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8BDF6" w14:textId="77777777" w:rsidR="0047564D" w:rsidRPr="00B834A2" w:rsidRDefault="0055537C" w:rsidP="00B834A2">
      <w:pPr>
        <w:pStyle w:val="Bodytext20"/>
        <w:shd w:val="clear" w:color="auto" w:fill="auto"/>
        <w:spacing w:before="0" w:after="160" w:line="360" w:lineRule="auto"/>
        <w:ind w:left="5103" w:right="-8"/>
        <w:rPr>
          <w:rFonts w:ascii="Sylfaen" w:hAnsi="Sylfaen"/>
          <w:sz w:val="24"/>
          <w:szCs w:val="24"/>
        </w:rPr>
      </w:pPr>
      <w:r w:rsidRPr="00B834A2">
        <w:rPr>
          <w:rFonts w:ascii="Sylfaen" w:hAnsi="Sylfaen"/>
          <w:sz w:val="24"/>
          <w:szCs w:val="24"/>
        </w:rPr>
        <w:t>ՀԱՎԵԼՎԱԾ</w:t>
      </w:r>
    </w:p>
    <w:p w14:paraId="7F3C71BC" w14:textId="77777777" w:rsidR="0047564D" w:rsidRPr="00B834A2" w:rsidRDefault="0055537C" w:rsidP="00B834A2">
      <w:pPr>
        <w:pStyle w:val="Bodytext20"/>
        <w:shd w:val="clear" w:color="auto" w:fill="auto"/>
        <w:spacing w:before="0" w:after="160" w:line="360" w:lineRule="auto"/>
        <w:ind w:left="5103" w:right="-8"/>
        <w:rPr>
          <w:rFonts w:ascii="Sylfaen" w:hAnsi="Sylfaen"/>
          <w:sz w:val="24"/>
          <w:szCs w:val="24"/>
        </w:rPr>
      </w:pPr>
      <w:r w:rsidRPr="00B834A2">
        <w:rPr>
          <w:rFonts w:ascii="Sylfaen" w:hAnsi="Sylfaen"/>
          <w:sz w:val="24"/>
          <w:szCs w:val="24"/>
        </w:rPr>
        <w:t>Եվրասիական տնտեսական հանձնաժողովի կոլեգիայի</w:t>
      </w:r>
      <w:r w:rsidRPr="00B834A2">
        <w:rPr>
          <w:rFonts w:ascii="Sylfaen" w:hAnsi="Sylfaen"/>
          <w:sz w:val="24"/>
          <w:szCs w:val="24"/>
        </w:rPr>
        <w:br/>
        <w:t>2022 թվականի հոկտեմբերի 25-ի թիվ 150 որոշման</w:t>
      </w:r>
    </w:p>
    <w:p w14:paraId="4CE444BD" w14:textId="77777777" w:rsidR="000E2474" w:rsidRPr="00B834A2" w:rsidRDefault="000E2474" w:rsidP="00B834A2">
      <w:pPr>
        <w:pStyle w:val="Bodytext30"/>
        <w:shd w:val="clear" w:color="auto" w:fill="auto"/>
        <w:spacing w:before="0" w:after="160" w:line="360" w:lineRule="auto"/>
        <w:ind w:right="120"/>
        <w:jc w:val="both"/>
        <w:rPr>
          <w:rStyle w:val="Bodytext3Spacing2pt"/>
          <w:rFonts w:ascii="Sylfaen" w:hAnsi="Sylfaen"/>
          <w:b/>
          <w:bCs/>
          <w:spacing w:val="0"/>
          <w:sz w:val="24"/>
          <w:szCs w:val="24"/>
        </w:rPr>
      </w:pPr>
    </w:p>
    <w:p w14:paraId="6C2DE1D8" w14:textId="77777777" w:rsidR="0047564D" w:rsidRPr="00B834A2" w:rsidRDefault="0055537C" w:rsidP="00B834A2">
      <w:pPr>
        <w:pStyle w:val="Bodytext30"/>
        <w:shd w:val="clear" w:color="auto" w:fill="auto"/>
        <w:spacing w:before="0" w:after="160" w:line="360" w:lineRule="auto"/>
        <w:ind w:right="120"/>
        <w:rPr>
          <w:rFonts w:ascii="Sylfaen" w:hAnsi="Sylfaen"/>
          <w:sz w:val="24"/>
          <w:szCs w:val="24"/>
        </w:rPr>
      </w:pPr>
      <w:r w:rsidRPr="00B834A2">
        <w:rPr>
          <w:rStyle w:val="Bodytext3Spacing2pt"/>
          <w:rFonts w:ascii="Sylfaen" w:hAnsi="Sylfaen"/>
          <w:b/>
          <w:spacing w:val="0"/>
          <w:sz w:val="24"/>
          <w:szCs w:val="24"/>
        </w:rPr>
        <w:t>ՓՈՓՈԽՈՒԹՅՈՒՆՆԵՐ</w:t>
      </w:r>
    </w:p>
    <w:p w14:paraId="373E1DD8" w14:textId="77777777" w:rsidR="0047564D" w:rsidRDefault="0055537C" w:rsidP="00B834A2">
      <w:pPr>
        <w:pStyle w:val="Bodytext30"/>
        <w:shd w:val="clear" w:color="auto" w:fill="auto"/>
        <w:spacing w:before="0" w:after="160" w:line="360" w:lineRule="auto"/>
        <w:ind w:right="120"/>
        <w:rPr>
          <w:rFonts w:ascii="Sylfaen" w:hAnsi="Sylfaen"/>
          <w:sz w:val="24"/>
          <w:szCs w:val="24"/>
        </w:rPr>
      </w:pPr>
      <w:r w:rsidRPr="00B834A2">
        <w:rPr>
          <w:rFonts w:ascii="Sylfaen" w:hAnsi="Sylfaen"/>
          <w:sz w:val="24"/>
          <w:szCs w:val="24"/>
        </w:rPr>
        <w:t>Եվրասիական տնտեսական միության դեղագրքում կատարվող</w:t>
      </w:r>
    </w:p>
    <w:p w14:paraId="650BC367" w14:textId="77777777" w:rsidR="00B834A2" w:rsidRPr="00B834A2" w:rsidRDefault="00B834A2" w:rsidP="00B834A2">
      <w:pPr>
        <w:pStyle w:val="Bodytext30"/>
        <w:shd w:val="clear" w:color="auto" w:fill="auto"/>
        <w:spacing w:before="0" w:after="160" w:line="360" w:lineRule="auto"/>
        <w:ind w:right="120"/>
        <w:rPr>
          <w:rFonts w:ascii="Sylfaen" w:hAnsi="Sylfaen"/>
          <w:sz w:val="24"/>
          <w:szCs w:val="24"/>
        </w:rPr>
      </w:pPr>
    </w:p>
    <w:p w14:paraId="0F5441C1" w14:textId="77777777" w:rsidR="0047564D" w:rsidRPr="00B834A2" w:rsidRDefault="0055537C" w:rsidP="00B834A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1.</w:t>
      </w:r>
      <w:r w:rsidRPr="00B834A2">
        <w:rPr>
          <w:rFonts w:ascii="Sylfaen" w:hAnsi="Sylfaen"/>
          <w:sz w:val="24"/>
          <w:szCs w:val="24"/>
        </w:rPr>
        <w:tab/>
        <w:t>Ընդհանուր դեղագրքային հոդված 2.1.2.25</w:t>
      </w:r>
      <w:r w:rsidR="00B834A2">
        <w:rPr>
          <w:rFonts w:ascii="Sylfaen" w:hAnsi="Sylfaen"/>
          <w:sz w:val="24"/>
          <w:szCs w:val="24"/>
        </w:rPr>
        <w:t>-</w:t>
      </w:r>
      <w:r w:rsidRPr="00B834A2">
        <w:rPr>
          <w:rFonts w:ascii="Sylfaen" w:hAnsi="Sylfaen"/>
          <w:sz w:val="24"/>
          <w:szCs w:val="24"/>
        </w:rPr>
        <w:t>ի չորրորդ պարբերությունում «հոդված 2.2.2.36» բառերը փոխարինել «հոդված 2.1.2.36» բառերով։</w:t>
      </w:r>
    </w:p>
    <w:p w14:paraId="2E6B3BD7" w14:textId="77777777" w:rsidR="0047564D" w:rsidRPr="00B834A2" w:rsidRDefault="0055537C" w:rsidP="00B834A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2.</w:t>
      </w:r>
      <w:r w:rsidRPr="00B834A2">
        <w:rPr>
          <w:rFonts w:ascii="Sylfaen" w:hAnsi="Sylfaen"/>
          <w:sz w:val="24"/>
          <w:szCs w:val="24"/>
        </w:rPr>
        <w:tab/>
        <w:t>Ընդհանուր դեղագրքային հոդված 2.1.4.16</w:t>
      </w:r>
      <w:r w:rsidR="00B834A2">
        <w:rPr>
          <w:rFonts w:ascii="Sylfaen" w:hAnsi="Sylfaen"/>
          <w:sz w:val="24"/>
          <w:szCs w:val="24"/>
        </w:rPr>
        <w:t>-</w:t>
      </w:r>
      <w:r w:rsidRPr="00B834A2">
        <w:rPr>
          <w:rFonts w:ascii="Sylfaen" w:hAnsi="Sylfaen"/>
          <w:sz w:val="24"/>
          <w:szCs w:val="24"/>
        </w:rPr>
        <w:t>ու</w:t>
      </w:r>
      <w:r w:rsidR="00D16583">
        <w:rPr>
          <w:rFonts w:ascii="Sylfaen" w:hAnsi="Sylfaen"/>
          <w:sz w:val="24"/>
          <w:szCs w:val="24"/>
        </w:rPr>
        <w:t>մ «(600±</w:t>
      </w:r>
      <w:r w:rsidRPr="00B834A2">
        <w:rPr>
          <w:rFonts w:ascii="Sylfaen" w:hAnsi="Sylfaen"/>
          <w:sz w:val="24"/>
          <w:szCs w:val="24"/>
        </w:rPr>
        <w:t>5025) °С</w:t>
      </w:r>
      <w:r w:rsidR="00D16583">
        <w:rPr>
          <w:rFonts w:ascii="Sylfaen" w:hAnsi="Sylfaen"/>
          <w:sz w:val="24"/>
          <w:szCs w:val="24"/>
        </w:rPr>
        <w:t>» թվանշանները փոխարինել «(600±</w:t>
      </w:r>
      <w:r w:rsidRPr="00B834A2">
        <w:rPr>
          <w:rFonts w:ascii="Sylfaen" w:hAnsi="Sylfaen"/>
          <w:sz w:val="24"/>
          <w:szCs w:val="24"/>
        </w:rPr>
        <w:t>25) °С» թվանշաններով։</w:t>
      </w:r>
    </w:p>
    <w:p w14:paraId="62E37FD2" w14:textId="77777777" w:rsidR="0047564D" w:rsidRPr="00B834A2" w:rsidRDefault="0055537C" w:rsidP="00B834A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3.</w:t>
      </w:r>
      <w:r w:rsidRPr="00B834A2">
        <w:rPr>
          <w:rFonts w:ascii="Sylfaen" w:hAnsi="Sylfaen"/>
          <w:sz w:val="24"/>
          <w:szCs w:val="24"/>
        </w:rPr>
        <w:tab/>
        <w:t>Ընդհանուր դեղագրքային հոդված 2.1.6.6</w:t>
      </w:r>
      <w:r w:rsidR="00B834A2">
        <w:rPr>
          <w:rFonts w:ascii="Sylfaen" w:hAnsi="Sylfaen"/>
          <w:sz w:val="24"/>
          <w:szCs w:val="24"/>
        </w:rPr>
        <w:t>-</w:t>
      </w:r>
      <w:r w:rsidRPr="00B834A2">
        <w:rPr>
          <w:rFonts w:ascii="Sylfaen" w:hAnsi="Sylfaen"/>
          <w:sz w:val="24"/>
          <w:szCs w:val="24"/>
        </w:rPr>
        <w:t>ում «աղյուսակ</w:t>
      </w:r>
      <w:r w:rsidR="00F37CE1" w:rsidRPr="00B834A2">
        <w:rPr>
          <w:rFonts w:ascii="Sylfaen" w:hAnsi="Sylfaen"/>
          <w:sz w:val="24"/>
          <w:szCs w:val="24"/>
        </w:rPr>
        <w:t xml:space="preserve"> 2.</w:t>
      </w:r>
      <w:r w:rsidR="00F37CE1" w:rsidRPr="00B834A2">
        <w:rPr>
          <w:rStyle w:val="Bodytext214pt"/>
          <w:rFonts w:ascii="Sylfaen" w:hAnsi="Sylfaen"/>
          <w:sz w:val="24"/>
          <w:szCs w:val="24"/>
        </w:rPr>
        <w:t>6</w:t>
      </w:r>
      <w:r w:rsidR="00F37CE1" w:rsidRPr="00B834A2">
        <w:rPr>
          <w:rStyle w:val="Bodytext211pt"/>
          <w:rFonts w:ascii="Sylfaen" w:hAnsi="Sylfaen"/>
          <w:sz w:val="24"/>
          <w:szCs w:val="24"/>
        </w:rPr>
        <w:t>.</w:t>
      </w:r>
      <w:r w:rsidR="00F37CE1" w:rsidRPr="00B834A2">
        <w:rPr>
          <w:rStyle w:val="Bodytext214pt"/>
          <w:rFonts w:ascii="Sylfaen" w:hAnsi="Sylfaen"/>
          <w:sz w:val="24"/>
          <w:szCs w:val="24"/>
        </w:rPr>
        <w:t>6</w:t>
      </w:r>
      <w:r w:rsidR="00F37CE1" w:rsidRPr="00B834A2">
        <w:rPr>
          <w:rStyle w:val="Bodytext211pt"/>
          <w:rFonts w:ascii="Sylfaen" w:hAnsi="Sylfaen"/>
          <w:sz w:val="24"/>
          <w:szCs w:val="24"/>
        </w:rPr>
        <w:t>.</w:t>
      </w:r>
      <w:r w:rsidR="00F37CE1" w:rsidRPr="00B834A2">
        <w:rPr>
          <w:rStyle w:val="Bodytext214pt"/>
          <w:rFonts w:ascii="Sylfaen" w:hAnsi="Sylfaen"/>
          <w:sz w:val="24"/>
          <w:szCs w:val="24"/>
        </w:rPr>
        <w:t>6.-1</w:t>
      </w:r>
      <w:r w:rsidR="00F37CE1" w:rsidRPr="00B834A2">
        <w:rPr>
          <w:rFonts w:ascii="Sylfaen" w:hAnsi="Sylfaen"/>
          <w:sz w:val="24"/>
          <w:szCs w:val="24"/>
        </w:rPr>
        <w:t>-</w:t>
      </w:r>
      <w:r w:rsidRPr="00B834A2">
        <w:rPr>
          <w:rFonts w:ascii="Sylfaen" w:hAnsi="Sylfaen"/>
          <w:sz w:val="24"/>
          <w:szCs w:val="24"/>
        </w:rPr>
        <w:t xml:space="preserve">ում թվարկված» բառերը փոխարինել </w:t>
      </w:r>
      <w:r w:rsidR="00F37CE1" w:rsidRPr="00B834A2">
        <w:rPr>
          <w:rFonts w:ascii="Sylfaen" w:hAnsi="Sylfaen"/>
          <w:sz w:val="24"/>
          <w:szCs w:val="24"/>
        </w:rPr>
        <w:t>«</w:t>
      </w:r>
      <w:r w:rsidRPr="00B834A2">
        <w:rPr>
          <w:rStyle w:val="Bodytext211pt"/>
          <w:rFonts w:ascii="Sylfaen" w:hAnsi="Sylfaen"/>
          <w:sz w:val="24"/>
          <w:szCs w:val="24"/>
        </w:rPr>
        <w:t xml:space="preserve">աղյուսակ </w:t>
      </w:r>
      <w:r w:rsidR="00F37CE1" w:rsidRPr="00B834A2">
        <w:rPr>
          <w:rFonts w:ascii="Sylfaen" w:hAnsi="Sylfaen"/>
          <w:sz w:val="24"/>
          <w:szCs w:val="24"/>
        </w:rPr>
        <w:t>2.</w:t>
      </w:r>
      <w:r w:rsidR="00F37CE1" w:rsidRPr="00B834A2">
        <w:rPr>
          <w:rStyle w:val="Bodytext214pt"/>
          <w:rFonts w:ascii="Sylfaen" w:hAnsi="Sylfaen"/>
          <w:sz w:val="24"/>
          <w:szCs w:val="24"/>
        </w:rPr>
        <w:t>1</w:t>
      </w:r>
      <w:r w:rsidR="00F37CE1" w:rsidRPr="00B834A2">
        <w:rPr>
          <w:rStyle w:val="Bodytext211pt"/>
          <w:rFonts w:ascii="Sylfaen" w:hAnsi="Sylfaen"/>
          <w:sz w:val="24"/>
          <w:szCs w:val="24"/>
        </w:rPr>
        <w:t>.</w:t>
      </w:r>
      <w:r w:rsidR="00F37CE1" w:rsidRPr="00B834A2">
        <w:rPr>
          <w:rStyle w:val="Bodytext214pt"/>
          <w:rFonts w:ascii="Sylfaen" w:hAnsi="Sylfaen"/>
          <w:sz w:val="24"/>
          <w:szCs w:val="24"/>
        </w:rPr>
        <w:t>6</w:t>
      </w:r>
      <w:r w:rsidR="00F37CE1" w:rsidRPr="00B834A2">
        <w:rPr>
          <w:rStyle w:val="Bodytext211pt"/>
          <w:rFonts w:ascii="Sylfaen" w:hAnsi="Sylfaen"/>
          <w:sz w:val="24"/>
          <w:szCs w:val="24"/>
        </w:rPr>
        <w:t>.</w:t>
      </w:r>
      <w:r w:rsidR="00F37CE1" w:rsidRPr="00B834A2">
        <w:rPr>
          <w:rStyle w:val="Bodytext214pt"/>
          <w:rFonts w:ascii="Sylfaen" w:hAnsi="Sylfaen"/>
          <w:sz w:val="24"/>
          <w:szCs w:val="24"/>
        </w:rPr>
        <w:t>6</w:t>
      </w:r>
      <w:r w:rsidR="00F37CE1" w:rsidRPr="00B834A2">
        <w:rPr>
          <w:rStyle w:val="Bodytext211pt"/>
          <w:rFonts w:ascii="Sylfaen" w:hAnsi="Sylfaen"/>
          <w:sz w:val="24"/>
          <w:szCs w:val="24"/>
        </w:rPr>
        <w:t>.-</w:t>
      </w:r>
      <w:r w:rsidR="00F37CE1" w:rsidRPr="00B834A2">
        <w:rPr>
          <w:rStyle w:val="Bodytext214pt"/>
          <w:rFonts w:ascii="Sylfaen" w:hAnsi="Sylfaen"/>
          <w:sz w:val="24"/>
          <w:szCs w:val="24"/>
        </w:rPr>
        <w:t xml:space="preserve">1-ում </w:t>
      </w:r>
      <w:r w:rsidRPr="00B834A2">
        <w:rPr>
          <w:rStyle w:val="Bodytext211pt"/>
          <w:rFonts w:ascii="Sylfaen" w:hAnsi="Sylfaen"/>
          <w:sz w:val="24"/>
          <w:szCs w:val="24"/>
        </w:rPr>
        <w:t>թվարկված» բառերով։</w:t>
      </w:r>
    </w:p>
    <w:p w14:paraId="4CAB7786" w14:textId="77777777" w:rsidR="0047564D" w:rsidRPr="00B834A2" w:rsidRDefault="0055537C" w:rsidP="00B834A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4.</w:t>
      </w:r>
      <w:r w:rsidRPr="00B834A2">
        <w:rPr>
          <w:rFonts w:ascii="Sylfaen" w:hAnsi="Sylfaen"/>
          <w:sz w:val="24"/>
          <w:szCs w:val="24"/>
        </w:rPr>
        <w:tab/>
        <w:t>Ընդհանուր դեղագրքային հոդված 2.1.9.3</w:t>
      </w:r>
      <w:r w:rsidR="00B834A2">
        <w:rPr>
          <w:rFonts w:ascii="Sylfaen" w:hAnsi="Sylfaen"/>
          <w:sz w:val="24"/>
          <w:szCs w:val="24"/>
        </w:rPr>
        <w:t>-</w:t>
      </w:r>
      <w:r w:rsidRPr="00B834A2">
        <w:rPr>
          <w:rFonts w:ascii="Sylfaen" w:hAnsi="Sylfaen"/>
          <w:sz w:val="24"/>
          <w:szCs w:val="24"/>
        </w:rPr>
        <w:t>ում նկար 2.1.9.3.-2</w:t>
      </w:r>
      <w:r w:rsidR="00B834A2">
        <w:rPr>
          <w:rFonts w:ascii="Sylfaen" w:hAnsi="Sylfaen"/>
          <w:sz w:val="24"/>
          <w:szCs w:val="24"/>
        </w:rPr>
        <w:t>-</w:t>
      </w:r>
      <w:r w:rsidRPr="00B834A2">
        <w:rPr>
          <w:rFonts w:ascii="Sylfaen" w:hAnsi="Sylfaen"/>
          <w:sz w:val="24"/>
          <w:szCs w:val="24"/>
        </w:rPr>
        <w:t>ը փոխարինել հետ</w:t>
      </w:r>
      <w:r w:rsidR="00B834A2">
        <w:rPr>
          <w:rFonts w:ascii="Sylfaen" w:hAnsi="Sylfaen"/>
          <w:sz w:val="24"/>
          <w:szCs w:val="24"/>
        </w:rPr>
        <w:t>եւ</w:t>
      </w:r>
      <w:r w:rsidRPr="00B834A2">
        <w:rPr>
          <w:rFonts w:ascii="Sylfaen" w:hAnsi="Sylfaen"/>
          <w:sz w:val="24"/>
          <w:szCs w:val="24"/>
        </w:rPr>
        <w:t>յալ նկարով՝</w:t>
      </w:r>
    </w:p>
    <w:p w14:paraId="69154085" w14:textId="77777777" w:rsidR="0047564D" w:rsidRPr="00B834A2" w:rsidRDefault="00000000" w:rsidP="00464EA4">
      <w:pPr>
        <w:spacing w:after="160" w:line="360" w:lineRule="auto"/>
        <w:jc w:val="center"/>
        <w:rPr>
          <w:rFonts w:cs="Times New Roman"/>
        </w:rPr>
      </w:pPr>
      <w:r>
        <w:rPr>
          <w:rFonts w:cs="Times New Roman"/>
        </w:rPr>
        <w:lastRenderedPageBreak/>
        <w:fldChar w:fldCharType="begin"/>
      </w:r>
      <w:r>
        <w:rPr>
          <w:rFonts w:cs="Times New Roman"/>
        </w:rPr>
        <w:instrText xml:space="preserve"> INCLUDEPICTURE  "C:\\Users\\Gayane\\Desktop\\ՀՈԿՏԵՄԲԵՐԻ 10..23\\10.10.2023 ԵՏՀԿ 67 որոշում\\Arlis_2023_1.2\\Arlis_2023_1.2\\media\\image3.jpeg" \* MERGEFORMATINET </w:instrText>
      </w:r>
      <w:r>
        <w:rPr>
          <w:rFonts w:cs="Times New Roman"/>
        </w:rPr>
        <w:fldChar w:fldCharType="separate"/>
      </w:r>
      <w:r>
        <w:rPr>
          <w:rFonts w:cs="Times New Roman"/>
        </w:rPr>
        <w:fldChar w:fldCharType="begin"/>
      </w:r>
      <w:r>
        <w:rPr>
          <w:rFonts w:cs="Times New Roman"/>
        </w:rPr>
        <w:instrText xml:space="preserve"> INCLUDEPICTURE  "C:\\Users\\Gayane\\Desktop\\ՀՈԿՏԵՄԲԵՐԻ 11..23\\10.10.2023 ԵՏՀԿ 67 որոշում\\Arlis_2023_1.2\\Arlis_2023_1.2\\media\\image3.jpeg" \* MERGEFORMATINET </w:instrText>
      </w:r>
      <w:r>
        <w:rPr>
          <w:rFonts w:cs="Times New Roman"/>
        </w:rPr>
        <w:fldChar w:fldCharType="separate"/>
      </w:r>
      <w:r>
        <w:rPr>
          <w:rFonts w:cs="Times New Roman"/>
        </w:rPr>
        <w:fldChar w:fldCharType="begin"/>
      </w:r>
      <w:r>
        <w:rPr>
          <w:rFonts w:cs="Times New Roman"/>
        </w:rPr>
        <w:instrText xml:space="preserve"> INCLUDEPICTURE  "C:\\Users\\Tigran\\Desktop\\hima\\ETHK_voroshum_N150_2022_arm\\media\\image3.jpeg" \* MERGEFORMATINET </w:instrText>
      </w:r>
      <w:r>
        <w:rPr>
          <w:rFonts w:cs="Times New Roman"/>
        </w:rPr>
        <w:fldChar w:fldCharType="separate"/>
      </w:r>
      <w:r w:rsidR="007015CA">
        <w:rPr>
          <w:rFonts w:cs="Times New Roman"/>
        </w:rPr>
        <w:pict w14:anchorId="4844E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2pt;height:318pt">
            <v:imagedata r:id="rId8" r:href="rId9"/>
          </v:shape>
        </w:pict>
      </w:r>
      <w:r>
        <w:rPr>
          <w:rFonts w:cs="Times New Roman"/>
        </w:rPr>
        <w:fldChar w:fldCharType="end"/>
      </w:r>
      <w:r>
        <w:rPr>
          <w:rFonts w:cs="Times New Roman"/>
        </w:rPr>
        <w:fldChar w:fldCharType="end"/>
      </w:r>
      <w:r>
        <w:rPr>
          <w:rFonts w:cs="Times New Roman"/>
        </w:rPr>
        <w:fldChar w:fldCharType="end"/>
      </w:r>
    </w:p>
    <w:p w14:paraId="6F591D48" w14:textId="77777777" w:rsidR="0047564D" w:rsidRPr="00B834A2" w:rsidRDefault="0055537C" w:rsidP="00464EA4">
      <w:pPr>
        <w:pStyle w:val="Picturecaption0"/>
        <w:shd w:val="clear" w:color="auto" w:fill="auto"/>
        <w:spacing w:after="160" w:line="360" w:lineRule="auto"/>
        <w:jc w:val="center"/>
        <w:rPr>
          <w:rFonts w:ascii="Sylfaen" w:hAnsi="Sylfaen"/>
          <w:sz w:val="20"/>
        </w:rPr>
      </w:pPr>
      <w:r w:rsidRPr="00B834A2">
        <w:rPr>
          <w:rStyle w:val="PicturecaptionNotItalic"/>
          <w:rFonts w:ascii="Sylfaen" w:hAnsi="Sylfaen"/>
          <w:sz w:val="20"/>
        </w:rPr>
        <w:t xml:space="preserve">Նկար 2.1.9.3.-2. - </w:t>
      </w:r>
      <w:r w:rsidRPr="00B834A2">
        <w:rPr>
          <w:rFonts w:ascii="Sylfaen" w:hAnsi="Sylfaen"/>
          <w:sz w:val="20"/>
        </w:rPr>
        <w:t>Սարք 2, խառնիչ տարր՝ թիակ։ Չափերը՝ միլիմետրերով։</w:t>
      </w:r>
    </w:p>
    <w:p w14:paraId="48C553BC" w14:textId="77777777" w:rsidR="00B834A2" w:rsidRDefault="00B834A2" w:rsidP="00B834A2">
      <w:pPr>
        <w:tabs>
          <w:tab w:val="left" w:pos="1134"/>
        </w:tabs>
        <w:spacing w:after="160" w:line="360" w:lineRule="auto"/>
        <w:ind w:right="-8" w:firstLine="567"/>
        <w:jc w:val="both"/>
      </w:pPr>
    </w:p>
    <w:p w14:paraId="552A2172"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t>5.</w:t>
      </w:r>
      <w:r w:rsidR="00B834A2">
        <w:tab/>
      </w:r>
      <w:r w:rsidRPr="00B834A2">
        <w:t>«Ռեակտիվներ, ստանդարտ լուծույթներ, բուֆերային լուծույթներ» 2.2</w:t>
      </w:r>
      <w:r w:rsidR="00A859E3" w:rsidRPr="00A859E3">
        <w:t> </w:t>
      </w:r>
      <w:r w:rsidRPr="00B834A2">
        <w:t xml:space="preserve">բաժնի համարակալման մեջ «2.2» թվանշանները փոխարինել «2.2.1» </w:t>
      </w:r>
      <w:r w:rsidR="00B834A2">
        <w:t>-</w:t>
      </w:r>
      <w:r w:rsidRPr="00B834A2">
        <w:t>ով։</w:t>
      </w:r>
    </w:p>
    <w:p w14:paraId="4C51FD90"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t>6.</w:t>
      </w:r>
      <w:r w:rsidR="00B834A2">
        <w:tab/>
      </w:r>
      <w:r w:rsidRPr="00B834A2">
        <w:t>Ընդհանուր դեղագրքային հոդված 2.2.1.1</w:t>
      </w:r>
      <w:r w:rsidR="00B834A2">
        <w:t>-</w:t>
      </w:r>
      <w:r w:rsidRPr="00B834A2">
        <w:t xml:space="preserve">ում «202010001-2019» ծածկագիրը փոխարինել «202010001-2022» </w:t>
      </w:r>
      <w:r w:rsidR="00B834A2">
        <w:t>-</w:t>
      </w:r>
      <w:r w:rsidRPr="00B834A2">
        <w:t>ով։</w:t>
      </w:r>
    </w:p>
    <w:p w14:paraId="00794D6A"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t>7.</w:t>
      </w:r>
      <w:r w:rsidR="00B834A2">
        <w:tab/>
      </w:r>
      <w:r w:rsidRPr="00B834A2">
        <w:t>Ընդհանուր դեղագրքային հոդված 2.2.1.2</w:t>
      </w:r>
      <w:r w:rsidR="002E52D1">
        <w:t>-</w:t>
      </w:r>
      <w:r w:rsidRPr="00B834A2">
        <w:t xml:space="preserve">ում «202010002-2019» ծածկագիրը փոխարինել «202010002-2022» </w:t>
      </w:r>
      <w:r w:rsidR="00B834A2">
        <w:t>-</w:t>
      </w:r>
      <w:r w:rsidRPr="00B834A2">
        <w:t>ով։</w:t>
      </w:r>
    </w:p>
    <w:p w14:paraId="489B95A7"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t>8.</w:t>
      </w:r>
      <w:r w:rsidR="00B834A2">
        <w:tab/>
      </w:r>
      <w:r w:rsidRPr="00B834A2">
        <w:t>«203010002-2019» ծածկագրով ընդհանուր դեղագրքային հոդված 2.3.1.2</w:t>
      </w:r>
      <w:r w:rsidR="00B834A2">
        <w:t>-</w:t>
      </w:r>
      <w:r w:rsidRPr="00B834A2">
        <w:t>ը փոխարինել սույն փոփոխությունների 10</w:t>
      </w:r>
      <w:r w:rsidR="00B834A2">
        <w:t>-</w:t>
      </w:r>
      <w:r w:rsidRPr="00B834A2">
        <w:t>րդ կետում նշված՝ «203010002-2022» ծածկագրով ընդհանուր դեղագրքային հոդված 2.3.1.2</w:t>
      </w:r>
      <w:r w:rsidR="00B834A2">
        <w:t>-</w:t>
      </w:r>
      <w:r w:rsidRPr="00B834A2">
        <w:t>ով։</w:t>
      </w:r>
    </w:p>
    <w:p w14:paraId="13C8FFB7" w14:textId="77777777" w:rsidR="00B834A2" w:rsidRDefault="00B834A2">
      <w:r>
        <w:br w:type="page"/>
      </w:r>
    </w:p>
    <w:p w14:paraId="2106B878"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lastRenderedPageBreak/>
        <w:t>9.</w:t>
      </w:r>
      <w:r w:rsidR="00B834A2">
        <w:tab/>
      </w:r>
      <w:r w:rsidRPr="00B834A2">
        <w:t>Ընդհանուր դեղագրքային հոդված 2.3.5.0</w:t>
      </w:r>
      <w:r w:rsidR="00B834A2">
        <w:t>-</w:t>
      </w:r>
      <w:r w:rsidRPr="00B834A2">
        <w:t xml:space="preserve">ի 2.3.5.0.-1 նկարում «Դեղագործական կիրառման համար </w:t>
      </w:r>
      <w:r w:rsidR="00BE6055" w:rsidRPr="00B834A2">
        <w:t xml:space="preserve">նախատեսված </w:t>
      </w:r>
      <w:r w:rsidRPr="00B834A2">
        <w:t>սուբստանցիաներ (2034)» բառերը փոխարինել «2.3.18.0.» թվանշաններով։</w:t>
      </w:r>
    </w:p>
    <w:p w14:paraId="19DF94C9" w14:textId="77777777" w:rsidR="000E2474" w:rsidRPr="00B834A2" w:rsidRDefault="0055537C" w:rsidP="00B834A2">
      <w:pPr>
        <w:tabs>
          <w:tab w:val="left" w:pos="1134"/>
        </w:tabs>
        <w:spacing w:after="160" w:line="360" w:lineRule="auto"/>
        <w:ind w:right="-8" w:firstLine="567"/>
        <w:jc w:val="both"/>
        <w:rPr>
          <w:rFonts w:eastAsia="Times New Roman" w:cs="Times New Roman"/>
        </w:rPr>
      </w:pPr>
      <w:r w:rsidRPr="00B834A2">
        <w:t>10.</w:t>
      </w:r>
      <w:r w:rsidR="00B834A2">
        <w:tab/>
      </w:r>
      <w:r w:rsidRPr="00B834A2">
        <w:t>Լրացնել հետ</w:t>
      </w:r>
      <w:r w:rsidR="00B834A2">
        <w:t>եւ</w:t>
      </w:r>
      <w:r w:rsidRPr="00B834A2">
        <w:t>յալ բովանդակությամբ ընդհանուր դեղագրքային հոդվածներով՝</w:t>
      </w:r>
    </w:p>
    <w:p w14:paraId="315B978C" w14:textId="77777777" w:rsidR="000E2474" w:rsidRPr="00B834A2" w:rsidRDefault="000E2474" w:rsidP="00B834A2">
      <w:pPr>
        <w:spacing w:after="160" w:line="360" w:lineRule="auto"/>
        <w:jc w:val="both"/>
        <w:rPr>
          <w:rFonts w:eastAsia="Times New Roman" w:cs="Times New Roman"/>
        </w:rPr>
      </w:pPr>
    </w:p>
    <w:p w14:paraId="21D19600" w14:textId="77777777" w:rsidR="000E2474" w:rsidRPr="00B834A2" w:rsidRDefault="0055537C" w:rsidP="00B834A2">
      <w:pPr>
        <w:spacing w:after="160" w:line="360" w:lineRule="auto"/>
        <w:jc w:val="both"/>
        <w:rPr>
          <w:rFonts w:eastAsia="Times New Roman" w:cs="Times New Roman"/>
          <w:color w:val="231F20"/>
        </w:rPr>
      </w:pPr>
      <w:r w:rsidRPr="00B834A2">
        <w:br w:type="page"/>
      </w:r>
    </w:p>
    <w:p w14:paraId="00744410" w14:textId="77777777" w:rsidR="00B834A2" w:rsidRDefault="00B834A2" w:rsidP="00B834A2">
      <w:pPr>
        <w:spacing w:after="160" w:line="360" w:lineRule="auto"/>
        <w:ind w:right="-8"/>
        <w:jc w:val="center"/>
        <w:rPr>
          <w:b/>
          <w:color w:val="231F20"/>
        </w:rPr>
      </w:pPr>
    </w:p>
    <w:p w14:paraId="0763C6EC" w14:textId="77777777" w:rsidR="00B834A2" w:rsidRDefault="00B834A2" w:rsidP="00B834A2">
      <w:pPr>
        <w:spacing w:after="160" w:line="360" w:lineRule="auto"/>
        <w:ind w:right="-8"/>
        <w:jc w:val="center"/>
        <w:rPr>
          <w:b/>
          <w:color w:val="231F20"/>
        </w:rPr>
      </w:pPr>
    </w:p>
    <w:p w14:paraId="19D30C8D" w14:textId="77777777" w:rsidR="00B834A2" w:rsidRDefault="00B834A2" w:rsidP="00B834A2">
      <w:pPr>
        <w:spacing w:after="160" w:line="360" w:lineRule="auto"/>
        <w:ind w:right="-8"/>
        <w:jc w:val="center"/>
        <w:rPr>
          <w:b/>
          <w:color w:val="231F20"/>
        </w:rPr>
      </w:pPr>
    </w:p>
    <w:p w14:paraId="509540C5" w14:textId="77777777" w:rsidR="00B834A2" w:rsidRDefault="00B834A2" w:rsidP="00B834A2">
      <w:pPr>
        <w:spacing w:after="160" w:line="360" w:lineRule="auto"/>
        <w:ind w:right="-8"/>
        <w:jc w:val="center"/>
        <w:rPr>
          <w:b/>
          <w:color w:val="231F20"/>
        </w:rPr>
      </w:pPr>
    </w:p>
    <w:p w14:paraId="08E2A8F6" w14:textId="77777777" w:rsidR="00B834A2" w:rsidRDefault="00B834A2" w:rsidP="00B834A2">
      <w:pPr>
        <w:spacing w:after="160" w:line="360" w:lineRule="auto"/>
        <w:ind w:right="-8"/>
        <w:jc w:val="center"/>
        <w:rPr>
          <w:b/>
          <w:color w:val="231F20"/>
        </w:rPr>
      </w:pPr>
    </w:p>
    <w:p w14:paraId="7A78AA00" w14:textId="77777777" w:rsidR="00B834A2" w:rsidRDefault="00B834A2" w:rsidP="00B834A2">
      <w:pPr>
        <w:spacing w:after="160" w:line="360" w:lineRule="auto"/>
        <w:ind w:right="-8"/>
        <w:jc w:val="center"/>
        <w:rPr>
          <w:b/>
          <w:color w:val="231F20"/>
        </w:rPr>
      </w:pPr>
    </w:p>
    <w:p w14:paraId="021EAA87" w14:textId="77777777" w:rsidR="00B834A2" w:rsidRDefault="00B834A2" w:rsidP="00B834A2">
      <w:pPr>
        <w:spacing w:after="160" w:line="360" w:lineRule="auto"/>
        <w:ind w:right="-8"/>
        <w:jc w:val="center"/>
        <w:rPr>
          <w:b/>
          <w:color w:val="231F20"/>
        </w:rPr>
      </w:pPr>
    </w:p>
    <w:p w14:paraId="6D80BF80" w14:textId="77777777" w:rsidR="000E2474" w:rsidRPr="00B834A2" w:rsidRDefault="0055537C" w:rsidP="00B834A2">
      <w:pPr>
        <w:spacing w:after="160" w:line="360" w:lineRule="auto"/>
        <w:ind w:right="-8"/>
        <w:jc w:val="center"/>
        <w:rPr>
          <w:rFonts w:eastAsia="Times New Roman" w:cs="Times New Roman"/>
          <w:b/>
        </w:rPr>
      </w:pPr>
      <w:r w:rsidRPr="00B834A2">
        <w:rPr>
          <w:b/>
          <w:color w:val="231F20"/>
        </w:rPr>
        <w:t>2. ԸՆԴՀԱՆՈՒՐ ԴԵՂԱԳՐՔԱՅԻՆ ՀՈԴՎԱԾՆԵՐ</w:t>
      </w:r>
    </w:p>
    <w:p w14:paraId="7F3F961F" w14:textId="77777777" w:rsidR="000E2474" w:rsidRPr="00B834A2" w:rsidRDefault="0055537C" w:rsidP="00B834A2">
      <w:pPr>
        <w:spacing w:after="160" w:line="360" w:lineRule="auto"/>
        <w:jc w:val="both"/>
        <w:rPr>
          <w:rFonts w:eastAsia="Times New Roman" w:cs="Times New Roman"/>
        </w:rPr>
      </w:pPr>
      <w:r w:rsidRPr="00B834A2">
        <w:br w:type="page"/>
      </w:r>
    </w:p>
    <w:p w14:paraId="456F2783" w14:textId="77777777" w:rsidR="000E2474" w:rsidRDefault="000E2474" w:rsidP="00B834A2">
      <w:pPr>
        <w:spacing w:after="160" w:line="360" w:lineRule="auto"/>
        <w:jc w:val="center"/>
        <w:rPr>
          <w:rFonts w:eastAsia="Times New Roman" w:cs="Times New Roman"/>
          <w:b/>
        </w:rPr>
      </w:pPr>
    </w:p>
    <w:p w14:paraId="544B96FE" w14:textId="77777777" w:rsidR="00B834A2" w:rsidRDefault="00B834A2" w:rsidP="00B834A2">
      <w:pPr>
        <w:spacing w:after="160" w:line="360" w:lineRule="auto"/>
        <w:jc w:val="center"/>
        <w:rPr>
          <w:rFonts w:eastAsia="Times New Roman" w:cs="Times New Roman"/>
          <w:b/>
        </w:rPr>
      </w:pPr>
    </w:p>
    <w:p w14:paraId="72EC7645" w14:textId="77777777" w:rsidR="00B834A2" w:rsidRDefault="00B834A2" w:rsidP="00B834A2">
      <w:pPr>
        <w:spacing w:after="160" w:line="360" w:lineRule="auto"/>
        <w:jc w:val="center"/>
        <w:rPr>
          <w:rFonts w:eastAsia="Times New Roman" w:cs="Times New Roman"/>
          <w:b/>
        </w:rPr>
      </w:pPr>
    </w:p>
    <w:p w14:paraId="748239C3" w14:textId="77777777" w:rsidR="00B834A2" w:rsidRDefault="00B834A2" w:rsidP="00B834A2">
      <w:pPr>
        <w:spacing w:after="160" w:line="360" w:lineRule="auto"/>
        <w:jc w:val="center"/>
        <w:rPr>
          <w:rFonts w:eastAsia="Times New Roman" w:cs="Times New Roman"/>
          <w:b/>
        </w:rPr>
      </w:pPr>
    </w:p>
    <w:p w14:paraId="42EEE20E" w14:textId="77777777" w:rsidR="00B834A2" w:rsidRDefault="00B834A2" w:rsidP="00B834A2">
      <w:pPr>
        <w:spacing w:after="160" w:line="360" w:lineRule="auto"/>
        <w:jc w:val="center"/>
        <w:rPr>
          <w:rFonts w:eastAsia="Times New Roman" w:cs="Times New Roman"/>
          <w:b/>
        </w:rPr>
      </w:pPr>
    </w:p>
    <w:p w14:paraId="6163026F" w14:textId="77777777" w:rsidR="00B834A2" w:rsidRPr="00B834A2" w:rsidRDefault="00B834A2" w:rsidP="00B834A2">
      <w:pPr>
        <w:spacing w:after="160" w:line="360" w:lineRule="auto"/>
        <w:jc w:val="center"/>
        <w:rPr>
          <w:rFonts w:eastAsia="Times New Roman" w:cs="Times New Roman"/>
          <w:b/>
        </w:rPr>
      </w:pPr>
    </w:p>
    <w:p w14:paraId="2E6143E0" w14:textId="77777777" w:rsidR="000E2474" w:rsidRPr="00B834A2" w:rsidRDefault="0055537C" w:rsidP="00B834A2">
      <w:pPr>
        <w:spacing w:after="160" w:line="360" w:lineRule="auto"/>
        <w:jc w:val="center"/>
        <w:rPr>
          <w:rFonts w:eastAsia="Times New Roman" w:cs="Times New Roman"/>
          <w:b/>
        </w:rPr>
      </w:pPr>
      <w:r w:rsidRPr="00B834A2">
        <w:rPr>
          <w:b/>
        </w:rPr>
        <w:t>2.1. ՎԵՐԼՈՒԾՈՒԹՅԱՆ ՄԵԹՈԴՆԵՐ</w:t>
      </w:r>
    </w:p>
    <w:p w14:paraId="6475C343" w14:textId="77777777" w:rsidR="000E2474" w:rsidRPr="00B834A2" w:rsidRDefault="000E2474" w:rsidP="00B834A2">
      <w:pPr>
        <w:spacing w:after="160" w:line="360" w:lineRule="auto"/>
        <w:jc w:val="both"/>
        <w:rPr>
          <w:rFonts w:eastAsia="Times New Roman" w:cs="Times New Roman"/>
        </w:rPr>
      </w:pPr>
    </w:p>
    <w:p w14:paraId="14D0C7D8" w14:textId="77777777" w:rsidR="000E2474" w:rsidRPr="00B834A2" w:rsidRDefault="0055537C" w:rsidP="00B834A2">
      <w:pPr>
        <w:spacing w:after="160" w:line="360" w:lineRule="auto"/>
        <w:jc w:val="both"/>
        <w:rPr>
          <w:rFonts w:eastAsia="Times New Roman" w:cs="Times New Roman"/>
        </w:rPr>
      </w:pPr>
      <w:r w:rsidRPr="00B834A2">
        <w:br w:type="page"/>
      </w:r>
    </w:p>
    <w:p w14:paraId="288F6F87" w14:textId="77777777" w:rsidR="000E2474" w:rsidRPr="00B834A2" w:rsidRDefault="0055537C" w:rsidP="00B834A2">
      <w:pPr>
        <w:spacing w:after="160" w:line="360" w:lineRule="auto"/>
        <w:jc w:val="center"/>
        <w:rPr>
          <w:rFonts w:cs="Times New Roman"/>
          <w:b/>
          <w:highlight w:val="yellow"/>
        </w:rPr>
      </w:pPr>
      <w:r w:rsidRPr="00B834A2">
        <w:rPr>
          <w:b/>
        </w:rPr>
        <w:lastRenderedPageBreak/>
        <w:t>2.1.2. ԱՆԱԼԻԶԻ ՖԻԶԻԿԱԿԱՆ ԵՎ ՖԻԶԻԿԱՔԻՄԻԱԿԱՆ ՄԵԹՈԴՆԵՐ</w:t>
      </w:r>
    </w:p>
    <w:p w14:paraId="21B66184" w14:textId="77777777" w:rsidR="000E2474" w:rsidRPr="00464EA4" w:rsidRDefault="0055537C" w:rsidP="00B834A2">
      <w:pPr>
        <w:spacing w:after="160" w:line="360" w:lineRule="auto"/>
        <w:jc w:val="right"/>
        <w:rPr>
          <w:b/>
          <w:color w:val="231F20"/>
          <w:sz w:val="20"/>
        </w:rPr>
      </w:pPr>
      <w:r w:rsidRPr="00464EA4">
        <w:rPr>
          <w:b/>
          <w:color w:val="231F20"/>
          <w:sz w:val="20"/>
        </w:rPr>
        <w:t>201020044-2022</w:t>
      </w:r>
    </w:p>
    <w:p w14:paraId="6CC7C5C4" w14:textId="77777777" w:rsidR="00097504" w:rsidRPr="002E52D1" w:rsidRDefault="00097504" w:rsidP="00B834A2">
      <w:pPr>
        <w:spacing w:after="160" w:line="360" w:lineRule="auto"/>
        <w:jc w:val="right"/>
        <w:rPr>
          <w:rFonts w:eastAsia="Arial" w:cs="Times New Roman"/>
          <w:b/>
          <w:color w:val="231F20"/>
        </w:rPr>
      </w:pPr>
    </w:p>
    <w:p w14:paraId="46FACE9D" w14:textId="77777777" w:rsidR="000E2474" w:rsidRPr="00B834A2" w:rsidRDefault="0055537C" w:rsidP="00B834A2">
      <w:pPr>
        <w:tabs>
          <w:tab w:val="left" w:pos="1701"/>
        </w:tabs>
        <w:spacing w:after="160" w:line="360" w:lineRule="auto"/>
        <w:ind w:firstLine="567"/>
        <w:jc w:val="both"/>
        <w:rPr>
          <w:rFonts w:eastAsia="Times New Roman" w:cs="Times New Roman"/>
          <w:b/>
          <w:color w:val="231F20"/>
        </w:rPr>
      </w:pPr>
      <w:r w:rsidRPr="00B834A2">
        <w:rPr>
          <w:b/>
          <w:color w:val="231F20"/>
        </w:rPr>
        <w:t>2.1.2.44.</w:t>
      </w:r>
      <w:r w:rsidR="00B834A2">
        <w:rPr>
          <w:b/>
          <w:color w:val="231F20"/>
        </w:rPr>
        <w:tab/>
      </w:r>
      <w:r w:rsidRPr="00B834A2">
        <w:rPr>
          <w:b/>
          <w:color w:val="231F20"/>
        </w:rPr>
        <w:t>Կաթիլի արտանկման ջերմաստիճանը</w:t>
      </w:r>
    </w:p>
    <w:p w14:paraId="1ED531C8" w14:textId="77777777" w:rsidR="000E2474" w:rsidRPr="00B834A2" w:rsidRDefault="0055537C" w:rsidP="00B834A2">
      <w:pPr>
        <w:spacing w:after="160" w:line="360" w:lineRule="auto"/>
        <w:ind w:right="-8" w:firstLine="567"/>
        <w:jc w:val="both"/>
        <w:rPr>
          <w:rFonts w:eastAsia="Times New Roman" w:cs="Times New Roman"/>
        </w:rPr>
      </w:pPr>
      <w:r w:rsidRPr="00B834A2">
        <w:rPr>
          <w:color w:val="231F20"/>
        </w:rPr>
        <w:t>Կաթիլի արտանկման ջերմաստիճանը այն ջերմաստիճանն է, որի դեպքում ստոր</w:t>
      </w:r>
      <w:r w:rsidR="00B834A2">
        <w:rPr>
          <w:color w:val="231F20"/>
        </w:rPr>
        <w:t>եւ</w:t>
      </w:r>
      <w:r w:rsidRPr="00B834A2">
        <w:rPr>
          <w:color w:val="231F20"/>
        </w:rPr>
        <w:t xml:space="preserve"> բերված պայմաններում հալված փորձարկվող նմուշի առաջին կաթիլն ընկնում է գավաթից։</w:t>
      </w:r>
    </w:p>
    <w:p w14:paraId="73E389D7" w14:textId="77777777" w:rsidR="000E2474" w:rsidRPr="00B834A2" w:rsidRDefault="0055537C" w:rsidP="00B834A2">
      <w:pPr>
        <w:spacing w:after="160" w:line="360" w:lineRule="auto"/>
        <w:ind w:right="-8" w:firstLine="567"/>
        <w:jc w:val="both"/>
        <w:rPr>
          <w:rFonts w:eastAsia="Times New Roman" w:cs="Times New Roman"/>
          <w:color w:val="231F20"/>
        </w:rPr>
      </w:pPr>
      <w:r w:rsidRPr="00B834A2">
        <w:rPr>
          <w:color w:val="231F20"/>
        </w:rPr>
        <w:t>Կաթիլի արտանկման ջերմաստիճանի որոշումը կատարվում է այն</w:t>
      </w:r>
      <w:r w:rsidR="00664E88" w:rsidRPr="00B834A2">
        <w:rPr>
          <w:color w:val="231F20"/>
        </w:rPr>
        <w:t>պիս</w:t>
      </w:r>
      <w:r w:rsidR="001F71A3" w:rsidRPr="00B834A2">
        <w:rPr>
          <w:color w:val="231F20"/>
        </w:rPr>
        <w:t>ի</w:t>
      </w:r>
      <w:r w:rsidRPr="00B834A2">
        <w:rPr>
          <w:color w:val="231F20"/>
        </w:rPr>
        <w:t xml:space="preserve"> նմուշների համար, </w:t>
      </w:r>
      <w:r w:rsidR="001F71A3" w:rsidRPr="00B834A2">
        <w:rPr>
          <w:color w:val="231F20"/>
        </w:rPr>
        <w:t>ինչպիսիք են ճարպերը, մոմը, պարաֆինը, վազելինը, խեժը</w:t>
      </w:r>
      <w:r w:rsidR="00B77278" w:rsidRPr="00B834A2">
        <w:rPr>
          <w:color w:val="231F20"/>
        </w:rPr>
        <w:t>,</w:t>
      </w:r>
      <w:r w:rsidR="001F71A3" w:rsidRPr="00B834A2">
        <w:rPr>
          <w:color w:val="231F20"/>
        </w:rPr>
        <w:t xml:space="preserve"> </w:t>
      </w:r>
      <w:r w:rsidRPr="00B834A2">
        <w:rPr>
          <w:color w:val="231F20"/>
        </w:rPr>
        <w:t xml:space="preserve">որոնք տրորելու դեպքում փոշի չեն դառնում </w:t>
      </w:r>
      <w:r w:rsidR="00B834A2">
        <w:rPr>
          <w:color w:val="231F20"/>
        </w:rPr>
        <w:t>եւ</w:t>
      </w:r>
      <w:r w:rsidRPr="00B834A2">
        <w:rPr>
          <w:color w:val="231F20"/>
        </w:rPr>
        <w:t xml:space="preserve"> հալվում են ջրի եռման ջերմաստիճանից ավելի ցածր ջերմաստիճանի դեպքում։</w:t>
      </w:r>
    </w:p>
    <w:p w14:paraId="7B2BE22E" w14:textId="77777777" w:rsidR="000E2474" w:rsidRPr="00B834A2" w:rsidRDefault="0055537C" w:rsidP="00B834A2">
      <w:pPr>
        <w:spacing w:after="160" w:line="360" w:lineRule="auto"/>
        <w:ind w:right="-8" w:firstLine="567"/>
        <w:jc w:val="both"/>
        <w:rPr>
          <w:rFonts w:eastAsia="Times New Roman" w:cs="Times New Roman"/>
          <w:color w:val="231F20"/>
        </w:rPr>
      </w:pPr>
      <w:r w:rsidRPr="00B834A2">
        <w:rPr>
          <w:color w:val="231F20"/>
          <w:spacing w:val="-4"/>
        </w:rPr>
        <w:t xml:space="preserve">Մասնավոր դեղագրքային հոդվածում </w:t>
      </w:r>
      <w:r w:rsidR="00B834A2" w:rsidRPr="00B834A2">
        <w:rPr>
          <w:color w:val="231F20"/>
          <w:spacing w:val="-4"/>
        </w:rPr>
        <w:t>եւ</w:t>
      </w:r>
      <w:r w:rsidRPr="00B834A2">
        <w:rPr>
          <w:color w:val="231F20"/>
          <w:spacing w:val="-4"/>
        </w:rPr>
        <w:t xml:space="preserve"> (կամ) որակի վերաբերյալ նորմատիվ փաստաթղթում այլ ցուցումների բացակայության դեպքում կիրառվում է մեթո</w:t>
      </w:r>
      <w:r w:rsidRPr="00B834A2">
        <w:rPr>
          <w:color w:val="231F20"/>
        </w:rPr>
        <w:t>դ</w:t>
      </w:r>
      <w:r w:rsidR="00D16583">
        <w:rPr>
          <w:color w:val="231F20"/>
        </w:rPr>
        <w:t xml:space="preserve"> I</w:t>
      </w:r>
      <w:r w:rsidR="00B834A2">
        <w:rPr>
          <w:color w:val="231F20"/>
        </w:rPr>
        <w:t>-</w:t>
      </w:r>
      <w:r w:rsidRPr="00B834A2">
        <w:rPr>
          <w:color w:val="231F20"/>
        </w:rPr>
        <w:t>ը։ Մեթոդ I</w:t>
      </w:r>
      <w:r w:rsidR="00B834A2">
        <w:rPr>
          <w:color w:val="231F20"/>
        </w:rPr>
        <w:t>-</w:t>
      </w:r>
      <w:r w:rsidRPr="00B834A2">
        <w:rPr>
          <w:color w:val="231F20"/>
        </w:rPr>
        <w:t>ի փոխարինումը մեթոդ II</w:t>
      </w:r>
      <w:r w:rsidR="00B834A2">
        <w:rPr>
          <w:color w:val="231F20"/>
        </w:rPr>
        <w:t>-</w:t>
      </w:r>
      <w:r w:rsidRPr="00B834A2">
        <w:rPr>
          <w:color w:val="231F20"/>
        </w:rPr>
        <w:t>ով պետք է հաստատվի վալիդացման տվյալներով։</w:t>
      </w:r>
    </w:p>
    <w:p w14:paraId="5D910043" w14:textId="77777777" w:rsidR="000E2474" w:rsidRPr="00B834A2" w:rsidRDefault="000E2474" w:rsidP="00B834A2">
      <w:pPr>
        <w:spacing w:after="160" w:line="360" w:lineRule="auto"/>
        <w:ind w:right="-8" w:firstLine="567"/>
        <w:jc w:val="both"/>
        <w:rPr>
          <w:rFonts w:eastAsia="Times New Roman" w:cs="Times New Roman"/>
          <w:color w:val="231F20"/>
        </w:rPr>
      </w:pPr>
    </w:p>
    <w:p w14:paraId="1EC3E66E" w14:textId="77777777" w:rsidR="000E2474" w:rsidRPr="00C41622" w:rsidRDefault="0055537C" w:rsidP="00B834A2">
      <w:pPr>
        <w:spacing w:after="160" w:line="360" w:lineRule="auto"/>
        <w:ind w:right="-8" w:firstLine="567"/>
        <w:jc w:val="both"/>
        <w:rPr>
          <w:i/>
          <w:color w:val="231F20"/>
        </w:rPr>
      </w:pPr>
      <w:r w:rsidRPr="00464EA4">
        <w:rPr>
          <w:i/>
          <w:color w:val="231F20"/>
        </w:rPr>
        <w:t>ՄԵԹՈԴ I</w:t>
      </w:r>
    </w:p>
    <w:p w14:paraId="5C6BC680" w14:textId="77777777" w:rsidR="000E2474" w:rsidRPr="00B834A2" w:rsidRDefault="0055537C" w:rsidP="00B834A2">
      <w:pPr>
        <w:spacing w:after="160" w:line="360" w:lineRule="auto"/>
        <w:ind w:right="-8" w:firstLine="567"/>
        <w:jc w:val="both"/>
        <w:rPr>
          <w:rFonts w:eastAsia="Times New Roman" w:cs="Times New Roman"/>
        </w:rPr>
      </w:pPr>
      <w:r w:rsidRPr="00B834A2">
        <w:rPr>
          <w:b/>
        </w:rPr>
        <w:t>Սարքը։</w:t>
      </w:r>
      <w:r w:rsidRPr="00B834A2">
        <w:rPr>
          <w:color w:val="231F20"/>
        </w:rPr>
        <w:t xml:space="preserve"> Փորձարկումը կատարելու համար օգտագործում են 2.1.2.44.-1 նկարում ներկայացված սարքը։ Սարքը բաղկացած է երկու մետաղական պարկուճներից (</w:t>
      </w:r>
      <w:r w:rsidRPr="00B834A2">
        <w:rPr>
          <w:i/>
          <w:color w:val="231F20"/>
        </w:rPr>
        <w:t>Ա</w:t>
      </w:r>
      <w:r w:rsidRPr="00B834A2">
        <w:rPr>
          <w:color w:val="231F20"/>
        </w:rPr>
        <w:t xml:space="preserve"> </w:t>
      </w:r>
      <w:r w:rsidR="00B834A2">
        <w:rPr>
          <w:color w:val="231F20"/>
        </w:rPr>
        <w:t>եւ</w:t>
      </w:r>
      <w:r w:rsidRPr="00B834A2">
        <w:rPr>
          <w:color w:val="231F20"/>
        </w:rPr>
        <w:t xml:space="preserve"> </w:t>
      </w:r>
      <w:r w:rsidRPr="00B834A2">
        <w:rPr>
          <w:i/>
          <w:color w:val="231F20"/>
        </w:rPr>
        <w:t>Բ</w:t>
      </w:r>
      <w:r w:rsidRPr="00B834A2">
        <w:rPr>
          <w:color w:val="231F20"/>
        </w:rPr>
        <w:t xml:space="preserve">), որոնք միացված են մեկը մյուսին պարուրակի միջոցով։ </w:t>
      </w:r>
      <w:r w:rsidRPr="00B834A2">
        <w:rPr>
          <w:i/>
          <w:color w:val="231F20"/>
        </w:rPr>
        <w:t>Ա</w:t>
      </w:r>
      <w:r w:rsidR="00B834A2">
        <w:rPr>
          <w:color w:val="231F20"/>
        </w:rPr>
        <w:t> </w:t>
      </w:r>
      <w:r w:rsidRPr="00B834A2">
        <w:rPr>
          <w:color w:val="231F20"/>
        </w:rPr>
        <w:t xml:space="preserve">պարկուճը ամրացված է սնդիկային ջերմաչափին։ </w:t>
      </w:r>
      <w:r w:rsidRPr="00B834A2">
        <w:rPr>
          <w:i/>
          <w:color w:val="231F20"/>
        </w:rPr>
        <w:t>Բ</w:t>
      </w:r>
      <w:r w:rsidRPr="00B834A2">
        <w:rPr>
          <w:color w:val="231F20"/>
        </w:rPr>
        <w:t xml:space="preserve"> պարկուճի ստորին մասում երկու խտարարների (</w:t>
      </w:r>
      <w:r w:rsidRPr="00B834A2">
        <w:rPr>
          <w:i/>
          <w:color w:val="231F20"/>
        </w:rPr>
        <w:t xml:space="preserve">Ե) </w:t>
      </w:r>
      <w:r w:rsidRPr="00B834A2">
        <w:rPr>
          <w:color w:val="231F20"/>
        </w:rPr>
        <w:t>միջոցով ազատ ամրացված է մետաղյա գավաթը (</w:t>
      </w:r>
      <w:r w:rsidRPr="00B834A2">
        <w:rPr>
          <w:i/>
          <w:color w:val="231F20"/>
        </w:rPr>
        <w:t>Զ)</w:t>
      </w:r>
      <w:r w:rsidRPr="00B834A2">
        <w:rPr>
          <w:color w:val="231F20"/>
        </w:rPr>
        <w:t>։</w:t>
      </w:r>
      <w:r w:rsidRPr="00B834A2">
        <w:t xml:space="preserve"> </w:t>
      </w:r>
    </w:p>
    <w:p w14:paraId="2DAB13B6" w14:textId="77777777" w:rsidR="000E2474" w:rsidRPr="00B834A2" w:rsidRDefault="00CE37BA" w:rsidP="00B834A2">
      <w:pPr>
        <w:spacing w:after="160" w:line="360" w:lineRule="auto"/>
        <w:jc w:val="center"/>
        <w:rPr>
          <w:rFonts w:eastAsia="Times New Roman" w:cs="Times New Roman"/>
        </w:rPr>
      </w:pPr>
      <w:r w:rsidRPr="00B834A2">
        <w:rPr>
          <w:rFonts w:eastAsia="Times New Roman" w:cs="Times New Roman"/>
          <w:noProof/>
          <w:lang w:val="en-US" w:eastAsia="en-US" w:bidi="ar-SA"/>
        </w:rPr>
        <w:lastRenderedPageBreak/>
        <w:drawing>
          <wp:inline distT="0" distB="0" distL="0" distR="0" wp14:anchorId="16B7236A" wp14:editId="0AD65754">
            <wp:extent cx="3083348" cy="3816626"/>
            <wp:effectExtent l="19050" t="0" r="2752"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srcRect/>
                    <a:stretch>
                      <a:fillRect/>
                    </a:stretch>
                  </pic:blipFill>
                  <pic:spPr bwMode="auto">
                    <a:xfrm>
                      <a:off x="0" y="0"/>
                      <a:ext cx="3085339" cy="3819091"/>
                    </a:xfrm>
                    <a:prstGeom prst="rect">
                      <a:avLst/>
                    </a:prstGeom>
                    <a:noFill/>
                    <a:ln w="9525">
                      <a:noFill/>
                      <a:miter lim="800000"/>
                      <a:headEnd/>
                      <a:tailEnd/>
                    </a:ln>
                  </pic:spPr>
                </pic:pic>
              </a:graphicData>
            </a:graphic>
          </wp:inline>
        </w:drawing>
      </w:r>
    </w:p>
    <w:p w14:paraId="17200696" w14:textId="77777777" w:rsidR="000E2474" w:rsidRPr="00B834A2" w:rsidRDefault="0055537C" w:rsidP="00DE4F37">
      <w:pPr>
        <w:spacing w:after="160" w:line="360" w:lineRule="auto"/>
        <w:ind w:right="54"/>
        <w:jc w:val="center"/>
        <w:rPr>
          <w:rFonts w:eastAsia="Times New Roman" w:cs="Times New Roman"/>
          <w:i/>
          <w:sz w:val="20"/>
        </w:rPr>
      </w:pPr>
      <w:r w:rsidRPr="00B834A2">
        <w:rPr>
          <w:color w:val="231F20"/>
          <w:sz w:val="20"/>
        </w:rPr>
        <w:t xml:space="preserve">Նկար 2.1.2.44.-1. </w:t>
      </w:r>
      <w:r w:rsidR="009217DE">
        <w:rPr>
          <w:i/>
          <w:color w:val="231F20"/>
          <w:sz w:val="20"/>
        </w:rPr>
        <w:t>-</w:t>
      </w:r>
      <w:r w:rsidRPr="00B834A2">
        <w:rPr>
          <w:i/>
          <w:color w:val="231F20"/>
          <w:sz w:val="20"/>
        </w:rPr>
        <w:t xml:space="preserve"> Կաթիլի արտանկման ջերմաստիճանը որոշելու սարք։ Չափերը նշված են միլիմետրերով։ Ա՝ վերին մետաղական պարկուճ. Բ՝ ստորին մետաղական պարկուճ. Գ՝ ճնշումը հավասարակշռելու համար անցք. Դ՝ ս</w:t>
      </w:r>
      <w:r w:rsidR="00B834A2" w:rsidRPr="00B834A2">
        <w:rPr>
          <w:i/>
          <w:color w:val="231F20"/>
          <w:sz w:val="20"/>
        </w:rPr>
        <w:t>եւ</w:t>
      </w:r>
      <w:r w:rsidRPr="00B834A2">
        <w:rPr>
          <w:i/>
          <w:color w:val="231F20"/>
          <w:sz w:val="20"/>
        </w:rPr>
        <w:t>եռիչներ. Ե՝ խտարարներ.</w:t>
      </w:r>
      <w:r w:rsidRPr="00B834A2">
        <w:rPr>
          <w:i/>
          <w:sz w:val="20"/>
        </w:rPr>
        <w:t xml:space="preserve"> Զ՝ մետաղյա գավաթ</w:t>
      </w:r>
    </w:p>
    <w:p w14:paraId="42A95753" w14:textId="77777777" w:rsidR="000E2474" w:rsidRPr="00B834A2" w:rsidRDefault="000E2474" w:rsidP="00B834A2">
      <w:pPr>
        <w:spacing w:after="160" w:line="360" w:lineRule="auto"/>
        <w:jc w:val="both"/>
        <w:rPr>
          <w:rFonts w:eastAsia="Times New Roman" w:cs="Times New Roman"/>
        </w:rPr>
      </w:pPr>
    </w:p>
    <w:p w14:paraId="7587D2C8" w14:textId="77777777" w:rsidR="000E2474" w:rsidRPr="00B834A2" w:rsidRDefault="0055537C" w:rsidP="00B834A2">
      <w:pPr>
        <w:spacing w:after="160" w:line="360" w:lineRule="auto"/>
        <w:ind w:firstLine="567"/>
        <w:jc w:val="both"/>
        <w:rPr>
          <w:rFonts w:cs="Times New Roman"/>
        </w:rPr>
      </w:pPr>
      <w:r w:rsidRPr="00B834A2">
        <w:t>Գավաթի ճշգրիտ դիրքը որոշվում է 2 մմ երկարությամբ Դ ս</w:t>
      </w:r>
      <w:r w:rsidR="00B834A2">
        <w:t>եւ</w:t>
      </w:r>
      <w:r w:rsidRPr="00B834A2">
        <w:t>եռիչներով, որոնք նա</w:t>
      </w:r>
      <w:r w:rsidR="00B834A2">
        <w:t>եւ</w:t>
      </w:r>
      <w:r w:rsidRPr="00B834A2">
        <w:t xml:space="preserve"> օգտագործվում են ջերմաչափի կենտրոնարկման համար։ </w:t>
      </w:r>
      <w:r w:rsidRPr="00B834A2">
        <w:rPr>
          <w:i/>
        </w:rPr>
        <w:t xml:space="preserve">Գ </w:t>
      </w:r>
      <w:r w:rsidRPr="00B834A2">
        <w:t>անցքը</w:t>
      </w:r>
      <w:r w:rsidRPr="00B834A2">
        <w:rPr>
          <w:i/>
        </w:rPr>
        <w:t xml:space="preserve"> Բ </w:t>
      </w:r>
      <w:r w:rsidRPr="00B834A2">
        <w:t>պարկուճի պատում նախատեսված է ճնշումը հավասարեցնելու համար։ Գավաթի արտուղման մակերեսը պետք է լինի հարթ, իսկ ելքային անցքի եզրերը՝ մակերեսի նկատմամբ ուղիղ անկյան տակ։ Սնդիկային ջերմաչափի ստորին մաս</w:t>
      </w:r>
      <w:r w:rsidR="003559BC" w:rsidRPr="00B834A2">
        <w:t>ն</w:t>
      </w:r>
      <w:r w:rsidRPr="00B834A2">
        <w:t xml:space="preserve"> ունի ձ</w:t>
      </w:r>
      <w:r w:rsidR="00B834A2">
        <w:t>եւ</w:t>
      </w:r>
      <w:r w:rsidRPr="00B834A2">
        <w:t xml:space="preserve"> </w:t>
      </w:r>
      <w:r w:rsidR="00B834A2">
        <w:t>եւ</w:t>
      </w:r>
      <w:r w:rsidRPr="00B834A2">
        <w:t xml:space="preserve"> չափ,</w:t>
      </w:r>
      <w:r w:rsidR="007D79B2" w:rsidRPr="00B834A2">
        <w:t xml:space="preserve"> </w:t>
      </w:r>
      <w:r w:rsidRPr="00B834A2">
        <w:t>ինչպես պատկերված է 2.1.2.44.-1 նկարում. ջերմաչափի չափման սահմաններն են 0 °С</w:t>
      </w:r>
      <w:r w:rsidR="007B55AD">
        <w:t>-</w:t>
      </w:r>
      <w:r w:rsidRPr="00B834A2">
        <w:t>ից մինչ</w:t>
      </w:r>
      <w:r w:rsidR="00B834A2">
        <w:t>եւ</w:t>
      </w:r>
      <w:r w:rsidRPr="00B834A2">
        <w:t xml:space="preserve"> 110 °С, սանդղակի վրա 1 մմ հեռավորությունը համապատասխանում է ջերմաստիճանների 1 °С տարբերությանը։ Ջերմաչափի գնդիկն ունի</w:t>
      </w:r>
      <w:r w:rsidR="00A859E3">
        <w:t xml:space="preserve"> (3,5±</w:t>
      </w:r>
      <w:r w:rsidRPr="00B834A2">
        <w:t xml:space="preserve">0,2) մմ տրամագիծ </w:t>
      </w:r>
      <w:r w:rsidR="00B834A2">
        <w:t>եւ</w:t>
      </w:r>
      <w:r w:rsidR="00A859E3">
        <w:t xml:space="preserve"> (6,0±</w:t>
      </w:r>
      <w:r w:rsidRPr="00B834A2">
        <w:t>0,3) մմ բարձրություն։</w:t>
      </w:r>
    </w:p>
    <w:p w14:paraId="76AE355E" w14:textId="77777777" w:rsidR="000E2474" w:rsidRPr="00B834A2" w:rsidRDefault="0055537C" w:rsidP="00B834A2">
      <w:pPr>
        <w:spacing w:after="160" w:line="360" w:lineRule="auto"/>
        <w:ind w:firstLine="567"/>
        <w:jc w:val="both"/>
        <w:rPr>
          <w:rFonts w:cs="Times New Roman"/>
        </w:rPr>
      </w:pPr>
      <w:r w:rsidRPr="00B834A2">
        <w:t xml:space="preserve">Սարքը տեղադրում են մոտ 200 մմ երկարությամբ </w:t>
      </w:r>
      <w:r w:rsidR="00B834A2">
        <w:t>եւ</w:t>
      </w:r>
      <w:r w:rsidRPr="00B834A2">
        <w:t xml:space="preserve"> մոտ 40 մմ արտաքին տրամագծով փորձասրվակի առանցքով։</w:t>
      </w:r>
    </w:p>
    <w:p w14:paraId="14425AF3" w14:textId="77777777" w:rsidR="000E2474" w:rsidRPr="00B834A2" w:rsidRDefault="0055537C" w:rsidP="00B834A2">
      <w:pPr>
        <w:spacing w:after="160" w:line="360" w:lineRule="auto"/>
        <w:ind w:firstLine="567"/>
        <w:jc w:val="both"/>
        <w:rPr>
          <w:rFonts w:cs="Times New Roman"/>
        </w:rPr>
      </w:pPr>
      <w:r w:rsidRPr="00B834A2">
        <w:lastRenderedPageBreak/>
        <w:t xml:space="preserve">Սարքն ամրացնում են փորձասրվակին խցանի միջոցով, որի մեջ ներդրված է ջերմաչափ </w:t>
      </w:r>
      <w:r w:rsidR="00B834A2">
        <w:t>եւ</w:t>
      </w:r>
      <w:r w:rsidRPr="00B834A2">
        <w:t xml:space="preserve"> որն ունի կողային կտրվածք։ Գավաթի անցքը պետք է գտնվի փորձասրվակի հատակից մոտ 15 մմ հեռավորության վրա։ Ամբողջ սարքվածքն ընկղմում են ջրով լցված՝ մոտ 1 լ տարողությամբ բաժակի մեջ։ Փորձասրվակի հատակը պետք է գտնվի բաժակի հատակից մոտ 25 մմ հեռավորության վրա։ Ջրի մակարդակը պետք է հասնի </w:t>
      </w:r>
      <w:r w:rsidRPr="00B834A2">
        <w:rPr>
          <w:i/>
        </w:rPr>
        <w:t>Ա</w:t>
      </w:r>
      <w:r w:rsidRPr="00B834A2">
        <w:t xml:space="preserve"> պարկուճի վերին մասին։ Բաժակում ջերմաստիճանի հավասարաչափ բաշխման համար օգտագործում են խառնիչ։</w:t>
      </w:r>
    </w:p>
    <w:p w14:paraId="50A7E33C" w14:textId="77777777" w:rsidR="000E2474" w:rsidRPr="00B834A2" w:rsidRDefault="0055537C" w:rsidP="00B834A2">
      <w:pPr>
        <w:spacing w:after="160" w:line="360" w:lineRule="auto"/>
        <w:ind w:firstLine="567"/>
        <w:jc w:val="both"/>
        <w:rPr>
          <w:rFonts w:cs="Times New Roman"/>
        </w:rPr>
      </w:pPr>
      <w:r w:rsidRPr="00B834A2">
        <w:rPr>
          <w:b/>
        </w:rPr>
        <w:t>Մեթոդիկան։</w:t>
      </w:r>
      <w:r w:rsidRPr="00B834A2">
        <w:t xml:space="preserve"> Փորձարկվող նմուշը նախապատրաստում են մասնավոր դեղագրքային հոդվածի </w:t>
      </w:r>
      <w:r w:rsidR="00B834A2">
        <w:t>եւ</w:t>
      </w:r>
      <w:r w:rsidRPr="00B834A2">
        <w:t xml:space="preserve"> (կամ) որակի վերաբերյալ նորմատիվ փաստաթղթի ցուցումներին համապատասխան։ Գավաթը մինչ</w:t>
      </w:r>
      <w:r w:rsidR="00B834A2">
        <w:t>եւ</w:t>
      </w:r>
      <w:r w:rsidRPr="00B834A2">
        <w:t xml:space="preserve"> եզրերը լցնում են փորձարկվող նմուշով։ Նմուշի ավելցուկը երկու կողմից հեռացնում են մածկաթիակով։</w:t>
      </w:r>
      <w:r w:rsidR="00FF2AC1" w:rsidRPr="00B834A2">
        <w:t xml:space="preserve"> </w:t>
      </w:r>
      <w:r w:rsidRPr="00B834A2">
        <w:rPr>
          <w:i/>
        </w:rPr>
        <w:t xml:space="preserve">Ա </w:t>
      </w:r>
      <w:r w:rsidR="00B834A2">
        <w:rPr>
          <w:i/>
        </w:rPr>
        <w:t>եւ</w:t>
      </w:r>
      <w:r w:rsidRPr="00B834A2">
        <w:rPr>
          <w:i/>
        </w:rPr>
        <w:t xml:space="preserve"> Բ</w:t>
      </w:r>
      <w:r w:rsidRPr="00B834A2">
        <w:t xml:space="preserve"> պարկուճները միացնելուց հետո գավաթը մինչ</w:t>
      </w:r>
      <w:r w:rsidR="00B834A2">
        <w:t>եւ</w:t>
      </w:r>
      <w:r w:rsidRPr="00B834A2">
        <w:t xml:space="preserve"> վերջ ներս են հրում իր տեղը </w:t>
      </w:r>
      <w:r w:rsidRPr="00B834A2">
        <w:rPr>
          <w:i/>
        </w:rPr>
        <w:t xml:space="preserve">Բ </w:t>
      </w:r>
      <w:r w:rsidRPr="00B834A2">
        <w:t>պարկուճում։ Ջերմաչափով արտաճզմված նմուշը հեռացնում են մածկաթիակով։ Սարքը տեղադրում են ջրային բաղնիքի մեջ, ինչպես վերը նկարագրված է։ Ջրային բաղնիքը տաքացնում են մինչ</w:t>
      </w:r>
      <w:r w:rsidR="00B834A2">
        <w:t>եւ</w:t>
      </w:r>
      <w:r w:rsidRPr="00B834A2">
        <w:t xml:space="preserve"> կաթիլի արտանկման ենթադրյալ ջերմաստիճանից մոտ 10 °С-ով ցածր ջերմաստիճան </w:t>
      </w:r>
      <w:r w:rsidR="00B834A2">
        <w:t>եւ</w:t>
      </w:r>
      <w:r w:rsidRPr="00B834A2">
        <w:t xml:space="preserve"> սահմանում են մոտ 1°С/ր տաքացման արագություն: Նշում են առաջին կաթիլի արտանկման ջերմաստիճանը։ Կատարում են առնվազն երեք որոշում, ամեն անգամ՝ նոր նմուշով։ Ցուցանիշների միջ</w:t>
      </w:r>
      <w:r w:rsidR="00B834A2">
        <w:t>եւ</w:t>
      </w:r>
      <w:r w:rsidRPr="00B834A2">
        <w:t xml:space="preserve"> տարբերությունը չպետք է գերազանցի 3 °С</w:t>
      </w:r>
      <w:r w:rsidR="003559BC" w:rsidRPr="00B834A2">
        <w:t>-ը</w:t>
      </w:r>
      <w:r w:rsidRPr="00B834A2">
        <w:t>։ Որպես կաթիլի արտանկման ջերմաստիճան</w:t>
      </w:r>
      <w:r w:rsidR="003559BC" w:rsidRPr="00B834A2">
        <w:t>՝</w:t>
      </w:r>
      <w:r w:rsidRPr="00B834A2">
        <w:t xml:space="preserve"> ընդունում են երեք չափումների միջին արժեքը։</w:t>
      </w:r>
    </w:p>
    <w:p w14:paraId="53C54F29" w14:textId="77777777" w:rsidR="003F7CCA" w:rsidRDefault="003F7CCA">
      <w:pPr>
        <w:rPr>
          <w:rFonts w:cs="Times New Roman"/>
        </w:rPr>
      </w:pPr>
      <w:r>
        <w:rPr>
          <w:rFonts w:cs="Times New Roman"/>
        </w:rPr>
        <w:br w:type="page"/>
      </w:r>
    </w:p>
    <w:p w14:paraId="537AB3FB" w14:textId="77777777" w:rsidR="000E2474" w:rsidRPr="00B834A2" w:rsidRDefault="0055537C" w:rsidP="00B834A2">
      <w:pPr>
        <w:spacing w:after="160" w:line="360" w:lineRule="auto"/>
        <w:ind w:firstLine="567"/>
        <w:jc w:val="both"/>
        <w:rPr>
          <w:rFonts w:cs="Times New Roman"/>
          <w:i/>
        </w:rPr>
      </w:pPr>
      <w:r w:rsidRPr="00B834A2">
        <w:rPr>
          <w:i/>
        </w:rPr>
        <w:lastRenderedPageBreak/>
        <w:t xml:space="preserve">ՄԵԹՈԴ </w:t>
      </w:r>
      <w:r w:rsidR="00FF2AC1" w:rsidRPr="00B834A2">
        <w:rPr>
          <w:i/>
          <w:lang w:val="en-GB"/>
        </w:rPr>
        <w:t>II</w:t>
      </w:r>
      <w:r w:rsidRPr="00B834A2">
        <w:rPr>
          <w:i/>
        </w:rPr>
        <w:t>՝ ԱՎՏՈՄԱՏ ՄԵԹՈԴ</w:t>
      </w:r>
    </w:p>
    <w:tbl>
      <w:tblPr>
        <w:tblW w:w="9322" w:type="dxa"/>
        <w:tblLook w:val="04A0" w:firstRow="1" w:lastRow="0" w:firstColumn="1" w:lastColumn="0" w:noHBand="0" w:noVBand="1"/>
      </w:tblPr>
      <w:tblGrid>
        <w:gridCol w:w="4398"/>
        <w:gridCol w:w="4924"/>
      </w:tblGrid>
      <w:tr w:rsidR="000E2474" w:rsidRPr="00B834A2" w14:paraId="497F44E6" w14:textId="77777777" w:rsidTr="000E2474">
        <w:tc>
          <w:tcPr>
            <w:tcW w:w="4398" w:type="dxa"/>
          </w:tcPr>
          <w:p w14:paraId="25578717" w14:textId="77777777" w:rsidR="000E2474" w:rsidRPr="00B834A2" w:rsidRDefault="00CE37BA" w:rsidP="00B834A2">
            <w:pPr>
              <w:spacing w:after="160" w:line="360" w:lineRule="auto"/>
              <w:jc w:val="both"/>
              <w:rPr>
                <w:rFonts w:cs="Times New Roman"/>
              </w:rPr>
            </w:pPr>
            <w:r w:rsidRPr="00B834A2">
              <w:rPr>
                <w:rFonts w:cs="Times New Roman"/>
                <w:noProof/>
                <w:lang w:val="en-US" w:eastAsia="en-US" w:bidi="ar-SA"/>
              </w:rPr>
              <w:drawing>
                <wp:inline distT="0" distB="0" distL="0" distR="0" wp14:anchorId="5BE0DF5F" wp14:editId="5CE61FA5">
                  <wp:extent cx="2636520" cy="2997200"/>
                  <wp:effectExtent l="19050" t="0" r="0" b="0"/>
                  <wp:docPr id="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cstate="print"/>
                          <a:srcRect/>
                          <a:stretch>
                            <a:fillRect/>
                          </a:stretch>
                        </pic:blipFill>
                        <pic:spPr bwMode="auto">
                          <a:xfrm>
                            <a:off x="0" y="0"/>
                            <a:ext cx="2636520" cy="2997200"/>
                          </a:xfrm>
                          <a:prstGeom prst="rect">
                            <a:avLst/>
                          </a:prstGeom>
                          <a:noFill/>
                          <a:ln w="9525">
                            <a:noFill/>
                            <a:miter lim="800000"/>
                            <a:headEnd/>
                            <a:tailEnd/>
                          </a:ln>
                        </pic:spPr>
                      </pic:pic>
                    </a:graphicData>
                  </a:graphic>
                </wp:inline>
              </w:drawing>
            </w:r>
          </w:p>
        </w:tc>
        <w:tc>
          <w:tcPr>
            <w:tcW w:w="4924" w:type="dxa"/>
          </w:tcPr>
          <w:p w14:paraId="29E64E34" w14:textId="77777777" w:rsidR="000E2474" w:rsidRPr="003F7CCA" w:rsidRDefault="0055537C" w:rsidP="00B834A2">
            <w:pPr>
              <w:spacing w:after="160" w:line="360" w:lineRule="auto"/>
              <w:jc w:val="both"/>
              <w:rPr>
                <w:rFonts w:cs="Times New Roman"/>
                <w:i/>
                <w:sz w:val="20"/>
              </w:rPr>
            </w:pPr>
            <w:r w:rsidRPr="003F7CCA">
              <w:rPr>
                <w:sz w:val="20"/>
              </w:rPr>
              <w:t xml:space="preserve">Նկար 2.1.2.44.-2. </w:t>
            </w:r>
            <w:r w:rsidR="009217DE">
              <w:rPr>
                <w:i/>
                <w:sz w:val="20"/>
              </w:rPr>
              <w:t>-</w:t>
            </w:r>
            <w:r w:rsidRPr="003F7CCA">
              <w:rPr>
                <w:i/>
                <w:sz w:val="20"/>
              </w:rPr>
              <w:t xml:space="preserve"> Կաթիլի արտանկման ջերմաստիճանի ավտոմատ որոշման սարքի օրինակ։ </w:t>
            </w:r>
          </w:p>
          <w:p w14:paraId="0352FA5C"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Ա՝</w:t>
            </w:r>
            <w:r w:rsidR="00A859E3" w:rsidRPr="006B7DC5">
              <w:rPr>
                <w:i/>
                <w:sz w:val="20"/>
              </w:rPr>
              <w:tab/>
            </w:r>
            <w:r w:rsidRPr="003F7CCA">
              <w:rPr>
                <w:i/>
                <w:sz w:val="20"/>
              </w:rPr>
              <w:t xml:space="preserve">գավաթի բռնիչ. </w:t>
            </w:r>
          </w:p>
          <w:p w14:paraId="215B4A41"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Բ՝</w:t>
            </w:r>
            <w:r w:rsidR="00A859E3" w:rsidRPr="00A859E3">
              <w:rPr>
                <w:i/>
                <w:sz w:val="20"/>
              </w:rPr>
              <w:tab/>
            </w:r>
            <w:r w:rsidRPr="003F7CCA">
              <w:rPr>
                <w:i/>
                <w:sz w:val="20"/>
              </w:rPr>
              <w:t xml:space="preserve">տաքացման բլոկ. </w:t>
            </w:r>
          </w:p>
          <w:p w14:paraId="463C673F"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Գ՝</w:t>
            </w:r>
            <w:r w:rsidR="00A859E3" w:rsidRPr="00A859E3">
              <w:rPr>
                <w:i/>
                <w:sz w:val="20"/>
              </w:rPr>
              <w:tab/>
            </w:r>
            <w:r w:rsidRPr="003F7CCA">
              <w:rPr>
                <w:i/>
                <w:sz w:val="20"/>
              </w:rPr>
              <w:t xml:space="preserve">լույսի աղբյուր. </w:t>
            </w:r>
          </w:p>
          <w:p w14:paraId="1651BF3F"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Դ՝</w:t>
            </w:r>
            <w:r w:rsidR="00A859E3" w:rsidRPr="00A859E3">
              <w:rPr>
                <w:i/>
                <w:sz w:val="20"/>
              </w:rPr>
              <w:tab/>
            </w:r>
            <w:r w:rsidRPr="003F7CCA">
              <w:rPr>
                <w:i/>
                <w:sz w:val="20"/>
              </w:rPr>
              <w:t xml:space="preserve">ճեղք. </w:t>
            </w:r>
          </w:p>
          <w:p w14:paraId="592281D1"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Ե՝</w:t>
            </w:r>
            <w:r w:rsidR="00A859E3" w:rsidRPr="00A859E3">
              <w:rPr>
                <w:i/>
                <w:sz w:val="20"/>
              </w:rPr>
              <w:tab/>
            </w:r>
            <w:r w:rsidRPr="003F7CCA">
              <w:rPr>
                <w:i/>
                <w:sz w:val="20"/>
              </w:rPr>
              <w:t xml:space="preserve">հավաքովի քարթրիջ. </w:t>
            </w:r>
          </w:p>
          <w:p w14:paraId="1BDB1608"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Զ՝</w:t>
            </w:r>
            <w:r w:rsidR="00A859E3" w:rsidRPr="00A859E3">
              <w:rPr>
                <w:i/>
                <w:sz w:val="20"/>
              </w:rPr>
              <w:tab/>
            </w:r>
            <w:r w:rsidRPr="003F7CCA">
              <w:rPr>
                <w:i/>
                <w:sz w:val="20"/>
              </w:rPr>
              <w:t xml:space="preserve">տաքացնող տարր. </w:t>
            </w:r>
          </w:p>
          <w:p w14:paraId="3EE8E1FC"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Է՝</w:t>
            </w:r>
            <w:r w:rsidR="00A859E3" w:rsidRPr="00A859E3">
              <w:rPr>
                <w:i/>
                <w:sz w:val="20"/>
              </w:rPr>
              <w:tab/>
            </w:r>
            <w:r w:rsidRPr="003F7CCA">
              <w:rPr>
                <w:i/>
                <w:sz w:val="20"/>
              </w:rPr>
              <w:t xml:space="preserve">փորձարկվող նմուշով գավաթ. </w:t>
            </w:r>
          </w:p>
          <w:p w14:paraId="0732596A"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Ը՝</w:t>
            </w:r>
            <w:r w:rsidR="00A859E3" w:rsidRPr="00A859E3">
              <w:rPr>
                <w:i/>
                <w:sz w:val="20"/>
              </w:rPr>
              <w:tab/>
            </w:r>
            <w:r w:rsidRPr="003F7CCA">
              <w:rPr>
                <w:i/>
                <w:sz w:val="20"/>
              </w:rPr>
              <w:t xml:space="preserve">ֆոտոտվիչ. </w:t>
            </w:r>
          </w:p>
          <w:p w14:paraId="319CFB52" w14:textId="77777777" w:rsidR="000E2474" w:rsidRPr="003F7CCA" w:rsidRDefault="0055537C" w:rsidP="00A859E3">
            <w:pPr>
              <w:tabs>
                <w:tab w:val="left" w:pos="460"/>
              </w:tabs>
              <w:spacing w:after="160" w:line="360" w:lineRule="auto"/>
              <w:jc w:val="both"/>
              <w:rPr>
                <w:rFonts w:cs="Times New Roman"/>
                <w:i/>
                <w:sz w:val="20"/>
              </w:rPr>
            </w:pPr>
            <w:r w:rsidRPr="003F7CCA">
              <w:rPr>
                <w:i/>
                <w:sz w:val="20"/>
              </w:rPr>
              <w:t>Թ՝</w:t>
            </w:r>
            <w:r w:rsidR="00A859E3" w:rsidRPr="00A859E3">
              <w:rPr>
                <w:i/>
                <w:sz w:val="20"/>
              </w:rPr>
              <w:tab/>
            </w:r>
            <w:r w:rsidRPr="003F7CCA">
              <w:rPr>
                <w:i/>
                <w:sz w:val="20"/>
              </w:rPr>
              <w:t xml:space="preserve">ընդունիչ. </w:t>
            </w:r>
          </w:p>
          <w:p w14:paraId="6E623B06" w14:textId="77777777" w:rsidR="000E2474" w:rsidRPr="00B834A2" w:rsidRDefault="0055537C" w:rsidP="00A859E3">
            <w:pPr>
              <w:tabs>
                <w:tab w:val="left" w:pos="460"/>
              </w:tabs>
              <w:spacing w:after="160" w:line="360" w:lineRule="auto"/>
              <w:jc w:val="both"/>
              <w:rPr>
                <w:rFonts w:cs="Times New Roman"/>
              </w:rPr>
            </w:pPr>
            <w:r w:rsidRPr="003F7CCA">
              <w:rPr>
                <w:i/>
                <w:sz w:val="20"/>
              </w:rPr>
              <w:t>Ժ՝</w:t>
            </w:r>
            <w:r w:rsidR="00A859E3" w:rsidRPr="006B7DC5">
              <w:rPr>
                <w:i/>
                <w:sz w:val="20"/>
              </w:rPr>
              <w:tab/>
            </w:r>
            <w:r w:rsidRPr="003F7CCA">
              <w:rPr>
                <w:i/>
                <w:sz w:val="20"/>
              </w:rPr>
              <w:t>ջերմաստիճանի տվիչ</w:t>
            </w:r>
          </w:p>
        </w:tc>
      </w:tr>
    </w:tbl>
    <w:p w14:paraId="3282FECD" w14:textId="77777777" w:rsidR="003F7CCA" w:rsidRDefault="003F7CCA" w:rsidP="00B834A2">
      <w:pPr>
        <w:spacing w:after="160" w:line="360" w:lineRule="auto"/>
        <w:ind w:firstLine="567"/>
        <w:jc w:val="both"/>
        <w:rPr>
          <w:b/>
        </w:rPr>
      </w:pPr>
    </w:p>
    <w:p w14:paraId="6675D0BE" w14:textId="77777777" w:rsidR="000E2474" w:rsidRPr="00B834A2" w:rsidRDefault="0055537C" w:rsidP="00B834A2">
      <w:pPr>
        <w:spacing w:after="160" w:line="360" w:lineRule="auto"/>
        <w:ind w:firstLine="567"/>
        <w:jc w:val="both"/>
        <w:rPr>
          <w:rFonts w:cs="Times New Roman"/>
        </w:rPr>
      </w:pPr>
      <w:r w:rsidRPr="00B834A2">
        <w:rPr>
          <w:b/>
        </w:rPr>
        <w:t>Սարքը։</w:t>
      </w:r>
      <w:r w:rsidRPr="00B834A2">
        <w:t xml:space="preserve"> Փորձարկումը կատարելու համար օգտագործում են 2.1.2.44.-2 նկարում պատկերված սարքը, որը բաղկացած է հավաքովի քարթրիջից, որը ներառում է բռնիչ, որում ազատորեն ամրացվում է փորձարկվող նմուշով գավաթը, </w:t>
      </w:r>
      <w:r w:rsidR="00B834A2">
        <w:t>եւ</w:t>
      </w:r>
      <w:r w:rsidRPr="00B834A2">
        <w:t xml:space="preserve"> հորիզոնական լուսաճեղքով ընդունիչից, որն ամրացվում է գավաթի տակ։ Տվյալ քարթրիջը ներդնում են տաքացման բլոկի մեջ։ Բլոկը մետաղական գլան է՝ իր ուղղայահաց առանցքի երկայնքով գլանական ճեղքով, որի ներսում տեղադրում են հավաքովի քարթրիջը։ Բացի այդ</w:t>
      </w:r>
      <w:r w:rsidR="003559BC" w:rsidRPr="00B834A2">
        <w:t>՝</w:t>
      </w:r>
      <w:r w:rsidRPr="00B834A2">
        <w:t xml:space="preserve"> կա մեկ այլ, ավելի նեղ գլանական ուղղահայաց ճեղք, որի մեջ տեղադրում են ջերմաստիճանի տվիչը՝ փորձանմուշների համար գավաթի մակարդակի վրա։ Տաքացնող բլոկից դուրս զետեղվում է էլեկտրական տաքացնող տարրը։ Տաքացնող բլոկի տակ լամպը տեղադրում են այնպես, որ լույսի հոսքն անցնի ընդունիչի լուսաճեղքով </w:t>
      </w:r>
      <w:r w:rsidR="00B834A2">
        <w:t>եւ</w:t>
      </w:r>
      <w:r w:rsidRPr="00B834A2">
        <w:t xml:space="preserve"> ընկնի դիմացը տեղադրված ֆոտոտվիչի վրա։ Տաքացման բլոկը տաքացնող տարրի միջոցով ունակ է </w:t>
      </w:r>
      <w:r w:rsidRPr="00B834A2">
        <w:lastRenderedPageBreak/>
        <w:t>պահպանել</w:t>
      </w:r>
      <w:r w:rsidR="003559BC" w:rsidRPr="00B834A2">
        <w:t>ու</w:t>
      </w:r>
      <w:r w:rsidRPr="00B834A2">
        <w:t xml:space="preserve"> ճշգրիտ սահմանված ջերմաստիճանը, ինչպես նա</w:t>
      </w:r>
      <w:r w:rsidR="00B834A2">
        <w:t>եւ</w:t>
      </w:r>
      <w:r w:rsidRPr="00B834A2">
        <w:t xml:space="preserve"> հաստատուն որոշակի արագությամբ դանդաղ տաքանալ սկզբնական իզոթերմիկ ժամանակահատվածից հետո։</w:t>
      </w:r>
    </w:p>
    <w:p w14:paraId="50D5F3CC" w14:textId="77777777" w:rsidR="000E2474" w:rsidRPr="00B834A2" w:rsidRDefault="0055537C" w:rsidP="00B834A2">
      <w:pPr>
        <w:spacing w:after="160" w:line="360" w:lineRule="auto"/>
        <w:ind w:firstLine="567"/>
        <w:jc w:val="both"/>
        <w:rPr>
          <w:rFonts w:cs="Times New Roman"/>
        </w:rPr>
      </w:pPr>
      <w:r w:rsidRPr="00B834A2">
        <w:rPr>
          <w:b/>
        </w:rPr>
        <w:t>Մեթոդիկան։</w:t>
      </w:r>
      <w:r w:rsidRPr="00B834A2">
        <w:t xml:space="preserve"> Փորձարկվող նմուշը նախապատրաստում են մասնավոր դեղագրքային հոդվածի </w:t>
      </w:r>
      <w:r w:rsidR="00B834A2">
        <w:t>եւ</w:t>
      </w:r>
      <w:r w:rsidRPr="00B834A2">
        <w:t xml:space="preserve"> (կամ) որակի վերաբերյալ նորմատիվ փաստաթղթի ցուցումների համաձայն </w:t>
      </w:r>
      <w:r w:rsidR="00B834A2">
        <w:t>եւ</w:t>
      </w:r>
      <w:r w:rsidRPr="00B834A2">
        <w:t xml:space="preserve"> կատարում են փորձարկումը ինչպես նշված է ստոր</w:t>
      </w:r>
      <w:r w:rsidR="00B834A2">
        <w:t>եւ</w:t>
      </w:r>
      <w:r w:rsidRPr="00B834A2">
        <w:t xml:space="preserve"> կամ արտադրողի հրահանգներին համապատասխան։ Նմուշի ավելցուկը հեռացնում են գավաթի երկու կողմից մածկաթիակով։ Գավաթը տեղադրում են բռնիչի մեջ </w:t>
      </w:r>
      <w:r w:rsidR="00B834A2">
        <w:t>եւ</w:t>
      </w:r>
      <w:r w:rsidRPr="00B834A2">
        <w:t xml:space="preserve"> միացնում են ճկափողը։ Հավաքովի քարթրիջը տեղադրում են տաքացման բլոկի մեջ։ Սարքի վրա ցուցադրում են սկզբնական իզոթերմիկ պայմանները </w:t>
      </w:r>
      <w:r w:rsidR="00B834A2">
        <w:t>եւ</w:t>
      </w:r>
      <w:r w:rsidRPr="00B834A2">
        <w:t xml:space="preserve"> աստիճանական տաքացման արագությունը՝ մասնավոր դեղագրքային հոդվածի </w:t>
      </w:r>
      <w:r w:rsidR="00B834A2">
        <w:t>եւ</w:t>
      </w:r>
      <w:r w:rsidRPr="00B834A2">
        <w:t xml:space="preserve"> (կամ) որակի վերաբերյալ նորմատիվ փաստաթղթի ցուցումներին համապատասխան։ Միացնում են ջերմաստիճանային ռեժիմի ծրագիրը։ Երբ հալված նմուշի առաջին կաթիլը ճեղքի միջով կընկնի գավաթի հատակին, դրանով իսկ ընդհատելով լույսի հոսքը, ֆոտոտվիչի ազդանշանը կբերի տաքացման բլոկի ջերմաստիճանի ավտոմատ գրանցմանը։</w:t>
      </w:r>
    </w:p>
    <w:p w14:paraId="3AF6ACBB" w14:textId="77777777" w:rsidR="000E2474" w:rsidRPr="00B834A2" w:rsidRDefault="0055537C" w:rsidP="00B834A2">
      <w:pPr>
        <w:spacing w:after="160" w:line="360" w:lineRule="auto"/>
        <w:ind w:firstLine="567"/>
        <w:jc w:val="both"/>
        <w:rPr>
          <w:rFonts w:cs="Times New Roman"/>
        </w:rPr>
      </w:pPr>
      <w:r w:rsidRPr="00B834A2">
        <w:rPr>
          <w:b/>
        </w:rPr>
        <w:t>Սարքի ստուգաճշտումը։</w:t>
      </w:r>
      <w:r w:rsidRPr="00B834A2">
        <w:t xml:space="preserve"> Սարքն օգտագործում են արտադրողի հրահանգներին համապատասխան: </w:t>
      </w:r>
      <w:r w:rsidR="00DD2C9E" w:rsidRPr="00B834A2">
        <w:t>Պայմանավորված</w:t>
      </w:r>
      <w:r w:rsidRPr="00B834A2">
        <w:t xml:space="preserve"> սարքի </w:t>
      </w:r>
      <w:r w:rsidR="00B834A2">
        <w:t>եւ</w:t>
      </w:r>
      <w:r w:rsidRPr="00B834A2">
        <w:t xml:space="preserve"> փորձարկվող </w:t>
      </w:r>
      <w:r w:rsidRPr="003F7CCA">
        <w:rPr>
          <w:spacing w:val="-4"/>
        </w:rPr>
        <w:t>նմուշների օգտագործ</w:t>
      </w:r>
      <w:r w:rsidR="00DD2C9E" w:rsidRPr="003F7CCA">
        <w:rPr>
          <w:spacing w:val="-4"/>
        </w:rPr>
        <w:t>մամբ</w:t>
      </w:r>
      <w:r w:rsidRPr="003F7CCA">
        <w:rPr>
          <w:spacing w:val="-4"/>
        </w:rPr>
        <w:t xml:space="preserve">՝ կանոնավոր կատարում են նշված ստուգաճշտումը </w:t>
      </w:r>
      <w:r w:rsidR="00B834A2" w:rsidRPr="003F7CCA">
        <w:rPr>
          <w:spacing w:val="-4"/>
        </w:rPr>
        <w:t>եւ</w:t>
      </w:r>
      <w:r w:rsidRPr="003F7CCA">
        <w:rPr>
          <w:spacing w:val="-4"/>
        </w:rPr>
        <w:t xml:space="preserve"> համակարգի շահագործման բնութագրերի ստուգումը։ Սովորաբար օգտագործում են բենզոյաթթվի</w:t>
      </w:r>
      <w:r w:rsidRPr="00B834A2">
        <w:t xml:space="preserve"> </w:t>
      </w:r>
      <w:r w:rsidR="00B834A2">
        <w:t>եւ</w:t>
      </w:r>
      <w:r w:rsidRPr="00B834A2">
        <w:t xml:space="preserve"> բենզոֆենոնի սերտիֆիկացված ստանդարտ նմուշներ։ Թույլատրվում է այլ նյութերի կիրառում՝ պայմանով, որ դրանք չեն արտահայտում բազմաձ</w:t>
      </w:r>
      <w:r w:rsidR="00B834A2">
        <w:t>եւ</w:t>
      </w:r>
      <w:r w:rsidRPr="00B834A2">
        <w:t>ություն (պոլիմորֆիզմ)։ Ստուգաճշտումը կատարում են արտադրողի հրահանգներին համապատասխան կամ հետ</w:t>
      </w:r>
      <w:r w:rsidR="00B834A2">
        <w:t>եւ</w:t>
      </w:r>
      <w:r w:rsidRPr="00B834A2">
        <w:t xml:space="preserve">յալ կերպ։ Երկու սերտիֆիկացված ստանդարտ նմուշներից յուրաքանչյուրի համար պատրաստում են երեքական գավաթ </w:t>
      </w:r>
      <w:r w:rsidR="00B834A2">
        <w:t>եւ</w:t>
      </w:r>
      <w:r w:rsidRPr="00B834A2">
        <w:t xml:space="preserve"> դրանք տեղադրում են մաքուր մակերեսին։ Յուրաքանչյուր գավաթի մեջ տեղադրում են ոչ մեծ քանակությամբ սերտիֆիկացված ստանդարտ նմուշ </w:t>
      </w:r>
      <w:r w:rsidR="00B834A2">
        <w:t>եւ</w:t>
      </w:r>
      <w:r w:rsidRPr="00B834A2">
        <w:t xml:space="preserve"> ամրացնում են ձողով (տրամագիծը՝ մոտ 4,5 մմ)։ Ստուգում են, որ անցքն ամբողջովին լցված լինի։ Գավաթը լցնում են մոտավորապես կիսով չափ </w:t>
      </w:r>
      <w:r w:rsidR="00B834A2">
        <w:t>եւ</w:t>
      </w:r>
      <w:r w:rsidRPr="00B834A2">
        <w:t xml:space="preserve"> </w:t>
      </w:r>
      <w:r w:rsidRPr="00B834A2">
        <w:lastRenderedPageBreak/>
        <w:t xml:space="preserve">նմուշները խտացնում են ձողի միջոցով (տրամագիծը՝ մոտ 9 մմ)։ Գավաթը լցնում </w:t>
      </w:r>
      <w:r w:rsidR="00B834A2">
        <w:t>եւ</w:t>
      </w:r>
      <w:r w:rsidRPr="00B834A2">
        <w:t xml:space="preserve"> խտացնում են, անհրաժեշտության դեպքում ավելացնելով նմուշը, մինչ</w:t>
      </w:r>
      <w:r w:rsidR="00B834A2">
        <w:t>եւ</w:t>
      </w:r>
      <w:r w:rsidRPr="00B834A2">
        <w:t xml:space="preserve"> որ գավաթն ամբողջովին լցված չլինի։</w:t>
      </w:r>
    </w:p>
    <w:p w14:paraId="244D50AF" w14:textId="77777777" w:rsidR="000E2474" w:rsidRPr="00B834A2" w:rsidRDefault="0055537C" w:rsidP="00B834A2">
      <w:pPr>
        <w:spacing w:after="160" w:line="360" w:lineRule="auto"/>
        <w:ind w:firstLine="567"/>
        <w:jc w:val="both"/>
        <w:rPr>
          <w:rFonts w:cs="Times New Roman"/>
        </w:rPr>
      </w:pPr>
      <w:r w:rsidRPr="00B834A2">
        <w:t>Ջերմաստիճանային ծրագիրը բենզոյաթթվի համար՝ սկզբնական ջերմաստիճանը՝ 118.0 °С. տաքացման արագությունը՝ 0,2°С/ր. վերջնական ջերմաստիճանը՝ 126,0 °С։ Գավաթը տեղադրելուց հետո պահում են 30 վ. ընթացքում 118 °С ջերմաստիճանի պայմաններում</w:t>
      </w:r>
      <w:r w:rsidR="003559BC" w:rsidRPr="00B834A2">
        <w:t>՝</w:t>
      </w:r>
      <w:r w:rsidRPr="00B834A2">
        <w:t xml:space="preserve"> մինչ</w:t>
      </w:r>
      <w:r w:rsidR="00B834A2">
        <w:t>եւ</w:t>
      </w:r>
      <w:r w:rsidRPr="00B834A2">
        <w:t xml:space="preserve"> տաքացման սկիզբը։</w:t>
      </w:r>
    </w:p>
    <w:p w14:paraId="451D1FBE" w14:textId="77777777" w:rsidR="000E2474" w:rsidRPr="00B834A2" w:rsidRDefault="0055537C" w:rsidP="00B834A2">
      <w:pPr>
        <w:spacing w:after="160" w:line="360" w:lineRule="auto"/>
        <w:ind w:firstLine="567"/>
        <w:jc w:val="both"/>
        <w:rPr>
          <w:rFonts w:cs="Times New Roman"/>
        </w:rPr>
      </w:pPr>
      <w:r w:rsidRPr="00B834A2">
        <w:t>Ջերմաստիճանային ծրագիրը բենզոֆենոնի համար՝ սկզբնական ջերմաստիճանը՝ 44.0 °С. տաքացման արագությունը՝ 0,2°</w:t>
      </w:r>
      <w:r w:rsidR="00530993" w:rsidRPr="00530993">
        <w:t xml:space="preserve"> </w:t>
      </w:r>
      <w:r w:rsidRPr="00B834A2">
        <w:t>С/ր. վերջնական ջերմաստիճանը՝ 56,0 °С։ Գավաթը տեղադրելուց հետո պահում են 30 վ. ընթացքում 44 °С ջերմաստիճանի պայմաններում</w:t>
      </w:r>
      <w:r w:rsidR="003559BC" w:rsidRPr="00B834A2">
        <w:t>՝</w:t>
      </w:r>
      <w:r w:rsidRPr="00B834A2">
        <w:t xml:space="preserve"> մինչ</w:t>
      </w:r>
      <w:r w:rsidR="00B834A2">
        <w:t>եւ</w:t>
      </w:r>
      <w:r w:rsidRPr="00B834A2">
        <w:t xml:space="preserve"> տաքացման սկիզբը։</w:t>
      </w:r>
    </w:p>
    <w:p w14:paraId="09579185" w14:textId="77777777" w:rsidR="00872A30" w:rsidRPr="00B834A2" w:rsidRDefault="0055537C" w:rsidP="00B834A2">
      <w:pPr>
        <w:spacing w:after="160" w:line="360" w:lineRule="auto"/>
        <w:ind w:firstLine="567"/>
        <w:jc w:val="both"/>
      </w:pPr>
      <w:r w:rsidRPr="00B834A2">
        <w:t>Ստուգում են երեք առանձին արդյունքները։ Փորձարկման արդյունքները համարվում են հավաստի, եթե ստացված արժեքները գտնվում են միջին արժեքից ±</w:t>
      </w:r>
      <w:smartTag w:uri="urn:schemas-microsoft-com:office:smarttags" w:element="metricconverter">
        <w:smartTagPr>
          <w:attr w:name="ProductID" w:val="0,3 °C"/>
        </w:smartTagPr>
        <w:r w:rsidRPr="00B834A2">
          <w:t>0,3 °C</w:t>
        </w:r>
      </w:smartTag>
      <w:r w:rsidRPr="00B834A2">
        <w:t xml:space="preserve"> սահմաններում։</w:t>
      </w:r>
    </w:p>
    <w:p w14:paraId="7F765874" w14:textId="77777777" w:rsidR="00872A30" w:rsidRPr="00B834A2" w:rsidRDefault="0055537C" w:rsidP="00B834A2">
      <w:pPr>
        <w:spacing w:after="160" w:line="360" w:lineRule="auto"/>
        <w:ind w:firstLine="567"/>
        <w:jc w:val="both"/>
        <w:rPr>
          <w:rFonts w:cs="Times New Roman"/>
        </w:rPr>
      </w:pPr>
      <w:r w:rsidRPr="00B834A2">
        <w:t>Ջերմաստիճանի ճշտված միջին արժեքը (</w:t>
      </w:r>
      <w:r w:rsidRPr="00B834A2">
        <w:rPr>
          <w:i/>
        </w:rPr>
        <w:t>T</w:t>
      </w:r>
      <w:r w:rsidRPr="00B834A2">
        <w:t>2) հաշվարկում են հետ</w:t>
      </w:r>
      <w:r w:rsidR="00B834A2">
        <w:t>եւ</w:t>
      </w:r>
      <w:r w:rsidRPr="00B834A2">
        <w:t>յալ բանաձ</w:t>
      </w:r>
      <w:r w:rsidR="00B834A2">
        <w:t>եւ</w:t>
      </w:r>
      <w:r w:rsidRPr="00B834A2">
        <w:t>ով՝</w:t>
      </w:r>
    </w:p>
    <w:p w14:paraId="7A2C62BB" w14:textId="77777777" w:rsidR="000E2474" w:rsidRPr="00B834A2" w:rsidRDefault="0055537C" w:rsidP="00B834A2">
      <w:pPr>
        <w:autoSpaceDE w:val="0"/>
        <w:autoSpaceDN w:val="0"/>
        <w:adjustRightInd w:val="0"/>
        <w:spacing w:after="160" w:line="360" w:lineRule="auto"/>
        <w:jc w:val="center"/>
        <w:rPr>
          <w:rFonts w:cs="Times New Roman"/>
          <w:i/>
        </w:rPr>
      </w:pPr>
      <w:r w:rsidRPr="00B834A2">
        <w:rPr>
          <w:i/>
        </w:rPr>
        <w:t>T</w:t>
      </w:r>
      <w:r w:rsidRPr="00B834A2">
        <w:rPr>
          <w:i/>
          <w:vertAlign w:val="subscript"/>
        </w:rPr>
        <w:t>1</w:t>
      </w:r>
      <w:r w:rsidR="003F7CCA">
        <w:rPr>
          <w:i/>
        </w:rPr>
        <w:t>-</w:t>
      </w:r>
      <w:r w:rsidRPr="00B834A2">
        <w:rPr>
          <w:i/>
        </w:rPr>
        <w:t>F,</w:t>
      </w:r>
    </w:p>
    <w:p w14:paraId="13D4A53C" w14:textId="77777777" w:rsidR="000E2474" w:rsidRPr="00B834A2" w:rsidRDefault="0055537C" w:rsidP="003F7CCA">
      <w:pPr>
        <w:autoSpaceDE w:val="0"/>
        <w:autoSpaceDN w:val="0"/>
        <w:adjustRightInd w:val="0"/>
        <w:spacing w:after="160" w:line="360" w:lineRule="auto"/>
        <w:ind w:firstLine="567"/>
        <w:jc w:val="both"/>
        <w:rPr>
          <w:rFonts w:cs="Times New Roman"/>
        </w:rPr>
      </w:pPr>
      <w:r w:rsidRPr="00B834A2">
        <w:t xml:space="preserve">որտեղ՝ </w:t>
      </w:r>
      <w:r w:rsidRPr="00B834A2">
        <w:rPr>
          <w:i/>
        </w:rPr>
        <w:t>T</w:t>
      </w:r>
      <w:r w:rsidRPr="00B834A2">
        <w:rPr>
          <w:i/>
          <w:vertAlign w:val="subscript"/>
        </w:rPr>
        <w:t>1</w:t>
      </w:r>
      <w:r w:rsidRPr="00B834A2">
        <w:t>-ն՝ կաթիլի արտանկման միջին ջերմաստիճանն է երեք չափումներով՝ Ցելսիուսի աստիճաններով.</w:t>
      </w:r>
    </w:p>
    <w:p w14:paraId="5FD3A7AA" w14:textId="77777777" w:rsidR="000E2474" w:rsidRPr="00B834A2" w:rsidRDefault="0055537C" w:rsidP="003F7CCA">
      <w:pPr>
        <w:autoSpaceDE w:val="0"/>
        <w:autoSpaceDN w:val="0"/>
        <w:adjustRightInd w:val="0"/>
        <w:spacing w:after="160" w:line="360" w:lineRule="auto"/>
        <w:ind w:firstLine="567"/>
        <w:jc w:val="both"/>
        <w:rPr>
          <w:rFonts w:cs="Times New Roman"/>
        </w:rPr>
      </w:pPr>
      <w:r w:rsidRPr="003F7CCA">
        <w:rPr>
          <w:i/>
          <w:spacing w:val="-4"/>
        </w:rPr>
        <w:t>F</w:t>
      </w:r>
      <w:r w:rsidRPr="003F7CCA">
        <w:rPr>
          <w:spacing w:val="-4"/>
        </w:rPr>
        <w:t xml:space="preserve">-ն՝ տաքացնող բլոկում ջերմաստիճանի չափման տեղի </w:t>
      </w:r>
      <w:r w:rsidR="00B834A2" w:rsidRPr="003F7CCA">
        <w:rPr>
          <w:spacing w:val="-4"/>
        </w:rPr>
        <w:t>եւ</w:t>
      </w:r>
      <w:r w:rsidRPr="003F7CCA">
        <w:rPr>
          <w:spacing w:val="-4"/>
        </w:rPr>
        <w:t xml:space="preserve"> նմուշի ջերմաստիճանների տարբերության մասով ճշգրտումն է (դրա արժեքը փոփոխվում է՝ </w:t>
      </w:r>
      <w:r w:rsidR="00C57E41" w:rsidRPr="003F7CCA">
        <w:rPr>
          <w:spacing w:val="-4"/>
        </w:rPr>
        <w:t>պայմանավորված</w:t>
      </w:r>
      <w:r w:rsidRPr="00B834A2">
        <w:t xml:space="preserve"> կաթիլի արտանկման ջերմաստիճանի ավտոմատ որոշման սարքի կառուցվածք</w:t>
      </w:r>
      <w:r w:rsidR="00C57E41" w:rsidRPr="00B834A2">
        <w:t>ով</w:t>
      </w:r>
      <w:r w:rsidRPr="00B834A2">
        <w:t xml:space="preserve">, </w:t>
      </w:r>
      <w:r w:rsidR="00B834A2">
        <w:t>եւ</w:t>
      </w:r>
      <w:r w:rsidRPr="00B834A2">
        <w:t xml:space="preserve"> ներկայացվում է արտադրողի կողմից)։</w:t>
      </w:r>
    </w:p>
    <w:p w14:paraId="55D41FCA" w14:textId="77777777" w:rsidR="000E2474" w:rsidRPr="00B834A2" w:rsidRDefault="0055537C" w:rsidP="00B834A2">
      <w:pPr>
        <w:autoSpaceDE w:val="0"/>
        <w:autoSpaceDN w:val="0"/>
        <w:adjustRightInd w:val="0"/>
        <w:spacing w:after="160" w:line="360" w:lineRule="auto"/>
        <w:ind w:firstLine="567"/>
        <w:jc w:val="both"/>
        <w:rPr>
          <w:rFonts w:cs="Times New Roman"/>
          <w:highlight w:val="yellow"/>
        </w:rPr>
      </w:pPr>
      <w:r w:rsidRPr="00B834A2">
        <w:t>Հաշվի առնելով սերտիֆիկացված ստանդարտ նմուշի կաթիլի արտանկման ջերմաստիճանը (</w:t>
      </w:r>
      <w:r w:rsidRPr="00B834A2">
        <w:rPr>
          <w:i/>
        </w:rPr>
        <w:t>T</w:t>
      </w:r>
      <w:r w:rsidRPr="00B834A2">
        <w:rPr>
          <w:i/>
          <w:vertAlign w:val="subscript"/>
        </w:rPr>
        <w:t>0</w:t>
      </w:r>
      <w:r w:rsidRPr="00B834A2">
        <w:t>)</w:t>
      </w:r>
      <w:r w:rsidR="00653998" w:rsidRPr="00B834A2">
        <w:t>՝</w:t>
      </w:r>
      <w:r w:rsidRPr="00B834A2">
        <w:t xml:space="preserve"> ջերմաստիճանային սանդղակի ճշգրտությունը համարվում է բավարար, եթե |</w:t>
      </w:r>
      <w:r w:rsidRPr="00B834A2">
        <w:rPr>
          <w:i/>
        </w:rPr>
        <w:t>T</w:t>
      </w:r>
      <w:r w:rsidRPr="00B834A2">
        <w:rPr>
          <w:i/>
          <w:vertAlign w:val="subscript"/>
        </w:rPr>
        <w:t>2</w:t>
      </w:r>
      <w:r w:rsidRPr="00B834A2">
        <w:rPr>
          <w:i/>
        </w:rPr>
        <w:t xml:space="preserve"> </w:t>
      </w:r>
      <w:r w:rsidR="002E52D1">
        <w:rPr>
          <w:i/>
        </w:rPr>
        <w:t>-</w:t>
      </w:r>
      <w:r w:rsidRPr="00B834A2">
        <w:rPr>
          <w:i/>
        </w:rPr>
        <w:t xml:space="preserve"> T</w:t>
      </w:r>
      <w:r w:rsidRPr="00B834A2">
        <w:rPr>
          <w:i/>
          <w:vertAlign w:val="subscript"/>
        </w:rPr>
        <w:t>0</w:t>
      </w:r>
      <w:r w:rsidRPr="00B834A2">
        <w:t>| չի գերազանցում 0,3 °С</w:t>
      </w:r>
      <w:r w:rsidR="00653998" w:rsidRPr="00B834A2">
        <w:t>-ը</w:t>
      </w:r>
      <w:r w:rsidRPr="00B834A2">
        <w:t>։</w:t>
      </w:r>
    </w:p>
    <w:p w14:paraId="45D46BF6" w14:textId="77777777" w:rsidR="00702B4E" w:rsidRPr="00464EA4" w:rsidRDefault="0055537C" w:rsidP="00B834A2">
      <w:pPr>
        <w:autoSpaceDE w:val="0"/>
        <w:autoSpaceDN w:val="0"/>
        <w:adjustRightInd w:val="0"/>
        <w:spacing w:after="160" w:line="360" w:lineRule="auto"/>
        <w:ind w:firstLine="567"/>
        <w:jc w:val="right"/>
        <w:rPr>
          <w:b/>
          <w:sz w:val="20"/>
        </w:rPr>
      </w:pPr>
      <w:r w:rsidRPr="00464EA4">
        <w:rPr>
          <w:b/>
          <w:sz w:val="20"/>
        </w:rPr>
        <w:lastRenderedPageBreak/>
        <w:t>201020045-2022</w:t>
      </w:r>
    </w:p>
    <w:p w14:paraId="013EA592" w14:textId="77777777" w:rsidR="007B55AD" w:rsidRPr="00B834A2" w:rsidRDefault="007B55AD" w:rsidP="00B834A2">
      <w:pPr>
        <w:autoSpaceDE w:val="0"/>
        <w:autoSpaceDN w:val="0"/>
        <w:adjustRightInd w:val="0"/>
        <w:spacing w:after="160" w:line="360" w:lineRule="auto"/>
        <w:ind w:firstLine="567"/>
        <w:jc w:val="right"/>
        <w:rPr>
          <w:rFonts w:cs="Times New Roman"/>
          <w:b/>
          <w:bCs/>
        </w:rPr>
      </w:pPr>
    </w:p>
    <w:p w14:paraId="5B62866A" w14:textId="77777777" w:rsidR="00702B4E" w:rsidRPr="00B834A2" w:rsidRDefault="0055537C" w:rsidP="007B55AD">
      <w:pPr>
        <w:tabs>
          <w:tab w:val="left" w:pos="1701"/>
        </w:tabs>
        <w:autoSpaceDE w:val="0"/>
        <w:autoSpaceDN w:val="0"/>
        <w:adjustRightInd w:val="0"/>
        <w:spacing w:after="160" w:line="360" w:lineRule="auto"/>
        <w:ind w:firstLine="567"/>
        <w:jc w:val="both"/>
        <w:rPr>
          <w:rFonts w:cs="Times New Roman"/>
          <w:b/>
          <w:bCs/>
        </w:rPr>
      </w:pPr>
      <w:r w:rsidRPr="00B834A2">
        <w:rPr>
          <w:b/>
        </w:rPr>
        <w:t>2.1.2.45.</w:t>
      </w:r>
      <w:r w:rsidR="007B55AD">
        <w:rPr>
          <w:b/>
        </w:rPr>
        <w:tab/>
      </w:r>
      <w:r w:rsidRPr="00B834A2">
        <w:rPr>
          <w:b/>
        </w:rPr>
        <w:t>Միջուկային մագնիսական ռեզոնանսի սպեկտրաչափություն</w:t>
      </w:r>
    </w:p>
    <w:p w14:paraId="6DCB6912"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 xml:space="preserve">Միջուկային մագնիսական ռեզոնանսի (ՄՄՌ) սպեկտրաչափություն՝ անալիտիկ մեթոդ, որը թույլ է տալիս հետազոտել օրգանական մոլեկուլների քիմիական կառուցվածքը՝ ըստ </w:t>
      </w:r>
      <w:r w:rsidRPr="00B834A2">
        <w:rPr>
          <w:vertAlign w:val="superscript"/>
        </w:rPr>
        <w:t>1</w:t>
      </w:r>
      <w:r w:rsidRPr="00B834A2">
        <w:t xml:space="preserve">Н, </w:t>
      </w:r>
      <w:smartTag w:uri="urn:schemas-microsoft-com:office:smarttags" w:element="metricconverter">
        <w:smartTagPr>
          <w:attr w:name="ProductID" w:val="13C"/>
        </w:smartTagPr>
        <w:r w:rsidRPr="00B834A2">
          <w:rPr>
            <w:vertAlign w:val="superscript"/>
          </w:rPr>
          <w:t>13</w:t>
        </w:r>
        <w:r w:rsidRPr="00B834A2">
          <w:t>C</w:t>
        </w:r>
      </w:smartTag>
      <w:r w:rsidRPr="00B834A2">
        <w:t xml:space="preserve">, </w:t>
      </w:r>
      <w:smartTag w:uri="urn:schemas-microsoft-com:office:smarttags" w:element="metricconverter">
        <w:smartTagPr>
          <w:attr w:name="ProductID" w:val="19F"/>
        </w:smartTagPr>
        <w:r w:rsidRPr="00B834A2">
          <w:rPr>
            <w:vertAlign w:val="superscript"/>
          </w:rPr>
          <w:t>19</w:t>
        </w:r>
        <w:r w:rsidRPr="00B834A2">
          <w:t>F</w:t>
        </w:r>
      </w:smartTag>
      <w:r w:rsidRPr="00B834A2">
        <w:t xml:space="preserve">, </w:t>
      </w:r>
      <w:r w:rsidRPr="00B834A2">
        <w:rPr>
          <w:vertAlign w:val="superscript"/>
        </w:rPr>
        <w:t>15</w:t>
      </w:r>
      <w:r w:rsidRPr="00B834A2">
        <w:t xml:space="preserve">N, </w:t>
      </w:r>
      <w:r w:rsidRPr="00B834A2">
        <w:rPr>
          <w:vertAlign w:val="superscript"/>
        </w:rPr>
        <w:t>31</w:t>
      </w:r>
      <w:r w:rsidRPr="00B834A2">
        <w:t xml:space="preserve">P իզոտոպերի մագնիսական մոմենտներով դրանց ՄՄՌ սպեկտրների մեկնաբանության։ ՄՄՌ սպեկտրները կարող են օգտագործվել որակական </w:t>
      </w:r>
      <w:r w:rsidR="00B834A2">
        <w:t>եւ</w:t>
      </w:r>
      <w:r w:rsidRPr="00B834A2">
        <w:t xml:space="preserve"> քանակական անալիզների համար։</w:t>
      </w:r>
    </w:p>
    <w:p w14:paraId="2F8AD7AB"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 xml:space="preserve">Համապատասխան փորձարարական պայմաններում ՄՄՌ ազդանշանների ինտեգրված ինտենսիվությունն ուղիղ համեմատական է ազդանշանի համար պատասխանատու մոլեկուլային խմբի միջուկների </w:t>
      </w:r>
      <w:r w:rsidR="00E52D9F" w:rsidRPr="00B834A2">
        <w:t>սպինների</w:t>
      </w:r>
      <w:r w:rsidRPr="00B834A2">
        <w:t xml:space="preserve"> թվին։ Այս ինտեգրալները կարող են օգտագործվել քանակական անալիզի համար։</w:t>
      </w:r>
    </w:p>
    <w:p w14:paraId="7C8085F9" w14:textId="77777777" w:rsidR="00702B4E" w:rsidRPr="00B834A2" w:rsidRDefault="00702B4E" w:rsidP="003F7CCA">
      <w:pPr>
        <w:autoSpaceDE w:val="0"/>
        <w:autoSpaceDN w:val="0"/>
        <w:adjustRightInd w:val="0"/>
        <w:spacing w:after="160" w:line="360" w:lineRule="auto"/>
        <w:ind w:firstLine="567"/>
        <w:jc w:val="both"/>
        <w:rPr>
          <w:rFonts w:cs="Times New Roman"/>
          <w:b/>
          <w:bCs/>
        </w:rPr>
      </w:pPr>
    </w:p>
    <w:p w14:paraId="69A08CE7" w14:textId="77777777" w:rsidR="00702B4E" w:rsidRPr="00C41622" w:rsidRDefault="0055537C" w:rsidP="003F7CCA">
      <w:pPr>
        <w:autoSpaceDE w:val="0"/>
        <w:autoSpaceDN w:val="0"/>
        <w:adjustRightInd w:val="0"/>
        <w:spacing w:after="160" w:line="360" w:lineRule="auto"/>
        <w:ind w:firstLine="567"/>
        <w:jc w:val="both"/>
        <w:rPr>
          <w:b/>
        </w:rPr>
      </w:pPr>
      <w:r w:rsidRPr="00B834A2">
        <w:rPr>
          <w:b/>
        </w:rPr>
        <w:t>ԸՆԴՀԱՆՈՒՐ ՍԿԶԲՈՒՆՔՆԵՐ</w:t>
      </w:r>
    </w:p>
    <w:p w14:paraId="4F4A660A"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 xml:space="preserve">Անկյունային մոմենտով </w:t>
      </w:r>
      <w:r w:rsidR="00B834A2">
        <w:t>եւ</w:t>
      </w:r>
      <w:r w:rsidRPr="00B834A2">
        <w:t xml:space="preserve"> մագնիսական մոմենտով միջուկների խնբավորումը ստատիկ մագնիսական դաշտում (</w:t>
      </w:r>
      <w:r w:rsidRPr="00B834A2">
        <w:rPr>
          <w:i/>
        </w:rPr>
        <w:t>B</w:t>
      </w:r>
      <w:r w:rsidRPr="00B834A2">
        <w:rPr>
          <w:vertAlign w:val="subscript"/>
        </w:rPr>
        <w:t>0</w:t>
      </w:r>
      <w:r w:rsidRPr="00B834A2">
        <w:t>) տեղավորելիս միջուկները մագնիսական դաշտի առանցքի նկատմամբ զբաղեցնում են քվանտային մեխանիկայում թույլատրված որոշակի կողմնորոշումներ։ Այս մակարդակները էներգետիկապես տարբեր են։ Տատանողական բարձր հաճախականության մագնիսական դաշտը (</w:t>
      </w:r>
      <w:r w:rsidRPr="00B834A2">
        <w:rPr>
          <w:i/>
        </w:rPr>
        <w:t>B</w:t>
      </w:r>
      <w:r w:rsidRPr="00B834A2">
        <w:rPr>
          <w:vertAlign w:val="subscript"/>
        </w:rPr>
        <w:t>1</w:t>
      </w:r>
      <w:r w:rsidRPr="00B834A2">
        <w:t xml:space="preserve">)՝ </w:t>
      </w:r>
      <w:r w:rsidRPr="00B834A2">
        <w:rPr>
          <w:i/>
        </w:rPr>
        <w:t>B</w:t>
      </w:r>
      <w:r w:rsidRPr="00B834A2">
        <w:rPr>
          <w:vertAlign w:val="subscript"/>
        </w:rPr>
        <w:t>0</w:t>
      </w:r>
      <w:r w:rsidRPr="00B834A2">
        <w:t xml:space="preserve"> մագնիսական դաշտին ուղղահայաց, անցաշերտեր է առաջացնում այդ մակարդակների միջ</w:t>
      </w:r>
      <w:r w:rsidR="00B834A2">
        <w:t>եւ</w:t>
      </w:r>
      <w:r w:rsidRPr="00B834A2">
        <w:t>՝ էներգիայի ամբողջական կլանմամբ։ Ռեզոնանսի պայմանի համաձայն</w:t>
      </w:r>
      <w:r w:rsidR="00653998" w:rsidRPr="00B834A2">
        <w:t>՝</w:t>
      </w:r>
      <w:r w:rsidRPr="00B834A2">
        <w:t xml:space="preserve"> ω</w:t>
      </w:r>
      <w:r w:rsidRPr="00B834A2">
        <w:rPr>
          <w:vertAlign w:val="subscript"/>
        </w:rPr>
        <w:t>0</w:t>
      </w:r>
      <w:r w:rsidRPr="00B834A2">
        <w:t xml:space="preserve"> = γ</w:t>
      </w:r>
      <w:r w:rsidRPr="00B834A2">
        <w:rPr>
          <w:i/>
        </w:rPr>
        <w:t>B</w:t>
      </w:r>
      <w:r w:rsidRPr="00B834A2">
        <w:rPr>
          <w:vertAlign w:val="subscript"/>
        </w:rPr>
        <w:t>0</w:t>
      </w:r>
      <w:r w:rsidRPr="00B834A2">
        <w:t xml:space="preserve"> (որտեղ γ</w:t>
      </w:r>
      <w:r w:rsidR="00653998" w:rsidRPr="00B834A2">
        <w:t>-ը</w:t>
      </w:r>
      <w:r w:rsidRPr="00B834A2">
        <w:t>՝ մագնիսահոլակային հարաբերությունն է, ω</w:t>
      </w:r>
      <w:r w:rsidRPr="00B834A2">
        <w:rPr>
          <w:vertAlign w:val="subscript"/>
        </w:rPr>
        <w:t>0</w:t>
      </w:r>
      <w:r w:rsidR="00653998" w:rsidRPr="00B834A2">
        <w:rPr>
          <w:vertAlign w:val="subscript"/>
        </w:rPr>
        <w:t>-ն</w:t>
      </w:r>
      <w:r w:rsidRPr="00B834A2">
        <w:t>՝ լարմորյան հաճախականություն</w:t>
      </w:r>
      <w:r w:rsidR="00E52D9F" w:rsidRPr="00B834A2">
        <w:t>ը)՝</w:t>
      </w:r>
      <w:r w:rsidRPr="00B834A2">
        <w:t xml:space="preserve"> </w:t>
      </w:r>
      <w:r w:rsidRPr="00B834A2">
        <w:rPr>
          <w:i/>
        </w:rPr>
        <w:t>B</w:t>
      </w:r>
      <w:r w:rsidRPr="00B834A2">
        <w:rPr>
          <w:vertAlign w:val="subscript"/>
        </w:rPr>
        <w:t>0</w:t>
      </w:r>
      <w:r w:rsidRPr="00B834A2">
        <w:t xml:space="preserve"> մագնիսական դաշտը կամ </w:t>
      </w:r>
      <w:r w:rsidRPr="00B834A2">
        <w:rPr>
          <w:i/>
        </w:rPr>
        <w:t>B</w:t>
      </w:r>
      <w:r w:rsidRPr="00B834A2">
        <w:rPr>
          <w:vertAlign w:val="subscript"/>
        </w:rPr>
        <w:t>1</w:t>
      </w:r>
      <w:r w:rsidRPr="00B834A2">
        <w:t>դաշտի ω</w:t>
      </w:r>
      <w:r w:rsidRPr="00B834A2">
        <w:rPr>
          <w:vertAlign w:val="subscript"/>
        </w:rPr>
        <w:t>0</w:t>
      </w:r>
      <w:r w:rsidRPr="00B834A2">
        <w:t xml:space="preserve"> հաճախականությունը կարող են փոփոխվել՝ սպեկտր ստանալու համար (շարունակական ալիքի մեթոդ (ՇԱՄ))։ Ներկայումս </w:t>
      </w:r>
      <w:r w:rsidRPr="00B834A2">
        <w:rPr>
          <w:i/>
        </w:rPr>
        <w:t>B</w:t>
      </w:r>
      <w:r w:rsidRPr="00B834A2">
        <w:rPr>
          <w:vertAlign w:val="subscript"/>
        </w:rPr>
        <w:t>1</w:t>
      </w:r>
      <w:r w:rsidRPr="00B834A2">
        <w:t xml:space="preserve"> ճառագայթում</w:t>
      </w:r>
      <w:r w:rsidR="00BF6F6E" w:rsidRPr="00B834A2">
        <w:t>ն</w:t>
      </w:r>
      <w:r w:rsidRPr="00B834A2">
        <w:t xml:space="preserve"> ստանում են ռադիոհաճախականության իմպուլսի միջոցով (Ֆուրյեի փոխակերպման մեթոդ)։ Կոհերենտ ճառագայթումը, որն արձակվում է </w:t>
      </w:r>
      <w:r w:rsidRPr="00B834A2">
        <w:lastRenderedPageBreak/>
        <w:t>սկզբնական վիճակին վերադառնալիս, գրանցում են մարող կորի տեսքով, որը կոչվում է ազատ ինդուկցիայի անկում (ԱԻԱ)։ Հետագա Ֆուրյե</w:t>
      </w:r>
      <w:r w:rsidR="002E52D1">
        <w:t>-</w:t>
      </w:r>
      <w:r w:rsidRPr="00B834A2">
        <w:t>փոխակերպումը տալիս է սպեկտր հաճախականության տիրույթում՝ տեղեկատվություն տրամադրելով մոլեկուլային կառուցվածքի մասին։ Լրացուցիչ ռադիոհաճախական տիրույթները կիրառվում են միջուկների միջ</w:t>
      </w:r>
      <w:r w:rsidR="00B834A2">
        <w:t>եւ</w:t>
      </w:r>
      <w:r w:rsidRPr="00B834A2">
        <w:t xml:space="preserve"> սկալյար փոխազդեցությունների (ուղիղ կապ) ճնշման ԱԻԱ ազդանշանի գրանցման ժամանակ (այսպես կոչված «էլեկտրոնային զույգի տրոհում»)։ Հեղուկ կամ պինդ նմուշների որակական </w:t>
      </w:r>
      <w:r w:rsidR="00B834A2">
        <w:t>եւ</w:t>
      </w:r>
      <w:r w:rsidRPr="00B834A2">
        <w:t xml:space="preserve"> քանակական անալիզի համար կարելի է կիրառել միա</w:t>
      </w:r>
      <w:r w:rsidR="002E52D1">
        <w:t>-</w:t>
      </w:r>
      <w:r w:rsidRPr="00B834A2">
        <w:t xml:space="preserve"> </w:t>
      </w:r>
      <w:r w:rsidR="00B834A2">
        <w:t>եւ</w:t>
      </w:r>
      <w:r w:rsidRPr="00B834A2">
        <w:t xml:space="preserve"> բազմաչափ մեթոդներ։</w:t>
      </w:r>
    </w:p>
    <w:p w14:paraId="74396B97"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Նյութի կառուցվածքի վերաբերյալ կար</w:t>
      </w:r>
      <w:r w:rsidR="00B834A2">
        <w:t>եւ</w:t>
      </w:r>
      <w:r w:rsidRPr="00B834A2">
        <w:t>որ տեղեկատվություն են ստանում հետ</w:t>
      </w:r>
      <w:r w:rsidR="00B834A2">
        <w:t>եւ</w:t>
      </w:r>
      <w:r w:rsidRPr="00B834A2">
        <w:t>յալ սպեկտրոսկոպիկ պարամետրերից, որոնք բերված են 2.1.2.45.-1 աղյուսակում։</w:t>
      </w:r>
    </w:p>
    <w:p w14:paraId="59E17784" w14:textId="77777777" w:rsidR="00702B4E" w:rsidRPr="00B834A2" w:rsidRDefault="00702B4E" w:rsidP="00B834A2">
      <w:pPr>
        <w:autoSpaceDE w:val="0"/>
        <w:autoSpaceDN w:val="0"/>
        <w:adjustRightInd w:val="0"/>
        <w:spacing w:after="160" w:line="360" w:lineRule="auto"/>
        <w:rPr>
          <w:rFonts w:cs="Times New Roman"/>
        </w:rPr>
      </w:pPr>
    </w:p>
    <w:p w14:paraId="39B2DFF1" w14:textId="77777777" w:rsidR="00702B4E" w:rsidRPr="00B834A2" w:rsidRDefault="0055537C" w:rsidP="00163838">
      <w:pPr>
        <w:spacing w:after="160" w:line="360" w:lineRule="auto"/>
        <w:ind w:right="-20" w:firstLine="567"/>
        <w:rPr>
          <w:rFonts w:eastAsia="Times New Roman" w:cs="Times New Roman"/>
        </w:rPr>
      </w:pPr>
      <w:r w:rsidRPr="00B834A2">
        <w:rPr>
          <w:color w:val="231F20"/>
        </w:rPr>
        <w:t>Աղյուսակ 2.1.2.45.-1.</w:t>
      </w:r>
    </w:p>
    <w:tbl>
      <w:tblPr>
        <w:tblW w:w="0" w:type="auto"/>
        <w:tblLook w:val="04A0" w:firstRow="1" w:lastRow="0" w:firstColumn="1" w:lastColumn="0" w:noHBand="0" w:noVBand="1"/>
      </w:tblPr>
      <w:tblGrid>
        <w:gridCol w:w="4662"/>
        <w:gridCol w:w="4625"/>
      </w:tblGrid>
      <w:tr w:rsidR="00702B4E" w:rsidRPr="002E52D1" w14:paraId="3D004C15" w14:textId="77777777" w:rsidTr="002E52D1">
        <w:tc>
          <w:tcPr>
            <w:tcW w:w="4898" w:type="dxa"/>
            <w:tcBorders>
              <w:top w:val="single" w:sz="8" w:space="0" w:color="auto"/>
              <w:bottom w:val="single" w:sz="8" w:space="0" w:color="auto"/>
            </w:tcBorders>
          </w:tcPr>
          <w:p w14:paraId="1E45E3FD" w14:textId="77777777" w:rsidR="00702B4E" w:rsidRPr="002E52D1" w:rsidRDefault="0055537C" w:rsidP="002E52D1">
            <w:pPr>
              <w:tabs>
                <w:tab w:val="left" w:pos="6240"/>
              </w:tabs>
              <w:spacing w:after="120"/>
              <w:ind w:right="-20"/>
              <w:jc w:val="center"/>
              <w:rPr>
                <w:rFonts w:eastAsia="Times New Roman" w:cs="Times New Roman"/>
                <w:sz w:val="20"/>
                <w:szCs w:val="20"/>
              </w:rPr>
            </w:pPr>
            <w:r w:rsidRPr="002E52D1">
              <w:rPr>
                <w:color w:val="231F20"/>
                <w:sz w:val="20"/>
                <w:szCs w:val="20"/>
              </w:rPr>
              <w:t>Ռեզոնանսային հաճախականությունը</w:t>
            </w:r>
          </w:p>
        </w:tc>
        <w:tc>
          <w:tcPr>
            <w:tcW w:w="4898" w:type="dxa"/>
            <w:tcBorders>
              <w:top w:val="single" w:sz="8" w:space="0" w:color="auto"/>
              <w:bottom w:val="single" w:sz="8" w:space="0" w:color="auto"/>
            </w:tcBorders>
          </w:tcPr>
          <w:p w14:paraId="7A4826AA" w14:textId="77777777" w:rsidR="00702B4E" w:rsidRPr="002E52D1" w:rsidRDefault="0055537C" w:rsidP="002E52D1">
            <w:pPr>
              <w:spacing w:after="120"/>
              <w:jc w:val="center"/>
              <w:rPr>
                <w:rFonts w:eastAsia="Times New Roman" w:cs="Times New Roman"/>
                <w:sz w:val="20"/>
                <w:szCs w:val="20"/>
              </w:rPr>
            </w:pPr>
            <w:r w:rsidRPr="002E52D1">
              <w:rPr>
                <w:color w:val="231F20"/>
                <w:sz w:val="20"/>
                <w:szCs w:val="20"/>
              </w:rPr>
              <w:t>Որոշվում է միջուկների տեսակը</w:t>
            </w:r>
          </w:p>
        </w:tc>
      </w:tr>
      <w:tr w:rsidR="00702B4E" w:rsidRPr="002E52D1" w14:paraId="291AE257" w14:textId="77777777" w:rsidTr="002E52D1">
        <w:tc>
          <w:tcPr>
            <w:tcW w:w="4898" w:type="dxa"/>
            <w:tcBorders>
              <w:top w:val="single" w:sz="8" w:space="0" w:color="auto"/>
            </w:tcBorders>
          </w:tcPr>
          <w:p w14:paraId="4F739313" w14:textId="77777777" w:rsidR="00702B4E" w:rsidRPr="002E52D1" w:rsidRDefault="0055537C" w:rsidP="002E52D1">
            <w:pPr>
              <w:spacing w:after="120"/>
              <w:ind w:right="648"/>
              <w:rPr>
                <w:rFonts w:eastAsia="Times New Roman" w:cs="Times New Roman"/>
                <w:sz w:val="20"/>
                <w:szCs w:val="20"/>
              </w:rPr>
            </w:pPr>
            <w:r w:rsidRPr="002E52D1">
              <w:rPr>
                <w:color w:val="231F20"/>
                <w:sz w:val="20"/>
                <w:szCs w:val="20"/>
              </w:rPr>
              <w:t>Ռեզոնանսային ազդանշանների քանակը (սինգլետներ, մուլտիպլետներ)</w:t>
            </w:r>
          </w:p>
        </w:tc>
        <w:tc>
          <w:tcPr>
            <w:tcW w:w="4898" w:type="dxa"/>
            <w:tcBorders>
              <w:top w:val="single" w:sz="8" w:space="0" w:color="auto"/>
            </w:tcBorders>
          </w:tcPr>
          <w:p w14:paraId="1FDE2AC1" w14:textId="77777777" w:rsidR="00702B4E" w:rsidRPr="002E52D1" w:rsidRDefault="0055537C" w:rsidP="002E52D1">
            <w:pPr>
              <w:spacing w:after="120"/>
              <w:rPr>
                <w:rFonts w:eastAsia="Times New Roman" w:cs="Times New Roman"/>
                <w:sz w:val="20"/>
                <w:szCs w:val="20"/>
              </w:rPr>
            </w:pPr>
            <w:r w:rsidRPr="002E52D1">
              <w:rPr>
                <w:color w:val="231F20"/>
                <w:sz w:val="20"/>
                <w:szCs w:val="20"/>
              </w:rPr>
              <w:t>Միջուկների առանձին քիմիական խմբերի քանակը</w:t>
            </w:r>
          </w:p>
        </w:tc>
      </w:tr>
      <w:tr w:rsidR="00702B4E" w:rsidRPr="002E52D1" w14:paraId="4861BD94" w14:textId="77777777" w:rsidTr="00721E82">
        <w:tc>
          <w:tcPr>
            <w:tcW w:w="4898" w:type="dxa"/>
          </w:tcPr>
          <w:p w14:paraId="0769EE3D" w14:textId="77777777" w:rsidR="00702B4E" w:rsidRPr="002E52D1" w:rsidRDefault="0055537C" w:rsidP="002E52D1">
            <w:pPr>
              <w:spacing w:after="120"/>
              <w:rPr>
                <w:rFonts w:eastAsia="Times New Roman" w:cs="Times New Roman"/>
                <w:sz w:val="20"/>
                <w:szCs w:val="20"/>
              </w:rPr>
            </w:pPr>
            <w:r w:rsidRPr="002E52D1">
              <w:rPr>
                <w:color w:val="231F20"/>
                <w:sz w:val="20"/>
                <w:szCs w:val="20"/>
              </w:rPr>
              <w:t>Քիմիական տեղաշարժը δ (ppm)</w:t>
            </w:r>
          </w:p>
        </w:tc>
        <w:tc>
          <w:tcPr>
            <w:tcW w:w="4898" w:type="dxa"/>
          </w:tcPr>
          <w:p w14:paraId="05E54A58" w14:textId="77777777" w:rsidR="00702B4E" w:rsidRPr="002E52D1" w:rsidRDefault="0055537C" w:rsidP="002E52D1">
            <w:pPr>
              <w:spacing w:after="120"/>
              <w:rPr>
                <w:rFonts w:eastAsia="Times New Roman" w:cs="Times New Roman"/>
                <w:sz w:val="20"/>
                <w:szCs w:val="20"/>
              </w:rPr>
            </w:pPr>
            <w:r w:rsidRPr="002E52D1">
              <w:rPr>
                <w:color w:val="231F20"/>
                <w:sz w:val="20"/>
                <w:szCs w:val="20"/>
              </w:rPr>
              <w:t xml:space="preserve">Որոշվում է կառուցվածքային խմբերի շրջապատը </w:t>
            </w:r>
            <w:r w:rsidR="00B834A2" w:rsidRPr="002E52D1">
              <w:rPr>
                <w:color w:val="231F20"/>
                <w:sz w:val="20"/>
                <w:szCs w:val="20"/>
              </w:rPr>
              <w:t>եւ</w:t>
            </w:r>
            <w:r w:rsidRPr="002E52D1">
              <w:rPr>
                <w:color w:val="231F20"/>
                <w:sz w:val="20"/>
                <w:szCs w:val="20"/>
              </w:rPr>
              <w:t xml:space="preserve"> քիմիական բնույթը</w:t>
            </w:r>
          </w:p>
        </w:tc>
      </w:tr>
      <w:tr w:rsidR="00702B4E" w:rsidRPr="002E52D1" w14:paraId="5D004189" w14:textId="77777777" w:rsidTr="00721E82">
        <w:tc>
          <w:tcPr>
            <w:tcW w:w="4898" w:type="dxa"/>
          </w:tcPr>
          <w:p w14:paraId="68B2A5AA" w14:textId="77777777" w:rsidR="00702B4E" w:rsidRPr="002E52D1" w:rsidRDefault="0055537C" w:rsidP="002E52D1">
            <w:pPr>
              <w:spacing w:after="120"/>
              <w:rPr>
                <w:rFonts w:eastAsia="Times New Roman" w:cs="Times New Roman"/>
                <w:sz w:val="20"/>
                <w:szCs w:val="20"/>
              </w:rPr>
            </w:pPr>
            <w:r w:rsidRPr="002E52D1">
              <w:rPr>
                <w:color w:val="231F20"/>
                <w:sz w:val="20"/>
                <w:szCs w:val="20"/>
              </w:rPr>
              <w:t>Ռեզոնանսային ազդանշանների ինտենսիվությունը</w:t>
            </w:r>
          </w:p>
        </w:tc>
        <w:tc>
          <w:tcPr>
            <w:tcW w:w="4898" w:type="dxa"/>
          </w:tcPr>
          <w:p w14:paraId="288A4EDD" w14:textId="77777777" w:rsidR="00702B4E" w:rsidRPr="002E52D1" w:rsidRDefault="0055537C" w:rsidP="002E52D1">
            <w:pPr>
              <w:spacing w:after="120"/>
              <w:rPr>
                <w:rFonts w:eastAsia="Times New Roman" w:cs="Times New Roman"/>
                <w:sz w:val="20"/>
                <w:szCs w:val="20"/>
              </w:rPr>
            </w:pPr>
            <w:r w:rsidRPr="002E52D1">
              <w:rPr>
                <w:color w:val="231F20"/>
                <w:sz w:val="20"/>
                <w:szCs w:val="20"/>
              </w:rPr>
              <w:t>Առանձին քիմիական խմբում ռեզոնանսային միջուկների հարաբերական քանակը</w:t>
            </w:r>
          </w:p>
        </w:tc>
      </w:tr>
      <w:tr w:rsidR="00702B4E" w:rsidRPr="002E52D1" w14:paraId="1E83203D" w14:textId="77777777" w:rsidTr="00721E82">
        <w:tc>
          <w:tcPr>
            <w:tcW w:w="4898" w:type="dxa"/>
          </w:tcPr>
          <w:p w14:paraId="6DDF0905" w14:textId="77777777" w:rsidR="00702B4E" w:rsidRPr="002E52D1" w:rsidRDefault="0055537C" w:rsidP="002E52D1">
            <w:pPr>
              <w:spacing w:after="120"/>
              <w:rPr>
                <w:rFonts w:eastAsia="Times New Roman" w:cs="Times New Roman"/>
                <w:sz w:val="20"/>
                <w:szCs w:val="20"/>
              </w:rPr>
            </w:pPr>
            <w:r w:rsidRPr="002E52D1">
              <w:rPr>
                <w:color w:val="231F20"/>
                <w:sz w:val="20"/>
                <w:szCs w:val="20"/>
              </w:rPr>
              <w:t>Զուգակցված համակարգի մուլտիպլետությունը</w:t>
            </w:r>
          </w:p>
        </w:tc>
        <w:tc>
          <w:tcPr>
            <w:tcW w:w="4898" w:type="dxa"/>
          </w:tcPr>
          <w:p w14:paraId="206A065F" w14:textId="77777777" w:rsidR="00702B4E" w:rsidRPr="002E52D1" w:rsidRDefault="0055537C" w:rsidP="002E52D1">
            <w:pPr>
              <w:spacing w:after="120"/>
              <w:rPr>
                <w:rFonts w:eastAsia="Times New Roman" w:cs="Times New Roman"/>
                <w:sz w:val="20"/>
                <w:szCs w:val="20"/>
              </w:rPr>
            </w:pPr>
            <w:r w:rsidRPr="002E52D1">
              <w:rPr>
                <w:color w:val="231F20"/>
                <w:sz w:val="20"/>
                <w:szCs w:val="20"/>
              </w:rPr>
              <w:t>Դիտարկվող միջուկի հետ սկալյար կերպով կապված միջուկների քանակը</w:t>
            </w:r>
          </w:p>
        </w:tc>
      </w:tr>
      <w:tr w:rsidR="00702B4E" w:rsidRPr="002E52D1" w14:paraId="54A2DFA0" w14:textId="77777777" w:rsidTr="002E52D1">
        <w:tc>
          <w:tcPr>
            <w:tcW w:w="4898" w:type="dxa"/>
            <w:tcBorders>
              <w:bottom w:val="single" w:sz="8" w:space="0" w:color="auto"/>
            </w:tcBorders>
          </w:tcPr>
          <w:p w14:paraId="277880B4" w14:textId="77777777" w:rsidR="00702B4E" w:rsidRPr="002E52D1" w:rsidRDefault="0055537C" w:rsidP="002E52D1">
            <w:pPr>
              <w:spacing w:after="120"/>
              <w:rPr>
                <w:rFonts w:eastAsia="Times New Roman" w:cs="Times New Roman"/>
                <w:sz w:val="20"/>
                <w:szCs w:val="20"/>
              </w:rPr>
            </w:pPr>
            <w:r w:rsidRPr="002E52D1">
              <w:rPr>
                <w:color w:val="231F20"/>
                <w:sz w:val="20"/>
                <w:szCs w:val="20"/>
              </w:rPr>
              <w:t xml:space="preserve">Սպին-սպինային փոխազդեցության հաստատունը </w:t>
            </w:r>
            <w:r w:rsidRPr="002E52D1">
              <w:rPr>
                <w:color w:val="231F20"/>
                <w:sz w:val="20"/>
                <w:szCs w:val="20"/>
                <w:vertAlign w:val="superscript"/>
              </w:rPr>
              <w:t>n</w:t>
            </w:r>
            <w:r w:rsidRPr="002E52D1">
              <w:rPr>
                <w:color w:val="231F20"/>
                <w:sz w:val="20"/>
                <w:szCs w:val="20"/>
              </w:rPr>
              <w:t>J (Հց)</w:t>
            </w:r>
          </w:p>
        </w:tc>
        <w:tc>
          <w:tcPr>
            <w:tcW w:w="4898" w:type="dxa"/>
            <w:tcBorders>
              <w:bottom w:val="single" w:sz="8" w:space="0" w:color="auto"/>
            </w:tcBorders>
          </w:tcPr>
          <w:p w14:paraId="54EE4A3D" w14:textId="77777777" w:rsidR="00702B4E" w:rsidRPr="002E52D1" w:rsidRDefault="0055537C" w:rsidP="002E52D1">
            <w:pPr>
              <w:spacing w:after="120"/>
              <w:rPr>
                <w:rFonts w:eastAsia="Times New Roman" w:cs="Times New Roman"/>
                <w:sz w:val="20"/>
                <w:szCs w:val="20"/>
              </w:rPr>
            </w:pPr>
            <w:r w:rsidRPr="002E52D1">
              <w:rPr>
                <w:color w:val="231F20"/>
                <w:sz w:val="20"/>
                <w:szCs w:val="20"/>
              </w:rPr>
              <w:t xml:space="preserve">Փոխգործակցող միջուկների քանակը </w:t>
            </w:r>
            <w:r w:rsidR="00B834A2" w:rsidRPr="002E52D1">
              <w:rPr>
                <w:color w:val="231F20"/>
                <w:sz w:val="20"/>
                <w:szCs w:val="20"/>
              </w:rPr>
              <w:t>եւ</w:t>
            </w:r>
            <w:r w:rsidRPr="002E52D1">
              <w:rPr>
                <w:color w:val="231F20"/>
                <w:sz w:val="20"/>
                <w:szCs w:val="20"/>
              </w:rPr>
              <w:t xml:space="preserve"> կապերի երկրաչափությունը</w:t>
            </w:r>
          </w:p>
        </w:tc>
      </w:tr>
    </w:tbl>
    <w:p w14:paraId="0769D252" w14:textId="77777777" w:rsidR="0066617C" w:rsidRPr="009217DE" w:rsidRDefault="0066617C" w:rsidP="00B834A2">
      <w:pPr>
        <w:autoSpaceDE w:val="0"/>
        <w:autoSpaceDN w:val="0"/>
        <w:adjustRightInd w:val="0"/>
        <w:spacing w:after="160" w:line="360" w:lineRule="auto"/>
        <w:ind w:firstLine="567"/>
        <w:jc w:val="both"/>
      </w:pPr>
    </w:p>
    <w:p w14:paraId="01B65B6D"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Տարբեր սպեկտրալ պարամետրերի համահարաբերակցությունները (օրինակ՝ քիմիական տեղաշարժը </w:t>
      </w:r>
      <w:r w:rsidR="00B834A2">
        <w:t>եւ</w:t>
      </w:r>
      <w:r w:rsidRPr="00B834A2">
        <w:t xml:space="preserve"> սպին</w:t>
      </w:r>
      <w:r w:rsidR="002E52D1">
        <w:t>-</w:t>
      </w:r>
      <w:r w:rsidRPr="00B834A2">
        <w:t>սպինային փոխազդեցության հաստատունը կամ տարբեր միջուկների քիմիական տեղաշարժերը մեկ մոլեկուլային համակարգի սահմաններում) կարող են ստացվել հոմո</w:t>
      </w:r>
      <w:r w:rsidR="002E52D1">
        <w:t>-</w:t>
      </w:r>
      <w:r w:rsidRPr="00B834A2">
        <w:t xml:space="preserve"> </w:t>
      </w:r>
      <w:r w:rsidR="00B834A2">
        <w:t>եւ</w:t>
      </w:r>
      <w:r w:rsidRPr="00B834A2">
        <w:t xml:space="preserve"> հետերոմիջուկային երկչափ </w:t>
      </w:r>
      <w:r w:rsidR="00B834A2">
        <w:t>եւ</w:t>
      </w:r>
      <w:r w:rsidRPr="00B834A2">
        <w:t xml:space="preserve"> ավելի բազմաչափ մեթոդներով։ </w:t>
      </w:r>
      <w:r w:rsidRPr="00B834A2">
        <w:rPr>
          <w:i/>
        </w:rPr>
        <w:t>T</w:t>
      </w:r>
      <w:r w:rsidRPr="00B834A2">
        <w:rPr>
          <w:vertAlign w:val="subscript"/>
        </w:rPr>
        <w:t>1</w:t>
      </w:r>
      <w:r w:rsidRPr="00B834A2">
        <w:t xml:space="preserve"> </w:t>
      </w:r>
      <w:r w:rsidR="00B834A2">
        <w:t>եւ</w:t>
      </w:r>
      <w:r w:rsidRPr="00B834A2">
        <w:t xml:space="preserve"> </w:t>
      </w:r>
      <w:r w:rsidRPr="00B834A2">
        <w:rPr>
          <w:i/>
        </w:rPr>
        <w:t>T</w:t>
      </w:r>
      <w:r w:rsidRPr="00B834A2">
        <w:rPr>
          <w:vertAlign w:val="subscript"/>
        </w:rPr>
        <w:t>2</w:t>
      </w:r>
      <w:r w:rsidRPr="00B834A2">
        <w:t xml:space="preserve"> ռելաքսացիայի ժամանակի, Օվերհաուզերի միջուկային էֆեկտների </w:t>
      </w:r>
      <w:r w:rsidR="00B834A2">
        <w:t>եւ</w:t>
      </w:r>
      <w:r w:rsidRPr="00B834A2">
        <w:t xml:space="preserve"> ժամանակ</w:t>
      </w:r>
      <w:r w:rsidR="004C35F2" w:rsidRPr="00B834A2">
        <w:t>ով</w:t>
      </w:r>
      <w:r w:rsidRPr="00B834A2">
        <w:t xml:space="preserve"> </w:t>
      </w:r>
      <w:r w:rsidR="00B25F37" w:rsidRPr="00B834A2">
        <w:t>պայմանավորված</w:t>
      </w:r>
      <w:r w:rsidRPr="00B834A2">
        <w:t xml:space="preserve"> պրոցեսների </w:t>
      </w:r>
      <w:r w:rsidRPr="00B834A2">
        <w:lastRenderedPageBreak/>
        <w:t>կինետիկայի վերաբերյալ տեղեկատվությունը նույնպես կարելի է ստանալ համապատասխան փորձերի միջոցով։</w:t>
      </w:r>
    </w:p>
    <w:p w14:paraId="4BDE0A96" w14:textId="77777777" w:rsidR="00702B4E" w:rsidRPr="00B834A2" w:rsidRDefault="00702B4E" w:rsidP="00B834A2">
      <w:pPr>
        <w:autoSpaceDE w:val="0"/>
        <w:autoSpaceDN w:val="0"/>
        <w:adjustRightInd w:val="0"/>
        <w:spacing w:after="160" w:line="360" w:lineRule="auto"/>
        <w:ind w:firstLine="567"/>
        <w:jc w:val="both"/>
        <w:rPr>
          <w:rFonts w:cs="Times New Roman"/>
          <w:b/>
          <w:bCs/>
        </w:rPr>
      </w:pPr>
    </w:p>
    <w:p w14:paraId="2048F9DC" w14:textId="77777777" w:rsidR="00702B4E" w:rsidRPr="00C41622" w:rsidRDefault="0055537C" w:rsidP="00B834A2">
      <w:pPr>
        <w:autoSpaceDE w:val="0"/>
        <w:autoSpaceDN w:val="0"/>
        <w:adjustRightInd w:val="0"/>
        <w:spacing w:after="160" w:line="360" w:lineRule="auto"/>
        <w:ind w:firstLine="567"/>
        <w:jc w:val="both"/>
        <w:rPr>
          <w:b/>
        </w:rPr>
      </w:pPr>
      <w:r w:rsidRPr="00B834A2">
        <w:rPr>
          <w:b/>
        </w:rPr>
        <w:t>ՍԱՐՔԸ</w:t>
      </w:r>
    </w:p>
    <w:p w14:paraId="2AA61D7A"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Բարձր լուծաչափմամբ ՄՄՌ սպեկտրաչափը բաղկացած է հետ</w:t>
      </w:r>
      <w:r w:rsidR="00B834A2">
        <w:t>եւ</w:t>
      </w:r>
      <w:r w:rsidRPr="00B834A2">
        <w:t>յալ մասերից՝</w:t>
      </w:r>
    </w:p>
    <w:p w14:paraId="41C59FC5" w14:textId="77777777" w:rsidR="00702B4E" w:rsidRPr="00B834A2"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1A4F05" w:rsidRPr="00B834A2">
        <w:t xml:space="preserve">մագնիս՝ </w:t>
      </w:r>
      <w:r w:rsidR="0055537C" w:rsidRPr="00B834A2">
        <w:t>հաստատուն մագնիսական դաշտ ստեղծելու համար.</w:t>
      </w:r>
    </w:p>
    <w:p w14:paraId="558F2939" w14:textId="77777777" w:rsidR="00702B4E" w:rsidRPr="00B834A2"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55537C" w:rsidRPr="00B834A2">
        <w:t xml:space="preserve">նմուշի բռնիչով ջերմապահպանող տվիչ, որը նախատեսված է բարձր հաճախականության իմպուլսի մատուցման </w:t>
      </w:r>
      <w:r w:rsidR="00B834A2">
        <w:t>եւ</w:t>
      </w:r>
      <w:r w:rsidR="0055537C" w:rsidRPr="00B834A2">
        <w:t xml:space="preserve"> նմուշի կողմից արձակվող ճառագայթման որոշման համար.</w:t>
      </w:r>
    </w:p>
    <w:p w14:paraId="702D55AF" w14:textId="77777777" w:rsidR="00702B4E" w:rsidRPr="00B834A2"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55537C" w:rsidRPr="00B834A2">
        <w:t xml:space="preserve">էլեկտրոնային սարքվածք՝ հզոր բարձր հաճախականության իմպուլսների ստեղծման, ԱԻԱ ազդանշանի գրանցման </w:t>
      </w:r>
      <w:r w:rsidR="00B834A2">
        <w:t>եւ</w:t>
      </w:r>
      <w:r w:rsidR="0055537C" w:rsidRPr="00B834A2">
        <w:t xml:space="preserve"> թվային ձ</w:t>
      </w:r>
      <w:r w:rsidR="00B834A2">
        <w:t>եւ</w:t>
      </w:r>
      <w:r w:rsidR="0055537C" w:rsidRPr="00B834A2">
        <w:t>ի փոխակերպման համար. այդ սարքվածքը նա</w:t>
      </w:r>
      <w:r w:rsidR="00B834A2">
        <w:t>եւ</w:t>
      </w:r>
      <w:r w:rsidR="0055537C" w:rsidRPr="00B834A2">
        <w:t xml:space="preserve"> պահպանում է սարքի էլեկտրոնիկայի կայունությունը.</w:t>
      </w:r>
    </w:p>
    <w:p w14:paraId="163CFC95" w14:textId="77777777" w:rsidR="00702B4E" w:rsidRPr="00B834A2"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55537C" w:rsidRPr="00B834A2">
        <w:t xml:space="preserve">տվյալների հավաքման </w:t>
      </w:r>
      <w:r w:rsidR="00B834A2">
        <w:t>եւ</w:t>
      </w:r>
      <w:r w:rsidR="0055537C" w:rsidRPr="00B834A2">
        <w:t xml:space="preserve"> մշակման սարքվածքներ (համակարգիչ).</w:t>
      </w:r>
    </w:p>
    <w:p w14:paraId="3CB2AA15"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նա</w:t>
      </w:r>
      <w:r w:rsidR="00B834A2">
        <w:t>եւ</w:t>
      </w:r>
      <w:r w:rsidRPr="00B834A2">
        <w:t xml:space="preserve"> ներառում է հետ</w:t>
      </w:r>
      <w:r w:rsidR="00B834A2">
        <w:t>եւ</w:t>
      </w:r>
      <w:r w:rsidRPr="00B834A2">
        <w:t>յալը՝</w:t>
      </w:r>
    </w:p>
    <w:p w14:paraId="2D33CC2F" w14:textId="77777777" w:rsidR="00702B4E" w:rsidRPr="00B834A2"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55537C" w:rsidRPr="00B834A2">
        <w:t>հոսանուտ կյուվետ՝ ՄՄՌ հեղուկային քրոմատագրման կամ հոսանուտ ներարկման անալիզի անցկացման համար.</w:t>
      </w:r>
    </w:p>
    <w:p w14:paraId="372CF7C6" w14:textId="77777777" w:rsidR="00702B4E" w:rsidRPr="002E52D1" w:rsidRDefault="003F7CCA" w:rsidP="003F7CCA">
      <w:pPr>
        <w:tabs>
          <w:tab w:val="left" w:pos="1134"/>
        </w:tabs>
        <w:autoSpaceDE w:val="0"/>
        <w:autoSpaceDN w:val="0"/>
        <w:adjustRightInd w:val="0"/>
        <w:spacing w:after="160" w:line="360" w:lineRule="auto"/>
        <w:ind w:firstLine="567"/>
        <w:jc w:val="both"/>
        <w:rPr>
          <w:rFonts w:cs="Times New Roman"/>
        </w:rPr>
      </w:pPr>
      <w:r>
        <w:t>-</w:t>
      </w:r>
      <w:r>
        <w:tab/>
      </w:r>
      <w:r w:rsidR="0055537C" w:rsidRPr="00B834A2">
        <w:t>համակարգ՝ ՄՄՌ մագնիսական դաշտի իմպուլսային գրադիենտի ստեղծման համար։</w:t>
      </w:r>
    </w:p>
    <w:p w14:paraId="532A3275"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Ուժեղ մագնիսական դաշտը գեներացվում է գերհաղորդականության կոճով՝ հեղուկ հելիումով լցված Դյուարի անոթում։ Տվիչը, որպես կանոն, պարունակում է նմուշ 5 մմ արտաքին տրամագծով փորձասրվակում կամ հոսանուտ կյուվետում, </w:t>
      </w:r>
      <w:r w:rsidR="00B834A2">
        <w:t>եւ</w:t>
      </w:r>
      <w:r w:rsidRPr="00B834A2">
        <w:t xml:space="preserve"> ռադիոհաճախականության մալուխներով միացված է էլեկտրոնային բլոկին, որը սարքաբերված է </w:t>
      </w:r>
      <w:r w:rsidRPr="00B834A2">
        <w:rPr>
          <w:vertAlign w:val="superscript"/>
        </w:rPr>
        <w:t>1</w:t>
      </w:r>
      <w:r w:rsidRPr="00B834A2">
        <w:t xml:space="preserve">Н-միջուկների </w:t>
      </w:r>
      <w:r w:rsidR="00B834A2">
        <w:t>եւ</w:t>
      </w:r>
      <w:r w:rsidR="003F7CCA">
        <w:t xml:space="preserve"> </w:t>
      </w:r>
      <w:r w:rsidRPr="00B834A2">
        <w:rPr>
          <w:i/>
        </w:rPr>
        <w:t>Х</w:t>
      </w:r>
      <w:r w:rsidRPr="00B834A2">
        <w:t xml:space="preserve">-միջուկների իզոտոպների հաճախականության վրա։ Անհրաժեշտ են լրացուցիչ սարքվածքները՝ </w:t>
      </w:r>
      <w:r w:rsidRPr="00B834A2">
        <w:lastRenderedPageBreak/>
        <w:t xml:space="preserve">էլեկտրոնային հաղորդաշղթաների սարքաբերման </w:t>
      </w:r>
      <w:r w:rsidR="00B834A2">
        <w:t>եւ</w:t>
      </w:r>
      <w:r w:rsidRPr="00B834A2">
        <w:t xml:space="preserve"> կարգավորման համար. բացի այդ, հաճախ օգտագործում են նմուշների ջերմապահպանումը։</w:t>
      </w:r>
    </w:p>
    <w:p w14:paraId="14DE8FF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Հարկ է հաստատել ՄՄՌ</w:t>
      </w:r>
      <w:r w:rsidR="003F7CCA">
        <w:t>-</w:t>
      </w:r>
      <w:r w:rsidRPr="00B834A2">
        <w:t>սպեկտրաչափի պատշաճ գործունեությունը։ Դրա համար օգտագործում են համապատասխան փորձարկումներ, որոնք, որպես կանոն, ներառում են որոշակի պայմաններում որոշակի պիկերի բարձրության կեսում սպեկտրալ գծի լայնության չափումը, ստանդարտ խառնուրդների համար ազդանշան/աղմուկ (</w:t>
      </w:r>
      <w:r w:rsidRPr="00B834A2">
        <w:rPr>
          <w:i/>
        </w:rPr>
        <w:t>S/N</w:t>
      </w:r>
      <w:r w:rsidRPr="00B834A2">
        <w:t xml:space="preserve">) հարաբերակցությունը, իմպուլսի ինտենսիվությունը (չափված որպես իմպուլսի 90° լայնություն) </w:t>
      </w:r>
      <w:r w:rsidR="00B834A2">
        <w:t>եւ</w:t>
      </w:r>
      <w:r w:rsidRPr="00B834A2">
        <w:t xml:space="preserve"> իմպուլսի վերարտադրելիությունը։ Բոլոր սարք արտադրողները տրամադրում են սարք/տվիչ որոշակի համակցությունների համար նշված պարամետրերի չափման արձանագրություններ</w:t>
      </w:r>
      <w:r w:rsidR="00653998" w:rsidRPr="00B834A2">
        <w:t>ն ու</w:t>
      </w:r>
      <w:r w:rsidRPr="00B834A2">
        <w:t xml:space="preserve"> մասնագրերը, </w:t>
      </w:r>
      <w:r w:rsidR="00B834A2">
        <w:t>եւ</w:t>
      </w:r>
      <w:r w:rsidRPr="00B834A2">
        <w:t xml:space="preserve"> անհրաժեշտ է անցկացնել այդ մասնագրերին համապատասխանության ստուգում։</w:t>
      </w:r>
    </w:p>
    <w:p w14:paraId="3944D76F" w14:textId="77777777" w:rsidR="00721E82" w:rsidRPr="00B834A2" w:rsidRDefault="00721E82" w:rsidP="0066617C">
      <w:pPr>
        <w:autoSpaceDE w:val="0"/>
        <w:autoSpaceDN w:val="0"/>
        <w:adjustRightInd w:val="0"/>
        <w:spacing w:after="160" w:line="348" w:lineRule="auto"/>
        <w:ind w:firstLine="567"/>
        <w:jc w:val="both"/>
        <w:rPr>
          <w:rFonts w:cs="Times New Roman"/>
          <w:b/>
          <w:bCs/>
        </w:rPr>
      </w:pPr>
    </w:p>
    <w:p w14:paraId="210990B9" w14:textId="77777777" w:rsidR="00702B4E" w:rsidRPr="00C41622" w:rsidRDefault="0055537C" w:rsidP="0066617C">
      <w:pPr>
        <w:autoSpaceDE w:val="0"/>
        <w:autoSpaceDN w:val="0"/>
        <w:adjustRightInd w:val="0"/>
        <w:spacing w:after="160" w:line="348" w:lineRule="auto"/>
        <w:ind w:firstLine="567"/>
        <w:jc w:val="both"/>
        <w:rPr>
          <w:b/>
        </w:rPr>
      </w:pPr>
      <w:r w:rsidRPr="00B834A2">
        <w:rPr>
          <w:b/>
        </w:rPr>
        <w:t>ՄՄՌ՝ ՖՈՒՐՅԵ</w:t>
      </w:r>
      <w:r w:rsidR="003F7CCA">
        <w:rPr>
          <w:b/>
        </w:rPr>
        <w:t>-</w:t>
      </w:r>
      <w:r w:rsidRPr="00B834A2">
        <w:rPr>
          <w:b/>
        </w:rPr>
        <w:t>ՓՈԽԱԿԵՐՊՄԱՄԲ (ՄՄՌ-ՖՓ)</w:t>
      </w:r>
    </w:p>
    <w:p w14:paraId="0701C30E" w14:textId="77777777" w:rsidR="00702B4E" w:rsidRPr="00C41622" w:rsidRDefault="0055537C" w:rsidP="0066617C">
      <w:pPr>
        <w:autoSpaceDE w:val="0"/>
        <w:autoSpaceDN w:val="0"/>
        <w:adjustRightInd w:val="0"/>
        <w:spacing w:after="160" w:line="348" w:lineRule="auto"/>
        <w:ind w:firstLine="567"/>
        <w:jc w:val="both"/>
      </w:pPr>
      <w:r w:rsidRPr="00B834A2">
        <w:t>Որպես կանոն</w:t>
      </w:r>
      <w:r w:rsidR="00653998" w:rsidRPr="00B834A2">
        <w:t>՝</w:t>
      </w:r>
      <w:r w:rsidRPr="00B834A2">
        <w:t xml:space="preserve"> ժամանակակից սպեկտրաչափերում օտագործվում է Ֆուրյե</w:t>
      </w:r>
      <w:r w:rsidR="003F7CCA">
        <w:t>-</w:t>
      </w:r>
      <w:r w:rsidRPr="00B834A2">
        <w:t>փոխակերպման սկզբունքը՝ նմուշը համապատասխան հաճախականության (ν), ամպլիտուդի (</w:t>
      </w:r>
      <w:r w:rsidRPr="00B834A2">
        <w:rPr>
          <w:i/>
        </w:rPr>
        <w:t>B</w:t>
      </w:r>
      <w:r w:rsidRPr="00B834A2">
        <w:rPr>
          <w:vertAlign w:val="subscript"/>
        </w:rPr>
        <w:t>1</w:t>
      </w:r>
      <w:r w:rsidRPr="00B834A2">
        <w:t xml:space="preserve">) </w:t>
      </w:r>
      <w:r w:rsidR="00B834A2">
        <w:t>եւ</w:t>
      </w:r>
      <w:r w:rsidRPr="00B834A2">
        <w:t xml:space="preserve"> տ</w:t>
      </w:r>
      <w:r w:rsidR="00B834A2">
        <w:t>եւ</w:t>
      </w:r>
      <w:r w:rsidRPr="00B834A2">
        <w:t>ողության (</w:t>
      </w:r>
      <w:r w:rsidRPr="00B834A2">
        <w:rPr>
          <w:rFonts w:cs="Times New Roman"/>
          <w:i/>
        </w:rPr>
        <w:sym w:font="Symbol" w:char="F074"/>
      </w:r>
      <w:r w:rsidRPr="00B834A2">
        <w:rPr>
          <w:i/>
          <w:vertAlign w:val="subscript"/>
        </w:rPr>
        <w:t>p</w:t>
      </w:r>
      <w:r w:rsidRPr="00B834A2">
        <w:t xml:space="preserve">) բարձր հաճախականության իմպուլսով գրգռելուց </w:t>
      </w:r>
      <w:r w:rsidR="00B834A2">
        <w:t>եւ</w:t>
      </w:r>
      <w:r w:rsidRPr="00B834A2">
        <w:t xml:space="preserve"> դրան հաջորդող կարճատ</w:t>
      </w:r>
      <w:r w:rsidR="00B834A2">
        <w:t>եւ</w:t>
      </w:r>
      <w:r w:rsidRPr="00B834A2">
        <w:t xml:space="preserve"> դադարից (</w:t>
      </w:r>
      <w:r w:rsidRPr="00B834A2">
        <w:rPr>
          <w:i/>
        </w:rPr>
        <w:t>t</w:t>
      </w:r>
      <w:r w:rsidRPr="00B834A2">
        <w:rPr>
          <w:i/>
          <w:vertAlign w:val="subscript"/>
        </w:rPr>
        <w:t>d</w:t>
      </w:r>
      <w:r w:rsidRPr="00B834A2">
        <w:t>) (ընդունիչի զգայունության վերականգնման ժամանակը) հետո ԱԻԱ ուժեղացված անալոգային ազդանշանը գրանցում են որոշակի ժամանակահատվածի ընթացքում (</w:t>
      </w:r>
      <w:r w:rsidRPr="00B834A2">
        <w:rPr>
          <w:i/>
        </w:rPr>
        <w:t>t</w:t>
      </w:r>
      <w:r w:rsidRPr="00B834A2">
        <w:rPr>
          <w:i/>
          <w:vertAlign w:val="subscript"/>
        </w:rPr>
        <w:t>ac</w:t>
      </w:r>
      <w:r w:rsidRPr="00B834A2">
        <w:t xml:space="preserve">) </w:t>
      </w:r>
      <w:r w:rsidR="00B834A2">
        <w:t>եւ</w:t>
      </w:r>
      <w:r w:rsidR="0054178C" w:rsidRPr="00B834A2">
        <w:t xml:space="preserve"> </w:t>
      </w:r>
      <w:r w:rsidRPr="00B834A2">
        <w:t>անալոգային թվային փոխակերպիչի (ԱԹՓ) միջոցով փոխակերպում են թվային ձ</w:t>
      </w:r>
      <w:r w:rsidR="00B834A2">
        <w:t>եւ</w:t>
      </w:r>
      <w:r w:rsidRPr="00B834A2">
        <w:t>ի, արդյունքները պահում են սպեկտրաչափի հիշողության մեջ։ Ելքային ազդանշանն ուժեղանում է թվայնացումից առաջ՝ զգայունության առավելագույն բարձրացման համար՝ չգերբեռնելով ԱԹՓ</w:t>
      </w:r>
      <w:r w:rsidR="003F7CCA">
        <w:t>-</w:t>
      </w:r>
      <w:r w:rsidRPr="00B834A2">
        <w:t xml:space="preserve">ն։ </w:t>
      </w:r>
      <w:r w:rsidRPr="00B834A2">
        <w:rPr>
          <w:i/>
        </w:rPr>
        <w:t>Х</w:t>
      </w:r>
      <w:r w:rsidRPr="00B834A2">
        <w:t xml:space="preserve">-միջուկների դիտարկման ժամանակ ստանդարտ փորձը, անհրաժեշտության դեպքում, ներառում է բոլոր պրոտոնների լայնաշերտ </w:t>
      </w:r>
      <w:r w:rsidRPr="00B834A2">
        <w:rPr>
          <w:vertAlign w:val="superscript"/>
        </w:rPr>
        <w:t>1</w:t>
      </w:r>
      <w:r w:rsidRPr="00B834A2">
        <w:t xml:space="preserve">Н տրոհումը (գրգռում)։ Ազդանշան/աղմուկ հարաբերակցության մեծացման համար ԱԻԱ բազմակի ազդանշանները կարող են կոհերենտ կերպով կուտակվել </w:t>
      </w:r>
      <w:r w:rsidR="00B834A2">
        <w:t>եւ</w:t>
      </w:r>
      <w:r w:rsidRPr="00B834A2">
        <w:t xml:space="preserve"> գումարվել։ Այդ ժամանակային միջակայքի տվյալների Ֆուրյե</w:t>
      </w:r>
      <w:r w:rsidR="003F7CCA">
        <w:t>-</w:t>
      </w:r>
      <w:r w:rsidRPr="00B834A2">
        <w:t>փոխակերպման ժամանակ ստանում են հաճախականությունների տիրույթի սպեկտր։</w:t>
      </w:r>
    </w:p>
    <w:p w14:paraId="69A4AC40" w14:textId="77777777" w:rsidR="00702B4E" w:rsidRPr="00530993" w:rsidRDefault="0055537C" w:rsidP="00B834A2">
      <w:pPr>
        <w:autoSpaceDE w:val="0"/>
        <w:autoSpaceDN w:val="0"/>
        <w:adjustRightInd w:val="0"/>
        <w:spacing w:after="160" w:line="360" w:lineRule="auto"/>
        <w:ind w:firstLine="567"/>
        <w:jc w:val="both"/>
        <w:rPr>
          <w:i/>
        </w:rPr>
      </w:pPr>
      <w:r w:rsidRPr="00464EA4">
        <w:rPr>
          <w:i/>
        </w:rPr>
        <w:lastRenderedPageBreak/>
        <w:t>ՊԱՐԱՄԵՏՐԵՐԸ</w:t>
      </w:r>
    </w:p>
    <w:p w14:paraId="6D710DFB"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Հետ</w:t>
      </w:r>
      <w:r w:rsidR="00B834A2">
        <w:t>եւ</w:t>
      </w:r>
      <w:r w:rsidRPr="00B834A2">
        <w:t>յալ պարամետրեր</w:t>
      </w:r>
      <w:r w:rsidR="00653998" w:rsidRPr="00B834A2">
        <w:t>ն</w:t>
      </w:r>
      <w:r w:rsidRPr="00B834A2">
        <w:t xml:space="preserve"> ազդում են Ֆուրյե</w:t>
      </w:r>
      <w:r w:rsidR="002E52D1">
        <w:t>-</w:t>
      </w:r>
      <w:r w:rsidRPr="00B834A2">
        <w:t xml:space="preserve">փոխակերպման փորձի արդյունքի վրա </w:t>
      </w:r>
      <w:r w:rsidR="00B834A2">
        <w:t>եւ</w:t>
      </w:r>
      <w:r w:rsidRPr="00B834A2">
        <w:t xml:space="preserve"> պետք է վերահսկվեն։</w:t>
      </w:r>
    </w:p>
    <w:p w14:paraId="2532444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Իմպուլսի լայնությունը (</w:t>
      </w:r>
      <w:r w:rsidRPr="00B834A2">
        <w:rPr>
          <w:rFonts w:cs="Times New Roman"/>
        </w:rPr>
        <w:sym w:font="Symbol" w:char="F074"/>
      </w:r>
      <w:r w:rsidRPr="00B834A2">
        <w:rPr>
          <w:b/>
          <w:i/>
          <w:vertAlign w:val="subscript"/>
        </w:rPr>
        <w:t>p</w:t>
      </w:r>
      <w:r w:rsidRPr="00B834A2">
        <w:rPr>
          <w:b/>
        </w:rPr>
        <w:t>)</w:t>
      </w:r>
      <w:r w:rsidRPr="00B834A2">
        <w:t xml:space="preserve">. Գրգռման իմպուլսն ուղղված է այսպես կոչված պտտման շրջանակի </w:t>
      </w:r>
      <w:r w:rsidRPr="00B834A2">
        <w:rPr>
          <w:i/>
        </w:rPr>
        <w:t xml:space="preserve">x </w:t>
      </w:r>
      <w:r w:rsidRPr="00B834A2">
        <w:t>առանցքի երկայնքով, դրա տ</w:t>
      </w:r>
      <w:r w:rsidR="00B834A2">
        <w:t>եւ</w:t>
      </w:r>
      <w:r w:rsidRPr="00B834A2">
        <w:t>ողությունը (կամ «լայնությունը»)</w:t>
      </w:r>
      <w:r w:rsidRPr="00B834A2">
        <w:rPr>
          <w:i/>
        </w:rPr>
        <w:t xml:space="preserve"> </w:t>
      </w:r>
      <w:r w:rsidRPr="00B834A2">
        <w:t xml:space="preserve">որոշում է շրջման անկյունը </w:t>
      </w:r>
      <w:r w:rsidR="00B834A2">
        <w:t>եւ</w:t>
      </w:r>
      <w:r w:rsidRPr="00B834A2">
        <w:t xml:space="preserve"> այդ կերպ՝ ռեզոնանսային ազդանշանի ինտենսիվությունը</w:t>
      </w:r>
      <w:r w:rsidRPr="00B834A2">
        <w:rPr>
          <w:i/>
        </w:rPr>
        <w:t>՝</w:t>
      </w:r>
    </w:p>
    <w:p w14:paraId="14714503" w14:textId="77777777" w:rsidR="00702B4E" w:rsidRPr="00B834A2" w:rsidRDefault="0055537C" w:rsidP="00B834A2">
      <w:pPr>
        <w:tabs>
          <w:tab w:val="left" w:pos="4536"/>
        </w:tabs>
        <w:autoSpaceDE w:val="0"/>
        <w:autoSpaceDN w:val="0"/>
        <w:adjustRightInd w:val="0"/>
        <w:spacing w:after="160" w:line="360" w:lineRule="auto"/>
        <w:ind w:firstLine="567"/>
        <w:jc w:val="center"/>
        <w:rPr>
          <w:rFonts w:cs="Times New Roman"/>
        </w:rPr>
      </w:pPr>
      <w:r w:rsidRPr="00B834A2">
        <w:t>θ = γ'·B</w:t>
      </w:r>
      <w:r w:rsidRPr="00B834A2">
        <w:rPr>
          <w:vertAlign w:val="subscript"/>
        </w:rPr>
        <w:t>1</w:t>
      </w:r>
      <w:r w:rsidRPr="00B834A2">
        <w:t>·</w:t>
      </w:r>
      <w:r w:rsidRPr="00B834A2">
        <w:rPr>
          <w:rFonts w:cs="Times New Roman"/>
        </w:rPr>
        <w:sym w:font="Symbol" w:char="F074"/>
      </w:r>
      <w:r w:rsidRPr="00B834A2">
        <w:rPr>
          <w:vertAlign w:val="subscript"/>
        </w:rPr>
        <w:t xml:space="preserve">p </w:t>
      </w:r>
      <w:r w:rsidRPr="00B834A2">
        <w:t xml:space="preserve">, </w:t>
      </w:r>
      <w:r w:rsidRPr="00B834A2">
        <w:tab/>
        <w:t>(1)</w:t>
      </w:r>
    </w:p>
    <w:p w14:paraId="58713DEF" w14:textId="77777777" w:rsidR="007B55AD" w:rsidRDefault="0055537C" w:rsidP="003F7CCA">
      <w:pPr>
        <w:autoSpaceDE w:val="0"/>
        <w:autoSpaceDN w:val="0"/>
        <w:adjustRightInd w:val="0"/>
        <w:spacing w:after="160" w:line="360" w:lineRule="auto"/>
        <w:ind w:firstLine="567"/>
        <w:jc w:val="both"/>
      </w:pPr>
      <w:r w:rsidRPr="00B834A2">
        <w:t xml:space="preserve">որտեղ՝ </w:t>
      </w:r>
    </w:p>
    <w:p w14:paraId="0B61DC5C"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rPr>
          <w:rFonts w:cs="Times New Roman"/>
        </w:rPr>
        <w:sym w:font="Symbol" w:char="F074"/>
      </w:r>
      <w:r w:rsidRPr="00B834A2">
        <w:rPr>
          <w:vertAlign w:val="subscript"/>
        </w:rPr>
        <w:t>p</w:t>
      </w:r>
      <w:r w:rsidR="003F7CCA">
        <w:t>-</w:t>
      </w:r>
      <w:r w:rsidRPr="00B834A2">
        <w:t>ն՝ իմպուլսի տ</w:t>
      </w:r>
      <w:r w:rsidR="00B834A2">
        <w:t>եւ</w:t>
      </w:r>
      <w:r w:rsidRPr="00B834A2">
        <w:t>ողությունն («լայնությունն») է.</w:t>
      </w:r>
    </w:p>
    <w:p w14:paraId="444F636E" w14:textId="77777777" w:rsidR="00872A30" w:rsidRPr="00B834A2" w:rsidRDefault="0055537C" w:rsidP="003F7CCA">
      <w:pPr>
        <w:autoSpaceDE w:val="0"/>
        <w:autoSpaceDN w:val="0"/>
        <w:adjustRightInd w:val="0"/>
        <w:spacing w:after="160" w:line="360" w:lineRule="auto"/>
        <w:ind w:firstLine="567"/>
        <w:jc w:val="both"/>
        <w:rPr>
          <w:rFonts w:cs="Times New Roman"/>
        </w:rPr>
      </w:pPr>
      <w:r w:rsidRPr="00B834A2">
        <w:t>θ</w:t>
      </w:r>
      <w:r w:rsidR="003F7CCA">
        <w:t>-</w:t>
      </w:r>
      <w:r w:rsidRPr="00B834A2">
        <w:t>ն՝ պտտման շրջանակի շրջման անկյուն</w:t>
      </w:r>
      <w:r w:rsidR="00653998" w:rsidRPr="00B834A2">
        <w:t>ը</w:t>
      </w:r>
      <w:r w:rsidRPr="00B834A2">
        <w:t>.</w:t>
      </w:r>
    </w:p>
    <w:p w14:paraId="34A63AAB" w14:textId="77777777" w:rsidR="00872A30" w:rsidRPr="00B834A2" w:rsidRDefault="003F7CCA" w:rsidP="003F7CCA">
      <w:pPr>
        <w:autoSpaceDE w:val="0"/>
        <w:autoSpaceDN w:val="0"/>
        <w:adjustRightInd w:val="0"/>
        <w:spacing w:after="160" w:line="360" w:lineRule="auto"/>
        <w:ind w:firstLine="567"/>
        <w:jc w:val="both"/>
        <w:rPr>
          <w:rFonts w:cs="Times New Roman"/>
        </w:rPr>
      </w:pPr>
      <w:r>
        <w:t>γ'-</w:t>
      </w:r>
      <w:r w:rsidR="0055537C" w:rsidRPr="00B834A2">
        <w:t>ն՝ մագնիսահոլակային հարաբերություն</w:t>
      </w:r>
      <w:r w:rsidR="00653998" w:rsidRPr="00B834A2">
        <w:t>ը</w:t>
      </w:r>
      <w:r w:rsidR="0055537C" w:rsidRPr="00B834A2">
        <w:t>։</w:t>
      </w:r>
    </w:p>
    <w:p w14:paraId="68258570" w14:textId="77777777" w:rsidR="00702B4E" w:rsidRPr="00B834A2" w:rsidRDefault="0055537C" w:rsidP="00B834A2">
      <w:pPr>
        <w:tabs>
          <w:tab w:val="left" w:pos="4536"/>
        </w:tabs>
        <w:autoSpaceDE w:val="0"/>
        <w:autoSpaceDN w:val="0"/>
        <w:adjustRightInd w:val="0"/>
        <w:spacing w:after="160" w:line="360" w:lineRule="auto"/>
        <w:ind w:firstLine="567"/>
        <w:jc w:val="center"/>
        <w:rPr>
          <w:rFonts w:cs="Times New Roman"/>
        </w:rPr>
      </w:pPr>
      <w:r w:rsidRPr="00B834A2">
        <w:t>M</w:t>
      </w:r>
      <w:r w:rsidRPr="00B834A2">
        <w:rPr>
          <w:vertAlign w:val="subscript"/>
        </w:rPr>
        <w:t xml:space="preserve">y </w:t>
      </w:r>
      <w:r w:rsidRPr="00B834A2">
        <w:t>= M</w:t>
      </w:r>
      <w:r w:rsidRPr="00B834A2">
        <w:rPr>
          <w:vertAlign w:val="subscript"/>
        </w:rPr>
        <w:t>o</w:t>
      </w:r>
      <w:r w:rsidRPr="00B834A2">
        <w:t xml:space="preserve">·sinθ, </w:t>
      </w:r>
      <w:r w:rsidRPr="00B834A2">
        <w:tab/>
        <w:t>(2)</w:t>
      </w:r>
    </w:p>
    <w:p w14:paraId="027D194B" w14:textId="77777777" w:rsidR="007B55AD" w:rsidRDefault="0055537C" w:rsidP="003F7CCA">
      <w:pPr>
        <w:autoSpaceDE w:val="0"/>
        <w:autoSpaceDN w:val="0"/>
        <w:adjustRightInd w:val="0"/>
        <w:spacing w:after="160" w:line="360" w:lineRule="auto"/>
        <w:ind w:firstLine="567"/>
        <w:jc w:val="both"/>
      </w:pPr>
      <w:r w:rsidRPr="00B834A2">
        <w:t xml:space="preserve">որտեղ՝ </w:t>
      </w:r>
    </w:p>
    <w:p w14:paraId="1440128A"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rPr>
          <w:i/>
        </w:rPr>
        <w:t>М</w:t>
      </w:r>
      <w:r w:rsidR="003F7CCA">
        <w:rPr>
          <w:i/>
        </w:rPr>
        <w:t>-</w:t>
      </w:r>
      <w:r w:rsidRPr="00B834A2">
        <w:rPr>
          <w:i/>
        </w:rPr>
        <w:t>ն</w:t>
      </w:r>
      <w:r w:rsidRPr="00B834A2">
        <w:t>՝ դիտարկվող մագնիսացածությունն է.</w:t>
      </w:r>
    </w:p>
    <w:p w14:paraId="7913E5C3" w14:textId="77777777" w:rsidR="00872A30" w:rsidRPr="00B834A2" w:rsidRDefault="0055537C" w:rsidP="003F7CCA">
      <w:pPr>
        <w:autoSpaceDE w:val="0"/>
        <w:autoSpaceDN w:val="0"/>
        <w:adjustRightInd w:val="0"/>
        <w:spacing w:after="160" w:line="360" w:lineRule="auto"/>
        <w:ind w:firstLine="567"/>
        <w:jc w:val="both"/>
        <w:rPr>
          <w:rFonts w:cs="Times New Roman"/>
        </w:rPr>
      </w:pPr>
      <w:r w:rsidRPr="00B834A2">
        <w:rPr>
          <w:i/>
        </w:rPr>
        <w:t>M</w:t>
      </w:r>
      <w:r w:rsidRPr="00B834A2">
        <w:rPr>
          <w:vertAlign w:val="subscript"/>
        </w:rPr>
        <w:t>o</w:t>
      </w:r>
      <w:r w:rsidR="003F7CCA">
        <w:t>-</w:t>
      </w:r>
      <w:r w:rsidRPr="00B834A2">
        <w:t xml:space="preserve">ն՝ընդհանուր </w:t>
      </w:r>
      <w:r w:rsidR="00E52D9F" w:rsidRPr="00B834A2">
        <w:t>մագնիսացածությունը.</w:t>
      </w:r>
    </w:p>
    <w:p w14:paraId="0B627270" w14:textId="77777777" w:rsidR="00872A30" w:rsidRPr="00B834A2" w:rsidRDefault="0066617C" w:rsidP="003F7CCA">
      <w:pPr>
        <w:autoSpaceDE w:val="0"/>
        <w:autoSpaceDN w:val="0"/>
        <w:adjustRightInd w:val="0"/>
        <w:spacing w:after="160" w:line="360" w:lineRule="auto"/>
        <w:ind w:firstLine="567"/>
        <w:jc w:val="both"/>
        <w:rPr>
          <w:rFonts w:cs="Times New Roman"/>
        </w:rPr>
      </w:pPr>
      <w:r w:rsidRPr="00B834A2">
        <w:t>θ</w:t>
      </w:r>
      <w:r w:rsidR="003F7CCA">
        <w:t>-</w:t>
      </w:r>
      <w:r w:rsidR="0055537C" w:rsidRPr="00B834A2">
        <w:t>ն՝ պտտման շրջանակի շրջման անկյուն</w:t>
      </w:r>
      <w:r w:rsidR="00653998" w:rsidRPr="00B834A2">
        <w:t>ը</w:t>
      </w:r>
      <w:r w:rsidR="0055537C" w:rsidRPr="00B834A2">
        <w:t>։</w:t>
      </w:r>
    </w:p>
    <w:p w14:paraId="5ACCEB42" w14:textId="77777777" w:rsidR="00702B4E" w:rsidRPr="009217DE" w:rsidRDefault="0055537C" w:rsidP="00B834A2">
      <w:pPr>
        <w:autoSpaceDE w:val="0"/>
        <w:autoSpaceDN w:val="0"/>
        <w:adjustRightInd w:val="0"/>
        <w:spacing w:after="160" w:line="360" w:lineRule="auto"/>
        <w:ind w:firstLine="567"/>
        <w:jc w:val="both"/>
      </w:pPr>
      <w:r w:rsidRPr="00B834A2">
        <w:t>Դիտարկվող մագնիսացածությունն առավելագույնն է</w:t>
      </w:r>
      <w:r w:rsidR="003F7CCA">
        <w:t xml:space="preserve"> θ=</w:t>
      </w:r>
      <w:r w:rsidRPr="00B834A2">
        <w:t>90° դեպքում։ Իմպուլսի տ</w:t>
      </w:r>
      <w:r w:rsidR="00B834A2">
        <w:t>եւ</w:t>
      </w:r>
      <w:r w:rsidRPr="00B834A2">
        <w:t>ողությունը պետք է լինի կարճ՝ երաշխավորելու համար, որ բոլոր գրգռվածության ազդանշանները սպեկտրալ լայնությունում ունեն նույն ինտենսիվությունը։ Մագնիսացածությունը մարում է ռելաքսացիայի պրոցեսների հետ</w:t>
      </w:r>
      <w:r w:rsidR="00B834A2">
        <w:t>եւ</w:t>
      </w:r>
      <w:r w:rsidRPr="00B834A2">
        <w:t>անքով։</w:t>
      </w:r>
    </w:p>
    <w:p w14:paraId="026A2224"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Դադարի երկարությունը (</w:t>
      </w:r>
      <w:r w:rsidRPr="00B834A2">
        <w:rPr>
          <w:b/>
          <w:i/>
        </w:rPr>
        <w:t>t</w:t>
      </w:r>
      <w:r w:rsidRPr="00B834A2">
        <w:rPr>
          <w:b/>
          <w:i/>
          <w:vertAlign w:val="subscript"/>
        </w:rPr>
        <w:t>d</w:t>
      </w:r>
      <w:r w:rsidRPr="00B834A2">
        <w:rPr>
          <w:b/>
        </w:rPr>
        <w:t>)</w:t>
      </w:r>
      <w:r w:rsidRPr="00B834A2">
        <w:t xml:space="preserve">. Դադարը իմպուլսի մատուցման ավարտի </w:t>
      </w:r>
      <w:r w:rsidR="00B834A2">
        <w:t>եւ</w:t>
      </w:r>
      <w:r w:rsidRPr="00B834A2">
        <w:t xml:space="preserve"> տվյալների հավաքման </w:t>
      </w:r>
      <w:r w:rsidR="00E52D9F" w:rsidRPr="00B834A2">
        <w:t>մեկնար</w:t>
      </w:r>
      <w:r w:rsidR="008814BC" w:rsidRPr="00B834A2">
        <w:t>կ</w:t>
      </w:r>
      <w:r w:rsidR="00E52D9F" w:rsidRPr="00B834A2">
        <w:t>ի մ</w:t>
      </w:r>
      <w:r w:rsidRPr="00B834A2">
        <w:t>իջ</w:t>
      </w:r>
      <w:r w:rsidR="00B834A2">
        <w:t>եւ</w:t>
      </w:r>
      <w:r w:rsidRPr="00B834A2">
        <w:t xml:space="preserve"> ընկած ժամանակն է, որն անհրաժեշտ է տեխնիկական պատճառներով, քանի որ դրա երկարությունը կարող է ազդել </w:t>
      </w:r>
      <w:r w:rsidRPr="00B834A2">
        <w:lastRenderedPageBreak/>
        <w:t xml:space="preserve">ազդանշանի ինտենսիվության </w:t>
      </w:r>
      <w:r w:rsidR="00B834A2">
        <w:t>եւ</w:t>
      </w:r>
      <w:r w:rsidRPr="00B834A2">
        <w:t xml:space="preserve"> պիկի փուլի վրա։ Արագ մարող ազդանշանները (որոնք սկիզբ են տալիս լայն սպեկտրալ գծերին) ավելի շատ են նվազում ինտենսիվությամբ, քան դանդաղ մարող ազդանշանները (որոնք սկիզբ են տալիս նեղ սպեկտրալ գծերին)։</w:t>
      </w:r>
    </w:p>
    <w:p w14:paraId="3CAC666A"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Տվյալների հավաքման ժամանակը (</w:t>
      </w:r>
      <w:r w:rsidRPr="00B834A2">
        <w:rPr>
          <w:b/>
          <w:i/>
        </w:rPr>
        <w:t>t</w:t>
      </w:r>
      <w:r w:rsidRPr="00B834A2">
        <w:rPr>
          <w:b/>
          <w:i/>
          <w:vertAlign w:val="subscript"/>
        </w:rPr>
        <w:t>ac</w:t>
      </w:r>
      <w:r w:rsidRPr="00B834A2">
        <w:rPr>
          <w:b/>
        </w:rPr>
        <w:t>)</w:t>
      </w:r>
      <w:r w:rsidRPr="00B834A2">
        <w:t xml:space="preserve">. Տվյալների հավաքման ժամանակը կապված է սպեկտրալ լայնության (այսինքն՝ ամբողջ դիտարկվող տիրույթի) </w:t>
      </w:r>
      <w:r w:rsidR="00B834A2">
        <w:t>եւ</w:t>
      </w:r>
      <w:r w:rsidRPr="00B834A2">
        <w:t xml:space="preserve"> ազդանշանի հայտնաբերման ժամանակ հավաքված՝ թվային լուծաչափի կետերի քանակի հետ։</w:t>
      </w:r>
    </w:p>
    <w:p w14:paraId="3CE1D836" w14:textId="77777777" w:rsidR="00702B4E" w:rsidRPr="00A859E3" w:rsidRDefault="0055537C" w:rsidP="00B834A2">
      <w:pPr>
        <w:tabs>
          <w:tab w:val="left" w:pos="4536"/>
        </w:tabs>
        <w:autoSpaceDE w:val="0"/>
        <w:autoSpaceDN w:val="0"/>
        <w:adjustRightInd w:val="0"/>
        <w:spacing w:after="160" w:line="360" w:lineRule="auto"/>
        <w:ind w:firstLine="567"/>
        <w:jc w:val="center"/>
        <w:rPr>
          <w:rFonts w:cs="Times New Roman"/>
        </w:rPr>
      </w:pPr>
      <w:r w:rsidRPr="00B834A2">
        <w:rPr>
          <w:i/>
        </w:rPr>
        <w:t>t</w:t>
      </w:r>
      <w:r w:rsidRPr="00B834A2">
        <w:rPr>
          <w:i/>
          <w:vertAlign w:val="subscript"/>
        </w:rPr>
        <w:t>ac</w:t>
      </w:r>
      <w:r w:rsidRPr="00B834A2">
        <w:rPr>
          <w:i/>
        </w:rPr>
        <w:t xml:space="preserve"> = </w:t>
      </w:r>
      <m:oMath>
        <m:f>
          <m:fPr>
            <m:ctrlPr>
              <w:rPr>
                <w:rFonts w:ascii="Cambria Math" w:eastAsiaTheme="minorEastAsia" w:hAnsi="Cambria Math" w:cs="Times New Roman"/>
                <w:bCs/>
                <w:i/>
                <w:iCs/>
              </w:rPr>
            </m:ctrlPr>
          </m:fPr>
          <m:num>
            <m:r>
              <w:rPr>
                <w:rFonts w:ascii="Cambria Math" w:eastAsiaTheme="minorEastAsia" w:hAnsi="Cambria Math" w:cs="Times New Roman"/>
              </w:rPr>
              <m:t>DP</m:t>
            </m:r>
          </m:num>
          <m:den>
            <m:r>
              <w:rPr>
                <w:rFonts w:ascii="Cambria Math" w:eastAsiaTheme="minorEastAsia" w:cs="Times New Roman"/>
              </w:rPr>
              <m:t>2</m:t>
            </m:r>
            <m:r>
              <w:rPr>
                <w:rFonts w:ascii="Cambria Math" w:eastAsiaTheme="minorEastAsia" w:hAnsi="Cambria Math" w:cs="Times New Roman"/>
              </w:rPr>
              <m:t>SW</m:t>
            </m:r>
          </m:den>
        </m:f>
      </m:oMath>
      <w:r w:rsidRPr="00B834A2">
        <w:rPr>
          <w:i/>
        </w:rPr>
        <w:t xml:space="preserve"> , </w:t>
      </w:r>
      <w:r w:rsidRPr="00B834A2">
        <w:tab/>
      </w:r>
      <w:r w:rsidRPr="00A859E3">
        <w:t>(3)</w:t>
      </w:r>
    </w:p>
    <w:p w14:paraId="3F306915" w14:textId="77777777" w:rsidR="007B55AD" w:rsidRDefault="0055537C" w:rsidP="003F7CCA">
      <w:pPr>
        <w:autoSpaceDE w:val="0"/>
        <w:autoSpaceDN w:val="0"/>
        <w:adjustRightInd w:val="0"/>
        <w:spacing w:after="160" w:line="360" w:lineRule="auto"/>
        <w:ind w:firstLine="567"/>
        <w:jc w:val="both"/>
      </w:pPr>
      <w:r w:rsidRPr="00B834A2">
        <w:t xml:space="preserve">որտեղ՝ </w:t>
      </w:r>
    </w:p>
    <w:p w14:paraId="3F3C1FD3"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rPr>
          <w:i/>
        </w:rPr>
        <w:t>SW</w:t>
      </w:r>
      <w:r w:rsidR="003F7CCA">
        <w:rPr>
          <w:i/>
        </w:rPr>
        <w:t>-</w:t>
      </w:r>
      <w:r w:rsidRPr="00B834A2">
        <w:rPr>
          <w:i/>
        </w:rPr>
        <w:t xml:space="preserve">ն՝ </w:t>
      </w:r>
      <w:r w:rsidRPr="00B834A2">
        <w:t>սպեկտրալ լայնությունն է.</w:t>
      </w:r>
    </w:p>
    <w:p w14:paraId="009DA94A" w14:textId="77777777" w:rsidR="00872A30" w:rsidRPr="00B834A2" w:rsidRDefault="0055537C" w:rsidP="003F7CCA">
      <w:pPr>
        <w:autoSpaceDE w:val="0"/>
        <w:autoSpaceDN w:val="0"/>
        <w:adjustRightInd w:val="0"/>
        <w:spacing w:after="160" w:line="360" w:lineRule="auto"/>
        <w:ind w:firstLine="567"/>
        <w:jc w:val="both"/>
        <w:rPr>
          <w:rFonts w:cs="Times New Roman"/>
        </w:rPr>
      </w:pPr>
      <w:r w:rsidRPr="00B834A2">
        <w:rPr>
          <w:i/>
        </w:rPr>
        <w:t>DP</w:t>
      </w:r>
      <w:r w:rsidR="003F7CCA">
        <w:rPr>
          <w:i/>
        </w:rPr>
        <w:t>-</w:t>
      </w:r>
      <w:r w:rsidRPr="00B834A2">
        <w:rPr>
          <w:i/>
        </w:rPr>
        <w:t xml:space="preserve">ն՝ </w:t>
      </w:r>
      <w:r w:rsidRPr="00B834A2">
        <w:t>թվային լուծաչափի կետերի քանակ</w:t>
      </w:r>
      <w:r w:rsidR="00B0736A" w:rsidRPr="00B834A2">
        <w:t>ը</w:t>
      </w:r>
      <w:r w:rsidRPr="00B834A2">
        <w:t>։</w:t>
      </w:r>
    </w:p>
    <w:p w14:paraId="3B7421DF"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Ազդանշանի առավելագույն ինտենսիվությունը </w:t>
      </w:r>
      <w:r w:rsidR="00B834A2">
        <w:t>եւ</w:t>
      </w:r>
      <w:r w:rsidRPr="00B834A2">
        <w:t xml:space="preserve"> աղմուկի նկատմամբ </w:t>
      </w:r>
      <w:r w:rsidRPr="003F7CCA">
        <w:rPr>
          <w:spacing w:val="-4"/>
        </w:rPr>
        <w:t>ազդանշանի հարաբերակցությունը ձեռք կբերվեն, եթե տվյալների հավաքման ժամանակը մոտավորապես հավասար է 1,2/(πν</w:t>
      </w:r>
      <w:r w:rsidRPr="003F7CCA">
        <w:rPr>
          <w:spacing w:val="-4"/>
          <w:vertAlign w:val="subscript"/>
        </w:rPr>
        <w:t>1/2</w:t>
      </w:r>
      <w:r w:rsidRPr="003F7CCA">
        <w:rPr>
          <w:spacing w:val="-4"/>
        </w:rPr>
        <w:t>), որտեղ ν</w:t>
      </w:r>
      <w:r w:rsidRPr="003F7CCA">
        <w:rPr>
          <w:spacing w:val="-4"/>
          <w:vertAlign w:val="subscript"/>
        </w:rPr>
        <w:t>1/2</w:t>
      </w:r>
      <w:r w:rsidR="003F7CCA">
        <w:rPr>
          <w:spacing w:val="-4"/>
        </w:rPr>
        <w:t>-</w:t>
      </w:r>
      <w:r w:rsidRPr="003F7CCA">
        <w:rPr>
          <w:spacing w:val="-4"/>
        </w:rPr>
        <w:t>ն լրիվ լայնությունն է բարձրության</w:t>
      </w:r>
      <w:r w:rsidRPr="00B834A2">
        <w:t xml:space="preserve"> կեսում, սակայն ազդանշանի աղավաղման նվազարկման համար այդ մեծությունը պետք է լինի 5/(πν</w:t>
      </w:r>
      <w:r w:rsidRPr="00B834A2">
        <w:rPr>
          <w:vertAlign w:val="subscript"/>
        </w:rPr>
        <w:t>1/2</w:t>
      </w:r>
      <w:r w:rsidRPr="00B834A2">
        <w:t>)</w:t>
      </w:r>
      <w:r w:rsidR="003F7CCA">
        <w:t>-</w:t>
      </w:r>
      <w:r w:rsidRPr="00B834A2">
        <w:t>ից ավելի։</w:t>
      </w:r>
    </w:p>
    <w:p w14:paraId="7144455F"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Կրկնման ժամանակը (</w:t>
      </w:r>
      <w:r w:rsidRPr="00B834A2">
        <w:rPr>
          <w:b/>
          <w:i/>
        </w:rPr>
        <w:t>t</w:t>
      </w:r>
      <w:r w:rsidRPr="00B834A2">
        <w:rPr>
          <w:b/>
          <w:i/>
          <w:vertAlign w:val="subscript"/>
        </w:rPr>
        <w:t>r</w:t>
      </w:r>
      <w:r w:rsidRPr="00B834A2">
        <w:rPr>
          <w:b/>
        </w:rPr>
        <w:t>)</w:t>
      </w:r>
      <w:r w:rsidRPr="00B834A2">
        <w:t>. Սպին</w:t>
      </w:r>
      <w:r w:rsidR="003F7CCA">
        <w:t>-</w:t>
      </w:r>
      <w:r w:rsidRPr="00B834A2">
        <w:t>վանդակավոր ռելաքսացիան ազդում է այն ժամանակի վրա, որը պահանջվում է սպինային համակարգից իմպուլսից հետո հավասարակշռության մեջ ընկնելու համար։ Ռելաքսացիան կարող է նվազեցվել հատուկ ռեակտիվների միջոցով։ Քանակական անալիզում կրկնման օգտագործվող ժամանակը պետք է սահմանվի սպին</w:t>
      </w:r>
      <w:r w:rsidR="003F7CCA">
        <w:t>-</w:t>
      </w:r>
      <w:r w:rsidRPr="00B834A2">
        <w:t xml:space="preserve">վանդակավոր ռելաքսացիայի </w:t>
      </w:r>
      <w:r w:rsidR="00B834A2">
        <w:t>եւ</w:t>
      </w:r>
      <w:r w:rsidRPr="00B834A2">
        <w:t xml:space="preserve"> պտտման շրջանակի պտույտի անկյան առնչությամբ՝ հագեցման էֆեկտներից խուսափելու համար։</w:t>
      </w:r>
    </w:p>
    <w:p w14:paraId="63263F40"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Ընդունիչի ուժեղացումը։ Տվիչով դետեկտվող անալոգային ազդանշանն ուժեղացնում են մինչ</w:t>
      </w:r>
      <w:r w:rsidR="00B834A2">
        <w:t>եւ</w:t>
      </w:r>
      <w:r w:rsidRPr="00B834A2">
        <w:t xml:space="preserve"> թվայնացումն ու պահումը։ Ազդանշանի ուժեղացումը </w:t>
      </w:r>
      <w:r w:rsidRPr="00B834A2">
        <w:lastRenderedPageBreak/>
        <w:t>պետք է կարգավորվի կամ ավտոմատ կերպով, կամ ձեռքով, որպեսզի ազդանշանը չգերբեռնի ԱԹՓ</w:t>
      </w:r>
      <w:r w:rsidR="003F7CCA">
        <w:t>-</w:t>
      </w:r>
      <w:r w:rsidRPr="00B834A2">
        <w:t>ն, ինչ</w:t>
      </w:r>
      <w:r w:rsidR="004E0D2A" w:rsidRPr="00B834A2">
        <w:t>ն</w:t>
      </w:r>
      <w:r w:rsidRPr="00B834A2">
        <w:t xml:space="preserve"> իր հերթին կարող է առաջացնել ազդանշանի աղավաղում, </w:t>
      </w:r>
      <w:r w:rsidR="00B834A2">
        <w:t>եւ</w:t>
      </w:r>
      <w:r w:rsidRPr="00B834A2">
        <w:t xml:space="preserve"> թույլ կտա թվայնացնել հետազոտության ժամանակ արձակած պատահական աղմուկը (այսինքն՝ լինել զրո</w:t>
      </w:r>
      <w:r w:rsidR="004E0D2A" w:rsidRPr="00B834A2">
        <w:t>յ</w:t>
      </w:r>
      <w:r w:rsidRPr="00B834A2">
        <w:t>ից տարբեր)։</w:t>
      </w:r>
    </w:p>
    <w:p w14:paraId="4D557043" w14:textId="77777777" w:rsidR="00702B4E" w:rsidRPr="00B834A2" w:rsidRDefault="00702B4E" w:rsidP="00B834A2">
      <w:pPr>
        <w:autoSpaceDE w:val="0"/>
        <w:autoSpaceDN w:val="0"/>
        <w:adjustRightInd w:val="0"/>
        <w:spacing w:after="160" w:line="360" w:lineRule="auto"/>
        <w:ind w:firstLine="567"/>
        <w:jc w:val="both"/>
        <w:rPr>
          <w:rFonts w:cs="Times New Roman"/>
          <w:i/>
          <w:iCs/>
        </w:rPr>
      </w:pPr>
    </w:p>
    <w:p w14:paraId="61C09766" w14:textId="77777777" w:rsidR="00702B4E" w:rsidRPr="00464EA4" w:rsidRDefault="0055537C" w:rsidP="003F7CCA">
      <w:pPr>
        <w:autoSpaceDE w:val="0"/>
        <w:autoSpaceDN w:val="0"/>
        <w:adjustRightInd w:val="0"/>
        <w:spacing w:after="160" w:line="360" w:lineRule="auto"/>
        <w:ind w:firstLine="567"/>
        <w:jc w:val="both"/>
        <w:rPr>
          <w:rFonts w:cs="Times New Roman"/>
          <w:i/>
          <w:iCs/>
        </w:rPr>
      </w:pPr>
      <w:r w:rsidRPr="00464EA4">
        <w:rPr>
          <w:i/>
        </w:rPr>
        <w:t xml:space="preserve">ՏՎՅԱԼՆԵՐԻ ՀԱՎԱՔՄԱՆ </w:t>
      </w:r>
      <w:r w:rsidR="004E0D2A" w:rsidRPr="00464EA4">
        <w:rPr>
          <w:i/>
        </w:rPr>
        <w:t xml:space="preserve">ԵՎ </w:t>
      </w:r>
      <w:r w:rsidRPr="00464EA4">
        <w:rPr>
          <w:i/>
        </w:rPr>
        <w:t>ՄՇԱԿՄԱՆ ՊԱՐԱՄԵՏՐԵՐԻ ՕՊՏԻՄԱԼԱՑՈՒՄ ՔԱՆԱԿԱԿԱՆ ԱՆԱԼԻԶԻ ԺԱՄԱՆԱԿ</w:t>
      </w:r>
    </w:p>
    <w:p w14:paraId="347D14D3"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Տվյալների հավաքման պարամետրերից բացի</w:t>
      </w:r>
      <w:r w:rsidR="004E0D2A" w:rsidRPr="00B834A2">
        <w:t>՝</w:t>
      </w:r>
      <w:r w:rsidRPr="00B834A2">
        <w:t xml:space="preserve"> ազդանշանի ինտենսիվությունը </w:t>
      </w:r>
      <w:r w:rsidR="00FC0DBE" w:rsidRPr="00B834A2">
        <w:t>պայմանավորված</w:t>
      </w:r>
      <w:r w:rsidRPr="00B834A2">
        <w:t xml:space="preserve"> է </w:t>
      </w:r>
      <w:r w:rsidR="00B834A2">
        <w:t>եւ</w:t>
      </w:r>
      <w:r w:rsidRPr="00B834A2">
        <w:t>ս մի քանի պարամետրեր</w:t>
      </w:r>
      <w:r w:rsidR="00FC0DBE" w:rsidRPr="00B834A2">
        <w:t>ով</w:t>
      </w:r>
      <w:r w:rsidRPr="00B834A2">
        <w:t>։ Սկանավորման բավարար քանակությամբ ցիկլերի հավաքումից հետո ԱԻԱ ամփոփիչ ազդանշանը փոխակերպվում է Ֆուրյե</w:t>
      </w:r>
      <w:r w:rsidR="003F7CCA">
        <w:t>-</w:t>
      </w:r>
      <w:r w:rsidRPr="00B834A2">
        <w:t>փոխակերպման միջոցով։ Հավաստի քանակական որոշման համար պետք է օպտիմալացվեն հետ</w:t>
      </w:r>
      <w:r w:rsidR="00B834A2">
        <w:t>եւ</w:t>
      </w:r>
      <w:r w:rsidRPr="00B834A2">
        <w:t>յալ պարամետրերը։</w:t>
      </w:r>
    </w:p>
    <w:p w14:paraId="3D94A44A"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Թվային լուծաչափը։</w:t>
      </w:r>
      <w:r w:rsidRPr="00B834A2">
        <w:t xml:space="preserve"> Թվային լուծաչափ՝ հաճախական բաժանում չափված կետերի միջ</w:t>
      </w:r>
      <w:r w:rsidR="00B834A2">
        <w:t>եւ</w:t>
      </w:r>
      <w:r w:rsidRPr="00B834A2">
        <w:t xml:space="preserve">։ Մշակված ազդանշանը պետք է ունենա առնվազն 5 չափված կետ՝ </w:t>
      </w:r>
      <w:r w:rsidRPr="003F7CCA">
        <w:rPr>
          <w:spacing w:val="-4"/>
        </w:rPr>
        <w:t>ինտեգրվող ազդանշանների բարձրության կեսից բարձր։ Թվային լուծաչափի բարելավման համար փոխակերպումից առաջ փորձնական ԱԻԱ</w:t>
      </w:r>
      <w:r w:rsidR="003F7CCA" w:rsidRPr="003F7CCA">
        <w:rPr>
          <w:spacing w:val="-4"/>
        </w:rPr>
        <w:t>-</w:t>
      </w:r>
      <w:r w:rsidRPr="003F7CCA">
        <w:rPr>
          <w:spacing w:val="-4"/>
        </w:rPr>
        <w:t>ի ծայրին կարող են ավելացվել</w:t>
      </w:r>
      <w:r w:rsidRPr="00B834A2">
        <w:t xml:space="preserve"> զրոյական ինտենսիվության լրացուցիչ կետեր («զրոյական լրացում»)։</w:t>
      </w:r>
    </w:p>
    <w:p w14:paraId="0A6F8939" w14:textId="77777777" w:rsidR="00702B4E" w:rsidRPr="00B834A2" w:rsidRDefault="0055537C" w:rsidP="006E41D4">
      <w:pPr>
        <w:autoSpaceDE w:val="0"/>
        <w:autoSpaceDN w:val="0"/>
        <w:adjustRightInd w:val="0"/>
        <w:spacing w:after="160" w:line="341" w:lineRule="auto"/>
        <w:ind w:firstLine="567"/>
        <w:jc w:val="both"/>
        <w:rPr>
          <w:rFonts w:cs="Times New Roman"/>
        </w:rPr>
      </w:pPr>
      <w:r w:rsidRPr="00B834A2">
        <w:rPr>
          <w:b/>
        </w:rPr>
        <w:t>Ազդանշան/աղմուկ հարաբերակցությունը։</w:t>
      </w:r>
      <w:r w:rsidRPr="00B834A2">
        <w:rPr>
          <w:i/>
        </w:rPr>
        <w:t xml:space="preserve"> </w:t>
      </w:r>
      <w:r w:rsidRPr="00B834A2">
        <w:t>Դա ՄՄՌ</w:t>
      </w:r>
      <w:r w:rsidR="003F7CCA">
        <w:t>-</w:t>
      </w:r>
      <w:r w:rsidRPr="00B834A2">
        <w:t xml:space="preserve">սպեկտրում որոշակի ազդանշանի ինտենսիվության (պիկի բարձրության) </w:t>
      </w:r>
      <w:r w:rsidR="00B834A2">
        <w:t>եւ</w:t>
      </w:r>
      <w:r w:rsidRPr="00B834A2">
        <w:t xml:space="preserve"> այն պատահական տատանումների միջ</w:t>
      </w:r>
      <w:r w:rsidR="00B834A2">
        <w:t>եւ</w:t>
      </w:r>
      <w:r w:rsidRPr="00B834A2">
        <w:t xml:space="preserve"> հարաբերակցությունն է, որոնք սովորաբար չափվում են այն սպեկտրի տիրույթում, որը չի պարունակում ազդանշաններ անալիզի ենթարկվող նյութից։ Ազդանշան/աղմուկ հարաբերակցության ցածր արժեքը սահմանափակում է պիկի </w:t>
      </w:r>
      <w:r w:rsidR="00B834A2">
        <w:t>եւ</w:t>
      </w:r>
      <w:r w:rsidRPr="00B834A2">
        <w:t xml:space="preserve"> քանակական որոշումների ինտեգրման ճշգրտությունը։ Ազդանշան/աղմուկ՝ 150:1 հավասար կամ ավելի հարաբերակցության դեպքում ստանդարտ հարաբերական շեղումը պիկի ինտեգրման ժամանակ կարող է լինել 1 %</w:t>
      </w:r>
      <w:r w:rsidR="003F7CCA">
        <w:t>-</w:t>
      </w:r>
      <w:r w:rsidRPr="00B834A2">
        <w:t xml:space="preserve">ից պակաս։ Ժամանակակից սպեկտրաչափերի ծրագրային ապահովման մեջ կան ալգորիթմներ՝ </w:t>
      </w:r>
      <w:r w:rsidRPr="00B834A2">
        <w:lastRenderedPageBreak/>
        <w:t>համապատասխան պիկերի ազդանշան/աղմուկ հարաբերակցությունը որոշելու համար։ Նոսրացված լուծույթների անալիզի ժամանակ բավականին դժվար է ստանալ ազդանշան/աղմուկ</w:t>
      </w:r>
      <w:r w:rsidR="004E0D2A" w:rsidRPr="00B834A2">
        <w:t>ի</w:t>
      </w:r>
      <w:r w:rsidRPr="00B834A2">
        <w:t xml:space="preserve"> բավականաչափ բարձր հարաբերակցություն՝ հատկապես </w:t>
      </w:r>
      <w:r w:rsidRPr="00B834A2">
        <w:rPr>
          <w:vertAlign w:val="superscript"/>
        </w:rPr>
        <w:t>1</w:t>
      </w:r>
      <w:r w:rsidRPr="00B834A2">
        <w:t>Н միջուկներից տարբերվող միջուկների դետեկտման դեպքում։ Ազդանշան/աղմուկ հարաբերակցության մեծացման եղանակները ներառում են հետ</w:t>
      </w:r>
      <w:r w:rsidR="00B834A2">
        <w:t>եւ</w:t>
      </w:r>
      <w:r w:rsidRPr="00B834A2">
        <w:t>յալը՝</w:t>
      </w:r>
    </w:p>
    <w:p w14:paraId="73EFF71E" w14:textId="77777777" w:rsidR="00702B4E" w:rsidRPr="00B834A2" w:rsidRDefault="003F7CCA" w:rsidP="006E41D4">
      <w:pPr>
        <w:tabs>
          <w:tab w:val="left" w:pos="1134"/>
        </w:tabs>
        <w:autoSpaceDE w:val="0"/>
        <w:autoSpaceDN w:val="0"/>
        <w:adjustRightInd w:val="0"/>
        <w:spacing w:after="160" w:line="341" w:lineRule="auto"/>
        <w:ind w:firstLine="567"/>
        <w:jc w:val="both"/>
        <w:rPr>
          <w:rFonts w:cs="Times New Roman"/>
        </w:rPr>
      </w:pPr>
      <w:r>
        <w:t>-</w:t>
      </w:r>
      <w:r>
        <w:tab/>
      </w:r>
      <w:r w:rsidR="0055537C" w:rsidRPr="00B834A2">
        <w:t>գումարվող չափումների քանակի մեծացում (</w:t>
      </w:r>
      <w:r w:rsidR="0055537C" w:rsidRPr="00B834A2">
        <w:rPr>
          <w:i/>
        </w:rPr>
        <w:t>n</w:t>
      </w:r>
      <w:r w:rsidR="0055537C" w:rsidRPr="00B834A2">
        <w:t xml:space="preserve">), քանի որ ազդանշան/աղմուկ հարաբերակցությունը մեծանում է </w:t>
      </w:r>
      <m:oMath>
        <m:rad>
          <m:radPr>
            <m:degHide m:val="1"/>
            <m:ctrlPr>
              <w:rPr>
                <w:rFonts w:ascii="Cambria Math" w:hAnsi="Cambria Math" w:cs="Times New Roman"/>
                <w:i/>
                <w:iCs/>
              </w:rPr>
            </m:ctrlPr>
          </m:radPr>
          <m:deg/>
          <m:e>
            <m:r>
              <w:rPr>
                <w:rFonts w:ascii="Cambria Math" w:hAnsi="Cambria Math" w:cs="Times New Roman"/>
              </w:rPr>
              <m:t>n</m:t>
            </m:r>
          </m:e>
        </m:rad>
      </m:oMath>
      <w:r w:rsidR="002E52D1">
        <w:t>-</w:t>
      </w:r>
      <w:r w:rsidR="0055537C" w:rsidRPr="00B834A2">
        <w:t>ի մեծացման հետ.</w:t>
      </w:r>
    </w:p>
    <w:p w14:paraId="57E82891" w14:textId="77777777" w:rsidR="00702B4E" w:rsidRPr="00B834A2" w:rsidRDefault="003F7CCA" w:rsidP="00530993">
      <w:pPr>
        <w:tabs>
          <w:tab w:val="left" w:pos="1134"/>
        </w:tabs>
        <w:autoSpaceDE w:val="0"/>
        <w:autoSpaceDN w:val="0"/>
        <w:adjustRightInd w:val="0"/>
        <w:spacing w:after="160" w:line="360" w:lineRule="auto"/>
        <w:ind w:firstLine="567"/>
        <w:jc w:val="both"/>
        <w:rPr>
          <w:rFonts w:cs="Times New Roman"/>
        </w:rPr>
      </w:pPr>
      <w:r>
        <w:t>-</w:t>
      </w:r>
      <w:r>
        <w:tab/>
      </w:r>
      <w:r w:rsidR="0055537C" w:rsidRPr="00B834A2">
        <w:t>Ֆուրյե</w:t>
      </w:r>
      <w:r>
        <w:t>-</w:t>
      </w:r>
      <w:r w:rsidR="0055537C" w:rsidRPr="00B834A2">
        <w:t>փոխակերպումից առաջ ԱԻԱ ազդանշանի էքսպոնենցիալ բազմապատկման օգտագործում՝ բազմապատկման էքսպոնենցիալ գործակիցը պետք է լինի բարձրության կեսում լրիվ պիկային լայնության գոտում.</w:t>
      </w:r>
    </w:p>
    <w:p w14:paraId="00692775" w14:textId="77777777" w:rsidR="00702B4E" w:rsidRPr="00B834A2" w:rsidRDefault="003F7CCA" w:rsidP="00530993">
      <w:pPr>
        <w:tabs>
          <w:tab w:val="left" w:pos="1134"/>
        </w:tabs>
        <w:autoSpaceDE w:val="0"/>
        <w:autoSpaceDN w:val="0"/>
        <w:adjustRightInd w:val="0"/>
        <w:spacing w:after="160" w:line="360" w:lineRule="auto"/>
        <w:ind w:firstLine="567"/>
        <w:jc w:val="both"/>
        <w:rPr>
          <w:rFonts w:cs="Times New Roman"/>
        </w:rPr>
      </w:pPr>
      <w:r>
        <w:t>-</w:t>
      </w:r>
      <w:r>
        <w:tab/>
      </w:r>
      <w:r w:rsidR="0055537C" w:rsidRPr="00B834A2">
        <w:t>ավելի բարձր հաստատուն մագնիսական դաշտով (</w:t>
      </w:r>
      <w:r w:rsidR="0055537C" w:rsidRPr="00B834A2">
        <w:rPr>
          <w:i/>
        </w:rPr>
        <w:t>B</w:t>
      </w:r>
      <w:r w:rsidR="0055537C" w:rsidRPr="00B834A2">
        <w:rPr>
          <w:vertAlign w:val="subscript"/>
        </w:rPr>
        <w:t>0</w:t>
      </w:r>
      <w:r w:rsidR="0055537C" w:rsidRPr="00B834A2">
        <w:t xml:space="preserve">) սպեկտրաչափերի օգտագործում, քանի որ ազդանշան/աղմուկ հարաբերակցությունը համեմատական է </w:t>
      </w:r>
      <m:oMath>
        <m:sSubSup>
          <m:sSubSupPr>
            <m:ctrlPr>
              <w:rPr>
                <w:rFonts w:ascii="Cambria Math" w:hAnsi="Cambria Math" w:cs="Times New Roman"/>
                <w:i/>
                <w:iCs/>
              </w:rPr>
            </m:ctrlPr>
          </m:sSubSupPr>
          <m:e>
            <m:r>
              <w:rPr>
                <w:rFonts w:ascii="Cambria Math" w:hAnsi="Cambria Math" w:cs="Times New Roman"/>
              </w:rPr>
              <m:t>B</m:t>
            </m:r>
          </m:e>
          <m:sub>
            <m:r>
              <w:rPr>
                <w:rFonts w:ascii="Cambria Math" w:cs="Times New Roman"/>
              </w:rPr>
              <m:t>0</m:t>
            </m:r>
          </m:sub>
          <m:sup>
            <m:r>
              <w:rPr>
                <w:rFonts w:ascii="Cambria Math" w:cs="Times New Roman"/>
              </w:rPr>
              <m:t>3/2</m:t>
            </m:r>
          </m:sup>
        </m:sSubSup>
      </m:oMath>
      <w:r w:rsidR="0055537C" w:rsidRPr="00B834A2">
        <w:t>.</w:t>
      </w:r>
    </w:p>
    <w:p w14:paraId="5D1B72BE" w14:textId="77777777" w:rsidR="00702B4E" w:rsidRPr="00B834A2" w:rsidRDefault="003F7CCA" w:rsidP="00530993">
      <w:pPr>
        <w:tabs>
          <w:tab w:val="left" w:pos="1134"/>
        </w:tabs>
        <w:autoSpaceDE w:val="0"/>
        <w:autoSpaceDN w:val="0"/>
        <w:adjustRightInd w:val="0"/>
        <w:spacing w:after="160" w:line="360" w:lineRule="auto"/>
        <w:ind w:firstLine="567"/>
        <w:jc w:val="both"/>
        <w:rPr>
          <w:rFonts w:cs="Times New Roman"/>
        </w:rPr>
      </w:pPr>
      <w:r>
        <w:t>-</w:t>
      </w:r>
      <w:r>
        <w:tab/>
      </w:r>
      <w:r w:rsidR="0055537C" w:rsidRPr="00B834A2">
        <w:t>թվային զտիչի օգտագործում՝ աղմուկի նվազեցման համար.</w:t>
      </w:r>
    </w:p>
    <w:p w14:paraId="010DC88F" w14:textId="77777777" w:rsidR="00702B4E" w:rsidRPr="00B834A2" w:rsidRDefault="003F7CCA" w:rsidP="00530993">
      <w:pPr>
        <w:tabs>
          <w:tab w:val="left" w:pos="1134"/>
        </w:tabs>
        <w:autoSpaceDE w:val="0"/>
        <w:autoSpaceDN w:val="0"/>
        <w:adjustRightInd w:val="0"/>
        <w:spacing w:after="160" w:line="360" w:lineRule="auto"/>
        <w:ind w:firstLine="567"/>
        <w:jc w:val="both"/>
        <w:rPr>
          <w:rFonts w:cs="Times New Roman"/>
        </w:rPr>
      </w:pPr>
      <w:r>
        <w:t>-</w:t>
      </w:r>
      <w:r>
        <w:tab/>
      </w:r>
      <w:r w:rsidR="0055537C" w:rsidRPr="00B834A2">
        <w:t>տվիչների օգտագործում, որոնք առավելագույնի են հասցնում լրալցման գործոնը.</w:t>
      </w:r>
    </w:p>
    <w:p w14:paraId="08D3B62C" w14:textId="77777777" w:rsidR="003F7CCA" w:rsidRDefault="003F7CCA" w:rsidP="00530993">
      <w:pPr>
        <w:tabs>
          <w:tab w:val="left" w:pos="1134"/>
        </w:tabs>
        <w:autoSpaceDE w:val="0"/>
        <w:autoSpaceDN w:val="0"/>
        <w:adjustRightInd w:val="0"/>
        <w:spacing w:after="160" w:line="360" w:lineRule="auto"/>
        <w:ind w:firstLine="567"/>
        <w:jc w:val="both"/>
      </w:pPr>
      <w:r>
        <w:t>-</w:t>
      </w:r>
      <w:r>
        <w:tab/>
      </w:r>
      <w:r w:rsidR="0055537C" w:rsidRPr="00B834A2">
        <w:t>կրիոտվիչների օգտագործում, որոնք նվազեցնում են ջերմային խանգարումները։</w:t>
      </w:r>
    </w:p>
    <w:p w14:paraId="3D006D82" w14:textId="77777777" w:rsidR="00702B4E" w:rsidRPr="00B834A2" w:rsidRDefault="0055537C" w:rsidP="00530993">
      <w:pPr>
        <w:autoSpaceDE w:val="0"/>
        <w:autoSpaceDN w:val="0"/>
        <w:adjustRightInd w:val="0"/>
        <w:spacing w:after="160" w:line="360" w:lineRule="auto"/>
        <w:ind w:firstLine="567"/>
        <w:jc w:val="both"/>
        <w:rPr>
          <w:rFonts w:cs="Times New Roman"/>
        </w:rPr>
      </w:pPr>
      <w:r w:rsidRPr="003F7CCA">
        <w:rPr>
          <w:b/>
          <w:spacing w:val="-4"/>
        </w:rPr>
        <w:t>Ինտեգրման տիրույթը։</w:t>
      </w:r>
      <w:r w:rsidRPr="003F7CCA">
        <w:rPr>
          <w:spacing w:val="-4"/>
        </w:rPr>
        <w:t xml:space="preserve"> ՄՄՌ</w:t>
      </w:r>
      <w:r w:rsidR="003F7CCA" w:rsidRPr="003F7CCA">
        <w:rPr>
          <w:spacing w:val="-4"/>
        </w:rPr>
        <w:t>-</w:t>
      </w:r>
      <w:r w:rsidRPr="003F7CCA">
        <w:rPr>
          <w:spacing w:val="-4"/>
        </w:rPr>
        <w:t>ազդանշանների ինտենսիվությունը ստանում են քվազի</w:t>
      </w:r>
      <w:r w:rsidR="003F7CCA">
        <w:rPr>
          <w:spacing w:val="-4"/>
        </w:rPr>
        <w:t>-</w:t>
      </w:r>
      <w:r w:rsidRPr="003F7CCA">
        <w:rPr>
          <w:spacing w:val="-4"/>
        </w:rPr>
        <w:t>անալոգային ազդանշանի ինտեգրմամբ կամ աստիճանական գրաֆիկի միջոցով, կամ</w:t>
      </w:r>
      <w:r w:rsidRPr="00B834A2">
        <w:t xml:space="preserve"> առանձին գծերի ավելի ճշգրիտ ինտեգրմամբ </w:t>
      </w:r>
      <w:r w:rsidR="00B834A2">
        <w:t>եւ</w:t>
      </w:r>
      <w:r w:rsidRPr="00B834A2">
        <w:t xml:space="preserve"> տվյալների թվային ներկայացմամբ։ Հեղուկ նմուշների հետազոտության ժամանակ ստանում են լորենցյան ձ</w:t>
      </w:r>
      <w:r w:rsidR="00B834A2">
        <w:t>եւ</w:t>
      </w:r>
      <w:r w:rsidRPr="00B834A2">
        <w:t>ի գծերի տեսքով ՄՄՌ</w:t>
      </w:r>
      <w:r w:rsidR="003F7CCA">
        <w:t>-</w:t>
      </w:r>
      <w:r w:rsidRPr="00B834A2">
        <w:t xml:space="preserve">ազդանշաններ։ Մասնավոր դեղագրքային հոդվածում </w:t>
      </w:r>
      <w:r w:rsidR="00B834A2">
        <w:t>եւ</w:t>
      </w:r>
      <w:r w:rsidRPr="00B834A2">
        <w:t xml:space="preserve"> (կամ) որակի վերաբերյալ նորմատիվ փաստաթղթում այլ ցուցումների բացակայության դեպքում կամ</w:t>
      </w:r>
      <w:r w:rsidR="004E0D2A" w:rsidRPr="00B834A2">
        <w:t>,</w:t>
      </w:r>
      <w:r w:rsidRPr="00B834A2">
        <w:t xml:space="preserve"> եթե տեղի է ունենում պիկի վրածածկում, փորձարկվող պիկի </w:t>
      </w:r>
      <w:r w:rsidR="00B834A2">
        <w:t>եւ</w:t>
      </w:r>
      <w:r w:rsidRPr="00B834A2">
        <w:t xml:space="preserve"> համեմատության պիկի համար պետք է </w:t>
      </w:r>
      <w:r w:rsidRPr="00B834A2">
        <w:lastRenderedPageBreak/>
        <w:t>օգտագործվի ինտեգրման նույն ընդգրկույթը, որն արտահայտված է պիկի բարձրության կեսում լրիվ լայնության բազմապատիկ թվի տեսքով։</w:t>
      </w:r>
    </w:p>
    <w:p w14:paraId="5475EA0E"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Դինամիկ ընդգրկույթը։</w:t>
      </w:r>
      <w:r w:rsidRPr="00B834A2">
        <w:t xml:space="preserve"> Անալոգային թվային փոխակերպիչի (ԱԹՓ) դինամիկ ընդգրկույթով որոշվում է ինտենսիվության նվազագույն գիծը, որը կարելի է դիտարկել կամ քանակապես որոշել սպեկտրալ գծի նույն լայնությամբ երկու ազդանշանների ինտեգրման ժամանակ։ 16-բիթային ԱԹՓ</w:t>
      </w:r>
      <w:r w:rsidR="003F7CCA">
        <w:t>-</w:t>
      </w:r>
      <w:r w:rsidRPr="00B834A2">
        <w:t>ն թույլ է տալիս նույնականացնել 0,003 % ինտենսիվությամբ ազդանշանը՝ ԱԹՓ</w:t>
      </w:r>
      <w:r w:rsidR="003F7CCA">
        <w:t>-</w:t>
      </w:r>
      <w:r w:rsidRPr="00B834A2">
        <w:t>ի դինամիկ ընդգրկույթն ամբողջովին լցնող ուժեղ ազդանշանի նկատմամբ։</w:t>
      </w:r>
    </w:p>
    <w:p w14:paraId="4AA10ABB" w14:textId="77777777" w:rsidR="00702B4E" w:rsidRPr="00B834A2" w:rsidRDefault="00702B4E" w:rsidP="00B834A2">
      <w:pPr>
        <w:autoSpaceDE w:val="0"/>
        <w:autoSpaceDN w:val="0"/>
        <w:adjustRightInd w:val="0"/>
        <w:spacing w:after="160" w:line="360" w:lineRule="auto"/>
        <w:ind w:firstLine="567"/>
        <w:jc w:val="both"/>
        <w:rPr>
          <w:rFonts w:cs="Times New Roman"/>
          <w:i/>
          <w:iCs/>
        </w:rPr>
      </w:pPr>
    </w:p>
    <w:p w14:paraId="1F257423" w14:textId="77777777" w:rsidR="00702B4E" w:rsidRPr="00464EA4" w:rsidRDefault="0055537C" w:rsidP="003F7CCA">
      <w:pPr>
        <w:autoSpaceDE w:val="0"/>
        <w:autoSpaceDN w:val="0"/>
        <w:adjustRightInd w:val="0"/>
        <w:spacing w:after="160" w:line="360" w:lineRule="auto"/>
        <w:ind w:firstLine="567"/>
        <w:jc w:val="both"/>
        <w:rPr>
          <w:rFonts w:cs="Times New Roman"/>
          <w:i/>
          <w:iCs/>
        </w:rPr>
      </w:pPr>
      <w:r w:rsidRPr="00464EA4">
        <w:rPr>
          <w:i/>
        </w:rPr>
        <w:t>ՆՄՈՒՇՆԵՐԻ ՄՄՌ ՍՊԵԿՏՐԱՉԱՓՈՒԹՅՈՒՆԸ ԼՈՒԾՈՒՅԹՆԵՐՈՒՄ</w:t>
      </w:r>
    </w:p>
    <w:p w14:paraId="7AE53223" w14:textId="77777777" w:rsidR="00702B4E" w:rsidRPr="00B834A2" w:rsidRDefault="0055537C" w:rsidP="00696072">
      <w:pPr>
        <w:autoSpaceDE w:val="0"/>
        <w:autoSpaceDN w:val="0"/>
        <w:adjustRightInd w:val="0"/>
        <w:spacing w:after="160" w:line="336" w:lineRule="auto"/>
        <w:ind w:firstLine="567"/>
        <w:jc w:val="both"/>
        <w:rPr>
          <w:rFonts w:cs="Times New Roman"/>
        </w:rPr>
      </w:pPr>
      <w:r w:rsidRPr="00B834A2">
        <w:t xml:space="preserve">ՄՄՌ հետազոտությունների </w:t>
      </w:r>
      <w:r w:rsidR="00E744EB" w:rsidRPr="00B834A2">
        <w:t>մեծամասնություն</w:t>
      </w:r>
      <w:r w:rsidRPr="00B834A2">
        <w:t>ը կատարում են փորձարկվող նմուշի նոսրացված լուծույթների վրա (մոտավորապես 1 %) համապատասխան լուծիչում, որին կարող է ավելացվել հայտնի կոնցենտրացիայով համապատասխան ստանդարտ՝ քիմիական տեղաշարժի ստուգաճշտման համար։</w:t>
      </w:r>
    </w:p>
    <w:p w14:paraId="45C1573C" w14:textId="77777777" w:rsidR="00702B4E" w:rsidRPr="00B834A2" w:rsidRDefault="0055537C" w:rsidP="00696072">
      <w:pPr>
        <w:autoSpaceDE w:val="0"/>
        <w:autoSpaceDN w:val="0"/>
        <w:adjustRightInd w:val="0"/>
        <w:spacing w:after="160" w:line="336" w:lineRule="auto"/>
        <w:ind w:firstLine="567"/>
        <w:jc w:val="both"/>
        <w:rPr>
          <w:rFonts w:cs="Times New Roman"/>
        </w:rPr>
      </w:pPr>
      <w:r w:rsidRPr="00B834A2">
        <w:rPr>
          <w:b/>
        </w:rPr>
        <w:t>Լուծիչները։</w:t>
      </w:r>
      <w:r w:rsidRPr="00B834A2">
        <w:t xml:space="preserve"> Լուծիչը պետք է լուծի փորձարկվող նմուշ</w:t>
      </w:r>
      <w:r w:rsidR="004E0D2A" w:rsidRPr="00B834A2">
        <w:t>ն</w:t>
      </w:r>
      <w:r w:rsidRPr="00B834A2">
        <w:t xml:space="preserve"> առանց հետագա փոխազդեցության, եթե այլ բան նշված չէ մասնավոր դեղագրքային հոդվածում </w:t>
      </w:r>
      <w:r w:rsidR="00B834A2">
        <w:t>եւ</w:t>
      </w:r>
      <w:r w:rsidRPr="00B834A2">
        <w:t xml:space="preserve"> (կամ) որակի վերաբերյալ նորմատիվ փաստաթղթում։ Լուծիչների ինտենսիվ ազդանշանների նվազարկման համար օգտագործում են ամբողջությամբ դեյտերացված լուծիչներ (</w:t>
      </w:r>
      <w:r w:rsidRPr="00B834A2">
        <w:rPr>
          <w:i/>
        </w:rPr>
        <w:t>դեյտերիումի օքսիդ Р,</w:t>
      </w:r>
      <w:r w:rsidRPr="00B834A2">
        <w:t xml:space="preserve"> </w:t>
      </w:r>
      <w:r w:rsidRPr="00B834A2">
        <w:rPr>
          <w:i/>
        </w:rPr>
        <w:t>դեյտերացված քլորոֆորմ Р</w:t>
      </w:r>
      <w:r w:rsidRPr="00B834A2">
        <w:t xml:space="preserve">, </w:t>
      </w:r>
      <w:r w:rsidRPr="00B834A2">
        <w:rPr>
          <w:i/>
        </w:rPr>
        <w:t>դեյտերացված</w:t>
      </w:r>
      <w:r w:rsidRPr="00B834A2">
        <w:t xml:space="preserve"> դիմեթիլսուլֆօքսիդ</w:t>
      </w:r>
      <w:r w:rsidRPr="00B834A2">
        <w:rPr>
          <w:i/>
        </w:rPr>
        <w:t xml:space="preserve"> Р</w:t>
      </w:r>
      <w:r w:rsidRPr="00B834A2">
        <w:t xml:space="preserve">, </w:t>
      </w:r>
      <w:r w:rsidRPr="00B834A2">
        <w:rPr>
          <w:i/>
        </w:rPr>
        <w:t>դեյտերացված ացետոն Р</w:t>
      </w:r>
      <w:r w:rsidRPr="00B834A2">
        <w:t xml:space="preserve">, </w:t>
      </w:r>
      <w:r w:rsidRPr="00B834A2">
        <w:rPr>
          <w:i/>
        </w:rPr>
        <w:t>դեյտերացված</w:t>
      </w:r>
      <w:r w:rsidRPr="00B834A2">
        <w:t xml:space="preserve"> մեթանոլ</w:t>
      </w:r>
      <w:r w:rsidRPr="00B834A2">
        <w:rPr>
          <w:i/>
        </w:rPr>
        <w:t xml:space="preserve"> Р </w:t>
      </w:r>
      <w:r w:rsidR="00B834A2">
        <w:t>եւ</w:t>
      </w:r>
      <w:r w:rsidRPr="00B834A2">
        <w:t xml:space="preserve"> այլն)։ Լուծիչի ատոմները տալիս են ազդանշաններ, որոնք հեշտ են նույնականացվում իրենց քիմիական տեղաշարժով </w:t>
      </w:r>
      <w:r w:rsidR="00B834A2">
        <w:t>եւ</w:t>
      </w:r>
      <w:r w:rsidRPr="00B834A2">
        <w:t xml:space="preserve"> կարող են օգտագործվել քիմիական տեղաշարժի առանցքի ստուգաճշտման համար (երկրորդային ստանդարտ)։</w:t>
      </w:r>
    </w:p>
    <w:p w14:paraId="253C6FA4" w14:textId="77777777" w:rsidR="00702B4E" w:rsidRPr="00B834A2" w:rsidRDefault="0055537C" w:rsidP="006E41D4">
      <w:pPr>
        <w:autoSpaceDE w:val="0"/>
        <w:autoSpaceDN w:val="0"/>
        <w:adjustRightInd w:val="0"/>
        <w:spacing w:after="160" w:line="341" w:lineRule="auto"/>
        <w:ind w:firstLine="567"/>
        <w:jc w:val="both"/>
        <w:rPr>
          <w:rFonts w:cs="Times New Roman"/>
        </w:rPr>
      </w:pPr>
      <w:r w:rsidRPr="00B834A2">
        <w:rPr>
          <w:b/>
        </w:rPr>
        <w:t>Համեմատությունը։</w:t>
      </w:r>
      <w:r w:rsidRPr="00B834A2">
        <w:t xml:space="preserve"> Սպեկտրալ բնութագիրը, որն առավելապես </w:t>
      </w:r>
      <w:r w:rsidR="0034623B" w:rsidRPr="00B834A2">
        <w:t>պայմանավորված</w:t>
      </w:r>
      <w:r w:rsidRPr="00B834A2">
        <w:t xml:space="preserve"> է մոլեկուլում ատոմի քիմիական շրջապատ</w:t>
      </w:r>
      <w:r w:rsidR="0034623B" w:rsidRPr="00B834A2">
        <w:t>ով</w:t>
      </w:r>
      <w:r w:rsidRPr="00B834A2">
        <w:t xml:space="preserve">, կոչվում է քիմիական տեղաշարժ, նշվում է δ տառով </w:t>
      </w:r>
      <w:r w:rsidR="00B834A2">
        <w:t>եւ</w:t>
      </w:r>
      <w:r w:rsidRPr="00B834A2">
        <w:t xml:space="preserve"> չափվում է միլիոներորդ մասով (ppm)։ </w:t>
      </w:r>
      <w:r w:rsidRPr="00B834A2">
        <w:rPr>
          <w:i/>
        </w:rPr>
        <w:t>X</w:t>
      </w:r>
      <w:r w:rsidRPr="00B834A2">
        <w:t xml:space="preserve"> ակտիվ միջուկի ՄՄՌ</w:t>
      </w:r>
      <w:r w:rsidR="002E52D1">
        <w:t>-</w:t>
      </w:r>
      <w:r w:rsidRPr="00B834A2">
        <w:t xml:space="preserve">ի համար ռեզոնանսային հաճախականության քիմիական </w:t>
      </w:r>
      <w:r w:rsidRPr="00B834A2">
        <w:lastRenderedPageBreak/>
        <w:t xml:space="preserve">տեղաշարժը չափվում է միլիոներորդ մասով (ppm)՝ որպես այդ միջուկի ռեզոնանսային հաճախականության </w:t>
      </w:r>
      <w:r w:rsidR="00B834A2">
        <w:t>եւ</w:t>
      </w:r>
      <w:r w:rsidRPr="00B834A2">
        <w:t xml:space="preserve"> տեղաշարժի ներքին ստանդարտի ռեզոնանսային հաճախականության տարբերություն, որն արտահայտված է հերցերով՝ բաժանած սպեկտրաչափի հիմնական աշխատանքային հաճախականության վրա՝ մեգահերցերով, տվյալ հաստատուն մագնիսական դաշտի դեպքում՝</w:t>
      </w:r>
    </w:p>
    <w:p w14:paraId="1A93AE10" w14:textId="77777777" w:rsidR="00702B4E" w:rsidRPr="00B834A2" w:rsidRDefault="00000000" w:rsidP="00B834A2">
      <w:pPr>
        <w:tabs>
          <w:tab w:val="left" w:pos="4536"/>
        </w:tabs>
        <w:autoSpaceDE w:val="0"/>
        <w:autoSpaceDN w:val="0"/>
        <w:adjustRightInd w:val="0"/>
        <w:spacing w:after="160" w:line="360" w:lineRule="auto"/>
        <w:ind w:firstLine="567"/>
        <w:jc w:val="center"/>
        <w:rPr>
          <w:rFonts w:cs="Times New Roman"/>
        </w:rPr>
      </w:pPr>
      <m:oMath>
        <m:sSub>
          <m:sSubPr>
            <m:ctrlPr>
              <w:rPr>
                <w:rFonts w:ascii="Cambria Math" w:hAnsi="Cambria Math" w:cs="Times New Roman"/>
              </w:rPr>
            </m:ctrlPr>
          </m:sSubPr>
          <m:e>
            <m:r>
              <m:rPr>
                <m:sty m:val="p"/>
              </m:rPr>
              <w:rPr>
                <w:rFonts w:ascii="Cambria Math" w:hAnsi="Cambria Math" w:cs="Times New Roman"/>
              </w:rPr>
              <m:t>δ</m:t>
            </m:r>
          </m:e>
          <m:sub>
            <m:r>
              <m:rPr>
                <m:sty m:val="p"/>
              </m:rPr>
              <w:rPr>
                <w:rFonts w:ascii="Cambria Math" w:cs="Times New Roman"/>
              </w:rPr>
              <m:t xml:space="preserve">X, </m:t>
            </m:r>
            <m:r>
              <w:rPr>
                <w:rFonts w:ascii="Cambria Math" w:hAnsi="Cambria Math" w:cs="Times New Roman"/>
              </w:rPr>
              <m:t>образец</m:t>
            </m:r>
          </m:sub>
        </m:sSub>
        <m:r>
          <m:rPr>
            <m:sty m:val="p"/>
          </m:rPr>
          <w:rPr>
            <w:rFonts w:asci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ν</m:t>
                </m:r>
              </m:e>
              <m:sub>
                <m:r>
                  <m:rPr>
                    <m:sty m:val="p"/>
                  </m:rPr>
                  <w:rPr>
                    <w:rFonts w:ascii="Cambria Math" w:cs="Times New Roman"/>
                  </w:rPr>
                  <m:t xml:space="preserve">X, </m:t>
                </m:r>
                <m:r>
                  <w:rPr>
                    <w:rFonts w:ascii="Cambria Math" w:hAnsi="Cambria Math" w:cs="Times New Roman"/>
                  </w:rPr>
                  <m:t>образец</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ν</m:t>
                </m:r>
              </m:e>
              <m:sub>
                <m:r>
                  <m:rPr>
                    <m:sty m:val="p"/>
                  </m:rPr>
                  <w:rPr>
                    <w:rFonts w:ascii="Cambria Math" w:cs="Times New Roman"/>
                  </w:rPr>
                  <m:t xml:space="preserve">X, </m:t>
                </m:r>
                <m:r>
                  <w:rPr>
                    <w:rFonts w:ascii="Cambria Math" w:hAnsi="Cambria Math" w:cs="Times New Roman"/>
                  </w:rPr>
                  <m:t>сравнение</m:t>
                </m:r>
              </m:sub>
            </m:sSub>
          </m:num>
          <m:den>
            <m:sSub>
              <m:sSubPr>
                <m:ctrlPr>
                  <w:rPr>
                    <w:rFonts w:ascii="Cambria Math" w:hAnsi="Cambria Math" w:cs="Times New Roman"/>
                  </w:rPr>
                </m:ctrlPr>
              </m:sSubPr>
              <m:e>
                <m:r>
                  <m:rPr>
                    <m:sty m:val="p"/>
                  </m:rPr>
                  <w:rPr>
                    <w:rFonts w:ascii="Cambria Math" w:hAnsi="Cambria Math" w:cs="Times New Roman"/>
                  </w:rPr>
                  <m:t>ν</m:t>
                </m:r>
              </m:e>
              <m:sub>
                <m:r>
                  <m:rPr>
                    <m:sty m:val="p"/>
                  </m:rPr>
                  <w:rPr>
                    <w:rFonts w:ascii="Cambria Math" w:cs="Times New Roman"/>
                  </w:rPr>
                  <m:t xml:space="preserve"> </m:t>
                </m:r>
                <m:r>
                  <w:rPr>
                    <w:rFonts w:ascii="Cambria Math" w:hAnsi="Cambria Math" w:cs="Times New Roman"/>
                  </w:rPr>
                  <m:t>прибор</m:t>
                </m:r>
              </m:sub>
            </m:sSub>
          </m:den>
        </m:f>
      </m:oMath>
      <w:r w:rsidR="0055537C" w:rsidRPr="00B834A2">
        <w:t>δ_(X,</w:t>
      </w:r>
      <w:r w:rsidR="007E2219" w:rsidRPr="00B834A2">
        <w:t xml:space="preserve"> </w:t>
      </w:r>
      <w:r w:rsidR="0055537C" w:rsidRPr="00B834A2">
        <w:t>նմուշ)= (ν_(X,</w:t>
      </w:r>
      <w:r w:rsidR="007E2219" w:rsidRPr="00B834A2">
        <w:t xml:space="preserve"> </w:t>
      </w:r>
      <w:r w:rsidR="0055537C" w:rsidRPr="00B834A2">
        <w:t xml:space="preserve">նմուշ)-ν_(X,համեմատություն))/ν_( սարք), </w:t>
      </w:r>
      <w:r w:rsidR="009217DE" w:rsidRPr="009217DE">
        <w:tab/>
      </w:r>
      <w:r w:rsidR="0055537C" w:rsidRPr="00B834A2">
        <w:t>(4)</w:t>
      </w:r>
    </w:p>
    <w:p w14:paraId="2E895A3B" w14:textId="77777777" w:rsidR="007B55AD" w:rsidRDefault="0055537C" w:rsidP="003F7CCA">
      <w:pPr>
        <w:autoSpaceDE w:val="0"/>
        <w:autoSpaceDN w:val="0"/>
        <w:adjustRightInd w:val="0"/>
        <w:spacing w:after="160" w:line="360" w:lineRule="auto"/>
        <w:ind w:firstLine="567"/>
        <w:jc w:val="both"/>
      </w:pPr>
      <w:r w:rsidRPr="00B834A2">
        <w:t xml:space="preserve">որտեղ՝ </w:t>
      </w:r>
    </w:p>
    <w:p w14:paraId="665748AC"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δ</w:t>
      </w:r>
      <w:r w:rsidRPr="00B834A2">
        <w:rPr>
          <w:i/>
          <w:vertAlign w:val="subscript"/>
        </w:rPr>
        <w:t>X</w:t>
      </w:r>
      <w:r w:rsidRPr="00B834A2">
        <w:rPr>
          <w:vertAlign w:val="subscript"/>
        </w:rPr>
        <w:t>, նմուշ</w:t>
      </w:r>
      <w:r w:rsidR="003F7CCA">
        <w:t>-</w:t>
      </w:r>
      <w:r w:rsidRPr="00B834A2">
        <w:t xml:space="preserve">ն՝ </w:t>
      </w:r>
      <w:r w:rsidRPr="00B834A2">
        <w:rPr>
          <w:i/>
        </w:rPr>
        <w:t>X</w:t>
      </w:r>
      <w:r w:rsidRPr="00B834A2">
        <w:t xml:space="preserve"> ակտիվ միջուկի ՄՄՌ</w:t>
      </w:r>
      <w:r w:rsidR="003F7CCA">
        <w:t>-</w:t>
      </w:r>
      <w:r w:rsidRPr="00B834A2">
        <w:t>ի համար ռեզոնանսային հաճախականության քիմիական տեղաշարժն է՝ ppm</w:t>
      </w:r>
      <w:r w:rsidR="003F7CCA">
        <w:t>-</w:t>
      </w:r>
      <w:r w:rsidRPr="00B834A2">
        <w:t>ով.</w:t>
      </w:r>
    </w:p>
    <w:p w14:paraId="3D8BD403"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ν</w:t>
      </w:r>
      <w:r w:rsidRPr="00B834A2">
        <w:rPr>
          <w:i/>
          <w:vertAlign w:val="subscript"/>
        </w:rPr>
        <w:t>X</w:t>
      </w:r>
      <w:r w:rsidRPr="00B834A2">
        <w:rPr>
          <w:vertAlign w:val="subscript"/>
        </w:rPr>
        <w:t>, նմուշ</w:t>
      </w:r>
      <w:r w:rsidR="003F7CCA">
        <w:t>-</w:t>
      </w:r>
      <w:r w:rsidRPr="00B834A2">
        <w:t xml:space="preserve">ն՝ </w:t>
      </w:r>
      <w:r w:rsidRPr="00B834A2">
        <w:rPr>
          <w:i/>
        </w:rPr>
        <w:t>X</w:t>
      </w:r>
      <w:r w:rsidRPr="00B834A2">
        <w:t xml:space="preserve"> ակտիվ միջուկի ռեզոնանսային հաճախականությունն է՝ հերցերով.</w:t>
      </w:r>
    </w:p>
    <w:p w14:paraId="385155A6"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ν</w:t>
      </w:r>
      <w:r w:rsidRPr="00B834A2">
        <w:rPr>
          <w:i/>
          <w:vertAlign w:val="subscript"/>
        </w:rPr>
        <w:t>X</w:t>
      </w:r>
      <w:r w:rsidRPr="00B834A2">
        <w:rPr>
          <w:vertAlign w:val="subscript"/>
        </w:rPr>
        <w:t>, համեմատություն</w:t>
      </w:r>
      <w:r w:rsidR="003F7CCA">
        <w:t>-</w:t>
      </w:r>
      <w:r w:rsidRPr="00B834A2">
        <w:t>ն՝ տեղաշարժի ներքին ստանդարտի ռեզոնանսային հաճախականությունն է՝ հերցերով.</w:t>
      </w:r>
    </w:p>
    <w:p w14:paraId="234FA3FD" w14:textId="77777777" w:rsidR="00702B4E" w:rsidRDefault="0055537C" w:rsidP="003F7CCA">
      <w:pPr>
        <w:autoSpaceDE w:val="0"/>
        <w:autoSpaceDN w:val="0"/>
        <w:adjustRightInd w:val="0"/>
        <w:spacing w:after="160" w:line="360" w:lineRule="auto"/>
        <w:ind w:firstLine="567"/>
        <w:jc w:val="both"/>
      </w:pPr>
      <w:r w:rsidRPr="003F7CCA">
        <w:rPr>
          <w:spacing w:val="-4"/>
        </w:rPr>
        <w:t>ν</w:t>
      </w:r>
      <w:r w:rsidRPr="003F7CCA">
        <w:rPr>
          <w:spacing w:val="-4"/>
          <w:vertAlign w:val="subscript"/>
        </w:rPr>
        <w:t>սարք</w:t>
      </w:r>
      <w:r w:rsidR="003F7CCA" w:rsidRPr="003F7CCA">
        <w:rPr>
          <w:spacing w:val="-4"/>
        </w:rPr>
        <w:t>-</w:t>
      </w:r>
      <w:r w:rsidRPr="003F7CCA">
        <w:rPr>
          <w:spacing w:val="-4"/>
        </w:rPr>
        <w:t>ն՝ սպեկտրաչափի հիմնական աշխատանքային հաճախականությունն է՝ մեգահե</w:t>
      </w:r>
      <w:r w:rsidRPr="00B834A2">
        <w:t>րցերով։</w:t>
      </w:r>
    </w:p>
    <w:p w14:paraId="4152DCDA" w14:textId="77777777" w:rsidR="00702B4E" w:rsidRPr="00B834A2" w:rsidRDefault="0055537C" w:rsidP="003F7CCA">
      <w:pPr>
        <w:autoSpaceDE w:val="0"/>
        <w:autoSpaceDN w:val="0"/>
        <w:adjustRightInd w:val="0"/>
        <w:spacing w:after="160" w:line="360" w:lineRule="auto"/>
        <w:ind w:firstLine="567"/>
        <w:jc w:val="both"/>
        <w:rPr>
          <w:rFonts w:cs="Times New Roman"/>
        </w:rPr>
      </w:pPr>
      <w:r w:rsidRPr="00B834A2">
        <w:t xml:space="preserve">Պայմանականորեն ընդունված է, որ ճշգրիտ քիմիական տեղաշարժը </w:t>
      </w:r>
      <w:r w:rsidRPr="00D22B70">
        <w:rPr>
          <w:spacing w:val="-4"/>
        </w:rPr>
        <w:t xml:space="preserve">սահմանվում է ըստ </w:t>
      </w:r>
      <w:r w:rsidRPr="00D22B70">
        <w:rPr>
          <w:i/>
          <w:spacing w:val="-4"/>
        </w:rPr>
        <w:t xml:space="preserve">տետրամեթիլսիլանի Р </w:t>
      </w:r>
      <w:r w:rsidRPr="00D22B70">
        <w:rPr>
          <w:spacing w:val="-4"/>
        </w:rPr>
        <w:t xml:space="preserve">(ՏՄՍ) </w:t>
      </w:r>
      <w:r w:rsidRPr="00D22B70">
        <w:rPr>
          <w:spacing w:val="-4"/>
          <w:vertAlign w:val="superscript"/>
        </w:rPr>
        <w:t>1</w:t>
      </w:r>
      <w:r w:rsidRPr="00D22B70">
        <w:rPr>
          <w:spacing w:val="-4"/>
        </w:rPr>
        <w:t xml:space="preserve">Н ռեզոնանսային հաճախականության </w:t>
      </w:r>
      <w:r w:rsidR="00B834A2" w:rsidRPr="00D22B70">
        <w:rPr>
          <w:spacing w:val="-4"/>
        </w:rPr>
        <w:t>եւ</w:t>
      </w:r>
      <w:r w:rsidRPr="00D22B70">
        <w:rPr>
          <w:spacing w:val="-4"/>
        </w:rPr>
        <w:t xml:space="preserve"> նշվում է որպես δ</w:t>
      </w:r>
      <w:r w:rsidRPr="00D22B70">
        <w:rPr>
          <w:i/>
          <w:spacing w:val="-4"/>
          <w:vertAlign w:val="subscript"/>
        </w:rPr>
        <w:t>ՏՄՍ</w:t>
      </w:r>
      <w:r w:rsidR="00D22B70">
        <w:rPr>
          <w:spacing w:val="-4"/>
        </w:rPr>
        <w:t>=</w:t>
      </w:r>
      <w:r w:rsidRPr="00D22B70">
        <w:rPr>
          <w:spacing w:val="-4"/>
        </w:rPr>
        <w:t>0 ppm։ Սահմանելով ՏՄՍ</w:t>
      </w:r>
      <w:r w:rsidR="003F7CCA" w:rsidRPr="00D22B70">
        <w:rPr>
          <w:spacing w:val="-4"/>
        </w:rPr>
        <w:t>-</w:t>
      </w:r>
      <w:r w:rsidRPr="00D22B70">
        <w:rPr>
          <w:spacing w:val="-4"/>
        </w:rPr>
        <w:t xml:space="preserve">ի նկատմամբ </w:t>
      </w:r>
      <w:r w:rsidRPr="00D22B70">
        <w:rPr>
          <w:spacing w:val="-4"/>
          <w:vertAlign w:val="superscript"/>
        </w:rPr>
        <w:t>1</w:t>
      </w:r>
      <w:r w:rsidRPr="00D22B70">
        <w:rPr>
          <w:spacing w:val="-4"/>
        </w:rPr>
        <w:t xml:space="preserve">Н տեղաշարժերի սանդղակը՝ կարելի է հաշվարկել ցանկացած այլ </w:t>
      </w:r>
      <w:r w:rsidRPr="00D22B70">
        <w:rPr>
          <w:i/>
          <w:spacing w:val="-4"/>
        </w:rPr>
        <w:t>X</w:t>
      </w:r>
      <w:r w:rsidRPr="00D22B70">
        <w:rPr>
          <w:spacing w:val="-4"/>
        </w:rPr>
        <w:t xml:space="preserve"> ռեզոնանսի ճշգրիտ հաճախականությունը </w:t>
      </w:r>
      <w:r w:rsidR="00B834A2" w:rsidRPr="00D22B70">
        <w:rPr>
          <w:spacing w:val="-4"/>
        </w:rPr>
        <w:t>եւ</w:t>
      </w:r>
      <w:r w:rsidRPr="00D22B70">
        <w:rPr>
          <w:spacing w:val="-4"/>
        </w:rPr>
        <w:t xml:space="preserve"> ստուգաճշտել դրա քիմիական տեղաշարժի մասշտաբը։ (Երկրորդային) ստանդարտ նմուշի հաճախականությունը δ</w:t>
      </w:r>
      <w:r w:rsidRPr="00D22B70">
        <w:rPr>
          <w:i/>
          <w:spacing w:val="-4"/>
          <w:vertAlign w:val="subscript"/>
        </w:rPr>
        <w:t>Х</w:t>
      </w:r>
      <w:r w:rsidR="00D22B70">
        <w:rPr>
          <w:spacing w:val="-4"/>
        </w:rPr>
        <w:t>=</w:t>
      </w:r>
      <w:r w:rsidRPr="00D22B70">
        <w:rPr>
          <w:spacing w:val="-4"/>
        </w:rPr>
        <w:t>0 ppm դեպքում հաշվարկում են ըստ ՏՄՍ</w:t>
      </w:r>
      <w:r w:rsidR="003F7CCA" w:rsidRPr="00D22B70">
        <w:rPr>
          <w:spacing w:val="-4"/>
        </w:rPr>
        <w:t>-</w:t>
      </w:r>
      <w:r w:rsidRPr="00D22B70">
        <w:rPr>
          <w:spacing w:val="-4"/>
        </w:rPr>
        <w:t xml:space="preserve">ի </w:t>
      </w:r>
      <w:r w:rsidRPr="00D22B70">
        <w:rPr>
          <w:spacing w:val="-4"/>
          <w:vertAlign w:val="superscript"/>
        </w:rPr>
        <w:t>1</w:t>
      </w:r>
      <w:r w:rsidRPr="00D22B70">
        <w:rPr>
          <w:spacing w:val="-4"/>
        </w:rPr>
        <w:t xml:space="preserve">Н հաճախականության </w:t>
      </w:r>
      <w:r w:rsidR="00B834A2" w:rsidRPr="00D22B70">
        <w:rPr>
          <w:spacing w:val="-4"/>
        </w:rPr>
        <w:t>եւ</w:t>
      </w:r>
      <w:r w:rsidRPr="00D22B70">
        <w:rPr>
          <w:spacing w:val="-4"/>
        </w:rPr>
        <w:t xml:space="preserve"> ՏՄՍ</w:t>
      </w:r>
      <w:r w:rsidR="003F7CCA" w:rsidRPr="00D22B70">
        <w:rPr>
          <w:spacing w:val="-4"/>
        </w:rPr>
        <w:t>-</w:t>
      </w:r>
      <w:r w:rsidRPr="00D22B70">
        <w:rPr>
          <w:spacing w:val="-4"/>
        </w:rPr>
        <w:t xml:space="preserve">ում </w:t>
      </w:r>
      <w:r w:rsidRPr="00D22B70">
        <w:rPr>
          <w:spacing w:val="-4"/>
          <w:vertAlign w:val="superscript"/>
        </w:rPr>
        <w:t>1</w:t>
      </w:r>
      <w:r w:rsidRPr="00D22B70">
        <w:rPr>
          <w:spacing w:val="-4"/>
        </w:rPr>
        <w:t xml:space="preserve">Н հաճախականության նկատմամբ իզոտոպի համար որոշված հաճախականության </w:t>
      </w:r>
      <w:r w:rsidRPr="00B834A2">
        <w:t>հարաբերակցության աղյուսակային արժեքի՝</w:t>
      </w:r>
    </w:p>
    <w:p w14:paraId="22EF7D06" w14:textId="77777777" w:rsidR="00702B4E" w:rsidRPr="00B834A2" w:rsidRDefault="0055537C" w:rsidP="00B834A2">
      <w:pPr>
        <w:tabs>
          <w:tab w:val="left" w:pos="4536"/>
        </w:tabs>
        <w:autoSpaceDE w:val="0"/>
        <w:autoSpaceDN w:val="0"/>
        <w:adjustRightInd w:val="0"/>
        <w:spacing w:after="160" w:line="360" w:lineRule="auto"/>
        <w:ind w:firstLine="567"/>
        <w:jc w:val="center"/>
        <w:rPr>
          <w:rFonts w:cs="Times New Roman"/>
        </w:rPr>
      </w:pPr>
      <w:r w:rsidRPr="00B834A2">
        <w:t>ν</w:t>
      </w:r>
      <w:r w:rsidRPr="00B834A2">
        <w:rPr>
          <w:i/>
          <w:vertAlign w:val="subscript"/>
        </w:rPr>
        <w:t>X</w:t>
      </w:r>
      <w:r w:rsidRPr="00B834A2">
        <w:rPr>
          <w:vertAlign w:val="subscript"/>
        </w:rPr>
        <w:t>,</w:t>
      </w:r>
      <w:r w:rsidR="00547A6C" w:rsidRPr="00B834A2">
        <w:rPr>
          <w:vertAlign w:val="subscript"/>
        </w:rPr>
        <w:t xml:space="preserve"> </w:t>
      </w:r>
      <w:r w:rsidRPr="00B834A2">
        <w:rPr>
          <w:vertAlign w:val="subscript"/>
        </w:rPr>
        <w:t xml:space="preserve">համեմատություն </w:t>
      </w:r>
      <w:r w:rsidRPr="00B834A2">
        <w:t>= ν</w:t>
      </w:r>
      <w:r w:rsidRPr="00B834A2">
        <w:rPr>
          <w:vertAlign w:val="subscript"/>
        </w:rPr>
        <w:t>H,ՏՄՍ</w:t>
      </w:r>
      <w:r w:rsidR="00696072">
        <w:rPr>
          <w:vertAlign w:val="subscript"/>
        </w:rPr>
        <w:t xml:space="preserve"> </w:t>
      </w:r>
      <w:r w:rsidRPr="00B834A2">
        <w:t>Ξ</w:t>
      </w:r>
      <w:r w:rsidRPr="00B834A2">
        <w:rPr>
          <w:i/>
          <w:vertAlign w:val="subscript"/>
        </w:rPr>
        <w:t>X</w:t>
      </w:r>
      <w:r w:rsidRPr="00B834A2">
        <w:rPr>
          <w:vertAlign w:val="subscript"/>
        </w:rPr>
        <w:t>, համեմատություն</w:t>
      </w:r>
      <w:r w:rsidR="00A859E3">
        <w:t>,</w:t>
      </w:r>
      <w:r w:rsidRPr="00B834A2">
        <w:tab/>
        <w:t>(5)</w:t>
      </w:r>
    </w:p>
    <w:p w14:paraId="589C2340" w14:textId="77777777" w:rsidR="007B55AD" w:rsidRDefault="0055537C" w:rsidP="00B834A2">
      <w:pPr>
        <w:autoSpaceDE w:val="0"/>
        <w:autoSpaceDN w:val="0"/>
        <w:adjustRightInd w:val="0"/>
        <w:spacing w:after="160" w:line="360" w:lineRule="auto"/>
        <w:ind w:firstLine="567"/>
        <w:jc w:val="both"/>
      </w:pPr>
      <w:r w:rsidRPr="00B834A2">
        <w:lastRenderedPageBreak/>
        <w:t xml:space="preserve">որտեղ՝ </w:t>
      </w:r>
    </w:p>
    <w:p w14:paraId="7901207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ν</w:t>
      </w:r>
      <w:r w:rsidRPr="00B834A2">
        <w:rPr>
          <w:i/>
          <w:vertAlign w:val="subscript"/>
        </w:rPr>
        <w:t>X</w:t>
      </w:r>
      <w:r w:rsidRPr="00B834A2">
        <w:rPr>
          <w:vertAlign w:val="subscript"/>
        </w:rPr>
        <w:t>,</w:t>
      </w:r>
      <w:r w:rsidR="00547A6C" w:rsidRPr="00B834A2">
        <w:rPr>
          <w:vertAlign w:val="subscript"/>
        </w:rPr>
        <w:t xml:space="preserve"> </w:t>
      </w:r>
      <w:r w:rsidRPr="00B834A2">
        <w:rPr>
          <w:vertAlign w:val="subscript"/>
        </w:rPr>
        <w:t xml:space="preserve">համեմատություն </w:t>
      </w:r>
      <w:r w:rsidR="00D22B70">
        <w:t>-</w:t>
      </w:r>
      <w:r w:rsidRPr="00B834A2">
        <w:t>ն՝ (երկրորդային) ստանդարտ նմուշի հաճախականությունն է δ</w:t>
      </w:r>
      <w:r w:rsidRPr="00B834A2">
        <w:rPr>
          <w:i/>
          <w:vertAlign w:val="subscript"/>
        </w:rPr>
        <w:t>Х</w:t>
      </w:r>
      <w:r w:rsidRPr="00B834A2">
        <w:rPr>
          <w:i/>
        </w:rPr>
        <w:t xml:space="preserve"> </w:t>
      </w:r>
      <w:r w:rsidRPr="00B834A2">
        <w:t>= 0 ppm դեպքում.</w:t>
      </w:r>
    </w:p>
    <w:p w14:paraId="3B469938"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ν</w:t>
      </w:r>
      <w:r w:rsidRPr="00B834A2">
        <w:rPr>
          <w:vertAlign w:val="subscript"/>
        </w:rPr>
        <w:t>H,</w:t>
      </w:r>
      <w:r w:rsidR="001053F1" w:rsidRPr="00B834A2">
        <w:rPr>
          <w:vertAlign w:val="subscript"/>
        </w:rPr>
        <w:t xml:space="preserve"> </w:t>
      </w:r>
      <w:r w:rsidRPr="00B834A2">
        <w:rPr>
          <w:vertAlign w:val="subscript"/>
        </w:rPr>
        <w:t xml:space="preserve">ՏՄՍ </w:t>
      </w:r>
      <w:r w:rsidR="00D22B70">
        <w:t>-</w:t>
      </w:r>
      <w:r w:rsidRPr="00B834A2">
        <w:t xml:space="preserve">ն՝ տետրամեթիլսիլանի </w:t>
      </w:r>
      <w:r w:rsidRPr="00B834A2">
        <w:rPr>
          <w:vertAlign w:val="superscript"/>
        </w:rPr>
        <w:t>1</w:t>
      </w:r>
      <w:r w:rsidRPr="00B834A2">
        <w:t>Н հաճախականությունն է.</w:t>
      </w:r>
    </w:p>
    <w:p w14:paraId="1E70D116"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Ξ</w:t>
      </w:r>
      <w:r w:rsidRPr="00B834A2">
        <w:rPr>
          <w:i/>
          <w:vertAlign w:val="subscript"/>
        </w:rPr>
        <w:t>X</w:t>
      </w:r>
      <w:r w:rsidRPr="00B834A2">
        <w:rPr>
          <w:vertAlign w:val="subscript"/>
        </w:rPr>
        <w:t>, համեմատություն</w:t>
      </w:r>
      <w:r w:rsidRPr="00B834A2">
        <w:t xml:space="preserve"> </w:t>
      </w:r>
      <w:r w:rsidR="00D22B70">
        <w:t>-</w:t>
      </w:r>
      <w:r w:rsidRPr="00B834A2">
        <w:t xml:space="preserve">ն՝ տետրամեթիլսիլանում </w:t>
      </w:r>
      <w:r w:rsidRPr="00B834A2">
        <w:rPr>
          <w:vertAlign w:val="superscript"/>
        </w:rPr>
        <w:t>1</w:t>
      </w:r>
      <w:r w:rsidRPr="00B834A2">
        <w:t>Н հաճախականության նկատմամբ իզոտոպի համար որոշված հաճախականության հարաբերակցության աղյուսակային արժեքն է։</w:t>
      </w:r>
    </w:p>
    <w:p w14:paraId="6912075D"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Ստանդարտ նմուշները δ</w:t>
      </w:r>
      <w:r w:rsidRPr="00B834A2">
        <w:rPr>
          <w:i/>
          <w:vertAlign w:val="subscript"/>
        </w:rPr>
        <w:t>X</w:t>
      </w:r>
      <w:r w:rsidR="00D22B70">
        <w:t>=</w:t>
      </w:r>
      <w:r w:rsidRPr="00B834A2">
        <w:t xml:space="preserve">0 ppm դեպքում </w:t>
      </w:r>
      <w:r w:rsidR="00B834A2">
        <w:t>եւ</w:t>
      </w:r>
      <w:r w:rsidRPr="00B834A2">
        <w:t xml:space="preserve"> Ξ</w:t>
      </w:r>
      <w:r w:rsidRPr="00B834A2">
        <w:rPr>
          <w:i/>
          <w:vertAlign w:val="subscript"/>
        </w:rPr>
        <w:t>X</w:t>
      </w:r>
      <w:r w:rsidRPr="00B834A2">
        <w:rPr>
          <w:vertAlign w:val="subscript"/>
        </w:rPr>
        <w:t>, համեմատություն</w:t>
      </w:r>
      <w:r w:rsidRPr="00B834A2">
        <w:t xml:space="preserve"> համապատասխան արժեքները բերված են 2.1.2.45.-2 աղյուսակում։</w:t>
      </w:r>
    </w:p>
    <w:p w14:paraId="73B17AD6" w14:textId="77777777" w:rsidR="00702B4E" w:rsidRPr="00D22B70" w:rsidRDefault="00702B4E" w:rsidP="00D22B70">
      <w:pPr>
        <w:autoSpaceDE w:val="0"/>
        <w:autoSpaceDN w:val="0"/>
        <w:adjustRightInd w:val="0"/>
        <w:spacing w:after="120"/>
        <w:ind w:firstLine="567"/>
        <w:jc w:val="both"/>
        <w:rPr>
          <w:rFonts w:cs="Times New Roman"/>
          <w:sz w:val="20"/>
        </w:rPr>
      </w:pPr>
    </w:p>
    <w:p w14:paraId="7AC24DD6"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Աղյուսակ 2.1.2.45.-2.</w:t>
      </w:r>
    </w:p>
    <w:tbl>
      <w:tblPr>
        <w:tblW w:w="0" w:type="auto"/>
        <w:tblLook w:val="04A0" w:firstRow="1" w:lastRow="0" w:firstColumn="1" w:lastColumn="0" w:noHBand="0" w:noVBand="1"/>
      </w:tblPr>
      <w:tblGrid>
        <w:gridCol w:w="1848"/>
        <w:gridCol w:w="1848"/>
        <w:gridCol w:w="1848"/>
        <w:gridCol w:w="1849"/>
        <w:gridCol w:w="1849"/>
      </w:tblGrid>
      <w:tr w:rsidR="00702B4E" w:rsidRPr="00D22B70" w14:paraId="6D01A876" w14:textId="77777777" w:rsidTr="00BD7224">
        <w:tc>
          <w:tcPr>
            <w:tcW w:w="1848" w:type="dxa"/>
            <w:tcBorders>
              <w:top w:val="single" w:sz="8" w:space="0" w:color="auto"/>
              <w:bottom w:val="single" w:sz="8" w:space="0" w:color="auto"/>
            </w:tcBorders>
          </w:tcPr>
          <w:p w14:paraId="0B3112BE"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Միջուկներ</w:t>
            </w:r>
          </w:p>
        </w:tc>
        <w:tc>
          <w:tcPr>
            <w:tcW w:w="1848" w:type="dxa"/>
            <w:tcBorders>
              <w:top w:val="single" w:sz="8" w:space="0" w:color="auto"/>
              <w:bottom w:val="single" w:sz="8" w:space="0" w:color="auto"/>
            </w:tcBorders>
          </w:tcPr>
          <w:p w14:paraId="74A8AA35"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Ջուր</w:t>
            </w:r>
            <w:r w:rsidR="00D22B70">
              <w:rPr>
                <w:rStyle w:val="FootnoteReference"/>
                <w:sz w:val="20"/>
              </w:rPr>
              <w:footnoteReference w:id="1"/>
            </w:r>
          </w:p>
        </w:tc>
        <w:tc>
          <w:tcPr>
            <w:tcW w:w="1848" w:type="dxa"/>
            <w:tcBorders>
              <w:top w:val="single" w:sz="8" w:space="0" w:color="auto"/>
              <w:bottom w:val="single" w:sz="8" w:space="0" w:color="auto"/>
            </w:tcBorders>
          </w:tcPr>
          <w:p w14:paraId="0596B363"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Ξ</w:t>
            </w:r>
            <w:r w:rsidRPr="00D22B70">
              <w:rPr>
                <w:i/>
                <w:sz w:val="20"/>
                <w:vertAlign w:val="subscript"/>
              </w:rPr>
              <w:t>X</w:t>
            </w:r>
            <w:r w:rsidRPr="00D22B70">
              <w:rPr>
                <w:sz w:val="20"/>
                <w:vertAlign w:val="subscript"/>
              </w:rPr>
              <w:t>, համեմատություն</w:t>
            </w:r>
          </w:p>
        </w:tc>
        <w:tc>
          <w:tcPr>
            <w:tcW w:w="1849" w:type="dxa"/>
            <w:tcBorders>
              <w:top w:val="single" w:sz="8" w:space="0" w:color="auto"/>
              <w:bottom w:val="single" w:sz="8" w:space="0" w:color="auto"/>
            </w:tcBorders>
          </w:tcPr>
          <w:p w14:paraId="016C8176"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Այլ լուծիչներ</w:t>
            </w:r>
          </w:p>
        </w:tc>
        <w:tc>
          <w:tcPr>
            <w:tcW w:w="1849" w:type="dxa"/>
            <w:tcBorders>
              <w:top w:val="single" w:sz="8" w:space="0" w:color="auto"/>
              <w:bottom w:val="single" w:sz="8" w:space="0" w:color="auto"/>
            </w:tcBorders>
          </w:tcPr>
          <w:p w14:paraId="3AAF2A97"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Ξ</w:t>
            </w:r>
            <w:r w:rsidRPr="00D22B70">
              <w:rPr>
                <w:i/>
                <w:sz w:val="20"/>
                <w:vertAlign w:val="subscript"/>
              </w:rPr>
              <w:t>X</w:t>
            </w:r>
            <w:r w:rsidRPr="00D22B70">
              <w:rPr>
                <w:sz w:val="20"/>
                <w:vertAlign w:val="subscript"/>
              </w:rPr>
              <w:t>, համեմատություն</w:t>
            </w:r>
          </w:p>
        </w:tc>
      </w:tr>
      <w:tr w:rsidR="00702B4E" w:rsidRPr="00D22B70" w14:paraId="19F1902F" w14:textId="77777777" w:rsidTr="00BD7224">
        <w:tc>
          <w:tcPr>
            <w:tcW w:w="1848" w:type="dxa"/>
            <w:tcBorders>
              <w:top w:val="single" w:sz="8" w:space="0" w:color="auto"/>
            </w:tcBorders>
          </w:tcPr>
          <w:p w14:paraId="73A8B8B7" w14:textId="77777777" w:rsidR="00702B4E" w:rsidRPr="00D22B70" w:rsidRDefault="0055537C" w:rsidP="00D22B70">
            <w:pPr>
              <w:autoSpaceDE w:val="0"/>
              <w:autoSpaceDN w:val="0"/>
              <w:adjustRightInd w:val="0"/>
              <w:spacing w:after="120"/>
              <w:jc w:val="center"/>
              <w:rPr>
                <w:rFonts w:cs="Times New Roman"/>
                <w:sz w:val="20"/>
              </w:rPr>
            </w:pPr>
            <w:r w:rsidRPr="00D22B70">
              <w:rPr>
                <w:sz w:val="20"/>
                <w:vertAlign w:val="superscript"/>
              </w:rPr>
              <w:t>1</w:t>
            </w:r>
            <w:r w:rsidRPr="00D22B70">
              <w:rPr>
                <w:sz w:val="20"/>
              </w:rPr>
              <w:t>H</w:t>
            </w:r>
          </w:p>
        </w:tc>
        <w:tc>
          <w:tcPr>
            <w:tcW w:w="1848" w:type="dxa"/>
            <w:tcBorders>
              <w:top w:val="single" w:sz="8" w:space="0" w:color="auto"/>
            </w:tcBorders>
          </w:tcPr>
          <w:p w14:paraId="2AC33C71" w14:textId="77777777" w:rsidR="00702B4E" w:rsidRPr="00D22B70" w:rsidRDefault="0055537C" w:rsidP="00D22B70">
            <w:pPr>
              <w:autoSpaceDE w:val="0"/>
              <w:autoSpaceDN w:val="0"/>
              <w:adjustRightInd w:val="0"/>
              <w:spacing w:after="120"/>
              <w:jc w:val="center"/>
              <w:rPr>
                <w:rFonts w:cs="Times New Roman"/>
                <w:sz w:val="20"/>
              </w:rPr>
            </w:pPr>
            <w:smartTag w:uri="urn:schemas-microsoft-com:office:smarttags" w:element="stockticker">
              <w:r w:rsidRPr="00D22B70">
                <w:rPr>
                  <w:sz w:val="20"/>
                </w:rPr>
                <w:t>DSS</w:t>
              </w:r>
            </w:smartTag>
            <w:r w:rsidR="00D22B70">
              <w:rPr>
                <w:rStyle w:val="FootnoteReference"/>
                <w:sz w:val="20"/>
              </w:rPr>
              <w:footnoteReference w:id="2"/>
            </w:r>
          </w:p>
        </w:tc>
        <w:tc>
          <w:tcPr>
            <w:tcW w:w="1848" w:type="dxa"/>
            <w:tcBorders>
              <w:top w:val="single" w:sz="8" w:space="0" w:color="auto"/>
            </w:tcBorders>
          </w:tcPr>
          <w:p w14:paraId="1EF28D8D"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1,00000000</w:t>
            </w:r>
          </w:p>
        </w:tc>
        <w:tc>
          <w:tcPr>
            <w:tcW w:w="1849" w:type="dxa"/>
            <w:tcBorders>
              <w:top w:val="single" w:sz="8" w:space="0" w:color="auto"/>
            </w:tcBorders>
          </w:tcPr>
          <w:p w14:paraId="5A2D0D2C"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ՏՄՍ</w:t>
            </w:r>
          </w:p>
        </w:tc>
        <w:tc>
          <w:tcPr>
            <w:tcW w:w="1849" w:type="dxa"/>
            <w:tcBorders>
              <w:top w:val="single" w:sz="8" w:space="0" w:color="auto"/>
            </w:tcBorders>
          </w:tcPr>
          <w:p w14:paraId="0D5F3E9C"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1,00000000</w:t>
            </w:r>
          </w:p>
        </w:tc>
      </w:tr>
      <w:tr w:rsidR="00702B4E" w:rsidRPr="00D22B70" w14:paraId="6DA0217C" w14:textId="77777777" w:rsidTr="00721E82">
        <w:tc>
          <w:tcPr>
            <w:tcW w:w="1848" w:type="dxa"/>
          </w:tcPr>
          <w:p w14:paraId="633526AD" w14:textId="77777777" w:rsidR="00702B4E" w:rsidRPr="00D22B70" w:rsidRDefault="0055537C" w:rsidP="00D22B70">
            <w:pPr>
              <w:autoSpaceDE w:val="0"/>
              <w:autoSpaceDN w:val="0"/>
              <w:adjustRightInd w:val="0"/>
              <w:spacing w:after="120"/>
              <w:jc w:val="center"/>
              <w:rPr>
                <w:rFonts w:cs="Times New Roman"/>
                <w:sz w:val="20"/>
              </w:rPr>
            </w:pPr>
            <w:r w:rsidRPr="00D22B70">
              <w:rPr>
                <w:sz w:val="20"/>
                <w:vertAlign w:val="superscript"/>
              </w:rPr>
              <w:t>13</w:t>
            </w:r>
            <w:r w:rsidRPr="00D22B70">
              <w:rPr>
                <w:sz w:val="20"/>
              </w:rPr>
              <w:t>C</w:t>
            </w:r>
          </w:p>
        </w:tc>
        <w:tc>
          <w:tcPr>
            <w:tcW w:w="1848" w:type="dxa"/>
          </w:tcPr>
          <w:p w14:paraId="09199F41" w14:textId="77777777" w:rsidR="00702B4E" w:rsidRPr="00D22B70" w:rsidRDefault="0055537C" w:rsidP="00D22B70">
            <w:pPr>
              <w:autoSpaceDE w:val="0"/>
              <w:autoSpaceDN w:val="0"/>
              <w:adjustRightInd w:val="0"/>
              <w:spacing w:after="120"/>
              <w:jc w:val="center"/>
              <w:rPr>
                <w:rFonts w:cs="Times New Roman"/>
                <w:sz w:val="20"/>
              </w:rPr>
            </w:pPr>
            <w:smartTag w:uri="urn:schemas-microsoft-com:office:smarttags" w:element="stockticker">
              <w:r w:rsidRPr="00D22B70">
                <w:rPr>
                  <w:sz w:val="20"/>
                </w:rPr>
                <w:t>DSS</w:t>
              </w:r>
            </w:smartTag>
            <w:r w:rsidRPr="00D22B70">
              <w:rPr>
                <w:sz w:val="20"/>
                <w:vertAlign w:val="superscript"/>
              </w:rPr>
              <w:t>2</w:t>
            </w:r>
          </w:p>
        </w:tc>
        <w:tc>
          <w:tcPr>
            <w:tcW w:w="1848" w:type="dxa"/>
          </w:tcPr>
          <w:p w14:paraId="36FF4360"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0,25144953</w:t>
            </w:r>
          </w:p>
        </w:tc>
        <w:tc>
          <w:tcPr>
            <w:tcW w:w="1849" w:type="dxa"/>
          </w:tcPr>
          <w:p w14:paraId="79C88DA4"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ՏՄՍ</w:t>
            </w:r>
          </w:p>
        </w:tc>
        <w:tc>
          <w:tcPr>
            <w:tcW w:w="1849" w:type="dxa"/>
          </w:tcPr>
          <w:p w14:paraId="1DEECFA1"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0,25145020</w:t>
            </w:r>
          </w:p>
        </w:tc>
      </w:tr>
      <w:tr w:rsidR="00702B4E" w:rsidRPr="00D22B70" w14:paraId="0B211D0C" w14:textId="77777777" w:rsidTr="00721E82">
        <w:tc>
          <w:tcPr>
            <w:tcW w:w="1848" w:type="dxa"/>
          </w:tcPr>
          <w:p w14:paraId="3331959F" w14:textId="77777777" w:rsidR="00702B4E" w:rsidRPr="00D22B70" w:rsidRDefault="0055537C" w:rsidP="00D22B70">
            <w:pPr>
              <w:autoSpaceDE w:val="0"/>
              <w:autoSpaceDN w:val="0"/>
              <w:adjustRightInd w:val="0"/>
              <w:spacing w:after="120"/>
              <w:jc w:val="center"/>
              <w:rPr>
                <w:rFonts w:cs="Times New Roman"/>
                <w:sz w:val="20"/>
              </w:rPr>
            </w:pPr>
            <w:r w:rsidRPr="00D22B70">
              <w:rPr>
                <w:sz w:val="20"/>
                <w:vertAlign w:val="superscript"/>
              </w:rPr>
              <w:t>15</w:t>
            </w:r>
            <w:r w:rsidRPr="00D22B70">
              <w:rPr>
                <w:sz w:val="20"/>
              </w:rPr>
              <w:t>N</w:t>
            </w:r>
          </w:p>
        </w:tc>
        <w:tc>
          <w:tcPr>
            <w:tcW w:w="1848" w:type="dxa"/>
          </w:tcPr>
          <w:p w14:paraId="1045CD1B"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NH</w:t>
            </w:r>
            <w:r w:rsidRPr="00D22B70">
              <w:rPr>
                <w:sz w:val="20"/>
                <w:vertAlign w:val="subscript"/>
              </w:rPr>
              <w:t>3</w:t>
            </w:r>
          </w:p>
        </w:tc>
        <w:tc>
          <w:tcPr>
            <w:tcW w:w="1848" w:type="dxa"/>
          </w:tcPr>
          <w:p w14:paraId="60DA3E34"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0,10132912</w:t>
            </w:r>
          </w:p>
        </w:tc>
        <w:tc>
          <w:tcPr>
            <w:tcW w:w="1849" w:type="dxa"/>
          </w:tcPr>
          <w:p w14:paraId="2F912FFA"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CH</w:t>
            </w:r>
            <w:r w:rsidRPr="00D22B70">
              <w:rPr>
                <w:sz w:val="20"/>
                <w:vertAlign w:val="subscript"/>
              </w:rPr>
              <w:t>3</w:t>
            </w:r>
            <w:r w:rsidRPr="00D22B70">
              <w:rPr>
                <w:sz w:val="20"/>
              </w:rPr>
              <w:t>NO</w:t>
            </w:r>
            <w:r w:rsidRPr="00D22B70">
              <w:rPr>
                <w:sz w:val="20"/>
                <w:vertAlign w:val="subscript"/>
              </w:rPr>
              <w:t>2</w:t>
            </w:r>
          </w:p>
        </w:tc>
        <w:tc>
          <w:tcPr>
            <w:tcW w:w="1849" w:type="dxa"/>
          </w:tcPr>
          <w:p w14:paraId="6FEA508D"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0,10136767</w:t>
            </w:r>
          </w:p>
        </w:tc>
      </w:tr>
      <w:tr w:rsidR="00702B4E" w:rsidRPr="00D22B70" w14:paraId="347AEEAD" w14:textId="77777777" w:rsidTr="00721E82">
        <w:tc>
          <w:tcPr>
            <w:tcW w:w="1848" w:type="dxa"/>
          </w:tcPr>
          <w:p w14:paraId="10641786" w14:textId="77777777" w:rsidR="00702B4E" w:rsidRPr="00D22B70" w:rsidRDefault="0055537C" w:rsidP="00D22B70">
            <w:pPr>
              <w:autoSpaceDE w:val="0"/>
              <w:autoSpaceDN w:val="0"/>
              <w:adjustRightInd w:val="0"/>
              <w:spacing w:after="120"/>
              <w:jc w:val="center"/>
              <w:rPr>
                <w:rFonts w:cs="Times New Roman"/>
                <w:sz w:val="20"/>
              </w:rPr>
            </w:pPr>
            <w:smartTag w:uri="urn:schemas-microsoft-com:office:smarttags" w:element="metricconverter">
              <w:smartTagPr>
                <w:attr w:name="ProductID" w:val="19F"/>
              </w:smartTagPr>
              <w:r w:rsidRPr="00D22B70">
                <w:rPr>
                  <w:sz w:val="20"/>
                  <w:vertAlign w:val="superscript"/>
                </w:rPr>
                <w:t>19</w:t>
              </w:r>
              <w:r w:rsidRPr="00D22B70">
                <w:rPr>
                  <w:sz w:val="20"/>
                </w:rPr>
                <w:t>F</w:t>
              </w:r>
            </w:smartTag>
          </w:p>
        </w:tc>
        <w:tc>
          <w:tcPr>
            <w:tcW w:w="1848" w:type="dxa"/>
          </w:tcPr>
          <w:p w14:paraId="6AE73210"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CF</w:t>
            </w:r>
            <w:r w:rsidRPr="00D22B70">
              <w:rPr>
                <w:sz w:val="20"/>
                <w:vertAlign w:val="subscript"/>
              </w:rPr>
              <w:t>3</w:t>
            </w:r>
            <w:r w:rsidRPr="00D22B70">
              <w:rPr>
                <w:sz w:val="20"/>
              </w:rPr>
              <w:t>COOH</w:t>
            </w:r>
          </w:p>
        </w:tc>
        <w:tc>
          <w:tcPr>
            <w:tcW w:w="1848" w:type="dxa"/>
          </w:tcPr>
          <w:p w14:paraId="42788D78"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նշված չէ</w:t>
            </w:r>
          </w:p>
        </w:tc>
        <w:tc>
          <w:tcPr>
            <w:tcW w:w="1849" w:type="dxa"/>
          </w:tcPr>
          <w:p w14:paraId="25D7FF99"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CCl</w:t>
            </w:r>
            <w:r w:rsidRPr="00D22B70">
              <w:rPr>
                <w:sz w:val="20"/>
                <w:vertAlign w:val="subscript"/>
              </w:rPr>
              <w:t>3</w:t>
            </w:r>
            <w:r w:rsidRPr="00D22B70">
              <w:rPr>
                <w:sz w:val="20"/>
              </w:rPr>
              <w:t>F</w:t>
            </w:r>
          </w:p>
        </w:tc>
        <w:tc>
          <w:tcPr>
            <w:tcW w:w="1849" w:type="dxa"/>
          </w:tcPr>
          <w:p w14:paraId="6A75639A"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0,94094011</w:t>
            </w:r>
          </w:p>
        </w:tc>
      </w:tr>
      <w:tr w:rsidR="00702B4E" w:rsidRPr="00D22B70" w14:paraId="28231478" w14:textId="77777777" w:rsidTr="00BD7224">
        <w:tc>
          <w:tcPr>
            <w:tcW w:w="1848" w:type="dxa"/>
            <w:tcBorders>
              <w:bottom w:val="single" w:sz="8" w:space="0" w:color="auto"/>
            </w:tcBorders>
          </w:tcPr>
          <w:p w14:paraId="6B23339E" w14:textId="77777777" w:rsidR="00702B4E" w:rsidRPr="00D22B70" w:rsidRDefault="0055537C" w:rsidP="00D22B70">
            <w:pPr>
              <w:autoSpaceDE w:val="0"/>
              <w:autoSpaceDN w:val="0"/>
              <w:adjustRightInd w:val="0"/>
              <w:spacing w:after="120"/>
              <w:jc w:val="center"/>
              <w:rPr>
                <w:rFonts w:cs="Times New Roman"/>
                <w:sz w:val="20"/>
              </w:rPr>
            </w:pPr>
            <w:r w:rsidRPr="00D22B70">
              <w:rPr>
                <w:sz w:val="20"/>
                <w:vertAlign w:val="superscript"/>
              </w:rPr>
              <w:t>31</w:t>
            </w:r>
            <w:r w:rsidRPr="00D22B70">
              <w:rPr>
                <w:sz w:val="20"/>
              </w:rPr>
              <w:t>P</w:t>
            </w:r>
          </w:p>
        </w:tc>
        <w:tc>
          <w:tcPr>
            <w:tcW w:w="1848" w:type="dxa"/>
            <w:tcBorders>
              <w:bottom w:val="single" w:sz="8" w:space="0" w:color="auto"/>
            </w:tcBorders>
          </w:tcPr>
          <w:p w14:paraId="40802D42"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H</w:t>
            </w:r>
            <w:r w:rsidRPr="00D22B70">
              <w:rPr>
                <w:sz w:val="20"/>
                <w:vertAlign w:val="subscript"/>
              </w:rPr>
              <w:t>3</w:t>
            </w:r>
            <w:r w:rsidRPr="00D22B70">
              <w:rPr>
                <w:sz w:val="20"/>
              </w:rPr>
              <w:t>PO</w:t>
            </w:r>
            <w:r w:rsidRPr="00D22B70">
              <w:rPr>
                <w:sz w:val="20"/>
                <w:vertAlign w:val="subscript"/>
              </w:rPr>
              <w:t>4</w:t>
            </w:r>
            <w:r w:rsidRPr="00D22B70">
              <w:rPr>
                <w:sz w:val="20"/>
              </w:rPr>
              <w:t xml:space="preserve"> (85 %)</w:t>
            </w:r>
          </w:p>
        </w:tc>
        <w:tc>
          <w:tcPr>
            <w:tcW w:w="1848" w:type="dxa"/>
            <w:tcBorders>
              <w:bottom w:val="single" w:sz="8" w:space="0" w:color="auto"/>
            </w:tcBorders>
          </w:tcPr>
          <w:p w14:paraId="1055165F"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0,40480742</w:t>
            </w:r>
          </w:p>
        </w:tc>
        <w:tc>
          <w:tcPr>
            <w:tcW w:w="1849" w:type="dxa"/>
            <w:tcBorders>
              <w:bottom w:val="single" w:sz="8" w:space="0" w:color="auto"/>
            </w:tcBorders>
          </w:tcPr>
          <w:p w14:paraId="2B47E260"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(CH</w:t>
            </w:r>
            <w:r w:rsidRPr="00D22B70">
              <w:rPr>
                <w:sz w:val="20"/>
                <w:vertAlign w:val="subscript"/>
              </w:rPr>
              <w:t>3</w:t>
            </w:r>
            <w:r w:rsidRPr="00D22B70">
              <w:rPr>
                <w:sz w:val="20"/>
              </w:rPr>
              <w:t>O)</w:t>
            </w:r>
            <w:r w:rsidRPr="00D22B70">
              <w:rPr>
                <w:sz w:val="20"/>
                <w:vertAlign w:val="subscript"/>
              </w:rPr>
              <w:t>3</w:t>
            </w:r>
            <w:r w:rsidRPr="00D22B70">
              <w:rPr>
                <w:sz w:val="20"/>
              </w:rPr>
              <w:t>PO</w:t>
            </w:r>
          </w:p>
        </w:tc>
        <w:tc>
          <w:tcPr>
            <w:tcW w:w="1849" w:type="dxa"/>
            <w:tcBorders>
              <w:bottom w:val="single" w:sz="8" w:space="0" w:color="auto"/>
            </w:tcBorders>
          </w:tcPr>
          <w:p w14:paraId="7FC448A0" w14:textId="77777777" w:rsidR="00702B4E" w:rsidRPr="00D22B70" w:rsidRDefault="0055537C" w:rsidP="00D22B70">
            <w:pPr>
              <w:autoSpaceDE w:val="0"/>
              <w:autoSpaceDN w:val="0"/>
              <w:adjustRightInd w:val="0"/>
              <w:spacing w:after="120"/>
              <w:jc w:val="center"/>
              <w:rPr>
                <w:rFonts w:cs="Times New Roman"/>
                <w:sz w:val="20"/>
              </w:rPr>
            </w:pPr>
            <w:r w:rsidRPr="00D22B70">
              <w:rPr>
                <w:sz w:val="20"/>
              </w:rPr>
              <w:t>0,40480864</w:t>
            </w:r>
          </w:p>
        </w:tc>
      </w:tr>
    </w:tbl>
    <w:p w14:paraId="64D4FA43" w14:textId="77777777" w:rsidR="00702B4E" w:rsidRPr="00A859E3" w:rsidRDefault="00702B4E" w:rsidP="00B834A2">
      <w:pPr>
        <w:autoSpaceDE w:val="0"/>
        <w:autoSpaceDN w:val="0"/>
        <w:adjustRightInd w:val="0"/>
        <w:spacing w:after="160" w:line="360" w:lineRule="auto"/>
        <w:ind w:firstLine="567"/>
        <w:jc w:val="both"/>
        <w:rPr>
          <w:rFonts w:cs="Times New Roman"/>
          <w:lang w:val="en-US"/>
        </w:rPr>
      </w:pPr>
    </w:p>
    <w:p w14:paraId="5991BECB" w14:textId="77777777" w:rsidR="00702B4E" w:rsidRPr="009217DE" w:rsidRDefault="0055537C" w:rsidP="00B834A2">
      <w:pPr>
        <w:autoSpaceDE w:val="0"/>
        <w:autoSpaceDN w:val="0"/>
        <w:adjustRightInd w:val="0"/>
        <w:spacing w:after="160" w:line="360" w:lineRule="auto"/>
        <w:ind w:firstLine="567"/>
        <w:jc w:val="both"/>
      </w:pPr>
      <w:r w:rsidRPr="00B834A2">
        <w:t xml:space="preserve">Գործնականում </w:t>
      </w:r>
      <w:r w:rsidRPr="00B834A2">
        <w:rPr>
          <w:i/>
        </w:rPr>
        <w:t>X</w:t>
      </w:r>
      <w:r w:rsidRPr="00B834A2">
        <w:t xml:space="preserve"> քիմիական տեղաշարժերը համեմատում են՝ անմիջականորեն օգտագործելով համապատասխան ստանդարտը։ </w:t>
      </w:r>
      <w:r w:rsidRPr="00B834A2">
        <w:rPr>
          <w:vertAlign w:val="superscript"/>
        </w:rPr>
        <w:t>1</w:t>
      </w:r>
      <w:r w:rsidRPr="00B834A2">
        <w:t xml:space="preserve">Н </w:t>
      </w:r>
      <w:r w:rsidR="00B834A2">
        <w:t>եւ</w:t>
      </w:r>
      <w:r w:rsidRPr="00B834A2">
        <w:t xml:space="preserve"> </w:t>
      </w:r>
      <w:r w:rsidRPr="00B834A2">
        <w:rPr>
          <w:vertAlign w:val="superscript"/>
        </w:rPr>
        <w:t>13</w:t>
      </w:r>
      <w:r w:rsidRPr="00B834A2">
        <w:t>С ՄՄՌ</w:t>
      </w:r>
      <w:r w:rsidR="00D22B70">
        <w:t>-</w:t>
      </w:r>
      <w:r w:rsidRPr="00B834A2">
        <w:t xml:space="preserve">ում հիմնականում օգտագործվում է ներքին ստանդարտը, որը հետազոտության ժամանակ անմիջականորեն ավելացնում են փորձարկվող նմուշին։ </w:t>
      </w:r>
      <w:r w:rsidRPr="00B834A2">
        <w:rPr>
          <w:vertAlign w:val="superscript"/>
        </w:rPr>
        <w:t>15</w:t>
      </w:r>
      <w:r w:rsidRPr="00B834A2">
        <w:t xml:space="preserve">N, </w:t>
      </w:r>
      <w:smartTag w:uri="urn:schemas-microsoft-com:office:smarttags" w:element="metricconverter">
        <w:smartTagPr>
          <w:attr w:name="ProductID" w:val="19F"/>
        </w:smartTagPr>
        <w:r w:rsidRPr="00B834A2">
          <w:rPr>
            <w:vertAlign w:val="superscript"/>
          </w:rPr>
          <w:t>19</w:t>
        </w:r>
        <w:r w:rsidRPr="00B834A2">
          <w:t>F</w:t>
        </w:r>
      </w:smartTag>
      <w:r w:rsidRPr="00B834A2">
        <w:t xml:space="preserve"> </w:t>
      </w:r>
      <w:r w:rsidR="00B834A2">
        <w:t>եւ</w:t>
      </w:r>
      <w:r w:rsidRPr="00B834A2">
        <w:t xml:space="preserve"> </w:t>
      </w:r>
      <w:r w:rsidRPr="00B834A2">
        <w:rPr>
          <w:vertAlign w:val="superscript"/>
        </w:rPr>
        <w:t>31</w:t>
      </w:r>
      <w:r w:rsidRPr="00B834A2">
        <w:t>Р ՄՄՌ</w:t>
      </w:r>
      <w:r w:rsidR="00D22B70">
        <w:t>-</w:t>
      </w:r>
      <w:r w:rsidRPr="00B834A2">
        <w:t xml:space="preserve">ում հաճախ օգտագործվում է արտաքին ստանդարտը, երբ նմուշը </w:t>
      </w:r>
      <w:r w:rsidR="00B834A2">
        <w:t>եւ</w:t>
      </w:r>
      <w:r w:rsidRPr="00B834A2">
        <w:t xml:space="preserve"> ստանդարտը գտնվում են տարբեր համառանցք գլանական փորձասրվակներում։</w:t>
      </w:r>
    </w:p>
    <w:p w14:paraId="47516583"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Կայունացումը։</w:t>
      </w:r>
      <w:r w:rsidRPr="00B834A2">
        <w:t xml:space="preserve"> Ժամանակի մեջ սպեկտրի տեղաշարժը կանխելու համար կատարում են կայունացման ընթացակարգը (դեյտերիումային կայունացում)։ Դրա </w:t>
      </w:r>
      <w:r w:rsidRPr="00B834A2">
        <w:lastRenderedPageBreak/>
        <w:t xml:space="preserve">համար, եթե այլ բան նշված չէ մասնավոր դեղագրքային հոդվածում </w:t>
      </w:r>
      <w:r w:rsidR="00B834A2">
        <w:t>եւ</w:t>
      </w:r>
      <w:r w:rsidRPr="00B834A2">
        <w:t xml:space="preserve"> (կամ) որակի վերաբերյալ նորմատիվ փաստաթղթում, օգտագործում են դեյտերիումացված լուծիչներով առաջացող </w:t>
      </w:r>
      <w:r w:rsidRPr="00B834A2">
        <w:rPr>
          <w:vertAlign w:val="superscript"/>
        </w:rPr>
        <w:t>2</w:t>
      </w:r>
      <w:r w:rsidRPr="00B834A2">
        <w:t>Н (դեյտերիումի) ազդանշանը։</w:t>
      </w:r>
    </w:p>
    <w:p w14:paraId="18B01E6C" w14:textId="77777777" w:rsidR="00702B4E" w:rsidRPr="00B834A2" w:rsidRDefault="00702B4E" w:rsidP="00B834A2">
      <w:pPr>
        <w:autoSpaceDE w:val="0"/>
        <w:autoSpaceDN w:val="0"/>
        <w:adjustRightInd w:val="0"/>
        <w:spacing w:after="160" w:line="360" w:lineRule="auto"/>
        <w:ind w:firstLine="567"/>
        <w:jc w:val="both"/>
        <w:rPr>
          <w:rFonts w:cs="Times New Roman"/>
          <w:i/>
          <w:iCs/>
        </w:rPr>
      </w:pPr>
    </w:p>
    <w:p w14:paraId="378BC1D1" w14:textId="77777777" w:rsidR="00702B4E" w:rsidRPr="00464EA4" w:rsidRDefault="0055537C" w:rsidP="00B834A2">
      <w:pPr>
        <w:autoSpaceDE w:val="0"/>
        <w:autoSpaceDN w:val="0"/>
        <w:adjustRightInd w:val="0"/>
        <w:spacing w:after="160" w:line="360" w:lineRule="auto"/>
        <w:ind w:firstLine="567"/>
        <w:jc w:val="both"/>
        <w:rPr>
          <w:rFonts w:cs="Times New Roman"/>
          <w:i/>
          <w:iCs/>
        </w:rPr>
      </w:pPr>
      <w:r w:rsidRPr="00464EA4">
        <w:rPr>
          <w:i/>
        </w:rPr>
        <w:t>ՈՐԱԿԱԿԱՆ ԱՆԱԼԻԶ</w:t>
      </w:r>
    </w:p>
    <w:p w14:paraId="07974BB1" w14:textId="77777777" w:rsidR="00702B4E" w:rsidRPr="00B834A2" w:rsidRDefault="0055537C" w:rsidP="00696072">
      <w:pPr>
        <w:autoSpaceDE w:val="0"/>
        <w:autoSpaceDN w:val="0"/>
        <w:adjustRightInd w:val="0"/>
        <w:spacing w:after="160" w:line="336" w:lineRule="auto"/>
        <w:ind w:firstLine="567"/>
        <w:jc w:val="both"/>
        <w:rPr>
          <w:rFonts w:cs="Times New Roman"/>
        </w:rPr>
      </w:pPr>
      <w:r w:rsidRPr="00B834A2">
        <w:t>Որակական ՄՄՌ սպեկտրներ</w:t>
      </w:r>
      <w:r w:rsidR="004E0D2A" w:rsidRPr="00B834A2">
        <w:t>ն</w:t>
      </w:r>
      <w:r w:rsidRPr="00B834A2">
        <w:t xml:space="preserve"> օգտագործվում են որպես իսկության փորձարկումներ, որոնց դեպքում փորձարկվող նմուշի </w:t>
      </w:r>
      <w:r w:rsidRPr="00B834A2">
        <w:rPr>
          <w:vertAlign w:val="superscript"/>
        </w:rPr>
        <w:t>1</w:t>
      </w:r>
      <w:r w:rsidRPr="00B834A2">
        <w:t xml:space="preserve">Н կամ </w:t>
      </w:r>
      <w:r w:rsidRPr="00B834A2">
        <w:rPr>
          <w:vertAlign w:val="superscript"/>
        </w:rPr>
        <w:t>13</w:t>
      </w:r>
      <w:r w:rsidRPr="00B834A2">
        <w:t xml:space="preserve">С սպեկտրը համեմատվում է ստանդարտ նմուշի սպեկտրի կամ, ավելի հազվադեպ, հրապարակված ստանդարտ սպեկտրի հետ։ Ստանդարտ </w:t>
      </w:r>
      <w:r w:rsidR="00B834A2">
        <w:t>եւ</w:t>
      </w:r>
      <w:r w:rsidRPr="00B834A2">
        <w:t xml:space="preserve"> փորձարկվող նմուշների սպեկտրները պետք է ստացվեն՝ օգտագործելով փորձարկման անցկացման նույն մեթոդիկաները </w:t>
      </w:r>
      <w:r w:rsidR="00B834A2">
        <w:t>եւ</w:t>
      </w:r>
      <w:r w:rsidRPr="00B834A2">
        <w:t xml:space="preserve"> պայմանները։ Պիկերն այս 2 սպեկտրներում կամ սպեկտրների բնութագրիչ տիրույթներում պետք է համընկնեն դիրքով, ինտենսիվությամբ </w:t>
      </w:r>
      <w:r w:rsidR="00B834A2">
        <w:t>եւ</w:t>
      </w:r>
      <w:r w:rsidRPr="00B834A2">
        <w:t xml:space="preserve"> մուլտիպլետությամբ։ Համապատասխան դեպքերում կարող</w:t>
      </w:r>
      <w:r w:rsidR="00464EA4" w:rsidRPr="00317EEC">
        <w:t> </w:t>
      </w:r>
      <w:r w:rsidRPr="00B834A2">
        <w:t>է անցկացվել մաթեմատիկական համադրում, օրինակ՝ համահարաբերակցության գործակցի հաշվարկում։ Ստանդարտ նմուշի բացակայության դեպքում օգտագործում են աշխատանքային ստանդարտ նմուշը, որի նույնականացումը հաստատվել է այլընտրանքային մեթոդներով, կամ այն բանի հաստատման միջոցով, որ ՄՄՌ սպեկտրն ամբողջությամբ համընկնում է նյութի հայտարարված կառուցվածքի հետ։</w:t>
      </w:r>
    </w:p>
    <w:p w14:paraId="523F73D5" w14:textId="77777777" w:rsidR="00702B4E" w:rsidRPr="00B834A2" w:rsidRDefault="00702B4E" w:rsidP="00696072">
      <w:pPr>
        <w:autoSpaceDE w:val="0"/>
        <w:autoSpaceDN w:val="0"/>
        <w:adjustRightInd w:val="0"/>
        <w:spacing w:after="160" w:line="336" w:lineRule="auto"/>
        <w:ind w:firstLine="567"/>
        <w:jc w:val="both"/>
        <w:rPr>
          <w:rFonts w:cs="Times New Roman"/>
          <w:i/>
          <w:iCs/>
        </w:rPr>
      </w:pPr>
    </w:p>
    <w:p w14:paraId="674B8480" w14:textId="77777777" w:rsidR="00702B4E" w:rsidRPr="00317EEC" w:rsidRDefault="0055537C" w:rsidP="00696072">
      <w:pPr>
        <w:autoSpaceDE w:val="0"/>
        <w:autoSpaceDN w:val="0"/>
        <w:adjustRightInd w:val="0"/>
        <w:spacing w:after="160" w:line="336" w:lineRule="auto"/>
        <w:ind w:firstLine="567"/>
        <w:jc w:val="both"/>
        <w:rPr>
          <w:rFonts w:cs="Times New Roman"/>
          <w:i/>
          <w:iCs/>
        </w:rPr>
      </w:pPr>
      <w:r w:rsidRPr="00317EEC">
        <w:rPr>
          <w:i/>
        </w:rPr>
        <w:t>ՔԱՆԱԿԱԿԱՆ ԱՆԱԼԻԶ</w:t>
      </w:r>
    </w:p>
    <w:p w14:paraId="5726FF56" w14:textId="77777777" w:rsidR="00702B4E" w:rsidRPr="00B834A2" w:rsidRDefault="0055537C" w:rsidP="00696072">
      <w:pPr>
        <w:autoSpaceDE w:val="0"/>
        <w:autoSpaceDN w:val="0"/>
        <w:adjustRightInd w:val="0"/>
        <w:spacing w:after="160" w:line="336" w:lineRule="auto"/>
        <w:ind w:firstLine="567"/>
        <w:jc w:val="both"/>
        <w:rPr>
          <w:rFonts w:cs="Times New Roman"/>
        </w:rPr>
      </w:pPr>
      <w:r w:rsidRPr="00B834A2">
        <w:t xml:space="preserve">Ազդանշանի ինտենսիվությունը ՄՄՌ փորձարկման մեջ, որպես կանոն, ինտեգրված հրապարակ է չափված ազդանշանի կորի տակ։ Ազդանշանի բարձրությունը կարող է լինել ինտենսիվության չափ միայն բարձրության կեսում լրիվ լայնության նույն արժեքի </w:t>
      </w:r>
      <w:r w:rsidR="00B834A2">
        <w:t>եւ</w:t>
      </w:r>
      <w:r w:rsidRPr="00B834A2">
        <w:t xml:space="preserve"> երկու ազդանշանների նույն մուլտիպլետության դեպքում։ Գրանցվող ազդանշանների միջ</w:t>
      </w:r>
      <w:r w:rsidR="00B834A2">
        <w:t>եւ</w:t>
      </w:r>
      <w:r w:rsidRPr="00B834A2">
        <w:t xml:space="preserve"> գործնականորեն լրիվ ռելաքսացիայի պայմաններում ազդանշանի ինտենսիվությունը համապատասխան ազդանշանի համար պատասխանատու միջուկների քանակի իրական չափն է՝</w:t>
      </w:r>
    </w:p>
    <w:p w14:paraId="0E1E621C" w14:textId="77777777" w:rsidR="00702B4E" w:rsidRPr="00B834A2" w:rsidRDefault="0055537C" w:rsidP="00B834A2">
      <w:pPr>
        <w:tabs>
          <w:tab w:val="left" w:pos="4536"/>
        </w:tabs>
        <w:autoSpaceDE w:val="0"/>
        <w:autoSpaceDN w:val="0"/>
        <w:adjustRightInd w:val="0"/>
        <w:spacing w:after="160" w:line="360" w:lineRule="auto"/>
        <w:ind w:firstLine="567"/>
        <w:jc w:val="center"/>
        <w:rPr>
          <w:rFonts w:cs="Times New Roman"/>
        </w:rPr>
      </w:pPr>
      <w:r w:rsidRPr="00B834A2">
        <w:rPr>
          <w:i/>
        </w:rPr>
        <w:t>I</w:t>
      </w:r>
      <w:r w:rsidRPr="00B834A2">
        <w:rPr>
          <w:i/>
          <w:vertAlign w:val="subscript"/>
        </w:rPr>
        <w:t>A</w:t>
      </w:r>
      <w:r w:rsidRPr="00B834A2">
        <w:rPr>
          <w:i/>
        </w:rPr>
        <w:t xml:space="preserve"> </w:t>
      </w:r>
      <w:r w:rsidRPr="00B834A2">
        <w:t xml:space="preserve">= </w:t>
      </w:r>
      <w:r w:rsidRPr="00B834A2">
        <w:rPr>
          <w:i/>
        </w:rPr>
        <w:t>K</w:t>
      </w:r>
      <w:r w:rsidRPr="00B834A2">
        <w:rPr>
          <w:i/>
          <w:vertAlign w:val="subscript"/>
        </w:rPr>
        <w:t>S</w:t>
      </w:r>
      <w:r w:rsidRPr="00B834A2">
        <w:rPr>
          <w:i/>
        </w:rPr>
        <w:t>·N</w:t>
      </w:r>
      <w:r w:rsidRPr="00B834A2">
        <w:rPr>
          <w:i/>
          <w:vertAlign w:val="subscript"/>
        </w:rPr>
        <w:t>A</w:t>
      </w:r>
      <w:r w:rsidR="00317EEC">
        <w:rPr>
          <w:i/>
          <w:vertAlign w:val="subscript"/>
          <w:lang w:val="en-US"/>
        </w:rPr>
        <w:t xml:space="preserve"> </w:t>
      </w:r>
      <w:r w:rsidRPr="00B834A2">
        <w:rPr>
          <w:i/>
        </w:rPr>
        <w:t>I</w:t>
      </w:r>
      <w:r w:rsidRPr="00B834A2">
        <w:rPr>
          <w:i/>
          <w:vertAlign w:val="subscript"/>
        </w:rPr>
        <w:t>A</w:t>
      </w:r>
      <w:r w:rsidRPr="00B834A2">
        <w:rPr>
          <w:i/>
        </w:rPr>
        <w:t xml:space="preserve"> </w:t>
      </w:r>
      <w:r w:rsidRPr="00B834A2">
        <w:t xml:space="preserve">= </w:t>
      </w:r>
      <w:r w:rsidRPr="00B834A2">
        <w:rPr>
          <w:i/>
        </w:rPr>
        <w:t>K</w:t>
      </w:r>
      <w:r w:rsidRPr="00B834A2">
        <w:rPr>
          <w:i/>
          <w:vertAlign w:val="subscript"/>
        </w:rPr>
        <w:t>S</w:t>
      </w:r>
      <w:r w:rsidRPr="00B834A2">
        <w:rPr>
          <w:i/>
        </w:rPr>
        <w:t>·</w:t>
      </w:r>
      <w:smartTag w:uri="urn:schemas-microsoft-com:office:smarttags" w:element="stockticker">
        <w:r w:rsidRPr="00B834A2">
          <w:rPr>
            <w:i/>
          </w:rPr>
          <w:t>N</w:t>
        </w:r>
        <w:r w:rsidRPr="00B834A2">
          <w:rPr>
            <w:i/>
            <w:vertAlign w:val="subscript"/>
          </w:rPr>
          <w:t>A</w:t>
        </w:r>
      </w:smartTag>
      <w:r w:rsidRPr="00B834A2">
        <w:t xml:space="preserve">, </w:t>
      </w:r>
      <w:r w:rsidRPr="00B834A2">
        <w:tab/>
        <w:t>(6)</w:t>
      </w:r>
    </w:p>
    <w:p w14:paraId="3EA673CF" w14:textId="77777777" w:rsidR="006E41D4" w:rsidRPr="00097504" w:rsidRDefault="0055537C" w:rsidP="00D22B70">
      <w:pPr>
        <w:autoSpaceDE w:val="0"/>
        <w:autoSpaceDN w:val="0"/>
        <w:adjustRightInd w:val="0"/>
        <w:spacing w:after="160" w:line="360" w:lineRule="auto"/>
        <w:ind w:firstLine="567"/>
        <w:jc w:val="both"/>
      </w:pPr>
      <w:r w:rsidRPr="00B834A2">
        <w:lastRenderedPageBreak/>
        <w:t xml:space="preserve">որտեղ՝ </w:t>
      </w:r>
    </w:p>
    <w:p w14:paraId="12B5A96A" w14:textId="77777777" w:rsidR="00702B4E" w:rsidRPr="00B834A2" w:rsidRDefault="0055537C" w:rsidP="00D22B70">
      <w:pPr>
        <w:autoSpaceDE w:val="0"/>
        <w:autoSpaceDN w:val="0"/>
        <w:adjustRightInd w:val="0"/>
        <w:spacing w:after="160" w:line="360" w:lineRule="auto"/>
        <w:ind w:firstLine="567"/>
        <w:jc w:val="both"/>
        <w:rPr>
          <w:rFonts w:cs="Times New Roman"/>
        </w:rPr>
      </w:pPr>
      <w:r w:rsidRPr="00B834A2">
        <w:rPr>
          <w:i/>
        </w:rPr>
        <w:t>I</w:t>
      </w:r>
      <w:r w:rsidRPr="00B834A2">
        <w:rPr>
          <w:i/>
          <w:vertAlign w:val="subscript"/>
        </w:rPr>
        <w:t>A</w:t>
      </w:r>
      <w:r w:rsidR="00D22B70">
        <w:t>-</w:t>
      </w:r>
      <w:r w:rsidRPr="00B834A2">
        <w:t>ն՝ ազդանշանի ինտենսիվությունն է.</w:t>
      </w:r>
    </w:p>
    <w:p w14:paraId="5E30F97C" w14:textId="77777777" w:rsidR="00872A30" w:rsidRPr="00B834A2" w:rsidRDefault="0055537C" w:rsidP="00D22B70">
      <w:pPr>
        <w:autoSpaceDE w:val="0"/>
        <w:autoSpaceDN w:val="0"/>
        <w:adjustRightInd w:val="0"/>
        <w:spacing w:after="160" w:line="360" w:lineRule="auto"/>
        <w:ind w:firstLine="567"/>
        <w:jc w:val="both"/>
        <w:rPr>
          <w:rFonts w:cs="Times New Roman"/>
        </w:rPr>
      </w:pPr>
      <w:smartTag w:uri="urn:schemas-microsoft-com:office:smarttags" w:element="stockticker">
        <w:r w:rsidRPr="00B834A2">
          <w:rPr>
            <w:i/>
          </w:rPr>
          <w:t>N</w:t>
        </w:r>
        <w:r w:rsidRPr="00B834A2">
          <w:rPr>
            <w:i/>
            <w:vertAlign w:val="subscript"/>
          </w:rPr>
          <w:t>A</w:t>
        </w:r>
        <w:r w:rsidR="00D22B70">
          <w:t>-</w:t>
        </w:r>
      </w:smartTag>
      <w:r w:rsidRPr="00B834A2">
        <w:t>ն՝ ազդանշանի համար պատասխանատու միջուկների քանակն է.</w:t>
      </w:r>
    </w:p>
    <w:p w14:paraId="17DFE9CF" w14:textId="77777777" w:rsidR="00872A30" w:rsidRPr="00B834A2" w:rsidRDefault="0055537C" w:rsidP="00D22B70">
      <w:pPr>
        <w:autoSpaceDE w:val="0"/>
        <w:autoSpaceDN w:val="0"/>
        <w:adjustRightInd w:val="0"/>
        <w:spacing w:after="160" w:line="360" w:lineRule="auto"/>
        <w:ind w:firstLine="567"/>
        <w:jc w:val="both"/>
        <w:rPr>
          <w:rFonts w:cs="Times New Roman"/>
        </w:rPr>
      </w:pPr>
      <w:r w:rsidRPr="00B834A2">
        <w:rPr>
          <w:i/>
        </w:rPr>
        <w:t>K</w:t>
      </w:r>
      <w:r w:rsidRPr="00B834A2">
        <w:rPr>
          <w:i/>
          <w:vertAlign w:val="subscript"/>
        </w:rPr>
        <w:t>S</w:t>
      </w:r>
      <w:r w:rsidR="00D22B70">
        <w:t>-</w:t>
      </w:r>
      <w:r w:rsidRPr="00B834A2">
        <w:t xml:space="preserve">ն՝ հիմնարար հաստատունները, նմուշի հատկությունները </w:t>
      </w:r>
      <w:r w:rsidR="00B834A2">
        <w:t>եւ</w:t>
      </w:r>
      <w:r w:rsidRPr="00B834A2">
        <w:t xml:space="preserve"> ընդունիչի պարամետրերը ներառող հաստատունն է. կարող է հաշվի չառնվել այն դեպքերում, երբ ազդանշանների ինտենսիվությունները համադրելի են </w:t>
      </w:r>
      <w:r w:rsidR="00B834A2">
        <w:t>եւ</w:t>
      </w:r>
      <w:r w:rsidRPr="00B834A2">
        <w:t xml:space="preserve"> կարելի է ստանալ ուղիղ կախվածություն միջուկների քանակի միջ</w:t>
      </w:r>
      <w:r w:rsidR="00B834A2">
        <w:t>եւ</w:t>
      </w:r>
      <w:r w:rsidRPr="00B834A2">
        <w:t xml:space="preserve"> երկու համեմ</w:t>
      </w:r>
      <w:r w:rsidR="00F65F05" w:rsidRPr="00B834A2">
        <w:t>ա</w:t>
      </w:r>
      <w:r w:rsidRPr="00B834A2">
        <w:t xml:space="preserve">տվող կառուցվածքային Ա </w:t>
      </w:r>
      <w:r w:rsidR="00B834A2">
        <w:t>եւ</w:t>
      </w:r>
      <w:r w:rsidRPr="00B834A2">
        <w:t xml:space="preserve"> Բ խմբերում՝</w:t>
      </w:r>
    </w:p>
    <w:p w14:paraId="041962ED" w14:textId="77777777" w:rsidR="00702B4E" w:rsidRPr="00B834A2" w:rsidRDefault="00000000" w:rsidP="00B834A2">
      <w:pPr>
        <w:tabs>
          <w:tab w:val="left" w:pos="4536"/>
        </w:tabs>
        <w:autoSpaceDE w:val="0"/>
        <w:autoSpaceDN w:val="0"/>
        <w:adjustRightInd w:val="0"/>
        <w:spacing w:after="160" w:line="360" w:lineRule="auto"/>
        <w:ind w:firstLine="567"/>
        <w:jc w:val="center"/>
        <w:rPr>
          <w:rFonts w:cs="Times New Roman"/>
        </w:rPr>
      </w:pP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en>
        </m:f>
        <m:r>
          <w:rPr>
            <w:rFonts w:asci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den>
        </m:f>
      </m:oMath>
      <w:r w:rsidR="0055537C" w:rsidRPr="00B834A2">
        <w:t>δ</w:t>
      </w:r>
      <w:r w:rsidR="00BC0721" w:rsidRPr="00B834A2">
        <w:t>,</w:t>
      </w:r>
      <w:r w:rsidR="00D22B70">
        <w:tab/>
      </w:r>
      <w:r w:rsidR="0055537C" w:rsidRPr="00B834A2">
        <w:t>(7)</w:t>
      </w:r>
    </w:p>
    <w:p w14:paraId="5CF4BE77" w14:textId="77777777" w:rsidR="00702B4E" w:rsidRPr="00B834A2" w:rsidRDefault="0055537C" w:rsidP="00D22B70">
      <w:pPr>
        <w:autoSpaceDE w:val="0"/>
        <w:autoSpaceDN w:val="0"/>
        <w:adjustRightInd w:val="0"/>
        <w:spacing w:after="160" w:line="360" w:lineRule="auto"/>
        <w:ind w:firstLine="567"/>
        <w:jc w:val="both"/>
        <w:rPr>
          <w:rFonts w:cs="Times New Roman"/>
        </w:rPr>
      </w:pPr>
      <w:r w:rsidRPr="00B834A2">
        <w:t xml:space="preserve">որտեղ՝ </w:t>
      </w:r>
      <w:r w:rsidRPr="00B834A2">
        <w:rPr>
          <w:i/>
        </w:rPr>
        <w:t>N</w:t>
      </w:r>
      <w:r w:rsidRPr="00B834A2">
        <w:rPr>
          <w:i/>
          <w:vertAlign w:val="subscript"/>
        </w:rPr>
        <w:t>i</w:t>
      </w:r>
      <w:r w:rsidR="00D22B70">
        <w:t>-</w:t>
      </w:r>
      <w:r w:rsidRPr="00B834A2">
        <w:t>ն՝ մեկ մոլեկուլի տարբեր կառուցվածքային խմբերին պատկանող միջուկների քանակն է։</w:t>
      </w:r>
    </w:p>
    <w:p w14:paraId="343BC70E" w14:textId="77777777" w:rsidR="00702B4E" w:rsidRPr="00B834A2" w:rsidRDefault="0055537C" w:rsidP="00D22B70">
      <w:pPr>
        <w:autoSpaceDE w:val="0"/>
        <w:autoSpaceDN w:val="0"/>
        <w:adjustRightInd w:val="0"/>
        <w:spacing w:after="160" w:line="360" w:lineRule="auto"/>
        <w:ind w:firstLine="567"/>
        <w:jc w:val="both"/>
        <w:rPr>
          <w:rFonts w:cs="Times New Roman"/>
        </w:rPr>
      </w:pPr>
      <w:r w:rsidRPr="00B834A2">
        <w:t>Մեկ մոլեկուլի տարբեր կառուցվածքային խմբերին պատկանող միջուկների քանակները ոչ մեծ ամբողջական թվեր են։ Չափված արժեքները կլորացնում են մինչ</w:t>
      </w:r>
      <w:r w:rsidR="00B834A2">
        <w:t>եւ</w:t>
      </w:r>
      <w:r w:rsidRPr="00B834A2">
        <w:t xml:space="preserve"> ամբողջական թվեր։ Սակայն տվյալների հավաքման </w:t>
      </w:r>
      <w:r w:rsidR="00B834A2">
        <w:t>եւ</w:t>
      </w:r>
      <w:r w:rsidRPr="00B834A2">
        <w:t xml:space="preserve"> մշակման բլոկի ճիշտ գործունեությունը հեշտությամբ ստուգվում է հայտնի կառուցվածքի ցանկացած համապատասխան օրգանական միացության սպեկտրի սահմաններում ճշգրիտ ինտենսիվության համեմատության միջոցով։</w:t>
      </w:r>
    </w:p>
    <w:p w14:paraId="7450262B"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Բացի այն բանից, որ խառնուրդի յուրաքանչյուր բաղադրիչից ստացված ազդանշանների ինտենսիվությունը կապված է մեկը մյուսի հետ ոչ մեծ ամբողջական թվերով, այդ բաղադրիչների հարաբերական մոլային քանակները կարող են չափվել տարբեր բաղադրիչների ռեզոնանսների նորմալացված ինտենսիվությունների համեմատությամբ։ Խառնուրդի երկու բաղադրիչների մոլային հարաբերակցությունը հաշվարկում են հետ</w:t>
      </w:r>
      <w:r w:rsidR="00B834A2">
        <w:t>եւ</w:t>
      </w:r>
      <w:r w:rsidRPr="00B834A2">
        <w:t>յալ հավասարման միջոցով՝</w:t>
      </w:r>
    </w:p>
    <w:p w14:paraId="41D547C4" w14:textId="77777777" w:rsidR="00702B4E" w:rsidRPr="00B834A2" w:rsidRDefault="00000000" w:rsidP="00B834A2">
      <w:pPr>
        <w:tabs>
          <w:tab w:val="left" w:pos="4536"/>
        </w:tabs>
        <w:autoSpaceDE w:val="0"/>
        <w:autoSpaceDN w:val="0"/>
        <w:adjustRightInd w:val="0"/>
        <w:spacing w:after="160" w:line="360" w:lineRule="auto"/>
        <w:ind w:firstLine="567"/>
        <w:jc w:val="center"/>
        <w:rPr>
          <w:rFonts w:cs="Times New Roman"/>
        </w:rPr>
      </w:pP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den>
        </m:f>
        <m:r>
          <w:rPr>
            <w:rFonts w:asci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den>
        </m:f>
        <m:r>
          <w:rPr>
            <w:rFonts w:ascii="Cambria Math"/>
          </w:rPr>
          <m:t>,</m:t>
        </m:r>
      </m:oMath>
      <w:r w:rsidR="00D22B70">
        <w:tab/>
      </w:r>
      <w:r w:rsidR="0055537C" w:rsidRPr="00B834A2">
        <w:t>(8)</w:t>
      </w:r>
    </w:p>
    <w:p w14:paraId="2E2F05B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Որոշման արդյունքները հավաստի են միայն այն դեպքերում, երբ այն մոլեկուլների կառուցվածքները, որոնց համար որոշվել են </w:t>
      </w:r>
      <w:r w:rsidRPr="00B834A2">
        <w:rPr>
          <w:i/>
        </w:rPr>
        <w:t>I</w:t>
      </w:r>
      <w:r w:rsidRPr="00B834A2">
        <w:rPr>
          <w:i/>
          <w:vertAlign w:val="subscript"/>
        </w:rPr>
        <w:t>A</w:t>
      </w:r>
      <w:r w:rsidRPr="00B834A2">
        <w:rPr>
          <w:i/>
        </w:rPr>
        <w:t xml:space="preserve"> </w:t>
      </w:r>
      <w:r w:rsidR="00B834A2">
        <w:t>եւ</w:t>
      </w:r>
      <w:r w:rsidRPr="00B834A2">
        <w:t xml:space="preserve"> </w:t>
      </w:r>
      <w:r w:rsidRPr="00B834A2">
        <w:rPr>
          <w:i/>
        </w:rPr>
        <w:t>I</w:t>
      </w:r>
      <w:r w:rsidRPr="00B834A2">
        <w:rPr>
          <w:i/>
          <w:vertAlign w:val="subscript"/>
        </w:rPr>
        <w:t>B</w:t>
      </w:r>
      <w:r w:rsidRPr="00B834A2">
        <w:rPr>
          <w:i/>
        </w:rPr>
        <w:t xml:space="preserve">, </w:t>
      </w:r>
      <w:r w:rsidRPr="00B834A2">
        <w:t xml:space="preserve">հայտնի են (կամ </w:t>
      </w:r>
      <w:r w:rsidRPr="00B834A2">
        <w:lastRenderedPageBreak/>
        <w:t>ծայրահեղ դեպքում պարզ են N</w:t>
      </w:r>
      <w:r w:rsidR="00875B4B" w:rsidRPr="00B834A2">
        <w:t xml:space="preserve"> </w:t>
      </w:r>
      <w:r w:rsidRPr="00B834A2">
        <w:t>արժեքները վերահսկվող խմբերի համար)։ Որոշումները կատարում են՝ օգտագործելով ներքին ստանդարտի մեթոդը կամ պիկերի նորմալացման մեթոդը։</w:t>
      </w:r>
    </w:p>
    <w:p w14:paraId="5CFA28D2"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Ներքին ստանդարտի մեթոդ։</w:t>
      </w:r>
      <w:r w:rsidRPr="00B834A2">
        <w:t xml:space="preserve"> А նմուշի զանգվածը կարելի է որոշել, եթե </w:t>
      </w:r>
      <w:r w:rsidRPr="00D22B70">
        <w:rPr>
          <w:spacing w:val="-4"/>
        </w:rPr>
        <w:t xml:space="preserve">լուծույթին որպես ինտենսիվության ստանդարտ ավելացնում են В նյութի հայտնի զանգվածը՝ դրա հայտնի տոկոսային պարունակությամբ։ (8) հավասարումը կարող է փոխակերպվել </w:t>
      </w:r>
      <w:r w:rsidRPr="00B834A2">
        <w:t>(9) հավասարման՝</w:t>
      </w:r>
    </w:p>
    <w:p w14:paraId="03FCF21C" w14:textId="77777777" w:rsidR="00702B4E" w:rsidRPr="00B834A2" w:rsidRDefault="00000000" w:rsidP="00B834A2">
      <w:pPr>
        <w:tabs>
          <w:tab w:val="left" w:pos="4536"/>
        </w:tabs>
        <w:autoSpaceDE w:val="0"/>
        <w:autoSpaceDN w:val="0"/>
        <w:adjustRightInd w:val="0"/>
        <w:spacing w:after="160" w:line="360" w:lineRule="auto"/>
        <w:ind w:firstLine="567"/>
        <w:jc w:val="center"/>
        <w:rPr>
          <w:rFonts w:cs="Times New Roman"/>
        </w:rPr>
      </w:pP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A</m:t>
            </m:r>
          </m:sub>
        </m:sSub>
        <m:r>
          <w:rPr>
            <w:rFonts w:asci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A</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B</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m:t>
                </m:r>
              </m:sub>
            </m:sSub>
          </m:num>
          <m:den>
            <m:r>
              <w:rPr>
                <w:rFonts w:ascii="Cambria Math" w:cs="Times New Roman"/>
              </w:rPr>
              <m:t>100</m:t>
            </m:r>
          </m:den>
        </m:f>
      </m:oMath>
      <w:r w:rsidR="0055537C" w:rsidRPr="00B834A2">
        <w:t xml:space="preserve"> , </w:t>
      </w:r>
      <w:r w:rsidR="00D22B70">
        <w:tab/>
      </w:r>
      <w:r w:rsidR="0055537C" w:rsidRPr="00B834A2">
        <w:t>(9)</w:t>
      </w:r>
    </w:p>
    <w:p w14:paraId="19E0CC47"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որտեղ՝ </w:t>
      </w:r>
      <w:r w:rsidRPr="00B834A2">
        <w:rPr>
          <w:i/>
        </w:rPr>
        <w:t>М</w:t>
      </w:r>
      <w:r w:rsidRPr="00B834A2">
        <w:rPr>
          <w:i/>
          <w:vertAlign w:val="subscript"/>
        </w:rPr>
        <w:t>i</w:t>
      </w:r>
      <w:r w:rsidR="00D22B70">
        <w:t>-</w:t>
      </w:r>
      <w:r w:rsidRPr="00B834A2">
        <w:t>ն՝ մոլեկուլային զանգվածներն են.</w:t>
      </w:r>
    </w:p>
    <w:p w14:paraId="60098ACB"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i/>
        </w:rPr>
        <w:t>m</w:t>
      </w:r>
      <w:r w:rsidRPr="00B834A2">
        <w:rPr>
          <w:i/>
          <w:vertAlign w:val="subscript"/>
        </w:rPr>
        <w:t>А</w:t>
      </w:r>
      <w:r w:rsidR="00D22B70">
        <w:t>-</w:t>
      </w:r>
      <w:r w:rsidRPr="00B834A2">
        <w:t>ն՝ А նմուշի զանգվածն է.</w:t>
      </w:r>
    </w:p>
    <w:p w14:paraId="691E872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i/>
        </w:rPr>
        <w:t>m</w:t>
      </w:r>
      <w:r w:rsidRPr="00B834A2">
        <w:rPr>
          <w:i/>
          <w:vertAlign w:val="subscript"/>
        </w:rPr>
        <w:t>B</w:t>
      </w:r>
      <w:r w:rsidR="00D22B70">
        <w:t>-</w:t>
      </w:r>
      <w:r w:rsidRPr="00B834A2">
        <w:t>ն՝ B նմուշի հայտնի զանգվածն է.</w:t>
      </w:r>
    </w:p>
    <w:p w14:paraId="5332E0B8"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i/>
        </w:rPr>
        <w:t>P</w:t>
      </w:r>
      <w:r w:rsidRPr="00B834A2">
        <w:rPr>
          <w:i/>
          <w:vertAlign w:val="subscript"/>
        </w:rPr>
        <w:t>B</w:t>
      </w:r>
      <w:r w:rsidR="00D22B70">
        <w:t>-</w:t>
      </w:r>
      <w:r w:rsidRPr="00B834A2">
        <w:t>ն՝ В նմուշի մաքրությունն է՝ արտահայտված տոկոսներով։</w:t>
      </w:r>
    </w:p>
    <w:p w14:paraId="61E3C39D" w14:textId="77777777" w:rsidR="00702B4E" w:rsidRPr="00C41622" w:rsidRDefault="0055537C" w:rsidP="00B834A2">
      <w:pPr>
        <w:autoSpaceDE w:val="0"/>
        <w:autoSpaceDN w:val="0"/>
        <w:adjustRightInd w:val="0"/>
        <w:spacing w:after="160" w:line="360" w:lineRule="auto"/>
        <w:ind w:firstLine="567"/>
        <w:jc w:val="both"/>
      </w:pPr>
      <w:r w:rsidRPr="00D22B70">
        <w:rPr>
          <w:spacing w:val="-4"/>
        </w:rPr>
        <w:t>Ինտենսիվության ստանդարտը պետք է մանրակրկտ</w:t>
      </w:r>
      <w:r w:rsidR="00A10CBA" w:rsidRPr="00D22B70">
        <w:rPr>
          <w:spacing w:val="-4"/>
        </w:rPr>
        <w:t>որեն</w:t>
      </w:r>
      <w:r w:rsidRPr="00D22B70">
        <w:rPr>
          <w:spacing w:val="-4"/>
        </w:rPr>
        <w:t xml:space="preserve"> ընտրվի. այն պետք է ամբողջությամբ լուծվի նմուշի համար օգտագործվող լուծիչի մեջ, պետք է արձակի</w:t>
      </w:r>
      <w:r w:rsidRPr="00B834A2">
        <w:t xml:space="preserve"> ընդամենը ոչ մեծ քանակությամբ ազդանշաններ, </w:t>
      </w:r>
      <w:r w:rsidR="00B834A2">
        <w:t>եւ</w:t>
      </w:r>
      <w:r w:rsidRPr="00B834A2">
        <w:t xml:space="preserve"> «վերահսկվող խումբը» պետք է դատարկ սպեկտրալ տիրույթում</w:t>
      </w:r>
      <w:r w:rsidR="00A10CBA" w:rsidRPr="00B834A2">
        <w:t xml:space="preserve"> ունենա ազդանշան </w:t>
      </w:r>
      <w:r w:rsidRPr="00B834A2">
        <w:t xml:space="preserve">։ Այս նպատակների համար խորհուրդ է տրվում ընտրել բարձր մաքրությամբ </w:t>
      </w:r>
      <w:r w:rsidR="00B834A2">
        <w:t>եւ</w:t>
      </w:r>
      <w:r w:rsidRPr="00B834A2">
        <w:t xml:space="preserve"> հարաբերականորեն բարձր մոլեկուլային զանգվածով միացություն։</w:t>
      </w:r>
    </w:p>
    <w:p w14:paraId="79D456E4" w14:textId="77777777" w:rsidR="00696072" w:rsidRPr="00C41622" w:rsidRDefault="00696072" w:rsidP="00B834A2">
      <w:pPr>
        <w:autoSpaceDE w:val="0"/>
        <w:autoSpaceDN w:val="0"/>
        <w:adjustRightInd w:val="0"/>
        <w:spacing w:after="160" w:line="360" w:lineRule="auto"/>
        <w:ind w:firstLine="567"/>
        <w:jc w:val="both"/>
        <w:rPr>
          <w:rFonts w:cs="Times New Roman"/>
        </w:rPr>
      </w:pPr>
    </w:p>
    <w:p w14:paraId="62166881"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Ներքին նորմալացման մեթոդ։</w:t>
      </w:r>
      <w:r w:rsidRPr="00B834A2">
        <w:t xml:space="preserve"> Բաղադրիչների հարաբերական պարունակությունը խառնուրդում, փոխարինման աստիճանը կառուցվածքայնորեն փոփոխված պոլիմերում կամ խառնուկի քանակը կարելի է որոշել ստացված ռեզոնանսների հարաբերական ինտենսիվությունների համեմատության միջոցով։</w:t>
      </w:r>
    </w:p>
    <w:p w14:paraId="10B40A7D"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 xml:space="preserve">Մեթոդիկան պետք է վալիդացված լինի համապատասխան ազդանշանների վերադրման բացակայության </w:t>
      </w:r>
      <w:r w:rsidR="000E65A3" w:rsidRPr="00B834A2">
        <w:t>դեպքում</w:t>
      </w:r>
      <w:r w:rsidRPr="00B834A2">
        <w:t xml:space="preserve">։ Երբ նմուշում առկա են ոչ հստակ </w:t>
      </w:r>
      <w:r w:rsidRPr="00B834A2">
        <w:lastRenderedPageBreak/>
        <w:t>սահմանված կառուցվածքով կամ մոլեկուլային զանգվածով նյութեր (օրինակ՝ էմուլգատոր), այդ նյութի հայտնի քանակությամբ ավելացումը փորձասրվակի մեջ ՄՄՌ</w:t>
      </w:r>
      <w:r w:rsidR="002E52D1">
        <w:t>-</w:t>
      </w:r>
      <w:r w:rsidRPr="00B834A2">
        <w:t>ի համար թույլ է տալիս կառուցել ստուգաճշտման կորը։</w:t>
      </w:r>
    </w:p>
    <w:p w14:paraId="660306EB" w14:textId="77777777" w:rsidR="00721E82" w:rsidRPr="00B834A2" w:rsidRDefault="00721E82" w:rsidP="00B834A2">
      <w:pPr>
        <w:autoSpaceDE w:val="0"/>
        <w:autoSpaceDN w:val="0"/>
        <w:adjustRightInd w:val="0"/>
        <w:spacing w:after="160" w:line="360" w:lineRule="auto"/>
        <w:ind w:firstLine="567"/>
        <w:jc w:val="both"/>
        <w:rPr>
          <w:rFonts w:cs="Times New Roman"/>
          <w:i/>
          <w:iCs/>
        </w:rPr>
      </w:pPr>
    </w:p>
    <w:p w14:paraId="1D2D5757" w14:textId="77777777" w:rsidR="00702B4E" w:rsidRPr="00C41622" w:rsidRDefault="0055537C" w:rsidP="00B834A2">
      <w:pPr>
        <w:autoSpaceDE w:val="0"/>
        <w:autoSpaceDN w:val="0"/>
        <w:adjustRightInd w:val="0"/>
        <w:spacing w:after="160" w:line="360" w:lineRule="auto"/>
        <w:ind w:firstLine="567"/>
        <w:jc w:val="both"/>
        <w:rPr>
          <w:i/>
        </w:rPr>
      </w:pPr>
      <w:r w:rsidRPr="005C74F8">
        <w:rPr>
          <w:i/>
        </w:rPr>
        <w:t>ՄԵԹՈԴ</w:t>
      </w:r>
    </w:p>
    <w:p w14:paraId="6F7C62A5" w14:textId="77777777" w:rsidR="00702B4E" w:rsidRPr="00C41622" w:rsidRDefault="0055537C" w:rsidP="00B834A2">
      <w:pPr>
        <w:autoSpaceDE w:val="0"/>
        <w:autoSpaceDN w:val="0"/>
        <w:adjustRightInd w:val="0"/>
        <w:spacing w:after="160" w:line="360" w:lineRule="auto"/>
        <w:ind w:firstLine="567"/>
        <w:jc w:val="both"/>
      </w:pPr>
      <w:r w:rsidRPr="00B834A2">
        <w:rPr>
          <w:b/>
        </w:rPr>
        <w:t xml:space="preserve">Նմուշի նախապատրաստումը։ </w:t>
      </w:r>
      <w:r w:rsidRPr="00B834A2">
        <w:t xml:space="preserve">Փորձարկվող նմուշը լուծում են լուծիչի մեջ, որին կարող է ավելացվել համապատասխան ստանդարտ նմուշ՝ քիմիական տեղաշարժի ստուգաճշտման համար, ինչպես նշված է մասնավոր դեղագրքային հոդվածում։ Քանակական անալիզի համար լուծույթները չպետք է պարունակեն չլուծված մասնիկներ։ Մի քանի քանակական որոշումների ժամանակ կարող է պահանջվել ներքին ստանդարտի ավելացում՝ փորձարկվող </w:t>
      </w:r>
      <w:r w:rsidR="00B834A2">
        <w:t>եւ</w:t>
      </w:r>
      <w:r w:rsidRPr="00B834A2">
        <w:t xml:space="preserve"> ստանդարտ </w:t>
      </w:r>
      <w:r w:rsidRPr="00D22B70">
        <w:rPr>
          <w:spacing w:val="-4"/>
        </w:rPr>
        <w:t xml:space="preserve">նմուշների ինտեգրված ռեզոնանսների համեմատության համար։ Համապատասխան ստանդարտ նմուշները </w:t>
      </w:r>
      <w:r w:rsidR="00B834A2" w:rsidRPr="00D22B70">
        <w:rPr>
          <w:spacing w:val="-4"/>
        </w:rPr>
        <w:t>եւ</w:t>
      </w:r>
      <w:r w:rsidRPr="00D22B70">
        <w:rPr>
          <w:spacing w:val="-4"/>
        </w:rPr>
        <w:t xml:space="preserve"> դրանց կոնցենտրացիաները նշված են մասնավոր դեղագրքային հոդվածներում։ Մյուս քանակական որոշումներում</w:t>
      </w:r>
      <w:r w:rsidRPr="00B834A2">
        <w:t xml:space="preserve"> արդյունք</w:t>
      </w:r>
      <w:r w:rsidR="00A10CBA" w:rsidRPr="00B834A2">
        <w:t>ն</w:t>
      </w:r>
      <w:r w:rsidRPr="00B834A2">
        <w:t xml:space="preserve"> ստանում են նմուշի հետազոտման ժամանակ ստացված երկու կամ բոլոր ռեզոնանսների հարաբերական ինտենսիվությունը համեմատելու միջոցով։ Նմուշը փորձասրվակի մեջ տեղադրելուց </w:t>
      </w:r>
      <w:r w:rsidR="00B834A2">
        <w:t>եւ</w:t>
      </w:r>
      <w:r w:rsidRPr="00B834A2">
        <w:t xml:space="preserve"> խցանափակելուց հետո այն ներմուծում են ՄՄՌ կայանքի մագնիսի մեջ, սահմանում են փորձարկման պարամետրերը </w:t>
      </w:r>
      <w:r w:rsidR="00B834A2">
        <w:t>եւ</w:t>
      </w:r>
      <w:r w:rsidRPr="00B834A2">
        <w:t xml:space="preserve"> կատարում չափումներ։ Փորձարկման հիմնական պարամետրերը բերվում են մասնավոր դեղագրքային հոդվածներում։</w:t>
      </w:r>
    </w:p>
    <w:p w14:paraId="11E13D12"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rPr>
          <w:b/>
        </w:rPr>
        <w:t>Չափման ընթացակարգը։</w:t>
      </w:r>
      <w:r w:rsidRPr="00B834A2">
        <w:t xml:space="preserve"> Նմուշը հավասարակշռում են տվիչում </w:t>
      </w:r>
      <w:r w:rsidR="00B834A2">
        <w:t>եւ</w:t>
      </w:r>
      <w:r w:rsidRPr="00B834A2">
        <w:t xml:space="preserve"> կարգավորում են սարքը՝ ռեզոնանսի առավել օպտիմալ պայմանների </w:t>
      </w:r>
      <w:r w:rsidR="00B834A2">
        <w:t>եւ</w:t>
      </w:r>
      <w:r w:rsidRPr="00B834A2">
        <w:t xml:space="preserve"> ազդանշան/աղմուկ առավելագույն հարաբերակցության ստացման համար՝ նմուշի տվյալ ծավալի համար տվիչի կարգաբերման ընտրման միջոցով՝ փորձարկվող նմուշի ամբողջ ծավալով մագնիսական դաշտի առավելագույն միատարրությ</w:t>
      </w:r>
      <w:r w:rsidR="00A10CBA" w:rsidRPr="00B834A2">
        <w:t>ուն</w:t>
      </w:r>
      <w:r w:rsidRPr="00B834A2">
        <w:t xml:space="preserve">ն </w:t>
      </w:r>
      <w:r w:rsidR="00A10CBA" w:rsidRPr="00B834A2">
        <w:t xml:space="preserve">ապահովելու </w:t>
      </w:r>
      <w:r w:rsidRPr="00B834A2">
        <w:t xml:space="preserve">համար («շիմավորման» ընթացակարգ)։ Կարգաբերման պարամետրերը գրանցում կամ պահում են համակարգչում։ Փորձարկման պայմանները կարող են ներառել «իմպուլս </w:t>
      </w:r>
      <w:r w:rsidR="009217DE">
        <w:t>-</w:t>
      </w:r>
      <w:r w:rsidRPr="00B834A2">
        <w:t xml:space="preserve"> տվյալների հավաքում </w:t>
      </w:r>
      <w:r w:rsidR="009217DE">
        <w:t>-</w:t>
      </w:r>
      <w:r w:rsidRPr="00B834A2">
        <w:t xml:space="preserve"> դադար» </w:t>
      </w:r>
      <w:r w:rsidRPr="00B834A2">
        <w:lastRenderedPageBreak/>
        <w:t xml:space="preserve">բազմակի հաջորդական ցիկլերի կատարումը, </w:t>
      </w:r>
      <w:r w:rsidR="00B834A2">
        <w:t>եւ</w:t>
      </w:r>
      <w:r w:rsidRPr="00B834A2">
        <w:t xml:space="preserve"> առանձին ԱԻԱ ազդանշանները գումարվում են համակարգչի հիշողության մեջ՝ աղմուկի մակարդակի միջինացմամբ։ Երբ ձեռք է բերվում ազդանշան/աղմուկ հարաբերակցության համապատասխան մակարդակը, ԱԻԱ</w:t>
      </w:r>
      <w:r w:rsidR="00D22B70">
        <w:t>-</w:t>
      </w:r>
      <w:r w:rsidRPr="00B834A2">
        <w:t xml:space="preserve">ն պահպանում են </w:t>
      </w:r>
      <w:r w:rsidR="00B834A2">
        <w:t>եւ</w:t>
      </w:r>
      <w:r w:rsidRPr="00B834A2">
        <w:t xml:space="preserve"> հաճախականությունների տիրույթի սպեկտր</w:t>
      </w:r>
      <w:r w:rsidR="00A10CBA" w:rsidRPr="00B834A2">
        <w:t>ն</w:t>
      </w:r>
      <w:r w:rsidRPr="00B834A2">
        <w:t xml:space="preserve"> ստանում են գումարված ԱԻԱ ազդանշանների Ֆուրյե</w:t>
      </w:r>
      <w:r w:rsidR="00D22B70">
        <w:t>-</w:t>
      </w:r>
      <w:r w:rsidRPr="00B834A2">
        <w:t>փոխակերպման միջոցով։</w:t>
      </w:r>
    </w:p>
    <w:p w14:paraId="08F08906" w14:textId="77777777" w:rsidR="00721E82" w:rsidRPr="00B834A2" w:rsidRDefault="00721E82" w:rsidP="00B834A2">
      <w:pPr>
        <w:autoSpaceDE w:val="0"/>
        <w:autoSpaceDN w:val="0"/>
        <w:adjustRightInd w:val="0"/>
        <w:spacing w:after="160" w:line="360" w:lineRule="auto"/>
        <w:ind w:firstLine="567"/>
        <w:jc w:val="both"/>
        <w:rPr>
          <w:rFonts w:cs="Times New Roman"/>
          <w:b/>
          <w:bCs/>
        </w:rPr>
      </w:pPr>
    </w:p>
    <w:p w14:paraId="0EC56879" w14:textId="77777777" w:rsidR="00702B4E" w:rsidRPr="00C41622" w:rsidRDefault="0055537C" w:rsidP="00B834A2">
      <w:pPr>
        <w:autoSpaceDE w:val="0"/>
        <w:autoSpaceDN w:val="0"/>
        <w:adjustRightInd w:val="0"/>
        <w:spacing w:after="160" w:line="360" w:lineRule="auto"/>
        <w:ind w:firstLine="567"/>
        <w:jc w:val="both"/>
        <w:rPr>
          <w:b/>
        </w:rPr>
      </w:pPr>
      <w:r w:rsidRPr="00B834A2">
        <w:rPr>
          <w:b/>
        </w:rPr>
        <w:t>ՊԻՆԴ ՎԻՃԱԿՈՒՄ ՆՄՈՒՇՆԵՐԻ ՄՄՌ ՍՊԵԿՏՐԱՉԱՓՈՒԹՅՈՒՆ</w:t>
      </w:r>
    </w:p>
    <w:p w14:paraId="4645B3C3"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Պինդ վիճակում նմուշների անալիզը կա</w:t>
      </w:r>
      <w:r w:rsidR="00954269" w:rsidRPr="00B834A2">
        <w:t>ր</w:t>
      </w:r>
      <w:r w:rsidRPr="00B834A2">
        <w:t>ող է կատարվել հատուկ սարքավորված ՄՄՌ սպեկտրաչափերի միջոցով։ Որոշակի տեխնիկական ընթացակարգերն ապահովում են առանձին գծերի առանձնացումը</w:t>
      </w:r>
      <w:r w:rsidR="00AA7412" w:rsidRPr="00B834A2">
        <w:t>՝</w:t>
      </w:r>
      <w:r w:rsidRPr="00B834A2">
        <w:t xml:space="preserve"> ատոմների որոշակի դիրքերի համար, ինչպես նա</w:t>
      </w:r>
      <w:r w:rsidR="00B834A2">
        <w:t>եւ</w:t>
      </w:r>
      <w:r w:rsidRPr="00B834A2">
        <w:t xml:space="preserve"> թույլ են տալիս օգտագործել ՄՄՌ՝ անօրգանական նյութերի գնահատման համար։</w:t>
      </w:r>
    </w:p>
    <w:p w14:paraId="7B0E1674" w14:textId="77777777" w:rsidR="00702B4E" w:rsidRPr="00B834A2" w:rsidRDefault="0055537C" w:rsidP="00B834A2">
      <w:pPr>
        <w:autoSpaceDE w:val="0"/>
        <w:autoSpaceDN w:val="0"/>
        <w:adjustRightInd w:val="0"/>
        <w:spacing w:after="160" w:line="360" w:lineRule="auto"/>
        <w:ind w:firstLine="567"/>
        <w:jc w:val="both"/>
        <w:rPr>
          <w:rFonts w:cs="Times New Roman"/>
        </w:rPr>
      </w:pPr>
      <w:r w:rsidRPr="00B834A2">
        <w:t>Այդ ընթացակարգերից մեկը փոշենման նմուշի արագ պտտումն</w:t>
      </w:r>
      <w:r w:rsidR="00D22B70">
        <w:t xml:space="preserve"> (4-</w:t>
      </w:r>
      <w:r w:rsidRPr="00B834A2">
        <w:t>30 կՀց) է ռոտորում (արտաքին տրամագիծը</w:t>
      </w:r>
      <w:r w:rsidR="00A10CBA" w:rsidRPr="00B834A2">
        <w:t>՝</w:t>
      </w:r>
      <w:r w:rsidRPr="00B834A2">
        <w:t xml:space="preserve"> մոտ 4 մմ), որը գտնվում է </w:t>
      </w:r>
      <w:r w:rsidRPr="00B834A2">
        <w:rPr>
          <w:i/>
        </w:rPr>
        <w:t>В</w:t>
      </w:r>
      <w:r w:rsidRPr="00B834A2">
        <w:rPr>
          <w:vertAlign w:val="subscript"/>
        </w:rPr>
        <w:t>0</w:t>
      </w:r>
      <w:r w:rsidRPr="00B834A2">
        <w:t xml:space="preserve"> մագնիսական դաշտի առանցքի նկատմամբ 54,7° անկյան տակ («մոգական անկյուն»)։ Այդ եղանակը կոչվում է պտույտ մոգական անկյան տակ։ Երկրորդ արդյունավետ </w:t>
      </w:r>
      <w:r w:rsidRPr="00D22B70">
        <w:rPr>
          <w:spacing w:val="-4"/>
        </w:rPr>
        <w:t xml:space="preserve">եղանակը էլեկտրոնային զույգի ուժային տրոհումն է, </w:t>
      </w:r>
      <w:r w:rsidR="00B834A2" w:rsidRPr="00D22B70">
        <w:rPr>
          <w:spacing w:val="-4"/>
        </w:rPr>
        <w:t>եւ</w:t>
      </w:r>
      <w:r w:rsidRPr="00D22B70">
        <w:rPr>
          <w:spacing w:val="-4"/>
        </w:rPr>
        <w:t xml:space="preserve"> երրորդ եղանակը՝ բ</w:t>
      </w:r>
      <w:r w:rsidR="00B834A2" w:rsidRPr="00D22B70">
        <w:rPr>
          <w:spacing w:val="-4"/>
        </w:rPr>
        <w:t>եւ</w:t>
      </w:r>
      <w:r w:rsidRPr="00D22B70">
        <w:rPr>
          <w:spacing w:val="-4"/>
        </w:rPr>
        <w:t>եռացման փոխադրումն է դյուրագրգիռ միջուկներից նվազ բ</w:t>
      </w:r>
      <w:r w:rsidR="00B834A2" w:rsidRPr="00D22B70">
        <w:rPr>
          <w:spacing w:val="-4"/>
        </w:rPr>
        <w:t>եւ</w:t>
      </w:r>
      <w:r w:rsidRPr="00D22B70">
        <w:rPr>
          <w:spacing w:val="-4"/>
        </w:rPr>
        <w:t>ե</w:t>
      </w:r>
      <w:r w:rsidR="00A10CBA" w:rsidRPr="00D22B70">
        <w:rPr>
          <w:spacing w:val="-4"/>
        </w:rPr>
        <w:t>ռ</w:t>
      </w:r>
      <w:r w:rsidRPr="00D22B70">
        <w:rPr>
          <w:spacing w:val="-4"/>
        </w:rPr>
        <w:t>ացող միջուկներին, այսինքն՝ խաչաձ</w:t>
      </w:r>
      <w:r w:rsidR="00B834A2" w:rsidRPr="00D22B70">
        <w:rPr>
          <w:spacing w:val="-4"/>
        </w:rPr>
        <w:t>եւ</w:t>
      </w:r>
      <w:r w:rsidRPr="00D22B70">
        <w:rPr>
          <w:spacing w:val="-4"/>
        </w:rPr>
        <w:t xml:space="preserve"> բ</w:t>
      </w:r>
      <w:r w:rsidR="00B834A2" w:rsidRPr="00D22B70">
        <w:rPr>
          <w:spacing w:val="-4"/>
        </w:rPr>
        <w:t>եւ</w:t>
      </w:r>
      <w:r w:rsidRPr="00D22B70">
        <w:rPr>
          <w:spacing w:val="-4"/>
        </w:rPr>
        <w:t>եռացում։ Այդ ընթացակարգերի համակցությունը թույլ է տալիս ստանալ բարձր լուծաչափի սպեկտրներ, որոնք մեծ քանակությամբ տեղեկատվություն են պարունակում պինդ ապակենման մարմինների, ամորֆ վիճակում գտնվող նյութերի, կերամիկական, պոլիմերային կամ հանքային բնույթի բ</w:t>
      </w:r>
      <w:r w:rsidRPr="00B834A2">
        <w:t xml:space="preserve">յուրեղների քիմիական </w:t>
      </w:r>
      <w:r w:rsidR="00B834A2">
        <w:t>եւ</w:t>
      </w:r>
      <w:r w:rsidRPr="00B834A2">
        <w:t xml:space="preserve"> կառուցվածքային բնութագրերի վերաբերյալ։</w:t>
      </w:r>
    </w:p>
    <w:p w14:paraId="66805F71" w14:textId="77777777" w:rsidR="00702B4E" w:rsidRPr="00B834A2" w:rsidRDefault="0055537C" w:rsidP="00B834A2">
      <w:pPr>
        <w:spacing w:after="160" w:line="360" w:lineRule="auto"/>
        <w:ind w:firstLine="567"/>
        <w:jc w:val="both"/>
        <w:rPr>
          <w:rFonts w:cs="Times New Roman"/>
        </w:rPr>
      </w:pPr>
      <w:r w:rsidRPr="00B834A2">
        <w:t>Պինդ վիճակում նմուշի գնահատման համար ՄՄՌ սպեկտրաչափություն կիրառելիս ընթացակարգի ամբողջական նկարագրությունը բերվում է մասնավոր դեղագրքային հոդվածում։</w:t>
      </w:r>
    </w:p>
    <w:p w14:paraId="65DA6344" w14:textId="77777777" w:rsidR="00B834A2" w:rsidRPr="005C74F8" w:rsidRDefault="00B834A2" w:rsidP="00B834A2">
      <w:pPr>
        <w:pStyle w:val="Bodytext20"/>
        <w:shd w:val="clear" w:color="auto" w:fill="auto"/>
        <w:spacing w:before="0" w:after="160" w:line="360" w:lineRule="auto"/>
        <w:jc w:val="right"/>
        <w:rPr>
          <w:rStyle w:val="Bodytext29pt"/>
          <w:b/>
          <w:sz w:val="20"/>
          <w:szCs w:val="24"/>
        </w:rPr>
      </w:pPr>
      <w:r w:rsidRPr="005C74F8">
        <w:rPr>
          <w:rStyle w:val="Bodytext29pt"/>
          <w:b/>
          <w:sz w:val="20"/>
          <w:szCs w:val="24"/>
        </w:rPr>
        <w:lastRenderedPageBreak/>
        <w:t>201020046-2022</w:t>
      </w:r>
    </w:p>
    <w:p w14:paraId="061F1327" w14:textId="77777777" w:rsidR="00097504" w:rsidRPr="002E52D1" w:rsidRDefault="00097504" w:rsidP="00B834A2">
      <w:pPr>
        <w:pStyle w:val="Bodytext20"/>
        <w:shd w:val="clear" w:color="auto" w:fill="auto"/>
        <w:spacing w:before="0" w:after="160" w:line="360" w:lineRule="auto"/>
        <w:jc w:val="right"/>
        <w:rPr>
          <w:rFonts w:ascii="Sylfaen" w:hAnsi="Sylfaen"/>
          <w:b/>
          <w:sz w:val="24"/>
          <w:szCs w:val="24"/>
        </w:rPr>
      </w:pPr>
    </w:p>
    <w:p w14:paraId="712E84C6" w14:textId="77777777" w:rsidR="00B834A2" w:rsidRPr="00D22B70" w:rsidRDefault="00B834A2" w:rsidP="006E41D4">
      <w:pPr>
        <w:pStyle w:val="Bodytext20"/>
        <w:shd w:val="clear" w:color="auto" w:fill="auto"/>
        <w:tabs>
          <w:tab w:val="left" w:pos="1701"/>
        </w:tabs>
        <w:spacing w:before="0" w:after="160" w:line="360" w:lineRule="auto"/>
        <w:ind w:firstLine="567"/>
        <w:jc w:val="both"/>
        <w:rPr>
          <w:rFonts w:ascii="Sylfaen" w:hAnsi="Sylfaen"/>
          <w:b/>
          <w:sz w:val="24"/>
          <w:szCs w:val="24"/>
        </w:rPr>
      </w:pPr>
      <w:r w:rsidRPr="00D22B70">
        <w:rPr>
          <w:rStyle w:val="Bodytext214pt"/>
          <w:rFonts w:ascii="Sylfaen" w:hAnsi="Sylfaen"/>
          <w:b/>
          <w:sz w:val="24"/>
          <w:szCs w:val="24"/>
        </w:rPr>
        <w:t>2.1.2.46.</w:t>
      </w:r>
      <w:r w:rsidR="006E41D4" w:rsidRPr="00097504">
        <w:rPr>
          <w:rStyle w:val="Bodytext214pt"/>
          <w:rFonts w:ascii="Sylfaen" w:hAnsi="Sylfaen"/>
          <w:b/>
          <w:sz w:val="24"/>
          <w:szCs w:val="24"/>
        </w:rPr>
        <w:tab/>
      </w:r>
      <w:r w:rsidRPr="00D22B70">
        <w:rPr>
          <w:rStyle w:val="Bodytext214pt"/>
          <w:rFonts w:ascii="Sylfaen" w:hAnsi="Sylfaen"/>
          <w:b/>
          <w:sz w:val="24"/>
          <w:szCs w:val="24"/>
        </w:rPr>
        <w:t>Ջերմային անալիզ</w:t>
      </w:r>
    </w:p>
    <w:p w14:paraId="20A89652"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Սույն ընդհանուր դեղագրքային հոդվածը տարածվում է ջերմային անալիզի մի խումբ մեթոդների (ՋԱՄ) վրա, որոնց օգնությամբ որոշվում է նյութի տարբեր ֆիզիկական հատկությունների՝ ջերմաստիճանով պայմանավորված լինելը: Սովորաբար կիրառվող մեթոդների մեծ մասի կիրառմամբ որոշում են փորձարկվող նմուշի էներգիայի կամ զանգվածի փոփոխությունը:</w:t>
      </w:r>
    </w:p>
    <w:p w14:paraId="7E9B7AF6"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Այդ մեթոդներն ունեն տարբեր կիրառություններ՝</w:t>
      </w:r>
    </w:p>
    <w:p w14:paraId="2DC931E5"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ֆազային փոփոխությունների որոշում.</w:t>
      </w:r>
    </w:p>
    <w:p w14:paraId="1A8BE1DB"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քիմիական բաղադրությունում փոփոխությունների որոշում. </w:t>
      </w:r>
    </w:p>
    <w:p w14:paraId="036442DD"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մաքրության որոշում:</w:t>
      </w:r>
    </w:p>
    <w:p w14:paraId="3865C385" w14:textId="77777777" w:rsidR="00B834A2" w:rsidRPr="00097504"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ՋԱՄ-ին դասվում են ջերմածանրաչափությունը (ՋԾ), ջերմաչափական տիտրումը (ՋՏ), դիֆերենցիալ ջերմային անալիզը (ԴՋԱ), դիֆերենցիալ սկանավորող կալորիաչափությունը (ԴՍԿ), շեղագրությունը (դերիվատոգրաֆիա) (ՇԳ), ջերմամանրադիտումը (ՋՄ):</w:t>
      </w:r>
      <w:r>
        <w:rPr>
          <w:rStyle w:val="Bodytext210pt"/>
          <w:sz w:val="24"/>
          <w:szCs w:val="24"/>
        </w:rPr>
        <w:t xml:space="preserve"> </w:t>
      </w:r>
    </w:p>
    <w:p w14:paraId="330A97BD" w14:textId="77777777" w:rsidR="00B834A2" w:rsidRPr="00C41622" w:rsidRDefault="00B834A2" w:rsidP="00D22B70">
      <w:pPr>
        <w:pStyle w:val="Bodytext20"/>
        <w:shd w:val="clear" w:color="auto" w:fill="auto"/>
        <w:tabs>
          <w:tab w:val="left" w:pos="4500"/>
        </w:tabs>
        <w:spacing w:before="0" w:after="160" w:line="360" w:lineRule="auto"/>
        <w:ind w:firstLine="567"/>
        <w:jc w:val="both"/>
        <w:rPr>
          <w:rStyle w:val="Bodytext210pt"/>
          <w:sz w:val="24"/>
          <w:szCs w:val="24"/>
        </w:rPr>
      </w:pPr>
      <w:r w:rsidRPr="00B834A2">
        <w:rPr>
          <w:rStyle w:val="Bodytext210pt"/>
          <w:sz w:val="24"/>
          <w:szCs w:val="24"/>
        </w:rPr>
        <w:t>ՋԱՄ-ները, որպես կանոն, չեն պահանջում մեծ քանակությամբ նյութեր, փորձարկման ժամանակով տ</w:t>
      </w:r>
      <w:r>
        <w:rPr>
          <w:rStyle w:val="Bodytext210pt"/>
          <w:sz w:val="24"/>
          <w:szCs w:val="24"/>
        </w:rPr>
        <w:t>եւ</w:t>
      </w:r>
      <w:r w:rsidRPr="00B834A2">
        <w:rPr>
          <w:rStyle w:val="Bodytext210pt"/>
          <w:sz w:val="24"/>
          <w:szCs w:val="24"/>
        </w:rPr>
        <w:t xml:space="preserve">ական չեն: ՋԱՄ-ների կիրառման դեպքում մասնավոր դեղագրքային հոդվածներում </w:t>
      </w:r>
      <w:r>
        <w:rPr>
          <w:rStyle w:val="Bodytext210pt"/>
          <w:sz w:val="24"/>
          <w:szCs w:val="24"/>
        </w:rPr>
        <w:t>եւ</w:t>
      </w:r>
      <w:r w:rsidRPr="00B834A2">
        <w:rPr>
          <w:rStyle w:val="Bodytext210pt"/>
          <w:sz w:val="24"/>
          <w:szCs w:val="24"/>
        </w:rPr>
        <w:t xml:space="preserve"> (կամ) որակի վերաբերյալ նորմատիվ փաստաթղթերում անհրաժեշտ է նշել </w:t>
      </w:r>
      <w:r w:rsidRPr="00B834A2">
        <w:rPr>
          <w:rFonts w:ascii="Sylfaen" w:hAnsi="Sylfaen"/>
          <w:sz w:val="24"/>
          <w:szCs w:val="24"/>
        </w:rPr>
        <w:t>մեթոդիկայի</w:t>
      </w:r>
      <w:r w:rsidRPr="00B834A2">
        <w:rPr>
          <w:rStyle w:val="Bodytext210pt"/>
          <w:sz w:val="24"/>
          <w:szCs w:val="24"/>
        </w:rPr>
        <w:t xml:space="preserve"> ճիշտ կատարման համար անհրաժեշտ պարամետրերը, օրինակ՝ տաքացման արագությունը </w:t>
      </w:r>
      <w:r>
        <w:rPr>
          <w:rStyle w:val="Bodytext210pt"/>
          <w:sz w:val="24"/>
          <w:szCs w:val="24"/>
        </w:rPr>
        <w:t>եւ</w:t>
      </w:r>
      <w:r w:rsidRPr="00B834A2">
        <w:rPr>
          <w:rStyle w:val="Bodytext210pt"/>
          <w:sz w:val="24"/>
          <w:szCs w:val="24"/>
        </w:rPr>
        <w:t xml:space="preserve"> ջերմաստիճանը, իներտ գազը </w:t>
      </w:r>
      <w:r>
        <w:rPr>
          <w:rStyle w:val="Bodytext210pt"/>
          <w:sz w:val="24"/>
          <w:szCs w:val="24"/>
        </w:rPr>
        <w:t>եւ</w:t>
      </w:r>
      <w:r w:rsidRPr="00B834A2">
        <w:rPr>
          <w:rStyle w:val="Bodytext210pt"/>
          <w:sz w:val="24"/>
          <w:szCs w:val="24"/>
        </w:rPr>
        <w:t xml:space="preserve"> դրա հոսքի արագությունը: </w:t>
      </w:r>
    </w:p>
    <w:p w14:paraId="386C0002" w14:textId="77777777" w:rsidR="00C41622" w:rsidRDefault="00C41622">
      <w:pPr>
        <w:rPr>
          <w:rStyle w:val="Bodytext210pt"/>
          <w:sz w:val="24"/>
          <w:szCs w:val="24"/>
        </w:rPr>
      </w:pPr>
      <w:r>
        <w:rPr>
          <w:rStyle w:val="Bodytext210pt"/>
          <w:sz w:val="24"/>
          <w:szCs w:val="24"/>
        </w:rPr>
        <w:br w:type="page"/>
      </w:r>
    </w:p>
    <w:p w14:paraId="2249181B" w14:textId="77777777" w:rsidR="00B834A2" w:rsidRPr="00C41622" w:rsidRDefault="00B834A2" w:rsidP="00097504">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ՋԵՐՄԱԾԱՆՐԱՉԱՓՈՒԹՅՈՒՆ</w:t>
      </w:r>
    </w:p>
    <w:p w14:paraId="692E934E"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Ջերմածանրաչափությունը (ՋԾ) կամ ջերմածանրաչափական անալիզը (ՋԾԱ) այնպիսի մեթոդ է, որի օգնությամբ գրանցում են ջերմաստիճանի ծրագրավորված փոփոխությամբ պայմանավորված` փորձարկվող նմուշի զանգվածի փոփոխությունը:</w:t>
      </w:r>
    </w:p>
    <w:p w14:paraId="3AD60CD3"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9"/>
          <w:sz w:val="24"/>
          <w:szCs w:val="24"/>
        </w:rPr>
        <w:t>Սարք:</w:t>
      </w:r>
      <w:r w:rsidRPr="00B834A2">
        <w:rPr>
          <w:rStyle w:val="Bodytext210pt"/>
          <w:sz w:val="24"/>
          <w:szCs w:val="24"/>
        </w:rPr>
        <w:t xml:space="preserve"> Սարքի հիմնական բաղկացուցիչ մասերն են՝ տրված ջերմաստիճանային ծրագրին համապատասխան՝ նմուշի տաքացման կամ հովացման սարքը, վերահսկվող միջավայրով նմուշի համար նախատեսված խուցը, էլեկտրոնային կշեռքը </w:t>
      </w:r>
      <w:r>
        <w:rPr>
          <w:rStyle w:val="Bodytext210pt"/>
          <w:sz w:val="24"/>
          <w:szCs w:val="24"/>
        </w:rPr>
        <w:t>եւ</w:t>
      </w:r>
      <w:r w:rsidRPr="00B834A2">
        <w:rPr>
          <w:rStyle w:val="Bodytext210pt"/>
          <w:sz w:val="24"/>
          <w:szCs w:val="24"/>
        </w:rPr>
        <w:t xml:space="preserve"> գրանցման սարքերը:</w:t>
      </w:r>
    </w:p>
    <w:p w14:paraId="40B6CD4C" w14:textId="77777777" w:rsidR="00B834A2" w:rsidRPr="00B834A2"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9"/>
          <w:sz w:val="24"/>
          <w:szCs w:val="24"/>
        </w:rPr>
        <w:t>Ջերմաստիճանային սանդղակի ստուգում:</w:t>
      </w:r>
      <w:r w:rsidRPr="00B834A2">
        <w:rPr>
          <w:rStyle w:val="Bodytext210pt"/>
          <w:sz w:val="24"/>
          <w:szCs w:val="24"/>
        </w:rPr>
        <w:t xml:space="preserve"> Նմուշին մոտ գտնվող կամ դրա հետ շփվող ջերմաստիճանային տվիչի ստուգումն անցկացնում են՝ կիրառելով ֆեռոմագնիսական նյութի (օրինակ՝ նիկել) երկրորդ սեռի ֆազային անցման (Կյուրիի կետ) ջերմաստիճանը: Այն սարքի դեպքում, որը թույլ է տալիս միաժամանակ անցկացնել ՋԾ/ՋԾԱ </w:t>
      </w:r>
      <w:r>
        <w:rPr>
          <w:rStyle w:val="Bodytext210pt"/>
          <w:sz w:val="24"/>
          <w:szCs w:val="24"/>
        </w:rPr>
        <w:t>եւ</w:t>
      </w:r>
      <w:r w:rsidRPr="00B834A2">
        <w:rPr>
          <w:rStyle w:val="Bodytext210pt"/>
          <w:sz w:val="24"/>
          <w:szCs w:val="24"/>
        </w:rPr>
        <w:t xml:space="preserve"> ԴՋԱ կամ ԴՍԿ, կարող են օգտագործվել նույն սերտիֆիկացված (ատեստավորված) ստանդարտ նմուշները, ինչ ԴՋԱ-ի կամ ԴՍԿ-ի համար, օրինակ՝ ինդիումը, անագը </w:t>
      </w:r>
      <w:r>
        <w:rPr>
          <w:rStyle w:val="Bodytext210pt"/>
          <w:sz w:val="24"/>
          <w:szCs w:val="24"/>
        </w:rPr>
        <w:t>եւ</w:t>
      </w:r>
      <w:r w:rsidRPr="00B834A2">
        <w:rPr>
          <w:rStyle w:val="Bodytext210pt"/>
          <w:sz w:val="24"/>
          <w:szCs w:val="24"/>
        </w:rPr>
        <w:t xml:space="preserve"> (կամ) ցինկը:</w:t>
      </w:r>
    </w:p>
    <w:p w14:paraId="3FEEC3DC"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Էլեկտրոնային կշեռքի ստուգաճշտում:</w:t>
      </w:r>
      <w:r w:rsidRPr="00B834A2">
        <w:rPr>
          <w:rStyle w:val="Bodytext210pt"/>
          <w:sz w:val="24"/>
          <w:szCs w:val="24"/>
        </w:rPr>
        <w:t xml:space="preserve"> Անհրաժեշտ քանակի համապատասխան սերտիֆիկացված (ատեստավորված) ստանդարտ նյութը (օրինակ՝</w:t>
      </w:r>
      <w:r w:rsidRPr="00B834A2">
        <w:rPr>
          <w:rStyle w:val="Bodytext210pt8"/>
          <w:sz w:val="24"/>
          <w:szCs w:val="24"/>
        </w:rPr>
        <w:t>ԵԱՏՄԴ ՍՆ կալցիումի օքսալատի մոնոհիդրատ)</w:t>
      </w:r>
      <w:r w:rsidRPr="00B834A2">
        <w:rPr>
          <w:rStyle w:val="Bodytext210pt"/>
          <w:sz w:val="24"/>
          <w:szCs w:val="24"/>
        </w:rPr>
        <w:t xml:space="preserve"> տեղադրում են բռնիչի մեջ </w:t>
      </w:r>
      <w:r>
        <w:rPr>
          <w:rStyle w:val="Bodytext210pt"/>
          <w:sz w:val="24"/>
          <w:szCs w:val="24"/>
        </w:rPr>
        <w:t>եւ</w:t>
      </w:r>
      <w:r w:rsidRPr="00B834A2">
        <w:rPr>
          <w:rStyle w:val="Bodytext210pt"/>
          <w:sz w:val="24"/>
          <w:szCs w:val="24"/>
        </w:rPr>
        <w:t xml:space="preserve"> գրանցում դրա զանգվածը: Սահմանում են տաքացման արագությունը (օրինակ՝ 5 °С/րոպ)՝ արտադրողի հրահանգին համապատասխան, </w:t>
      </w:r>
      <w:r>
        <w:rPr>
          <w:rStyle w:val="Bodytext210pt"/>
          <w:sz w:val="24"/>
          <w:szCs w:val="24"/>
        </w:rPr>
        <w:t>եւ</w:t>
      </w:r>
      <w:r w:rsidRPr="00B834A2">
        <w:rPr>
          <w:rStyle w:val="Bodytext210pt"/>
          <w:sz w:val="24"/>
          <w:szCs w:val="24"/>
        </w:rPr>
        <w:t xml:space="preserve"> սկսում բարձրացնել ջերմաստիճանը: Ջերմածանրաչափական կորը գրանցում են գրաֆիկի տեսքով՝ ջերմաստիճանի կամ ժամանակի մեծությունները նշվում են աբսցիս առանցքով՝ ձախից աջ արժեքների աճման կարգով. զանգվածի ցուցմունքները՝ օրդինատ առանցքով՝ ներք</w:t>
      </w:r>
      <w:r>
        <w:rPr>
          <w:rStyle w:val="Bodytext210pt"/>
          <w:sz w:val="24"/>
          <w:szCs w:val="24"/>
        </w:rPr>
        <w:t>եւ</w:t>
      </w:r>
      <w:r w:rsidRPr="00B834A2">
        <w:rPr>
          <w:rStyle w:val="Bodytext210pt"/>
          <w:sz w:val="24"/>
          <w:szCs w:val="24"/>
        </w:rPr>
        <w:t>ից վեր</w:t>
      </w:r>
      <w:r>
        <w:rPr>
          <w:rStyle w:val="Bodytext210pt"/>
          <w:sz w:val="24"/>
          <w:szCs w:val="24"/>
        </w:rPr>
        <w:t>եւ</w:t>
      </w:r>
      <w:r w:rsidRPr="00B834A2">
        <w:rPr>
          <w:rStyle w:val="Bodytext210pt"/>
          <w:sz w:val="24"/>
          <w:szCs w:val="24"/>
        </w:rPr>
        <w:t xml:space="preserve"> արժեքների աճման կարգով: Մոտ 250 °С ջերմաստիճանի դեպքում ջերմաստիճանի բարձրացումը դադարեցնում են: Գրաֆիկի վրա չափում են զանգված-ջերմաստիճան սկզբնական </w:t>
      </w:r>
      <w:r>
        <w:rPr>
          <w:rStyle w:val="Bodytext210pt"/>
          <w:sz w:val="24"/>
          <w:szCs w:val="24"/>
        </w:rPr>
        <w:t>եւ</w:t>
      </w:r>
      <w:r w:rsidRPr="00B834A2">
        <w:rPr>
          <w:rStyle w:val="Bodytext210pt"/>
          <w:sz w:val="24"/>
          <w:szCs w:val="24"/>
        </w:rPr>
        <w:t xml:space="preserve"> վերջնական պլատոյի կամ զանգված-ժամանակ պլատոյի միջ</w:t>
      </w:r>
      <w:r>
        <w:rPr>
          <w:rStyle w:val="Bodytext210pt"/>
          <w:sz w:val="24"/>
          <w:szCs w:val="24"/>
        </w:rPr>
        <w:t>եւ</w:t>
      </w:r>
      <w:r w:rsidRPr="00B834A2">
        <w:rPr>
          <w:rStyle w:val="Bodytext210pt"/>
          <w:sz w:val="24"/>
          <w:szCs w:val="24"/>
        </w:rPr>
        <w:t xml:space="preserve"> </w:t>
      </w:r>
      <w:r w:rsidRPr="00B834A2">
        <w:rPr>
          <w:rStyle w:val="Bodytext210pt"/>
          <w:sz w:val="24"/>
          <w:szCs w:val="24"/>
        </w:rPr>
        <w:lastRenderedPageBreak/>
        <w:t>հեռավորությունը, ինչը համապատասխանում է նմուշի զանգվածի փոփոխությանը: Ատեստավորված ստանդարտ նյութի զանգվածի կորստի ստացված մեծությունը համադրում են մականշվածքում նշված մեծության հետ:</w:t>
      </w:r>
    </w:p>
    <w:p w14:paraId="45DCB44D"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9"/>
          <w:sz w:val="24"/>
          <w:szCs w:val="24"/>
        </w:rPr>
        <w:t>Մեթոդիկա:</w:t>
      </w:r>
      <w:r w:rsidRPr="00B834A2">
        <w:rPr>
          <w:rStyle w:val="Bodytext210pt"/>
          <w:sz w:val="24"/>
          <w:szCs w:val="24"/>
        </w:rPr>
        <w:t xml:space="preserve"> Փորձարկվող նմուշի համար անցկացնում եմ նույն ընթացակարգը՝ մասնավոր դեղագրքային հոդվածում </w:t>
      </w:r>
      <w:r>
        <w:rPr>
          <w:rStyle w:val="Bodytext210pt"/>
          <w:sz w:val="24"/>
          <w:szCs w:val="24"/>
        </w:rPr>
        <w:t>եւ</w:t>
      </w:r>
      <w:r w:rsidRPr="00B834A2">
        <w:rPr>
          <w:rStyle w:val="Bodytext210pt"/>
          <w:sz w:val="24"/>
          <w:szCs w:val="24"/>
        </w:rPr>
        <w:t xml:space="preserve"> (կամ) որակի վերաբերյալ նորմատիվ փաստաթղթում նշված պայմաններում: Փորձարկվող նմուշի զանգվածի կորուստը որոշում են՝ չափելով ծանրաչափական կորի վրա սկզբնական </w:t>
      </w:r>
      <w:r>
        <w:rPr>
          <w:rStyle w:val="Bodytext210pt"/>
          <w:sz w:val="24"/>
          <w:szCs w:val="24"/>
        </w:rPr>
        <w:t>եւ</w:t>
      </w:r>
      <w:r w:rsidRPr="00B834A2">
        <w:rPr>
          <w:rStyle w:val="Bodytext210pt"/>
          <w:sz w:val="24"/>
          <w:szCs w:val="24"/>
        </w:rPr>
        <w:t xml:space="preserve"> վերջնական պլատոյի միջ</w:t>
      </w:r>
      <w:r>
        <w:rPr>
          <w:rStyle w:val="Bodytext210pt"/>
          <w:sz w:val="24"/>
          <w:szCs w:val="24"/>
        </w:rPr>
        <w:t>եւ</w:t>
      </w:r>
      <w:r w:rsidRPr="00B834A2">
        <w:rPr>
          <w:rStyle w:val="Bodytext210pt"/>
          <w:sz w:val="24"/>
          <w:szCs w:val="24"/>
        </w:rPr>
        <w:t xml:space="preserve"> հեռավորությունը </w:t>
      </w:r>
      <w:r>
        <w:rPr>
          <w:rStyle w:val="Bodytext210pt"/>
          <w:sz w:val="24"/>
          <w:szCs w:val="24"/>
        </w:rPr>
        <w:t>եւ</w:t>
      </w:r>
      <w:r w:rsidRPr="00B834A2">
        <w:rPr>
          <w:rStyle w:val="Bodytext210pt"/>
          <w:sz w:val="24"/>
          <w:szCs w:val="24"/>
        </w:rPr>
        <w:t xml:space="preserve"> արտահայտում են տոկոսներով (</w:t>
      </w:r>
      <w:r w:rsidRPr="00B834A2">
        <w:rPr>
          <w:rStyle w:val="Bodytext210pt7"/>
          <w:sz w:val="24"/>
          <w:szCs w:val="24"/>
        </w:rPr>
        <w:t>Δ</w:t>
      </w:r>
      <w:r w:rsidRPr="00B834A2">
        <w:rPr>
          <w:rStyle w:val="Bodytext210pt6"/>
          <w:sz w:val="24"/>
          <w:szCs w:val="24"/>
        </w:rPr>
        <w:t>м</w:t>
      </w:r>
      <w:r w:rsidRPr="00B834A2">
        <w:rPr>
          <w:rStyle w:val="Bodytext210pt"/>
          <w:sz w:val="24"/>
          <w:szCs w:val="24"/>
        </w:rPr>
        <w:t>/</w:t>
      </w:r>
      <w:r w:rsidRPr="00B834A2">
        <w:rPr>
          <w:rStyle w:val="Bodytext210pt8"/>
          <w:sz w:val="24"/>
          <w:szCs w:val="24"/>
        </w:rPr>
        <w:t>м</w:t>
      </w:r>
      <w:r w:rsidRPr="00B834A2">
        <w:rPr>
          <w:rStyle w:val="Bodytext210pt"/>
          <w:sz w:val="24"/>
          <w:szCs w:val="24"/>
        </w:rPr>
        <w:t>):</w:t>
      </w:r>
    </w:p>
    <w:p w14:paraId="3EFDBE99"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Սարքի պարբերաբար օգտագործման դեպքում պարբերաբար կատարում են ջերմաստիճանային սանդղակի ստուգաճշտում </w:t>
      </w:r>
      <w:r>
        <w:rPr>
          <w:rStyle w:val="Bodytext210pt"/>
          <w:sz w:val="24"/>
          <w:szCs w:val="24"/>
        </w:rPr>
        <w:t>եւ</w:t>
      </w:r>
      <w:r w:rsidRPr="00B834A2">
        <w:rPr>
          <w:rStyle w:val="Bodytext210pt"/>
          <w:sz w:val="24"/>
          <w:szCs w:val="24"/>
        </w:rPr>
        <w:t xml:space="preserve"> ստուգում: Հակառակ դեպքում այդ գործողությունները անցկացնում են յուրաքանչյուր օգտագործումից առաջ:</w:t>
      </w:r>
    </w:p>
    <w:p w14:paraId="2785B825" w14:textId="77777777" w:rsidR="00B834A2" w:rsidRPr="00530993"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Քանի որ փորձարկման անցկացման պայմանները կրիտիկական են, յուրաքանչյուր չափման համար նշում են հետ</w:t>
      </w:r>
      <w:r>
        <w:rPr>
          <w:rStyle w:val="Bodytext210pt"/>
          <w:sz w:val="24"/>
          <w:szCs w:val="24"/>
        </w:rPr>
        <w:t>եւ</w:t>
      </w:r>
      <w:r w:rsidRPr="00B834A2">
        <w:rPr>
          <w:rStyle w:val="Bodytext210pt"/>
          <w:sz w:val="24"/>
          <w:szCs w:val="24"/>
        </w:rPr>
        <w:t xml:space="preserve">յալ պարամետրերը՝ հոսքի ճնշում կամ արագություն. գազի բաղադրությունը, նմուշի զանգվածը, տաքացման արագությունը, ջերմաստիճանի ընդգրկույթը </w:t>
      </w:r>
      <w:r>
        <w:rPr>
          <w:rStyle w:val="Bodytext210pt"/>
          <w:sz w:val="24"/>
          <w:szCs w:val="24"/>
        </w:rPr>
        <w:t>եւ</w:t>
      </w:r>
      <w:r w:rsidRPr="00B834A2">
        <w:rPr>
          <w:rStyle w:val="Bodytext210pt"/>
          <w:sz w:val="24"/>
          <w:szCs w:val="24"/>
        </w:rPr>
        <w:t xml:space="preserve"> նմուշի նախնական մշակումը՝ ներառյալ ցանկացած իզոթերմային ժամանակահատված:</w:t>
      </w:r>
    </w:p>
    <w:p w14:paraId="4FF61EA2" w14:textId="77777777" w:rsidR="00C41622" w:rsidRPr="00530993" w:rsidRDefault="00C41622" w:rsidP="00D22B70">
      <w:pPr>
        <w:pStyle w:val="Bodytext20"/>
        <w:shd w:val="clear" w:color="auto" w:fill="auto"/>
        <w:spacing w:before="0" w:after="160" w:line="360" w:lineRule="auto"/>
        <w:ind w:firstLine="567"/>
        <w:jc w:val="both"/>
        <w:rPr>
          <w:rFonts w:ascii="Sylfaen" w:hAnsi="Sylfaen"/>
          <w:sz w:val="24"/>
          <w:szCs w:val="24"/>
        </w:rPr>
      </w:pPr>
    </w:p>
    <w:p w14:paraId="300219B9" w14:textId="77777777" w:rsidR="00B834A2" w:rsidRPr="00C41622" w:rsidRDefault="00B834A2" w:rsidP="00D22B70">
      <w:pPr>
        <w:pStyle w:val="Bodytext20"/>
        <w:shd w:val="clear" w:color="auto" w:fill="auto"/>
        <w:spacing w:before="0" w:after="160" w:line="360" w:lineRule="auto"/>
        <w:ind w:firstLine="567"/>
        <w:jc w:val="both"/>
        <w:rPr>
          <w:rStyle w:val="Bodytext210pt9"/>
          <w:sz w:val="24"/>
          <w:szCs w:val="24"/>
        </w:rPr>
      </w:pPr>
      <w:r w:rsidRPr="00B834A2">
        <w:rPr>
          <w:rStyle w:val="Bodytext210pt9"/>
          <w:sz w:val="24"/>
          <w:szCs w:val="24"/>
        </w:rPr>
        <w:t>ԴԻՖԵՐԵՆՑԻԱԼ ՍԿԱՆԱՎՈՐՈՂ ԿԱԼՈՐԻԱՉԱՓՈՒԹՅՈՒՆ</w:t>
      </w:r>
    </w:p>
    <w:p w14:paraId="5BA1A51F"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ԴՍԿ-ն այնպիսի մեթոդ է, որը կիրառվում է նյութի (կամ նյութերի խառնուրդի) տաքացման (կամ հովացման) ժամանակ ընթացող էներգետիկ եր</w:t>
      </w:r>
      <w:r>
        <w:rPr>
          <w:rStyle w:val="Bodytext210pt"/>
          <w:sz w:val="24"/>
          <w:szCs w:val="24"/>
        </w:rPr>
        <w:t>եւ</w:t>
      </w:r>
      <w:r w:rsidRPr="00B834A2">
        <w:rPr>
          <w:rStyle w:val="Bodytext210pt"/>
          <w:sz w:val="24"/>
          <w:szCs w:val="24"/>
        </w:rPr>
        <w:t xml:space="preserve">ույթների ցուցադրման </w:t>
      </w:r>
      <w:r>
        <w:rPr>
          <w:rStyle w:val="Bodytext210pt"/>
          <w:sz w:val="24"/>
          <w:szCs w:val="24"/>
        </w:rPr>
        <w:t>եւ</w:t>
      </w:r>
      <w:r w:rsidRPr="00B834A2">
        <w:rPr>
          <w:rStyle w:val="Bodytext210pt"/>
          <w:sz w:val="24"/>
          <w:szCs w:val="24"/>
        </w:rPr>
        <w:t xml:space="preserve"> էնթալպիայի ու տեսակարար ջերմունակության փոփոխությունները, ինչպես նա</w:t>
      </w:r>
      <w:r>
        <w:rPr>
          <w:rStyle w:val="Bodytext210pt"/>
          <w:sz w:val="24"/>
          <w:szCs w:val="24"/>
        </w:rPr>
        <w:t>եւ</w:t>
      </w:r>
      <w:r w:rsidRPr="00B834A2">
        <w:rPr>
          <w:rStyle w:val="Bodytext210pt"/>
          <w:sz w:val="24"/>
          <w:szCs w:val="24"/>
        </w:rPr>
        <w:t xml:space="preserve"> այն ջերմաստիճանները որոշելու համար, որոնց ժամանակ այդ փոփոխությունները տեղի են ունենում:</w:t>
      </w:r>
      <w:r>
        <w:rPr>
          <w:rStyle w:val="Bodytext210pt"/>
          <w:sz w:val="24"/>
          <w:szCs w:val="24"/>
        </w:rPr>
        <w:t xml:space="preserve"> </w:t>
      </w:r>
    </w:p>
    <w:p w14:paraId="63488B13"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Տվյալ մեթոդն օգտագործում են ջերմաստիճանով պայմանավորված՝ փորձարկվող նմուշից կամ համեմատման բջջից անջատված կամ դրանով կլանված ջերմության քանակի տարբերությունները (ջերմաստիճանի նկատմամբ) </w:t>
      </w:r>
      <w:r w:rsidRPr="00B834A2">
        <w:rPr>
          <w:rStyle w:val="Bodytext210pt"/>
          <w:sz w:val="24"/>
          <w:szCs w:val="24"/>
        </w:rPr>
        <w:lastRenderedPageBreak/>
        <w:t xml:space="preserve">պարզելու համար: ԴՍԿ-ի համար գոյություն ունի 2 տեսակի սարք՝ փորձարկվող նմուշի </w:t>
      </w:r>
      <w:r>
        <w:rPr>
          <w:rStyle w:val="Bodytext210pt"/>
          <w:sz w:val="24"/>
          <w:szCs w:val="24"/>
        </w:rPr>
        <w:t>եւ</w:t>
      </w:r>
      <w:r w:rsidRPr="00B834A2">
        <w:rPr>
          <w:rStyle w:val="Bodytext210pt"/>
          <w:sz w:val="24"/>
          <w:szCs w:val="24"/>
        </w:rPr>
        <w:t xml:space="preserve"> համեմատման բջջի միջ</w:t>
      </w:r>
      <w:r>
        <w:rPr>
          <w:rStyle w:val="Bodytext210pt"/>
          <w:sz w:val="24"/>
          <w:szCs w:val="24"/>
        </w:rPr>
        <w:t>եւ</w:t>
      </w:r>
      <w:r w:rsidRPr="00B834A2">
        <w:rPr>
          <w:rStyle w:val="Bodytext210pt"/>
          <w:sz w:val="24"/>
          <w:szCs w:val="24"/>
        </w:rPr>
        <w:t xml:space="preserve"> ջերմաստիճանի զրոյական տարբերությունը պահելու համար՝ էներգիայի փոխհատուցում օգտագործող սարքերը. տաքացման հաստատուն արագությունը պահպանող </w:t>
      </w:r>
      <w:r>
        <w:rPr>
          <w:rStyle w:val="Bodytext210pt"/>
          <w:sz w:val="24"/>
          <w:szCs w:val="24"/>
        </w:rPr>
        <w:t>եւ</w:t>
      </w:r>
      <w:r w:rsidRPr="00B834A2">
        <w:rPr>
          <w:rStyle w:val="Bodytext210pt"/>
          <w:sz w:val="24"/>
          <w:szCs w:val="24"/>
        </w:rPr>
        <w:t xml:space="preserve"> փորձարկվող նմուշի ու համեմատման բջջի միջ</w:t>
      </w:r>
      <w:r>
        <w:rPr>
          <w:rStyle w:val="Bodytext210pt"/>
          <w:sz w:val="24"/>
          <w:szCs w:val="24"/>
        </w:rPr>
        <w:t>եւ</w:t>
      </w:r>
      <w:r w:rsidRPr="00B834A2">
        <w:rPr>
          <w:rStyle w:val="Bodytext210pt"/>
          <w:sz w:val="24"/>
          <w:szCs w:val="24"/>
        </w:rPr>
        <w:t xml:space="preserve">՝ որպես ջերմային հոսքի տարբերություն, ջերմաստիճանային դիֆերենցիալը որոշող սարքեր: </w:t>
      </w:r>
    </w:p>
    <w:p w14:paraId="710C388F"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9"/>
          <w:sz w:val="24"/>
          <w:szCs w:val="24"/>
        </w:rPr>
        <w:t xml:space="preserve">Սարք: </w:t>
      </w:r>
      <w:r w:rsidRPr="00B834A2">
        <w:rPr>
          <w:rStyle w:val="Bodytext210pt"/>
          <w:sz w:val="24"/>
          <w:szCs w:val="24"/>
        </w:rPr>
        <w:t xml:space="preserve">Էներգիայի փոխհատուցմամբ ԴՍԿ-ի համար կիրառվում է փորձարկվող բջջով </w:t>
      </w:r>
      <w:r>
        <w:rPr>
          <w:rStyle w:val="Bodytext210pt"/>
          <w:sz w:val="24"/>
          <w:szCs w:val="24"/>
        </w:rPr>
        <w:t>եւ</w:t>
      </w:r>
      <w:r w:rsidRPr="00B834A2">
        <w:rPr>
          <w:rStyle w:val="Bodytext210pt"/>
          <w:sz w:val="24"/>
          <w:szCs w:val="24"/>
        </w:rPr>
        <w:t xml:space="preserve"> համեմատման բջջով՝ նմուշների բռնիչ ունեցող վառարանից բաղկացած սարք: Ջերմային հոսքով ԴՍԿ-ի համար նախատեսված սարքը բաղկացած է փորձարկվող հալքանոթի </w:t>
      </w:r>
      <w:r>
        <w:rPr>
          <w:rStyle w:val="Bodytext210pt"/>
          <w:sz w:val="24"/>
          <w:szCs w:val="24"/>
        </w:rPr>
        <w:t>եւ</w:t>
      </w:r>
      <w:r w:rsidRPr="00B834A2">
        <w:rPr>
          <w:rStyle w:val="Bodytext210pt"/>
          <w:sz w:val="24"/>
          <w:szCs w:val="24"/>
        </w:rPr>
        <w:t xml:space="preserve"> համեմատման հալքանոթի համար նմուշի բռնիչով՝ միակ բջիջը պարունակող վառարանից: </w:t>
      </w:r>
    </w:p>
    <w:p w14:paraId="7CE2ABEC"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Սարքին միացվում է ջերմաստիճանի ծրագրավորման սարքը, ջերմաստիճանային դետեկտորը (դետեկտորները) </w:t>
      </w:r>
      <w:r>
        <w:rPr>
          <w:rStyle w:val="Bodytext210pt"/>
          <w:sz w:val="24"/>
          <w:szCs w:val="24"/>
        </w:rPr>
        <w:t>եւ</w:t>
      </w:r>
      <w:r w:rsidRPr="00B834A2">
        <w:rPr>
          <w:rStyle w:val="Bodytext210pt"/>
          <w:sz w:val="24"/>
          <w:szCs w:val="24"/>
        </w:rPr>
        <w:t xml:space="preserve"> համակարգչին միացված՝ գրանցող համակարգը: Չափումները կատարվում են վերահսկվող միջավայրում:</w:t>
      </w:r>
    </w:p>
    <w:p w14:paraId="1EEA852E" w14:textId="77777777" w:rsidR="00B834A2"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9"/>
          <w:sz w:val="24"/>
          <w:szCs w:val="24"/>
        </w:rPr>
        <w:t xml:space="preserve">Սարքի ստուգաճշտում: </w:t>
      </w:r>
      <w:r w:rsidRPr="00B834A2">
        <w:rPr>
          <w:rStyle w:val="Bodytext210pt"/>
          <w:sz w:val="24"/>
          <w:szCs w:val="24"/>
        </w:rPr>
        <w:t xml:space="preserve">Սարքը ստուգաճշտվում է ջերմաստիճանի </w:t>
      </w:r>
      <w:r>
        <w:rPr>
          <w:rStyle w:val="Bodytext210pt"/>
          <w:sz w:val="24"/>
          <w:szCs w:val="24"/>
        </w:rPr>
        <w:t>եւ</w:t>
      </w:r>
      <w:r w:rsidRPr="00B834A2">
        <w:rPr>
          <w:rStyle w:val="Bodytext210pt"/>
          <w:sz w:val="24"/>
          <w:szCs w:val="24"/>
        </w:rPr>
        <w:t xml:space="preserve"> էնթալպիայի փոփոխության մասով՝ սերտիֆիկացված (ատեստավորված) ստանդարտ նմուշների օգտագործմամբ:</w:t>
      </w:r>
    </w:p>
    <w:p w14:paraId="260406B6"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Ջերմաստիճանի ստուգաճշտում:</w:t>
      </w:r>
      <w:r w:rsidRPr="00B834A2">
        <w:rPr>
          <w:rStyle w:val="Bodytext210pt"/>
          <w:sz w:val="24"/>
          <w:szCs w:val="24"/>
        </w:rPr>
        <w:t xml:space="preserve"> Ջերմաստիճանի</w:t>
      </w:r>
      <w:r w:rsidRPr="00B834A2">
        <w:rPr>
          <w:rStyle w:val="Bodytext210pt8"/>
          <w:sz w:val="24"/>
          <w:szCs w:val="24"/>
        </w:rPr>
        <w:t xml:space="preserve"> </w:t>
      </w:r>
      <w:r w:rsidRPr="00B834A2">
        <w:rPr>
          <w:rStyle w:val="Bodytext210pt"/>
          <w:sz w:val="24"/>
          <w:szCs w:val="24"/>
        </w:rPr>
        <w:t xml:space="preserve">ստուգաճշտումը կարող է անցկացվել սերտիֆիկացված (ատեստավորված) ստանդարտ նմուշների կիրառմամբ, որոնք ունեն այնպիսի բնութագրիչ ջերմաֆիզիկական հատկություն, ինչպես օրինակ՝ մաքուր մետաղների կամ օրգանական նյութերի հալման ջերմաստիճանը կամ բյուրեղային անօրգանական աղերի, կամ օքսիդների ֆազային անցման ջերմաստիճանը: Սովորաբար ստուգաճշտման համար օգտագործում են ինդիումի, անագի </w:t>
      </w:r>
      <w:r>
        <w:rPr>
          <w:rStyle w:val="Bodytext210pt"/>
          <w:sz w:val="24"/>
          <w:szCs w:val="24"/>
        </w:rPr>
        <w:t>եւ</w:t>
      </w:r>
      <w:r w:rsidRPr="00B834A2">
        <w:rPr>
          <w:rStyle w:val="Bodytext210pt"/>
          <w:sz w:val="24"/>
          <w:szCs w:val="24"/>
        </w:rPr>
        <w:t xml:space="preserve"> (կամ) ցինկի հալման ջերմաստիճանի արժեքները:</w:t>
      </w:r>
    </w:p>
    <w:p w14:paraId="03823529"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Ջերմության քանակության ստուգաճշտում:</w:t>
      </w:r>
      <w:r w:rsidRPr="00B834A2">
        <w:rPr>
          <w:rStyle w:val="Bodytext210pt"/>
          <w:sz w:val="24"/>
          <w:szCs w:val="24"/>
        </w:rPr>
        <w:t xml:space="preserve"> Ջերմաստիճանի փոփոխության ժամանակ տեղի ունեցող որոշակի ֆիզիկական փոփոխությամբ առաջացած փորձարկվող նմուշի ջերմության քանակի փոփոխության (էնթալպիայի </w:t>
      </w:r>
      <w:r w:rsidRPr="00B834A2">
        <w:rPr>
          <w:rStyle w:val="Bodytext210pt"/>
          <w:sz w:val="24"/>
          <w:szCs w:val="24"/>
        </w:rPr>
        <w:lastRenderedPageBreak/>
        <w:t xml:space="preserve">փոփոխություն) ճշգրիտ գնահատման համար անհրաժեշտ է անցկացնել սարքի ստուգաճշտում՝ օգտագործելով համապատասխան սերտիֆիկացված (ատեստավորված) ստանդարտ նմուշներ: Ջերմաստիճանի ստուգաճշտման անալոգիայով ջերմության քանակի ստուգաճշտումը կարող է կատարվել՝ այնպիսի ֆիզիկական փոփոխություններով առաջացած էնթալպիայի փոփոխության հայտնի սահմանված արժեքներով սերտիֆիկացված (ատեստավորված) ստանդարտ նմուշների օգտագործմամբ, ինչպիսիք են՝ մաքուր մետաղների </w:t>
      </w:r>
      <w:r>
        <w:rPr>
          <w:rStyle w:val="Bodytext210pt"/>
          <w:sz w:val="24"/>
          <w:szCs w:val="24"/>
        </w:rPr>
        <w:t>եւ</w:t>
      </w:r>
      <w:r w:rsidRPr="00B834A2">
        <w:rPr>
          <w:rStyle w:val="Bodytext210pt"/>
          <w:sz w:val="24"/>
          <w:szCs w:val="24"/>
        </w:rPr>
        <w:t xml:space="preserve"> (կամ) օրգանական նյութերի հալումը կամ բյուրեղային անօրգանական աղերի ֆազային անցումը: Սովորաբար ստուգաճշտման համար օգտագործում են ինդիումի, անագի </w:t>
      </w:r>
      <w:r>
        <w:rPr>
          <w:rStyle w:val="Bodytext210pt"/>
          <w:sz w:val="24"/>
          <w:szCs w:val="24"/>
        </w:rPr>
        <w:t>եւ</w:t>
      </w:r>
      <w:r w:rsidRPr="00B834A2">
        <w:rPr>
          <w:rStyle w:val="Bodytext210pt"/>
          <w:sz w:val="24"/>
          <w:szCs w:val="24"/>
        </w:rPr>
        <w:t xml:space="preserve"> (կամ) ցինկի հալման ջերմության արժեքները:</w:t>
      </w:r>
    </w:p>
    <w:p w14:paraId="353E0C7C" w14:textId="77777777" w:rsidR="00B834A2" w:rsidRPr="00B834A2" w:rsidRDefault="00B834A2" w:rsidP="00B834A2">
      <w:pPr>
        <w:spacing w:after="160" w:line="360" w:lineRule="auto"/>
        <w:ind w:firstLine="567"/>
        <w:jc w:val="both"/>
        <w:rPr>
          <w:rStyle w:val="Bodytext210pt"/>
          <w:sz w:val="24"/>
          <w:szCs w:val="24"/>
        </w:rPr>
      </w:pPr>
      <w:r w:rsidRPr="00D22B70">
        <w:rPr>
          <w:rStyle w:val="Bodytext210pt9"/>
          <w:spacing w:val="-6"/>
          <w:sz w:val="24"/>
          <w:szCs w:val="24"/>
        </w:rPr>
        <w:t>Փորձարկման անցկացում:</w:t>
      </w:r>
      <w:r w:rsidRPr="00D22B70">
        <w:rPr>
          <w:rStyle w:val="Bodytext210pt"/>
          <w:spacing w:val="-6"/>
          <w:sz w:val="24"/>
          <w:szCs w:val="24"/>
        </w:rPr>
        <w:t xml:space="preserve"> Համապատասխան հալքանոթում կշռում են փորձարկվող նմուշը՝ մասնավոր դեղագրքային հոդվածում եւ (կամ) որակի վերաբերյալ նորմատիվ փաստաթղթում նշված քանակությամբ, եւ տեղադրում նմուշի բռնիչում: Դատարկ հալքանոթը տեղադրում են համեմատման հալքանոթի համար նախատեսված բռնիչում: Պարզում են մասնավոր դեղագրքային հոդվածում եւ (կամ) որակի վերաբերյալ նորմատիվ փաստաթղթում նշված փորձարկման մեկնարկի</w:t>
      </w:r>
      <w:r w:rsidRPr="00B834A2">
        <w:rPr>
          <w:rStyle w:val="Bodytext210pt"/>
          <w:sz w:val="24"/>
          <w:szCs w:val="24"/>
        </w:rPr>
        <w:t xml:space="preserve"> </w:t>
      </w:r>
      <w:r>
        <w:rPr>
          <w:rStyle w:val="Bodytext210pt"/>
          <w:sz w:val="24"/>
          <w:szCs w:val="24"/>
        </w:rPr>
        <w:t>եւ</w:t>
      </w:r>
      <w:r w:rsidRPr="00B834A2">
        <w:rPr>
          <w:rStyle w:val="Bodytext210pt"/>
          <w:sz w:val="24"/>
          <w:szCs w:val="24"/>
        </w:rPr>
        <w:t xml:space="preserve"> ավարտի պահին ջերմաստիճանը </w:t>
      </w:r>
      <w:r>
        <w:rPr>
          <w:rStyle w:val="Bodytext210pt"/>
          <w:sz w:val="24"/>
          <w:szCs w:val="24"/>
        </w:rPr>
        <w:t>եւ</w:t>
      </w:r>
      <w:r w:rsidRPr="00B834A2">
        <w:rPr>
          <w:rStyle w:val="Bodytext210pt"/>
          <w:sz w:val="24"/>
          <w:szCs w:val="24"/>
        </w:rPr>
        <w:t xml:space="preserve"> տաքացման արագությունը:</w:t>
      </w:r>
    </w:p>
    <w:p w14:paraId="2871B96E" w14:textId="77777777" w:rsidR="00B834A2" w:rsidRPr="00B834A2" w:rsidRDefault="00000000" w:rsidP="005C74F8">
      <w:pPr>
        <w:spacing w:after="160" w:line="360" w:lineRule="auto"/>
        <w:ind w:firstLine="567"/>
        <w:jc w:val="center"/>
        <w:rPr>
          <w:rStyle w:val="Bodytext210pt"/>
          <w:sz w:val="24"/>
          <w:szCs w:val="24"/>
        </w:rPr>
      </w:pPr>
      <w:r>
        <w:rPr>
          <w:noProof/>
        </w:rPr>
        <w:pict w14:anchorId="0358D882">
          <v:group id="_x0000_s1029" style="position:absolute;left:0;text-align:left;margin-left:50.15pt;margin-top:5.6pt;width:416.7pt;height:173.25pt;z-index:251660288" coordorigin="2421,1530" coordsize="8334,3465">
            <v:shapetype id="_x0000_t202" coordsize="21600,21600" o:spt="202" path="m,l,21600r21600,l21600,xe">
              <v:stroke joinstyle="miter"/>
              <v:path gradientshapeok="t" o:connecttype="rect"/>
            </v:shapetype>
            <v:shape id="_x0000_s1030" type="#_x0000_t202" style="position:absolute;left:4821;top:4545;width:1884;height:330;mso-width-relative:margin;mso-height-relative:margin" fillcolor="white [3212]" strokecolor="white [3212]">
              <v:textbox style="mso-next-textbox:#_x0000_s1030" inset="0,0,0,0">
                <w:txbxContent>
                  <w:p w14:paraId="5977AE3D" w14:textId="77777777" w:rsidR="008D6E8B" w:rsidRPr="00D22B70" w:rsidRDefault="008D6E8B" w:rsidP="00B834A2">
                    <w:pPr>
                      <w:jc w:val="center"/>
                      <w:rPr>
                        <w:sz w:val="16"/>
                        <w:szCs w:val="20"/>
                      </w:rPr>
                    </w:pPr>
                    <w:r w:rsidRPr="00D22B70">
                      <w:rPr>
                        <w:sz w:val="16"/>
                      </w:rPr>
                      <w:t xml:space="preserve">մոտ 1 </w:t>
                    </w:r>
                    <w:r w:rsidRPr="00D22B70">
                      <w:rPr>
                        <w:rFonts w:ascii="Times New Roman" w:hAnsi="Times New Roman"/>
                        <w:sz w:val="16"/>
                        <w:vertAlign w:val="superscript"/>
                      </w:rPr>
                      <w:t>○</w:t>
                    </w:r>
                    <w:r w:rsidRPr="00D22B70">
                      <w:rPr>
                        <w:sz w:val="16"/>
                      </w:rPr>
                      <w:t>C</w:t>
                    </w:r>
                  </w:p>
                </w:txbxContent>
              </v:textbox>
            </v:shape>
            <v:shape id="_x0000_s1031" type="#_x0000_t202" style="position:absolute;left:8361;top:4665;width:1884;height:330;mso-width-relative:margin;mso-height-relative:margin" fillcolor="white [3212]" strokecolor="white [3212]">
              <v:textbox style="mso-next-textbox:#_x0000_s1031" inset="0,0,0,0">
                <w:txbxContent>
                  <w:p w14:paraId="23062BD8" w14:textId="77777777" w:rsidR="008D6E8B" w:rsidRPr="00D22B70" w:rsidRDefault="008D6E8B" w:rsidP="00B834A2">
                    <w:pPr>
                      <w:jc w:val="center"/>
                      <w:rPr>
                        <w:sz w:val="20"/>
                        <w:szCs w:val="20"/>
                      </w:rPr>
                    </w:pPr>
                    <w:r w:rsidRPr="00D22B70">
                      <w:rPr>
                        <w:sz w:val="16"/>
                      </w:rPr>
                      <w:t>Ջերմաստիճան (</w:t>
                    </w:r>
                    <w:r w:rsidRPr="00D22B70">
                      <w:rPr>
                        <w:rFonts w:ascii="Times New Roman" w:hAnsi="Times New Roman"/>
                        <w:sz w:val="16"/>
                        <w:vertAlign w:val="superscript"/>
                      </w:rPr>
                      <w:t>○</w:t>
                    </w:r>
                    <w:r w:rsidRPr="00D22B70">
                      <w:rPr>
                        <w:sz w:val="16"/>
                      </w:rPr>
                      <w:t>C)</w:t>
                    </w:r>
                  </w:p>
                </w:txbxContent>
              </v:textbox>
            </v:shape>
            <v:shape id="_x0000_s1032" type="#_x0000_t202" style="position:absolute;left:2496;top:1875;width:879;height:330;mso-width-relative:margin;mso-height-relative:margin" fillcolor="white [3212]" strokecolor="white [3212]">
              <v:textbox style="mso-next-textbox:#_x0000_s1032" inset="0,0,0,0">
                <w:txbxContent>
                  <w:p w14:paraId="526A0F02" w14:textId="77777777" w:rsidR="008D6E8B" w:rsidRPr="00D22B70" w:rsidRDefault="008D6E8B" w:rsidP="00B834A2">
                    <w:pPr>
                      <w:jc w:val="center"/>
                      <w:rPr>
                        <w:sz w:val="16"/>
                        <w:szCs w:val="20"/>
                      </w:rPr>
                    </w:pPr>
                    <w:r w:rsidRPr="00D22B70">
                      <w:rPr>
                        <w:sz w:val="16"/>
                      </w:rPr>
                      <w:t>(մՋ/վ)</w:t>
                    </w:r>
                  </w:p>
                </w:txbxContent>
              </v:textbox>
            </v:shape>
            <v:shape id="_x0000_s1033" type="#_x0000_t202" style="position:absolute;left:2421;top:1530;width:2079;height:330;mso-width-relative:margin;mso-height-relative:margin" fillcolor="white [3212]" strokecolor="white [3212]">
              <v:textbox style="mso-next-textbox:#_x0000_s1033" inset="0,0,0,0">
                <w:txbxContent>
                  <w:p w14:paraId="19ABF5E6" w14:textId="77777777" w:rsidR="008D6E8B" w:rsidRPr="00D22B70" w:rsidRDefault="008D6E8B" w:rsidP="00B834A2">
                    <w:pPr>
                      <w:jc w:val="center"/>
                      <w:rPr>
                        <w:sz w:val="16"/>
                        <w:szCs w:val="20"/>
                      </w:rPr>
                    </w:pPr>
                    <w:r w:rsidRPr="00D22B70">
                      <w:rPr>
                        <w:sz w:val="16"/>
                      </w:rPr>
                      <w:t>Ջերմության քանակ</w:t>
                    </w:r>
                  </w:p>
                </w:txbxContent>
              </v:textbox>
            </v:shape>
            <v:shape id="_x0000_s1034" type="#_x0000_t202" style="position:absolute;left:10409;top:3345;width:346;height:1320;mso-width-relative:margin;mso-height-relative:margin" fillcolor="white [3212]" strokecolor="white [3212]">
              <v:textbox style="layout-flow:vertical;mso-layout-flow-alt:bottom-to-top;mso-next-textbox:#_x0000_s1034" inset="0,0,0,0">
                <w:txbxContent>
                  <w:p w14:paraId="61DBC78F" w14:textId="77777777" w:rsidR="008D6E8B" w:rsidRDefault="008D6E8B" w:rsidP="00B834A2">
                    <w:pPr>
                      <w:jc w:val="center"/>
                    </w:pPr>
                    <w:r>
                      <w:rPr>
                        <w:sz w:val="18"/>
                      </w:rPr>
                      <w:t>Էնդոթերմ</w:t>
                    </w:r>
                  </w:p>
                </w:txbxContent>
              </v:textbox>
            </v:shape>
          </v:group>
        </w:pict>
      </w:r>
      <w:r w:rsidR="00B834A2" w:rsidRPr="00B834A2">
        <w:rPr>
          <w:noProof/>
          <w:lang w:val="en-US" w:eastAsia="en-US" w:bidi="ar-SA"/>
        </w:rPr>
        <w:drawing>
          <wp:inline distT="0" distB="0" distL="0" distR="0" wp14:anchorId="0276A55C" wp14:editId="1CB25B65">
            <wp:extent cx="5755640" cy="2540612"/>
            <wp:effectExtent l="19050" t="0" r="0" b="0"/>
            <wp:docPr id="250" name="Picture 25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image1"/>
                    <pic:cNvPicPr>
                      <a:picLocks noChangeAspect="1" noChangeArrowheads="1"/>
                    </pic:cNvPicPr>
                  </pic:nvPicPr>
                  <pic:blipFill>
                    <a:blip r:embed="rId12" cstate="print"/>
                    <a:srcRect/>
                    <a:stretch>
                      <a:fillRect/>
                    </a:stretch>
                  </pic:blipFill>
                  <pic:spPr bwMode="auto">
                    <a:xfrm>
                      <a:off x="0" y="0"/>
                      <a:ext cx="5755640" cy="2540612"/>
                    </a:xfrm>
                    <a:prstGeom prst="rect">
                      <a:avLst/>
                    </a:prstGeom>
                    <a:noFill/>
                    <a:ln w="9525">
                      <a:noFill/>
                      <a:miter lim="800000"/>
                      <a:headEnd/>
                      <a:tailEnd/>
                    </a:ln>
                  </pic:spPr>
                </pic:pic>
              </a:graphicData>
            </a:graphic>
          </wp:inline>
        </w:drawing>
      </w:r>
    </w:p>
    <w:p w14:paraId="2DE37645" w14:textId="77777777" w:rsidR="00B834A2" w:rsidRPr="00D22B70" w:rsidRDefault="00B834A2" w:rsidP="00B834A2">
      <w:pPr>
        <w:pStyle w:val="Picturecaption20"/>
        <w:shd w:val="clear" w:color="auto" w:fill="auto"/>
        <w:spacing w:after="160" w:line="360" w:lineRule="auto"/>
        <w:ind w:firstLine="567"/>
        <w:rPr>
          <w:sz w:val="20"/>
          <w:szCs w:val="24"/>
        </w:rPr>
      </w:pPr>
      <w:r w:rsidRPr="00D22B70">
        <w:rPr>
          <w:sz w:val="20"/>
          <w:szCs w:val="24"/>
        </w:rPr>
        <w:t xml:space="preserve">Նկար 2.1.2.46.-1. </w:t>
      </w:r>
      <w:r w:rsidRPr="00123D1A">
        <w:rPr>
          <w:i/>
          <w:sz w:val="20"/>
          <w:szCs w:val="24"/>
        </w:rPr>
        <w:t>Ջերմագիր</w:t>
      </w:r>
    </w:p>
    <w:p w14:paraId="0A3D0F95"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 xml:space="preserve">Սկսում են փորձարկումը </w:t>
      </w:r>
      <w:r>
        <w:rPr>
          <w:rStyle w:val="Bodytext210pt"/>
          <w:sz w:val="24"/>
          <w:szCs w:val="24"/>
        </w:rPr>
        <w:t>եւ</w:t>
      </w:r>
      <w:r w:rsidRPr="00B834A2">
        <w:rPr>
          <w:rStyle w:val="Bodytext210pt"/>
          <w:sz w:val="24"/>
          <w:szCs w:val="24"/>
        </w:rPr>
        <w:t xml:space="preserve"> գրանցում ԴՍԿ-ի կորը՝ նշելով աբսցիս առանցքով ջերմաստիճանի կամ ժամանակի մեծությունները (ձախից աջ արժեքների աճման կարգով) </w:t>
      </w:r>
      <w:r>
        <w:rPr>
          <w:rStyle w:val="Bodytext210pt"/>
          <w:sz w:val="24"/>
          <w:szCs w:val="24"/>
        </w:rPr>
        <w:t>եւ</w:t>
      </w:r>
      <w:r w:rsidRPr="00B834A2">
        <w:rPr>
          <w:rStyle w:val="Bodytext210pt"/>
          <w:sz w:val="24"/>
          <w:szCs w:val="24"/>
        </w:rPr>
        <w:t xml:space="preserve"> օրդինատ առանցքով էներգիայի փոփոխությունները (ճշգրտում են, թե արդյոք պրոցեսը էնդոթերմային է, թե էկզոթերմային):</w:t>
      </w:r>
    </w:p>
    <w:p w14:paraId="638B8ACA"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Այն ջերմաստիճանը, որում տեղի է ունենում եր</w:t>
      </w:r>
      <w:r>
        <w:rPr>
          <w:rStyle w:val="Bodytext210pt"/>
          <w:sz w:val="24"/>
          <w:szCs w:val="24"/>
        </w:rPr>
        <w:t>եւ</w:t>
      </w:r>
      <w:r w:rsidRPr="00B834A2">
        <w:rPr>
          <w:rStyle w:val="Bodytext210pt"/>
          <w:sz w:val="24"/>
          <w:szCs w:val="24"/>
        </w:rPr>
        <w:t xml:space="preserve">ույթը (սկզբնական ջերմաստիճան), համապատասխանում է բազային գծի շարունակության </w:t>
      </w:r>
      <w:r w:rsidRPr="00B834A2">
        <w:rPr>
          <w:rStyle w:val="Bodytext210pt8"/>
          <w:sz w:val="24"/>
          <w:szCs w:val="24"/>
        </w:rPr>
        <w:t>(А)</w:t>
      </w:r>
      <w:r w:rsidRPr="00B834A2">
        <w:rPr>
          <w:rStyle w:val="Bodytext210pt"/>
          <w:sz w:val="24"/>
          <w:szCs w:val="24"/>
        </w:rPr>
        <w:t xml:space="preserve"> հատման կետին </w:t>
      </w:r>
      <w:r>
        <w:rPr>
          <w:rStyle w:val="Bodytext210pt"/>
          <w:sz w:val="24"/>
          <w:szCs w:val="24"/>
        </w:rPr>
        <w:t>եւ</w:t>
      </w:r>
      <w:r w:rsidRPr="00B834A2">
        <w:rPr>
          <w:rStyle w:val="Bodytext210pt"/>
          <w:sz w:val="24"/>
          <w:szCs w:val="24"/>
        </w:rPr>
        <w:t xml:space="preserve"> կորի առավելագույն թեքության կետի (շրջման կետի) շոշափողին (տես նկար </w:t>
      </w:r>
      <w:r w:rsidRPr="00B834A2">
        <w:rPr>
          <w:rFonts w:ascii="Sylfaen" w:hAnsi="Sylfaen"/>
          <w:sz w:val="24"/>
          <w:szCs w:val="24"/>
        </w:rPr>
        <w:t>2.1.2.46.</w:t>
      </w:r>
      <w:r w:rsidRPr="00B834A2">
        <w:rPr>
          <w:rStyle w:val="Bodytext210pt"/>
          <w:sz w:val="24"/>
          <w:szCs w:val="24"/>
        </w:rPr>
        <w:t>-1): Ջերմային եր</w:t>
      </w:r>
      <w:r>
        <w:rPr>
          <w:rStyle w:val="Bodytext210pt"/>
          <w:sz w:val="24"/>
          <w:szCs w:val="24"/>
        </w:rPr>
        <w:t>եւ</w:t>
      </w:r>
      <w:r w:rsidRPr="00B834A2">
        <w:rPr>
          <w:rStyle w:val="Bodytext210pt"/>
          <w:sz w:val="24"/>
          <w:szCs w:val="24"/>
        </w:rPr>
        <w:t>ույթի վերջնական ջերմաստիճանը համապատասխանում է կորի գագաթին:</w:t>
      </w:r>
    </w:p>
    <w:p w14:paraId="7B58420B"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Էնթալպիայի արժեքը համեմատական է բազային գծով սահմանափակված կորի տակ մակերեսի արժեքին. համեմատականության գործակիցը գտնում են փորձարկման անցկացման նույն պայմաններում հայտնի նյութի (օրինակ՝ ինդիում) հալման ջերմության չափման եղանակով: </w:t>
      </w:r>
    </w:p>
    <w:p w14:paraId="03EA97F6"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Յուրաքանչյուր ջերմագիր ուղեկցվում է հետ</w:t>
      </w:r>
      <w:r>
        <w:rPr>
          <w:rStyle w:val="Bodytext210pt"/>
          <w:sz w:val="24"/>
          <w:szCs w:val="24"/>
        </w:rPr>
        <w:t>եւ</w:t>
      </w:r>
      <w:r w:rsidRPr="00B834A2">
        <w:rPr>
          <w:rStyle w:val="Bodytext210pt"/>
          <w:sz w:val="24"/>
          <w:szCs w:val="24"/>
        </w:rPr>
        <w:t xml:space="preserve">յալ տվյալներով՝ փորձարկման պայմաններ, վերջին ստուգաճշտման գրառում, փորձարկվող նմուշի զանգված, նմուշի նույնականացում (ներառյալ ջերմային փոփոխությունները), տարողություն (կոնտեյներ), միջավայր (բաղադրություն, հոսքի արագություն, ճնշում), ջերմաստիճանային փոփոխությունների ուղղություն </w:t>
      </w:r>
      <w:r>
        <w:rPr>
          <w:rStyle w:val="Bodytext210pt"/>
          <w:sz w:val="24"/>
          <w:szCs w:val="24"/>
        </w:rPr>
        <w:t>եւ</w:t>
      </w:r>
      <w:r w:rsidRPr="00B834A2">
        <w:rPr>
          <w:rStyle w:val="Bodytext210pt"/>
          <w:sz w:val="24"/>
          <w:szCs w:val="24"/>
        </w:rPr>
        <w:t xml:space="preserve"> արագություն, սարքի </w:t>
      </w:r>
      <w:r>
        <w:rPr>
          <w:rStyle w:val="Bodytext210pt"/>
          <w:sz w:val="24"/>
          <w:szCs w:val="24"/>
        </w:rPr>
        <w:t>եւ</w:t>
      </w:r>
      <w:r w:rsidRPr="00B834A2">
        <w:rPr>
          <w:rStyle w:val="Bodytext210pt"/>
          <w:sz w:val="24"/>
          <w:szCs w:val="24"/>
        </w:rPr>
        <w:t xml:space="preserve"> գրանցող սարքի զգայունություն: </w:t>
      </w:r>
    </w:p>
    <w:p w14:paraId="59D46480" w14:textId="77777777" w:rsidR="00D22B70" w:rsidRDefault="00D22B70" w:rsidP="00B834A2">
      <w:pPr>
        <w:pStyle w:val="Bodytext20"/>
        <w:shd w:val="clear" w:color="auto" w:fill="auto"/>
        <w:spacing w:before="0" w:after="160" w:line="360" w:lineRule="auto"/>
        <w:ind w:firstLine="567"/>
        <w:rPr>
          <w:rStyle w:val="Bodytext210pt9"/>
          <w:sz w:val="24"/>
          <w:szCs w:val="24"/>
        </w:rPr>
      </w:pPr>
    </w:p>
    <w:p w14:paraId="44205BD1" w14:textId="77777777" w:rsidR="00B834A2" w:rsidRPr="00C41622" w:rsidRDefault="00B834A2" w:rsidP="00D22B70">
      <w:pPr>
        <w:pStyle w:val="Bodytext20"/>
        <w:shd w:val="clear" w:color="auto" w:fill="auto"/>
        <w:spacing w:before="0" w:after="160" w:line="360" w:lineRule="auto"/>
        <w:ind w:firstLine="567"/>
        <w:jc w:val="both"/>
        <w:rPr>
          <w:rStyle w:val="Bodytext210pt9"/>
          <w:sz w:val="24"/>
          <w:szCs w:val="24"/>
        </w:rPr>
      </w:pPr>
      <w:r w:rsidRPr="00B834A2">
        <w:rPr>
          <w:rStyle w:val="Bodytext210pt9"/>
          <w:sz w:val="24"/>
          <w:szCs w:val="24"/>
        </w:rPr>
        <w:t>ԿԻՐԱՌՈՒԹՅԱՆ ՈԼՈՐՏ</w:t>
      </w:r>
    </w:p>
    <w:p w14:paraId="286F282F" w14:textId="77777777" w:rsidR="00B834A2" w:rsidRPr="009217DE"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Ֆազային փոփոխություններ:</w:t>
      </w:r>
      <w:r w:rsidRPr="00B834A2">
        <w:rPr>
          <w:rStyle w:val="Bodytext210pt"/>
          <w:sz w:val="24"/>
          <w:szCs w:val="24"/>
        </w:rPr>
        <w:t xml:space="preserve"> Ջերմաստիճանով պամանավորված՝ նյութի հետ տեղի ունեցող ֆազային փոփոխությունների ժամանակ ջերմաստիճանի որոշումը, ջերմունակության </w:t>
      </w:r>
      <w:r>
        <w:rPr>
          <w:rStyle w:val="Bodytext210pt"/>
          <w:sz w:val="24"/>
          <w:szCs w:val="24"/>
        </w:rPr>
        <w:t>եւ</w:t>
      </w:r>
      <w:r w:rsidRPr="00B834A2">
        <w:rPr>
          <w:rStyle w:val="Bodytext210pt"/>
          <w:sz w:val="24"/>
          <w:szCs w:val="24"/>
        </w:rPr>
        <w:t xml:space="preserve"> էնթալպիայի փոփոխությունները: Աղյուսակ 2.1.2.46-1 ում բերված են հնարավոր դիտարկվող անցումները:</w:t>
      </w:r>
    </w:p>
    <w:p w14:paraId="4B6562F3" w14:textId="77777777" w:rsidR="005C74F8" w:rsidRPr="009217DE" w:rsidRDefault="005C74F8" w:rsidP="00D22B70">
      <w:pPr>
        <w:pStyle w:val="Bodytext20"/>
        <w:shd w:val="clear" w:color="auto" w:fill="auto"/>
        <w:spacing w:before="0" w:after="160" w:line="360" w:lineRule="auto"/>
        <w:ind w:firstLine="567"/>
        <w:jc w:val="both"/>
        <w:rPr>
          <w:rFonts w:ascii="Sylfaen" w:hAnsi="Sylfaen"/>
          <w:sz w:val="24"/>
          <w:szCs w:val="24"/>
        </w:rPr>
      </w:pPr>
    </w:p>
    <w:p w14:paraId="0B91CFE2" w14:textId="77777777" w:rsidR="00B834A2"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lastRenderedPageBreak/>
        <w:t>Քիմիական բաղադրության փոփոխություններ:</w:t>
      </w:r>
      <w:r w:rsidRPr="00B834A2">
        <w:rPr>
          <w:rStyle w:val="Bodytext210pt"/>
          <w:sz w:val="24"/>
          <w:szCs w:val="24"/>
        </w:rPr>
        <w:t xml:space="preserve"> Տվյալ պայմաններում ռեակցիայի ջերմությունը </w:t>
      </w:r>
      <w:r>
        <w:rPr>
          <w:rStyle w:val="Bodytext210pt"/>
          <w:sz w:val="24"/>
          <w:szCs w:val="24"/>
        </w:rPr>
        <w:t>եւ</w:t>
      </w:r>
      <w:r w:rsidRPr="00B834A2">
        <w:rPr>
          <w:rStyle w:val="Bodytext210pt"/>
          <w:sz w:val="24"/>
          <w:szCs w:val="24"/>
        </w:rPr>
        <w:t xml:space="preserve"> ջերմաստիճանը չափելով՝ որոշվում է, օրինակ՝ տարրալուծման կամ դեսոլվատացման կինետիկան: </w:t>
      </w:r>
    </w:p>
    <w:p w14:paraId="73E0CF24" w14:textId="77777777" w:rsidR="00163838" w:rsidRPr="003A4194" w:rsidRDefault="00163838" w:rsidP="00D22B70">
      <w:pPr>
        <w:pStyle w:val="Bodytext20"/>
        <w:shd w:val="clear" w:color="auto" w:fill="auto"/>
        <w:spacing w:before="0" w:after="160" w:line="360" w:lineRule="auto"/>
        <w:ind w:firstLine="567"/>
        <w:jc w:val="both"/>
        <w:rPr>
          <w:rStyle w:val="Bodytext210pt"/>
          <w:sz w:val="24"/>
          <w:szCs w:val="24"/>
        </w:rPr>
      </w:pPr>
    </w:p>
    <w:p w14:paraId="12778135" w14:textId="77777777" w:rsidR="00D22B70" w:rsidRPr="00B834A2" w:rsidRDefault="005C74F8"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Աղյուսակ 2.1.2.46.-1.</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4968"/>
        <w:gridCol w:w="4402"/>
      </w:tblGrid>
      <w:tr w:rsidR="00B834A2" w:rsidRPr="00B834A2" w14:paraId="7E7407CA" w14:textId="77777777" w:rsidTr="00D22B70">
        <w:trPr>
          <w:jc w:val="center"/>
        </w:trPr>
        <w:tc>
          <w:tcPr>
            <w:tcW w:w="4968" w:type="dxa"/>
            <w:tcBorders>
              <w:top w:val="single" w:sz="4" w:space="0" w:color="auto"/>
            </w:tcBorders>
            <w:shd w:val="clear" w:color="auto" w:fill="FFFFFF"/>
          </w:tcPr>
          <w:p w14:paraId="0DA47BBD" w14:textId="77777777" w:rsidR="00B834A2" w:rsidRPr="00D22B70" w:rsidRDefault="00B834A2" w:rsidP="005C74F8">
            <w:pPr>
              <w:pStyle w:val="Bodytext20"/>
              <w:shd w:val="clear" w:color="auto" w:fill="auto"/>
              <w:spacing w:before="0" w:line="240" w:lineRule="auto"/>
              <w:jc w:val="left"/>
              <w:rPr>
                <w:rFonts w:ascii="Sylfaen" w:hAnsi="Sylfaen"/>
                <w:sz w:val="20"/>
                <w:szCs w:val="24"/>
              </w:rPr>
            </w:pPr>
            <w:r w:rsidRPr="00D22B70">
              <w:rPr>
                <w:rStyle w:val="Bodytext210pt"/>
                <w:szCs w:val="24"/>
              </w:rPr>
              <w:t>Պինդ նյութ</w:t>
            </w:r>
            <w:r w:rsidR="00D22B70" w:rsidRPr="00D22B70">
              <w:rPr>
                <w:rStyle w:val="Bodytext210pt"/>
                <w:szCs w:val="24"/>
              </w:rPr>
              <w:t>-</w:t>
            </w:r>
            <w:r w:rsidRPr="00D22B70">
              <w:rPr>
                <w:rStyle w:val="Bodytext210pt"/>
                <w:szCs w:val="24"/>
              </w:rPr>
              <w:t>պինդ նյութ անցում՝</w:t>
            </w:r>
          </w:p>
        </w:tc>
        <w:tc>
          <w:tcPr>
            <w:tcW w:w="4402" w:type="dxa"/>
            <w:tcBorders>
              <w:top w:val="single" w:sz="4" w:space="0" w:color="auto"/>
            </w:tcBorders>
            <w:shd w:val="clear" w:color="auto" w:fill="FFFFFF"/>
            <w:vAlign w:val="bottom"/>
          </w:tcPr>
          <w:p w14:paraId="7A2BBEF3"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տարաձեւություն-բազմաձեւություն</w:t>
            </w:r>
          </w:p>
          <w:p w14:paraId="7B496071"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դեսոլվատացում</w:t>
            </w:r>
          </w:p>
          <w:p w14:paraId="4905CC1B"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ամորֆություն-բյուրեղայնություն</w:t>
            </w:r>
          </w:p>
        </w:tc>
      </w:tr>
      <w:tr w:rsidR="00B834A2" w:rsidRPr="00B834A2" w14:paraId="21FEA479" w14:textId="77777777" w:rsidTr="00D22B70">
        <w:trPr>
          <w:jc w:val="center"/>
        </w:trPr>
        <w:tc>
          <w:tcPr>
            <w:tcW w:w="4968" w:type="dxa"/>
            <w:shd w:val="clear" w:color="auto" w:fill="FFFFFF"/>
          </w:tcPr>
          <w:p w14:paraId="445BC45F" w14:textId="77777777" w:rsidR="00B834A2" w:rsidRPr="00D22B70" w:rsidRDefault="00B834A2" w:rsidP="005C74F8">
            <w:pPr>
              <w:pStyle w:val="Bodytext20"/>
              <w:shd w:val="clear" w:color="auto" w:fill="auto"/>
              <w:spacing w:before="0" w:line="240" w:lineRule="auto"/>
              <w:jc w:val="left"/>
              <w:rPr>
                <w:rFonts w:ascii="Sylfaen" w:hAnsi="Sylfaen"/>
                <w:sz w:val="20"/>
                <w:szCs w:val="24"/>
              </w:rPr>
            </w:pPr>
            <w:r w:rsidRPr="00D22B70">
              <w:rPr>
                <w:rStyle w:val="Bodytext210pt"/>
                <w:szCs w:val="24"/>
              </w:rPr>
              <w:t>Պինդ նյութ</w:t>
            </w:r>
            <w:r w:rsidR="00D22B70">
              <w:rPr>
                <w:rStyle w:val="Bodytext210pt"/>
                <w:szCs w:val="24"/>
              </w:rPr>
              <w:t>-</w:t>
            </w:r>
            <w:r w:rsidRPr="00D22B70">
              <w:rPr>
                <w:rStyle w:val="Bodytext210pt"/>
                <w:szCs w:val="24"/>
              </w:rPr>
              <w:t>հեղուկ նյութ անցում՝</w:t>
            </w:r>
          </w:p>
        </w:tc>
        <w:tc>
          <w:tcPr>
            <w:tcW w:w="4402" w:type="dxa"/>
            <w:shd w:val="clear" w:color="auto" w:fill="FFFFFF"/>
          </w:tcPr>
          <w:p w14:paraId="0F89513F"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հալում ապակի-անցում</w:t>
            </w:r>
          </w:p>
        </w:tc>
      </w:tr>
      <w:tr w:rsidR="00B834A2" w:rsidRPr="00B834A2" w14:paraId="56619E1F" w14:textId="77777777" w:rsidTr="00D22B70">
        <w:trPr>
          <w:jc w:val="center"/>
        </w:trPr>
        <w:tc>
          <w:tcPr>
            <w:tcW w:w="4968" w:type="dxa"/>
            <w:shd w:val="clear" w:color="auto" w:fill="FFFFFF"/>
          </w:tcPr>
          <w:p w14:paraId="40F86D7B" w14:textId="77777777" w:rsidR="00B834A2" w:rsidRPr="00D22B70" w:rsidRDefault="00B834A2" w:rsidP="005C74F8">
            <w:pPr>
              <w:pStyle w:val="Bodytext20"/>
              <w:shd w:val="clear" w:color="auto" w:fill="auto"/>
              <w:spacing w:before="0" w:line="240" w:lineRule="auto"/>
              <w:jc w:val="left"/>
              <w:rPr>
                <w:rFonts w:ascii="Sylfaen" w:hAnsi="Sylfaen"/>
                <w:sz w:val="20"/>
                <w:szCs w:val="24"/>
              </w:rPr>
            </w:pPr>
            <w:r w:rsidRPr="00D22B70">
              <w:rPr>
                <w:rStyle w:val="Bodytext210pt"/>
                <w:szCs w:val="24"/>
              </w:rPr>
              <w:t>Պինդ նյութ</w:t>
            </w:r>
            <w:r w:rsidR="00D22B70">
              <w:rPr>
                <w:rStyle w:val="Bodytext210pt"/>
                <w:szCs w:val="24"/>
              </w:rPr>
              <w:t>-</w:t>
            </w:r>
            <w:r w:rsidRPr="00D22B70">
              <w:rPr>
                <w:rStyle w:val="Bodytext210pt"/>
                <w:szCs w:val="24"/>
              </w:rPr>
              <w:t>գազ անցում՝</w:t>
            </w:r>
          </w:p>
        </w:tc>
        <w:tc>
          <w:tcPr>
            <w:tcW w:w="4402" w:type="dxa"/>
            <w:shd w:val="clear" w:color="auto" w:fill="FFFFFF"/>
          </w:tcPr>
          <w:p w14:paraId="158CD204"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սուբլիմում</w:t>
            </w:r>
          </w:p>
        </w:tc>
      </w:tr>
      <w:tr w:rsidR="00B834A2" w:rsidRPr="00B834A2" w14:paraId="0EC731CB" w14:textId="77777777" w:rsidTr="00D22B70">
        <w:trPr>
          <w:jc w:val="center"/>
        </w:trPr>
        <w:tc>
          <w:tcPr>
            <w:tcW w:w="4968" w:type="dxa"/>
            <w:shd w:val="clear" w:color="auto" w:fill="FFFFFF"/>
          </w:tcPr>
          <w:p w14:paraId="79FBEDB7" w14:textId="77777777" w:rsidR="00B834A2" w:rsidRPr="00D22B70" w:rsidRDefault="00B834A2" w:rsidP="005C74F8">
            <w:pPr>
              <w:pStyle w:val="Bodytext20"/>
              <w:shd w:val="clear" w:color="auto" w:fill="auto"/>
              <w:spacing w:before="0" w:line="240" w:lineRule="auto"/>
              <w:jc w:val="left"/>
              <w:rPr>
                <w:rFonts w:ascii="Sylfaen" w:hAnsi="Sylfaen"/>
                <w:sz w:val="20"/>
                <w:szCs w:val="24"/>
              </w:rPr>
            </w:pPr>
            <w:r w:rsidRPr="00D22B70">
              <w:rPr>
                <w:rStyle w:val="Bodytext210pt"/>
                <w:szCs w:val="24"/>
              </w:rPr>
              <w:t>Հեղուկ-պինդ նյութ անցում՝</w:t>
            </w:r>
          </w:p>
        </w:tc>
        <w:tc>
          <w:tcPr>
            <w:tcW w:w="4402" w:type="dxa"/>
            <w:shd w:val="clear" w:color="auto" w:fill="FFFFFF"/>
          </w:tcPr>
          <w:p w14:paraId="50DB793E"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սառչում վերաբյուրեղացում ապակի-անցում</w:t>
            </w:r>
          </w:p>
        </w:tc>
      </w:tr>
      <w:tr w:rsidR="00B834A2" w:rsidRPr="00B834A2" w14:paraId="22B68485" w14:textId="77777777" w:rsidTr="00D22B70">
        <w:trPr>
          <w:jc w:val="center"/>
        </w:trPr>
        <w:tc>
          <w:tcPr>
            <w:tcW w:w="4968" w:type="dxa"/>
            <w:tcBorders>
              <w:bottom w:val="single" w:sz="4" w:space="0" w:color="auto"/>
            </w:tcBorders>
            <w:shd w:val="clear" w:color="auto" w:fill="FFFFFF"/>
            <w:vAlign w:val="bottom"/>
          </w:tcPr>
          <w:p w14:paraId="0ACDEC4D" w14:textId="77777777" w:rsidR="00B834A2" w:rsidRPr="00D22B70" w:rsidRDefault="00B834A2" w:rsidP="005C74F8">
            <w:pPr>
              <w:pStyle w:val="Bodytext20"/>
              <w:shd w:val="clear" w:color="auto" w:fill="auto"/>
              <w:spacing w:before="0" w:line="240" w:lineRule="auto"/>
              <w:jc w:val="left"/>
              <w:rPr>
                <w:rFonts w:ascii="Sylfaen" w:hAnsi="Sylfaen"/>
                <w:sz w:val="20"/>
                <w:szCs w:val="24"/>
              </w:rPr>
            </w:pPr>
            <w:r w:rsidRPr="00D22B70">
              <w:rPr>
                <w:rStyle w:val="Bodytext210pt"/>
                <w:szCs w:val="24"/>
              </w:rPr>
              <w:t>Հեղուկ-գազ անցում՝</w:t>
            </w:r>
          </w:p>
        </w:tc>
        <w:tc>
          <w:tcPr>
            <w:tcW w:w="4402" w:type="dxa"/>
            <w:tcBorders>
              <w:bottom w:val="single" w:sz="4" w:space="0" w:color="auto"/>
            </w:tcBorders>
            <w:shd w:val="clear" w:color="auto" w:fill="FFFFFF"/>
            <w:vAlign w:val="bottom"/>
          </w:tcPr>
          <w:p w14:paraId="18EEF841" w14:textId="77777777" w:rsidR="00B834A2" w:rsidRPr="00D22B70" w:rsidRDefault="00B834A2" w:rsidP="005C74F8">
            <w:pPr>
              <w:pStyle w:val="Bodytext20"/>
              <w:shd w:val="clear" w:color="auto" w:fill="auto"/>
              <w:spacing w:before="0" w:line="240" w:lineRule="auto"/>
              <w:rPr>
                <w:rFonts w:ascii="Sylfaen" w:hAnsi="Sylfaen"/>
                <w:sz w:val="20"/>
                <w:szCs w:val="24"/>
              </w:rPr>
            </w:pPr>
            <w:r w:rsidRPr="00D22B70">
              <w:rPr>
                <w:rStyle w:val="Bodytext210pt"/>
                <w:szCs w:val="24"/>
              </w:rPr>
              <w:t>գոլորշիացում</w:t>
            </w:r>
          </w:p>
        </w:tc>
      </w:tr>
    </w:tbl>
    <w:p w14:paraId="4F06B0EA" w14:textId="77777777" w:rsidR="00B834A2" w:rsidRPr="00D22B70" w:rsidRDefault="00B834A2" w:rsidP="00B834A2">
      <w:pPr>
        <w:spacing w:after="160" w:line="360" w:lineRule="auto"/>
        <w:rPr>
          <w:sz w:val="20"/>
        </w:rPr>
      </w:pPr>
    </w:p>
    <w:p w14:paraId="4EBDEF9A" w14:textId="77777777" w:rsidR="00B834A2" w:rsidRPr="00C41622" w:rsidRDefault="00B834A2" w:rsidP="00D22B70">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 xml:space="preserve">Ֆազային հավասարակշռության տրամագրերի կառուցման համար օգտագործումը: </w:t>
      </w:r>
      <w:r w:rsidRPr="00B834A2">
        <w:rPr>
          <w:rStyle w:val="Bodytext210pt"/>
          <w:sz w:val="24"/>
          <w:szCs w:val="24"/>
        </w:rPr>
        <w:t>Պինդ խառնուրդների համար ֆազային հավասարակշռության տրամագրերի կառուցում: Ֆազային տրամագրի ստեղծումը կարող է կար</w:t>
      </w:r>
      <w:r>
        <w:rPr>
          <w:rStyle w:val="Bodytext210pt"/>
          <w:sz w:val="24"/>
          <w:szCs w:val="24"/>
        </w:rPr>
        <w:t>եւ</w:t>
      </w:r>
      <w:r w:rsidRPr="00B834A2">
        <w:rPr>
          <w:rStyle w:val="Bodytext210pt"/>
          <w:sz w:val="24"/>
          <w:szCs w:val="24"/>
        </w:rPr>
        <w:t xml:space="preserve">որ փուլ լինել լիոֆիլացման պրոցեսի նախնական մշակման </w:t>
      </w:r>
      <w:r>
        <w:rPr>
          <w:rStyle w:val="Bodytext210pt"/>
          <w:sz w:val="24"/>
          <w:szCs w:val="24"/>
        </w:rPr>
        <w:t>եւ</w:t>
      </w:r>
      <w:r w:rsidRPr="00B834A2">
        <w:rPr>
          <w:rStyle w:val="Bodytext210pt"/>
          <w:sz w:val="24"/>
          <w:szCs w:val="24"/>
        </w:rPr>
        <w:t xml:space="preserve"> օպտիմալացման ժամանակ:</w:t>
      </w:r>
    </w:p>
    <w:p w14:paraId="679DC4AE" w14:textId="77777777" w:rsidR="00B834A2" w:rsidRPr="00B834A2" w:rsidRDefault="00B834A2" w:rsidP="00D22B70">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Հաճախականության որոշումը:</w:t>
      </w:r>
      <w:r w:rsidRPr="00B834A2">
        <w:rPr>
          <w:rStyle w:val="Bodytext210pt"/>
          <w:sz w:val="24"/>
          <w:szCs w:val="24"/>
        </w:rPr>
        <w:t xml:space="preserve"> ԴՍԿ-ի օգնությամբ հալման ջերմության </w:t>
      </w:r>
      <w:r>
        <w:rPr>
          <w:rStyle w:val="Bodytext210pt"/>
          <w:sz w:val="24"/>
          <w:szCs w:val="24"/>
        </w:rPr>
        <w:t>եւ</w:t>
      </w:r>
      <w:r w:rsidRPr="00B834A2">
        <w:rPr>
          <w:rStyle w:val="Bodytext210pt"/>
          <w:sz w:val="24"/>
          <w:szCs w:val="24"/>
        </w:rPr>
        <w:t xml:space="preserve"> հալման ջերմաստիճանի չափումը հնարավոր է դարձնում մեկ տրամագրով նյութում խառնուկների պարունակության որոշումը՝ մի քանի միլիգրամ նմուշի օգտագործմամբ </w:t>
      </w:r>
      <w:r>
        <w:rPr>
          <w:rStyle w:val="Bodytext210pt"/>
          <w:sz w:val="24"/>
          <w:szCs w:val="24"/>
        </w:rPr>
        <w:t>եւ</w:t>
      </w:r>
      <w:r w:rsidRPr="00B834A2">
        <w:rPr>
          <w:rStyle w:val="Bodytext210pt"/>
          <w:sz w:val="24"/>
          <w:szCs w:val="24"/>
        </w:rPr>
        <w:t xml:space="preserve"> առանց իրական ջերմաստիճանի կրկնակի ճշգրիտ չափումների անցկացման անհրաժեշտության: </w:t>
      </w:r>
    </w:p>
    <w:p w14:paraId="2A8F29F8" w14:textId="77777777" w:rsidR="00B834A2" w:rsidRPr="00530993"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Տեսականորեն հաստատուն ճնշման դեպքում լրիվ մաքուր բնուրեղային նյութի հալումը բնութագրվում է հալման ջերմաստիճանին համապատասխանող անսահման նեղ ընդգրկույթում հալման ջերմությամբ: Այդ ընդգրկույթի ընդլայնումը խառնուկների առկայության զգայուն ցուցիչ է: Այսպիսով, մի քանի տասնորդական տոկոսով տարբերվող խառնուկների պարունակությամբ նույն նյութի նմուշները փորձարկելիս ստանում են տեսողականորեն իրարից տարբերվող ջերմային տրամագրեր (տես նկար 2.1.2.46.-2):</w:t>
      </w:r>
    </w:p>
    <w:p w14:paraId="5149D201" w14:textId="77777777" w:rsidR="00B834A2" w:rsidRPr="00B834A2" w:rsidRDefault="00B834A2" w:rsidP="002B742F">
      <w:pPr>
        <w:spacing w:after="160" w:line="360" w:lineRule="auto"/>
        <w:ind w:firstLine="567"/>
        <w:jc w:val="both"/>
      </w:pPr>
      <w:r w:rsidRPr="00B834A2">
        <w:rPr>
          <w:rStyle w:val="Bodytext210pt"/>
          <w:sz w:val="24"/>
          <w:szCs w:val="24"/>
        </w:rPr>
        <w:lastRenderedPageBreak/>
        <w:t>ԴՍԿ-ի օգնությամբ մոլային մաքրության որոշումը հիմնված է բինար համակարգում կոնցենտրացիաների (ոչ ակտիվությունների) նկատմամբ Վանթ Հոֆֆի հավասարման ինտեգրալ ձ</w:t>
      </w:r>
      <w:r>
        <w:rPr>
          <w:rStyle w:val="Bodytext210pt"/>
          <w:sz w:val="24"/>
          <w:szCs w:val="24"/>
        </w:rPr>
        <w:t>եւ</w:t>
      </w:r>
      <w:r w:rsidRPr="00B834A2">
        <w:rPr>
          <w:rStyle w:val="Bodytext210pt"/>
          <w:sz w:val="24"/>
          <w:szCs w:val="24"/>
        </w:rPr>
        <w:t>ի մաթեմատիկական մոտարկման կիրառման վրա</w:t>
      </w:r>
      <w:r w:rsidR="006E41D4">
        <w:rPr>
          <w:rStyle w:val="Bodytext210pt"/>
          <w:sz w:val="24"/>
          <w:szCs w:val="24"/>
        </w:rPr>
        <w:t xml:space="preserve"> [ln(1</w:t>
      </w:r>
      <w:r w:rsidRPr="00B834A2">
        <w:rPr>
          <w:rStyle w:val="Bodytext210pt"/>
          <w:sz w:val="24"/>
          <w:szCs w:val="24"/>
        </w:rPr>
        <w:t>-</w:t>
      </w:r>
      <w:r w:rsidRPr="00B834A2">
        <w:rPr>
          <w:rStyle w:val="Bodytext210pt8"/>
          <w:sz w:val="24"/>
          <w:szCs w:val="24"/>
        </w:rPr>
        <w:t>х</w:t>
      </w:r>
      <w:r w:rsidRPr="00B834A2">
        <w:rPr>
          <w:rStyle w:val="Bodytext210pt"/>
          <w:sz w:val="24"/>
          <w:szCs w:val="24"/>
          <w:vertAlign w:val="subscript"/>
        </w:rPr>
        <w:t>2</w:t>
      </w:r>
      <w:r w:rsidRPr="00B834A2">
        <w:rPr>
          <w:rStyle w:val="Bodytext210pt"/>
          <w:sz w:val="24"/>
          <w:szCs w:val="24"/>
        </w:rPr>
        <w:t>) = -</w:t>
      </w:r>
      <w:r w:rsidRPr="00B834A2">
        <w:rPr>
          <w:rStyle w:val="Bodytext210pt8"/>
          <w:sz w:val="24"/>
          <w:szCs w:val="24"/>
        </w:rPr>
        <w:t>x</w:t>
      </w:r>
      <w:r w:rsidRPr="00B834A2">
        <w:rPr>
          <w:rStyle w:val="Bodytext210pt"/>
          <w:sz w:val="24"/>
          <w:szCs w:val="24"/>
          <w:vertAlign w:val="subscript"/>
        </w:rPr>
        <w:t>2</w:t>
      </w:r>
      <w:r w:rsidRPr="00B834A2">
        <w:rPr>
          <w:rStyle w:val="Bodytext210pt"/>
          <w:sz w:val="24"/>
          <w:szCs w:val="24"/>
        </w:rPr>
        <w:t xml:space="preserve"> и </w:t>
      </w:r>
      <w:r w:rsidRPr="00B834A2">
        <w:rPr>
          <w:rStyle w:val="Bodytext210pt8"/>
          <w:sz w:val="24"/>
          <w:szCs w:val="24"/>
        </w:rPr>
        <w:t>T</w:t>
      </w:r>
      <w:r w:rsidRPr="00B834A2">
        <w:rPr>
          <w:rStyle w:val="Bodytext210pt"/>
          <w:sz w:val="24"/>
          <w:szCs w:val="24"/>
        </w:rPr>
        <w:t xml:space="preserve"> </w:t>
      </w:r>
      <w:r w:rsidRPr="00B834A2">
        <w:rPr>
          <w:rStyle w:val="Bodytext210pt8"/>
          <w:sz w:val="24"/>
          <w:szCs w:val="24"/>
        </w:rPr>
        <w:t>T</w:t>
      </w:r>
      <w:r w:rsidRPr="00B834A2">
        <w:rPr>
          <w:rStyle w:val="Bodytext210pt"/>
          <w:sz w:val="24"/>
          <w:szCs w:val="24"/>
          <w:vertAlign w:val="subscript"/>
        </w:rPr>
        <w:t>0</w:t>
      </w:r>
      <w:r w:rsidRPr="00B834A2">
        <w:rPr>
          <w:rStyle w:val="Bodytext210pt"/>
          <w:sz w:val="24"/>
          <w:szCs w:val="24"/>
        </w:rPr>
        <w:t xml:space="preserve"> </w:t>
      </w:r>
      <w:r w:rsidRPr="00B834A2">
        <w:rPr>
          <w:rStyle w:val="Bodytext210pt7"/>
          <w:sz w:val="24"/>
          <w:szCs w:val="24"/>
        </w:rPr>
        <w:t>≈</w:t>
      </w:r>
      <w:r w:rsidRPr="00B834A2">
        <w:rPr>
          <w:rStyle w:val="Bodytext210pt"/>
          <w:sz w:val="24"/>
          <w:szCs w:val="24"/>
        </w:rPr>
        <w:t xml:space="preserve"> </w:t>
      </w:r>
      <w:r w:rsidRPr="00B834A2">
        <w:rPr>
          <w:rStyle w:val="Bodytext210pt8"/>
          <w:sz w:val="24"/>
          <w:szCs w:val="24"/>
        </w:rPr>
        <w:t>T</w:t>
      </w:r>
      <w:r w:rsidRPr="00B834A2">
        <w:rPr>
          <w:rStyle w:val="Bodytext210pt"/>
          <w:sz w:val="24"/>
          <w:szCs w:val="24"/>
          <w:vertAlign w:val="subscript"/>
        </w:rPr>
        <w:t>0</w:t>
      </w:r>
      <w:r w:rsidRPr="00B834A2">
        <w:rPr>
          <w:rStyle w:val="Bodytext210pt"/>
          <w:sz w:val="24"/>
          <w:szCs w:val="24"/>
          <w:vertAlign w:val="superscript"/>
        </w:rPr>
        <w:t>2</w:t>
      </w:r>
      <w:r w:rsidRPr="00B834A2">
        <w:rPr>
          <w:rStyle w:val="Bodytext210pt"/>
          <w:sz w:val="24"/>
          <w:szCs w:val="24"/>
        </w:rPr>
        <w:t>]: Խառնուկների ոչ մեծ պարունակությունների (х</w:t>
      </w:r>
      <w:r w:rsidRPr="00B834A2">
        <w:rPr>
          <w:rStyle w:val="Bodytext210pt"/>
          <w:sz w:val="24"/>
          <w:szCs w:val="24"/>
          <w:vertAlign w:val="subscript"/>
        </w:rPr>
        <w:t>2</w:t>
      </w:r>
      <w:r w:rsidRPr="00B834A2">
        <w:rPr>
          <w:rStyle w:val="Bodytext210pt"/>
          <w:sz w:val="24"/>
          <w:szCs w:val="24"/>
        </w:rPr>
        <w:t xml:space="preserve"> &lt;&lt;1) </w:t>
      </w:r>
      <w:r>
        <w:rPr>
          <w:rStyle w:val="Bodytext210pt"/>
          <w:sz w:val="24"/>
          <w:szCs w:val="24"/>
        </w:rPr>
        <w:t>եւ</w:t>
      </w:r>
      <w:r w:rsidRPr="00B834A2">
        <w:rPr>
          <w:rStyle w:val="Bodytext210pt"/>
          <w:sz w:val="24"/>
          <w:szCs w:val="24"/>
        </w:rPr>
        <w:t xml:space="preserve"> հալման ջերմաստիճանին մոտ ջերմաստիճանի արժեքների համար հավասարումը կարող է ներկայացվել այնպես, ինչպես բերված է ստոր</w:t>
      </w:r>
      <w:r>
        <w:rPr>
          <w:rStyle w:val="Bodytext210pt"/>
          <w:sz w:val="24"/>
          <w:szCs w:val="24"/>
        </w:rPr>
        <w:t>եւ</w:t>
      </w:r>
      <w:r w:rsidRPr="00B834A2">
        <w:rPr>
          <w:rStyle w:val="Bodytext210pt"/>
          <w:sz w:val="24"/>
          <w:szCs w:val="24"/>
        </w:rPr>
        <w:t xml:space="preserve">, որտեղ նմուշի ջերմաստիճանը </w:t>
      </w:r>
      <w:r>
        <w:rPr>
          <w:rStyle w:val="Bodytext210pt"/>
          <w:sz w:val="24"/>
          <w:szCs w:val="24"/>
        </w:rPr>
        <w:t>եւ</w:t>
      </w:r>
      <w:r w:rsidRPr="00B834A2">
        <w:rPr>
          <w:rStyle w:val="Bodytext210pt"/>
          <w:sz w:val="24"/>
          <w:szCs w:val="24"/>
        </w:rPr>
        <w:t xml:space="preserve"> խառնուկի մոլային մասը փոփոխական են՝</w:t>
      </w:r>
    </w:p>
    <w:p w14:paraId="180A5213" w14:textId="77777777" w:rsidR="00B834A2" w:rsidRPr="00B834A2" w:rsidRDefault="00000000" w:rsidP="00B834A2">
      <w:pPr>
        <w:spacing w:after="160" w:line="360" w:lineRule="auto"/>
        <w:jc w:val="center"/>
      </w:pPr>
      <w:r>
        <w:rPr>
          <w:i/>
          <w:iCs/>
          <w:noProof/>
        </w:rPr>
        <w:pict w14:anchorId="0168E22D">
          <v:group id="_x0000_s1065" style="position:absolute;left:0;text-align:left;margin-left:59.75pt;margin-top:1.1pt;width:345.65pt;height:214.5pt;z-index:251663360" coordorigin="2613,1440" coordsize="6913,4290">
            <v:shape id="_x0000_s1066" type="#_x0000_t202" style="position:absolute;left:2613;top:1485;width:1992;height:330;mso-width-relative:margin;mso-height-relative:margin" fillcolor="white [3212]" strokecolor="white [3212]">
              <v:textbox style="mso-next-textbox:#_x0000_s1066" inset="0,0,0,0">
                <w:txbxContent>
                  <w:p w14:paraId="222C6CCF" w14:textId="77777777" w:rsidR="008D6E8B" w:rsidRPr="00B35895" w:rsidRDefault="008D6E8B" w:rsidP="00B834A2">
                    <w:pPr>
                      <w:jc w:val="center"/>
                      <w:rPr>
                        <w:sz w:val="20"/>
                        <w:szCs w:val="20"/>
                      </w:rPr>
                    </w:pPr>
                    <w:r>
                      <w:rPr>
                        <w:sz w:val="20"/>
                      </w:rPr>
                      <w:t>Ջերմության քանակ</w:t>
                    </w:r>
                  </w:p>
                </w:txbxContent>
              </v:textbox>
            </v:shape>
            <v:shape id="_x0000_s1067" type="#_x0000_t202" style="position:absolute;left:2613;top:1815;width:879;height:330;mso-width-relative:margin;mso-height-relative:margin" fillcolor="white [3212]" strokecolor="white [3212]">
              <v:textbox style="mso-next-textbox:#_x0000_s1067" inset="0,0,0,0">
                <w:txbxContent>
                  <w:p w14:paraId="2F597B77" w14:textId="77777777" w:rsidR="008D6E8B" w:rsidRPr="00B36F2B" w:rsidRDefault="008D6E8B" w:rsidP="00B834A2">
                    <w:pPr>
                      <w:jc w:val="center"/>
                      <w:rPr>
                        <w:sz w:val="20"/>
                        <w:szCs w:val="20"/>
                      </w:rPr>
                    </w:pPr>
                    <w:r>
                      <w:rPr>
                        <w:sz w:val="20"/>
                      </w:rPr>
                      <w:t>(մՋ/վ)</w:t>
                    </w:r>
                  </w:p>
                </w:txbxContent>
              </v:textbox>
            </v:shape>
            <v:shape id="_x0000_s1068" type="#_x0000_t202" style="position:absolute;left:7941;top:5160;width:1239;height:570;mso-width-relative:margin;mso-height-relative:margin" fillcolor="white [3212]" strokecolor="white [3212]">
              <v:textbox style="mso-next-textbox:#_x0000_s1068" inset="0,0,0,0">
                <w:txbxContent>
                  <w:p w14:paraId="02A4C838" w14:textId="77777777" w:rsidR="008D6E8B" w:rsidRPr="002B742F" w:rsidRDefault="008D6E8B" w:rsidP="00B834A2">
                    <w:pPr>
                      <w:jc w:val="right"/>
                      <w:rPr>
                        <w:sz w:val="16"/>
                        <w:szCs w:val="20"/>
                      </w:rPr>
                    </w:pPr>
                    <w:r w:rsidRPr="002B742F">
                      <w:rPr>
                        <w:sz w:val="16"/>
                      </w:rPr>
                      <w:t>Ջերմաստիճան (</w:t>
                    </w:r>
                    <w:r w:rsidRPr="002B742F">
                      <w:rPr>
                        <w:rFonts w:ascii="Times New Roman" w:hAnsi="Times New Roman"/>
                        <w:sz w:val="16"/>
                        <w:vertAlign w:val="superscript"/>
                      </w:rPr>
                      <w:t>○</w:t>
                    </w:r>
                    <w:r w:rsidRPr="002B742F">
                      <w:rPr>
                        <w:sz w:val="16"/>
                      </w:rPr>
                      <w:t>C)</w:t>
                    </w:r>
                  </w:p>
                </w:txbxContent>
              </v:textbox>
            </v:shape>
            <v:shape id="_x0000_s1069" type="#_x0000_t202" style="position:absolute;left:5754;top:1440;width:816;height:525;mso-width-relative:margin;mso-height-relative:margin" fillcolor="white [3212]" strokecolor="white [3212]">
              <v:textbox style="mso-next-textbox:#_x0000_s1069" inset="0,0,0,0">
                <w:txbxContent>
                  <w:p w14:paraId="05C472EB" w14:textId="77777777" w:rsidR="008D6E8B" w:rsidRPr="00484DF6" w:rsidRDefault="008D6E8B" w:rsidP="00B834A2">
                    <w:pPr>
                      <w:jc w:val="center"/>
                      <w:rPr>
                        <w:sz w:val="18"/>
                        <w:szCs w:val="20"/>
                      </w:rPr>
                    </w:pPr>
                    <w:r>
                      <w:rPr>
                        <w:sz w:val="18"/>
                      </w:rPr>
                      <w:t xml:space="preserve">Մոտ 1 </w:t>
                    </w:r>
                    <w:r>
                      <w:rPr>
                        <w:rFonts w:ascii="Times New Roman" w:hAnsi="Times New Roman"/>
                        <w:sz w:val="18"/>
                        <w:vertAlign w:val="superscript"/>
                      </w:rPr>
                      <w:t>○</w:t>
                    </w:r>
                    <w:r>
                      <w:rPr>
                        <w:sz w:val="18"/>
                      </w:rPr>
                      <w:t>C</w:t>
                    </w:r>
                  </w:p>
                </w:txbxContent>
              </v:textbox>
            </v:shape>
            <v:shape id="_x0000_s1070" type="#_x0000_t202" style="position:absolute;left:9180;top:3017;width:346;height:1304;mso-width-relative:margin;mso-height-relative:margin" fillcolor="white [3212]" strokecolor="white [3212]">
              <v:textbox style="layout-flow:vertical;mso-layout-flow-alt:bottom-to-top;mso-next-textbox:#_x0000_s1070" inset="0,0,0,0">
                <w:txbxContent>
                  <w:p w14:paraId="3303BDB0" w14:textId="77777777" w:rsidR="008D6E8B" w:rsidRPr="00932AB5" w:rsidRDefault="008D6E8B" w:rsidP="00B834A2">
                    <w:pPr>
                      <w:jc w:val="center"/>
                      <w:rPr>
                        <w:sz w:val="20"/>
                      </w:rPr>
                    </w:pPr>
                    <w:r>
                      <w:rPr>
                        <w:sz w:val="20"/>
                      </w:rPr>
                      <w:t>Էնդոթերմ</w:t>
                    </w:r>
                  </w:p>
                </w:txbxContent>
              </v:textbox>
            </v:shape>
          </v:group>
        </w:pict>
      </w:r>
      <w:r w:rsidR="00B834A2" w:rsidRPr="00B834A2">
        <w:rPr>
          <w:noProof/>
          <w:lang w:val="en-US" w:eastAsia="en-US" w:bidi="ar-SA"/>
        </w:rPr>
        <w:drawing>
          <wp:inline distT="0" distB="0" distL="0" distR="0" wp14:anchorId="2FB99078" wp14:editId="7CE8274E">
            <wp:extent cx="5931535" cy="2974975"/>
            <wp:effectExtent l="19050" t="0" r="0" b="0"/>
            <wp:docPr id="4" name="Picture 4" descr="D:\2 VERSION\14.07.115-0003-2023-B_for final formatting\02.2023\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 VERSION\14.07.115-0003-2023-B_for final formatting\02.2023\media\image2.jpeg"/>
                    <pic:cNvPicPr>
                      <a:picLocks noChangeAspect="1" noChangeArrowheads="1"/>
                    </pic:cNvPicPr>
                  </pic:nvPicPr>
                  <pic:blipFill>
                    <a:blip r:embed="rId13" cstate="print"/>
                    <a:srcRect/>
                    <a:stretch>
                      <a:fillRect/>
                    </a:stretch>
                  </pic:blipFill>
                  <pic:spPr bwMode="auto">
                    <a:xfrm>
                      <a:off x="0" y="0"/>
                      <a:ext cx="5931535" cy="2974975"/>
                    </a:xfrm>
                    <a:prstGeom prst="rect">
                      <a:avLst/>
                    </a:prstGeom>
                    <a:noFill/>
                    <a:ln w="9525">
                      <a:noFill/>
                      <a:miter lim="800000"/>
                      <a:headEnd/>
                      <a:tailEnd/>
                    </a:ln>
                  </pic:spPr>
                </pic:pic>
              </a:graphicData>
            </a:graphic>
          </wp:inline>
        </w:drawing>
      </w:r>
    </w:p>
    <w:p w14:paraId="5EFB50FB" w14:textId="77777777" w:rsidR="00B834A2" w:rsidRPr="00123D1A" w:rsidRDefault="00B834A2" w:rsidP="00B834A2">
      <w:pPr>
        <w:pStyle w:val="Bodytext30"/>
        <w:shd w:val="clear" w:color="auto" w:fill="auto"/>
        <w:spacing w:before="0" w:after="160" w:line="360" w:lineRule="auto"/>
        <w:jc w:val="left"/>
        <w:rPr>
          <w:rFonts w:ascii="Sylfaen" w:hAnsi="Sylfaen"/>
          <w:i/>
          <w:sz w:val="20"/>
          <w:szCs w:val="24"/>
        </w:rPr>
      </w:pPr>
      <w:r w:rsidRPr="00123D1A">
        <w:rPr>
          <w:rStyle w:val="Bodytext310pt"/>
          <w:i w:val="0"/>
          <w:szCs w:val="24"/>
        </w:rPr>
        <w:t>Նկար 2.1.2.46.-2.</w:t>
      </w:r>
      <w:r w:rsidRPr="002B742F">
        <w:rPr>
          <w:rStyle w:val="Bodytext310pt"/>
          <w:szCs w:val="24"/>
        </w:rPr>
        <w:t xml:space="preserve"> </w:t>
      </w:r>
      <w:r w:rsidR="005C74F8" w:rsidRPr="00123D1A">
        <w:rPr>
          <w:rStyle w:val="Bodytext310pt"/>
          <w:i w:val="0"/>
          <w:szCs w:val="24"/>
        </w:rPr>
        <w:t>-</w:t>
      </w:r>
      <w:r w:rsidRPr="00123D1A">
        <w:rPr>
          <w:rStyle w:val="Bodytext310pt"/>
          <w:i w:val="0"/>
          <w:szCs w:val="24"/>
        </w:rPr>
        <w:t xml:space="preserve"> </w:t>
      </w:r>
      <w:r w:rsidRPr="00123D1A">
        <w:rPr>
          <w:rStyle w:val="Bodytext310pt1"/>
          <w:szCs w:val="24"/>
        </w:rPr>
        <w:t>Նյութի ջերմագիրը՝ մաքրությամբ պայմանավորված</w:t>
      </w:r>
    </w:p>
    <w:p w14:paraId="6A5EA238" w14:textId="77777777" w:rsidR="00B834A2" w:rsidRPr="00B834A2" w:rsidRDefault="00B834A2" w:rsidP="00C41622">
      <w:pPr>
        <w:spacing w:after="160" w:line="336" w:lineRule="auto"/>
      </w:pPr>
    </w:p>
    <w:p w14:paraId="4B8233E8" w14:textId="77777777" w:rsidR="006E41D4" w:rsidRPr="00097504" w:rsidRDefault="00B834A2" w:rsidP="00C41622">
      <w:pPr>
        <w:pStyle w:val="Bodytext20"/>
        <w:shd w:val="clear" w:color="auto" w:fill="auto"/>
        <w:spacing w:before="0" w:after="160" w:line="336" w:lineRule="auto"/>
        <w:ind w:firstLine="567"/>
        <w:jc w:val="both"/>
        <w:rPr>
          <w:rStyle w:val="Bodytext210pt"/>
          <w:sz w:val="24"/>
          <w:szCs w:val="24"/>
        </w:rPr>
      </w:pPr>
      <w:r w:rsidRPr="00B834A2">
        <w:rPr>
          <w:rStyle w:val="Bodytext210pt"/>
          <w:sz w:val="24"/>
          <w:szCs w:val="24"/>
        </w:rPr>
        <w:t xml:space="preserve">որտեղ՝ </w:t>
      </w:r>
    </w:p>
    <w:p w14:paraId="5D0E24E5"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Style w:val="Bodytext210pt8"/>
          <w:sz w:val="24"/>
          <w:szCs w:val="24"/>
        </w:rPr>
        <w:t>Т-ն</w:t>
      </w:r>
      <w:r w:rsidRPr="00B834A2">
        <w:rPr>
          <w:rStyle w:val="Bodytext210pt"/>
          <w:sz w:val="24"/>
          <w:szCs w:val="24"/>
        </w:rPr>
        <w:t xml:space="preserve"> ՝ նմուշի ջերմաստիճանն է՝ կելվիններով.</w:t>
      </w:r>
    </w:p>
    <w:p w14:paraId="02AA4853"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Style w:val="Bodytext210pt8"/>
          <w:sz w:val="24"/>
          <w:szCs w:val="24"/>
        </w:rPr>
        <w:t>Т</w:t>
      </w:r>
      <w:r w:rsidRPr="00B834A2">
        <w:rPr>
          <w:rStyle w:val="Bodytext210pt8"/>
          <w:sz w:val="24"/>
          <w:szCs w:val="24"/>
          <w:vertAlign w:val="subscript"/>
        </w:rPr>
        <w:t>0-ն</w:t>
      </w:r>
      <w:r w:rsidRPr="00B834A2">
        <w:rPr>
          <w:rStyle w:val="Bodytext210pt"/>
          <w:sz w:val="24"/>
          <w:szCs w:val="24"/>
        </w:rPr>
        <w:t>՝ քիմիապես մաքուր նյութի հալման ջերմաստիճանը՝ կելվիններով.</w:t>
      </w:r>
    </w:p>
    <w:p w14:paraId="59A5578A" w14:textId="77777777" w:rsidR="00B834A2" w:rsidRPr="002B742F" w:rsidRDefault="00B834A2" w:rsidP="00C41622">
      <w:pPr>
        <w:pStyle w:val="Bodytext20"/>
        <w:shd w:val="clear" w:color="auto" w:fill="auto"/>
        <w:spacing w:before="0" w:after="160" w:line="336" w:lineRule="auto"/>
        <w:ind w:firstLine="567"/>
        <w:jc w:val="both"/>
        <w:rPr>
          <w:rFonts w:ascii="Sylfaen" w:hAnsi="Sylfaen"/>
          <w:spacing w:val="-6"/>
          <w:sz w:val="24"/>
          <w:szCs w:val="24"/>
        </w:rPr>
      </w:pPr>
      <w:r w:rsidRPr="002B742F">
        <w:rPr>
          <w:rStyle w:val="Bodytext210pt8"/>
          <w:spacing w:val="-6"/>
          <w:sz w:val="24"/>
          <w:szCs w:val="24"/>
        </w:rPr>
        <w:t>R-ն</w:t>
      </w:r>
      <w:r w:rsidRPr="002B742F">
        <w:rPr>
          <w:rStyle w:val="Bodytext210pt"/>
          <w:spacing w:val="-6"/>
          <w:sz w:val="24"/>
          <w:szCs w:val="24"/>
        </w:rPr>
        <w:t>՝ իդեալական գազերի համար գազային հաստատունը՝ ջոուլ-կելվին</w:t>
      </w:r>
      <w:r w:rsidRPr="002B742F">
        <w:rPr>
          <w:rStyle w:val="Bodytext210pt"/>
          <w:spacing w:val="-6"/>
          <w:sz w:val="24"/>
          <w:szCs w:val="24"/>
          <w:vertAlign w:val="superscript"/>
        </w:rPr>
        <w:t>-1</w:t>
      </w:r>
      <w:r w:rsidRPr="002B742F">
        <w:rPr>
          <w:rStyle w:val="Bodytext210pt"/>
          <w:spacing w:val="-6"/>
          <w:sz w:val="24"/>
          <w:szCs w:val="24"/>
        </w:rPr>
        <w:t xml:space="preserve"> մոլ</w:t>
      </w:r>
      <w:r w:rsidRPr="002B742F">
        <w:rPr>
          <w:rStyle w:val="Bodytext210pt"/>
          <w:spacing w:val="-6"/>
          <w:sz w:val="24"/>
          <w:szCs w:val="24"/>
          <w:vertAlign w:val="superscript"/>
        </w:rPr>
        <w:t>-1</w:t>
      </w:r>
      <w:r w:rsidRPr="002B742F">
        <w:rPr>
          <w:rStyle w:val="Bodytext210pt"/>
          <w:spacing w:val="-6"/>
          <w:sz w:val="24"/>
          <w:szCs w:val="24"/>
        </w:rPr>
        <w:t>-ով.</w:t>
      </w:r>
    </w:p>
    <w:p w14:paraId="371C3C9A"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Style w:val="Bodytext210pt6"/>
          <w:sz w:val="24"/>
          <w:szCs w:val="24"/>
        </w:rPr>
        <w:t>Δ</w:t>
      </w:r>
      <w:r w:rsidRPr="00B834A2">
        <w:rPr>
          <w:rStyle w:val="Bodytext210pt8"/>
          <w:sz w:val="24"/>
          <w:szCs w:val="24"/>
        </w:rPr>
        <w:t>H</w:t>
      </w:r>
      <w:r w:rsidRPr="00B834A2">
        <w:rPr>
          <w:rStyle w:val="Bodytext210pt8"/>
          <w:sz w:val="24"/>
          <w:szCs w:val="24"/>
          <w:vertAlign w:val="subscript"/>
        </w:rPr>
        <w:t>f-ն</w:t>
      </w:r>
      <w:r w:rsidRPr="00B834A2">
        <w:rPr>
          <w:rStyle w:val="Bodytext210pt"/>
          <w:sz w:val="24"/>
          <w:szCs w:val="24"/>
        </w:rPr>
        <w:t>՝ նյութի հալման մոլային ջերմությունը՝ ջոուլ-մոլով</w:t>
      </w:r>
      <w:r w:rsidRPr="00B834A2">
        <w:rPr>
          <w:rStyle w:val="Bodytext210pt"/>
          <w:sz w:val="24"/>
          <w:szCs w:val="24"/>
          <w:vertAlign w:val="superscript"/>
        </w:rPr>
        <w:t>-1.</w:t>
      </w:r>
    </w:p>
    <w:p w14:paraId="514DA6E7"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Style w:val="Bodytext210pt8"/>
          <w:sz w:val="24"/>
          <w:szCs w:val="24"/>
        </w:rPr>
        <w:t>Х</w:t>
      </w:r>
      <w:r w:rsidRPr="00B834A2">
        <w:rPr>
          <w:rStyle w:val="Bodytext27pt"/>
          <w:sz w:val="24"/>
          <w:szCs w:val="24"/>
          <w:vertAlign w:val="subscript"/>
        </w:rPr>
        <w:t>2-ն</w:t>
      </w:r>
      <w:r w:rsidRPr="00B834A2">
        <w:rPr>
          <w:rStyle w:val="Bodytext210pt"/>
          <w:sz w:val="24"/>
          <w:szCs w:val="24"/>
        </w:rPr>
        <w:t xml:space="preserve">՝ խառնուկի մոլային մասը, այսինքն՝ </w:t>
      </w:r>
      <w:r w:rsidRPr="00B834A2">
        <w:rPr>
          <w:rStyle w:val="Bodytext210pt8"/>
          <w:sz w:val="24"/>
          <w:szCs w:val="24"/>
        </w:rPr>
        <w:t>Т</w:t>
      </w:r>
      <w:r w:rsidRPr="00B834A2">
        <w:rPr>
          <w:rStyle w:val="Bodytext210pt"/>
          <w:sz w:val="24"/>
          <w:szCs w:val="24"/>
        </w:rPr>
        <w:t xml:space="preserve"> ջերմաստիճանում խառնուկի մոլեկուլների թիվը՝ բաժանած հեղուկ ֆազում (կամ հալված ֆազում) մոլեկուլների ընդհանուր թվով (արտահայտված կելվիններով):</w:t>
      </w:r>
    </w:p>
    <w:p w14:paraId="2B08C648"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 xml:space="preserve">Այսպիսով, ԴՍԿ-ի օգնությամբ մաքրության որոշումը սահմանափակված է հիմնական նյութի հետ էվտեկտիկ խառնուրդներ առաջացնող </w:t>
      </w:r>
      <w:r>
        <w:rPr>
          <w:rStyle w:val="Bodytext210pt"/>
          <w:sz w:val="24"/>
          <w:szCs w:val="24"/>
        </w:rPr>
        <w:t>եւ</w:t>
      </w:r>
      <w:r w:rsidRPr="00B834A2">
        <w:rPr>
          <w:rStyle w:val="Bodytext210pt"/>
          <w:sz w:val="24"/>
          <w:szCs w:val="24"/>
        </w:rPr>
        <w:t xml:space="preserve"> 2 %-ից պակաս մոլային մասով փորձարկվող նմուշում առկա խառնուկների հայտնաբերմամբ:</w:t>
      </w:r>
    </w:p>
    <w:p w14:paraId="0AAB943F"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Տվյալ մեթոդը չեն կիրառում՝</w:t>
      </w:r>
    </w:p>
    <w:p w14:paraId="7362F16D"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ամորֆ նյութերի.</w:t>
      </w:r>
    </w:p>
    <w:p w14:paraId="35D4D9CF"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սոլվատների կամ բազմաձ</w:t>
      </w:r>
      <w:r>
        <w:rPr>
          <w:rStyle w:val="Bodytext210pt"/>
          <w:sz w:val="24"/>
          <w:szCs w:val="24"/>
        </w:rPr>
        <w:t>եւ</w:t>
      </w:r>
      <w:r w:rsidRPr="00B834A2">
        <w:rPr>
          <w:rStyle w:val="Bodytext210pt"/>
          <w:sz w:val="24"/>
          <w:szCs w:val="24"/>
        </w:rPr>
        <w:t xml:space="preserve"> միացությունների համար, որոնք անկայուն են փորձարկման ժամանակ օգտագործվող ջերմաստիճանների սահմաններում. </w:t>
      </w:r>
    </w:p>
    <w:p w14:paraId="41B4B3BD"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հիմնական նյութի հետ պինդ լուծույթներ առաջացնող խառնուկների.</w:t>
      </w:r>
    </w:p>
    <w:p w14:paraId="4C6035D2"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հեղուկ ֆազում կամ հիմնական նյութի հալույթում չլուծվող խառնուկների համար:</w:t>
      </w:r>
    </w:p>
    <w:p w14:paraId="21FDA32A"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Փորձարկվող նմուշի տաքացման ժամանակ խառնուկներն ամբողջությամբ հալվում են էվտեկտիկ խառնուրդի ջերմաստիճանում: Այդ ջերմաստիճանից բարձր պինդ ֆազը պարունակում է միայն մաքուր նյութ: Քանի որ ջերմաստիճանն աստիճանաբար ավելանում է էվտեկտիկ խառնուրդի ջերմաստիճանից մինչ</w:t>
      </w:r>
      <w:r>
        <w:rPr>
          <w:rStyle w:val="Bodytext210pt"/>
          <w:sz w:val="24"/>
          <w:szCs w:val="24"/>
        </w:rPr>
        <w:t>եւ</w:t>
      </w:r>
      <w:r w:rsidRPr="00B834A2">
        <w:rPr>
          <w:rStyle w:val="Bodytext210pt"/>
          <w:sz w:val="24"/>
          <w:szCs w:val="24"/>
        </w:rPr>
        <w:t xml:space="preserve"> մաքուր նյութի հալման ջերմաստիճանը, հեղուկ ֆազում խառնուկի մոլային մասը մշտապես ընկնում է հալված մաքուր նյութի քանակի ավելացման պատճառով:</w:t>
      </w:r>
      <w:r>
        <w:rPr>
          <w:rStyle w:val="Bodytext210pt"/>
          <w:sz w:val="24"/>
          <w:szCs w:val="24"/>
        </w:rPr>
        <w:t xml:space="preserve"> </w:t>
      </w:r>
      <w:r w:rsidRPr="00B834A2">
        <w:rPr>
          <w:rStyle w:val="Bodytext210pt"/>
          <w:sz w:val="24"/>
          <w:szCs w:val="24"/>
        </w:rPr>
        <w:t>Էվտեկտիկ կետից բարձր բոլոր ջերմաստիճանների համար՝</w:t>
      </w:r>
    </w:p>
    <w:p w14:paraId="1A694EFD" w14:textId="77777777" w:rsidR="00B834A2" w:rsidRPr="00B834A2" w:rsidRDefault="00000000" w:rsidP="00B834A2">
      <w:pPr>
        <w:spacing w:after="160" w:line="360" w:lineRule="auto"/>
        <w:ind w:firstLine="567"/>
      </w:pPr>
      <m:oMathPara>
        <m:oMath>
          <m:sSub>
            <m:sSubPr>
              <m:ctrlPr>
                <w:rPr>
                  <w:rFonts w:ascii="Cambria Math" w:hAnsi="Cambria Math"/>
                  <w:i/>
                </w:rPr>
              </m:ctrlPr>
            </m:sSubPr>
            <m:e>
              <m:r>
                <w:rPr>
                  <w:rFonts w:ascii="Cambria Math" w:hAnsi="Cambria Math"/>
                </w:rPr>
                <m:t>x</m:t>
              </m:r>
            </m:e>
            <m:sub>
              <m:r>
                <w:rPr>
                  <w:rFonts w:ascii="Cambria Math"/>
                </w:rPr>
                <m:t>2</m:t>
              </m:r>
            </m:sub>
          </m:sSub>
          <m:r>
            <w:rPr>
              <w:rFonts w:ascii="Cambria Math"/>
            </w:rPr>
            <m:t>=</m:t>
          </m:r>
          <m:f>
            <m:fPr>
              <m:ctrlPr>
                <w:rPr>
                  <w:rFonts w:ascii="Cambria Math" w:hAnsi="Cambria Math"/>
                  <w:i/>
                </w:rPr>
              </m:ctrlPr>
            </m:fPr>
            <m:num>
              <m:r>
                <w:rPr>
                  <w:rFonts w:ascii="Cambria Math"/>
                </w:rPr>
                <m:t>1</m:t>
              </m:r>
            </m:num>
            <m:den>
              <m:r>
                <w:rPr>
                  <w:rFonts w:ascii="Cambria Math" w:hAnsi="Cambria Math"/>
                </w:rPr>
                <m:t>F</m:t>
              </m:r>
            </m:den>
          </m:f>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rPr>
                <m:t>2</m:t>
              </m:r>
            </m:sub>
            <m:sup>
              <m:r>
                <w:rPr>
                  <w:rFonts w:hAnsi="Cambria Math"/>
                </w:rPr>
                <m:t>*</m:t>
              </m:r>
            </m:sup>
          </m:sSubSup>
          <m:r>
            <w:rPr>
              <w:rFonts w:ascii="Cambria Math"/>
            </w:rPr>
            <m:t>,</m:t>
          </m:r>
        </m:oMath>
      </m:oMathPara>
    </w:p>
    <w:p w14:paraId="5507F363" w14:textId="77777777" w:rsidR="006E41D4" w:rsidRPr="00097504"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որտեղ՝ </w:t>
      </w:r>
    </w:p>
    <w:p w14:paraId="2D10EEA3"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F</w:t>
      </w:r>
      <w:r w:rsidRPr="00B834A2">
        <w:rPr>
          <w:rStyle w:val="Bodytext210pt"/>
          <w:sz w:val="24"/>
          <w:szCs w:val="24"/>
        </w:rPr>
        <w:t>-ն՝ անալիզի ենթարկվող նմուշի հալված մասն է.</w:t>
      </w:r>
    </w:p>
    <w:p w14:paraId="7D9FBC9A"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5"/>
          <w:spacing w:val="0"/>
          <w:sz w:val="24"/>
          <w:szCs w:val="24"/>
        </w:rPr>
        <w:t>х</w:t>
      </w:r>
      <w:r w:rsidRPr="00B834A2">
        <w:rPr>
          <w:rStyle w:val="Bodytext210pt5"/>
          <w:spacing w:val="0"/>
          <w:sz w:val="24"/>
          <w:szCs w:val="24"/>
          <w:vertAlign w:val="subscript"/>
        </w:rPr>
        <w:t>2</w:t>
      </w:r>
      <w:r w:rsidRPr="00B834A2">
        <w:rPr>
          <w:rStyle w:val="Bodytext210pt5"/>
          <w:spacing w:val="0"/>
          <w:sz w:val="24"/>
          <w:szCs w:val="24"/>
          <w:vertAlign w:val="superscript"/>
        </w:rPr>
        <w:t>*-ը</w:t>
      </w:r>
      <w:r w:rsidRPr="00B834A2">
        <w:rPr>
          <w:rStyle w:val="Bodytext210pt"/>
          <w:sz w:val="24"/>
          <w:szCs w:val="24"/>
        </w:rPr>
        <w:t>՝ խառնուկի մոլային մասը՝ անալիզի ենթարկվող նմուշում:</w:t>
      </w:r>
    </w:p>
    <w:p w14:paraId="74135488"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Եթե նմուշն ամբողջությամբ հալված է, ապա</w:t>
      </w:r>
      <w:r w:rsidRPr="00B834A2">
        <w:rPr>
          <w:rStyle w:val="Bodytext210pt5"/>
          <w:spacing w:val="0"/>
          <w:sz w:val="24"/>
          <w:szCs w:val="24"/>
        </w:rPr>
        <w:t>F=</w:t>
      </w:r>
      <w:r w:rsidRPr="00B834A2">
        <w:rPr>
          <w:rStyle w:val="Bodytext210pt"/>
          <w:sz w:val="24"/>
          <w:szCs w:val="24"/>
        </w:rPr>
        <w:t xml:space="preserve"> 1 </w:t>
      </w:r>
      <w:r>
        <w:rPr>
          <w:rStyle w:val="Bodytext210pt"/>
          <w:sz w:val="24"/>
          <w:szCs w:val="24"/>
        </w:rPr>
        <w:t>եւ</w:t>
      </w:r>
      <w:r w:rsidRPr="00B834A2">
        <w:rPr>
          <w:rStyle w:val="Bodytext210pt"/>
          <w:sz w:val="24"/>
          <w:szCs w:val="24"/>
        </w:rPr>
        <w:t xml:space="preserve"> x</w:t>
      </w:r>
      <w:r w:rsidRPr="00B834A2">
        <w:rPr>
          <w:rStyle w:val="Bodytext210pt"/>
          <w:sz w:val="24"/>
          <w:szCs w:val="24"/>
          <w:vertAlign w:val="subscript"/>
        </w:rPr>
        <w:t>2</w:t>
      </w:r>
      <w:r w:rsidRPr="00B834A2">
        <w:rPr>
          <w:rStyle w:val="Bodytext210pt"/>
          <w:sz w:val="24"/>
          <w:szCs w:val="24"/>
        </w:rPr>
        <w:t xml:space="preserve"> = x</w:t>
      </w:r>
      <w:r w:rsidRPr="00B834A2">
        <w:rPr>
          <w:rStyle w:val="Bodytext210pt"/>
          <w:sz w:val="24"/>
          <w:szCs w:val="24"/>
          <w:vertAlign w:val="subscript"/>
        </w:rPr>
        <w:t>2</w:t>
      </w:r>
      <w:r w:rsidRPr="00B834A2">
        <w:rPr>
          <w:rStyle w:val="Bodytext210pt"/>
          <w:sz w:val="24"/>
          <w:szCs w:val="24"/>
          <w:vertAlign w:val="superscript"/>
        </w:rPr>
        <w:t>*</w:t>
      </w:r>
    </w:p>
    <w:p w14:paraId="249ED786"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(1) </w:t>
      </w:r>
      <w:r>
        <w:rPr>
          <w:rStyle w:val="Bodytext210pt"/>
          <w:sz w:val="24"/>
          <w:szCs w:val="24"/>
        </w:rPr>
        <w:t>եւ</w:t>
      </w:r>
      <w:r w:rsidRPr="00B834A2">
        <w:rPr>
          <w:rStyle w:val="Bodytext210pt"/>
          <w:sz w:val="24"/>
          <w:szCs w:val="24"/>
        </w:rPr>
        <w:t xml:space="preserve"> (2) հավասարումները միավորելիս ստացվում է հետ</w:t>
      </w:r>
      <w:r>
        <w:rPr>
          <w:rStyle w:val="Bodytext210pt"/>
          <w:sz w:val="24"/>
          <w:szCs w:val="24"/>
        </w:rPr>
        <w:t>եւ</w:t>
      </w:r>
      <w:r w:rsidRPr="00B834A2">
        <w:rPr>
          <w:rStyle w:val="Bodytext210pt"/>
          <w:sz w:val="24"/>
          <w:szCs w:val="24"/>
        </w:rPr>
        <w:t>յալ արտահատությունը՝</w:t>
      </w:r>
      <w:r>
        <w:rPr>
          <w:rStyle w:val="Bodytext210pt"/>
          <w:sz w:val="24"/>
          <w:szCs w:val="24"/>
        </w:rPr>
        <w:t xml:space="preserve"> </w:t>
      </w:r>
    </w:p>
    <w:p w14:paraId="7CBEFBBB" w14:textId="77777777" w:rsidR="00B834A2" w:rsidRPr="00B834A2" w:rsidRDefault="00B834A2" w:rsidP="00B834A2">
      <w:pPr>
        <w:spacing w:after="160" w:line="360" w:lineRule="auto"/>
        <w:ind w:firstLine="567"/>
        <w:jc w:val="center"/>
        <w:rPr>
          <w:i/>
          <w:lang w:val="en-GB"/>
        </w:rPr>
      </w:pPr>
      <m:oMathPara>
        <m:oMath>
          <m:r>
            <w:rPr>
              <w:rFonts w:ascii="Cambria Math" w:hAnsi="Cambria Math"/>
            </w:rPr>
            <w:lastRenderedPageBreak/>
            <m:t>T</m:t>
          </m:r>
          <m:r>
            <w:rPr>
              <w:rFonts w:ascii="Cambria Math"/>
            </w:rPr>
            <m:t>=</m:t>
          </m:r>
          <m:sSub>
            <m:sSubPr>
              <m:ctrlPr>
                <w:rPr>
                  <w:rFonts w:ascii="Cambria Math" w:hAnsi="Cambria Math"/>
                  <w:i/>
                </w:rPr>
              </m:ctrlPr>
            </m:sSubPr>
            <m:e>
              <m:r>
                <w:rPr>
                  <w:rFonts w:ascii="Cambria Math" w:hAnsi="Cambria Math"/>
                </w:rPr>
                <m:t>T</m:t>
              </m:r>
            </m:e>
            <m:sub>
              <m:r>
                <w:rPr>
                  <w:rFonts w:ascii="Cambria Math"/>
                </w:rPr>
                <m:t>0</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RT</m:t>
                  </m:r>
                </m:e>
                <m:sub>
                  <m:r>
                    <w:rPr>
                      <w:rFonts w:ascii="Cambria Math"/>
                    </w:rPr>
                    <m:t>0</m:t>
                  </m:r>
                </m:sub>
                <m:sup>
                  <m:r>
                    <w:rPr>
                      <w:rFonts w:ascii="Cambria Math"/>
                    </w:rPr>
                    <m:t>2</m:t>
                  </m:r>
                </m:sup>
              </m:sSubSup>
            </m:num>
            <m:den>
              <m:sSub>
                <m:sSubPr>
                  <m:ctrlPr>
                    <w:rPr>
                      <w:rFonts w:ascii="Cambria Math" w:hAnsi="Cambria Math"/>
                      <w:i/>
                    </w:rPr>
                  </m:ctrlPr>
                </m:sSubPr>
                <m:e>
                  <m:r>
                    <w:rPr>
                      <w:rFonts w:ascii="Cambria Math" w:hAnsi="Cambria Math"/>
                    </w:rPr>
                    <m:t>∆H</m:t>
                  </m:r>
                </m:e>
                <m:sub>
                  <m:r>
                    <w:rPr>
                      <w:rFonts w:ascii="Cambria Math" w:hAnsi="Cambria Math"/>
                    </w:rPr>
                    <m:t>f</m:t>
                  </m:r>
                </m:sub>
              </m:sSub>
            </m:den>
          </m:f>
          <m:r>
            <w:rPr>
              <w:rFonts w:ascii="Cambria Math" w:hAnsi="Cambria Math"/>
            </w:rPr>
            <m:t>∙</m:t>
          </m:r>
          <m:f>
            <m:fPr>
              <m:ctrlPr>
                <w:rPr>
                  <w:rFonts w:ascii="Cambria Math" w:hAnsi="Cambria Math"/>
                  <w:i/>
                </w:rPr>
              </m:ctrlPr>
            </m:fPr>
            <m:num>
              <m:r>
                <w:rPr>
                  <w:rFonts w:ascii="Cambria Math"/>
                </w:rPr>
                <m:t>1</m:t>
              </m:r>
            </m:num>
            <m:den>
              <m:r>
                <w:rPr>
                  <w:rFonts w:ascii="Cambria Math" w:hAnsi="Cambria Math"/>
                </w:rPr>
                <m:t>F</m:t>
              </m:r>
            </m:den>
          </m:f>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rPr>
                <m:t>2</m:t>
              </m:r>
            </m:sub>
            <m:sup>
              <m:r>
                <w:rPr>
                  <w:rFonts w:hAnsi="Cambria Math"/>
                </w:rPr>
                <m:t>*</m:t>
              </m:r>
            </m:sup>
          </m:sSubSup>
          <m:r>
            <w:rPr>
              <w:rFonts w:ascii="Cambria Math"/>
            </w:rPr>
            <m:t>,</m:t>
          </m:r>
        </m:oMath>
      </m:oMathPara>
    </w:p>
    <w:p w14:paraId="45CC1CC9"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Հալման ջերմության արժեքը ստացվում է հալման գագաթի ինտեգրման եղանակով:</w:t>
      </w:r>
    </w:p>
    <w:p w14:paraId="42791B91"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Մաքուր նյութի հալման ջերմաստիճանը արտարկվում է կելվիններով արտահայտված ջերմաստիճանից՝ 1/</w:t>
      </w:r>
      <w:r w:rsidRPr="00B834A2">
        <w:rPr>
          <w:rStyle w:val="Bodytext210pt8"/>
          <w:sz w:val="24"/>
          <w:szCs w:val="24"/>
        </w:rPr>
        <w:t xml:space="preserve">F </w:t>
      </w:r>
      <w:r w:rsidRPr="00B834A2">
        <w:rPr>
          <w:rStyle w:val="Bodytext210pt"/>
          <w:sz w:val="24"/>
          <w:szCs w:val="24"/>
        </w:rPr>
        <w:t xml:space="preserve">կախվածության գրաֆիկից: </w:t>
      </w:r>
      <m:oMath>
        <m:sSubSup>
          <m:sSubSupPr>
            <m:ctrlPr>
              <w:rPr>
                <w:rStyle w:val="Bodytext210pt"/>
                <w:rFonts w:ascii="Cambria Math"/>
                <w:i/>
                <w:sz w:val="24"/>
                <w:szCs w:val="24"/>
              </w:rPr>
            </m:ctrlPr>
          </m:sSubSupPr>
          <m:e>
            <m:r>
              <w:rPr>
                <w:rStyle w:val="Bodytext210pt"/>
                <w:rFonts w:ascii="Cambria Math" w:hAnsi="Cambria Math"/>
                <w:sz w:val="24"/>
                <w:szCs w:val="24"/>
              </w:rPr>
              <m:t>RT</m:t>
            </m:r>
          </m:e>
          <m:sub>
            <m:r>
              <w:rPr>
                <w:rStyle w:val="Bodytext210pt"/>
                <w:rFonts w:ascii="Cambria Math"/>
                <w:sz w:val="24"/>
                <w:szCs w:val="24"/>
              </w:rPr>
              <m:t>0</m:t>
            </m:r>
          </m:sub>
          <m:sup>
            <m:r>
              <w:rPr>
                <w:rStyle w:val="Bodytext210pt"/>
                <w:rFonts w:ascii="Cambria Math"/>
                <w:sz w:val="24"/>
                <w:szCs w:val="24"/>
              </w:rPr>
              <m:t>2</m:t>
            </m:r>
          </m:sup>
        </m:sSubSup>
        <m:f>
          <m:fPr>
            <m:ctrlPr>
              <w:rPr>
                <w:rStyle w:val="Bodytext210pt"/>
                <w:rFonts w:ascii="Cambria Math"/>
                <w:i/>
                <w:sz w:val="24"/>
                <w:szCs w:val="24"/>
              </w:rPr>
            </m:ctrlPr>
          </m:fPr>
          <m:num>
            <m:sSubSup>
              <m:sSubSupPr>
                <m:ctrlPr>
                  <w:rPr>
                    <w:rStyle w:val="Bodytext210pt"/>
                    <w:rFonts w:ascii="Cambria Math"/>
                    <w:i/>
                    <w:sz w:val="24"/>
                    <w:szCs w:val="24"/>
                  </w:rPr>
                </m:ctrlPr>
              </m:sSubSupPr>
              <m:e>
                <m:r>
                  <w:rPr>
                    <w:rStyle w:val="Bodytext210pt"/>
                    <w:rFonts w:ascii="Cambria Math" w:hAnsi="Cambria Math"/>
                    <w:sz w:val="24"/>
                    <w:szCs w:val="24"/>
                  </w:rPr>
                  <m:t>x</m:t>
                </m:r>
              </m:e>
              <m:sub>
                <m:r>
                  <w:rPr>
                    <w:rStyle w:val="Bodytext210pt"/>
                    <w:rFonts w:ascii="Cambria Math"/>
                    <w:sz w:val="24"/>
                    <w:szCs w:val="24"/>
                  </w:rPr>
                  <m:t>2</m:t>
                </m:r>
              </m:sub>
              <m:sup>
                <m:r>
                  <w:rPr>
                    <w:rStyle w:val="Bodytext210pt"/>
                    <w:rFonts w:hAnsi="Cambria Math"/>
                    <w:sz w:val="24"/>
                    <w:szCs w:val="24"/>
                  </w:rPr>
                  <m:t>*</m:t>
                </m:r>
              </m:sup>
            </m:sSubSup>
          </m:num>
          <m:den>
            <m:sSub>
              <m:sSubPr>
                <m:ctrlPr>
                  <w:rPr>
                    <w:rStyle w:val="Bodytext210pt"/>
                    <w:rFonts w:ascii="Cambria Math"/>
                    <w:i/>
                    <w:sz w:val="24"/>
                    <w:szCs w:val="24"/>
                  </w:rPr>
                </m:ctrlPr>
              </m:sSubPr>
              <m:e>
                <m:r>
                  <w:rPr>
                    <w:rStyle w:val="Bodytext210pt"/>
                    <w:rFonts w:ascii="Cambria Math" w:hAnsi="Cambria Math"/>
                    <w:sz w:val="24"/>
                    <w:szCs w:val="24"/>
                  </w:rPr>
                  <m:t>∆H</m:t>
                </m:r>
              </m:e>
              <m:sub>
                <m:r>
                  <w:rPr>
                    <w:rStyle w:val="Bodytext210pt"/>
                    <w:rFonts w:ascii="Cambria Math" w:hAnsi="Cambria Math"/>
                    <w:sz w:val="24"/>
                    <w:szCs w:val="24"/>
                  </w:rPr>
                  <m:t>f</m:t>
                </m:r>
              </m:sub>
            </m:sSub>
          </m:den>
        </m:f>
      </m:oMath>
      <w:r w:rsidRPr="00B834A2">
        <w:rPr>
          <w:rStyle w:val="Bodytext210pt"/>
          <w:sz w:val="24"/>
          <w:szCs w:val="24"/>
        </w:rPr>
        <w:t>-ին համապատասխանող՝ անհրաժեշտության դեպքում գծայնացումից ստացված գրաֆիկի թեքությունը թույլ է տալիս որոշել անալիզի ենթարկվող նմուշում խառնուկի մոլային մասի արժեքը:</w:t>
      </w:r>
    </w:p>
    <w:p w14:paraId="3B236DA1"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100-ով բազմապատկած՝ անալիզի ենթարկվող նմուշում խառնուկի մոլային մասը տալիս է տոկոսներով՝ բոլոր էվտեկտիկ խառնուկների մոլային մասը:</w:t>
      </w:r>
    </w:p>
    <w:p w14:paraId="59319F2A" w14:textId="77777777" w:rsidR="002B742F" w:rsidRDefault="002B742F" w:rsidP="00B834A2">
      <w:pPr>
        <w:pStyle w:val="Bodytext20"/>
        <w:shd w:val="clear" w:color="auto" w:fill="auto"/>
        <w:spacing w:before="0" w:after="160" w:line="360" w:lineRule="auto"/>
        <w:jc w:val="right"/>
        <w:rPr>
          <w:rStyle w:val="Bodytext29pt"/>
          <w:b/>
          <w:sz w:val="24"/>
          <w:szCs w:val="24"/>
        </w:rPr>
      </w:pPr>
    </w:p>
    <w:p w14:paraId="5FB3FAC1" w14:textId="77777777" w:rsidR="00B834A2" w:rsidRPr="00824023" w:rsidRDefault="00B834A2" w:rsidP="00B834A2">
      <w:pPr>
        <w:pStyle w:val="Bodytext20"/>
        <w:shd w:val="clear" w:color="auto" w:fill="auto"/>
        <w:spacing w:before="0" w:after="160" w:line="360" w:lineRule="auto"/>
        <w:jc w:val="right"/>
        <w:rPr>
          <w:rFonts w:ascii="Sylfaen" w:hAnsi="Sylfaen"/>
          <w:b/>
          <w:sz w:val="20"/>
          <w:szCs w:val="24"/>
        </w:rPr>
      </w:pPr>
      <w:r w:rsidRPr="00824023">
        <w:rPr>
          <w:rStyle w:val="Bodytext29pt"/>
          <w:b/>
          <w:sz w:val="20"/>
          <w:szCs w:val="24"/>
        </w:rPr>
        <w:t>201020047-2022</w:t>
      </w:r>
    </w:p>
    <w:p w14:paraId="16A7988E" w14:textId="77777777" w:rsidR="00B834A2" w:rsidRPr="00B834A2" w:rsidRDefault="00B834A2" w:rsidP="00B834A2">
      <w:pPr>
        <w:pStyle w:val="Bodytext20"/>
        <w:shd w:val="clear" w:color="auto" w:fill="auto"/>
        <w:spacing w:before="0" w:after="160" w:line="360" w:lineRule="auto"/>
        <w:ind w:left="567"/>
        <w:jc w:val="left"/>
        <w:rPr>
          <w:rStyle w:val="Bodytext214pt"/>
          <w:rFonts w:ascii="Sylfaen" w:hAnsi="Sylfaen"/>
          <w:bCs/>
          <w:sz w:val="24"/>
          <w:szCs w:val="24"/>
        </w:rPr>
      </w:pPr>
    </w:p>
    <w:p w14:paraId="36943C47" w14:textId="77777777" w:rsidR="00B834A2" w:rsidRPr="002B742F" w:rsidRDefault="00B834A2" w:rsidP="006E41D4">
      <w:pPr>
        <w:pStyle w:val="Bodytext20"/>
        <w:shd w:val="clear" w:color="auto" w:fill="auto"/>
        <w:tabs>
          <w:tab w:val="left" w:pos="1701"/>
        </w:tabs>
        <w:spacing w:before="0" w:after="160" w:line="360" w:lineRule="auto"/>
        <w:ind w:firstLine="567"/>
        <w:jc w:val="both"/>
        <w:rPr>
          <w:rFonts w:ascii="Sylfaen" w:hAnsi="Sylfaen"/>
          <w:b/>
          <w:sz w:val="24"/>
          <w:szCs w:val="24"/>
        </w:rPr>
      </w:pPr>
      <w:r w:rsidRPr="002B742F">
        <w:rPr>
          <w:rStyle w:val="Bodytext214pt"/>
          <w:rFonts w:ascii="Sylfaen" w:hAnsi="Sylfaen"/>
          <w:b/>
          <w:sz w:val="24"/>
          <w:szCs w:val="24"/>
        </w:rPr>
        <w:t>2.1.2.47.</w:t>
      </w:r>
      <w:r w:rsidR="002B742F">
        <w:rPr>
          <w:rStyle w:val="Bodytext214pt"/>
          <w:rFonts w:ascii="Sylfaen" w:hAnsi="Sylfaen"/>
          <w:b/>
          <w:sz w:val="24"/>
          <w:szCs w:val="24"/>
        </w:rPr>
        <w:tab/>
      </w:r>
      <w:r w:rsidRPr="002B742F">
        <w:rPr>
          <w:rStyle w:val="Bodytext214pt"/>
          <w:rFonts w:ascii="Sylfaen" w:hAnsi="Sylfaen"/>
          <w:b/>
          <w:sz w:val="24"/>
          <w:szCs w:val="24"/>
        </w:rPr>
        <w:t xml:space="preserve">Իոնասելեկտիվ էլեկտրոդների օգտագործմամբ իոնների կոնցենտրացիայի պոտենցաչափական որոշումը </w:t>
      </w:r>
    </w:p>
    <w:p w14:paraId="6FD94E93"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Տեսականորեն իոնասելեկտիվ էլեկտրոդի էլեկտրոդային պոտենցիալը </w:t>
      </w:r>
      <w:r w:rsidRPr="00B834A2">
        <w:rPr>
          <w:rStyle w:val="Bodytext210pt8"/>
          <w:sz w:val="24"/>
          <w:szCs w:val="24"/>
        </w:rPr>
        <w:t xml:space="preserve">(Е) </w:t>
      </w:r>
      <w:r w:rsidRPr="00B834A2">
        <w:rPr>
          <w:rStyle w:val="Bodytext210pt"/>
          <w:sz w:val="24"/>
          <w:szCs w:val="24"/>
        </w:rPr>
        <w:t>գտնվում է տվյալ իոնի ակտիվության լոգարիթմից գծային կախվածության մեջ, ինչն արտահայտվում է Ներնստի հավասարմամբ՝</w:t>
      </w:r>
    </w:p>
    <w:p w14:paraId="7EA854FC" w14:textId="77777777" w:rsidR="00B834A2" w:rsidRPr="00B834A2" w:rsidRDefault="00B834A2" w:rsidP="00B834A2">
      <w:pPr>
        <w:pStyle w:val="Bodytext20"/>
        <w:shd w:val="clear" w:color="auto" w:fill="auto"/>
        <w:spacing w:before="0" w:after="160" w:line="360" w:lineRule="auto"/>
        <w:rPr>
          <w:rStyle w:val="Bodytext210pt4"/>
          <w:spacing w:val="0"/>
          <w:sz w:val="24"/>
          <w:szCs w:val="24"/>
        </w:rPr>
      </w:pPr>
      <m:oMathPara>
        <m:oMath>
          <m:r>
            <w:rPr>
              <w:rStyle w:val="Bodytext210pt4"/>
              <w:rFonts w:ascii="Cambria Math"/>
              <w:spacing w:val="0"/>
              <w:sz w:val="24"/>
              <w:szCs w:val="24"/>
            </w:rPr>
            <m:t>Е</m:t>
          </m:r>
          <m:r>
            <w:rPr>
              <w:rStyle w:val="Bodytext210pt4"/>
              <w:rFonts w:ascii="Cambria Math"/>
              <w:spacing w:val="0"/>
              <w:sz w:val="24"/>
              <w:szCs w:val="24"/>
            </w:rPr>
            <m:t>=</m:t>
          </m:r>
          <m:sSub>
            <m:sSubPr>
              <m:ctrlPr>
                <w:rPr>
                  <w:rStyle w:val="Bodytext210pt4"/>
                  <w:rFonts w:ascii="Cambria Math"/>
                  <w:i/>
                  <w:spacing w:val="0"/>
                  <w:sz w:val="24"/>
                  <w:szCs w:val="24"/>
                </w:rPr>
              </m:ctrlPr>
            </m:sSubPr>
            <m:e>
              <m:r>
                <w:rPr>
                  <w:rStyle w:val="Bodytext210pt4"/>
                  <w:rFonts w:ascii="Cambria Math"/>
                  <w:spacing w:val="0"/>
                  <w:sz w:val="24"/>
                  <w:szCs w:val="24"/>
                </w:rPr>
                <m:t>Е</m:t>
              </m:r>
            </m:e>
            <m:sub>
              <m:r>
                <w:rPr>
                  <w:rStyle w:val="Bodytext210pt4"/>
                  <w:rFonts w:ascii="Cambria Math"/>
                  <w:spacing w:val="0"/>
                  <w:sz w:val="24"/>
                  <w:szCs w:val="24"/>
                </w:rPr>
                <m:t>0</m:t>
              </m:r>
            </m:sub>
          </m:sSub>
          <m:r>
            <w:rPr>
              <w:rStyle w:val="Bodytext210pt4"/>
              <w:rFonts w:ascii="Cambria Math"/>
              <w:spacing w:val="0"/>
              <w:sz w:val="24"/>
              <w:szCs w:val="24"/>
            </w:rPr>
            <m:t>+2,303</m:t>
          </m:r>
          <m:f>
            <m:fPr>
              <m:ctrlPr>
                <w:rPr>
                  <w:rStyle w:val="Bodytext210pt4"/>
                  <w:rFonts w:ascii="Cambria Math"/>
                  <w:i/>
                  <w:spacing w:val="0"/>
                  <w:sz w:val="24"/>
                  <w:szCs w:val="24"/>
                </w:rPr>
              </m:ctrlPr>
            </m:fPr>
            <m:num>
              <m:r>
                <w:rPr>
                  <w:rStyle w:val="Bodytext210pt4"/>
                  <w:rFonts w:ascii="Cambria Math"/>
                  <w:spacing w:val="0"/>
                  <w:sz w:val="24"/>
                  <w:szCs w:val="24"/>
                </w:rPr>
                <m:t>РТ</m:t>
              </m:r>
            </m:num>
            <m:den>
              <m:sSub>
                <m:sSubPr>
                  <m:ctrlPr>
                    <w:rPr>
                      <w:rStyle w:val="Bodytext210pt4"/>
                      <w:rFonts w:ascii="Cambria Math"/>
                      <w:i/>
                      <w:spacing w:val="0"/>
                      <w:sz w:val="24"/>
                      <w:szCs w:val="24"/>
                    </w:rPr>
                  </m:ctrlPr>
                </m:sSubPr>
                <m:e>
                  <m:r>
                    <w:rPr>
                      <w:rStyle w:val="Bodytext210pt4"/>
                      <w:rFonts w:ascii="Cambria Math" w:hAnsi="Cambria Math"/>
                      <w:spacing w:val="0"/>
                      <w:sz w:val="24"/>
                      <w:szCs w:val="24"/>
                    </w:rPr>
                    <m:t>z</m:t>
                  </m:r>
                </m:e>
                <m:sub>
                  <m:r>
                    <w:rPr>
                      <w:rStyle w:val="Bodytext210pt4"/>
                      <w:rFonts w:ascii="Cambria Math" w:hAnsi="Cambria Math"/>
                      <w:spacing w:val="0"/>
                      <w:sz w:val="24"/>
                      <w:szCs w:val="24"/>
                    </w:rPr>
                    <m:t>i</m:t>
                  </m:r>
                </m:sub>
              </m:sSub>
              <m:r>
                <w:rPr>
                  <w:rStyle w:val="Bodytext210pt4"/>
                  <w:rFonts w:ascii="Cambria Math" w:hAnsi="Cambria Math"/>
                  <w:spacing w:val="0"/>
                  <w:sz w:val="24"/>
                  <w:szCs w:val="24"/>
                </w:rPr>
                <m:t>F</m:t>
              </m:r>
            </m:den>
          </m:f>
          <m:func>
            <m:funcPr>
              <m:ctrlPr>
                <w:rPr>
                  <w:rStyle w:val="Bodytext210pt4"/>
                  <w:rFonts w:ascii="Cambria Math"/>
                  <w:i/>
                  <w:spacing w:val="0"/>
                  <w:sz w:val="24"/>
                  <w:szCs w:val="24"/>
                </w:rPr>
              </m:ctrlPr>
            </m:funcPr>
            <m:fName>
              <m:r>
                <m:rPr>
                  <m:sty m:val="p"/>
                </m:rPr>
                <w:rPr>
                  <w:rStyle w:val="Bodytext210pt4"/>
                  <w:rFonts w:ascii="Cambria Math"/>
                  <w:spacing w:val="0"/>
                  <w:sz w:val="24"/>
                  <w:szCs w:val="24"/>
                </w:rPr>
                <m:t>lg</m:t>
              </m:r>
            </m:fName>
            <m:e>
              <m:sSub>
                <m:sSubPr>
                  <m:ctrlPr>
                    <w:rPr>
                      <w:rStyle w:val="Bodytext210pt4"/>
                      <w:rFonts w:ascii="Cambria Math"/>
                      <w:i/>
                      <w:spacing w:val="0"/>
                      <w:sz w:val="24"/>
                      <w:szCs w:val="24"/>
                    </w:rPr>
                  </m:ctrlPr>
                </m:sSubPr>
                <m:e>
                  <m:r>
                    <w:rPr>
                      <w:rStyle w:val="Bodytext210pt4"/>
                      <w:rFonts w:ascii="Cambria Math" w:hAnsi="Cambria Math"/>
                      <w:spacing w:val="0"/>
                      <w:sz w:val="24"/>
                      <w:szCs w:val="24"/>
                    </w:rPr>
                    <m:t>a</m:t>
                  </m:r>
                </m:e>
                <m:sub>
                  <m:r>
                    <w:rPr>
                      <w:rStyle w:val="Bodytext210pt4"/>
                      <w:rFonts w:ascii="Cambria Math" w:hAnsi="Cambria Math"/>
                      <w:spacing w:val="0"/>
                      <w:sz w:val="24"/>
                      <w:szCs w:val="24"/>
                    </w:rPr>
                    <m:t>i</m:t>
                  </m:r>
                  <m:r>
                    <w:rPr>
                      <w:rStyle w:val="Bodytext210pt4"/>
                      <w:rFonts w:ascii="Cambria Math"/>
                      <w:spacing w:val="0"/>
                      <w:sz w:val="24"/>
                      <w:szCs w:val="24"/>
                    </w:rPr>
                    <m:t xml:space="preserve"> ,</m:t>
                  </m:r>
                </m:sub>
              </m:sSub>
            </m:e>
          </m:func>
        </m:oMath>
      </m:oMathPara>
    </w:p>
    <w:p w14:paraId="1AD143DB" w14:textId="77777777" w:rsidR="006E41D4" w:rsidRPr="00097504" w:rsidRDefault="00B834A2" w:rsidP="002B742F">
      <w:pPr>
        <w:pStyle w:val="Bodytext20"/>
        <w:shd w:val="clear" w:color="auto" w:fill="auto"/>
        <w:spacing w:before="0" w:after="160" w:line="360" w:lineRule="auto"/>
        <w:ind w:firstLine="567"/>
        <w:jc w:val="both"/>
        <w:rPr>
          <w:rStyle w:val="Bodytext210pt"/>
          <w:spacing w:val="-6"/>
          <w:sz w:val="24"/>
          <w:szCs w:val="24"/>
        </w:rPr>
      </w:pPr>
      <w:r w:rsidRPr="002B742F">
        <w:rPr>
          <w:rStyle w:val="Bodytext210pt"/>
          <w:spacing w:val="-6"/>
          <w:sz w:val="24"/>
          <w:szCs w:val="24"/>
        </w:rPr>
        <w:t xml:space="preserve">որտեղ </w:t>
      </w:r>
    </w:p>
    <w:p w14:paraId="6924E938" w14:textId="77777777" w:rsidR="00B834A2" w:rsidRPr="002B742F" w:rsidRDefault="00B834A2" w:rsidP="002B742F">
      <w:pPr>
        <w:pStyle w:val="Bodytext20"/>
        <w:shd w:val="clear" w:color="auto" w:fill="auto"/>
        <w:spacing w:before="0" w:after="160" w:line="360" w:lineRule="auto"/>
        <w:ind w:firstLine="567"/>
        <w:jc w:val="both"/>
        <w:rPr>
          <w:rFonts w:ascii="Sylfaen" w:hAnsi="Sylfaen"/>
          <w:spacing w:val="-6"/>
          <w:sz w:val="24"/>
          <w:szCs w:val="24"/>
        </w:rPr>
      </w:pPr>
      <w:r w:rsidRPr="002B742F">
        <w:rPr>
          <w:rStyle w:val="Bodytext210pt"/>
          <w:spacing w:val="-6"/>
          <w:sz w:val="24"/>
          <w:szCs w:val="24"/>
        </w:rPr>
        <w:t>E</w:t>
      </w:r>
      <w:r w:rsidRPr="002B742F">
        <w:rPr>
          <w:rStyle w:val="Bodytext210pt"/>
          <w:spacing w:val="-6"/>
          <w:sz w:val="24"/>
          <w:szCs w:val="24"/>
          <w:vertAlign w:val="subscript"/>
        </w:rPr>
        <w:t>0</w:t>
      </w:r>
      <w:r w:rsidRPr="006E41D4">
        <w:rPr>
          <w:rStyle w:val="Bodytext210pt"/>
          <w:spacing w:val="-6"/>
          <w:sz w:val="24"/>
          <w:szCs w:val="24"/>
        </w:rPr>
        <w:t>-ն</w:t>
      </w:r>
      <w:r w:rsidR="006E41D4" w:rsidRPr="00097504">
        <w:rPr>
          <w:rStyle w:val="Bodytext210pt"/>
          <w:spacing w:val="-6"/>
          <w:sz w:val="24"/>
          <w:szCs w:val="24"/>
        </w:rPr>
        <w:t>`</w:t>
      </w:r>
      <w:r w:rsidRPr="002B742F">
        <w:rPr>
          <w:rStyle w:val="Bodytext210pt"/>
          <w:spacing w:val="-6"/>
          <w:sz w:val="24"/>
          <w:szCs w:val="24"/>
          <w:vertAlign w:val="subscript"/>
        </w:rPr>
        <w:t xml:space="preserve"> </w:t>
      </w:r>
      <w:r w:rsidRPr="002B742F">
        <w:rPr>
          <w:rStyle w:val="Bodytext210pt"/>
          <w:spacing w:val="-6"/>
          <w:sz w:val="24"/>
          <w:szCs w:val="24"/>
        </w:rPr>
        <w:t>օգտագործվող էլեկտրոդի ստանդարտ էլեկտրոդային պոտենցիալն է.</w:t>
      </w:r>
    </w:p>
    <w:p w14:paraId="4814002E"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 xml:space="preserve">R-ն՝ </w:t>
      </w:r>
      <w:r w:rsidRPr="00B834A2">
        <w:rPr>
          <w:rStyle w:val="Bodytext210pt"/>
          <w:sz w:val="24"/>
          <w:szCs w:val="24"/>
        </w:rPr>
        <w:t>ունիվերսալ գազային հաստատունը.</w:t>
      </w:r>
    </w:p>
    <w:p w14:paraId="4257C1B2"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Т</w:t>
      </w:r>
      <w:r w:rsidRPr="00B834A2">
        <w:rPr>
          <w:rStyle w:val="Bodytext210pt"/>
          <w:sz w:val="24"/>
          <w:szCs w:val="24"/>
        </w:rPr>
        <w:t>-ն՝ բացարձակ ջերմաստիճանը.</w:t>
      </w:r>
    </w:p>
    <w:p w14:paraId="3BAEB377"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F-ն</w:t>
      </w:r>
      <w:r w:rsidRPr="00B834A2">
        <w:rPr>
          <w:rStyle w:val="Bodytext210pt"/>
          <w:sz w:val="24"/>
          <w:szCs w:val="24"/>
        </w:rPr>
        <w:t>՝ Ֆարադեյի թիվը.</w:t>
      </w:r>
    </w:p>
    <w:p w14:paraId="3827A1FD" w14:textId="77777777" w:rsidR="00B834A2" w:rsidRPr="00B834A2" w:rsidRDefault="00B834A2" w:rsidP="00B834A2">
      <w:pPr>
        <w:pStyle w:val="Bodytext20"/>
        <w:shd w:val="clear" w:color="auto" w:fill="auto"/>
        <w:spacing w:before="0" w:after="160" w:line="360" w:lineRule="auto"/>
        <w:ind w:firstLine="567"/>
        <w:jc w:val="left"/>
        <w:rPr>
          <w:rFonts w:ascii="Sylfaen" w:hAnsi="Sylfaen"/>
          <w:sz w:val="24"/>
          <w:szCs w:val="24"/>
        </w:rPr>
      </w:pPr>
      <w:r w:rsidRPr="00B834A2">
        <w:rPr>
          <w:rStyle w:val="Bodytext210pt8"/>
          <w:sz w:val="24"/>
          <w:szCs w:val="24"/>
        </w:rPr>
        <w:t>z</w:t>
      </w:r>
      <w:r w:rsidRPr="00B834A2">
        <w:rPr>
          <w:rStyle w:val="Bodytext210pt8"/>
          <w:sz w:val="24"/>
          <w:szCs w:val="24"/>
          <w:vertAlign w:val="subscript"/>
        </w:rPr>
        <w:t>i</w:t>
      </w:r>
      <w:r w:rsidRPr="00B834A2">
        <w:rPr>
          <w:rStyle w:val="Bodytext210pt"/>
          <w:sz w:val="24"/>
          <w:szCs w:val="24"/>
        </w:rPr>
        <w:t>-ը՝ իոնի լիցքի մեծությունը՝ դրա նշանի նշումով.</w:t>
      </w:r>
    </w:p>
    <w:p w14:paraId="637E44DE"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а</w:t>
      </w:r>
      <w:r w:rsidRPr="00B834A2">
        <w:rPr>
          <w:rStyle w:val="Bodytext210pt"/>
          <w:sz w:val="24"/>
          <w:szCs w:val="24"/>
          <w:vertAlign w:val="subscript"/>
        </w:rPr>
        <w:t>i-ը</w:t>
      </w:r>
      <w:r w:rsidRPr="00B834A2">
        <w:rPr>
          <w:rStyle w:val="Bodytext210pt"/>
          <w:sz w:val="24"/>
          <w:szCs w:val="24"/>
        </w:rPr>
        <w:t>՝ իոնի ակտիվությունը:</w:t>
      </w:r>
    </w:p>
    <w:p w14:paraId="7E24F04E"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Հաստատուն իոնային ուժի դեպքում կատարվում է հավասարում՝</w:t>
      </w:r>
    </w:p>
    <w:p w14:paraId="6A23E39C" w14:textId="77777777" w:rsidR="00B834A2" w:rsidRPr="00B834A2" w:rsidRDefault="00B834A2" w:rsidP="00B834A2">
      <w:pPr>
        <w:pStyle w:val="Bodytext20"/>
        <w:shd w:val="clear" w:color="auto" w:fill="auto"/>
        <w:spacing w:before="0" w:after="160" w:line="360" w:lineRule="auto"/>
        <w:rPr>
          <w:rStyle w:val="Bodytext210pt8"/>
          <w:sz w:val="24"/>
          <w:szCs w:val="24"/>
        </w:rPr>
      </w:pPr>
      <m:oMath>
        <m:r>
          <w:rPr>
            <w:rStyle w:val="Bodytext210pt8"/>
            <w:rFonts w:ascii="Cambria Math" w:hAnsi="Cambria Math"/>
            <w:sz w:val="24"/>
            <w:szCs w:val="24"/>
          </w:rPr>
          <m:t>E</m:t>
        </m:r>
        <m:r>
          <w:rPr>
            <w:rStyle w:val="Bodytext210pt8"/>
            <w:rFonts w:ascii="Cambria Math"/>
            <w:sz w:val="24"/>
            <w:szCs w:val="24"/>
          </w:rPr>
          <m:t>=</m:t>
        </m:r>
        <m:sSub>
          <m:sSubPr>
            <m:ctrlPr>
              <w:rPr>
                <w:rStyle w:val="Bodytext210pt8"/>
                <w:rFonts w:ascii="Cambria Math"/>
                <w:i w:val="0"/>
                <w:iCs w:val="0"/>
                <w:sz w:val="24"/>
                <w:szCs w:val="24"/>
              </w:rPr>
            </m:ctrlPr>
          </m:sSubPr>
          <m:e>
            <m:r>
              <w:rPr>
                <w:rStyle w:val="Bodytext210pt8"/>
                <w:rFonts w:ascii="Cambria Math" w:hAnsi="Cambria Math"/>
                <w:sz w:val="24"/>
                <w:szCs w:val="24"/>
              </w:rPr>
              <m:t>E</m:t>
            </m:r>
          </m:e>
          <m:sub>
            <m:r>
              <w:rPr>
                <w:rStyle w:val="Bodytext210pt8"/>
                <w:rFonts w:ascii="Cambria Math"/>
                <w:sz w:val="24"/>
                <w:szCs w:val="24"/>
              </w:rPr>
              <m:t>0</m:t>
            </m:r>
          </m:sub>
        </m:sSub>
        <m:r>
          <w:rPr>
            <w:rStyle w:val="Bodytext210pt8"/>
            <w:rFonts w:ascii="Cambria Math"/>
            <w:sz w:val="24"/>
            <w:szCs w:val="24"/>
          </w:rPr>
          <m:t>+</m:t>
        </m:r>
        <m:f>
          <m:fPr>
            <m:ctrlPr>
              <w:rPr>
                <w:rStyle w:val="Bodytext210pt8"/>
                <w:rFonts w:ascii="Cambria Math"/>
                <w:i w:val="0"/>
                <w:iCs w:val="0"/>
                <w:sz w:val="24"/>
                <w:szCs w:val="24"/>
              </w:rPr>
            </m:ctrlPr>
          </m:fPr>
          <m:num>
            <m:r>
              <w:rPr>
                <w:rStyle w:val="Bodytext210pt8"/>
                <w:rFonts w:ascii="Cambria Math" w:hAnsi="Cambria Math"/>
                <w:sz w:val="24"/>
                <w:szCs w:val="24"/>
              </w:rPr>
              <m:t>k</m:t>
            </m:r>
          </m:num>
          <m:den>
            <m:sSub>
              <m:sSubPr>
                <m:ctrlPr>
                  <w:rPr>
                    <w:rStyle w:val="Bodytext210pt8"/>
                    <w:rFonts w:ascii="Cambria Math"/>
                    <w:i w:val="0"/>
                    <w:iCs w:val="0"/>
                    <w:sz w:val="24"/>
                    <w:szCs w:val="24"/>
                  </w:rPr>
                </m:ctrlPr>
              </m:sSubPr>
              <m:e>
                <m:r>
                  <w:rPr>
                    <w:rStyle w:val="Bodytext210pt8"/>
                    <w:rFonts w:ascii="Cambria Math" w:hAnsi="Cambria Math"/>
                    <w:sz w:val="24"/>
                    <w:szCs w:val="24"/>
                  </w:rPr>
                  <m:t>z</m:t>
                </m:r>
              </m:e>
              <m:sub>
                <m:r>
                  <w:rPr>
                    <w:rStyle w:val="Bodytext210pt8"/>
                    <w:rFonts w:ascii="Cambria Math" w:hAnsi="Cambria Math"/>
                    <w:sz w:val="24"/>
                    <w:szCs w:val="24"/>
                  </w:rPr>
                  <m:t>i</m:t>
                </m:r>
              </m:sub>
            </m:sSub>
          </m:den>
        </m:f>
        <m:func>
          <m:funcPr>
            <m:ctrlPr>
              <w:rPr>
                <w:rStyle w:val="Bodytext210pt8"/>
                <w:rFonts w:ascii="Cambria Math"/>
                <w:i w:val="0"/>
                <w:iCs w:val="0"/>
                <w:sz w:val="24"/>
                <w:szCs w:val="24"/>
              </w:rPr>
            </m:ctrlPr>
          </m:funcPr>
          <m:fName>
            <m:r>
              <w:rPr>
                <w:rStyle w:val="Bodytext210pt8"/>
                <w:rFonts w:ascii="Cambria Math" w:hAnsi="Cambria Math"/>
                <w:sz w:val="24"/>
                <w:szCs w:val="24"/>
              </w:rPr>
              <m:t>lg</m:t>
            </m:r>
          </m:fName>
          <m:e>
            <m:sSub>
              <m:sSubPr>
                <m:ctrlPr>
                  <w:rPr>
                    <w:rStyle w:val="Bodytext210pt8"/>
                    <w:rFonts w:ascii="Cambria Math"/>
                    <w:i w:val="0"/>
                    <w:iCs w:val="0"/>
                    <w:sz w:val="24"/>
                    <w:szCs w:val="24"/>
                  </w:rPr>
                </m:ctrlPr>
              </m:sSubPr>
              <m:e>
                <m:r>
                  <w:rPr>
                    <w:rStyle w:val="Bodytext210pt8"/>
                    <w:rFonts w:ascii="Cambria Math" w:hAnsi="Cambria Math"/>
                    <w:sz w:val="24"/>
                    <w:szCs w:val="24"/>
                  </w:rPr>
                  <m:t>fC</m:t>
                </m:r>
              </m:e>
              <m:sub>
                <m:r>
                  <w:rPr>
                    <w:rStyle w:val="Bodytext210pt8"/>
                    <w:rFonts w:ascii="Cambria Math" w:hAnsi="Cambria Math"/>
                    <w:sz w:val="24"/>
                    <w:szCs w:val="24"/>
                  </w:rPr>
                  <m:t>i</m:t>
                </m:r>
              </m:sub>
            </m:sSub>
          </m:e>
        </m:func>
      </m:oMath>
      <w:r w:rsidRPr="00B834A2">
        <w:rPr>
          <w:rStyle w:val="Bodytext210pt8"/>
          <w:sz w:val="24"/>
          <w:szCs w:val="24"/>
        </w:rPr>
        <w:t>,</w:t>
      </w:r>
    </w:p>
    <w:p w14:paraId="7DDFBA80" w14:textId="77777777" w:rsidR="00B834A2" w:rsidRPr="00B834A2" w:rsidRDefault="00B834A2" w:rsidP="002B742F">
      <w:pPr>
        <w:pStyle w:val="Bodytext20"/>
        <w:shd w:val="clear" w:color="auto" w:fill="auto"/>
        <w:spacing w:before="0" w:after="160" w:line="360" w:lineRule="auto"/>
        <w:ind w:firstLine="426"/>
        <w:jc w:val="both"/>
        <w:rPr>
          <w:rFonts w:ascii="Sylfaen" w:hAnsi="Sylfaen"/>
          <w:sz w:val="24"/>
          <w:szCs w:val="24"/>
        </w:rPr>
      </w:pPr>
      <w:r w:rsidRPr="00B834A2">
        <w:rPr>
          <w:rStyle w:val="Bodytext210pt"/>
          <w:sz w:val="24"/>
          <w:szCs w:val="24"/>
        </w:rPr>
        <w:t>որտեղ՝ С</w:t>
      </w:r>
      <w:r w:rsidRPr="00B834A2">
        <w:rPr>
          <w:rStyle w:val="Bodytext210pt"/>
          <w:i/>
          <w:sz w:val="24"/>
          <w:szCs w:val="24"/>
          <w:vertAlign w:val="subscript"/>
        </w:rPr>
        <w:t>i-ն</w:t>
      </w:r>
      <w:r w:rsidRPr="00B834A2">
        <w:rPr>
          <w:rStyle w:val="Bodytext210pt"/>
          <w:sz w:val="24"/>
          <w:szCs w:val="24"/>
        </w:rPr>
        <w:t xml:space="preserve"> իոնի մոլային կոնցենտրացիան է.</w:t>
      </w:r>
    </w:p>
    <w:p w14:paraId="0B02B0BF" w14:textId="77777777" w:rsidR="00B834A2" w:rsidRPr="00B834A2" w:rsidRDefault="00B834A2" w:rsidP="002B742F">
      <w:pPr>
        <w:pStyle w:val="Bodytext20"/>
        <w:shd w:val="clear" w:color="auto" w:fill="auto"/>
        <w:spacing w:before="0" w:after="160" w:line="360" w:lineRule="auto"/>
        <w:ind w:firstLine="426"/>
        <w:jc w:val="both"/>
        <w:rPr>
          <w:rFonts w:ascii="Sylfaen" w:hAnsi="Sylfaen"/>
          <w:sz w:val="24"/>
          <w:szCs w:val="24"/>
        </w:rPr>
      </w:pPr>
      <w:r w:rsidRPr="00B834A2">
        <w:rPr>
          <w:rStyle w:val="Bodytext210pt"/>
          <w:i/>
          <w:sz w:val="24"/>
          <w:szCs w:val="24"/>
        </w:rPr>
        <w:t>f</w:t>
      </w:r>
      <w:r w:rsidRPr="00B834A2">
        <w:rPr>
          <w:rStyle w:val="Bodytext210pt"/>
          <w:sz w:val="24"/>
          <w:szCs w:val="24"/>
        </w:rPr>
        <w:t xml:space="preserve"> </w:t>
      </w:r>
      <w:r w:rsidR="006E41D4" w:rsidRPr="006E41D4">
        <w:rPr>
          <w:rStyle w:val="Bodytext210pt"/>
          <w:sz w:val="24"/>
          <w:szCs w:val="24"/>
        </w:rPr>
        <w:t>-</w:t>
      </w:r>
      <w:r w:rsidRPr="00B834A2">
        <w:rPr>
          <w:rStyle w:val="Bodytext210pt"/>
          <w:sz w:val="24"/>
          <w:szCs w:val="24"/>
        </w:rPr>
        <w:t xml:space="preserve">ն՝ ակտիվության գործակիցը </w:t>
      </w:r>
      <w:r w:rsidRPr="00B834A2">
        <w:rPr>
          <w:rStyle w:val="Bodytext210pt8"/>
          <w:sz w:val="24"/>
          <w:szCs w:val="24"/>
        </w:rPr>
        <w:t>(а</w:t>
      </w:r>
      <w:r w:rsidRPr="00B834A2">
        <w:rPr>
          <w:rStyle w:val="Bodytext210pt8"/>
          <w:sz w:val="24"/>
          <w:szCs w:val="24"/>
          <w:vertAlign w:val="subscript"/>
        </w:rPr>
        <w:t>i</w:t>
      </w:r>
      <w:r w:rsidRPr="00B834A2">
        <w:rPr>
          <w:rStyle w:val="Bodytext210pt8"/>
          <w:sz w:val="24"/>
          <w:szCs w:val="24"/>
        </w:rPr>
        <w:t xml:space="preserve"> = f С</w:t>
      </w:r>
      <w:r w:rsidRPr="00B834A2">
        <w:rPr>
          <w:rStyle w:val="Bodytext210pt8"/>
          <w:sz w:val="24"/>
          <w:szCs w:val="24"/>
          <w:vertAlign w:val="subscript"/>
        </w:rPr>
        <w:t>i</w:t>
      </w:r>
      <w:r w:rsidRPr="00B834A2">
        <w:rPr>
          <w:rStyle w:val="Bodytext210pt"/>
          <w:sz w:val="24"/>
          <w:szCs w:val="24"/>
        </w:rPr>
        <w:t>).</w:t>
      </w:r>
    </w:p>
    <w:p w14:paraId="014346C3" w14:textId="77777777" w:rsidR="00B834A2" w:rsidRPr="00B834A2" w:rsidRDefault="00B834A2" w:rsidP="002B742F">
      <w:pPr>
        <w:pStyle w:val="Bodytext20"/>
        <w:shd w:val="clear" w:color="auto" w:fill="auto"/>
        <w:spacing w:before="0" w:after="160" w:line="360" w:lineRule="auto"/>
        <w:ind w:firstLine="426"/>
        <w:rPr>
          <w:rStyle w:val="Bodytext210pt"/>
          <w:sz w:val="24"/>
          <w:szCs w:val="24"/>
        </w:rPr>
      </w:pPr>
      <m:oMath>
        <m:r>
          <w:rPr>
            <w:rStyle w:val="Bodytext210pt"/>
            <w:rFonts w:ascii="Cambria Math" w:hAnsi="Cambria Math"/>
            <w:sz w:val="24"/>
            <w:szCs w:val="24"/>
          </w:rPr>
          <m:t>k-</m:t>
        </m:r>
        <m:f>
          <m:fPr>
            <m:ctrlPr>
              <w:rPr>
                <w:rStyle w:val="Bodytext210pt"/>
                <w:rFonts w:ascii="Cambria Math"/>
                <w:i/>
                <w:sz w:val="24"/>
                <w:szCs w:val="24"/>
              </w:rPr>
            </m:ctrlPr>
          </m:fPr>
          <m:num>
            <m:r>
              <w:rPr>
                <w:rStyle w:val="Bodytext210pt"/>
                <w:rFonts w:ascii="Cambria Math" w:hAnsi="Cambria Math"/>
                <w:sz w:val="24"/>
                <w:szCs w:val="24"/>
              </w:rPr>
              <m:t>RT</m:t>
            </m:r>
          </m:num>
          <m:den>
            <m:r>
              <w:rPr>
                <w:rStyle w:val="Bodytext210pt"/>
                <w:rFonts w:ascii="Cambria Math" w:hAnsi="Cambria Math"/>
                <w:sz w:val="24"/>
                <w:szCs w:val="24"/>
              </w:rPr>
              <m:t>F</m:t>
            </m:r>
          </m:den>
        </m:f>
      </m:oMath>
      <w:r w:rsidRPr="00B834A2">
        <w:rPr>
          <w:rStyle w:val="Bodytext210pt"/>
          <w:sz w:val="24"/>
          <w:szCs w:val="24"/>
        </w:rPr>
        <w:t>։</w:t>
      </w:r>
    </w:p>
    <w:p w14:paraId="0CFE633C" w14:textId="77777777" w:rsidR="00B834A2" w:rsidRPr="00B834A2" w:rsidRDefault="00B834A2" w:rsidP="002B742F">
      <w:pPr>
        <w:pStyle w:val="Bodytext20"/>
        <w:shd w:val="clear" w:color="auto" w:fill="auto"/>
        <w:spacing w:before="0" w:after="160" w:line="360" w:lineRule="auto"/>
        <w:ind w:firstLine="426"/>
        <w:jc w:val="both"/>
        <w:rPr>
          <w:rFonts w:ascii="Sylfaen" w:hAnsi="Sylfaen"/>
          <w:sz w:val="24"/>
          <w:szCs w:val="24"/>
        </w:rPr>
      </w:pPr>
      <w:r w:rsidRPr="00B834A2">
        <w:rPr>
          <w:rStyle w:val="Bodytext210pt"/>
          <w:sz w:val="24"/>
          <w:szCs w:val="24"/>
        </w:rPr>
        <w:t xml:space="preserve">Եթե </w:t>
      </w:r>
      <m:oMath>
        <m:sSub>
          <m:sSubPr>
            <m:ctrlPr>
              <w:rPr>
                <w:rStyle w:val="Bodytext210pt"/>
                <w:rFonts w:ascii="Cambria Math"/>
                <w:i/>
                <w:sz w:val="24"/>
                <w:szCs w:val="24"/>
              </w:rPr>
            </m:ctrlPr>
          </m:sSubPr>
          <m:e>
            <m:r>
              <w:rPr>
                <w:rStyle w:val="Bodytext210pt"/>
                <w:rFonts w:ascii="Cambria Math" w:hAnsi="Cambria Math"/>
                <w:sz w:val="24"/>
                <w:szCs w:val="24"/>
              </w:rPr>
              <m:t>E</m:t>
            </m:r>
          </m:e>
          <m:sub>
            <m:r>
              <w:rPr>
                <w:rStyle w:val="Bodytext210pt"/>
                <w:rFonts w:ascii="Cambria Math"/>
                <w:sz w:val="24"/>
                <w:szCs w:val="24"/>
              </w:rPr>
              <m:t>0</m:t>
            </m:r>
          </m:sub>
        </m:sSub>
        <m:r>
          <w:rPr>
            <w:rStyle w:val="Bodytext210pt"/>
            <w:rFonts w:ascii="Cambria Math"/>
            <w:sz w:val="24"/>
            <w:szCs w:val="24"/>
          </w:rPr>
          <m:t>+</m:t>
        </m:r>
        <m:f>
          <m:fPr>
            <m:ctrlPr>
              <w:rPr>
                <w:rStyle w:val="Bodytext210pt"/>
                <w:rFonts w:ascii="Cambria Math"/>
                <w:i/>
                <w:sz w:val="24"/>
                <w:szCs w:val="24"/>
              </w:rPr>
            </m:ctrlPr>
          </m:fPr>
          <m:num>
            <m:r>
              <w:rPr>
                <w:rStyle w:val="Bodytext210pt"/>
                <w:rFonts w:ascii="Cambria Math" w:hAnsi="Cambria Math"/>
                <w:sz w:val="24"/>
                <w:szCs w:val="24"/>
              </w:rPr>
              <m:t>k</m:t>
            </m:r>
          </m:num>
          <m:den>
            <m:sSub>
              <m:sSubPr>
                <m:ctrlPr>
                  <w:rPr>
                    <w:rStyle w:val="Bodytext210pt"/>
                    <w:rFonts w:ascii="Cambria Math"/>
                    <w:i/>
                    <w:sz w:val="24"/>
                    <w:szCs w:val="24"/>
                  </w:rPr>
                </m:ctrlPr>
              </m:sSubPr>
              <m:e>
                <m:r>
                  <w:rPr>
                    <w:rStyle w:val="Bodytext210pt"/>
                    <w:rFonts w:ascii="Cambria Math" w:hAnsi="Cambria Math"/>
                    <w:sz w:val="24"/>
                    <w:szCs w:val="24"/>
                  </w:rPr>
                  <m:t>z</m:t>
                </m:r>
              </m:e>
              <m:sub>
                <m:r>
                  <w:rPr>
                    <w:rStyle w:val="Bodytext210pt"/>
                    <w:rFonts w:ascii="Cambria Math" w:hAnsi="Cambria Math"/>
                    <w:sz w:val="24"/>
                    <w:szCs w:val="24"/>
                  </w:rPr>
                  <m:t>i</m:t>
                </m:r>
              </m:sub>
            </m:sSub>
          </m:den>
        </m:f>
        <m:func>
          <m:funcPr>
            <m:ctrlPr>
              <w:rPr>
                <w:rStyle w:val="Bodytext210pt"/>
                <w:rFonts w:ascii="Cambria Math"/>
                <w:i/>
                <w:sz w:val="24"/>
                <w:szCs w:val="24"/>
              </w:rPr>
            </m:ctrlPr>
          </m:funcPr>
          <m:fName>
            <m:r>
              <m:rPr>
                <m:sty m:val="p"/>
              </m:rPr>
              <w:rPr>
                <w:rStyle w:val="Bodytext210pt"/>
                <w:rFonts w:ascii="Cambria Math"/>
                <w:sz w:val="24"/>
                <w:szCs w:val="24"/>
              </w:rPr>
              <m:t>lg</m:t>
            </m:r>
          </m:fName>
          <m:e>
            <m:r>
              <w:rPr>
                <w:rStyle w:val="Bodytext210pt"/>
                <w:rFonts w:ascii="Cambria Math" w:hAnsi="Cambria Math"/>
                <w:sz w:val="24"/>
                <w:szCs w:val="24"/>
              </w:rPr>
              <m:t>f</m:t>
            </m:r>
            <m:r>
              <w:rPr>
                <w:rStyle w:val="Bodytext210pt"/>
                <w:rFonts w:ascii="Cambria Math"/>
                <w:sz w:val="24"/>
                <w:szCs w:val="24"/>
              </w:rPr>
              <m:t>=</m:t>
            </m:r>
            <m:sSubSup>
              <m:sSubSupPr>
                <m:ctrlPr>
                  <w:rPr>
                    <w:rStyle w:val="Bodytext210pt"/>
                    <w:rFonts w:ascii="Cambria Math"/>
                    <w:i/>
                    <w:sz w:val="24"/>
                    <w:szCs w:val="24"/>
                  </w:rPr>
                </m:ctrlPr>
              </m:sSubSupPr>
              <m:e>
                <m:r>
                  <w:rPr>
                    <w:rStyle w:val="Bodytext210pt"/>
                    <w:rFonts w:ascii="Cambria Math" w:hAnsi="Cambria Math"/>
                    <w:sz w:val="24"/>
                    <w:szCs w:val="24"/>
                  </w:rPr>
                  <m:t>E</m:t>
                </m:r>
              </m:e>
              <m:sub>
                <m:r>
                  <w:rPr>
                    <w:rStyle w:val="Bodytext210pt"/>
                    <w:rFonts w:ascii="Cambria Math"/>
                    <w:sz w:val="24"/>
                    <w:szCs w:val="24"/>
                  </w:rPr>
                  <m:t>0</m:t>
                </m:r>
              </m:sub>
              <m:sup>
                <m:r>
                  <w:rPr>
                    <w:rStyle w:val="Bodytext210pt"/>
                    <w:rFonts w:ascii="Cambria Math"/>
                    <w:sz w:val="24"/>
                    <w:szCs w:val="24"/>
                  </w:rPr>
                  <m:t>'</m:t>
                </m:r>
                <m:r>
                  <w:rPr>
                    <w:rStyle w:val="Bodytext210pt"/>
                    <w:rFonts w:ascii="Cambria Math"/>
                    <w:sz w:val="24"/>
                    <w:szCs w:val="24"/>
                  </w:rPr>
                  <m:t xml:space="preserve"> </m:t>
                </m:r>
              </m:sup>
            </m:sSubSup>
          </m:e>
        </m:func>
      </m:oMath>
      <w:r w:rsidRPr="00B834A2">
        <w:rPr>
          <w:rStyle w:val="Bodytext210pt"/>
          <w:sz w:val="24"/>
          <w:szCs w:val="24"/>
        </w:rPr>
        <w:t xml:space="preserve"> </w:t>
      </w:r>
      <w:r>
        <w:rPr>
          <w:rStyle w:val="Bodytext210pt"/>
          <w:sz w:val="24"/>
          <w:szCs w:val="24"/>
        </w:rPr>
        <w:t>եւ</w:t>
      </w:r>
      <w:r w:rsidRPr="00B834A2">
        <w:rPr>
          <w:rStyle w:val="Bodytext210pt"/>
          <w:sz w:val="24"/>
          <w:szCs w:val="24"/>
        </w:rPr>
        <w:t xml:space="preserve"> </w:t>
      </w:r>
      <m:oMath>
        <m:r>
          <w:rPr>
            <w:rStyle w:val="Bodytext210pt"/>
            <w:rFonts w:ascii="Cambria Math" w:hAnsi="Cambria Math"/>
            <w:sz w:val="24"/>
            <w:szCs w:val="24"/>
          </w:rPr>
          <m:t>b</m:t>
        </m:r>
        <m:r>
          <w:rPr>
            <w:rStyle w:val="Bodytext210pt"/>
            <w:rFonts w:ascii="Cambria Math"/>
            <w:sz w:val="24"/>
            <w:szCs w:val="24"/>
          </w:rPr>
          <m:t>=</m:t>
        </m:r>
        <m:f>
          <m:fPr>
            <m:ctrlPr>
              <w:rPr>
                <w:rStyle w:val="Bodytext210pt"/>
                <w:rFonts w:ascii="Cambria Math"/>
                <w:i/>
                <w:sz w:val="24"/>
                <w:szCs w:val="24"/>
              </w:rPr>
            </m:ctrlPr>
          </m:fPr>
          <m:num>
            <m:r>
              <w:rPr>
                <w:rStyle w:val="Bodytext210pt"/>
                <w:rFonts w:ascii="Cambria Math" w:hAnsi="Cambria Math"/>
                <w:sz w:val="24"/>
                <w:szCs w:val="24"/>
              </w:rPr>
              <m:t>k</m:t>
            </m:r>
          </m:num>
          <m:den>
            <m:sSub>
              <m:sSubPr>
                <m:ctrlPr>
                  <w:rPr>
                    <w:rStyle w:val="Bodytext210pt"/>
                    <w:rFonts w:ascii="Cambria Math"/>
                    <w:i/>
                    <w:sz w:val="24"/>
                    <w:szCs w:val="24"/>
                  </w:rPr>
                </m:ctrlPr>
              </m:sSubPr>
              <m:e>
                <m:r>
                  <w:rPr>
                    <w:rStyle w:val="Bodytext210pt"/>
                    <w:rFonts w:ascii="Cambria Math" w:hAnsi="Cambria Math"/>
                    <w:sz w:val="24"/>
                    <w:szCs w:val="24"/>
                  </w:rPr>
                  <m:t>z</m:t>
                </m:r>
              </m:e>
              <m:sub>
                <m:r>
                  <w:rPr>
                    <w:rStyle w:val="Bodytext210pt"/>
                    <w:rFonts w:ascii="Cambria Math" w:hAnsi="Cambria Math"/>
                    <w:sz w:val="24"/>
                    <w:szCs w:val="24"/>
                  </w:rPr>
                  <m:t>i</m:t>
                </m:r>
              </m:sub>
            </m:sSub>
          </m:den>
        </m:f>
      </m:oMath>
      <w:r w:rsidRPr="00B834A2">
        <w:rPr>
          <w:rStyle w:val="Bodytext210pt"/>
          <w:sz w:val="24"/>
          <w:szCs w:val="24"/>
        </w:rPr>
        <w:t xml:space="preserve">, որտեղ </w:t>
      </w:r>
      <w:r w:rsidRPr="00B834A2">
        <w:rPr>
          <w:rStyle w:val="Bodytext210pt8"/>
          <w:sz w:val="24"/>
          <w:szCs w:val="24"/>
        </w:rPr>
        <w:t>b-ն</w:t>
      </w:r>
      <w:r w:rsidRPr="00B834A2">
        <w:rPr>
          <w:rStyle w:val="Bodytext210pt"/>
          <w:sz w:val="24"/>
          <w:szCs w:val="24"/>
        </w:rPr>
        <w:t xml:space="preserve"> էլեկտրոդի </w:t>
      </w:r>
      <w:r w:rsidRPr="00B834A2">
        <w:rPr>
          <w:rFonts w:ascii="Sylfaen" w:hAnsi="Sylfaen"/>
          <w:sz w:val="24"/>
          <w:szCs w:val="24"/>
        </w:rPr>
        <w:t>ստուգաճշտման</w:t>
      </w:r>
      <w:r w:rsidRPr="00B834A2">
        <w:rPr>
          <w:rStyle w:val="Bodytext210pt"/>
          <w:sz w:val="24"/>
          <w:szCs w:val="24"/>
        </w:rPr>
        <w:t xml:space="preserve"> կորի թեքությունն է (էլեկտրոդային ֆունկցիայի թեքություն), ապա այդ դեպքում կատարվում է հավասարում՝</w:t>
      </w:r>
    </w:p>
    <w:p w14:paraId="1631B7B6" w14:textId="77777777" w:rsidR="00B834A2" w:rsidRPr="00B834A2" w:rsidRDefault="00B834A2" w:rsidP="00B834A2">
      <w:pPr>
        <w:pStyle w:val="Bodytext20"/>
        <w:shd w:val="clear" w:color="auto" w:fill="auto"/>
        <w:spacing w:before="0" w:after="160" w:line="360" w:lineRule="auto"/>
        <w:rPr>
          <w:rStyle w:val="Bodytext210pt3"/>
          <w:sz w:val="24"/>
          <w:szCs w:val="24"/>
        </w:rPr>
      </w:pPr>
      <m:oMathPara>
        <m:oMath>
          <m:r>
            <w:rPr>
              <w:rStyle w:val="Bodytext210pt3"/>
              <w:rFonts w:ascii="Cambria Math" w:hAnsi="Cambria Math"/>
              <w:sz w:val="24"/>
              <w:szCs w:val="24"/>
            </w:rPr>
            <m:t>E</m:t>
          </m:r>
          <m:r>
            <w:rPr>
              <w:rStyle w:val="Bodytext210pt3"/>
              <w:rFonts w:ascii="Cambria Math"/>
              <w:sz w:val="24"/>
              <w:szCs w:val="24"/>
            </w:rPr>
            <m:t>=</m:t>
          </m:r>
          <m:sSubSup>
            <m:sSubSupPr>
              <m:ctrlPr>
                <w:rPr>
                  <w:rStyle w:val="Bodytext210pt3"/>
                  <w:rFonts w:ascii="Cambria Math"/>
                  <w:i w:val="0"/>
                  <w:iCs w:val="0"/>
                  <w:sz w:val="24"/>
                  <w:szCs w:val="24"/>
                </w:rPr>
              </m:ctrlPr>
            </m:sSubSupPr>
            <m:e>
              <m:r>
                <w:rPr>
                  <w:rStyle w:val="Bodytext210pt3"/>
                  <w:rFonts w:ascii="Cambria Math" w:hAnsi="Cambria Math"/>
                  <w:sz w:val="24"/>
                  <w:szCs w:val="24"/>
                </w:rPr>
                <m:t>E</m:t>
              </m:r>
            </m:e>
            <m:sub>
              <m:r>
                <w:rPr>
                  <w:rStyle w:val="Bodytext210pt3"/>
                  <w:rFonts w:ascii="Cambria Math"/>
                  <w:sz w:val="24"/>
                  <w:szCs w:val="24"/>
                </w:rPr>
                <m:t>0</m:t>
              </m:r>
            </m:sub>
            <m:sup>
              <m:r>
                <w:rPr>
                  <w:rStyle w:val="Bodytext210pt3"/>
                  <w:rFonts w:ascii="Cambria Math"/>
                  <w:sz w:val="24"/>
                  <w:szCs w:val="24"/>
                </w:rPr>
                <m:t>'</m:t>
              </m:r>
            </m:sup>
          </m:sSubSup>
          <m:r>
            <w:rPr>
              <w:rStyle w:val="Bodytext210pt3"/>
              <w:rFonts w:ascii="Cambria Math"/>
              <w:sz w:val="24"/>
              <w:szCs w:val="24"/>
            </w:rPr>
            <m:t>+</m:t>
          </m:r>
          <m:r>
            <w:rPr>
              <w:rStyle w:val="Bodytext210pt3"/>
              <w:rFonts w:ascii="Cambria Math" w:hAnsi="Cambria Math"/>
              <w:sz w:val="24"/>
              <w:szCs w:val="24"/>
            </w:rPr>
            <m:t>b</m:t>
          </m:r>
          <m:func>
            <m:funcPr>
              <m:ctrlPr>
                <w:rPr>
                  <w:rStyle w:val="Bodytext210pt3"/>
                  <w:rFonts w:ascii="Cambria Math"/>
                  <w:i w:val="0"/>
                  <w:iCs w:val="0"/>
                  <w:sz w:val="24"/>
                  <w:szCs w:val="24"/>
                </w:rPr>
              </m:ctrlPr>
            </m:funcPr>
            <m:fName>
              <m:r>
                <w:rPr>
                  <w:rStyle w:val="Bodytext210pt3"/>
                  <w:rFonts w:ascii="Cambria Math" w:hAnsi="Cambria Math"/>
                  <w:sz w:val="24"/>
                  <w:szCs w:val="24"/>
                </w:rPr>
                <m:t>lg</m:t>
              </m:r>
            </m:fName>
            <m:e>
              <m:sSub>
                <m:sSubPr>
                  <m:ctrlPr>
                    <w:rPr>
                      <w:rStyle w:val="Bodytext210pt3"/>
                      <w:rFonts w:ascii="Cambria Math"/>
                      <w:i w:val="0"/>
                      <w:iCs w:val="0"/>
                      <w:sz w:val="24"/>
                      <w:szCs w:val="24"/>
                    </w:rPr>
                  </m:ctrlPr>
                </m:sSubPr>
                <m:e>
                  <m:r>
                    <w:rPr>
                      <w:rStyle w:val="Bodytext210pt3"/>
                      <w:rFonts w:ascii="Cambria Math" w:hAnsi="Cambria Math"/>
                      <w:sz w:val="24"/>
                      <w:szCs w:val="24"/>
                    </w:rPr>
                    <m:t>C</m:t>
                  </m:r>
                </m:e>
                <m:sub>
                  <m:r>
                    <w:rPr>
                      <w:rStyle w:val="Bodytext210pt3"/>
                      <w:rFonts w:ascii="Cambria Math" w:hAnsi="Cambria Math"/>
                      <w:sz w:val="24"/>
                      <w:szCs w:val="24"/>
                    </w:rPr>
                    <m:t>i</m:t>
                  </m:r>
                </m:sub>
              </m:sSub>
            </m:e>
          </m:func>
        </m:oMath>
      </m:oMathPara>
    </w:p>
    <w:p w14:paraId="0C6187F7" w14:textId="77777777" w:rsidR="00B834A2" w:rsidRPr="00B834A2" w:rsidRDefault="00B834A2" w:rsidP="00B834A2">
      <w:pPr>
        <w:pStyle w:val="Bodytext20"/>
        <w:shd w:val="clear" w:color="auto" w:fill="auto"/>
        <w:spacing w:before="0" w:after="160" w:line="360" w:lineRule="auto"/>
        <w:rPr>
          <w:rStyle w:val="Bodytext210pt3"/>
          <w:i w:val="0"/>
          <w:sz w:val="24"/>
          <w:szCs w:val="24"/>
        </w:rPr>
      </w:pPr>
      <w:r w:rsidRPr="00B834A2">
        <w:rPr>
          <w:rStyle w:val="Bodytext210pt"/>
          <w:sz w:val="24"/>
          <w:szCs w:val="24"/>
        </w:rPr>
        <w:t>հետ</w:t>
      </w:r>
      <w:r>
        <w:rPr>
          <w:rStyle w:val="Bodytext210pt"/>
          <w:sz w:val="24"/>
          <w:szCs w:val="24"/>
        </w:rPr>
        <w:t>եւ</w:t>
      </w:r>
      <w:r w:rsidRPr="00B834A2">
        <w:rPr>
          <w:rStyle w:val="Bodytext210pt"/>
          <w:sz w:val="24"/>
          <w:szCs w:val="24"/>
        </w:rPr>
        <w:t xml:space="preserve">յալի համար </w:t>
      </w:r>
      <m:oMath>
        <m:func>
          <m:funcPr>
            <m:ctrlPr>
              <w:rPr>
                <w:rStyle w:val="Bodytext210pt3"/>
                <w:rFonts w:ascii="Cambria Math"/>
                <w:i w:val="0"/>
                <w:iCs w:val="0"/>
                <w:sz w:val="24"/>
                <w:szCs w:val="24"/>
              </w:rPr>
            </m:ctrlPr>
          </m:funcPr>
          <m:fName>
            <m:r>
              <w:rPr>
                <w:rStyle w:val="Bodytext210pt3"/>
                <w:rFonts w:ascii="Cambria Math" w:hAnsi="Cambria Math"/>
                <w:sz w:val="24"/>
                <w:szCs w:val="24"/>
              </w:rPr>
              <m:t>-lg</m:t>
            </m:r>
          </m:fName>
          <m:e>
            <m:sSub>
              <m:sSubPr>
                <m:ctrlPr>
                  <w:rPr>
                    <w:rStyle w:val="Bodytext210pt3"/>
                    <w:rFonts w:ascii="Cambria Math"/>
                    <w:i w:val="0"/>
                    <w:iCs w:val="0"/>
                    <w:sz w:val="24"/>
                    <w:szCs w:val="24"/>
                  </w:rPr>
                </m:ctrlPr>
              </m:sSubPr>
              <m:e>
                <m:r>
                  <w:rPr>
                    <w:rStyle w:val="Bodytext210pt3"/>
                    <w:rFonts w:ascii="Cambria Math" w:hAnsi="Cambria Math"/>
                    <w:sz w:val="24"/>
                    <w:szCs w:val="24"/>
                  </w:rPr>
                  <m:t>C</m:t>
                </m:r>
              </m:e>
              <m:sub>
                <m:r>
                  <w:rPr>
                    <w:rStyle w:val="Bodytext210pt3"/>
                    <w:rFonts w:ascii="Cambria Math" w:hAnsi="Cambria Math"/>
                    <w:sz w:val="24"/>
                    <w:szCs w:val="24"/>
                  </w:rPr>
                  <m:t>i</m:t>
                </m:r>
              </m:sub>
            </m:sSub>
            <m:r>
              <w:rPr>
                <w:rStyle w:val="Bodytext210pt3"/>
                <w:rFonts w:ascii="Cambria Math"/>
                <w:sz w:val="24"/>
                <w:szCs w:val="24"/>
              </w:rPr>
              <m:t>=</m:t>
            </m:r>
            <m:r>
              <w:rPr>
                <w:rStyle w:val="Bodytext210pt3"/>
                <w:rFonts w:ascii="Cambria Math" w:hAnsi="Cambria Math"/>
                <w:sz w:val="24"/>
                <w:szCs w:val="24"/>
              </w:rPr>
              <m:t>p</m:t>
            </m:r>
            <m:sSub>
              <m:sSubPr>
                <m:ctrlPr>
                  <w:rPr>
                    <w:rStyle w:val="Bodytext210pt3"/>
                    <w:rFonts w:ascii="Cambria Math"/>
                    <w:i w:val="0"/>
                    <w:iCs w:val="0"/>
                    <w:sz w:val="24"/>
                    <w:szCs w:val="24"/>
                  </w:rPr>
                </m:ctrlPr>
              </m:sSubPr>
              <m:e>
                <m:r>
                  <w:rPr>
                    <w:rStyle w:val="Bodytext210pt3"/>
                    <w:rFonts w:ascii="Cambria Math" w:hAnsi="Cambria Math"/>
                    <w:sz w:val="24"/>
                    <w:szCs w:val="24"/>
                  </w:rPr>
                  <m:t>C</m:t>
                </m:r>
              </m:e>
              <m:sub>
                <m:r>
                  <w:rPr>
                    <w:rStyle w:val="Bodytext210pt3"/>
                    <w:rFonts w:ascii="Cambria Math" w:hAnsi="Cambria Math"/>
                    <w:sz w:val="24"/>
                    <w:szCs w:val="24"/>
                  </w:rPr>
                  <m:t>i</m:t>
                </m:r>
              </m:sub>
            </m:sSub>
            <m:r>
              <w:rPr>
                <w:rStyle w:val="Bodytext210pt3"/>
                <w:rFonts w:ascii="Cambria Math"/>
                <w:sz w:val="24"/>
                <w:szCs w:val="24"/>
              </w:rPr>
              <m:t>:</m:t>
            </m:r>
            <m:r>
              <w:rPr>
                <w:rStyle w:val="Bodytext210pt3"/>
                <w:rFonts w:ascii="Cambria Math" w:hAnsi="Cambria Math"/>
                <w:sz w:val="24"/>
                <w:szCs w:val="24"/>
              </w:rPr>
              <m:t>E</m:t>
            </m:r>
            <m:r>
              <w:rPr>
                <w:rStyle w:val="Bodytext210pt3"/>
                <w:rFonts w:ascii="Cambria Math"/>
                <w:sz w:val="24"/>
                <w:szCs w:val="24"/>
              </w:rPr>
              <m:t>=</m:t>
            </m:r>
            <m:sSubSup>
              <m:sSubSupPr>
                <m:ctrlPr>
                  <w:rPr>
                    <w:rStyle w:val="Bodytext210pt3"/>
                    <w:rFonts w:ascii="Cambria Math"/>
                    <w:i w:val="0"/>
                    <w:iCs w:val="0"/>
                    <w:sz w:val="24"/>
                    <w:szCs w:val="24"/>
                  </w:rPr>
                </m:ctrlPr>
              </m:sSubSupPr>
              <m:e>
                <m:r>
                  <w:rPr>
                    <w:rStyle w:val="Bodytext210pt3"/>
                    <w:rFonts w:ascii="Cambria Math" w:hAnsi="Cambria Math"/>
                    <w:sz w:val="24"/>
                    <w:szCs w:val="24"/>
                  </w:rPr>
                  <m:t>E</m:t>
                </m:r>
              </m:e>
              <m:sub>
                <m:r>
                  <w:rPr>
                    <w:rStyle w:val="Bodytext210pt3"/>
                    <w:rFonts w:ascii="Cambria Math"/>
                    <w:sz w:val="24"/>
                    <w:szCs w:val="24"/>
                  </w:rPr>
                  <m:t>0</m:t>
                </m:r>
              </m:sub>
              <m:sup>
                <m:r>
                  <w:rPr>
                    <w:rStyle w:val="Bodytext210pt3"/>
                    <w:rFonts w:ascii="Cambria Math"/>
                    <w:sz w:val="24"/>
                    <w:szCs w:val="24"/>
                  </w:rPr>
                  <m:t>'</m:t>
                </m:r>
              </m:sup>
            </m:sSubSup>
            <m:r>
              <w:rPr>
                <w:rStyle w:val="Bodytext210pt3"/>
                <w:rFonts w:ascii="Cambria Math" w:hAnsi="Cambria Math"/>
                <w:sz w:val="24"/>
                <w:szCs w:val="24"/>
              </w:rPr>
              <m:t>-bp</m:t>
            </m:r>
            <m:sSub>
              <m:sSubPr>
                <m:ctrlPr>
                  <w:rPr>
                    <w:rStyle w:val="Bodytext210pt3"/>
                    <w:rFonts w:ascii="Cambria Math"/>
                    <w:i w:val="0"/>
                    <w:iCs w:val="0"/>
                    <w:sz w:val="24"/>
                    <w:szCs w:val="24"/>
                  </w:rPr>
                </m:ctrlPr>
              </m:sSubPr>
              <m:e>
                <m:r>
                  <w:rPr>
                    <w:rStyle w:val="Bodytext210pt3"/>
                    <w:rFonts w:ascii="Cambria Math" w:hAnsi="Cambria Math"/>
                    <w:sz w:val="24"/>
                    <w:szCs w:val="24"/>
                  </w:rPr>
                  <m:t>C</m:t>
                </m:r>
              </m:e>
              <m:sub>
                <m:r>
                  <w:rPr>
                    <w:rStyle w:val="Bodytext210pt3"/>
                    <w:rFonts w:ascii="Cambria Math" w:hAnsi="Cambria Math"/>
                    <w:sz w:val="24"/>
                    <w:szCs w:val="24"/>
                  </w:rPr>
                  <m:t>i</m:t>
                </m:r>
              </m:sub>
            </m:sSub>
            <m:r>
              <w:rPr>
                <w:rStyle w:val="Bodytext210pt3"/>
                <w:rFonts w:ascii="Cambria Math" w:hAnsi="Cambria Math"/>
                <w:sz w:val="24"/>
                <w:szCs w:val="24"/>
              </w:rPr>
              <m:t>։</m:t>
            </m:r>
          </m:e>
        </m:func>
      </m:oMath>
    </w:p>
    <w:p w14:paraId="14A9CB76" w14:textId="77777777" w:rsidR="00B834A2" w:rsidRPr="00B834A2" w:rsidRDefault="00B834A2" w:rsidP="00B834A2">
      <w:pPr>
        <w:spacing w:after="160" w:line="360" w:lineRule="auto"/>
        <w:ind w:firstLine="567"/>
        <w:jc w:val="both"/>
      </w:pPr>
      <w:r w:rsidRPr="00B834A2">
        <w:rPr>
          <w:rStyle w:val="Bodytext210pt"/>
          <w:sz w:val="24"/>
          <w:szCs w:val="24"/>
        </w:rPr>
        <w:t>Իոնների կոնցենտրացիայի պոտենցաչափական որոշումը կատարում են փորձարկվող լուծույթ ընկղմված երկու համապատասխան էլեկտրոդների միջ</w:t>
      </w:r>
      <w:r>
        <w:rPr>
          <w:rStyle w:val="Bodytext210pt"/>
          <w:sz w:val="24"/>
          <w:szCs w:val="24"/>
        </w:rPr>
        <w:t>եւ</w:t>
      </w:r>
      <w:r w:rsidRPr="00B834A2">
        <w:rPr>
          <w:rStyle w:val="Bodytext210pt"/>
          <w:sz w:val="24"/>
          <w:szCs w:val="24"/>
        </w:rPr>
        <w:t xml:space="preserve"> պոտենցիալների տարբերության չափման միջոցով.</w:t>
      </w:r>
    </w:p>
    <w:p w14:paraId="50EF3CF4" w14:textId="77777777" w:rsidR="00B834A2" w:rsidRPr="002B742F" w:rsidRDefault="00B834A2" w:rsidP="002B742F">
      <w:pPr>
        <w:spacing w:after="120"/>
        <w:rPr>
          <w:sz w:val="20"/>
        </w:rPr>
      </w:pPr>
    </w:p>
    <w:p w14:paraId="05023EFD" w14:textId="77777777" w:rsidR="00B834A2" w:rsidRPr="00B834A2" w:rsidRDefault="00B834A2" w:rsidP="00B834A2">
      <w:pPr>
        <w:spacing w:after="160" w:line="360" w:lineRule="auto"/>
        <w:ind w:firstLine="567"/>
        <w:rPr>
          <w:rStyle w:val="Bodytext210pt8"/>
          <w:sz w:val="24"/>
          <w:szCs w:val="24"/>
        </w:rPr>
      </w:pPr>
      <w:r w:rsidRPr="00B834A2">
        <w:rPr>
          <w:rStyle w:val="Bodytext210pt"/>
          <w:sz w:val="24"/>
          <w:szCs w:val="24"/>
        </w:rPr>
        <w:t>Աղյուսակ 2.1.2.47.-1</w:t>
      </w:r>
      <w:r w:rsidR="00123D1A" w:rsidRPr="00123D1A">
        <w:rPr>
          <w:rStyle w:val="Bodytext210pt"/>
          <w:sz w:val="24"/>
          <w:szCs w:val="24"/>
        </w:rPr>
        <w:t xml:space="preserve"> </w:t>
      </w:r>
      <w:r w:rsidR="00824023" w:rsidRPr="00824023">
        <w:rPr>
          <w:rStyle w:val="Bodytext210pt"/>
          <w:sz w:val="24"/>
          <w:szCs w:val="24"/>
        </w:rPr>
        <w:t>-</w:t>
      </w:r>
      <w:r w:rsidRPr="00B834A2">
        <w:rPr>
          <w:rStyle w:val="Bodytext210pt"/>
          <w:sz w:val="24"/>
          <w:szCs w:val="24"/>
        </w:rPr>
        <w:t xml:space="preserve"> </w:t>
      </w:r>
      <w:r w:rsidRPr="00B834A2">
        <w:rPr>
          <w:rStyle w:val="Bodytext210pt8"/>
          <w:sz w:val="24"/>
          <w:szCs w:val="24"/>
        </w:rPr>
        <w:t>k-ի արժեքները տարբեր ջերմաստիճաններում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4"/>
        <w:gridCol w:w="2352"/>
      </w:tblGrid>
      <w:tr w:rsidR="00B834A2" w:rsidRPr="002B742F" w14:paraId="42A227F6" w14:textId="77777777" w:rsidTr="00B834A2">
        <w:trPr>
          <w:jc w:val="center"/>
        </w:trPr>
        <w:tc>
          <w:tcPr>
            <w:tcW w:w="2414" w:type="dxa"/>
            <w:tcBorders>
              <w:top w:val="single" w:sz="4" w:space="0" w:color="auto"/>
            </w:tcBorders>
            <w:shd w:val="clear" w:color="auto" w:fill="FFFFFF"/>
            <w:vAlign w:val="bottom"/>
          </w:tcPr>
          <w:p w14:paraId="42371FB7"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Ջերմաստիճանը, °С</w:t>
            </w:r>
          </w:p>
        </w:tc>
        <w:tc>
          <w:tcPr>
            <w:tcW w:w="2352" w:type="dxa"/>
            <w:tcBorders>
              <w:top w:val="single" w:sz="4" w:space="0" w:color="auto"/>
            </w:tcBorders>
            <w:shd w:val="clear" w:color="auto" w:fill="FFFFFF"/>
            <w:vAlign w:val="bottom"/>
          </w:tcPr>
          <w:p w14:paraId="57C884F9" w14:textId="77777777" w:rsidR="00B834A2" w:rsidRPr="002B742F" w:rsidRDefault="00B834A2" w:rsidP="00824023">
            <w:pPr>
              <w:pStyle w:val="Bodytext20"/>
              <w:shd w:val="clear" w:color="auto" w:fill="auto"/>
              <w:spacing w:before="0" w:line="240" w:lineRule="auto"/>
              <w:rPr>
                <w:rFonts w:ascii="Sylfaen" w:hAnsi="Sylfaen"/>
                <w:sz w:val="20"/>
                <w:szCs w:val="24"/>
                <w:lang w:val="en-GB"/>
              </w:rPr>
            </w:pPr>
            <w:r w:rsidRPr="002B742F">
              <w:rPr>
                <w:rStyle w:val="Bodytext210pt8"/>
                <w:szCs w:val="24"/>
                <w:lang w:val="en-GB"/>
              </w:rPr>
              <w:t>k</w:t>
            </w:r>
          </w:p>
        </w:tc>
      </w:tr>
      <w:tr w:rsidR="00B834A2" w:rsidRPr="002B742F" w14:paraId="7D1B9D3D" w14:textId="77777777" w:rsidTr="00B834A2">
        <w:trPr>
          <w:jc w:val="center"/>
        </w:trPr>
        <w:tc>
          <w:tcPr>
            <w:tcW w:w="2414" w:type="dxa"/>
            <w:tcBorders>
              <w:top w:val="single" w:sz="4" w:space="0" w:color="auto"/>
            </w:tcBorders>
            <w:shd w:val="clear" w:color="auto" w:fill="FFFFFF"/>
            <w:vAlign w:val="bottom"/>
          </w:tcPr>
          <w:p w14:paraId="61E3EA99"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20</w:t>
            </w:r>
          </w:p>
        </w:tc>
        <w:tc>
          <w:tcPr>
            <w:tcW w:w="2352" w:type="dxa"/>
            <w:tcBorders>
              <w:top w:val="single" w:sz="4" w:space="0" w:color="auto"/>
            </w:tcBorders>
            <w:shd w:val="clear" w:color="auto" w:fill="FFFFFF"/>
            <w:vAlign w:val="bottom"/>
          </w:tcPr>
          <w:p w14:paraId="7FABCE70"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0,0582</w:t>
            </w:r>
          </w:p>
        </w:tc>
      </w:tr>
      <w:tr w:rsidR="00B834A2" w:rsidRPr="002B742F" w14:paraId="277FDB5B" w14:textId="77777777" w:rsidTr="00B834A2">
        <w:trPr>
          <w:jc w:val="center"/>
        </w:trPr>
        <w:tc>
          <w:tcPr>
            <w:tcW w:w="2414" w:type="dxa"/>
            <w:shd w:val="clear" w:color="auto" w:fill="FFFFFF"/>
            <w:vAlign w:val="bottom"/>
          </w:tcPr>
          <w:p w14:paraId="276C256C"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25</w:t>
            </w:r>
          </w:p>
        </w:tc>
        <w:tc>
          <w:tcPr>
            <w:tcW w:w="2352" w:type="dxa"/>
            <w:shd w:val="clear" w:color="auto" w:fill="FFFFFF"/>
            <w:vAlign w:val="bottom"/>
          </w:tcPr>
          <w:p w14:paraId="7AE4683D"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0,0592</w:t>
            </w:r>
          </w:p>
        </w:tc>
      </w:tr>
      <w:tr w:rsidR="00B834A2" w:rsidRPr="002B742F" w14:paraId="4C51638A" w14:textId="77777777" w:rsidTr="00824023">
        <w:trPr>
          <w:jc w:val="center"/>
        </w:trPr>
        <w:tc>
          <w:tcPr>
            <w:tcW w:w="2414" w:type="dxa"/>
            <w:tcBorders>
              <w:bottom w:val="single" w:sz="8" w:space="0" w:color="auto"/>
            </w:tcBorders>
            <w:shd w:val="clear" w:color="auto" w:fill="FFFFFF"/>
            <w:vAlign w:val="center"/>
          </w:tcPr>
          <w:p w14:paraId="6F0EFAD0"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30</w:t>
            </w:r>
          </w:p>
        </w:tc>
        <w:tc>
          <w:tcPr>
            <w:tcW w:w="2352" w:type="dxa"/>
            <w:tcBorders>
              <w:bottom w:val="single" w:sz="8" w:space="0" w:color="auto"/>
            </w:tcBorders>
            <w:shd w:val="clear" w:color="auto" w:fill="FFFFFF"/>
            <w:vAlign w:val="bottom"/>
          </w:tcPr>
          <w:p w14:paraId="2CB8E5B7" w14:textId="77777777" w:rsidR="00B834A2" w:rsidRPr="002B742F" w:rsidRDefault="00B834A2" w:rsidP="00824023">
            <w:pPr>
              <w:pStyle w:val="Bodytext20"/>
              <w:shd w:val="clear" w:color="auto" w:fill="auto"/>
              <w:spacing w:before="0" w:line="240" w:lineRule="auto"/>
              <w:rPr>
                <w:rFonts w:ascii="Sylfaen" w:hAnsi="Sylfaen"/>
                <w:sz w:val="20"/>
                <w:szCs w:val="24"/>
              </w:rPr>
            </w:pPr>
            <w:r w:rsidRPr="002B742F">
              <w:rPr>
                <w:rStyle w:val="Bodytext210pt"/>
                <w:szCs w:val="24"/>
              </w:rPr>
              <w:t>0,0602</w:t>
            </w:r>
          </w:p>
        </w:tc>
      </w:tr>
    </w:tbl>
    <w:p w14:paraId="6964789A" w14:textId="77777777" w:rsidR="006E41D4" w:rsidRDefault="006E41D4" w:rsidP="00B834A2">
      <w:pPr>
        <w:pStyle w:val="Bodytext20"/>
        <w:shd w:val="clear" w:color="auto" w:fill="auto"/>
        <w:spacing w:before="0" w:after="160" w:line="360" w:lineRule="auto"/>
        <w:rPr>
          <w:rStyle w:val="Bodytext210pt"/>
          <w:sz w:val="24"/>
          <w:szCs w:val="24"/>
        </w:rPr>
      </w:pPr>
    </w:p>
    <w:p w14:paraId="4E73931F"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Ինդիկատորային էլեկտրոդը սելեկտիվ է որոշվող իոնի նկատմամբ, մյուսը համեմատման էլեկտրոդ է:</w:t>
      </w:r>
    </w:p>
    <w:p w14:paraId="42DFEAAC" w14:textId="77777777" w:rsidR="00B834A2" w:rsidRPr="00B834A2" w:rsidRDefault="00B834A2" w:rsidP="00DE4F37">
      <w:pPr>
        <w:pStyle w:val="Bodytext20"/>
        <w:shd w:val="clear" w:color="auto" w:fill="auto"/>
        <w:spacing w:before="0" w:after="160" w:line="346" w:lineRule="auto"/>
        <w:ind w:firstLine="567"/>
        <w:jc w:val="both"/>
        <w:rPr>
          <w:rFonts w:ascii="Sylfaen" w:hAnsi="Sylfaen"/>
          <w:sz w:val="24"/>
          <w:szCs w:val="24"/>
        </w:rPr>
      </w:pPr>
      <w:r w:rsidRPr="00B834A2">
        <w:rPr>
          <w:rStyle w:val="Bodytext210pt8"/>
          <w:b/>
          <w:sz w:val="24"/>
          <w:szCs w:val="24"/>
        </w:rPr>
        <w:lastRenderedPageBreak/>
        <w:t>Սարք:</w:t>
      </w:r>
      <w:r w:rsidRPr="00B834A2">
        <w:rPr>
          <w:rStyle w:val="Bodytext210pt"/>
          <w:sz w:val="24"/>
          <w:szCs w:val="24"/>
        </w:rPr>
        <w:t xml:space="preserve"> Օգտագործվում է վոլտմետր, որը թույլ է տալիս կատարել օգտագործվող էլեկտրոդների դիմադրությունը 100 անգամ գերազանցող մուտքային դիմադրությամբ՝ 0,1 մՎ ճշգրտությամբ չափումներ:</w:t>
      </w:r>
    </w:p>
    <w:p w14:paraId="233A9D3B" w14:textId="77777777" w:rsidR="00B834A2" w:rsidRPr="00B834A2" w:rsidRDefault="00B834A2" w:rsidP="00DE4F37">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Որպես իոնասելեկտիվ էլեկտրոդներ՝ օգտագործում են հիմնականում բյուրեղային կամ ոչ բյուրեղային թաղանթով էլեկտրոդներ (օրինակ՝ ապակե էլեկտրոդներ) կամ լիցքավորված (դրական կամ բացասական) կամ չլիցքավորված շարժական լիցքակիրներով էլեկտրոդներ կամ զգայունացված էլեկտրոդներ (ֆերմենտային էլեկտրոդներ, գազ-ինդիկատորային էլեկտրոդներ): Համեմատման էլեկտրոդ է սովորաբար համապատասխան միացնող իներտ հեղուկների միախառնումը բացառող՝ դրանցով քլորարծաթե էլեկտրոդը:</w:t>
      </w:r>
    </w:p>
    <w:p w14:paraId="1AAEA49F" w14:textId="77777777" w:rsidR="00B834A2" w:rsidRPr="00B834A2" w:rsidRDefault="00B834A2" w:rsidP="00DE4F37">
      <w:pPr>
        <w:pStyle w:val="Bodytext20"/>
        <w:shd w:val="clear" w:color="auto" w:fill="auto"/>
        <w:spacing w:before="0" w:after="160" w:line="346" w:lineRule="auto"/>
        <w:ind w:firstLine="567"/>
        <w:jc w:val="both"/>
        <w:rPr>
          <w:rFonts w:ascii="Sylfaen" w:hAnsi="Sylfaen"/>
          <w:sz w:val="24"/>
          <w:szCs w:val="24"/>
        </w:rPr>
      </w:pPr>
      <w:r w:rsidRPr="00B834A2">
        <w:rPr>
          <w:rStyle w:val="Bodytext210pt8"/>
          <w:sz w:val="24"/>
          <w:szCs w:val="24"/>
        </w:rPr>
        <w:t>Մեթոդիկա:</w:t>
      </w:r>
      <w:r w:rsidRPr="00B834A2">
        <w:rPr>
          <w:rStyle w:val="Bodytext210pt"/>
          <w:sz w:val="24"/>
          <w:szCs w:val="24"/>
        </w:rPr>
        <w:t xml:space="preserve"> Չափումներն անցկացնում են ±0,5 °С ճշգրտությամբ հաստատուն ջերմաստիճանում՝ հաշվի առնելով ջերմաստիճանով պայմանավորված էլեկտրոդի էլեկտրոդային ֆունկցիայի թեքության փոփոխությունը (տես աղյուսակ 2.1.2.47.-1):</w:t>
      </w:r>
    </w:p>
    <w:p w14:paraId="38EE267A" w14:textId="77777777" w:rsidR="00B834A2" w:rsidRPr="00B834A2" w:rsidRDefault="00B834A2" w:rsidP="00DE4F37">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 xml:space="preserve">Փորձարկվող լուծույթի իոնային ուժը </w:t>
      </w:r>
      <w:r>
        <w:rPr>
          <w:rStyle w:val="Bodytext210pt"/>
          <w:sz w:val="24"/>
          <w:szCs w:val="24"/>
        </w:rPr>
        <w:t>եւ</w:t>
      </w:r>
      <w:r w:rsidRPr="00B834A2">
        <w:rPr>
          <w:rStyle w:val="Bodytext210pt"/>
          <w:sz w:val="24"/>
          <w:szCs w:val="24"/>
        </w:rPr>
        <w:t xml:space="preserve">, անհրաժեշտության դեպքում, pH-ը ճշգրտում են մասնավոր դեղագրքային հոդվածում </w:t>
      </w:r>
      <w:r>
        <w:rPr>
          <w:rStyle w:val="Bodytext210pt"/>
          <w:sz w:val="24"/>
          <w:szCs w:val="24"/>
        </w:rPr>
        <w:t>եւ</w:t>
      </w:r>
      <w:r w:rsidRPr="00B834A2">
        <w:rPr>
          <w:rStyle w:val="Bodytext210pt"/>
          <w:sz w:val="24"/>
          <w:szCs w:val="24"/>
        </w:rPr>
        <w:t xml:space="preserve"> (կամ) որակի վերաբերյալ նորմատիվ փաստաթղթում նշված բուֆերային լուծույթներով. հավասարակշռման համար էլեկտրոդն ընկղմում են փորձարկվող լուծույթի մեջ, որը դանդաղ միախառնում են հաստատուն արագությամբ </w:t>
      </w:r>
      <w:r>
        <w:rPr>
          <w:rStyle w:val="Bodytext210pt"/>
          <w:sz w:val="24"/>
          <w:szCs w:val="24"/>
        </w:rPr>
        <w:t>եւ</w:t>
      </w:r>
      <w:r w:rsidRPr="00B834A2">
        <w:rPr>
          <w:rStyle w:val="Bodytext210pt"/>
          <w:sz w:val="24"/>
          <w:szCs w:val="24"/>
        </w:rPr>
        <w:t xml:space="preserve"> գրանցում սարքի հաստատված ցուցմունքը: </w:t>
      </w:r>
    </w:p>
    <w:p w14:paraId="2346F16F" w14:textId="77777777" w:rsidR="00B834A2" w:rsidRPr="00DE4F37" w:rsidRDefault="00B834A2" w:rsidP="00DE4F37">
      <w:pPr>
        <w:spacing w:after="160" w:line="346" w:lineRule="auto"/>
        <w:ind w:firstLine="567"/>
        <w:jc w:val="both"/>
        <w:rPr>
          <w:spacing w:val="-6"/>
        </w:rPr>
      </w:pPr>
      <w:r w:rsidRPr="00DE4F37">
        <w:rPr>
          <w:rStyle w:val="Bodytext210pt"/>
          <w:spacing w:val="-6"/>
          <w:sz w:val="24"/>
          <w:szCs w:val="24"/>
        </w:rPr>
        <w:t xml:space="preserve">Եթե էլեկտրոդային համակարգն օգտագործվում է հաճախ, ապա պարբերաբար ստուգում են ազդանշանի վերարտադրելիությունը եւ կայունությունը, ստուգաճշտման կորի կամ հաշվարկային ալգորիթմի՝ փորձարկվող լուծույթի կոնցենտրացիաների սահմաններում գծայնությունը, եթե ոչ, ապա անցկացնում են ստուգում փոփոխությունների յուրաքանչյուր սերիայից առաջ: </w:t>
      </w:r>
    </w:p>
    <w:p w14:paraId="73A9045D" w14:textId="77777777" w:rsidR="00B834A2" w:rsidRPr="00B834A2" w:rsidRDefault="00B834A2" w:rsidP="00DE4F37">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Սարքի ցուցմունքները համարվում են գծային, եթե ստուգաճշտման կորի թեքությունը մոտավորապես հավասար է հետ</w:t>
      </w:r>
      <w:r>
        <w:rPr>
          <w:rStyle w:val="Bodytext210pt"/>
          <w:sz w:val="24"/>
          <w:szCs w:val="24"/>
        </w:rPr>
        <w:t>եւ</w:t>
      </w:r>
      <w:r w:rsidRPr="00B834A2">
        <w:rPr>
          <w:rStyle w:val="Bodytext210pt"/>
          <w:sz w:val="24"/>
          <w:szCs w:val="24"/>
        </w:rPr>
        <w:t>յալ հարաբերությանը՝</w:t>
      </w:r>
    </w:p>
    <w:p w14:paraId="36196A35" w14:textId="77777777" w:rsidR="00B834A2" w:rsidRPr="00B834A2" w:rsidRDefault="00000000" w:rsidP="00B834A2">
      <w:pPr>
        <w:spacing w:after="160" w:line="360" w:lineRule="auto"/>
        <w:jc w:val="center"/>
      </w:pPr>
      <m:oMathPara>
        <m:oMath>
          <m:f>
            <m:fPr>
              <m:ctrlPr>
                <w:rPr>
                  <w:rFonts w:ascii="Cambria Math" w:hAnsi="Cambria Math"/>
                  <w:i/>
                </w:rPr>
              </m:ctrlPr>
            </m:fPr>
            <m:num>
              <m:r>
                <w:rPr>
                  <w:rFonts w:ascii="Cambria Math" w:hAnsi="Cambria Math"/>
                </w:rPr>
                <m:t>k</m:t>
              </m:r>
              <m:r>
                <w:rPr>
                  <w:rFonts w:ascii="Cambria Math"/>
                </w:rPr>
                <m:t>/</m:t>
              </m:r>
              <m:sSub>
                <m:sSubPr>
                  <m:ctrlPr>
                    <w:rPr>
                      <w:rFonts w:ascii="Cambria Math" w:hAnsi="Cambria Math"/>
                      <w:i/>
                    </w:rPr>
                  </m:ctrlPr>
                </m:sSubPr>
                <m:e>
                  <m:r>
                    <w:rPr>
                      <w:rFonts w:ascii="Cambria Math" w:hAnsi="Cambria Math"/>
                    </w:rPr>
                    <m:t>z</m:t>
                  </m:r>
                </m:e>
                <m:sub>
                  <m:r>
                    <w:rPr>
                      <w:rFonts w:ascii="Cambria Math" w:hAnsi="Cambria Math"/>
                    </w:rPr>
                    <m:t>i</m:t>
                  </m:r>
                </m:sub>
              </m:sSub>
            </m:num>
            <m:den>
              <m:sSub>
                <m:sSubPr>
                  <m:ctrlPr>
                    <w:rPr>
                      <w:rFonts w:ascii="Cambria Math" w:hAnsi="Cambria Math"/>
                      <w:i/>
                    </w:rPr>
                  </m:ctrlPr>
                </m:sSubPr>
                <m:e>
                  <m:r>
                    <w:rPr>
                      <w:rFonts w:ascii="Cambria Math" w:hAnsi="Cambria Math"/>
                    </w:rPr>
                    <m:t>pC</m:t>
                  </m:r>
                </m:e>
                <m:sub>
                  <m:r>
                    <w:rPr>
                      <w:rFonts w:ascii="Cambria Math" w:hAnsi="Cambria Math"/>
                    </w:rPr>
                    <m:t>i</m:t>
                  </m:r>
                </m:sub>
              </m:sSub>
            </m:den>
          </m:f>
        </m:oMath>
      </m:oMathPara>
    </w:p>
    <w:p w14:paraId="080C4800" w14:textId="77777777" w:rsidR="00B834A2" w:rsidRPr="00C41622" w:rsidRDefault="00B834A2" w:rsidP="002B742F">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ՄԵԹՈԴ 1 (ՍՏՈՒԳԱՃՇՏՄԱՆ ԿՈՐԻ ՄԵԹՈԴ)</w:t>
      </w:r>
    </w:p>
    <w:p w14:paraId="5A32EC2F"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Հաջորդաբար չափում են առնվազն երեք անգամ փորձարկվող լուծույթի ակնկալվող կոնցենտրացիայի ընդգրկույթում՝ համեմատման առնվազն երեք լուծույթների պոտենցիալները: Հաշվարկում են ստուգաճշտման կորի հավասարումը կամ կառուցում են պոտենցիալի միջին արժեքի՝ դրան համապատասխանող՝ որպես </w:t>
      </w:r>
      <w:r w:rsidR="002B742F">
        <w:rPr>
          <w:rStyle w:val="Bodytext210pt"/>
          <w:sz w:val="24"/>
          <w:szCs w:val="24"/>
        </w:rPr>
        <w:t>-</w:t>
      </w:r>
      <w:r w:rsidRPr="00B834A2">
        <w:rPr>
          <w:rStyle w:val="Bodytext210pt"/>
          <w:sz w:val="24"/>
          <w:szCs w:val="24"/>
        </w:rPr>
        <w:t>lgС</w:t>
      </w:r>
      <w:r w:rsidRPr="00B834A2">
        <w:rPr>
          <w:rStyle w:val="Bodytext210pt"/>
          <w:sz w:val="24"/>
          <w:szCs w:val="24"/>
          <w:vertAlign w:val="subscript"/>
        </w:rPr>
        <w:t>i</w:t>
      </w:r>
      <w:r w:rsidRPr="00B834A2">
        <w:rPr>
          <w:rStyle w:val="Bodytext210pt"/>
          <w:sz w:val="24"/>
          <w:szCs w:val="24"/>
        </w:rPr>
        <w:t>,- կամ pC</w:t>
      </w:r>
      <w:r w:rsidRPr="00B834A2">
        <w:rPr>
          <w:rStyle w:val="Bodytext210pt"/>
          <w:sz w:val="24"/>
          <w:szCs w:val="24"/>
          <w:vertAlign w:val="subscript"/>
        </w:rPr>
        <w:t>i</w:t>
      </w:r>
      <w:r w:rsidRPr="00B834A2">
        <w:rPr>
          <w:rStyle w:val="Bodytext210pt"/>
          <w:sz w:val="24"/>
          <w:szCs w:val="24"/>
        </w:rPr>
        <w:t xml:space="preserve"> արտահայտված որոշված իոնի կոնցենտրացիայի արժեքից կախվածության գրաֆիկը:</w:t>
      </w:r>
      <w:r>
        <w:rPr>
          <w:rStyle w:val="Bodytext210pt"/>
          <w:sz w:val="24"/>
          <w:szCs w:val="24"/>
        </w:rPr>
        <w:t xml:space="preserve"> </w:t>
      </w:r>
    </w:p>
    <w:p w14:paraId="6E9BAC26"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077901">
        <w:rPr>
          <w:rStyle w:val="Bodytext210pt"/>
          <w:spacing w:val="4"/>
          <w:sz w:val="24"/>
          <w:szCs w:val="24"/>
        </w:rPr>
        <w:t>Փորձարկվող լուծույթը պատրաստում են մասնավոր դեղագրքային հոդվածի եւ (</w:t>
      </w:r>
      <w:r w:rsidRPr="00B834A2">
        <w:rPr>
          <w:rStyle w:val="Bodytext210pt"/>
          <w:sz w:val="24"/>
          <w:szCs w:val="24"/>
        </w:rPr>
        <w:t xml:space="preserve">կամ) որակի վերաբերյալ նորմատիվ փաստաթղթի ցուցումներին համապատասխան. երեք անգամ չափում են պոտենցիալը </w:t>
      </w:r>
      <w:r>
        <w:rPr>
          <w:rStyle w:val="Bodytext210pt"/>
          <w:sz w:val="24"/>
          <w:szCs w:val="24"/>
        </w:rPr>
        <w:t>եւ</w:t>
      </w:r>
      <w:r w:rsidRPr="00B834A2">
        <w:rPr>
          <w:rStyle w:val="Bodytext210pt"/>
          <w:sz w:val="24"/>
          <w:szCs w:val="24"/>
        </w:rPr>
        <w:t xml:space="preserve"> հաշվարկում պոտենցիալի միջին արժեքով որոշվող իոնի կոնցենտրացիան՝ օգտագործելով ստուգաճշտման կոր:</w:t>
      </w:r>
    </w:p>
    <w:p w14:paraId="65282F47" w14:textId="77777777" w:rsidR="00B834A2" w:rsidRPr="00B834A2" w:rsidRDefault="00B834A2" w:rsidP="00B834A2">
      <w:pPr>
        <w:pStyle w:val="Bodytext20"/>
        <w:shd w:val="clear" w:color="auto" w:fill="auto"/>
        <w:spacing w:before="0" w:after="160" w:line="360" w:lineRule="auto"/>
        <w:jc w:val="left"/>
        <w:rPr>
          <w:rStyle w:val="Bodytext210pt"/>
          <w:sz w:val="24"/>
          <w:szCs w:val="24"/>
        </w:rPr>
      </w:pPr>
    </w:p>
    <w:p w14:paraId="51AAB233" w14:textId="77777777" w:rsidR="00B834A2" w:rsidRPr="00C41622" w:rsidRDefault="00B834A2" w:rsidP="00077901">
      <w:pPr>
        <w:spacing w:after="160" w:line="360" w:lineRule="auto"/>
        <w:ind w:firstLine="567"/>
        <w:jc w:val="both"/>
        <w:rPr>
          <w:rStyle w:val="Bodytext210pt"/>
          <w:b/>
          <w:sz w:val="24"/>
          <w:szCs w:val="24"/>
        </w:rPr>
      </w:pPr>
      <w:r w:rsidRPr="00B834A2">
        <w:rPr>
          <w:rStyle w:val="Bodytext210pt"/>
          <w:b/>
          <w:sz w:val="24"/>
          <w:szCs w:val="24"/>
        </w:rPr>
        <w:t>ՄԵԹՈԴ 2 (ԲԱԶՄԱԿԻ ՍՏԱՆԴԱՐՏ ՀԱՎԵԼՈՒՄՆԵՐԻ ՄԵԹՈԴ)</w:t>
      </w:r>
    </w:p>
    <w:p w14:paraId="1C832E97"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077901">
        <w:rPr>
          <w:rStyle w:val="Bodytext210pt"/>
          <w:spacing w:val="-6"/>
          <w:sz w:val="24"/>
          <w:szCs w:val="24"/>
        </w:rPr>
        <w:t>Փորձարկվող լուծույթը պատրաստում են մասնավոր դեղագրքային հոդվածի եւ (կ</w:t>
      </w:r>
      <w:r w:rsidRPr="00B834A2">
        <w:rPr>
          <w:rStyle w:val="Bodytext210pt"/>
          <w:sz w:val="24"/>
          <w:szCs w:val="24"/>
        </w:rPr>
        <w:t xml:space="preserve">ամ) որակի վերաբերյալ նորմատիվ փաստաթղթի ցուցումներին համապատասխան: Չափում են հաստատված հավասարակշռության դեպքում որոշվող իոնի անհայտ կոնցենտրացիայով այդ լուծույթի ծավալում պոտենցիալը: Փորձարկվող լուծույթի հայտնի ծավալին առնվազն երեք անգամ հաջորդաբար ավելացնում են փորձարկվող լուծույթի ծավալի հետ համեմատած աննշան՝ համեմատման լուծույթի ծավալ (փորձարկվող լուծույթի ծավալի 0,01-ից ոչ ավելին)՝ հայտնի կոնցենտրացիայով, որի արժեքները գտնվում են ստուգաճշտման կորի գծային հատվածի սահմաններում: Ամեն հավելումից հետո չափում են պոտենցիալը </w:t>
      </w:r>
      <w:r>
        <w:rPr>
          <w:rStyle w:val="Bodytext210pt"/>
          <w:sz w:val="24"/>
          <w:szCs w:val="24"/>
        </w:rPr>
        <w:t>եւ</w:t>
      </w:r>
      <w:r w:rsidRPr="00B834A2">
        <w:rPr>
          <w:rStyle w:val="Bodytext210pt"/>
          <w:sz w:val="24"/>
          <w:szCs w:val="24"/>
        </w:rPr>
        <w:t xml:space="preserve"> հաշվարկում չափվող պոտենցիալի </w:t>
      </w:r>
      <w:r>
        <w:rPr>
          <w:rStyle w:val="Bodytext210pt"/>
          <w:sz w:val="24"/>
          <w:szCs w:val="24"/>
        </w:rPr>
        <w:t>եւ</w:t>
      </w:r>
      <w:r w:rsidRPr="00B834A2">
        <w:rPr>
          <w:rStyle w:val="Bodytext210pt"/>
          <w:sz w:val="24"/>
          <w:szCs w:val="24"/>
        </w:rPr>
        <w:t xml:space="preserve"> հաստատված հավասարակշռության միջ</w:t>
      </w:r>
      <w:r>
        <w:rPr>
          <w:rStyle w:val="Bodytext210pt"/>
          <w:sz w:val="24"/>
          <w:szCs w:val="24"/>
        </w:rPr>
        <w:t>եւ</w:t>
      </w:r>
      <w:r w:rsidRPr="00B834A2">
        <w:rPr>
          <w:rStyle w:val="Bodytext210pt"/>
          <w:sz w:val="24"/>
          <w:szCs w:val="24"/>
        </w:rPr>
        <w:t xml:space="preserve"> </w:t>
      </w:r>
      <w:r w:rsidRPr="00B834A2">
        <w:rPr>
          <w:rStyle w:val="Bodytext210pt8"/>
          <w:sz w:val="24"/>
          <w:szCs w:val="24"/>
        </w:rPr>
        <w:t>∆Е</w:t>
      </w:r>
      <w:r w:rsidRPr="00B834A2">
        <w:rPr>
          <w:rStyle w:val="Bodytext210pt"/>
          <w:sz w:val="24"/>
          <w:szCs w:val="24"/>
        </w:rPr>
        <w:t xml:space="preserve"> պոտենցիալների տարբերությունը: Պոտենցիալների տարբերության մեծությունը կապված է որոշվող իոնի կոնցենտրացիայի հետ հավասարմամբ՝</w:t>
      </w:r>
    </w:p>
    <w:p w14:paraId="6F9F0515" w14:textId="77777777" w:rsidR="00B834A2" w:rsidRPr="00B834A2" w:rsidRDefault="00000000" w:rsidP="00B834A2">
      <w:pPr>
        <w:spacing w:after="160" w:line="360" w:lineRule="auto"/>
        <w:jc w:val="center"/>
      </w:pPr>
      <m:oMathPara>
        <m:oMath>
          <m:func>
            <m:funcPr>
              <m:ctrlPr>
                <w:rPr>
                  <w:rFonts w:ascii="Cambria Math" w:hAnsi="Cambria Math"/>
                  <w:i/>
                </w:rPr>
              </m:ctrlPr>
            </m:funcPr>
            <m:fName>
              <m:r>
                <w:rPr>
                  <w:rFonts w:ascii="Cambria Math" w:hAnsi="Cambria Math"/>
                </w:rPr>
                <m:t>∆E</m:t>
              </m:r>
              <m:r>
                <m:rPr>
                  <m:sty m:val="p"/>
                </m:rPr>
                <w:rPr>
                  <w:rFonts w:ascii="Cambria Math"/>
                </w:rPr>
                <m:t>=</m:t>
              </m:r>
              <m:r>
                <w:rPr>
                  <w:rFonts w:ascii="Cambria Math" w:hAnsi="Cambria Math"/>
                </w:rPr>
                <m:t>b</m:t>
              </m:r>
              <m:r>
                <m:rPr>
                  <m:sty m:val="p"/>
                </m:rPr>
                <w:rPr>
                  <w:rFonts w:ascii="Cambria Math"/>
                </w:rPr>
                <m:t>lg</m:t>
              </m:r>
            </m:fName>
            <m:e>
              <m:r>
                <w:rPr>
                  <w:rFonts w:asci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num>
                <m:den>
                  <m:sSub>
                    <m:sSubPr>
                      <m:ctrlPr>
                        <w:rPr>
                          <w:rFonts w:ascii="Cambria Math" w:hAnsi="Cambria Math"/>
                          <w:i/>
                        </w:rPr>
                      </m:ctrlPr>
                    </m:sSubPr>
                    <m:e>
                      <m:r>
                        <w:rPr>
                          <w:rFonts w:ascii="Cambria Math" w:hAnsi="Cambria Math"/>
                        </w:rPr>
                        <m:t>C</m:t>
                      </m:r>
                    </m:e>
                    <m:sub>
                      <m:r>
                        <w:rPr>
                          <w:rFonts w:ascii="Cambria Math" w:hAnsi="Cambria Math"/>
                        </w:rPr>
                        <m:t>T</m:t>
                      </m:r>
                    </m:sub>
                  </m:sSub>
                  <m:sSub>
                    <m:sSubPr>
                      <m:ctrlPr>
                        <w:rPr>
                          <w:rFonts w:ascii="Cambria Math" w:hAnsi="Cambria Math"/>
                          <w:i/>
                        </w:rPr>
                      </m:ctrlPr>
                    </m:sSubPr>
                    <m:e>
                      <m:r>
                        <w:rPr>
                          <w:rFonts w:ascii="Cambria Math" w:hAnsi="Cambria Math"/>
                        </w:rPr>
                        <m:t>V</m:t>
                      </m:r>
                    </m:e>
                    <m:sub>
                      <m:r>
                        <w:rPr>
                          <w:rFonts w:ascii="Cambria Math" w:hAnsi="Cambria Math"/>
                        </w:rPr>
                        <m:t>T</m:t>
                      </m:r>
                    </m:sub>
                  </m:sSub>
                </m:den>
              </m:f>
              <m:r>
                <w:rPr>
                  <w:rFonts w:ascii="Cambria Math"/>
                </w:rPr>
                <m:t>)</m:t>
              </m:r>
            </m:e>
          </m:func>
        </m:oMath>
      </m:oMathPara>
    </w:p>
    <w:p w14:paraId="4292F99B"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կամ՝</w:t>
      </w:r>
    </w:p>
    <w:p w14:paraId="1B7E7645" w14:textId="77777777" w:rsidR="00B834A2" w:rsidRPr="00B834A2" w:rsidRDefault="00000000" w:rsidP="00B834A2">
      <w:pPr>
        <w:pStyle w:val="Bodytext20"/>
        <w:shd w:val="clear" w:color="auto" w:fill="auto"/>
        <w:spacing w:before="0" w:after="160" w:line="360" w:lineRule="auto"/>
        <w:rPr>
          <w:rFonts w:ascii="Sylfaen" w:hAnsi="Sylfaen"/>
          <w:sz w:val="24"/>
          <w:szCs w:val="24"/>
        </w:rPr>
      </w:pPr>
      <m:oMath>
        <m:sSup>
          <m:sSupPr>
            <m:ctrlPr>
              <w:rPr>
                <w:rStyle w:val="Bodytext210pt"/>
                <w:rFonts w:ascii="Cambria Math"/>
                <w:i/>
                <w:sz w:val="24"/>
                <w:szCs w:val="24"/>
              </w:rPr>
            </m:ctrlPr>
          </m:sSupPr>
          <m:e>
            <m:r>
              <w:rPr>
                <w:rStyle w:val="Bodytext210pt"/>
                <w:rFonts w:ascii="Cambria Math"/>
                <w:sz w:val="24"/>
                <w:szCs w:val="24"/>
              </w:rPr>
              <m:t>10</m:t>
            </m:r>
          </m:e>
          <m:sup>
            <m:f>
              <m:fPr>
                <m:ctrlPr>
                  <w:rPr>
                    <w:rStyle w:val="Bodytext210pt"/>
                    <w:rFonts w:ascii="Cambria Math"/>
                    <w:i/>
                    <w:sz w:val="24"/>
                    <w:szCs w:val="24"/>
                  </w:rPr>
                </m:ctrlPr>
              </m:fPr>
              <m:num>
                <m:r>
                  <w:rPr>
                    <w:rStyle w:val="Bodytext210pt"/>
                    <w:rFonts w:ascii="Cambria Math" w:hAnsi="Cambria Math"/>
                    <w:sz w:val="24"/>
                    <w:szCs w:val="24"/>
                  </w:rPr>
                  <m:t>∆E</m:t>
                </m:r>
              </m:num>
              <m:den>
                <m:r>
                  <w:rPr>
                    <w:rStyle w:val="Bodytext210pt"/>
                    <w:rFonts w:ascii="Cambria Math" w:hAnsi="Cambria Math"/>
                    <w:sz w:val="24"/>
                    <w:szCs w:val="24"/>
                  </w:rPr>
                  <m:t>b</m:t>
                </m:r>
              </m:den>
            </m:f>
          </m:sup>
        </m:sSup>
        <m:r>
          <w:rPr>
            <w:rStyle w:val="Bodytext210pt"/>
            <w:rFonts w:ascii="Cambria Math"/>
            <w:sz w:val="24"/>
            <w:szCs w:val="24"/>
          </w:rPr>
          <m:t>=1+</m:t>
        </m:r>
        <m:f>
          <m:fPr>
            <m:ctrlPr>
              <w:rPr>
                <w:rStyle w:val="Bodytext210pt"/>
                <w:rFonts w:ascii="Cambria Math"/>
                <w:i/>
                <w:sz w:val="24"/>
                <w:szCs w:val="24"/>
              </w:rPr>
            </m:ctrlPr>
          </m:fPr>
          <m:num>
            <m:sSub>
              <m:sSubPr>
                <m:ctrlPr>
                  <w:rPr>
                    <w:rStyle w:val="Bodytext210pt"/>
                    <w:rFonts w:ascii="Cambria Math"/>
                    <w:i/>
                    <w:sz w:val="24"/>
                    <w:szCs w:val="24"/>
                  </w:rPr>
                </m:ctrlPr>
              </m:sSubPr>
              <m:e>
                <m:r>
                  <w:rPr>
                    <w:rStyle w:val="Bodytext210pt"/>
                    <w:rFonts w:ascii="Cambria Math" w:hAnsi="Cambria Math"/>
                    <w:sz w:val="24"/>
                    <w:szCs w:val="24"/>
                  </w:rPr>
                  <m:t>C</m:t>
                </m:r>
              </m:e>
              <m:sub>
                <m:r>
                  <w:rPr>
                    <w:rStyle w:val="Bodytext210pt"/>
                    <w:rFonts w:ascii="Cambria Math" w:hAnsi="Cambria Math"/>
                    <w:sz w:val="24"/>
                    <w:szCs w:val="24"/>
                  </w:rPr>
                  <m:t>S</m:t>
                </m:r>
              </m:sub>
            </m:sSub>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hAnsi="Cambria Math"/>
                    <w:sz w:val="24"/>
                    <w:szCs w:val="24"/>
                  </w:rPr>
                  <m:t>S</m:t>
                </m:r>
              </m:sub>
            </m:sSub>
          </m:num>
          <m:den>
            <m:sSub>
              <m:sSubPr>
                <m:ctrlPr>
                  <w:rPr>
                    <w:rStyle w:val="Bodytext210pt"/>
                    <w:rFonts w:ascii="Cambria Math"/>
                    <w:i/>
                    <w:sz w:val="24"/>
                    <w:szCs w:val="24"/>
                  </w:rPr>
                </m:ctrlPr>
              </m:sSubPr>
              <m:e>
                <m:r>
                  <w:rPr>
                    <w:rStyle w:val="Bodytext210pt"/>
                    <w:rFonts w:ascii="Cambria Math" w:hAnsi="Cambria Math"/>
                    <w:sz w:val="24"/>
                    <w:szCs w:val="24"/>
                  </w:rPr>
                  <m:t>C</m:t>
                </m:r>
              </m:e>
              <m:sub>
                <m:r>
                  <w:rPr>
                    <w:rStyle w:val="Bodytext210pt"/>
                    <w:rFonts w:ascii="Cambria Math" w:hAnsi="Cambria Math"/>
                    <w:sz w:val="24"/>
                    <w:szCs w:val="24"/>
                  </w:rPr>
                  <m:t>T</m:t>
                </m:r>
              </m:sub>
            </m:sSub>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hAnsi="Cambria Math"/>
                    <w:sz w:val="24"/>
                    <w:szCs w:val="24"/>
                  </w:rPr>
                  <m:t>T</m:t>
                </m:r>
              </m:sub>
            </m:sSub>
          </m:den>
        </m:f>
      </m:oMath>
      <w:r w:rsidR="00B834A2" w:rsidRPr="00B834A2">
        <w:rPr>
          <w:rStyle w:val="Bodytext210pt"/>
          <w:sz w:val="24"/>
          <w:szCs w:val="24"/>
          <w:vertAlign w:val="superscript"/>
        </w:rPr>
        <w:t>л</w:t>
      </w:r>
      <w:r w:rsidR="00B834A2" w:rsidRPr="00B834A2">
        <w:rPr>
          <w:rStyle w:val="Bodytext210pt"/>
          <w:sz w:val="24"/>
          <w:szCs w:val="24"/>
        </w:rPr>
        <w:t>.</w:t>
      </w:r>
    </w:p>
    <w:p w14:paraId="5D8BE911" w14:textId="77777777" w:rsidR="006E41D4" w:rsidRPr="00097504"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որտեղ՝ </w:t>
      </w:r>
    </w:p>
    <w:p w14:paraId="5B790D43"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V</w:t>
      </w:r>
      <w:r w:rsidRPr="00B834A2">
        <w:rPr>
          <w:rStyle w:val="Bodytext210pt8"/>
          <w:sz w:val="24"/>
          <w:szCs w:val="24"/>
          <w:vertAlign w:val="subscript"/>
        </w:rPr>
        <w:t>T</w:t>
      </w:r>
      <w:r w:rsidRPr="00B834A2">
        <w:rPr>
          <w:rStyle w:val="Bodytext210pt"/>
          <w:sz w:val="24"/>
          <w:szCs w:val="24"/>
        </w:rPr>
        <w:t xml:space="preserve"> </w:t>
      </w:r>
      <w:r w:rsidRPr="00B834A2">
        <w:rPr>
          <w:rStyle w:val="Bodytext210pt"/>
          <w:i/>
          <w:sz w:val="24"/>
          <w:szCs w:val="24"/>
        </w:rPr>
        <w:t>-ն</w:t>
      </w:r>
      <w:r w:rsidRPr="00B834A2">
        <w:rPr>
          <w:rStyle w:val="Bodytext210pt"/>
          <w:sz w:val="24"/>
          <w:szCs w:val="24"/>
        </w:rPr>
        <w:t>՝ փորձարկվող լուծույթի ծավալն է.</w:t>
      </w:r>
    </w:p>
    <w:p w14:paraId="4DFEA63F"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С</w:t>
      </w:r>
      <w:r w:rsidRPr="00B834A2">
        <w:rPr>
          <w:rStyle w:val="Bodytext210pt8"/>
          <w:sz w:val="24"/>
          <w:szCs w:val="24"/>
          <w:vertAlign w:val="subscript"/>
        </w:rPr>
        <w:t>T</w:t>
      </w:r>
      <w:r w:rsidRPr="00B834A2">
        <w:rPr>
          <w:rStyle w:val="Bodytext210pt"/>
          <w:sz w:val="24"/>
          <w:szCs w:val="24"/>
        </w:rPr>
        <w:t xml:space="preserve"> </w:t>
      </w:r>
      <w:r w:rsidR="002B742F">
        <w:rPr>
          <w:rStyle w:val="Bodytext210pt"/>
          <w:i/>
          <w:sz w:val="24"/>
          <w:szCs w:val="24"/>
        </w:rPr>
        <w:t>-</w:t>
      </w:r>
      <w:r w:rsidRPr="00B834A2">
        <w:rPr>
          <w:rStyle w:val="Bodytext210pt"/>
          <w:i/>
          <w:sz w:val="24"/>
          <w:szCs w:val="24"/>
        </w:rPr>
        <w:t>ն</w:t>
      </w:r>
      <w:r w:rsidRPr="00B834A2">
        <w:rPr>
          <w:rStyle w:val="Bodytext210pt"/>
          <w:sz w:val="24"/>
          <w:szCs w:val="24"/>
        </w:rPr>
        <w:t>՝ փորձարկվող լուծույթում որոշվող իոնի կոնցենտրացիան.</w:t>
      </w:r>
    </w:p>
    <w:p w14:paraId="3D3C8FBC"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V</w:t>
      </w:r>
      <w:r w:rsidRPr="00B834A2">
        <w:rPr>
          <w:rStyle w:val="Bodytext210pt8"/>
          <w:sz w:val="24"/>
          <w:szCs w:val="24"/>
          <w:vertAlign w:val="subscript"/>
        </w:rPr>
        <w:t>S-ն</w:t>
      </w:r>
      <w:r w:rsidRPr="00B834A2">
        <w:rPr>
          <w:rStyle w:val="Bodytext210pt"/>
          <w:sz w:val="24"/>
          <w:szCs w:val="24"/>
        </w:rPr>
        <w:t>՝ համեմատման հավելվող լուծույթի ծավալը.</w:t>
      </w:r>
    </w:p>
    <w:p w14:paraId="5762F8C3"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C</w:t>
      </w:r>
      <w:r w:rsidRPr="00B834A2">
        <w:rPr>
          <w:rStyle w:val="Bodytext210pt8"/>
          <w:sz w:val="24"/>
          <w:szCs w:val="24"/>
          <w:vertAlign w:val="subscript"/>
        </w:rPr>
        <w:t>S</w:t>
      </w:r>
      <w:r w:rsidRPr="00B834A2">
        <w:rPr>
          <w:rStyle w:val="Bodytext210pt"/>
          <w:sz w:val="24"/>
          <w:szCs w:val="24"/>
        </w:rPr>
        <w:t xml:space="preserve"> -</w:t>
      </w:r>
      <w:r w:rsidRPr="00B834A2">
        <w:rPr>
          <w:rStyle w:val="Bodytext210pt"/>
          <w:i/>
          <w:sz w:val="24"/>
          <w:szCs w:val="24"/>
        </w:rPr>
        <w:t>ն՝</w:t>
      </w:r>
      <w:r w:rsidRPr="00B834A2">
        <w:rPr>
          <w:rStyle w:val="Bodytext210pt"/>
          <w:sz w:val="24"/>
          <w:szCs w:val="24"/>
        </w:rPr>
        <w:t xml:space="preserve"> համեմատման լուծույթում որոշվող իոնի կոնցենտրացիան.</w:t>
      </w:r>
    </w:p>
    <w:p w14:paraId="0AEE2609"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b-ն</w:t>
      </w:r>
      <w:r w:rsidRPr="00B834A2">
        <w:rPr>
          <w:rStyle w:val="Bodytext210pt"/>
          <w:sz w:val="24"/>
          <w:szCs w:val="24"/>
        </w:rPr>
        <w:t xml:space="preserve">՝ այն երկու համեմատման լուծույթների չափման ժամանակ ստացված պոտենցիալների տարբերության չափման միջոցով հաստատուն ջերմաստիճանում փորձարարական եղանակով հաստատված էլեկտրոդային ֆունկցիայի թեքություն, որոնց կոնցենտրացիաները 10 անգամ տարբերվում են </w:t>
      </w:r>
      <w:r>
        <w:rPr>
          <w:rStyle w:val="Bodytext210pt"/>
          <w:sz w:val="24"/>
          <w:szCs w:val="24"/>
        </w:rPr>
        <w:t>եւ</w:t>
      </w:r>
      <w:r w:rsidRPr="00B834A2">
        <w:rPr>
          <w:rStyle w:val="Bodytext210pt"/>
          <w:sz w:val="24"/>
          <w:szCs w:val="24"/>
        </w:rPr>
        <w:t xml:space="preserve"> գտնվում են ստուգաճշտման կորի գծային հատվածի սահմաններում:</w:t>
      </w:r>
    </w:p>
    <w:p w14:paraId="6D35EEE6"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Կառուցվում է համեմատման հավելվող լուծույթի (աբսցիսի առանցք) ծավալից կախվածության (օդինատի առանցք) գրաֆիկը</w:t>
      </w:r>
      <m:oMath>
        <m:r>
          <w:rPr>
            <w:rStyle w:val="Bodytext210pt"/>
            <w:rFonts w:ascii="Cambria Math"/>
            <w:sz w:val="24"/>
            <w:szCs w:val="24"/>
          </w:rPr>
          <m:t xml:space="preserve"> </m:t>
        </m:r>
        <m:sSup>
          <m:sSupPr>
            <m:ctrlPr>
              <w:rPr>
                <w:rStyle w:val="Bodytext210pt"/>
                <w:rFonts w:ascii="Cambria Math"/>
                <w:i/>
                <w:sz w:val="24"/>
                <w:szCs w:val="24"/>
              </w:rPr>
            </m:ctrlPr>
          </m:sSupPr>
          <m:e>
            <m:r>
              <w:rPr>
                <w:rStyle w:val="Bodytext210pt"/>
                <w:rFonts w:ascii="Cambria Math"/>
                <w:sz w:val="24"/>
                <w:szCs w:val="24"/>
              </w:rPr>
              <m:t>10</m:t>
            </m:r>
          </m:e>
          <m:sup>
            <m:f>
              <m:fPr>
                <m:ctrlPr>
                  <w:rPr>
                    <w:rStyle w:val="Bodytext210pt"/>
                    <w:rFonts w:ascii="Cambria Math"/>
                    <w:i/>
                    <w:sz w:val="24"/>
                    <w:szCs w:val="24"/>
                  </w:rPr>
                </m:ctrlPr>
              </m:fPr>
              <m:num>
                <m:r>
                  <w:rPr>
                    <w:rStyle w:val="Bodytext210pt"/>
                    <w:rFonts w:ascii="Cambria Math" w:hAnsi="Cambria Math"/>
                    <w:sz w:val="24"/>
                    <w:szCs w:val="24"/>
                  </w:rPr>
                  <m:t>∆E</m:t>
                </m:r>
              </m:num>
              <m:den>
                <m:r>
                  <w:rPr>
                    <w:rStyle w:val="Bodytext210pt"/>
                    <w:rFonts w:ascii="Cambria Math" w:hAnsi="Cambria Math"/>
                    <w:sz w:val="24"/>
                    <w:szCs w:val="24"/>
                  </w:rPr>
                  <m:t>b</m:t>
                </m:r>
              </m:den>
            </m:f>
          </m:sup>
        </m:sSup>
      </m:oMath>
      <w:r w:rsidRPr="00B834A2">
        <w:rPr>
          <w:rStyle w:val="Bodytext210pt"/>
          <w:sz w:val="24"/>
          <w:szCs w:val="24"/>
        </w:rPr>
        <w:t xml:space="preserve"> </w:t>
      </w:r>
      <w:r>
        <w:rPr>
          <w:rStyle w:val="Bodytext210pt"/>
          <w:sz w:val="24"/>
          <w:szCs w:val="24"/>
        </w:rPr>
        <w:t>եւ</w:t>
      </w:r>
      <w:r w:rsidRPr="00B834A2">
        <w:rPr>
          <w:rStyle w:val="Bodytext210pt"/>
          <w:sz w:val="24"/>
          <w:szCs w:val="24"/>
        </w:rPr>
        <w:t xml:space="preserve"> արտարկում են ստացված գիծը մինչ</w:t>
      </w:r>
      <w:r>
        <w:rPr>
          <w:rStyle w:val="Bodytext210pt"/>
          <w:sz w:val="24"/>
          <w:szCs w:val="24"/>
        </w:rPr>
        <w:t>եւ</w:t>
      </w:r>
      <w:r w:rsidRPr="00B834A2">
        <w:rPr>
          <w:rStyle w:val="Bodytext210pt"/>
          <w:sz w:val="24"/>
          <w:szCs w:val="24"/>
        </w:rPr>
        <w:t xml:space="preserve"> աբսցիս առանցքի հետ հատվելը: Հատման կետում փորձարկվող լուծույթում որոշվող իոնի կոնցենտրացիան հաշվարկում են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ով՝</w:t>
      </w:r>
    </w:p>
    <w:p w14:paraId="491AE045" w14:textId="77777777" w:rsidR="00B834A2" w:rsidRPr="00B834A2" w:rsidRDefault="00000000" w:rsidP="00B834A2">
      <w:pPr>
        <w:spacing w:after="160" w:line="360" w:lineRule="auto"/>
        <w:jc w:val="center"/>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S</m:t>
                </m:r>
              </m:sub>
            </m:sSub>
          </m:num>
          <m:den>
            <m:sSub>
              <m:sSubPr>
                <m:ctrlPr>
                  <w:rPr>
                    <w:rFonts w:ascii="Cambria Math" w:hAnsi="Cambria Math"/>
                    <w:i/>
                  </w:rPr>
                </m:ctrlPr>
              </m:sSubPr>
              <m:e>
                <m:r>
                  <w:rPr>
                    <w:rFonts w:ascii="Cambria Math" w:hAnsi="Cambria Math"/>
                  </w:rPr>
                  <m:t>V</m:t>
                </m:r>
              </m:e>
              <m:sub>
                <m:r>
                  <w:rPr>
                    <w:rFonts w:ascii="Cambria Math" w:hAnsi="Cambria Math"/>
                  </w:rPr>
                  <m:t>T</m:t>
                </m:r>
              </m:sub>
            </m:sSub>
          </m:den>
        </m:f>
      </m:oMath>
      <w:r w:rsidR="00B834A2" w:rsidRPr="00B834A2">
        <w:t>։</w:t>
      </w:r>
    </w:p>
    <w:p w14:paraId="271A9481" w14:textId="77777777" w:rsidR="00696072" w:rsidRDefault="00696072">
      <w:pPr>
        <w:rPr>
          <w:rStyle w:val="Bodytext210pt"/>
          <w:b/>
          <w:sz w:val="24"/>
          <w:szCs w:val="24"/>
        </w:rPr>
      </w:pPr>
      <w:r>
        <w:rPr>
          <w:rStyle w:val="Bodytext210pt"/>
          <w:b/>
          <w:sz w:val="24"/>
          <w:szCs w:val="24"/>
        </w:rPr>
        <w:br w:type="page"/>
      </w:r>
    </w:p>
    <w:p w14:paraId="41BFDFBF" w14:textId="77777777" w:rsidR="00B834A2" w:rsidRPr="00696072" w:rsidRDefault="00B834A2" w:rsidP="002B742F">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ՄԵԹՈԴ 3 (ՄԵԿԱՆԳԱՄՅԱ ՍՏԱՆԴԱՐՏ ՀԱՎԵԼՄԱՆ ՄԵԹՈԴ)</w:t>
      </w:r>
    </w:p>
    <w:p w14:paraId="78F775C7"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Մասնավոր դեղագրքային հոդվածի </w:t>
      </w:r>
      <w:r>
        <w:rPr>
          <w:rStyle w:val="Bodytext210pt"/>
          <w:sz w:val="24"/>
          <w:szCs w:val="24"/>
        </w:rPr>
        <w:t>եւ</w:t>
      </w:r>
      <w:r w:rsidRPr="00B834A2">
        <w:rPr>
          <w:rStyle w:val="Bodytext210pt"/>
          <w:sz w:val="24"/>
          <w:szCs w:val="24"/>
        </w:rPr>
        <w:t xml:space="preserve"> (կամ) որակի վերաբերյալ նորմատիվ փաստաթղթի ցուցումներին համապատասխան պատրաստված փորձարկվող լուծույթի հայտնի ծավալին հավելում են ստուգաճշտման կորի գծային հատվածում գտնվող որոշվող իոնի հայտնի կոնցենտրացիայի համեմատման նյութի ծավալ: Զուգահեռ նույն պայմաններում պատրաստում են ստուգիչ լուծույթ: Փորձարկվող լուծույթի </w:t>
      </w:r>
      <w:r>
        <w:rPr>
          <w:rStyle w:val="Bodytext210pt"/>
          <w:sz w:val="24"/>
          <w:szCs w:val="24"/>
        </w:rPr>
        <w:t>եւ</w:t>
      </w:r>
      <w:r w:rsidRPr="00B834A2">
        <w:rPr>
          <w:rStyle w:val="Bodytext210pt"/>
          <w:sz w:val="24"/>
          <w:szCs w:val="24"/>
        </w:rPr>
        <w:t xml:space="preserve"> ստուգիչ լուծույթի պոտենցիալները չափում են առնվազն երեք անգամ՝ մինչ համեմատման լուծույթ ավելացնելը </w:t>
      </w:r>
      <w:r>
        <w:rPr>
          <w:rStyle w:val="Bodytext210pt"/>
          <w:sz w:val="24"/>
          <w:szCs w:val="24"/>
        </w:rPr>
        <w:t>եւ</w:t>
      </w:r>
      <w:r w:rsidRPr="00B834A2">
        <w:rPr>
          <w:rStyle w:val="Bodytext210pt"/>
          <w:sz w:val="24"/>
          <w:szCs w:val="24"/>
        </w:rPr>
        <w:t xml:space="preserve"> դրանից հետո: Հաշվարկում են որոշվող իոնի կոնցենտրացիան՝ օգտագործելով հավասարում </w:t>
      </w:r>
      <w:r>
        <w:rPr>
          <w:rStyle w:val="Bodytext210pt"/>
          <w:sz w:val="24"/>
          <w:szCs w:val="24"/>
        </w:rPr>
        <w:t>եւ</w:t>
      </w:r>
      <w:r w:rsidRPr="00B834A2">
        <w:rPr>
          <w:rStyle w:val="Bodytext210pt"/>
          <w:sz w:val="24"/>
          <w:szCs w:val="24"/>
        </w:rPr>
        <w:t xml:space="preserve"> հաշվի առնելով ստուգիչ լուծույթը՝</w:t>
      </w:r>
    </w:p>
    <w:p w14:paraId="486E59DD" w14:textId="77777777" w:rsidR="00B834A2" w:rsidRPr="00B834A2" w:rsidRDefault="00000000" w:rsidP="00B834A2">
      <w:pPr>
        <w:pStyle w:val="Bodytext20"/>
        <w:shd w:val="clear" w:color="auto" w:fill="auto"/>
        <w:spacing w:before="0" w:after="160" w:line="360" w:lineRule="auto"/>
        <w:rPr>
          <w:rFonts w:ascii="Sylfaen" w:hAnsi="Sylfaen"/>
          <w:sz w:val="24"/>
          <w:szCs w:val="24"/>
        </w:rPr>
      </w:pPr>
      <m:oMath>
        <m:sSub>
          <m:sSubPr>
            <m:ctrlPr>
              <w:rPr>
                <w:rFonts w:ascii="Cambria Math" w:hAnsi="Sylfaen"/>
                <w:i/>
                <w:sz w:val="24"/>
                <w:szCs w:val="24"/>
              </w:rPr>
            </m:ctrlPr>
          </m:sSubPr>
          <m:e>
            <m:r>
              <w:rPr>
                <w:rFonts w:ascii="Cambria Math" w:hAnsi="Cambria Math"/>
                <w:sz w:val="24"/>
                <w:szCs w:val="24"/>
              </w:rPr>
              <m:t>C</m:t>
            </m:r>
          </m:e>
          <m:sub>
            <m:r>
              <w:rPr>
                <w:rFonts w:ascii="Cambria Math" w:hAnsi="Cambria Math"/>
                <w:sz w:val="24"/>
                <w:szCs w:val="24"/>
              </w:rPr>
              <m:t>T</m:t>
            </m:r>
          </m:sub>
        </m:sSub>
        <m:r>
          <w:rPr>
            <w:rFonts w:ascii="Cambria Math" w:hAnsi="Sylfaen"/>
            <w:sz w:val="24"/>
            <w:szCs w:val="24"/>
          </w:rPr>
          <m:t>=</m:t>
        </m:r>
        <m:f>
          <m:fPr>
            <m:ctrlPr>
              <w:rPr>
                <w:rFonts w:ascii="Cambria Math" w:hAnsi="Sylfaen"/>
                <w:i/>
                <w:sz w:val="24"/>
                <w:szCs w:val="24"/>
              </w:rPr>
            </m:ctrlPr>
          </m:fPr>
          <m:num>
            <m:sSub>
              <m:sSubPr>
                <m:ctrlPr>
                  <w:rPr>
                    <w:rFonts w:ascii="Cambria Math" w:hAnsi="Sylfaen"/>
                    <w:i/>
                    <w:sz w:val="24"/>
                    <w:szCs w:val="24"/>
                  </w:rPr>
                </m:ctrlPr>
              </m:sSubPr>
              <m:e>
                <m:r>
                  <w:rPr>
                    <w:rFonts w:ascii="Cambria Math" w:hAnsi="Cambria Math"/>
                    <w:sz w:val="24"/>
                    <w:szCs w:val="24"/>
                  </w:rPr>
                  <m:t>C</m:t>
                </m:r>
              </m:e>
              <m:sub>
                <m:r>
                  <w:rPr>
                    <w:rFonts w:ascii="Cambria Math" w:hAnsi="Cambria Math"/>
                    <w:sz w:val="24"/>
                    <w:szCs w:val="24"/>
                  </w:rPr>
                  <m:t>S</m:t>
                </m:r>
              </m:sub>
            </m:sSub>
            <m:sSub>
              <m:sSubPr>
                <m:ctrlPr>
                  <w:rPr>
                    <w:rFonts w:ascii="Cambria Math" w:hAnsi="Sylfaen"/>
                    <w:i/>
                    <w:sz w:val="24"/>
                    <w:szCs w:val="24"/>
                  </w:rPr>
                </m:ctrlPr>
              </m:sSubPr>
              <m:e>
                <m:r>
                  <w:rPr>
                    <w:rFonts w:ascii="Cambria Math" w:hAnsi="Cambria Math"/>
                    <w:sz w:val="24"/>
                    <w:szCs w:val="24"/>
                  </w:rPr>
                  <m:t>V</m:t>
                </m:r>
              </m:e>
              <m:sub>
                <m:r>
                  <w:rPr>
                    <w:rFonts w:ascii="Cambria Math" w:hAnsi="Cambria Math"/>
                    <w:sz w:val="24"/>
                    <w:szCs w:val="24"/>
                  </w:rPr>
                  <m:t>S</m:t>
                </m:r>
              </m:sub>
            </m:sSub>
          </m:num>
          <m:den>
            <m:sSup>
              <m:sSupPr>
                <m:ctrlPr>
                  <w:rPr>
                    <w:rFonts w:ascii="Cambria Math" w:hAnsi="Sylfaen"/>
                    <w:i/>
                    <w:sz w:val="24"/>
                    <w:szCs w:val="24"/>
                  </w:rPr>
                </m:ctrlPr>
              </m:sSupPr>
              <m:e>
                <m:r>
                  <w:rPr>
                    <w:rFonts w:ascii="Cambria Math" w:hAnsi="Sylfaen"/>
                    <w:sz w:val="24"/>
                    <w:szCs w:val="24"/>
                  </w:rPr>
                  <m:t>10</m:t>
                </m:r>
              </m:e>
              <m:sup>
                <m:f>
                  <m:fPr>
                    <m:ctrlPr>
                      <w:rPr>
                        <w:rFonts w:ascii="Cambria Math" w:hAnsi="Sylfaen"/>
                        <w:i/>
                        <w:sz w:val="24"/>
                        <w:szCs w:val="24"/>
                      </w:rPr>
                    </m:ctrlPr>
                  </m:fPr>
                  <m:num>
                    <m:r>
                      <w:rPr>
                        <w:rFonts w:ascii="Sylfaen" w:hAnsi="Sylfaen"/>
                        <w:sz w:val="24"/>
                        <w:szCs w:val="24"/>
                      </w:rPr>
                      <m:t>∆</m:t>
                    </m:r>
                    <m:r>
                      <w:rPr>
                        <w:rFonts w:ascii="Cambria Math" w:hAnsi="Cambria Math"/>
                        <w:sz w:val="24"/>
                        <w:szCs w:val="24"/>
                      </w:rPr>
                      <m:t>E</m:t>
                    </m:r>
                  </m:num>
                  <m:den>
                    <m:r>
                      <w:rPr>
                        <w:rFonts w:ascii="Cambria Math" w:hAnsi="Cambria Math"/>
                        <w:sz w:val="24"/>
                        <w:szCs w:val="24"/>
                      </w:rPr>
                      <m:t>b</m:t>
                    </m:r>
                  </m:den>
                </m:f>
              </m:sup>
            </m:sSup>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V</m:t>
                    </m:r>
                  </m:e>
                  <m:sub>
                    <m:r>
                      <w:rPr>
                        <w:rFonts w:ascii="Cambria Math" w:hAnsi="Cambria Math"/>
                        <w:sz w:val="24"/>
                        <w:szCs w:val="24"/>
                      </w:rPr>
                      <m:t>T</m:t>
                    </m:r>
                  </m:sub>
                </m:sSub>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V</m:t>
                    </m:r>
                  </m:e>
                  <m:sub>
                    <m:r>
                      <w:rPr>
                        <w:rFonts w:ascii="Cambria Math" w:hAnsi="Cambria Math"/>
                        <w:sz w:val="24"/>
                        <w:szCs w:val="24"/>
                      </w:rPr>
                      <m:t>S</m:t>
                    </m:r>
                  </m:sub>
                </m:sSub>
              </m:e>
            </m:d>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V</m:t>
                </m:r>
              </m:e>
              <m:sub>
                <m:r>
                  <w:rPr>
                    <w:rFonts w:ascii="Cambria Math" w:hAnsi="Cambria Math"/>
                    <w:sz w:val="24"/>
                    <w:szCs w:val="24"/>
                  </w:rPr>
                  <m:t>T</m:t>
                </m:r>
              </m:sub>
            </m:sSub>
          </m:den>
        </m:f>
      </m:oMath>
      <w:r w:rsidR="00B834A2" w:rsidRPr="00B834A2">
        <w:rPr>
          <w:rFonts w:ascii="Sylfaen" w:hAnsi="Sylfaen"/>
          <w:sz w:val="24"/>
          <w:szCs w:val="24"/>
        </w:rPr>
        <w:t>,</w:t>
      </w:r>
    </w:p>
    <w:p w14:paraId="4C7A55D1" w14:textId="77777777" w:rsidR="002B742F"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որտեղ՝ </w:t>
      </w:r>
    </w:p>
    <w:p w14:paraId="0C3B074C"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85pt"/>
          <w:spacing w:val="0"/>
          <w:sz w:val="24"/>
          <w:szCs w:val="24"/>
        </w:rPr>
        <w:t>V</w:t>
      </w:r>
      <w:r w:rsidRPr="00B834A2">
        <w:rPr>
          <w:rStyle w:val="Bodytext285pt"/>
          <w:spacing w:val="0"/>
          <w:sz w:val="24"/>
          <w:szCs w:val="24"/>
          <w:vertAlign w:val="subscript"/>
        </w:rPr>
        <w:t>t</w:t>
      </w:r>
      <w:r w:rsidR="002B742F">
        <w:rPr>
          <w:rStyle w:val="Bodytext210pt"/>
          <w:sz w:val="24"/>
          <w:szCs w:val="24"/>
        </w:rPr>
        <w:t>-</w:t>
      </w:r>
      <w:r w:rsidR="002B742F" w:rsidRPr="00B834A2">
        <w:rPr>
          <w:rStyle w:val="Bodytext210pt"/>
          <w:sz w:val="24"/>
          <w:szCs w:val="24"/>
        </w:rPr>
        <w:t>ն</w:t>
      </w:r>
      <w:r w:rsidRPr="00B834A2">
        <w:rPr>
          <w:rStyle w:val="Bodytext210pt"/>
          <w:sz w:val="24"/>
          <w:szCs w:val="24"/>
        </w:rPr>
        <w:t>՝ փորձարկվող լուծույթի կամ ստուգիչ լուծույթի ծավալն է.</w:t>
      </w:r>
    </w:p>
    <w:p w14:paraId="4F93B651"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5"/>
          <w:spacing w:val="0"/>
          <w:sz w:val="24"/>
          <w:szCs w:val="24"/>
        </w:rPr>
        <w:t>С</w:t>
      </w:r>
      <w:r w:rsidRPr="00B834A2">
        <w:rPr>
          <w:rStyle w:val="Bodytext210pt5"/>
          <w:spacing w:val="0"/>
          <w:sz w:val="24"/>
          <w:szCs w:val="24"/>
          <w:vertAlign w:val="subscript"/>
        </w:rPr>
        <w:t>T</w:t>
      </w:r>
      <w:r w:rsidRPr="00B834A2">
        <w:rPr>
          <w:rStyle w:val="Bodytext210pt"/>
          <w:sz w:val="24"/>
          <w:szCs w:val="24"/>
        </w:rPr>
        <w:t>-ն՝ փորձարկվող լուծույթում որոշվող իոնի կոնցենտրացիան.</w:t>
      </w:r>
    </w:p>
    <w:p w14:paraId="70C614BE"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5"/>
          <w:spacing w:val="0"/>
          <w:sz w:val="24"/>
          <w:szCs w:val="24"/>
        </w:rPr>
        <w:t>Vs-ն</w:t>
      </w:r>
      <w:r w:rsidRPr="00B834A2">
        <w:rPr>
          <w:rStyle w:val="Bodytext210pt"/>
          <w:sz w:val="24"/>
          <w:szCs w:val="24"/>
        </w:rPr>
        <w:t>՝ հավելվող համեմատման լուծույթի ծավալը.</w:t>
      </w:r>
    </w:p>
    <w:p w14:paraId="7A16BCA0"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5"/>
          <w:spacing w:val="0"/>
          <w:sz w:val="24"/>
          <w:szCs w:val="24"/>
        </w:rPr>
        <w:t>Cs-ն</w:t>
      </w:r>
      <w:r w:rsidRPr="00B834A2">
        <w:rPr>
          <w:rStyle w:val="Bodytext210pt"/>
          <w:sz w:val="24"/>
          <w:szCs w:val="24"/>
        </w:rPr>
        <w:t>՝ համեմատման լուծույթում որոշվող իոնի կոնցենտրացիան.</w:t>
      </w:r>
    </w:p>
    <w:p w14:paraId="554F2CDA"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w:t>
      </w:r>
      <w:r w:rsidRPr="00B834A2">
        <w:rPr>
          <w:rStyle w:val="Bodytext285pt1"/>
          <w:spacing w:val="0"/>
          <w:sz w:val="24"/>
          <w:szCs w:val="24"/>
        </w:rPr>
        <w:t>Е-ն՝</w:t>
      </w:r>
      <w:r w:rsidRPr="00B834A2">
        <w:rPr>
          <w:rStyle w:val="Bodytext210pt"/>
          <w:sz w:val="24"/>
          <w:szCs w:val="24"/>
        </w:rPr>
        <w:t xml:space="preserve"> մինչ</w:t>
      </w:r>
      <w:r w:rsidRPr="00B834A2">
        <w:rPr>
          <w:rStyle w:val="Bodytext210pt5"/>
          <w:spacing w:val="0"/>
          <w:sz w:val="24"/>
          <w:szCs w:val="24"/>
        </w:rPr>
        <w:t>Vs</w:t>
      </w:r>
      <w:r w:rsidRPr="00B834A2">
        <w:rPr>
          <w:rStyle w:val="Bodytext210pt"/>
          <w:sz w:val="24"/>
          <w:szCs w:val="24"/>
        </w:rPr>
        <w:t xml:space="preserve"> </w:t>
      </w:r>
      <w:r w:rsidRPr="00B834A2">
        <w:rPr>
          <w:rFonts w:ascii="Sylfaen" w:hAnsi="Sylfaen"/>
          <w:sz w:val="24"/>
          <w:szCs w:val="24"/>
        </w:rPr>
        <w:t xml:space="preserve">ծավալի հավելումը </w:t>
      </w:r>
      <w:r>
        <w:rPr>
          <w:rFonts w:ascii="Sylfaen" w:hAnsi="Sylfaen"/>
          <w:sz w:val="24"/>
          <w:szCs w:val="24"/>
        </w:rPr>
        <w:t>եւ</w:t>
      </w:r>
      <w:r w:rsidRPr="00B834A2">
        <w:rPr>
          <w:rFonts w:ascii="Sylfaen" w:hAnsi="Sylfaen"/>
          <w:sz w:val="24"/>
          <w:szCs w:val="24"/>
        </w:rPr>
        <w:t xml:space="preserve"> դրանից հետո չափված պոտենցիալների տարբերության միջին արժեքը.</w:t>
      </w:r>
    </w:p>
    <w:p w14:paraId="5978823B"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85pt1"/>
          <w:spacing w:val="0"/>
          <w:sz w:val="24"/>
          <w:szCs w:val="24"/>
        </w:rPr>
        <w:t>b</w:t>
      </w:r>
      <w:r w:rsidRPr="00B834A2">
        <w:rPr>
          <w:rStyle w:val="Bodytext29pt"/>
          <w:sz w:val="24"/>
          <w:szCs w:val="24"/>
        </w:rPr>
        <w:t>-ն</w:t>
      </w:r>
      <w:r w:rsidRPr="00B834A2">
        <w:rPr>
          <w:rStyle w:val="Bodytext210pt"/>
          <w:sz w:val="24"/>
          <w:szCs w:val="24"/>
        </w:rPr>
        <w:t xml:space="preserve">՝ այն երկու համեմատման լուծույթներից ստացված պոտենցիալների տարբերության չափման միջոցով հաստատուն ջերմաստիճանում փորձարարական եղանակով հաստատված էլեկտրոդային ֆունկցիայի թեքությունը, որոնց կոնցենտրացիաները 10 անգամ տարբերվում են </w:t>
      </w:r>
      <w:r>
        <w:rPr>
          <w:rStyle w:val="Bodytext210pt"/>
          <w:sz w:val="24"/>
          <w:szCs w:val="24"/>
        </w:rPr>
        <w:t>եւ</w:t>
      </w:r>
      <w:r w:rsidRPr="00B834A2">
        <w:rPr>
          <w:rStyle w:val="Bodytext210pt"/>
          <w:sz w:val="24"/>
          <w:szCs w:val="24"/>
        </w:rPr>
        <w:t xml:space="preserve"> գտնվում են</w:t>
      </w:r>
      <w:r>
        <w:rPr>
          <w:rStyle w:val="Bodytext210pt"/>
          <w:sz w:val="24"/>
          <w:szCs w:val="24"/>
        </w:rPr>
        <w:t xml:space="preserve"> </w:t>
      </w:r>
      <w:r w:rsidRPr="00B834A2">
        <w:rPr>
          <w:rStyle w:val="Bodytext210pt"/>
          <w:sz w:val="24"/>
          <w:szCs w:val="24"/>
        </w:rPr>
        <w:t>ստուգաճշտման կորի գծային հատվածի սահմաններում:</w:t>
      </w:r>
    </w:p>
    <w:p w14:paraId="7F2905DE" w14:textId="77777777" w:rsidR="006E41D4" w:rsidRDefault="006E41D4">
      <w:pPr>
        <w:rPr>
          <w:rStyle w:val="Bodytext29pt"/>
          <w:b/>
          <w:sz w:val="24"/>
          <w:szCs w:val="24"/>
        </w:rPr>
      </w:pPr>
      <w:r>
        <w:rPr>
          <w:rStyle w:val="Bodytext29pt"/>
          <w:b/>
          <w:sz w:val="24"/>
          <w:szCs w:val="24"/>
        </w:rPr>
        <w:br w:type="page"/>
      </w:r>
    </w:p>
    <w:p w14:paraId="63D32030" w14:textId="77777777" w:rsidR="00B834A2" w:rsidRPr="006235F6" w:rsidRDefault="00B834A2" w:rsidP="00B834A2">
      <w:pPr>
        <w:pStyle w:val="Bodytext20"/>
        <w:shd w:val="clear" w:color="auto" w:fill="auto"/>
        <w:spacing w:before="0" w:after="160" w:line="360" w:lineRule="auto"/>
        <w:jc w:val="right"/>
        <w:rPr>
          <w:rStyle w:val="Bodytext29pt"/>
          <w:b/>
          <w:sz w:val="20"/>
          <w:szCs w:val="24"/>
        </w:rPr>
      </w:pPr>
      <w:r w:rsidRPr="006235F6">
        <w:rPr>
          <w:rStyle w:val="Bodytext29pt"/>
          <w:b/>
          <w:sz w:val="20"/>
          <w:szCs w:val="24"/>
        </w:rPr>
        <w:lastRenderedPageBreak/>
        <w:t>201020048-2022</w:t>
      </w:r>
    </w:p>
    <w:p w14:paraId="3586CC19" w14:textId="77777777" w:rsidR="006E41D4" w:rsidRPr="00097504" w:rsidRDefault="006E41D4" w:rsidP="00B834A2">
      <w:pPr>
        <w:pStyle w:val="Bodytext20"/>
        <w:shd w:val="clear" w:color="auto" w:fill="auto"/>
        <w:spacing w:before="0" w:after="160" w:line="360" w:lineRule="auto"/>
        <w:jc w:val="right"/>
        <w:rPr>
          <w:rFonts w:ascii="Sylfaen" w:hAnsi="Sylfaen"/>
          <w:b/>
          <w:sz w:val="24"/>
          <w:szCs w:val="24"/>
        </w:rPr>
      </w:pPr>
    </w:p>
    <w:p w14:paraId="0F509BD3" w14:textId="77777777" w:rsidR="00B834A2" w:rsidRPr="002B742F" w:rsidRDefault="00B834A2" w:rsidP="006E41D4">
      <w:pPr>
        <w:pStyle w:val="Bodytext20"/>
        <w:shd w:val="clear" w:color="auto" w:fill="auto"/>
        <w:tabs>
          <w:tab w:val="left" w:pos="1701"/>
        </w:tabs>
        <w:spacing w:before="0" w:after="160" w:line="360" w:lineRule="auto"/>
        <w:ind w:firstLine="567"/>
        <w:jc w:val="both"/>
        <w:rPr>
          <w:rFonts w:ascii="Sylfaen" w:hAnsi="Sylfaen"/>
          <w:b/>
          <w:sz w:val="24"/>
          <w:szCs w:val="24"/>
        </w:rPr>
      </w:pPr>
      <w:r w:rsidRPr="002B742F">
        <w:rPr>
          <w:rStyle w:val="Bodytext214pt"/>
          <w:rFonts w:ascii="Sylfaen" w:hAnsi="Sylfaen"/>
          <w:b/>
          <w:sz w:val="24"/>
          <w:szCs w:val="24"/>
        </w:rPr>
        <w:t>2.1.2.48.</w:t>
      </w:r>
      <w:r w:rsidR="006E41D4" w:rsidRPr="00097504">
        <w:rPr>
          <w:rStyle w:val="Bodytext214pt"/>
          <w:rFonts w:ascii="Sylfaen" w:hAnsi="Sylfaen"/>
          <w:b/>
          <w:sz w:val="24"/>
          <w:szCs w:val="24"/>
        </w:rPr>
        <w:tab/>
      </w:r>
      <w:r w:rsidRPr="002B742F">
        <w:rPr>
          <w:rStyle w:val="Bodytext214pt"/>
          <w:rFonts w:ascii="Sylfaen" w:hAnsi="Sylfaen"/>
          <w:b/>
          <w:sz w:val="24"/>
          <w:szCs w:val="24"/>
        </w:rPr>
        <w:t>Ռենտգենաֆլուորեսցենտային սպեկտրաչափում</w:t>
      </w:r>
    </w:p>
    <w:p w14:paraId="22769EBC"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Ռենտգենաֆլուորեսցենտային սպեկտրաչափման մեթոդը հիմնված է արձակվող ռենտգենյան ճառագայթման չափման վրա՝ ճառագայթման արտաքին աղբյուրից ատոմների ճառագայթահարման դեպքում, </w:t>
      </w:r>
      <w:r>
        <w:rPr>
          <w:rStyle w:val="Bodytext210pt"/>
          <w:sz w:val="24"/>
          <w:szCs w:val="24"/>
        </w:rPr>
        <w:t>եւ</w:t>
      </w:r>
      <w:r w:rsidRPr="00B834A2">
        <w:rPr>
          <w:rStyle w:val="Bodytext210pt"/>
          <w:sz w:val="24"/>
          <w:szCs w:val="24"/>
        </w:rPr>
        <w:t xml:space="preserve"> օգտագործվում է 4-ից 92 ատոմային համարներով՝ քիմիական տարրերի պարունակությունը որոշելու համար:</w:t>
      </w:r>
    </w:p>
    <w:p w14:paraId="3BB444CD"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Ռենտգենյան ճառագայթման չափումն անցկացնում են դետեկտման եղանակով տարբերվող ալիքադիսպերսիոն կամ էներգադիսպերսիոն ռենտգենաֆլուորեսցենտային սպեկտրաչափերի օգնությամբ:</w:t>
      </w:r>
      <w:r>
        <w:rPr>
          <w:rStyle w:val="Bodytext210pt"/>
          <w:sz w:val="24"/>
          <w:szCs w:val="24"/>
        </w:rPr>
        <w:t xml:space="preserve"> </w:t>
      </w:r>
    </w:p>
    <w:p w14:paraId="0DC03049"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Ալիքադիսպերսիոն ռենտգենաֆլուորեսցենտային սպեկտրաչափերում փորձարկվող նմուշից արձակվող ռենտգենյան ճառագայթումն ուղղվում է բյուրեղին, որտեղ, ճառագայթման էներգիայով պայմանավորված՝ տեղի է ունենում դրա բեկում անկյան վրա: Բեկված ռենտգենյան ճառագայթման ինտենսիվությունը հաջորդաբար չափվում է դետեկտորով: </w:t>
      </w:r>
    </w:p>
    <w:p w14:paraId="210922C2"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Էներգադիսպերսիոն ռենտգենաֆլուորեսցենտային սպեկտրաչափերում նմուշի ռենտգենյան ճառագայթումն ուղղվում է ռենտգենյան ճառագայթման յուրաքանչյուր դետեկտվող ֆոտոնի էներգիային համեմատական ամպլիտուդով էլեկտրական իմպուլսներ գեներացնող պինդմարմնային դետեկտորին: Այդ տեսակի սպեկտրաչափերը թույլ են տալիս ստանալ հետազոտվող նմուշի բաղադրության մասին ամբողջական տեղեկատվություն պարունակող սպեկտրը: </w:t>
      </w:r>
    </w:p>
    <w:p w14:paraId="768735D4"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Տարրի ֆլուորեսցենտման ինտենսիվությունը պայմանավորված է նմուշում դրա կոնցենտրացիայով, ինչպես նա</w:t>
      </w:r>
      <w:r>
        <w:rPr>
          <w:rStyle w:val="Bodytext210pt"/>
          <w:sz w:val="24"/>
          <w:szCs w:val="24"/>
        </w:rPr>
        <w:t>եւ</w:t>
      </w:r>
      <w:r w:rsidRPr="00B834A2">
        <w:rPr>
          <w:rStyle w:val="Bodytext210pt"/>
          <w:sz w:val="24"/>
          <w:szCs w:val="24"/>
        </w:rPr>
        <w:t xml:space="preserve"> մատրիցով՝ գրգռող </w:t>
      </w:r>
      <w:r>
        <w:rPr>
          <w:rStyle w:val="Bodytext210pt"/>
          <w:sz w:val="24"/>
          <w:szCs w:val="24"/>
        </w:rPr>
        <w:t>եւ</w:t>
      </w:r>
      <w:r w:rsidRPr="00B834A2">
        <w:rPr>
          <w:rStyle w:val="Bodytext210pt"/>
          <w:sz w:val="24"/>
          <w:szCs w:val="24"/>
        </w:rPr>
        <w:t xml:space="preserve"> արձակվող ճառագայթման կլանմամբ: Եթե որոշվող տարրի հետքային քանակությունների կոնցենտրացիան գտնվում է ստուգաճշտման գրաֆիկի գծայնության տիրույթում, ապա որոշակի բաղադրության մատրիցում գտնվող՝ ալիքի որոշակի երկարության </w:t>
      </w:r>
      <w:r w:rsidRPr="00B834A2">
        <w:rPr>
          <w:rStyle w:val="Bodytext210pt"/>
          <w:sz w:val="24"/>
          <w:szCs w:val="24"/>
        </w:rPr>
        <w:lastRenderedPageBreak/>
        <w:t xml:space="preserve">դեպքում տարրի ֆլուորեսցենտման չափված ինտենսիվությունն ուղիղ համեմատական է տվյալ տարրի կոնցենտրացիային </w:t>
      </w:r>
      <w:r>
        <w:rPr>
          <w:rStyle w:val="Bodytext210pt"/>
          <w:sz w:val="24"/>
          <w:szCs w:val="24"/>
        </w:rPr>
        <w:t>եւ</w:t>
      </w:r>
      <w:r w:rsidRPr="00B834A2">
        <w:rPr>
          <w:rStyle w:val="Bodytext210pt"/>
          <w:sz w:val="24"/>
          <w:szCs w:val="24"/>
        </w:rPr>
        <w:t xml:space="preserve">, ալիքի այդ երկարության դեպքում, հակադարձ համեմատական է մատրիցի թուլացման (կլանման) զանգվածային գործակցին, որը կարող է պայմանավորված լինել նմուշում այլ </w:t>
      </w:r>
      <w:r w:rsidRPr="006235F6">
        <w:rPr>
          <w:rStyle w:val="Bodytext210pt"/>
          <w:spacing w:val="-4"/>
          <w:sz w:val="24"/>
          <w:szCs w:val="24"/>
        </w:rPr>
        <w:t>տարրերի առկայությամբ եւ կոնցենտրացիայով, նմուշի մատրիցի բաղադրությամբ եւ</w:t>
      </w:r>
      <w:r w:rsidRPr="00B834A2">
        <w:rPr>
          <w:rStyle w:val="Bodytext210pt"/>
          <w:sz w:val="24"/>
          <w:szCs w:val="24"/>
        </w:rPr>
        <w:t xml:space="preserve"> նյութի մասնիկների չափով: </w:t>
      </w:r>
    </w:p>
    <w:p w14:paraId="3C28FF8D"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Մեթոդիկա,</w:t>
      </w:r>
      <w:r w:rsidRPr="00B834A2">
        <w:rPr>
          <w:rStyle w:val="Bodytext210pt"/>
          <w:sz w:val="24"/>
          <w:szCs w:val="24"/>
        </w:rPr>
        <w:t xml:space="preserve"> Սարքի կարգաբերումը </w:t>
      </w:r>
      <w:r>
        <w:rPr>
          <w:rStyle w:val="Bodytext210pt"/>
          <w:sz w:val="24"/>
          <w:szCs w:val="24"/>
        </w:rPr>
        <w:t>եւ</w:t>
      </w:r>
      <w:r w:rsidRPr="00B834A2">
        <w:rPr>
          <w:rStyle w:val="Bodytext210pt"/>
          <w:sz w:val="24"/>
          <w:szCs w:val="24"/>
        </w:rPr>
        <w:t xml:space="preserve"> օգտագործումն իրականացնում են արտադրողի հրահանգներին համապատասխան: Հեղուկ նմուշները չափում են անմիջականորեն. պինդ նմուշները կարող են չափվել անմիջականորեն, հաբի (հատիկի) ստացման համար նախնական մամլումից հետո, երբեմն էլ համապատասխան կապող նյութերի հետ խառնելուց կամ համահալումից հետո: Անհրաժեշտ է, որպեսզի նմուշն ունենա բավարար հաստություն, որպեսզի հաստության հնարավոր աննշան շեղումները չազդեն չափվող ռենտգենյան ճառագայթման վրա: Չափման թեթ</w:t>
      </w:r>
      <w:r>
        <w:rPr>
          <w:rStyle w:val="Bodytext210pt"/>
          <w:sz w:val="24"/>
          <w:szCs w:val="24"/>
        </w:rPr>
        <w:t>եւ</w:t>
      </w:r>
      <w:r w:rsidRPr="00B834A2">
        <w:rPr>
          <w:rStyle w:val="Bodytext210pt"/>
          <w:sz w:val="24"/>
          <w:szCs w:val="24"/>
        </w:rPr>
        <w:t xml:space="preserve"> տարրերի քանակական որոշման ժամանակ զգայունությունը բարձրացնելու համար չափումները կարող են անցկացվել վակուումում, ազոտի կամ հելիումի միջավայրում: Սարքի ստուգաճշտման, համակարգի պիտանիության ստուգման </w:t>
      </w:r>
      <w:r>
        <w:rPr>
          <w:rStyle w:val="Bodytext210pt"/>
          <w:sz w:val="24"/>
          <w:szCs w:val="24"/>
        </w:rPr>
        <w:t>եւ</w:t>
      </w:r>
      <w:r w:rsidRPr="00B834A2">
        <w:rPr>
          <w:rStyle w:val="Bodytext210pt"/>
          <w:sz w:val="24"/>
          <w:szCs w:val="24"/>
        </w:rPr>
        <w:t xml:space="preserve"> աշխատունակության վերահսկման համար օգտագործում են համապատասխան սերտիֆիկացված ստանդարտ նմուշներ, որոնց դեպքում դեղամիջոցների անալիզի ժամանակ նախընտրելի է օգտագործել ածխածնի բարձր պարունակությամբ ստանդարտ նմուշներ:</w:t>
      </w:r>
    </w:p>
    <w:p w14:paraId="0BE08FAE" w14:textId="77777777" w:rsidR="00B834A2" w:rsidRPr="00B834A2" w:rsidRDefault="00B834A2" w:rsidP="006E41D4">
      <w:pPr>
        <w:pStyle w:val="Bodytext20"/>
        <w:shd w:val="clear" w:color="auto" w:fill="auto"/>
        <w:spacing w:before="0" w:after="160" w:line="341" w:lineRule="auto"/>
        <w:ind w:firstLine="567"/>
        <w:jc w:val="both"/>
        <w:rPr>
          <w:rStyle w:val="Bodytext210pt"/>
          <w:sz w:val="24"/>
          <w:szCs w:val="24"/>
        </w:rPr>
      </w:pPr>
      <w:r w:rsidRPr="00B834A2">
        <w:rPr>
          <w:rStyle w:val="Bodytext210pt8"/>
          <w:sz w:val="24"/>
          <w:szCs w:val="24"/>
        </w:rPr>
        <w:t>Համակարգի պիտանիության ստուգում:</w:t>
      </w:r>
      <w:r w:rsidRPr="00B834A2">
        <w:rPr>
          <w:rStyle w:val="Bodytext210pt"/>
          <w:sz w:val="24"/>
          <w:szCs w:val="24"/>
        </w:rPr>
        <w:t xml:space="preserve"> Համակարգի աշխատանքի ճշտությունը հաստատելու համար՝ մինչ փորձարկման անցկացումը, ստուգում են դրա պիտանիությունը: Ստուգումը համարվում է անցկացված, եթե ստացված արդյունքները չեն տարբերվում իրական արժեքից ավելի քան 5 %-ով՝ դեղամիջոցների կամ օժանդակ նյութերի բաղադրիչների պարունակության քանակական որոշման դեպքում </w:t>
      </w:r>
      <w:r>
        <w:rPr>
          <w:rStyle w:val="Bodytext210pt"/>
          <w:sz w:val="24"/>
          <w:szCs w:val="24"/>
        </w:rPr>
        <w:t>եւ</w:t>
      </w:r>
      <w:r w:rsidRPr="00B834A2">
        <w:rPr>
          <w:rStyle w:val="Bodytext210pt"/>
          <w:sz w:val="24"/>
          <w:szCs w:val="24"/>
        </w:rPr>
        <w:t xml:space="preserve"> ավելի քան 20 %-ով՝ տարրի խառնուկների պարունակության քանակական որոշման դեպքում: Այլընտրանքային մեթոդով ստացված արդյունքների հետ համեմատումը, օրինակ՝ ատոմային աբսորբցիոն սպեկտրաչափման օգնությամբ, նույնպես կարող է օգտագործվել համակարգի </w:t>
      </w:r>
      <w:r w:rsidRPr="00B834A2">
        <w:rPr>
          <w:rStyle w:val="Bodytext210pt"/>
          <w:sz w:val="24"/>
          <w:szCs w:val="24"/>
        </w:rPr>
        <w:lastRenderedPageBreak/>
        <w:t xml:space="preserve">պիտանիությունը ստուգելու համար, ընդ որում՝ քանակական որոշման դեպքում ընդունելիության չափորոշիչը կարող է ընդունվել 10 %-ին հավասար: </w:t>
      </w:r>
    </w:p>
    <w:p w14:paraId="40F4B651" w14:textId="77777777" w:rsidR="00B834A2" w:rsidRPr="00B834A2" w:rsidRDefault="00B834A2" w:rsidP="006E41D4">
      <w:pPr>
        <w:pStyle w:val="Bodytext20"/>
        <w:shd w:val="clear" w:color="auto" w:fill="auto"/>
        <w:spacing w:before="0" w:after="160" w:line="341" w:lineRule="auto"/>
        <w:ind w:firstLine="567"/>
        <w:jc w:val="both"/>
        <w:rPr>
          <w:rFonts w:ascii="Sylfaen" w:hAnsi="Sylfaen"/>
          <w:sz w:val="24"/>
          <w:szCs w:val="24"/>
        </w:rPr>
      </w:pPr>
      <w:r w:rsidRPr="00B834A2">
        <w:rPr>
          <w:rStyle w:val="Bodytext210pt8"/>
          <w:sz w:val="24"/>
          <w:szCs w:val="24"/>
        </w:rPr>
        <w:t xml:space="preserve">Սարքի աշխատունակության վերահսկում: </w:t>
      </w:r>
      <w:r w:rsidRPr="00B834A2">
        <w:rPr>
          <w:rStyle w:val="Bodytext210pt"/>
          <w:sz w:val="24"/>
          <w:szCs w:val="24"/>
        </w:rPr>
        <w:t>Չափումների արդյունքների հավաստիության ապահովման համար անհրաժեշտ է երաշխավորել երկարատ</w:t>
      </w:r>
      <w:r>
        <w:rPr>
          <w:rStyle w:val="Bodytext210pt"/>
          <w:sz w:val="24"/>
          <w:szCs w:val="24"/>
        </w:rPr>
        <w:t>եւ</w:t>
      </w:r>
      <w:r w:rsidRPr="00B834A2">
        <w:rPr>
          <w:rStyle w:val="Bodytext210pt"/>
          <w:sz w:val="24"/>
          <w:szCs w:val="24"/>
        </w:rPr>
        <w:t xml:space="preserve"> ժամանակահատվածում սարքի կայուն աշխատանքը: Դրա համար ընթացակարգերի, ընդունելիության չափորոշիչների </w:t>
      </w:r>
      <w:r>
        <w:rPr>
          <w:rStyle w:val="Bodytext210pt"/>
          <w:sz w:val="24"/>
          <w:szCs w:val="24"/>
        </w:rPr>
        <w:t>եւ</w:t>
      </w:r>
      <w:r w:rsidRPr="00B834A2">
        <w:rPr>
          <w:rStyle w:val="Bodytext210pt"/>
          <w:sz w:val="24"/>
          <w:szCs w:val="24"/>
        </w:rPr>
        <w:t xml:space="preserve"> ժամանակային միջակայքերի ընտրությունը պետք է հիմնված լինի օգտագործվող սարքավորումների տեսակի </w:t>
      </w:r>
      <w:r>
        <w:rPr>
          <w:rStyle w:val="Bodytext210pt"/>
          <w:sz w:val="24"/>
          <w:szCs w:val="24"/>
        </w:rPr>
        <w:t>եւ</w:t>
      </w:r>
      <w:r w:rsidRPr="00B834A2">
        <w:rPr>
          <w:rStyle w:val="Bodytext210pt"/>
          <w:sz w:val="24"/>
          <w:szCs w:val="24"/>
        </w:rPr>
        <w:t xml:space="preserve"> դրանց ենթադրվող օգտագործման վրա: Օրինակ՝ հսկողությունը կարելի է իրականացնել</w:t>
      </w:r>
      <w:r>
        <w:rPr>
          <w:rStyle w:val="Bodytext210pt"/>
          <w:sz w:val="24"/>
          <w:szCs w:val="24"/>
        </w:rPr>
        <w:t xml:space="preserve"> </w:t>
      </w:r>
      <w:r w:rsidRPr="00B834A2">
        <w:rPr>
          <w:rStyle w:val="Bodytext210pt"/>
          <w:sz w:val="24"/>
          <w:szCs w:val="24"/>
        </w:rPr>
        <w:t xml:space="preserve">x-առանցքի (անկյուն կամ էներգիա) </w:t>
      </w:r>
      <w:r>
        <w:rPr>
          <w:rStyle w:val="Bodytext210pt"/>
          <w:sz w:val="24"/>
          <w:szCs w:val="24"/>
        </w:rPr>
        <w:t>եւ</w:t>
      </w:r>
      <w:r w:rsidRPr="00B834A2">
        <w:rPr>
          <w:rStyle w:val="Bodytext210pt"/>
          <w:sz w:val="24"/>
          <w:szCs w:val="24"/>
        </w:rPr>
        <w:t xml:space="preserve"> у-առանցքի (ինտենսիվություն), ինչպես նա</w:t>
      </w:r>
      <w:r>
        <w:rPr>
          <w:rStyle w:val="Bodytext210pt"/>
          <w:sz w:val="24"/>
          <w:szCs w:val="24"/>
        </w:rPr>
        <w:t>եւ</w:t>
      </w:r>
      <w:r w:rsidRPr="00B834A2">
        <w:rPr>
          <w:rStyle w:val="Bodytext210pt"/>
          <w:sz w:val="24"/>
          <w:szCs w:val="24"/>
        </w:rPr>
        <w:t xml:space="preserve"> դետեկտորի թողունակության գնահատման եղանակով (այն պահանջներով, որ թողունակության արժեքները չպետք է շեղվեն սարքավորումների ստուգաճշտման ժամանակ որոշված արժեքից ավելի, քան 20 %-ով՝ բաղադրիչների քանակական որոշման համար </w:t>
      </w:r>
      <w:r>
        <w:rPr>
          <w:rStyle w:val="Bodytext210pt"/>
          <w:sz w:val="24"/>
          <w:szCs w:val="24"/>
        </w:rPr>
        <w:t>եւ</w:t>
      </w:r>
      <w:r w:rsidRPr="00B834A2">
        <w:rPr>
          <w:rStyle w:val="Bodytext210pt"/>
          <w:sz w:val="24"/>
          <w:szCs w:val="24"/>
        </w:rPr>
        <w:t xml:space="preserve"> ավելի, քան 25 %-ով՝ տարրերի խառնուկների իսկության </w:t>
      </w:r>
      <w:r>
        <w:rPr>
          <w:rStyle w:val="Bodytext210pt"/>
          <w:sz w:val="24"/>
          <w:szCs w:val="24"/>
        </w:rPr>
        <w:t>եւ</w:t>
      </w:r>
      <w:r w:rsidRPr="00B834A2">
        <w:rPr>
          <w:rStyle w:val="Bodytext210pt"/>
          <w:sz w:val="24"/>
          <w:szCs w:val="24"/>
        </w:rPr>
        <w:t xml:space="preserve"> քանակական որոշման համար):</w:t>
      </w:r>
    </w:p>
    <w:p w14:paraId="07030C6F" w14:textId="77777777" w:rsidR="00B834A2" w:rsidRPr="00B834A2" w:rsidRDefault="00B834A2" w:rsidP="006E41D4">
      <w:pPr>
        <w:pStyle w:val="Bodytext20"/>
        <w:shd w:val="clear" w:color="auto" w:fill="auto"/>
        <w:spacing w:before="0" w:after="160" w:line="341" w:lineRule="auto"/>
        <w:ind w:firstLine="567"/>
        <w:jc w:val="both"/>
        <w:rPr>
          <w:rFonts w:ascii="Sylfaen" w:hAnsi="Sylfaen"/>
          <w:sz w:val="24"/>
          <w:szCs w:val="24"/>
        </w:rPr>
      </w:pPr>
      <w:r w:rsidRPr="00B834A2">
        <w:rPr>
          <w:rStyle w:val="Bodytext210pt8"/>
          <w:sz w:val="24"/>
          <w:szCs w:val="24"/>
        </w:rPr>
        <w:t>Վալիդացիոն պահանջներ:</w:t>
      </w:r>
      <w:r w:rsidRPr="00B834A2">
        <w:rPr>
          <w:rStyle w:val="Bodytext210pt"/>
          <w:sz w:val="24"/>
          <w:szCs w:val="24"/>
        </w:rPr>
        <w:t xml:space="preserve"> Խառնուկների որոշման մեթոդիկաների դեպքում ղեկավարվում են </w:t>
      </w:r>
      <w:r w:rsidRPr="00B834A2">
        <w:rPr>
          <w:rStyle w:val="Bodytext210pt8"/>
          <w:sz w:val="24"/>
          <w:szCs w:val="24"/>
        </w:rPr>
        <w:t>2.1.4.23</w:t>
      </w:r>
      <w:r w:rsidRPr="00B834A2">
        <w:rPr>
          <w:rFonts w:ascii="Sylfaen" w:hAnsi="Sylfaen"/>
          <w:sz w:val="24"/>
          <w:szCs w:val="24"/>
        </w:rPr>
        <w:t xml:space="preserve"> ընդհանուր դեղագրքային հոդվածում ներկայացված վալիդացման մասով պահանջներով:</w:t>
      </w:r>
      <w:r w:rsidRPr="00B834A2">
        <w:rPr>
          <w:rStyle w:val="Bodytext210pt8"/>
          <w:sz w:val="24"/>
          <w:szCs w:val="24"/>
        </w:rPr>
        <w:t xml:space="preserve"> Տարրերի խառնուկների որոշումը:</w:t>
      </w:r>
      <w:r w:rsidRPr="00B834A2">
        <w:rPr>
          <w:rStyle w:val="Bodytext210pt"/>
          <w:sz w:val="24"/>
          <w:szCs w:val="24"/>
        </w:rPr>
        <w:t xml:space="preserve"> Մնացած դեպքերում օգտվում են </w:t>
      </w:r>
      <w:r w:rsidRPr="00B834A2">
        <w:rPr>
          <w:rStyle w:val="Bodytext210pt8"/>
          <w:sz w:val="24"/>
          <w:szCs w:val="24"/>
        </w:rPr>
        <w:t>2.3.14.0.</w:t>
      </w:r>
      <w:r w:rsidRPr="00B834A2">
        <w:rPr>
          <w:rFonts w:ascii="Sylfaen" w:hAnsi="Sylfaen"/>
          <w:sz w:val="24"/>
          <w:szCs w:val="24"/>
        </w:rPr>
        <w:t xml:space="preserve"> ընդհանուր դեղագրքային հոդվածից:</w:t>
      </w:r>
      <w:r w:rsidRPr="00B834A2">
        <w:rPr>
          <w:rStyle w:val="Bodytext210pt8"/>
          <w:sz w:val="24"/>
          <w:szCs w:val="24"/>
        </w:rPr>
        <w:t xml:space="preserve"> Անալիտիկ մեթոդիկաների վալիդացում:</w:t>
      </w:r>
    </w:p>
    <w:p w14:paraId="1B00AAFC" w14:textId="77777777" w:rsidR="00B834A2" w:rsidRPr="00B834A2" w:rsidRDefault="00B834A2" w:rsidP="006E41D4">
      <w:pPr>
        <w:pStyle w:val="Bodytext20"/>
        <w:shd w:val="clear" w:color="auto" w:fill="auto"/>
        <w:spacing w:before="0" w:after="160" w:line="341" w:lineRule="auto"/>
        <w:ind w:firstLine="567"/>
        <w:jc w:val="both"/>
        <w:rPr>
          <w:rFonts w:ascii="Sylfaen" w:hAnsi="Sylfaen"/>
          <w:sz w:val="24"/>
          <w:szCs w:val="24"/>
        </w:rPr>
      </w:pPr>
      <w:r w:rsidRPr="00B834A2">
        <w:rPr>
          <w:rStyle w:val="Bodytext210pt"/>
          <w:sz w:val="24"/>
          <w:szCs w:val="24"/>
        </w:rPr>
        <w:t>Եթե փորձարկում անցկացնելիս պահանջվում է փորձանմուշների պատրաստման անցկացում, ապա փորձարկվող նմուշ հավելումների ներմուծումն իրականացվում է մինչ դրա առաջին փուլի մեկնարկը:</w:t>
      </w:r>
    </w:p>
    <w:p w14:paraId="03AC42EB" w14:textId="77777777" w:rsidR="00B834A2" w:rsidRPr="006E41D4" w:rsidRDefault="00B834A2" w:rsidP="006E41D4">
      <w:pPr>
        <w:pStyle w:val="Bodytext20"/>
        <w:shd w:val="clear" w:color="auto" w:fill="auto"/>
        <w:spacing w:before="0" w:after="160" w:line="240" w:lineRule="auto"/>
        <w:ind w:firstLine="567"/>
        <w:rPr>
          <w:rStyle w:val="Bodytext29pt"/>
          <w:sz w:val="20"/>
          <w:szCs w:val="24"/>
        </w:rPr>
      </w:pPr>
    </w:p>
    <w:p w14:paraId="028FDBC9" w14:textId="77777777" w:rsidR="00B834A2" w:rsidRPr="006235F6" w:rsidRDefault="00B834A2" w:rsidP="006E41D4">
      <w:pPr>
        <w:pStyle w:val="Bodytext20"/>
        <w:shd w:val="clear" w:color="auto" w:fill="auto"/>
        <w:spacing w:before="0" w:after="160" w:line="341" w:lineRule="auto"/>
        <w:ind w:firstLine="567"/>
        <w:jc w:val="right"/>
        <w:rPr>
          <w:rStyle w:val="Bodytext29pt"/>
          <w:b/>
          <w:sz w:val="20"/>
          <w:szCs w:val="24"/>
        </w:rPr>
      </w:pPr>
      <w:r w:rsidRPr="006235F6">
        <w:rPr>
          <w:rStyle w:val="Bodytext29pt"/>
          <w:b/>
          <w:sz w:val="20"/>
          <w:szCs w:val="24"/>
        </w:rPr>
        <w:t>201020049-2022</w:t>
      </w:r>
    </w:p>
    <w:p w14:paraId="63EF5A27" w14:textId="77777777" w:rsidR="006E41D4" w:rsidRPr="00097504" w:rsidRDefault="006E41D4" w:rsidP="006E41D4">
      <w:pPr>
        <w:pStyle w:val="Bodytext20"/>
        <w:shd w:val="clear" w:color="auto" w:fill="auto"/>
        <w:spacing w:before="0" w:line="240" w:lineRule="auto"/>
        <w:ind w:firstLine="567"/>
        <w:jc w:val="right"/>
        <w:rPr>
          <w:rFonts w:ascii="Sylfaen" w:hAnsi="Sylfaen"/>
          <w:b/>
          <w:sz w:val="24"/>
          <w:szCs w:val="24"/>
        </w:rPr>
      </w:pPr>
    </w:p>
    <w:p w14:paraId="7062637B" w14:textId="77777777" w:rsidR="00B834A2" w:rsidRPr="002B742F" w:rsidRDefault="00B834A2" w:rsidP="006E41D4">
      <w:pPr>
        <w:pStyle w:val="Bodytext20"/>
        <w:shd w:val="clear" w:color="auto" w:fill="auto"/>
        <w:tabs>
          <w:tab w:val="left" w:pos="1701"/>
        </w:tabs>
        <w:spacing w:before="0" w:after="160" w:line="341" w:lineRule="auto"/>
        <w:ind w:firstLine="567"/>
        <w:jc w:val="both"/>
        <w:rPr>
          <w:rFonts w:ascii="Sylfaen" w:hAnsi="Sylfaen"/>
          <w:b/>
          <w:sz w:val="24"/>
          <w:szCs w:val="24"/>
        </w:rPr>
      </w:pPr>
      <w:r w:rsidRPr="002B742F">
        <w:rPr>
          <w:rStyle w:val="Bodytext214pt"/>
          <w:rFonts w:ascii="Sylfaen" w:hAnsi="Sylfaen"/>
          <w:b/>
          <w:sz w:val="24"/>
          <w:szCs w:val="24"/>
        </w:rPr>
        <w:t>2.1.2.49.</w:t>
      </w:r>
      <w:r w:rsidR="006E41D4" w:rsidRPr="00097504">
        <w:rPr>
          <w:rStyle w:val="Bodytext214pt"/>
          <w:rFonts w:ascii="Sylfaen" w:hAnsi="Sylfaen"/>
          <w:b/>
          <w:sz w:val="24"/>
          <w:szCs w:val="24"/>
        </w:rPr>
        <w:tab/>
      </w:r>
      <w:r w:rsidRPr="002B742F">
        <w:rPr>
          <w:rStyle w:val="Bodytext214pt"/>
          <w:rFonts w:ascii="Sylfaen" w:hAnsi="Sylfaen"/>
          <w:b/>
          <w:sz w:val="24"/>
          <w:szCs w:val="24"/>
        </w:rPr>
        <w:t>Դեքստրանների մոլեկուլային-զանգվածային բաշխում</w:t>
      </w:r>
    </w:p>
    <w:p w14:paraId="098F6A4F" w14:textId="77777777" w:rsidR="00B834A2" w:rsidRPr="00B834A2" w:rsidRDefault="00B834A2" w:rsidP="006E41D4">
      <w:pPr>
        <w:pStyle w:val="Bodytext20"/>
        <w:shd w:val="clear" w:color="auto" w:fill="auto"/>
        <w:spacing w:before="0" w:after="160" w:line="341" w:lineRule="auto"/>
        <w:ind w:firstLine="567"/>
        <w:jc w:val="both"/>
        <w:rPr>
          <w:rFonts w:ascii="Sylfaen" w:hAnsi="Sylfaen"/>
          <w:sz w:val="24"/>
          <w:szCs w:val="24"/>
        </w:rPr>
      </w:pPr>
      <w:r w:rsidRPr="00B834A2">
        <w:rPr>
          <w:rStyle w:val="Bodytext210pt"/>
          <w:sz w:val="24"/>
          <w:szCs w:val="24"/>
        </w:rPr>
        <w:t xml:space="preserve">Որոշումը կատարվում է էքսկլյուզիոն քրոմատագրման մեթոդով </w:t>
      </w:r>
      <w:r w:rsidRPr="00B834A2">
        <w:rPr>
          <w:rStyle w:val="Bodytext210pt8"/>
          <w:sz w:val="24"/>
          <w:szCs w:val="24"/>
        </w:rPr>
        <w:t>(2.1.2.29):</w:t>
      </w:r>
    </w:p>
    <w:p w14:paraId="5DEE1FA8" w14:textId="77777777" w:rsidR="00B834A2" w:rsidRPr="00097504"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Փորձարկվող լուծույթ:</w:t>
      </w:r>
      <w:r w:rsidRPr="00B834A2">
        <w:rPr>
          <w:rStyle w:val="Bodytext210pt"/>
          <w:sz w:val="24"/>
          <w:szCs w:val="24"/>
        </w:rPr>
        <w:t xml:space="preserve"> 0,200 գ փորձարկվող լուծույթը լուծում են շարժուն ֆազում </w:t>
      </w:r>
      <w:r>
        <w:rPr>
          <w:rStyle w:val="Bodytext210pt"/>
          <w:sz w:val="24"/>
          <w:szCs w:val="24"/>
        </w:rPr>
        <w:t>եւ</w:t>
      </w:r>
      <w:r w:rsidRPr="00B834A2">
        <w:rPr>
          <w:rStyle w:val="Bodytext210pt"/>
          <w:sz w:val="24"/>
          <w:szCs w:val="24"/>
        </w:rPr>
        <w:t xml:space="preserve"> նույն լուծիչով հասցնում մինչ</w:t>
      </w:r>
      <w:r>
        <w:rPr>
          <w:rStyle w:val="Bodytext210pt"/>
          <w:sz w:val="24"/>
          <w:szCs w:val="24"/>
        </w:rPr>
        <w:t>եւ</w:t>
      </w:r>
      <w:r w:rsidRPr="00B834A2">
        <w:rPr>
          <w:rStyle w:val="Bodytext210pt"/>
          <w:sz w:val="24"/>
          <w:szCs w:val="24"/>
        </w:rPr>
        <w:t xml:space="preserve"> 10 մլ ծավալի:</w:t>
      </w:r>
    </w:p>
    <w:p w14:paraId="13414A66"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Մարկերային լուծույթ:</w:t>
      </w:r>
      <w:r w:rsidRPr="00B834A2">
        <w:rPr>
          <w:rStyle w:val="Bodytext210pt"/>
          <w:sz w:val="24"/>
          <w:szCs w:val="24"/>
        </w:rPr>
        <w:t xml:space="preserve"> 5 մգ</w:t>
      </w:r>
      <w:r w:rsidRPr="00B834A2">
        <w:rPr>
          <w:rStyle w:val="Bodytext210pt8"/>
          <w:sz w:val="24"/>
          <w:szCs w:val="24"/>
        </w:rPr>
        <w:t>Р գլյուկոզը</w:t>
      </w:r>
      <w:r>
        <w:rPr>
          <w:rStyle w:val="Bodytext210pt8"/>
          <w:sz w:val="24"/>
          <w:szCs w:val="24"/>
        </w:rPr>
        <w:t xml:space="preserve"> </w:t>
      </w:r>
      <w:r>
        <w:rPr>
          <w:rStyle w:val="Bodytext210pt"/>
          <w:sz w:val="24"/>
          <w:szCs w:val="24"/>
        </w:rPr>
        <w:t>եւ</w:t>
      </w:r>
      <w:r w:rsidRPr="00B834A2">
        <w:rPr>
          <w:rStyle w:val="Bodytext210pt"/>
          <w:sz w:val="24"/>
          <w:szCs w:val="24"/>
        </w:rPr>
        <w:t xml:space="preserve"> 2 մգ ԵԱՏՄԴ ՍՆ</w:t>
      </w:r>
      <w:r>
        <w:rPr>
          <w:rStyle w:val="Bodytext210pt"/>
          <w:sz w:val="24"/>
          <w:szCs w:val="24"/>
        </w:rPr>
        <w:t xml:space="preserve"> </w:t>
      </w:r>
      <w:r w:rsidRPr="00B834A2">
        <w:rPr>
          <w:rStyle w:val="Bodytext210pt8"/>
          <w:sz w:val="24"/>
          <w:szCs w:val="24"/>
        </w:rPr>
        <w:t>V</w:t>
      </w:r>
      <w:r w:rsidRPr="00B834A2">
        <w:rPr>
          <w:rStyle w:val="Bodytext210pt8"/>
          <w:sz w:val="24"/>
          <w:szCs w:val="24"/>
          <w:vertAlign w:val="subscript"/>
        </w:rPr>
        <w:t>0</w:t>
      </w:r>
      <w:r w:rsidRPr="00B834A2">
        <w:rPr>
          <w:rStyle w:val="Bodytext210pt8"/>
          <w:sz w:val="24"/>
          <w:szCs w:val="24"/>
        </w:rPr>
        <w:t xml:space="preserve"> դեքստրանը</w:t>
      </w:r>
      <w:r>
        <w:rPr>
          <w:rStyle w:val="Bodytext210pt8"/>
          <w:sz w:val="24"/>
          <w:szCs w:val="24"/>
        </w:rPr>
        <w:t xml:space="preserve"> </w:t>
      </w:r>
      <w:r w:rsidRPr="00B834A2">
        <w:rPr>
          <w:rStyle w:val="Bodytext210pt"/>
          <w:sz w:val="24"/>
          <w:szCs w:val="24"/>
        </w:rPr>
        <w:t>լուծում են 1 մլ շարժուն ֆազում:</w:t>
      </w:r>
    </w:p>
    <w:p w14:paraId="4ACFE0C7" w14:textId="77777777" w:rsidR="00B834A2" w:rsidRPr="00B834A2" w:rsidRDefault="00B834A2" w:rsidP="002B742F">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Չափաբերման լուծույթներ:</w:t>
      </w:r>
      <w:r w:rsidRPr="00B834A2">
        <w:rPr>
          <w:rStyle w:val="Bodytext210pt"/>
          <w:sz w:val="24"/>
          <w:szCs w:val="24"/>
        </w:rPr>
        <w:t xml:space="preserve"> Նշված ստանդարտ նմուշներից յուրաքանչյուրի կշռուկը՝ 15 մգ ԵԱՏՄԴ ՍՆ </w:t>
      </w:r>
      <w:r w:rsidRPr="00B834A2">
        <w:rPr>
          <w:rStyle w:val="Bodytext210pt8"/>
          <w:sz w:val="24"/>
          <w:szCs w:val="24"/>
        </w:rPr>
        <w:t>դեքստրան 4՝ ստուգաճշտման համար,</w:t>
      </w:r>
      <w:r w:rsidRPr="00B834A2">
        <w:rPr>
          <w:rStyle w:val="Bodytext210pt"/>
          <w:sz w:val="24"/>
          <w:szCs w:val="24"/>
        </w:rPr>
        <w:t xml:space="preserve"> 15 մգ</w:t>
      </w:r>
      <w:r w:rsidRPr="00B834A2">
        <w:rPr>
          <w:rStyle w:val="Bodytext210pt8"/>
          <w:sz w:val="24"/>
          <w:szCs w:val="24"/>
        </w:rPr>
        <w:t>ԵԱՏՄԴ ՍՆ դեքստրան 10՝ ստուգաճշտման համար,</w:t>
      </w:r>
      <w:r w:rsidRPr="00B834A2">
        <w:rPr>
          <w:rStyle w:val="Bodytext210pt"/>
          <w:sz w:val="24"/>
          <w:szCs w:val="24"/>
        </w:rPr>
        <w:t xml:space="preserve"> 20 մգ </w:t>
      </w:r>
      <w:r w:rsidRPr="00B834A2">
        <w:rPr>
          <w:rStyle w:val="Bodytext210pt8"/>
          <w:sz w:val="24"/>
          <w:szCs w:val="24"/>
        </w:rPr>
        <w:t>ԵԱՏՄԴ ՍՆ դեքստրան 40՝</w:t>
      </w:r>
      <w:r>
        <w:rPr>
          <w:rStyle w:val="Bodytext210pt8"/>
          <w:sz w:val="24"/>
          <w:szCs w:val="24"/>
        </w:rPr>
        <w:t xml:space="preserve"> </w:t>
      </w:r>
      <w:r w:rsidRPr="00B834A2">
        <w:rPr>
          <w:rStyle w:val="Bodytext210pt8"/>
          <w:sz w:val="24"/>
          <w:szCs w:val="24"/>
        </w:rPr>
        <w:t>ստուգաճշտման համար,</w:t>
      </w:r>
      <w:r w:rsidRPr="00B834A2">
        <w:rPr>
          <w:rStyle w:val="Bodytext210pt"/>
          <w:sz w:val="24"/>
          <w:szCs w:val="24"/>
        </w:rPr>
        <w:t xml:space="preserve"> 20 մգ ԵԱՏՄԴ ՍՆ </w:t>
      </w:r>
      <w:r w:rsidRPr="00B834A2">
        <w:rPr>
          <w:rStyle w:val="Bodytext210pt8"/>
          <w:sz w:val="24"/>
          <w:szCs w:val="24"/>
        </w:rPr>
        <w:t>դեքստրան 70՝ ստուգաճշտման</w:t>
      </w:r>
      <w:r w:rsidRPr="00B834A2" w:rsidDel="00330B1B">
        <w:rPr>
          <w:rStyle w:val="Bodytext210pt8"/>
          <w:sz w:val="24"/>
          <w:szCs w:val="24"/>
        </w:rPr>
        <w:t xml:space="preserve"> </w:t>
      </w:r>
      <w:r w:rsidRPr="00B834A2">
        <w:rPr>
          <w:rStyle w:val="Bodytext210pt8"/>
          <w:sz w:val="24"/>
          <w:szCs w:val="24"/>
        </w:rPr>
        <w:t>համար</w:t>
      </w:r>
      <w:r w:rsidRPr="00B834A2">
        <w:rPr>
          <w:rStyle w:val="Bodytext210pt"/>
          <w:sz w:val="24"/>
          <w:szCs w:val="24"/>
        </w:rPr>
        <w:t xml:space="preserve"> </w:t>
      </w:r>
      <w:r>
        <w:rPr>
          <w:rStyle w:val="Bodytext210pt"/>
          <w:sz w:val="24"/>
          <w:szCs w:val="24"/>
        </w:rPr>
        <w:t>եւ</w:t>
      </w:r>
      <w:r w:rsidRPr="00B834A2">
        <w:rPr>
          <w:rStyle w:val="Bodytext210pt"/>
          <w:sz w:val="24"/>
          <w:szCs w:val="24"/>
        </w:rPr>
        <w:t xml:space="preserve"> 20 մգ ԵԱՏՄԴ ՍՆ </w:t>
      </w:r>
      <w:r w:rsidRPr="00B834A2">
        <w:rPr>
          <w:rStyle w:val="Bodytext210pt8"/>
          <w:sz w:val="24"/>
          <w:szCs w:val="24"/>
        </w:rPr>
        <w:t>դեքստրան 250՝ ստուգաճշտման համար՝</w:t>
      </w:r>
      <w:r w:rsidRPr="00B834A2">
        <w:rPr>
          <w:rStyle w:val="Bodytext210pt"/>
          <w:sz w:val="24"/>
          <w:szCs w:val="24"/>
        </w:rPr>
        <w:t xml:space="preserve"> առանձին լուծում են 1 մլ շարժուն ֆազում:</w:t>
      </w:r>
    </w:p>
    <w:p w14:paraId="23EF1533"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Քրոմատագրման համակարգի պիտանիության ստուգման համար նախատեսված լուծույթ:</w:t>
      </w:r>
      <w:r w:rsidRPr="00B834A2">
        <w:rPr>
          <w:rStyle w:val="Bodytext210pt"/>
          <w:sz w:val="24"/>
          <w:szCs w:val="24"/>
        </w:rPr>
        <w:t xml:space="preserve"> 20 մգ ԵԱՏՄԴ ՍՆ </w:t>
      </w:r>
      <w:r w:rsidRPr="00B834A2">
        <w:rPr>
          <w:rStyle w:val="Bodytext210pt8"/>
          <w:sz w:val="24"/>
          <w:szCs w:val="24"/>
        </w:rPr>
        <w:t xml:space="preserve">դեքստրան 40՝ քրոմատագրման համակարգի պիտանիության ստուգման համար </w:t>
      </w:r>
      <w:r w:rsidRPr="00B834A2">
        <w:rPr>
          <w:rStyle w:val="Bodytext210pt"/>
          <w:sz w:val="24"/>
          <w:szCs w:val="24"/>
        </w:rPr>
        <w:t xml:space="preserve">(դեքստրան 40 բաղադրամասի անալիզի համար) կամ 20 մգ ԵԱՏՄԴ ՍՆ </w:t>
      </w:r>
      <w:r w:rsidRPr="00B834A2">
        <w:rPr>
          <w:rStyle w:val="Bodytext210pt8"/>
          <w:sz w:val="24"/>
          <w:szCs w:val="24"/>
        </w:rPr>
        <w:t>դեքստրան 60/70՝ քրոմատագրման համակարգի պիտանիության ստուգման համար</w:t>
      </w:r>
      <w:r w:rsidRPr="00B834A2">
        <w:rPr>
          <w:rStyle w:val="Bodytext210pt"/>
          <w:sz w:val="24"/>
          <w:szCs w:val="24"/>
        </w:rPr>
        <w:t xml:space="preserve"> (դեքստրան 60 </w:t>
      </w:r>
      <w:r>
        <w:rPr>
          <w:rStyle w:val="Bodytext210pt"/>
          <w:sz w:val="24"/>
          <w:szCs w:val="24"/>
        </w:rPr>
        <w:t>եւ</w:t>
      </w:r>
      <w:r w:rsidRPr="00B834A2">
        <w:rPr>
          <w:rStyle w:val="Bodytext210pt"/>
          <w:sz w:val="24"/>
          <w:szCs w:val="24"/>
        </w:rPr>
        <w:t xml:space="preserve"> դեքստրան 70 բաղադրամասերի անալիզի համար)՝ լուծում են 1 մլ շարժուն ֆազում:</w:t>
      </w:r>
    </w:p>
    <w:p w14:paraId="260D1660"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Մասնավոր դեղագրքային հոդվածում այլ ցուցումների բացակայության դեպքում թույլատրվում է օգտագործել քրոմատագրման հետ</w:t>
      </w:r>
      <w:r>
        <w:rPr>
          <w:rStyle w:val="Bodytext210pt"/>
          <w:sz w:val="24"/>
          <w:szCs w:val="24"/>
        </w:rPr>
        <w:t>եւ</w:t>
      </w:r>
      <w:r w:rsidRPr="00B834A2">
        <w:rPr>
          <w:rStyle w:val="Bodytext210pt"/>
          <w:sz w:val="24"/>
          <w:szCs w:val="24"/>
        </w:rPr>
        <w:t>յալ պայմանները՝</w:t>
      </w:r>
    </w:p>
    <w:p w14:paraId="5F203A56" w14:textId="77777777" w:rsidR="00B834A2" w:rsidRPr="00B834A2" w:rsidRDefault="00B834A2" w:rsidP="002B742F">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742F" w:rsidRPr="002B742F">
        <w:rPr>
          <w:rFonts w:ascii="Sylfaen" w:hAnsi="Sylfaen"/>
          <w:sz w:val="24"/>
          <w:szCs w:val="24"/>
        </w:rPr>
        <w:tab/>
      </w:r>
      <w:r w:rsidRPr="00B834A2">
        <w:rPr>
          <w:rStyle w:val="Bodytext210pt8"/>
          <w:sz w:val="24"/>
          <w:szCs w:val="24"/>
        </w:rPr>
        <w:t>Р քրոմատագրման</w:t>
      </w:r>
      <w:r w:rsidRPr="00B834A2">
        <w:rPr>
          <w:rStyle w:val="Bodytext210pt"/>
          <w:sz w:val="24"/>
          <w:szCs w:val="24"/>
        </w:rPr>
        <w:t xml:space="preserve"> </w:t>
      </w:r>
      <w:r w:rsidRPr="00B834A2">
        <w:rPr>
          <w:rStyle w:val="Bodytext210pt"/>
          <w:i/>
          <w:sz w:val="24"/>
          <w:szCs w:val="24"/>
        </w:rPr>
        <w:t>համար լայնական կարված ագարոզով</w:t>
      </w:r>
      <w:r w:rsidRPr="00B834A2">
        <w:rPr>
          <w:rStyle w:val="Bodytext210pt"/>
          <w:sz w:val="24"/>
          <w:szCs w:val="24"/>
        </w:rPr>
        <w:t xml:space="preserve"> լցված՝ 0,3 մ երկարությամբ </w:t>
      </w:r>
      <w:r>
        <w:rPr>
          <w:rStyle w:val="Bodytext210pt8"/>
          <w:sz w:val="24"/>
          <w:szCs w:val="24"/>
        </w:rPr>
        <w:t>եւ</w:t>
      </w:r>
      <w:r w:rsidRPr="00B834A2">
        <w:rPr>
          <w:rStyle w:val="Bodytext210pt8"/>
          <w:sz w:val="24"/>
          <w:szCs w:val="24"/>
        </w:rPr>
        <w:t xml:space="preserve"> 10 մմ ներքին տրամագծով աշտարակ կամ Р քրոմատագրման համար </w:t>
      </w:r>
      <w:r w:rsidRPr="00B834A2">
        <w:rPr>
          <w:rStyle w:val="Bodytext210pt"/>
          <w:i/>
          <w:sz w:val="24"/>
          <w:szCs w:val="24"/>
        </w:rPr>
        <w:t>բազմաեթերային հիդրօքսիլացված գելով</w:t>
      </w:r>
      <w:r w:rsidRPr="00B834A2">
        <w:rPr>
          <w:rStyle w:val="Bodytext210pt"/>
          <w:sz w:val="24"/>
          <w:szCs w:val="24"/>
        </w:rPr>
        <w:t xml:space="preserve"> լցված՝ յուրաքանչյուրը 0,3 մ երկարությամբ </w:t>
      </w:r>
      <w:r>
        <w:rPr>
          <w:rFonts w:ascii="Sylfaen" w:hAnsi="Sylfaen"/>
          <w:sz w:val="24"/>
          <w:szCs w:val="24"/>
        </w:rPr>
        <w:t>եւ</w:t>
      </w:r>
      <w:r w:rsidRPr="00B834A2">
        <w:rPr>
          <w:rFonts w:ascii="Sylfaen" w:hAnsi="Sylfaen"/>
          <w:sz w:val="24"/>
          <w:szCs w:val="24"/>
        </w:rPr>
        <w:t xml:space="preserve"> 10 մմ ներքին տրամագծով </w:t>
      </w:r>
      <w:r w:rsidRPr="00B834A2">
        <w:rPr>
          <w:rStyle w:val="Bodytext210pt8"/>
          <w:sz w:val="24"/>
          <w:szCs w:val="24"/>
        </w:rPr>
        <w:t>աշտարակ</w:t>
      </w:r>
      <w:r w:rsidRPr="00B834A2">
        <w:rPr>
          <w:rFonts w:ascii="Sylfaen" w:hAnsi="Sylfaen"/>
          <w:sz w:val="24"/>
          <w:szCs w:val="24"/>
        </w:rPr>
        <w:t>ների սերիա.</w:t>
      </w:r>
    </w:p>
    <w:p w14:paraId="726AF0CC" w14:textId="77777777" w:rsidR="00B834A2" w:rsidRPr="00B834A2" w:rsidRDefault="00B834A2" w:rsidP="002B742F">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742F" w:rsidRPr="002B742F">
        <w:rPr>
          <w:rFonts w:ascii="Sylfaen" w:hAnsi="Sylfaen"/>
          <w:sz w:val="24"/>
          <w:szCs w:val="24"/>
        </w:rPr>
        <w:tab/>
      </w:r>
      <w:r w:rsidRPr="00B834A2">
        <w:rPr>
          <w:rStyle w:val="Bodytext210pt8"/>
          <w:sz w:val="24"/>
          <w:szCs w:val="24"/>
        </w:rPr>
        <w:t>շարժուն ֆազ</w:t>
      </w:r>
      <w:r w:rsidRPr="00B834A2">
        <w:rPr>
          <w:rStyle w:val="Bodytext210pt"/>
          <w:sz w:val="24"/>
          <w:szCs w:val="24"/>
        </w:rPr>
        <w:t xml:space="preserve">՝ 7գ Р անջուր նատրիումի սուլֆատի լուծույթ </w:t>
      </w:r>
      <w:r>
        <w:rPr>
          <w:rStyle w:val="Bodytext210pt"/>
          <w:sz w:val="24"/>
          <w:szCs w:val="24"/>
        </w:rPr>
        <w:t>եւ</w:t>
      </w:r>
      <w:r w:rsidRPr="00B834A2">
        <w:rPr>
          <w:rStyle w:val="Bodytext210pt"/>
          <w:sz w:val="24"/>
          <w:szCs w:val="24"/>
        </w:rPr>
        <w:t xml:space="preserve"> 1գ </w:t>
      </w:r>
      <w:r w:rsidRPr="00B834A2">
        <w:rPr>
          <w:rStyle w:val="Bodytext210pt8"/>
          <w:sz w:val="24"/>
          <w:szCs w:val="24"/>
        </w:rPr>
        <w:t xml:space="preserve">Р քլորբութանոլ </w:t>
      </w:r>
      <w:r w:rsidRPr="00B834A2">
        <w:rPr>
          <w:rStyle w:val="Bodytext210pt"/>
          <w:sz w:val="24"/>
          <w:szCs w:val="24"/>
        </w:rPr>
        <w:t xml:space="preserve">1լ </w:t>
      </w:r>
      <w:r w:rsidRPr="00B834A2">
        <w:rPr>
          <w:rStyle w:val="Bodytext210pt8"/>
          <w:sz w:val="24"/>
          <w:szCs w:val="24"/>
        </w:rPr>
        <w:t>Р ջրում.</w:t>
      </w:r>
    </w:p>
    <w:p w14:paraId="0BA4B01C" w14:textId="77777777" w:rsidR="00B834A2" w:rsidRPr="00B834A2" w:rsidRDefault="00B834A2" w:rsidP="002B742F">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742F" w:rsidRPr="002B742F">
        <w:rPr>
          <w:rFonts w:ascii="Sylfaen" w:hAnsi="Sylfaen"/>
          <w:sz w:val="24"/>
          <w:szCs w:val="24"/>
        </w:rPr>
        <w:tab/>
      </w:r>
      <w:r w:rsidRPr="00B834A2">
        <w:rPr>
          <w:rStyle w:val="Bodytext210pt8"/>
          <w:sz w:val="24"/>
          <w:szCs w:val="24"/>
        </w:rPr>
        <w:t>շարժուն ֆազի արագություն՝</w:t>
      </w:r>
      <w:r w:rsidRPr="00B834A2">
        <w:rPr>
          <w:rStyle w:val="Bodytext210pt"/>
          <w:sz w:val="24"/>
          <w:szCs w:val="24"/>
        </w:rPr>
        <w:t xml:space="preserve"> ժամում ±1 % ճշգրտությամբ մշտապես պահպանվող 0,5 մլ/րոպեից մինչ</w:t>
      </w:r>
      <w:r>
        <w:rPr>
          <w:rStyle w:val="Bodytext210pt"/>
          <w:sz w:val="24"/>
          <w:szCs w:val="24"/>
        </w:rPr>
        <w:t>եւ</w:t>
      </w:r>
      <w:r w:rsidRPr="00B834A2">
        <w:rPr>
          <w:rStyle w:val="Bodytext210pt"/>
          <w:sz w:val="24"/>
          <w:szCs w:val="24"/>
        </w:rPr>
        <w:t xml:space="preserve"> 1 մլ/րոպե.</w:t>
      </w:r>
    </w:p>
    <w:p w14:paraId="4804C829" w14:textId="77777777" w:rsidR="00B834A2" w:rsidRPr="00B834A2" w:rsidRDefault="00B834A2" w:rsidP="002B742F">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742F" w:rsidRPr="002B742F">
        <w:rPr>
          <w:rFonts w:ascii="Sylfaen" w:hAnsi="Sylfaen"/>
          <w:sz w:val="24"/>
          <w:szCs w:val="24"/>
        </w:rPr>
        <w:tab/>
      </w:r>
      <w:r w:rsidRPr="00B834A2">
        <w:rPr>
          <w:rStyle w:val="Bodytext210pt8"/>
          <w:sz w:val="24"/>
          <w:szCs w:val="24"/>
        </w:rPr>
        <w:t>դետեկտոր՝</w:t>
      </w:r>
      <w:r w:rsidRPr="00B834A2">
        <w:rPr>
          <w:rStyle w:val="Bodytext210pt"/>
          <w:sz w:val="24"/>
          <w:szCs w:val="24"/>
        </w:rPr>
        <w:t xml:space="preserve"> դիֆերենցիալ բեկումաչափական.</w:t>
      </w:r>
    </w:p>
    <w:p w14:paraId="7A7FAA40" w14:textId="77777777" w:rsidR="00B834A2" w:rsidRPr="00B834A2" w:rsidRDefault="00B834A2" w:rsidP="002B742F">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742F" w:rsidRPr="002B742F">
        <w:rPr>
          <w:rFonts w:ascii="Sylfaen" w:hAnsi="Sylfaen"/>
          <w:sz w:val="24"/>
          <w:szCs w:val="24"/>
        </w:rPr>
        <w:tab/>
      </w:r>
      <w:r w:rsidRPr="00B834A2">
        <w:rPr>
          <w:rStyle w:val="Bodytext210pt8"/>
          <w:sz w:val="24"/>
          <w:szCs w:val="24"/>
        </w:rPr>
        <w:t>հանգուցավոր բաժնավորիչ՝</w:t>
      </w:r>
      <w:r>
        <w:rPr>
          <w:rStyle w:val="Bodytext210pt"/>
          <w:sz w:val="24"/>
          <w:szCs w:val="24"/>
        </w:rPr>
        <w:t xml:space="preserve"> </w:t>
      </w:r>
      <w:r w:rsidRPr="00B834A2">
        <w:rPr>
          <w:rStyle w:val="Bodytext210pt"/>
          <w:sz w:val="24"/>
          <w:szCs w:val="24"/>
        </w:rPr>
        <w:t>ծավալը 100 մկլ-ից մինչ</w:t>
      </w:r>
      <w:r>
        <w:rPr>
          <w:rStyle w:val="Bodytext210pt"/>
          <w:sz w:val="24"/>
          <w:szCs w:val="24"/>
        </w:rPr>
        <w:t>եւ</w:t>
      </w:r>
      <w:r w:rsidRPr="00B834A2">
        <w:rPr>
          <w:rStyle w:val="Bodytext210pt"/>
          <w:sz w:val="24"/>
          <w:szCs w:val="24"/>
        </w:rPr>
        <w:t xml:space="preserve"> 200 մկլ.</w:t>
      </w:r>
    </w:p>
    <w:p w14:paraId="0EB365E5" w14:textId="77777777" w:rsidR="00B834A2" w:rsidRPr="00B834A2" w:rsidRDefault="00B834A2" w:rsidP="002B742F">
      <w:pPr>
        <w:tabs>
          <w:tab w:val="left" w:pos="1134"/>
        </w:tabs>
        <w:spacing w:after="160" w:line="360" w:lineRule="auto"/>
        <w:ind w:firstLine="567"/>
        <w:jc w:val="both"/>
        <w:rPr>
          <w:rStyle w:val="Bodytext210pt"/>
          <w:sz w:val="24"/>
          <w:szCs w:val="24"/>
        </w:rPr>
      </w:pPr>
      <w:r w:rsidRPr="00B834A2">
        <w:lastRenderedPageBreak/>
        <w:t>-</w:t>
      </w:r>
      <w:r w:rsidR="002B742F" w:rsidRPr="002B742F">
        <w:tab/>
      </w:r>
      <w:r w:rsidRPr="00B834A2">
        <w:rPr>
          <w:rStyle w:val="Bodytext210pt8"/>
          <w:sz w:val="24"/>
          <w:szCs w:val="24"/>
        </w:rPr>
        <w:t>համակարգի ջերմաստիճան՝</w:t>
      </w:r>
      <w:r w:rsidRPr="00B834A2">
        <w:rPr>
          <w:rStyle w:val="Bodytext210pt"/>
          <w:sz w:val="24"/>
          <w:szCs w:val="24"/>
        </w:rPr>
        <w:t xml:space="preserve"> պահպանում են ±0,1 °С ճշգրտությամբ հաստատուն: </w:t>
      </w:r>
    </w:p>
    <w:p w14:paraId="1358B36C" w14:textId="77777777" w:rsidR="002B742F" w:rsidRPr="00097504" w:rsidRDefault="002B742F" w:rsidP="00B834A2">
      <w:pPr>
        <w:pStyle w:val="Bodytext20"/>
        <w:shd w:val="clear" w:color="auto" w:fill="auto"/>
        <w:spacing w:before="0" w:after="160" w:line="360" w:lineRule="auto"/>
        <w:ind w:firstLine="567"/>
        <w:rPr>
          <w:rStyle w:val="Bodytext210pt"/>
          <w:b/>
          <w:sz w:val="24"/>
          <w:szCs w:val="24"/>
        </w:rPr>
      </w:pPr>
    </w:p>
    <w:p w14:paraId="4CE7F6AC" w14:textId="77777777" w:rsidR="00B834A2" w:rsidRPr="00C41622" w:rsidRDefault="00B834A2" w:rsidP="00186CF0">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t>ՔՐՈՄԱՏԱԳՐՄԱՆ ՀԱՄԱԿԱՐԳԻ</w:t>
      </w:r>
      <w:r>
        <w:rPr>
          <w:rStyle w:val="Bodytext210pt"/>
          <w:b/>
          <w:sz w:val="24"/>
          <w:szCs w:val="24"/>
        </w:rPr>
        <w:t xml:space="preserve"> </w:t>
      </w:r>
      <w:r w:rsidRPr="00B834A2">
        <w:rPr>
          <w:rStyle w:val="Bodytext210pt"/>
          <w:b/>
          <w:sz w:val="24"/>
          <w:szCs w:val="24"/>
        </w:rPr>
        <w:t>ՍՏՈՒԳԱՃՇՏՈՒՄ</w:t>
      </w:r>
    </w:p>
    <w:p w14:paraId="79EF066A"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Քրոմատագրում են մի քանի անգամ ընտրված ծավալի մարկերային լուծույթ: Քրոմատագրի վրա պետք է լինի 2 գագաթ՝ առաջին գագաթը համապատասխանում է </w:t>
      </w:r>
      <w:r w:rsidRPr="00B834A2">
        <w:rPr>
          <w:rStyle w:val="Bodytext210pt8"/>
          <w:sz w:val="24"/>
          <w:szCs w:val="24"/>
        </w:rPr>
        <w:t>ԵԱՏՄԴ ՍՆ V</w:t>
      </w:r>
      <w:r w:rsidRPr="00B834A2">
        <w:rPr>
          <w:rStyle w:val="Bodytext210pt8"/>
          <w:sz w:val="24"/>
          <w:szCs w:val="24"/>
          <w:vertAlign w:val="subscript"/>
        </w:rPr>
        <w:t>0</w:t>
      </w:r>
      <w:r w:rsidRPr="00B834A2">
        <w:rPr>
          <w:rStyle w:val="Bodytext210pt8"/>
          <w:sz w:val="24"/>
          <w:szCs w:val="24"/>
        </w:rPr>
        <w:t xml:space="preserve"> դեքստրան-ին, </w:t>
      </w:r>
      <w:r w:rsidRPr="00B834A2">
        <w:rPr>
          <w:rStyle w:val="Bodytext210pt"/>
          <w:sz w:val="24"/>
          <w:szCs w:val="24"/>
        </w:rPr>
        <w:t xml:space="preserve">երկրորդ գագաթը՝ </w:t>
      </w:r>
      <w:r w:rsidRPr="00B834A2">
        <w:rPr>
          <w:rStyle w:val="Bodytext210pt8"/>
          <w:sz w:val="24"/>
          <w:szCs w:val="24"/>
        </w:rPr>
        <w:t>Р գլյուկոզին:</w:t>
      </w:r>
      <w:r w:rsidRPr="00B834A2">
        <w:rPr>
          <w:rStyle w:val="Bodytext210pt"/>
          <w:sz w:val="24"/>
          <w:szCs w:val="24"/>
        </w:rPr>
        <w:t xml:space="preserve"> Ելնելով V</w:t>
      </w:r>
      <w:r w:rsidRPr="00B834A2">
        <w:rPr>
          <w:rStyle w:val="Bodytext210pt8"/>
          <w:sz w:val="24"/>
          <w:szCs w:val="24"/>
          <w:vertAlign w:val="subscript"/>
        </w:rPr>
        <w:t>0</w:t>
      </w:r>
      <w:r w:rsidRPr="00B834A2">
        <w:rPr>
          <w:rStyle w:val="Bodytext210pt"/>
          <w:sz w:val="24"/>
          <w:szCs w:val="24"/>
        </w:rPr>
        <w:t xml:space="preserve"> դեքստրանի լվացման ծավալից՝ հաշվարկում են V</w:t>
      </w:r>
      <w:r w:rsidR="00123D1A" w:rsidRPr="00123D1A">
        <w:rPr>
          <w:rStyle w:val="Bodytext210pt"/>
          <w:i/>
          <w:sz w:val="24"/>
          <w:szCs w:val="24"/>
          <w:vertAlign w:val="subscript"/>
        </w:rPr>
        <w:t>0</w:t>
      </w:r>
      <w:r w:rsidRPr="00B834A2">
        <w:rPr>
          <w:rStyle w:val="Bodytext210pt"/>
          <w:sz w:val="24"/>
          <w:szCs w:val="24"/>
        </w:rPr>
        <w:t xml:space="preserve"> էքսկլյուզիայի ծավալը. </w:t>
      </w:r>
      <w:r w:rsidRPr="00B834A2">
        <w:rPr>
          <w:rStyle w:val="Bodytext210pt8"/>
          <w:sz w:val="24"/>
          <w:szCs w:val="24"/>
        </w:rPr>
        <w:t>V ամբողջական ծավալը</w:t>
      </w:r>
      <w:r w:rsidRPr="00B834A2">
        <w:rPr>
          <w:rStyle w:val="Bodytext210pt"/>
          <w:sz w:val="24"/>
          <w:szCs w:val="24"/>
        </w:rPr>
        <w:t xml:space="preserve"> հաշվարկում են ըստ գլյուկոզին համապատասխանող գագաթի:</w:t>
      </w:r>
    </w:p>
    <w:p w14:paraId="61D5F9DB" w14:textId="77777777" w:rsidR="00B834A2" w:rsidRPr="00B834A2" w:rsidRDefault="00B834A2" w:rsidP="002B742F">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Քրոմատագրում են չափաբերման լուծույթներից յուրաքանչյուրի որոշակի ծավալը: Յուրաքանչյուր ստացված քրոմատագրի համար անցկացնում են բազային գիծ: Յուրաքանչյուր քրոմատագիր բաժանում են ուղղաձիգ հավասարահեռ գծերով </w:t>
      </w:r>
      <w:r w:rsidRPr="00B834A2">
        <w:rPr>
          <w:rStyle w:val="Bodytext210pt8"/>
          <w:sz w:val="24"/>
          <w:szCs w:val="24"/>
        </w:rPr>
        <w:t xml:space="preserve">р </w:t>
      </w:r>
      <w:r w:rsidRPr="00B834A2">
        <w:rPr>
          <w:rStyle w:val="Bodytext210pt"/>
          <w:sz w:val="24"/>
          <w:szCs w:val="24"/>
        </w:rPr>
        <w:t>բաժինների (</w:t>
      </w:r>
      <w:r w:rsidRPr="00B834A2">
        <w:rPr>
          <w:rStyle w:val="Bodytext28pt"/>
          <w:sz w:val="24"/>
          <w:szCs w:val="24"/>
        </w:rPr>
        <w:t xml:space="preserve">60-ից ոչ պակաս քանակությամբ), </w:t>
      </w:r>
      <w:r w:rsidRPr="00B834A2">
        <w:rPr>
          <w:rStyle w:val="Bodytext210pt"/>
          <w:sz w:val="24"/>
          <w:szCs w:val="24"/>
        </w:rPr>
        <w:t>ինչը համապատասխանում է լվացման հավասար ծավալներին: V</w:t>
      </w:r>
      <w:r w:rsidRPr="00B834A2">
        <w:rPr>
          <w:rStyle w:val="Bodytext210pt"/>
          <w:sz w:val="24"/>
          <w:szCs w:val="24"/>
          <w:vertAlign w:val="subscript"/>
        </w:rPr>
        <w:t>i</w:t>
      </w:r>
      <w:r w:rsidRPr="00B834A2">
        <w:rPr>
          <w:rStyle w:val="Bodytext210pt"/>
          <w:sz w:val="24"/>
          <w:szCs w:val="24"/>
        </w:rPr>
        <w:t xml:space="preserve"> լվացման ծավալին համապատասխանող </w:t>
      </w:r>
      <w:r w:rsidRPr="00B834A2">
        <w:rPr>
          <w:rStyle w:val="Bodytext28pt"/>
          <w:sz w:val="24"/>
          <w:szCs w:val="24"/>
        </w:rPr>
        <w:t xml:space="preserve">i յուրաքանչյուր </w:t>
      </w:r>
      <w:r w:rsidRPr="00B834A2">
        <w:rPr>
          <w:rStyle w:val="Bodytext210pt"/>
          <w:sz w:val="24"/>
          <w:szCs w:val="24"/>
        </w:rPr>
        <w:t xml:space="preserve">բաժնի համար </w:t>
      </w:r>
      <w:r w:rsidRPr="00B834A2">
        <w:rPr>
          <w:rStyle w:val="Bodytext210pt8"/>
          <w:sz w:val="24"/>
          <w:szCs w:val="24"/>
        </w:rPr>
        <w:t xml:space="preserve">չափում են բարձրությունը </w:t>
      </w:r>
      <w:r w:rsidRPr="00B834A2">
        <w:rPr>
          <w:rStyle w:val="Bodytext210pt"/>
          <w:sz w:val="24"/>
          <w:szCs w:val="24"/>
        </w:rPr>
        <w:t>(Vi)՝ բազային գծից մինչ</w:t>
      </w:r>
      <w:r>
        <w:rPr>
          <w:rStyle w:val="Bodytext210pt"/>
          <w:sz w:val="24"/>
          <w:szCs w:val="24"/>
        </w:rPr>
        <w:t>եւ</w:t>
      </w:r>
      <w:r w:rsidRPr="00B834A2">
        <w:rPr>
          <w:rStyle w:val="Bodytext210pt"/>
          <w:sz w:val="24"/>
          <w:szCs w:val="24"/>
        </w:rPr>
        <w:t xml:space="preserve"> քրոմատագրի գիծը </w:t>
      </w:r>
      <w:r>
        <w:rPr>
          <w:rStyle w:val="Bodytext210pt"/>
          <w:sz w:val="24"/>
          <w:szCs w:val="24"/>
        </w:rPr>
        <w:t>եւ</w:t>
      </w:r>
      <w:r w:rsidRPr="00B834A2">
        <w:rPr>
          <w:rStyle w:val="Bodytext210pt"/>
          <w:sz w:val="24"/>
          <w:szCs w:val="24"/>
        </w:rPr>
        <w:t xml:space="preserve"> հաշվարկում (Кi) բաշխման գործակիցը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ով՝</w:t>
      </w:r>
    </w:p>
    <w:p w14:paraId="68DF2F62" w14:textId="77777777" w:rsidR="00B834A2" w:rsidRPr="00B834A2" w:rsidRDefault="00B834A2" w:rsidP="00B834A2">
      <w:pPr>
        <w:pStyle w:val="Bodytext20"/>
        <w:shd w:val="clear" w:color="auto" w:fill="auto"/>
        <w:spacing w:before="0" w:after="160" w:line="360" w:lineRule="auto"/>
        <w:ind w:firstLine="567"/>
        <w:rPr>
          <w:rFonts w:ascii="Sylfaen" w:hAnsi="Sylfaen"/>
          <w:sz w:val="24"/>
          <w:szCs w:val="24"/>
        </w:rPr>
      </w:pPr>
    </w:p>
    <w:p w14:paraId="5529A0DC" w14:textId="77777777" w:rsidR="00B834A2" w:rsidRPr="00B834A2" w:rsidRDefault="00000000" w:rsidP="00B834A2">
      <w:pPr>
        <w:pStyle w:val="Bodytext20"/>
        <w:shd w:val="clear" w:color="auto" w:fill="auto"/>
        <w:spacing w:before="0" w:after="160" w:line="360" w:lineRule="auto"/>
        <w:ind w:firstLine="567"/>
        <w:rPr>
          <w:rFonts w:ascii="Sylfaen" w:hAnsi="Sylfaen"/>
          <w:sz w:val="24"/>
          <w:szCs w:val="24"/>
        </w:rPr>
      </w:pPr>
      <w:r>
        <w:rPr>
          <w:rFonts w:ascii="Sylfaen" w:hAnsi="Sylfaen"/>
          <w:noProof/>
          <w:sz w:val="24"/>
          <w:szCs w:val="24"/>
          <w:lang w:val="en-US" w:eastAsia="en-US" w:bidi="ar-SA"/>
        </w:rPr>
        <w:lastRenderedPageBreak/>
        <w:pict w14:anchorId="7138CD43">
          <v:group id="_x0000_s1388" style="position:absolute;left:0;text-align:left;margin-left:208.3pt;margin-top:119.75pt;width:147.2pt;height:217.05pt;z-index:251759616" coordorigin="5584,3813" coordsize="2944,4341">
            <v:shape id="_x0000_s1036" type="#_x0000_t202" style="position:absolute;left:5584;top:3813;width:717;height:265;mso-width-relative:margin;mso-height-relative:margin" fillcolor="white [3212]" strokecolor="white [3212]">
              <v:textbox style="mso-next-textbox:#_x0000_s1036" inset="0,0,0,0">
                <w:txbxContent>
                  <w:p w14:paraId="1E6FBCEF" w14:textId="77777777" w:rsidR="008D6E8B" w:rsidRPr="005746B2" w:rsidRDefault="008D6E8B" w:rsidP="00B834A2">
                    <w:pPr>
                      <w:jc w:val="center"/>
                      <w:rPr>
                        <w:i/>
                        <w:sz w:val="12"/>
                        <w:szCs w:val="16"/>
                      </w:rPr>
                    </w:pPr>
                    <w:r w:rsidRPr="005746B2">
                      <w:rPr>
                        <w:i/>
                        <w:sz w:val="12"/>
                        <w:szCs w:val="16"/>
                      </w:rPr>
                      <w:t>Դեքստրան</w:t>
                    </w:r>
                  </w:p>
                </w:txbxContent>
              </v:textbox>
            </v:shape>
            <v:shape id="_x0000_s1037" type="#_x0000_t202" style="position:absolute;left:5994;top:4314;width:717;height:265;mso-width-relative:margin;mso-height-relative:margin" fillcolor="white [3212]" strokecolor="white [3212]">
              <v:textbox style="mso-next-textbox:#_x0000_s1037" inset="0,0,0,0">
                <w:txbxContent>
                  <w:p w14:paraId="5794A31C" w14:textId="77777777" w:rsidR="008D6E8B" w:rsidRPr="005746B2" w:rsidRDefault="008D6E8B" w:rsidP="00B834A2">
                    <w:pPr>
                      <w:jc w:val="center"/>
                      <w:rPr>
                        <w:i/>
                        <w:sz w:val="12"/>
                        <w:szCs w:val="16"/>
                      </w:rPr>
                    </w:pPr>
                    <w:r w:rsidRPr="005746B2">
                      <w:rPr>
                        <w:i/>
                        <w:sz w:val="12"/>
                        <w:szCs w:val="16"/>
                      </w:rPr>
                      <w:t>Դեքստրան</w:t>
                    </w:r>
                  </w:p>
                </w:txbxContent>
              </v:textbox>
            </v:shape>
            <v:shape id="_x0000_s1038" type="#_x0000_t202" style="position:absolute;left:6171;top:4674;width:767;height:207;mso-width-relative:margin;mso-height-relative:margin" fillcolor="white [3212]" strokecolor="white [3212]">
              <v:textbox style="mso-next-textbox:#_x0000_s1038" inset="0,0,0,0">
                <w:txbxContent>
                  <w:p w14:paraId="147C227D" w14:textId="77777777" w:rsidR="008D6E8B" w:rsidRPr="005746B2" w:rsidRDefault="008D6E8B" w:rsidP="00B834A2">
                    <w:pPr>
                      <w:jc w:val="center"/>
                      <w:rPr>
                        <w:i/>
                        <w:sz w:val="12"/>
                        <w:szCs w:val="16"/>
                      </w:rPr>
                    </w:pPr>
                    <w:r w:rsidRPr="005746B2">
                      <w:rPr>
                        <w:i/>
                        <w:sz w:val="12"/>
                      </w:rPr>
                      <w:t>Դեքստրան</w:t>
                    </w:r>
                  </w:p>
                </w:txbxContent>
              </v:textbox>
            </v:shape>
            <v:shape id="_x0000_s1039" type="#_x0000_t202" style="position:absolute;left:6711;top:5461;width:786;height:218;mso-width-relative:margin;mso-height-relative:margin" fillcolor="white [3212]" strokecolor="white [3212]">
              <v:textbox style="mso-next-textbox:#_x0000_s1039" inset="0,0,0,0">
                <w:txbxContent>
                  <w:p w14:paraId="3BD157DB" w14:textId="77777777" w:rsidR="008D6E8B" w:rsidRPr="005746B2" w:rsidRDefault="008D6E8B" w:rsidP="00B834A2">
                    <w:pPr>
                      <w:jc w:val="center"/>
                      <w:rPr>
                        <w:i/>
                        <w:sz w:val="12"/>
                        <w:szCs w:val="16"/>
                      </w:rPr>
                    </w:pPr>
                    <w:r w:rsidRPr="005746B2">
                      <w:rPr>
                        <w:i/>
                        <w:sz w:val="12"/>
                      </w:rPr>
                      <w:t>Դեքստրան</w:t>
                    </w:r>
                  </w:p>
                </w:txbxContent>
              </v:textbox>
            </v:shape>
            <v:shape id="_x0000_s1040" type="#_x0000_t202" style="position:absolute;left:7135;top:6153;width:765;height:209;mso-width-relative:margin;mso-height-relative:margin" fillcolor="white [3212]" strokecolor="white [3212]">
              <v:textbox style="mso-next-textbox:#_x0000_s1040" inset="0,0,0,0">
                <w:txbxContent>
                  <w:p w14:paraId="30CCFBCC" w14:textId="77777777" w:rsidR="008D6E8B" w:rsidRPr="005746B2" w:rsidRDefault="008D6E8B" w:rsidP="00B834A2">
                    <w:pPr>
                      <w:jc w:val="center"/>
                      <w:rPr>
                        <w:i/>
                        <w:sz w:val="12"/>
                        <w:szCs w:val="16"/>
                      </w:rPr>
                    </w:pPr>
                    <w:r w:rsidRPr="005746B2">
                      <w:rPr>
                        <w:i/>
                        <w:sz w:val="12"/>
                      </w:rPr>
                      <w:t>Դեքստրան</w:t>
                    </w:r>
                  </w:p>
                </w:txbxContent>
              </v:textbox>
            </v:shape>
            <v:shape id="_x0000_s1041" type="#_x0000_t202" style="position:absolute;left:7761;top:7948;width:767;height:206;mso-width-relative:margin;mso-height-relative:margin" fillcolor="white [3212]" strokecolor="white [3212]">
              <v:textbox style="mso-next-textbox:#_x0000_s1041" inset="0,0,0,0">
                <w:txbxContent>
                  <w:p w14:paraId="52C39FDE" w14:textId="77777777" w:rsidR="008D6E8B" w:rsidRPr="005746B2" w:rsidRDefault="008D6E8B" w:rsidP="00B834A2">
                    <w:pPr>
                      <w:jc w:val="center"/>
                      <w:rPr>
                        <w:i/>
                        <w:sz w:val="12"/>
                        <w:szCs w:val="16"/>
                      </w:rPr>
                    </w:pPr>
                    <w:r w:rsidRPr="005746B2">
                      <w:rPr>
                        <w:i/>
                        <w:sz w:val="12"/>
                      </w:rPr>
                      <w:t>Գլյուկոզ</w:t>
                    </w:r>
                  </w:p>
                </w:txbxContent>
              </v:textbox>
            </v:shape>
          </v:group>
        </w:pict>
      </w:r>
      <w:r w:rsidR="00B834A2" w:rsidRPr="00B834A2">
        <w:rPr>
          <w:rFonts w:ascii="Sylfaen" w:hAnsi="Sylfaen"/>
          <w:noProof/>
          <w:sz w:val="24"/>
          <w:szCs w:val="24"/>
          <w:lang w:val="en-US" w:eastAsia="en-US" w:bidi="ar-SA"/>
        </w:rPr>
        <w:drawing>
          <wp:inline distT="0" distB="0" distL="0" distR="0" wp14:anchorId="2B27778E" wp14:editId="242251F0">
            <wp:extent cx="2922905" cy="4740275"/>
            <wp:effectExtent l="19050" t="0" r="0" b="0"/>
            <wp:docPr id="1" name="Picture 17"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hail.LOCAL\Desktop\media\image1.jpeg"/>
                    <pic:cNvPicPr>
                      <a:picLocks noChangeAspect="1" noChangeArrowheads="1"/>
                    </pic:cNvPicPr>
                  </pic:nvPicPr>
                  <pic:blipFill>
                    <a:blip r:embed="rId14" cstate="print"/>
                    <a:srcRect/>
                    <a:stretch>
                      <a:fillRect/>
                    </a:stretch>
                  </pic:blipFill>
                  <pic:spPr bwMode="auto">
                    <a:xfrm>
                      <a:off x="0" y="0"/>
                      <a:ext cx="2922905" cy="4740275"/>
                    </a:xfrm>
                    <a:prstGeom prst="rect">
                      <a:avLst/>
                    </a:prstGeom>
                    <a:noFill/>
                    <a:ln w="9525">
                      <a:noFill/>
                      <a:miter lim="800000"/>
                      <a:headEnd/>
                      <a:tailEnd/>
                    </a:ln>
                  </pic:spPr>
                </pic:pic>
              </a:graphicData>
            </a:graphic>
          </wp:inline>
        </w:drawing>
      </w:r>
    </w:p>
    <w:p w14:paraId="390D0518" w14:textId="77777777" w:rsidR="00B834A2" w:rsidRPr="005746B2" w:rsidRDefault="00B834A2" w:rsidP="005746B2">
      <w:pPr>
        <w:pStyle w:val="Bodytext20"/>
        <w:shd w:val="clear" w:color="auto" w:fill="auto"/>
        <w:spacing w:before="0" w:after="160" w:line="360" w:lineRule="auto"/>
        <w:ind w:firstLine="567"/>
        <w:jc w:val="both"/>
        <w:rPr>
          <w:rFonts w:ascii="Sylfaen" w:hAnsi="Sylfaen"/>
          <w:sz w:val="20"/>
          <w:szCs w:val="24"/>
        </w:rPr>
      </w:pPr>
      <w:r w:rsidRPr="005746B2">
        <w:rPr>
          <w:rStyle w:val="Bodytext210pt"/>
          <w:szCs w:val="24"/>
        </w:rPr>
        <w:t xml:space="preserve">Նկար 2.1.2.49.-1. </w:t>
      </w:r>
      <w:r w:rsidR="009217DE">
        <w:rPr>
          <w:rStyle w:val="Bodytext210pt"/>
          <w:szCs w:val="24"/>
        </w:rPr>
        <w:t>-</w:t>
      </w:r>
      <w:r w:rsidRPr="005746B2">
        <w:rPr>
          <w:rStyle w:val="Bodytext210pt"/>
          <w:szCs w:val="24"/>
        </w:rPr>
        <w:t xml:space="preserve"> </w:t>
      </w:r>
      <w:r w:rsidRPr="005746B2">
        <w:rPr>
          <w:rStyle w:val="Bodytext210pt8"/>
          <w:szCs w:val="24"/>
        </w:rPr>
        <w:t>Ստուգաճշտման գրաֆիկի օրինակ: Կետագծով նշված է արտարկմամբ ստացված ստուգաճշտման գրաֆիկը: Հորիզոնական գծերով նկարի ստորին մասում նշված է ստուգաճշտման համար յուրաքանչյուր դեքստրինի համար ստացված քրոմատագրման գծերի լայնությունը եւ դիրքերը</w:t>
      </w:r>
    </w:p>
    <w:p w14:paraId="43893625" w14:textId="77777777" w:rsidR="00B834A2" w:rsidRPr="00B834A2" w:rsidRDefault="00000000" w:rsidP="00DE4F37">
      <w:pPr>
        <w:pStyle w:val="Bodytext20"/>
        <w:shd w:val="clear" w:color="auto" w:fill="auto"/>
        <w:tabs>
          <w:tab w:val="left" w:pos="5245"/>
        </w:tabs>
        <w:spacing w:before="0" w:after="160" w:line="360" w:lineRule="auto"/>
        <w:jc w:val="right"/>
        <w:rPr>
          <w:rStyle w:val="Bodytext210pt"/>
          <w:sz w:val="24"/>
          <w:szCs w:val="24"/>
        </w:rPr>
      </w:pPr>
      <m:oMath>
        <m:f>
          <m:fPr>
            <m:ctrlPr>
              <w:rPr>
                <w:rStyle w:val="Bodytext210pt"/>
                <w:rFonts w:ascii="Cambria Math"/>
                <w:i/>
                <w:sz w:val="24"/>
                <w:szCs w:val="24"/>
              </w:rPr>
            </m:ctrlPr>
          </m:fPr>
          <m:num>
            <m:r>
              <w:rPr>
                <w:rStyle w:val="Bodytext210pt"/>
                <w:rFonts w:ascii="Cambria Math"/>
                <w:sz w:val="24"/>
                <w:szCs w:val="24"/>
              </w:rPr>
              <m:t>(</m:t>
            </m:r>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hAnsi="Cambria Math"/>
                    <w:sz w:val="24"/>
                    <w:szCs w:val="24"/>
                  </w:rPr>
                  <m:t>i</m:t>
                </m:r>
              </m:sub>
            </m:sSub>
            <m:r>
              <w:rPr>
                <w:rStyle w:val="Bodytext210pt"/>
                <w:rFonts w:ascii="Cambria Math" w:hAnsi="Cambria Math"/>
                <w:sz w:val="24"/>
                <w:szCs w:val="24"/>
              </w:rPr>
              <m:t>-</m:t>
            </m:r>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sz w:val="24"/>
                    <w:szCs w:val="24"/>
                  </w:rPr>
                  <m:t>0</m:t>
                </m:r>
              </m:sub>
            </m:sSub>
            <m:r>
              <w:rPr>
                <w:rStyle w:val="Bodytext210pt"/>
                <w:rFonts w:ascii="Cambria Math"/>
                <w:sz w:val="24"/>
                <w:szCs w:val="24"/>
              </w:rPr>
              <m:t>)</m:t>
            </m:r>
          </m:num>
          <m:den>
            <m:r>
              <w:rPr>
                <w:rStyle w:val="Bodytext210pt"/>
                <w:rFonts w:ascii="Cambria Math"/>
                <w:sz w:val="24"/>
                <w:szCs w:val="24"/>
              </w:rPr>
              <m:t>(</m:t>
            </m:r>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hAnsi="Cambria Math"/>
                    <w:sz w:val="24"/>
                    <w:szCs w:val="24"/>
                  </w:rPr>
                  <m:t>t</m:t>
                </m:r>
              </m:sub>
            </m:sSub>
            <m:r>
              <w:rPr>
                <w:rStyle w:val="Bodytext210pt"/>
                <w:rFonts w:ascii="Cambria Math" w:hAnsi="Cambria Math"/>
                <w:sz w:val="24"/>
                <w:szCs w:val="24"/>
              </w:rPr>
              <m:t>-</m:t>
            </m:r>
            <m:sSub>
              <m:sSubPr>
                <m:ctrlPr>
                  <w:rPr>
                    <w:rStyle w:val="Bodytext210pt"/>
                    <w:rFonts w:ascii="Cambria Math"/>
                    <w:i/>
                    <w:sz w:val="24"/>
                    <w:szCs w:val="24"/>
                  </w:rPr>
                </m:ctrlPr>
              </m:sSubPr>
              <m:e>
                <m:r>
                  <w:rPr>
                    <w:rStyle w:val="Bodytext210pt"/>
                    <w:rFonts w:ascii="Cambria Math" w:hAnsi="Cambria Math"/>
                    <w:sz w:val="24"/>
                    <w:szCs w:val="24"/>
                  </w:rPr>
                  <m:t>V</m:t>
                </m:r>
              </m:e>
              <m:sub>
                <m:r>
                  <w:rPr>
                    <w:rStyle w:val="Bodytext210pt"/>
                    <w:rFonts w:ascii="Cambria Math"/>
                    <w:sz w:val="24"/>
                    <w:szCs w:val="24"/>
                  </w:rPr>
                  <m:t>0</m:t>
                </m:r>
              </m:sub>
            </m:sSub>
            <m:r>
              <w:rPr>
                <w:rStyle w:val="Bodytext210pt"/>
                <w:rFonts w:ascii="Cambria Math"/>
                <w:sz w:val="24"/>
                <w:szCs w:val="24"/>
              </w:rPr>
              <m:t>)</m:t>
            </m:r>
          </m:den>
        </m:f>
        <m:r>
          <w:rPr>
            <w:rStyle w:val="Bodytext210pt"/>
            <w:rFonts w:ascii="Cambria Math"/>
            <w:sz w:val="24"/>
            <w:szCs w:val="24"/>
          </w:rPr>
          <m:t>,</m:t>
        </m:r>
      </m:oMath>
      <w:r w:rsidR="00B834A2">
        <w:rPr>
          <w:rStyle w:val="Bodytext210pt"/>
          <w:sz w:val="24"/>
          <w:szCs w:val="24"/>
        </w:rPr>
        <w:t xml:space="preserve"> </w:t>
      </w:r>
      <w:r w:rsidR="005746B2" w:rsidRPr="00097504">
        <w:rPr>
          <w:rStyle w:val="Bodytext210pt"/>
          <w:sz w:val="24"/>
          <w:szCs w:val="24"/>
        </w:rPr>
        <w:tab/>
      </w:r>
      <w:r w:rsidR="00B834A2" w:rsidRPr="00B834A2">
        <w:rPr>
          <w:rStyle w:val="Bodytext210pt"/>
          <w:sz w:val="24"/>
          <w:szCs w:val="24"/>
        </w:rPr>
        <w:t>(1)</w:t>
      </w:r>
    </w:p>
    <w:p w14:paraId="01EF0DC6" w14:textId="77777777" w:rsidR="006E41D4" w:rsidRPr="00097504" w:rsidRDefault="00B834A2" w:rsidP="005746B2">
      <w:pPr>
        <w:spacing w:after="160" w:line="360" w:lineRule="auto"/>
        <w:ind w:firstLine="567"/>
        <w:jc w:val="both"/>
        <w:rPr>
          <w:rStyle w:val="Bodytext210pt"/>
          <w:sz w:val="24"/>
          <w:szCs w:val="24"/>
        </w:rPr>
      </w:pPr>
      <w:r w:rsidRPr="00B834A2">
        <w:rPr>
          <w:rStyle w:val="Bodytext210pt"/>
          <w:sz w:val="24"/>
          <w:szCs w:val="24"/>
        </w:rPr>
        <w:t xml:space="preserve">որտեղ՝ </w:t>
      </w:r>
    </w:p>
    <w:p w14:paraId="4AF020B9" w14:textId="77777777" w:rsidR="00B834A2" w:rsidRPr="00B834A2" w:rsidRDefault="00B834A2" w:rsidP="005746B2">
      <w:pPr>
        <w:spacing w:after="160" w:line="360" w:lineRule="auto"/>
        <w:ind w:firstLine="567"/>
        <w:jc w:val="both"/>
      </w:pPr>
      <w:r w:rsidRPr="00B834A2">
        <w:rPr>
          <w:rStyle w:val="Bodytext210pt8"/>
          <w:sz w:val="24"/>
          <w:szCs w:val="24"/>
        </w:rPr>
        <w:t>V</w:t>
      </w:r>
      <w:r w:rsidRPr="00B834A2">
        <w:rPr>
          <w:rStyle w:val="Bodytext210pt8"/>
          <w:sz w:val="24"/>
          <w:szCs w:val="24"/>
          <w:vertAlign w:val="subscript"/>
        </w:rPr>
        <w:t>0-ն</w:t>
      </w:r>
      <w:r w:rsidRPr="00B834A2">
        <w:rPr>
          <w:rStyle w:val="Bodytext28pt"/>
          <w:sz w:val="24"/>
          <w:szCs w:val="24"/>
        </w:rPr>
        <w:t xml:space="preserve">՝ </w:t>
      </w:r>
      <w:r w:rsidRPr="00B834A2">
        <w:rPr>
          <w:rStyle w:val="Bodytext210pt"/>
          <w:sz w:val="24"/>
          <w:szCs w:val="24"/>
        </w:rPr>
        <w:t xml:space="preserve">մարկերային լուծույթի քրոմատագրի վրա՝ ըստ ԵԱՏՄԴ ՍՆ Vo </w:t>
      </w:r>
      <w:r w:rsidRPr="00B834A2">
        <w:rPr>
          <w:rStyle w:val="Bodytext210pt"/>
          <w:i/>
          <w:sz w:val="24"/>
          <w:szCs w:val="24"/>
        </w:rPr>
        <w:t>դեքստրանին</w:t>
      </w:r>
      <w:r w:rsidRPr="00B834A2">
        <w:rPr>
          <w:rStyle w:val="Bodytext210pt"/>
          <w:sz w:val="24"/>
          <w:szCs w:val="24"/>
        </w:rPr>
        <w:t xml:space="preserve"> </w:t>
      </w:r>
      <w:r w:rsidRPr="00B834A2">
        <w:rPr>
          <w:rStyle w:val="Bodytext28pt1"/>
          <w:spacing w:val="0"/>
          <w:sz w:val="24"/>
          <w:szCs w:val="24"/>
        </w:rPr>
        <w:t xml:space="preserve">համապատասխանող </w:t>
      </w:r>
      <w:r w:rsidRPr="00B834A2">
        <w:rPr>
          <w:rStyle w:val="Bodytext210pt8"/>
          <w:sz w:val="24"/>
          <w:szCs w:val="24"/>
        </w:rPr>
        <w:t>գագաթի՝</w:t>
      </w:r>
      <w:r>
        <w:rPr>
          <w:rStyle w:val="Bodytext210pt8"/>
          <w:sz w:val="24"/>
          <w:szCs w:val="24"/>
        </w:rPr>
        <w:t xml:space="preserve"> </w:t>
      </w:r>
      <w:r w:rsidRPr="00B834A2">
        <w:rPr>
          <w:rStyle w:val="Bodytext210pt"/>
          <w:sz w:val="24"/>
          <w:szCs w:val="24"/>
        </w:rPr>
        <w:t>որոշված էքսկլյուզիայի ծավալն է.</w:t>
      </w:r>
    </w:p>
    <w:p w14:paraId="79243119"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8pt2"/>
          <w:sz w:val="24"/>
          <w:szCs w:val="24"/>
        </w:rPr>
        <w:t>V</w:t>
      </w:r>
      <w:r w:rsidRPr="00B834A2">
        <w:rPr>
          <w:rStyle w:val="Bodytext28pt2"/>
          <w:sz w:val="24"/>
          <w:szCs w:val="24"/>
          <w:vertAlign w:val="subscript"/>
        </w:rPr>
        <w:t xml:space="preserve">t </w:t>
      </w:r>
      <w:r w:rsidRPr="00B834A2">
        <w:rPr>
          <w:rStyle w:val="Bodytext28pt"/>
          <w:sz w:val="24"/>
          <w:szCs w:val="24"/>
        </w:rPr>
        <w:t>-ն</w:t>
      </w:r>
      <w:r w:rsidRPr="00B834A2">
        <w:rPr>
          <w:rStyle w:val="Bodytext210pt"/>
          <w:sz w:val="24"/>
          <w:szCs w:val="24"/>
        </w:rPr>
        <w:t xml:space="preserve">՝ ըստ մարկերային լուծույթի քրոմատագրի վրա գլյուկոզին համապատասխանող գագաթի որոշված՝ </w:t>
      </w:r>
      <w:r w:rsidRPr="00B834A2">
        <w:rPr>
          <w:rStyle w:val="Bodytext210pt8"/>
          <w:sz w:val="24"/>
          <w:szCs w:val="24"/>
        </w:rPr>
        <w:t>աշտարակ</w:t>
      </w:r>
      <w:r w:rsidRPr="00B834A2">
        <w:rPr>
          <w:rStyle w:val="Bodytext210pt"/>
          <w:sz w:val="24"/>
          <w:szCs w:val="24"/>
        </w:rPr>
        <w:t>ի ամբողջական ծավալը.</w:t>
      </w:r>
    </w:p>
    <w:p w14:paraId="7C7C7F65"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8pt2"/>
          <w:sz w:val="24"/>
          <w:szCs w:val="24"/>
        </w:rPr>
        <w:t>V</w:t>
      </w:r>
      <w:r w:rsidRPr="00B834A2">
        <w:rPr>
          <w:rStyle w:val="Bodytext28pt2"/>
          <w:sz w:val="24"/>
          <w:szCs w:val="24"/>
          <w:vertAlign w:val="subscript"/>
        </w:rPr>
        <w:t>i</w:t>
      </w:r>
      <w:r w:rsidRPr="00B834A2">
        <w:rPr>
          <w:rStyle w:val="Bodytext28pt"/>
          <w:sz w:val="24"/>
          <w:szCs w:val="24"/>
        </w:rPr>
        <w:t>-ը</w:t>
      </w:r>
      <w:r w:rsidRPr="00B834A2">
        <w:rPr>
          <w:rStyle w:val="Bodytext210pt"/>
          <w:sz w:val="24"/>
          <w:szCs w:val="24"/>
        </w:rPr>
        <w:t>՝ չափաբերման լուծույթներից յուրաքանչյուրի քրոմատագրի համար ստացված՝</w:t>
      </w:r>
      <w:r>
        <w:rPr>
          <w:rStyle w:val="Bodytext210pt"/>
          <w:sz w:val="24"/>
          <w:szCs w:val="24"/>
        </w:rPr>
        <w:t xml:space="preserve"> </w:t>
      </w:r>
      <w:r w:rsidRPr="00B834A2">
        <w:rPr>
          <w:rStyle w:val="Bodytext210pt8"/>
          <w:sz w:val="24"/>
          <w:szCs w:val="24"/>
        </w:rPr>
        <w:t>i</w:t>
      </w:r>
      <w:r>
        <w:rPr>
          <w:rStyle w:val="Bodytext210pt8"/>
          <w:sz w:val="24"/>
          <w:szCs w:val="24"/>
        </w:rPr>
        <w:t xml:space="preserve"> </w:t>
      </w:r>
      <w:r w:rsidRPr="00B834A2">
        <w:rPr>
          <w:rStyle w:val="Bodytext210pt"/>
          <w:sz w:val="24"/>
          <w:szCs w:val="24"/>
        </w:rPr>
        <w:t xml:space="preserve">բաժնի համար լվացման ծավալը: </w:t>
      </w:r>
    </w:p>
    <w:p w14:paraId="4F303482"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Ստուգաճշտումն</w:t>
      </w:r>
      <w:r w:rsidRPr="00B834A2">
        <w:rPr>
          <w:rStyle w:val="Bodytext210pt"/>
          <w:i/>
          <w:sz w:val="24"/>
          <w:szCs w:val="24"/>
        </w:rPr>
        <w:t xml:space="preserve"> </w:t>
      </w:r>
      <w:r w:rsidRPr="00B834A2">
        <w:rPr>
          <w:rStyle w:val="Bodytext210pt"/>
          <w:sz w:val="24"/>
          <w:szCs w:val="24"/>
        </w:rPr>
        <w:t>անցկացնում են՝ կիրառելով հետ</w:t>
      </w:r>
      <w:r>
        <w:rPr>
          <w:rStyle w:val="Bodytext210pt"/>
          <w:sz w:val="24"/>
          <w:szCs w:val="24"/>
        </w:rPr>
        <w:t>եւ</w:t>
      </w:r>
      <w:r w:rsidRPr="00B834A2">
        <w:rPr>
          <w:rStyle w:val="Bodytext210pt"/>
          <w:sz w:val="24"/>
          <w:szCs w:val="24"/>
        </w:rPr>
        <w:t>յալ մեթոդներից մեկը:</w:t>
      </w:r>
    </w:p>
    <w:p w14:paraId="075B51F2"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Ստուգաճշտումը՝ ստուգաճշտման գրաֆիկի կառուցման միջոցով:</w:t>
      </w:r>
      <w:r w:rsidRPr="00B834A2">
        <w:rPr>
          <w:rStyle w:val="Bodytext210pt"/>
          <w:sz w:val="24"/>
          <w:szCs w:val="24"/>
        </w:rPr>
        <w:t xml:space="preserve"> (1) բանաձ</w:t>
      </w:r>
      <w:r>
        <w:rPr>
          <w:rStyle w:val="Bodytext210pt"/>
          <w:sz w:val="24"/>
          <w:szCs w:val="24"/>
        </w:rPr>
        <w:t>եւ</w:t>
      </w:r>
      <w:r w:rsidRPr="00B834A2">
        <w:rPr>
          <w:rStyle w:val="Bodytext210pt"/>
          <w:sz w:val="24"/>
          <w:szCs w:val="24"/>
        </w:rPr>
        <w:t xml:space="preserve">ով </w:t>
      </w:r>
      <w:r w:rsidRPr="00B834A2">
        <w:rPr>
          <w:rFonts w:ascii="Sylfaen" w:hAnsi="Sylfaen"/>
          <w:sz w:val="24"/>
          <w:szCs w:val="24"/>
        </w:rPr>
        <w:t>ստուգաճշտման</w:t>
      </w:r>
      <w:r w:rsidRPr="00B834A2">
        <w:rPr>
          <w:rStyle w:val="Bodytext210pt"/>
          <w:sz w:val="24"/>
          <w:szCs w:val="24"/>
        </w:rPr>
        <w:t xml:space="preserve"> համար </w:t>
      </w:r>
      <w:r w:rsidRPr="00B834A2">
        <w:rPr>
          <w:rStyle w:val="Bodytext28pt"/>
          <w:sz w:val="24"/>
          <w:szCs w:val="24"/>
        </w:rPr>
        <w:t>դեքստրաններից յուրաքանչյուրի համար հաշվարկում են քրոմատագրի գծի առավելագույն բարձրությանը</w:t>
      </w:r>
      <w:r w:rsidRPr="00B834A2">
        <w:rPr>
          <w:rStyle w:val="Bodytext210pt"/>
          <w:sz w:val="24"/>
          <w:szCs w:val="24"/>
        </w:rPr>
        <w:t xml:space="preserve"> համապատասխանող </w:t>
      </w:r>
      <w:r w:rsidRPr="00B834A2">
        <w:rPr>
          <w:rStyle w:val="Bodytext210pt"/>
          <w:i/>
          <w:sz w:val="24"/>
          <w:szCs w:val="24"/>
        </w:rPr>
        <w:t>К</w:t>
      </w:r>
      <w:r w:rsidRPr="00B834A2">
        <w:rPr>
          <w:rStyle w:val="Bodytext210pt"/>
          <w:sz w:val="24"/>
          <w:szCs w:val="24"/>
        </w:rPr>
        <w:t xml:space="preserve">mах բաշխման գործակիցը: Կիսալոգարիթմական թղթի վրա կառուցում են </w:t>
      </w:r>
      <w:r w:rsidRPr="00B834A2">
        <w:rPr>
          <w:rStyle w:val="Bodytext210pt8"/>
          <w:sz w:val="24"/>
          <w:szCs w:val="24"/>
        </w:rPr>
        <w:t>ստուգաճշտման</w:t>
      </w:r>
      <w:r w:rsidRPr="00B834A2">
        <w:rPr>
          <w:rStyle w:val="Bodytext210pt"/>
          <w:sz w:val="24"/>
          <w:szCs w:val="24"/>
        </w:rPr>
        <w:t xml:space="preserve"> համար դեքստրաններից </w:t>
      </w:r>
      <w:r w:rsidRPr="00B834A2">
        <w:rPr>
          <w:rStyle w:val="Bodytext210pt8"/>
          <w:sz w:val="24"/>
          <w:szCs w:val="24"/>
        </w:rPr>
        <w:t>յուրաքանչյուրի</w:t>
      </w:r>
      <w:r w:rsidRPr="00B834A2">
        <w:rPr>
          <w:rStyle w:val="Bodytext28pt"/>
          <w:sz w:val="24"/>
          <w:szCs w:val="24"/>
          <w:vertAlign w:val="subscript"/>
        </w:rPr>
        <w:t xml:space="preserve"> </w:t>
      </w:r>
      <w:r>
        <w:rPr>
          <w:rStyle w:val="Bodytext210pt"/>
          <w:sz w:val="24"/>
          <w:szCs w:val="24"/>
        </w:rPr>
        <w:t>եւ</w:t>
      </w:r>
      <w:r w:rsidRPr="00B834A2">
        <w:rPr>
          <w:rStyle w:val="Bodytext210pt"/>
          <w:sz w:val="24"/>
          <w:szCs w:val="24"/>
        </w:rPr>
        <w:t xml:space="preserve"> գլյուկոզի քրոմատագրի գծի առավելագույն բարձրության </w:t>
      </w:r>
      <w:r w:rsidRPr="00B834A2">
        <w:rPr>
          <w:rStyle w:val="Bodytext28pt"/>
          <w:sz w:val="24"/>
          <w:szCs w:val="24"/>
        </w:rPr>
        <w:t xml:space="preserve">(Mmах) համար մոլեկուլային </w:t>
      </w:r>
      <w:r w:rsidRPr="00B834A2">
        <w:rPr>
          <w:rStyle w:val="Bodytext210pt"/>
          <w:sz w:val="24"/>
          <w:szCs w:val="24"/>
        </w:rPr>
        <w:t xml:space="preserve">զանգվածից </w:t>
      </w:r>
      <w:r w:rsidRPr="00B834A2">
        <w:rPr>
          <w:rStyle w:val="Bodytext210pt"/>
          <w:i/>
          <w:sz w:val="24"/>
          <w:szCs w:val="24"/>
        </w:rPr>
        <w:t>К</w:t>
      </w:r>
      <w:r w:rsidRPr="00123D1A">
        <w:rPr>
          <w:rStyle w:val="Bodytext210pt"/>
          <w:sz w:val="24"/>
          <w:szCs w:val="24"/>
          <w:vertAlign w:val="subscript"/>
        </w:rPr>
        <w:t xml:space="preserve">mах </w:t>
      </w:r>
      <w:r w:rsidRPr="00B834A2">
        <w:rPr>
          <w:rStyle w:val="Bodytext210pt"/>
          <w:sz w:val="24"/>
          <w:szCs w:val="24"/>
        </w:rPr>
        <w:t>(աբսցիս առանցքի) արժեքների կախվածությունը:</w:t>
      </w:r>
      <w:r>
        <w:rPr>
          <w:rStyle w:val="Bodytext210pt"/>
          <w:sz w:val="24"/>
          <w:szCs w:val="24"/>
        </w:rPr>
        <w:t xml:space="preserve"> </w:t>
      </w:r>
      <w:r w:rsidRPr="00B834A2">
        <w:rPr>
          <w:rFonts w:ascii="Sylfaen" w:hAnsi="Sylfaen"/>
          <w:sz w:val="24"/>
          <w:szCs w:val="24"/>
        </w:rPr>
        <w:t xml:space="preserve">Բոլոր ստացված կետերով անցկացնում են առաջին </w:t>
      </w:r>
      <w:r w:rsidRPr="00B834A2">
        <w:rPr>
          <w:rStyle w:val="Bodytext210pt8"/>
          <w:sz w:val="24"/>
          <w:szCs w:val="24"/>
        </w:rPr>
        <w:t>ստուգաճշտման</w:t>
      </w:r>
      <w:r w:rsidRPr="00B834A2">
        <w:rPr>
          <w:rFonts w:ascii="Sylfaen" w:hAnsi="Sylfaen"/>
          <w:sz w:val="24"/>
          <w:szCs w:val="24"/>
        </w:rPr>
        <w:t xml:space="preserve"> գիծը՝ արտարկելով այն </w:t>
      </w:r>
      <w:r w:rsidRPr="00B834A2">
        <w:rPr>
          <w:rStyle w:val="Bodytext210pt8"/>
          <w:sz w:val="24"/>
          <w:szCs w:val="24"/>
        </w:rPr>
        <w:t>ստուգաճշտման</w:t>
      </w:r>
      <w:r w:rsidRPr="00B834A2">
        <w:rPr>
          <w:rFonts w:ascii="Sylfaen" w:hAnsi="Sylfaen"/>
          <w:i/>
          <w:sz w:val="24"/>
          <w:szCs w:val="24"/>
        </w:rPr>
        <w:t xml:space="preserve"> համար ԵԱՏՄԴ ՍՆ 250 դեքստրանի </w:t>
      </w:r>
      <w:r w:rsidRPr="00B834A2">
        <w:rPr>
          <w:rFonts w:ascii="Sylfaen" w:hAnsi="Sylfaen"/>
          <w:sz w:val="24"/>
          <w:szCs w:val="24"/>
        </w:rPr>
        <w:t xml:space="preserve">համար ստացված </w:t>
      </w:r>
      <w:r w:rsidRPr="00B834A2">
        <w:rPr>
          <w:rFonts w:ascii="Sylfaen" w:hAnsi="Sylfaen"/>
          <w:i/>
          <w:sz w:val="24"/>
          <w:szCs w:val="24"/>
        </w:rPr>
        <w:t>К</w:t>
      </w:r>
      <w:r w:rsidRPr="00123D1A">
        <w:rPr>
          <w:rFonts w:ascii="Sylfaen" w:hAnsi="Sylfaen"/>
          <w:sz w:val="24"/>
          <w:szCs w:val="24"/>
          <w:vertAlign w:val="subscript"/>
        </w:rPr>
        <w:t>mах</w:t>
      </w:r>
      <w:r w:rsidRPr="00B834A2">
        <w:rPr>
          <w:rFonts w:ascii="Sylfaen" w:hAnsi="Sylfaen"/>
          <w:i/>
          <w:sz w:val="24"/>
          <w:szCs w:val="24"/>
        </w:rPr>
        <w:t xml:space="preserve"> </w:t>
      </w:r>
      <w:r w:rsidRPr="00B834A2">
        <w:rPr>
          <w:rFonts w:ascii="Sylfaen" w:hAnsi="Sylfaen"/>
          <w:sz w:val="24"/>
          <w:szCs w:val="24"/>
        </w:rPr>
        <w:t>կետից մինչ</w:t>
      </w:r>
      <w:r>
        <w:rPr>
          <w:rFonts w:ascii="Sylfaen" w:hAnsi="Sylfaen"/>
          <w:sz w:val="24"/>
          <w:szCs w:val="24"/>
        </w:rPr>
        <w:t>եւ</w:t>
      </w:r>
      <w:r w:rsidRPr="00B834A2">
        <w:rPr>
          <w:rFonts w:ascii="Sylfaen" w:hAnsi="Sylfaen"/>
          <w:sz w:val="24"/>
          <w:szCs w:val="24"/>
        </w:rPr>
        <w:t xml:space="preserve"> նույն ստանդարտ լուծույթների համար ստացված</w:t>
      </w:r>
      <w:r>
        <w:rPr>
          <w:rFonts w:ascii="Sylfaen" w:hAnsi="Sylfaen"/>
          <w:sz w:val="24"/>
          <w:szCs w:val="24"/>
        </w:rPr>
        <w:t xml:space="preserve"> </w:t>
      </w:r>
      <w:r w:rsidRPr="00B834A2">
        <w:rPr>
          <w:rFonts w:ascii="Sylfaen" w:hAnsi="Sylfaen"/>
          <w:sz w:val="24"/>
          <w:szCs w:val="24"/>
        </w:rPr>
        <w:t>К առավել ցածր արժեքները (տես նկար 2.1.2.49.-1):</w:t>
      </w:r>
    </w:p>
    <w:p w14:paraId="556367E9"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Օգտագործելով ստացված առաջին </w:t>
      </w:r>
      <w:r w:rsidRPr="00B834A2">
        <w:rPr>
          <w:rFonts w:ascii="Sylfaen" w:hAnsi="Sylfaen"/>
          <w:iCs/>
          <w:sz w:val="24"/>
          <w:szCs w:val="24"/>
        </w:rPr>
        <w:t>ստուգաճշտման</w:t>
      </w:r>
      <w:r w:rsidRPr="00B834A2">
        <w:rPr>
          <w:rFonts w:ascii="Sylfaen" w:hAnsi="Sylfaen"/>
          <w:sz w:val="24"/>
          <w:szCs w:val="24"/>
        </w:rPr>
        <w:t xml:space="preserve"> գրաֆիկը՝ գտնում են К</w:t>
      </w:r>
      <w:r w:rsidRPr="00B834A2">
        <w:rPr>
          <w:rFonts w:ascii="Sylfaen" w:hAnsi="Sylfaen"/>
          <w:sz w:val="24"/>
          <w:szCs w:val="24"/>
          <w:vertAlign w:val="subscript"/>
        </w:rPr>
        <w:t>i</w:t>
      </w:r>
      <w:r w:rsidRPr="00B834A2">
        <w:rPr>
          <w:rFonts w:ascii="Sylfaen" w:hAnsi="Sylfaen"/>
          <w:sz w:val="24"/>
          <w:szCs w:val="24"/>
        </w:rPr>
        <w:t xml:space="preserve"> բոլոր արժեքների համար, բոլոր քրոմատագրերի համար մոլեկուլային զանգվածների համապատասխան արժեքները՝ ստանալով, այդպիսով, մոլեկուլային-զանգվածային բաշխման հաշվարկման համար գրաֆիկական կախվածությունը:</w:t>
      </w:r>
      <w:r w:rsidRPr="00B834A2">
        <w:rPr>
          <w:rStyle w:val="Bodytext210pt"/>
          <w:sz w:val="24"/>
          <w:szCs w:val="24"/>
        </w:rPr>
        <w:t xml:space="preserve"> </w:t>
      </w:r>
      <w:r w:rsidRPr="00B834A2">
        <w:rPr>
          <w:rStyle w:val="Bodytext210pt8"/>
          <w:sz w:val="24"/>
          <w:szCs w:val="24"/>
        </w:rPr>
        <w:t>Ստուգաճշտման</w:t>
      </w:r>
      <w:r w:rsidRPr="00B834A2">
        <w:rPr>
          <w:rStyle w:val="Bodytext210pt"/>
          <w:i/>
          <w:sz w:val="24"/>
          <w:szCs w:val="24"/>
        </w:rPr>
        <w:t xml:space="preserve"> </w:t>
      </w:r>
      <w:r w:rsidRPr="00B834A2">
        <w:rPr>
          <w:rStyle w:val="Bodytext210pt"/>
          <w:sz w:val="24"/>
          <w:szCs w:val="24"/>
        </w:rPr>
        <w:t>համար յուրաքանչյուր դեքստրանի համար հաշվարկում են, ըստ ստոր</w:t>
      </w:r>
      <w:r>
        <w:rPr>
          <w:rStyle w:val="Bodytext210pt"/>
          <w:sz w:val="24"/>
          <w:szCs w:val="24"/>
        </w:rPr>
        <w:t>եւ</w:t>
      </w:r>
      <w:r w:rsidRPr="00B834A2">
        <w:rPr>
          <w:rStyle w:val="Bodytext210pt"/>
          <w:sz w:val="24"/>
          <w:szCs w:val="24"/>
        </w:rPr>
        <w:t xml:space="preserve"> բերված (3) </w:t>
      </w:r>
      <w:r w:rsidRPr="00B834A2">
        <w:rPr>
          <w:rStyle w:val="Bodytext28pt"/>
          <w:sz w:val="24"/>
          <w:szCs w:val="24"/>
        </w:rPr>
        <w:t>հավասարման,</w:t>
      </w:r>
      <w:r w:rsidRPr="00B834A2">
        <w:rPr>
          <w:rStyle w:val="Bodytext210pt"/>
          <w:sz w:val="24"/>
          <w:szCs w:val="24"/>
        </w:rPr>
        <w:t xml:space="preserve"> միջին մոլեկուլային զանգվածը: </w:t>
      </w:r>
      <w:r w:rsidRPr="00B834A2">
        <w:rPr>
          <w:rStyle w:val="Bodytext210pt8"/>
          <w:sz w:val="24"/>
          <w:szCs w:val="24"/>
        </w:rPr>
        <w:t>Ստուգաճշտման</w:t>
      </w:r>
      <w:r w:rsidRPr="00B834A2">
        <w:rPr>
          <w:rStyle w:val="Bodytext210pt"/>
          <w:sz w:val="24"/>
          <w:szCs w:val="24"/>
        </w:rPr>
        <w:t xml:space="preserve"> գրաֆիկը կարող է օգտագործվել հաշվարկների համար, եթե </w:t>
      </w:r>
      <w:r w:rsidRPr="00B834A2">
        <w:rPr>
          <w:rFonts w:ascii="Sylfaen" w:hAnsi="Sylfaen"/>
          <w:sz w:val="24"/>
          <w:szCs w:val="24"/>
        </w:rPr>
        <w:t>ս</w:t>
      </w:r>
      <w:r w:rsidRPr="00B834A2">
        <w:rPr>
          <w:rStyle w:val="Bodytext210pt8"/>
          <w:sz w:val="24"/>
          <w:szCs w:val="24"/>
        </w:rPr>
        <w:t>տուգաճշտման</w:t>
      </w:r>
      <w:r w:rsidRPr="00B834A2">
        <w:rPr>
          <w:rStyle w:val="Bodytext210pt"/>
          <w:sz w:val="24"/>
          <w:szCs w:val="24"/>
        </w:rPr>
        <w:t xml:space="preserve"> համար դեքստրաններից յուրաքանչյուրի համար հաշվարկված արժեքները չեն տարբերվում ուղեկցող փաստաթղթերում նշված արժեքներից ավելի քան</w:t>
      </w:r>
      <w:r>
        <w:rPr>
          <w:rStyle w:val="Bodytext210pt"/>
          <w:sz w:val="24"/>
          <w:szCs w:val="24"/>
        </w:rPr>
        <w:t xml:space="preserve"> </w:t>
      </w:r>
      <w:r w:rsidRPr="00B834A2">
        <w:rPr>
          <w:rStyle w:val="Bodytext28pt"/>
          <w:sz w:val="24"/>
          <w:szCs w:val="24"/>
        </w:rPr>
        <w:t xml:space="preserve">5 </w:t>
      </w:r>
      <w:r w:rsidRPr="00B834A2">
        <w:rPr>
          <w:rStyle w:val="Bodytext210pt"/>
          <w:sz w:val="24"/>
          <w:szCs w:val="24"/>
        </w:rPr>
        <w:t xml:space="preserve">%-ով, </w:t>
      </w:r>
      <w:r>
        <w:rPr>
          <w:rStyle w:val="Bodytext210pt"/>
          <w:sz w:val="24"/>
          <w:szCs w:val="24"/>
        </w:rPr>
        <w:t>եւ</w:t>
      </w:r>
      <w:r w:rsidRPr="00B834A2">
        <w:rPr>
          <w:rStyle w:val="Bodytext210pt"/>
          <w:sz w:val="24"/>
          <w:szCs w:val="24"/>
        </w:rPr>
        <w:t xml:space="preserve"> բոլոր դեքստրանների համար միջին շեղումը չի գերազանցում </w:t>
      </w:r>
      <w:r w:rsidRPr="00B834A2">
        <w:rPr>
          <w:rStyle w:val="Bodytext28pt"/>
          <w:sz w:val="24"/>
          <w:szCs w:val="24"/>
        </w:rPr>
        <w:t xml:space="preserve">±3 %-ը: </w:t>
      </w:r>
      <w:r w:rsidRPr="00B834A2">
        <w:rPr>
          <w:rStyle w:val="Bodytext210pt"/>
          <w:sz w:val="24"/>
          <w:szCs w:val="24"/>
        </w:rPr>
        <w:t>Եթե տվյալ պայմանները չեն կատարվում, ապա</w:t>
      </w:r>
      <w:r>
        <w:rPr>
          <w:rStyle w:val="Bodytext210pt"/>
          <w:sz w:val="24"/>
          <w:szCs w:val="24"/>
        </w:rPr>
        <w:t xml:space="preserve"> </w:t>
      </w:r>
      <w:r w:rsidRPr="00B834A2">
        <w:rPr>
          <w:rStyle w:val="Bodytext210pt"/>
          <w:sz w:val="24"/>
          <w:szCs w:val="24"/>
        </w:rPr>
        <w:t>ս</w:t>
      </w:r>
      <w:r w:rsidRPr="00B834A2">
        <w:rPr>
          <w:rStyle w:val="Bodytext210pt8"/>
          <w:sz w:val="24"/>
          <w:szCs w:val="24"/>
        </w:rPr>
        <w:t>տուգաճշտման</w:t>
      </w:r>
      <w:r w:rsidRPr="00B834A2">
        <w:rPr>
          <w:rStyle w:val="Bodytext210pt"/>
          <w:sz w:val="24"/>
          <w:szCs w:val="24"/>
        </w:rPr>
        <w:t xml:space="preserve"> գրաֆիկը տեղաշարժում են օրդինատի առանցքով </w:t>
      </w:r>
      <w:r>
        <w:rPr>
          <w:rStyle w:val="Bodytext210pt"/>
          <w:sz w:val="24"/>
          <w:szCs w:val="24"/>
        </w:rPr>
        <w:t>եւ</w:t>
      </w:r>
      <w:r w:rsidRPr="00B834A2">
        <w:rPr>
          <w:rStyle w:val="Bodytext210pt"/>
          <w:sz w:val="24"/>
          <w:szCs w:val="24"/>
        </w:rPr>
        <w:t xml:space="preserve"> կրկնում վերը նկարագրված գործողությունները, քանի դեռ ուղեկցող փաստաթղթերում հաշվարկված </w:t>
      </w:r>
      <w:r>
        <w:rPr>
          <w:rStyle w:val="Bodytext210pt"/>
          <w:sz w:val="24"/>
          <w:szCs w:val="24"/>
        </w:rPr>
        <w:t>եւ</w:t>
      </w:r>
      <w:r w:rsidRPr="00B834A2">
        <w:rPr>
          <w:rStyle w:val="Bodytext210pt"/>
          <w:sz w:val="24"/>
          <w:szCs w:val="24"/>
        </w:rPr>
        <w:t xml:space="preserve"> նշված արժեքները տարբերվելու են ոչ ավելին, քան</w:t>
      </w:r>
      <w:r>
        <w:rPr>
          <w:rStyle w:val="Bodytext210pt"/>
          <w:sz w:val="24"/>
          <w:szCs w:val="24"/>
        </w:rPr>
        <w:t xml:space="preserve"> </w:t>
      </w:r>
      <w:r w:rsidRPr="00B834A2">
        <w:rPr>
          <w:rStyle w:val="Bodytext28pt"/>
          <w:sz w:val="24"/>
          <w:szCs w:val="24"/>
        </w:rPr>
        <w:t>5 %-ով:</w:t>
      </w:r>
    </w:p>
    <w:p w14:paraId="61963BEC"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 xml:space="preserve">Ստուգաճշտումը հաշվարկային մեթոդի օգնությամբ: </w:t>
      </w:r>
      <w:r w:rsidRPr="00B834A2">
        <w:rPr>
          <w:rStyle w:val="Bodytext210pt"/>
          <w:sz w:val="24"/>
          <w:szCs w:val="24"/>
        </w:rPr>
        <w:t>Ստոր</w:t>
      </w:r>
      <w:r>
        <w:rPr>
          <w:rStyle w:val="Bodytext210pt"/>
          <w:sz w:val="24"/>
          <w:szCs w:val="24"/>
        </w:rPr>
        <w:t>եւ</w:t>
      </w:r>
      <w:r w:rsidRPr="00B834A2">
        <w:rPr>
          <w:rStyle w:val="Bodytext210pt"/>
          <w:sz w:val="24"/>
          <w:szCs w:val="24"/>
        </w:rPr>
        <w:t xml:space="preserve"> բերված (2) </w:t>
      </w:r>
      <w:r>
        <w:rPr>
          <w:rStyle w:val="Bodytext210pt"/>
          <w:sz w:val="24"/>
          <w:szCs w:val="24"/>
        </w:rPr>
        <w:t>եւ</w:t>
      </w:r>
      <w:r w:rsidRPr="00B834A2">
        <w:rPr>
          <w:rStyle w:val="Bodytext210pt"/>
          <w:sz w:val="24"/>
          <w:szCs w:val="24"/>
        </w:rPr>
        <w:t xml:space="preserve"> (3) հավասարումների </w:t>
      </w:r>
      <w:r>
        <w:rPr>
          <w:rStyle w:val="Bodytext210pt"/>
          <w:sz w:val="24"/>
          <w:szCs w:val="24"/>
        </w:rPr>
        <w:t>եւ</w:t>
      </w:r>
      <w:r w:rsidRPr="00B834A2">
        <w:rPr>
          <w:rStyle w:val="Bodytext210pt"/>
          <w:sz w:val="24"/>
          <w:szCs w:val="24"/>
        </w:rPr>
        <w:t xml:space="preserve"> համապատասխան մեթոդի օգնությամբ (հնարավոր է </w:t>
      </w:r>
      <w:r w:rsidRPr="00B834A2">
        <w:rPr>
          <w:rStyle w:val="Bodytext210pt"/>
          <w:sz w:val="24"/>
          <w:szCs w:val="24"/>
        </w:rPr>
        <w:lastRenderedPageBreak/>
        <w:t>այնպիսի իտերատիվ մեթոդի, ինչպես օրինակ՝ Գաուս-Նյուտոնի մեթոդի ձ</w:t>
      </w:r>
      <w:r>
        <w:rPr>
          <w:rStyle w:val="Bodytext210pt"/>
          <w:sz w:val="24"/>
          <w:szCs w:val="24"/>
        </w:rPr>
        <w:t>եւ</w:t>
      </w:r>
      <w:r w:rsidRPr="00B834A2">
        <w:rPr>
          <w:rStyle w:val="Bodytext210pt"/>
          <w:sz w:val="24"/>
          <w:szCs w:val="24"/>
        </w:rPr>
        <w:t xml:space="preserve">ափոխված Խարթլի մեթոդի կիրառումը. նույնպես հնարավոր է համակարգչային ծրագրերի օգնությամբ կորի կառուցում, որոնք օգտագործում են ոչ գծային ռեգրեսիվ վերլուծության սկզբունքը) հաշվարկում են </w:t>
      </w:r>
      <w:r w:rsidRPr="00B834A2">
        <w:rPr>
          <w:rStyle w:val="Bodytext295pt"/>
          <w:sz w:val="24"/>
          <w:szCs w:val="24"/>
        </w:rPr>
        <w:t>b</w:t>
      </w:r>
      <w:r w:rsidRPr="00B834A2">
        <w:rPr>
          <w:rStyle w:val="Bodytext295pt"/>
          <w:sz w:val="24"/>
          <w:szCs w:val="24"/>
          <w:vertAlign w:val="subscript"/>
        </w:rPr>
        <w:t>1</w:t>
      </w:r>
      <w:r w:rsidRPr="00B834A2">
        <w:rPr>
          <w:rStyle w:val="Bodytext295pt"/>
          <w:sz w:val="24"/>
          <w:szCs w:val="24"/>
        </w:rPr>
        <w:t>, b</w:t>
      </w:r>
      <w:r w:rsidRPr="00B834A2">
        <w:rPr>
          <w:rStyle w:val="Bodytext295pt"/>
          <w:sz w:val="24"/>
          <w:szCs w:val="24"/>
          <w:vertAlign w:val="subscript"/>
        </w:rPr>
        <w:t>2</w:t>
      </w:r>
      <w:r w:rsidRPr="00B834A2">
        <w:rPr>
          <w:rStyle w:val="Bodytext295pt"/>
          <w:sz w:val="24"/>
          <w:szCs w:val="24"/>
        </w:rPr>
        <w:t>, b</w:t>
      </w:r>
      <w:r w:rsidRPr="00B834A2">
        <w:rPr>
          <w:rStyle w:val="Bodytext295pt"/>
          <w:sz w:val="24"/>
          <w:szCs w:val="24"/>
          <w:vertAlign w:val="subscript"/>
        </w:rPr>
        <w:t>3</w:t>
      </w:r>
      <w:r w:rsidRPr="00B834A2">
        <w:rPr>
          <w:rStyle w:val="Bodytext295pt"/>
          <w:sz w:val="24"/>
          <w:szCs w:val="24"/>
        </w:rPr>
        <w:t>, b</w:t>
      </w:r>
      <w:r w:rsidRPr="00B834A2">
        <w:rPr>
          <w:rStyle w:val="Bodytext295pt"/>
          <w:sz w:val="24"/>
          <w:szCs w:val="24"/>
          <w:vertAlign w:val="subscript"/>
        </w:rPr>
        <w:t>4</w:t>
      </w:r>
      <w:r w:rsidRPr="00B834A2">
        <w:rPr>
          <w:rStyle w:val="Bodytext27pt2"/>
          <w:sz w:val="24"/>
          <w:szCs w:val="24"/>
        </w:rPr>
        <w:t xml:space="preserve"> </w:t>
      </w:r>
      <w:r>
        <w:rPr>
          <w:rStyle w:val="Bodytext210pt"/>
          <w:sz w:val="24"/>
          <w:szCs w:val="24"/>
        </w:rPr>
        <w:t>եւ</w:t>
      </w:r>
      <w:r w:rsidRPr="00B834A2">
        <w:rPr>
          <w:rStyle w:val="Bodytext210pt"/>
          <w:sz w:val="24"/>
          <w:szCs w:val="24"/>
        </w:rPr>
        <w:t xml:space="preserve"> </w:t>
      </w:r>
      <w:r w:rsidRPr="00B834A2">
        <w:rPr>
          <w:rStyle w:val="Bodytext295pt"/>
          <w:sz w:val="24"/>
          <w:szCs w:val="24"/>
        </w:rPr>
        <w:t>b</w:t>
      </w:r>
      <w:r w:rsidRPr="00B834A2">
        <w:rPr>
          <w:rStyle w:val="Bodytext295pt"/>
          <w:sz w:val="24"/>
          <w:szCs w:val="24"/>
          <w:vertAlign w:val="subscript"/>
        </w:rPr>
        <w:t>5</w:t>
      </w:r>
      <w:r w:rsidRPr="00B834A2">
        <w:rPr>
          <w:rStyle w:val="Bodytext295pt"/>
          <w:sz w:val="24"/>
          <w:szCs w:val="24"/>
        </w:rPr>
        <w:t>,</w:t>
      </w:r>
      <w:r>
        <w:rPr>
          <w:rStyle w:val="Bodytext27pt2"/>
          <w:sz w:val="24"/>
          <w:szCs w:val="24"/>
        </w:rPr>
        <w:t xml:space="preserve"> </w:t>
      </w:r>
      <w:r w:rsidRPr="00B834A2">
        <w:rPr>
          <w:rStyle w:val="Bodytext210pt"/>
          <w:sz w:val="24"/>
          <w:szCs w:val="24"/>
        </w:rPr>
        <w:t>գործակիցների արժեքները, որոնք պետք է կազմեն գլյուկոզի համար՝ 180</w:t>
      </w:r>
      <w:r w:rsidRPr="00B834A2">
        <w:rPr>
          <w:rStyle w:val="Bodytext27pt2"/>
          <w:sz w:val="24"/>
          <w:szCs w:val="24"/>
        </w:rPr>
        <w:t>±</w:t>
      </w:r>
      <w:r w:rsidRPr="00B834A2">
        <w:rPr>
          <w:rStyle w:val="Bodytext210pt"/>
          <w:sz w:val="24"/>
          <w:szCs w:val="24"/>
        </w:rPr>
        <w:t xml:space="preserve">2, իսկ </w:t>
      </w:r>
      <w:r w:rsidRPr="00B834A2">
        <w:rPr>
          <w:rFonts w:ascii="Sylfaen" w:hAnsi="Sylfaen"/>
          <w:sz w:val="24"/>
          <w:szCs w:val="24"/>
        </w:rPr>
        <w:t>ստուգաճշտման</w:t>
      </w:r>
      <w:r w:rsidRPr="00B834A2">
        <w:rPr>
          <w:rStyle w:val="Bodytext210pt"/>
          <w:sz w:val="24"/>
          <w:szCs w:val="24"/>
        </w:rPr>
        <w:t xml:space="preserve"> համար դեքստրանների համար կարող են ուղեկցող փաստաթղթերում նշված համապատասխան արժեքներից</w:t>
      </w:r>
      <w:r>
        <w:rPr>
          <w:rStyle w:val="Bodytext210pt"/>
          <w:sz w:val="24"/>
          <w:szCs w:val="24"/>
        </w:rPr>
        <w:t xml:space="preserve"> </w:t>
      </w:r>
      <w:r w:rsidRPr="00B834A2">
        <w:rPr>
          <w:rStyle w:val="Bodytext210pt"/>
          <w:sz w:val="24"/>
          <w:szCs w:val="24"/>
        </w:rPr>
        <w:t xml:space="preserve">տարբերվել ոչ ավելի, քան 5 </w:t>
      </w:r>
      <w:r w:rsidRPr="00B834A2">
        <w:rPr>
          <w:rStyle w:val="Bodytext27pt2"/>
          <w:sz w:val="24"/>
          <w:szCs w:val="24"/>
        </w:rPr>
        <w:t>%-ով</w:t>
      </w:r>
    </w:p>
    <w:p w14:paraId="5B85A440" w14:textId="77777777" w:rsidR="00B834A2" w:rsidRDefault="00000000" w:rsidP="007B55AD">
      <w:pPr>
        <w:pStyle w:val="Bodytext20"/>
        <w:shd w:val="clear" w:color="auto" w:fill="auto"/>
        <w:tabs>
          <w:tab w:val="left" w:pos="4536"/>
        </w:tabs>
        <w:spacing w:before="0" w:after="160" w:line="360" w:lineRule="auto"/>
        <w:rPr>
          <w:rStyle w:val="Bodytext295pt"/>
          <w:i w:val="0"/>
          <w:sz w:val="24"/>
          <w:szCs w:val="24"/>
        </w:rPr>
      </w:pPr>
      <m:oMath>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i</m:t>
            </m:r>
          </m:sub>
        </m:sSub>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b</m:t>
            </m:r>
          </m:e>
          <m:sub>
            <m:r>
              <w:rPr>
                <w:rStyle w:val="Bodytext295pt"/>
                <w:rFonts w:ascii="Cambria Math"/>
                <w:sz w:val="24"/>
                <w:szCs w:val="24"/>
              </w:rPr>
              <m:t>5</m:t>
            </m:r>
          </m:sub>
        </m:sSub>
        <m:r>
          <w:rPr>
            <w:rStyle w:val="Bodytext295pt"/>
            <w:rFonts w:ascii="Cambria Math"/>
            <w:sz w:val="24"/>
            <w:szCs w:val="24"/>
          </w:rPr>
          <m:t>+</m:t>
        </m:r>
        <m:sSup>
          <m:sSupPr>
            <m:ctrlPr>
              <w:rPr>
                <w:rStyle w:val="Bodytext295pt"/>
                <w:rFonts w:ascii="Cambria Math"/>
                <w:i w:val="0"/>
                <w:iCs w:val="0"/>
                <w:sz w:val="24"/>
                <w:szCs w:val="24"/>
              </w:rPr>
            </m:ctrlPr>
          </m:sSupPr>
          <m:e>
            <m:r>
              <w:rPr>
                <w:rStyle w:val="Bodytext295pt"/>
                <w:rFonts w:ascii="Cambria Math" w:hAnsi="Cambria Math"/>
                <w:sz w:val="24"/>
                <w:szCs w:val="24"/>
              </w:rPr>
              <m:t>e</m:t>
            </m:r>
          </m:e>
          <m:sup>
            <m:sSub>
              <m:sSubPr>
                <m:ctrlPr>
                  <w:rPr>
                    <w:rStyle w:val="Bodytext295pt"/>
                    <w:rFonts w:ascii="Cambria Math"/>
                    <w:i w:val="0"/>
                    <w:iCs w:val="0"/>
                    <w:sz w:val="24"/>
                    <w:szCs w:val="24"/>
                  </w:rPr>
                </m:ctrlPr>
              </m:sSubPr>
              <m:e>
                <m:r>
                  <w:rPr>
                    <w:rStyle w:val="Bodytext295pt"/>
                    <w:rFonts w:ascii="Cambria Math"/>
                    <w:sz w:val="24"/>
                    <w:szCs w:val="24"/>
                  </w:rPr>
                  <m:t>(</m:t>
                </m:r>
                <m:r>
                  <w:rPr>
                    <w:rStyle w:val="Bodytext295pt"/>
                    <w:rFonts w:ascii="Cambria Math" w:hAnsi="Cambria Math"/>
                    <w:sz w:val="24"/>
                    <w:szCs w:val="24"/>
                  </w:rPr>
                  <m:t>b</m:t>
                </m:r>
              </m:e>
              <m:sub>
                <m:r>
                  <w:rPr>
                    <w:rStyle w:val="Bodytext295pt"/>
                    <w:rFonts w:ascii="Cambria Math"/>
                    <w:sz w:val="24"/>
                    <w:szCs w:val="24"/>
                  </w:rPr>
                  <m:t>4</m:t>
                </m:r>
              </m:sub>
            </m:sSub>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b</m:t>
                </m:r>
              </m:e>
              <m:sub>
                <m:r>
                  <w:rPr>
                    <w:rStyle w:val="Bodytext295pt"/>
                    <w:rFonts w:ascii="Cambria Math"/>
                    <w:sz w:val="24"/>
                    <w:szCs w:val="24"/>
                  </w:rPr>
                  <m:t>1</m:t>
                </m:r>
              </m:sub>
            </m:sSub>
            <m:sSub>
              <m:sSubPr>
                <m:ctrlPr>
                  <w:rPr>
                    <w:rStyle w:val="Bodytext295pt"/>
                    <w:rFonts w:ascii="Cambria Math"/>
                    <w:i w:val="0"/>
                    <w:iCs w:val="0"/>
                    <w:sz w:val="24"/>
                    <w:szCs w:val="24"/>
                  </w:rPr>
                </m:ctrlPr>
              </m:sSubPr>
              <m:e>
                <m:r>
                  <w:rPr>
                    <w:rStyle w:val="Bodytext295pt"/>
                    <w:rFonts w:ascii="Cambria Math" w:hAnsi="Cambria Math"/>
                    <w:sz w:val="24"/>
                    <w:szCs w:val="24"/>
                  </w:rPr>
                  <m:t>K</m:t>
                </m:r>
              </m:e>
              <m:sub>
                <m:r>
                  <w:rPr>
                    <w:rStyle w:val="Bodytext295pt"/>
                    <w:rFonts w:ascii="Cambria Math" w:hAnsi="Cambria Math"/>
                    <w:sz w:val="24"/>
                    <w:szCs w:val="24"/>
                  </w:rPr>
                  <m:t>i</m:t>
                </m:r>
              </m:sub>
            </m:sSub>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b</m:t>
                </m:r>
              </m:e>
              <m:sub>
                <m:r>
                  <w:rPr>
                    <w:rStyle w:val="Bodytext295pt"/>
                    <w:rFonts w:ascii="Cambria Math"/>
                    <w:sz w:val="24"/>
                    <w:szCs w:val="24"/>
                  </w:rPr>
                  <m:t>2</m:t>
                </m:r>
              </m:sub>
            </m:sSub>
            <m:sSubSup>
              <m:sSubSupPr>
                <m:ctrlPr>
                  <w:rPr>
                    <w:rStyle w:val="Bodytext295pt"/>
                    <w:rFonts w:ascii="Cambria Math"/>
                    <w:i w:val="0"/>
                    <w:iCs w:val="0"/>
                    <w:sz w:val="24"/>
                    <w:szCs w:val="24"/>
                  </w:rPr>
                </m:ctrlPr>
              </m:sSubSupPr>
              <m:e>
                <m:r>
                  <w:rPr>
                    <w:rStyle w:val="Bodytext295pt"/>
                    <w:rFonts w:ascii="Cambria Math" w:hAnsi="Cambria Math"/>
                    <w:sz w:val="24"/>
                    <w:szCs w:val="24"/>
                  </w:rPr>
                  <m:t>K</m:t>
                </m:r>
              </m:e>
              <m:sub>
                <m:r>
                  <w:rPr>
                    <w:rStyle w:val="Bodytext295pt"/>
                    <w:rFonts w:ascii="Cambria Math" w:hAnsi="Cambria Math"/>
                    <w:sz w:val="24"/>
                    <w:szCs w:val="24"/>
                  </w:rPr>
                  <m:t>i</m:t>
                </m:r>
              </m:sub>
              <m:sup>
                <m:r>
                  <w:rPr>
                    <w:rStyle w:val="Bodytext295pt"/>
                    <w:rFonts w:ascii="Cambria Math"/>
                    <w:sz w:val="24"/>
                    <w:szCs w:val="24"/>
                  </w:rPr>
                  <m:t>2</m:t>
                </m:r>
              </m:sup>
            </m:sSubSup>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b</m:t>
                </m:r>
              </m:e>
              <m:sub>
                <m:r>
                  <w:rPr>
                    <w:rStyle w:val="Bodytext295pt"/>
                    <w:rFonts w:ascii="Cambria Math"/>
                    <w:sz w:val="24"/>
                    <w:szCs w:val="24"/>
                  </w:rPr>
                  <m:t>3</m:t>
                </m:r>
              </m:sub>
            </m:sSub>
            <m:sSubSup>
              <m:sSubSupPr>
                <m:ctrlPr>
                  <w:rPr>
                    <w:rStyle w:val="Bodytext295pt"/>
                    <w:rFonts w:ascii="Cambria Math"/>
                    <w:i w:val="0"/>
                    <w:iCs w:val="0"/>
                    <w:sz w:val="24"/>
                    <w:szCs w:val="24"/>
                  </w:rPr>
                </m:ctrlPr>
              </m:sSubSupPr>
              <m:e>
                <m:r>
                  <w:rPr>
                    <w:rStyle w:val="Bodytext295pt"/>
                    <w:rFonts w:ascii="Cambria Math" w:hAnsi="Cambria Math"/>
                    <w:sz w:val="24"/>
                    <w:szCs w:val="24"/>
                  </w:rPr>
                  <m:t>K</m:t>
                </m:r>
              </m:e>
              <m:sub>
                <m:r>
                  <w:rPr>
                    <w:rStyle w:val="Bodytext295pt"/>
                    <w:rFonts w:ascii="Cambria Math" w:hAnsi="Cambria Math"/>
                    <w:sz w:val="24"/>
                    <w:szCs w:val="24"/>
                  </w:rPr>
                  <m:t>i</m:t>
                </m:r>
              </m:sub>
              <m:sup>
                <m:r>
                  <w:rPr>
                    <w:rStyle w:val="Bodytext295pt"/>
                    <w:rFonts w:ascii="Cambria Math"/>
                    <w:sz w:val="24"/>
                    <w:szCs w:val="24"/>
                  </w:rPr>
                  <m:t>3</m:t>
                </m:r>
              </m:sup>
            </m:sSubSup>
            <m:r>
              <w:rPr>
                <w:rStyle w:val="Bodytext295pt"/>
                <w:rFonts w:ascii="Cambria Math"/>
                <w:sz w:val="24"/>
                <w:szCs w:val="24"/>
              </w:rPr>
              <m:t>)</m:t>
            </m:r>
          </m:sup>
        </m:sSup>
        <m:r>
          <w:rPr>
            <w:rStyle w:val="Bodytext295pt"/>
            <w:rFonts w:ascii="Cambria Math"/>
            <w:sz w:val="24"/>
            <w:szCs w:val="24"/>
          </w:rPr>
          <m:t xml:space="preserve">, </m:t>
        </m:r>
      </m:oMath>
      <w:r w:rsidR="005746B2">
        <w:rPr>
          <w:rStyle w:val="Bodytext295pt"/>
          <w:i w:val="0"/>
          <w:sz w:val="24"/>
          <w:szCs w:val="24"/>
        </w:rPr>
        <w:tab/>
      </w:r>
      <w:r w:rsidR="005746B2" w:rsidRPr="005746B2">
        <w:rPr>
          <w:rStyle w:val="Bodytext295pt"/>
          <w:i w:val="0"/>
          <w:sz w:val="24"/>
          <w:szCs w:val="24"/>
        </w:rPr>
        <w:t>(</w:t>
      </w:r>
      <w:r w:rsidR="005746B2">
        <w:rPr>
          <w:rStyle w:val="Bodytext295pt"/>
          <w:i w:val="0"/>
          <w:sz w:val="24"/>
          <w:szCs w:val="24"/>
        </w:rPr>
        <w:t>2</w:t>
      </w:r>
      <w:r w:rsidR="005746B2" w:rsidRPr="005746B2">
        <w:rPr>
          <w:rStyle w:val="Bodytext295pt"/>
          <w:i w:val="0"/>
          <w:sz w:val="24"/>
          <w:szCs w:val="24"/>
        </w:rPr>
        <w:t>)</w:t>
      </w:r>
    </w:p>
    <w:p w14:paraId="30FB0B16" w14:textId="77777777" w:rsidR="005746B2" w:rsidRPr="005746B2" w:rsidRDefault="00000000" w:rsidP="007B55AD">
      <w:pPr>
        <w:pStyle w:val="Bodytext20"/>
        <w:shd w:val="clear" w:color="auto" w:fill="auto"/>
        <w:tabs>
          <w:tab w:val="left" w:pos="4536"/>
          <w:tab w:val="left" w:pos="7513"/>
        </w:tabs>
        <w:spacing w:before="0" w:after="160" w:line="360" w:lineRule="auto"/>
        <w:rPr>
          <w:rStyle w:val="Bodytext295pt"/>
          <w:i w:val="0"/>
          <w:sz w:val="26"/>
          <w:szCs w:val="24"/>
        </w:rPr>
      </w:pPr>
      <m:oMath>
        <m:bar>
          <m:barPr>
            <m:pos m:val="top"/>
            <m:ctrlPr>
              <w:rPr>
                <w:rStyle w:val="Bodytext295pt"/>
                <w:rFonts w:ascii="Cambria Math"/>
                <w:i w:val="0"/>
                <w:iCs w:val="0"/>
                <w:sz w:val="24"/>
                <w:szCs w:val="24"/>
              </w:rPr>
            </m:ctrlPr>
          </m:barPr>
          <m:e>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ω</m:t>
                </m:r>
              </m:sub>
            </m:sSub>
          </m:e>
        </m:bar>
        <m:r>
          <w:rPr>
            <w:rStyle w:val="Bodytext295pt"/>
            <w:rFonts w:ascii="Cambria Math"/>
            <w:sz w:val="24"/>
            <w:szCs w:val="24"/>
          </w:rPr>
          <m:t>=</m:t>
        </m:r>
        <m:f>
          <m:fPr>
            <m:ctrlPr>
              <w:rPr>
                <w:rStyle w:val="Bodytext295pt"/>
                <w:rFonts w:ascii="Cambria Math"/>
                <w:i w:val="0"/>
                <w:iCs w:val="0"/>
                <w:sz w:val="24"/>
                <w:szCs w:val="24"/>
              </w:rPr>
            </m:ctrlPr>
          </m:fPr>
          <m:num>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=1</m:t>
                </m:r>
              </m:sub>
              <m:sup>
                <m:r>
                  <w:rPr>
                    <w:rStyle w:val="Bodytext295pt"/>
                    <w:rFonts w:ascii="Cambria Math" w:hAnsi="Cambria Math"/>
                    <w:sz w:val="24"/>
                    <w:szCs w:val="24"/>
                  </w:rPr>
                  <m:t>p</m:t>
                </m:r>
              </m:sup>
              <m:e>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i</m:t>
                    </m:r>
                  </m:sub>
                </m:sSub>
                <m:r>
                  <w:rPr>
                    <w:rStyle w:val="Bodytext295pt"/>
                    <w:rFonts w:ascii="Cambria Math"/>
                    <w:sz w:val="24"/>
                    <w:szCs w:val="24"/>
                  </w:rPr>
                  <m:t>)</m:t>
                </m:r>
              </m:e>
            </m:nary>
          </m:num>
          <m:den>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=1</m:t>
                </m:r>
              </m:sub>
              <m:sup>
                <m:r>
                  <w:rPr>
                    <w:rStyle w:val="Bodytext295pt"/>
                    <w:rFonts w:ascii="Cambria Math" w:hAnsi="Cambria Math"/>
                    <w:sz w:val="24"/>
                    <w:szCs w:val="24"/>
                  </w:rPr>
                  <m:t>p</m:t>
                </m:r>
              </m:sup>
              <m:e>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e>
            </m:nary>
          </m:den>
        </m:f>
        <m:r>
          <w:rPr>
            <w:rStyle w:val="Bodytext295pt"/>
            <w:rFonts w:ascii="Cambria Math"/>
            <w:sz w:val="24"/>
            <w:szCs w:val="24"/>
          </w:rPr>
          <m:t xml:space="preserve">, </m:t>
        </m:r>
      </m:oMath>
      <w:r w:rsidR="005746B2">
        <w:rPr>
          <w:rStyle w:val="Bodytext295pt"/>
          <w:sz w:val="24"/>
          <w:szCs w:val="24"/>
        </w:rPr>
        <w:tab/>
      </w:r>
      <w:r w:rsidR="005746B2" w:rsidRPr="005746B2">
        <w:rPr>
          <w:rStyle w:val="Bodytext295pt"/>
          <w:i w:val="0"/>
          <w:sz w:val="24"/>
          <w:szCs w:val="24"/>
        </w:rPr>
        <w:t>(3)</w:t>
      </w:r>
    </w:p>
    <w:p w14:paraId="29E50AAF" w14:textId="77777777" w:rsidR="006E41D4" w:rsidRPr="00097504" w:rsidRDefault="00B834A2" w:rsidP="005746B2">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Որտեղ</w:t>
      </w:r>
      <w:r>
        <w:rPr>
          <w:rStyle w:val="Bodytext210pt"/>
          <w:sz w:val="24"/>
          <w:szCs w:val="24"/>
        </w:rPr>
        <w:t xml:space="preserve"> </w:t>
      </w:r>
    </w:p>
    <w:p w14:paraId="52D79E2F"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р-ն</w:t>
      </w:r>
      <w:r w:rsidRPr="00B834A2">
        <w:rPr>
          <w:rStyle w:val="Bodytext210pt"/>
          <w:sz w:val="24"/>
          <w:szCs w:val="24"/>
        </w:rPr>
        <w:t>՝ այն բաժինների թիվն է, որոնց բաժանված է քրոմատագիրը.</w:t>
      </w:r>
    </w:p>
    <w:p w14:paraId="34DC5D46"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Style w:val="Bodytext210pt"/>
          <w:i/>
          <w:sz w:val="24"/>
          <w:szCs w:val="24"/>
        </w:rPr>
        <w:t>y</w:t>
      </w:r>
      <w:r w:rsidRPr="00B834A2">
        <w:rPr>
          <w:rStyle w:val="Bodytext210pt"/>
          <w:i/>
          <w:sz w:val="24"/>
          <w:szCs w:val="24"/>
          <w:vertAlign w:val="subscript"/>
        </w:rPr>
        <w:t>i-ը</w:t>
      </w:r>
      <w:r w:rsidRPr="00B834A2">
        <w:rPr>
          <w:rStyle w:val="Bodytext210pt"/>
          <w:sz w:val="24"/>
          <w:szCs w:val="24"/>
        </w:rPr>
        <w:t>՝</w:t>
      </w:r>
      <w:r>
        <w:rPr>
          <w:rStyle w:val="Bodytext210pt"/>
          <w:sz w:val="24"/>
          <w:szCs w:val="24"/>
        </w:rPr>
        <w:t xml:space="preserve"> </w:t>
      </w:r>
      <w:r w:rsidRPr="00B834A2">
        <w:rPr>
          <w:rStyle w:val="Bodytext210pt"/>
          <w:i/>
          <w:sz w:val="24"/>
          <w:szCs w:val="24"/>
        </w:rPr>
        <w:t>i</w:t>
      </w:r>
      <w:r w:rsidRPr="00B834A2">
        <w:rPr>
          <w:rStyle w:val="Bodytext210pt"/>
          <w:sz w:val="24"/>
          <w:szCs w:val="24"/>
        </w:rPr>
        <w:t>-ական բաժնում բազային գծի վեր</w:t>
      </w:r>
      <w:r>
        <w:rPr>
          <w:rStyle w:val="Bodytext210pt"/>
          <w:sz w:val="24"/>
          <w:szCs w:val="24"/>
        </w:rPr>
        <w:t>եւ</w:t>
      </w:r>
      <w:r w:rsidRPr="00B834A2">
        <w:rPr>
          <w:rStyle w:val="Bodytext210pt"/>
          <w:sz w:val="24"/>
          <w:szCs w:val="24"/>
        </w:rPr>
        <w:t>ում քրոմատագրման գծի բարձրությունը.</w:t>
      </w:r>
    </w:p>
    <w:p w14:paraId="04F30500" w14:textId="77777777" w:rsidR="00B834A2" w:rsidRPr="00B834A2" w:rsidRDefault="00B834A2" w:rsidP="005746B2">
      <w:pPr>
        <w:spacing w:after="160" w:line="360" w:lineRule="auto"/>
        <w:ind w:firstLine="567"/>
        <w:jc w:val="both"/>
      </w:pPr>
      <w:r w:rsidRPr="00B834A2">
        <w:rPr>
          <w:rStyle w:val="Bodytext295pt"/>
          <w:sz w:val="24"/>
          <w:szCs w:val="24"/>
        </w:rPr>
        <w:t>М</w:t>
      </w:r>
      <w:r w:rsidRPr="00B834A2">
        <w:rPr>
          <w:rStyle w:val="Bodytext295pt"/>
          <w:sz w:val="24"/>
          <w:szCs w:val="24"/>
          <w:vertAlign w:val="subscript"/>
        </w:rPr>
        <w:t>i</w:t>
      </w:r>
      <w:r w:rsidRPr="00B834A2">
        <w:rPr>
          <w:rStyle w:val="Bodytext27pt2"/>
          <w:sz w:val="24"/>
          <w:szCs w:val="24"/>
        </w:rPr>
        <w:t xml:space="preserve"> -ը</w:t>
      </w:r>
      <w:r w:rsidRPr="00B834A2">
        <w:rPr>
          <w:rStyle w:val="Bodytext210pt"/>
          <w:sz w:val="24"/>
          <w:szCs w:val="24"/>
        </w:rPr>
        <w:t xml:space="preserve">՝ </w:t>
      </w:r>
      <w:r w:rsidRPr="00B834A2">
        <w:rPr>
          <w:rStyle w:val="Bodytext295pt"/>
          <w:sz w:val="24"/>
          <w:szCs w:val="24"/>
        </w:rPr>
        <w:t xml:space="preserve">i </w:t>
      </w:r>
      <w:r w:rsidRPr="005746B2">
        <w:rPr>
          <w:rStyle w:val="Bodytext210pt"/>
          <w:sz w:val="24"/>
          <w:szCs w:val="24"/>
        </w:rPr>
        <w:t>բաժնի</w:t>
      </w:r>
      <w:r w:rsidRPr="00B834A2">
        <w:t xml:space="preserve"> համար մոլեկուլային զանգվածը:</w:t>
      </w:r>
    </w:p>
    <w:p w14:paraId="7A1377CF" w14:textId="77777777" w:rsidR="00B834A2" w:rsidRPr="00B834A2" w:rsidRDefault="00B834A2" w:rsidP="00B834A2">
      <w:pPr>
        <w:spacing w:after="160" w:line="360" w:lineRule="auto"/>
        <w:ind w:firstLine="567"/>
        <w:jc w:val="both"/>
      </w:pPr>
    </w:p>
    <w:p w14:paraId="57E843D9" w14:textId="77777777" w:rsidR="00B834A2" w:rsidRPr="00B834A2" w:rsidRDefault="00B834A2" w:rsidP="005746B2">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t>ՔՐՈՄԱՏԱԳՐՄԱՆ ՀԱՄԱԿԱՐԳԻ ՊԻՏԱՆԻՈՒԹՅՈՒՆ</w:t>
      </w:r>
    </w:p>
    <w:p w14:paraId="047FBB38"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Քրոմատագրում են համապատասխան ծավալի համապատասխան լուծույթ՝ ստուգելու համար քրոմատագրման համակարգի պիտանիությունը: </w:t>
      </w:r>
    </w:p>
    <w:p w14:paraId="333E0F96" w14:textId="77777777" w:rsidR="00B834A2" w:rsidRPr="00B834A2" w:rsidRDefault="00B834A2" w:rsidP="005746B2">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 xml:space="preserve">ԵԱՏՄԴ ՍՆ դեքստրանի միջին մոլեկուլային զանգվածը՝ ստուգելու համար քրոմատագրման համակարգի պիտանիությունը: </w:t>
      </w:r>
      <w:r w:rsidRPr="00B834A2">
        <w:rPr>
          <w:rFonts w:ascii="Sylfaen" w:hAnsi="Sylfaen"/>
          <w:sz w:val="24"/>
          <w:szCs w:val="24"/>
        </w:rPr>
        <w:t>Հաշվարկում են М</w:t>
      </w:r>
      <w:r w:rsidRPr="00123D1A">
        <w:rPr>
          <w:rFonts w:ascii="Sylfaen" w:hAnsi="Sylfaen" w:cs="Symbol"/>
          <w:color w:val="auto"/>
          <w:sz w:val="24"/>
          <w:szCs w:val="24"/>
          <w:vertAlign w:val="subscript"/>
          <w:lang w:bidi="ar-SA"/>
        </w:rPr>
        <w:sym w:font="Symbol" w:char="F077"/>
      </w:r>
      <w:r w:rsidRPr="00B834A2">
        <w:rPr>
          <w:rFonts w:ascii="Sylfaen" w:hAnsi="Sylfaen"/>
          <w:sz w:val="24"/>
          <w:szCs w:val="24"/>
        </w:rPr>
        <w:t xml:space="preserve"> արժեքը, ինչպես նշված է «Քրոմատագրման համակարգի ստուգաճշտում» բաժնում՝ օգտագործելով ստուգաճշտման գրաֆիկ կամ b1, b2, b3, b4 </w:t>
      </w:r>
      <w:r>
        <w:rPr>
          <w:rFonts w:ascii="Sylfaen" w:hAnsi="Sylfaen"/>
          <w:sz w:val="24"/>
          <w:szCs w:val="24"/>
        </w:rPr>
        <w:t>եւ</w:t>
      </w:r>
      <w:r w:rsidRPr="00B834A2">
        <w:rPr>
          <w:rFonts w:ascii="Sylfaen" w:hAnsi="Sylfaen"/>
          <w:sz w:val="24"/>
          <w:szCs w:val="24"/>
        </w:rPr>
        <w:t xml:space="preserve"> b5 գործակիցների արժեքները: </w:t>
      </w:r>
      <w:r w:rsidRPr="00B834A2">
        <w:rPr>
          <w:rStyle w:val="Bodytext210pt"/>
          <w:sz w:val="24"/>
          <w:szCs w:val="24"/>
        </w:rPr>
        <w:t>Անալիզի արդյունքները համարվում են հավաստի, եթե ստացված արժեքը գտնվում է հետ</w:t>
      </w:r>
      <w:r>
        <w:rPr>
          <w:rStyle w:val="Bodytext210pt"/>
          <w:sz w:val="24"/>
          <w:szCs w:val="24"/>
        </w:rPr>
        <w:t>եւ</w:t>
      </w:r>
      <w:r w:rsidRPr="00B834A2">
        <w:rPr>
          <w:rStyle w:val="Bodytext210pt"/>
          <w:sz w:val="24"/>
          <w:szCs w:val="24"/>
        </w:rPr>
        <w:t xml:space="preserve">յալ սահմաններում՝ </w:t>
      </w:r>
    </w:p>
    <w:p w14:paraId="6EE8C8D4" w14:textId="77777777" w:rsidR="00B834A2" w:rsidRPr="00B834A2" w:rsidRDefault="00B834A2" w:rsidP="005746B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lastRenderedPageBreak/>
        <w:t>-</w:t>
      </w:r>
      <w:r w:rsidR="005746B2">
        <w:rPr>
          <w:rFonts w:ascii="Sylfaen" w:hAnsi="Sylfaen"/>
          <w:sz w:val="24"/>
          <w:szCs w:val="24"/>
        </w:rPr>
        <w:tab/>
      </w:r>
      <w:r w:rsidRPr="00B834A2">
        <w:rPr>
          <w:rFonts w:ascii="Sylfaen" w:hAnsi="Sylfaen"/>
          <w:sz w:val="24"/>
          <w:szCs w:val="24"/>
        </w:rPr>
        <w:t>41 000-ից մինչ</w:t>
      </w:r>
      <w:r>
        <w:rPr>
          <w:rFonts w:ascii="Sylfaen" w:hAnsi="Sylfaen"/>
          <w:sz w:val="24"/>
          <w:szCs w:val="24"/>
        </w:rPr>
        <w:t>եւ</w:t>
      </w:r>
      <w:r w:rsidRPr="00B834A2">
        <w:rPr>
          <w:rFonts w:ascii="Sylfaen" w:hAnsi="Sylfaen"/>
          <w:sz w:val="24"/>
          <w:szCs w:val="24"/>
        </w:rPr>
        <w:t xml:space="preserve"> 47 000 (ԵԱՏՄԴ ՍՆ դեքստրան 40 համար՝ քրոմատագրման համակարգի պիտանիությունը ստուգելու համար).</w:t>
      </w:r>
    </w:p>
    <w:p w14:paraId="736D56F6" w14:textId="77777777" w:rsidR="00B834A2" w:rsidRPr="00B834A2" w:rsidRDefault="00B834A2" w:rsidP="005746B2">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5746B2">
        <w:rPr>
          <w:rFonts w:ascii="Sylfaen" w:hAnsi="Sylfaen"/>
          <w:sz w:val="24"/>
          <w:szCs w:val="24"/>
        </w:rPr>
        <w:tab/>
      </w:r>
      <w:r w:rsidRPr="00B834A2">
        <w:rPr>
          <w:rFonts w:ascii="Sylfaen" w:hAnsi="Sylfaen"/>
          <w:sz w:val="24"/>
          <w:szCs w:val="24"/>
        </w:rPr>
        <w:t>67 000-ից մինչ</w:t>
      </w:r>
      <w:r>
        <w:rPr>
          <w:rFonts w:ascii="Sylfaen" w:hAnsi="Sylfaen"/>
          <w:sz w:val="24"/>
          <w:szCs w:val="24"/>
        </w:rPr>
        <w:t>եւ</w:t>
      </w:r>
      <w:r w:rsidRPr="00B834A2">
        <w:rPr>
          <w:rFonts w:ascii="Sylfaen" w:hAnsi="Sylfaen"/>
          <w:sz w:val="24"/>
          <w:szCs w:val="24"/>
        </w:rPr>
        <w:t xml:space="preserve"> 75 000 (ԵԱՏՄԴ ՍՆ </w:t>
      </w:r>
      <w:r w:rsidRPr="00B834A2">
        <w:rPr>
          <w:rFonts w:ascii="Sylfaen" w:hAnsi="Sylfaen"/>
          <w:i/>
          <w:sz w:val="24"/>
          <w:szCs w:val="24"/>
        </w:rPr>
        <w:t>դեքստրան 60/70 համար՝ քրոմատագրման համակարգի պիտանիությունը ստուգելու համար</w:t>
      </w:r>
      <w:r w:rsidRPr="00B834A2">
        <w:rPr>
          <w:rFonts w:ascii="Sylfaen" w:hAnsi="Sylfaen"/>
          <w:sz w:val="24"/>
          <w:szCs w:val="24"/>
        </w:rPr>
        <w:t>):</w:t>
      </w:r>
    </w:p>
    <w:p w14:paraId="44AE1593" w14:textId="77777777" w:rsidR="00B834A2" w:rsidRPr="00B834A2" w:rsidRDefault="00B834A2" w:rsidP="005746B2">
      <w:pPr>
        <w:spacing w:after="160" w:line="360" w:lineRule="auto"/>
        <w:ind w:firstLine="567"/>
        <w:jc w:val="both"/>
      </w:pPr>
      <w:r w:rsidRPr="00B834A2">
        <w:rPr>
          <w:i/>
        </w:rPr>
        <w:t>Դեքստրանի բարձրմոլեկուլային չափամասի 10 % միջին մոլեկուլային զանգվածը:</w:t>
      </w:r>
      <w:r w:rsidRPr="00B834A2">
        <w:t xml:space="preserve"> Դեքստրանի 10 % բարձրմոլեկուլային այն չափամասի համար Мω արժեքը, որը լվացվում է 1-ից մինչ</w:t>
      </w:r>
      <w:r>
        <w:t>եւ</w:t>
      </w:r>
      <w:r w:rsidRPr="00B834A2">
        <w:t xml:space="preserve"> </w:t>
      </w:r>
      <w:r w:rsidRPr="00B834A2">
        <w:rPr>
          <w:i/>
        </w:rPr>
        <w:t>n</w:t>
      </w:r>
      <w:r w:rsidRPr="00B834A2">
        <w:t xml:space="preserve"> բաժիններում ներառյալ, հաշվարկում են հետ</w:t>
      </w:r>
      <w:r>
        <w:t>եւ</w:t>
      </w:r>
      <w:r w:rsidRPr="00B834A2">
        <w:t>յալ բանաձ</w:t>
      </w:r>
      <w:r>
        <w:t>եւ</w:t>
      </w:r>
      <w:r w:rsidRPr="00B834A2">
        <w:t xml:space="preserve">ով՝ </w:t>
      </w:r>
    </w:p>
    <w:p w14:paraId="657E8C21" w14:textId="77777777" w:rsidR="00B834A2" w:rsidRPr="00B834A2" w:rsidRDefault="00000000" w:rsidP="007B55AD">
      <w:pPr>
        <w:pStyle w:val="Bodytext20"/>
        <w:shd w:val="clear" w:color="auto" w:fill="auto"/>
        <w:tabs>
          <w:tab w:val="left" w:pos="4536"/>
        </w:tabs>
        <w:spacing w:before="0" w:after="160" w:line="360" w:lineRule="auto"/>
        <w:rPr>
          <w:rStyle w:val="Bodytext27pt2"/>
          <w:sz w:val="24"/>
          <w:szCs w:val="24"/>
        </w:rPr>
      </w:pPr>
      <m:oMath>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ω</m:t>
            </m:r>
          </m:sub>
        </m:sSub>
        <m:r>
          <w:rPr>
            <w:rStyle w:val="Bodytext295pt"/>
            <w:rFonts w:ascii="Cambria Math"/>
            <w:sz w:val="24"/>
            <w:szCs w:val="24"/>
          </w:rPr>
          <m:t>=</m:t>
        </m:r>
        <m:f>
          <m:fPr>
            <m:ctrlPr>
              <w:rPr>
                <w:rStyle w:val="Bodytext295pt"/>
                <w:rFonts w:ascii="Cambria Math"/>
                <w:i w:val="0"/>
                <w:iCs w:val="0"/>
                <w:sz w:val="24"/>
                <w:szCs w:val="24"/>
              </w:rPr>
            </m:ctrlPr>
          </m:fPr>
          <m:num>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=1</m:t>
                </m:r>
              </m:sub>
              <m:sup>
                <m:r>
                  <w:rPr>
                    <w:rStyle w:val="Bodytext295pt"/>
                    <w:rFonts w:ascii="Cambria Math" w:hAnsi="Cambria Math"/>
                    <w:sz w:val="24"/>
                    <w:szCs w:val="24"/>
                  </w:rPr>
                  <m:t>n</m:t>
                </m:r>
              </m:sup>
              <m:e>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i</m:t>
                    </m:r>
                  </m:sub>
                </m:sSub>
                <m:r>
                  <w:rPr>
                    <w:rStyle w:val="Bodytext295pt"/>
                    <w:rFonts w:ascii="Cambria Math"/>
                    <w:sz w:val="24"/>
                    <w:szCs w:val="24"/>
                  </w:rPr>
                  <m:t>)</m:t>
                </m:r>
              </m:e>
            </m:nary>
          </m:num>
          <m:den>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=1</m:t>
                </m:r>
              </m:sub>
              <m:sup>
                <m:r>
                  <w:rPr>
                    <w:rStyle w:val="Bodytext295pt"/>
                    <w:rFonts w:ascii="Cambria Math" w:hAnsi="Cambria Math"/>
                    <w:sz w:val="24"/>
                    <w:szCs w:val="24"/>
                  </w:rPr>
                  <m:t>n</m:t>
                </m:r>
              </m:sup>
              <m:e>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e>
            </m:nary>
          </m:den>
        </m:f>
        <m:r>
          <w:rPr>
            <w:rStyle w:val="Bodytext295pt"/>
            <w:rFonts w:ascii="Cambria Math"/>
            <w:sz w:val="24"/>
            <w:szCs w:val="24"/>
          </w:rPr>
          <m:t xml:space="preserve">, </m:t>
        </m:r>
      </m:oMath>
      <w:r w:rsidR="007B55AD">
        <w:rPr>
          <w:rStyle w:val="Bodytext295pt"/>
          <w:i w:val="0"/>
          <w:sz w:val="24"/>
          <w:szCs w:val="24"/>
        </w:rPr>
        <w:tab/>
      </w:r>
      <w:r w:rsidR="007B55AD" w:rsidRPr="005746B2">
        <w:rPr>
          <w:rStyle w:val="Bodytext295pt"/>
          <w:i w:val="0"/>
          <w:sz w:val="24"/>
          <w:szCs w:val="24"/>
        </w:rPr>
        <w:t>(</w:t>
      </w:r>
      <w:r w:rsidR="007B55AD">
        <w:rPr>
          <w:rStyle w:val="Bodytext295pt"/>
          <w:i w:val="0"/>
          <w:sz w:val="24"/>
          <w:szCs w:val="24"/>
        </w:rPr>
        <w:t>4</w:t>
      </w:r>
      <w:r w:rsidR="007B55AD" w:rsidRPr="005746B2">
        <w:rPr>
          <w:rStyle w:val="Bodytext295pt"/>
          <w:i w:val="0"/>
          <w:sz w:val="24"/>
          <w:szCs w:val="24"/>
        </w:rPr>
        <w:t>)</w:t>
      </w:r>
    </w:p>
    <w:p w14:paraId="42D2C520"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որտեղ </w:t>
      </w:r>
      <w:r w:rsidRPr="00B834A2">
        <w:rPr>
          <w:rFonts w:ascii="Sylfaen" w:hAnsi="Sylfaen"/>
          <w:i/>
          <w:sz w:val="24"/>
          <w:szCs w:val="24"/>
        </w:rPr>
        <w:t>n-ը</w:t>
      </w:r>
      <w:r w:rsidRPr="00B834A2">
        <w:rPr>
          <w:rFonts w:ascii="Sylfaen" w:hAnsi="Sylfaen"/>
          <w:sz w:val="24"/>
          <w:szCs w:val="24"/>
        </w:rPr>
        <w:t xml:space="preserve"> որոշվում է անհավասարումներով՝</w:t>
      </w:r>
      <w:r>
        <w:rPr>
          <w:rFonts w:ascii="Sylfaen" w:hAnsi="Sylfaen"/>
          <w:sz w:val="24"/>
          <w:szCs w:val="24"/>
        </w:rPr>
        <w:t xml:space="preserve"> </w:t>
      </w:r>
    </w:p>
    <w:p w14:paraId="2AE12F1F" w14:textId="77777777" w:rsidR="00B834A2" w:rsidRPr="00B834A2" w:rsidRDefault="00000000" w:rsidP="007B55AD">
      <w:pPr>
        <w:pStyle w:val="Bodytext20"/>
        <w:shd w:val="clear" w:color="auto" w:fill="auto"/>
        <w:tabs>
          <w:tab w:val="left" w:pos="4536"/>
        </w:tabs>
        <w:spacing w:before="0" w:after="160" w:line="360" w:lineRule="auto"/>
        <w:rPr>
          <w:rStyle w:val="Bodytext27pt2"/>
          <w:sz w:val="24"/>
          <w:szCs w:val="24"/>
        </w:rPr>
      </w:pPr>
      <m:oMath>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m:rPr>
                <m:sty m:val="p"/>
              </m:rPr>
              <w:rPr>
                <w:rStyle w:val="Bodytext27pt2"/>
                <w:rFonts w:ascii="Cambria Math" w:hAnsi="Cambria Math"/>
                <w:sz w:val="24"/>
                <w:szCs w:val="24"/>
              </w:rPr>
              <m:t>n</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r>
              <m:rPr>
                <m:sty m:val="p"/>
              </m:rPr>
              <w:rPr>
                <w:rStyle w:val="Bodytext27pt2"/>
                <w:rFonts w:ascii="Cambria Math"/>
                <w:sz w:val="24"/>
                <w:szCs w:val="24"/>
              </w:rPr>
              <m:t>≤</m:t>
            </m:r>
            <m:r>
              <m:rPr>
                <m:sty m:val="p"/>
              </m:rPr>
              <w:rPr>
                <w:rStyle w:val="Bodytext27pt2"/>
                <w:rFonts w:ascii="Cambria Math"/>
                <w:sz w:val="24"/>
                <w:szCs w:val="24"/>
              </w:rPr>
              <m:t>0,1(</m:t>
            </m:r>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m:rPr>
                    <m:sty m:val="p"/>
                  </m:rPr>
                  <w:rPr>
                    <w:rStyle w:val="Bodytext27pt2"/>
                    <w:rFonts w:ascii="Cambria Math" w:hAnsi="Cambria Math"/>
                    <w:sz w:val="24"/>
                    <w:szCs w:val="24"/>
                  </w:rPr>
                  <m:t>p</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e>
            </m:nary>
          </m:e>
        </m:nary>
      </m:oMath>
      <w:r w:rsidR="00B834A2" w:rsidRPr="00B834A2">
        <w:rPr>
          <w:rStyle w:val="Bodytext27pt2"/>
          <w:sz w:val="24"/>
          <w:szCs w:val="24"/>
        </w:rPr>
        <w:t>),</w:t>
      </w:r>
      <w:r w:rsidR="007B55AD">
        <w:rPr>
          <w:rStyle w:val="Bodytext295pt"/>
          <w:i w:val="0"/>
          <w:sz w:val="24"/>
          <w:szCs w:val="24"/>
        </w:rPr>
        <w:tab/>
      </w:r>
      <w:r w:rsidR="007B55AD" w:rsidRPr="005746B2">
        <w:rPr>
          <w:rStyle w:val="Bodytext295pt"/>
          <w:i w:val="0"/>
          <w:sz w:val="24"/>
          <w:szCs w:val="24"/>
        </w:rPr>
        <w:t>(</w:t>
      </w:r>
      <w:r w:rsidR="007B55AD">
        <w:rPr>
          <w:rStyle w:val="Bodytext295pt"/>
          <w:i w:val="0"/>
          <w:sz w:val="24"/>
          <w:szCs w:val="24"/>
        </w:rPr>
        <w:t>5</w:t>
      </w:r>
      <w:r w:rsidR="007B55AD" w:rsidRPr="005746B2">
        <w:rPr>
          <w:rStyle w:val="Bodytext295pt"/>
          <w:i w:val="0"/>
          <w:sz w:val="24"/>
          <w:szCs w:val="24"/>
        </w:rPr>
        <w:t>)</w:t>
      </w:r>
    </w:p>
    <w:p w14:paraId="1BD99194" w14:textId="77777777" w:rsidR="00B834A2" w:rsidRPr="00B834A2" w:rsidRDefault="00000000" w:rsidP="007B55AD">
      <w:pPr>
        <w:pStyle w:val="Bodytext20"/>
        <w:shd w:val="clear" w:color="auto" w:fill="auto"/>
        <w:tabs>
          <w:tab w:val="left" w:pos="4536"/>
        </w:tabs>
        <w:spacing w:before="0" w:after="160" w:line="360" w:lineRule="auto"/>
        <w:rPr>
          <w:rStyle w:val="Bodytext27pt2"/>
          <w:sz w:val="24"/>
          <w:szCs w:val="24"/>
        </w:rPr>
      </w:pPr>
      <m:oMath>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m:rPr>
                <m:sty m:val="p"/>
              </m:rPr>
              <w:rPr>
                <w:rStyle w:val="Bodytext27pt2"/>
                <w:rFonts w:ascii="Cambria Math" w:hAnsi="Cambria Math"/>
                <w:sz w:val="24"/>
                <w:szCs w:val="24"/>
              </w:rPr>
              <m:t>n</m:t>
            </m:r>
            <m:r>
              <m:rPr>
                <m:sty m:val="p"/>
              </m:rPr>
              <w:rPr>
                <w:rStyle w:val="Bodytext27pt2"/>
                <w:rFonts w:ascii="Cambria Math"/>
                <w:sz w:val="24"/>
                <w:szCs w:val="24"/>
              </w:rPr>
              <m:t>+1</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r>
              <m:rPr>
                <m:sty m:val="p"/>
              </m:rPr>
              <w:rPr>
                <w:rStyle w:val="Bodytext27pt2"/>
                <w:rFonts w:ascii="Cambria Math"/>
                <w:sz w:val="24"/>
                <w:szCs w:val="24"/>
              </w:rPr>
              <m:t>&gt;</m:t>
            </m:r>
            <m:r>
              <w:rPr>
                <w:rStyle w:val="Bodytext27pt2"/>
                <w:rFonts w:ascii="Cambria Math"/>
                <w:sz w:val="24"/>
                <w:szCs w:val="24"/>
              </w:rPr>
              <m:t>0,1(</m:t>
            </m:r>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m:rPr>
                    <m:sty m:val="p"/>
                  </m:rPr>
                  <w:rPr>
                    <w:rStyle w:val="Bodytext27pt2"/>
                    <w:rFonts w:ascii="Cambria Math" w:hAnsi="Cambria Math"/>
                    <w:sz w:val="24"/>
                    <w:szCs w:val="24"/>
                  </w:rPr>
                  <m:t>p</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e>
            </m:nary>
          </m:e>
        </m:nary>
      </m:oMath>
      <w:r w:rsidR="00B834A2" w:rsidRPr="00B834A2">
        <w:rPr>
          <w:rStyle w:val="Bodytext27pt2"/>
          <w:sz w:val="24"/>
          <w:szCs w:val="24"/>
        </w:rPr>
        <w:t>),</w:t>
      </w:r>
      <w:r w:rsidR="007B55AD">
        <w:rPr>
          <w:rStyle w:val="Bodytext295pt"/>
          <w:i w:val="0"/>
          <w:sz w:val="24"/>
          <w:szCs w:val="24"/>
        </w:rPr>
        <w:tab/>
      </w:r>
      <w:r w:rsidR="007B55AD" w:rsidRPr="005746B2">
        <w:rPr>
          <w:rStyle w:val="Bodytext295pt"/>
          <w:i w:val="0"/>
          <w:sz w:val="24"/>
          <w:szCs w:val="24"/>
        </w:rPr>
        <w:t>(</w:t>
      </w:r>
      <w:r w:rsidR="007B55AD">
        <w:rPr>
          <w:rStyle w:val="Bodytext295pt"/>
          <w:i w:val="0"/>
          <w:sz w:val="24"/>
          <w:szCs w:val="24"/>
        </w:rPr>
        <w:t>6</w:t>
      </w:r>
      <w:r w:rsidR="007B55AD" w:rsidRPr="005746B2">
        <w:rPr>
          <w:rStyle w:val="Bodytext295pt"/>
          <w:i w:val="0"/>
          <w:sz w:val="24"/>
          <w:szCs w:val="24"/>
        </w:rPr>
        <w:t>)</w:t>
      </w:r>
    </w:p>
    <w:p w14:paraId="04B2A207"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որտեղ р-ն՝ այն բաժինների քանակն է, որոնց բաժանված է քրոմատագիրը. </w:t>
      </w:r>
    </w:p>
    <w:p w14:paraId="53FE900D" w14:textId="77777777" w:rsidR="00B834A2" w:rsidRPr="007B55AD"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У</w:t>
      </w:r>
      <w:r w:rsidRPr="00530993">
        <w:rPr>
          <w:rFonts w:ascii="Sylfaen" w:hAnsi="Sylfaen"/>
          <w:sz w:val="24"/>
          <w:szCs w:val="24"/>
          <w:vertAlign w:val="subscript"/>
        </w:rPr>
        <w:t>i</w:t>
      </w:r>
      <w:r w:rsidRPr="00B834A2">
        <w:rPr>
          <w:rFonts w:ascii="Sylfaen" w:hAnsi="Sylfaen"/>
          <w:sz w:val="24"/>
          <w:szCs w:val="24"/>
        </w:rPr>
        <w:t>-ը՝ i բաժնի համար բազային գծի վեր</w:t>
      </w:r>
      <w:r>
        <w:rPr>
          <w:rFonts w:ascii="Sylfaen" w:hAnsi="Sylfaen"/>
          <w:sz w:val="24"/>
          <w:szCs w:val="24"/>
        </w:rPr>
        <w:t>եւ</w:t>
      </w:r>
      <w:r w:rsidRPr="00B834A2">
        <w:rPr>
          <w:rFonts w:ascii="Sylfaen" w:hAnsi="Sylfaen"/>
          <w:sz w:val="24"/>
          <w:szCs w:val="24"/>
        </w:rPr>
        <w:t>ում քրոմատագրման գծի բարձրություն</w:t>
      </w:r>
    </w:p>
    <w:p w14:paraId="67E934B0" w14:textId="77777777" w:rsidR="00B834A2" w:rsidRPr="00B834A2" w:rsidRDefault="00B834A2" w:rsidP="007B55AD">
      <w:pPr>
        <w:pStyle w:val="Bodytext20"/>
        <w:shd w:val="clear" w:color="auto" w:fill="auto"/>
        <w:spacing w:before="0" w:after="160" w:line="360" w:lineRule="auto"/>
        <w:ind w:firstLine="567"/>
        <w:jc w:val="both"/>
        <w:rPr>
          <w:rStyle w:val="Bodytext295pt"/>
          <w:sz w:val="24"/>
          <w:szCs w:val="24"/>
        </w:rPr>
      </w:pPr>
      <w:r w:rsidRPr="00B834A2">
        <w:rPr>
          <w:rFonts w:ascii="Sylfaen" w:hAnsi="Sylfaen"/>
          <w:sz w:val="24"/>
          <w:szCs w:val="24"/>
        </w:rPr>
        <w:t>М</w:t>
      </w:r>
      <w:r w:rsidRPr="00530993">
        <w:rPr>
          <w:rFonts w:ascii="Sylfaen" w:hAnsi="Sylfaen"/>
          <w:sz w:val="24"/>
          <w:szCs w:val="24"/>
          <w:vertAlign w:val="subscript"/>
        </w:rPr>
        <w:t>i</w:t>
      </w:r>
      <w:r w:rsidRPr="00B834A2">
        <w:rPr>
          <w:rFonts w:ascii="Sylfaen" w:hAnsi="Sylfaen"/>
          <w:sz w:val="24"/>
          <w:szCs w:val="24"/>
        </w:rPr>
        <w:t xml:space="preserve">-ը՝ i բաժնի համար մոլեկուլային զանգվածը: </w:t>
      </w:r>
    </w:p>
    <w:p w14:paraId="78972857"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Անալիզի արդյունքները համարվում են հավաստի, եթե դեքստրանի 10% բարձրմոլեկուլային չափամասի համար ստացված արժեքը գտնվում է հետ</w:t>
      </w:r>
      <w:r>
        <w:rPr>
          <w:rStyle w:val="Bodytext210pt"/>
          <w:sz w:val="24"/>
          <w:szCs w:val="24"/>
        </w:rPr>
        <w:t>եւ</w:t>
      </w:r>
      <w:r w:rsidRPr="00B834A2">
        <w:rPr>
          <w:rStyle w:val="Bodytext210pt"/>
          <w:sz w:val="24"/>
          <w:szCs w:val="24"/>
        </w:rPr>
        <w:t xml:space="preserve">յալ սահմաններում՝ </w:t>
      </w:r>
    </w:p>
    <w:p w14:paraId="59F37ABB"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110 000-ից մինչ</w:t>
      </w:r>
      <w:r>
        <w:rPr>
          <w:rFonts w:ascii="Sylfaen" w:hAnsi="Sylfaen"/>
          <w:sz w:val="24"/>
          <w:szCs w:val="24"/>
        </w:rPr>
        <w:t>եւ</w:t>
      </w:r>
      <w:r w:rsidRPr="00B834A2">
        <w:rPr>
          <w:rFonts w:ascii="Sylfaen" w:hAnsi="Sylfaen"/>
          <w:sz w:val="24"/>
          <w:szCs w:val="24"/>
        </w:rPr>
        <w:t xml:space="preserve"> 130 000 (ԵԱՏՄԴ ՍՆ </w:t>
      </w:r>
      <w:r w:rsidRPr="00B834A2">
        <w:rPr>
          <w:rFonts w:ascii="Sylfaen" w:hAnsi="Sylfaen"/>
          <w:i/>
          <w:sz w:val="24"/>
          <w:szCs w:val="24"/>
        </w:rPr>
        <w:t>դեքստրան 40 համար՝ քրոմատագրման համակարգի պիտանիությունը ստուգելու համար</w:t>
      </w:r>
      <w:r w:rsidRPr="00B834A2">
        <w:rPr>
          <w:rFonts w:ascii="Sylfaen" w:hAnsi="Sylfaen"/>
          <w:sz w:val="24"/>
          <w:szCs w:val="24"/>
        </w:rPr>
        <w:t>),</w:t>
      </w:r>
    </w:p>
    <w:p w14:paraId="6CB82BC7" w14:textId="77777777" w:rsidR="00B834A2" w:rsidRPr="009217DE"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190 000-ից մինչ</w:t>
      </w:r>
      <w:r>
        <w:rPr>
          <w:rFonts w:ascii="Sylfaen" w:hAnsi="Sylfaen"/>
          <w:sz w:val="24"/>
          <w:szCs w:val="24"/>
        </w:rPr>
        <w:t>եւ</w:t>
      </w:r>
      <w:r w:rsidRPr="00B834A2">
        <w:rPr>
          <w:rFonts w:ascii="Sylfaen" w:hAnsi="Sylfaen"/>
          <w:sz w:val="24"/>
          <w:szCs w:val="24"/>
        </w:rPr>
        <w:t xml:space="preserve"> 230 000 (ԵԱՏՄԴ ՍՆ </w:t>
      </w:r>
      <w:r w:rsidRPr="00B834A2">
        <w:rPr>
          <w:rFonts w:ascii="Sylfaen" w:hAnsi="Sylfaen"/>
          <w:i/>
          <w:sz w:val="24"/>
          <w:szCs w:val="24"/>
        </w:rPr>
        <w:t>դեքստրան 60/70 համար՝ քրոմատագրման համակարգի պիտանիությունը ստուգելու համար</w:t>
      </w:r>
      <w:r w:rsidRPr="00B834A2">
        <w:rPr>
          <w:rFonts w:ascii="Sylfaen" w:hAnsi="Sylfaen"/>
          <w:sz w:val="24"/>
          <w:szCs w:val="24"/>
        </w:rPr>
        <w:t>):</w:t>
      </w:r>
    </w:p>
    <w:p w14:paraId="707454F2" w14:textId="77777777" w:rsidR="00186CF0" w:rsidRPr="009217DE" w:rsidRDefault="00186CF0" w:rsidP="007B55AD">
      <w:pPr>
        <w:pStyle w:val="Bodytext20"/>
        <w:shd w:val="clear" w:color="auto" w:fill="auto"/>
        <w:spacing w:before="0" w:after="160" w:line="360" w:lineRule="auto"/>
        <w:ind w:firstLine="567"/>
        <w:jc w:val="both"/>
        <w:rPr>
          <w:rFonts w:ascii="Sylfaen" w:hAnsi="Sylfaen"/>
          <w:sz w:val="24"/>
          <w:szCs w:val="24"/>
        </w:rPr>
      </w:pPr>
    </w:p>
    <w:p w14:paraId="39EBB83B"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i/>
          <w:sz w:val="24"/>
          <w:szCs w:val="24"/>
        </w:rPr>
        <w:lastRenderedPageBreak/>
        <w:t>Դեքստրանի 10% ցածրմոլեկուլային չափամասի միջին մոլեկուլային զանգվածը:</w:t>
      </w:r>
      <w:r>
        <w:rPr>
          <w:rFonts w:ascii="Sylfaen" w:hAnsi="Sylfaen"/>
          <w:i/>
          <w:sz w:val="24"/>
          <w:szCs w:val="24"/>
        </w:rPr>
        <w:t xml:space="preserve"> </w:t>
      </w:r>
      <w:r w:rsidRPr="00B834A2">
        <w:rPr>
          <w:rFonts w:ascii="Sylfaen" w:hAnsi="Sylfaen"/>
          <w:sz w:val="24"/>
          <w:szCs w:val="24"/>
        </w:rPr>
        <w:t xml:space="preserve">Դեքստրանի 10 % ցածրմոլեկուլային չափամասի համար արժեքը, որը լվացվում է </w:t>
      </w:r>
      <w:r w:rsidRPr="00B834A2">
        <w:rPr>
          <w:rFonts w:ascii="Sylfaen" w:hAnsi="Sylfaen"/>
          <w:i/>
          <w:sz w:val="24"/>
          <w:szCs w:val="24"/>
        </w:rPr>
        <w:t>m</w:t>
      </w:r>
      <w:r>
        <w:rPr>
          <w:rFonts w:ascii="Sylfaen" w:hAnsi="Sylfaen"/>
          <w:sz w:val="24"/>
          <w:szCs w:val="24"/>
        </w:rPr>
        <w:t xml:space="preserve"> </w:t>
      </w:r>
      <w:r w:rsidRPr="00B834A2">
        <w:rPr>
          <w:rFonts w:ascii="Sylfaen" w:hAnsi="Sylfaen"/>
          <w:sz w:val="24"/>
          <w:szCs w:val="24"/>
        </w:rPr>
        <w:t xml:space="preserve">քրոմատագրի բաժնում </w:t>
      </w:r>
      <w:r>
        <w:rPr>
          <w:rFonts w:ascii="Sylfaen" w:hAnsi="Sylfaen"/>
          <w:sz w:val="24"/>
          <w:szCs w:val="24"/>
        </w:rPr>
        <w:t>եւ</w:t>
      </w:r>
      <w:r w:rsidRPr="00B834A2">
        <w:rPr>
          <w:rFonts w:ascii="Sylfaen" w:hAnsi="Sylfaen"/>
          <w:sz w:val="24"/>
          <w:szCs w:val="24"/>
        </w:rPr>
        <w:t xml:space="preserve"> բաժնից հետո, հաշվարկում են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ով՝</w:t>
      </w:r>
      <w:r>
        <w:rPr>
          <w:rFonts w:ascii="Sylfaen" w:hAnsi="Sylfaen"/>
          <w:sz w:val="24"/>
          <w:szCs w:val="24"/>
        </w:rPr>
        <w:t xml:space="preserve"> </w:t>
      </w:r>
    </w:p>
    <w:p w14:paraId="23079410" w14:textId="77777777" w:rsidR="00B834A2" w:rsidRPr="00B834A2" w:rsidRDefault="00000000" w:rsidP="007B55AD">
      <w:pPr>
        <w:pStyle w:val="Bodytext20"/>
        <w:shd w:val="clear" w:color="auto" w:fill="auto"/>
        <w:tabs>
          <w:tab w:val="left" w:pos="4536"/>
        </w:tabs>
        <w:spacing w:before="0" w:after="160" w:line="360" w:lineRule="auto"/>
        <w:rPr>
          <w:rStyle w:val="Bodytext295pt2"/>
          <w:spacing w:val="0"/>
          <w:sz w:val="24"/>
          <w:szCs w:val="24"/>
        </w:rPr>
      </w:pPr>
      <m:oMath>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ω</m:t>
            </m:r>
          </m:sub>
        </m:sSub>
        <m:r>
          <w:rPr>
            <w:rStyle w:val="Bodytext295pt"/>
            <w:rFonts w:ascii="Cambria Math"/>
            <w:sz w:val="24"/>
            <w:szCs w:val="24"/>
          </w:rPr>
          <m:t>=</m:t>
        </m:r>
        <m:f>
          <m:fPr>
            <m:ctrlPr>
              <w:rPr>
                <w:rStyle w:val="Bodytext295pt"/>
                <w:rFonts w:ascii="Cambria Math"/>
                <w:i w:val="0"/>
                <w:iCs w:val="0"/>
                <w:sz w:val="24"/>
                <w:szCs w:val="24"/>
              </w:rPr>
            </m:ctrlPr>
          </m:fPr>
          <m:num>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m:t>
                </m:r>
                <m:r>
                  <w:rPr>
                    <w:rStyle w:val="Bodytext295pt"/>
                    <w:rFonts w:ascii="Cambria Math" w:hAnsi="Cambria Math"/>
                    <w:sz w:val="24"/>
                    <w:szCs w:val="24"/>
                  </w:rPr>
                  <m:t>m</m:t>
                </m:r>
              </m:sub>
              <m:sup>
                <m:r>
                  <w:rPr>
                    <w:rStyle w:val="Bodytext295pt"/>
                    <w:rFonts w:ascii="Cambria Math" w:hAnsi="Cambria Math"/>
                    <w:sz w:val="24"/>
                    <w:szCs w:val="24"/>
                  </w:rPr>
                  <m:t>p</m:t>
                </m:r>
              </m:sup>
              <m:e>
                <m:r>
                  <w:rPr>
                    <w:rStyle w:val="Bodytext295pt"/>
                    <w:rFonts w:ascii="Cambria Math"/>
                    <w:sz w:val="24"/>
                    <w:szCs w:val="24"/>
                  </w:rPr>
                  <m:t>(</m:t>
                </m:r>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sSub>
                  <m:sSubPr>
                    <m:ctrlPr>
                      <w:rPr>
                        <w:rStyle w:val="Bodytext295pt"/>
                        <w:rFonts w:ascii="Cambria Math"/>
                        <w:i w:val="0"/>
                        <w:iCs w:val="0"/>
                        <w:sz w:val="24"/>
                        <w:szCs w:val="24"/>
                      </w:rPr>
                    </m:ctrlPr>
                  </m:sSubPr>
                  <m:e>
                    <m:r>
                      <w:rPr>
                        <w:rStyle w:val="Bodytext295pt"/>
                        <w:rFonts w:ascii="Cambria Math" w:hAnsi="Cambria Math"/>
                        <w:sz w:val="24"/>
                        <w:szCs w:val="24"/>
                      </w:rPr>
                      <m:t>M</m:t>
                    </m:r>
                  </m:e>
                  <m:sub>
                    <m:r>
                      <w:rPr>
                        <w:rStyle w:val="Bodytext295pt"/>
                        <w:rFonts w:ascii="Cambria Math" w:hAnsi="Cambria Math"/>
                        <w:sz w:val="24"/>
                        <w:szCs w:val="24"/>
                      </w:rPr>
                      <m:t>i</m:t>
                    </m:r>
                  </m:sub>
                </m:sSub>
                <m:r>
                  <w:rPr>
                    <w:rStyle w:val="Bodytext295pt"/>
                    <w:rFonts w:ascii="Cambria Math"/>
                    <w:sz w:val="24"/>
                    <w:szCs w:val="24"/>
                  </w:rPr>
                  <m:t>)</m:t>
                </m:r>
              </m:e>
            </m:nary>
          </m:num>
          <m:den>
            <m:nary>
              <m:naryPr>
                <m:chr m:val="∑"/>
                <m:limLoc m:val="undOvr"/>
                <m:ctrlPr>
                  <w:rPr>
                    <w:rStyle w:val="Bodytext295pt"/>
                    <w:rFonts w:ascii="Cambria Math"/>
                    <w:i w:val="0"/>
                    <w:iCs w:val="0"/>
                    <w:sz w:val="24"/>
                    <w:szCs w:val="24"/>
                  </w:rPr>
                </m:ctrlPr>
              </m:naryPr>
              <m:sub>
                <m:r>
                  <w:rPr>
                    <w:rStyle w:val="Bodytext295pt"/>
                    <w:rFonts w:ascii="Cambria Math" w:hAnsi="Cambria Math"/>
                    <w:sz w:val="24"/>
                    <w:szCs w:val="24"/>
                  </w:rPr>
                  <m:t>i</m:t>
                </m:r>
                <m:r>
                  <w:rPr>
                    <w:rStyle w:val="Bodytext295pt"/>
                    <w:rFonts w:ascii="Cambria Math"/>
                    <w:sz w:val="24"/>
                    <w:szCs w:val="24"/>
                  </w:rPr>
                  <m:t>=</m:t>
                </m:r>
                <m:r>
                  <w:rPr>
                    <w:rStyle w:val="Bodytext295pt"/>
                    <w:rFonts w:ascii="Cambria Math" w:hAnsi="Cambria Math"/>
                    <w:sz w:val="24"/>
                    <w:szCs w:val="24"/>
                  </w:rPr>
                  <m:t>m</m:t>
                </m:r>
              </m:sub>
              <m:sup>
                <m:r>
                  <w:rPr>
                    <w:rStyle w:val="Bodytext295pt"/>
                    <w:rFonts w:ascii="Cambria Math" w:hAnsi="Cambria Math"/>
                    <w:sz w:val="24"/>
                    <w:szCs w:val="24"/>
                  </w:rPr>
                  <m:t>p</m:t>
                </m:r>
              </m:sup>
              <m:e>
                <m:sSub>
                  <m:sSubPr>
                    <m:ctrlPr>
                      <w:rPr>
                        <w:rStyle w:val="Bodytext295pt"/>
                        <w:rFonts w:ascii="Cambria Math"/>
                        <w:i w:val="0"/>
                        <w:iCs w:val="0"/>
                        <w:sz w:val="24"/>
                        <w:szCs w:val="24"/>
                      </w:rPr>
                    </m:ctrlPr>
                  </m:sSubPr>
                  <m:e>
                    <m:r>
                      <w:rPr>
                        <w:rStyle w:val="Bodytext295pt"/>
                        <w:rFonts w:ascii="Cambria Math" w:hAnsi="Cambria Math"/>
                        <w:sz w:val="24"/>
                        <w:szCs w:val="24"/>
                      </w:rPr>
                      <m:t>y</m:t>
                    </m:r>
                  </m:e>
                  <m:sub>
                    <m:r>
                      <w:rPr>
                        <w:rStyle w:val="Bodytext295pt"/>
                        <w:rFonts w:ascii="Cambria Math" w:hAnsi="Cambria Math"/>
                        <w:sz w:val="24"/>
                        <w:szCs w:val="24"/>
                      </w:rPr>
                      <m:t>i</m:t>
                    </m:r>
                  </m:sub>
                </m:sSub>
              </m:e>
            </m:nary>
          </m:den>
        </m:f>
        <m:r>
          <w:rPr>
            <w:rStyle w:val="Bodytext295pt"/>
            <w:rFonts w:ascii="Cambria Math"/>
            <w:sz w:val="24"/>
            <w:szCs w:val="24"/>
          </w:rPr>
          <m:t xml:space="preserve">, </m:t>
        </m:r>
      </m:oMath>
      <w:r w:rsidR="007B55AD">
        <w:rPr>
          <w:rStyle w:val="Bodytext295pt"/>
          <w:sz w:val="24"/>
          <w:szCs w:val="24"/>
        </w:rPr>
        <w:tab/>
      </w:r>
      <w:r w:rsidR="007B55AD" w:rsidRPr="005746B2">
        <w:rPr>
          <w:rStyle w:val="Bodytext295pt"/>
          <w:i w:val="0"/>
          <w:sz w:val="24"/>
          <w:szCs w:val="24"/>
        </w:rPr>
        <w:t>(</w:t>
      </w:r>
      <w:r w:rsidR="007B55AD">
        <w:rPr>
          <w:rStyle w:val="Bodytext295pt"/>
          <w:i w:val="0"/>
          <w:sz w:val="24"/>
          <w:szCs w:val="24"/>
        </w:rPr>
        <w:t>7</w:t>
      </w:r>
      <w:r w:rsidR="007B55AD" w:rsidRPr="005746B2">
        <w:rPr>
          <w:rStyle w:val="Bodytext295pt"/>
          <w:i w:val="0"/>
          <w:sz w:val="24"/>
          <w:szCs w:val="24"/>
        </w:rPr>
        <w:t>)</w:t>
      </w:r>
    </w:p>
    <w:p w14:paraId="74C8017A"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որտեղ </w:t>
      </w:r>
      <w:r w:rsidRPr="00B834A2">
        <w:rPr>
          <w:rFonts w:ascii="Sylfaen" w:hAnsi="Sylfaen"/>
          <w:i/>
          <w:sz w:val="24"/>
          <w:szCs w:val="24"/>
        </w:rPr>
        <w:t>m</w:t>
      </w:r>
      <w:r w:rsidR="007B55AD">
        <w:rPr>
          <w:rFonts w:ascii="Sylfaen" w:hAnsi="Sylfaen"/>
          <w:sz w:val="24"/>
          <w:szCs w:val="24"/>
        </w:rPr>
        <w:t>-</w:t>
      </w:r>
      <w:r w:rsidRPr="00B834A2">
        <w:rPr>
          <w:rFonts w:ascii="Sylfaen" w:hAnsi="Sylfaen"/>
          <w:sz w:val="24"/>
          <w:szCs w:val="24"/>
        </w:rPr>
        <w:t>ը որոշվում է անհավասարություններով՝</w:t>
      </w:r>
      <w:r>
        <w:rPr>
          <w:rFonts w:ascii="Sylfaen" w:hAnsi="Sylfaen"/>
          <w:sz w:val="24"/>
          <w:szCs w:val="24"/>
        </w:rPr>
        <w:t xml:space="preserve"> </w:t>
      </w:r>
    </w:p>
    <w:p w14:paraId="37ED9317" w14:textId="77777777" w:rsidR="00B834A2" w:rsidRPr="00B834A2" w:rsidRDefault="00000000" w:rsidP="007B55AD">
      <w:pPr>
        <w:pStyle w:val="Bodytext20"/>
        <w:shd w:val="clear" w:color="auto" w:fill="auto"/>
        <w:tabs>
          <w:tab w:val="left" w:pos="4820"/>
        </w:tabs>
        <w:spacing w:before="0" w:after="160" w:line="360" w:lineRule="auto"/>
        <w:rPr>
          <w:rStyle w:val="Bodytext275pt"/>
          <w:spacing w:val="0"/>
          <w:sz w:val="24"/>
          <w:szCs w:val="24"/>
        </w:rPr>
      </w:pPr>
      <m:oMath>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m:t>
            </m:r>
            <m:r>
              <m:rPr>
                <m:sty m:val="p"/>
              </m:rPr>
              <w:rPr>
                <w:rStyle w:val="Bodytext27pt2"/>
                <w:rFonts w:ascii="Cambria Math" w:hAnsi="Cambria Math"/>
                <w:sz w:val="24"/>
                <w:szCs w:val="24"/>
              </w:rPr>
              <m:t>m</m:t>
            </m:r>
          </m:sub>
          <m:sup>
            <m:r>
              <m:rPr>
                <m:sty m:val="p"/>
              </m:rPr>
              <w:rPr>
                <w:rStyle w:val="Bodytext27pt2"/>
                <w:rFonts w:ascii="Cambria Math" w:hAnsi="Cambria Math"/>
                <w:sz w:val="24"/>
                <w:szCs w:val="24"/>
              </w:rPr>
              <m:t>p</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r>
              <m:rPr>
                <m:sty m:val="p"/>
              </m:rPr>
              <w:rPr>
                <w:rStyle w:val="Bodytext27pt2"/>
                <w:rFonts w:ascii="Cambria Math"/>
                <w:sz w:val="24"/>
                <w:szCs w:val="24"/>
              </w:rPr>
              <m:t>≤</m:t>
            </m:r>
            <m:r>
              <m:rPr>
                <m:sty m:val="p"/>
              </m:rPr>
              <w:rPr>
                <w:rStyle w:val="Bodytext27pt2"/>
                <w:rFonts w:ascii="Cambria Math"/>
                <w:sz w:val="24"/>
                <w:szCs w:val="24"/>
              </w:rPr>
              <m:t>0,1(</m:t>
            </m:r>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m:rPr>
                    <m:sty m:val="p"/>
                  </m:rPr>
                  <w:rPr>
                    <w:rStyle w:val="Bodytext27pt2"/>
                    <w:rFonts w:ascii="Cambria Math" w:hAnsi="Cambria Math"/>
                    <w:sz w:val="24"/>
                    <w:szCs w:val="24"/>
                  </w:rPr>
                  <m:t>p</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e>
            </m:nary>
          </m:e>
        </m:nary>
        <m:r>
          <m:rPr>
            <m:sty m:val="p"/>
          </m:rPr>
          <w:rPr>
            <w:rStyle w:val="Bodytext27pt2"/>
            <w:rFonts w:ascii="Cambria Math"/>
            <w:sz w:val="24"/>
            <w:szCs w:val="24"/>
          </w:rPr>
          <m:t>),</m:t>
        </m:r>
      </m:oMath>
      <w:r w:rsidR="007B55AD">
        <w:rPr>
          <w:rStyle w:val="Bodytext27pt2"/>
          <w:sz w:val="24"/>
          <w:szCs w:val="24"/>
        </w:rPr>
        <w:tab/>
      </w:r>
      <w:r w:rsidR="007B55AD" w:rsidRPr="005746B2">
        <w:rPr>
          <w:rStyle w:val="Bodytext295pt"/>
          <w:i w:val="0"/>
          <w:sz w:val="24"/>
          <w:szCs w:val="24"/>
        </w:rPr>
        <w:t>(</w:t>
      </w:r>
      <w:r w:rsidR="007B55AD">
        <w:rPr>
          <w:rStyle w:val="Bodytext295pt"/>
          <w:i w:val="0"/>
          <w:sz w:val="24"/>
          <w:szCs w:val="24"/>
        </w:rPr>
        <w:t>8</w:t>
      </w:r>
      <w:r w:rsidR="007B55AD" w:rsidRPr="005746B2">
        <w:rPr>
          <w:rStyle w:val="Bodytext295pt"/>
          <w:i w:val="0"/>
          <w:sz w:val="24"/>
          <w:szCs w:val="24"/>
        </w:rPr>
        <w:t>)</w:t>
      </w:r>
    </w:p>
    <w:p w14:paraId="3030B73E" w14:textId="77777777" w:rsidR="00B834A2" w:rsidRPr="00B834A2" w:rsidRDefault="00000000" w:rsidP="007B55AD">
      <w:pPr>
        <w:pStyle w:val="Bodytext20"/>
        <w:shd w:val="clear" w:color="auto" w:fill="auto"/>
        <w:tabs>
          <w:tab w:val="left" w:pos="4820"/>
        </w:tabs>
        <w:spacing w:before="0" w:after="160" w:line="360" w:lineRule="auto"/>
        <w:rPr>
          <w:rStyle w:val="Bodytext275pt"/>
          <w:spacing w:val="0"/>
          <w:sz w:val="24"/>
          <w:szCs w:val="24"/>
        </w:rPr>
      </w:pPr>
      <m:oMath>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m:t>
            </m:r>
            <m:r>
              <m:rPr>
                <m:sty m:val="p"/>
              </m:rPr>
              <w:rPr>
                <w:rStyle w:val="Bodytext27pt2"/>
                <w:rFonts w:ascii="Cambria Math" w:hAnsi="Cambria Math"/>
                <w:sz w:val="24"/>
                <w:szCs w:val="24"/>
              </w:rPr>
              <m:t>m-</m:t>
            </m:r>
            <m:r>
              <m:rPr>
                <m:sty m:val="p"/>
              </m:rPr>
              <w:rPr>
                <w:rStyle w:val="Bodytext27pt2"/>
                <w:rFonts w:ascii="Cambria Math"/>
                <w:sz w:val="24"/>
                <w:szCs w:val="24"/>
              </w:rPr>
              <m:t>1</m:t>
            </m:r>
          </m:sub>
          <m:sup>
            <m:r>
              <m:rPr>
                <m:sty m:val="p"/>
              </m:rPr>
              <w:rPr>
                <w:rStyle w:val="Bodytext27pt2"/>
                <w:rFonts w:ascii="Cambria Math" w:hAnsi="Cambria Math"/>
                <w:sz w:val="24"/>
                <w:szCs w:val="24"/>
              </w:rPr>
              <m:t>p</m:t>
            </m:r>
          </m:sup>
          <m:e>
            <m:sSub>
              <m:sSubPr>
                <m:ctrlPr>
                  <w:rPr>
                    <w:rStyle w:val="Bodytext27pt2"/>
                    <w:rFonts w:ascii="Cambria Math"/>
                    <w:i/>
                    <w:sz w:val="24"/>
                    <w:szCs w:val="24"/>
                  </w:rPr>
                </m:ctrlPr>
              </m:sSubPr>
              <m:e>
                <m:r>
                  <m:rPr>
                    <m:sty m:val="p"/>
                  </m:rPr>
                  <w:rPr>
                    <w:rStyle w:val="Bodytext27pt2"/>
                    <w:rFonts w:ascii="Cambria Math" w:hAnsi="Cambria Math"/>
                    <w:sz w:val="24"/>
                    <w:szCs w:val="24"/>
                  </w:rPr>
                  <m:t>y</m:t>
                </m:r>
              </m:e>
              <m:sub>
                <m:r>
                  <m:rPr>
                    <m:sty m:val="p"/>
                  </m:rPr>
                  <w:rPr>
                    <w:rStyle w:val="Bodytext27pt2"/>
                    <w:rFonts w:ascii="Cambria Math" w:hAnsi="Cambria Math"/>
                    <w:sz w:val="24"/>
                    <w:szCs w:val="24"/>
                  </w:rPr>
                  <m:t>i</m:t>
                </m:r>
              </m:sub>
            </m:sSub>
            <m:r>
              <m:rPr>
                <m:sty m:val="p"/>
              </m:rPr>
              <w:rPr>
                <w:rStyle w:val="Bodytext27pt2"/>
                <w:rFonts w:ascii="Cambria Math"/>
                <w:sz w:val="24"/>
                <w:szCs w:val="24"/>
              </w:rPr>
              <m:t>&gt;</m:t>
            </m:r>
            <m:r>
              <w:rPr>
                <w:rStyle w:val="Bodytext27pt2"/>
                <w:rFonts w:ascii="Cambria Math"/>
                <w:sz w:val="24"/>
                <w:szCs w:val="24"/>
              </w:rPr>
              <m:t>0,1(</m:t>
            </m:r>
            <m:nary>
              <m:naryPr>
                <m:chr m:val="∑"/>
                <m:limLoc m:val="undOvr"/>
                <m:ctrlPr>
                  <w:rPr>
                    <w:rStyle w:val="Bodytext27pt2"/>
                    <w:rFonts w:ascii="Cambria Math"/>
                    <w:i/>
                    <w:sz w:val="24"/>
                    <w:szCs w:val="24"/>
                  </w:rPr>
                </m:ctrlPr>
              </m:naryPr>
              <m:sub>
                <m:r>
                  <m:rPr>
                    <m:sty m:val="p"/>
                  </m:rPr>
                  <w:rPr>
                    <w:rStyle w:val="Bodytext27pt2"/>
                    <w:rFonts w:ascii="Cambria Math" w:hAnsi="Cambria Math"/>
                    <w:sz w:val="24"/>
                    <w:szCs w:val="24"/>
                  </w:rPr>
                  <m:t>i</m:t>
                </m:r>
                <m:r>
                  <m:rPr>
                    <m:sty m:val="p"/>
                  </m:rPr>
                  <w:rPr>
                    <w:rStyle w:val="Bodytext27pt2"/>
                    <w:rFonts w:ascii="Cambria Math"/>
                    <w:sz w:val="24"/>
                    <w:szCs w:val="24"/>
                  </w:rPr>
                  <m:t>=1</m:t>
                </m:r>
              </m:sub>
              <m:sup>
                <m:r>
                  <w:rPr>
                    <w:rStyle w:val="Bodytext27pt2"/>
                    <w:rFonts w:ascii="Cambria Math"/>
                    <w:sz w:val="24"/>
                    <w:szCs w:val="24"/>
                  </w:rPr>
                  <m:t>p</m:t>
                </m:r>
              </m:sup>
              <m:e>
                <m:sSub>
                  <m:sSubPr>
                    <m:ctrlPr>
                      <w:rPr>
                        <w:rStyle w:val="Bodytext27pt2"/>
                        <w:rFonts w:ascii="Cambria Math"/>
                        <w:i/>
                        <w:sz w:val="24"/>
                        <w:szCs w:val="24"/>
                      </w:rPr>
                    </m:ctrlPr>
                  </m:sSubPr>
                  <m:e>
                    <m:r>
                      <w:rPr>
                        <w:rStyle w:val="Bodytext27pt2"/>
                        <w:rFonts w:ascii="Cambria Math"/>
                        <w:sz w:val="24"/>
                        <w:szCs w:val="24"/>
                      </w:rPr>
                      <m:t>y</m:t>
                    </m:r>
                  </m:e>
                  <m:sub>
                    <m:r>
                      <w:rPr>
                        <w:rStyle w:val="Bodytext27pt2"/>
                        <w:rFonts w:ascii="Cambria Math"/>
                        <w:sz w:val="24"/>
                        <w:szCs w:val="24"/>
                      </w:rPr>
                      <m:t>i</m:t>
                    </m:r>
                  </m:sub>
                </m:sSub>
              </m:e>
            </m:nary>
          </m:e>
        </m:nary>
        <m:r>
          <m:rPr>
            <m:sty m:val="p"/>
          </m:rPr>
          <w:rPr>
            <w:rStyle w:val="Bodytext27pt2"/>
            <w:rFonts w:ascii="Cambria Math"/>
            <w:sz w:val="24"/>
            <w:szCs w:val="24"/>
          </w:rPr>
          <m:t>),</m:t>
        </m:r>
      </m:oMath>
      <w:r w:rsidR="007B55AD">
        <w:rPr>
          <w:rStyle w:val="Bodytext27pt2"/>
          <w:sz w:val="24"/>
          <w:szCs w:val="24"/>
        </w:rPr>
        <w:tab/>
      </w:r>
      <w:r w:rsidR="007B55AD" w:rsidRPr="005746B2">
        <w:rPr>
          <w:rStyle w:val="Bodytext295pt"/>
          <w:i w:val="0"/>
          <w:sz w:val="24"/>
          <w:szCs w:val="24"/>
        </w:rPr>
        <w:t>(</w:t>
      </w:r>
      <w:r w:rsidR="007B55AD">
        <w:rPr>
          <w:rStyle w:val="Bodytext295pt"/>
          <w:i w:val="0"/>
          <w:sz w:val="24"/>
          <w:szCs w:val="24"/>
        </w:rPr>
        <w:t>9</w:t>
      </w:r>
      <w:r w:rsidR="007B55AD" w:rsidRPr="005746B2">
        <w:rPr>
          <w:rStyle w:val="Bodytext295pt"/>
          <w:i w:val="0"/>
          <w:sz w:val="24"/>
          <w:szCs w:val="24"/>
        </w:rPr>
        <w:t>)</w:t>
      </w:r>
    </w:p>
    <w:p w14:paraId="57F28FDA" w14:textId="77777777" w:rsidR="006E41D4" w:rsidRPr="00097504"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Fonts w:ascii="Sylfaen" w:hAnsi="Sylfaen"/>
          <w:sz w:val="24"/>
          <w:szCs w:val="24"/>
        </w:rPr>
        <w:t xml:space="preserve">որտեղ </w:t>
      </w:r>
    </w:p>
    <w:p w14:paraId="0F857F3B"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Fonts w:ascii="Sylfaen" w:hAnsi="Sylfaen"/>
          <w:sz w:val="24"/>
          <w:szCs w:val="24"/>
        </w:rPr>
        <w:t>р-ն՝ այն բաժինների քանակն է, որոնց բաժանված է քրոմատագիրը.</w:t>
      </w:r>
      <w:r>
        <w:rPr>
          <w:rFonts w:ascii="Sylfaen" w:hAnsi="Sylfaen"/>
          <w:sz w:val="24"/>
          <w:szCs w:val="24"/>
        </w:rPr>
        <w:t xml:space="preserve"> </w:t>
      </w:r>
    </w:p>
    <w:p w14:paraId="0F6EB688"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Fonts w:ascii="Sylfaen" w:hAnsi="Sylfaen"/>
          <w:sz w:val="24"/>
          <w:szCs w:val="24"/>
        </w:rPr>
        <w:t>У</w:t>
      </w:r>
      <w:r w:rsidRPr="00123D1A">
        <w:rPr>
          <w:rFonts w:ascii="Sylfaen" w:hAnsi="Sylfaen"/>
          <w:sz w:val="24"/>
          <w:szCs w:val="24"/>
          <w:vertAlign w:val="subscript"/>
        </w:rPr>
        <w:t>i</w:t>
      </w:r>
      <w:r w:rsidRPr="00B834A2">
        <w:rPr>
          <w:rFonts w:ascii="Sylfaen" w:hAnsi="Sylfaen"/>
          <w:sz w:val="24"/>
          <w:szCs w:val="24"/>
        </w:rPr>
        <w:t>-ը՝ i</w:t>
      </w:r>
      <w:r>
        <w:rPr>
          <w:rFonts w:ascii="Sylfaen" w:hAnsi="Sylfaen"/>
          <w:sz w:val="24"/>
          <w:szCs w:val="24"/>
        </w:rPr>
        <w:t xml:space="preserve"> </w:t>
      </w:r>
      <w:r w:rsidRPr="00B834A2">
        <w:rPr>
          <w:rFonts w:ascii="Sylfaen" w:hAnsi="Sylfaen"/>
          <w:sz w:val="24"/>
          <w:szCs w:val="24"/>
        </w:rPr>
        <w:t>բաժնի համար բազային գծի վեր</w:t>
      </w:r>
      <w:r>
        <w:rPr>
          <w:rFonts w:ascii="Sylfaen" w:hAnsi="Sylfaen"/>
          <w:sz w:val="24"/>
          <w:szCs w:val="24"/>
        </w:rPr>
        <w:t>եւ</w:t>
      </w:r>
      <w:r w:rsidRPr="00B834A2">
        <w:rPr>
          <w:rFonts w:ascii="Sylfaen" w:hAnsi="Sylfaen"/>
          <w:sz w:val="24"/>
          <w:szCs w:val="24"/>
        </w:rPr>
        <w:t xml:space="preserve">ում քրոմատագրման գծի բարձրությունը. </w:t>
      </w:r>
    </w:p>
    <w:p w14:paraId="255D2672" w14:textId="77777777" w:rsidR="00B834A2" w:rsidRPr="00B834A2" w:rsidRDefault="00B834A2" w:rsidP="00C41622">
      <w:pPr>
        <w:spacing w:after="160" w:line="336" w:lineRule="auto"/>
        <w:ind w:firstLine="567"/>
        <w:jc w:val="both"/>
      </w:pPr>
      <w:r w:rsidRPr="00B834A2">
        <w:t>M</w:t>
      </w:r>
      <w:r w:rsidRPr="00123D1A">
        <w:rPr>
          <w:vertAlign w:val="subscript"/>
        </w:rPr>
        <w:t>i</w:t>
      </w:r>
      <w:r w:rsidRPr="00B834A2">
        <w:t>-ը՝</w:t>
      </w:r>
      <w:r>
        <w:t xml:space="preserve"> </w:t>
      </w:r>
      <w:r w:rsidRPr="00B834A2">
        <w:t xml:space="preserve">i բաժնի համար մոլեկուլային զանգվածը: </w:t>
      </w:r>
    </w:p>
    <w:p w14:paraId="0198AF3F"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B834A2">
        <w:rPr>
          <w:rStyle w:val="Bodytext210pt"/>
          <w:sz w:val="24"/>
          <w:szCs w:val="24"/>
        </w:rPr>
        <w:t>Անալիզի արդյունքները համարվում են հավաստի, եթե դեքստրանի 10% ցածրմոլեկուլային չափամասի համար ստացված արժեքը գտնվում է հետ</w:t>
      </w:r>
      <w:r>
        <w:rPr>
          <w:rStyle w:val="Bodytext210pt"/>
          <w:sz w:val="24"/>
          <w:szCs w:val="24"/>
        </w:rPr>
        <w:t>եւ</w:t>
      </w:r>
      <w:r w:rsidRPr="00B834A2">
        <w:rPr>
          <w:rStyle w:val="Bodytext210pt"/>
          <w:sz w:val="24"/>
          <w:szCs w:val="24"/>
        </w:rPr>
        <w:t xml:space="preserve">յալ սահմաններում՝ </w:t>
      </w:r>
    </w:p>
    <w:p w14:paraId="5987B078" w14:textId="77777777" w:rsidR="00B834A2" w:rsidRDefault="00B834A2" w:rsidP="00C41622">
      <w:pPr>
        <w:pStyle w:val="Bodytext20"/>
        <w:shd w:val="clear" w:color="auto" w:fill="auto"/>
        <w:spacing w:before="0" w:after="160" w:line="336" w:lineRule="auto"/>
        <w:ind w:firstLine="567"/>
        <w:jc w:val="both"/>
        <w:rPr>
          <w:rFonts w:ascii="Sylfaen" w:hAnsi="Sylfaen"/>
          <w:i/>
          <w:sz w:val="24"/>
          <w:szCs w:val="24"/>
        </w:rPr>
      </w:pPr>
      <w:r w:rsidRPr="00B834A2">
        <w:rPr>
          <w:rFonts w:ascii="Sylfaen" w:hAnsi="Sylfaen"/>
          <w:sz w:val="24"/>
          <w:szCs w:val="24"/>
        </w:rPr>
        <w:t>6000-ից մինչ</w:t>
      </w:r>
      <w:r>
        <w:rPr>
          <w:rFonts w:ascii="Sylfaen" w:hAnsi="Sylfaen"/>
          <w:sz w:val="24"/>
          <w:szCs w:val="24"/>
        </w:rPr>
        <w:t>եւ</w:t>
      </w:r>
      <w:r w:rsidRPr="00B834A2">
        <w:rPr>
          <w:rFonts w:ascii="Sylfaen" w:hAnsi="Sylfaen"/>
          <w:sz w:val="24"/>
          <w:szCs w:val="24"/>
        </w:rPr>
        <w:t xml:space="preserve"> 8500 (ԵԱՏՄԴ ՍՆ </w:t>
      </w:r>
      <w:r w:rsidRPr="00B834A2">
        <w:rPr>
          <w:rFonts w:ascii="Sylfaen" w:hAnsi="Sylfaen"/>
          <w:i/>
          <w:sz w:val="24"/>
          <w:szCs w:val="24"/>
        </w:rPr>
        <w:t>դեքստրան 40</w:t>
      </w:r>
      <w:r>
        <w:rPr>
          <w:rFonts w:ascii="Sylfaen" w:hAnsi="Sylfaen"/>
          <w:i/>
          <w:sz w:val="24"/>
          <w:szCs w:val="24"/>
        </w:rPr>
        <w:t xml:space="preserve"> </w:t>
      </w:r>
      <w:r w:rsidRPr="00B834A2">
        <w:rPr>
          <w:rFonts w:ascii="Sylfaen" w:hAnsi="Sylfaen"/>
          <w:i/>
          <w:sz w:val="24"/>
          <w:szCs w:val="24"/>
        </w:rPr>
        <w:t>համար՝ քրոմատագրման համակարգի պիտանիությունը ստուգելու համար).</w:t>
      </w:r>
    </w:p>
    <w:p w14:paraId="4589C85B" w14:textId="77777777" w:rsidR="00B834A2" w:rsidRPr="00B834A2" w:rsidRDefault="00B834A2" w:rsidP="00C41622">
      <w:pPr>
        <w:pStyle w:val="Bodytext20"/>
        <w:shd w:val="clear" w:color="auto" w:fill="auto"/>
        <w:spacing w:before="0" w:after="160" w:line="336" w:lineRule="auto"/>
        <w:ind w:firstLine="567"/>
        <w:jc w:val="both"/>
        <w:rPr>
          <w:rFonts w:ascii="Sylfaen" w:hAnsi="Sylfaen"/>
          <w:i/>
          <w:sz w:val="24"/>
          <w:szCs w:val="24"/>
        </w:rPr>
      </w:pPr>
      <w:r w:rsidRPr="00B834A2">
        <w:rPr>
          <w:rFonts w:ascii="Sylfaen" w:hAnsi="Sylfaen"/>
          <w:sz w:val="24"/>
          <w:szCs w:val="24"/>
        </w:rPr>
        <w:t>7000-ից մինչ</w:t>
      </w:r>
      <w:r>
        <w:rPr>
          <w:rFonts w:ascii="Sylfaen" w:hAnsi="Sylfaen"/>
          <w:sz w:val="24"/>
          <w:szCs w:val="24"/>
        </w:rPr>
        <w:t>եւ</w:t>
      </w:r>
      <w:r w:rsidRPr="00B834A2">
        <w:rPr>
          <w:rFonts w:ascii="Sylfaen" w:hAnsi="Sylfaen"/>
          <w:sz w:val="24"/>
          <w:szCs w:val="24"/>
        </w:rPr>
        <w:t xml:space="preserve"> 11 000 (ԵԱՏՄԴ ՍՆ </w:t>
      </w:r>
      <w:r w:rsidRPr="00B834A2">
        <w:rPr>
          <w:rFonts w:ascii="Sylfaen" w:hAnsi="Sylfaen"/>
          <w:i/>
          <w:sz w:val="24"/>
          <w:szCs w:val="24"/>
        </w:rPr>
        <w:t>դեքստրան 60/70 համար՝ քրոմատագրման համակարգի պիտանիությունը ստուգելու համար):</w:t>
      </w:r>
    </w:p>
    <w:p w14:paraId="51D82B6A" w14:textId="77777777" w:rsidR="00B834A2" w:rsidRPr="00B834A2" w:rsidRDefault="00B834A2" w:rsidP="00C41622">
      <w:pPr>
        <w:pStyle w:val="Bodytext20"/>
        <w:shd w:val="clear" w:color="auto" w:fill="auto"/>
        <w:spacing w:before="0" w:after="160" w:line="336" w:lineRule="auto"/>
        <w:ind w:firstLine="567"/>
        <w:jc w:val="left"/>
        <w:rPr>
          <w:rStyle w:val="Bodytext210pt"/>
          <w:sz w:val="24"/>
          <w:szCs w:val="24"/>
        </w:rPr>
      </w:pPr>
    </w:p>
    <w:p w14:paraId="6D0671F9" w14:textId="77777777" w:rsidR="00B834A2" w:rsidRPr="00530993" w:rsidRDefault="00B834A2" w:rsidP="00C41622">
      <w:pPr>
        <w:pStyle w:val="Bodytext20"/>
        <w:shd w:val="clear" w:color="auto" w:fill="auto"/>
        <w:spacing w:before="0" w:after="160" w:line="336" w:lineRule="auto"/>
        <w:ind w:firstLine="567"/>
        <w:jc w:val="both"/>
        <w:rPr>
          <w:rStyle w:val="Bodytext210pt"/>
          <w:b/>
          <w:sz w:val="24"/>
          <w:szCs w:val="24"/>
        </w:rPr>
      </w:pPr>
      <w:r w:rsidRPr="00B834A2">
        <w:rPr>
          <w:rStyle w:val="Bodytext210pt"/>
          <w:b/>
          <w:sz w:val="24"/>
          <w:szCs w:val="24"/>
        </w:rPr>
        <w:t>ՓՈՐՁԱՐԿՎՈՂ ԴԵՔՍՏՐԱՆԻ ՄՈԼԵԿՈՒԼԱՅԻՆ-ԶԱՆԳՎԱԾԱՅԻՆ ԲԱՇԽՈՒՄ</w:t>
      </w:r>
    </w:p>
    <w:p w14:paraId="2B4F4FF3" w14:textId="77777777" w:rsidR="00B834A2" w:rsidRPr="00B834A2" w:rsidRDefault="00B834A2" w:rsidP="00C41622">
      <w:pPr>
        <w:pStyle w:val="Bodytext20"/>
        <w:shd w:val="clear" w:color="auto" w:fill="auto"/>
        <w:spacing w:before="0" w:after="160" w:line="336" w:lineRule="auto"/>
        <w:ind w:firstLine="567"/>
        <w:jc w:val="both"/>
        <w:rPr>
          <w:rFonts w:ascii="Sylfaen" w:hAnsi="Sylfaen"/>
          <w:sz w:val="24"/>
          <w:szCs w:val="24"/>
        </w:rPr>
      </w:pPr>
      <w:r w:rsidRPr="007B55AD">
        <w:rPr>
          <w:rStyle w:val="Bodytext210pt"/>
          <w:spacing w:val="-6"/>
          <w:sz w:val="24"/>
          <w:szCs w:val="24"/>
        </w:rPr>
        <w:t xml:space="preserve">Քրոմատագրում են փորձարկվող լուծույթի ընտրված ծավալը եւ հաշվարկում են՝ </w:t>
      </w:r>
      <w:r w:rsidRPr="007B55AD">
        <w:rPr>
          <w:rFonts w:ascii="Sylfaen" w:hAnsi="Sylfaen"/>
          <w:i/>
          <w:spacing w:val="-6"/>
          <w:sz w:val="24"/>
          <w:szCs w:val="24"/>
        </w:rPr>
        <w:t>M</w:t>
      </w:r>
      <w:r w:rsidRPr="00123D1A">
        <w:rPr>
          <w:rFonts w:ascii="Sylfaen" w:hAnsi="Sylfaen"/>
          <w:i/>
          <w:spacing w:val="-6"/>
          <w:sz w:val="24"/>
          <w:szCs w:val="24"/>
          <w:vertAlign w:val="subscript"/>
        </w:rPr>
        <w:t>w</w:t>
      </w:r>
      <w:r w:rsidRPr="007B55AD">
        <w:rPr>
          <w:rFonts w:ascii="Sylfaen" w:hAnsi="Sylfaen"/>
          <w:spacing w:val="-6"/>
          <w:sz w:val="24"/>
          <w:szCs w:val="24"/>
        </w:rPr>
        <w:t xml:space="preserve"> արժեքը՝ դեքստրանի մոլեկուլային-զանգվածային բաշխման համար, </w:t>
      </w:r>
      <w:r w:rsidRPr="007B55AD">
        <w:rPr>
          <w:rFonts w:ascii="Sylfaen" w:hAnsi="Sylfaen"/>
          <w:i/>
          <w:spacing w:val="-6"/>
          <w:sz w:val="24"/>
          <w:szCs w:val="24"/>
        </w:rPr>
        <w:t>M</w:t>
      </w:r>
      <w:r w:rsidRPr="00123D1A">
        <w:rPr>
          <w:rFonts w:ascii="Sylfaen" w:hAnsi="Sylfaen"/>
          <w:i/>
          <w:spacing w:val="-6"/>
          <w:sz w:val="24"/>
          <w:szCs w:val="24"/>
          <w:vertAlign w:val="subscript"/>
        </w:rPr>
        <w:t>w</w:t>
      </w:r>
      <w:r w:rsidRPr="007B55AD">
        <w:rPr>
          <w:rFonts w:ascii="Sylfaen" w:hAnsi="Sylfaen"/>
          <w:i/>
          <w:spacing w:val="-6"/>
          <w:sz w:val="24"/>
          <w:szCs w:val="24"/>
        </w:rPr>
        <w:t xml:space="preserve"> </w:t>
      </w:r>
      <w:r w:rsidRPr="007B55AD">
        <w:rPr>
          <w:rFonts w:ascii="Sylfaen" w:hAnsi="Sylfaen"/>
          <w:spacing w:val="-6"/>
          <w:sz w:val="24"/>
          <w:szCs w:val="24"/>
        </w:rPr>
        <w:t>արժեքը՝</w:t>
      </w:r>
      <w:r w:rsidRPr="00B834A2">
        <w:rPr>
          <w:rFonts w:ascii="Sylfaen" w:hAnsi="Sylfaen"/>
          <w:sz w:val="24"/>
          <w:szCs w:val="24"/>
        </w:rPr>
        <w:t xml:space="preserve"> </w:t>
      </w:r>
      <w:r w:rsidRPr="00B834A2">
        <w:rPr>
          <w:rFonts w:ascii="Sylfaen" w:hAnsi="Sylfaen"/>
          <w:sz w:val="24"/>
          <w:szCs w:val="24"/>
        </w:rPr>
        <w:lastRenderedPageBreak/>
        <w:t xml:space="preserve">դեքստրանի 10 % բարձրմոլեկուլային չափամասի համար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М</w:t>
      </w:r>
      <w:r w:rsidRPr="00123D1A">
        <w:rPr>
          <w:rFonts w:ascii="Sylfaen" w:hAnsi="Sylfaen"/>
          <w:i/>
          <w:sz w:val="24"/>
          <w:szCs w:val="24"/>
          <w:vertAlign w:val="subscript"/>
        </w:rPr>
        <w:t>w</w:t>
      </w:r>
      <w:r w:rsidRPr="00B834A2">
        <w:rPr>
          <w:rFonts w:ascii="Sylfaen" w:hAnsi="Sylfaen"/>
          <w:sz w:val="24"/>
          <w:szCs w:val="24"/>
        </w:rPr>
        <w:t xml:space="preserve"> արժեքը՝ դեքստրանի 10 % ցածրմոլեկուլային չափամասի համար հաշվարկում են այնպես, ինչպես նկարագրված է «Քրոմատագրման համակարգի պիտանիություն» բաժնում: </w:t>
      </w:r>
    </w:p>
    <w:p w14:paraId="1CBAE5BC" w14:textId="77777777" w:rsidR="00B834A2" w:rsidRPr="006E41D4" w:rsidRDefault="00B834A2" w:rsidP="006E41D4">
      <w:pPr>
        <w:pStyle w:val="Bodytext20"/>
        <w:shd w:val="clear" w:color="auto" w:fill="auto"/>
        <w:spacing w:before="0" w:line="240" w:lineRule="auto"/>
        <w:ind w:firstLine="567"/>
        <w:jc w:val="right"/>
        <w:rPr>
          <w:rStyle w:val="Bodytext29pt"/>
          <w:sz w:val="20"/>
          <w:szCs w:val="24"/>
        </w:rPr>
      </w:pPr>
    </w:p>
    <w:p w14:paraId="490C2993" w14:textId="77777777" w:rsidR="00B834A2" w:rsidRPr="00186CF0" w:rsidRDefault="00B834A2" w:rsidP="00B834A2">
      <w:pPr>
        <w:pStyle w:val="Bodytext20"/>
        <w:shd w:val="clear" w:color="auto" w:fill="auto"/>
        <w:spacing w:before="0" w:after="160" w:line="360" w:lineRule="auto"/>
        <w:ind w:firstLine="567"/>
        <w:jc w:val="right"/>
        <w:rPr>
          <w:rFonts w:ascii="Sylfaen" w:hAnsi="Sylfaen"/>
          <w:b/>
          <w:sz w:val="20"/>
          <w:szCs w:val="24"/>
        </w:rPr>
      </w:pPr>
      <w:r w:rsidRPr="00186CF0">
        <w:rPr>
          <w:rStyle w:val="Bodytext29pt"/>
          <w:b/>
          <w:sz w:val="20"/>
          <w:szCs w:val="24"/>
        </w:rPr>
        <w:t>201020050-2022</w:t>
      </w:r>
    </w:p>
    <w:p w14:paraId="72A3C2CB" w14:textId="77777777" w:rsidR="00B834A2" w:rsidRPr="006E41D4" w:rsidRDefault="00B834A2" w:rsidP="006E41D4">
      <w:pPr>
        <w:pStyle w:val="Bodytext20"/>
        <w:shd w:val="clear" w:color="auto" w:fill="auto"/>
        <w:spacing w:before="0" w:line="240" w:lineRule="auto"/>
        <w:ind w:firstLine="567"/>
        <w:rPr>
          <w:rStyle w:val="Bodytext214pt"/>
          <w:rFonts w:ascii="Sylfaen" w:hAnsi="Sylfaen"/>
          <w:bCs/>
          <w:sz w:val="20"/>
          <w:szCs w:val="24"/>
        </w:rPr>
      </w:pPr>
    </w:p>
    <w:p w14:paraId="0F74D026" w14:textId="77777777" w:rsidR="00B834A2" w:rsidRPr="007B55AD" w:rsidRDefault="00B834A2" w:rsidP="006E41D4">
      <w:pPr>
        <w:pStyle w:val="Bodytext20"/>
        <w:shd w:val="clear" w:color="auto" w:fill="auto"/>
        <w:tabs>
          <w:tab w:val="left" w:pos="1701"/>
        </w:tabs>
        <w:spacing w:before="0" w:after="160" w:line="360" w:lineRule="auto"/>
        <w:ind w:firstLine="567"/>
        <w:jc w:val="both"/>
        <w:rPr>
          <w:rFonts w:ascii="Sylfaen" w:hAnsi="Sylfaen"/>
          <w:b/>
          <w:sz w:val="24"/>
          <w:szCs w:val="24"/>
        </w:rPr>
      </w:pPr>
      <w:r w:rsidRPr="007B55AD">
        <w:rPr>
          <w:rStyle w:val="Bodytext214pt"/>
          <w:rFonts w:ascii="Sylfaen" w:hAnsi="Sylfaen"/>
          <w:b/>
          <w:sz w:val="24"/>
          <w:szCs w:val="24"/>
        </w:rPr>
        <w:t>2.1.2.50.</w:t>
      </w:r>
      <w:r w:rsidR="006E41D4" w:rsidRPr="00097504">
        <w:rPr>
          <w:rStyle w:val="Bodytext214pt"/>
          <w:rFonts w:ascii="Sylfaen" w:hAnsi="Sylfaen"/>
          <w:b/>
          <w:sz w:val="24"/>
          <w:szCs w:val="24"/>
        </w:rPr>
        <w:tab/>
      </w:r>
      <w:r w:rsidRPr="007B55AD">
        <w:rPr>
          <w:rStyle w:val="Bodytext214pt"/>
          <w:rFonts w:ascii="Sylfaen" w:hAnsi="Sylfaen"/>
          <w:b/>
          <w:sz w:val="24"/>
          <w:szCs w:val="24"/>
        </w:rPr>
        <w:t>Շրջանային երկգունություն</w:t>
      </w:r>
    </w:p>
    <w:p w14:paraId="0F61F296"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Օպտիկապես ակտիվ նյութի միջով հարթ բ</w:t>
      </w:r>
      <w:r>
        <w:rPr>
          <w:rStyle w:val="Bodytext210pt"/>
          <w:sz w:val="24"/>
          <w:szCs w:val="24"/>
        </w:rPr>
        <w:t>եւ</w:t>
      </w:r>
      <w:r w:rsidRPr="00B834A2">
        <w:rPr>
          <w:rStyle w:val="Bodytext210pt"/>
          <w:sz w:val="24"/>
          <w:szCs w:val="24"/>
        </w:rPr>
        <w:t>եռացած լույսի անցման ժամանակ դրա կլանման շերտերի մոտ տեղի է ունենում բ</w:t>
      </w:r>
      <w:r>
        <w:rPr>
          <w:rStyle w:val="Bodytext210pt"/>
          <w:sz w:val="24"/>
          <w:szCs w:val="24"/>
        </w:rPr>
        <w:t>եւ</w:t>
      </w:r>
      <w:r w:rsidRPr="00B834A2">
        <w:rPr>
          <w:rStyle w:val="Bodytext210pt"/>
          <w:sz w:val="24"/>
          <w:szCs w:val="24"/>
        </w:rPr>
        <w:t xml:space="preserve">եռացած լույսի հարթության պտտման անկանոն փոփոխություն, ինչը հանգեցնում է շրջանային երկգունության: </w:t>
      </w:r>
    </w:p>
    <w:p w14:paraId="3BA4217C"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Շրջանային երկգունություն է կոչվում ձախ </w:t>
      </w:r>
      <w:r>
        <w:rPr>
          <w:rStyle w:val="Bodytext210pt"/>
          <w:sz w:val="24"/>
          <w:szCs w:val="24"/>
        </w:rPr>
        <w:t>եւ</w:t>
      </w:r>
      <w:r w:rsidRPr="00B834A2">
        <w:rPr>
          <w:rStyle w:val="Bodytext210pt"/>
          <w:sz w:val="24"/>
          <w:szCs w:val="24"/>
        </w:rPr>
        <w:t xml:space="preserve"> աջ շրջանային բ</w:t>
      </w:r>
      <w:r>
        <w:rPr>
          <w:rStyle w:val="Bodytext210pt"/>
          <w:sz w:val="24"/>
          <w:szCs w:val="24"/>
        </w:rPr>
        <w:t>եւ</w:t>
      </w:r>
      <w:r w:rsidRPr="00B834A2">
        <w:rPr>
          <w:rStyle w:val="Bodytext210pt"/>
          <w:sz w:val="24"/>
          <w:szCs w:val="24"/>
        </w:rPr>
        <w:t xml:space="preserve">եռացմամբ լույսի համար կլանման շերտի սահմաններում օպտիկապես ակտիվ նյութերին բնորոշ կլանումների տարբերությունը: </w:t>
      </w:r>
    </w:p>
    <w:p w14:paraId="22A56658"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Գծային բ</w:t>
      </w:r>
      <w:r>
        <w:rPr>
          <w:rStyle w:val="Bodytext210pt"/>
          <w:sz w:val="24"/>
          <w:szCs w:val="24"/>
        </w:rPr>
        <w:t>եւ</w:t>
      </w:r>
      <w:r w:rsidRPr="00B834A2">
        <w:rPr>
          <w:rStyle w:val="Bodytext210pt"/>
          <w:sz w:val="24"/>
          <w:szCs w:val="24"/>
        </w:rPr>
        <w:t>եռացածից լուսային ճառագայթը դառնում է օպտիկապես ակտիվ նյութի լուծույթից դուրս գալիս էլիպսաձ</w:t>
      </w:r>
      <w:r>
        <w:rPr>
          <w:rStyle w:val="Bodytext210pt"/>
          <w:sz w:val="24"/>
          <w:szCs w:val="24"/>
        </w:rPr>
        <w:t>եւ</w:t>
      </w:r>
      <w:r w:rsidRPr="00B834A2">
        <w:rPr>
          <w:rStyle w:val="Bodytext210pt"/>
          <w:sz w:val="24"/>
          <w:szCs w:val="24"/>
        </w:rPr>
        <w:t xml:space="preserve"> բ</w:t>
      </w:r>
      <w:r>
        <w:rPr>
          <w:rStyle w:val="Bodytext210pt"/>
          <w:sz w:val="24"/>
          <w:szCs w:val="24"/>
        </w:rPr>
        <w:t>եւ</w:t>
      </w:r>
      <w:r w:rsidRPr="00B834A2">
        <w:rPr>
          <w:rStyle w:val="Bodytext210pt"/>
          <w:sz w:val="24"/>
          <w:szCs w:val="24"/>
        </w:rPr>
        <w:t>եռացած, ընդ որում՝ էլիպսայնությունն անցնում է կլանման շերտի տիրույթում առավելագույնի միջով (Կոտտոնի էֆեկտ):</w:t>
      </w:r>
    </w:p>
    <w:p w14:paraId="3E53FEB5" w14:textId="77777777" w:rsidR="00B834A2" w:rsidRPr="00B834A2" w:rsidRDefault="00B834A2" w:rsidP="007B55A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Շրջանային երկգունության կլանումը որոշվում է աջ </w:t>
      </w:r>
      <w:r>
        <w:rPr>
          <w:rStyle w:val="Bodytext210pt"/>
          <w:sz w:val="24"/>
          <w:szCs w:val="24"/>
        </w:rPr>
        <w:t>եւ</w:t>
      </w:r>
      <w:r w:rsidRPr="00B834A2">
        <w:rPr>
          <w:rStyle w:val="Bodytext210pt"/>
          <w:sz w:val="24"/>
          <w:szCs w:val="24"/>
        </w:rPr>
        <w:t xml:space="preserve"> ձախ շրջանային բ</w:t>
      </w:r>
      <w:r>
        <w:rPr>
          <w:rStyle w:val="Bodytext210pt"/>
          <w:sz w:val="24"/>
          <w:szCs w:val="24"/>
        </w:rPr>
        <w:t>եւ</w:t>
      </w:r>
      <w:r w:rsidRPr="00B834A2">
        <w:rPr>
          <w:rStyle w:val="Bodytext210pt"/>
          <w:sz w:val="24"/>
          <w:szCs w:val="24"/>
        </w:rPr>
        <w:t xml:space="preserve">եռացմամբ լույսի կլանման ուղիղ չափմամբ՝ </w:t>
      </w:r>
    </w:p>
    <w:p w14:paraId="375F3D32" w14:textId="77777777" w:rsidR="00B834A2" w:rsidRPr="00B834A2" w:rsidRDefault="00B834A2" w:rsidP="00B834A2">
      <w:pPr>
        <w:pStyle w:val="Bodytext20"/>
        <w:shd w:val="clear" w:color="auto" w:fill="auto"/>
        <w:spacing w:before="0" w:after="160" w:line="360" w:lineRule="auto"/>
        <w:rPr>
          <w:rFonts w:ascii="Sylfaen" w:hAnsi="Sylfaen"/>
          <w:sz w:val="24"/>
          <w:szCs w:val="24"/>
        </w:rPr>
      </w:pPr>
      <w:r w:rsidRPr="00B834A2">
        <w:rPr>
          <w:rStyle w:val="Bodytext210pt5"/>
          <w:spacing w:val="0"/>
          <w:sz w:val="24"/>
          <w:szCs w:val="24"/>
        </w:rPr>
        <w:t>∆A=A</w:t>
      </w:r>
      <w:r w:rsidRPr="00B834A2">
        <w:rPr>
          <w:rStyle w:val="Bodytext210pt5"/>
          <w:spacing w:val="0"/>
          <w:sz w:val="24"/>
          <w:szCs w:val="24"/>
          <w:vertAlign w:val="subscript"/>
        </w:rPr>
        <w:t>L</w:t>
      </w:r>
      <w:r w:rsidRPr="00B834A2">
        <w:rPr>
          <w:rStyle w:val="Bodytext210pt5"/>
          <w:spacing w:val="0"/>
          <w:sz w:val="24"/>
          <w:szCs w:val="24"/>
        </w:rPr>
        <w:t xml:space="preserve"> </w:t>
      </w:r>
      <w:r w:rsidR="002E52D1">
        <w:rPr>
          <w:rStyle w:val="Bodytext210pt5"/>
          <w:spacing w:val="0"/>
          <w:sz w:val="24"/>
          <w:szCs w:val="24"/>
        </w:rPr>
        <w:t>-</w:t>
      </w:r>
      <w:r w:rsidRPr="00B834A2">
        <w:rPr>
          <w:rStyle w:val="Bodytext210pt5"/>
          <w:spacing w:val="0"/>
          <w:sz w:val="24"/>
          <w:szCs w:val="24"/>
        </w:rPr>
        <w:t xml:space="preserve"> A</w:t>
      </w:r>
      <w:r w:rsidRPr="00B834A2">
        <w:rPr>
          <w:rStyle w:val="Bodytext210pt5"/>
          <w:spacing w:val="0"/>
          <w:sz w:val="24"/>
          <w:szCs w:val="24"/>
          <w:vertAlign w:val="subscript"/>
        </w:rPr>
        <w:t>R</w:t>
      </w:r>
      <w:r w:rsidRPr="00B834A2">
        <w:rPr>
          <w:rStyle w:val="Bodytext210pt5"/>
          <w:spacing w:val="0"/>
          <w:sz w:val="24"/>
          <w:szCs w:val="24"/>
        </w:rPr>
        <w:t>,</w:t>
      </w:r>
    </w:p>
    <w:p w14:paraId="5BBB8007" w14:textId="77777777" w:rsidR="006E41D4" w:rsidRPr="00097504" w:rsidRDefault="00B834A2" w:rsidP="006E41D4">
      <w:pPr>
        <w:spacing w:after="160" w:line="360" w:lineRule="auto"/>
        <w:ind w:firstLine="567"/>
        <w:jc w:val="both"/>
        <w:rPr>
          <w:rStyle w:val="Bodytext210pt"/>
          <w:sz w:val="24"/>
          <w:szCs w:val="24"/>
        </w:rPr>
      </w:pPr>
      <w:r w:rsidRPr="00B834A2">
        <w:rPr>
          <w:rStyle w:val="Bodytext210pt"/>
          <w:sz w:val="24"/>
          <w:szCs w:val="24"/>
        </w:rPr>
        <w:t xml:space="preserve">որտեղ՝ </w:t>
      </w:r>
    </w:p>
    <w:p w14:paraId="432B76B7" w14:textId="77777777" w:rsidR="00B834A2" w:rsidRPr="00B834A2" w:rsidRDefault="00B834A2" w:rsidP="006E41D4">
      <w:pPr>
        <w:spacing w:after="160" w:line="360" w:lineRule="auto"/>
        <w:ind w:firstLine="567"/>
        <w:jc w:val="both"/>
      </w:pPr>
      <w:r w:rsidRPr="00B834A2">
        <w:t>A</w:t>
      </w:r>
      <w:r w:rsidRPr="00955E48">
        <w:rPr>
          <w:vertAlign w:val="subscript"/>
        </w:rPr>
        <w:t>L</w:t>
      </w:r>
      <w:r w:rsidRPr="00B834A2">
        <w:t>-ն՝</w:t>
      </w:r>
      <w:r>
        <w:t xml:space="preserve"> </w:t>
      </w:r>
      <w:r w:rsidRPr="00B834A2">
        <w:t>ձախ շրջանային բ</w:t>
      </w:r>
      <w:r>
        <w:t>եւ</w:t>
      </w:r>
      <w:r w:rsidRPr="00B834A2">
        <w:t xml:space="preserve">եռացմամբ լույսի կլանումն է. </w:t>
      </w:r>
    </w:p>
    <w:p w14:paraId="75763314"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А</w:t>
      </w:r>
      <w:r w:rsidRPr="00955E48">
        <w:rPr>
          <w:rFonts w:ascii="Sylfaen" w:hAnsi="Sylfaen"/>
          <w:sz w:val="24"/>
          <w:szCs w:val="24"/>
          <w:vertAlign w:val="subscript"/>
        </w:rPr>
        <w:t>R</w:t>
      </w:r>
      <w:r w:rsidRPr="00B834A2">
        <w:rPr>
          <w:rFonts w:ascii="Sylfaen" w:hAnsi="Sylfaen"/>
          <w:sz w:val="24"/>
          <w:szCs w:val="24"/>
        </w:rPr>
        <w:t>-ը՝ ձախ շրջանային բ</w:t>
      </w:r>
      <w:r>
        <w:rPr>
          <w:rFonts w:ascii="Sylfaen" w:hAnsi="Sylfaen"/>
          <w:sz w:val="24"/>
          <w:szCs w:val="24"/>
        </w:rPr>
        <w:t>եւ</w:t>
      </w:r>
      <w:r w:rsidRPr="00B834A2">
        <w:rPr>
          <w:rFonts w:ascii="Sylfaen" w:hAnsi="Sylfaen"/>
          <w:sz w:val="24"/>
          <w:szCs w:val="24"/>
        </w:rPr>
        <w:t>եռացմամբ լույսի կլանումը:</w:t>
      </w:r>
    </w:p>
    <w:p w14:paraId="529275FC"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Շրջանային երկգունությունը հաշվարկում են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ով՝</w:t>
      </w:r>
    </w:p>
    <w:p w14:paraId="57C517CB" w14:textId="77777777" w:rsidR="00B834A2" w:rsidRPr="00B834A2" w:rsidRDefault="00B834A2" w:rsidP="00B834A2">
      <w:pPr>
        <w:pStyle w:val="Bodytext20"/>
        <w:shd w:val="clear" w:color="auto" w:fill="auto"/>
        <w:spacing w:before="0" w:after="160" w:line="360" w:lineRule="auto"/>
        <w:rPr>
          <w:rStyle w:val="Bodytext210pt"/>
          <w:sz w:val="24"/>
          <w:szCs w:val="24"/>
        </w:rPr>
      </w:pPr>
      <m:oMathPara>
        <m:oMathParaPr>
          <m:jc m:val="center"/>
        </m:oMathParaPr>
        <m:oMath>
          <m:r>
            <w:rPr>
              <w:rStyle w:val="Bodytext210pt"/>
              <w:rFonts w:ascii="Cambria Math" w:hAnsi="Cambria Math"/>
              <w:sz w:val="24"/>
              <w:szCs w:val="24"/>
            </w:rPr>
            <m:t>∆ε=</m:t>
          </m:r>
          <m:sSub>
            <m:sSubPr>
              <m:ctrlPr>
                <w:rPr>
                  <w:rStyle w:val="Bodytext210pt"/>
                  <w:rFonts w:ascii="Cambria Math" w:hAnsi="Cambria Math"/>
                  <w:i/>
                  <w:sz w:val="24"/>
                  <w:szCs w:val="24"/>
                </w:rPr>
              </m:ctrlPr>
            </m:sSubPr>
            <m:e>
              <m:r>
                <w:rPr>
                  <w:rStyle w:val="Bodytext210pt"/>
                  <w:rFonts w:ascii="Cambria Math" w:hAnsi="Cambria Math"/>
                  <w:sz w:val="24"/>
                  <w:szCs w:val="24"/>
                </w:rPr>
                <m:t>ε</m:t>
              </m:r>
            </m:e>
            <m:sub>
              <m:r>
                <w:rPr>
                  <w:rStyle w:val="Bodytext210pt"/>
                  <w:rFonts w:ascii="Cambria Math" w:hAnsi="Cambria Math"/>
                  <w:sz w:val="24"/>
                  <w:szCs w:val="24"/>
                </w:rPr>
                <m:t>L</m:t>
              </m:r>
            </m:sub>
          </m:sSub>
          <m:r>
            <w:rPr>
              <w:rStyle w:val="Bodytext210pt"/>
              <w:rFonts w:ascii="Cambria Math" w:hAnsi="Cambria Math"/>
              <w:sz w:val="24"/>
              <w:szCs w:val="24"/>
            </w:rPr>
            <m:t>-</m:t>
          </m:r>
          <m:sSub>
            <m:sSubPr>
              <m:ctrlPr>
                <w:rPr>
                  <w:rStyle w:val="Bodytext210pt"/>
                  <w:rFonts w:ascii="Cambria Math" w:hAnsi="Cambria Math"/>
                  <w:i/>
                  <w:sz w:val="24"/>
                  <w:szCs w:val="24"/>
                </w:rPr>
              </m:ctrlPr>
            </m:sSubPr>
            <m:e>
              <m:r>
                <w:rPr>
                  <w:rStyle w:val="Bodytext210pt"/>
                  <w:rFonts w:ascii="Cambria Math" w:hAnsi="Cambria Math"/>
                  <w:sz w:val="24"/>
                  <w:szCs w:val="24"/>
                </w:rPr>
                <m:t>ε</m:t>
              </m:r>
            </m:e>
            <m:sub>
              <m:r>
                <w:rPr>
                  <w:rStyle w:val="Bodytext210pt"/>
                  <w:rFonts w:ascii="Cambria Math" w:hAnsi="Cambria Math"/>
                  <w:sz w:val="24"/>
                  <w:szCs w:val="24"/>
                </w:rPr>
                <m:t>R</m:t>
              </m:r>
            </m:sub>
          </m:sSub>
          <m:f>
            <m:fPr>
              <m:ctrlPr>
                <w:rPr>
                  <w:rStyle w:val="Bodytext210pt"/>
                  <w:rFonts w:ascii="Cambria Math" w:hAnsi="Cambria Math"/>
                  <w:i/>
                  <w:sz w:val="24"/>
                  <w:szCs w:val="24"/>
                </w:rPr>
              </m:ctrlPr>
            </m:fPr>
            <m:num>
              <m:r>
                <w:rPr>
                  <w:rStyle w:val="Bodytext210pt"/>
                  <w:rFonts w:ascii="Cambria Math" w:hAnsi="Cambria Math"/>
                  <w:sz w:val="24"/>
                  <w:szCs w:val="24"/>
                </w:rPr>
                <m:t>∆A</m:t>
              </m:r>
            </m:num>
            <m:den>
              <m:r>
                <w:rPr>
                  <w:rStyle w:val="Bodytext210pt"/>
                  <w:rFonts w:ascii="Cambria Math" w:hAnsi="Cambria Math"/>
                  <w:sz w:val="24"/>
                  <w:szCs w:val="24"/>
                </w:rPr>
                <m:t>c∙l</m:t>
              </m:r>
            </m:den>
          </m:f>
          <m:r>
            <w:rPr>
              <w:rStyle w:val="Bodytext210pt"/>
              <w:rFonts w:ascii="Cambria Math" w:hAnsi="Cambria Math"/>
              <w:sz w:val="24"/>
              <w:szCs w:val="24"/>
            </w:rPr>
            <m:t>,</m:t>
          </m:r>
        </m:oMath>
      </m:oMathPara>
    </w:p>
    <w:p w14:paraId="3F2E9905" w14:textId="77777777" w:rsidR="006E41D4" w:rsidRPr="00097504" w:rsidRDefault="00B834A2" w:rsidP="006E41D4">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lastRenderedPageBreak/>
        <w:t xml:space="preserve">որտեղ՝ </w:t>
      </w:r>
    </w:p>
    <w:p w14:paraId="79B11939"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w:t>
      </w:r>
      <w:r w:rsidRPr="00123D1A">
        <w:rPr>
          <w:rStyle w:val="Bodytext210pt"/>
          <w:i/>
          <w:sz w:val="24"/>
          <w:szCs w:val="24"/>
          <w:vertAlign w:val="subscript"/>
        </w:rPr>
        <w:t>ε</w:t>
      </w:r>
      <w:r w:rsidRPr="00B834A2">
        <w:rPr>
          <w:rStyle w:val="Bodytext210pt"/>
          <w:sz w:val="24"/>
          <w:szCs w:val="24"/>
        </w:rPr>
        <w:t>-ն՝ մոլային շրջանային երկգունություն կամ կլանման մոլային դիֆերենցիալ երկգունային գործակիցն է, լ-մոլ</w:t>
      </w:r>
      <w:r w:rsidRPr="00B834A2">
        <w:rPr>
          <w:rStyle w:val="Bodytext210pt"/>
          <w:sz w:val="24"/>
          <w:szCs w:val="24"/>
          <w:vertAlign w:val="superscript"/>
        </w:rPr>
        <w:t>-1</w:t>
      </w:r>
      <w:r w:rsidRPr="00B834A2">
        <w:rPr>
          <w:rStyle w:val="Bodytext210pt"/>
          <w:sz w:val="24"/>
          <w:szCs w:val="24"/>
        </w:rPr>
        <w:t>-սմ</w:t>
      </w:r>
      <w:r w:rsidRPr="00B834A2">
        <w:rPr>
          <w:rStyle w:val="Bodytext210pt"/>
          <w:sz w:val="24"/>
          <w:szCs w:val="24"/>
          <w:vertAlign w:val="superscript"/>
        </w:rPr>
        <w:t>-1</w:t>
      </w:r>
      <w:r w:rsidRPr="00B834A2">
        <w:rPr>
          <w:rStyle w:val="Bodytext210pt"/>
          <w:sz w:val="24"/>
          <w:szCs w:val="24"/>
        </w:rPr>
        <w:t>.</w:t>
      </w:r>
    </w:p>
    <w:p w14:paraId="1A2199B1"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955E48">
        <w:rPr>
          <w:rFonts w:ascii="Sylfaen" w:hAnsi="Sylfaen"/>
          <w:sz w:val="24"/>
          <w:szCs w:val="24"/>
        </w:rPr>
        <w:t>ε</w:t>
      </w:r>
      <w:r w:rsidRPr="00123D1A">
        <w:rPr>
          <w:rFonts w:ascii="Sylfaen" w:hAnsi="Sylfaen"/>
          <w:i/>
          <w:sz w:val="24"/>
          <w:szCs w:val="24"/>
          <w:vertAlign w:val="subscript"/>
        </w:rPr>
        <w:t>L</w:t>
      </w:r>
      <w:r w:rsidRPr="00B834A2">
        <w:rPr>
          <w:rFonts w:ascii="Sylfaen" w:hAnsi="Sylfaen"/>
          <w:sz w:val="24"/>
          <w:szCs w:val="24"/>
        </w:rPr>
        <w:t>-ն՝</w:t>
      </w:r>
      <w:r>
        <w:rPr>
          <w:rFonts w:ascii="Sylfaen" w:hAnsi="Sylfaen"/>
          <w:sz w:val="24"/>
          <w:szCs w:val="24"/>
        </w:rPr>
        <w:t xml:space="preserve"> </w:t>
      </w:r>
      <w:r w:rsidRPr="00B834A2">
        <w:rPr>
          <w:rFonts w:ascii="Sylfaen" w:hAnsi="Sylfaen"/>
          <w:sz w:val="24"/>
          <w:szCs w:val="24"/>
        </w:rPr>
        <w:t>ձախ շրջանային բ</w:t>
      </w:r>
      <w:r>
        <w:rPr>
          <w:rFonts w:ascii="Sylfaen" w:hAnsi="Sylfaen"/>
          <w:sz w:val="24"/>
          <w:szCs w:val="24"/>
        </w:rPr>
        <w:t>եւ</w:t>
      </w:r>
      <w:r w:rsidRPr="00B834A2">
        <w:rPr>
          <w:rFonts w:ascii="Sylfaen" w:hAnsi="Sylfaen"/>
          <w:sz w:val="24"/>
          <w:szCs w:val="24"/>
        </w:rPr>
        <w:t xml:space="preserve">եռացմամբ լույսի համար կլանման մոլային գործակիցը (2.1.2.24). </w:t>
      </w:r>
    </w:p>
    <w:p w14:paraId="1611EA0E"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ε</w:t>
      </w:r>
      <w:r w:rsidRPr="00123D1A">
        <w:rPr>
          <w:rFonts w:ascii="Sylfaen" w:hAnsi="Sylfaen"/>
          <w:i/>
          <w:sz w:val="24"/>
          <w:szCs w:val="24"/>
          <w:vertAlign w:val="subscript"/>
        </w:rPr>
        <w:t>r</w:t>
      </w:r>
      <w:r w:rsidRPr="00B834A2">
        <w:rPr>
          <w:rFonts w:ascii="Sylfaen" w:hAnsi="Sylfaen"/>
          <w:sz w:val="24"/>
          <w:szCs w:val="24"/>
        </w:rPr>
        <w:t>-ն՝ աջ շրջանային բ</w:t>
      </w:r>
      <w:r>
        <w:rPr>
          <w:rFonts w:ascii="Sylfaen" w:hAnsi="Sylfaen"/>
          <w:sz w:val="24"/>
          <w:szCs w:val="24"/>
        </w:rPr>
        <w:t>եւ</w:t>
      </w:r>
      <w:r w:rsidRPr="00B834A2">
        <w:rPr>
          <w:rFonts w:ascii="Sylfaen" w:hAnsi="Sylfaen"/>
          <w:sz w:val="24"/>
          <w:szCs w:val="24"/>
        </w:rPr>
        <w:t xml:space="preserve">եռացմամբ լույսի համար կլանման մոլային գործակիցը. </w:t>
      </w:r>
    </w:p>
    <w:p w14:paraId="484CCAE4"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c-ն՝ փորձարկվող լուծույթում նյութի մոլային կոնցենտրացիան, մոլ-լ</w:t>
      </w:r>
      <w:r w:rsidRPr="00B834A2">
        <w:rPr>
          <w:rFonts w:ascii="Sylfaen" w:hAnsi="Sylfaen"/>
          <w:sz w:val="24"/>
          <w:szCs w:val="24"/>
          <w:vertAlign w:val="superscript"/>
        </w:rPr>
        <w:t>-1</w:t>
      </w:r>
      <w:r w:rsidRPr="00B834A2">
        <w:rPr>
          <w:rFonts w:ascii="Sylfaen" w:hAnsi="Sylfaen"/>
          <w:sz w:val="24"/>
          <w:szCs w:val="24"/>
        </w:rPr>
        <w:t>.</w:t>
      </w:r>
    </w:p>
    <w:p w14:paraId="45106252"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m:oMath>
        <m:r>
          <w:rPr>
            <w:rStyle w:val="Bodytext210pt"/>
            <w:rFonts w:ascii="Cambria Math" w:hAnsi="Cambria Math"/>
            <w:sz w:val="24"/>
            <w:szCs w:val="24"/>
          </w:rPr>
          <m:t>l-ն</m:t>
        </m:r>
      </m:oMath>
      <w:r w:rsidRPr="00B834A2">
        <w:rPr>
          <w:rStyle w:val="Bodytext210pt"/>
          <w:sz w:val="24"/>
          <w:szCs w:val="24"/>
        </w:rPr>
        <w:t xml:space="preserve"> ՝ օպտիկական ուղու երկարությունը, սմ: </w:t>
      </w:r>
    </w:p>
    <w:p w14:paraId="2098C74C"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Շրջանային երկգունության բնութագրի համար կարող են օգտագործվել հետ</w:t>
      </w:r>
      <w:r>
        <w:rPr>
          <w:rStyle w:val="Bodytext210pt"/>
          <w:sz w:val="24"/>
          <w:szCs w:val="24"/>
        </w:rPr>
        <w:t>եւ</w:t>
      </w:r>
      <w:r w:rsidRPr="00B834A2">
        <w:rPr>
          <w:rStyle w:val="Bodytext210pt"/>
          <w:sz w:val="24"/>
          <w:szCs w:val="24"/>
        </w:rPr>
        <w:t xml:space="preserve">յալ մեծությունները՝ </w:t>
      </w:r>
    </w:p>
    <w:p w14:paraId="20226A7B"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Դիսիմետրիայի գործակից՝</w:t>
      </w:r>
    </w:p>
    <w:p w14:paraId="635BA92D" w14:textId="77777777" w:rsidR="00B834A2" w:rsidRPr="00B834A2" w:rsidRDefault="00B834A2" w:rsidP="00B834A2">
      <w:pPr>
        <w:pStyle w:val="Bodytext20"/>
        <w:shd w:val="clear" w:color="auto" w:fill="auto"/>
        <w:spacing w:before="0" w:after="160" w:line="360" w:lineRule="auto"/>
        <w:rPr>
          <w:rFonts w:ascii="Sylfaen" w:hAnsi="Sylfaen"/>
          <w:i/>
          <w:sz w:val="24"/>
          <w:szCs w:val="24"/>
        </w:rPr>
      </w:pPr>
      <m:oMath>
        <m:r>
          <w:rPr>
            <w:rFonts w:ascii="Cambria Math" w:hAnsi="Cambria Math"/>
            <w:sz w:val="24"/>
            <w:szCs w:val="24"/>
          </w:rPr>
          <m:t>g=</m:t>
        </m:r>
        <m:f>
          <m:fPr>
            <m:ctrlPr>
              <w:rPr>
                <w:rFonts w:ascii="Cambria Math" w:hAnsi="Cambria Math"/>
                <w:i/>
                <w:sz w:val="24"/>
                <w:szCs w:val="24"/>
              </w:rPr>
            </m:ctrlPr>
          </m:fPr>
          <m:num>
            <m:r>
              <w:rPr>
                <w:rFonts w:ascii="Cambria Math" w:hAnsi="Cambria Math"/>
                <w:sz w:val="24"/>
                <w:szCs w:val="24"/>
              </w:rPr>
              <m:t>∆ε</m:t>
            </m:r>
          </m:num>
          <m:den>
            <m:r>
              <w:rPr>
                <w:rFonts w:ascii="Cambria Math" w:hAnsi="Cambria Math"/>
                <w:sz w:val="24"/>
                <w:szCs w:val="24"/>
              </w:rPr>
              <m:t>ε</m:t>
            </m:r>
          </m:den>
        </m:f>
      </m:oMath>
      <w:r w:rsidRPr="00B834A2">
        <w:rPr>
          <w:rFonts w:ascii="Sylfaen" w:hAnsi="Sylfaen"/>
          <w:i/>
          <w:sz w:val="24"/>
          <w:szCs w:val="24"/>
        </w:rPr>
        <w:t>,</w:t>
      </w:r>
    </w:p>
    <w:p w14:paraId="4E7621E7" w14:textId="77777777" w:rsidR="006E41D4" w:rsidRPr="00097504" w:rsidRDefault="00B834A2" w:rsidP="006E41D4">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որտեղ՝ </w:t>
      </w:r>
    </w:p>
    <w:p w14:paraId="24FF6CBE"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ε-ն՝ կլանման մոլային գործակիցն է С</w:t>
      </w:r>
      <w:r w:rsidR="00123D1A" w:rsidRPr="00123D1A">
        <w:rPr>
          <w:rFonts w:ascii="Sylfaen" w:hAnsi="Sylfaen"/>
          <w:sz w:val="24"/>
          <w:szCs w:val="24"/>
        </w:rPr>
        <w:t xml:space="preserve"> (</w:t>
      </w:r>
      <w:r w:rsidRPr="00B834A2">
        <w:rPr>
          <w:rFonts w:ascii="Sylfaen" w:hAnsi="Sylfaen"/>
          <w:sz w:val="24"/>
          <w:szCs w:val="24"/>
        </w:rPr>
        <w:t>2.1.2.24):</w:t>
      </w:r>
    </w:p>
    <w:p w14:paraId="75FB75FC"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Մոլային էլիպսայնություն՝</w:t>
      </w:r>
    </w:p>
    <w:p w14:paraId="4AEA30E5"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Մոլային էլիպսայնություն է կոչվում օպտիկական ուղու 1 մ երկարության դեպքում օպտիկապես ակտիվ նյութի 1 М լուծույթի համար աստիճաններով՝ անկյան մեծությունը: Մոլային էլիպսայնությունը կարող է հաշվարկվել էլիպսայնության մեծությունը աստիճաններով անմիջականորեն չափող սարքերի (երկգունագրերի) ցուցմունքներով՝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 xml:space="preserve">ով՝ </w:t>
      </w:r>
    </w:p>
    <w:p w14:paraId="15628DD9" w14:textId="77777777" w:rsidR="00B834A2" w:rsidRPr="00B834A2" w:rsidRDefault="00000000" w:rsidP="00B834A2">
      <w:pPr>
        <w:pStyle w:val="Bodytext20"/>
        <w:shd w:val="clear" w:color="auto" w:fill="auto"/>
        <w:spacing w:before="0" w:after="160" w:line="360" w:lineRule="auto"/>
        <w:rPr>
          <w:rStyle w:val="Bodytext210pt4"/>
          <w:spacing w:val="0"/>
          <w:sz w:val="24"/>
          <w:szCs w:val="24"/>
        </w:rPr>
      </w:pPr>
      <m:oMath>
        <m:d>
          <m:dPr>
            <m:begChr m:val="["/>
            <m:endChr m:val="]"/>
            <m:ctrlPr>
              <w:rPr>
                <w:rStyle w:val="Bodytext210pt4"/>
                <w:rFonts w:ascii="Cambria Math" w:hAnsi="Cambria Math"/>
                <w:i/>
                <w:spacing w:val="0"/>
                <w:sz w:val="24"/>
                <w:szCs w:val="24"/>
              </w:rPr>
            </m:ctrlPr>
          </m:dPr>
          <m:e>
            <m:r>
              <m:rPr>
                <m:sty m:val="p"/>
              </m:rPr>
              <w:rPr>
                <w:rStyle w:val="Bodytext210pt4"/>
                <w:rFonts w:ascii="Cambria Math" w:hAnsi="Cambria Math"/>
                <w:spacing w:val="0"/>
                <w:sz w:val="24"/>
                <w:szCs w:val="24"/>
              </w:rPr>
              <m:t>Θ</m:t>
            </m:r>
          </m:e>
        </m:d>
        <m:r>
          <w:rPr>
            <w:rStyle w:val="Bodytext210pt4"/>
            <w:rFonts w:ascii="Cambria Math" w:hAnsi="Cambria Math"/>
            <w:spacing w:val="0"/>
            <w:sz w:val="24"/>
            <w:szCs w:val="24"/>
          </w:rPr>
          <m:t>=</m:t>
        </m:r>
        <m:f>
          <m:fPr>
            <m:ctrlPr>
              <w:rPr>
                <w:rStyle w:val="Bodytext210pt4"/>
                <w:rFonts w:ascii="Cambria Math" w:hAnsi="Cambria Math"/>
                <w:i/>
                <w:spacing w:val="0"/>
                <w:sz w:val="24"/>
                <w:szCs w:val="24"/>
              </w:rPr>
            </m:ctrlPr>
          </m:fPr>
          <m:num>
            <m:r>
              <m:rPr>
                <m:sty m:val="p"/>
              </m:rPr>
              <w:rPr>
                <w:rStyle w:val="Bodytext210pt4"/>
                <w:rFonts w:ascii="Cambria Math" w:hAnsi="Cambria Math"/>
                <w:spacing w:val="0"/>
                <w:sz w:val="24"/>
                <w:szCs w:val="24"/>
              </w:rPr>
              <m:t>Θ</m:t>
            </m:r>
            <m:r>
              <w:rPr>
                <w:rStyle w:val="Bodytext210pt4"/>
                <w:rFonts w:ascii="Cambria Math" w:hAnsi="Cambria Math"/>
                <w:spacing w:val="0"/>
                <w:sz w:val="24"/>
                <w:szCs w:val="24"/>
              </w:rPr>
              <m:t>∙M</m:t>
            </m:r>
          </m:num>
          <m:den>
            <m:r>
              <w:rPr>
                <w:rStyle w:val="Bodytext210pt4"/>
                <w:rFonts w:ascii="Cambria Math" w:hAnsi="Cambria Math"/>
                <w:spacing w:val="0"/>
                <w:sz w:val="24"/>
                <w:szCs w:val="24"/>
              </w:rPr>
              <m:t>c∙l∙10</m:t>
            </m:r>
          </m:den>
        </m:f>
      </m:oMath>
      <w:r w:rsidR="00B834A2" w:rsidRPr="00B834A2">
        <w:rPr>
          <w:rStyle w:val="Bodytext210pt4"/>
          <w:spacing w:val="0"/>
          <w:sz w:val="24"/>
          <w:szCs w:val="24"/>
        </w:rPr>
        <w:t xml:space="preserve"> ,</w:t>
      </w:r>
    </w:p>
    <w:p w14:paraId="00E86A58" w14:textId="77777777" w:rsidR="00955E48" w:rsidRPr="00097504" w:rsidRDefault="00B834A2" w:rsidP="006E41D4">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որտեղ՝ </w:t>
      </w:r>
    </w:p>
    <w:p w14:paraId="6F446165"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vertAlign w:val="superscript"/>
        </w:rPr>
      </w:pPr>
      <w:r w:rsidRPr="00B834A2">
        <w:rPr>
          <w:rStyle w:val="Bodytext210pt"/>
          <w:sz w:val="24"/>
          <w:szCs w:val="24"/>
        </w:rPr>
        <w:t>[</w:t>
      </w:r>
      <m:oMath>
        <m:r>
          <m:rPr>
            <m:sty m:val="p"/>
          </m:rPr>
          <w:rPr>
            <w:rStyle w:val="Bodytext210pt4"/>
            <w:rFonts w:ascii="Cambria Math" w:hAnsi="Cambria Math"/>
            <w:spacing w:val="0"/>
            <w:sz w:val="24"/>
            <w:szCs w:val="24"/>
          </w:rPr>
          <m:t>Θ</m:t>
        </m:r>
      </m:oMath>
      <w:r w:rsidRPr="00B834A2">
        <w:rPr>
          <w:rStyle w:val="Bodytext210pt"/>
          <w:sz w:val="24"/>
          <w:szCs w:val="24"/>
        </w:rPr>
        <w:t>]-ը՝ մոլային էլիպսայնությունն է. աստիճան • սմ</w:t>
      </w:r>
      <w:r w:rsidRPr="00B834A2">
        <w:rPr>
          <w:rStyle w:val="Bodytext210pt"/>
          <w:sz w:val="24"/>
          <w:szCs w:val="24"/>
          <w:vertAlign w:val="superscript"/>
        </w:rPr>
        <w:t xml:space="preserve">2 </w:t>
      </w:r>
      <w:r w:rsidRPr="00B834A2">
        <w:rPr>
          <w:rStyle w:val="Bodytext210pt"/>
          <w:sz w:val="24"/>
          <w:szCs w:val="24"/>
        </w:rPr>
        <w:t>• դմոլ</w:t>
      </w:r>
      <w:r w:rsidRPr="00B834A2">
        <w:rPr>
          <w:rStyle w:val="Bodytext210pt"/>
          <w:sz w:val="24"/>
          <w:szCs w:val="24"/>
          <w:vertAlign w:val="superscript"/>
        </w:rPr>
        <w:t>-1.</w:t>
      </w:r>
    </w:p>
    <w:p w14:paraId="2D595F12" w14:textId="77777777" w:rsidR="00B834A2" w:rsidRPr="00B834A2" w:rsidRDefault="00530993" w:rsidP="006E41D4">
      <w:pPr>
        <w:pStyle w:val="Bodytext20"/>
        <w:shd w:val="clear" w:color="auto" w:fill="auto"/>
        <w:spacing w:before="0" w:after="160" w:line="360" w:lineRule="auto"/>
        <w:ind w:firstLine="567"/>
        <w:jc w:val="both"/>
        <w:rPr>
          <w:rFonts w:ascii="Sylfaen" w:hAnsi="Sylfaen"/>
          <w:sz w:val="24"/>
          <w:szCs w:val="24"/>
        </w:rPr>
      </w:pPr>
      <m:oMath>
        <m:r>
          <m:rPr>
            <m:sty m:val="p"/>
          </m:rPr>
          <w:rPr>
            <w:rStyle w:val="Bodytext210pt4"/>
            <w:rFonts w:ascii="Cambria Math" w:hAnsi="Cambria Math"/>
            <w:spacing w:val="0"/>
            <w:sz w:val="24"/>
            <w:szCs w:val="24"/>
          </w:rPr>
          <w:lastRenderedPageBreak/>
          <m:t>Θ</m:t>
        </m:r>
      </m:oMath>
      <w:r w:rsidR="00B834A2" w:rsidRPr="00B834A2">
        <w:rPr>
          <w:rFonts w:ascii="Sylfaen" w:hAnsi="Sylfaen"/>
          <w:sz w:val="24"/>
          <w:szCs w:val="24"/>
        </w:rPr>
        <w:t xml:space="preserve">-ը՝ սարքով ցույց տրվող էլիպսայնության արժեքը. </w:t>
      </w:r>
    </w:p>
    <w:p w14:paraId="58A112D3"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М-ն՝ փորձարկվող նյութի մոլային զանգվածը. </w:t>
      </w:r>
    </w:p>
    <w:p w14:paraId="365C07F6" w14:textId="77777777" w:rsidR="00B834A2" w:rsidRPr="00B834A2" w:rsidRDefault="00B834A2" w:rsidP="006E41D4">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c-ն՝ փորձարկվող լուծույթում նյութի զանգվածային կոնցենտրացիան, գ•մլ</w:t>
      </w:r>
      <w:r w:rsidRPr="00B834A2">
        <w:rPr>
          <w:rStyle w:val="Bodytext210pt"/>
          <w:sz w:val="24"/>
          <w:szCs w:val="24"/>
          <w:vertAlign w:val="superscript"/>
        </w:rPr>
        <w:t>-1.</w:t>
      </w:r>
    </w:p>
    <w:p w14:paraId="03AA4402" w14:textId="77777777" w:rsidR="00B834A2" w:rsidRPr="00B834A2" w:rsidRDefault="00B834A2" w:rsidP="006E41D4">
      <w:pPr>
        <w:spacing w:after="160" w:line="360" w:lineRule="auto"/>
        <w:ind w:firstLine="567"/>
        <w:jc w:val="both"/>
        <w:rPr>
          <w:rStyle w:val="Bodytext210pt"/>
          <w:sz w:val="24"/>
          <w:szCs w:val="24"/>
        </w:rPr>
      </w:pPr>
      <m:oMath>
        <m:r>
          <w:rPr>
            <w:rStyle w:val="Bodytext210pt4"/>
            <w:rFonts w:ascii="Cambria Math" w:hAnsi="Cambria Math"/>
            <w:spacing w:val="0"/>
            <w:sz w:val="24"/>
            <w:szCs w:val="24"/>
          </w:rPr>
          <m:t>l</m:t>
        </m:r>
      </m:oMath>
      <w:r w:rsidRPr="00B834A2">
        <w:rPr>
          <w:i/>
        </w:rPr>
        <w:t xml:space="preserve"> -ն</w:t>
      </w:r>
      <w:r w:rsidRPr="00B834A2">
        <w:rPr>
          <w:rStyle w:val="Bodytext210pt"/>
          <w:sz w:val="24"/>
          <w:szCs w:val="24"/>
        </w:rPr>
        <w:t>՝</w:t>
      </w:r>
      <w:r>
        <w:rPr>
          <w:rStyle w:val="Bodytext210pt"/>
          <w:sz w:val="24"/>
          <w:szCs w:val="24"/>
        </w:rPr>
        <w:t xml:space="preserve"> </w:t>
      </w:r>
      <w:r w:rsidRPr="00B834A2">
        <w:rPr>
          <w:rStyle w:val="Bodytext210pt"/>
          <w:sz w:val="24"/>
          <w:szCs w:val="24"/>
        </w:rPr>
        <w:t xml:space="preserve">օպտիկական ուղու երկարությունը, սմ: </w:t>
      </w:r>
    </w:p>
    <w:p w14:paraId="35FFB9D3" w14:textId="77777777" w:rsidR="00B834A2" w:rsidRPr="00B834A2" w:rsidRDefault="00B834A2" w:rsidP="006E41D4">
      <w:pPr>
        <w:spacing w:after="160" w:line="360" w:lineRule="auto"/>
        <w:ind w:firstLine="567"/>
        <w:jc w:val="both"/>
      </w:pPr>
      <w:r w:rsidRPr="00B834A2">
        <w:rPr>
          <w:rStyle w:val="Bodytext210pt"/>
          <w:sz w:val="24"/>
          <w:szCs w:val="24"/>
        </w:rPr>
        <w:t>Մոլային էլիպսայնությունը նույնպես կապված է մոլային շրջանային երկգունության հետ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 xml:space="preserve">ով՝ </w:t>
      </w:r>
    </w:p>
    <w:p w14:paraId="2E8896DD" w14:textId="77777777" w:rsidR="00B834A2" w:rsidRPr="00B834A2" w:rsidRDefault="00B834A2" w:rsidP="00B834A2">
      <w:pPr>
        <w:spacing w:after="160" w:line="360" w:lineRule="auto"/>
      </w:pPr>
    </w:p>
    <w:p w14:paraId="49107380" w14:textId="77777777" w:rsidR="00B834A2" w:rsidRPr="00B834A2" w:rsidRDefault="00B834A2" w:rsidP="00B834A2">
      <w:pPr>
        <w:spacing w:after="160" w:line="360" w:lineRule="auto"/>
        <w:jc w:val="center"/>
      </w:pPr>
      <w:r w:rsidRPr="00B834A2">
        <w:rPr>
          <w:noProof/>
          <w:lang w:val="en-US" w:eastAsia="en-US" w:bidi="ar-SA"/>
        </w:rPr>
        <w:drawing>
          <wp:inline distT="0" distB="0" distL="0" distR="0" wp14:anchorId="53AE2560" wp14:editId="5ADCAEC3">
            <wp:extent cx="5949315" cy="2351405"/>
            <wp:effectExtent l="19050" t="0" r="0" b="0"/>
            <wp:docPr id="5" name="Picture 5" descr="D:\2 VERSION\14.07.115-0003-2023-B_for final formatting\02.2023\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 VERSION\14.07.115-0003-2023-B_for final formatting\02.2023\media\image3.jpeg"/>
                    <pic:cNvPicPr>
                      <a:picLocks noChangeAspect="1" noChangeArrowheads="1"/>
                    </pic:cNvPicPr>
                  </pic:nvPicPr>
                  <pic:blipFill>
                    <a:blip r:embed="rId15" cstate="print"/>
                    <a:srcRect/>
                    <a:stretch>
                      <a:fillRect/>
                    </a:stretch>
                  </pic:blipFill>
                  <pic:spPr bwMode="auto">
                    <a:xfrm>
                      <a:off x="0" y="0"/>
                      <a:ext cx="5949315" cy="2351405"/>
                    </a:xfrm>
                    <a:prstGeom prst="rect">
                      <a:avLst/>
                    </a:prstGeom>
                    <a:noFill/>
                    <a:ln w="9525">
                      <a:noFill/>
                      <a:miter lim="800000"/>
                      <a:headEnd/>
                      <a:tailEnd/>
                    </a:ln>
                  </pic:spPr>
                </pic:pic>
              </a:graphicData>
            </a:graphic>
          </wp:inline>
        </w:drawing>
      </w:r>
    </w:p>
    <w:p w14:paraId="172BDFD3" w14:textId="77777777" w:rsidR="00B834A2" w:rsidRPr="00955E48" w:rsidRDefault="00B834A2" w:rsidP="00A4015E">
      <w:pPr>
        <w:pStyle w:val="Picturecaption30"/>
        <w:shd w:val="clear" w:color="auto" w:fill="auto"/>
        <w:spacing w:after="160" w:line="360" w:lineRule="auto"/>
        <w:jc w:val="center"/>
        <w:rPr>
          <w:sz w:val="20"/>
          <w:szCs w:val="24"/>
        </w:rPr>
      </w:pPr>
      <w:r w:rsidRPr="00955E48">
        <w:rPr>
          <w:rStyle w:val="Picturecaption310pt"/>
          <w:szCs w:val="24"/>
        </w:rPr>
        <w:t xml:space="preserve">Նկար 2.1.2.50.-1՝ </w:t>
      </w:r>
      <w:r w:rsidRPr="00955E48">
        <w:rPr>
          <w:sz w:val="20"/>
          <w:szCs w:val="24"/>
        </w:rPr>
        <w:t>Երկգունագրի օպտիկական սխեմա</w:t>
      </w:r>
    </w:p>
    <w:p w14:paraId="093671D4" w14:textId="77777777" w:rsidR="00B834A2" w:rsidRPr="00B834A2" w:rsidRDefault="00B834A2" w:rsidP="00B834A2">
      <w:pPr>
        <w:spacing w:after="160" w:line="360" w:lineRule="auto"/>
      </w:pPr>
    </w:p>
    <w:p w14:paraId="08B99322" w14:textId="77777777" w:rsidR="00B834A2" w:rsidRPr="00B834A2" w:rsidRDefault="00B834A2" w:rsidP="00B834A2">
      <w:pPr>
        <w:pStyle w:val="Bodytext20"/>
        <w:shd w:val="clear" w:color="auto" w:fill="auto"/>
        <w:spacing w:before="0" w:after="160" w:line="360" w:lineRule="auto"/>
        <w:rPr>
          <w:rStyle w:val="Bodytext210pt"/>
          <w:sz w:val="24"/>
          <w:szCs w:val="24"/>
        </w:rPr>
      </w:pPr>
      <m:oMathPara>
        <m:oMath>
          <m:r>
            <m:rPr>
              <m:sty m:val="p"/>
            </m:rPr>
            <w:rPr>
              <w:rStyle w:val="Bodytext210pt"/>
              <w:rFonts w:ascii="Cambria Math" w:hAnsi="Cambria Math"/>
              <w:sz w:val="24"/>
              <w:szCs w:val="24"/>
            </w:rPr>
            <m:t>Θ</m:t>
          </m:r>
          <m:r>
            <w:rPr>
              <w:rStyle w:val="Bodytext210pt"/>
              <w:rFonts w:ascii="Cambria Math" w:hAnsi="Cambria Math"/>
              <w:sz w:val="24"/>
              <w:szCs w:val="24"/>
            </w:rPr>
            <m:t>=2,303∆ε</m:t>
          </m:r>
          <m:f>
            <m:fPr>
              <m:ctrlPr>
                <w:rPr>
                  <w:rStyle w:val="Bodytext210pt"/>
                  <w:rFonts w:ascii="Cambria Math" w:hAnsi="Cambria Math"/>
                  <w:i/>
                  <w:sz w:val="24"/>
                  <w:szCs w:val="24"/>
                </w:rPr>
              </m:ctrlPr>
            </m:fPr>
            <m:num>
              <m:r>
                <w:rPr>
                  <w:rStyle w:val="Bodytext210pt"/>
                  <w:rFonts w:ascii="Cambria Math" w:hAnsi="Cambria Math"/>
                  <w:sz w:val="24"/>
                  <w:szCs w:val="24"/>
                </w:rPr>
                <m:t>4500</m:t>
              </m:r>
            </m:num>
            <m:den>
              <m:r>
                <w:rPr>
                  <w:rStyle w:val="Bodytext210pt"/>
                  <w:rFonts w:ascii="Cambria Math" w:hAnsi="Cambria Math"/>
                  <w:sz w:val="24"/>
                  <w:szCs w:val="24"/>
                </w:rPr>
                <m:t>π</m:t>
              </m:r>
            </m:den>
          </m:f>
          <m:r>
            <w:rPr>
              <w:rStyle w:val="Bodytext210pt"/>
              <w:rFonts w:ascii="Cambria Math" w:hAnsi="Cambria Math"/>
              <w:sz w:val="24"/>
              <w:szCs w:val="24"/>
            </w:rPr>
            <m:t>≈3300∆ε,</m:t>
          </m:r>
        </m:oMath>
      </m:oMathPara>
    </w:p>
    <w:p w14:paraId="524E2CE8"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Մոլային էլիպսայնությունը հաճախ օգտագործվում է սպիտակուցների </w:t>
      </w:r>
      <w:r>
        <w:rPr>
          <w:rStyle w:val="Bodytext210pt"/>
          <w:sz w:val="24"/>
          <w:szCs w:val="24"/>
        </w:rPr>
        <w:t>եւ</w:t>
      </w:r>
      <w:r w:rsidRPr="00B834A2">
        <w:rPr>
          <w:rStyle w:val="Bodytext210pt"/>
          <w:sz w:val="24"/>
          <w:szCs w:val="24"/>
        </w:rPr>
        <w:t xml:space="preserve"> նուկլեինաթթուների անալիզի ժամանակ: Այդ դեպքում լուծույթի մոլային կոնցենտրացիան հաշվարկում են՝ հաշվի առնելով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ով գտնված՝ սպիտակուցի կամ նուկլեինաթթվի տարրական օղակի միջին հարաբերական մոլեկուլային զանգվածը՝</w:t>
      </w:r>
      <w:r>
        <w:rPr>
          <w:rStyle w:val="Bodytext210pt"/>
          <w:sz w:val="24"/>
          <w:szCs w:val="24"/>
        </w:rPr>
        <w:t xml:space="preserve"> </w:t>
      </w:r>
    </w:p>
    <w:p w14:paraId="1C1DAAE8" w14:textId="77777777" w:rsidR="00B834A2" w:rsidRPr="00B834A2" w:rsidRDefault="00000000" w:rsidP="00B834A2">
      <w:pPr>
        <w:pStyle w:val="Bodytext20"/>
        <w:shd w:val="clear" w:color="auto" w:fill="auto"/>
        <w:spacing w:before="0" w:after="160" w:line="360" w:lineRule="auto"/>
        <w:jc w:val="left"/>
        <w:rPr>
          <w:rStyle w:val="Bodytext210pt"/>
          <w:sz w:val="24"/>
          <w:szCs w:val="24"/>
        </w:rPr>
      </w:pPr>
      <m:oMathPara>
        <m:oMath>
          <m:f>
            <m:fPr>
              <m:ctrlPr>
                <w:rPr>
                  <w:rStyle w:val="Bodytext210pt"/>
                  <w:rFonts w:ascii="Cambria Math" w:hAnsi="Cambria Math"/>
                  <w:i/>
                  <w:sz w:val="24"/>
                  <w:szCs w:val="24"/>
                </w:rPr>
              </m:ctrlPr>
            </m:fPr>
            <m:num>
              <m:sSub>
                <m:sSubPr>
                  <m:ctrlPr>
                    <w:rPr>
                      <w:rStyle w:val="Bodytext210pt"/>
                      <w:rFonts w:ascii="Cambria Math" w:hAnsi="Cambria Math"/>
                      <w:i/>
                      <w:sz w:val="24"/>
                      <w:szCs w:val="24"/>
                    </w:rPr>
                  </m:ctrlPr>
                </m:sSubPr>
                <m:e>
                  <m:r>
                    <w:rPr>
                      <w:rStyle w:val="Bodytext210pt"/>
                      <w:rFonts w:ascii="Cambria Math" w:hAnsi="Cambria Math"/>
                      <w:sz w:val="24"/>
                      <w:szCs w:val="24"/>
                    </w:rPr>
                    <m:t>M</m:t>
                  </m:r>
                </m:e>
                <m:sub>
                  <m:r>
                    <w:rPr>
                      <w:rStyle w:val="Bodytext210pt"/>
                      <w:rFonts w:ascii="Cambria Math" w:hAnsi="Cambria Math"/>
                      <w:sz w:val="24"/>
                      <w:szCs w:val="24"/>
                    </w:rPr>
                    <m:t>r</m:t>
                  </m:r>
                </m:sub>
              </m:sSub>
            </m:num>
            <m:den>
              <m:r>
                <w:rPr>
                  <w:rStyle w:val="Bodytext210pt"/>
                  <w:rFonts w:ascii="Cambria Math" w:hAnsi="Cambria Math"/>
                  <w:sz w:val="24"/>
                  <w:szCs w:val="24"/>
                </w:rPr>
                <m:t>N</m:t>
              </m:r>
            </m:den>
          </m:f>
          <m:r>
            <w:rPr>
              <w:rStyle w:val="Bodytext210pt"/>
              <w:rFonts w:ascii="Cambria Math" w:hAnsi="Cambria Math"/>
              <w:sz w:val="24"/>
              <w:szCs w:val="24"/>
            </w:rPr>
            <m:t>,</m:t>
          </m:r>
        </m:oMath>
      </m:oMathPara>
    </w:p>
    <w:p w14:paraId="39324BF7" w14:textId="77777777" w:rsidR="00955E48" w:rsidRPr="00097504"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lastRenderedPageBreak/>
        <w:t xml:space="preserve">որտեղ՝ </w:t>
      </w:r>
    </w:p>
    <w:p w14:paraId="599919B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Mr-ը սպիտակուցի կամ նուկլեինաթթվի հարաբերական մոլեկուլային զանգվածն է. </w:t>
      </w:r>
    </w:p>
    <w:p w14:paraId="617CA3A0" w14:textId="77777777" w:rsidR="00B834A2" w:rsidRPr="00B834A2" w:rsidRDefault="00B834A2" w:rsidP="00B834A2">
      <w:pPr>
        <w:pStyle w:val="Bodytext20"/>
        <w:shd w:val="clear" w:color="auto" w:fill="auto"/>
        <w:spacing w:before="0" w:after="160" w:line="360" w:lineRule="auto"/>
        <w:ind w:firstLine="567"/>
        <w:jc w:val="left"/>
        <w:rPr>
          <w:rFonts w:ascii="Sylfaen" w:hAnsi="Sylfaen"/>
          <w:sz w:val="24"/>
          <w:szCs w:val="24"/>
        </w:rPr>
      </w:pPr>
      <w:r w:rsidRPr="00B834A2">
        <w:rPr>
          <w:rFonts w:ascii="Sylfaen" w:hAnsi="Sylfaen"/>
          <w:sz w:val="24"/>
          <w:szCs w:val="24"/>
        </w:rPr>
        <w:t>N-ը՝ սպիտակուցի կամ նուկլեինաթթվի տարրական օղակների թիվը:</w:t>
      </w:r>
      <w:r>
        <w:rPr>
          <w:rFonts w:ascii="Sylfaen" w:hAnsi="Sylfaen"/>
          <w:sz w:val="24"/>
          <w:szCs w:val="24"/>
        </w:rPr>
        <w:t xml:space="preserve"> </w:t>
      </w:r>
    </w:p>
    <w:p w14:paraId="059E0DA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Տարրական օղակի միջին հարաբերական մոլեկուլային զանգվածը կազմում է սպիտակուցների համար 100-ից մինչ</w:t>
      </w:r>
      <w:r>
        <w:rPr>
          <w:rStyle w:val="Bodytext210pt"/>
          <w:sz w:val="24"/>
          <w:szCs w:val="24"/>
        </w:rPr>
        <w:t>եւ</w:t>
      </w:r>
      <w:r w:rsidRPr="00B834A2">
        <w:rPr>
          <w:rStyle w:val="Bodytext210pt"/>
          <w:sz w:val="24"/>
          <w:szCs w:val="24"/>
        </w:rPr>
        <w:t xml:space="preserve"> 120 (միջինում 115), նուկլեինաթթուների համար (նատրիումական աղի տեսքով)՝ մոտ 330:</w:t>
      </w:r>
    </w:p>
    <w:p w14:paraId="1B7EF2C0"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Սարք:</w:t>
      </w:r>
      <w:r w:rsidRPr="00B834A2">
        <w:rPr>
          <w:rStyle w:val="Bodytext210pt"/>
          <w:sz w:val="24"/>
          <w:szCs w:val="24"/>
        </w:rPr>
        <w:t xml:space="preserve"> Լույսի աղբյուր (S) է քսենոնային լամպը (նկար 2.1.2.50.-1). լույսն անցնում է քվարցային պրիզմաներով (P1, Р2) հանդերձված կրկնակի մոնոքրոմատորի միջով (М):</w:t>
      </w:r>
    </w:p>
    <w:p w14:paraId="703367DE"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Գծային ճառագայթը առաջին մոնոքրոմատորից ճեղքվում է երկրորդ մոնոքրոմատորով աջ անկյան տակ բ</w:t>
      </w:r>
      <w:r>
        <w:rPr>
          <w:rStyle w:val="Bodytext210pt"/>
          <w:sz w:val="24"/>
          <w:szCs w:val="24"/>
        </w:rPr>
        <w:t>եւ</w:t>
      </w:r>
      <w:r w:rsidRPr="00B834A2">
        <w:rPr>
          <w:rStyle w:val="Bodytext210pt"/>
          <w:sz w:val="24"/>
          <w:szCs w:val="24"/>
        </w:rPr>
        <w:t>եռացվող 2 բաղադրիչի: Լրացուցիչ ճառագայթը հեռացվում է մոնոքրոմատորի ելքային ճեղքով:</w:t>
      </w:r>
    </w:p>
    <w:p w14:paraId="7F24B1B8" w14:textId="77777777" w:rsidR="00B834A2" w:rsidRPr="00B834A2"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Բ</w:t>
      </w:r>
      <w:r>
        <w:rPr>
          <w:rStyle w:val="Bodytext210pt"/>
          <w:sz w:val="24"/>
          <w:szCs w:val="24"/>
        </w:rPr>
        <w:t>եւ</w:t>
      </w:r>
      <w:r w:rsidRPr="00B834A2">
        <w:rPr>
          <w:rStyle w:val="Bodytext210pt"/>
          <w:sz w:val="24"/>
          <w:szCs w:val="24"/>
        </w:rPr>
        <w:t xml:space="preserve">եռացված </w:t>
      </w:r>
      <w:r>
        <w:rPr>
          <w:rStyle w:val="Bodytext210pt"/>
          <w:sz w:val="24"/>
          <w:szCs w:val="24"/>
        </w:rPr>
        <w:t>եւ</w:t>
      </w:r>
      <w:r w:rsidRPr="00B834A2">
        <w:rPr>
          <w:rStyle w:val="Bodytext210pt"/>
          <w:sz w:val="24"/>
          <w:szCs w:val="24"/>
        </w:rPr>
        <w:t xml:space="preserve"> մոնոքրոմատիկ լույսն անցնում է երկբեկող մոդուլյատորի միջով (Сr). արդյունքում</w:t>
      </w:r>
      <w:r>
        <w:rPr>
          <w:rStyle w:val="Bodytext210pt"/>
          <w:sz w:val="24"/>
          <w:szCs w:val="24"/>
        </w:rPr>
        <w:t xml:space="preserve"> </w:t>
      </w:r>
      <w:r w:rsidRPr="00B834A2">
        <w:rPr>
          <w:rStyle w:val="Bodytext210pt"/>
          <w:sz w:val="24"/>
          <w:szCs w:val="24"/>
        </w:rPr>
        <w:t>գոյանում է շրջանային բ</w:t>
      </w:r>
      <w:r>
        <w:rPr>
          <w:rStyle w:val="Bodytext210pt"/>
          <w:sz w:val="24"/>
          <w:szCs w:val="24"/>
        </w:rPr>
        <w:t>եւ</w:t>
      </w:r>
      <w:r w:rsidRPr="00B834A2">
        <w:rPr>
          <w:rStyle w:val="Bodytext210pt"/>
          <w:sz w:val="24"/>
          <w:szCs w:val="24"/>
        </w:rPr>
        <w:t>եռացմամբ փոփոխական լույս:</w:t>
      </w:r>
    </w:p>
    <w:p w14:paraId="3DC2ECA2"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955E48">
        <w:rPr>
          <w:rStyle w:val="Bodytext210pt"/>
          <w:spacing w:val="-4"/>
          <w:sz w:val="24"/>
          <w:szCs w:val="24"/>
        </w:rPr>
        <w:t>Այնուհետ ճառագայթն անցնում է հետազոտվող նմուշի միջով (С) եւ ընկնում է լուսաբազմապատկչի վրա (Р.М.), որին հաջորդում է 2 էլեկտրական ազդանշան տվող ուժեղարարը</w:t>
      </w:r>
      <w:r w:rsidRPr="00B834A2">
        <w:rPr>
          <w:rStyle w:val="Bodytext210pt"/>
          <w:sz w:val="24"/>
          <w:szCs w:val="24"/>
        </w:rPr>
        <w:t xml:space="preserve">՝ </w:t>
      </w:r>
      <w:r w:rsidRPr="00B834A2">
        <w:rPr>
          <w:rFonts w:ascii="Sylfaen" w:hAnsi="Sylfaen"/>
          <w:sz w:val="24"/>
          <w:szCs w:val="24"/>
        </w:rPr>
        <w:t xml:space="preserve">մեկը՝ </w:t>
      </w:r>
      <w:r w:rsidRPr="00B834A2">
        <w:rPr>
          <w:rFonts w:ascii="Sylfaen" w:hAnsi="Sylfaen"/>
          <w:i/>
          <w:sz w:val="24"/>
          <w:szCs w:val="24"/>
        </w:rPr>
        <w:t>V</w:t>
      </w:r>
      <w:r w:rsidRPr="00955E48">
        <w:rPr>
          <w:rFonts w:ascii="Sylfaen" w:hAnsi="Sylfaen"/>
          <w:i/>
          <w:sz w:val="24"/>
          <w:szCs w:val="24"/>
          <w:vertAlign w:val="subscript"/>
        </w:rPr>
        <w:t>c</w:t>
      </w:r>
      <w:r w:rsidRPr="00B834A2">
        <w:rPr>
          <w:rFonts w:ascii="Sylfaen" w:hAnsi="Sylfaen"/>
          <w:sz w:val="24"/>
          <w:szCs w:val="24"/>
        </w:rPr>
        <w:t xml:space="preserve"> հաստատուն հոսանքի, իսկ մյուսը՝ </w:t>
      </w:r>
      <w:r w:rsidRPr="00B834A2">
        <w:rPr>
          <w:rFonts w:ascii="Sylfaen" w:hAnsi="Sylfaen"/>
          <w:i/>
          <w:sz w:val="24"/>
          <w:szCs w:val="24"/>
        </w:rPr>
        <w:t>V</w:t>
      </w:r>
      <w:r w:rsidRPr="00955E48">
        <w:rPr>
          <w:rFonts w:ascii="Sylfaen" w:hAnsi="Sylfaen"/>
          <w:i/>
          <w:sz w:val="24"/>
          <w:szCs w:val="24"/>
          <w:vertAlign w:val="subscript"/>
        </w:rPr>
        <w:t>ac</w:t>
      </w:r>
      <w:r w:rsidRPr="00955E48">
        <w:rPr>
          <w:rFonts w:ascii="Sylfaen" w:hAnsi="Sylfaen"/>
          <w:sz w:val="24"/>
          <w:szCs w:val="24"/>
          <w:vertAlign w:val="subscript"/>
        </w:rPr>
        <w:t xml:space="preserve"> </w:t>
      </w:r>
      <w:r w:rsidRPr="00B834A2">
        <w:rPr>
          <w:rFonts w:ascii="Sylfaen" w:hAnsi="Sylfaen"/>
          <w:sz w:val="24"/>
          <w:szCs w:val="24"/>
        </w:rPr>
        <w:t xml:space="preserve">փորձարկվող նմուշի համար բնորոշ մոդուլացման հաճախականությամբ փոփոխական հոսանքի: </w:t>
      </w:r>
      <w:r w:rsidRPr="00B834A2">
        <w:rPr>
          <w:rStyle w:val="Bodytext210pt"/>
          <w:sz w:val="24"/>
          <w:szCs w:val="24"/>
        </w:rPr>
        <w:t xml:space="preserve">Ֆազը համարվում է շրջանային երկգունության ցուցանիշ: </w:t>
      </w:r>
      <w:r w:rsidRPr="00B834A2">
        <w:rPr>
          <w:rFonts w:ascii="Sylfaen" w:hAnsi="Sylfaen"/>
          <w:i/>
          <w:sz w:val="24"/>
          <w:szCs w:val="24"/>
        </w:rPr>
        <w:t>V</w:t>
      </w:r>
      <w:r w:rsidRPr="00955E48">
        <w:rPr>
          <w:rFonts w:ascii="Sylfaen" w:hAnsi="Sylfaen"/>
          <w:i/>
          <w:sz w:val="24"/>
          <w:szCs w:val="24"/>
          <w:vertAlign w:val="subscript"/>
        </w:rPr>
        <w:t>ac</w:t>
      </w:r>
      <w:r w:rsidRPr="00B834A2">
        <w:rPr>
          <w:rFonts w:ascii="Sylfaen" w:hAnsi="Sylfaen"/>
          <w:i/>
          <w:sz w:val="24"/>
          <w:szCs w:val="24"/>
        </w:rPr>
        <w:t>/V</w:t>
      </w:r>
      <w:r w:rsidRPr="00955E48">
        <w:rPr>
          <w:rFonts w:ascii="Sylfaen" w:hAnsi="Sylfaen"/>
          <w:i/>
          <w:sz w:val="24"/>
          <w:szCs w:val="24"/>
          <w:vertAlign w:val="subscript"/>
        </w:rPr>
        <w:t>c</w:t>
      </w:r>
      <w:r w:rsidRPr="00B834A2">
        <w:rPr>
          <w:rFonts w:ascii="Sylfaen" w:hAnsi="Sylfaen"/>
          <w:sz w:val="24"/>
          <w:szCs w:val="24"/>
        </w:rPr>
        <w:t xml:space="preserve"> հարաբերությունը համեմատական է ազդանշանով ստեղծվող </w:t>
      </w:r>
      <w:r w:rsidRPr="00B834A2">
        <w:rPr>
          <w:rFonts w:ascii="Sylfaen" w:hAnsi="Sylfaen"/>
          <w:i/>
          <w:sz w:val="24"/>
          <w:szCs w:val="24"/>
        </w:rPr>
        <w:t>∆А</w:t>
      </w:r>
      <w:r w:rsidRPr="00B834A2">
        <w:rPr>
          <w:rFonts w:ascii="Sylfaen" w:hAnsi="Sylfaen"/>
          <w:sz w:val="24"/>
          <w:szCs w:val="24"/>
        </w:rPr>
        <w:t xml:space="preserve"> դիֆերենցիալ օպտիկական խտությանը: </w:t>
      </w:r>
      <w:r w:rsidRPr="00B834A2">
        <w:rPr>
          <w:rStyle w:val="Bodytext210pt"/>
          <w:sz w:val="24"/>
          <w:szCs w:val="24"/>
        </w:rPr>
        <w:t>Երկգունագիրը հաճախ թույլ է տալիս կատարել չափումներ 170 նմ-ից մինչ</w:t>
      </w:r>
      <w:r>
        <w:rPr>
          <w:rStyle w:val="Bodytext210pt"/>
          <w:sz w:val="24"/>
          <w:szCs w:val="24"/>
        </w:rPr>
        <w:t>եւ</w:t>
      </w:r>
      <w:r w:rsidRPr="00B834A2">
        <w:rPr>
          <w:rStyle w:val="Bodytext210pt"/>
          <w:sz w:val="24"/>
          <w:szCs w:val="24"/>
        </w:rPr>
        <w:t xml:space="preserve"> 800 նմ ալիքների երկարության ընդգրկույթում: </w:t>
      </w:r>
    </w:p>
    <w:p w14:paraId="79FCE860" w14:textId="77777777" w:rsidR="00E960B1" w:rsidRDefault="00E960B1">
      <w:r>
        <w:br w:type="page"/>
      </w:r>
    </w:p>
    <w:p w14:paraId="766BAFCB" w14:textId="77777777" w:rsidR="00B834A2" w:rsidRPr="00530993" w:rsidRDefault="00B834A2" w:rsidP="00955E48">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ՍԱՐՔԻ ՍՏՈՒԳԱՃՇՏՈՒՄ</w:t>
      </w:r>
    </w:p>
    <w:p w14:paraId="1C4407F1"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Օպտիկական խտության սանդղակի ճշգրտությունը: </w:t>
      </w:r>
      <w:r w:rsidRPr="00B834A2">
        <w:rPr>
          <w:rFonts w:ascii="Sylfaen" w:hAnsi="Sylfaen"/>
          <w:sz w:val="24"/>
          <w:szCs w:val="24"/>
        </w:rPr>
        <w:t xml:space="preserve">10,0 մգ </w:t>
      </w:r>
      <w:r w:rsidRPr="00B834A2">
        <w:rPr>
          <w:rFonts w:ascii="Sylfaen" w:hAnsi="Sylfaen"/>
          <w:i/>
          <w:sz w:val="24"/>
          <w:szCs w:val="24"/>
        </w:rPr>
        <w:t>Р</w:t>
      </w:r>
      <w:r>
        <w:rPr>
          <w:rFonts w:ascii="Sylfaen" w:hAnsi="Sylfaen"/>
          <w:sz w:val="24"/>
          <w:szCs w:val="24"/>
        </w:rPr>
        <w:t xml:space="preserve"> </w:t>
      </w:r>
      <w:r w:rsidRPr="00B834A2">
        <w:rPr>
          <w:rFonts w:ascii="Sylfaen" w:hAnsi="Sylfaen"/>
          <w:i/>
          <w:sz w:val="24"/>
          <w:szCs w:val="24"/>
        </w:rPr>
        <w:t>իզոանդրոստերոնը</w:t>
      </w:r>
      <w:r>
        <w:rPr>
          <w:rFonts w:ascii="Sylfaen" w:hAnsi="Sylfaen"/>
          <w:sz w:val="24"/>
          <w:szCs w:val="24"/>
        </w:rPr>
        <w:t xml:space="preserve"> </w:t>
      </w:r>
      <w:r w:rsidRPr="00B834A2">
        <w:rPr>
          <w:rFonts w:ascii="Sylfaen" w:hAnsi="Sylfaen"/>
          <w:sz w:val="24"/>
          <w:szCs w:val="24"/>
        </w:rPr>
        <w:t xml:space="preserve">լուծում են Р </w:t>
      </w:r>
      <w:r w:rsidRPr="00B834A2">
        <w:rPr>
          <w:rFonts w:ascii="Sylfaen" w:hAnsi="Sylfaen"/>
          <w:i/>
          <w:sz w:val="24"/>
          <w:szCs w:val="24"/>
        </w:rPr>
        <w:t xml:space="preserve">դիօքսինում </w:t>
      </w:r>
      <w:r>
        <w:rPr>
          <w:rFonts w:ascii="Sylfaen" w:hAnsi="Sylfaen"/>
          <w:sz w:val="24"/>
          <w:szCs w:val="24"/>
        </w:rPr>
        <w:t>եւ</w:t>
      </w:r>
      <w:r w:rsidRPr="00B834A2">
        <w:rPr>
          <w:rFonts w:ascii="Sylfaen" w:hAnsi="Sylfaen"/>
          <w:sz w:val="24"/>
          <w:szCs w:val="24"/>
        </w:rPr>
        <w:t xml:space="preserve"> հասցվում նույն լուծիչով՝ մինչ</w:t>
      </w:r>
      <w:r>
        <w:rPr>
          <w:rFonts w:ascii="Sylfaen" w:hAnsi="Sylfaen"/>
          <w:sz w:val="24"/>
          <w:szCs w:val="24"/>
        </w:rPr>
        <w:t>եւ</w:t>
      </w:r>
      <w:r w:rsidRPr="00B834A2">
        <w:rPr>
          <w:rFonts w:ascii="Sylfaen" w:hAnsi="Sylfaen"/>
          <w:sz w:val="24"/>
          <w:szCs w:val="24"/>
        </w:rPr>
        <w:t xml:space="preserve"> 10,0 մլ ծավալը: </w:t>
      </w:r>
      <w:r w:rsidRPr="00B834A2">
        <w:rPr>
          <w:rStyle w:val="Bodytext210pt"/>
          <w:sz w:val="24"/>
          <w:szCs w:val="24"/>
        </w:rPr>
        <w:t>Հանում են 280 նմ-ից մինչ</w:t>
      </w:r>
      <w:r>
        <w:rPr>
          <w:rStyle w:val="Bodytext210pt"/>
          <w:sz w:val="24"/>
          <w:szCs w:val="24"/>
        </w:rPr>
        <w:t>եւ</w:t>
      </w:r>
      <w:r w:rsidRPr="00B834A2">
        <w:rPr>
          <w:rStyle w:val="Bodytext210pt"/>
          <w:sz w:val="24"/>
          <w:szCs w:val="24"/>
        </w:rPr>
        <w:t xml:space="preserve"> 360 նմ ընդգրկույթում լուծույթի շրջանային երկգունության սպեկտրը: </w:t>
      </w:r>
      <w:r w:rsidRPr="00B834A2">
        <w:rPr>
          <w:rFonts w:ascii="Sylfaen" w:hAnsi="Sylfaen"/>
          <w:sz w:val="24"/>
          <w:szCs w:val="24"/>
        </w:rPr>
        <w:t xml:space="preserve">Առավելագույն 304 նմ չափված </w:t>
      </w:r>
      <w:r w:rsidRPr="00B834A2">
        <w:rPr>
          <w:rFonts w:ascii="Sylfaen" w:hAnsi="Sylfaen"/>
          <w:i/>
          <w:sz w:val="24"/>
          <w:szCs w:val="24"/>
        </w:rPr>
        <w:t>As</w:t>
      </w:r>
      <w:r w:rsidRPr="00B834A2">
        <w:rPr>
          <w:rFonts w:ascii="Sylfaen" w:hAnsi="Sylfaen"/>
          <w:sz w:val="24"/>
          <w:szCs w:val="24"/>
        </w:rPr>
        <w:t xml:space="preserve"> մեծությունը հավասար է +3,3-ի:</w:t>
      </w:r>
    </w:p>
    <w:p w14:paraId="78F17280"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Թույլատրվում է Р </w:t>
      </w:r>
      <w:r w:rsidRPr="00123D1A">
        <w:rPr>
          <w:rFonts w:ascii="Sylfaen" w:hAnsi="Sylfaen"/>
          <w:i/>
          <w:sz w:val="24"/>
          <w:szCs w:val="24"/>
        </w:rPr>
        <w:t>(</w:t>
      </w:r>
      <w:r w:rsidRPr="00B834A2">
        <w:rPr>
          <w:rFonts w:ascii="Sylfaen" w:hAnsi="Sylfaen"/>
          <w:i/>
          <w:sz w:val="24"/>
          <w:szCs w:val="24"/>
        </w:rPr>
        <w:t>1S)-(+)-10-քափուրսուլֆոնային թթվի</w:t>
      </w:r>
      <w:r w:rsidRPr="00B834A2">
        <w:rPr>
          <w:rFonts w:ascii="Sylfaen" w:hAnsi="Sylfaen"/>
          <w:sz w:val="24"/>
          <w:szCs w:val="24"/>
        </w:rPr>
        <w:t xml:space="preserve"> լուծույթի օգտագործումը:</w:t>
      </w:r>
    </w:p>
    <w:p w14:paraId="61C2A36A" w14:textId="77777777" w:rsidR="00B834A2" w:rsidRPr="00B834A2"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 xml:space="preserve">Մոդուլյացիայի գծայնություն: </w:t>
      </w:r>
      <w:r w:rsidRPr="00B834A2">
        <w:rPr>
          <w:rFonts w:ascii="Sylfaen" w:hAnsi="Sylfaen"/>
          <w:sz w:val="24"/>
          <w:szCs w:val="24"/>
        </w:rPr>
        <w:t xml:space="preserve">10,0 մգ Р (1Տ)-(+)- 10-քափուրսուլֆոնային թթուն լուծում են Р ջրում </w:t>
      </w:r>
      <w:r>
        <w:rPr>
          <w:rFonts w:ascii="Sylfaen" w:hAnsi="Sylfaen"/>
          <w:sz w:val="24"/>
          <w:szCs w:val="24"/>
        </w:rPr>
        <w:t>եւ</w:t>
      </w:r>
      <w:r w:rsidRPr="00B834A2">
        <w:rPr>
          <w:rFonts w:ascii="Sylfaen" w:hAnsi="Sylfaen"/>
          <w:sz w:val="24"/>
          <w:szCs w:val="24"/>
        </w:rPr>
        <w:t xml:space="preserve"> նույն լուծիչով հասցնում մինչ</w:t>
      </w:r>
      <w:r>
        <w:rPr>
          <w:rFonts w:ascii="Sylfaen" w:hAnsi="Sylfaen"/>
          <w:sz w:val="24"/>
          <w:szCs w:val="24"/>
        </w:rPr>
        <w:t>եւ</w:t>
      </w:r>
      <w:r w:rsidRPr="00B834A2">
        <w:rPr>
          <w:rFonts w:ascii="Sylfaen" w:hAnsi="Sylfaen"/>
          <w:sz w:val="24"/>
          <w:szCs w:val="24"/>
        </w:rPr>
        <w:t xml:space="preserve"> 10,0 մլ ծավալը:</w:t>
      </w:r>
      <w:r>
        <w:rPr>
          <w:rFonts w:ascii="Sylfaen" w:hAnsi="Sylfaen"/>
          <w:sz w:val="24"/>
          <w:szCs w:val="24"/>
        </w:rPr>
        <w:t xml:space="preserve"> </w:t>
      </w:r>
      <w:r w:rsidRPr="00B834A2">
        <w:rPr>
          <w:rFonts w:ascii="Sylfaen" w:hAnsi="Sylfaen"/>
          <w:sz w:val="24"/>
          <w:szCs w:val="24"/>
        </w:rPr>
        <w:t>Որոշում են ուլտրամանուշակագույն տիրույթում սպեկտրալուսաչափման մեթոդով լուծույթում քափուրսուլֆոնային թթվի ճշգրիտ կոնցենտրացիան (2.1.2.24)՝ օգտագործելով 1,49-ին հավասար՝ 285 նմ-ի դեպքում կլանման տեսակարար ցուցանիշի արժեքը:</w:t>
      </w:r>
    </w:p>
    <w:p w14:paraId="030410B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Հանում են 185 նմ-ից մինչ</w:t>
      </w:r>
      <w:r>
        <w:rPr>
          <w:rStyle w:val="Bodytext210pt"/>
          <w:sz w:val="24"/>
          <w:szCs w:val="24"/>
        </w:rPr>
        <w:t>եւ</w:t>
      </w:r>
      <w:r w:rsidRPr="00B834A2">
        <w:rPr>
          <w:rStyle w:val="Bodytext210pt"/>
          <w:sz w:val="24"/>
          <w:szCs w:val="24"/>
        </w:rPr>
        <w:t xml:space="preserve"> 340 նմ ընդգրկույթում լուծույթի շրջանային երկգունության սպեկտրը: </w:t>
      </w:r>
      <w:r w:rsidRPr="00B834A2">
        <w:rPr>
          <w:rFonts w:ascii="Sylfaen" w:hAnsi="Sylfaen"/>
          <w:sz w:val="24"/>
          <w:szCs w:val="24"/>
        </w:rPr>
        <w:t xml:space="preserve">Առավելագույն 290,5 նմ-ի դեպքում չափված </w:t>
      </w:r>
      <w:r w:rsidRPr="00B834A2">
        <w:rPr>
          <w:rFonts w:ascii="Sylfaen" w:hAnsi="Sylfaen" w:cs="Arial"/>
          <w:bCs/>
          <w:color w:val="111111"/>
          <w:sz w:val="24"/>
          <w:szCs w:val="24"/>
        </w:rPr>
        <w:t xml:space="preserve">∆ε </w:t>
      </w:r>
      <w:r w:rsidRPr="00B834A2">
        <w:rPr>
          <w:rFonts w:ascii="Sylfaen" w:hAnsi="Sylfaen"/>
          <w:sz w:val="24"/>
          <w:szCs w:val="24"/>
        </w:rPr>
        <w:t>մեծությունը կազմում է +2,2-ից մինչ</w:t>
      </w:r>
      <w:r>
        <w:rPr>
          <w:rFonts w:ascii="Sylfaen" w:hAnsi="Sylfaen"/>
          <w:sz w:val="24"/>
          <w:szCs w:val="24"/>
        </w:rPr>
        <w:t>եւ</w:t>
      </w:r>
      <w:r w:rsidRPr="00B834A2">
        <w:rPr>
          <w:rFonts w:ascii="Sylfaen" w:hAnsi="Sylfaen"/>
          <w:sz w:val="24"/>
          <w:szCs w:val="24"/>
        </w:rPr>
        <w:t xml:space="preserve"> +2,5, իսկ 192,5 նմ-ի դեպքում առավելագույնում չափվածը՝</w:t>
      </w:r>
      <w:r>
        <w:rPr>
          <w:rFonts w:ascii="Sylfaen" w:hAnsi="Sylfaen"/>
          <w:sz w:val="24"/>
          <w:szCs w:val="24"/>
        </w:rPr>
        <w:t xml:space="preserve"> </w:t>
      </w:r>
      <w:r w:rsidRPr="00B834A2">
        <w:rPr>
          <w:rFonts w:ascii="Sylfaen" w:hAnsi="Sylfaen"/>
          <w:sz w:val="24"/>
          <w:szCs w:val="24"/>
        </w:rPr>
        <w:t>-4,3-ից մինչ</w:t>
      </w:r>
      <w:r>
        <w:rPr>
          <w:rFonts w:ascii="Sylfaen" w:hAnsi="Sylfaen"/>
          <w:sz w:val="24"/>
          <w:szCs w:val="24"/>
        </w:rPr>
        <w:t>եւ</w:t>
      </w:r>
      <w:r w:rsidRPr="00B834A2">
        <w:rPr>
          <w:rFonts w:ascii="Sylfaen" w:hAnsi="Sylfaen"/>
          <w:sz w:val="24"/>
          <w:szCs w:val="24"/>
        </w:rPr>
        <w:t xml:space="preserve"> -</w:t>
      </w:r>
      <w:r w:rsidR="00E960B1" w:rsidRPr="00E960B1">
        <w:rPr>
          <w:rFonts w:ascii="Sylfaen" w:hAnsi="Sylfaen"/>
          <w:sz w:val="24"/>
          <w:szCs w:val="24"/>
        </w:rPr>
        <w:t xml:space="preserve"> </w:t>
      </w:r>
      <w:r w:rsidRPr="00B834A2">
        <w:rPr>
          <w:rFonts w:ascii="Sylfaen" w:hAnsi="Sylfaen"/>
          <w:sz w:val="24"/>
          <w:szCs w:val="24"/>
        </w:rPr>
        <w:t>5:</w:t>
      </w:r>
    </w:p>
    <w:p w14:paraId="4E023C4F"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Թույլատրվում </w:t>
      </w:r>
      <w:r w:rsidRPr="00B834A2">
        <w:rPr>
          <w:rFonts w:ascii="Sylfaen" w:hAnsi="Sylfaen"/>
          <w:i/>
          <w:sz w:val="24"/>
          <w:szCs w:val="24"/>
        </w:rPr>
        <w:t>է ամոնիումի Р (1S)-(+)-10-քափուրսուլֆոնատի</w:t>
      </w:r>
      <w:r w:rsidRPr="00B834A2">
        <w:rPr>
          <w:rFonts w:ascii="Sylfaen" w:hAnsi="Sylfaen"/>
          <w:sz w:val="24"/>
          <w:szCs w:val="24"/>
        </w:rPr>
        <w:t xml:space="preserve"> օգտագործումը կամ դրա </w:t>
      </w:r>
      <w:r w:rsidRPr="00B834A2">
        <w:rPr>
          <w:rFonts w:ascii="Sylfaen" w:hAnsi="Sylfaen"/>
          <w:i/>
          <w:sz w:val="24"/>
          <w:szCs w:val="24"/>
        </w:rPr>
        <w:t>ամոնիումի Р (1R)-(-)-10-քափուր-սուլֆոնատի</w:t>
      </w:r>
      <w:r w:rsidRPr="00B834A2">
        <w:rPr>
          <w:rFonts w:ascii="Sylfaen" w:hAnsi="Sylfaen"/>
          <w:sz w:val="24"/>
          <w:szCs w:val="24"/>
        </w:rPr>
        <w:t xml:space="preserve"> օպտիկական իզոմերը:</w:t>
      </w:r>
    </w:p>
    <w:p w14:paraId="46D077E5" w14:textId="77777777" w:rsidR="00B834A2" w:rsidRPr="00B834A2" w:rsidRDefault="00B834A2" w:rsidP="00B834A2">
      <w:pPr>
        <w:pStyle w:val="Bodytext20"/>
        <w:shd w:val="clear" w:color="auto" w:fill="auto"/>
        <w:spacing w:before="0" w:after="160" w:line="360" w:lineRule="auto"/>
        <w:jc w:val="right"/>
        <w:rPr>
          <w:rStyle w:val="Bodytext211pt"/>
          <w:rFonts w:ascii="Sylfaen" w:eastAsia="Sylfaen" w:hAnsi="Sylfaen"/>
          <w:bCs/>
          <w:sz w:val="24"/>
          <w:szCs w:val="24"/>
        </w:rPr>
      </w:pPr>
    </w:p>
    <w:p w14:paraId="46946AD3" w14:textId="77777777" w:rsidR="00B834A2" w:rsidRPr="00E960B1" w:rsidRDefault="00B834A2" w:rsidP="00B834A2">
      <w:pPr>
        <w:pStyle w:val="Bodytext20"/>
        <w:shd w:val="clear" w:color="auto" w:fill="auto"/>
        <w:spacing w:before="0" w:after="160" w:line="360" w:lineRule="auto"/>
        <w:ind w:firstLine="567"/>
        <w:jc w:val="right"/>
        <w:rPr>
          <w:rFonts w:ascii="Sylfaen" w:hAnsi="Sylfaen"/>
          <w:b/>
          <w:sz w:val="20"/>
          <w:szCs w:val="24"/>
        </w:rPr>
      </w:pPr>
      <w:r w:rsidRPr="00E960B1">
        <w:rPr>
          <w:rStyle w:val="Bodytext211pt"/>
          <w:rFonts w:ascii="Sylfaen" w:eastAsia="Sylfaen" w:hAnsi="Sylfaen"/>
          <w:b/>
          <w:sz w:val="20"/>
          <w:szCs w:val="24"/>
        </w:rPr>
        <w:t>201020051-2022</w:t>
      </w:r>
    </w:p>
    <w:p w14:paraId="46D30A4D" w14:textId="77777777" w:rsidR="00B834A2" w:rsidRPr="00955E48" w:rsidRDefault="00B834A2" w:rsidP="00955E48">
      <w:pPr>
        <w:pStyle w:val="Bodytext20"/>
        <w:shd w:val="clear" w:color="auto" w:fill="auto"/>
        <w:tabs>
          <w:tab w:val="left" w:pos="1701"/>
        </w:tabs>
        <w:spacing w:before="0" w:after="160" w:line="360" w:lineRule="auto"/>
        <w:ind w:firstLine="567"/>
        <w:jc w:val="both"/>
        <w:rPr>
          <w:rFonts w:ascii="Sylfaen" w:hAnsi="Sylfaen"/>
          <w:b/>
          <w:sz w:val="24"/>
          <w:szCs w:val="24"/>
        </w:rPr>
      </w:pPr>
      <w:r w:rsidRPr="00955E48">
        <w:rPr>
          <w:rStyle w:val="Bodytext214pt"/>
          <w:rFonts w:ascii="Sylfaen" w:hAnsi="Sylfaen"/>
          <w:b/>
          <w:sz w:val="24"/>
          <w:szCs w:val="24"/>
        </w:rPr>
        <w:t>2.1.2.51.</w:t>
      </w:r>
      <w:r w:rsidR="00955E48" w:rsidRPr="00097504">
        <w:rPr>
          <w:rStyle w:val="Bodytext214pt"/>
          <w:rFonts w:ascii="Sylfaen" w:hAnsi="Sylfaen"/>
          <w:b/>
          <w:sz w:val="24"/>
          <w:szCs w:val="24"/>
        </w:rPr>
        <w:tab/>
      </w:r>
      <w:r w:rsidRPr="00955E48">
        <w:rPr>
          <w:rStyle w:val="Bodytext214pt"/>
          <w:rFonts w:ascii="Sylfaen" w:hAnsi="Sylfaen"/>
          <w:b/>
          <w:sz w:val="24"/>
          <w:szCs w:val="24"/>
        </w:rPr>
        <w:t>Զանգվածասպեկտրաչափություն</w:t>
      </w:r>
    </w:p>
    <w:p w14:paraId="293F0A2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Զանգվածասպեկտրաչափությունը հիմնված է զանգվածի՝ գազային ֆազում գտնվող </w:t>
      </w:r>
      <w:r w:rsidRPr="00B834A2">
        <w:rPr>
          <w:rStyle w:val="Bodytext210pt"/>
          <w:sz w:val="24"/>
          <w:szCs w:val="24"/>
        </w:rPr>
        <w:t>անալիզի ենթարկվող</w:t>
      </w:r>
      <w:r w:rsidRPr="00B834A2">
        <w:rPr>
          <w:rFonts w:ascii="Sylfaen" w:hAnsi="Sylfaen"/>
          <w:sz w:val="24"/>
          <w:szCs w:val="24"/>
        </w:rPr>
        <w:t xml:space="preserve"> նմուշից ստացված իոնների </w:t>
      </w:r>
      <w:r w:rsidRPr="00B834A2">
        <w:rPr>
          <w:rFonts w:ascii="Sylfaen" w:hAnsi="Sylfaen"/>
          <w:i/>
          <w:sz w:val="24"/>
          <w:szCs w:val="24"/>
        </w:rPr>
        <w:t>((m/z)</w:t>
      </w:r>
      <w:r w:rsidRPr="00B834A2">
        <w:rPr>
          <w:rFonts w:ascii="Sylfaen" w:hAnsi="Sylfaen"/>
          <w:sz w:val="24"/>
          <w:szCs w:val="24"/>
        </w:rPr>
        <w:t xml:space="preserve"> տարրական դրական կամ բացասական լիցքերի թվի հարաբերակցության ուղղակի չափման </w:t>
      </w:r>
      <w:r w:rsidRPr="00B834A2">
        <w:rPr>
          <w:rFonts w:ascii="Sylfaen" w:hAnsi="Sylfaen"/>
          <w:sz w:val="24"/>
          <w:szCs w:val="24"/>
        </w:rPr>
        <w:lastRenderedPageBreak/>
        <w:t xml:space="preserve">վրա: </w:t>
      </w:r>
      <w:r w:rsidRPr="00B834A2">
        <w:rPr>
          <w:rStyle w:val="Bodytext210pt"/>
          <w:sz w:val="24"/>
          <w:szCs w:val="24"/>
        </w:rPr>
        <w:t>Տվյալ հարաբակցությունն արտահայտվում է զանգվածի ատոմային միավորներով (1 զ.ա.մ. =</w:t>
      </w:r>
      <w:r>
        <w:rPr>
          <w:rStyle w:val="Bodytext210pt"/>
          <w:sz w:val="24"/>
          <w:szCs w:val="24"/>
        </w:rPr>
        <w:t xml:space="preserve"> </w:t>
      </w:r>
      <w:r w:rsidRPr="00B834A2">
        <w:rPr>
          <w:rStyle w:val="Bodytext210pt"/>
          <w:sz w:val="24"/>
          <w:szCs w:val="24"/>
          <w:vertAlign w:val="superscript"/>
        </w:rPr>
        <w:t>12</w:t>
      </w:r>
      <w:r w:rsidRPr="00B834A2">
        <w:rPr>
          <w:rStyle w:val="Bodytext210pt"/>
          <w:sz w:val="24"/>
          <w:szCs w:val="24"/>
        </w:rPr>
        <w:t>С նուկլիդի զանգվածի մեկ տասներկուերորդական) կամ դալտոններով (1 Դա = ջրածնի ատոմի զանգված):</w:t>
      </w:r>
    </w:p>
    <w:p w14:paraId="727586BB"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Սարքի իոնարարում գոյացած իոնները արագանում են </w:t>
      </w:r>
      <w:r>
        <w:rPr>
          <w:rStyle w:val="Bodytext210pt"/>
          <w:sz w:val="24"/>
          <w:szCs w:val="24"/>
        </w:rPr>
        <w:t>եւ</w:t>
      </w:r>
      <w:r w:rsidRPr="00B834A2">
        <w:rPr>
          <w:rStyle w:val="Bodytext210pt"/>
          <w:sz w:val="24"/>
          <w:szCs w:val="24"/>
        </w:rPr>
        <w:t xml:space="preserve"> մինչ դետեկտորում հայտնվելը բաժանվում են զանգվածի անալիզարարի օգնությամբ: Բոլոր այս գործողությունները տեղի են ունենում այն խցում, որտեղ պոմպային համակարգը պահպանում է 10</w:t>
      </w:r>
      <w:r w:rsidRPr="00B834A2">
        <w:rPr>
          <w:rStyle w:val="Bodytext210pt"/>
          <w:sz w:val="24"/>
          <w:szCs w:val="24"/>
          <w:vertAlign w:val="superscript"/>
        </w:rPr>
        <w:t>-3</w:t>
      </w:r>
      <w:r w:rsidRPr="00B834A2">
        <w:rPr>
          <w:rStyle w:val="Bodytext210pt"/>
          <w:sz w:val="24"/>
          <w:szCs w:val="24"/>
        </w:rPr>
        <w:t>-ից մինչ</w:t>
      </w:r>
      <w:r>
        <w:rPr>
          <w:rStyle w:val="Bodytext210pt"/>
          <w:sz w:val="24"/>
          <w:szCs w:val="24"/>
        </w:rPr>
        <w:t>եւ</w:t>
      </w:r>
      <w:r w:rsidRPr="00B834A2">
        <w:rPr>
          <w:rStyle w:val="Bodytext210pt"/>
          <w:sz w:val="24"/>
          <w:szCs w:val="24"/>
        </w:rPr>
        <w:t xml:space="preserve"> 1010</w:t>
      </w:r>
      <w:r w:rsidRPr="00B834A2">
        <w:rPr>
          <w:rStyle w:val="Bodytext210pt"/>
          <w:sz w:val="24"/>
          <w:szCs w:val="24"/>
          <w:vertAlign w:val="superscript"/>
        </w:rPr>
        <w:t>-6</w:t>
      </w:r>
      <w:r w:rsidRPr="00B834A2">
        <w:rPr>
          <w:rStyle w:val="Bodytext210pt"/>
          <w:sz w:val="24"/>
          <w:szCs w:val="24"/>
        </w:rPr>
        <w:t xml:space="preserve"> Պա վակուումը:</w:t>
      </w:r>
    </w:p>
    <w:p w14:paraId="21BEAAD9" w14:textId="77777777" w:rsidR="00B834A2" w:rsidRPr="00B834A2" w:rsidRDefault="00B834A2" w:rsidP="00E960B1">
      <w:pPr>
        <w:pStyle w:val="Bodytext20"/>
        <w:shd w:val="clear" w:color="auto" w:fill="auto"/>
        <w:spacing w:before="0" w:after="160" w:line="348" w:lineRule="auto"/>
        <w:ind w:firstLine="567"/>
        <w:jc w:val="both"/>
        <w:rPr>
          <w:rFonts w:ascii="Sylfaen" w:hAnsi="Sylfaen"/>
          <w:sz w:val="24"/>
          <w:szCs w:val="24"/>
        </w:rPr>
      </w:pPr>
      <w:r w:rsidRPr="00B834A2">
        <w:rPr>
          <w:rFonts w:ascii="Sylfaen" w:hAnsi="Sylfaen"/>
          <w:sz w:val="24"/>
          <w:szCs w:val="24"/>
        </w:rPr>
        <w:t>Արդյունքում ստացվող զանգվածի սպեկտրը տարբեր իոնների հարաբերական քանակության՝ m/z հարաբերակցությունից կախվածության գրաֆիկն է:</w:t>
      </w:r>
      <w:r>
        <w:rPr>
          <w:rFonts w:ascii="Sylfaen" w:hAnsi="Sylfaen"/>
          <w:sz w:val="24"/>
          <w:szCs w:val="24"/>
        </w:rPr>
        <w:t xml:space="preserve"> </w:t>
      </w:r>
      <w:r w:rsidRPr="00B834A2">
        <w:rPr>
          <w:rStyle w:val="Bodytext210pt"/>
          <w:sz w:val="24"/>
          <w:szCs w:val="24"/>
        </w:rPr>
        <w:t xml:space="preserve">Իոնին արձագանքող ազդանշանը ներկայացված է այդ իոնի տարբեր իզոտոպերի վիճակագրական բաշխմանը համապատասխանող մի քանի գագաթներով: Նման տրամագիրը կոչվում է իզոտոպային պրոֆիլ, իսկ յուրաքանչյուր ատոմի համար առավել տարածված իզոտոպեր ներկայացնող գագաթը (առնվազն ոչ մեծ մոլեկուլների համար)՝ մոնոիզոտոպային գագաթ: </w:t>
      </w:r>
    </w:p>
    <w:p w14:paraId="2AAD0480" w14:textId="77777777" w:rsidR="00B834A2" w:rsidRPr="00B834A2" w:rsidRDefault="00B834A2" w:rsidP="00E960B1">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Զանգվածասպեկտրաչափական անալիզը տալիս է գագաթամոլից մինչ</w:t>
      </w:r>
      <w:r>
        <w:rPr>
          <w:rStyle w:val="Bodytext210pt"/>
          <w:sz w:val="24"/>
          <w:szCs w:val="24"/>
        </w:rPr>
        <w:t>եւ</w:t>
      </w:r>
      <w:r w:rsidRPr="00B834A2">
        <w:rPr>
          <w:rStyle w:val="Bodytext210pt"/>
          <w:sz w:val="24"/>
          <w:szCs w:val="24"/>
        </w:rPr>
        <w:t xml:space="preserve"> ֆեմտոմոլ հայտնաբերելու սահմանով որակական (մոլեկուլային զանգվածների որոշում, որոշվող ֆրագմենտների կառուցվածքին վերաբերող տեղեկատվություն) </w:t>
      </w:r>
      <w:r>
        <w:rPr>
          <w:rStyle w:val="Bodytext210pt"/>
          <w:sz w:val="24"/>
          <w:szCs w:val="24"/>
        </w:rPr>
        <w:t>եւ</w:t>
      </w:r>
      <w:r w:rsidRPr="00B834A2">
        <w:rPr>
          <w:rStyle w:val="Bodytext210pt"/>
          <w:sz w:val="24"/>
          <w:szCs w:val="24"/>
        </w:rPr>
        <w:t xml:space="preserve"> քանակական</w:t>
      </w:r>
      <w:r>
        <w:rPr>
          <w:rStyle w:val="Bodytext210pt"/>
          <w:sz w:val="24"/>
          <w:szCs w:val="24"/>
        </w:rPr>
        <w:t xml:space="preserve"> </w:t>
      </w:r>
      <w:r w:rsidRPr="00B834A2">
        <w:rPr>
          <w:rStyle w:val="Bodytext210pt"/>
          <w:sz w:val="24"/>
          <w:szCs w:val="24"/>
        </w:rPr>
        <w:t>(արտաքին կամ ներքին ստանդարտների օգտագործմամբ) կար</w:t>
      </w:r>
      <w:r>
        <w:rPr>
          <w:rStyle w:val="Bodytext210pt"/>
          <w:sz w:val="24"/>
          <w:szCs w:val="24"/>
        </w:rPr>
        <w:t>եւ</w:t>
      </w:r>
      <w:r w:rsidRPr="00B834A2">
        <w:rPr>
          <w:rStyle w:val="Bodytext210pt"/>
          <w:sz w:val="24"/>
          <w:szCs w:val="24"/>
        </w:rPr>
        <w:t>որ տեղեկատվություն:</w:t>
      </w:r>
    </w:p>
    <w:p w14:paraId="4A9268C8" w14:textId="77777777" w:rsidR="00B834A2" w:rsidRPr="00B834A2" w:rsidRDefault="00B834A2" w:rsidP="00E960B1">
      <w:pPr>
        <w:pStyle w:val="Bodytext20"/>
        <w:shd w:val="clear" w:color="auto" w:fill="auto"/>
        <w:spacing w:before="0" w:after="160" w:line="348" w:lineRule="auto"/>
        <w:ind w:firstLine="567"/>
        <w:rPr>
          <w:rStyle w:val="Bodytext211pt"/>
          <w:rFonts w:ascii="Sylfaen" w:eastAsia="Sylfaen" w:hAnsi="Sylfaen"/>
          <w:b/>
          <w:bCs/>
          <w:sz w:val="24"/>
          <w:szCs w:val="24"/>
        </w:rPr>
      </w:pPr>
    </w:p>
    <w:p w14:paraId="6DCAA907" w14:textId="77777777" w:rsidR="00B834A2" w:rsidRPr="00955E48" w:rsidRDefault="00B834A2" w:rsidP="00E960B1">
      <w:pPr>
        <w:pStyle w:val="Bodytext20"/>
        <w:shd w:val="clear" w:color="auto" w:fill="auto"/>
        <w:spacing w:before="0" w:after="160" w:line="348" w:lineRule="auto"/>
        <w:ind w:firstLine="567"/>
        <w:jc w:val="both"/>
        <w:rPr>
          <w:rFonts w:ascii="Sylfaen" w:hAnsi="Sylfaen"/>
          <w:b/>
          <w:sz w:val="24"/>
          <w:szCs w:val="24"/>
        </w:rPr>
      </w:pPr>
      <w:r w:rsidRPr="00955E48">
        <w:rPr>
          <w:rStyle w:val="Bodytext211pt"/>
          <w:rFonts w:ascii="Sylfaen" w:eastAsia="Sylfaen" w:hAnsi="Sylfaen"/>
          <w:b/>
          <w:sz w:val="24"/>
          <w:szCs w:val="24"/>
        </w:rPr>
        <w:t>ՆՄՈՒՇԻ ՆԵՐՄՈՒԾՈՒՄ</w:t>
      </w:r>
    </w:p>
    <w:p w14:paraId="12C372B9" w14:textId="77777777" w:rsidR="00B834A2" w:rsidRPr="00B834A2" w:rsidRDefault="00B834A2" w:rsidP="00E960B1">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Անալիզի առաջին փուլն առանց վակուումի էական խախտման նմուշի՝ սարք ներմուծելն է: Հեղուկի ուղղակի ներմուծում կոչվող լայնորեն տարածված մեթոդում նմուշը տեղադրվում է գլանաձ</w:t>
      </w:r>
      <w:r>
        <w:rPr>
          <w:rStyle w:val="Bodytext210pt"/>
          <w:sz w:val="24"/>
          <w:szCs w:val="24"/>
        </w:rPr>
        <w:t>եւ</w:t>
      </w:r>
      <w:r w:rsidRPr="00B834A2">
        <w:rPr>
          <w:rStyle w:val="Bodytext210pt"/>
          <w:sz w:val="24"/>
          <w:szCs w:val="24"/>
        </w:rPr>
        <w:t xml:space="preserve"> կոթի ծայրին (քվարցային հալքանոթում, մետաղալարի վրա </w:t>
      </w:r>
      <w:r>
        <w:rPr>
          <w:rStyle w:val="Bodytext210pt"/>
          <w:sz w:val="24"/>
          <w:szCs w:val="24"/>
        </w:rPr>
        <w:t>եւ</w:t>
      </w:r>
      <w:r w:rsidRPr="00B834A2">
        <w:rPr>
          <w:rStyle w:val="Bodytext210pt"/>
          <w:sz w:val="24"/>
          <w:szCs w:val="24"/>
        </w:rPr>
        <w:t xml:space="preserve"> մետաղական մակեր</w:t>
      </w:r>
      <w:r>
        <w:rPr>
          <w:rStyle w:val="Bodytext210pt"/>
          <w:sz w:val="24"/>
          <w:szCs w:val="24"/>
        </w:rPr>
        <w:t>եւ</w:t>
      </w:r>
      <w:r w:rsidRPr="00B834A2">
        <w:rPr>
          <w:rStyle w:val="Bodytext210pt"/>
          <w:sz w:val="24"/>
          <w:szCs w:val="24"/>
        </w:rPr>
        <w:t xml:space="preserve">ույթի վրա): Այդ կոթը վակուումային անցախուցի միջով, որտեղ պահպանվում է սկզբնական միջանկյալ վակուումը մթնոլորտային ճնշման </w:t>
      </w:r>
      <w:r>
        <w:rPr>
          <w:rStyle w:val="Bodytext210pt"/>
          <w:sz w:val="24"/>
          <w:szCs w:val="24"/>
        </w:rPr>
        <w:t>եւ</w:t>
      </w:r>
      <w:r w:rsidRPr="00B834A2">
        <w:rPr>
          <w:rStyle w:val="Bodytext210pt"/>
          <w:sz w:val="24"/>
          <w:szCs w:val="24"/>
        </w:rPr>
        <w:t xml:space="preserve"> սարքի երկրորդային վակուումի միջ</w:t>
      </w:r>
      <w:r>
        <w:rPr>
          <w:rStyle w:val="Bodytext210pt"/>
          <w:sz w:val="24"/>
          <w:szCs w:val="24"/>
        </w:rPr>
        <w:t>եւ</w:t>
      </w:r>
      <w:r w:rsidRPr="00B834A2">
        <w:rPr>
          <w:rStyle w:val="Bodytext210pt"/>
          <w:sz w:val="24"/>
          <w:szCs w:val="24"/>
        </w:rPr>
        <w:t>, ներմուծվում է սպեկտրաչափ:</w:t>
      </w:r>
    </w:p>
    <w:p w14:paraId="6F14DC60"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Ներմուծման այլ համակարգեր թույլ են տալիս վերլուծել խառնուրդի այն բաղադրիչները, որոնք բաժանվում են զանգվածասպեկտրաչափին միացված համապատասխան սարքի օգնությամբ:</w:t>
      </w:r>
    </w:p>
    <w:p w14:paraId="0E573F6C"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E960B1">
        <w:rPr>
          <w:rStyle w:val="Bodytext211pt"/>
          <w:rFonts w:ascii="Sylfaen" w:eastAsia="Sylfaen" w:hAnsi="Sylfaen"/>
          <w:b/>
          <w:sz w:val="24"/>
          <w:szCs w:val="24"/>
        </w:rPr>
        <w:t>Գազային քրոմատագրում/ զանգվածասպեկտրաչափում</w:t>
      </w:r>
      <w:r w:rsidRPr="00B834A2">
        <w:rPr>
          <w:rStyle w:val="Bodytext211pt"/>
          <w:rFonts w:ascii="Sylfaen" w:eastAsia="Sylfaen" w:hAnsi="Sylfaen"/>
          <w:sz w:val="24"/>
          <w:szCs w:val="24"/>
        </w:rPr>
        <w:t xml:space="preserve">: </w:t>
      </w:r>
      <w:r w:rsidRPr="00B834A2">
        <w:rPr>
          <w:rStyle w:val="Bodytext210pt"/>
          <w:sz w:val="24"/>
          <w:szCs w:val="24"/>
        </w:rPr>
        <w:t>Համապատասխան սյուների օգտագործման դեպքում (մազախողովակային կամ կիսամազախողովակային) հնարավոր է սյան ծայրի՝ առանց զատիչի կիրառման սարքի իոնարարի անմիջական ներմուծում:</w:t>
      </w:r>
    </w:p>
    <w:p w14:paraId="4428BF1E"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E960B1">
        <w:rPr>
          <w:rStyle w:val="Bodytext211pt"/>
          <w:rFonts w:ascii="Sylfaen" w:eastAsia="Sylfaen" w:hAnsi="Sylfaen"/>
          <w:b/>
          <w:sz w:val="24"/>
          <w:szCs w:val="24"/>
        </w:rPr>
        <w:t>Հեղուկ քրոմատագրում/զանգվածասպեկտրաչափում</w:t>
      </w:r>
      <w:r w:rsidRPr="00B834A2">
        <w:rPr>
          <w:rStyle w:val="Bodytext211pt"/>
          <w:rFonts w:ascii="Sylfaen" w:eastAsia="Sylfaen" w:hAnsi="Sylfaen"/>
          <w:sz w:val="24"/>
          <w:szCs w:val="24"/>
        </w:rPr>
        <w:t xml:space="preserve">: </w:t>
      </w:r>
      <w:r w:rsidRPr="00B834A2">
        <w:rPr>
          <w:rStyle w:val="Bodytext210pt"/>
          <w:sz w:val="24"/>
          <w:szCs w:val="24"/>
        </w:rPr>
        <w:t>Նման համակցությունը հատկապես օգտակար է բ</w:t>
      </w:r>
      <w:r>
        <w:rPr>
          <w:rStyle w:val="Bodytext210pt"/>
          <w:sz w:val="24"/>
          <w:szCs w:val="24"/>
        </w:rPr>
        <w:t>եւ</w:t>
      </w:r>
      <w:r w:rsidRPr="00B834A2">
        <w:rPr>
          <w:rStyle w:val="Bodytext210pt"/>
          <w:sz w:val="24"/>
          <w:szCs w:val="24"/>
        </w:rPr>
        <w:t xml:space="preserve">եռային միացությունների անալիզի համար, որոնք բավարար չափով ցնդող չեն կամ չափազանց ջերմաանկայուն են, որպեսզի դրանք հնարավոր լինի զանգվածասպեկտրաչափության հետ միասին գազային քրոմատագրման մեթոդով վերլուծել: Տվյալ մեթոդը բարդանում է հեղուկ ֆազից գազային ֆազում իոնների ստացման բարդությամբ, ինչի համար պահանջվում է հատուկ ինտերֆեյսերի կիրառում, ինչպես օրինակ՝ </w:t>
      </w:r>
    </w:p>
    <w:p w14:paraId="6A38B42B"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E960B1">
        <w:rPr>
          <w:rFonts w:ascii="Sylfaen" w:hAnsi="Sylfaen"/>
          <w:i/>
          <w:sz w:val="24"/>
          <w:szCs w:val="24"/>
        </w:rPr>
        <w:t>հեղուկի ուղղակի ներմուծում</w:t>
      </w:r>
      <w:r w:rsidRPr="00B834A2">
        <w:rPr>
          <w:rFonts w:ascii="Sylfaen" w:hAnsi="Sylfaen"/>
          <w:sz w:val="24"/>
          <w:szCs w:val="24"/>
        </w:rPr>
        <w:t xml:space="preserve">՝ </w:t>
      </w:r>
      <w:r w:rsidRPr="00B834A2">
        <w:rPr>
          <w:rStyle w:val="Bodytext210pt"/>
          <w:sz w:val="24"/>
          <w:szCs w:val="24"/>
        </w:rPr>
        <w:t xml:space="preserve">շարժական ֆազը փոշիանում է, </w:t>
      </w:r>
      <w:r>
        <w:rPr>
          <w:rStyle w:val="Bodytext210pt"/>
          <w:sz w:val="24"/>
          <w:szCs w:val="24"/>
        </w:rPr>
        <w:t>եւ</w:t>
      </w:r>
      <w:r w:rsidRPr="00B834A2">
        <w:rPr>
          <w:rStyle w:val="Bodytext210pt"/>
          <w:sz w:val="24"/>
          <w:szCs w:val="24"/>
        </w:rPr>
        <w:t xml:space="preserve"> լուծիչը գոլորշիանում է սարքի իոնարարի դիմաց.</w:t>
      </w:r>
      <w:r>
        <w:rPr>
          <w:rStyle w:val="Bodytext210pt"/>
          <w:sz w:val="24"/>
          <w:szCs w:val="24"/>
        </w:rPr>
        <w:t xml:space="preserve"> </w:t>
      </w:r>
    </w:p>
    <w:p w14:paraId="1C64C065"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E960B1">
        <w:rPr>
          <w:rFonts w:ascii="Sylfaen" w:hAnsi="Sylfaen"/>
          <w:i/>
          <w:sz w:val="24"/>
          <w:szCs w:val="24"/>
        </w:rPr>
        <w:t>մասնիկների խրձով ինտերֆեյս</w:t>
      </w:r>
      <w:r w:rsidRPr="00B834A2">
        <w:rPr>
          <w:rFonts w:ascii="Sylfaen" w:hAnsi="Sylfaen"/>
          <w:sz w:val="24"/>
          <w:szCs w:val="24"/>
        </w:rPr>
        <w:t>՝</w:t>
      </w:r>
      <w:r w:rsidRPr="00B834A2">
        <w:rPr>
          <w:rStyle w:val="Bodytext210pt"/>
          <w:sz w:val="24"/>
          <w:szCs w:val="24"/>
        </w:rPr>
        <w:t xml:space="preserve"> շարժական ֆազ, որի արագությունը կարող է հասնել 0,6 մլ/րոպե, փոշիանում է դեսոլվատացման խցում, արդյունքում՝ իոնարարի սարքում հայտնվում են բացառապես որոշվող նյութերը՝ չեզոք ձ</w:t>
      </w:r>
      <w:r>
        <w:rPr>
          <w:rStyle w:val="Bodytext210pt"/>
          <w:sz w:val="24"/>
          <w:szCs w:val="24"/>
        </w:rPr>
        <w:t>եւ</w:t>
      </w:r>
      <w:r w:rsidRPr="00B834A2">
        <w:rPr>
          <w:rStyle w:val="Bodytext210pt"/>
          <w:sz w:val="24"/>
          <w:szCs w:val="24"/>
        </w:rPr>
        <w:t>ով. տվյալ եղանակը կարող է օգտագործվել հարաբերական ցածր բ</w:t>
      </w:r>
      <w:r>
        <w:rPr>
          <w:rStyle w:val="Bodytext210pt"/>
          <w:sz w:val="24"/>
          <w:szCs w:val="24"/>
        </w:rPr>
        <w:t>եւ</w:t>
      </w:r>
      <w:r w:rsidRPr="00B834A2">
        <w:rPr>
          <w:rStyle w:val="Bodytext210pt"/>
          <w:sz w:val="24"/>
          <w:szCs w:val="24"/>
        </w:rPr>
        <w:t xml:space="preserve">եռայնությամբ </w:t>
      </w:r>
      <w:r>
        <w:rPr>
          <w:rStyle w:val="Bodytext210pt"/>
          <w:sz w:val="24"/>
          <w:szCs w:val="24"/>
        </w:rPr>
        <w:t>եւ</w:t>
      </w:r>
      <w:r w:rsidRPr="00B834A2">
        <w:rPr>
          <w:rStyle w:val="Bodytext210pt"/>
          <w:sz w:val="24"/>
          <w:szCs w:val="24"/>
        </w:rPr>
        <w:t xml:space="preserve"> 1000 Դա-ից պակաս մոլեկուլային զանգվածներով միացությունների համար. </w:t>
      </w:r>
    </w:p>
    <w:p w14:paraId="6035B64F" w14:textId="77777777" w:rsidR="00B834A2" w:rsidRPr="009217DE" w:rsidRDefault="00B834A2" w:rsidP="00955E48">
      <w:pPr>
        <w:pStyle w:val="Bodytext20"/>
        <w:shd w:val="clear" w:color="auto" w:fill="auto"/>
        <w:tabs>
          <w:tab w:val="left" w:pos="1134"/>
        </w:tabs>
        <w:spacing w:before="0" w:after="160" w:line="360" w:lineRule="auto"/>
        <w:ind w:firstLine="567"/>
        <w:jc w:val="both"/>
        <w:rPr>
          <w:rStyle w:val="Bodytext210pt"/>
          <w:sz w:val="24"/>
          <w:szCs w:val="24"/>
        </w:rPr>
      </w:pPr>
      <w:r w:rsidRPr="00B834A2">
        <w:rPr>
          <w:rFonts w:ascii="Sylfaen" w:hAnsi="Sylfaen"/>
          <w:sz w:val="24"/>
          <w:szCs w:val="24"/>
        </w:rPr>
        <w:t>-</w:t>
      </w:r>
      <w:r w:rsidR="00955E48" w:rsidRPr="00955E48">
        <w:rPr>
          <w:rFonts w:ascii="Sylfaen" w:hAnsi="Sylfaen"/>
          <w:sz w:val="24"/>
          <w:szCs w:val="24"/>
        </w:rPr>
        <w:tab/>
      </w:r>
      <w:r w:rsidRPr="00E960B1">
        <w:rPr>
          <w:rFonts w:ascii="Sylfaen" w:hAnsi="Sylfaen"/>
          <w:i/>
          <w:sz w:val="24"/>
          <w:szCs w:val="24"/>
        </w:rPr>
        <w:t>շարժվող ժապավենով ինտերֆեյս</w:t>
      </w:r>
      <w:r w:rsidRPr="00B834A2">
        <w:rPr>
          <w:rFonts w:ascii="Sylfaen" w:hAnsi="Sylfaen"/>
          <w:sz w:val="24"/>
          <w:szCs w:val="24"/>
        </w:rPr>
        <w:t xml:space="preserve">. </w:t>
      </w:r>
      <w:r w:rsidRPr="00B834A2">
        <w:rPr>
          <w:rStyle w:val="Bodytext210pt"/>
          <w:sz w:val="24"/>
          <w:szCs w:val="24"/>
        </w:rPr>
        <w:t>շարժական ֆազ, որի արագությունը կարող է հասնել 1 մլ/րոպե, քսվում է շարժվող ժապավենի մակեր</w:t>
      </w:r>
      <w:r>
        <w:rPr>
          <w:rStyle w:val="Bodytext210pt"/>
          <w:sz w:val="24"/>
          <w:szCs w:val="24"/>
        </w:rPr>
        <w:t>եւ</w:t>
      </w:r>
      <w:r w:rsidRPr="00B834A2">
        <w:rPr>
          <w:rStyle w:val="Bodytext210pt"/>
          <w:sz w:val="24"/>
          <w:szCs w:val="24"/>
        </w:rPr>
        <w:t>ույթին. լուծիչի շոգեհանումից հետո անալիզի ենթարկվող նմուշը տեղափոխվում է սարքի իոնարար, որտեղ ենթարկվում է իոնացման. տվյալ եղանակը քիչ արդյունավետ է չափազանց բ</w:t>
      </w:r>
      <w:r>
        <w:rPr>
          <w:rStyle w:val="Bodytext210pt"/>
          <w:sz w:val="24"/>
          <w:szCs w:val="24"/>
        </w:rPr>
        <w:t>եւ</w:t>
      </w:r>
      <w:r w:rsidRPr="00B834A2">
        <w:rPr>
          <w:rStyle w:val="Bodytext210pt"/>
          <w:sz w:val="24"/>
          <w:szCs w:val="24"/>
        </w:rPr>
        <w:t xml:space="preserve">եռային կամ ջերմաանկայուն միացությունների համար: </w:t>
      </w:r>
    </w:p>
    <w:p w14:paraId="079FE9D1" w14:textId="77777777" w:rsidR="00E960B1" w:rsidRPr="009217DE" w:rsidRDefault="00E960B1" w:rsidP="00955E48">
      <w:pPr>
        <w:pStyle w:val="Bodytext20"/>
        <w:shd w:val="clear" w:color="auto" w:fill="auto"/>
        <w:tabs>
          <w:tab w:val="left" w:pos="1134"/>
        </w:tabs>
        <w:spacing w:before="0" w:after="160" w:line="360" w:lineRule="auto"/>
        <w:ind w:firstLine="567"/>
        <w:jc w:val="both"/>
        <w:rPr>
          <w:rFonts w:ascii="Sylfaen" w:hAnsi="Sylfaen"/>
          <w:sz w:val="24"/>
          <w:szCs w:val="24"/>
        </w:rPr>
      </w:pPr>
    </w:p>
    <w:p w14:paraId="1CD9A6BC" w14:textId="77777777" w:rsidR="00B834A2" w:rsidRPr="00B834A2" w:rsidRDefault="00B834A2" w:rsidP="00955E48">
      <w:pPr>
        <w:spacing w:after="160" w:line="360" w:lineRule="auto"/>
        <w:ind w:firstLine="567"/>
        <w:jc w:val="both"/>
      </w:pPr>
      <w:r w:rsidRPr="00B834A2">
        <w:rPr>
          <w:rStyle w:val="Bodytext210pt"/>
          <w:sz w:val="24"/>
          <w:szCs w:val="24"/>
        </w:rPr>
        <w:lastRenderedPageBreak/>
        <w:t xml:space="preserve">Ինտերֆեյսների այլ տեսակներ (էլեկտրափոշիացում, ջերմափոշիացում, քիմիական իոացում՝ մթնոլորտային ճնշման դեպքում) կարող են դիտվել որպես իոնացման ինքնուրույն մեթոդներ </w:t>
      </w:r>
      <w:r>
        <w:rPr>
          <w:rStyle w:val="Bodytext210pt"/>
          <w:sz w:val="24"/>
          <w:szCs w:val="24"/>
        </w:rPr>
        <w:t>եւ</w:t>
      </w:r>
      <w:r w:rsidRPr="00B834A2">
        <w:rPr>
          <w:rStyle w:val="Bodytext210pt"/>
          <w:sz w:val="24"/>
          <w:szCs w:val="24"/>
        </w:rPr>
        <w:t xml:space="preserve"> նկարագրվել իոնացման եղանակներին նվիրված գլխում: </w:t>
      </w:r>
    </w:p>
    <w:p w14:paraId="64DE296D"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Գերկրիտիկական ֆլյուիդ քրոմատագրում/զանգվածասպեկտրաչափում:</w:t>
      </w:r>
      <w:r>
        <w:rPr>
          <w:rStyle w:val="Bodytext210pt"/>
          <w:b/>
          <w:sz w:val="24"/>
          <w:szCs w:val="24"/>
        </w:rPr>
        <w:t xml:space="preserve"> </w:t>
      </w:r>
      <w:r w:rsidRPr="00B834A2">
        <w:rPr>
          <w:rStyle w:val="Bodytext210pt"/>
          <w:sz w:val="24"/>
          <w:szCs w:val="24"/>
        </w:rPr>
        <w:t xml:space="preserve">Գերկրիտիկական վիճակում գտնվող ածխածնի երկօքսիդից սովորաբար բաղկացած շարժուն ֆազն անցնում է գազանման վիճակի սյան </w:t>
      </w:r>
      <w:r>
        <w:rPr>
          <w:rStyle w:val="Bodytext210pt"/>
          <w:sz w:val="24"/>
          <w:szCs w:val="24"/>
        </w:rPr>
        <w:t>եւ</w:t>
      </w:r>
      <w:r w:rsidRPr="00B834A2">
        <w:rPr>
          <w:rStyle w:val="Bodytext210pt"/>
          <w:sz w:val="24"/>
          <w:szCs w:val="24"/>
        </w:rPr>
        <w:t xml:space="preserve"> իոնարարի միջ</w:t>
      </w:r>
      <w:r>
        <w:rPr>
          <w:rStyle w:val="Bodytext210pt"/>
          <w:sz w:val="24"/>
          <w:szCs w:val="24"/>
        </w:rPr>
        <w:t>եւ</w:t>
      </w:r>
      <w:r w:rsidRPr="00B834A2">
        <w:rPr>
          <w:rStyle w:val="Bodytext210pt"/>
          <w:sz w:val="24"/>
          <w:szCs w:val="24"/>
        </w:rPr>
        <w:t xml:space="preserve"> գտնվող տաքացրած սահափականի միջով անցնելուց հետո:</w:t>
      </w:r>
      <w:r>
        <w:rPr>
          <w:rStyle w:val="Bodytext210pt"/>
          <w:sz w:val="24"/>
          <w:szCs w:val="24"/>
        </w:rPr>
        <w:t xml:space="preserve"> </w:t>
      </w:r>
    </w:p>
    <w:p w14:paraId="39E81E1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Մազախողավակային էլեկտրաֆորեզ/զանգվածասպեկտրաչափում:</w:t>
      </w:r>
      <w:r>
        <w:rPr>
          <w:rStyle w:val="Bodytext210pt"/>
          <w:b/>
          <w:sz w:val="24"/>
          <w:szCs w:val="24"/>
        </w:rPr>
        <w:t xml:space="preserve"> </w:t>
      </w:r>
      <w:r w:rsidRPr="00B834A2">
        <w:rPr>
          <w:rStyle w:val="Bodytext210pt"/>
          <w:sz w:val="24"/>
          <w:szCs w:val="24"/>
        </w:rPr>
        <w:t xml:space="preserve">Էլյուենտը ներմուծվում է իոնարար, որոշ դեպքերում լրացուցիչ լուծիչն ավելացնելուց հետո հոսքի՝ րոպեում մոտ մի քանի միլիմետր արագության հասնելու համար: Տվյալ մեթոդի սահմանափակումներն են ներմուծվող նմուշի փոքր քանակությունները </w:t>
      </w:r>
      <w:r>
        <w:rPr>
          <w:rStyle w:val="Bodytext210pt"/>
          <w:sz w:val="24"/>
          <w:szCs w:val="24"/>
        </w:rPr>
        <w:t>եւ</w:t>
      </w:r>
      <w:r w:rsidRPr="00B834A2">
        <w:rPr>
          <w:rStyle w:val="Bodytext210pt"/>
          <w:sz w:val="24"/>
          <w:szCs w:val="24"/>
        </w:rPr>
        <w:t xml:space="preserve"> ցնդող բուֆերային լուծույթների օգտագործման անհրաժեշտությունը: </w:t>
      </w:r>
    </w:p>
    <w:p w14:paraId="18D7ADAE" w14:textId="77777777" w:rsidR="00B834A2" w:rsidRPr="00B834A2" w:rsidRDefault="00B834A2" w:rsidP="00B834A2">
      <w:pPr>
        <w:pStyle w:val="Bodytext20"/>
        <w:shd w:val="clear" w:color="auto" w:fill="auto"/>
        <w:spacing w:before="0" w:after="160" w:line="360" w:lineRule="auto"/>
        <w:ind w:firstLine="567"/>
        <w:rPr>
          <w:rStyle w:val="Bodytext210pt"/>
          <w:b/>
          <w:sz w:val="24"/>
          <w:szCs w:val="24"/>
        </w:rPr>
      </w:pPr>
    </w:p>
    <w:p w14:paraId="252EA4B5" w14:textId="77777777" w:rsidR="00B834A2" w:rsidRPr="00B834A2" w:rsidRDefault="00B834A2" w:rsidP="00955E48">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t>ԻՈՆԱՑՄԱՆ ԵՂԱՆԱԿՆԵՐ</w:t>
      </w:r>
    </w:p>
    <w:p w14:paraId="09718BF3" w14:textId="77777777" w:rsidR="00B834A2" w:rsidRPr="004A7CC9"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
          <w:b/>
          <w:sz w:val="24"/>
          <w:szCs w:val="24"/>
        </w:rPr>
        <w:t>Էլեկտրոնային հարված:</w:t>
      </w:r>
      <w:r w:rsidRPr="00B834A2">
        <w:rPr>
          <w:rStyle w:val="Bodytext210pt"/>
          <w:sz w:val="24"/>
          <w:szCs w:val="24"/>
        </w:rPr>
        <w:t xml:space="preserve"> Գազանման վիճակում գտնվող նմուշն իոնացվում է էլեկտրոնների հոսքով, որոնց էներգիան (սովորաբար 70 էՎ) մեծ է նմուշի իոնացման էներգիայից: Ընդ որում, М</w:t>
      </w:r>
      <w:r w:rsidRPr="00B834A2">
        <w:rPr>
          <w:rStyle w:val="Bodytext210pt"/>
          <w:sz w:val="24"/>
          <w:szCs w:val="24"/>
          <w:vertAlign w:val="superscript"/>
        </w:rPr>
        <w:t>+</w:t>
      </w:r>
      <w:r w:rsidRPr="00B834A2">
        <w:rPr>
          <w:rStyle w:val="Bodytext210pt"/>
          <w:sz w:val="24"/>
          <w:szCs w:val="24"/>
        </w:rPr>
        <w:t xml:space="preserve"> մոլեկուլյար իոնից բացի գոյանում են տվյալ մոլեկուլային կառուցվածքի համար բնորոշ բեկորային իոններ: Տվյալ եղանակի հիմնական սահմանափակումն է նմուշի գոլորշիացման անհրաժեշտությունը,</w:t>
      </w:r>
      <w:r w:rsidR="00696072">
        <w:rPr>
          <w:rStyle w:val="Bodytext210pt"/>
          <w:sz w:val="24"/>
          <w:szCs w:val="24"/>
        </w:rPr>
        <w:t xml:space="preserve"> </w:t>
      </w:r>
      <w:r w:rsidRPr="00B834A2">
        <w:rPr>
          <w:rStyle w:val="Bodytext210pt"/>
          <w:sz w:val="24"/>
          <w:szCs w:val="24"/>
        </w:rPr>
        <w:t>ինչն անհնարին է դարձնում դրա կիրառումը բ</w:t>
      </w:r>
      <w:r>
        <w:rPr>
          <w:rStyle w:val="Bodytext210pt"/>
          <w:sz w:val="24"/>
          <w:szCs w:val="24"/>
        </w:rPr>
        <w:t>եւ</w:t>
      </w:r>
      <w:r w:rsidRPr="00B834A2">
        <w:rPr>
          <w:rStyle w:val="Bodytext210pt"/>
          <w:sz w:val="24"/>
          <w:szCs w:val="24"/>
        </w:rPr>
        <w:t>եռային, ջերմաանկայուն կամ բարձրմոլեկուլային միացությունների համար: Էլեկտրոնային հարվածով իոնացումը կարող է օգտագործվել զանգվածասպեկտրաչափման հետ միացված գազային քրոմատագրման մեջ, իսկ որոշ դեպքերում նա</w:t>
      </w:r>
      <w:r>
        <w:rPr>
          <w:rStyle w:val="Bodytext210pt"/>
          <w:sz w:val="24"/>
          <w:szCs w:val="24"/>
        </w:rPr>
        <w:t>եւ</w:t>
      </w:r>
      <w:r w:rsidRPr="00B834A2">
        <w:rPr>
          <w:rStyle w:val="Bodytext210pt"/>
          <w:sz w:val="24"/>
          <w:szCs w:val="24"/>
        </w:rPr>
        <w:t>՝ հեղուկ քրոմատագրման մեջ:</w:t>
      </w:r>
    </w:p>
    <w:p w14:paraId="641294BC" w14:textId="77777777" w:rsidR="00DE4F37" w:rsidRPr="004A7CC9" w:rsidRDefault="00DE4F37" w:rsidP="00955E48">
      <w:pPr>
        <w:pStyle w:val="Bodytext20"/>
        <w:shd w:val="clear" w:color="auto" w:fill="auto"/>
        <w:spacing w:before="0" w:after="160" w:line="360" w:lineRule="auto"/>
        <w:ind w:firstLine="567"/>
        <w:jc w:val="both"/>
        <w:rPr>
          <w:rFonts w:ascii="Sylfaen" w:hAnsi="Sylfaen"/>
          <w:sz w:val="24"/>
          <w:szCs w:val="24"/>
        </w:rPr>
      </w:pPr>
    </w:p>
    <w:p w14:paraId="37E0D7A0"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lastRenderedPageBreak/>
        <w:t>Քիմիական իոնացում:</w:t>
      </w:r>
      <w:r w:rsidRPr="00B834A2">
        <w:rPr>
          <w:rStyle w:val="Bodytext210pt"/>
          <w:sz w:val="24"/>
          <w:szCs w:val="24"/>
        </w:rPr>
        <w:t xml:space="preserve"> Իոնացման այդ տեսակը ենթադրում է այնպիսի գազ-ռեակտիվի օգտագործում, ինչպես օրինակ՝ մեթան, ամիակ, ազոտի մոնոօքսիդ, ազոտի երկօքսիդ կամ թթվածին: Սպեկտրը բնութագրվում է (М + Н)</w:t>
      </w:r>
      <w:r w:rsidRPr="00B834A2">
        <w:rPr>
          <w:rStyle w:val="Bodytext210pt"/>
          <w:sz w:val="24"/>
          <w:szCs w:val="24"/>
          <w:vertAlign w:val="superscript"/>
        </w:rPr>
        <w:t>+</w:t>
      </w:r>
      <w:r w:rsidRPr="00B834A2">
        <w:rPr>
          <w:rStyle w:val="Bodytext210pt"/>
          <w:sz w:val="24"/>
          <w:szCs w:val="24"/>
        </w:rPr>
        <w:t xml:space="preserve"> կամ</w:t>
      </w:r>
      <w:r w:rsidR="00DE4F37">
        <w:rPr>
          <w:rStyle w:val="Bodytext210pt"/>
          <w:sz w:val="24"/>
          <w:szCs w:val="24"/>
        </w:rPr>
        <w:t xml:space="preserve"> (М-</w:t>
      </w:r>
      <w:r w:rsidRPr="00B834A2">
        <w:rPr>
          <w:rStyle w:val="Bodytext210pt"/>
          <w:sz w:val="24"/>
          <w:szCs w:val="24"/>
        </w:rPr>
        <w:t xml:space="preserve">Н) տեսակի իոններով կամ նմուշից </w:t>
      </w:r>
      <w:r>
        <w:rPr>
          <w:rStyle w:val="Bodytext210pt"/>
          <w:sz w:val="24"/>
          <w:szCs w:val="24"/>
        </w:rPr>
        <w:t>եւ</w:t>
      </w:r>
      <w:r w:rsidRPr="00B834A2">
        <w:rPr>
          <w:rStyle w:val="Bodytext210pt"/>
          <w:sz w:val="24"/>
          <w:szCs w:val="24"/>
        </w:rPr>
        <w:t xml:space="preserve"> օգտագործվող գազից գոյացած իոն-ադդուկտներով: Բեկորային իոնները գոյանում են առավել հազվադեպ, քան էլեկտրոնային հատվածով իոնացման դեպքում: Ջերմաանկայուն նյութերի համար օգտագործվում է իոնացման տվյալ մեթոդի տարատեսակը, որի դեպքում մետաղալարի վրա գտնվող նմուշը շատ արագ գոլորշիանում է Ջոուլ-Թոմսոնի էֆեկտի հետ</w:t>
      </w:r>
      <w:r>
        <w:rPr>
          <w:rStyle w:val="Bodytext210pt"/>
          <w:sz w:val="24"/>
          <w:szCs w:val="24"/>
        </w:rPr>
        <w:t>եւ</w:t>
      </w:r>
      <w:r w:rsidRPr="00B834A2">
        <w:rPr>
          <w:rStyle w:val="Bodytext210pt"/>
          <w:sz w:val="24"/>
          <w:szCs w:val="24"/>
        </w:rPr>
        <w:t xml:space="preserve">անքով (դեսորբցիոն քիմիական իոնացում): </w:t>
      </w:r>
    </w:p>
    <w:p w14:paraId="47BCDB1C"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E960B1">
        <w:rPr>
          <w:rFonts w:ascii="Sylfaen" w:hAnsi="Sylfaen"/>
          <w:b/>
          <w:sz w:val="24"/>
          <w:szCs w:val="24"/>
        </w:rPr>
        <w:t>Արագ ատոմներով ռմբակոծումը (</w:t>
      </w:r>
      <w:smartTag w:uri="urn:schemas-microsoft-com:office:smarttags" w:element="stockticker">
        <w:r w:rsidRPr="00E960B1">
          <w:rPr>
            <w:rFonts w:ascii="Sylfaen" w:hAnsi="Sylfaen"/>
            <w:b/>
            <w:sz w:val="24"/>
            <w:szCs w:val="24"/>
          </w:rPr>
          <w:t>FAB</w:t>
        </w:r>
      </w:smartTag>
      <w:r w:rsidRPr="00E960B1">
        <w:rPr>
          <w:rFonts w:ascii="Sylfaen" w:hAnsi="Sylfaen"/>
          <w:b/>
          <w:sz w:val="24"/>
          <w:szCs w:val="24"/>
        </w:rPr>
        <w:t>) կամ արագ իոններով ռմբակոծմամբ իոնացումը (երկրորդային իոնների հեղուկ զանգվածասպեկտրաչափում՝ LSIMS):</w:t>
      </w:r>
      <w:r w:rsidRPr="00B834A2">
        <w:rPr>
          <w:rStyle w:val="Bodytext210pt"/>
          <w:sz w:val="24"/>
          <w:szCs w:val="24"/>
        </w:rPr>
        <w:t xml:space="preserve"> Մածուցիկ մատրիցում (օրինակ՝ գլիցերինում) լուծված նմուշը քսվում է մետաղական մակեր</w:t>
      </w:r>
      <w:r>
        <w:rPr>
          <w:rStyle w:val="Bodytext210pt"/>
          <w:sz w:val="24"/>
          <w:szCs w:val="24"/>
        </w:rPr>
        <w:t>եւ</w:t>
      </w:r>
      <w:r w:rsidRPr="00B834A2">
        <w:rPr>
          <w:rStyle w:val="Bodytext210pt"/>
          <w:sz w:val="24"/>
          <w:szCs w:val="24"/>
        </w:rPr>
        <w:t xml:space="preserve">ույթին </w:t>
      </w:r>
      <w:r>
        <w:rPr>
          <w:rStyle w:val="Bodytext210pt"/>
          <w:sz w:val="24"/>
          <w:szCs w:val="24"/>
        </w:rPr>
        <w:t>եւ</w:t>
      </w:r>
      <w:r w:rsidRPr="00B834A2">
        <w:rPr>
          <w:rStyle w:val="Bodytext210pt"/>
          <w:sz w:val="24"/>
          <w:szCs w:val="24"/>
        </w:rPr>
        <w:t xml:space="preserve"> իոնացվում է չեզոք ատոմների հոսքով, օրինակ՝ արգոնի, քսենոնի կամ մեծ կինետիկ էներգիայով օժտված ցեզիումի իոններով:</w:t>
      </w:r>
      <w:r>
        <w:rPr>
          <w:rStyle w:val="Bodytext210pt"/>
          <w:sz w:val="24"/>
          <w:szCs w:val="24"/>
        </w:rPr>
        <w:t xml:space="preserve"> </w:t>
      </w:r>
      <w:r w:rsidRPr="00B834A2">
        <w:rPr>
          <w:rStyle w:val="Bodytext210pt"/>
          <w:sz w:val="24"/>
          <w:szCs w:val="24"/>
        </w:rPr>
        <w:t>Գոյանում են</w:t>
      </w:r>
      <w:r w:rsidR="00123D1A">
        <w:rPr>
          <w:rStyle w:val="Bodytext210pt"/>
          <w:sz w:val="24"/>
          <w:szCs w:val="24"/>
        </w:rPr>
        <w:t xml:space="preserve"> (М+</w:t>
      </w:r>
      <w:r w:rsidRPr="00B834A2">
        <w:rPr>
          <w:rStyle w:val="Bodytext210pt"/>
          <w:sz w:val="24"/>
          <w:szCs w:val="24"/>
        </w:rPr>
        <w:t>Н)</w:t>
      </w:r>
      <w:r w:rsidRPr="00B834A2">
        <w:rPr>
          <w:rStyle w:val="Bodytext210pt"/>
          <w:sz w:val="24"/>
          <w:szCs w:val="24"/>
          <w:vertAlign w:val="superscript"/>
        </w:rPr>
        <w:t>+</w:t>
      </w:r>
      <w:r w:rsidRPr="00B834A2">
        <w:rPr>
          <w:rStyle w:val="Bodytext210pt"/>
          <w:sz w:val="24"/>
          <w:szCs w:val="24"/>
        </w:rPr>
        <w:t xml:space="preserve"> կամ</w:t>
      </w:r>
      <w:r w:rsidR="00123D1A">
        <w:rPr>
          <w:rStyle w:val="Bodytext210pt"/>
          <w:sz w:val="24"/>
          <w:szCs w:val="24"/>
        </w:rPr>
        <w:t xml:space="preserve"> (М-</w:t>
      </w:r>
      <w:r w:rsidRPr="00B834A2">
        <w:rPr>
          <w:rStyle w:val="Bodytext210pt"/>
          <w:sz w:val="24"/>
          <w:szCs w:val="24"/>
        </w:rPr>
        <w:t>Н)~ տեսակի իոններ կամ մատրիցով կամ նմուշով ձ</w:t>
      </w:r>
      <w:r>
        <w:rPr>
          <w:rStyle w:val="Bodytext210pt"/>
          <w:sz w:val="24"/>
          <w:szCs w:val="24"/>
        </w:rPr>
        <w:t>եւ</w:t>
      </w:r>
      <w:r w:rsidRPr="00B834A2">
        <w:rPr>
          <w:rStyle w:val="Bodytext210pt"/>
          <w:sz w:val="24"/>
          <w:szCs w:val="24"/>
        </w:rPr>
        <w:t>ավորված իոն-ադդուկտներ: Իոնացման տվյալ տեսակը հարմար է մինչ</w:t>
      </w:r>
      <w:r>
        <w:rPr>
          <w:rStyle w:val="Bodytext210pt"/>
          <w:sz w:val="24"/>
          <w:szCs w:val="24"/>
        </w:rPr>
        <w:t>եւ</w:t>
      </w:r>
      <w:r w:rsidRPr="00B834A2">
        <w:rPr>
          <w:rStyle w:val="Bodytext210pt"/>
          <w:sz w:val="24"/>
          <w:szCs w:val="24"/>
        </w:rPr>
        <w:t xml:space="preserve"> 10</w:t>
      </w:r>
      <w:r w:rsidR="00123D1A" w:rsidRPr="00123D1A">
        <w:rPr>
          <w:rStyle w:val="Bodytext210pt"/>
          <w:sz w:val="24"/>
          <w:szCs w:val="24"/>
        </w:rPr>
        <w:t> </w:t>
      </w:r>
      <w:r w:rsidRPr="00B834A2">
        <w:rPr>
          <w:rStyle w:val="Bodytext210pt"/>
          <w:sz w:val="24"/>
          <w:szCs w:val="24"/>
        </w:rPr>
        <w:t>000 Դա մոլեկուլային զանգված ունեցող բ</w:t>
      </w:r>
      <w:r>
        <w:rPr>
          <w:rStyle w:val="Bodytext210pt"/>
          <w:sz w:val="24"/>
          <w:szCs w:val="24"/>
        </w:rPr>
        <w:t>եւ</w:t>
      </w:r>
      <w:r w:rsidRPr="00B834A2">
        <w:rPr>
          <w:rStyle w:val="Bodytext210pt"/>
          <w:sz w:val="24"/>
          <w:szCs w:val="24"/>
        </w:rPr>
        <w:t>եռային, ջերմաանկայուն միացությունների համար</w:t>
      </w:r>
      <w:r w:rsidR="00123D1A">
        <w:rPr>
          <w:rStyle w:val="Bodytext210pt"/>
          <w:sz w:val="24"/>
          <w:szCs w:val="24"/>
        </w:rPr>
        <w:t>: 1</w:t>
      </w:r>
      <w:r w:rsidRPr="00B834A2">
        <w:rPr>
          <w:rStyle w:val="Bodytext210pt"/>
          <w:sz w:val="24"/>
          <w:szCs w:val="24"/>
        </w:rPr>
        <w:t>%-ից մինչ</w:t>
      </w:r>
      <w:r>
        <w:rPr>
          <w:rStyle w:val="Bodytext210pt"/>
          <w:sz w:val="24"/>
          <w:szCs w:val="24"/>
        </w:rPr>
        <w:t>եւ</w:t>
      </w:r>
      <w:r w:rsidRPr="00B834A2">
        <w:rPr>
          <w:rStyle w:val="Bodytext210pt"/>
          <w:sz w:val="24"/>
          <w:szCs w:val="24"/>
        </w:rPr>
        <w:t xml:space="preserve"> 2% շարժուն ֆազին գլիցերին ավելացնելիս այն կարող է օգտագործվել հեղուկ քրոմատագրման համար, սակայն շարժուն ֆազի արագությունը պետք է լինի շատ ցածր (մի քանի կիլոլիտր րոպեում):</w:t>
      </w:r>
      <w:r>
        <w:rPr>
          <w:rStyle w:val="Bodytext210pt"/>
          <w:sz w:val="24"/>
          <w:szCs w:val="24"/>
        </w:rPr>
        <w:t xml:space="preserve"> </w:t>
      </w:r>
      <w:r w:rsidRPr="00B834A2">
        <w:rPr>
          <w:rStyle w:val="Bodytext210pt"/>
          <w:sz w:val="24"/>
          <w:szCs w:val="24"/>
        </w:rPr>
        <w:t>Քրոմատագրման սկավառակների մակեր</w:t>
      </w:r>
      <w:r>
        <w:rPr>
          <w:rStyle w:val="Bodytext210pt"/>
          <w:sz w:val="24"/>
          <w:szCs w:val="24"/>
        </w:rPr>
        <w:t>եւ</w:t>
      </w:r>
      <w:r w:rsidRPr="00B834A2">
        <w:rPr>
          <w:rStyle w:val="Bodytext210pt"/>
          <w:sz w:val="24"/>
          <w:szCs w:val="24"/>
        </w:rPr>
        <w:t>ույթին մատրիցի բարակ շերտ քսելու դեպքում իոնացման նման եղանակը թույլատրվում է կիրառել նա</w:t>
      </w:r>
      <w:r>
        <w:rPr>
          <w:rStyle w:val="Bodytext210pt"/>
          <w:sz w:val="24"/>
          <w:szCs w:val="24"/>
        </w:rPr>
        <w:t>եւ</w:t>
      </w:r>
      <w:r w:rsidRPr="00B834A2">
        <w:rPr>
          <w:rStyle w:val="Bodytext210pt"/>
          <w:sz w:val="24"/>
          <w:szCs w:val="24"/>
        </w:rPr>
        <w:t xml:space="preserve"> նրբաշերտ քրոմատագրման մեջ:</w:t>
      </w:r>
    </w:p>
    <w:p w14:paraId="332E8DAD"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Դաշտային դեսորբում կամ դաշտային իոնացում:</w:t>
      </w:r>
      <w:r w:rsidRPr="00B834A2">
        <w:rPr>
          <w:rStyle w:val="Bodytext210pt"/>
          <w:sz w:val="24"/>
          <w:szCs w:val="24"/>
        </w:rPr>
        <w:t xml:space="preserve"> Նմուշը գոլորշիանում է միկրոասեղներով պատված վոլֆրամային մետաղալարի մոտ (դաշտային իոնացում) կամ տեղադրվում է այդ մետաղալարի վրա (դաշտային դեսորբում):</w:t>
      </w:r>
      <w:r>
        <w:rPr>
          <w:rStyle w:val="Bodytext210pt"/>
          <w:sz w:val="24"/>
          <w:szCs w:val="24"/>
        </w:rPr>
        <w:t xml:space="preserve"> </w:t>
      </w:r>
      <w:r w:rsidRPr="00B834A2">
        <w:rPr>
          <w:rStyle w:val="Bodytext210pt"/>
          <w:sz w:val="24"/>
          <w:szCs w:val="24"/>
        </w:rPr>
        <w:t xml:space="preserve">Մետաղալարի </w:t>
      </w:r>
      <w:r>
        <w:rPr>
          <w:rStyle w:val="Bodytext210pt"/>
          <w:sz w:val="24"/>
          <w:szCs w:val="24"/>
        </w:rPr>
        <w:t>եւ</w:t>
      </w:r>
      <w:r w:rsidRPr="00B834A2">
        <w:rPr>
          <w:rStyle w:val="Bodytext210pt"/>
          <w:sz w:val="24"/>
          <w:szCs w:val="24"/>
        </w:rPr>
        <w:t xml:space="preserve"> հակաէլեկտրոդների միջ</w:t>
      </w:r>
      <w:r>
        <w:rPr>
          <w:rStyle w:val="Bodytext210pt"/>
          <w:sz w:val="24"/>
          <w:szCs w:val="24"/>
        </w:rPr>
        <w:t>եւ</w:t>
      </w:r>
      <w:r w:rsidRPr="00B834A2">
        <w:rPr>
          <w:rStyle w:val="Bodytext210pt"/>
          <w:sz w:val="24"/>
          <w:szCs w:val="24"/>
        </w:rPr>
        <w:t xml:space="preserve"> առաջացող ուժեղ էլեկտրական դաշտը (մոտ 10 կՎ լարում) իոնացնում է նմուշը: Իոնացման տվյալ եղանակների դեպքում գոյանում են հիմնականում М</w:t>
      </w:r>
      <w:r w:rsidRPr="00B834A2">
        <w:rPr>
          <w:rStyle w:val="Bodytext210pt"/>
          <w:sz w:val="24"/>
          <w:szCs w:val="24"/>
          <w:vertAlign w:val="superscript"/>
        </w:rPr>
        <w:t>+</w:t>
      </w:r>
      <w:r w:rsidRPr="00B834A2">
        <w:rPr>
          <w:rStyle w:val="Bodytext210pt"/>
          <w:sz w:val="24"/>
          <w:szCs w:val="24"/>
        </w:rPr>
        <w:t xml:space="preserve"> մոլեկուլային իոններ </w:t>
      </w:r>
      <w:r>
        <w:rPr>
          <w:rStyle w:val="Bodytext210pt"/>
          <w:sz w:val="24"/>
          <w:szCs w:val="24"/>
        </w:rPr>
        <w:t>եւ</w:t>
      </w:r>
      <w:r w:rsidR="00123D1A">
        <w:rPr>
          <w:rStyle w:val="Bodytext210pt"/>
          <w:sz w:val="24"/>
          <w:szCs w:val="24"/>
        </w:rPr>
        <w:t xml:space="preserve"> (М+</w:t>
      </w:r>
      <w:r w:rsidRPr="00B834A2">
        <w:rPr>
          <w:rStyle w:val="Bodytext210pt"/>
          <w:sz w:val="24"/>
          <w:szCs w:val="24"/>
        </w:rPr>
        <w:t>Н)</w:t>
      </w:r>
      <w:r w:rsidRPr="00B834A2">
        <w:rPr>
          <w:rStyle w:val="Bodytext210pt"/>
          <w:sz w:val="24"/>
          <w:szCs w:val="24"/>
          <w:vertAlign w:val="superscript"/>
        </w:rPr>
        <w:t>+</w:t>
      </w:r>
      <w:r w:rsidRPr="00B834A2">
        <w:rPr>
          <w:rStyle w:val="Bodytext210pt"/>
          <w:sz w:val="24"/>
          <w:szCs w:val="24"/>
        </w:rPr>
        <w:t xml:space="preserve"> իոններ: </w:t>
      </w:r>
      <w:r w:rsidRPr="00B834A2">
        <w:rPr>
          <w:rStyle w:val="Bodytext210pt"/>
          <w:sz w:val="24"/>
          <w:szCs w:val="24"/>
        </w:rPr>
        <w:lastRenderedPageBreak/>
        <w:t>Այդ եղանակներն օգտագործվում են քիչ բ</w:t>
      </w:r>
      <w:r>
        <w:rPr>
          <w:rStyle w:val="Bodytext210pt"/>
          <w:sz w:val="24"/>
          <w:szCs w:val="24"/>
        </w:rPr>
        <w:t>եւ</w:t>
      </w:r>
      <w:r w:rsidRPr="00B834A2">
        <w:rPr>
          <w:rStyle w:val="Bodytext210pt"/>
          <w:sz w:val="24"/>
          <w:szCs w:val="24"/>
        </w:rPr>
        <w:t xml:space="preserve">եռային </w:t>
      </w:r>
      <w:r>
        <w:rPr>
          <w:rStyle w:val="Bodytext210pt"/>
          <w:sz w:val="24"/>
          <w:szCs w:val="24"/>
        </w:rPr>
        <w:t>եւ</w:t>
      </w:r>
      <w:r w:rsidRPr="00B834A2">
        <w:rPr>
          <w:rStyle w:val="Bodytext210pt"/>
          <w:sz w:val="24"/>
          <w:szCs w:val="24"/>
        </w:rPr>
        <w:t xml:space="preserve"> (կամ) ջերմաանկայուն միացությունների համար:</w:t>
      </w:r>
    </w:p>
    <w:p w14:paraId="1BFDEAC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 xml:space="preserve">Մատրիցային ակտիվացված լազերային դեսորբում/իոնացում </w:t>
      </w:r>
      <w:r w:rsidRPr="00E960B1">
        <w:rPr>
          <w:rFonts w:ascii="Sylfaen" w:hAnsi="Sylfaen"/>
          <w:b/>
          <w:i/>
          <w:sz w:val="24"/>
          <w:szCs w:val="24"/>
        </w:rPr>
        <w:t>(MALDI):</w:t>
      </w:r>
      <w:r w:rsidRPr="00B834A2">
        <w:rPr>
          <w:rStyle w:val="Bodytext210pt"/>
          <w:b/>
          <w:sz w:val="24"/>
          <w:szCs w:val="24"/>
        </w:rPr>
        <w:t xml:space="preserve"> </w:t>
      </w:r>
      <w:r w:rsidRPr="00B834A2">
        <w:rPr>
          <w:rStyle w:val="Bodytext210pt"/>
          <w:sz w:val="24"/>
          <w:szCs w:val="24"/>
        </w:rPr>
        <w:t xml:space="preserve">Համապատասխան մատրիցի հետ խառնած </w:t>
      </w:r>
      <w:r>
        <w:rPr>
          <w:rStyle w:val="Bodytext210pt"/>
          <w:sz w:val="24"/>
          <w:szCs w:val="24"/>
        </w:rPr>
        <w:t>եւ</w:t>
      </w:r>
      <w:r w:rsidRPr="00B834A2">
        <w:rPr>
          <w:rStyle w:val="Bodytext210pt"/>
          <w:sz w:val="24"/>
          <w:szCs w:val="24"/>
        </w:rPr>
        <w:t xml:space="preserve"> մետաղական տակդիրի վրա տեղադրված նմուշն իոնացվում է ուլտրամանուշակագույնից մինչ</w:t>
      </w:r>
      <w:r>
        <w:rPr>
          <w:rStyle w:val="Bodytext210pt"/>
          <w:sz w:val="24"/>
          <w:szCs w:val="24"/>
        </w:rPr>
        <w:t>եւ</w:t>
      </w:r>
      <w:r w:rsidRPr="00B834A2">
        <w:rPr>
          <w:rStyle w:val="Bodytext210pt"/>
          <w:sz w:val="24"/>
          <w:szCs w:val="24"/>
        </w:rPr>
        <w:t xml:space="preserve"> ինֆրակարմիր ընդգրկույթը ալիքի երկարությամբ՝ իմպուլսային լազերային ճառագայթմամբ (իմպուլսների տ</w:t>
      </w:r>
      <w:r>
        <w:rPr>
          <w:rStyle w:val="Bodytext210pt"/>
          <w:sz w:val="24"/>
          <w:szCs w:val="24"/>
        </w:rPr>
        <w:t>եւ</w:t>
      </w:r>
      <w:r w:rsidRPr="00B834A2">
        <w:rPr>
          <w:rStyle w:val="Bodytext210pt"/>
          <w:sz w:val="24"/>
          <w:szCs w:val="24"/>
        </w:rPr>
        <w:t>ողությունը կարող է կազմել գագաթավայրկյանից մինչ</w:t>
      </w:r>
      <w:r>
        <w:rPr>
          <w:rStyle w:val="Bodytext210pt"/>
          <w:sz w:val="24"/>
          <w:szCs w:val="24"/>
        </w:rPr>
        <w:t>եւ</w:t>
      </w:r>
      <w:r w:rsidRPr="00B834A2">
        <w:rPr>
          <w:rStyle w:val="Bodytext210pt"/>
          <w:sz w:val="24"/>
          <w:szCs w:val="24"/>
        </w:rPr>
        <w:t xml:space="preserve"> մի քանի նանովայրկյան): Իոնացման տվյալ եղանակը դեր է կատարում 100 000 Դա-ից ավելի մոլեկուլային զանգվածով միացությունների անալիզի ժամանակ, սակայն սահմանափակվում է ժամանակաթռիչքային անալիզարարի օգտագործմամբ (տես ստոր</w:t>
      </w:r>
      <w:r>
        <w:rPr>
          <w:rStyle w:val="Bodytext210pt"/>
          <w:sz w:val="24"/>
          <w:szCs w:val="24"/>
        </w:rPr>
        <w:t>եւ</w:t>
      </w:r>
      <w:r w:rsidRPr="00B834A2">
        <w:rPr>
          <w:rStyle w:val="Bodytext210pt"/>
          <w:sz w:val="24"/>
          <w:szCs w:val="24"/>
        </w:rPr>
        <w:t>):</w:t>
      </w:r>
    </w:p>
    <w:p w14:paraId="7724D8B0" w14:textId="77777777" w:rsidR="00B834A2" w:rsidRPr="00B834A2" w:rsidRDefault="00B834A2" w:rsidP="00E960B1">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Էլեկտրափոշիացման իոնացում:</w:t>
      </w:r>
      <w:r w:rsidRPr="00B834A2">
        <w:rPr>
          <w:rStyle w:val="Bodytext210pt"/>
          <w:sz w:val="24"/>
          <w:szCs w:val="24"/>
        </w:rPr>
        <w:t xml:space="preserve"> Իոնացման տվյալ եղանակն անցկացվում է մթնոլորտային ճնշման պայմաններում: Լուծույթում գտնվող նմուշը ներմուծվում է աղբյուր մազախողովակի միջոցով, որի ծայրն ունի մոտ 5 կՎ պոտենցիալ: Փոշիացումը դյուրացնելու համար կարող է գազ օգտագործվել: Գոյացող միկրոկաթիլներից լուծիչի մոլեկուլների գոլորշիացումը հանգեցնում է միալիցք կամ բազմալիցք իոնների գազային ֆազի գոյացմանը: Իոնացման տվյալ տեսակի դեպքում շարժուն ֆազի արագությունները կարող են փոփոխվել րոպեում մի քանի միկրոլիտրից մինչ</w:t>
      </w:r>
      <w:r>
        <w:rPr>
          <w:rStyle w:val="Bodytext210pt"/>
          <w:sz w:val="24"/>
          <w:szCs w:val="24"/>
        </w:rPr>
        <w:t>եւ</w:t>
      </w:r>
      <w:r w:rsidRPr="00B834A2">
        <w:rPr>
          <w:rStyle w:val="Bodytext210pt"/>
          <w:sz w:val="24"/>
          <w:szCs w:val="24"/>
        </w:rPr>
        <w:t xml:space="preserve"> 1 մլ/րոպե: Նման իոնացումը հարմար է բ</w:t>
      </w:r>
      <w:r>
        <w:rPr>
          <w:rStyle w:val="Bodytext210pt"/>
          <w:sz w:val="24"/>
          <w:szCs w:val="24"/>
        </w:rPr>
        <w:t>եւ</w:t>
      </w:r>
      <w:r w:rsidRPr="00B834A2">
        <w:rPr>
          <w:rStyle w:val="Bodytext210pt"/>
          <w:sz w:val="24"/>
          <w:szCs w:val="24"/>
        </w:rPr>
        <w:t>եռային միացությունների համար, ինչպես նա</w:t>
      </w:r>
      <w:r>
        <w:rPr>
          <w:rStyle w:val="Bodytext210pt"/>
          <w:sz w:val="24"/>
          <w:szCs w:val="24"/>
        </w:rPr>
        <w:t>եւ</w:t>
      </w:r>
      <w:r w:rsidRPr="00B834A2">
        <w:rPr>
          <w:rStyle w:val="Bodytext210pt"/>
          <w:sz w:val="24"/>
          <w:szCs w:val="24"/>
        </w:rPr>
        <w:t xml:space="preserve"> մինչ</w:t>
      </w:r>
      <w:r>
        <w:rPr>
          <w:rStyle w:val="Bodytext210pt"/>
          <w:sz w:val="24"/>
          <w:szCs w:val="24"/>
        </w:rPr>
        <w:t>եւ</w:t>
      </w:r>
      <w:r w:rsidRPr="00B834A2">
        <w:rPr>
          <w:rStyle w:val="Bodytext210pt"/>
          <w:sz w:val="24"/>
          <w:szCs w:val="24"/>
        </w:rPr>
        <w:t xml:space="preserve"> 100 000 Դա մոլեկուլային զանգվածներով կենսամոլեկուլների հետազոտության համար: Այն կարող է զուգորդվել հեղուկային քրոմատագրման կամ մազախողովակային էլեկտրաֆորեզի հետ:</w:t>
      </w:r>
    </w:p>
    <w:p w14:paraId="5B99D691"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 xml:space="preserve">Քիմիական իոնացում մթնոլորտային ճնշման պայմաններում </w:t>
      </w:r>
      <w:r w:rsidRPr="00E960B1">
        <w:rPr>
          <w:rFonts w:ascii="Sylfaen" w:hAnsi="Sylfaen"/>
          <w:b/>
          <w:i/>
          <w:sz w:val="24"/>
          <w:szCs w:val="24"/>
        </w:rPr>
        <w:t>(APCI):</w:t>
      </w:r>
      <w:r w:rsidRPr="00B834A2">
        <w:rPr>
          <w:rStyle w:val="Bodytext210pt"/>
          <w:sz w:val="24"/>
          <w:szCs w:val="24"/>
        </w:rPr>
        <w:t xml:space="preserve"> Իոնացումն անցկացվում է մթնոլորտային ճնշման պայմաններում մի քանի կիլովոլտ պոտենցիալ ունեցող </w:t>
      </w:r>
      <w:r>
        <w:rPr>
          <w:rStyle w:val="Bodytext210pt"/>
          <w:sz w:val="24"/>
          <w:szCs w:val="24"/>
        </w:rPr>
        <w:t>եւ</w:t>
      </w:r>
      <w:r w:rsidRPr="00B834A2">
        <w:rPr>
          <w:rStyle w:val="Bodytext210pt"/>
          <w:sz w:val="24"/>
          <w:szCs w:val="24"/>
        </w:rPr>
        <w:t xml:space="preserve"> շարժուն ֆազի ուղու վրա տեղադրված էլեկտրոդի ազդեցության տակ, որը փոշիանում է՝ ինչպես ջերմային էֆեկտների արդյունքում, այնպես էլ ազոտի հոսքի օգտագործման շնորհիվ:</w:t>
      </w:r>
      <w:r>
        <w:rPr>
          <w:rStyle w:val="Bodytext210pt"/>
          <w:sz w:val="24"/>
          <w:szCs w:val="24"/>
        </w:rPr>
        <w:t xml:space="preserve"> </w:t>
      </w:r>
      <w:r w:rsidRPr="00B834A2">
        <w:rPr>
          <w:rStyle w:val="Bodytext210pt"/>
          <w:sz w:val="24"/>
          <w:szCs w:val="24"/>
        </w:rPr>
        <w:t xml:space="preserve">Գոյացող իոնները </w:t>
      </w:r>
      <w:r w:rsidRPr="00B834A2">
        <w:rPr>
          <w:rStyle w:val="Bodytext210pt"/>
          <w:sz w:val="24"/>
          <w:szCs w:val="24"/>
        </w:rPr>
        <w:lastRenderedPageBreak/>
        <w:t xml:space="preserve">միալիցք են </w:t>
      </w:r>
      <w:r>
        <w:rPr>
          <w:rStyle w:val="Bodytext210pt"/>
          <w:sz w:val="24"/>
          <w:szCs w:val="24"/>
        </w:rPr>
        <w:t>եւ</w:t>
      </w:r>
      <w:r w:rsidRPr="00B834A2">
        <w:rPr>
          <w:rStyle w:val="Bodytext210pt"/>
          <w:sz w:val="24"/>
          <w:szCs w:val="24"/>
        </w:rPr>
        <w:t xml:space="preserve"> դասվում են</w:t>
      </w:r>
      <w:r w:rsidR="00123D1A">
        <w:rPr>
          <w:rStyle w:val="Bodytext210pt"/>
          <w:sz w:val="24"/>
          <w:szCs w:val="24"/>
        </w:rPr>
        <w:t xml:space="preserve"> (М+</w:t>
      </w:r>
      <w:r w:rsidRPr="00B834A2">
        <w:rPr>
          <w:rStyle w:val="Bodytext210pt"/>
          <w:sz w:val="24"/>
          <w:szCs w:val="24"/>
        </w:rPr>
        <w:t>Н)</w:t>
      </w:r>
      <w:r w:rsidRPr="00B834A2">
        <w:rPr>
          <w:rStyle w:val="Bodytext210pt"/>
          <w:sz w:val="24"/>
          <w:szCs w:val="24"/>
          <w:vertAlign w:val="superscript"/>
        </w:rPr>
        <w:t>+</w:t>
      </w:r>
      <w:r w:rsidRPr="00B834A2">
        <w:rPr>
          <w:rStyle w:val="Bodytext210pt"/>
          <w:sz w:val="24"/>
          <w:szCs w:val="24"/>
        </w:rPr>
        <w:t xml:space="preserve"> տեսակին դրական լիցքի դեպքում </w:t>
      </w:r>
      <w:r>
        <w:rPr>
          <w:rStyle w:val="Bodytext210pt"/>
          <w:sz w:val="24"/>
          <w:szCs w:val="24"/>
        </w:rPr>
        <w:t>եւ</w:t>
      </w:r>
      <w:r w:rsidRPr="00B834A2">
        <w:rPr>
          <w:rStyle w:val="Bodytext210pt"/>
          <w:sz w:val="24"/>
          <w:szCs w:val="24"/>
        </w:rPr>
        <w:t>՝</w:t>
      </w:r>
      <w:r w:rsidR="00E960B1">
        <w:rPr>
          <w:rStyle w:val="Bodytext210pt"/>
          <w:sz w:val="24"/>
          <w:szCs w:val="24"/>
        </w:rPr>
        <w:t xml:space="preserve"> (М-</w:t>
      </w:r>
      <w:r w:rsidRPr="00B834A2">
        <w:rPr>
          <w:rStyle w:val="Bodytext210pt"/>
          <w:sz w:val="24"/>
          <w:szCs w:val="24"/>
        </w:rPr>
        <w:t>Н)</w:t>
      </w:r>
      <w:r w:rsidRPr="00B834A2">
        <w:rPr>
          <w:rStyle w:val="Bodytext210pt"/>
          <w:sz w:val="24"/>
          <w:szCs w:val="24"/>
          <w:vertAlign w:val="superscript"/>
        </w:rPr>
        <w:t>-</w:t>
      </w:r>
      <w:r w:rsidRPr="00B834A2">
        <w:rPr>
          <w:rStyle w:val="Bodytext210pt"/>
          <w:sz w:val="24"/>
          <w:szCs w:val="24"/>
        </w:rPr>
        <w:t xml:space="preserve"> տեսակին՝ բացասականի դեպքում:</w:t>
      </w:r>
      <w:r>
        <w:rPr>
          <w:rStyle w:val="Bodytext210pt"/>
          <w:sz w:val="24"/>
          <w:szCs w:val="24"/>
        </w:rPr>
        <w:t xml:space="preserve"> </w:t>
      </w:r>
      <w:r w:rsidRPr="00B834A2">
        <w:rPr>
          <w:rStyle w:val="Bodytext210pt"/>
          <w:sz w:val="24"/>
          <w:szCs w:val="24"/>
        </w:rPr>
        <w:t>Շարժուն ֆազի բարձր արագությունների օգտագործման հնարավորությունը (մինչ</w:t>
      </w:r>
      <w:r>
        <w:rPr>
          <w:rStyle w:val="Bodytext210pt"/>
          <w:sz w:val="24"/>
          <w:szCs w:val="24"/>
        </w:rPr>
        <w:t>եւ</w:t>
      </w:r>
      <w:r w:rsidRPr="00B834A2">
        <w:rPr>
          <w:rStyle w:val="Bodytext210pt"/>
          <w:sz w:val="24"/>
          <w:szCs w:val="24"/>
        </w:rPr>
        <w:t xml:space="preserve"> 2 մլ/րոպե) իոնացման այս եղանակը դարձնում է իդեալական՝ հեղուկային քրոմատագրման հետ հետ զուգորդման համար:</w:t>
      </w:r>
    </w:p>
    <w:p w14:paraId="37C9519E" w14:textId="77777777" w:rsidR="00B834A2" w:rsidRPr="00B834A2" w:rsidRDefault="00B834A2" w:rsidP="00123D1A">
      <w:pPr>
        <w:pStyle w:val="Bodytext20"/>
        <w:shd w:val="clear" w:color="auto" w:fill="auto"/>
        <w:spacing w:before="0" w:after="160" w:line="348" w:lineRule="auto"/>
        <w:ind w:firstLine="567"/>
        <w:jc w:val="both"/>
        <w:rPr>
          <w:rFonts w:ascii="Sylfaen" w:hAnsi="Sylfaen"/>
          <w:sz w:val="24"/>
          <w:szCs w:val="24"/>
        </w:rPr>
      </w:pPr>
      <w:r w:rsidRPr="00B834A2">
        <w:rPr>
          <w:rStyle w:val="Bodytext210pt"/>
          <w:b/>
          <w:sz w:val="24"/>
          <w:szCs w:val="24"/>
        </w:rPr>
        <w:t>Ջերմափոշիացման իոնացում:</w:t>
      </w:r>
      <w:r w:rsidRPr="00B834A2">
        <w:rPr>
          <w:rStyle w:val="Bodytext210pt"/>
          <w:sz w:val="24"/>
          <w:szCs w:val="24"/>
        </w:rPr>
        <w:t xml:space="preserve"> Ջրից </w:t>
      </w:r>
      <w:r>
        <w:rPr>
          <w:rStyle w:val="Bodytext210pt"/>
          <w:sz w:val="24"/>
          <w:szCs w:val="24"/>
        </w:rPr>
        <w:t>եւ</w:t>
      </w:r>
      <w:r w:rsidRPr="00B834A2">
        <w:rPr>
          <w:rStyle w:val="Bodytext210pt"/>
          <w:sz w:val="24"/>
          <w:szCs w:val="24"/>
        </w:rPr>
        <w:t xml:space="preserve"> օրգանական ձ</w:t>
      </w:r>
      <w:r>
        <w:rPr>
          <w:rStyle w:val="Bodytext210pt"/>
          <w:sz w:val="24"/>
          <w:szCs w:val="24"/>
        </w:rPr>
        <w:t>եւ</w:t>
      </w:r>
      <w:r w:rsidRPr="00B834A2">
        <w:rPr>
          <w:rStyle w:val="Bodytext210pt"/>
          <w:sz w:val="24"/>
          <w:szCs w:val="24"/>
        </w:rPr>
        <w:t xml:space="preserve">ափոխիչներից </w:t>
      </w:r>
      <w:r>
        <w:rPr>
          <w:rStyle w:val="Bodytext210pt"/>
          <w:sz w:val="24"/>
          <w:szCs w:val="24"/>
        </w:rPr>
        <w:t>եւ</w:t>
      </w:r>
      <w:r w:rsidRPr="00B834A2">
        <w:rPr>
          <w:rStyle w:val="Bodytext210pt"/>
          <w:sz w:val="24"/>
          <w:szCs w:val="24"/>
        </w:rPr>
        <w:t xml:space="preserve"> ցնդական էլեկտրոլիտ պարունակող շարժուն ֆազում գտնվող նմուշը (սովորաբար ամոնիումի ացետատ) ներմուծվում է փոշիացված ձ</w:t>
      </w:r>
      <w:r>
        <w:rPr>
          <w:rStyle w:val="Bodytext210pt"/>
          <w:sz w:val="24"/>
          <w:szCs w:val="24"/>
        </w:rPr>
        <w:t>եւ</w:t>
      </w:r>
      <w:r w:rsidRPr="00B834A2">
        <w:rPr>
          <w:rStyle w:val="Bodytext210pt"/>
          <w:sz w:val="24"/>
          <w:szCs w:val="24"/>
        </w:rPr>
        <w:t>ով մետաղական մազախողովակի միջով անցնելուց հետո, որի ջերմաստիճանը վերահսկվում է:</w:t>
      </w:r>
      <w:r>
        <w:rPr>
          <w:rStyle w:val="Bodytext210pt"/>
          <w:sz w:val="24"/>
          <w:szCs w:val="24"/>
        </w:rPr>
        <w:t xml:space="preserve"> </w:t>
      </w:r>
      <w:r w:rsidRPr="00B834A2">
        <w:rPr>
          <w:rStyle w:val="Bodytext210pt"/>
          <w:sz w:val="24"/>
          <w:szCs w:val="24"/>
        </w:rPr>
        <w:t>Թույլատրվում են շարժուն ֆազի՝ մոտ 1-2 մլ/րոպե արագությունները:</w:t>
      </w:r>
      <w:r>
        <w:rPr>
          <w:rStyle w:val="Bodytext210pt"/>
          <w:sz w:val="24"/>
          <w:szCs w:val="24"/>
        </w:rPr>
        <w:t xml:space="preserve"> </w:t>
      </w:r>
      <w:r w:rsidRPr="00B834A2">
        <w:rPr>
          <w:rStyle w:val="Bodytext210pt"/>
          <w:sz w:val="24"/>
          <w:szCs w:val="24"/>
        </w:rPr>
        <w:t>Էլեկտրոլիտի իոններն իոնացնում են անալիզի ենթարկվող միացությունը: Իոնացման նման պրոցեսը կարող է փոխարինվել կամ ուժեղացվել մոտ 800 Վ լարմամբ էլեկտրական լիցքով, հատկապես՝ բացառապես օրգանական լուծիչ օգտագործելու դեպքում: Իոնացման տվյալ եղանակը կարող է օգտագործվել զանգվածասպեկտրաչափման հետ հեղուկ քրոմատագրման մեթոդում:</w:t>
      </w:r>
    </w:p>
    <w:p w14:paraId="414CE52D" w14:textId="77777777" w:rsidR="00B834A2" w:rsidRPr="00B834A2" w:rsidRDefault="00B834A2" w:rsidP="00123D1A">
      <w:pPr>
        <w:pStyle w:val="Bodytext20"/>
        <w:shd w:val="clear" w:color="auto" w:fill="auto"/>
        <w:spacing w:before="0" w:after="160" w:line="348" w:lineRule="auto"/>
        <w:ind w:firstLine="567"/>
        <w:rPr>
          <w:rStyle w:val="Bodytext210pt"/>
          <w:sz w:val="24"/>
          <w:szCs w:val="24"/>
        </w:rPr>
      </w:pPr>
    </w:p>
    <w:p w14:paraId="3E00D3D4" w14:textId="77777777" w:rsidR="00B834A2" w:rsidRPr="00B834A2" w:rsidRDefault="00B834A2" w:rsidP="00123D1A">
      <w:pPr>
        <w:pStyle w:val="Bodytext20"/>
        <w:shd w:val="clear" w:color="auto" w:fill="auto"/>
        <w:spacing w:before="0" w:after="160" w:line="348" w:lineRule="auto"/>
        <w:ind w:firstLine="567"/>
        <w:jc w:val="both"/>
        <w:rPr>
          <w:rFonts w:ascii="Sylfaen" w:hAnsi="Sylfaen"/>
          <w:b/>
          <w:sz w:val="24"/>
          <w:szCs w:val="24"/>
        </w:rPr>
      </w:pPr>
      <w:r w:rsidRPr="00B834A2">
        <w:rPr>
          <w:rStyle w:val="Bodytext210pt"/>
          <w:b/>
          <w:sz w:val="24"/>
          <w:szCs w:val="24"/>
        </w:rPr>
        <w:t>ԱՆԱԼԻԶԱՐԱՐՆԵՐ</w:t>
      </w:r>
    </w:p>
    <w:p w14:paraId="40CB35BF" w14:textId="77777777" w:rsidR="00B834A2" w:rsidRPr="00B834A2" w:rsidRDefault="00B834A2" w:rsidP="00123D1A">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Անալիզարարների աշխատանքում տարբերությունները հիմնականում պայմանավորված են երկու պարամետրով՝</w:t>
      </w:r>
    </w:p>
    <w:p w14:paraId="4ED9B009" w14:textId="77777777" w:rsidR="00B834A2" w:rsidRPr="00B834A2" w:rsidRDefault="00B834A2" w:rsidP="00123D1A">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ընդգրկույթով, որում կարող են չափվել </w:t>
      </w:r>
      <w:r w:rsidRPr="00B834A2">
        <w:rPr>
          <w:rFonts w:ascii="Sylfaen" w:hAnsi="Sylfaen"/>
          <w:i/>
          <w:sz w:val="24"/>
          <w:szCs w:val="24"/>
        </w:rPr>
        <w:t>m/z</w:t>
      </w:r>
      <w:r w:rsidRPr="00B834A2">
        <w:rPr>
          <w:rFonts w:ascii="Sylfaen" w:hAnsi="Sylfaen"/>
          <w:sz w:val="24"/>
          <w:szCs w:val="24"/>
        </w:rPr>
        <w:t xml:space="preserve"> հարաբերակցությունները (զանգվածային ընդգրկույթ).</w:t>
      </w:r>
    </w:p>
    <w:p w14:paraId="10432655" w14:textId="77777777" w:rsidR="00B834A2" w:rsidRPr="00B834A2" w:rsidRDefault="00B834A2" w:rsidP="00123D1A">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i/>
          <w:sz w:val="24"/>
          <w:szCs w:val="24"/>
        </w:rPr>
        <w:t>∆М</w:t>
      </w:r>
      <w:r w:rsidRPr="00B834A2">
        <w:rPr>
          <w:rFonts w:ascii="Sylfaen" w:hAnsi="Sylfaen"/>
          <w:sz w:val="24"/>
          <w:szCs w:val="24"/>
        </w:rPr>
        <w:t xml:space="preserve"> </w:t>
      </w:r>
      <w:r w:rsidR="00955E48" w:rsidRPr="00955E48">
        <w:rPr>
          <w:rFonts w:ascii="Sylfaen" w:hAnsi="Sylfaen"/>
          <w:sz w:val="24"/>
          <w:szCs w:val="24"/>
        </w:rPr>
        <w:t>-</w:t>
      </w:r>
      <w:r w:rsidRPr="00B834A2">
        <w:rPr>
          <w:rFonts w:ascii="Sylfaen" w:hAnsi="Sylfaen"/>
          <w:sz w:val="24"/>
          <w:szCs w:val="24"/>
        </w:rPr>
        <w:t xml:space="preserve">ով տարբերվող </w:t>
      </w:r>
      <w:r w:rsidRPr="00B834A2">
        <w:rPr>
          <w:rFonts w:ascii="Sylfaen" w:hAnsi="Sylfaen"/>
          <w:i/>
          <w:sz w:val="24"/>
          <w:szCs w:val="24"/>
        </w:rPr>
        <w:t>m/z</w:t>
      </w:r>
      <w:r w:rsidRPr="00B834A2">
        <w:rPr>
          <w:rFonts w:ascii="Sylfaen" w:hAnsi="Sylfaen"/>
          <w:sz w:val="24"/>
          <w:szCs w:val="24"/>
        </w:rPr>
        <w:t xml:space="preserve"> հարաբերակցություններով նման ինտենսիվության երկու իոնի բաժանելու հնարավորությամբ բնութագրվող </w:t>
      </w:r>
      <w:r>
        <w:rPr>
          <w:rFonts w:ascii="Sylfaen" w:hAnsi="Sylfaen"/>
          <w:sz w:val="24"/>
          <w:szCs w:val="24"/>
        </w:rPr>
        <w:t>եւ</w:t>
      </w:r>
      <w:r w:rsidRPr="00B834A2">
        <w:rPr>
          <w:rFonts w:ascii="Sylfaen" w:hAnsi="Sylfaen"/>
          <w:sz w:val="24"/>
          <w:szCs w:val="24"/>
        </w:rPr>
        <w:t xml:space="preserve"> բազային գծի որոշված տոկոսային գերազանցման դեպքում վրածածկվող թողունակությամբ.</w:t>
      </w:r>
      <w:r w:rsidRPr="00B834A2">
        <w:rPr>
          <w:rStyle w:val="Bodytext210pt"/>
          <w:sz w:val="24"/>
          <w:szCs w:val="24"/>
        </w:rPr>
        <w:t xml:space="preserve"> </w:t>
      </w:r>
      <w:r w:rsidRPr="00B834A2">
        <w:rPr>
          <w:rFonts w:ascii="Sylfaen" w:hAnsi="Sylfaen"/>
          <w:sz w:val="24"/>
          <w:szCs w:val="24"/>
        </w:rPr>
        <w:t xml:space="preserve">օրինակ՝ բազային գծի 10 % գերազանցմամբ 1000-ին հավասար թողունակությունը </w:t>
      </w:r>
      <w:r w:rsidRPr="00B834A2">
        <w:rPr>
          <w:rFonts w:ascii="Sylfaen" w:hAnsi="Sylfaen"/>
          <w:i/>
          <w:sz w:val="24"/>
          <w:szCs w:val="24"/>
        </w:rPr>
        <w:t>(М/∆М)</w:t>
      </w:r>
      <w:r w:rsidRPr="00B834A2">
        <w:rPr>
          <w:rFonts w:ascii="Sylfaen" w:hAnsi="Sylfaen"/>
          <w:sz w:val="24"/>
          <w:szCs w:val="24"/>
        </w:rPr>
        <w:t xml:space="preserve"> թույլ է տալիս բազային գիծը 10 %-ով գերազանցող ինտենսիվություններով 1000 </w:t>
      </w:r>
      <w:r>
        <w:rPr>
          <w:rFonts w:ascii="Sylfaen" w:hAnsi="Sylfaen"/>
          <w:sz w:val="24"/>
          <w:szCs w:val="24"/>
        </w:rPr>
        <w:t>եւ</w:t>
      </w:r>
      <w:r w:rsidRPr="00B834A2">
        <w:rPr>
          <w:rFonts w:ascii="Sylfaen" w:hAnsi="Sylfaen"/>
          <w:sz w:val="24"/>
          <w:szCs w:val="24"/>
        </w:rPr>
        <w:t xml:space="preserve"> 1001 </w:t>
      </w:r>
      <w:r w:rsidRPr="00B834A2">
        <w:rPr>
          <w:rFonts w:ascii="Sylfaen" w:hAnsi="Sylfaen"/>
          <w:i/>
          <w:sz w:val="24"/>
          <w:szCs w:val="24"/>
        </w:rPr>
        <w:t>m/z</w:t>
      </w:r>
      <w:r w:rsidRPr="00B834A2">
        <w:rPr>
          <w:rFonts w:ascii="Sylfaen" w:hAnsi="Sylfaen"/>
          <w:sz w:val="24"/>
          <w:szCs w:val="24"/>
        </w:rPr>
        <w:t xml:space="preserve"> հարաբերակցությունների բաժանումը:</w:t>
      </w:r>
      <w:r w:rsidRPr="00B834A2">
        <w:rPr>
          <w:rStyle w:val="Bodytext210pt"/>
          <w:sz w:val="24"/>
          <w:szCs w:val="24"/>
        </w:rPr>
        <w:t xml:space="preserve"> Որոշ դեպքերում (ժամանակաթռիչքային անալիզարարներ, քառաբ</w:t>
      </w:r>
      <w:r>
        <w:rPr>
          <w:rStyle w:val="Bodytext210pt"/>
          <w:sz w:val="24"/>
          <w:szCs w:val="24"/>
        </w:rPr>
        <w:t>եւ</w:t>
      </w:r>
      <w:r w:rsidRPr="00B834A2">
        <w:rPr>
          <w:rStyle w:val="Bodytext210pt"/>
          <w:sz w:val="24"/>
          <w:szCs w:val="24"/>
        </w:rPr>
        <w:t xml:space="preserve">եռային </w:t>
      </w:r>
      <w:r w:rsidRPr="00B834A2">
        <w:rPr>
          <w:rStyle w:val="Bodytext210pt"/>
          <w:sz w:val="24"/>
          <w:szCs w:val="24"/>
        </w:rPr>
        <w:lastRenderedPageBreak/>
        <w:t>անալիզարարներ, իոնային թակարդներ) թողունակությունը կարող է որոշվել որպես</w:t>
      </w:r>
      <w:r>
        <w:rPr>
          <w:rStyle w:val="Bodytext210pt"/>
          <w:sz w:val="24"/>
          <w:szCs w:val="24"/>
        </w:rPr>
        <w:t xml:space="preserve"> </w:t>
      </w:r>
      <w:r w:rsidRPr="00B834A2">
        <w:rPr>
          <w:rStyle w:val="Bodytext210pt"/>
          <w:sz w:val="24"/>
          <w:szCs w:val="24"/>
        </w:rPr>
        <w:t xml:space="preserve">մոլեկուլային զանգվածի </w:t>
      </w:r>
      <w:r>
        <w:rPr>
          <w:rStyle w:val="Bodytext210pt"/>
          <w:sz w:val="24"/>
          <w:szCs w:val="24"/>
        </w:rPr>
        <w:t>եւ</w:t>
      </w:r>
      <w:r w:rsidRPr="00B834A2">
        <w:rPr>
          <w:rStyle w:val="Bodytext210pt"/>
          <w:sz w:val="24"/>
          <w:szCs w:val="24"/>
        </w:rPr>
        <w:t xml:space="preserve"> բարձրության կեսի վրա գագաթի լայնության միջ</w:t>
      </w:r>
      <w:r>
        <w:rPr>
          <w:rStyle w:val="Bodytext210pt"/>
          <w:sz w:val="24"/>
          <w:szCs w:val="24"/>
        </w:rPr>
        <w:t>եւ</w:t>
      </w:r>
      <w:r w:rsidRPr="00B834A2">
        <w:rPr>
          <w:rStyle w:val="Bodytext210pt"/>
          <w:sz w:val="24"/>
          <w:szCs w:val="24"/>
        </w:rPr>
        <w:t xml:space="preserve"> հարաբերակցություն (բազային գծի 50 % գերազանցում):</w:t>
      </w:r>
    </w:p>
    <w:p w14:paraId="7B225548" w14:textId="77777777" w:rsidR="00B834A2" w:rsidRPr="00DE4F37" w:rsidRDefault="00B834A2" w:rsidP="00955E48">
      <w:pPr>
        <w:pStyle w:val="Bodytext20"/>
        <w:shd w:val="clear" w:color="auto" w:fill="auto"/>
        <w:spacing w:before="0" w:after="160" w:line="360" w:lineRule="auto"/>
        <w:ind w:firstLine="567"/>
        <w:jc w:val="both"/>
        <w:rPr>
          <w:rFonts w:ascii="Sylfaen" w:hAnsi="Sylfaen"/>
          <w:spacing w:val="-4"/>
          <w:sz w:val="24"/>
          <w:szCs w:val="24"/>
        </w:rPr>
      </w:pPr>
      <w:r w:rsidRPr="00DE4F37">
        <w:rPr>
          <w:rStyle w:val="Bodytext210pt"/>
          <w:b/>
          <w:spacing w:val="-4"/>
          <w:sz w:val="24"/>
          <w:szCs w:val="24"/>
        </w:rPr>
        <w:t>Մագնիսական եւ էլեկտրաստատիկ անալիզարարներ:</w:t>
      </w:r>
      <w:r w:rsidRPr="00DE4F37">
        <w:rPr>
          <w:rStyle w:val="Bodytext210pt"/>
          <w:spacing w:val="-4"/>
          <w:sz w:val="24"/>
          <w:szCs w:val="24"/>
        </w:rPr>
        <w:t xml:space="preserve"> </w:t>
      </w:r>
      <w:r w:rsidRPr="00DE4F37">
        <w:rPr>
          <w:rFonts w:ascii="Sylfaen" w:hAnsi="Sylfaen"/>
          <w:spacing w:val="-4"/>
          <w:sz w:val="24"/>
          <w:szCs w:val="24"/>
        </w:rPr>
        <w:t xml:space="preserve">Իոնարարում գոյացող իոններն արագացվում են V պոտենցիալով եւ կենտրոնացվում են՝ պայմանավորված սարքի կառուցվածքով մագնիսային (В մագնիսական դաշտ) կամ էլեկտրաստատիկ անալիզարարների (Е էլեկտրաստատիկ դաշտ) միջեւ: Լապլասի օրենքին համապատասխան՝ դրանք տեղափոխվում են </w:t>
      </w:r>
      <w:r w:rsidRPr="00DE4F37">
        <w:rPr>
          <w:rFonts w:ascii="Sylfaen" w:hAnsi="Sylfaen"/>
          <w:i/>
          <w:spacing w:val="-4"/>
          <w:sz w:val="24"/>
          <w:szCs w:val="24"/>
        </w:rPr>
        <w:t>r</w:t>
      </w:r>
      <w:r w:rsidRPr="00DE4F37">
        <w:rPr>
          <w:rFonts w:ascii="Sylfaen" w:hAnsi="Sylfaen"/>
          <w:spacing w:val="-4"/>
          <w:sz w:val="24"/>
          <w:szCs w:val="24"/>
        </w:rPr>
        <w:t xml:space="preserve"> շառավղով հետագծով՝ </w:t>
      </w:r>
    </w:p>
    <w:p w14:paraId="6F2E9327" w14:textId="77777777" w:rsidR="00B834A2" w:rsidRPr="00B834A2" w:rsidRDefault="00000000" w:rsidP="00B834A2">
      <w:pPr>
        <w:pStyle w:val="Bodytext20"/>
        <w:shd w:val="clear" w:color="auto" w:fill="auto"/>
        <w:spacing w:before="0" w:after="160" w:line="360" w:lineRule="auto"/>
        <w:ind w:firstLine="567"/>
        <w:rPr>
          <w:rStyle w:val="Bodytext2Italic"/>
          <w:sz w:val="24"/>
          <w:szCs w:val="24"/>
        </w:rPr>
      </w:pPr>
      <m:oMathPara>
        <m:oMath>
          <m:f>
            <m:fPr>
              <m:ctrlPr>
                <w:rPr>
                  <w:rStyle w:val="Bodytext2Italic"/>
                  <w:rFonts w:ascii="Cambria Math" w:hAnsi="Cambria Math"/>
                  <w:i w:val="0"/>
                  <w:iCs w:val="0"/>
                  <w:sz w:val="24"/>
                  <w:szCs w:val="24"/>
                </w:rPr>
              </m:ctrlPr>
            </m:fPr>
            <m:num>
              <m:r>
                <w:rPr>
                  <w:rStyle w:val="Bodytext2Italic"/>
                  <w:rFonts w:ascii="Cambria Math" w:hAnsi="Cambria Math"/>
                  <w:sz w:val="24"/>
                  <w:szCs w:val="24"/>
                </w:rPr>
                <m:t>m</m:t>
              </m:r>
            </m:num>
            <m:den>
              <m:r>
                <w:rPr>
                  <w:rStyle w:val="Bodytext2Italic"/>
                  <w:rFonts w:ascii="Cambria Math" w:hAnsi="Cambria Math"/>
                  <w:sz w:val="24"/>
                  <w:szCs w:val="24"/>
                </w:rPr>
                <m:t>z</m:t>
              </m:r>
            </m:den>
          </m:f>
          <m:r>
            <w:rPr>
              <w:rStyle w:val="Bodytext2Italic"/>
              <w:rFonts w:ascii="Cambria Math" w:hAnsi="Cambria Math"/>
              <w:sz w:val="24"/>
              <w:szCs w:val="24"/>
            </w:rPr>
            <m:t>=</m:t>
          </m:r>
          <m:f>
            <m:fPr>
              <m:ctrlPr>
                <w:rPr>
                  <w:rStyle w:val="Bodytext2Italic"/>
                  <w:rFonts w:ascii="Cambria Math" w:hAnsi="Cambria Math"/>
                  <w:i w:val="0"/>
                  <w:iCs w:val="0"/>
                  <w:sz w:val="24"/>
                  <w:szCs w:val="24"/>
                </w:rPr>
              </m:ctrlPr>
            </m:fPr>
            <m:num>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B</m:t>
                  </m:r>
                </m:e>
                <m:sup>
                  <m:r>
                    <w:rPr>
                      <w:rStyle w:val="Bodytext2Italic"/>
                      <w:rFonts w:ascii="Cambria Math" w:hAnsi="Cambria Math"/>
                      <w:sz w:val="24"/>
                      <w:szCs w:val="24"/>
                    </w:rPr>
                    <m:t>2</m:t>
                  </m:r>
                </m:sup>
              </m:sSup>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r</m:t>
                  </m:r>
                </m:e>
                <m:sup>
                  <m:r>
                    <w:rPr>
                      <w:rStyle w:val="Bodytext2Italic"/>
                      <w:rFonts w:ascii="Cambria Math" w:hAnsi="Cambria Math"/>
                      <w:sz w:val="24"/>
                      <w:szCs w:val="24"/>
                    </w:rPr>
                    <m:t>2</m:t>
                  </m:r>
                </m:sup>
              </m:sSup>
            </m:num>
            <m:den>
              <m:r>
                <w:rPr>
                  <w:rStyle w:val="Bodytext2Italic"/>
                  <w:rFonts w:ascii="Cambria Math" w:hAnsi="Cambria Math"/>
                  <w:sz w:val="24"/>
                  <w:szCs w:val="24"/>
                </w:rPr>
                <m:t>2V</m:t>
              </m:r>
            </m:den>
          </m:f>
        </m:oMath>
      </m:oMathPara>
    </w:p>
    <w:p w14:paraId="68D043DD" w14:textId="77777777" w:rsidR="00B834A2" w:rsidRPr="009217DE"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Իոնարարում գոյացած տարբեր իոնների կուտակման </w:t>
      </w:r>
      <w:r>
        <w:rPr>
          <w:rStyle w:val="Bodytext210pt"/>
          <w:sz w:val="24"/>
          <w:szCs w:val="24"/>
        </w:rPr>
        <w:t>եւ</w:t>
      </w:r>
      <w:r w:rsidRPr="00B834A2">
        <w:rPr>
          <w:rStyle w:val="Bodytext210pt"/>
          <w:sz w:val="24"/>
          <w:szCs w:val="24"/>
        </w:rPr>
        <w:t xml:space="preserve"> չափման համար կարող է օգտագործվել երկու տեսակի սկանավորում՝ </w:t>
      </w:r>
      <w:r w:rsidRPr="00B834A2">
        <w:rPr>
          <w:rFonts w:ascii="Sylfaen" w:hAnsi="Sylfaen"/>
          <w:i/>
          <w:sz w:val="24"/>
          <w:szCs w:val="24"/>
        </w:rPr>
        <w:t xml:space="preserve">V </w:t>
      </w:r>
      <w:r w:rsidRPr="00B834A2">
        <w:rPr>
          <w:rFonts w:ascii="Sylfaen" w:hAnsi="Sylfaen"/>
          <w:sz w:val="24"/>
          <w:szCs w:val="24"/>
        </w:rPr>
        <w:t xml:space="preserve">հաստատուն մեծության դեպքում՝ </w:t>
      </w:r>
      <w:r w:rsidRPr="00B834A2">
        <w:rPr>
          <w:rFonts w:ascii="Sylfaen" w:hAnsi="Sylfaen"/>
          <w:i/>
          <w:sz w:val="24"/>
          <w:szCs w:val="24"/>
        </w:rPr>
        <w:t>В-</w:t>
      </w:r>
      <w:r w:rsidRPr="00B834A2">
        <w:rPr>
          <w:rFonts w:ascii="Sylfaen" w:hAnsi="Sylfaen"/>
          <w:sz w:val="24"/>
          <w:szCs w:val="24"/>
        </w:rPr>
        <w:t xml:space="preserve">ի փոփոխություն կամ В հաստատուն մեծության դեպքում՝ </w:t>
      </w:r>
      <w:r w:rsidRPr="00B834A2">
        <w:rPr>
          <w:rFonts w:ascii="Sylfaen" w:hAnsi="Sylfaen"/>
          <w:i/>
          <w:sz w:val="24"/>
          <w:szCs w:val="24"/>
        </w:rPr>
        <w:t>V-</w:t>
      </w:r>
      <w:r w:rsidRPr="00B834A2">
        <w:rPr>
          <w:rFonts w:ascii="Sylfaen" w:hAnsi="Sylfaen"/>
          <w:sz w:val="24"/>
          <w:szCs w:val="24"/>
        </w:rPr>
        <w:t xml:space="preserve">ի փոփոխություն: Մագնիսական անալիզարարին սովորաբար հաջորդում է էլեկտրական սեկտորը, որը գործում է որպես կինետիկ էներգիայի ֆիլտր </w:t>
      </w:r>
      <w:r>
        <w:rPr>
          <w:rFonts w:ascii="Sylfaen" w:hAnsi="Sylfaen"/>
          <w:sz w:val="24"/>
          <w:szCs w:val="24"/>
        </w:rPr>
        <w:t>եւ</w:t>
      </w:r>
      <w:r w:rsidRPr="00B834A2">
        <w:rPr>
          <w:rFonts w:ascii="Sylfaen" w:hAnsi="Sylfaen"/>
          <w:sz w:val="24"/>
          <w:szCs w:val="24"/>
        </w:rPr>
        <w:t xml:space="preserve"> թույլ է տալիս նկատելիորեն ավելացնել սարքի թողունակությունը: Նման սարքի առավելագույն թողունակությունը (կրկնակի սեկտոր) փոփոխվում է 10 000-ից մինչ</w:t>
      </w:r>
      <w:r>
        <w:rPr>
          <w:rFonts w:ascii="Sylfaen" w:hAnsi="Sylfaen"/>
          <w:sz w:val="24"/>
          <w:szCs w:val="24"/>
        </w:rPr>
        <w:t>եւ</w:t>
      </w:r>
      <w:r w:rsidRPr="00B834A2">
        <w:rPr>
          <w:rFonts w:ascii="Sylfaen" w:hAnsi="Sylfaen"/>
          <w:sz w:val="24"/>
          <w:szCs w:val="24"/>
        </w:rPr>
        <w:t xml:space="preserve"> 150 000 </w:t>
      </w:r>
      <w:r>
        <w:rPr>
          <w:rFonts w:ascii="Sylfaen" w:hAnsi="Sylfaen"/>
          <w:sz w:val="24"/>
          <w:szCs w:val="24"/>
        </w:rPr>
        <w:t>եւ</w:t>
      </w:r>
      <w:r w:rsidRPr="00B834A2">
        <w:rPr>
          <w:rFonts w:ascii="Sylfaen" w:hAnsi="Sylfaen"/>
          <w:sz w:val="24"/>
          <w:szCs w:val="24"/>
        </w:rPr>
        <w:t xml:space="preserve"> մեծ մասամբ թույլ է տալիս բավականին ճշգրիտ գնահատել </w:t>
      </w:r>
      <w:r w:rsidRPr="00B834A2">
        <w:rPr>
          <w:rFonts w:ascii="Sylfaen" w:hAnsi="Sylfaen"/>
          <w:i/>
          <w:sz w:val="24"/>
          <w:szCs w:val="24"/>
        </w:rPr>
        <w:t>m/z</w:t>
      </w:r>
      <w:r w:rsidRPr="00B834A2">
        <w:rPr>
          <w:rFonts w:ascii="Sylfaen" w:hAnsi="Sylfaen"/>
          <w:sz w:val="24"/>
          <w:szCs w:val="24"/>
        </w:rPr>
        <w:t xml:space="preserve"> հարաբերակցությունների մեծությունը` համապատասխան իոնների տարրական կազմի որոշման համար:</w:t>
      </w:r>
      <w:r w:rsidRPr="00B834A2">
        <w:rPr>
          <w:rStyle w:val="Bodytext210pt"/>
          <w:sz w:val="24"/>
          <w:szCs w:val="24"/>
        </w:rPr>
        <w:t xml:space="preserve"> Միալիցք իոնների համար զանգվածային ընդգրկույթը կազմում է 2000 Դա-ից մինչ</w:t>
      </w:r>
      <w:r>
        <w:rPr>
          <w:rStyle w:val="Bodytext210pt"/>
          <w:sz w:val="24"/>
          <w:szCs w:val="24"/>
        </w:rPr>
        <w:t>եւ</w:t>
      </w:r>
      <w:r w:rsidRPr="00B834A2">
        <w:rPr>
          <w:rStyle w:val="Bodytext210pt"/>
          <w:sz w:val="24"/>
          <w:szCs w:val="24"/>
        </w:rPr>
        <w:t xml:space="preserve"> 15 000 Դա: </w:t>
      </w:r>
      <w:r w:rsidRPr="00B834A2">
        <w:rPr>
          <w:rFonts w:ascii="Sylfaen" w:hAnsi="Sylfaen"/>
          <w:sz w:val="24"/>
          <w:szCs w:val="24"/>
        </w:rPr>
        <w:t xml:space="preserve">Որոշ իոններ կարող են քայքայվել սպոնտան կերպով (մետակայուն անցումներ) կամ գազի հետ բախվելիս (բախմամբ ակտիվացված դիսոցացում (CAD)) իոնարարի </w:t>
      </w:r>
      <w:r>
        <w:rPr>
          <w:rFonts w:ascii="Sylfaen" w:hAnsi="Sylfaen"/>
          <w:sz w:val="24"/>
          <w:szCs w:val="24"/>
        </w:rPr>
        <w:t>եւ</w:t>
      </w:r>
      <w:r w:rsidRPr="00B834A2">
        <w:rPr>
          <w:rFonts w:ascii="Sylfaen" w:hAnsi="Sylfaen"/>
          <w:sz w:val="24"/>
          <w:szCs w:val="24"/>
        </w:rPr>
        <w:t xml:space="preserve"> դետեկտորի միջ</w:t>
      </w:r>
      <w:r>
        <w:rPr>
          <w:rFonts w:ascii="Sylfaen" w:hAnsi="Sylfaen"/>
          <w:sz w:val="24"/>
          <w:szCs w:val="24"/>
        </w:rPr>
        <w:t>եւ</w:t>
      </w:r>
      <w:r w:rsidRPr="00B834A2">
        <w:rPr>
          <w:rFonts w:ascii="Sylfaen" w:hAnsi="Sylfaen"/>
          <w:sz w:val="24"/>
          <w:szCs w:val="24"/>
        </w:rPr>
        <w:t xml:space="preserve"> տիրույթներում, որտեղ բացակայում է դաշտը: </w:t>
      </w:r>
      <w:r w:rsidRPr="00B834A2">
        <w:rPr>
          <w:rStyle w:val="Bodytext210pt"/>
          <w:sz w:val="24"/>
          <w:szCs w:val="24"/>
        </w:rPr>
        <w:t xml:space="preserve">Քայքայման այդ պրոցեսների </w:t>
      </w:r>
      <w:r w:rsidRPr="00955E48">
        <w:rPr>
          <w:rStyle w:val="Bodytext210pt"/>
          <w:spacing w:val="-4"/>
          <w:sz w:val="24"/>
          <w:szCs w:val="24"/>
        </w:rPr>
        <w:t>հետազոտությունը շատ օգտակար է խառնուրդի բաղադրության մեջ մտնող որոշակի միացության կառուցվածքի եւ բնութագրի որոշման համար եւ հնարավոր է դարձնում</w:t>
      </w:r>
      <w:r w:rsidRPr="00B834A2">
        <w:rPr>
          <w:rStyle w:val="Bodytext210pt"/>
          <w:sz w:val="24"/>
          <w:szCs w:val="24"/>
        </w:rPr>
        <w:t xml:space="preserve"> տանդեմային զանգվածային սպեկտրաչափման օգտագործումը: Պայմանավորված այն տեղով, որտեղ ընթանում են քայքայման պրոցեսները, հայտնի է դրա անցկացման շատ </w:t>
      </w:r>
      <w:r w:rsidRPr="00B834A2">
        <w:rPr>
          <w:rFonts w:ascii="Sylfaen" w:hAnsi="Sylfaen"/>
          <w:sz w:val="24"/>
          <w:szCs w:val="24"/>
        </w:rPr>
        <w:t>մեթոդիկաներ</w:t>
      </w:r>
      <w:r w:rsidRPr="00B834A2">
        <w:rPr>
          <w:rStyle w:val="Bodytext210pt"/>
          <w:sz w:val="24"/>
          <w:szCs w:val="24"/>
        </w:rPr>
        <w:t>՝</w:t>
      </w:r>
    </w:p>
    <w:p w14:paraId="18C86980" w14:textId="77777777" w:rsidR="00B834A2" w:rsidRPr="00E960B1" w:rsidRDefault="00B834A2" w:rsidP="00955E48">
      <w:pPr>
        <w:pStyle w:val="Bodytext20"/>
        <w:shd w:val="clear" w:color="auto" w:fill="auto"/>
        <w:tabs>
          <w:tab w:val="left" w:pos="1134"/>
        </w:tabs>
        <w:spacing w:before="0" w:after="160" w:line="360" w:lineRule="auto"/>
        <w:ind w:firstLine="567"/>
        <w:jc w:val="both"/>
        <w:rPr>
          <w:rFonts w:ascii="Sylfaen" w:hAnsi="Sylfaen"/>
          <w:i/>
          <w:sz w:val="24"/>
          <w:szCs w:val="24"/>
        </w:rPr>
      </w:pPr>
      <w:r w:rsidRPr="00B834A2">
        <w:rPr>
          <w:rFonts w:ascii="Sylfaen" w:hAnsi="Sylfaen"/>
          <w:i/>
          <w:sz w:val="24"/>
          <w:szCs w:val="24"/>
        </w:rPr>
        <w:lastRenderedPageBreak/>
        <w:t>-</w:t>
      </w:r>
      <w:r w:rsidR="00955E48" w:rsidRPr="00955E48">
        <w:rPr>
          <w:rFonts w:ascii="Sylfaen" w:hAnsi="Sylfaen"/>
          <w:i/>
          <w:sz w:val="24"/>
          <w:szCs w:val="24"/>
        </w:rPr>
        <w:tab/>
      </w:r>
      <w:r w:rsidRPr="00B834A2">
        <w:rPr>
          <w:rFonts w:ascii="Sylfaen" w:hAnsi="Sylfaen"/>
          <w:i/>
          <w:sz w:val="24"/>
          <w:szCs w:val="24"/>
        </w:rPr>
        <w:t>դուստր իոնի ռեժիմ</w:t>
      </w:r>
      <w:r w:rsidRPr="00B834A2">
        <w:rPr>
          <w:rFonts w:ascii="Sylfaen" w:hAnsi="Sylfaen"/>
          <w:sz w:val="24"/>
          <w:szCs w:val="24"/>
        </w:rPr>
        <w:t xml:space="preserve"> (որոշակի ծնող իոնի քայքայման դեպքում առաջացած իոնների կազմի որոշումը)՝</w:t>
      </w:r>
      <w:r w:rsidRPr="00B834A2">
        <w:rPr>
          <w:rStyle w:val="Bodytext210pt"/>
          <w:sz w:val="24"/>
          <w:szCs w:val="24"/>
        </w:rPr>
        <w:t xml:space="preserve"> </w:t>
      </w:r>
      <w:r w:rsidRPr="00B834A2">
        <w:rPr>
          <w:rFonts w:ascii="Sylfaen" w:hAnsi="Sylfaen"/>
          <w:i/>
          <w:sz w:val="24"/>
          <w:szCs w:val="24"/>
        </w:rPr>
        <w:t>В/Е</w:t>
      </w:r>
      <w:r w:rsidRPr="00B834A2">
        <w:rPr>
          <w:rFonts w:ascii="Sylfaen" w:hAnsi="Sylfaen"/>
          <w:sz w:val="24"/>
          <w:szCs w:val="24"/>
        </w:rPr>
        <w:t xml:space="preserve"> = հաստատուն, </w:t>
      </w:r>
      <w:r w:rsidRPr="00E960B1">
        <w:rPr>
          <w:rFonts w:ascii="Sylfaen" w:hAnsi="Sylfaen"/>
          <w:i/>
          <w:sz w:val="24"/>
          <w:szCs w:val="24"/>
        </w:rPr>
        <w:t>MIKES (Mass-analysed Ion Kinetic Energy Spectroscopy).</w:t>
      </w:r>
    </w:p>
    <w:p w14:paraId="5B8422C6"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i/>
          <w:sz w:val="24"/>
          <w:szCs w:val="24"/>
        </w:rPr>
        <w:t>-</w:t>
      </w:r>
      <w:r w:rsidR="00955E48" w:rsidRPr="00955E48">
        <w:rPr>
          <w:rFonts w:ascii="Sylfaen" w:hAnsi="Sylfaen"/>
          <w:i/>
          <w:sz w:val="24"/>
          <w:szCs w:val="24"/>
        </w:rPr>
        <w:tab/>
      </w:r>
      <w:r w:rsidRPr="00B834A2">
        <w:rPr>
          <w:rFonts w:ascii="Sylfaen" w:hAnsi="Sylfaen"/>
          <w:i/>
          <w:sz w:val="24"/>
          <w:szCs w:val="24"/>
        </w:rPr>
        <w:t>ծնող իոնի ռեժիմը</w:t>
      </w:r>
      <w:r w:rsidRPr="00B834A2">
        <w:rPr>
          <w:rFonts w:ascii="Sylfaen" w:hAnsi="Sylfaen"/>
          <w:sz w:val="24"/>
          <w:szCs w:val="24"/>
        </w:rPr>
        <w:t xml:space="preserve"> (m/z</w:t>
      </w:r>
      <w:r>
        <w:rPr>
          <w:rFonts w:ascii="Sylfaen" w:hAnsi="Sylfaen"/>
          <w:sz w:val="24"/>
          <w:szCs w:val="24"/>
        </w:rPr>
        <w:t xml:space="preserve"> </w:t>
      </w:r>
      <w:r w:rsidRPr="00B834A2">
        <w:rPr>
          <w:rFonts w:ascii="Sylfaen" w:hAnsi="Sylfaen"/>
          <w:sz w:val="24"/>
          <w:szCs w:val="24"/>
        </w:rPr>
        <w:t>որոշակի հարաբերակցությամբ իոնի քայքայման դեպքում առաջացած բոլոր իոնների որոշումը)՝</w:t>
      </w:r>
      <w:r w:rsidRPr="00B834A2">
        <w:rPr>
          <w:rStyle w:val="Bodytext210pt"/>
          <w:sz w:val="24"/>
          <w:szCs w:val="24"/>
        </w:rPr>
        <w:t xml:space="preserve"> </w:t>
      </w:r>
      <w:r w:rsidRPr="00B834A2">
        <w:rPr>
          <w:rFonts w:ascii="Sylfaen" w:hAnsi="Sylfaen"/>
          <w:sz w:val="24"/>
          <w:szCs w:val="24"/>
        </w:rPr>
        <w:t>В</w:t>
      </w:r>
      <w:r w:rsidRPr="00B834A2">
        <w:rPr>
          <w:rStyle w:val="Bodytext210pt8"/>
          <w:sz w:val="24"/>
          <w:szCs w:val="24"/>
          <w:vertAlign w:val="superscript"/>
        </w:rPr>
        <w:t>2</w:t>
      </w:r>
      <w:r w:rsidRPr="00B834A2">
        <w:rPr>
          <w:rFonts w:ascii="Sylfaen" w:hAnsi="Sylfaen"/>
          <w:sz w:val="24"/>
          <w:szCs w:val="24"/>
        </w:rPr>
        <w:t xml:space="preserve">/Е = հաստատուն. </w:t>
      </w:r>
    </w:p>
    <w:p w14:paraId="7736E682" w14:textId="77777777" w:rsidR="00B834A2" w:rsidRPr="00097504"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i/>
          <w:sz w:val="24"/>
          <w:szCs w:val="24"/>
        </w:rPr>
        <w:t>-</w:t>
      </w:r>
      <w:r w:rsidR="00955E48" w:rsidRPr="00955E48">
        <w:rPr>
          <w:rFonts w:ascii="Sylfaen" w:hAnsi="Sylfaen"/>
          <w:i/>
          <w:sz w:val="24"/>
          <w:szCs w:val="24"/>
        </w:rPr>
        <w:tab/>
      </w:r>
      <w:r w:rsidRPr="00B834A2">
        <w:rPr>
          <w:rFonts w:ascii="Sylfaen" w:hAnsi="Sylfaen"/>
          <w:i/>
          <w:sz w:val="24"/>
          <w:szCs w:val="24"/>
        </w:rPr>
        <w:t>չեզոք մասնիկների ռեժիմ</w:t>
      </w:r>
      <w:r w:rsidRPr="00B834A2">
        <w:rPr>
          <w:rFonts w:ascii="Sylfaen" w:hAnsi="Sylfaen"/>
          <w:sz w:val="24"/>
          <w:szCs w:val="24"/>
        </w:rPr>
        <w:t xml:space="preserve"> (բոլոր իոնների որոշումը, որոնք կորցնում են նույնական ֆրագմենտները)՝</w:t>
      </w:r>
      <w:r w:rsidRPr="00B834A2">
        <w:rPr>
          <w:rStyle w:val="Bodytext210pt"/>
          <w:sz w:val="24"/>
          <w:szCs w:val="24"/>
        </w:rPr>
        <w:t xml:space="preserve"> </w:t>
      </w:r>
      <w:r w:rsidR="009217DE">
        <w:rPr>
          <w:rFonts w:ascii="Sylfaen" w:hAnsi="Sylfaen"/>
          <w:i/>
          <w:sz w:val="24"/>
          <w:szCs w:val="24"/>
        </w:rPr>
        <w:t>В/Е(1</w:t>
      </w:r>
      <w:r w:rsidR="002E52D1">
        <w:rPr>
          <w:rFonts w:ascii="Sylfaen" w:hAnsi="Sylfaen"/>
          <w:i/>
          <w:sz w:val="24"/>
          <w:szCs w:val="24"/>
        </w:rPr>
        <w:t>-</w:t>
      </w:r>
      <w:r w:rsidRPr="00B834A2">
        <w:rPr>
          <w:rFonts w:ascii="Sylfaen" w:hAnsi="Sylfaen"/>
          <w:i/>
          <w:sz w:val="24"/>
          <w:szCs w:val="24"/>
        </w:rPr>
        <w:t>Е/Е0)</w:t>
      </w:r>
      <w:r w:rsidRPr="00B834A2">
        <w:rPr>
          <w:rStyle w:val="Bodytext210pt8"/>
          <w:sz w:val="24"/>
          <w:szCs w:val="24"/>
          <w:vertAlign w:val="superscript"/>
        </w:rPr>
        <w:t>1/2</w:t>
      </w:r>
      <w:r>
        <w:rPr>
          <w:rFonts w:ascii="Sylfaen" w:hAnsi="Sylfaen"/>
          <w:sz w:val="24"/>
          <w:szCs w:val="24"/>
        </w:rPr>
        <w:t xml:space="preserve"> </w:t>
      </w:r>
      <w:r w:rsidRPr="00B834A2">
        <w:rPr>
          <w:rFonts w:ascii="Sylfaen" w:hAnsi="Sylfaen"/>
          <w:sz w:val="24"/>
          <w:szCs w:val="24"/>
        </w:rPr>
        <w:t xml:space="preserve">= հաստատուն, որտեղ </w:t>
      </w:r>
      <w:r w:rsidRPr="00B834A2">
        <w:rPr>
          <w:rFonts w:ascii="Sylfaen" w:hAnsi="Sylfaen"/>
          <w:i/>
          <w:sz w:val="24"/>
          <w:szCs w:val="24"/>
        </w:rPr>
        <w:t>Е</w:t>
      </w:r>
      <w:r w:rsidRPr="00B834A2">
        <w:rPr>
          <w:rFonts w:ascii="Sylfaen" w:hAnsi="Sylfaen"/>
          <w:i/>
          <w:sz w:val="24"/>
          <w:szCs w:val="24"/>
          <w:vertAlign w:val="subscript"/>
        </w:rPr>
        <w:t>0-ն</w:t>
      </w:r>
      <w:r w:rsidRPr="00B834A2">
        <w:rPr>
          <w:rFonts w:ascii="Sylfaen" w:hAnsi="Sylfaen"/>
          <w:sz w:val="24"/>
          <w:szCs w:val="24"/>
        </w:rPr>
        <w:t>՝ էլեկտրական բաժնի բազային պոտենցիալն է:</w:t>
      </w:r>
      <w:r>
        <w:rPr>
          <w:rFonts w:ascii="Sylfaen" w:hAnsi="Sylfaen"/>
          <w:sz w:val="24"/>
          <w:szCs w:val="24"/>
        </w:rPr>
        <w:t xml:space="preserve"> </w:t>
      </w:r>
    </w:p>
    <w:p w14:paraId="10360E9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Քառաբ</w:t>
      </w:r>
      <w:r>
        <w:rPr>
          <w:rStyle w:val="Bodytext210pt"/>
          <w:b/>
          <w:sz w:val="24"/>
          <w:szCs w:val="24"/>
        </w:rPr>
        <w:t>եւ</w:t>
      </w:r>
      <w:r w:rsidRPr="00B834A2">
        <w:rPr>
          <w:rStyle w:val="Bodytext210pt"/>
          <w:b/>
          <w:sz w:val="24"/>
          <w:szCs w:val="24"/>
        </w:rPr>
        <w:t>եռային անալիզարարներ:</w:t>
      </w:r>
      <w:r w:rsidRPr="00B834A2">
        <w:rPr>
          <w:rStyle w:val="Bodytext210pt"/>
          <w:sz w:val="24"/>
          <w:szCs w:val="24"/>
        </w:rPr>
        <w:t xml:space="preserve"> Անալիզարարը բաղկացած է գլանաձ</w:t>
      </w:r>
      <w:r>
        <w:rPr>
          <w:rStyle w:val="Bodytext210pt"/>
          <w:sz w:val="24"/>
          <w:szCs w:val="24"/>
        </w:rPr>
        <w:t>եւ</w:t>
      </w:r>
      <w:r w:rsidRPr="00B834A2">
        <w:rPr>
          <w:rStyle w:val="Bodytext210pt"/>
          <w:sz w:val="24"/>
          <w:szCs w:val="24"/>
        </w:rPr>
        <w:t xml:space="preserve"> կամ հիպերբոլական լայնական հատույթ ունեցող չորս զուգահեռ մետաղական ձողերից: Դրանք տեղակայված են սիմետրիկ՝ իոնների շարժման հետագծի նկատմամբ. հակառակ ձողերի զույգերը միացված են էլեկտրական աղբյուրին: Երկու զույգ ձողերի պոտենցիալները հակառակ են: Դրանք բաղկացած են </w:t>
      </w:r>
      <w:r w:rsidRPr="00955E48">
        <w:rPr>
          <w:rStyle w:val="Bodytext210pt"/>
          <w:spacing w:val="-4"/>
          <w:sz w:val="24"/>
          <w:szCs w:val="24"/>
        </w:rPr>
        <w:t>հաստատուն եւ փոփոխվող բաղադրիչներից: Իոնարարում գոյացող իոնները բաց են թողնվում</w:t>
      </w:r>
      <w:r w:rsidRPr="00B834A2">
        <w:rPr>
          <w:rStyle w:val="Bodytext210pt"/>
          <w:sz w:val="24"/>
          <w:szCs w:val="24"/>
        </w:rPr>
        <w:t xml:space="preserve"> </w:t>
      </w:r>
      <w:r>
        <w:rPr>
          <w:rStyle w:val="Bodytext210pt"/>
          <w:sz w:val="24"/>
          <w:szCs w:val="24"/>
        </w:rPr>
        <w:t>եւ</w:t>
      </w:r>
      <w:r w:rsidRPr="00B834A2">
        <w:rPr>
          <w:rStyle w:val="Bodytext210pt"/>
          <w:sz w:val="24"/>
          <w:szCs w:val="24"/>
        </w:rPr>
        <w:t xml:space="preserve"> բաժանվում ձողերին հարող պոտենցիալների փոփոխության հետ</w:t>
      </w:r>
      <w:r>
        <w:rPr>
          <w:rStyle w:val="Bodytext210pt"/>
          <w:sz w:val="24"/>
          <w:szCs w:val="24"/>
        </w:rPr>
        <w:t>եւ</w:t>
      </w:r>
      <w:r w:rsidRPr="00B834A2">
        <w:rPr>
          <w:rStyle w:val="Bodytext210pt"/>
          <w:sz w:val="24"/>
          <w:szCs w:val="24"/>
        </w:rPr>
        <w:t>անքով, ընդ որում՝ հաստատուն պոտենցիալի հարաբերակցությունը փոփոխականին պետք է մնա անփոփոխ: Քառաբ</w:t>
      </w:r>
      <w:r>
        <w:rPr>
          <w:rStyle w:val="Bodytext210pt"/>
          <w:sz w:val="24"/>
          <w:szCs w:val="24"/>
        </w:rPr>
        <w:t>եւ</w:t>
      </w:r>
      <w:r w:rsidRPr="00B834A2">
        <w:rPr>
          <w:rStyle w:val="Bodytext210pt"/>
          <w:sz w:val="24"/>
          <w:szCs w:val="24"/>
        </w:rPr>
        <w:t>եռային անալիզարարները սովորաբար ունեն 1 զ.ա.մ.-ից մինչ</w:t>
      </w:r>
      <w:r>
        <w:rPr>
          <w:rStyle w:val="Bodytext210pt"/>
          <w:sz w:val="24"/>
          <w:szCs w:val="24"/>
        </w:rPr>
        <w:t>եւ</w:t>
      </w:r>
      <w:r w:rsidRPr="00B834A2">
        <w:rPr>
          <w:rStyle w:val="Bodytext210pt"/>
          <w:sz w:val="24"/>
          <w:szCs w:val="24"/>
        </w:rPr>
        <w:t xml:space="preserve"> 2000 զ.ա.մ. զանգվածային ընդգրկույթ, թեպետ որոշ դեպքերում այն կարող է հասնել 4000 զ.ա.մ.: Չնայած նրան, որ նման անալիզարարներն ունեն պակաս լուծում, քան մագնիսականները, դրանք թույլ են տալիս ստանալ միալիցք իոնների մոնոիզոտոպային պրոֆիլ ամբողջ զանգվածային ընդգրկույթում: </w:t>
      </w:r>
      <w:r w:rsidRPr="00B834A2">
        <w:rPr>
          <w:rFonts w:ascii="Sylfaen" w:hAnsi="Sylfaen"/>
          <w:sz w:val="24"/>
          <w:szCs w:val="24"/>
        </w:rPr>
        <w:t>Սպեկտրների ստացման համար կարելի է օգտագործել միմյանց միացած երեք քառաբ</w:t>
      </w:r>
      <w:r>
        <w:rPr>
          <w:rFonts w:ascii="Sylfaen" w:hAnsi="Sylfaen"/>
          <w:sz w:val="24"/>
          <w:szCs w:val="24"/>
        </w:rPr>
        <w:t>եւ</w:t>
      </w:r>
      <w:r w:rsidRPr="00B834A2">
        <w:rPr>
          <w:rFonts w:ascii="Sylfaen" w:hAnsi="Sylfaen"/>
          <w:sz w:val="24"/>
          <w:szCs w:val="24"/>
        </w:rPr>
        <w:t xml:space="preserve">եռ, </w:t>
      </w:r>
      <w:r w:rsidRPr="00E960B1">
        <w:rPr>
          <w:rFonts w:ascii="Sylfaen" w:hAnsi="Sylfaen"/>
          <w:i/>
          <w:sz w:val="24"/>
          <w:szCs w:val="24"/>
        </w:rPr>
        <w:t>Q</w:t>
      </w:r>
      <w:r w:rsidRPr="00E960B1">
        <w:rPr>
          <w:rFonts w:ascii="Sylfaen" w:hAnsi="Sylfaen"/>
          <w:i/>
          <w:sz w:val="24"/>
          <w:szCs w:val="24"/>
          <w:vertAlign w:val="subscript"/>
        </w:rPr>
        <w:t>1</w:t>
      </w:r>
      <w:r w:rsidRPr="00E960B1">
        <w:rPr>
          <w:rFonts w:ascii="Sylfaen" w:hAnsi="Sylfaen"/>
          <w:i/>
          <w:sz w:val="24"/>
          <w:szCs w:val="24"/>
        </w:rPr>
        <w:t>, Q</w:t>
      </w:r>
      <w:r w:rsidRPr="00E960B1">
        <w:rPr>
          <w:rFonts w:ascii="Sylfaen" w:hAnsi="Sylfaen"/>
          <w:i/>
          <w:sz w:val="24"/>
          <w:szCs w:val="24"/>
          <w:vertAlign w:val="subscript"/>
        </w:rPr>
        <w:t>2</w:t>
      </w:r>
      <w:r w:rsidRPr="00E960B1">
        <w:rPr>
          <w:rFonts w:ascii="Sylfaen" w:hAnsi="Sylfaen"/>
          <w:i/>
          <w:sz w:val="24"/>
          <w:szCs w:val="24"/>
        </w:rPr>
        <w:t>, Q</w:t>
      </w:r>
      <w:r w:rsidRPr="00E960B1">
        <w:rPr>
          <w:rFonts w:ascii="Sylfaen" w:hAnsi="Sylfaen"/>
          <w:i/>
          <w:sz w:val="24"/>
          <w:szCs w:val="24"/>
          <w:vertAlign w:val="subscript"/>
        </w:rPr>
        <w:t>3</w:t>
      </w:r>
      <w:r w:rsidRPr="00B834A2">
        <w:rPr>
          <w:rFonts w:ascii="Sylfaen" w:hAnsi="Sylfaen"/>
          <w:sz w:val="24"/>
          <w:szCs w:val="24"/>
        </w:rPr>
        <w:t xml:space="preserve"> (</w:t>
      </w:r>
      <w:r w:rsidRPr="00E960B1">
        <w:rPr>
          <w:rFonts w:ascii="Sylfaen" w:hAnsi="Sylfaen"/>
          <w:i/>
          <w:sz w:val="24"/>
          <w:szCs w:val="24"/>
        </w:rPr>
        <w:t>Q</w:t>
      </w:r>
      <w:r w:rsidRPr="00E960B1">
        <w:rPr>
          <w:rFonts w:ascii="Sylfaen" w:hAnsi="Sylfaen"/>
          <w:i/>
          <w:sz w:val="24"/>
          <w:szCs w:val="24"/>
          <w:vertAlign w:val="subscript"/>
        </w:rPr>
        <w:t>2</w:t>
      </w:r>
      <w:r w:rsidRPr="00B834A2">
        <w:rPr>
          <w:rFonts w:ascii="Sylfaen" w:hAnsi="Sylfaen"/>
          <w:sz w:val="24"/>
          <w:szCs w:val="24"/>
        </w:rPr>
        <w:t xml:space="preserve">-ը ծառայում է որպես իոնացնող խուց </w:t>
      </w:r>
      <w:r>
        <w:rPr>
          <w:rFonts w:ascii="Sylfaen" w:hAnsi="Sylfaen"/>
          <w:sz w:val="24"/>
          <w:szCs w:val="24"/>
        </w:rPr>
        <w:t>եւ</w:t>
      </w:r>
      <w:r w:rsidRPr="00B834A2">
        <w:rPr>
          <w:rFonts w:ascii="Sylfaen" w:hAnsi="Sylfaen"/>
          <w:sz w:val="24"/>
          <w:szCs w:val="24"/>
        </w:rPr>
        <w:t xml:space="preserve"> իրականում անալիզարար չէ,. </w:t>
      </w:r>
      <w:r w:rsidRPr="00B834A2">
        <w:rPr>
          <w:rStyle w:val="Bodytext210pt"/>
          <w:sz w:val="24"/>
          <w:szCs w:val="24"/>
        </w:rPr>
        <w:t>առավել հաճախ՝ որպես իոնացնող գազ, կիրառում են արգոնը):</w:t>
      </w:r>
    </w:p>
    <w:p w14:paraId="04DAE9B7"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Սկանավորման առավել հաճախ օգտագործվող ռեժիմներն են՝</w:t>
      </w:r>
    </w:p>
    <w:p w14:paraId="5D44B4B2" w14:textId="77777777" w:rsidR="0058140E" w:rsidRDefault="0058140E">
      <w:pPr>
        <w:rPr>
          <w:rFonts w:eastAsia="Times New Roman" w:cs="Times New Roman"/>
        </w:rPr>
      </w:pPr>
      <w:r>
        <w:br w:type="page"/>
      </w:r>
    </w:p>
    <w:p w14:paraId="2FD4F8BE"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lastRenderedPageBreak/>
        <w:t>-</w:t>
      </w:r>
      <w:r w:rsidR="00955E48" w:rsidRPr="00955E48">
        <w:rPr>
          <w:rFonts w:ascii="Sylfaen" w:hAnsi="Sylfaen"/>
          <w:sz w:val="24"/>
          <w:szCs w:val="24"/>
        </w:rPr>
        <w:tab/>
      </w:r>
      <w:r w:rsidRPr="00B834A2">
        <w:rPr>
          <w:rFonts w:ascii="Sylfaen" w:hAnsi="Sylfaen"/>
          <w:i/>
          <w:sz w:val="24"/>
          <w:szCs w:val="24"/>
        </w:rPr>
        <w:t>դուստր իոնի ռեժիմ</w:t>
      </w:r>
      <w:r w:rsidRPr="00B834A2">
        <w:rPr>
          <w:rFonts w:ascii="Sylfaen" w:hAnsi="Sylfaen"/>
          <w:sz w:val="24"/>
          <w:szCs w:val="24"/>
        </w:rPr>
        <w:t xml:space="preserve">՝ </w:t>
      </w:r>
      <w:r w:rsidRPr="00E960B1">
        <w:rPr>
          <w:rFonts w:ascii="Sylfaen" w:hAnsi="Sylfaen"/>
          <w:i/>
          <w:sz w:val="24"/>
          <w:szCs w:val="24"/>
        </w:rPr>
        <w:t>Q</w:t>
      </w:r>
      <w:r w:rsidRPr="00E960B1">
        <w:rPr>
          <w:rFonts w:ascii="Sylfaen" w:hAnsi="Sylfaen"/>
          <w:i/>
          <w:sz w:val="24"/>
          <w:szCs w:val="24"/>
          <w:vertAlign w:val="subscript"/>
        </w:rPr>
        <w:t>1</w:t>
      </w:r>
      <w:r w:rsidRPr="00B834A2">
        <w:rPr>
          <w:rFonts w:ascii="Sylfaen" w:hAnsi="Sylfaen"/>
          <w:sz w:val="24"/>
          <w:szCs w:val="24"/>
        </w:rPr>
        <w:t xml:space="preserve">-ն ընտրում է m/z իոն, որի </w:t>
      </w:r>
      <w:r w:rsidRPr="00E960B1">
        <w:rPr>
          <w:rFonts w:ascii="Sylfaen" w:hAnsi="Sylfaen"/>
          <w:i/>
          <w:sz w:val="24"/>
          <w:szCs w:val="24"/>
        </w:rPr>
        <w:t>Q</w:t>
      </w:r>
      <w:r w:rsidRPr="00E960B1">
        <w:rPr>
          <w:rFonts w:ascii="Sylfaen" w:hAnsi="Sylfaen"/>
          <w:i/>
          <w:sz w:val="24"/>
          <w:szCs w:val="24"/>
          <w:vertAlign w:val="subscript"/>
        </w:rPr>
        <w:t>2</w:t>
      </w:r>
      <w:r w:rsidRPr="00B834A2">
        <w:rPr>
          <w:rFonts w:ascii="Sylfaen" w:hAnsi="Sylfaen"/>
          <w:sz w:val="24"/>
          <w:szCs w:val="24"/>
        </w:rPr>
        <w:t xml:space="preserve"> քառաբ</w:t>
      </w:r>
      <w:r>
        <w:rPr>
          <w:rFonts w:ascii="Sylfaen" w:hAnsi="Sylfaen"/>
          <w:sz w:val="24"/>
          <w:szCs w:val="24"/>
        </w:rPr>
        <w:t>եւ</w:t>
      </w:r>
      <w:r w:rsidRPr="00B834A2">
        <w:rPr>
          <w:rFonts w:ascii="Sylfaen" w:hAnsi="Sylfaen"/>
          <w:sz w:val="24"/>
          <w:szCs w:val="24"/>
        </w:rPr>
        <w:t xml:space="preserve">եռում իոնացման ժամանակ ստացված ֆրագմենտները </w:t>
      </w:r>
      <w:r w:rsidRPr="00B834A2">
        <w:rPr>
          <w:rStyle w:val="Bodytext210pt"/>
          <w:sz w:val="24"/>
          <w:szCs w:val="24"/>
        </w:rPr>
        <w:t>անալիզի են ենթարկվում</w:t>
      </w:r>
      <w:r w:rsidRPr="00B834A2">
        <w:rPr>
          <w:rFonts w:ascii="Sylfaen" w:hAnsi="Sylfaen"/>
          <w:sz w:val="24"/>
          <w:szCs w:val="24"/>
        </w:rPr>
        <w:t xml:space="preserve"> </w:t>
      </w:r>
      <w:r w:rsidRPr="0058140E">
        <w:rPr>
          <w:rFonts w:ascii="Sylfaen" w:hAnsi="Sylfaen"/>
          <w:i/>
          <w:sz w:val="24"/>
          <w:szCs w:val="24"/>
        </w:rPr>
        <w:t>Q</w:t>
      </w:r>
      <w:r w:rsidRPr="0058140E">
        <w:rPr>
          <w:rFonts w:ascii="Sylfaen" w:hAnsi="Sylfaen"/>
          <w:i/>
          <w:sz w:val="24"/>
          <w:szCs w:val="24"/>
          <w:vertAlign w:val="subscript"/>
        </w:rPr>
        <w:t>3</w:t>
      </w:r>
      <w:r w:rsidRPr="00B834A2">
        <w:rPr>
          <w:rFonts w:ascii="Sylfaen" w:hAnsi="Sylfaen"/>
          <w:sz w:val="24"/>
          <w:szCs w:val="24"/>
        </w:rPr>
        <w:t xml:space="preserve"> քառաբ</w:t>
      </w:r>
      <w:r>
        <w:rPr>
          <w:rFonts w:ascii="Sylfaen" w:hAnsi="Sylfaen"/>
          <w:sz w:val="24"/>
          <w:szCs w:val="24"/>
        </w:rPr>
        <w:t>եւ</w:t>
      </w:r>
      <w:r w:rsidRPr="00B834A2">
        <w:rPr>
          <w:rFonts w:ascii="Sylfaen" w:hAnsi="Sylfaen"/>
          <w:sz w:val="24"/>
          <w:szCs w:val="24"/>
        </w:rPr>
        <w:t xml:space="preserve">եռով. </w:t>
      </w:r>
    </w:p>
    <w:p w14:paraId="18574FF7" w14:textId="77777777" w:rsidR="00B834A2" w:rsidRPr="00B834A2" w:rsidRDefault="00B834A2" w:rsidP="00955E48">
      <w:pPr>
        <w:tabs>
          <w:tab w:val="left" w:pos="1134"/>
        </w:tabs>
        <w:spacing w:after="160" w:line="360" w:lineRule="auto"/>
        <w:ind w:firstLine="567"/>
        <w:jc w:val="both"/>
        <w:rPr>
          <w:rStyle w:val="Bodytext210pt8"/>
          <w:sz w:val="24"/>
          <w:szCs w:val="24"/>
        </w:rPr>
      </w:pPr>
      <w:r w:rsidRPr="00B834A2">
        <w:t>-</w:t>
      </w:r>
      <w:r w:rsidR="00955E48" w:rsidRPr="00097504">
        <w:tab/>
      </w:r>
      <w:r w:rsidRPr="00B834A2">
        <w:rPr>
          <w:i/>
        </w:rPr>
        <w:t>ծնող իոնի ռեժիմ</w:t>
      </w:r>
      <w:r w:rsidRPr="00B834A2">
        <w:t xml:space="preserve">. </w:t>
      </w:r>
      <w:r w:rsidRPr="0058140E">
        <w:rPr>
          <w:i/>
        </w:rPr>
        <w:t>Q</w:t>
      </w:r>
      <w:r w:rsidRPr="0058140E">
        <w:rPr>
          <w:i/>
          <w:vertAlign w:val="subscript"/>
        </w:rPr>
        <w:t>3</w:t>
      </w:r>
      <w:r w:rsidRPr="00B834A2">
        <w:t xml:space="preserve">-ն բաց է թողնում միայն mlz որոշված հարաբերակցությամբ իոններ, մինչդեռ </w:t>
      </w:r>
      <w:r w:rsidRPr="0058140E">
        <w:rPr>
          <w:i/>
        </w:rPr>
        <w:t>Q</w:t>
      </w:r>
      <w:r w:rsidRPr="0058140E">
        <w:rPr>
          <w:i/>
          <w:vertAlign w:val="subscript"/>
        </w:rPr>
        <w:t>1</w:t>
      </w:r>
      <w:r w:rsidRPr="00B834A2">
        <w:t>-ը սկանավորում է որոշված զանգվածային ընդգրկույթը:</w:t>
      </w:r>
      <w:r w:rsidRPr="00B834A2">
        <w:rPr>
          <w:rStyle w:val="Bodytext210pt"/>
          <w:sz w:val="24"/>
          <w:szCs w:val="24"/>
        </w:rPr>
        <w:t xml:space="preserve"> </w:t>
      </w:r>
      <w:r w:rsidRPr="00B834A2">
        <w:t xml:space="preserve">Դետեկտվում են միայն այն իոնները, որոնց քայքայման դեպքում գոյանում է </w:t>
      </w:r>
      <w:r w:rsidRPr="0058140E">
        <w:rPr>
          <w:i/>
        </w:rPr>
        <w:t>Q</w:t>
      </w:r>
      <w:r w:rsidRPr="0058140E">
        <w:rPr>
          <w:i/>
          <w:vertAlign w:val="subscript"/>
        </w:rPr>
        <w:t>3</w:t>
      </w:r>
      <w:r w:rsidRPr="00B834A2">
        <w:t xml:space="preserve"> քառաբ</w:t>
      </w:r>
      <w:r>
        <w:t>եւ</w:t>
      </w:r>
      <w:r w:rsidRPr="00B834A2">
        <w:t>եռով ընտրվող իոն.</w:t>
      </w:r>
      <w:r>
        <w:t xml:space="preserve"> </w:t>
      </w:r>
    </w:p>
    <w:p w14:paraId="68A38062"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չեզոք մասնիկների ռեժիմ:</w:t>
      </w:r>
      <w:r w:rsidRPr="00B834A2">
        <w:rPr>
          <w:rStyle w:val="Bodytext210pt"/>
          <w:sz w:val="24"/>
          <w:szCs w:val="24"/>
        </w:rPr>
        <w:t xml:space="preserve"> </w:t>
      </w:r>
      <w:r w:rsidRPr="0058140E">
        <w:rPr>
          <w:rFonts w:ascii="Sylfaen" w:hAnsi="Sylfaen"/>
          <w:i/>
          <w:sz w:val="24"/>
          <w:szCs w:val="24"/>
        </w:rPr>
        <w:t>Q</w:t>
      </w:r>
      <w:r w:rsidRPr="0058140E">
        <w:rPr>
          <w:rFonts w:ascii="Sylfaen" w:hAnsi="Sylfaen"/>
          <w:i/>
          <w:sz w:val="24"/>
          <w:szCs w:val="24"/>
          <w:vertAlign w:val="subscript"/>
        </w:rPr>
        <w:t>1</w:t>
      </w:r>
      <w:r w:rsidRPr="00B834A2">
        <w:rPr>
          <w:rFonts w:ascii="Sylfaen" w:hAnsi="Sylfaen"/>
          <w:sz w:val="24"/>
          <w:szCs w:val="24"/>
        </w:rPr>
        <w:t xml:space="preserve">-ը </w:t>
      </w:r>
      <w:r>
        <w:rPr>
          <w:rFonts w:ascii="Sylfaen" w:hAnsi="Sylfaen"/>
          <w:sz w:val="24"/>
          <w:szCs w:val="24"/>
        </w:rPr>
        <w:t>եւ</w:t>
      </w:r>
      <w:r w:rsidRPr="00B834A2">
        <w:rPr>
          <w:rFonts w:ascii="Sylfaen" w:hAnsi="Sylfaen"/>
          <w:sz w:val="24"/>
          <w:szCs w:val="24"/>
        </w:rPr>
        <w:t xml:space="preserve"> </w:t>
      </w:r>
      <w:r w:rsidRPr="0058140E">
        <w:rPr>
          <w:rFonts w:ascii="Sylfaen" w:hAnsi="Sylfaen"/>
          <w:i/>
          <w:sz w:val="24"/>
          <w:szCs w:val="24"/>
        </w:rPr>
        <w:t>Q</w:t>
      </w:r>
      <w:r w:rsidRPr="0058140E">
        <w:rPr>
          <w:rFonts w:ascii="Sylfaen" w:hAnsi="Sylfaen"/>
          <w:i/>
          <w:sz w:val="24"/>
          <w:szCs w:val="24"/>
          <w:vertAlign w:val="subscript"/>
        </w:rPr>
        <w:t>3</w:t>
      </w:r>
      <w:r w:rsidRPr="00B834A2">
        <w:rPr>
          <w:rFonts w:ascii="Sylfaen" w:hAnsi="Sylfaen"/>
          <w:sz w:val="24"/>
          <w:szCs w:val="24"/>
        </w:rPr>
        <w:t>-ը սկանավորում են</w:t>
      </w:r>
      <w:r>
        <w:rPr>
          <w:rFonts w:ascii="Sylfaen" w:hAnsi="Sylfaen"/>
          <w:sz w:val="24"/>
          <w:szCs w:val="24"/>
        </w:rPr>
        <w:t xml:space="preserve"> </w:t>
      </w:r>
      <w:r w:rsidRPr="00B834A2">
        <w:rPr>
          <w:rFonts w:ascii="Sylfaen" w:hAnsi="Sylfaen"/>
          <w:sz w:val="24"/>
          <w:szCs w:val="24"/>
        </w:rPr>
        <w:t xml:space="preserve">որոշակի զանգվածային ընդգկույթը, սակայն այն ֆրագմենտներին համապատասխանող միջակայքում, որոնք կորցնում է որոշակի նյութը կամ նյութերի խումբը: </w:t>
      </w:r>
    </w:p>
    <w:p w14:paraId="63811EA5"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Սպեկտրների ստացման համար հնարավոր է մագնիսականի կամ էլեկտրաստատիկի հետ քառաբ</w:t>
      </w:r>
      <w:r>
        <w:rPr>
          <w:rStyle w:val="Bodytext210pt"/>
          <w:sz w:val="24"/>
          <w:szCs w:val="24"/>
        </w:rPr>
        <w:t>եւ</w:t>
      </w:r>
      <w:r w:rsidRPr="00B834A2">
        <w:rPr>
          <w:rStyle w:val="Bodytext210pt"/>
          <w:sz w:val="24"/>
          <w:szCs w:val="24"/>
        </w:rPr>
        <w:t>եռային անալիզարարների զուգորդումը: Նման սարքերը կոչվում են հիբրիդային զանգվածասպեկտրաչափեր:</w:t>
      </w:r>
    </w:p>
    <w:p w14:paraId="6B81811F"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Իոնային թակարդներ:</w:t>
      </w:r>
      <w:r w:rsidRPr="00B834A2">
        <w:rPr>
          <w:rStyle w:val="Bodytext210pt"/>
          <w:sz w:val="24"/>
          <w:szCs w:val="24"/>
        </w:rPr>
        <w:t xml:space="preserve"> Տվյալ անալիզատերներն ունեն աշխատանքի նույն սկզբունքը, ինչ քառաբ</w:t>
      </w:r>
      <w:r>
        <w:rPr>
          <w:rStyle w:val="Bodytext210pt"/>
          <w:sz w:val="24"/>
          <w:szCs w:val="24"/>
        </w:rPr>
        <w:t>եւ</w:t>
      </w:r>
      <w:r w:rsidRPr="00B834A2">
        <w:rPr>
          <w:rStyle w:val="Bodytext210pt"/>
          <w:sz w:val="24"/>
          <w:szCs w:val="24"/>
        </w:rPr>
        <w:t xml:space="preserve">եռայինները, սակայն դրանցում օգտագործվում են եռաչափ էլեկտրական դաշտեր: </w:t>
      </w:r>
      <w:r w:rsidRPr="00B834A2">
        <w:rPr>
          <w:rFonts w:ascii="Sylfaen" w:hAnsi="Sylfaen"/>
          <w:sz w:val="24"/>
          <w:szCs w:val="24"/>
        </w:rPr>
        <w:t>Նման տեսակի անալիզարարները թույլ են տալիս ստանալ մի քանի սերունդների իոնների սպեկտրներ (MS</w:t>
      </w:r>
      <w:r w:rsidRPr="00123D1A">
        <w:rPr>
          <w:rStyle w:val="Bodytext210pt8"/>
          <w:sz w:val="24"/>
          <w:szCs w:val="24"/>
          <w:vertAlign w:val="superscript"/>
        </w:rPr>
        <w:t>n</w:t>
      </w:r>
      <w:r w:rsidRPr="00B834A2">
        <w:rPr>
          <w:rFonts w:ascii="Sylfaen" w:hAnsi="Sylfaen"/>
          <w:sz w:val="24"/>
          <w:szCs w:val="24"/>
        </w:rPr>
        <w:t>):</w:t>
      </w:r>
    </w:p>
    <w:p w14:paraId="624372A7"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Ցիկլոտրոնային ռեզոնանսային զանգվածային անալիզարարներ:</w:t>
      </w:r>
      <w:r w:rsidRPr="00B834A2">
        <w:rPr>
          <w:rStyle w:val="Bodytext210pt"/>
          <w:sz w:val="24"/>
          <w:szCs w:val="24"/>
        </w:rPr>
        <w:t xml:space="preserve"> </w:t>
      </w:r>
      <w:r w:rsidRPr="00B834A2">
        <w:rPr>
          <w:rFonts w:ascii="Sylfaen" w:hAnsi="Sylfaen"/>
          <w:sz w:val="24"/>
          <w:szCs w:val="24"/>
        </w:rPr>
        <w:t xml:space="preserve">Բջջում գոյացած </w:t>
      </w:r>
      <w:r>
        <w:rPr>
          <w:rFonts w:ascii="Sylfaen" w:hAnsi="Sylfaen"/>
          <w:sz w:val="24"/>
          <w:szCs w:val="24"/>
        </w:rPr>
        <w:t>եւ</w:t>
      </w:r>
      <w:r w:rsidRPr="00B834A2">
        <w:rPr>
          <w:rFonts w:ascii="Sylfaen" w:hAnsi="Sylfaen"/>
          <w:sz w:val="24"/>
          <w:szCs w:val="24"/>
        </w:rPr>
        <w:t xml:space="preserve"> ինտենսիվ մագնիսական դաշտի ազդեցությանը ենթարկված իոնները շարժվում են շրջանաձ</w:t>
      </w:r>
      <w:r>
        <w:rPr>
          <w:rFonts w:ascii="Sylfaen" w:hAnsi="Sylfaen"/>
          <w:sz w:val="24"/>
          <w:szCs w:val="24"/>
        </w:rPr>
        <w:t>եւ</w:t>
      </w:r>
      <w:r w:rsidRPr="00B834A2">
        <w:rPr>
          <w:rFonts w:ascii="Sylfaen" w:hAnsi="Sylfaen"/>
          <w:sz w:val="24"/>
          <w:szCs w:val="24"/>
        </w:rPr>
        <w:t xml:space="preserve"> հետագծով՝ այն հաճախականություններով, որոնք կարող</w:t>
      </w:r>
      <w:r w:rsidR="0058140E" w:rsidRPr="0058140E">
        <w:rPr>
          <w:rFonts w:ascii="Sylfaen" w:hAnsi="Sylfaen"/>
          <w:sz w:val="24"/>
          <w:szCs w:val="24"/>
        </w:rPr>
        <w:t> </w:t>
      </w:r>
      <w:r w:rsidRPr="00B834A2">
        <w:rPr>
          <w:rFonts w:ascii="Sylfaen" w:hAnsi="Sylfaen"/>
          <w:sz w:val="24"/>
          <w:szCs w:val="24"/>
        </w:rPr>
        <w:t xml:space="preserve">են անմիջականորեն կապված լինել Ֆուրյեի փոխակերպման օգնությամբ այդ իոնների համար m/z հարաբերակցությունների մեծությունների հետ: </w:t>
      </w:r>
      <w:r w:rsidRPr="00B834A2">
        <w:rPr>
          <w:rStyle w:val="Bodytext210pt"/>
          <w:sz w:val="24"/>
          <w:szCs w:val="24"/>
        </w:rPr>
        <w:t>Տվյալ եր</w:t>
      </w:r>
      <w:r>
        <w:rPr>
          <w:rStyle w:val="Bodytext210pt"/>
          <w:sz w:val="24"/>
          <w:szCs w:val="24"/>
        </w:rPr>
        <w:t>եւ</w:t>
      </w:r>
      <w:r w:rsidRPr="00B834A2">
        <w:rPr>
          <w:rStyle w:val="Bodytext210pt"/>
          <w:sz w:val="24"/>
          <w:szCs w:val="24"/>
        </w:rPr>
        <w:t xml:space="preserve">ույթը կոչվում է իոնացիկլոտրոնային ռեզոնանս: </w:t>
      </w:r>
      <w:r w:rsidRPr="00B834A2">
        <w:rPr>
          <w:rFonts w:ascii="Sylfaen" w:hAnsi="Sylfaen"/>
          <w:sz w:val="24"/>
          <w:szCs w:val="24"/>
        </w:rPr>
        <w:t xml:space="preserve">Նման տեսակի անալիզարարները բաղկացած են գերհաղորդիչ մագնիսներից </w:t>
      </w:r>
      <w:r>
        <w:rPr>
          <w:rFonts w:ascii="Sylfaen" w:hAnsi="Sylfaen"/>
          <w:sz w:val="24"/>
          <w:szCs w:val="24"/>
        </w:rPr>
        <w:t>եւ</w:t>
      </w:r>
      <w:r w:rsidRPr="00B834A2">
        <w:rPr>
          <w:rFonts w:ascii="Sylfaen" w:hAnsi="Sylfaen"/>
          <w:sz w:val="24"/>
          <w:szCs w:val="24"/>
        </w:rPr>
        <w:t xml:space="preserve"> օժտված են շատ բարձր թողունակությամբ (մինչ</w:t>
      </w:r>
      <w:r>
        <w:rPr>
          <w:rFonts w:ascii="Sylfaen" w:hAnsi="Sylfaen"/>
          <w:sz w:val="24"/>
          <w:szCs w:val="24"/>
        </w:rPr>
        <w:t>եւ</w:t>
      </w:r>
      <w:r w:rsidRPr="00B834A2">
        <w:rPr>
          <w:rFonts w:ascii="Sylfaen" w:hAnsi="Sylfaen"/>
          <w:sz w:val="24"/>
          <w:szCs w:val="24"/>
        </w:rPr>
        <w:t xml:space="preserve"> 1 000 000 </w:t>
      </w:r>
      <w:r>
        <w:rPr>
          <w:rFonts w:ascii="Sylfaen" w:hAnsi="Sylfaen"/>
          <w:sz w:val="24"/>
          <w:szCs w:val="24"/>
        </w:rPr>
        <w:t>եւ</w:t>
      </w:r>
      <w:r w:rsidRPr="00B834A2">
        <w:rPr>
          <w:rFonts w:ascii="Sylfaen" w:hAnsi="Sylfaen"/>
          <w:sz w:val="24"/>
          <w:szCs w:val="24"/>
        </w:rPr>
        <w:t xml:space="preserve"> բարձր), ինչպես նա</w:t>
      </w:r>
      <w:r>
        <w:rPr>
          <w:rFonts w:ascii="Sylfaen" w:hAnsi="Sylfaen"/>
          <w:sz w:val="24"/>
          <w:szCs w:val="24"/>
        </w:rPr>
        <w:t>եւ</w:t>
      </w:r>
      <w:r w:rsidRPr="00B834A2">
        <w:rPr>
          <w:rFonts w:ascii="Sylfaen" w:hAnsi="Sylfaen"/>
          <w:sz w:val="24"/>
          <w:szCs w:val="24"/>
        </w:rPr>
        <w:t xml:space="preserve"> թույլ են տալիս ստանալ </w:t>
      </w:r>
      <w:r w:rsidRPr="00B834A2">
        <w:rPr>
          <w:rFonts w:ascii="Sylfaen" w:hAnsi="Sylfaen"/>
          <w:i/>
          <w:sz w:val="24"/>
          <w:szCs w:val="24"/>
        </w:rPr>
        <w:t>MS</w:t>
      </w:r>
      <w:r w:rsidRPr="00B834A2">
        <w:rPr>
          <w:rFonts w:ascii="Sylfaen" w:hAnsi="Sylfaen"/>
          <w:i/>
          <w:sz w:val="24"/>
          <w:szCs w:val="24"/>
          <w:vertAlign w:val="superscript"/>
        </w:rPr>
        <w:t>n</w:t>
      </w:r>
      <w:r w:rsidRPr="00B834A2">
        <w:rPr>
          <w:rFonts w:ascii="Sylfaen" w:hAnsi="Sylfaen"/>
          <w:sz w:val="24"/>
          <w:szCs w:val="24"/>
          <w:vertAlign w:val="superscript"/>
        </w:rPr>
        <w:t xml:space="preserve"> </w:t>
      </w:r>
      <w:r w:rsidRPr="00B834A2">
        <w:rPr>
          <w:rFonts w:ascii="Sylfaen" w:hAnsi="Sylfaen"/>
          <w:sz w:val="24"/>
          <w:szCs w:val="24"/>
        </w:rPr>
        <w:t>սպեկտրներ:</w:t>
      </w:r>
      <w:r w:rsidRPr="00B834A2">
        <w:rPr>
          <w:rStyle w:val="Bodytext210pt"/>
          <w:sz w:val="24"/>
          <w:szCs w:val="24"/>
        </w:rPr>
        <w:t xml:space="preserve"> Դրանց թերությունն է շատ խորը վակուումի օգտագործման անհրաժեշտությունը (մոտ 10</w:t>
      </w:r>
      <w:r w:rsidRPr="0058140E">
        <w:rPr>
          <w:rStyle w:val="Bodytext210pt"/>
          <w:sz w:val="24"/>
          <w:szCs w:val="24"/>
          <w:vertAlign w:val="superscript"/>
        </w:rPr>
        <w:t>-7</w:t>
      </w:r>
      <w:r w:rsidRPr="00B834A2">
        <w:rPr>
          <w:rStyle w:val="Bodytext210pt"/>
          <w:sz w:val="24"/>
          <w:szCs w:val="24"/>
        </w:rPr>
        <w:t xml:space="preserve"> Պա):</w:t>
      </w:r>
    </w:p>
    <w:p w14:paraId="50925C30" w14:textId="77777777" w:rsidR="00B834A2" w:rsidRPr="00B834A2" w:rsidRDefault="00B834A2" w:rsidP="00955E48">
      <w:pPr>
        <w:spacing w:after="160" w:line="360" w:lineRule="auto"/>
        <w:ind w:firstLine="567"/>
        <w:jc w:val="both"/>
        <w:rPr>
          <w:rStyle w:val="Bodytext210pt"/>
          <w:sz w:val="24"/>
          <w:szCs w:val="24"/>
        </w:rPr>
      </w:pPr>
      <w:r w:rsidRPr="00B834A2">
        <w:rPr>
          <w:rStyle w:val="Bodytext210pt"/>
          <w:b/>
          <w:sz w:val="24"/>
          <w:szCs w:val="24"/>
        </w:rPr>
        <w:lastRenderedPageBreak/>
        <w:t>Ժամանակաթռիչքային անալիզարարներ:</w:t>
      </w:r>
      <w:r w:rsidRPr="00B834A2">
        <w:rPr>
          <w:rStyle w:val="Bodytext210pt"/>
          <w:sz w:val="24"/>
          <w:szCs w:val="24"/>
        </w:rPr>
        <w:t xml:space="preserve"> Իոնարարում գոյացող իոնները արագացվում են 10 կՎ-ից մինչ</w:t>
      </w:r>
      <w:r>
        <w:rPr>
          <w:rStyle w:val="Bodytext210pt"/>
          <w:sz w:val="24"/>
          <w:szCs w:val="24"/>
        </w:rPr>
        <w:t>եւ</w:t>
      </w:r>
      <w:r w:rsidRPr="00B834A2">
        <w:rPr>
          <w:rStyle w:val="Bodytext210pt"/>
          <w:sz w:val="24"/>
          <w:szCs w:val="24"/>
        </w:rPr>
        <w:t xml:space="preserve"> 20 կՎ մեծությամբ պոտենցիալով: Դրանք անցնում են սովորաբար թռիչքային խողովակ կոչվող՝ 25 սմ-ից մինչ</w:t>
      </w:r>
      <w:r>
        <w:rPr>
          <w:rStyle w:val="Bodytext210pt"/>
          <w:sz w:val="24"/>
          <w:szCs w:val="24"/>
        </w:rPr>
        <w:t>եւ</w:t>
      </w:r>
      <w:r w:rsidRPr="00B834A2">
        <w:rPr>
          <w:rStyle w:val="Bodytext210pt"/>
          <w:sz w:val="24"/>
          <w:szCs w:val="24"/>
        </w:rPr>
        <w:t xml:space="preserve"> 1,5 մ երկարությամբ անդաշտ խողովակից բաղկացած անալիզարարի միջով: Այն ժ</w:t>
      </w:r>
      <w:r w:rsidRPr="00B834A2">
        <w:t xml:space="preserve">ամանակը(t), որում իոնը հասնում է դետեկտորին, համեմատական է </w:t>
      </w:r>
      <w:r w:rsidRPr="00B834A2">
        <w:rPr>
          <w:i/>
        </w:rPr>
        <w:t>m/z</w:t>
      </w:r>
      <w:r w:rsidRPr="00B834A2">
        <w:t xml:space="preserve"> հարաբերակցության քառակուսային արմատին:</w:t>
      </w:r>
      <w:r w:rsidRPr="00B834A2">
        <w:rPr>
          <w:rStyle w:val="Bodytext210pt"/>
          <w:sz w:val="24"/>
          <w:szCs w:val="24"/>
        </w:rPr>
        <w:t xml:space="preserve"> Տեսականորեն նման անալիզարարի համար զանգվածային ընդգրկույթն անվերջանալի է: Գործնականում այն որոշվում է իոնացման կամ դեսորբման մեթոդով: Ժամանակաթռիչքային անալիզարարներն օգտագործվում են հիմնականում բարձր մոլեկուլային միացությունների համար (ընդհուպ մինչ</w:t>
      </w:r>
      <w:r>
        <w:rPr>
          <w:rStyle w:val="Bodytext210pt"/>
          <w:sz w:val="24"/>
          <w:szCs w:val="24"/>
        </w:rPr>
        <w:t>եւ</w:t>
      </w:r>
      <w:r w:rsidRPr="00B834A2">
        <w:rPr>
          <w:rStyle w:val="Bodytext210pt"/>
          <w:sz w:val="24"/>
          <w:szCs w:val="24"/>
        </w:rPr>
        <w:t xml:space="preserve"> մի քանի հարյուր հազար դալտոն): Տվյալ անալիզարարն օժտված է շատ բարձր զգայունությամբ (բավական է նյութի մի քանի գագաթամոլ): Այդպիսի սարքերի չափումների ճշգրտությունը </w:t>
      </w:r>
      <w:r>
        <w:rPr>
          <w:rStyle w:val="Bodytext210pt"/>
          <w:sz w:val="24"/>
          <w:szCs w:val="24"/>
        </w:rPr>
        <w:t>եւ</w:t>
      </w:r>
      <w:r w:rsidRPr="00B834A2">
        <w:rPr>
          <w:rStyle w:val="Bodytext210pt"/>
          <w:sz w:val="24"/>
          <w:szCs w:val="24"/>
        </w:rPr>
        <w:t xml:space="preserve"> թողունակությունը կարող են էականորեն բարելավվել էլեկտրաստատիկ հայելու (ռեֆլեկտրոնի) օգտագործման դեպքում: </w:t>
      </w:r>
    </w:p>
    <w:p w14:paraId="19E79061" w14:textId="77777777" w:rsidR="00B834A2" w:rsidRPr="00B834A2" w:rsidRDefault="00B834A2" w:rsidP="00B834A2">
      <w:pPr>
        <w:spacing w:after="160" w:line="360" w:lineRule="auto"/>
        <w:ind w:firstLine="567"/>
        <w:jc w:val="both"/>
      </w:pPr>
    </w:p>
    <w:p w14:paraId="639AA524" w14:textId="77777777" w:rsidR="00B834A2" w:rsidRPr="00C41622" w:rsidRDefault="00B834A2" w:rsidP="00955E48">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t>ԱԶԴԱՆՇԱՆԻ ՍՏԱՑՈՒՄ</w:t>
      </w:r>
    </w:p>
    <w:p w14:paraId="3EBE2FFE"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Գոյություն ունի ազդանշանի ստացման երեք հնարավոր ռեժիմ:</w:t>
      </w:r>
    </w:p>
    <w:p w14:paraId="2143FBE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Ամբողջական սպեկտրի ռեժիմ:</w:t>
      </w:r>
      <w:r w:rsidRPr="00B834A2">
        <w:rPr>
          <w:rStyle w:val="Bodytext210pt"/>
          <w:sz w:val="24"/>
          <w:szCs w:val="24"/>
        </w:rPr>
        <w:t xml:space="preserve"> Գրանցվում է ընտրված զանգվածային ընդգրկույթի համար ստացված ամբողջական ազդանշանը: </w:t>
      </w:r>
      <w:r w:rsidRPr="00B834A2">
        <w:rPr>
          <w:rFonts w:ascii="Sylfaen" w:hAnsi="Sylfaen"/>
          <w:sz w:val="24"/>
          <w:szCs w:val="24"/>
        </w:rPr>
        <w:t xml:space="preserve">Սպետրը </w:t>
      </w:r>
      <w:r w:rsidRPr="00B834A2">
        <w:rPr>
          <w:rFonts w:ascii="Sylfaen" w:hAnsi="Sylfaen"/>
          <w:i/>
          <w:sz w:val="24"/>
          <w:szCs w:val="24"/>
        </w:rPr>
        <w:t>m/z</w:t>
      </w:r>
      <w:r w:rsidRPr="00B834A2">
        <w:rPr>
          <w:rFonts w:ascii="Sylfaen" w:hAnsi="Sylfaen"/>
          <w:sz w:val="24"/>
          <w:szCs w:val="24"/>
        </w:rPr>
        <w:t xml:space="preserve"> մեծությունից՝ տարբեր իոնների հարաբերական ինտենսիվության կախվածությունն է:</w:t>
      </w:r>
      <w:r w:rsidRPr="00B834A2">
        <w:rPr>
          <w:rStyle w:val="Bodytext210pt"/>
          <w:sz w:val="24"/>
          <w:szCs w:val="24"/>
        </w:rPr>
        <w:t xml:space="preserve"> Ստացվող արդյունքները հիմնականում որակական են: Առավել արագ նույնականացման համար հնարավոր է համեմատման սպեկտրների գրադարանների օգտագործում:</w:t>
      </w:r>
    </w:p>
    <w:p w14:paraId="48241547"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Ֆրագմենտաչափական ռեժիմ (իոնների սելեկտիվ սկանավորում):</w:t>
      </w:r>
      <w:r w:rsidRPr="00B834A2">
        <w:rPr>
          <w:rStyle w:val="Bodytext210pt"/>
          <w:sz w:val="24"/>
          <w:szCs w:val="24"/>
        </w:rPr>
        <w:t xml:space="preserve"> </w:t>
      </w:r>
      <w:r w:rsidRPr="00B834A2">
        <w:rPr>
          <w:rFonts w:ascii="Sylfaen" w:hAnsi="Sylfaen"/>
          <w:sz w:val="24"/>
          <w:szCs w:val="24"/>
        </w:rPr>
        <w:t xml:space="preserve">Ստացվող ազդանշանը սահմանափակվում է </w:t>
      </w:r>
      <w:r w:rsidRPr="00B834A2">
        <w:rPr>
          <w:rStyle w:val="Bodytext210pt"/>
          <w:sz w:val="24"/>
          <w:szCs w:val="24"/>
        </w:rPr>
        <w:t>անալիզի ենթարկվող</w:t>
      </w:r>
      <w:r w:rsidRPr="00B834A2">
        <w:rPr>
          <w:rFonts w:ascii="Sylfaen" w:hAnsi="Sylfaen"/>
          <w:sz w:val="24"/>
          <w:szCs w:val="24"/>
        </w:rPr>
        <w:t xml:space="preserve"> նյութի համար բնորոշ մեկ (մեկ իոնի սկանավորում, </w:t>
      </w:r>
      <w:r w:rsidRPr="00B834A2">
        <w:rPr>
          <w:rFonts w:ascii="Sylfaen" w:hAnsi="Sylfaen"/>
          <w:i/>
          <w:sz w:val="24"/>
          <w:szCs w:val="24"/>
        </w:rPr>
        <w:t>single-ion monitoring (</w:t>
      </w:r>
      <w:smartTag w:uri="urn:schemas-microsoft-com:office:smarttags" w:element="stockticker">
        <w:r w:rsidRPr="00B834A2">
          <w:rPr>
            <w:rFonts w:ascii="Sylfaen" w:hAnsi="Sylfaen"/>
            <w:i/>
            <w:sz w:val="24"/>
            <w:szCs w:val="24"/>
          </w:rPr>
          <w:t>SIM</w:t>
        </w:r>
      </w:smartTag>
      <w:r w:rsidRPr="00B834A2">
        <w:rPr>
          <w:rFonts w:ascii="Sylfaen" w:hAnsi="Sylfaen"/>
          <w:i/>
          <w:sz w:val="24"/>
          <w:szCs w:val="24"/>
        </w:rPr>
        <w:t>))</w:t>
      </w:r>
      <w:r w:rsidRPr="00B834A2">
        <w:rPr>
          <w:rFonts w:ascii="Sylfaen" w:hAnsi="Sylfaen"/>
          <w:sz w:val="24"/>
          <w:szCs w:val="24"/>
        </w:rPr>
        <w:t xml:space="preserve"> կամ մի քանի (բազմակի իոնային սկանավորում, </w:t>
      </w:r>
      <w:r w:rsidRPr="00B834A2">
        <w:rPr>
          <w:rFonts w:ascii="Sylfaen" w:hAnsi="Sylfaen"/>
          <w:i/>
          <w:sz w:val="24"/>
          <w:szCs w:val="24"/>
        </w:rPr>
        <w:t>multiple-ion monitoring (MIM))</w:t>
      </w:r>
      <w:r w:rsidRPr="00B834A2">
        <w:rPr>
          <w:rFonts w:ascii="Sylfaen" w:hAnsi="Sylfaen"/>
          <w:sz w:val="24"/>
          <w:szCs w:val="24"/>
        </w:rPr>
        <w:t xml:space="preserve"> իոններով:</w:t>
      </w:r>
      <w:r w:rsidRPr="00B834A2">
        <w:rPr>
          <w:rStyle w:val="Bodytext210pt"/>
          <w:sz w:val="24"/>
          <w:szCs w:val="24"/>
        </w:rPr>
        <w:t xml:space="preserve"> Այդ ռեժիմում հայտնաբերման սահմանը զգալիորեն ցածր է: Ներքին կամ արտաքին </w:t>
      </w:r>
      <w:r w:rsidRPr="00B834A2">
        <w:rPr>
          <w:rStyle w:val="Bodytext210pt"/>
          <w:sz w:val="24"/>
          <w:szCs w:val="24"/>
        </w:rPr>
        <w:lastRenderedPageBreak/>
        <w:t>ստանդարտների օգտագործման դեպքում (օրինակ՝ դեյտերացված ստանդարտներ) կարող են անցկացվել քանակական կամ կիսաքանակական չափումներ: Ժամանակաթռիչքային անալիզարարների օգտագործման դեպքում նման չափումներն անհնարին են:</w:t>
      </w:r>
    </w:p>
    <w:p w14:paraId="2B511365"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Կրկնակի ֆրագմենտաչափական զանգվածասպեկտրաչափական ռեժիմը</w:t>
      </w:r>
      <w:r w:rsidRPr="00B834A2">
        <w:rPr>
          <w:rFonts w:ascii="Sylfaen" w:hAnsi="Sylfaen"/>
          <w:b/>
          <w:i/>
          <w:sz w:val="24"/>
          <w:szCs w:val="24"/>
        </w:rPr>
        <w:t xml:space="preserve"> (ռեակցիաների բազմակի մոնիթորինգ, multiple reaction monitoring (</w:t>
      </w:r>
      <w:smartTag w:uri="urn:schemas-microsoft-com:office:smarttags" w:element="stockticker">
        <w:r w:rsidRPr="00B834A2">
          <w:rPr>
            <w:rFonts w:ascii="Sylfaen" w:hAnsi="Sylfaen"/>
            <w:b/>
            <w:i/>
            <w:sz w:val="24"/>
            <w:szCs w:val="24"/>
          </w:rPr>
          <w:t>MRM</w:t>
        </w:r>
      </w:smartTag>
      <w:r w:rsidRPr="00B834A2">
        <w:rPr>
          <w:rFonts w:ascii="Sylfaen" w:hAnsi="Sylfaen"/>
          <w:b/>
          <w:i/>
          <w:sz w:val="24"/>
          <w:szCs w:val="24"/>
        </w:rPr>
        <w:t>)):</w:t>
      </w:r>
      <w:r w:rsidRPr="00B834A2">
        <w:rPr>
          <w:rStyle w:val="Bodytext210pt"/>
          <w:sz w:val="24"/>
          <w:szCs w:val="24"/>
        </w:rPr>
        <w:t xml:space="preserve"> Ներառում է անալիզի ենթարկվող նյութի համար բնորոշ ընտրված նախորդող իոնի քայքայման մոնոմոլեկուլյար կամ բիմոլեկուլյար սպեցիֆիկ ռեակցիան:</w:t>
      </w:r>
      <w:r w:rsidR="00696072">
        <w:rPr>
          <w:rStyle w:val="Bodytext210pt"/>
          <w:sz w:val="24"/>
          <w:szCs w:val="24"/>
        </w:rPr>
        <w:t xml:space="preserve"> </w:t>
      </w:r>
      <w:r w:rsidRPr="00B834A2">
        <w:rPr>
          <w:rStyle w:val="Bodytext210pt"/>
          <w:sz w:val="24"/>
          <w:szCs w:val="24"/>
        </w:rPr>
        <w:t xml:space="preserve">Ազդանշանի ստացման տվյալ ռեժիմի սելեկտիվությունը </w:t>
      </w:r>
      <w:r>
        <w:rPr>
          <w:rStyle w:val="Bodytext210pt"/>
          <w:sz w:val="24"/>
          <w:szCs w:val="24"/>
        </w:rPr>
        <w:t>եւ</w:t>
      </w:r>
      <w:r w:rsidRPr="00B834A2">
        <w:rPr>
          <w:rStyle w:val="Bodytext210pt"/>
          <w:sz w:val="24"/>
          <w:szCs w:val="24"/>
        </w:rPr>
        <w:t xml:space="preserve"> բարձր սպեցիֆիկությունն ապահովում են հոյակապ զգայունություն </w:t>
      </w:r>
      <w:r>
        <w:rPr>
          <w:rStyle w:val="Bodytext210pt"/>
          <w:sz w:val="24"/>
          <w:szCs w:val="24"/>
        </w:rPr>
        <w:t>եւ</w:t>
      </w:r>
      <w:r w:rsidRPr="00B834A2">
        <w:rPr>
          <w:rStyle w:val="Bodytext210pt"/>
          <w:sz w:val="24"/>
          <w:szCs w:val="24"/>
        </w:rPr>
        <w:t xml:space="preserve"> առավել հարմար</w:t>
      </w:r>
      <w:r w:rsidR="0058140E" w:rsidRPr="0058140E">
        <w:rPr>
          <w:rStyle w:val="Bodytext210pt"/>
          <w:sz w:val="24"/>
          <w:szCs w:val="24"/>
        </w:rPr>
        <w:t> </w:t>
      </w:r>
      <w:r w:rsidRPr="00B834A2">
        <w:rPr>
          <w:rStyle w:val="Bodytext210pt"/>
          <w:sz w:val="24"/>
          <w:szCs w:val="24"/>
        </w:rPr>
        <w:t>են դարձնում՝ հարմար ներքին ստանդարտների (օրինակ՝ դեյտերացված) օգտագործմամբ քանակական որոշումների համար: Անալիզի տվյալ տեսակը կարող է անցկացվել միայն երեք միացված քառաբ</w:t>
      </w:r>
      <w:r>
        <w:rPr>
          <w:rStyle w:val="Bodytext210pt"/>
          <w:sz w:val="24"/>
          <w:szCs w:val="24"/>
        </w:rPr>
        <w:t>եւ</w:t>
      </w:r>
      <w:r w:rsidRPr="00B834A2">
        <w:rPr>
          <w:rStyle w:val="Bodytext210pt"/>
          <w:sz w:val="24"/>
          <w:szCs w:val="24"/>
        </w:rPr>
        <w:t>եռներով, իոնային թակարդներով կամ ցիկլոտրոնառեզոնանսային անալիզարարներով հանդերձված սարքերի օգտագործման դեպքում:</w:t>
      </w:r>
    </w:p>
    <w:p w14:paraId="6061D1EC" w14:textId="77777777" w:rsidR="00B834A2" w:rsidRPr="00B834A2" w:rsidRDefault="00B834A2" w:rsidP="00B834A2">
      <w:pPr>
        <w:pStyle w:val="Bodytext20"/>
        <w:shd w:val="clear" w:color="auto" w:fill="auto"/>
        <w:spacing w:before="0" w:after="160" w:line="360" w:lineRule="auto"/>
        <w:ind w:firstLine="567"/>
        <w:rPr>
          <w:rStyle w:val="Bodytext210pt"/>
          <w:b/>
          <w:sz w:val="24"/>
          <w:szCs w:val="24"/>
        </w:rPr>
      </w:pPr>
    </w:p>
    <w:p w14:paraId="23BF2879" w14:textId="77777777" w:rsidR="00B834A2" w:rsidRPr="00C41622" w:rsidRDefault="00B834A2" w:rsidP="00955E48">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t>ՍՏՈՒԳԱՃՇՏՈՒՄ</w:t>
      </w:r>
    </w:p>
    <w:p w14:paraId="77806659" w14:textId="77777777" w:rsidR="00B834A2" w:rsidRPr="00C4162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Ստուգաճշտումը թույլ է տալիս պարզել համապատասխանությունը </w:t>
      </w:r>
      <w:r w:rsidRPr="00B834A2">
        <w:rPr>
          <w:rFonts w:ascii="Sylfaen" w:hAnsi="Sylfaen"/>
          <w:i/>
          <w:sz w:val="24"/>
          <w:szCs w:val="24"/>
        </w:rPr>
        <w:t>m/z</w:t>
      </w:r>
      <w:r w:rsidRPr="00B834A2">
        <w:rPr>
          <w:rFonts w:ascii="Sylfaen" w:hAnsi="Sylfaen"/>
          <w:sz w:val="24"/>
          <w:szCs w:val="24"/>
        </w:rPr>
        <w:t xml:space="preserve"> մեծության </w:t>
      </w:r>
      <w:r>
        <w:rPr>
          <w:rFonts w:ascii="Sylfaen" w:hAnsi="Sylfaen"/>
          <w:sz w:val="24"/>
          <w:szCs w:val="24"/>
        </w:rPr>
        <w:t>եւ</w:t>
      </w:r>
      <w:r w:rsidRPr="00B834A2">
        <w:rPr>
          <w:rFonts w:ascii="Sylfaen" w:hAnsi="Sylfaen"/>
          <w:sz w:val="24"/>
          <w:szCs w:val="24"/>
        </w:rPr>
        <w:t xml:space="preserve"> դետեկտվող ազդանշանի միջ</w:t>
      </w:r>
      <w:r>
        <w:rPr>
          <w:rFonts w:ascii="Sylfaen" w:hAnsi="Sylfaen"/>
          <w:sz w:val="24"/>
          <w:szCs w:val="24"/>
        </w:rPr>
        <w:t>եւ</w:t>
      </w:r>
      <w:r w:rsidRPr="00B834A2">
        <w:rPr>
          <w:rFonts w:ascii="Sylfaen" w:hAnsi="Sylfaen"/>
          <w:sz w:val="24"/>
          <w:szCs w:val="24"/>
        </w:rPr>
        <w:t xml:space="preserve">: </w:t>
      </w:r>
      <w:r w:rsidRPr="00B834A2">
        <w:rPr>
          <w:rStyle w:val="Bodytext210pt"/>
          <w:sz w:val="24"/>
          <w:szCs w:val="24"/>
        </w:rPr>
        <w:t xml:space="preserve">Որպես կանոն՝ այն կատարվում է համեմատման նյութի օգտագործմամբ: Ստուգաճշտումը կարող է լինել արտաքին (տվյալները գտնվում են առանձին նիշքում) կամ ներքին (համեմատման նյութը (նյութերը) խառնվում են հետազոտվող նյութի հետ, </w:t>
      </w:r>
      <w:r>
        <w:rPr>
          <w:rStyle w:val="Bodytext210pt"/>
          <w:sz w:val="24"/>
          <w:szCs w:val="24"/>
        </w:rPr>
        <w:t>եւ</w:t>
      </w:r>
      <w:r w:rsidRPr="00B834A2">
        <w:rPr>
          <w:rStyle w:val="Bodytext210pt"/>
          <w:sz w:val="24"/>
          <w:szCs w:val="24"/>
        </w:rPr>
        <w:t xml:space="preserve"> արդյունքները վերլուծության տվյալներով նիշք են ներմուծվում): </w:t>
      </w:r>
      <w:r w:rsidRPr="00B834A2">
        <w:rPr>
          <w:rFonts w:ascii="Sylfaen" w:hAnsi="Sylfaen"/>
          <w:sz w:val="24"/>
          <w:szCs w:val="24"/>
        </w:rPr>
        <w:t xml:space="preserve">Հուսալի ստուգաճշտման համար անհրաժեշտ իոնների կամ կետերի թիվը պայմանավորված է անալիզարարի տեսակով </w:t>
      </w:r>
      <w:r>
        <w:rPr>
          <w:rFonts w:ascii="Sylfaen" w:hAnsi="Sylfaen"/>
          <w:sz w:val="24"/>
          <w:szCs w:val="24"/>
        </w:rPr>
        <w:t>եւ</w:t>
      </w:r>
      <w:r w:rsidRPr="00B834A2">
        <w:rPr>
          <w:rFonts w:ascii="Sylfaen" w:hAnsi="Sylfaen"/>
          <w:sz w:val="24"/>
          <w:szCs w:val="24"/>
        </w:rPr>
        <w:t xml:space="preserve"> չափումների պահանջվող ճշգրտությամբ, օրինակ՝ մագնիսային անալիզարարի դեպքում, որտեղ </w:t>
      </w:r>
      <w:r w:rsidRPr="00B834A2">
        <w:rPr>
          <w:rFonts w:ascii="Sylfaen" w:hAnsi="Sylfaen"/>
          <w:i/>
          <w:sz w:val="24"/>
          <w:szCs w:val="24"/>
        </w:rPr>
        <w:t>m/z</w:t>
      </w:r>
      <w:r w:rsidRPr="00B834A2">
        <w:rPr>
          <w:rFonts w:ascii="Sylfaen" w:hAnsi="Sylfaen"/>
          <w:sz w:val="24"/>
          <w:szCs w:val="24"/>
        </w:rPr>
        <w:t xml:space="preserve"> հարաբերակցությունը էքսպոնենցիալ կերպով փոփոխվում է մագնիսական դաշտի մեծության փոփոխության դեպքում, անհրաժեշտ է որքան հնարավոր է շատ կետ վերցնել:</w:t>
      </w:r>
      <w:r>
        <w:rPr>
          <w:rFonts w:ascii="Sylfaen" w:hAnsi="Sylfaen"/>
          <w:sz w:val="24"/>
          <w:szCs w:val="24"/>
        </w:rPr>
        <w:t xml:space="preserve"> </w:t>
      </w:r>
    </w:p>
    <w:p w14:paraId="13E34D9C" w14:textId="77777777" w:rsidR="00B834A2" w:rsidRPr="00C41622" w:rsidRDefault="00B834A2" w:rsidP="00955E48">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ԱԶԴԱՆՇԱՆԻ ՀԱՅՏՆԱԲԵՐՈՒՄ ԵՎ ՏՎՅԱԼՆԵՐԻ ՄՇԱԿՈՒՄ</w:t>
      </w:r>
    </w:p>
    <w:p w14:paraId="12251518"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Անալիզարարով բաժանված իոնները կերպափոխվում են էլեկտրական ազդանշանների՝ այնպիսի դետեկտող համակարգերով, ինչպիսին է լուսաբազմապատկիչը կամ էլեկտրոնային բազմապատկիչը: Այնուհետ</w:t>
      </w:r>
      <w:r>
        <w:rPr>
          <w:rStyle w:val="Bodytext210pt"/>
          <w:sz w:val="24"/>
          <w:szCs w:val="24"/>
        </w:rPr>
        <w:t>եւ</w:t>
      </w:r>
      <w:r w:rsidRPr="00B834A2">
        <w:rPr>
          <w:rStyle w:val="Bodytext210pt"/>
          <w:sz w:val="24"/>
          <w:szCs w:val="24"/>
        </w:rPr>
        <w:t xml:space="preserve"> տվյալ ազդանշաններն ուժեղացվում են </w:t>
      </w:r>
      <w:r>
        <w:rPr>
          <w:rStyle w:val="Bodytext210pt"/>
          <w:sz w:val="24"/>
          <w:szCs w:val="24"/>
        </w:rPr>
        <w:t>եւ</w:t>
      </w:r>
      <w:r w:rsidRPr="00B834A2">
        <w:rPr>
          <w:rStyle w:val="Bodytext210pt"/>
          <w:sz w:val="24"/>
          <w:szCs w:val="24"/>
        </w:rPr>
        <w:t xml:space="preserve"> դառնում են թվանշանային ազդանշաններ, որոնք օգտագործվում են տվյալների մշակման դեպքում </w:t>
      </w:r>
      <w:r>
        <w:rPr>
          <w:rStyle w:val="Bodytext210pt"/>
          <w:sz w:val="24"/>
          <w:szCs w:val="24"/>
        </w:rPr>
        <w:t>եւ</w:t>
      </w:r>
      <w:r w:rsidRPr="00B834A2">
        <w:rPr>
          <w:rStyle w:val="Bodytext210pt"/>
          <w:sz w:val="24"/>
          <w:szCs w:val="24"/>
        </w:rPr>
        <w:t xml:space="preserve"> թույլ են տալիս անցկացնել տարբեր գործողություններ՝ </w:t>
      </w:r>
      <w:r w:rsidRPr="00B834A2">
        <w:rPr>
          <w:rFonts w:ascii="Sylfaen" w:hAnsi="Sylfaen"/>
          <w:sz w:val="24"/>
          <w:szCs w:val="24"/>
        </w:rPr>
        <w:t>քրոմատագրման համակարգի ստուգաճշտում</w:t>
      </w:r>
      <w:r w:rsidRPr="00B834A2">
        <w:rPr>
          <w:rStyle w:val="Bodytext210pt"/>
          <w:sz w:val="24"/>
          <w:szCs w:val="24"/>
        </w:rPr>
        <w:t>, սպեկտրների ստացում, ավտոմատ քանակական հաշվարկներ, տվյալների արխիվացում, զանգվածի սպեկտրների գրադարանների ստեղծում կամ օգտագործում: Սարքի աշխատանքի համար պահանջվող տարբեր ֆիզիկական պարամետրերն ընդհանուր վերահսկվում են համակարգչով:</w:t>
      </w:r>
    </w:p>
    <w:p w14:paraId="33A6EEC5" w14:textId="77777777" w:rsidR="00B834A2" w:rsidRPr="00B834A2" w:rsidRDefault="00B834A2" w:rsidP="00B834A2">
      <w:pPr>
        <w:pStyle w:val="Bodytext20"/>
        <w:shd w:val="clear" w:color="auto" w:fill="auto"/>
        <w:spacing w:before="0" w:after="160" w:line="360" w:lineRule="auto"/>
        <w:ind w:firstLine="567"/>
        <w:jc w:val="right"/>
        <w:rPr>
          <w:rStyle w:val="Bodytext29pt"/>
          <w:b/>
          <w:sz w:val="24"/>
          <w:szCs w:val="24"/>
        </w:rPr>
      </w:pPr>
    </w:p>
    <w:p w14:paraId="2622C61F" w14:textId="77777777" w:rsidR="00B834A2" w:rsidRPr="009217DE" w:rsidRDefault="00B834A2" w:rsidP="00B834A2">
      <w:pPr>
        <w:pStyle w:val="Bodytext20"/>
        <w:shd w:val="clear" w:color="auto" w:fill="auto"/>
        <w:spacing w:before="0" w:after="160" w:line="360" w:lineRule="auto"/>
        <w:ind w:firstLine="567"/>
        <w:jc w:val="right"/>
        <w:rPr>
          <w:rStyle w:val="Bodytext29pt"/>
          <w:b/>
          <w:sz w:val="20"/>
          <w:szCs w:val="24"/>
        </w:rPr>
      </w:pPr>
      <w:r w:rsidRPr="00B82F0D">
        <w:rPr>
          <w:rStyle w:val="Bodytext29pt"/>
          <w:b/>
          <w:sz w:val="20"/>
          <w:szCs w:val="24"/>
        </w:rPr>
        <w:t>201020052-2022</w:t>
      </w:r>
    </w:p>
    <w:p w14:paraId="1F1762D7" w14:textId="77777777" w:rsidR="00B82F0D" w:rsidRPr="009217DE" w:rsidRDefault="00B82F0D" w:rsidP="00B834A2">
      <w:pPr>
        <w:pStyle w:val="Bodytext20"/>
        <w:shd w:val="clear" w:color="auto" w:fill="auto"/>
        <w:spacing w:before="0" w:after="160" w:line="360" w:lineRule="auto"/>
        <w:ind w:firstLine="567"/>
        <w:jc w:val="right"/>
        <w:rPr>
          <w:rFonts w:ascii="Sylfaen" w:hAnsi="Sylfaen"/>
          <w:b/>
          <w:sz w:val="20"/>
          <w:szCs w:val="24"/>
        </w:rPr>
      </w:pPr>
    </w:p>
    <w:p w14:paraId="5F3781D5" w14:textId="77777777" w:rsidR="00B834A2" w:rsidRPr="00955E48" w:rsidRDefault="00B834A2" w:rsidP="00955E48">
      <w:pPr>
        <w:pStyle w:val="Bodytext20"/>
        <w:shd w:val="clear" w:color="auto" w:fill="auto"/>
        <w:tabs>
          <w:tab w:val="left" w:pos="1701"/>
        </w:tabs>
        <w:spacing w:before="0" w:after="160" w:line="360" w:lineRule="auto"/>
        <w:ind w:firstLine="567"/>
        <w:jc w:val="both"/>
        <w:rPr>
          <w:rFonts w:ascii="Sylfaen" w:hAnsi="Sylfaen"/>
          <w:b/>
          <w:sz w:val="24"/>
          <w:szCs w:val="24"/>
        </w:rPr>
      </w:pPr>
      <w:r w:rsidRPr="00955E48">
        <w:rPr>
          <w:rStyle w:val="Bodytext214pt"/>
          <w:rFonts w:ascii="Sylfaen" w:hAnsi="Sylfaen"/>
          <w:b/>
          <w:sz w:val="24"/>
          <w:szCs w:val="24"/>
        </w:rPr>
        <w:t>2.1.2.52.</w:t>
      </w:r>
      <w:r w:rsidR="00955E48" w:rsidRPr="00097504">
        <w:rPr>
          <w:rStyle w:val="Bodytext214pt"/>
          <w:rFonts w:ascii="Sylfaen" w:hAnsi="Sylfaen"/>
          <w:b/>
          <w:sz w:val="24"/>
          <w:szCs w:val="24"/>
        </w:rPr>
        <w:tab/>
      </w:r>
      <w:r w:rsidRPr="00955E48">
        <w:rPr>
          <w:rStyle w:val="Bodytext214pt"/>
          <w:rFonts w:ascii="Sylfaen" w:hAnsi="Sylfaen"/>
          <w:b/>
          <w:sz w:val="24"/>
          <w:szCs w:val="24"/>
        </w:rPr>
        <w:t>Գերկրիտիկական ֆլյուիդային քրոմատագրում</w:t>
      </w:r>
    </w:p>
    <w:p w14:paraId="6F7CBD44"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Գերկրիտիկական ֆլյուիդային քրոմատագրումը (ԳՖՔ)՝ քրոմատագրային բաժանման մեթոդ է, որտեղ շարժական ֆազ է գերկրիտիկական կամ ենթակրիտիկական վիճակում գտնվող հեղուկը (ֆլյուիդը):</w:t>
      </w:r>
      <w:r>
        <w:rPr>
          <w:rStyle w:val="Bodytext210pt"/>
          <w:sz w:val="24"/>
          <w:szCs w:val="24"/>
        </w:rPr>
        <w:t xml:space="preserve"> </w:t>
      </w:r>
      <w:r w:rsidRPr="00B834A2">
        <w:rPr>
          <w:rStyle w:val="Bodytext210pt"/>
          <w:sz w:val="24"/>
          <w:szCs w:val="24"/>
        </w:rPr>
        <w:t xml:space="preserve">Այդ վիճակում նյութի հատկությունները միջանկյալ են գազի </w:t>
      </w:r>
      <w:r>
        <w:rPr>
          <w:rStyle w:val="Bodytext210pt"/>
          <w:sz w:val="24"/>
          <w:szCs w:val="24"/>
        </w:rPr>
        <w:t>եւ</w:t>
      </w:r>
      <w:r w:rsidRPr="00B834A2">
        <w:rPr>
          <w:rStyle w:val="Bodytext210pt"/>
          <w:sz w:val="24"/>
          <w:szCs w:val="24"/>
        </w:rPr>
        <w:t xml:space="preserve"> հեղուկի հատկությունների միջ</w:t>
      </w:r>
      <w:r>
        <w:rPr>
          <w:rStyle w:val="Bodytext210pt"/>
          <w:sz w:val="24"/>
          <w:szCs w:val="24"/>
        </w:rPr>
        <w:t>եւ</w:t>
      </w:r>
      <w:r w:rsidRPr="00B834A2">
        <w:rPr>
          <w:rStyle w:val="Bodytext210pt"/>
          <w:sz w:val="24"/>
          <w:szCs w:val="24"/>
        </w:rPr>
        <w:t>: Սյունում առկա անշարժ ֆազը բաղկացած է կամ մանրացված պինդ մասնիկներից, ինչպես օրինակ՝ սիլիկաժելից կամ ծակոտկեն գրաֆիտից, հեղուկ քրոմատագրման մեջ օգտագործվող քիմիապես ձ</w:t>
      </w:r>
      <w:r>
        <w:rPr>
          <w:rStyle w:val="Bodytext210pt"/>
          <w:sz w:val="24"/>
          <w:szCs w:val="24"/>
        </w:rPr>
        <w:t>եւ</w:t>
      </w:r>
      <w:r w:rsidRPr="00B834A2">
        <w:rPr>
          <w:rStyle w:val="Bodytext210pt"/>
          <w:sz w:val="24"/>
          <w:szCs w:val="24"/>
        </w:rPr>
        <w:t xml:space="preserve">ափոխված անշարժ ֆազից, ինչպես կամ մազախողովակային </w:t>
      </w:r>
      <w:r w:rsidRPr="00B834A2">
        <w:rPr>
          <w:rStyle w:val="Bodytext210pt8"/>
          <w:sz w:val="24"/>
          <w:szCs w:val="24"/>
        </w:rPr>
        <w:t>աշտարակ</w:t>
      </w:r>
      <w:r w:rsidRPr="00B834A2">
        <w:rPr>
          <w:rStyle w:val="Bodytext210pt"/>
          <w:sz w:val="24"/>
          <w:szCs w:val="24"/>
        </w:rPr>
        <w:t xml:space="preserve">ների դեպքում՝ </w:t>
      </w:r>
      <w:r w:rsidRPr="00B834A2">
        <w:rPr>
          <w:rStyle w:val="Bodytext210pt8"/>
          <w:sz w:val="24"/>
          <w:szCs w:val="24"/>
        </w:rPr>
        <w:t>աշտարակ</w:t>
      </w:r>
      <w:r w:rsidRPr="00B834A2">
        <w:rPr>
          <w:rStyle w:val="Bodytext210pt"/>
          <w:sz w:val="24"/>
          <w:szCs w:val="24"/>
        </w:rPr>
        <w:t>ի պատին համաչափ քսված լայնական կարած հեղուկ թաղանթից:</w:t>
      </w:r>
      <w:r>
        <w:rPr>
          <w:rStyle w:val="Bodytext210pt"/>
          <w:sz w:val="24"/>
          <w:szCs w:val="24"/>
        </w:rPr>
        <w:t xml:space="preserve"> </w:t>
      </w:r>
    </w:p>
    <w:p w14:paraId="1F75C155" w14:textId="77777777" w:rsidR="00B834A2" w:rsidRPr="00530993" w:rsidRDefault="00B834A2" w:rsidP="00955E48">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ԳՖՔ-ն հիմնված է ադսորբման կամ ըստ զանգվածի բաշխման մեխանիզմների վրա:</w:t>
      </w:r>
    </w:p>
    <w:p w14:paraId="03869573" w14:textId="77777777" w:rsidR="00C41622" w:rsidRPr="00530993" w:rsidRDefault="00C41622" w:rsidP="00955E48">
      <w:pPr>
        <w:pStyle w:val="Bodytext20"/>
        <w:shd w:val="clear" w:color="auto" w:fill="auto"/>
        <w:spacing w:before="0" w:after="160" w:line="360" w:lineRule="auto"/>
        <w:ind w:firstLine="567"/>
        <w:jc w:val="both"/>
        <w:rPr>
          <w:rStyle w:val="Bodytext210pt"/>
          <w:sz w:val="24"/>
          <w:szCs w:val="24"/>
        </w:rPr>
      </w:pPr>
    </w:p>
    <w:p w14:paraId="5D201FC3"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Քրոմատագրման մեջ՝ որպես շարժուն ֆազ, ֆլյուիդի կիրառման տեսանկյունից կար</w:t>
      </w:r>
      <w:r>
        <w:rPr>
          <w:rStyle w:val="Bodytext210pt"/>
          <w:sz w:val="24"/>
          <w:szCs w:val="24"/>
        </w:rPr>
        <w:t>եւ</w:t>
      </w:r>
      <w:r w:rsidRPr="00B834A2">
        <w:rPr>
          <w:rStyle w:val="Bodytext210pt"/>
          <w:sz w:val="24"/>
          <w:szCs w:val="24"/>
        </w:rPr>
        <w:t xml:space="preserve">որ են դրա խտությունը, դիֆուզիայի գործակիցները </w:t>
      </w:r>
      <w:r>
        <w:rPr>
          <w:rStyle w:val="Bodytext210pt"/>
          <w:sz w:val="24"/>
          <w:szCs w:val="24"/>
        </w:rPr>
        <w:t>եւ</w:t>
      </w:r>
      <w:r w:rsidRPr="00B834A2">
        <w:rPr>
          <w:rStyle w:val="Bodytext210pt"/>
          <w:sz w:val="24"/>
          <w:szCs w:val="24"/>
        </w:rPr>
        <w:t xml:space="preserve"> մածուցիկությունը՝</w:t>
      </w:r>
    </w:p>
    <w:p w14:paraId="346F6484"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գերկրիտիկական ֆազում դիֆուզիայի գործակիցները մոտավորապես մեկ կարգով բարձր են հեղուկներում դիֆուզիայի գործակիցներից, սակայն մոտավորապես մեկ կարգով ցածր են, քան գազերում. </w:t>
      </w:r>
    </w:p>
    <w:p w14:paraId="306FEC47"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գերկրիտիկական ֆլյուիդների մածուցիկությունը մոտավորապես մեկ կարգով ցածր է հեղուկներից, սակայն մոտավորապես մեկ կարգով շատ է գազերից. </w:t>
      </w:r>
    </w:p>
    <w:p w14:paraId="50C82ED7"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գերկրիտիկական ֆլյուիդի վիճակում նյութերի թողունակությունն ավելին է, քան գազերի դեպքում. </w:t>
      </w:r>
    </w:p>
    <w:p w14:paraId="2AB9E026"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Style w:val="Bodytext210pt"/>
          <w:sz w:val="24"/>
          <w:szCs w:val="24"/>
        </w:rPr>
        <w:t>-</w:t>
      </w:r>
      <w:r w:rsidR="00955E48" w:rsidRPr="00955E48">
        <w:rPr>
          <w:rStyle w:val="Bodytext210pt"/>
          <w:sz w:val="24"/>
          <w:szCs w:val="24"/>
        </w:rPr>
        <w:tab/>
      </w:r>
      <w:r w:rsidRPr="00B834A2">
        <w:rPr>
          <w:rStyle w:val="Bodytext210pt"/>
          <w:sz w:val="24"/>
          <w:szCs w:val="24"/>
        </w:rPr>
        <w:t xml:space="preserve">քրոմատագրման մեջ օգտագործվող հիմնական ֆլյուիդների խտությունը մոտավորապես 2-3 կարգով մեծ է գազերի խտությունից </w:t>
      </w:r>
      <w:r>
        <w:rPr>
          <w:rStyle w:val="Bodytext210pt"/>
          <w:sz w:val="24"/>
          <w:szCs w:val="24"/>
        </w:rPr>
        <w:t>եւ</w:t>
      </w:r>
      <w:r w:rsidRPr="00B834A2">
        <w:rPr>
          <w:rStyle w:val="Bodytext210pt"/>
          <w:sz w:val="24"/>
          <w:szCs w:val="24"/>
        </w:rPr>
        <w:t xml:space="preserve"> մի քանի անգամ պակաս՝ համապատասխան հեղուկների խտությունից:</w:t>
      </w:r>
    </w:p>
    <w:p w14:paraId="37D8D6D1" w14:textId="77777777" w:rsidR="00B834A2" w:rsidRPr="00B834A2" w:rsidRDefault="00B834A2" w:rsidP="00955E48">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Գերկրիտիկական ֆլյուիդ քրոմատագրման մասով դա նշանակում է, որ՝</w:t>
      </w:r>
    </w:p>
    <w:p w14:paraId="14B5CE92"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Style w:val="Bodytext210pt"/>
          <w:sz w:val="24"/>
          <w:szCs w:val="24"/>
        </w:rPr>
        <w:t>-</w:t>
      </w:r>
      <w:r w:rsidR="00955E48" w:rsidRPr="00955E48">
        <w:rPr>
          <w:rStyle w:val="Bodytext210pt"/>
          <w:sz w:val="24"/>
          <w:szCs w:val="24"/>
        </w:rPr>
        <w:tab/>
      </w:r>
      <w:r w:rsidRPr="00B834A2">
        <w:rPr>
          <w:rStyle w:val="Bodytext210pt"/>
          <w:sz w:val="24"/>
          <w:szCs w:val="24"/>
        </w:rPr>
        <w:t>բարձրարդյունավետ հեղուկ քրոմատագրման (ԲԱՀՔ) հետ համեմատ՝ ապահովվում են անալիզի կարճ ժամանակներ.</w:t>
      </w:r>
      <w:r>
        <w:rPr>
          <w:rStyle w:val="Bodytext210pt"/>
          <w:sz w:val="24"/>
          <w:szCs w:val="24"/>
        </w:rPr>
        <w:t xml:space="preserve"> </w:t>
      </w:r>
    </w:p>
    <w:p w14:paraId="1DC264D3"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հոսքի գծային արագության օպտիմալ արժեքն ավելի բարձր է, քան ԲԱՀՔ-ում.</w:t>
      </w:r>
    </w:p>
    <w:p w14:paraId="45A2A574"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Style w:val="Bodytext210pt8"/>
          <w:sz w:val="24"/>
          <w:szCs w:val="24"/>
        </w:rPr>
        <w:t>աշտարակ</w:t>
      </w:r>
      <w:r w:rsidRPr="00B834A2">
        <w:rPr>
          <w:rFonts w:ascii="Sylfaen" w:hAnsi="Sylfaen"/>
          <w:sz w:val="24"/>
          <w:szCs w:val="24"/>
        </w:rPr>
        <w:t xml:space="preserve">ի վրա ճնշման անկումն էականորեն ավելի ցածր է, քան ԲԱՀՔ-ում, ինչը տալիս է առավել երկար </w:t>
      </w:r>
      <w:r w:rsidRPr="00B834A2">
        <w:rPr>
          <w:rStyle w:val="Bodytext210pt8"/>
          <w:sz w:val="24"/>
          <w:szCs w:val="24"/>
        </w:rPr>
        <w:t>աշտարակ</w:t>
      </w:r>
      <w:r w:rsidRPr="00B834A2">
        <w:rPr>
          <w:rFonts w:ascii="Sylfaen" w:hAnsi="Sylfaen"/>
          <w:sz w:val="24"/>
          <w:szCs w:val="24"/>
        </w:rPr>
        <w:t>ների օգտագործման հնարավորություն.</w:t>
      </w:r>
    </w:p>
    <w:p w14:paraId="0BB232D4" w14:textId="77777777" w:rsidR="00B82F0D"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գերկրիտիկական ֆլյուիդային քրոմատագրման մեջ քրոմատագրման արդյունավետությունն ավելի բարձր է, քան ԲԱՀՔ-ում (թեպետ ավելի ցածր է, քան գազային քրոմատագրման մեջ).</w:t>
      </w:r>
    </w:p>
    <w:p w14:paraId="4E54A0C4" w14:textId="77777777" w:rsidR="00B82F0D" w:rsidRDefault="00B82F0D">
      <w:pPr>
        <w:rPr>
          <w:rFonts w:eastAsia="Times New Roman" w:cs="Times New Roman"/>
        </w:rPr>
      </w:pPr>
      <w:r>
        <w:br w:type="page"/>
      </w:r>
    </w:p>
    <w:p w14:paraId="1FA8706C"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lastRenderedPageBreak/>
        <w:t>-</w:t>
      </w:r>
      <w:r w:rsidR="00955E48" w:rsidRPr="00955E48">
        <w:rPr>
          <w:rFonts w:ascii="Sylfaen" w:hAnsi="Sylfaen"/>
          <w:sz w:val="24"/>
          <w:szCs w:val="24"/>
        </w:rPr>
        <w:tab/>
      </w:r>
      <w:r w:rsidRPr="00B834A2">
        <w:rPr>
          <w:rFonts w:ascii="Sylfaen" w:hAnsi="Sylfaen"/>
          <w:sz w:val="24"/>
          <w:szCs w:val="24"/>
        </w:rPr>
        <w:t>հնարավոր է բաժանման կատարում առավել ցածր ջերմաստիճաններում, քան առանց արդյունավետության էական կորստի ընդունված է գազային քրոմատագրման մեջ.</w:t>
      </w:r>
    </w:p>
    <w:p w14:paraId="1BEDA452" w14:textId="77777777" w:rsidR="00B834A2" w:rsidRPr="00B834A2" w:rsidRDefault="00B834A2" w:rsidP="00955E48">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հնարավոր է առավել բարձր մոլեկուլային զանգվածով միացությունների բաժանման անցկացում, քան թույլատրվում է գազային քրոմատագրման մեջ:</w:t>
      </w:r>
    </w:p>
    <w:p w14:paraId="06C5A367" w14:textId="77777777" w:rsidR="00B834A2" w:rsidRPr="00B834A2" w:rsidRDefault="00B834A2" w:rsidP="00955E48">
      <w:pPr>
        <w:pStyle w:val="Bodytext20"/>
        <w:shd w:val="clear" w:color="auto" w:fill="auto"/>
        <w:spacing w:before="0" w:after="160" w:line="348" w:lineRule="auto"/>
        <w:ind w:firstLine="567"/>
        <w:jc w:val="both"/>
        <w:rPr>
          <w:rStyle w:val="Bodytext210pt"/>
          <w:b/>
          <w:sz w:val="24"/>
          <w:szCs w:val="24"/>
        </w:rPr>
      </w:pPr>
    </w:p>
    <w:p w14:paraId="671A5013" w14:textId="77777777" w:rsidR="00B834A2" w:rsidRPr="00B834A2" w:rsidRDefault="00B834A2" w:rsidP="00955E48">
      <w:pPr>
        <w:pStyle w:val="Bodytext20"/>
        <w:shd w:val="clear" w:color="auto" w:fill="auto"/>
        <w:spacing w:before="0" w:after="160" w:line="348" w:lineRule="auto"/>
        <w:ind w:firstLine="567"/>
        <w:jc w:val="both"/>
        <w:rPr>
          <w:rFonts w:ascii="Sylfaen" w:hAnsi="Sylfaen"/>
          <w:b/>
          <w:sz w:val="24"/>
          <w:szCs w:val="24"/>
        </w:rPr>
      </w:pPr>
      <w:r w:rsidRPr="00B834A2">
        <w:rPr>
          <w:rStyle w:val="Bodytext210pt"/>
          <w:b/>
          <w:sz w:val="24"/>
          <w:szCs w:val="24"/>
        </w:rPr>
        <w:t>ՍԱՐՔ</w:t>
      </w:r>
    </w:p>
    <w:p w14:paraId="777EE8CD" w14:textId="77777777" w:rsidR="00B834A2" w:rsidRPr="00B834A2" w:rsidRDefault="00B834A2" w:rsidP="00955E48">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 xml:space="preserve">Սարքը սովորաբար կազմված է հովացվող պոմպային համակարգից, փորձանմուշների ներմուծման համար սարքից (ինժեկտորից), թերմոստատում տեղադրված քրոմատագրման </w:t>
      </w:r>
      <w:r w:rsidRPr="00B834A2">
        <w:rPr>
          <w:rStyle w:val="Bodytext210pt8"/>
          <w:sz w:val="24"/>
          <w:szCs w:val="24"/>
        </w:rPr>
        <w:t>աշտարակ</w:t>
      </w:r>
      <w:r w:rsidRPr="00B834A2">
        <w:rPr>
          <w:rStyle w:val="Bodytext210pt"/>
          <w:sz w:val="24"/>
          <w:szCs w:val="24"/>
        </w:rPr>
        <w:t xml:space="preserve">ից, դետեկտորից, ճնշման ավտոմատ կարգավորիչից </w:t>
      </w:r>
      <w:r>
        <w:rPr>
          <w:rStyle w:val="Bodytext210pt"/>
          <w:sz w:val="24"/>
          <w:szCs w:val="24"/>
        </w:rPr>
        <w:t>եւ</w:t>
      </w:r>
      <w:r w:rsidRPr="00B834A2">
        <w:rPr>
          <w:rStyle w:val="Bodytext210pt"/>
          <w:sz w:val="24"/>
          <w:szCs w:val="24"/>
        </w:rPr>
        <w:t xml:space="preserve"> տվյալների հավաքման գրանցող սարքից:</w:t>
      </w:r>
      <w:r>
        <w:rPr>
          <w:rStyle w:val="Bodytext210pt"/>
          <w:sz w:val="24"/>
          <w:szCs w:val="24"/>
        </w:rPr>
        <w:t xml:space="preserve"> </w:t>
      </w:r>
    </w:p>
    <w:p w14:paraId="5AB602FF"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Պոմպային համակարգ</w:t>
      </w:r>
    </w:p>
    <w:p w14:paraId="139DDAA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Պոմպային համակարգն անհրաժեշտ է շարժուն ֆազի հաստատուն արագությունը պահպանելու համար: Ճնշման տատանումները պետք է բերվեն նվազագույնի, օրինակ՝ բաբախումը սարքի միջով սեղմված ճնշող լուծիչի թողանցման միջոցով: Խողովակները </w:t>
      </w:r>
      <w:r>
        <w:rPr>
          <w:rStyle w:val="Bodytext210pt"/>
          <w:sz w:val="24"/>
          <w:szCs w:val="24"/>
        </w:rPr>
        <w:t>եւ</w:t>
      </w:r>
      <w:r w:rsidRPr="00B834A2">
        <w:rPr>
          <w:rStyle w:val="Bodytext210pt"/>
          <w:sz w:val="24"/>
          <w:szCs w:val="24"/>
        </w:rPr>
        <w:t xml:space="preserve"> միացքները կարող են պահել պոմպային համակարգով ստեղծվող ճնշումը: </w:t>
      </w:r>
    </w:p>
    <w:p w14:paraId="29DA600F"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Հաստատուն կամ ըստ որոշակի ծրագրի փոփոխվող պայմաններում շարժուն ֆազի ճշգրիտ առաքումն իրականացվում է միկրոպրոցեսորով վերահսկվող համակարգերով: Գրադիենտային լվացման դեպքում կարող են օգտագործվել մի քանի ռեզերվուարներից լուծիչ (լուծիչներ) առաքող պոմպային կայաններ: Լուծիչների խառնումը կարող է ապահովվել ինչպես ցածր ճնշում ունեցող պոմպով (պոմպերով), այնպես էլ բարձր ճնշում ունեցող պոմպով (պոմպերով):</w:t>
      </w:r>
    </w:p>
    <w:p w14:paraId="39A3F10C"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Փորձանմուշների ներմուծման համար նախատեսված սարք (ինժեկտոր)</w:t>
      </w:r>
    </w:p>
    <w:p w14:paraId="61632BC7"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Փորձանմուշների ներմուծումն իրականացվում է անմիջապես աշտարակի մեջ՝ հատուկ ծորակ-բաժնավորչի օգնությամբ:</w:t>
      </w:r>
    </w:p>
    <w:p w14:paraId="34936A01"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Անշարժ ֆազեր</w:t>
      </w:r>
    </w:p>
    <w:p w14:paraId="165673BE"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Անշարժ ֆազերը գտնվում են 2.1.2.28 ընդհանուր դեղագրքային հոդվածների բաժիններում նկարագրված </w:t>
      </w:r>
      <w:r w:rsidRPr="00B834A2">
        <w:rPr>
          <w:rStyle w:val="Bodytext210pt8"/>
          <w:sz w:val="24"/>
          <w:szCs w:val="24"/>
        </w:rPr>
        <w:t>աշտարակ</w:t>
      </w:r>
      <w:r w:rsidRPr="00B834A2">
        <w:rPr>
          <w:rFonts w:ascii="Sylfaen" w:hAnsi="Sylfaen"/>
          <w:sz w:val="24"/>
          <w:szCs w:val="24"/>
        </w:rPr>
        <w:t xml:space="preserve">ներում: Բարձրարդյունավետ հեղուկ քրոմատագրում (լցնովի </w:t>
      </w:r>
      <w:r w:rsidRPr="00B834A2">
        <w:rPr>
          <w:rStyle w:val="Bodytext210pt8"/>
          <w:sz w:val="24"/>
          <w:szCs w:val="24"/>
        </w:rPr>
        <w:t>աշտարակ</w:t>
      </w:r>
      <w:r w:rsidRPr="00B834A2">
        <w:rPr>
          <w:rFonts w:ascii="Sylfaen" w:hAnsi="Sylfaen"/>
          <w:sz w:val="24"/>
          <w:szCs w:val="24"/>
        </w:rPr>
        <w:t xml:space="preserve">ներ) </w:t>
      </w:r>
      <w:r>
        <w:rPr>
          <w:rFonts w:ascii="Sylfaen" w:hAnsi="Sylfaen"/>
          <w:sz w:val="24"/>
          <w:szCs w:val="24"/>
        </w:rPr>
        <w:t>եւ</w:t>
      </w:r>
      <w:r w:rsidRPr="00B834A2">
        <w:rPr>
          <w:rFonts w:ascii="Sylfaen" w:hAnsi="Sylfaen"/>
          <w:sz w:val="24"/>
          <w:szCs w:val="24"/>
        </w:rPr>
        <w:t xml:space="preserve"> 2.1.2.27:</w:t>
      </w:r>
      <w:r w:rsidRPr="00B834A2">
        <w:rPr>
          <w:rStyle w:val="Bodytext210pt8"/>
          <w:sz w:val="24"/>
          <w:szCs w:val="24"/>
        </w:rPr>
        <w:t xml:space="preserve"> </w:t>
      </w:r>
      <w:r w:rsidRPr="00B834A2">
        <w:rPr>
          <w:rFonts w:ascii="Sylfaen" w:hAnsi="Sylfaen"/>
          <w:sz w:val="24"/>
          <w:szCs w:val="24"/>
        </w:rPr>
        <w:t xml:space="preserve">Գազային քրոմատագրում (մազախողովակային </w:t>
      </w:r>
      <w:r w:rsidRPr="00B834A2">
        <w:rPr>
          <w:rStyle w:val="Bodytext210pt8"/>
          <w:sz w:val="24"/>
          <w:szCs w:val="24"/>
        </w:rPr>
        <w:t>աշտարակ</w:t>
      </w:r>
      <w:r w:rsidRPr="00B834A2">
        <w:rPr>
          <w:rFonts w:ascii="Sylfaen" w:hAnsi="Sylfaen"/>
          <w:sz w:val="24"/>
          <w:szCs w:val="24"/>
        </w:rPr>
        <w:t>ներ):</w:t>
      </w:r>
      <w:r w:rsidRPr="00B834A2">
        <w:rPr>
          <w:rStyle w:val="Bodytext210pt"/>
          <w:sz w:val="24"/>
          <w:szCs w:val="24"/>
        </w:rPr>
        <w:t xml:space="preserve"> Մազախողովակային </w:t>
      </w:r>
      <w:r w:rsidRPr="00B834A2">
        <w:rPr>
          <w:rStyle w:val="Bodytext210pt8"/>
          <w:sz w:val="24"/>
          <w:szCs w:val="24"/>
        </w:rPr>
        <w:t>աշտարակ</w:t>
      </w:r>
      <w:r w:rsidRPr="00B834A2">
        <w:rPr>
          <w:rStyle w:val="Bodytext210pt"/>
          <w:sz w:val="24"/>
          <w:szCs w:val="24"/>
        </w:rPr>
        <w:t>ի առավելագույն ներքին տրամագիծը (Ø) կազմում է 100 մկմ:</w:t>
      </w:r>
    </w:p>
    <w:p w14:paraId="0DA30F87"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 xml:space="preserve">Շարժուն ֆազեր </w:t>
      </w:r>
    </w:p>
    <w:p w14:paraId="439756CE"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Սովորաբար՝ որպես շարժուն ֆազ օգտագործում են ածխածնի երկօքսիդ, որը կարող է պարունակել բ</w:t>
      </w:r>
      <w:r>
        <w:rPr>
          <w:rStyle w:val="Bodytext210pt"/>
          <w:sz w:val="24"/>
          <w:szCs w:val="24"/>
        </w:rPr>
        <w:t>եւ</w:t>
      </w:r>
      <w:r w:rsidRPr="00B834A2">
        <w:rPr>
          <w:rStyle w:val="Bodytext210pt"/>
          <w:sz w:val="24"/>
          <w:szCs w:val="24"/>
        </w:rPr>
        <w:t>եռային ձ</w:t>
      </w:r>
      <w:r>
        <w:rPr>
          <w:rStyle w:val="Bodytext210pt"/>
          <w:sz w:val="24"/>
          <w:szCs w:val="24"/>
        </w:rPr>
        <w:t>եւ</w:t>
      </w:r>
      <w:r w:rsidRPr="00B834A2">
        <w:rPr>
          <w:rStyle w:val="Bodytext210pt"/>
          <w:sz w:val="24"/>
          <w:szCs w:val="24"/>
        </w:rPr>
        <w:t xml:space="preserve">ափոխիչ, օրինակ՝ մեթանոլ, 2-պրոպանոլ կամ ացետոնիտրիլ: Մասնավոր դեղագրքային հոդվածում կամ որակի մասով նորմատիվ փաստաթղթում նշված շարժուն ֆազի հոսքի կազմը, ճնշումը (խտությունը), ջերմաստիճանը </w:t>
      </w:r>
      <w:r>
        <w:rPr>
          <w:rStyle w:val="Bodytext210pt"/>
          <w:sz w:val="24"/>
          <w:szCs w:val="24"/>
        </w:rPr>
        <w:t>եւ</w:t>
      </w:r>
      <w:r w:rsidRPr="00B834A2">
        <w:rPr>
          <w:rStyle w:val="Bodytext210pt"/>
          <w:sz w:val="24"/>
          <w:szCs w:val="24"/>
        </w:rPr>
        <w:t xml:space="preserve"> արագությունը կարող են հաստատուն լինել ամբողջ քրոմատագրման պրոցեսում (իզոկրատիկ, իզոմետրիկ լվացում, լվացում հաստատուն խտության դեպքում), կամ փոփոխվել ըստ որոշակի ծրագրի (ձ</w:t>
      </w:r>
      <w:r>
        <w:rPr>
          <w:rStyle w:val="Bodytext210pt"/>
          <w:sz w:val="24"/>
          <w:szCs w:val="24"/>
        </w:rPr>
        <w:t>եւ</w:t>
      </w:r>
      <w:r w:rsidRPr="00B834A2">
        <w:rPr>
          <w:rStyle w:val="Bodytext210pt"/>
          <w:sz w:val="24"/>
          <w:szCs w:val="24"/>
        </w:rPr>
        <w:t>ափոխիչի գրադիենտային լվացում, հոսքի ճնշում (խտություն), ջերմաստիճան կամ արագություն):</w:t>
      </w:r>
    </w:p>
    <w:p w14:paraId="1FE9EF7C" w14:textId="77777777" w:rsidR="00B834A2" w:rsidRPr="00B834A2" w:rsidRDefault="00B834A2" w:rsidP="00B834A2">
      <w:pPr>
        <w:spacing w:after="160" w:line="360" w:lineRule="auto"/>
        <w:ind w:firstLine="567"/>
        <w:jc w:val="both"/>
      </w:pPr>
      <w:r w:rsidRPr="00B834A2">
        <w:rPr>
          <w:rStyle w:val="Bodytext210pt"/>
          <w:sz w:val="24"/>
          <w:szCs w:val="24"/>
        </w:rPr>
        <w:t>Որպես այլ շարժուն ֆազեր՝ թույլատրվում է օքսիդի ազոտի (I), ամիակի, մեթանոլի, ն-բուտանի, դիէթիլային եթերի, դիֆտորդիքլորմեթանի օգտագործումը:</w:t>
      </w:r>
    </w:p>
    <w:p w14:paraId="6C9528EF"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Դետեկտորներ</w:t>
      </w:r>
    </w:p>
    <w:p w14:paraId="31503E34"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Առավել հաճախ օգտագործվում են ուլտրամանուշակագույն </w:t>
      </w:r>
      <w:r>
        <w:rPr>
          <w:rStyle w:val="Bodytext210pt"/>
          <w:sz w:val="24"/>
          <w:szCs w:val="24"/>
        </w:rPr>
        <w:t>եւ</w:t>
      </w:r>
      <w:r w:rsidRPr="00B834A2">
        <w:rPr>
          <w:rStyle w:val="Bodytext210pt"/>
          <w:sz w:val="24"/>
          <w:szCs w:val="24"/>
        </w:rPr>
        <w:t xml:space="preserve"> տեսանելի տիրույթներում (UV/Vis) աշխատող սպեկտրալուսաչափական դետեկտորները, զանգվածասպեկտրաչափական դետեկտորը </w:t>
      </w:r>
      <w:r>
        <w:rPr>
          <w:rStyle w:val="Bodytext210pt"/>
          <w:sz w:val="24"/>
          <w:szCs w:val="24"/>
        </w:rPr>
        <w:t>եւ</w:t>
      </w:r>
      <w:r w:rsidRPr="00B834A2">
        <w:rPr>
          <w:rStyle w:val="Bodytext210pt"/>
          <w:sz w:val="24"/>
          <w:szCs w:val="24"/>
        </w:rPr>
        <w:t xml:space="preserve"> բոցաիոնացման դետեկտորները:</w:t>
      </w:r>
      <w:r>
        <w:rPr>
          <w:rStyle w:val="Bodytext210pt"/>
          <w:sz w:val="24"/>
          <w:szCs w:val="24"/>
        </w:rPr>
        <w:t xml:space="preserve"> </w:t>
      </w:r>
      <w:r w:rsidRPr="00B834A2">
        <w:rPr>
          <w:rStyle w:val="Bodytext210pt"/>
          <w:sz w:val="24"/>
          <w:szCs w:val="24"/>
        </w:rPr>
        <w:t xml:space="preserve">Թույլատրվում է լուսացրման դետեկտորների, ինֆրակարմիր-սպեկտրալուսաչափերի, ջերմահաղորդման դետեկտորների </w:t>
      </w:r>
      <w:r>
        <w:rPr>
          <w:rStyle w:val="Bodytext210pt"/>
          <w:sz w:val="24"/>
          <w:szCs w:val="24"/>
        </w:rPr>
        <w:t>եւ</w:t>
      </w:r>
      <w:r w:rsidRPr="00B834A2">
        <w:rPr>
          <w:rStyle w:val="Bodytext210pt"/>
          <w:sz w:val="24"/>
          <w:szCs w:val="24"/>
        </w:rPr>
        <w:t xml:space="preserve"> այլ հատուկ դետեկտորների օգտագործումը:</w:t>
      </w:r>
    </w:p>
    <w:p w14:paraId="6E6F2196" w14:textId="77777777" w:rsidR="00B82F0D" w:rsidRDefault="00B82F0D">
      <w:pPr>
        <w:rPr>
          <w:rStyle w:val="Bodytext210pt"/>
          <w:sz w:val="24"/>
          <w:szCs w:val="24"/>
        </w:rPr>
      </w:pPr>
      <w:r>
        <w:rPr>
          <w:rStyle w:val="Bodytext210pt"/>
          <w:sz w:val="24"/>
          <w:szCs w:val="24"/>
        </w:rPr>
        <w:br w:type="page"/>
      </w:r>
    </w:p>
    <w:p w14:paraId="38686962" w14:textId="77777777" w:rsidR="00B834A2" w:rsidRPr="00B834A2" w:rsidRDefault="00B834A2" w:rsidP="00955E48">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lastRenderedPageBreak/>
        <w:t>ՄԵԹՈԴԻԿԱ</w:t>
      </w:r>
    </w:p>
    <w:p w14:paraId="189FB20A"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Համեմատման փորձարկվող լուծույթը (լուծույթները) պատրաստում են մասնավոր դեղագրքային հոդվածում </w:t>
      </w:r>
      <w:r>
        <w:rPr>
          <w:rStyle w:val="Bodytext210pt"/>
          <w:sz w:val="24"/>
          <w:szCs w:val="24"/>
        </w:rPr>
        <w:t>եւ</w:t>
      </w:r>
      <w:r w:rsidRPr="00B834A2">
        <w:rPr>
          <w:rStyle w:val="Bodytext210pt"/>
          <w:sz w:val="24"/>
          <w:szCs w:val="24"/>
        </w:rPr>
        <w:t xml:space="preserve"> (կամ) որակի մասով նորմատիվ փաստաթղթում ցուցումներին համապատասխան:</w:t>
      </w:r>
    </w:p>
    <w:p w14:paraId="417DF084"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Քրոմատագրման համակարգի պիտանիության գնահատման չափորոշիչները նկարագրված են 2.1.2.36 ընդհանուր դեղագրքային հոդվածում։</w:t>
      </w:r>
      <w:r w:rsidRPr="00B834A2">
        <w:rPr>
          <w:rStyle w:val="Bodytext210pt8"/>
          <w:sz w:val="24"/>
          <w:szCs w:val="24"/>
        </w:rPr>
        <w:t xml:space="preserve"> Բաժանման քրոմատագրման մեթոդներ.</w:t>
      </w:r>
      <w:r w:rsidRPr="00B834A2">
        <w:rPr>
          <w:rStyle w:val="Bodytext210pt"/>
          <w:sz w:val="24"/>
          <w:szCs w:val="24"/>
        </w:rPr>
        <w:t xml:space="preserve"> Այն սահմանները, որոնցում կարող են ճշգրտվել քրոմատագրման համակարգի պարամետրերը համակարգի պիտանիության պահանջներին համապատասխանության համար, նույնպես բերված են նշված ընդհանուր դեղագրքային հոդվածում:</w:t>
      </w:r>
    </w:p>
    <w:p w14:paraId="1780CB5A" w14:textId="77777777" w:rsidR="00B834A2" w:rsidRPr="00B834A2" w:rsidRDefault="00B834A2" w:rsidP="00B834A2">
      <w:pPr>
        <w:pStyle w:val="Bodytext20"/>
        <w:shd w:val="clear" w:color="auto" w:fill="auto"/>
        <w:spacing w:before="0" w:after="160" w:line="360" w:lineRule="auto"/>
        <w:ind w:firstLine="567"/>
        <w:jc w:val="right"/>
        <w:rPr>
          <w:rStyle w:val="Bodytext29pt"/>
          <w:sz w:val="24"/>
          <w:szCs w:val="24"/>
        </w:rPr>
      </w:pPr>
    </w:p>
    <w:p w14:paraId="4305F58A" w14:textId="77777777" w:rsidR="00B834A2" w:rsidRPr="009217DE" w:rsidRDefault="00B834A2" w:rsidP="00B834A2">
      <w:pPr>
        <w:pStyle w:val="Bodytext20"/>
        <w:shd w:val="clear" w:color="auto" w:fill="auto"/>
        <w:spacing w:before="0" w:after="160" w:line="360" w:lineRule="auto"/>
        <w:ind w:firstLine="567"/>
        <w:jc w:val="right"/>
        <w:rPr>
          <w:rStyle w:val="Bodytext29pt"/>
          <w:b/>
          <w:sz w:val="20"/>
          <w:szCs w:val="24"/>
        </w:rPr>
      </w:pPr>
      <w:r w:rsidRPr="00B82F0D">
        <w:rPr>
          <w:rStyle w:val="Bodytext29pt"/>
          <w:b/>
          <w:sz w:val="20"/>
          <w:szCs w:val="24"/>
        </w:rPr>
        <w:t>201020053-2022</w:t>
      </w:r>
    </w:p>
    <w:p w14:paraId="56A991AA" w14:textId="77777777" w:rsidR="00B82F0D" w:rsidRPr="009217DE" w:rsidRDefault="00B82F0D" w:rsidP="00B834A2">
      <w:pPr>
        <w:pStyle w:val="Bodytext20"/>
        <w:shd w:val="clear" w:color="auto" w:fill="auto"/>
        <w:spacing w:before="0" w:after="160" w:line="360" w:lineRule="auto"/>
        <w:ind w:firstLine="567"/>
        <w:jc w:val="right"/>
        <w:rPr>
          <w:rFonts w:ascii="Sylfaen" w:hAnsi="Sylfaen"/>
          <w:b/>
          <w:sz w:val="20"/>
          <w:szCs w:val="24"/>
        </w:rPr>
      </w:pPr>
    </w:p>
    <w:p w14:paraId="4245FB21" w14:textId="77777777" w:rsidR="00B834A2" w:rsidRPr="00955E48" w:rsidRDefault="00B834A2" w:rsidP="00C94376">
      <w:pPr>
        <w:pStyle w:val="Bodytext20"/>
        <w:shd w:val="clear" w:color="auto" w:fill="auto"/>
        <w:tabs>
          <w:tab w:val="left" w:pos="1701"/>
        </w:tabs>
        <w:spacing w:before="0" w:after="160" w:line="360" w:lineRule="auto"/>
        <w:ind w:firstLine="567"/>
        <w:jc w:val="both"/>
        <w:rPr>
          <w:rFonts w:ascii="Sylfaen" w:hAnsi="Sylfaen"/>
          <w:b/>
          <w:sz w:val="24"/>
          <w:szCs w:val="24"/>
        </w:rPr>
      </w:pPr>
      <w:r w:rsidRPr="00955E48">
        <w:rPr>
          <w:rStyle w:val="Bodytext214pt"/>
          <w:rFonts w:ascii="Sylfaen" w:hAnsi="Sylfaen"/>
          <w:b/>
          <w:sz w:val="24"/>
          <w:szCs w:val="24"/>
        </w:rPr>
        <w:t>2.1.2.53.</w:t>
      </w:r>
      <w:r w:rsidR="00C94376" w:rsidRPr="006B7DC5">
        <w:rPr>
          <w:rStyle w:val="Bodytext214pt"/>
          <w:rFonts w:ascii="Sylfaen" w:hAnsi="Sylfaen"/>
          <w:b/>
          <w:sz w:val="24"/>
          <w:szCs w:val="24"/>
        </w:rPr>
        <w:tab/>
      </w:r>
      <w:r w:rsidRPr="00955E48">
        <w:rPr>
          <w:rStyle w:val="Bodytext214pt"/>
          <w:rFonts w:ascii="Sylfaen" w:hAnsi="Sylfaen"/>
          <w:b/>
          <w:sz w:val="24"/>
          <w:szCs w:val="24"/>
        </w:rPr>
        <w:t>Ռամանովյան սպեկտրաչափում</w:t>
      </w:r>
    </w:p>
    <w:p w14:paraId="11BFE8B3"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Ռամանովյան սպեկտրաչափումը (լույսի ոչ առաձգական ցրում կամ համակցված ցրման սպեկտրաչափում՝ լույսի ցրման պրոցես, որի դեպքում փորձարկվող նմուշը ճառագայթվում է ինտենսիվ մոնոքրոմատիկ լույսով (սովորաբար լազերի ճառագայթում)) </w:t>
      </w:r>
      <w:r>
        <w:rPr>
          <w:rStyle w:val="Bodytext210pt"/>
          <w:sz w:val="24"/>
          <w:szCs w:val="24"/>
        </w:rPr>
        <w:t>եւ</w:t>
      </w:r>
      <w:r w:rsidRPr="00B834A2">
        <w:rPr>
          <w:rStyle w:val="Bodytext210pt"/>
          <w:sz w:val="24"/>
          <w:szCs w:val="24"/>
        </w:rPr>
        <w:t xml:space="preserve"> նմուշից ցրվող լույսի համար որոշվում է հաճախականության տեղաշարժը:</w:t>
      </w:r>
      <w:r>
        <w:rPr>
          <w:rStyle w:val="Bodytext210pt"/>
          <w:sz w:val="24"/>
          <w:szCs w:val="24"/>
        </w:rPr>
        <w:t xml:space="preserve"> </w:t>
      </w:r>
    </w:p>
    <w:p w14:paraId="0A4EC7FD" w14:textId="77777777" w:rsidR="00B834A2" w:rsidRPr="00B834A2" w:rsidRDefault="00B834A2" w:rsidP="00955E48">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 xml:space="preserve">Ռամանովյան սպեկտրաչափումը ինֆրակարմիր սպեկտրաչափման նկատմամբ լրացուցիչ մեթոդ է՝ այն առումով, որ այդ երկու մեթոդները հիմնված են փորձարկվող նյութի մասնիկների մոլեկուլային տատանումների վրա: Սակայն ռամանովյան </w:t>
      </w:r>
      <w:r>
        <w:rPr>
          <w:rStyle w:val="Bodytext210pt"/>
          <w:sz w:val="24"/>
          <w:szCs w:val="24"/>
        </w:rPr>
        <w:t>եւ</w:t>
      </w:r>
      <w:r w:rsidRPr="00B834A2">
        <w:rPr>
          <w:rStyle w:val="Bodytext210pt"/>
          <w:sz w:val="24"/>
          <w:szCs w:val="24"/>
        </w:rPr>
        <w:t xml:space="preserve"> ինֆրակարմիր սպեկտրաչափումը տարբերվում են տարբեր ֆունկցիոնալ խմբերի հարաբերական զգայունությամբ: Ռամանովյան սպեկտրաչափումը հատկապես զգայուն է ոչ բ</w:t>
      </w:r>
      <w:r>
        <w:rPr>
          <w:rStyle w:val="Bodytext210pt"/>
          <w:sz w:val="24"/>
          <w:szCs w:val="24"/>
        </w:rPr>
        <w:t>եւ</w:t>
      </w:r>
      <w:r w:rsidRPr="00B834A2">
        <w:rPr>
          <w:rStyle w:val="Bodytext210pt"/>
          <w:sz w:val="24"/>
          <w:szCs w:val="24"/>
        </w:rPr>
        <w:t xml:space="preserve">եռային կապերի նկատմամբ (օրինակ՝ միակի կամ բազմապատիկ կապեր С-С), մինչդեռ ջուրը, որի համար բնորոշ է ուժեղ կլանում ինֆրակարմիր տիրույթում, օժտված է թույլ ռամանովյան </w:t>
      </w:r>
      <w:r w:rsidRPr="00B834A2">
        <w:rPr>
          <w:rStyle w:val="Bodytext210pt"/>
          <w:sz w:val="24"/>
          <w:szCs w:val="24"/>
        </w:rPr>
        <w:lastRenderedPageBreak/>
        <w:t>ցրմամբ, այդ իսկ պատճառով հարմար է ռամանովյան սպեկտրաչափման մեջ լուծիչի դերում:</w:t>
      </w:r>
    </w:p>
    <w:p w14:paraId="0B5AE7CA" w14:textId="77777777" w:rsidR="00B834A2" w:rsidRPr="00B834A2" w:rsidRDefault="00B834A2" w:rsidP="00955E48">
      <w:pPr>
        <w:pStyle w:val="Bodytext20"/>
        <w:shd w:val="clear" w:color="auto" w:fill="auto"/>
        <w:spacing w:before="0" w:after="160" w:line="346" w:lineRule="auto"/>
        <w:ind w:firstLine="567"/>
        <w:jc w:val="both"/>
        <w:rPr>
          <w:rFonts w:ascii="Sylfaen" w:hAnsi="Sylfaen"/>
          <w:sz w:val="24"/>
          <w:szCs w:val="24"/>
        </w:rPr>
      </w:pPr>
      <w:r w:rsidRPr="00B82F0D">
        <w:rPr>
          <w:rStyle w:val="Bodytext210pt8"/>
          <w:sz w:val="24"/>
          <w:szCs w:val="24"/>
        </w:rPr>
        <w:t>Սարք:</w:t>
      </w:r>
      <w:r w:rsidRPr="00B834A2">
        <w:rPr>
          <w:rStyle w:val="Bodytext210pt"/>
          <w:sz w:val="24"/>
          <w:szCs w:val="24"/>
        </w:rPr>
        <w:t xml:space="preserve"> Ռամանովյան սպեկտրների ստացման համար նախատեսված սպեկտրաչափերը սովորաբար կազմված են հետ</w:t>
      </w:r>
      <w:r>
        <w:rPr>
          <w:rStyle w:val="Bodytext210pt"/>
          <w:sz w:val="24"/>
          <w:szCs w:val="24"/>
        </w:rPr>
        <w:t>եւ</w:t>
      </w:r>
      <w:r w:rsidRPr="00B834A2">
        <w:rPr>
          <w:rStyle w:val="Bodytext210pt"/>
          <w:sz w:val="24"/>
          <w:szCs w:val="24"/>
        </w:rPr>
        <w:t>յալ բաղադրիչներից՝</w:t>
      </w:r>
    </w:p>
    <w:p w14:paraId="397AF0AC" w14:textId="77777777" w:rsidR="00B834A2" w:rsidRPr="00B834A2" w:rsidRDefault="00B834A2" w:rsidP="00955E48">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մոնոքրոմատիկ լույսի աղբյուր, հաճախ ուլտրամանուշակագույն, տեսանելի կամ մոտակա ինֆրակարմիր տիրույթում ալիքի երկարությամբ լազեր.</w:t>
      </w:r>
    </w:p>
    <w:p w14:paraId="3C6FCA7B" w14:textId="77777777" w:rsidR="00B834A2" w:rsidRPr="00B834A2" w:rsidRDefault="00B834A2" w:rsidP="00955E48">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համապատասխան օպտիկա (լինզաներ, հայելիներ, օպտիկաթելքային սարքեր), որոնք ուղղում են գրգռող ճառագայթումը նմուշի վրա </w:t>
      </w:r>
      <w:r>
        <w:rPr>
          <w:rFonts w:ascii="Sylfaen" w:hAnsi="Sylfaen"/>
          <w:sz w:val="24"/>
          <w:szCs w:val="24"/>
        </w:rPr>
        <w:t>եւ</w:t>
      </w:r>
      <w:r w:rsidRPr="00B834A2">
        <w:rPr>
          <w:rFonts w:ascii="Sylfaen" w:hAnsi="Sylfaen"/>
          <w:sz w:val="24"/>
          <w:szCs w:val="24"/>
        </w:rPr>
        <w:t xml:space="preserve"> հավաքում են նմուշից ցրվող լույսը.</w:t>
      </w:r>
    </w:p>
    <w:p w14:paraId="27B79BEA" w14:textId="77777777" w:rsidR="00B834A2" w:rsidRPr="00B834A2" w:rsidRDefault="00B834A2" w:rsidP="00955E48">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օպտիկական սարք (մոնոքրոմատոր կամ ֆիլտր), որը թողանցում է հաճախականությամբ տեղաշարժված ռամանովյան ցրումը </w:t>
      </w:r>
      <w:r>
        <w:rPr>
          <w:rFonts w:ascii="Sylfaen" w:hAnsi="Sylfaen"/>
          <w:sz w:val="24"/>
          <w:szCs w:val="24"/>
        </w:rPr>
        <w:t>եւ</w:t>
      </w:r>
      <w:r w:rsidRPr="00B834A2">
        <w:rPr>
          <w:rFonts w:ascii="Sylfaen" w:hAnsi="Sylfaen"/>
          <w:sz w:val="24"/>
          <w:szCs w:val="24"/>
        </w:rPr>
        <w:t xml:space="preserve"> խոչընդոտում է դետեկտորի վրա ինտենսիվ լույսի ընկնելը, որի հաճախականությունը հավասար է գրգռող լույսի հաճախականությանը (ռելե</w:t>
      </w:r>
      <w:r>
        <w:rPr>
          <w:rFonts w:ascii="Sylfaen" w:hAnsi="Sylfaen"/>
          <w:sz w:val="24"/>
          <w:szCs w:val="24"/>
        </w:rPr>
        <w:t>եւ</w:t>
      </w:r>
      <w:r w:rsidRPr="00B834A2">
        <w:rPr>
          <w:rFonts w:ascii="Sylfaen" w:hAnsi="Sylfaen"/>
          <w:sz w:val="24"/>
          <w:szCs w:val="24"/>
        </w:rPr>
        <w:t xml:space="preserve">յան ցրում). </w:t>
      </w:r>
    </w:p>
    <w:p w14:paraId="49E52192"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ալիքի երկարությունը կարգավորող ճեղքին </w:t>
      </w:r>
      <w:r>
        <w:rPr>
          <w:rFonts w:ascii="Sylfaen" w:hAnsi="Sylfaen"/>
          <w:sz w:val="24"/>
          <w:szCs w:val="24"/>
        </w:rPr>
        <w:t>եւ</w:t>
      </w:r>
      <w:r w:rsidRPr="00B834A2">
        <w:rPr>
          <w:rFonts w:ascii="Sylfaen" w:hAnsi="Sylfaen"/>
          <w:sz w:val="24"/>
          <w:szCs w:val="24"/>
        </w:rPr>
        <w:t xml:space="preserve"> դետեկտորին (սովորաբար լուսաբազմապատկիչ) միացված դիսպերսող սարք (դիֆրակցիոն ցանց կամ պրիզմա).</w:t>
      </w:r>
    </w:p>
    <w:p w14:paraId="7645B567"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Style w:val="Bodytext210pt"/>
          <w:sz w:val="24"/>
          <w:szCs w:val="24"/>
        </w:rPr>
        <w:t>կամ՝</w:t>
      </w:r>
    </w:p>
    <w:p w14:paraId="6B4D28AD"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բազմուղի դետեկտորին (սովորաբար լիցքային կապով սարք (ԼԿՍ, CCD)) միացված դիսպերսող սարք (դիֆրակցիոն ցանց կամ պրիզմա). </w:t>
      </w:r>
    </w:p>
    <w:p w14:paraId="0A1E6338"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Style w:val="Bodytext210pt"/>
          <w:sz w:val="24"/>
          <w:szCs w:val="24"/>
        </w:rPr>
        <w:t>կամ՝</w:t>
      </w:r>
    </w:p>
    <w:p w14:paraId="4AD12440"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ժամանակի ընթացքում ցրված լույսի ինտենսիվությունը գրանցող դետեկտորով ինտերֆերաչափ (օրինակ՝ համակարգիչ կամ համապատասխան ծրագրային ապահովում) </w:t>
      </w:r>
      <w:r>
        <w:rPr>
          <w:rFonts w:ascii="Sylfaen" w:hAnsi="Sylfaen"/>
          <w:sz w:val="24"/>
          <w:szCs w:val="24"/>
        </w:rPr>
        <w:t>եւ</w:t>
      </w:r>
      <w:r w:rsidRPr="00B834A2">
        <w:rPr>
          <w:rFonts w:ascii="Sylfaen" w:hAnsi="Sylfaen"/>
          <w:sz w:val="24"/>
          <w:szCs w:val="24"/>
        </w:rPr>
        <w:t xml:space="preserve"> տվյալների մշակման սարք, որի օգնությամբ Ֆուրյեի կերպափոխումը փոխարկում է տվյալները հաճախականությունների կամ ալիքային թվերի ընդգրկույթ:</w:t>
      </w:r>
      <w:r>
        <w:rPr>
          <w:rFonts w:ascii="Sylfaen" w:hAnsi="Sylfaen"/>
          <w:sz w:val="24"/>
          <w:szCs w:val="24"/>
        </w:rPr>
        <w:t xml:space="preserve"> </w:t>
      </w:r>
    </w:p>
    <w:p w14:paraId="54687AF9" w14:textId="77777777" w:rsidR="00B834A2" w:rsidRPr="00B834A2" w:rsidRDefault="00B834A2" w:rsidP="00955E48">
      <w:pPr>
        <w:pStyle w:val="Bodytext20"/>
        <w:shd w:val="clear" w:color="auto" w:fill="auto"/>
        <w:spacing w:before="0" w:after="160" w:line="360" w:lineRule="auto"/>
        <w:ind w:firstLine="567"/>
        <w:jc w:val="both"/>
        <w:rPr>
          <w:rStyle w:val="Bodytext210pt"/>
          <w:sz w:val="24"/>
          <w:szCs w:val="24"/>
        </w:rPr>
      </w:pPr>
    </w:p>
    <w:p w14:paraId="4742867C" w14:textId="77777777" w:rsidR="00B834A2" w:rsidRPr="00B834A2" w:rsidRDefault="00B834A2" w:rsidP="00955E48">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lastRenderedPageBreak/>
        <w:t>ՆՄՈՒՇԻ ՊԱՏՐԱՍՏՈՒՄ</w:t>
      </w:r>
    </w:p>
    <w:p w14:paraId="5E2E2FB1"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2F0D">
        <w:rPr>
          <w:rStyle w:val="Bodytext210pt"/>
          <w:spacing w:val="4"/>
          <w:sz w:val="24"/>
          <w:szCs w:val="24"/>
        </w:rPr>
        <w:t>Ռամանովյան սպեկտրները կարող են ստացվել պինդ նյութերի, հեղուկների եւ գազերի</w:t>
      </w:r>
      <w:r w:rsidRPr="00B834A2">
        <w:rPr>
          <w:rStyle w:val="Bodytext210pt"/>
          <w:sz w:val="24"/>
          <w:szCs w:val="24"/>
        </w:rPr>
        <w:t xml:space="preserve"> համար, ընդ որում՝ ինչպես՝ ապակե կոնտեյներների կամ խողովակների մեջ տեղադրված, որպես կանոն, առանց նմուշի նախնական պատրաստման կամ լուծման, այնպես էլ ուղղակիորեն: </w:t>
      </w:r>
    </w:p>
    <w:p w14:paraId="2CE881AD"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Ռաման</w:t>
      </w:r>
      <w:r w:rsidRPr="00B834A2">
        <w:rPr>
          <w:rFonts w:ascii="Sylfaen" w:hAnsi="Sylfaen"/>
          <w:sz w:val="24"/>
          <w:szCs w:val="24"/>
        </w:rPr>
        <w:t>ովյան</w:t>
      </w:r>
      <w:r w:rsidRPr="00B834A2">
        <w:rPr>
          <w:rStyle w:val="Bodytext210pt"/>
          <w:sz w:val="24"/>
          <w:szCs w:val="24"/>
        </w:rPr>
        <w:t xml:space="preserve"> սպեկտրաչափման հիմնական սահմանափակումն է խառնուկների ֆլուորեսցենտումը, որը խանգարում է դետեկտորին որսալ էականորեն առավել թույլ ռամանովյան ազդանշան:</w:t>
      </w:r>
      <w:r>
        <w:rPr>
          <w:rStyle w:val="Bodytext210pt"/>
          <w:sz w:val="24"/>
          <w:szCs w:val="24"/>
        </w:rPr>
        <w:t xml:space="preserve"> </w:t>
      </w:r>
      <w:r w:rsidRPr="00B834A2">
        <w:rPr>
          <w:rStyle w:val="Bodytext210pt"/>
          <w:sz w:val="24"/>
          <w:szCs w:val="24"/>
        </w:rPr>
        <w:t xml:space="preserve">Ֆլուորեսցենտումից կարելի է խուսափել՝ որպես գրգռող լույս՝ ալիքի, օրինակ՝ մոտակա ինֆրակարմիր տիրույթում գտնվող մեծ երկարությամբ լազերային ճառագայթ օգտագործելու դեպքում: </w:t>
      </w:r>
      <w:r w:rsidRPr="00B834A2">
        <w:rPr>
          <w:rFonts w:ascii="Sylfaen" w:hAnsi="Sylfaen"/>
          <w:sz w:val="24"/>
          <w:szCs w:val="24"/>
        </w:rPr>
        <w:t>Որոշ ռամանովյան գծերի ինտենսիվությունը կարող է ուժեղացվել մի քանի եղանակով, օրինակ՝ ռեզոնանսային ռամանովյան սպեկտրաչափման (RR) կամ մակեր</w:t>
      </w:r>
      <w:r>
        <w:rPr>
          <w:rFonts w:ascii="Sylfaen" w:hAnsi="Sylfaen"/>
          <w:sz w:val="24"/>
          <w:szCs w:val="24"/>
        </w:rPr>
        <w:t>եւ</w:t>
      </w:r>
      <w:r w:rsidRPr="00B834A2">
        <w:rPr>
          <w:rFonts w:ascii="Sylfaen" w:hAnsi="Sylfaen"/>
          <w:sz w:val="24"/>
          <w:szCs w:val="24"/>
        </w:rPr>
        <w:t>ութային ուժեղացված ռամանովյան սպեկտրաչափման (SERS) օգտագործման միջոցով:</w:t>
      </w:r>
    </w:p>
    <w:p w14:paraId="6EC3A4A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Ընկնող լազերային ճառագայթման լուսային հոսքի նեղության պատճառով սպեկտրի ստացման համար անհրաժեշտ է ընդամենը մի քանի միկրոլիտր նմուշ: Այնուհանդերձ, անհրաժեշտ է հաշվի առնել նմուշի անհամասեռությունը, եթե միայն դրա ծավալը չի ավելացվել, օրինակ՝ պտտման միջոցով: </w:t>
      </w:r>
    </w:p>
    <w:p w14:paraId="6290C6ED" w14:textId="77777777" w:rsidR="00B834A2" w:rsidRPr="00B834A2" w:rsidRDefault="00B834A2" w:rsidP="00B834A2">
      <w:pPr>
        <w:pStyle w:val="Bodytext20"/>
        <w:shd w:val="clear" w:color="auto" w:fill="auto"/>
        <w:spacing w:before="0" w:after="160" w:line="360" w:lineRule="auto"/>
        <w:ind w:firstLine="567"/>
        <w:jc w:val="left"/>
        <w:rPr>
          <w:rStyle w:val="Bodytext210pt"/>
          <w:b/>
          <w:sz w:val="24"/>
          <w:szCs w:val="24"/>
        </w:rPr>
      </w:pPr>
    </w:p>
    <w:p w14:paraId="672C62B6" w14:textId="77777777" w:rsidR="00B834A2" w:rsidRPr="00B834A2" w:rsidRDefault="00B834A2" w:rsidP="00955E48">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t>ՍՏԱՆԴԱՐՏ ՆՄՈՒՇՆԵՐԻ ՕԳՏԱԳՈՐԾՄԱՄԲ</w:t>
      </w:r>
      <w:r>
        <w:rPr>
          <w:rStyle w:val="Bodytext210pt"/>
          <w:b/>
          <w:sz w:val="24"/>
          <w:szCs w:val="24"/>
        </w:rPr>
        <w:t xml:space="preserve"> </w:t>
      </w:r>
      <w:r w:rsidRPr="00B834A2">
        <w:rPr>
          <w:rStyle w:val="Bodytext210pt"/>
          <w:b/>
          <w:sz w:val="24"/>
          <w:szCs w:val="24"/>
        </w:rPr>
        <w:t>ՆՈՒՅՆԱԿԱՆԱՑՈՒՄԸ</w:t>
      </w:r>
      <w:r>
        <w:rPr>
          <w:rStyle w:val="Bodytext210pt"/>
          <w:b/>
          <w:sz w:val="24"/>
          <w:szCs w:val="24"/>
        </w:rPr>
        <w:t xml:space="preserve"> </w:t>
      </w:r>
      <w:r w:rsidRPr="00B834A2">
        <w:rPr>
          <w:rStyle w:val="Bodytext210pt"/>
          <w:b/>
          <w:sz w:val="24"/>
          <w:szCs w:val="24"/>
        </w:rPr>
        <w:t>ԵՒ ՔԱՆԱԿԱԿԱՆ ՈՐՈՇՈՒՄԸ</w:t>
      </w:r>
    </w:p>
    <w:p w14:paraId="2CD3E08C"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Փորձարկվող նմուշը </w:t>
      </w:r>
      <w:r>
        <w:rPr>
          <w:rStyle w:val="Bodytext210pt"/>
          <w:sz w:val="24"/>
          <w:szCs w:val="24"/>
        </w:rPr>
        <w:t>եւ</w:t>
      </w:r>
      <w:r w:rsidRPr="00B834A2">
        <w:rPr>
          <w:rStyle w:val="Bodytext210pt"/>
          <w:sz w:val="24"/>
          <w:szCs w:val="24"/>
        </w:rPr>
        <w:t xml:space="preserve"> ստանդարտ նմուշը ենթարկում են միատեսակ մշակման </w:t>
      </w:r>
      <w:r>
        <w:rPr>
          <w:rStyle w:val="Bodytext210pt"/>
          <w:sz w:val="24"/>
          <w:szCs w:val="24"/>
        </w:rPr>
        <w:t>եւ</w:t>
      </w:r>
      <w:r w:rsidRPr="00B834A2">
        <w:rPr>
          <w:rStyle w:val="Bodytext210pt"/>
          <w:sz w:val="24"/>
          <w:szCs w:val="24"/>
        </w:rPr>
        <w:t xml:space="preserve"> այնուհետ</w:t>
      </w:r>
      <w:r>
        <w:rPr>
          <w:rStyle w:val="Bodytext210pt"/>
          <w:sz w:val="24"/>
          <w:szCs w:val="24"/>
        </w:rPr>
        <w:t>եւ</w:t>
      </w:r>
      <w:r w:rsidRPr="00B834A2">
        <w:rPr>
          <w:rStyle w:val="Bodytext210pt"/>
          <w:sz w:val="24"/>
          <w:szCs w:val="24"/>
        </w:rPr>
        <w:t xml:space="preserve"> միատեսակ պայմաններում ստանում են դրանց սպեկտրները: Փորձարկվող նմուշի սպեկտրում առավելագույնները պետք է համընկնեն ըստ դիրքի </w:t>
      </w:r>
      <w:r>
        <w:rPr>
          <w:rStyle w:val="Bodytext210pt"/>
          <w:sz w:val="24"/>
          <w:szCs w:val="24"/>
        </w:rPr>
        <w:t>եւ</w:t>
      </w:r>
      <w:r w:rsidRPr="00B834A2">
        <w:rPr>
          <w:rStyle w:val="Bodytext210pt"/>
          <w:sz w:val="24"/>
          <w:szCs w:val="24"/>
        </w:rPr>
        <w:t xml:space="preserve"> ինտենսիվության Եվրասիական տնտեսական միության դեղագրքի ստանդարտ նմուշի (ԵԱՏՄԴ ՍՆ) սպեկտրում համապատասխան առավելագույնների հետ:</w:t>
      </w:r>
      <w:r>
        <w:rPr>
          <w:rStyle w:val="Bodytext210pt"/>
          <w:sz w:val="24"/>
          <w:szCs w:val="24"/>
        </w:rPr>
        <w:t xml:space="preserve"> </w:t>
      </w:r>
      <w:r w:rsidRPr="00B834A2">
        <w:rPr>
          <w:rStyle w:val="Bodytext210pt"/>
          <w:sz w:val="24"/>
          <w:szCs w:val="24"/>
        </w:rPr>
        <w:t xml:space="preserve">Եթե պինդ նյութերի համար ստացված սպեկտրներն </w:t>
      </w:r>
      <w:r w:rsidRPr="00B834A2">
        <w:rPr>
          <w:rStyle w:val="Bodytext210pt"/>
          <w:sz w:val="24"/>
          <w:szCs w:val="24"/>
        </w:rPr>
        <w:lastRenderedPageBreak/>
        <w:t xml:space="preserve">առավելագույնների դիրքերում ունեն տարբերություններ, ապա փորձարկվող նմուշը </w:t>
      </w:r>
      <w:r>
        <w:rPr>
          <w:rStyle w:val="Bodytext210pt"/>
          <w:sz w:val="24"/>
          <w:szCs w:val="24"/>
        </w:rPr>
        <w:t>եւ</w:t>
      </w:r>
      <w:r w:rsidRPr="00B834A2">
        <w:rPr>
          <w:rStyle w:val="Bodytext210pt"/>
          <w:sz w:val="24"/>
          <w:szCs w:val="24"/>
        </w:rPr>
        <w:t xml:space="preserve"> ստանդարտ նմուշը ենթարկում են միատեսակ մշակման, որպեսզի դրանք բյուրեղավորվեն կամ գոյանան նույն ձ</w:t>
      </w:r>
      <w:r>
        <w:rPr>
          <w:rStyle w:val="Bodytext210pt"/>
          <w:sz w:val="24"/>
          <w:szCs w:val="24"/>
        </w:rPr>
        <w:t>եւ</w:t>
      </w:r>
      <w:r w:rsidRPr="00B834A2">
        <w:rPr>
          <w:rStyle w:val="Bodytext210pt"/>
          <w:sz w:val="24"/>
          <w:szCs w:val="24"/>
        </w:rPr>
        <w:t xml:space="preserve">ով, կամ վարվում են այնպես, ինչպես նկարագրված է մասնավոր դեղագրքային հոդվածում, </w:t>
      </w:r>
      <w:r>
        <w:rPr>
          <w:rStyle w:val="Bodytext210pt"/>
          <w:sz w:val="24"/>
          <w:szCs w:val="24"/>
        </w:rPr>
        <w:t>եւ</w:t>
      </w:r>
      <w:r w:rsidRPr="00B834A2">
        <w:rPr>
          <w:rStyle w:val="Bodytext210pt"/>
          <w:sz w:val="24"/>
          <w:szCs w:val="24"/>
        </w:rPr>
        <w:t xml:space="preserve"> այնուհետ</w:t>
      </w:r>
      <w:r>
        <w:rPr>
          <w:rStyle w:val="Bodytext210pt"/>
          <w:sz w:val="24"/>
          <w:szCs w:val="24"/>
        </w:rPr>
        <w:t>եւ</w:t>
      </w:r>
      <w:r w:rsidRPr="00B834A2">
        <w:rPr>
          <w:rStyle w:val="Bodytext210pt"/>
          <w:sz w:val="24"/>
          <w:szCs w:val="24"/>
        </w:rPr>
        <w:t xml:space="preserve"> հանում են սպեկտրները:</w:t>
      </w:r>
    </w:p>
    <w:p w14:paraId="575A1B12" w14:textId="77777777" w:rsidR="00B834A2" w:rsidRPr="009217DE" w:rsidRDefault="00B834A2" w:rsidP="00B82F0D">
      <w:pPr>
        <w:spacing w:after="160" w:line="348" w:lineRule="auto"/>
        <w:ind w:firstLine="567"/>
        <w:jc w:val="both"/>
        <w:rPr>
          <w:rStyle w:val="Bodytext210pt"/>
          <w:sz w:val="24"/>
          <w:szCs w:val="24"/>
        </w:rPr>
      </w:pPr>
      <w:r w:rsidRPr="00B834A2">
        <w:rPr>
          <w:rStyle w:val="Bodytext210pt"/>
          <w:sz w:val="24"/>
          <w:szCs w:val="24"/>
        </w:rPr>
        <w:t>Քանի որ Բերա-Լամբերտի օրենքը ռամանովյան սպեկտրադիտման համար չի կատարվում, ապա ռամանովյան ճառագայթման ինտենսիվությունը ուղիղ համեմատական է ցրող մասնիկների կոնցենտրացիային: Ինչպես այլ սպեկտրադիտման մեթոդների դեպքում՝ քանակական որոշումը կարող է անցկացվել ստանդարտ նմուշների հայտնի քանակությունների կամ կոնցենտրացիաների օգտագործմամբ: Մեթոդի ոչ մեծ տարածական լուծման հետ</w:t>
      </w:r>
      <w:r>
        <w:rPr>
          <w:rStyle w:val="Bodytext210pt"/>
          <w:sz w:val="24"/>
          <w:szCs w:val="24"/>
        </w:rPr>
        <w:t>եւ</w:t>
      </w:r>
      <w:r w:rsidRPr="00B834A2">
        <w:rPr>
          <w:rStyle w:val="Bodytext210pt"/>
          <w:sz w:val="24"/>
          <w:szCs w:val="24"/>
        </w:rPr>
        <w:t xml:space="preserve">անքով անհրաժեշտ է ուշադրություն դարձնել փորձարկվող նմուշների </w:t>
      </w:r>
      <w:r>
        <w:rPr>
          <w:rStyle w:val="Bodytext210pt"/>
          <w:sz w:val="24"/>
          <w:szCs w:val="24"/>
        </w:rPr>
        <w:t>եւ</w:t>
      </w:r>
      <w:r w:rsidRPr="00B834A2">
        <w:rPr>
          <w:rStyle w:val="Bodytext210pt"/>
          <w:sz w:val="24"/>
          <w:szCs w:val="24"/>
        </w:rPr>
        <w:t xml:space="preserve"> ստանդարտ նմուշների քանակին, օրինակ՝ պետք է վստահ լինել նրանում, որ դրանք գտնվում են նույն ֆիզիկական վիճակում կամ նմուշների համար օգտագործել ներքին ստանդարտ հեղուկ:</w:t>
      </w:r>
    </w:p>
    <w:p w14:paraId="36CD74EE" w14:textId="77777777" w:rsidR="00B82F0D" w:rsidRPr="009217DE" w:rsidRDefault="00B82F0D" w:rsidP="00B82F0D">
      <w:pPr>
        <w:spacing w:after="160" w:line="348" w:lineRule="auto"/>
        <w:ind w:firstLine="567"/>
        <w:jc w:val="both"/>
      </w:pPr>
    </w:p>
    <w:p w14:paraId="030B9DD0" w14:textId="77777777" w:rsidR="00B834A2" w:rsidRPr="00B834A2" w:rsidRDefault="00B834A2" w:rsidP="00B82F0D">
      <w:pPr>
        <w:pStyle w:val="Bodytext20"/>
        <w:shd w:val="clear" w:color="auto" w:fill="auto"/>
        <w:spacing w:before="0" w:after="160" w:line="348" w:lineRule="auto"/>
        <w:ind w:firstLine="567"/>
        <w:jc w:val="both"/>
        <w:rPr>
          <w:rFonts w:ascii="Sylfaen" w:hAnsi="Sylfaen"/>
          <w:b/>
          <w:sz w:val="24"/>
          <w:szCs w:val="24"/>
        </w:rPr>
      </w:pPr>
      <w:r w:rsidRPr="00B834A2">
        <w:rPr>
          <w:rStyle w:val="Bodytext210pt"/>
          <w:b/>
          <w:sz w:val="24"/>
          <w:szCs w:val="24"/>
        </w:rPr>
        <w:t>ԴԱՍԱԿԱՐԳՄԱՆ ԵՒ ՍՏՈՒԳԱՃՇՏՄԱՆ ՀԱՄԱՐ ՍՊԵԿՏՐԱԼ ԳՐԱԴԱՐԱՆՆԵՐԻ ԵՒ ՎԻՃԱԿԱԳՐԱԿԱՆ ՄԵԹՈԴՆԵՐԻ ԿԻՐԱՌՄԱՄԲ ՆՈՒՅՆԱԿԱՆԱՑՈՒՄՆ ՈՒ ՔԱՆԱԿԱԿԱՆ ՈՐՈՇՈՒՄԸ</w:t>
      </w:r>
    </w:p>
    <w:p w14:paraId="6FB1F5BF" w14:textId="77777777" w:rsidR="00B834A2" w:rsidRPr="00B834A2" w:rsidRDefault="00B834A2" w:rsidP="00B82F0D">
      <w:pPr>
        <w:pStyle w:val="Bodytext20"/>
        <w:shd w:val="clear" w:color="auto" w:fill="auto"/>
        <w:spacing w:before="0" w:after="160" w:line="348" w:lineRule="auto"/>
        <w:ind w:firstLine="567"/>
        <w:jc w:val="both"/>
        <w:rPr>
          <w:rFonts w:ascii="Sylfaen" w:hAnsi="Sylfaen"/>
          <w:sz w:val="24"/>
          <w:szCs w:val="24"/>
        </w:rPr>
      </w:pPr>
      <w:r w:rsidRPr="00B834A2">
        <w:rPr>
          <w:rStyle w:val="Bodytext210pt8"/>
          <w:sz w:val="24"/>
          <w:szCs w:val="24"/>
        </w:rPr>
        <w:t>Սարքի աշխատանքի հսկողություն:</w:t>
      </w:r>
      <w:r w:rsidRPr="00B834A2">
        <w:rPr>
          <w:rStyle w:val="Bodytext210pt"/>
          <w:sz w:val="24"/>
          <w:szCs w:val="24"/>
        </w:rPr>
        <w:t xml:space="preserve"> Սարքն օգտագործելիս հետ</w:t>
      </w:r>
      <w:r>
        <w:rPr>
          <w:rStyle w:val="Bodytext210pt"/>
          <w:sz w:val="24"/>
          <w:szCs w:val="24"/>
        </w:rPr>
        <w:t>եւ</w:t>
      </w:r>
      <w:r w:rsidRPr="00B834A2">
        <w:rPr>
          <w:rStyle w:val="Bodytext210pt"/>
          <w:sz w:val="24"/>
          <w:szCs w:val="24"/>
        </w:rPr>
        <w:t xml:space="preserve">ում են արտադրողի հրահանգներին. պարբերաբար՝ պայմանավորված սարքի </w:t>
      </w:r>
      <w:r>
        <w:rPr>
          <w:rStyle w:val="Bodytext210pt"/>
          <w:sz w:val="24"/>
          <w:szCs w:val="24"/>
        </w:rPr>
        <w:t>եւ</w:t>
      </w:r>
      <w:r w:rsidRPr="00B834A2">
        <w:rPr>
          <w:rStyle w:val="Bodytext210pt"/>
          <w:sz w:val="24"/>
          <w:szCs w:val="24"/>
        </w:rPr>
        <w:t xml:space="preserve"> փորձարկվող նմուշների կիրառմամբ, անցկացնում են սահմանված ստուգաճշտումներ </w:t>
      </w:r>
      <w:r>
        <w:rPr>
          <w:rStyle w:val="Bodytext210pt"/>
          <w:sz w:val="24"/>
          <w:szCs w:val="24"/>
        </w:rPr>
        <w:t>եւ</w:t>
      </w:r>
      <w:r w:rsidRPr="00B834A2">
        <w:rPr>
          <w:rStyle w:val="Bodytext210pt"/>
          <w:sz w:val="24"/>
          <w:szCs w:val="24"/>
        </w:rPr>
        <w:t xml:space="preserve"> համակարգի աշխատանքի փորձարկումներ:</w:t>
      </w:r>
      <w:r>
        <w:rPr>
          <w:rStyle w:val="Bodytext210pt"/>
          <w:sz w:val="24"/>
          <w:szCs w:val="24"/>
        </w:rPr>
        <w:t xml:space="preserve"> </w:t>
      </w:r>
      <w:r w:rsidRPr="00B834A2">
        <w:rPr>
          <w:rStyle w:val="Bodytext210pt"/>
          <w:sz w:val="24"/>
          <w:szCs w:val="24"/>
        </w:rPr>
        <w:t xml:space="preserve">(Քիմիաչափական) դասակարգման կամ ստուգաճշտման համար քանակական որոշումների համար ռամանովյան սպեկտրաչափում օգտագործելիս կամ սպեկտրալ գրադարաններ ստեղծելիս անհրաժեշտ է առանձնակի ուշադրություն դարձնել այն բանին, որ կատարվեն չափումների բոլոր ուղղումները կամ ձեռնարկվեն միջոցներ՝ սարքի ալիքային թվերի մեծությունների </w:t>
      </w:r>
      <w:r>
        <w:rPr>
          <w:rStyle w:val="Bodytext210pt"/>
          <w:sz w:val="24"/>
          <w:szCs w:val="24"/>
        </w:rPr>
        <w:t>եւ</w:t>
      </w:r>
      <w:r w:rsidRPr="00B834A2">
        <w:rPr>
          <w:rStyle w:val="Bodytext210pt"/>
          <w:sz w:val="24"/>
          <w:szCs w:val="24"/>
        </w:rPr>
        <w:t xml:space="preserve"> ազդանշանի ինտենսիվության փոփոխելիության հսկողության համար:</w:t>
      </w:r>
    </w:p>
    <w:p w14:paraId="192DA1A5"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Ալիքային թվերի սանդղակի ստուգում:</w:t>
      </w:r>
      <w:r w:rsidRPr="00B834A2">
        <w:rPr>
          <w:rStyle w:val="Bodytext210pt"/>
          <w:sz w:val="24"/>
          <w:szCs w:val="24"/>
        </w:rPr>
        <w:t xml:space="preserve"> Ռամանովյան տեղաշարժերի ալիքային թվերի սանդղակը (սովորաբար հակադարձ սանտիմետրերով արտահայտվող) ստուգում են համապատասխան ստանդարտների օգնությամբ, որոնք ունեն բնորոշ առավելագույններ ալիքային թվերի հետազոտվող մեծությունների դեպքում (օրինակ՝ օրգանական նյութ, նեոնային լամպ կամ արգո</w:t>
      </w:r>
      <w:r w:rsidR="00B82F0D" w:rsidRPr="00B82F0D">
        <w:rPr>
          <w:rStyle w:val="Bodytext210pt"/>
          <w:sz w:val="24"/>
          <w:szCs w:val="24"/>
        </w:rPr>
        <w:t> </w:t>
      </w:r>
      <w:r>
        <w:rPr>
          <w:rStyle w:val="Bodytext210pt"/>
          <w:sz w:val="24"/>
          <w:szCs w:val="24"/>
        </w:rPr>
        <w:t>եւ</w:t>
      </w:r>
      <w:r w:rsidRPr="00B834A2">
        <w:rPr>
          <w:rStyle w:val="Bodytext210pt"/>
          <w:sz w:val="24"/>
          <w:szCs w:val="24"/>
        </w:rPr>
        <w:t xml:space="preserve"> իոնային լազերից Аг</w:t>
      </w:r>
      <w:r w:rsidRPr="00B834A2">
        <w:rPr>
          <w:rStyle w:val="Bodytext210pt"/>
          <w:sz w:val="24"/>
          <w:szCs w:val="24"/>
          <w:vertAlign w:val="superscript"/>
        </w:rPr>
        <w:t>+</w:t>
      </w:r>
      <w:r w:rsidRPr="00B834A2">
        <w:rPr>
          <w:rStyle w:val="Bodytext210pt"/>
          <w:sz w:val="24"/>
          <w:szCs w:val="24"/>
        </w:rPr>
        <w:t xml:space="preserve"> պլազմայի գծեր):</w:t>
      </w:r>
    </w:p>
    <w:p w14:paraId="069EE7B9"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Սարքի ստուգաճշտումը պետք է համապատասխանի նմուշի տեսակին, այսինքն՝ պինդ փորձարկվող նմուշների համար անհրաժեշտ է օգտագործել պինդ ստանդարտ նմուշներ, իսկ հեղուկների համար՝ հեղուկ: Ընտրում են համապատասխան նյութ (օրինակ՝ պոլիստիրոլ, պարացետամոլ, ցիկլոհեքսան), որի համար սահմանված են ալիքային թվերի տեղաշարժերի ճշգրիտ արժեքներ:</w:t>
      </w:r>
    </w:p>
    <w:p w14:paraId="192C6134" w14:textId="77777777" w:rsidR="00B834A2" w:rsidRPr="00B834A2" w:rsidRDefault="00B834A2" w:rsidP="00955E48">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Ինտենսիվությունների սանդղակի ստուգում:</w:t>
      </w:r>
      <w:r w:rsidRPr="00B834A2">
        <w:rPr>
          <w:rStyle w:val="Bodytext210pt"/>
          <w:sz w:val="24"/>
          <w:szCs w:val="24"/>
        </w:rPr>
        <w:t xml:space="preserve"> Ռամանովյան շերտերի բացարձակ </w:t>
      </w:r>
      <w:r>
        <w:rPr>
          <w:rStyle w:val="Bodytext210pt"/>
          <w:sz w:val="24"/>
          <w:szCs w:val="24"/>
        </w:rPr>
        <w:t>եւ</w:t>
      </w:r>
      <w:r w:rsidRPr="00B834A2">
        <w:rPr>
          <w:rStyle w:val="Bodytext210pt"/>
          <w:sz w:val="24"/>
          <w:szCs w:val="24"/>
        </w:rPr>
        <w:t xml:space="preserve"> հարաբերական ինտենսիվության վրա կարող են ազդեցություն ունենալ հետ</w:t>
      </w:r>
      <w:r>
        <w:rPr>
          <w:rStyle w:val="Bodytext210pt"/>
          <w:sz w:val="24"/>
          <w:szCs w:val="24"/>
        </w:rPr>
        <w:t>եւ</w:t>
      </w:r>
      <w:r w:rsidRPr="00B834A2">
        <w:rPr>
          <w:rStyle w:val="Bodytext210pt"/>
          <w:sz w:val="24"/>
          <w:szCs w:val="24"/>
        </w:rPr>
        <w:t>յալ գործոնները՝</w:t>
      </w:r>
    </w:p>
    <w:p w14:paraId="5699B5D2"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ընկնող լույսի բ</w:t>
      </w:r>
      <w:r>
        <w:rPr>
          <w:rFonts w:ascii="Sylfaen" w:hAnsi="Sylfaen"/>
          <w:sz w:val="24"/>
          <w:szCs w:val="24"/>
        </w:rPr>
        <w:t>եւ</w:t>
      </w:r>
      <w:r w:rsidRPr="00B834A2">
        <w:rPr>
          <w:rFonts w:ascii="Sylfaen" w:hAnsi="Sylfaen"/>
          <w:sz w:val="24"/>
          <w:szCs w:val="24"/>
        </w:rPr>
        <w:t>եռացում.</w:t>
      </w:r>
    </w:p>
    <w:p w14:paraId="61E12063"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հավաքող օպտիկայի բ</w:t>
      </w:r>
      <w:r>
        <w:rPr>
          <w:rFonts w:ascii="Sylfaen" w:hAnsi="Sylfaen"/>
          <w:sz w:val="24"/>
          <w:szCs w:val="24"/>
        </w:rPr>
        <w:t>եւ</w:t>
      </w:r>
      <w:r w:rsidRPr="00B834A2">
        <w:rPr>
          <w:rFonts w:ascii="Sylfaen" w:hAnsi="Sylfaen"/>
          <w:sz w:val="24"/>
          <w:szCs w:val="24"/>
        </w:rPr>
        <w:t>եռացում.</w:t>
      </w:r>
    </w:p>
    <w:p w14:paraId="14A473C6"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ընկնող լույսի ինտենսիվություն.</w:t>
      </w:r>
    </w:p>
    <w:p w14:paraId="03FA256F"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սարքի արձագանքի տարբերություններ.</w:t>
      </w:r>
    </w:p>
    <w:p w14:paraId="2E7AD723" w14:textId="77777777" w:rsidR="00B834A2" w:rsidRPr="00B834A2" w:rsidRDefault="00B834A2" w:rsidP="00955E48">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955E48" w:rsidRPr="00955E48">
        <w:rPr>
          <w:rFonts w:ascii="Sylfaen" w:hAnsi="Sylfaen"/>
          <w:sz w:val="24"/>
          <w:szCs w:val="24"/>
        </w:rPr>
        <w:tab/>
      </w:r>
      <w:r w:rsidRPr="00B834A2">
        <w:rPr>
          <w:rFonts w:ascii="Sylfaen" w:hAnsi="Sylfaen"/>
          <w:sz w:val="24"/>
          <w:szCs w:val="24"/>
        </w:rPr>
        <w:t xml:space="preserve">նմուշի կիզակետում </w:t>
      </w:r>
      <w:r>
        <w:rPr>
          <w:rFonts w:ascii="Sylfaen" w:hAnsi="Sylfaen"/>
          <w:sz w:val="24"/>
          <w:szCs w:val="24"/>
        </w:rPr>
        <w:t>եւ</w:t>
      </w:r>
      <w:r w:rsidRPr="00B834A2">
        <w:rPr>
          <w:rFonts w:ascii="Sylfaen" w:hAnsi="Sylfaen"/>
          <w:sz w:val="24"/>
          <w:szCs w:val="24"/>
        </w:rPr>
        <w:t xml:space="preserve"> երկրաչափությունում տարբերություններ.</w:t>
      </w:r>
    </w:p>
    <w:p w14:paraId="399C1BF4" w14:textId="77777777" w:rsidR="00B834A2" w:rsidRPr="00B834A2" w:rsidRDefault="00B834A2" w:rsidP="00955E48">
      <w:pPr>
        <w:tabs>
          <w:tab w:val="left" w:pos="1134"/>
        </w:tabs>
        <w:spacing w:after="160" w:line="360" w:lineRule="auto"/>
        <w:ind w:firstLine="567"/>
      </w:pPr>
      <w:r w:rsidRPr="00B834A2">
        <w:t>-</w:t>
      </w:r>
      <w:r w:rsidR="00955E48" w:rsidRPr="00955E48">
        <w:tab/>
      </w:r>
      <w:r w:rsidRPr="00B834A2">
        <w:t>պինդ նմուշների համար լցման խտության տարբերություններ.</w:t>
      </w:r>
    </w:p>
    <w:p w14:paraId="34E928FF" w14:textId="77777777" w:rsidR="00B834A2" w:rsidRPr="00B834A2" w:rsidRDefault="00B834A2" w:rsidP="00B834A2">
      <w:pPr>
        <w:spacing w:after="160" w:line="360" w:lineRule="auto"/>
        <w:ind w:firstLine="567"/>
      </w:pPr>
    </w:p>
    <w:p w14:paraId="6FD691CE" w14:textId="77777777" w:rsidR="00B82F0D" w:rsidRDefault="00B82F0D">
      <w:pPr>
        <w:rPr>
          <w:rStyle w:val="Tablecaption410pt"/>
          <w:i w:val="0"/>
          <w:iCs w:val="0"/>
          <w:sz w:val="24"/>
          <w:szCs w:val="24"/>
        </w:rPr>
      </w:pPr>
      <w:r>
        <w:rPr>
          <w:rStyle w:val="Tablecaption410pt"/>
          <w:sz w:val="24"/>
          <w:szCs w:val="24"/>
        </w:rPr>
        <w:br w:type="page"/>
      </w:r>
    </w:p>
    <w:p w14:paraId="15A47D81" w14:textId="77777777" w:rsidR="00B834A2" w:rsidRPr="00B834A2" w:rsidRDefault="00B834A2" w:rsidP="00955E48">
      <w:pPr>
        <w:pStyle w:val="Tablecaption40"/>
        <w:shd w:val="clear" w:color="auto" w:fill="auto"/>
        <w:spacing w:after="160" w:line="360" w:lineRule="auto"/>
        <w:ind w:firstLine="567"/>
        <w:rPr>
          <w:sz w:val="24"/>
          <w:szCs w:val="24"/>
        </w:rPr>
      </w:pPr>
      <w:r w:rsidRPr="00B834A2">
        <w:rPr>
          <w:rStyle w:val="Tablecaption410pt"/>
          <w:sz w:val="24"/>
          <w:szCs w:val="24"/>
        </w:rPr>
        <w:lastRenderedPageBreak/>
        <w:t xml:space="preserve">Աղյուսակ 2.1.2.53.-1. </w:t>
      </w:r>
      <w:r w:rsidRPr="00B834A2">
        <w:rPr>
          <w:sz w:val="24"/>
          <w:szCs w:val="24"/>
        </w:rPr>
        <w:t xml:space="preserve">Պոլիստիրոլի, պարացետամոլի </w:t>
      </w:r>
      <w:r>
        <w:rPr>
          <w:sz w:val="24"/>
          <w:szCs w:val="24"/>
        </w:rPr>
        <w:t>եւ</w:t>
      </w:r>
      <w:r w:rsidRPr="00B834A2">
        <w:rPr>
          <w:sz w:val="24"/>
          <w:szCs w:val="24"/>
        </w:rPr>
        <w:t xml:space="preserve"> ցիկլոհեքսանի համար ալիքային թվերի տեղաշարժերը (</w:t>
      </w:r>
      <w:r>
        <w:rPr>
          <w:sz w:val="24"/>
          <w:szCs w:val="24"/>
        </w:rPr>
        <w:t>եւ</w:t>
      </w:r>
      <w:r w:rsidRPr="00B834A2">
        <w:rPr>
          <w:sz w:val="24"/>
          <w:szCs w:val="24"/>
        </w:rPr>
        <w:t xml:space="preserve"> թույլատրելի շեղումները) </w:t>
      </w:r>
    </w:p>
    <w:tbl>
      <w:tblPr>
        <w:tblOverlap w:val="never"/>
        <w:tblW w:w="9427" w:type="dxa"/>
        <w:jc w:val="center"/>
        <w:tblLayout w:type="fixed"/>
        <w:tblCellMar>
          <w:left w:w="10" w:type="dxa"/>
          <w:right w:w="10" w:type="dxa"/>
        </w:tblCellMar>
        <w:tblLook w:val="04A0" w:firstRow="1" w:lastRow="0" w:firstColumn="1" w:lastColumn="0" w:noHBand="0" w:noVBand="1"/>
      </w:tblPr>
      <w:tblGrid>
        <w:gridCol w:w="1666"/>
        <w:gridCol w:w="2755"/>
        <w:gridCol w:w="2390"/>
        <w:gridCol w:w="2616"/>
      </w:tblGrid>
      <w:tr w:rsidR="00B834A2" w:rsidRPr="00B82F0D" w14:paraId="73ABC38D" w14:textId="77777777" w:rsidTr="00B82F0D">
        <w:trPr>
          <w:jc w:val="center"/>
        </w:trPr>
        <w:tc>
          <w:tcPr>
            <w:tcW w:w="1666" w:type="dxa"/>
            <w:vMerge w:val="restart"/>
            <w:tcBorders>
              <w:top w:val="single" w:sz="4" w:space="0" w:color="auto"/>
            </w:tcBorders>
            <w:shd w:val="clear" w:color="auto" w:fill="FFFFFF"/>
          </w:tcPr>
          <w:p w14:paraId="626F8678" w14:textId="77777777" w:rsidR="00B834A2" w:rsidRPr="00B82F0D" w:rsidRDefault="00B834A2" w:rsidP="00955E48">
            <w:pPr>
              <w:spacing w:after="120"/>
              <w:rPr>
                <w:sz w:val="20"/>
                <w:szCs w:val="20"/>
              </w:rPr>
            </w:pPr>
          </w:p>
        </w:tc>
        <w:tc>
          <w:tcPr>
            <w:tcW w:w="2755" w:type="dxa"/>
            <w:vMerge w:val="restart"/>
            <w:tcBorders>
              <w:top w:val="single" w:sz="4" w:space="0" w:color="auto"/>
            </w:tcBorders>
            <w:shd w:val="clear" w:color="auto" w:fill="FFFFFF"/>
          </w:tcPr>
          <w:p w14:paraId="6B8683CE" w14:textId="77777777" w:rsidR="00B834A2" w:rsidRPr="00B82F0D" w:rsidRDefault="00B834A2" w:rsidP="00955E48">
            <w:pPr>
              <w:pStyle w:val="Bodytext20"/>
              <w:shd w:val="clear" w:color="auto" w:fill="auto"/>
              <w:spacing w:before="0" w:line="240" w:lineRule="auto"/>
              <w:rPr>
                <w:rFonts w:ascii="Sylfaen" w:hAnsi="Sylfaen"/>
                <w:sz w:val="20"/>
                <w:szCs w:val="20"/>
                <w:lang w:val="en-US"/>
              </w:rPr>
            </w:pPr>
            <w:r w:rsidRPr="00B82F0D">
              <w:rPr>
                <w:rStyle w:val="Bodytext210pt"/>
              </w:rPr>
              <w:t>Ալիքային թվերի տեղաշարժեր, սմ</w:t>
            </w:r>
            <w:r w:rsidR="00B82F0D" w:rsidRPr="00B82F0D">
              <w:rPr>
                <w:rStyle w:val="Bodytext210pt"/>
                <w:vertAlign w:val="superscript"/>
                <w:lang w:val="en-US"/>
              </w:rPr>
              <w:t>-1</w:t>
            </w:r>
          </w:p>
        </w:tc>
        <w:tc>
          <w:tcPr>
            <w:tcW w:w="5006" w:type="dxa"/>
            <w:gridSpan w:val="2"/>
            <w:tcBorders>
              <w:top w:val="single" w:sz="4" w:space="0" w:color="auto"/>
            </w:tcBorders>
            <w:shd w:val="clear" w:color="auto" w:fill="FFFFFF"/>
          </w:tcPr>
          <w:p w14:paraId="227B6A5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Թույլատրելի շեղումներ</w:t>
            </w:r>
          </w:p>
        </w:tc>
      </w:tr>
      <w:tr w:rsidR="00B834A2" w:rsidRPr="00B82F0D" w14:paraId="73557A70" w14:textId="77777777" w:rsidTr="00B82F0D">
        <w:trPr>
          <w:jc w:val="center"/>
        </w:trPr>
        <w:tc>
          <w:tcPr>
            <w:tcW w:w="1666" w:type="dxa"/>
            <w:vMerge/>
            <w:shd w:val="clear" w:color="auto" w:fill="FFFFFF"/>
          </w:tcPr>
          <w:p w14:paraId="1F79F5A8" w14:textId="77777777" w:rsidR="00B834A2" w:rsidRPr="00B82F0D" w:rsidRDefault="00B834A2" w:rsidP="00955E48">
            <w:pPr>
              <w:spacing w:after="120"/>
              <w:rPr>
                <w:sz w:val="20"/>
                <w:szCs w:val="20"/>
              </w:rPr>
            </w:pPr>
          </w:p>
        </w:tc>
        <w:tc>
          <w:tcPr>
            <w:tcW w:w="2755" w:type="dxa"/>
            <w:vMerge/>
            <w:shd w:val="clear" w:color="auto" w:fill="FFFFFF"/>
          </w:tcPr>
          <w:p w14:paraId="24D1E435" w14:textId="77777777" w:rsidR="00B834A2" w:rsidRPr="00B82F0D" w:rsidRDefault="00B834A2" w:rsidP="00955E48">
            <w:pPr>
              <w:spacing w:after="120"/>
              <w:rPr>
                <w:sz w:val="20"/>
                <w:szCs w:val="20"/>
              </w:rPr>
            </w:pPr>
          </w:p>
        </w:tc>
        <w:tc>
          <w:tcPr>
            <w:tcW w:w="2390" w:type="dxa"/>
            <w:tcBorders>
              <w:top w:val="single" w:sz="4" w:space="0" w:color="auto"/>
            </w:tcBorders>
            <w:shd w:val="clear" w:color="auto" w:fill="FFFFFF"/>
          </w:tcPr>
          <w:p w14:paraId="232C853F" w14:textId="77777777" w:rsidR="00B834A2" w:rsidRPr="00B82F0D" w:rsidRDefault="00B834A2" w:rsidP="00163838">
            <w:pPr>
              <w:pStyle w:val="Bodytext20"/>
              <w:shd w:val="clear" w:color="auto" w:fill="auto"/>
              <w:spacing w:before="0" w:line="240" w:lineRule="auto"/>
              <w:rPr>
                <w:rFonts w:ascii="Sylfaen" w:hAnsi="Sylfaen"/>
                <w:sz w:val="20"/>
                <w:szCs w:val="20"/>
              </w:rPr>
            </w:pPr>
            <w:r w:rsidRPr="00B82F0D">
              <w:rPr>
                <w:rStyle w:val="Bodytext210pt"/>
              </w:rPr>
              <w:t>Սեղանի սարք, սմ</w:t>
            </w:r>
            <w:r w:rsidR="00B82F0D" w:rsidRPr="00B82F0D">
              <w:rPr>
                <w:rStyle w:val="Bodytext210pt"/>
                <w:vertAlign w:val="superscript"/>
                <w:lang w:val="en-US"/>
              </w:rPr>
              <w:t>-</w:t>
            </w:r>
            <w:r w:rsidRPr="00B82F0D">
              <w:rPr>
                <w:rStyle w:val="Bodytext210pt"/>
                <w:vertAlign w:val="superscript"/>
              </w:rPr>
              <w:t>1</w:t>
            </w:r>
          </w:p>
        </w:tc>
        <w:tc>
          <w:tcPr>
            <w:tcW w:w="2616" w:type="dxa"/>
            <w:tcBorders>
              <w:top w:val="single" w:sz="4" w:space="0" w:color="auto"/>
            </w:tcBorders>
            <w:shd w:val="clear" w:color="auto" w:fill="FFFFFF"/>
          </w:tcPr>
          <w:p w14:paraId="7E007A01" w14:textId="77777777" w:rsidR="00B834A2" w:rsidRPr="00B82F0D" w:rsidRDefault="00B834A2" w:rsidP="00163838">
            <w:pPr>
              <w:pStyle w:val="Bodytext20"/>
              <w:shd w:val="clear" w:color="auto" w:fill="auto"/>
              <w:spacing w:before="0" w:line="240" w:lineRule="auto"/>
              <w:rPr>
                <w:rFonts w:ascii="Sylfaen" w:hAnsi="Sylfaen"/>
                <w:sz w:val="20"/>
                <w:szCs w:val="20"/>
              </w:rPr>
            </w:pPr>
            <w:r w:rsidRPr="00B82F0D">
              <w:rPr>
                <w:rStyle w:val="Bodytext210pt"/>
              </w:rPr>
              <w:t>Շարժական սարք, սմ</w:t>
            </w:r>
            <w:r w:rsidR="00B82F0D" w:rsidRPr="00B82F0D">
              <w:rPr>
                <w:rStyle w:val="Bodytext210pt"/>
                <w:vertAlign w:val="superscript"/>
                <w:lang w:val="en-US"/>
              </w:rPr>
              <w:t>-</w:t>
            </w:r>
            <w:r w:rsidRPr="00B82F0D">
              <w:rPr>
                <w:rStyle w:val="Bodytext210pt"/>
                <w:vertAlign w:val="superscript"/>
              </w:rPr>
              <w:t>1</w:t>
            </w:r>
          </w:p>
        </w:tc>
      </w:tr>
      <w:tr w:rsidR="00B834A2" w:rsidRPr="00B82F0D" w14:paraId="40DDE81B" w14:textId="77777777" w:rsidTr="00B82F0D">
        <w:trPr>
          <w:jc w:val="center"/>
        </w:trPr>
        <w:tc>
          <w:tcPr>
            <w:tcW w:w="1666" w:type="dxa"/>
            <w:tcBorders>
              <w:top w:val="single" w:sz="4" w:space="0" w:color="auto"/>
            </w:tcBorders>
            <w:shd w:val="clear" w:color="auto" w:fill="FFFFFF"/>
          </w:tcPr>
          <w:p w14:paraId="3147011E" w14:textId="77777777" w:rsidR="00B834A2" w:rsidRPr="00B82F0D" w:rsidRDefault="00B834A2" w:rsidP="00B82F0D">
            <w:pPr>
              <w:pStyle w:val="Bodytext20"/>
              <w:shd w:val="clear" w:color="auto" w:fill="auto"/>
              <w:spacing w:before="0" w:line="240" w:lineRule="auto"/>
              <w:jc w:val="left"/>
              <w:rPr>
                <w:rFonts w:ascii="Sylfaen" w:hAnsi="Sylfaen"/>
                <w:sz w:val="20"/>
                <w:szCs w:val="20"/>
                <w:lang w:val="en-US"/>
              </w:rPr>
            </w:pPr>
            <w:r w:rsidRPr="00B82F0D">
              <w:rPr>
                <w:rStyle w:val="Bodytext210pt"/>
              </w:rPr>
              <w:t>Պոլիստիրոլ</w:t>
            </w:r>
            <w:r w:rsidR="00B82F0D" w:rsidRPr="00B82F0D">
              <w:rPr>
                <w:rFonts w:ascii="Sylfaen" w:eastAsia="Sylfaen" w:hAnsi="Sylfaen"/>
                <w:sz w:val="20"/>
                <w:szCs w:val="20"/>
                <w:vertAlign w:val="superscript"/>
                <w:lang w:val="en-US"/>
              </w:rPr>
              <w:t>1</w:t>
            </w:r>
          </w:p>
        </w:tc>
        <w:tc>
          <w:tcPr>
            <w:tcW w:w="2755" w:type="dxa"/>
            <w:tcBorders>
              <w:top w:val="single" w:sz="4" w:space="0" w:color="auto"/>
            </w:tcBorders>
            <w:shd w:val="clear" w:color="auto" w:fill="FFFFFF"/>
          </w:tcPr>
          <w:p w14:paraId="0C029B1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620,9</w:t>
            </w:r>
          </w:p>
        </w:tc>
        <w:tc>
          <w:tcPr>
            <w:tcW w:w="2390" w:type="dxa"/>
            <w:tcBorders>
              <w:top w:val="single" w:sz="4" w:space="0" w:color="auto"/>
            </w:tcBorders>
            <w:shd w:val="clear" w:color="auto" w:fill="FFFFFF"/>
          </w:tcPr>
          <w:p w14:paraId="5B03935F"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tcBorders>
              <w:top w:val="single" w:sz="4" w:space="0" w:color="auto"/>
            </w:tcBorders>
            <w:shd w:val="clear" w:color="auto" w:fill="FFFFFF"/>
          </w:tcPr>
          <w:p w14:paraId="33398632"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±2,5</w:t>
            </w:r>
          </w:p>
        </w:tc>
      </w:tr>
      <w:tr w:rsidR="00B834A2" w:rsidRPr="00B82F0D" w14:paraId="759BF842" w14:textId="77777777" w:rsidTr="00B82F0D">
        <w:trPr>
          <w:jc w:val="center"/>
        </w:trPr>
        <w:tc>
          <w:tcPr>
            <w:tcW w:w="1666" w:type="dxa"/>
            <w:shd w:val="clear" w:color="auto" w:fill="FFFFFF"/>
          </w:tcPr>
          <w:p w14:paraId="1C1E39A3" w14:textId="77777777" w:rsidR="00B834A2" w:rsidRPr="00B82F0D" w:rsidRDefault="00B834A2" w:rsidP="00955E48">
            <w:pPr>
              <w:spacing w:after="120"/>
              <w:rPr>
                <w:sz w:val="20"/>
                <w:szCs w:val="20"/>
              </w:rPr>
            </w:pPr>
          </w:p>
        </w:tc>
        <w:tc>
          <w:tcPr>
            <w:tcW w:w="2755" w:type="dxa"/>
            <w:shd w:val="clear" w:color="auto" w:fill="FFFFFF"/>
          </w:tcPr>
          <w:p w14:paraId="4E95F649"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1001,4</w:t>
            </w:r>
          </w:p>
        </w:tc>
        <w:tc>
          <w:tcPr>
            <w:tcW w:w="2390" w:type="dxa"/>
            <w:shd w:val="clear" w:color="auto" w:fill="FFFFFF"/>
          </w:tcPr>
          <w:p w14:paraId="6A1620B7"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6DF1F048"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5E2A8C42" w14:textId="77777777" w:rsidTr="00B82F0D">
        <w:trPr>
          <w:jc w:val="center"/>
        </w:trPr>
        <w:tc>
          <w:tcPr>
            <w:tcW w:w="1666" w:type="dxa"/>
            <w:shd w:val="clear" w:color="auto" w:fill="FFFFFF"/>
          </w:tcPr>
          <w:p w14:paraId="7B8FF0C9" w14:textId="77777777" w:rsidR="00B834A2" w:rsidRPr="00B82F0D" w:rsidRDefault="00B834A2" w:rsidP="00955E48">
            <w:pPr>
              <w:spacing w:after="120"/>
              <w:rPr>
                <w:sz w:val="20"/>
                <w:szCs w:val="20"/>
              </w:rPr>
            </w:pPr>
          </w:p>
        </w:tc>
        <w:tc>
          <w:tcPr>
            <w:tcW w:w="2755" w:type="dxa"/>
            <w:shd w:val="clear" w:color="auto" w:fill="FFFFFF"/>
          </w:tcPr>
          <w:p w14:paraId="5C15561D"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1031,8</w:t>
            </w:r>
          </w:p>
        </w:tc>
        <w:tc>
          <w:tcPr>
            <w:tcW w:w="2390" w:type="dxa"/>
            <w:shd w:val="clear" w:color="auto" w:fill="FFFFFF"/>
          </w:tcPr>
          <w:p w14:paraId="3995838E"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37E4C37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508CF198" w14:textId="77777777" w:rsidTr="00B82F0D">
        <w:trPr>
          <w:jc w:val="center"/>
        </w:trPr>
        <w:tc>
          <w:tcPr>
            <w:tcW w:w="1666" w:type="dxa"/>
            <w:shd w:val="clear" w:color="auto" w:fill="FFFFFF"/>
          </w:tcPr>
          <w:p w14:paraId="2153A163" w14:textId="77777777" w:rsidR="00B834A2" w:rsidRPr="00B82F0D" w:rsidRDefault="00B834A2" w:rsidP="00955E48">
            <w:pPr>
              <w:spacing w:after="120"/>
              <w:rPr>
                <w:sz w:val="20"/>
                <w:szCs w:val="20"/>
              </w:rPr>
            </w:pPr>
          </w:p>
        </w:tc>
        <w:tc>
          <w:tcPr>
            <w:tcW w:w="2755" w:type="dxa"/>
            <w:shd w:val="clear" w:color="auto" w:fill="FFFFFF"/>
          </w:tcPr>
          <w:p w14:paraId="20630B8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1602,3</w:t>
            </w:r>
          </w:p>
        </w:tc>
        <w:tc>
          <w:tcPr>
            <w:tcW w:w="2390" w:type="dxa"/>
            <w:shd w:val="clear" w:color="auto" w:fill="FFFFFF"/>
          </w:tcPr>
          <w:p w14:paraId="12BE65EE"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2D59292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±3,0</w:t>
            </w:r>
          </w:p>
        </w:tc>
      </w:tr>
      <w:tr w:rsidR="00B834A2" w:rsidRPr="00B82F0D" w14:paraId="3EB733BE" w14:textId="77777777" w:rsidTr="00B82F0D">
        <w:trPr>
          <w:jc w:val="center"/>
        </w:trPr>
        <w:tc>
          <w:tcPr>
            <w:tcW w:w="1666" w:type="dxa"/>
            <w:shd w:val="clear" w:color="auto" w:fill="FFFFFF"/>
          </w:tcPr>
          <w:p w14:paraId="4A1D3D0B" w14:textId="77777777" w:rsidR="00B834A2" w:rsidRPr="00B82F0D" w:rsidRDefault="00B834A2" w:rsidP="00955E48">
            <w:pPr>
              <w:spacing w:after="120"/>
              <w:rPr>
                <w:sz w:val="20"/>
                <w:szCs w:val="20"/>
              </w:rPr>
            </w:pPr>
          </w:p>
        </w:tc>
        <w:tc>
          <w:tcPr>
            <w:tcW w:w="2755" w:type="dxa"/>
            <w:shd w:val="clear" w:color="auto" w:fill="FFFFFF"/>
          </w:tcPr>
          <w:p w14:paraId="5EBBAD4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3054,3</w:t>
            </w:r>
          </w:p>
        </w:tc>
        <w:tc>
          <w:tcPr>
            <w:tcW w:w="2390" w:type="dxa"/>
            <w:shd w:val="clear" w:color="auto" w:fill="FFFFFF"/>
          </w:tcPr>
          <w:p w14:paraId="60F283C8"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±3,0</w:t>
            </w:r>
          </w:p>
        </w:tc>
        <w:tc>
          <w:tcPr>
            <w:tcW w:w="2616" w:type="dxa"/>
            <w:shd w:val="clear" w:color="auto" w:fill="FFFFFF"/>
          </w:tcPr>
          <w:p w14:paraId="52B68272"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 xml:space="preserve">Կիրառելի չէ </w:t>
            </w:r>
            <w:r w:rsidRPr="00B82F0D">
              <w:rPr>
                <w:rStyle w:val="Bodytext210pt"/>
                <w:vertAlign w:val="superscript"/>
              </w:rPr>
              <w:t>4</w:t>
            </w:r>
          </w:p>
        </w:tc>
      </w:tr>
      <w:tr w:rsidR="00B834A2" w:rsidRPr="00B82F0D" w14:paraId="12537916" w14:textId="77777777" w:rsidTr="00B82F0D">
        <w:trPr>
          <w:jc w:val="center"/>
        </w:trPr>
        <w:tc>
          <w:tcPr>
            <w:tcW w:w="1666" w:type="dxa"/>
            <w:tcBorders>
              <w:top w:val="single" w:sz="4" w:space="0" w:color="auto"/>
            </w:tcBorders>
            <w:shd w:val="clear" w:color="auto" w:fill="FFFFFF"/>
          </w:tcPr>
          <w:p w14:paraId="1548E22F" w14:textId="77777777" w:rsidR="00B834A2" w:rsidRPr="00B82F0D" w:rsidRDefault="00B834A2" w:rsidP="00B82F0D">
            <w:pPr>
              <w:pStyle w:val="Bodytext20"/>
              <w:shd w:val="clear" w:color="auto" w:fill="auto"/>
              <w:spacing w:before="0" w:line="240" w:lineRule="auto"/>
              <w:jc w:val="left"/>
              <w:rPr>
                <w:rFonts w:ascii="Sylfaen" w:hAnsi="Sylfaen"/>
                <w:sz w:val="20"/>
                <w:szCs w:val="20"/>
                <w:lang w:val="en-US"/>
              </w:rPr>
            </w:pPr>
            <w:r w:rsidRPr="00B82F0D">
              <w:rPr>
                <w:rStyle w:val="Bodytext210pt"/>
              </w:rPr>
              <w:t>Պարացետամոլ</w:t>
            </w:r>
            <w:r w:rsidR="00B82F0D" w:rsidRPr="00B82F0D">
              <w:rPr>
                <w:rFonts w:ascii="Sylfaen" w:eastAsia="Sylfaen" w:hAnsi="Sylfaen"/>
                <w:sz w:val="20"/>
                <w:szCs w:val="20"/>
                <w:vertAlign w:val="superscript"/>
                <w:lang w:val="en-US"/>
              </w:rPr>
              <w:t>2</w:t>
            </w:r>
          </w:p>
        </w:tc>
        <w:tc>
          <w:tcPr>
            <w:tcW w:w="2755" w:type="dxa"/>
            <w:tcBorders>
              <w:top w:val="single" w:sz="4" w:space="0" w:color="auto"/>
            </w:tcBorders>
            <w:shd w:val="clear" w:color="auto" w:fill="FFFFFF"/>
          </w:tcPr>
          <w:p w14:paraId="2819D69B"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797,2</w:t>
            </w:r>
          </w:p>
        </w:tc>
        <w:tc>
          <w:tcPr>
            <w:tcW w:w="2390" w:type="dxa"/>
            <w:tcBorders>
              <w:top w:val="single" w:sz="4" w:space="0" w:color="auto"/>
            </w:tcBorders>
            <w:shd w:val="clear" w:color="auto" w:fill="FFFFFF"/>
          </w:tcPr>
          <w:p w14:paraId="024AAE43"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tcBorders>
              <w:top w:val="single" w:sz="4" w:space="0" w:color="auto"/>
            </w:tcBorders>
            <w:shd w:val="clear" w:color="auto" w:fill="FFFFFF"/>
          </w:tcPr>
          <w:p w14:paraId="060BEB6D"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±2,5</w:t>
            </w:r>
          </w:p>
        </w:tc>
      </w:tr>
      <w:tr w:rsidR="00B834A2" w:rsidRPr="00B82F0D" w14:paraId="3A104BBE" w14:textId="77777777" w:rsidTr="00B82F0D">
        <w:trPr>
          <w:jc w:val="center"/>
        </w:trPr>
        <w:tc>
          <w:tcPr>
            <w:tcW w:w="1666" w:type="dxa"/>
            <w:shd w:val="clear" w:color="auto" w:fill="FFFFFF"/>
          </w:tcPr>
          <w:p w14:paraId="27590C36" w14:textId="77777777" w:rsidR="00B834A2" w:rsidRPr="00B82F0D" w:rsidRDefault="00B834A2" w:rsidP="00955E48">
            <w:pPr>
              <w:spacing w:after="120"/>
              <w:rPr>
                <w:sz w:val="20"/>
                <w:szCs w:val="20"/>
              </w:rPr>
            </w:pPr>
          </w:p>
        </w:tc>
        <w:tc>
          <w:tcPr>
            <w:tcW w:w="2755" w:type="dxa"/>
            <w:shd w:val="clear" w:color="auto" w:fill="FFFFFF"/>
          </w:tcPr>
          <w:p w14:paraId="1E364C4C"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857,9</w:t>
            </w:r>
          </w:p>
        </w:tc>
        <w:tc>
          <w:tcPr>
            <w:tcW w:w="2390" w:type="dxa"/>
            <w:shd w:val="clear" w:color="auto" w:fill="FFFFFF"/>
          </w:tcPr>
          <w:p w14:paraId="2419C52F"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0BAE556F"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1CF3210B" w14:textId="77777777" w:rsidTr="00B82F0D">
        <w:trPr>
          <w:jc w:val="center"/>
        </w:trPr>
        <w:tc>
          <w:tcPr>
            <w:tcW w:w="1666" w:type="dxa"/>
            <w:shd w:val="clear" w:color="auto" w:fill="FFFFFF"/>
          </w:tcPr>
          <w:p w14:paraId="1E369400" w14:textId="77777777" w:rsidR="00B834A2" w:rsidRPr="00B82F0D" w:rsidRDefault="00B834A2" w:rsidP="00955E48">
            <w:pPr>
              <w:spacing w:after="120"/>
              <w:rPr>
                <w:sz w:val="20"/>
                <w:szCs w:val="20"/>
              </w:rPr>
            </w:pPr>
          </w:p>
        </w:tc>
        <w:tc>
          <w:tcPr>
            <w:tcW w:w="2755" w:type="dxa"/>
            <w:shd w:val="clear" w:color="auto" w:fill="FFFFFF"/>
          </w:tcPr>
          <w:p w14:paraId="2ED8893C"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1168,5</w:t>
            </w:r>
          </w:p>
        </w:tc>
        <w:tc>
          <w:tcPr>
            <w:tcW w:w="2390" w:type="dxa"/>
            <w:shd w:val="clear" w:color="auto" w:fill="FFFFFF"/>
          </w:tcPr>
          <w:p w14:paraId="44159658"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0B3575C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6667963C" w14:textId="77777777" w:rsidTr="00B82F0D">
        <w:trPr>
          <w:jc w:val="center"/>
        </w:trPr>
        <w:tc>
          <w:tcPr>
            <w:tcW w:w="1666" w:type="dxa"/>
            <w:shd w:val="clear" w:color="auto" w:fill="FFFFFF"/>
          </w:tcPr>
          <w:p w14:paraId="364751C1" w14:textId="77777777" w:rsidR="00B834A2" w:rsidRPr="00B82F0D" w:rsidRDefault="00B834A2" w:rsidP="00955E48">
            <w:pPr>
              <w:spacing w:after="120"/>
              <w:rPr>
                <w:sz w:val="20"/>
                <w:szCs w:val="20"/>
              </w:rPr>
            </w:pPr>
          </w:p>
        </w:tc>
        <w:tc>
          <w:tcPr>
            <w:tcW w:w="2755" w:type="dxa"/>
            <w:shd w:val="clear" w:color="auto" w:fill="FFFFFF"/>
          </w:tcPr>
          <w:p w14:paraId="691819C6"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1236,8</w:t>
            </w:r>
          </w:p>
        </w:tc>
        <w:tc>
          <w:tcPr>
            <w:tcW w:w="2390" w:type="dxa"/>
            <w:shd w:val="clear" w:color="auto" w:fill="FFFFFF"/>
          </w:tcPr>
          <w:p w14:paraId="5CA1B7C4"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4313B730"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3A29F3C1" w14:textId="77777777" w:rsidTr="00B82F0D">
        <w:trPr>
          <w:jc w:val="center"/>
        </w:trPr>
        <w:tc>
          <w:tcPr>
            <w:tcW w:w="1666" w:type="dxa"/>
            <w:shd w:val="clear" w:color="auto" w:fill="FFFFFF"/>
          </w:tcPr>
          <w:p w14:paraId="2EFB67EB" w14:textId="77777777" w:rsidR="00B834A2" w:rsidRPr="00B82F0D" w:rsidRDefault="00B834A2" w:rsidP="00955E48">
            <w:pPr>
              <w:spacing w:after="120"/>
              <w:rPr>
                <w:sz w:val="20"/>
                <w:szCs w:val="20"/>
              </w:rPr>
            </w:pPr>
          </w:p>
        </w:tc>
        <w:tc>
          <w:tcPr>
            <w:tcW w:w="2755" w:type="dxa"/>
            <w:shd w:val="clear" w:color="auto" w:fill="FFFFFF"/>
          </w:tcPr>
          <w:p w14:paraId="7DCE8054"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1323,9</w:t>
            </w:r>
          </w:p>
        </w:tc>
        <w:tc>
          <w:tcPr>
            <w:tcW w:w="2390" w:type="dxa"/>
            <w:shd w:val="clear" w:color="auto" w:fill="FFFFFF"/>
          </w:tcPr>
          <w:p w14:paraId="761E0E2C"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7A12B155"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±2,5</w:t>
            </w:r>
          </w:p>
        </w:tc>
      </w:tr>
      <w:tr w:rsidR="00B834A2" w:rsidRPr="00B82F0D" w14:paraId="048BABB3" w14:textId="77777777" w:rsidTr="00B82F0D">
        <w:trPr>
          <w:jc w:val="center"/>
        </w:trPr>
        <w:tc>
          <w:tcPr>
            <w:tcW w:w="1666" w:type="dxa"/>
            <w:shd w:val="clear" w:color="auto" w:fill="FFFFFF"/>
          </w:tcPr>
          <w:p w14:paraId="7678FFE9" w14:textId="77777777" w:rsidR="00B834A2" w:rsidRPr="00B82F0D" w:rsidRDefault="00B834A2" w:rsidP="00955E48">
            <w:pPr>
              <w:spacing w:after="120"/>
              <w:rPr>
                <w:sz w:val="20"/>
                <w:szCs w:val="20"/>
              </w:rPr>
            </w:pPr>
          </w:p>
        </w:tc>
        <w:tc>
          <w:tcPr>
            <w:tcW w:w="2755" w:type="dxa"/>
            <w:shd w:val="clear" w:color="auto" w:fill="FFFFFF"/>
          </w:tcPr>
          <w:p w14:paraId="1AFE94D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1648,4</w:t>
            </w:r>
          </w:p>
        </w:tc>
        <w:tc>
          <w:tcPr>
            <w:tcW w:w="2390" w:type="dxa"/>
            <w:shd w:val="clear" w:color="auto" w:fill="FFFFFF"/>
          </w:tcPr>
          <w:p w14:paraId="339FE37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shd w:val="clear" w:color="auto" w:fill="FFFFFF"/>
          </w:tcPr>
          <w:p w14:paraId="17E69916"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±3,0</w:t>
            </w:r>
          </w:p>
        </w:tc>
      </w:tr>
      <w:tr w:rsidR="00B834A2" w:rsidRPr="00B82F0D" w14:paraId="0F47F724" w14:textId="77777777" w:rsidTr="00B82F0D">
        <w:trPr>
          <w:jc w:val="center"/>
        </w:trPr>
        <w:tc>
          <w:tcPr>
            <w:tcW w:w="1666" w:type="dxa"/>
            <w:shd w:val="clear" w:color="auto" w:fill="FFFFFF"/>
          </w:tcPr>
          <w:p w14:paraId="7D46A92C" w14:textId="77777777" w:rsidR="00B834A2" w:rsidRPr="00B82F0D" w:rsidRDefault="00B834A2" w:rsidP="00955E48">
            <w:pPr>
              <w:spacing w:after="120"/>
              <w:rPr>
                <w:sz w:val="20"/>
                <w:szCs w:val="20"/>
              </w:rPr>
            </w:pPr>
          </w:p>
        </w:tc>
        <w:tc>
          <w:tcPr>
            <w:tcW w:w="2755" w:type="dxa"/>
            <w:shd w:val="clear" w:color="auto" w:fill="FFFFFF"/>
          </w:tcPr>
          <w:p w14:paraId="1AD4F133"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2931,1</w:t>
            </w:r>
          </w:p>
        </w:tc>
        <w:tc>
          <w:tcPr>
            <w:tcW w:w="2390" w:type="dxa"/>
            <w:shd w:val="clear" w:color="auto" w:fill="FFFFFF"/>
          </w:tcPr>
          <w:p w14:paraId="763600E0"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c>
          <w:tcPr>
            <w:tcW w:w="2616" w:type="dxa"/>
            <w:shd w:val="clear" w:color="auto" w:fill="FFFFFF"/>
          </w:tcPr>
          <w:p w14:paraId="10CC78EE" w14:textId="77777777" w:rsidR="00B834A2" w:rsidRPr="00B82F0D" w:rsidRDefault="00B834A2" w:rsidP="00B82F0D">
            <w:pPr>
              <w:pStyle w:val="Bodytext20"/>
              <w:shd w:val="clear" w:color="auto" w:fill="auto"/>
              <w:spacing w:before="0" w:line="240" w:lineRule="auto"/>
              <w:rPr>
                <w:rFonts w:ascii="Sylfaen" w:hAnsi="Sylfaen"/>
                <w:sz w:val="20"/>
                <w:szCs w:val="20"/>
                <w:lang w:val="en-US"/>
              </w:rPr>
            </w:pPr>
            <w:r w:rsidRPr="00B82F0D">
              <w:rPr>
                <w:rStyle w:val="Bodytext210pt"/>
              </w:rPr>
              <w:t xml:space="preserve">Կիրառելի չէ </w:t>
            </w:r>
            <w:r w:rsidR="00B82F0D" w:rsidRPr="00B82F0D">
              <w:rPr>
                <w:rFonts w:ascii="Sylfaen" w:eastAsia="Sylfaen" w:hAnsi="Sylfaen" w:cs="Sylfaen"/>
                <w:sz w:val="20"/>
                <w:szCs w:val="20"/>
                <w:shd w:val="clear" w:color="auto" w:fill="FFFFFF"/>
                <w:vertAlign w:val="superscript"/>
                <w:lang w:val="en-US"/>
              </w:rPr>
              <w:t>4</w:t>
            </w:r>
          </w:p>
        </w:tc>
      </w:tr>
      <w:tr w:rsidR="00B834A2" w:rsidRPr="00B82F0D" w14:paraId="7B1B12B1" w14:textId="77777777" w:rsidTr="00B82F0D">
        <w:trPr>
          <w:jc w:val="center"/>
        </w:trPr>
        <w:tc>
          <w:tcPr>
            <w:tcW w:w="1666" w:type="dxa"/>
            <w:tcBorders>
              <w:top w:val="single" w:sz="4" w:space="0" w:color="auto"/>
            </w:tcBorders>
            <w:shd w:val="clear" w:color="auto" w:fill="FFFFFF"/>
          </w:tcPr>
          <w:p w14:paraId="56E0C7CA" w14:textId="77777777" w:rsidR="00B834A2" w:rsidRPr="00B82F0D" w:rsidRDefault="00B834A2" w:rsidP="00B82F0D">
            <w:pPr>
              <w:pStyle w:val="Bodytext20"/>
              <w:shd w:val="clear" w:color="auto" w:fill="auto"/>
              <w:spacing w:before="0" w:line="240" w:lineRule="auto"/>
              <w:jc w:val="left"/>
              <w:rPr>
                <w:rFonts w:ascii="Sylfaen" w:hAnsi="Sylfaen"/>
                <w:sz w:val="20"/>
                <w:szCs w:val="20"/>
                <w:lang w:val="en-US"/>
              </w:rPr>
            </w:pPr>
            <w:r w:rsidRPr="00B82F0D">
              <w:rPr>
                <w:rStyle w:val="Bodytext210pt"/>
              </w:rPr>
              <w:t>Ցիկլոհեքսան</w:t>
            </w:r>
            <w:r w:rsidR="00B82F0D" w:rsidRPr="00B82F0D">
              <w:rPr>
                <w:rFonts w:ascii="Sylfaen" w:eastAsia="Sylfaen" w:hAnsi="Sylfaen"/>
                <w:sz w:val="20"/>
                <w:szCs w:val="20"/>
                <w:vertAlign w:val="superscript"/>
                <w:lang w:val="en-US"/>
              </w:rPr>
              <w:t>3</w:t>
            </w:r>
          </w:p>
        </w:tc>
        <w:tc>
          <w:tcPr>
            <w:tcW w:w="2755" w:type="dxa"/>
            <w:tcBorders>
              <w:top w:val="single" w:sz="4" w:space="0" w:color="auto"/>
            </w:tcBorders>
            <w:shd w:val="clear" w:color="auto" w:fill="FFFFFF"/>
          </w:tcPr>
          <w:p w14:paraId="085D7491"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801,3</w:t>
            </w:r>
          </w:p>
        </w:tc>
        <w:tc>
          <w:tcPr>
            <w:tcW w:w="2390" w:type="dxa"/>
            <w:tcBorders>
              <w:top w:val="single" w:sz="4" w:space="0" w:color="auto"/>
            </w:tcBorders>
            <w:shd w:val="clear" w:color="auto" w:fill="FFFFFF"/>
          </w:tcPr>
          <w:p w14:paraId="044D8C89"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±1,5</w:t>
            </w:r>
          </w:p>
        </w:tc>
        <w:tc>
          <w:tcPr>
            <w:tcW w:w="2616" w:type="dxa"/>
            <w:tcBorders>
              <w:top w:val="single" w:sz="4" w:space="0" w:color="auto"/>
            </w:tcBorders>
            <w:shd w:val="clear" w:color="auto" w:fill="FFFFFF"/>
          </w:tcPr>
          <w:p w14:paraId="2E151D8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±2,5</w:t>
            </w:r>
          </w:p>
        </w:tc>
      </w:tr>
      <w:tr w:rsidR="00B834A2" w:rsidRPr="00B82F0D" w14:paraId="7C9BDA92" w14:textId="77777777" w:rsidTr="00B82F0D">
        <w:trPr>
          <w:jc w:val="center"/>
        </w:trPr>
        <w:tc>
          <w:tcPr>
            <w:tcW w:w="1666" w:type="dxa"/>
            <w:shd w:val="clear" w:color="auto" w:fill="FFFFFF"/>
          </w:tcPr>
          <w:p w14:paraId="58A90F27" w14:textId="77777777" w:rsidR="00B834A2" w:rsidRPr="00B82F0D" w:rsidRDefault="00B834A2" w:rsidP="00955E48">
            <w:pPr>
              <w:spacing w:after="120"/>
              <w:rPr>
                <w:sz w:val="20"/>
                <w:szCs w:val="20"/>
              </w:rPr>
            </w:pPr>
          </w:p>
        </w:tc>
        <w:tc>
          <w:tcPr>
            <w:tcW w:w="2755" w:type="dxa"/>
            <w:shd w:val="clear" w:color="auto" w:fill="FFFFFF"/>
          </w:tcPr>
          <w:p w14:paraId="68B738F0"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1028,3</w:t>
            </w:r>
          </w:p>
        </w:tc>
        <w:tc>
          <w:tcPr>
            <w:tcW w:w="2390" w:type="dxa"/>
            <w:shd w:val="clear" w:color="auto" w:fill="FFFFFF"/>
          </w:tcPr>
          <w:p w14:paraId="58102CFF"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w:t>
            </w:r>
          </w:p>
        </w:tc>
        <w:tc>
          <w:tcPr>
            <w:tcW w:w="2616" w:type="dxa"/>
            <w:shd w:val="clear" w:color="auto" w:fill="FFFFFF"/>
          </w:tcPr>
          <w:p w14:paraId="7F9B1C5B"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50ABF824" w14:textId="77777777" w:rsidTr="00B82F0D">
        <w:trPr>
          <w:jc w:val="center"/>
        </w:trPr>
        <w:tc>
          <w:tcPr>
            <w:tcW w:w="1666" w:type="dxa"/>
            <w:shd w:val="clear" w:color="auto" w:fill="FFFFFF"/>
          </w:tcPr>
          <w:p w14:paraId="021D1BA3" w14:textId="77777777" w:rsidR="00B834A2" w:rsidRPr="00B82F0D" w:rsidRDefault="00B834A2" w:rsidP="00955E48">
            <w:pPr>
              <w:spacing w:after="120"/>
              <w:rPr>
                <w:sz w:val="20"/>
                <w:szCs w:val="20"/>
              </w:rPr>
            </w:pPr>
          </w:p>
        </w:tc>
        <w:tc>
          <w:tcPr>
            <w:tcW w:w="2755" w:type="dxa"/>
            <w:shd w:val="clear" w:color="auto" w:fill="FFFFFF"/>
          </w:tcPr>
          <w:p w14:paraId="31B9F4C9"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1266,4</w:t>
            </w:r>
          </w:p>
        </w:tc>
        <w:tc>
          <w:tcPr>
            <w:tcW w:w="2390" w:type="dxa"/>
            <w:shd w:val="clear" w:color="auto" w:fill="FFFFFF"/>
          </w:tcPr>
          <w:p w14:paraId="45F0A22E"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w:t>
            </w:r>
          </w:p>
        </w:tc>
        <w:tc>
          <w:tcPr>
            <w:tcW w:w="2616" w:type="dxa"/>
            <w:shd w:val="clear" w:color="auto" w:fill="FFFFFF"/>
          </w:tcPr>
          <w:p w14:paraId="3B8AA36A"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r>
      <w:tr w:rsidR="00B834A2" w:rsidRPr="00B82F0D" w14:paraId="5A999E2C" w14:textId="77777777" w:rsidTr="00B82F0D">
        <w:trPr>
          <w:jc w:val="center"/>
        </w:trPr>
        <w:tc>
          <w:tcPr>
            <w:tcW w:w="1666" w:type="dxa"/>
            <w:shd w:val="clear" w:color="auto" w:fill="FFFFFF"/>
          </w:tcPr>
          <w:p w14:paraId="705B66B9" w14:textId="77777777" w:rsidR="00B834A2" w:rsidRPr="00B82F0D" w:rsidRDefault="00B834A2" w:rsidP="00955E48">
            <w:pPr>
              <w:spacing w:after="120"/>
              <w:rPr>
                <w:sz w:val="20"/>
                <w:szCs w:val="20"/>
              </w:rPr>
            </w:pPr>
          </w:p>
        </w:tc>
        <w:tc>
          <w:tcPr>
            <w:tcW w:w="2755" w:type="dxa"/>
            <w:shd w:val="clear" w:color="auto" w:fill="FFFFFF"/>
          </w:tcPr>
          <w:p w14:paraId="7D80CBC0"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1444,4</w:t>
            </w:r>
          </w:p>
        </w:tc>
        <w:tc>
          <w:tcPr>
            <w:tcW w:w="2390" w:type="dxa"/>
            <w:shd w:val="clear" w:color="auto" w:fill="FFFFFF"/>
          </w:tcPr>
          <w:p w14:paraId="51159164"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±1,0</w:t>
            </w:r>
          </w:p>
        </w:tc>
        <w:tc>
          <w:tcPr>
            <w:tcW w:w="2616" w:type="dxa"/>
            <w:shd w:val="clear" w:color="auto" w:fill="FFFFFF"/>
          </w:tcPr>
          <w:p w14:paraId="437780EB"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±2,5</w:t>
            </w:r>
          </w:p>
        </w:tc>
      </w:tr>
      <w:tr w:rsidR="00B834A2" w:rsidRPr="00B82F0D" w14:paraId="59FA42CF" w14:textId="77777777" w:rsidTr="00B82F0D">
        <w:trPr>
          <w:jc w:val="center"/>
        </w:trPr>
        <w:tc>
          <w:tcPr>
            <w:tcW w:w="1666" w:type="dxa"/>
            <w:tcBorders>
              <w:bottom w:val="single" w:sz="4" w:space="0" w:color="auto"/>
            </w:tcBorders>
            <w:shd w:val="clear" w:color="auto" w:fill="FFFFFF"/>
          </w:tcPr>
          <w:p w14:paraId="5255DFEA" w14:textId="77777777" w:rsidR="00B834A2" w:rsidRPr="00B82F0D" w:rsidRDefault="00B834A2" w:rsidP="00955E48">
            <w:pPr>
              <w:spacing w:after="120"/>
              <w:rPr>
                <w:sz w:val="20"/>
                <w:szCs w:val="20"/>
              </w:rPr>
            </w:pPr>
          </w:p>
        </w:tc>
        <w:tc>
          <w:tcPr>
            <w:tcW w:w="2755" w:type="dxa"/>
            <w:tcBorders>
              <w:bottom w:val="single" w:sz="4" w:space="0" w:color="auto"/>
            </w:tcBorders>
            <w:shd w:val="clear" w:color="auto" w:fill="FFFFFF"/>
          </w:tcPr>
          <w:p w14:paraId="437BFD5B"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2852,9</w:t>
            </w:r>
          </w:p>
        </w:tc>
        <w:tc>
          <w:tcPr>
            <w:tcW w:w="2390" w:type="dxa"/>
            <w:tcBorders>
              <w:bottom w:val="single" w:sz="4" w:space="0" w:color="auto"/>
            </w:tcBorders>
            <w:shd w:val="clear" w:color="auto" w:fill="FFFFFF"/>
          </w:tcPr>
          <w:p w14:paraId="06B374BD"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±2,0</w:t>
            </w:r>
          </w:p>
        </w:tc>
        <w:tc>
          <w:tcPr>
            <w:tcW w:w="2616" w:type="dxa"/>
            <w:tcBorders>
              <w:bottom w:val="single" w:sz="4" w:space="0" w:color="auto"/>
            </w:tcBorders>
            <w:shd w:val="clear" w:color="auto" w:fill="FFFFFF"/>
          </w:tcPr>
          <w:p w14:paraId="2D92209F" w14:textId="77777777" w:rsidR="00B834A2" w:rsidRPr="00B82F0D" w:rsidRDefault="00B834A2" w:rsidP="00955E48">
            <w:pPr>
              <w:pStyle w:val="Bodytext20"/>
              <w:shd w:val="clear" w:color="auto" w:fill="auto"/>
              <w:spacing w:before="0" w:line="240" w:lineRule="auto"/>
              <w:rPr>
                <w:rFonts w:ascii="Sylfaen" w:hAnsi="Sylfaen"/>
                <w:sz w:val="20"/>
                <w:szCs w:val="20"/>
              </w:rPr>
            </w:pPr>
            <w:r w:rsidRPr="00B82F0D">
              <w:rPr>
                <w:rStyle w:val="Bodytext210pt"/>
              </w:rPr>
              <w:t>±3,0</w:t>
            </w:r>
          </w:p>
        </w:tc>
      </w:tr>
    </w:tbl>
    <w:p w14:paraId="70E1F13D" w14:textId="77777777" w:rsidR="00163838" w:rsidRDefault="00163838" w:rsidP="00DE4F37">
      <w:pPr>
        <w:pStyle w:val="FootnoteText"/>
        <w:spacing w:after="160" w:line="360" w:lineRule="auto"/>
        <w:jc w:val="both"/>
        <w:rPr>
          <w:rFonts w:ascii="Sylfaen" w:hAnsi="Sylfaen"/>
          <w:lang w:val="en-US"/>
        </w:rPr>
      </w:pPr>
    </w:p>
    <w:p w14:paraId="26F09C89" w14:textId="77777777" w:rsidR="00B82F0D" w:rsidRPr="00B82F0D" w:rsidRDefault="00B82F0D" w:rsidP="00DE4F37">
      <w:pPr>
        <w:pStyle w:val="FootnoteText"/>
        <w:spacing w:after="160" w:line="360" w:lineRule="auto"/>
        <w:jc w:val="both"/>
        <w:rPr>
          <w:rFonts w:ascii="Sylfaen" w:hAnsi="Sylfaen"/>
        </w:rPr>
      </w:pPr>
      <w:r w:rsidRPr="00B82F0D">
        <w:rPr>
          <w:rStyle w:val="FootnoteReference"/>
          <w:rFonts w:ascii="Sylfaen" w:hAnsi="Sylfaen"/>
        </w:rPr>
        <w:t>1</w:t>
      </w:r>
      <w:r w:rsidRPr="00B82F0D">
        <w:rPr>
          <w:rFonts w:ascii="Sylfaen" w:hAnsi="Sylfaen"/>
        </w:rPr>
        <w:t xml:space="preserve"> </w:t>
      </w:r>
      <w:r w:rsidRPr="00B82F0D">
        <w:rPr>
          <w:rStyle w:val="Tablecaption310pt"/>
        </w:rPr>
        <w:t>Օգտագործում են պոլիստիրոլային թաղանթ (օրինակ՝ 76 մկմ հաստությամբ), հատիկներ կամ ձող:</w:t>
      </w:r>
    </w:p>
    <w:p w14:paraId="77B1F27B" w14:textId="77777777" w:rsidR="00B82F0D" w:rsidRPr="00B42439" w:rsidRDefault="00B82F0D" w:rsidP="00DE4F37">
      <w:pPr>
        <w:pStyle w:val="FootnoteText"/>
        <w:spacing w:after="160" w:line="360" w:lineRule="auto"/>
        <w:jc w:val="both"/>
        <w:rPr>
          <w:rFonts w:ascii="Sylfaen" w:hAnsi="Sylfaen"/>
          <w:spacing w:val="4"/>
        </w:rPr>
      </w:pPr>
      <w:r w:rsidRPr="00B42439">
        <w:rPr>
          <w:rStyle w:val="FootnoteReference"/>
          <w:rFonts w:ascii="Sylfaen" w:hAnsi="Sylfaen"/>
          <w:spacing w:val="4"/>
        </w:rPr>
        <w:t>2</w:t>
      </w:r>
      <w:r w:rsidRPr="00B42439">
        <w:rPr>
          <w:rFonts w:ascii="Sylfaen" w:hAnsi="Sylfaen"/>
          <w:spacing w:val="4"/>
        </w:rPr>
        <w:t xml:space="preserve"> Որպես I մոնոկլինալ ձեւ՝ սարքավորումների որակավորման համար պարացետամոլի ԵԱՏՄԴ ՍՆ:</w:t>
      </w:r>
    </w:p>
    <w:p w14:paraId="00B05A2A" w14:textId="77777777" w:rsidR="00B82F0D" w:rsidRPr="00B82F0D" w:rsidRDefault="00B82F0D" w:rsidP="00DE4F37">
      <w:pPr>
        <w:pStyle w:val="FootnoteText"/>
        <w:spacing w:after="160" w:line="360" w:lineRule="auto"/>
        <w:jc w:val="both"/>
        <w:rPr>
          <w:rFonts w:ascii="Sylfaen" w:hAnsi="Sylfaen"/>
        </w:rPr>
      </w:pPr>
      <w:r w:rsidRPr="00B82F0D">
        <w:rPr>
          <w:rStyle w:val="FootnoteReference"/>
          <w:rFonts w:ascii="Sylfaen" w:hAnsi="Sylfaen"/>
        </w:rPr>
        <w:t>3</w:t>
      </w:r>
      <w:r w:rsidRPr="00B82F0D">
        <w:rPr>
          <w:rFonts w:ascii="Sylfaen" w:hAnsi="Sylfaen"/>
        </w:rPr>
        <w:t xml:space="preserve"> Կիրառելի չէ դետեկտորի ընդգրկույթի սահմաններից դուրս գալու հետ կապված:</w:t>
      </w:r>
    </w:p>
    <w:p w14:paraId="087FABF1" w14:textId="77777777" w:rsidR="00B82F0D" w:rsidRPr="00B82F0D" w:rsidRDefault="00B82F0D" w:rsidP="00DE4F37">
      <w:pPr>
        <w:pStyle w:val="FootnoteText"/>
        <w:spacing w:after="160" w:line="360" w:lineRule="auto"/>
        <w:jc w:val="both"/>
        <w:rPr>
          <w:rFonts w:ascii="Sylfaen" w:hAnsi="Sylfaen"/>
        </w:rPr>
      </w:pPr>
      <w:r w:rsidRPr="009217DE">
        <w:rPr>
          <w:rStyle w:val="FootnoteReference"/>
          <w:rFonts w:ascii="Sylfaen" w:hAnsi="Sylfaen"/>
        </w:rPr>
        <w:t>4</w:t>
      </w:r>
      <w:r w:rsidRPr="00B82F0D">
        <w:rPr>
          <w:rFonts w:ascii="Sylfaen" w:hAnsi="Sylfaen"/>
        </w:rPr>
        <w:t xml:space="preserve"> Ցիկլոհեքսան Р.</w:t>
      </w:r>
    </w:p>
    <w:p w14:paraId="24F3F640" w14:textId="77777777" w:rsidR="00B82F0D" w:rsidRPr="009217DE" w:rsidRDefault="00B82F0D" w:rsidP="009A3F5E">
      <w:pPr>
        <w:pStyle w:val="Bodytext20"/>
        <w:shd w:val="clear" w:color="auto" w:fill="auto"/>
        <w:tabs>
          <w:tab w:val="left" w:pos="1134"/>
        </w:tabs>
        <w:spacing w:before="0" w:after="160" w:line="360" w:lineRule="auto"/>
        <w:ind w:firstLine="567"/>
        <w:jc w:val="both"/>
        <w:rPr>
          <w:rFonts w:ascii="Sylfaen" w:hAnsi="Sylfaen"/>
          <w:sz w:val="24"/>
          <w:szCs w:val="24"/>
        </w:rPr>
      </w:pPr>
    </w:p>
    <w:p w14:paraId="3E3AAEFC"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նմուշի </w:t>
      </w:r>
      <w:r>
        <w:rPr>
          <w:rFonts w:ascii="Sylfaen" w:hAnsi="Sylfaen"/>
          <w:sz w:val="24"/>
          <w:szCs w:val="24"/>
        </w:rPr>
        <w:t>եւ</w:t>
      </w:r>
      <w:r w:rsidRPr="00B834A2">
        <w:rPr>
          <w:rFonts w:ascii="Sylfaen" w:hAnsi="Sylfaen"/>
          <w:sz w:val="24"/>
          <w:szCs w:val="24"/>
        </w:rPr>
        <w:t xml:space="preserve"> շրջակա միջավայրի միջ</w:t>
      </w:r>
      <w:r>
        <w:rPr>
          <w:rFonts w:ascii="Sylfaen" w:hAnsi="Sylfaen"/>
          <w:sz w:val="24"/>
          <w:szCs w:val="24"/>
        </w:rPr>
        <w:t>եւ</w:t>
      </w:r>
      <w:r w:rsidRPr="00B834A2">
        <w:rPr>
          <w:rFonts w:ascii="Sylfaen" w:hAnsi="Sylfaen"/>
          <w:sz w:val="24"/>
          <w:szCs w:val="24"/>
        </w:rPr>
        <w:t xml:space="preserve"> n բեկման ցուցանիշ կամ </w:t>
      </w:r>
      <w:r w:rsidRPr="00B834A2">
        <w:rPr>
          <w:rFonts w:ascii="Sylfaen" w:hAnsi="Sylfaen"/>
          <w:i/>
          <w:sz w:val="24"/>
          <w:szCs w:val="24"/>
        </w:rPr>
        <w:t xml:space="preserve">n (∆n) </w:t>
      </w:r>
      <w:r w:rsidRPr="00B834A2">
        <w:rPr>
          <w:rFonts w:ascii="Sylfaen" w:hAnsi="Sylfaen"/>
          <w:sz w:val="24"/>
          <w:szCs w:val="24"/>
        </w:rPr>
        <w:t xml:space="preserve">փոփոխություն. </w:t>
      </w:r>
    </w:p>
    <w:p w14:paraId="6C57BE71"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մասնիկների չափ </w:t>
      </w:r>
      <w:r>
        <w:rPr>
          <w:rFonts w:ascii="Sylfaen" w:hAnsi="Sylfaen"/>
          <w:sz w:val="24"/>
          <w:szCs w:val="24"/>
        </w:rPr>
        <w:t>եւ</w:t>
      </w:r>
      <w:r w:rsidRPr="00B834A2">
        <w:rPr>
          <w:rFonts w:ascii="Sylfaen" w:hAnsi="Sylfaen"/>
          <w:sz w:val="24"/>
          <w:szCs w:val="24"/>
        </w:rPr>
        <w:t xml:space="preserve"> մասնիկների բաշխում՝ ըստ չափերի. </w:t>
      </w:r>
    </w:p>
    <w:p w14:paraId="7D31E2BE"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lastRenderedPageBreak/>
        <w:t>-</w:t>
      </w:r>
      <w:r w:rsidR="002B15C9" w:rsidRPr="002B15C9">
        <w:rPr>
          <w:rFonts w:ascii="Sylfaen" w:hAnsi="Sylfaen"/>
          <w:sz w:val="24"/>
          <w:szCs w:val="24"/>
        </w:rPr>
        <w:tab/>
      </w:r>
      <w:r w:rsidRPr="00B834A2">
        <w:rPr>
          <w:rFonts w:ascii="Sylfaen" w:hAnsi="Sylfaen"/>
          <w:sz w:val="24"/>
          <w:szCs w:val="24"/>
        </w:rPr>
        <w:t>ցրման հատույթ.</w:t>
      </w:r>
    </w:p>
    <w:p w14:paraId="7DD4903A"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կլանման հատույթ:</w:t>
      </w:r>
    </w:p>
    <w:p w14:paraId="5EADEEFD"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Ընդունելիության համապատասխան չափորոշիչները կարող են փոփոխվել՝ պայմանավորված կիրառմամբ, սակայն մեծ մասամբ թույլատրելի են տատանումներ (օրեցօր) ±10 % շերտերի հարաբերական ինտենսիվություններում: </w:t>
      </w:r>
    </w:p>
    <w:p w14:paraId="51B64BBB" w14:textId="77777777" w:rsidR="00B834A2" w:rsidRPr="00B834A2" w:rsidRDefault="00B834A2" w:rsidP="00C94376">
      <w:pPr>
        <w:pStyle w:val="Bodytext20"/>
        <w:shd w:val="clear" w:color="auto" w:fill="auto"/>
        <w:spacing w:before="0" w:after="160" w:line="348" w:lineRule="auto"/>
        <w:ind w:firstLine="567"/>
        <w:jc w:val="both"/>
        <w:rPr>
          <w:rFonts w:ascii="Sylfaen" w:hAnsi="Sylfaen"/>
          <w:sz w:val="24"/>
          <w:szCs w:val="24"/>
        </w:rPr>
      </w:pPr>
      <w:r w:rsidRPr="00B834A2">
        <w:rPr>
          <w:rStyle w:val="Bodytext210pt8"/>
          <w:sz w:val="24"/>
          <w:szCs w:val="24"/>
        </w:rPr>
        <w:t>Համեմատման սպեկտրալ գրադարանների ստեղծում:</w:t>
      </w:r>
      <w:r w:rsidRPr="00B834A2">
        <w:rPr>
          <w:rStyle w:val="Bodytext210pt"/>
          <w:sz w:val="24"/>
          <w:szCs w:val="24"/>
        </w:rPr>
        <w:t xml:space="preserve"> Հանում են անալիզի ենթարկվող նյութի համար տիպիկ՝ արտադրողի, սերիայի, բյուրեղային ձ</w:t>
      </w:r>
      <w:r>
        <w:rPr>
          <w:rStyle w:val="Bodytext210pt"/>
          <w:sz w:val="24"/>
          <w:szCs w:val="24"/>
        </w:rPr>
        <w:t>եւ</w:t>
      </w:r>
      <w:r w:rsidRPr="00B834A2">
        <w:rPr>
          <w:rStyle w:val="Bodytext210pt"/>
          <w:sz w:val="24"/>
          <w:szCs w:val="24"/>
        </w:rPr>
        <w:t xml:space="preserve">ափոխման, մասնիկների չափերի </w:t>
      </w:r>
      <w:r>
        <w:rPr>
          <w:rStyle w:val="Bodytext210pt"/>
          <w:sz w:val="24"/>
          <w:szCs w:val="24"/>
        </w:rPr>
        <w:t>եւ</w:t>
      </w:r>
      <w:r w:rsidRPr="00B834A2">
        <w:rPr>
          <w:rStyle w:val="Bodytext210pt"/>
          <w:sz w:val="24"/>
          <w:szCs w:val="24"/>
        </w:rPr>
        <w:t xml:space="preserve"> այլնի տարբերություններ ունեցող ամբողջությամբ հետազոտված (օրինակ՝ ինչպես նկարագրված է մասնավոր դեղագրքային հոդվածում) նյութերի համապատասխան թվի սպեկտրները:</w:t>
      </w:r>
      <w:r>
        <w:rPr>
          <w:rStyle w:val="Bodytext210pt"/>
          <w:sz w:val="24"/>
          <w:szCs w:val="24"/>
        </w:rPr>
        <w:t xml:space="preserve"> </w:t>
      </w:r>
      <w:r w:rsidRPr="00B834A2">
        <w:rPr>
          <w:rStyle w:val="Bodytext210pt"/>
          <w:sz w:val="24"/>
          <w:szCs w:val="24"/>
        </w:rPr>
        <w:t>Սպեկտրների հավաքածուն տալիս է նմանության կամ քանակական որոշման սահմանները որոշող տեղեկատվություն, որոնք կարող են օգտագործվել, օրինակ՝ նույնականացնելու համար նյութը կամ արտադրության պրոցեսում գոյացած դրա քանակությունը վերահսկելու համար: Տվյալների բազայում նյութերի քանակությունը պայմանավորված է դրա կիրառման առանձնահատկություններով: Ցրման սպեկտրի համապատասխան մաթեմատիկական կերպափոխումը կարող է դյուրացնել սպեկտրների որակական համեմատումը (օրինակ՝ բազային գծի ճշգրտում, նվազագույն-առավելագույնի նորմավորում, վեկտորի նորմավորում, ածանցյալներ):</w:t>
      </w:r>
    </w:p>
    <w:p w14:paraId="59842D62" w14:textId="77777777" w:rsidR="00B834A2" w:rsidRPr="004A7CC9" w:rsidRDefault="00B834A2" w:rsidP="00C94376">
      <w:pPr>
        <w:pStyle w:val="Bodytext20"/>
        <w:shd w:val="clear" w:color="auto" w:fill="auto"/>
        <w:spacing w:before="0" w:after="160" w:line="348" w:lineRule="auto"/>
        <w:ind w:firstLine="567"/>
        <w:jc w:val="both"/>
        <w:rPr>
          <w:rStyle w:val="Bodytext210pt"/>
          <w:sz w:val="24"/>
          <w:szCs w:val="24"/>
        </w:rPr>
      </w:pPr>
      <w:r w:rsidRPr="00B834A2">
        <w:rPr>
          <w:rStyle w:val="Bodytext210pt"/>
          <w:sz w:val="24"/>
          <w:szCs w:val="24"/>
        </w:rPr>
        <w:t xml:space="preserve">Տվյալների բազային սելեկտիվությունը, որը թույլ է տալիս </w:t>
      </w:r>
      <w:r w:rsidRPr="00B42439">
        <w:rPr>
          <w:rStyle w:val="Bodytext210pt"/>
          <w:sz w:val="24"/>
          <w:szCs w:val="24"/>
        </w:rPr>
        <w:t>վստահաբար նույնականացնել կոնկրետ նյութը կամ տարբերել այն տվյալների բազայի այլ</w:t>
      </w:r>
      <w:r w:rsidRPr="00B834A2">
        <w:rPr>
          <w:rStyle w:val="Bodytext210pt"/>
          <w:sz w:val="24"/>
          <w:szCs w:val="24"/>
        </w:rPr>
        <w:t xml:space="preserve"> նյութերից, սահմանվում է վալիդացման ժամանակ: Տվյալների բազայի պիտանիության մեջ վստահության համար այդ սելեկտիվությունը պետք է պարբերաբար ստուգվի. հատկապես այն անհրաժեշտ է անել նյութի հետ տեղի ունեցած ցանկացած էական փոփոխությունից հետո (օրինակ՝ մատակարարի կամ արտադրական պրոցեսի փոփոխություններ), կամ ռամանովյան սպեկտրաչափման համար սարքը կարգաբերելիս (օրինակ՝ ալիքային թվերի սանդղակի կամ սպեկտրաչափի արձագանքի կրկնելիության ստուգման ժամանակ)</w:t>
      </w:r>
    </w:p>
    <w:p w14:paraId="3ECDEA62"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Այսպիսով, ստացված սպեկտրալ գրադարանը պիտանի է տվյալ կամ համանման սարքի համար փոխադրումից հետո գրադարանի աշխատանքի հուսալիության հաստատման պայմանով:</w:t>
      </w:r>
      <w:r>
        <w:rPr>
          <w:rStyle w:val="Bodytext210pt"/>
          <w:sz w:val="24"/>
          <w:szCs w:val="24"/>
        </w:rPr>
        <w:t xml:space="preserve"> </w:t>
      </w:r>
    </w:p>
    <w:p w14:paraId="7CA58D03"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Մեթոդիկա:</w:t>
      </w:r>
      <w:r w:rsidRPr="00B834A2">
        <w:rPr>
          <w:rStyle w:val="Bodytext210pt"/>
          <w:sz w:val="24"/>
          <w:szCs w:val="24"/>
        </w:rPr>
        <w:t xml:space="preserve"> Նմուշի պատրաստումը </w:t>
      </w:r>
      <w:r>
        <w:rPr>
          <w:rStyle w:val="Bodytext210pt"/>
          <w:sz w:val="24"/>
          <w:szCs w:val="24"/>
        </w:rPr>
        <w:t>եւ</w:t>
      </w:r>
      <w:r w:rsidRPr="00B834A2">
        <w:rPr>
          <w:rStyle w:val="Bodytext210pt"/>
          <w:sz w:val="24"/>
          <w:szCs w:val="24"/>
        </w:rPr>
        <w:t xml:space="preserve"> հետազոտումն անցկացնում են նույն կերպ, ինչ տվյալների բազա ստեղծելիս: Սպեկտրների համեմատման </w:t>
      </w:r>
      <w:r>
        <w:rPr>
          <w:rStyle w:val="Bodytext210pt"/>
          <w:sz w:val="24"/>
          <w:szCs w:val="24"/>
        </w:rPr>
        <w:t>եւ</w:t>
      </w:r>
      <w:r w:rsidRPr="00B834A2">
        <w:rPr>
          <w:rStyle w:val="Bodytext210pt"/>
          <w:sz w:val="24"/>
          <w:szCs w:val="24"/>
        </w:rPr>
        <w:t xml:space="preserve"> քանակական հաշվարկների դյուրացման համար կարող են օգտագործվել ռամանովյան սպեկտրների համապատասխան մաթեմատիկական կերպափոխումներ:</w:t>
      </w:r>
    </w:p>
    <w:p w14:paraId="761F9D01"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Սպեկտրների համեմատումը կամ կերպափոխումը, փորձարկվող նմուշում գտնվող նյութերի հատկությունների քանակական կանխատեսումը կարող են անցկացվել քիմիաչափման համապատասխան մեթոդների, վիճակագրական դասակարգման </w:t>
      </w:r>
      <w:r>
        <w:rPr>
          <w:rStyle w:val="Bodytext210pt"/>
          <w:sz w:val="24"/>
          <w:szCs w:val="24"/>
        </w:rPr>
        <w:t>եւ</w:t>
      </w:r>
      <w:r w:rsidRPr="00B834A2">
        <w:rPr>
          <w:rStyle w:val="Bodytext210pt"/>
          <w:sz w:val="24"/>
          <w:szCs w:val="24"/>
        </w:rPr>
        <w:t xml:space="preserve"> ստուգաճշտման կիրառմամբ:</w:t>
      </w:r>
    </w:p>
    <w:p w14:paraId="35D72560" w14:textId="77777777" w:rsidR="00B834A2" w:rsidRPr="00B834A2" w:rsidRDefault="00B834A2" w:rsidP="00B834A2">
      <w:pPr>
        <w:pStyle w:val="Bodytext20"/>
        <w:shd w:val="clear" w:color="auto" w:fill="auto"/>
        <w:spacing w:before="0" w:after="160" w:line="360" w:lineRule="auto"/>
        <w:ind w:firstLine="567"/>
        <w:jc w:val="right"/>
        <w:rPr>
          <w:rStyle w:val="Bodytext29pt"/>
          <w:b/>
          <w:sz w:val="24"/>
          <w:szCs w:val="24"/>
        </w:rPr>
      </w:pPr>
    </w:p>
    <w:p w14:paraId="19C1B103" w14:textId="77777777" w:rsidR="00B834A2" w:rsidRPr="009217DE" w:rsidRDefault="00B834A2" w:rsidP="00B834A2">
      <w:pPr>
        <w:pStyle w:val="Bodytext20"/>
        <w:shd w:val="clear" w:color="auto" w:fill="auto"/>
        <w:spacing w:before="0" w:after="160" w:line="360" w:lineRule="auto"/>
        <w:ind w:firstLine="567"/>
        <w:jc w:val="right"/>
        <w:rPr>
          <w:rStyle w:val="Bodytext29pt"/>
          <w:b/>
          <w:sz w:val="20"/>
          <w:szCs w:val="24"/>
        </w:rPr>
      </w:pPr>
      <w:r w:rsidRPr="00B42439">
        <w:rPr>
          <w:rStyle w:val="Bodytext29pt"/>
          <w:b/>
          <w:sz w:val="20"/>
          <w:szCs w:val="24"/>
        </w:rPr>
        <w:t>201020054-2022</w:t>
      </w:r>
    </w:p>
    <w:p w14:paraId="36B09176" w14:textId="77777777" w:rsidR="00B42439" w:rsidRPr="009217DE" w:rsidRDefault="00B42439" w:rsidP="00B834A2">
      <w:pPr>
        <w:pStyle w:val="Bodytext20"/>
        <w:shd w:val="clear" w:color="auto" w:fill="auto"/>
        <w:spacing w:before="0" w:after="160" w:line="360" w:lineRule="auto"/>
        <w:ind w:firstLine="567"/>
        <w:jc w:val="right"/>
        <w:rPr>
          <w:rFonts w:ascii="Sylfaen" w:hAnsi="Sylfaen"/>
          <w:b/>
          <w:sz w:val="24"/>
          <w:szCs w:val="24"/>
        </w:rPr>
      </w:pPr>
    </w:p>
    <w:p w14:paraId="2EC93FBF" w14:textId="77777777" w:rsidR="00B834A2" w:rsidRPr="002B15C9" w:rsidRDefault="00B834A2" w:rsidP="002B15C9">
      <w:pPr>
        <w:pStyle w:val="Bodytext20"/>
        <w:shd w:val="clear" w:color="auto" w:fill="auto"/>
        <w:tabs>
          <w:tab w:val="left" w:pos="1701"/>
        </w:tabs>
        <w:spacing w:before="0" w:after="160" w:line="360" w:lineRule="auto"/>
        <w:ind w:firstLine="567"/>
        <w:jc w:val="both"/>
        <w:rPr>
          <w:rFonts w:ascii="Sylfaen" w:hAnsi="Sylfaen"/>
          <w:b/>
          <w:sz w:val="24"/>
          <w:szCs w:val="24"/>
        </w:rPr>
      </w:pPr>
      <w:r w:rsidRPr="002B15C9">
        <w:rPr>
          <w:rStyle w:val="Bodytext214pt"/>
          <w:rFonts w:ascii="Sylfaen" w:hAnsi="Sylfaen"/>
          <w:b/>
          <w:sz w:val="24"/>
          <w:szCs w:val="24"/>
        </w:rPr>
        <w:t>2.1.2.54.</w:t>
      </w:r>
      <w:r w:rsidR="002B15C9" w:rsidRPr="00097504">
        <w:rPr>
          <w:rStyle w:val="Bodytext214pt"/>
          <w:rFonts w:ascii="Sylfaen" w:hAnsi="Sylfaen"/>
          <w:b/>
          <w:sz w:val="24"/>
          <w:szCs w:val="24"/>
        </w:rPr>
        <w:tab/>
      </w:r>
      <w:r w:rsidRPr="002B15C9">
        <w:rPr>
          <w:rStyle w:val="Bodytext214pt"/>
          <w:rFonts w:ascii="Sylfaen" w:hAnsi="Sylfaen"/>
          <w:b/>
          <w:sz w:val="24"/>
          <w:szCs w:val="24"/>
        </w:rPr>
        <w:t xml:space="preserve">Ընկնող եւ գլորվող գնդիկներով մածուցիկաչափության մեթոդներ </w:t>
      </w:r>
    </w:p>
    <w:p w14:paraId="799F6118"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Նյուտոնյան հեղուկների դինամիկ մածուցիկությունը որոշում են ընկնող գնդիկով կամ գլորվող գնդիկով մածուցիկաչափի կիրառմամբ՝</w:t>
      </w:r>
      <w:r w:rsidR="00C94376">
        <w:rPr>
          <w:rStyle w:val="Bodytext210pt"/>
          <w:sz w:val="24"/>
          <w:szCs w:val="24"/>
        </w:rPr>
        <w:t xml:space="preserve"> (20,0</w:t>
      </w:r>
      <w:r w:rsidRPr="00B834A2">
        <w:rPr>
          <w:rStyle w:val="Bodytext210pt"/>
          <w:sz w:val="24"/>
          <w:szCs w:val="24"/>
        </w:rPr>
        <w:t>±0,1) °С ջերմաստիճանում՝ մասնավոր դեղագրքային հոդվածում ջերմաստիճանների այլ ցուցումների բացակայության դեպքում: Չափում են մածուցիկաչափի տվիչի մեկ նիշից մինչ</w:t>
      </w:r>
      <w:r>
        <w:rPr>
          <w:rStyle w:val="Bodytext210pt"/>
          <w:sz w:val="24"/>
          <w:szCs w:val="24"/>
        </w:rPr>
        <w:t>եւ</w:t>
      </w:r>
      <w:r w:rsidRPr="00B834A2">
        <w:rPr>
          <w:rStyle w:val="Bodytext210pt"/>
          <w:sz w:val="24"/>
          <w:szCs w:val="24"/>
        </w:rPr>
        <w:t xml:space="preserve"> մյուսը գնդիկի՝ փորձարկվող հեղուկի մեջ ընկնելու կամ շարժման ժամանակը:</w:t>
      </w:r>
      <w:r>
        <w:rPr>
          <w:rStyle w:val="Bodytext210pt"/>
          <w:sz w:val="24"/>
          <w:szCs w:val="24"/>
        </w:rPr>
        <w:t xml:space="preserve"> </w:t>
      </w:r>
    </w:p>
    <w:p w14:paraId="725CC655" w14:textId="77777777" w:rsidR="00B834A2" w:rsidRPr="00B834A2" w:rsidRDefault="00B834A2" w:rsidP="00B834A2">
      <w:pPr>
        <w:pStyle w:val="Bodytext20"/>
        <w:shd w:val="clear" w:color="auto" w:fill="auto"/>
        <w:spacing w:before="0" w:after="160" w:line="360" w:lineRule="auto"/>
        <w:ind w:firstLine="567"/>
        <w:jc w:val="left"/>
        <w:rPr>
          <w:rStyle w:val="Bodytext210pt"/>
          <w:sz w:val="24"/>
          <w:szCs w:val="24"/>
        </w:rPr>
      </w:pPr>
    </w:p>
    <w:p w14:paraId="6C31AB61" w14:textId="77777777" w:rsidR="00B834A2" w:rsidRPr="00B834A2" w:rsidRDefault="00B834A2" w:rsidP="002B15C9">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t>ԸՆԿՆՈՂ ԳՆԴԻԿՈՎ ՄԱԾՈՒՑԻԿԱՉԱՓ</w:t>
      </w:r>
    </w:p>
    <w:p w14:paraId="488895DC"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8"/>
          <w:sz w:val="24"/>
          <w:szCs w:val="24"/>
        </w:rPr>
        <w:t>Սարքավորումներ:</w:t>
      </w:r>
      <w:r w:rsidRPr="00B834A2">
        <w:rPr>
          <w:rStyle w:val="Bodytext210pt"/>
          <w:sz w:val="24"/>
          <w:szCs w:val="24"/>
        </w:rPr>
        <w:t xml:space="preserve"> Ընկնող գնդիկով մածուցիկաչափը բաղկացած է պատյանում ներառված ապակե խողովակից, որը թույլ է տալիս վերահսկել </w:t>
      </w:r>
      <w:r w:rsidRPr="00B834A2">
        <w:rPr>
          <w:rStyle w:val="Bodytext210pt"/>
          <w:sz w:val="24"/>
          <w:szCs w:val="24"/>
        </w:rPr>
        <w:lastRenderedPageBreak/>
        <w:t xml:space="preserve">ջերմաստիճանը. ապակուց, երկաթ-նիկելային համահալվածքից կամ պողպատից պատրաստված տարբեր խտության </w:t>
      </w:r>
      <w:r>
        <w:rPr>
          <w:rStyle w:val="Bodytext210pt"/>
          <w:sz w:val="24"/>
          <w:szCs w:val="24"/>
        </w:rPr>
        <w:t>եւ</w:t>
      </w:r>
      <w:r w:rsidRPr="00B834A2">
        <w:rPr>
          <w:rStyle w:val="Bodytext210pt"/>
          <w:sz w:val="24"/>
          <w:szCs w:val="24"/>
        </w:rPr>
        <w:t xml:space="preserve"> տրամագծի 6 գնդիկից: Խողովակը ֆիքսում</w:t>
      </w:r>
      <w:r w:rsidR="00B42439" w:rsidRPr="00B42439">
        <w:rPr>
          <w:rStyle w:val="Bodytext210pt"/>
          <w:sz w:val="24"/>
          <w:szCs w:val="24"/>
        </w:rPr>
        <w:t> </w:t>
      </w:r>
      <w:r w:rsidRPr="00B834A2">
        <w:rPr>
          <w:rStyle w:val="Bodytext210pt"/>
          <w:sz w:val="24"/>
          <w:szCs w:val="24"/>
        </w:rPr>
        <w:t xml:space="preserve">են այնպես, որ շեղումը ուղղաձիգ առանցքից կազմի (10±1): Խողովակի վրա կա գնդիկի անկման հեռավորությունը որոշող երկու նիշ: Արդյունաբերական մածուցիկաչափերի հետ տրվում է հաստատունների, գնդիկների խտության արժեքներով աղյուսակներ </w:t>
      </w:r>
      <w:r>
        <w:rPr>
          <w:rStyle w:val="Bodytext210pt"/>
          <w:sz w:val="24"/>
          <w:szCs w:val="24"/>
        </w:rPr>
        <w:t>եւ</w:t>
      </w:r>
      <w:r w:rsidRPr="00B834A2">
        <w:rPr>
          <w:rStyle w:val="Bodytext210pt"/>
          <w:sz w:val="24"/>
          <w:szCs w:val="24"/>
        </w:rPr>
        <w:t xml:space="preserve"> մածուցիկության ենթադրվող ընդգրկույթում օգտագործման համար տարբեր գնդիկների պիտանիության մասով տվյալներ:</w:t>
      </w:r>
    </w:p>
    <w:p w14:paraId="3AE9E8DF"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8"/>
          <w:sz w:val="24"/>
          <w:szCs w:val="24"/>
        </w:rPr>
        <w:t>Մեթոդիկա:</w:t>
      </w:r>
      <w:r w:rsidRPr="00B834A2">
        <w:rPr>
          <w:rStyle w:val="Bodytext210pt"/>
          <w:sz w:val="24"/>
          <w:szCs w:val="24"/>
        </w:rPr>
        <w:t xml:space="preserve"> Նախօրոք</w:t>
      </w:r>
      <w:r w:rsidR="00B42439">
        <w:rPr>
          <w:rStyle w:val="Bodytext210pt"/>
          <w:sz w:val="24"/>
          <w:szCs w:val="24"/>
        </w:rPr>
        <w:t xml:space="preserve"> (20,0±0,1)</w:t>
      </w:r>
      <w:r w:rsidRPr="00B834A2">
        <w:rPr>
          <w:rStyle w:val="Bodytext210pt"/>
          <w:sz w:val="24"/>
          <w:szCs w:val="24"/>
        </w:rPr>
        <w:t xml:space="preserve">°С ջերմաստիճանում պահված մածուցիկաչափի մաքուր, չոր խողովակը լցնում են փորձարկվող հեղուկով՝ խուսափելով պղպջակների գոյացումից: Խողովակի մեջ տեղադրելու համար ընտրում են գնդիկ առնվազն 30 վ անկման ժամանակ ստանալու համար՝ հաշվի առնելով մածուցիկության ենթադրվող ընդգրկույթը: Փակում են խողովակը </w:t>
      </w:r>
      <w:r>
        <w:rPr>
          <w:rStyle w:val="Bodytext210pt"/>
          <w:sz w:val="24"/>
          <w:szCs w:val="24"/>
        </w:rPr>
        <w:t>եւ</w:t>
      </w:r>
      <w:r w:rsidRPr="00B834A2">
        <w:rPr>
          <w:rStyle w:val="Bodytext210pt"/>
          <w:sz w:val="24"/>
          <w:szCs w:val="24"/>
        </w:rPr>
        <w:t xml:space="preserve"> ջերմապահպանում են լուծույթն առնվազն 15 րոպե</w:t>
      </w:r>
      <w:r w:rsidR="00B42439">
        <w:rPr>
          <w:rStyle w:val="Bodytext210pt"/>
          <w:sz w:val="24"/>
          <w:szCs w:val="24"/>
        </w:rPr>
        <w:t xml:space="preserve"> (20,0±0,1)</w:t>
      </w:r>
      <w:r w:rsidRPr="00B834A2">
        <w:rPr>
          <w:rStyle w:val="Bodytext210pt"/>
          <w:sz w:val="24"/>
          <w:szCs w:val="24"/>
        </w:rPr>
        <w:t>°С ջերմաստիճանում: Սկզբում անցկացնում են գնդիկը երկու նիշերի միջ</w:t>
      </w:r>
      <w:r>
        <w:rPr>
          <w:rStyle w:val="Bodytext210pt"/>
          <w:sz w:val="24"/>
          <w:szCs w:val="24"/>
        </w:rPr>
        <w:t>եւ</w:t>
      </w:r>
      <w:r w:rsidRPr="00B834A2">
        <w:rPr>
          <w:rStyle w:val="Bodytext210pt"/>
          <w:sz w:val="24"/>
          <w:szCs w:val="24"/>
        </w:rPr>
        <w:t>՝ առանց անկման ժամանակը չափելու, երկրորդ անգամ՝ մինչ</w:t>
      </w:r>
      <w:r>
        <w:rPr>
          <w:rStyle w:val="Bodytext210pt"/>
          <w:sz w:val="24"/>
          <w:szCs w:val="24"/>
        </w:rPr>
        <w:t>եւ</w:t>
      </w:r>
      <w:r w:rsidRPr="00B834A2">
        <w:rPr>
          <w:rStyle w:val="Bodytext210pt"/>
          <w:sz w:val="24"/>
          <w:szCs w:val="24"/>
        </w:rPr>
        <w:t xml:space="preserve"> 1/5 վայրկյան ճշգրտությամբ վայրկենաչափով չափում են վերին նիշից մինչ</w:t>
      </w:r>
      <w:r>
        <w:rPr>
          <w:rStyle w:val="Bodytext210pt"/>
          <w:sz w:val="24"/>
          <w:szCs w:val="24"/>
        </w:rPr>
        <w:t>եւ</w:t>
      </w:r>
      <w:r w:rsidRPr="00B834A2">
        <w:rPr>
          <w:rStyle w:val="Bodytext210pt"/>
          <w:sz w:val="24"/>
          <w:szCs w:val="24"/>
        </w:rPr>
        <w:t xml:space="preserve"> ստորին նիշը գնդիկի անկման ժամանակը: Փորձարկումը կրկնում են առնվազն 3 անգամ՝ գնդիկի անկման ժամանակի առնվազն 4 արժեք ստանալու համար: Արդյունքը համարվում է հավաստի, եթե 2 հաջորդական անկումների ժամանակը չի տարբերվում ոչ ավելի, քան 1,5 %-ով:</w:t>
      </w:r>
    </w:p>
    <w:p w14:paraId="3A978595"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Գնդիկի անկման ժամանակի միջին արժեքն օգտագործելով՝ հաշվարկում են դինամիկ մածուցիկությունը (η, մՊա∙վ) հետ</w:t>
      </w:r>
      <w:r>
        <w:rPr>
          <w:rStyle w:val="Bodytext210pt"/>
          <w:sz w:val="24"/>
          <w:szCs w:val="24"/>
        </w:rPr>
        <w:t>եւ</w:t>
      </w:r>
      <w:r w:rsidRPr="00B834A2">
        <w:rPr>
          <w:rStyle w:val="Bodytext210pt"/>
          <w:sz w:val="24"/>
          <w:szCs w:val="24"/>
        </w:rPr>
        <w:t>յալ բանաձ</w:t>
      </w:r>
      <w:r>
        <w:rPr>
          <w:rStyle w:val="Bodytext210pt"/>
          <w:sz w:val="24"/>
          <w:szCs w:val="24"/>
        </w:rPr>
        <w:t>եւ</w:t>
      </w:r>
      <w:r w:rsidRPr="00B834A2">
        <w:rPr>
          <w:rStyle w:val="Bodytext210pt"/>
          <w:sz w:val="24"/>
          <w:szCs w:val="24"/>
        </w:rPr>
        <w:t>ով՝</w:t>
      </w:r>
    </w:p>
    <w:p w14:paraId="61EC8569" w14:textId="77777777" w:rsidR="00B834A2" w:rsidRPr="00B834A2" w:rsidRDefault="00B834A2" w:rsidP="00D2561B">
      <w:pPr>
        <w:pStyle w:val="Bodytext20"/>
        <w:shd w:val="clear" w:color="auto" w:fill="auto"/>
        <w:spacing w:before="0" w:after="160" w:line="346" w:lineRule="auto"/>
        <w:rPr>
          <w:rFonts w:ascii="Sylfaen" w:hAnsi="Sylfaen"/>
          <w:sz w:val="24"/>
          <w:szCs w:val="24"/>
        </w:rPr>
      </w:pPr>
      <w:r w:rsidRPr="00B834A2">
        <w:rPr>
          <w:rStyle w:val="Bodytext29pt"/>
          <w:sz w:val="24"/>
          <w:szCs w:val="24"/>
        </w:rPr>
        <w:t xml:space="preserve">η = </w:t>
      </w:r>
      <w:r w:rsidRPr="00B834A2">
        <w:rPr>
          <w:rStyle w:val="Bodytext285pt1"/>
          <w:spacing w:val="0"/>
          <w:sz w:val="24"/>
          <w:szCs w:val="24"/>
        </w:rPr>
        <w:t>k(ρ</w:t>
      </w:r>
      <w:r w:rsidRPr="00B834A2">
        <w:rPr>
          <w:rStyle w:val="Bodytext285pt1"/>
          <w:spacing w:val="0"/>
          <w:sz w:val="24"/>
          <w:szCs w:val="24"/>
          <w:vertAlign w:val="subscript"/>
        </w:rPr>
        <w:t>1</w:t>
      </w:r>
      <w:r w:rsidRPr="00B834A2">
        <w:rPr>
          <w:rStyle w:val="Bodytext29pt"/>
          <w:sz w:val="24"/>
          <w:szCs w:val="24"/>
        </w:rPr>
        <w:t xml:space="preserve"> </w:t>
      </w:r>
      <w:r w:rsidR="002E52D1">
        <w:rPr>
          <w:rStyle w:val="Bodytext29pt"/>
          <w:sz w:val="24"/>
          <w:szCs w:val="24"/>
        </w:rPr>
        <w:t>-</w:t>
      </w:r>
      <w:r w:rsidRPr="00B834A2">
        <w:rPr>
          <w:rStyle w:val="Bodytext29pt"/>
          <w:sz w:val="24"/>
          <w:szCs w:val="24"/>
        </w:rPr>
        <w:t xml:space="preserve"> ρ</w:t>
      </w:r>
      <w:r w:rsidRPr="00B834A2">
        <w:rPr>
          <w:rStyle w:val="Bodytext29pt"/>
          <w:sz w:val="24"/>
          <w:szCs w:val="24"/>
          <w:vertAlign w:val="subscript"/>
        </w:rPr>
        <w:t>2</w:t>
      </w:r>
      <w:r w:rsidRPr="00B834A2">
        <w:rPr>
          <w:rStyle w:val="Bodytext29pt"/>
          <w:sz w:val="24"/>
          <w:szCs w:val="24"/>
        </w:rPr>
        <w:t>) •</w:t>
      </w:r>
      <w:r w:rsidRPr="00B834A2">
        <w:rPr>
          <w:rStyle w:val="Bodytext29pt"/>
          <w:i/>
          <w:sz w:val="24"/>
          <w:szCs w:val="24"/>
        </w:rPr>
        <w:t>t</w:t>
      </w:r>
      <w:r w:rsidRPr="00B834A2">
        <w:rPr>
          <w:rStyle w:val="Bodytext29pt"/>
          <w:sz w:val="24"/>
          <w:szCs w:val="24"/>
        </w:rPr>
        <w:t>,</w:t>
      </w:r>
    </w:p>
    <w:p w14:paraId="49C6F6A5" w14:textId="77777777" w:rsidR="002B15C9" w:rsidRPr="00097504" w:rsidRDefault="00B834A2" w:rsidP="00D2561B">
      <w:pPr>
        <w:pStyle w:val="Bodytext20"/>
        <w:shd w:val="clear" w:color="auto" w:fill="auto"/>
        <w:spacing w:before="0" w:after="160" w:line="346" w:lineRule="auto"/>
        <w:ind w:firstLine="567"/>
        <w:jc w:val="both"/>
        <w:rPr>
          <w:rStyle w:val="Bodytext210pt"/>
          <w:sz w:val="24"/>
          <w:szCs w:val="24"/>
        </w:rPr>
      </w:pPr>
      <w:r w:rsidRPr="00B834A2">
        <w:rPr>
          <w:rStyle w:val="Bodytext210pt"/>
          <w:sz w:val="24"/>
          <w:szCs w:val="24"/>
        </w:rPr>
        <w:t xml:space="preserve">որտեղ՝ </w:t>
      </w:r>
    </w:p>
    <w:p w14:paraId="70F0E830"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8"/>
          <w:sz w:val="24"/>
          <w:szCs w:val="24"/>
        </w:rPr>
        <w:t>k</w:t>
      </w:r>
      <w:r w:rsidRPr="00B834A2">
        <w:rPr>
          <w:rStyle w:val="Bodytext210pt"/>
          <w:sz w:val="24"/>
          <w:szCs w:val="24"/>
        </w:rPr>
        <w:t>-ն՝ մածուցիկաչափի հաստատունն է, մմ</w:t>
      </w:r>
      <w:r w:rsidRPr="00B834A2">
        <w:rPr>
          <w:rStyle w:val="Bodytext210pt"/>
          <w:sz w:val="24"/>
          <w:szCs w:val="24"/>
          <w:vertAlign w:val="superscript"/>
        </w:rPr>
        <w:t>2</w:t>
      </w:r>
      <w:r w:rsidRPr="00B834A2">
        <w:rPr>
          <w:rStyle w:val="Bodytext210pt"/>
          <w:sz w:val="24"/>
          <w:szCs w:val="24"/>
        </w:rPr>
        <w:t>/վ-ով.</w:t>
      </w:r>
    </w:p>
    <w:p w14:paraId="650867E1"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85pt1"/>
          <w:spacing w:val="0"/>
          <w:sz w:val="24"/>
          <w:szCs w:val="24"/>
        </w:rPr>
        <w:t>ρ</w:t>
      </w:r>
      <w:r w:rsidRPr="00B834A2">
        <w:rPr>
          <w:rStyle w:val="Bodytext285pt1"/>
          <w:spacing w:val="0"/>
          <w:sz w:val="24"/>
          <w:szCs w:val="24"/>
          <w:vertAlign w:val="subscript"/>
        </w:rPr>
        <w:t>1-</w:t>
      </w:r>
      <w:r w:rsidRPr="002B15C9">
        <w:rPr>
          <w:rStyle w:val="Bodytext285pt1"/>
          <w:spacing w:val="0"/>
          <w:sz w:val="24"/>
          <w:szCs w:val="24"/>
        </w:rPr>
        <w:t>ը</w:t>
      </w:r>
      <w:r w:rsidRPr="00B834A2">
        <w:rPr>
          <w:rStyle w:val="Bodytext210pt"/>
          <w:sz w:val="24"/>
          <w:szCs w:val="24"/>
        </w:rPr>
        <w:t>՝ օգտագործվող գնդիկի խտությունը, գ/սմ</w:t>
      </w:r>
      <w:r w:rsidRPr="00B834A2">
        <w:rPr>
          <w:rStyle w:val="Bodytext210pt"/>
          <w:sz w:val="24"/>
          <w:szCs w:val="24"/>
          <w:vertAlign w:val="superscript"/>
        </w:rPr>
        <w:t>3</w:t>
      </w:r>
      <w:r w:rsidRPr="00B834A2">
        <w:rPr>
          <w:rStyle w:val="Bodytext210pt"/>
          <w:sz w:val="24"/>
          <w:szCs w:val="24"/>
        </w:rPr>
        <w:t>.</w:t>
      </w:r>
    </w:p>
    <w:p w14:paraId="0E86190E"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85pt1"/>
          <w:spacing w:val="0"/>
          <w:sz w:val="24"/>
          <w:szCs w:val="24"/>
        </w:rPr>
        <w:t>ρ</w:t>
      </w:r>
      <w:r w:rsidRPr="00B834A2">
        <w:rPr>
          <w:rStyle w:val="Bodytext285pt1"/>
          <w:spacing w:val="0"/>
          <w:sz w:val="24"/>
          <w:szCs w:val="24"/>
          <w:vertAlign w:val="subscript"/>
        </w:rPr>
        <w:t>2-</w:t>
      </w:r>
      <w:r w:rsidRPr="002B15C9">
        <w:rPr>
          <w:rStyle w:val="Bodytext285pt1"/>
          <w:spacing w:val="0"/>
          <w:sz w:val="24"/>
          <w:szCs w:val="24"/>
        </w:rPr>
        <w:t>ը</w:t>
      </w:r>
      <w:r w:rsidRPr="00B834A2">
        <w:rPr>
          <w:rStyle w:val="Bodytext210pt"/>
          <w:sz w:val="24"/>
          <w:szCs w:val="24"/>
        </w:rPr>
        <w:t>՝ հարաբերական խտությունը 0,9982-ով բազմապատկման միջոցով ստացված՝ փորձարկվող հեղուկի խտությունը, գ/սմ-ով</w:t>
      </w:r>
      <w:r w:rsidRPr="00B834A2">
        <w:rPr>
          <w:rStyle w:val="Bodytext210pt"/>
          <w:sz w:val="24"/>
          <w:szCs w:val="24"/>
          <w:vertAlign w:val="superscript"/>
        </w:rPr>
        <w:t>3</w:t>
      </w:r>
      <w:r w:rsidRPr="00B834A2">
        <w:rPr>
          <w:rStyle w:val="Bodytext210pt"/>
          <w:sz w:val="24"/>
          <w:szCs w:val="24"/>
        </w:rPr>
        <w:t>.(</w:t>
      </w:r>
      <m:oMath>
        <m:sSubSup>
          <m:sSubSupPr>
            <m:ctrlPr>
              <w:rPr>
                <w:rStyle w:val="Bodytext210pt"/>
                <w:rFonts w:ascii="Cambria Math" w:hAnsi="Cambria Math"/>
                <w:i/>
                <w:sz w:val="24"/>
                <w:szCs w:val="24"/>
              </w:rPr>
            </m:ctrlPr>
          </m:sSubSupPr>
          <m:e>
            <m:r>
              <w:rPr>
                <w:rStyle w:val="Bodytext210pt"/>
                <w:rFonts w:ascii="Cambria Math" w:hAnsi="Cambria Math"/>
                <w:sz w:val="24"/>
                <w:szCs w:val="24"/>
              </w:rPr>
              <m:t>d</m:t>
            </m:r>
          </m:e>
          <m:sub>
            <m:r>
              <w:rPr>
                <w:rStyle w:val="Bodytext210pt"/>
                <w:rFonts w:ascii="Cambria Math" w:hAnsi="Cambria Math"/>
                <w:sz w:val="24"/>
                <w:szCs w:val="24"/>
              </w:rPr>
              <m:t>20</m:t>
            </m:r>
          </m:sub>
          <m:sup>
            <m:r>
              <w:rPr>
                <w:rStyle w:val="Bodytext210pt"/>
                <w:rFonts w:ascii="Cambria Math" w:hAnsi="Cambria Math"/>
                <w:sz w:val="24"/>
                <w:szCs w:val="24"/>
              </w:rPr>
              <m:t>20</m:t>
            </m:r>
          </m:sup>
        </m:sSubSup>
      </m:oMath>
      <w:r w:rsidRPr="00B834A2">
        <w:rPr>
          <w:rStyle w:val="Bodytext210pt"/>
          <w:sz w:val="24"/>
          <w:szCs w:val="24"/>
        </w:rPr>
        <w:t xml:space="preserve">) </w:t>
      </w:r>
    </w:p>
    <w:p w14:paraId="497BDA4B"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t-ն</w:t>
      </w:r>
      <w:r w:rsidRPr="00B834A2">
        <w:rPr>
          <w:rStyle w:val="Bodytext210pt"/>
          <w:sz w:val="24"/>
          <w:szCs w:val="24"/>
        </w:rPr>
        <w:t>՝ եզրային նիշերի միջ</w:t>
      </w:r>
      <w:r>
        <w:rPr>
          <w:rStyle w:val="Bodytext210pt"/>
          <w:sz w:val="24"/>
          <w:szCs w:val="24"/>
        </w:rPr>
        <w:t>եւ</w:t>
      </w:r>
      <w:r w:rsidRPr="00B834A2">
        <w:rPr>
          <w:rStyle w:val="Bodytext210pt"/>
          <w:sz w:val="24"/>
          <w:szCs w:val="24"/>
        </w:rPr>
        <w:t xml:space="preserve"> գնդիկի անկման միջին ժամանակը, վ:</w:t>
      </w:r>
    </w:p>
    <w:p w14:paraId="2F724F88" w14:textId="77777777" w:rsidR="00B834A2" w:rsidRPr="00B834A2" w:rsidRDefault="00B834A2" w:rsidP="002B15C9">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lastRenderedPageBreak/>
        <w:t>ԳԼՈՐՎՈՂ ԳՆԴԻԿՈՎ ԱՎՏՈՄԱՏ ՄԱԾՈՒՑԻԿԱՉԱՓ</w:t>
      </w:r>
    </w:p>
    <w:p w14:paraId="4F61D78B" w14:textId="77777777" w:rsidR="00B834A2" w:rsidRPr="00B834A2" w:rsidRDefault="00B834A2" w:rsidP="00D2561B">
      <w:pPr>
        <w:spacing w:after="160" w:line="336" w:lineRule="auto"/>
        <w:ind w:firstLine="567"/>
        <w:jc w:val="both"/>
      </w:pPr>
      <w:r w:rsidRPr="00B834A2">
        <w:rPr>
          <w:rStyle w:val="Bodytext210pt8"/>
          <w:sz w:val="24"/>
          <w:szCs w:val="24"/>
        </w:rPr>
        <w:t>Սարքավորումներ:</w:t>
      </w:r>
      <w:r w:rsidRPr="00B834A2">
        <w:rPr>
          <w:rStyle w:val="Bodytext210pt"/>
          <w:sz w:val="24"/>
          <w:szCs w:val="24"/>
        </w:rPr>
        <w:t xml:space="preserve"> Գլորվող գնդիկով ավտոմատ մածուցիկաչափը բաղկացած է ջերմաստիճանի ճշգրիտ հսկողություն անցկացնելու հնարավորություն տվող՝ ջերմաստատիկ կերպով վերահսկվող բլոկում տեղադրված՝ տարբեր տրամաչափերով՝ մի քանի մազախողովակ ունեցող ապակուց կամ այլ նյութերից</w:t>
      </w:r>
      <w:r>
        <w:rPr>
          <w:rStyle w:val="Bodytext210pt"/>
          <w:sz w:val="24"/>
          <w:szCs w:val="24"/>
        </w:rPr>
        <w:t xml:space="preserve"> </w:t>
      </w:r>
      <w:r w:rsidRPr="00B834A2">
        <w:rPr>
          <w:rStyle w:val="Bodytext210pt"/>
          <w:sz w:val="24"/>
          <w:szCs w:val="24"/>
        </w:rPr>
        <w:t>չժանգոտվող պողպատի (ոչ պարտադիր պատվածք ունեցող) գնդիկներից կամ այլ հարմար նյութերից. շարժիչ-ռեդուկտորից, որով որոշվում է ուղղաձիգ առանցքից (10,0 ±0,2)°-ից մինչ</w:t>
      </w:r>
      <w:r>
        <w:rPr>
          <w:rStyle w:val="Bodytext210pt"/>
          <w:sz w:val="24"/>
          <w:szCs w:val="24"/>
        </w:rPr>
        <w:t>եւ</w:t>
      </w:r>
      <w:r w:rsidRPr="00B834A2">
        <w:rPr>
          <w:rStyle w:val="Bodytext210pt"/>
          <w:sz w:val="24"/>
          <w:szCs w:val="24"/>
        </w:rPr>
        <w:t xml:space="preserve"> (80,0 ± 0,2)° թեքության անկյան տակ մազախողովակի դիրքը:Սարքն ունի առնվազն 2 տվիչ՝ տրված հեռավորության վրա գնդիկի շարժման ժամանակը չափելու համար: Արդյունաբերական մածուցիկաչափերի հետ տրվում է դրանց հաստատունների, գնդիկների խտության արժեքներով աղյուսակներ </w:t>
      </w:r>
      <w:r>
        <w:rPr>
          <w:rStyle w:val="Bodytext210pt"/>
          <w:sz w:val="24"/>
          <w:szCs w:val="24"/>
        </w:rPr>
        <w:t>եւ</w:t>
      </w:r>
      <w:r w:rsidRPr="00B834A2">
        <w:rPr>
          <w:rStyle w:val="Bodytext210pt"/>
          <w:sz w:val="24"/>
          <w:szCs w:val="24"/>
        </w:rPr>
        <w:t xml:space="preserve"> մածուցիկության ենթադրվող ընդգրկույթում օգտագործման համար տարբեր մազախողովակների պիտանիության մասով տվյալներ: Ջերմաստիճանի հսկողությունը, թեքության </w:t>
      </w:r>
      <w:r w:rsidRPr="002B15C9">
        <w:rPr>
          <w:rStyle w:val="Bodytext210pt"/>
          <w:spacing w:val="-4"/>
          <w:sz w:val="24"/>
          <w:szCs w:val="24"/>
        </w:rPr>
        <w:t>անկյան հսկողությունը, շարժման ժամանակի որոշումը, շարժումների կրկնությունները եւ միջին արժեքի ու ստանդարտ շեղման հաշվարկը կատարվում են սարքի</w:t>
      </w:r>
      <w:r w:rsidRPr="00B834A2">
        <w:rPr>
          <w:rStyle w:val="Bodytext210pt"/>
          <w:sz w:val="24"/>
          <w:szCs w:val="24"/>
        </w:rPr>
        <w:t xml:space="preserve"> ծրագրային ապահովմամբ:</w:t>
      </w:r>
      <w:r>
        <w:rPr>
          <w:rStyle w:val="Bodytext210pt"/>
          <w:sz w:val="24"/>
          <w:szCs w:val="24"/>
        </w:rPr>
        <w:t xml:space="preserve"> </w:t>
      </w:r>
    </w:p>
    <w:p w14:paraId="7796BFBE" w14:textId="77777777" w:rsidR="00B834A2" w:rsidRPr="00B834A2" w:rsidRDefault="00B834A2" w:rsidP="00D2561B">
      <w:pPr>
        <w:pStyle w:val="Bodytext20"/>
        <w:shd w:val="clear" w:color="auto" w:fill="auto"/>
        <w:spacing w:before="0" w:after="160" w:line="336" w:lineRule="auto"/>
        <w:ind w:firstLine="567"/>
        <w:jc w:val="both"/>
        <w:rPr>
          <w:rFonts w:ascii="Sylfaen" w:hAnsi="Sylfaen"/>
          <w:sz w:val="24"/>
          <w:szCs w:val="24"/>
        </w:rPr>
      </w:pPr>
      <w:r w:rsidRPr="00B834A2">
        <w:rPr>
          <w:rStyle w:val="Bodytext210pt8"/>
          <w:sz w:val="24"/>
          <w:szCs w:val="24"/>
        </w:rPr>
        <w:t>Մեթոդիկա:</w:t>
      </w:r>
      <w:r w:rsidRPr="00B834A2">
        <w:rPr>
          <w:rStyle w:val="Bodytext210pt"/>
          <w:sz w:val="24"/>
          <w:szCs w:val="24"/>
        </w:rPr>
        <w:t xml:space="preserve"> Ծրագրային ապահովումը սարքաբերում են այնպես, որ չափումների անցկացման արդյունքում ստացվի շարժման ժամանակի 4 արժեք (2</w:t>
      </w:r>
      <w:r w:rsidR="00B42439" w:rsidRPr="00B42439">
        <w:rPr>
          <w:rStyle w:val="Bodytext210pt"/>
          <w:sz w:val="24"/>
          <w:szCs w:val="24"/>
        </w:rPr>
        <w:t> </w:t>
      </w:r>
      <w:r w:rsidRPr="00B834A2">
        <w:rPr>
          <w:rStyle w:val="Bodytext210pt"/>
          <w:sz w:val="24"/>
          <w:szCs w:val="24"/>
        </w:rPr>
        <w:t xml:space="preserve">ցիկլ առաջ/հետ) </w:t>
      </w:r>
      <w:r>
        <w:rPr>
          <w:rStyle w:val="Bodytext210pt"/>
          <w:sz w:val="24"/>
          <w:szCs w:val="24"/>
        </w:rPr>
        <w:t>եւ</w:t>
      </w:r>
      <w:r w:rsidRPr="00B834A2">
        <w:rPr>
          <w:rStyle w:val="Bodytext210pt"/>
          <w:sz w:val="24"/>
          <w:szCs w:val="24"/>
        </w:rPr>
        <w:t xml:space="preserve"> 0,5 %-ից ոչ ավելի հարաբերական ստանդարտ շեղում: Ընտրում են փորձարկվող հեղուկի մածուցիկության ենթադրվող ընդգրկույթի համար հարմար մազախողովակ, գնդիկ </w:t>
      </w:r>
      <w:r>
        <w:rPr>
          <w:rStyle w:val="Bodytext210pt"/>
          <w:sz w:val="24"/>
          <w:szCs w:val="24"/>
        </w:rPr>
        <w:t>եւ</w:t>
      </w:r>
      <w:r w:rsidRPr="00B834A2">
        <w:rPr>
          <w:rStyle w:val="Bodytext210pt"/>
          <w:sz w:val="24"/>
          <w:szCs w:val="24"/>
        </w:rPr>
        <w:t xml:space="preserve"> թեքության անկյուն, որպեսզի շարժման ժամանակը կազմի առնվազն 20 վայրկյան 100 մմ հեռավորության վրա տեղաշարժվելիս կամ համեմատական լինի այլ հեռավորությունների վրա տեղափոխման ժամանակ: Թվային օպտիկական խտաչափին մածուցիկաչափի միացման բացակայության դեպքում փորձարկվող հեղուկի խտության արժեքը պետք է նշվի սարքի ծրագրային ապահովման մեջ: Մածուցիկաչափի մաքուր, չոր մազախողովակը լցնում են փորձարկվող հեղուկով՝ խուսափելով պղպջակների գոյացումից: Սկսում են չափումը անմիջապես մազախողովակը լցնելուց հետո: </w:t>
      </w:r>
      <w:r w:rsidRPr="00B42439">
        <w:rPr>
          <w:rStyle w:val="Bodytext210pt"/>
          <w:spacing w:val="-4"/>
          <w:sz w:val="24"/>
          <w:szCs w:val="24"/>
        </w:rPr>
        <w:t>Սարքն ավտոմատ կերպով հաշվարկում է դինամիկ մածուցիկությունը (ց, մՊա/վ) եւ կիմենատիկ</w:t>
      </w:r>
      <w:r w:rsidRPr="00B834A2">
        <w:rPr>
          <w:rStyle w:val="Bodytext210pt"/>
          <w:sz w:val="24"/>
          <w:szCs w:val="24"/>
        </w:rPr>
        <w:t xml:space="preserve"> մածուցիկությունը (</w:t>
      </w:r>
      <w:r w:rsidRPr="00B834A2">
        <w:rPr>
          <w:rStyle w:val="Bodytext210pt"/>
          <w:i/>
          <w:sz w:val="24"/>
          <w:szCs w:val="24"/>
        </w:rPr>
        <w:t>v</w:t>
      </w:r>
      <w:r w:rsidRPr="00B834A2">
        <w:rPr>
          <w:rStyle w:val="Bodytext210pt"/>
          <w:sz w:val="24"/>
          <w:szCs w:val="24"/>
        </w:rPr>
        <w:t>, մմ</w:t>
      </w:r>
      <w:r w:rsidRPr="00B834A2">
        <w:rPr>
          <w:rStyle w:val="Bodytext210pt"/>
          <w:sz w:val="24"/>
          <w:szCs w:val="24"/>
          <w:vertAlign w:val="superscript"/>
        </w:rPr>
        <w:t>2</w:t>
      </w:r>
      <w:r w:rsidRPr="00B834A2">
        <w:rPr>
          <w:rStyle w:val="Bodytext210pt"/>
          <w:sz w:val="24"/>
          <w:szCs w:val="24"/>
        </w:rPr>
        <w:t>/վ):</w:t>
      </w:r>
    </w:p>
    <w:p w14:paraId="6D46CA77" w14:textId="77777777" w:rsidR="00B834A2" w:rsidRPr="009217DE" w:rsidRDefault="00B834A2" w:rsidP="00B834A2">
      <w:pPr>
        <w:pStyle w:val="Bodytext20"/>
        <w:shd w:val="clear" w:color="auto" w:fill="auto"/>
        <w:spacing w:before="0" w:after="160" w:line="360" w:lineRule="auto"/>
        <w:ind w:firstLine="567"/>
        <w:jc w:val="right"/>
        <w:rPr>
          <w:rStyle w:val="Bodytext211pt"/>
          <w:rFonts w:ascii="Sylfaen" w:eastAsia="Sylfaen" w:hAnsi="Sylfaen"/>
          <w:b/>
          <w:sz w:val="20"/>
          <w:szCs w:val="24"/>
        </w:rPr>
      </w:pPr>
      <w:r w:rsidRPr="00B42439">
        <w:rPr>
          <w:rStyle w:val="Bodytext211pt"/>
          <w:rFonts w:ascii="Sylfaen" w:eastAsia="Sylfaen" w:hAnsi="Sylfaen"/>
          <w:b/>
          <w:sz w:val="20"/>
          <w:szCs w:val="24"/>
        </w:rPr>
        <w:lastRenderedPageBreak/>
        <w:t>201020055-2022</w:t>
      </w:r>
    </w:p>
    <w:p w14:paraId="4FD22D8B" w14:textId="77777777" w:rsidR="00B42439" w:rsidRPr="009217DE" w:rsidRDefault="00B42439" w:rsidP="00B834A2">
      <w:pPr>
        <w:pStyle w:val="Bodytext20"/>
        <w:shd w:val="clear" w:color="auto" w:fill="auto"/>
        <w:spacing w:before="0" w:after="160" w:line="360" w:lineRule="auto"/>
        <w:ind w:firstLine="567"/>
        <w:jc w:val="right"/>
        <w:rPr>
          <w:rFonts w:ascii="Sylfaen" w:hAnsi="Sylfaen"/>
          <w:b/>
          <w:sz w:val="20"/>
          <w:szCs w:val="24"/>
        </w:rPr>
      </w:pPr>
    </w:p>
    <w:p w14:paraId="4D2A0024" w14:textId="77777777" w:rsidR="00B834A2" w:rsidRPr="002B15C9" w:rsidRDefault="00B834A2" w:rsidP="002B15C9">
      <w:pPr>
        <w:pStyle w:val="Bodytext20"/>
        <w:shd w:val="clear" w:color="auto" w:fill="auto"/>
        <w:tabs>
          <w:tab w:val="left" w:pos="1701"/>
        </w:tabs>
        <w:spacing w:before="0" w:after="160" w:line="360" w:lineRule="auto"/>
        <w:ind w:firstLine="567"/>
        <w:jc w:val="both"/>
        <w:rPr>
          <w:rFonts w:ascii="Sylfaen" w:hAnsi="Sylfaen"/>
          <w:b/>
          <w:sz w:val="24"/>
          <w:szCs w:val="24"/>
        </w:rPr>
      </w:pPr>
      <w:r w:rsidRPr="002B15C9">
        <w:rPr>
          <w:rStyle w:val="Bodytext214pt"/>
          <w:rFonts w:ascii="Sylfaen" w:hAnsi="Sylfaen"/>
          <w:b/>
          <w:sz w:val="24"/>
          <w:szCs w:val="24"/>
        </w:rPr>
        <w:t>2.1.2.55.</w:t>
      </w:r>
      <w:r w:rsidR="002B15C9" w:rsidRPr="00097504">
        <w:rPr>
          <w:rStyle w:val="Bodytext214pt"/>
          <w:rFonts w:ascii="Sylfaen" w:hAnsi="Sylfaen"/>
          <w:b/>
          <w:sz w:val="24"/>
          <w:szCs w:val="24"/>
        </w:rPr>
        <w:tab/>
      </w:r>
      <w:r w:rsidRPr="002B15C9">
        <w:rPr>
          <w:rStyle w:val="Bodytext214pt"/>
          <w:rFonts w:ascii="Sylfaen" w:hAnsi="Sylfaen"/>
          <w:b/>
          <w:sz w:val="24"/>
          <w:szCs w:val="24"/>
        </w:rPr>
        <w:t>ԻՆԴՈՒԿՏԻՎ ԿԱՊՎԱԾ ՊԼԱԶՄԱՅՈՎ ԶԱՆԳՎԱԾԱՍՊԵԿՏՐԱՉԱՓՈՒՄ</w:t>
      </w:r>
    </w:p>
    <w:p w14:paraId="5F544C54"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Ինդուկտիվ կապված պլազմայի օգտագործմամբ զանգվածասպեկտրաչափումը </w:t>
      </w:r>
      <w:r w:rsidRPr="00B834A2">
        <w:rPr>
          <w:rFonts w:ascii="Sylfaen" w:hAnsi="Sylfaen"/>
          <w:i/>
          <w:sz w:val="24"/>
          <w:szCs w:val="24"/>
        </w:rPr>
        <w:t xml:space="preserve">(ԶՍ-ԻԿՊ, ICP-MS </w:t>
      </w:r>
      <w:r w:rsidR="00B42439" w:rsidRPr="00B42439">
        <w:rPr>
          <w:rFonts w:ascii="Sylfaen" w:hAnsi="Sylfaen"/>
          <w:i/>
          <w:sz w:val="24"/>
          <w:szCs w:val="24"/>
        </w:rPr>
        <w:t>-</w:t>
      </w:r>
      <w:r w:rsidRPr="00B834A2">
        <w:rPr>
          <w:rFonts w:ascii="Sylfaen" w:hAnsi="Sylfaen"/>
          <w:i/>
          <w:sz w:val="24"/>
          <w:szCs w:val="24"/>
        </w:rPr>
        <w:t xml:space="preserve"> inductively coupled plasma-mass</w:t>
      </w:r>
      <w:r w:rsidRPr="00B834A2">
        <w:rPr>
          <w:rFonts w:ascii="Sylfaen" w:hAnsi="Sylfaen"/>
          <w:sz w:val="24"/>
          <w:szCs w:val="24"/>
        </w:rPr>
        <w:t xml:space="preserve"> spectrometry)՝ որպես ինոնացնող աղբյուր ինդուկտիվ կապված պլազման (ԻԿՊ) օգտագործող մեթոդ է: ԻԿՊ-ի հիմնական սկզբունքները նկարագրված են 2.1.2.41 ընդհանուր դեղագրքային հոդվածում:</w:t>
      </w:r>
      <w:r w:rsidRPr="00B834A2">
        <w:rPr>
          <w:rStyle w:val="Bodytext210pt8"/>
          <w:sz w:val="24"/>
          <w:szCs w:val="24"/>
        </w:rPr>
        <w:t xml:space="preserve"> </w:t>
      </w:r>
      <w:r w:rsidRPr="00B834A2">
        <w:rPr>
          <w:rFonts w:ascii="Sylfaen" w:hAnsi="Sylfaen"/>
          <w:i/>
          <w:sz w:val="24"/>
          <w:szCs w:val="24"/>
        </w:rPr>
        <w:t>Ինդուկտիվ կապված պլազմայով ատոմա</w:t>
      </w:r>
      <w:r w:rsidR="00B42439">
        <w:rPr>
          <w:rFonts w:ascii="Sylfaen" w:hAnsi="Sylfaen"/>
          <w:i/>
          <w:sz w:val="24"/>
          <w:szCs w:val="24"/>
        </w:rPr>
        <w:t>յին էմիսիոն սպեկտրաչափում (ԱԷՍ-</w:t>
      </w:r>
      <w:r w:rsidRPr="00B834A2">
        <w:rPr>
          <w:rFonts w:ascii="Sylfaen" w:hAnsi="Sylfaen"/>
          <w:i/>
          <w:sz w:val="24"/>
          <w:szCs w:val="24"/>
        </w:rPr>
        <w:t>ԻԿՊ).</w:t>
      </w:r>
    </w:p>
    <w:p w14:paraId="400117E5"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ԶՍ-ԻԿՊ-ում օգտագործվում է նմուշի բաղադրության մեջ մտնող տարրերի լիցքավորված իոններ՝ գեներացնելու ԻԿՊ-ի ունակությունը: </w:t>
      </w:r>
      <w:r w:rsidRPr="00B834A2">
        <w:rPr>
          <w:rFonts w:ascii="Sylfaen" w:hAnsi="Sylfaen"/>
          <w:sz w:val="24"/>
          <w:szCs w:val="24"/>
        </w:rPr>
        <w:t xml:space="preserve">Ստացված իոններն ուղղում են զանգվածային սպեկրաչափ, որը դրանք բաժանում է զանգված/լիցք </w:t>
      </w:r>
      <w:r w:rsidRPr="00B834A2">
        <w:rPr>
          <w:rFonts w:ascii="Sylfaen" w:hAnsi="Sylfaen"/>
          <w:i/>
          <w:sz w:val="24"/>
          <w:szCs w:val="24"/>
        </w:rPr>
        <w:t>(m/z)</w:t>
      </w:r>
      <w:r w:rsidRPr="00B834A2">
        <w:rPr>
          <w:rFonts w:ascii="Sylfaen" w:hAnsi="Sylfaen"/>
          <w:sz w:val="24"/>
          <w:szCs w:val="24"/>
        </w:rPr>
        <w:t xml:space="preserve"> հարաբերակցությանը համապատասխան:</w:t>
      </w:r>
      <w:r w:rsidRPr="00B834A2">
        <w:rPr>
          <w:rStyle w:val="Bodytext210pt"/>
          <w:sz w:val="24"/>
          <w:szCs w:val="24"/>
        </w:rPr>
        <w:t xml:space="preserve"> Զանգվածային սպեկտրաչափերի մեծ մասն ունի քառաբ</w:t>
      </w:r>
      <w:r>
        <w:rPr>
          <w:rStyle w:val="Bodytext210pt"/>
          <w:sz w:val="24"/>
          <w:szCs w:val="24"/>
        </w:rPr>
        <w:t>եւ</w:t>
      </w:r>
      <w:r w:rsidRPr="00B834A2">
        <w:rPr>
          <w:rStyle w:val="Bodytext210pt"/>
          <w:sz w:val="24"/>
          <w:szCs w:val="24"/>
        </w:rPr>
        <w:t xml:space="preserve">եռային կամ մագնիսական անալիզարարներ: Իոնները </w:t>
      </w:r>
      <w:r w:rsidRPr="002B15C9">
        <w:rPr>
          <w:rStyle w:val="Bodytext210pt"/>
          <w:spacing w:val="-4"/>
          <w:sz w:val="24"/>
          <w:szCs w:val="24"/>
        </w:rPr>
        <w:t>պլազմայից տեղափոխվում են իոնային օպտիկա երկու կոնի միջով (ինտերֆեյսի տիրույթ ստեղծող՝ նմուշառիչի եւ զատիչի կոներ): Իոնային օպտիկան բաղկացած է էլեկտրաստատիկ</w:t>
      </w:r>
      <w:r w:rsidRPr="00B834A2">
        <w:rPr>
          <w:rStyle w:val="Bodytext210pt"/>
          <w:sz w:val="24"/>
          <w:szCs w:val="24"/>
        </w:rPr>
        <w:t xml:space="preserve"> լինզաներից, որոնք փոխանցում են իոնները մթնոլորտային ճնշմամբ տարածությունից տուրբամոլեկուլային պոմպի օգնությամբ պահպանվող՝ 10</w:t>
      </w:r>
      <w:r w:rsidRPr="00B834A2">
        <w:rPr>
          <w:rStyle w:val="Bodytext210pt"/>
          <w:sz w:val="24"/>
          <w:szCs w:val="24"/>
          <w:vertAlign w:val="superscript"/>
        </w:rPr>
        <w:t>-8</w:t>
      </w:r>
      <w:r w:rsidRPr="00B834A2">
        <w:rPr>
          <w:rStyle w:val="Bodytext210pt"/>
          <w:sz w:val="24"/>
          <w:szCs w:val="24"/>
        </w:rPr>
        <w:t xml:space="preserve"> Պա կամ պակա ճնշմամբ զանգվածազտիչին: Զտելուց հետո զանգված/լիցք ընտրված հարաբերակցությամբ իոններն ուղղվում են դետեկտորին (ուղու էլեկտրաբազմապատկիչ, Ֆարադեի թաս, դինոդներ), որտեղ իոնների հոսքը կոնվերտվում է էլեկտրական ազդանշանների:</w:t>
      </w:r>
      <w:r>
        <w:rPr>
          <w:rStyle w:val="Bodytext210pt"/>
          <w:sz w:val="24"/>
          <w:szCs w:val="24"/>
        </w:rPr>
        <w:t xml:space="preserve"> </w:t>
      </w:r>
      <w:r w:rsidRPr="00B834A2">
        <w:rPr>
          <w:rStyle w:val="Bodytext210pt"/>
          <w:sz w:val="24"/>
          <w:szCs w:val="24"/>
        </w:rPr>
        <w:t>Քանակապես տարրերը որոշվում</w:t>
      </w:r>
      <w:r w:rsidR="00B42439" w:rsidRPr="00B42439">
        <w:rPr>
          <w:rStyle w:val="Bodytext210pt"/>
          <w:sz w:val="24"/>
          <w:szCs w:val="24"/>
        </w:rPr>
        <w:t> </w:t>
      </w:r>
      <w:r w:rsidRPr="00B834A2">
        <w:rPr>
          <w:rStyle w:val="Bodytext210pt"/>
          <w:sz w:val="24"/>
          <w:szCs w:val="24"/>
        </w:rPr>
        <w:t xml:space="preserve">են ըստ ժամանակ միավորում հայտնվող </w:t>
      </w:r>
      <w:r>
        <w:rPr>
          <w:rStyle w:val="Bodytext210pt"/>
          <w:sz w:val="24"/>
          <w:szCs w:val="24"/>
        </w:rPr>
        <w:t xml:space="preserve">եւ </w:t>
      </w:r>
      <w:r w:rsidRPr="00B834A2">
        <w:rPr>
          <w:rStyle w:val="Bodytext210pt"/>
          <w:sz w:val="24"/>
          <w:szCs w:val="24"/>
        </w:rPr>
        <w:t>էլեկտրական իմպուլսներ գեներացվող իոնների թվի:</w:t>
      </w:r>
    </w:p>
    <w:p w14:paraId="04FE7CD1"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Նմուշի ներմուծման համակարգը </w:t>
      </w:r>
      <w:r>
        <w:rPr>
          <w:rStyle w:val="Bodytext210pt"/>
          <w:sz w:val="24"/>
          <w:szCs w:val="24"/>
        </w:rPr>
        <w:t>եւ</w:t>
      </w:r>
      <w:r w:rsidRPr="00B834A2">
        <w:rPr>
          <w:rStyle w:val="Bodytext210pt"/>
          <w:sz w:val="24"/>
          <w:szCs w:val="24"/>
        </w:rPr>
        <w:t xml:space="preserve"> տվյալների մշակման եղանակները համանման են ԻԿՊ-ԱԷՍ-ում օգտագործվողներին:</w:t>
      </w:r>
    </w:p>
    <w:p w14:paraId="3207227D" w14:textId="77777777" w:rsidR="00B834A2" w:rsidRPr="00B834A2" w:rsidRDefault="00B834A2" w:rsidP="00B834A2">
      <w:pPr>
        <w:pStyle w:val="Bodytext20"/>
        <w:shd w:val="clear" w:color="auto" w:fill="auto"/>
        <w:spacing w:before="0" w:after="160" w:line="360" w:lineRule="auto"/>
        <w:ind w:firstLine="567"/>
        <w:rPr>
          <w:rStyle w:val="Bodytext210pt"/>
          <w:b/>
          <w:sz w:val="24"/>
          <w:szCs w:val="24"/>
        </w:rPr>
      </w:pPr>
    </w:p>
    <w:p w14:paraId="56C2D09A" w14:textId="77777777" w:rsidR="00B834A2" w:rsidRPr="00B834A2" w:rsidRDefault="00B834A2" w:rsidP="00D2561B">
      <w:pPr>
        <w:pStyle w:val="Bodytext20"/>
        <w:shd w:val="clear" w:color="auto" w:fill="auto"/>
        <w:spacing w:before="0" w:after="160" w:line="348" w:lineRule="auto"/>
        <w:ind w:firstLine="567"/>
        <w:jc w:val="both"/>
        <w:rPr>
          <w:rFonts w:ascii="Sylfaen" w:hAnsi="Sylfaen"/>
          <w:b/>
          <w:sz w:val="24"/>
          <w:szCs w:val="24"/>
        </w:rPr>
      </w:pPr>
      <w:r w:rsidRPr="00B834A2">
        <w:rPr>
          <w:rStyle w:val="Bodytext210pt"/>
          <w:b/>
          <w:sz w:val="24"/>
          <w:szCs w:val="24"/>
        </w:rPr>
        <w:lastRenderedPageBreak/>
        <w:t>ՍԱՐՔ</w:t>
      </w:r>
    </w:p>
    <w:p w14:paraId="0AC990D2" w14:textId="77777777" w:rsidR="00B834A2" w:rsidRPr="00B834A2" w:rsidRDefault="00B834A2" w:rsidP="00D2561B">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Սարքի գլխավոր բաղկացուցիչ մասերն են՝</w:t>
      </w:r>
    </w:p>
    <w:p w14:paraId="71C578D7"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լուծույթը հաստատուն արագությամբ փոշարար մատուցող պերիստալտիկ պոմպից բաղկացած նմուշի ներմուծման համակարգ. </w:t>
      </w:r>
    </w:p>
    <w:p w14:paraId="3FB9C4EB"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ռադիոհաճախային (ՌՀ) գեներատոր.</w:t>
      </w:r>
    </w:p>
    <w:p w14:paraId="54C44C1A"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Style w:val="Bodytext210pt"/>
          <w:sz w:val="24"/>
          <w:szCs w:val="24"/>
        </w:rPr>
        <w:t>-</w:t>
      </w:r>
      <w:r w:rsidR="002B15C9" w:rsidRPr="002B15C9">
        <w:rPr>
          <w:rStyle w:val="Bodytext210pt"/>
          <w:sz w:val="24"/>
          <w:szCs w:val="24"/>
        </w:rPr>
        <w:tab/>
      </w:r>
      <w:r w:rsidRPr="00B834A2">
        <w:rPr>
          <w:rStyle w:val="Bodytext210pt"/>
          <w:sz w:val="24"/>
          <w:szCs w:val="24"/>
        </w:rPr>
        <w:t>պլազմային հրածորան.</w:t>
      </w:r>
    </w:p>
    <w:p w14:paraId="09A86E65"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իոնները իոնային օպտիկա փոխանցելու համար կոներ իր մեջ ներառող ինտերֆեյսի տիրույթ.</w:t>
      </w:r>
    </w:p>
    <w:p w14:paraId="1D9FD037"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զանգվածային սպեկտրաչափ.</w:t>
      </w:r>
    </w:p>
    <w:p w14:paraId="17039850"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Style w:val="Bodytext210pt"/>
          <w:sz w:val="24"/>
          <w:szCs w:val="24"/>
        </w:rPr>
        <w:t>-</w:t>
      </w:r>
      <w:r w:rsidR="002B15C9" w:rsidRPr="002B15C9">
        <w:rPr>
          <w:rStyle w:val="Bodytext210pt"/>
          <w:sz w:val="24"/>
          <w:szCs w:val="24"/>
        </w:rPr>
        <w:tab/>
      </w:r>
      <w:r w:rsidRPr="00B834A2">
        <w:rPr>
          <w:rStyle w:val="Bodytext210pt"/>
          <w:sz w:val="24"/>
          <w:szCs w:val="24"/>
        </w:rPr>
        <w:t>դետեկտոր.</w:t>
      </w:r>
    </w:p>
    <w:p w14:paraId="7FF6EFBA" w14:textId="77777777" w:rsidR="00B834A2" w:rsidRPr="00B834A2" w:rsidRDefault="00B834A2" w:rsidP="00D2561B">
      <w:pPr>
        <w:pStyle w:val="Bodytext20"/>
        <w:shd w:val="clear" w:color="auto" w:fill="auto"/>
        <w:tabs>
          <w:tab w:val="left" w:pos="1134"/>
        </w:tabs>
        <w:spacing w:before="0" w:after="160" w:line="348"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տվյալների հավաքման բլոկ։</w:t>
      </w:r>
    </w:p>
    <w:p w14:paraId="3F57BB64" w14:textId="77777777" w:rsidR="00B834A2" w:rsidRPr="00B834A2" w:rsidRDefault="00B834A2" w:rsidP="00D2561B">
      <w:pPr>
        <w:pStyle w:val="Bodytext20"/>
        <w:shd w:val="clear" w:color="auto" w:fill="auto"/>
        <w:spacing w:before="0" w:after="160" w:line="348" w:lineRule="auto"/>
        <w:ind w:firstLine="567"/>
        <w:jc w:val="both"/>
        <w:rPr>
          <w:rStyle w:val="Bodytext210pt"/>
          <w:sz w:val="24"/>
          <w:szCs w:val="24"/>
        </w:rPr>
      </w:pPr>
    </w:p>
    <w:p w14:paraId="23BCB8E2" w14:textId="77777777" w:rsidR="00B834A2" w:rsidRPr="00B834A2" w:rsidRDefault="00B834A2" w:rsidP="00D2561B">
      <w:pPr>
        <w:pStyle w:val="Bodytext20"/>
        <w:shd w:val="clear" w:color="auto" w:fill="auto"/>
        <w:spacing w:before="0" w:after="160" w:line="348" w:lineRule="auto"/>
        <w:ind w:firstLine="567"/>
        <w:jc w:val="both"/>
        <w:rPr>
          <w:rFonts w:ascii="Sylfaen" w:hAnsi="Sylfaen"/>
          <w:b/>
          <w:sz w:val="24"/>
          <w:szCs w:val="24"/>
        </w:rPr>
      </w:pPr>
      <w:r w:rsidRPr="00B834A2">
        <w:rPr>
          <w:rStyle w:val="Bodytext210pt"/>
          <w:b/>
          <w:sz w:val="24"/>
          <w:szCs w:val="24"/>
        </w:rPr>
        <w:t>ԻՆՏԵՐՖԵՐԵՆՑԻԱ</w:t>
      </w:r>
    </w:p>
    <w:p w14:paraId="1A0D6981" w14:textId="77777777" w:rsidR="00B834A2" w:rsidRPr="00B834A2" w:rsidRDefault="00B834A2" w:rsidP="00D2561B">
      <w:pPr>
        <w:pStyle w:val="Tablecaption30"/>
        <w:shd w:val="clear" w:color="auto" w:fill="auto"/>
        <w:spacing w:after="160" w:line="348" w:lineRule="auto"/>
        <w:ind w:firstLine="567"/>
        <w:jc w:val="both"/>
        <w:rPr>
          <w:sz w:val="24"/>
          <w:szCs w:val="24"/>
        </w:rPr>
      </w:pPr>
      <w:r w:rsidRPr="00B834A2">
        <w:rPr>
          <w:rStyle w:val="Bodytext210pt"/>
          <w:sz w:val="24"/>
          <w:szCs w:val="24"/>
        </w:rPr>
        <w:t xml:space="preserve">Առավելագույն խնդիրը զանգվածային ինտերեֆերենցիան է: Օրինակ՝ իզոբարային տարատեսակները էականորեն վրածածկում են որոնելի իոնների զանգվածային ազդանշանը, հատկապես՝ զանգվածի ընդգրկույթի կենտրոնական </w:t>
      </w:r>
      <w:r w:rsidRPr="002B15C9">
        <w:rPr>
          <w:rStyle w:val="Bodytext210pt"/>
          <w:spacing w:val="-4"/>
          <w:sz w:val="24"/>
          <w:szCs w:val="24"/>
        </w:rPr>
        <w:t>մասում (օրինակ՝</w:t>
      </w:r>
      <w:r w:rsidR="00C94376">
        <w:rPr>
          <w:rStyle w:val="Bodytext210pt"/>
          <w:spacing w:val="-4"/>
          <w:sz w:val="24"/>
          <w:szCs w:val="24"/>
        </w:rPr>
        <w:t xml:space="preserve"> 40-</w:t>
      </w:r>
      <w:r w:rsidRPr="002B15C9">
        <w:rPr>
          <w:rStyle w:val="Bodytext210pt"/>
          <w:spacing w:val="-4"/>
          <w:sz w:val="24"/>
          <w:szCs w:val="24"/>
        </w:rPr>
        <w:t xml:space="preserve">80 զ.ա.մ.): Ատոմային իոնների համակցությունը հանգեցնում է պոլիատոմային կամ մոլեկուլային ինտերֆերենցիաների (այսինքն՝ </w:t>
      </w:r>
      <w:r w:rsidRPr="002B15C9">
        <w:rPr>
          <w:rStyle w:val="Bodytext210pt"/>
          <w:spacing w:val="-4"/>
          <w:sz w:val="24"/>
          <w:szCs w:val="24"/>
          <w:vertAlign w:val="superscript"/>
        </w:rPr>
        <w:t>40</w:t>
      </w:r>
      <w:r w:rsidRPr="002B15C9">
        <w:rPr>
          <w:rStyle w:val="Bodytext210pt"/>
          <w:spacing w:val="-4"/>
          <w:sz w:val="24"/>
          <w:szCs w:val="24"/>
        </w:rPr>
        <w:t>Ar</w:t>
      </w:r>
      <w:r w:rsidRPr="002B15C9">
        <w:rPr>
          <w:rStyle w:val="Bodytext210pt"/>
          <w:spacing w:val="-4"/>
          <w:sz w:val="24"/>
          <w:szCs w:val="24"/>
          <w:vertAlign w:val="superscript"/>
        </w:rPr>
        <w:t>16</w:t>
      </w:r>
      <w:r w:rsidRPr="002B15C9">
        <w:rPr>
          <w:rStyle w:val="Bodytext210pt"/>
          <w:spacing w:val="-4"/>
          <w:sz w:val="24"/>
          <w:szCs w:val="24"/>
        </w:rPr>
        <w:t xml:space="preserve">O с </w:t>
      </w:r>
      <w:r w:rsidRPr="002B15C9">
        <w:rPr>
          <w:rStyle w:val="Bodytext210pt"/>
          <w:spacing w:val="-4"/>
          <w:sz w:val="24"/>
          <w:szCs w:val="24"/>
          <w:vertAlign w:val="superscript"/>
        </w:rPr>
        <w:t>56</w:t>
      </w:r>
      <w:r w:rsidRPr="002B15C9">
        <w:rPr>
          <w:rStyle w:val="Bodytext210pt"/>
          <w:spacing w:val="-4"/>
          <w:sz w:val="24"/>
          <w:szCs w:val="24"/>
        </w:rPr>
        <w:t xml:space="preserve">Fe կամ </w:t>
      </w:r>
      <w:r w:rsidRPr="002B15C9">
        <w:rPr>
          <w:rStyle w:val="Bodytext210pt"/>
          <w:spacing w:val="-4"/>
          <w:sz w:val="24"/>
          <w:szCs w:val="24"/>
          <w:vertAlign w:val="superscript"/>
        </w:rPr>
        <w:t>40</w:t>
      </w:r>
      <w:r w:rsidRPr="002B15C9">
        <w:rPr>
          <w:rStyle w:val="Bodytext210pt"/>
          <w:spacing w:val="-4"/>
          <w:sz w:val="24"/>
          <w:szCs w:val="24"/>
        </w:rPr>
        <w:t>Аr</w:t>
      </w:r>
      <w:r w:rsidRPr="002B15C9">
        <w:rPr>
          <w:rStyle w:val="Bodytext210pt"/>
          <w:spacing w:val="-4"/>
          <w:sz w:val="24"/>
          <w:szCs w:val="24"/>
          <w:vertAlign w:val="superscript"/>
        </w:rPr>
        <w:t>40</w:t>
      </w:r>
      <w:r w:rsidRPr="002B15C9">
        <w:rPr>
          <w:rStyle w:val="Bodytext210pt"/>
          <w:spacing w:val="-4"/>
          <w:sz w:val="24"/>
          <w:szCs w:val="24"/>
        </w:rPr>
        <w:t xml:space="preserve">Аr с </w:t>
      </w:r>
      <w:r w:rsidRPr="002B15C9">
        <w:rPr>
          <w:rStyle w:val="Bodytext210pt"/>
          <w:spacing w:val="-4"/>
          <w:sz w:val="24"/>
          <w:szCs w:val="24"/>
          <w:vertAlign w:val="superscript"/>
        </w:rPr>
        <w:t>80</w:t>
      </w:r>
      <w:r w:rsidRPr="002B15C9">
        <w:rPr>
          <w:rStyle w:val="Bodytext210pt"/>
          <w:spacing w:val="-4"/>
          <w:sz w:val="24"/>
          <w:szCs w:val="24"/>
        </w:rPr>
        <w:t>Se): Մատրիցը, որոշ որոշվող տարրերի դեպքում, նույնպես կարող է առաջացնել ինտերֆերենցիա: Որոշ նմուշներ ազդեցություն են գործում կաթիլների</w:t>
      </w:r>
      <w:r w:rsidRPr="00B834A2">
        <w:rPr>
          <w:rStyle w:val="Bodytext210pt"/>
          <w:sz w:val="24"/>
          <w:szCs w:val="24"/>
        </w:rPr>
        <w:t xml:space="preserve"> առաջացման կամ պլազմայում իոնացման ջերմաստիճանի վրա: Այդ եր</w:t>
      </w:r>
      <w:r>
        <w:rPr>
          <w:rStyle w:val="Bodytext210pt"/>
          <w:sz w:val="24"/>
          <w:szCs w:val="24"/>
        </w:rPr>
        <w:t>եւ</w:t>
      </w:r>
      <w:r w:rsidRPr="00B834A2">
        <w:rPr>
          <w:rStyle w:val="Bodytext210pt"/>
          <w:sz w:val="24"/>
          <w:szCs w:val="24"/>
        </w:rPr>
        <w:t xml:space="preserve">ույթները կարող են հանգեցնել որոշվող տարրի անալիտիկ ազդանշանի ճնշմանը՝ ազդեցություն ունենալով արդյունքի հուսալիության վրա: Ֆիզիկական ինտերֆերենցիան կարելի է շրջանցել՝ օգտագործելով ներքին ստանդարտի մեթոդ կամ ստանդարտ հավելումների մեթոդ: Որպես ներքին ստանդարտ օգտագործվող տարրի ընտրությունը պայմանավորված է հետազոտվող տարրով՝ օրինակ՝ որպես ներքին ստանդարտներ կարող են օգտագործվել </w:t>
      </w:r>
      <w:r w:rsidRPr="00B834A2">
        <w:rPr>
          <w:rStyle w:val="Bodytext210pt"/>
          <w:sz w:val="24"/>
          <w:szCs w:val="24"/>
          <w:vertAlign w:val="superscript"/>
        </w:rPr>
        <w:t>59</w:t>
      </w:r>
      <w:r w:rsidRPr="00B834A2">
        <w:rPr>
          <w:rStyle w:val="Bodytext210pt"/>
          <w:sz w:val="24"/>
          <w:szCs w:val="24"/>
        </w:rPr>
        <w:t xml:space="preserve">Со </w:t>
      </w:r>
      <w:r>
        <w:rPr>
          <w:rStyle w:val="Bodytext210pt"/>
          <w:sz w:val="24"/>
          <w:szCs w:val="24"/>
        </w:rPr>
        <w:t>եւ</w:t>
      </w:r>
      <w:r w:rsidRPr="00B834A2">
        <w:rPr>
          <w:rStyle w:val="Bodytext210pt"/>
          <w:sz w:val="24"/>
          <w:szCs w:val="24"/>
        </w:rPr>
        <w:t xml:space="preserve"> </w:t>
      </w:r>
      <w:r w:rsidRPr="00B834A2">
        <w:rPr>
          <w:rStyle w:val="Bodytext210pt"/>
          <w:sz w:val="24"/>
          <w:szCs w:val="24"/>
          <w:vertAlign w:val="superscript"/>
        </w:rPr>
        <w:t>115</w:t>
      </w:r>
      <w:r w:rsidRPr="00B834A2">
        <w:rPr>
          <w:rStyle w:val="Bodytext210pt"/>
          <w:sz w:val="24"/>
          <w:szCs w:val="24"/>
        </w:rPr>
        <w:t>ln:</w:t>
      </w:r>
    </w:p>
    <w:p w14:paraId="0F954492"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ԶՍ-ԻԿՊ սարքերի հիմնական բնութագիրը լուծումն է, այսինքն երկու մոտ զանգվածների բաժանման արդյունավետությունը: Այդ տեսանկյունից քառաբ</w:t>
      </w:r>
      <w:r>
        <w:rPr>
          <w:rStyle w:val="Bodytext210pt"/>
          <w:sz w:val="24"/>
          <w:szCs w:val="24"/>
        </w:rPr>
        <w:t>եւ</w:t>
      </w:r>
      <w:r w:rsidRPr="00B834A2">
        <w:rPr>
          <w:rStyle w:val="Bodytext210pt"/>
          <w:sz w:val="24"/>
          <w:szCs w:val="24"/>
        </w:rPr>
        <w:t>եռային անալիզարարներով սարքերը զիջում են մագնիսական անալիզարարներով սարքերին:</w:t>
      </w:r>
    </w:p>
    <w:p w14:paraId="6C744C2F" w14:textId="77777777" w:rsidR="00B834A2" w:rsidRPr="00B834A2" w:rsidRDefault="00B834A2" w:rsidP="00B834A2">
      <w:pPr>
        <w:pStyle w:val="Bodytext20"/>
        <w:shd w:val="clear" w:color="auto" w:fill="auto"/>
        <w:spacing w:before="0" w:after="160" w:line="360" w:lineRule="auto"/>
        <w:ind w:firstLine="567"/>
        <w:rPr>
          <w:rStyle w:val="Bodytext210pt"/>
          <w:b/>
          <w:sz w:val="24"/>
          <w:szCs w:val="24"/>
        </w:rPr>
      </w:pPr>
    </w:p>
    <w:p w14:paraId="449B9B4A" w14:textId="77777777" w:rsidR="00B834A2" w:rsidRPr="00530993" w:rsidRDefault="00B834A2" w:rsidP="002B15C9">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t>ՄԵԹՈԴ</w:t>
      </w:r>
    </w:p>
    <w:p w14:paraId="20A1353C"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ՓՈՐՁԱՆՄՈՒՇՆԵՐԻ ՊԱՏՐԱՍՏՈՒՄ ԵՒ ՆՄՈՒՇԻ ՆԵՐՄՈՒԾՈՒՄ</w:t>
      </w:r>
    </w:p>
    <w:p w14:paraId="6383FFFC"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Փորձանմուշների պատրաստումը սովորաբար իր մեջ ներառում է համապատասխան մեթոդի օգնությամբ մատրիցի, օրինակ՝ միկրոալիքային վառարանում տարրալուծումը:</w:t>
      </w:r>
      <w:r>
        <w:rPr>
          <w:rStyle w:val="Bodytext210pt"/>
          <w:sz w:val="24"/>
          <w:szCs w:val="24"/>
        </w:rPr>
        <w:t xml:space="preserve"> </w:t>
      </w:r>
      <w:r w:rsidRPr="00B834A2">
        <w:rPr>
          <w:rStyle w:val="Bodytext210pt"/>
          <w:sz w:val="24"/>
          <w:szCs w:val="24"/>
        </w:rPr>
        <w:t xml:space="preserve">Բացի այդ, անհրաժեշտ է ապահովել նոսրացմամբ կամ կոնցենտրացմամբ սարքի աշխատանքային ընդգրկույթ որոշվող տարրի կոնցենտրացիայի հայտնվելը </w:t>
      </w:r>
      <w:r>
        <w:rPr>
          <w:rStyle w:val="Bodytext210pt"/>
          <w:sz w:val="24"/>
          <w:szCs w:val="24"/>
        </w:rPr>
        <w:t>եւ</w:t>
      </w:r>
      <w:r w:rsidRPr="00B834A2">
        <w:rPr>
          <w:rStyle w:val="Bodytext210pt"/>
          <w:sz w:val="24"/>
          <w:szCs w:val="24"/>
        </w:rPr>
        <w:t xml:space="preserve"> վերարտադրողականորեն փոշիացման ունակ փորձարկվող նմուշի լուծույթի ստացումը: </w:t>
      </w:r>
    </w:p>
    <w:p w14:paraId="5A00416F" w14:textId="77777777" w:rsidR="00B834A2" w:rsidRPr="00B5542D" w:rsidRDefault="00B834A2" w:rsidP="002B15C9">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Որոշ փոշիացման համակարգեր կայուն են թթուների բարձր կոնցենտրացիաների ազդեցության նկատմամբ, սակայն ծծմբական թթվի </w:t>
      </w:r>
      <w:r>
        <w:rPr>
          <w:rStyle w:val="Bodytext210pt"/>
          <w:sz w:val="24"/>
          <w:szCs w:val="24"/>
        </w:rPr>
        <w:t>եւ</w:t>
      </w:r>
      <w:r w:rsidRPr="00B834A2">
        <w:rPr>
          <w:rStyle w:val="Bodytext210pt"/>
          <w:sz w:val="24"/>
          <w:szCs w:val="24"/>
        </w:rPr>
        <w:t xml:space="preserve"> ֆոսֆորաթթվի օգտագործումը կարող է ազդեցություն ունենալ ԻԿՊ-սպեկտրների բազային գծի վրա: Առավել նախընտրելի է ազոտային </w:t>
      </w:r>
      <w:r>
        <w:rPr>
          <w:rStyle w:val="Bodytext210pt"/>
          <w:sz w:val="24"/>
          <w:szCs w:val="24"/>
        </w:rPr>
        <w:t>եւ</w:t>
      </w:r>
      <w:r w:rsidRPr="00B834A2">
        <w:rPr>
          <w:rStyle w:val="Bodytext210pt"/>
          <w:sz w:val="24"/>
          <w:szCs w:val="24"/>
        </w:rPr>
        <w:t xml:space="preserve"> քլորջրածնային թթուների օգտագործումը: Ֆտորաջրածնային թթուն կարելի է օգտագործել դրա նկատմամբ կայուն (օրինակ՝ պերֆտորալկոքսիպոլիմերից) նմուշի ներմուծման համակարգերի </w:t>
      </w:r>
      <w:r>
        <w:rPr>
          <w:rStyle w:val="Bodytext210pt"/>
          <w:sz w:val="24"/>
          <w:szCs w:val="24"/>
        </w:rPr>
        <w:t>եւ</w:t>
      </w:r>
      <w:r w:rsidRPr="00B834A2">
        <w:rPr>
          <w:rStyle w:val="Bodytext210pt"/>
          <w:sz w:val="24"/>
          <w:szCs w:val="24"/>
        </w:rPr>
        <w:t xml:space="preserve"> հրածորանների առկայության դեպքում: Նմուշի ներմուծման մեթոդ ընտրելիս հաշվի են առնում զգայունության, կայունության, արագության, նմուշի չափի, կոռոզիայի նկատմամբ կայունության </w:t>
      </w:r>
      <w:r>
        <w:rPr>
          <w:rStyle w:val="Bodytext210pt"/>
          <w:sz w:val="24"/>
          <w:szCs w:val="24"/>
        </w:rPr>
        <w:t>եւ</w:t>
      </w:r>
      <w:r w:rsidRPr="00B834A2">
        <w:rPr>
          <w:rStyle w:val="Bodytext210pt"/>
          <w:sz w:val="24"/>
          <w:szCs w:val="24"/>
        </w:rPr>
        <w:t xml:space="preserve"> խցանման նկատմամբ կայունության մասով պահանջները: Մեծամասամբ հարմար է փոշիացման խցի</w:t>
      </w:r>
      <w:r w:rsidRPr="00B42439">
        <w:rPr>
          <w:rStyle w:val="Bodytext210pt"/>
          <w:sz w:val="24"/>
          <w:szCs w:val="24"/>
        </w:rPr>
        <w:t>կի</w:t>
      </w:r>
      <w:r w:rsidR="00B42439" w:rsidRPr="00B42439">
        <w:rPr>
          <w:rFonts w:ascii="Sylfaen" w:eastAsia="Sylfaen" w:hAnsi="Sylfaen"/>
          <w:sz w:val="24"/>
          <w:szCs w:val="24"/>
        </w:rPr>
        <w:t> </w:t>
      </w:r>
      <w:r>
        <w:rPr>
          <w:rStyle w:val="Bodytext210pt"/>
          <w:sz w:val="24"/>
          <w:szCs w:val="24"/>
        </w:rPr>
        <w:t>եւ</w:t>
      </w:r>
      <w:r w:rsidRPr="00B834A2">
        <w:rPr>
          <w:rStyle w:val="Bodytext210pt"/>
          <w:sz w:val="24"/>
          <w:szCs w:val="24"/>
        </w:rPr>
        <w:t xml:space="preserve"> հրածորանի հետ լայնական հոսքով փոշարարի օգտագործումը: Պերիստալտիկ պոմպը մատուցում է փորձարկվող լուծույթ </w:t>
      </w:r>
      <w:r>
        <w:rPr>
          <w:rStyle w:val="Bodytext210pt"/>
          <w:sz w:val="24"/>
          <w:szCs w:val="24"/>
        </w:rPr>
        <w:t>եւ</w:t>
      </w:r>
      <w:r w:rsidRPr="00B834A2">
        <w:rPr>
          <w:rStyle w:val="Bodytext210pt"/>
          <w:sz w:val="24"/>
          <w:szCs w:val="24"/>
        </w:rPr>
        <w:t xml:space="preserve"> համեմատման լուծույթ՝</w:t>
      </w:r>
      <w:r w:rsidR="00B42439">
        <w:rPr>
          <w:rStyle w:val="Bodytext210pt"/>
          <w:sz w:val="24"/>
          <w:szCs w:val="24"/>
        </w:rPr>
        <w:t xml:space="preserve"> 20-</w:t>
      </w:r>
      <w:r w:rsidRPr="00B834A2">
        <w:rPr>
          <w:rStyle w:val="Bodytext210pt"/>
          <w:sz w:val="24"/>
          <w:szCs w:val="24"/>
        </w:rPr>
        <w:t>1000 մկլ/րոպե արագությամբ:</w:t>
      </w:r>
    </w:p>
    <w:p w14:paraId="56DB25D3" w14:textId="77777777" w:rsidR="00B867ED" w:rsidRPr="00B5542D" w:rsidRDefault="00B867ED" w:rsidP="002B15C9">
      <w:pPr>
        <w:pStyle w:val="Bodytext20"/>
        <w:shd w:val="clear" w:color="auto" w:fill="auto"/>
        <w:spacing w:before="0" w:after="160" w:line="360" w:lineRule="auto"/>
        <w:ind w:firstLine="567"/>
        <w:jc w:val="both"/>
        <w:rPr>
          <w:rFonts w:ascii="Sylfaen" w:hAnsi="Sylfaen"/>
          <w:sz w:val="24"/>
          <w:szCs w:val="24"/>
        </w:rPr>
      </w:pPr>
    </w:p>
    <w:p w14:paraId="3046FC13" w14:textId="77777777" w:rsidR="00B834A2" w:rsidRPr="00B834A2" w:rsidRDefault="00B834A2" w:rsidP="00B834A2">
      <w:pPr>
        <w:pStyle w:val="Tablecaption30"/>
        <w:shd w:val="clear" w:color="auto" w:fill="auto"/>
        <w:spacing w:after="160" w:line="360" w:lineRule="auto"/>
        <w:ind w:firstLine="567"/>
        <w:jc w:val="both"/>
        <w:rPr>
          <w:sz w:val="24"/>
          <w:szCs w:val="24"/>
        </w:rPr>
      </w:pPr>
      <w:r w:rsidRPr="00B834A2">
        <w:rPr>
          <w:rStyle w:val="Bodytext210pt"/>
          <w:sz w:val="24"/>
          <w:szCs w:val="24"/>
        </w:rPr>
        <w:lastRenderedPageBreak/>
        <w:t xml:space="preserve">Օրգանական լուծիչների օգտագործման դեպքում անհրաժեշտ է ապահովել թթվածնի </w:t>
      </w:r>
      <w:r>
        <w:rPr>
          <w:rStyle w:val="Bodytext210pt"/>
          <w:sz w:val="24"/>
          <w:szCs w:val="24"/>
        </w:rPr>
        <w:t>եւ</w:t>
      </w:r>
      <w:r w:rsidRPr="00B834A2">
        <w:rPr>
          <w:rStyle w:val="Bodytext210pt"/>
          <w:sz w:val="24"/>
          <w:szCs w:val="24"/>
        </w:rPr>
        <w:t xml:space="preserve"> օրգանական շերտերի բաժանումը:</w:t>
      </w:r>
    </w:p>
    <w:p w14:paraId="2E413860" w14:textId="77777777" w:rsidR="00B834A2" w:rsidRPr="00B834A2" w:rsidRDefault="00B834A2" w:rsidP="00B834A2">
      <w:pPr>
        <w:spacing w:after="160" w:line="360" w:lineRule="auto"/>
      </w:pPr>
    </w:p>
    <w:p w14:paraId="171C7BB1" w14:textId="77777777" w:rsidR="00B834A2" w:rsidRPr="00B834A2" w:rsidRDefault="00B834A2" w:rsidP="002B15C9">
      <w:pPr>
        <w:pStyle w:val="Bodytext20"/>
        <w:shd w:val="clear" w:color="auto" w:fill="auto"/>
        <w:spacing w:before="0" w:after="160" w:line="360" w:lineRule="auto"/>
        <w:ind w:firstLine="567"/>
        <w:jc w:val="both"/>
        <w:rPr>
          <w:rStyle w:val="Bodytext210pt8"/>
          <w:sz w:val="24"/>
          <w:szCs w:val="24"/>
        </w:rPr>
      </w:pPr>
      <w:r w:rsidRPr="00B834A2">
        <w:rPr>
          <w:rStyle w:val="Bodytext210pt8"/>
          <w:sz w:val="24"/>
          <w:szCs w:val="24"/>
        </w:rPr>
        <w:t>ԱՆԱԼԻԶ ԱՆՑԿԱՑՆԵԼՈՒ ՊԱՅՄԱՆՆԵՐԻ ԸՆՏՐՈՒԹՅՈՒՆԸ</w:t>
      </w:r>
    </w:p>
    <w:p w14:paraId="3AC1ED59"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42439">
        <w:rPr>
          <w:rStyle w:val="Bodytext210pt8"/>
          <w:i w:val="0"/>
          <w:sz w:val="24"/>
          <w:szCs w:val="24"/>
        </w:rPr>
        <w:t>Անալիզի</w:t>
      </w:r>
      <w:r w:rsidRPr="00B42439">
        <w:rPr>
          <w:rStyle w:val="Bodytext210pt"/>
          <w:i/>
          <w:sz w:val="24"/>
          <w:szCs w:val="24"/>
        </w:rPr>
        <w:t xml:space="preserve"> </w:t>
      </w:r>
      <w:r w:rsidRPr="00B834A2">
        <w:rPr>
          <w:rStyle w:val="Bodytext210pt"/>
          <w:sz w:val="24"/>
          <w:szCs w:val="24"/>
        </w:rPr>
        <w:t>անցկացման պայմաններ ընտրելիս հետ</w:t>
      </w:r>
      <w:r>
        <w:rPr>
          <w:rStyle w:val="Bodytext210pt"/>
          <w:sz w:val="24"/>
          <w:szCs w:val="24"/>
        </w:rPr>
        <w:t>եւ</w:t>
      </w:r>
      <w:r w:rsidRPr="00B834A2">
        <w:rPr>
          <w:rStyle w:val="Bodytext210pt"/>
          <w:sz w:val="24"/>
          <w:szCs w:val="24"/>
        </w:rPr>
        <w:t xml:space="preserve">ում են սարք արտադրողի առաջարկություններին: Ջրային լուծույթների </w:t>
      </w:r>
      <w:r>
        <w:rPr>
          <w:rStyle w:val="Bodytext210pt"/>
          <w:sz w:val="24"/>
          <w:szCs w:val="24"/>
        </w:rPr>
        <w:t>եւ</w:t>
      </w:r>
      <w:r w:rsidRPr="00B834A2">
        <w:rPr>
          <w:rStyle w:val="Bodytext210pt"/>
          <w:sz w:val="24"/>
          <w:szCs w:val="24"/>
        </w:rPr>
        <w:t xml:space="preserve"> օրգանական լուծիչների անալիզը սովորաբար տեղի է ունենում տարբեր պայմաններում: Պատշաճորեն պետք է ընտրվեն հետ</w:t>
      </w:r>
      <w:r>
        <w:rPr>
          <w:rStyle w:val="Bodytext210pt"/>
          <w:sz w:val="24"/>
          <w:szCs w:val="24"/>
        </w:rPr>
        <w:t>եւ</w:t>
      </w:r>
      <w:r w:rsidRPr="00B834A2">
        <w:rPr>
          <w:rStyle w:val="Bodytext210pt"/>
          <w:sz w:val="24"/>
          <w:szCs w:val="24"/>
        </w:rPr>
        <w:t>յալ անալիտիկ պարամետրերը՝</w:t>
      </w:r>
    </w:p>
    <w:p w14:paraId="3CBB4414"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կոների ընտրություն (նմուշառիչի </w:t>
      </w:r>
      <w:r>
        <w:rPr>
          <w:rFonts w:ascii="Sylfaen" w:hAnsi="Sylfaen"/>
          <w:sz w:val="24"/>
          <w:szCs w:val="24"/>
        </w:rPr>
        <w:t>եւ</w:t>
      </w:r>
      <w:r w:rsidRPr="00B834A2">
        <w:rPr>
          <w:rFonts w:ascii="Sylfaen" w:hAnsi="Sylfaen"/>
          <w:sz w:val="24"/>
          <w:szCs w:val="24"/>
        </w:rPr>
        <w:t xml:space="preserve"> զատիչի նյութ).</w:t>
      </w:r>
    </w:p>
    <w:p w14:paraId="772F7773"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գազակրի հոսքերի արագությունները (հրածորանի արտաքին, միջանկյալ </w:t>
      </w:r>
      <w:r>
        <w:rPr>
          <w:rFonts w:ascii="Sylfaen" w:hAnsi="Sylfaen"/>
          <w:sz w:val="24"/>
          <w:szCs w:val="24"/>
        </w:rPr>
        <w:t>եւ</w:t>
      </w:r>
      <w:r w:rsidRPr="00B834A2">
        <w:rPr>
          <w:rFonts w:ascii="Sylfaen" w:hAnsi="Sylfaen"/>
          <w:sz w:val="24"/>
          <w:szCs w:val="24"/>
        </w:rPr>
        <w:t xml:space="preserve"> ներքին խողովակներ).</w:t>
      </w:r>
    </w:p>
    <w:p w14:paraId="73065BDA"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ռադիոհաճախային ճառագայթման հզորություն.</w:t>
      </w:r>
    </w:p>
    <w:p w14:paraId="55FEBBBF"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պոմպի արագություն.</w:t>
      </w:r>
    </w:p>
    <w:p w14:paraId="28756A7A" w14:textId="77777777" w:rsidR="00B834A2" w:rsidRPr="009217DE"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պետք է իրականացվի չափվող տարրի (զանգվածի) մեկ կամ ավելի իզոտոպերի ընտրություն:</w:t>
      </w:r>
    </w:p>
    <w:p w14:paraId="3B8286DD" w14:textId="77777777" w:rsidR="00D2561B" w:rsidRPr="00903268" w:rsidRDefault="00D2561B" w:rsidP="00B42439">
      <w:pPr>
        <w:pStyle w:val="Bodytext20"/>
        <w:shd w:val="clear" w:color="auto" w:fill="auto"/>
        <w:spacing w:before="0" w:after="160" w:line="360" w:lineRule="auto"/>
        <w:ind w:firstLine="567"/>
        <w:jc w:val="both"/>
        <w:rPr>
          <w:rStyle w:val="Bodytext210pt"/>
          <w:b/>
          <w:sz w:val="24"/>
          <w:szCs w:val="24"/>
        </w:rPr>
      </w:pPr>
    </w:p>
    <w:p w14:paraId="197C9D23" w14:textId="77777777" w:rsidR="00B834A2" w:rsidRPr="00B834A2" w:rsidRDefault="00B834A2" w:rsidP="00B42439">
      <w:pPr>
        <w:pStyle w:val="Bodytext20"/>
        <w:shd w:val="clear" w:color="auto" w:fill="auto"/>
        <w:spacing w:before="0" w:after="160" w:line="360" w:lineRule="auto"/>
        <w:ind w:firstLine="567"/>
        <w:jc w:val="both"/>
        <w:rPr>
          <w:rFonts w:ascii="Sylfaen" w:hAnsi="Sylfaen"/>
          <w:b/>
          <w:sz w:val="24"/>
          <w:szCs w:val="24"/>
        </w:rPr>
      </w:pPr>
      <w:r w:rsidRPr="00B834A2">
        <w:rPr>
          <w:rStyle w:val="Bodytext210pt"/>
          <w:b/>
          <w:sz w:val="24"/>
          <w:szCs w:val="24"/>
        </w:rPr>
        <w:t>ԻԶՈՏՈՊԵՐԻ ԸՆՏՐՈՒԹՅՈՒՆ</w:t>
      </w:r>
    </w:p>
    <w:p w14:paraId="5CA4FAD1"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Իզոտոպերի ընտրությունն իրականացնում են ըստ մի քանի չափորոշիչների: Առավելագույն զգայունություն ստանալու համար ընտրում են տվյալ տարրի առավել տարածված իզոտոպ: Բացի այդ, անհրաժեշտ է ընտրել մատրիցում </w:t>
      </w:r>
      <w:r>
        <w:rPr>
          <w:rStyle w:val="Bodytext210pt"/>
          <w:sz w:val="24"/>
          <w:szCs w:val="24"/>
        </w:rPr>
        <w:t>եւ</w:t>
      </w:r>
      <w:r w:rsidRPr="00B834A2">
        <w:rPr>
          <w:rStyle w:val="Bodytext210pt"/>
          <w:sz w:val="24"/>
          <w:szCs w:val="24"/>
        </w:rPr>
        <w:t xml:space="preserve"> գազակրում առկա իզոտոպերի այլ տեսակներով առաջացող նվազագույն ինտերֆերենցիայով իզոտոպ: ԶՍ-ԻԿՊ սարքեր արտադրողների ծրագրային ապահովման մեջ սովորաբար առկա է իզոբարիկ ինտերֆերենցիայի </w:t>
      </w:r>
      <w:r>
        <w:rPr>
          <w:rStyle w:val="Bodytext210pt"/>
          <w:sz w:val="24"/>
          <w:szCs w:val="24"/>
        </w:rPr>
        <w:t>եւ</w:t>
      </w:r>
      <w:r w:rsidRPr="00B834A2">
        <w:rPr>
          <w:rStyle w:val="Bodytext210pt"/>
          <w:sz w:val="24"/>
          <w:szCs w:val="24"/>
        </w:rPr>
        <w:t xml:space="preserve"> պոլիատոմային իոններից, օրինակ՝ հիդրիդային, օքսիդային, քլորիդային իոններից առաջացող ինտերֆերենցիայի մասին տեղեկատվությունը: </w:t>
      </w:r>
    </w:p>
    <w:p w14:paraId="4036F91F" w14:textId="77777777" w:rsidR="00B834A2" w:rsidRPr="00530993" w:rsidRDefault="00B834A2" w:rsidP="002B15C9">
      <w:pPr>
        <w:pStyle w:val="Bodytext20"/>
        <w:shd w:val="clear" w:color="auto" w:fill="auto"/>
        <w:spacing w:before="0" w:after="160" w:line="360" w:lineRule="auto"/>
        <w:ind w:firstLine="567"/>
        <w:jc w:val="both"/>
        <w:rPr>
          <w:rStyle w:val="Bodytext210pt"/>
          <w:b/>
          <w:sz w:val="24"/>
          <w:szCs w:val="24"/>
        </w:rPr>
      </w:pPr>
      <w:r w:rsidRPr="00B834A2">
        <w:rPr>
          <w:rStyle w:val="Bodytext210pt"/>
          <w:b/>
          <w:sz w:val="24"/>
          <w:szCs w:val="24"/>
        </w:rPr>
        <w:lastRenderedPageBreak/>
        <w:t>ՍԱՐՔԻ ԱՇԽԱՏՈՒՆԱԿՈՒԹՅԱՆ</w:t>
      </w:r>
      <w:r w:rsidR="00B42439" w:rsidRPr="009217DE">
        <w:rPr>
          <w:rStyle w:val="Bodytext210pt"/>
          <w:b/>
          <w:sz w:val="24"/>
          <w:szCs w:val="24"/>
        </w:rPr>
        <w:t xml:space="preserve"> </w:t>
      </w:r>
      <w:r w:rsidRPr="00B834A2">
        <w:rPr>
          <w:rStyle w:val="Bodytext210pt"/>
          <w:b/>
          <w:sz w:val="24"/>
          <w:szCs w:val="24"/>
        </w:rPr>
        <w:t>ՀՍԿՈՂՈՒԹՅՈՒՆ</w:t>
      </w:r>
    </w:p>
    <w:p w14:paraId="17FFE1E5"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Համակարգի պիտանիություն</w:t>
      </w:r>
    </w:p>
    <w:p w14:paraId="4E89DA8B"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Սարքի կարգաբերումը թույլ է տալիս ստուգել </w:t>
      </w:r>
      <w:r>
        <w:rPr>
          <w:rStyle w:val="Bodytext210pt"/>
          <w:sz w:val="24"/>
          <w:szCs w:val="24"/>
        </w:rPr>
        <w:t>եւ</w:t>
      </w:r>
      <w:r w:rsidRPr="00B834A2">
        <w:rPr>
          <w:rStyle w:val="Bodytext210pt"/>
          <w:sz w:val="24"/>
          <w:szCs w:val="24"/>
        </w:rPr>
        <w:t xml:space="preserve"> կարգավորել նմուշի ներմուծումից առաջ չափումը: ԶՍ-ԻԿՊ-ի սարքով զանգվածի որոշման ճշգրտությունը ստուգում են ամբողջ ընդգրկույթը, օրինակ՝</w:t>
      </w:r>
      <w:r>
        <w:rPr>
          <w:rStyle w:val="Bodytext210pt"/>
          <w:sz w:val="24"/>
          <w:szCs w:val="24"/>
        </w:rPr>
        <w:t xml:space="preserve"> </w:t>
      </w:r>
      <w:r w:rsidRPr="00B834A2">
        <w:rPr>
          <w:rStyle w:val="Bodytext210pt"/>
          <w:sz w:val="24"/>
          <w:szCs w:val="24"/>
          <w:vertAlign w:val="superscript"/>
        </w:rPr>
        <w:t>9</w:t>
      </w:r>
      <w:r w:rsidRPr="00B834A2">
        <w:rPr>
          <w:rStyle w:val="Bodytext210pt"/>
          <w:sz w:val="24"/>
          <w:szCs w:val="24"/>
        </w:rPr>
        <w:t xml:space="preserve">Ве, </w:t>
      </w:r>
      <w:r w:rsidRPr="00B834A2">
        <w:rPr>
          <w:rStyle w:val="Bodytext210pt"/>
          <w:sz w:val="24"/>
          <w:szCs w:val="24"/>
          <w:vertAlign w:val="superscript"/>
        </w:rPr>
        <w:t>59</w:t>
      </w:r>
      <w:r w:rsidRPr="00B834A2">
        <w:rPr>
          <w:rStyle w:val="Bodytext210pt"/>
          <w:sz w:val="24"/>
          <w:szCs w:val="24"/>
        </w:rPr>
        <w:t xml:space="preserve">Со, </w:t>
      </w:r>
      <w:r w:rsidRPr="00B834A2">
        <w:rPr>
          <w:rStyle w:val="Bodytext210pt"/>
          <w:sz w:val="24"/>
          <w:szCs w:val="24"/>
          <w:vertAlign w:val="superscript"/>
        </w:rPr>
        <w:t>89</w:t>
      </w:r>
      <w:r w:rsidRPr="00B834A2">
        <w:rPr>
          <w:rStyle w:val="Bodytext210pt"/>
          <w:sz w:val="24"/>
          <w:szCs w:val="24"/>
        </w:rPr>
        <w:t xml:space="preserve">Y, </w:t>
      </w:r>
      <w:r w:rsidRPr="00B834A2">
        <w:rPr>
          <w:rStyle w:val="Bodytext210pt"/>
          <w:sz w:val="24"/>
          <w:szCs w:val="24"/>
          <w:vertAlign w:val="superscript"/>
        </w:rPr>
        <w:t>115</w:t>
      </w:r>
      <w:r w:rsidRPr="00B834A2">
        <w:rPr>
          <w:rStyle w:val="Bodytext210pt"/>
          <w:sz w:val="24"/>
          <w:szCs w:val="24"/>
        </w:rPr>
        <w:t xml:space="preserve">ln, </w:t>
      </w:r>
      <w:r w:rsidRPr="00B834A2">
        <w:rPr>
          <w:rStyle w:val="Bodytext210pt"/>
          <w:sz w:val="24"/>
          <w:szCs w:val="24"/>
          <w:vertAlign w:val="superscript"/>
        </w:rPr>
        <w:t>140</w:t>
      </w:r>
      <w:r w:rsidRPr="00B834A2">
        <w:rPr>
          <w:rStyle w:val="Bodytext210pt"/>
          <w:sz w:val="24"/>
          <w:szCs w:val="24"/>
        </w:rPr>
        <w:t xml:space="preserve">Се </w:t>
      </w:r>
      <w:r>
        <w:rPr>
          <w:rStyle w:val="Bodytext210pt"/>
          <w:sz w:val="24"/>
          <w:szCs w:val="24"/>
        </w:rPr>
        <w:t>եւ</w:t>
      </w:r>
      <w:r w:rsidRPr="00B834A2">
        <w:rPr>
          <w:rStyle w:val="Bodytext210pt"/>
          <w:sz w:val="24"/>
          <w:szCs w:val="24"/>
        </w:rPr>
        <w:t xml:space="preserve"> </w:t>
      </w:r>
      <w:r w:rsidRPr="00B834A2">
        <w:rPr>
          <w:rStyle w:val="Bodytext210pt"/>
          <w:sz w:val="24"/>
          <w:szCs w:val="24"/>
          <w:vertAlign w:val="superscript"/>
        </w:rPr>
        <w:t>209</w:t>
      </w:r>
      <w:r w:rsidRPr="00B834A2">
        <w:rPr>
          <w:rStyle w:val="Bodytext210pt"/>
          <w:sz w:val="24"/>
          <w:szCs w:val="24"/>
        </w:rPr>
        <w:t xml:space="preserve">Bi ներառող մի քանի իզոտոպ պարունակող՝ կարգաբերման համար նախատեսված լուծույթի օգնությամբ: </w:t>
      </w:r>
    </w:p>
    <w:p w14:paraId="1991E3DC"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Գրանցում են զգայունությունը </w:t>
      </w:r>
      <w:r>
        <w:rPr>
          <w:rStyle w:val="Bodytext210pt"/>
          <w:sz w:val="24"/>
          <w:szCs w:val="24"/>
        </w:rPr>
        <w:t>եւ</w:t>
      </w:r>
      <w:r w:rsidRPr="00B834A2">
        <w:rPr>
          <w:rStyle w:val="Bodytext210pt"/>
          <w:sz w:val="24"/>
          <w:szCs w:val="24"/>
        </w:rPr>
        <w:t xml:space="preserve"> կարճաժամկետ ու երկարաժամկետ կայունությունը: Սարքի պարամետրերը (պլազմայի վիճակ, իոնային լինզաների </w:t>
      </w:r>
      <w:r>
        <w:rPr>
          <w:rStyle w:val="Bodytext210pt"/>
          <w:sz w:val="24"/>
          <w:szCs w:val="24"/>
        </w:rPr>
        <w:t>եւ</w:t>
      </w:r>
      <w:r w:rsidRPr="00B834A2">
        <w:rPr>
          <w:rStyle w:val="Bodytext210pt"/>
          <w:sz w:val="24"/>
          <w:szCs w:val="24"/>
        </w:rPr>
        <w:t xml:space="preserve"> քառաբ</w:t>
      </w:r>
      <w:r>
        <w:rPr>
          <w:rStyle w:val="Bodytext210pt"/>
          <w:sz w:val="24"/>
          <w:szCs w:val="24"/>
        </w:rPr>
        <w:t>եւ</w:t>
      </w:r>
      <w:r w:rsidRPr="00B834A2">
        <w:rPr>
          <w:rStyle w:val="Bodytext210pt"/>
          <w:sz w:val="24"/>
          <w:szCs w:val="24"/>
        </w:rPr>
        <w:t>եռների պարամետրեր) կարգաբերում են իոնների հայտնաբերումների առավելագույն հնարավոր թվի ստացման համար:</w:t>
      </w:r>
    </w:p>
    <w:p w14:paraId="0CDF2ED7" w14:textId="77777777" w:rsidR="00B834A2" w:rsidRPr="00DE4F37"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Զանգվածների լայն ընդգրկույթում ընդունելի արձագանքի դիտումը հաստատելու համար լուծումը </w:t>
      </w:r>
      <w:r>
        <w:rPr>
          <w:rFonts w:ascii="Sylfaen" w:hAnsi="Sylfaen"/>
          <w:sz w:val="24"/>
          <w:szCs w:val="24"/>
        </w:rPr>
        <w:t>եւ</w:t>
      </w:r>
      <w:r w:rsidRPr="00B834A2">
        <w:rPr>
          <w:rFonts w:ascii="Sylfaen" w:hAnsi="Sylfaen"/>
          <w:sz w:val="24"/>
          <w:szCs w:val="24"/>
        </w:rPr>
        <w:t xml:space="preserve"> զանգվածների առանցքը կարգաբերում են Li, Y </w:t>
      </w:r>
      <w:r>
        <w:rPr>
          <w:rFonts w:ascii="Sylfaen" w:hAnsi="Sylfaen"/>
          <w:sz w:val="24"/>
          <w:szCs w:val="24"/>
        </w:rPr>
        <w:t>եւ</w:t>
      </w:r>
      <w:r w:rsidRPr="00B834A2">
        <w:rPr>
          <w:rFonts w:ascii="Sylfaen" w:hAnsi="Sylfaen"/>
          <w:sz w:val="24"/>
          <w:szCs w:val="24"/>
        </w:rPr>
        <w:t xml:space="preserve"> Тl պարունակող լուծույթի օգտագործմամբ:</w:t>
      </w:r>
    </w:p>
    <w:p w14:paraId="69149F42"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Ինտերֆերենցիայի նվազեցման համար անհրաժեշտ է գնահատել պլազմայով որոշ օքսիդների տարրալուծման արդյունավետությունը:</w:t>
      </w:r>
      <w:r>
        <w:rPr>
          <w:rStyle w:val="Bodytext210pt"/>
          <w:sz w:val="24"/>
          <w:szCs w:val="24"/>
        </w:rPr>
        <w:t xml:space="preserve"> </w:t>
      </w:r>
      <w:r w:rsidRPr="00B834A2">
        <w:rPr>
          <w:rStyle w:val="Bodytext210pt"/>
          <w:sz w:val="24"/>
          <w:szCs w:val="24"/>
        </w:rPr>
        <w:t xml:space="preserve">Լավ ինդիկատորներ են Се/СеО </w:t>
      </w:r>
      <w:r>
        <w:rPr>
          <w:rStyle w:val="Bodytext210pt"/>
          <w:sz w:val="24"/>
          <w:szCs w:val="24"/>
        </w:rPr>
        <w:t>եւ</w:t>
      </w:r>
      <w:r w:rsidRPr="00B834A2">
        <w:rPr>
          <w:rStyle w:val="Bodytext210pt"/>
          <w:sz w:val="24"/>
          <w:szCs w:val="24"/>
        </w:rPr>
        <w:t xml:space="preserve"> (կամ) Ва/ВаО հարաբերակցությունների, ընդ որում՝ պահանջվող մակարդակը պետք է կազմի 3 %-ից պակաս:</w:t>
      </w:r>
    </w:p>
    <w:p w14:paraId="572E86CF"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Երկլիցք իոնների գոյացման ճնշումն իրականացվում է Ва </w:t>
      </w:r>
      <w:r>
        <w:rPr>
          <w:rStyle w:val="Bodytext210pt"/>
          <w:sz w:val="24"/>
          <w:szCs w:val="24"/>
        </w:rPr>
        <w:t>եւ</w:t>
      </w:r>
      <w:r w:rsidRPr="00B834A2">
        <w:rPr>
          <w:rStyle w:val="Bodytext210pt"/>
          <w:sz w:val="24"/>
          <w:szCs w:val="24"/>
        </w:rPr>
        <w:t xml:space="preserve"> Се-ի օգտագործմամբ: Որոշվող տարրի նկատմամբ երկլիցք իոնների ազդանշանի հարաբերակցությունը պետք է լինի 2 %-ից պակաս:</w:t>
      </w:r>
    </w:p>
    <w:p w14:paraId="2EF69941"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Երկարաժամկետ կայունությունը ստուգում են՝ չափելով ստանդարտը նմուշի փորձարկման սկզբում </w:t>
      </w:r>
      <w:r>
        <w:rPr>
          <w:rStyle w:val="Bodytext210pt"/>
          <w:sz w:val="24"/>
          <w:szCs w:val="24"/>
        </w:rPr>
        <w:t>եւ</w:t>
      </w:r>
      <w:r w:rsidRPr="00B834A2">
        <w:rPr>
          <w:rStyle w:val="Bodytext210pt"/>
          <w:sz w:val="24"/>
          <w:szCs w:val="24"/>
        </w:rPr>
        <w:t xml:space="preserve"> վերջում, ընդ որում՝ ստուգվում է կոներում աղերի նստվածքի՝ փորձարկման ժամանակ ազդանշանի նվազման վրա ազդեցությունը: </w:t>
      </w:r>
    </w:p>
    <w:p w14:paraId="45621539" w14:textId="77777777" w:rsidR="00D2561B" w:rsidRPr="00B5542D" w:rsidRDefault="00D2561B" w:rsidP="002B15C9">
      <w:pPr>
        <w:pStyle w:val="Bodytext20"/>
        <w:shd w:val="clear" w:color="auto" w:fill="auto"/>
        <w:spacing w:before="0" w:after="160" w:line="360" w:lineRule="auto"/>
        <w:ind w:firstLine="567"/>
        <w:jc w:val="both"/>
        <w:rPr>
          <w:rStyle w:val="Bodytext211pt"/>
          <w:rFonts w:ascii="Sylfaen" w:eastAsia="Sylfaen" w:hAnsi="Sylfaen"/>
          <w:b/>
          <w:sz w:val="24"/>
          <w:szCs w:val="24"/>
        </w:rPr>
      </w:pPr>
    </w:p>
    <w:p w14:paraId="5ED517E7" w14:textId="77777777" w:rsidR="00B867ED" w:rsidRPr="00B5542D" w:rsidRDefault="00B867ED" w:rsidP="002B15C9">
      <w:pPr>
        <w:pStyle w:val="Bodytext20"/>
        <w:shd w:val="clear" w:color="auto" w:fill="auto"/>
        <w:spacing w:before="0" w:after="160" w:line="360" w:lineRule="auto"/>
        <w:ind w:firstLine="567"/>
        <w:jc w:val="both"/>
        <w:rPr>
          <w:rStyle w:val="Bodytext211pt"/>
          <w:rFonts w:ascii="Sylfaen" w:eastAsia="Sylfaen" w:hAnsi="Sylfaen"/>
          <w:b/>
          <w:sz w:val="24"/>
          <w:szCs w:val="24"/>
        </w:rPr>
      </w:pPr>
    </w:p>
    <w:p w14:paraId="3002DDD9" w14:textId="77777777" w:rsidR="00B834A2" w:rsidRPr="002B15C9" w:rsidRDefault="00B834A2" w:rsidP="002B15C9">
      <w:pPr>
        <w:pStyle w:val="Bodytext20"/>
        <w:shd w:val="clear" w:color="auto" w:fill="auto"/>
        <w:spacing w:before="0" w:after="160" w:line="360" w:lineRule="auto"/>
        <w:ind w:firstLine="567"/>
        <w:jc w:val="both"/>
        <w:rPr>
          <w:rFonts w:ascii="Sylfaen" w:hAnsi="Sylfaen"/>
          <w:b/>
          <w:sz w:val="24"/>
          <w:szCs w:val="24"/>
        </w:rPr>
      </w:pPr>
      <w:r w:rsidRPr="002B15C9">
        <w:rPr>
          <w:rStyle w:val="Bodytext211pt"/>
          <w:rFonts w:ascii="Sylfaen" w:eastAsia="Sylfaen" w:hAnsi="Sylfaen"/>
          <w:b/>
          <w:sz w:val="24"/>
          <w:szCs w:val="24"/>
        </w:rPr>
        <w:lastRenderedPageBreak/>
        <w:t>ՄԵԹՈԴԻԿԱՅԻ ՎԱԼԻԴԱՑՈՒՄ</w:t>
      </w:r>
    </w:p>
    <w:p w14:paraId="79059B01"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Մասնավոր դեղագրքային հոդվածում կամ որակի մասով նորմատիվ փաստաթղթում բերված մեթոդիկան վերիֆիկացնում են որոշակի ժամանակ անց՝ բավարար արդյունքների ստացման համար:</w:t>
      </w:r>
    </w:p>
    <w:p w14:paraId="67187903" w14:textId="77777777" w:rsidR="00B834A2" w:rsidRPr="00B834A2" w:rsidRDefault="00B834A2" w:rsidP="00D2561B">
      <w:pPr>
        <w:pStyle w:val="Bodytext20"/>
        <w:shd w:val="clear" w:color="auto" w:fill="auto"/>
        <w:spacing w:before="0" w:after="160" w:line="346" w:lineRule="auto"/>
        <w:ind w:firstLine="567"/>
        <w:rPr>
          <w:rStyle w:val="Bodytext210pt8"/>
          <w:sz w:val="24"/>
          <w:szCs w:val="24"/>
        </w:rPr>
      </w:pPr>
    </w:p>
    <w:p w14:paraId="30E7477A"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8"/>
          <w:sz w:val="24"/>
          <w:szCs w:val="24"/>
        </w:rPr>
        <w:t>ԳԾԱՅՆՈՒԹՅՈՒՆ</w:t>
      </w:r>
    </w:p>
    <w:p w14:paraId="33ADCF90"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 xml:space="preserve">Պատրաստում </w:t>
      </w:r>
      <w:r>
        <w:rPr>
          <w:rStyle w:val="Bodytext210pt"/>
          <w:sz w:val="24"/>
          <w:szCs w:val="24"/>
        </w:rPr>
        <w:t>եւ</w:t>
      </w:r>
      <w:r w:rsidRPr="00B834A2">
        <w:rPr>
          <w:rStyle w:val="Bodytext210pt"/>
          <w:sz w:val="24"/>
          <w:szCs w:val="24"/>
        </w:rPr>
        <w:t xml:space="preserve"> անալիզի են ենթարկում համեմատման առնվազն չորս լուծույթ, որոնց կոնցենտրացիան գտնվում է ստուգաճշտման ընդգրկույթի սահմաններում, </w:t>
      </w:r>
      <w:r>
        <w:rPr>
          <w:rStyle w:val="Bodytext210pt"/>
          <w:sz w:val="24"/>
          <w:szCs w:val="24"/>
        </w:rPr>
        <w:t>եւ</w:t>
      </w:r>
      <w:r w:rsidRPr="00B834A2">
        <w:rPr>
          <w:rStyle w:val="Bodytext210pt"/>
          <w:sz w:val="24"/>
          <w:szCs w:val="24"/>
        </w:rPr>
        <w:t>՝ ստուգիչ լուծույթ։ Կատարում են առնվազն հինգ չափում։</w:t>
      </w:r>
    </w:p>
    <w:p w14:paraId="2E00A2A7" w14:textId="77777777" w:rsidR="00B834A2" w:rsidRPr="00A859E3" w:rsidRDefault="00B834A2" w:rsidP="00D2561B">
      <w:pPr>
        <w:pStyle w:val="Bodytext20"/>
        <w:shd w:val="clear" w:color="auto" w:fill="auto"/>
        <w:spacing w:before="0" w:after="160" w:line="346" w:lineRule="auto"/>
        <w:ind w:firstLine="567"/>
        <w:jc w:val="both"/>
        <w:rPr>
          <w:rStyle w:val="Bodytext210pt"/>
          <w:sz w:val="24"/>
          <w:szCs w:val="24"/>
        </w:rPr>
      </w:pPr>
      <w:r w:rsidRPr="00B834A2">
        <w:rPr>
          <w:rStyle w:val="Bodytext210pt"/>
          <w:sz w:val="24"/>
          <w:szCs w:val="24"/>
        </w:rPr>
        <w:t xml:space="preserve">Օգտագործելով ստացված բոլոր տվյալները՝ փոքրագույն քառակուսիների մեթոդով հաշվարկում են գրաֆիկի գծային հավասարումը: Կառուցում են ռեգրեսիայի կոր՝ նշելով միջին արժեքները, չափված արժեքները </w:t>
      </w:r>
      <w:r>
        <w:rPr>
          <w:rStyle w:val="Bodytext210pt"/>
          <w:sz w:val="24"/>
          <w:szCs w:val="24"/>
        </w:rPr>
        <w:t>եւ</w:t>
      </w:r>
      <w:r w:rsidRPr="00B834A2">
        <w:rPr>
          <w:rStyle w:val="Bodytext210pt"/>
          <w:sz w:val="24"/>
          <w:szCs w:val="24"/>
        </w:rPr>
        <w:t xml:space="preserve"> ստուգաճշտման գրաֆիկի վստահելի միջակայքը։ Մեթոդիկան պիտանի է հետ</w:t>
      </w:r>
      <w:r>
        <w:rPr>
          <w:rStyle w:val="Bodytext210pt"/>
          <w:sz w:val="24"/>
          <w:szCs w:val="24"/>
        </w:rPr>
        <w:t>եւ</w:t>
      </w:r>
      <w:r w:rsidRPr="00B834A2">
        <w:rPr>
          <w:rStyle w:val="Bodytext210pt"/>
          <w:sz w:val="24"/>
          <w:szCs w:val="24"/>
        </w:rPr>
        <w:t>յալ պահանջները պահպանելու պայմանով՝</w:t>
      </w:r>
    </w:p>
    <w:p w14:paraId="696CA440" w14:textId="77777777" w:rsidR="00B834A2" w:rsidRPr="00B834A2" w:rsidRDefault="00B834A2" w:rsidP="00D2561B">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097504">
        <w:rPr>
          <w:rFonts w:ascii="Sylfaen" w:hAnsi="Sylfaen"/>
          <w:sz w:val="24"/>
          <w:szCs w:val="24"/>
        </w:rPr>
        <w:tab/>
      </w:r>
      <w:r w:rsidRPr="00B834A2">
        <w:rPr>
          <w:rFonts w:ascii="Sylfaen" w:hAnsi="Sylfaen"/>
          <w:sz w:val="24"/>
          <w:szCs w:val="24"/>
        </w:rPr>
        <w:t>կոռելյացիայի գործակիցը պետք է լինի առնվազն 0,99.</w:t>
      </w:r>
    </w:p>
    <w:p w14:paraId="07E62550" w14:textId="77777777" w:rsidR="00B834A2" w:rsidRPr="00B834A2" w:rsidRDefault="00B834A2" w:rsidP="00D2561B">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ստուգաճշտման գրաֆիկի վրա յուրաքանչյուր ստուգաճշտման մակարդակի սխալանքը պետք է բաշխվի պատահականության սկզբունքով: </w:t>
      </w:r>
    </w:p>
    <w:p w14:paraId="23321D6B" w14:textId="77777777" w:rsidR="00B834A2" w:rsidRPr="00B834A2" w:rsidRDefault="00B834A2" w:rsidP="00D2561B">
      <w:pPr>
        <w:spacing w:after="160" w:line="346" w:lineRule="auto"/>
        <w:ind w:firstLine="567"/>
        <w:jc w:val="both"/>
      </w:pPr>
      <w:r w:rsidRPr="00B834A2">
        <w:rPr>
          <w:rStyle w:val="Bodytext210pt"/>
          <w:sz w:val="24"/>
          <w:szCs w:val="24"/>
        </w:rPr>
        <w:t xml:space="preserve">Հաշվարկում են ամենափոքր </w:t>
      </w:r>
      <w:r>
        <w:rPr>
          <w:rStyle w:val="Bodytext210pt"/>
          <w:sz w:val="24"/>
          <w:szCs w:val="24"/>
        </w:rPr>
        <w:t>եւ</w:t>
      </w:r>
      <w:r w:rsidRPr="00B834A2">
        <w:rPr>
          <w:rStyle w:val="Bodytext210pt"/>
          <w:sz w:val="24"/>
          <w:szCs w:val="24"/>
        </w:rPr>
        <w:t xml:space="preserve"> ամենամեծ </w:t>
      </w:r>
      <w:r w:rsidRPr="00B834A2">
        <w:t>ստուգաճշտման</w:t>
      </w:r>
      <w:r w:rsidRPr="00B834A2">
        <w:rPr>
          <w:rStyle w:val="Bodytext210pt"/>
          <w:sz w:val="24"/>
          <w:szCs w:val="24"/>
        </w:rPr>
        <w:t xml:space="preserve"> մակարդակի համար միջին արժեքը </w:t>
      </w:r>
      <w:r>
        <w:rPr>
          <w:rStyle w:val="Bodytext210pt"/>
          <w:sz w:val="24"/>
          <w:szCs w:val="24"/>
        </w:rPr>
        <w:t>եւ</w:t>
      </w:r>
      <w:r w:rsidRPr="00B834A2">
        <w:rPr>
          <w:rStyle w:val="Bodytext210pt"/>
          <w:sz w:val="24"/>
          <w:szCs w:val="24"/>
        </w:rPr>
        <w:t xml:space="preserve"> հարաբերական ստանդարտ շեղումը։</w:t>
      </w:r>
    </w:p>
    <w:p w14:paraId="549F63EB" w14:textId="77777777" w:rsidR="00B834A2" w:rsidRPr="00B834A2" w:rsidRDefault="00B834A2" w:rsidP="00D2561B">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 xml:space="preserve">Եթե ամենափոքր </w:t>
      </w:r>
      <w:r>
        <w:rPr>
          <w:rStyle w:val="Bodytext210pt"/>
          <w:sz w:val="24"/>
          <w:szCs w:val="24"/>
        </w:rPr>
        <w:t>եւ</w:t>
      </w:r>
      <w:r w:rsidRPr="00B834A2">
        <w:rPr>
          <w:rStyle w:val="Bodytext210pt"/>
          <w:sz w:val="24"/>
          <w:szCs w:val="24"/>
        </w:rPr>
        <w:t xml:space="preserve"> ամենամեծ </w:t>
      </w:r>
      <w:r w:rsidRPr="00B834A2">
        <w:rPr>
          <w:rFonts w:ascii="Sylfaen" w:hAnsi="Sylfaen"/>
          <w:sz w:val="24"/>
          <w:szCs w:val="24"/>
        </w:rPr>
        <w:t>ստուգաճշտման</w:t>
      </w:r>
      <w:r w:rsidRPr="00B834A2">
        <w:rPr>
          <w:rStyle w:val="Bodytext210pt"/>
          <w:sz w:val="24"/>
          <w:szCs w:val="24"/>
        </w:rPr>
        <w:t xml:space="preserve"> մակարդակի հաշվարկված ստանդարտ շեղման հարաբերակցությունը 0,5-ից պակաս է կամ 2,0-ից ավելի, ապա </w:t>
      </w:r>
      <w:r w:rsidRPr="00B834A2">
        <w:rPr>
          <w:rFonts w:ascii="Sylfaen" w:hAnsi="Sylfaen"/>
          <w:sz w:val="24"/>
          <w:szCs w:val="24"/>
        </w:rPr>
        <w:t>ստուգաճշտման</w:t>
      </w:r>
      <w:r w:rsidRPr="00B834A2">
        <w:rPr>
          <w:rStyle w:val="Bodytext210pt"/>
          <w:sz w:val="24"/>
          <w:szCs w:val="24"/>
        </w:rPr>
        <w:t xml:space="preserve"> գրաֆիկի առավել ճշգրիտ գնահատականը կարող է ստացվել կշռված գծային ռեգրեսիայի օգտագործմամբ։ Գծային </w:t>
      </w:r>
      <w:r>
        <w:rPr>
          <w:rStyle w:val="Bodytext210pt"/>
          <w:sz w:val="24"/>
          <w:szCs w:val="24"/>
        </w:rPr>
        <w:t>եւ</w:t>
      </w:r>
      <w:r w:rsidRPr="00B834A2">
        <w:rPr>
          <w:rStyle w:val="Bodytext210pt"/>
          <w:sz w:val="24"/>
          <w:szCs w:val="24"/>
        </w:rPr>
        <w:t xml:space="preserve"> քառակուսային կշռային ֆունկցիաները կիրառվում են ստացված տվյալների նկատմամբ օգտագործման համար առավել հարմար կշռային ֆունկցիա գտնելու համար։ Եթե </w:t>
      </w:r>
      <w:r w:rsidRPr="00B834A2">
        <w:rPr>
          <w:rFonts w:ascii="Sylfaen" w:hAnsi="Sylfaen"/>
          <w:sz w:val="24"/>
          <w:szCs w:val="24"/>
        </w:rPr>
        <w:t>ստուգաճշտման</w:t>
      </w:r>
      <w:r w:rsidRPr="00B834A2">
        <w:rPr>
          <w:rStyle w:val="Bodytext210pt"/>
          <w:sz w:val="24"/>
          <w:szCs w:val="24"/>
        </w:rPr>
        <w:t xml:space="preserve"> գրաֆիկի հետ համեմատելիս միջին արժեքները գծայնությունից շեղումներ են դրս</w:t>
      </w:r>
      <w:r>
        <w:rPr>
          <w:rStyle w:val="Bodytext210pt"/>
          <w:sz w:val="24"/>
          <w:szCs w:val="24"/>
        </w:rPr>
        <w:t>եւ</w:t>
      </w:r>
      <w:r w:rsidRPr="00B834A2">
        <w:rPr>
          <w:rStyle w:val="Bodytext210pt"/>
          <w:sz w:val="24"/>
          <w:szCs w:val="24"/>
        </w:rPr>
        <w:t>որում, օգտագործում են երկչափ գծային ռեգրեսիա։</w:t>
      </w:r>
    </w:p>
    <w:p w14:paraId="01C9043E"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ՃՇԳՐՏՈՒԹՅՈՒՆ</w:t>
      </w:r>
    </w:p>
    <w:p w14:paraId="17B47825"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Նախընտրելի է ճշգրտությունը վերիֆիկացնել սերտիֆիկացված ստանդարտ նմուշների օգտագործմամբ։ Եթե դա անհնարին է, ապա ստուգում են բացելիությունը։</w:t>
      </w:r>
    </w:p>
    <w:p w14:paraId="0171F113" w14:textId="77777777" w:rsidR="00B834A2" w:rsidRPr="006B7DC5" w:rsidRDefault="00B834A2" w:rsidP="002B15C9">
      <w:pPr>
        <w:pStyle w:val="Bodytext20"/>
        <w:shd w:val="clear" w:color="auto" w:fill="auto"/>
        <w:spacing w:before="0" w:after="160" w:line="360" w:lineRule="auto"/>
        <w:ind w:firstLine="567"/>
        <w:jc w:val="both"/>
        <w:rPr>
          <w:rStyle w:val="Bodytext210pt"/>
          <w:sz w:val="24"/>
          <w:szCs w:val="24"/>
        </w:rPr>
      </w:pPr>
      <w:r w:rsidRPr="00B834A2">
        <w:rPr>
          <w:rStyle w:val="Bodytext210pt8"/>
          <w:sz w:val="24"/>
          <w:szCs w:val="24"/>
        </w:rPr>
        <w:t>Բացելիություն.</w:t>
      </w:r>
      <w:r w:rsidRPr="00B834A2">
        <w:rPr>
          <w:rStyle w:val="Bodytext210pt"/>
          <w:sz w:val="24"/>
          <w:szCs w:val="24"/>
        </w:rPr>
        <w:t xml:space="preserve"> Քանակական որոշման մեթոդիկաների դեպքում բացելիությունը պետք է կազմի 90 %-ից 110 %։ Այլ որոշումների, օրինակ՝ տարրի հետքային քանակությունների որոշման համար, բացելիությունը պետք է կազմի տեսական արժեքի 80 %-ից 120 %-ը։ Բացելիությունը կարող է որոշվել որոշվող տարրի հայտնի քանակություն պարունակող համեմատման լուծույթի (մատրիցային լուծույթի) օգտագործմամբ (ստուգաճշտման գրաֆիկի միջին կոնցենտրացիա)։</w:t>
      </w:r>
    </w:p>
    <w:p w14:paraId="0B3A10EA" w14:textId="77777777" w:rsidR="00D2561B" w:rsidRPr="00903268" w:rsidRDefault="00D2561B" w:rsidP="002B15C9">
      <w:pPr>
        <w:pStyle w:val="Bodytext20"/>
        <w:shd w:val="clear" w:color="auto" w:fill="auto"/>
        <w:spacing w:before="0" w:after="160" w:line="360" w:lineRule="auto"/>
        <w:ind w:firstLine="567"/>
        <w:jc w:val="both"/>
        <w:rPr>
          <w:rStyle w:val="Bodytext210pt8"/>
          <w:sz w:val="24"/>
          <w:szCs w:val="24"/>
        </w:rPr>
      </w:pPr>
    </w:p>
    <w:p w14:paraId="4DA79E86"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ԿՐԿՆԵԼԻՈՒԹՅՈՒՆ</w:t>
      </w:r>
    </w:p>
    <w:p w14:paraId="327964E4" w14:textId="77777777" w:rsidR="00B834A2" w:rsidRPr="00DE4F37" w:rsidRDefault="00B834A2" w:rsidP="00C94376">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 xml:space="preserve">Քանակական որոշման համար կրկնելիությունը պետք է լինի 3 %-ից ոչ ավելի </w:t>
      </w:r>
      <w:r>
        <w:rPr>
          <w:rStyle w:val="Bodytext210pt"/>
          <w:sz w:val="24"/>
          <w:szCs w:val="24"/>
        </w:rPr>
        <w:t>եւ</w:t>
      </w:r>
      <w:r w:rsidRPr="00B834A2">
        <w:rPr>
          <w:rStyle w:val="Bodytext210pt"/>
          <w:sz w:val="24"/>
          <w:szCs w:val="24"/>
        </w:rPr>
        <w:t xml:space="preserve"> խառնուկների պարունակության փորձարկման համար՝ 5 %-ից ոչ ավելի։</w:t>
      </w:r>
    </w:p>
    <w:p w14:paraId="762057B1" w14:textId="77777777" w:rsidR="00492945" w:rsidRPr="00DE4F37" w:rsidRDefault="00492945" w:rsidP="00C94376">
      <w:pPr>
        <w:pStyle w:val="Bodytext20"/>
        <w:shd w:val="clear" w:color="auto" w:fill="auto"/>
        <w:spacing w:before="0" w:after="160" w:line="360" w:lineRule="auto"/>
        <w:ind w:firstLine="567"/>
        <w:jc w:val="both"/>
        <w:rPr>
          <w:rFonts w:ascii="Sylfaen" w:hAnsi="Sylfaen"/>
          <w:sz w:val="24"/>
          <w:szCs w:val="24"/>
        </w:rPr>
      </w:pPr>
    </w:p>
    <w:p w14:paraId="51D10B79"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ՔԱՆԱԿԱԿԱՆ ՈՐՈՇՄԱՆ ՍԱՀՄԱՆԸ</w:t>
      </w:r>
    </w:p>
    <w:p w14:paraId="5BB209A1"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Հավաստիանում են, որ քանակական որոշման սահմանը (օրինակ՝ 10σ մոտարկման օգտագործմամբ որոշված) չափվող արժեքից ցածր է։</w:t>
      </w:r>
    </w:p>
    <w:p w14:paraId="58285C2C" w14:textId="77777777" w:rsidR="00D2561B" w:rsidRDefault="00D2561B">
      <w:pPr>
        <w:rPr>
          <w:rStyle w:val="Bodytext211pt"/>
          <w:rFonts w:ascii="Sylfaen" w:eastAsia="Sylfaen" w:hAnsi="Sylfaen"/>
          <w:b/>
          <w:bCs/>
          <w:sz w:val="24"/>
          <w:szCs w:val="24"/>
        </w:rPr>
      </w:pPr>
      <w:r>
        <w:rPr>
          <w:rStyle w:val="Bodytext211pt"/>
          <w:rFonts w:ascii="Sylfaen" w:eastAsia="Sylfaen" w:hAnsi="Sylfaen"/>
          <w:b/>
          <w:bCs/>
          <w:sz w:val="24"/>
          <w:szCs w:val="24"/>
        </w:rPr>
        <w:br w:type="page"/>
      </w:r>
    </w:p>
    <w:p w14:paraId="1F64F966" w14:textId="77777777" w:rsidR="00B834A2" w:rsidRPr="009217DE" w:rsidRDefault="00B834A2" w:rsidP="00B834A2">
      <w:pPr>
        <w:pStyle w:val="Bodytext20"/>
        <w:shd w:val="clear" w:color="auto" w:fill="auto"/>
        <w:spacing w:before="0" w:after="160" w:line="360" w:lineRule="auto"/>
        <w:ind w:firstLine="567"/>
        <w:jc w:val="right"/>
        <w:rPr>
          <w:rStyle w:val="Bodytext211pt"/>
          <w:rFonts w:ascii="Sylfaen" w:eastAsia="Sylfaen" w:hAnsi="Sylfaen"/>
          <w:b/>
          <w:sz w:val="20"/>
          <w:szCs w:val="24"/>
        </w:rPr>
      </w:pPr>
      <w:r w:rsidRPr="00B42439">
        <w:rPr>
          <w:rStyle w:val="Bodytext211pt"/>
          <w:rFonts w:ascii="Sylfaen" w:eastAsia="Sylfaen" w:hAnsi="Sylfaen"/>
          <w:b/>
          <w:sz w:val="20"/>
          <w:szCs w:val="24"/>
        </w:rPr>
        <w:lastRenderedPageBreak/>
        <w:t>201020056-2022</w:t>
      </w:r>
    </w:p>
    <w:p w14:paraId="7FC089BB" w14:textId="77777777" w:rsidR="00B42439" w:rsidRPr="009217DE" w:rsidRDefault="00B42439" w:rsidP="00B834A2">
      <w:pPr>
        <w:pStyle w:val="Bodytext20"/>
        <w:shd w:val="clear" w:color="auto" w:fill="auto"/>
        <w:spacing w:before="0" w:after="160" w:line="360" w:lineRule="auto"/>
        <w:ind w:firstLine="567"/>
        <w:jc w:val="right"/>
        <w:rPr>
          <w:rFonts w:ascii="Sylfaen" w:hAnsi="Sylfaen"/>
          <w:b/>
          <w:sz w:val="24"/>
          <w:szCs w:val="24"/>
        </w:rPr>
      </w:pPr>
    </w:p>
    <w:p w14:paraId="1870B64F" w14:textId="77777777" w:rsidR="00B834A2" w:rsidRPr="002B15C9" w:rsidRDefault="00B834A2" w:rsidP="002B15C9">
      <w:pPr>
        <w:pStyle w:val="Bodytext20"/>
        <w:shd w:val="clear" w:color="auto" w:fill="auto"/>
        <w:tabs>
          <w:tab w:val="left" w:pos="1701"/>
        </w:tabs>
        <w:spacing w:before="0" w:after="160" w:line="360" w:lineRule="auto"/>
        <w:ind w:firstLine="567"/>
        <w:jc w:val="both"/>
        <w:rPr>
          <w:rFonts w:ascii="Sylfaen" w:hAnsi="Sylfaen"/>
          <w:b/>
          <w:sz w:val="24"/>
          <w:szCs w:val="24"/>
        </w:rPr>
      </w:pPr>
      <w:r w:rsidRPr="002B15C9">
        <w:rPr>
          <w:rStyle w:val="Bodytext214pt"/>
          <w:rFonts w:ascii="Sylfaen" w:hAnsi="Sylfaen"/>
          <w:b/>
          <w:sz w:val="24"/>
          <w:szCs w:val="24"/>
        </w:rPr>
        <w:t>2.1.2.56.</w:t>
      </w:r>
      <w:r w:rsidR="002B15C9" w:rsidRPr="00097504">
        <w:rPr>
          <w:rStyle w:val="Bodytext214pt"/>
          <w:rFonts w:ascii="Sylfaen" w:hAnsi="Sylfaen"/>
          <w:b/>
          <w:sz w:val="24"/>
          <w:szCs w:val="24"/>
        </w:rPr>
        <w:tab/>
      </w:r>
      <w:r w:rsidRPr="002B15C9">
        <w:rPr>
          <w:rStyle w:val="Bodytext214pt"/>
          <w:rFonts w:ascii="Sylfaen" w:hAnsi="Sylfaen"/>
          <w:b/>
          <w:sz w:val="24"/>
          <w:szCs w:val="24"/>
        </w:rPr>
        <w:t>Գլիկոպրոտեիններում գլիկանների անալիզ</w:t>
      </w:r>
    </w:p>
    <w:p w14:paraId="370EB36A" w14:textId="77777777" w:rsidR="002B15C9" w:rsidRPr="00097504" w:rsidRDefault="002B15C9" w:rsidP="002B15C9">
      <w:pPr>
        <w:pStyle w:val="Bodytext20"/>
        <w:shd w:val="clear" w:color="auto" w:fill="auto"/>
        <w:tabs>
          <w:tab w:val="left" w:pos="1134"/>
        </w:tabs>
        <w:spacing w:before="0" w:after="160" w:line="360" w:lineRule="auto"/>
        <w:ind w:firstLine="567"/>
        <w:jc w:val="both"/>
        <w:rPr>
          <w:rStyle w:val="Bodytext211pt"/>
          <w:rFonts w:ascii="Sylfaen" w:eastAsia="Sylfaen" w:hAnsi="Sylfaen"/>
          <w:b/>
          <w:sz w:val="24"/>
          <w:szCs w:val="24"/>
        </w:rPr>
      </w:pPr>
    </w:p>
    <w:p w14:paraId="4A05C49F" w14:textId="77777777" w:rsidR="00B834A2" w:rsidRPr="002B15C9" w:rsidRDefault="00B834A2" w:rsidP="002B15C9">
      <w:pPr>
        <w:pStyle w:val="Bodytext20"/>
        <w:shd w:val="clear" w:color="auto" w:fill="auto"/>
        <w:tabs>
          <w:tab w:val="left" w:pos="1134"/>
        </w:tabs>
        <w:spacing w:before="0" w:after="160" w:line="360" w:lineRule="auto"/>
        <w:ind w:firstLine="567"/>
        <w:jc w:val="both"/>
        <w:rPr>
          <w:rFonts w:ascii="Sylfaen" w:hAnsi="Sylfaen"/>
          <w:b/>
          <w:sz w:val="24"/>
          <w:szCs w:val="24"/>
        </w:rPr>
      </w:pPr>
      <w:r w:rsidRPr="002B15C9">
        <w:rPr>
          <w:rStyle w:val="Bodytext211pt"/>
          <w:rFonts w:ascii="Sylfaen" w:eastAsia="Sylfaen" w:hAnsi="Sylfaen"/>
          <w:b/>
          <w:sz w:val="24"/>
          <w:szCs w:val="24"/>
        </w:rPr>
        <w:t>1.</w:t>
      </w:r>
      <w:r w:rsidR="002B15C9" w:rsidRPr="00097504">
        <w:rPr>
          <w:rStyle w:val="Bodytext211pt"/>
          <w:rFonts w:ascii="Sylfaen" w:eastAsia="Sylfaen" w:hAnsi="Sylfaen"/>
          <w:b/>
          <w:sz w:val="24"/>
          <w:szCs w:val="24"/>
        </w:rPr>
        <w:tab/>
      </w:r>
      <w:r w:rsidRPr="002B15C9">
        <w:rPr>
          <w:rStyle w:val="Bodytext211pt"/>
          <w:rFonts w:ascii="Sylfaen" w:eastAsia="Sylfaen" w:hAnsi="Sylfaen"/>
          <w:b/>
          <w:sz w:val="24"/>
          <w:szCs w:val="24"/>
        </w:rPr>
        <w:t>ՆԵՐԱԾՈՒԹՅՈՒՆ</w:t>
      </w:r>
    </w:p>
    <w:p w14:paraId="5A54DCCE" w14:textId="77777777" w:rsidR="00B834A2" w:rsidRPr="00B834A2" w:rsidRDefault="00B834A2" w:rsidP="002B15C9">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Գլիկանների անալիզը՝ գլիկոպրոտեինների օլիգոսախարիդային շղթաների (գլիկանների) հետազոտության համար համալիր փորձարկումներ են: Այն կարող է ներառել՝</w:t>
      </w:r>
    </w:p>
    <w:p w14:paraId="04A7AAE6" w14:textId="77777777" w:rsidR="00B834A2" w:rsidRPr="00B834A2" w:rsidRDefault="00B834A2" w:rsidP="002B15C9">
      <w:pPr>
        <w:tabs>
          <w:tab w:val="left" w:pos="1134"/>
        </w:tabs>
        <w:spacing w:after="160" w:line="360" w:lineRule="auto"/>
        <w:ind w:firstLine="567"/>
        <w:jc w:val="both"/>
      </w:pPr>
      <w:r w:rsidRPr="00B834A2">
        <w:rPr>
          <w:rStyle w:val="Bodytext210pt"/>
          <w:sz w:val="24"/>
          <w:szCs w:val="24"/>
        </w:rPr>
        <w:t>-</w:t>
      </w:r>
      <w:r w:rsidR="002B15C9" w:rsidRPr="002B15C9">
        <w:rPr>
          <w:rStyle w:val="Bodytext210pt"/>
          <w:sz w:val="24"/>
          <w:szCs w:val="24"/>
        </w:rPr>
        <w:tab/>
      </w:r>
      <w:r w:rsidRPr="00B834A2">
        <w:rPr>
          <w:rStyle w:val="Bodytext210pt"/>
          <w:sz w:val="24"/>
          <w:szCs w:val="24"/>
        </w:rPr>
        <w:t>ամբողջական գլիկոպրոտեինի անալիզ.</w:t>
      </w:r>
    </w:p>
    <w:p w14:paraId="2F53E7C9"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սպիտակուցի գլիկաձ</w:t>
      </w:r>
      <w:r>
        <w:rPr>
          <w:rFonts w:ascii="Sylfaen" w:hAnsi="Sylfaen"/>
          <w:sz w:val="24"/>
          <w:szCs w:val="24"/>
        </w:rPr>
        <w:t>եւ</w:t>
      </w:r>
      <w:r w:rsidRPr="00B834A2">
        <w:rPr>
          <w:rFonts w:ascii="Sylfaen" w:hAnsi="Sylfaen"/>
          <w:sz w:val="24"/>
          <w:szCs w:val="24"/>
        </w:rPr>
        <w:t xml:space="preserve">երի բաժանում </w:t>
      </w:r>
      <w:r>
        <w:rPr>
          <w:rFonts w:ascii="Sylfaen" w:hAnsi="Sylfaen"/>
          <w:sz w:val="24"/>
          <w:szCs w:val="24"/>
        </w:rPr>
        <w:t>եւ</w:t>
      </w:r>
      <w:r w:rsidRPr="00B834A2">
        <w:rPr>
          <w:rFonts w:ascii="Sylfaen" w:hAnsi="Sylfaen"/>
          <w:sz w:val="24"/>
          <w:szCs w:val="24"/>
        </w:rPr>
        <w:t xml:space="preserve"> հայտնաբերում.</w:t>
      </w:r>
    </w:p>
    <w:p w14:paraId="40EFE6A2"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գլիկոպրոտեինի ֆերմենտատիվ մշակումից հետո ստացված գլիկոպեպտիդների անալիզ.</w:t>
      </w:r>
    </w:p>
    <w:p w14:paraId="4E6F9BCF" w14:textId="77777777" w:rsidR="00B834A2" w:rsidRPr="00B834A2" w:rsidRDefault="00B834A2" w:rsidP="002B15C9">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 xml:space="preserve">գլիկոպրոտեինի քիմիական </w:t>
      </w:r>
      <w:r>
        <w:rPr>
          <w:rFonts w:ascii="Sylfaen" w:hAnsi="Sylfaen"/>
          <w:sz w:val="24"/>
          <w:szCs w:val="24"/>
        </w:rPr>
        <w:t>եւ</w:t>
      </w:r>
      <w:r w:rsidRPr="00B834A2">
        <w:rPr>
          <w:rFonts w:ascii="Sylfaen" w:hAnsi="Sylfaen"/>
          <w:sz w:val="24"/>
          <w:szCs w:val="24"/>
        </w:rPr>
        <w:t xml:space="preserve"> ֆերմենտատիվ մշակումից հետո ստացված ճեղքված գլիկանների անալիզ:</w:t>
      </w:r>
    </w:p>
    <w:p w14:paraId="2AB92E90" w14:textId="77777777" w:rsidR="00B834A2" w:rsidRPr="00530993" w:rsidRDefault="00B834A2" w:rsidP="002B15C9">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Մոնոսախարիդների անալիզը կարող է ծառայել որպես գլիկանների անալիզի ժամանակ ստացված տեղեկատվության լրացում:</w:t>
      </w:r>
    </w:p>
    <w:p w14:paraId="1D3C2667" w14:textId="77777777" w:rsidR="00B834A2" w:rsidRPr="00B834A2" w:rsidRDefault="00B834A2" w:rsidP="00B42439">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t>Գլիկոզիլացումը կարող է կար</w:t>
      </w:r>
      <w:r>
        <w:rPr>
          <w:rStyle w:val="Bodytext210pt"/>
          <w:sz w:val="24"/>
          <w:szCs w:val="24"/>
        </w:rPr>
        <w:t>եւ</w:t>
      </w:r>
      <w:r w:rsidRPr="00B834A2">
        <w:rPr>
          <w:rStyle w:val="Bodytext210pt"/>
          <w:sz w:val="24"/>
          <w:szCs w:val="24"/>
        </w:rPr>
        <w:t xml:space="preserve">որ դեր կատարել դեղամիջոցի՝ դրա ֆունկցիոնալ, ֆարմակոկինետիկ, ֆարմակոդինամիկ </w:t>
      </w:r>
      <w:r>
        <w:rPr>
          <w:rStyle w:val="Bodytext210pt"/>
          <w:sz w:val="24"/>
          <w:szCs w:val="24"/>
        </w:rPr>
        <w:t>եւ</w:t>
      </w:r>
      <w:r w:rsidRPr="00B834A2">
        <w:rPr>
          <w:rStyle w:val="Bodytext210pt"/>
          <w:sz w:val="24"/>
          <w:szCs w:val="24"/>
        </w:rPr>
        <w:t xml:space="preserve"> իմունագեն հատկությունների կենսաբանական ծագման, ինչպես նա</w:t>
      </w:r>
      <w:r>
        <w:rPr>
          <w:rStyle w:val="Bodytext210pt"/>
          <w:sz w:val="24"/>
          <w:szCs w:val="24"/>
        </w:rPr>
        <w:t>եւ</w:t>
      </w:r>
      <w:r w:rsidRPr="00B834A2">
        <w:rPr>
          <w:rStyle w:val="Bodytext210pt"/>
          <w:sz w:val="24"/>
          <w:szCs w:val="24"/>
        </w:rPr>
        <w:t xml:space="preserve"> դրա կայունության դրս</w:t>
      </w:r>
      <w:r>
        <w:rPr>
          <w:rStyle w:val="Bodytext210pt"/>
          <w:sz w:val="24"/>
          <w:szCs w:val="24"/>
        </w:rPr>
        <w:t>եւ</w:t>
      </w:r>
      <w:r w:rsidRPr="00B834A2">
        <w:rPr>
          <w:rStyle w:val="Bodytext210pt"/>
          <w:sz w:val="24"/>
          <w:szCs w:val="24"/>
        </w:rPr>
        <w:t>որման մեջ: Գլիկոզիլացումը, ի տարբերություն տրանսկրիպցիայի, մատրիցային կառավարում չունեցող ֆերմենտատիվ ձ</w:t>
      </w:r>
      <w:r>
        <w:rPr>
          <w:rStyle w:val="Bodytext210pt"/>
          <w:sz w:val="24"/>
          <w:szCs w:val="24"/>
        </w:rPr>
        <w:t>եւ</w:t>
      </w:r>
      <w:r w:rsidRPr="00B834A2">
        <w:rPr>
          <w:rStyle w:val="Bodytext210pt"/>
          <w:sz w:val="24"/>
          <w:szCs w:val="24"/>
        </w:rPr>
        <w:t>ափոխման պրոցես է, որի արդյունքը գլիկանների տարասեռությունն է: Հետերագենության վրա նույնպես ազդում է ստացման պրոցեսը: Այդ իսկ պատճառով գլիկոպրոտեինների գլինանների անալիզը կար</w:t>
      </w:r>
      <w:r>
        <w:rPr>
          <w:rStyle w:val="Bodytext210pt"/>
          <w:sz w:val="24"/>
          <w:szCs w:val="24"/>
        </w:rPr>
        <w:t>եւ</w:t>
      </w:r>
      <w:r w:rsidRPr="00B834A2">
        <w:rPr>
          <w:rStyle w:val="Bodytext210pt"/>
          <w:sz w:val="24"/>
          <w:szCs w:val="24"/>
        </w:rPr>
        <w:t xml:space="preserve">որ փորձարկում է գլիկոպրոտեինների գլիկոզիլացման սխեմայում փոփոխությունների նույնականացման </w:t>
      </w:r>
      <w:r>
        <w:rPr>
          <w:rStyle w:val="Bodytext210pt"/>
          <w:sz w:val="24"/>
          <w:szCs w:val="24"/>
        </w:rPr>
        <w:t>եւ</w:t>
      </w:r>
      <w:r w:rsidRPr="00B834A2">
        <w:rPr>
          <w:rStyle w:val="Bodytext210pt"/>
          <w:sz w:val="24"/>
          <w:szCs w:val="24"/>
        </w:rPr>
        <w:t xml:space="preserve"> (կամ) </w:t>
      </w:r>
      <w:r w:rsidRPr="00B834A2">
        <w:rPr>
          <w:rStyle w:val="Bodytext210pt"/>
          <w:sz w:val="24"/>
          <w:szCs w:val="24"/>
        </w:rPr>
        <w:lastRenderedPageBreak/>
        <w:t>արտադրության ժամանակ գլիկոզիլացման սխեմայի կայունության դիտարկման համար:</w:t>
      </w:r>
    </w:p>
    <w:p w14:paraId="2799F9F6" w14:textId="77777777" w:rsidR="00B834A2" w:rsidRPr="00B834A2" w:rsidRDefault="00B834A2" w:rsidP="00B42439">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t>Գլիկանների անալիզը կարող է լինել համեմատական մեթոդ, քանի որ ստացված տեղեկատվությունը համանման կերպով անալիզի ենթարկվող ստանդարտ նմուշի հետ համեմատման դեպքում հաստատում է փորձարկվող նմուշի համապատասխանությունը:</w:t>
      </w:r>
    </w:p>
    <w:p w14:paraId="59172337" w14:textId="77777777" w:rsidR="00B834A2" w:rsidRPr="00B834A2" w:rsidRDefault="00B834A2" w:rsidP="00B42439">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t xml:space="preserve">Տվյալ ընդհանուր դեղագրքային հոդվածում ներկայացված են գլիկոպրոտեինների բաղադրության մեջ մտնող գլիկանների անալիզի համար օգտագործվող մոտեցումները </w:t>
      </w:r>
      <w:r>
        <w:rPr>
          <w:rStyle w:val="Bodytext210pt"/>
          <w:sz w:val="24"/>
          <w:szCs w:val="24"/>
        </w:rPr>
        <w:t>եւ</w:t>
      </w:r>
      <w:r w:rsidRPr="00B834A2">
        <w:rPr>
          <w:rStyle w:val="Bodytext210pt"/>
          <w:sz w:val="24"/>
          <w:szCs w:val="24"/>
        </w:rPr>
        <w:t xml:space="preserve"> մեթոդների օգտագործման ու վալիդացման մասով պահանջները:</w:t>
      </w:r>
    </w:p>
    <w:p w14:paraId="67AECE71" w14:textId="77777777" w:rsidR="00B834A2" w:rsidRPr="009217DE" w:rsidRDefault="00B834A2" w:rsidP="00B42439">
      <w:pPr>
        <w:pStyle w:val="Bodytext20"/>
        <w:shd w:val="clear" w:color="auto" w:fill="auto"/>
        <w:spacing w:before="0" w:after="160" w:line="374" w:lineRule="auto"/>
        <w:ind w:firstLine="567"/>
        <w:jc w:val="both"/>
        <w:rPr>
          <w:rStyle w:val="Bodytext210pt"/>
          <w:sz w:val="24"/>
          <w:szCs w:val="24"/>
        </w:rPr>
      </w:pPr>
      <w:r w:rsidRPr="00B834A2">
        <w:rPr>
          <w:rStyle w:val="Bodytext210pt"/>
          <w:sz w:val="24"/>
          <w:szCs w:val="24"/>
        </w:rPr>
        <w:t xml:space="preserve">Գլիկանների անալիզը միասնական ընդհանուր մեթոդ չէ, փոխարենը ներառում է իր մեջ որոշակի ընթացակարգերի կիրառում </w:t>
      </w:r>
      <w:r>
        <w:rPr>
          <w:rStyle w:val="Bodytext210pt"/>
          <w:sz w:val="24"/>
          <w:szCs w:val="24"/>
        </w:rPr>
        <w:t>եւ</w:t>
      </w:r>
      <w:r w:rsidRPr="00B834A2">
        <w:rPr>
          <w:rStyle w:val="Bodytext210pt"/>
          <w:sz w:val="24"/>
          <w:szCs w:val="24"/>
        </w:rPr>
        <w:t xml:space="preserve"> յուրաքանչյուր գլիկոպրոտեինի համար գլիկանների սպեցիֆիկ պրոֆիլների ստացում: Հատուկ ընթացակարգերը նշվում են համապատասխան դեղագրքային հոդվածներում կամ որակի մասով նորմատիվ փաստաթղթում:</w:t>
      </w:r>
    </w:p>
    <w:p w14:paraId="3832C09C" w14:textId="77777777" w:rsidR="00163838" w:rsidRPr="003A4194" w:rsidRDefault="00163838" w:rsidP="00B42439">
      <w:pPr>
        <w:pStyle w:val="Bodytext20"/>
        <w:shd w:val="clear" w:color="auto" w:fill="auto"/>
        <w:tabs>
          <w:tab w:val="left" w:pos="1134"/>
        </w:tabs>
        <w:spacing w:before="0" w:after="160" w:line="374" w:lineRule="auto"/>
        <w:ind w:firstLine="567"/>
        <w:jc w:val="both"/>
        <w:rPr>
          <w:rStyle w:val="Bodytext210pt8"/>
          <w:sz w:val="24"/>
          <w:szCs w:val="24"/>
        </w:rPr>
      </w:pPr>
    </w:p>
    <w:p w14:paraId="0E13E84F" w14:textId="77777777" w:rsidR="00B834A2" w:rsidRPr="00B834A2" w:rsidRDefault="00B834A2" w:rsidP="00B42439">
      <w:pPr>
        <w:pStyle w:val="Bodytext20"/>
        <w:shd w:val="clear" w:color="auto" w:fill="auto"/>
        <w:tabs>
          <w:tab w:val="left" w:pos="1134"/>
        </w:tabs>
        <w:spacing w:before="0" w:after="160" w:line="374" w:lineRule="auto"/>
        <w:ind w:firstLine="567"/>
        <w:jc w:val="both"/>
        <w:rPr>
          <w:rFonts w:ascii="Sylfaen" w:hAnsi="Sylfaen"/>
          <w:sz w:val="24"/>
          <w:szCs w:val="24"/>
        </w:rPr>
      </w:pPr>
      <w:r w:rsidRPr="00B834A2">
        <w:rPr>
          <w:rStyle w:val="Bodytext210pt8"/>
          <w:sz w:val="24"/>
          <w:szCs w:val="24"/>
        </w:rPr>
        <w:t>1.1.</w:t>
      </w:r>
      <w:r w:rsidR="002B15C9" w:rsidRPr="002B15C9">
        <w:rPr>
          <w:rStyle w:val="Bodytext210pt8"/>
          <w:sz w:val="24"/>
          <w:szCs w:val="24"/>
        </w:rPr>
        <w:tab/>
      </w:r>
      <w:r w:rsidRPr="00B834A2">
        <w:rPr>
          <w:rStyle w:val="Bodytext210pt8"/>
          <w:sz w:val="24"/>
          <w:szCs w:val="24"/>
        </w:rPr>
        <w:t>ՍՊԻՏԱԿՈՒՑՆԵՐԻ ԳԼԻԿՈԶԻԼԱՑՈՒՄ</w:t>
      </w:r>
    </w:p>
    <w:p w14:paraId="2CC3C4B0" w14:textId="77777777" w:rsidR="00B834A2" w:rsidRPr="00B834A2" w:rsidRDefault="00B834A2" w:rsidP="00B42439">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t>Գոյություն ունի սպիտակուցների ֆերմենտատիվ գլիկոզիլացման 3 տեսակ՝</w:t>
      </w:r>
    </w:p>
    <w:p w14:paraId="6D5D714C" w14:textId="77777777" w:rsidR="00B834A2" w:rsidRPr="00B834A2" w:rsidRDefault="00B834A2" w:rsidP="00B42439">
      <w:pPr>
        <w:tabs>
          <w:tab w:val="left" w:pos="1134"/>
        </w:tabs>
        <w:spacing w:after="160" w:line="374" w:lineRule="auto"/>
        <w:ind w:firstLine="567"/>
        <w:jc w:val="both"/>
        <w:rPr>
          <w:rStyle w:val="Bodytext210pt"/>
          <w:sz w:val="24"/>
          <w:szCs w:val="24"/>
        </w:rPr>
      </w:pPr>
      <w:r w:rsidRPr="00B834A2">
        <w:rPr>
          <w:i/>
        </w:rPr>
        <w:t>-</w:t>
      </w:r>
      <w:r w:rsidR="002B15C9" w:rsidRPr="002B15C9">
        <w:rPr>
          <w:i/>
        </w:rPr>
        <w:tab/>
      </w:r>
      <w:r w:rsidRPr="00B834A2">
        <w:rPr>
          <w:i/>
        </w:rPr>
        <w:t>N՝</w:t>
      </w:r>
      <w:r w:rsidRPr="00B834A2">
        <w:t xml:space="preserve"> գ</w:t>
      </w:r>
      <w:r w:rsidRPr="00B42439">
        <w:rPr>
          <w:iCs/>
        </w:rPr>
        <w:t>լիկոզիլացու</w:t>
      </w:r>
      <w:r w:rsidRPr="00B42439">
        <w:t>մ</w:t>
      </w:r>
      <w:r w:rsidRPr="00B834A2">
        <w:t>՝</w:t>
      </w:r>
      <w:r w:rsidRPr="00B834A2">
        <w:rPr>
          <w:rStyle w:val="Bodytext210pt"/>
          <w:sz w:val="24"/>
          <w:szCs w:val="24"/>
        </w:rPr>
        <w:t xml:space="preserve"> - ասպարագինի տերմինալային ամիդային խմբի ազոտի ատոմի միջոցով օլիգոսախարիդների միացում.</w:t>
      </w:r>
    </w:p>
    <w:p w14:paraId="34D056E3" w14:textId="77777777" w:rsidR="00B834A2" w:rsidRPr="00B834A2" w:rsidRDefault="00B834A2" w:rsidP="00A867CD">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i/>
          <w:sz w:val="24"/>
          <w:szCs w:val="24"/>
        </w:rPr>
        <w:t>O՝</w:t>
      </w:r>
      <w:r w:rsidRPr="00B834A2">
        <w:rPr>
          <w:rFonts w:ascii="Sylfaen" w:hAnsi="Sylfaen"/>
          <w:sz w:val="24"/>
          <w:szCs w:val="24"/>
        </w:rPr>
        <w:t xml:space="preserve"> գլիկոզիլացում՝</w:t>
      </w:r>
      <w:r w:rsidRPr="00B834A2">
        <w:rPr>
          <w:rStyle w:val="Bodytext210pt"/>
          <w:sz w:val="24"/>
          <w:szCs w:val="24"/>
        </w:rPr>
        <w:t xml:space="preserve"> սերինի, տրեոնինի </w:t>
      </w:r>
      <w:r>
        <w:rPr>
          <w:rStyle w:val="Bodytext210pt"/>
          <w:sz w:val="24"/>
          <w:szCs w:val="24"/>
        </w:rPr>
        <w:t>եւ</w:t>
      </w:r>
      <w:r w:rsidRPr="00B834A2">
        <w:rPr>
          <w:rStyle w:val="Bodytext210pt"/>
          <w:sz w:val="24"/>
          <w:szCs w:val="24"/>
        </w:rPr>
        <w:t xml:space="preserve"> (կամ) հիդրօքսիպրոլինի հիդրօքսիլային խմբի միջով օլիգոսախարիդների միացում.</w:t>
      </w:r>
    </w:p>
    <w:p w14:paraId="37A21A0F" w14:textId="77777777" w:rsidR="00B834A2" w:rsidRPr="003A4194" w:rsidRDefault="00B834A2" w:rsidP="00A867CD">
      <w:pPr>
        <w:pStyle w:val="Bodytext20"/>
        <w:shd w:val="clear" w:color="auto" w:fill="auto"/>
        <w:tabs>
          <w:tab w:val="left" w:pos="1134"/>
        </w:tabs>
        <w:spacing w:before="0" w:after="160" w:line="346" w:lineRule="auto"/>
        <w:ind w:firstLine="567"/>
        <w:jc w:val="both"/>
        <w:rPr>
          <w:rStyle w:val="Bodytext210pt"/>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i/>
          <w:sz w:val="24"/>
          <w:szCs w:val="24"/>
        </w:rPr>
        <w:t>С՝</w:t>
      </w:r>
      <w:r w:rsidRPr="00B834A2">
        <w:rPr>
          <w:rFonts w:ascii="Sylfaen" w:hAnsi="Sylfaen"/>
          <w:sz w:val="24"/>
          <w:szCs w:val="24"/>
        </w:rPr>
        <w:t xml:space="preserve"> գլիկոզիլացում՝</w:t>
      </w:r>
      <w:r w:rsidRPr="00B834A2">
        <w:rPr>
          <w:rStyle w:val="Bodytext210pt"/>
          <w:sz w:val="24"/>
          <w:szCs w:val="24"/>
        </w:rPr>
        <w:t xml:space="preserve"> տրիպտոֆանի ինդոլային ցիկլի С2-ածխածնին α-մաննոպիրանոզի միացում:</w:t>
      </w:r>
    </w:p>
    <w:p w14:paraId="60CE71E3" w14:textId="77777777" w:rsidR="00163838" w:rsidRPr="003A4194" w:rsidRDefault="00163838" w:rsidP="00A867CD">
      <w:pPr>
        <w:pStyle w:val="Bodytext20"/>
        <w:shd w:val="clear" w:color="auto" w:fill="auto"/>
        <w:tabs>
          <w:tab w:val="left" w:pos="1134"/>
        </w:tabs>
        <w:spacing w:before="0" w:after="160" w:line="346" w:lineRule="auto"/>
        <w:ind w:firstLine="567"/>
        <w:jc w:val="both"/>
        <w:rPr>
          <w:rFonts w:ascii="Sylfaen" w:hAnsi="Sylfaen"/>
          <w:sz w:val="24"/>
          <w:szCs w:val="24"/>
        </w:rPr>
      </w:pPr>
    </w:p>
    <w:p w14:paraId="6AF3F365" w14:textId="77777777" w:rsidR="00B834A2" w:rsidRPr="00B834A2" w:rsidRDefault="00B834A2" w:rsidP="00A867CD">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lastRenderedPageBreak/>
        <w:t>Առանց ֆերմենտների մասնակցության միացում, նույնպես հայտնի որպես գլիկացում, կարող է տեղի ունենալ վերականգնվող շաքարների հետ սպիտակուցների ինկուբացման դեպքում:</w:t>
      </w:r>
    </w:p>
    <w:p w14:paraId="2BCD530B" w14:textId="77777777" w:rsidR="00B834A2" w:rsidRPr="00B834A2" w:rsidRDefault="00B834A2" w:rsidP="00A867CD">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Style w:val="Bodytext210pt8"/>
          <w:sz w:val="24"/>
          <w:szCs w:val="24"/>
        </w:rPr>
        <w:t>1.2.</w:t>
      </w:r>
      <w:r w:rsidR="002B15C9" w:rsidRPr="00097504">
        <w:rPr>
          <w:rStyle w:val="Bodytext210pt8"/>
          <w:sz w:val="24"/>
          <w:szCs w:val="24"/>
        </w:rPr>
        <w:tab/>
      </w:r>
      <w:r w:rsidRPr="00B834A2">
        <w:rPr>
          <w:rStyle w:val="Bodytext210pt8"/>
          <w:sz w:val="24"/>
          <w:szCs w:val="24"/>
        </w:rPr>
        <w:t>ՍՊԻՏԱԿՈՒՑՆԵՐԻ ԳԼԻԿՈԶԻԼԱՑՄԱՆ ՀԵՏԵՐԱԳԵՆՈՒԹՅՈՒՆ</w:t>
      </w:r>
    </w:p>
    <w:p w14:paraId="7EF78F74" w14:textId="77777777" w:rsidR="00B834A2" w:rsidRPr="00B834A2" w:rsidRDefault="00B834A2" w:rsidP="00A867CD">
      <w:pPr>
        <w:pStyle w:val="Bodytext20"/>
        <w:shd w:val="clear" w:color="auto" w:fill="auto"/>
        <w:spacing w:before="0" w:after="160" w:line="346" w:lineRule="auto"/>
        <w:ind w:firstLine="567"/>
        <w:jc w:val="both"/>
        <w:rPr>
          <w:rFonts w:ascii="Sylfaen" w:hAnsi="Sylfaen"/>
          <w:sz w:val="24"/>
          <w:szCs w:val="24"/>
        </w:rPr>
      </w:pPr>
      <w:r w:rsidRPr="00B834A2">
        <w:rPr>
          <w:rStyle w:val="Bodytext210pt"/>
          <w:sz w:val="24"/>
          <w:szCs w:val="24"/>
        </w:rPr>
        <w:t>Գլիկոպրոտեինների արտադրության ժամանակ կարող է դրս</w:t>
      </w:r>
      <w:r>
        <w:rPr>
          <w:rStyle w:val="Bodytext210pt"/>
          <w:sz w:val="24"/>
          <w:szCs w:val="24"/>
        </w:rPr>
        <w:t>եւ</w:t>
      </w:r>
      <w:r w:rsidRPr="00B834A2">
        <w:rPr>
          <w:rStyle w:val="Bodytext210pt"/>
          <w:sz w:val="24"/>
          <w:szCs w:val="24"/>
        </w:rPr>
        <w:t>որվել գլիկանների տարբեր աստիճանի տարասեռություն: Անհամասեռությունը կարող է դրս</w:t>
      </w:r>
      <w:r>
        <w:rPr>
          <w:rStyle w:val="Bodytext210pt"/>
          <w:sz w:val="24"/>
          <w:szCs w:val="24"/>
        </w:rPr>
        <w:t>եւ</w:t>
      </w:r>
      <w:r w:rsidRPr="00B834A2">
        <w:rPr>
          <w:rStyle w:val="Bodytext210pt"/>
          <w:sz w:val="24"/>
          <w:szCs w:val="24"/>
        </w:rPr>
        <w:t>որվել փոփոխականության արդյունքում՝</w:t>
      </w:r>
    </w:p>
    <w:p w14:paraId="7A4759C3" w14:textId="77777777" w:rsidR="00B834A2" w:rsidRPr="00B834A2" w:rsidRDefault="00B834A2" w:rsidP="00A867CD">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ըստ զբաղվածության աստիճանի (ամբողջական, մասնակի, ազատ).</w:t>
      </w:r>
    </w:p>
    <w:p w14:paraId="1E4B7B2A" w14:textId="77777777" w:rsidR="00B834A2" w:rsidRPr="00B834A2" w:rsidRDefault="00B834A2" w:rsidP="00A867CD">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ըստ տեսակի (</w:t>
      </w:r>
      <w:r w:rsidRPr="00B834A2">
        <w:rPr>
          <w:rFonts w:ascii="Sylfaen" w:hAnsi="Sylfaen"/>
          <w:i/>
          <w:sz w:val="24"/>
          <w:szCs w:val="24"/>
        </w:rPr>
        <w:t>N</w:t>
      </w:r>
      <w:r w:rsidR="00C94376" w:rsidRPr="00C94376">
        <w:rPr>
          <w:rFonts w:ascii="Sylfaen" w:hAnsi="Sylfaen"/>
          <w:i/>
          <w:sz w:val="24"/>
          <w:szCs w:val="24"/>
        </w:rPr>
        <w:t xml:space="preserve"> </w:t>
      </w:r>
      <w:r w:rsidRPr="00B834A2">
        <w:rPr>
          <w:rFonts w:ascii="Sylfaen" w:hAnsi="Sylfaen"/>
          <w:i/>
          <w:sz w:val="24"/>
          <w:szCs w:val="24"/>
        </w:rPr>
        <w:t>-</w:t>
      </w:r>
      <w:r w:rsidRPr="00B834A2">
        <w:rPr>
          <w:rFonts w:ascii="Sylfaen" w:hAnsi="Sylfaen"/>
          <w:sz w:val="24"/>
          <w:szCs w:val="24"/>
        </w:rPr>
        <w:t xml:space="preserve"> կամ </w:t>
      </w:r>
      <w:r w:rsidRPr="00B834A2">
        <w:rPr>
          <w:rFonts w:ascii="Sylfaen" w:hAnsi="Sylfaen"/>
          <w:i/>
          <w:sz w:val="24"/>
          <w:szCs w:val="24"/>
        </w:rPr>
        <w:t>О</w:t>
      </w:r>
      <w:r w:rsidR="00C94376" w:rsidRPr="00C94376">
        <w:rPr>
          <w:rFonts w:ascii="Sylfaen" w:hAnsi="Sylfaen"/>
          <w:i/>
          <w:sz w:val="24"/>
          <w:szCs w:val="24"/>
        </w:rPr>
        <w:t xml:space="preserve"> </w:t>
      </w:r>
      <w:r w:rsidRPr="00B834A2">
        <w:rPr>
          <w:rFonts w:ascii="Sylfaen" w:hAnsi="Sylfaen"/>
          <w:sz w:val="24"/>
          <w:szCs w:val="24"/>
        </w:rPr>
        <w:t>- միջնորդավորված).</w:t>
      </w:r>
    </w:p>
    <w:p w14:paraId="50C0AE55" w14:textId="77777777" w:rsidR="00B834A2" w:rsidRPr="00B834A2" w:rsidRDefault="00B834A2" w:rsidP="00A867CD">
      <w:pPr>
        <w:pStyle w:val="Bodytext20"/>
        <w:shd w:val="clear" w:color="auto" w:fill="auto"/>
        <w:tabs>
          <w:tab w:val="left" w:pos="1134"/>
        </w:tabs>
        <w:spacing w:before="0" w:after="160" w:line="346" w:lineRule="auto"/>
        <w:ind w:firstLine="567"/>
        <w:jc w:val="both"/>
        <w:rPr>
          <w:rFonts w:ascii="Sylfaen" w:hAnsi="Sylfaen"/>
          <w:sz w:val="24"/>
          <w:szCs w:val="24"/>
        </w:rPr>
      </w:pPr>
      <w:r w:rsidRPr="00B834A2">
        <w:rPr>
          <w:rFonts w:ascii="Sylfaen" w:hAnsi="Sylfaen"/>
          <w:sz w:val="24"/>
          <w:szCs w:val="24"/>
        </w:rPr>
        <w:t>-</w:t>
      </w:r>
      <w:r w:rsidR="002B15C9" w:rsidRPr="002B15C9">
        <w:rPr>
          <w:rFonts w:ascii="Sylfaen" w:hAnsi="Sylfaen"/>
          <w:sz w:val="24"/>
          <w:szCs w:val="24"/>
        </w:rPr>
        <w:tab/>
      </w:r>
      <w:r w:rsidRPr="00B834A2">
        <w:rPr>
          <w:rFonts w:ascii="Sylfaen" w:hAnsi="Sylfaen"/>
          <w:sz w:val="24"/>
          <w:szCs w:val="24"/>
        </w:rPr>
        <w:t>ըստ օլիսախարիդի կառուցվածքի</w:t>
      </w:r>
      <w:r>
        <w:rPr>
          <w:rFonts w:ascii="Sylfaen" w:hAnsi="Sylfaen"/>
          <w:sz w:val="24"/>
          <w:szCs w:val="24"/>
        </w:rPr>
        <w:t xml:space="preserve"> </w:t>
      </w:r>
      <w:r w:rsidRPr="00B834A2">
        <w:rPr>
          <w:rFonts w:ascii="Sylfaen" w:hAnsi="Sylfaen"/>
          <w:sz w:val="24"/>
          <w:szCs w:val="24"/>
        </w:rPr>
        <w:t>(երկարություն, ճյուղավորվածություն, միացման տեսակ):</w:t>
      </w:r>
    </w:p>
    <w:p w14:paraId="0AECD5F0" w14:textId="77777777" w:rsidR="00B834A2" w:rsidRPr="00A867CD" w:rsidRDefault="00B834A2" w:rsidP="00A867CD">
      <w:pPr>
        <w:pStyle w:val="Bodytext20"/>
        <w:shd w:val="clear" w:color="auto" w:fill="auto"/>
        <w:spacing w:before="0" w:after="160" w:line="346" w:lineRule="auto"/>
        <w:ind w:firstLine="567"/>
        <w:jc w:val="both"/>
        <w:rPr>
          <w:rFonts w:ascii="Sylfaen" w:hAnsi="Sylfaen"/>
          <w:sz w:val="24"/>
          <w:szCs w:val="24"/>
        </w:rPr>
      </w:pPr>
      <w:r w:rsidRPr="00A867CD">
        <w:rPr>
          <w:rStyle w:val="Bodytext210pt"/>
          <w:sz w:val="24"/>
          <w:szCs w:val="24"/>
        </w:rPr>
        <w:t xml:space="preserve">Գլիկոզիլացման անհամասեռությունը հանգեցնում է յուրաքանչյուր առանձին գլիկոպրոտեինի մոտ գլիկոֆորմի լրակազմի առկայության: Այդ տարատեսակներն առաջանում են այն պատճառով, որ գլիկոզիլացման պրոցեսը՝ ի տարբերություն կենսասինթեզի տրանսկրիպցիոն կամ տրանսլյացիոն պրոցեսների, չունի մատրիցային կառավարում եւ մոլեկուլի հետտրանսլյացիոն փոփոխության պրոցես է: </w:t>
      </w:r>
    </w:p>
    <w:p w14:paraId="3AD8109C" w14:textId="77777777" w:rsidR="00B834A2" w:rsidRPr="00B834A2" w:rsidRDefault="00B834A2" w:rsidP="00A867C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Ընտրված մասում գլիկոզիլացման կառուցվածքը պայմանավորված է շատ գործոններով, ներառյալ բջջի Գոլջիի ապարատում </w:t>
      </w:r>
      <w:r>
        <w:rPr>
          <w:rStyle w:val="Bodytext210pt"/>
          <w:sz w:val="24"/>
          <w:szCs w:val="24"/>
        </w:rPr>
        <w:t>եւ</w:t>
      </w:r>
      <w:r w:rsidRPr="00B834A2">
        <w:rPr>
          <w:rStyle w:val="Bodytext210pt"/>
          <w:sz w:val="24"/>
          <w:szCs w:val="24"/>
        </w:rPr>
        <w:t xml:space="preserve"> էնդոպլազմատիկ ռետիկյուլար ցանցում հայտնաբերվող գլիկոզիլտրանսֆերազների </w:t>
      </w:r>
      <w:r>
        <w:rPr>
          <w:rStyle w:val="Bodytext210pt"/>
          <w:sz w:val="24"/>
          <w:szCs w:val="24"/>
        </w:rPr>
        <w:t>եւ</w:t>
      </w:r>
      <w:r w:rsidRPr="00B834A2">
        <w:rPr>
          <w:rStyle w:val="Bodytext210pt"/>
          <w:sz w:val="24"/>
          <w:szCs w:val="24"/>
        </w:rPr>
        <w:t xml:space="preserve"> էկզոգլիկոզիդազների ֆերմենտների առկայությունը (պայմանավորված բջջի մասնագիտացմամբ </w:t>
      </w:r>
      <w:r>
        <w:rPr>
          <w:rStyle w:val="Bodytext210pt"/>
          <w:sz w:val="24"/>
          <w:szCs w:val="24"/>
        </w:rPr>
        <w:t>եւ</w:t>
      </w:r>
      <w:r w:rsidRPr="00B834A2">
        <w:rPr>
          <w:rStyle w:val="Bodytext210pt"/>
          <w:sz w:val="24"/>
          <w:szCs w:val="24"/>
        </w:rPr>
        <w:t xml:space="preserve"> (կամ) դրա զարգացման աստիճանով):</w:t>
      </w:r>
    </w:p>
    <w:p w14:paraId="0E0201E6" w14:textId="77777777" w:rsidR="00B834A2" w:rsidRPr="00B834A2" w:rsidRDefault="00B834A2" w:rsidP="00A867C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Գլիկոզիլացման պրոցեսը պայմանավորված է նույնպես սպիտակուցի կառուցվածքով, «հոստ-վեկտորային ԴՆԹ» համակարգի էքսպրեսիայից </w:t>
      </w:r>
      <w:r>
        <w:rPr>
          <w:rStyle w:val="Bodytext210pt"/>
          <w:sz w:val="24"/>
          <w:szCs w:val="24"/>
        </w:rPr>
        <w:t>եւ</w:t>
      </w:r>
      <w:r w:rsidRPr="00B834A2">
        <w:rPr>
          <w:rStyle w:val="Bodytext210pt"/>
          <w:sz w:val="24"/>
          <w:szCs w:val="24"/>
        </w:rPr>
        <w:t xml:space="preserve"> բջիջների կուլտիվացման ռեժիմից:</w:t>
      </w:r>
    </w:p>
    <w:p w14:paraId="7E0F8421" w14:textId="77777777" w:rsidR="00D2561B" w:rsidRDefault="00D2561B">
      <w:pPr>
        <w:rPr>
          <w:rStyle w:val="Bodytext210pt"/>
          <w:sz w:val="24"/>
          <w:szCs w:val="24"/>
        </w:rPr>
      </w:pPr>
      <w:r>
        <w:rPr>
          <w:rStyle w:val="Bodytext210pt"/>
          <w:sz w:val="24"/>
          <w:szCs w:val="24"/>
        </w:rPr>
        <w:br w:type="page"/>
      </w:r>
    </w:p>
    <w:p w14:paraId="344CF34E" w14:textId="77777777" w:rsidR="00B834A2" w:rsidRPr="00D2561B" w:rsidRDefault="00B834A2" w:rsidP="00A867CD">
      <w:pPr>
        <w:pStyle w:val="Bodytext20"/>
        <w:shd w:val="clear" w:color="auto" w:fill="auto"/>
        <w:tabs>
          <w:tab w:val="left" w:pos="1134"/>
        </w:tabs>
        <w:spacing w:before="0" w:after="160" w:line="360" w:lineRule="auto"/>
        <w:ind w:firstLine="567"/>
        <w:jc w:val="both"/>
        <w:rPr>
          <w:rFonts w:ascii="Sylfaen" w:hAnsi="Sylfaen"/>
          <w:b/>
          <w:sz w:val="24"/>
          <w:szCs w:val="24"/>
        </w:rPr>
      </w:pPr>
      <w:r w:rsidRPr="00D2561B">
        <w:rPr>
          <w:rStyle w:val="Bodytext210pt"/>
          <w:b/>
          <w:sz w:val="24"/>
          <w:szCs w:val="24"/>
        </w:rPr>
        <w:lastRenderedPageBreak/>
        <w:t>2.</w:t>
      </w:r>
      <w:r w:rsidR="00A867CD" w:rsidRPr="00D2561B">
        <w:rPr>
          <w:rStyle w:val="Bodytext210pt"/>
          <w:b/>
          <w:sz w:val="24"/>
          <w:szCs w:val="24"/>
        </w:rPr>
        <w:tab/>
      </w:r>
      <w:r w:rsidRPr="00D2561B">
        <w:rPr>
          <w:rStyle w:val="Bodytext210pt"/>
          <w:b/>
          <w:sz w:val="24"/>
          <w:szCs w:val="24"/>
        </w:rPr>
        <w:t>ԳԼԻԿԱՆՆԵՐԻ ԱՆԱԼԻԶԻ ՄԵԹՈԴՆԵՐ</w:t>
      </w:r>
    </w:p>
    <w:p w14:paraId="071EC0FF" w14:textId="77777777" w:rsidR="00B834A2" w:rsidRPr="00B834A2" w:rsidRDefault="00B834A2" w:rsidP="00A867CD">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Գլիկոզիլացման մեջ տարասեռությունը կարող է գնահատվել չոր առանձին </w:t>
      </w:r>
      <w:r>
        <w:rPr>
          <w:rStyle w:val="Bodytext210pt"/>
          <w:sz w:val="24"/>
          <w:szCs w:val="24"/>
        </w:rPr>
        <w:t>եւ</w:t>
      </w:r>
      <w:r w:rsidRPr="00B834A2">
        <w:rPr>
          <w:rStyle w:val="Bodytext210pt"/>
          <w:sz w:val="24"/>
          <w:szCs w:val="24"/>
        </w:rPr>
        <w:t xml:space="preserve"> փոխլրացնող մեթոդներով՝</w:t>
      </w:r>
    </w:p>
    <w:p w14:paraId="41DE98F4" w14:textId="77777777" w:rsidR="00B834A2" w:rsidRPr="00B834A2" w:rsidRDefault="00B834A2" w:rsidP="00A867CD">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A867CD" w:rsidRPr="00A867CD">
        <w:rPr>
          <w:rFonts w:ascii="Sylfaen" w:hAnsi="Sylfaen"/>
          <w:sz w:val="24"/>
          <w:szCs w:val="24"/>
        </w:rPr>
        <w:tab/>
      </w:r>
      <w:r w:rsidRPr="00B834A2">
        <w:rPr>
          <w:rFonts w:ascii="Sylfaen" w:hAnsi="Sylfaen"/>
          <w:sz w:val="24"/>
          <w:szCs w:val="24"/>
        </w:rPr>
        <w:t>ինտակտ գլիկոպրոտեինի անալիզ.</w:t>
      </w:r>
    </w:p>
    <w:p w14:paraId="139EA9D3" w14:textId="77777777" w:rsidR="00B834A2" w:rsidRPr="00B834A2" w:rsidRDefault="00B834A2" w:rsidP="00A867CD">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A867CD" w:rsidRPr="00A867CD">
        <w:rPr>
          <w:rFonts w:ascii="Sylfaen" w:hAnsi="Sylfaen"/>
          <w:sz w:val="24"/>
          <w:szCs w:val="24"/>
        </w:rPr>
        <w:tab/>
      </w:r>
      <w:r w:rsidRPr="00B834A2">
        <w:rPr>
          <w:rFonts w:ascii="Sylfaen" w:hAnsi="Sylfaen"/>
          <w:sz w:val="24"/>
          <w:szCs w:val="24"/>
        </w:rPr>
        <w:t>գլիկոպեպտիդների անալիզ.</w:t>
      </w:r>
    </w:p>
    <w:p w14:paraId="48E5CDAE" w14:textId="77777777" w:rsidR="00B834A2" w:rsidRPr="00B834A2" w:rsidRDefault="00B834A2" w:rsidP="00A867CD">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A867CD" w:rsidRPr="00A867CD">
        <w:rPr>
          <w:rFonts w:ascii="Sylfaen" w:hAnsi="Sylfaen"/>
          <w:sz w:val="24"/>
          <w:szCs w:val="24"/>
        </w:rPr>
        <w:tab/>
      </w:r>
      <w:r w:rsidRPr="00B834A2">
        <w:rPr>
          <w:rFonts w:ascii="Sylfaen" w:hAnsi="Sylfaen"/>
          <w:sz w:val="24"/>
          <w:szCs w:val="24"/>
        </w:rPr>
        <w:t>շերտատված գլիկանների անալիզ.</w:t>
      </w:r>
    </w:p>
    <w:p w14:paraId="331077BC" w14:textId="77777777" w:rsidR="00B834A2" w:rsidRPr="00B834A2" w:rsidRDefault="00B834A2" w:rsidP="00A867CD">
      <w:pPr>
        <w:tabs>
          <w:tab w:val="left" w:pos="1134"/>
        </w:tabs>
        <w:spacing w:after="160" w:line="360" w:lineRule="auto"/>
        <w:ind w:firstLine="567"/>
        <w:jc w:val="both"/>
      </w:pPr>
      <w:r w:rsidRPr="00B834A2">
        <w:t>-</w:t>
      </w:r>
      <w:r w:rsidR="00A867CD" w:rsidRPr="00A867CD">
        <w:tab/>
      </w:r>
      <w:r w:rsidRPr="00B834A2">
        <w:t>մոնոսախարիդների անալիզ.</w:t>
      </w:r>
    </w:p>
    <w:p w14:paraId="19CE33E0" w14:textId="77777777" w:rsidR="00B834A2" w:rsidRPr="00B834A2" w:rsidRDefault="00000000" w:rsidP="00B834A2">
      <w:pPr>
        <w:spacing w:after="160" w:line="360" w:lineRule="auto"/>
        <w:jc w:val="center"/>
      </w:pPr>
      <w:r>
        <w:rPr>
          <w:noProof/>
          <w:lang w:val="en-US" w:eastAsia="en-US" w:bidi="ar-SA"/>
        </w:rPr>
        <w:lastRenderedPageBreak/>
        <w:pict w14:anchorId="5F295557">
          <v:group id="_x0000_s1461" style="position:absolute;left:0;text-align:left;margin-left:22.9pt;margin-top:34.4pt;width:427.4pt;height:561.5pt;z-index:252087296" coordorigin="1876,2106" coordsize="8548,11230">
            <v:rect id="_x0000_s1389" style="position:absolute;left:9914;top:9514;width:397;height:344" stroked="f">
              <v:textbox>
                <w:txbxContent>
                  <w:p w14:paraId="5EEA2C14" w14:textId="77777777" w:rsidR="008D6E8B" w:rsidRPr="0079747C" w:rsidRDefault="008D6E8B" w:rsidP="00A867CD">
                    <w:pPr>
                      <w:jc w:val="center"/>
                      <w:rPr>
                        <w:sz w:val="6"/>
                        <w:szCs w:val="16"/>
                        <w:lang w:val="en-US"/>
                      </w:rPr>
                    </w:pPr>
                    <w:r w:rsidRPr="0079747C">
                      <w:rPr>
                        <w:sz w:val="6"/>
                        <w:szCs w:val="16"/>
                      </w:rPr>
                      <w:t>ԶՍ</w:t>
                    </w:r>
                  </w:p>
                </w:txbxContent>
              </v:textbox>
            </v:rect>
            <v:rect id="_x0000_s1457" style="position:absolute;left:8632;top:8980;width:1639;height:374" stroked="f">
              <v:textbox>
                <w:txbxContent>
                  <w:p w14:paraId="06C2FA16" w14:textId="77777777" w:rsidR="008D6E8B" w:rsidRPr="0079747C" w:rsidRDefault="008D6E8B" w:rsidP="0079747C">
                    <w:pPr>
                      <w:jc w:val="center"/>
                      <w:rPr>
                        <w:sz w:val="8"/>
                        <w:szCs w:val="16"/>
                      </w:rPr>
                    </w:pPr>
                    <w:r w:rsidRPr="0079747C">
                      <w:rPr>
                        <w:sz w:val="8"/>
                        <w:szCs w:val="16"/>
                      </w:rPr>
                      <w:t>Էկզոգլիկոզիդազների մշակում</w:t>
                    </w:r>
                  </w:p>
                </w:txbxContent>
              </v:textbox>
            </v:rect>
            <v:rect id="_x0000_s1458" style="position:absolute;left:9898;top:10080;width:413;height:558" stroked="f">
              <v:textbox>
                <w:txbxContent>
                  <w:p w14:paraId="195F2406" w14:textId="77777777" w:rsidR="008D6E8B" w:rsidRPr="0079747C" w:rsidRDefault="008D6E8B" w:rsidP="0079747C">
                    <w:pPr>
                      <w:jc w:val="center"/>
                      <w:rPr>
                        <w:sz w:val="8"/>
                        <w:szCs w:val="16"/>
                      </w:rPr>
                    </w:pPr>
                    <w:r w:rsidRPr="0079747C">
                      <w:rPr>
                        <w:sz w:val="8"/>
                        <w:szCs w:val="16"/>
                      </w:rPr>
                      <w:t xml:space="preserve">ՄԷ </w:t>
                    </w:r>
                  </w:p>
                  <w:p w14:paraId="71F5C149" w14:textId="77777777" w:rsidR="008D6E8B" w:rsidRPr="0079747C" w:rsidRDefault="008D6E8B" w:rsidP="0079747C">
                    <w:pPr>
                      <w:jc w:val="center"/>
                      <w:rPr>
                        <w:sz w:val="8"/>
                        <w:szCs w:val="16"/>
                      </w:rPr>
                    </w:pPr>
                    <w:r w:rsidRPr="0079747C">
                      <w:rPr>
                        <w:sz w:val="8"/>
                        <w:szCs w:val="16"/>
                      </w:rPr>
                      <w:t xml:space="preserve">ԶՍ </w:t>
                    </w:r>
                  </w:p>
                  <w:p w14:paraId="7C050151" w14:textId="77777777" w:rsidR="008D6E8B" w:rsidRPr="0079747C" w:rsidRDefault="008D6E8B" w:rsidP="0079747C">
                    <w:pPr>
                      <w:jc w:val="center"/>
                      <w:rPr>
                        <w:sz w:val="8"/>
                        <w:szCs w:val="16"/>
                      </w:rPr>
                    </w:pPr>
                    <w:r w:rsidRPr="0079747C">
                      <w:rPr>
                        <w:sz w:val="8"/>
                        <w:szCs w:val="16"/>
                      </w:rPr>
                      <w:t>ՀՔ</w:t>
                    </w:r>
                  </w:p>
                </w:txbxContent>
              </v:textbox>
            </v:rect>
            <v:rect id="_x0000_s1459" style="position:absolute;left:8632;top:10080;width:989;height:380" stroked="f">
              <v:textbox>
                <w:txbxContent>
                  <w:p w14:paraId="0070E33D" w14:textId="77777777" w:rsidR="008D6E8B" w:rsidRPr="0079747C" w:rsidRDefault="008D6E8B" w:rsidP="0079747C">
                    <w:pPr>
                      <w:jc w:val="center"/>
                      <w:rPr>
                        <w:sz w:val="8"/>
                        <w:szCs w:val="16"/>
                      </w:rPr>
                    </w:pPr>
                    <w:r w:rsidRPr="0079747C">
                      <w:rPr>
                        <w:sz w:val="8"/>
                        <w:szCs w:val="16"/>
                      </w:rPr>
                      <w:t>ԲՔ/ՄԷ բաժանում</w:t>
                    </w:r>
                  </w:p>
                </w:txbxContent>
              </v:textbox>
            </v:rect>
            <v:shape id="_x0000_s1043" type="#_x0000_t202" style="position:absolute;left:4585;top:2106;width:4645;height:1773;mso-width-relative:margin;mso-height-relative:margin" fillcolor="white [3212]" strokecolor="white [3212]">
              <v:textbox style="mso-next-textbox:#_x0000_s1043" inset="0,0,0,0">
                <w:txbxContent>
                  <w:p w14:paraId="3B8B4828" w14:textId="77777777" w:rsidR="008D6E8B" w:rsidRPr="00A867CD" w:rsidRDefault="008D6E8B" w:rsidP="00A867CD">
                    <w:pPr>
                      <w:rPr>
                        <w:sz w:val="14"/>
                        <w:szCs w:val="16"/>
                      </w:rPr>
                    </w:pPr>
                    <w:r w:rsidRPr="00A867CD">
                      <w:rPr>
                        <w:sz w:val="14"/>
                      </w:rPr>
                      <w:t>ԻՆՏԱԿՏ ԳԼԻԿՈՊՐՈՏԵԻՆՆԵՐԻ ԱՆԱԼԻԶ</w:t>
                    </w:r>
                  </w:p>
                  <w:p w14:paraId="695C0BA4" w14:textId="77777777" w:rsidR="008D6E8B" w:rsidRPr="00A867CD" w:rsidRDefault="008D6E8B" w:rsidP="00A867CD">
                    <w:pPr>
                      <w:rPr>
                        <w:sz w:val="14"/>
                        <w:szCs w:val="16"/>
                      </w:rPr>
                    </w:pPr>
                  </w:p>
                  <w:p w14:paraId="0B377CC1" w14:textId="77777777" w:rsidR="008D6E8B" w:rsidRPr="00A867CD" w:rsidRDefault="008D6E8B" w:rsidP="00A867CD">
                    <w:pPr>
                      <w:rPr>
                        <w:sz w:val="14"/>
                        <w:szCs w:val="16"/>
                      </w:rPr>
                    </w:pPr>
                    <w:r w:rsidRPr="00A867CD">
                      <w:rPr>
                        <w:sz w:val="14"/>
                      </w:rPr>
                      <w:t>ՄՍ</w:t>
                    </w:r>
                  </w:p>
                  <w:p w14:paraId="6AB9BA59" w14:textId="77777777" w:rsidR="008D6E8B" w:rsidRPr="00A867CD" w:rsidRDefault="008D6E8B" w:rsidP="00A867CD">
                    <w:pPr>
                      <w:rPr>
                        <w:sz w:val="14"/>
                        <w:szCs w:val="16"/>
                      </w:rPr>
                    </w:pPr>
                    <w:r w:rsidRPr="00A867CD">
                      <w:rPr>
                        <w:sz w:val="14"/>
                      </w:rPr>
                      <w:t>ԻԷԿ</w:t>
                    </w:r>
                  </w:p>
                  <w:p w14:paraId="722ED80C" w14:textId="77777777" w:rsidR="008D6E8B" w:rsidRPr="00A867CD" w:rsidRDefault="008D6E8B" w:rsidP="00A867CD">
                    <w:pPr>
                      <w:rPr>
                        <w:sz w:val="14"/>
                        <w:szCs w:val="16"/>
                      </w:rPr>
                    </w:pPr>
                    <w:r w:rsidRPr="00A867CD">
                      <w:rPr>
                        <w:sz w:val="14"/>
                      </w:rPr>
                      <w:t>Մէ</w:t>
                    </w:r>
                  </w:p>
                  <w:p w14:paraId="0A233DE6" w14:textId="77777777" w:rsidR="008D6E8B" w:rsidRPr="00A867CD" w:rsidRDefault="008D6E8B" w:rsidP="00A867CD">
                    <w:pPr>
                      <w:rPr>
                        <w:sz w:val="14"/>
                        <w:szCs w:val="16"/>
                      </w:rPr>
                    </w:pPr>
                    <w:r w:rsidRPr="00A867CD">
                      <w:rPr>
                        <w:sz w:val="14"/>
                      </w:rPr>
                      <w:t>Իոնափոխանակման քրոմատագրություն</w:t>
                    </w:r>
                  </w:p>
                  <w:p w14:paraId="050A45A6" w14:textId="77777777" w:rsidR="008D6E8B" w:rsidRPr="00A867CD" w:rsidRDefault="008D6E8B" w:rsidP="00A867CD">
                    <w:pPr>
                      <w:rPr>
                        <w:sz w:val="14"/>
                        <w:szCs w:val="16"/>
                      </w:rPr>
                    </w:pPr>
                    <w:r w:rsidRPr="00A867CD">
                      <w:rPr>
                        <w:sz w:val="14"/>
                      </w:rPr>
                      <w:t>Էքսկլյուզիոն քրոմատագրություն</w:t>
                    </w:r>
                  </w:p>
                  <w:p w14:paraId="761EA168" w14:textId="77777777" w:rsidR="008D6E8B" w:rsidRPr="00A867CD" w:rsidRDefault="008D6E8B" w:rsidP="00A867CD">
                    <w:pPr>
                      <w:rPr>
                        <w:sz w:val="14"/>
                        <w:szCs w:val="16"/>
                      </w:rPr>
                    </w:pPr>
                    <w:r w:rsidRPr="00A867CD">
                      <w:rPr>
                        <w:sz w:val="14"/>
                      </w:rPr>
                      <w:t>ԴՍՆ-ՊԱԱԺ էլեկտրոֆորեզ</w:t>
                    </w:r>
                  </w:p>
                </w:txbxContent>
              </v:textbox>
            </v:shape>
            <v:shape id="_x0000_s1044" type="#_x0000_t202" style="position:absolute;left:2033;top:4590;width:1400;height:231;mso-width-relative:margin;mso-height-relative:margin" fillcolor="white [3212]" strokecolor="white [3212]">
              <v:textbox style="mso-next-textbox:#_x0000_s1044" inset="0,0,0,0">
                <w:txbxContent>
                  <w:p w14:paraId="2A62F8E7" w14:textId="77777777" w:rsidR="008D6E8B" w:rsidRPr="00A867CD" w:rsidRDefault="008D6E8B" w:rsidP="00B834A2">
                    <w:pPr>
                      <w:jc w:val="center"/>
                      <w:rPr>
                        <w:sz w:val="12"/>
                        <w:szCs w:val="16"/>
                      </w:rPr>
                    </w:pPr>
                    <w:r w:rsidRPr="00A867CD">
                      <w:rPr>
                        <w:sz w:val="12"/>
                      </w:rPr>
                      <w:t>ԳԼԻԿՈՊՐՈՏԵԻՆ</w:t>
                    </w:r>
                  </w:p>
                </w:txbxContent>
              </v:textbox>
            </v:shape>
            <v:shape id="_x0000_s1045" type="#_x0000_t202" style="position:absolute;left:4526;top:4417;width:2522;height:283;mso-width-relative:margin;mso-height-relative:margin" fillcolor="white [3212]" strokecolor="white [3212]">
              <v:textbox style="mso-next-textbox:#_x0000_s1045" inset="0,0,0,0">
                <w:txbxContent>
                  <w:p w14:paraId="64A5DC43" w14:textId="77777777" w:rsidR="008D6E8B" w:rsidRPr="0079747C" w:rsidRDefault="008D6E8B" w:rsidP="00B834A2">
                    <w:pPr>
                      <w:jc w:val="center"/>
                      <w:rPr>
                        <w:sz w:val="12"/>
                        <w:szCs w:val="16"/>
                      </w:rPr>
                    </w:pPr>
                    <w:r w:rsidRPr="0079747C">
                      <w:rPr>
                        <w:sz w:val="12"/>
                      </w:rPr>
                      <w:t>ԳԼԻԿՈՊԵՊՏԻԴՆԵՐԻ ԱՆԱԼԻԶ</w:t>
                    </w:r>
                  </w:p>
                </w:txbxContent>
              </v:textbox>
            </v:shape>
            <v:shape id="_x0000_s1046" type="#_x0000_t202" style="position:absolute;left:6708;top:4821;width:2522;height:199;mso-height-percent:200;mso-height-percent:200;mso-width-relative:margin;mso-height-relative:margin" fillcolor="white [3212]" strokecolor="white [3212]">
              <v:textbox style="mso-next-textbox:#_x0000_s1046;mso-fit-shape-to-text:t" inset="0,0,0,0">
                <w:txbxContent>
                  <w:p w14:paraId="7A96B031" w14:textId="77777777" w:rsidR="008D6E8B" w:rsidRPr="0079747C" w:rsidRDefault="008D6E8B" w:rsidP="00B834A2">
                    <w:pPr>
                      <w:jc w:val="center"/>
                      <w:rPr>
                        <w:sz w:val="14"/>
                        <w:szCs w:val="16"/>
                      </w:rPr>
                    </w:pPr>
                    <w:r w:rsidRPr="0079747C">
                      <w:rPr>
                        <w:sz w:val="14"/>
                      </w:rPr>
                      <w:t>Ուղղակի անալիզ</w:t>
                    </w:r>
                  </w:p>
                </w:txbxContent>
              </v:textbox>
            </v:shape>
            <v:shape id="_x0000_s1047" type="#_x0000_t202" style="position:absolute;left:4738;top:5517;width:891;height:199;mso-height-percent:200;mso-height-percent:200;mso-width-relative:margin;mso-height-relative:margin" fillcolor="white [3212]" strokecolor="white [3212]">
              <v:textbox style="mso-next-textbox:#_x0000_s1047;mso-fit-shape-to-text:t" inset="0,0,0,0">
                <w:txbxContent>
                  <w:p w14:paraId="46A18175" w14:textId="77777777" w:rsidR="008D6E8B" w:rsidRPr="00FF7722" w:rsidRDefault="008D6E8B" w:rsidP="00B834A2">
                    <w:pPr>
                      <w:jc w:val="center"/>
                      <w:rPr>
                        <w:sz w:val="16"/>
                        <w:szCs w:val="16"/>
                      </w:rPr>
                    </w:pPr>
                    <w:r w:rsidRPr="00A867CD">
                      <w:rPr>
                        <w:sz w:val="14"/>
                      </w:rPr>
                      <w:t>Պրոտեոլիզ</w:t>
                    </w:r>
                  </w:p>
                </w:txbxContent>
              </v:textbox>
            </v:shape>
            <v:shape id="_x0000_s1048" type="#_x0000_t202" style="position:absolute;left:6400;top:5312;width:3198;height:331;mso-height-percent:200;mso-height-percent:200;mso-width-relative:margin;mso-height-relative:margin" fillcolor="white [3212]" strokecolor="white [3212]">
              <v:textbox style="mso-next-textbox:#_x0000_s1048;mso-fit-shape-to-text:t" inset="0,0,0,0">
                <w:txbxContent>
                  <w:p w14:paraId="68B51064" w14:textId="77777777" w:rsidR="008D6E8B" w:rsidRPr="00A867CD" w:rsidRDefault="008D6E8B" w:rsidP="00B834A2">
                    <w:pPr>
                      <w:jc w:val="center"/>
                      <w:rPr>
                        <w:sz w:val="12"/>
                        <w:szCs w:val="16"/>
                      </w:rPr>
                    </w:pPr>
                    <w:r w:rsidRPr="00A867CD">
                      <w:rPr>
                        <w:sz w:val="12"/>
                      </w:rPr>
                      <w:t>Բաշխումը՝ մինչ ուղղակի անալիզը</w:t>
                    </w:r>
                  </w:p>
                  <w:p w14:paraId="0542B5C2" w14:textId="77777777" w:rsidR="008D6E8B" w:rsidRPr="00A867CD" w:rsidRDefault="008D6E8B" w:rsidP="00B834A2">
                    <w:pPr>
                      <w:jc w:val="center"/>
                      <w:rPr>
                        <w:sz w:val="12"/>
                        <w:szCs w:val="16"/>
                      </w:rPr>
                    </w:pPr>
                    <w:r w:rsidRPr="00A867CD">
                      <w:rPr>
                        <w:sz w:val="12"/>
                      </w:rPr>
                      <w:t>ՀՔ/ՄԷ</w:t>
                    </w:r>
                  </w:p>
                </w:txbxContent>
              </v:textbox>
            </v:shape>
            <v:shape id="_x0000_s1049" type="#_x0000_t202" style="position:absolute;left:9996;top:5501;width:361;height:263;mso-width-relative:margin;mso-height-relative:margin" fillcolor="white [3212]" strokecolor="white [3212]">
              <v:textbox style="mso-next-textbox:#_x0000_s1049" inset="0,0,0,0">
                <w:txbxContent>
                  <w:p w14:paraId="1621CCE5" w14:textId="77777777" w:rsidR="008D6E8B" w:rsidRPr="00A867CD" w:rsidRDefault="008D6E8B" w:rsidP="00B834A2">
                    <w:pPr>
                      <w:jc w:val="center"/>
                      <w:rPr>
                        <w:sz w:val="14"/>
                        <w:szCs w:val="16"/>
                      </w:rPr>
                    </w:pPr>
                    <w:r w:rsidRPr="00A867CD">
                      <w:rPr>
                        <w:sz w:val="14"/>
                      </w:rPr>
                      <w:t>ԶՍ</w:t>
                    </w:r>
                  </w:p>
                </w:txbxContent>
              </v:textbox>
            </v:shape>
            <v:shape id="_x0000_s1050" type="#_x0000_t202" style="position:absolute;left:6968;top:5932;width:2025;height:462;mso-width-relative:margin;mso-height-relative:margin" fillcolor="white [3212]" strokecolor="white [3212]">
              <v:textbox style="mso-next-textbox:#_x0000_s1050" inset="0,0,0,0">
                <w:txbxContent>
                  <w:p w14:paraId="022B216E" w14:textId="77777777" w:rsidR="008D6E8B" w:rsidRPr="00A867CD" w:rsidRDefault="008D6E8B" w:rsidP="00B834A2">
                    <w:pPr>
                      <w:jc w:val="center"/>
                      <w:rPr>
                        <w:sz w:val="14"/>
                        <w:szCs w:val="16"/>
                      </w:rPr>
                    </w:pPr>
                    <w:r w:rsidRPr="00A867CD">
                      <w:rPr>
                        <w:sz w:val="14"/>
                      </w:rPr>
                      <w:t>Հիդրոլիզի արգասիքների ապագլիկոզիլիրացում</w:t>
                    </w:r>
                  </w:p>
                </w:txbxContent>
              </v:textbox>
            </v:shape>
            <v:shape id="_x0000_s1051" type="#_x0000_t202" style="position:absolute;left:1876;top:5382;width:1808;height:970;mso-width-relative:margin;mso-height-relative:margin" fillcolor="white [3212]" strokecolor="white [3212]">
              <v:textbox style="mso-next-textbox:#_x0000_s1051" inset="0,0,0,0">
                <w:txbxContent>
                  <w:p w14:paraId="72D7A2C6" w14:textId="77777777" w:rsidR="008D6E8B" w:rsidRPr="00A867CD" w:rsidRDefault="008D6E8B" w:rsidP="00B834A2">
                    <w:pPr>
                      <w:jc w:val="center"/>
                      <w:rPr>
                        <w:sz w:val="12"/>
                        <w:szCs w:val="16"/>
                      </w:rPr>
                    </w:pPr>
                    <w:r w:rsidRPr="00A867CD">
                      <w:rPr>
                        <w:sz w:val="12"/>
                      </w:rPr>
                      <w:t>ՆԱԽՆԱԿԱՆ ՄՇԱԿՈՒՄ</w:t>
                    </w:r>
                  </w:p>
                  <w:p w14:paraId="558C824F" w14:textId="77777777" w:rsidR="008D6E8B" w:rsidRPr="00A867CD" w:rsidRDefault="008D6E8B" w:rsidP="00B834A2">
                    <w:pPr>
                      <w:jc w:val="center"/>
                      <w:rPr>
                        <w:sz w:val="12"/>
                        <w:szCs w:val="16"/>
                      </w:rPr>
                    </w:pPr>
                    <w:r w:rsidRPr="00A867CD">
                      <w:rPr>
                        <w:sz w:val="12"/>
                      </w:rPr>
                      <w:t>(անջատում և մաքրում)</w:t>
                    </w:r>
                  </w:p>
                  <w:p w14:paraId="0A6FFE9F" w14:textId="77777777" w:rsidR="008D6E8B" w:rsidRPr="00A867CD" w:rsidRDefault="008D6E8B" w:rsidP="00B834A2">
                    <w:pPr>
                      <w:jc w:val="center"/>
                      <w:rPr>
                        <w:sz w:val="12"/>
                        <w:szCs w:val="16"/>
                      </w:rPr>
                    </w:pPr>
                    <w:r w:rsidRPr="00A867CD">
                      <w:rPr>
                        <w:sz w:val="12"/>
                      </w:rPr>
                      <w:t>անհրաժեշտության դեպքում</w:t>
                    </w:r>
                  </w:p>
                </w:txbxContent>
              </v:textbox>
            </v:shape>
            <v:shape id="_x0000_s1052" type="#_x0000_t202" style="position:absolute;left:4650;top:6990;width:2460;height:384;mso-height-percent:200;mso-height-percent:200;mso-width-relative:margin;mso-height-relative:margin" fillcolor="white [3212]" strokecolor="white [3212]">
              <v:textbox style="mso-next-textbox:#_x0000_s1052;mso-fit-shape-to-text:t" inset="0,0,0,0">
                <w:txbxContent>
                  <w:p w14:paraId="48886FEC" w14:textId="77777777" w:rsidR="008D6E8B" w:rsidRPr="00A867CD" w:rsidRDefault="008D6E8B" w:rsidP="00B834A2">
                    <w:pPr>
                      <w:jc w:val="center"/>
                      <w:rPr>
                        <w:sz w:val="14"/>
                        <w:szCs w:val="16"/>
                      </w:rPr>
                    </w:pPr>
                    <w:r w:rsidRPr="00A867CD">
                      <w:rPr>
                        <w:sz w:val="14"/>
                      </w:rPr>
                      <w:t>ՇԵՐՏԱՏՎԱԾ ԳԼԻԿԱՆՆԵՐԻ ՎԵՐԼՈՒԾՈՒԹՅՈՒՆ</w:t>
                    </w:r>
                  </w:p>
                </w:txbxContent>
              </v:textbox>
            </v:shape>
            <v:shape id="_x0000_s1053" type="#_x0000_t202" style="position:absolute;left:7278;top:7239;width:2993;height:191;mso-width-relative:margin;mso-height-relative:margin" fillcolor="white [3212]" strokecolor="white [3212]">
              <v:textbox style="mso-next-textbox:#_x0000_s1053" inset="0,0,0,0">
                <w:txbxContent>
                  <w:p w14:paraId="23B1C641" w14:textId="77777777" w:rsidR="008D6E8B" w:rsidRPr="00A867CD" w:rsidRDefault="008D6E8B" w:rsidP="00B834A2">
                    <w:pPr>
                      <w:jc w:val="center"/>
                      <w:rPr>
                        <w:sz w:val="12"/>
                        <w:szCs w:val="16"/>
                      </w:rPr>
                    </w:pPr>
                    <w:r w:rsidRPr="00A867CD">
                      <w:rPr>
                        <w:sz w:val="12"/>
                        <w:szCs w:val="16"/>
                      </w:rPr>
                      <w:t>ՇԵՐՏԱՏՎԱԾ ԳԼԻԿԱՆՆԵՐԻ ՎԵՐԼՈՒԾՈՒԹՅՈՒՆ</w:t>
                    </w:r>
                  </w:p>
                </w:txbxContent>
              </v:textbox>
            </v:shape>
            <v:shape id="_x0000_s1054" type="#_x0000_t202" style="position:absolute;left:9164;top:7618;width:1012;height:448;mso-width-relative:margin;mso-height-relative:margin" fillcolor="white [3212]" strokecolor="white [3212]">
              <v:textbox style="mso-next-textbox:#_x0000_s1054" inset="0,0,0,0">
                <w:txbxContent>
                  <w:p w14:paraId="4ABC391E" w14:textId="77777777" w:rsidR="008D6E8B" w:rsidRPr="00A867CD" w:rsidRDefault="008D6E8B" w:rsidP="00B834A2">
                    <w:pPr>
                      <w:jc w:val="center"/>
                      <w:rPr>
                        <w:sz w:val="8"/>
                        <w:szCs w:val="16"/>
                        <w:lang w:val="ru-RU"/>
                      </w:rPr>
                    </w:pPr>
                    <w:r w:rsidRPr="00A867CD">
                      <w:rPr>
                        <w:sz w:val="8"/>
                      </w:rPr>
                      <w:t>Նախանշված գլիկանների  անալիզ</w:t>
                    </w:r>
                  </w:p>
                  <w:p w14:paraId="31E80832" w14:textId="77777777" w:rsidR="008D6E8B" w:rsidRPr="00A867CD" w:rsidRDefault="008D6E8B" w:rsidP="00B834A2">
                    <w:pPr>
                      <w:jc w:val="center"/>
                      <w:rPr>
                        <w:sz w:val="8"/>
                        <w:szCs w:val="16"/>
                      </w:rPr>
                    </w:pPr>
                    <w:r w:rsidRPr="00A867CD">
                      <w:rPr>
                        <w:sz w:val="8"/>
                      </w:rPr>
                      <w:t>ԱՓՔ</w:t>
                    </w:r>
                  </w:p>
                  <w:p w14:paraId="2D8F26E7" w14:textId="77777777" w:rsidR="008D6E8B" w:rsidRPr="00A867CD" w:rsidRDefault="008D6E8B" w:rsidP="00B834A2">
                    <w:pPr>
                      <w:jc w:val="center"/>
                      <w:rPr>
                        <w:sz w:val="8"/>
                        <w:szCs w:val="16"/>
                      </w:rPr>
                    </w:pPr>
                    <w:r w:rsidRPr="00A867CD">
                      <w:rPr>
                        <w:sz w:val="8"/>
                      </w:rPr>
                      <w:t>ԶՍ</w:t>
                    </w:r>
                  </w:p>
                </w:txbxContent>
              </v:textbox>
            </v:shape>
            <v:shape id="_x0000_s1055" type="#_x0000_t202" style="position:absolute;left:7532;top:8032;width:1200;height:147;mso-height-percent:200;mso-height-percent:200;mso-width-relative:margin;mso-height-relative:margin" fillcolor="white [3212]" strokecolor="white [3212]">
              <v:textbox style="mso-next-textbox:#_x0000_s1055;mso-fit-shape-to-text:t" inset="0,0,0,0">
                <w:txbxContent>
                  <w:p w14:paraId="5528F949" w14:textId="77777777" w:rsidR="008D6E8B" w:rsidRPr="0079747C" w:rsidRDefault="008D6E8B" w:rsidP="00B834A2">
                    <w:pPr>
                      <w:jc w:val="center"/>
                      <w:rPr>
                        <w:sz w:val="10"/>
                        <w:szCs w:val="16"/>
                        <w:lang w:val="en-US"/>
                      </w:rPr>
                    </w:pPr>
                    <w:r w:rsidRPr="0079747C">
                      <w:rPr>
                        <w:sz w:val="10"/>
                      </w:rPr>
                      <w:t>Դեսլապիրում</w:t>
                    </w:r>
                  </w:p>
                </w:txbxContent>
              </v:textbox>
            </v:shape>
            <v:shape id="_x0000_s1056" type="#_x0000_t202" style="position:absolute;left:7296;top:8637;width:1978;height:147;mso-height-percent:200;mso-height-percent:200;mso-width-relative:margin;mso-height-relative:margin" fillcolor="white [3212]" strokecolor="white [3212]">
              <v:textbox style="mso-next-textbox:#_x0000_s1056;mso-fit-shape-to-text:t" inset="0,0,0,0">
                <w:txbxContent>
                  <w:p w14:paraId="612E21E6" w14:textId="77777777" w:rsidR="008D6E8B" w:rsidRPr="0079747C" w:rsidRDefault="008D6E8B" w:rsidP="00B834A2">
                    <w:pPr>
                      <w:jc w:val="center"/>
                      <w:rPr>
                        <w:sz w:val="10"/>
                        <w:szCs w:val="16"/>
                      </w:rPr>
                    </w:pPr>
                    <w:r w:rsidRPr="0079747C">
                      <w:rPr>
                        <w:sz w:val="10"/>
                      </w:rPr>
                      <w:t>Նշանակիր գլիկանների անալիզ</w:t>
                    </w:r>
                  </w:p>
                </w:txbxContent>
              </v:textbox>
            </v:shape>
            <v:shape id="_x0000_s1057" type="#_x0000_t202" style="position:absolute;left:7393;top:9354;width:857;height:1002;mso-width-relative:margin;mso-height-relative:margin" fillcolor="white [3212]" strokecolor="white [3212]">
              <v:textbox style="mso-next-textbox:#_x0000_s1057" inset="0,0,0,0">
                <w:txbxContent>
                  <w:p w14:paraId="7F2EA499" w14:textId="77777777" w:rsidR="008D6E8B" w:rsidRPr="0079747C" w:rsidRDefault="008D6E8B" w:rsidP="00B834A2">
                    <w:pPr>
                      <w:jc w:val="center"/>
                      <w:rPr>
                        <w:sz w:val="10"/>
                        <w:szCs w:val="16"/>
                      </w:rPr>
                    </w:pPr>
                    <w:r w:rsidRPr="0079747C">
                      <w:rPr>
                        <w:sz w:val="10"/>
                        <w:szCs w:val="16"/>
                      </w:rPr>
                      <w:t>Գլիկանների նշանադրում</w:t>
                    </w:r>
                  </w:p>
                </w:txbxContent>
              </v:textbox>
            </v:shape>
            <v:shape id="_x0000_s1058" type="#_x0000_t202" style="position:absolute;left:4783;top:7788;width:1774;height:2373;mso-width-relative:margin;mso-height-relative:margin" fillcolor="white [3212]" strokecolor="white [3212]">
              <v:textbox style="mso-next-textbox:#_x0000_s1058" inset="0,0,0,0">
                <w:txbxContent>
                  <w:p w14:paraId="70EB26DA" w14:textId="77777777" w:rsidR="008D6E8B" w:rsidRDefault="008D6E8B" w:rsidP="00B834A2">
                    <w:pPr>
                      <w:rPr>
                        <w:i/>
                        <w:sz w:val="16"/>
                        <w:szCs w:val="16"/>
                      </w:rPr>
                    </w:pPr>
                    <w:r>
                      <w:rPr>
                        <w:sz w:val="16"/>
                      </w:rPr>
                      <w:t xml:space="preserve">Գլիկանների շերտատում </w:t>
                    </w:r>
                    <w:r>
                      <w:rPr>
                        <w:i/>
                        <w:sz w:val="16"/>
                      </w:rPr>
                      <w:t>О – և/կամ N-կապված գլիկաններ:</w:t>
                    </w:r>
                  </w:p>
                  <w:p w14:paraId="083E79C7" w14:textId="77777777" w:rsidR="008D6E8B" w:rsidRPr="00784FF3" w:rsidRDefault="008D6E8B" w:rsidP="00B834A2">
                    <w:pPr>
                      <w:rPr>
                        <w:sz w:val="16"/>
                        <w:szCs w:val="16"/>
                      </w:rPr>
                    </w:pPr>
                    <w:r>
                      <w:rPr>
                        <w:i/>
                        <w:sz w:val="16"/>
                      </w:rPr>
                      <w:t xml:space="preserve">Ֆերմենտատիվ կամ քիմիական </w:t>
                    </w:r>
                  </w:p>
                </w:txbxContent>
              </v:textbox>
            </v:shape>
            <v:shape id="_x0000_s1059" type="#_x0000_t202" style="position:absolute;left:4526;top:11536;width:2522;height:147;mso-height-percent:200;mso-height-percent:200;mso-width-relative:margin;mso-height-relative:margin" fillcolor="white [3212]" strokecolor="white [3212]">
              <v:textbox style="mso-next-textbox:#_x0000_s1059;mso-fit-shape-to-text:t" inset="0,0,0,0">
                <w:txbxContent>
                  <w:p w14:paraId="26FC3D6A" w14:textId="77777777" w:rsidR="008D6E8B" w:rsidRPr="00A867CD" w:rsidRDefault="008D6E8B" w:rsidP="00B834A2">
                    <w:pPr>
                      <w:rPr>
                        <w:sz w:val="10"/>
                        <w:szCs w:val="16"/>
                      </w:rPr>
                    </w:pPr>
                    <w:r w:rsidRPr="00A867CD">
                      <w:rPr>
                        <w:sz w:val="10"/>
                      </w:rPr>
                      <w:t>ՄՈՆՈՍԱԽԱՐԻԴՆԵՐԻ ՎԵՐԼՈՒԾՈՒԹՅՈՒՆ</w:t>
                    </w:r>
                  </w:p>
                </w:txbxContent>
              </v:textbox>
            </v:shape>
            <v:shape id="_x0000_s1060" type="#_x0000_t202" style="position:absolute;left:4953;top:12035;width:991;height:538;mso-width-relative:margin;mso-height-relative:margin" fillcolor="white [3212]" strokecolor="white [3212]">
              <v:textbox style="mso-next-textbox:#_x0000_s1060" inset="0,0,0,0">
                <w:txbxContent>
                  <w:p w14:paraId="0F11A9D2" w14:textId="77777777" w:rsidR="008D6E8B" w:rsidRPr="00A867CD" w:rsidRDefault="008D6E8B" w:rsidP="00B834A2">
                    <w:pPr>
                      <w:jc w:val="center"/>
                      <w:rPr>
                        <w:sz w:val="12"/>
                        <w:szCs w:val="16"/>
                      </w:rPr>
                    </w:pPr>
                    <w:r w:rsidRPr="00A867CD">
                      <w:rPr>
                        <w:sz w:val="12"/>
                      </w:rPr>
                      <w:t>Թթվային հիդրոլիզ</w:t>
                    </w:r>
                  </w:p>
                </w:txbxContent>
              </v:textbox>
            </v:shape>
            <v:shape id="_x0000_s1061" type="#_x0000_t202" style="position:absolute;left:7481;top:12315;width:1079;height:441;mso-width-relative:margin;mso-height-relative:margin" fillcolor="white [3212]" strokecolor="white [3212]">
              <v:textbox style="mso-next-textbox:#_x0000_s1061" inset="0,0,0,0">
                <w:txbxContent>
                  <w:p w14:paraId="7DF583FA" w14:textId="77777777" w:rsidR="008D6E8B" w:rsidRPr="00FF7722" w:rsidRDefault="008D6E8B" w:rsidP="00B834A2">
                    <w:pPr>
                      <w:jc w:val="center"/>
                      <w:rPr>
                        <w:sz w:val="16"/>
                        <w:szCs w:val="16"/>
                      </w:rPr>
                    </w:pPr>
                    <w:r w:rsidRPr="00A867CD">
                      <w:rPr>
                        <w:sz w:val="12"/>
                      </w:rPr>
                      <w:t>Ֆլյուորոֆորով նշանադրում</w:t>
                    </w:r>
                  </w:p>
                </w:txbxContent>
              </v:textbox>
            </v:shape>
            <v:shape id="_x0000_s1062" type="#_x0000_t202" style="position:absolute;left:9123;top:11797;width:1301;height:396;mso-width-relative:margin;mso-height-relative:margin" fillcolor="white [3212]" strokecolor="white [3212]">
              <v:textbox style="mso-next-textbox:#_x0000_s1062" inset="0,0,0,0">
                <w:txbxContent>
                  <w:p w14:paraId="5C09AAA3" w14:textId="77777777" w:rsidR="008D6E8B" w:rsidRPr="0079747C" w:rsidRDefault="008D6E8B" w:rsidP="00B834A2">
                    <w:pPr>
                      <w:jc w:val="center"/>
                      <w:rPr>
                        <w:sz w:val="8"/>
                        <w:szCs w:val="16"/>
                      </w:rPr>
                    </w:pPr>
                    <w:r w:rsidRPr="0079747C">
                      <w:rPr>
                        <w:sz w:val="8"/>
                        <w:szCs w:val="16"/>
                      </w:rPr>
                      <w:t>Նախանշված գլիկանների վերլուծություն</w:t>
                    </w:r>
                    <w:r w:rsidRPr="0079747C">
                      <w:rPr>
                        <w:sz w:val="8"/>
                        <w:szCs w:val="16"/>
                        <w:lang w:val="en-US"/>
                      </w:rPr>
                      <w:t xml:space="preserve"> </w:t>
                    </w:r>
                    <w:r w:rsidRPr="0079747C">
                      <w:rPr>
                        <w:sz w:val="8"/>
                        <w:szCs w:val="16"/>
                      </w:rPr>
                      <w:t>ՊԳՔ-ԶՍ</w:t>
                    </w:r>
                  </w:p>
                </w:txbxContent>
              </v:textbox>
            </v:shape>
            <v:shape id="_x0000_s1063" type="#_x0000_t202" style="position:absolute;left:9850;top:12359;width:574;height:441;mso-width-relative:margin;mso-height-relative:margin" fillcolor="white [3212]" strokecolor="white [3212]">
              <v:textbox style="mso-next-textbox:#_x0000_s1063" inset="0,0,0,0">
                <w:txbxContent>
                  <w:p w14:paraId="3C560E98" w14:textId="77777777" w:rsidR="008D6E8B" w:rsidRPr="0079747C" w:rsidRDefault="008D6E8B" w:rsidP="00B834A2">
                    <w:pPr>
                      <w:jc w:val="center"/>
                      <w:rPr>
                        <w:sz w:val="10"/>
                        <w:szCs w:val="16"/>
                      </w:rPr>
                    </w:pPr>
                    <w:r w:rsidRPr="0079747C">
                      <w:rPr>
                        <w:sz w:val="10"/>
                      </w:rPr>
                      <w:t>ՀՔ</w:t>
                    </w:r>
                  </w:p>
                  <w:p w14:paraId="4C7AB7F5" w14:textId="77777777" w:rsidR="008D6E8B" w:rsidRPr="0079747C" w:rsidRDefault="008D6E8B" w:rsidP="00B834A2">
                    <w:pPr>
                      <w:jc w:val="center"/>
                      <w:rPr>
                        <w:sz w:val="10"/>
                        <w:szCs w:val="16"/>
                      </w:rPr>
                    </w:pPr>
                    <w:r w:rsidRPr="0079747C">
                      <w:rPr>
                        <w:sz w:val="10"/>
                      </w:rPr>
                      <w:t>ՄԷ</w:t>
                    </w:r>
                  </w:p>
                </w:txbxContent>
              </v:textbox>
            </v:shape>
            <v:shape id="_x0000_s1064" type="#_x0000_t202" style="position:absolute;left:4953;top:13088;width:2254;height:248;mso-width-relative:margin;mso-height-relative:margin" fillcolor="white [3212]" strokecolor="white [3212]">
              <v:textbox style="mso-next-textbox:#_x0000_s1064" inset="0,0,0,0">
                <w:txbxContent>
                  <w:p w14:paraId="05D25158" w14:textId="77777777" w:rsidR="008D6E8B" w:rsidRPr="00A867CD" w:rsidRDefault="008D6E8B" w:rsidP="00B834A2">
                    <w:pPr>
                      <w:jc w:val="center"/>
                      <w:rPr>
                        <w:sz w:val="14"/>
                        <w:szCs w:val="16"/>
                      </w:rPr>
                    </w:pPr>
                    <w:r w:rsidRPr="00A867CD">
                      <w:rPr>
                        <w:sz w:val="14"/>
                      </w:rPr>
                      <w:t>Գունաչափական մեթոդներ</w:t>
                    </w:r>
                  </w:p>
                </w:txbxContent>
              </v:textbox>
            </v:shape>
          </v:group>
        </w:pict>
      </w:r>
      <w:r w:rsidR="00B834A2" w:rsidRPr="00B834A2">
        <w:rPr>
          <w:noProof/>
          <w:lang w:val="en-US" w:eastAsia="en-US" w:bidi="ar-SA"/>
        </w:rPr>
        <w:drawing>
          <wp:inline distT="0" distB="0" distL="0" distR="0" wp14:anchorId="4FBBD707" wp14:editId="7434FB03">
            <wp:extent cx="6003290" cy="7962265"/>
            <wp:effectExtent l="19050" t="0" r="0" b="0"/>
            <wp:docPr id="6" name="Picture 6" descr="D:\2 VERSION\14.07.115-0003-2023-B_for final formatting\02.2023\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 VERSION\14.07.115-0003-2023-B_for final formatting\02.2023\media\image4.jpeg"/>
                    <pic:cNvPicPr>
                      <a:picLocks noChangeAspect="1" noChangeArrowheads="1"/>
                    </pic:cNvPicPr>
                  </pic:nvPicPr>
                  <pic:blipFill>
                    <a:blip r:embed="rId16" cstate="print"/>
                    <a:srcRect/>
                    <a:stretch>
                      <a:fillRect/>
                    </a:stretch>
                  </pic:blipFill>
                  <pic:spPr bwMode="auto">
                    <a:xfrm>
                      <a:off x="0" y="0"/>
                      <a:ext cx="6003290" cy="7962265"/>
                    </a:xfrm>
                    <a:prstGeom prst="rect">
                      <a:avLst/>
                    </a:prstGeom>
                    <a:noFill/>
                    <a:ln w="9525">
                      <a:noFill/>
                      <a:miter lim="800000"/>
                      <a:headEnd/>
                      <a:tailEnd/>
                    </a:ln>
                  </pic:spPr>
                </pic:pic>
              </a:graphicData>
            </a:graphic>
          </wp:inline>
        </w:drawing>
      </w:r>
    </w:p>
    <w:p w14:paraId="16A8E448" w14:textId="77777777" w:rsidR="00B834A2" w:rsidRPr="00792625" w:rsidRDefault="00B834A2" w:rsidP="00B834A2">
      <w:pPr>
        <w:pStyle w:val="Picturecaption30"/>
        <w:shd w:val="clear" w:color="auto" w:fill="auto"/>
        <w:spacing w:after="160" w:line="360" w:lineRule="auto"/>
        <w:rPr>
          <w:sz w:val="20"/>
          <w:szCs w:val="24"/>
        </w:rPr>
      </w:pPr>
      <w:r w:rsidRPr="0079747C">
        <w:rPr>
          <w:rStyle w:val="Picturecaption310pt"/>
          <w:szCs w:val="24"/>
        </w:rPr>
        <w:t xml:space="preserve">Նկար 2.1.2.56.-1. </w:t>
      </w:r>
      <w:r w:rsidRPr="0079747C">
        <w:rPr>
          <w:sz w:val="20"/>
          <w:szCs w:val="24"/>
        </w:rPr>
        <w:t xml:space="preserve">Գլիկանների անալիզի մեթոդիկաների ընդհանուր սխեմա: </w:t>
      </w:r>
      <w:r w:rsidRPr="0079747C">
        <w:rPr>
          <w:rStyle w:val="Picturecaption310pt1"/>
          <w:szCs w:val="24"/>
        </w:rPr>
        <w:t xml:space="preserve">Պայմանական նշանները՝ </w:t>
      </w:r>
      <w:r w:rsidRPr="0079747C">
        <w:rPr>
          <w:sz w:val="20"/>
          <w:szCs w:val="24"/>
        </w:rPr>
        <w:t>ՄԷ՝ մազանոթային էլեկտրոֆորեզ.</w:t>
      </w:r>
      <w:r w:rsidRPr="0079747C">
        <w:rPr>
          <w:rStyle w:val="Picturecaption310pt1"/>
          <w:szCs w:val="24"/>
        </w:rPr>
        <w:t xml:space="preserve"> </w:t>
      </w:r>
      <w:r w:rsidRPr="0079747C">
        <w:rPr>
          <w:sz w:val="20"/>
          <w:szCs w:val="24"/>
        </w:rPr>
        <w:t>ԱՓՔ՝ իմպուլսային ամպերաչափական դետեկտմամբ pH բարձր արժեքների դեպքում անիոնափոխանակման քրոմատագրում.</w:t>
      </w:r>
      <w:r w:rsidRPr="0079747C">
        <w:rPr>
          <w:rStyle w:val="Picturecaption310pt1"/>
          <w:szCs w:val="24"/>
        </w:rPr>
        <w:t xml:space="preserve"> </w:t>
      </w:r>
      <w:r w:rsidRPr="0079747C">
        <w:rPr>
          <w:sz w:val="20"/>
          <w:szCs w:val="24"/>
        </w:rPr>
        <w:t>ԻԷԿ՝</w:t>
      </w:r>
      <w:r w:rsidRPr="00792625">
        <w:rPr>
          <w:sz w:val="20"/>
          <w:szCs w:val="24"/>
        </w:rPr>
        <w:t xml:space="preserve"> </w:t>
      </w:r>
      <w:r w:rsidRPr="00792625">
        <w:rPr>
          <w:sz w:val="20"/>
          <w:szCs w:val="24"/>
        </w:rPr>
        <w:lastRenderedPageBreak/>
        <w:t>իզոէլեկտրական կիզակետում.</w:t>
      </w:r>
      <w:r w:rsidRPr="00792625">
        <w:rPr>
          <w:rStyle w:val="Picturecaption310pt1"/>
          <w:szCs w:val="24"/>
        </w:rPr>
        <w:t xml:space="preserve"> </w:t>
      </w:r>
      <w:r w:rsidRPr="00792625">
        <w:rPr>
          <w:sz w:val="20"/>
          <w:szCs w:val="24"/>
        </w:rPr>
        <w:t>ՀՔ՝ հեղուկ քրոմատագրում.</w:t>
      </w:r>
      <w:r w:rsidRPr="00792625">
        <w:rPr>
          <w:rStyle w:val="Picturecaption310pt1"/>
          <w:szCs w:val="24"/>
        </w:rPr>
        <w:t xml:space="preserve"> </w:t>
      </w:r>
      <w:r w:rsidRPr="00792625">
        <w:rPr>
          <w:sz w:val="20"/>
          <w:szCs w:val="24"/>
        </w:rPr>
        <w:t xml:space="preserve">ԶՍ՝ զանգվածային սպեկտրաչափում. </w:t>
      </w:r>
      <w:r w:rsidRPr="00C94376">
        <w:rPr>
          <w:rStyle w:val="Picturecaption310pt1"/>
          <w:i/>
          <w:szCs w:val="24"/>
        </w:rPr>
        <w:t>ԾԳՔ՝ ծակոտկեն գրաֆիտացված ածխածնի օգտագործմամբ քրոմատագարում</w:t>
      </w:r>
      <w:r w:rsidRPr="00C94376">
        <w:rPr>
          <w:rStyle w:val="Picturecaption310pt1"/>
          <w:szCs w:val="24"/>
        </w:rPr>
        <w:t xml:space="preserve">. </w:t>
      </w:r>
      <w:r w:rsidRPr="00C94376">
        <w:rPr>
          <w:sz w:val="20"/>
          <w:szCs w:val="24"/>
        </w:rPr>
        <w:t>ԴՍՆ</w:t>
      </w:r>
      <w:r w:rsidR="000111CA" w:rsidRPr="00C94376">
        <w:rPr>
          <w:sz w:val="20"/>
          <w:szCs w:val="24"/>
        </w:rPr>
        <w:t xml:space="preserve"> </w:t>
      </w:r>
      <w:r w:rsidRPr="00C94376">
        <w:rPr>
          <w:sz w:val="20"/>
          <w:szCs w:val="24"/>
        </w:rPr>
        <w:t>- ՊԱԱԺ՝</w:t>
      </w:r>
      <w:r w:rsidRPr="00792625">
        <w:rPr>
          <w:sz w:val="20"/>
          <w:szCs w:val="24"/>
        </w:rPr>
        <w:t xml:space="preserve"> էլեկտրոֆորեզ՝ պոլիակրիլամիդային գելում դոդեցիլսուլֆատի նատրիումով էլեկտրոֆորեզ: </w:t>
      </w:r>
    </w:p>
    <w:p w14:paraId="684A51B4" w14:textId="77777777" w:rsidR="00B834A2" w:rsidRPr="00B834A2" w:rsidRDefault="00B834A2" w:rsidP="00B834A2">
      <w:pPr>
        <w:spacing w:after="160" w:line="360" w:lineRule="auto"/>
      </w:pPr>
    </w:p>
    <w:p w14:paraId="062D6566"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Սույն հոդվածում ներկայացված են </w:t>
      </w:r>
      <w:r w:rsidRPr="00B834A2">
        <w:rPr>
          <w:rFonts w:ascii="Sylfaen" w:hAnsi="Sylfaen"/>
          <w:i/>
          <w:sz w:val="24"/>
          <w:szCs w:val="24"/>
        </w:rPr>
        <w:t>N</w:t>
      </w:r>
      <w:r w:rsidRPr="00B834A2">
        <w:rPr>
          <w:rFonts w:ascii="Sylfaen" w:hAnsi="Sylfaen"/>
          <w:sz w:val="24"/>
          <w:szCs w:val="24"/>
        </w:rPr>
        <w:t>-</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О</w:t>
      </w:r>
      <w:r w:rsidRPr="00B834A2">
        <w:rPr>
          <w:rFonts w:ascii="Sylfaen" w:hAnsi="Sylfaen"/>
          <w:sz w:val="24"/>
          <w:szCs w:val="24"/>
        </w:rPr>
        <w:t xml:space="preserve">-կապված գլիկաններ պարունակող գլիկոպրոտեիններում գլիկանների անալիզի համար կիրառվող մեթոդներ </w:t>
      </w:r>
      <w:r>
        <w:rPr>
          <w:rFonts w:ascii="Sylfaen" w:hAnsi="Sylfaen"/>
          <w:sz w:val="24"/>
          <w:szCs w:val="24"/>
        </w:rPr>
        <w:t>եւ</w:t>
      </w:r>
      <w:r w:rsidRPr="00B834A2">
        <w:rPr>
          <w:rFonts w:ascii="Sylfaen" w:hAnsi="Sylfaen"/>
          <w:sz w:val="24"/>
          <w:szCs w:val="24"/>
        </w:rPr>
        <w:t xml:space="preserve"> ընդհանուր պահանջներ:</w:t>
      </w:r>
      <w:r>
        <w:rPr>
          <w:rFonts w:ascii="Sylfaen" w:hAnsi="Sylfaen"/>
          <w:sz w:val="24"/>
          <w:szCs w:val="24"/>
        </w:rPr>
        <w:t xml:space="preserve"> </w:t>
      </w:r>
    </w:p>
    <w:p w14:paraId="1697A8F6"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Գլիկանների անալիզ սովորաբար բազմաստիճան պրոցես է: Գոյություն ունեն մեծ քանակությամբ՝ գլիկանային կառուցվածքների բազմազանությամբ </w:t>
      </w:r>
      <w:r>
        <w:rPr>
          <w:rStyle w:val="Bodytext210pt"/>
          <w:sz w:val="24"/>
          <w:szCs w:val="24"/>
        </w:rPr>
        <w:t>եւ</w:t>
      </w:r>
      <w:r w:rsidRPr="00B834A2">
        <w:rPr>
          <w:rStyle w:val="Bodytext210pt"/>
          <w:sz w:val="24"/>
          <w:szCs w:val="24"/>
        </w:rPr>
        <w:t xml:space="preserve"> բարդությամբ, մատչելի մեթոդիկաների </w:t>
      </w:r>
      <w:r>
        <w:rPr>
          <w:rStyle w:val="Bodytext210pt"/>
          <w:sz w:val="24"/>
          <w:szCs w:val="24"/>
        </w:rPr>
        <w:t>եւ</w:t>
      </w:r>
      <w:r w:rsidRPr="00B834A2">
        <w:rPr>
          <w:rStyle w:val="Bodytext210pt"/>
          <w:sz w:val="24"/>
          <w:szCs w:val="24"/>
        </w:rPr>
        <w:t xml:space="preserve"> դետեկտման համակարգերի թվով, ինչպես նա</w:t>
      </w:r>
      <w:r>
        <w:rPr>
          <w:rStyle w:val="Bodytext210pt"/>
          <w:sz w:val="24"/>
          <w:szCs w:val="24"/>
        </w:rPr>
        <w:t>եւ</w:t>
      </w:r>
      <w:r w:rsidRPr="00B834A2">
        <w:rPr>
          <w:rStyle w:val="Bodytext210pt"/>
          <w:sz w:val="24"/>
          <w:szCs w:val="24"/>
        </w:rPr>
        <w:t xml:space="preserve"> մոտեցումների լայն ընտրությամբ պայմանավորված գլիկանների անալիզի մեթոդիկաներ՝ պայմանավորված անհրաժեշտ տեղեկատվության մակարդակով: </w:t>
      </w:r>
    </w:p>
    <w:p w14:paraId="5339B3F7"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2.1.2.56.-1 նկարում ներկայացված է գլիկանների անալիզի անալիտիկ մեթոդիկաների սխեմա, որը կարող է օգտագործվել ընտրված մոտեցման (մոտեցումների) համար: Կառուցվածքի բազմազանության </w:t>
      </w:r>
      <w:r>
        <w:rPr>
          <w:rStyle w:val="Bodytext210pt"/>
          <w:sz w:val="24"/>
          <w:szCs w:val="24"/>
        </w:rPr>
        <w:t>եւ</w:t>
      </w:r>
      <w:r w:rsidRPr="00B834A2">
        <w:rPr>
          <w:rStyle w:val="Bodytext210pt"/>
          <w:sz w:val="24"/>
          <w:szCs w:val="24"/>
        </w:rPr>
        <w:t xml:space="preserve"> բարդության ու գլիկանների ծագման հետ</w:t>
      </w:r>
      <w:r>
        <w:rPr>
          <w:rStyle w:val="Bodytext210pt"/>
          <w:sz w:val="24"/>
          <w:szCs w:val="24"/>
        </w:rPr>
        <w:t>եւ</w:t>
      </w:r>
      <w:r w:rsidRPr="00B834A2">
        <w:rPr>
          <w:rStyle w:val="Bodytext210pt"/>
          <w:sz w:val="24"/>
          <w:szCs w:val="24"/>
        </w:rPr>
        <w:t xml:space="preserve">անքով մատչելի են նույն մեթոդիկաների </w:t>
      </w:r>
      <w:r>
        <w:rPr>
          <w:rStyle w:val="Bodytext210pt"/>
          <w:sz w:val="24"/>
          <w:szCs w:val="24"/>
        </w:rPr>
        <w:t>եւ</w:t>
      </w:r>
      <w:r w:rsidRPr="00B834A2">
        <w:rPr>
          <w:rStyle w:val="Bodytext210pt"/>
          <w:sz w:val="24"/>
          <w:szCs w:val="24"/>
        </w:rPr>
        <w:t xml:space="preserve"> պայմանների տարբեր փոփոխակումներ:</w:t>
      </w:r>
    </w:p>
    <w:p w14:paraId="67B9F953"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b/>
          <w:sz w:val="24"/>
          <w:szCs w:val="24"/>
        </w:rPr>
        <w:t xml:space="preserve">Անջատում </w:t>
      </w:r>
      <w:r>
        <w:rPr>
          <w:rStyle w:val="Bodytext210pt"/>
          <w:b/>
          <w:sz w:val="24"/>
          <w:szCs w:val="24"/>
        </w:rPr>
        <w:t>եւ</w:t>
      </w:r>
      <w:r w:rsidRPr="00B834A2">
        <w:rPr>
          <w:rStyle w:val="Bodytext210pt"/>
          <w:b/>
          <w:sz w:val="24"/>
          <w:szCs w:val="24"/>
        </w:rPr>
        <w:t xml:space="preserve"> մաքրում:</w:t>
      </w:r>
      <w:r w:rsidRPr="00B834A2">
        <w:rPr>
          <w:rStyle w:val="Bodytext210pt"/>
          <w:sz w:val="24"/>
          <w:szCs w:val="24"/>
        </w:rPr>
        <w:t xml:space="preserve"> Անջատումը </w:t>
      </w:r>
      <w:r>
        <w:rPr>
          <w:rStyle w:val="Bodytext210pt"/>
          <w:sz w:val="24"/>
          <w:szCs w:val="24"/>
        </w:rPr>
        <w:t>եւ</w:t>
      </w:r>
      <w:r w:rsidRPr="00B834A2">
        <w:rPr>
          <w:rStyle w:val="Bodytext210pt"/>
          <w:sz w:val="24"/>
          <w:szCs w:val="24"/>
        </w:rPr>
        <w:t xml:space="preserve"> մաքրումը կարող են անհրաժեշտ լինել դեղագործական բաղադրամասերի անալիզի կամ խանգարող օժանդակ նյութեր պարունակող դեղաձ</w:t>
      </w:r>
      <w:r>
        <w:rPr>
          <w:rStyle w:val="Bodytext210pt"/>
          <w:sz w:val="24"/>
          <w:szCs w:val="24"/>
        </w:rPr>
        <w:t>եւ</w:t>
      </w:r>
      <w:r w:rsidRPr="00B834A2">
        <w:rPr>
          <w:rStyle w:val="Bodytext210pt"/>
          <w:sz w:val="24"/>
          <w:szCs w:val="24"/>
        </w:rPr>
        <w:t xml:space="preserve">երի անալիզի համար </w:t>
      </w:r>
      <w:r>
        <w:rPr>
          <w:rStyle w:val="Bodytext210pt"/>
          <w:sz w:val="24"/>
          <w:szCs w:val="24"/>
        </w:rPr>
        <w:t>եւ</w:t>
      </w:r>
      <w:r w:rsidRPr="00B834A2">
        <w:rPr>
          <w:rStyle w:val="Bodytext210pt"/>
          <w:sz w:val="24"/>
          <w:szCs w:val="24"/>
        </w:rPr>
        <w:t xml:space="preserve"> նկարագրվում են մասնավոր դեղագրքային հոդվածներում կամ որակի մասով նորմատիվ փաստաթղթում:</w:t>
      </w:r>
    </w:p>
    <w:p w14:paraId="649EC2E3" w14:textId="77777777" w:rsidR="00B834A2" w:rsidRPr="00B834A2" w:rsidRDefault="00B834A2" w:rsidP="00792625">
      <w:pPr>
        <w:pStyle w:val="Bodytext20"/>
        <w:shd w:val="clear" w:color="auto" w:fill="auto"/>
        <w:spacing w:before="0" w:after="160" w:line="360" w:lineRule="auto"/>
        <w:ind w:firstLine="567"/>
        <w:jc w:val="both"/>
        <w:rPr>
          <w:rStyle w:val="Bodytext210pt8"/>
          <w:sz w:val="24"/>
          <w:szCs w:val="24"/>
        </w:rPr>
      </w:pPr>
    </w:p>
    <w:p w14:paraId="39A76139"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Style w:val="Bodytext210pt8"/>
          <w:sz w:val="24"/>
          <w:szCs w:val="24"/>
        </w:rPr>
        <w:t>2.1.</w:t>
      </w:r>
      <w:r w:rsidR="00792625" w:rsidRPr="00097504">
        <w:rPr>
          <w:rStyle w:val="Bodytext210pt8"/>
          <w:sz w:val="24"/>
          <w:szCs w:val="24"/>
        </w:rPr>
        <w:tab/>
      </w:r>
      <w:r w:rsidRPr="00B834A2">
        <w:rPr>
          <w:rStyle w:val="Bodytext210pt8"/>
          <w:sz w:val="24"/>
          <w:szCs w:val="24"/>
        </w:rPr>
        <w:t>ԻՆՏԱԿՏ ԳԼԻԿՈՊՐՈՏԵԻՆՆԵՐԻ ԱՆԱԼԻԶ</w:t>
      </w:r>
    </w:p>
    <w:p w14:paraId="65498A9E" w14:textId="77777777" w:rsidR="00B834A2" w:rsidRPr="009217DE" w:rsidRDefault="00B834A2" w:rsidP="00792625">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Ինտակտ գլիկոպրոտեինի անալիզը տրամադրում է տեղեկատվություն ընդհանուր առմամբ գլիկոպրոտեինի գլիկոլիզացման մասին:</w:t>
      </w:r>
    </w:p>
    <w:p w14:paraId="5157B11B"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 xml:space="preserve">Այն դեպքում, երբ մոլեկուլը խոշոր է </w:t>
      </w:r>
      <w:r>
        <w:rPr>
          <w:rStyle w:val="Bodytext210pt"/>
          <w:sz w:val="24"/>
          <w:szCs w:val="24"/>
        </w:rPr>
        <w:t>եւ</w:t>
      </w:r>
      <w:r w:rsidRPr="00B834A2">
        <w:rPr>
          <w:rStyle w:val="Bodytext210pt"/>
          <w:sz w:val="24"/>
          <w:szCs w:val="24"/>
        </w:rPr>
        <w:t xml:space="preserve"> ունի գլիկոլիզացման բազմաթիվ դրույթներ, այդ մոտեցումը տալիս է սահմանափակ թվով տեղեկատվություն:</w:t>
      </w:r>
    </w:p>
    <w:p w14:paraId="2C322D41" w14:textId="77777777" w:rsidR="00B834A2" w:rsidRPr="00B834A2" w:rsidRDefault="00B834A2" w:rsidP="00792625">
      <w:pPr>
        <w:spacing w:after="160" w:line="360" w:lineRule="auto"/>
        <w:ind w:firstLine="567"/>
        <w:jc w:val="both"/>
      </w:pPr>
      <w:r w:rsidRPr="00B834A2">
        <w:t xml:space="preserve">Կարող են օգտագործվել այնպիսի մեթոդներ, ինչպես օրինակ՝ մազանոթային էլեկտրաֆորեզ (2.1.2.37) </w:t>
      </w:r>
      <w:r>
        <w:t>եւ</w:t>
      </w:r>
      <w:r w:rsidRPr="00B834A2">
        <w:t xml:space="preserve"> զանգվածային սպեկտրաչափում (2.1.2.51):</w:t>
      </w:r>
      <w:r w:rsidRPr="00B834A2">
        <w:rPr>
          <w:rStyle w:val="Bodytext210pt"/>
          <w:sz w:val="24"/>
          <w:szCs w:val="24"/>
        </w:rPr>
        <w:t xml:space="preserve"> </w:t>
      </w:r>
      <w:r w:rsidRPr="00B834A2">
        <w:t xml:space="preserve">Այն մեթոդները, որոնց հիմքում դրված են մոլեկուլի չափի հետ կապված հատկությունները, ինչպես օրինակ՝ էքսկլյուզիվ քրոմատագրում (2.1.2.29) </w:t>
      </w:r>
      <w:r>
        <w:t>եւ</w:t>
      </w:r>
      <w:r w:rsidRPr="00B834A2">
        <w:t xml:space="preserve"> պոլիակրիլամիդային գելի դոդեցիլսուլֆատի նատրիումի հետ էլեկտրոֆորեզ (2.1.2.30), կարող են տրամադրել տեղեկատվություն սպիտակուցի գլիկոլիզացման վիճակի մասին:</w:t>
      </w:r>
      <w:r>
        <w:t xml:space="preserve"> </w:t>
      </w:r>
      <w:r w:rsidRPr="00B834A2">
        <w:t>Եթե սիալավորման աստիճանն էականորեն ազդում է գլիկոպրոտեինի կենսաբանական ակտիվության վրա, ապա դրա մոնիթորինգի համար կարող են օգտագործվել իոնափոխանակման քրոմատագրություն</w:t>
      </w:r>
      <w:r>
        <w:t xml:space="preserve"> </w:t>
      </w:r>
      <w:r w:rsidRPr="00B834A2">
        <w:t>(2.1.2.36), իզոէլեկտրական կիզակետում (2.1.2.38) կամ մազանոթային էլեկտրաֆորեզ (2.1.2.37):</w:t>
      </w:r>
      <w:r w:rsidRPr="00B834A2">
        <w:rPr>
          <w:rStyle w:val="Bodytext210pt"/>
          <w:sz w:val="24"/>
          <w:szCs w:val="24"/>
        </w:rPr>
        <w:t xml:space="preserve"> Պետք է ընտրվի սիալավորման աստիճանի </w:t>
      </w:r>
      <w:r>
        <w:rPr>
          <w:rStyle w:val="Bodytext210pt"/>
          <w:sz w:val="24"/>
          <w:szCs w:val="24"/>
        </w:rPr>
        <w:t>եւ</w:t>
      </w:r>
      <w:r w:rsidRPr="00B834A2">
        <w:rPr>
          <w:rStyle w:val="Bodytext210pt"/>
          <w:sz w:val="24"/>
          <w:szCs w:val="24"/>
        </w:rPr>
        <w:t xml:space="preserve"> արգասիքի կենսաբանական ակտիվության միջ</w:t>
      </w:r>
      <w:r>
        <w:rPr>
          <w:rStyle w:val="Bodytext210pt"/>
          <w:sz w:val="24"/>
          <w:szCs w:val="24"/>
        </w:rPr>
        <w:t>եւ</w:t>
      </w:r>
      <w:r w:rsidRPr="00B834A2">
        <w:rPr>
          <w:rStyle w:val="Bodytext210pt"/>
          <w:sz w:val="24"/>
          <w:szCs w:val="24"/>
        </w:rPr>
        <w:t xml:space="preserve"> վստահելի կոռելյացիա ապահովող մեթոդիկա:</w:t>
      </w:r>
    </w:p>
    <w:p w14:paraId="1BFEE54A" w14:textId="77777777" w:rsidR="00792625" w:rsidRPr="00097504" w:rsidRDefault="00792625" w:rsidP="00792625">
      <w:pPr>
        <w:pStyle w:val="Bodytext20"/>
        <w:shd w:val="clear" w:color="auto" w:fill="auto"/>
        <w:spacing w:before="0" w:after="160" w:line="360" w:lineRule="auto"/>
        <w:ind w:firstLine="567"/>
        <w:jc w:val="both"/>
        <w:rPr>
          <w:rFonts w:ascii="Sylfaen" w:hAnsi="Sylfaen"/>
          <w:i/>
          <w:sz w:val="24"/>
          <w:szCs w:val="24"/>
        </w:rPr>
      </w:pPr>
    </w:p>
    <w:p w14:paraId="1CAF1716"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i/>
          <w:sz w:val="24"/>
          <w:szCs w:val="24"/>
        </w:rPr>
        <w:t>2.2.</w:t>
      </w:r>
      <w:r w:rsidR="00792625" w:rsidRPr="00097504">
        <w:rPr>
          <w:rFonts w:ascii="Sylfaen" w:hAnsi="Sylfaen"/>
          <w:i/>
          <w:sz w:val="24"/>
          <w:szCs w:val="24"/>
        </w:rPr>
        <w:tab/>
      </w:r>
      <w:r w:rsidRPr="00B834A2">
        <w:rPr>
          <w:rStyle w:val="Bodytext210pt8"/>
          <w:sz w:val="24"/>
          <w:szCs w:val="24"/>
        </w:rPr>
        <w:t>ԳԼԻԿՈՊԵՊՏԻԴՆԵՐԻ ԱՆԱԼԻԶ</w:t>
      </w:r>
    </w:p>
    <w:p w14:paraId="04155A3F"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Գլիկոպեպտիդների անալիզն ապահովում է մոլեկուլի տվյալ տեղամասի, զբաղվածության աստիճանի համար բնորոշ գլիկոզիլացման հատկությունների </w:t>
      </w:r>
      <w:r>
        <w:rPr>
          <w:rStyle w:val="Bodytext210pt"/>
          <w:sz w:val="24"/>
          <w:szCs w:val="24"/>
        </w:rPr>
        <w:t>եւ</w:t>
      </w:r>
      <w:r w:rsidRPr="00B834A2">
        <w:rPr>
          <w:rStyle w:val="Bodytext210pt"/>
          <w:sz w:val="24"/>
          <w:szCs w:val="24"/>
        </w:rPr>
        <w:t xml:space="preserve"> օլիգոսախարիդների կառուցվածքի մասին տեղեկատվության ստացումը: Այն ներառում է գլիկապրոտեինների պրոտեոլիտիկ ճեղքում: </w:t>
      </w:r>
      <w:r w:rsidRPr="00B834A2">
        <w:rPr>
          <w:rFonts w:ascii="Sylfaen" w:hAnsi="Sylfaen"/>
          <w:sz w:val="24"/>
          <w:szCs w:val="24"/>
        </w:rPr>
        <w:t>Պայմանավորված դիրքով՝ սպիտակուցային կմախքի ճեղքման նկատմամբ մոտեցումները ներկայացված են 2.1.2.39 ընդհանուր դեղագրքային հոդվածում:</w:t>
      </w:r>
      <w:r w:rsidRPr="00B834A2">
        <w:rPr>
          <w:rStyle w:val="Bodytext210pt8"/>
          <w:sz w:val="24"/>
          <w:szCs w:val="24"/>
        </w:rPr>
        <w:t xml:space="preserve"> Պեպտիդային քարտեզավորում:</w:t>
      </w:r>
    </w:p>
    <w:p w14:paraId="4233DFA7" w14:textId="77777777" w:rsidR="00B834A2" w:rsidRPr="00097504" w:rsidRDefault="00B834A2" w:rsidP="00792625">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Գլիկոպրոտեինի պրոտեոլիզից հետո կարող են ընտրվել հետ</w:t>
      </w:r>
      <w:r>
        <w:rPr>
          <w:rStyle w:val="Bodytext210pt"/>
          <w:sz w:val="24"/>
          <w:szCs w:val="24"/>
        </w:rPr>
        <w:t>եւ</w:t>
      </w:r>
      <w:r w:rsidRPr="00B834A2">
        <w:rPr>
          <w:rStyle w:val="Bodytext210pt"/>
          <w:sz w:val="24"/>
          <w:szCs w:val="24"/>
        </w:rPr>
        <w:t>յալ մոտեցումները:</w:t>
      </w:r>
    </w:p>
    <w:p w14:paraId="5B17EF6B" w14:textId="77777777" w:rsidR="00792625" w:rsidRPr="00097504" w:rsidRDefault="00792625" w:rsidP="00792625">
      <w:pPr>
        <w:pStyle w:val="Bodytext20"/>
        <w:shd w:val="clear" w:color="auto" w:fill="auto"/>
        <w:spacing w:before="0" w:after="160" w:line="360" w:lineRule="auto"/>
        <w:ind w:firstLine="567"/>
        <w:jc w:val="both"/>
        <w:rPr>
          <w:rFonts w:ascii="Sylfaen" w:hAnsi="Sylfaen"/>
          <w:sz w:val="24"/>
          <w:szCs w:val="24"/>
        </w:rPr>
      </w:pPr>
    </w:p>
    <w:p w14:paraId="4048CF56"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lastRenderedPageBreak/>
        <w:t>Զանգվածասպեկտրաչափման մեթոդով ուղղակի անալիզ (2.1.2.51):</w:t>
      </w:r>
      <w:r w:rsidRPr="00B834A2">
        <w:rPr>
          <w:rStyle w:val="Bodytext210pt"/>
          <w:sz w:val="24"/>
          <w:szCs w:val="24"/>
        </w:rPr>
        <w:t xml:space="preserve"> Անհրաժեշտ է մանրազննին հետ</w:t>
      </w:r>
      <w:r>
        <w:rPr>
          <w:rStyle w:val="Bodytext210pt"/>
          <w:sz w:val="24"/>
          <w:szCs w:val="24"/>
        </w:rPr>
        <w:t>եւ</w:t>
      </w:r>
      <w:r w:rsidRPr="00B834A2">
        <w:rPr>
          <w:rStyle w:val="Bodytext210pt"/>
          <w:sz w:val="24"/>
          <w:szCs w:val="24"/>
        </w:rPr>
        <w:t xml:space="preserve">ել, որպեսզի գլիկոպեպտիդի ազդանշանը չճնշվի այլ պեպտիդների առկայությամբ, քանի որ գլիկոպեպտիդները կազմում են փոքր բաժին՝ պեպտիդների ընդհանուր խառնուրդում, </w:t>
      </w:r>
      <w:r>
        <w:rPr>
          <w:rStyle w:val="Bodytext210pt"/>
          <w:sz w:val="24"/>
          <w:szCs w:val="24"/>
        </w:rPr>
        <w:t>եւ</w:t>
      </w:r>
      <w:r w:rsidRPr="00B834A2">
        <w:rPr>
          <w:rStyle w:val="Bodytext210pt"/>
          <w:sz w:val="24"/>
          <w:szCs w:val="24"/>
        </w:rPr>
        <w:t xml:space="preserve"> ազդանշանի ինտենսիվությունը դրանց մոտ պակաս է, քան չգլիկոզիլացված պեպտիդների մոտ:</w:t>
      </w:r>
    </w:p>
    <w:p w14:paraId="4446EC8F"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Զանգվածային սպեկտրաչափման մեթոդով անալիզին նախորդող բաժանում:</w:t>
      </w:r>
      <w:r w:rsidRPr="00B834A2">
        <w:rPr>
          <w:rStyle w:val="Bodytext210pt"/>
          <w:sz w:val="24"/>
          <w:szCs w:val="24"/>
        </w:rPr>
        <w:t xml:space="preserve"> Այս լրացուցիչ փուլն օգնում է հաղթահարել վերոհիշյալ խնդիրները: Հարստացման </w:t>
      </w:r>
      <w:r>
        <w:rPr>
          <w:rStyle w:val="Bodytext210pt"/>
          <w:sz w:val="24"/>
          <w:szCs w:val="24"/>
        </w:rPr>
        <w:t>եւ</w:t>
      </w:r>
      <w:r w:rsidRPr="00B834A2">
        <w:rPr>
          <w:rStyle w:val="Bodytext210pt"/>
          <w:sz w:val="24"/>
          <w:szCs w:val="24"/>
        </w:rPr>
        <w:t xml:space="preserve"> չափազատման մեթոդները կարող են զուգորդվել ուղղակի անալիզի հետ ինչպես զուգահեռ, այնպես էլ հաջորդաբար: </w:t>
      </w:r>
      <w:r w:rsidRPr="00B834A2">
        <w:rPr>
          <w:rFonts w:ascii="Sylfaen" w:hAnsi="Sylfaen"/>
          <w:sz w:val="24"/>
          <w:szCs w:val="24"/>
        </w:rPr>
        <w:t xml:space="preserve">Բաժանման այնպիսի մեթոդները, ինչպիսիք են հեղուկ քրոմատագրումը </w:t>
      </w:r>
      <w:r>
        <w:rPr>
          <w:rFonts w:ascii="Sylfaen" w:hAnsi="Sylfaen"/>
          <w:sz w:val="24"/>
          <w:szCs w:val="24"/>
        </w:rPr>
        <w:t>եւ</w:t>
      </w:r>
      <w:r w:rsidRPr="00B834A2">
        <w:rPr>
          <w:rFonts w:ascii="Sylfaen" w:hAnsi="Sylfaen"/>
          <w:sz w:val="24"/>
          <w:szCs w:val="24"/>
        </w:rPr>
        <w:t xml:space="preserve"> մազախողովակային էլեկտրոֆորեզը, նույնպես պիտանի են:</w:t>
      </w:r>
      <w:r w:rsidRPr="00B834A2">
        <w:rPr>
          <w:rStyle w:val="Bodytext210pt"/>
          <w:sz w:val="24"/>
          <w:szCs w:val="24"/>
        </w:rPr>
        <w:t xml:space="preserve"> </w:t>
      </w:r>
      <w:r w:rsidRPr="00B834A2">
        <w:rPr>
          <w:rFonts w:ascii="Sylfaen" w:hAnsi="Sylfaen"/>
          <w:sz w:val="24"/>
          <w:szCs w:val="24"/>
        </w:rPr>
        <w:t xml:space="preserve">Այդ մեթոդները կարող են համատեղվել զանգվածային սպեկտրաչափման մեթոդի հետ՝ թույլ տալով իրական ժամանակի ռեժիմում (on-line) ստանալ արդյունքներ: </w:t>
      </w:r>
    </w:p>
    <w:p w14:paraId="6FEE0D60"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Գլիկոպեպտիդների ապագլիկոզիլացում:</w:t>
      </w:r>
      <w:r w:rsidRPr="00B834A2">
        <w:rPr>
          <w:rStyle w:val="Bodytext210pt"/>
          <w:sz w:val="24"/>
          <w:szCs w:val="24"/>
        </w:rPr>
        <w:t xml:space="preserve"> Ինտակտ </w:t>
      </w:r>
      <w:r>
        <w:rPr>
          <w:rStyle w:val="Bodytext210pt"/>
          <w:sz w:val="24"/>
          <w:szCs w:val="24"/>
        </w:rPr>
        <w:t>եւ</w:t>
      </w:r>
      <w:r w:rsidRPr="00B834A2">
        <w:rPr>
          <w:rStyle w:val="Bodytext210pt"/>
          <w:sz w:val="24"/>
          <w:szCs w:val="24"/>
        </w:rPr>
        <w:t xml:space="preserve"> մինչ պրոտեոլիտիկ ճեղքումը կամ դրանից հետո ապագլիկոզիլացված գլիկոպրոտեինի պրոտեոլիտիկ ճեղքումից հետո ստացված պեպտիդային քարտեզների համեմատությունը հնարավորություն է տալիս նույնականացնելու տարբեր մոլեկուլները:</w:t>
      </w:r>
      <w:r w:rsidR="00696072">
        <w:rPr>
          <w:rStyle w:val="Bodytext210pt"/>
          <w:sz w:val="24"/>
          <w:szCs w:val="24"/>
        </w:rPr>
        <w:t xml:space="preserve"> </w:t>
      </w:r>
      <w:r w:rsidRPr="00B834A2">
        <w:rPr>
          <w:rStyle w:val="Bodytext210pt"/>
          <w:sz w:val="24"/>
          <w:szCs w:val="24"/>
        </w:rPr>
        <w:t xml:space="preserve">Պեպտիդային զանգվածը տրամադրում է տեղեկատվություն գլիկոզիլացված տեղամասերի մասին </w:t>
      </w:r>
      <w:r>
        <w:rPr>
          <w:rStyle w:val="Bodytext210pt"/>
          <w:sz w:val="24"/>
          <w:szCs w:val="24"/>
        </w:rPr>
        <w:t>եւ</w:t>
      </w:r>
      <w:r w:rsidRPr="00B834A2">
        <w:rPr>
          <w:rStyle w:val="Bodytext210pt"/>
          <w:sz w:val="24"/>
          <w:szCs w:val="24"/>
        </w:rPr>
        <w:t xml:space="preserve"> ինտակտ ու ապագլիկոզիլացված գլիկոպեպտիդի միջ</w:t>
      </w:r>
      <w:r>
        <w:rPr>
          <w:rStyle w:val="Bodytext210pt"/>
          <w:sz w:val="24"/>
          <w:szCs w:val="24"/>
        </w:rPr>
        <w:t>եւ</w:t>
      </w:r>
      <w:r w:rsidRPr="00B834A2">
        <w:rPr>
          <w:rStyle w:val="Bodytext210pt"/>
          <w:sz w:val="24"/>
          <w:szCs w:val="24"/>
        </w:rPr>
        <w:t xml:space="preserve"> զանգվածի տարբերության հաշվարկի օգնությամբ կարելի է տեղեկատվություն ստանալ միացված գլիկանների բաղադրության </w:t>
      </w:r>
      <w:r>
        <w:rPr>
          <w:rStyle w:val="Bodytext210pt"/>
          <w:sz w:val="24"/>
          <w:szCs w:val="24"/>
        </w:rPr>
        <w:t>եւ</w:t>
      </w:r>
      <w:r w:rsidRPr="00B834A2">
        <w:rPr>
          <w:rStyle w:val="Bodytext210pt"/>
          <w:sz w:val="24"/>
          <w:szCs w:val="24"/>
        </w:rPr>
        <w:t xml:space="preserve"> տարասեռության մասին:</w:t>
      </w:r>
      <w:r>
        <w:rPr>
          <w:rStyle w:val="Bodytext210pt"/>
          <w:sz w:val="24"/>
          <w:szCs w:val="24"/>
        </w:rPr>
        <w:t xml:space="preserve"> </w:t>
      </w:r>
      <w:r w:rsidRPr="00B834A2">
        <w:rPr>
          <w:rStyle w:val="Bodytext210pt"/>
          <w:sz w:val="24"/>
          <w:szCs w:val="24"/>
        </w:rPr>
        <w:t>Սպիտակուցային կմախքի ապագլիկոլիզացման եղանակները ներկայացված են տվյալ ընդհանուր դեղագրքային հոդվածի 2.3.1 բաժնում: Բաժանման փուլը կարող</w:t>
      </w:r>
      <w:r w:rsidR="009543E2" w:rsidRPr="009543E2">
        <w:rPr>
          <w:rStyle w:val="Bodytext210pt"/>
          <w:sz w:val="24"/>
          <w:szCs w:val="24"/>
        </w:rPr>
        <w:t> </w:t>
      </w:r>
      <w:r w:rsidRPr="00B834A2">
        <w:rPr>
          <w:rStyle w:val="Bodytext210pt"/>
          <w:sz w:val="24"/>
          <w:szCs w:val="24"/>
        </w:rPr>
        <w:t>է անցկացվել մինչ ապագլիկոզիլացումը կամ դրանից հետո:</w:t>
      </w:r>
    </w:p>
    <w:p w14:paraId="1A841D81" w14:textId="77777777" w:rsidR="00B834A2" w:rsidRPr="00B834A2" w:rsidRDefault="00B834A2" w:rsidP="00B834A2">
      <w:pPr>
        <w:pStyle w:val="Bodytext20"/>
        <w:shd w:val="clear" w:color="auto" w:fill="auto"/>
        <w:spacing w:before="0" w:after="160" w:line="360" w:lineRule="auto"/>
        <w:ind w:firstLine="567"/>
        <w:rPr>
          <w:rFonts w:ascii="Sylfaen" w:hAnsi="Sylfaen"/>
          <w:i/>
          <w:iCs/>
          <w:sz w:val="24"/>
          <w:szCs w:val="24"/>
        </w:rPr>
      </w:pPr>
    </w:p>
    <w:p w14:paraId="596C9AA1"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i/>
          <w:sz w:val="24"/>
          <w:szCs w:val="24"/>
        </w:rPr>
        <w:t>2.3.</w:t>
      </w:r>
      <w:r w:rsidR="00792625" w:rsidRPr="00097504">
        <w:rPr>
          <w:rFonts w:ascii="Sylfaen" w:hAnsi="Sylfaen"/>
          <w:i/>
          <w:sz w:val="24"/>
          <w:szCs w:val="24"/>
        </w:rPr>
        <w:tab/>
      </w:r>
      <w:r w:rsidRPr="00B834A2">
        <w:rPr>
          <w:rStyle w:val="Bodytext210pt8"/>
          <w:sz w:val="24"/>
          <w:szCs w:val="24"/>
        </w:rPr>
        <w:t>ՃԵՂՔՎԱԾ ԳԼԻԿԱՆՆԵՐԻ ԱՆԱԼԻԶ</w:t>
      </w:r>
    </w:p>
    <w:p w14:paraId="3674F83E"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Ճեղքված գլիկանների անալիզի անցկացումը հնարավորություն է տալիս ստանալ տեղեկատվություն սպիտակուցի հետ կապված գլիկանների բազմազան </w:t>
      </w:r>
      <w:r w:rsidRPr="00B834A2">
        <w:rPr>
          <w:rStyle w:val="Bodytext210pt"/>
          <w:sz w:val="24"/>
          <w:szCs w:val="24"/>
        </w:rPr>
        <w:lastRenderedPageBreak/>
        <w:t>ընտանիքների մասին (պրոֆիլավորում ըստ ճյուղավորման բնույթի՝ կրկնակի, եռակի կամ առավել բարձր կարգի): Այս փուլում որոշում են նույնպես սիալման աստիճանը: Պայմանավորված ընտրված մեթոդով՝ գլիկանների դետեկտման համար կարող է անհրաժեշտ լինել նախնական դերիվատացում/նշանադրում:</w:t>
      </w:r>
    </w:p>
    <w:p w14:paraId="40642FA0" w14:textId="77777777" w:rsidR="00B834A2" w:rsidRPr="00B834A2" w:rsidRDefault="00B834A2" w:rsidP="00B834A2">
      <w:pPr>
        <w:spacing w:after="160" w:line="360" w:lineRule="auto"/>
        <w:ind w:firstLine="567"/>
      </w:pPr>
    </w:p>
    <w:p w14:paraId="5E83E371" w14:textId="77777777" w:rsidR="00B834A2" w:rsidRPr="00C94376" w:rsidRDefault="00B834A2" w:rsidP="00163838">
      <w:pPr>
        <w:pStyle w:val="Bodytext20"/>
        <w:shd w:val="clear" w:color="auto" w:fill="auto"/>
        <w:spacing w:before="0" w:after="160" w:line="360" w:lineRule="auto"/>
        <w:ind w:firstLine="567"/>
        <w:jc w:val="both"/>
        <w:rPr>
          <w:rStyle w:val="Bodytext210pt1"/>
          <w:spacing w:val="0"/>
          <w:sz w:val="24"/>
          <w:szCs w:val="24"/>
        </w:rPr>
      </w:pPr>
      <w:r w:rsidRPr="00B834A2">
        <w:rPr>
          <w:rStyle w:val="Bodytext210pt1"/>
          <w:i w:val="0"/>
          <w:spacing w:val="0"/>
          <w:sz w:val="24"/>
          <w:szCs w:val="24"/>
        </w:rPr>
        <w:t xml:space="preserve">Աղյուսակ 2.1.2.56.-1. - </w:t>
      </w:r>
      <w:r w:rsidRPr="00C94376">
        <w:rPr>
          <w:rStyle w:val="Bodytext210pt1"/>
          <w:spacing w:val="0"/>
          <w:sz w:val="24"/>
          <w:szCs w:val="24"/>
        </w:rPr>
        <w:t>Ֆերմենտատիվ ճեղքման ռեակտիվների ցանկը եւ դրանց սուբստրատային սպեցիֆիկությունը</w:t>
      </w:r>
    </w:p>
    <w:tbl>
      <w:tblPr>
        <w:tblOverlap w:val="never"/>
        <w:tblW w:w="9709" w:type="dxa"/>
        <w:jc w:val="center"/>
        <w:tblLayout w:type="fixed"/>
        <w:tblCellMar>
          <w:left w:w="10" w:type="dxa"/>
          <w:right w:w="10" w:type="dxa"/>
        </w:tblCellMar>
        <w:tblLook w:val="04A0" w:firstRow="1" w:lastRow="0" w:firstColumn="1" w:lastColumn="0" w:noHBand="0" w:noVBand="1"/>
      </w:tblPr>
      <w:tblGrid>
        <w:gridCol w:w="5281"/>
        <w:gridCol w:w="4428"/>
      </w:tblGrid>
      <w:tr w:rsidR="00B834A2" w:rsidRPr="00792625" w14:paraId="11C3FCE6" w14:textId="77777777" w:rsidTr="00C94376">
        <w:trPr>
          <w:jc w:val="center"/>
        </w:trPr>
        <w:tc>
          <w:tcPr>
            <w:tcW w:w="5281" w:type="dxa"/>
            <w:tcBorders>
              <w:top w:val="single" w:sz="4" w:space="0" w:color="auto"/>
            </w:tcBorders>
            <w:shd w:val="clear" w:color="auto" w:fill="FFFFFF"/>
            <w:vAlign w:val="bottom"/>
          </w:tcPr>
          <w:p w14:paraId="04B9497C"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
                <w:szCs w:val="24"/>
              </w:rPr>
              <w:t>Ռեակտիվներ</w:t>
            </w:r>
          </w:p>
        </w:tc>
        <w:tc>
          <w:tcPr>
            <w:tcW w:w="4428" w:type="dxa"/>
            <w:tcBorders>
              <w:top w:val="single" w:sz="4" w:space="0" w:color="auto"/>
            </w:tcBorders>
            <w:shd w:val="clear" w:color="auto" w:fill="FFFFFF"/>
            <w:vAlign w:val="bottom"/>
          </w:tcPr>
          <w:p w14:paraId="5344CEF2"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
                <w:szCs w:val="24"/>
              </w:rPr>
              <w:t>Սպեցիֆիկություն</w:t>
            </w:r>
          </w:p>
        </w:tc>
      </w:tr>
      <w:tr w:rsidR="00B834A2" w:rsidRPr="00792625" w14:paraId="2331E312" w14:textId="77777777" w:rsidTr="00792625">
        <w:trPr>
          <w:jc w:val="center"/>
        </w:trPr>
        <w:tc>
          <w:tcPr>
            <w:tcW w:w="9709" w:type="dxa"/>
            <w:gridSpan w:val="2"/>
            <w:tcBorders>
              <w:top w:val="single" w:sz="4" w:space="0" w:color="auto"/>
            </w:tcBorders>
            <w:shd w:val="clear" w:color="auto" w:fill="FFFFFF"/>
          </w:tcPr>
          <w:p w14:paraId="26C9B502"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95pt1"/>
                <w:sz w:val="20"/>
                <w:szCs w:val="24"/>
              </w:rPr>
              <w:t>A-կապված գլիկանների ճեղքում</w:t>
            </w:r>
          </w:p>
        </w:tc>
      </w:tr>
      <w:tr w:rsidR="00B834A2" w:rsidRPr="00792625" w14:paraId="65B03D44" w14:textId="77777777" w:rsidTr="00C94376">
        <w:trPr>
          <w:jc w:val="center"/>
        </w:trPr>
        <w:tc>
          <w:tcPr>
            <w:tcW w:w="5281" w:type="dxa"/>
            <w:shd w:val="clear" w:color="auto" w:fill="FFFFFF"/>
          </w:tcPr>
          <w:p w14:paraId="4BE0FF1B" w14:textId="77777777" w:rsidR="00B834A2" w:rsidRPr="00792625" w:rsidRDefault="00B834A2" w:rsidP="00DE4F37">
            <w:pPr>
              <w:pStyle w:val="Bodytext20"/>
              <w:shd w:val="clear" w:color="auto" w:fill="auto"/>
              <w:tabs>
                <w:tab w:val="left" w:pos="448"/>
                <w:tab w:val="left" w:pos="2726"/>
              </w:tabs>
              <w:spacing w:before="0" w:line="240" w:lineRule="auto"/>
              <w:ind w:right="132"/>
              <w:jc w:val="both"/>
              <w:rPr>
                <w:rFonts w:ascii="Sylfaen" w:hAnsi="Sylfaen"/>
                <w:b/>
                <w:sz w:val="20"/>
                <w:szCs w:val="24"/>
              </w:rPr>
            </w:pPr>
            <w:r w:rsidRPr="00792625">
              <w:rPr>
                <w:rFonts w:ascii="Sylfaen" w:hAnsi="Sylfaen"/>
                <w:b/>
                <w:sz w:val="20"/>
                <w:szCs w:val="24"/>
              </w:rPr>
              <w:t>Ասպարագինամիդազի պեպտիդ-N4-(N-ացետիլ- β</w:t>
            </w:r>
            <w:r w:rsidR="00DE4F37" w:rsidRPr="00DE4F37">
              <w:rPr>
                <w:rFonts w:ascii="Sylfaen" w:hAnsi="Sylfaen"/>
                <w:b/>
                <w:sz w:val="20"/>
                <w:szCs w:val="24"/>
              </w:rPr>
              <w:t>-</w:t>
            </w:r>
            <w:r w:rsidRPr="00792625">
              <w:rPr>
                <w:rFonts w:ascii="Sylfaen" w:hAnsi="Sylfaen"/>
                <w:b/>
                <w:sz w:val="20"/>
                <w:szCs w:val="24"/>
              </w:rPr>
              <w:t>գլյուկոզամինիլ) (ՖԾ* 3.5.1.52)</w:t>
            </w:r>
          </w:p>
        </w:tc>
        <w:tc>
          <w:tcPr>
            <w:tcW w:w="4428" w:type="dxa"/>
            <w:shd w:val="clear" w:color="auto" w:fill="FFFFFF"/>
          </w:tcPr>
          <w:p w14:paraId="11A79949"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Fonts w:ascii="Sylfaen" w:hAnsi="Sylfaen"/>
                <w:sz w:val="20"/>
                <w:szCs w:val="24"/>
              </w:rPr>
              <w:t xml:space="preserve">Հիդրոլիզ N4-(ացետիլ-β-D-գլյուկոզամինիլ (ասպարագինային մնացորդների, որոնցում գլյուկոզի մնացորդը կարող է հետագայում գլիկոլիզացվել, ասպարտատի մնացորդ պարունակող N-ացետիլ- β -D-գլյուկոզամինիլամինի եւ պեպտիդի ստացմամբ (տեղակալված) </w:t>
            </w:r>
          </w:p>
        </w:tc>
      </w:tr>
      <w:tr w:rsidR="00B834A2" w:rsidRPr="00792625" w14:paraId="29506C24" w14:textId="77777777" w:rsidTr="00C94376">
        <w:trPr>
          <w:jc w:val="center"/>
        </w:trPr>
        <w:tc>
          <w:tcPr>
            <w:tcW w:w="5281" w:type="dxa"/>
            <w:shd w:val="clear" w:color="auto" w:fill="FFFFFF"/>
          </w:tcPr>
          <w:p w14:paraId="352B38F0" w14:textId="77777777" w:rsidR="00B834A2" w:rsidRPr="00792625" w:rsidRDefault="00B834A2" w:rsidP="00792625">
            <w:pPr>
              <w:pStyle w:val="Bodytext20"/>
              <w:shd w:val="clear" w:color="auto" w:fill="auto"/>
              <w:tabs>
                <w:tab w:val="left" w:pos="448"/>
              </w:tabs>
              <w:spacing w:before="0" w:line="240" w:lineRule="auto"/>
              <w:jc w:val="both"/>
              <w:rPr>
                <w:rFonts w:ascii="Sylfaen" w:hAnsi="Sylfaen"/>
                <w:sz w:val="20"/>
                <w:szCs w:val="24"/>
              </w:rPr>
            </w:pPr>
            <w:r w:rsidRPr="00792625">
              <w:rPr>
                <w:rFonts w:ascii="Sylfaen" w:hAnsi="Sylfaen"/>
                <w:sz w:val="20"/>
                <w:szCs w:val="24"/>
              </w:rPr>
              <w:t>-</w:t>
            </w:r>
            <w:r w:rsidR="00792625" w:rsidRPr="00792625">
              <w:rPr>
                <w:rFonts w:ascii="Sylfaen" w:hAnsi="Sylfaen"/>
                <w:sz w:val="20"/>
                <w:szCs w:val="24"/>
              </w:rPr>
              <w:tab/>
            </w:r>
            <w:r w:rsidRPr="00792625">
              <w:rPr>
                <w:rFonts w:ascii="Sylfaen" w:hAnsi="Sylfaen"/>
                <w:sz w:val="20"/>
                <w:szCs w:val="24"/>
              </w:rPr>
              <w:t>Պեպտիդ-N-գլիկոզիդազի F (PNGase F)</w:t>
            </w:r>
          </w:p>
        </w:tc>
        <w:tc>
          <w:tcPr>
            <w:tcW w:w="4428" w:type="dxa"/>
            <w:shd w:val="clear" w:color="auto" w:fill="FFFFFF"/>
            <w:vAlign w:val="bottom"/>
          </w:tcPr>
          <w:p w14:paraId="563423DB"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Fonts w:ascii="Sylfaen" w:hAnsi="Sylfaen"/>
                <w:sz w:val="20"/>
                <w:szCs w:val="24"/>
              </w:rPr>
              <w:t>Ճեղքում է շղթան N-կապված գլիկանի մոտ, սակայն չի ճեղքում N- կապված գլիկանի շղթան, որում առկա է դիրքով կապված ֆուկոզի միջուկ (α 1-3)</w:t>
            </w:r>
          </w:p>
        </w:tc>
      </w:tr>
      <w:tr w:rsidR="00B834A2" w:rsidRPr="00792625" w14:paraId="007191F5" w14:textId="77777777" w:rsidTr="00C94376">
        <w:trPr>
          <w:jc w:val="center"/>
        </w:trPr>
        <w:tc>
          <w:tcPr>
            <w:tcW w:w="5281" w:type="dxa"/>
            <w:shd w:val="clear" w:color="auto" w:fill="FFFFFF"/>
          </w:tcPr>
          <w:p w14:paraId="0D5163EB" w14:textId="77777777" w:rsidR="00B834A2" w:rsidRPr="00792625" w:rsidRDefault="00B834A2" w:rsidP="00792625">
            <w:pPr>
              <w:pStyle w:val="Bodytext20"/>
              <w:shd w:val="clear" w:color="auto" w:fill="auto"/>
              <w:tabs>
                <w:tab w:val="left" w:pos="448"/>
              </w:tabs>
              <w:spacing w:before="0" w:line="240" w:lineRule="auto"/>
              <w:jc w:val="both"/>
              <w:rPr>
                <w:rFonts w:ascii="Sylfaen" w:hAnsi="Sylfaen"/>
                <w:sz w:val="20"/>
                <w:szCs w:val="24"/>
              </w:rPr>
            </w:pPr>
            <w:r w:rsidRPr="00792625">
              <w:rPr>
                <w:rFonts w:ascii="Sylfaen" w:hAnsi="Sylfaen"/>
                <w:sz w:val="20"/>
                <w:szCs w:val="24"/>
              </w:rPr>
              <w:t>-</w:t>
            </w:r>
            <w:r w:rsidR="00792625" w:rsidRPr="00792625">
              <w:rPr>
                <w:rFonts w:ascii="Sylfaen" w:hAnsi="Sylfaen"/>
                <w:sz w:val="20"/>
                <w:szCs w:val="24"/>
              </w:rPr>
              <w:tab/>
            </w:r>
            <w:r w:rsidRPr="00792625">
              <w:rPr>
                <w:rFonts w:ascii="Sylfaen" w:hAnsi="Sylfaen"/>
                <w:sz w:val="20"/>
                <w:szCs w:val="24"/>
              </w:rPr>
              <w:t>Պեպտիդ-N-գլիկոզիդազի A (PNGase А)</w:t>
            </w:r>
          </w:p>
        </w:tc>
        <w:tc>
          <w:tcPr>
            <w:tcW w:w="4428" w:type="dxa"/>
            <w:shd w:val="clear" w:color="auto" w:fill="FFFFFF"/>
            <w:vAlign w:val="bottom"/>
          </w:tcPr>
          <w:p w14:paraId="0672E2C0"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Fonts w:ascii="Sylfaen" w:hAnsi="Sylfaen"/>
                <w:sz w:val="20"/>
                <w:szCs w:val="24"/>
              </w:rPr>
              <w:t>Ճեղքում է շղթան N- կապված գլիկանի մոտ, որում առկա է դիրքով կապված ֆուկոզի միջուկ (α l-3)</w:t>
            </w:r>
          </w:p>
        </w:tc>
      </w:tr>
      <w:tr w:rsidR="00B834A2" w:rsidRPr="00792625" w14:paraId="6C2723C9" w14:textId="77777777" w:rsidTr="00C94376">
        <w:trPr>
          <w:jc w:val="center"/>
        </w:trPr>
        <w:tc>
          <w:tcPr>
            <w:tcW w:w="5281" w:type="dxa"/>
            <w:shd w:val="clear" w:color="auto" w:fill="FFFFFF"/>
          </w:tcPr>
          <w:p w14:paraId="1FF90BF1" w14:textId="77777777" w:rsidR="00B834A2" w:rsidRPr="00792625" w:rsidRDefault="00B834A2" w:rsidP="00792625">
            <w:pPr>
              <w:pStyle w:val="Bodytext20"/>
              <w:shd w:val="clear" w:color="auto" w:fill="auto"/>
              <w:spacing w:before="0" w:line="240" w:lineRule="auto"/>
              <w:jc w:val="both"/>
              <w:rPr>
                <w:rFonts w:ascii="Sylfaen" w:hAnsi="Sylfaen"/>
                <w:sz w:val="20"/>
                <w:szCs w:val="24"/>
              </w:rPr>
            </w:pPr>
            <w:r w:rsidRPr="00792625">
              <w:rPr>
                <w:rStyle w:val="Bodytext295pt1"/>
                <w:sz w:val="20"/>
                <w:szCs w:val="24"/>
              </w:rPr>
              <w:t>Մաննոզիլ-գլիկոպրոտեինէնդո-β-N-ացետիլգլյուկոզամինիդազի (ՖԾ* 3.2.1.96)</w:t>
            </w:r>
          </w:p>
        </w:tc>
        <w:tc>
          <w:tcPr>
            <w:tcW w:w="4428" w:type="dxa"/>
            <w:shd w:val="clear" w:color="auto" w:fill="FFFFFF"/>
            <w:vAlign w:val="bottom"/>
          </w:tcPr>
          <w:p w14:paraId="304BEF46"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95pt1"/>
                <w:sz w:val="20"/>
                <w:szCs w:val="24"/>
              </w:rPr>
              <w:t>Էնդոհիդրոլիզում է [Man(GlcNAc)</w:t>
            </w:r>
            <w:r w:rsidRPr="00792625">
              <w:rPr>
                <w:rStyle w:val="Bodytext295pt1"/>
                <w:sz w:val="20"/>
                <w:szCs w:val="24"/>
                <w:vertAlign w:val="subscript"/>
              </w:rPr>
              <w:t>2</w:t>
            </w:r>
            <w:r w:rsidRPr="00792625">
              <w:rPr>
                <w:rStyle w:val="Bodytext295pt1"/>
                <w:sz w:val="20"/>
                <w:szCs w:val="24"/>
              </w:rPr>
              <w:t>]Asn պարունակող մաննոզի բարձր պարունակությամբ գլիկոպեպտիդներում եւ (կամ) գլիկոպրոտեիններում N,N'-դիացետիլխիտոբիոզիլների բլոկը</w:t>
            </w:r>
          </w:p>
        </w:tc>
      </w:tr>
      <w:tr w:rsidR="00B834A2" w:rsidRPr="00792625" w14:paraId="418E4D58" w14:textId="77777777" w:rsidTr="00C94376">
        <w:trPr>
          <w:jc w:val="center"/>
        </w:trPr>
        <w:tc>
          <w:tcPr>
            <w:tcW w:w="5281" w:type="dxa"/>
            <w:shd w:val="clear" w:color="auto" w:fill="FFFFFF"/>
          </w:tcPr>
          <w:p w14:paraId="3494C5ED" w14:textId="77777777" w:rsidR="00B834A2" w:rsidRPr="00792625" w:rsidRDefault="00B834A2" w:rsidP="00792625">
            <w:pPr>
              <w:pStyle w:val="Bodytext20"/>
              <w:shd w:val="clear" w:color="auto" w:fill="auto"/>
              <w:tabs>
                <w:tab w:val="left" w:pos="264"/>
              </w:tabs>
              <w:spacing w:before="0" w:line="240" w:lineRule="auto"/>
              <w:jc w:val="both"/>
              <w:rPr>
                <w:rFonts w:ascii="Sylfaen" w:hAnsi="Sylfaen"/>
                <w:sz w:val="20"/>
                <w:szCs w:val="24"/>
              </w:rPr>
            </w:pPr>
            <w:r w:rsidRPr="00792625">
              <w:rPr>
                <w:rStyle w:val="Bodytext210pt"/>
                <w:szCs w:val="24"/>
              </w:rPr>
              <w:t>-</w:t>
            </w:r>
            <w:r w:rsidR="00792625" w:rsidRPr="00792625">
              <w:rPr>
                <w:rStyle w:val="Bodytext210pt"/>
                <w:szCs w:val="24"/>
              </w:rPr>
              <w:tab/>
            </w:r>
            <w:r w:rsidRPr="00792625">
              <w:rPr>
                <w:rStyle w:val="Bodytext210pt"/>
                <w:szCs w:val="24"/>
              </w:rPr>
              <w:t>Էնդո-β-N-ացետիլգլյուկոզամինիդազի F (էնդո F)</w:t>
            </w:r>
          </w:p>
        </w:tc>
        <w:tc>
          <w:tcPr>
            <w:tcW w:w="4428" w:type="dxa"/>
            <w:shd w:val="clear" w:color="auto" w:fill="FFFFFF"/>
            <w:vAlign w:val="bottom"/>
          </w:tcPr>
          <w:p w14:paraId="4A79E68B"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Մաննոզի բարձր պարունակությամբ հիբրիդային եւ կոմպլեքսային օլիգոսախարիդների ճեղքում</w:t>
            </w:r>
          </w:p>
        </w:tc>
      </w:tr>
      <w:tr w:rsidR="00B834A2" w:rsidRPr="00792625" w14:paraId="6CA4B74E" w14:textId="77777777" w:rsidTr="00C94376">
        <w:trPr>
          <w:jc w:val="center"/>
        </w:trPr>
        <w:tc>
          <w:tcPr>
            <w:tcW w:w="5281" w:type="dxa"/>
            <w:shd w:val="clear" w:color="auto" w:fill="FFFFFF"/>
          </w:tcPr>
          <w:p w14:paraId="0B3A0390" w14:textId="77777777" w:rsidR="00B834A2" w:rsidRPr="00792625" w:rsidRDefault="00B834A2" w:rsidP="00792625">
            <w:pPr>
              <w:pStyle w:val="Bodytext20"/>
              <w:shd w:val="clear" w:color="auto" w:fill="auto"/>
              <w:tabs>
                <w:tab w:val="left" w:pos="264"/>
              </w:tabs>
              <w:spacing w:before="0" w:line="240" w:lineRule="auto"/>
              <w:jc w:val="both"/>
              <w:rPr>
                <w:rFonts w:ascii="Sylfaen" w:hAnsi="Sylfaen"/>
                <w:sz w:val="20"/>
                <w:szCs w:val="24"/>
              </w:rPr>
            </w:pPr>
            <w:r w:rsidRPr="00792625">
              <w:rPr>
                <w:rFonts w:ascii="Sylfaen" w:hAnsi="Sylfaen"/>
                <w:sz w:val="20"/>
                <w:szCs w:val="24"/>
              </w:rPr>
              <w:t>-</w:t>
            </w:r>
            <w:r w:rsidR="00792625" w:rsidRPr="00792625">
              <w:rPr>
                <w:rFonts w:ascii="Sylfaen" w:hAnsi="Sylfaen"/>
                <w:sz w:val="20"/>
                <w:szCs w:val="24"/>
              </w:rPr>
              <w:tab/>
            </w:r>
            <w:r w:rsidRPr="00792625">
              <w:rPr>
                <w:rFonts w:ascii="Sylfaen" w:hAnsi="Sylfaen"/>
                <w:sz w:val="20"/>
                <w:szCs w:val="24"/>
              </w:rPr>
              <w:t>Էնդո - β - N- ացետիլգլյուկոզամինիդազի Н (էնդո Н)</w:t>
            </w:r>
          </w:p>
        </w:tc>
        <w:tc>
          <w:tcPr>
            <w:tcW w:w="4428" w:type="dxa"/>
            <w:shd w:val="clear" w:color="auto" w:fill="FFFFFF"/>
            <w:vAlign w:val="bottom"/>
          </w:tcPr>
          <w:p w14:paraId="4BA74F94"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Մաննոզի բարձր պարունակությամբ հիբրիդային օլիգոսախարիդների ճեղքում</w:t>
            </w:r>
          </w:p>
        </w:tc>
      </w:tr>
      <w:tr w:rsidR="00B834A2" w:rsidRPr="00792625" w14:paraId="0D7A4C8A" w14:textId="77777777" w:rsidTr="00792625">
        <w:trPr>
          <w:jc w:val="center"/>
        </w:trPr>
        <w:tc>
          <w:tcPr>
            <w:tcW w:w="9709" w:type="dxa"/>
            <w:gridSpan w:val="2"/>
            <w:shd w:val="clear" w:color="auto" w:fill="FFFFFF"/>
          </w:tcPr>
          <w:p w14:paraId="061923AD"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95pt1"/>
                <w:i/>
                <w:sz w:val="20"/>
                <w:szCs w:val="24"/>
              </w:rPr>
              <w:t>О</w:t>
            </w:r>
            <w:r w:rsidRPr="00792625">
              <w:rPr>
                <w:rStyle w:val="Bodytext295pt1"/>
                <w:sz w:val="20"/>
                <w:szCs w:val="24"/>
              </w:rPr>
              <w:t>-կապված գլիկանների ճեղքում</w:t>
            </w:r>
          </w:p>
        </w:tc>
      </w:tr>
      <w:tr w:rsidR="00B834A2" w:rsidRPr="00792625" w14:paraId="3045AB06" w14:textId="77777777" w:rsidTr="00C94376">
        <w:trPr>
          <w:jc w:val="center"/>
        </w:trPr>
        <w:tc>
          <w:tcPr>
            <w:tcW w:w="5281" w:type="dxa"/>
            <w:shd w:val="clear" w:color="auto" w:fill="FFFFFF"/>
            <w:vAlign w:val="bottom"/>
          </w:tcPr>
          <w:p w14:paraId="27D6EF73"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95pt1"/>
                <w:sz w:val="20"/>
                <w:szCs w:val="24"/>
              </w:rPr>
              <w:t>α-N-ացետիլգալակտոզամինիդազի գլիկոպեպտիդ (ՖԾ* 3.2.1.97)**</w:t>
            </w:r>
          </w:p>
        </w:tc>
        <w:tc>
          <w:tcPr>
            <w:tcW w:w="4428" w:type="dxa"/>
            <w:shd w:val="clear" w:color="auto" w:fill="FFFFFF"/>
            <w:vAlign w:val="bottom"/>
          </w:tcPr>
          <w:p w14:paraId="7BACD3C8"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95pt1"/>
                <w:sz w:val="20"/>
                <w:szCs w:val="24"/>
              </w:rPr>
              <w:t>Հիդրոլիզում է D-գալակտոզիլ-N-ացետիլ-α-D-գալակտոզամինի տերմինալային տեղամասերը</w:t>
            </w:r>
          </w:p>
        </w:tc>
      </w:tr>
      <w:tr w:rsidR="00B834A2" w:rsidRPr="00792625" w14:paraId="2A2BE943" w14:textId="77777777" w:rsidTr="00792625">
        <w:trPr>
          <w:jc w:val="center"/>
        </w:trPr>
        <w:tc>
          <w:tcPr>
            <w:tcW w:w="9709" w:type="dxa"/>
            <w:gridSpan w:val="2"/>
            <w:tcBorders>
              <w:top w:val="single" w:sz="4" w:space="0" w:color="auto"/>
            </w:tcBorders>
            <w:shd w:val="clear" w:color="auto" w:fill="FFFFFF"/>
            <w:vAlign w:val="bottom"/>
          </w:tcPr>
          <w:p w14:paraId="7BBED952"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 Ֆերմենտի ծածկագիրը՝ Կենսաքիմիայի եւ մոլեկուլային կենսաբանության հարցերով միջազգային միության դասակարգմանը համապատասխան:</w:t>
            </w:r>
          </w:p>
          <w:p w14:paraId="63A41E51"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 Տվյալ ֆերմենտն օգտագործվում է հազվադեպ սուբստրատի նկատմամբ իր բարձր սպեցիֆիկության պատճառով:</w:t>
            </w:r>
          </w:p>
        </w:tc>
      </w:tr>
    </w:tbl>
    <w:p w14:paraId="71A06F07"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lastRenderedPageBreak/>
        <w:t xml:space="preserve">Ճեղքված գլիկանների անալիզը սովորաբար ներառում է ռեակցիոն խառնուրդից գլիկանների ճեղքումը </w:t>
      </w:r>
      <w:r>
        <w:rPr>
          <w:rStyle w:val="Bodytext210pt"/>
          <w:sz w:val="24"/>
          <w:szCs w:val="24"/>
        </w:rPr>
        <w:t>եւ</w:t>
      </w:r>
      <w:r w:rsidRPr="00B834A2">
        <w:rPr>
          <w:rStyle w:val="Bodytext210pt"/>
          <w:sz w:val="24"/>
          <w:szCs w:val="24"/>
        </w:rPr>
        <w:t xml:space="preserve"> անջատումը, որն ուղեկցվում է գլիկանների հետագա նշմամբ </w:t>
      </w:r>
      <w:r>
        <w:rPr>
          <w:rStyle w:val="Bodytext210pt"/>
          <w:sz w:val="24"/>
          <w:szCs w:val="24"/>
        </w:rPr>
        <w:t>եւ</w:t>
      </w:r>
      <w:r w:rsidRPr="00B834A2">
        <w:rPr>
          <w:rStyle w:val="Bodytext210pt"/>
          <w:sz w:val="24"/>
          <w:szCs w:val="24"/>
        </w:rPr>
        <w:t xml:space="preserve"> (կամ) դերիվատացմամբ (որտեղ դա անհրաժեշտ է), ինչից հետո գլիկանները պրոֆիլացվում են սպեցիֆիկ հատկություններին համապատասխան (չափազատում կամ բաժանում):</w:t>
      </w:r>
    </w:p>
    <w:p w14:paraId="32D04885" w14:textId="77777777" w:rsidR="00B834A2" w:rsidRPr="00B834A2" w:rsidRDefault="00B834A2" w:rsidP="00492945">
      <w:pPr>
        <w:pStyle w:val="Bodytext20"/>
        <w:shd w:val="clear" w:color="auto" w:fill="auto"/>
        <w:tabs>
          <w:tab w:val="left" w:pos="1276"/>
        </w:tabs>
        <w:spacing w:before="0" w:after="160" w:line="348" w:lineRule="auto"/>
        <w:ind w:firstLine="567"/>
        <w:jc w:val="both"/>
        <w:rPr>
          <w:rFonts w:ascii="Sylfaen" w:hAnsi="Sylfaen"/>
          <w:sz w:val="24"/>
          <w:szCs w:val="24"/>
        </w:rPr>
      </w:pPr>
      <w:r w:rsidRPr="00B834A2">
        <w:rPr>
          <w:rStyle w:val="Bodytext210pt8"/>
          <w:sz w:val="24"/>
          <w:szCs w:val="24"/>
        </w:rPr>
        <w:t>2.3.1.</w:t>
      </w:r>
      <w:r w:rsidR="00792625" w:rsidRPr="00097504">
        <w:rPr>
          <w:rStyle w:val="Bodytext210pt8"/>
          <w:sz w:val="24"/>
          <w:szCs w:val="24"/>
        </w:rPr>
        <w:tab/>
      </w:r>
      <w:r w:rsidRPr="00B834A2">
        <w:rPr>
          <w:rStyle w:val="Bodytext210pt8"/>
          <w:sz w:val="24"/>
          <w:szCs w:val="24"/>
        </w:rPr>
        <w:t>Գլիկանների ճեղքում</w:t>
      </w:r>
    </w:p>
    <w:p w14:paraId="7B7ADC39" w14:textId="77777777" w:rsidR="00B834A2" w:rsidRPr="00B834A2" w:rsidRDefault="00B834A2" w:rsidP="00492945">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 xml:space="preserve">Գլիկանների ճեղքման մեթոդի ընտրությունը պայմանավորված է գլիկոպրոտեինի բնույթով: Ճեղքման համար կիրառվող ռեակտիվի ընտրությունը պայմանավորված է ճեղքման տեսակի ընտրությամբ այն տեղեկատվության ծավալով, որը պետք է ստացվի փորձարկման արդյունքում՝ կարող է կիրառվել ֆերմենտատիվ կամ քիմիական ճեղքում: 2.1.2.56.-1 աղյուսակում ներկայացված է ֆերմենտատիվ ճեղքման ռեակտիվների ոչ ամբողջական ցանկը </w:t>
      </w:r>
      <w:r>
        <w:rPr>
          <w:rStyle w:val="Bodytext210pt"/>
          <w:sz w:val="24"/>
          <w:szCs w:val="24"/>
        </w:rPr>
        <w:t>եւ</w:t>
      </w:r>
      <w:r w:rsidRPr="00B834A2">
        <w:rPr>
          <w:rStyle w:val="Bodytext210pt"/>
          <w:sz w:val="24"/>
          <w:szCs w:val="24"/>
        </w:rPr>
        <w:t xml:space="preserve"> դրանց սուբստրատային սպեցիֆիկությունը:</w:t>
      </w:r>
    </w:p>
    <w:p w14:paraId="335F629B" w14:textId="77777777" w:rsidR="00B834A2" w:rsidRPr="00B834A2" w:rsidRDefault="00B834A2" w:rsidP="00492945">
      <w:pPr>
        <w:pStyle w:val="Bodytext20"/>
        <w:shd w:val="clear" w:color="auto" w:fill="auto"/>
        <w:spacing w:before="0" w:after="160" w:line="348" w:lineRule="auto"/>
        <w:ind w:firstLine="567"/>
        <w:jc w:val="both"/>
        <w:rPr>
          <w:rFonts w:ascii="Sylfaen" w:hAnsi="Sylfaen"/>
          <w:sz w:val="24"/>
          <w:szCs w:val="24"/>
        </w:rPr>
      </w:pPr>
      <w:r w:rsidRPr="00B834A2">
        <w:rPr>
          <w:rStyle w:val="Bodytext210pt"/>
          <w:sz w:val="24"/>
          <w:szCs w:val="24"/>
        </w:rPr>
        <w:t>Սովորաբար ճեղքման արդյունավետությունը պայմանավորված է գլիկոպրոտեինում գլիկանների հասանելիությամբ: Հետ</w:t>
      </w:r>
      <w:r>
        <w:rPr>
          <w:rStyle w:val="Bodytext210pt"/>
          <w:sz w:val="24"/>
          <w:szCs w:val="24"/>
        </w:rPr>
        <w:t>եւ</w:t>
      </w:r>
      <w:r w:rsidRPr="00B834A2">
        <w:rPr>
          <w:rStyle w:val="Bodytext210pt"/>
          <w:sz w:val="24"/>
          <w:szCs w:val="24"/>
        </w:rPr>
        <w:t>աբար գլիկոզիլացման տեղերի հասանելիությունը բարձրացնելու համար սպիտակուցը կարող է բնափոխվել, բացառությամբ այն դեպքերի, երբ անհրաժեշտ է մոլեկուլի կառուցվածքում պրոֆիլավորել գլիկանները՝ ըստ դրանց դիրքի (մակեր</w:t>
      </w:r>
      <w:r>
        <w:rPr>
          <w:rStyle w:val="Bodytext210pt"/>
          <w:sz w:val="24"/>
          <w:szCs w:val="24"/>
        </w:rPr>
        <w:t>եւ</w:t>
      </w:r>
      <w:r w:rsidRPr="00B834A2">
        <w:rPr>
          <w:rStyle w:val="Bodytext210pt"/>
          <w:sz w:val="24"/>
          <w:szCs w:val="24"/>
        </w:rPr>
        <w:t>ույթին կամ ընկղմվեն պրոտեինի մոլեկուլի կառուցվածք):</w:t>
      </w:r>
    </w:p>
    <w:p w14:paraId="6D569D5C"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Գլիկանների ճեղքման համար կարող են օգտագործվել քիմիական ռեակտիվներ, օրինակ՝ ըստ (β-էլիմինացման տեսակի ճեղքման համար օգտագործում են հիդրազին կամ հիմնային մետաղների բորոհիդրիդներ: </w:t>
      </w:r>
    </w:p>
    <w:p w14:paraId="2EDFD672" w14:textId="77777777" w:rsidR="00B834A2" w:rsidRPr="00B834A2" w:rsidRDefault="00B834A2" w:rsidP="00792625">
      <w:pPr>
        <w:pStyle w:val="Bodytext20"/>
        <w:shd w:val="clear" w:color="auto" w:fill="auto"/>
        <w:tabs>
          <w:tab w:val="left" w:pos="1276"/>
        </w:tabs>
        <w:spacing w:before="0" w:after="160" w:line="360" w:lineRule="auto"/>
        <w:ind w:firstLine="567"/>
        <w:jc w:val="both"/>
        <w:rPr>
          <w:rFonts w:ascii="Sylfaen" w:hAnsi="Sylfaen"/>
          <w:sz w:val="24"/>
          <w:szCs w:val="24"/>
        </w:rPr>
      </w:pPr>
      <w:r w:rsidRPr="00B834A2">
        <w:rPr>
          <w:rStyle w:val="Bodytext210pt8"/>
          <w:sz w:val="24"/>
          <w:szCs w:val="24"/>
        </w:rPr>
        <w:t>2.3.2.</w:t>
      </w:r>
      <w:r w:rsidR="00792625" w:rsidRPr="00097504">
        <w:rPr>
          <w:rStyle w:val="Bodytext210pt8"/>
          <w:sz w:val="24"/>
          <w:szCs w:val="24"/>
        </w:rPr>
        <w:tab/>
      </w:r>
      <w:r w:rsidRPr="00B834A2">
        <w:rPr>
          <w:rStyle w:val="Bodytext210pt8"/>
          <w:sz w:val="24"/>
          <w:szCs w:val="24"/>
        </w:rPr>
        <w:t>Գլիկանների անալիզ</w:t>
      </w:r>
    </w:p>
    <w:p w14:paraId="5C32AF5A"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Ճեղքված գլիկանների անալիզ կամ դրանց պրոֆիլավորումը կարող են իրականացվել քրոմատագրման, էլեկտրոֆորեզի, զանգվածային սպեկտրաչափման մեթոդների կամ այդ մեթոդների համակցության միջոցով: Մեթոդի ընտրությունը կատարվում է՝ պայմանավորված գլիկանների բնույթով </w:t>
      </w:r>
      <w:r>
        <w:rPr>
          <w:rStyle w:val="Bodytext210pt"/>
          <w:sz w:val="24"/>
          <w:szCs w:val="24"/>
        </w:rPr>
        <w:t>եւ</w:t>
      </w:r>
      <w:r w:rsidRPr="00B834A2">
        <w:rPr>
          <w:rStyle w:val="Bodytext210pt"/>
          <w:sz w:val="24"/>
          <w:szCs w:val="24"/>
        </w:rPr>
        <w:t xml:space="preserve"> անհրաժեշտ տեղեկատվության ծավալով:</w:t>
      </w:r>
    </w:p>
    <w:p w14:paraId="1F7DE4AB" w14:textId="77777777" w:rsidR="00B834A2" w:rsidRPr="00B834A2" w:rsidRDefault="00B834A2" w:rsidP="00492945">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lastRenderedPageBreak/>
        <w:t>Գլիկանների անալիզը տրամադրում է տեղեկատվություն սպիտակուցում առկա գլիկանների տարբեր տեսակների մասին (կոմպլեքսային, հիբրիդային մաննոզի բարձր պարունակությամբ): Ճյուղավորված կառուցվածքների հարաբերական քանակությունների մասին տեղեկատվությունը կարող է ստացվել ապասիալացված գլիկանների անալիզի օգնությամբ:</w:t>
      </w:r>
    </w:p>
    <w:p w14:paraId="3BBA26D9" w14:textId="77777777" w:rsidR="00B834A2" w:rsidRPr="00B834A2" w:rsidRDefault="00B834A2" w:rsidP="00492945">
      <w:pPr>
        <w:pStyle w:val="Bodytext20"/>
        <w:shd w:val="clear" w:color="auto" w:fill="auto"/>
        <w:spacing w:before="0" w:after="160" w:line="374" w:lineRule="auto"/>
        <w:ind w:firstLine="567"/>
        <w:jc w:val="both"/>
        <w:rPr>
          <w:rFonts w:ascii="Sylfaen" w:hAnsi="Sylfaen"/>
          <w:sz w:val="24"/>
          <w:szCs w:val="24"/>
        </w:rPr>
      </w:pPr>
      <w:r w:rsidRPr="00B834A2">
        <w:rPr>
          <w:rFonts w:ascii="Sylfaen" w:hAnsi="Sylfaen"/>
          <w:sz w:val="24"/>
          <w:szCs w:val="24"/>
        </w:rPr>
        <w:t xml:space="preserve">Եթե բաժանումն անհրաժեշտ է որպես պարտադիր փուլ, ապա. որպես միջանկյալ մեթոդներ. օգտագործում են հեղուկ քրոմատագրման (2.1.2.28) </w:t>
      </w:r>
      <w:r>
        <w:rPr>
          <w:rFonts w:ascii="Sylfaen" w:hAnsi="Sylfaen"/>
          <w:sz w:val="24"/>
          <w:szCs w:val="24"/>
        </w:rPr>
        <w:t>եւ</w:t>
      </w:r>
      <w:r w:rsidRPr="00B834A2">
        <w:rPr>
          <w:rFonts w:ascii="Sylfaen" w:hAnsi="Sylfaen"/>
          <w:sz w:val="24"/>
          <w:szCs w:val="24"/>
        </w:rPr>
        <w:t xml:space="preserve"> մազախողովակային էլեկտրոֆորեզի մեթոդները (2.1.2.37):</w:t>
      </w:r>
      <w:r w:rsidRPr="00B834A2">
        <w:rPr>
          <w:rStyle w:val="Bodytext210pt"/>
          <w:sz w:val="24"/>
          <w:szCs w:val="24"/>
        </w:rPr>
        <w:t xml:space="preserve"> </w:t>
      </w:r>
      <w:r w:rsidRPr="00B834A2">
        <w:rPr>
          <w:rFonts w:ascii="Sylfaen" w:hAnsi="Sylfaen"/>
          <w:sz w:val="24"/>
          <w:szCs w:val="24"/>
        </w:rPr>
        <w:t>Հեղուկ քրոմատագրումը (2.1.2.28) կարող է կիրառվել որպես պատրաստուկային՝ առանձին չափամասերի հավաքմամբ (սովորաբար պահանջվում է նշանադրում) կամ կարող է համատեղվել անմիջականորեն զանգվածային սպեկտրաչափման հետ (2.1.2.51):</w:t>
      </w:r>
    </w:p>
    <w:p w14:paraId="6F712B8B" w14:textId="77777777" w:rsidR="00B834A2" w:rsidRPr="00B834A2" w:rsidRDefault="00B834A2" w:rsidP="00492945">
      <w:pPr>
        <w:pStyle w:val="Bodytext20"/>
        <w:shd w:val="clear" w:color="auto" w:fill="auto"/>
        <w:tabs>
          <w:tab w:val="left" w:pos="1560"/>
        </w:tabs>
        <w:spacing w:before="0" w:after="160" w:line="374" w:lineRule="auto"/>
        <w:ind w:firstLine="567"/>
        <w:jc w:val="both"/>
        <w:rPr>
          <w:rFonts w:ascii="Sylfaen" w:hAnsi="Sylfaen"/>
          <w:sz w:val="24"/>
          <w:szCs w:val="24"/>
        </w:rPr>
      </w:pPr>
      <w:r w:rsidRPr="00B834A2">
        <w:rPr>
          <w:rStyle w:val="Bodytext210pt8"/>
          <w:sz w:val="24"/>
          <w:szCs w:val="24"/>
        </w:rPr>
        <w:t>2.3.2.1.</w:t>
      </w:r>
      <w:r w:rsidR="00792625" w:rsidRPr="00097504">
        <w:rPr>
          <w:rStyle w:val="Bodytext210pt8"/>
          <w:sz w:val="24"/>
          <w:szCs w:val="24"/>
        </w:rPr>
        <w:tab/>
      </w:r>
      <w:r w:rsidRPr="00B834A2">
        <w:rPr>
          <w:rStyle w:val="Bodytext210pt8"/>
          <w:sz w:val="24"/>
          <w:szCs w:val="24"/>
        </w:rPr>
        <w:t>Չնշանադրված գլիկանների անալիզ</w:t>
      </w:r>
    </w:p>
    <w:p w14:paraId="63A07618" w14:textId="77777777" w:rsidR="00B834A2" w:rsidRPr="00B834A2" w:rsidRDefault="00B834A2" w:rsidP="00492945">
      <w:pPr>
        <w:pStyle w:val="Bodytext20"/>
        <w:shd w:val="clear" w:color="auto" w:fill="auto"/>
        <w:spacing w:before="0" w:after="160" w:line="374" w:lineRule="auto"/>
        <w:ind w:firstLine="567"/>
        <w:jc w:val="both"/>
        <w:rPr>
          <w:rFonts w:ascii="Sylfaen" w:hAnsi="Sylfaen"/>
          <w:sz w:val="24"/>
          <w:szCs w:val="24"/>
        </w:rPr>
      </w:pPr>
      <w:r w:rsidRPr="00B834A2">
        <w:rPr>
          <w:rFonts w:ascii="Sylfaen" w:hAnsi="Sylfaen"/>
          <w:sz w:val="24"/>
          <w:szCs w:val="24"/>
        </w:rPr>
        <w:t>Նատիվ չնշանադրված գլիկանների անալիզը կարող է իրականացվել իմպուլսային ամպերաչափական դետեկտմամբ pH բարձր արժեքների դեպքում անիոնափոխանակման քրոմատագրման, ծակոտկեն գրաֆիտացված ածխածնի օգտագործմամբ քրոմատագրման կամ զանգվածային սպեկտրաչափման մեթոդներով (2.1.2.51):</w:t>
      </w:r>
    </w:p>
    <w:p w14:paraId="1DDF67A3" w14:textId="77777777" w:rsidR="00B834A2" w:rsidRPr="00B834A2" w:rsidRDefault="00B834A2" w:rsidP="00492945">
      <w:pPr>
        <w:pStyle w:val="Bodytext20"/>
        <w:shd w:val="clear" w:color="auto" w:fill="auto"/>
        <w:spacing w:before="0" w:after="160" w:line="374" w:lineRule="auto"/>
        <w:ind w:firstLine="567"/>
        <w:jc w:val="both"/>
        <w:rPr>
          <w:rFonts w:ascii="Sylfaen" w:hAnsi="Sylfaen"/>
          <w:sz w:val="24"/>
          <w:szCs w:val="24"/>
        </w:rPr>
      </w:pPr>
      <w:r w:rsidRPr="00B834A2">
        <w:rPr>
          <w:rStyle w:val="Bodytext210pt"/>
          <w:sz w:val="24"/>
          <w:szCs w:val="24"/>
        </w:rPr>
        <w:t>Իմպուլսային ամպերաչափական դետեկտմամբ pH բարձր արժեքների դեպքում անիոնափոխանակման քրոմատագրման մեթոդն ունի բարձր զգայունություն, ինչպես նա</w:t>
      </w:r>
      <w:r>
        <w:rPr>
          <w:rStyle w:val="Bodytext210pt"/>
          <w:sz w:val="24"/>
          <w:szCs w:val="24"/>
        </w:rPr>
        <w:t>եւ</w:t>
      </w:r>
      <w:r w:rsidRPr="00B834A2">
        <w:rPr>
          <w:rStyle w:val="Bodytext210pt"/>
          <w:sz w:val="24"/>
          <w:szCs w:val="24"/>
        </w:rPr>
        <w:t xml:space="preserve"> թույլ է տալիս բաժանել կապման տեղով տարբերվող իզոմերները: Տարբեր կառուցվածքի օլիգոսախարիդների մոտ տարբեր ազդաշանների արձագանքի գործոնները նույնը չեն: Շիկանի բացարձակ քանակական որոշումը դժվար է, բացառությամբ այն դեպքերի, երբ տեղեկատվություն է հասանելի օլիգոսախարիդների ստանդարտ նմուշների գրադարանի մասին: Քանակական որոշումը հնարավոր է փորձարկվող նյութի լավ հետազոտված ստանդարտ նմուշի հետ համեմատությամբ կամ յուրաքանչյուր </w:t>
      </w:r>
      <w:r w:rsidRPr="00B834A2">
        <w:rPr>
          <w:rStyle w:val="Bodytext210pt"/>
          <w:sz w:val="24"/>
          <w:szCs w:val="24"/>
        </w:rPr>
        <w:lastRenderedPageBreak/>
        <w:t>գլիկանի գագաթի մակերեսի՝ պրոֆիլի վրա բոլոր գլիկանների գագաթների ընդհանուր մակերեսի նկատմամբ հարաբերակցման միջոցով:</w:t>
      </w:r>
    </w:p>
    <w:p w14:paraId="1E97A7CB"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Ծակոտկեն գրաֆիտացված ածխածնի օգտագործմամբ քրոմատագրումը կարող է կիրառվել բնական վիճակում գլիկանների բաժանման համար, քանի որ այդ ժամանակ օգտագործվող </w:t>
      </w:r>
      <w:r w:rsidRPr="00B834A2">
        <w:rPr>
          <w:rStyle w:val="Bodytext210pt8"/>
          <w:sz w:val="24"/>
          <w:szCs w:val="24"/>
        </w:rPr>
        <w:t>աշտարակ</w:t>
      </w:r>
      <w:r w:rsidRPr="00B834A2">
        <w:rPr>
          <w:rStyle w:val="Bodytext210pt"/>
          <w:sz w:val="24"/>
          <w:szCs w:val="24"/>
        </w:rPr>
        <w:t>ներն իրենց բարձր սելեկտիվությամբ համադրելի են սովորաբար օգտագործվող հակադարձ-ֆազային (ոչ բ</w:t>
      </w:r>
      <w:r>
        <w:rPr>
          <w:rStyle w:val="Bodytext210pt"/>
          <w:sz w:val="24"/>
          <w:szCs w:val="24"/>
        </w:rPr>
        <w:t>եւ</w:t>
      </w:r>
      <w:r w:rsidRPr="00B834A2">
        <w:rPr>
          <w:rStyle w:val="Bodytext210pt"/>
          <w:sz w:val="24"/>
          <w:szCs w:val="24"/>
        </w:rPr>
        <w:t xml:space="preserve">եռային) </w:t>
      </w:r>
      <w:r w:rsidRPr="00B834A2">
        <w:rPr>
          <w:rStyle w:val="Bodytext210pt8"/>
          <w:sz w:val="24"/>
          <w:szCs w:val="24"/>
        </w:rPr>
        <w:t>աշտարակ</w:t>
      </w:r>
      <w:r w:rsidRPr="00B834A2">
        <w:rPr>
          <w:rStyle w:val="Bodytext210pt"/>
          <w:sz w:val="24"/>
          <w:szCs w:val="24"/>
        </w:rPr>
        <w:t xml:space="preserve">ների հետ: Ծակոտկեն գրաֆիտացված ածխածնի </w:t>
      </w:r>
      <w:r>
        <w:rPr>
          <w:rStyle w:val="Bodytext210pt"/>
          <w:sz w:val="24"/>
          <w:szCs w:val="24"/>
        </w:rPr>
        <w:t>եւ</w:t>
      </w:r>
      <w:r w:rsidRPr="00B834A2">
        <w:rPr>
          <w:rStyle w:val="Bodytext210pt"/>
          <w:sz w:val="24"/>
          <w:szCs w:val="24"/>
        </w:rPr>
        <w:t xml:space="preserve"> էլեկտրափոշիացմամբ իոնացմամբ զանգվածային սպեկտրաչափման օգտագործմամբ քրոմատագրման մեթոդների զուգակցված կիրառումը կարող է օգտագործվել գլիկանի ուղղակի անալիզի համար:</w:t>
      </w:r>
    </w:p>
    <w:p w14:paraId="3B0CC67A" w14:textId="77777777" w:rsidR="00B834A2" w:rsidRPr="00B834A2" w:rsidRDefault="00B834A2" w:rsidP="009543E2">
      <w:pPr>
        <w:tabs>
          <w:tab w:val="left" w:pos="1560"/>
        </w:tabs>
        <w:spacing w:after="160" w:line="360" w:lineRule="auto"/>
        <w:ind w:firstLine="567"/>
        <w:jc w:val="both"/>
      </w:pPr>
      <w:r w:rsidRPr="00B834A2">
        <w:rPr>
          <w:rStyle w:val="Bodytext210pt8"/>
          <w:sz w:val="24"/>
          <w:szCs w:val="24"/>
        </w:rPr>
        <w:t>2.3.2.2.</w:t>
      </w:r>
      <w:r w:rsidR="00792625" w:rsidRPr="00097504">
        <w:rPr>
          <w:rStyle w:val="Bodytext210pt8"/>
          <w:sz w:val="24"/>
          <w:szCs w:val="24"/>
        </w:rPr>
        <w:tab/>
      </w:r>
      <w:r w:rsidRPr="009543E2">
        <w:rPr>
          <w:rStyle w:val="Bodytext210pt"/>
          <w:i/>
          <w:iCs/>
          <w:sz w:val="24"/>
          <w:szCs w:val="24"/>
        </w:rPr>
        <w:t>Նշված</w:t>
      </w:r>
      <w:r w:rsidRPr="00B834A2">
        <w:rPr>
          <w:rStyle w:val="Bodytext210pt8"/>
          <w:sz w:val="24"/>
          <w:szCs w:val="24"/>
        </w:rPr>
        <w:t xml:space="preserve"> գլիկանների անալիզ</w:t>
      </w:r>
    </w:p>
    <w:p w14:paraId="742704D8"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Գլիկանների նշում</w:t>
      </w:r>
    </w:p>
    <w:p w14:paraId="17F1BA19"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Կատարվող քիմիական փոփոխության (դերիվատացման) տեսակը պայմանավորված է գլիկանների դետեկտման համար օգտագորվող մեթոդով՝ ՈւՄ կամ ֆլուորեսցենտային:</w:t>
      </w:r>
    </w:p>
    <w:p w14:paraId="2F7D0CA7" w14:textId="77777777" w:rsidR="00B834A2" w:rsidRPr="00097504" w:rsidRDefault="00B834A2" w:rsidP="00792625">
      <w:pPr>
        <w:pStyle w:val="Bodytext20"/>
        <w:shd w:val="clear" w:color="auto" w:fill="auto"/>
        <w:spacing w:before="0" w:after="160" w:line="360" w:lineRule="auto"/>
        <w:ind w:firstLine="567"/>
        <w:jc w:val="both"/>
        <w:rPr>
          <w:rStyle w:val="Bodytext210pt"/>
          <w:sz w:val="24"/>
          <w:szCs w:val="24"/>
        </w:rPr>
      </w:pPr>
      <w:r w:rsidRPr="00B834A2">
        <w:rPr>
          <w:rStyle w:val="Bodytext210pt"/>
          <w:sz w:val="24"/>
          <w:szCs w:val="24"/>
        </w:rPr>
        <w:t>Ֆլուորեսցենտային նիշերով դերիվատացումը՝ վերականգնող ամինավորման միջոցով մոլեկուլի վերականգնող ծայրով գլիկանների նշման համար առավել օգտագործվող մեթոդ է:</w:t>
      </w:r>
      <w:r>
        <w:rPr>
          <w:rStyle w:val="Bodytext210pt"/>
          <w:sz w:val="24"/>
          <w:szCs w:val="24"/>
        </w:rPr>
        <w:t xml:space="preserve"> </w:t>
      </w:r>
      <w:r w:rsidRPr="00B834A2">
        <w:rPr>
          <w:rStyle w:val="Bodytext210pt"/>
          <w:sz w:val="24"/>
          <w:szCs w:val="24"/>
        </w:rPr>
        <w:t xml:space="preserve">Մեկ նիշը պետք է միացվի յուրաքանչյուր միակի մոնո- </w:t>
      </w:r>
      <w:r>
        <w:rPr>
          <w:rStyle w:val="Bodytext210pt"/>
          <w:sz w:val="24"/>
          <w:szCs w:val="24"/>
        </w:rPr>
        <w:t>եւ</w:t>
      </w:r>
      <w:r w:rsidRPr="00B834A2">
        <w:rPr>
          <w:rStyle w:val="Bodytext210pt"/>
          <w:sz w:val="24"/>
          <w:szCs w:val="24"/>
        </w:rPr>
        <w:t xml:space="preserve"> օլիգոսախարիդին՝ թույլ տալով որոշել մոլեկուլային քանակը: 2.1.2.56.-2 աղյուսակում բերված է սովորաբար օգտագործվող ֆլուորեսցենտային մարկերների </w:t>
      </w:r>
      <w:r>
        <w:rPr>
          <w:rStyle w:val="Bodytext210pt"/>
          <w:sz w:val="24"/>
          <w:szCs w:val="24"/>
        </w:rPr>
        <w:t>եւ</w:t>
      </w:r>
      <w:r w:rsidRPr="00B834A2">
        <w:rPr>
          <w:rStyle w:val="Bodytext210pt"/>
          <w:sz w:val="24"/>
          <w:szCs w:val="24"/>
        </w:rPr>
        <w:t xml:space="preserve"> համապատասխան անալիտիկ մեթոդների ոչ ամբողջական ցանկը:</w:t>
      </w:r>
    </w:p>
    <w:p w14:paraId="6B5B25A7"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Միայն զանգվածային սպեկտրաչափման օգտագործմամբ դետեկտման համար (2.1.2.51) նույնպես կարող է օգտագործվել գլիկանների սահմանային մետիլացում:</w:t>
      </w:r>
      <w:r>
        <w:rPr>
          <w:rFonts w:ascii="Sylfaen" w:hAnsi="Sylfaen"/>
          <w:sz w:val="24"/>
          <w:szCs w:val="24"/>
        </w:rPr>
        <w:t xml:space="preserve"> </w:t>
      </w:r>
      <w:r w:rsidRPr="00B834A2">
        <w:rPr>
          <w:rStyle w:val="Bodytext210pt"/>
          <w:sz w:val="24"/>
          <w:szCs w:val="24"/>
        </w:rPr>
        <w:t>Այն հիմնված է օլիգոսախարիդների մետիլացման վրա:</w:t>
      </w:r>
    </w:p>
    <w:p w14:paraId="22C06058" w14:textId="77777777" w:rsidR="006F79C2" w:rsidRDefault="006F79C2">
      <w:pPr>
        <w:rPr>
          <w:rStyle w:val="Bodytext210pt"/>
          <w:sz w:val="24"/>
          <w:szCs w:val="24"/>
        </w:rPr>
      </w:pPr>
      <w:r>
        <w:rPr>
          <w:rStyle w:val="Bodytext210pt"/>
          <w:sz w:val="24"/>
          <w:szCs w:val="24"/>
        </w:rPr>
        <w:br w:type="page"/>
      </w:r>
    </w:p>
    <w:p w14:paraId="493CE05E" w14:textId="77777777" w:rsidR="00B834A2" w:rsidRPr="00076FC4" w:rsidRDefault="00B834A2" w:rsidP="00792625">
      <w:pPr>
        <w:spacing w:after="160" w:line="360" w:lineRule="auto"/>
        <w:ind w:firstLine="567"/>
        <w:jc w:val="both"/>
        <w:rPr>
          <w:i/>
        </w:rPr>
      </w:pPr>
      <w:r w:rsidRPr="00B834A2">
        <w:rPr>
          <w:rStyle w:val="Bodytext210pt"/>
          <w:sz w:val="24"/>
          <w:szCs w:val="24"/>
        </w:rPr>
        <w:lastRenderedPageBreak/>
        <w:t>Աղյուսակ</w:t>
      </w:r>
      <w:r>
        <w:rPr>
          <w:rStyle w:val="Bodytext210pt"/>
          <w:sz w:val="24"/>
          <w:szCs w:val="24"/>
        </w:rPr>
        <w:t xml:space="preserve"> </w:t>
      </w:r>
      <w:r w:rsidRPr="00B834A2">
        <w:rPr>
          <w:rStyle w:val="Bodytext210pt"/>
          <w:sz w:val="24"/>
          <w:szCs w:val="24"/>
        </w:rPr>
        <w:t xml:space="preserve">2.1.2.56.-2. </w:t>
      </w:r>
      <w:r w:rsidRPr="00076FC4">
        <w:rPr>
          <w:i/>
        </w:rPr>
        <w:t xml:space="preserve">Ֆլուորեսցենտային նիշերի եւ համապատասխան անալիտիկ մեթոդների օրինակները </w:t>
      </w:r>
    </w:p>
    <w:tbl>
      <w:tblPr>
        <w:tblOverlap w:val="never"/>
        <w:tblW w:w="9480" w:type="dxa"/>
        <w:jc w:val="center"/>
        <w:tblLayout w:type="fixed"/>
        <w:tblCellMar>
          <w:left w:w="10" w:type="dxa"/>
          <w:right w:w="10" w:type="dxa"/>
        </w:tblCellMar>
        <w:tblLook w:val="04A0" w:firstRow="1" w:lastRow="0" w:firstColumn="1" w:lastColumn="0" w:noHBand="0" w:noVBand="1"/>
      </w:tblPr>
      <w:tblGrid>
        <w:gridCol w:w="3324"/>
        <w:gridCol w:w="1505"/>
        <w:gridCol w:w="4651"/>
      </w:tblGrid>
      <w:tr w:rsidR="00B834A2" w:rsidRPr="00792625" w14:paraId="33577934" w14:textId="77777777" w:rsidTr="00792625">
        <w:trPr>
          <w:jc w:val="center"/>
        </w:trPr>
        <w:tc>
          <w:tcPr>
            <w:tcW w:w="3324" w:type="dxa"/>
            <w:tcBorders>
              <w:top w:val="single" w:sz="4" w:space="0" w:color="auto"/>
            </w:tcBorders>
            <w:shd w:val="clear" w:color="auto" w:fill="FFFFFF"/>
            <w:vAlign w:val="bottom"/>
          </w:tcPr>
          <w:p w14:paraId="3F784C2B"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
                <w:szCs w:val="24"/>
              </w:rPr>
              <w:t>Անվանում</w:t>
            </w:r>
          </w:p>
        </w:tc>
        <w:tc>
          <w:tcPr>
            <w:tcW w:w="1505" w:type="dxa"/>
            <w:tcBorders>
              <w:top w:val="single" w:sz="4" w:space="0" w:color="auto"/>
            </w:tcBorders>
            <w:shd w:val="clear" w:color="auto" w:fill="FFFFFF"/>
            <w:vAlign w:val="bottom"/>
          </w:tcPr>
          <w:p w14:paraId="050ED52E"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
                <w:szCs w:val="24"/>
              </w:rPr>
              <w:t>Հապավում</w:t>
            </w:r>
          </w:p>
        </w:tc>
        <w:tc>
          <w:tcPr>
            <w:tcW w:w="4651" w:type="dxa"/>
            <w:tcBorders>
              <w:top w:val="single" w:sz="4" w:space="0" w:color="auto"/>
            </w:tcBorders>
            <w:shd w:val="clear" w:color="auto" w:fill="FFFFFF"/>
            <w:vAlign w:val="bottom"/>
          </w:tcPr>
          <w:p w14:paraId="25150B19"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
                <w:szCs w:val="24"/>
              </w:rPr>
              <w:t>Անալիտիկ մեթոդներ</w:t>
            </w:r>
          </w:p>
        </w:tc>
      </w:tr>
      <w:tr w:rsidR="00B834A2" w:rsidRPr="00792625" w14:paraId="73A5C2D8" w14:textId="77777777" w:rsidTr="00792625">
        <w:trPr>
          <w:jc w:val="center"/>
        </w:trPr>
        <w:tc>
          <w:tcPr>
            <w:tcW w:w="3324" w:type="dxa"/>
            <w:tcBorders>
              <w:top w:val="single" w:sz="4" w:space="0" w:color="auto"/>
            </w:tcBorders>
            <w:shd w:val="clear" w:color="auto" w:fill="FFFFFF"/>
          </w:tcPr>
          <w:p w14:paraId="3DD17F6E"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2-Ամինաբենզոյական թթու</w:t>
            </w:r>
          </w:p>
        </w:tc>
        <w:tc>
          <w:tcPr>
            <w:tcW w:w="1505" w:type="dxa"/>
            <w:tcBorders>
              <w:top w:val="single" w:sz="4" w:space="0" w:color="auto"/>
            </w:tcBorders>
            <w:shd w:val="clear" w:color="auto" w:fill="FFFFFF"/>
          </w:tcPr>
          <w:p w14:paraId="29127A00"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8"/>
                <w:szCs w:val="24"/>
              </w:rPr>
              <w:t>2-АА</w:t>
            </w:r>
          </w:p>
        </w:tc>
        <w:tc>
          <w:tcPr>
            <w:tcW w:w="4651" w:type="dxa"/>
            <w:tcBorders>
              <w:top w:val="single" w:sz="4" w:space="0" w:color="auto"/>
            </w:tcBorders>
            <w:shd w:val="clear" w:color="auto" w:fill="FFFFFF"/>
            <w:vAlign w:val="bottom"/>
          </w:tcPr>
          <w:p w14:paraId="44DF2013" w14:textId="77777777" w:rsidR="00B834A2" w:rsidRPr="00792625" w:rsidRDefault="00B834A2" w:rsidP="00792625">
            <w:pPr>
              <w:pStyle w:val="Bodytext20"/>
              <w:shd w:val="clear" w:color="auto" w:fill="auto"/>
              <w:spacing w:before="0" w:line="240" w:lineRule="auto"/>
              <w:rPr>
                <w:rStyle w:val="Bodytext210pt8"/>
                <w:szCs w:val="24"/>
              </w:rPr>
            </w:pPr>
            <w:r w:rsidRPr="00792625">
              <w:rPr>
                <w:rFonts w:ascii="Sylfaen" w:hAnsi="Sylfaen"/>
                <w:sz w:val="20"/>
                <w:szCs w:val="24"/>
              </w:rPr>
              <w:t xml:space="preserve">Հեղուկ քրոմատագրում </w:t>
            </w:r>
            <w:r w:rsidRPr="00C73EF1">
              <w:rPr>
                <w:rFonts w:ascii="Sylfaen" w:hAnsi="Sylfaen"/>
                <w:i/>
                <w:sz w:val="20"/>
                <w:szCs w:val="24"/>
              </w:rPr>
              <w:t>(2.1.2.28),</w:t>
            </w:r>
          </w:p>
          <w:p w14:paraId="3EDE5D15"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Fonts w:ascii="Sylfaen" w:hAnsi="Sylfaen"/>
                <w:sz w:val="20"/>
                <w:szCs w:val="24"/>
              </w:rPr>
              <w:t xml:space="preserve">զանգվածային սպեկտրաչափում </w:t>
            </w:r>
            <w:r w:rsidRPr="00C73EF1">
              <w:rPr>
                <w:rFonts w:ascii="Sylfaen" w:hAnsi="Sylfaen"/>
                <w:i/>
                <w:sz w:val="20"/>
                <w:szCs w:val="24"/>
              </w:rPr>
              <w:t>(2.1.2.51)</w:t>
            </w:r>
          </w:p>
        </w:tc>
      </w:tr>
      <w:tr w:rsidR="00B834A2" w:rsidRPr="00792625" w14:paraId="33F56252" w14:textId="77777777" w:rsidTr="00792625">
        <w:trPr>
          <w:jc w:val="center"/>
        </w:trPr>
        <w:tc>
          <w:tcPr>
            <w:tcW w:w="3324" w:type="dxa"/>
            <w:shd w:val="clear" w:color="auto" w:fill="FFFFFF"/>
            <w:vAlign w:val="center"/>
          </w:tcPr>
          <w:p w14:paraId="3930DEF7"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2-Ամինաբենզամիդ</w:t>
            </w:r>
          </w:p>
        </w:tc>
        <w:tc>
          <w:tcPr>
            <w:tcW w:w="1505" w:type="dxa"/>
            <w:shd w:val="clear" w:color="auto" w:fill="FFFFFF"/>
            <w:vAlign w:val="center"/>
          </w:tcPr>
          <w:p w14:paraId="22E6855F"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8"/>
                <w:szCs w:val="24"/>
              </w:rPr>
              <w:t>2-АВ</w:t>
            </w:r>
          </w:p>
        </w:tc>
        <w:tc>
          <w:tcPr>
            <w:tcW w:w="4651" w:type="dxa"/>
            <w:shd w:val="clear" w:color="auto" w:fill="FFFFFF"/>
            <w:vAlign w:val="bottom"/>
          </w:tcPr>
          <w:p w14:paraId="0097469C" w14:textId="77777777" w:rsidR="00B834A2" w:rsidRPr="00C73EF1" w:rsidRDefault="00B834A2" w:rsidP="00792625">
            <w:pPr>
              <w:pStyle w:val="Bodytext20"/>
              <w:shd w:val="clear" w:color="auto" w:fill="auto"/>
              <w:spacing w:before="0" w:line="240" w:lineRule="auto"/>
              <w:rPr>
                <w:rStyle w:val="Bodytext210pt8"/>
                <w:i w:val="0"/>
                <w:szCs w:val="24"/>
              </w:rPr>
            </w:pPr>
            <w:r w:rsidRPr="00792625">
              <w:rPr>
                <w:rFonts w:ascii="Sylfaen" w:hAnsi="Sylfaen"/>
                <w:sz w:val="20"/>
                <w:szCs w:val="24"/>
              </w:rPr>
              <w:t xml:space="preserve">Հեղուկ քրոմատագրում </w:t>
            </w:r>
            <w:r w:rsidRPr="00C73EF1">
              <w:rPr>
                <w:rFonts w:ascii="Sylfaen" w:hAnsi="Sylfaen"/>
                <w:i/>
                <w:sz w:val="20"/>
                <w:szCs w:val="24"/>
              </w:rPr>
              <w:t>(2.1.2.28),</w:t>
            </w:r>
          </w:p>
          <w:p w14:paraId="467C91E2"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Fonts w:ascii="Sylfaen" w:hAnsi="Sylfaen"/>
                <w:sz w:val="20"/>
                <w:szCs w:val="24"/>
              </w:rPr>
              <w:t xml:space="preserve">զանգվածային սպեկտրաչափում </w:t>
            </w:r>
            <w:r w:rsidRPr="00C73EF1">
              <w:rPr>
                <w:rFonts w:ascii="Sylfaen" w:hAnsi="Sylfaen"/>
                <w:i/>
                <w:sz w:val="20"/>
                <w:szCs w:val="24"/>
              </w:rPr>
              <w:t>(2.1.2.51)</w:t>
            </w:r>
          </w:p>
        </w:tc>
      </w:tr>
      <w:tr w:rsidR="00B834A2" w:rsidRPr="00792625" w14:paraId="0A9EF5DA" w14:textId="77777777" w:rsidTr="00792625">
        <w:trPr>
          <w:jc w:val="center"/>
        </w:trPr>
        <w:tc>
          <w:tcPr>
            <w:tcW w:w="3324" w:type="dxa"/>
            <w:shd w:val="clear" w:color="auto" w:fill="FFFFFF"/>
          </w:tcPr>
          <w:p w14:paraId="67C9B336"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2-Ամինապիրիդին</w:t>
            </w:r>
          </w:p>
        </w:tc>
        <w:tc>
          <w:tcPr>
            <w:tcW w:w="1505" w:type="dxa"/>
            <w:shd w:val="clear" w:color="auto" w:fill="FFFFFF"/>
          </w:tcPr>
          <w:p w14:paraId="3FED0D23"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8"/>
                <w:szCs w:val="24"/>
              </w:rPr>
              <w:t>2-АР</w:t>
            </w:r>
          </w:p>
        </w:tc>
        <w:tc>
          <w:tcPr>
            <w:tcW w:w="4651" w:type="dxa"/>
            <w:shd w:val="clear" w:color="auto" w:fill="FFFFFF"/>
            <w:vAlign w:val="bottom"/>
          </w:tcPr>
          <w:p w14:paraId="041DCE7C" w14:textId="77777777" w:rsidR="00B834A2" w:rsidRPr="00792625" w:rsidRDefault="00B834A2" w:rsidP="00792625">
            <w:pPr>
              <w:pStyle w:val="Bodytext20"/>
              <w:shd w:val="clear" w:color="auto" w:fill="auto"/>
              <w:spacing w:before="0" w:line="240" w:lineRule="auto"/>
              <w:rPr>
                <w:rStyle w:val="Bodytext210pt8"/>
                <w:szCs w:val="24"/>
              </w:rPr>
            </w:pPr>
            <w:r w:rsidRPr="00792625">
              <w:rPr>
                <w:rFonts w:ascii="Sylfaen" w:hAnsi="Sylfaen"/>
                <w:sz w:val="20"/>
                <w:szCs w:val="24"/>
              </w:rPr>
              <w:t xml:space="preserve">Հեղուկ քրոմատագրում </w:t>
            </w:r>
            <w:r w:rsidRPr="00C73EF1">
              <w:rPr>
                <w:rFonts w:ascii="Sylfaen" w:hAnsi="Sylfaen"/>
                <w:i/>
                <w:sz w:val="20"/>
                <w:szCs w:val="24"/>
              </w:rPr>
              <w:t>(2.1.2.28),</w:t>
            </w:r>
          </w:p>
          <w:p w14:paraId="06872B90"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Fonts w:ascii="Sylfaen" w:hAnsi="Sylfaen"/>
                <w:sz w:val="20"/>
                <w:szCs w:val="24"/>
              </w:rPr>
              <w:t xml:space="preserve">զանգվածային սպեկտրաչափում </w:t>
            </w:r>
            <w:r w:rsidRPr="00C73EF1">
              <w:rPr>
                <w:rFonts w:ascii="Sylfaen" w:hAnsi="Sylfaen"/>
                <w:i/>
                <w:sz w:val="20"/>
                <w:szCs w:val="24"/>
              </w:rPr>
              <w:t>(2.1.2.51)</w:t>
            </w:r>
          </w:p>
        </w:tc>
      </w:tr>
      <w:tr w:rsidR="00B834A2" w:rsidRPr="00792625" w14:paraId="1D7318C8" w14:textId="77777777" w:rsidTr="00792625">
        <w:trPr>
          <w:jc w:val="center"/>
        </w:trPr>
        <w:tc>
          <w:tcPr>
            <w:tcW w:w="3324" w:type="dxa"/>
            <w:shd w:val="clear" w:color="auto" w:fill="FFFFFF"/>
          </w:tcPr>
          <w:p w14:paraId="0F4A6B10"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2-Ամինա-9( 10H) -ակրիդինոն</w:t>
            </w:r>
          </w:p>
        </w:tc>
        <w:tc>
          <w:tcPr>
            <w:tcW w:w="1505" w:type="dxa"/>
            <w:shd w:val="clear" w:color="auto" w:fill="FFFFFF"/>
          </w:tcPr>
          <w:p w14:paraId="34FA0780"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8"/>
                <w:szCs w:val="24"/>
              </w:rPr>
              <w:t>АМАС</w:t>
            </w:r>
          </w:p>
        </w:tc>
        <w:tc>
          <w:tcPr>
            <w:tcW w:w="4651" w:type="dxa"/>
            <w:shd w:val="clear" w:color="auto" w:fill="FFFFFF"/>
          </w:tcPr>
          <w:p w14:paraId="76FE864C"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Fonts w:ascii="Sylfaen" w:hAnsi="Sylfaen"/>
                <w:sz w:val="20"/>
                <w:szCs w:val="24"/>
              </w:rPr>
              <w:t xml:space="preserve">Ժել-էլեկտրաֆորեզ </w:t>
            </w:r>
            <w:r w:rsidRPr="00C73EF1">
              <w:rPr>
                <w:rFonts w:ascii="Sylfaen" w:hAnsi="Sylfaen"/>
                <w:i/>
                <w:sz w:val="20"/>
                <w:szCs w:val="24"/>
              </w:rPr>
              <w:t>(2.1.2.30)</w:t>
            </w:r>
          </w:p>
        </w:tc>
      </w:tr>
      <w:tr w:rsidR="00B834A2" w:rsidRPr="00792625" w14:paraId="01DEC6D5" w14:textId="77777777" w:rsidTr="00792625">
        <w:trPr>
          <w:jc w:val="center"/>
        </w:trPr>
        <w:tc>
          <w:tcPr>
            <w:tcW w:w="3324" w:type="dxa"/>
            <w:tcBorders>
              <w:bottom w:val="single" w:sz="4" w:space="0" w:color="auto"/>
            </w:tcBorders>
            <w:shd w:val="clear" w:color="auto" w:fill="FFFFFF"/>
            <w:vAlign w:val="bottom"/>
          </w:tcPr>
          <w:p w14:paraId="638A7E35" w14:textId="77777777" w:rsidR="00B834A2" w:rsidRPr="00792625" w:rsidRDefault="00B834A2" w:rsidP="00792625">
            <w:pPr>
              <w:pStyle w:val="Bodytext20"/>
              <w:shd w:val="clear" w:color="auto" w:fill="auto"/>
              <w:spacing w:before="0" w:line="240" w:lineRule="auto"/>
              <w:jc w:val="left"/>
              <w:rPr>
                <w:rFonts w:ascii="Sylfaen" w:hAnsi="Sylfaen"/>
                <w:sz w:val="20"/>
                <w:szCs w:val="24"/>
              </w:rPr>
            </w:pPr>
            <w:r w:rsidRPr="00792625">
              <w:rPr>
                <w:rStyle w:val="Bodytext210pt"/>
                <w:szCs w:val="24"/>
              </w:rPr>
              <w:t>Տրինատրիումի 8-ամինապիրին</w:t>
            </w:r>
            <w:r w:rsidR="00C73EF1">
              <w:rPr>
                <w:rStyle w:val="Bodytext210pt"/>
                <w:szCs w:val="24"/>
              </w:rPr>
              <w:t>-</w:t>
            </w:r>
            <w:r w:rsidRPr="00792625">
              <w:rPr>
                <w:rStyle w:val="Bodytext210pt"/>
                <w:szCs w:val="24"/>
              </w:rPr>
              <w:t>1,3,6-տրիսուլֆոնատ</w:t>
            </w:r>
          </w:p>
        </w:tc>
        <w:tc>
          <w:tcPr>
            <w:tcW w:w="1505" w:type="dxa"/>
            <w:tcBorders>
              <w:bottom w:val="single" w:sz="4" w:space="0" w:color="auto"/>
            </w:tcBorders>
            <w:shd w:val="clear" w:color="auto" w:fill="FFFFFF"/>
          </w:tcPr>
          <w:p w14:paraId="53189104"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Style w:val="Bodytext210pt8"/>
                <w:szCs w:val="24"/>
              </w:rPr>
              <w:t>APTS</w:t>
            </w:r>
          </w:p>
        </w:tc>
        <w:tc>
          <w:tcPr>
            <w:tcW w:w="4651" w:type="dxa"/>
            <w:tcBorders>
              <w:bottom w:val="single" w:sz="4" w:space="0" w:color="auto"/>
            </w:tcBorders>
            <w:shd w:val="clear" w:color="auto" w:fill="FFFFFF"/>
          </w:tcPr>
          <w:p w14:paraId="70803784" w14:textId="77777777" w:rsidR="00B834A2" w:rsidRPr="00792625" w:rsidRDefault="00B834A2" w:rsidP="00792625">
            <w:pPr>
              <w:pStyle w:val="Bodytext20"/>
              <w:shd w:val="clear" w:color="auto" w:fill="auto"/>
              <w:spacing w:before="0" w:line="240" w:lineRule="auto"/>
              <w:rPr>
                <w:rFonts w:ascii="Sylfaen" w:hAnsi="Sylfaen"/>
                <w:sz w:val="20"/>
                <w:szCs w:val="24"/>
              </w:rPr>
            </w:pPr>
            <w:r w:rsidRPr="00792625">
              <w:rPr>
                <w:rFonts w:ascii="Sylfaen" w:hAnsi="Sylfaen"/>
                <w:sz w:val="20"/>
                <w:szCs w:val="24"/>
              </w:rPr>
              <w:t xml:space="preserve">Մազախողովակային էլեկտրաֆորեզ </w:t>
            </w:r>
            <w:r w:rsidRPr="00C73EF1">
              <w:rPr>
                <w:rFonts w:ascii="Sylfaen" w:hAnsi="Sylfaen"/>
                <w:i/>
                <w:sz w:val="20"/>
                <w:szCs w:val="24"/>
              </w:rPr>
              <w:t>(2.1.2.37)</w:t>
            </w:r>
          </w:p>
        </w:tc>
      </w:tr>
    </w:tbl>
    <w:p w14:paraId="5A7E80DD" w14:textId="77777777" w:rsidR="00B834A2" w:rsidRPr="00B834A2" w:rsidRDefault="00B834A2" w:rsidP="00B834A2">
      <w:pPr>
        <w:spacing w:after="160" w:line="360" w:lineRule="auto"/>
      </w:pPr>
    </w:p>
    <w:p w14:paraId="422293ED"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8"/>
          <w:sz w:val="24"/>
          <w:szCs w:val="24"/>
        </w:rPr>
        <w:t>Նշված գլիկանների անալիզ</w:t>
      </w:r>
    </w:p>
    <w:p w14:paraId="4391BC52"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Նշված գլիկանները կարող են վերլուծվել այնպիսի անալիտիկ մեթոդների օգնությամբ, ինչպես օրինակ՝ հեղուկ քրոմատագրում (2.1.2.28), մազախողովակային էլեկտրաֆորեզ (2.1.2.37) </w:t>
      </w:r>
      <w:r>
        <w:rPr>
          <w:rFonts w:ascii="Sylfaen" w:hAnsi="Sylfaen"/>
          <w:sz w:val="24"/>
          <w:szCs w:val="24"/>
        </w:rPr>
        <w:t>եւ</w:t>
      </w:r>
      <w:r w:rsidRPr="00B834A2">
        <w:rPr>
          <w:rFonts w:ascii="Sylfaen" w:hAnsi="Sylfaen"/>
          <w:sz w:val="24"/>
          <w:szCs w:val="24"/>
        </w:rPr>
        <w:t xml:space="preserve"> զանգվածային սպեկտրաչափում (2.1.2.51):</w:t>
      </w:r>
    </w:p>
    <w:p w14:paraId="48F26BBB"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Բաժանվող գլիկանների հատկություններին համապատասխան՝ դրանք կարող են պրոֆիլավորվել </w:t>
      </w:r>
      <w:r>
        <w:rPr>
          <w:rFonts w:ascii="Sylfaen" w:hAnsi="Sylfaen"/>
          <w:sz w:val="24"/>
          <w:szCs w:val="24"/>
        </w:rPr>
        <w:t>եւ</w:t>
      </w:r>
      <w:r w:rsidRPr="00B834A2">
        <w:rPr>
          <w:rFonts w:ascii="Sylfaen" w:hAnsi="Sylfaen"/>
          <w:sz w:val="24"/>
          <w:szCs w:val="24"/>
        </w:rPr>
        <w:t xml:space="preserve"> որոշվել քանակապես՝ հեղուկ քրոմատագրման մի քանի համակարգերի օգնությամբ համապատասխան մարկերի օգտագործմամբ (2.1.2.28)՝</w:t>
      </w:r>
      <w:r w:rsidRPr="00B834A2">
        <w:rPr>
          <w:rStyle w:val="Bodytext210pt"/>
          <w:sz w:val="24"/>
          <w:szCs w:val="24"/>
        </w:rPr>
        <w:t xml:space="preserve"> հակադարձ-ֆազային (բաժանում ըստ հիդրոֆոբության), կանոնավոր-ֆազային (բաժանում ըստ չափի) </w:t>
      </w:r>
      <w:r>
        <w:rPr>
          <w:rStyle w:val="Bodytext210pt"/>
          <w:sz w:val="24"/>
          <w:szCs w:val="24"/>
        </w:rPr>
        <w:t>եւ</w:t>
      </w:r>
      <w:r w:rsidRPr="00B834A2">
        <w:rPr>
          <w:rStyle w:val="Bodytext210pt"/>
          <w:sz w:val="24"/>
          <w:szCs w:val="24"/>
        </w:rPr>
        <w:t xml:space="preserve"> անիոնափոխանակում (բաժանում ըստ լիցքի) հեղուկ քրոմատագրում:</w:t>
      </w:r>
    </w:p>
    <w:p w14:paraId="171BCBE3" w14:textId="77777777" w:rsidR="00792625" w:rsidRPr="00097504" w:rsidRDefault="00792625" w:rsidP="00792625">
      <w:pPr>
        <w:pStyle w:val="Bodytext20"/>
        <w:shd w:val="clear" w:color="auto" w:fill="auto"/>
        <w:spacing w:before="0" w:after="160" w:line="360" w:lineRule="auto"/>
        <w:ind w:firstLine="567"/>
        <w:jc w:val="both"/>
        <w:rPr>
          <w:rStyle w:val="Bodytext210pt8"/>
          <w:sz w:val="24"/>
          <w:szCs w:val="24"/>
        </w:rPr>
      </w:pPr>
    </w:p>
    <w:p w14:paraId="20698CF9"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Style w:val="Bodytext210pt8"/>
          <w:sz w:val="24"/>
          <w:szCs w:val="24"/>
        </w:rPr>
        <w:t>2.4.</w:t>
      </w:r>
      <w:r w:rsidR="00792625" w:rsidRPr="00097504">
        <w:rPr>
          <w:rStyle w:val="Bodytext210pt8"/>
          <w:sz w:val="24"/>
          <w:szCs w:val="24"/>
        </w:rPr>
        <w:tab/>
      </w:r>
      <w:r w:rsidRPr="00B834A2">
        <w:rPr>
          <w:rStyle w:val="Bodytext210pt8"/>
          <w:sz w:val="24"/>
          <w:szCs w:val="24"/>
        </w:rPr>
        <w:t>ՄՈՆՈՍԱԽԱՐԻԴՆԵՐԻ ԱՆԱԼԻԶ</w:t>
      </w:r>
    </w:p>
    <w:p w14:paraId="0C51E734"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Մոնոսախարիդների անալիզը տեղեկատվություն է տալիս գլիկոպրոտեինի մոնոսախարիդային կառուցվածքի մասին: Անալիզը կարող է կատարվել ինչպես գունաչափական, այնպես էլ բաժանիչ մեթոդներով:</w:t>
      </w:r>
    </w:p>
    <w:p w14:paraId="3D1F78F4" w14:textId="77777777" w:rsidR="00B834A2" w:rsidRPr="00B834A2" w:rsidRDefault="00B834A2" w:rsidP="00792625">
      <w:pPr>
        <w:pStyle w:val="Bodytext20"/>
        <w:shd w:val="clear" w:color="auto" w:fill="auto"/>
        <w:tabs>
          <w:tab w:val="left" w:pos="1276"/>
        </w:tabs>
        <w:spacing w:before="0" w:after="160" w:line="360" w:lineRule="auto"/>
        <w:ind w:firstLine="567"/>
        <w:jc w:val="both"/>
        <w:rPr>
          <w:rFonts w:ascii="Sylfaen" w:hAnsi="Sylfaen"/>
          <w:sz w:val="24"/>
          <w:szCs w:val="24"/>
        </w:rPr>
      </w:pPr>
      <w:r w:rsidRPr="00B834A2">
        <w:rPr>
          <w:rFonts w:ascii="Sylfaen" w:hAnsi="Sylfaen"/>
          <w:i/>
          <w:sz w:val="24"/>
          <w:szCs w:val="24"/>
        </w:rPr>
        <w:lastRenderedPageBreak/>
        <w:t>2.4.1.</w:t>
      </w:r>
      <w:r w:rsidR="00792625" w:rsidRPr="00097504">
        <w:rPr>
          <w:rFonts w:ascii="Sylfaen" w:hAnsi="Sylfaen"/>
          <w:i/>
          <w:sz w:val="24"/>
          <w:szCs w:val="24"/>
        </w:rPr>
        <w:tab/>
      </w:r>
      <w:r w:rsidRPr="00B834A2">
        <w:rPr>
          <w:rStyle w:val="Bodytext210pt8"/>
          <w:sz w:val="24"/>
          <w:szCs w:val="24"/>
        </w:rPr>
        <w:t>Գունաչափական մեթոդներ</w:t>
      </w:r>
    </w:p>
    <w:p w14:paraId="7B6FF1EB"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Քիմիական գունավորման վրա հիմնված գունաչափական մեթոդները տեղեկատվություն են տալիս շաքարների սպեցիֆիկ դասերի, ինչպես օրինակ՝ սիալային թթուների, չեզոք շաքարների </w:t>
      </w:r>
      <w:r>
        <w:rPr>
          <w:rStyle w:val="Bodytext210pt"/>
          <w:sz w:val="24"/>
          <w:szCs w:val="24"/>
        </w:rPr>
        <w:t>եւ</w:t>
      </w:r>
      <w:r w:rsidRPr="00B834A2">
        <w:rPr>
          <w:rStyle w:val="Bodytext210pt"/>
          <w:sz w:val="24"/>
          <w:szCs w:val="24"/>
        </w:rPr>
        <w:t xml:space="preserve"> հեքսոզամինի քանակի մասին:</w:t>
      </w:r>
    </w:p>
    <w:p w14:paraId="10A0B6F1" w14:textId="77777777" w:rsidR="00B834A2" w:rsidRPr="00B834A2" w:rsidRDefault="00B834A2" w:rsidP="00792625">
      <w:pPr>
        <w:pStyle w:val="Bodytext20"/>
        <w:shd w:val="clear" w:color="auto" w:fill="auto"/>
        <w:tabs>
          <w:tab w:val="left" w:pos="1276"/>
        </w:tabs>
        <w:spacing w:before="0" w:after="160" w:line="360" w:lineRule="auto"/>
        <w:ind w:firstLine="567"/>
        <w:jc w:val="both"/>
        <w:rPr>
          <w:rFonts w:ascii="Sylfaen" w:hAnsi="Sylfaen"/>
          <w:sz w:val="24"/>
          <w:szCs w:val="24"/>
        </w:rPr>
      </w:pPr>
      <w:r w:rsidRPr="00B834A2">
        <w:rPr>
          <w:rFonts w:ascii="Sylfaen" w:hAnsi="Sylfaen"/>
          <w:i/>
          <w:sz w:val="24"/>
          <w:szCs w:val="24"/>
        </w:rPr>
        <w:t>2.4.2.</w:t>
      </w:r>
      <w:r w:rsidR="00792625" w:rsidRPr="00097504">
        <w:rPr>
          <w:rFonts w:ascii="Sylfaen" w:hAnsi="Sylfaen"/>
          <w:i/>
          <w:sz w:val="24"/>
          <w:szCs w:val="24"/>
        </w:rPr>
        <w:tab/>
      </w:r>
      <w:r w:rsidRPr="00B834A2">
        <w:rPr>
          <w:rStyle w:val="Bodytext210pt8"/>
          <w:sz w:val="24"/>
          <w:szCs w:val="24"/>
        </w:rPr>
        <w:t>Բաժանման մեթոդներ</w:t>
      </w:r>
    </w:p>
    <w:p w14:paraId="0096E4B1"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Բաժանման մեթոդները թույլ են տալիս ստանալ մոնոսախարիդների ընդհանուր բաղադրության մասին քանակական տվյալներ: Մինչ մեթոդների օգտագործումը՝ պահանջվում է ինտակտ գլիկոպրոտեինների կամ ճեղքված գլիկանների օլիգոսախարիդային շղթաների նախնական թթվային հիդրոլիզ: Սիալային թթուների ճեղքման համար կիրառվում է չափավոր թթվային հիդրոլիզ կամ ֆերմենտատիվ մշակում: Հիդրոլիզի փուլը՝ փոփոխականության էական աղբյուր է, </w:t>
      </w:r>
      <w:r>
        <w:rPr>
          <w:rStyle w:val="Bodytext210pt"/>
          <w:sz w:val="24"/>
          <w:szCs w:val="24"/>
        </w:rPr>
        <w:t>եւ</w:t>
      </w:r>
      <w:r w:rsidRPr="00B834A2">
        <w:rPr>
          <w:rStyle w:val="Bodytext210pt"/>
          <w:sz w:val="24"/>
          <w:szCs w:val="24"/>
        </w:rPr>
        <w:t xml:space="preserve"> այն պահանջում է պրոդուկտին մասնահատուկ վալիդացում:</w:t>
      </w:r>
    </w:p>
    <w:p w14:paraId="37D00310"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Մոնոսախարիդների բաժանման </w:t>
      </w:r>
      <w:r>
        <w:rPr>
          <w:rStyle w:val="Bodytext210pt"/>
          <w:sz w:val="24"/>
          <w:szCs w:val="24"/>
        </w:rPr>
        <w:t>եւ</w:t>
      </w:r>
      <w:r w:rsidRPr="00B834A2">
        <w:rPr>
          <w:rStyle w:val="Bodytext210pt"/>
          <w:sz w:val="24"/>
          <w:szCs w:val="24"/>
        </w:rPr>
        <w:t xml:space="preserve"> քանակական որոշման մեթոդները ներառում են՝</w:t>
      </w:r>
    </w:p>
    <w:p w14:paraId="42124F76"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Style w:val="Bodytext210pt"/>
          <w:sz w:val="24"/>
          <w:szCs w:val="24"/>
        </w:rPr>
        <w:t>-</w:t>
      </w:r>
      <w:r w:rsidR="00792625" w:rsidRPr="00792625">
        <w:rPr>
          <w:rStyle w:val="Bodytext210pt"/>
          <w:sz w:val="24"/>
          <w:szCs w:val="24"/>
        </w:rPr>
        <w:tab/>
      </w:r>
      <w:r w:rsidRPr="00B834A2">
        <w:rPr>
          <w:rStyle w:val="Bodytext210pt"/>
          <w:sz w:val="24"/>
          <w:szCs w:val="24"/>
        </w:rPr>
        <w:t xml:space="preserve">իմպուլսային ամպերաչափական դետեկտմամբ pH բարձր արժեքների դեպքում անիոնափոխանակման քրոմատագրման </w:t>
      </w:r>
      <w:r>
        <w:rPr>
          <w:rStyle w:val="Bodytext210pt"/>
          <w:sz w:val="24"/>
          <w:szCs w:val="24"/>
        </w:rPr>
        <w:t>եւ</w:t>
      </w:r>
      <w:r w:rsidRPr="00B834A2">
        <w:rPr>
          <w:rStyle w:val="Bodytext210pt"/>
          <w:sz w:val="24"/>
          <w:szCs w:val="24"/>
        </w:rPr>
        <w:t xml:space="preserve"> զանգվածային սպեկտրաչափման դետեկտմամբ ծակոտկեն գրաֆիտացված ածխածնի օգտագործմամբ քրոմատագրման օգտագործումը, ինչը թույլ է տալիս որոշել բնական վիճակում մոնոսախարիդների մոլային քանակությունները (սիալային թթուներ, չեզոք շաքարներ </w:t>
      </w:r>
      <w:r>
        <w:rPr>
          <w:rStyle w:val="Bodytext210pt"/>
          <w:sz w:val="24"/>
          <w:szCs w:val="24"/>
        </w:rPr>
        <w:t>եւ</w:t>
      </w:r>
      <w:r w:rsidRPr="00B834A2">
        <w:rPr>
          <w:rStyle w:val="Bodytext210pt"/>
          <w:sz w:val="24"/>
          <w:szCs w:val="24"/>
        </w:rPr>
        <w:t xml:space="preserve"> ալդիտներ). </w:t>
      </w:r>
    </w:p>
    <w:p w14:paraId="537F2E38"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792625" w:rsidRPr="00792625">
        <w:rPr>
          <w:rFonts w:ascii="Sylfaen" w:hAnsi="Sylfaen"/>
          <w:sz w:val="24"/>
          <w:szCs w:val="24"/>
        </w:rPr>
        <w:tab/>
      </w:r>
      <w:r w:rsidRPr="00B834A2">
        <w:rPr>
          <w:rFonts w:ascii="Sylfaen" w:hAnsi="Sylfaen"/>
          <w:sz w:val="24"/>
          <w:szCs w:val="24"/>
        </w:rPr>
        <w:t>բաժանման մեթոդների հետագա օգտագործմամբ մոնոսախարիդների ֆլուորաֆորային նշանադրումը, ինչպես օրինակ՝ հակադարձ-ֆազային կամ իոնափոխանակման քրոմատագրում կամ մազախողովակային էլեկտրաֆորեզ:</w:t>
      </w:r>
    </w:p>
    <w:p w14:paraId="511CF7B4" w14:textId="77777777" w:rsidR="006F79C2" w:rsidRDefault="006F79C2">
      <w:pPr>
        <w:rPr>
          <w:rStyle w:val="Bodytext2115pt"/>
          <w:sz w:val="24"/>
          <w:szCs w:val="24"/>
        </w:rPr>
      </w:pPr>
      <w:r>
        <w:rPr>
          <w:rStyle w:val="Bodytext2115pt"/>
          <w:sz w:val="24"/>
          <w:szCs w:val="24"/>
        </w:rPr>
        <w:br w:type="page"/>
      </w:r>
    </w:p>
    <w:p w14:paraId="5F579AAB" w14:textId="77777777" w:rsidR="00B834A2" w:rsidRPr="00C73EF1" w:rsidRDefault="00B834A2" w:rsidP="00792625">
      <w:pPr>
        <w:pStyle w:val="Bodytext20"/>
        <w:shd w:val="clear" w:color="auto" w:fill="auto"/>
        <w:tabs>
          <w:tab w:val="left" w:pos="1134"/>
        </w:tabs>
        <w:spacing w:before="0" w:after="160" w:line="360" w:lineRule="auto"/>
        <w:ind w:firstLine="567"/>
        <w:jc w:val="both"/>
        <w:rPr>
          <w:rFonts w:ascii="Sylfaen" w:hAnsi="Sylfaen"/>
          <w:b/>
          <w:sz w:val="24"/>
          <w:szCs w:val="24"/>
        </w:rPr>
      </w:pPr>
      <w:r w:rsidRPr="00B834A2">
        <w:rPr>
          <w:rStyle w:val="Bodytext2115pt"/>
          <w:sz w:val="24"/>
          <w:szCs w:val="24"/>
        </w:rPr>
        <w:lastRenderedPageBreak/>
        <w:t>3</w:t>
      </w:r>
      <w:r w:rsidRPr="00B834A2">
        <w:rPr>
          <w:rStyle w:val="Bodytext275pt1"/>
          <w:sz w:val="24"/>
          <w:szCs w:val="24"/>
        </w:rPr>
        <w:t>.</w:t>
      </w:r>
      <w:r w:rsidR="00792625" w:rsidRPr="00097504">
        <w:rPr>
          <w:rStyle w:val="Bodytext275pt1"/>
          <w:sz w:val="24"/>
          <w:szCs w:val="24"/>
        </w:rPr>
        <w:tab/>
      </w:r>
      <w:r w:rsidRPr="00C73EF1">
        <w:rPr>
          <w:rStyle w:val="Bodytext210pt"/>
          <w:b/>
          <w:sz w:val="24"/>
          <w:szCs w:val="24"/>
        </w:rPr>
        <w:t>ԱՐԴՅՈՒՆՔՆԵՐԻ ԳՆԱՀԱՏՈՒՄ ԵՒ ԱՆԱԼԻԶ</w:t>
      </w:r>
    </w:p>
    <w:p w14:paraId="3ED569A3"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Գլիկանների անալիզի ընթացքում ստացված արդյունքների հետազոտությունը </w:t>
      </w:r>
      <w:r>
        <w:rPr>
          <w:rStyle w:val="Bodytext210pt"/>
          <w:sz w:val="24"/>
          <w:szCs w:val="24"/>
        </w:rPr>
        <w:t>եւ</w:t>
      </w:r>
      <w:r w:rsidRPr="00B834A2">
        <w:rPr>
          <w:rStyle w:val="Bodytext210pt"/>
          <w:sz w:val="24"/>
          <w:szCs w:val="24"/>
        </w:rPr>
        <w:t xml:space="preserve"> գնահատումը կատարվում են 3 տարբեր նպատակներով՝</w:t>
      </w:r>
    </w:p>
    <w:p w14:paraId="1C42720D"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792625" w:rsidRPr="00792625">
        <w:rPr>
          <w:rFonts w:ascii="Sylfaen" w:hAnsi="Sylfaen"/>
          <w:sz w:val="24"/>
          <w:szCs w:val="24"/>
        </w:rPr>
        <w:tab/>
      </w:r>
      <w:r w:rsidRPr="00B834A2">
        <w:rPr>
          <w:rFonts w:ascii="Sylfaen" w:hAnsi="Sylfaen"/>
          <w:sz w:val="24"/>
          <w:szCs w:val="24"/>
        </w:rPr>
        <w:t>անհատական կառուցվածքների կամ կառուցվածքների խմբերի իսկության հաստատում.</w:t>
      </w:r>
    </w:p>
    <w:p w14:paraId="3C1E1C6A"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792625" w:rsidRPr="00792625">
        <w:rPr>
          <w:rFonts w:ascii="Sylfaen" w:hAnsi="Sylfaen"/>
          <w:sz w:val="24"/>
          <w:szCs w:val="24"/>
        </w:rPr>
        <w:tab/>
      </w:r>
      <w:r w:rsidRPr="00B834A2">
        <w:rPr>
          <w:rFonts w:ascii="Sylfaen" w:hAnsi="Sylfaen"/>
          <w:sz w:val="24"/>
          <w:szCs w:val="24"/>
        </w:rPr>
        <w:t>որակական անալիզի ժամանակ փորձարկվող նմուշի համապատասխանության հաստատում.</w:t>
      </w:r>
    </w:p>
    <w:p w14:paraId="6A34D11E" w14:textId="77777777" w:rsidR="00B834A2" w:rsidRPr="00B834A2" w:rsidRDefault="00B834A2" w:rsidP="00792625">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792625" w:rsidRPr="00792625">
        <w:rPr>
          <w:rFonts w:ascii="Sylfaen" w:hAnsi="Sylfaen"/>
          <w:sz w:val="24"/>
          <w:szCs w:val="24"/>
        </w:rPr>
        <w:tab/>
      </w:r>
      <w:r w:rsidRPr="00B834A2">
        <w:rPr>
          <w:rFonts w:ascii="Sylfaen" w:hAnsi="Sylfaen"/>
          <w:sz w:val="24"/>
          <w:szCs w:val="24"/>
        </w:rPr>
        <w:t>քանակական անալիզի ժամանակ փորձարկվող նմուշի համապատասխանության հաստատումը:</w:t>
      </w:r>
    </w:p>
    <w:p w14:paraId="07475819"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Ստանդարտ նմուշների </w:t>
      </w:r>
      <w:r>
        <w:rPr>
          <w:rStyle w:val="Bodytext210pt"/>
          <w:sz w:val="24"/>
          <w:szCs w:val="24"/>
        </w:rPr>
        <w:t>եւ</w:t>
      </w:r>
      <w:r w:rsidRPr="00B834A2">
        <w:rPr>
          <w:rStyle w:val="Bodytext210pt"/>
          <w:sz w:val="24"/>
          <w:szCs w:val="24"/>
        </w:rPr>
        <w:t xml:space="preserve"> անալիզի յուրաքանչյուր փուլի անցկացման մեթոդների վերաբերյալ հատուկ նկատառումները բերված են համապատասխանաբար 4-րդ </w:t>
      </w:r>
      <w:r>
        <w:rPr>
          <w:rStyle w:val="Bodytext210pt"/>
          <w:sz w:val="24"/>
          <w:szCs w:val="24"/>
        </w:rPr>
        <w:t>եւ</w:t>
      </w:r>
      <w:r w:rsidRPr="00B834A2">
        <w:rPr>
          <w:rStyle w:val="Bodytext210pt"/>
          <w:sz w:val="24"/>
          <w:szCs w:val="24"/>
        </w:rPr>
        <w:t xml:space="preserve"> 5-րդ բաժիններում: </w:t>
      </w:r>
    </w:p>
    <w:p w14:paraId="570B75A5" w14:textId="77777777" w:rsidR="00B834A2" w:rsidRPr="00B834A2" w:rsidRDefault="00B834A2" w:rsidP="00792625">
      <w:pPr>
        <w:pStyle w:val="Bodytext20"/>
        <w:shd w:val="clear" w:color="auto" w:fill="auto"/>
        <w:spacing w:before="0" w:after="160" w:line="360" w:lineRule="auto"/>
        <w:ind w:firstLine="567"/>
        <w:jc w:val="both"/>
        <w:rPr>
          <w:rFonts w:ascii="Sylfaen" w:hAnsi="Sylfaen"/>
          <w:i/>
          <w:iCs/>
          <w:sz w:val="24"/>
          <w:szCs w:val="24"/>
        </w:rPr>
      </w:pPr>
    </w:p>
    <w:p w14:paraId="6DAD2E7A" w14:textId="77777777" w:rsidR="00B834A2" w:rsidRPr="00C73EF1" w:rsidRDefault="00B834A2" w:rsidP="00792625">
      <w:pPr>
        <w:pStyle w:val="Bodytext20"/>
        <w:shd w:val="clear" w:color="auto" w:fill="auto"/>
        <w:tabs>
          <w:tab w:val="left" w:pos="1134"/>
        </w:tabs>
        <w:spacing w:before="0" w:after="160" w:line="360" w:lineRule="auto"/>
        <w:ind w:firstLine="567"/>
        <w:jc w:val="both"/>
        <w:rPr>
          <w:rFonts w:ascii="Sylfaen" w:hAnsi="Sylfaen"/>
          <w:i/>
          <w:sz w:val="24"/>
          <w:szCs w:val="24"/>
        </w:rPr>
      </w:pPr>
      <w:r w:rsidRPr="00B834A2">
        <w:rPr>
          <w:rFonts w:ascii="Sylfaen" w:hAnsi="Sylfaen"/>
          <w:i/>
          <w:sz w:val="24"/>
          <w:szCs w:val="24"/>
        </w:rPr>
        <w:t>3.1.</w:t>
      </w:r>
      <w:r w:rsidR="00792625" w:rsidRPr="00792625">
        <w:rPr>
          <w:rFonts w:ascii="Sylfaen" w:hAnsi="Sylfaen"/>
          <w:i/>
          <w:sz w:val="24"/>
          <w:szCs w:val="24"/>
        </w:rPr>
        <w:tab/>
      </w:r>
      <w:r w:rsidRPr="00C73EF1">
        <w:rPr>
          <w:rFonts w:ascii="Sylfaen" w:hAnsi="Sylfaen"/>
          <w:i/>
          <w:sz w:val="24"/>
          <w:szCs w:val="24"/>
        </w:rPr>
        <w:t>ԱՆՀԱՏԱԿԱՆ ԿԱՌՈՒՑՎԱԾՔՆԵՐԻ ԿԱՄ ԿԱՌՈՒՑՎԱԾՔՆԵՐԻ ԽՄԲԵՐԻ ԻՍԿՈՒԹՅԱՆ ՀԱՍՏԱՏՈՒՄ</w:t>
      </w:r>
    </w:p>
    <w:p w14:paraId="27DD01F9" w14:textId="77777777" w:rsidR="00B834A2" w:rsidRPr="00B834A2" w:rsidRDefault="00B834A2" w:rsidP="00792625">
      <w:pPr>
        <w:pStyle w:val="Bodytext20"/>
        <w:shd w:val="clear" w:color="auto" w:fill="auto"/>
        <w:spacing w:before="0" w:after="160" w:line="360" w:lineRule="auto"/>
        <w:ind w:firstLine="567"/>
        <w:jc w:val="both"/>
        <w:rPr>
          <w:rFonts w:ascii="Sylfaen" w:hAnsi="Sylfaen"/>
          <w:sz w:val="24"/>
          <w:szCs w:val="24"/>
        </w:rPr>
      </w:pPr>
      <w:r w:rsidRPr="00B834A2">
        <w:rPr>
          <w:rStyle w:val="Bodytext210pt"/>
          <w:sz w:val="24"/>
          <w:szCs w:val="24"/>
        </w:rPr>
        <w:t xml:space="preserve">Գլիկանների անալիզի մեթոդի անալիտիկ թիրախ կարող է լինել առանձին մոնոսախարիդը (օրինակ՝ սիալային թթու, ֆուկոզ), որոշակի օլիգոսախարիդային կառուցվածքը (օրինակ՝ տետրասիալային, տետրաանտենալային գլիկան) կամ ընդհանուր անալիտիկ առանձնահատկություն ունեցող կառուցվածքների խումբը (օրինակ՝ տետրասիալային գլիկաններ, տրիանտենալային գլիկաններ, գլիկապրոտեինային իզոֆորմներ՝ նույն լիցքով): Անալիտիկ թիրախի իսկության հաստատումը՝ արդյունքների անալիզի </w:t>
      </w:r>
      <w:r>
        <w:rPr>
          <w:rStyle w:val="Bodytext210pt"/>
          <w:sz w:val="24"/>
          <w:szCs w:val="24"/>
        </w:rPr>
        <w:t>եւ</w:t>
      </w:r>
      <w:r w:rsidRPr="00B834A2">
        <w:rPr>
          <w:rStyle w:val="Bodytext210pt"/>
          <w:sz w:val="24"/>
          <w:szCs w:val="24"/>
        </w:rPr>
        <w:t xml:space="preserve"> գնահատման ժամանակ կար</w:t>
      </w:r>
      <w:r>
        <w:rPr>
          <w:rStyle w:val="Bodytext210pt"/>
          <w:sz w:val="24"/>
          <w:szCs w:val="24"/>
        </w:rPr>
        <w:t>եւ</w:t>
      </w:r>
      <w:r w:rsidRPr="00B834A2">
        <w:rPr>
          <w:rStyle w:val="Bodytext210pt"/>
          <w:sz w:val="24"/>
          <w:szCs w:val="24"/>
        </w:rPr>
        <w:t>որագույն քայլ է, որով կարող է ապահովվել բացարձակապես մոլեկուլային կառուցվածքի հաստատման միջոցով կամ համեմատաբար՝ համապատասխան ստանդարտ նմուշի հետ համեմատության միջոցով:</w:t>
      </w:r>
    </w:p>
    <w:p w14:paraId="64A1667A" w14:textId="77777777" w:rsidR="00792625" w:rsidRPr="00097504" w:rsidRDefault="00792625" w:rsidP="00B834A2">
      <w:pPr>
        <w:pStyle w:val="Bodytext20"/>
        <w:shd w:val="clear" w:color="auto" w:fill="auto"/>
        <w:spacing w:before="0" w:after="160" w:line="360" w:lineRule="auto"/>
        <w:ind w:firstLine="567"/>
        <w:rPr>
          <w:rFonts w:ascii="Sylfaen" w:hAnsi="Sylfaen"/>
          <w:i/>
          <w:sz w:val="24"/>
          <w:szCs w:val="24"/>
        </w:rPr>
      </w:pPr>
    </w:p>
    <w:p w14:paraId="1EE538EE" w14:textId="77777777" w:rsidR="00B834A2" w:rsidRPr="00C73EF1" w:rsidRDefault="00B834A2" w:rsidP="00792625">
      <w:pPr>
        <w:pStyle w:val="Bodytext20"/>
        <w:shd w:val="clear" w:color="auto" w:fill="auto"/>
        <w:tabs>
          <w:tab w:val="left" w:pos="1276"/>
        </w:tabs>
        <w:spacing w:before="0" w:after="160" w:line="360" w:lineRule="auto"/>
        <w:ind w:firstLine="567"/>
        <w:jc w:val="both"/>
        <w:rPr>
          <w:rFonts w:ascii="Sylfaen" w:hAnsi="Sylfaen"/>
          <w:i/>
          <w:sz w:val="24"/>
          <w:szCs w:val="24"/>
        </w:rPr>
      </w:pPr>
      <w:r w:rsidRPr="00B834A2">
        <w:rPr>
          <w:rFonts w:ascii="Sylfaen" w:hAnsi="Sylfaen"/>
          <w:i/>
          <w:sz w:val="24"/>
          <w:szCs w:val="24"/>
        </w:rPr>
        <w:lastRenderedPageBreak/>
        <w:t>3.1.1.</w:t>
      </w:r>
      <w:r w:rsidR="00792625" w:rsidRPr="00097504">
        <w:rPr>
          <w:rFonts w:ascii="Sylfaen" w:hAnsi="Sylfaen"/>
          <w:i/>
          <w:sz w:val="24"/>
          <w:szCs w:val="24"/>
        </w:rPr>
        <w:tab/>
      </w:r>
      <w:r w:rsidRPr="00C73EF1">
        <w:rPr>
          <w:rStyle w:val="Bodytext210pt"/>
          <w:i/>
          <w:sz w:val="24"/>
          <w:szCs w:val="24"/>
        </w:rPr>
        <w:t>Իսկության բացարձակ հաստատում</w:t>
      </w:r>
    </w:p>
    <w:p w14:paraId="5AC5B76F" w14:textId="77777777" w:rsidR="00B834A2" w:rsidRPr="00C73EF1" w:rsidRDefault="00B834A2" w:rsidP="006F79C2">
      <w:pPr>
        <w:pStyle w:val="Bodytext310"/>
        <w:shd w:val="clear" w:color="auto" w:fill="auto"/>
        <w:spacing w:after="160" w:line="336" w:lineRule="auto"/>
        <w:ind w:firstLine="567"/>
        <w:jc w:val="both"/>
        <w:rPr>
          <w:rFonts w:ascii="Sylfaen" w:hAnsi="Sylfaen"/>
          <w:i w:val="0"/>
          <w:sz w:val="24"/>
          <w:szCs w:val="24"/>
        </w:rPr>
      </w:pPr>
      <w:r w:rsidRPr="00C73EF1">
        <w:rPr>
          <w:rStyle w:val="Bodytext210pt"/>
          <w:i w:val="0"/>
          <w:sz w:val="24"/>
          <w:szCs w:val="24"/>
        </w:rPr>
        <w:t xml:space="preserve">Գլիկանային կառուցվածքների իսկության բացարձակ հաստատումը </w:t>
      </w:r>
      <w:r w:rsidRPr="00C73EF1">
        <w:rPr>
          <w:rStyle w:val="Bodytext210pt"/>
          <w:i w:val="0"/>
          <w:spacing w:val="-4"/>
          <w:sz w:val="24"/>
          <w:szCs w:val="24"/>
        </w:rPr>
        <w:t xml:space="preserve">կատարվում է սովորաբար դեղամիջոցի մշակման ժամանակ, եւ այն պարտադիր ռուտինային անալիզի նպատակ չէ: </w:t>
      </w:r>
      <w:r w:rsidRPr="00C73EF1">
        <w:rPr>
          <w:rFonts w:ascii="Sylfaen" w:hAnsi="Sylfaen"/>
          <w:i w:val="0"/>
          <w:spacing w:val="-4"/>
          <w:sz w:val="24"/>
          <w:szCs w:val="24"/>
        </w:rPr>
        <w:t>Անալիտիկ թիրախի իսկությունը սահմանում են մոլեկուլի</w:t>
      </w:r>
      <w:r w:rsidRPr="00C73EF1">
        <w:rPr>
          <w:rFonts w:ascii="Sylfaen" w:hAnsi="Sylfaen"/>
          <w:i w:val="0"/>
          <w:sz w:val="24"/>
          <w:szCs w:val="24"/>
        </w:rPr>
        <w:t xml:space="preserve"> մոլեկուլային հայտնի հատկության օգնությամբ:</w:t>
      </w:r>
      <w:r w:rsidRPr="00C73EF1">
        <w:rPr>
          <w:rStyle w:val="Bodytext31Sylfaen"/>
          <w:i/>
          <w:sz w:val="24"/>
          <w:szCs w:val="24"/>
        </w:rPr>
        <w:t xml:space="preserve"> </w:t>
      </w:r>
      <w:r w:rsidRPr="00C73EF1">
        <w:rPr>
          <w:rFonts w:ascii="Sylfaen" w:hAnsi="Sylfaen"/>
          <w:i w:val="0"/>
          <w:sz w:val="24"/>
          <w:szCs w:val="24"/>
        </w:rPr>
        <w:t>Անհատական կառուցվածքների նման բացարձակ նույնականացման համար պահանջվում են ֆերմենտատիվ եւ քիմիական ռեակցիաներ, բաժանիչ մեթոդիկաներ եւ դետեկտման on-line կամ off-line մեթոդներ ներառող բազմաստիճան մոտեցումներ եւ սովորաբար՝ որպես կառուցվածքի հաստատման համար հիմնարար սկզբունք՝ օգտագործում է լիցքի՝ իոնի մոլեկուլային զանգվածի նկատմամբ հարաբերակցությունը, որը որոշվում է համապատասխան զանգվածային սպեկտրաչափման մեթոդով:</w:t>
      </w:r>
    </w:p>
    <w:p w14:paraId="6E1B0745" w14:textId="77777777" w:rsidR="00B834A2" w:rsidRPr="00C73EF1" w:rsidRDefault="00B834A2" w:rsidP="006F79C2">
      <w:pPr>
        <w:pStyle w:val="Bodytext310"/>
        <w:shd w:val="clear" w:color="auto" w:fill="auto"/>
        <w:tabs>
          <w:tab w:val="left" w:pos="1276"/>
        </w:tabs>
        <w:spacing w:after="160" w:line="336" w:lineRule="auto"/>
        <w:ind w:firstLine="567"/>
        <w:jc w:val="both"/>
        <w:rPr>
          <w:rFonts w:ascii="Sylfaen" w:hAnsi="Sylfaen"/>
          <w:i w:val="0"/>
          <w:sz w:val="24"/>
          <w:szCs w:val="24"/>
        </w:rPr>
      </w:pPr>
      <w:r w:rsidRPr="00B834A2">
        <w:rPr>
          <w:rFonts w:ascii="Sylfaen" w:hAnsi="Sylfaen"/>
          <w:sz w:val="24"/>
          <w:szCs w:val="24"/>
        </w:rPr>
        <w:t>3.1.2.</w:t>
      </w:r>
      <w:r w:rsidR="00792625" w:rsidRPr="00097504">
        <w:rPr>
          <w:rFonts w:ascii="Sylfaen" w:hAnsi="Sylfaen"/>
          <w:sz w:val="24"/>
          <w:szCs w:val="24"/>
        </w:rPr>
        <w:tab/>
      </w:r>
      <w:r w:rsidRPr="00C73EF1">
        <w:rPr>
          <w:rStyle w:val="Bodytext31Sylfaen23"/>
          <w:i/>
          <w:sz w:val="24"/>
          <w:szCs w:val="24"/>
        </w:rPr>
        <w:t>Իսկության համեմատական որոշումը</w:t>
      </w:r>
    </w:p>
    <w:p w14:paraId="1DF2DC21" w14:textId="77777777" w:rsidR="00B834A2" w:rsidRPr="00B834A2" w:rsidRDefault="00B834A2" w:rsidP="006F79C2">
      <w:pPr>
        <w:pStyle w:val="Bodytext310"/>
        <w:shd w:val="clear" w:color="auto" w:fill="auto"/>
        <w:spacing w:after="160" w:line="336" w:lineRule="auto"/>
        <w:ind w:firstLine="567"/>
        <w:jc w:val="both"/>
        <w:rPr>
          <w:rFonts w:ascii="Sylfaen" w:hAnsi="Sylfaen"/>
          <w:sz w:val="24"/>
          <w:szCs w:val="24"/>
        </w:rPr>
      </w:pPr>
      <w:r w:rsidRPr="00B834A2">
        <w:rPr>
          <w:rStyle w:val="Bodytext31Sylfaen"/>
          <w:sz w:val="24"/>
          <w:szCs w:val="24"/>
        </w:rPr>
        <w:t>Անալիտիկ մեթոդի ռուտինային կիրառման դեպքում անալիտիկ թիրախի իսկությունը կարող է հաստատվել պրոցեսի ստանդարտ նմուշների հետ համեմատման կամ համակարգի պիտանիության միջոցով: Դրանք կարող են ստացվել հայտնի լավ ուսումնասիրված գլիկոպրոտեիններից, որոնք կարող են պատկանել նույն դասին, ինչ փորձարկվող նմուշը (օրինակ՝ N-կապված գլիկոպրոտեինների համար ֆետուին) կամ կարող են ստացվել փորձարկվող պրոդուկտի լավ ուսումնասիրված սերիայից, որը սահմանվել է որպես ստանդարտ նմուշ: Հետ</w:t>
      </w:r>
      <w:r>
        <w:rPr>
          <w:rStyle w:val="Bodytext31Sylfaen"/>
          <w:sz w:val="24"/>
          <w:szCs w:val="24"/>
        </w:rPr>
        <w:t>եւ</w:t>
      </w:r>
      <w:r w:rsidRPr="00B834A2">
        <w:rPr>
          <w:rStyle w:val="Bodytext31Sylfaen"/>
          <w:sz w:val="24"/>
          <w:szCs w:val="24"/>
        </w:rPr>
        <w:t>յալ հաստատումները կիրառվում են կառուցվածքային իսկության համեմատական որոշման նկատմամբ՝</w:t>
      </w:r>
    </w:p>
    <w:p w14:paraId="08F38D6C"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 xml:space="preserve">պահման ժամանակի հաստատված բարձր վերարտադրելիության դեպքում ճիշտ մեկնաբանման համար կարող է օգտագործվել պահման բացարձակ ժամանակ. </w:t>
      </w:r>
    </w:p>
    <w:p w14:paraId="02851AE4"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որպես այլընտրանք՝ փորձարկման սկզբում եւ վերջում կարող է ներմուծվել գլիկանային մարկեր պահման ժամանակի ցանկացած շեղումի ստուգման համար</w:t>
      </w:r>
      <w:r w:rsidRPr="00C73EF1">
        <w:rPr>
          <w:rFonts w:ascii="MS Mincho" w:eastAsia="MS Mincho" w:hAnsi="MS Mincho" w:cs="MS Mincho" w:hint="eastAsia"/>
          <w:i w:val="0"/>
          <w:sz w:val="24"/>
          <w:szCs w:val="24"/>
        </w:rPr>
        <w:t>․</w:t>
      </w:r>
      <w:r w:rsidRPr="00B834A2">
        <w:rPr>
          <w:rFonts w:ascii="Sylfaen" w:hAnsi="Sylfaen" w:cs="Sylfaen"/>
          <w:sz w:val="24"/>
          <w:szCs w:val="24"/>
        </w:rPr>
        <w:t xml:space="preserve"> </w:t>
      </w:r>
      <w:r w:rsidRPr="00B834A2">
        <w:rPr>
          <w:rStyle w:val="Bodytext31Sylfaen"/>
          <w:sz w:val="24"/>
          <w:szCs w:val="24"/>
        </w:rPr>
        <w:t xml:space="preserve">այդ էտալոնային քրոմատագրերի հիման վրա կարող են մեկնաբանվել փորձարկվող նմուշների գլիկանները. </w:t>
      </w:r>
    </w:p>
    <w:p w14:paraId="47654836"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sz w:val="24"/>
          <w:szCs w:val="24"/>
        </w:rPr>
        <w:lastRenderedPageBreak/>
        <w:t>-</w:t>
      </w:r>
      <w:r w:rsidR="00792625" w:rsidRPr="00792625">
        <w:rPr>
          <w:rFonts w:ascii="Sylfaen" w:hAnsi="Sylfaen"/>
          <w:sz w:val="24"/>
          <w:szCs w:val="24"/>
        </w:rPr>
        <w:tab/>
      </w:r>
      <w:r w:rsidRPr="00C73EF1">
        <w:rPr>
          <w:rFonts w:ascii="Sylfaen" w:hAnsi="Sylfaen"/>
          <w:i w:val="0"/>
          <w:sz w:val="24"/>
          <w:szCs w:val="24"/>
        </w:rPr>
        <w:t>այն դեպքերում, երբ փորձարկվող նմուշում գլիկանների բոլոր գագաթների որոշման համար ստանդարտ նմուշը բացակայում է, գլիկանների անհայտ գագաթների վերահսկման եւ նշանադրման համար կարող են օգտագործվել պահման բացարձակ կամ կանոնանավորված ժամանակ</w:t>
      </w:r>
      <w:r w:rsidRPr="00B834A2">
        <w:rPr>
          <w:rFonts w:ascii="Sylfaen" w:hAnsi="Sylfaen"/>
          <w:sz w:val="24"/>
          <w:szCs w:val="24"/>
        </w:rPr>
        <w:t>:</w:t>
      </w:r>
      <w:r>
        <w:rPr>
          <w:rFonts w:ascii="Sylfaen" w:hAnsi="Sylfaen"/>
          <w:sz w:val="24"/>
          <w:szCs w:val="24"/>
        </w:rPr>
        <w:t xml:space="preserve"> </w:t>
      </w:r>
    </w:p>
    <w:p w14:paraId="13901FFB" w14:textId="77777777" w:rsidR="00792625" w:rsidRPr="00097504" w:rsidRDefault="00792625" w:rsidP="00B834A2">
      <w:pPr>
        <w:pStyle w:val="Bodytext310"/>
        <w:shd w:val="clear" w:color="auto" w:fill="auto"/>
        <w:spacing w:after="160" w:line="360" w:lineRule="auto"/>
        <w:ind w:firstLine="567"/>
        <w:jc w:val="both"/>
        <w:rPr>
          <w:rFonts w:ascii="Sylfaen" w:hAnsi="Sylfaen"/>
          <w:sz w:val="24"/>
          <w:szCs w:val="24"/>
        </w:rPr>
      </w:pPr>
    </w:p>
    <w:p w14:paraId="1B279AEE"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sz w:val="24"/>
          <w:szCs w:val="24"/>
        </w:rPr>
        <w:t>3.2.</w:t>
      </w:r>
      <w:r w:rsidR="00792625" w:rsidRPr="00097504">
        <w:rPr>
          <w:rFonts w:ascii="Sylfaen" w:hAnsi="Sylfaen"/>
          <w:sz w:val="24"/>
          <w:szCs w:val="24"/>
        </w:rPr>
        <w:tab/>
      </w:r>
      <w:r w:rsidRPr="00B834A2">
        <w:rPr>
          <w:rStyle w:val="Bodytext31Sylfaen23"/>
          <w:sz w:val="24"/>
          <w:szCs w:val="24"/>
        </w:rPr>
        <w:t>ՓՈՐՁԱՐԿՎՈՂ ՆՄՈՒՇԻ՝ ՈՐԱԿԻ ՊԱՀԱՆՋՆԵՐԻՆ ՀԱՄԱՊԱՏԱՍԽԱՆՈՒԹՅԱՆ ՀԱՍՏԱՏՈՒՄԸ</w:t>
      </w:r>
      <w:r w:rsidRPr="00B834A2">
        <w:rPr>
          <w:rFonts w:ascii="Sylfaen" w:hAnsi="Sylfaen"/>
          <w:sz w:val="24"/>
          <w:szCs w:val="24"/>
        </w:rPr>
        <w:tab/>
      </w:r>
    </w:p>
    <w:p w14:paraId="596F5F85"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Որոշման այս փուլում փորձարկվող նմուշի համար ստացված անալիտիկ արդյունքները գնահատվում են սպեցիֆիկացիային համապատասխանության մասով: Սովորաբար դա ապահովվում է համապատասխան ստանդարտ նմուշի զուգահեռ փորձարկման ժամանակ ստացված տվյալների հետ համեմատության միջոցով: Տվյալները գնահատելիս անհրաժեշտ է՝</w:t>
      </w:r>
    </w:p>
    <w:p w14:paraId="20B060F6" w14:textId="77777777" w:rsidR="00B834A2" w:rsidRPr="00097504" w:rsidRDefault="00B834A2" w:rsidP="00792625">
      <w:pPr>
        <w:pStyle w:val="Bodytext310"/>
        <w:shd w:val="clear" w:color="auto" w:fill="auto"/>
        <w:tabs>
          <w:tab w:val="left" w:pos="1134"/>
        </w:tabs>
        <w:spacing w:after="160" w:line="360" w:lineRule="auto"/>
        <w:ind w:firstLine="567"/>
        <w:jc w:val="both"/>
        <w:rPr>
          <w:rStyle w:val="Bodytext31Sylfaen"/>
          <w:sz w:val="24"/>
          <w:szCs w:val="24"/>
        </w:rPr>
      </w:pPr>
      <w:r w:rsidRPr="00B834A2">
        <w:rPr>
          <w:rStyle w:val="Bodytext31Sylfaen"/>
          <w:sz w:val="24"/>
          <w:szCs w:val="24"/>
        </w:rPr>
        <w:t>-</w:t>
      </w:r>
      <w:r w:rsidR="00792625" w:rsidRPr="00792625">
        <w:rPr>
          <w:rStyle w:val="Bodytext31Sylfaen"/>
          <w:sz w:val="24"/>
          <w:szCs w:val="24"/>
        </w:rPr>
        <w:tab/>
      </w:r>
      <w:r w:rsidRPr="00B834A2">
        <w:rPr>
          <w:rStyle w:val="Bodytext31Sylfaen"/>
          <w:sz w:val="24"/>
          <w:szCs w:val="24"/>
        </w:rPr>
        <w:t xml:space="preserve">համակարգի պիտանիության ստուգման համար սահմանել, որ ստանդարտ նմուշի օգտագործման ժամանակ ստացված արդյունքը համաչափելի լինի ակնկալվող արդյունքի հետ. օրինակ՝ գլիկանների պրոֆիլավորման ժամանակ այն կապահովվի ստանդարտ նմուշի պրոֆիլի՝ այդ ստանդարտ նմուշի ստեղծման ժամանակ ստացված նմուշի ներկայացված պրոֆիլի հետ համեմատման միջոցով </w:t>
      </w:r>
      <w:r>
        <w:rPr>
          <w:rStyle w:val="Bodytext31Sylfaen"/>
          <w:sz w:val="24"/>
          <w:szCs w:val="24"/>
        </w:rPr>
        <w:t>եւ</w:t>
      </w:r>
      <w:r w:rsidRPr="00B834A2">
        <w:rPr>
          <w:rStyle w:val="Bodytext31Sylfaen"/>
          <w:sz w:val="24"/>
          <w:szCs w:val="24"/>
        </w:rPr>
        <w:t xml:space="preserve"> համակարգի պիտանիության բոլոր չափորոշիչների հաստատման օգնությամբ. </w:t>
      </w:r>
    </w:p>
    <w:p w14:paraId="29848992" w14:textId="77777777" w:rsidR="00B834A2" w:rsidRPr="00B834A2" w:rsidRDefault="00B834A2" w:rsidP="00C73EF1">
      <w:pPr>
        <w:pStyle w:val="Bodytext310"/>
        <w:shd w:val="clear" w:color="auto" w:fill="auto"/>
        <w:tabs>
          <w:tab w:val="left" w:pos="1134"/>
        </w:tabs>
        <w:spacing w:after="160" w:line="336" w:lineRule="auto"/>
        <w:ind w:firstLine="567"/>
        <w:jc w:val="both"/>
        <w:rPr>
          <w:rFonts w:ascii="Sylfaen" w:hAnsi="Sylfaen"/>
          <w:sz w:val="24"/>
          <w:szCs w:val="24"/>
        </w:rPr>
      </w:pPr>
      <w:r w:rsidRPr="00B834A2">
        <w:rPr>
          <w:rStyle w:val="Bodytext31Sylfaen"/>
          <w:sz w:val="24"/>
          <w:szCs w:val="24"/>
        </w:rPr>
        <w:t>-</w:t>
      </w:r>
      <w:r w:rsidR="00792625" w:rsidRPr="00792625">
        <w:rPr>
          <w:rStyle w:val="Bodytext31Sylfaen"/>
          <w:sz w:val="24"/>
          <w:szCs w:val="24"/>
        </w:rPr>
        <w:tab/>
      </w:r>
      <w:r w:rsidRPr="00B834A2">
        <w:rPr>
          <w:rStyle w:val="Bodytext31Sylfaen"/>
          <w:sz w:val="24"/>
          <w:szCs w:val="24"/>
        </w:rPr>
        <w:t xml:space="preserve">ապացուցել ստանդարտ նմուշի պրոֆիլների </w:t>
      </w:r>
      <w:r>
        <w:rPr>
          <w:rStyle w:val="Bodytext31Sylfaen"/>
          <w:sz w:val="24"/>
          <w:szCs w:val="24"/>
        </w:rPr>
        <w:t>եւ</w:t>
      </w:r>
      <w:r w:rsidRPr="00B834A2">
        <w:rPr>
          <w:rStyle w:val="Bodytext31Sylfaen"/>
          <w:sz w:val="24"/>
          <w:szCs w:val="24"/>
        </w:rPr>
        <w:t xml:space="preserve"> փորձարկվող նմուշի նմանությունը՝ օգտագործելով մասնավոր դեղագրքային հոդվածում կամ որակի մասով նորմատիվ փաստաթղթում նշված պիտանիության ցանկացած սպեցիֆիկ չափորոշիչ: </w:t>
      </w:r>
    </w:p>
    <w:p w14:paraId="5C9E7576" w14:textId="77777777" w:rsidR="006F79C2" w:rsidRDefault="006F79C2">
      <w:pPr>
        <w:rPr>
          <w:rStyle w:val="Bodytext31Sylfaen23"/>
          <w:i w:val="0"/>
          <w:iCs w:val="0"/>
          <w:sz w:val="24"/>
          <w:szCs w:val="24"/>
        </w:rPr>
      </w:pPr>
      <w:r>
        <w:rPr>
          <w:rStyle w:val="Bodytext31Sylfaen23"/>
          <w:sz w:val="24"/>
          <w:szCs w:val="24"/>
        </w:rPr>
        <w:br w:type="page"/>
      </w:r>
    </w:p>
    <w:p w14:paraId="460D1E63" w14:textId="77777777" w:rsidR="00B834A2" w:rsidRPr="00DE4F37" w:rsidRDefault="00B834A2" w:rsidP="00C73EF1">
      <w:pPr>
        <w:pStyle w:val="Bodytext310"/>
        <w:shd w:val="clear" w:color="auto" w:fill="auto"/>
        <w:tabs>
          <w:tab w:val="left" w:pos="1134"/>
        </w:tabs>
        <w:spacing w:after="160" w:line="336" w:lineRule="auto"/>
        <w:ind w:firstLine="567"/>
        <w:jc w:val="both"/>
        <w:rPr>
          <w:rStyle w:val="Bodytext31Sylfaen23"/>
          <w:sz w:val="24"/>
          <w:szCs w:val="24"/>
        </w:rPr>
      </w:pPr>
      <w:r w:rsidRPr="00B834A2">
        <w:rPr>
          <w:rStyle w:val="Bodytext31Sylfaen23"/>
          <w:sz w:val="24"/>
          <w:szCs w:val="24"/>
        </w:rPr>
        <w:lastRenderedPageBreak/>
        <w:t>3.3.</w:t>
      </w:r>
      <w:r w:rsidR="00792625" w:rsidRPr="00792625">
        <w:rPr>
          <w:rStyle w:val="Bodytext31Sylfaen23"/>
          <w:sz w:val="24"/>
          <w:szCs w:val="24"/>
        </w:rPr>
        <w:tab/>
      </w:r>
      <w:r w:rsidRPr="00B834A2">
        <w:rPr>
          <w:rStyle w:val="Bodytext31Sylfaen23"/>
          <w:sz w:val="24"/>
          <w:szCs w:val="24"/>
        </w:rPr>
        <w:t>ՓՈՐՁԱՐԿՎՈՂ ՆՄՈՒՇԻ՝ ՔԱՆԱԿԱԿԱՆ ԱՆԱԼԻԶԻ ՊԱՀԱՆՋՆԵՐԻՆ ՀԱՄԱՊԱՏԱՍԽԱՆՈՒԹՅԱՆ ՀԱՍՏԱՏՈՒՄԸ</w:t>
      </w:r>
    </w:p>
    <w:p w14:paraId="005392BC" w14:textId="77777777" w:rsidR="00492945" w:rsidRPr="00DE4F37" w:rsidRDefault="00492945" w:rsidP="00C73EF1">
      <w:pPr>
        <w:pStyle w:val="Bodytext310"/>
        <w:shd w:val="clear" w:color="auto" w:fill="auto"/>
        <w:tabs>
          <w:tab w:val="left" w:pos="1134"/>
        </w:tabs>
        <w:spacing w:after="160" w:line="336" w:lineRule="auto"/>
        <w:ind w:firstLine="567"/>
        <w:jc w:val="both"/>
        <w:rPr>
          <w:rStyle w:val="Bodytext31Sylfaen23"/>
          <w:sz w:val="24"/>
          <w:szCs w:val="24"/>
        </w:rPr>
      </w:pPr>
    </w:p>
    <w:p w14:paraId="2130F6D0" w14:textId="77777777" w:rsidR="00B834A2" w:rsidRPr="00B834A2" w:rsidRDefault="00B834A2" w:rsidP="00C73EF1">
      <w:pPr>
        <w:pStyle w:val="Bodytext310"/>
        <w:shd w:val="clear" w:color="auto" w:fill="auto"/>
        <w:tabs>
          <w:tab w:val="left" w:pos="1276"/>
        </w:tabs>
        <w:spacing w:after="160" w:line="336" w:lineRule="auto"/>
        <w:ind w:firstLine="567"/>
        <w:jc w:val="both"/>
        <w:rPr>
          <w:rFonts w:ascii="Sylfaen" w:hAnsi="Sylfaen"/>
          <w:sz w:val="24"/>
          <w:szCs w:val="24"/>
        </w:rPr>
      </w:pPr>
      <w:r w:rsidRPr="00B834A2">
        <w:rPr>
          <w:rFonts w:ascii="Sylfaen" w:hAnsi="Sylfaen"/>
          <w:sz w:val="24"/>
          <w:szCs w:val="24"/>
        </w:rPr>
        <w:t>3.1.3.</w:t>
      </w:r>
      <w:r w:rsidR="00792625" w:rsidRPr="00097504">
        <w:rPr>
          <w:rFonts w:ascii="Sylfaen" w:hAnsi="Sylfaen"/>
          <w:sz w:val="24"/>
          <w:szCs w:val="24"/>
        </w:rPr>
        <w:tab/>
      </w:r>
      <w:r w:rsidRPr="00B834A2">
        <w:rPr>
          <w:rStyle w:val="Bodytext210pt"/>
          <w:sz w:val="24"/>
          <w:szCs w:val="24"/>
        </w:rPr>
        <w:t xml:space="preserve">Անալիզի ենթարկվող </w:t>
      </w:r>
      <w:r w:rsidRPr="00B834A2">
        <w:rPr>
          <w:rStyle w:val="Bodytext31Sylfaen23"/>
          <w:sz w:val="24"/>
          <w:szCs w:val="24"/>
        </w:rPr>
        <w:t>նյութի պարունակության քանակական որոշումը</w:t>
      </w:r>
      <w:r w:rsidR="00C73EF1" w:rsidRPr="00C73EF1">
        <w:rPr>
          <w:rStyle w:val="Bodytext31Sylfaen23"/>
          <w:sz w:val="24"/>
          <w:szCs w:val="24"/>
        </w:rPr>
        <w:t> </w:t>
      </w:r>
      <w:r>
        <w:rPr>
          <w:rStyle w:val="Bodytext31Sylfaen23"/>
          <w:sz w:val="24"/>
          <w:szCs w:val="24"/>
        </w:rPr>
        <w:t>եւ</w:t>
      </w:r>
      <w:r w:rsidRPr="00B834A2">
        <w:rPr>
          <w:rStyle w:val="Bodytext31Sylfaen23"/>
          <w:sz w:val="24"/>
          <w:szCs w:val="24"/>
        </w:rPr>
        <w:t xml:space="preserve"> արդյունքների ներկայացումը</w:t>
      </w:r>
    </w:p>
    <w:p w14:paraId="6E794C19" w14:textId="77777777" w:rsidR="00B834A2" w:rsidRPr="009217DE" w:rsidRDefault="00B834A2" w:rsidP="00C73EF1">
      <w:pPr>
        <w:pStyle w:val="Bodytext310"/>
        <w:shd w:val="clear" w:color="auto" w:fill="auto"/>
        <w:spacing w:after="160" w:line="336" w:lineRule="auto"/>
        <w:ind w:firstLine="567"/>
        <w:jc w:val="both"/>
        <w:rPr>
          <w:rFonts w:ascii="Sylfaen" w:hAnsi="Sylfaen"/>
          <w:sz w:val="24"/>
          <w:szCs w:val="24"/>
        </w:rPr>
      </w:pPr>
      <w:r w:rsidRPr="00B834A2">
        <w:rPr>
          <w:rStyle w:val="Bodytext31Sylfaen"/>
          <w:sz w:val="24"/>
          <w:szCs w:val="24"/>
        </w:rPr>
        <w:t xml:space="preserve">Որոշ դեպքերում, օրինակ՝ սիալային թթվի կամ այլ մոնոսախարիդների որոշման ժամանակ տվյալները տրամադրում են սիալային թթվի՝ գլիկոպրոտեինի </w:t>
      </w:r>
      <w:r w:rsidRPr="00792625">
        <w:rPr>
          <w:rStyle w:val="Bodytext31Sylfaen"/>
          <w:spacing w:val="-4"/>
          <w:sz w:val="24"/>
          <w:szCs w:val="24"/>
        </w:rPr>
        <w:t xml:space="preserve">մոլային հարաբերակցության տեսքով: Տվյալները հաշվարկում են՝ հաշվի առնելով սիալային թթվի ստանդարտ նմուշը եւ սպիտակուցի վալիդացված մեթոդը: </w:t>
      </w:r>
      <w:r w:rsidRPr="00792625">
        <w:rPr>
          <w:rFonts w:ascii="Sylfaen" w:hAnsi="Sylfaen"/>
          <w:spacing w:val="-4"/>
          <w:sz w:val="24"/>
          <w:szCs w:val="24"/>
        </w:rPr>
        <w:t>Կարող է օգտագործվել ինչպես ներքին ստանդարտի մեթոդը, այնպես էլ ներքին ստանդարտի</w:t>
      </w:r>
      <w:r w:rsidRPr="00B834A2">
        <w:rPr>
          <w:rFonts w:ascii="Sylfaen" w:hAnsi="Sylfaen"/>
          <w:sz w:val="24"/>
          <w:szCs w:val="24"/>
        </w:rPr>
        <w:t xml:space="preserve"> մեթոդը (2.1.2.36):</w:t>
      </w:r>
    </w:p>
    <w:p w14:paraId="3E694EB2" w14:textId="77777777" w:rsidR="00B834A2" w:rsidRPr="00B834A2" w:rsidRDefault="00B834A2" w:rsidP="00792625">
      <w:pPr>
        <w:pStyle w:val="Bodytext310"/>
        <w:shd w:val="clear" w:color="auto" w:fill="auto"/>
        <w:tabs>
          <w:tab w:val="left" w:pos="1276"/>
        </w:tabs>
        <w:spacing w:after="160" w:line="360" w:lineRule="auto"/>
        <w:ind w:firstLine="567"/>
        <w:jc w:val="both"/>
        <w:rPr>
          <w:rFonts w:ascii="Sylfaen" w:hAnsi="Sylfaen"/>
          <w:sz w:val="24"/>
          <w:szCs w:val="24"/>
        </w:rPr>
      </w:pPr>
      <w:r w:rsidRPr="00B834A2">
        <w:rPr>
          <w:rFonts w:ascii="Sylfaen" w:hAnsi="Sylfaen"/>
          <w:sz w:val="24"/>
          <w:szCs w:val="24"/>
        </w:rPr>
        <w:t>3.3.2.</w:t>
      </w:r>
      <w:r w:rsidR="00792625" w:rsidRPr="00097504">
        <w:rPr>
          <w:rFonts w:ascii="Sylfaen" w:hAnsi="Sylfaen"/>
          <w:sz w:val="24"/>
          <w:szCs w:val="24"/>
        </w:rPr>
        <w:tab/>
      </w:r>
      <w:r w:rsidRPr="00B834A2">
        <w:rPr>
          <w:rStyle w:val="Bodytext31Sylfaen23"/>
          <w:sz w:val="24"/>
          <w:szCs w:val="24"/>
        </w:rPr>
        <w:t>Բաժանման պրոֆիլի քանակական արտահայտման եղանակներ</w:t>
      </w:r>
    </w:p>
    <w:p w14:paraId="68FCE6FE" w14:textId="77777777" w:rsidR="00B834A2" w:rsidRPr="00530993" w:rsidRDefault="00B834A2" w:rsidP="00B834A2">
      <w:pPr>
        <w:pStyle w:val="Bodytext310"/>
        <w:shd w:val="clear" w:color="auto" w:fill="auto"/>
        <w:spacing w:after="160" w:line="360" w:lineRule="auto"/>
        <w:ind w:firstLine="567"/>
        <w:jc w:val="both"/>
        <w:rPr>
          <w:rStyle w:val="Bodytext31Sylfaen"/>
          <w:sz w:val="24"/>
          <w:szCs w:val="24"/>
        </w:rPr>
      </w:pPr>
      <w:r w:rsidRPr="00B834A2">
        <w:rPr>
          <w:rStyle w:val="Bodytext31Sylfaen"/>
          <w:sz w:val="24"/>
          <w:szCs w:val="24"/>
        </w:rPr>
        <w:t>Բաշխման պրոֆիլները կամ սխեմաները կարող են ներկայացվել թվային ձ</w:t>
      </w:r>
      <w:r>
        <w:rPr>
          <w:rStyle w:val="Bodytext31Sylfaen"/>
          <w:sz w:val="24"/>
          <w:szCs w:val="24"/>
        </w:rPr>
        <w:t>եւ</w:t>
      </w:r>
      <w:r w:rsidRPr="00B834A2">
        <w:rPr>
          <w:rStyle w:val="Bodytext31Sylfaen"/>
          <w:sz w:val="24"/>
          <w:szCs w:val="24"/>
        </w:rPr>
        <w:t>ով մի շարք եղանակներով՝ ներառյալ կանոնավորման մեթոդիկան. յուրաքանչյուր անալիտիկ թիրախի, օրինակ՝</w:t>
      </w:r>
      <w:r>
        <w:rPr>
          <w:rStyle w:val="Bodytext31Sylfaen"/>
          <w:sz w:val="24"/>
          <w:szCs w:val="24"/>
        </w:rPr>
        <w:t xml:space="preserve"> </w:t>
      </w:r>
      <w:r w:rsidRPr="00B834A2">
        <w:rPr>
          <w:rStyle w:val="Bodytext31Sylfaen"/>
          <w:sz w:val="24"/>
          <w:szCs w:val="24"/>
        </w:rPr>
        <w:t xml:space="preserve">գլիկանի մասի պարունակության տոկոսը, հաշվարկում են որպես բոլոր մասերի ընդհանուր արձագանքի տոկոսային բաղադրիչ գլիկանի մասի արձագանքի որոշման միջոցով՝ հաշվի չառնելով լուծիչների, հավելված ռեակտիվների </w:t>
      </w:r>
      <w:r>
        <w:rPr>
          <w:rStyle w:val="Bodytext31Sylfaen"/>
          <w:sz w:val="24"/>
          <w:szCs w:val="24"/>
        </w:rPr>
        <w:t>եւ</w:t>
      </w:r>
      <w:r w:rsidRPr="00B834A2">
        <w:rPr>
          <w:rStyle w:val="Bodytext31Sylfaen"/>
          <w:sz w:val="24"/>
          <w:szCs w:val="24"/>
        </w:rPr>
        <w:t xml:space="preserve"> հաշվի չառնվող սահմանից ցածր ազդանշանների արձագանքները: Բացի այդ՝ կարող են օգտագործվել այնպիսի թվային արտահայտություններ, ինչպես օրինակ՝ Z</w:t>
      </w:r>
      <w:r>
        <w:rPr>
          <w:rStyle w:val="Bodytext31Sylfaen"/>
          <w:sz w:val="24"/>
          <w:szCs w:val="24"/>
        </w:rPr>
        <w:t xml:space="preserve"> </w:t>
      </w:r>
      <w:r w:rsidRPr="00B834A2">
        <w:rPr>
          <w:rStyle w:val="Bodytext31Sylfaen"/>
          <w:sz w:val="24"/>
          <w:szCs w:val="24"/>
        </w:rPr>
        <w:t xml:space="preserve">թիվ, որոնք մասնահատուկ են մեթոդին ու պրոդուկտին </w:t>
      </w:r>
      <w:r>
        <w:rPr>
          <w:rStyle w:val="Bodytext31Sylfaen"/>
          <w:sz w:val="24"/>
          <w:szCs w:val="24"/>
        </w:rPr>
        <w:t>եւ</w:t>
      </w:r>
      <w:r w:rsidRPr="00B834A2">
        <w:rPr>
          <w:rStyle w:val="Bodytext31Sylfaen"/>
          <w:sz w:val="24"/>
          <w:szCs w:val="24"/>
        </w:rPr>
        <w:t xml:space="preserve"> նկարագրված են մասնավոր դեղագրքային հոդվածներում:</w:t>
      </w:r>
    </w:p>
    <w:p w14:paraId="4936806E" w14:textId="77777777" w:rsidR="006F79C2" w:rsidRPr="00530993" w:rsidRDefault="006F79C2" w:rsidP="00B834A2">
      <w:pPr>
        <w:pStyle w:val="Bodytext310"/>
        <w:shd w:val="clear" w:color="auto" w:fill="auto"/>
        <w:spacing w:after="160" w:line="360" w:lineRule="auto"/>
        <w:ind w:firstLine="567"/>
        <w:jc w:val="both"/>
        <w:rPr>
          <w:rFonts w:ascii="Sylfaen" w:hAnsi="Sylfaen"/>
          <w:sz w:val="24"/>
          <w:szCs w:val="24"/>
        </w:rPr>
      </w:pPr>
    </w:p>
    <w:p w14:paraId="4AE9D3DA"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val="0"/>
          <w:sz w:val="24"/>
          <w:szCs w:val="24"/>
        </w:rPr>
        <w:t>4.</w:t>
      </w:r>
      <w:r w:rsidR="00792625" w:rsidRPr="00097504">
        <w:rPr>
          <w:rFonts w:ascii="Sylfaen" w:hAnsi="Sylfaen"/>
          <w:i w:val="0"/>
          <w:sz w:val="24"/>
          <w:szCs w:val="24"/>
        </w:rPr>
        <w:tab/>
      </w:r>
      <w:r w:rsidRPr="00B834A2">
        <w:rPr>
          <w:rStyle w:val="Bodytext31Sylfaen22"/>
          <w:sz w:val="24"/>
          <w:szCs w:val="24"/>
        </w:rPr>
        <w:t>ՍՏԱՆԴԱՐՏ ՆՄՈՒՇՆԵՐ</w:t>
      </w:r>
    </w:p>
    <w:p w14:paraId="07712E83" w14:textId="77777777" w:rsidR="00B834A2" w:rsidRPr="00530993" w:rsidRDefault="00B834A2" w:rsidP="00B834A2">
      <w:pPr>
        <w:pStyle w:val="Bodytext310"/>
        <w:shd w:val="clear" w:color="auto" w:fill="auto"/>
        <w:spacing w:after="160" w:line="360" w:lineRule="auto"/>
        <w:ind w:firstLine="567"/>
        <w:jc w:val="both"/>
        <w:rPr>
          <w:rStyle w:val="Bodytext31Sylfaen"/>
          <w:sz w:val="24"/>
          <w:szCs w:val="24"/>
        </w:rPr>
      </w:pPr>
      <w:r w:rsidRPr="00B834A2">
        <w:rPr>
          <w:rStyle w:val="Bodytext31Sylfaen"/>
          <w:sz w:val="24"/>
          <w:szCs w:val="24"/>
        </w:rPr>
        <w:t xml:space="preserve">Ստանդարտ նմուշները գլիկանների անալիզի համար օգտագործում են երկու նպատակով՝ համակարգի պիտանիության ստուգում </w:t>
      </w:r>
      <w:r>
        <w:rPr>
          <w:rStyle w:val="Bodytext31Sylfaen"/>
          <w:sz w:val="24"/>
          <w:szCs w:val="24"/>
        </w:rPr>
        <w:t>եւ</w:t>
      </w:r>
      <w:r w:rsidRPr="00B834A2">
        <w:rPr>
          <w:rStyle w:val="Bodytext31Sylfaen"/>
          <w:sz w:val="24"/>
          <w:szCs w:val="24"/>
        </w:rPr>
        <w:t xml:space="preserve"> փորձարկվող նմուշի՝ սպեցիֆիկացված պահանջներին համապատասխանության հաստատում:</w:t>
      </w:r>
    </w:p>
    <w:p w14:paraId="1C1202AD"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lastRenderedPageBreak/>
        <w:t>Համակարգի պիտանիության ստուգման համար օգտագործվող ստանդարտ նմուշներ կարող են լինել՝</w:t>
      </w:r>
    </w:p>
    <w:p w14:paraId="79FD6B54" w14:textId="77777777" w:rsidR="00B834A2" w:rsidRPr="00C73EF1"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B834A2">
        <w:rPr>
          <w:rFonts w:ascii="Sylfaen" w:hAnsi="Sylfaen"/>
          <w:i w:val="0"/>
          <w:sz w:val="24"/>
          <w:szCs w:val="24"/>
        </w:rPr>
        <w:t>-</w:t>
      </w:r>
      <w:r w:rsidR="00792625" w:rsidRPr="00792625">
        <w:rPr>
          <w:rFonts w:ascii="Sylfaen" w:hAnsi="Sylfaen"/>
          <w:i w:val="0"/>
          <w:sz w:val="24"/>
          <w:szCs w:val="24"/>
        </w:rPr>
        <w:tab/>
      </w:r>
      <w:r w:rsidRPr="00C73EF1">
        <w:rPr>
          <w:rFonts w:ascii="Sylfaen" w:hAnsi="Sylfaen"/>
          <w:i w:val="0"/>
          <w:sz w:val="24"/>
          <w:szCs w:val="24"/>
        </w:rPr>
        <w:t xml:space="preserve">փորձարկվող նյութի ստանդարտ նմուշ. </w:t>
      </w:r>
    </w:p>
    <w:p w14:paraId="0A0B7679"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val="0"/>
          <w:sz w:val="24"/>
          <w:szCs w:val="24"/>
        </w:rPr>
        <w:t>-</w:t>
      </w:r>
      <w:r w:rsidR="00792625" w:rsidRPr="00792625">
        <w:rPr>
          <w:rFonts w:ascii="Sylfaen" w:hAnsi="Sylfaen"/>
          <w:i w:val="0"/>
          <w:sz w:val="24"/>
          <w:szCs w:val="24"/>
        </w:rPr>
        <w:tab/>
      </w:r>
      <w:r w:rsidRPr="00B834A2">
        <w:rPr>
          <w:rStyle w:val="Bodytext31Sylfaen"/>
          <w:sz w:val="24"/>
          <w:szCs w:val="24"/>
        </w:rPr>
        <w:t xml:space="preserve">փորձարկվող նյութի ամբողջությամբ ուսումնասիրված ստանդարտ նմուշից ճեղքված օլիգոսախարիդային շղթա. </w:t>
      </w:r>
    </w:p>
    <w:p w14:paraId="74CCA44B"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val="0"/>
          <w:sz w:val="24"/>
          <w:szCs w:val="24"/>
        </w:rPr>
        <w:t>-</w:t>
      </w:r>
      <w:r w:rsidR="00792625" w:rsidRPr="00792625">
        <w:rPr>
          <w:rFonts w:ascii="Sylfaen" w:hAnsi="Sylfaen"/>
          <w:i w:val="0"/>
          <w:sz w:val="24"/>
          <w:szCs w:val="24"/>
        </w:rPr>
        <w:tab/>
      </w:r>
      <w:r w:rsidRPr="00B834A2">
        <w:rPr>
          <w:rStyle w:val="Bodytext31Sylfaen"/>
          <w:sz w:val="24"/>
          <w:szCs w:val="24"/>
        </w:rPr>
        <w:t>գլիկոպրոտեիններից ճեղքված լավ ուսումնասիրված օլիգոսախարիդային շղթաներ (օրինակ՝ ֆետուին, IgG).</w:t>
      </w:r>
    </w:p>
    <w:p w14:paraId="69C7D51E"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val="0"/>
          <w:sz w:val="24"/>
          <w:szCs w:val="24"/>
        </w:rPr>
        <w:t>-</w:t>
      </w:r>
      <w:r w:rsidR="00792625" w:rsidRPr="00792625">
        <w:rPr>
          <w:rFonts w:ascii="Sylfaen" w:hAnsi="Sylfaen"/>
          <w:i w:val="0"/>
          <w:sz w:val="24"/>
          <w:szCs w:val="24"/>
        </w:rPr>
        <w:tab/>
      </w:r>
      <w:r w:rsidRPr="00B834A2">
        <w:rPr>
          <w:rStyle w:val="Bodytext31Sylfaen"/>
          <w:sz w:val="24"/>
          <w:szCs w:val="24"/>
        </w:rPr>
        <w:t xml:space="preserve">գլիկանների ածանցյալներ (նշանադրված գլիկաններ), որոնց համար հաստատված է իսկությունը </w:t>
      </w:r>
      <w:r>
        <w:rPr>
          <w:rStyle w:val="Bodytext31Sylfaen"/>
          <w:sz w:val="24"/>
          <w:szCs w:val="24"/>
        </w:rPr>
        <w:t>եւ</w:t>
      </w:r>
      <w:r w:rsidRPr="00B834A2">
        <w:rPr>
          <w:rStyle w:val="Bodytext31Sylfaen"/>
          <w:sz w:val="24"/>
          <w:szCs w:val="24"/>
        </w:rPr>
        <w:t xml:space="preserve"> մաքրությունը (քանակական պարունակությունը):</w:t>
      </w:r>
    </w:p>
    <w:p w14:paraId="3247D41D"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 xml:space="preserve">Փորձարկվող գլիկոպրոտեինի համապատասխանության մասին </w:t>
      </w:r>
      <w:r w:rsidRPr="00792625">
        <w:rPr>
          <w:rStyle w:val="Bodytext31Sylfaen"/>
          <w:spacing w:val="-4"/>
          <w:sz w:val="24"/>
          <w:szCs w:val="24"/>
        </w:rPr>
        <w:t>եզրակացության ստացման համար օգտագործվող ստանդարտ նմուշը փորձարկվող նյութերից պատրաստուկ է: Մասնավոր դեղագրքային հոդվածներում նկարագրված գլիկանների անալիզի մեթոդիկաները նախատեսում են փորձարկվող նյութի համար ստանդարտ նմուշի օգտագործում, որի համար վալիդացվել</w:t>
      </w:r>
      <w:r w:rsidRPr="00B834A2">
        <w:rPr>
          <w:rStyle w:val="Bodytext31Sylfaen"/>
          <w:sz w:val="24"/>
          <w:szCs w:val="24"/>
        </w:rPr>
        <w:t xml:space="preserve"> է անալիզի մեթոդիկան:</w:t>
      </w:r>
    </w:p>
    <w:p w14:paraId="08A12BD0" w14:textId="77777777" w:rsidR="00B834A2" w:rsidRPr="00B834A2" w:rsidRDefault="00B834A2" w:rsidP="00B834A2">
      <w:pPr>
        <w:pStyle w:val="Bodytext310"/>
        <w:shd w:val="clear" w:color="auto" w:fill="auto"/>
        <w:spacing w:after="160" w:line="360" w:lineRule="auto"/>
        <w:ind w:firstLine="567"/>
        <w:jc w:val="both"/>
        <w:rPr>
          <w:rFonts w:ascii="Sylfaen" w:eastAsia="Sylfaen" w:hAnsi="Sylfaen" w:cs="Sylfaen"/>
          <w:i w:val="0"/>
          <w:iCs w:val="0"/>
          <w:sz w:val="24"/>
          <w:szCs w:val="24"/>
        </w:rPr>
      </w:pPr>
    </w:p>
    <w:p w14:paraId="2A1A84C9"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val="0"/>
          <w:sz w:val="24"/>
          <w:szCs w:val="24"/>
        </w:rPr>
        <w:t>5.</w:t>
      </w:r>
      <w:r w:rsidR="00792625" w:rsidRPr="00792625">
        <w:rPr>
          <w:rFonts w:ascii="Sylfaen" w:hAnsi="Sylfaen"/>
          <w:i w:val="0"/>
          <w:sz w:val="24"/>
          <w:szCs w:val="24"/>
        </w:rPr>
        <w:tab/>
      </w:r>
      <w:r w:rsidRPr="00B834A2">
        <w:rPr>
          <w:rStyle w:val="Bodytext31Sylfaen22"/>
          <w:sz w:val="24"/>
          <w:szCs w:val="24"/>
        </w:rPr>
        <w:t>ՄԵԹՈԴԻԿԱՆԵՐԻ ՄՇԱԿՄԱՆ ՓՈՒԼԵՐ ԵՒ ԴՐԱՆՑ ՎԱԼԻԴԱՑՈՒՄ</w:t>
      </w:r>
    </w:p>
    <w:p w14:paraId="5664CBAA" w14:textId="77777777" w:rsidR="00B834A2" w:rsidRPr="00C73EF1" w:rsidRDefault="00B834A2" w:rsidP="00B834A2">
      <w:pPr>
        <w:pStyle w:val="Bodytext310"/>
        <w:shd w:val="clear" w:color="auto" w:fill="auto"/>
        <w:spacing w:after="160" w:line="360" w:lineRule="auto"/>
        <w:ind w:firstLine="567"/>
        <w:jc w:val="both"/>
        <w:rPr>
          <w:rFonts w:ascii="Sylfaen" w:hAnsi="Sylfaen"/>
          <w:i w:val="0"/>
          <w:sz w:val="24"/>
          <w:szCs w:val="24"/>
        </w:rPr>
      </w:pPr>
      <w:r w:rsidRPr="00C73EF1">
        <w:rPr>
          <w:rFonts w:ascii="Sylfaen" w:hAnsi="Sylfaen"/>
          <w:i w:val="0"/>
          <w:sz w:val="24"/>
          <w:szCs w:val="24"/>
        </w:rPr>
        <w:t>Սույն բաժնում ներկայացված են ընդհանուր առմամբ մեթոդի կատարման գնահատման եղանակները՝ այն մշակելիս:</w:t>
      </w:r>
      <w:r w:rsidRPr="00B834A2">
        <w:rPr>
          <w:rFonts w:ascii="Sylfaen" w:hAnsi="Sylfaen"/>
          <w:sz w:val="24"/>
          <w:szCs w:val="24"/>
        </w:rPr>
        <w:t xml:space="preserve"> </w:t>
      </w:r>
      <w:r w:rsidRPr="00B834A2">
        <w:rPr>
          <w:rStyle w:val="Bodytext31Sylfaen"/>
          <w:sz w:val="24"/>
          <w:szCs w:val="24"/>
        </w:rPr>
        <w:t xml:space="preserve">Մեթոդի մշակման աստիճանը </w:t>
      </w:r>
      <w:r>
        <w:rPr>
          <w:rStyle w:val="Bodytext31Sylfaen"/>
          <w:sz w:val="24"/>
          <w:szCs w:val="24"/>
        </w:rPr>
        <w:t>եւ</w:t>
      </w:r>
      <w:r w:rsidRPr="00B834A2">
        <w:rPr>
          <w:rStyle w:val="Bodytext31Sylfaen"/>
          <w:sz w:val="24"/>
          <w:szCs w:val="24"/>
        </w:rPr>
        <w:t xml:space="preserve"> անալիտիկ վալիդացումն ընտրվում է որոշակի պրոդուկտի համար դրանց պիտանիության հիման վրա: </w:t>
      </w:r>
      <w:r w:rsidRPr="00C73EF1">
        <w:rPr>
          <w:rFonts w:ascii="Sylfaen" w:hAnsi="Sylfaen"/>
          <w:i w:val="0"/>
          <w:sz w:val="24"/>
          <w:szCs w:val="24"/>
        </w:rPr>
        <w:t xml:space="preserve">Պայմանավորված ընտրված մեթոդով՝ գլիկանների անալիզի համար անհրաժեշտ են որոշակի գործողություններ, ինչպես օրինակ՝ </w:t>
      </w:r>
    </w:p>
    <w:p w14:paraId="73E61EE2" w14:textId="77777777" w:rsidR="00B834A2" w:rsidRPr="00C73EF1"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գլիկոպրոտեինի անջատում եւ մաքրում (կամ ապահանքայնացում).</w:t>
      </w:r>
    </w:p>
    <w:p w14:paraId="5E3BB40B" w14:textId="77777777" w:rsidR="00B834A2" w:rsidRPr="00C73EF1" w:rsidRDefault="00B834A2" w:rsidP="00792625">
      <w:pPr>
        <w:pStyle w:val="Bodytext310"/>
        <w:shd w:val="clear" w:color="auto" w:fill="auto"/>
        <w:tabs>
          <w:tab w:val="left" w:pos="1134"/>
        </w:tabs>
        <w:spacing w:after="160" w:line="34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 xml:space="preserve">միայն N- կամ միայն </w:t>
      </w:r>
      <w:r w:rsidR="00076FC4" w:rsidRPr="00076FC4">
        <w:rPr>
          <w:rFonts w:ascii="Sylfaen" w:hAnsi="Sylfaen"/>
          <w:i w:val="0"/>
          <w:sz w:val="24"/>
          <w:szCs w:val="24"/>
        </w:rPr>
        <w:t xml:space="preserve">O </w:t>
      </w:r>
      <w:r w:rsidRPr="00C73EF1">
        <w:rPr>
          <w:rFonts w:ascii="Sylfaen" w:hAnsi="Sylfaen"/>
          <w:i w:val="0"/>
          <w:sz w:val="24"/>
          <w:szCs w:val="24"/>
        </w:rPr>
        <w:t xml:space="preserve">-կապված գլիկանների </w:t>
      </w:r>
      <w:r w:rsidRPr="00C73EF1">
        <w:rPr>
          <w:rStyle w:val="Bodytext315pt"/>
          <w:rFonts w:ascii="Sylfaen" w:eastAsia="Sylfaen" w:hAnsi="Sylfaen"/>
          <w:i w:val="0"/>
          <w:sz w:val="24"/>
          <w:szCs w:val="24"/>
        </w:rPr>
        <w:t>«</w:t>
      </w:r>
      <w:r w:rsidRPr="00C73EF1">
        <w:rPr>
          <w:rFonts w:ascii="Sylfaen" w:hAnsi="Sylfaen"/>
          <w:i w:val="0"/>
          <w:sz w:val="24"/>
          <w:szCs w:val="24"/>
        </w:rPr>
        <w:t>հենարանային</w:t>
      </w:r>
      <w:r w:rsidRPr="00C73EF1">
        <w:rPr>
          <w:rStyle w:val="Bodytext315pt"/>
          <w:rFonts w:ascii="Sylfaen" w:eastAsia="Sylfaen" w:hAnsi="Sylfaen"/>
          <w:i w:val="0"/>
          <w:sz w:val="24"/>
          <w:szCs w:val="24"/>
        </w:rPr>
        <w:t>»</w:t>
      </w:r>
      <w:r w:rsidRPr="00C73EF1">
        <w:rPr>
          <w:rFonts w:ascii="Sylfaen" w:hAnsi="Sylfaen"/>
          <w:i w:val="0"/>
          <w:sz w:val="24"/>
          <w:szCs w:val="24"/>
        </w:rPr>
        <w:t xml:space="preserve"> սպիտակուցից ընտրողական ճեղքման նպատակով գլիկոպրոտեինի ֆերմենտատիվ (կամ քիմիական) մշակում.</w:t>
      </w:r>
    </w:p>
    <w:p w14:paraId="3376F239" w14:textId="77777777" w:rsidR="00B834A2" w:rsidRPr="00B834A2" w:rsidRDefault="00B834A2" w:rsidP="00792625">
      <w:pPr>
        <w:tabs>
          <w:tab w:val="left" w:pos="1134"/>
        </w:tabs>
        <w:spacing w:after="160" w:line="346" w:lineRule="auto"/>
        <w:ind w:firstLine="567"/>
        <w:jc w:val="both"/>
      </w:pPr>
      <w:r w:rsidRPr="00B834A2">
        <w:t>-</w:t>
      </w:r>
      <w:r w:rsidR="00792625" w:rsidRPr="00792625">
        <w:tab/>
      </w:r>
      <w:r w:rsidRPr="00B834A2">
        <w:t xml:space="preserve">ճեղքված գլիկանների անջատում </w:t>
      </w:r>
      <w:r>
        <w:t>եւ</w:t>
      </w:r>
      <w:r w:rsidRPr="00B834A2">
        <w:t xml:space="preserve"> մաքրում. </w:t>
      </w:r>
    </w:p>
    <w:p w14:paraId="75374195"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lastRenderedPageBreak/>
        <w:t>-</w:t>
      </w:r>
      <w:r w:rsidR="00792625" w:rsidRPr="00792625">
        <w:rPr>
          <w:rFonts w:ascii="Sylfaen" w:hAnsi="Sylfaen"/>
          <w:sz w:val="24"/>
          <w:szCs w:val="24"/>
        </w:rPr>
        <w:tab/>
      </w:r>
      <w:r w:rsidRPr="00C73EF1">
        <w:rPr>
          <w:rFonts w:ascii="Sylfaen" w:hAnsi="Sylfaen"/>
          <w:i w:val="0"/>
          <w:sz w:val="24"/>
          <w:szCs w:val="24"/>
        </w:rPr>
        <w:t xml:space="preserve">ճեղքված սիալային թթվի եւ մոնոսախարիդային մնացորդների վերահսկողություն. </w:t>
      </w:r>
    </w:p>
    <w:p w14:paraId="63DBD8E7"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 xml:space="preserve">ճեղքված գլիկանների քրոմոֆորային նշանադրում. </w:t>
      </w:r>
    </w:p>
    <w:p w14:paraId="041D05CA"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 xml:space="preserve">նատիվ կամ ֆլուորեսցենտային-նշանադրված գլիկանների բաժանում. </w:t>
      </w:r>
    </w:p>
    <w:p w14:paraId="6873D120"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գլիկանների նույնականացում եւ քանակական որոշում (օրինակ՝ Z թվի հաշվում).</w:t>
      </w:r>
    </w:p>
    <w:p w14:paraId="3E2AA20D" w14:textId="77777777" w:rsidR="00B834A2" w:rsidRPr="00C73EF1" w:rsidRDefault="00B834A2" w:rsidP="006F79C2">
      <w:pPr>
        <w:pStyle w:val="Bodytext310"/>
        <w:shd w:val="clear" w:color="auto" w:fill="auto"/>
        <w:tabs>
          <w:tab w:val="left" w:pos="1134"/>
        </w:tabs>
        <w:spacing w:after="160" w:line="336" w:lineRule="auto"/>
        <w:ind w:firstLine="567"/>
        <w:jc w:val="both"/>
        <w:rPr>
          <w:rFonts w:ascii="Sylfaen" w:hAnsi="Sylfaen"/>
          <w:i w:val="0"/>
          <w:sz w:val="24"/>
          <w:szCs w:val="24"/>
        </w:rPr>
      </w:pPr>
      <w:r w:rsidRPr="00B834A2">
        <w:rPr>
          <w:rFonts w:ascii="Sylfaen" w:hAnsi="Sylfaen"/>
          <w:sz w:val="24"/>
          <w:szCs w:val="24"/>
        </w:rPr>
        <w:t>-</w:t>
      </w:r>
      <w:r w:rsidR="00792625" w:rsidRPr="00792625">
        <w:rPr>
          <w:rFonts w:ascii="Sylfaen" w:hAnsi="Sylfaen"/>
          <w:sz w:val="24"/>
          <w:szCs w:val="24"/>
        </w:rPr>
        <w:tab/>
      </w:r>
      <w:r w:rsidRPr="00C73EF1">
        <w:rPr>
          <w:rFonts w:ascii="Sylfaen" w:hAnsi="Sylfaen"/>
          <w:i w:val="0"/>
          <w:sz w:val="24"/>
          <w:szCs w:val="24"/>
        </w:rPr>
        <w:t>գլիկոզիլացված եւ չգլիկոզիլացված պեպտիդների հարաբերական քանակությունների հիման վրա կապման դիրքերի որոշումը:</w:t>
      </w:r>
    </w:p>
    <w:p w14:paraId="04979602" w14:textId="77777777" w:rsidR="00B834A2" w:rsidRPr="00B834A2" w:rsidRDefault="00B834A2" w:rsidP="006F79C2">
      <w:pPr>
        <w:pStyle w:val="Bodytext310"/>
        <w:shd w:val="clear" w:color="auto" w:fill="auto"/>
        <w:tabs>
          <w:tab w:val="left" w:pos="1134"/>
        </w:tabs>
        <w:spacing w:after="160" w:line="336" w:lineRule="auto"/>
        <w:ind w:firstLine="567"/>
        <w:jc w:val="both"/>
        <w:rPr>
          <w:rFonts w:ascii="Sylfaen" w:hAnsi="Sylfaen"/>
          <w:sz w:val="24"/>
          <w:szCs w:val="24"/>
        </w:rPr>
      </w:pPr>
      <w:r w:rsidRPr="00B834A2">
        <w:rPr>
          <w:rStyle w:val="Bodytext31Sylfaen22"/>
          <w:sz w:val="24"/>
          <w:szCs w:val="24"/>
        </w:rPr>
        <w:t xml:space="preserve">Սպիտակուցների անջատում </w:t>
      </w:r>
      <w:r>
        <w:rPr>
          <w:rStyle w:val="Bodytext31Sylfaen22"/>
          <w:sz w:val="24"/>
          <w:szCs w:val="24"/>
        </w:rPr>
        <w:t>եւ</w:t>
      </w:r>
      <w:r w:rsidRPr="00B834A2">
        <w:rPr>
          <w:rStyle w:val="Bodytext31Sylfaen22"/>
          <w:sz w:val="24"/>
          <w:szCs w:val="24"/>
        </w:rPr>
        <w:t xml:space="preserve"> մաքրում: </w:t>
      </w:r>
      <w:r w:rsidRPr="00B834A2">
        <w:rPr>
          <w:rStyle w:val="Bodytext31Sylfaen"/>
          <w:sz w:val="24"/>
          <w:szCs w:val="24"/>
        </w:rPr>
        <w:t xml:space="preserve">Խանգարող նյութերի հեռացման համար (օրինակ՝ օժանդակ նյութեր, աղեր) կարող է պետք գալ մատրիցից գլիկոպրոտեինների անջատում </w:t>
      </w:r>
      <w:r>
        <w:rPr>
          <w:rStyle w:val="Bodytext31Sylfaen"/>
          <w:sz w:val="24"/>
          <w:szCs w:val="24"/>
        </w:rPr>
        <w:t>եւ</w:t>
      </w:r>
      <w:r w:rsidRPr="00B834A2">
        <w:rPr>
          <w:rStyle w:val="Bodytext31Sylfaen"/>
          <w:sz w:val="24"/>
          <w:szCs w:val="24"/>
        </w:rPr>
        <w:t xml:space="preserve"> մաքրում, ինչն անհրաժեշտության դեպքում նկարագրում են մասնավոր դեղագրքային հոդվածում: Մաքրման մեթոդիկաները կարող են վալիդացվել վերարտադրելիության մասով՝ երաշխավորելու համար սպիտակուցի քանակական բացելիության հաստատունությունը:</w:t>
      </w:r>
    </w:p>
    <w:p w14:paraId="46627091" w14:textId="77777777" w:rsidR="00B834A2" w:rsidRPr="00B834A2" w:rsidRDefault="00B834A2" w:rsidP="006F79C2">
      <w:pPr>
        <w:pStyle w:val="Bodytext310"/>
        <w:shd w:val="clear" w:color="auto" w:fill="auto"/>
        <w:tabs>
          <w:tab w:val="left" w:pos="1134"/>
        </w:tabs>
        <w:spacing w:after="160" w:line="336" w:lineRule="auto"/>
        <w:ind w:firstLine="567"/>
        <w:jc w:val="both"/>
        <w:rPr>
          <w:rFonts w:ascii="Sylfaen" w:hAnsi="Sylfaen"/>
          <w:sz w:val="24"/>
          <w:szCs w:val="24"/>
        </w:rPr>
      </w:pPr>
      <w:r w:rsidRPr="00B834A2">
        <w:rPr>
          <w:rStyle w:val="Bodytext31Sylfaen22"/>
          <w:sz w:val="24"/>
          <w:szCs w:val="24"/>
        </w:rPr>
        <w:t xml:space="preserve">Օլիգոսախարիդների ճեղքում </w:t>
      </w:r>
      <w:r>
        <w:rPr>
          <w:rStyle w:val="Bodytext31Sylfaen22"/>
          <w:sz w:val="24"/>
          <w:szCs w:val="24"/>
        </w:rPr>
        <w:t>եւ</w:t>
      </w:r>
      <w:r w:rsidRPr="00B834A2">
        <w:rPr>
          <w:rStyle w:val="Bodytext31Sylfaen22"/>
          <w:sz w:val="24"/>
          <w:szCs w:val="24"/>
        </w:rPr>
        <w:t xml:space="preserve"> անջատում: </w:t>
      </w:r>
      <w:r w:rsidRPr="0038660A">
        <w:rPr>
          <w:rFonts w:ascii="Sylfaen" w:hAnsi="Sylfaen"/>
          <w:i w:val="0"/>
          <w:sz w:val="24"/>
          <w:szCs w:val="24"/>
        </w:rPr>
        <w:t xml:space="preserve">Գլիկաններիիդների ճեղքում եւ անջատում: </w:t>
      </w:r>
      <w:r w:rsidR="0038660A" w:rsidRPr="0038660A">
        <w:rPr>
          <w:rFonts w:ascii="Sylfaen" w:hAnsi="Sylfaen"/>
          <w:i w:val="0"/>
          <w:sz w:val="24"/>
          <w:szCs w:val="24"/>
        </w:rPr>
        <w:t>թյան մասով՝ երաշխավորելու համար</w:t>
      </w:r>
      <w:r w:rsidRPr="0038660A">
        <w:rPr>
          <w:rFonts w:ascii="Sylfaen" w:hAnsi="Sylfaen"/>
          <w:i w:val="0"/>
          <w:sz w:val="24"/>
          <w:szCs w:val="24"/>
        </w:rPr>
        <w:t>: Մաքրման մեթոդակում.ակելիս: (քանակական ն տեսակի վրա, այսինքն՝ N-կամ О-կապված գլիկոզիլացում:</w:t>
      </w:r>
      <w:r w:rsidRPr="00B834A2">
        <w:rPr>
          <w:rFonts w:ascii="Sylfaen" w:hAnsi="Sylfaen"/>
          <w:sz w:val="24"/>
          <w:szCs w:val="24"/>
        </w:rPr>
        <w:t xml:space="preserve"> </w:t>
      </w:r>
      <w:r w:rsidRPr="00B834A2">
        <w:rPr>
          <w:rStyle w:val="Bodytext31Sylfaen"/>
          <w:sz w:val="24"/>
          <w:szCs w:val="24"/>
        </w:rPr>
        <w:t>Գլիկանների ճեղքման մեթոդների դեղագրքում չնշված կիրառումը հնարավոր է միայն մոլեկուլի բոլոր գլիկանային մասերի քանակական պրոֆիլավորման հաստատման նպատակով այդ մեթոդների օպտիմալացումից հետո: Պետք է օպտիմալացվեն բոլոր գործոնները, որոնք օժտված են ճեղքման արդյունավետության վրա էական ազդեցությամբ, օրինակ՝ ֆերմենտ/սպիտակուց հարաբերական կոնցենտրացիա, ջերմաստիճան, ժամանակի ընթացքում ռեակցիայի ընթացք՝ մինչ ճեղքման մեկնարկը սպիտակուցի բնափոխություն:</w:t>
      </w:r>
    </w:p>
    <w:p w14:paraId="49853A19" w14:textId="77777777" w:rsidR="00B834A2" w:rsidRPr="00B834A2" w:rsidRDefault="00B834A2" w:rsidP="006F79C2">
      <w:pPr>
        <w:pStyle w:val="Bodytext310"/>
        <w:shd w:val="clear" w:color="auto" w:fill="auto"/>
        <w:spacing w:after="160" w:line="336" w:lineRule="auto"/>
        <w:ind w:firstLine="567"/>
        <w:jc w:val="both"/>
        <w:rPr>
          <w:rFonts w:ascii="Sylfaen" w:hAnsi="Sylfaen"/>
          <w:sz w:val="24"/>
          <w:szCs w:val="24"/>
        </w:rPr>
      </w:pPr>
      <w:r w:rsidRPr="00B834A2">
        <w:rPr>
          <w:rStyle w:val="Bodytext31Sylfaen"/>
          <w:sz w:val="24"/>
          <w:szCs w:val="24"/>
        </w:rPr>
        <w:t xml:space="preserve">Անհրաժեշտ է նշել, որ ֆերմենտատիվ/քիմիական ռեակցիան չպետք է փոփոխի գլիկանի կառուցվածքը, օրինակ՝ չպետք է քայքայի սիալային թթվի մնացորդները: Այնտեղ, որտեղ առկա է գլիկոզիլացման մեկից ավելի դիրք, ֆերմենտատիվ մշակման ժամանակ պետք է համեմատական ճեղքվեն սպիտակուցին միացված օլիգոսախարիդների բոլոր ֆրագմենտները՝ անկախ </w:t>
      </w:r>
      <w:r w:rsidRPr="00B834A2">
        <w:rPr>
          <w:rStyle w:val="Bodytext31Sylfaen"/>
          <w:sz w:val="24"/>
          <w:szCs w:val="24"/>
        </w:rPr>
        <w:lastRenderedPageBreak/>
        <w:t xml:space="preserve">դրանց կառուցվածքից </w:t>
      </w:r>
      <w:r>
        <w:rPr>
          <w:rStyle w:val="Bodytext31Sylfaen"/>
          <w:sz w:val="24"/>
          <w:szCs w:val="24"/>
        </w:rPr>
        <w:t>եւ</w:t>
      </w:r>
      <w:r w:rsidRPr="00B834A2">
        <w:rPr>
          <w:rStyle w:val="Bodytext31Sylfaen"/>
          <w:sz w:val="24"/>
          <w:szCs w:val="24"/>
        </w:rPr>
        <w:t xml:space="preserve"> սպիտակուցում դրա կոնկրետ տեղից: Պետք է հաստատվի ռեակցիոն խառնուրդից կազմված բոլոր գլիկանային բաղադրիչների բացելիությունը:</w:t>
      </w:r>
    </w:p>
    <w:p w14:paraId="1712BF9B"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22"/>
          <w:sz w:val="24"/>
          <w:szCs w:val="24"/>
        </w:rPr>
        <w:t xml:space="preserve">Ճեղքված գլիկանների դերիվատացում: </w:t>
      </w:r>
      <w:r w:rsidRPr="00B834A2">
        <w:rPr>
          <w:rStyle w:val="Bodytext31Sylfaen"/>
          <w:sz w:val="24"/>
          <w:szCs w:val="24"/>
        </w:rPr>
        <w:t xml:space="preserve">Դերիվատացումը սովորաբար կատարում են դեղագրքում չնկարագրված մեթոդիկաներին համապատասխան: Այդ իսկ պատճառով՝ բոլոր գլիկանային խմբերի դերիվատացումը պետք է վերիֆիկացվի, ինչը կարող է ապահովվել ռեակցիաների պայմանների օպտիմալացման դեպքում, ինչպես օրինակ՝ դերիվատացման ռեակտիվների քանակություն, ջերմաստիճան </w:t>
      </w:r>
      <w:r>
        <w:rPr>
          <w:rStyle w:val="Bodytext31Sylfaen"/>
          <w:sz w:val="24"/>
          <w:szCs w:val="24"/>
        </w:rPr>
        <w:t>եւ</w:t>
      </w:r>
      <w:r w:rsidRPr="00B834A2">
        <w:rPr>
          <w:rStyle w:val="Bodytext31Sylfaen"/>
          <w:sz w:val="24"/>
          <w:szCs w:val="24"/>
        </w:rPr>
        <w:t xml:space="preserve"> ռեակցիայի ժամանակ: Դերիվատացման ռեակցիան չպետք է փոփոխի գլիկանի կառուցվածքը, օրինակ՝ չպետք է քայքայի սիալային թթվի մնացորդը:</w:t>
      </w:r>
    </w:p>
    <w:p w14:paraId="454D4DB6" w14:textId="77777777" w:rsidR="00B834A2" w:rsidRPr="00B834A2" w:rsidRDefault="00000000" w:rsidP="00B834A2">
      <w:pPr>
        <w:spacing w:after="160" w:line="360" w:lineRule="auto"/>
        <w:jc w:val="center"/>
      </w:pPr>
      <w:r>
        <w:rPr>
          <w:noProof/>
          <w:lang w:val="en-US" w:eastAsia="en-US" w:bidi="ar-SA"/>
        </w:rPr>
        <w:pict w14:anchorId="2F8E8944">
          <v:group id="_x0000_s1391" style="position:absolute;left:0;text-align:left;margin-left:16.65pt;margin-top:11.75pt;width:436.85pt;height:346.15pt;z-index:251827200" coordorigin="1751,1653" coordsize="8737,6923">
            <v:shape id="_x0000_s1072" type="#_x0000_t202" style="position:absolute;left:3752;top:1653;width:3953;height:389;mso-width-relative:margin;mso-height-relative:margin" fillcolor="white [3212]" strokecolor="white [3212]">
              <v:textbox style="mso-next-textbox:#_x0000_s1072" inset="0,0,0,0">
                <w:txbxContent>
                  <w:p w14:paraId="1114E360" w14:textId="77777777" w:rsidR="008D6E8B" w:rsidRPr="00792625" w:rsidRDefault="008D6E8B" w:rsidP="00B834A2">
                    <w:pPr>
                      <w:pStyle w:val="Bodytext310"/>
                      <w:shd w:val="clear" w:color="auto" w:fill="auto"/>
                      <w:spacing w:after="120" w:line="240" w:lineRule="auto"/>
                      <w:ind w:firstLine="567"/>
                      <w:jc w:val="center"/>
                      <w:rPr>
                        <w:rStyle w:val="Bodytext31Sylfaen1"/>
                        <w:b w:val="0"/>
                        <w:bCs w:val="0"/>
                        <w:sz w:val="12"/>
                        <w:szCs w:val="16"/>
                      </w:rPr>
                    </w:pPr>
                    <w:r w:rsidRPr="00792625">
                      <w:rPr>
                        <w:rStyle w:val="Bodytext31Sylfaen1"/>
                        <w:b w:val="0"/>
                        <w:sz w:val="12"/>
                      </w:rPr>
                      <w:t>Գլիկանների անալիզը անհրաժեշտ է գլիկոպրոտեինների վերահսկման համար</w:t>
                    </w:r>
                  </w:p>
                </w:txbxContent>
              </v:textbox>
            </v:shape>
            <v:shape id="_x0000_s1073" type="#_x0000_t202" style="position:absolute;left:3752;top:2663;width:3953;height:389;mso-width-relative:margin;mso-height-relative:margin" fillcolor="white [3212]" strokecolor="white [3212]">
              <v:textbox style="mso-next-textbox:#_x0000_s1073" inset="0,0,0,0">
                <w:txbxContent>
                  <w:p w14:paraId="2C51FA70" w14:textId="77777777" w:rsidR="008D6E8B" w:rsidRPr="00792625" w:rsidRDefault="008D6E8B" w:rsidP="00792625">
                    <w:pPr>
                      <w:pStyle w:val="Bodytext310"/>
                      <w:shd w:val="clear" w:color="auto" w:fill="auto"/>
                      <w:spacing w:after="120" w:line="240" w:lineRule="auto"/>
                      <w:ind w:firstLine="567"/>
                      <w:jc w:val="center"/>
                      <w:rPr>
                        <w:rStyle w:val="Bodytext31Sylfaen1"/>
                        <w:b w:val="0"/>
                        <w:bCs w:val="0"/>
                        <w:sz w:val="12"/>
                        <w:szCs w:val="16"/>
                      </w:rPr>
                    </w:pPr>
                    <w:r w:rsidRPr="00792625">
                      <w:rPr>
                        <w:rStyle w:val="Bodytext31Sylfaen1"/>
                        <w:b w:val="0"/>
                        <w:sz w:val="12"/>
                      </w:rPr>
                      <w:t>Գլիկանների անալիզի համար մեթոդների ընտրությունը</w:t>
                    </w:r>
                  </w:p>
                </w:txbxContent>
              </v:textbox>
            </v:shape>
            <v:shape id="_x0000_s1074" type="#_x0000_t202" style="position:absolute;left:4591;top:3719;width:2244;height:509;mso-width-relative:margin;mso-height-relative:margin" fillcolor="white [3212]" strokecolor="white [3212]">
              <v:textbox style="mso-next-textbox:#_x0000_s1074" inset="0,0,0,0">
                <w:txbxContent>
                  <w:p w14:paraId="2E8AA2A3" w14:textId="77777777" w:rsidR="008D6E8B" w:rsidRPr="00792625" w:rsidRDefault="008D6E8B" w:rsidP="00B834A2">
                    <w:pPr>
                      <w:jc w:val="center"/>
                      <w:rPr>
                        <w:rStyle w:val="Bodytext31Sylfaen1"/>
                        <w:b w:val="0"/>
                        <w:bCs w:val="0"/>
                        <w:i w:val="0"/>
                        <w:iCs w:val="0"/>
                        <w:sz w:val="10"/>
                        <w:szCs w:val="16"/>
                      </w:rPr>
                    </w:pPr>
                    <w:r w:rsidRPr="00792625">
                      <w:rPr>
                        <w:sz w:val="10"/>
                        <w:szCs w:val="16"/>
                      </w:rPr>
                      <w:t>Ոչ մեծ սպիտակուց, սահմանափակ գլիկոլիզացում և (կամ) պարզ կառուցվածք:</w:t>
                    </w:r>
                  </w:p>
                </w:txbxContent>
              </v:textbox>
            </v:shape>
            <v:shape id="_x0000_s1075" type="#_x0000_t202" style="position:absolute;left:7772;top:3719;width:2716;height:589;mso-width-relative:margin;mso-height-relative:margin" fillcolor="white [3212]" strokecolor="white [3212]">
              <v:textbox style="mso-next-textbox:#_x0000_s1075" inset="0,0,0,0">
                <w:txbxContent>
                  <w:p w14:paraId="3F720BF8" w14:textId="77777777" w:rsidR="008D6E8B" w:rsidRPr="00792625" w:rsidRDefault="008D6E8B" w:rsidP="00B834A2">
                    <w:pPr>
                      <w:pStyle w:val="Bodytext310"/>
                      <w:shd w:val="clear" w:color="auto" w:fill="auto"/>
                      <w:spacing w:line="240" w:lineRule="auto"/>
                      <w:jc w:val="center"/>
                      <w:rPr>
                        <w:rStyle w:val="Bodytext31Sylfaen1"/>
                        <w:b w:val="0"/>
                        <w:bCs w:val="0"/>
                        <w:sz w:val="10"/>
                        <w:szCs w:val="16"/>
                      </w:rPr>
                    </w:pPr>
                    <w:r w:rsidRPr="00792625">
                      <w:rPr>
                        <w:rStyle w:val="Bodytext31Sylfaen1"/>
                        <w:b w:val="0"/>
                        <w:sz w:val="10"/>
                      </w:rPr>
                      <w:t>Ինտակտ գլիկոպրոտեինի անալիզի</w:t>
                    </w:r>
                  </w:p>
                  <w:p w14:paraId="1542057C" w14:textId="77777777" w:rsidR="008D6E8B" w:rsidRPr="00792625" w:rsidRDefault="008D6E8B" w:rsidP="00B834A2">
                    <w:pPr>
                      <w:pStyle w:val="Bodytext310"/>
                      <w:shd w:val="clear" w:color="auto" w:fill="auto"/>
                      <w:spacing w:line="240" w:lineRule="auto"/>
                      <w:jc w:val="center"/>
                      <w:rPr>
                        <w:rStyle w:val="Bodytext31Sylfaen1"/>
                        <w:b w:val="0"/>
                        <w:bCs w:val="0"/>
                        <w:sz w:val="10"/>
                        <w:szCs w:val="16"/>
                      </w:rPr>
                    </w:pPr>
                    <w:r w:rsidRPr="00792625">
                      <w:rPr>
                        <w:rStyle w:val="Bodytext31Sylfaen1"/>
                        <w:b w:val="0"/>
                        <w:sz w:val="10"/>
                      </w:rPr>
                      <w:t>(օրինակ՝ զանգվածային սպեկտրաչափական անալիզ)</w:t>
                    </w:r>
                  </w:p>
                </w:txbxContent>
              </v:textbox>
            </v:shape>
            <v:shape id="_x0000_s1076" type="#_x0000_t202" style="position:absolute;left:3752;top:4859;width:3889;height:396;mso-width-relative:margin;mso-height-relative:margin" fillcolor="white [3212]" strokecolor="white [3212]">
              <v:textbox style="mso-next-textbox:#_x0000_s1076" inset="0,0,0,0">
                <w:txbxContent>
                  <w:p w14:paraId="437E5DCF" w14:textId="77777777" w:rsidR="008D6E8B" w:rsidRPr="00792625" w:rsidRDefault="008D6E8B" w:rsidP="00B834A2">
                    <w:pPr>
                      <w:pStyle w:val="Bodytext310"/>
                      <w:shd w:val="clear" w:color="auto" w:fill="auto"/>
                      <w:spacing w:line="240" w:lineRule="auto"/>
                      <w:jc w:val="center"/>
                      <w:rPr>
                        <w:rStyle w:val="Bodytext31Sylfaen1"/>
                        <w:b w:val="0"/>
                        <w:bCs w:val="0"/>
                        <w:sz w:val="10"/>
                        <w:szCs w:val="16"/>
                      </w:rPr>
                    </w:pPr>
                    <w:r w:rsidRPr="00792625">
                      <w:rPr>
                        <w:rStyle w:val="Bodytext31Sylfaen1"/>
                        <w:b w:val="0"/>
                        <w:sz w:val="10"/>
                      </w:rPr>
                      <w:t>Մեծ մոլեկուլներ, բարդ ճյուղավորված գլիկաններ և (կամ) գլիկոզիլացման բազմաթիվ տեղեր</w:t>
                    </w:r>
                  </w:p>
                </w:txbxContent>
              </v:textbox>
            </v:shape>
            <v:shape id="_x0000_s1077" type="#_x0000_t202" style="position:absolute;left:4654;top:5868;width:2108;height:397;mso-width-relative:margin;mso-height-relative:margin" fillcolor="white [3212]" strokecolor="white [3212]">
              <v:textbox style="mso-next-textbox:#_x0000_s1077" inset="0,0,0,0">
                <w:txbxContent>
                  <w:p w14:paraId="2923775E" w14:textId="77777777" w:rsidR="008D6E8B" w:rsidRPr="00792625" w:rsidRDefault="008D6E8B" w:rsidP="00B834A2">
                    <w:pPr>
                      <w:jc w:val="center"/>
                      <w:rPr>
                        <w:rStyle w:val="Bodytext31Sylfaen1"/>
                        <w:b w:val="0"/>
                        <w:bCs w:val="0"/>
                        <w:i w:val="0"/>
                        <w:iCs w:val="0"/>
                        <w:sz w:val="8"/>
                        <w:szCs w:val="16"/>
                      </w:rPr>
                    </w:pPr>
                    <w:r w:rsidRPr="00792625">
                      <w:rPr>
                        <w:rStyle w:val="Bodytext31Sylfaen1"/>
                        <w:b w:val="0"/>
                        <w:i w:val="0"/>
                        <w:sz w:val="8"/>
                      </w:rPr>
                      <w:t>Պահանջվո՞ւմ է արդյոք գլիկոզիլացման դիրքերի որոշում:</w:t>
                    </w:r>
                  </w:p>
                </w:txbxContent>
              </v:textbox>
            </v:shape>
            <v:shape id="_x0000_s1078" type="#_x0000_t202" style="position:absolute;left:5011;top:6993;width:1475;height:357;mso-width-relative:margin;mso-height-relative:margin" fillcolor="white [3212]" strokecolor="white [3212]">
              <v:textbox style="mso-next-textbox:#_x0000_s1078" inset="0,0,0,0">
                <w:txbxContent>
                  <w:p w14:paraId="349406D7" w14:textId="77777777" w:rsidR="008D6E8B" w:rsidRPr="00792625" w:rsidRDefault="008D6E8B" w:rsidP="00B834A2">
                    <w:pPr>
                      <w:pStyle w:val="Bodytext310"/>
                      <w:shd w:val="clear" w:color="auto" w:fill="auto"/>
                      <w:spacing w:line="240" w:lineRule="auto"/>
                      <w:jc w:val="center"/>
                      <w:rPr>
                        <w:rStyle w:val="Bodytext31Sylfaen1"/>
                        <w:b w:val="0"/>
                        <w:bCs w:val="0"/>
                        <w:sz w:val="8"/>
                        <w:szCs w:val="12"/>
                      </w:rPr>
                    </w:pPr>
                    <w:r w:rsidRPr="00792625">
                      <w:rPr>
                        <w:rStyle w:val="Bodytext31Sylfaen1"/>
                        <w:b w:val="0"/>
                        <w:sz w:val="8"/>
                        <w:szCs w:val="12"/>
                      </w:rPr>
                      <w:t>Պահանջվում է արդյո՞ք գլիկանների մանրամասն անալիզ:</w:t>
                    </w:r>
                  </w:p>
                </w:txbxContent>
              </v:textbox>
            </v:shape>
            <v:shape id="_x0000_s1079" type="#_x0000_t202" style="position:absolute;left:1751;top:6728;width:2268;height:751;mso-width-relative:margin;mso-height-relative:margin" fillcolor="white [3212]" strokecolor="white [3212]">
              <v:textbox style="mso-next-textbox:#_x0000_s1079" inset="0,0,0,0">
                <w:txbxContent>
                  <w:p w14:paraId="3175C9DC" w14:textId="77777777" w:rsidR="008D6E8B" w:rsidRPr="00792625" w:rsidRDefault="008D6E8B" w:rsidP="00B834A2">
                    <w:pPr>
                      <w:jc w:val="center"/>
                      <w:rPr>
                        <w:rStyle w:val="Bodytext31Sylfaen1"/>
                        <w:b w:val="0"/>
                        <w:bCs w:val="0"/>
                        <w:i w:val="0"/>
                        <w:iCs w:val="0"/>
                        <w:sz w:val="10"/>
                        <w:szCs w:val="16"/>
                      </w:rPr>
                    </w:pPr>
                    <w:r w:rsidRPr="00792625">
                      <w:rPr>
                        <w:rStyle w:val="Bodytext31Sylfaen1"/>
                        <w:b w:val="0"/>
                        <w:i w:val="0"/>
                        <w:sz w:val="10"/>
                      </w:rPr>
                      <w:t xml:space="preserve">Բացասական լիցքավորված պարունակության որոշում Սիալային թթվի և (կամ) մոնոսախարիդների որոշում </w:t>
                    </w:r>
                  </w:p>
                </w:txbxContent>
              </v:textbox>
            </v:shape>
            <v:shape id="_x0000_s1080" type="#_x0000_t202" style="position:absolute;left:3752;top:8041;width:3889;height:535;mso-width-relative:margin;mso-height-relative:margin" fillcolor="white [3212]" strokecolor="white [3212]">
              <v:textbox style="mso-next-textbox:#_x0000_s1080" inset="0,0,0,0">
                <w:txbxContent>
                  <w:p w14:paraId="09392E14" w14:textId="77777777" w:rsidR="008D6E8B" w:rsidRPr="00792625" w:rsidRDefault="008D6E8B" w:rsidP="00B834A2">
                    <w:pPr>
                      <w:jc w:val="center"/>
                      <w:rPr>
                        <w:rStyle w:val="Bodytext31Sylfaen1"/>
                        <w:b w:val="0"/>
                        <w:bCs w:val="0"/>
                        <w:i w:val="0"/>
                        <w:iCs w:val="0"/>
                        <w:sz w:val="12"/>
                        <w:szCs w:val="16"/>
                      </w:rPr>
                    </w:pPr>
                    <w:r w:rsidRPr="00792625">
                      <w:rPr>
                        <w:sz w:val="12"/>
                        <w:szCs w:val="16"/>
                      </w:rPr>
                      <w:t>Ճեղքված գլիկանների անալիզի համար մեթոդների ստեղծում (օրինակ՝ անտոնալ պրոֆիլ, անհատական կառուցվածքի որոշում)</w:t>
                    </w:r>
                  </w:p>
                </w:txbxContent>
              </v:textbox>
            </v:shape>
            <v:shape id="_x0000_s1081" type="#_x0000_t202" style="position:absolute;left:7772;top:5868;width:1620;height:397;mso-width-relative:margin;mso-height-relative:margin" fillcolor="white [3212]" strokecolor="white [3212]">
              <v:textbox style="mso-next-textbox:#_x0000_s1081" inset="0,0,0,0">
                <w:txbxContent>
                  <w:p w14:paraId="08E24CB2" w14:textId="77777777" w:rsidR="008D6E8B" w:rsidRPr="00792625" w:rsidRDefault="008D6E8B" w:rsidP="00B834A2">
                    <w:pPr>
                      <w:jc w:val="center"/>
                      <w:rPr>
                        <w:rStyle w:val="Bodytext31Sylfaen1"/>
                        <w:b w:val="0"/>
                        <w:bCs w:val="0"/>
                        <w:i w:val="0"/>
                        <w:iCs w:val="0"/>
                        <w:sz w:val="10"/>
                        <w:szCs w:val="16"/>
                      </w:rPr>
                    </w:pPr>
                    <w:r w:rsidRPr="00792625">
                      <w:rPr>
                        <w:rStyle w:val="Bodytext31Sylfaen1"/>
                        <w:b w:val="0"/>
                        <w:i w:val="0"/>
                        <w:sz w:val="10"/>
                      </w:rPr>
                      <w:t>Գլիկոզիլացման դիրքերի անալիզ</w:t>
                    </w:r>
                  </w:p>
                </w:txbxContent>
              </v:textbox>
            </v:shape>
            <v:shape id="_x0000_s1082" type="#_x0000_t202" style="position:absolute;left:7364;top:6728;width:2404;height:397;mso-width-relative:margin;mso-height-relative:margin" fillcolor="white [3212]" strokecolor="white [3212]">
              <v:textbox style="mso-next-textbox:#_x0000_s1082" inset="0,0,0,0">
                <w:txbxContent>
                  <w:p w14:paraId="0E029E6E" w14:textId="77777777" w:rsidR="008D6E8B" w:rsidRPr="00792625" w:rsidRDefault="008D6E8B" w:rsidP="00B834A2">
                    <w:pPr>
                      <w:jc w:val="center"/>
                      <w:rPr>
                        <w:rStyle w:val="Bodytext31Sylfaen1"/>
                        <w:b w:val="0"/>
                        <w:bCs w:val="0"/>
                        <w:i w:val="0"/>
                        <w:iCs w:val="0"/>
                        <w:sz w:val="12"/>
                        <w:szCs w:val="16"/>
                      </w:rPr>
                    </w:pPr>
                    <w:r w:rsidRPr="00792625">
                      <w:rPr>
                        <w:rStyle w:val="Bodytext31Sylfaen1"/>
                        <w:b w:val="0"/>
                        <w:i w:val="0"/>
                        <w:sz w:val="12"/>
                      </w:rPr>
                      <w:t>Պրոտեոլիտիկ ճեղքում և գլիկոպեպտիդների բաժանում</w:t>
                    </w:r>
                  </w:p>
                </w:txbxContent>
              </v:textbox>
            </v:shape>
            <v:shape id="_x0000_s1083" type="#_x0000_t202" style="position:absolute;left:8335;top:7599;width:427;height:181;mso-width-relative:margin;mso-height-relative:margin" fillcolor="white [3212]" strokecolor="white [3212]">
              <v:textbox style="mso-next-textbox:#_x0000_s1083" inset="0,0,0,0">
                <w:txbxContent>
                  <w:p w14:paraId="1A433CEA" w14:textId="77777777" w:rsidR="008D6E8B" w:rsidRPr="00792625" w:rsidRDefault="008D6E8B" w:rsidP="00B834A2">
                    <w:pPr>
                      <w:jc w:val="center"/>
                      <w:rPr>
                        <w:rStyle w:val="Bodytext31Sylfaen1"/>
                        <w:b w:val="0"/>
                        <w:bCs w:val="0"/>
                        <w:i w:val="0"/>
                        <w:iCs w:val="0"/>
                        <w:sz w:val="12"/>
                        <w:szCs w:val="16"/>
                      </w:rPr>
                    </w:pPr>
                    <w:r w:rsidRPr="00792625">
                      <w:rPr>
                        <w:rStyle w:val="Bodytext31Sylfaen1"/>
                        <w:b w:val="0"/>
                        <w:i w:val="0"/>
                        <w:sz w:val="12"/>
                        <w:szCs w:val="16"/>
                      </w:rPr>
                      <w:t>ԿԱՆԳ</w:t>
                    </w:r>
                  </w:p>
                </w:txbxContent>
              </v:textbox>
            </v:shape>
            <v:shape id="_x0000_s1084" type="#_x0000_t202" style="position:absolute;left:2606;top:7932;width:427;height:181;mso-width-relative:margin;mso-height-relative:margin" fillcolor="white [3212]" strokecolor="white [3212]">
              <v:textbox style="mso-next-textbox:#_x0000_s1084" inset="0,0,0,0">
                <w:txbxContent>
                  <w:p w14:paraId="1A3FE45B" w14:textId="77777777" w:rsidR="008D6E8B" w:rsidRPr="00792625" w:rsidRDefault="008D6E8B" w:rsidP="00B834A2">
                    <w:pPr>
                      <w:jc w:val="center"/>
                      <w:rPr>
                        <w:rStyle w:val="Bodytext31Sylfaen1"/>
                        <w:b w:val="0"/>
                        <w:bCs w:val="0"/>
                        <w:i w:val="0"/>
                        <w:iCs w:val="0"/>
                        <w:sz w:val="12"/>
                        <w:szCs w:val="16"/>
                      </w:rPr>
                    </w:pPr>
                    <w:r w:rsidRPr="00792625">
                      <w:rPr>
                        <w:rStyle w:val="Bodytext31Sylfaen1"/>
                        <w:b w:val="0"/>
                        <w:i w:val="0"/>
                        <w:sz w:val="12"/>
                        <w:szCs w:val="16"/>
                      </w:rPr>
                      <w:t>ԿԱՆԳ</w:t>
                    </w:r>
                  </w:p>
                </w:txbxContent>
              </v:textbox>
            </v:shape>
            <v:shape id="_x0000_s1085" type="#_x0000_t202" style="position:absolute;left:8904;top:4784;width:427;height:181;mso-width-relative:margin;mso-height-relative:margin" fillcolor="white [3212]" strokecolor="white [3212]">
              <v:textbox style="mso-next-textbox:#_x0000_s1085" inset="0,0,0,0">
                <w:txbxContent>
                  <w:p w14:paraId="442D6AD1" w14:textId="77777777" w:rsidR="008D6E8B" w:rsidRPr="00792625" w:rsidRDefault="008D6E8B" w:rsidP="00B834A2">
                    <w:pPr>
                      <w:jc w:val="center"/>
                      <w:rPr>
                        <w:rStyle w:val="Bodytext31Sylfaen1"/>
                        <w:b w:val="0"/>
                        <w:bCs w:val="0"/>
                        <w:i w:val="0"/>
                        <w:iCs w:val="0"/>
                        <w:sz w:val="12"/>
                        <w:szCs w:val="16"/>
                      </w:rPr>
                    </w:pPr>
                    <w:r w:rsidRPr="00792625">
                      <w:rPr>
                        <w:rStyle w:val="Bodytext31Sylfaen1"/>
                        <w:b w:val="0"/>
                        <w:i w:val="0"/>
                        <w:sz w:val="12"/>
                        <w:szCs w:val="16"/>
                      </w:rPr>
                      <w:t>ԿԱՆԳ</w:t>
                    </w:r>
                  </w:p>
                </w:txbxContent>
              </v:textbox>
            </v:shape>
            <v:shape id="_x0000_s1086" type="#_x0000_t202" style="position:absolute;left:5763;top:7419;width:469;height:361;mso-width-relative:margin;mso-height-relative:margin" fillcolor="white [3212]" strokecolor="white [3212]">
              <v:textbox style="mso-next-textbox:#_x0000_s1086" inset="0,0,0,0">
                <w:txbxContent>
                  <w:p w14:paraId="2B31E485"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Այո</w:t>
                    </w:r>
                  </w:p>
                </w:txbxContent>
              </v:textbox>
            </v:shape>
            <v:shape id="_x0000_s1087" type="#_x0000_t202" style="position:absolute;left:7202;top:5725;width:439;height:261;mso-width-relative:margin;mso-height-relative:margin" fillcolor="white [3212]" strokecolor="white [3212]">
              <v:textbox style="mso-next-textbox:#_x0000_s1087" inset="0,0,0,0">
                <w:txbxContent>
                  <w:p w14:paraId="2A1836A9"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Այո</w:t>
                    </w:r>
                  </w:p>
                </w:txbxContent>
              </v:textbox>
            </v:shape>
            <v:shape id="_x0000_s1088" type="#_x0000_t202" style="position:absolute;left:7202;top:3594;width:363;height:306;mso-width-relative:margin;mso-height-relative:margin" fillcolor="white [3212]" strokecolor="white [3212]">
              <v:textbox style="mso-next-textbox:#_x0000_s1088" inset="0,0,0,0">
                <w:txbxContent>
                  <w:p w14:paraId="56E1ECBB"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Այո</w:t>
                    </w:r>
                  </w:p>
                </w:txbxContent>
              </v:textbox>
            </v:shape>
            <v:shape id="_x0000_s1089" type="#_x0000_t202" style="position:absolute;left:5763;top:4308;width:400;height:265;mso-width-relative:margin;mso-height-relative:margin" fillcolor="white [3212]" strokecolor="white [3212]">
              <v:textbox style="mso-next-textbox:#_x0000_s1089" inset="0,0,0,0">
                <w:txbxContent>
                  <w:p w14:paraId="2173C454"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Ոչ</w:t>
                    </w:r>
                  </w:p>
                </w:txbxContent>
              </v:textbox>
            </v:shape>
            <v:shape id="_x0000_s1090" type="#_x0000_t202" style="position:absolute;left:5763;top:6363;width:400;height:273;mso-width-relative:margin;mso-height-relative:margin" fillcolor="white [3212]" strokecolor="white [3212]">
              <v:textbox style="mso-next-textbox:#_x0000_s1090" inset="0,0,0,0">
                <w:txbxContent>
                  <w:p w14:paraId="2C780372"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Ոչ</w:t>
                    </w:r>
                  </w:p>
                </w:txbxContent>
              </v:textbox>
            </v:shape>
            <v:shape id="_x0000_s1091" type="#_x0000_t202" style="position:absolute;left:4188;top:6812;width:297;height:313;mso-width-relative:margin;mso-height-relative:margin" fillcolor="white [3212]" strokecolor="white [3212]">
              <v:textbox style="mso-next-textbox:#_x0000_s1091" inset="0,0,0,0">
                <w:txbxContent>
                  <w:p w14:paraId="267D4D53" w14:textId="77777777" w:rsidR="008D6E8B" w:rsidRPr="00792625" w:rsidRDefault="008D6E8B" w:rsidP="00B834A2">
                    <w:pPr>
                      <w:jc w:val="center"/>
                      <w:rPr>
                        <w:rStyle w:val="Bodytext31Sylfaen1"/>
                        <w:b w:val="0"/>
                        <w:bCs w:val="0"/>
                        <w:i w:val="0"/>
                        <w:iCs w:val="0"/>
                        <w:sz w:val="14"/>
                        <w:szCs w:val="16"/>
                      </w:rPr>
                    </w:pPr>
                    <w:r w:rsidRPr="00792625">
                      <w:rPr>
                        <w:rStyle w:val="Bodytext31Sylfaen1"/>
                        <w:b w:val="0"/>
                        <w:i w:val="0"/>
                        <w:sz w:val="14"/>
                      </w:rPr>
                      <w:t>Ոչ</w:t>
                    </w:r>
                  </w:p>
                </w:txbxContent>
              </v:textbox>
            </v:shape>
          </v:group>
        </w:pict>
      </w:r>
      <w:r w:rsidR="00B834A2" w:rsidRPr="00B834A2">
        <w:rPr>
          <w:noProof/>
          <w:lang w:val="en-US" w:eastAsia="en-US" w:bidi="ar-SA"/>
        </w:rPr>
        <w:drawing>
          <wp:inline distT="0" distB="0" distL="0" distR="0" wp14:anchorId="0A34D431" wp14:editId="27BD1127">
            <wp:extent cx="5973445" cy="4726305"/>
            <wp:effectExtent l="19050" t="0" r="8255" b="0"/>
            <wp:docPr id="7" name="Picture 7" descr="D:\2 VERSION\14.07.115-0003-2023-B_for final formatting\02.2023\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2 VERSION\14.07.115-0003-2023-B_for final formatting\02.2023\media\image5.jpeg"/>
                    <pic:cNvPicPr>
                      <a:picLocks noChangeAspect="1" noChangeArrowheads="1"/>
                    </pic:cNvPicPr>
                  </pic:nvPicPr>
                  <pic:blipFill>
                    <a:blip r:embed="rId17" cstate="print"/>
                    <a:srcRect/>
                    <a:stretch>
                      <a:fillRect/>
                    </a:stretch>
                  </pic:blipFill>
                  <pic:spPr bwMode="auto">
                    <a:xfrm>
                      <a:off x="0" y="0"/>
                      <a:ext cx="5973445" cy="4726305"/>
                    </a:xfrm>
                    <a:prstGeom prst="rect">
                      <a:avLst/>
                    </a:prstGeom>
                    <a:noFill/>
                    <a:ln w="9525">
                      <a:noFill/>
                      <a:miter lim="800000"/>
                      <a:headEnd/>
                      <a:tailEnd/>
                    </a:ln>
                  </pic:spPr>
                </pic:pic>
              </a:graphicData>
            </a:graphic>
          </wp:inline>
        </w:drawing>
      </w:r>
    </w:p>
    <w:p w14:paraId="41AB25FE" w14:textId="77777777" w:rsidR="00B834A2" w:rsidRPr="00792625" w:rsidRDefault="00B834A2" w:rsidP="00B834A2">
      <w:pPr>
        <w:pStyle w:val="Picturecaption120"/>
        <w:shd w:val="clear" w:color="auto" w:fill="auto"/>
        <w:spacing w:after="160" w:line="360" w:lineRule="auto"/>
        <w:rPr>
          <w:rFonts w:ascii="Sylfaen" w:hAnsi="Sylfaen"/>
          <w:sz w:val="20"/>
          <w:szCs w:val="24"/>
        </w:rPr>
      </w:pPr>
      <w:r w:rsidRPr="00792625">
        <w:rPr>
          <w:rStyle w:val="Picturecaption12Sylfaen"/>
          <w:sz w:val="20"/>
          <w:szCs w:val="24"/>
        </w:rPr>
        <w:t xml:space="preserve">Նկար 2.1.2.56.-2. </w:t>
      </w:r>
      <w:r w:rsidRPr="00792625">
        <w:rPr>
          <w:rFonts w:ascii="Sylfaen" w:hAnsi="Sylfaen"/>
          <w:sz w:val="20"/>
          <w:szCs w:val="24"/>
        </w:rPr>
        <w:t>- Գլիկանների անալիզի անցկացման համար մեթոդիկաների ընտրության սխեմա</w:t>
      </w:r>
    </w:p>
    <w:p w14:paraId="5DDD6A2C"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22"/>
          <w:sz w:val="24"/>
          <w:szCs w:val="24"/>
        </w:rPr>
        <w:lastRenderedPageBreak/>
        <w:t>Համակարգի բաժանում, նույնականացում</w:t>
      </w:r>
      <w:r>
        <w:rPr>
          <w:rStyle w:val="Bodytext31Sylfaen22"/>
          <w:sz w:val="24"/>
          <w:szCs w:val="24"/>
        </w:rPr>
        <w:t xml:space="preserve"> եւ</w:t>
      </w:r>
      <w:r w:rsidRPr="00B834A2">
        <w:rPr>
          <w:rStyle w:val="Bodytext31Sylfaen22"/>
          <w:sz w:val="24"/>
          <w:szCs w:val="24"/>
        </w:rPr>
        <w:t xml:space="preserve"> պիտանիության ստուգում:</w:t>
      </w:r>
      <w:r>
        <w:rPr>
          <w:rStyle w:val="Bodytext31Sylfaen22"/>
          <w:sz w:val="24"/>
          <w:szCs w:val="24"/>
        </w:rPr>
        <w:t xml:space="preserve"> </w:t>
      </w:r>
      <w:r w:rsidRPr="00B834A2">
        <w:rPr>
          <w:rStyle w:val="Bodytext31Sylfaen"/>
          <w:sz w:val="24"/>
          <w:szCs w:val="24"/>
        </w:rPr>
        <w:t xml:space="preserve">Գլիկանների անալիզի համար կիրառվող մեթոդները պետք է կարողանան դետեկտել </w:t>
      </w:r>
      <w:r>
        <w:rPr>
          <w:rStyle w:val="Bodytext31Sylfaen"/>
          <w:sz w:val="24"/>
          <w:szCs w:val="24"/>
        </w:rPr>
        <w:t>եւ</w:t>
      </w:r>
      <w:r w:rsidRPr="00B834A2">
        <w:rPr>
          <w:rStyle w:val="Bodytext31Sylfaen"/>
          <w:sz w:val="24"/>
          <w:szCs w:val="24"/>
        </w:rPr>
        <w:t xml:space="preserve"> բաժանել մոլեկուլի տարբեր գլիկանային մասերը՝ ապահովելով գլիկանների հուսալի նույնականացում </w:t>
      </w:r>
      <w:r>
        <w:rPr>
          <w:rStyle w:val="Bodytext31Sylfaen"/>
          <w:sz w:val="24"/>
          <w:szCs w:val="24"/>
        </w:rPr>
        <w:t>եւ</w:t>
      </w:r>
      <w:r w:rsidRPr="00B834A2">
        <w:rPr>
          <w:rStyle w:val="Bodytext31Sylfaen"/>
          <w:sz w:val="24"/>
          <w:szCs w:val="24"/>
        </w:rPr>
        <w:t xml:space="preserve"> քանակական անալիզ:</w:t>
      </w:r>
    </w:p>
    <w:p w14:paraId="123EFF37" w14:textId="77777777" w:rsidR="00B834A2" w:rsidRPr="000111CA" w:rsidRDefault="00B834A2" w:rsidP="00B834A2">
      <w:pPr>
        <w:pStyle w:val="Bodytext310"/>
        <w:shd w:val="clear" w:color="auto" w:fill="auto"/>
        <w:spacing w:after="160" w:line="360" w:lineRule="auto"/>
        <w:ind w:firstLine="567"/>
        <w:jc w:val="both"/>
        <w:rPr>
          <w:rFonts w:ascii="Sylfaen" w:hAnsi="Sylfaen"/>
          <w:sz w:val="24"/>
          <w:szCs w:val="24"/>
        </w:rPr>
      </w:pPr>
      <w:r w:rsidRPr="000111CA">
        <w:rPr>
          <w:rStyle w:val="Bodytext31Sylfaen"/>
          <w:sz w:val="24"/>
          <w:szCs w:val="24"/>
        </w:rPr>
        <w:t>Համակարգի պիտանիության ստուգման համար ընդունելիության, ինչպես նաեւ գլիկանների ճեղքման, բացելիության եւ անալիզի չափորոշիչները պայմանավորված են փորձարկման կրիտիկական պարամետրերով, որոնք ազդում</w:t>
      </w:r>
      <w:r w:rsidR="000111CA" w:rsidRPr="000111CA">
        <w:rPr>
          <w:rStyle w:val="Bodytext31Sylfaen"/>
          <w:sz w:val="24"/>
          <w:szCs w:val="24"/>
        </w:rPr>
        <w:t> </w:t>
      </w:r>
      <w:r w:rsidRPr="000111CA">
        <w:rPr>
          <w:rStyle w:val="Bodytext31Sylfaen"/>
          <w:sz w:val="24"/>
          <w:szCs w:val="24"/>
        </w:rPr>
        <w:t>են վերջնական արդյունքի վրա:</w:t>
      </w:r>
    </w:p>
    <w:p w14:paraId="15D1A3AB"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 xml:space="preserve">Նման պայմաններում ստացված փորձարկվող նմուշի </w:t>
      </w:r>
      <w:r>
        <w:rPr>
          <w:rStyle w:val="Bodytext31Sylfaen"/>
          <w:sz w:val="24"/>
          <w:szCs w:val="24"/>
        </w:rPr>
        <w:t>եւ</w:t>
      </w:r>
      <w:r w:rsidRPr="00B834A2">
        <w:rPr>
          <w:rStyle w:val="Bodytext31Sylfaen"/>
          <w:sz w:val="24"/>
          <w:szCs w:val="24"/>
        </w:rPr>
        <w:t xml:space="preserve"> ստանդարտ նմուշի գլիկանային պրոֆիլների համեմատումը՝ անալիտիկ մեթոդիկայի կատարման ճշտության գնահատման համար պարամետր է: Ստացված արդյունքների հետագա հաստատման համար անալիզները կարող են կրկնակի անցկացվել անկախ մեթոդի օգնությամբ: Ստանդարտ նմուշի օգտագործումը (օրինակ՝ փորձարկվող նյութի ստանդարտ նմուշը, համակարգի պիտանիության ստուգման համար գլիկանի մարկերը) անհրաժեշտ են համակարգի պիտանիության պարամետրերի սահմանման </w:t>
      </w:r>
      <w:r>
        <w:rPr>
          <w:rStyle w:val="Bodytext31Sylfaen"/>
          <w:sz w:val="24"/>
          <w:szCs w:val="24"/>
        </w:rPr>
        <w:t>եւ</w:t>
      </w:r>
      <w:r w:rsidRPr="00B834A2">
        <w:rPr>
          <w:rStyle w:val="Bodytext31Sylfaen"/>
          <w:sz w:val="24"/>
          <w:szCs w:val="24"/>
        </w:rPr>
        <w:t xml:space="preserve"> անալիտիկ մեթոդիկայի վալիդացման համար:</w:t>
      </w:r>
    </w:p>
    <w:p w14:paraId="2680A3ED"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Գլիկանի քանակական որոշման արդյունքների վերարտադրելիությունը (օրինակ՝ Z թվի) պետք է հաստատվի:</w:t>
      </w:r>
    </w:p>
    <w:p w14:paraId="301D758B" w14:textId="77777777" w:rsidR="00B834A2" w:rsidRPr="00B834A2" w:rsidRDefault="00B834A2" w:rsidP="00792625">
      <w:pPr>
        <w:spacing w:after="160" w:line="360" w:lineRule="auto"/>
        <w:ind w:firstLine="567"/>
        <w:jc w:val="both"/>
        <w:rPr>
          <w:i/>
        </w:rPr>
      </w:pPr>
      <w:r w:rsidRPr="00B834A2">
        <w:rPr>
          <w:rStyle w:val="Bodytext31Sylfaen"/>
          <w:i w:val="0"/>
          <w:sz w:val="24"/>
          <w:szCs w:val="24"/>
        </w:rPr>
        <w:t xml:space="preserve">Գլիկոզիլացված </w:t>
      </w:r>
      <w:r>
        <w:rPr>
          <w:rStyle w:val="Bodytext31Sylfaen"/>
          <w:i w:val="0"/>
          <w:sz w:val="24"/>
          <w:szCs w:val="24"/>
        </w:rPr>
        <w:t>եւ</w:t>
      </w:r>
      <w:r w:rsidRPr="00B834A2">
        <w:rPr>
          <w:rStyle w:val="Bodytext31Sylfaen"/>
          <w:i w:val="0"/>
          <w:sz w:val="24"/>
          <w:szCs w:val="24"/>
        </w:rPr>
        <w:t xml:space="preserve"> չգլիկոզիլացված պեպտիդների հարաբերական քանակությունների հիման վրա կապման դիրքերի որոշումը: Այդ դեպքում, երբ գլիկոզիլացման աստիճանը գնահատվում է ֆերմենտատիվ ճեղքումից հետո գլիկոզիլացված </w:t>
      </w:r>
      <w:r>
        <w:rPr>
          <w:rStyle w:val="Bodytext31Sylfaen"/>
          <w:i w:val="0"/>
          <w:sz w:val="24"/>
          <w:szCs w:val="24"/>
        </w:rPr>
        <w:t>եւ</w:t>
      </w:r>
      <w:r w:rsidRPr="00B834A2">
        <w:rPr>
          <w:rStyle w:val="Bodytext31Sylfaen"/>
          <w:i w:val="0"/>
          <w:sz w:val="24"/>
          <w:szCs w:val="24"/>
        </w:rPr>
        <w:t xml:space="preserve"> չգլիկոզիլացված պեպտիդների պարունակության համեմատման միջոցով, պետք է ապացուցվի պեպտիդի երկու ձ</w:t>
      </w:r>
      <w:r>
        <w:rPr>
          <w:rStyle w:val="Bodytext31Sylfaen"/>
          <w:i w:val="0"/>
          <w:sz w:val="24"/>
          <w:szCs w:val="24"/>
        </w:rPr>
        <w:t>եւ</w:t>
      </w:r>
      <w:r w:rsidRPr="00B834A2">
        <w:rPr>
          <w:rStyle w:val="Bodytext31Sylfaen"/>
          <w:i w:val="0"/>
          <w:sz w:val="24"/>
          <w:szCs w:val="24"/>
        </w:rPr>
        <w:t>երի համար ճեղքման վերարտադրելիությունը:</w:t>
      </w:r>
    </w:p>
    <w:p w14:paraId="7533230B" w14:textId="77777777" w:rsidR="006F79C2" w:rsidRDefault="006F79C2">
      <w:r>
        <w:br w:type="page"/>
      </w:r>
    </w:p>
    <w:p w14:paraId="45D45D20" w14:textId="77777777" w:rsidR="00B834A2" w:rsidRPr="00B834A2"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B834A2">
        <w:rPr>
          <w:rStyle w:val="Bodytext31Sylfaen22"/>
          <w:sz w:val="24"/>
          <w:szCs w:val="24"/>
        </w:rPr>
        <w:lastRenderedPageBreak/>
        <w:t>6.</w:t>
      </w:r>
      <w:r w:rsidR="00792625" w:rsidRPr="00792625">
        <w:rPr>
          <w:rStyle w:val="Bodytext31Sylfaen22"/>
          <w:sz w:val="24"/>
          <w:szCs w:val="24"/>
        </w:rPr>
        <w:tab/>
      </w:r>
      <w:r w:rsidRPr="00B834A2">
        <w:rPr>
          <w:rStyle w:val="Bodytext31Sylfaen22"/>
          <w:sz w:val="24"/>
          <w:szCs w:val="24"/>
        </w:rPr>
        <w:t>ԳԼԻԿԱՆՆԵՐԻ ԱՆԱԼԻԶԻ ԺԱՄԱՆԱԿ ՈՐՈՇՈՒՄՆԵՐԻ ԸՆԴՈՒՆՄԱՆ ՍԽԵՄԱ</w:t>
      </w:r>
    </w:p>
    <w:p w14:paraId="7F055F7A"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 xml:space="preserve">Որոշումների ընդունման այդ համակարգը բերվում է տեղեկատվության համար </w:t>
      </w:r>
      <w:r>
        <w:rPr>
          <w:rStyle w:val="Bodytext31Sylfaen"/>
          <w:sz w:val="24"/>
          <w:szCs w:val="24"/>
        </w:rPr>
        <w:t>եւ</w:t>
      </w:r>
      <w:r w:rsidRPr="00B834A2">
        <w:rPr>
          <w:rStyle w:val="Bodytext31Sylfaen"/>
          <w:sz w:val="24"/>
          <w:szCs w:val="24"/>
        </w:rPr>
        <w:t xml:space="preserve"> դեղագրքի պարտադիր մաս չի կազմում:</w:t>
      </w:r>
    </w:p>
    <w:p w14:paraId="0C2CB6C5"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 xml:space="preserve">Գլիկանների անալիզի համար օգտագործվող մեթոդիկայի ընտրությունը կատարվում է տվյալների այն ծավալին համապատասխան, որն անհրաժեշտ է գլիկոպրոտեինի որակի հաստատման համար </w:t>
      </w:r>
      <w:r>
        <w:rPr>
          <w:rStyle w:val="Bodytext31Sylfaen"/>
          <w:sz w:val="24"/>
          <w:szCs w:val="24"/>
        </w:rPr>
        <w:t>եւ</w:t>
      </w:r>
      <w:r w:rsidRPr="00B834A2">
        <w:rPr>
          <w:rStyle w:val="Bodytext31Sylfaen"/>
          <w:sz w:val="24"/>
          <w:szCs w:val="24"/>
        </w:rPr>
        <w:t xml:space="preserve"> տեղի է ունենում պրոդուկտի մշակման փուլում:</w:t>
      </w:r>
    </w:p>
    <w:p w14:paraId="2A6C6954" w14:textId="77777777" w:rsidR="00B834A2" w:rsidRPr="00B834A2" w:rsidRDefault="00B834A2" w:rsidP="00B834A2">
      <w:pPr>
        <w:pStyle w:val="Bodytext310"/>
        <w:shd w:val="clear" w:color="auto" w:fill="auto"/>
        <w:spacing w:after="160" w:line="360" w:lineRule="auto"/>
        <w:ind w:firstLine="567"/>
        <w:jc w:val="both"/>
        <w:rPr>
          <w:rFonts w:ascii="Sylfaen" w:hAnsi="Sylfaen"/>
          <w:sz w:val="24"/>
          <w:szCs w:val="24"/>
        </w:rPr>
      </w:pPr>
      <w:r w:rsidRPr="00B834A2">
        <w:rPr>
          <w:rStyle w:val="Bodytext31Sylfaen"/>
          <w:sz w:val="24"/>
          <w:szCs w:val="24"/>
        </w:rPr>
        <w:t>Գլիկանների անալիզի անցկացման համար մեթոդիկայի ընտրության սխեման ներկայացված է 2.1.2.56.-2 նկարում:</w:t>
      </w:r>
    </w:p>
    <w:p w14:paraId="1C11731D" w14:textId="77777777" w:rsidR="00B834A2" w:rsidRPr="00B834A2" w:rsidRDefault="00B834A2" w:rsidP="00B834A2">
      <w:pPr>
        <w:pStyle w:val="Bodytext310"/>
        <w:shd w:val="clear" w:color="auto" w:fill="auto"/>
        <w:spacing w:after="160" w:line="360" w:lineRule="auto"/>
        <w:ind w:firstLine="567"/>
        <w:jc w:val="right"/>
        <w:rPr>
          <w:rStyle w:val="Bodytext31Sylfaen22"/>
          <w:b w:val="0"/>
          <w:bCs w:val="0"/>
          <w:sz w:val="24"/>
          <w:szCs w:val="24"/>
        </w:rPr>
      </w:pPr>
    </w:p>
    <w:p w14:paraId="6479F0D5" w14:textId="77777777" w:rsidR="00B834A2" w:rsidRPr="009217DE" w:rsidRDefault="00B834A2" w:rsidP="00792625">
      <w:pPr>
        <w:pStyle w:val="Bodytext310"/>
        <w:shd w:val="clear" w:color="auto" w:fill="auto"/>
        <w:spacing w:after="160" w:line="360" w:lineRule="auto"/>
        <w:ind w:firstLine="567"/>
        <w:jc w:val="right"/>
        <w:rPr>
          <w:rStyle w:val="Bodytext31Sylfaen22"/>
          <w:sz w:val="20"/>
          <w:szCs w:val="24"/>
        </w:rPr>
      </w:pPr>
      <w:r w:rsidRPr="0038660A">
        <w:rPr>
          <w:rStyle w:val="Bodytext31Sylfaen22"/>
          <w:sz w:val="20"/>
          <w:szCs w:val="24"/>
        </w:rPr>
        <w:t>201020057-2022</w:t>
      </w:r>
    </w:p>
    <w:p w14:paraId="3518F84A" w14:textId="77777777" w:rsidR="0038660A" w:rsidRPr="009217DE" w:rsidRDefault="0038660A" w:rsidP="00792625">
      <w:pPr>
        <w:pStyle w:val="Bodytext310"/>
        <w:shd w:val="clear" w:color="auto" w:fill="auto"/>
        <w:spacing w:after="160" w:line="360" w:lineRule="auto"/>
        <w:ind w:firstLine="567"/>
        <w:jc w:val="right"/>
        <w:rPr>
          <w:rFonts w:ascii="Sylfaen" w:hAnsi="Sylfaen"/>
          <w:i w:val="0"/>
          <w:sz w:val="20"/>
          <w:szCs w:val="24"/>
        </w:rPr>
      </w:pPr>
    </w:p>
    <w:p w14:paraId="19FA11B7" w14:textId="77777777" w:rsidR="00B834A2" w:rsidRPr="00792625" w:rsidRDefault="00B834A2" w:rsidP="00A4015E">
      <w:pPr>
        <w:pStyle w:val="Bodytext310"/>
        <w:shd w:val="clear" w:color="auto" w:fill="auto"/>
        <w:tabs>
          <w:tab w:val="left" w:pos="1701"/>
        </w:tabs>
        <w:spacing w:after="160" w:line="360" w:lineRule="auto"/>
        <w:ind w:firstLine="567"/>
        <w:jc w:val="both"/>
        <w:rPr>
          <w:rFonts w:ascii="Sylfaen" w:hAnsi="Sylfaen"/>
          <w:i w:val="0"/>
          <w:sz w:val="24"/>
          <w:szCs w:val="24"/>
        </w:rPr>
      </w:pPr>
      <w:r w:rsidRPr="00792625">
        <w:rPr>
          <w:rStyle w:val="Bodytext31Sylfaen20"/>
          <w:sz w:val="24"/>
          <w:szCs w:val="24"/>
        </w:rPr>
        <w:t>2.1.2.57.</w:t>
      </w:r>
      <w:r w:rsidR="0038660A" w:rsidRPr="009217DE">
        <w:rPr>
          <w:rStyle w:val="Bodytext31Sylfaen20"/>
          <w:sz w:val="24"/>
          <w:szCs w:val="24"/>
        </w:rPr>
        <w:tab/>
      </w:r>
      <w:r w:rsidRPr="00792625">
        <w:rPr>
          <w:rStyle w:val="Bodytext31Sylfaen20"/>
          <w:sz w:val="24"/>
          <w:szCs w:val="24"/>
        </w:rPr>
        <w:t>Վոլտաչափական տիտրում</w:t>
      </w:r>
    </w:p>
    <w:p w14:paraId="2986635D"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Վոլտաչափական տիտրման ժամանակ տիտրման վերջնակետը՝ որպես ավելացված տիտրանտի քանակության ֆունկցիա, հաստատուն հոսանքի պահպանման ժամանակ փորձարկվող լուծույթում ընկղմած երկու էլեկտրոդների (մեկ ինդիկատորային էլեկտրոդի եւ համեմատման մեկ էլեկտրոդի կամ երկու ինդիկատորային էլեկտրոդների) միջեւ չափված լարման փոփոխության մեծությունն է:</w:t>
      </w:r>
    </w:p>
    <w:p w14:paraId="239E9E02" w14:textId="77777777" w:rsidR="00B834A2" w:rsidRPr="00530993" w:rsidRDefault="00B834A2" w:rsidP="00B834A2">
      <w:pPr>
        <w:pStyle w:val="Bodytext310"/>
        <w:shd w:val="clear" w:color="auto" w:fill="auto"/>
        <w:spacing w:after="160" w:line="360" w:lineRule="auto"/>
        <w:ind w:firstLine="567"/>
        <w:jc w:val="both"/>
        <w:rPr>
          <w:rStyle w:val="Bodytext31Sylfaen"/>
          <w:sz w:val="24"/>
          <w:szCs w:val="24"/>
        </w:rPr>
      </w:pPr>
      <w:r w:rsidRPr="00792625">
        <w:rPr>
          <w:rStyle w:val="Bodytext31Sylfaen22"/>
          <w:sz w:val="24"/>
          <w:szCs w:val="24"/>
        </w:rPr>
        <w:t xml:space="preserve">Սարք: </w:t>
      </w:r>
      <w:r w:rsidRPr="00792625">
        <w:rPr>
          <w:rStyle w:val="Bodytext31Sylfaen"/>
          <w:sz w:val="24"/>
          <w:szCs w:val="24"/>
        </w:rPr>
        <w:t>Սարքը բաղկացած է հոսանքի կարգավորվող աղբյուրից եւ վոլտաչափից. դետեկտման համակարգը սովորաբար ներառում է ինդիկատորային էլեկտրոդ (օրինակ՝ պլատինային էլեկտրոդ, պտտվող սկավառակներով էլեկտրոդ կամ ածխային էլեկտրոդ) եւ երկրորդ էլեկտրոդ (օրինակ՝ պլատինային էլեկտրոդ, պտտվող սկավառակներով էլեկտրոդ կամ ածխային էլեկտրոդ):</w:t>
      </w:r>
    </w:p>
    <w:p w14:paraId="1720878C" w14:textId="77777777" w:rsidR="006F79C2" w:rsidRPr="00530993" w:rsidRDefault="006F79C2" w:rsidP="00B834A2">
      <w:pPr>
        <w:pStyle w:val="Bodytext310"/>
        <w:shd w:val="clear" w:color="auto" w:fill="auto"/>
        <w:spacing w:after="160" w:line="360" w:lineRule="auto"/>
        <w:ind w:firstLine="567"/>
        <w:jc w:val="both"/>
        <w:rPr>
          <w:rFonts w:ascii="Sylfaen" w:hAnsi="Sylfaen"/>
          <w:i w:val="0"/>
          <w:sz w:val="24"/>
          <w:szCs w:val="24"/>
        </w:rPr>
      </w:pPr>
    </w:p>
    <w:p w14:paraId="55FCD103"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lastRenderedPageBreak/>
        <w:t>Մեթոդիկա</w:t>
      </w:r>
      <w:r w:rsidRPr="00792625">
        <w:rPr>
          <w:rStyle w:val="Bodytext31Sylfaen22"/>
          <w:sz w:val="24"/>
          <w:szCs w:val="24"/>
        </w:rPr>
        <w:t xml:space="preserve">: </w:t>
      </w:r>
      <w:r w:rsidRPr="00792625">
        <w:rPr>
          <w:rStyle w:val="Bodytext31Sylfaen"/>
          <w:sz w:val="24"/>
          <w:szCs w:val="24"/>
        </w:rPr>
        <w:t>Համալրում են հոսանքը ինդիկատորային էլեկտրոդի վրա, ինչպես նշված է մասնավոր դեղագրքային հոդվածում կամ որակի մասով նորմատիվ փաստաթղթում եւ կառուցում են սկզբնական լարման եւ տիտրման ժամանակ ստացված արժեքների՝ ավելացված տիտրանտի քանակությունից կախվածության գրաֆիկ: Ավելացնում են տիտրանտը համարժեքության ենթադրվող կետին համապատասխանող տիտրանտի ծավալի տեսական արժեքի գումարային մոտ</w:t>
      </w:r>
      <w:r w:rsidR="00B76CAD">
        <w:rPr>
          <w:rStyle w:val="Bodytext31Sylfaen"/>
          <w:sz w:val="24"/>
          <w:szCs w:val="24"/>
        </w:rPr>
        <w:t xml:space="preserve"> 80</w:t>
      </w:r>
      <w:r w:rsidRPr="00792625">
        <w:rPr>
          <w:rStyle w:val="Bodytext31Sylfaen"/>
          <w:sz w:val="24"/>
          <w:szCs w:val="24"/>
        </w:rPr>
        <w:t>%-ին հավասար առնվազն երեք հաջորդական քանակություններով: Լարման տրված երեք արժեքները պետք է գտնվեն մեկ ուղղի վրա: Շարունակում են տիտրումը առնվազն երեք հաջորդական մասնաբաժիններով համարժեքության ենթադրվող կետին հասնելուց հետո: Լարման ստացված արժեքները պետք է գտնվեն այլ ուղղի վրա: Երկու ուղիղների հատման կետը կհամապատասխանի տիտրման վերջնակետին:</w:t>
      </w:r>
    </w:p>
    <w:p w14:paraId="5EEB410C"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Երկու ինդիկատորային էլեկտրոդներով վոլտաչափական տիտրման համակարգի օգտագործման դեպքում գրանցում են տիտրման կորը, որով սահմանում են տիտրման վերջնակետը:</w:t>
      </w:r>
    </w:p>
    <w:p w14:paraId="022B44DA"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38660A">
        <w:rPr>
          <w:rStyle w:val="Bodytext31Sylfaen22"/>
          <w:sz w:val="20"/>
          <w:szCs w:val="24"/>
        </w:rPr>
        <w:t>201020058-2022</w:t>
      </w:r>
    </w:p>
    <w:p w14:paraId="50FD0A5A" w14:textId="77777777" w:rsidR="0038660A" w:rsidRPr="009217DE" w:rsidRDefault="0038660A" w:rsidP="00B834A2">
      <w:pPr>
        <w:pStyle w:val="Bodytext310"/>
        <w:shd w:val="clear" w:color="auto" w:fill="auto"/>
        <w:spacing w:after="160" w:line="360" w:lineRule="auto"/>
        <w:jc w:val="right"/>
        <w:rPr>
          <w:rFonts w:ascii="Sylfaen" w:hAnsi="Sylfaen"/>
          <w:i w:val="0"/>
          <w:sz w:val="20"/>
          <w:szCs w:val="24"/>
        </w:rPr>
      </w:pPr>
    </w:p>
    <w:p w14:paraId="16831084" w14:textId="77777777" w:rsidR="00B834A2" w:rsidRPr="00792625" w:rsidRDefault="00B834A2" w:rsidP="00A4015E">
      <w:pPr>
        <w:pStyle w:val="Bodytext310"/>
        <w:shd w:val="clear" w:color="auto" w:fill="auto"/>
        <w:tabs>
          <w:tab w:val="left" w:pos="1701"/>
        </w:tabs>
        <w:spacing w:after="160" w:line="360" w:lineRule="auto"/>
        <w:ind w:firstLine="567"/>
        <w:jc w:val="both"/>
        <w:rPr>
          <w:rFonts w:ascii="Sylfaen" w:hAnsi="Sylfaen"/>
          <w:i w:val="0"/>
          <w:sz w:val="24"/>
          <w:szCs w:val="24"/>
        </w:rPr>
      </w:pPr>
      <w:r w:rsidRPr="00792625">
        <w:rPr>
          <w:rStyle w:val="Bodytext31Sylfaen20"/>
          <w:sz w:val="24"/>
          <w:szCs w:val="24"/>
        </w:rPr>
        <w:t>2.1.2.58.</w:t>
      </w:r>
      <w:r w:rsidR="0038660A" w:rsidRPr="009217DE">
        <w:rPr>
          <w:rStyle w:val="Bodytext31Sylfaen20"/>
          <w:sz w:val="24"/>
          <w:szCs w:val="24"/>
        </w:rPr>
        <w:tab/>
      </w:r>
      <w:r w:rsidRPr="00792625">
        <w:rPr>
          <w:rStyle w:val="Bodytext31Sylfaen20"/>
          <w:sz w:val="24"/>
          <w:szCs w:val="24"/>
        </w:rPr>
        <w:t>Ավտոմատ տարրային անալիզ</w:t>
      </w:r>
    </w:p>
    <w:p w14:paraId="3D1D5F10"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Ավտոմատ տարրային անալիզի մեթոդը հիմնված է առաջացած գազային խառնուրդի բաղադրիչների քրոմատագրային հետագա որոշմամբ հետազոտվող նյութ</w:t>
      </w:r>
      <w:r w:rsidR="0038660A">
        <w:rPr>
          <w:rFonts w:ascii="Sylfaen" w:hAnsi="Sylfaen"/>
          <w:i w:val="0"/>
          <w:sz w:val="24"/>
          <w:szCs w:val="24"/>
        </w:rPr>
        <w:t>երի բարձր ջերմաստիճանային (1100°С -ից մինչեւ 1800</w:t>
      </w:r>
      <w:r w:rsidRPr="00792625">
        <w:rPr>
          <w:rFonts w:ascii="Sylfaen" w:hAnsi="Sylfaen"/>
          <w:i w:val="0"/>
          <w:sz w:val="24"/>
          <w:szCs w:val="24"/>
        </w:rPr>
        <w:t>°С) օքսիդացման տարրալուծման վրա:</w:t>
      </w:r>
    </w:p>
    <w:p w14:paraId="2AD4AAC0"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 xml:space="preserve">Դեղագործական կիրառության համար նախատեսված բաղադրամասերում С, Н, N եւ S տարրերի պարունակությունը որոշելու համար անցկացնում են օքսիդացման կատալիզատորի առկայությամբ հելիումի հոսքում, կամ թթվածնի հետ դրա խառնուրդի հոսքում բարձր ջերմաստիճանային օքսիդացման տարրալուծում: Հետագա վերականգնումը, որպես կանոն, ընթանում է կատալիզատորի առկայությամբ եւ առաջացող պրոդուկտների որոշում՝ </w:t>
      </w:r>
      <w:r w:rsidRPr="00792625">
        <w:rPr>
          <w:rFonts w:ascii="Sylfaen" w:hAnsi="Sylfaen"/>
          <w:i w:val="0"/>
          <w:sz w:val="24"/>
          <w:szCs w:val="24"/>
        </w:rPr>
        <w:t xml:space="preserve">որոշվող </w:t>
      </w:r>
      <w:r w:rsidRPr="00792625">
        <w:rPr>
          <w:rFonts w:ascii="Sylfaen" w:hAnsi="Sylfaen"/>
          <w:i w:val="0"/>
          <w:sz w:val="24"/>
          <w:szCs w:val="24"/>
        </w:rPr>
        <w:lastRenderedPageBreak/>
        <w:t>տարրերին համապատասխանող СО</w:t>
      </w:r>
      <w:r w:rsidRPr="0038660A">
        <w:rPr>
          <w:rFonts w:ascii="Sylfaen" w:hAnsi="Sylfaen"/>
          <w:i w:val="0"/>
          <w:sz w:val="24"/>
          <w:szCs w:val="24"/>
          <w:vertAlign w:val="subscript"/>
        </w:rPr>
        <w:t>2</w:t>
      </w:r>
      <w:r w:rsidRPr="00792625">
        <w:rPr>
          <w:rFonts w:ascii="Sylfaen" w:hAnsi="Sylfaen"/>
          <w:i w:val="0"/>
          <w:sz w:val="24"/>
          <w:szCs w:val="24"/>
        </w:rPr>
        <w:t xml:space="preserve"> տեսքով ածխածնի, Н</w:t>
      </w:r>
      <w:r w:rsidRPr="0038660A">
        <w:rPr>
          <w:rFonts w:ascii="Sylfaen" w:hAnsi="Sylfaen"/>
          <w:i w:val="0"/>
          <w:sz w:val="24"/>
          <w:szCs w:val="24"/>
          <w:vertAlign w:val="subscript"/>
        </w:rPr>
        <w:t>2</w:t>
      </w:r>
      <w:r w:rsidRPr="00792625">
        <w:rPr>
          <w:rFonts w:ascii="Sylfaen" w:hAnsi="Sylfaen"/>
          <w:i w:val="0"/>
          <w:sz w:val="24"/>
          <w:szCs w:val="24"/>
        </w:rPr>
        <w:t>О տեսքով ջրածնի, N</w:t>
      </w:r>
      <w:r w:rsidRPr="0038660A">
        <w:rPr>
          <w:rFonts w:ascii="Sylfaen" w:hAnsi="Sylfaen"/>
          <w:i w:val="0"/>
          <w:sz w:val="24"/>
          <w:szCs w:val="24"/>
          <w:vertAlign w:val="subscript"/>
        </w:rPr>
        <w:t>2</w:t>
      </w:r>
      <w:r w:rsidRPr="00792625">
        <w:rPr>
          <w:rFonts w:ascii="Sylfaen" w:hAnsi="Sylfaen"/>
          <w:i w:val="0"/>
          <w:sz w:val="24"/>
          <w:szCs w:val="24"/>
        </w:rPr>
        <w:t xml:space="preserve"> տեսքով ազոտի, SО</w:t>
      </w:r>
      <w:r w:rsidRPr="0038660A">
        <w:rPr>
          <w:rFonts w:ascii="Sylfaen" w:hAnsi="Sylfaen"/>
          <w:i w:val="0"/>
          <w:sz w:val="24"/>
          <w:szCs w:val="24"/>
          <w:vertAlign w:val="subscript"/>
        </w:rPr>
        <w:t>2</w:t>
      </w:r>
      <w:r w:rsidRPr="00792625">
        <w:rPr>
          <w:rFonts w:ascii="Sylfaen" w:hAnsi="Sylfaen"/>
          <w:i w:val="0"/>
          <w:sz w:val="24"/>
          <w:szCs w:val="24"/>
        </w:rPr>
        <w:t xml:space="preserve"> տեսքով ծծմբի, СО տեսքով թթվածնի՝ անցկացնում են գազային քրոմատագրման մեթոդով: </w:t>
      </w:r>
    </w:p>
    <w:p w14:paraId="3BA75B98" w14:textId="77777777" w:rsidR="00B834A2" w:rsidRPr="009217DE" w:rsidRDefault="00B834A2" w:rsidP="00B834A2">
      <w:pPr>
        <w:pStyle w:val="Bodytext310"/>
        <w:shd w:val="clear" w:color="auto" w:fill="auto"/>
        <w:spacing w:after="160" w:line="360" w:lineRule="auto"/>
        <w:ind w:firstLine="567"/>
        <w:jc w:val="both"/>
        <w:rPr>
          <w:rStyle w:val="Bodytext31Sylfaen"/>
          <w:sz w:val="24"/>
          <w:szCs w:val="24"/>
        </w:rPr>
      </w:pPr>
      <w:r w:rsidRPr="00792625">
        <w:rPr>
          <w:rStyle w:val="Bodytext31Sylfaen"/>
          <w:sz w:val="24"/>
          <w:szCs w:val="24"/>
        </w:rPr>
        <w:t>Ավտոմատ տարրային անալիզի մեթոդը կարող է օգտագործվել նյութի էմպիրիկ բանաձեւերի սահմանման համար, որի մոլեկուլների բաղադրության մեջ մտնում են՝ ածխածին (С), ջրածին (Н), ազոտ (N), ծծումբ (S), իսկ մի շարք դեպքերում եւ թթվածին (О)՝ այս տարրերից ցանկացածի մասով տարրային անալիզի տվյալների հիման վրա: Մեթոդն օգտագործվում է դեղագործական մշակման փուլում՝ նյութի մոլեկուլային բանաձեւով ակտիվ դեղագործական բաղադրամասի նույնականացման նպատակով:</w:t>
      </w:r>
    </w:p>
    <w:p w14:paraId="1E71B9E0"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Ավտոմատ տարրային անալիզի մեթոդը կարող է կիրառվել նաեւ փորձարկվող նմուշներում ածխածնի, ջրածնի, ազոտի, ծծմբի եւ թթվածնի զանգվածային բաժնի որոշման համար:</w:t>
      </w:r>
    </w:p>
    <w:p w14:paraId="0BF4902F"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Որպես օքսիդացման կատալիզատո՝ր սովորաբար օգտագործում են օքսիդի վանադիումի (V) (V</w:t>
      </w:r>
      <w:r w:rsidRPr="0038660A">
        <w:rPr>
          <w:rFonts w:ascii="Sylfaen" w:hAnsi="Sylfaen"/>
          <w:i w:val="0"/>
          <w:sz w:val="24"/>
          <w:szCs w:val="24"/>
          <w:vertAlign w:val="subscript"/>
        </w:rPr>
        <w:t>2</w:t>
      </w:r>
      <w:r w:rsidRPr="00792625">
        <w:rPr>
          <w:rFonts w:ascii="Sylfaen" w:hAnsi="Sylfaen"/>
          <w:i w:val="0"/>
          <w:sz w:val="24"/>
          <w:szCs w:val="24"/>
        </w:rPr>
        <w:t>О</w:t>
      </w:r>
      <w:r w:rsidRPr="00792625">
        <w:rPr>
          <w:rStyle w:val="Bodytext31Sylfaen"/>
          <w:sz w:val="24"/>
          <w:szCs w:val="24"/>
          <w:vertAlign w:val="subscript"/>
        </w:rPr>
        <w:t>5</w:t>
      </w:r>
      <w:r w:rsidRPr="00792625">
        <w:rPr>
          <w:rFonts w:ascii="Sylfaen" w:hAnsi="Sylfaen"/>
          <w:i w:val="0"/>
          <w:sz w:val="24"/>
          <w:szCs w:val="24"/>
        </w:rPr>
        <w:t>) կամ օքսիդի արծաթազօծված կոբալտի (II, III)(СO</w:t>
      </w:r>
      <w:r w:rsidRPr="0038660A">
        <w:rPr>
          <w:rFonts w:ascii="Sylfaen" w:hAnsi="Sylfaen"/>
          <w:i w:val="0"/>
          <w:sz w:val="24"/>
          <w:szCs w:val="24"/>
          <w:vertAlign w:val="subscript"/>
        </w:rPr>
        <w:t>3</w:t>
      </w:r>
      <w:r w:rsidRPr="00792625">
        <w:rPr>
          <w:rFonts w:ascii="Sylfaen" w:hAnsi="Sylfaen"/>
          <w:i w:val="0"/>
          <w:sz w:val="24"/>
          <w:szCs w:val="24"/>
        </w:rPr>
        <w:t>О</w:t>
      </w:r>
      <w:r w:rsidRPr="0038660A">
        <w:rPr>
          <w:rFonts w:ascii="Sylfaen" w:hAnsi="Sylfaen"/>
          <w:i w:val="0"/>
          <w:sz w:val="24"/>
          <w:szCs w:val="24"/>
          <w:vertAlign w:val="subscript"/>
        </w:rPr>
        <w:t>4</w:t>
      </w:r>
      <w:r w:rsidRPr="00792625">
        <w:rPr>
          <w:rFonts w:ascii="Sylfaen" w:hAnsi="Sylfaen"/>
          <w:i w:val="0"/>
          <w:sz w:val="24"/>
          <w:szCs w:val="24"/>
        </w:rPr>
        <w:t>)</w:t>
      </w:r>
      <w:r w:rsidRPr="00B834A2">
        <w:rPr>
          <w:rFonts w:ascii="Sylfaen" w:hAnsi="Sylfaen"/>
          <w:sz w:val="24"/>
          <w:szCs w:val="24"/>
        </w:rPr>
        <w:t xml:space="preserve"> </w:t>
      </w:r>
      <w:r w:rsidRPr="00792625">
        <w:rPr>
          <w:rFonts w:ascii="Sylfaen" w:hAnsi="Sylfaen"/>
          <w:i w:val="0"/>
          <w:sz w:val="24"/>
          <w:szCs w:val="24"/>
        </w:rPr>
        <w:t>հավելմամբ պղնձի օքսիդ (II) (СuО):</w:t>
      </w:r>
      <w:r w:rsidRPr="00792625">
        <w:rPr>
          <w:rStyle w:val="Bodytext31Sylfaen"/>
          <w:sz w:val="24"/>
          <w:szCs w:val="24"/>
        </w:rPr>
        <w:t xml:space="preserve"> Որպես վերականգնման կատալիզատոր՝ օգտագործում են էլեկտրոլիտային պղինձ:</w:t>
      </w:r>
    </w:p>
    <w:p w14:paraId="404C0B54"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Դիօքսիդների ածխածնի եւ ծծմբի (СO</w:t>
      </w:r>
      <w:r w:rsidRPr="0038660A">
        <w:rPr>
          <w:rFonts w:ascii="Sylfaen" w:hAnsi="Sylfaen"/>
          <w:i w:val="0"/>
          <w:sz w:val="24"/>
          <w:szCs w:val="24"/>
          <w:vertAlign w:val="subscript"/>
        </w:rPr>
        <w:t>2</w:t>
      </w:r>
      <w:r w:rsidRPr="00792625">
        <w:rPr>
          <w:rFonts w:ascii="Sylfaen" w:hAnsi="Sylfaen"/>
          <w:i w:val="0"/>
          <w:sz w:val="24"/>
          <w:szCs w:val="24"/>
        </w:rPr>
        <w:t xml:space="preserve"> եւ ՏՕ</w:t>
      </w:r>
      <w:r w:rsidRPr="0038660A">
        <w:rPr>
          <w:rFonts w:ascii="Sylfaen" w:hAnsi="Sylfaen"/>
          <w:i w:val="0"/>
          <w:sz w:val="24"/>
          <w:szCs w:val="24"/>
          <w:vertAlign w:val="subscript"/>
        </w:rPr>
        <w:t>2</w:t>
      </w:r>
      <w:r w:rsidRPr="00792625">
        <w:rPr>
          <w:rFonts w:ascii="Sylfaen" w:hAnsi="Sylfaen"/>
          <w:i w:val="0"/>
          <w:sz w:val="24"/>
          <w:szCs w:val="24"/>
        </w:rPr>
        <w:t>)կլանման համար օգտագործում</w:t>
      </w:r>
      <w:r w:rsidR="00B76CAD" w:rsidRPr="00B76CAD">
        <w:rPr>
          <w:rFonts w:ascii="Sylfaen" w:hAnsi="Sylfaen"/>
          <w:i w:val="0"/>
          <w:sz w:val="24"/>
          <w:szCs w:val="24"/>
        </w:rPr>
        <w:t> </w:t>
      </w:r>
      <w:r w:rsidRPr="00792625">
        <w:rPr>
          <w:rFonts w:ascii="Sylfaen" w:hAnsi="Sylfaen"/>
          <w:i w:val="0"/>
          <w:sz w:val="24"/>
          <w:szCs w:val="24"/>
        </w:rPr>
        <w:t xml:space="preserve">են հիդրօքսիդի նատրիումի եւ հիրօքսիդի կալցիումի խառնուրդով որսիչներ, մագնիումի պերքլորատով ջուր-որսիչներ կամ միացման խողովակներում ազատվումխող ջրից։ </w:t>
      </w:r>
      <w:r w:rsidRPr="00792625">
        <w:rPr>
          <w:rStyle w:val="Bodytext31Sylfaen"/>
          <w:sz w:val="24"/>
          <w:szCs w:val="24"/>
        </w:rPr>
        <w:t>Մեթոդը կիրառելի է նմուշների անալիզի համար՝ ինչպես պինդ, այնպես էլ հեղուկ վիճակում:</w:t>
      </w:r>
    </w:p>
    <w:p w14:paraId="405B6E75" w14:textId="77777777" w:rsidR="00B834A2" w:rsidRPr="00B834A2" w:rsidRDefault="00B834A2" w:rsidP="00B834A2">
      <w:pPr>
        <w:pStyle w:val="Bodytext310"/>
        <w:shd w:val="clear" w:color="auto" w:fill="auto"/>
        <w:spacing w:after="160" w:line="360" w:lineRule="auto"/>
        <w:jc w:val="both"/>
        <w:rPr>
          <w:rStyle w:val="Bodytext31Sylfaen22"/>
          <w:b w:val="0"/>
          <w:bCs w:val="0"/>
          <w:sz w:val="24"/>
          <w:szCs w:val="24"/>
        </w:rPr>
      </w:pPr>
    </w:p>
    <w:p w14:paraId="0EA94949" w14:textId="77777777" w:rsidR="00B834A2" w:rsidRPr="00792625" w:rsidRDefault="00B834A2" w:rsidP="00B834A2">
      <w:pPr>
        <w:pStyle w:val="Bodytext310"/>
        <w:shd w:val="clear" w:color="auto" w:fill="auto"/>
        <w:spacing w:after="160" w:line="360" w:lineRule="auto"/>
        <w:ind w:firstLine="567"/>
        <w:jc w:val="both"/>
        <w:rPr>
          <w:rFonts w:ascii="Sylfaen" w:hAnsi="Sylfaen"/>
          <w:b/>
          <w:i w:val="0"/>
          <w:sz w:val="24"/>
          <w:szCs w:val="24"/>
        </w:rPr>
      </w:pPr>
      <w:r w:rsidRPr="00792625">
        <w:rPr>
          <w:rStyle w:val="Bodytext31Sylfaen"/>
          <w:b/>
          <w:sz w:val="24"/>
          <w:szCs w:val="24"/>
        </w:rPr>
        <w:t>ՍԱՐՔԱՎՈՐՈՒՄՆԵՐ</w:t>
      </w:r>
    </w:p>
    <w:p w14:paraId="0F6D33A3"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Որոշումը կատարվում է սարքի՝ տարրային անալիզարարի միջոցով, որի հիմնական բաղադրիչ մասերն են՝</w:t>
      </w:r>
    </w:p>
    <w:p w14:paraId="6B62BDF1"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 xml:space="preserve">էլեկտրոնային միկրոկշեռքներ կամ ուլտրամիկրոկշեռքներ. </w:t>
      </w:r>
    </w:p>
    <w:p w14:paraId="461DBC90"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lastRenderedPageBreak/>
        <w:t>-</w:t>
      </w:r>
      <w:r w:rsidR="00792625" w:rsidRPr="00792625">
        <w:rPr>
          <w:rFonts w:ascii="Sylfaen" w:hAnsi="Sylfaen"/>
          <w:i w:val="0"/>
          <w:sz w:val="24"/>
          <w:szCs w:val="24"/>
        </w:rPr>
        <w:tab/>
      </w:r>
      <w:r w:rsidRPr="00792625">
        <w:rPr>
          <w:rFonts w:ascii="Sylfaen" w:hAnsi="Sylfaen"/>
          <w:i w:val="0"/>
          <w:sz w:val="24"/>
          <w:szCs w:val="24"/>
        </w:rPr>
        <w:t>փորձանմուշի ներմուծման հանգույց (բլոկ)՝ անալիզի ենթարկվող նմուշների պատիճավորված (անագե նրբաթիթեղից կոնտեյներներում կնքված)փորձանմուշների ավտոմատ բաժնավորիչ.</w:t>
      </w:r>
    </w:p>
    <w:p w14:paraId="7DD7BD72"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 xml:space="preserve">էլեկտրավառարանում տեղադրված օքսիդացման եւ վերականգման ռեակտորներ. </w:t>
      </w:r>
    </w:p>
    <w:p w14:paraId="588BB626"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որսիչներ (կլանիչներ).</w:t>
      </w:r>
    </w:p>
    <w:p w14:paraId="02D7B3D7" w14:textId="77777777" w:rsidR="00B834A2" w:rsidRPr="0038660A" w:rsidRDefault="00B834A2" w:rsidP="00792625">
      <w:pPr>
        <w:pStyle w:val="Bodytext310"/>
        <w:shd w:val="clear" w:color="auto" w:fill="auto"/>
        <w:tabs>
          <w:tab w:val="left" w:pos="1134"/>
        </w:tabs>
        <w:spacing w:after="160" w:line="360" w:lineRule="auto"/>
        <w:ind w:firstLine="567"/>
        <w:jc w:val="both"/>
        <w:rPr>
          <w:rFonts w:ascii="Sylfaen" w:hAnsi="Sylfaen"/>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 xml:space="preserve">քրոմատագրման </w:t>
      </w:r>
      <w:r w:rsidRPr="0038660A">
        <w:rPr>
          <w:rStyle w:val="Bodytext210pt8"/>
          <w:sz w:val="24"/>
          <w:szCs w:val="24"/>
        </w:rPr>
        <w:t>աշտարակ</w:t>
      </w:r>
      <w:r w:rsidRPr="0038660A">
        <w:rPr>
          <w:rFonts w:ascii="Sylfaen" w:hAnsi="Sylfaen"/>
          <w:sz w:val="24"/>
          <w:szCs w:val="24"/>
        </w:rPr>
        <w:t>.</w:t>
      </w:r>
    </w:p>
    <w:p w14:paraId="281ADF07" w14:textId="77777777" w:rsidR="00B834A2" w:rsidRPr="00792625" w:rsidRDefault="00B834A2" w:rsidP="006F79C2">
      <w:pPr>
        <w:pStyle w:val="Bodytext310"/>
        <w:shd w:val="clear" w:color="auto" w:fill="auto"/>
        <w:tabs>
          <w:tab w:val="left" w:pos="1134"/>
        </w:tabs>
        <w:spacing w:after="160" w:line="348"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ջերմահաղորդականության դետեկտոր կամ բոցալուսաչափական կամ իզոտոպ զանգվածային սպեկտրաչափ.</w:t>
      </w:r>
    </w:p>
    <w:p w14:paraId="29EAD18F" w14:textId="77777777" w:rsidR="00B834A2" w:rsidRPr="009217DE" w:rsidRDefault="00B834A2" w:rsidP="006F79C2">
      <w:pPr>
        <w:pStyle w:val="Bodytext310"/>
        <w:shd w:val="clear" w:color="auto" w:fill="auto"/>
        <w:tabs>
          <w:tab w:val="left" w:pos="1134"/>
        </w:tabs>
        <w:spacing w:after="160" w:line="348"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792625">
        <w:rPr>
          <w:rFonts w:ascii="Sylfaen" w:hAnsi="Sylfaen"/>
          <w:i w:val="0"/>
          <w:sz w:val="24"/>
          <w:szCs w:val="24"/>
        </w:rPr>
        <w:t xml:space="preserve">տվյալների մշակման եւ սարքի կառավարման համար նախատեսված համակարգ: </w:t>
      </w:r>
    </w:p>
    <w:p w14:paraId="30762667" w14:textId="77777777" w:rsidR="0038660A" w:rsidRPr="009217DE" w:rsidRDefault="0038660A" w:rsidP="006F79C2">
      <w:pPr>
        <w:pStyle w:val="Bodytext310"/>
        <w:shd w:val="clear" w:color="auto" w:fill="auto"/>
        <w:tabs>
          <w:tab w:val="left" w:pos="1134"/>
        </w:tabs>
        <w:spacing w:after="160" w:line="348" w:lineRule="auto"/>
        <w:ind w:firstLine="567"/>
        <w:jc w:val="both"/>
        <w:rPr>
          <w:rFonts w:ascii="Sylfaen" w:hAnsi="Sylfaen"/>
          <w:i w:val="0"/>
          <w:sz w:val="24"/>
          <w:szCs w:val="24"/>
        </w:rPr>
      </w:pPr>
    </w:p>
    <w:p w14:paraId="3FAC13E3" w14:textId="77777777" w:rsidR="00B834A2" w:rsidRPr="00792625" w:rsidRDefault="00B834A2" w:rsidP="006F79C2">
      <w:pPr>
        <w:pStyle w:val="Bodytext310"/>
        <w:shd w:val="clear" w:color="auto" w:fill="auto"/>
        <w:spacing w:after="160" w:line="348" w:lineRule="auto"/>
        <w:ind w:firstLine="567"/>
        <w:jc w:val="both"/>
        <w:rPr>
          <w:rStyle w:val="Bodytext31Sylfaen22"/>
          <w:b w:val="0"/>
          <w:sz w:val="24"/>
          <w:szCs w:val="24"/>
        </w:rPr>
      </w:pPr>
      <w:r w:rsidRPr="00792625">
        <w:rPr>
          <w:rStyle w:val="Bodytext31Sylfaen"/>
          <w:b/>
          <w:sz w:val="24"/>
          <w:szCs w:val="24"/>
        </w:rPr>
        <w:t>ՄԵԹՈԴԻԿԱ</w:t>
      </w:r>
    </w:p>
    <w:p w14:paraId="4783B678" w14:textId="77777777" w:rsidR="00B834A2" w:rsidRPr="00792625" w:rsidRDefault="00B834A2" w:rsidP="006F79C2">
      <w:pPr>
        <w:pStyle w:val="Bodytext310"/>
        <w:shd w:val="clear" w:color="auto" w:fill="auto"/>
        <w:spacing w:after="160" w:line="348" w:lineRule="auto"/>
        <w:ind w:firstLine="567"/>
        <w:jc w:val="both"/>
        <w:rPr>
          <w:rFonts w:ascii="Sylfaen" w:hAnsi="Sylfaen"/>
          <w:i w:val="0"/>
          <w:sz w:val="24"/>
          <w:szCs w:val="24"/>
        </w:rPr>
      </w:pPr>
      <w:r w:rsidRPr="00792625">
        <w:rPr>
          <w:rStyle w:val="Bodytext31Sylfaen"/>
          <w:sz w:val="24"/>
          <w:szCs w:val="24"/>
        </w:rPr>
        <w:t>Պինդ կամ հեղուկ վիճակում փորձարկվող նմուշների անալիզի ժամանակ օգտագործում են պինդ կամ հեղուկ փորձանմուշների համար նախատեսված բաժնավորիչներ:</w:t>
      </w:r>
    </w:p>
    <w:p w14:paraId="22FBEC9E" w14:textId="77777777" w:rsidR="00B834A2" w:rsidRPr="00792625" w:rsidRDefault="00B834A2" w:rsidP="006F79C2">
      <w:pPr>
        <w:pStyle w:val="Bodytext310"/>
        <w:shd w:val="clear" w:color="auto" w:fill="auto"/>
        <w:spacing w:after="160" w:line="348" w:lineRule="auto"/>
        <w:ind w:firstLine="567"/>
        <w:jc w:val="both"/>
        <w:rPr>
          <w:rFonts w:ascii="Sylfaen" w:hAnsi="Sylfaen"/>
          <w:i w:val="0"/>
          <w:sz w:val="24"/>
          <w:szCs w:val="24"/>
        </w:rPr>
      </w:pPr>
      <w:r w:rsidRPr="00792625">
        <w:rPr>
          <w:rStyle w:val="Bodytext31Sylfaen"/>
          <w:sz w:val="24"/>
          <w:szCs w:val="24"/>
        </w:rPr>
        <w:t>Որպես ստանդարտ ՝ օգտագործում են միկրոանալիզի համար նախատեսված համապատասխան ստանդարտ նմուշներ՝ տարրերի սահմանված պարունակությամբ, օրինակ՝ ացետանիլիդ, ցիստեին, մեթիոնին:</w:t>
      </w:r>
    </w:p>
    <w:p w14:paraId="35B126C4" w14:textId="77777777" w:rsidR="00B834A2" w:rsidRPr="00792625" w:rsidRDefault="00B834A2" w:rsidP="006F79C2">
      <w:pPr>
        <w:pStyle w:val="Bodytext310"/>
        <w:shd w:val="clear" w:color="auto" w:fill="auto"/>
        <w:spacing w:after="160" w:line="348" w:lineRule="auto"/>
        <w:ind w:firstLine="567"/>
        <w:jc w:val="both"/>
        <w:rPr>
          <w:rFonts w:ascii="Sylfaen" w:hAnsi="Sylfaen"/>
          <w:i w:val="0"/>
          <w:sz w:val="24"/>
          <w:szCs w:val="24"/>
        </w:rPr>
      </w:pPr>
      <w:r w:rsidRPr="00792625">
        <w:rPr>
          <w:rStyle w:val="Bodytext31Sylfaen"/>
          <w:sz w:val="24"/>
          <w:szCs w:val="24"/>
        </w:rPr>
        <w:t xml:space="preserve">Սարքն արտադրողի առաջարկություններին համապատասխան վերցված՝ միկրոանալիզի համար նախատեսված ստանդարտ նմուշի կամ ակտիվ դեղագործական բաղադրամասի ճշգրիտ կշռանմուշները տեղադրում են </w:t>
      </w:r>
      <w:r w:rsidRPr="00792625">
        <w:rPr>
          <w:rStyle w:val="Bodytext31Sylfaen"/>
          <w:spacing w:val="-4"/>
          <w:sz w:val="24"/>
          <w:szCs w:val="24"/>
        </w:rPr>
        <w:t xml:space="preserve">նախապես կշռված դատարկ ապագե կոնտեյներներում: Կոնտեյներները կնքում են հատուկ սարքի օգնությամբ, կշռում են պատիճավորված նմուշները եւ տեղադրում են բաժնավորիչի կասետում: </w:t>
      </w:r>
      <w:r w:rsidRPr="00792625">
        <w:rPr>
          <w:rFonts w:ascii="Sylfaen" w:hAnsi="Sylfaen"/>
          <w:i w:val="0"/>
          <w:spacing w:val="-4"/>
          <w:sz w:val="24"/>
          <w:szCs w:val="24"/>
        </w:rPr>
        <w:t>Օքսիդացման եւ վերականգնման կատալիզատորների</w:t>
      </w:r>
      <w:r w:rsidRPr="00792625">
        <w:rPr>
          <w:rFonts w:ascii="Sylfaen" w:hAnsi="Sylfaen"/>
          <w:i w:val="0"/>
          <w:sz w:val="24"/>
          <w:szCs w:val="24"/>
        </w:rPr>
        <w:t xml:space="preserve"> քանակությունն ավելացնելու դեպքում կշռանմուշը կարող է ավելացվել 5-10 անգամ, ընդ որում՝ կշռման ճշգրտությունը կարող է կազմել 0,01 մգ:</w:t>
      </w:r>
    </w:p>
    <w:p w14:paraId="6828FDF9"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lastRenderedPageBreak/>
        <w:t>Անցկացնում են ստուգիչ փորձ, որի համար ավտոմատ բաժնավորիչի օգնությամբ տեղադրում են 3 դատարկ անագե կոնտեյներ, գրանցում են դրանցից յուրաքանչյուրի համար որոշվող տարրի պարունակությունը:</w:t>
      </w:r>
    </w:p>
    <w:p w14:paraId="07A43252" w14:textId="77777777" w:rsidR="00B834A2" w:rsidRPr="00792625" w:rsidRDefault="00B834A2" w:rsidP="00B834A2">
      <w:pPr>
        <w:pStyle w:val="Bodytext310"/>
        <w:shd w:val="clear" w:color="auto" w:fill="auto"/>
        <w:spacing w:after="160" w:line="360" w:lineRule="auto"/>
        <w:ind w:firstLine="567"/>
        <w:jc w:val="both"/>
        <w:rPr>
          <w:rStyle w:val="Bodytext31Sylfaen"/>
          <w:sz w:val="24"/>
          <w:szCs w:val="24"/>
        </w:rPr>
      </w:pPr>
      <w:r w:rsidRPr="00792625">
        <w:rPr>
          <w:rStyle w:val="Bodytext31Sylfaen"/>
          <w:sz w:val="24"/>
          <w:szCs w:val="24"/>
        </w:rPr>
        <w:t xml:space="preserve">Այնուհետեւ հաջորդաբար այրում են պատիճավորված նմուշների (ստանդարտ եւ փորձարկվող) 3-4 կշռանմուշ: </w:t>
      </w:r>
    </w:p>
    <w:p w14:paraId="412B26BE"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 xml:space="preserve">Ստուգիչ փորձի արժեքը հաշվի առնելով՝ ստանդարտ նմուշների գագաթների մակերեսների ստացված արժեքներով կառուցվում է ստուգաճշտման գրաֆիկ եւ հաշվարկվում է որոշվող տարրի գագաթի մակերեսի նկատմամբ К ուղղիչ գործակիցը հետեւյալ բանաձեւով՝ </w:t>
      </w:r>
    </w:p>
    <w:p w14:paraId="2F7A0E48" w14:textId="77777777" w:rsidR="00B834A2" w:rsidRPr="00B834A2" w:rsidRDefault="00B834A2" w:rsidP="00B834A2">
      <w:pPr>
        <w:pStyle w:val="Bodytext310"/>
        <w:shd w:val="clear" w:color="auto" w:fill="auto"/>
        <w:spacing w:after="160" w:line="360" w:lineRule="auto"/>
        <w:ind w:firstLine="567"/>
        <w:jc w:val="both"/>
        <w:rPr>
          <w:rStyle w:val="Bodytext31Sylfaen"/>
          <w:sz w:val="24"/>
          <w:szCs w:val="24"/>
        </w:rPr>
      </w:pPr>
      <m:oMathPara>
        <m:oMath>
          <m:r>
            <w:rPr>
              <w:rStyle w:val="Bodytext31Sylfaen"/>
              <w:rFonts w:ascii="Cambria Math" w:hAnsi="Cambria Math"/>
              <w:sz w:val="24"/>
              <w:szCs w:val="24"/>
            </w:rPr>
            <m:t>K=</m:t>
          </m:r>
          <m:f>
            <m:fPr>
              <m:ctrlPr>
                <w:rPr>
                  <w:rStyle w:val="Bodytext31Sylfaen"/>
                  <w:rFonts w:ascii="Cambria Math" w:hAnsi="Cambria Math"/>
                  <w:i/>
                  <w:iCs/>
                  <w:sz w:val="24"/>
                  <w:szCs w:val="24"/>
                </w:rPr>
              </m:ctrlPr>
            </m:fPr>
            <m:num>
              <m:r>
                <w:rPr>
                  <w:rStyle w:val="Bodytext31Sylfaen"/>
                  <w:rFonts w:ascii="Cambria Math" w:hAnsi="Cambria Math"/>
                  <w:sz w:val="24"/>
                  <w:szCs w:val="24"/>
                </w:rPr>
                <m:t>y∙</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a</m:t>
                  </m:r>
                </m:e>
                <m:sub>
                  <m:r>
                    <w:rPr>
                      <w:rStyle w:val="Bodytext31Sylfaen"/>
                      <w:rFonts w:ascii="Cambria Math" w:hAnsi="Cambria Math"/>
                      <w:sz w:val="24"/>
                      <w:szCs w:val="24"/>
                    </w:rPr>
                    <m:t>0</m:t>
                  </m:r>
                </m:sub>
              </m:sSub>
            </m:num>
            <m:den>
              <m:sSub>
                <m:sSubPr>
                  <m:ctrlPr>
                    <w:rPr>
                      <w:rStyle w:val="Bodytext31Sylfaen"/>
                      <w:rFonts w:ascii="Cambria Math" w:hAnsi="Cambria Math"/>
                      <w:i/>
                      <w:iCs/>
                      <w:sz w:val="24"/>
                      <w:szCs w:val="24"/>
                    </w:rPr>
                  </m:ctrlPr>
                </m:sSubPr>
                <m:e>
                  <m:r>
                    <w:rPr>
                      <w:rStyle w:val="Bodytext31Sylfaen"/>
                      <w:rFonts w:ascii="Cambria Math" w:hAnsi="Cambria Math"/>
                      <w:sz w:val="24"/>
                      <w:szCs w:val="24"/>
                    </w:rPr>
                    <m:t>(S</m:t>
                  </m:r>
                </m:e>
                <m:sub>
                  <m:r>
                    <w:rPr>
                      <w:rStyle w:val="Bodytext31Sylfaen"/>
                      <w:rFonts w:ascii="Cambria Math" w:hAnsi="Cambria Math"/>
                      <w:sz w:val="24"/>
                      <w:szCs w:val="24"/>
                    </w:rPr>
                    <m:t>0</m:t>
                  </m:r>
                </m:sub>
              </m:sSub>
              <m:r>
                <w:rPr>
                  <w:rStyle w:val="Bodytext31Sylfaen"/>
                  <w:rFonts w:ascii="Cambria Math" w:hAnsi="Cambria Math"/>
                  <w:sz w:val="24"/>
                  <w:szCs w:val="24"/>
                </w:rPr>
                <m:t>-</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S</m:t>
                  </m:r>
                </m:e>
                <m:sub>
                  <m:r>
                    <w:rPr>
                      <w:rStyle w:val="Bodytext31Sylfaen"/>
                      <w:rFonts w:ascii="Cambria Math" w:hAnsi="Cambria Math"/>
                      <w:sz w:val="24"/>
                      <w:szCs w:val="24"/>
                    </w:rPr>
                    <m:t>K</m:t>
                  </m:r>
                </m:sub>
              </m:sSub>
              <m:r>
                <w:rPr>
                  <w:rStyle w:val="Bodytext31Sylfaen"/>
                  <w:rFonts w:ascii="Cambria Math" w:hAnsi="Cambria Math"/>
                  <w:sz w:val="24"/>
                  <w:szCs w:val="24"/>
                </w:rPr>
                <m:t>)∙100</m:t>
              </m:r>
            </m:den>
          </m:f>
        </m:oMath>
      </m:oMathPara>
    </w:p>
    <w:p w14:paraId="7882B007" w14:textId="77777777" w:rsidR="00792625" w:rsidRPr="00097504" w:rsidRDefault="00B834A2" w:rsidP="00B834A2">
      <w:pPr>
        <w:pStyle w:val="Bodytext310"/>
        <w:shd w:val="clear" w:color="auto" w:fill="auto"/>
        <w:spacing w:after="160" w:line="360" w:lineRule="auto"/>
        <w:ind w:firstLine="567"/>
        <w:jc w:val="both"/>
        <w:rPr>
          <w:rStyle w:val="Bodytext31Sylfaen"/>
          <w:sz w:val="24"/>
          <w:szCs w:val="24"/>
        </w:rPr>
      </w:pPr>
      <w:r w:rsidRPr="00792625">
        <w:rPr>
          <w:rStyle w:val="Bodytext31Sylfaen"/>
          <w:sz w:val="24"/>
          <w:szCs w:val="24"/>
        </w:rPr>
        <w:t xml:space="preserve">որտեղ՝ </w:t>
      </w:r>
    </w:p>
    <w:p w14:paraId="48A7EE82"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 xml:space="preserve">у-ը՝ միկրոանալիզի համար ստանդարտ նմուշում որոշվող տարրի պարունակությունը՝ տոկոսներով. </w:t>
      </w:r>
    </w:p>
    <w:p w14:paraId="6D75D5B4"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S</w:t>
      </w:r>
      <w:r w:rsidRPr="0038660A">
        <w:rPr>
          <w:rFonts w:ascii="Sylfaen" w:hAnsi="Sylfaen"/>
          <w:i w:val="0"/>
          <w:sz w:val="24"/>
          <w:szCs w:val="24"/>
          <w:vertAlign w:val="subscript"/>
        </w:rPr>
        <w:t>0</w:t>
      </w:r>
      <w:r w:rsidRPr="00792625">
        <w:rPr>
          <w:rFonts w:ascii="Sylfaen" w:hAnsi="Sylfaen"/>
          <w:i w:val="0"/>
          <w:sz w:val="24"/>
          <w:szCs w:val="24"/>
        </w:rPr>
        <w:t xml:space="preserve">-ն՝ միկրոանալիզի համար ստանդարտ նմուշի քրոմատագրի վրա գագաթի մակերեսը. </w:t>
      </w:r>
    </w:p>
    <w:p w14:paraId="5C944A7B"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S</w:t>
      </w:r>
      <w:r w:rsidRPr="0038660A">
        <w:rPr>
          <w:rFonts w:ascii="Sylfaen" w:hAnsi="Sylfaen"/>
          <w:i w:val="0"/>
          <w:sz w:val="24"/>
          <w:szCs w:val="24"/>
          <w:vertAlign w:val="subscript"/>
        </w:rPr>
        <w:t>k</w:t>
      </w:r>
      <w:r w:rsidRPr="00792625">
        <w:rPr>
          <w:rFonts w:ascii="Sylfaen" w:hAnsi="Sylfaen"/>
          <w:i w:val="0"/>
          <w:sz w:val="24"/>
          <w:szCs w:val="24"/>
        </w:rPr>
        <w:t xml:space="preserve">-ն՝ ստուգիչ նմուշի քրոմատագրի վրա գագաթի մակերեսը. </w:t>
      </w:r>
    </w:p>
    <w:p w14:paraId="3FFA46B2"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а</w:t>
      </w:r>
      <w:r w:rsidRPr="0038660A">
        <w:rPr>
          <w:rFonts w:ascii="Sylfaen" w:hAnsi="Sylfaen"/>
          <w:i w:val="0"/>
          <w:sz w:val="24"/>
          <w:szCs w:val="24"/>
          <w:vertAlign w:val="subscript"/>
        </w:rPr>
        <w:t>0</w:t>
      </w:r>
      <w:r w:rsidRPr="00792625">
        <w:rPr>
          <w:rFonts w:ascii="Sylfaen" w:hAnsi="Sylfaen"/>
          <w:i w:val="0"/>
          <w:sz w:val="24"/>
          <w:szCs w:val="24"/>
        </w:rPr>
        <w:t>-ն՝ միկրոանալիզի համար ստանդարտ նմուշի կշռանմուշը՝ միլիգրամներով:</w:t>
      </w:r>
    </w:p>
    <w:p w14:paraId="7F76F7B9"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t>Տոկոսներով փորձարկվող նմուշում որոշվող տարրի պարունակությունը (X</w:t>
      </w:r>
      <w:r w:rsidRPr="00792625">
        <w:rPr>
          <w:rStyle w:val="Bodytext31Sylfaen"/>
          <w:sz w:val="24"/>
          <w:szCs w:val="24"/>
          <w:vertAlign w:val="subscript"/>
        </w:rPr>
        <w:t>Э</w:t>
      </w:r>
      <w:r w:rsidRPr="00792625">
        <w:rPr>
          <w:rStyle w:val="Bodytext31Sylfaen"/>
          <w:sz w:val="24"/>
          <w:szCs w:val="24"/>
        </w:rPr>
        <w:t xml:space="preserve">) ավտոմատ հաշվարկվում է հետեւյալ բանաձեւով՝ </w:t>
      </w:r>
    </w:p>
    <w:p w14:paraId="120A64FA" w14:textId="77777777" w:rsidR="00B834A2" w:rsidRPr="00B834A2" w:rsidRDefault="00000000" w:rsidP="00B834A2">
      <w:pPr>
        <w:pStyle w:val="Bodytext310"/>
        <w:shd w:val="clear" w:color="auto" w:fill="auto"/>
        <w:spacing w:after="160" w:line="360" w:lineRule="auto"/>
        <w:ind w:firstLine="567"/>
        <w:jc w:val="center"/>
        <w:rPr>
          <w:rStyle w:val="Bodytext31Sylfaen"/>
          <w:sz w:val="24"/>
          <w:szCs w:val="24"/>
        </w:rPr>
      </w:pPr>
      <m:oMathPara>
        <m:oMath>
          <m:sSub>
            <m:sSubPr>
              <m:ctrlPr>
                <w:rPr>
                  <w:rStyle w:val="Bodytext31Sylfaen"/>
                  <w:rFonts w:ascii="Cambria Math" w:hAnsi="Cambria Math"/>
                  <w:i/>
                  <w:iCs/>
                  <w:sz w:val="24"/>
                  <w:szCs w:val="24"/>
                </w:rPr>
              </m:ctrlPr>
            </m:sSubPr>
            <m:e>
              <m:r>
                <w:rPr>
                  <w:rStyle w:val="Bodytext31Sylfaen"/>
                  <w:rFonts w:ascii="Cambria Math" w:hAnsi="Cambria Math"/>
                  <w:sz w:val="24"/>
                  <w:szCs w:val="24"/>
                </w:rPr>
                <m:t>X</m:t>
              </m:r>
            </m:e>
            <m:sub>
              <m:r>
                <w:rPr>
                  <w:rStyle w:val="Bodytext31Sylfaen"/>
                  <w:rFonts w:ascii="Cambria Math" w:hAnsi="Cambria Math"/>
                  <w:sz w:val="24"/>
                  <w:szCs w:val="24"/>
                </w:rPr>
                <m:t>Э</m:t>
              </m:r>
            </m:sub>
          </m:sSub>
          <m:r>
            <w:rPr>
              <w:rStyle w:val="Bodytext31Sylfaen"/>
              <w:rFonts w:ascii="Cambria Math" w:hAnsi="Cambria Math"/>
              <w:sz w:val="24"/>
              <w:szCs w:val="24"/>
            </w:rPr>
            <m:t>=</m:t>
          </m:r>
          <m:f>
            <m:fPr>
              <m:ctrlPr>
                <w:rPr>
                  <w:rStyle w:val="Bodytext31Sylfaen"/>
                  <w:rFonts w:ascii="Cambria Math" w:hAnsi="Cambria Math"/>
                  <w:i/>
                  <w:iCs/>
                  <w:sz w:val="24"/>
                  <w:szCs w:val="24"/>
                </w:rPr>
              </m:ctrlPr>
            </m:fPr>
            <m:num>
              <m:r>
                <w:rPr>
                  <w:rStyle w:val="Bodytext31Sylfaen"/>
                  <w:rFonts w:ascii="Cambria Math" w:hAnsi="Cambria Math"/>
                  <w:sz w:val="24"/>
                  <w:szCs w:val="24"/>
                </w:rPr>
                <m:t>(</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S-S</m:t>
                  </m:r>
                </m:e>
                <m:sub>
                  <m:r>
                    <w:rPr>
                      <w:rStyle w:val="Bodytext31Sylfaen"/>
                      <w:rFonts w:ascii="Cambria Math" w:hAnsi="Cambria Math"/>
                      <w:sz w:val="24"/>
                      <w:szCs w:val="24"/>
                    </w:rPr>
                    <m:t>K</m:t>
                  </m:r>
                </m:sub>
              </m:sSub>
              <m:r>
                <w:rPr>
                  <w:rStyle w:val="Bodytext31Sylfaen"/>
                  <w:rFonts w:ascii="Cambria Math" w:hAnsi="Cambria Math"/>
                  <w:sz w:val="24"/>
                  <w:szCs w:val="24"/>
                </w:rPr>
                <m:t>)∙K∙100</m:t>
              </m:r>
            </m:num>
            <m:den>
              <m:r>
                <w:rPr>
                  <w:rStyle w:val="Bodytext31Sylfaen"/>
                  <w:rFonts w:ascii="Cambria Math" w:hAnsi="Cambria Math"/>
                  <w:sz w:val="24"/>
                  <w:szCs w:val="24"/>
                </w:rPr>
                <m:t>a</m:t>
              </m:r>
            </m:den>
          </m:f>
        </m:oMath>
      </m:oMathPara>
    </w:p>
    <w:p w14:paraId="33D08C89" w14:textId="77777777" w:rsidR="00792625" w:rsidRPr="00097504" w:rsidRDefault="00B834A2" w:rsidP="00B834A2">
      <w:pPr>
        <w:pStyle w:val="Bodytext310"/>
        <w:shd w:val="clear" w:color="auto" w:fill="auto"/>
        <w:spacing w:after="160" w:line="360" w:lineRule="auto"/>
        <w:ind w:firstLine="567"/>
        <w:jc w:val="both"/>
        <w:rPr>
          <w:rStyle w:val="Bodytext31Sylfaen"/>
          <w:sz w:val="24"/>
          <w:szCs w:val="24"/>
        </w:rPr>
      </w:pPr>
      <w:r w:rsidRPr="00792625">
        <w:rPr>
          <w:rStyle w:val="Bodytext31Sylfaen"/>
          <w:sz w:val="24"/>
          <w:szCs w:val="24"/>
        </w:rPr>
        <w:t xml:space="preserve">որտեղ՝ </w:t>
      </w:r>
    </w:p>
    <w:p w14:paraId="62AC22B5"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 xml:space="preserve">S-ը՝ փորձարկվող նմուշի քրոմատագրի վրա գագաթի մակերեսն է. </w:t>
      </w:r>
    </w:p>
    <w:p w14:paraId="00BC69C7"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а-ն՝ փորձարկվող նմուշի կշռանմուշը՝ միլիգրամներով:</w:t>
      </w:r>
    </w:p>
    <w:p w14:paraId="5732999C"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Style w:val="Bodytext31Sylfaen"/>
          <w:sz w:val="24"/>
          <w:szCs w:val="24"/>
        </w:rPr>
        <w:lastRenderedPageBreak/>
        <w:t>Հարաբերակցություններ՝ ածխածին/ազոտ (C/N), ածխածին/ջրածին (С/H), ածխածին/ծծումբ (С/S), ածխածին/թթվածին (С/О) հաշվարկվում են ավտոմատ կերպով:</w:t>
      </w:r>
    </w:p>
    <w:p w14:paraId="4B3BD6DB" w14:textId="77777777" w:rsidR="00B834A2" w:rsidRPr="00B834A2" w:rsidRDefault="00B834A2" w:rsidP="00B834A2">
      <w:pPr>
        <w:spacing w:after="160" w:line="360" w:lineRule="auto"/>
        <w:ind w:firstLine="567"/>
        <w:jc w:val="both"/>
        <w:rPr>
          <w:i/>
        </w:rPr>
      </w:pPr>
      <w:r w:rsidRPr="00B834A2">
        <w:rPr>
          <w:rStyle w:val="Bodytext31Sylfaen"/>
          <w:i w:val="0"/>
          <w:sz w:val="24"/>
          <w:szCs w:val="24"/>
        </w:rPr>
        <w:t xml:space="preserve">Փորձարկվող նմուշի կշռանմուշը, հնարավորության դեպքում, ընտրում են այնպիսին, որ դրա կշռանմուշի այրման արդյունքում գոյացած որոշվող տարրի քանակությունը մոտ լինի միկրոանալիզի համար ստանդարտ նմուշի կշռանմուշի այրման ժամանակ գոյացող քանակությանը: </w:t>
      </w:r>
    </w:p>
    <w:p w14:paraId="51AE650D" w14:textId="77777777" w:rsidR="00B834A2" w:rsidRPr="00B834A2" w:rsidRDefault="00B834A2" w:rsidP="00B834A2">
      <w:pPr>
        <w:spacing w:after="160" w:line="360" w:lineRule="auto"/>
        <w:ind w:firstLine="567"/>
        <w:jc w:val="both"/>
      </w:pPr>
    </w:p>
    <w:p w14:paraId="2A67873B" w14:textId="77777777" w:rsidR="00D2561B" w:rsidRDefault="00D2561B">
      <w:pPr>
        <w:rPr>
          <w:rStyle w:val="Bodytext3117pt"/>
          <w:rFonts w:ascii="Sylfaen" w:eastAsia="Sylfaen" w:hAnsi="Sylfaen"/>
          <w:i w:val="0"/>
          <w:sz w:val="24"/>
          <w:szCs w:val="24"/>
        </w:rPr>
      </w:pPr>
      <w:r>
        <w:rPr>
          <w:rStyle w:val="Bodytext3117pt"/>
          <w:rFonts w:ascii="Sylfaen" w:eastAsia="Sylfaen" w:hAnsi="Sylfaen"/>
          <w:i w:val="0"/>
          <w:sz w:val="24"/>
          <w:szCs w:val="24"/>
        </w:rPr>
        <w:br w:type="page"/>
      </w:r>
    </w:p>
    <w:p w14:paraId="60BB9E4D" w14:textId="77777777" w:rsidR="00B834A2" w:rsidRPr="00B834A2" w:rsidRDefault="00B834A2" w:rsidP="00B834A2">
      <w:pPr>
        <w:spacing w:after="160" w:line="360" w:lineRule="auto"/>
        <w:jc w:val="center"/>
        <w:rPr>
          <w:i/>
        </w:rPr>
      </w:pPr>
      <w:r w:rsidRPr="00B834A2">
        <w:rPr>
          <w:rStyle w:val="Bodytext3117pt"/>
          <w:rFonts w:ascii="Sylfaen" w:eastAsia="Sylfaen" w:hAnsi="Sylfaen"/>
          <w:i w:val="0"/>
          <w:sz w:val="24"/>
          <w:szCs w:val="24"/>
        </w:rPr>
        <w:lastRenderedPageBreak/>
        <w:t>2.1.3. ՆՈՒՅՆԱԿԱՆԱՑՈՒՄ</w:t>
      </w:r>
    </w:p>
    <w:p w14:paraId="18B4CED6" w14:textId="77777777" w:rsidR="00B834A2" w:rsidRPr="009217DE" w:rsidRDefault="00B834A2" w:rsidP="00B834A2">
      <w:pPr>
        <w:pStyle w:val="Bodytext310"/>
        <w:shd w:val="clear" w:color="auto" w:fill="auto"/>
        <w:spacing w:after="160" w:line="360" w:lineRule="auto"/>
        <w:jc w:val="right"/>
        <w:rPr>
          <w:rStyle w:val="Bodytext31Sylfaen"/>
          <w:b/>
          <w:szCs w:val="24"/>
        </w:rPr>
      </w:pPr>
      <w:r w:rsidRPr="0038660A">
        <w:rPr>
          <w:rStyle w:val="Bodytext31Sylfaen"/>
          <w:b/>
          <w:szCs w:val="24"/>
        </w:rPr>
        <w:t>201030003</w:t>
      </w:r>
      <w:r w:rsidR="00B76CAD" w:rsidRPr="006B7DC5">
        <w:rPr>
          <w:rStyle w:val="Bodytext31Sylfaen"/>
          <w:b/>
          <w:szCs w:val="24"/>
        </w:rPr>
        <w:t>-</w:t>
      </w:r>
      <w:r w:rsidRPr="0038660A">
        <w:rPr>
          <w:rStyle w:val="Bodytext31Sylfaen"/>
          <w:b/>
          <w:szCs w:val="24"/>
        </w:rPr>
        <w:t>2022</w:t>
      </w:r>
    </w:p>
    <w:p w14:paraId="6B6F9991" w14:textId="77777777" w:rsidR="0038660A" w:rsidRPr="009217DE" w:rsidRDefault="0038660A" w:rsidP="00B834A2">
      <w:pPr>
        <w:pStyle w:val="Bodytext310"/>
        <w:shd w:val="clear" w:color="auto" w:fill="auto"/>
        <w:spacing w:after="160" w:line="360" w:lineRule="auto"/>
        <w:jc w:val="right"/>
        <w:rPr>
          <w:rFonts w:ascii="Sylfaen" w:hAnsi="Sylfaen"/>
          <w:b/>
          <w:i w:val="0"/>
          <w:sz w:val="20"/>
          <w:szCs w:val="24"/>
        </w:rPr>
      </w:pPr>
    </w:p>
    <w:p w14:paraId="336347DD" w14:textId="77777777" w:rsidR="00B834A2" w:rsidRPr="00792625" w:rsidRDefault="00B834A2" w:rsidP="00792625">
      <w:pPr>
        <w:pStyle w:val="Bodytext310"/>
        <w:shd w:val="clear" w:color="auto" w:fill="auto"/>
        <w:tabs>
          <w:tab w:val="left" w:pos="1701"/>
        </w:tabs>
        <w:spacing w:after="160" w:line="360" w:lineRule="auto"/>
        <w:ind w:firstLine="567"/>
        <w:jc w:val="both"/>
        <w:rPr>
          <w:rFonts w:ascii="Sylfaen" w:hAnsi="Sylfaen"/>
          <w:b/>
          <w:i w:val="0"/>
          <w:sz w:val="24"/>
          <w:szCs w:val="24"/>
        </w:rPr>
      </w:pPr>
      <w:r w:rsidRPr="00792625">
        <w:rPr>
          <w:rStyle w:val="Bodytext31Sylfaen"/>
          <w:b/>
          <w:sz w:val="24"/>
          <w:szCs w:val="24"/>
        </w:rPr>
        <w:t>2.1.3.3.</w:t>
      </w:r>
      <w:r w:rsidR="00792625" w:rsidRPr="00792625">
        <w:rPr>
          <w:rStyle w:val="Bodytext31Sylfaen"/>
          <w:b/>
          <w:sz w:val="24"/>
          <w:szCs w:val="24"/>
        </w:rPr>
        <w:tab/>
      </w:r>
      <w:r w:rsidRPr="00792625">
        <w:rPr>
          <w:rStyle w:val="Bodytext31Sylfaen"/>
          <w:b/>
          <w:sz w:val="24"/>
          <w:szCs w:val="24"/>
        </w:rPr>
        <w:t>Նրբաշերտ քրոմատագրման մեթոդով ֆենոթիազինների նույնականացում</w:t>
      </w:r>
    </w:p>
    <w:p w14:paraId="02C8AA41"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792625">
        <w:rPr>
          <w:rFonts w:ascii="Sylfaen" w:hAnsi="Sylfaen"/>
          <w:i w:val="0"/>
          <w:sz w:val="24"/>
          <w:szCs w:val="24"/>
        </w:rPr>
        <w:t xml:space="preserve">Որոշումը կատարում են նրբաշերտ քրոմատագրման մեթոդով </w:t>
      </w:r>
      <w:r w:rsidRPr="0038660A">
        <w:rPr>
          <w:rFonts w:ascii="Sylfaen" w:hAnsi="Sylfaen"/>
          <w:sz w:val="24"/>
          <w:szCs w:val="24"/>
        </w:rPr>
        <w:t>(2</w:t>
      </w:r>
      <w:r w:rsidR="0038660A" w:rsidRPr="0038660A">
        <w:rPr>
          <w:rFonts w:ascii="Sylfaen" w:hAnsi="Sylfaen"/>
          <w:sz w:val="24"/>
          <w:szCs w:val="24"/>
        </w:rPr>
        <w:t>.</w:t>
      </w:r>
      <w:r w:rsidRPr="0038660A">
        <w:rPr>
          <w:rFonts w:ascii="Sylfaen" w:hAnsi="Sylfaen"/>
          <w:sz w:val="24"/>
          <w:szCs w:val="24"/>
        </w:rPr>
        <w:t>1.2.26):</w:t>
      </w:r>
    </w:p>
    <w:p w14:paraId="67381F3B"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38660A">
        <w:rPr>
          <w:rStyle w:val="Bodytext31Sylfaen"/>
          <w:i/>
          <w:sz w:val="24"/>
          <w:szCs w:val="24"/>
        </w:rPr>
        <w:t>Փորձարկվող լուծույթ</w:t>
      </w:r>
      <w:r w:rsidRPr="00792625">
        <w:rPr>
          <w:rStyle w:val="Bodytext31Sylfaen"/>
          <w:sz w:val="24"/>
          <w:szCs w:val="24"/>
        </w:rPr>
        <w:t xml:space="preserve">: </w:t>
      </w:r>
      <w:r w:rsidRPr="00792625">
        <w:rPr>
          <w:rFonts w:ascii="Sylfaen" w:hAnsi="Sylfaen"/>
          <w:i w:val="0"/>
          <w:sz w:val="24"/>
          <w:szCs w:val="24"/>
        </w:rPr>
        <w:t xml:space="preserve">20 մգ փորձարկվող նմուշը լուծում են </w:t>
      </w:r>
      <w:r w:rsidRPr="0038660A">
        <w:rPr>
          <w:rFonts w:ascii="Sylfaen" w:hAnsi="Sylfaen"/>
          <w:sz w:val="24"/>
          <w:szCs w:val="24"/>
        </w:rPr>
        <w:t>Р քլորոֆորմում</w:t>
      </w:r>
      <w:r w:rsidRPr="00792625">
        <w:rPr>
          <w:rFonts w:ascii="Sylfaen" w:hAnsi="Sylfaen"/>
          <w:i w:val="0"/>
          <w:sz w:val="24"/>
          <w:szCs w:val="24"/>
        </w:rPr>
        <w:t xml:space="preserve"> եւ հասցնում լուծույթի ծավալը նույն լուծիչով մինչեւ 10 մլ: </w:t>
      </w:r>
    </w:p>
    <w:p w14:paraId="6F130D4C" w14:textId="77777777" w:rsidR="00B834A2" w:rsidRPr="00792625" w:rsidRDefault="00B834A2" w:rsidP="00B834A2">
      <w:pPr>
        <w:pStyle w:val="Bodytext310"/>
        <w:shd w:val="clear" w:color="auto" w:fill="auto"/>
        <w:spacing w:after="160" w:line="360" w:lineRule="auto"/>
        <w:ind w:firstLine="567"/>
        <w:jc w:val="both"/>
        <w:rPr>
          <w:rFonts w:ascii="Sylfaen" w:hAnsi="Sylfaen"/>
          <w:i w:val="0"/>
          <w:sz w:val="24"/>
          <w:szCs w:val="24"/>
        </w:rPr>
      </w:pPr>
      <w:r w:rsidRPr="0038660A">
        <w:rPr>
          <w:rStyle w:val="Bodytext31Sylfaen"/>
          <w:i/>
          <w:sz w:val="24"/>
          <w:szCs w:val="24"/>
        </w:rPr>
        <w:t>Համեմատման լուծույթ։</w:t>
      </w:r>
      <w:r w:rsidRPr="00792625">
        <w:rPr>
          <w:rStyle w:val="Bodytext31Sylfaen"/>
          <w:sz w:val="24"/>
          <w:szCs w:val="24"/>
        </w:rPr>
        <w:t xml:space="preserve"> </w:t>
      </w:r>
      <w:r w:rsidRPr="00792625">
        <w:rPr>
          <w:rFonts w:ascii="Sylfaen" w:hAnsi="Sylfaen"/>
          <w:i w:val="0"/>
          <w:sz w:val="24"/>
          <w:szCs w:val="24"/>
        </w:rPr>
        <w:t xml:space="preserve">20 մգ համապատասխան ԵԱՏՄ ՍՆ լուծում են </w:t>
      </w:r>
      <w:r w:rsidRPr="0038660A">
        <w:rPr>
          <w:rFonts w:ascii="Sylfaen" w:hAnsi="Sylfaen"/>
          <w:sz w:val="24"/>
          <w:szCs w:val="24"/>
        </w:rPr>
        <w:t>Р քլորոֆորմում</w:t>
      </w:r>
      <w:r w:rsidRPr="00792625">
        <w:rPr>
          <w:rFonts w:ascii="Sylfaen" w:hAnsi="Sylfaen"/>
          <w:i w:val="0"/>
          <w:sz w:val="24"/>
          <w:szCs w:val="24"/>
        </w:rPr>
        <w:t xml:space="preserve"> եւ հասցնում լուծույթի ծավալը նույն լուծիչով մինչեւ 10 մլ: </w:t>
      </w:r>
    </w:p>
    <w:p w14:paraId="48F21EE9" w14:textId="77777777" w:rsidR="00B834A2" w:rsidRPr="0038660A" w:rsidRDefault="00B834A2" w:rsidP="00B834A2">
      <w:pPr>
        <w:pStyle w:val="Bodytext310"/>
        <w:shd w:val="clear" w:color="auto" w:fill="auto"/>
        <w:spacing w:after="160" w:line="360" w:lineRule="auto"/>
        <w:ind w:firstLine="567"/>
        <w:rPr>
          <w:rFonts w:ascii="Sylfaen" w:hAnsi="Sylfaen"/>
          <w:i w:val="0"/>
          <w:sz w:val="24"/>
          <w:szCs w:val="24"/>
        </w:rPr>
      </w:pPr>
      <w:r w:rsidRPr="0038660A">
        <w:rPr>
          <w:rStyle w:val="Bodytext31Sylfaen"/>
          <w:i/>
          <w:sz w:val="24"/>
          <w:szCs w:val="24"/>
        </w:rPr>
        <w:t>Քրոմատագրման պայմաններ՝</w:t>
      </w:r>
    </w:p>
    <w:p w14:paraId="0B98A5B1"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38660A">
        <w:rPr>
          <w:rFonts w:ascii="Sylfaen" w:hAnsi="Sylfaen"/>
          <w:sz w:val="24"/>
          <w:szCs w:val="24"/>
        </w:rPr>
        <w:t>ՆՇՔ թիթեղ</w:t>
      </w:r>
      <w:r w:rsidRPr="00792625">
        <w:rPr>
          <w:rFonts w:ascii="Sylfaen" w:hAnsi="Sylfaen"/>
          <w:i w:val="0"/>
          <w:sz w:val="24"/>
          <w:szCs w:val="24"/>
        </w:rPr>
        <w:t>՝</w:t>
      </w:r>
      <w:r w:rsidRPr="00792625">
        <w:rPr>
          <w:rStyle w:val="Bodytext31Sylfaen"/>
          <w:sz w:val="24"/>
          <w:szCs w:val="24"/>
        </w:rPr>
        <w:t xml:space="preserve"> </w:t>
      </w:r>
      <w:r w:rsidRPr="00792625">
        <w:rPr>
          <w:rFonts w:ascii="Sylfaen" w:hAnsi="Sylfaen"/>
          <w:i w:val="0"/>
          <w:sz w:val="24"/>
          <w:szCs w:val="24"/>
        </w:rPr>
        <w:t xml:space="preserve">G Р կիզելգուրի շերտով պատված. </w:t>
      </w:r>
    </w:p>
    <w:p w14:paraId="7A1930FE" w14:textId="77777777" w:rsidR="00B834A2" w:rsidRPr="00792625" w:rsidRDefault="00B834A2" w:rsidP="00792625">
      <w:pPr>
        <w:pStyle w:val="Bodytext310"/>
        <w:shd w:val="clear" w:color="auto" w:fill="auto"/>
        <w:tabs>
          <w:tab w:val="left" w:pos="1134"/>
        </w:tabs>
        <w:spacing w:after="160" w:line="360"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38660A">
        <w:rPr>
          <w:rFonts w:ascii="Sylfaen" w:hAnsi="Sylfaen"/>
          <w:sz w:val="24"/>
          <w:szCs w:val="24"/>
        </w:rPr>
        <w:t>ՆՇՔ թիթեղի պատրաստում</w:t>
      </w:r>
      <w:r w:rsidRPr="00792625">
        <w:rPr>
          <w:rFonts w:ascii="Sylfaen" w:hAnsi="Sylfaen"/>
          <w:i w:val="0"/>
          <w:sz w:val="24"/>
          <w:szCs w:val="24"/>
        </w:rPr>
        <w:t xml:space="preserve">՝ թիթեղը տոգորում են փակ խցիկում </w:t>
      </w:r>
      <w:r w:rsidRPr="0038660A">
        <w:rPr>
          <w:rFonts w:ascii="Sylfaen" w:hAnsi="Sylfaen"/>
          <w:sz w:val="24"/>
          <w:szCs w:val="24"/>
        </w:rPr>
        <w:t>300 Р մակրոգոլի</w:t>
      </w:r>
      <w:r w:rsidRPr="00792625">
        <w:rPr>
          <w:rFonts w:ascii="Sylfaen" w:hAnsi="Sylfaen"/>
          <w:i w:val="0"/>
          <w:sz w:val="24"/>
          <w:szCs w:val="24"/>
        </w:rPr>
        <w:t xml:space="preserve"> 50 գ/լ լուծույթում 10 % </w:t>
      </w:r>
      <w:r w:rsidRPr="0038660A">
        <w:rPr>
          <w:rFonts w:ascii="Sylfaen" w:hAnsi="Sylfaen"/>
          <w:sz w:val="24"/>
          <w:szCs w:val="24"/>
        </w:rPr>
        <w:t>(ծավ/ծավ)</w:t>
      </w:r>
      <w:r w:rsidRPr="00792625">
        <w:rPr>
          <w:rFonts w:ascii="Sylfaen" w:hAnsi="Sylfaen"/>
          <w:i w:val="0"/>
          <w:sz w:val="24"/>
          <w:szCs w:val="24"/>
        </w:rPr>
        <w:t xml:space="preserve"> </w:t>
      </w:r>
      <w:r w:rsidRPr="0038660A">
        <w:rPr>
          <w:rFonts w:ascii="Sylfaen" w:hAnsi="Sylfaen"/>
          <w:sz w:val="24"/>
          <w:szCs w:val="24"/>
        </w:rPr>
        <w:t>Р ֆենօքսիէթանոլ</w:t>
      </w:r>
      <w:r w:rsidRPr="00792625">
        <w:rPr>
          <w:rFonts w:ascii="Sylfaen" w:hAnsi="Sylfaen"/>
          <w:i w:val="0"/>
          <w:sz w:val="24"/>
          <w:szCs w:val="24"/>
        </w:rPr>
        <w:t xml:space="preserve"> պարունակող խառնուրդով՝ ընկղմելով դրա ստորին եզրը տոգորող լուծույթ մոտավորապես 5</w:t>
      </w:r>
      <w:r w:rsidR="0038660A" w:rsidRPr="0038660A">
        <w:rPr>
          <w:rFonts w:ascii="Sylfaen" w:hAnsi="Sylfaen"/>
          <w:i w:val="0"/>
          <w:sz w:val="24"/>
          <w:szCs w:val="24"/>
        </w:rPr>
        <w:t> </w:t>
      </w:r>
      <w:r w:rsidRPr="00224FB2">
        <w:rPr>
          <w:rFonts w:ascii="Sylfaen" w:hAnsi="Sylfaen"/>
          <w:i w:val="0"/>
          <w:spacing w:val="-4"/>
          <w:sz w:val="24"/>
          <w:szCs w:val="24"/>
        </w:rPr>
        <w:t xml:space="preserve">մմ-ով. </w:t>
      </w:r>
      <w:r w:rsidRPr="00224FB2">
        <w:rPr>
          <w:rStyle w:val="Bodytext31Sylfaen"/>
          <w:spacing w:val="-4"/>
          <w:sz w:val="24"/>
          <w:szCs w:val="24"/>
        </w:rPr>
        <w:t>երբ լուծիչների ճակատն անցնի թիթեղի ստորին եզրից 17 սմ, այն հանում են խցիկից</w:t>
      </w:r>
      <w:r w:rsidRPr="00792625">
        <w:rPr>
          <w:rStyle w:val="Bodytext31Sylfaen"/>
          <w:sz w:val="24"/>
          <w:szCs w:val="24"/>
        </w:rPr>
        <w:t xml:space="preserve"> եւ միանգամից օգտագործում քրոմատագրման համար. քրոմատագրումն անցկացնում են նույն ուղղությամբ, ինչ տոգորումը. </w:t>
      </w:r>
    </w:p>
    <w:p w14:paraId="33797B3B" w14:textId="77777777" w:rsidR="00B834A2" w:rsidRPr="00792625"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38660A">
        <w:rPr>
          <w:rFonts w:ascii="Sylfaen" w:hAnsi="Sylfaen"/>
          <w:sz w:val="24"/>
          <w:szCs w:val="24"/>
        </w:rPr>
        <w:t>շարժուն ֆազ</w:t>
      </w:r>
      <w:r w:rsidRPr="00792625">
        <w:rPr>
          <w:rFonts w:ascii="Sylfaen" w:hAnsi="Sylfaen"/>
          <w:i w:val="0"/>
          <w:sz w:val="24"/>
          <w:szCs w:val="24"/>
        </w:rPr>
        <w:t>՝</w:t>
      </w:r>
      <w:r w:rsidRPr="00792625">
        <w:rPr>
          <w:rStyle w:val="Bodytext31Sylfaen"/>
          <w:sz w:val="24"/>
          <w:szCs w:val="24"/>
        </w:rPr>
        <w:t xml:space="preserve"> </w:t>
      </w:r>
      <w:r w:rsidRPr="0038660A">
        <w:rPr>
          <w:rFonts w:ascii="Sylfaen" w:hAnsi="Sylfaen"/>
          <w:sz w:val="24"/>
          <w:szCs w:val="24"/>
        </w:rPr>
        <w:t>Р ֆենօքսիէթանոլով հագեցած</w:t>
      </w:r>
      <w:r w:rsidRPr="00792625">
        <w:rPr>
          <w:rFonts w:ascii="Sylfaen" w:hAnsi="Sylfaen"/>
          <w:i w:val="0"/>
          <w:sz w:val="24"/>
          <w:szCs w:val="24"/>
        </w:rPr>
        <w:t xml:space="preserve"> </w:t>
      </w:r>
      <w:r w:rsidRPr="0038660A">
        <w:rPr>
          <w:rFonts w:ascii="Sylfaen" w:hAnsi="Sylfaen"/>
          <w:sz w:val="24"/>
          <w:szCs w:val="24"/>
        </w:rPr>
        <w:t>Р պետրոլեային եթեր-դիէթիլամինի խառնուրդ</w:t>
      </w:r>
      <w:r w:rsidRPr="00792625">
        <w:rPr>
          <w:rFonts w:ascii="Sylfaen" w:hAnsi="Sylfaen"/>
          <w:i w:val="0"/>
          <w:sz w:val="24"/>
          <w:szCs w:val="24"/>
        </w:rPr>
        <w:t xml:space="preserve"> (50:1, ծավ/ծավ) (այսինքն՝ 3 մլ-ից մինչեւ 4 մլ Р ֆենօքսիէթանոլն ավելացնում են լուծիչների վերոնշյալ խառնուրդին, թափահարում են մինչեւ կայուն պղտորքի առաջացումը, պարզվածքազատում եւ օգտագործում են վերին շերտը, որը կարող է լինել պղտոր).</w:t>
      </w:r>
    </w:p>
    <w:p w14:paraId="5679631E" w14:textId="77777777" w:rsidR="00B834A2" w:rsidRPr="00903268"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38660A">
        <w:rPr>
          <w:rFonts w:ascii="Sylfaen" w:hAnsi="Sylfaen"/>
          <w:sz w:val="24"/>
          <w:szCs w:val="24"/>
        </w:rPr>
        <w:t>քսվող փորձանմուշի ծավալ</w:t>
      </w:r>
      <w:r w:rsidRPr="00792625">
        <w:rPr>
          <w:rFonts w:ascii="Sylfaen" w:hAnsi="Sylfaen"/>
          <w:i w:val="0"/>
          <w:sz w:val="24"/>
          <w:szCs w:val="24"/>
        </w:rPr>
        <w:t>՝</w:t>
      </w:r>
      <w:r w:rsidRPr="00792625">
        <w:rPr>
          <w:rStyle w:val="Bodytext31Sylfaen"/>
          <w:sz w:val="24"/>
          <w:szCs w:val="24"/>
        </w:rPr>
        <w:t xml:space="preserve"> </w:t>
      </w:r>
      <w:r w:rsidRPr="00792625">
        <w:rPr>
          <w:rFonts w:ascii="Sylfaen" w:hAnsi="Sylfaen"/>
          <w:i w:val="0"/>
          <w:sz w:val="24"/>
          <w:szCs w:val="24"/>
        </w:rPr>
        <w:t>2 մկլ.</w:t>
      </w:r>
    </w:p>
    <w:p w14:paraId="09DC6A31" w14:textId="77777777" w:rsidR="00B834A2" w:rsidRPr="00224FB2"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792625">
        <w:rPr>
          <w:rFonts w:ascii="Sylfaen" w:hAnsi="Sylfaen"/>
          <w:i w:val="0"/>
          <w:sz w:val="24"/>
          <w:szCs w:val="24"/>
        </w:rPr>
        <w:t>-</w:t>
      </w:r>
      <w:r w:rsidR="00792625" w:rsidRPr="00792625">
        <w:rPr>
          <w:rFonts w:ascii="Sylfaen" w:hAnsi="Sylfaen"/>
          <w:i w:val="0"/>
          <w:sz w:val="24"/>
          <w:szCs w:val="24"/>
        </w:rPr>
        <w:tab/>
      </w:r>
      <w:r w:rsidRPr="0038660A">
        <w:rPr>
          <w:rFonts w:ascii="Sylfaen" w:hAnsi="Sylfaen"/>
          <w:sz w:val="24"/>
          <w:szCs w:val="24"/>
        </w:rPr>
        <w:t>շարժուն ֆազի ճակատի վազք</w:t>
      </w:r>
      <w:r w:rsidRPr="00224FB2">
        <w:rPr>
          <w:rFonts w:ascii="Sylfaen" w:hAnsi="Sylfaen"/>
          <w:i w:val="0"/>
          <w:sz w:val="24"/>
          <w:szCs w:val="24"/>
        </w:rPr>
        <w:t>՝</w:t>
      </w:r>
      <w:r w:rsidRPr="00224FB2">
        <w:rPr>
          <w:rStyle w:val="Bodytext31Sylfaen"/>
          <w:sz w:val="24"/>
          <w:szCs w:val="24"/>
        </w:rPr>
        <w:t xml:space="preserve"> 15 սմ. քրոմատագրումն անցկացնում են մութ տեղում. </w:t>
      </w:r>
    </w:p>
    <w:p w14:paraId="67E289AE" w14:textId="77777777" w:rsidR="00B834A2" w:rsidRPr="00224FB2"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224FB2">
        <w:rPr>
          <w:rFonts w:ascii="Sylfaen" w:hAnsi="Sylfaen"/>
          <w:i w:val="0"/>
          <w:sz w:val="24"/>
          <w:szCs w:val="24"/>
        </w:rPr>
        <w:lastRenderedPageBreak/>
        <w:t>-</w:t>
      </w:r>
      <w:r w:rsidR="00224FB2" w:rsidRPr="00224FB2">
        <w:rPr>
          <w:rFonts w:ascii="Sylfaen" w:hAnsi="Sylfaen"/>
          <w:i w:val="0"/>
          <w:sz w:val="24"/>
          <w:szCs w:val="24"/>
        </w:rPr>
        <w:tab/>
      </w:r>
      <w:r w:rsidRPr="008F5B6F">
        <w:rPr>
          <w:rFonts w:ascii="Sylfaen" w:hAnsi="Sylfaen"/>
          <w:i w:val="0"/>
          <w:sz w:val="24"/>
          <w:szCs w:val="24"/>
        </w:rPr>
        <w:t>ութ տեղում.</w:t>
      </w:r>
      <w:r w:rsidRPr="00224FB2">
        <w:rPr>
          <w:rFonts w:ascii="Sylfaen" w:hAnsi="Sylfaen"/>
          <w:i w:val="0"/>
          <w:sz w:val="24"/>
          <w:szCs w:val="24"/>
        </w:rPr>
        <w:t xml:space="preserve"> </w:t>
      </w:r>
      <w:r w:rsidRPr="00224FB2">
        <w:rPr>
          <w:rStyle w:val="Bodytext31Sylfaen"/>
          <w:sz w:val="24"/>
          <w:szCs w:val="24"/>
        </w:rPr>
        <w:t>թիթեղը հանում են խցիկից, տեղադրում 365 նմ ալիքի երկարությամբ ուլտրամանուշակագույն լույսի ներքո եւ մի քանի րոպե անց զննում եւ գնահատում քրոմատագրերը:</w:t>
      </w:r>
    </w:p>
    <w:p w14:paraId="78C8B4AB" w14:textId="77777777" w:rsidR="00B834A2" w:rsidRPr="00224FB2" w:rsidRDefault="00B834A2" w:rsidP="008F5B6F">
      <w:pPr>
        <w:spacing w:after="160" w:line="346" w:lineRule="auto"/>
        <w:ind w:firstLine="567"/>
        <w:jc w:val="both"/>
        <w:rPr>
          <w:rStyle w:val="Bodytext31Sylfaen"/>
          <w:i w:val="0"/>
          <w:sz w:val="24"/>
          <w:szCs w:val="24"/>
        </w:rPr>
      </w:pPr>
      <w:r w:rsidRPr="0095547B">
        <w:rPr>
          <w:rStyle w:val="Bodytext31Sylfaen"/>
          <w:sz w:val="24"/>
          <w:szCs w:val="24"/>
        </w:rPr>
        <w:t>Պահանջ Ա</w:t>
      </w:r>
      <w:r w:rsidRPr="00224FB2">
        <w:rPr>
          <w:rStyle w:val="Bodytext31Sylfaen"/>
          <w:i w:val="0"/>
          <w:sz w:val="24"/>
          <w:szCs w:val="24"/>
        </w:rPr>
        <w:t>՝ փորձարկվող լուծույթի քրոմատագրի վրա պետք է հայտնաբերվի համեմատման լուծույթի քրոմատագրի վրա բծի մակարդակին բիծ, որը համապատասխանում է դրան չափով եւ ֆլուորեսցենտմամբ:</w:t>
      </w:r>
    </w:p>
    <w:p w14:paraId="46C809DE" w14:textId="77777777" w:rsidR="00B834A2" w:rsidRPr="00224FB2"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224FB2">
        <w:rPr>
          <w:rFonts w:ascii="Sylfaen" w:hAnsi="Sylfaen"/>
          <w:i w:val="0"/>
          <w:sz w:val="24"/>
          <w:szCs w:val="24"/>
        </w:rPr>
        <w:t>-</w:t>
      </w:r>
      <w:r w:rsidR="00224FB2" w:rsidRPr="00224FB2">
        <w:rPr>
          <w:rFonts w:ascii="Sylfaen" w:hAnsi="Sylfaen"/>
          <w:i w:val="0"/>
          <w:sz w:val="24"/>
          <w:szCs w:val="24"/>
        </w:rPr>
        <w:tab/>
      </w:r>
      <w:r w:rsidRPr="0095547B">
        <w:rPr>
          <w:rFonts w:ascii="Sylfaen" w:hAnsi="Sylfaen"/>
          <w:sz w:val="24"/>
          <w:szCs w:val="24"/>
        </w:rPr>
        <w:t>դետեկտում Բ</w:t>
      </w:r>
      <w:r w:rsidRPr="00224FB2">
        <w:rPr>
          <w:rFonts w:ascii="Sylfaen" w:hAnsi="Sylfaen"/>
          <w:i w:val="0"/>
          <w:sz w:val="24"/>
          <w:szCs w:val="24"/>
        </w:rPr>
        <w:t xml:space="preserve">՝ թիթեղը ցողում են (96 %) </w:t>
      </w:r>
      <w:r w:rsidRPr="0095547B">
        <w:rPr>
          <w:rFonts w:ascii="Sylfaen" w:hAnsi="Sylfaen"/>
          <w:sz w:val="24"/>
          <w:szCs w:val="24"/>
        </w:rPr>
        <w:t xml:space="preserve">Р էթանոլում Р </w:t>
      </w:r>
      <w:r w:rsidR="00DD3A5C">
        <w:rPr>
          <w:rFonts w:ascii="Sylfaen" w:hAnsi="Sylfaen"/>
          <w:sz w:val="24"/>
          <w:szCs w:val="24"/>
        </w:rPr>
        <w:t>ծծմբաթթվի 10</w:t>
      </w:r>
      <w:r w:rsidRPr="0095547B">
        <w:rPr>
          <w:rFonts w:ascii="Sylfaen" w:hAnsi="Sylfaen"/>
          <w:sz w:val="24"/>
          <w:szCs w:val="24"/>
        </w:rPr>
        <w:t>%</w:t>
      </w:r>
      <w:r w:rsidRPr="00224FB2">
        <w:rPr>
          <w:rFonts w:ascii="Sylfaen" w:hAnsi="Sylfaen"/>
          <w:i w:val="0"/>
          <w:sz w:val="24"/>
          <w:szCs w:val="24"/>
        </w:rPr>
        <w:t xml:space="preserve"> </w:t>
      </w:r>
      <w:r w:rsidRPr="0095547B">
        <w:rPr>
          <w:rFonts w:ascii="Sylfaen" w:hAnsi="Sylfaen"/>
          <w:sz w:val="24"/>
          <w:szCs w:val="24"/>
        </w:rPr>
        <w:t>(ծավ/ծավ)</w:t>
      </w:r>
      <w:r w:rsidRPr="00224FB2">
        <w:rPr>
          <w:rFonts w:ascii="Sylfaen" w:hAnsi="Sylfaen"/>
          <w:i w:val="0"/>
          <w:sz w:val="24"/>
          <w:szCs w:val="24"/>
        </w:rPr>
        <w:t xml:space="preserve"> լուծույթով: </w:t>
      </w:r>
    </w:p>
    <w:p w14:paraId="032F6C55"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95547B">
        <w:rPr>
          <w:rStyle w:val="Bodytext31Sylfaen"/>
          <w:i/>
          <w:sz w:val="24"/>
          <w:szCs w:val="24"/>
        </w:rPr>
        <w:t>Պահանջ Բ</w:t>
      </w:r>
      <w:r w:rsidRPr="00224FB2">
        <w:rPr>
          <w:rStyle w:val="Bodytext31Sylfaen"/>
          <w:sz w:val="24"/>
          <w:szCs w:val="24"/>
        </w:rPr>
        <w:t xml:space="preserve">՝ </w:t>
      </w:r>
      <w:r w:rsidRPr="00224FB2">
        <w:rPr>
          <w:rFonts w:ascii="Sylfaen" w:hAnsi="Sylfaen"/>
          <w:i w:val="0"/>
          <w:sz w:val="24"/>
          <w:szCs w:val="24"/>
        </w:rPr>
        <w:t xml:space="preserve">փորձարկվող լուծույթի քրոմատագրի վրա պետք է հայտնաբերվի համեմատման լուծույթի քրոմատագրի վրա բծի մակարդակին բիծ՝ դրա գունավորմամբ եւ առնվազն 20 րոպե դրա կայունությանը համապատասխանող: </w:t>
      </w:r>
    </w:p>
    <w:p w14:paraId="4D5BB4D2" w14:textId="77777777" w:rsidR="00B834A2" w:rsidRPr="0095547B" w:rsidRDefault="00B834A2" w:rsidP="008F5B6F">
      <w:pPr>
        <w:pStyle w:val="Bodytext310"/>
        <w:shd w:val="clear" w:color="auto" w:fill="auto"/>
        <w:spacing w:after="160" w:line="346" w:lineRule="auto"/>
        <w:ind w:firstLine="567"/>
        <w:jc w:val="both"/>
        <w:rPr>
          <w:rFonts w:ascii="Sylfaen" w:hAnsi="Sylfaen"/>
          <w:sz w:val="20"/>
          <w:szCs w:val="24"/>
        </w:rPr>
      </w:pPr>
    </w:p>
    <w:p w14:paraId="5234C21E" w14:textId="77777777" w:rsidR="00B834A2" w:rsidRPr="009217DE" w:rsidRDefault="00B834A2" w:rsidP="008F5B6F">
      <w:pPr>
        <w:pStyle w:val="Bodytext310"/>
        <w:shd w:val="clear" w:color="auto" w:fill="auto"/>
        <w:spacing w:after="160" w:line="346" w:lineRule="auto"/>
        <w:ind w:firstLine="567"/>
        <w:jc w:val="right"/>
        <w:rPr>
          <w:rStyle w:val="Bodytext31Sylfaen22"/>
          <w:sz w:val="20"/>
          <w:szCs w:val="24"/>
        </w:rPr>
      </w:pPr>
      <w:r w:rsidRPr="0095547B">
        <w:rPr>
          <w:rStyle w:val="Bodytext31Sylfaen22"/>
          <w:sz w:val="20"/>
          <w:szCs w:val="24"/>
        </w:rPr>
        <w:t>201030004-2022</w:t>
      </w:r>
    </w:p>
    <w:p w14:paraId="4D07E3F8" w14:textId="77777777" w:rsidR="0095547B" w:rsidRPr="009217DE" w:rsidRDefault="0095547B" w:rsidP="008F5B6F">
      <w:pPr>
        <w:pStyle w:val="Bodytext310"/>
        <w:shd w:val="clear" w:color="auto" w:fill="auto"/>
        <w:spacing w:after="160" w:line="346" w:lineRule="auto"/>
        <w:ind w:firstLine="567"/>
        <w:jc w:val="right"/>
        <w:rPr>
          <w:rFonts w:ascii="Sylfaen" w:hAnsi="Sylfaen"/>
          <w:i w:val="0"/>
          <w:sz w:val="20"/>
          <w:szCs w:val="24"/>
        </w:rPr>
      </w:pPr>
    </w:p>
    <w:p w14:paraId="42C19096" w14:textId="77777777" w:rsidR="00B834A2" w:rsidRPr="00224FB2" w:rsidRDefault="00B834A2" w:rsidP="008F5B6F">
      <w:pPr>
        <w:pStyle w:val="Bodytext310"/>
        <w:shd w:val="clear" w:color="auto" w:fill="auto"/>
        <w:tabs>
          <w:tab w:val="left" w:pos="1701"/>
        </w:tabs>
        <w:spacing w:after="160" w:line="346" w:lineRule="auto"/>
        <w:ind w:firstLine="567"/>
        <w:jc w:val="both"/>
        <w:rPr>
          <w:rFonts w:ascii="Sylfaen" w:hAnsi="Sylfaen"/>
          <w:i w:val="0"/>
          <w:sz w:val="24"/>
          <w:szCs w:val="24"/>
        </w:rPr>
      </w:pPr>
      <w:r w:rsidRPr="00224FB2">
        <w:rPr>
          <w:rStyle w:val="Bodytext31Sylfaen20"/>
          <w:sz w:val="24"/>
          <w:szCs w:val="24"/>
        </w:rPr>
        <w:t>2.1.3.4.</w:t>
      </w:r>
      <w:r w:rsidR="00224FB2" w:rsidRPr="00097504">
        <w:rPr>
          <w:rStyle w:val="Bodytext31Sylfaen20"/>
          <w:sz w:val="24"/>
          <w:szCs w:val="24"/>
        </w:rPr>
        <w:tab/>
      </w:r>
      <w:r w:rsidRPr="00224FB2">
        <w:rPr>
          <w:rStyle w:val="Bodytext31Sylfaen20"/>
          <w:sz w:val="24"/>
          <w:szCs w:val="24"/>
        </w:rPr>
        <w:t>Միջուկային մագնիսական ռեզոնանսի սպեկտրաչափման մեթոդով պեպտիդների նույնականացում</w:t>
      </w:r>
    </w:p>
    <w:p w14:paraId="16D4AF20"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Սույն ընդհանուր դեղագրքային հոդվածը տարածվում է պեպտիդների նույնականացման համար միջուկային մագնիսական ռեզոնանսի (ՄՄՌ) սպեկտրաչափման մեթոդի վրա:</w:t>
      </w:r>
    </w:p>
    <w:p w14:paraId="784F0FED" w14:textId="77777777" w:rsidR="00B834A2" w:rsidRPr="0095547B" w:rsidRDefault="00B834A2" w:rsidP="00B834A2">
      <w:pPr>
        <w:pStyle w:val="Bodytext310"/>
        <w:shd w:val="clear" w:color="auto" w:fill="auto"/>
        <w:spacing w:after="160" w:line="360" w:lineRule="auto"/>
        <w:ind w:firstLine="567"/>
        <w:jc w:val="both"/>
        <w:rPr>
          <w:rFonts w:ascii="Sylfaen" w:hAnsi="Sylfaen"/>
          <w:sz w:val="24"/>
          <w:szCs w:val="24"/>
        </w:rPr>
      </w:pPr>
      <w:r w:rsidRPr="00224FB2">
        <w:rPr>
          <w:rFonts w:ascii="Sylfaen" w:hAnsi="Sylfaen"/>
          <w:i w:val="0"/>
          <w:sz w:val="24"/>
          <w:szCs w:val="24"/>
        </w:rPr>
        <w:t xml:space="preserve">ՄՄՌ մեթոդով պեպտիդների իսկության հաստատումն անցկացնում են </w:t>
      </w:r>
      <w:r w:rsidRPr="0095547B">
        <w:rPr>
          <w:rFonts w:ascii="Sylfaen" w:hAnsi="Sylfaen"/>
          <w:sz w:val="24"/>
          <w:szCs w:val="24"/>
        </w:rPr>
        <w:t>2.1.2.45 ընդհանուր դեղագրքային հոդվածին համապատասխան:</w:t>
      </w:r>
      <w:r w:rsidRPr="0095547B">
        <w:rPr>
          <w:rStyle w:val="Bodytext31Sylfaen"/>
          <w:sz w:val="24"/>
          <w:szCs w:val="24"/>
        </w:rPr>
        <w:t xml:space="preserve"> Միջուկային մագնիսական ռեզոնանսի սպեկտրաչափում:</w:t>
      </w:r>
    </w:p>
    <w:p w14:paraId="0C22E4DF"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95547B">
        <w:rPr>
          <w:rStyle w:val="Bodytext31Sylfaen"/>
          <w:b/>
          <w:sz w:val="24"/>
          <w:szCs w:val="24"/>
        </w:rPr>
        <w:t xml:space="preserve">Ընդհանուր սկզբունքներ: </w:t>
      </w:r>
      <w:r w:rsidRPr="00224FB2">
        <w:rPr>
          <w:rFonts w:ascii="Sylfaen" w:hAnsi="Sylfaen"/>
          <w:i w:val="0"/>
          <w:sz w:val="24"/>
          <w:szCs w:val="24"/>
        </w:rPr>
        <w:t>Պեպտիդի իսկությունը սահմանվում է փորձարկվող նմուշի միաչափ սպեկտրների (որպես կանոն՝ 1Н եւ 13С)՝ դեղագրքային ստանդարտ նմուշի սպեկտրների կամ մասնավոր դեղագրքային հոդվածում</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224FB2">
        <w:rPr>
          <w:rFonts w:ascii="Sylfaen" w:hAnsi="Sylfaen"/>
          <w:i w:val="0"/>
          <w:sz w:val="24"/>
          <w:szCs w:val="24"/>
        </w:rPr>
        <w:t xml:space="preserve">(կամ) որակի մասով նորմատիվ փաստաթղթում բերված սպեկտրների հետ համեմատության միջոցով: Դեղագրքային ստանդարտ նմուշի </w:t>
      </w:r>
      <w:r w:rsidRPr="00224FB2">
        <w:rPr>
          <w:rFonts w:ascii="Sylfaen" w:hAnsi="Sylfaen"/>
          <w:i w:val="0"/>
          <w:sz w:val="24"/>
          <w:szCs w:val="24"/>
        </w:rPr>
        <w:lastRenderedPageBreak/>
        <w:t>բացակայության դեպքում կարելի է օգտագործել ստանդարտ նմուշ, որի նույնականությունը հաստատում են միաչափ սպեկտրների ինքնուրույն կառուցվածքային մեկնաբանությամբ (օլիգոպեպտիդների մասով՝ 13С իզոտոպերի բնական պարունակության դեպքում մինչեւ 20 ամինաթթվային մնացորդ):</w:t>
      </w:r>
      <w:r w:rsidRPr="00224FB2">
        <w:rPr>
          <w:rStyle w:val="Bodytext31Sylfaen"/>
          <w:sz w:val="24"/>
          <w:szCs w:val="24"/>
        </w:rPr>
        <w:t xml:space="preserve"> Կառուցվածքային մեկնաբանությունն իրականացվում է կոռելյացիոն սպեկտրաչափման երկչափ մեթոդների օգտագործմամբ՝ COSY (Correlation Spectroscopy), TOCSY (Total Correlation Spectroscopy), HSQC (Heteronuclear Single- Quantum Correlation Spectroscopy), HMBC (Heteronuclear Multiple-Bond Correlation Spectroscopy): Տվյալ մեթոդների հիմքում ընկած է սպին-սպինային փոխազդեցության, քիմիական փոխանակման կամ խաչաձեւող ռելաքսացիայի միջոցով միջուկի մեկ սպինից մինչեւ մյուսը մագնիսացվածության փոխանցման ընդհանուր մոտեցումը: </w:t>
      </w:r>
    </w:p>
    <w:p w14:paraId="31B2F689" w14:textId="77777777" w:rsidR="00B834A2" w:rsidRPr="00097504"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Fonts w:ascii="Sylfaen" w:hAnsi="Sylfaen"/>
          <w:i w:val="0"/>
          <w:sz w:val="24"/>
          <w:szCs w:val="24"/>
        </w:rPr>
        <w:t>Հոմոմիջուկային կորելյացիոն սպեկտրաչափումը (COSY) տարբեր ձեւափոխություններով օգտագործվում է երկու կամ երեք քիմիական կապերով բաժանված եւ միմյանց հետ սպին-սպինային փոխազդեցության մեջ մասնակցող ատոմների միջուկների նույնականացման համար (առավել հաճախ՝ 1Н):</w:t>
      </w:r>
      <w:r w:rsidRPr="00224FB2">
        <w:rPr>
          <w:rStyle w:val="Bodytext31Sylfaen"/>
          <w:sz w:val="24"/>
          <w:szCs w:val="24"/>
        </w:rPr>
        <w:t xml:space="preserve"> Ամբողջական կոռելյացիոն սպեկտրաչափումը (TOCSY) թույլ է տալիս գրանցել միմյանց հետ փոխազդեցության անընդհատ շղթայով կապված ատոմների միատիպ միջուկների միջեւ սպին-սպինային փոխազդեցության առկայությունը: Տարամիջուկային միաքվանտային կորելյացիոն սպեկտրաչափմամբ (HSQC) որոշվում է մեկ կապով բաժանված երկու տարբեր տիպերի ատոմային միջուկների միջեւ կորելյացիան (որպես կանոն՝ ածխաջրածնային ֆրագմենտում ածխածնի պրոնոնների եւ միջուկների միջեւ): </w:t>
      </w:r>
      <w:r w:rsidRPr="00224FB2">
        <w:rPr>
          <w:rFonts w:ascii="Sylfaen" w:hAnsi="Sylfaen"/>
          <w:i w:val="0"/>
          <w:sz w:val="24"/>
          <w:szCs w:val="24"/>
        </w:rPr>
        <w:t xml:space="preserve">Տարամիջուկային բազմակապ կորելյացիոն սպեկրաչափմամբ (НМВС) որոշվում է երկու կամ երեք կապերով բաժանված (հազվադեպ դեպքերում՝ մեծ թվով կապերով) X պրոտոնների եւ միջուկների միջեւ կորելյացիան (որպես կանոն՝ </w:t>
      </w:r>
      <w:r w:rsidRPr="0095547B">
        <w:rPr>
          <w:rFonts w:ascii="Sylfaen" w:hAnsi="Sylfaen"/>
          <w:i w:val="0"/>
          <w:sz w:val="24"/>
          <w:szCs w:val="24"/>
          <w:vertAlign w:val="superscript"/>
        </w:rPr>
        <w:t>13</w:t>
      </w:r>
      <w:r w:rsidRPr="00224FB2">
        <w:rPr>
          <w:rFonts w:ascii="Sylfaen" w:hAnsi="Sylfaen"/>
          <w:i w:val="0"/>
          <w:sz w:val="24"/>
          <w:szCs w:val="24"/>
        </w:rPr>
        <w:t>С):</w:t>
      </w:r>
    </w:p>
    <w:p w14:paraId="39A8B019"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b/>
          <w:sz w:val="24"/>
          <w:szCs w:val="24"/>
        </w:rPr>
        <w:t>Սարք:</w:t>
      </w:r>
      <w:r w:rsidRPr="00224FB2">
        <w:rPr>
          <w:rStyle w:val="Bodytext31Sylfaen"/>
          <w:sz w:val="24"/>
          <w:szCs w:val="24"/>
        </w:rPr>
        <w:t xml:space="preserve"> Եթե այլ բան նախատեսված չէ, ապա օգտագործում են առնվազն 300</w:t>
      </w:r>
      <w:r w:rsidR="00DD3A5C" w:rsidRPr="00DD3A5C">
        <w:rPr>
          <w:rStyle w:val="Bodytext31Sylfaen"/>
          <w:sz w:val="24"/>
          <w:szCs w:val="24"/>
        </w:rPr>
        <w:t> </w:t>
      </w:r>
      <w:r w:rsidRPr="00224FB2">
        <w:rPr>
          <w:rStyle w:val="Bodytext31Sylfaen"/>
          <w:sz w:val="24"/>
          <w:szCs w:val="24"/>
        </w:rPr>
        <w:t>Մհց աշխատանքային հաճախականությամբ ՄՄՌ իմպուլսային սպեկտրաչափը:</w:t>
      </w:r>
    </w:p>
    <w:p w14:paraId="1778901E"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b/>
          <w:sz w:val="24"/>
          <w:szCs w:val="24"/>
        </w:rPr>
        <w:lastRenderedPageBreak/>
        <w:t>Մեթոդիկա:</w:t>
      </w:r>
      <w:r w:rsidRPr="00224FB2">
        <w:rPr>
          <w:rStyle w:val="Bodytext31Sylfaen"/>
          <w:sz w:val="24"/>
          <w:szCs w:val="24"/>
        </w:rPr>
        <w:t xml:space="preserve"> Անհրաժեշտության դեպքում փորձարկվող նմուշը ենթարկում են նախնական լուծամիտման: </w:t>
      </w:r>
      <w:r w:rsidRPr="00224FB2">
        <w:rPr>
          <w:rFonts w:ascii="Sylfaen" w:hAnsi="Sylfaen"/>
          <w:i w:val="0"/>
          <w:sz w:val="24"/>
          <w:szCs w:val="24"/>
        </w:rPr>
        <w:t xml:space="preserve">Փորձարկվող նմուշը կամ դրա լիոֆիլիզատը լուծում են դեյտերացված լուծույթում, որին կարող է ավելացվել քիմիական տեղաշարժի ստուգաճշտման համար համապատասխան էտալոն </w:t>
      </w:r>
      <w:r w:rsidRPr="0095547B">
        <w:rPr>
          <w:rFonts w:ascii="Sylfaen" w:hAnsi="Sylfaen"/>
          <w:sz w:val="24"/>
          <w:szCs w:val="24"/>
        </w:rPr>
        <w:t>(2.1.2.45. ընդհանուր դեղագրքային հոդված</w:t>
      </w:r>
      <w:r w:rsidRPr="0095547B">
        <w:rPr>
          <w:rStyle w:val="Bodytext31Sylfaen"/>
          <w:sz w:val="24"/>
          <w:szCs w:val="24"/>
        </w:rPr>
        <w:t xml:space="preserve">։ </w:t>
      </w:r>
      <w:r w:rsidRPr="0095547B">
        <w:rPr>
          <w:rFonts w:ascii="Sylfaen" w:hAnsi="Sylfaen"/>
          <w:sz w:val="24"/>
          <w:szCs w:val="24"/>
        </w:rPr>
        <w:t>Միջուկային մագնիսական ռեզոնանսի սպեկտրաչափում):</w:t>
      </w:r>
      <w:r w:rsidRPr="00224FB2">
        <w:rPr>
          <w:rFonts w:ascii="Sylfaen" w:hAnsi="Sylfaen"/>
          <w:i w:val="0"/>
          <w:sz w:val="24"/>
          <w:szCs w:val="24"/>
        </w:rPr>
        <w:t xml:space="preserve"> </w:t>
      </w:r>
      <w:r w:rsidRPr="00224FB2">
        <w:rPr>
          <w:rStyle w:val="Bodytext31Sylfaen"/>
          <w:sz w:val="24"/>
          <w:szCs w:val="24"/>
        </w:rPr>
        <w:t>Որպես դեյտերացված լուծույթ, որպես կանոն, օգտագործում են դեյտերացված ջուր կամ դեյտերացված ջրում բուֆերային լուծույթ: Բուֆերային լուծույթի բաղադրությունը, դրա pH-ը, պեպտիդի կոնցենտրացիան բերվում են մասնավոր դեղագրքային հոդվածում եւ (կամ) որակի մասով նորմատիվ փաստաթղթում:</w:t>
      </w:r>
    </w:p>
    <w:p w14:paraId="073D8AFF"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 xml:space="preserve">Մագնիսում տեղադրելուց հետո նմուշն առնվազն 5 րոպե ջերմապահպանվում է: Փորձարկվող եւ ստանդարտ նմուշների սպեկտրների գրանցումն անցկացնում են նույնական պայմաններում (նման լուծիչ, կոնցենտրացիա, ջերմաստիճան, փորձարկման պարամետրեր՝ սպեկտրի լայնություն, հապաղման ժամանակը իմպուլսային հաջորդականության միջեւ, ազատ ինդուկցիայի անկման ազդանշանի կուտակումների թիվը, Ֆուրյե-կերպափոխման համար կետերի քանակ), որոնք բերվում են մասնավոր դեղագրքային հոդվածում եւ (կամ) որակի մասով նորմատիվ փաստաթղթում: Սպեկտրի լայնությունը պետք է ընդգրկի երկու կողմերից դատարկ սպեկտրային տիրույթով պեպտիդի ամբողջ սպեկտրը: </w:t>
      </w:r>
      <w:r w:rsidRPr="00224FB2">
        <w:rPr>
          <w:rFonts w:ascii="Sylfaen" w:hAnsi="Sylfaen"/>
          <w:i w:val="0"/>
          <w:sz w:val="24"/>
          <w:szCs w:val="24"/>
        </w:rPr>
        <w:t>Սովորաբար հարմար է սպեկտրի 12 ppm կամ 16 ppm լայնությունը:</w:t>
      </w:r>
    </w:p>
    <w:p w14:paraId="5F09FFAC"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Սենյակայինից էականորեն տարբերվող ջերմաստիճանում սպեկտրի գրանցումն անցկացվում է ջերմաստիճանային կայունացման ռեժիմում: Հակառակ դեպքում անցկացնում են սպեկտրի արտաքին տեսքի վրա ջերմաստիճանային փոփոխությունների էֆեկտի ազդեցության գնահատում:</w:t>
      </w:r>
    </w:p>
    <w:p w14:paraId="1DA25BAD" w14:textId="77777777" w:rsidR="00B834A2" w:rsidRPr="00903268" w:rsidRDefault="00B834A2" w:rsidP="00B834A2">
      <w:pPr>
        <w:pStyle w:val="Bodytext310"/>
        <w:shd w:val="clear" w:color="auto" w:fill="auto"/>
        <w:spacing w:after="160" w:line="360" w:lineRule="auto"/>
        <w:ind w:firstLine="567"/>
        <w:jc w:val="both"/>
        <w:rPr>
          <w:rStyle w:val="Bodytext31Sylfaen23"/>
          <w:i/>
          <w:sz w:val="24"/>
          <w:szCs w:val="24"/>
        </w:rPr>
      </w:pPr>
      <w:r w:rsidRPr="0095547B">
        <w:rPr>
          <w:rStyle w:val="Bodytext31Sylfaen23"/>
          <w:i/>
          <w:sz w:val="24"/>
          <w:szCs w:val="24"/>
        </w:rPr>
        <w:t>Նույնականության ստուգում</w:t>
      </w:r>
    </w:p>
    <w:p w14:paraId="78A3CECA" w14:textId="77777777" w:rsidR="00B834A2" w:rsidRPr="00224FB2" w:rsidRDefault="00B834A2" w:rsidP="00224FB2">
      <w:pPr>
        <w:pStyle w:val="Bodytext310"/>
        <w:shd w:val="clear" w:color="auto" w:fill="auto"/>
        <w:spacing w:after="160" w:line="348" w:lineRule="auto"/>
        <w:ind w:firstLine="567"/>
        <w:jc w:val="both"/>
        <w:rPr>
          <w:rFonts w:ascii="Sylfaen" w:hAnsi="Sylfaen"/>
          <w:i w:val="0"/>
          <w:sz w:val="24"/>
          <w:szCs w:val="24"/>
        </w:rPr>
      </w:pPr>
      <w:r w:rsidRPr="00224FB2">
        <w:rPr>
          <w:rFonts w:ascii="Sylfaen" w:hAnsi="Sylfaen"/>
          <w:i w:val="0"/>
          <w:sz w:val="24"/>
          <w:szCs w:val="24"/>
        </w:rPr>
        <w:t xml:space="preserve">Փորձարկվող նմուշի սպեկտրի՝ ստանդարտ նմուշի սպեկտրի կամ հրապարակված ստանդարտ սպեկտրի հետ համեմատության միջոցով օլիգոպեպտիդների սահմանման ժամանակ գագաթները 2 սպեկտրներում պետք է համընկնեն ըստ դիրքի, ինտեգրալ ինտենսիվությամբ եւ մուլտիպլետության </w:t>
      </w:r>
      <w:r w:rsidRPr="0095547B">
        <w:rPr>
          <w:rFonts w:ascii="Sylfaen" w:hAnsi="Sylfaen"/>
          <w:sz w:val="24"/>
          <w:szCs w:val="24"/>
        </w:rPr>
        <w:lastRenderedPageBreak/>
        <w:t>(2.1.2.45 ընդհանուր դեղագրքային հոդված</w:t>
      </w:r>
      <w:r w:rsidRPr="0095547B">
        <w:rPr>
          <w:rStyle w:val="Bodytext31Sylfaen23"/>
          <w:sz w:val="24"/>
          <w:szCs w:val="24"/>
        </w:rPr>
        <w:t xml:space="preserve">։ </w:t>
      </w:r>
      <w:r w:rsidRPr="0095547B">
        <w:rPr>
          <w:rStyle w:val="Bodytext31Sylfaen23"/>
          <w:i/>
          <w:sz w:val="24"/>
          <w:szCs w:val="24"/>
        </w:rPr>
        <w:t>Միջուկային մագնիսական ռեզոնանսի սպեկտրաչափում):</w:t>
      </w:r>
      <w:r w:rsidRPr="00224FB2">
        <w:rPr>
          <w:rStyle w:val="Bodytext31Sylfaen"/>
          <w:sz w:val="24"/>
          <w:szCs w:val="24"/>
        </w:rPr>
        <w:t xml:space="preserve"> Յուրաքանչյուր ամենաթթվի համար ունիկալ բնութագիչ ազդանշանները պետք է բնութագրվեն մասնավոր դեղագրքային հոդվածում բերված համապատասխան վստահելի միջակայքերով որոշակի քիմիական տեղաշարժերով: </w:t>
      </w:r>
    </w:p>
    <w:p w14:paraId="3F411E82" w14:textId="77777777" w:rsidR="00B834A2" w:rsidRPr="00224FB2" w:rsidRDefault="00B834A2" w:rsidP="00224FB2">
      <w:pPr>
        <w:pStyle w:val="Bodytext310"/>
        <w:shd w:val="clear" w:color="auto" w:fill="auto"/>
        <w:spacing w:after="160" w:line="348" w:lineRule="auto"/>
        <w:ind w:firstLine="567"/>
        <w:jc w:val="both"/>
        <w:rPr>
          <w:rFonts w:ascii="Sylfaen" w:hAnsi="Sylfaen"/>
          <w:i w:val="0"/>
          <w:sz w:val="24"/>
          <w:szCs w:val="24"/>
        </w:rPr>
      </w:pPr>
      <w:r w:rsidRPr="00224FB2">
        <w:rPr>
          <w:rStyle w:val="Bodytext31Sylfaen"/>
          <w:sz w:val="24"/>
          <w:szCs w:val="24"/>
        </w:rPr>
        <w:t>Պոլիպեպտիդների իսկությունը սահմանելիս օգտագործում են միաչափ սպեկտրներ՝ 41 ամբողջությամբ, ինչպես օրինակ՝ օբյեկտի «մատնահետքեր», առանց քիմիական տեղաշարժերի արժեքների մանրամասնեցման եւ առանձին ազդանշանների մուլտիպլետության: Առաջարկվում է անցկացնել որոշակի ամինաթթվային ֆունկցիոնալ խմբերի ազդանշաններ պարունակող փորձարկվող</w:t>
      </w:r>
      <w:r w:rsidR="0095547B" w:rsidRPr="0095547B">
        <w:rPr>
          <w:rStyle w:val="Bodytext31Sylfaen"/>
          <w:sz w:val="24"/>
          <w:szCs w:val="24"/>
        </w:rPr>
        <w:t> </w:t>
      </w:r>
      <w:r w:rsidRPr="00224FB2">
        <w:rPr>
          <w:rStyle w:val="Bodytext31Sylfaen"/>
          <w:sz w:val="24"/>
          <w:szCs w:val="24"/>
        </w:rPr>
        <w:t xml:space="preserve">եւ ստանդարտ նմուշների </w:t>
      </w:r>
      <w:r w:rsidRPr="00224FB2">
        <w:rPr>
          <w:rStyle w:val="Bodytext31Sylfaen"/>
          <w:sz w:val="24"/>
          <w:szCs w:val="24"/>
          <w:vertAlign w:val="superscript"/>
        </w:rPr>
        <w:t>1</w:t>
      </w:r>
      <w:r w:rsidRPr="00224FB2">
        <w:rPr>
          <w:rStyle w:val="Bodytext31Sylfaen"/>
          <w:sz w:val="24"/>
          <w:szCs w:val="24"/>
        </w:rPr>
        <w:t>Н սպեկտրների բնութագրող տիրույթների կարգավորված ինտեգրալ ինտենսիվությունների համեմատություն: Օրինակ՝ ալիֆատիկ մնացորդների մետաղային խմբերի պրոտոնների ազդանշանները գտնվում են</w:t>
      </w:r>
      <w:r w:rsidR="00224FB2">
        <w:rPr>
          <w:rStyle w:val="Bodytext31Sylfaen"/>
          <w:sz w:val="24"/>
          <w:szCs w:val="24"/>
        </w:rPr>
        <w:t xml:space="preserve"> ,</w:t>
      </w:r>
      <w:r w:rsidR="000111CA" w:rsidRPr="000111CA">
        <w:rPr>
          <w:rStyle w:val="Bodytext31Sylfaen"/>
          <w:sz w:val="24"/>
          <w:szCs w:val="24"/>
        </w:rPr>
        <w:t xml:space="preserve"> </w:t>
      </w:r>
      <w:r w:rsidR="00224FB2">
        <w:rPr>
          <w:rStyle w:val="Bodytext31Sylfaen"/>
          <w:sz w:val="24"/>
          <w:szCs w:val="24"/>
        </w:rPr>
        <w:t>9-</w:t>
      </w:r>
      <w:r w:rsidRPr="00224FB2">
        <w:rPr>
          <w:rStyle w:val="Bodytext31Sylfaen"/>
          <w:sz w:val="24"/>
          <w:szCs w:val="24"/>
        </w:rPr>
        <w:t xml:space="preserve">1,5 ppm միջակայքում, ալիֆատիկ կողային շղթաների մնացած </w:t>
      </w:r>
      <w:r w:rsidRPr="0095547B">
        <w:rPr>
          <w:rStyle w:val="Bodytext31Sylfaen"/>
          <w:spacing w:val="4"/>
          <w:sz w:val="24"/>
          <w:szCs w:val="24"/>
        </w:rPr>
        <w:t>պրոտոնների ազդանշանների տիրույթները՝</w:t>
      </w:r>
      <w:r w:rsidR="00224FB2" w:rsidRPr="0095547B">
        <w:rPr>
          <w:rStyle w:val="Bodytext31Sylfaen"/>
          <w:spacing w:val="4"/>
          <w:sz w:val="24"/>
          <w:szCs w:val="24"/>
        </w:rPr>
        <w:t xml:space="preserve"> 1,5-</w:t>
      </w:r>
      <w:r w:rsidRPr="0095547B">
        <w:rPr>
          <w:rStyle w:val="Bodytext31Sylfaen"/>
          <w:spacing w:val="4"/>
          <w:sz w:val="24"/>
          <w:szCs w:val="24"/>
        </w:rPr>
        <w:t>3,5 ppm, α-СН պրոտոնների՝</w:t>
      </w:r>
      <w:r w:rsidR="00224FB2" w:rsidRPr="0095547B">
        <w:rPr>
          <w:rStyle w:val="Bodytext31Sylfaen"/>
          <w:spacing w:val="4"/>
          <w:sz w:val="24"/>
          <w:szCs w:val="24"/>
        </w:rPr>
        <w:t xml:space="preserve"> 3,5-</w:t>
      </w:r>
      <w:r w:rsidRPr="0095547B">
        <w:rPr>
          <w:rStyle w:val="Bodytext31Sylfaen"/>
          <w:spacing w:val="4"/>
          <w:sz w:val="24"/>
          <w:szCs w:val="24"/>
        </w:rPr>
        <w:t>4,5 ppm</w:t>
      </w:r>
      <w:r w:rsidRPr="0095547B">
        <w:rPr>
          <w:rStyle w:val="Bodytext31Sylfaen"/>
          <w:sz w:val="24"/>
          <w:szCs w:val="24"/>
        </w:rPr>
        <w:t>, արոմատիկ պրոտոնների, պեպտիդային խմբերի պրոտոնների՝</w:t>
      </w:r>
      <w:r w:rsidR="00224FB2" w:rsidRPr="0095547B">
        <w:rPr>
          <w:rStyle w:val="Bodytext31Sylfaen"/>
          <w:sz w:val="24"/>
          <w:szCs w:val="24"/>
        </w:rPr>
        <w:t xml:space="preserve"> 6,7-</w:t>
      </w:r>
      <w:r w:rsidRPr="0095547B">
        <w:rPr>
          <w:rStyle w:val="Bodytext31Sylfaen"/>
          <w:sz w:val="24"/>
          <w:szCs w:val="24"/>
        </w:rPr>
        <w:t>9,0 ppm: Իմիդ</w:t>
      </w:r>
      <w:r w:rsidRPr="00224FB2">
        <w:rPr>
          <w:rStyle w:val="Bodytext31Sylfaen"/>
          <w:sz w:val="24"/>
          <w:szCs w:val="24"/>
        </w:rPr>
        <w:t>ազոլի պրոտոնի բնութագրիչ տիրույթը հիստիդինում՝</w:t>
      </w:r>
      <w:r w:rsidR="00224FB2">
        <w:rPr>
          <w:rStyle w:val="Bodytext31Sylfaen"/>
          <w:sz w:val="24"/>
          <w:szCs w:val="24"/>
        </w:rPr>
        <w:t xml:space="preserve"> 8,0-</w:t>
      </w:r>
      <w:r w:rsidRPr="00224FB2">
        <w:rPr>
          <w:rStyle w:val="Bodytext31Sylfaen"/>
          <w:sz w:val="24"/>
          <w:szCs w:val="24"/>
        </w:rPr>
        <w:t>9,2 ppm, տիֆտոֆանի NH-ինդոլային պրոտոնի՝</w:t>
      </w:r>
      <w:r w:rsidR="00224FB2">
        <w:rPr>
          <w:rStyle w:val="Bodytext31Sylfaen"/>
          <w:sz w:val="24"/>
          <w:szCs w:val="24"/>
        </w:rPr>
        <w:t xml:space="preserve"> 9,0-</w:t>
      </w:r>
      <w:r w:rsidRPr="00224FB2">
        <w:rPr>
          <w:rStyle w:val="Bodytext31Sylfaen"/>
          <w:sz w:val="24"/>
          <w:szCs w:val="24"/>
        </w:rPr>
        <w:t xml:space="preserve">11,0 ppm: Մնացորդային օրգանական լուծիչների ազդանշաններ պարունակող սպեկտրի տիրույթները հաշվի չեն առնում կարգավորված ինտեգրում անցկացնելիս: </w:t>
      </w:r>
      <w:r w:rsidRPr="00224FB2">
        <w:rPr>
          <w:rStyle w:val="Bodytext31Sylfaen"/>
          <w:sz w:val="24"/>
          <w:szCs w:val="24"/>
          <w:vertAlign w:val="superscript"/>
        </w:rPr>
        <w:t>1</w:t>
      </w:r>
      <w:r w:rsidRPr="00224FB2">
        <w:rPr>
          <w:rStyle w:val="Bodytext31Sylfaen"/>
          <w:sz w:val="24"/>
          <w:szCs w:val="24"/>
        </w:rPr>
        <w:t xml:space="preserve">Н սպեկտրների բնութագրական տիրույթների </w:t>
      </w:r>
      <w:r w:rsidRPr="0095547B">
        <w:rPr>
          <w:rStyle w:val="Bodytext31Sylfaen"/>
          <w:color w:val="000000" w:themeColor="text1"/>
          <w:sz w:val="24"/>
          <w:szCs w:val="24"/>
        </w:rPr>
        <w:t>նորմավորված</w:t>
      </w:r>
      <w:r w:rsidRPr="00224FB2">
        <w:rPr>
          <w:rStyle w:val="Bodytext31Sylfaen"/>
          <w:color w:val="FF0000"/>
          <w:sz w:val="24"/>
          <w:szCs w:val="24"/>
        </w:rPr>
        <w:t xml:space="preserve"> </w:t>
      </w:r>
      <w:r w:rsidRPr="00224FB2">
        <w:rPr>
          <w:rStyle w:val="Bodytext31Sylfaen"/>
          <w:sz w:val="24"/>
          <w:szCs w:val="24"/>
        </w:rPr>
        <w:t>ինտեգրալ ինտենսիվությունների վստահելի միջակայքերը բերվում են մասնավոր դեղագրքային հոդվածում:</w:t>
      </w:r>
    </w:p>
    <w:p w14:paraId="403C3645" w14:textId="77777777" w:rsidR="00B834A2" w:rsidRPr="00224FB2" w:rsidRDefault="00B834A2" w:rsidP="00224FB2">
      <w:pPr>
        <w:pStyle w:val="Bodytext310"/>
        <w:shd w:val="clear" w:color="auto" w:fill="auto"/>
        <w:spacing w:after="160" w:line="348" w:lineRule="auto"/>
        <w:ind w:firstLine="567"/>
        <w:jc w:val="both"/>
        <w:rPr>
          <w:rFonts w:ascii="Sylfaen" w:hAnsi="Sylfaen"/>
          <w:i w:val="0"/>
          <w:sz w:val="24"/>
          <w:szCs w:val="24"/>
        </w:rPr>
      </w:pPr>
      <w:r w:rsidRPr="00224FB2">
        <w:rPr>
          <w:rStyle w:val="Bodytext31Sylfaen"/>
          <w:sz w:val="24"/>
          <w:szCs w:val="24"/>
        </w:rPr>
        <w:t>Ստանդարտ նմուշների բացակայության դեպքում օլիգոպեպտիդների իսկության սահմանումը ներառում է ամինաթթուների նույնականացում եւ պեպտիդային շղթայում ամինաթթվային հաջորդականության որոշում: Ամինաթթուների նույնականացումն անցկացվում է 3 փուլով՝</w:t>
      </w:r>
    </w:p>
    <w:p w14:paraId="60FAD51F" w14:textId="77777777" w:rsidR="00B834A2" w:rsidRPr="00224FB2" w:rsidRDefault="00B834A2" w:rsidP="00224FB2">
      <w:pPr>
        <w:tabs>
          <w:tab w:val="left" w:pos="1134"/>
        </w:tabs>
        <w:spacing w:after="160" w:line="360" w:lineRule="auto"/>
        <w:ind w:firstLine="567"/>
        <w:jc w:val="both"/>
        <w:rPr>
          <w:rStyle w:val="Bodytext31Sylfaen"/>
          <w:i w:val="0"/>
          <w:sz w:val="24"/>
          <w:szCs w:val="24"/>
        </w:rPr>
      </w:pPr>
      <w:r w:rsidRPr="00224FB2">
        <w:rPr>
          <w:rStyle w:val="Bodytext31Sylfaen"/>
          <w:i w:val="0"/>
          <w:sz w:val="24"/>
          <w:szCs w:val="24"/>
        </w:rPr>
        <w:t>I.</w:t>
      </w:r>
      <w:r w:rsidR="00224FB2" w:rsidRPr="00224FB2">
        <w:rPr>
          <w:rStyle w:val="Bodytext31Sylfaen"/>
          <w:i w:val="0"/>
          <w:sz w:val="24"/>
          <w:szCs w:val="24"/>
        </w:rPr>
        <w:tab/>
      </w:r>
      <w:r w:rsidRPr="00224FB2">
        <w:rPr>
          <w:rStyle w:val="Bodytext31Sylfaen"/>
          <w:i w:val="0"/>
          <w:sz w:val="24"/>
          <w:szCs w:val="24"/>
          <w:vertAlign w:val="superscript"/>
        </w:rPr>
        <w:t>1</w:t>
      </w:r>
      <w:r w:rsidR="00224FB2">
        <w:rPr>
          <w:rStyle w:val="Bodytext31Sylfaen"/>
          <w:i w:val="0"/>
          <w:sz w:val="24"/>
          <w:szCs w:val="24"/>
        </w:rPr>
        <w:t>Н</w:t>
      </w:r>
      <w:r w:rsidRPr="00224FB2">
        <w:rPr>
          <w:rStyle w:val="Bodytext31Sylfaen"/>
          <w:i w:val="0"/>
          <w:sz w:val="24"/>
          <w:szCs w:val="24"/>
        </w:rPr>
        <w:t>-</w:t>
      </w:r>
      <w:r w:rsidRPr="00224FB2">
        <w:rPr>
          <w:rStyle w:val="Bodytext31Sylfaen"/>
          <w:i w:val="0"/>
          <w:sz w:val="24"/>
          <w:szCs w:val="24"/>
          <w:vertAlign w:val="superscript"/>
        </w:rPr>
        <w:t>13</w:t>
      </w:r>
      <w:r w:rsidRPr="00224FB2">
        <w:rPr>
          <w:rStyle w:val="Bodytext31Sylfaen"/>
          <w:i w:val="0"/>
          <w:sz w:val="24"/>
          <w:szCs w:val="24"/>
        </w:rPr>
        <w:t xml:space="preserve">С HSQC սպեկտրի տվյալների հիման վրա </w:t>
      </w:r>
      <w:r w:rsidRPr="00224FB2">
        <w:rPr>
          <w:rStyle w:val="Bodytext31Sylfaen"/>
          <w:i w:val="0"/>
          <w:sz w:val="24"/>
          <w:szCs w:val="24"/>
          <w:vertAlign w:val="superscript"/>
        </w:rPr>
        <w:t>1</w:t>
      </w:r>
      <w:r w:rsidRPr="00224FB2">
        <w:rPr>
          <w:rStyle w:val="Bodytext31Sylfaen"/>
          <w:i w:val="0"/>
          <w:sz w:val="24"/>
          <w:szCs w:val="24"/>
        </w:rPr>
        <w:t xml:space="preserve">Н եւ </w:t>
      </w:r>
      <w:r w:rsidRPr="00224FB2">
        <w:rPr>
          <w:rStyle w:val="Bodytext31Sylfaen"/>
          <w:i w:val="0"/>
          <w:sz w:val="24"/>
          <w:szCs w:val="24"/>
          <w:vertAlign w:val="superscript"/>
        </w:rPr>
        <w:t>13</w:t>
      </w:r>
      <w:r w:rsidRPr="00224FB2">
        <w:rPr>
          <w:rStyle w:val="Bodytext31Sylfaen"/>
          <w:i w:val="0"/>
          <w:sz w:val="24"/>
          <w:szCs w:val="24"/>
        </w:rPr>
        <w:t xml:space="preserve">С սպեկտրների ազդանշանների դասումը կոկրետ ածխաջրածնային ֆրագմենտներին (մետաղային, մեթիլենային, մեթանային, արոմատիկ խմբերին). </w:t>
      </w:r>
    </w:p>
    <w:p w14:paraId="11CF0139" w14:textId="77777777" w:rsidR="00B834A2" w:rsidRPr="00224FB2" w:rsidRDefault="00B834A2" w:rsidP="00224FB2">
      <w:pPr>
        <w:pStyle w:val="Bodytext310"/>
        <w:shd w:val="clear" w:color="auto" w:fill="auto"/>
        <w:tabs>
          <w:tab w:val="left" w:pos="1134"/>
        </w:tabs>
        <w:spacing w:after="160" w:line="360" w:lineRule="auto"/>
        <w:ind w:firstLine="567"/>
        <w:jc w:val="both"/>
        <w:rPr>
          <w:rFonts w:ascii="Sylfaen" w:hAnsi="Sylfaen"/>
          <w:i w:val="0"/>
          <w:sz w:val="24"/>
          <w:szCs w:val="24"/>
        </w:rPr>
      </w:pPr>
      <w:r w:rsidRPr="00224FB2">
        <w:rPr>
          <w:rFonts w:ascii="Sylfaen" w:hAnsi="Sylfaen"/>
          <w:i w:val="0"/>
          <w:sz w:val="24"/>
          <w:szCs w:val="24"/>
        </w:rPr>
        <w:lastRenderedPageBreak/>
        <w:t>II.</w:t>
      </w:r>
      <w:r w:rsidR="00224FB2" w:rsidRPr="00224FB2">
        <w:rPr>
          <w:rFonts w:ascii="Sylfaen" w:hAnsi="Sylfaen"/>
          <w:i w:val="0"/>
          <w:sz w:val="24"/>
          <w:szCs w:val="24"/>
        </w:rPr>
        <w:tab/>
      </w:r>
      <w:r w:rsidRPr="00224FB2">
        <w:rPr>
          <w:rStyle w:val="Bodytext31Sylfaen"/>
          <w:sz w:val="24"/>
          <w:szCs w:val="24"/>
        </w:rPr>
        <w:t xml:space="preserve">Կովալենտային կապով կապված հարեւան ածխաջրածնային ֆրագմենտների որոշում եւ </w:t>
      </w:r>
      <w:r w:rsidRPr="00224FB2">
        <w:rPr>
          <w:rStyle w:val="Bodytext31Sylfaen"/>
          <w:sz w:val="24"/>
          <w:szCs w:val="24"/>
          <w:vertAlign w:val="superscript"/>
        </w:rPr>
        <w:t>1</w:t>
      </w:r>
      <w:r w:rsidR="00224FB2">
        <w:rPr>
          <w:rStyle w:val="Bodytext31Sylfaen"/>
          <w:sz w:val="24"/>
          <w:szCs w:val="24"/>
        </w:rPr>
        <w:t>Н</w:t>
      </w:r>
      <w:r w:rsidRPr="00224FB2">
        <w:rPr>
          <w:rStyle w:val="Bodytext31Sylfaen"/>
          <w:sz w:val="24"/>
          <w:szCs w:val="24"/>
        </w:rPr>
        <w:t>-</w:t>
      </w:r>
      <w:r w:rsidRPr="00224FB2">
        <w:rPr>
          <w:rStyle w:val="Bodytext31Sylfaen"/>
          <w:sz w:val="24"/>
          <w:szCs w:val="24"/>
          <w:vertAlign w:val="superscript"/>
        </w:rPr>
        <w:t>1</w:t>
      </w:r>
      <w:r w:rsidRPr="00224FB2">
        <w:rPr>
          <w:rStyle w:val="Bodytext31Sylfaen"/>
          <w:sz w:val="24"/>
          <w:szCs w:val="24"/>
        </w:rPr>
        <w:t xml:space="preserve">Н COSY եւ անհրաժեշտության դեպքում </w:t>
      </w:r>
      <w:r w:rsidRPr="00224FB2">
        <w:rPr>
          <w:rStyle w:val="Bodytext31Sylfaen"/>
          <w:sz w:val="24"/>
          <w:szCs w:val="24"/>
          <w:vertAlign w:val="superscript"/>
        </w:rPr>
        <w:t>1</w:t>
      </w:r>
      <w:r w:rsidR="00224FB2">
        <w:rPr>
          <w:rStyle w:val="Bodytext31Sylfaen"/>
          <w:sz w:val="24"/>
          <w:szCs w:val="24"/>
        </w:rPr>
        <w:t>Н</w:t>
      </w:r>
      <w:r w:rsidRPr="00224FB2">
        <w:rPr>
          <w:rStyle w:val="Bodytext31Sylfaen"/>
          <w:sz w:val="24"/>
          <w:szCs w:val="24"/>
        </w:rPr>
        <w:t>-</w:t>
      </w:r>
      <w:r w:rsidRPr="00224FB2">
        <w:rPr>
          <w:rStyle w:val="Bodytext31Sylfaen"/>
          <w:sz w:val="24"/>
          <w:szCs w:val="24"/>
          <w:vertAlign w:val="superscript"/>
        </w:rPr>
        <w:t>1</w:t>
      </w:r>
      <w:r w:rsidRPr="00224FB2">
        <w:rPr>
          <w:rStyle w:val="Bodytext31Sylfaen"/>
          <w:sz w:val="24"/>
          <w:szCs w:val="24"/>
        </w:rPr>
        <w:t>Н TOCSY տվյալների հիման վրա ածխաջրածնային ֆրագմենտներից հաջորդականություն կազմելը.</w:t>
      </w:r>
    </w:p>
    <w:p w14:paraId="4D6E9DF4" w14:textId="77777777" w:rsidR="00B834A2" w:rsidRPr="00224FB2" w:rsidRDefault="00B834A2" w:rsidP="00224FB2">
      <w:pPr>
        <w:pStyle w:val="Bodytext310"/>
        <w:shd w:val="clear" w:color="auto" w:fill="auto"/>
        <w:tabs>
          <w:tab w:val="left" w:pos="1134"/>
        </w:tabs>
        <w:spacing w:after="160" w:line="360" w:lineRule="auto"/>
        <w:ind w:firstLine="567"/>
        <w:jc w:val="both"/>
        <w:rPr>
          <w:rStyle w:val="Bodytext31Sylfaen"/>
          <w:sz w:val="24"/>
          <w:szCs w:val="24"/>
        </w:rPr>
      </w:pPr>
      <w:r w:rsidRPr="00224FB2">
        <w:rPr>
          <w:rFonts w:ascii="Sylfaen" w:hAnsi="Sylfaen"/>
          <w:i w:val="0"/>
          <w:spacing w:val="-4"/>
          <w:sz w:val="24"/>
          <w:szCs w:val="24"/>
        </w:rPr>
        <w:t>III.</w:t>
      </w:r>
      <w:r w:rsidR="00224FB2" w:rsidRPr="00224FB2">
        <w:rPr>
          <w:rFonts w:ascii="Sylfaen" w:hAnsi="Sylfaen"/>
          <w:i w:val="0"/>
          <w:spacing w:val="-4"/>
          <w:sz w:val="24"/>
          <w:szCs w:val="24"/>
        </w:rPr>
        <w:tab/>
      </w:r>
      <w:r w:rsidR="00224FB2" w:rsidRPr="00EE38EA">
        <w:rPr>
          <w:rFonts w:ascii="Sylfaen" w:hAnsi="Sylfaen"/>
          <w:i w:val="0"/>
          <w:spacing w:val="-4"/>
          <w:sz w:val="24"/>
          <w:szCs w:val="24"/>
          <w:vertAlign w:val="superscript"/>
        </w:rPr>
        <w:t>1</w:t>
      </w:r>
      <w:r w:rsidR="00224FB2" w:rsidRPr="00224FB2">
        <w:rPr>
          <w:rFonts w:ascii="Sylfaen" w:hAnsi="Sylfaen"/>
          <w:i w:val="0"/>
          <w:spacing w:val="-4"/>
          <w:sz w:val="24"/>
          <w:szCs w:val="24"/>
        </w:rPr>
        <w:t>Н-</w:t>
      </w:r>
      <w:r w:rsidRPr="00EE38EA">
        <w:rPr>
          <w:rFonts w:ascii="Sylfaen" w:hAnsi="Sylfaen"/>
          <w:i w:val="0"/>
          <w:spacing w:val="-4"/>
          <w:sz w:val="24"/>
          <w:szCs w:val="24"/>
          <w:vertAlign w:val="superscript"/>
        </w:rPr>
        <w:t>13</w:t>
      </w:r>
      <w:r w:rsidRPr="00224FB2">
        <w:rPr>
          <w:rFonts w:ascii="Sylfaen" w:hAnsi="Sylfaen"/>
          <w:i w:val="0"/>
          <w:spacing w:val="-4"/>
          <w:sz w:val="24"/>
          <w:szCs w:val="24"/>
        </w:rPr>
        <w:t xml:space="preserve">С НМВС սպեկտրի տվյալների հիման վրա ածխաջրածնային ֆրագմենտները (ալիֆատիկ եւ արոմատիկ) եւ ամիդային խմբերը մոլեկուլում միավորելը, </w:t>
      </w:r>
      <w:r w:rsidRPr="00224FB2">
        <w:rPr>
          <w:rStyle w:val="Bodytext31Sylfaen"/>
          <w:spacing w:val="-4"/>
          <w:sz w:val="24"/>
          <w:szCs w:val="24"/>
        </w:rPr>
        <w:t>Օլիգոպեպտիդում ամինաթթվային հաջորդականությունը սահմանում են α-СН խմբերի եւ С=О խմբերի ազդանշանների միջեւ խաչաձեւ գագաթների առկայության</w:t>
      </w:r>
      <w:r w:rsidRPr="00224FB2">
        <w:rPr>
          <w:rStyle w:val="Bodytext31Sylfaen"/>
          <w:sz w:val="24"/>
          <w:szCs w:val="24"/>
        </w:rPr>
        <w:t xml:space="preserve"> մասով </w:t>
      </w:r>
      <w:r w:rsidRPr="00224FB2">
        <w:rPr>
          <w:rStyle w:val="Bodytext31Sylfaen"/>
          <w:sz w:val="24"/>
          <w:szCs w:val="24"/>
          <w:vertAlign w:val="superscript"/>
        </w:rPr>
        <w:t>1</w:t>
      </w:r>
      <w:r w:rsidR="00224FB2">
        <w:rPr>
          <w:rStyle w:val="Bodytext31Sylfaen"/>
          <w:sz w:val="24"/>
          <w:szCs w:val="24"/>
        </w:rPr>
        <w:t>Н</w:t>
      </w:r>
      <w:r w:rsidRPr="00224FB2">
        <w:rPr>
          <w:rStyle w:val="Bodytext31Sylfaen"/>
          <w:sz w:val="24"/>
          <w:szCs w:val="24"/>
        </w:rPr>
        <w:t>-</w:t>
      </w:r>
      <w:r w:rsidRPr="00224FB2">
        <w:rPr>
          <w:rStyle w:val="Bodytext31Sylfaen"/>
          <w:sz w:val="24"/>
          <w:szCs w:val="24"/>
          <w:vertAlign w:val="superscript"/>
        </w:rPr>
        <w:t>13</w:t>
      </w:r>
      <w:r w:rsidRPr="00224FB2">
        <w:rPr>
          <w:rStyle w:val="Bodytext31Sylfaen"/>
          <w:sz w:val="24"/>
          <w:szCs w:val="24"/>
        </w:rPr>
        <w:t>С НМВС սպեկտրի տվյալների հիման վրա:</w:t>
      </w:r>
    </w:p>
    <w:p w14:paraId="27AE86F6" w14:textId="77777777" w:rsidR="00D2561B" w:rsidRDefault="00D2561B">
      <w:pPr>
        <w:rPr>
          <w:rStyle w:val="Bodytext3117pt"/>
          <w:rFonts w:ascii="Sylfaen" w:eastAsia="Sylfaen" w:hAnsi="Sylfaen"/>
          <w:i w:val="0"/>
          <w:iCs w:val="0"/>
          <w:sz w:val="24"/>
          <w:szCs w:val="24"/>
        </w:rPr>
      </w:pPr>
      <w:r>
        <w:rPr>
          <w:rStyle w:val="Bodytext3117pt"/>
          <w:rFonts w:ascii="Sylfaen" w:eastAsia="Sylfaen" w:hAnsi="Sylfaen"/>
          <w:sz w:val="24"/>
          <w:szCs w:val="24"/>
        </w:rPr>
        <w:br w:type="page"/>
      </w:r>
    </w:p>
    <w:p w14:paraId="6D7C65BA" w14:textId="77777777" w:rsidR="00B834A2" w:rsidRPr="00903268" w:rsidRDefault="00B834A2" w:rsidP="00B834A2">
      <w:pPr>
        <w:pStyle w:val="Bodytext310"/>
        <w:shd w:val="clear" w:color="auto" w:fill="auto"/>
        <w:spacing w:after="160" w:line="360" w:lineRule="auto"/>
        <w:jc w:val="center"/>
        <w:rPr>
          <w:rStyle w:val="Bodytext3117pt"/>
          <w:rFonts w:ascii="Sylfaen" w:eastAsia="Sylfaen" w:hAnsi="Sylfaen"/>
          <w:sz w:val="24"/>
          <w:szCs w:val="24"/>
        </w:rPr>
      </w:pPr>
      <w:r w:rsidRPr="00224FB2">
        <w:rPr>
          <w:rStyle w:val="Bodytext3117pt"/>
          <w:rFonts w:ascii="Sylfaen" w:eastAsia="Sylfaen" w:hAnsi="Sylfaen"/>
          <w:sz w:val="24"/>
          <w:szCs w:val="24"/>
        </w:rPr>
        <w:lastRenderedPageBreak/>
        <w:t xml:space="preserve">2.1.4. ԽԱՌՆՈՒԿՆԵՐԻ ՍԱՀՄԱՆԱՅԻՆ ՊԱՐՈՒՆԱԿՈՒԹՅԱՆ </w:t>
      </w:r>
      <w:r w:rsidR="00B867ED" w:rsidRPr="00B5542D">
        <w:rPr>
          <w:rStyle w:val="Bodytext3117pt"/>
          <w:rFonts w:ascii="Sylfaen" w:eastAsia="Sylfaen" w:hAnsi="Sylfaen"/>
          <w:sz w:val="24"/>
          <w:szCs w:val="24"/>
        </w:rPr>
        <w:br/>
      </w:r>
      <w:r w:rsidRPr="00224FB2">
        <w:rPr>
          <w:rStyle w:val="Bodytext3117pt"/>
          <w:rFonts w:ascii="Sylfaen" w:eastAsia="Sylfaen" w:hAnsi="Sylfaen"/>
          <w:sz w:val="24"/>
          <w:szCs w:val="24"/>
        </w:rPr>
        <w:t>ՄԱՍՈՎ ՓՈՐՁԱՐԿՈՒՄՆԵՐ</w:t>
      </w:r>
    </w:p>
    <w:p w14:paraId="58579305"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EE38EA">
        <w:rPr>
          <w:rStyle w:val="Bodytext31Sylfaen22"/>
          <w:sz w:val="20"/>
          <w:szCs w:val="24"/>
        </w:rPr>
        <w:t>201040023-2022</w:t>
      </w:r>
    </w:p>
    <w:p w14:paraId="32B009CC" w14:textId="77777777" w:rsidR="00EE38EA" w:rsidRPr="009217DE" w:rsidRDefault="00EE38EA" w:rsidP="00B834A2">
      <w:pPr>
        <w:pStyle w:val="Bodytext310"/>
        <w:shd w:val="clear" w:color="auto" w:fill="auto"/>
        <w:spacing w:after="160" w:line="360" w:lineRule="auto"/>
        <w:jc w:val="right"/>
        <w:rPr>
          <w:rFonts w:ascii="Sylfaen" w:hAnsi="Sylfaen"/>
          <w:i w:val="0"/>
          <w:sz w:val="20"/>
          <w:szCs w:val="24"/>
        </w:rPr>
      </w:pPr>
    </w:p>
    <w:p w14:paraId="2674AEED" w14:textId="77777777" w:rsidR="00B834A2" w:rsidRPr="00224FB2" w:rsidRDefault="00B834A2" w:rsidP="00224FB2">
      <w:pPr>
        <w:pStyle w:val="Bodytext310"/>
        <w:shd w:val="clear" w:color="auto" w:fill="auto"/>
        <w:tabs>
          <w:tab w:val="left" w:pos="1701"/>
        </w:tabs>
        <w:spacing w:after="160" w:line="360" w:lineRule="auto"/>
        <w:ind w:firstLine="567"/>
        <w:jc w:val="both"/>
        <w:rPr>
          <w:rFonts w:ascii="Sylfaen" w:hAnsi="Sylfaen"/>
          <w:i w:val="0"/>
          <w:sz w:val="24"/>
          <w:szCs w:val="24"/>
        </w:rPr>
      </w:pPr>
      <w:r w:rsidRPr="00224FB2">
        <w:rPr>
          <w:rStyle w:val="Bodytext31Sylfaen20"/>
          <w:sz w:val="24"/>
          <w:szCs w:val="24"/>
        </w:rPr>
        <w:t>2.1.4.23.</w:t>
      </w:r>
      <w:r w:rsidR="00224FB2" w:rsidRPr="00097504">
        <w:rPr>
          <w:rStyle w:val="Bodytext31Sylfaen20"/>
          <w:sz w:val="24"/>
          <w:szCs w:val="24"/>
        </w:rPr>
        <w:tab/>
      </w:r>
      <w:r w:rsidRPr="00224FB2">
        <w:rPr>
          <w:rStyle w:val="Bodytext31Sylfaen20"/>
          <w:sz w:val="24"/>
          <w:szCs w:val="24"/>
        </w:rPr>
        <w:t>Տարրերի խառնուկների որոշում</w:t>
      </w:r>
    </w:p>
    <w:p w14:paraId="65678F70"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 xml:space="preserve">Տվյալ ընդհանուր դեղագրքային հոդվածում նկարագրվում է դեղագործական կիրառության համար նախատեսված բաղադրամասերում կամ դեղապատրաստուկներում տարրերի խառնուկների որոշման նկատմամբ ընդհանուր մոտեցումը: </w:t>
      </w:r>
      <w:r w:rsidRPr="00224FB2">
        <w:rPr>
          <w:rStyle w:val="Bodytext31Sylfaen"/>
          <w:color w:val="auto"/>
          <w:sz w:val="24"/>
          <w:szCs w:val="24"/>
        </w:rPr>
        <w:t>Հաշվի առնելով որակի մասնագրերում եւ (կամ) որակի մասով նորմատիվ փաստաթղթերում նշված՝</w:t>
      </w:r>
      <w:r w:rsidRPr="00224FB2">
        <w:rPr>
          <w:rStyle w:val="Bodytext31Sylfaen"/>
          <w:sz w:val="24"/>
          <w:szCs w:val="24"/>
        </w:rPr>
        <w:t xml:space="preserve"> նյութերի քիմիական կառուցվածքի եւ տարրի (տարրերի) էական տարբերությունը՝ փորձանմուշների պատրաստման բոլոր համապատասխան մեթոդիկաների եւ չափման եղանակների նկարագրությունն աննպատակահարմար է: Այդ առնչությամբ նշված նպատակի համար կարող է օգտագործվել տվյալ ընդհանուր դեղագրքային հոդվածի պահանջներին համապատասխանող ցանկացած մեթոդ:</w:t>
      </w:r>
    </w:p>
    <w:p w14:paraId="50F6B79E"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Անալիզի արդյունքներն ընդունվում են միայն այն դեպքում, երբ համակարգի պիտանիությունը հաստատված է համապատասխան փորձարկման օգնությամբ: Մինչ անալիզների կիրառումը՝ անալիզ կատարողը պետք է ապահովի օգտագործվող նմուշների եւ փորձանմուշների համար դրա պիտանիությունը: Դա ապահովվում է մասնավոր դեղագրքային հոդվածում չնկարագրված մեթոդիկաների նկատմամբ վալիդացման ընթացակարգի կիրառման կամ մասնավոր դեղագրքային հոդվածում նկարագրված մեթոդիկաների համար համակարգի պիտանիության ստուգման միջոցով: Փորձանմուշների պատրաստման մեթոդիկաների եւ չափման եղանակների ընտրության համար որոշում ընդունելու սխեմաները ներկայացված են 2.1.4.23.-1 եւ 2.1.4.23.-2 նկարներում:</w:t>
      </w:r>
    </w:p>
    <w:p w14:paraId="23EF12E0" w14:textId="77777777" w:rsidR="006035D0" w:rsidRPr="00903268" w:rsidRDefault="006035D0" w:rsidP="00B834A2">
      <w:pPr>
        <w:pStyle w:val="Bodytext310"/>
        <w:shd w:val="clear" w:color="auto" w:fill="auto"/>
        <w:spacing w:after="160" w:line="360" w:lineRule="auto"/>
        <w:ind w:firstLine="567"/>
        <w:jc w:val="both"/>
        <w:rPr>
          <w:rStyle w:val="Bodytext31Sylfaen"/>
          <w:b/>
          <w:sz w:val="24"/>
          <w:szCs w:val="24"/>
        </w:rPr>
      </w:pPr>
    </w:p>
    <w:p w14:paraId="25B3D320" w14:textId="77777777" w:rsidR="00B834A2" w:rsidRPr="00224FB2" w:rsidRDefault="00B834A2" w:rsidP="00B834A2">
      <w:pPr>
        <w:pStyle w:val="Bodytext310"/>
        <w:shd w:val="clear" w:color="auto" w:fill="auto"/>
        <w:spacing w:after="160" w:line="360" w:lineRule="auto"/>
        <w:ind w:firstLine="567"/>
        <w:jc w:val="both"/>
        <w:rPr>
          <w:rFonts w:ascii="Sylfaen" w:hAnsi="Sylfaen"/>
          <w:b/>
          <w:i w:val="0"/>
          <w:sz w:val="24"/>
          <w:szCs w:val="24"/>
        </w:rPr>
      </w:pPr>
      <w:r w:rsidRPr="00224FB2">
        <w:rPr>
          <w:rStyle w:val="Bodytext31Sylfaen"/>
          <w:b/>
          <w:sz w:val="24"/>
          <w:szCs w:val="24"/>
        </w:rPr>
        <w:lastRenderedPageBreak/>
        <w:t>ՄԵԹՈԴԻԿԱՆԵՐ</w:t>
      </w:r>
    </w:p>
    <w:p w14:paraId="7EB72B7E"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Քանի որ ստանդարտ մեթոդիկան չի տրամադրվում յուրաքանչյուր տարրի, մատրիցի, կոնցենտրացիայի համար, մեթոդիկայի (ներառյալ փորձանմուշի պատրաստումը), դետեկտման եղանակի եւ սարքի պարամետրերի ընտրությունը պետք է անցկացվի վերլուծողի կողմից 2.1.4.23.-1 եւ 2.1.4.23.-2 նկարներում պատկերված սխեմաների համաձայն:</w:t>
      </w:r>
    </w:p>
    <w:p w14:paraId="540C7BCE"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Փորձանմուշների պատրաստման մեթոդիկայի որոշման համար օգտագործում են 2.1.4.23.-1 նկարի սխեման, իսկ չափման մեթոդիկայի որոշման համար՝ 2.1.4.23.-2 նկարի սխեման: Փորձանմուշի պատրաստման մեթոդիկան պետք է ապահովի մասնավոր կամ ընդհանուր դեղագրքային հոդվածներում նշված սահմաններին համապատասխան յուրաքանչյուր տարրի որոշման համար բավարար նմուշի քանակության ստացումը:</w:t>
      </w:r>
    </w:p>
    <w:p w14:paraId="7DF67190"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Տարրերի խառնուկների որոշման համար կարող են կիրառվել փորձանմուշների պատրաստման համապատասխան բոլոր մեթոդիկաները եւ չափման եղանակները (օրինակ՝</w:t>
      </w:r>
    </w:p>
    <w:p w14:paraId="726F9872"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Fonts w:ascii="Sylfaen" w:hAnsi="Sylfaen"/>
          <w:sz w:val="24"/>
          <w:szCs w:val="24"/>
        </w:rPr>
        <w:t>2.1.2.21.</w:t>
      </w:r>
      <w:r w:rsidR="006A12E1" w:rsidRPr="009217DE">
        <w:rPr>
          <w:rFonts w:ascii="Sylfaen" w:hAnsi="Sylfaen"/>
          <w:sz w:val="24"/>
          <w:szCs w:val="24"/>
        </w:rPr>
        <w:tab/>
      </w:r>
      <w:r w:rsidRPr="006A12E1">
        <w:rPr>
          <w:rFonts w:ascii="Sylfaen" w:hAnsi="Sylfaen"/>
          <w:sz w:val="24"/>
          <w:szCs w:val="24"/>
        </w:rPr>
        <w:t>Ատոմային-էմիսիոն սպեկտրաչափում (ԱԷՍ),</w:t>
      </w:r>
    </w:p>
    <w:p w14:paraId="3E38466C"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Fonts w:ascii="Sylfaen" w:hAnsi="Sylfaen"/>
          <w:sz w:val="24"/>
          <w:szCs w:val="24"/>
        </w:rPr>
        <w:t>2.1.2.22.</w:t>
      </w:r>
      <w:r w:rsidR="006A12E1" w:rsidRPr="009217DE">
        <w:rPr>
          <w:rFonts w:ascii="Sylfaen" w:hAnsi="Sylfaen"/>
          <w:sz w:val="24"/>
          <w:szCs w:val="24"/>
        </w:rPr>
        <w:tab/>
      </w:r>
      <w:r w:rsidRPr="006A12E1">
        <w:rPr>
          <w:rFonts w:ascii="Sylfaen" w:hAnsi="Sylfaen"/>
          <w:sz w:val="24"/>
          <w:szCs w:val="24"/>
        </w:rPr>
        <w:t>Ատոմային-աբսորբցիոն սպեկտրաչափում (ԱԱՍ),</w:t>
      </w:r>
    </w:p>
    <w:p w14:paraId="0FF28490"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Style w:val="Bodytext31Sylfaen"/>
          <w:i/>
          <w:sz w:val="24"/>
          <w:szCs w:val="24"/>
        </w:rPr>
        <w:t>2.1.2.48.</w:t>
      </w:r>
      <w:r w:rsidR="006A12E1" w:rsidRPr="009217DE">
        <w:rPr>
          <w:rStyle w:val="Bodytext31Sylfaen"/>
          <w:i/>
          <w:sz w:val="24"/>
          <w:szCs w:val="24"/>
        </w:rPr>
        <w:tab/>
      </w:r>
      <w:r w:rsidRPr="006A12E1">
        <w:rPr>
          <w:rFonts w:ascii="Sylfaen" w:hAnsi="Sylfaen"/>
          <w:sz w:val="24"/>
          <w:szCs w:val="24"/>
        </w:rPr>
        <w:t>Ռենտգենաֆլյուորեսցենտային սպեկտրաչափում (ՌՖՍ),</w:t>
      </w:r>
    </w:p>
    <w:p w14:paraId="65D44E4B"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Style w:val="Bodytext31Sylfaen"/>
          <w:i/>
          <w:sz w:val="24"/>
          <w:szCs w:val="24"/>
        </w:rPr>
        <w:t>2.1.2.41.</w:t>
      </w:r>
      <w:r w:rsidR="006A12E1" w:rsidRPr="009217DE">
        <w:rPr>
          <w:rStyle w:val="Bodytext31Sylfaen"/>
          <w:i/>
          <w:sz w:val="24"/>
          <w:szCs w:val="24"/>
        </w:rPr>
        <w:tab/>
      </w:r>
      <w:r w:rsidRPr="006A12E1">
        <w:rPr>
          <w:rFonts w:ascii="Sylfaen" w:hAnsi="Sylfaen"/>
          <w:sz w:val="24"/>
          <w:szCs w:val="24"/>
        </w:rPr>
        <w:t>Ինդուկտիվ-կապված պլազմայով ատոմա</w:t>
      </w:r>
      <w:r w:rsidR="00224FB2" w:rsidRPr="006A12E1">
        <w:rPr>
          <w:rFonts w:ascii="Sylfaen" w:hAnsi="Sylfaen"/>
          <w:sz w:val="24"/>
          <w:szCs w:val="24"/>
        </w:rPr>
        <w:t>յին-էմիսիոն սպեկտրաչափում (ԱԷՍ-</w:t>
      </w:r>
      <w:r w:rsidRPr="006A12E1">
        <w:rPr>
          <w:rFonts w:ascii="Sylfaen" w:hAnsi="Sylfaen"/>
          <w:sz w:val="24"/>
          <w:szCs w:val="24"/>
        </w:rPr>
        <w:t>ԻԿՊ),</w:t>
      </w:r>
    </w:p>
    <w:p w14:paraId="1CCC861D"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Style w:val="Bodytext31Sylfaen"/>
          <w:i/>
          <w:sz w:val="24"/>
          <w:szCs w:val="24"/>
        </w:rPr>
        <w:t>2.1.2.55.</w:t>
      </w:r>
      <w:r w:rsidR="006A12E1" w:rsidRPr="009217DE">
        <w:rPr>
          <w:rStyle w:val="Bodytext31Sylfaen"/>
          <w:i/>
          <w:sz w:val="24"/>
          <w:szCs w:val="24"/>
        </w:rPr>
        <w:tab/>
      </w:r>
      <w:r w:rsidRPr="006A12E1">
        <w:rPr>
          <w:rFonts w:ascii="Sylfaen" w:hAnsi="Sylfaen"/>
          <w:sz w:val="24"/>
          <w:szCs w:val="24"/>
        </w:rPr>
        <w:t>Ինդուկտիվ-կապված պլազմայով զանգվածային սպեկտրաչափում (ԶՍ-ԻԿՊ),</w:t>
      </w:r>
    </w:p>
    <w:p w14:paraId="6D41CB77" w14:textId="77777777" w:rsidR="00B834A2" w:rsidRPr="006A12E1" w:rsidRDefault="00B834A2" w:rsidP="008F5B6F">
      <w:pPr>
        <w:pStyle w:val="Bodytext310"/>
        <w:shd w:val="clear" w:color="auto" w:fill="auto"/>
        <w:tabs>
          <w:tab w:val="left" w:pos="1560"/>
        </w:tabs>
        <w:spacing w:after="160" w:line="346" w:lineRule="auto"/>
        <w:ind w:firstLine="567"/>
        <w:jc w:val="both"/>
        <w:rPr>
          <w:rFonts w:ascii="Sylfaen" w:hAnsi="Sylfaen"/>
          <w:sz w:val="24"/>
          <w:szCs w:val="24"/>
        </w:rPr>
      </w:pPr>
      <w:r w:rsidRPr="006A12E1">
        <w:rPr>
          <w:rStyle w:val="Bodytext31Sylfaen"/>
          <w:i/>
          <w:sz w:val="24"/>
          <w:szCs w:val="24"/>
        </w:rPr>
        <w:t>2.1.4.2.</w:t>
      </w:r>
      <w:r w:rsidR="006A12E1" w:rsidRPr="009217DE">
        <w:rPr>
          <w:rStyle w:val="Bodytext31Sylfaen"/>
          <w:i/>
          <w:sz w:val="24"/>
          <w:szCs w:val="24"/>
        </w:rPr>
        <w:tab/>
      </w:r>
      <w:r w:rsidRPr="006A12E1">
        <w:rPr>
          <w:rStyle w:val="Bodytext31Sylfaen"/>
          <w:i/>
          <w:sz w:val="24"/>
          <w:szCs w:val="24"/>
        </w:rPr>
        <w:t>Մկնդեղ,</w:t>
      </w:r>
    </w:p>
    <w:p w14:paraId="102798A2" w14:textId="77777777" w:rsidR="00B834A2" w:rsidRPr="006A12E1" w:rsidRDefault="00B834A2" w:rsidP="008F5B6F">
      <w:pPr>
        <w:pStyle w:val="Bodytext310"/>
        <w:shd w:val="clear" w:color="auto" w:fill="auto"/>
        <w:tabs>
          <w:tab w:val="left" w:pos="1560"/>
        </w:tabs>
        <w:spacing w:after="160" w:line="346" w:lineRule="auto"/>
        <w:ind w:firstLine="567"/>
        <w:jc w:val="both"/>
        <w:rPr>
          <w:rFonts w:ascii="Sylfaen" w:hAnsi="Sylfaen"/>
          <w:sz w:val="24"/>
          <w:szCs w:val="24"/>
        </w:rPr>
      </w:pPr>
      <w:r w:rsidRPr="006A12E1">
        <w:rPr>
          <w:rFonts w:ascii="Sylfaen" w:hAnsi="Sylfaen"/>
          <w:sz w:val="24"/>
          <w:szCs w:val="24"/>
        </w:rPr>
        <w:t>2.1.4.8.</w:t>
      </w:r>
      <w:r w:rsidR="006A12E1" w:rsidRPr="009217DE">
        <w:rPr>
          <w:rFonts w:ascii="Sylfaen" w:hAnsi="Sylfaen"/>
          <w:sz w:val="24"/>
          <w:szCs w:val="24"/>
        </w:rPr>
        <w:tab/>
      </w:r>
      <w:r w:rsidRPr="006A12E1">
        <w:rPr>
          <w:rStyle w:val="Bodytext31Sylfaen"/>
          <w:i/>
          <w:sz w:val="24"/>
          <w:szCs w:val="24"/>
        </w:rPr>
        <w:t>Ծանր մետաղներ,</w:t>
      </w:r>
    </w:p>
    <w:p w14:paraId="5A1730D4" w14:textId="77777777" w:rsidR="00B834A2" w:rsidRPr="006A12E1" w:rsidRDefault="00B834A2" w:rsidP="008F5B6F">
      <w:pPr>
        <w:pStyle w:val="Bodytext310"/>
        <w:shd w:val="clear" w:color="auto" w:fill="auto"/>
        <w:tabs>
          <w:tab w:val="left" w:pos="1560"/>
        </w:tabs>
        <w:spacing w:after="160" w:line="346" w:lineRule="auto"/>
        <w:ind w:firstLine="567"/>
        <w:jc w:val="both"/>
        <w:rPr>
          <w:rFonts w:ascii="Sylfaen" w:hAnsi="Sylfaen"/>
          <w:sz w:val="24"/>
          <w:szCs w:val="24"/>
        </w:rPr>
      </w:pPr>
      <w:r w:rsidRPr="006A12E1">
        <w:rPr>
          <w:rFonts w:ascii="Sylfaen" w:hAnsi="Sylfaen"/>
          <w:sz w:val="24"/>
          <w:szCs w:val="24"/>
        </w:rPr>
        <w:t>2.1.4.9.</w:t>
      </w:r>
      <w:r w:rsidR="006A12E1" w:rsidRPr="009217DE">
        <w:rPr>
          <w:rFonts w:ascii="Sylfaen" w:hAnsi="Sylfaen"/>
          <w:sz w:val="24"/>
          <w:szCs w:val="24"/>
        </w:rPr>
        <w:tab/>
      </w:r>
      <w:r w:rsidRPr="006A12E1">
        <w:rPr>
          <w:rStyle w:val="Bodytext31Sylfaen"/>
          <w:i/>
          <w:sz w:val="24"/>
          <w:szCs w:val="24"/>
        </w:rPr>
        <w:t>Երկաթ,</w:t>
      </w:r>
    </w:p>
    <w:p w14:paraId="46B914C6"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Fonts w:ascii="Sylfaen" w:hAnsi="Sylfaen"/>
          <w:sz w:val="24"/>
          <w:szCs w:val="24"/>
        </w:rPr>
        <w:t>2.1.4.10.</w:t>
      </w:r>
      <w:r w:rsidR="006A12E1" w:rsidRPr="009217DE">
        <w:rPr>
          <w:rFonts w:ascii="Sylfaen" w:hAnsi="Sylfaen"/>
          <w:sz w:val="24"/>
          <w:szCs w:val="24"/>
        </w:rPr>
        <w:tab/>
      </w:r>
      <w:r w:rsidRPr="006A12E1">
        <w:rPr>
          <w:rStyle w:val="Bodytext31Sylfaen"/>
          <w:i/>
          <w:sz w:val="24"/>
          <w:szCs w:val="24"/>
        </w:rPr>
        <w:t>Կապարը շաքարներում,</w:t>
      </w:r>
    </w:p>
    <w:p w14:paraId="455ECF04"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Style w:val="Bodytext31Sylfaen"/>
          <w:i/>
          <w:sz w:val="24"/>
          <w:szCs w:val="24"/>
        </w:rPr>
        <w:lastRenderedPageBreak/>
        <w:t>2.1.4.15.</w:t>
      </w:r>
      <w:r w:rsidR="006A12E1" w:rsidRPr="009217DE">
        <w:rPr>
          <w:rStyle w:val="Bodytext31Sylfaen"/>
          <w:i/>
          <w:sz w:val="24"/>
          <w:szCs w:val="24"/>
        </w:rPr>
        <w:tab/>
      </w:r>
      <w:r w:rsidRPr="006A12E1">
        <w:rPr>
          <w:rStyle w:val="Bodytext31Sylfaen"/>
          <w:i/>
          <w:sz w:val="24"/>
          <w:szCs w:val="24"/>
        </w:rPr>
        <w:t>Նիկելը պոլիոլներում,</w:t>
      </w:r>
    </w:p>
    <w:p w14:paraId="6138932F" w14:textId="77777777" w:rsidR="00B834A2" w:rsidRPr="006A12E1" w:rsidRDefault="00B834A2" w:rsidP="008F5B6F">
      <w:pPr>
        <w:pStyle w:val="Bodytext310"/>
        <w:shd w:val="clear" w:color="auto" w:fill="auto"/>
        <w:tabs>
          <w:tab w:val="left" w:pos="1701"/>
        </w:tabs>
        <w:spacing w:after="160" w:line="346" w:lineRule="auto"/>
        <w:ind w:firstLine="567"/>
        <w:jc w:val="both"/>
        <w:rPr>
          <w:rFonts w:ascii="Sylfaen" w:hAnsi="Sylfaen"/>
          <w:sz w:val="24"/>
          <w:szCs w:val="24"/>
        </w:rPr>
      </w:pPr>
      <w:r w:rsidRPr="006A12E1">
        <w:rPr>
          <w:rFonts w:ascii="Sylfaen" w:hAnsi="Sylfaen"/>
          <w:sz w:val="24"/>
          <w:szCs w:val="24"/>
        </w:rPr>
        <w:t>2.1.8.22.</w:t>
      </w:r>
      <w:r w:rsidR="006A12E1" w:rsidRPr="009217DE">
        <w:rPr>
          <w:rFonts w:ascii="Sylfaen" w:hAnsi="Sylfaen"/>
          <w:sz w:val="24"/>
          <w:szCs w:val="24"/>
        </w:rPr>
        <w:tab/>
      </w:r>
      <w:r w:rsidRPr="006A12E1">
        <w:rPr>
          <w:rStyle w:val="Bodytext31Sylfaen"/>
          <w:i/>
          <w:sz w:val="24"/>
          <w:szCs w:val="24"/>
        </w:rPr>
        <w:t>Ջրածնավորված բուսայուղերում նիկելի որոշումը),</w:t>
      </w:r>
    </w:p>
    <w:p w14:paraId="52735DE5"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եթե մինչ օգտագործումը մեթոդիկաները վերիֆիկացվել են համակարգի պիտանիության ստուգման կամ տվյալ ընդհանուր դեղագրքային հոդվածին համապատասխան վալիդացման անցկացման միջոցով:</w:t>
      </w:r>
    </w:p>
    <w:p w14:paraId="2EE602A5"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Եթե փորձանմուշների պատրաստման մեթոդիկան եւ (կամ) չափման եղանակը նկարագրված չեն մասնավոր դեղագրքային հոդվածում, ապա պետք է մշակվի եւ վալիդացվի փորձանմուշների պատրաստման համապատասխան մեթոդիկան եւ (կամ) չափման եղանակը (նկարներ 2.1.4.23.-1 եւ 2.1.4.23.-2):</w:t>
      </w:r>
    </w:p>
    <w:p w14:paraId="49002F5C" w14:textId="77777777" w:rsidR="00B834A2" w:rsidRPr="006A12E1" w:rsidRDefault="00B834A2" w:rsidP="00B834A2">
      <w:pPr>
        <w:pStyle w:val="Bodytext310"/>
        <w:shd w:val="clear" w:color="auto" w:fill="auto"/>
        <w:spacing w:after="160" w:line="360" w:lineRule="auto"/>
        <w:ind w:firstLine="567"/>
        <w:jc w:val="both"/>
        <w:rPr>
          <w:rFonts w:ascii="Sylfaen" w:hAnsi="Sylfaen"/>
          <w:i w:val="0"/>
          <w:sz w:val="24"/>
          <w:szCs w:val="24"/>
        </w:rPr>
      </w:pPr>
      <w:r w:rsidRPr="006A12E1">
        <w:rPr>
          <w:rStyle w:val="Bodytext31Sylfaen23"/>
          <w:i/>
          <w:sz w:val="24"/>
          <w:szCs w:val="24"/>
        </w:rPr>
        <w:t>ՓՈՐՁԱՆՄՈՒՇԻ ՊԱՏՐԱՍՏՈՒՄ</w:t>
      </w:r>
    </w:p>
    <w:p w14:paraId="2725B7D6"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pacing w:val="-4"/>
          <w:sz w:val="24"/>
          <w:szCs w:val="24"/>
        </w:rPr>
        <w:t>Փորձանմուշի պատրաստումը տարրային անալիզի կրիտիկական փուլ է: Ուղղակի չափում չօգտագործող շատ եղանակներ մեծ մասամբ պայմանավորված են փորձանմ</w:t>
      </w:r>
      <w:r w:rsidRPr="00224FB2">
        <w:rPr>
          <w:rStyle w:val="Bodytext31Sylfaen"/>
          <w:sz w:val="24"/>
          <w:szCs w:val="24"/>
        </w:rPr>
        <w:t>ուշի փոխադրմամբ:</w:t>
      </w:r>
    </w:p>
    <w:p w14:paraId="6D0A574B"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Փոշեցրման համակարգն օգտագործելիս ընդունված միջոցների մեծ մասը, որոնց օգնությամբ փորձանմուշը ներմուծվում է փոշեցրման համակարգ, համաբերվում է լուծույթների փոշիացման: Այդ դեպքում պինդ նմուշները պետք է լուծվեն՝ փոշեցրման համակարգ ներմուծելու համար: Նմուշները կարող են լուծվել ցանկացած համապատասխան լուծույթում: Հատկապես առաջարկվում է լուծման համար ջրի կամ լուծված ազոտաթթվի կիրառում՝ հաշվի առնելով այլ լուծույթների հետ համեմատած նվազագույն խանգարող գործոնները: Նմուշների լուծման համար կարող է օգտագործվել տարբեր կոնցենտրացիաների քլորջրածնային թթու, ֆտորջրածնային թթու, քլորաթթու, ծծմբաթթու եւ ջրածնի պերօքսիդ: Ծծմբաթթվի մածուցիկությունը բարձր է, քան այլ թթուներինը, ինչը պետք է հաշվի առնվի՝ լուծույթի հոսունության վրա դրա համատարած ազդեցության նկատառումներից ելնելով:</w:t>
      </w:r>
    </w:p>
    <w:p w14:paraId="40C3CE2F"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 xml:space="preserve">Լուծույթների ընտրությունը նույնպես ընդգրկում է, սակայն չի սահմանափակվում լուծված հիմքերի, չլուծված կամ լուծված օրգանական </w:t>
      </w:r>
      <w:r w:rsidRPr="00224FB2">
        <w:rPr>
          <w:rStyle w:val="Bodytext31Sylfaen"/>
          <w:sz w:val="24"/>
          <w:szCs w:val="24"/>
        </w:rPr>
        <w:lastRenderedPageBreak/>
        <w:t xml:space="preserve">լուծիչների, թթուների կամ հիմքերի եւ օրգանական լուծիչների խառնուկների կիրառմամբ: </w:t>
      </w:r>
      <w:r w:rsidRPr="00224FB2">
        <w:rPr>
          <w:rFonts w:ascii="Sylfaen" w:hAnsi="Sylfaen"/>
          <w:i w:val="0"/>
          <w:sz w:val="24"/>
          <w:szCs w:val="24"/>
        </w:rPr>
        <w:t>Օգտագործվող թթուները, հիմքերը եւ ջրածնի պերօքսիդը պետք է լինեն բարձր մաքրության, հատկապես ԶՍ-ԻԿՊ մեթոդի կիրառման դեպքում: Ջրային լուծույթների պատրաստման համար կիրառում են Р թորած ապաիոնացված ջուր:</w:t>
      </w:r>
      <w:r w:rsidRPr="00224FB2">
        <w:rPr>
          <w:rStyle w:val="Bodytext31Sylfaen"/>
          <w:sz w:val="24"/>
          <w:szCs w:val="24"/>
        </w:rPr>
        <w:t xml:space="preserve"> Նոսրացման համար լուծիչները (նոսրացուցիչները), եթե դրանց օգտագործում են անալիզի մեջ, պետք է ստուգվեն խանգարող գործոնների բացակայության մասով: Քանի որ ոչ միշտ է հնարավոր տարրերի խառնուկներ չպարունակող օրգանական լուծիչների ստացումը, ապա պետք է այդ աղտոտիչների նկատմամբ կիրառվեն առավել բարձր մաքրության օրգանական լուծիչներ: Հատկապես ԻԿՊ-ով մեթոդների կիրառման ժամանակ, որոնցում նմուշները ներմուծում են պլազմա լուծույթների փոշիացման միջոցով, կարելի է հաշվի առնել մատրիցի եւ լուծիչից բխող խանգարող գործոնների հնարավոր ազդեցությունը: ԻԿՊ-ԱԷՍ եւ ԶՍ-ԻԿՊ մեթոդներով անալիզի ժամանակ այն դեպքերում, երբ ճշտությունը եւ ճշգրտությունը բավարար չեն, պետք է օգտագործվի համապատասխան ներքին ստանդարտ եւ (կամ) նմուշներին համապատասխանող ստանդարտ մատրից: Ցանկացած դեպքում համապատասխան ներքին ստանդարտի ընտրության ժամանակ անհրաժեշտ է հաշվի առնել որոշվող տարրը (տարրերը), իոնացման դրա էներգիան, ալիքների երկարությունը կամ զանգվածը, ինչպես նաեւ նմուշի մատրիցի էությունը:</w:t>
      </w:r>
    </w:p>
    <w:p w14:paraId="32C9B751"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Եթե սահմանված է, որ նմուշը չի լուծվում ոչ մի համապատասխան լուծիչում, ապա կարող են կիրառվել բարձր ջերմաստիճանային տարրալուծման եւ մոխրացման տարատեսակ եղանակներ: Դրանց դասվում են տարրալուծումը սալիկի վրա, մոխրացումը եւ միկրոալիքային տարրալուծումը՝ բաց եւ փակ անոթների օգտագործմամբ:</w:t>
      </w:r>
    </w:p>
    <w:p w14:paraId="7F8A7AE2"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 xml:space="preserve">Տարրալուծման օգտագործվող եղանակների վերաբերյալ որոշումը պայմանավորված է փորձարկվող նմուշի եւ որոշվող տարրի (տարրերի) էությամբ, ինչպես նաեւ տարրերի որոշվող կոնցենտրացիաների ընդգրկույթով: Որոշվող տարր (տարրեր) պարունակող ցնդող նյութերը վերլուծելիս խորհուրդ չի տրվում տարրալուծման համար բաց անոթների օգտագործումը: Տարրալուծման եղանակի՝ </w:t>
      </w:r>
      <w:r w:rsidRPr="00224FB2">
        <w:rPr>
          <w:rStyle w:val="Bodytext31Sylfaen"/>
          <w:sz w:val="24"/>
          <w:szCs w:val="24"/>
        </w:rPr>
        <w:lastRenderedPageBreak/>
        <w:t>ինչպես բաց, այնպես էլ փակ անոթներում պիտանիությունն անհրաժեշտ է հաստատել բացելիության մեծության որոշման փորձերում՝ ստուգելու համար փորձանմուշների պատրաստման ժամանակ որոշվող տարրեր պարունակող ցնդող նյութերի կորուստների թույլատրելի սահմաններում բացակայությունը: Տարրալուծման մեթոդիկան համարվում է պիտանի, եթե ստացված լուծույթը թափանցիկ է:</w:t>
      </w:r>
    </w:p>
    <w:p w14:paraId="7E9935D8"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Կարեւոր է հաշվի առնել տարրային անալիզի մեջ օգտագործվող անալիտիկ լաբորատոր սարքավորումների կոստրուկցիայի տեսակը, նյութը, նախնական մշակումը եւ մաքրումը: Նյութը պետք է լինի չեզոք եւ, պայմանավորված կոնկրետ կիրառմամբ՝ հիմքերի, թթուների եւ (կամ) օրգանական լուծիչների նկատմամբ կայուն: Որոշ անալիզներ, հատկապես ուլտրահետքային քանակությունների դեպքում, պետք է անցկացվեն զգուշությամբ՝ անոթի մակերեսին տարրերի խառնուկների ադսորբումը կանխելու համար: Անոթի նյութից կորզվող տարրերի</w:t>
      </w:r>
      <w:r w:rsidR="000111CA" w:rsidRPr="000111CA">
        <w:rPr>
          <w:rStyle w:val="Bodytext31Sylfaen"/>
          <w:sz w:val="24"/>
          <w:szCs w:val="24"/>
        </w:rPr>
        <w:t> </w:t>
      </w:r>
      <w:r w:rsidRPr="00224FB2">
        <w:rPr>
          <w:rStyle w:val="Bodytext31Sylfaen"/>
          <w:sz w:val="24"/>
          <w:szCs w:val="24"/>
        </w:rPr>
        <w:t>եւ իոնների խառնուկների նմուշի լուծույթների աղտոտումը նույնպես կարող է հանգեցնել սխալ արդյունքների:</w:t>
      </w:r>
    </w:p>
    <w:p w14:paraId="56B3A883"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Թույլատրվում է Ստանդարտացման հարցերով միջազգային կազմակերպության համապատասխան միջազգային ստանդարտի Ա դասի պահանջները չբավարարող չափիչ ապակե ամանեղենի կիրառումը, եթե այդ ամանեղենի օգտագործումը նախատեսող մեթոդիկայի վալիդացումը կամ համակարգի պիտանիության փորձարկումը փորձնական հաստատում են ենթադրվող նպատակի համար մեթոդիկայի պիտանիությունը:</w:t>
      </w:r>
    </w:p>
    <w:p w14:paraId="45548BF8"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6A12E1">
        <w:rPr>
          <w:rStyle w:val="Bodytext31Sylfaen23"/>
          <w:i/>
          <w:sz w:val="24"/>
          <w:szCs w:val="24"/>
        </w:rPr>
        <w:t>ՆԱԽԱԶԳՈՒՇԱՑՈՒՄ`</w:t>
      </w:r>
      <w:r w:rsidRPr="00224FB2">
        <w:rPr>
          <w:rStyle w:val="Bodytext31Sylfaen23"/>
          <w:sz w:val="24"/>
          <w:szCs w:val="24"/>
        </w:rPr>
        <w:t xml:space="preserve"> Բարձր ճնշման ռեակցիոն անոթների կամ միկրոալիքային լաբորատոր սարքավորումների օգտագործման ժամանակ անհրաժեշտ է պահպանել արտադրողի՝ անվտանգության եւ շահագործման տեխնիկայի մասով հրահանգների պահանջները:</w:t>
      </w:r>
    </w:p>
    <w:p w14:paraId="578A95E3" w14:textId="77777777" w:rsidR="00D2561B" w:rsidRDefault="00D2561B">
      <w:pPr>
        <w:rPr>
          <w:rStyle w:val="Bodytext31Sylfaen23"/>
          <w:i w:val="0"/>
          <w:iCs w:val="0"/>
          <w:sz w:val="24"/>
          <w:szCs w:val="24"/>
        </w:rPr>
      </w:pPr>
      <w:r>
        <w:rPr>
          <w:rStyle w:val="Bodytext31Sylfaen23"/>
          <w:sz w:val="24"/>
          <w:szCs w:val="24"/>
        </w:rPr>
        <w:br w:type="page"/>
      </w:r>
    </w:p>
    <w:p w14:paraId="7AA51BC6" w14:textId="77777777" w:rsidR="00B834A2" w:rsidRPr="00DE4F37" w:rsidRDefault="00B834A2" w:rsidP="00B834A2">
      <w:pPr>
        <w:pStyle w:val="Bodytext310"/>
        <w:shd w:val="clear" w:color="auto" w:fill="auto"/>
        <w:spacing w:after="160" w:line="360" w:lineRule="auto"/>
        <w:ind w:firstLine="567"/>
        <w:jc w:val="both"/>
        <w:rPr>
          <w:rStyle w:val="Bodytext31Sylfaen23"/>
          <w:i/>
          <w:sz w:val="24"/>
          <w:szCs w:val="24"/>
        </w:rPr>
      </w:pPr>
      <w:r w:rsidRPr="006A12E1">
        <w:rPr>
          <w:rStyle w:val="Bodytext31Sylfaen23"/>
          <w:i/>
          <w:sz w:val="24"/>
          <w:szCs w:val="24"/>
        </w:rPr>
        <w:lastRenderedPageBreak/>
        <w:t>ՉԱՓՈՒՄՆԵՐ</w:t>
      </w:r>
    </w:p>
    <w:p w14:paraId="2B2773DE" w14:textId="77777777" w:rsidR="00492945" w:rsidRPr="00DE4F37" w:rsidRDefault="00492945" w:rsidP="00B834A2">
      <w:pPr>
        <w:pStyle w:val="Bodytext310"/>
        <w:shd w:val="clear" w:color="auto" w:fill="auto"/>
        <w:spacing w:after="160" w:line="360" w:lineRule="auto"/>
        <w:ind w:firstLine="567"/>
        <w:jc w:val="both"/>
        <w:rPr>
          <w:rStyle w:val="Bodytext31Sylfaen23"/>
          <w:i/>
          <w:sz w:val="24"/>
          <w:szCs w:val="24"/>
        </w:rPr>
      </w:pPr>
    </w:p>
    <w:p w14:paraId="2394C5B8"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b/>
          <w:sz w:val="24"/>
          <w:szCs w:val="24"/>
        </w:rPr>
        <w:t>Մեթոդիկա:</w:t>
      </w:r>
      <w:r w:rsidRPr="00224FB2">
        <w:rPr>
          <w:rStyle w:val="Bodytext31Sylfaen"/>
          <w:sz w:val="24"/>
          <w:szCs w:val="24"/>
        </w:rPr>
        <w:t xml:space="preserve"> Չափման եղանակների ընտրությունը պայմանավորված է հիմնականում նմուշի մատրիցայով, որակի մասնագրերում եւ (կամ) որակի մասով նորմատիվ փաստաթղթում նշված՝ որոշվող տարրի (տարրերի) բնութագրերով եւ պարունակության սահմաններով: Անալիզը անցկացնում են ծրագրի եւ ալիքի երկարության մասով սարքն արտադրողի հրահանգներին համապատասխան: </w:t>
      </w:r>
    </w:p>
    <w:p w14:paraId="1D71F4EB" w14:textId="77777777" w:rsidR="00B834A2" w:rsidRPr="006A12E1"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b/>
          <w:sz w:val="24"/>
          <w:szCs w:val="24"/>
        </w:rPr>
        <w:t>Համակարգի պիտանիություն:</w:t>
      </w:r>
      <w:r w:rsidRPr="00224FB2">
        <w:rPr>
          <w:rStyle w:val="Bodytext31Sylfaen"/>
          <w:sz w:val="24"/>
          <w:szCs w:val="24"/>
        </w:rPr>
        <w:t xml:space="preserve"> Փորձանմուշի պատրաստման ընդունելիության եւ չափման համակարգի ապահովման համար համակարգի պիտանիության փորձարկումը պետք է անցկացվի անալիզի անցկացման օրը: </w:t>
      </w:r>
    </w:p>
    <w:p w14:paraId="37CDA361"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6A12E1">
        <w:rPr>
          <w:rFonts w:ascii="Sylfaen" w:hAnsi="Sylfaen"/>
          <w:sz w:val="24"/>
          <w:szCs w:val="24"/>
        </w:rPr>
        <w:t xml:space="preserve">Փորձարկվողի պատրաստման ընդունելիության եւ չափման համակարգի ապահով </w:t>
      </w:r>
      <w:r w:rsidRPr="006A12E1">
        <w:rPr>
          <w:rStyle w:val="Bodytext31Sylfaen"/>
          <w:i/>
          <w:sz w:val="24"/>
          <w:szCs w:val="24"/>
        </w:rPr>
        <w:t xml:space="preserve">ստացված </w:t>
      </w:r>
      <w:r w:rsidRPr="006A12E1">
        <w:rPr>
          <w:rStyle w:val="Bodytext31Sylfaen"/>
          <w:sz w:val="24"/>
          <w:szCs w:val="24"/>
        </w:rPr>
        <w:t>լո</w:t>
      </w:r>
      <w:r w:rsidRPr="00224FB2">
        <w:rPr>
          <w:rStyle w:val="Bodytext31Sylfaen"/>
          <w:sz w:val="24"/>
          <w:szCs w:val="24"/>
        </w:rPr>
        <w:t>ւծույթը պետք է լինի թափանցիկ:</w:t>
      </w:r>
    </w:p>
    <w:p w14:paraId="67018911" w14:textId="77777777" w:rsidR="00B834A2" w:rsidRPr="00224FB2" w:rsidRDefault="00B834A2" w:rsidP="00B834A2">
      <w:pPr>
        <w:pStyle w:val="Bodytext310"/>
        <w:shd w:val="clear" w:color="auto" w:fill="auto"/>
        <w:spacing w:after="160" w:line="360" w:lineRule="auto"/>
        <w:ind w:firstLine="567"/>
        <w:jc w:val="both"/>
        <w:rPr>
          <w:rStyle w:val="Bodytext31Sylfaen"/>
          <w:sz w:val="24"/>
          <w:szCs w:val="24"/>
        </w:rPr>
      </w:pPr>
      <w:r w:rsidRPr="006A12E1">
        <w:rPr>
          <w:rStyle w:val="Bodytext31Sylfaen23"/>
          <w:i/>
          <w:sz w:val="24"/>
          <w:szCs w:val="24"/>
        </w:rPr>
        <w:t>Չափման համակարգի համար ընդունելիության չափորոշիչները</w:t>
      </w:r>
      <w:r w:rsidRPr="00224FB2">
        <w:rPr>
          <w:rStyle w:val="Bodytext31Sylfaen23"/>
          <w:sz w:val="24"/>
          <w:szCs w:val="24"/>
        </w:rPr>
        <w:t>՝</w:t>
      </w:r>
      <w:r w:rsidRPr="00224FB2">
        <w:rPr>
          <w:rStyle w:val="Bodytext31Sylfaen"/>
          <w:sz w:val="24"/>
          <w:szCs w:val="24"/>
        </w:rPr>
        <w:t xml:space="preserve"> ստանդարտ լուծույթի տարրի չափված կոնցենտրացիան օգտագործվող ստուգաճշտման կորի վրա կոնցենտրացիաների ընդգրկույթում չպետք է տարբերվի փաստացի կոնցենտրացիայից ավելի քան 20%-ով։ </w:t>
      </w:r>
    </w:p>
    <w:p w14:paraId="40F4404B"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6A12E1">
        <w:rPr>
          <w:rStyle w:val="Bodytext31Sylfaen"/>
          <w:b/>
          <w:sz w:val="24"/>
          <w:szCs w:val="24"/>
        </w:rPr>
        <w:t>Հաշվարկ:</w:t>
      </w:r>
      <w:r w:rsidRPr="00224FB2">
        <w:rPr>
          <w:rStyle w:val="Bodytext31Sylfaen"/>
          <w:sz w:val="24"/>
          <w:szCs w:val="24"/>
        </w:rPr>
        <w:t xml:space="preserve"> Պարունակության հաշվարկի համար օգտագործում են ստուգիչ նմուշի համար ստացված եւ օգտագործվող ռեակտիվների աղտոտումը հաշվի առնող արժեք: Անալիզն ավարտելուց հետո նմուշում տվյալ տարրի կոնցենտրացիան հաշվարկում են փորձարկվող լուծույթում տարրի կոնցենտրացիայի մասով սարքի ծրագրային ապահովման օգնությամբ: Ծրագրային ապահովման կամ փորձարկման համապատասխան մեթոդի մասով ընդհանուր դեղագրքային հոդվածում հաշվարկի համար ցուցումների բացակայության դեպքում նմուշում տվյալ տարրի կոնցենտրացիան կարող է հաշվարկվել լուծույթում տարրի կոնցենտրացիայով հետեւյալ արտահայտությամբ՝</w:t>
      </w:r>
    </w:p>
    <w:p w14:paraId="75536565" w14:textId="77777777" w:rsidR="00B834A2" w:rsidRPr="00B834A2" w:rsidRDefault="00B834A2" w:rsidP="008F5B6F">
      <w:pPr>
        <w:pStyle w:val="Bodytext310"/>
        <w:shd w:val="clear" w:color="auto" w:fill="auto"/>
        <w:spacing w:after="160" w:line="346" w:lineRule="auto"/>
        <w:ind w:firstLine="567"/>
        <w:rPr>
          <w:rStyle w:val="Bodytext31Sylfaen"/>
          <w:sz w:val="24"/>
          <w:szCs w:val="24"/>
        </w:rPr>
      </w:pPr>
      <m:oMathPara>
        <m:oMath>
          <m:r>
            <w:rPr>
              <w:rStyle w:val="Bodytext31Sylfaen"/>
              <w:rFonts w:ascii="Cambria Math" w:hAnsi="Cambria Math"/>
              <w:sz w:val="24"/>
              <w:szCs w:val="24"/>
            </w:rPr>
            <m:t>C=A∙</m:t>
          </m:r>
          <m:f>
            <m:fPr>
              <m:ctrlPr>
                <w:rPr>
                  <w:rStyle w:val="Bodytext31Sylfaen"/>
                  <w:rFonts w:ascii="Cambria Math" w:hAnsi="Cambria Math"/>
                  <w:i/>
                  <w:iCs/>
                  <w:sz w:val="24"/>
                  <w:szCs w:val="24"/>
                </w:rPr>
              </m:ctrlPr>
            </m:fPr>
            <m:num>
              <m:sSub>
                <m:sSubPr>
                  <m:ctrlPr>
                    <w:rPr>
                      <w:rStyle w:val="Bodytext31Sylfaen"/>
                      <w:rFonts w:ascii="Cambria Math" w:hAnsi="Cambria Math"/>
                      <w:i/>
                      <w:iCs/>
                      <w:sz w:val="24"/>
                      <w:szCs w:val="24"/>
                    </w:rPr>
                  </m:ctrlPr>
                </m:sSubPr>
                <m:e>
                  <m:r>
                    <w:rPr>
                      <w:rStyle w:val="Bodytext31Sylfaen"/>
                      <w:rFonts w:ascii="Cambria Math" w:hAnsi="Cambria Math"/>
                      <w:sz w:val="24"/>
                      <w:szCs w:val="24"/>
                    </w:rPr>
                    <m:t>V</m:t>
                  </m:r>
                </m:e>
                <m:sub>
                  <m:r>
                    <w:rPr>
                      <w:rStyle w:val="Bodytext31Sylfaen"/>
                      <w:rFonts w:ascii="Cambria Math" w:hAnsi="Cambria Math"/>
                      <w:sz w:val="24"/>
                      <w:szCs w:val="24"/>
                    </w:rPr>
                    <m:t>1</m:t>
                  </m:r>
                </m:sub>
              </m:sSub>
            </m:num>
            <m:den>
              <m:r>
                <w:rPr>
                  <w:rStyle w:val="Bodytext31Sylfaen"/>
                  <w:rFonts w:ascii="Cambria Math" w:hAnsi="Cambria Math"/>
                  <w:sz w:val="24"/>
                  <w:szCs w:val="24"/>
                </w:rPr>
                <m:t>m</m:t>
              </m:r>
            </m:den>
          </m:f>
          <m:r>
            <w:rPr>
              <w:rStyle w:val="Bodytext31Sylfaen"/>
              <w:rFonts w:ascii="Cambria Math" w:hAnsi="Cambria Math"/>
              <w:sz w:val="24"/>
              <w:szCs w:val="24"/>
            </w:rPr>
            <m:t>∙</m:t>
          </m:r>
          <m:f>
            <m:fPr>
              <m:ctrlPr>
                <w:rPr>
                  <w:rStyle w:val="Bodytext31Sylfaen"/>
                  <w:rFonts w:ascii="Cambria Math" w:hAnsi="Cambria Math"/>
                  <w:i/>
                  <w:iCs/>
                  <w:sz w:val="24"/>
                  <w:szCs w:val="24"/>
                </w:rPr>
              </m:ctrlPr>
            </m:fPr>
            <m:num>
              <m:sSub>
                <m:sSubPr>
                  <m:ctrlPr>
                    <w:rPr>
                      <w:rStyle w:val="Bodytext31Sylfaen"/>
                      <w:rFonts w:ascii="Cambria Math" w:hAnsi="Cambria Math"/>
                      <w:i/>
                      <w:iCs/>
                      <w:sz w:val="24"/>
                      <w:szCs w:val="24"/>
                    </w:rPr>
                  </m:ctrlPr>
                </m:sSubPr>
                <m:e>
                  <m:r>
                    <w:rPr>
                      <w:rStyle w:val="Bodytext31Sylfaen"/>
                      <w:rFonts w:ascii="Cambria Math" w:hAnsi="Cambria Math"/>
                      <w:sz w:val="24"/>
                      <w:szCs w:val="24"/>
                    </w:rPr>
                    <m:t>V</m:t>
                  </m:r>
                </m:e>
                <m:sub>
                  <m:r>
                    <w:rPr>
                      <w:rStyle w:val="Bodytext31Sylfaen"/>
                      <w:rFonts w:ascii="Cambria Math" w:hAnsi="Cambria Math"/>
                      <w:sz w:val="24"/>
                      <w:szCs w:val="24"/>
                    </w:rPr>
                    <m:t>2</m:t>
                  </m:r>
                </m:sub>
              </m:sSub>
            </m:num>
            <m:den>
              <m:sSub>
                <m:sSubPr>
                  <m:ctrlPr>
                    <w:rPr>
                      <w:rStyle w:val="Bodytext31Sylfaen"/>
                      <w:rFonts w:ascii="Cambria Math" w:hAnsi="Cambria Math"/>
                      <w:i/>
                      <w:iCs/>
                      <w:sz w:val="24"/>
                      <w:szCs w:val="24"/>
                    </w:rPr>
                  </m:ctrlPr>
                </m:sSubPr>
                <m:e>
                  <m:r>
                    <w:rPr>
                      <w:rStyle w:val="Bodytext31Sylfaen"/>
                      <w:rFonts w:ascii="Cambria Math" w:hAnsi="Cambria Math"/>
                      <w:sz w:val="24"/>
                      <w:szCs w:val="24"/>
                    </w:rPr>
                    <m:t>V</m:t>
                  </m:r>
                </m:e>
                <m:sub>
                  <m:r>
                    <w:rPr>
                      <w:rStyle w:val="Bodytext31Sylfaen"/>
                      <w:rFonts w:ascii="Cambria Math" w:hAnsi="Cambria Math"/>
                      <w:sz w:val="24"/>
                      <w:szCs w:val="24"/>
                    </w:rPr>
                    <m:t>3</m:t>
                  </m:r>
                </m:sub>
              </m:sSub>
            </m:den>
          </m:f>
        </m:oMath>
      </m:oMathPara>
    </w:p>
    <w:p w14:paraId="1B65BFF7" w14:textId="77777777" w:rsidR="00224FB2" w:rsidRPr="00097504" w:rsidRDefault="00B834A2" w:rsidP="008F5B6F">
      <w:pPr>
        <w:pStyle w:val="Bodytext310"/>
        <w:shd w:val="clear" w:color="auto" w:fill="auto"/>
        <w:spacing w:after="160" w:line="346" w:lineRule="auto"/>
        <w:ind w:firstLine="567"/>
        <w:jc w:val="both"/>
        <w:rPr>
          <w:rStyle w:val="Bodytext31Sylfaen"/>
          <w:sz w:val="24"/>
          <w:szCs w:val="24"/>
        </w:rPr>
      </w:pPr>
      <w:r w:rsidRPr="00224FB2">
        <w:rPr>
          <w:rStyle w:val="Bodytext31Sylfaen"/>
          <w:sz w:val="24"/>
          <w:szCs w:val="24"/>
        </w:rPr>
        <w:lastRenderedPageBreak/>
        <w:t xml:space="preserve">որտեղ՝ </w:t>
      </w:r>
    </w:p>
    <w:p w14:paraId="29822C57"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 xml:space="preserve">С-ն՝ </w:t>
      </w:r>
      <w:r w:rsidRPr="00224FB2">
        <w:rPr>
          <w:rStyle w:val="Bodytext210pt"/>
          <w:i w:val="0"/>
          <w:sz w:val="24"/>
          <w:szCs w:val="24"/>
        </w:rPr>
        <w:t xml:space="preserve">անալիզի ենթարկվող </w:t>
      </w:r>
      <w:r w:rsidRPr="00224FB2">
        <w:rPr>
          <w:rStyle w:val="Bodytext31Sylfaen"/>
          <w:sz w:val="24"/>
          <w:szCs w:val="24"/>
        </w:rPr>
        <w:t>նմուշում տարրի կոնցենտրացիան է՝ մեկ գրամին միկրոգրամներով .</w:t>
      </w:r>
    </w:p>
    <w:p w14:paraId="01EBD5A2"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Style w:val="Bodytext31Sylfaen"/>
          <w:sz w:val="24"/>
          <w:szCs w:val="24"/>
        </w:rPr>
        <w:t>А-ն՝ սարքի ցուցմունքներով որոշված՝ լուծույթում տարրի կոնցենտրացիան՝ մեկ միլիլիտրին միկրոգրամներով.</w:t>
      </w:r>
    </w:p>
    <w:p w14:paraId="4F6F5B07"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Fonts w:ascii="Sylfaen" w:hAnsi="Sylfaen"/>
          <w:i w:val="0"/>
          <w:sz w:val="24"/>
          <w:szCs w:val="24"/>
        </w:rPr>
        <w:t xml:space="preserve">m-ը՝ ելակետային լուծույթի պատրաստման համար օգտագործվող նմուշի զանգվածը՝ գրամներով. </w:t>
      </w:r>
    </w:p>
    <w:p w14:paraId="7E03F7B4"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Fonts w:ascii="Sylfaen" w:hAnsi="Sylfaen"/>
          <w:i w:val="0"/>
          <w:sz w:val="24"/>
          <w:szCs w:val="24"/>
        </w:rPr>
        <w:t>V</w:t>
      </w:r>
      <w:r w:rsidRPr="006A12E1">
        <w:rPr>
          <w:rFonts w:ascii="Sylfaen" w:hAnsi="Sylfaen"/>
          <w:i w:val="0"/>
          <w:sz w:val="24"/>
          <w:szCs w:val="24"/>
          <w:vertAlign w:val="subscript"/>
        </w:rPr>
        <w:t>1</w:t>
      </w:r>
      <w:r w:rsidRPr="00224FB2">
        <w:rPr>
          <w:rFonts w:ascii="Sylfaen" w:hAnsi="Sylfaen"/>
          <w:i w:val="0"/>
          <w:sz w:val="24"/>
          <w:szCs w:val="24"/>
        </w:rPr>
        <w:t>-ը՝ ելակետային լուծույթի ծավալը՝միլիլիտրերով.</w:t>
      </w:r>
    </w:p>
    <w:p w14:paraId="7942B544" w14:textId="77777777" w:rsidR="00B834A2" w:rsidRPr="00224FB2" w:rsidRDefault="00B834A2" w:rsidP="008F5B6F">
      <w:pPr>
        <w:pStyle w:val="Bodytext310"/>
        <w:shd w:val="clear" w:color="auto" w:fill="auto"/>
        <w:spacing w:after="160" w:line="346" w:lineRule="auto"/>
        <w:ind w:firstLine="567"/>
        <w:jc w:val="both"/>
        <w:rPr>
          <w:rFonts w:ascii="Sylfaen" w:hAnsi="Sylfaen"/>
          <w:i w:val="0"/>
          <w:sz w:val="24"/>
          <w:szCs w:val="24"/>
        </w:rPr>
      </w:pPr>
      <w:r w:rsidRPr="00224FB2">
        <w:rPr>
          <w:rFonts w:ascii="Sylfaen" w:hAnsi="Sylfaen"/>
          <w:i w:val="0"/>
          <w:sz w:val="24"/>
          <w:szCs w:val="24"/>
        </w:rPr>
        <w:t>V</w:t>
      </w:r>
      <w:r w:rsidRPr="006A12E1">
        <w:rPr>
          <w:rFonts w:ascii="Sylfaen" w:hAnsi="Sylfaen"/>
          <w:i w:val="0"/>
          <w:sz w:val="24"/>
          <w:szCs w:val="24"/>
          <w:vertAlign w:val="subscript"/>
        </w:rPr>
        <w:t>2</w:t>
      </w:r>
      <w:r w:rsidRPr="00224FB2">
        <w:rPr>
          <w:rFonts w:ascii="Sylfaen" w:hAnsi="Sylfaen"/>
          <w:i w:val="0"/>
          <w:sz w:val="24"/>
          <w:szCs w:val="24"/>
        </w:rPr>
        <w:t xml:space="preserve">-ը՝ ելակետային լուծույթի նոսրացմամբ պատրաստված լուծույթի ընդհանուր ծավալը՝միլիլիտրերով. </w:t>
      </w:r>
    </w:p>
    <w:p w14:paraId="0F30DBBB"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Fonts w:ascii="Sylfaen" w:hAnsi="Sylfaen"/>
          <w:i w:val="0"/>
          <w:sz w:val="24"/>
          <w:szCs w:val="24"/>
        </w:rPr>
        <w:t>V</w:t>
      </w:r>
      <w:r w:rsidRPr="006A12E1">
        <w:rPr>
          <w:rFonts w:ascii="Sylfaen" w:hAnsi="Sylfaen"/>
          <w:i w:val="0"/>
          <w:sz w:val="24"/>
          <w:szCs w:val="24"/>
          <w:vertAlign w:val="subscript"/>
        </w:rPr>
        <w:t>з</w:t>
      </w:r>
      <w:r w:rsidRPr="00224FB2">
        <w:rPr>
          <w:rFonts w:ascii="Sylfaen" w:hAnsi="Sylfaen"/>
          <w:i w:val="0"/>
          <w:sz w:val="24"/>
          <w:szCs w:val="24"/>
        </w:rPr>
        <w:t>-ը՝ նոսրացման համար օգտագործվող ելակետային լուծույթի ծավալը՝ միլիլիտրերով:</w:t>
      </w:r>
    </w:p>
    <w:p w14:paraId="606A494F" w14:textId="77777777" w:rsidR="00B834A2" w:rsidRPr="00224FB2" w:rsidRDefault="00B834A2" w:rsidP="00B834A2">
      <w:pPr>
        <w:pStyle w:val="Bodytext310"/>
        <w:shd w:val="clear" w:color="auto" w:fill="auto"/>
        <w:spacing w:after="160" w:line="360" w:lineRule="auto"/>
        <w:ind w:firstLine="567"/>
        <w:jc w:val="both"/>
        <w:rPr>
          <w:rStyle w:val="Bodytext31Sylfaen"/>
          <w:sz w:val="24"/>
          <w:szCs w:val="24"/>
        </w:rPr>
      </w:pPr>
    </w:p>
    <w:p w14:paraId="688B3443" w14:textId="77777777" w:rsidR="00B834A2" w:rsidRPr="006A12E1" w:rsidRDefault="00B834A2" w:rsidP="00B834A2">
      <w:pPr>
        <w:pStyle w:val="Bodytext310"/>
        <w:shd w:val="clear" w:color="auto" w:fill="auto"/>
        <w:spacing w:after="160" w:line="360" w:lineRule="auto"/>
        <w:ind w:firstLine="567"/>
        <w:jc w:val="both"/>
        <w:rPr>
          <w:rFonts w:ascii="Sylfaen" w:hAnsi="Sylfaen"/>
          <w:b/>
          <w:i w:val="0"/>
          <w:sz w:val="24"/>
          <w:szCs w:val="24"/>
        </w:rPr>
      </w:pPr>
      <w:r w:rsidRPr="006A12E1">
        <w:rPr>
          <w:rFonts w:ascii="Sylfaen" w:hAnsi="Sylfaen"/>
          <w:b/>
          <w:i w:val="0"/>
          <w:sz w:val="24"/>
          <w:szCs w:val="24"/>
        </w:rPr>
        <w:t xml:space="preserve">ՎԱԼԻԴԱՑՄԱՆ ՊԱՀԱՆՋՆԵՐ </w:t>
      </w:r>
    </w:p>
    <w:p w14:paraId="3F60E301" w14:textId="77777777" w:rsidR="00B834A2" w:rsidRPr="00224FB2" w:rsidRDefault="00B834A2" w:rsidP="00B834A2">
      <w:pPr>
        <w:spacing w:after="160" w:line="360" w:lineRule="auto"/>
        <w:ind w:firstLine="567"/>
        <w:jc w:val="both"/>
        <w:rPr>
          <w:rStyle w:val="Bodytext31Sylfaen"/>
          <w:i w:val="0"/>
          <w:sz w:val="24"/>
          <w:szCs w:val="24"/>
        </w:rPr>
      </w:pPr>
      <w:r w:rsidRPr="00224FB2">
        <w:t xml:space="preserve">Ստորեւ ներկայացված որոշ վալիդացման պահանջներ կարող են տարբերվել ընդհանուր դեղագրքային հոդվածներում նշվածներից (օրինակ՝ </w:t>
      </w:r>
      <w:r w:rsidRPr="006A12E1">
        <w:rPr>
          <w:i/>
        </w:rPr>
        <w:t>2.1.2.21</w:t>
      </w:r>
      <w:r w:rsidRPr="00224FB2">
        <w:t xml:space="preserve"> (ԱԷՍ), </w:t>
      </w:r>
      <w:r w:rsidRPr="006A12E1">
        <w:rPr>
          <w:i/>
        </w:rPr>
        <w:t>2.1.2.22</w:t>
      </w:r>
      <w:r w:rsidRPr="00224FB2">
        <w:t xml:space="preserve"> (ԱԱՍ), </w:t>
      </w:r>
      <w:r w:rsidRPr="006A12E1">
        <w:rPr>
          <w:i/>
        </w:rPr>
        <w:t>2.1.2.41</w:t>
      </w:r>
      <w:r w:rsidRPr="00224FB2">
        <w:t xml:space="preserve"> (ԻԿՊ-ԱԷՍ</w:t>
      </w:r>
      <w:r w:rsidRPr="006A12E1">
        <w:rPr>
          <w:i/>
        </w:rPr>
        <w:t>), 2.1.2.55</w:t>
      </w:r>
      <w:r w:rsidRPr="00224FB2">
        <w:t xml:space="preserve"> (ԶՍ-ԻԿՊ)):</w:t>
      </w:r>
    </w:p>
    <w:p w14:paraId="02F17017" w14:textId="77777777" w:rsidR="00B834A2" w:rsidRPr="00DE4F37" w:rsidRDefault="00B834A2" w:rsidP="00B834A2">
      <w:pPr>
        <w:pStyle w:val="Bodytext310"/>
        <w:shd w:val="clear" w:color="auto" w:fill="auto"/>
        <w:spacing w:after="160" w:line="360" w:lineRule="auto"/>
        <w:ind w:firstLine="567"/>
        <w:jc w:val="both"/>
        <w:rPr>
          <w:rStyle w:val="Bodytext31Sylfaen"/>
          <w:sz w:val="24"/>
          <w:szCs w:val="24"/>
        </w:rPr>
      </w:pPr>
      <w:r w:rsidRPr="00224FB2">
        <w:rPr>
          <w:rStyle w:val="Bodytext31Sylfaen"/>
          <w:sz w:val="24"/>
          <w:szCs w:val="24"/>
        </w:rPr>
        <w:t>Մինչ ընտրված մեթոդիկայի կիրառումը՝ վերլուծողը պետք է ապահովի փորձանմուշի պատրաստման մեթոդիկայի եւ տարրի (տարրերի), նմուշի մատրիցի եւ օգտագործվող սարքի համար չափման եղանակի պիտանիությունը: Դա ապահովվում է մինչ առաջին կիրառումը՝ վալիդացման ընթացակարգի եւ անալիզի կատարման օրը համակարգի պիտանիության փորձարկման անցկացման միջոցով:</w:t>
      </w:r>
    </w:p>
    <w:p w14:paraId="0365C3DA"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Տարրերի խառնուկների սահմանային պարունակության մասով փորձարկման վալիդացումը պետք է ներառի սպեցիֆիկության եւ հայտնաբերման սահմանի որոշում:</w:t>
      </w:r>
    </w:p>
    <w:p w14:paraId="72173D17"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lastRenderedPageBreak/>
        <w:t>Ստորեւ բերված բաժնում որոշվում են քանակական որոշման մեթոդիկայի պիտանիության բնութագրերը: Փորձարարական եղանակով անհրաժեշտ է հաստատել, որ նման մեթոդիկան համապատասխանում է վալիդացման պահանջներին, այն նմուշի կիրառմամբ համակարգի պիտանիության մասով փորձարկման ընդունելիության պահանջներին, որում հավելվել է համապատասխան ստանդարտ նմուշ: Ստանդարտ նմուշը պետք է հավելվի փորձարկվող նմուշներ մինչ փորձանմուշների պատրաստման ցանկացած փուլի անցկացումը: Օրինակ՝ եթե փորձարկվող նմուշը ենթարկվում է տարրալուծման ընթացակարգի, ապա հավելումների ներմուծումը պետք է կատարվի այդ ընթացակարգի սկզբում:</w:t>
      </w:r>
    </w:p>
    <w:p w14:paraId="008F835A" w14:textId="77777777" w:rsidR="00224FB2" w:rsidRPr="00097504" w:rsidRDefault="00224FB2" w:rsidP="00B834A2">
      <w:pPr>
        <w:pStyle w:val="Bodytext310"/>
        <w:shd w:val="clear" w:color="auto" w:fill="auto"/>
        <w:spacing w:after="160" w:line="360" w:lineRule="auto"/>
        <w:ind w:firstLine="567"/>
        <w:jc w:val="both"/>
        <w:rPr>
          <w:rStyle w:val="Bodytext31Sylfaen23"/>
          <w:sz w:val="24"/>
          <w:szCs w:val="24"/>
        </w:rPr>
      </w:pPr>
    </w:p>
    <w:p w14:paraId="1CAEBC89" w14:textId="77777777" w:rsidR="00B834A2" w:rsidRPr="006A12E1" w:rsidRDefault="00B834A2" w:rsidP="00B834A2">
      <w:pPr>
        <w:pStyle w:val="Bodytext310"/>
        <w:shd w:val="clear" w:color="auto" w:fill="auto"/>
        <w:spacing w:after="160" w:line="360" w:lineRule="auto"/>
        <w:ind w:firstLine="567"/>
        <w:jc w:val="both"/>
        <w:rPr>
          <w:rFonts w:ascii="Sylfaen" w:hAnsi="Sylfaen"/>
          <w:i w:val="0"/>
          <w:sz w:val="24"/>
          <w:szCs w:val="24"/>
        </w:rPr>
      </w:pPr>
      <w:r w:rsidRPr="006A12E1">
        <w:rPr>
          <w:rStyle w:val="Bodytext31Sylfaen23"/>
          <w:i/>
          <w:sz w:val="24"/>
          <w:szCs w:val="24"/>
        </w:rPr>
        <w:t>ՍՊԵՑԻՖԻԿՈՒԹՅՈՒՆ</w:t>
      </w:r>
    </w:p>
    <w:p w14:paraId="76838705"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Սպեցիֆիկությունն ենթադրվող բաղադրիչների առկայությամբ (օրինակ՝ գազակիր, խառնուկներ, մատրից) տարրի (տարրերի) հուսալի որոշում ապահովելու վերլուծական մեթոդիկայի (փորձանմուշի պատրաստում եւ չափում) ունակությունն է։</w:t>
      </w:r>
    </w:p>
    <w:p w14:paraId="2EDFB973" w14:textId="77777777" w:rsidR="00B834A2" w:rsidRPr="009217DE" w:rsidRDefault="00B834A2" w:rsidP="00B834A2">
      <w:pPr>
        <w:pStyle w:val="Bodytext310"/>
        <w:shd w:val="clear" w:color="auto" w:fill="auto"/>
        <w:spacing w:after="160" w:line="360" w:lineRule="auto"/>
        <w:ind w:firstLine="567"/>
        <w:jc w:val="both"/>
        <w:rPr>
          <w:rStyle w:val="Bodytext31Sylfaen"/>
          <w:sz w:val="24"/>
          <w:szCs w:val="24"/>
        </w:rPr>
      </w:pPr>
      <w:r w:rsidRPr="00224FB2">
        <w:rPr>
          <w:rStyle w:val="Bodytext31Sylfaen23"/>
          <w:sz w:val="24"/>
          <w:szCs w:val="24"/>
        </w:rPr>
        <w:t>Ընդունելիության չափորոշիչներ՝</w:t>
      </w:r>
      <w:r w:rsidRPr="00224FB2">
        <w:rPr>
          <w:rStyle w:val="Bodytext31Sylfaen"/>
          <w:sz w:val="24"/>
          <w:szCs w:val="24"/>
        </w:rPr>
        <w:t xml:space="preserve"> մեթոդիկայի միջոցով պետք է հնարավոր լինի միանշանակ գնահատել տարրերի խառնուկները ենթադրվող տարրերի </w:t>
      </w:r>
      <w:r w:rsidRPr="000111CA">
        <w:rPr>
          <w:rStyle w:val="Bodytext31Sylfaen"/>
          <w:spacing w:val="-2"/>
          <w:sz w:val="24"/>
          <w:szCs w:val="24"/>
        </w:rPr>
        <w:t>առկայությամբ, այդ թվում՝ տարրերի այլ խառնուկների, մատրիցի բաղադրիչների եւ խանգարող</w:t>
      </w:r>
      <w:r w:rsidRPr="00224FB2">
        <w:rPr>
          <w:rStyle w:val="Bodytext31Sylfaen"/>
          <w:sz w:val="24"/>
          <w:szCs w:val="24"/>
        </w:rPr>
        <w:t xml:space="preserve"> գործոնների այլ աղբյուրների առկայությամբ. ըհաստատում են տարրի (տարրերի) որոշման ճշտության համար պահանջին համապատասխանությամբ:</w:t>
      </w:r>
    </w:p>
    <w:p w14:paraId="57DA3EED" w14:textId="77777777" w:rsidR="00040909" w:rsidRPr="009217DE" w:rsidRDefault="00040909" w:rsidP="00B834A2">
      <w:pPr>
        <w:pStyle w:val="Bodytext310"/>
        <w:shd w:val="clear" w:color="auto" w:fill="auto"/>
        <w:spacing w:after="160" w:line="360" w:lineRule="auto"/>
        <w:ind w:firstLine="567"/>
        <w:jc w:val="both"/>
        <w:rPr>
          <w:rFonts w:ascii="Sylfaen" w:hAnsi="Sylfaen"/>
          <w:i w:val="0"/>
          <w:sz w:val="24"/>
          <w:szCs w:val="24"/>
        </w:rPr>
      </w:pPr>
    </w:p>
    <w:p w14:paraId="6AACF53E" w14:textId="77777777" w:rsidR="00B834A2" w:rsidRPr="006A12E1" w:rsidRDefault="00B834A2" w:rsidP="00B834A2">
      <w:pPr>
        <w:pStyle w:val="Bodytext310"/>
        <w:shd w:val="clear" w:color="auto" w:fill="auto"/>
        <w:spacing w:after="160" w:line="360" w:lineRule="auto"/>
        <w:ind w:firstLine="567"/>
        <w:jc w:val="both"/>
        <w:rPr>
          <w:rFonts w:ascii="Sylfaen" w:hAnsi="Sylfaen"/>
          <w:i w:val="0"/>
          <w:sz w:val="24"/>
          <w:szCs w:val="24"/>
        </w:rPr>
      </w:pPr>
      <w:r w:rsidRPr="006A12E1">
        <w:rPr>
          <w:rStyle w:val="Bodytext31Sylfaen23"/>
          <w:i/>
          <w:sz w:val="24"/>
          <w:szCs w:val="24"/>
        </w:rPr>
        <w:t>ԿԻՐԱՌՄԱՆ ԸՆԴԳՐԿՈՒՅԹ</w:t>
      </w:r>
    </w:p>
    <w:p w14:paraId="084941FD" w14:textId="77777777" w:rsidR="00B834A2" w:rsidRPr="0058052E" w:rsidRDefault="00B834A2" w:rsidP="00B834A2">
      <w:pPr>
        <w:pStyle w:val="Bodytext310"/>
        <w:shd w:val="clear" w:color="auto" w:fill="auto"/>
        <w:spacing w:after="160" w:line="360" w:lineRule="auto"/>
        <w:ind w:firstLine="567"/>
        <w:jc w:val="both"/>
        <w:rPr>
          <w:rStyle w:val="Bodytext31Sylfaen"/>
          <w:sz w:val="24"/>
          <w:szCs w:val="24"/>
        </w:rPr>
      </w:pPr>
      <w:r w:rsidRPr="00224FB2">
        <w:rPr>
          <w:rStyle w:val="Bodytext31Sylfaen23"/>
          <w:sz w:val="24"/>
          <w:szCs w:val="24"/>
        </w:rPr>
        <w:t>Ընդունելիության չափորոշիչներ՝</w:t>
      </w:r>
      <w:r w:rsidRPr="00224FB2">
        <w:rPr>
          <w:rStyle w:val="Bodytext31Sylfaen"/>
          <w:sz w:val="24"/>
          <w:szCs w:val="24"/>
        </w:rPr>
        <w:t xml:space="preserve"> որոշվող կոնցենտրացիաների ընդգրկույթը հաստատում են բացելիության մեծության համար պահանջին համապատասխանությամբ:</w:t>
      </w:r>
    </w:p>
    <w:p w14:paraId="7D75410D" w14:textId="77777777" w:rsidR="000111CA" w:rsidRPr="0058052E" w:rsidRDefault="000111CA" w:rsidP="00B834A2">
      <w:pPr>
        <w:pStyle w:val="Bodytext310"/>
        <w:shd w:val="clear" w:color="auto" w:fill="auto"/>
        <w:spacing w:after="160" w:line="360" w:lineRule="auto"/>
        <w:ind w:firstLine="567"/>
        <w:jc w:val="both"/>
        <w:rPr>
          <w:rFonts w:ascii="Sylfaen" w:hAnsi="Sylfaen"/>
          <w:i w:val="0"/>
          <w:sz w:val="24"/>
          <w:szCs w:val="24"/>
        </w:rPr>
      </w:pPr>
    </w:p>
    <w:p w14:paraId="164D8E21" w14:textId="77777777" w:rsidR="00B834A2" w:rsidRPr="00040909" w:rsidRDefault="00B834A2" w:rsidP="00B834A2">
      <w:pPr>
        <w:pStyle w:val="Bodytext310"/>
        <w:shd w:val="clear" w:color="auto" w:fill="auto"/>
        <w:spacing w:after="160" w:line="360" w:lineRule="auto"/>
        <w:ind w:firstLine="567"/>
        <w:jc w:val="both"/>
        <w:rPr>
          <w:rFonts w:ascii="Sylfaen" w:hAnsi="Sylfaen"/>
          <w:i w:val="0"/>
          <w:sz w:val="24"/>
          <w:szCs w:val="24"/>
        </w:rPr>
      </w:pPr>
      <w:r w:rsidRPr="00040909">
        <w:rPr>
          <w:rStyle w:val="Bodytext31Sylfaen23"/>
          <w:i/>
          <w:sz w:val="24"/>
          <w:szCs w:val="24"/>
        </w:rPr>
        <w:lastRenderedPageBreak/>
        <w:t>ՃՇՏՈՒԹՅՈՒՆ</w:t>
      </w:r>
    </w:p>
    <w:p w14:paraId="38524BF3" w14:textId="77777777" w:rsidR="00B834A2" w:rsidRPr="00224FB2" w:rsidRDefault="00B834A2" w:rsidP="00B834A2">
      <w:pPr>
        <w:pStyle w:val="Bodytext310"/>
        <w:shd w:val="clear" w:color="auto" w:fill="auto"/>
        <w:spacing w:after="160" w:line="360" w:lineRule="auto"/>
        <w:ind w:firstLine="567"/>
        <w:jc w:val="both"/>
        <w:rPr>
          <w:rFonts w:ascii="Sylfaen" w:hAnsi="Sylfaen"/>
          <w:i w:val="0"/>
          <w:sz w:val="24"/>
          <w:szCs w:val="24"/>
        </w:rPr>
      </w:pPr>
      <w:r w:rsidRPr="00224FB2">
        <w:rPr>
          <w:rStyle w:val="Bodytext31Sylfaen"/>
          <w:sz w:val="24"/>
          <w:szCs w:val="24"/>
        </w:rPr>
        <w:t xml:space="preserve">Ճշտությունը հաստատում են սպեցիֆիկացված ստանդարտ նմուշի օգնությամբ կամ բացելիության մասով փորձարկման կատարման միջոցով: </w:t>
      </w:r>
      <w:r w:rsidRPr="00224FB2">
        <w:rPr>
          <w:rFonts w:ascii="Sylfaen" w:hAnsi="Sylfaen"/>
          <w:i w:val="0"/>
          <w:sz w:val="24"/>
          <w:szCs w:val="24"/>
        </w:rPr>
        <w:t>Թույլատրվում է տարրերի սահմանային պարունակության մասով փորձարկումների համար ստանդարտ լուծույթների օգտագործում (2.2.1.2):</w:t>
      </w:r>
    </w:p>
    <w:p w14:paraId="48387973" w14:textId="77777777" w:rsidR="00B834A2" w:rsidRPr="00B834A2" w:rsidRDefault="00000000" w:rsidP="00B834A2">
      <w:pPr>
        <w:spacing w:after="160" w:line="360" w:lineRule="auto"/>
        <w:jc w:val="center"/>
      </w:pPr>
      <w:r>
        <w:rPr>
          <w:noProof/>
          <w:lang w:val="en-US" w:eastAsia="en-US" w:bidi="ar-SA"/>
        </w:rPr>
        <w:lastRenderedPageBreak/>
        <w:pict w14:anchorId="1B47C53C">
          <v:group id="_x0000_s1393" style="position:absolute;left:0;text-align:left;margin-left:20.9pt;margin-top:71.2pt;width:397.2pt;height:530.15pt;z-index:251882496" coordorigin="1836,2842" coordsize="7944,10603">
            <v:shape id="_x0000_s1093" type="#_x0000_t202" style="position:absolute;left:6618;top:2914;width:512;height:226;mso-height-percent:200;mso-height-percent:200;mso-width-relative:margin;mso-height-relative:margin" fillcolor="white [3212]" strokecolor="white [3212]">
              <v:textbox style="mso-next-textbox:#_x0000_s1093;mso-fit-shape-to-text:t" inset="0,0,0,0">
                <w:txbxContent>
                  <w:p w14:paraId="5D7949BA" w14:textId="77777777" w:rsidR="008D6E8B" w:rsidRPr="00FF7722" w:rsidRDefault="008D6E8B" w:rsidP="00B834A2">
                    <w:pPr>
                      <w:jc w:val="center"/>
                      <w:rPr>
                        <w:sz w:val="16"/>
                        <w:szCs w:val="16"/>
                      </w:rPr>
                    </w:pPr>
                    <w:r>
                      <w:rPr>
                        <w:sz w:val="16"/>
                      </w:rPr>
                      <w:t>Այո</w:t>
                    </w:r>
                  </w:p>
                </w:txbxContent>
              </v:textbox>
            </v:shape>
            <v:shape id="_x0000_s1094" type="#_x0000_t202" style="position:absolute;left:4564;top:5990;width:410;height:344;mso-width-relative:margin;mso-height-relative:margin" fillcolor="white [3212]" strokecolor="white [3212]">
              <v:textbox style="mso-next-textbox:#_x0000_s1094" inset="0,0,0,0">
                <w:txbxContent>
                  <w:p w14:paraId="6A9412C8" w14:textId="77777777" w:rsidR="008D6E8B" w:rsidRPr="00FF7722" w:rsidRDefault="008D6E8B" w:rsidP="00B834A2">
                    <w:pPr>
                      <w:jc w:val="center"/>
                      <w:rPr>
                        <w:sz w:val="16"/>
                        <w:szCs w:val="16"/>
                      </w:rPr>
                    </w:pPr>
                    <w:r>
                      <w:rPr>
                        <w:sz w:val="16"/>
                      </w:rPr>
                      <w:t>Այո</w:t>
                    </w:r>
                  </w:p>
                </w:txbxContent>
              </v:textbox>
            </v:shape>
            <v:shape id="_x0000_s1095" type="#_x0000_t202" style="position:absolute;left:4992;top:7868;width:462;height:226;mso-height-percent:200;mso-height-percent:200;mso-width-relative:margin;mso-height-relative:margin" fillcolor="white [3212]" strokecolor="white [3212]">
              <v:textbox style="mso-next-textbox:#_x0000_s1095;mso-fit-shape-to-text:t" inset="0,0,0,0">
                <w:txbxContent>
                  <w:p w14:paraId="4323FD46" w14:textId="77777777" w:rsidR="008D6E8B" w:rsidRPr="00FF7722" w:rsidRDefault="008D6E8B" w:rsidP="00B834A2">
                    <w:pPr>
                      <w:jc w:val="center"/>
                      <w:rPr>
                        <w:sz w:val="16"/>
                        <w:szCs w:val="16"/>
                      </w:rPr>
                    </w:pPr>
                    <w:r>
                      <w:rPr>
                        <w:sz w:val="16"/>
                      </w:rPr>
                      <w:t>Այո</w:t>
                    </w:r>
                  </w:p>
                </w:txbxContent>
              </v:textbox>
            </v:shape>
            <v:shape id="_x0000_s1096" type="#_x0000_t202" style="position:absolute;left:4073;top:9449;width:500;height:331;mso-width-relative:margin;mso-height-relative:margin" fillcolor="white [3212]" strokecolor="white [3212]">
              <v:textbox style="mso-next-textbox:#_x0000_s1096" inset="0,0,0,0">
                <w:txbxContent>
                  <w:p w14:paraId="74F0EF76" w14:textId="77777777" w:rsidR="008D6E8B" w:rsidRPr="009D2E54" w:rsidRDefault="008D6E8B" w:rsidP="00B834A2">
                    <w:pPr>
                      <w:jc w:val="center"/>
                      <w:rPr>
                        <w:sz w:val="14"/>
                        <w:szCs w:val="16"/>
                      </w:rPr>
                    </w:pPr>
                    <w:r w:rsidRPr="009D2E54">
                      <w:rPr>
                        <w:sz w:val="14"/>
                      </w:rPr>
                      <w:t>Այո</w:t>
                    </w:r>
                  </w:p>
                </w:txbxContent>
              </v:textbox>
            </v:shape>
            <v:shape id="_x0000_s1097" type="#_x0000_t202" style="position:absolute;left:1836;top:8513;width:435;height:353;mso-width-relative:margin;mso-height-relative:margin" fillcolor="white [3212]" strokecolor="white [3212]">
              <v:textbox style="mso-next-textbox:#_x0000_s1097" inset="0,0,0,0">
                <w:txbxContent>
                  <w:p w14:paraId="035B1A7C" w14:textId="77777777" w:rsidR="008D6E8B" w:rsidRPr="00FF7722" w:rsidRDefault="008D6E8B" w:rsidP="00B834A2">
                    <w:pPr>
                      <w:jc w:val="center"/>
                      <w:rPr>
                        <w:sz w:val="16"/>
                        <w:szCs w:val="16"/>
                      </w:rPr>
                    </w:pPr>
                    <w:r>
                      <w:rPr>
                        <w:sz w:val="16"/>
                      </w:rPr>
                      <w:t>Այո</w:t>
                    </w:r>
                  </w:p>
                </w:txbxContent>
              </v:textbox>
            </v:shape>
            <v:shape id="_x0000_s1098" type="#_x0000_t202" style="position:absolute;left:7820;top:12568;width:436;height:340;mso-width-relative:margin;mso-height-relative:margin" fillcolor="white [3212]" strokecolor="white [3212]">
              <v:textbox style="mso-next-textbox:#_x0000_s1098" inset="0,0,0,0">
                <w:txbxContent>
                  <w:p w14:paraId="6288F3A3" w14:textId="77777777" w:rsidR="008D6E8B" w:rsidRPr="00FF7722" w:rsidRDefault="008D6E8B" w:rsidP="00B834A2">
                    <w:pPr>
                      <w:jc w:val="center"/>
                      <w:rPr>
                        <w:sz w:val="16"/>
                        <w:szCs w:val="16"/>
                      </w:rPr>
                    </w:pPr>
                    <w:r>
                      <w:rPr>
                        <w:sz w:val="16"/>
                      </w:rPr>
                      <w:t>Այո</w:t>
                    </w:r>
                  </w:p>
                </w:txbxContent>
              </v:textbox>
            </v:shape>
            <v:shape id="_x0000_s1100" type="#_x0000_t202" style="position:absolute;left:2758;top:5468;width:457;height:226;mso-height-percent:200;mso-height-percent:200;mso-width-relative:margin;mso-height-relative:margin" fillcolor="white [3212]" strokecolor="white [3212]">
              <v:textbox style="mso-next-textbox:#_x0000_s1100;mso-fit-shape-to-text:t" inset="0,0,0,0">
                <w:txbxContent>
                  <w:p w14:paraId="49D4756F" w14:textId="77777777" w:rsidR="008D6E8B" w:rsidRPr="00FF7722" w:rsidRDefault="008D6E8B" w:rsidP="00B834A2">
                    <w:pPr>
                      <w:jc w:val="center"/>
                      <w:rPr>
                        <w:sz w:val="16"/>
                        <w:szCs w:val="16"/>
                      </w:rPr>
                    </w:pPr>
                    <w:r>
                      <w:rPr>
                        <w:sz w:val="16"/>
                      </w:rPr>
                      <w:t>Ոչ</w:t>
                    </w:r>
                  </w:p>
                </w:txbxContent>
              </v:textbox>
            </v:shape>
            <v:shape id="_x0000_s1101" type="#_x0000_t202" style="position:absolute;left:3410;top:2842;width:412;height:280;mso-width-relative:margin;mso-height-relative:margin" fillcolor="white [3212]" strokecolor="white [3212]">
              <v:textbox style="mso-next-textbox:#_x0000_s1101" inset="0,0,0,0">
                <w:txbxContent>
                  <w:p w14:paraId="7264E5CC" w14:textId="77777777" w:rsidR="008D6E8B" w:rsidRPr="00FF7722" w:rsidRDefault="008D6E8B" w:rsidP="00B834A2">
                    <w:pPr>
                      <w:jc w:val="center"/>
                      <w:rPr>
                        <w:sz w:val="16"/>
                        <w:szCs w:val="16"/>
                      </w:rPr>
                    </w:pPr>
                    <w:r>
                      <w:rPr>
                        <w:sz w:val="16"/>
                      </w:rPr>
                      <w:t>Ոչ</w:t>
                    </w:r>
                  </w:p>
                </w:txbxContent>
              </v:textbox>
            </v:shape>
            <v:shape id="_x0000_s1102" type="#_x0000_t202" style="position:absolute;left:6512;top:6126;width:478;height:226;mso-height-percent:200;mso-height-percent:200;mso-width-relative:margin;mso-height-relative:margin" fillcolor="white [3212]" strokecolor="white [3212]">
              <v:textbox style="mso-next-textbox:#_x0000_s1102;mso-fit-shape-to-text:t" inset="0,0,0,0">
                <w:txbxContent>
                  <w:p w14:paraId="1A352D92" w14:textId="77777777" w:rsidR="008D6E8B" w:rsidRPr="00FF7722" w:rsidRDefault="008D6E8B" w:rsidP="00B834A2">
                    <w:pPr>
                      <w:jc w:val="center"/>
                      <w:rPr>
                        <w:sz w:val="16"/>
                        <w:szCs w:val="16"/>
                      </w:rPr>
                    </w:pPr>
                    <w:r>
                      <w:rPr>
                        <w:sz w:val="16"/>
                      </w:rPr>
                      <w:t>Ոչ</w:t>
                    </w:r>
                  </w:p>
                </w:txbxContent>
              </v:textbox>
            </v:shape>
            <v:shape id="_x0000_s1103" type="#_x0000_t202" style="position:absolute;left:2683;top:7140;width:525;height:348;mso-width-relative:margin;mso-height-relative:margin" fillcolor="white [3212]" strokecolor="white [3212]">
              <v:textbox style="mso-next-textbox:#_x0000_s1103" inset="0,0,0,0">
                <w:txbxContent>
                  <w:p w14:paraId="052B29E4" w14:textId="77777777" w:rsidR="008D6E8B" w:rsidRPr="00FF7722" w:rsidRDefault="008D6E8B" w:rsidP="00B834A2">
                    <w:pPr>
                      <w:jc w:val="center"/>
                      <w:rPr>
                        <w:sz w:val="16"/>
                        <w:szCs w:val="16"/>
                      </w:rPr>
                    </w:pPr>
                    <w:r>
                      <w:rPr>
                        <w:sz w:val="16"/>
                      </w:rPr>
                      <w:t>Ոչ</w:t>
                    </w:r>
                  </w:p>
                </w:txbxContent>
              </v:textbox>
            </v:shape>
            <v:shape id="_x0000_s1104" type="#_x0000_t202" style="position:absolute;left:2758;top:9001;width:467;height:295;mso-width-relative:margin;mso-height-relative:margin" fillcolor="white [3212]" strokecolor="white [3212]">
              <v:textbox style="mso-next-textbox:#_x0000_s1104" inset="0,0,0,0">
                <w:txbxContent>
                  <w:p w14:paraId="7418AF0C" w14:textId="77777777" w:rsidR="008D6E8B" w:rsidRPr="00FF7722" w:rsidRDefault="008D6E8B" w:rsidP="00B834A2">
                    <w:pPr>
                      <w:jc w:val="center"/>
                      <w:rPr>
                        <w:sz w:val="16"/>
                        <w:szCs w:val="16"/>
                      </w:rPr>
                    </w:pPr>
                    <w:r>
                      <w:rPr>
                        <w:sz w:val="16"/>
                      </w:rPr>
                      <w:t>Ոչ</w:t>
                    </w:r>
                  </w:p>
                </w:txbxContent>
              </v:textbox>
            </v:shape>
            <v:shape id="_x0000_s1105" type="#_x0000_t202" style="position:absolute;left:3840;top:10772;width:528;height:330;mso-width-relative:margin;mso-height-relative:margin" fillcolor="white [3212]" strokecolor="white [3212]">
              <v:textbox style="mso-next-textbox:#_x0000_s1105" inset="0,0,0,0">
                <w:txbxContent>
                  <w:p w14:paraId="11BE1BE4" w14:textId="77777777" w:rsidR="008D6E8B" w:rsidRPr="00FF7722" w:rsidRDefault="008D6E8B" w:rsidP="00B834A2">
                    <w:pPr>
                      <w:jc w:val="center"/>
                      <w:rPr>
                        <w:sz w:val="16"/>
                        <w:szCs w:val="16"/>
                      </w:rPr>
                    </w:pPr>
                    <w:r>
                      <w:rPr>
                        <w:sz w:val="16"/>
                      </w:rPr>
                      <w:t>Ոչ</w:t>
                    </w:r>
                  </w:p>
                </w:txbxContent>
              </v:textbox>
            </v:shape>
            <v:shape id="_x0000_s1106" type="#_x0000_t202" style="position:absolute;left:8378;top:11670;width:471;height:410;mso-width-relative:margin;mso-height-relative:margin" fillcolor="white [3212]" strokecolor="white [3212]">
              <v:textbox style="mso-next-textbox:#_x0000_s1106" inset="0,0,0,0">
                <w:txbxContent>
                  <w:p w14:paraId="5CDDDFA9" w14:textId="77777777" w:rsidR="008D6E8B" w:rsidRPr="00FF7722" w:rsidRDefault="008D6E8B" w:rsidP="00B834A2">
                    <w:pPr>
                      <w:jc w:val="center"/>
                      <w:rPr>
                        <w:sz w:val="16"/>
                        <w:szCs w:val="16"/>
                      </w:rPr>
                    </w:pPr>
                    <w:r>
                      <w:rPr>
                        <w:sz w:val="16"/>
                      </w:rPr>
                      <w:t>Ոչ</w:t>
                    </w:r>
                  </w:p>
                </w:txbxContent>
              </v:textbox>
            </v:shape>
            <v:shape id="_x0000_s1107" type="#_x0000_t202" style="position:absolute;left:4679;top:2896;width:1246;height:647;mso-width-relative:margin;mso-height-relative:margin" fillcolor="white [3212]" strokecolor="white [3212]">
              <v:textbox style="mso-next-textbox:#_x0000_s1107" inset="0,0,0,0">
                <w:txbxContent>
                  <w:p w14:paraId="406446D3" w14:textId="77777777" w:rsidR="008D6E8B" w:rsidRPr="00224FB2" w:rsidRDefault="008D6E8B" w:rsidP="00B834A2">
                    <w:pPr>
                      <w:jc w:val="center"/>
                      <w:rPr>
                        <w:sz w:val="10"/>
                        <w:szCs w:val="16"/>
                      </w:rPr>
                    </w:pPr>
                    <w:r w:rsidRPr="00224FB2">
                      <w:rPr>
                        <w:rStyle w:val="Bodytext2Arial1"/>
                        <w:rFonts w:ascii="Sylfaen" w:hAnsi="Sylfaen"/>
                        <w:sz w:val="10"/>
                        <w:szCs w:val="16"/>
                      </w:rPr>
                      <w:t>Նկարագրվա՞ծ է արդյոք մեթոդիկան մասնավոր դեղագրքային հոդվածում:</w:t>
                    </w:r>
                  </w:p>
                </w:txbxContent>
              </v:textbox>
            </v:shape>
            <v:shape id="_x0000_s1108" type="#_x0000_t202" style="position:absolute;left:2912;top:4205;width:993;height:726;mso-width-relative:margin;mso-height-relative:margin" fillcolor="white [3212]" strokecolor="white [3212]">
              <v:textbox style="mso-next-textbox:#_x0000_s1108" inset="0,0,0,0">
                <w:txbxContent>
                  <w:p w14:paraId="64244595" w14:textId="77777777" w:rsidR="008D6E8B" w:rsidRPr="00224FB2" w:rsidRDefault="008D6E8B" w:rsidP="00B834A2">
                    <w:pPr>
                      <w:jc w:val="center"/>
                      <w:rPr>
                        <w:sz w:val="10"/>
                        <w:szCs w:val="16"/>
                      </w:rPr>
                    </w:pPr>
                    <w:r w:rsidRPr="00224FB2">
                      <w:rPr>
                        <w:rStyle w:val="Bodytext2Arial1"/>
                        <w:rFonts w:ascii="Sylfaen" w:hAnsi="Sylfaen"/>
                        <w:sz w:val="10"/>
                        <w:szCs w:val="16"/>
                      </w:rPr>
                      <w:t>Պիտանի՞ է արդյոք նմուշը ուղղակի անալիզի համար:</w:t>
                    </w:r>
                  </w:p>
                </w:txbxContent>
              </v:textbox>
            </v:shape>
            <v:shape id="_x0000_s1109" type="#_x0000_t202" style="position:absolute;left:6609;top:4326;width:971;height:605;mso-width-relative:margin;mso-height-relative:margin" fillcolor="white [3212]" strokecolor="white [3212]">
              <v:textbox style="mso-next-textbox:#_x0000_s1109" inset="0,0,0,0">
                <w:txbxContent>
                  <w:p w14:paraId="14852593" w14:textId="77777777" w:rsidR="008D6E8B" w:rsidRPr="00224FB2" w:rsidRDefault="008D6E8B" w:rsidP="00B834A2">
                    <w:pPr>
                      <w:jc w:val="center"/>
                      <w:rPr>
                        <w:sz w:val="10"/>
                        <w:szCs w:val="16"/>
                      </w:rPr>
                    </w:pPr>
                    <w:r w:rsidRPr="00224FB2">
                      <w:rPr>
                        <w:rStyle w:val="Bodytext2Arial1"/>
                        <w:rFonts w:ascii="Sylfaen" w:hAnsi="Sylfaen"/>
                        <w:sz w:val="10"/>
                        <w:szCs w:val="16"/>
                      </w:rPr>
                      <w:t>Պիտանի՞ է արդյոք նմուշը ուղղակի անալիզի համար:</w:t>
                    </w:r>
                  </w:p>
                </w:txbxContent>
              </v:textbox>
            </v:shape>
            <v:shape id="_x0000_s1110" type="#_x0000_t202" style="position:absolute;left:2966;top:6117;width:939;height:553;mso-width-relative:margin;mso-height-relative:margin" fillcolor="white [3212]" strokecolor="white [3212]">
              <v:textbox style="mso-next-textbox:#_x0000_s1110" inset="0,0,0,0">
                <w:txbxContent>
                  <w:p w14:paraId="258A82A6" w14:textId="77777777" w:rsidR="008D6E8B" w:rsidRPr="009D2E54" w:rsidRDefault="008D6E8B" w:rsidP="00B834A2">
                    <w:pPr>
                      <w:jc w:val="center"/>
                      <w:rPr>
                        <w:sz w:val="10"/>
                        <w:szCs w:val="16"/>
                      </w:rPr>
                    </w:pPr>
                    <w:r w:rsidRPr="009D2E54">
                      <w:rPr>
                        <w:rStyle w:val="Bodytext2Arial1"/>
                        <w:rFonts w:ascii="Sylfaen" w:hAnsi="Sylfaen"/>
                        <w:sz w:val="10"/>
                        <w:szCs w:val="16"/>
                      </w:rPr>
                      <w:t>Լուծվո՞ւմ է արդյոք ջրային միջավայրում:</w:t>
                    </w:r>
                  </w:p>
                </w:txbxContent>
              </v:textbox>
            </v:shape>
            <v:shape id="_x0000_s1111" type="#_x0000_t202" style="position:absolute;left:2912;top:7859;width:1074;height:654;mso-width-relative:margin;mso-height-relative:margin" fillcolor="white [3212]" strokecolor="white [3212]">
              <v:textbox style="mso-next-textbox:#_x0000_s1111" inset="0,0,0,0">
                <w:txbxContent>
                  <w:p w14:paraId="48EF5A34" w14:textId="77777777" w:rsidR="008D6E8B" w:rsidRPr="009D2E54" w:rsidRDefault="008D6E8B" w:rsidP="00B834A2">
                    <w:pPr>
                      <w:jc w:val="center"/>
                      <w:rPr>
                        <w:sz w:val="10"/>
                        <w:szCs w:val="16"/>
                      </w:rPr>
                    </w:pPr>
                    <w:r w:rsidRPr="009D2E54">
                      <w:rPr>
                        <w:rStyle w:val="Bodytext2Arial1"/>
                        <w:rFonts w:ascii="Sylfaen" w:hAnsi="Sylfaen"/>
                        <w:sz w:val="10"/>
                        <w:szCs w:val="16"/>
                      </w:rPr>
                      <w:t>Լուծվո՞ւմ է արդյոք միացությունը օրգանական միջավայրում</w:t>
                    </w:r>
                    <w:r w:rsidRPr="009D2E54">
                      <w:rPr>
                        <w:rStyle w:val="Bodytext2Arial1"/>
                        <w:sz w:val="10"/>
                        <w:szCs w:val="16"/>
                      </w:rPr>
                      <w:t>:</w:t>
                    </w:r>
                  </w:p>
                </w:txbxContent>
              </v:textbox>
            </v:shape>
            <v:shape id="_x0000_s1112" type="#_x0000_t202" style="position:absolute;left:6094;top:8726;width:1152;height:570;mso-width-relative:margin;mso-height-relative:margin" fillcolor="white [3212]" strokecolor="white [3212]">
              <v:textbox style="mso-next-textbox:#_x0000_s1112" inset="0,0,0,0">
                <w:txbxContent>
                  <w:p w14:paraId="206320FD" w14:textId="77777777" w:rsidR="008D6E8B" w:rsidRPr="009D2E54" w:rsidRDefault="008D6E8B" w:rsidP="00B834A2">
                    <w:pPr>
                      <w:jc w:val="center"/>
                      <w:rPr>
                        <w:szCs w:val="16"/>
                      </w:rPr>
                    </w:pPr>
                    <w:r w:rsidRPr="009D2E54">
                      <w:rPr>
                        <w:rStyle w:val="Bodytext2Arial1"/>
                        <w:rFonts w:ascii="Sylfaen" w:hAnsi="Sylfaen"/>
                        <w:sz w:val="10"/>
                      </w:rPr>
                      <w:t>Պատրաստում են նմուշի լուծույթներ</w:t>
                    </w:r>
                  </w:p>
                </w:txbxContent>
              </v:textbox>
            </v:shape>
            <v:shape id="_x0000_s1113" type="#_x0000_t202" style="position:absolute;left:2912;top:9713;width:1074;height:540;mso-width-relative:margin;mso-height-relative:margin" fillcolor="white [3212]" strokecolor="white [3212]">
              <v:textbox style="mso-next-textbox:#_x0000_s1113" inset="0,0,0,0">
                <w:txbxContent>
                  <w:p w14:paraId="7ECA7368" w14:textId="77777777" w:rsidR="008D6E8B" w:rsidRPr="009D2E54" w:rsidRDefault="008D6E8B" w:rsidP="00B834A2">
                    <w:pPr>
                      <w:jc w:val="center"/>
                      <w:rPr>
                        <w:sz w:val="16"/>
                        <w:szCs w:val="16"/>
                      </w:rPr>
                    </w:pPr>
                    <w:r w:rsidRPr="009D2E54">
                      <w:rPr>
                        <w:rStyle w:val="Bodytext2Arial1"/>
                        <w:rFonts w:ascii="Sylfaen" w:hAnsi="Sylfaen"/>
                        <w:sz w:val="10"/>
                      </w:rPr>
                      <w:t>Արդյո՞ք նյութերը ցնդող են:</w:t>
                    </w:r>
                  </w:p>
                </w:txbxContent>
              </v:textbox>
            </v:shape>
            <v:shape id="_x0000_s1114" type="#_x0000_t202" style="position:absolute;left:4679;top:9713;width:1323;height:677;mso-width-relative:margin;mso-height-relative:margin" fillcolor="white [3212]" strokecolor="white [3212]">
              <v:textbox style="mso-next-textbox:#_x0000_s1114" inset="0,0,0,0">
                <w:txbxContent>
                  <w:p w14:paraId="01E49470" w14:textId="77777777" w:rsidR="008D6E8B" w:rsidRPr="009D2E54" w:rsidRDefault="008D6E8B" w:rsidP="00B834A2">
                    <w:pPr>
                      <w:jc w:val="center"/>
                      <w:rPr>
                        <w:sz w:val="20"/>
                        <w:szCs w:val="16"/>
                      </w:rPr>
                    </w:pPr>
                    <w:r w:rsidRPr="009D2E54">
                      <w:rPr>
                        <w:rStyle w:val="Bodytext2Arial1"/>
                        <w:rFonts w:ascii="Sylfaen" w:hAnsi="Sylfaen"/>
                        <w:sz w:val="12"/>
                      </w:rPr>
                      <w:t>Անկացնում են տարրալուծում փակ անոթում</w:t>
                    </w:r>
                  </w:p>
                </w:txbxContent>
              </v:textbox>
            </v:shape>
            <v:shape id="_x0000_s1115" type="#_x0000_t202" style="position:absolute;left:8228;top:10123;width:1552;height:483;mso-width-relative:margin;mso-height-relative:margin" fillcolor="white [3212]" strokecolor="white [3212]">
              <v:textbox style="mso-next-textbox:#_x0000_s1115" inset="0,0,0,0">
                <w:txbxContent>
                  <w:p w14:paraId="7F51F867" w14:textId="77777777" w:rsidR="008D6E8B" w:rsidRPr="009D2E54" w:rsidRDefault="008D6E8B" w:rsidP="00B834A2">
                    <w:pPr>
                      <w:jc w:val="center"/>
                      <w:rPr>
                        <w:sz w:val="10"/>
                        <w:szCs w:val="16"/>
                      </w:rPr>
                    </w:pPr>
                    <w:r w:rsidRPr="009D2E54">
                      <w:rPr>
                        <w:rStyle w:val="Bodytext2Arial1"/>
                        <w:rFonts w:ascii="Sylfaen" w:hAnsi="Sylfaen"/>
                        <w:sz w:val="10"/>
                        <w:szCs w:val="16"/>
                      </w:rPr>
                      <w:t xml:space="preserve">Անցկացնում են մեթոդիկայի և (կամ) սարքի վերիֆիկացում </w:t>
                    </w:r>
                  </w:p>
                </w:txbxContent>
              </v:textbox>
            </v:shape>
            <v:shape id="_x0000_s1116" type="#_x0000_t202" style="position:absolute;left:4679;top:10992;width:1504;height:505;mso-width-relative:margin;mso-height-relative:margin" fillcolor="white [3212]" strokecolor="white [3212]">
              <v:textbox style="mso-next-textbox:#_x0000_s1116" inset="0,0,0,0">
                <w:txbxContent>
                  <w:p w14:paraId="2F69BBE4" w14:textId="77777777" w:rsidR="008D6E8B" w:rsidRPr="009D2E54" w:rsidRDefault="008D6E8B" w:rsidP="00B834A2">
                    <w:pPr>
                      <w:jc w:val="center"/>
                      <w:rPr>
                        <w:sz w:val="18"/>
                        <w:szCs w:val="16"/>
                      </w:rPr>
                    </w:pPr>
                    <w:r w:rsidRPr="009D2E54">
                      <w:rPr>
                        <w:rStyle w:val="Bodytext2Arial1"/>
                        <w:rFonts w:ascii="Sylfaen" w:hAnsi="Sylfaen"/>
                        <w:sz w:val="10"/>
                      </w:rPr>
                      <w:t>Անցկացնում են տարրալուծում բաց կամ փակ անոթում կամ մոխրացում</w:t>
                    </w:r>
                  </w:p>
                </w:txbxContent>
              </v:textbox>
            </v:shape>
            <v:shape id="_x0000_s1117" type="#_x0000_t202" style="position:absolute;left:6503;top:11854;width:1238;height:622;mso-width-relative:margin;mso-height-relative:margin" fillcolor="white [3212]" strokecolor="white [3212]">
              <v:textbox style="mso-next-textbox:#_x0000_s1117" inset="0,0,0,0">
                <w:txbxContent>
                  <w:p w14:paraId="41BAF1C1" w14:textId="77777777" w:rsidR="008D6E8B" w:rsidRPr="00224FB2" w:rsidRDefault="008D6E8B" w:rsidP="00B834A2">
                    <w:pPr>
                      <w:jc w:val="center"/>
                      <w:rPr>
                        <w:sz w:val="20"/>
                        <w:szCs w:val="16"/>
                      </w:rPr>
                    </w:pPr>
                    <w:r w:rsidRPr="00224FB2">
                      <w:rPr>
                        <w:rStyle w:val="Bodytext2Arial1"/>
                        <w:rFonts w:ascii="Sylfaen" w:hAnsi="Sylfaen"/>
                        <w:sz w:val="12"/>
                      </w:rPr>
                      <w:t>Արդյո՞ք լուծույթները թափանցիկ են:</w:t>
                    </w:r>
                  </w:p>
                </w:txbxContent>
              </v:textbox>
            </v:shape>
            <v:shape id="_x0000_s1118" type="#_x0000_t202" style="position:absolute;left:6257;top:13041;width:1638;height:404;mso-width-relative:margin;mso-height-relative:margin" fillcolor="white [3212]" strokecolor="white [3212]">
              <v:textbox style="mso-next-textbox:#_x0000_s1118" inset="0,0,0,0">
                <w:txbxContent>
                  <w:p w14:paraId="19B51ECF" w14:textId="77777777" w:rsidR="008D6E8B" w:rsidRPr="009D2E54" w:rsidRDefault="008D6E8B" w:rsidP="00B834A2">
                    <w:pPr>
                      <w:pStyle w:val="Bodytext320"/>
                      <w:shd w:val="clear" w:color="auto" w:fill="auto"/>
                      <w:spacing w:line="240" w:lineRule="auto"/>
                      <w:jc w:val="center"/>
                      <w:rPr>
                        <w:rStyle w:val="Bodytext2Arial1"/>
                        <w:rFonts w:ascii="Sylfaen" w:hAnsi="Sylfaen"/>
                        <w:i w:val="0"/>
                        <w:sz w:val="12"/>
                        <w:szCs w:val="16"/>
                      </w:rPr>
                    </w:pPr>
                    <w:r w:rsidRPr="009D2E54">
                      <w:rPr>
                        <w:rStyle w:val="Bodytext2Arial1"/>
                        <w:rFonts w:ascii="Sylfaen" w:hAnsi="Sylfaen"/>
                        <w:i w:val="0"/>
                        <w:sz w:val="12"/>
                      </w:rPr>
                      <w:t>Չափում</w:t>
                    </w:r>
                  </w:p>
                  <w:p w14:paraId="546BAC16" w14:textId="77777777" w:rsidR="008D6E8B" w:rsidRPr="009D2E54" w:rsidRDefault="008D6E8B" w:rsidP="00B834A2">
                    <w:pPr>
                      <w:jc w:val="center"/>
                      <w:rPr>
                        <w:sz w:val="20"/>
                        <w:szCs w:val="16"/>
                      </w:rPr>
                    </w:pPr>
                    <w:r w:rsidRPr="009D2E54">
                      <w:rPr>
                        <w:rStyle w:val="Bodytext2Arial1"/>
                        <w:rFonts w:ascii="Sylfaen" w:hAnsi="Sylfaen"/>
                        <w:sz w:val="12"/>
                      </w:rPr>
                      <w:t>(նկար</w:t>
                    </w:r>
                    <w:r w:rsidRPr="009D2E54">
                      <w:rPr>
                        <w:rStyle w:val="Bodytext32Sylfaen1"/>
                        <w:i w:val="0"/>
                        <w:sz w:val="12"/>
                      </w:rPr>
                      <w:t>2.1.4.23.-2)</w:t>
                    </w:r>
                  </w:p>
                </w:txbxContent>
              </v:textbox>
            </v:shape>
          </v:group>
        </w:pict>
      </w:r>
      <w:r>
        <w:rPr>
          <w:noProof/>
          <w:lang w:val="en-US" w:eastAsia="en-US" w:bidi="ar-SA"/>
        </w:rPr>
        <w:pict w14:anchorId="2B664DE3">
          <v:shape id="_x0000_s1099" type="#_x0000_t202" style="position:absolute;left:0;text-align:left;margin-left:435.4pt;margin-top:361.1pt;width:30.1pt;height:14.25pt;z-index:251862016;mso-width-relative:margin;mso-height-relative:margin" fillcolor="white [3212]" strokecolor="white [3212]">
            <v:textbox style="mso-next-textbox:#_x0000_s1099" inset="0,0,0,0">
              <w:txbxContent>
                <w:p w14:paraId="71C8E622" w14:textId="77777777" w:rsidR="008D6E8B" w:rsidRPr="00FF7722" w:rsidRDefault="008D6E8B" w:rsidP="00B834A2">
                  <w:pPr>
                    <w:jc w:val="center"/>
                    <w:rPr>
                      <w:sz w:val="16"/>
                      <w:szCs w:val="16"/>
                    </w:rPr>
                  </w:pPr>
                  <w:r w:rsidRPr="009D2E54">
                    <w:rPr>
                      <w:sz w:val="14"/>
                    </w:rPr>
                    <w:t>Այո</w:t>
                  </w:r>
                </w:p>
              </w:txbxContent>
            </v:textbox>
          </v:shape>
        </w:pict>
      </w:r>
      <w:r w:rsidR="00B834A2" w:rsidRPr="00B834A2">
        <w:rPr>
          <w:noProof/>
          <w:lang w:val="en-US" w:eastAsia="en-US" w:bidi="ar-SA"/>
        </w:rPr>
        <w:drawing>
          <wp:inline distT="0" distB="0" distL="0" distR="0" wp14:anchorId="0EC6D50F" wp14:editId="7CE860E2">
            <wp:extent cx="6011514" cy="8302752"/>
            <wp:effectExtent l="19050" t="0" r="8286" b="0"/>
            <wp:docPr id="8" name="Picture 8" descr="D:\2 VERSION\14.07.115-0003-2023-B_for final formatting\02.2023\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2 VERSION\14.07.115-0003-2023-B_for final formatting\02.2023\media\image6.jpeg"/>
                    <pic:cNvPicPr>
                      <a:picLocks noChangeAspect="1" noChangeArrowheads="1"/>
                    </pic:cNvPicPr>
                  </pic:nvPicPr>
                  <pic:blipFill>
                    <a:blip r:embed="rId18" cstate="print"/>
                    <a:srcRect/>
                    <a:stretch>
                      <a:fillRect/>
                    </a:stretch>
                  </pic:blipFill>
                  <pic:spPr bwMode="auto">
                    <a:xfrm>
                      <a:off x="0" y="0"/>
                      <a:ext cx="6013929" cy="8306087"/>
                    </a:xfrm>
                    <a:prstGeom prst="rect">
                      <a:avLst/>
                    </a:prstGeom>
                    <a:noFill/>
                    <a:ln w="9525">
                      <a:noFill/>
                      <a:miter lim="800000"/>
                      <a:headEnd/>
                      <a:tailEnd/>
                    </a:ln>
                  </pic:spPr>
                </pic:pic>
              </a:graphicData>
            </a:graphic>
          </wp:inline>
        </w:drawing>
      </w:r>
    </w:p>
    <w:p w14:paraId="39981841" w14:textId="77777777" w:rsidR="00B834A2" w:rsidRPr="00E02A63" w:rsidRDefault="00B834A2" w:rsidP="00E02A63">
      <w:pPr>
        <w:pStyle w:val="Bodytext320"/>
        <w:shd w:val="clear" w:color="auto" w:fill="auto"/>
        <w:spacing w:line="240" w:lineRule="auto"/>
        <w:rPr>
          <w:rFonts w:ascii="Sylfaen" w:hAnsi="Sylfaen"/>
          <w:sz w:val="20"/>
          <w:szCs w:val="24"/>
        </w:rPr>
      </w:pPr>
      <w:r w:rsidRPr="00E02A63">
        <w:rPr>
          <w:rStyle w:val="Bodytext32Sylfaen"/>
          <w:sz w:val="20"/>
          <w:szCs w:val="24"/>
        </w:rPr>
        <w:t xml:space="preserve">Նկար 2.1.4.23.-1: </w:t>
      </w:r>
      <w:r w:rsidRPr="00E02A63">
        <w:rPr>
          <w:rFonts w:ascii="Sylfaen" w:hAnsi="Sylfaen"/>
          <w:sz w:val="20"/>
          <w:szCs w:val="24"/>
        </w:rPr>
        <w:t xml:space="preserve">Տարրերի խառնուկների որոշման ժամանակ փորձանմուշի պատրաստման մեթոդիկայի ընտրության համար որոշման ընդունման սխեմա </w:t>
      </w:r>
    </w:p>
    <w:p w14:paraId="1AE74989" w14:textId="77777777" w:rsidR="00B834A2" w:rsidRPr="00B834A2" w:rsidRDefault="00000000" w:rsidP="00B834A2">
      <w:pPr>
        <w:spacing w:after="160" w:line="360" w:lineRule="auto"/>
        <w:jc w:val="center"/>
      </w:pPr>
      <w:r>
        <w:rPr>
          <w:noProof/>
          <w:lang w:val="en-US" w:eastAsia="en-US" w:bidi="ar-SA"/>
        </w:rPr>
        <w:lastRenderedPageBreak/>
        <w:pict w14:anchorId="79D9C665">
          <v:group id="_x0000_s1394" style="position:absolute;left:0;text-align:left;margin-left:19.55pt;margin-top:37.2pt;width:439.9pt;height:514.9pt;z-index:251904000" coordorigin="1809,2162" coordsize="8798,10298">
            <v:shape id="_x0000_s1120" type="#_x0000_t202" style="position:absolute;left:7722;top:5370;width:470;height:226;mso-height-percent:200;mso-height-percent:200;mso-width-relative:margin;mso-height-relative:margin" fillcolor="white [3212]" strokecolor="white [3212]">
              <v:textbox style="mso-fit-shape-to-text:t" inset="0,0,0,0">
                <w:txbxContent>
                  <w:p w14:paraId="5F9F0C0F" w14:textId="77777777" w:rsidR="008D6E8B" w:rsidRPr="00FF7722" w:rsidRDefault="008D6E8B" w:rsidP="00B834A2">
                    <w:pPr>
                      <w:jc w:val="center"/>
                      <w:rPr>
                        <w:sz w:val="16"/>
                        <w:szCs w:val="16"/>
                      </w:rPr>
                    </w:pPr>
                    <w:r>
                      <w:rPr>
                        <w:sz w:val="16"/>
                      </w:rPr>
                      <w:t>Այո</w:t>
                    </w:r>
                  </w:p>
                </w:txbxContent>
              </v:textbox>
            </v:shape>
            <v:shape id="_x0000_s1121" type="#_x0000_t202" style="position:absolute;left:7001;top:8926;width:459;height:226;mso-height-percent:200;mso-height-percent:200;mso-width-relative:margin;mso-height-relative:margin" fillcolor="white [3212]" strokecolor="white [3212]">
              <v:textbox style="mso-fit-shape-to-text:t" inset="0,0,0,0">
                <w:txbxContent>
                  <w:p w14:paraId="24EBDCAE" w14:textId="77777777" w:rsidR="008D6E8B" w:rsidRPr="00FF7722" w:rsidRDefault="008D6E8B" w:rsidP="00B834A2">
                    <w:pPr>
                      <w:jc w:val="center"/>
                      <w:rPr>
                        <w:sz w:val="16"/>
                        <w:szCs w:val="16"/>
                      </w:rPr>
                    </w:pPr>
                    <w:r>
                      <w:rPr>
                        <w:sz w:val="16"/>
                      </w:rPr>
                      <w:t>Այո</w:t>
                    </w:r>
                  </w:p>
                </w:txbxContent>
              </v:textbox>
            </v:shape>
            <v:shape id="_x0000_s1122" type="#_x0000_t202" style="position:absolute;left:5748;top:9990;width:481;height:226;mso-height-percent:200;mso-height-percent:200;mso-width-relative:margin;mso-height-relative:margin" fillcolor="white [3212]" strokecolor="white [3212]">
              <v:textbox style="mso-fit-shape-to-text:t" inset="0,0,0,0">
                <w:txbxContent>
                  <w:p w14:paraId="0058EC48" w14:textId="77777777" w:rsidR="008D6E8B" w:rsidRPr="00FF7722" w:rsidRDefault="008D6E8B" w:rsidP="00B834A2">
                    <w:pPr>
                      <w:jc w:val="center"/>
                      <w:rPr>
                        <w:sz w:val="16"/>
                        <w:szCs w:val="16"/>
                      </w:rPr>
                    </w:pPr>
                    <w:r>
                      <w:rPr>
                        <w:sz w:val="16"/>
                      </w:rPr>
                      <w:t>Այո</w:t>
                    </w:r>
                  </w:p>
                </w:txbxContent>
              </v:textbox>
            </v:shape>
            <v:shape id="_x0000_s1123" type="#_x0000_t202" style="position:absolute;left:3607;top:8242;width:609;height:329;mso-width-relative:margin;mso-height-relative:margin" fillcolor="white [3212]" strokecolor="white [3212]">
              <v:textbox inset="0,0,0,0">
                <w:txbxContent>
                  <w:p w14:paraId="6D65E340" w14:textId="77777777" w:rsidR="008D6E8B" w:rsidRPr="00FF7722" w:rsidRDefault="008D6E8B" w:rsidP="00B834A2">
                    <w:pPr>
                      <w:jc w:val="center"/>
                      <w:rPr>
                        <w:sz w:val="16"/>
                        <w:szCs w:val="16"/>
                      </w:rPr>
                    </w:pPr>
                    <w:r>
                      <w:rPr>
                        <w:sz w:val="16"/>
                      </w:rPr>
                      <w:t>Այո</w:t>
                    </w:r>
                  </w:p>
                </w:txbxContent>
              </v:textbox>
            </v:shape>
            <v:shape id="_x0000_s1124" type="#_x0000_t202" style="position:absolute;left:4512;top:3546;width:412;height:226;mso-height-percent:200;mso-height-percent:200;mso-width-relative:margin;mso-height-relative:margin" fillcolor="white [3212]" strokecolor="white [3212]">
              <v:textbox style="mso-fit-shape-to-text:t" inset="0,0,0,0">
                <w:txbxContent>
                  <w:p w14:paraId="43EF30F2" w14:textId="77777777" w:rsidR="008D6E8B" w:rsidRPr="00FF7722" w:rsidRDefault="008D6E8B" w:rsidP="00B834A2">
                    <w:pPr>
                      <w:jc w:val="center"/>
                      <w:rPr>
                        <w:sz w:val="16"/>
                        <w:szCs w:val="16"/>
                      </w:rPr>
                    </w:pPr>
                    <w:r>
                      <w:rPr>
                        <w:sz w:val="16"/>
                      </w:rPr>
                      <w:t>Ոչ</w:t>
                    </w:r>
                  </w:p>
                </w:txbxContent>
              </v:textbox>
            </v:shape>
            <v:shape id="_x0000_s1125" type="#_x0000_t202" style="position:absolute;left:2222;top:6168;width:412;height:226;mso-height-percent:200;mso-height-percent:200;mso-width-relative:margin;mso-height-relative:margin" fillcolor="white [3212]" strokecolor="white [3212]">
              <v:textbox style="mso-fit-shape-to-text:t" inset="0,0,0,0">
                <w:txbxContent>
                  <w:p w14:paraId="0152D065" w14:textId="77777777" w:rsidR="008D6E8B" w:rsidRPr="00FF7722" w:rsidRDefault="008D6E8B" w:rsidP="00B834A2">
                    <w:pPr>
                      <w:jc w:val="center"/>
                      <w:rPr>
                        <w:sz w:val="16"/>
                        <w:szCs w:val="16"/>
                      </w:rPr>
                    </w:pPr>
                    <w:r>
                      <w:rPr>
                        <w:sz w:val="16"/>
                      </w:rPr>
                      <w:t>Ոչ</w:t>
                    </w:r>
                  </w:p>
                </w:txbxContent>
              </v:textbox>
            </v:shape>
            <v:shape id="_x0000_s1126" type="#_x0000_t202" style="position:absolute;left:3350;top:9764;width:412;height:226;mso-height-percent:200;mso-height-percent:200;mso-width-relative:margin;mso-height-relative:margin" fillcolor="white [3212]" strokecolor="white [3212]">
              <v:textbox style="mso-fit-shape-to-text:t" inset="0,0,0,0">
                <w:txbxContent>
                  <w:p w14:paraId="7504C038" w14:textId="77777777" w:rsidR="008D6E8B" w:rsidRPr="00FF7722" w:rsidRDefault="008D6E8B" w:rsidP="00B834A2">
                    <w:pPr>
                      <w:jc w:val="center"/>
                      <w:rPr>
                        <w:sz w:val="16"/>
                        <w:szCs w:val="16"/>
                      </w:rPr>
                    </w:pPr>
                    <w:r>
                      <w:rPr>
                        <w:sz w:val="16"/>
                      </w:rPr>
                      <w:t>Ոչ</w:t>
                    </w:r>
                  </w:p>
                </w:txbxContent>
              </v:textbox>
            </v:shape>
            <v:shape id="_x0000_s1127" type="#_x0000_t202" style="position:absolute;left:9326;top:8790;width:412;height:226;mso-height-percent:200;mso-height-percent:200;mso-width-relative:margin;mso-height-relative:margin" fillcolor="white [3212]" strokecolor="white [3212]">
              <v:textbox style="mso-fit-shape-to-text:t" inset="0,0,0,0">
                <w:txbxContent>
                  <w:p w14:paraId="41D7F992" w14:textId="77777777" w:rsidR="008D6E8B" w:rsidRPr="00FF7722" w:rsidRDefault="008D6E8B" w:rsidP="00B834A2">
                    <w:pPr>
                      <w:jc w:val="center"/>
                      <w:rPr>
                        <w:sz w:val="16"/>
                        <w:szCs w:val="16"/>
                      </w:rPr>
                    </w:pPr>
                    <w:r>
                      <w:rPr>
                        <w:sz w:val="16"/>
                      </w:rPr>
                      <w:t>Ոչ</w:t>
                    </w:r>
                  </w:p>
                </w:txbxContent>
              </v:textbox>
            </v:shape>
            <v:shape id="_x0000_s1128" type="#_x0000_t202" style="position:absolute;left:5797;top:2162;width:1768;height:518;mso-width-relative:margin;mso-height-relative:margin" fillcolor="white [3212]" strokecolor="white [3212]">
              <v:textbox inset="0,0,0,0">
                <w:txbxContent>
                  <w:p w14:paraId="079C6146" w14:textId="77777777" w:rsidR="008D6E8B" w:rsidRPr="00E02A63" w:rsidRDefault="008D6E8B" w:rsidP="00B834A2">
                    <w:pPr>
                      <w:pStyle w:val="Bodytext320"/>
                      <w:shd w:val="clear" w:color="auto" w:fill="auto"/>
                      <w:spacing w:line="240" w:lineRule="auto"/>
                      <w:jc w:val="center"/>
                      <w:rPr>
                        <w:rStyle w:val="27A3A3F4-5756-47BB-8071-2A1F39619B8E"/>
                        <w:rFonts w:ascii="Sylfaen" w:hAnsi="Sylfaen"/>
                        <w:sz w:val="10"/>
                        <w:szCs w:val="14"/>
                      </w:rPr>
                    </w:pPr>
                    <w:r w:rsidRPr="00E02A63">
                      <w:rPr>
                        <w:rStyle w:val="27A3A3F4-5756-47BB-8071-2A1F39619B8E"/>
                        <w:rFonts w:ascii="Sylfaen" w:hAnsi="Sylfaen"/>
                        <w:sz w:val="10"/>
                      </w:rPr>
                      <w:t>Փորձանմուշի պատրաստում</w:t>
                    </w:r>
                  </w:p>
                  <w:p w14:paraId="154C5EB3" w14:textId="77777777" w:rsidR="008D6E8B" w:rsidRPr="00E02A63" w:rsidRDefault="008D6E8B" w:rsidP="00B834A2">
                    <w:pPr>
                      <w:jc w:val="center"/>
                      <w:rPr>
                        <w:i/>
                        <w:sz w:val="20"/>
                        <w:szCs w:val="16"/>
                      </w:rPr>
                    </w:pPr>
                    <w:r w:rsidRPr="00E02A63">
                      <w:rPr>
                        <w:rStyle w:val="27A3A3F4-5756-47BB-8071-2A1F39619B8E"/>
                        <w:rFonts w:ascii="Sylfaen" w:hAnsi="Sylfaen"/>
                        <w:i w:val="0"/>
                        <w:sz w:val="10"/>
                      </w:rPr>
                      <w:t>նկար</w:t>
                    </w:r>
                    <w:r w:rsidRPr="00E02A63">
                      <w:rPr>
                        <w:rStyle w:val="B54290E3-AEE0-4C27-9FBE-72E3DF9AF267"/>
                        <w:rFonts w:ascii="Sylfaen" w:hAnsi="Sylfaen"/>
                        <w:i w:val="0"/>
                        <w:sz w:val="10"/>
                      </w:rPr>
                      <w:t>2</w:t>
                    </w:r>
                    <w:r w:rsidRPr="00E02A63">
                      <w:rPr>
                        <w:rStyle w:val="4B097D7B-7D8E-42A9-A3EB-8C24339A477D"/>
                        <w:rFonts w:ascii="Sylfaen" w:hAnsi="Sylfaen"/>
                        <w:i w:val="0"/>
                        <w:sz w:val="10"/>
                      </w:rPr>
                      <w:t>.</w:t>
                    </w:r>
                    <w:r w:rsidRPr="00E02A63">
                      <w:rPr>
                        <w:rStyle w:val="B54290E3-AEE0-4C27-9FBE-72E3DF9AF267"/>
                        <w:rFonts w:ascii="Sylfaen" w:hAnsi="Sylfaen"/>
                        <w:i w:val="0"/>
                        <w:sz w:val="10"/>
                      </w:rPr>
                      <w:t>1</w:t>
                    </w:r>
                    <w:r w:rsidRPr="00E02A63">
                      <w:rPr>
                        <w:rStyle w:val="4B097D7B-7D8E-42A9-A3EB-8C24339A477D"/>
                        <w:rFonts w:ascii="Sylfaen" w:hAnsi="Sylfaen"/>
                        <w:i w:val="0"/>
                        <w:sz w:val="10"/>
                      </w:rPr>
                      <w:t>.</w:t>
                    </w:r>
                    <w:r w:rsidRPr="00E02A63">
                      <w:rPr>
                        <w:rStyle w:val="B54290E3-AEE0-4C27-9FBE-72E3DF9AF267"/>
                        <w:rFonts w:ascii="Sylfaen" w:hAnsi="Sylfaen"/>
                        <w:i w:val="0"/>
                        <w:sz w:val="10"/>
                      </w:rPr>
                      <w:t>4</w:t>
                    </w:r>
                    <w:r w:rsidRPr="00E02A63">
                      <w:rPr>
                        <w:rStyle w:val="4B097D7B-7D8E-42A9-A3EB-8C24339A477D"/>
                        <w:rFonts w:ascii="Sylfaen" w:hAnsi="Sylfaen"/>
                        <w:i w:val="0"/>
                        <w:sz w:val="10"/>
                      </w:rPr>
                      <w:t>.</w:t>
                    </w:r>
                    <w:r w:rsidRPr="00E02A63">
                      <w:rPr>
                        <w:rStyle w:val="B54290E3-AEE0-4C27-9FBE-72E3DF9AF267"/>
                        <w:rFonts w:ascii="Sylfaen" w:hAnsi="Sylfaen"/>
                        <w:i w:val="0"/>
                        <w:sz w:val="10"/>
                      </w:rPr>
                      <w:t>23.-1</w:t>
                    </w:r>
                    <w:r w:rsidRPr="00E02A63">
                      <w:rPr>
                        <w:rStyle w:val="27A3A3F4-5756-47BB-8071-2A1F39619B8E"/>
                        <w:rFonts w:ascii="Sylfaen" w:hAnsi="Sylfaen"/>
                        <w:i w:val="0"/>
                        <w:sz w:val="10"/>
                      </w:rPr>
                      <w:t>)</w:t>
                    </w:r>
                  </w:p>
                </w:txbxContent>
              </v:textbox>
            </v:shape>
            <v:shape id="_x0000_s1129" type="#_x0000_t202" style="position:absolute;left:5883;top:3641;width:1768;height:483;mso-width-relative:margin;mso-height-relative:margin" fillcolor="white [3212]" strokecolor="white [3212]">
              <v:textbox inset="0,0,0,0">
                <w:txbxContent>
                  <w:p w14:paraId="123D283B" w14:textId="77777777" w:rsidR="008D6E8B" w:rsidRPr="00E02A63" w:rsidRDefault="008D6E8B" w:rsidP="00B834A2">
                    <w:pPr>
                      <w:jc w:val="center"/>
                      <w:rPr>
                        <w:i/>
                        <w:szCs w:val="16"/>
                      </w:rPr>
                    </w:pPr>
                    <w:r w:rsidRPr="00E02A63">
                      <w:rPr>
                        <w:rStyle w:val="27A3A3F4-5756-47BB-8071-2A1F39619B8E"/>
                        <w:rFonts w:ascii="Sylfaen" w:hAnsi="Sylfaen"/>
                        <w:sz w:val="10"/>
                      </w:rPr>
                      <w:t>Նկարագրվա՞ծ է արդյոք չափման եղանակը մասնավոր դեղագրքային հոդվածում:</w:t>
                    </w:r>
                  </w:p>
                </w:txbxContent>
              </v:textbox>
            </v:shape>
            <v:shape id="_x0000_s1130" type="#_x0000_t202" style="position:absolute;left:3647;top:4857;width:1500;height:564;mso-width-relative:margin;mso-height-relative:margin" fillcolor="white [3212]" strokecolor="white [3212]">
              <v:textbox inset="0,0,0,0">
                <w:txbxContent>
                  <w:p w14:paraId="73679932" w14:textId="77777777" w:rsidR="008D6E8B" w:rsidRPr="00E02A63" w:rsidRDefault="008D6E8B" w:rsidP="00B834A2">
                    <w:pPr>
                      <w:jc w:val="center"/>
                      <w:rPr>
                        <w:i/>
                        <w:sz w:val="20"/>
                        <w:szCs w:val="16"/>
                      </w:rPr>
                    </w:pPr>
                    <w:r w:rsidRPr="00E02A63">
                      <w:rPr>
                        <w:rStyle w:val="27A3A3F4-5756-47BB-8071-2A1F39619B8E"/>
                        <w:rFonts w:ascii="Sylfaen" w:hAnsi="Sylfaen"/>
                        <w:sz w:val="10"/>
                      </w:rPr>
                      <w:t>Անցկացնում են փորձարկման մեթոդիկայի մշակում</w:t>
                    </w:r>
                  </w:p>
                </w:txbxContent>
              </v:textbox>
            </v:shape>
            <v:shape id="_x0000_s1131" type="#_x0000_t202" style="position:absolute;left:3572;top:5964;width:1575;height:564;mso-width-relative:margin;mso-height-relative:margin" fillcolor="white [3212]" strokecolor="white [3212]">
              <v:textbox inset="0,0,0,0">
                <w:txbxContent>
                  <w:p w14:paraId="39A9E49F" w14:textId="77777777" w:rsidR="008D6E8B" w:rsidRPr="00E02A63" w:rsidRDefault="008D6E8B" w:rsidP="00B834A2">
                    <w:pPr>
                      <w:jc w:val="center"/>
                      <w:rPr>
                        <w:i/>
                        <w:sz w:val="20"/>
                        <w:szCs w:val="16"/>
                      </w:rPr>
                    </w:pPr>
                    <w:r w:rsidRPr="00E02A63">
                      <w:rPr>
                        <w:rStyle w:val="27A3A3F4-5756-47BB-8071-2A1F39619B8E"/>
                        <w:rFonts w:ascii="Sylfaen" w:hAnsi="Sylfaen"/>
                        <w:sz w:val="10"/>
                      </w:rPr>
                      <w:t>Անցկացնում են փորձարկման մեթոդիկայի վալիդացում</w:t>
                    </w:r>
                  </w:p>
                </w:txbxContent>
              </v:textbox>
            </v:shape>
            <v:shape id="_x0000_s1132" type="#_x0000_t202" style="position:absolute;left:3762;top:7199;width:1272;height:542;mso-width-relative:margin;mso-height-relative:margin" fillcolor="white [3212]" strokecolor="white [3212]">
              <v:textbox inset="0,0,0,0">
                <w:txbxContent>
                  <w:p w14:paraId="3A1BD443" w14:textId="77777777" w:rsidR="008D6E8B" w:rsidRPr="00E02A63" w:rsidRDefault="008D6E8B" w:rsidP="00B834A2">
                    <w:pPr>
                      <w:jc w:val="center"/>
                      <w:rPr>
                        <w:i/>
                        <w:sz w:val="20"/>
                        <w:szCs w:val="16"/>
                      </w:rPr>
                    </w:pPr>
                    <w:r w:rsidRPr="00E02A63">
                      <w:rPr>
                        <w:rStyle w:val="27A3A3F4-5756-47BB-8071-2A1F39619B8E"/>
                        <w:rFonts w:ascii="Sylfaen" w:hAnsi="Sylfaen"/>
                        <w:i w:val="0"/>
                        <w:sz w:val="10"/>
                      </w:rPr>
                      <w:t>Պահպանվո՞ւմ են արդյոք վալիդացման պահանջները:</w:t>
                    </w:r>
                  </w:p>
                </w:txbxContent>
              </v:textbox>
            </v:shape>
            <v:shape id="_x0000_s1133" type="#_x0000_t202" style="position:absolute;left:6925;top:7199;width:1930;height:693;mso-width-relative:margin;mso-height-relative:margin" fillcolor="white [3212]" strokecolor="white [3212]">
              <v:textbox inset="0,0,0,0">
                <w:txbxContent>
                  <w:p w14:paraId="2FF8DA1E" w14:textId="77777777" w:rsidR="008D6E8B" w:rsidRPr="00E02A63" w:rsidRDefault="008D6E8B" w:rsidP="00B834A2">
                    <w:pPr>
                      <w:jc w:val="center"/>
                      <w:rPr>
                        <w:i/>
                        <w:sz w:val="22"/>
                        <w:szCs w:val="16"/>
                      </w:rPr>
                    </w:pPr>
                    <w:r w:rsidRPr="00E02A63">
                      <w:rPr>
                        <w:rStyle w:val="27A3A3F4-5756-47BB-8071-2A1F39619B8E"/>
                        <w:rFonts w:ascii="Sylfaen" w:hAnsi="Sylfaen"/>
                        <w:sz w:val="12"/>
                      </w:rPr>
                      <w:t>Անցկացնում են անալիզ՝ մասնավոր դեղագրքային հոդվածի մեթոդիկայի օգտագործմամբ</w:t>
                    </w:r>
                  </w:p>
                </w:txbxContent>
              </v:textbox>
            </v:shape>
            <v:shape id="_x0000_s1134" type="#_x0000_t202" style="position:absolute;left:9326;top:7054;width:1281;height:774;mso-width-relative:margin;mso-height-relative:margin" fillcolor="white [3212]" strokecolor="white [3212]">
              <v:textbox inset="0,0,0,0">
                <w:txbxContent>
                  <w:p w14:paraId="09A80B32" w14:textId="77777777" w:rsidR="008D6E8B" w:rsidRPr="00E02A63" w:rsidRDefault="008D6E8B" w:rsidP="00B834A2">
                    <w:pPr>
                      <w:jc w:val="center"/>
                      <w:rPr>
                        <w:i/>
                        <w:szCs w:val="16"/>
                      </w:rPr>
                    </w:pPr>
                    <w:r w:rsidRPr="00E02A63">
                      <w:rPr>
                        <w:rStyle w:val="27A3A3F4-5756-47BB-8071-2A1F39619B8E"/>
                        <w:rFonts w:ascii="Sylfaen" w:hAnsi="Sylfaen"/>
                        <w:sz w:val="12"/>
                      </w:rPr>
                      <w:t>Անցկացնում են չափման համակարգի վերիֆիկացում</w:t>
                    </w:r>
                  </w:p>
                </w:txbxContent>
              </v:textbox>
            </v:shape>
            <v:shape id="_x0000_s1135" type="#_x0000_t202" style="position:absolute;left:4110;top:8678;width:1773;height:547;mso-width-relative:margin;mso-height-relative:margin" fillcolor="white [3212]" strokecolor="white [3212]">
              <v:textbox inset="0,0,0,0">
                <w:txbxContent>
                  <w:p w14:paraId="488C2F60" w14:textId="77777777" w:rsidR="008D6E8B" w:rsidRPr="00E02A63" w:rsidRDefault="008D6E8B" w:rsidP="00B834A2">
                    <w:pPr>
                      <w:jc w:val="center"/>
                      <w:rPr>
                        <w:i/>
                        <w:sz w:val="20"/>
                        <w:szCs w:val="16"/>
                      </w:rPr>
                    </w:pPr>
                    <w:r w:rsidRPr="00E02A63">
                      <w:rPr>
                        <w:rStyle w:val="27A3A3F4-5756-47BB-8071-2A1F39619B8E"/>
                        <w:rFonts w:ascii="Sylfaen" w:hAnsi="Sylfaen"/>
                        <w:sz w:val="10"/>
                      </w:rPr>
                      <w:t>Անցկացնում են անալիզ՝ վալիդացված մեթոդիկայի օգտագործմամբ</w:t>
                    </w:r>
                  </w:p>
                </w:txbxContent>
              </v:textbox>
            </v:shape>
            <v:shape id="_x0000_s1136" type="#_x0000_t202" style="position:absolute;left:7823;top:9225;width:1193;height:671;mso-width-relative:margin;mso-height-relative:margin" fillcolor="white [3212]" strokecolor="white [3212]">
              <v:textbox style="mso-next-textbox:#_x0000_s1136" inset="0,0,0,0">
                <w:txbxContent>
                  <w:p w14:paraId="02ED05D9" w14:textId="77777777" w:rsidR="008D6E8B" w:rsidRPr="00E02A63" w:rsidRDefault="008D6E8B" w:rsidP="00B834A2">
                    <w:pPr>
                      <w:jc w:val="center"/>
                      <w:rPr>
                        <w:i/>
                        <w:sz w:val="20"/>
                        <w:szCs w:val="16"/>
                      </w:rPr>
                    </w:pPr>
                    <w:r w:rsidRPr="00E02A63">
                      <w:rPr>
                        <w:rStyle w:val="B20193FA-56C4-4040-B8DB-0D756FC03D1C"/>
                        <w:sz w:val="10"/>
                      </w:rPr>
                      <w:t>Արդյո՞ք բացելիությունն ընդունելի է ստանդարտ լուծույթի համար:</w:t>
                    </w:r>
                  </w:p>
                </w:txbxContent>
              </v:textbox>
            </v:shape>
            <v:shape id="_x0000_s1137" type="#_x0000_t202" style="position:absolute;left:3825;top:10117;width:1322;height:667;mso-width-relative:margin;mso-height-relative:margin" fillcolor="white [3212]" strokecolor="white [3212]">
              <v:textbox style="mso-next-textbox:#_x0000_s1137" inset="0,0,0,0">
                <w:txbxContent>
                  <w:p w14:paraId="35A2A1BC" w14:textId="77777777" w:rsidR="008D6E8B" w:rsidRPr="00F11892" w:rsidRDefault="008D6E8B" w:rsidP="00B834A2">
                    <w:pPr>
                      <w:jc w:val="center"/>
                      <w:rPr>
                        <w:i/>
                        <w:szCs w:val="16"/>
                      </w:rPr>
                    </w:pPr>
                    <w:r w:rsidRPr="00E02A63">
                      <w:rPr>
                        <w:rStyle w:val="B20193FA-56C4-4040-B8DB-0D756FC03D1C"/>
                        <w:sz w:val="10"/>
                      </w:rPr>
                      <w:t>Արդյո՞ք բացելիությունն ընդունելի է ստանդարտ լուծույթի համար</w:t>
                    </w:r>
                    <w:r>
                      <w:rPr>
                        <w:rStyle w:val="B20193FA-56C4-4040-B8DB-0D756FC03D1C"/>
                        <w:sz w:val="14"/>
                      </w:rPr>
                      <w:t>:</w:t>
                    </w:r>
                  </w:p>
                </w:txbxContent>
              </v:textbox>
            </v:shape>
            <v:shape id="_x0000_s1138" type="#_x0000_t202" style="position:absolute;left:1809;top:10117;width:1383;height:618;mso-width-relative:margin;mso-height-relative:margin" fillcolor="white [3212]" strokecolor="white [3212]">
              <v:textbox style="mso-next-textbox:#_x0000_s1138" inset="0,0,0,0">
                <w:txbxContent>
                  <w:p w14:paraId="5BF4CCB0" w14:textId="77777777" w:rsidR="008D6E8B" w:rsidRPr="00E02A63" w:rsidRDefault="008D6E8B" w:rsidP="00B834A2">
                    <w:pPr>
                      <w:jc w:val="center"/>
                      <w:rPr>
                        <w:i/>
                        <w:sz w:val="22"/>
                        <w:szCs w:val="16"/>
                      </w:rPr>
                    </w:pPr>
                    <w:r w:rsidRPr="00E02A63">
                      <w:rPr>
                        <w:rStyle w:val="27A3A3F4-5756-47BB-8071-2A1F39619B8E"/>
                        <w:rFonts w:ascii="Sylfaen" w:hAnsi="Sylfaen"/>
                        <w:sz w:val="12"/>
                      </w:rPr>
                      <w:t>Անցկացնում են չափման համակարգի վերիֆիկացում</w:t>
                    </w:r>
                  </w:p>
                </w:txbxContent>
              </v:textbox>
            </v:shape>
            <v:shape id="_x0000_s1139" type="#_x0000_t202" style="position:absolute;left:5956;top:11842;width:1867;height:618;mso-width-relative:margin;mso-height-relative:margin" fillcolor="white [3212]" strokecolor="white [3212]">
              <v:textbox style="mso-next-textbox:#_x0000_s1139" inset="0,0,0,0">
                <w:txbxContent>
                  <w:p w14:paraId="6EF24AF8" w14:textId="77777777" w:rsidR="008D6E8B" w:rsidRPr="00E02A63" w:rsidRDefault="008D6E8B" w:rsidP="00B834A2">
                    <w:pPr>
                      <w:jc w:val="center"/>
                      <w:rPr>
                        <w:i/>
                        <w:sz w:val="22"/>
                        <w:szCs w:val="16"/>
                      </w:rPr>
                    </w:pPr>
                    <w:r w:rsidRPr="00E02A63">
                      <w:rPr>
                        <w:rStyle w:val="27A3A3F4-5756-47BB-8071-2A1F39619B8E"/>
                        <w:rFonts w:ascii="Sylfaen" w:hAnsi="Sylfaen"/>
                        <w:sz w:val="12"/>
                      </w:rPr>
                      <w:t>Կազմում են հաշվետվություն ստացված արդյունքների մասին</w:t>
                    </w:r>
                  </w:p>
                </w:txbxContent>
              </v:textbox>
            </v:shape>
          </v:group>
        </w:pict>
      </w:r>
      <w:r w:rsidR="00B834A2" w:rsidRPr="00B834A2">
        <w:rPr>
          <w:noProof/>
          <w:lang w:val="en-US" w:eastAsia="en-US" w:bidi="ar-SA"/>
        </w:rPr>
        <w:drawing>
          <wp:inline distT="0" distB="0" distL="0" distR="0" wp14:anchorId="329CFA1E" wp14:editId="4B341A41">
            <wp:extent cx="6032500" cy="7398385"/>
            <wp:effectExtent l="19050" t="0" r="6350" b="0"/>
            <wp:docPr id="9" name="Picture 9" descr="D:\2 VERSION\14.07.115-0003-2023-B_for final formatting\02.2023\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2 VERSION\14.07.115-0003-2023-B_for final formatting\02.2023\media\image7.jpeg"/>
                    <pic:cNvPicPr>
                      <a:picLocks noChangeAspect="1" noChangeArrowheads="1"/>
                    </pic:cNvPicPr>
                  </pic:nvPicPr>
                  <pic:blipFill>
                    <a:blip r:embed="rId19" cstate="print"/>
                    <a:srcRect/>
                    <a:stretch>
                      <a:fillRect/>
                    </a:stretch>
                  </pic:blipFill>
                  <pic:spPr bwMode="auto">
                    <a:xfrm>
                      <a:off x="0" y="0"/>
                      <a:ext cx="6032500" cy="7398385"/>
                    </a:xfrm>
                    <a:prstGeom prst="rect">
                      <a:avLst/>
                    </a:prstGeom>
                    <a:noFill/>
                    <a:ln w="9525">
                      <a:noFill/>
                      <a:miter lim="800000"/>
                      <a:headEnd/>
                      <a:tailEnd/>
                    </a:ln>
                  </pic:spPr>
                </pic:pic>
              </a:graphicData>
            </a:graphic>
          </wp:inline>
        </w:drawing>
      </w:r>
    </w:p>
    <w:p w14:paraId="35FCD108" w14:textId="77777777" w:rsidR="00B834A2" w:rsidRPr="00E02A63" w:rsidRDefault="00B834A2" w:rsidP="00E02A63">
      <w:pPr>
        <w:pStyle w:val="Picturecaption120"/>
        <w:shd w:val="clear" w:color="auto" w:fill="auto"/>
        <w:spacing w:after="160" w:line="360" w:lineRule="auto"/>
        <w:ind w:firstLine="567"/>
        <w:jc w:val="both"/>
        <w:rPr>
          <w:rFonts w:ascii="Sylfaen" w:hAnsi="Sylfaen"/>
          <w:sz w:val="20"/>
          <w:szCs w:val="24"/>
        </w:rPr>
      </w:pPr>
      <w:r w:rsidRPr="00E02A63">
        <w:rPr>
          <w:rStyle w:val="Picturecaption12Sylfaen"/>
          <w:sz w:val="20"/>
          <w:szCs w:val="24"/>
        </w:rPr>
        <w:t xml:space="preserve">Նկար 2.1.4.23 .-2. </w:t>
      </w:r>
      <w:r w:rsidRPr="00E02A63">
        <w:rPr>
          <w:rFonts w:ascii="Sylfaen" w:hAnsi="Sylfaen"/>
          <w:sz w:val="20"/>
          <w:szCs w:val="24"/>
        </w:rPr>
        <w:t xml:space="preserve">Տարրերի խառնուկները որոշելիս չափման եղանակի ընտրության համար որոշման ընդունման սխեմա </w:t>
      </w:r>
    </w:p>
    <w:p w14:paraId="3EEBE597" w14:textId="77777777" w:rsidR="00040909" w:rsidRDefault="00040909">
      <w:pPr>
        <w:rPr>
          <w:rStyle w:val="Bodytext31Sylfaen"/>
          <w:i w:val="0"/>
          <w:sz w:val="24"/>
          <w:szCs w:val="24"/>
        </w:rPr>
      </w:pPr>
      <w:r>
        <w:rPr>
          <w:rStyle w:val="Bodytext31Sylfaen"/>
          <w:i w:val="0"/>
          <w:sz w:val="24"/>
          <w:szCs w:val="24"/>
        </w:rPr>
        <w:br w:type="page"/>
      </w:r>
    </w:p>
    <w:p w14:paraId="7AD3A8D8" w14:textId="77777777" w:rsidR="00B834A2" w:rsidRPr="00B834A2" w:rsidRDefault="00B834A2" w:rsidP="00B834A2">
      <w:pPr>
        <w:spacing w:after="160" w:line="360" w:lineRule="auto"/>
        <w:ind w:firstLine="567"/>
        <w:jc w:val="both"/>
        <w:rPr>
          <w:i/>
        </w:rPr>
      </w:pPr>
      <w:r w:rsidRPr="00B834A2">
        <w:rPr>
          <w:rStyle w:val="Bodytext31Sylfaen"/>
          <w:i w:val="0"/>
          <w:sz w:val="24"/>
          <w:szCs w:val="24"/>
        </w:rPr>
        <w:lastRenderedPageBreak/>
        <w:t>Բացելիությունը կարող է որոշվել բաղադրամասի փորձարկվող նմուշի վրա, որում հավելում են տարրի ստանդարտ նմուշի հայտնի քանակություն (մասնագրում նշված 50 %-ից մինչ</w:t>
      </w:r>
      <w:r>
        <w:rPr>
          <w:rStyle w:val="Bodytext31Sylfaen"/>
          <w:i w:val="0"/>
          <w:sz w:val="24"/>
          <w:szCs w:val="24"/>
        </w:rPr>
        <w:t>եւ</w:t>
      </w:r>
      <w:r w:rsidRPr="00B834A2">
        <w:rPr>
          <w:rStyle w:val="Bodytext31Sylfaen"/>
          <w:i w:val="0"/>
          <w:sz w:val="24"/>
          <w:szCs w:val="24"/>
        </w:rPr>
        <w:t xml:space="preserve"> 150 % ընդգրկույթում կոնցենտրացիայի երեք արժեք, նույնիսկ եթե ստանդարտ նմուշի իրական կոնցենտրացիան հասնում է նշված արժեքի)՝ երեք կրկնվող փորձերում:</w:t>
      </w:r>
    </w:p>
    <w:p w14:paraId="25016241"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Fonts w:ascii="Sylfaen" w:hAnsi="Sylfaen"/>
          <w:i w:val="0"/>
          <w:sz w:val="24"/>
          <w:szCs w:val="24"/>
        </w:rPr>
        <w:t>Ընդունելիության չափորոշիչներ՝</w:t>
      </w:r>
      <w:r w:rsidRPr="00E02A63">
        <w:rPr>
          <w:rStyle w:val="Bodytext31Sylfaen"/>
          <w:sz w:val="24"/>
          <w:szCs w:val="24"/>
        </w:rPr>
        <w:t xml:space="preserve"> բացելիությունը պետք է կազմի յուրաքանչյուր կոնցենտրացիայի երեք որոշումներից միջինի համար 70 %-ից մինչեւ 150 %:</w:t>
      </w:r>
    </w:p>
    <w:p w14:paraId="41230DC9" w14:textId="77777777" w:rsidR="00B834A2" w:rsidRPr="00B834A2" w:rsidRDefault="00B834A2" w:rsidP="00B834A2">
      <w:pPr>
        <w:pStyle w:val="Bodytext310"/>
        <w:shd w:val="clear" w:color="auto" w:fill="auto"/>
        <w:spacing w:after="160" w:line="360" w:lineRule="auto"/>
        <w:ind w:firstLine="567"/>
        <w:jc w:val="both"/>
        <w:rPr>
          <w:rStyle w:val="Bodytext31Sylfaen23"/>
          <w:sz w:val="24"/>
          <w:szCs w:val="24"/>
        </w:rPr>
      </w:pPr>
    </w:p>
    <w:p w14:paraId="78D4BE5E" w14:textId="77777777" w:rsidR="00B834A2" w:rsidRPr="00040909" w:rsidRDefault="00B834A2" w:rsidP="00B834A2">
      <w:pPr>
        <w:pStyle w:val="Bodytext310"/>
        <w:shd w:val="clear" w:color="auto" w:fill="auto"/>
        <w:spacing w:after="160" w:line="360" w:lineRule="auto"/>
        <w:ind w:firstLine="567"/>
        <w:jc w:val="both"/>
        <w:rPr>
          <w:rFonts w:ascii="Sylfaen" w:hAnsi="Sylfaen"/>
          <w:i w:val="0"/>
          <w:sz w:val="24"/>
          <w:szCs w:val="24"/>
        </w:rPr>
      </w:pPr>
      <w:r w:rsidRPr="00040909">
        <w:rPr>
          <w:rStyle w:val="Bodytext31Sylfaen23"/>
          <w:i/>
          <w:sz w:val="24"/>
          <w:szCs w:val="24"/>
        </w:rPr>
        <w:t>ԿՐԿՆԵԼԻՈՒԹՅՈՒՆ</w:t>
      </w:r>
    </w:p>
    <w:p w14:paraId="14982100"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Style w:val="Bodytext31Sylfaen23"/>
          <w:sz w:val="24"/>
          <w:szCs w:val="24"/>
        </w:rPr>
        <w:t>Փորձարկվող նմուշներ:</w:t>
      </w:r>
      <w:r w:rsidRPr="00E02A63">
        <w:rPr>
          <w:rStyle w:val="Bodytext31Sylfaen"/>
          <w:sz w:val="24"/>
          <w:szCs w:val="24"/>
        </w:rPr>
        <w:t xml:space="preserve"> Պատրաստում են բաղադրամասի վեց առանձին նմուշներ, որտեղ ավելացնում են նշված կոնցենտրացիայով կամ երեք կրկնվող փորձերի համար երեք կոնցենտրացիայով համապատասխան ստանդարտ նմուշ: </w:t>
      </w:r>
    </w:p>
    <w:p w14:paraId="2B36B26D"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Fonts w:ascii="Sylfaen" w:hAnsi="Sylfaen"/>
          <w:i w:val="0"/>
          <w:sz w:val="24"/>
          <w:szCs w:val="24"/>
        </w:rPr>
        <w:t>Ընդունելիության չափորոշիչներ՝</w:t>
      </w:r>
      <w:r w:rsidRPr="00E02A63">
        <w:rPr>
          <w:rStyle w:val="Bodytext31Sylfaen"/>
          <w:sz w:val="24"/>
          <w:szCs w:val="24"/>
        </w:rPr>
        <w:t xml:space="preserve"> </w:t>
      </w:r>
      <w:r w:rsidRPr="00E02A63">
        <w:rPr>
          <w:rFonts w:ascii="Sylfaen" w:hAnsi="Sylfaen"/>
          <w:i w:val="0"/>
          <w:sz w:val="24"/>
          <w:szCs w:val="24"/>
        </w:rPr>
        <w:t>երկու դեպքում էլ հարաբերական ստանդարտ շեղումը պետք է կազմի 20 %-ից ոչ ավելի:</w:t>
      </w:r>
    </w:p>
    <w:p w14:paraId="6C67C6A1" w14:textId="77777777" w:rsidR="00B834A2" w:rsidRPr="00E02A63" w:rsidRDefault="00B834A2" w:rsidP="00B834A2">
      <w:pPr>
        <w:pStyle w:val="Bodytext310"/>
        <w:shd w:val="clear" w:color="auto" w:fill="auto"/>
        <w:spacing w:after="160" w:line="360" w:lineRule="auto"/>
        <w:ind w:firstLine="567"/>
        <w:jc w:val="both"/>
        <w:rPr>
          <w:rStyle w:val="Bodytext31Sylfaen23"/>
          <w:sz w:val="24"/>
          <w:szCs w:val="24"/>
        </w:rPr>
      </w:pPr>
    </w:p>
    <w:p w14:paraId="643BEFD1" w14:textId="77777777" w:rsidR="00B834A2" w:rsidRPr="00040909" w:rsidRDefault="00B834A2" w:rsidP="00B834A2">
      <w:pPr>
        <w:pStyle w:val="Bodytext310"/>
        <w:shd w:val="clear" w:color="auto" w:fill="auto"/>
        <w:spacing w:after="160" w:line="360" w:lineRule="auto"/>
        <w:ind w:firstLine="567"/>
        <w:jc w:val="both"/>
        <w:rPr>
          <w:rFonts w:ascii="Sylfaen" w:hAnsi="Sylfaen"/>
          <w:i w:val="0"/>
          <w:sz w:val="24"/>
          <w:szCs w:val="24"/>
        </w:rPr>
      </w:pPr>
      <w:r w:rsidRPr="00040909">
        <w:rPr>
          <w:rStyle w:val="Bodytext31Sylfaen23"/>
          <w:i/>
          <w:sz w:val="24"/>
          <w:szCs w:val="24"/>
        </w:rPr>
        <w:t>ՄԻՋԱՆԿՅԱԼ ՃՇԳՐՏՈՒԹՅՈՒՆ</w:t>
      </w:r>
    </w:p>
    <w:p w14:paraId="6A6C2354"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Style w:val="Bodytext31Sylfaen"/>
          <w:sz w:val="24"/>
          <w:szCs w:val="24"/>
        </w:rPr>
        <w:t>Պետք է սահմանվի մեթոդիկայի վերլուծական ճշգրտության վրա պատահական գործոնների ազդեցությունը (ներլաբորատոր տատանում): Միջանկյալ ճշգրտության սահմանման համար փորձարկումները ներառում են տարբեր օրերին կամ տարբեր սարքերով կամ տարբեր վերլուծողներով անալիզի կրկնություն: Միջանկյալ ճշգրտության հաստատման համար պահանջվում է երեք փորձարկումներից միայն մեկը:</w:t>
      </w:r>
    </w:p>
    <w:p w14:paraId="519437C3"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040909">
        <w:rPr>
          <w:rStyle w:val="Bodytext31Sylfaen23"/>
          <w:i/>
          <w:spacing w:val="-4"/>
          <w:sz w:val="24"/>
          <w:szCs w:val="24"/>
        </w:rPr>
        <w:t>Ընդունելիության չափորոշիչներ</w:t>
      </w:r>
      <w:r w:rsidRPr="00E02A63">
        <w:rPr>
          <w:rStyle w:val="Bodytext31Sylfaen23"/>
          <w:spacing w:val="-4"/>
          <w:sz w:val="24"/>
          <w:szCs w:val="24"/>
        </w:rPr>
        <w:t>՝</w:t>
      </w:r>
      <w:r w:rsidRPr="00E02A63">
        <w:rPr>
          <w:rStyle w:val="Bodytext31Sylfaen"/>
          <w:spacing w:val="-4"/>
          <w:sz w:val="24"/>
          <w:szCs w:val="24"/>
        </w:rPr>
        <w:t xml:space="preserve"> հարաբերական ստանդարտ շեղումը պետք է լինի 25 %-</w:t>
      </w:r>
      <w:r w:rsidRPr="00E02A63">
        <w:rPr>
          <w:rStyle w:val="Bodytext31Sylfaen"/>
          <w:sz w:val="24"/>
          <w:szCs w:val="24"/>
        </w:rPr>
        <w:t>ից ոչ ավելի:</w:t>
      </w:r>
    </w:p>
    <w:p w14:paraId="3E2C2369" w14:textId="77777777" w:rsidR="00E02A63" w:rsidRDefault="00E02A63">
      <w:pPr>
        <w:rPr>
          <w:rStyle w:val="Bodytext31Sylfaen23"/>
          <w:i w:val="0"/>
          <w:iCs w:val="0"/>
          <w:sz w:val="24"/>
          <w:szCs w:val="24"/>
        </w:rPr>
      </w:pPr>
      <w:r>
        <w:rPr>
          <w:rStyle w:val="Bodytext31Sylfaen23"/>
          <w:i w:val="0"/>
          <w:iCs w:val="0"/>
          <w:sz w:val="24"/>
          <w:szCs w:val="24"/>
        </w:rPr>
        <w:br w:type="page"/>
      </w:r>
    </w:p>
    <w:p w14:paraId="3E573861" w14:textId="77777777" w:rsidR="00B834A2" w:rsidRPr="00040909" w:rsidRDefault="00B834A2" w:rsidP="00B834A2">
      <w:pPr>
        <w:pStyle w:val="Bodytext310"/>
        <w:shd w:val="clear" w:color="auto" w:fill="auto"/>
        <w:spacing w:after="160" w:line="360" w:lineRule="auto"/>
        <w:ind w:firstLine="567"/>
        <w:jc w:val="both"/>
        <w:rPr>
          <w:rFonts w:ascii="Sylfaen" w:hAnsi="Sylfaen"/>
          <w:i w:val="0"/>
          <w:sz w:val="24"/>
          <w:szCs w:val="24"/>
        </w:rPr>
      </w:pPr>
      <w:r w:rsidRPr="00040909">
        <w:rPr>
          <w:rStyle w:val="Bodytext31Sylfaen23"/>
          <w:i/>
          <w:sz w:val="24"/>
          <w:szCs w:val="24"/>
        </w:rPr>
        <w:lastRenderedPageBreak/>
        <w:t>ՔԱՆԱԿԱԿԱՆ ՈՐՈՇՄԱՆ ՍԱՀՄԱՆ</w:t>
      </w:r>
    </w:p>
    <w:p w14:paraId="331AB4C9"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Style w:val="Bodytext31Sylfaen"/>
          <w:sz w:val="24"/>
          <w:szCs w:val="24"/>
        </w:rPr>
        <w:t>Օգտագործում են ճշտության որոշման արդյունքները: Որոշում են ընդունելիության չափորոշիչներին համապատասխանող նվազագույն կոնցենտրացիան:</w:t>
      </w:r>
    </w:p>
    <w:p w14:paraId="22964ACE"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Ընդունելիության չափորոշիչներ</w:t>
      </w:r>
      <w:r w:rsidRPr="00E02A63">
        <w:rPr>
          <w:rStyle w:val="Bodytext31Sylfaen23"/>
          <w:sz w:val="24"/>
          <w:szCs w:val="24"/>
        </w:rPr>
        <w:t>՝</w:t>
      </w:r>
      <w:r w:rsidRPr="00E02A63">
        <w:rPr>
          <w:rStyle w:val="Bodytext31Sylfaen"/>
          <w:sz w:val="24"/>
          <w:szCs w:val="24"/>
        </w:rPr>
        <w:t xml:space="preserve"> քանակական որոշման սահմանը պետք է լինի մասնագրում նշված սահմանից ցածր:</w:t>
      </w:r>
    </w:p>
    <w:p w14:paraId="7AC074C2" w14:textId="77777777" w:rsidR="00B834A2" w:rsidRPr="00B834A2" w:rsidRDefault="00B834A2" w:rsidP="00B834A2">
      <w:pPr>
        <w:pStyle w:val="Bodytext310"/>
        <w:shd w:val="clear" w:color="auto" w:fill="auto"/>
        <w:spacing w:after="160" w:line="360" w:lineRule="auto"/>
        <w:ind w:firstLine="567"/>
        <w:jc w:val="both"/>
        <w:rPr>
          <w:rStyle w:val="Bodytext31Sylfaen23"/>
          <w:sz w:val="24"/>
          <w:szCs w:val="24"/>
        </w:rPr>
      </w:pPr>
    </w:p>
    <w:p w14:paraId="444C31F5" w14:textId="77777777" w:rsidR="00B834A2" w:rsidRPr="009335B9"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ՀԱՅՏՆԱԲԵՐՄԱՆ ՍԱՀՄԱՆ</w:t>
      </w:r>
    </w:p>
    <w:p w14:paraId="3A256B08" w14:textId="77777777" w:rsidR="00B834A2" w:rsidRPr="009335B9"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(միայն խառնուկների սահմանային պարունակության մասով փորձարկումների համար)</w:t>
      </w:r>
    </w:p>
    <w:p w14:paraId="4887E261" w14:textId="77777777" w:rsidR="00B834A2" w:rsidRPr="00E02A63" w:rsidRDefault="00B834A2" w:rsidP="00B834A2">
      <w:pPr>
        <w:pStyle w:val="Bodytext310"/>
        <w:shd w:val="clear" w:color="auto" w:fill="auto"/>
        <w:spacing w:after="160" w:line="360" w:lineRule="auto"/>
        <w:ind w:firstLine="567"/>
        <w:jc w:val="both"/>
        <w:rPr>
          <w:rFonts w:ascii="Sylfaen" w:hAnsi="Sylfaen"/>
          <w:i w:val="0"/>
          <w:sz w:val="24"/>
          <w:szCs w:val="24"/>
        </w:rPr>
      </w:pPr>
      <w:r w:rsidRPr="00E02A63">
        <w:rPr>
          <w:rStyle w:val="Bodytext31Sylfaen"/>
          <w:sz w:val="24"/>
          <w:szCs w:val="24"/>
        </w:rPr>
        <w:t>Որոշում են նվազագույն կոնցենտրացիան, որի համար անալիտիկ ազդանշանը հստակ տարբերվում է ստուգիչ լուծույթի անալիտիկ ազդանշանից:</w:t>
      </w:r>
    </w:p>
    <w:p w14:paraId="2004803A" w14:textId="77777777" w:rsidR="00B834A2" w:rsidRPr="00E02A63" w:rsidRDefault="00B834A2" w:rsidP="00B834A2">
      <w:pPr>
        <w:spacing w:after="160" w:line="360" w:lineRule="auto"/>
        <w:ind w:firstLine="567"/>
        <w:jc w:val="both"/>
        <w:rPr>
          <w:rStyle w:val="Bodytext31Sylfaen"/>
          <w:i w:val="0"/>
          <w:sz w:val="24"/>
          <w:szCs w:val="24"/>
        </w:rPr>
      </w:pPr>
      <w:r w:rsidRPr="009335B9">
        <w:rPr>
          <w:rStyle w:val="Bodytext31Sylfaen23"/>
          <w:sz w:val="24"/>
          <w:szCs w:val="24"/>
        </w:rPr>
        <w:t>Ընդունելիության չափորոշիչներ</w:t>
      </w:r>
      <w:r w:rsidRPr="00E02A63">
        <w:rPr>
          <w:rStyle w:val="Bodytext31Sylfaen23"/>
          <w:i w:val="0"/>
          <w:sz w:val="24"/>
          <w:szCs w:val="24"/>
        </w:rPr>
        <w:t>՝</w:t>
      </w:r>
      <w:r w:rsidRPr="00E02A63">
        <w:rPr>
          <w:rStyle w:val="Bodytext31Sylfaen"/>
          <w:i w:val="0"/>
          <w:sz w:val="24"/>
          <w:szCs w:val="24"/>
        </w:rPr>
        <w:t xml:space="preserve"> հայտնաբերման սահմանը պետք է կազմի մասնագրում նշված սահմանին համապատասխանող կոնցենտրացիայի 0,5-ից ոչ ավելին: </w:t>
      </w:r>
    </w:p>
    <w:p w14:paraId="67B7F481" w14:textId="77777777" w:rsidR="00B834A2" w:rsidRPr="00E02A63" w:rsidRDefault="00B834A2" w:rsidP="00B834A2">
      <w:pPr>
        <w:spacing w:after="160" w:line="360" w:lineRule="auto"/>
        <w:ind w:firstLine="567"/>
        <w:rPr>
          <w:rStyle w:val="Bodytext31Sylfaen"/>
          <w:i w:val="0"/>
          <w:sz w:val="24"/>
          <w:szCs w:val="24"/>
        </w:rPr>
      </w:pPr>
    </w:p>
    <w:p w14:paraId="172BE4FD"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35B9">
        <w:rPr>
          <w:rStyle w:val="Bodytext31Sylfaen22"/>
          <w:sz w:val="20"/>
          <w:szCs w:val="24"/>
        </w:rPr>
        <w:t>201040024-2022</w:t>
      </w:r>
    </w:p>
    <w:p w14:paraId="09FC7583" w14:textId="77777777" w:rsidR="009335B9" w:rsidRPr="009217DE" w:rsidRDefault="009335B9" w:rsidP="00B834A2">
      <w:pPr>
        <w:pStyle w:val="Bodytext310"/>
        <w:shd w:val="clear" w:color="auto" w:fill="auto"/>
        <w:spacing w:after="160" w:line="360" w:lineRule="auto"/>
        <w:jc w:val="right"/>
        <w:rPr>
          <w:rFonts w:ascii="Sylfaen" w:hAnsi="Sylfaen"/>
          <w:i w:val="0"/>
          <w:sz w:val="20"/>
          <w:szCs w:val="24"/>
        </w:rPr>
      </w:pPr>
    </w:p>
    <w:p w14:paraId="3534CD86" w14:textId="77777777" w:rsidR="00B834A2" w:rsidRPr="00E02A63" w:rsidRDefault="00B834A2" w:rsidP="00E02A63">
      <w:pPr>
        <w:pStyle w:val="Bodytext310"/>
        <w:shd w:val="clear" w:color="auto" w:fill="auto"/>
        <w:tabs>
          <w:tab w:val="left" w:pos="1701"/>
        </w:tabs>
        <w:spacing w:after="160" w:line="360" w:lineRule="auto"/>
        <w:ind w:firstLine="567"/>
        <w:jc w:val="both"/>
        <w:rPr>
          <w:rFonts w:ascii="Sylfaen" w:hAnsi="Sylfaen"/>
          <w:i w:val="0"/>
          <w:sz w:val="24"/>
          <w:szCs w:val="24"/>
        </w:rPr>
      </w:pPr>
      <w:r w:rsidRPr="00E02A63">
        <w:rPr>
          <w:rStyle w:val="Bodytext31Sylfaen20"/>
          <w:sz w:val="24"/>
          <w:szCs w:val="24"/>
        </w:rPr>
        <w:t>2.1.4.24.</w:t>
      </w:r>
      <w:r w:rsidR="00E02A63" w:rsidRPr="00097504">
        <w:rPr>
          <w:rStyle w:val="Bodytext31Sylfaen20"/>
          <w:sz w:val="24"/>
          <w:szCs w:val="24"/>
        </w:rPr>
        <w:tab/>
      </w:r>
      <w:r w:rsidRPr="00E02A63">
        <w:rPr>
          <w:rStyle w:val="Bodytext31Sylfaen20"/>
          <w:sz w:val="24"/>
          <w:szCs w:val="24"/>
        </w:rPr>
        <w:t>Էթիլենօքսիդի եւ դիօքսինի որոշում</w:t>
      </w:r>
    </w:p>
    <w:p w14:paraId="45BD6A97" w14:textId="77777777" w:rsidR="00B834A2" w:rsidRPr="00097504" w:rsidRDefault="00B834A2" w:rsidP="00B834A2">
      <w:pPr>
        <w:pStyle w:val="Bodytext310"/>
        <w:shd w:val="clear" w:color="auto" w:fill="auto"/>
        <w:spacing w:after="160" w:line="360" w:lineRule="auto"/>
        <w:ind w:firstLine="567"/>
        <w:jc w:val="both"/>
        <w:rPr>
          <w:rStyle w:val="Bodytext31Sylfaen"/>
          <w:sz w:val="24"/>
          <w:szCs w:val="24"/>
        </w:rPr>
      </w:pPr>
      <w:r w:rsidRPr="00E02A63">
        <w:rPr>
          <w:rStyle w:val="Bodytext31Sylfaen"/>
          <w:sz w:val="24"/>
          <w:szCs w:val="24"/>
        </w:rPr>
        <w:t>Փորձարկումը նախատեսված է ջրում կամ դիմեթիլացետամիդում լուծվող բաղադրամասերում էթիլենօքսիդի եւ դիօքսինի մնացորդային քանակությունների պարունակության որոշման համար: Այդ լուծիչներում չլուծվող կամ ոչ բավարար լուծվող բաղադրամասերի համար նմուշի լուծույթի պատրաստումը եւ շոգեֆազային գազային քրոմատագրման մեթոդի որոշման պայմանները նշվում են մասնավոր դեղագրքային հոդվածում:</w:t>
      </w:r>
    </w:p>
    <w:p w14:paraId="0EAF05B0"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lastRenderedPageBreak/>
        <w:t>Որոշումն անցկացնում են շոգեֆազային գազային քրոմատագրման մեթոդով (2.1.2.27):</w:t>
      </w:r>
    </w:p>
    <w:p w14:paraId="6B79FAD1" w14:textId="77777777" w:rsidR="00B834A2" w:rsidRPr="00EF5298" w:rsidRDefault="00B834A2" w:rsidP="00DD3A5C">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A.</w:t>
      </w:r>
      <w:r w:rsidR="00DD3A5C" w:rsidRPr="006B7DC5">
        <w:rPr>
          <w:rFonts w:ascii="Sylfaen" w:hAnsi="Sylfaen"/>
          <w:i w:val="0"/>
          <w:sz w:val="24"/>
          <w:szCs w:val="24"/>
        </w:rPr>
        <w:tab/>
      </w:r>
      <w:r w:rsidRPr="00EF5298">
        <w:rPr>
          <w:rFonts w:ascii="Sylfaen" w:hAnsi="Sylfaen"/>
          <w:i w:val="0"/>
          <w:sz w:val="24"/>
          <w:szCs w:val="24"/>
        </w:rPr>
        <w:t xml:space="preserve">Լուծվող կամ ջրի հետ միախառնվող նմուշների համար կարող է օգտագործվել հետեւյալ մեթոդիկան: </w:t>
      </w:r>
    </w:p>
    <w:p w14:paraId="41980183"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Փորձարկվող լուծույթ:</w:t>
      </w:r>
      <w:r w:rsidRPr="00EF5298">
        <w:rPr>
          <w:rStyle w:val="Bodytext31Sylfaen"/>
          <w:sz w:val="24"/>
          <w:szCs w:val="24"/>
        </w:rPr>
        <w:t xml:space="preserve"> </w:t>
      </w:r>
      <w:r w:rsidRPr="00EF5298">
        <w:rPr>
          <w:rFonts w:ascii="Sylfaen" w:hAnsi="Sylfaen"/>
          <w:i w:val="0"/>
          <w:sz w:val="24"/>
          <w:szCs w:val="24"/>
        </w:rPr>
        <w:t>1,00 գ (</w:t>
      </w:r>
      <w:r w:rsidRPr="009335B9">
        <w:rPr>
          <w:rFonts w:ascii="Sylfaen" w:hAnsi="Sylfaen"/>
          <w:sz w:val="24"/>
          <w:szCs w:val="24"/>
        </w:rPr>
        <w:t>m</w:t>
      </w:r>
      <w:r w:rsidRPr="009335B9">
        <w:rPr>
          <w:rFonts w:ascii="Sylfaen" w:hAnsi="Sylfaen"/>
          <w:sz w:val="24"/>
          <w:szCs w:val="24"/>
          <w:vertAlign w:val="subscript"/>
        </w:rPr>
        <w:t>1</w:t>
      </w:r>
      <w:r w:rsidRPr="00EF5298">
        <w:rPr>
          <w:rFonts w:ascii="Sylfaen" w:hAnsi="Sylfaen"/>
          <w:i w:val="0"/>
          <w:sz w:val="24"/>
          <w:szCs w:val="24"/>
        </w:rPr>
        <w:t>) փորձարկվող նմուշը կշռում են 10 մլ տարողությամբ սրվակում (պայմանավորված փորձարկման անցկացման պայմաններով՝ կարող են կիրառվել այլ ծավալի սրվակներ) եւ ավելացնում են 1,0</w:t>
      </w:r>
      <w:r w:rsidR="00DD3A5C" w:rsidRPr="00DD3A5C">
        <w:rPr>
          <w:rFonts w:ascii="Sylfaen" w:hAnsi="Sylfaen"/>
          <w:i w:val="0"/>
          <w:sz w:val="24"/>
          <w:szCs w:val="24"/>
        </w:rPr>
        <w:t> </w:t>
      </w:r>
      <w:r w:rsidRPr="00EF5298">
        <w:rPr>
          <w:rFonts w:ascii="Sylfaen" w:hAnsi="Sylfaen"/>
          <w:i w:val="0"/>
          <w:sz w:val="24"/>
          <w:szCs w:val="24"/>
        </w:rPr>
        <w:t>մլ Р ջուր:</w:t>
      </w:r>
      <w:r w:rsidRPr="00EF5298">
        <w:rPr>
          <w:rStyle w:val="Bodytext31Sylfaen23"/>
          <w:sz w:val="24"/>
          <w:szCs w:val="24"/>
        </w:rPr>
        <w:t xml:space="preserve"> </w:t>
      </w:r>
      <w:r w:rsidRPr="00EF5298">
        <w:rPr>
          <w:rStyle w:val="Bodytext31Sylfaen"/>
          <w:sz w:val="24"/>
          <w:szCs w:val="24"/>
        </w:rPr>
        <w:t>Սրվակը փակում են, պարունակությունը միախառնում՝ մինչեւ միասեռ զանգված ստանալը, եւ պահում 70 °С ջերմաստիճանում 45 րոպե:</w:t>
      </w:r>
    </w:p>
    <w:p w14:paraId="7F7ED37B"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Համեմատման լուծույթ (ա):</w:t>
      </w:r>
      <w:r w:rsidRPr="00EF5298">
        <w:rPr>
          <w:rStyle w:val="Bodytext31Sylfaen"/>
          <w:sz w:val="24"/>
          <w:szCs w:val="24"/>
        </w:rPr>
        <w:t xml:space="preserve"> </w:t>
      </w:r>
      <w:r w:rsidRPr="00EF5298">
        <w:rPr>
          <w:rFonts w:ascii="Sylfaen" w:hAnsi="Sylfaen"/>
          <w:i w:val="0"/>
          <w:sz w:val="24"/>
          <w:szCs w:val="24"/>
        </w:rPr>
        <w:t>1,00 գ (</w:t>
      </w:r>
      <w:r w:rsidRPr="009335B9">
        <w:rPr>
          <w:rFonts w:ascii="Sylfaen" w:hAnsi="Sylfaen"/>
          <w:sz w:val="24"/>
          <w:szCs w:val="24"/>
        </w:rPr>
        <w:t>m</w:t>
      </w:r>
      <w:r w:rsidRPr="009335B9">
        <w:rPr>
          <w:rFonts w:ascii="Sylfaen" w:hAnsi="Sylfaen"/>
          <w:sz w:val="24"/>
          <w:szCs w:val="24"/>
          <w:vertAlign w:val="subscript"/>
        </w:rPr>
        <w:t>0</w:t>
      </w:r>
      <w:r w:rsidRPr="00EF5298">
        <w:rPr>
          <w:rFonts w:ascii="Sylfaen" w:hAnsi="Sylfaen"/>
          <w:i w:val="0"/>
          <w:sz w:val="24"/>
          <w:szCs w:val="24"/>
        </w:rPr>
        <w:t>) փորձարկվող լուծույթը կշռում են 10 մլ տարողությամբ նմանատիպ սրվակում, ավելացնում են 0,50 մլ Р2 դիօքսանի լուծույթ եւ 0,50 մլ РЗ էթիլենօքսիդի լուծույթ:</w:t>
      </w:r>
      <w:r w:rsidR="00696072">
        <w:rPr>
          <w:rFonts w:ascii="Sylfaen" w:hAnsi="Sylfaen"/>
          <w:i w:val="0"/>
          <w:sz w:val="24"/>
          <w:szCs w:val="24"/>
        </w:rPr>
        <w:t xml:space="preserve"> </w:t>
      </w:r>
      <w:r w:rsidRPr="00EF5298">
        <w:rPr>
          <w:rStyle w:val="Bodytext31Sylfaen"/>
          <w:sz w:val="24"/>
          <w:szCs w:val="24"/>
        </w:rPr>
        <w:t>Սրվակը փակում են, պարունակությունը միախառնում են մինչեւ միասեռ զանգված ստանալը եւ պահում են 70 °С ջերմաստիճանում 45 րոպե:</w:t>
      </w:r>
    </w:p>
    <w:p w14:paraId="3F840E2B"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Համեմատման լուծույթը (բ)։</w:t>
      </w:r>
      <w:r w:rsidRPr="00EF5298">
        <w:rPr>
          <w:rStyle w:val="Bodytext31Sylfaen"/>
          <w:sz w:val="24"/>
          <w:szCs w:val="24"/>
        </w:rPr>
        <w:t xml:space="preserve"> </w:t>
      </w:r>
      <w:r w:rsidRPr="00EF5298">
        <w:rPr>
          <w:rFonts w:ascii="Sylfaen" w:hAnsi="Sylfaen"/>
          <w:i w:val="0"/>
          <w:sz w:val="24"/>
          <w:szCs w:val="24"/>
        </w:rPr>
        <w:t xml:space="preserve">0,50 մլ РЗ էթիլենօքսիդի լուծույթը տեղադրում են 10 մլ տարողությամբ սրվակում, ավելացնում են 0,1 մլ Р ացետալդեհիդի 10մգ/լ </w:t>
      </w:r>
      <w:r w:rsidRPr="00EF5298">
        <w:rPr>
          <w:rFonts w:ascii="Sylfaen" w:hAnsi="Sylfaen"/>
          <w:i w:val="0"/>
          <w:spacing w:val="6"/>
          <w:sz w:val="24"/>
          <w:szCs w:val="24"/>
        </w:rPr>
        <w:t>թարմ պատրաստված լուծույթ եւ 0,10 մլ Р1 դիօքսանի լուծույթ:</w:t>
      </w:r>
      <w:r w:rsidRPr="00EF5298">
        <w:rPr>
          <w:rStyle w:val="Bodytext31Sylfaen"/>
          <w:spacing w:val="6"/>
          <w:sz w:val="24"/>
          <w:szCs w:val="24"/>
        </w:rPr>
        <w:t xml:space="preserve"> Սրվակը փակում են, պարունակությունը</w:t>
      </w:r>
      <w:r w:rsidRPr="00EF5298">
        <w:rPr>
          <w:rStyle w:val="Bodytext31Sylfaen"/>
          <w:spacing w:val="4"/>
          <w:sz w:val="24"/>
          <w:szCs w:val="24"/>
        </w:rPr>
        <w:t xml:space="preserve"> միախառնում են՝ մինչեւ միասեռ զանգված ստանալը, եւ պահում</w:t>
      </w:r>
      <w:r w:rsidRPr="00EF5298">
        <w:rPr>
          <w:rStyle w:val="Bodytext31Sylfaen"/>
          <w:sz w:val="24"/>
          <w:szCs w:val="24"/>
        </w:rPr>
        <w:t xml:space="preserve"> են 70 °С ջերմաստիճանում</w:t>
      </w:r>
      <w:r w:rsidRPr="00EF5298">
        <w:rPr>
          <w:rStyle w:val="Bodytext31Sylfaen"/>
          <w:spacing w:val="-6"/>
          <w:sz w:val="24"/>
          <w:szCs w:val="24"/>
        </w:rPr>
        <w:t xml:space="preserve"> </w:t>
      </w:r>
      <w:r w:rsidRPr="00EF5298">
        <w:rPr>
          <w:rStyle w:val="Bodytext31Sylfaen"/>
          <w:sz w:val="24"/>
          <w:szCs w:val="24"/>
        </w:rPr>
        <w:t>45 րոպե:</w:t>
      </w:r>
    </w:p>
    <w:p w14:paraId="48206475" w14:textId="77777777" w:rsidR="00B834A2" w:rsidRPr="00EF5298" w:rsidRDefault="009335B9" w:rsidP="00DD3A5C">
      <w:pPr>
        <w:pStyle w:val="Bodytext310"/>
        <w:shd w:val="clear" w:color="auto" w:fill="auto"/>
        <w:tabs>
          <w:tab w:val="left" w:pos="1134"/>
        </w:tabs>
        <w:spacing w:after="160" w:line="360" w:lineRule="auto"/>
        <w:ind w:firstLine="567"/>
        <w:jc w:val="both"/>
        <w:rPr>
          <w:rFonts w:ascii="Sylfaen" w:hAnsi="Sylfaen"/>
          <w:i w:val="0"/>
          <w:sz w:val="24"/>
          <w:szCs w:val="24"/>
        </w:rPr>
      </w:pPr>
      <w:r w:rsidRPr="008F5B6F">
        <w:rPr>
          <w:rFonts w:ascii="Sylfaen" w:hAnsi="Sylfaen"/>
          <w:i w:val="0"/>
          <w:sz w:val="24"/>
          <w:szCs w:val="24"/>
        </w:rPr>
        <w:t>B</w:t>
      </w:r>
      <w:r w:rsidR="00DD3A5C" w:rsidRPr="00DD3A5C">
        <w:rPr>
          <w:rFonts w:ascii="Sylfaen" w:hAnsi="Sylfaen"/>
          <w:i w:val="0"/>
          <w:sz w:val="24"/>
          <w:szCs w:val="24"/>
        </w:rPr>
        <w:tab/>
      </w:r>
      <w:r w:rsidR="00B834A2" w:rsidRPr="00EF5298">
        <w:rPr>
          <w:rFonts w:ascii="Sylfaen" w:hAnsi="Sylfaen"/>
          <w:i w:val="0"/>
          <w:sz w:val="24"/>
          <w:szCs w:val="24"/>
        </w:rPr>
        <w:t>Լուծվող կամ դիմեթիլենացետամիդով խառնվող նմուշների համար կարող է օգտագործվել հետեւյալ մեթոդիկան:</w:t>
      </w:r>
    </w:p>
    <w:p w14:paraId="1DBAB85E"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Փորձարկվող լուծույթ:</w:t>
      </w:r>
      <w:r w:rsidRPr="009335B9">
        <w:rPr>
          <w:rStyle w:val="Bodytext31Sylfaen"/>
          <w:i/>
          <w:sz w:val="24"/>
          <w:szCs w:val="24"/>
        </w:rPr>
        <w:t xml:space="preserve"> </w:t>
      </w:r>
      <w:r w:rsidRPr="00EF5298">
        <w:rPr>
          <w:rFonts w:ascii="Sylfaen" w:hAnsi="Sylfaen"/>
          <w:i w:val="0"/>
          <w:sz w:val="24"/>
          <w:szCs w:val="24"/>
        </w:rPr>
        <w:t>1,00 գ (</w:t>
      </w:r>
      <w:r w:rsidRPr="009335B9">
        <w:rPr>
          <w:rFonts w:ascii="Sylfaen" w:hAnsi="Sylfaen"/>
          <w:sz w:val="24"/>
          <w:szCs w:val="24"/>
        </w:rPr>
        <w:t>m</w:t>
      </w:r>
      <w:r w:rsidRPr="009335B9">
        <w:rPr>
          <w:rFonts w:ascii="Sylfaen" w:hAnsi="Sylfaen"/>
          <w:sz w:val="24"/>
          <w:szCs w:val="24"/>
          <w:vertAlign w:val="subscript"/>
        </w:rPr>
        <w:t>1</w:t>
      </w:r>
      <w:r w:rsidRPr="00EF5298">
        <w:rPr>
          <w:rFonts w:ascii="Sylfaen" w:hAnsi="Sylfaen"/>
          <w:i w:val="0"/>
          <w:sz w:val="24"/>
          <w:szCs w:val="24"/>
        </w:rPr>
        <w:t xml:space="preserve">)փորձարկվող նմուշը տեղադրում են 10 մլ տարողությամբ սրվակում (պայմանավորված փորձարկման անցկացման պայմաններով՝ կարող են կիրառվել այլ ծավալի սրվակներ), ավելացնում են 0,20 մլ Р </w:t>
      </w:r>
      <w:r w:rsidRPr="009335B9">
        <w:rPr>
          <w:rFonts w:ascii="Sylfaen" w:hAnsi="Sylfaen"/>
          <w:sz w:val="24"/>
          <w:szCs w:val="24"/>
        </w:rPr>
        <w:t xml:space="preserve">ջուր </w:t>
      </w:r>
      <w:r w:rsidRPr="00EF5298">
        <w:rPr>
          <w:rFonts w:ascii="Sylfaen" w:hAnsi="Sylfaen"/>
          <w:i w:val="0"/>
          <w:sz w:val="24"/>
          <w:szCs w:val="24"/>
        </w:rPr>
        <w:t xml:space="preserve">եւ 1,0 մլ </w:t>
      </w:r>
      <w:r w:rsidRPr="009335B9">
        <w:rPr>
          <w:rFonts w:ascii="Sylfaen" w:hAnsi="Sylfaen"/>
          <w:sz w:val="24"/>
          <w:szCs w:val="24"/>
        </w:rPr>
        <w:t>Р դիմեթիլացետամիդ</w:t>
      </w:r>
      <w:r w:rsidRPr="00EF5298">
        <w:rPr>
          <w:rFonts w:ascii="Sylfaen" w:hAnsi="Sylfaen"/>
          <w:i w:val="0"/>
          <w:sz w:val="24"/>
          <w:szCs w:val="24"/>
        </w:rPr>
        <w:t xml:space="preserve">: </w:t>
      </w:r>
      <w:r w:rsidRPr="00EF5298">
        <w:rPr>
          <w:rStyle w:val="Bodytext31Sylfaen"/>
          <w:sz w:val="24"/>
          <w:szCs w:val="24"/>
        </w:rPr>
        <w:t>Սրվակը փակում են, պարունակությունը միախառնում են՝ մինչեւ միասեռ զանգված ստանալը, եւ պահում</w:t>
      </w:r>
      <w:r w:rsidR="00DD3A5C">
        <w:rPr>
          <w:rStyle w:val="Bodytext31Sylfaen"/>
          <w:sz w:val="24"/>
          <w:szCs w:val="24"/>
        </w:rPr>
        <w:t xml:space="preserve"> 70</w:t>
      </w:r>
      <w:r w:rsidRPr="00EF5298">
        <w:rPr>
          <w:rStyle w:val="Bodytext31Sylfaen"/>
          <w:sz w:val="24"/>
          <w:szCs w:val="24"/>
        </w:rPr>
        <w:t>°С ջերմաստիճանում 45 րոպե:</w:t>
      </w:r>
    </w:p>
    <w:p w14:paraId="1F3FBC27"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lastRenderedPageBreak/>
        <w:t>Համեմատման լուծույթ (ա):</w:t>
      </w:r>
      <w:r w:rsidRPr="00EF5298">
        <w:rPr>
          <w:rStyle w:val="Bodytext31Sylfaen"/>
          <w:sz w:val="24"/>
          <w:szCs w:val="24"/>
        </w:rPr>
        <w:t xml:space="preserve"> </w:t>
      </w:r>
      <w:r w:rsidRPr="00EF5298">
        <w:rPr>
          <w:rFonts w:ascii="Sylfaen" w:hAnsi="Sylfaen"/>
          <w:i w:val="0"/>
          <w:sz w:val="24"/>
          <w:szCs w:val="24"/>
        </w:rPr>
        <w:t xml:space="preserve">1.00 գ </w:t>
      </w:r>
      <w:r w:rsidRPr="009335B9">
        <w:rPr>
          <w:rFonts w:ascii="Sylfaen" w:hAnsi="Sylfaen"/>
          <w:sz w:val="24"/>
          <w:szCs w:val="24"/>
        </w:rPr>
        <w:t>(m</w:t>
      </w:r>
      <w:r w:rsidRPr="009335B9">
        <w:rPr>
          <w:rFonts w:ascii="Sylfaen" w:hAnsi="Sylfaen"/>
          <w:sz w:val="24"/>
          <w:szCs w:val="24"/>
          <w:vertAlign w:val="subscript"/>
        </w:rPr>
        <w:t>0</w:t>
      </w:r>
      <w:r w:rsidRPr="009335B9">
        <w:rPr>
          <w:rFonts w:ascii="Sylfaen" w:hAnsi="Sylfaen"/>
          <w:sz w:val="24"/>
          <w:szCs w:val="24"/>
        </w:rPr>
        <w:t>)</w:t>
      </w:r>
      <w:r w:rsidRPr="00EF5298">
        <w:rPr>
          <w:rFonts w:ascii="Sylfaen" w:hAnsi="Sylfaen"/>
          <w:i w:val="0"/>
          <w:sz w:val="24"/>
          <w:szCs w:val="24"/>
        </w:rPr>
        <w:t xml:space="preserve"> փորձարկվող լուծույթը տեղադրում են 10 մլ նմանատիպ սրվակում,ավելացնում են 0,10 մլ Р1 դիօքսինի լուծույթ, 0,10 </w:t>
      </w:r>
      <w:r w:rsidRPr="009335B9">
        <w:rPr>
          <w:rFonts w:ascii="Sylfaen" w:hAnsi="Sylfaen"/>
          <w:i w:val="0"/>
          <w:sz w:val="24"/>
          <w:szCs w:val="24"/>
        </w:rPr>
        <w:t>մլ</w:t>
      </w:r>
      <w:r w:rsidRPr="009335B9">
        <w:rPr>
          <w:rFonts w:ascii="Sylfaen" w:hAnsi="Sylfaen"/>
          <w:sz w:val="24"/>
          <w:szCs w:val="24"/>
        </w:rPr>
        <w:t xml:space="preserve"> Р2 էթիլենօքսիդի լուծույթ</w:t>
      </w:r>
      <w:r w:rsidRPr="00EF5298">
        <w:rPr>
          <w:rFonts w:ascii="Sylfaen" w:hAnsi="Sylfaen"/>
          <w:i w:val="0"/>
          <w:sz w:val="24"/>
          <w:szCs w:val="24"/>
        </w:rPr>
        <w:t xml:space="preserve"> եւ 1,մլ </w:t>
      </w:r>
      <w:r w:rsidRPr="009335B9">
        <w:rPr>
          <w:rFonts w:ascii="Sylfaen" w:hAnsi="Sylfaen"/>
          <w:sz w:val="24"/>
          <w:szCs w:val="24"/>
        </w:rPr>
        <w:t>Р դիմեթիլացետամիդի լուծույթ</w:t>
      </w:r>
      <w:r w:rsidRPr="00EF5298">
        <w:rPr>
          <w:rFonts w:ascii="Sylfaen" w:hAnsi="Sylfaen"/>
          <w:i w:val="0"/>
          <w:sz w:val="24"/>
          <w:szCs w:val="24"/>
        </w:rPr>
        <w:t>:</w:t>
      </w:r>
      <w:r w:rsidRPr="00EF5298">
        <w:rPr>
          <w:rStyle w:val="Bodytext31Sylfaen"/>
          <w:sz w:val="24"/>
          <w:szCs w:val="24"/>
        </w:rPr>
        <w:t xml:space="preserve"> Սրվակը փակում են, պարունակությունը միախառնում ՝ մինչեւ միասեռ զանգված ստանալը, եւ պահում 70 °С ջերմաստիճանում 45 րոպե:</w:t>
      </w:r>
    </w:p>
    <w:p w14:paraId="6B21DB03"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pacing w:val="-4"/>
          <w:sz w:val="24"/>
          <w:szCs w:val="24"/>
        </w:rPr>
        <w:t>Համեմատման լուծույթը (բ)։</w:t>
      </w:r>
      <w:r w:rsidRPr="00EF5298">
        <w:rPr>
          <w:rStyle w:val="Bodytext31Sylfaen"/>
          <w:spacing w:val="-4"/>
          <w:sz w:val="24"/>
          <w:szCs w:val="24"/>
        </w:rPr>
        <w:t xml:space="preserve"> </w:t>
      </w:r>
      <w:r w:rsidRPr="00EF5298">
        <w:rPr>
          <w:rFonts w:ascii="Sylfaen" w:hAnsi="Sylfaen"/>
          <w:i w:val="0"/>
          <w:spacing w:val="-4"/>
          <w:sz w:val="24"/>
          <w:szCs w:val="24"/>
        </w:rPr>
        <w:t xml:space="preserve">0,10 մլ </w:t>
      </w:r>
      <w:r w:rsidRPr="009335B9">
        <w:rPr>
          <w:rFonts w:ascii="Sylfaen" w:hAnsi="Sylfaen"/>
          <w:spacing w:val="-4"/>
          <w:sz w:val="24"/>
          <w:szCs w:val="24"/>
        </w:rPr>
        <w:t>Р2 էթիլենօքսիդի լուծույթը</w:t>
      </w:r>
      <w:r w:rsidRPr="00EF5298">
        <w:rPr>
          <w:rFonts w:ascii="Sylfaen" w:hAnsi="Sylfaen"/>
          <w:i w:val="0"/>
          <w:spacing w:val="-4"/>
          <w:sz w:val="24"/>
          <w:szCs w:val="24"/>
        </w:rPr>
        <w:t xml:space="preserve"> տեղադրում են 10</w:t>
      </w:r>
      <w:r w:rsidR="009335B9" w:rsidRPr="009335B9">
        <w:rPr>
          <w:rFonts w:ascii="Sylfaen" w:hAnsi="Sylfaen"/>
          <w:i w:val="0"/>
          <w:spacing w:val="-4"/>
          <w:sz w:val="24"/>
          <w:szCs w:val="24"/>
        </w:rPr>
        <w:t> </w:t>
      </w:r>
      <w:r w:rsidRPr="00EF5298">
        <w:rPr>
          <w:rFonts w:ascii="Sylfaen" w:hAnsi="Sylfaen"/>
          <w:i w:val="0"/>
          <w:spacing w:val="-4"/>
          <w:sz w:val="24"/>
          <w:szCs w:val="24"/>
        </w:rPr>
        <w:t xml:space="preserve">մլ տարողությամբ սրվակում, ավելացնում են 0,1 մլ </w:t>
      </w:r>
      <w:r w:rsidRPr="009335B9">
        <w:rPr>
          <w:rFonts w:ascii="Sylfaen" w:hAnsi="Sylfaen"/>
          <w:spacing w:val="-4"/>
          <w:sz w:val="24"/>
          <w:szCs w:val="24"/>
        </w:rPr>
        <w:t>Р ացետալդեհիդի</w:t>
      </w:r>
      <w:r w:rsidRPr="00EF5298">
        <w:rPr>
          <w:rFonts w:ascii="Sylfaen" w:hAnsi="Sylfaen"/>
          <w:i w:val="0"/>
          <w:spacing w:val="-4"/>
          <w:sz w:val="24"/>
          <w:szCs w:val="24"/>
        </w:rPr>
        <w:t xml:space="preserve"> 10մգ/լ թարմ պատրաստված լուծույթ եւ 0,10 մլ </w:t>
      </w:r>
      <w:r w:rsidRPr="009335B9">
        <w:rPr>
          <w:rFonts w:ascii="Sylfaen" w:hAnsi="Sylfaen"/>
          <w:spacing w:val="-4"/>
          <w:sz w:val="24"/>
          <w:szCs w:val="24"/>
        </w:rPr>
        <w:t>Р1 դիօքսինի լուծույթ</w:t>
      </w:r>
      <w:r w:rsidRPr="00EF5298">
        <w:rPr>
          <w:rFonts w:ascii="Sylfaen" w:hAnsi="Sylfaen"/>
          <w:i w:val="0"/>
          <w:spacing w:val="-4"/>
          <w:sz w:val="24"/>
          <w:szCs w:val="24"/>
        </w:rPr>
        <w:t>:</w:t>
      </w:r>
      <w:r w:rsidRPr="00EF5298">
        <w:rPr>
          <w:rStyle w:val="Bodytext31Sylfaen"/>
          <w:spacing w:val="-4"/>
          <w:sz w:val="24"/>
          <w:szCs w:val="24"/>
        </w:rPr>
        <w:t xml:space="preserve"> Սրվակը փակում են, պարունակությունը միախառնում են՝ մինչեւ միասեռ զանգված ստանալը, եւ պահում</w:t>
      </w:r>
      <w:r w:rsidR="00F076B2">
        <w:rPr>
          <w:rStyle w:val="Bodytext31Sylfaen"/>
          <w:sz w:val="24"/>
          <w:szCs w:val="24"/>
        </w:rPr>
        <w:t xml:space="preserve"> 70</w:t>
      </w:r>
      <w:r w:rsidR="00F076B2" w:rsidRPr="00F076B2">
        <w:rPr>
          <w:rStyle w:val="Bodytext31Sylfaen"/>
          <w:sz w:val="24"/>
          <w:szCs w:val="24"/>
        </w:rPr>
        <w:t xml:space="preserve"> </w:t>
      </w:r>
      <w:r w:rsidRPr="00EF5298">
        <w:rPr>
          <w:rStyle w:val="Bodytext31Sylfaen"/>
          <w:sz w:val="24"/>
          <w:szCs w:val="24"/>
        </w:rPr>
        <w:t>°С ջերմաստիճանում 45 րոպե:</w:t>
      </w:r>
    </w:p>
    <w:p w14:paraId="0CDC00CC" w14:textId="77777777" w:rsidR="00B834A2" w:rsidRPr="009335B9" w:rsidRDefault="00B834A2" w:rsidP="00B834A2">
      <w:pPr>
        <w:pStyle w:val="Bodytext310"/>
        <w:shd w:val="clear" w:color="auto" w:fill="auto"/>
        <w:spacing w:after="160" w:line="360" w:lineRule="auto"/>
        <w:ind w:firstLine="567"/>
        <w:jc w:val="both"/>
        <w:rPr>
          <w:rFonts w:ascii="Sylfaen" w:hAnsi="Sylfaen"/>
          <w:i w:val="0"/>
          <w:sz w:val="24"/>
          <w:szCs w:val="24"/>
        </w:rPr>
      </w:pPr>
      <w:r w:rsidRPr="009335B9">
        <w:rPr>
          <w:rStyle w:val="Bodytext31Sylfaen23"/>
          <w:i/>
          <w:sz w:val="24"/>
          <w:szCs w:val="24"/>
        </w:rPr>
        <w:t>Քրոմատագրման պայմաններ՝</w:t>
      </w:r>
    </w:p>
    <w:p w14:paraId="6F174B94"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097504">
        <w:rPr>
          <w:rFonts w:ascii="Sylfaen" w:hAnsi="Sylfaen"/>
          <w:i w:val="0"/>
          <w:sz w:val="24"/>
          <w:szCs w:val="24"/>
        </w:rPr>
        <w:tab/>
      </w:r>
      <w:r w:rsidRPr="00EF5298">
        <w:rPr>
          <w:rStyle w:val="Bodytext210pt8"/>
          <w:i/>
          <w:sz w:val="24"/>
          <w:szCs w:val="24"/>
        </w:rPr>
        <w:t>աշտարակ</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1,0 մկմ հաստությամբ Р պոլիդիմեթիլսիլօքսանի շերտով պատված՝ 30 մ երկարությամբ եւ 0,32 մմ ներքին տրամագծով ապակուց կամ ջերմակայուն քվարցից.</w:t>
      </w:r>
    </w:p>
    <w:p w14:paraId="6BBB52D1" w14:textId="77777777" w:rsidR="00B834A2" w:rsidRPr="009335B9" w:rsidRDefault="00B834A2" w:rsidP="00EF5298">
      <w:pPr>
        <w:pStyle w:val="Bodytext310"/>
        <w:shd w:val="clear" w:color="auto" w:fill="auto"/>
        <w:tabs>
          <w:tab w:val="left" w:pos="1134"/>
        </w:tabs>
        <w:spacing w:after="160" w:line="360" w:lineRule="auto"/>
        <w:ind w:firstLine="567"/>
        <w:jc w:val="both"/>
        <w:rPr>
          <w:rFonts w:ascii="Sylfaen" w:hAnsi="Sylfaen"/>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գազակիր՝</w:t>
      </w:r>
      <w:r w:rsidRPr="009335B9">
        <w:rPr>
          <w:rStyle w:val="Bodytext31Sylfaen23"/>
          <w:sz w:val="24"/>
          <w:szCs w:val="24"/>
        </w:rPr>
        <w:t xml:space="preserve"> </w:t>
      </w:r>
      <w:r w:rsidRPr="009335B9">
        <w:rPr>
          <w:rFonts w:ascii="Sylfaen" w:hAnsi="Sylfaen"/>
          <w:sz w:val="24"/>
          <w:szCs w:val="24"/>
        </w:rPr>
        <w:t xml:space="preserve">քրոմատագրման համար Р հելիում կամ քրոմատագրման համար Р ազոտ. </w:t>
      </w:r>
    </w:p>
    <w:p w14:paraId="0C65050E"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հոսքի արագություն.</w:t>
      </w:r>
      <w:r w:rsidRPr="00EF5298">
        <w:rPr>
          <w:rStyle w:val="Bodytext31Sylfaen"/>
          <w:sz w:val="24"/>
          <w:szCs w:val="24"/>
        </w:rPr>
        <w:t xml:space="preserve"> </w:t>
      </w:r>
      <w:r w:rsidRPr="00EF5298">
        <w:rPr>
          <w:rFonts w:ascii="Sylfaen" w:hAnsi="Sylfaen"/>
          <w:i w:val="0"/>
          <w:sz w:val="24"/>
          <w:szCs w:val="24"/>
        </w:rPr>
        <w:t>մոտ 20 սմ/վ.</w:t>
      </w:r>
    </w:p>
    <w:p w14:paraId="1A7F9792"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հոսքի բաժանում</w:t>
      </w:r>
      <w:r w:rsidRPr="00EF5298">
        <w:rPr>
          <w:rFonts w:ascii="Sylfaen" w:hAnsi="Sylfaen"/>
          <w:i w:val="0"/>
          <w:sz w:val="24"/>
          <w:szCs w:val="24"/>
        </w:rPr>
        <w:t>՝</w:t>
      </w:r>
      <w:r w:rsidRPr="00EF5298">
        <w:rPr>
          <w:rStyle w:val="Bodytext31Sylfaen"/>
          <w:sz w:val="24"/>
          <w:szCs w:val="24"/>
        </w:rPr>
        <w:t xml:space="preserve"> </w:t>
      </w:r>
      <w:r w:rsidRPr="00EF5298">
        <w:rPr>
          <w:rStyle w:val="Bodytext31Candara"/>
          <w:rFonts w:ascii="Sylfaen" w:hAnsi="Sylfaen"/>
          <w:sz w:val="24"/>
          <w:szCs w:val="24"/>
        </w:rPr>
        <w:t>1</w:t>
      </w:r>
      <w:r w:rsidRPr="00EF5298">
        <w:rPr>
          <w:rStyle w:val="Bodytext31Sylfaen"/>
          <w:sz w:val="24"/>
          <w:szCs w:val="24"/>
        </w:rPr>
        <w:t>:</w:t>
      </w:r>
      <w:r w:rsidRPr="00EF5298">
        <w:rPr>
          <w:rStyle w:val="Bodytext31Candara"/>
          <w:rFonts w:ascii="Sylfaen" w:hAnsi="Sylfaen"/>
          <w:sz w:val="24"/>
          <w:szCs w:val="24"/>
        </w:rPr>
        <w:t>20</w:t>
      </w:r>
      <w:r w:rsidRPr="00EF5298">
        <w:rPr>
          <w:rStyle w:val="Bodytext31Sylfaen"/>
          <w:sz w:val="24"/>
          <w:szCs w:val="24"/>
        </w:rPr>
        <w:t>;</w:t>
      </w:r>
    </w:p>
    <w:p w14:paraId="2BE67955"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դետեկտոր՝</w:t>
      </w:r>
      <w:r w:rsidRPr="00EF5298">
        <w:rPr>
          <w:rStyle w:val="Bodytext31Sylfaen"/>
          <w:sz w:val="24"/>
          <w:szCs w:val="24"/>
        </w:rPr>
        <w:t xml:space="preserve"> բոցաիոնային.</w:t>
      </w:r>
    </w:p>
    <w:p w14:paraId="43C97BAF"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փորձանմուշի ներմուծվող ծավալ</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համապատասխան ծավալ, օրինակ՝ 1,0 մլ փորձարկվող լուծույթ եւ համեմատման լուծույթներ՝ (ա) եւ (բ):</w:t>
      </w:r>
    </w:p>
    <w:p w14:paraId="239ABF32"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Style w:val="Bodytext31Sylfaen"/>
          <w:sz w:val="24"/>
          <w:szCs w:val="24"/>
        </w:rPr>
        <w:t>Գոլորշային ֆազի ներմուծման վիճակագրական պայմանները՝</w:t>
      </w:r>
    </w:p>
    <w:p w14:paraId="02A593BF"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հավասարակշռման ջերմաստիճանը՝</w:t>
      </w:r>
      <w:r w:rsidRPr="00EF5298">
        <w:rPr>
          <w:rStyle w:val="Bodytext31Sylfaen"/>
          <w:sz w:val="24"/>
          <w:szCs w:val="24"/>
        </w:rPr>
        <w:t xml:space="preserve"> 70 °С (90 °С դիմեցիլացետամիդում լուծույթների համար).</w:t>
      </w:r>
    </w:p>
    <w:p w14:paraId="2521AACE"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հավասարակշռման ժամանակը՝</w:t>
      </w:r>
      <w:r w:rsidRPr="00EF5298">
        <w:rPr>
          <w:rStyle w:val="Bodytext31Sylfaen"/>
          <w:sz w:val="24"/>
          <w:szCs w:val="24"/>
        </w:rPr>
        <w:t xml:space="preserve"> 45 րոպե.</w:t>
      </w:r>
    </w:p>
    <w:p w14:paraId="17A25EF5"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lastRenderedPageBreak/>
        <w:t>-</w:t>
      </w:r>
      <w:r w:rsidR="00EF5298" w:rsidRPr="00EF5298">
        <w:rPr>
          <w:rFonts w:ascii="Sylfaen" w:hAnsi="Sylfaen"/>
          <w:i w:val="0"/>
          <w:sz w:val="24"/>
          <w:szCs w:val="24"/>
        </w:rPr>
        <w:tab/>
      </w:r>
      <w:r w:rsidRPr="009335B9">
        <w:rPr>
          <w:rFonts w:ascii="Sylfaen" w:hAnsi="Sylfaen"/>
          <w:sz w:val="24"/>
          <w:szCs w:val="24"/>
        </w:rPr>
        <w:t>փոխանցման գծի ջերմաստիճանը</w:t>
      </w:r>
      <w:r w:rsidRPr="00EF5298">
        <w:rPr>
          <w:rFonts w:ascii="Sylfaen" w:hAnsi="Sylfaen"/>
          <w:i w:val="0"/>
          <w:sz w:val="24"/>
          <w:szCs w:val="24"/>
        </w:rPr>
        <w:t>՝</w:t>
      </w:r>
      <w:r w:rsidRPr="00EF5298">
        <w:rPr>
          <w:rStyle w:val="Bodytext31Sylfaen"/>
          <w:sz w:val="24"/>
          <w:szCs w:val="24"/>
        </w:rPr>
        <w:t xml:space="preserve"> 75 °С (150 °С դիմեցիլացետամիդում լուծույթների համար).</w:t>
      </w:r>
    </w:p>
    <w:p w14:paraId="4B21975F" w14:textId="77777777" w:rsidR="00B834A2" w:rsidRPr="009335B9"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գազակիր.</w:t>
      </w:r>
      <w:r w:rsidRPr="009335B9">
        <w:rPr>
          <w:rStyle w:val="Bodytext31Sylfaen23"/>
          <w:sz w:val="24"/>
          <w:szCs w:val="24"/>
        </w:rPr>
        <w:t xml:space="preserve"> </w:t>
      </w:r>
      <w:r w:rsidRPr="009335B9">
        <w:rPr>
          <w:rStyle w:val="Bodytext31Sylfaen23"/>
          <w:i/>
          <w:sz w:val="24"/>
          <w:szCs w:val="24"/>
        </w:rPr>
        <w:t>քրոմատագրման համար Р հելիում.</w:t>
      </w:r>
    </w:p>
    <w:p w14:paraId="62B90475"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097504">
        <w:rPr>
          <w:rFonts w:ascii="Sylfaen" w:hAnsi="Sylfaen"/>
          <w:i w:val="0"/>
          <w:sz w:val="24"/>
          <w:szCs w:val="24"/>
        </w:rPr>
        <w:tab/>
      </w:r>
      <w:r w:rsidRPr="009335B9">
        <w:rPr>
          <w:rFonts w:ascii="Sylfaen" w:hAnsi="Sylfaen"/>
          <w:sz w:val="24"/>
          <w:szCs w:val="24"/>
        </w:rPr>
        <w:t>ճնշման ավելացման ժամանակ՝</w:t>
      </w:r>
      <w:r w:rsidRPr="009335B9">
        <w:rPr>
          <w:rStyle w:val="Bodytext31Sylfaen"/>
          <w:sz w:val="24"/>
          <w:szCs w:val="24"/>
        </w:rPr>
        <w:t xml:space="preserve"> </w:t>
      </w:r>
      <w:r w:rsidRPr="00EF5298">
        <w:rPr>
          <w:rFonts w:ascii="Sylfaen" w:hAnsi="Sylfaen"/>
          <w:i w:val="0"/>
          <w:sz w:val="24"/>
          <w:szCs w:val="24"/>
        </w:rPr>
        <w:t>1 րոպե.</w:t>
      </w:r>
    </w:p>
    <w:p w14:paraId="6EECDA63"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35B9">
        <w:rPr>
          <w:rFonts w:ascii="Sylfaen" w:hAnsi="Sylfaen"/>
          <w:sz w:val="24"/>
          <w:szCs w:val="24"/>
        </w:rPr>
        <w:t>փորձանմուշի ներմուծման ժամանակը</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12 վ.</w:t>
      </w:r>
    </w:p>
    <w:p w14:paraId="0F82F8A9" w14:textId="77777777" w:rsidR="00B834A2" w:rsidRPr="009335B9" w:rsidRDefault="00B834A2" w:rsidP="00EF5298">
      <w:pPr>
        <w:tabs>
          <w:tab w:val="left" w:pos="1134"/>
        </w:tabs>
        <w:spacing w:after="160" w:line="360" w:lineRule="auto"/>
        <w:ind w:firstLine="567"/>
        <w:jc w:val="both"/>
        <w:rPr>
          <w:i/>
        </w:rPr>
      </w:pPr>
      <w:r w:rsidRPr="00EF5298">
        <w:t>-</w:t>
      </w:r>
      <w:r w:rsidR="00EF5298">
        <w:rPr>
          <w:lang w:val="en-US"/>
        </w:rPr>
        <w:tab/>
      </w:r>
      <w:r w:rsidRPr="009335B9">
        <w:rPr>
          <w:i/>
        </w:rPr>
        <w:t>ջերմաստիճանը՝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91"/>
        <w:gridCol w:w="4359"/>
        <w:gridCol w:w="1896"/>
      </w:tblGrid>
      <w:tr w:rsidR="00B834A2" w:rsidRPr="00EF5298" w14:paraId="4969216C" w14:textId="77777777" w:rsidTr="00EF5298">
        <w:trPr>
          <w:jc w:val="center"/>
        </w:trPr>
        <w:tc>
          <w:tcPr>
            <w:tcW w:w="1091" w:type="dxa"/>
            <w:tcBorders>
              <w:top w:val="single" w:sz="4" w:space="0" w:color="auto"/>
            </w:tcBorders>
            <w:shd w:val="clear" w:color="auto" w:fill="FFFFFF"/>
            <w:vAlign w:val="center"/>
          </w:tcPr>
          <w:p w14:paraId="2E8A2611"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15"/>
                <w:sz w:val="20"/>
                <w:szCs w:val="24"/>
              </w:rPr>
              <w:t>Տարր</w:t>
            </w:r>
          </w:p>
        </w:tc>
        <w:tc>
          <w:tcPr>
            <w:tcW w:w="4359" w:type="dxa"/>
            <w:tcBorders>
              <w:top w:val="single" w:sz="4" w:space="0" w:color="auto"/>
            </w:tcBorders>
            <w:shd w:val="clear" w:color="auto" w:fill="FFFFFF"/>
            <w:vAlign w:val="center"/>
          </w:tcPr>
          <w:p w14:paraId="04E31646"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15"/>
                <w:sz w:val="20"/>
                <w:szCs w:val="24"/>
              </w:rPr>
              <w:t>Ժամանակ (րոպե)</w:t>
            </w:r>
          </w:p>
        </w:tc>
        <w:tc>
          <w:tcPr>
            <w:tcW w:w="1896" w:type="dxa"/>
            <w:tcBorders>
              <w:top w:val="single" w:sz="4" w:space="0" w:color="auto"/>
            </w:tcBorders>
            <w:shd w:val="clear" w:color="auto" w:fill="FFFFFF"/>
            <w:vAlign w:val="center"/>
          </w:tcPr>
          <w:p w14:paraId="16DA2278"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15"/>
                <w:sz w:val="20"/>
                <w:szCs w:val="24"/>
              </w:rPr>
              <w:t>Ջերմաստիճան (°С)</w:t>
            </w:r>
          </w:p>
        </w:tc>
      </w:tr>
      <w:tr w:rsidR="00B834A2" w:rsidRPr="00EF5298" w14:paraId="172C5F52" w14:textId="77777777" w:rsidTr="00EF5298">
        <w:trPr>
          <w:jc w:val="center"/>
        </w:trPr>
        <w:tc>
          <w:tcPr>
            <w:tcW w:w="1091" w:type="dxa"/>
            <w:tcBorders>
              <w:top w:val="single" w:sz="4" w:space="0" w:color="auto"/>
            </w:tcBorders>
            <w:shd w:val="clear" w:color="auto" w:fill="FFFFFF"/>
            <w:vAlign w:val="bottom"/>
          </w:tcPr>
          <w:p w14:paraId="6133FF2E"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210pt8"/>
                <w:szCs w:val="24"/>
              </w:rPr>
              <w:t>Աշտարակ</w:t>
            </w:r>
          </w:p>
        </w:tc>
        <w:tc>
          <w:tcPr>
            <w:tcW w:w="4359" w:type="dxa"/>
            <w:tcBorders>
              <w:top w:val="single" w:sz="4" w:space="0" w:color="auto"/>
            </w:tcBorders>
            <w:shd w:val="clear" w:color="auto" w:fill="FFFFFF"/>
            <w:vAlign w:val="bottom"/>
          </w:tcPr>
          <w:p w14:paraId="22D16479"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0-5</w:t>
            </w:r>
          </w:p>
        </w:tc>
        <w:tc>
          <w:tcPr>
            <w:tcW w:w="1896" w:type="dxa"/>
            <w:tcBorders>
              <w:top w:val="single" w:sz="4" w:space="0" w:color="auto"/>
            </w:tcBorders>
            <w:shd w:val="clear" w:color="auto" w:fill="FFFFFF"/>
            <w:vAlign w:val="bottom"/>
          </w:tcPr>
          <w:p w14:paraId="56084ADA"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50</w:t>
            </w:r>
          </w:p>
        </w:tc>
      </w:tr>
      <w:tr w:rsidR="00B834A2" w:rsidRPr="00EF5298" w14:paraId="7BF2651C" w14:textId="77777777" w:rsidTr="00EF5298">
        <w:trPr>
          <w:jc w:val="center"/>
        </w:trPr>
        <w:tc>
          <w:tcPr>
            <w:tcW w:w="1091" w:type="dxa"/>
            <w:shd w:val="clear" w:color="auto" w:fill="FFFFFF"/>
          </w:tcPr>
          <w:p w14:paraId="1C518344" w14:textId="77777777" w:rsidR="00B834A2" w:rsidRPr="00EF5298" w:rsidRDefault="00B834A2" w:rsidP="00EF5298">
            <w:pPr>
              <w:spacing w:after="120"/>
              <w:rPr>
                <w:sz w:val="20"/>
              </w:rPr>
            </w:pPr>
          </w:p>
        </w:tc>
        <w:tc>
          <w:tcPr>
            <w:tcW w:w="4359" w:type="dxa"/>
            <w:shd w:val="clear" w:color="auto" w:fill="FFFFFF"/>
            <w:vAlign w:val="bottom"/>
          </w:tcPr>
          <w:p w14:paraId="7E257D33"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5-31</w:t>
            </w:r>
          </w:p>
        </w:tc>
        <w:tc>
          <w:tcPr>
            <w:tcW w:w="1896" w:type="dxa"/>
            <w:shd w:val="clear" w:color="auto" w:fill="FFFFFF"/>
            <w:vAlign w:val="bottom"/>
          </w:tcPr>
          <w:p w14:paraId="7F4101E3"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 xml:space="preserve">50 </w:t>
            </w:r>
            <w:r w:rsidRPr="00EF5298">
              <w:rPr>
                <w:rStyle w:val="Bodytext31Sylfaen21"/>
                <w:rFonts w:ascii="Times New Roman" w:hAnsi="Times New Roman" w:cs="Times New Roman"/>
                <w:sz w:val="20"/>
                <w:szCs w:val="24"/>
              </w:rPr>
              <w:t>→</w:t>
            </w:r>
            <w:r w:rsidRPr="00EF5298">
              <w:rPr>
                <w:rStyle w:val="Bodytext31Sylfaen21"/>
                <w:sz w:val="20"/>
                <w:szCs w:val="24"/>
              </w:rPr>
              <w:t xml:space="preserve"> 180</w:t>
            </w:r>
          </w:p>
        </w:tc>
      </w:tr>
      <w:tr w:rsidR="00B834A2" w:rsidRPr="00EF5298" w14:paraId="0BDB4560" w14:textId="77777777" w:rsidTr="00EF5298">
        <w:trPr>
          <w:jc w:val="center"/>
        </w:trPr>
        <w:tc>
          <w:tcPr>
            <w:tcW w:w="1091" w:type="dxa"/>
            <w:shd w:val="clear" w:color="auto" w:fill="FFFFFF"/>
          </w:tcPr>
          <w:p w14:paraId="1D1DE8EC" w14:textId="77777777" w:rsidR="00B834A2" w:rsidRPr="00EF5298" w:rsidRDefault="00B834A2" w:rsidP="00EF5298">
            <w:pPr>
              <w:spacing w:after="120"/>
              <w:rPr>
                <w:sz w:val="20"/>
              </w:rPr>
            </w:pPr>
          </w:p>
        </w:tc>
        <w:tc>
          <w:tcPr>
            <w:tcW w:w="4359" w:type="dxa"/>
            <w:shd w:val="clear" w:color="auto" w:fill="FFFFFF"/>
            <w:vAlign w:val="bottom"/>
          </w:tcPr>
          <w:p w14:paraId="1F7D620E"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31-32,5</w:t>
            </w:r>
          </w:p>
        </w:tc>
        <w:tc>
          <w:tcPr>
            <w:tcW w:w="1896" w:type="dxa"/>
            <w:shd w:val="clear" w:color="auto" w:fill="FFFFFF"/>
            <w:vAlign w:val="bottom"/>
          </w:tcPr>
          <w:p w14:paraId="28276F08"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 xml:space="preserve">180 </w:t>
            </w:r>
            <w:r w:rsidRPr="00EF5298">
              <w:rPr>
                <w:rStyle w:val="Bodytext31Sylfaen21"/>
                <w:rFonts w:ascii="Times New Roman" w:hAnsi="Times New Roman" w:cs="Times New Roman"/>
                <w:sz w:val="20"/>
                <w:szCs w:val="24"/>
              </w:rPr>
              <w:t>→</w:t>
            </w:r>
            <w:r w:rsidRPr="00EF5298">
              <w:rPr>
                <w:rStyle w:val="Bodytext31Sylfaen21"/>
                <w:sz w:val="20"/>
                <w:szCs w:val="24"/>
              </w:rPr>
              <w:t xml:space="preserve"> 230</w:t>
            </w:r>
          </w:p>
        </w:tc>
      </w:tr>
      <w:tr w:rsidR="00B834A2" w:rsidRPr="00EF5298" w14:paraId="342E109E" w14:textId="77777777" w:rsidTr="00EF5298">
        <w:trPr>
          <w:jc w:val="center"/>
        </w:trPr>
        <w:tc>
          <w:tcPr>
            <w:tcW w:w="1091" w:type="dxa"/>
            <w:shd w:val="clear" w:color="auto" w:fill="FFFFFF"/>
          </w:tcPr>
          <w:p w14:paraId="76012194" w14:textId="77777777" w:rsidR="00B834A2" w:rsidRPr="00EF5298" w:rsidRDefault="00B834A2" w:rsidP="00EF5298">
            <w:pPr>
              <w:spacing w:after="120"/>
              <w:rPr>
                <w:sz w:val="20"/>
              </w:rPr>
            </w:pPr>
          </w:p>
        </w:tc>
        <w:tc>
          <w:tcPr>
            <w:tcW w:w="4359" w:type="dxa"/>
            <w:shd w:val="clear" w:color="auto" w:fill="FFFFFF"/>
            <w:vAlign w:val="bottom"/>
          </w:tcPr>
          <w:p w14:paraId="24722354"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32,5 - 37,5</w:t>
            </w:r>
          </w:p>
        </w:tc>
        <w:tc>
          <w:tcPr>
            <w:tcW w:w="1896" w:type="dxa"/>
            <w:shd w:val="clear" w:color="auto" w:fill="FFFFFF"/>
            <w:vAlign w:val="bottom"/>
          </w:tcPr>
          <w:p w14:paraId="49C20B08"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230</w:t>
            </w:r>
          </w:p>
        </w:tc>
      </w:tr>
      <w:tr w:rsidR="00B834A2" w:rsidRPr="00EF5298" w14:paraId="4D0E0B83" w14:textId="77777777" w:rsidTr="00EF5298">
        <w:trPr>
          <w:jc w:val="center"/>
        </w:trPr>
        <w:tc>
          <w:tcPr>
            <w:tcW w:w="5450" w:type="dxa"/>
            <w:gridSpan w:val="2"/>
            <w:shd w:val="clear" w:color="auto" w:fill="FFFFFF"/>
          </w:tcPr>
          <w:p w14:paraId="664047A6"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21"/>
                <w:sz w:val="20"/>
                <w:szCs w:val="24"/>
              </w:rPr>
              <w:t>Փորձանմուշների ներմուծման համար նախատեսված բլոկ</w:t>
            </w:r>
          </w:p>
        </w:tc>
        <w:tc>
          <w:tcPr>
            <w:tcW w:w="1896" w:type="dxa"/>
            <w:shd w:val="clear" w:color="auto" w:fill="FFFFFF"/>
          </w:tcPr>
          <w:p w14:paraId="4B09ABBB"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150</w:t>
            </w:r>
          </w:p>
        </w:tc>
      </w:tr>
      <w:tr w:rsidR="00B834A2" w:rsidRPr="00EF5298" w14:paraId="3C5D27F0" w14:textId="77777777" w:rsidTr="009335B9">
        <w:trPr>
          <w:jc w:val="center"/>
        </w:trPr>
        <w:tc>
          <w:tcPr>
            <w:tcW w:w="5450" w:type="dxa"/>
            <w:gridSpan w:val="2"/>
            <w:tcBorders>
              <w:bottom w:val="single" w:sz="8" w:space="0" w:color="auto"/>
            </w:tcBorders>
            <w:shd w:val="clear" w:color="auto" w:fill="FFFFFF"/>
          </w:tcPr>
          <w:p w14:paraId="2EDC6D9E"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21"/>
                <w:sz w:val="20"/>
                <w:szCs w:val="24"/>
              </w:rPr>
              <w:t>Դետեկտոր</w:t>
            </w:r>
          </w:p>
        </w:tc>
        <w:tc>
          <w:tcPr>
            <w:tcW w:w="1896" w:type="dxa"/>
            <w:tcBorders>
              <w:bottom w:val="single" w:sz="8" w:space="0" w:color="auto"/>
            </w:tcBorders>
            <w:shd w:val="clear" w:color="auto" w:fill="FFFFFF"/>
          </w:tcPr>
          <w:p w14:paraId="596615BF"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250</w:t>
            </w:r>
          </w:p>
        </w:tc>
      </w:tr>
    </w:tbl>
    <w:p w14:paraId="5CD1FD13" w14:textId="77777777" w:rsidR="00B834A2" w:rsidRPr="00B834A2" w:rsidRDefault="00B834A2" w:rsidP="00B834A2">
      <w:pPr>
        <w:spacing w:after="160" w:line="360" w:lineRule="auto"/>
      </w:pPr>
    </w:p>
    <w:p w14:paraId="7EE6A867"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Քրոմատագրում են համապատասխան ծավալ, օրինակ՝ 1,0 մլ փորձարկվող լուծույթի եւ համեմատման լուծույթների (ա) եւ (բ) գազային ֆազ՝ ստանալով երեքական քրոմատագիր յուրաքանչյուր փորձանմուշի համար:</w:t>
      </w:r>
    </w:p>
    <w:p w14:paraId="71D763D6"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69121D">
        <w:rPr>
          <w:rFonts w:ascii="Sylfaen" w:hAnsi="Sylfaen"/>
          <w:sz w:val="24"/>
          <w:szCs w:val="24"/>
        </w:rPr>
        <w:t>Համակարգի պիտանիությունը</w:t>
      </w:r>
      <w:r w:rsidRPr="00EF5298">
        <w:rPr>
          <w:rFonts w:ascii="Sylfaen" w:hAnsi="Sylfaen"/>
          <w:i w:val="0"/>
          <w:sz w:val="24"/>
          <w:szCs w:val="24"/>
        </w:rPr>
        <w:t xml:space="preserve"> (համեմատման լուծույթ (բ))՝</w:t>
      </w:r>
    </w:p>
    <w:p w14:paraId="6F1E02A6"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69121D">
        <w:rPr>
          <w:rFonts w:ascii="Sylfaen" w:hAnsi="Sylfaen"/>
          <w:sz w:val="24"/>
          <w:szCs w:val="24"/>
        </w:rPr>
        <w:t>լուծում՝</w:t>
      </w:r>
      <w:r w:rsidRPr="00EF5298">
        <w:rPr>
          <w:rStyle w:val="Bodytext31Sylfaen"/>
          <w:sz w:val="24"/>
          <w:szCs w:val="24"/>
        </w:rPr>
        <w:t xml:space="preserve"> </w:t>
      </w:r>
      <w:r w:rsidRPr="00EF5298">
        <w:rPr>
          <w:rFonts w:ascii="Sylfaen" w:hAnsi="Sylfaen"/>
          <w:i w:val="0"/>
          <w:sz w:val="24"/>
          <w:szCs w:val="24"/>
        </w:rPr>
        <w:t>առնվազն 2,0 ացետալդեհիդի եւ էթիլենօքսիդի գագաթների միջեւ.</w:t>
      </w:r>
    </w:p>
    <w:p w14:paraId="6D588886"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69121D">
        <w:rPr>
          <w:rFonts w:ascii="Sylfaen" w:hAnsi="Sylfaen"/>
          <w:sz w:val="24"/>
          <w:szCs w:val="24"/>
        </w:rPr>
        <w:t>ազդանշան/աղմուկ հարաբերակցությունը</w:t>
      </w:r>
      <w:r w:rsidRPr="00EF5298">
        <w:rPr>
          <w:rFonts w:ascii="Sylfaen" w:hAnsi="Sylfaen"/>
          <w:i w:val="0"/>
          <w:sz w:val="24"/>
          <w:szCs w:val="24"/>
        </w:rPr>
        <w:t>՝</w:t>
      </w:r>
      <w:r w:rsidRPr="00EF5298">
        <w:rPr>
          <w:rStyle w:val="Bodytext31Sylfaen"/>
          <w:sz w:val="24"/>
          <w:szCs w:val="24"/>
        </w:rPr>
        <w:t xml:space="preserve"> առնվազն 5 էթիլենօքսիդի եւ դիօքսիդի գագաթների համար. </w:t>
      </w:r>
    </w:p>
    <w:p w14:paraId="787A5E02"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69121D">
        <w:rPr>
          <w:rFonts w:ascii="Sylfaen" w:hAnsi="Sylfaen"/>
          <w:sz w:val="24"/>
          <w:szCs w:val="24"/>
        </w:rPr>
        <w:t>հարաբերական ստանդարտ շեղում</w:t>
      </w:r>
      <w:r w:rsidRPr="00EF5298">
        <w:rPr>
          <w:rFonts w:ascii="Sylfaen" w:hAnsi="Sylfaen"/>
          <w:i w:val="0"/>
          <w:sz w:val="24"/>
          <w:szCs w:val="24"/>
        </w:rPr>
        <w:t>՝</w:t>
      </w:r>
      <w:r w:rsidRPr="00EF5298">
        <w:rPr>
          <w:rStyle w:val="Bodytext31Sylfaen"/>
          <w:sz w:val="24"/>
          <w:szCs w:val="24"/>
        </w:rPr>
        <w:t xml:space="preserve"> 15 % էթիլենօքսիդի գագաթի մակերեսի երեք արժեքների համար՝ 15 % -ից ոչ ավելի. </w:t>
      </w:r>
    </w:p>
    <w:p w14:paraId="09757122" w14:textId="77777777" w:rsidR="00B834A2" w:rsidRPr="00097504" w:rsidRDefault="00B834A2" w:rsidP="00EF5298">
      <w:pPr>
        <w:pStyle w:val="Bodytext310"/>
        <w:shd w:val="clear" w:color="auto" w:fill="auto"/>
        <w:tabs>
          <w:tab w:val="left" w:pos="1134"/>
        </w:tabs>
        <w:spacing w:after="160" w:line="360" w:lineRule="auto"/>
        <w:ind w:firstLine="567"/>
        <w:jc w:val="both"/>
        <w:rPr>
          <w:rStyle w:val="Bodytext31Sylfaen"/>
          <w:sz w:val="24"/>
          <w:szCs w:val="24"/>
        </w:rPr>
      </w:pPr>
      <w:r w:rsidRPr="00EF5298">
        <w:rPr>
          <w:rFonts w:ascii="Sylfaen" w:hAnsi="Sylfaen"/>
          <w:i w:val="0"/>
          <w:sz w:val="24"/>
          <w:szCs w:val="24"/>
        </w:rPr>
        <w:t>-</w:t>
      </w:r>
      <w:r w:rsidR="00EF5298" w:rsidRPr="00EF5298">
        <w:rPr>
          <w:rFonts w:ascii="Sylfaen" w:hAnsi="Sylfaen"/>
          <w:i w:val="0"/>
          <w:sz w:val="24"/>
          <w:szCs w:val="24"/>
        </w:rPr>
        <w:tab/>
      </w:r>
      <w:r w:rsidRPr="0069121D">
        <w:rPr>
          <w:rFonts w:ascii="Sylfaen" w:hAnsi="Sylfaen"/>
          <w:sz w:val="24"/>
          <w:szCs w:val="24"/>
        </w:rPr>
        <w:t>հարաբերական ստանդարտ շեղում</w:t>
      </w:r>
      <w:r w:rsidRPr="00EF5298">
        <w:rPr>
          <w:rFonts w:ascii="Sylfaen" w:hAnsi="Sylfaen"/>
          <w:i w:val="0"/>
          <w:sz w:val="24"/>
          <w:szCs w:val="24"/>
        </w:rPr>
        <w:t>՝</w:t>
      </w:r>
      <w:r w:rsidRPr="00EF5298">
        <w:rPr>
          <w:rStyle w:val="Bodytext31Sylfaen"/>
          <w:sz w:val="24"/>
          <w:szCs w:val="24"/>
        </w:rPr>
        <w:t xml:space="preserve"> 15 % դիօքսանի գագաթի մակերեսի երեք արժեքների համար՝ 15 % -ից ոչ ավելի.</w:t>
      </w:r>
    </w:p>
    <w:p w14:paraId="7981E94F" w14:textId="77777777" w:rsidR="00EF5298" w:rsidRPr="00097504" w:rsidRDefault="00EF5298" w:rsidP="00EF5298">
      <w:pPr>
        <w:pStyle w:val="Bodytext310"/>
        <w:shd w:val="clear" w:color="auto" w:fill="auto"/>
        <w:tabs>
          <w:tab w:val="left" w:pos="1134"/>
        </w:tabs>
        <w:spacing w:after="160" w:line="360" w:lineRule="auto"/>
        <w:ind w:firstLine="567"/>
        <w:jc w:val="both"/>
        <w:rPr>
          <w:rFonts w:ascii="Sylfaen" w:hAnsi="Sylfaen"/>
          <w:i w:val="0"/>
          <w:sz w:val="24"/>
          <w:szCs w:val="24"/>
        </w:rPr>
      </w:pPr>
    </w:p>
    <w:p w14:paraId="07E0723D" w14:textId="77777777" w:rsidR="00B834A2" w:rsidRPr="00EF5298" w:rsidRDefault="00B834A2" w:rsidP="00B834A2">
      <w:pPr>
        <w:pStyle w:val="Bodytext310"/>
        <w:shd w:val="clear" w:color="auto" w:fill="auto"/>
        <w:spacing w:after="160" w:line="360" w:lineRule="auto"/>
        <w:ind w:firstLine="567"/>
        <w:jc w:val="both"/>
        <w:rPr>
          <w:rFonts w:ascii="Sylfaen" w:hAnsi="Sylfaen"/>
          <w:i w:val="0"/>
          <w:spacing w:val="-6"/>
          <w:sz w:val="24"/>
          <w:szCs w:val="24"/>
        </w:rPr>
      </w:pPr>
      <w:r w:rsidRPr="0069121D">
        <w:rPr>
          <w:rFonts w:ascii="Sylfaen" w:hAnsi="Sylfaen"/>
          <w:spacing w:val="-6"/>
          <w:sz w:val="24"/>
          <w:szCs w:val="24"/>
        </w:rPr>
        <w:lastRenderedPageBreak/>
        <w:t>Ճշգրտության ստուգում</w:t>
      </w:r>
      <w:r w:rsidRPr="00EF5298">
        <w:rPr>
          <w:rFonts w:ascii="Sylfaen" w:hAnsi="Sylfaen"/>
          <w:i w:val="0"/>
          <w:spacing w:val="-6"/>
          <w:sz w:val="24"/>
          <w:szCs w:val="24"/>
        </w:rPr>
        <w:t xml:space="preserve"> (փորձարկվող լուծույթ եւ համեմատման լուծույթ (ա))՝</w:t>
      </w:r>
    </w:p>
    <w:p w14:paraId="488B4F6C"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EF5298">
        <w:rPr>
          <w:rFonts w:ascii="Sylfaen" w:hAnsi="Sylfaen"/>
          <w:i w:val="0"/>
          <w:sz w:val="24"/>
          <w:szCs w:val="24"/>
        </w:rPr>
        <w:t xml:space="preserve">հաշվարկում են էթիլենօքսիդի եւ դիօքսանի գագաթների մակերեսների տարբերությունը եւ փորձարկվող լուծույթի քրոմատագրի համեմատման լուծույթի (ա) քրոմատագրի վրա: </w:t>
      </w:r>
    </w:p>
    <w:p w14:paraId="2372C418" w14:textId="77777777" w:rsidR="00B834A2" w:rsidRPr="0069121D" w:rsidRDefault="00B834A2" w:rsidP="00B834A2">
      <w:pPr>
        <w:pStyle w:val="Bodytext310"/>
        <w:shd w:val="clear" w:color="auto" w:fill="auto"/>
        <w:spacing w:after="160" w:line="360" w:lineRule="auto"/>
        <w:ind w:firstLine="567"/>
        <w:jc w:val="both"/>
        <w:rPr>
          <w:rFonts w:ascii="Sylfaen" w:hAnsi="Sylfaen"/>
          <w:i w:val="0"/>
          <w:sz w:val="24"/>
          <w:szCs w:val="24"/>
        </w:rPr>
      </w:pPr>
      <w:r w:rsidRPr="0069121D">
        <w:rPr>
          <w:rStyle w:val="Bodytext31Sylfaen23"/>
          <w:i/>
          <w:sz w:val="24"/>
          <w:szCs w:val="24"/>
        </w:rPr>
        <w:t>Քրոմատագրման համակարգի պիտանիությունը</w:t>
      </w:r>
    </w:p>
    <w:p w14:paraId="04D988BE"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Քրոմատագրման համակարգը համարվում է պիտանի, եթե կատարվում են հետեւյալ պայմանները՝</w:t>
      </w:r>
    </w:p>
    <w:p w14:paraId="285F8118"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EF5298">
        <w:rPr>
          <w:rFonts w:ascii="Sylfaen" w:hAnsi="Sylfaen"/>
          <w:i w:val="0"/>
          <w:sz w:val="24"/>
          <w:szCs w:val="24"/>
        </w:rPr>
        <w:t>հարաբերական ստանդարտ շեղում՝</w:t>
      </w:r>
      <w:r w:rsidRPr="00EF5298">
        <w:rPr>
          <w:rStyle w:val="Bodytext31Sylfaen"/>
          <w:sz w:val="24"/>
          <w:szCs w:val="24"/>
        </w:rPr>
        <w:t xml:space="preserve"> 15 % էթիլենօքսիդի գագաթի մակերեսի 3 արժեքների համար հաշվարկված՝ 15 % -ից ոչ ավելի.</w:t>
      </w:r>
    </w:p>
    <w:p w14:paraId="72E845AA"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EF5298">
        <w:rPr>
          <w:rFonts w:ascii="Sylfaen" w:hAnsi="Sylfaen"/>
          <w:i w:val="0"/>
          <w:sz w:val="24"/>
          <w:szCs w:val="24"/>
        </w:rPr>
        <w:t>հարաբերական ստանդարտ շեղում՝</w:t>
      </w:r>
      <w:r w:rsidRPr="00EF5298">
        <w:rPr>
          <w:rStyle w:val="Bodytext31Sylfaen"/>
          <w:sz w:val="24"/>
          <w:szCs w:val="24"/>
        </w:rPr>
        <w:t xml:space="preserve"> 15 % դիօքսանի գագաթի մակերեսի 3 արժեքների համար հաշվարկված՝ 15 % -ից ոչ ավելի.</w:t>
      </w:r>
    </w:p>
    <w:p w14:paraId="53C583B1"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Եթե փորձարկվող լուծույթի եւ համեմատման լուծույթի (ա) պատրաստման համար վերցված փորձարկվող նմուշի ճշգրիտ կշռանմուշները տարբերվել են 1,00</w:t>
      </w:r>
      <w:r w:rsidR="00EF5298" w:rsidRPr="00EF5298">
        <w:rPr>
          <w:rStyle w:val="Bodytext31Sylfaen"/>
          <w:sz w:val="24"/>
          <w:szCs w:val="24"/>
        </w:rPr>
        <w:t> </w:t>
      </w:r>
      <w:r w:rsidRPr="00EF5298">
        <w:rPr>
          <w:rStyle w:val="Bodytext31Sylfaen"/>
          <w:sz w:val="24"/>
          <w:szCs w:val="24"/>
        </w:rPr>
        <w:t>գ-ից ավելի քան 0,5 %-ով, անհրաժեշտ է կատարել համապատասխան ուղղումներ:</w:t>
      </w:r>
    </w:p>
    <w:p w14:paraId="5B59FDBB"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Մեկ միլիոնի հաշվով՝ մասերով էթիլենօքսիդի պարունակությունը (ррm) հաշվարկում են հետեւյալ բանաձեւով՝</w:t>
      </w:r>
    </w:p>
    <w:p w14:paraId="2667E65F" w14:textId="77777777" w:rsidR="00B834A2" w:rsidRPr="00B834A2" w:rsidRDefault="00000000" w:rsidP="00B834A2">
      <w:pPr>
        <w:pStyle w:val="Bodytext310"/>
        <w:shd w:val="clear" w:color="auto" w:fill="auto"/>
        <w:spacing w:after="160" w:line="360" w:lineRule="auto"/>
        <w:jc w:val="center"/>
        <w:rPr>
          <w:rStyle w:val="Bodytext31Sylfaen"/>
          <w:sz w:val="24"/>
          <w:szCs w:val="24"/>
        </w:rPr>
      </w:pPr>
      <m:oMath>
        <m:f>
          <m:fPr>
            <m:ctrlPr>
              <w:rPr>
                <w:rStyle w:val="Bodytext31Sylfaen"/>
                <w:rFonts w:ascii="Cambria Math" w:hAnsi="Cambria Math"/>
                <w:i/>
                <w:iCs/>
                <w:sz w:val="24"/>
                <w:szCs w:val="24"/>
              </w:rPr>
            </m:ctrlPr>
          </m:fPr>
          <m:num>
            <m:sSub>
              <m:sSubPr>
                <m:ctrlPr>
                  <w:rPr>
                    <w:rStyle w:val="Bodytext31Sylfaen"/>
                    <w:rFonts w:ascii="Cambria Math" w:hAnsi="Cambria Math"/>
                    <w:i/>
                    <w:iCs/>
                    <w:sz w:val="24"/>
                    <w:szCs w:val="24"/>
                  </w:rPr>
                </m:ctrlPr>
              </m:sSubPr>
              <m:e>
                <m:r>
                  <w:rPr>
                    <w:rStyle w:val="Bodytext31Sylfaen"/>
                    <w:rFonts w:ascii="Cambria Math" w:hAnsi="Cambria Math"/>
                    <w:sz w:val="24"/>
                    <w:szCs w:val="24"/>
                  </w:rPr>
                  <m:t>S</m:t>
                </m:r>
              </m:e>
              <m:sub>
                <m:r>
                  <w:rPr>
                    <w:rStyle w:val="Bodytext31Sylfaen"/>
                    <w:rFonts w:ascii="Cambria Math" w:hAnsi="Cambria Math"/>
                    <w:sz w:val="24"/>
                    <w:szCs w:val="24"/>
                  </w:rPr>
                  <m:t>1</m:t>
                </m:r>
              </m:sub>
            </m:sSub>
            <m:r>
              <w:rPr>
                <w:rStyle w:val="Bodytext31Sylfaen"/>
                <w:rFonts w:ascii="Cambria Math" w:hAnsi="Cambria Math"/>
                <w:sz w:val="24"/>
                <w:szCs w:val="24"/>
              </w:rPr>
              <m:t>∙C</m:t>
            </m:r>
          </m:num>
          <m:den>
            <m:d>
              <m:dPr>
                <m:ctrlPr>
                  <w:rPr>
                    <w:rStyle w:val="Bodytext31Sylfaen"/>
                    <w:rFonts w:ascii="Cambria Math" w:hAnsi="Cambria Math"/>
                    <w:i/>
                    <w:iCs/>
                    <w:sz w:val="24"/>
                    <w:szCs w:val="24"/>
                  </w:rPr>
                </m:ctrlPr>
              </m:dPr>
              <m:e>
                <m:sSub>
                  <m:sSubPr>
                    <m:ctrlPr>
                      <w:rPr>
                        <w:rStyle w:val="Bodytext31Sylfaen"/>
                        <w:rFonts w:ascii="Cambria Math" w:hAnsi="Cambria Math"/>
                        <w:i/>
                        <w:iCs/>
                        <w:sz w:val="24"/>
                        <w:szCs w:val="24"/>
                      </w:rPr>
                    </m:ctrlPr>
                  </m:sSubPr>
                  <m:e>
                    <m:r>
                      <w:rPr>
                        <w:rStyle w:val="Bodytext31Sylfaen"/>
                        <w:rFonts w:ascii="Cambria Math" w:hAnsi="Cambria Math"/>
                        <w:sz w:val="24"/>
                        <w:szCs w:val="24"/>
                      </w:rPr>
                      <m:t>S</m:t>
                    </m:r>
                  </m:e>
                  <m:sub>
                    <m:r>
                      <w:rPr>
                        <w:rStyle w:val="Bodytext31Sylfaen"/>
                        <w:rFonts w:ascii="Cambria Math" w:hAnsi="Cambria Math"/>
                        <w:sz w:val="24"/>
                        <w:szCs w:val="24"/>
                      </w:rPr>
                      <m:t>0</m:t>
                    </m:r>
                  </m:sub>
                </m:sSub>
                <m:r>
                  <w:rPr>
                    <w:rStyle w:val="Bodytext31Sylfaen"/>
                    <w:rFonts w:ascii="Cambria Math" w:hAnsi="Cambria Math"/>
                    <w:sz w:val="24"/>
                    <w:szCs w:val="24"/>
                  </w:rPr>
                  <m:t>∙</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m</m:t>
                    </m:r>
                  </m:e>
                  <m:sub>
                    <m:r>
                      <w:rPr>
                        <w:rStyle w:val="Bodytext31Sylfaen"/>
                        <w:rFonts w:ascii="Cambria Math" w:hAnsi="Cambria Math"/>
                        <w:sz w:val="24"/>
                        <w:szCs w:val="24"/>
                      </w:rPr>
                      <m:t>1</m:t>
                    </m:r>
                  </m:sub>
                </m:sSub>
              </m:e>
            </m:d>
            <m:r>
              <w:rPr>
                <w:rStyle w:val="Bodytext31Sylfaen"/>
                <w:rFonts w:ascii="Cambria Math" w:hAnsi="Cambria Math"/>
                <w:sz w:val="24"/>
                <w:szCs w:val="24"/>
              </w:rPr>
              <m:t>-(</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S</m:t>
                </m:r>
              </m:e>
              <m:sub>
                <m:r>
                  <w:rPr>
                    <w:rStyle w:val="Bodytext31Sylfaen"/>
                    <w:rFonts w:ascii="Cambria Math" w:hAnsi="Cambria Math"/>
                    <w:sz w:val="24"/>
                    <w:szCs w:val="24"/>
                  </w:rPr>
                  <m:t>1</m:t>
                </m:r>
              </m:sub>
            </m:sSub>
            <m:r>
              <w:rPr>
                <w:rStyle w:val="Bodytext31Sylfaen"/>
                <w:rFonts w:ascii="Cambria Math" w:hAnsi="Cambria Math"/>
                <w:sz w:val="24"/>
                <w:szCs w:val="24"/>
              </w:rPr>
              <m:t>∙</m:t>
            </m:r>
            <m:sSub>
              <m:sSubPr>
                <m:ctrlPr>
                  <w:rPr>
                    <w:rStyle w:val="Bodytext31Sylfaen"/>
                    <w:rFonts w:ascii="Cambria Math" w:hAnsi="Cambria Math"/>
                    <w:i/>
                    <w:iCs/>
                    <w:sz w:val="24"/>
                    <w:szCs w:val="24"/>
                  </w:rPr>
                </m:ctrlPr>
              </m:sSubPr>
              <m:e>
                <m:r>
                  <w:rPr>
                    <w:rStyle w:val="Bodytext31Sylfaen"/>
                    <w:rFonts w:ascii="Cambria Math" w:hAnsi="Cambria Math"/>
                    <w:sz w:val="24"/>
                    <w:szCs w:val="24"/>
                  </w:rPr>
                  <m:t>m</m:t>
                </m:r>
              </m:e>
              <m:sub>
                <m:r>
                  <w:rPr>
                    <w:rStyle w:val="Bodytext31Sylfaen"/>
                    <w:rFonts w:ascii="Cambria Math" w:hAnsi="Cambria Math"/>
                    <w:sz w:val="24"/>
                    <w:szCs w:val="24"/>
                  </w:rPr>
                  <m:t>0</m:t>
                </m:r>
              </m:sub>
            </m:sSub>
            <m:r>
              <w:rPr>
                <w:rStyle w:val="Bodytext31Sylfaen"/>
                <w:rFonts w:ascii="Cambria Math" w:hAnsi="Cambria Math"/>
                <w:sz w:val="24"/>
                <w:szCs w:val="24"/>
              </w:rPr>
              <m:t>)</m:t>
            </m:r>
          </m:den>
        </m:f>
      </m:oMath>
      <w:r w:rsidR="00B834A2" w:rsidRPr="00B834A2">
        <w:rPr>
          <w:rStyle w:val="Bodytext31Sylfaen"/>
          <w:sz w:val="24"/>
          <w:szCs w:val="24"/>
        </w:rPr>
        <w:t>,</w:t>
      </w:r>
    </w:p>
    <w:p w14:paraId="7AFD9284" w14:textId="77777777" w:rsidR="00EF5298" w:rsidRPr="00097504" w:rsidRDefault="00B834A2" w:rsidP="00EF5298">
      <w:pPr>
        <w:pStyle w:val="Bodytext310"/>
        <w:shd w:val="clear" w:color="auto" w:fill="auto"/>
        <w:spacing w:after="160" w:line="360" w:lineRule="auto"/>
        <w:ind w:firstLine="567"/>
        <w:jc w:val="both"/>
        <w:rPr>
          <w:rStyle w:val="Bodytext31Sylfaen"/>
          <w:sz w:val="24"/>
          <w:szCs w:val="24"/>
        </w:rPr>
      </w:pPr>
      <w:r w:rsidRPr="00EF5298">
        <w:rPr>
          <w:rStyle w:val="Bodytext31Sylfaen"/>
          <w:sz w:val="24"/>
          <w:szCs w:val="24"/>
        </w:rPr>
        <w:t xml:space="preserve">որտեղ՝ </w:t>
      </w:r>
    </w:p>
    <w:p w14:paraId="6CEAC125"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69121D">
        <w:rPr>
          <w:rStyle w:val="Bodytext31Sylfaen"/>
          <w:i/>
          <w:sz w:val="24"/>
          <w:szCs w:val="24"/>
        </w:rPr>
        <w:t>S</w:t>
      </w:r>
      <w:r w:rsidRPr="00EF5298">
        <w:rPr>
          <w:rStyle w:val="Bodytext31Sylfaen"/>
          <w:sz w:val="24"/>
          <w:szCs w:val="24"/>
          <w:vertAlign w:val="subscript"/>
        </w:rPr>
        <w:t>1</w:t>
      </w:r>
      <w:r w:rsidRPr="00EF5298">
        <w:rPr>
          <w:rStyle w:val="Bodytext31Sylfaen"/>
          <w:sz w:val="24"/>
          <w:szCs w:val="24"/>
        </w:rPr>
        <w:t>-ը՝ էթիլենօքսիդի գագաթի մակերեսն է փորձարկվող լուծույթի քրոմատագրի վրա.</w:t>
      </w:r>
    </w:p>
    <w:p w14:paraId="05009790"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69121D">
        <w:rPr>
          <w:rStyle w:val="Bodytext31Sylfaen"/>
          <w:i/>
          <w:sz w:val="24"/>
          <w:szCs w:val="24"/>
        </w:rPr>
        <w:t>S</w:t>
      </w:r>
      <w:r w:rsidRPr="00EF5298">
        <w:rPr>
          <w:rStyle w:val="Bodytext31Sylfaen"/>
          <w:sz w:val="24"/>
          <w:szCs w:val="24"/>
          <w:vertAlign w:val="subscript"/>
        </w:rPr>
        <w:t>0-</w:t>
      </w:r>
      <w:r w:rsidRPr="00EF5298">
        <w:rPr>
          <w:rStyle w:val="Bodytext31Sylfaen"/>
          <w:sz w:val="24"/>
          <w:szCs w:val="24"/>
        </w:rPr>
        <w:t>ն՝ էթիլենօքսիդի գագաթի մակերեսը՝ համեմատման լուծույթի (ա) քրոմատագրի վրա.</w:t>
      </w:r>
    </w:p>
    <w:p w14:paraId="02C3312E" w14:textId="77777777" w:rsidR="00B834A2" w:rsidRPr="00097504" w:rsidRDefault="00B834A2" w:rsidP="00EF5298">
      <w:pPr>
        <w:pStyle w:val="Bodytext310"/>
        <w:shd w:val="clear" w:color="auto" w:fill="auto"/>
        <w:spacing w:after="160" w:line="360" w:lineRule="auto"/>
        <w:ind w:firstLine="567"/>
        <w:jc w:val="both"/>
        <w:rPr>
          <w:rFonts w:ascii="Sylfaen" w:hAnsi="Sylfaen"/>
          <w:i w:val="0"/>
          <w:sz w:val="24"/>
          <w:szCs w:val="24"/>
        </w:rPr>
      </w:pPr>
      <w:r w:rsidRPr="0069121D">
        <w:rPr>
          <w:rFonts w:ascii="Sylfaen" w:hAnsi="Sylfaen"/>
          <w:sz w:val="24"/>
          <w:szCs w:val="24"/>
        </w:rPr>
        <w:t>m</w:t>
      </w:r>
      <w:r w:rsidRPr="00EF5298">
        <w:rPr>
          <w:rFonts w:ascii="Sylfaen" w:hAnsi="Sylfaen"/>
          <w:i w:val="0"/>
          <w:sz w:val="24"/>
          <w:szCs w:val="24"/>
          <w:vertAlign w:val="subscript"/>
        </w:rPr>
        <w:t>1</w:t>
      </w:r>
      <w:r w:rsidRPr="00EF5298">
        <w:rPr>
          <w:rFonts w:ascii="Sylfaen" w:hAnsi="Sylfaen"/>
          <w:i w:val="0"/>
          <w:sz w:val="24"/>
          <w:szCs w:val="24"/>
        </w:rPr>
        <w:t>-ը՝ փորձարկվող լուծույթի պատրաստման համար փորձարկվող նմուշի կշռանմուշի զանգված՝ գրամներով.</w:t>
      </w:r>
    </w:p>
    <w:p w14:paraId="1542583A"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69121D">
        <w:rPr>
          <w:rFonts w:ascii="Sylfaen" w:hAnsi="Sylfaen"/>
          <w:sz w:val="24"/>
          <w:szCs w:val="24"/>
        </w:rPr>
        <w:lastRenderedPageBreak/>
        <w:t>m</w:t>
      </w:r>
      <w:r w:rsidRPr="00EF5298">
        <w:rPr>
          <w:rFonts w:ascii="Sylfaen" w:hAnsi="Sylfaen"/>
          <w:i w:val="0"/>
          <w:sz w:val="24"/>
          <w:szCs w:val="24"/>
          <w:vertAlign w:val="subscript"/>
        </w:rPr>
        <w:t>0</w:t>
      </w:r>
      <w:r w:rsidRPr="00EF5298">
        <w:rPr>
          <w:rFonts w:ascii="Sylfaen" w:hAnsi="Sylfaen"/>
          <w:i w:val="0"/>
          <w:sz w:val="24"/>
          <w:szCs w:val="24"/>
        </w:rPr>
        <w:t>-ն՝ համեմատման լուծույթի (ա) պատրաստման համար փորձարկվող նմուշի կշռանմուշի զանգված՝ գրամներով.</w:t>
      </w:r>
    </w:p>
    <w:p w14:paraId="2D3F6A7D" w14:textId="77777777" w:rsidR="00B834A2" w:rsidRPr="00EF5298" w:rsidRDefault="00B834A2" w:rsidP="00B834A2">
      <w:pPr>
        <w:spacing w:after="160" w:line="360" w:lineRule="auto"/>
        <w:ind w:firstLine="567"/>
        <w:jc w:val="both"/>
        <w:rPr>
          <w:rStyle w:val="Bodytext31Sylfaen"/>
          <w:i w:val="0"/>
          <w:sz w:val="24"/>
          <w:szCs w:val="24"/>
        </w:rPr>
      </w:pPr>
      <w:r w:rsidRPr="0069121D">
        <w:rPr>
          <w:i/>
        </w:rPr>
        <w:t>С</w:t>
      </w:r>
      <w:r w:rsidRPr="00EF5298">
        <w:t xml:space="preserve">-ն՝ համեմատման լուծույթին (ա) ավելացվող էթիլենօքսիդի քանակություն՝ միկրոգրամներով: </w:t>
      </w:r>
    </w:p>
    <w:p w14:paraId="74E4F77A"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Մեկ միլիոնի հաշվով՝ մասերով դիօքսանի պարունակությունը (ppm) հաշվարկում են հետեւյալ բանաձեւով՝</w:t>
      </w:r>
    </w:p>
    <w:p w14:paraId="0EF6FAC2" w14:textId="77777777" w:rsidR="00B834A2" w:rsidRPr="00B834A2" w:rsidRDefault="00000000" w:rsidP="00B834A2">
      <w:pPr>
        <w:pStyle w:val="Bodytext310"/>
        <w:shd w:val="clear" w:color="auto" w:fill="auto"/>
        <w:spacing w:after="160" w:line="360" w:lineRule="auto"/>
        <w:jc w:val="center"/>
        <w:rPr>
          <w:rStyle w:val="Bodytext31Sylfaen14"/>
          <w:spacing w:val="0"/>
          <w:sz w:val="24"/>
          <w:szCs w:val="24"/>
        </w:rPr>
      </w:pPr>
      <m:oMathPara>
        <m:oMath>
          <m:f>
            <m:fPr>
              <m:ctrlPr>
                <w:rPr>
                  <w:rStyle w:val="Bodytext31Sylfaen14"/>
                  <w:rFonts w:ascii="Cambria Math" w:hAnsi="Cambria Math"/>
                  <w:i/>
                  <w:iCs/>
                  <w:spacing w:val="0"/>
                  <w:sz w:val="24"/>
                  <w:szCs w:val="24"/>
                </w:rPr>
              </m:ctrlPr>
            </m:fPr>
            <m:num>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S</m:t>
                  </m:r>
                </m:e>
                <m:sub>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T</m:t>
                      </m:r>
                    </m:e>
                    <m:sub>
                      <m:r>
                        <w:rPr>
                          <w:rStyle w:val="Bodytext31Sylfaen14"/>
                          <w:rFonts w:ascii="Cambria Math" w:hAnsi="Cambria Math"/>
                          <w:spacing w:val="0"/>
                          <w:sz w:val="24"/>
                          <w:szCs w:val="24"/>
                        </w:rPr>
                        <m:t>1</m:t>
                      </m:r>
                    </m:sub>
                  </m:sSub>
                </m:sub>
              </m:sSub>
              <m:r>
                <w:rPr>
                  <w:rStyle w:val="Bodytext31Sylfaen14"/>
                  <w:rFonts w:ascii="Cambria Math" w:hAnsi="Cambria Math"/>
                  <w:spacing w:val="0"/>
                  <w:sz w:val="24"/>
                  <w:szCs w:val="24"/>
                </w:rPr>
                <m:t>∙C</m:t>
              </m:r>
            </m:num>
            <m:den>
              <m:d>
                <m:dPr>
                  <m:ctrlPr>
                    <w:rPr>
                      <w:rStyle w:val="Bodytext31Sylfaen14"/>
                      <w:rFonts w:ascii="Cambria Math" w:hAnsi="Cambria Math"/>
                      <w:i/>
                      <w:iCs/>
                      <w:spacing w:val="0"/>
                      <w:sz w:val="24"/>
                      <w:szCs w:val="24"/>
                    </w:rPr>
                  </m:ctrlPr>
                </m:dPr>
                <m:e>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S</m:t>
                      </m:r>
                    </m:e>
                    <m:sub>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R</m:t>
                          </m:r>
                        </m:e>
                        <m:sub>
                          <m:r>
                            <w:rPr>
                              <w:rStyle w:val="Bodytext31Sylfaen14"/>
                              <w:rFonts w:ascii="Cambria Math" w:hAnsi="Cambria Math"/>
                              <w:spacing w:val="0"/>
                              <w:sz w:val="24"/>
                              <w:szCs w:val="24"/>
                            </w:rPr>
                            <m:t>0</m:t>
                          </m:r>
                        </m:sub>
                      </m:sSub>
                    </m:sub>
                  </m:sSub>
                  <m:r>
                    <w:rPr>
                      <w:rStyle w:val="Bodytext31Sylfaen14"/>
                      <w:rFonts w:ascii="Cambria Math" w:hAnsi="Cambria Math"/>
                      <w:spacing w:val="0"/>
                      <w:sz w:val="24"/>
                      <w:szCs w:val="24"/>
                    </w:rPr>
                    <m:t>∙</m:t>
                  </m:r>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m</m:t>
                      </m:r>
                    </m:e>
                    <m:sub>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T</m:t>
                          </m:r>
                        </m:e>
                        <m:sub>
                          <m:r>
                            <w:rPr>
                              <w:rStyle w:val="Bodytext31Sylfaen14"/>
                              <w:rFonts w:ascii="Cambria Math" w:hAnsi="Cambria Math"/>
                              <w:spacing w:val="0"/>
                              <w:sz w:val="24"/>
                              <w:szCs w:val="24"/>
                            </w:rPr>
                            <m:t>1</m:t>
                          </m:r>
                        </m:sub>
                      </m:sSub>
                    </m:sub>
                  </m:sSub>
                </m:e>
              </m:d>
              <m:r>
                <w:rPr>
                  <w:rStyle w:val="Bodytext31Sylfaen14"/>
                  <w:rFonts w:ascii="Cambria Math" w:hAnsi="Cambria Math"/>
                  <w:spacing w:val="0"/>
                  <w:sz w:val="24"/>
                  <w:szCs w:val="24"/>
                </w:rPr>
                <m:t>-(</m:t>
              </m:r>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S</m:t>
                  </m:r>
                </m:e>
                <m:sub>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T</m:t>
                      </m:r>
                    </m:e>
                    <m:sub>
                      <m:r>
                        <w:rPr>
                          <w:rStyle w:val="Bodytext31Sylfaen14"/>
                          <w:rFonts w:ascii="Cambria Math" w:hAnsi="Cambria Math"/>
                          <w:spacing w:val="0"/>
                          <w:sz w:val="24"/>
                          <w:szCs w:val="24"/>
                        </w:rPr>
                        <m:t>1</m:t>
                      </m:r>
                    </m:sub>
                  </m:sSub>
                </m:sub>
              </m:sSub>
              <m:r>
                <w:rPr>
                  <w:rStyle w:val="Bodytext31Sylfaen14"/>
                  <w:rFonts w:ascii="Cambria Math" w:hAnsi="Cambria Math"/>
                  <w:spacing w:val="0"/>
                  <w:sz w:val="24"/>
                  <w:szCs w:val="24"/>
                </w:rPr>
                <m:t>∙</m:t>
              </m:r>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m</m:t>
                  </m:r>
                </m:e>
                <m:sub>
                  <m:sSub>
                    <m:sSubPr>
                      <m:ctrlPr>
                        <w:rPr>
                          <w:rStyle w:val="Bodytext31Sylfaen14"/>
                          <w:rFonts w:ascii="Cambria Math" w:hAnsi="Cambria Math"/>
                          <w:i/>
                          <w:iCs/>
                          <w:spacing w:val="0"/>
                          <w:sz w:val="24"/>
                          <w:szCs w:val="24"/>
                        </w:rPr>
                      </m:ctrlPr>
                    </m:sSubPr>
                    <m:e>
                      <m:r>
                        <w:rPr>
                          <w:rStyle w:val="Bodytext31Sylfaen14"/>
                          <w:rFonts w:ascii="Cambria Math" w:hAnsi="Cambria Math"/>
                          <w:spacing w:val="0"/>
                          <w:sz w:val="24"/>
                          <w:szCs w:val="24"/>
                        </w:rPr>
                        <m:t>R</m:t>
                      </m:r>
                    </m:e>
                    <m:sub>
                      <m:r>
                        <w:rPr>
                          <w:rStyle w:val="Bodytext31Sylfaen14"/>
                          <w:rFonts w:ascii="Cambria Math" w:hAnsi="Cambria Math"/>
                          <w:spacing w:val="0"/>
                          <w:sz w:val="24"/>
                          <w:szCs w:val="24"/>
                        </w:rPr>
                        <m:t>0</m:t>
                      </m:r>
                    </m:sub>
                  </m:sSub>
                </m:sub>
              </m:sSub>
              <m:r>
                <w:rPr>
                  <w:rStyle w:val="Bodytext31Sylfaen14"/>
                  <w:rFonts w:ascii="Cambria Math" w:hAnsi="Cambria Math"/>
                  <w:spacing w:val="0"/>
                  <w:sz w:val="24"/>
                  <w:szCs w:val="24"/>
                </w:rPr>
                <m:t>)</m:t>
              </m:r>
            </m:den>
          </m:f>
        </m:oMath>
      </m:oMathPara>
    </w:p>
    <w:p w14:paraId="33FEACA2" w14:textId="77777777" w:rsidR="00EF5298" w:rsidRPr="00097504" w:rsidRDefault="00B834A2" w:rsidP="00EF5298">
      <w:pPr>
        <w:pStyle w:val="Bodytext310"/>
        <w:shd w:val="clear" w:color="auto" w:fill="auto"/>
        <w:spacing w:after="160" w:line="360" w:lineRule="auto"/>
        <w:ind w:firstLine="567"/>
        <w:jc w:val="both"/>
        <w:rPr>
          <w:rStyle w:val="Bodytext31Sylfaen23"/>
          <w:sz w:val="24"/>
          <w:szCs w:val="24"/>
        </w:rPr>
      </w:pPr>
      <w:r w:rsidRPr="00EF5298">
        <w:rPr>
          <w:rStyle w:val="Bodytext31Sylfaen23"/>
          <w:sz w:val="24"/>
          <w:szCs w:val="24"/>
        </w:rPr>
        <w:t xml:space="preserve">որտեղ՝ </w:t>
      </w:r>
    </w:p>
    <w:p w14:paraId="4C31999E"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S</w:t>
      </w:r>
      <w:r w:rsidRPr="00EF5298">
        <w:rPr>
          <w:rFonts w:ascii="Sylfaen" w:hAnsi="Sylfaen"/>
          <w:i w:val="0"/>
          <w:sz w:val="24"/>
          <w:szCs w:val="24"/>
          <w:vertAlign w:val="subscript"/>
        </w:rPr>
        <w:t>T1</w:t>
      </w:r>
      <w:r w:rsidRPr="00EF5298">
        <w:rPr>
          <w:rFonts w:ascii="Sylfaen" w:hAnsi="Sylfaen"/>
          <w:i w:val="0"/>
          <w:sz w:val="24"/>
          <w:szCs w:val="24"/>
        </w:rPr>
        <w:t xml:space="preserve">-ը՝ փորձարկվող լուծույթի քրոմատագրի վրա դիօքսանի գագաթի մակերեսն է. </w:t>
      </w:r>
    </w:p>
    <w:p w14:paraId="25DF2947"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S</w:t>
      </w:r>
      <w:r w:rsidRPr="00EF5298">
        <w:rPr>
          <w:rFonts w:ascii="Sylfaen" w:hAnsi="Sylfaen"/>
          <w:i w:val="0"/>
          <w:sz w:val="24"/>
          <w:szCs w:val="24"/>
          <w:vertAlign w:val="subscript"/>
        </w:rPr>
        <w:t>R0</w:t>
      </w:r>
      <w:r w:rsidRPr="00EF5298">
        <w:rPr>
          <w:rFonts w:ascii="Sylfaen" w:hAnsi="Sylfaen"/>
          <w:i w:val="0"/>
          <w:sz w:val="24"/>
          <w:szCs w:val="24"/>
        </w:rPr>
        <w:t>-ն՝ համեմատման լուծույթի (ա) քրոմատագրի վրա դիքսանի գագաթի մակերեսը.</w:t>
      </w:r>
    </w:p>
    <w:p w14:paraId="7D3F4B53"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m</w:t>
      </w:r>
      <w:r w:rsidRPr="00EF5298">
        <w:rPr>
          <w:rFonts w:ascii="Sylfaen" w:hAnsi="Sylfaen"/>
          <w:i w:val="0"/>
          <w:sz w:val="24"/>
          <w:szCs w:val="24"/>
          <w:vertAlign w:val="subscript"/>
        </w:rPr>
        <w:t>T1</w:t>
      </w:r>
      <w:r w:rsidRPr="00EF5298">
        <w:rPr>
          <w:rFonts w:ascii="Sylfaen" w:hAnsi="Sylfaen"/>
          <w:i w:val="0"/>
          <w:sz w:val="24"/>
          <w:szCs w:val="24"/>
        </w:rPr>
        <w:t xml:space="preserve">-ը՝ փորձարկվող լուծույթի պատրաստման համար բաղադրամասի կշռանմուշի զանգվածը՝ գրամներով. </w:t>
      </w:r>
    </w:p>
    <w:p w14:paraId="0039BABF"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EF5298">
        <w:rPr>
          <w:rFonts w:ascii="Sylfaen" w:hAnsi="Sylfaen"/>
          <w:i w:val="0"/>
          <w:sz w:val="24"/>
          <w:szCs w:val="24"/>
        </w:rPr>
        <w:t>m</w:t>
      </w:r>
      <w:r w:rsidRPr="00EF5298">
        <w:rPr>
          <w:rFonts w:ascii="Sylfaen" w:hAnsi="Sylfaen"/>
          <w:i w:val="0"/>
          <w:sz w:val="24"/>
          <w:szCs w:val="24"/>
          <w:vertAlign w:val="subscript"/>
        </w:rPr>
        <w:t>R0</w:t>
      </w:r>
      <w:r w:rsidRPr="00EF5298">
        <w:rPr>
          <w:rFonts w:ascii="Sylfaen" w:hAnsi="Sylfaen"/>
          <w:i w:val="0"/>
          <w:sz w:val="24"/>
          <w:szCs w:val="24"/>
        </w:rPr>
        <w:t xml:space="preserve">-ն՝ համեմատման լուծույթի (ա)պատրաստման համար բաղադրամասի կշռանյութի զանգվածը՝ գրամներով. </w:t>
      </w:r>
    </w:p>
    <w:p w14:paraId="41BDF426" w14:textId="77777777" w:rsidR="00B834A2" w:rsidRPr="00EF5298" w:rsidRDefault="00492945" w:rsidP="00EF5298">
      <w:pPr>
        <w:pStyle w:val="Bodytext310"/>
        <w:shd w:val="clear" w:color="auto" w:fill="auto"/>
        <w:spacing w:after="160" w:line="360" w:lineRule="auto"/>
        <w:ind w:firstLine="567"/>
        <w:jc w:val="both"/>
        <w:rPr>
          <w:rFonts w:ascii="Sylfaen" w:hAnsi="Sylfaen"/>
          <w:i w:val="0"/>
          <w:sz w:val="24"/>
          <w:szCs w:val="24"/>
        </w:rPr>
      </w:pPr>
      <w:r>
        <w:rPr>
          <w:rFonts w:ascii="Sylfaen" w:hAnsi="Sylfaen"/>
          <w:i w:val="0"/>
          <w:sz w:val="24"/>
          <w:szCs w:val="24"/>
        </w:rPr>
        <w:t>С-ն</w:t>
      </w:r>
      <w:r w:rsidR="00B834A2" w:rsidRPr="00EF5298">
        <w:rPr>
          <w:rFonts w:ascii="Sylfaen" w:hAnsi="Sylfaen"/>
          <w:i w:val="0"/>
          <w:sz w:val="24"/>
          <w:szCs w:val="24"/>
        </w:rPr>
        <w:t xml:space="preserve">՝ համեմատման լուծույթին (ա) ավելացված դիօքսանի քանակությունը՝ միկրոգրամներով: </w:t>
      </w:r>
    </w:p>
    <w:p w14:paraId="2F4C2994" w14:textId="77777777" w:rsidR="00B834A2" w:rsidRPr="00B834A2" w:rsidRDefault="00B834A2" w:rsidP="00B834A2">
      <w:pPr>
        <w:pStyle w:val="Bodytext310"/>
        <w:shd w:val="clear" w:color="auto" w:fill="auto"/>
        <w:spacing w:after="160" w:line="360" w:lineRule="auto"/>
        <w:jc w:val="right"/>
        <w:rPr>
          <w:rStyle w:val="Bodytext31Sylfaen22"/>
          <w:b w:val="0"/>
          <w:bCs w:val="0"/>
          <w:sz w:val="24"/>
          <w:szCs w:val="24"/>
        </w:rPr>
      </w:pPr>
    </w:p>
    <w:p w14:paraId="17E3D77A"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69121D">
        <w:rPr>
          <w:rStyle w:val="Bodytext31Sylfaen22"/>
          <w:sz w:val="20"/>
          <w:szCs w:val="24"/>
        </w:rPr>
        <w:t>201040025-2022</w:t>
      </w:r>
    </w:p>
    <w:p w14:paraId="1ACE2C74" w14:textId="77777777" w:rsidR="0069121D" w:rsidRPr="009217DE" w:rsidRDefault="0069121D" w:rsidP="00B834A2">
      <w:pPr>
        <w:pStyle w:val="Bodytext310"/>
        <w:shd w:val="clear" w:color="auto" w:fill="auto"/>
        <w:spacing w:after="160" w:line="360" w:lineRule="auto"/>
        <w:jc w:val="right"/>
        <w:rPr>
          <w:rFonts w:ascii="Sylfaen" w:hAnsi="Sylfaen"/>
          <w:i w:val="0"/>
          <w:sz w:val="20"/>
          <w:szCs w:val="24"/>
        </w:rPr>
      </w:pPr>
    </w:p>
    <w:p w14:paraId="728C1C67" w14:textId="77777777" w:rsidR="00B834A2" w:rsidRPr="00EF5298" w:rsidRDefault="00B834A2" w:rsidP="00EF5298">
      <w:pPr>
        <w:pStyle w:val="Bodytext310"/>
        <w:shd w:val="clear" w:color="auto" w:fill="auto"/>
        <w:tabs>
          <w:tab w:val="left" w:pos="1701"/>
        </w:tabs>
        <w:spacing w:after="160" w:line="360" w:lineRule="auto"/>
        <w:ind w:firstLine="567"/>
        <w:jc w:val="both"/>
        <w:rPr>
          <w:rFonts w:ascii="Sylfaen" w:hAnsi="Sylfaen"/>
          <w:i w:val="0"/>
          <w:sz w:val="24"/>
          <w:szCs w:val="24"/>
        </w:rPr>
      </w:pPr>
      <w:r w:rsidRPr="00EF5298">
        <w:rPr>
          <w:rStyle w:val="Bodytext31Sylfaen20"/>
          <w:sz w:val="24"/>
          <w:szCs w:val="24"/>
        </w:rPr>
        <w:t>2.1.4.25</w:t>
      </w:r>
      <w:r w:rsidR="00EF5298" w:rsidRPr="00097504">
        <w:rPr>
          <w:rStyle w:val="Bodytext31Sylfaen20"/>
          <w:sz w:val="24"/>
          <w:szCs w:val="24"/>
        </w:rPr>
        <w:tab/>
      </w:r>
      <w:r w:rsidRPr="00EF5298">
        <w:rPr>
          <w:rStyle w:val="Bodytext31Sylfaen20"/>
          <w:sz w:val="24"/>
          <w:szCs w:val="24"/>
        </w:rPr>
        <w:t>Էթիլենգլիկոլի եւ դիէթիլենգլիկոլի որոշումը</w:t>
      </w:r>
    </w:p>
    <w:p w14:paraId="042A9974"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 xml:space="preserve">Սույն ընդհանուր դեղագրքային հոդվածը տարածվում է էթիլենգլիկոլի եւ դիէթիլենգլիկոլի այն խառնուրդների որոշման վրա, որոնք կարող են լինել </w:t>
      </w:r>
      <w:r w:rsidRPr="00EF5298">
        <w:rPr>
          <w:rStyle w:val="Bodytext31Sylfaen"/>
          <w:sz w:val="24"/>
          <w:szCs w:val="24"/>
        </w:rPr>
        <w:lastRenderedPageBreak/>
        <w:t>արտադրության տեխնոլոգիական պրոցեսի ժամանակ դեղագործական կիրառության համար էթօքսիլացված բաղադրամասերում: Փորձարկումը կիրառում են էթիլենգլիկոլի եւ դիէթիլենգլիկոլի խառնուրդների քանակական որոշման համար, հատկապես հետեւյալ մակերեւութային ակտիվ նյութերի օգտագործման դեպքում՝ ռիցինոլեատի մակրոգոլգլիցերոլի, գիդրոքսիստեարատի մակրոգոլգլիցերոլի, գիդրոքսիստեարատի մակրոգոլ 15, ցետոստեարիլային էթերի նոնոքսինոլի 9 եւ մակրոգոլի:</w:t>
      </w:r>
    </w:p>
    <w:p w14:paraId="714D9855" w14:textId="77777777" w:rsidR="00B834A2" w:rsidRPr="0069121D" w:rsidRDefault="00B834A2" w:rsidP="00EF5298">
      <w:pPr>
        <w:pStyle w:val="Bodytext310"/>
        <w:shd w:val="clear" w:color="auto" w:fill="auto"/>
        <w:spacing w:after="160" w:line="360" w:lineRule="auto"/>
        <w:ind w:firstLine="567"/>
        <w:jc w:val="both"/>
        <w:rPr>
          <w:rFonts w:ascii="Sylfaen" w:hAnsi="Sylfaen"/>
          <w:sz w:val="24"/>
          <w:szCs w:val="24"/>
        </w:rPr>
      </w:pPr>
      <w:r w:rsidRPr="00EF5298">
        <w:rPr>
          <w:rFonts w:ascii="Sylfaen" w:hAnsi="Sylfaen"/>
          <w:i w:val="0"/>
          <w:sz w:val="24"/>
          <w:szCs w:val="24"/>
        </w:rPr>
        <w:t xml:space="preserve">Որոշումը կատարվում է գազային քրոմատագրման մեթոդով </w:t>
      </w:r>
      <w:r w:rsidRPr="0069121D">
        <w:rPr>
          <w:rFonts w:ascii="Sylfaen" w:hAnsi="Sylfaen"/>
          <w:sz w:val="24"/>
          <w:szCs w:val="24"/>
        </w:rPr>
        <w:t>(2.1.2.27):</w:t>
      </w:r>
    </w:p>
    <w:p w14:paraId="48D9E0A0"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DF1CC7">
        <w:rPr>
          <w:rStyle w:val="Bodytext31Sylfaen23"/>
          <w:i/>
          <w:sz w:val="24"/>
          <w:szCs w:val="24"/>
        </w:rPr>
        <w:t>Ներքին ստանդարտի լուծույթ</w:t>
      </w:r>
      <w:r w:rsidRPr="00EF5298">
        <w:rPr>
          <w:rStyle w:val="Bodytext31Sylfaen23"/>
          <w:sz w:val="24"/>
          <w:szCs w:val="24"/>
        </w:rPr>
        <w:t>:</w:t>
      </w:r>
      <w:r w:rsidRPr="00EF5298">
        <w:rPr>
          <w:rStyle w:val="Bodytext31Sylfaen"/>
          <w:sz w:val="24"/>
          <w:szCs w:val="24"/>
        </w:rPr>
        <w:t xml:space="preserve"> </w:t>
      </w:r>
      <w:r w:rsidRPr="00EF5298">
        <w:rPr>
          <w:rFonts w:ascii="Sylfaen" w:hAnsi="Sylfaen"/>
          <w:i w:val="0"/>
          <w:sz w:val="24"/>
          <w:szCs w:val="24"/>
        </w:rPr>
        <w:t xml:space="preserve">30,0 մգ Р 1,2-պենտադիոլը լուծում են </w:t>
      </w:r>
      <w:r w:rsidRPr="00DF1CC7">
        <w:rPr>
          <w:rFonts w:ascii="Sylfaen" w:hAnsi="Sylfaen"/>
          <w:sz w:val="24"/>
          <w:szCs w:val="24"/>
        </w:rPr>
        <w:t>Р</w:t>
      </w:r>
      <w:r w:rsidR="00F076B2" w:rsidRPr="00F076B2">
        <w:rPr>
          <w:rFonts w:ascii="Sylfaen" w:hAnsi="Sylfaen"/>
          <w:sz w:val="24"/>
          <w:szCs w:val="24"/>
        </w:rPr>
        <w:t> </w:t>
      </w:r>
      <w:r w:rsidRPr="00DF1CC7">
        <w:rPr>
          <w:rFonts w:ascii="Sylfaen" w:hAnsi="Sylfaen"/>
          <w:sz w:val="24"/>
          <w:szCs w:val="24"/>
        </w:rPr>
        <w:t>ացետոնում</w:t>
      </w:r>
      <w:r w:rsidRPr="00EF5298">
        <w:rPr>
          <w:rFonts w:ascii="Sylfaen" w:hAnsi="Sylfaen"/>
          <w:i w:val="0"/>
          <w:sz w:val="24"/>
          <w:szCs w:val="24"/>
        </w:rPr>
        <w:t xml:space="preserve"> եւ հասցնում են լուծույթի ծավալը նույն լուծիչով մինչեւ 30,0 մլ:</w:t>
      </w:r>
      <w:r w:rsidRPr="00EF5298">
        <w:rPr>
          <w:rStyle w:val="Bodytext31Sylfaen"/>
          <w:sz w:val="24"/>
          <w:szCs w:val="24"/>
        </w:rPr>
        <w:t xml:space="preserve"> </w:t>
      </w:r>
      <w:r w:rsidRPr="00EF5298">
        <w:rPr>
          <w:rFonts w:ascii="Sylfaen" w:hAnsi="Sylfaen"/>
          <w:i w:val="0"/>
          <w:sz w:val="24"/>
          <w:szCs w:val="24"/>
        </w:rPr>
        <w:t xml:space="preserve">1,0 մլ ստացված լուծույթը հասցնում են </w:t>
      </w:r>
      <w:r w:rsidRPr="00DF1CC7">
        <w:rPr>
          <w:rFonts w:ascii="Sylfaen" w:hAnsi="Sylfaen"/>
          <w:sz w:val="24"/>
          <w:szCs w:val="24"/>
        </w:rPr>
        <w:t>Р ացետոնով</w:t>
      </w:r>
      <w:r w:rsidRPr="00EF5298">
        <w:rPr>
          <w:rFonts w:ascii="Sylfaen" w:hAnsi="Sylfaen"/>
          <w:i w:val="0"/>
          <w:sz w:val="24"/>
          <w:szCs w:val="24"/>
        </w:rPr>
        <w:t xml:space="preserve"> մինչեւ 20,0 մ:</w:t>
      </w:r>
    </w:p>
    <w:p w14:paraId="698B3BC1" w14:textId="77777777" w:rsidR="00B834A2" w:rsidRPr="00EF5298" w:rsidRDefault="00B834A2" w:rsidP="00EF5298">
      <w:pPr>
        <w:pStyle w:val="Bodytext310"/>
        <w:shd w:val="clear" w:color="auto" w:fill="auto"/>
        <w:spacing w:after="160" w:line="360" w:lineRule="auto"/>
        <w:ind w:firstLine="567"/>
        <w:jc w:val="both"/>
        <w:rPr>
          <w:rFonts w:ascii="Sylfaen" w:hAnsi="Sylfaen"/>
          <w:i w:val="0"/>
          <w:spacing w:val="-4"/>
          <w:sz w:val="24"/>
          <w:szCs w:val="24"/>
        </w:rPr>
      </w:pPr>
      <w:r w:rsidRPr="00DF1CC7">
        <w:rPr>
          <w:rStyle w:val="Bodytext31Sylfaen23"/>
          <w:i/>
          <w:spacing w:val="-4"/>
          <w:sz w:val="24"/>
          <w:szCs w:val="24"/>
        </w:rPr>
        <w:t>Փորձարկվող լուծույթը:</w:t>
      </w:r>
      <w:r w:rsidRPr="00DF1CC7">
        <w:t xml:space="preserve"> </w:t>
      </w:r>
      <w:r w:rsidRPr="00EF5298">
        <w:rPr>
          <w:rFonts w:ascii="Sylfaen" w:hAnsi="Sylfaen"/>
          <w:i w:val="0"/>
          <w:spacing w:val="-4"/>
          <w:sz w:val="24"/>
          <w:szCs w:val="24"/>
        </w:rPr>
        <w:t>0,500 գ փորձարկվող նմուշը լուծում են ներքին ստանդարտի լուծույթում եւ հասցնում լուծույթի ծավալը նույն լուծիչով՝ մինչեւ 10,0 մլ:</w:t>
      </w:r>
    </w:p>
    <w:p w14:paraId="1D804EF4" w14:textId="77777777" w:rsidR="00B834A2" w:rsidRPr="00EF5298" w:rsidRDefault="00B834A2" w:rsidP="00EF5298">
      <w:pPr>
        <w:spacing w:after="160" w:line="360" w:lineRule="auto"/>
        <w:ind w:firstLine="567"/>
        <w:jc w:val="both"/>
      </w:pPr>
      <w:r w:rsidRPr="00DF1CC7">
        <w:rPr>
          <w:rStyle w:val="Bodytext31Sylfaen23"/>
          <w:sz w:val="24"/>
          <w:szCs w:val="24"/>
        </w:rPr>
        <w:t>Համեմատման լուծույթ (ա):</w:t>
      </w:r>
      <w:r w:rsidRPr="00EF5298">
        <w:rPr>
          <w:rStyle w:val="Bodytext31Sylfaen"/>
          <w:i w:val="0"/>
          <w:sz w:val="24"/>
          <w:szCs w:val="24"/>
        </w:rPr>
        <w:t xml:space="preserve"> </w:t>
      </w:r>
      <w:r w:rsidRPr="00EF5298">
        <w:t>30,0 մգ Р էթիլենգլիկոլը խառնում են Р ացետոնով եւ հասցնում լուծույթի ծավալը նույն լուծիչով մինչեւ 100,0 մլ, 1,0 մլ ստացված լուծույթը հասցնում են ներքին ստանդարտի լուծույթով մինչեւ 10,0 մլ:</w:t>
      </w:r>
    </w:p>
    <w:p w14:paraId="5E61B96F" w14:textId="77777777" w:rsidR="00B834A2" w:rsidRPr="00EF5298" w:rsidRDefault="00B834A2" w:rsidP="00EF5298">
      <w:pPr>
        <w:pStyle w:val="Bodytext310"/>
        <w:shd w:val="clear" w:color="auto" w:fill="auto"/>
        <w:spacing w:after="160" w:line="360" w:lineRule="auto"/>
        <w:ind w:firstLine="567"/>
        <w:jc w:val="both"/>
        <w:rPr>
          <w:rFonts w:ascii="Sylfaen" w:hAnsi="Sylfaen"/>
          <w:i w:val="0"/>
          <w:sz w:val="24"/>
          <w:szCs w:val="24"/>
        </w:rPr>
      </w:pPr>
      <w:r w:rsidRPr="00DF1CC7">
        <w:rPr>
          <w:rStyle w:val="Bodytext31Sylfaen23"/>
          <w:i/>
          <w:sz w:val="24"/>
          <w:szCs w:val="24"/>
        </w:rPr>
        <w:t>Համեմատման լուծույթ (բ):</w:t>
      </w:r>
      <w:r w:rsidRPr="00EF5298">
        <w:rPr>
          <w:rStyle w:val="Bodytext31Sylfaen"/>
          <w:sz w:val="24"/>
          <w:szCs w:val="24"/>
        </w:rPr>
        <w:t xml:space="preserve"> </w:t>
      </w:r>
      <w:r w:rsidRPr="00EF5298">
        <w:rPr>
          <w:rFonts w:ascii="Sylfaen" w:hAnsi="Sylfaen"/>
          <w:i w:val="0"/>
          <w:sz w:val="24"/>
          <w:szCs w:val="24"/>
        </w:rPr>
        <w:t>Պատրաստում են դիէթիլենգլիկոլի Р լուծույթ՝ նշված սահմանին համապատասխանող կոնցենտրացիայով եւ օգտագործելով նույն լուծիչները, ինչ համեմատման լուծույթ (ա) պատրաստելիս:</w:t>
      </w:r>
    </w:p>
    <w:p w14:paraId="6613CC83" w14:textId="77777777" w:rsidR="00B834A2" w:rsidRPr="00DF1CC7" w:rsidRDefault="00B834A2" w:rsidP="00EF5298">
      <w:pPr>
        <w:pStyle w:val="Bodytext310"/>
        <w:shd w:val="clear" w:color="auto" w:fill="auto"/>
        <w:spacing w:after="160" w:line="360" w:lineRule="auto"/>
        <w:ind w:firstLine="567"/>
        <w:jc w:val="both"/>
        <w:rPr>
          <w:rFonts w:ascii="Sylfaen" w:hAnsi="Sylfaen"/>
          <w:i w:val="0"/>
          <w:sz w:val="24"/>
          <w:szCs w:val="24"/>
        </w:rPr>
      </w:pPr>
      <w:r w:rsidRPr="00DF1CC7">
        <w:rPr>
          <w:rStyle w:val="Bodytext31Sylfaen23"/>
          <w:i/>
          <w:sz w:val="24"/>
          <w:szCs w:val="24"/>
        </w:rPr>
        <w:t>Քրոմատագրման պայմանները՝</w:t>
      </w:r>
    </w:p>
    <w:p w14:paraId="20999ABA"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DF1CC7">
        <w:rPr>
          <w:rStyle w:val="Bodytext210pt8"/>
          <w:i/>
          <w:sz w:val="24"/>
          <w:szCs w:val="24"/>
        </w:rPr>
        <w:t>աշտարակ</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1,0 մկմ հաստությամբ 20 000 մակրոգոլի շերտով պատված՝ 30 մ երկարությամբ եւ 0,32 մմ ներքին տրամագծով կամ քվարցից.</w:t>
      </w:r>
    </w:p>
    <w:p w14:paraId="3FD1A2F1" w14:textId="77777777" w:rsidR="00B834A2" w:rsidRPr="00DF1CC7" w:rsidRDefault="00B834A2" w:rsidP="00EF5298">
      <w:pPr>
        <w:pStyle w:val="Bodytext310"/>
        <w:shd w:val="clear" w:color="auto" w:fill="auto"/>
        <w:tabs>
          <w:tab w:val="left" w:pos="1134"/>
        </w:tabs>
        <w:spacing w:after="160" w:line="360" w:lineRule="auto"/>
        <w:ind w:firstLine="567"/>
        <w:jc w:val="both"/>
        <w:rPr>
          <w:rFonts w:ascii="Sylfaen" w:hAnsi="Sylfaen"/>
          <w:sz w:val="24"/>
          <w:szCs w:val="24"/>
        </w:rPr>
      </w:pPr>
      <w:r w:rsidRPr="00EF5298">
        <w:rPr>
          <w:rFonts w:ascii="Sylfaen" w:hAnsi="Sylfaen"/>
          <w:i w:val="0"/>
          <w:sz w:val="24"/>
          <w:szCs w:val="24"/>
        </w:rPr>
        <w:t>-</w:t>
      </w:r>
      <w:r w:rsidR="00EF5298" w:rsidRPr="00EF5298">
        <w:rPr>
          <w:rFonts w:ascii="Sylfaen" w:hAnsi="Sylfaen"/>
          <w:i w:val="0"/>
          <w:sz w:val="24"/>
          <w:szCs w:val="24"/>
        </w:rPr>
        <w:tab/>
      </w:r>
      <w:r w:rsidRPr="00DF1CC7">
        <w:rPr>
          <w:rFonts w:ascii="Sylfaen" w:hAnsi="Sylfaen"/>
          <w:sz w:val="24"/>
          <w:szCs w:val="24"/>
        </w:rPr>
        <w:t>գազակիր՝</w:t>
      </w:r>
      <w:r w:rsidRPr="00DF1CC7">
        <w:rPr>
          <w:rStyle w:val="Bodytext31Sylfaen23"/>
          <w:sz w:val="24"/>
          <w:szCs w:val="24"/>
        </w:rPr>
        <w:t xml:space="preserve"> </w:t>
      </w:r>
      <w:r w:rsidRPr="00DF1CC7">
        <w:rPr>
          <w:rStyle w:val="Bodytext31Sylfaen23"/>
          <w:i/>
          <w:sz w:val="24"/>
          <w:szCs w:val="24"/>
        </w:rPr>
        <w:t>քրոմատագրման համար Р հելիում</w:t>
      </w:r>
      <w:r w:rsidRPr="00DF1CC7">
        <w:rPr>
          <w:rStyle w:val="Bodytext31Sylfaen23"/>
          <w:sz w:val="24"/>
          <w:szCs w:val="24"/>
        </w:rPr>
        <w:t>.</w:t>
      </w:r>
    </w:p>
    <w:p w14:paraId="6864DB6E"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DF1CC7">
        <w:rPr>
          <w:rFonts w:ascii="Sylfaen" w:hAnsi="Sylfaen"/>
          <w:sz w:val="24"/>
          <w:szCs w:val="24"/>
        </w:rPr>
        <w:t>գազակրի արագություն՝</w:t>
      </w:r>
      <w:r w:rsidRPr="00DF1CC7">
        <w:rPr>
          <w:rStyle w:val="Bodytext31Sylfaen"/>
          <w:sz w:val="24"/>
          <w:szCs w:val="24"/>
        </w:rPr>
        <w:t xml:space="preserve"> </w:t>
      </w:r>
      <w:r w:rsidRPr="00DF1CC7">
        <w:rPr>
          <w:rFonts w:ascii="Sylfaen" w:hAnsi="Sylfaen"/>
          <w:sz w:val="24"/>
          <w:szCs w:val="24"/>
        </w:rPr>
        <w:t>10 մլ/րոպե</w:t>
      </w:r>
      <w:r w:rsidRPr="00EF5298">
        <w:rPr>
          <w:rFonts w:ascii="Sylfaen" w:hAnsi="Sylfaen"/>
          <w:i w:val="0"/>
          <w:sz w:val="24"/>
          <w:szCs w:val="24"/>
        </w:rPr>
        <w:t>.</w:t>
      </w:r>
    </w:p>
    <w:p w14:paraId="0042E9AD"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DF1CC7">
        <w:rPr>
          <w:rFonts w:ascii="Sylfaen" w:hAnsi="Sylfaen"/>
          <w:sz w:val="24"/>
          <w:szCs w:val="24"/>
        </w:rPr>
        <w:t>հոսքի բաժանում</w:t>
      </w:r>
      <w:r w:rsidRPr="00EF5298">
        <w:rPr>
          <w:rFonts w:ascii="Sylfaen" w:hAnsi="Sylfaen"/>
          <w:i w:val="0"/>
          <w:sz w:val="24"/>
          <w:szCs w:val="24"/>
        </w:rPr>
        <w:t>՝</w:t>
      </w:r>
      <w:r w:rsidRPr="00EF5298">
        <w:rPr>
          <w:rStyle w:val="Bodytext31Sylfaen"/>
          <w:sz w:val="24"/>
          <w:szCs w:val="24"/>
        </w:rPr>
        <w:t xml:space="preserve"> 1:3.</w:t>
      </w:r>
    </w:p>
    <w:p w14:paraId="220B35BE" w14:textId="77777777" w:rsidR="00B834A2" w:rsidRPr="00EF5298" w:rsidRDefault="00B834A2" w:rsidP="00EF5298">
      <w:pPr>
        <w:tabs>
          <w:tab w:val="left" w:pos="1134"/>
        </w:tabs>
        <w:spacing w:after="160" w:line="360" w:lineRule="auto"/>
        <w:ind w:firstLine="567"/>
        <w:jc w:val="both"/>
        <w:rPr>
          <w:rStyle w:val="Bodytext31Sylfaen23"/>
          <w:i w:val="0"/>
          <w:iCs w:val="0"/>
          <w:sz w:val="24"/>
          <w:szCs w:val="24"/>
        </w:rPr>
      </w:pPr>
      <w:r w:rsidRPr="00EF5298">
        <w:t>-</w:t>
      </w:r>
      <w:r w:rsidR="00EF5298" w:rsidRPr="00EF5298">
        <w:tab/>
      </w:r>
      <w:r w:rsidRPr="00DF1CC7">
        <w:rPr>
          <w:i/>
        </w:rPr>
        <w:t>ջեմաստիճանի փոփոխման ռեժիմ</w:t>
      </w:r>
      <w:r w:rsidRPr="00EF5298">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1848"/>
        <w:gridCol w:w="2407"/>
      </w:tblGrid>
      <w:tr w:rsidR="00B834A2" w:rsidRPr="00EF5298" w14:paraId="626CBAB7" w14:textId="77777777" w:rsidTr="00EF5298">
        <w:trPr>
          <w:jc w:val="center"/>
        </w:trPr>
        <w:tc>
          <w:tcPr>
            <w:tcW w:w="2126" w:type="dxa"/>
            <w:tcBorders>
              <w:top w:val="single" w:sz="4" w:space="0" w:color="auto"/>
            </w:tcBorders>
            <w:shd w:val="clear" w:color="auto" w:fill="FFFFFF"/>
          </w:tcPr>
          <w:p w14:paraId="23196DBA" w14:textId="77777777" w:rsidR="00B834A2" w:rsidRPr="00EF5298" w:rsidRDefault="00B834A2" w:rsidP="00EF5298">
            <w:pPr>
              <w:spacing w:after="120"/>
              <w:rPr>
                <w:sz w:val="20"/>
              </w:rPr>
            </w:pPr>
          </w:p>
        </w:tc>
        <w:tc>
          <w:tcPr>
            <w:tcW w:w="1848" w:type="dxa"/>
            <w:tcBorders>
              <w:top w:val="single" w:sz="4" w:space="0" w:color="auto"/>
            </w:tcBorders>
            <w:shd w:val="clear" w:color="auto" w:fill="FFFFFF"/>
            <w:vAlign w:val="bottom"/>
          </w:tcPr>
          <w:p w14:paraId="2193472C"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15"/>
                <w:sz w:val="20"/>
                <w:szCs w:val="24"/>
              </w:rPr>
              <w:t>Ժամանակ (րոպե)</w:t>
            </w:r>
          </w:p>
        </w:tc>
        <w:tc>
          <w:tcPr>
            <w:tcW w:w="2407" w:type="dxa"/>
            <w:tcBorders>
              <w:top w:val="single" w:sz="4" w:space="0" w:color="auto"/>
            </w:tcBorders>
            <w:shd w:val="clear" w:color="auto" w:fill="FFFFFF"/>
            <w:vAlign w:val="bottom"/>
          </w:tcPr>
          <w:p w14:paraId="2A1E2B38"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15"/>
                <w:sz w:val="20"/>
                <w:szCs w:val="24"/>
              </w:rPr>
              <w:t>Ջերմաստիճան (°С)</w:t>
            </w:r>
          </w:p>
        </w:tc>
      </w:tr>
      <w:tr w:rsidR="00B834A2" w:rsidRPr="00EF5298" w14:paraId="048FDBB9" w14:textId="77777777" w:rsidTr="00EF5298">
        <w:trPr>
          <w:jc w:val="center"/>
        </w:trPr>
        <w:tc>
          <w:tcPr>
            <w:tcW w:w="2126" w:type="dxa"/>
            <w:tcBorders>
              <w:top w:val="single" w:sz="4" w:space="0" w:color="auto"/>
            </w:tcBorders>
            <w:shd w:val="clear" w:color="auto" w:fill="FFFFFF"/>
            <w:vAlign w:val="center"/>
          </w:tcPr>
          <w:p w14:paraId="0043E13D"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210pt8"/>
                <w:szCs w:val="24"/>
              </w:rPr>
              <w:t>Աշտարակ</w:t>
            </w:r>
          </w:p>
        </w:tc>
        <w:tc>
          <w:tcPr>
            <w:tcW w:w="1848" w:type="dxa"/>
            <w:tcBorders>
              <w:top w:val="single" w:sz="4" w:space="0" w:color="auto"/>
            </w:tcBorders>
            <w:shd w:val="clear" w:color="auto" w:fill="FFFFFF"/>
            <w:vAlign w:val="center"/>
          </w:tcPr>
          <w:p w14:paraId="4724A412"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0-40</w:t>
            </w:r>
          </w:p>
        </w:tc>
        <w:tc>
          <w:tcPr>
            <w:tcW w:w="2407" w:type="dxa"/>
            <w:tcBorders>
              <w:top w:val="single" w:sz="4" w:space="0" w:color="auto"/>
            </w:tcBorders>
            <w:shd w:val="clear" w:color="auto" w:fill="FFFFFF"/>
            <w:vAlign w:val="center"/>
          </w:tcPr>
          <w:p w14:paraId="63B7283F"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 xml:space="preserve">80 </w:t>
            </w:r>
            <w:r w:rsidRPr="00EF5298">
              <w:rPr>
                <w:rStyle w:val="Bodytext31Sylfaen"/>
                <w:rFonts w:ascii="Times New Roman" w:hAnsi="Times New Roman" w:cs="Times New Roman"/>
                <w:szCs w:val="24"/>
              </w:rPr>
              <w:t>→</w:t>
            </w:r>
            <w:r w:rsidRPr="00EF5298">
              <w:rPr>
                <w:rStyle w:val="Bodytext31Sylfaen"/>
                <w:szCs w:val="24"/>
              </w:rPr>
              <w:t xml:space="preserve"> </w:t>
            </w:r>
            <w:r w:rsidRPr="00EF5298">
              <w:rPr>
                <w:rStyle w:val="Bodytext31Sylfaen21"/>
                <w:sz w:val="20"/>
                <w:szCs w:val="24"/>
              </w:rPr>
              <w:t>200</w:t>
            </w:r>
          </w:p>
        </w:tc>
      </w:tr>
      <w:tr w:rsidR="00B834A2" w:rsidRPr="00EF5298" w14:paraId="772D22D3" w14:textId="77777777" w:rsidTr="00EF5298">
        <w:trPr>
          <w:jc w:val="center"/>
        </w:trPr>
        <w:tc>
          <w:tcPr>
            <w:tcW w:w="2126" w:type="dxa"/>
            <w:shd w:val="clear" w:color="auto" w:fill="FFFFFF"/>
          </w:tcPr>
          <w:p w14:paraId="1DECEBBA" w14:textId="77777777" w:rsidR="00B834A2" w:rsidRPr="00EF5298" w:rsidRDefault="00B834A2" w:rsidP="00EF5298">
            <w:pPr>
              <w:spacing w:after="120"/>
              <w:rPr>
                <w:sz w:val="20"/>
              </w:rPr>
            </w:pPr>
          </w:p>
        </w:tc>
        <w:tc>
          <w:tcPr>
            <w:tcW w:w="1848" w:type="dxa"/>
            <w:shd w:val="clear" w:color="auto" w:fill="FFFFFF"/>
            <w:vAlign w:val="bottom"/>
          </w:tcPr>
          <w:p w14:paraId="251BF5CB"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40-45</w:t>
            </w:r>
          </w:p>
        </w:tc>
        <w:tc>
          <w:tcPr>
            <w:tcW w:w="2407" w:type="dxa"/>
            <w:shd w:val="clear" w:color="auto" w:fill="FFFFFF"/>
            <w:vAlign w:val="bottom"/>
          </w:tcPr>
          <w:p w14:paraId="3CB14191"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 xml:space="preserve">200 </w:t>
            </w:r>
            <w:r w:rsidRPr="00EF5298">
              <w:rPr>
                <w:rStyle w:val="Bodytext31Sylfaen21"/>
                <w:rFonts w:ascii="Times New Roman" w:hAnsi="Times New Roman" w:cs="Times New Roman"/>
                <w:sz w:val="20"/>
                <w:szCs w:val="24"/>
              </w:rPr>
              <w:t>→</w:t>
            </w:r>
            <w:r w:rsidRPr="00EF5298">
              <w:rPr>
                <w:rStyle w:val="Bodytext31Sylfaen21"/>
                <w:sz w:val="20"/>
                <w:szCs w:val="24"/>
              </w:rPr>
              <w:t xml:space="preserve"> 230</w:t>
            </w:r>
          </w:p>
        </w:tc>
      </w:tr>
      <w:tr w:rsidR="00B834A2" w:rsidRPr="00EF5298" w14:paraId="370DC6EC" w14:textId="77777777" w:rsidTr="00EF5298">
        <w:trPr>
          <w:jc w:val="center"/>
        </w:trPr>
        <w:tc>
          <w:tcPr>
            <w:tcW w:w="2126" w:type="dxa"/>
            <w:shd w:val="clear" w:color="auto" w:fill="FFFFFF"/>
          </w:tcPr>
          <w:p w14:paraId="199DFFFA" w14:textId="77777777" w:rsidR="00B834A2" w:rsidRPr="00EF5298" w:rsidRDefault="00B834A2" w:rsidP="00EF5298">
            <w:pPr>
              <w:spacing w:after="120"/>
              <w:rPr>
                <w:sz w:val="20"/>
              </w:rPr>
            </w:pPr>
          </w:p>
        </w:tc>
        <w:tc>
          <w:tcPr>
            <w:tcW w:w="1848" w:type="dxa"/>
            <w:shd w:val="clear" w:color="auto" w:fill="FFFFFF"/>
          </w:tcPr>
          <w:p w14:paraId="5D71CF18"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45</w:t>
            </w:r>
            <w:r w:rsidRPr="00EF5298">
              <w:rPr>
                <w:rStyle w:val="Bodytext31Sylfaen"/>
                <w:szCs w:val="24"/>
              </w:rPr>
              <w:t>-</w:t>
            </w:r>
            <w:r w:rsidRPr="00EF5298">
              <w:rPr>
                <w:rStyle w:val="Bodytext31Sylfaen21"/>
                <w:sz w:val="20"/>
                <w:szCs w:val="24"/>
              </w:rPr>
              <w:t>65</w:t>
            </w:r>
          </w:p>
        </w:tc>
        <w:tc>
          <w:tcPr>
            <w:tcW w:w="2407" w:type="dxa"/>
            <w:shd w:val="clear" w:color="auto" w:fill="FFFFFF"/>
          </w:tcPr>
          <w:p w14:paraId="7222AB2D"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230</w:t>
            </w:r>
          </w:p>
        </w:tc>
      </w:tr>
      <w:tr w:rsidR="00B834A2" w:rsidRPr="00EF5298" w14:paraId="7FFF8401" w14:textId="77777777" w:rsidTr="00EF5298">
        <w:trPr>
          <w:jc w:val="center"/>
        </w:trPr>
        <w:tc>
          <w:tcPr>
            <w:tcW w:w="3974" w:type="dxa"/>
            <w:gridSpan w:val="2"/>
            <w:shd w:val="clear" w:color="auto" w:fill="FFFFFF"/>
          </w:tcPr>
          <w:p w14:paraId="26952307"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
                <w:szCs w:val="24"/>
              </w:rPr>
              <w:t>Փորձանմուշների ներմուծման համար նախատեսված բլոկ</w:t>
            </w:r>
          </w:p>
        </w:tc>
        <w:tc>
          <w:tcPr>
            <w:tcW w:w="2407" w:type="dxa"/>
            <w:shd w:val="clear" w:color="auto" w:fill="FFFFFF"/>
          </w:tcPr>
          <w:p w14:paraId="426D8E79"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250</w:t>
            </w:r>
          </w:p>
        </w:tc>
      </w:tr>
      <w:tr w:rsidR="00B834A2" w:rsidRPr="00EF5298" w14:paraId="5C628F04" w14:textId="77777777" w:rsidTr="00DF1CC7">
        <w:trPr>
          <w:jc w:val="center"/>
        </w:trPr>
        <w:tc>
          <w:tcPr>
            <w:tcW w:w="3974" w:type="dxa"/>
            <w:gridSpan w:val="2"/>
            <w:tcBorders>
              <w:bottom w:val="single" w:sz="8" w:space="0" w:color="auto"/>
            </w:tcBorders>
            <w:shd w:val="clear" w:color="auto" w:fill="FFFFFF"/>
          </w:tcPr>
          <w:p w14:paraId="08782895" w14:textId="77777777" w:rsidR="00B834A2" w:rsidRPr="00EF5298" w:rsidRDefault="00B834A2" w:rsidP="00EF5298">
            <w:pPr>
              <w:pStyle w:val="Bodytext310"/>
              <w:shd w:val="clear" w:color="auto" w:fill="auto"/>
              <w:spacing w:after="120" w:line="240" w:lineRule="auto"/>
              <w:rPr>
                <w:rFonts w:ascii="Sylfaen" w:hAnsi="Sylfaen"/>
                <w:sz w:val="20"/>
                <w:szCs w:val="24"/>
              </w:rPr>
            </w:pPr>
            <w:r w:rsidRPr="00EF5298">
              <w:rPr>
                <w:rStyle w:val="Bodytext31Sylfaen"/>
                <w:szCs w:val="24"/>
              </w:rPr>
              <w:t>Դետեկտոր</w:t>
            </w:r>
          </w:p>
        </w:tc>
        <w:tc>
          <w:tcPr>
            <w:tcW w:w="2407" w:type="dxa"/>
            <w:tcBorders>
              <w:bottom w:val="single" w:sz="8" w:space="0" w:color="auto"/>
            </w:tcBorders>
            <w:shd w:val="clear" w:color="auto" w:fill="FFFFFF"/>
          </w:tcPr>
          <w:p w14:paraId="04B98651" w14:textId="77777777" w:rsidR="00B834A2" w:rsidRPr="00EF5298" w:rsidRDefault="00B834A2" w:rsidP="00EF5298">
            <w:pPr>
              <w:pStyle w:val="Bodytext310"/>
              <w:shd w:val="clear" w:color="auto" w:fill="auto"/>
              <w:spacing w:after="120" w:line="240" w:lineRule="auto"/>
              <w:jc w:val="center"/>
              <w:rPr>
                <w:rFonts w:ascii="Sylfaen" w:hAnsi="Sylfaen"/>
                <w:sz w:val="20"/>
                <w:szCs w:val="24"/>
              </w:rPr>
            </w:pPr>
            <w:r w:rsidRPr="00EF5298">
              <w:rPr>
                <w:rStyle w:val="Bodytext31Sylfaen21"/>
                <w:sz w:val="20"/>
                <w:szCs w:val="24"/>
              </w:rPr>
              <w:t>250</w:t>
            </w:r>
          </w:p>
        </w:tc>
      </w:tr>
    </w:tbl>
    <w:p w14:paraId="4C157221" w14:textId="77777777" w:rsidR="00B834A2" w:rsidRPr="00B834A2" w:rsidRDefault="00B834A2" w:rsidP="00B834A2">
      <w:pPr>
        <w:spacing w:after="160" w:line="360" w:lineRule="auto"/>
        <w:rPr>
          <w:rStyle w:val="Bodytext31Sylfaen23"/>
          <w:i w:val="0"/>
          <w:iCs w:val="0"/>
          <w:sz w:val="24"/>
          <w:szCs w:val="24"/>
        </w:rPr>
      </w:pPr>
    </w:p>
    <w:p w14:paraId="6DC8487B"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5A95">
        <w:rPr>
          <w:rFonts w:ascii="Sylfaen" w:hAnsi="Sylfaen"/>
          <w:sz w:val="24"/>
          <w:szCs w:val="24"/>
        </w:rPr>
        <w:t>դետեկտոր</w:t>
      </w:r>
      <w:r w:rsidRPr="00EF5298">
        <w:rPr>
          <w:rFonts w:ascii="Sylfaen" w:hAnsi="Sylfaen"/>
          <w:i w:val="0"/>
          <w:sz w:val="24"/>
          <w:szCs w:val="24"/>
        </w:rPr>
        <w:t>՝</w:t>
      </w:r>
      <w:r w:rsidRPr="00EF5298">
        <w:rPr>
          <w:rStyle w:val="Bodytext31Sylfaen"/>
          <w:sz w:val="24"/>
          <w:szCs w:val="24"/>
        </w:rPr>
        <w:t xml:space="preserve"> բոցաիոնացման.</w:t>
      </w:r>
    </w:p>
    <w:p w14:paraId="3791977C" w14:textId="77777777" w:rsidR="00B834A2" w:rsidRPr="00EF5298"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5A95">
        <w:rPr>
          <w:rFonts w:ascii="Sylfaen" w:hAnsi="Sylfaen"/>
          <w:sz w:val="24"/>
          <w:szCs w:val="24"/>
        </w:rPr>
        <w:t>ներմուծվող փորձանմուշի ծավալ</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2-ական մկլ փորձարկվող լուծույթ եւ համեմատման լուծույթ</w:t>
      </w:r>
      <w:r w:rsidR="00696072">
        <w:rPr>
          <w:rFonts w:ascii="Sylfaen" w:hAnsi="Sylfaen"/>
          <w:i w:val="0"/>
          <w:sz w:val="24"/>
          <w:szCs w:val="24"/>
        </w:rPr>
        <w:t xml:space="preserve"> </w:t>
      </w:r>
      <w:r w:rsidRPr="00EF5298">
        <w:rPr>
          <w:rFonts w:ascii="Sylfaen" w:hAnsi="Sylfaen"/>
          <w:i w:val="0"/>
          <w:sz w:val="24"/>
          <w:szCs w:val="24"/>
        </w:rPr>
        <w:t>(ա) եւ (բ):</w:t>
      </w:r>
    </w:p>
    <w:p w14:paraId="676D532D"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Հարաբերական պահում (1,2-պենտանդիոլի պահման ժամանակը մոտ 19</w:t>
      </w:r>
      <w:r w:rsidR="000111CA" w:rsidRPr="000111CA">
        <w:rPr>
          <w:rStyle w:val="Bodytext31Sylfaen"/>
          <w:sz w:val="24"/>
          <w:szCs w:val="24"/>
        </w:rPr>
        <w:t> </w:t>
      </w:r>
      <w:r w:rsidRPr="00EF5298">
        <w:rPr>
          <w:rStyle w:val="Bodytext31Sylfaen"/>
          <w:sz w:val="24"/>
          <w:szCs w:val="24"/>
        </w:rPr>
        <w:t xml:space="preserve">րոպե) էթիլենգլիկոլի համար՝ մոտ 0,7. </w:t>
      </w:r>
      <w:r w:rsidRPr="00EF5298">
        <w:rPr>
          <w:rFonts w:ascii="Sylfaen" w:hAnsi="Sylfaen"/>
          <w:i w:val="0"/>
          <w:sz w:val="24"/>
          <w:szCs w:val="24"/>
        </w:rPr>
        <w:t>դիէթիլենգլիկոլի համար՝ մոտ 1,3:</w:t>
      </w:r>
    </w:p>
    <w:p w14:paraId="681CCB19" w14:textId="77777777" w:rsidR="00B834A2" w:rsidRPr="00EF5298" w:rsidRDefault="00B834A2" w:rsidP="00B834A2">
      <w:pPr>
        <w:pStyle w:val="Bodytext310"/>
        <w:shd w:val="clear" w:color="auto" w:fill="auto"/>
        <w:spacing w:after="160" w:line="360" w:lineRule="auto"/>
        <w:jc w:val="right"/>
        <w:rPr>
          <w:rStyle w:val="Bodytext31Sylfaen22"/>
          <w:b w:val="0"/>
          <w:bCs w:val="0"/>
          <w:sz w:val="24"/>
          <w:szCs w:val="24"/>
        </w:rPr>
      </w:pPr>
    </w:p>
    <w:p w14:paraId="33A8718C"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5A95">
        <w:rPr>
          <w:rStyle w:val="Bodytext31Sylfaen22"/>
          <w:sz w:val="20"/>
          <w:szCs w:val="24"/>
        </w:rPr>
        <w:t>201040026-2022</w:t>
      </w:r>
    </w:p>
    <w:p w14:paraId="6018DE2D" w14:textId="77777777" w:rsidR="00935A95" w:rsidRPr="009217DE" w:rsidRDefault="00935A95" w:rsidP="00B834A2">
      <w:pPr>
        <w:pStyle w:val="Bodytext310"/>
        <w:shd w:val="clear" w:color="auto" w:fill="auto"/>
        <w:spacing w:after="160" w:line="360" w:lineRule="auto"/>
        <w:jc w:val="right"/>
        <w:rPr>
          <w:rFonts w:ascii="Sylfaen" w:hAnsi="Sylfaen"/>
          <w:i w:val="0"/>
          <w:sz w:val="20"/>
          <w:szCs w:val="24"/>
        </w:rPr>
      </w:pPr>
    </w:p>
    <w:p w14:paraId="351047C7" w14:textId="77777777" w:rsidR="00B834A2" w:rsidRPr="00EF5298" w:rsidRDefault="00B834A2" w:rsidP="00EF5298">
      <w:pPr>
        <w:pStyle w:val="Bodytext310"/>
        <w:shd w:val="clear" w:color="auto" w:fill="auto"/>
        <w:tabs>
          <w:tab w:val="left" w:pos="1701"/>
        </w:tabs>
        <w:spacing w:after="160" w:line="360" w:lineRule="auto"/>
        <w:ind w:firstLine="567"/>
        <w:jc w:val="both"/>
        <w:rPr>
          <w:rFonts w:ascii="Sylfaen" w:hAnsi="Sylfaen"/>
          <w:i w:val="0"/>
          <w:sz w:val="24"/>
          <w:szCs w:val="24"/>
        </w:rPr>
      </w:pPr>
      <w:r w:rsidRPr="00EF5298">
        <w:rPr>
          <w:rStyle w:val="Bodytext31Sylfaen20"/>
          <w:sz w:val="24"/>
          <w:szCs w:val="24"/>
        </w:rPr>
        <w:t>2.1.4.26.</w:t>
      </w:r>
      <w:r w:rsidR="00EF5298" w:rsidRPr="00097504">
        <w:rPr>
          <w:rStyle w:val="Bodytext31Sylfaen20"/>
          <w:sz w:val="24"/>
          <w:szCs w:val="24"/>
        </w:rPr>
        <w:tab/>
      </w:r>
      <w:r w:rsidRPr="00EF5298">
        <w:rPr>
          <w:rStyle w:val="Bodytext31Sylfaen20"/>
          <w:sz w:val="24"/>
          <w:szCs w:val="24"/>
        </w:rPr>
        <w:t>Ածխածնի դիօքսիդ բժշկական գազերում</w:t>
      </w:r>
    </w:p>
    <w:p w14:paraId="4C9E788E"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Գազերը կլանում են լույսը ալիքների որոշակի բնորոշ երկարությունների դեպքում: Այդ հատկությունը լայնորեն օգտագործվում է դրանց կոնցենտրացիաների բարձրսելեկտիվ չափման անցկացման համար:</w:t>
      </w:r>
    </w:p>
    <w:p w14:paraId="7683C290" w14:textId="77777777" w:rsidR="00B834A2" w:rsidRPr="00EF5298" w:rsidRDefault="00B834A2" w:rsidP="00B834A2">
      <w:pPr>
        <w:pStyle w:val="Bodytext310"/>
        <w:shd w:val="clear" w:color="auto" w:fill="auto"/>
        <w:spacing w:after="160" w:line="360" w:lineRule="auto"/>
        <w:ind w:firstLine="567"/>
        <w:jc w:val="both"/>
        <w:rPr>
          <w:rFonts w:ascii="Sylfaen" w:hAnsi="Sylfaen"/>
          <w:i w:val="0"/>
          <w:sz w:val="24"/>
          <w:szCs w:val="24"/>
        </w:rPr>
      </w:pPr>
      <w:r w:rsidRPr="00EF5298">
        <w:rPr>
          <w:rStyle w:val="Bodytext31Sylfaen"/>
          <w:sz w:val="24"/>
          <w:szCs w:val="24"/>
        </w:rPr>
        <w:t>Բժշկական գազերում ածխածնի դիօքսիդի կոնցենտրացիան որոշում են ինֆրակարմիր ճառագայթման գազերի ոչ դիսպերսիոն կլանման մեթոդ օգտագործող՝ ինֆրակարմիր տվիչներով սպեկտրաչափական սարքերի օգնությամբ (ինֆրակարմիր անալիզարար):</w:t>
      </w:r>
    </w:p>
    <w:p w14:paraId="37CC0C7E" w14:textId="77777777" w:rsidR="00B834A2" w:rsidRPr="00EF5298" w:rsidRDefault="00B834A2" w:rsidP="00F076B2">
      <w:pPr>
        <w:pStyle w:val="Bodytext310"/>
        <w:shd w:val="clear" w:color="auto" w:fill="auto"/>
        <w:spacing w:after="160" w:line="348" w:lineRule="auto"/>
        <w:ind w:firstLine="567"/>
        <w:jc w:val="both"/>
        <w:rPr>
          <w:rFonts w:ascii="Sylfaen" w:hAnsi="Sylfaen"/>
          <w:i w:val="0"/>
          <w:sz w:val="24"/>
          <w:szCs w:val="24"/>
        </w:rPr>
      </w:pPr>
      <w:r w:rsidRPr="00EF5298">
        <w:rPr>
          <w:rStyle w:val="Bodytext31Sylfaen22"/>
          <w:sz w:val="24"/>
          <w:szCs w:val="24"/>
        </w:rPr>
        <w:t xml:space="preserve">Չափման նկարագրությունը եւ սկզբունքը: </w:t>
      </w:r>
      <w:r w:rsidRPr="00EF5298">
        <w:rPr>
          <w:rStyle w:val="Bodytext31Sylfaen"/>
          <w:sz w:val="24"/>
          <w:szCs w:val="24"/>
        </w:rPr>
        <w:t xml:space="preserve">Ինֆրակարմիր անալիզարարի հիմնական բաղադրիչներն են՝ ինֆրակարմիր ճառագայթման աղբյուր, օպտիկական սարք, չափիչ խցիկներ (բջիջներ) եւ ինֆրակարմիր դետեկտոր: Խցիկները նախատեսված են փորձարկվող նմուշի եւ համեմատման նմուշի </w:t>
      </w:r>
      <w:r w:rsidRPr="00EF5298">
        <w:rPr>
          <w:rStyle w:val="Bodytext31Sylfaen"/>
          <w:sz w:val="24"/>
          <w:szCs w:val="24"/>
        </w:rPr>
        <w:lastRenderedPageBreak/>
        <w:t xml:space="preserve">համար, որոշ սարքերում համեմատման խցկի փոխարեն օգտագործվում է էլեկտրոնային համակարգ: Օպտիկական սարքը բաղկացած է ըստ ալիքի երկարության ընտրողական մեկ կամ մի քանի օպտիկական ֆիլտրերից, որոնց միջով անցնում է ինֆրակարմիր ճառագայթը: Տվյալ դեպքում օգտագործում են օպտիկական ֆիլտրեր՝ ածխածնի դիօքսիդի համար: Ինֆրակարմիր ճառագայթն ուղղվում է խցիկների միջով դեպի դետեկտոր: </w:t>
      </w:r>
    </w:p>
    <w:p w14:paraId="2A08131E" w14:textId="77777777" w:rsidR="00B834A2" w:rsidRPr="00EF5298" w:rsidRDefault="00B834A2" w:rsidP="00F076B2">
      <w:pPr>
        <w:pStyle w:val="Bodytext310"/>
        <w:shd w:val="clear" w:color="auto" w:fill="auto"/>
        <w:spacing w:after="160" w:line="336" w:lineRule="auto"/>
        <w:ind w:firstLine="567"/>
        <w:jc w:val="both"/>
        <w:rPr>
          <w:rFonts w:ascii="Sylfaen" w:hAnsi="Sylfaen"/>
          <w:i w:val="0"/>
          <w:sz w:val="24"/>
          <w:szCs w:val="24"/>
        </w:rPr>
      </w:pPr>
      <w:r w:rsidRPr="00EF5298">
        <w:rPr>
          <w:rStyle w:val="Bodytext31Sylfaen"/>
          <w:sz w:val="24"/>
          <w:szCs w:val="24"/>
        </w:rPr>
        <w:t xml:space="preserve">Եթե փորձարկվող նմուշով խցիկում առկա է ածխածնի դիօքսիդ, ապա տեղի է ունենում կլանում Բուգեր-Լամբերտ-Բերի օրենքին համապատասխան դետեկտորի ազդանշանի փոփոխության հանգեցնող ածխածնի դիօքսիդի համապատասխանող սպեկտրի ինֆրակարմիր տիրույթի ալիքների որոշակի երկարություններում: Տվյալ ազդանշանը համեմատման նմուշի ազդանշանի հետ համեմատման միջոցով գտնում են ածխածնի դիօքսիդի կոնցենտրացիայով պայմանավորված մեծությունը: Ելքային ազդանշանը գծայնացնում են այնպես, որ ստացվի ածխածնի դիօքսիդի կոնցենտրացիա: Տվիչների վրա լուսացրման երեւույթին հանգեցնող պինդ մասնիկների հայտնվելը կանխելու համար սարքն հանդերձվում է հարմար ֆիլտրով: </w:t>
      </w:r>
    </w:p>
    <w:p w14:paraId="12D23B78" w14:textId="77777777" w:rsidR="00B834A2" w:rsidRPr="00EF5298" w:rsidRDefault="00B834A2" w:rsidP="00F076B2">
      <w:pPr>
        <w:pStyle w:val="Bodytext310"/>
        <w:shd w:val="clear" w:color="auto" w:fill="auto"/>
        <w:spacing w:after="160" w:line="336" w:lineRule="auto"/>
        <w:ind w:firstLine="567"/>
        <w:jc w:val="both"/>
        <w:rPr>
          <w:rFonts w:ascii="Sylfaen" w:hAnsi="Sylfaen"/>
          <w:i w:val="0"/>
          <w:sz w:val="24"/>
          <w:szCs w:val="24"/>
        </w:rPr>
      </w:pPr>
      <w:r w:rsidRPr="00EF5298">
        <w:rPr>
          <w:rStyle w:val="Bodytext31Sylfaen22"/>
          <w:sz w:val="24"/>
          <w:szCs w:val="24"/>
        </w:rPr>
        <w:t xml:space="preserve">Տեխնիկական բնութագրերի մասով պահանջներ: </w:t>
      </w:r>
      <w:r w:rsidRPr="00EF5298">
        <w:rPr>
          <w:rStyle w:val="Bodytext31Sylfaen"/>
          <w:sz w:val="24"/>
          <w:szCs w:val="24"/>
        </w:rPr>
        <w:t>Սահմանային պարունակությունների որոշման համար օգտագործելիս ինֆրակարմիր անալիզարարը պետք է համապատասխանի հետեւյալ պահանջներին՝</w:t>
      </w:r>
    </w:p>
    <w:p w14:paraId="26402EB5" w14:textId="77777777" w:rsidR="00B834A2" w:rsidRPr="00EF5298" w:rsidRDefault="00B834A2" w:rsidP="00F076B2">
      <w:pPr>
        <w:pStyle w:val="Bodytext310"/>
        <w:shd w:val="clear" w:color="auto" w:fill="auto"/>
        <w:tabs>
          <w:tab w:val="left" w:pos="1134"/>
        </w:tabs>
        <w:spacing w:after="160" w:line="336"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5A95">
        <w:rPr>
          <w:rFonts w:ascii="Sylfaen" w:hAnsi="Sylfaen"/>
          <w:sz w:val="24"/>
          <w:szCs w:val="24"/>
        </w:rPr>
        <w:t>հայտնաբերման սահման</w:t>
      </w:r>
      <w:r w:rsidRPr="00EF5298">
        <w:rPr>
          <w:rFonts w:ascii="Sylfaen" w:hAnsi="Sylfaen"/>
          <w:i w:val="0"/>
          <w:sz w:val="24"/>
          <w:szCs w:val="24"/>
        </w:rPr>
        <w:t>՝</w:t>
      </w:r>
      <w:r w:rsidRPr="00EF5298">
        <w:rPr>
          <w:rStyle w:val="Bodytext31Sylfaen"/>
          <w:sz w:val="24"/>
          <w:szCs w:val="24"/>
        </w:rPr>
        <w:t xml:space="preserve"> </w:t>
      </w:r>
      <w:r w:rsidRPr="00EF5298">
        <w:rPr>
          <w:rFonts w:ascii="Sylfaen" w:hAnsi="Sylfaen"/>
          <w:i w:val="0"/>
          <w:sz w:val="24"/>
          <w:szCs w:val="24"/>
        </w:rPr>
        <w:t>(սովորաբար ըստ ազդանշան/աղմուկ հարաբերակցության 2-ից ավելի որոշվող) առավելագույն թույլատրելի կոնցենտրացիայի 20 %-ից ոչ ավելի.</w:t>
      </w:r>
    </w:p>
    <w:p w14:paraId="074C8D81" w14:textId="77777777" w:rsidR="00B834A2" w:rsidRPr="00EF5298" w:rsidRDefault="00B834A2" w:rsidP="00F076B2">
      <w:pPr>
        <w:tabs>
          <w:tab w:val="left" w:pos="1134"/>
        </w:tabs>
        <w:spacing w:after="160" w:line="336" w:lineRule="auto"/>
        <w:ind w:firstLine="567"/>
        <w:jc w:val="both"/>
      </w:pPr>
      <w:r w:rsidRPr="00EF5298">
        <w:t>-</w:t>
      </w:r>
      <w:r w:rsidR="00EF5298" w:rsidRPr="00EF5298">
        <w:tab/>
      </w:r>
      <w:r w:rsidRPr="00935A95">
        <w:rPr>
          <w:i/>
        </w:rPr>
        <w:t>կրկնելիություն</w:t>
      </w:r>
      <w:r w:rsidRPr="00EF5298">
        <w:t>՝</w:t>
      </w:r>
      <w:r w:rsidRPr="00EF5298">
        <w:rPr>
          <w:rStyle w:val="Bodytext31Sylfaen"/>
          <w:i w:val="0"/>
          <w:sz w:val="24"/>
          <w:szCs w:val="24"/>
        </w:rPr>
        <w:t xml:space="preserve"> </w:t>
      </w:r>
      <w:r w:rsidRPr="00EF5298">
        <w:t>6 կրկնվող որոշումներով որոշվող10 %-ից ոչ ավելի առավելագույն թույլատրելի կոնցենտրացիայի համար հարաբերական ստանդարտ շեղում:</w:t>
      </w:r>
    </w:p>
    <w:p w14:paraId="1EDD46BC" w14:textId="77777777" w:rsidR="00B834A2" w:rsidRPr="00097504" w:rsidRDefault="00B834A2" w:rsidP="00EF5298">
      <w:pPr>
        <w:pStyle w:val="Bodytext310"/>
        <w:shd w:val="clear" w:color="auto" w:fill="auto"/>
        <w:tabs>
          <w:tab w:val="left" w:pos="1134"/>
        </w:tabs>
        <w:spacing w:after="160" w:line="360" w:lineRule="auto"/>
        <w:ind w:firstLine="567"/>
        <w:jc w:val="both"/>
        <w:rPr>
          <w:rFonts w:ascii="Sylfaen" w:hAnsi="Sylfaen"/>
          <w:i w:val="0"/>
          <w:sz w:val="24"/>
          <w:szCs w:val="24"/>
        </w:rPr>
      </w:pPr>
      <w:r w:rsidRPr="00EF5298">
        <w:rPr>
          <w:rFonts w:ascii="Sylfaen" w:hAnsi="Sylfaen"/>
          <w:i w:val="0"/>
          <w:sz w:val="24"/>
          <w:szCs w:val="24"/>
        </w:rPr>
        <w:t>-</w:t>
      </w:r>
      <w:r w:rsidR="00EF5298" w:rsidRPr="00EF5298">
        <w:rPr>
          <w:rFonts w:ascii="Sylfaen" w:hAnsi="Sylfaen"/>
          <w:i w:val="0"/>
          <w:sz w:val="24"/>
          <w:szCs w:val="24"/>
        </w:rPr>
        <w:tab/>
      </w:r>
      <w:r w:rsidRPr="00935A95">
        <w:rPr>
          <w:rFonts w:ascii="Sylfaen" w:hAnsi="Sylfaen"/>
          <w:sz w:val="24"/>
          <w:szCs w:val="24"/>
        </w:rPr>
        <w:t>գծայնություն</w:t>
      </w:r>
      <w:r w:rsidRPr="00EF5298">
        <w:rPr>
          <w:rFonts w:ascii="Sylfaen" w:hAnsi="Sylfaen"/>
          <w:i w:val="0"/>
          <w:sz w:val="24"/>
          <w:szCs w:val="24"/>
        </w:rPr>
        <w:t>, առավելագույն թույլատրելի կոնցենտրացիայից 10 % -ից ոչ ավելի:</w:t>
      </w:r>
    </w:p>
    <w:p w14:paraId="29EF6EF8"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Տեխնիկական բնութագրերի մասով պահանջները պետք է կատարվեն նաեւ փորձարկվող նմուշում այլ գազերի խառնուկների առկայությամբ:</w:t>
      </w:r>
    </w:p>
    <w:p w14:paraId="6180DD4F"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5A95">
        <w:rPr>
          <w:rStyle w:val="Bodytext31Sylfaen22"/>
          <w:sz w:val="20"/>
          <w:szCs w:val="24"/>
        </w:rPr>
        <w:lastRenderedPageBreak/>
        <w:t>201040027-2022</w:t>
      </w:r>
    </w:p>
    <w:p w14:paraId="27B708E6" w14:textId="77777777" w:rsidR="00935A95" w:rsidRPr="009217DE" w:rsidRDefault="00935A95" w:rsidP="00B834A2">
      <w:pPr>
        <w:pStyle w:val="Bodytext310"/>
        <w:shd w:val="clear" w:color="auto" w:fill="auto"/>
        <w:spacing w:after="160" w:line="360" w:lineRule="auto"/>
        <w:jc w:val="right"/>
        <w:rPr>
          <w:rFonts w:ascii="Sylfaen" w:hAnsi="Sylfaen"/>
          <w:i w:val="0"/>
          <w:sz w:val="20"/>
          <w:szCs w:val="24"/>
        </w:rPr>
      </w:pPr>
    </w:p>
    <w:p w14:paraId="33DD3A4B" w14:textId="77777777" w:rsidR="00B834A2" w:rsidRPr="003C2850" w:rsidRDefault="00B834A2" w:rsidP="003C2850">
      <w:pPr>
        <w:pStyle w:val="Bodytext310"/>
        <w:shd w:val="clear" w:color="auto" w:fill="auto"/>
        <w:tabs>
          <w:tab w:val="left" w:pos="1701"/>
        </w:tabs>
        <w:spacing w:after="160" w:line="360" w:lineRule="auto"/>
        <w:ind w:firstLine="567"/>
        <w:jc w:val="both"/>
        <w:rPr>
          <w:rFonts w:ascii="Sylfaen" w:hAnsi="Sylfaen"/>
          <w:i w:val="0"/>
          <w:sz w:val="24"/>
          <w:szCs w:val="24"/>
        </w:rPr>
      </w:pPr>
      <w:r w:rsidRPr="003C2850">
        <w:rPr>
          <w:rStyle w:val="Bodytext31Sylfaen20"/>
          <w:sz w:val="24"/>
          <w:szCs w:val="24"/>
        </w:rPr>
        <w:t>2.1.4.27.</w:t>
      </w:r>
      <w:r w:rsidR="003C2850" w:rsidRPr="00097504">
        <w:rPr>
          <w:rStyle w:val="Bodytext31Sylfaen20"/>
          <w:sz w:val="24"/>
          <w:szCs w:val="24"/>
        </w:rPr>
        <w:tab/>
      </w:r>
      <w:r w:rsidRPr="003C2850">
        <w:rPr>
          <w:rStyle w:val="Bodytext31Sylfaen20"/>
          <w:sz w:val="24"/>
          <w:szCs w:val="24"/>
        </w:rPr>
        <w:t>Ածխածնի մոնոօքսիդը բժշկական գազերում</w:t>
      </w:r>
    </w:p>
    <w:p w14:paraId="491227D0" w14:textId="77777777" w:rsidR="00B834A2" w:rsidRPr="003C2850" w:rsidRDefault="00B834A2" w:rsidP="00F076B2">
      <w:pPr>
        <w:pStyle w:val="Bodytext310"/>
        <w:shd w:val="clear" w:color="auto" w:fill="auto"/>
        <w:spacing w:after="160" w:line="348" w:lineRule="auto"/>
        <w:ind w:firstLine="567"/>
        <w:jc w:val="both"/>
        <w:rPr>
          <w:rFonts w:ascii="Sylfaen" w:hAnsi="Sylfaen"/>
          <w:i w:val="0"/>
          <w:sz w:val="24"/>
          <w:szCs w:val="24"/>
        </w:rPr>
      </w:pPr>
      <w:r w:rsidRPr="003C2850">
        <w:rPr>
          <w:rStyle w:val="Bodytext31Sylfaen"/>
          <w:sz w:val="24"/>
          <w:szCs w:val="24"/>
        </w:rPr>
        <w:t>Բժշկական գազերում ածխածնի մոնոօքսիդի կոնցենտրացիայի որոշումն իրականացնում են ածխածնի մոնոօքսիդի օքսիդացումից հետո տետրիմետրիկ մեթոդով (Մեթոդ 1) եւ ինֆրակարմիր անալիզարարի օգնությամբ (Մեթոդ 2):</w:t>
      </w:r>
    </w:p>
    <w:p w14:paraId="588E24DD" w14:textId="77777777" w:rsidR="00B834A2" w:rsidRPr="003C2850" w:rsidRDefault="00B834A2" w:rsidP="00F076B2">
      <w:pPr>
        <w:pStyle w:val="Bodytext310"/>
        <w:shd w:val="clear" w:color="auto" w:fill="auto"/>
        <w:spacing w:line="360" w:lineRule="auto"/>
        <w:ind w:firstLine="567"/>
        <w:jc w:val="both"/>
        <w:rPr>
          <w:rStyle w:val="Bodytext31Sylfaen"/>
          <w:sz w:val="24"/>
          <w:szCs w:val="24"/>
        </w:rPr>
      </w:pPr>
    </w:p>
    <w:p w14:paraId="60290501" w14:textId="77777777" w:rsidR="000111CA" w:rsidRPr="006B7DC5" w:rsidRDefault="00B834A2" w:rsidP="00F076B2">
      <w:pPr>
        <w:pStyle w:val="Bodytext310"/>
        <w:shd w:val="clear" w:color="auto" w:fill="auto"/>
        <w:spacing w:after="160" w:line="348" w:lineRule="auto"/>
        <w:ind w:firstLine="567"/>
        <w:jc w:val="both"/>
        <w:rPr>
          <w:rStyle w:val="Bodytext31Sylfaen"/>
          <w:b/>
          <w:sz w:val="24"/>
          <w:szCs w:val="24"/>
        </w:rPr>
      </w:pPr>
      <w:r w:rsidRPr="003C2850">
        <w:rPr>
          <w:rStyle w:val="Bodytext31Sylfaen"/>
          <w:b/>
          <w:sz w:val="24"/>
          <w:szCs w:val="24"/>
        </w:rPr>
        <w:t>ՄԵԹՈԴ 1</w:t>
      </w:r>
    </w:p>
    <w:p w14:paraId="20B1E596" w14:textId="77777777" w:rsidR="00B834A2" w:rsidRPr="003C2850" w:rsidRDefault="00B834A2" w:rsidP="00F076B2">
      <w:pPr>
        <w:pStyle w:val="Bodytext310"/>
        <w:shd w:val="clear" w:color="auto" w:fill="auto"/>
        <w:spacing w:after="160" w:line="348" w:lineRule="auto"/>
        <w:ind w:firstLine="567"/>
        <w:jc w:val="both"/>
        <w:rPr>
          <w:rFonts w:ascii="Sylfaen" w:hAnsi="Sylfaen"/>
          <w:i w:val="0"/>
          <w:sz w:val="24"/>
          <w:szCs w:val="24"/>
        </w:rPr>
      </w:pPr>
      <w:r w:rsidRPr="00935A95">
        <w:rPr>
          <w:rStyle w:val="Bodytext31Sylfaen23"/>
          <w:i/>
          <w:sz w:val="24"/>
          <w:szCs w:val="24"/>
        </w:rPr>
        <w:t>Սարք:</w:t>
      </w:r>
      <w:r w:rsidRPr="003C2850">
        <w:rPr>
          <w:rStyle w:val="Bodytext31Sylfaen"/>
          <w:sz w:val="24"/>
          <w:szCs w:val="24"/>
        </w:rPr>
        <w:t xml:space="preserve"> Սարքը (նկար 2.1.4.27.-1) բաղկացած է հաջորդաբար միացված հետեւյալ մասերից՝</w:t>
      </w:r>
    </w:p>
    <w:p w14:paraId="63C16662" w14:textId="77777777" w:rsidR="00B834A2" w:rsidRPr="003C2850" w:rsidRDefault="00B834A2" w:rsidP="00F076B2">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 xml:space="preserve">քրոմի </w:t>
      </w:r>
      <w:r w:rsidRPr="00935A95">
        <w:rPr>
          <w:rFonts w:ascii="Sylfaen" w:hAnsi="Sylfaen"/>
          <w:sz w:val="24"/>
          <w:szCs w:val="24"/>
        </w:rPr>
        <w:t>(VI) օքսիդով Р</w:t>
      </w:r>
      <w:r w:rsidRPr="003C2850">
        <w:rPr>
          <w:rFonts w:ascii="Sylfaen" w:hAnsi="Sylfaen"/>
          <w:i w:val="0"/>
          <w:sz w:val="24"/>
          <w:szCs w:val="24"/>
        </w:rPr>
        <w:t xml:space="preserve"> իմպրեգնացված անջուր Р սիլիկաժել պարունակող Ս-նման խողովակ (U</w:t>
      </w:r>
      <w:r w:rsidRPr="00935A95">
        <w:rPr>
          <w:rFonts w:ascii="Sylfaen" w:hAnsi="Sylfaen"/>
          <w:i w:val="0"/>
          <w:sz w:val="24"/>
          <w:szCs w:val="24"/>
          <w:vertAlign w:val="subscript"/>
        </w:rPr>
        <w:t>1</w:t>
      </w:r>
      <w:r w:rsidRPr="003C2850">
        <w:rPr>
          <w:rFonts w:ascii="Sylfaen" w:hAnsi="Sylfaen"/>
          <w:i w:val="0"/>
          <w:sz w:val="24"/>
          <w:szCs w:val="24"/>
        </w:rPr>
        <w:t>).</w:t>
      </w:r>
    </w:p>
    <w:p w14:paraId="0D81B4F7" w14:textId="77777777" w:rsidR="00B834A2" w:rsidRPr="003C2850" w:rsidRDefault="00B834A2" w:rsidP="00F076B2">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Р կալիումի հիդրօքսիդի 400 գ/լ լուծույթ պարունակող լվացման տարողություն (F</w:t>
      </w:r>
      <w:r w:rsidRPr="00935A95">
        <w:rPr>
          <w:rFonts w:ascii="Sylfaen" w:hAnsi="Sylfaen"/>
          <w:i w:val="0"/>
          <w:sz w:val="24"/>
          <w:szCs w:val="24"/>
          <w:vertAlign w:val="subscript"/>
        </w:rPr>
        <w:t>1</w:t>
      </w:r>
      <w:r w:rsidRPr="003C2850">
        <w:rPr>
          <w:rFonts w:ascii="Sylfaen" w:hAnsi="Sylfaen"/>
          <w:i w:val="0"/>
          <w:sz w:val="24"/>
          <w:szCs w:val="24"/>
        </w:rPr>
        <w:t>).</w:t>
      </w:r>
    </w:p>
    <w:p w14:paraId="440828C5" w14:textId="77777777" w:rsidR="00B834A2" w:rsidRPr="003C2850" w:rsidRDefault="00B834A2" w:rsidP="00F076B2">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Рկալիումի հիդրօքսիդի գնդիկներ պարունակող Ս-նման խողովակ (U</w:t>
      </w:r>
      <w:r w:rsidRPr="00935A95">
        <w:rPr>
          <w:rFonts w:ascii="Sylfaen" w:hAnsi="Sylfaen"/>
          <w:i w:val="0"/>
          <w:sz w:val="24"/>
          <w:szCs w:val="24"/>
          <w:vertAlign w:val="subscript"/>
        </w:rPr>
        <w:t>2</w:t>
      </w:r>
      <w:r w:rsidRPr="003C2850">
        <w:rPr>
          <w:rFonts w:ascii="Sylfaen" w:hAnsi="Sylfaen"/>
          <w:i w:val="0"/>
          <w:sz w:val="24"/>
          <w:szCs w:val="24"/>
        </w:rPr>
        <w:t>).</w:t>
      </w:r>
    </w:p>
    <w:p w14:paraId="0810DA86" w14:textId="77777777" w:rsidR="00B834A2" w:rsidRPr="003C2850" w:rsidRDefault="00B834A2" w:rsidP="00F076B2">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նախապես հատիկավորված հալած պեմզայի վրա բաշխված Р ֆոսֆորի (V) օքսիդ պարունակող Ս-նման խողովակ (U</w:t>
      </w:r>
      <w:r w:rsidRPr="00935A95">
        <w:rPr>
          <w:rFonts w:ascii="Sylfaen" w:hAnsi="Sylfaen"/>
          <w:i w:val="0"/>
          <w:sz w:val="24"/>
          <w:szCs w:val="24"/>
          <w:vertAlign w:val="subscript"/>
        </w:rPr>
        <w:t>3</w:t>
      </w:r>
      <w:r w:rsidRPr="003C2850">
        <w:rPr>
          <w:rFonts w:ascii="Sylfaen" w:hAnsi="Sylfaen"/>
          <w:i w:val="0"/>
          <w:sz w:val="24"/>
          <w:szCs w:val="24"/>
        </w:rPr>
        <w:t>).</w:t>
      </w:r>
    </w:p>
    <w:p w14:paraId="099BE8B3" w14:textId="77777777" w:rsidR="00B834A2" w:rsidRPr="003C2850" w:rsidRDefault="00B834A2" w:rsidP="00F076B2">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նախապես 200 °С ջերմաստիճանում չորացված եւ փորձարկման ժամանակ 120 °С (I) ջերմաստիճանում պահվող հատիկներով վերաբյուրեղացված 30 գ Рյոդի (V) օքսիդ պարունակող Ս-նման խողովակ (U</w:t>
      </w:r>
      <w:r w:rsidRPr="00935A95">
        <w:rPr>
          <w:rFonts w:ascii="Sylfaen" w:hAnsi="Sylfaen"/>
          <w:i w:val="0"/>
          <w:sz w:val="24"/>
          <w:szCs w:val="24"/>
          <w:vertAlign w:val="subscript"/>
        </w:rPr>
        <w:t>4</w:t>
      </w:r>
      <w:r w:rsidRPr="003C2850">
        <w:rPr>
          <w:rFonts w:ascii="Sylfaen" w:hAnsi="Sylfaen"/>
          <w:i w:val="0"/>
          <w:sz w:val="24"/>
          <w:szCs w:val="24"/>
        </w:rPr>
        <w:t>):</w:t>
      </w:r>
      <w:r w:rsidRPr="003C2850">
        <w:rPr>
          <w:rStyle w:val="Bodytext31Sylfaen"/>
          <w:sz w:val="24"/>
          <w:szCs w:val="24"/>
        </w:rPr>
        <w:t xml:space="preserve"> Յոդի (V) օքսիդը փաթեթավորված է խողովակում 5 սմ արդյունավետ երկարության հասնելու համար ապակե բամբակի մեկ սանտիմետր երկարությամբ </w:t>
      </w:r>
      <w:r w:rsidRPr="003C2850">
        <w:rPr>
          <w:rStyle w:val="Bodytext210pt8"/>
          <w:i/>
          <w:sz w:val="24"/>
          <w:szCs w:val="24"/>
        </w:rPr>
        <w:t>աշտարակ</w:t>
      </w:r>
      <w:r w:rsidRPr="003C2850">
        <w:rPr>
          <w:rStyle w:val="Bodytext31Sylfaen"/>
          <w:sz w:val="24"/>
          <w:szCs w:val="24"/>
        </w:rPr>
        <w:t xml:space="preserve">ներով բաժանված մեկ սանտիմետր երկարությամբ </w:t>
      </w:r>
      <w:r w:rsidRPr="003C2850">
        <w:rPr>
          <w:rStyle w:val="Bodytext210pt8"/>
          <w:i/>
          <w:sz w:val="24"/>
          <w:szCs w:val="24"/>
        </w:rPr>
        <w:t>աշտարակ</w:t>
      </w:r>
      <w:r w:rsidRPr="003C2850">
        <w:rPr>
          <w:rStyle w:val="Bodytext31Sylfaen"/>
          <w:sz w:val="24"/>
          <w:szCs w:val="24"/>
        </w:rPr>
        <w:t xml:space="preserve">ների մեջ: </w:t>
      </w:r>
    </w:p>
    <w:p w14:paraId="3D3AE056" w14:textId="77777777" w:rsidR="00B834A2" w:rsidRPr="00B834A2" w:rsidRDefault="00B834A2" w:rsidP="00B834A2">
      <w:pPr>
        <w:spacing w:after="160" w:line="360" w:lineRule="auto"/>
        <w:jc w:val="center"/>
      </w:pPr>
      <w:r w:rsidRPr="00B834A2">
        <w:rPr>
          <w:noProof/>
          <w:lang w:val="en-US" w:eastAsia="en-US" w:bidi="ar-SA"/>
        </w:rPr>
        <w:lastRenderedPageBreak/>
        <w:drawing>
          <wp:inline distT="0" distB="0" distL="0" distR="0" wp14:anchorId="28E002C9" wp14:editId="34D7A453">
            <wp:extent cx="6009005" cy="2802890"/>
            <wp:effectExtent l="19050" t="0" r="0" b="0"/>
            <wp:docPr id="10" name="Picture 10" descr="D:\2 VERSION\14.07.115-0003-2023-B_for final formatting\02.2023\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2 VERSION\14.07.115-0003-2023-B_for final formatting\02.2023\media\image8.jpeg"/>
                    <pic:cNvPicPr>
                      <a:picLocks noChangeAspect="1" noChangeArrowheads="1"/>
                    </pic:cNvPicPr>
                  </pic:nvPicPr>
                  <pic:blipFill>
                    <a:blip r:embed="rId20" cstate="print"/>
                    <a:srcRect/>
                    <a:stretch>
                      <a:fillRect/>
                    </a:stretch>
                  </pic:blipFill>
                  <pic:spPr bwMode="auto">
                    <a:xfrm>
                      <a:off x="0" y="0"/>
                      <a:ext cx="6009005" cy="2802890"/>
                    </a:xfrm>
                    <a:prstGeom prst="rect">
                      <a:avLst/>
                    </a:prstGeom>
                    <a:noFill/>
                    <a:ln w="9525">
                      <a:noFill/>
                      <a:miter lim="800000"/>
                      <a:headEnd/>
                      <a:tailEnd/>
                    </a:ln>
                  </pic:spPr>
                </pic:pic>
              </a:graphicData>
            </a:graphic>
          </wp:inline>
        </w:drawing>
      </w:r>
    </w:p>
    <w:p w14:paraId="16BD1DC2" w14:textId="77777777" w:rsidR="00B834A2" w:rsidRPr="003C2850" w:rsidRDefault="00B834A2" w:rsidP="003C2850">
      <w:pPr>
        <w:pStyle w:val="Picturecaption120"/>
        <w:shd w:val="clear" w:color="auto" w:fill="auto"/>
        <w:spacing w:after="160" w:line="360" w:lineRule="auto"/>
        <w:jc w:val="both"/>
        <w:rPr>
          <w:rFonts w:ascii="Sylfaen" w:hAnsi="Sylfaen"/>
          <w:sz w:val="20"/>
          <w:szCs w:val="24"/>
        </w:rPr>
      </w:pPr>
      <w:r w:rsidRPr="00F076B2">
        <w:rPr>
          <w:rFonts w:ascii="Sylfaen" w:hAnsi="Sylfaen"/>
          <w:i w:val="0"/>
          <w:sz w:val="20"/>
          <w:szCs w:val="24"/>
        </w:rPr>
        <w:t>Նկար 2.1.4.27.-1՝</w:t>
      </w:r>
      <w:r w:rsidRPr="003C2850">
        <w:rPr>
          <w:rFonts w:ascii="Sylfaen" w:hAnsi="Sylfaen"/>
          <w:sz w:val="20"/>
          <w:szCs w:val="24"/>
        </w:rPr>
        <w:t xml:space="preserve"> Ածխածնի մոնոօքսիդի որոշման համար նախատեսված սարք: Չափսերը նշված են միլիմետրերով: </w:t>
      </w:r>
    </w:p>
    <w:p w14:paraId="702B5F22" w14:textId="77777777" w:rsidR="00B834A2" w:rsidRPr="00B834A2" w:rsidRDefault="00B834A2" w:rsidP="00B834A2">
      <w:pPr>
        <w:spacing w:after="160" w:line="360" w:lineRule="auto"/>
      </w:pPr>
    </w:p>
    <w:p w14:paraId="4AED9C61" w14:textId="77777777" w:rsidR="00B834A2" w:rsidRPr="003C2850" w:rsidRDefault="00B834A2" w:rsidP="003C2850">
      <w:pPr>
        <w:pStyle w:val="Bodytext310"/>
        <w:shd w:val="clear" w:color="auto" w:fill="auto"/>
        <w:tabs>
          <w:tab w:val="left" w:pos="1134"/>
        </w:tabs>
        <w:spacing w:after="160" w:line="360"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2,0 մլ Р կալիումի յոդիդի լուծույթ եւ 0,15մլ Р օսլայի լուծույթ պարունակող ռեակցիոն փորձանոթ (F</w:t>
      </w:r>
      <w:r w:rsidRPr="00935A95">
        <w:rPr>
          <w:rFonts w:ascii="Sylfaen" w:hAnsi="Sylfaen"/>
          <w:i w:val="0"/>
          <w:sz w:val="24"/>
          <w:szCs w:val="24"/>
          <w:vertAlign w:val="subscript"/>
        </w:rPr>
        <w:t>2</w:t>
      </w:r>
      <w:r w:rsidRPr="003C2850">
        <w:rPr>
          <w:rFonts w:ascii="Sylfaen" w:hAnsi="Sylfaen"/>
          <w:i w:val="0"/>
          <w:sz w:val="24"/>
          <w:szCs w:val="24"/>
        </w:rPr>
        <w:t>):</w:t>
      </w:r>
    </w:p>
    <w:p w14:paraId="189506FD"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Fonts w:ascii="Sylfaen" w:hAnsi="Sylfaen"/>
          <w:i w:val="0"/>
          <w:sz w:val="24"/>
          <w:szCs w:val="24"/>
        </w:rPr>
        <w:t>Մեթոդիկա, 5,0 լ Р արգոնն անցկացնում են ապարատի միջով եւ, անհրաժեշտության դեպքում, գունաթափում յոդային լուծույթի երկնագույն գույնը՝ ավելացնելով նվազագույն անհրաժեշտ քանակության թարմ պատրաստված 0,002</w:t>
      </w:r>
      <w:r w:rsidR="000111CA" w:rsidRPr="000111CA">
        <w:rPr>
          <w:rFonts w:ascii="Sylfaen" w:hAnsi="Sylfaen"/>
          <w:i w:val="0"/>
          <w:sz w:val="24"/>
          <w:szCs w:val="24"/>
        </w:rPr>
        <w:t> </w:t>
      </w:r>
      <w:r w:rsidRPr="003C2850">
        <w:rPr>
          <w:rFonts w:ascii="Sylfaen" w:hAnsi="Sylfaen"/>
          <w:i w:val="0"/>
          <w:sz w:val="24"/>
          <w:szCs w:val="24"/>
        </w:rPr>
        <w:t>М նատրիումի թիոսուլֆատի լուծույթ: Գազը շարունակում են բաց</w:t>
      </w:r>
      <w:r w:rsidR="00935A95">
        <w:rPr>
          <w:rFonts w:ascii="Sylfaen" w:hAnsi="Sylfaen"/>
          <w:i w:val="0"/>
          <w:sz w:val="24"/>
          <w:szCs w:val="24"/>
        </w:rPr>
        <w:t xml:space="preserve"> թողնել այնքան ժամանակ, մինչեւ </w:t>
      </w:r>
      <w:r w:rsidRPr="003C2850">
        <w:rPr>
          <w:rFonts w:ascii="Sylfaen" w:hAnsi="Sylfaen"/>
          <w:i w:val="0"/>
          <w:sz w:val="24"/>
          <w:szCs w:val="24"/>
        </w:rPr>
        <w:t>5,0 մլ Р արգոնի անցնելուց հետո յոդային լուծույթի գունաթափման համար կպահանջվի 0,045մլ-ից ավելի 0,002 М նատրիումի թիոսուլֆատի լուծույթ:</w:t>
      </w:r>
      <w:r w:rsidRPr="003C2850">
        <w:rPr>
          <w:rStyle w:val="Bodytext31Sylfaen"/>
          <w:sz w:val="24"/>
          <w:szCs w:val="24"/>
        </w:rPr>
        <w:t xml:space="preserve"> Փորձարկվող գազը բալոնից բաց են թողնում սարքի միջով՝ հաշվի առնելով մասնավոր դեղագրքային հոդվածում կամ որակի մասով նորմատիվ փաստաթղթում նշված հոսքի ծավալը եւ արագությունը: </w:t>
      </w:r>
      <w:r w:rsidRPr="003C2850">
        <w:rPr>
          <w:rFonts w:ascii="Sylfaen" w:hAnsi="Sylfaen"/>
          <w:i w:val="0"/>
          <w:sz w:val="24"/>
          <w:szCs w:val="24"/>
        </w:rPr>
        <w:t>Անջատված յոդի մնացորդները տեղափոխում են ռեակցիոն փորձանոթ՝ սարքի միջով անցկացնելով 1,0 լ Р արգոն: Անջատված յոդը տիտրում են 0,002 М նատրիումի թիոսուլֆատի լուծույթով:</w:t>
      </w:r>
      <w:r w:rsidRPr="003C2850">
        <w:rPr>
          <w:rStyle w:val="Bodytext31Sylfaen"/>
          <w:sz w:val="24"/>
          <w:szCs w:val="24"/>
        </w:rPr>
        <w:t xml:space="preserve"> </w:t>
      </w:r>
      <w:r w:rsidRPr="003C2850">
        <w:rPr>
          <w:rFonts w:ascii="Sylfaen" w:hAnsi="Sylfaen"/>
          <w:i w:val="0"/>
          <w:sz w:val="24"/>
          <w:szCs w:val="24"/>
        </w:rPr>
        <w:t>Անցկացնում են ստուգիչ փորձ՝ օգտագործելով նույն ծավալի Р արգոն:</w:t>
      </w:r>
      <w:r w:rsidRPr="003C2850">
        <w:rPr>
          <w:rStyle w:val="Bodytext31Sylfaen"/>
          <w:sz w:val="24"/>
          <w:szCs w:val="24"/>
        </w:rPr>
        <w:t xml:space="preserve"> </w:t>
      </w:r>
      <w:r w:rsidRPr="003C2850">
        <w:rPr>
          <w:rFonts w:ascii="Sylfaen" w:hAnsi="Sylfaen"/>
          <w:i w:val="0"/>
          <w:sz w:val="24"/>
          <w:szCs w:val="24"/>
        </w:rPr>
        <w:t xml:space="preserve">Տիտրումների ժամանակ ծախսված 0,002 М նատրիումի թիոսուլֆատի լուծույթի ծավալների միջեւ տարբերությունը չպետք է գերազանցի </w:t>
      </w:r>
      <w:r w:rsidRPr="003C2850">
        <w:rPr>
          <w:rFonts w:ascii="Sylfaen" w:hAnsi="Sylfaen"/>
          <w:i w:val="0"/>
          <w:sz w:val="24"/>
          <w:szCs w:val="24"/>
        </w:rPr>
        <w:lastRenderedPageBreak/>
        <w:t xml:space="preserve">մասնավոր դեղագրքային հոդվածում կամ որակի մասով նորմատիվ փաստաթղթում նշված արժեքը: </w:t>
      </w:r>
    </w:p>
    <w:p w14:paraId="2839D1E8" w14:textId="77777777" w:rsidR="00B834A2" w:rsidRPr="003C2850" w:rsidRDefault="00B834A2" w:rsidP="00B834A2">
      <w:pPr>
        <w:pStyle w:val="Bodytext310"/>
        <w:shd w:val="clear" w:color="auto" w:fill="auto"/>
        <w:spacing w:after="160" w:line="360" w:lineRule="auto"/>
        <w:jc w:val="both"/>
        <w:rPr>
          <w:rStyle w:val="Bodytext31Sylfaen22"/>
          <w:b w:val="0"/>
          <w:bCs w:val="0"/>
          <w:sz w:val="24"/>
          <w:szCs w:val="24"/>
        </w:rPr>
      </w:pPr>
    </w:p>
    <w:p w14:paraId="4D367B63" w14:textId="77777777" w:rsidR="00B834A2" w:rsidRPr="006B7DC5" w:rsidRDefault="00B834A2" w:rsidP="00B834A2">
      <w:pPr>
        <w:pStyle w:val="Bodytext310"/>
        <w:shd w:val="clear" w:color="auto" w:fill="auto"/>
        <w:spacing w:after="160" w:line="360" w:lineRule="auto"/>
        <w:ind w:firstLine="567"/>
        <w:jc w:val="both"/>
        <w:rPr>
          <w:rStyle w:val="Bodytext31Sylfaen22"/>
          <w:sz w:val="24"/>
          <w:szCs w:val="24"/>
        </w:rPr>
      </w:pPr>
      <w:r w:rsidRPr="003C2850">
        <w:rPr>
          <w:rStyle w:val="Bodytext31Sylfaen22"/>
          <w:sz w:val="24"/>
          <w:szCs w:val="24"/>
        </w:rPr>
        <w:t>ՄԵԹՈԴ 2</w:t>
      </w:r>
    </w:p>
    <w:p w14:paraId="3E285118" w14:textId="77777777" w:rsidR="00B834A2" w:rsidRPr="003C2850" w:rsidRDefault="00B834A2" w:rsidP="00935A95">
      <w:pPr>
        <w:pStyle w:val="Bodytext310"/>
        <w:shd w:val="clear" w:color="auto" w:fill="auto"/>
        <w:spacing w:after="160" w:line="348" w:lineRule="auto"/>
        <w:ind w:firstLine="567"/>
        <w:jc w:val="both"/>
        <w:rPr>
          <w:rFonts w:ascii="Sylfaen" w:hAnsi="Sylfaen"/>
          <w:i w:val="0"/>
          <w:sz w:val="24"/>
          <w:szCs w:val="24"/>
        </w:rPr>
      </w:pPr>
      <w:r w:rsidRPr="003C2850">
        <w:rPr>
          <w:rStyle w:val="Bodytext31Sylfaen"/>
          <w:sz w:val="24"/>
          <w:szCs w:val="24"/>
        </w:rPr>
        <w:t>Գազերը կլանում են լույսը ալիքների որոշակի բնորոշ երկարությունների դեպքում: Այս հատկությունը լայնորեն օգտագործվում է դրանց կոնցենտրացիաների բարձր սելեկտիվ չափման անցկացման համար:</w:t>
      </w:r>
    </w:p>
    <w:p w14:paraId="2BBBCE2D" w14:textId="77777777" w:rsidR="00B834A2" w:rsidRPr="003C2850" w:rsidRDefault="00B834A2" w:rsidP="00935A95">
      <w:pPr>
        <w:pStyle w:val="Bodytext310"/>
        <w:shd w:val="clear" w:color="auto" w:fill="auto"/>
        <w:spacing w:after="160" w:line="348" w:lineRule="auto"/>
        <w:ind w:firstLine="567"/>
        <w:jc w:val="both"/>
        <w:rPr>
          <w:rFonts w:ascii="Sylfaen" w:hAnsi="Sylfaen"/>
          <w:i w:val="0"/>
          <w:sz w:val="24"/>
          <w:szCs w:val="24"/>
        </w:rPr>
      </w:pPr>
      <w:r w:rsidRPr="003C2850">
        <w:rPr>
          <w:rStyle w:val="Bodytext31Sylfaen"/>
          <w:sz w:val="24"/>
          <w:szCs w:val="24"/>
        </w:rPr>
        <w:t>Բժշկական գազերում ածխածնի մոնոօքսիդի կոնցենտրացիան որոշում են ինֆրակարմիր ճառագայթման գազերի ոչ դիսպերսիոն կլանման մեթոդ օգտագործող՝ ինֆրակարմիր տվիչներով սպեկտրաչափական սարքերի օգնությամբ (ինֆրակարմիր անալիզարար):</w:t>
      </w:r>
    </w:p>
    <w:p w14:paraId="5EE160A0" w14:textId="77777777" w:rsidR="00B834A2" w:rsidRPr="003C2850" w:rsidRDefault="00B834A2" w:rsidP="00935A95">
      <w:pPr>
        <w:pStyle w:val="Bodytext310"/>
        <w:shd w:val="clear" w:color="auto" w:fill="auto"/>
        <w:spacing w:after="160" w:line="348" w:lineRule="auto"/>
        <w:ind w:firstLine="567"/>
        <w:jc w:val="both"/>
        <w:rPr>
          <w:rFonts w:ascii="Sylfaen" w:hAnsi="Sylfaen"/>
          <w:i w:val="0"/>
          <w:sz w:val="24"/>
          <w:szCs w:val="24"/>
        </w:rPr>
      </w:pPr>
      <w:r w:rsidRPr="003C2850">
        <w:rPr>
          <w:rStyle w:val="Bodytext31Sylfaen22"/>
          <w:sz w:val="24"/>
          <w:szCs w:val="24"/>
        </w:rPr>
        <w:t xml:space="preserve">Չափման նկարագրությունը եւ սկզբունքը: </w:t>
      </w:r>
      <w:r w:rsidRPr="003C2850">
        <w:rPr>
          <w:rStyle w:val="Bodytext31Sylfaen"/>
          <w:sz w:val="24"/>
          <w:szCs w:val="24"/>
        </w:rPr>
        <w:t>Ինֆրակարմիր անալիզարարի հիմնական բաղադրիչներն են՝ ինֆրակարմիր ճառագայթման աղբյուր, օպտիկական սարք, չափիչ խցիկներ (բջիջներ) եւ ինֆրակարմիր դետեկտոր: Խցիկները նախատեսված են փորձարկվող նմուշի եւ համեմատման նմուշի համար, որոշ սարքերում համեմատման խցիկի փոխարեն օգտագործվում է էլեկտրոնային համակարգ: Օպտիկական սարքը բաղկացած է ըստ ալիքի երկարության ընտրողական մեկ կամ մի քանի օպտիկական ֆիլտրերից, որոնց միջով անցնում է ինֆրակարմիր ճառագայթը: Տվյալ դեպքում օգտագործում են օպտիկական ֆիլտրեր՝ ածխածնի մոնոօքսիդի համար: Ինֆրակարմիր ճառագայթն ուղղվում է խցիկների միջով դեպի դետեկտոր:</w:t>
      </w:r>
    </w:p>
    <w:p w14:paraId="0744B085" w14:textId="77777777" w:rsidR="00B834A2" w:rsidRPr="003C2850" w:rsidRDefault="00B834A2" w:rsidP="00935A95">
      <w:pPr>
        <w:pStyle w:val="Bodytext310"/>
        <w:shd w:val="clear" w:color="auto" w:fill="auto"/>
        <w:spacing w:after="160" w:line="348" w:lineRule="auto"/>
        <w:ind w:firstLine="567"/>
        <w:jc w:val="both"/>
        <w:rPr>
          <w:rFonts w:ascii="Sylfaen" w:hAnsi="Sylfaen"/>
          <w:i w:val="0"/>
          <w:sz w:val="24"/>
          <w:szCs w:val="24"/>
        </w:rPr>
      </w:pPr>
      <w:r w:rsidRPr="003C2850">
        <w:rPr>
          <w:rStyle w:val="Bodytext31Sylfaen"/>
          <w:sz w:val="24"/>
          <w:szCs w:val="24"/>
        </w:rPr>
        <w:t xml:space="preserve">Եթե փորձարկվող նմուշով խցիկում առկա է ածխածնի մոնոօքսիդ, ապա տեղի է ունենում կլանում՝ Բուգեր-Լամբերտ-Բերի օրենքին համապատասխան դետեկտորի ազդանշանի փոփոխության հանգեցնող ածխածնի մոնոօքսիդին համապատասխանող սպեկտրի ինֆրակարմիր տիրույթի ալիքների որոշակի երկարություններում: Տվյալ ազդանշանը համեմատման նմուշի ազդանշանի հետ համեմատման միջոցով գտնում են ածխածնի մոնոօքսիդի կենցենտրացիայով պայմանավորված մեծությունը: Ելքային ազդանշանը գծայնացնում են այնպես, որ </w:t>
      </w:r>
      <w:r w:rsidRPr="003C2850">
        <w:rPr>
          <w:rStyle w:val="Bodytext31Sylfaen"/>
          <w:sz w:val="24"/>
          <w:szCs w:val="24"/>
        </w:rPr>
        <w:lastRenderedPageBreak/>
        <w:t>ստացվի ածխածնի մոնոօքսիդի կոնցենտրացիա: Տվիչների վրա լուսացրման երեւույթին հանգեցնող պինդ մասնիկների հայտնվելը կանխելու համար սարքն հանդերձվում է հարմար ֆիլտրով:</w:t>
      </w:r>
    </w:p>
    <w:p w14:paraId="7134A259" w14:textId="77777777" w:rsidR="00B834A2" w:rsidRPr="003C2850" w:rsidRDefault="00B834A2" w:rsidP="00935A95">
      <w:pPr>
        <w:pStyle w:val="Bodytext310"/>
        <w:shd w:val="clear" w:color="auto" w:fill="auto"/>
        <w:spacing w:after="160" w:line="348" w:lineRule="auto"/>
        <w:ind w:firstLine="567"/>
        <w:jc w:val="both"/>
        <w:rPr>
          <w:rFonts w:ascii="Sylfaen" w:hAnsi="Sylfaen"/>
          <w:i w:val="0"/>
          <w:sz w:val="24"/>
          <w:szCs w:val="24"/>
        </w:rPr>
      </w:pPr>
      <w:r w:rsidRPr="003C2850">
        <w:rPr>
          <w:rStyle w:val="Bodytext31Sylfaen22"/>
          <w:sz w:val="24"/>
          <w:szCs w:val="24"/>
        </w:rPr>
        <w:t xml:space="preserve">Տեխնիկական բնութագրերի մասով պահանջներ: </w:t>
      </w:r>
      <w:r w:rsidRPr="003C2850">
        <w:rPr>
          <w:rStyle w:val="Bodytext31Sylfaen"/>
          <w:sz w:val="24"/>
          <w:szCs w:val="24"/>
        </w:rPr>
        <w:t>Սահմանային պարունակությունների որոշման համար օգտագործելիս ինֆրակարմիր անալիզարարը պետք է համապատասխանի հետեւյալ պահանջներին՝</w:t>
      </w:r>
    </w:p>
    <w:p w14:paraId="0B452DD7" w14:textId="77777777" w:rsidR="00B834A2" w:rsidRPr="003C2850" w:rsidRDefault="00B834A2" w:rsidP="00935A95">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935A95">
        <w:rPr>
          <w:rFonts w:ascii="Sylfaen" w:hAnsi="Sylfaen"/>
          <w:sz w:val="24"/>
          <w:szCs w:val="24"/>
        </w:rPr>
        <w:t>հայտնաբերման սահման</w:t>
      </w:r>
      <w:r w:rsidRPr="003C2850">
        <w:rPr>
          <w:rFonts w:ascii="Sylfaen" w:hAnsi="Sylfaen"/>
          <w:i w:val="0"/>
          <w:sz w:val="24"/>
          <w:szCs w:val="24"/>
        </w:rPr>
        <w:t>՝</w:t>
      </w:r>
      <w:r w:rsidRPr="003C2850">
        <w:rPr>
          <w:rStyle w:val="Bodytext31Sylfaen"/>
          <w:sz w:val="24"/>
          <w:szCs w:val="24"/>
        </w:rPr>
        <w:t xml:space="preserve"> </w:t>
      </w:r>
      <w:r w:rsidRPr="003C2850">
        <w:rPr>
          <w:rFonts w:ascii="Sylfaen" w:hAnsi="Sylfaen"/>
          <w:i w:val="0"/>
          <w:sz w:val="24"/>
          <w:szCs w:val="24"/>
        </w:rPr>
        <w:t>(սովորաբար ըստ ազդանշան/աղմուկ հարաբերակցության 2-ից ավելի որոշվող) առավելագույն թույլատրելի կոնցենտրացիայի 20 %-ից ոչ ավելի.</w:t>
      </w:r>
    </w:p>
    <w:p w14:paraId="77FC4E2B" w14:textId="77777777" w:rsidR="00B834A2" w:rsidRPr="003C2850" w:rsidRDefault="00B834A2" w:rsidP="00935A95">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935A95">
        <w:rPr>
          <w:rFonts w:ascii="Sylfaen" w:hAnsi="Sylfaen"/>
          <w:sz w:val="24"/>
          <w:szCs w:val="24"/>
        </w:rPr>
        <w:t>կրկնելիություն</w:t>
      </w:r>
      <w:r w:rsidRPr="003C2850">
        <w:rPr>
          <w:rFonts w:ascii="Sylfaen" w:hAnsi="Sylfaen"/>
          <w:i w:val="0"/>
          <w:sz w:val="24"/>
          <w:szCs w:val="24"/>
        </w:rPr>
        <w:t>՝</w:t>
      </w:r>
      <w:r w:rsidRPr="003C2850">
        <w:rPr>
          <w:rStyle w:val="Bodytext31Sylfaen"/>
          <w:sz w:val="24"/>
          <w:szCs w:val="24"/>
        </w:rPr>
        <w:t xml:space="preserve"> </w:t>
      </w:r>
      <w:r w:rsidRPr="003C2850">
        <w:rPr>
          <w:rFonts w:ascii="Sylfaen" w:hAnsi="Sylfaen"/>
          <w:i w:val="0"/>
          <w:sz w:val="24"/>
          <w:szCs w:val="24"/>
        </w:rPr>
        <w:t>6 կրկնվող որոշումներով որոշվող10 %-ից ոչ ավելի առավելագույն թույլատրելի կոնցենտրացիայի համար հարաբերական ստանդարտ շեղում:</w:t>
      </w:r>
    </w:p>
    <w:p w14:paraId="254FC940" w14:textId="77777777" w:rsidR="00B834A2" w:rsidRPr="003C2850" w:rsidRDefault="00B834A2" w:rsidP="00935A95">
      <w:pPr>
        <w:pStyle w:val="Bodytext310"/>
        <w:shd w:val="clear" w:color="auto" w:fill="auto"/>
        <w:tabs>
          <w:tab w:val="left" w:pos="1134"/>
        </w:tabs>
        <w:spacing w:after="160" w:line="348"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935A95">
        <w:rPr>
          <w:rFonts w:ascii="Sylfaen" w:hAnsi="Sylfaen"/>
          <w:sz w:val="24"/>
          <w:szCs w:val="24"/>
        </w:rPr>
        <w:t>գծայնություն</w:t>
      </w:r>
      <w:r w:rsidRPr="003C2850">
        <w:rPr>
          <w:rFonts w:ascii="Sylfaen" w:hAnsi="Sylfaen"/>
          <w:i w:val="0"/>
          <w:sz w:val="24"/>
          <w:szCs w:val="24"/>
        </w:rPr>
        <w:t>՝ առավելագույն թույլատրելի կոնցենտրացիայից 10 % -ից ոչ ավելի:</w:t>
      </w:r>
    </w:p>
    <w:p w14:paraId="00E85905"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Տեխնիկական բնութագրերի մասով պահանջները պետք է կատարվեն նաեւ փորձարկվող նմուշում այլ գազերի խառնուկների առկայությամբ:</w:t>
      </w:r>
    </w:p>
    <w:p w14:paraId="6CABD434" w14:textId="77777777" w:rsidR="00B834A2" w:rsidRPr="00B834A2" w:rsidRDefault="00B834A2" w:rsidP="00935A95">
      <w:pPr>
        <w:pStyle w:val="Bodytext310"/>
        <w:shd w:val="clear" w:color="auto" w:fill="auto"/>
        <w:spacing w:line="360" w:lineRule="auto"/>
        <w:jc w:val="right"/>
        <w:rPr>
          <w:rStyle w:val="Bodytext31Sylfaen22"/>
          <w:b w:val="0"/>
          <w:bCs w:val="0"/>
          <w:sz w:val="24"/>
          <w:szCs w:val="24"/>
        </w:rPr>
      </w:pPr>
    </w:p>
    <w:p w14:paraId="16F8C25C"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5A95">
        <w:rPr>
          <w:rStyle w:val="Bodytext31Sylfaen22"/>
          <w:sz w:val="20"/>
          <w:szCs w:val="24"/>
        </w:rPr>
        <w:t>201040028-2022</w:t>
      </w:r>
    </w:p>
    <w:p w14:paraId="6044FEFD" w14:textId="77777777" w:rsidR="00935A95" w:rsidRPr="009217DE" w:rsidRDefault="00935A95" w:rsidP="00B834A2">
      <w:pPr>
        <w:pStyle w:val="Bodytext310"/>
        <w:shd w:val="clear" w:color="auto" w:fill="auto"/>
        <w:spacing w:after="160" w:line="360" w:lineRule="auto"/>
        <w:jc w:val="right"/>
        <w:rPr>
          <w:rFonts w:ascii="Sylfaen" w:hAnsi="Sylfaen"/>
          <w:i w:val="0"/>
          <w:sz w:val="20"/>
          <w:szCs w:val="24"/>
        </w:rPr>
      </w:pPr>
    </w:p>
    <w:p w14:paraId="51F71942" w14:textId="77777777" w:rsidR="00B834A2" w:rsidRPr="003C2850" w:rsidRDefault="00B834A2" w:rsidP="003C2850">
      <w:pPr>
        <w:pStyle w:val="Bodytext310"/>
        <w:shd w:val="clear" w:color="auto" w:fill="auto"/>
        <w:tabs>
          <w:tab w:val="left" w:pos="1701"/>
        </w:tabs>
        <w:spacing w:after="160" w:line="360" w:lineRule="auto"/>
        <w:ind w:firstLine="567"/>
        <w:jc w:val="both"/>
        <w:rPr>
          <w:rFonts w:ascii="Sylfaen" w:hAnsi="Sylfaen"/>
          <w:i w:val="0"/>
          <w:sz w:val="24"/>
          <w:szCs w:val="24"/>
        </w:rPr>
      </w:pPr>
      <w:r w:rsidRPr="003C2850">
        <w:rPr>
          <w:rStyle w:val="Bodytext31Sylfaen20"/>
          <w:sz w:val="24"/>
          <w:szCs w:val="24"/>
        </w:rPr>
        <w:t>2.1.4.28.</w:t>
      </w:r>
      <w:r w:rsidR="003C2850" w:rsidRPr="00097504">
        <w:rPr>
          <w:rStyle w:val="Bodytext31Sylfaen20"/>
          <w:sz w:val="24"/>
          <w:szCs w:val="24"/>
        </w:rPr>
        <w:tab/>
      </w:r>
      <w:r w:rsidRPr="003C2850">
        <w:rPr>
          <w:rStyle w:val="Bodytext31Sylfaen20"/>
          <w:sz w:val="24"/>
          <w:szCs w:val="24"/>
        </w:rPr>
        <w:t>Ազոտի (I) օքսիդը բժշկական գազերում</w:t>
      </w:r>
    </w:p>
    <w:p w14:paraId="0F90E1A8" w14:textId="77777777" w:rsidR="00B834A2" w:rsidRPr="003C2850" w:rsidRDefault="00B834A2" w:rsidP="00B834A2">
      <w:pPr>
        <w:spacing w:after="160" w:line="360" w:lineRule="auto"/>
        <w:ind w:firstLine="567"/>
        <w:jc w:val="both"/>
        <w:rPr>
          <w:i/>
        </w:rPr>
      </w:pPr>
      <w:r w:rsidRPr="003C2850">
        <w:rPr>
          <w:rStyle w:val="Bodytext31Sylfaen"/>
          <w:i w:val="0"/>
          <w:sz w:val="24"/>
          <w:szCs w:val="24"/>
        </w:rPr>
        <w:t>Գազերը կլանում են լույսը ալիքների որոշակի բնորոշ երկարությունների դեպքում: Այդ հատկությունը լայնորեն օգտագործվում է դրանց կոնցենտրացիաների բարձր սելեկտիվ չափման անցկացման համար:</w:t>
      </w:r>
    </w:p>
    <w:p w14:paraId="442D93FE" w14:textId="77777777" w:rsidR="00B834A2" w:rsidRPr="00DE4F37" w:rsidRDefault="00B834A2" w:rsidP="00B834A2">
      <w:pPr>
        <w:pStyle w:val="Bodytext310"/>
        <w:shd w:val="clear" w:color="auto" w:fill="auto"/>
        <w:spacing w:after="160" w:line="360" w:lineRule="auto"/>
        <w:ind w:firstLine="567"/>
        <w:jc w:val="both"/>
        <w:rPr>
          <w:rStyle w:val="Bodytext31Sylfaen"/>
          <w:sz w:val="24"/>
          <w:szCs w:val="24"/>
        </w:rPr>
      </w:pPr>
      <w:r w:rsidRPr="003C2850">
        <w:rPr>
          <w:rStyle w:val="Bodytext31Sylfaen22"/>
          <w:sz w:val="24"/>
          <w:szCs w:val="24"/>
        </w:rPr>
        <w:t xml:space="preserve">Չափման նկարագրությունը եւ սկզբունքը: </w:t>
      </w:r>
      <w:r w:rsidRPr="003C2850">
        <w:rPr>
          <w:rStyle w:val="Bodytext31Sylfaen"/>
          <w:sz w:val="24"/>
          <w:szCs w:val="24"/>
        </w:rPr>
        <w:t>Ազոտի (I) օքսիդի կոնցենտրացիան բժշկական գազերում որոշում են ինֆրակարմիր անալիզարարի օգնությամբ:</w:t>
      </w:r>
    </w:p>
    <w:p w14:paraId="23934653"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lastRenderedPageBreak/>
        <w:t>Ինֆրակարմիր անալիզարարի հիմնական բաղադրիչներն են՝ ինֆրակարմիր ճառագայթման աղբյուր, օպտիկական սարք, չափիչ խցիկներ (բջիջ) եւ դետեկտոր: Ազոտի (I) օքսիդի որոշման համար անհրաժեշտ օպտիկական սարքը կարող է տեղադրված լինել փորձարկվող նմուշի համար խցիկից առաջ կամ հետո եւ բաղկացած է մեկ կամ մի քանի օպտիկական ֆիլտրերից, որոնց միջով անցնում է լայնաշերտ ինֆրակարմիր ճառագայթ: Ճառագայթումն անցկացնում են փորձարկվող նմուշի համար նախատեսված խցիկի միջով: Պայմանավորված սարքի կոնստրուկցիայով՝ ճառագայթումը նույնպես կարող է ուղղվել համեմատման նմուշի համար խցիկի միջով, կամ դրա փոխարեն կարող է օգտագործվել էլեկտրոնային համակարգ:</w:t>
      </w:r>
    </w:p>
    <w:p w14:paraId="63FDA9D4"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Եթե փորձարկվող նմուշով խցիկում առկա է ազոտի (I) օքսիդ, ապա տեղի է ունենում կլանում Բուգեր-Լամբերտ-Բերի օրենքին համապատասխան՝ դետեկտորի ազդանշանի փոփոխության հանգեցնող ազոտի (I) օքսիդին համապատասխանող սպեկտրի ինֆրակարմիր տիրույթի ալիքների որոշակի երկարություններում: Տվյալ ազդանշանը համեմատման նմուշի ազդանշանի հետ համեմատման միջոցով գտնում են ազոտի (I) օքսիդի կոնցենտրացիայով պայմանավորված մեծությունը: Ելքային ազդանշանը գծայնացնում են այնպես, որ ստացվի ազոտի (I) օքսիդի կոնցենտրացիա: Տվիչների վրա լուսացրման երեւույթին հանգեցնող պինդ մասնիկների հայտնվելը կանխելու համար սարքն հանդերձվում</w:t>
      </w:r>
      <w:r w:rsidR="00935A95" w:rsidRPr="00935A95">
        <w:rPr>
          <w:rStyle w:val="Bodytext31Sylfaen"/>
          <w:sz w:val="24"/>
          <w:szCs w:val="24"/>
        </w:rPr>
        <w:t> </w:t>
      </w:r>
      <w:r w:rsidRPr="003C2850">
        <w:rPr>
          <w:rStyle w:val="Bodytext31Sylfaen"/>
          <w:sz w:val="24"/>
          <w:szCs w:val="24"/>
        </w:rPr>
        <w:t>է հարմար ֆիլտրով:</w:t>
      </w:r>
    </w:p>
    <w:p w14:paraId="15691564" w14:textId="77777777" w:rsidR="00B834A2" w:rsidRPr="00B834A2" w:rsidRDefault="00B834A2" w:rsidP="00B834A2">
      <w:pPr>
        <w:pStyle w:val="Bodytext310"/>
        <w:shd w:val="clear" w:color="auto" w:fill="auto"/>
        <w:spacing w:after="160" w:line="360" w:lineRule="auto"/>
        <w:jc w:val="right"/>
        <w:rPr>
          <w:rStyle w:val="Bodytext31Sylfaen22"/>
          <w:b w:val="0"/>
          <w:bCs w:val="0"/>
          <w:sz w:val="24"/>
          <w:szCs w:val="24"/>
        </w:rPr>
      </w:pPr>
    </w:p>
    <w:p w14:paraId="7B665BF7"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5A95">
        <w:rPr>
          <w:rStyle w:val="Bodytext31Sylfaen22"/>
          <w:sz w:val="20"/>
          <w:szCs w:val="24"/>
        </w:rPr>
        <w:t>201040029-2022</w:t>
      </w:r>
    </w:p>
    <w:p w14:paraId="20E30D3E" w14:textId="77777777" w:rsidR="00935A95" w:rsidRPr="009217DE" w:rsidRDefault="00935A95" w:rsidP="00B834A2">
      <w:pPr>
        <w:pStyle w:val="Bodytext310"/>
        <w:shd w:val="clear" w:color="auto" w:fill="auto"/>
        <w:spacing w:after="160" w:line="360" w:lineRule="auto"/>
        <w:jc w:val="right"/>
        <w:rPr>
          <w:rStyle w:val="Bodytext31Sylfaen22"/>
          <w:b w:val="0"/>
          <w:bCs w:val="0"/>
          <w:sz w:val="20"/>
          <w:szCs w:val="24"/>
        </w:rPr>
      </w:pPr>
    </w:p>
    <w:p w14:paraId="417FB666" w14:textId="77777777" w:rsidR="00B834A2" w:rsidRPr="003C2850" w:rsidRDefault="00B834A2" w:rsidP="003C2850">
      <w:pPr>
        <w:pStyle w:val="Bodytext310"/>
        <w:shd w:val="clear" w:color="auto" w:fill="auto"/>
        <w:tabs>
          <w:tab w:val="left" w:pos="1701"/>
        </w:tabs>
        <w:spacing w:after="160" w:line="360" w:lineRule="auto"/>
        <w:ind w:firstLine="567"/>
        <w:jc w:val="both"/>
        <w:rPr>
          <w:rFonts w:ascii="Sylfaen" w:hAnsi="Sylfaen"/>
          <w:i w:val="0"/>
          <w:sz w:val="24"/>
          <w:szCs w:val="24"/>
        </w:rPr>
      </w:pPr>
      <w:r w:rsidRPr="003C2850">
        <w:rPr>
          <w:rStyle w:val="Bodytext31Sylfaen20"/>
          <w:sz w:val="24"/>
          <w:szCs w:val="24"/>
        </w:rPr>
        <w:t>2.1.4.29.</w:t>
      </w:r>
      <w:r w:rsidR="003C2850" w:rsidRPr="00097504">
        <w:rPr>
          <w:rStyle w:val="Bodytext31Sylfaen20"/>
          <w:sz w:val="24"/>
          <w:szCs w:val="24"/>
        </w:rPr>
        <w:tab/>
      </w:r>
      <w:r w:rsidRPr="003C2850">
        <w:rPr>
          <w:rStyle w:val="Bodytext31Sylfaen20"/>
          <w:sz w:val="24"/>
          <w:szCs w:val="24"/>
        </w:rPr>
        <w:t>Ազոտի մոնոօքսիդ եւ ազոտի դիօքսիդ բժշկական գազերում</w:t>
      </w:r>
    </w:p>
    <w:p w14:paraId="5B854DB5"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Ազոտի մոնոօքսիդը եւ ազոտի դիօքսիդը բժշկական գազերում որոշում են քիմ-լյումինեսցենտային անալիզարարի օգնությամբ (նկար 2.1.4.29.-1):</w:t>
      </w:r>
    </w:p>
    <w:p w14:paraId="2402ECC0" w14:textId="77777777" w:rsidR="00B834A2" w:rsidRPr="00097504" w:rsidRDefault="00B834A2" w:rsidP="00B834A2">
      <w:pPr>
        <w:pStyle w:val="Bodytext310"/>
        <w:shd w:val="clear" w:color="auto" w:fill="auto"/>
        <w:spacing w:after="160" w:line="360" w:lineRule="auto"/>
        <w:ind w:firstLine="567"/>
        <w:jc w:val="both"/>
        <w:rPr>
          <w:rStyle w:val="Bodytext31Sylfaen"/>
          <w:sz w:val="24"/>
          <w:szCs w:val="24"/>
        </w:rPr>
      </w:pPr>
      <w:r w:rsidRPr="003C2850">
        <w:rPr>
          <w:rStyle w:val="Bodytext31Sylfaen"/>
          <w:sz w:val="24"/>
          <w:szCs w:val="24"/>
        </w:rPr>
        <w:t>Ապարատի կոնստրուկցիան ներառում է՝</w:t>
      </w:r>
    </w:p>
    <w:p w14:paraId="1F414CFB" w14:textId="77777777" w:rsidR="00B834A2" w:rsidRPr="003C2850"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3C2850">
        <w:rPr>
          <w:rFonts w:ascii="Sylfaen" w:hAnsi="Sylfaen"/>
          <w:i w:val="0"/>
          <w:sz w:val="24"/>
          <w:szCs w:val="24"/>
        </w:rPr>
        <w:lastRenderedPageBreak/>
        <w:t>-</w:t>
      </w:r>
      <w:r w:rsidR="003C2850" w:rsidRPr="003C2850">
        <w:rPr>
          <w:rFonts w:ascii="Sylfaen" w:hAnsi="Sylfaen"/>
          <w:i w:val="0"/>
          <w:sz w:val="24"/>
          <w:szCs w:val="24"/>
        </w:rPr>
        <w:tab/>
      </w:r>
      <w:r w:rsidRPr="003C2850">
        <w:rPr>
          <w:rFonts w:ascii="Sylfaen" w:hAnsi="Sylfaen"/>
          <w:i w:val="0"/>
          <w:sz w:val="24"/>
          <w:szCs w:val="24"/>
        </w:rPr>
        <w:t xml:space="preserve">փորձարկվող գազի զտման, հոսքի արագության ստուգման եւ հսկողության համար նախատեսված սարք. </w:t>
      </w:r>
    </w:p>
    <w:p w14:paraId="2732FABF" w14:textId="77777777" w:rsidR="00B834A2" w:rsidRPr="003C2850"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ազոտի մոնոօքսիդի եւ ազոտի դիօքսիդի գումարային պարունակության որոշման համար ազոտի դիօքսիդը ազոտի մոնոօքսիդի վերականգնող կերպափոխիչ:</w:t>
      </w:r>
      <w:r w:rsidRPr="003C2850">
        <w:rPr>
          <w:rStyle w:val="Bodytext31Sylfaen"/>
          <w:sz w:val="24"/>
          <w:szCs w:val="24"/>
        </w:rPr>
        <w:t xml:space="preserve"> Օգտագործելուց առաջ անհրաժեշտ է ստուգել կերպափոխիչի արդյունավետությունը.</w:t>
      </w:r>
    </w:p>
    <w:p w14:paraId="69CA48C0" w14:textId="77777777" w:rsidR="00B834A2" w:rsidRPr="003C2850"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 xml:space="preserve">հոսքի արագության հսկողությամբ օզոնի գեներատոր. </w:t>
      </w:r>
      <w:r w:rsidRPr="003C2850">
        <w:rPr>
          <w:rStyle w:val="Bodytext31Sylfaen"/>
          <w:sz w:val="24"/>
          <w:szCs w:val="24"/>
        </w:rPr>
        <w:t>օզոնն արտադրվում է երկու էլեկտրոդների միջեւ բարձրավոլտ էլեկտրական լիցքերով. օզոնի գեներատոր մատուցվում է մաքուր թթվածին կամ շրջակա միջավայրի անջուր օդ, իսկ օզոնի կոնցենտրացիոն պետք է էականորեն գերազանցի ազոտի բոլոր որոշվող օքսիդների առավելագույն պարունակությունը.</w:t>
      </w:r>
    </w:p>
    <w:p w14:paraId="1055E603" w14:textId="77777777" w:rsidR="00B834A2" w:rsidRPr="003C2850"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 xml:space="preserve">խցիկ, որտեղ տեղի է ունենում օզոնի հետ ազոտի մոնոօքսիդի ռեակցիան. </w:t>
      </w:r>
    </w:p>
    <w:p w14:paraId="4A65C905" w14:textId="77777777" w:rsidR="00B834A2" w:rsidRPr="003C2850" w:rsidRDefault="00B834A2" w:rsidP="008F5B6F">
      <w:pPr>
        <w:pStyle w:val="Bodytext310"/>
        <w:shd w:val="clear" w:color="auto" w:fill="auto"/>
        <w:tabs>
          <w:tab w:val="left" w:pos="1134"/>
        </w:tabs>
        <w:spacing w:after="160" w:line="346"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սելեկտիվ օպտիկական ֆիլտրից եւ լուսաբազմապատկիչ խողովակից բաղկացած 1,2 մկմ ալիքի երկարության դեպքում՝ թույլ ճառագայթման որոշման համակարգ:</w:t>
      </w:r>
    </w:p>
    <w:p w14:paraId="3DDDAD0B" w14:textId="77777777" w:rsidR="00B834A2" w:rsidRPr="00B834A2" w:rsidRDefault="00000000" w:rsidP="00B834A2">
      <w:pPr>
        <w:spacing w:after="160" w:line="360" w:lineRule="auto"/>
        <w:jc w:val="center"/>
      </w:pPr>
      <w:r>
        <w:rPr>
          <w:i/>
          <w:iCs/>
          <w:noProof/>
          <w:lang w:val="en-US" w:eastAsia="en-US" w:bidi="ar-SA"/>
        </w:rPr>
        <w:pict w14:anchorId="4FC7CCAF">
          <v:group id="_x0000_s1396" style="position:absolute;left:0;text-align:left;margin-left:35.95pt;margin-top:4.55pt;width:436.95pt;height:241.55pt;z-index:251673088" coordorigin="2137,1509" coordsize="8739,4831">
            <v:shape id="_x0000_s1140" type="#_x0000_t202" style="position:absolute;left:2137;top:2063;width:1450;height:384;mso-height-percent:200;mso-height-percent:200;mso-width-relative:margin;mso-height-relative:margin" fillcolor="white [3212]" strokecolor="white [3212]">
              <v:textbox style="mso-fit-shape-to-text:t" inset="0,0,0,0">
                <w:txbxContent>
                  <w:p w14:paraId="1DF35965" w14:textId="77777777" w:rsidR="008D6E8B" w:rsidRPr="003C2850" w:rsidRDefault="008D6E8B" w:rsidP="003C2850">
                    <w:pPr>
                      <w:jc w:val="center"/>
                      <w:rPr>
                        <w:sz w:val="14"/>
                        <w:szCs w:val="16"/>
                      </w:rPr>
                    </w:pPr>
                    <w:r w:rsidRPr="003C2850">
                      <w:rPr>
                        <w:sz w:val="14"/>
                      </w:rPr>
                      <w:t>Փորձանմուշի ներմուծման ֆիլտր</w:t>
                    </w:r>
                  </w:p>
                </w:txbxContent>
              </v:textbox>
            </v:shape>
            <v:shape id="_x0000_s1141" type="#_x0000_t202" style="position:absolute;left:3151;top:3027;width:510;height:226;mso-height-percent:200;mso-height-percent:200;mso-width-relative:margin;mso-height-relative:margin" fillcolor="white [3212]" strokecolor="white [3212]">
              <v:textbox style="mso-fit-shape-to-text:t" inset="0,0,0,0">
                <w:txbxContent>
                  <w:p w14:paraId="2CDBDE36" w14:textId="77777777" w:rsidR="008D6E8B" w:rsidRPr="00FF7722" w:rsidRDefault="008D6E8B" w:rsidP="00B834A2">
                    <w:pPr>
                      <w:rPr>
                        <w:sz w:val="16"/>
                        <w:szCs w:val="16"/>
                      </w:rPr>
                    </w:pPr>
                    <w:r w:rsidRPr="004264EA">
                      <w:rPr>
                        <w:sz w:val="16"/>
                      </w:rPr>
                      <w:t>Պո</w:t>
                    </w:r>
                    <w:r>
                      <w:rPr>
                        <w:sz w:val="16"/>
                      </w:rPr>
                      <w:t>մ</w:t>
                    </w:r>
                    <w:r w:rsidRPr="004264EA">
                      <w:rPr>
                        <w:sz w:val="16"/>
                      </w:rPr>
                      <w:t>պ</w:t>
                    </w:r>
                  </w:p>
                </w:txbxContent>
              </v:textbox>
            </v:shape>
            <v:shape id="_x0000_s1142" type="#_x0000_t202" style="position:absolute;left:4434;top:2395;width:1294;height:421;mso-width-relative:margin;mso-height-relative:margin" fillcolor="white [3212]" strokecolor="white [3212]">
              <v:textbox inset="0,0,0,0">
                <w:txbxContent>
                  <w:p w14:paraId="3B211403" w14:textId="77777777" w:rsidR="008D6E8B" w:rsidRPr="003C2850" w:rsidRDefault="008D6E8B" w:rsidP="00B834A2">
                    <w:pPr>
                      <w:jc w:val="center"/>
                      <w:rPr>
                        <w:sz w:val="14"/>
                        <w:szCs w:val="16"/>
                      </w:rPr>
                    </w:pPr>
                    <w:r w:rsidRPr="003C2850">
                      <w:rPr>
                        <w:sz w:val="14"/>
                      </w:rPr>
                      <w:t>Կերպափոխիչ</w:t>
                    </w:r>
                  </w:p>
                  <w:p w14:paraId="7F0991C0" w14:textId="77777777" w:rsidR="008D6E8B" w:rsidRPr="003C2850" w:rsidRDefault="008D6E8B" w:rsidP="00B834A2">
                    <w:pPr>
                      <w:jc w:val="center"/>
                      <w:rPr>
                        <w:sz w:val="14"/>
                        <w:szCs w:val="16"/>
                      </w:rPr>
                    </w:pPr>
                    <w:r w:rsidRPr="003C2850">
                      <w:rPr>
                        <w:sz w:val="14"/>
                      </w:rPr>
                      <w:t>NO</w:t>
                    </w:r>
                    <w:r w:rsidRPr="003C2850">
                      <w:rPr>
                        <w:sz w:val="14"/>
                        <w:vertAlign w:val="subscript"/>
                      </w:rPr>
                      <w:t>2</w:t>
                    </w:r>
                    <w:r w:rsidRPr="003C2850">
                      <w:rPr>
                        <w:sz w:val="14"/>
                      </w:rPr>
                      <w:t xml:space="preserve"> </w:t>
                    </w:r>
                    <w:r w:rsidRPr="003C2850">
                      <w:rPr>
                        <w:rFonts w:ascii="Times New Roman" w:hAnsi="Times New Roman"/>
                        <w:sz w:val="14"/>
                      </w:rPr>
                      <w:t>→</w:t>
                    </w:r>
                    <w:r w:rsidRPr="003C2850">
                      <w:rPr>
                        <w:sz w:val="14"/>
                      </w:rPr>
                      <w:t xml:space="preserve"> NO</w:t>
                    </w:r>
                  </w:p>
                </w:txbxContent>
              </v:textbox>
            </v:shape>
            <v:shape id="_x0000_s1143" type="#_x0000_t202" style="position:absolute;left:4434;top:3276;width:1294;height:421;mso-width-relative:margin;mso-height-relative:margin" fillcolor="white [3212]" strokecolor="white [3212]">
              <v:textbox inset="0,0,0,0">
                <w:txbxContent>
                  <w:p w14:paraId="28EF9A9D" w14:textId="77777777" w:rsidR="008D6E8B" w:rsidRPr="003C2850" w:rsidRDefault="008D6E8B" w:rsidP="00B834A2">
                    <w:pPr>
                      <w:jc w:val="center"/>
                      <w:rPr>
                        <w:sz w:val="10"/>
                        <w:szCs w:val="16"/>
                      </w:rPr>
                    </w:pPr>
                    <w:r w:rsidRPr="003C2850">
                      <w:rPr>
                        <w:sz w:val="10"/>
                        <w:szCs w:val="16"/>
                      </w:rPr>
                      <w:t>Օզոնի հեռացման համար նախատեսված ֆիլտր</w:t>
                    </w:r>
                  </w:p>
                </w:txbxContent>
              </v:textbox>
            </v:shape>
            <v:shape id="_x0000_s1144" type="#_x0000_t202" style="position:absolute;left:4434;top:3963;width:1294;height:421;mso-width-relative:margin;mso-height-relative:margin" fillcolor="white [3212]" strokecolor="white [3212]">
              <v:textbox inset="0,0,0,0">
                <w:txbxContent>
                  <w:p w14:paraId="4C630DF4" w14:textId="77777777" w:rsidR="008D6E8B" w:rsidRPr="003C2850" w:rsidRDefault="008D6E8B" w:rsidP="00B834A2">
                    <w:pPr>
                      <w:jc w:val="center"/>
                      <w:rPr>
                        <w:sz w:val="14"/>
                        <w:szCs w:val="16"/>
                      </w:rPr>
                    </w:pPr>
                    <w:r w:rsidRPr="003C2850">
                      <w:rPr>
                        <w:sz w:val="14"/>
                      </w:rPr>
                      <w:t>Օզոնի գեներատոր</w:t>
                    </w:r>
                  </w:p>
                </w:txbxContent>
              </v:textbox>
            </v:shape>
            <v:shape id="_x0000_s1145" type="#_x0000_t202" style="position:absolute;left:7200;top:1509;width:3246;height:361;mso-width-relative:margin;mso-height-relative:margin" fillcolor="white [3212]" strokecolor="white [3212]">
              <v:textbox inset="0,0,0,0">
                <w:txbxContent>
                  <w:p w14:paraId="1DAEA88F" w14:textId="77777777" w:rsidR="008D6E8B" w:rsidRPr="003C2850" w:rsidRDefault="008D6E8B" w:rsidP="00B834A2">
                    <w:pPr>
                      <w:jc w:val="center"/>
                      <w:rPr>
                        <w:sz w:val="14"/>
                        <w:szCs w:val="16"/>
                      </w:rPr>
                    </w:pPr>
                    <w:r w:rsidRPr="003C2850">
                      <w:rPr>
                        <w:sz w:val="14"/>
                        <w:szCs w:val="16"/>
                      </w:rPr>
                      <w:t>Փորձանմուշի արագության կարգավորում</w:t>
                    </w:r>
                  </w:p>
                </w:txbxContent>
              </v:textbox>
            </v:shape>
            <v:shape id="_x0000_s1146" type="#_x0000_t202" style="position:absolute;left:7937;top:2220;width:1498;height:270;mso-width-relative:margin;mso-height-relative:margin" fillcolor="white [3212]" strokecolor="white [3212]">
              <v:textbox inset="0,0,0,0">
                <w:txbxContent>
                  <w:p w14:paraId="21285A09" w14:textId="77777777" w:rsidR="008D6E8B" w:rsidRPr="003C2850" w:rsidRDefault="008D6E8B" w:rsidP="00B834A2">
                    <w:pPr>
                      <w:jc w:val="center"/>
                      <w:rPr>
                        <w:sz w:val="14"/>
                        <w:szCs w:val="16"/>
                      </w:rPr>
                    </w:pPr>
                    <w:r w:rsidRPr="003C2850">
                      <w:rPr>
                        <w:sz w:val="14"/>
                      </w:rPr>
                      <w:t>Ռեակցիոն խցիկ</w:t>
                    </w:r>
                  </w:p>
                </w:txbxContent>
              </v:textbox>
            </v:shape>
            <v:shape id="_x0000_s1147" type="#_x0000_t202" style="position:absolute;left:8873;top:2490;width:1766;height:270;mso-width-relative:margin;mso-height-relative:margin" fillcolor="white [3212]" strokecolor="white [3212]">
              <v:textbox inset="0,0,0,0">
                <w:txbxContent>
                  <w:p w14:paraId="03035F53" w14:textId="77777777" w:rsidR="008D6E8B" w:rsidRPr="003C2850" w:rsidRDefault="008D6E8B" w:rsidP="00B834A2">
                    <w:pPr>
                      <w:jc w:val="center"/>
                      <w:rPr>
                        <w:sz w:val="14"/>
                        <w:szCs w:val="16"/>
                      </w:rPr>
                    </w:pPr>
                    <w:r w:rsidRPr="003C2850">
                      <w:rPr>
                        <w:sz w:val="14"/>
                        <w:szCs w:val="16"/>
                      </w:rPr>
                      <w:t>Օպտիկական ֆիլտր</w:t>
                    </w:r>
                  </w:p>
                </w:txbxContent>
              </v:textbox>
            </v:shape>
            <v:shape id="_x0000_s1148" type="#_x0000_t202" style="position:absolute;left:9078;top:2758;width:1798;height:270;mso-width-relative:margin;mso-height-relative:margin" fillcolor="white [3212]" strokecolor="white [3212]">
              <v:textbox inset="0,0,0,0">
                <w:txbxContent>
                  <w:p w14:paraId="687834B9" w14:textId="77777777" w:rsidR="008D6E8B" w:rsidRPr="003C2850" w:rsidRDefault="008D6E8B" w:rsidP="00B834A2">
                    <w:pPr>
                      <w:jc w:val="center"/>
                      <w:rPr>
                        <w:sz w:val="14"/>
                        <w:szCs w:val="16"/>
                      </w:rPr>
                    </w:pPr>
                    <w:r w:rsidRPr="003C2850">
                      <w:rPr>
                        <w:sz w:val="14"/>
                      </w:rPr>
                      <w:t>Հովացման խցիկ</w:t>
                    </w:r>
                  </w:p>
                </w:txbxContent>
              </v:textbox>
            </v:shape>
            <v:shape id="_x0000_s1149" type="#_x0000_t202" style="position:absolute;left:9435;top:3253;width:828;height:674;mso-width-relative:margin;mso-height-relative:margin" fillcolor="white [3212]" strokecolor="white [3212]">
              <v:textbox inset="0,0,0,0">
                <w:txbxContent>
                  <w:p w14:paraId="1339ECCE" w14:textId="77777777" w:rsidR="008D6E8B" w:rsidRPr="003C2850" w:rsidRDefault="008D6E8B" w:rsidP="003C2850">
                    <w:pPr>
                      <w:jc w:val="center"/>
                      <w:rPr>
                        <w:sz w:val="12"/>
                        <w:szCs w:val="16"/>
                      </w:rPr>
                    </w:pPr>
                    <w:r w:rsidRPr="003C2850">
                      <w:rPr>
                        <w:sz w:val="12"/>
                      </w:rPr>
                      <w:t>Լուսաբազմապատկիչ խողովակ</w:t>
                    </w:r>
                  </w:p>
                </w:txbxContent>
              </v:textbox>
            </v:shape>
            <v:shape id="_x0000_s1150" type="#_x0000_t202" style="position:absolute;left:8541;top:4882;width:1722;height:459;mso-width-relative:margin;mso-height-relative:margin" fillcolor="white [3212]" strokecolor="white [3212]">
              <v:textbox inset="0,0,0,0">
                <w:txbxContent>
                  <w:p w14:paraId="62BF142E" w14:textId="77777777" w:rsidR="008D6E8B" w:rsidRPr="003C2850" w:rsidRDefault="008D6E8B" w:rsidP="003C2850">
                    <w:pPr>
                      <w:jc w:val="center"/>
                      <w:rPr>
                        <w:sz w:val="14"/>
                        <w:szCs w:val="16"/>
                      </w:rPr>
                    </w:pPr>
                    <w:r w:rsidRPr="003C2850">
                      <w:rPr>
                        <w:sz w:val="14"/>
                      </w:rPr>
                      <w:t>Ստուգիչ պանել</w:t>
                    </w:r>
                  </w:p>
                  <w:p w14:paraId="57760BB1" w14:textId="77777777" w:rsidR="008D6E8B" w:rsidRPr="003C2850" w:rsidRDefault="008D6E8B" w:rsidP="003C2850">
                    <w:pPr>
                      <w:jc w:val="center"/>
                      <w:rPr>
                        <w:sz w:val="14"/>
                        <w:szCs w:val="16"/>
                      </w:rPr>
                    </w:pPr>
                    <w:r w:rsidRPr="003C2850">
                      <w:rPr>
                        <w:sz w:val="14"/>
                      </w:rPr>
                      <w:t>- NO – (NO+NO</w:t>
                    </w:r>
                    <w:r w:rsidRPr="003C2850">
                      <w:rPr>
                        <w:sz w:val="14"/>
                        <w:vertAlign w:val="subscript"/>
                      </w:rPr>
                      <w:t>2</w:t>
                    </w:r>
                    <w:r w:rsidRPr="003C2850">
                      <w:rPr>
                        <w:sz w:val="14"/>
                      </w:rPr>
                      <w:t>)</w:t>
                    </w:r>
                  </w:p>
                </w:txbxContent>
              </v:textbox>
            </v:shape>
            <v:shape id="_x0000_s1151" type="#_x0000_t202" style="position:absolute;left:8412;top:6128;width:346;height:212;mso-width-relative:margin;mso-height-relative:margin" fillcolor="white [3212]" strokecolor="white [3212]">
              <v:textbox inset="0,0,0,0">
                <w:txbxContent>
                  <w:p w14:paraId="57201D3E" w14:textId="77777777" w:rsidR="008D6E8B" w:rsidRPr="003C2850" w:rsidRDefault="008D6E8B" w:rsidP="003C2850">
                    <w:pPr>
                      <w:jc w:val="center"/>
                      <w:rPr>
                        <w:sz w:val="14"/>
                        <w:szCs w:val="16"/>
                      </w:rPr>
                    </w:pPr>
                    <w:r w:rsidRPr="003C2850">
                      <w:rPr>
                        <w:sz w:val="14"/>
                      </w:rPr>
                      <w:t>NO</w:t>
                    </w:r>
                  </w:p>
                </w:txbxContent>
              </v:textbox>
            </v:shape>
            <v:shape id="_x0000_s1152" type="#_x0000_t202" style="position:absolute;left:9078;top:6086;width:776;height:254;mso-width-relative:margin;mso-height-relative:margin" fillcolor="white [3212]" strokecolor="white [3212]">
              <v:textbox style="mso-next-textbox:#_x0000_s1152" inset="0,0,0,0">
                <w:txbxContent>
                  <w:p w14:paraId="7B79C1D3" w14:textId="77777777" w:rsidR="008D6E8B" w:rsidRPr="003C2850" w:rsidRDefault="008D6E8B" w:rsidP="00B834A2">
                    <w:pPr>
                      <w:jc w:val="center"/>
                      <w:rPr>
                        <w:sz w:val="14"/>
                        <w:szCs w:val="16"/>
                      </w:rPr>
                    </w:pPr>
                    <w:r w:rsidRPr="003C2850">
                      <w:rPr>
                        <w:sz w:val="14"/>
                      </w:rPr>
                      <w:t>NO+NO</w:t>
                    </w:r>
                    <w:r w:rsidRPr="003C2850">
                      <w:rPr>
                        <w:sz w:val="14"/>
                        <w:vertAlign w:val="subscript"/>
                      </w:rPr>
                      <w:t>2</w:t>
                    </w:r>
                  </w:p>
                </w:txbxContent>
              </v:textbox>
            </v:shape>
            <v:shape id="_x0000_s1153" type="#_x0000_t202" style="position:absolute;left:10142;top:6086;width:387;height:254;mso-width-relative:margin;mso-height-relative:margin" fillcolor="white [3212]" strokecolor="white [3212]">
              <v:textbox style="mso-next-textbox:#_x0000_s1153" inset="0,0,0,0">
                <w:txbxContent>
                  <w:p w14:paraId="6F906ADB" w14:textId="77777777" w:rsidR="008D6E8B" w:rsidRPr="003C2850" w:rsidRDefault="008D6E8B" w:rsidP="00B834A2">
                    <w:pPr>
                      <w:jc w:val="center"/>
                      <w:rPr>
                        <w:sz w:val="14"/>
                        <w:szCs w:val="16"/>
                      </w:rPr>
                    </w:pPr>
                    <w:r w:rsidRPr="003C2850">
                      <w:rPr>
                        <w:sz w:val="14"/>
                      </w:rPr>
                      <w:t>NO</w:t>
                    </w:r>
                    <w:r w:rsidRPr="003C2850">
                      <w:rPr>
                        <w:sz w:val="14"/>
                        <w:vertAlign w:val="subscript"/>
                      </w:rPr>
                      <w:t>2</w:t>
                    </w:r>
                  </w:p>
                </w:txbxContent>
              </v:textbox>
            </v:shape>
          </v:group>
        </w:pict>
      </w:r>
      <w:r w:rsidR="00B834A2" w:rsidRPr="00B834A2">
        <w:rPr>
          <w:noProof/>
          <w:lang w:val="en-US" w:eastAsia="en-US" w:bidi="ar-SA"/>
        </w:rPr>
        <w:drawing>
          <wp:inline distT="0" distB="0" distL="0" distR="0" wp14:anchorId="3F0428D2" wp14:editId="1D9ED290">
            <wp:extent cx="6032500" cy="3277870"/>
            <wp:effectExtent l="19050" t="0" r="6350" b="0"/>
            <wp:docPr id="11" name="Picture 11" descr="D:\2 VERSION\14.07.115-0003-2023-B_for final formatting\02.2023\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2 VERSION\14.07.115-0003-2023-B_for final formatting\02.2023\media\image9.jpeg"/>
                    <pic:cNvPicPr>
                      <a:picLocks noChangeAspect="1" noChangeArrowheads="1"/>
                    </pic:cNvPicPr>
                  </pic:nvPicPr>
                  <pic:blipFill>
                    <a:blip r:embed="rId21" cstate="print"/>
                    <a:srcRect/>
                    <a:stretch>
                      <a:fillRect/>
                    </a:stretch>
                  </pic:blipFill>
                  <pic:spPr bwMode="auto">
                    <a:xfrm>
                      <a:off x="0" y="0"/>
                      <a:ext cx="6032500" cy="3277870"/>
                    </a:xfrm>
                    <a:prstGeom prst="rect">
                      <a:avLst/>
                    </a:prstGeom>
                    <a:noFill/>
                    <a:ln w="9525">
                      <a:noFill/>
                      <a:miter lim="800000"/>
                      <a:headEnd/>
                      <a:tailEnd/>
                    </a:ln>
                  </pic:spPr>
                </pic:pic>
              </a:graphicData>
            </a:graphic>
          </wp:inline>
        </w:drawing>
      </w:r>
    </w:p>
    <w:p w14:paraId="7C444BDF" w14:textId="77777777" w:rsidR="00B834A2" w:rsidRPr="00F076B2" w:rsidRDefault="00B834A2" w:rsidP="003C2850">
      <w:pPr>
        <w:pStyle w:val="Picturecaption120"/>
        <w:shd w:val="clear" w:color="auto" w:fill="auto"/>
        <w:spacing w:after="160" w:line="360" w:lineRule="auto"/>
        <w:ind w:firstLine="567"/>
        <w:jc w:val="both"/>
        <w:rPr>
          <w:rFonts w:ascii="Sylfaen" w:hAnsi="Sylfaen"/>
          <w:sz w:val="20"/>
          <w:szCs w:val="24"/>
        </w:rPr>
      </w:pPr>
      <w:r w:rsidRPr="003C2850">
        <w:rPr>
          <w:rStyle w:val="Picturecaption12Sylfaen"/>
          <w:sz w:val="20"/>
          <w:szCs w:val="24"/>
        </w:rPr>
        <w:t xml:space="preserve">Նկար 2.1.4.29.-1: </w:t>
      </w:r>
      <w:r w:rsidRPr="00F076B2">
        <w:rPr>
          <w:rFonts w:ascii="Sylfaen" w:hAnsi="Sylfaen"/>
          <w:sz w:val="20"/>
          <w:szCs w:val="24"/>
        </w:rPr>
        <w:t>- Քիմ-լյումինեսցենտային անալիզարար</w:t>
      </w:r>
    </w:p>
    <w:p w14:paraId="631F91C9" w14:textId="77777777" w:rsidR="00B834A2" w:rsidRPr="009217DE" w:rsidRDefault="00B834A2" w:rsidP="00B834A2">
      <w:pPr>
        <w:pStyle w:val="Bodytext310"/>
        <w:shd w:val="clear" w:color="auto" w:fill="auto"/>
        <w:spacing w:after="160" w:line="360" w:lineRule="auto"/>
        <w:jc w:val="right"/>
        <w:rPr>
          <w:rStyle w:val="Bodytext31Sylfaen22"/>
          <w:sz w:val="20"/>
          <w:szCs w:val="24"/>
        </w:rPr>
      </w:pPr>
      <w:r w:rsidRPr="00935A95">
        <w:rPr>
          <w:rStyle w:val="Bodytext31Sylfaen22"/>
          <w:sz w:val="20"/>
          <w:szCs w:val="24"/>
        </w:rPr>
        <w:lastRenderedPageBreak/>
        <w:t>201040030-2022</w:t>
      </w:r>
    </w:p>
    <w:p w14:paraId="4D28BBE3" w14:textId="77777777" w:rsidR="00935A95" w:rsidRPr="009217DE" w:rsidRDefault="00935A95" w:rsidP="00B834A2">
      <w:pPr>
        <w:pStyle w:val="Bodytext310"/>
        <w:shd w:val="clear" w:color="auto" w:fill="auto"/>
        <w:spacing w:after="160" w:line="360" w:lineRule="auto"/>
        <w:jc w:val="right"/>
        <w:rPr>
          <w:rFonts w:ascii="Sylfaen" w:hAnsi="Sylfaen"/>
          <w:i w:val="0"/>
          <w:sz w:val="20"/>
          <w:szCs w:val="24"/>
        </w:rPr>
      </w:pPr>
    </w:p>
    <w:p w14:paraId="2EBCD493" w14:textId="77777777" w:rsidR="00B834A2" w:rsidRPr="003C2850" w:rsidRDefault="00B834A2" w:rsidP="003C2850">
      <w:pPr>
        <w:pStyle w:val="Bodytext310"/>
        <w:shd w:val="clear" w:color="auto" w:fill="auto"/>
        <w:tabs>
          <w:tab w:val="left" w:pos="1701"/>
        </w:tabs>
        <w:spacing w:after="160" w:line="360" w:lineRule="auto"/>
        <w:ind w:firstLine="567"/>
        <w:jc w:val="both"/>
        <w:rPr>
          <w:rFonts w:ascii="Sylfaen" w:hAnsi="Sylfaen"/>
          <w:i w:val="0"/>
          <w:sz w:val="24"/>
          <w:szCs w:val="24"/>
        </w:rPr>
      </w:pPr>
      <w:r w:rsidRPr="003C2850">
        <w:rPr>
          <w:rStyle w:val="Bodytext31Sylfaen20"/>
          <w:sz w:val="24"/>
          <w:szCs w:val="24"/>
        </w:rPr>
        <w:t>2.1.4.30.</w:t>
      </w:r>
      <w:r w:rsidR="003C2850" w:rsidRPr="00097504">
        <w:rPr>
          <w:rStyle w:val="Bodytext31Sylfaen20"/>
          <w:sz w:val="24"/>
          <w:szCs w:val="24"/>
        </w:rPr>
        <w:tab/>
      </w:r>
      <w:r w:rsidRPr="003C2850">
        <w:rPr>
          <w:rStyle w:val="Bodytext31Sylfaen20"/>
          <w:sz w:val="24"/>
          <w:szCs w:val="24"/>
        </w:rPr>
        <w:t>Թթվածինը բժշկական գազերում</w:t>
      </w:r>
    </w:p>
    <w:p w14:paraId="1D33CE77"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Բժշկական գազերում թթվածնի կոնցենտրացիայի որոշումն անցկացնում են պարամագնիսական մեթոդի կիրառմամբ՝ գազային քրոմատագրման օգնությամբ (պարամագնիսական անալիզարար):</w:t>
      </w:r>
    </w:p>
    <w:p w14:paraId="67847482"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3C2850">
        <w:rPr>
          <w:rStyle w:val="Bodytext31Sylfaen"/>
          <w:sz w:val="24"/>
          <w:szCs w:val="24"/>
        </w:rPr>
        <w:t xml:space="preserve">Մեթոդի սկզբունքը հիմնված է գազանման թթվածնի՝ մագնիսին ձգվելու հատկության վրա: Պարամագնիսական անալիզարարը չափում է ուժեղ մագնիսական դաշտում պարամագնիսական գազով (թթվածնով) դիամագնիսական գազի (ազոտի) դուրսմղման աստիճանը: Այդ դուրսմղմամբ </w:t>
      </w:r>
      <w:r w:rsidRPr="003C2850">
        <w:rPr>
          <w:rStyle w:val="Bodytext31Sylfaen"/>
          <w:spacing w:val="-4"/>
          <w:sz w:val="24"/>
          <w:szCs w:val="24"/>
        </w:rPr>
        <w:t>առաջացած էլեկտրական հոսանքի մեծությունն ուղիղ համեմատական է թթվածնի կոնցենտրացիային: Թթվածնի կոնցենտրացիայի չափումները պայմանավորված են ճնշմամբ եւ ջերմաստիճանով եւ, եթե անալիզարարում բացակայում է ջերմաստիճանի</w:t>
      </w:r>
      <w:r w:rsidRPr="003C2850">
        <w:rPr>
          <w:rStyle w:val="Bodytext31Sylfaen"/>
          <w:sz w:val="24"/>
          <w:szCs w:val="24"/>
        </w:rPr>
        <w:t xml:space="preserve"> եւ ճնշման ավտոմատ կարգավորումը, ապա անհրաժեշտ է անցկացնել սարքի ստուգաճշտում՝ օգտագործելուց անմիջապես առաջ: </w:t>
      </w:r>
      <w:r w:rsidRPr="003C2850">
        <w:rPr>
          <w:rFonts w:ascii="Sylfaen" w:hAnsi="Sylfaen"/>
          <w:i w:val="0"/>
          <w:sz w:val="24"/>
          <w:szCs w:val="24"/>
        </w:rPr>
        <w:t xml:space="preserve">Քանի որ թթվածնի պարամագնիսական էֆեկտն ունի գծային բնույթ, ապա սարքը պետք է թույլ տա անցկացնել չափումներ համապատասխան ընդգրկույթում՝ 0,1 %-ից ոչ ավելի դիսկրետայնությամբ ցուցմունքների հաշվարկման ճշգրտությամբ: </w:t>
      </w:r>
    </w:p>
    <w:p w14:paraId="5F7691CA" w14:textId="77777777" w:rsidR="00B834A2" w:rsidRPr="003C2850" w:rsidRDefault="00B834A2" w:rsidP="00B834A2">
      <w:pPr>
        <w:pStyle w:val="Bodytext310"/>
        <w:shd w:val="clear" w:color="auto" w:fill="auto"/>
        <w:spacing w:after="160" w:line="360" w:lineRule="auto"/>
        <w:ind w:firstLine="567"/>
        <w:jc w:val="both"/>
        <w:rPr>
          <w:rFonts w:ascii="Sylfaen" w:hAnsi="Sylfaen"/>
          <w:i w:val="0"/>
          <w:sz w:val="24"/>
          <w:szCs w:val="24"/>
        </w:rPr>
      </w:pPr>
      <w:r w:rsidRPr="00935A95">
        <w:rPr>
          <w:rStyle w:val="Bodytext31Sylfaen23"/>
          <w:i/>
          <w:sz w:val="24"/>
          <w:szCs w:val="24"/>
        </w:rPr>
        <w:t>Սարքի ստուգաճշտում</w:t>
      </w:r>
      <w:r w:rsidRPr="003C2850">
        <w:rPr>
          <w:rStyle w:val="Bodytext31Sylfaen23"/>
          <w:sz w:val="24"/>
          <w:szCs w:val="24"/>
        </w:rPr>
        <w:t>:</w:t>
      </w:r>
      <w:r w:rsidRPr="003C2850">
        <w:rPr>
          <w:rStyle w:val="Bodytext31Sylfaen"/>
          <w:sz w:val="24"/>
          <w:szCs w:val="24"/>
        </w:rPr>
        <w:t xml:space="preserve"> Ստուգաճշտումը կատարվում է հետեւյալ կերպ՝</w:t>
      </w:r>
    </w:p>
    <w:p w14:paraId="62C3E82B" w14:textId="77777777" w:rsidR="00B834A2" w:rsidRPr="003C2850" w:rsidRDefault="00B834A2" w:rsidP="003C2850">
      <w:pPr>
        <w:pStyle w:val="Bodytext310"/>
        <w:shd w:val="clear" w:color="auto" w:fill="auto"/>
        <w:tabs>
          <w:tab w:val="left" w:pos="1134"/>
        </w:tabs>
        <w:spacing w:after="160" w:line="360"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 xml:space="preserve">սահմանվում է զրոյական մակարդակ՝ անցկացնելով սարքի միջով Р1 ազոտ՝ մինչ հաստատում ցուցանիշներ ստանալը. </w:t>
      </w:r>
    </w:p>
    <w:p w14:paraId="10AEA825" w14:textId="77777777" w:rsidR="00B834A2" w:rsidRPr="004A7CC9" w:rsidRDefault="00B834A2" w:rsidP="003C2850">
      <w:pPr>
        <w:pStyle w:val="Bodytext310"/>
        <w:shd w:val="clear" w:color="auto" w:fill="auto"/>
        <w:tabs>
          <w:tab w:val="left" w:pos="1134"/>
        </w:tabs>
        <w:spacing w:after="160" w:line="360" w:lineRule="auto"/>
        <w:ind w:firstLine="567"/>
        <w:jc w:val="both"/>
        <w:rPr>
          <w:rFonts w:ascii="Sylfaen" w:hAnsi="Sylfaen"/>
          <w:i w:val="0"/>
          <w:sz w:val="24"/>
          <w:szCs w:val="24"/>
        </w:rPr>
      </w:pPr>
      <w:r w:rsidRPr="003C2850">
        <w:rPr>
          <w:rFonts w:ascii="Sylfaen" w:hAnsi="Sylfaen"/>
          <w:i w:val="0"/>
          <w:sz w:val="24"/>
          <w:szCs w:val="24"/>
        </w:rPr>
        <w:t>-</w:t>
      </w:r>
      <w:r w:rsidR="003C2850" w:rsidRPr="003C2850">
        <w:rPr>
          <w:rFonts w:ascii="Sylfaen" w:hAnsi="Sylfaen"/>
          <w:i w:val="0"/>
          <w:sz w:val="24"/>
          <w:szCs w:val="24"/>
        </w:rPr>
        <w:tab/>
      </w:r>
      <w:r w:rsidRPr="003C2850">
        <w:rPr>
          <w:rFonts w:ascii="Sylfaen" w:hAnsi="Sylfaen"/>
          <w:i w:val="0"/>
          <w:sz w:val="24"/>
          <w:szCs w:val="24"/>
        </w:rPr>
        <w:t xml:space="preserve">սահմանում են սանդղակը 100 %-ի վրա՝ անցկացնելով սարքի միջով թթվածին Р1 ազոտի համար օգտագործվող համանման հոսքի արագությամբ՝ մինչ հաստատուն ցուցանիշներ ստանալը, քանի որ գազային հոսքի ծավալային արագության ցանկացած րոպեական փոփոխություն գրանցվելու է որպես թթվածնի կոնցենտրացիայի փոփոխություն: </w:t>
      </w:r>
    </w:p>
    <w:p w14:paraId="177543D9" w14:textId="77777777" w:rsidR="008F5B6F" w:rsidRPr="004A7CC9" w:rsidRDefault="008F5B6F" w:rsidP="003C2850">
      <w:pPr>
        <w:pStyle w:val="Bodytext310"/>
        <w:shd w:val="clear" w:color="auto" w:fill="auto"/>
        <w:tabs>
          <w:tab w:val="left" w:pos="1134"/>
        </w:tabs>
        <w:spacing w:after="160" w:line="360" w:lineRule="auto"/>
        <w:ind w:firstLine="567"/>
        <w:jc w:val="both"/>
        <w:rPr>
          <w:rFonts w:ascii="Sylfaen" w:hAnsi="Sylfaen"/>
          <w:i w:val="0"/>
          <w:sz w:val="24"/>
          <w:szCs w:val="24"/>
        </w:rPr>
      </w:pPr>
    </w:p>
    <w:p w14:paraId="08B89C59" w14:textId="77777777" w:rsidR="00B834A2" w:rsidRPr="003C2850" w:rsidRDefault="00B834A2" w:rsidP="00B834A2">
      <w:pPr>
        <w:spacing w:after="160" w:line="360" w:lineRule="auto"/>
        <w:ind w:firstLine="567"/>
        <w:jc w:val="both"/>
        <w:rPr>
          <w:rStyle w:val="Bodytext31Sylfaen"/>
          <w:i w:val="0"/>
          <w:sz w:val="24"/>
          <w:szCs w:val="24"/>
        </w:rPr>
      </w:pPr>
      <w:r w:rsidRPr="00935A95">
        <w:rPr>
          <w:rStyle w:val="Bodytext31Sylfaen23"/>
          <w:sz w:val="24"/>
          <w:szCs w:val="24"/>
        </w:rPr>
        <w:lastRenderedPageBreak/>
        <w:t>Քանակական որոշում:</w:t>
      </w:r>
      <w:r w:rsidRPr="003C2850">
        <w:rPr>
          <w:rStyle w:val="Bodytext31Sylfaen"/>
          <w:i w:val="0"/>
          <w:sz w:val="24"/>
          <w:szCs w:val="24"/>
        </w:rPr>
        <w:t xml:space="preserve"> Անցկացնում են փորձարկվող նմուշը հոսքի հաստատուն արագությամբ սարքի միջով՝ մինչ կայուն ցուցանիշներ ստանալը: Գրանցում են փորձարկվող նմուշում թթվածնի կոնցենտրացիան:</w:t>
      </w:r>
    </w:p>
    <w:p w14:paraId="2D52C4DF" w14:textId="77777777" w:rsidR="00B834A2" w:rsidRPr="003C2850" w:rsidRDefault="00B834A2" w:rsidP="00B834A2">
      <w:pPr>
        <w:spacing w:after="160" w:line="360" w:lineRule="auto"/>
        <w:rPr>
          <w:rStyle w:val="Bodytext31Sylfaen"/>
          <w:i w:val="0"/>
          <w:sz w:val="24"/>
          <w:szCs w:val="24"/>
        </w:rPr>
      </w:pPr>
    </w:p>
    <w:p w14:paraId="5B575DE0" w14:textId="77777777" w:rsidR="00B834A2" w:rsidRPr="009217DE" w:rsidRDefault="00F076B2" w:rsidP="003C2850">
      <w:pPr>
        <w:spacing w:after="160" w:line="360" w:lineRule="auto"/>
        <w:jc w:val="right"/>
        <w:rPr>
          <w:b/>
          <w:sz w:val="20"/>
        </w:rPr>
      </w:pPr>
      <w:r>
        <w:rPr>
          <w:b/>
          <w:sz w:val="20"/>
        </w:rPr>
        <w:t>201040031</w:t>
      </w:r>
      <w:r w:rsidRPr="006B7DC5">
        <w:rPr>
          <w:b/>
          <w:sz w:val="20"/>
        </w:rPr>
        <w:t>-</w:t>
      </w:r>
      <w:r w:rsidR="00B834A2" w:rsidRPr="00935A95">
        <w:rPr>
          <w:b/>
          <w:sz w:val="20"/>
        </w:rPr>
        <w:t>2022</w:t>
      </w:r>
    </w:p>
    <w:p w14:paraId="41B9436D" w14:textId="77777777" w:rsidR="00935A95" w:rsidRPr="009217DE" w:rsidRDefault="00935A95" w:rsidP="003C2850">
      <w:pPr>
        <w:spacing w:after="160" w:line="360" w:lineRule="auto"/>
        <w:jc w:val="right"/>
        <w:rPr>
          <w:b/>
          <w:sz w:val="20"/>
        </w:rPr>
      </w:pPr>
    </w:p>
    <w:p w14:paraId="7B5C7965" w14:textId="77777777" w:rsidR="00B834A2" w:rsidRPr="003C2850" w:rsidRDefault="00B834A2" w:rsidP="003C2850">
      <w:pPr>
        <w:tabs>
          <w:tab w:val="left" w:pos="1701"/>
        </w:tabs>
        <w:spacing w:after="160" w:line="360" w:lineRule="auto"/>
        <w:ind w:firstLine="567"/>
        <w:jc w:val="both"/>
      </w:pPr>
      <w:r w:rsidRPr="003C2850">
        <w:rPr>
          <w:b/>
        </w:rPr>
        <w:t>2.1.4.31.</w:t>
      </w:r>
      <w:r w:rsidR="003C2850" w:rsidRPr="00097504">
        <w:rPr>
          <w:b/>
        </w:rPr>
        <w:tab/>
      </w:r>
      <w:r w:rsidRPr="003C2850">
        <w:rPr>
          <w:b/>
        </w:rPr>
        <w:t>Ջուրը՝ բժշկական գազերի մեջ</w:t>
      </w:r>
    </w:p>
    <w:p w14:paraId="25AA1EDD" w14:textId="77777777" w:rsidR="00B834A2" w:rsidRPr="003C2850" w:rsidRDefault="00B834A2" w:rsidP="003C2850">
      <w:pPr>
        <w:spacing w:after="160" w:line="360" w:lineRule="auto"/>
        <w:ind w:firstLine="567"/>
        <w:jc w:val="both"/>
      </w:pPr>
      <w:r w:rsidRPr="003C2850">
        <w:t>Գազերի մեջ ջրի պարունակությունը որոշում են ստորեւ նկարագրված էլեկտրոլիտիկ խոնավաչափի օգնությամբ:</w:t>
      </w:r>
    </w:p>
    <w:p w14:paraId="0A6ED1D7" w14:textId="77777777" w:rsidR="00B834A2" w:rsidRPr="00B834A2" w:rsidRDefault="00B834A2" w:rsidP="003C2850">
      <w:pPr>
        <w:spacing w:after="160" w:line="360" w:lineRule="auto"/>
        <w:ind w:firstLine="567"/>
        <w:jc w:val="both"/>
      </w:pPr>
      <w:r w:rsidRPr="003C2850">
        <w:t xml:space="preserve">Չափիչ խցիկը կազմված է ֆոսֆորի (V) օքսիդի բարակ թաղանթից, որը գտնվում է որպես էլեկտրոդ ծառայող 2 պլատինե հաղորդալարերի միջեւ: Փորձարկվող գազից ջրային գոլորշին կլանվում է ֆոսֆորի (V) օքսիդի կողմից, որը փոխակերպվում է էլեկտրական հաղորդիչ հանդիսացող ֆոսֆորաթթվի: Էլեկտրոդների վրա հաստատուն լարումն առաջացնում է ջրի էլեկտրոլիզ եւ ֆոսֆորի (V) օքսիդի վերականգնում: Այնուհետեւ չափվում է արդյունքում </w:t>
      </w:r>
      <w:r w:rsidRPr="00B834A2">
        <w:t>ստացվող էլեկտրական հոսանքը, որը համամասնական է փորձարկվող գազի մեջ ջրի պարունակությանը: Տվյալ համակարգն ինքնաստուգաճշտվող է, քանի որ համապատասխանում է Ֆարադեյի օրենքին:</w:t>
      </w:r>
    </w:p>
    <w:p w14:paraId="5874D881" w14:textId="77777777" w:rsidR="00B834A2" w:rsidRPr="00B834A2" w:rsidRDefault="00B834A2" w:rsidP="003C2850">
      <w:pPr>
        <w:spacing w:after="160" w:line="360" w:lineRule="auto"/>
        <w:ind w:firstLine="567"/>
        <w:jc w:val="both"/>
      </w:pPr>
      <w:r w:rsidRPr="00B834A2">
        <w:t>Ընտրված փորձարկվող նմուշը պահում են 15 °С-ից 25 °С ջերմաստիճանում՝ հավասարակշռման համար։ Գազն անընդհատ թողնում են խցիկի միջով կայուն ցուցանիշներ ստանալու համար: Անհրաժեշտ է հետ</w:t>
      </w:r>
      <w:r>
        <w:t>եւ</w:t>
      </w:r>
      <w:r w:rsidRPr="00B834A2">
        <w:t>ել, որ չափման ամբողջ ընթացքում գազի ներմուծման համար հարմարեցման ջերմաստիճանը լինի հաստատուն:</w:t>
      </w:r>
    </w:p>
    <w:p w14:paraId="15A2BDEF" w14:textId="77777777" w:rsidR="00B834A2" w:rsidRPr="008F5B6F" w:rsidRDefault="00B834A2" w:rsidP="003C2850">
      <w:pPr>
        <w:spacing w:after="160" w:line="360" w:lineRule="auto"/>
        <w:ind w:firstLine="567"/>
        <w:jc w:val="both"/>
        <w:rPr>
          <w:spacing w:val="-6"/>
        </w:rPr>
      </w:pPr>
      <w:r w:rsidRPr="00B834A2">
        <w:t>Ջրի պարունակությունը հստակ որոշելու համար էլեկտրոլիտիկ խոնավաչափ օգտագործելու դեպքում հասնում են նմուշի ճշգրիտ հոսքին՝ ապահովելով զանգվածային ծախսի կոնտրոլերի օգնությամբ ծավալի կայուն ծախս:</w:t>
      </w:r>
      <w:r>
        <w:t xml:space="preserve"> </w:t>
      </w:r>
      <w:r w:rsidRPr="00B834A2">
        <w:t xml:space="preserve">Զանգվածային ծախսի կոնտրոլերի ստուգաճշտումը սովորաբար </w:t>
      </w:r>
      <w:r w:rsidRPr="008F5B6F">
        <w:rPr>
          <w:spacing w:val="-6"/>
        </w:rPr>
        <w:lastRenderedPageBreak/>
        <w:t>կատարում են ազոտի օգտագործմամբ: Ստուգաճշտման համար այլ գազերի օգտագործման դեպքում անհրաժեշտ է անդրադառնալ վերահաշվարկի համապատասխան գործակիցների հարցի վերաբերյալ արտադրողի հրահանգներին եւ համոզվել, որ գազի փորձարկվող տեսակի համար ճիշտ խցիկ է օգտագործվում:</w:t>
      </w:r>
    </w:p>
    <w:p w14:paraId="1F5D30F9" w14:textId="77777777" w:rsidR="00B834A2" w:rsidRPr="00B834A2" w:rsidRDefault="00B834A2" w:rsidP="003C2850">
      <w:pPr>
        <w:spacing w:after="160" w:line="360" w:lineRule="auto"/>
        <w:ind w:firstLine="567"/>
        <w:jc w:val="both"/>
      </w:pPr>
    </w:p>
    <w:p w14:paraId="552C8E4E" w14:textId="77777777" w:rsidR="00B834A2" w:rsidRPr="009217DE" w:rsidRDefault="004D71A7" w:rsidP="003C2850">
      <w:pPr>
        <w:spacing w:after="160" w:line="360" w:lineRule="auto"/>
        <w:jc w:val="right"/>
        <w:rPr>
          <w:b/>
          <w:sz w:val="20"/>
        </w:rPr>
      </w:pPr>
      <w:r>
        <w:rPr>
          <w:b/>
          <w:sz w:val="20"/>
        </w:rPr>
        <w:t>201040032-</w:t>
      </w:r>
      <w:r w:rsidR="00B834A2" w:rsidRPr="00935A95">
        <w:rPr>
          <w:b/>
          <w:sz w:val="20"/>
        </w:rPr>
        <w:t>2022</w:t>
      </w:r>
    </w:p>
    <w:p w14:paraId="295C3BFA" w14:textId="77777777" w:rsidR="00935A95" w:rsidRPr="009217DE" w:rsidRDefault="00935A95" w:rsidP="003C2850">
      <w:pPr>
        <w:spacing w:after="160" w:line="360" w:lineRule="auto"/>
        <w:jc w:val="right"/>
        <w:rPr>
          <w:b/>
          <w:sz w:val="20"/>
        </w:rPr>
      </w:pPr>
    </w:p>
    <w:p w14:paraId="5275A00A" w14:textId="77777777" w:rsidR="00B834A2" w:rsidRPr="00B834A2" w:rsidRDefault="00B834A2" w:rsidP="003C2850">
      <w:pPr>
        <w:tabs>
          <w:tab w:val="left" w:pos="1701"/>
        </w:tabs>
        <w:spacing w:after="160" w:line="360" w:lineRule="auto"/>
        <w:ind w:firstLine="567"/>
        <w:jc w:val="both"/>
        <w:rPr>
          <w:b/>
        </w:rPr>
      </w:pPr>
      <w:r w:rsidRPr="00B834A2">
        <w:rPr>
          <w:b/>
        </w:rPr>
        <w:t>2.1.4.32.</w:t>
      </w:r>
      <w:r w:rsidR="003C2850" w:rsidRPr="00097504">
        <w:rPr>
          <w:b/>
        </w:rPr>
        <w:tab/>
      </w:r>
      <w:r w:rsidRPr="00B834A2">
        <w:rPr>
          <w:b/>
        </w:rPr>
        <w:t>Ծծմբի երկօքսիդը</w:t>
      </w:r>
    </w:p>
    <w:p w14:paraId="05897EA5" w14:textId="77777777" w:rsidR="003C2850" w:rsidRPr="00097504" w:rsidRDefault="003C2850" w:rsidP="003C2850">
      <w:pPr>
        <w:spacing w:after="160" w:line="360" w:lineRule="auto"/>
        <w:ind w:firstLine="567"/>
        <w:jc w:val="both"/>
        <w:rPr>
          <w:b/>
        </w:rPr>
      </w:pPr>
    </w:p>
    <w:p w14:paraId="06CC3FB6" w14:textId="77777777" w:rsidR="00B834A2" w:rsidRPr="00B834A2" w:rsidRDefault="00B834A2" w:rsidP="003C2850">
      <w:pPr>
        <w:spacing w:after="160" w:line="360" w:lineRule="auto"/>
        <w:ind w:firstLine="567"/>
        <w:jc w:val="both"/>
        <w:rPr>
          <w:b/>
        </w:rPr>
      </w:pPr>
      <w:r w:rsidRPr="00B834A2">
        <w:rPr>
          <w:b/>
        </w:rPr>
        <w:t>ՍԱՐՔԸ</w:t>
      </w:r>
    </w:p>
    <w:p w14:paraId="64B4CC55" w14:textId="77777777" w:rsidR="00B834A2" w:rsidRPr="00B834A2" w:rsidRDefault="00B834A2" w:rsidP="003C2850">
      <w:pPr>
        <w:spacing w:after="160" w:line="360" w:lineRule="auto"/>
        <w:ind w:firstLine="567"/>
        <w:jc w:val="both"/>
      </w:pPr>
      <w:r w:rsidRPr="00B834A2">
        <w:t>Սարքը բաղկացած է (նկար 2.1.4.32.-1) հետ</w:t>
      </w:r>
      <w:r>
        <w:t>եւ</w:t>
      </w:r>
      <w:r w:rsidRPr="00B834A2">
        <w:t>յալ մասերից.</w:t>
      </w:r>
    </w:p>
    <w:p w14:paraId="070FC0F5"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B834A2">
        <w:t>եռավզիկ կլորահատակ ապակյա փորձանոթ՝ 500 մլ տարողությամբ (Ա),</w:t>
      </w:r>
    </w:p>
    <w:p w14:paraId="026A35F3" w14:textId="77777777" w:rsidR="00B834A2" w:rsidRPr="00B834A2" w:rsidRDefault="00000000" w:rsidP="00935A95">
      <w:pPr>
        <w:spacing w:after="160" w:line="360" w:lineRule="auto"/>
        <w:jc w:val="center"/>
      </w:pPr>
      <w:r>
        <w:rPr>
          <w:noProof/>
          <w:lang w:val="en-US" w:eastAsia="en-US" w:bidi="ar-SA"/>
        </w:rPr>
        <w:pict w14:anchorId="7100A2B8">
          <v:group id="_x0000_s1462" style="position:absolute;left:0;text-align:left;margin-left:149.45pt;margin-top:122.9pt;width:92.55pt;height:160.05pt;z-index:252091392" coordorigin="4407,10847" coordsize="1851,3201">
            <v:shape id="_x0000_s1155" type="#_x0000_t202" style="position:absolute;left:4407;top:11389;width:268;height:209;mso-width-relative:margin;mso-height-relative:margin" fillcolor="white [3212]" strokecolor="white [3212]">
              <v:textbox style="mso-next-textbox:#_x0000_s1155" inset="0,0,0,0">
                <w:txbxContent>
                  <w:p w14:paraId="13B3DA97" w14:textId="77777777" w:rsidR="008D6E8B" w:rsidRPr="00443E92" w:rsidRDefault="008D6E8B" w:rsidP="00B834A2">
                    <w:pPr>
                      <w:rPr>
                        <w:sz w:val="14"/>
                      </w:rPr>
                    </w:pPr>
                    <w:r>
                      <w:rPr>
                        <w:sz w:val="14"/>
                      </w:rPr>
                      <w:t>մլ</w:t>
                    </w:r>
                  </w:p>
                </w:txbxContent>
              </v:textbox>
            </v:shape>
            <v:shape id="_x0000_s1156" type="#_x0000_t202" style="position:absolute;left:5384;top:10847;width:217;height:268;mso-width-relative:margin;mso-height-relative:margin" fillcolor="white [3212]" strokecolor="white [3212]">
              <v:textbox style="layout-flow:vertical;mso-layout-flow-alt:bottom-to-top;mso-next-textbox:#_x0000_s1156" inset="0,0,0,0">
                <w:txbxContent>
                  <w:p w14:paraId="1A336C34" w14:textId="77777777" w:rsidR="008D6E8B" w:rsidRPr="0010642D" w:rsidRDefault="008D6E8B" w:rsidP="00B834A2">
                    <w:pPr>
                      <w:jc w:val="center"/>
                      <w:rPr>
                        <w:sz w:val="20"/>
                      </w:rPr>
                    </w:pPr>
                    <w:r>
                      <w:rPr>
                        <w:sz w:val="14"/>
                      </w:rPr>
                      <w:t>մմ</w:t>
                    </w:r>
                  </w:p>
                </w:txbxContent>
              </v:textbox>
            </v:shape>
            <v:shape id="_x0000_s1157" type="#_x0000_t202" style="position:absolute;left:5990;top:13839;width:268;height:209;mso-width-relative:margin;mso-height-relative:margin" fillcolor="white [3212]" strokecolor="white [3212]">
              <v:textbox style="mso-next-textbox:#_x0000_s1157" inset="0,0,0,0">
                <w:txbxContent>
                  <w:p w14:paraId="194B3A99" w14:textId="77777777" w:rsidR="008D6E8B" w:rsidRPr="00443E92" w:rsidRDefault="008D6E8B" w:rsidP="00B834A2">
                    <w:pPr>
                      <w:rPr>
                        <w:sz w:val="14"/>
                      </w:rPr>
                    </w:pPr>
                    <w:r>
                      <w:rPr>
                        <w:sz w:val="14"/>
                      </w:rPr>
                      <w:t>մլ</w:t>
                    </w:r>
                  </w:p>
                </w:txbxContent>
              </v:textbox>
            </v:shape>
          </v:group>
        </w:pict>
      </w:r>
      <w:r w:rsidR="00B834A2" w:rsidRPr="00B834A2">
        <w:rPr>
          <w:noProof/>
          <w:lang w:val="en-US" w:eastAsia="en-US" w:bidi="ar-SA"/>
        </w:rPr>
        <w:drawing>
          <wp:inline distT="0" distB="0" distL="0" distR="0" wp14:anchorId="406F66D4" wp14:editId="0CC8A1C5">
            <wp:extent cx="3155746" cy="4088336"/>
            <wp:effectExtent l="19050" t="0" r="6554" b="0"/>
            <wp:docPr id="21" name="Picture 2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ikhail.LOCAL\Desktop\media\image1.jpeg"/>
                    <pic:cNvPicPr>
                      <a:picLocks noChangeAspect="1" noChangeArrowheads="1"/>
                    </pic:cNvPicPr>
                  </pic:nvPicPr>
                  <pic:blipFill>
                    <a:blip r:embed="rId22" cstate="print"/>
                    <a:srcRect/>
                    <a:stretch>
                      <a:fillRect/>
                    </a:stretch>
                  </pic:blipFill>
                  <pic:spPr bwMode="auto">
                    <a:xfrm>
                      <a:off x="0" y="0"/>
                      <a:ext cx="3156077" cy="4088765"/>
                    </a:xfrm>
                    <a:prstGeom prst="rect">
                      <a:avLst/>
                    </a:prstGeom>
                    <a:noFill/>
                    <a:ln w="9525">
                      <a:noFill/>
                      <a:miter lim="800000"/>
                      <a:headEnd/>
                      <a:tailEnd/>
                    </a:ln>
                  </pic:spPr>
                </pic:pic>
              </a:graphicData>
            </a:graphic>
          </wp:inline>
        </w:drawing>
      </w:r>
    </w:p>
    <w:p w14:paraId="3FA44E92" w14:textId="77777777" w:rsidR="00B834A2" w:rsidRPr="003C2850" w:rsidRDefault="00B834A2" w:rsidP="00935A95">
      <w:pPr>
        <w:spacing w:after="160" w:line="360" w:lineRule="auto"/>
        <w:ind w:firstLine="567"/>
        <w:jc w:val="center"/>
        <w:rPr>
          <w:i/>
          <w:sz w:val="20"/>
        </w:rPr>
      </w:pPr>
      <w:r w:rsidRPr="003C2850">
        <w:rPr>
          <w:sz w:val="20"/>
        </w:rPr>
        <w:t xml:space="preserve">Նկար 2.1.4.32.-1. </w:t>
      </w:r>
      <w:r w:rsidRPr="003C2850">
        <w:rPr>
          <w:i/>
          <w:sz w:val="20"/>
        </w:rPr>
        <w:t>Ծծմբի դիօքսիդի որոշման սարքը</w:t>
      </w:r>
    </w:p>
    <w:p w14:paraId="1D66FFB9" w14:textId="77777777" w:rsidR="00B834A2" w:rsidRPr="00B834A2" w:rsidRDefault="00B834A2" w:rsidP="003C2850">
      <w:pPr>
        <w:tabs>
          <w:tab w:val="left" w:pos="1134"/>
        </w:tabs>
        <w:spacing w:after="160" w:line="360" w:lineRule="auto"/>
        <w:ind w:firstLine="567"/>
        <w:jc w:val="both"/>
      </w:pPr>
      <w:r w:rsidRPr="00B834A2">
        <w:lastRenderedPageBreak/>
        <w:t>-</w:t>
      </w:r>
      <w:r w:rsidR="003C2850" w:rsidRPr="003C2850">
        <w:tab/>
      </w:r>
      <w:r w:rsidRPr="00B834A2">
        <w:t xml:space="preserve">ձագար՝ 100 մլ տարողությամբ </w:t>
      </w:r>
      <w:r w:rsidRPr="00935A95">
        <w:rPr>
          <w:i/>
        </w:rPr>
        <w:t>(Բ),</w:t>
      </w:r>
    </w:p>
    <w:p w14:paraId="136D2E08"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B834A2">
        <w:t xml:space="preserve">հետադարձ սառնարան </w:t>
      </w:r>
      <w:r w:rsidRPr="00935A95">
        <w:rPr>
          <w:i/>
        </w:rPr>
        <w:t>(Գ),</w:t>
      </w:r>
    </w:p>
    <w:p w14:paraId="5E8BA9DE"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B834A2">
        <w:t xml:space="preserve">փորձասրվակ </w:t>
      </w:r>
      <w:r w:rsidRPr="00935A95">
        <w:rPr>
          <w:i/>
        </w:rPr>
        <w:t>(Դ),</w:t>
      </w:r>
    </w:p>
    <w:p w14:paraId="2F0095FF"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B834A2">
        <w:t xml:space="preserve">տեղափոխող խողովակ </w:t>
      </w:r>
      <w:r w:rsidRPr="00935A95">
        <w:rPr>
          <w:i/>
        </w:rPr>
        <w:t>(Ե),</w:t>
      </w:r>
    </w:p>
    <w:p w14:paraId="44872423" w14:textId="77777777" w:rsidR="00B834A2" w:rsidRPr="00B834A2" w:rsidRDefault="00B834A2" w:rsidP="003C2850">
      <w:pPr>
        <w:tabs>
          <w:tab w:val="left" w:pos="1134"/>
        </w:tabs>
        <w:spacing w:after="160" w:line="360" w:lineRule="auto"/>
        <w:ind w:firstLine="567"/>
        <w:jc w:val="both"/>
      </w:pPr>
      <w:r w:rsidRPr="00B834A2">
        <w:t>-</w:t>
      </w:r>
      <w:r w:rsidR="003C2850" w:rsidRPr="00097504">
        <w:tab/>
      </w:r>
      <w:r w:rsidRPr="00B834A2">
        <w:t xml:space="preserve">գազի անցք </w:t>
      </w:r>
      <w:r w:rsidRPr="00935A95">
        <w:rPr>
          <w:i/>
        </w:rPr>
        <w:t>(Զ)։</w:t>
      </w:r>
    </w:p>
    <w:p w14:paraId="0F823E04" w14:textId="77777777" w:rsidR="00B834A2" w:rsidRPr="00B834A2" w:rsidRDefault="00B834A2" w:rsidP="00B834A2">
      <w:pPr>
        <w:spacing w:after="160" w:line="360" w:lineRule="auto"/>
        <w:jc w:val="both"/>
      </w:pPr>
    </w:p>
    <w:p w14:paraId="1291D721" w14:textId="77777777" w:rsidR="00B834A2" w:rsidRPr="006B7DC5" w:rsidRDefault="00B834A2" w:rsidP="003C2850">
      <w:pPr>
        <w:tabs>
          <w:tab w:val="left" w:pos="2268"/>
        </w:tabs>
        <w:spacing w:after="160" w:line="360" w:lineRule="auto"/>
        <w:ind w:firstLine="567"/>
        <w:jc w:val="both"/>
        <w:rPr>
          <w:b/>
        </w:rPr>
      </w:pPr>
      <w:r w:rsidRPr="00B834A2">
        <w:rPr>
          <w:b/>
        </w:rPr>
        <w:t>ՄԵԹՈԴԻԿԱՆ</w:t>
      </w:r>
    </w:p>
    <w:p w14:paraId="7FF6BEE3" w14:textId="77777777" w:rsidR="00B834A2" w:rsidRPr="004D71A7" w:rsidRDefault="00B834A2" w:rsidP="003C2850">
      <w:pPr>
        <w:spacing w:after="160" w:line="360" w:lineRule="auto"/>
        <w:ind w:firstLine="567"/>
        <w:jc w:val="both"/>
      </w:pPr>
      <w:r w:rsidRPr="00B834A2">
        <w:t xml:space="preserve">Փորձանոթի (Ա) մեջ տեղավորում են 150 մլ P ջուր </w:t>
      </w:r>
      <w:r>
        <w:t>եւ</w:t>
      </w:r>
      <w:r w:rsidRPr="00B834A2">
        <w:t xml:space="preserve"> հավասարակշռում են համակարգը՝ դրա միջով 15 րոպե շարունակ մոտավորապես 100 մլ/րոպե արագությամբ թողնելով P ածխածնի դիօքսիդ:</w:t>
      </w:r>
    </w:p>
    <w:p w14:paraId="3806099E" w14:textId="77777777" w:rsidR="00B834A2" w:rsidRPr="00B834A2" w:rsidRDefault="00B834A2" w:rsidP="003C2850">
      <w:pPr>
        <w:spacing w:after="160" w:line="360" w:lineRule="auto"/>
        <w:ind w:firstLine="567"/>
        <w:jc w:val="both"/>
      </w:pPr>
      <w:r w:rsidRPr="00B834A2">
        <w:t>Նոսրացված P ջրածնի պերօքսիդի 10 մլ լուծույթին ավելացնում են P էթանոլի (20 % ծավ./ծավ.) մեջ 1 գ/լ P բրոմոֆենոլի կապույտի 0,15 մլ լուծույթ: Այնուհետ</w:t>
      </w:r>
      <w:r>
        <w:t>եւ</w:t>
      </w:r>
      <w:r w:rsidRPr="00B834A2">
        <w:t xml:space="preserve"> ավելացնում են P նատրիումի հիդրօքսիդի 0,1 P լուծույթ մինչ</w:t>
      </w:r>
      <w:r>
        <w:t>եւ</w:t>
      </w:r>
      <w:r w:rsidRPr="00B834A2">
        <w:t xml:space="preserve"> մանուշակակապույտ երանգի առաջացումը՝ չհասնելով տիտրման վերջնակետին: Լուծույթը տեղավորում են փորձասրվակի (Դ) մեջ </w:t>
      </w:r>
      <w:r>
        <w:t>եւ</w:t>
      </w:r>
      <w:r w:rsidRPr="00B834A2">
        <w:t xml:space="preserve"> այն միացնում են սարքին, ինչպես նշված է 2.1.4.32.-1 նկարում:</w:t>
      </w:r>
    </w:p>
    <w:p w14:paraId="5AABD5AD" w14:textId="77777777" w:rsidR="00B834A2" w:rsidRPr="00B834A2" w:rsidRDefault="00B834A2" w:rsidP="003C2850">
      <w:pPr>
        <w:spacing w:after="160" w:line="360" w:lineRule="auto"/>
        <w:ind w:firstLine="567"/>
        <w:jc w:val="both"/>
      </w:pPr>
      <w:r w:rsidRPr="00B834A2">
        <w:t xml:space="preserve">Չընդհատելով ածխածնի դիօքսիդի մատակարարումը՝ հանում են ձագարը (Բ) </w:t>
      </w:r>
      <w:r>
        <w:t>եւ</w:t>
      </w:r>
      <w:r w:rsidRPr="00B834A2">
        <w:t xml:space="preserve"> փորձանոթի բաց վզիկի միջով 100 մլ P ջրի օգնությամբ ներմուծում են 25,0 գ (ա) փորձարկվող նմուշ: Ձագարը դնում են տեղը, փակում ծորակը </w:t>
      </w:r>
      <w:r>
        <w:t>եւ</w:t>
      </w:r>
      <w:r w:rsidRPr="00B834A2">
        <w:t xml:space="preserve"> ձագարի մեջ լցնում են 80 մլ նոսրացված Р քլորաջրածնային թթու: Ձագարի ծորակը բացում են, որ նոսրացված Р քլորաջրածնային թթուն հոսի փորձանոթի մեջ: Ծծմբի դիօքսիդի </w:t>
      </w:r>
      <w:r w:rsidRPr="003C2850">
        <w:rPr>
          <w:spacing w:val="-4"/>
        </w:rPr>
        <w:t>ցնդելը կանխելու համար փակում են ծորակը՝ թողնելով նոսրացված Р քլորաջրածնային թթվի վերջին մի քանի միլիլիտրը: Եռացնում են 1 ժամ: Բացում են ձագարի</w:t>
      </w:r>
      <w:r w:rsidRPr="00B834A2">
        <w:t xml:space="preserve"> ծորակը </w:t>
      </w:r>
      <w:r>
        <w:t>եւ</w:t>
      </w:r>
      <w:r w:rsidRPr="00B834A2">
        <w:t xml:space="preserve"> դադարեցնում են ածխածնի դիօքսիդի մատակարարումը: Փորձասրվակի (Դ) պարունակությունը ոչ մեծ քանակով Р ջրի օգնությամբ տեղափոխում են 200 մլ տարողությամբ կոնաձ</w:t>
      </w:r>
      <w:r>
        <w:t>եւ</w:t>
      </w:r>
      <w:r w:rsidRPr="00B834A2">
        <w:t xml:space="preserve"> փորձանոթի մեջ: Փորձանոթը 15 </w:t>
      </w:r>
      <w:r w:rsidRPr="00B834A2">
        <w:lastRenderedPageBreak/>
        <w:t xml:space="preserve">րոպե տաքացնում են ջրային բաղնիքի վրա </w:t>
      </w:r>
      <w:r>
        <w:t>եւ</w:t>
      </w:r>
      <w:r w:rsidRPr="00B834A2">
        <w:t xml:space="preserve"> պահում են մինչ</w:t>
      </w:r>
      <w:r>
        <w:t>եւ</w:t>
      </w:r>
      <w:r w:rsidRPr="00B834A2">
        <w:t xml:space="preserve"> հովանալը: Ավելացնում են Р էթանոլի (20 % ծավ./ծավ.) մեջ 1 գ/լ Р բրոմոֆենոլի կապույտի 0,1</w:t>
      </w:r>
      <w:r w:rsidR="000111CA" w:rsidRPr="000111CA">
        <w:t> </w:t>
      </w:r>
      <w:r w:rsidRPr="00B834A2">
        <w:t xml:space="preserve">մլ լուծույթ </w:t>
      </w:r>
      <w:r>
        <w:t>եւ</w:t>
      </w:r>
      <w:r w:rsidRPr="00B834A2">
        <w:t xml:space="preserve"> տիտրում են 0,1 М նատրիումի հիդրօքսիդի լուծույթով՝ մինչ</w:t>
      </w:r>
      <w:r>
        <w:t>եւ</w:t>
      </w:r>
      <w:r w:rsidRPr="00B834A2">
        <w:t xml:space="preserve"> լուծույթի դեղին գույնը վերածվի մանուշակակապույտի (V1, մլ):</w:t>
      </w:r>
    </w:p>
    <w:p w14:paraId="0D31418A" w14:textId="77777777" w:rsidR="00B834A2" w:rsidRPr="00B834A2" w:rsidRDefault="00B834A2" w:rsidP="003C2850">
      <w:pPr>
        <w:spacing w:after="160" w:line="360" w:lineRule="auto"/>
        <w:ind w:firstLine="567"/>
        <w:jc w:val="both"/>
      </w:pPr>
      <w:r w:rsidRPr="00B834A2">
        <w:t>Զուգահեռ անցկացնում են ստուգիչ փորձ (V2, մլ):</w:t>
      </w:r>
    </w:p>
    <w:p w14:paraId="35AC0FFE" w14:textId="77777777" w:rsidR="00B834A2" w:rsidRPr="00B834A2" w:rsidRDefault="00B834A2" w:rsidP="003C2850">
      <w:pPr>
        <w:spacing w:after="160" w:line="360" w:lineRule="auto"/>
        <w:ind w:firstLine="567"/>
        <w:jc w:val="both"/>
      </w:pPr>
      <w:r w:rsidRPr="00B834A2">
        <w:t>Ծծմբի դիօքսիդի պարունակությունը՝ միլիոներորդ մասով, հաշվարկվում է հետ</w:t>
      </w:r>
      <w:r>
        <w:t>եւ</w:t>
      </w:r>
      <w:r w:rsidRPr="00B834A2">
        <w:t>յալ բանաձ</w:t>
      </w:r>
      <w:r>
        <w:t>եւ</w:t>
      </w:r>
      <w:r w:rsidRPr="00B834A2">
        <w:t>ով.</w:t>
      </w:r>
    </w:p>
    <w:p w14:paraId="24EE5A58" w14:textId="77777777" w:rsidR="00B834A2" w:rsidRPr="00B834A2" w:rsidRDefault="00B834A2" w:rsidP="00B834A2">
      <w:pPr>
        <w:spacing w:after="160" w:line="360" w:lineRule="auto"/>
        <w:jc w:val="both"/>
      </w:pPr>
      <m:oMathPara>
        <m:oMath>
          <m:r>
            <m:rPr>
              <m:sty m:val="p"/>
            </m:rPr>
            <w:rPr>
              <w:rFonts w:ascii="Cambria Math" w:hAnsi="Cambria Math"/>
            </w:rPr>
            <m:t>32030∙</m:t>
          </m:r>
          <m:d>
            <m:dPr>
              <m:ctrlPr>
                <w:rPr>
                  <w:rFonts w:ascii="Cambria Math" w:hAnsi="Cambria Math"/>
                </w:rPr>
              </m:ctrlPr>
            </m:d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e>
          </m:d>
          <m:r>
            <m:rPr>
              <m:sty m:val="p"/>
            </m:rPr>
            <w:rPr>
              <w:rFonts w:ascii="Cambria Math" w:hAnsi="Cambria Math"/>
            </w:rPr>
            <m:t>∙</m:t>
          </m:r>
          <m:f>
            <m:fPr>
              <m:ctrlPr>
                <w:rPr>
                  <w:rFonts w:ascii="Cambria Math" w:hAnsi="Cambria Math"/>
                </w:rPr>
              </m:ctrlPr>
            </m:fPr>
            <m:num>
              <m:r>
                <w:rPr>
                  <w:rFonts w:ascii="Cambria Math" w:hAnsi="Cambria Math"/>
                </w:rPr>
                <m:t>C</m:t>
              </m:r>
            </m:num>
            <m:den>
              <m:r>
                <w:rPr>
                  <w:rFonts w:ascii="Cambria Math" w:hAnsi="Cambria Math"/>
                </w:rPr>
                <m:t>a</m:t>
              </m:r>
            </m:den>
          </m:f>
          <m:r>
            <m:rPr>
              <m:sty m:val="p"/>
            </m:rPr>
            <w:rPr>
              <w:rFonts w:ascii="Cambria Math" w:hAnsi="Cambria Math"/>
            </w:rPr>
            <m:t>,</m:t>
          </m:r>
        </m:oMath>
      </m:oMathPara>
    </w:p>
    <w:p w14:paraId="670C97FD" w14:textId="77777777" w:rsidR="00B834A2" w:rsidRPr="00B834A2" w:rsidRDefault="00B834A2" w:rsidP="003C2850">
      <w:pPr>
        <w:spacing w:after="160" w:line="360" w:lineRule="auto"/>
        <w:ind w:firstLine="567"/>
        <w:jc w:val="both"/>
      </w:pPr>
      <w:r w:rsidRPr="00B834A2">
        <w:t xml:space="preserve">որտեղ՝ </w:t>
      </w:r>
    </w:p>
    <w:p w14:paraId="692FC3B0" w14:textId="77777777" w:rsidR="00B834A2" w:rsidRPr="00097504" w:rsidRDefault="00B834A2" w:rsidP="003C2850">
      <w:pPr>
        <w:spacing w:after="160" w:line="360" w:lineRule="auto"/>
        <w:ind w:firstLine="567"/>
        <w:jc w:val="both"/>
      </w:pPr>
      <w:r w:rsidRPr="00B834A2">
        <w:t>V1-ը տիտրման վրա ծախսված տիտրանտի ծավալն է՝ միլիլիտրերով.</w:t>
      </w:r>
    </w:p>
    <w:p w14:paraId="68731DA9" w14:textId="77777777" w:rsidR="00B834A2" w:rsidRPr="00B834A2" w:rsidRDefault="00B834A2" w:rsidP="003C2850">
      <w:pPr>
        <w:spacing w:after="160" w:line="360" w:lineRule="auto"/>
        <w:ind w:firstLine="567"/>
        <w:jc w:val="both"/>
      </w:pPr>
      <w:r w:rsidRPr="00B834A2">
        <w:t>V2-ը ստուգիչ փորձի ժամանակ տիտրման վրա ծախսված տիտրանտի ծավալն է՝ միլիլիտրերով.</w:t>
      </w:r>
    </w:p>
    <w:p w14:paraId="2345DDB9" w14:textId="77777777" w:rsidR="00B834A2" w:rsidRPr="00B834A2" w:rsidRDefault="00B834A2" w:rsidP="003C2850">
      <w:pPr>
        <w:spacing w:after="160" w:line="360" w:lineRule="auto"/>
        <w:ind w:firstLine="567"/>
        <w:jc w:val="both"/>
      </w:pPr>
      <w:r w:rsidRPr="00B834A2">
        <w:t>С-ն որպես տիտրանտ օգտագործվող լուծույթի մեջ նատրիումի հիդրօքսիդի մոլային կոնցենտրացիան է՝ մեկ լիտրին բաժին ընկնող մոլերով.</w:t>
      </w:r>
    </w:p>
    <w:p w14:paraId="4A57C950" w14:textId="77777777" w:rsidR="00B834A2" w:rsidRPr="00B834A2" w:rsidRDefault="00B834A2" w:rsidP="003C2850">
      <w:pPr>
        <w:spacing w:after="160" w:line="360" w:lineRule="auto"/>
        <w:ind w:firstLine="567"/>
        <w:jc w:val="both"/>
      </w:pPr>
      <w:r w:rsidRPr="00B834A2">
        <w:t>а-ն փորձարկվող կշռանմուշն է՝ գրամներով։</w:t>
      </w:r>
    </w:p>
    <w:p w14:paraId="24D2EA5D" w14:textId="77777777" w:rsidR="00B834A2" w:rsidRPr="00B834A2" w:rsidRDefault="00B834A2" w:rsidP="00B834A2">
      <w:pPr>
        <w:spacing w:after="160" w:line="360" w:lineRule="auto"/>
        <w:jc w:val="both"/>
      </w:pPr>
    </w:p>
    <w:p w14:paraId="4A75C5A1" w14:textId="77777777" w:rsidR="00B834A2" w:rsidRPr="009217DE" w:rsidRDefault="00B834A2" w:rsidP="003C2850">
      <w:pPr>
        <w:spacing w:after="160" w:line="360" w:lineRule="auto"/>
        <w:jc w:val="right"/>
        <w:rPr>
          <w:b/>
          <w:sz w:val="20"/>
        </w:rPr>
      </w:pPr>
      <w:r w:rsidRPr="00935A95">
        <w:rPr>
          <w:b/>
          <w:sz w:val="20"/>
        </w:rPr>
        <w:t>201040033-2022</w:t>
      </w:r>
    </w:p>
    <w:p w14:paraId="232B9525" w14:textId="77777777" w:rsidR="00935A95" w:rsidRPr="009217DE" w:rsidRDefault="00935A95" w:rsidP="003C2850">
      <w:pPr>
        <w:spacing w:after="160" w:line="360" w:lineRule="auto"/>
        <w:jc w:val="right"/>
        <w:rPr>
          <w:b/>
          <w:sz w:val="20"/>
        </w:rPr>
      </w:pPr>
    </w:p>
    <w:p w14:paraId="5A05763F" w14:textId="77777777" w:rsidR="00B834A2" w:rsidRPr="00B834A2" w:rsidRDefault="00B834A2" w:rsidP="003C2850">
      <w:pPr>
        <w:tabs>
          <w:tab w:val="left" w:pos="1701"/>
        </w:tabs>
        <w:spacing w:after="160" w:line="360" w:lineRule="auto"/>
        <w:ind w:firstLine="567"/>
        <w:jc w:val="both"/>
        <w:rPr>
          <w:b/>
        </w:rPr>
      </w:pPr>
      <w:r w:rsidRPr="00B834A2">
        <w:rPr>
          <w:b/>
        </w:rPr>
        <w:t>2.1.4.33.</w:t>
      </w:r>
      <w:r w:rsidR="003C2850" w:rsidRPr="00097504">
        <w:rPr>
          <w:b/>
        </w:rPr>
        <w:tab/>
      </w:r>
      <w:r w:rsidRPr="00B834A2">
        <w:rPr>
          <w:b/>
        </w:rPr>
        <w:t>Օքսիդացող նյութերը</w:t>
      </w:r>
    </w:p>
    <w:p w14:paraId="1E962582" w14:textId="77777777" w:rsidR="00B834A2" w:rsidRPr="00B834A2" w:rsidRDefault="00B834A2" w:rsidP="003C2850">
      <w:pPr>
        <w:spacing w:after="160" w:line="360" w:lineRule="auto"/>
        <w:ind w:firstLine="567"/>
        <w:jc w:val="both"/>
      </w:pPr>
      <w:r w:rsidRPr="00B834A2">
        <w:t>Կիպահղկված խցանով, 125 մլ տարողությամբ կոնաձ</w:t>
      </w:r>
      <w:r>
        <w:t>եւ</w:t>
      </w:r>
      <w:r w:rsidRPr="00B834A2">
        <w:t xml:space="preserve"> փորձանոթի մեջ տեղավորում են 4,0 գ փորձարկվող նմուշ </w:t>
      </w:r>
      <w:r>
        <w:t>եւ</w:t>
      </w:r>
      <w:r w:rsidRPr="00B834A2">
        <w:t xml:space="preserve"> ավելացնում են 50,0 մլ Р ջուր: Խցանով փակում են </w:t>
      </w:r>
      <w:r>
        <w:t>եւ</w:t>
      </w:r>
      <w:r w:rsidRPr="00B834A2">
        <w:t xml:space="preserve"> 5 րոպե շարունակ թափահարում։ Փորձանոթի պարունակությունը տեղափոխում են կիպահղկված խցանով, 50 մլ տարողությամբ ցենտրիֆուգալ փորձասրվակի մեջ </w:t>
      </w:r>
      <w:r>
        <w:t>եւ</w:t>
      </w:r>
      <w:r w:rsidRPr="00B834A2">
        <w:t xml:space="preserve"> ցենտրիֆուգում են: 30,0 մլ թափանցիկ վերնստվածքային հեղուկը տեղափոխում են կիպահղկված խցանով, 125 մլ տարողությամբ կոնաձ</w:t>
      </w:r>
      <w:r>
        <w:t>եւ</w:t>
      </w:r>
      <w:r w:rsidRPr="00B834A2">
        <w:t xml:space="preserve"> </w:t>
      </w:r>
      <w:r w:rsidRPr="00B834A2">
        <w:lastRenderedPageBreak/>
        <w:t xml:space="preserve">փորձանոթի մեջ, ավելացնում 1 մլ Р սառցային քացախաթթու </w:t>
      </w:r>
      <w:r>
        <w:t>եւ</w:t>
      </w:r>
      <w:r w:rsidRPr="00B834A2">
        <w:t xml:space="preserve"> 0,5 գրամից մինչ</w:t>
      </w:r>
      <w:r>
        <w:t>եւ</w:t>
      </w:r>
      <w:r w:rsidRPr="00B834A2">
        <w:t xml:space="preserve"> 1,0 գ Р կալիումի յոդիդ: Փորձանոթը փակում են խցանով, թափահարում են </w:t>
      </w:r>
      <w:r>
        <w:t>եւ</w:t>
      </w:r>
      <w:r w:rsidRPr="00B834A2">
        <w:t xml:space="preserve"> պահում մութ տեղում 25-30 րոպե: Ավելացնում են Р օսլայի 1 մլ լուծույթ </w:t>
      </w:r>
      <w:r>
        <w:t>եւ</w:t>
      </w:r>
      <w:r w:rsidRPr="00B834A2">
        <w:t xml:space="preserve"> տիտրում են 0,002 М նատրիումի թիոսուլֆատի լուծույթով մինչ</w:t>
      </w:r>
      <w:r>
        <w:t>եւ</w:t>
      </w:r>
      <w:r w:rsidRPr="00B834A2">
        <w:t xml:space="preserve"> գույնի անհետանալը:</w:t>
      </w:r>
    </w:p>
    <w:p w14:paraId="01299ECF" w14:textId="77777777" w:rsidR="00B834A2" w:rsidRPr="00B834A2" w:rsidRDefault="00B834A2" w:rsidP="003C2850">
      <w:pPr>
        <w:spacing w:after="160" w:line="360" w:lineRule="auto"/>
        <w:ind w:firstLine="567"/>
        <w:jc w:val="both"/>
      </w:pPr>
      <w:r w:rsidRPr="00B834A2">
        <w:t>Զուգահեռ անցկացնում են ստուգիչ փորձ:</w:t>
      </w:r>
    </w:p>
    <w:p w14:paraId="34BE0F9E" w14:textId="77777777" w:rsidR="00B834A2" w:rsidRPr="00B834A2" w:rsidRDefault="00B834A2" w:rsidP="003C2850">
      <w:pPr>
        <w:spacing w:after="160" w:line="360" w:lineRule="auto"/>
        <w:ind w:firstLine="567"/>
        <w:jc w:val="both"/>
      </w:pPr>
      <w:r w:rsidRPr="00B834A2">
        <w:t>Փորձարկվող նմուշի տիտրման համար պետք է ծախսվի ոչ ավելի, քան 1,4 մլ 0,002 М նատրիումի թիոսուլֆատի լուծույթ (0,002 %՝ H</w:t>
      </w:r>
      <w:r w:rsidRPr="000111CA">
        <w:rPr>
          <w:vertAlign w:val="subscript"/>
        </w:rPr>
        <w:t>2</w:t>
      </w:r>
      <w:r w:rsidRPr="00B834A2">
        <w:t>O</w:t>
      </w:r>
      <w:r w:rsidRPr="000111CA">
        <w:rPr>
          <w:vertAlign w:val="subscript"/>
        </w:rPr>
        <w:t>2</w:t>
      </w:r>
      <w:r w:rsidRPr="00B834A2">
        <w:t>-ի վերահաշվարկով):</w:t>
      </w:r>
    </w:p>
    <w:p w14:paraId="7A69DE83" w14:textId="77777777" w:rsidR="00B834A2" w:rsidRPr="00B834A2" w:rsidRDefault="00B834A2" w:rsidP="003C2850">
      <w:pPr>
        <w:spacing w:after="160" w:line="360" w:lineRule="auto"/>
        <w:ind w:firstLine="567"/>
        <w:jc w:val="both"/>
      </w:pPr>
      <w:r w:rsidRPr="00B834A2">
        <w:t>0,002 М նատրիումի թիոսուլֆատի լուծույթի 1 մլ-ը համապատասխանում է օքսիդացնող նյութերի 34 մկգ-ին՝ ջրածնի պերօքսիդի վերահաշվարկով:</w:t>
      </w:r>
    </w:p>
    <w:p w14:paraId="4A8A432F" w14:textId="77777777" w:rsidR="00B834A2" w:rsidRPr="00B834A2" w:rsidRDefault="00B834A2" w:rsidP="00B834A2">
      <w:pPr>
        <w:spacing w:after="160" w:line="360" w:lineRule="auto"/>
        <w:jc w:val="both"/>
      </w:pPr>
    </w:p>
    <w:p w14:paraId="35404069" w14:textId="77777777" w:rsidR="00B834A2" w:rsidRPr="009217DE" w:rsidRDefault="00B834A2" w:rsidP="003C2850">
      <w:pPr>
        <w:spacing w:after="160" w:line="360" w:lineRule="auto"/>
        <w:jc w:val="right"/>
        <w:rPr>
          <w:b/>
          <w:sz w:val="20"/>
        </w:rPr>
      </w:pPr>
      <w:r w:rsidRPr="00935A95">
        <w:rPr>
          <w:b/>
          <w:sz w:val="20"/>
        </w:rPr>
        <w:t>201040034-2022</w:t>
      </w:r>
    </w:p>
    <w:p w14:paraId="7CF3C9EB" w14:textId="77777777" w:rsidR="00935A95" w:rsidRPr="009217DE" w:rsidRDefault="00935A95" w:rsidP="003C2850">
      <w:pPr>
        <w:spacing w:after="160" w:line="360" w:lineRule="auto"/>
        <w:jc w:val="right"/>
        <w:rPr>
          <w:b/>
          <w:sz w:val="20"/>
        </w:rPr>
      </w:pPr>
    </w:p>
    <w:p w14:paraId="2F962B0B" w14:textId="77777777" w:rsidR="00B834A2" w:rsidRPr="00B834A2" w:rsidRDefault="00B834A2" w:rsidP="003C2850">
      <w:pPr>
        <w:tabs>
          <w:tab w:val="left" w:pos="1701"/>
        </w:tabs>
        <w:spacing w:after="160" w:line="360" w:lineRule="auto"/>
        <w:ind w:firstLine="567"/>
        <w:jc w:val="both"/>
        <w:rPr>
          <w:b/>
        </w:rPr>
      </w:pPr>
      <w:r w:rsidRPr="00B834A2">
        <w:rPr>
          <w:b/>
        </w:rPr>
        <w:t>2.1.4.34.</w:t>
      </w:r>
      <w:r w:rsidR="003C2850" w:rsidRPr="00097504">
        <w:rPr>
          <w:b/>
        </w:rPr>
        <w:tab/>
      </w:r>
      <w:r w:rsidRPr="00B834A2">
        <w:rPr>
          <w:b/>
        </w:rPr>
        <w:t xml:space="preserve">Մեթիլ-, էթիլ- </w:t>
      </w:r>
      <w:r>
        <w:rPr>
          <w:b/>
        </w:rPr>
        <w:t>եւ</w:t>
      </w:r>
      <w:r w:rsidRPr="00B834A2">
        <w:rPr>
          <w:b/>
        </w:rPr>
        <w:t xml:space="preserve"> իզոպրոպիլ-մեթանսուլֆոնատը՝ մեթանսուլֆոնաթթվի մեջ</w:t>
      </w:r>
    </w:p>
    <w:p w14:paraId="2EFE036A" w14:textId="77777777" w:rsidR="00B834A2" w:rsidRPr="00B834A2" w:rsidRDefault="00B834A2" w:rsidP="003C2850">
      <w:pPr>
        <w:spacing w:after="160" w:line="360" w:lineRule="auto"/>
        <w:ind w:firstLine="567"/>
        <w:jc w:val="both"/>
      </w:pPr>
      <w:r w:rsidRPr="00B834A2">
        <w:t>Տվյալ ընդհանուր դեղագրքային հոդվածը տարածվում է 0,5 ppm-ից մինչ</w:t>
      </w:r>
      <w:r>
        <w:t>եւ</w:t>
      </w:r>
      <w:r w:rsidRPr="00B834A2">
        <w:t xml:space="preserve"> 100 ppm կոնցենտրացիաների ընդգրկույթում մեթիլ-, էթիլ- </w:t>
      </w:r>
      <w:r>
        <w:t>եւ</w:t>
      </w:r>
      <w:r w:rsidRPr="00B834A2">
        <w:t xml:space="preserve"> իզոպրոպիլ-մեթանսուլֆոնատների որոշման մեթոդի վրա:</w:t>
      </w:r>
    </w:p>
    <w:p w14:paraId="61D5B8BF" w14:textId="77777777" w:rsidR="00B834A2" w:rsidRPr="00B834A2" w:rsidRDefault="00B834A2" w:rsidP="003C2850">
      <w:pPr>
        <w:spacing w:after="160" w:line="360" w:lineRule="auto"/>
        <w:ind w:firstLine="567"/>
        <w:jc w:val="both"/>
      </w:pPr>
      <w:r w:rsidRPr="00B834A2">
        <w:t xml:space="preserve">Եթե տվյալ մեթոդը ենթադրվում է կիրառել մեթիլ-, էթիլ- </w:t>
      </w:r>
      <w:r>
        <w:t>եւ</w:t>
      </w:r>
      <w:r w:rsidRPr="00B834A2">
        <w:t xml:space="preserve"> իզոպրոպիլ-մեթանսուլֆոնատների՝ նշված սահմանաչափերը գերազանցող կոնցենտրացիաների որոշման համար (օրինակ՝ սինթեզի վաղ փուլերում՝ նախքան դրանք հեռացնելը), փորձարկվող լուծույթի կոնցենտրացիան պետք է համապատասխան կերպով ճշգրտվի:</w:t>
      </w:r>
    </w:p>
    <w:p w14:paraId="5F1D5CEA" w14:textId="77777777" w:rsidR="008F5B6F" w:rsidRDefault="008F5B6F">
      <w:r>
        <w:br w:type="page"/>
      </w:r>
    </w:p>
    <w:p w14:paraId="04825B92" w14:textId="77777777" w:rsidR="00B834A2" w:rsidRPr="0058052E" w:rsidRDefault="00B834A2" w:rsidP="003C2850">
      <w:pPr>
        <w:spacing w:after="160" w:line="360" w:lineRule="auto"/>
        <w:ind w:firstLine="567"/>
        <w:jc w:val="both"/>
        <w:rPr>
          <w:b/>
        </w:rPr>
      </w:pPr>
      <w:r w:rsidRPr="00B834A2">
        <w:rPr>
          <w:b/>
        </w:rPr>
        <w:lastRenderedPageBreak/>
        <w:t>ՄԵԹՈԴԻԿԱՆ</w:t>
      </w:r>
    </w:p>
    <w:p w14:paraId="17FFAC5C" w14:textId="77777777" w:rsidR="00B834A2" w:rsidRPr="00B834A2" w:rsidRDefault="00B834A2" w:rsidP="003C2850">
      <w:pPr>
        <w:spacing w:after="160" w:line="360" w:lineRule="auto"/>
        <w:ind w:firstLine="567"/>
        <w:jc w:val="both"/>
      </w:pPr>
      <w:r w:rsidRPr="00B834A2">
        <w:t>Փորձարկումներն անցկացնում են գազային քրոմատագրման մեթոդով (2.1.2.27)՝ զանգվածասպեկտրաչափությամբ (2.1.2.51):</w:t>
      </w:r>
    </w:p>
    <w:p w14:paraId="4684015D" w14:textId="77777777" w:rsidR="00B834A2" w:rsidRPr="00B834A2" w:rsidRDefault="00B834A2" w:rsidP="003C2850">
      <w:pPr>
        <w:spacing w:after="160" w:line="360" w:lineRule="auto"/>
        <w:ind w:firstLine="567"/>
        <w:jc w:val="both"/>
      </w:pPr>
      <w:r w:rsidRPr="00B834A2">
        <w:t>Ներքին ստանդարտի լուծույթը: ԵԱՏՄԴ ՍՆ բութիլ-մեթանսուլֆոնատի (ԲՄՍ) 7 մկլ-ը Р մեթիլենքլորիդով հասցնում են մինչ</w:t>
      </w:r>
      <w:r>
        <w:t>եւ</w:t>
      </w:r>
      <w:r w:rsidRPr="00B834A2">
        <w:t xml:space="preserve"> 10,0 մլ ծավալի, ստացված լուծույթի 10 մկլ-ը Р մեթիլենքլորիդով հասցնում են մինչ</w:t>
      </w:r>
      <w:r>
        <w:t>եւ</w:t>
      </w:r>
      <w:r w:rsidRPr="00B834A2">
        <w:t xml:space="preserve"> 100,0 մլ ծավալի:</w:t>
      </w:r>
    </w:p>
    <w:p w14:paraId="5135329D" w14:textId="77777777" w:rsidR="00B834A2" w:rsidRPr="00133111" w:rsidRDefault="00B834A2" w:rsidP="008F5B6F">
      <w:pPr>
        <w:spacing w:after="160" w:line="341" w:lineRule="auto"/>
        <w:ind w:firstLine="567"/>
        <w:jc w:val="both"/>
      </w:pPr>
      <w:r w:rsidRPr="00B834A2">
        <w:t>Փորձարկվող լուծույթը: Փորձարկվող նմուշի 0,74 գրամին ավելացնում են 10,0</w:t>
      </w:r>
      <w:r w:rsidR="00133111" w:rsidRPr="00133111">
        <w:t> </w:t>
      </w:r>
      <w:r w:rsidRPr="00B834A2">
        <w:t xml:space="preserve">մլ Р ջուր </w:t>
      </w:r>
      <w:r>
        <w:t>եւ</w:t>
      </w:r>
      <w:r w:rsidRPr="00B834A2">
        <w:t xml:space="preserve"> բաժանիչ ձագարի մեջ կատարում են լուծամզում՝ օգտագործելով ներքին ստանդարտի 10,0 մլ լուծույթ: Պահում են մինչ</w:t>
      </w:r>
      <w:r>
        <w:t>եւ</w:t>
      </w:r>
      <w:r w:rsidRPr="00B834A2">
        <w:t xml:space="preserve"> ֆազերի շերտավորումը [առանձնացումը], օրգանական շերտը տեղափոխում են Р անջուր նատրիումի սուլֆատ պարունակող սրվակի մեջ: Թափահարում են </w:t>
      </w:r>
      <w:r>
        <w:t>եւ</w:t>
      </w:r>
      <w:r w:rsidRPr="00B834A2">
        <w:t xml:space="preserve"> ֆիլտրում։</w:t>
      </w:r>
    </w:p>
    <w:p w14:paraId="00E3851C" w14:textId="77777777" w:rsidR="00B834A2" w:rsidRPr="00B834A2" w:rsidRDefault="00B834A2" w:rsidP="008F5B6F">
      <w:pPr>
        <w:spacing w:after="160" w:line="341" w:lineRule="auto"/>
        <w:ind w:firstLine="567"/>
        <w:jc w:val="both"/>
      </w:pPr>
      <w:r w:rsidRPr="00B834A2">
        <w:t xml:space="preserve">(Ա) համեմատման լուծույթը։ 50-ական մգ Р մեթիլ-մեթանսուլֆոնատը (ՄՄՍ), Р էթիլ-մեթանսուլֆոնատը (ԷՄՍ) </w:t>
      </w:r>
      <w:r>
        <w:t>եւ</w:t>
      </w:r>
      <w:r w:rsidRPr="00B834A2">
        <w:t xml:space="preserve"> Р իզոպրոպիլ-մեթանսուլֆոնատը (ԻՄՍ) լուծում են ներքին ստանդարտի լուծույթի մեջ </w:t>
      </w:r>
      <w:r>
        <w:t>եւ</w:t>
      </w:r>
      <w:r w:rsidRPr="00B834A2">
        <w:t xml:space="preserve"> լուծույթի ծավալը մի</w:t>
      </w:r>
      <w:r>
        <w:t>եւ</w:t>
      </w:r>
      <w:r w:rsidRPr="00B834A2">
        <w:t>նույն լուծույթով հասցնում են 50,0 մլ-ի: Ստացված լուծույթի 74 մկլ-ը ներքին ստանդարտի լուծույթով հասցնում են մինչ</w:t>
      </w:r>
      <w:r>
        <w:t>եւ</w:t>
      </w:r>
      <w:r w:rsidRPr="00B834A2">
        <w:t xml:space="preserve"> 10,0 մլ ծավալի, ստացված լուծույթի 100 մկլ-ը ներքին ստանդարտի լուծույթով հասցնում են մինչ</w:t>
      </w:r>
      <w:r>
        <w:t>եւ</w:t>
      </w:r>
      <w:r w:rsidRPr="00B834A2">
        <w:t xml:space="preserve"> 10,0 մլ ծավալի:</w:t>
      </w:r>
    </w:p>
    <w:p w14:paraId="33762F02" w14:textId="77777777" w:rsidR="00B834A2" w:rsidRPr="00B834A2" w:rsidRDefault="00B834A2" w:rsidP="008F5B6F">
      <w:pPr>
        <w:spacing w:after="160" w:line="341" w:lineRule="auto"/>
        <w:ind w:firstLine="567"/>
        <w:jc w:val="both"/>
      </w:pPr>
      <w:r w:rsidRPr="00B834A2">
        <w:t>(Բ) համեմատման լուծույթը։ 3,0 մլ (ա) համեմատման լուծույթը ներքին ստանդարտի լուծույթով հասցնում են մինչ</w:t>
      </w:r>
      <w:r>
        <w:t>եւ</w:t>
      </w:r>
      <w:r w:rsidRPr="00B834A2">
        <w:t xml:space="preserve"> 10,0 մլ ծավալի:</w:t>
      </w:r>
    </w:p>
    <w:p w14:paraId="57F61D2B" w14:textId="77777777" w:rsidR="00B834A2" w:rsidRPr="00935A95" w:rsidRDefault="00B834A2" w:rsidP="008F5B6F">
      <w:pPr>
        <w:spacing w:after="160" w:line="341" w:lineRule="auto"/>
        <w:ind w:firstLine="567"/>
        <w:jc w:val="both"/>
        <w:rPr>
          <w:i/>
        </w:rPr>
      </w:pPr>
      <w:r w:rsidRPr="00935A95">
        <w:rPr>
          <w:i/>
        </w:rPr>
        <w:t>Քրոմատագրման պայմանները՝</w:t>
      </w:r>
    </w:p>
    <w:p w14:paraId="17C9DDDE" w14:textId="77777777" w:rsidR="00B834A2" w:rsidRPr="00B834A2" w:rsidRDefault="00B834A2" w:rsidP="008F5B6F">
      <w:pPr>
        <w:tabs>
          <w:tab w:val="left" w:pos="1134"/>
        </w:tabs>
        <w:spacing w:after="160" w:line="341" w:lineRule="auto"/>
        <w:ind w:firstLine="567"/>
        <w:jc w:val="both"/>
      </w:pPr>
      <w:r w:rsidRPr="00B834A2">
        <w:t>-</w:t>
      </w:r>
      <w:r w:rsidR="003C2850" w:rsidRPr="003C2850">
        <w:tab/>
      </w:r>
      <w:r w:rsidRPr="00935A95">
        <w:rPr>
          <w:i/>
        </w:rPr>
        <w:t>աշտարակը</w:t>
      </w:r>
      <w:r w:rsidRPr="00B834A2">
        <w:t>՝ 15 մ երկարությամբ, 0,25 մմ ներքին տրամագծով հալված կվարցից, 1 մկմ հաստությամբ Р պոլի(դիմեթիլ)սիլօքսանի շերտով պատված.</w:t>
      </w:r>
    </w:p>
    <w:p w14:paraId="36514459" w14:textId="77777777" w:rsidR="00B834A2" w:rsidRPr="00B834A2" w:rsidRDefault="00B834A2" w:rsidP="008F5B6F">
      <w:pPr>
        <w:tabs>
          <w:tab w:val="left" w:pos="1134"/>
        </w:tabs>
        <w:spacing w:after="160" w:line="341" w:lineRule="auto"/>
        <w:ind w:firstLine="567"/>
        <w:jc w:val="both"/>
      </w:pPr>
      <w:r w:rsidRPr="00B834A2">
        <w:t>-</w:t>
      </w:r>
      <w:r w:rsidR="003C2850" w:rsidRPr="003C2850">
        <w:tab/>
      </w:r>
      <w:r w:rsidRPr="00935A95">
        <w:rPr>
          <w:i/>
        </w:rPr>
        <w:t>կրող գազը</w:t>
      </w:r>
      <w:r w:rsidRPr="00B834A2">
        <w:t>՝ Р հելիում՝ քրոմատագրման համար.</w:t>
      </w:r>
    </w:p>
    <w:p w14:paraId="66B7D4BC" w14:textId="77777777" w:rsidR="00B834A2" w:rsidRPr="00B834A2" w:rsidRDefault="00B834A2" w:rsidP="008F5B6F">
      <w:pPr>
        <w:tabs>
          <w:tab w:val="left" w:pos="1134"/>
        </w:tabs>
        <w:spacing w:after="160" w:line="341" w:lineRule="auto"/>
        <w:ind w:firstLine="567"/>
        <w:jc w:val="both"/>
      </w:pPr>
      <w:r w:rsidRPr="00B834A2">
        <w:t>-</w:t>
      </w:r>
      <w:r w:rsidR="003C2850" w:rsidRPr="003C2850">
        <w:tab/>
      </w:r>
      <w:r w:rsidRPr="00935A95">
        <w:rPr>
          <w:i/>
        </w:rPr>
        <w:t>կրող գազի արագությունը</w:t>
      </w:r>
      <w:r w:rsidRPr="00B834A2">
        <w:t>՝ 1 մլ/րոպե.</w:t>
      </w:r>
    </w:p>
    <w:p w14:paraId="3569184C" w14:textId="77777777" w:rsidR="00B834A2" w:rsidRPr="00B834A2" w:rsidRDefault="00B834A2" w:rsidP="008F5B6F">
      <w:pPr>
        <w:tabs>
          <w:tab w:val="left" w:pos="1134"/>
        </w:tabs>
        <w:spacing w:after="160" w:line="341" w:lineRule="auto"/>
        <w:ind w:firstLine="567"/>
        <w:jc w:val="both"/>
      </w:pPr>
      <w:r w:rsidRPr="00B834A2">
        <w:t>-</w:t>
      </w:r>
      <w:r w:rsidR="003C2850" w:rsidRPr="003C2850">
        <w:tab/>
      </w:r>
      <w:r w:rsidRPr="00935A95">
        <w:rPr>
          <w:i/>
        </w:rPr>
        <w:t>իմպուլսային ներանցիչը</w:t>
      </w:r>
      <w:r w:rsidRPr="00B834A2">
        <w:t>՝ առանց հոսքի բաժանման՝ 250 կՊա, 0,25</w:t>
      </w:r>
      <w:r w:rsidR="00F076B2" w:rsidRPr="00F076B2">
        <w:t> </w:t>
      </w:r>
      <w:r w:rsidRPr="00B834A2">
        <w:t>րոպե.</w:t>
      </w:r>
    </w:p>
    <w:p w14:paraId="1BD5F9F2" w14:textId="77777777" w:rsidR="00B834A2" w:rsidRPr="00935A95" w:rsidRDefault="00B834A2" w:rsidP="003C2850">
      <w:pPr>
        <w:tabs>
          <w:tab w:val="left" w:pos="1134"/>
        </w:tabs>
        <w:spacing w:after="160" w:line="360" w:lineRule="auto"/>
        <w:ind w:firstLine="567"/>
        <w:jc w:val="both"/>
        <w:rPr>
          <w:i/>
          <w:lang w:val="en-US"/>
        </w:rPr>
      </w:pPr>
      <w:r w:rsidRPr="00B834A2">
        <w:t>-</w:t>
      </w:r>
      <w:r w:rsidR="003C2850" w:rsidRPr="003C2850">
        <w:tab/>
      </w:r>
      <w:r w:rsidRPr="00935A95">
        <w:rPr>
          <w:i/>
        </w:rPr>
        <w:t>ջերմաստիճանը՝</w:t>
      </w:r>
    </w:p>
    <w:tbl>
      <w:tblPr>
        <w:tblOverlap w:val="never"/>
        <w:tblW w:w="7332" w:type="dxa"/>
        <w:jc w:val="center"/>
        <w:tblLayout w:type="fixed"/>
        <w:tblCellMar>
          <w:left w:w="10" w:type="dxa"/>
          <w:right w:w="10" w:type="dxa"/>
        </w:tblCellMar>
        <w:tblLook w:val="04A0" w:firstRow="1" w:lastRow="0" w:firstColumn="1" w:lastColumn="0" w:noHBand="0" w:noVBand="1"/>
      </w:tblPr>
      <w:tblGrid>
        <w:gridCol w:w="3437"/>
        <w:gridCol w:w="1887"/>
        <w:gridCol w:w="2008"/>
      </w:tblGrid>
      <w:tr w:rsidR="00B834A2" w:rsidRPr="003C2850" w14:paraId="2D585099" w14:textId="77777777" w:rsidTr="003C2850">
        <w:trPr>
          <w:jc w:val="center"/>
        </w:trPr>
        <w:tc>
          <w:tcPr>
            <w:tcW w:w="3437" w:type="dxa"/>
            <w:tcBorders>
              <w:top w:val="single" w:sz="4" w:space="0" w:color="auto"/>
            </w:tcBorders>
            <w:shd w:val="clear" w:color="auto" w:fill="FFFFFF"/>
            <w:vAlign w:val="center"/>
          </w:tcPr>
          <w:p w14:paraId="7AE286B0" w14:textId="77777777" w:rsidR="00B834A2" w:rsidRPr="003C2850" w:rsidRDefault="00B834A2" w:rsidP="003C2850">
            <w:pPr>
              <w:spacing w:after="120"/>
              <w:jc w:val="both"/>
              <w:rPr>
                <w:sz w:val="20"/>
              </w:rPr>
            </w:pPr>
          </w:p>
        </w:tc>
        <w:tc>
          <w:tcPr>
            <w:tcW w:w="1887" w:type="dxa"/>
            <w:tcBorders>
              <w:top w:val="single" w:sz="4" w:space="0" w:color="auto"/>
            </w:tcBorders>
            <w:shd w:val="clear" w:color="auto" w:fill="FFFFFF"/>
            <w:vAlign w:val="center"/>
          </w:tcPr>
          <w:p w14:paraId="5F55FC9B" w14:textId="77777777" w:rsidR="00B834A2" w:rsidRPr="003C2850" w:rsidRDefault="00B834A2" w:rsidP="002F26C7">
            <w:pPr>
              <w:spacing w:after="120"/>
              <w:jc w:val="center"/>
              <w:rPr>
                <w:sz w:val="20"/>
              </w:rPr>
            </w:pPr>
            <w:r w:rsidRPr="003C2850">
              <w:rPr>
                <w:sz w:val="20"/>
              </w:rPr>
              <w:t>Ժամանակը (րոպե)</w:t>
            </w:r>
          </w:p>
        </w:tc>
        <w:tc>
          <w:tcPr>
            <w:tcW w:w="2008" w:type="dxa"/>
            <w:tcBorders>
              <w:top w:val="single" w:sz="4" w:space="0" w:color="auto"/>
            </w:tcBorders>
            <w:shd w:val="clear" w:color="auto" w:fill="FFFFFF"/>
            <w:vAlign w:val="center"/>
          </w:tcPr>
          <w:p w14:paraId="00C8AB17" w14:textId="77777777" w:rsidR="00B834A2" w:rsidRPr="003C2850" w:rsidRDefault="00B834A2" w:rsidP="002F26C7">
            <w:pPr>
              <w:spacing w:after="120"/>
              <w:jc w:val="center"/>
              <w:rPr>
                <w:sz w:val="20"/>
              </w:rPr>
            </w:pPr>
            <w:r w:rsidRPr="003C2850">
              <w:rPr>
                <w:sz w:val="20"/>
              </w:rPr>
              <w:t>Ջերմաստիճանը (°С)</w:t>
            </w:r>
          </w:p>
        </w:tc>
      </w:tr>
      <w:tr w:rsidR="00B834A2" w:rsidRPr="003C2850" w14:paraId="5612C6C7" w14:textId="77777777" w:rsidTr="003C2850">
        <w:trPr>
          <w:jc w:val="center"/>
        </w:trPr>
        <w:tc>
          <w:tcPr>
            <w:tcW w:w="3437" w:type="dxa"/>
            <w:tcBorders>
              <w:top w:val="single" w:sz="4" w:space="0" w:color="auto"/>
            </w:tcBorders>
            <w:shd w:val="clear" w:color="auto" w:fill="FFFFFF"/>
            <w:vAlign w:val="center"/>
          </w:tcPr>
          <w:p w14:paraId="3018BCC0" w14:textId="77777777" w:rsidR="00B834A2" w:rsidRPr="003C2850" w:rsidRDefault="00B834A2" w:rsidP="003C2850">
            <w:pPr>
              <w:spacing w:after="120"/>
              <w:jc w:val="both"/>
              <w:rPr>
                <w:sz w:val="20"/>
              </w:rPr>
            </w:pPr>
            <w:r w:rsidRPr="003C2850">
              <w:rPr>
                <w:sz w:val="20"/>
              </w:rPr>
              <w:t>Աշտարակը</w:t>
            </w:r>
          </w:p>
        </w:tc>
        <w:tc>
          <w:tcPr>
            <w:tcW w:w="1887" w:type="dxa"/>
            <w:tcBorders>
              <w:top w:val="single" w:sz="4" w:space="0" w:color="auto"/>
            </w:tcBorders>
            <w:shd w:val="clear" w:color="auto" w:fill="FFFFFF"/>
          </w:tcPr>
          <w:p w14:paraId="400DD573" w14:textId="77777777" w:rsidR="00B834A2" w:rsidRPr="003C2850" w:rsidRDefault="00B834A2" w:rsidP="000737AD">
            <w:pPr>
              <w:spacing w:after="120"/>
              <w:jc w:val="center"/>
              <w:rPr>
                <w:sz w:val="20"/>
              </w:rPr>
            </w:pPr>
            <w:r w:rsidRPr="003C2850">
              <w:rPr>
                <w:sz w:val="20"/>
              </w:rPr>
              <w:t>0-1</w:t>
            </w:r>
          </w:p>
        </w:tc>
        <w:tc>
          <w:tcPr>
            <w:tcW w:w="2008" w:type="dxa"/>
            <w:tcBorders>
              <w:top w:val="single" w:sz="4" w:space="0" w:color="auto"/>
            </w:tcBorders>
            <w:shd w:val="clear" w:color="auto" w:fill="FFFFFF"/>
            <w:vAlign w:val="center"/>
          </w:tcPr>
          <w:p w14:paraId="6DC267BE" w14:textId="77777777" w:rsidR="00B834A2" w:rsidRPr="003C2850" w:rsidRDefault="00B834A2" w:rsidP="000737AD">
            <w:pPr>
              <w:spacing w:after="120"/>
              <w:jc w:val="center"/>
              <w:rPr>
                <w:sz w:val="20"/>
              </w:rPr>
            </w:pPr>
            <w:r w:rsidRPr="003C2850">
              <w:rPr>
                <w:sz w:val="20"/>
              </w:rPr>
              <w:t>55</w:t>
            </w:r>
          </w:p>
        </w:tc>
      </w:tr>
      <w:tr w:rsidR="00B834A2" w:rsidRPr="003C2850" w14:paraId="6D81F883" w14:textId="77777777" w:rsidTr="003C2850">
        <w:trPr>
          <w:jc w:val="center"/>
        </w:trPr>
        <w:tc>
          <w:tcPr>
            <w:tcW w:w="3437" w:type="dxa"/>
            <w:shd w:val="clear" w:color="auto" w:fill="FFFFFF"/>
          </w:tcPr>
          <w:p w14:paraId="2960A9B8" w14:textId="77777777" w:rsidR="00B834A2" w:rsidRPr="003C2850" w:rsidRDefault="00B834A2" w:rsidP="003C2850">
            <w:pPr>
              <w:spacing w:after="120"/>
              <w:jc w:val="both"/>
              <w:rPr>
                <w:sz w:val="20"/>
              </w:rPr>
            </w:pPr>
          </w:p>
        </w:tc>
        <w:tc>
          <w:tcPr>
            <w:tcW w:w="1887" w:type="dxa"/>
            <w:shd w:val="clear" w:color="auto" w:fill="FFFFFF"/>
          </w:tcPr>
          <w:p w14:paraId="7C5BC11F" w14:textId="77777777" w:rsidR="00B834A2" w:rsidRPr="003C2850" w:rsidRDefault="00B834A2" w:rsidP="000737AD">
            <w:pPr>
              <w:spacing w:after="120"/>
              <w:jc w:val="center"/>
              <w:rPr>
                <w:sz w:val="20"/>
              </w:rPr>
            </w:pPr>
            <w:r w:rsidRPr="003C2850">
              <w:rPr>
                <w:sz w:val="20"/>
              </w:rPr>
              <w:t>1-9</w:t>
            </w:r>
          </w:p>
        </w:tc>
        <w:tc>
          <w:tcPr>
            <w:tcW w:w="2008" w:type="dxa"/>
            <w:shd w:val="clear" w:color="auto" w:fill="FFFFFF"/>
            <w:vAlign w:val="bottom"/>
          </w:tcPr>
          <w:p w14:paraId="670CB4D3" w14:textId="77777777" w:rsidR="00B834A2" w:rsidRPr="003C2850" w:rsidRDefault="00B834A2" w:rsidP="000737AD">
            <w:pPr>
              <w:spacing w:after="120"/>
              <w:jc w:val="center"/>
              <w:rPr>
                <w:sz w:val="20"/>
              </w:rPr>
            </w:pPr>
            <w:r w:rsidRPr="003C2850">
              <w:rPr>
                <w:sz w:val="20"/>
              </w:rPr>
              <w:t xml:space="preserve">55 </w:t>
            </w:r>
            <w:r w:rsidRPr="003C2850">
              <w:rPr>
                <w:rFonts w:ascii="Times New Roman" w:hAnsi="Times New Roman" w:cs="Times New Roman"/>
                <w:sz w:val="20"/>
              </w:rPr>
              <w:t>→</w:t>
            </w:r>
            <w:r w:rsidRPr="003C2850">
              <w:rPr>
                <w:sz w:val="20"/>
              </w:rPr>
              <w:t xml:space="preserve"> 135</w:t>
            </w:r>
          </w:p>
        </w:tc>
      </w:tr>
      <w:tr w:rsidR="00B834A2" w:rsidRPr="003C2850" w14:paraId="14CAA793" w14:textId="77777777" w:rsidTr="003C2850">
        <w:trPr>
          <w:jc w:val="center"/>
        </w:trPr>
        <w:tc>
          <w:tcPr>
            <w:tcW w:w="3437" w:type="dxa"/>
            <w:shd w:val="clear" w:color="auto" w:fill="FFFFFF"/>
            <w:vAlign w:val="bottom"/>
          </w:tcPr>
          <w:p w14:paraId="2E27AF14" w14:textId="77777777" w:rsidR="00B834A2" w:rsidRPr="003C2850" w:rsidRDefault="00B834A2" w:rsidP="003C2850">
            <w:pPr>
              <w:spacing w:after="120"/>
              <w:jc w:val="both"/>
              <w:rPr>
                <w:sz w:val="20"/>
              </w:rPr>
            </w:pPr>
            <w:r w:rsidRPr="003C2850">
              <w:rPr>
                <w:sz w:val="20"/>
              </w:rPr>
              <w:t>Փորձանմուշների ներմուծման բլոկը</w:t>
            </w:r>
          </w:p>
        </w:tc>
        <w:tc>
          <w:tcPr>
            <w:tcW w:w="1887" w:type="dxa"/>
            <w:shd w:val="clear" w:color="auto" w:fill="FFFFFF"/>
          </w:tcPr>
          <w:p w14:paraId="437464E9" w14:textId="77777777" w:rsidR="00B834A2" w:rsidRPr="003C2850" w:rsidRDefault="00B834A2" w:rsidP="003C2850">
            <w:pPr>
              <w:spacing w:after="120"/>
              <w:jc w:val="both"/>
              <w:rPr>
                <w:sz w:val="20"/>
              </w:rPr>
            </w:pPr>
          </w:p>
        </w:tc>
        <w:tc>
          <w:tcPr>
            <w:tcW w:w="2008" w:type="dxa"/>
            <w:shd w:val="clear" w:color="auto" w:fill="FFFFFF"/>
            <w:vAlign w:val="bottom"/>
          </w:tcPr>
          <w:p w14:paraId="635025E5" w14:textId="77777777" w:rsidR="00B834A2" w:rsidRPr="003C2850" w:rsidRDefault="00B834A2" w:rsidP="000737AD">
            <w:pPr>
              <w:spacing w:after="120"/>
              <w:jc w:val="center"/>
              <w:rPr>
                <w:sz w:val="20"/>
              </w:rPr>
            </w:pPr>
            <w:r w:rsidRPr="003C2850">
              <w:rPr>
                <w:sz w:val="20"/>
              </w:rPr>
              <w:t>240</w:t>
            </w:r>
          </w:p>
        </w:tc>
      </w:tr>
      <w:tr w:rsidR="00B834A2" w:rsidRPr="003C2850" w14:paraId="7E88C6FB" w14:textId="77777777" w:rsidTr="003C2850">
        <w:trPr>
          <w:jc w:val="center"/>
        </w:trPr>
        <w:tc>
          <w:tcPr>
            <w:tcW w:w="5324" w:type="dxa"/>
            <w:gridSpan w:val="2"/>
            <w:shd w:val="clear" w:color="auto" w:fill="FFFFFF"/>
            <w:vAlign w:val="center"/>
          </w:tcPr>
          <w:p w14:paraId="3D8B5CAA" w14:textId="77777777" w:rsidR="00B834A2" w:rsidRPr="003C2850" w:rsidRDefault="00B834A2" w:rsidP="003C2850">
            <w:pPr>
              <w:spacing w:after="120"/>
              <w:jc w:val="both"/>
              <w:rPr>
                <w:sz w:val="20"/>
              </w:rPr>
            </w:pPr>
            <w:r w:rsidRPr="003C2850">
              <w:rPr>
                <w:sz w:val="20"/>
              </w:rPr>
              <w:t>Դետեկտորը՝ ավտոմատ գիծ</w:t>
            </w:r>
          </w:p>
        </w:tc>
        <w:tc>
          <w:tcPr>
            <w:tcW w:w="2008" w:type="dxa"/>
            <w:shd w:val="clear" w:color="auto" w:fill="FFFFFF"/>
            <w:vAlign w:val="center"/>
          </w:tcPr>
          <w:p w14:paraId="266EAA52" w14:textId="77777777" w:rsidR="00B834A2" w:rsidRPr="003C2850" w:rsidRDefault="00B834A2" w:rsidP="000737AD">
            <w:pPr>
              <w:spacing w:after="120"/>
              <w:jc w:val="center"/>
              <w:rPr>
                <w:sz w:val="20"/>
              </w:rPr>
            </w:pPr>
            <w:r w:rsidRPr="003C2850">
              <w:rPr>
                <w:sz w:val="20"/>
              </w:rPr>
              <w:t>280</w:t>
            </w:r>
          </w:p>
        </w:tc>
      </w:tr>
      <w:tr w:rsidR="00B834A2" w:rsidRPr="003C2850" w14:paraId="4D093CAF" w14:textId="77777777" w:rsidTr="003C2850">
        <w:trPr>
          <w:jc w:val="center"/>
        </w:trPr>
        <w:tc>
          <w:tcPr>
            <w:tcW w:w="5324" w:type="dxa"/>
            <w:gridSpan w:val="2"/>
            <w:shd w:val="clear" w:color="auto" w:fill="FFFFFF"/>
            <w:vAlign w:val="bottom"/>
          </w:tcPr>
          <w:p w14:paraId="6046780E" w14:textId="77777777" w:rsidR="00B834A2" w:rsidRPr="003C2850" w:rsidRDefault="00B834A2" w:rsidP="000737AD">
            <w:pPr>
              <w:spacing w:after="120"/>
              <w:jc w:val="center"/>
              <w:rPr>
                <w:sz w:val="20"/>
              </w:rPr>
            </w:pPr>
            <w:r w:rsidRPr="003C2850">
              <w:rPr>
                <w:sz w:val="20"/>
              </w:rPr>
              <w:t>ԱՂԲՅՈՒՐԸ</w:t>
            </w:r>
          </w:p>
        </w:tc>
        <w:tc>
          <w:tcPr>
            <w:tcW w:w="2008" w:type="dxa"/>
            <w:shd w:val="clear" w:color="auto" w:fill="FFFFFF"/>
            <w:vAlign w:val="bottom"/>
          </w:tcPr>
          <w:p w14:paraId="0A788815" w14:textId="77777777" w:rsidR="00B834A2" w:rsidRPr="003C2850" w:rsidRDefault="00B834A2" w:rsidP="000737AD">
            <w:pPr>
              <w:spacing w:after="120"/>
              <w:jc w:val="center"/>
              <w:rPr>
                <w:sz w:val="20"/>
              </w:rPr>
            </w:pPr>
            <w:r w:rsidRPr="003C2850">
              <w:rPr>
                <w:sz w:val="20"/>
              </w:rPr>
              <w:t>230</w:t>
            </w:r>
          </w:p>
        </w:tc>
      </w:tr>
      <w:tr w:rsidR="00B834A2" w:rsidRPr="003C2850" w14:paraId="3CE31D51" w14:textId="77777777" w:rsidTr="00935A95">
        <w:trPr>
          <w:jc w:val="center"/>
        </w:trPr>
        <w:tc>
          <w:tcPr>
            <w:tcW w:w="5324" w:type="dxa"/>
            <w:gridSpan w:val="2"/>
            <w:tcBorders>
              <w:bottom w:val="single" w:sz="8" w:space="0" w:color="auto"/>
            </w:tcBorders>
            <w:shd w:val="clear" w:color="auto" w:fill="FFFFFF"/>
            <w:vAlign w:val="bottom"/>
          </w:tcPr>
          <w:p w14:paraId="7669E21C" w14:textId="77777777" w:rsidR="00B834A2" w:rsidRPr="003C2850" w:rsidRDefault="00B834A2" w:rsidP="000737AD">
            <w:pPr>
              <w:spacing w:after="120"/>
              <w:jc w:val="center"/>
              <w:rPr>
                <w:sz w:val="20"/>
              </w:rPr>
            </w:pPr>
            <w:r w:rsidRPr="003C2850">
              <w:rPr>
                <w:sz w:val="20"/>
              </w:rPr>
              <w:t>անալիզարարը</w:t>
            </w:r>
          </w:p>
        </w:tc>
        <w:tc>
          <w:tcPr>
            <w:tcW w:w="2008" w:type="dxa"/>
            <w:tcBorders>
              <w:bottom w:val="single" w:sz="8" w:space="0" w:color="auto"/>
            </w:tcBorders>
            <w:shd w:val="clear" w:color="auto" w:fill="FFFFFF"/>
            <w:vAlign w:val="bottom"/>
          </w:tcPr>
          <w:p w14:paraId="57143286" w14:textId="77777777" w:rsidR="00B834A2" w:rsidRPr="003C2850" w:rsidRDefault="00B834A2" w:rsidP="000737AD">
            <w:pPr>
              <w:spacing w:after="120"/>
              <w:jc w:val="center"/>
              <w:rPr>
                <w:sz w:val="20"/>
              </w:rPr>
            </w:pPr>
            <w:r w:rsidRPr="003C2850">
              <w:rPr>
                <w:sz w:val="20"/>
              </w:rPr>
              <w:t>150</w:t>
            </w:r>
          </w:p>
        </w:tc>
      </w:tr>
    </w:tbl>
    <w:p w14:paraId="6FE86FB5" w14:textId="77777777" w:rsidR="00B834A2" w:rsidRPr="00B834A2" w:rsidRDefault="00B834A2" w:rsidP="00B834A2">
      <w:pPr>
        <w:spacing w:after="160" w:line="360" w:lineRule="auto"/>
        <w:jc w:val="both"/>
      </w:pPr>
    </w:p>
    <w:p w14:paraId="4312774D"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0737AD">
        <w:rPr>
          <w:i/>
        </w:rPr>
        <w:t>դետեկտորը</w:t>
      </w:r>
      <w:r w:rsidRPr="00B834A2">
        <w:t>՝ զանգվածասպեկտրաչափական՝ ստոր</w:t>
      </w:r>
      <w:r>
        <w:t>եւ</w:t>
      </w:r>
      <w:r w:rsidRPr="00B834A2">
        <w:t xml:space="preserve"> նկարագրված, համակարգի պիտանիության չափորոշիչներին համապատասխանության համար ճշգրտում են դետեկտորի սարքաբերումը.</w:t>
      </w:r>
    </w:p>
    <w:p w14:paraId="3677AB40" w14:textId="77777777" w:rsidR="00B834A2" w:rsidRPr="00097504" w:rsidRDefault="00B834A2" w:rsidP="003C2850">
      <w:pPr>
        <w:tabs>
          <w:tab w:val="left" w:pos="1134"/>
        </w:tabs>
        <w:spacing w:after="160" w:line="360" w:lineRule="auto"/>
        <w:ind w:firstLine="567"/>
        <w:jc w:val="both"/>
      </w:pPr>
      <w:r w:rsidRPr="00B834A2">
        <w:t>-</w:t>
      </w:r>
      <w:r w:rsidR="003C2850" w:rsidRPr="003C2850">
        <w:tab/>
      </w:r>
      <w:r w:rsidRPr="00B834A2">
        <w:t>քառաբ</w:t>
      </w:r>
      <w:r>
        <w:t>եւ</w:t>
      </w:r>
      <w:r w:rsidRPr="00B834A2">
        <w:t>եռ զանգվածասպեկտրաչափը՝ (70 էՎ) էլեկտրոնային հարվածով իոնացման համակարգով համալրված.</w:t>
      </w:r>
    </w:p>
    <w:p w14:paraId="27F18DC5" w14:textId="77777777" w:rsidR="00B834A2" w:rsidRPr="00B834A2" w:rsidRDefault="00B834A2" w:rsidP="003C2850">
      <w:pPr>
        <w:tabs>
          <w:tab w:val="left" w:pos="1134"/>
        </w:tabs>
        <w:spacing w:after="160" w:line="360" w:lineRule="auto"/>
        <w:ind w:firstLine="567"/>
        <w:jc w:val="both"/>
      </w:pPr>
      <w:r w:rsidRPr="00B834A2">
        <w:t>-</w:t>
      </w:r>
      <w:r w:rsidR="003C2850" w:rsidRPr="003C2850">
        <w:tab/>
      </w:r>
      <w:r w:rsidRPr="00B834A2">
        <w:t>ֆրագմենտաչափության (միաիոն մոնիթորինգ) ռեժիմի համար զանգվածասպեկտրաչափի պարամետրերը սահմանում են հետ</w:t>
      </w:r>
      <w:r>
        <w:t>եւ</w:t>
      </w:r>
      <w:r w:rsidRPr="00B834A2">
        <w:t>յալ կերպ.</w:t>
      </w:r>
    </w:p>
    <w:tbl>
      <w:tblPr>
        <w:tblOverlap w:val="never"/>
        <w:tblW w:w="7863" w:type="dxa"/>
        <w:jc w:val="center"/>
        <w:tblLayout w:type="fixed"/>
        <w:tblCellMar>
          <w:left w:w="10" w:type="dxa"/>
          <w:right w:w="10" w:type="dxa"/>
        </w:tblCellMar>
        <w:tblLook w:val="04A0" w:firstRow="1" w:lastRow="0" w:firstColumn="1" w:lastColumn="0" w:noHBand="0" w:noVBand="1"/>
      </w:tblPr>
      <w:tblGrid>
        <w:gridCol w:w="3469"/>
        <w:gridCol w:w="1559"/>
        <w:gridCol w:w="2835"/>
      </w:tblGrid>
      <w:tr w:rsidR="00B834A2" w:rsidRPr="003C2850" w14:paraId="566FDDC7" w14:textId="77777777" w:rsidTr="002F26C7">
        <w:trPr>
          <w:jc w:val="center"/>
        </w:trPr>
        <w:tc>
          <w:tcPr>
            <w:tcW w:w="3469" w:type="dxa"/>
            <w:tcBorders>
              <w:top w:val="single" w:sz="4" w:space="0" w:color="auto"/>
            </w:tcBorders>
            <w:shd w:val="clear" w:color="auto" w:fill="FFFFFF"/>
            <w:vAlign w:val="center"/>
          </w:tcPr>
          <w:p w14:paraId="78D87809" w14:textId="77777777" w:rsidR="00B834A2" w:rsidRPr="003C2850" w:rsidRDefault="00B834A2" w:rsidP="003C2850">
            <w:pPr>
              <w:spacing w:after="120"/>
              <w:jc w:val="both"/>
              <w:rPr>
                <w:sz w:val="20"/>
              </w:rPr>
            </w:pPr>
            <w:r w:rsidRPr="003C2850">
              <w:rPr>
                <w:sz w:val="20"/>
              </w:rPr>
              <w:t>Նյութը</w:t>
            </w:r>
          </w:p>
        </w:tc>
        <w:tc>
          <w:tcPr>
            <w:tcW w:w="1559" w:type="dxa"/>
            <w:tcBorders>
              <w:top w:val="single" w:sz="4" w:space="0" w:color="auto"/>
            </w:tcBorders>
            <w:shd w:val="clear" w:color="auto" w:fill="FFFFFF"/>
            <w:vAlign w:val="center"/>
          </w:tcPr>
          <w:p w14:paraId="2381D753" w14:textId="77777777" w:rsidR="00B834A2" w:rsidRPr="003C2850" w:rsidRDefault="00B834A2" w:rsidP="002F26C7">
            <w:pPr>
              <w:spacing w:after="120"/>
              <w:jc w:val="center"/>
              <w:rPr>
                <w:sz w:val="20"/>
              </w:rPr>
            </w:pPr>
            <w:r w:rsidRPr="003C2850">
              <w:rPr>
                <w:sz w:val="20"/>
              </w:rPr>
              <w:t>զանգված/լիցք</w:t>
            </w:r>
          </w:p>
        </w:tc>
        <w:tc>
          <w:tcPr>
            <w:tcW w:w="2835" w:type="dxa"/>
            <w:tcBorders>
              <w:top w:val="single" w:sz="4" w:space="0" w:color="auto"/>
            </w:tcBorders>
            <w:shd w:val="clear" w:color="auto" w:fill="FFFFFF"/>
            <w:vAlign w:val="bottom"/>
          </w:tcPr>
          <w:p w14:paraId="472E4DEA" w14:textId="77777777" w:rsidR="00B834A2" w:rsidRPr="003C2850" w:rsidRDefault="00B834A2" w:rsidP="002F26C7">
            <w:pPr>
              <w:spacing w:after="120"/>
              <w:jc w:val="center"/>
              <w:rPr>
                <w:sz w:val="20"/>
              </w:rPr>
            </w:pPr>
            <w:r w:rsidRPr="003C2850">
              <w:rPr>
                <w:sz w:val="20"/>
              </w:rPr>
              <w:t>Մոնիթորինգի տեւողությունը</w:t>
            </w:r>
          </w:p>
        </w:tc>
      </w:tr>
      <w:tr w:rsidR="00B834A2" w:rsidRPr="003C2850" w14:paraId="5D157CF8" w14:textId="77777777" w:rsidTr="002F26C7">
        <w:trPr>
          <w:jc w:val="center"/>
        </w:trPr>
        <w:tc>
          <w:tcPr>
            <w:tcW w:w="3469" w:type="dxa"/>
            <w:tcBorders>
              <w:top w:val="single" w:sz="4" w:space="0" w:color="auto"/>
            </w:tcBorders>
            <w:shd w:val="clear" w:color="auto" w:fill="FFFFFF"/>
            <w:vAlign w:val="bottom"/>
          </w:tcPr>
          <w:p w14:paraId="1C9BF7FB" w14:textId="77777777" w:rsidR="00B834A2" w:rsidRPr="003C2850" w:rsidRDefault="00B834A2" w:rsidP="005520A4">
            <w:pPr>
              <w:spacing w:after="120"/>
              <w:jc w:val="both"/>
              <w:rPr>
                <w:sz w:val="20"/>
              </w:rPr>
            </w:pPr>
            <w:r w:rsidRPr="003C2850">
              <w:rPr>
                <w:sz w:val="20"/>
              </w:rPr>
              <w:t>Բութիլ-մեթանսուլֆոնատ(ԲՄՍ)</w:t>
            </w:r>
          </w:p>
        </w:tc>
        <w:tc>
          <w:tcPr>
            <w:tcW w:w="1559" w:type="dxa"/>
            <w:tcBorders>
              <w:top w:val="single" w:sz="4" w:space="0" w:color="auto"/>
            </w:tcBorders>
            <w:shd w:val="clear" w:color="auto" w:fill="FFFFFF"/>
          </w:tcPr>
          <w:p w14:paraId="2685261C" w14:textId="77777777" w:rsidR="00B834A2" w:rsidRPr="003C2850" w:rsidRDefault="00B834A2" w:rsidP="005520A4">
            <w:pPr>
              <w:spacing w:after="120"/>
              <w:jc w:val="center"/>
              <w:rPr>
                <w:sz w:val="20"/>
              </w:rPr>
            </w:pPr>
            <w:r w:rsidRPr="003C2850">
              <w:rPr>
                <w:sz w:val="20"/>
              </w:rPr>
              <w:t>56</w:t>
            </w:r>
          </w:p>
        </w:tc>
        <w:tc>
          <w:tcPr>
            <w:tcW w:w="2835" w:type="dxa"/>
            <w:tcBorders>
              <w:top w:val="single" w:sz="4" w:space="0" w:color="auto"/>
            </w:tcBorders>
            <w:shd w:val="clear" w:color="auto" w:fill="FFFFFF"/>
          </w:tcPr>
          <w:p w14:paraId="5D13D66A" w14:textId="77777777" w:rsidR="00B834A2" w:rsidRPr="003C2850" w:rsidRDefault="00B834A2" w:rsidP="005520A4">
            <w:pPr>
              <w:spacing w:after="120"/>
              <w:jc w:val="center"/>
              <w:rPr>
                <w:sz w:val="20"/>
              </w:rPr>
            </w:pPr>
            <w:r w:rsidRPr="005520A4">
              <w:rPr>
                <w:i/>
                <w:sz w:val="20"/>
              </w:rPr>
              <w:t>t</w:t>
            </w:r>
            <w:r w:rsidRPr="005520A4">
              <w:rPr>
                <w:i/>
                <w:sz w:val="20"/>
                <w:vertAlign w:val="subscript"/>
              </w:rPr>
              <w:t>R</w:t>
            </w:r>
            <w:r w:rsidRPr="005520A4">
              <w:rPr>
                <w:i/>
                <w:sz w:val="20"/>
              </w:rPr>
              <w:t>՝</w:t>
            </w:r>
            <w:r w:rsidRPr="003C2850">
              <w:rPr>
                <w:sz w:val="20"/>
              </w:rPr>
              <w:t xml:space="preserve"> 7,0-9,0 րոպե</w:t>
            </w:r>
          </w:p>
        </w:tc>
      </w:tr>
      <w:tr w:rsidR="00B834A2" w:rsidRPr="003C2850" w14:paraId="7AB47245" w14:textId="77777777" w:rsidTr="002F26C7">
        <w:trPr>
          <w:jc w:val="center"/>
        </w:trPr>
        <w:tc>
          <w:tcPr>
            <w:tcW w:w="3469" w:type="dxa"/>
            <w:shd w:val="clear" w:color="auto" w:fill="FFFFFF"/>
            <w:vAlign w:val="bottom"/>
          </w:tcPr>
          <w:p w14:paraId="1C68157B" w14:textId="77777777" w:rsidR="00B834A2" w:rsidRPr="003C2850" w:rsidRDefault="00B834A2" w:rsidP="005520A4">
            <w:pPr>
              <w:spacing w:after="120"/>
              <w:jc w:val="both"/>
              <w:rPr>
                <w:sz w:val="20"/>
              </w:rPr>
            </w:pPr>
            <w:r w:rsidRPr="003C2850">
              <w:rPr>
                <w:sz w:val="20"/>
              </w:rPr>
              <w:t>Մեթիլ-մեթանսուլֆոնատ(ՄՄՍ)</w:t>
            </w:r>
          </w:p>
        </w:tc>
        <w:tc>
          <w:tcPr>
            <w:tcW w:w="1559" w:type="dxa"/>
            <w:shd w:val="clear" w:color="auto" w:fill="FFFFFF"/>
            <w:vAlign w:val="center"/>
          </w:tcPr>
          <w:p w14:paraId="600CCBED" w14:textId="77777777" w:rsidR="00B834A2" w:rsidRPr="003C2850" w:rsidRDefault="00B834A2" w:rsidP="005520A4">
            <w:pPr>
              <w:spacing w:after="120"/>
              <w:jc w:val="center"/>
              <w:rPr>
                <w:sz w:val="20"/>
              </w:rPr>
            </w:pPr>
            <w:r w:rsidRPr="003C2850">
              <w:rPr>
                <w:sz w:val="20"/>
              </w:rPr>
              <w:t>80</w:t>
            </w:r>
          </w:p>
        </w:tc>
        <w:tc>
          <w:tcPr>
            <w:tcW w:w="2835" w:type="dxa"/>
            <w:shd w:val="clear" w:color="auto" w:fill="FFFFFF"/>
          </w:tcPr>
          <w:p w14:paraId="65F81E6F" w14:textId="77777777" w:rsidR="00B834A2" w:rsidRPr="003C2850" w:rsidRDefault="00B834A2" w:rsidP="005520A4">
            <w:pPr>
              <w:spacing w:after="120"/>
              <w:jc w:val="center"/>
              <w:rPr>
                <w:sz w:val="20"/>
              </w:rPr>
            </w:pPr>
            <w:r w:rsidRPr="005520A4">
              <w:rPr>
                <w:i/>
                <w:sz w:val="20"/>
              </w:rPr>
              <w:t>t</w:t>
            </w:r>
            <w:r w:rsidRPr="005520A4">
              <w:rPr>
                <w:i/>
                <w:sz w:val="20"/>
                <w:vertAlign w:val="subscript"/>
              </w:rPr>
              <w:t>R</w:t>
            </w:r>
            <w:r w:rsidRPr="003C2850">
              <w:rPr>
                <w:sz w:val="20"/>
              </w:rPr>
              <w:t>՝ 2,0-3,5 րոպե</w:t>
            </w:r>
          </w:p>
        </w:tc>
      </w:tr>
      <w:tr w:rsidR="00B834A2" w:rsidRPr="003C2850" w14:paraId="2AB58315" w14:textId="77777777" w:rsidTr="002F26C7">
        <w:trPr>
          <w:jc w:val="center"/>
        </w:trPr>
        <w:tc>
          <w:tcPr>
            <w:tcW w:w="3469" w:type="dxa"/>
            <w:shd w:val="clear" w:color="auto" w:fill="FFFFFF"/>
            <w:vAlign w:val="bottom"/>
          </w:tcPr>
          <w:p w14:paraId="7790BB1F" w14:textId="77777777" w:rsidR="00B834A2" w:rsidRPr="003C2850" w:rsidRDefault="00B834A2" w:rsidP="005520A4">
            <w:pPr>
              <w:spacing w:after="120"/>
              <w:jc w:val="both"/>
              <w:rPr>
                <w:sz w:val="20"/>
              </w:rPr>
            </w:pPr>
            <w:r w:rsidRPr="003C2850">
              <w:rPr>
                <w:sz w:val="20"/>
              </w:rPr>
              <w:t>Էթիլ-մեթանսուլֆոնատ(ԷՄՍ)</w:t>
            </w:r>
          </w:p>
        </w:tc>
        <w:tc>
          <w:tcPr>
            <w:tcW w:w="1559" w:type="dxa"/>
            <w:shd w:val="clear" w:color="auto" w:fill="FFFFFF"/>
            <w:vAlign w:val="center"/>
          </w:tcPr>
          <w:p w14:paraId="0667906C" w14:textId="77777777" w:rsidR="00B834A2" w:rsidRPr="003C2850" w:rsidRDefault="00B834A2" w:rsidP="005520A4">
            <w:pPr>
              <w:spacing w:after="120"/>
              <w:jc w:val="center"/>
              <w:rPr>
                <w:sz w:val="20"/>
              </w:rPr>
            </w:pPr>
            <w:r w:rsidRPr="003C2850">
              <w:rPr>
                <w:sz w:val="20"/>
              </w:rPr>
              <w:t>79</w:t>
            </w:r>
          </w:p>
        </w:tc>
        <w:tc>
          <w:tcPr>
            <w:tcW w:w="2835" w:type="dxa"/>
            <w:shd w:val="clear" w:color="auto" w:fill="FFFFFF"/>
          </w:tcPr>
          <w:p w14:paraId="4E1C31F6" w14:textId="77777777" w:rsidR="00B834A2" w:rsidRPr="003C2850" w:rsidRDefault="00B834A2" w:rsidP="005520A4">
            <w:pPr>
              <w:spacing w:after="120"/>
              <w:jc w:val="center"/>
              <w:rPr>
                <w:sz w:val="20"/>
              </w:rPr>
            </w:pPr>
            <w:r w:rsidRPr="005520A4">
              <w:rPr>
                <w:i/>
                <w:sz w:val="20"/>
              </w:rPr>
              <w:t>t</w:t>
            </w:r>
            <w:r w:rsidRPr="005520A4">
              <w:rPr>
                <w:i/>
                <w:sz w:val="20"/>
                <w:vertAlign w:val="subscript"/>
              </w:rPr>
              <w:t>R</w:t>
            </w:r>
            <w:r w:rsidRPr="003C2850">
              <w:rPr>
                <w:sz w:val="20"/>
              </w:rPr>
              <w:t>՝ 4,0-4,7 րոպե</w:t>
            </w:r>
          </w:p>
        </w:tc>
      </w:tr>
      <w:tr w:rsidR="00B834A2" w:rsidRPr="003C2850" w14:paraId="3C69F26F" w14:textId="77777777" w:rsidTr="002F26C7">
        <w:trPr>
          <w:jc w:val="center"/>
        </w:trPr>
        <w:tc>
          <w:tcPr>
            <w:tcW w:w="3469" w:type="dxa"/>
            <w:shd w:val="clear" w:color="auto" w:fill="FFFFFF"/>
            <w:vAlign w:val="bottom"/>
          </w:tcPr>
          <w:p w14:paraId="107298DE" w14:textId="77777777" w:rsidR="00B834A2" w:rsidRPr="003C2850" w:rsidRDefault="00B834A2" w:rsidP="003C2850">
            <w:pPr>
              <w:spacing w:after="120"/>
              <w:jc w:val="both"/>
              <w:rPr>
                <w:sz w:val="20"/>
              </w:rPr>
            </w:pPr>
            <w:r w:rsidRPr="003C2850">
              <w:rPr>
                <w:sz w:val="20"/>
              </w:rPr>
              <w:t>Իզոպրոպիլ-մեթանսուլֆոնատ (ԻՄՍ)</w:t>
            </w:r>
          </w:p>
        </w:tc>
        <w:tc>
          <w:tcPr>
            <w:tcW w:w="1559" w:type="dxa"/>
            <w:shd w:val="clear" w:color="auto" w:fill="FFFFFF"/>
          </w:tcPr>
          <w:p w14:paraId="175F4721" w14:textId="77777777" w:rsidR="00B834A2" w:rsidRPr="003C2850" w:rsidRDefault="00B834A2" w:rsidP="005520A4">
            <w:pPr>
              <w:spacing w:after="120"/>
              <w:jc w:val="center"/>
              <w:rPr>
                <w:sz w:val="20"/>
              </w:rPr>
            </w:pPr>
            <w:r w:rsidRPr="003C2850">
              <w:rPr>
                <w:sz w:val="20"/>
              </w:rPr>
              <w:t>123</w:t>
            </w:r>
          </w:p>
        </w:tc>
        <w:tc>
          <w:tcPr>
            <w:tcW w:w="2835" w:type="dxa"/>
            <w:shd w:val="clear" w:color="auto" w:fill="FFFFFF"/>
          </w:tcPr>
          <w:p w14:paraId="3D388598" w14:textId="77777777" w:rsidR="00B834A2" w:rsidRPr="003C2850" w:rsidRDefault="00B834A2" w:rsidP="005520A4">
            <w:pPr>
              <w:spacing w:after="120"/>
              <w:jc w:val="center"/>
              <w:rPr>
                <w:sz w:val="20"/>
              </w:rPr>
            </w:pPr>
            <w:r w:rsidRPr="005520A4">
              <w:rPr>
                <w:i/>
                <w:sz w:val="20"/>
              </w:rPr>
              <w:t>t</w:t>
            </w:r>
            <w:r w:rsidRPr="005520A4">
              <w:rPr>
                <w:i/>
                <w:sz w:val="20"/>
                <w:vertAlign w:val="subscript"/>
              </w:rPr>
              <w:t>R</w:t>
            </w:r>
            <w:r w:rsidRPr="005520A4">
              <w:rPr>
                <w:i/>
                <w:sz w:val="20"/>
              </w:rPr>
              <w:t>՝</w:t>
            </w:r>
            <w:r w:rsidRPr="003C2850">
              <w:rPr>
                <w:sz w:val="20"/>
              </w:rPr>
              <w:t xml:space="preserve"> 4,7-5,5 րոպե</w:t>
            </w:r>
          </w:p>
        </w:tc>
      </w:tr>
    </w:tbl>
    <w:p w14:paraId="47865A79" w14:textId="77777777" w:rsidR="00B834A2" w:rsidRPr="00AB4241" w:rsidRDefault="00B834A2" w:rsidP="00AB4241">
      <w:pPr>
        <w:spacing w:after="120"/>
        <w:jc w:val="both"/>
        <w:rPr>
          <w:sz w:val="20"/>
        </w:rPr>
      </w:pPr>
    </w:p>
    <w:p w14:paraId="0849BF1C" w14:textId="77777777" w:rsidR="00B834A2" w:rsidRPr="00B834A2" w:rsidRDefault="00B834A2" w:rsidP="00AB4241">
      <w:pPr>
        <w:tabs>
          <w:tab w:val="left" w:pos="1134"/>
        </w:tabs>
        <w:spacing w:after="160" w:line="336" w:lineRule="auto"/>
        <w:ind w:firstLine="567"/>
        <w:jc w:val="both"/>
      </w:pPr>
      <w:r w:rsidRPr="00B834A2">
        <w:t>-</w:t>
      </w:r>
      <w:r w:rsidR="003C2850" w:rsidRPr="003C2850">
        <w:tab/>
      </w:r>
      <w:r w:rsidRPr="005520A4">
        <w:rPr>
          <w:i/>
        </w:rPr>
        <w:t>ներմուծվող փորձանմուշի ծավալը՝</w:t>
      </w:r>
      <w:r w:rsidRPr="00B834A2">
        <w:t xml:space="preserve"> 2 մկլ</w:t>
      </w:r>
    </w:p>
    <w:p w14:paraId="10353EE9" w14:textId="77777777" w:rsidR="00B834A2" w:rsidRPr="00B834A2" w:rsidRDefault="00B834A2" w:rsidP="00AB4241">
      <w:pPr>
        <w:spacing w:after="160" w:line="336" w:lineRule="auto"/>
        <w:ind w:firstLine="567"/>
        <w:jc w:val="both"/>
      </w:pPr>
      <w:r w:rsidRPr="005520A4">
        <w:rPr>
          <w:i/>
          <w:spacing w:val="-4"/>
        </w:rPr>
        <w:t>Հարաբերական պահումը</w:t>
      </w:r>
      <w:r w:rsidRPr="003C2850">
        <w:rPr>
          <w:spacing w:val="-4"/>
        </w:rPr>
        <w:t xml:space="preserve"> (ԲՄՍ-ի պահման ժամանակը՝ մոտավորապես 7,6</w:t>
      </w:r>
      <w:r w:rsidR="00F076B2" w:rsidRPr="00F076B2">
        <w:rPr>
          <w:spacing w:val="-4"/>
        </w:rPr>
        <w:t> </w:t>
      </w:r>
      <w:r w:rsidRPr="003C2850">
        <w:rPr>
          <w:spacing w:val="-4"/>
        </w:rPr>
        <w:t>րոպե</w:t>
      </w:r>
      <w:r w:rsidRPr="00F076B2">
        <w:t>). ՄՄՍ-ի՝ մոտավորապես 0,3 րոպե. ԷՄՍ-ի՝ մոտավորապես 0,5 րոպե. ԻՄՍ-ի՝ մոտավորապես</w:t>
      </w:r>
      <w:r w:rsidRPr="00B834A2">
        <w:t xml:space="preserve"> 0,6 րոպե։</w:t>
      </w:r>
    </w:p>
    <w:p w14:paraId="65BB2AC9" w14:textId="77777777" w:rsidR="00B834A2" w:rsidRPr="005520A4" w:rsidRDefault="00B834A2" w:rsidP="00AB4241">
      <w:pPr>
        <w:spacing w:after="160" w:line="336" w:lineRule="auto"/>
        <w:ind w:firstLine="567"/>
        <w:jc w:val="both"/>
        <w:rPr>
          <w:i/>
        </w:rPr>
      </w:pPr>
      <w:r w:rsidRPr="005520A4">
        <w:rPr>
          <w:i/>
        </w:rPr>
        <w:t>Քրոմատագրման համակարգի պիտանիությունը՝</w:t>
      </w:r>
    </w:p>
    <w:p w14:paraId="58655F6C" w14:textId="77777777" w:rsidR="00B834A2" w:rsidRPr="00B834A2" w:rsidRDefault="00B834A2" w:rsidP="00AB4241">
      <w:pPr>
        <w:tabs>
          <w:tab w:val="left" w:pos="1134"/>
        </w:tabs>
        <w:spacing w:after="160" w:line="336" w:lineRule="auto"/>
        <w:ind w:firstLine="567"/>
        <w:jc w:val="both"/>
      </w:pPr>
      <w:r w:rsidRPr="00B834A2">
        <w:t>-</w:t>
      </w:r>
      <w:r w:rsidR="003C2850" w:rsidRPr="003C2850">
        <w:tab/>
      </w:r>
      <w:r w:rsidRPr="005520A4">
        <w:rPr>
          <w:i/>
        </w:rPr>
        <w:t>լուծաչափը՝</w:t>
      </w:r>
      <w:r w:rsidRPr="00B834A2">
        <w:t xml:space="preserve"> ԷՄՍ-ի </w:t>
      </w:r>
      <w:r>
        <w:t>եւ</w:t>
      </w:r>
      <w:r w:rsidRPr="00B834A2">
        <w:t xml:space="preserve"> ԻՄՍ-ի պիկերի միջ</w:t>
      </w:r>
      <w:r>
        <w:t>եւ</w:t>
      </w:r>
      <w:r w:rsidRPr="00B834A2">
        <w:t xml:space="preserve"> առնվազն 3,0՝ (ա) համեմատման լուծույթի քրոմատագրի վրա.</w:t>
      </w:r>
    </w:p>
    <w:p w14:paraId="440A9C7C" w14:textId="77777777" w:rsidR="00B834A2" w:rsidRPr="00B834A2" w:rsidRDefault="00B834A2" w:rsidP="00AB4241">
      <w:pPr>
        <w:tabs>
          <w:tab w:val="left" w:pos="1134"/>
        </w:tabs>
        <w:spacing w:after="160" w:line="336" w:lineRule="auto"/>
        <w:ind w:firstLine="567"/>
        <w:jc w:val="both"/>
      </w:pPr>
      <w:r w:rsidRPr="00B834A2">
        <w:t>-</w:t>
      </w:r>
      <w:r w:rsidR="003C2850" w:rsidRPr="003C2850">
        <w:tab/>
      </w:r>
      <w:r w:rsidRPr="005520A4">
        <w:rPr>
          <w:i/>
        </w:rPr>
        <w:t>ազդանշան/աղմուկ հարաբերակցությունը</w:t>
      </w:r>
      <w:r w:rsidRPr="00B834A2">
        <w:t xml:space="preserve">՝ ՄՄՍ-ի, ԷՄՍ-ի </w:t>
      </w:r>
      <w:r>
        <w:t>եւ</w:t>
      </w:r>
      <w:r w:rsidRPr="00B834A2">
        <w:t xml:space="preserve"> ԻՄՍ-ի պիկերի համար առնվազն 10՝ (բ) համեմատման լուծույթի քրոմատագրի վրա:</w:t>
      </w:r>
    </w:p>
    <w:p w14:paraId="66220A40" w14:textId="77777777" w:rsidR="00B834A2" w:rsidRPr="00B834A2" w:rsidRDefault="00B834A2" w:rsidP="00AB4241">
      <w:pPr>
        <w:spacing w:after="160" w:line="336" w:lineRule="auto"/>
        <w:ind w:firstLine="567"/>
        <w:jc w:val="both"/>
      </w:pPr>
      <w:r w:rsidRPr="00B834A2">
        <w:lastRenderedPageBreak/>
        <w:t>ՄՄՍ-ի, ԷՄՍ-ի կամ ԻՄՍ-ի պարունակությունը՝ միլիոներորդ մասով (ppm), հաշվարկվում է հետ</w:t>
      </w:r>
      <w:r>
        <w:t>եւ</w:t>
      </w:r>
      <w:r w:rsidRPr="00B834A2">
        <w:t>յալ բանաձ</w:t>
      </w:r>
      <w:r>
        <w:t>եւ</w:t>
      </w:r>
      <w:r w:rsidRPr="00B834A2">
        <w:t>ով.</w:t>
      </w:r>
    </w:p>
    <w:p w14:paraId="42F024D9" w14:textId="77777777" w:rsidR="00B834A2" w:rsidRPr="00B834A2" w:rsidRDefault="00000000" w:rsidP="00B834A2">
      <w:pPr>
        <w:spacing w:after="160" w:line="360" w:lineRule="auto"/>
        <w:jc w:val="both"/>
        <w:rPr>
          <w:lang w:val="en-GB"/>
        </w:rPr>
      </w:pPr>
      <m:oMathPara>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r>
                <w:rPr>
                  <w:rFonts w:ascii="Cambria Math" w:hAnsi="Cambria Math"/>
                </w:rPr>
                <m:t>Q</m:t>
              </m:r>
              <m:r>
                <m:rPr>
                  <m:sty m:val="p"/>
                </m:rPr>
                <w:rPr>
                  <w:rFonts w:ascii="Cambria Math" w:hAnsi="Cambria Math"/>
                </w:rPr>
                <m:t>∙0,148</m:t>
              </m:r>
            </m:num>
            <m:den>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r>
                <w:rPr>
                  <w:rFonts w:ascii="Cambria Math" w:hAnsi="Cambria Math"/>
                </w:rPr>
                <m:t>a</m:t>
              </m:r>
            </m:den>
          </m:f>
          <m:r>
            <m:rPr>
              <m:sty m:val="p"/>
            </m:rPr>
            <w:rPr>
              <w:rFonts w:ascii="Cambria Math" w:hAnsi="Cambria Math"/>
            </w:rPr>
            <m:t>,</m:t>
          </m:r>
        </m:oMath>
      </m:oMathPara>
    </w:p>
    <w:p w14:paraId="11C26C61" w14:textId="77777777" w:rsidR="00B834A2" w:rsidRPr="00B834A2" w:rsidRDefault="00B834A2" w:rsidP="003C2850">
      <w:pPr>
        <w:spacing w:after="160" w:line="360" w:lineRule="auto"/>
        <w:ind w:firstLine="567"/>
        <w:jc w:val="both"/>
        <w:rPr>
          <w:lang w:val="en-US"/>
        </w:rPr>
      </w:pPr>
      <w:r w:rsidRPr="00B834A2">
        <w:t xml:space="preserve">որտեղ՝ </w:t>
      </w:r>
    </w:p>
    <w:p w14:paraId="6AC48D04" w14:textId="77777777" w:rsidR="00B834A2" w:rsidRDefault="00B834A2" w:rsidP="003C2850">
      <w:pPr>
        <w:spacing w:after="160" w:line="360" w:lineRule="auto"/>
        <w:ind w:firstLine="567"/>
        <w:jc w:val="both"/>
        <w:rPr>
          <w:lang w:val="en-US"/>
        </w:rPr>
      </w:pPr>
      <w:r w:rsidRPr="005520A4">
        <w:rPr>
          <w:i/>
        </w:rPr>
        <w:t>S</w:t>
      </w:r>
      <w:r w:rsidRPr="005520A4">
        <w:rPr>
          <w:i/>
          <w:vertAlign w:val="subscript"/>
        </w:rPr>
        <w:t>1</w:t>
      </w:r>
      <w:r w:rsidRPr="005520A4">
        <w:rPr>
          <w:i/>
        </w:rPr>
        <w:t>-</w:t>
      </w:r>
      <w:r w:rsidRPr="00B834A2">
        <w:t>ը (ա) համեմատման լուծույթի քրոմատագրի վրա ՄՄՍ-ի, ԷՄՍ-ի կամ ԻՄՍ-ի պիկի մակերեսն է.</w:t>
      </w:r>
    </w:p>
    <w:p w14:paraId="1162D31C" w14:textId="77777777" w:rsidR="00B834A2" w:rsidRPr="00B834A2" w:rsidRDefault="00B834A2" w:rsidP="00AB4241">
      <w:pPr>
        <w:spacing w:after="160" w:line="360" w:lineRule="auto"/>
        <w:ind w:firstLine="567"/>
        <w:jc w:val="both"/>
      </w:pPr>
      <w:r w:rsidRPr="005520A4">
        <w:rPr>
          <w:i/>
          <w:spacing w:val="-4"/>
        </w:rPr>
        <w:t>S</w:t>
      </w:r>
      <w:r w:rsidRPr="005520A4">
        <w:rPr>
          <w:i/>
          <w:spacing w:val="-4"/>
          <w:vertAlign w:val="subscript"/>
        </w:rPr>
        <w:t>2</w:t>
      </w:r>
      <w:r w:rsidRPr="00AB4241">
        <w:rPr>
          <w:spacing w:val="-4"/>
        </w:rPr>
        <w:t>-ը (ա) փորձարկվող լուծույթի քրոմատագրի վրա ՄՄՍ-ի, ԷՄՍ-ի կամ ԻՄՍ-ի պիկի մակերեսն</w:t>
      </w:r>
      <w:r w:rsidRPr="00B834A2">
        <w:t xml:space="preserve"> է.</w:t>
      </w:r>
    </w:p>
    <w:p w14:paraId="17498801" w14:textId="77777777" w:rsidR="00B834A2" w:rsidRPr="00B834A2" w:rsidRDefault="00B834A2" w:rsidP="00AB4241">
      <w:pPr>
        <w:spacing w:after="160" w:line="360" w:lineRule="auto"/>
        <w:ind w:firstLine="567"/>
        <w:jc w:val="both"/>
      </w:pPr>
      <w:r w:rsidRPr="005520A4">
        <w:rPr>
          <w:i/>
        </w:rPr>
        <w:t>Q</w:t>
      </w:r>
      <w:r w:rsidRPr="00B834A2">
        <w:t>-ն ՄՄՍ-ի, ԷՄՍ-ի կամ ԻՄՍ-ի կշռանմուշի մեջ հիմնական նյութի պարունակությունն է՝ տոկոսներով.</w:t>
      </w:r>
    </w:p>
    <w:p w14:paraId="7AF355FE" w14:textId="77777777" w:rsidR="00B834A2" w:rsidRPr="00B834A2" w:rsidRDefault="00B834A2" w:rsidP="00AB4241">
      <w:pPr>
        <w:spacing w:after="160" w:line="360" w:lineRule="auto"/>
        <w:ind w:firstLine="567"/>
        <w:jc w:val="both"/>
      </w:pPr>
      <w:r w:rsidRPr="005520A4">
        <w:rPr>
          <w:i/>
        </w:rPr>
        <w:t>Տ'</w:t>
      </w:r>
      <w:r w:rsidRPr="005520A4">
        <w:rPr>
          <w:i/>
          <w:vertAlign w:val="subscript"/>
        </w:rPr>
        <w:t>1</w:t>
      </w:r>
      <w:r w:rsidRPr="00B834A2">
        <w:t>-ը (ա) համեմատման լուծույթի քրոմատագրի վրա ներքին ստանդարտի պիկի մակերեսն է.</w:t>
      </w:r>
    </w:p>
    <w:p w14:paraId="6436E3FD" w14:textId="77777777" w:rsidR="00B834A2" w:rsidRPr="00B834A2" w:rsidRDefault="00B834A2" w:rsidP="00AB4241">
      <w:pPr>
        <w:spacing w:after="160" w:line="360" w:lineRule="auto"/>
        <w:ind w:firstLine="567"/>
        <w:jc w:val="both"/>
      </w:pPr>
      <w:r w:rsidRPr="005520A4">
        <w:rPr>
          <w:i/>
        </w:rPr>
        <w:t>Տ'</w:t>
      </w:r>
      <w:r w:rsidRPr="005520A4">
        <w:rPr>
          <w:i/>
          <w:vertAlign w:val="subscript"/>
        </w:rPr>
        <w:t>2</w:t>
      </w:r>
      <w:r w:rsidRPr="005520A4">
        <w:rPr>
          <w:i/>
        </w:rPr>
        <w:t>-</w:t>
      </w:r>
      <w:r w:rsidRPr="00B834A2">
        <w:t>ը փորձարկվող լուծույթի քրոմատագրի վրա ներքին ստանդարտի պիկի մակերեսն է.</w:t>
      </w:r>
    </w:p>
    <w:p w14:paraId="28D53E59" w14:textId="77777777" w:rsidR="00B834A2" w:rsidRPr="00B834A2" w:rsidRDefault="00B834A2" w:rsidP="00AB4241">
      <w:pPr>
        <w:spacing w:after="160" w:line="360" w:lineRule="auto"/>
        <w:ind w:firstLine="567"/>
        <w:jc w:val="both"/>
      </w:pPr>
      <w:r w:rsidRPr="005520A4">
        <w:rPr>
          <w:i/>
        </w:rPr>
        <w:t>а</w:t>
      </w:r>
      <w:r w:rsidRPr="005520A4">
        <w:rPr>
          <w:i/>
          <w:vertAlign w:val="subscript"/>
        </w:rPr>
        <w:t>0</w:t>
      </w:r>
      <w:r w:rsidRPr="00B834A2">
        <w:t>-ն (ա) համեմատման լուծույթի պատրաստման համար վերցված ՄՄՍ-ի, ԷՄՍ-ի կամ ԻՄՍ-ի կշռանմուշն է՝ միլիգրամներով.</w:t>
      </w:r>
    </w:p>
    <w:p w14:paraId="17C5A338" w14:textId="77777777" w:rsidR="00B834A2" w:rsidRPr="00B834A2" w:rsidRDefault="00B834A2" w:rsidP="00AB4241">
      <w:pPr>
        <w:spacing w:after="160" w:line="360" w:lineRule="auto"/>
        <w:ind w:firstLine="567"/>
        <w:jc w:val="both"/>
      </w:pPr>
      <w:r w:rsidRPr="005520A4">
        <w:rPr>
          <w:i/>
        </w:rPr>
        <w:t>ա</w:t>
      </w:r>
      <w:r w:rsidRPr="00B834A2">
        <w:t>-ն փորձարկվող լուծույթի պատրաստման համար վերցված փորձարկվող կշռանմուշն է՝ միլիգրամներով.</w:t>
      </w:r>
    </w:p>
    <w:p w14:paraId="14134861" w14:textId="77777777" w:rsidR="00B834A2" w:rsidRPr="00B834A2" w:rsidRDefault="00B834A2" w:rsidP="00AB4241">
      <w:pPr>
        <w:spacing w:after="160" w:line="360" w:lineRule="auto"/>
        <w:ind w:firstLine="567"/>
        <w:jc w:val="both"/>
      </w:pPr>
      <w:r w:rsidRPr="00B834A2">
        <w:t>0,148-ը նոսրացման գործակիցն է:</w:t>
      </w:r>
    </w:p>
    <w:p w14:paraId="42CC6B15" w14:textId="77777777" w:rsidR="00B834A2" w:rsidRPr="005520A4" w:rsidRDefault="00B834A2" w:rsidP="00B834A2">
      <w:pPr>
        <w:spacing w:after="160" w:line="360" w:lineRule="auto"/>
        <w:jc w:val="both"/>
        <w:rPr>
          <w:sz w:val="20"/>
        </w:rPr>
      </w:pPr>
    </w:p>
    <w:p w14:paraId="3734E729" w14:textId="77777777" w:rsidR="008F5B6F" w:rsidRDefault="008F5B6F">
      <w:pPr>
        <w:rPr>
          <w:b/>
          <w:sz w:val="20"/>
        </w:rPr>
      </w:pPr>
      <w:r>
        <w:rPr>
          <w:b/>
          <w:sz w:val="20"/>
        </w:rPr>
        <w:br w:type="page"/>
      </w:r>
    </w:p>
    <w:p w14:paraId="0394E445" w14:textId="77777777" w:rsidR="00B834A2" w:rsidRPr="009217DE" w:rsidRDefault="00B834A2" w:rsidP="008F5B6F">
      <w:pPr>
        <w:spacing w:after="160" w:line="346" w:lineRule="auto"/>
        <w:jc w:val="right"/>
        <w:rPr>
          <w:b/>
          <w:sz w:val="20"/>
        </w:rPr>
      </w:pPr>
      <w:r w:rsidRPr="005520A4">
        <w:rPr>
          <w:b/>
          <w:sz w:val="20"/>
        </w:rPr>
        <w:lastRenderedPageBreak/>
        <w:t>201040035-2022</w:t>
      </w:r>
    </w:p>
    <w:p w14:paraId="0205CC6A" w14:textId="77777777" w:rsidR="005520A4" w:rsidRPr="009217DE" w:rsidRDefault="005520A4" w:rsidP="008F5B6F">
      <w:pPr>
        <w:spacing w:after="120"/>
        <w:jc w:val="right"/>
        <w:rPr>
          <w:b/>
          <w:sz w:val="20"/>
        </w:rPr>
      </w:pPr>
    </w:p>
    <w:p w14:paraId="337FAB77" w14:textId="77777777" w:rsidR="00B834A2" w:rsidRPr="00B834A2" w:rsidRDefault="00B834A2" w:rsidP="008F5B6F">
      <w:pPr>
        <w:tabs>
          <w:tab w:val="left" w:pos="1701"/>
        </w:tabs>
        <w:spacing w:after="160" w:line="346" w:lineRule="auto"/>
        <w:ind w:firstLine="567"/>
        <w:jc w:val="both"/>
        <w:rPr>
          <w:b/>
        </w:rPr>
      </w:pPr>
      <w:r w:rsidRPr="00B834A2">
        <w:rPr>
          <w:b/>
        </w:rPr>
        <w:t>2.1.4.35.</w:t>
      </w:r>
      <w:r w:rsidR="00AB4241" w:rsidRPr="00097504">
        <w:rPr>
          <w:b/>
        </w:rPr>
        <w:tab/>
      </w:r>
      <w:r w:rsidRPr="00B834A2">
        <w:rPr>
          <w:b/>
        </w:rPr>
        <w:t xml:space="preserve">Մեթիլ-, էթիլ- </w:t>
      </w:r>
      <w:r>
        <w:rPr>
          <w:b/>
        </w:rPr>
        <w:t>եւ</w:t>
      </w:r>
      <w:r w:rsidRPr="00B834A2">
        <w:rPr>
          <w:b/>
        </w:rPr>
        <w:t xml:space="preserve"> իզոպրոպիլ-մեթանսուլֆոնատը՝ ակտիվ դեղագործական բաղադրամասերի մեջ</w:t>
      </w:r>
    </w:p>
    <w:p w14:paraId="43E1CD79" w14:textId="77777777" w:rsidR="00B834A2" w:rsidRPr="00B834A2" w:rsidRDefault="00B834A2" w:rsidP="008F5B6F">
      <w:pPr>
        <w:spacing w:after="160" w:line="346" w:lineRule="auto"/>
        <w:ind w:firstLine="567"/>
        <w:jc w:val="both"/>
      </w:pPr>
      <w:r w:rsidRPr="00B834A2">
        <w:t xml:space="preserve">Տվյալ ընդհանուր դեղագրքային հոդվածը տարածվում է բետահիստինի մեզիլատի մեջ մեթիլ-, էթիլ- </w:t>
      </w:r>
      <w:r>
        <w:t>եւ</w:t>
      </w:r>
      <w:r w:rsidRPr="00B834A2">
        <w:t xml:space="preserve"> իզոպրոպիլ-մեթանսուլֆոնատների կոնցենտրացիաների (0,2 ppm-ից մինչ</w:t>
      </w:r>
      <w:r>
        <w:t>եւ</w:t>
      </w:r>
      <w:r w:rsidRPr="00B834A2">
        <w:t xml:space="preserve"> 5 ppm կոնցենտրացիաների ընդգրկույթում) որոշման մեթոդի վրա:</w:t>
      </w:r>
    </w:p>
    <w:p w14:paraId="48947240" w14:textId="77777777" w:rsidR="004D71A7" w:rsidRDefault="00B834A2" w:rsidP="008F5B6F">
      <w:pPr>
        <w:spacing w:after="160" w:line="346" w:lineRule="auto"/>
        <w:ind w:firstLine="567"/>
        <w:jc w:val="both"/>
      </w:pPr>
      <w:r w:rsidRPr="00B834A2">
        <w:t xml:space="preserve">Եթե տվյալ մեթոդը ենթադրվում է կիրառել այլ այնպիսի ակտիվ դեղագործական բաղադրամասերում առկա մեթիլ-, էթիլ- </w:t>
      </w:r>
      <w:r>
        <w:t>եւ</w:t>
      </w:r>
      <w:r w:rsidRPr="00B834A2">
        <w:t xml:space="preserve"> իզոպրոպիլ-մեթանսուլֆոնատների որոշման համար, որոնք պարունակում են մեթիլ-, էթիլ- </w:t>
      </w:r>
      <w:r>
        <w:t>եւ</w:t>
      </w:r>
      <w:r w:rsidRPr="00B834A2">
        <w:t xml:space="preserve"> իզոպրոպիլ-մեթանսուլֆոնատների տարբերվող կոնցենտրացիաներ, փորձարկվող լուծույթի </w:t>
      </w:r>
      <w:r>
        <w:t>եւ</w:t>
      </w:r>
      <w:r w:rsidRPr="00B834A2">
        <w:t xml:space="preserve"> համեմատման լուծույթի կոնցենտրացիան պետք է համապատասխան կերպով ճշգրտվի, </w:t>
      </w:r>
      <w:r>
        <w:t>եւ</w:t>
      </w:r>
      <w:r w:rsidRPr="00B834A2">
        <w:t xml:space="preserve"> պետք է անցկացվի համապատասխան վալիդացում:</w:t>
      </w:r>
    </w:p>
    <w:p w14:paraId="01EFCC2F" w14:textId="77777777" w:rsidR="008F5B6F" w:rsidRPr="004A7CC9" w:rsidRDefault="008F5B6F" w:rsidP="008F5B6F">
      <w:pPr>
        <w:ind w:firstLine="567"/>
        <w:jc w:val="both"/>
        <w:rPr>
          <w:b/>
          <w:sz w:val="22"/>
        </w:rPr>
      </w:pPr>
    </w:p>
    <w:p w14:paraId="6778CCC3" w14:textId="77777777" w:rsidR="00B834A2" w:rsidRPr="006B7DC5" w:rsidRDefault="00B834A2" w:rsidP="008F5B6F">
      <w:pPr>
        <w:spacing w:after="160" w:line="346" w:lineRule="auto"/>
        <w:ind w:firstLine="567"/>
        <w:jc w:val="both"/>
        <w:rPr>
          <w:b/>
        </w:rPr>
      </w:pPr>
      <w:r w:rsidRPr="00B834A2">
        <w:rPr>
          <w:b/>
        </w:rPr>
        <w:t>ՄԵԹՈԴԻԿԱՆ</w:t>
      </w:r>
    </w:p>
    <w:p w14:paraId="20543CB2" w14:textId="77777777" w:rsidR="00B834A2" w:rsidRPr="00B834A2" w:rsidRDefault="00B834A2" w:rsidP="008F5B6F">
      <w:pPr>
        <w:spacing w:after="160" w:line="346" w:lineRule="auto"/>
        <w:ind w:firstLine="567"/>
        <w:jc w:val="both"/>
      </w:pPr>
      <w:r w:rsidRPr="00B834A2">
        <w:t xml:space="preserve">Փորձարկումներն անցկացնում են գազային քրոմատագրման մեթոդով </w:t>
      </w:r>
      <w:r w:rsidRPr="005520A4">
        <w:rPr>
          <w:i/>
        </w:rPr>
        <w:t>(2.1.2.27)՝</w:t>
      </w:r>
      <w:r w:rsidRPr="00B834A2">
        <w:t xml:space="preserve"> զանգվածասպեկտրաչափությամբ </w:t>
      </w:r>
      <w:r w:rsidRPr="005520A4">
        <w:rPr>
          <w:i/>
        </w:rPr>
        <w:t>(2.1.2.51):</w:t>
      </w:r>
    </w:p>
    <w:p w14:paraId="5AA939B3" w14:textId="77777777" w:rsidR="00B834A2" w:rsidRPr="005520A4" w:rsidRDefault="00B834A2" w:rsidP="008F5B6F">
      <w:pPr>
        <w:spacing w:after="160" w:line="346" w:lineRule="auto"/>
        <w:ind w:firstLine="567"/>
        <w:jc w:val="both"/>
        <w:rPr>
          <w:i/>
        </w:rPr>
      </w:pPr>
      <w:r w:rsidRPr="005520A4">
        <w:rPr>
          <w:i/>
        </w:rPr>
        <w:t>Փորձարկվող լուծույթը եւ համեմատման լուծույթը պատրաստում են օգտագործումից անմիջապես առաջ:</w:t>
      </w:r>
    </w:p>
    <w:p w14:paraId="29177B58" w14:textId="77777777" w:rsidR="00B834A2" w:rsidRPr="005520A4" w:rsidRDefault="00B834A2" w:rsidP="008F5B6F">
      <w:pPr>
        <w:spacing w:after="160" w:line="346" w:lineRule="auto"/>
        <w:ind w:firstLine="567"/>
        <w:jc w:val="both"/>
        <w:rPr>
          <w:i/>
        </w:rPr>
      </w:pPr>
      <w:r w:rsidRPr="005520A4">
        <w:rPr>
          <w:i/>
        </w:rPr>
        <w:t>Կարեւոր է օգտագործել համապատասխան մաքրության ացետոնիտրիլ:</w:t>
      </w:r>
    </w:p>
    <w:p w14:paraId="04E3A75A" w14:textId="77777777" w:rsidR="00B834A2" w:rsidRPr="00B834A2" w:rsidRDefault="00B834A2" w:rsidP="008F5B6F">
      <w:pPr>
        <w:spacing w:after="160" w:line="346" w:lineRule="auto"/>
        <w:ind w:firstLine="567"/>
        <w:jc w:val="both"/>
      </w:pPr>
      <w:r w:rsidRPr="005520A4">
        <w:rPr>
          <w:i/>
        </w:rPr>
        <w:t>Լուծիչների խառնուրդը</w:t>
      </w:r>
      <w:r w:rsidRPr="00B834A2">
        <w:t>։ Р ջուր-Р ացետոնիտրիլ (20:80, ծավ./ծավ.)։</w:t>
      </w:r>
    </w:p>
    <w:p w14:paraId="2C97ED01" w14:textId="77777777" w:rsidR="00B834A2" w:rsidRPr="004A7CC9" w:rsidRDefault="00B834A2" w:rsidP="008F5B6F">
      <w:pPr>
        <w:spacing w:after="160" w:line="346" w:lineRule="auto"/>
        <w:ind w:firstLine="567"/>
        <w:jc w:val="both"/>
      </w:pPr>
      <w:r w:rsidRPr="00B834A2">
        <w:t xml:space="preserve">Ա լուծույթ: </w:t>
      </w:r>
      <w:r w:rsidRPr="005520A4">
        <w:rPr>
          <w:i/>
        </w:rPr>
        <w:t xml:space="preserve">30 մգ Р անջուր նատրիումի թիոսուլֆատը եւ 60,0 գ Р նատրիումի յոդիդը </w:t>
      </w:r>
      <w:r w:rsidRPr="00B834A2">
        <w:t xml:space="preserve">լուծում են Р ջրում </w:t>
      </w:r>
      <w:r>
        <w:t>եւ</w:t>
      </w:r>
      <w:r w:rsidRPr="00B834A2">
        <w:t xml:space="preserve"> լուծույթի ծավալը մի</w:t>
      </w:r>
      <w:r>
        <w:t>եւ</w:t>
      </w:r>
      <w:r w:rsidRPr="00B834A2">
        <w:t>նույն լուծիչով հասցնում են 50,0</w:t>
      </w:r>
      <w:r w:rsidR="00133111" w:rsidRPr="00133111">
        <w:t> </w:t>
      </w:r>
      <w:r w:rsidRPr="00B834A2">
        <w:t>մլ-ի:</w:t>
      </w:r>
    </w:p>
    <w:p w14:paraId="5B6C19E0" w14:textId="77777777" w:rsidR="00B834A2" w:rsidRPr="00B834A2" w:rsidRDefault="00B834A2" w:rsidP="00AB4241">
      <w:pPr>
        <w:spacing w:after="160" w:line="360" w:lineRule="auto"/>
        <w:ind w:firstLine="567"/>
        <w:jc w:val="both"/>
      </w:pPr>
      <w:r w:rsidRPr="005520A4">
        <w:rPr>
          <w:i/>
        </w:rPr>
        <w:t>Ներքին ստանդարտի լուծույթը</w:t>
      </w:r>
      <w:r w:rsidRPr="00B834A2">
        <w:t>: ԵԱՏՄԴ ՍՆ բութիլ-մեթանսուլֆոնատի (ԲՄՍ) 10 մկլ-ը լուծիչների խառնուրդով հասցնում են 10,0 մլ ծավալի: Ստացված լուծույթի 20 մկլ-ը լուծիչների խառնուրդով հասցնում են 100,0 մլ ծավալի:</w:t>
      </w:r>
    </w:p>
    <w:p w14:paraId="5D299066" w14:textId="77777777" w:rsidR="00B834A2" w:rsidRPr="00B834A2" w:rsidRDefault="00B834A2" w:rsidP="00AB4241">
      <w:pPr>
        <w:spacing w:after="160" w:line="360" w:lineRule="auto"/>
        <w:ind w:firstLine="567"/>
        <w:jc w:val="both"/>
      </w:pPr>
      <w:r w:rsidRPr="005520A4">
        <w:rPr>
          <w:i/>
        </w:rPr>
        <w:lastRenderedPageBreak/>
        <w:t>Հսկիչ լուծույթը։</w:t>
      </w:r>
      <w:r w:rsidRPr="00B834A2">
        <w:t xml:space="preserve"> 0,50 մլ Ա լուծույթը </w:t>
      </w:r>
      <w:r>
        <w:t>եւ</w:t>
      </w:r>
      <w:r w:rsidRPr="00B834A2">
        <w:t xml:space="preserve"> 0,50 մլ ներքին ստանդարտի լուծույթը տեղավորում են գոլորշաֆազային նմուշառիչի համար նախատեսված սրվակի մեջ, սրվակն անմիջապես փակում են պոլիտետրաֆտորէթիլենային պատվածք ունեցող սիլիկոնային թաղանթով </w:t>
      </w:r>
      <w:r>
        <w:t>եւ</w:t>
      </w:r>
      <w:r w:rsidRPr="00B834A2">
        <w:t xml:space="preserve"> տոփանում ալյումինե թասակով:</w:t>
      </w:r>
    </w:p>
    <w:p w14:paraId="1E9573B8" w14:textId="77777777" w:rsidR="00B834A2" w:rsidRPr="00B834A2" w:rsidRDefault="00B834A2" w:rsidP="00AB4241">
      <w:pPr>
        <w:spacing w:after="160" w:line="360" w:lineRule="auto"/>
        <w:ind w:firstLine="567"/>
        <w:jc w:val="both"/>
      </w:pPr>
      <w:r w:rsidRPr="005520A4">
        <w:rPr>
          <w:i/>
        </w:rPr>
        <w:t xml:space="preserve">Փորձարկվող լուծույթը։ </w:t>
      </w:r>
      <w:r w:rsidRPr="00B834A2">
        <w:t xml:space="preserve">25,0 մգ փորձարկվող նմուշը տեղավորում են գոլորշաֆազային նմուշառիչի համար նախատեսված՝ 20 մլ տարողությամբ սրվակի մեջ, ավելացնում են 0,50 մլ Ա լուծույթ </w:t>
      </w:r>
      <w:r>
        <w:t>եւ</w:t>
      </w:r>
      <w:r w:rsidRPr="00B834A2">
        <w:t xml:space="preserve"> 0,50 մլ ներքին ստանդարտի լուծույթ, սրվակն անմիջապես փակում են պոլիտետրաֆտորէթիլենային պատվածք ունեցող սիլիկոնային թաղանթով </w:t>
      </w:r>
      <w:r>
        <w:t>եւ</w:t>
      </w:r>
      <w:r w:rsidRPr="00B834A2">
        <w:t xml:space="preserve"> տոփանում ալյումինե թասակով:</w:t>
      </w:r>
    </w:p>
    <w:p w14:paraId="66852B70" w14:textId="77777777" w:rsidR="00B834A2" w:rsidRPr="006B7DC5" w:rsidRDefault="00B834A2" w:rsidP="00AB4241">
      <w:pPr>
        <w:spacing w:after="160" w:line="360" w:lineRule="auto"/>
        <w:ind w:firstLine="567"/>
        <w:jc w:val="both"/>
        <w:rPr>
          <w:i/>
        </w:rPr>
      </w:pPr>
      <w:r w:rsidRPr="005520A4">
        <w:rPr>
          <w:i/>
        </w:rPr>
        <w:t>Դերիվացման ռեակցիայի ընթացքում կարող է առաջանալ նստվածք, որը չի ազդում քանակական որոշման հավաստիության վրա:</w:t>
      </w:r>
    </w:p>
    <w:p w14:paraId="1DE06079" w14:textId="77777777" w:rsidR="00B834A2" w:rsidRPr="00B834A2" w:rsidRDefault="00B834A2" w:rsidP="00AB4241">
      <w:pPr>
        <w:spacing w:after="160" w:line="360" w:lineRule="auto"/>
        <w:ind w:firstLine="567"/>
        <w:jc w:val="both"/>
      </w:pPr>
      <w:r w:rsidRPr="005520A4">
        <w:rPr>
          <w:i/>
        </w:rPr>
        <w:t>(Ա)</w:t>
      </w:r>
      <w:r w:rsidR="002F26C7" w:rsidRPr="002F26C7">
        <w:rPr>
          <w:i/>
        </w:rPr>
        <w:t xml:space="preserve"> </w:t>
      </w:r>
      <w:r w:rsidRPr="005520A4">
        <w:rPr>
          <w:i/>
        </w:rPr>
        <w:t>համեմատման լուծույթը</w:t>
      </w:r>
      <w:r w:rsidRPr="00B834A2">
        <w:t xml:space="preserve">։ 25,0-ական մգ Р մեթիլ-մեթանսուլֆոնատը (ՄՄՍ), Р էթիլ-մեթանսուլֆոնատը (ԷՄՍ) </w:t>
      </w:r>
      <w:r>
        <w:t>եւ</w:t>
      </w:r>
      <w:r w:rsidRPr="00B834A2">
        <w:t xml:space="preserve"> Р իզոպրոպիլ-մեթանսուլֆոնատը </w:t>
      </w:r>
      <w:r w:rsidRPr="00AB4241">
        <w:rPr>
          <w:spacing w:val="-4"/>
        </w:rPr>
        <w:t>(ԻՄՍ) լուծում են Р տոլուոլի մեջ եւ լուծույթի ծավալը միեւնույն լուծիչով հասցնում են 5,0 մլ-ի, ստացված լուծույթի 50 մկլ-ը ներքին ստանդարտի լուծույթով հասցնում են 25,0</w:t>
      </w:r>
      <w:r w:rsidRPr="00B834A2">
        <w:t xml:space="preserve"> մլ ծավալի:</w:t>
      </w:r>
    </w:p>
    <w:p w14:paraId="43E1D44E" w14:textId="77777777" w:rsidR="00B834A2" w:rsidRPr="00B834A2" w:rsidRDefault="00B834A2" w:rsidP="00AB4241">
      <w:pPr>
        <w:spacing w:after="160" w:line="360" w:lineRule="auto"/>
        <w:ind w:firstLine="567"/>
        <w:jc w:val="both"/>
      </w:pPr>
      <w:r w:rsidRPr="005520A4">
        <w:rPr>
          <w:i/>
        </w:rPr>
        <w:t>(Բ) համեմատման լուծույթը</w:t>
      </w:r>
      <w:r w:rsidRPr="00B834A2">
        <w:t>։ 20 մկլ (ա) համեմատման լուծույթը ներքին ստանդարտի լուծույթով հասցնում են մինչ</w:t>
      </w:r>
      <w:r>
        <w:t>եւ</w:t>
      </w:r>
      <w:r w:rsidRPr="00B834A2">
        <w:t xml:space="preserve"> 20,0 մլ ծավալի: 0,50 մլ ստացված լուծույթը </w:t>
      </w:r>
      <w:r>
        <w:t>եւ</w:t>
      </w:r>
      <w:r w:rsidRPr="00B834A2">
        <w:t xml:space="preserve"> 0,50 մլ Ա լուծույթը տեղավորում են գոլորշաֆազային նմուշառիչի համար նախատեսված՝ 20 մլ տարողությամբ սրվակի մեջ, սրվակն անմիջապես փակում են պոլիտետրաֆտորէթիլենային պատվածք ունեցող սիլիկոնային թաղանթով </w:t>
      </w:r>
      <w:r>
        <w:t>եւ</w:t>
      </w:r>
      <w:r w:rsidRPr="00B834A2">
        <w:t xml:space="preserve"> տոփանում ալյումինե թասակով:</w:t>
      </w:r>
    </w:p>
    <w:p w14:paraId="499A7FB7" w14:textId="77777777" w:rsidR="00B834A2" w:rsidRPr="00B834A2" w:rsidRDefault="00B834A2" w:rsidP="00AB4241">
      <w:pPr>
        <w:spacing w:after="160" w:line="360" w:lineRule="auto"/>
        <w:ind w:firstLine="567"/>
        <w:jc w:val="both"/>
      </w:pPr>
      <w:r w:rsidRPr="005520A4">
        <w:rPr>
          <w:i/>
        </w:rPr>
        <w:t>(Գ) համեմատման լուծույթը</w:t>
      </w:r>
      <w:r w:rsidRPr="00B834A2">
        <w:t>։ 500 մկլ (ա) համեմատման լուծույթը ներքին ստանդարտի լուծույթով հասցնում են մինչ</w:t>
      </w:r>
      <w:r>
        <w:t>եւ</w:t>
      </w:r>
      <w:r w:rsidRPr="00B834A2">
        <w:t xml:space="preserve"> 20,0 մլ ծավալի: 0,50 մլ ստացված լուծույթը </w:t>
      </w:r>
      <w:r>
        <w:t>եւ</w:t>
      </w:r>
      <w:r w:rsidRPr="00B834A2">
        <w:t xml:space="preserve"> 0,50 մլ Ա լուծույթը տեղավորում են գոլորշաֆազային նմուշառիչի համար նախատեսված՝ 20 մլ տարողությամբ սրվակի մեջ, սրվակն անմիջապես փակում են պոլիտետրաֆտորէթիլենային պատվածք ունեցող սիլիկոնային թաղանթով </w:t>
      </w:r>
      <w:r>
        <w:t>եւ</w:t>
      </w:r>
      <w:r w:rsidRPr="00B834A2">
        <w:t xml:space="preserve"> տոփանում ալյումինե թասակով:</w:t>
      </w:r>
    </w:p>
    <w:p w14:paraId="47225EFB" w14:textId="77777777" w:rsidR="00B834A2" w:rsidRPr="005520A4" w:rsidRDefault="00B834A2" w:rsidP="00AB4241">
      <w:pPr>
        <w:spacing w:after="160" w:line="360" w:lineRule="auto"/>
        <w:ind w:firstLine="567"/>
        <w:jc w:val="both"/>
        <w:rPr>
          <w:i/>
        </w:rPr>
      </w:pPr>
      <w:r w:rsidRPr="005520A4">
        <w:rPr>
          <w:i/>
        </w:rPr>
        <w:lastRenderedPageBreak/>
        <w:t>Քրոմատագրման պայմանները՝</w:t>
      </w:r>
    </w:p>
    <w:p w14:paraId="0CA29250"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5520A4">
        <w:rPr>
          <w:i/>
        </w:rPr>
        <w:t>աշտարակը՝</w:t>
      </w:r>
      <w:r w:rsidRPr="00B834A2">
        <w:t xml:space="preserve"> 30 մ երկարությամբ </w:t>
      </w:r>
      <w:r>
        <w:t>եւ</w:t>
      </w:r>
      <w:r w:rsidRPr="00B834A2">
        <w:t xml:space="preserve"> 0,25 մմ ներքին տրամագծով հալված կվարցից, 1 մկմ հաստությամբ բ</w:t>
      </w:r>
      <w:r>
        <w:t>եւ</w:t>
      </w:r>
      <w:r w:rsidRPr="00B834A2">
        <w:t>եռային ապաակտիվացված մակրոգոլի (պոլիէթիլենգլիկոլի) շերտով պատված.</w:t>
      </w:r>
    </w:p>
    <w:p w14:paraId="53D3B358"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5520A4">
        <w:rPr>
          <w:i/>
        </w:rPr>
        <w:t>կրող գազը</w:t>
      </w:r>
      <w:r w:rsidRPr="00B834A2">
        <w:t>՝ Р հելիում՝ քրոմատագրման համար.</w:t>
      </w:r>
    </w:p>
    <w:p w14:paraId="7B941E37" w14:textId="77777777" w:rsidR="00B834A2" w:rsidRPr="005520A4" w:rsidRDefault="00B834A2" w:rsidP="00AB4241">
      <w:pPr>
        <w:spacing w:after="160" w:line="360" w:lineRule="auto"/>
        <w:ind w:firstLine="567"/>
        <w:jc w:val="both"/>
        <w:rPr>
          <w:i/>
        </w:rPr>
      </w:pPr>
      <w:r w:rsidRPr="005520A4">
        <w:rPr>
          <w:i/>
        </w:rPr>
        <w:t>Փորձարկվող նմուշի ներմուծման համար նախատեսված սարքի մեջ օգտագործում են առանց ապակեմանրաթելի իներտ լայներ, ինչը նվազեցնում է ներանցիչների միջեւ փոխանցման էֆեկտը.</w:t>
      </w:r>
    </w:p>
    <w:p w14:paraId="7C582FB8"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5520A4">
        <w:rPr>
          <w:i/>
        </w:rPr>
        <w:t>կրող գազի արագությունը</w:t>
      </w:r>
      <w:r w:rsidRPr="00B834A2">
        <w:t>՝ 0,5 մլ/րոպե.</w:t>
      </w:r>
    </w:p>
    <w:p w14:paraId="5E2B9CE7" w14:textId="77777777" w:rsidR="00B834A2" w:rsidRPr="00DE4F37" w:rsidRDefault="00B834A2" w:rsidP="00AB4241">
      <w:pPr>
        <w:tabs>
          <w:tab w:val="left" w:pos="1134"/>
        </w:tabs>
        <w:spacing w:after="160" w:line="360" w:lineRule="auto"/>
        <w:ind w:firstLine="567"/>
        <w:jc w:val="both"/>
      </w:pPr>
      <w:r w:rsidRPr="00B834A2">
        <w:t>-</w:t>
      </w:r>
      <w:r w:rsidR="00AB4241" w:rsidRPr="00AB4241">
        <w:tab/>
      </w:r>
      <w:r w:rsidRPr="005520A4">
        <w:rPr>
          <w:i/>
        </w:rPr>
        <w:t>հոսքի բաժանումը</w:t>
      </w:r>
      <w:r w:rsidRPr="00B834A2">
        <w:t>՝ 1:20.</w:t>
      </w:r>
    </w:p>
    <w:p w14:paraId="4A2F3BE2" w14:textId="77777777" w:rsidR="00B834A2" w:rsidRPr="005520A4" w:rsidRDefault="00B834A2" w:rsidP="00AB4241">
      <w:pPr>
        <w:tabs>
          <w:tab w:val="left" w:pos="1134"/>
        </w:tabs>
        <w:spacing w:after="160" w:line="360" w:lineRule="auto"/>
        <w:ind w:firstLine="567"/>
        <w:jc w:val="both"/>
        <w:rPr>
          <w:i/>
        </w:rPr>
      </w:pPr>
      <w:r w:rsidRPr="00B834A2">
        <w:t>-</w:t>
      </w:r>
      <w:r w:rsidR="00AB4241" w:rsidRPr="00AB4241">
        <w:tab/>
      </w:r>
      <w:r w:rsidRPr="005520A4">
        <w:rPr>
          <w:i/>
        </w:rPr>
        <w:t>թույլատրվում է կիրառել ստատիկ գոլորշաֆազային քրոմատագրման պայմանները՝</w:t>
      </w:r>
    </w:p>
    <w:p w14:paraId="11193182" w14:textId="77777777" w:rsidR="00B834A2" w:rsidRPr="00B834A2" w:rsidRDefault="00B834A2" w:rsidP="00AB4241">
      <w:pPr>
        <w:tabs>
          <w:tab w:val="left" w:pos="1134"/>
        </w:tabs>
        <w:spacing w:after="160" w:line="360" w:lineRule="auto"/>
        <w:ind w:firstLine="567"/>
        <w:jc w:val="both"/>
      </w:pPr>
      <w:r w:rsidRPr="00B834A2">
        <w:t>-</w:t>
      </w:r>
      <w:r w:rsidR="00AB4241" w:rsidRPr="00097504">
        <w:tab/>
      </w:r>
      <w:r w:rsidRPr="005520A4">
        <w:rPr>
          <w:i/>
        </w:rPr>
        <w:t>հավասարակշռության ջերմաստիճանը</w:t>
      </w:r>
      <w:r w:rsidRPr="00B834A2">
        <w:t>՝ 60 °С.</w:t>
      </w:r>
    </w:p>
    <w:p w14:paraId="0E8D0AFE"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5520A4">
        <w:rPr>
          <w:i/>
        </w:rPr>
        <w:t>հավասարակշռության ժամանակը</w:t>
      </w:r>
      <w:r w:rsidRPr="00B834A2">
        <w:t>՝ 30 րոպե.</w:t>
      </w:r>
    </w:p>
    <w:p w14:paraId="53EB5FAE" w14:textId="77777777" w:rsidR="00B834A2" w:rsidRPr="00B834A2" w:rsidRDefault="00B834A2" w:rsidP="00AB4241">
      <w:pPr>
        <w:tabs>
          <w:tab w:val="left" w:pos="1134"/>
        </w:tabs>
        <w:spacing w:after="160" w:line="360" w:lineRule="auto"/>
        <w:ind w:firstLine="567"/>
        <w:jc w:val="both"/>
      </w:pPr>
      <w:r w:rsidRPr="00B834A2">
        <w:t>-</w:t>
      </w:r>
      <w:r w:rsidR="00AB4241" w:rsidRPr="00097504">
        <w:tab/>
      </w:r>
      <w:r w:rsidRPr="005520A4">
        <w:rPr>
          <w:i/>
        </w:rPr>
        <w:t>ավտոմատ գծի ջերմաստիճանը</w:t>
      </w:r>
      <w:r w:rsidRPr="00B834A2">
        <w:t>՝ 120 °С.</w:t>
      </w:r>
    </w:p>
    <w:p w14:paraId="07C272E7" w14:textId="77777777" w:rsidR="00B834A2" w:rsidRPr="005520A4" w:rsidRDefault="00B834A2" w:rsidP="00AB4241">
      <w:pPr>
        <w:tabs>
          <w:tab w:val="left" w:pos="1134"/>
        </w:tabs>
        <w:spacing w:after="160" w:line="360" w:lineRule="auto"/>
        <w:ind w:firstLine="567"/>
        <w:jc w:val="both"/>
        <w:rPr>
          <w:i/>
        </w:rPr>
      </w:pPr>
      <w:r w:rsidRPr="00B834A2">
        <w:t>-</w:t>
      </w:r>
      <w:r w:rsidR="00AB4241" w:rsidRPr="00AB4241">
        <w:tab/>
      </w:r>
      <w:r w:rsidRPr="005520A4">
        <w:rPr>
          <w:i/>
        </w:rPr>
        <w:t>ջերմաստիճանը՝</w:t>
      </w:r>
    </w:p>
    <w:tbl>
      <w:tblPr>
        <w:tblOverlap w:val="never"/>
        <w:tblW w:w="6941" w:type="dxa"/>
        <w:jc w:val="center"/>
        <w:tblLayout w:type="fixed"/>
        <w:tblCellMar>
          <w:left w:w="10" w:type="dxa"/>
          <w:right w:w="10" w:type="dxa"/>
        </w:tblCellMar>
        <w:tblLook w:val="04A0" w:firstRow="1" w:lastRow="0" w:firstColumn="1" w:lastColumn="0" w:noHBand="0" w:noVBand="1"/>
      </w:tblPr>
      <w:tblGrid>
        <w:gridCol w:w="2811"/>
        <w:gridCol w:w="2004"/>
        <w:gridCol w:w="2126"/>
      </w:tblGrid>
      <w:tr w:rsidR="00B834A2" w:rsidRPr="00AB4241" w14:paraId="6D26FC55" w14:textId="77777777" w:rsidTr="00AB4241">
        <w:trPr>
          <w:jc w:val="center"/>
        </w:trPr>
        <w:tc>
          <w:tcPr>
            <w:tcW w:w="2811" w:type="dxa"/>
            <w:tcBorders>
              <w:top w:val="single" w:sz="4" w:space="0" w:color="auto"/>
            </w:tcBorders>
            <w:shd w:val="clear" w:color="auto" w:fill="FFFFFF"/>
          </w:tcPr>
          <w:p w14:paraId="49BEAF7B" w14:textId="77777777" w:rsidR="00B834A2" w:rsidRPr="00AB4241" w:rsidRDefault="00B834A2" w:rsidP="00AB4241">
            <w:pPr>
              <w:spacing w:after="120"/>
              <w:jc w:val="both"/>
              <w:rPr>
                <w:sz w:val="20"/>
              </w:rPr>
            </w:pPr>
          </w:p>
        </w:tc>
        <w:tc>
          <w:tcPr>
            <w:tcW w:w="2004" w:type="dxa"/>
            <w:tcBorders>
              <w:top w:val="single" w:sz="4" w:space="0" w:color="auto"/>
            </w:tcBorders>
            <w:shd w:val="clear" w:color="auto" w:fill="FFFFFF"/>
            <w:vAlign w:val="bottom"/>
          </w:tcPr>
          <w:p w14:paraId="335ED7ED" w14:textId="77777777" w:rsidR="00B834A2" w:rsidRPr="00AB4241" w:rsidRDefault="00B834A2" w:rsidP="00AB4241">
            <w:pPr>
              <w:spacing w:after="120"/>
              <w:jc w:val="both"/>
              <w:rPr>
                <w:sz w:val="20"/>
              </w:rPr>
            </w:pPr>
            <w:r w:rsidRPr="00AB4241">
              <w:rPr>
                <w:sz w:val="20"/>
              </w:rPr>
              <w:t>Ժամանակը (րոպե)</w:t>
            </w:r>
          </w:p>
        </w:tc>
        <w:tc>
          <w:tcPr>
            <w:tcW w:w="2126" w:type="dxa"/>
            <w:tcBorders>
              <w:top w:val="single" w:sz="4" w:space="0" w:color="auto"/>
            </w:tcBorders>
            <w:shd w:val="clear" w:color="auto" w:fill="FFFFFF"/>
            <w:vAlign w:val="bottom"/>
          </w:tcPr>
          <w:p w14:paraId="588E7B8F" w14:textId="77777777" w:rsidR="00B834A2" w:rsidRPr="00AB4241" w:rsidRDefault="00B834A2" w:rsidP="00AB4241">
            <w:pPr>
              <w:spacing w:after="120"/>
              <w:jc w:val="both"/>
              <w:rPr>
                <w:sz w:val="20"/>
              </w:rPr>
            </w:pPr>
            <w:r w:rsidRPr="00AB4241">
              <w:rPr>
                <w:sz w:val="20"/>
              </w:rPr>
              <w:t>Ջերմաստիճանը (°С)</w:t>
            </w:r>
          </w:p>
        </w:tc>
      </w:tr>
      <w:tr w:rsidR="00B834A2" w:rsidRPr="00AB4241" w14:paraId="032D50EC" w14:textId="77777777" w:rsidTr="00AB4241">
        <w:trPr>
          <w:jc w:val="center"/>
        </w:trPr>
        <w:tc>
          <w:tcPr>
            <w:tcW w:w="2811" w:type="dxa"/>
            <w:tcBorders>
              <w:top w:val="single" w:sz="4" w:space="0" w:color="auto"/>
            </w:tcBorders>
            <w:shd w:val="clear" w:color="auto" w:fill="FFFFFF"/>
            <w:vAlign w:val="center"/>
          </w:tcPr>
          <w:p w14:paraId="0BAB2B7D" w14:textId="77777777" w:rsidR="00B834A2" w:rsidRPr="00CD568A" w:rsidRDefault="00B834A2" w:rsidP="00CD568A">
            <w:pPr>
              <w:spacing w:after="120"/>
              <w:jc w:val="both"/>
              <w:rPr>
                <w:sz w:val="20"/>
                <w:lang w:val="en-US"/>
              </w:rPr>
            </w:pPr>
            <w:r w:rsidRPr="00AB4241">
              <w:rPr>
                <w:sz w:val="20"/>
              </w:rPr>
              <w:t>Աշտարակը</w:t>
            </w:r>
            <w:r w:rsidR="00CD568A">
              <w:rPr>
                <w:sz w:val="20"/>
                <w:lang w:val="en-US"/>
              </w:rPr>
              <w:t>*</w:t>
            </w:r>
          </w:p>
        </w:tc>
        <w:tc>
          <w:tcPr>
            <w:tcW w:w="2004" w:type="dxa"/>
            <w:tcBorders>
              <w:top w:val="single" w:sz="4" w:space="0" w:color="auto"/>
            </w:tcBorders>
            <w:shd w:val="clear" w:color="auto" w:fill="FFFFFF"/>
            <w:vAlign w:val="center"/>
          </w:tcPr>
          <w:p w14:paraId="40B00F62" w14:textId="77777777" w:rsidR="00B834A2" w:rsidRPr="00AB4241" w:rsidRDefault="00B834A2" w:rsidP="00AB4241">
            <w:pPr>
              <w:spacing w:after="120"/>
              <w:jc w:val="center"/>
              <w:rPr>
                <w:sz w:val="20"/>
              </w:rPr>
            </w:pPr>
            <w:r w:rsidRPr="00AB4241">
              <w:rPr>
                <w:sz w:val="20"/>
              </w:rPr>
              <w:t>0-1</w:t>
            </w:r>
          </w:p>
        </w:tc>
        <w:tc>
          <w:tcPr>
            <w:tcW w:w="2126" w:type="dxa"/>
            <w:tcBorders>
              <w:top w:val="single" w:sz="4" w:space="0" w:color="auto"/>
            </w:tcBorders>
            <w:shd w:val="clear" w:color="auto" w:fill="FFFFFF"/>
            <w:vAlign w:val="center"/>
          </w:tcPr>
          <w:p w14:paraId="3D4B0C8D" w14:textId="77777777" w:rsidR="00B834A2" w:rsidRPr="00AB4241" w:rsidRDefault="00B834A2" w:rsidP="00AB4241">
            <w:pPr>
              <w:spacing w:after="120"/>
              <w:jc w:val="center"/>
              <w:rPr>
                <w:sz w:val="20"/>
              </w:rPr>
            </w:pPr>
            <w:r w:rsidRPr="00AB4241">
              <w:rPr>
                <w:sz w:val="20"/>
              </w:rPr>
              <w:t>40</w:t>
            </w:r>
          </w:p>
        </w:tc>
      </w:tr>
      <w:tr w:rsidR="00B834A2" w:rsidRPr="00AB4241" w14:paraId="444D4ECD" w14:textId="77777777" w:rsidTr="00AB4241">
        <w:trPr>
          <w:jc w:val="center"/>
        </w:trPr>
        <w:tc>
          <w:tcPr>
            <w:tcW w:w="2811" w:type="dxa"/>
            <w:shd w:val="clear" w:color="auto" w:fill="FFFFFF"/>
          </w:tcPr>
          <w:p w14:paraId="7C861D16" w14:textId="77777777" w:rsidR="00B834A2" w:rsidRPr="00AB4241" w:rsidRDefault="00B834A2" w:rsidP="00AB4241">
            <w:pPr>
              <w:spacing w:after="120"/>
              <w:jc w:val="both"/>
              <w:rPr>
                <w:sz w:val="20"/>
              </w:rPr>
            </w:pPr>
          </w:p>
        </w:tc>
        <w:tc>
          <w:tcPr>
            <w:tcW w:w="2004" w:type="dxa"/>
            <w:shd w:val="clear" w:color="auto" w:fill="FFFFFF"/>
            <w:vAlign w:val="center"/>
          </w:tcPr>
          <w:p w14:paraId="4016CD68" w14:textId="77777777" w:rsidR="00B834A2" w:rsidRPr="00AB4241" w:rsidRDefault="005520A4" w:rsidP="00AB4241">
            <w:pPr>
              <w:spacing w:after="120"/>
              <w:jc w:val="center"/>
              <w:rPr>
                <w:sz w:val="20"/>
              </w:rPr>
            </w:pPr>
            <w:r>
              <w:rPr>
                <w:sz w:val="20"/>
              </w:rPr>
              <w:t>1-</w:t>
            </w:r>
            <w:r w:rsidR="00B834A2" w:rsidRPr="00AB4241">
              <w:rPr>
                <w:sz w:val="20"/>
              </w:rPr>
              <w:t>10</w:t>
            </w:r>
          </w:p>
        </w:tc>
        <w:tc>
          <w:tcPr>
            <w:tcW w:w="2126" w:type="dxa"/>
            <w:shd w:val="clear" w:color="auto" w:fill="FFFFFF"/>
            <w:vAlign w:val="center"/>
          </w:tcPr>
          <w:p w14:paraId="45D2D54A" w14:textId="77777777" w:rsidR="00B834A2" w:rsidRPr="00AB4241" w:rsidRDefault="00B834A2" w:rsidP="00AB4241">
            <w:pPr>
              <w:spacing w:after="120"/>
              <w:jc w:val="center"/>
              <w:rPr>
                <w:sz w:val="20"/>
              </w:rPr>
            </w:pPr>
            <w:r w:rsidRPr="00AB4241">
              <w:rPr>
                <w:sz w:val="20"/>
              </w:rPr>
              <w:t xml:space="preserve">40 </w:t>
            </w:r>
            <w:r w:rsidRPr="00AB4241">
              <w:rPr>
                <w:rFonts w:ascii="Times New Roman" w:hAnsi="Times New Roman" w:cs="Times New Roman"/>
                <w:sz w:val="20"/>
              </w:rPr>
              <w:t>→</w:t>
            </w:r>
            <w:r w:rsidRPr="00AB4241">
              <w:rPr>
                <w:sz w:val="20"/>
              </w:rPr>
              <w:t xml:space="preserve"> 130</w:t>
            </w:r>
          </w:p>
        </w:tc>
      </w:tr>
      <w:tr w:rsidR="00B834A2" w:rsidRPr="00AB4241" w14:paraId="6874A657" w14:textId="77777777" w:rsidTr="00AB4241">
        <w:trPr>
          <w:jc w:val="center"/>
        </w:trPr>
        <w:tc>
          <w:tcPr>
            <w:tcW w:w="2811" w:type="dxa"/>
            <w:shd w:val="clear" w:color="auto" w:fill="FFFFFF"/>
            <w:vAlign w:val="bottom"/>
          </w:tcPr>
          <w:p w14:paraId="64D4DCEC" w14:textId="77777777" w:rsidR="00B834A2" w:rsidRPr="00AB4241" w:rsidRDefault="00B834A2" w:rsidP="00AB4241">
            <w:pPr>
              <w:spacing w:after="120"/>
              <w:jc w:val="both"/>
              <w:rPr>
                <w:sz w:val="20"/>
              </w:rPr>
            </w:pPr>
            <w:r w:rsidRPr="00AB4241">
              <w:rPr>
                <w:sz w:val="20"/>
              </w:rPr>
              <w:t>Փորձանմուշների ներմուծման բլոկը</w:t>
            </w:r>
          </w:p>
        </w:tc>
        <w:tc>
          <w:tcPr>
            <w:tcW w:w="2004" w:type="dxa"/>
            <w:shd w:val="clear" w:color="auto" w:fill="FFFFFF"/>
            <w:vAlign w:val="center"/>
          </w:tcPr>
          <w:p w14:paraId="552C2A64" w14:textId="77777777" w:rsidR="00B834A2" w:rsidRPr="00AB4241" w:rsidRDefault="00B834A2" w:rsidP="00AB4241">
            <w:pPr>
              <w:spacing w:after="120"/>
              <w:jc w:val="center"/>
              <w:rPr>
                <w:sz w:val="20"/>
              </w:rPr>
            </w:pPr>
          </w:p>
        </w:tc>
        <w:tc>
          <w:tcPr>
            <w:tcW w:w="2126" w:type="dxa"/>
            <w:shd w:val="clear" w:color="auto" w:fill="FFFFFF"/>
            <w:vAlign w:val="center"/>
          </w:tcPr>
          <w:p w14:paraId="1A63244F" w14:textId="77777777" w:rsidR="00B834A2" w:rsidRPr="00AB4241" w:rsidRDefault="00B834A2" w:rsidP="00AB4241">
            <w:pPr>
              <w:spacing w:after="120"/>
              <w:jc w:val="center"/>
              <w:rPr>
                <w:sz w:val="20"/>
              </w:rPr>
            </w:pPr>
            <w:r w:rsidRPr="00AB4241">
              <w:rPr>
                <w:sz w:val="20"/>
              </w:rPr>
              <w:t>220</w:t>
            </w:r>
          </w:p>
        </w:tc>
      </w:tr>
      <w:tr w:rsidR="00B834A2" w:rsidRPr="00AB4241" w14:paraId="5E9CA094" w14:textId="77777777" w:rsidTr="00AB4241">
        <w:trPr>
          <w:jc w:val="center"/>
        </w:trPr>
        <w:tc>
          <w:tcPr>
            <w:tcW w:w="4815" w:type="dxa"/>
            <w:gridSpan w:val="2"/>
            <w:shd w:val="clear" w:color="auto" w:fill="FFFFFF"/>
            <w:vAlign w:val="bottom"/>
          </w:tcPr>
          <w:p w14:paraId="5E1E47EC" w14:textId="77777777" w:rsidR="00B834A2" w:rsidRPr="00AB4241" w:rsidRDefault="00B834A2" w:rsidP="00AB4241">
            <w:pPr>
              <w:spacing w:after="120"/>
              <w:jc w:val="both"/>
              <w:rPr>
                <w:sz w:val="20"/>
              </w:rPr>
            </w:pPr>
            <w:r w:rsidRPr="00AB4241">
              <w:rPr>
                <w:sz w:val="20"/>
              </w:rPr>
              <w:t>Դետեկտորը՝ ավտոմատ գիծ</w:t>
            </w:r>
          </w:p>
        </w:tc>
        <w:tc>
          <w:tcPr>
            <w:tcW w:w="2126" w:type="dxa"/>
            <w:shd w:val="clear" w:color="auto" w:fill="FFFFFF"/>
            <w:vAlign w:val="bottom"/>
          </w:tcPr>
          <w:p w14:paraId="4ABA0D4A" w14:textId="77777777" w:rsidR="00B834A2" w:rsidRPr="00AB4241" w:rsidRDefault="00B834A2" w:rsidP="00AB4241">
            <w:pPr>
              <w:spacing w:after="120"/>
              <w:jc w:val="center"/>
              <w:rPr>
                <w:sz w:val="20"/>
              </w:rPr>
            </w:pPr>
            <w:r w:rsidRPr="00AB4241">
              <w:rPr>
                <w:sz w:val="20"/>
              </w:rPr>
              <w:t>280</w:t>
            </w:r>
          </w:p>
        </w:tc>
      </w:tr>
      <w:tr w:rsidR="00B834A2" w:rsidRPr="00AB4241" w14:paraId="10F1DB7B" w14:textId="77777777" w:rsidTr="00AB4241">
        <w:trPr>
          <w:jc w:val="center"/>
        </w:trPr>
        <w:tc>
          <w:tcPr>
            <w:tcW w:w="4815" w:type="dxa"/>
            <w:gridSpan w:val="2"/>
            <w:shd w:val="clear" w:color="auto" w:fill="FFFFFF"/>
            <w:vAlign w:val="bottom"/>
          </w:tcPr>
          <w:p w14:paraId="39C93FA8" w14:textId="77777777" w:rsidR="00B834A2" w:rsidRPr="00AB4241" w:rsidRDefault="00B834A2" w:rsidP="005520A4">
            <w:pPr>
              <w:spacing w:after="120"/>
              <w:jc w:val="center"/>
              <w:rPr>
                <w:sz w:val="20"/>
              </w:rPr>
            </w:pPr>
            <w:r w:rsidRPr="00AB4241">
              <w:rPr>
                <w:sz w:val="20"/>
              </w:rPr>
              <w:t>ԱՂԲՅՈՒՐԸ</w:t>
            </w:r>
          </w:p>
        </w:tc>
        <w:tc>
          <w:tcPr>
            <w:tcW w:w="2126" w:type="dxa"/>
            <w:shd w:val="clear" w:color="auto" w:fill="FFFFFF"/>
            <w:vAlign w:val="bottom"/>
          </w:tcPr>
          <w:p w14:paraId="789BED77" w14:textId="77777777" w:rsidR="00B834A2" w:rsidRPr="00AB4241" w:rsidRDefault="00B834A2" w:rsidP="005520A4">
            <w:pPr>
              <w:spacing w:after="120"/>
              <w:jc w:val="center"/>
              <w:rPr>
                <w:sz w:val="20"/>
              </w:rPr>
            </w:pPr>
            <w:r w:rsidRPr="00AB4241">
              <w:rPr>
                <w:sz w:val="20"/>
              </w:rPr>
              <w:t>250</w:t>
            </w:r>
          </w:p>
        </w:tc>
      </w:tr>
      <w:tr w:rsidR="00B834A2" w:rsidRPr="00AB4241" w14:paraId="00CC2C41" w14:textId="77777777" w:rsidTr="005520A4">
        <w:trPr>
          <w:jc w:val="center"/>
        </w:trPr>
        <w:tc>
          <w:tcPr>
            <w:tcW w:w="4815" w:type="dxa"/>
            <w:gridSpan w:val="2"/>
            <w:tcBorders>
              <w:bottom w:val="single" w:sz="8" w:space="0" w:color="auto"/>
            </w:tcBorders>
            <w:shd w:val="clear" w:color="auto" w:fill="FFFFFF"/>
            <w:vAlign w:val="bottom"/>
          </w:tcPr>
          <w:p w14:paraId="297DAADE" w14:textId="77777777" w:rsidR="00B834A2" w:rsidRPr="00AB4241" w:rsidRDefault="00B834A2" w:rsidP="005520A4">
            <w:pPr>
              <w:spacing w:after="120"/>
              <w:jc w:val="center"/>
              <w:rPr>
                <w:sz w:val="20"/>
              </w:rPr>
            </w:pPr>
            <w:r w:rsidRPr="00AB4241">
              <w:rPr>
                <w:sz w:val="20"/>
              </w:rPr>
              <w:t>անալիզարարը</w:t>
            </w:r>
          </w:p>
        </w:tc>
        <w:tc>
          <w:tcPr>
            <w:tcW w:w="2126" w:type="dxa"/>
            <w:tcBorders>
              <w:bottom w:val="single" w:sz="8" w:space="0" w:color="auto"/>
            </w:tcBorders>
            <w:shd w:val="clear" w:color="auto" w:fill="FFFFFF"/>
            <w:vAlign w:val="bottom"/>
          </w:tcPr>
          <w:p w14:paraId="5510CE6E" w14:textId="77777777" w:rsidR="00B834A2" w:rsidRPr="00AB4241" w:rsidRDefault="00B834A2" w:rsidP="005520A4">
            <w:pPr>
              <w:spacing w:after="120"/>
              <w:jc w:val="center"/>
              <w:rPr>
                <w:sz w:val="20"/>
              </w:rPr>
            </w:pPr>
            <w:r w:rsidRPr="00AB4241">
              <w:rPr>
                <w:sz w:val="20"/>
              </w:rPr>
              <w:t>200.</w:t>
            </w:r>
          </w:p>
        </w:tc>
      </w:tr>
    </w:tbl>
    <w:p w14:paraId="33CA685F" w14:textId="77777777" w:rsidR="00CD568A" w:rsidRDefault="00CD568A" w:rsidP="00CD568A">
      <w:pPr>
        <w:pStyle w:val="FootnoteText"/>
        <w:jc w:val="both"/>
        <w:rPr>
          <w:sz w:val="16"/>
          <w:lang w:val="en-US"/>
        </w:rPr>
      </w:pPr>
    </w:p>
    <w:p w14:paraId="7712C52C" w14:textId="77777777" w:rsidR="00CD568A" w:rsidRPr="00F076B2" w:rsidRDefault="00CD568A" w:rsidP="00F076B2">
      <w:pPr>
        <w:pStyle w:val="FootnoteText"/>
        <w:ind w:firstLine="567"/>
        <w:jc w:val="both"/>
      </w:pPr>
      <w:r w:rsidRPr="00F076B2">
        <w:t xml:space="preserve">* </w:t>
      </w:r>
      <w:r w:rsidRPr="00F076B2">
        <w:rPr>
          <w:rFonts w:ascii="Sylfaen" w:hAnsi="Sylfaen"/>
        </w:rPr>
        <w:t>Անալիզի վերջում աշտարակի ջերմաստիճանը բարձրացնում են մինչեւ 240 °С եւ պահում 7</w:t>
      </w:r>
      <w:r w:rsidR="00F076B2">
        <w:rPr>
          <w:rFonts w:ascii="Sylfaen" w:hAnsi="Sylfaen"/>
          <w:lang w:val="en-US"/>
        </w:rPr>
        <w:t> </w:t>
      </w:r>
      <w:r w:rsidRPr="00F076B2">
        <w:rPr>
          <w:rFonts w:ascii="Sylfaen" w:hAnsi="Sylfaen"/>
        </w:rPr>
        <w:t>րոպե:</w:t>
      </w:r>
    </w:p>
    <w:p w14:paraId="26232B53" w14:textId="77777777" w:rsidR="008F5B6F" w:rsidRDefault="008F5B6F">
      <w:r>
        <w:br w:type="page"/>
      </w:r>
    </w:p>
    <w:p w14:paraId="2E41D476" w14:textId="77777777" w:rsidR="00B834A2" w:rsidRPr="00B834A2" w:rsidRDefault="00B834A2" w:rsidP="00AB4241">
      <w:pPr>
        <w:tabs>
          <w:tab w:val="left" w:pos="1134"/>
        </w:tabs>
        <w:spacing w:after="160" w:line="360" w:lineRule="auto"/>
        <w:ind w:firstLine="567"/>
        <w:jc w:val="both"/>
      </w:pPr>
      <w:r w:rsidRPr="00B834A2">
        <w:lastRenderedPageBreak/>
        <w:t>-</w:t>
      </w:r>
      <w:r w:rsidR="00AB4241" w:rsidRPr="00AB4241">
        <w:tab/>
      </w:r>
      <w:r w:rsidRPr="00CD568A">
        <w:rPr>
          <w:i/>
        </w:rPr>
        <w:t>դետեկտորը</w:t>
      </w:r>
      <w:r w:rsidRPr="00B834A2">
        <w:t>՝ զանգվածասպեկտրաչափական՝ ստոր</w:t>
      </w:r>
      <w:r>
        <w:t>եւ</w:t>
      </w:r>
      <w:r w:rsidRPr="00B834A2">
        <w:t xml:space="preserve"> նկարագրված, համակարգի պիտանիության չափորոշիչներին համապատասխանության համար ճշգրտում են դետեկտորի սարքաբերումը. որպես այլընտրանք կարող է օգտագործվել էլեկտրոնային թակարդ ունեցող համապատասխան դետեկտոր.</w:t>
      </w:r>
    </w:p>
    <w:p w14:paraId="2E808D62"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B834A2">
        <w:t>քառաբ</w:t>
      </w:r>
      <w:r>
        <w:t>եւ</w:t>
      </w:r>
      <w:r w:rsidRPr="00B834A2">
        <w:t>եռ զանգվածասպեկտրաչափը՝ (70 էՎ) էլեկտրոնային հարվածով իոնացման համակարգով համալրված.</w:t>
      </w:r>
    </w:p>
    <w:p w14:paraId="14BCAC44" w14:textId="77777777" w:rsidR="00B834A2" w:rsidRPr="00B834A2" w:rsidRDefault="00B834A2" w:rsidP="00AB4241">
      <w:pPr>
        <w:tabs>
          <w:tab w:val="left" w:pos="1134"/>
        </w:tabs>
        <w:spacing w:after="160" w:line="360" w:lineRule="auto"/>
        <w:ind w:firstLine="567"/>
        <w:jc w:val="both"/>
      </w:pPr>
      <w:r w:rsidRPr="00B834A2">
        <w:t>-</w:t>
      </w:r>
      <w:r w:rsidR="00AB4241" w:rsidRPr="00AB4241">
        <w:tab/>
      </w:r>
      <w:r w:rsidRPr="00B834A2">
        <w:t>ֆրագմենտաչափության (միաիոն մոնիթորինգ) ռեժիմի համար զանգվածասպեկտրաչափի պարամետրերը սահմանում են հետ</w:t>
      </w:r>
      <w:r>
        <w:t>եւ</w:t>
      </w:r>
      <w:r w:rsidRPr="00B834A2">
        <w:t>յալ կերպ.</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2693"/>
        <w:gridCol w:w="2463"/>
      </w:tblGrid>
      <w:tr w:rsidR="00B834A2" w:rsidRPr="00B22C60" w14:paraId="75517EBA" w14:textId="77777777" w:rsidTr="00213A17">
        <w:trPr>
          <w:jc w:val="center"/>
        </w:trPr>
        <w:tc>
          <w:tcPr>
            <w:tcW w:w="2410" w:type="dxa"/>
            <w:tcBorders>
              <w:top w:val="single" w:sz="4" w:space="0" w:color="auto"/>
            </w:tcBorders>
            <w:shd w:val="clear" w:color="auto" w:fill="FFFFFF"/>
            <w:vAlign w:val="center"/>
          </w:tcPr>
          <w:p w14:paraId="25296101" w14:textId="77777777" w:rsidR="00B834A2" w:rsidRPr="00B22C60" w:rsidRDefault="00B834A2" w:rsidP="00B22C60">
            <w:pPr>
              <w:spacing w:after="120"/>
              <w:jc w:val="center"/>
              <w:rPr>
                <w:sz w:val="20"/>
              </w:rPr>
            </w:pPr>
            <w:r w:rsidRPr="00B22C60">
              <w:rPr>
                <w:sz w:val="20"/>
              </w:rPr>
              <w:t>Նյութը</w:t>
            </w:r>
          </w:p>
        </w:tc>
        <w:tc>
          <w:tcPr>
            <w:tcW w:w="2693" w:type="dxa"/>
            <w:tcBorders>
              <w:top w:val="single" w:sz="4" w:space="0" w:color="auto"/>
            </w:tcBorders>
            <w:shd w:val="clear" w:color="auto" w:fill="FFFFFF"/>
            <w:vAlign w:val="bottom"/>
          </w:tcPr>
          <w:p w14:paraId="3F7B34F6" w14:textId="77777777" w:rsidR="00B834A2" w:rsidRPr="00B22C60" w:rsidRDefault="00B834A2" w:rsidP="00B22C60">
            <w:pPr>
              <w:spacing w:after="120"/>
              <w:jc w:val="center"/>
              <w:rPr>
                <w:sz w:val="20"/>
              </w:rPr>
            </w:pPr>
            <w:r w:rsidRPr="00B22C60">
              <w:rPr>
                <w:sz w:val="20"/>
              </w:rPr>
              <w:t>Իոն՝ քանակական որոշման համար (զանգված/լիցք)</w:t>
            </w:r>
          </w:p>
        </w:tc>
        <w:tc>
          <w:tcPr>
            <w:tcW w:w="2463" w:type="dxa"/>
            <w:tcBorders>
              <w:top w:val="single" w:sz="4" w:space="0" w:color="auto"/>
            </w:tcBorders>
            <w:shd w:val="clear" w:color="auto" w:fill="FFFFFF"/>
            <w:vAlign w:val="center"/>
          </w:tcPr>
          <w:p w14:paraId="74AB93C9" w14:textId="77777777" w:rsidR="00B834A2" w:rsidRPr="00B22C60" w:rsidRDefault="00B834A2" w:rsidP="00B22C60">
            <w:pPr>
              <w:spacing w:after="120"/>
              <w:jc w:val="center"/>
              <w:rPr>
                <w:sz w:val="20"/>
              </w:rPr>
            </w:pPr>
            <w:r w:rsidRPr="00B22C60">
              <w:rPr>
                <w:sz w:val="20"/>
              </w:rPr>
              <w:t>Իոն՝ որակական որոշման համար (զանգված/լիցք)</w:t>
            </w:r>
          </w:p>
        </w:tc>
      </w:tr>
      <w:tr w:rsidR="00B834A2" w:rsidRPr="00B22C60" w14:paraId="4B426B6D" w14:textId="77777777" w:rsidTr="00213A17">
        <w:trPr>
          <w:jc w:val="center"/>
        </w:trPr>
        <w:tc>
          <w:tcPr>
            <w:tcW w:w="2410" w:type="dxa"/>
            <w:tcBorders>
              <w:top w:val="single" w:sz="4" w:space="0" w:color="auto"/>
            </w:tcBorders>
            <w:shd w:val="clear" w:color="auto" w:fill="FFFFFF"/>
            <w:vAlign w:val="bottom"/>
          </w:tcPr>
          <w:p w14:paraId="52779763" w14:textId="77777777" w:rsidR="00B834A2" w:rsidRPr="00B22C60" w:rsidRDefault="00B834A2" w:rsidP="00B22C60">
            <w:pPr>
              <w:spacing w:after="120"/>
              <w:jc w:val="both"/>
              <w:rPr>
                <w:sz w:val="20"/>
              </w:rPr>
            </w:pPr>
            <w:r w:rsidRPr="00B22C60">
              <w:rPr>
                <w:sz w:val="20"/>
              </w:rPr>
              <w:t>Բութիլյոդիդ (Bul)**</w:t>
            </w:r>
          </w:p>
        </w:tc>
        <w:tc>
          <w:tcPr>
            <w:tcW w:w="2693" w:type="dxa"/>
            <w:tcBorders>
              <w:top w:val="single" w:sz="4" w:space="0" w:color="auto"/>
            </w:tcBorders>
            <w:shd w:val="clear" w:color="auto" w:fill="FFFFFF"/>
            <w:vAlign w:val="bottom"/>
          </w:tcPr>
          <w:p w14:paraId="50F78782" w14:textId="77777777" w:rsidR="00B834A2" w:rsidRPr="00B22C60" w:rsidRDefault="00B834A2" w:rsidP="00B22C60">
            <w:pPr>
              <w:spacing w:after="120"/>
              <w:jc w:val="center"/>
              <w:rPr>
                <w:sz w:val="20"/>
              </w:rPr>
            </w:pPr>
            <w:r w:rsidRPr="00B22C60">
              <w:rPr>
                <w:sz w:val="20"/>
              </w:rPr>
              <w:t>184</w:t>
            </w:r>
          </w:p>
        </w:tc>
        <w:tc>
          <w:tcPr>
            <w:tcW w:w="2463" w:type="dxa"/>
            <w:tcBorders>
              <w:top w:val="single" w:sz="4" w:space="0" w:color="auto"/>
            </w:tcBorders>
            <w:shd w:val="clear" w:color="auto" w:fill="FFFFFF"/>
            <w:vAlign w:val="bottom"/>
          </w:tcPr>
          <w:p w14:paraId="43165833" w14:textId="77777777" w:rsidR="00B834A2" w:rsidRPr="00B22C60" w:rsidRDefault="00B834A2" w:rsidP="00B22C60">
            <w:pPr>
              <w:spacing w:after="120"/>
              <w:jc w:val="center"/>
              <w:rPr>
                <w:sz w:val="20"/>
              </w:rPr>
            </w:pPr>
            <w:r w:rsidRPr="00B22C60">
              <w:rPr>
                <w:sz w:val="20"/>
              </w:rPr>
              <w:t>127</w:t>
            </w:r>
          </w:p>
        </w:tc>
      </w:tr>
      <w:tr w:rsidR="00B834A2" w:rsidRPr="00B22C60" w14:paraId="523BEF91" w14:textId="77777777" w:rsidTr="00213A17">
        <w:trPr>
          <w:jc w:val="center"/>
        </w:trPr>
        <w:tc>
          <w:tcPr>
            <w:tcW w:w="2410" w:type="dxa"/>
            <w:shd w:val="clear" w:color="auto" w:fill="FFFFFF"/>
            <w:vAlign w:val="bottom"/>
          </w:tcPr>
          <w:p w14:paraId="4E2018B4" w14:textId="77777777" w:rsidR="00B834A2" w:rsidRPr="00B22C60" w:rsidRDefault="00B834A2" w:rsidP="00B22C60">
            <w:pPr>
              <w:spacing w:after="120"/>
              <w:jc w:val="both"/>
              <w:rPr>
                <w:sz w:val="20"/>
              </w:rPr>
            </w:pPr>
            <w:r w:rsidRPr="00B22C60">
              <w:rPr>
                <w:sz w:val="20"/>
              </w:rPr>
              <w:t>Մեթիլյոդիդ (Mel)**</w:t>
            </w:r>
          </w:p>
        </w:tc>
        <w:tc>
          <w:tcPr>
            <w:tcW w:w="2693" w:type="dxa"/>
            <w:shd w:val="clear" w:color="auto" w:fill="FFFFFF"/>
            <w:vAlign w:val="bottom"/>
          </w:tcPr>
          <w:p w14:paraId="40607EA4" w14:textId="77777777" w:rsidR="00B834A2" w:rsidRPr="00B22C60" w:rsidRDefault="00B834A2" w:rsidP="00B22C60">
            <w:pPr>
              <w:spacing w:after="120"/>
              <w:jc w:val="center"/>
              <w:rPr>
                <w:sz w:val="20"/>
              </w:rPr>
            </w:pPr>
            <w:r w:rsidRPr="00B22C60">
              <w:rPr>
                <w:sz w:val="20"/>
              </w:rPr>
              <w:t>142</w:t>
            </w:r>
          </w:p>
        </w:tc>
        <w:tc>
          <w:tcPr>
            <w:tcW w:w="2463" w:type="dxa"/>
            <w:shd w:val="clear" w:color="auto" w:fill="FFFFFF"/>
            <w:vAlign w:val="bottom"/>
          </w:tcPr>
          <w:p w14:paraId="50E73DD5" w14:textId="77777777" w:rsidR="00B834A2" w:rsidRPr="00B22C60" w:rsidRDefault="00B834A2" w:rsidP="00B22C60">
            <w:pPr>
              <w:spacing w:after="120"/>
              <w:jc w:val="center"/>
              <w:rPr>
                <w:sz w:val="20"/>
              </w:rPr>
            </w:pPr>
            <w:r w:rsidRPr="00B22C60">
              <w:rPr>
                <w:sz w:val="20"/>
              </w:rPr>
              <w:t>127</w:t>
            </w:r>
          </w:p>
        </w:tc>
      </w:tr>
      <w:tr w:rsidR="00B834A2" w:rsidRPr="00B22C60" w14:paraId="7A69770E" w14:textId="77777777" w:rsidTr="00213A17">
        <w:trPr>
          <w:jc w:val="center"/>
        </w:trPr>
        <w:tc>
          <w:tcPr>
            <w:tcW w:w="2410" w:type="dxa"/>
            <w:shd w:val="clear" w:color="auto" w:fill="FFFFFF"/>
            <w:vAlign w:val="bottom"/>
          </w:tcPr>
          <w:p w14:paraId="606269B0" w14:textId="77777777" w:rsidR="00B834A2" w:rsidRPr="00B22C60" w:rsidRDefault="00B834A2" w:rsidP="00B22C60">
            <w:pPr>
              <w:spacing w:after="120"/>
              <w:jc w:val="both"/>
              <w:rPr>
                <w:sz w:val="20"/>
              </w:rPr>
            </w:pPr>
            <w:r w:rsidRPr="00B22C60">
              <w:rPr>
                <w:sz w:val="20"/>
              </w:rPr>
              <w:t>Էթիլյոդիդ (Etl)**</w:t>
            </w:r>
          </w:p>
        </w:tc>
        <w:tc>
          <w:tcPr>
            <w:tcW w:w="2693" w:type="dxa"/>
            <w:shd w:val="clear" w:color="auto" w:fill="FFFFFF"/>
            <w:vAlign w:val="bottom"/>
          </w:tcPr>
          <w:p w14:paraId="3A7D60E0" w14:textId="77777777" w:rsidR="00B834A2" w:rsidRPr="00B22C60" w:rsidRDefault="00B834A2" w:rsidP="00B22C60">
            <w:pPr>
              <w:spacing w:after="120"/>
              <w:jc w:val="center"/>
              <w:rPr>
                <w:sz w:val="20"/>
              </w:rPr>
            </w:pPr>
            <w:r w:rsidRPr="00B22C60">
              <w:rPr>
                <w:sz w:val="20"/>
              </w:rPr>
              <w:t>156</w:t>
            </w:r>
          </w:p>
        </w:tc>
        <w:tc>
          <w:tcPr>
            <w:tcW w:w="2463" w:type="dxa"/>
            <w:shd w:val="clear" w:color="auto" w:fill="FFFFFF"/>
            <w:vAlign w:val="bottom"/>
          </w:tcPr>
          <w:p w14:paraId="76FA4657" w14:textId="77777777" w:rsidR="00B834A2" w:rsidRPr="00B22C60" w:rsidRDefault="00B834A2" w:rsidP="00B22C60">
            <w:pPr>
              <w:spacing w:after="120"/>
              <w:jc w:val="center"/>
              <w:rPr>
                <w:sz w:val="20"/>
              </w:rPr>
            </w:pPr>
            <w:r w:rsidRPr="00B22C60">
              <w:rPr>
                <w:sz w:val="20"/>
              </w:rPr>
              <w:t>127</w:t>
            </w:r>
          </w:p>
        </w:tc>
      </w:tr>
      <w:tr w:rsidR="00B834A2" w:rsidRPr="00B22C60" w14:paraId="784DB818" w14:textId="77777777" w:rsidTr="00213A17">
        <w:trPr>
          <w:jc w:val="center"/>
        </w:trPr>
        <w:tc>
          <w:tcPr>
            <w:tcW w:w="2410" w:type="dxa"/>
            <w:tcBorders>
              <w:bottom w:val="single" w:sz="4" w:space="0" w:color="auto"/>
            </w:tcBorders>
            <w:shd w:val="clear" w:color="auto" w:fill="FFFFFF"/>
            <w:vAlign w:val="bottom"/>
          </w:tcPr>
          <w:p w14:paraId="3B09533D" w14:textId="77777777" w:rsidR="00B834A2" w:rsidRPr="00213A17" w:rsidRDefault="00B834A2" w:rsidP="00213A17">
            <w:pPr>
              <w:spacing w:after="120"/>
              <w:jc w:val="both"/>
              <w:rPr>
                <w:sz w:val="20"/>
                <w:lang w:val="en-US"/>
              </w:rPr>
            </w:pPr>
            <w:r w:rsidRPr="00B22C60">
              <w:rPr>
                <w:sz w:val="20"/>
              </w:rPr>
              <w:t>Իզոպրոպիլյոդիդ</w:t>
            </w:r>
            <w:r w:rsidR="00B22C60">
              <w:rPr>
                <w:sz w:val="20"/>
              </w:rPr>
              <w:t xml:space="preserve"> (iPrl)</w:t>
            </w:r>
            <w:r w:rsidR="00213A17">
              <w:rPr>
                <w:sz w:val="20"/>
                <w:lang w:val="en-US"/>
              </w:rPr>
              <w:t>**</w:t>
            </w:r>
          </w:p>
        </w:tc>
        <w:tc>
          <w:tcPr>
            <w:tcW w:w="2693" w:type="dxa"/>
            <w:tcBorders>
              <w:bottom w:val="single" w:sz="8" w:space="0" w:color="auto"/>
            </w:tcBorders>
            <w:shd w:val="clear" w:color="auto" w:fill="FFFFFF"/>
            <w:vAlign w:val="bottom"/>
          </w:tcPr>
          <w:p w14:paraId="6FCB2E70" w14:textId="77777777" w:rsidR="00B834A2" w:rsidRPr="00B22C60" w:rsidRDefault="00B834A2" w:rsidP="00B22C60">
            <w:pPr>
              <w:spacing w:after="120"/>
              <w:jc w:val="center"/>
              <w:rPr>
                <w:sz w:val="20"/>
              </w:rPr>
            </w:pPr>
            <w:r w:rsidRPr="00B22C60">
              <w:rPr>
                <w:sz w:val="20"/>
              </w:rPr>
              <w:t>170</w:t>
            </w:r>
          </w:p>
        </w:tc>
        <w:tc>
          <w:tcPr>
            <w:tcW w:w="2463" w:type="dxa"/>
            <w:tcBorders>
              <w:bottom w:val="single" w:sz="8" w:space="0" w:color="auto"/>
            </w:tcBorders>
            <w:shd w:val="clear" w:color="auto" w:fill="FFFFFF"/>
            <w:vAlign w:val="bottom"/>
          </w:tcPr>
          <w:p w14:paraId="60C17260" w14:textId="77777777" w:rsidR="00B834A2" w:rsidRPr="00B22C60" w:rsidRDefault="00B834A2" w:rsidP="00B22C60">
            <w:pPr>
              <w:spacing w:after="120"/>
              <w:jc w:val="center"/>
              <w:rPr>
                <w:sz w:val="20"/>
              </w:rPr>
            </w:pPr>
            <w:r w:rsidRPr="00B22C60">
              <w:rPr>
                <w:sz w:val="20"/>
              </w:rPr>
              <w:t>127</w:t>
            </w:r>
          </w:p>
        </w:tc>
      </w:tr>
    </w:tbl>
    <w:p w14:paraId="589C6E26" w14:textId="77777777" w:rsidR="00B834A2" w:rsidRPr="009217DE" w:rsidRDefault="00213A17" w:rsidP="00F076B2">
      <w:pPr>
        <w:spacing w:after="160" w:line="360" w:lineRule="auto"/>
        <w:ind w:firstLine="567"/>
        <w:jc w:val="both"/>
        <w:rPr>
          <w:sz w:val="20"/>
        </w:rPr>
      </w:pPr>
      <w:r w:rsidRPr="00213A17">
        <w:rPr>
          <w:rStyle w:val="FootnoteReference"/>
          <w:sz w:val="20"/>
        </w:rPr>
        <w:sym w:font="Symbol" w:char="F02A"/>
      </w:r>
      <w:r w:rsidRPr="00213A17">
        <w:rPr>
          <w:rStyle w:val="FootnoteReference"/>
          <w:sz w:val="20"/>
        </w:rPr>
        <w:sym w:font="Symbol" w:char="F02A"/>
      </w:r>
      <w:r w:rsidRPr="00213A17">
        <w:rPr>
          <w:sz w:val="20"/>
        </w:rPr>
        <w:t xml:space="preserve"> Ստացվել են ԲՄՍ-ից, ՄՄՍ-ից, ԷՄՍ-ից եւ ԻՄՍ-ից՝ դերիվացման ռեակցիայի արդյունքում:</w:t>
      </w:r>
    </w:p>
    <w:p w14:paraId="043A8458" w14:textId="77777777" w:rsidR="00213A17" w:rsidRPr="009217DE" w:rsidRDefault="00213A17" w:rsidP="00B834A2">
      <w:pPr>
        <w:spacing w:after="160" w:line="360" w:lineRule="auto"/>
        <w:jc w:val="both"/>
        <w:rPr>
          <w:sz w:val="20"/>
        </w:rPr>
      </w:pPr>
    </w:p>
    <w:p w14:paraId="53F3E3F5"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213A17">
        <w:rPr>
          <w:i/>
        </w:rPr>
        <w:t>ներմուծվող փորձանմուշի ծավալը</w:t>
      </w:r>
      <w:r w:rsidRPr="00B834A2">
        <w:t xml:space="preserve">՝ 1-ական մլ փորձարկվող նմուշի հավասարակշռված գազային ֆազից, (բ) համեմատման լուծույթից, (գ) համեմատման լուծույթից </w:t>
      </w:r>
      <w:r>
        <w:t>եւ</w:t>
      </w:r>
      <w:r w:rsidRPr="00B834A2">
        <w:t xml:space="preserve"> հսկիչ լուծույթից:</w:t>
      </w:r>
    </w:p>
    <w:p w14:paraId="4E7D0C7D" w14:textId="77777777" w:rsidR="00B834A2" w:rsidRPr="00B834A2" w:rsidRDefault="00B834A2" w:rsidP="00B22C60">
      <w:pPr>
        <w:spacing w:after="160" w:line="360" w:lineRule="auto"/>
        <w:ind w:firstLine="567"/>
        <w:jc w:val="both"/>
      </w:pPr>
      <w:r w:rsidRPr="00213A17">
        <w:rPr>
          <w:i/>
        </w:rPr>
        <w:t>Հարաբերական պահումը</w:t>
      </w:r>
      <w:r w:rsidRPr="00B834A2">
        <w:t xml:space="preserve"> (բութիլյոդիդի պահման ժամանակը՝ մոտավորապես 8,5 րոպե). մեթիլյոդիդ՝ մոտավորապես 0,51 րոպե. էթիլյոդիդ՝ մոտավորապես 0,63 րոպե. իզոպրոպիլյոդիդ՝ մոտավորապես 0,68 րոպե:</w:t>
      </w:r>
    </w:p>
    <w:p w14:paraId="2E54F320" w14:textId="77777777" w:rsidR="00B834A2" w:rsidRPr="00B834A2" w:rsidRDefault="00B834A2" w:rsidP="00B22C60">
      <w:pPr>
        <w:spacing w:after="160" w:line="360" w:lineRule="auto"/>
        <w:ind w:firstLine="567"/>
        <w:jc w:val="both"/>
      </w:pPr>
      <w:r w:rsidRPr="00213A17">
        <w:rPr>
          <w:i/>
        </w:rPr>
        <w:t>Քրոմատագրման համակարգի պիտանիությունը</w:t>
      </w:r>
      <w:r w:rsidRPr="00B834A2">
        <w:t>՝</w:t>
      </w:r>
    </w:p>
    <w:p w14:paraId="0BFFD2B1"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431888">
        <w:rPr>
          <w:i/>
        </w:rPr>
        <w:t>լուծաչափը</w:t>
      </w:r>
      <w:r w:rsidRPr="00B834A2">
        <w:t xml:space="preserve">՝ էթիլյոդիդի </w:t>
      </w:r>
      <w:r>
        <w:t>եւ</w:t>
      </w:r>
      <w:r w:rsidRPr="00B834A2">
        <w:t xml:space="preserve"> իզոպրոպիլյոդիդի պիկերի միջ</w:t>
      </w:r>
      <w:r>
        <w:t>եւ</w:t>
      </w:r>
      <w:r w:rsidRPr="00B834A2">
        <w:t xml:space="preserve"> առնվազն 1,5՝ (գ) համեմատման լուծույթի քրոմատագրի վրա.</w:t>
      </w:r>
    </w:p>
    <w:p w14:paraId="70428F63" w14:textId="77777777" w:rsidR="00B834A2" w:rsidRPr="004A7CC9" w:rsidRDefault="00B834A2" w:rsidP="00B22C60">
      <w:pPr>
        <w:tabs>
          <w:tab w:val="left" w:pos="1134"/>
        </w:tabs>
        <w:spacing w:after="160" w:line="360" w:lineRule="auto"/>
        <w:ind w:firstLine="567"/>
        <w:jc w:val="both"/>
      </w:pPr>
      <w:r w:rsidRPr="00B834A2">
        <w:t>-</w:t>
      </w:r>
      <w:r w:rsidR="00B22C60" w:rsidRPr="00B22C60">
        <w:tab/>
      </w:r>
      <w:r w:rsidRPr="00431888">
        <w:rPr>
          <w:i/>
        </w:rPr>
        <w:t>ազդանշան/աղմուկ հարաբերակցությունը</w:t>
      </w:r>
      <w:r w:rsidRPr="00B834A2">
        <w:t>՝ յուրաքանչյուր ալկիլյոդիդի պիկերի համար առնվազն 10՝ (բ) համեմատման լուծույթի քրոմատագրի վրա:</w:t>
      </w:r>
    </w:p>
    <w:p w14:paraId="4483C6EB" w14:textId="77777777" w:rsidR="008F5B6F" w:rsidRPr="004A7CC9" w:rsidRDefault="008F5B6F" w:rsidP="00B22C60">
      <w:pPr>
        <w:tabs>
          <w:tab w:val="left" w:pos="1134"/>
        </w:tabs>
        <w:spacing w:after="160" w:line="360" w:lineRule="auto"/>
        <w:ind w:firstLine="567"/>
        <w:jc w:val="both"/>
      </w:pPr>
    </w:p>
    <w:p w14:paraId="0E730C40" w14:textId="77777777" w:rsidR="00B834A2" w:rsidRPr="00B834A2" w:rsidRDefault="00B834A2" w:rsidP="00B22C60">
      <w:pPr>
        <w:spacing w:after="160" w:line="360" w:lineRule="auto"/>
        <w:ind w:firstLine="567"/>
        <w:jc w:val="both"/>
      </w:pPr>
      <w:r w:rsidRPr="00B834A2">
        <w:lastRenderedPageBreak/>
        <w:t>Յուրաքանչյուր ալկիլմեթանսուլֆոնատի պարունակությունը՝ միլիոներորդ մասով (ppm), հաշվարկվում է հետ</w:t>
      </w:r>
      <w:r>
        <w:t>եւ</w:t>
      </w:r>
      <w:r w:rsidRPr="00B834A2">
        <w:t>յալ բանաձ</w:t>
      </w:r>
      <w:r>
        <w:t>եւ</w:t>
      </w:r>
      <w:r w:rsidRPr="00B834A2">
        <w:t>ով.</w:t>
      </w:r>
    </w:p>
    <w:p w14:paraId="6EA9B5C9" w14:textId="77777777" w:rsidR="00B834A2" w:rsidRPr="00B834A2" w:rsidRDefault="00000000" w:rsidP="00B834A2">
      <w:pPr>
        <w:spacing w:after="160" w:line="360" w:lineRule="auto"/>
        <w:jc w:val="both"/>
      </w:pPr>
      <m:oMathPara>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r>
                <w:rPr>
                  <w:rFonts w:ascii="Cambria Math" w:hAnsi="Cambria Math"/>
                </w:rPr>
                <m:t>Q</m:t>
              </m:r>
              <m:r>
                <m:rPr>
                  <m:sty m:val="p"/>
                </m:rPr>
                <w:rPr>
                  <w:rFonts w:ascii="Cambria Math" w:hAnsi="Cambria Math"/>
                </w:rPr>
                <m:t>∙0,05</m:t>
              </m:r>
            </m:num>
            <m:den>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r>
            <m:rPr>
              <m:sty m:val="p"/>
            </m:rPr>
            <w:rPr>
              <w:rFonts w:ascii="Cambria Math" w:hAnsi="Cambria Math"/>
            </w:rPr>
            <m:t>,</m:t>
          </m:r>
        </m:oMath>
      </m:oMathPara>
    </w:p>
    <w:p w14:paraId="7FAFC53E" w14:textId="77777777" w:rsidR="00B834A2" w:rsidRPr="00B834A2" w:rsidRDefault="00B834A2" w:rsidP="00B22C60">
      <w:pPr>
        <w:spacing w:after="160" w:line="360" w:lineRule="auto"/>
        <w:ind w:firstLine="567"/>
        <w:jc w:val="both"/>
      </w:pPr>
      <w:r w:rsidRPr="00B834A2">
        <w:t xml:space="preserve">որտեղ՝ </w:t>
      </w:r>
    </w:p>
    <w:p w14:paraId="152EEB04" w14:textId="77777777" w:rsidR="00B834A2" w:rsidRPr="00B834A2" w:rsidRDefault="00B834A2" w:rsidP="00B22C60">
      <w:pPr>
        <w:spacing w:after="160" w:line="360" w:lineRule="auto"/>
        <w:ind w:firstLine="567"/>
        <w:jc w:val="both"/>
      </w:pPr>
      <w:r w:rsidRPr="00431888">
        <w:rPr>
          <w:i/>
        </w:rPr>
        <w:t>Տ</w:t>
      </w:r>
      <w:r w:rsidRPr="00431888">
        <w:rPr>
          <w:i/>
          <w:vertAlign w:val="subscript"/>
        </w:rPr>
        <w:t>1</w:t>
      </w:r>
      <w:r w:rsidRPr="00B834A2">
        <w:t>-ը (գ) համեմատման լուծույթի քրոմատագրի վրա յուրաքանչյուր ալկիլյոդիդի պիկի մակերեսն է.</w:t>
      </w:r>
    </w:p>
    <w:p w14:paraId="43FAA5EF" w14:textId="77777777" w:rsidR="00B834A2" w:rsidRPr="00B834A2" w:rsidRDefault="00B834A2" w:rsidP="00B22C60">
      <w:pPr>
        <w:spacing w:after="160" w:line="360" w:lineRule="auto"/>
        <w:ind w:firstLine="567"/>
        <w:jc w:val="both"/>
      </w:pPr>
      <w:r w:rsidRPr="00431888">
        <w:rPr>
          <w:i/>
        </w:rPr>
        <w:t>Տ</w:t>
      </w:r>
      <w:r w:rsidRPr="00431888">
        <w:rPr>
          <w:i/>
          <w:vertAlign w:val="subscript"/>
        </w:rPr>
        <w:t>2</w:t>
      </w:r>
      <w:r w:rsidRPr="00B834A2">
        <w:t>-ը փորձարկվող լուծույթի քրոմատագրի վրա յուրաքանչյուր ալկիլյոդիդի պիկի մակերեսն է.</w:t>
      </w:r>
    </w:p>
    <w:p w14:paraId="01BCA57C" w14:textId="77777777" w:rsidR="00B834A2" w:rsidRPr="00B834A2" w:rsidRDefault="00B834A2" w:rsidP="002E2B4D">
      <w:pPr>
        <w:spacing w:after="160" w:line="348" w:lineRule="auto"/>
        <w:ind w:firstLine="567"/>
        <w:jc w:val="both"/>
      </w:pPr>
      <w:r w:rsidRPr="00431888">
        <w:rPr>
          <w:i/>
        </w:rPr>
        <w:t>Q</w:t>
      </w:r>
      <w:r w:rsidRPr="00B834A2">
        <w:t>-ն յուրաքանչյուր եթերի մեջ հիմնական նյութի պարունակությունն է՝ տոկոսներով.</w:t>
      </w:r>
    </w:p>
    <w:p w14:paraId="3D25297D" w14:textId="77777777" w:rsidR="00B834A2" w:rsidRPr="00B834A2" w:rsidRDefault="00B834A2" w:rsidP="002E2B4D">
      <w:pPr>
        <w:spacing w:after="160" w:line="348" w:lineRule="auto"/>
        <w:ind w:firstLine="567"/>
        <w:jc w:val="both"/>
      </w:pPr>
      <w:r w:rsidRPr="00431888">
        <w:rPr>
          <w:i/>
        </w:rPr>
        <w:t>Տ'</w:t>
      </w:r>
      <w:r w:rsidRPr="00431888">
        <w:rPr>
          <w:i/>
          <w:vertAlign w:val="subscript"/>
        </w:rPr>
        <w:t>1</w:t>
      </w:r>
      <w:r w:rsidRPr="00431888">
        <w:rPr>
          <w:i/>
        </w:rPr>
        <w:t>-</w:t>
      </w:r>
      <w:r w:rsidRPr="00B834A2">
        <w:t>ը (գ) համեմատման լուծույթի քրոմատագրի վրա ներքին ստանդարտի պիկի մակերեսն է.</w:t>
      </w:r>
    </w:p>
    <w:p w14:paraId="55B57707" w14:textId="77777777" w:rsidR="00B834A2" w:rsidRPr="00B834A2" w:rsidRDefault="00B834A2" w:rsidP="002E2B4D">
      <w:pPr>
        <w:spacing w:after="160" w:line="348" w:lineRule="auto"/>
        <w:ind w:firstLine="567"/>
        <w:jc w:val="both"/>
      </w:pPr>
      <w:r w:rsidRPr="00431888">
        <w:rPr>
          <w:i/>
        </w:rPr>
        <w:t>Տ'</w:t>
      </w:r>
      <w:r w:rsidRPr="00431888">
        <w:rPr>
          <w:i/>
          <w:vertAlign w:val="subscript"/>
        </w:rPr>
        <w:t>2</w:t>
      </w:r>
      <w:r w:rsidRPr="00B834A2">
        <w:t>-ը փորձարկվող լուծույթի քրոմատագրի վրա ներքին ստանդարտի պիկի մակերեսն է.</w:t>
      </w:r>
    </w:p>
    <w:p w14:paraId="2DA4377D" w14:textId="77777777" w:rsidR="00B834A2" w:rsidRPr="00B834A2" w:rsidRDefault="00B834A2" w:rsidP="002E2B4D">
      <w:pPr>
        <w:spacing w:after="160" w:line="348" w:lineRule="auto"/>
        <w:ind w:firstLine="567"/>
        <w:jc w:val="both"/>
      </w:pPr>
      <w:r w:rsidRPr="00431888">
        <w:rPr>
          <w:i/>
        </w:rPr>
        <w:t>а</w:t>
      </w:r>
      <w:r w:rsidRPr="00431888">
        <w:rPr>
          <w:i/>
          <w:vertAlign w:val="subscript"/>
        </w:rPr>
        <w:t>1</w:t>
      </w:r>
      <w:r w:rsidRPr="00B834A2">
        <w:t>-ը (ա) համեմատման լուծույթի պատրաստման համար վերցված յուրաքանչյուր եթերի կշռանմուշն է՝ միլիգրամներով.</w:t>
      </w:r>
    </w:p>
    <w:p w14:paraId="0FF17820" w14:textId="77777777" w:rsidR="00B834A2" w:rsidRPr="00B834A2" w:rsidRDefault="00B834A2" w:rsidP="002E2B4D">
      <w:pPr>
        <w:spacing w:after="160" w:line="348" w:lineRule="auto"/>
        <w:ind w:firstLine="567"/>
        <w:jc w:val="both"/>
      </w:pPr>
      <w:r w:rsidRPr="00431888">
        <w:rPr>
          <w:i/>
        </w:rPr>
        <w:t>а</w:t>
      </w:r>
      <w:r w:rsidRPr="00431888">
        <w:rPr>
          <w:i/>
          <w:vertAlign w:val="subscript"/>
        </w:rPr>
        <w:t>2</w:t>
      </w:r>
      <w:r w:rsidRPr="00B834A2">
        <w:t>-ը փորձարկվող լուծույթի պատրաստման համար վերցված փորձարկվող կշռանմուշն է՝ միլիգրամներով.</w:t>
      </w:r>
    </w:p>
    <w:p w14:paraId="3D9A2291" w14:textId="77777777" w:rsidR="00B834A2" w:rsidRPr="00B834A2" w:rsidRDefault="00B834A2" w:rsidP="002E2B4D">
      <w:pPr>
        <w:spacing w:after="160" w:line="348" w:lineRule="auto"/>
        <w:ind w:firstLine="567"/>
        <w:jc w:val="both"/>
      </w:pPr>
      <w:r w:rsidRPr="00B834A2">
        <w:t>0,05-ը նոսրացման գործակիցն է:</w:t>
      </w:r>
    </w:p>
    <w:p w14:paraId="5D2CDE54" w14:textId="77777777" w:rsidR="00B834A2" w:rsidRPr="00B834A2" w:rsidRDefault="00B834A2" w:rsidP="002E2B4D">
      <w:pPr>
        <w:spacing w:after="160" w:line="348" w:lineRule="auto"/>
        <w:ind w:firstLine="567"/>
        <w:jc w:val="both"/>
      </w:pPr>
    </w:p>
    <w:p w14:paraId="1D5A2B90" w14:textId="77777777" w:rsidR="008F5B6F" w:rsidRDefault="008F5B6F">
      <w:pPr>
        <w:rPr>
          <w:b/>
          <w:sz w:val="20"/>
        </w:rPr>
      </w:pPr>
      <w:r>
        <w:rPr>
          <w:b/>
          <w:sz w:val="20"/>
        </w:rPr>
        <w:br w:type="page"/>
      </w:r>
    </w:p>
    <w:p w14:paraId="2745EE22" w14:textId="77777777" w:rsidR="00B834A2" w:rsidRPr="009217DE" w:rsidRDefault="00B834A2" w:rsidP="00B22C60">
      <w:pPr>
        <w:spacing w:after="160" w:line="360" w:lineRule="auto"/>
        <w:ind w:firstLine="567"/>
        <w:jc w:val="right"/>
        <w:rPr>
          <w:b/>
          <w:sz w:val="20"/>
        </w:rPr>
      </w:pPr>
      <w:r w:rsidRPr="00431888">
        <w:rPr>
          <w:b/>
          <w:sz w:val="20"/>
        </w:rPr>
        <w:lastRenderedPageBreak/>
        <w:t>201040036-2022</w:t>
      </w:r>
    </w:p>
    <w:p w14:paraId="40CD5862" w14:textId="77777777" w:rsidR="00431888" w:rsidRPr="009217DE" w:rsidRDefault="00431888" w:rsidP="00B22C60">
      <w:pPr>
        <w:spacing w:after="160" w:line="360" w:lineRule="auto"/>
        <w:ind w:firstLine="567"/>
        <w:jc w:val="right"/>
        <w:rPr>
          <w:b/>
        </w:rPr>
      </w:pPr>
    </w:p>
    <w:p w14:paraId="20C46CC3" w14:textId="77777777" w:rsidR="00B834A2" w:rsidRPr="00B834A2" w:rsidRDefault="00B834A2" w:rsidP="00B22C60">
      <w:pPr>
        <w:tabs>
          <w:tab w:val="left" w:pos="1701"/>
        </w:tabs>
        <w:spacing w:after="160" w:line="360" w:lineRule="auto"/>
        <w:ind w:firstLine="567"/>
        <w:jc w:val="both"/>
        <w:rPr>
          <w:b/>
        </w:rPr>
      </w:pPr>
      <w:r w:rsidRPr="00B834A2">
        <w:rPr>
          <w:b/>
        </w:rPr>
        <w:t>2.1.4.36.</w:t>
      </w:r>
      <w:r w:rsidR="00B22C60" w:rsidRPr="00097504">
        <w:rPr>
          <w:b/>
        </w:rPr>
        <w:tab/>
      </w:r>
      <w:r w:rsidRPr="00B834A2">
        <w:rPr>
          <w:b/>
        </w:rPr>
        <w:t>Մեթանսուլֆոնիլքլորիդը՝ մեթանսուլֆոնաթթվի մեջ</w:t>
      </w:r>
    </w:p>
    <w:p w14:paraId="2A8D416B" w14:textId="77777777" w:rsidR="00B834A2" w:rsidRPr="00B834A2" w:rsidRDefault="00B834A2" w:rsidP="00B22C60">
      <w:pPr>
        <w:spacing w:after="160" w:line="360" w:lineRule="auto"/>
        <w:ind w:firstLine="567"/>
        <w:jc w:val="both"/>
      </w:pPr>
      <w:r w:rsidRPr="00B834A2">
        <w:t>Տվյալ ընդհանուր դեղագրքային հոդվածը տարածվում է 0,05 ppm-ից մինչ</w:t>
      </w:r>
      <w:r>
        <w:t>եւ</w:t>
      </w:r>
      <w:r w:rsidRPr="00B834A2">
        <w:t xml:space="preserve"> 50</w:t>
      </w:r>
      <w:r w:rsidR="002E2B4D" w:rsidRPr="002E2B4D">
        <w:t> </w:t>
      </w:r>
      <w:r w:rsidRPr="00B834A2">
        <w:t>ppm կոնցենտրացիաների ընդգրկույթում մեթանսուլֆոնաթթվի մեջ մեթանսուլֆոնիլքլորիդի որոշման մեթոդի վրա:</w:t>
      </w:r>
    </w:p>
    <w:p w14:paraId="081371C7" w14:textId="77777777" w:rsidR="00B834A2" w:rsidRPr="002E2B4D" w:rsidRDefault="00B834A2" w:rsidP="00B22C60">
      <w:pPr>
        <w:spacing w:after="160" w:line="360" w:lineRule="auto"/>
        <w:ind w:firstLine="567"/>
        <w:jc w:val="both"/>
        <w:rPr>
          <w:i/>
        </w:rPr>
      </w:pPr>
      <w:r w:rsidRPr="00B834A2">
        <w:t xml:space="preserve">Փորձարկումներն անցկացնում են գազային քրոմատագրման մեթոդով </w:t>
      </w:r>
      <w:r w:rsidRPr="002E2B4D">
        <w:rPr>
          <w:i/>
        </w:rPr>
        <w:t>(2.1.2.27)՝</w:t>
      </w:r>
      <w:r w:rsidRPr="00B834A2">
        <w:t xml:space="preserve"> զանգվածասպեկտրաչափությամբ </w:t>
      </w:r>
      <w:r w:rsidRPr="002E2B4D">
        <w:rPr>
          <w:i/>
        </w:rPr>
        <w:t>(2.1.2.51):</w:t>
      </w:r>
    </w:p>
    <w:p w14:paraId="6D0092D7" w14:textId="77777777" w:rsidR="00B834A2" w:rsidRPr="00B834A2" w:rsidRDefault="00B834A2" w:rsidP="00B22C60">
      <w:pPr>
        <w:spacing w:after="160" w:line="360" w:lineRule="auto"/>
        <w:ind w:firstLine="567"/>
        <w:jc w:val="both"/>
      </w:pPr>
      <w:r w:rsidRPr="002E2B4D">
        <w:rPr>
          <w:i/>
        </w:rPr>
        <w:t>Ներքին ստանդարտի լուծույթը</w:t>
      </w:r>
      <w:r w:rsidRPr="00B834A2">
        <w:t xml:space="preserve">: ԵԱՏՄԴ ՍՆ բութիլ-մեթանսուլֆոնատի (ԲՄՍ) 7 մկլ-ը լուծում են Р մեթիլենքլորիդի մեջ </w:t>
      </w:r>
      <w:r>
        <w:t>եւ</w:t>
      </w:r>
      <w:r w:rsidRPr="00B834A2">
        <w:t xml:space="preserve"> լուծույթի ծավալը մի</w:t>
      </w:r>
      <w:r>
        <w:t>եւ</w:t>
      </w:r>
      <w:r w:rsidRPr="00B834A2">
        <w:t>նույն լուծիչով հասցնում են 10,0 մլ-ի, ստացված լուծույթի 5,0 մլ-ը Р մեթիլենքլորիդով հասցնում են մինչ</w:t>
      </w:r>
      <w:r>
        <w:t>եւ</w:t>
      </w:r>
      <w:r w:rsidRPr="00B834A2">
        <w:t xml:space="preserve"> 50,0 մլ ծավալի:</w:t>
      </w:r>
    </w:p>
    <w:p w14:paraId="4A0E411C" w14:textId="77777777" w:rsidR="00B834A2" w:rsidRPr="00B834A2" w:rsidRDefault="00B834A2" w:rsidP="00B22C60">
      <w:pPr>
        <w:spacing w:after="160" w:line="360" w:lineRule="auto"/>
        <w:ind w:firstLine="567"/>
        <w:jc w:val="both"/>
      </w:pPr>
      <w:r w:rsidRPr="002E2B4D">
        <w:rPr>
          <w:i/>
        </w:rPr>
        <w:t>Փորձարկվող լուծույթը</w:t>
      </w:r>
      <w:r w:rsidRPr="00B834A2">
        <w:t>։ 5 մլ Р ջրին ավելացնում են 7,4 գ փորձարկվող նմուշ</w:t>
      </w:r>
      <w:r w:rsidR="002E2B4D" w:rsidRPr="002E2B4D">
        <w:t> </w:t>
      </w:r>
      <w:r>
        <w:t>եւ</w:t>
      </w:r>
      <w:r w:rsidRPr="00B834A2">
        <w:t xml:space="preserve"> դանդաղ խառնում: Հովանալուց հետո ավելացնում են 5,0 մլ Р մեթիլենքլորիդ, 100 մկլ ներքին ստանդարտի լուծույթ </w:t>
      </w:r>
      <w:r>
        <w:t>եւ</w:t>
      </w:r>
      <w:r w:rsidRPr="00B834A2">
        <w:t xml:space="preserve"> թափահարում: Պահում են մինչ</w:t>
      </w:r>
      <w:r>
        <w:t>եւ</w:t>
      </w:r>
      <w:r w:rsidRPr="00B834A2">
        <w:t xml:space="preserve"> ֆազերի շերտավորումը [առանձնացումը], օրգանական շերտը տեղափոխում են 1 գ Р անջուր նատրիումի սուլֆատ պարունակող սրվակի մեջ: Լուծամզումը կրկնում են երկու անգամ՝ ամեն անգամ օգտագործելով 5,0 մլ Р մեթիլենքլորիդ: Օրգանական շերտերը խառնում են </w:t>
      </w:r>
      <w:r>
        <w:t>եւ</w:t>
      </w:r>
      <w:r w:rsidRPr="00B834A2">
        <w:t xml:space="preserve"> ֆիլտրում:</w:t>
      </w:r>
    </w:p>
    <w:p w14:paraId="1FE4A484" w14:textId="77777777" w:rsidR="00B834A2" w:rsidRPr="00B834A2" w:rsidRDefault="00B834A2" w:rsidP="00B22C60">
      <w:pPr>
        <w:spacing w:after="160" w:line="360" w:lineRule="auto"/>
        <w:ind w:firstLine="567"/>
        <w:jc w:val="both"/>
      </w:pPr>
      <w:r w:rsidRPr="002E2B4D">
        <w:rPr>
          <w:i/>
        </w:rPr>
        <w:t>(Ա) համեմատման լուծույթը։</w:t>
      </w:r>
      <w:r w:rsidRPr="00B834A2">
        <w:t xml:space="preserve"> 50,0 մգ Р մեթանսուլֆոնիլքլորիդը լուծում են Р մեթիլենքլորիդի մեջ </w:t>
      </w:r>
      <w:r>
        <w:t>եւ</w:t>
      </w:r>
      <w:r w:rsidRPr="00B834A2">
        <w:t xml:space="preserve"> լուծույթի ծավալը մի</w:t>
      </w:r>
      <w:r>
        <w:t>եւ</w:t>
      </w:r>
      <w:r w:rsidRPr="00B834A2">
        <w:t>նույն լուծիչով հասցնում են 10,0 մլ-ի: 1,0 մլ ստացված լուծույթը Р մեթիլենքլորիդով հասցնում են մինչ</w:t>
      </w:r>
      <w:r>
        <w:t>եւ</w:t>
      </w:r>
      <w:r w:rsidRPr="00B834A2">
        <w:t xml:space="preserve"> 10,0 մլ ծավալի, ստացված լուծույթի 300 մկլ-ը Р մեթիլենքլորիդով հասցնում են մինչ</w:t>
      </w:r>
      <w:r>
        <w:t>եւ</w:t>
      </w:r>
      <w:r w:rsidRPr="00B834A2">
        <w:t xml:space="preserve"> 10,0 մլ ծավալի:</w:t>
      </w:r>
    </w:p>
    <w:p w14:paraId="21883186" w14:textId="77777777" w:rsidR="00B834A2" w:rsidRPr="00B834A2" w:rsidRDefault="00B834A2" w:rsidP="002E2B4D">
      <w:pPr>
        <w:spacing w:after="160" w:line="360" w:lineRule="auto"/>
        <w:ind w:firstLine="567"/>
      </w:pPr>
      <w:r w:rsidRPr="002E2B4D">
        <w:rPr>
          <w:i/>
        </w:rPr>
        <w:t xml:space="preserve">(Բ) համեմատման լուծույթը։ </w:t>
      </w:r>
      <w:r w:rsidRPr="00B834A2">
        <w:t xml:space="preserve">500 մկլ (ա) համեմատման լուծույթը </w:t>
      </w:r>
      <w:r>
        <w:t>եւ</w:t>
      </w:r>
      <w:r w:rsidRPr="00B834A2">
        <w:t xml:space="preserve"> 100 մկլ ներքին ստանդարտի լուծույթը Р մեթիլենքլորիդով հասցնում են մինչ</w:t>
      </w:r>
      <w:r>
        <w:t>եւ</w:t>
      </w:r>
      <w:r w:rsidRPr="00B834A2">
        <w:t xml:space="preserve"> 15,0 մլ ծավալի:</w:t>
      </w:r>
    </w:p>
    <w:p w14:paraId="00E0A5CB" w14:textId="77777777" w:rsidR="00B834A2" w:rsidRPr="00B834A2" w:rsidRDefault="00B834A2" w:rsidP="006035D0">
      <w:pPr>
        <w:spacing w:after="160" w:line="360" w:lineRule="auto"/>
        <w:ind w:firstLine="567"/>
        <w:jc w:val="both"/>
      </w:pPr>
      <w:r w:rsidRPr="002E2B4D">
        <w:rPr>
          <w:i/>
        </w:rPr>
        <w:lastRenderedPageBreak/>
        <w:t>(Գ) համեմատման լուծույթը։</w:t>
      </w:r>
      <w:r w:rsidRPr="00B834A2">
        <w:t xml:space="preserve"> 25 մկլ (ա) համեմատման լուծույթը </w:t>
      </w:r>
      <w:r>
        <w:t>եւ</w:t>
      </w:r>
      <w:r w:rsidRPr="00B834A2">
        <w:t xml:space="preserve"> 100 մկլ ներքին ստանդարտի լուծույթը Р մեթիլենքլորիդով հասցնում են մինչ</w:t>
      </w:r>
      <w:r>
        <w:t>եւ</w:t>
      </w:r>
      <w:r w:rsidRPr="00B834A2">
        <w:t xml:space="preserve"> 15,0 մլ ծավալի:</w:t>
      </w:r>
    </w:p>
    <w:p w14:paraId="4545147E" w14:textId="77777777" w:rsidR="00B834A2" w:rsidRPr="002E2B4D" w:rsidRDefault="00B834A2" w:rsidP="00B22C60">
      <w:pPr>
        <w:spacing w:after="160" w:line="360" w:lineRule="auto"/>
        <w:ind w:firstLine="567"/>
        <w:jc w:val="both"/>
        <w:rPr>
          <w:i/>
        </w:rPr>
      </w:pPr>
      <w:r w:rsidRPr="002E2B4D">
        <w:rPr>
          <w:i/>
        </w:rPr>
        <w:t>Քրոմատագրման պայմանները՝</w:t>
      </w:r>
    </w:p>
    <w:p w14:paraId="06300503"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2E2B4D">
        <w:rPr>
          <w:i/>
        </w:rPr>
        <w:t>աշտարակը</w:t>
      </w:r>
      <w:r w:rsidRPr="00B834A2">
        <w:t xml:space="preserve">՝ 15 մ երկարությամբ </w:t>
      </w:r>
      <w:r>
        <w:t>եւ</w:t>
      </w:r>
      <w:r w:rsidRPr="00B834A2">
        <w:t xml:space="preserve"> 0,25 մմ ներքին տրամագծով հալված կվարցից, 1 մկմ հաստությամբ Р պոլի(դիմեթիլ)սիլօքսանի շերտով պատված.</w:t>
      </w:r>
    </w:p>
    <w:p w14:paraId="7B3CFDDB"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2E2B4D">
        <w:rPr>
          <w:i/>
        </w:rPr>
        <w:t>կրող գազը</w:t>
      </w:r>
      <w:r w:rsidRPr="00B834A2">
        <w:t>՝ Р հելիում՝ քրոմատագրման համար.</w:t>
      </w:r>
    </w:p>
    <w:p w14:paraId="6DE3BC7B"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2E2B4D">
        <w:rPr>
          <w:i/>
        </w:rPr>
        <w:t>կրող գազի արագությունը</w:t>
      </w:r>
      <w:r w:rsidRPr="00B834A2">
        <w:t>՝ 1 մլ/րոպե.</w:t>
      </w:r>
    </w:p>
    <w:p w14:paraId="54C2B9B0"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2E2B4D">
        <w:rPr>
          <w:i/>
        </w:rPr>
        <w:t>իմպուլսային ներանցիչը</w:t>
      </w:r>
      <w:r w:rsidRPr="00B834A2">
        <w:t xml:space="preserve">՝ </w:t>
      </w:r>
      <w:r w:rsidRPr="002E2B4D">
        <w:rPr>
          <w:i/>
        </w:rPr>
        <w:t>առանց հոսքի բաժանման</w:t>
      </w:r>
      <w:r w:rsidRPr="00B834A2">
        <w:t>՝ 60 կՊա, 0,1 րոպե.</w:t>
      </w:r>
    </w:p>
    <w:p w14:paraId="4D5A6A48" w14:textId="77777777" w:rsidR="00B834A2" w:rsidRPr="002E2B4D" w:rsidRDefault="00B834A2" w:rsidP="00B22C60">
      <w:pPr>
        <w:tabs>
          <w:tab w:val="left" w:pos="1134"/>
        </w:tabs>
        <w:spacing w:after="160" w:line="360" w:lineRule="auto"/>
        <w:ind w:firstLine="567"/>
        <w:jc w:val="both"/>
        <w:rPr>
          <w:i/>
        </w:rPr>
      </w:pPr>
      <w:r w:rsidRPr="00B834A2">
        <w:t>-</w:t>
      </w:r>
      <w:r w:rsidR="00B22C60" w:rsidRPr="00B22C60">
        <w:tab/>
      </w:r>
      <w:r w:rsidRPr="002E2B4D">
        <w:rPr>
          <w:i/>
        </w:rPr>
        <w:t>ջերմաստիճանը՝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1"/>
        <w:gridCol w:w="2071"/>
        <w:gridCol w:w="2019"/>
      </w:tblGrid>
      <w:tr w:rsidR="00B834A2" w:rsidRPr="00B22C60" w14:paraId="00685607" w14:textId="77777777" w:rsidTr="00B22C60">
        <w:trPr>
          <w:jc w:val="center"/>
        </w:trPr>
        <w:tc>
          <w:tcPr>
            <w:tcW w:w="2501" w:type="dxa"/>
            <w:tcBorders>
              <w:top w:val="single" w:sz="4" w:space="0" w:color="auto"/>
            </w:tcBorders>
            <w:shd w:val="clear" w:color="auto" w:fill="FFFFFF"/>
          </w:tcPr>
          <w:p w14:paraId="20AC21BA" w14:textId="77777777" w:rsidR="00B834A2" w:rsidRPr="00B22C60" w:rsidRDefault="00B834A2" w:rsidP="00B22C60">
            <w:pPr>
              <w:spacing w:after="120"/>
              <w:jc w:val="both"/>
              <w:rPr>
                <w:sz w:val="20"/>
              </w:rPr>
            </w:pPr>
          </w:p>
        </w:tc>
        <w:tc>
          <w:tcPr>
            <w:tcW w:w="2071" w:type="dxa"/>
            <w:tcBorders>
              <w:top w:val="single" w:sz="4" w:space="0" w:color="auto"/>
            </w:tcBorders>
            <w:shd w:val="clear" w:color="auto" w:fill="FFFFFF"/>
            <w:vAlign w:val="bottom"/>
          </w:tcPr>
          <w:p w14:paraId="0696A0AF" w14:textId="77777777" w:rsidR="00B834A2" w:rsidRPr="00B22C60" w:rsidRDefault="00B834A2" w:rsidP="00B22C60">
            <w:pPr>
              <w:spacing w:after="120"/>
              <w:jc w:val="both"/>
              <w:rPr>
                <w:sz w:val="20"/>
              </w:rPr>
            </w:pPr>
            <w:r w:rsidRPr="00B22C60">
              <w:rPr>
                <w:sz w:val="20"/>
              </w:rPr>
              <w:t>Ժամանակը (րոպե)</w:t>
            </w:r>
          </w:p>
        </w:tc>
        <w:tc>
          <w:tcPr>
            <w:tcW w:w="2019" w:type="dxa"/>
            <w:tcBorders>
              <w:top w:val="single" w:sz="4" w:space="0" w:color="auto"/>
            </w:tcBorders>
            <w:shd w:val="clear" w:color="auto" w:fill="FFFFFF"/>
            <w:vAlign w:val="bottom"/>
          </w:tcPr>
          <w:p w14:paraId="5B9F1152" w14:textId="77777777" w:rsidR="00B834A2" w:rsidRPr="00B22C60" w:rsidRDefault="00B834A2" w:rsidP="00B22C60">
            <w:pPr>
              <w:spacing w:after="120"/>
              <w:jc w:val="both"/>
              <w:rPr>
                <w:sz w:val="20"/>
              </w:rPr>
            </w:pPr>
            <w:r w:rsidRPr="00B22C60">
              <w:rPr>
                <w:sz w:val="20"/>
              </w:rPr>
              <w:t>Ջերմաստիճանը (°С)</w:t>
            </w:r>
          </w:p>
        </w:tc>
      </w:tr>
      <w:tr w:rsidR="00B834A2" w:rsidRPr="00B22C60" w14:paraId="49F362E0" w14:textId="77777777" w:rsidTr="00B22C60">
        <w:trPr>
          <w:jc w:val="center"/>
        </w:trPr>
        <w:tc>
          <w:tcPr>
            <w:tcW w:w="2501" w:type="dxa"/>
            <w:tcBorders>
              <w:top w:val="single" w:sz="4" w:space="0" w:color="auto"/>
            </w:tcBorders>
            <w:shd w:val="clear" w:color="auto" w:fill="FFFFFF"/>
            <w:vAlign w:val="bottom"/>
          </w:tcPr>
          <w:p w14:paraId="3DB8F8D9" w14:textId="77777777" w:rsidR="00B834A2" w:rsidRPr="00E9405E" w:rsidRDefault="00B834A2" w:rsidP="00E9405E">
            <w:pPr>
              <w:spacing w:after="120"/>
              <w:jc w:val="both"/>
              <w:rPr>
                <w:sz w:val="20"/>
                <w:lang w:val="en-US"/>
              </w:rPr>
            </w:pPr>
            <w:r w:rsidRPr="00B22C60">
              <w:rPr>
                <w:sz w:val="20"/>
              </w:rPr>
              <w:t>Աշտարակը</w:t>
            </w:r>
            <w:r w:rsidR="00E9405E">
              <w:rPr>
                <w:sz w:val="20"/>
                <w:lang w:val="en-US"/>
              </w:rPr>
              <w:t>*</w:t>
            </w:r>
          </w:p>
        </w:tc>
        <w:tc>
          <w:tcPr>
            <w:tcW w:w="2071" w:type="dxa"/>
            <w:tcBorders>
              <w:top w:val="single" w:sz="4" w:space="0" w:color="auto"/>
            </w:tcBorders>
            <w:shd w:val="clear" w:color="auto" w:fill="FFFFFF"/>
            <w:vAlign w:val="bottom"/>
          </w:tcPr>
          <w:p w14:paraId="7C2F8069" w14:textId="77777777" w:rsidR="00B834A2" w:rsidRPr="00B22C60" w:rsidRDefault="00B834A2" w:rsidP="00E9405E">
            <w:pPr>
              <w:spacing w:after="120"/>
              <w:jc w:val="center"/>
              <w:rPr>
                <w:sz w:val="20"/>
              </w:rPr>
            </w:pPr>
            <w:r w:rsidRPr="00B22C60">
              <w:rPr>
                <w:sz w:val="20"/>
              </w:rPr>
              <w:t>0-4</w:t>
            </w:r>
          </w:p>
        </w:tc>
        <w:tc>
          <w:tcPr>
            <w:tcW w:w="2019" w:type="dxa"/>
            <w:tcBorders>
              <w:top w:val="single" w:sz="4" w:space="0" w:color="auto"/>
            </w:tcBorders>
            <w:shd w:val="clear" w:color="auto" w:fill="FFFFFF"/>
            <w:vAlign w:val="bottom"/>
          </w:tcPr>
          <w:p w14:paraId="455E33BB" w14:textId="77777777" w:rsidR="00B834A2" w:rsidRPr="00B22C60" w:rsidRDefault="00B834A2" w:rsidP="00E9405E">
            <w:pPr>
              <w:spacing w:after="120"/>
              <w:jc w:val="center"/>
              <w:rPr>
                <w:sz w:val="20"/>
              </w:rPr>
            </w:pPr>
            <w:r w:rsidRPr="00B22C60">
              <w:rPr>
                <w:sz w:val="20"/>
              </w:rPr>
              <w:t>40</w:t>
            </w:r>
          </w:p>
        </w:tc>
      </w:tr>
      <w:tr w:rsidR="00B834A2" w:rsidRPr="00B22C60" w14:paraId="61792128" w14:textId="77777777" w:rsidTr="00B22C60">
        <w:trPr>
          <w:jc w:val="center"/>
        </w:trPr>
        <w:tc>
          <w:tcPr>
            <w:tcW w:w="2501" w:type="dxa"/>
            <w:shd w:val="clear" w:color="auto" w:fill="FFFFFF"/>
          </w:tcPr>
          <w:p w14:paraId="19251254" w14:textId="77777777" w:rsidR="00B834A2" w:rsidRPr="00B22C60" w:rsidRDefault="00B834A2" w:rsidP="00B22C60">
            <w:pPr>
              <w:spacing w:after="120"/>
              <w:jc w:val="both"/>
              <w:rPr>
                <w:sz w:val="20"/>
              </w:rPr>
            </w:pPr>
          </w:p>
        </w:tc>
        <w:tc>
          <w:tcPr>
            <w:tcW w:w="2071" w:type="dxa"/>
            <w:shd w:val="clear" w:color="auto" w:fill="FFFFFF"/>
          </w:tcPr>
          <w:p w14:paraId="3E3CEA05" w14:textId="77777777" w:rsidR="00B834A2" w:rsidRPr="00B22C60" w:rsidRDefault="00B834A2" w:rsidP="00E9405E">
            <w:pPr>
              <w:spacing w:after="120"/>
              <w:jc w:val="center"/>
              <w:rPr>
                <w:sz w:val="20"/>
              </w:rPr>
            </w:pPr>
            <w:r w:rsidRPr="00B22C60">
              <w:rPr>
                <w:sz w:val="20"/>
              </w:rPr>
              <w:t>4-8</w:t>
            </w:r>
          </w:p>
        </w:tc>
        <w:tc>
          <w:tcPr>
            <w:tcW w:w="2019" w:type="dxa"/>
            <w:shd w:val="clear" w:color="auto" w:fill="FFFFFF"/>
          </w:tcPr>
          <w:p w14:paraId="41EAA2EC" w14:textId="77777777" w:rsidR="00B834A2" w:rsidRPr="00B22C60" w:rsidRDefault="00B834A2" w:rsidP="00E9405E">
            <w:pPr>
              <w:spacing w:after="120"/>
              <w:jc w:val="center"/>
              <w:rPr>
                <w:sz w:val="20"/>
              </w:rPr>
            </w:pPr>
            <w:r w:rsidRPr="00B22C60">
              <w:rPr>
                <w:sz w:val="20"/>
              </w:rPr>
              <w:t xml:space="preserve">40 </w:t>
            </w:r>
            <w:r w:rsidRPr="00B22C60">
              <w:rPr>
                <w:rFonts w:ascii="Times New Roman" w:hAnsi="Times New Roman" w:cs="Times New Roman"/>
                <w:sz w:val="20"/>
              </w:rPr>
              <w:t>→</w:t>
            </w:r>
            <w:r w:rsidRPr="00B22C60">
              <w:rPr>
                <w:sz w:val="20"/>
              </w:rPr>
              <w:t xml:space="preserve"> 200</w:t>
            </w:r>
          </w:p>
        </w:tc>
      </w:tr>
      <w:tr w:rsidR="00B834A2" w:rsidRPr="00B22C60" w14:paraId="10CFA956" w14:textId="77777777" w:rsidTr="00B22C60">
        <w:trPr>
          <w:jc w:val="center"/>
        </w:trPr>
        <w:tc>
          <w:tcPr>
            <w:tcW w:w="2501" w:type="dxa"/>
            <w:shd w:val="clear" w:color="auto" w:fill="FFFFFF"/>
            <w:vAlign w:val="bottom"/>
          </w:tcPr>
          <w:p w14:paraId="7EF9EB2C" w14:textId="77777777" w:rsidR="00B834A2" w:rsidRPr="00B22C60" w:rsidRDefault="00B834A2" w:rsidP="00B22C60">
            <w:pPr>
              <w:spacing w:after="120"/>
              <w:jc w:val="both"/>
              <w:rPr>
                <w:sz w:val="20"/>
              </w:rPr>
            </w:pPr>
            <w:r w:rsidRPr="00B22C60">
              <w:rPr>
                <w:sz w:val="20"/>
              </w:rPr>
              <w:t>Փորձանմուշների ներմուծման բլոկը</w:t>
            </w:r>
          </w:p>
        </w:tc>
        <w:tc>
          <w:tcPr>
            <w:tcW w:w="2071" w:type="dxa"/>
            <w:shd w:val="clear" w:color="auto" w:fill="FFFFFF"/>
          </w:tcPr>
          <w:p w14:paraId="54BFE98C" w14:textId="77777777" w:rsidR="00B834A2" w:rsidRPr="00B22C60" w:rsidRDefault="00B834A2" w:rsidP="00B22C60">
            <w:pPr>
              <w:spacing w:after="120"/>
              <w:jc w:val="both"/>
              <w:rPr>
                <w:sz w:val="20"/>
              </w:rPr>
            </w:pPr>
          </w:p>
        </w:tc>
        <w:tc>
          <w:tcPr>
            <w:tcW w:w="2019" w:type="dxa"/>
            <w:shd w:val="clear" w:color="auto" w:fill="FFFFFF"/>
            <w:vAlign w:val="bottom"/>
          </w:tcPr>
          <w:p w14:paraId="616F95B8" w14:textId="77777777" w:rsidR="00B834A2" w:rsidRPr="00B22C60" w:rsidRDefault="00B834A2" w:rsidP="00E9405E">
            <w:pPr>
              <w:spacing w:after="120"/>
              <w:jc w:val="center"/>
              <w:rPr>
                <w:sz w:val="20"/>
              </w:rPr>
            </w:pPr>
            <w:r w:rsidRPr="00B22C60">
              <w:rPr>
                <w:sz w:val="20"/>
              </w:rPr>
              <w:t>240</w:t>
            </w:r>
          </w:p>
        </w:tc>
      </w:tr>
      <w:tr w:rsidR="00B834A2" w:rsidRPr="00B22C60" w14:paraId="0D2852D8" w14:textId="77777777" w:rsidTr="00B22C60">
        <w:trPr>
          <w:jc w:val="center"/>
        </w:trPr>
        <w:tc>
          <w:tcPr>
            <w:tcW w:w="4572" w:type="dxa"/>
            <w:gridSpan w:val="2"/>
            <w:shd w:val="clear" w:color="auto" w:fill="FFFFFF"/>
            <w:vAlign w:val="bottom"/>
          </w:tcPr>
          <w:p w14:paraId="099FF487" w14:textId="77777777" w:rsidR="00B834A2" w:rsidRPr="00B22C60" w:rsidRDefault="00B834A2" w:rsidP="00B22C60">
            <w:pPr>
              <w:spacing w:after="120"/>
              <w:jc w:val="both"/>
              <w:rPr>
                <w:sz w:val="20"/>
              </w:rPr>
            </w:pPr>
            <w:r w:rsidRPr="00B22C60">
              <w:rPr>
                <w:sz w:val="20"/>
              </w:rPr>
              <w:t>Դետեկտորը՝ ավտոմատ գիծ</w:t>
            </w:r>
          </w:p>
        </w:tc>
        <w:tc>
          <w:tcPr>
            <w:tcW w:w="2019" w:type="dxa"/>
            <w:shd w:val="clear" w:color="auto" w:fill="FFFFFF"/>
            <w:vAlign w:val="bottom"/>
          </w:tcPr>
          <w:p w14:paraId="58749FEE" w14:textId="77777777" w:rsidR="00B834A2" w:rsidRPr="00B22C60" w:rsidRDefault="00B834A2" w:rsidP="00E9405E">
            <w:pPr>
              <w:spacing w:after="120"/>
              <w:jc w:val="center"/>
              <w:rPr>
                <w:sz w:val="20"/>
              </w:rPr>
            </w:pPr>
            <w:r w:rsidRPr="00B22C60">
              <w:rPr>
                <w:sz w:val="20"/>
              </w:rPr>
              <w:t>280</w:t>
            </w:r>
          </w:p>
        </w:tc>
      </w:tr>
      <w:tr w:rsidR="00E9405E" w:rsidRPr="00B22C60" w14:paraId="6C0A0754" w14:textId="77777777" w:rsidTr="00E2444F">
        <w:trPr>
          <w:jc w:val="center"/>
        </w:trPr>
        <w:tc>
          <w:tcPr>
            <w:tcW w:w="4572" w:type="dxa"/>
            <w:gridSpan w:val="2"/>
            <w:shd w:val="clear" w:color="auto" w:fill="FFFFFF"/>
            <w:vAlign w:val="bottom"/>
          </w:tcPr>
          <w:p w14:paraId="5EFED2BA" w14:textId="77777777" w:rsidR="00E9405E" w:rsidRPr="00B22C60" w:rsidRDefault="00E9405E" w:rsidP="00E9405E">
            <w:pPr>
              <w:spacing w:after="120"/>
              <w:jc w:val="center"/>
              <w:rPr>
                <w:sz w:val="20"/>
              </w:rPr>
            </w:pPr>
            <w:r w:rsidRPr="00B22C60">
              <w:rPr>
                <w:sz w:val="20"/>
              </w:rPr>
              <w:t>ԱՂԲՅՈՒՐԸ</w:t>
            </w:r>
          </w:p>
        </w:tc>
        <w:tc>
          <w:tcPr>
            <w:tcW w:w="2019" w:type="dxa"/>
            <w:shd w:val="clear" w:color="auto" w:fill="FFFFFF"/>
            <w:vAlign w:val="bottom"/>
          </w:tcPr>
          <w:p w14:paraId="70E7147E" w14:textId="77777777" w:rsidR="00E9405E" w:rsidRPr="00B22C60" w:rsidRDefault="00E9405E" w:rsidP="00E9405E">
            <w:pPr>
              <w:spacing w:after="120"/>
              <w:jc w:val="center"/>
              <w:rPr>
                <w:sz w:val="20"/>
              </w:rPr>
            </w:pPr>
            <w:r w:rsidRPr="00B22C60">
              <w:rPr>
                <w:sz w:val="20"/>
              </w:rPr>
              <w:t>230</w:t>
            </w:r>
          </w:p>
        </w:tc>
      </w:tr>
      <w:tr w:rsidR="00E9405E" w:rsidRPr="00B22C60" w14:paraId="7CBCDA33" w14:textId="77777777" w:rsidTr="00E2444F">
        <w:trPr>
          <w:jc w:val="center"/>
        </w:trPr>
        <w:tc>
          <w:tcPr>
            <w:tcW w:w="4572" w:type="dxa"/>
            <w:gridSpan w:val="2"/>
            <w:tcBorders>
              <w:bottom w:val="single" w:sz="4" w:space="0" w:color="auto"/>
            </w:tcBorders>
            <w:shd w:val="clear" w:color="auto" w:fill="FFFFFF"/>
            <w:vAlign w:val="bottom"/>
          </w:tcPr>
          <w:p w14:paraId="57C80E89" w14:textId="77777777" w:rsidR="00E9405E" w:rsidRPr="00B22C60" w:rsidRDefault="00E9405E" w:rsidP="00E9405E">
            <w:pPr>
              <w:spacing w:after="120"/>
              <w:jc w:val="center"/>
              <w:rPr>
                <w:sz w:val="20"/>
              </w:rPr>
            </w:pPr>
            <w:r w:rsidRPr="00B22C60">
              <w:rPr>
                <w:sz w:val="20"/>
              </w:rPr>
              <w:t>անալիզարարը</w:t>
            </w:r>
          </w:p>
        </w:tc>
        <w:tc>
          <w:tcPr>
            <w:tcW w:w="2019" w:type="dxa"/>
            <w:tcBorders>
              <w:bottom w:val="single" w:sz="8" w:space="0" w:color="auto"/>
            </w:tcBorders>
            <w:shd w:val="clear" w:color="auto" w:fill="FFFFFF"/>
            <w:vAlign w:val="bottom"/>
          </w:tcPr>
          <w:p w14:paraId="30E282B3" w14:textId="77777777" w:rsidR="00E9405E" w:rsidRPr="00B22C60" w:rsidRDefault="00E9405E" w:rsidP="00E9405E">
            <w:pPr>
              <w:spacing w:after="120"/>
              <w:jc w:val="center"/>
              <w:rPr>
                <w:sz w:val="20"/>
              </w:rPr>
            </w:pPr>
            <w:r w:rsidRPr="00B22C60">
              <w:rPr>
                <w:sz w:val="20"/>
              </w:rPr>
              <w:t>150</w:t>
            </w:r>
          </w:p>
        </w:tc>
      </w:tr>
    </w:tbl>
    <w:p w14:paraId="740BDA2C" w14:textId="77777777" w:rsidR="00B834A2" w:rsidRPr="00F076B2" w:rsidRDefault="00E9405E" w:rsidP="00F076B2">
      <w:pPr>
        <w:spacing w:after="160" w:line="360" w:lineRule="auto"/>
        <w:ind w:firstLine="567"/>
        <w:jc w:val="both"/>
        <w:rPr>
          <w:sz w:val="20"/>
        </w:rPr>
      </w:pPr>
      <w:r w:rsidRPr="00E9405E">
        <w:rPr>
          <w:sz w:val="20"/>
        </w:rPr>
        <w:t>* Անալիզի վերջում աշտարակի ջերմաստիճանը բարձրացնում են մինչեւ 270 °С եւ պահում 8</w:t>
      </w:r>
      <w:r w:rsidR="00F076B2" w:rsidRPr="00F076B2">
        <w:rPr>
          <w:sz w:val="20"/>
        </w:rPr>
        <w:t> </w:t>
      </w:r>
      <w:r w:rsidRPr="00E9405E">
        <w:rPr>
          <w:sz w:val="20"/>
        </w:rPr>
        <w:t>րոպե:</w:t>
      </w:r>
    </w:p>
    <w:p w14:paraId="05BDCFBC" w14:textId="77777777" w:rsidR="00E9405E" w:rsidRPr="00F076B2" w:rsidRDefault="00E9405E" w:rsidP="00B834A2">
      <w:pPr>
        <w:spacing w:after="160" w:line="360" w:lineRule="auto"/>
        <w:jc w:val="both"/>
        <w:rPr>
          <w:sz w:val="20"/>
        </w:rPr>
      </w:pPr>
    </w:p>
    <w:p w14:paraId="5DD71B9D"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E9405E">
        <w:rPr>
          <w:i/>
        </w:rPr>
        <w:t>դետեկտորը՝</w:t>
      </w:r>
      <w:r w:rsidRPr="00B834A2">
        <w:t xml:space="preserve"> զանգվածասպեկտրաչափական՝ ստոր</w:t>
      </w:r>
      <w:r>
        <w:t>եւ</w:t>
      </w:r>
      <w:r w:rsidRPr="00B834A2">
        <w:t xml:space="preserve"> նկարագրված, համակարգի պիտանիության չափորոշիչներին համապատասխանության համար ճշգրտում են դետեկտորի սարքաբերումը.</w:t>
      </w:r>
    </w:p>
    <w:p w14:paraId="204B3858"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E9405E">
        <w:t>քառաբեւեռ զանգվածասպեկտրաչափը</w:t>
      </w:r>
      <w:r w:rsidRPr="00B834A2">
        <w:t>՝ (70 էՎ) էլեկտրոնային հարվածով իոնացման համակարգով համալրված.</w:t>
      </w:r>
    </w:p>
    <w:p w14:paraId="00BD4770"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B834A2">
        <w:t>ֆրագմենտաչափության (միաիոն մոնիթորինգ) ռեժիմի համար զանգվածասպեկտրաչափի պարամետրերը սահմանում են հետ</w:t>
      </w:r>
      <w:r>
        <w:t>եւ</w:t>
      </w:r>
      <w:r w:rsidRPr="00B834A2">
        <w:t>յալ կերպ.</w:t>
      </w:r>
    </w:p>
    <w:tbl>
      <w:tblPr>
        <w:tblOverlap w:val="never"/>
        <w:tblW w:w="7865" w:type="dxa"/>
        <w:jc w:val="center"/>
        <w:tblLayout w:type="fixed"/>
        <w:tblCellMar>
          <w:left w:w="10" w:type="dxa"/>
          <w:right w:w="10" w:type="dxa"/>
        </w:tblCellMar>
        <w:tblLook w:val="04A0" w:firstRow="1" w:lastRow="0" w:firstColumn="1" w:lastColumn="0" w:noHBand="0" w:noVBand="1"/>
      </w:tblPr>
      <w:tblGrid>
        <w:gridCol w:w="3188"/>
        <w:gridCol w:w="1701"/>
        <w:gridCol w:w="2976"/>
      </w:tblGrid>
      <w:tr w:rsidR="00B834A2" w:rsidRPr="00B22C60" w14:paraId="5B40DBC3" w14:textId="77777777" w:rsidTr="001F5087">
        <w:trPr>
          <w:jc w:val="center"/>
        </w:trPr>
        <w:tc>
          <w:tcPr>
            <w:tcW w:w="3188" w:type="dxa"/>
            <w:tcBorders>
              <w:top w:val="single" w:sz="4" w:space="0" w:color="auto"/>
            </w:tcBorders>
            <w:shd w:val="clear" w:color="auto" w:fill="FFFFFF"/>
            <w:vAlign w:val="center"/>
          </w:tcPr>
          <w:p w14:paraId="786A4164" w14:textId="77777777" w:rsidR="00B834A2" w:rsidRPr="00B22C60" w:rsidRDefault="00B834A2" w:rsidP="00B22C60">
            <w:pPr>
              <w:spacing w:after="120"/>
              <w:jc w:val="both"/>
              <w:rPr>
                <w:sz w:val="20"/>
              </w:rPr>
            </w:pPr>
            <w:r w:rsidRPr="00B22C60">
              <w:rPr>
                <w:sz w:val="20"/>
              </w:rPr>
              <w:lastRenderedPageBreak/>
              <w:t>Նյութը</w:t>
            </w:r>
          </w:p>
        </w:tc>
        <w:tc>
          <w:tcPr>
            <w:tcW w:w="1701" w:type="dxa"/>
            <w:tcBorders>
              <w:top w:val="single" w:sz="4" w:space="0" w:color="auto"/>
            </w:tcBorders>
            <w:shd w:val="clear" w:color="auto" w:fill="FFFFFF"/>
            <w:vAlign w:val="center"/>
          </w:tcPr>
          <w:p w14:paraId="1F5B91E4" w14:textId="77777777" w:rsidR="00B834A2" w:rsidRPr="00B22C60" w:rsidRDefault="00B834A2" w:rsidP="00B22C60">
            <w:pPr>
              <w:spacing w:after="120"/>
              <w:jc w:val="both"/>
              <w:rPr>
                <w:sz w:val="20"/>
              </w:rPr>
            </w:pPr>
            <w:r w:rsidRPr="00B22C60">
              <w:rPr>
                <w:sz w:val="20"/>
              </w:rPr>
              <w:t>զանգված/լիցք</w:t>
            </w:r>
          </w:p>
        </w:tc>
        <w:tc>
          <w:tcPr>
            <w:tcW w:w="2976" w:type="dxa"/>
            <w:tcBorders>
              <w:top w:val="single" w:sz="4" w:space="0" w:color="auto"/>
            </w:tcBorders>
            <w:shd w:val="clear" w:color="auto" w:fill="FFFFFF"/>
            <w:vAlign w:val="bottom"/>
          </w:tcPr>
          <w:p w14:paraId="16F8A0E3" w14:textId="77777777" w:rsidR="00B834A2" w:rsidRPr="00B22C60" w:rsidRDefault="00B834A2" w:rsidP="00B22C60">
            <w:pPr>
              <w:spacing w:after="120"/>
              <w:jc w:val="both"/>
              <w:rPr>
                <w:sz w:val="20"/>
              </w:rPr>
            </w:pPr>
            <w:r w:rsidRPr="00B22C60">
              <w:rPr>
                <w:sz w:val="20"/>
              </w:rPr>
              <w:t>Մոնիթորինգի տեւողությունը</w:t>
            </w:r>
          </w:p>
        </w:tc>
      </w:tr>
      <w:tr w:rsidR="00B834A2" w:rsidRPr="00B22C60" w14:paraId="17D17946" w14:textId="77777777" w:rsidTr="001F5087">
        <w:trPr>
          <w:jc w:val="center"/>
        </w:trPr>
        <w:tc>
          <w:tcPr>
            <w:tcW w:w="3188" w:type="dxa"/>
            <w:tcBorders>
              <w:top w:val="single" w:sz="4" w:space="0" w:color="auto"/>
            </w:tcBorders>
            <w:shd w:val="clear" w:color="auto" w:fill="FFFFFF"/>
          </w:tcPr>
          <w:p w14:paraId="623BA3A0" w14:textId="77777777" w:rsidR="00B834A2" w:rsidRPr="00B22C60" w:rsidRDefault="00B834A2" w:rsidP="00B22C60">
            <w:pPr>
              <w:spacing w:after="120"/>
              <w:jc w:val="both"/>
              <w:rPr>
                <w:sz w:val="20"/>
              </w:rPr>
            </w:pPr>
            <w:r w:rsidRPr="00B22C60">
              <w:rPr>
                <w:sz w:val="20"/>
              </w:rPr>
              <w:t>Մեթանսուլֆոնիլքլորիդ</w:t>
            </w:r>
          </w:p>
        </w:tc>
        <w:tc>
          <w:tcPr>
            <w:tcW w:w="1701" w:type="dxa"/>
            <w:tcBorders>
              <w:top w:val="single" w:sz="4" w:space="0" w:color="auto"/>
            </w:tcBorders>
            <w:shd w:val="clear" w:color="auto" w:fill="FFFFFF"/>
          </w:tcPr>
          <w:p w14:paraId="25011E86" w14:textId="77777777" w:rsidR="00B834A2" w:rsidRPr="00B22C60" w:rsidRDefault="00B834A2" w:rsidP="001F5087">
            <w:pPr>
              <w:spacing w:after="120"/>
              <w:jc w:val="center"/>
              <w:rPr>
                <w:sz w:val="20"/>
              </w:rPr>
            </w:pPr>
            <w:r w:rsidRPr="00B22C60">
              <w:rPr>
                <w:sz w:val="20"/>
              </w:rPr>
              <w:t>79</w:t>
            </w:r>
          </w:p>
        </w:tc>
        <w:tc>
          <w:tcPr>
            <w:tcW w:w="2976" w:type="dxa"/>
            <w:tcBorders>
              <w:top w:val="single" w:sz="4" w:space="0" w:color="auto"/>
            </w:tcBorders>
            <w:shd w:val="clear" w:color="auto" w:fill="FFFFFF"/>
          </w:tcPr>
          <w:p w14:paraId="36FCB5A6" w14:textId="77777777" w:rsidR="00B834A2" w:rsidRPr="00B22C60" w:rsidRDefault="00B834A2" w:rsidP="001F5087">
            <w:pPr>
              <w:spacing w:after="120"/>
              <w:jc w:val="center"/>
              <w:rPr>
                <w:sz w:val="20"/>
              </w:rPr>
            </w:pPr>
            <w:r w:rsidRPr="001F5087">
              <w:rPr>
                <w:i/>
                <w:sz w:val="20"/>
              </w:rPr>
              <w:t>t</w:t>
            </w:r>
            <w:r w:rsidRPr="001F5087">
              <w:rPr>
                <w:i/>
                <w:sz w:val="20"/>
                <w:vertAlign w:val="subscript"/>
              </w:rPr>
              <w:t>R</w:t>
            </w:r>
            <w:r w:rsidRPr="001F5087">
              <w:rPr>
                <w:i/>
                <w:sz w:val="20"/>
              </w:rPr>
              <w:t>՝</w:t>
            </w:r>
            <w:r w:rsidRPr="00B22C60">
              <w:rPr>
                <w:sz w:val="20"/>
              </w:rPr>
              <w:t xml:space="preserve"> 3,3-6,0 րոպե</w:t>
            </w:r>
          </w:p>
        </w:tc>
      </w:tr>
      <w:tr w:rsidR="00B834A2" w:rsidRPr="00B22C60" w14:paraId="2450B2AF" w14:textId="77777777" w:rsidTr="001F5087">
        <w:trPr>
          <w:jc w:val="center"/>
        </w:trPr>
        <w:tc>
          <w:tcPr>
            <w:tcW w:w="3188" w:type="dxa"/>
            <w:tcBorders>
              <w:bottom w:val="single" w:sz="4" w:space="0" w:color="auto"/>
            </w:tcBorders>
            <w:shd w:val="clear" w:color="auto" w:fill="FFFFFF"/>
          </w:tcPr>
          <w:p w14:paraId="5A262F58" w14:textId="77777777" w:rsidR="00B834A2" w:rsidRPr="00B22C60" w:rsidRDefault="00B834A2" w:rsidP="001F5087">
            <w:pPr>
              <w:spacing w:after="120"/>
              <w:jc w:val="both"/>
              <w:rPr>
                <w:sz w:val="20"/>
              </w:rPr>
            </w:pPr>
            <w:r w:rsidRPr="00B22C60">
              <w:rPr>
                <w:sz w:val="20"/>
              </w:rPr>
              <w:t>Բութիլ-մեթանսուլֆոնատ</w:t>
            </w:r>
            <w:r w:rsidR="001F5087">
              <w:rPr>
                <w:sz w:val="20"/>
                <w:lang w:val="en-US"/>
              </w:rPr>
              <w:t xml:space="preserve"> </w:t>
            </w:r>
            <w:r w:rsidRPr="00B22C60">
              <w:rPr>
                <w:sz w:val="20"/>
              </w:rPr>
              <w:t>(ԲՄՍ)</w:t>
            </w:r>
          </w:p>
        </w:tc>
        <w:tc>
          <w:tcPr>
            <w:tcW w:w="1701" w:type="dxa"/>
            <w:tcBorders>
              <w:bottom w:val="single" w:sz="8" w:space="0" w:color="auto"/>
            </w:tcBorders>
            <w:shd w:val="clear" w:color="auto" w:fill="FFFFFF"/>
          </w:tcPr>
          <w:p w14:paraId="05F336A9" w14:textId="77777777" w:rsidR="00B834A2" w:rsidRPr="00B22C60" w:rsidRDefault="00B834A2" w:rsidP="001F5087">
            <w:pPr>
              <w:spacing w:after="120"/>
              <w:jc w:val="center"/>
              <w:rPr>
                <w:sz w:val="20"/>
              </w:rPr>
            </w:pPr>
            <w:r w:rsidRPr="00B22C60">
              <w:rPr>
                <w:sz w:val="20"/>
              </w:rPr>
              <w:t>56</w:t>
            </w:r>
          </w:p>
        </w:tc>
        <w:tc>
          <w:tcPr>
            <w:tcW w:w="2976" w:type="dxa"/>
            <w:tcBorders>
              <w:bottom w:val="single" w:sz="8" w:space="0" w:color="auto"/>
            </w:tcBorders>
            <w:shd w:val="clear" w:color="auto" w:fill="FFFFFF"/>
          </w:tcPr>
          <w:p w14:paraId="5E84B641" w14:textId="77777777" w:rsidR="00B834A2" w:rsidRPr="00B22C60" w:rsidRDefault="00B834A2" w:rsidP="001F5087">
            <w:pPr>
              <w:spacing w:after="120"/>
              <w:jc w:val="center"/>
              <w:rPr>
                <w:sz w:val="20"/>
              </w:rPr>
            </w:pPr>
            <w:r w:rsidRPr="001F5087">
              <w:rPr>
                <w:i/>
                <w:sz w:val="20"/>
              </w:rPr>
              <w:t>t</w:t>
            </w:r>
            <w:r w:rsidRPr="001F5087">
              <w:rPr>
                <w:i/>
                <w:sz w:val="20"/>
                <w:vertAlign w:val="subscript"/>
              </w:rPr>
              <w:t>R</w:t>
            </w:r>
            <w:r w:rsidRPr="00B22C60">
              <w:rPr>
                <w:sz w:val="20"/>
              </w:rPr>
              <w:t>՝ 6,0-8,0 րոպե</w:t>
            </w:r>
          </w:p>
        </w:tc>
      </w:tr>
    </w:tbl>
    <w:p w14:paraId="46E39999" w14:textId="77777777" w:rsidR="00B834A2" w:rsidRPr="00B834A2" w:rsidRDefault="00B834A2" w:rsidP="00B834A2">
      <w:pPr>
        <w:spacing w:after="160" w:line="360" w:lineRule="auto"/>
        <w:jc w:val="both"/>
      </w:pPr>
    </w:p>
    <w:p w14:paraId="24885B00"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1F5087">
        <w:rPr>
          <w:i/>
        </w:rPr>
        <w:t>ներմուծվող փորձանմուշի ծավալը</w:t>
      </w:r>
      <w:r w:rsidRPr="00B834A2">
        <w:t>՝ 5 մկլ։</w:t>
      </w:r>
    </w:p>
    <w:p w14:paraId="1E17CF5E" w14:textId="77777777" w:rsidR="00B834A2" w:rsidRPr="00B834A2" w:rsidRDefault="00B834A2" w:rsidP="00B22C60">
      <w:pPr>
        <w:spacing w:after="160" w:line="360" w:lineRule="auto"/>
        <w:ind w:firstLine="567"/>
        <w:jc w:val="both"/>
      </w:pPr>
      <w:r w:rsidRPr="001F5087">
        <w:rPr>
          <w:i/>
        </w:rPr>
        <w:t>Հարաբերական պահումը</w:t>
      </w:r>
      <w:r w:rsidRPr="00B834A2">
        <w:t xml:space="preserve"> (ներքին ստանդարտի (ԲՄՍ) պահման ժամանակը՝ մոտավորապես 7,2 րոպե). մեթանսուլֆոնիլքլորիդ՝ մոտավորապես 0,68 րոպե:</w:t>
      </w:r>
    </w:p>
    <w:p w14:paraId="127AFDC0" w14:textId="77777777" w:rsidR="00B834A2" w:rsidRPr="001F5087" w:rsidRDefault="00B834A2" w:rsidP="00B22C60">
      <w:pPr>
        <w:spacing w:after="160" w:line="360" w:lineRule="auto"/>
        <w:ind w:firstLine="567"/>
        <w:jc w:val="both"/>
        <w:rPr>
          <w:i/>
        </w:rPr>
      </w:pPr>
      <w:r w:rsidRPr="001F5087">
        <w:rPr>
          <w:i/>
        </w:rPr>
        <w:t>Քրոմատագրման համակարգի պիտանիությունը՝</w:t>
      </w:r>
    </w:p>
    <w:p w14:paraId="136575DC"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B834A2">
        <w:t>ներքին ստանդարտի լուծույթի քրոմատագրի վրա չպետք է հայտնաբերվի պահման այն ժամանակի հետ պիկ, որը նույնական է մեթանսուլֆոնիլքլորիդին.</w:t>
      </w:r>
    </w:p>
    <w:p w14:paraId="36673ADC"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1F5087">
        <w:rPr>
          <w:i/>
        </w:rPr>
        <w:t>լուծաչափը՝</w:t>
      </w:r>
      <w:r w:rsidRPr="00B834A2">
        <w:t xml:space="preserve"> մեթանսուլֆոնիլքլորիդի </w:t>
      </w:r>
      <w:r>
        <w:t>եւ</w:t>
      </w:r>
      <w:r w:rsidRPr="00B834A2">
        <w:t xml:space="preserve"> ԲՄՍ-ի պիկերի միջ</w:t>
      </w:r>
      <w:r>
        <w:t>եւ</w:t>
      </w:r>
      <w:r w:rsidRPr="00B834A2">
        <w:t xml:space="preserve"> առնվազն 5,0՝ (բ) համեմատման լուծույթի քրոմատագրի վրա.</w:t>
      </w:r>
    </w:p>
    <w:p w14:paraId="3149DDC5" w14:textId="77777777" w:rsidR="00B834A2" w:rsidRPr="00B834A2" w:rsidRDefault="00B834A2" w:rsidP="00B22C60">
      <w:pPr>
        <w:tabs>
          <w:tab w:val="left" w:pos="1134"/>
        </w:tabs>
        <w:spacing w:after="160" w:line="360" w:lineRule="auto"/>
        <w:ind w:firstLine="567"/>
        <w:jc w:val="both"/>
      </w:pPr>
      <w:r w:rsidRPr="00B834A2">
        <w:t>-</w:t>
      </w:r>
      <w:r w:rsidR="00B22C60" w:rsidRPr="00B22C60">
        <w:tab/>
      </w:r>
      <w:r w:rsidRPr="001F5087">
        <w:rPr>
          <w:i/>
        </w:rPr>
        <w:t>ազդանշան/աղմուկ հարաբերակցությունը</w:t>
      </w:r>
      <w:r w:rsidRPr="00B834A2">
        <w:t>՝ մեթանսուլֆոնիլքլորիդի պիկի համար առնվազն 10՝ (գ) համեմատման լուծույթի քրոմատագրի վրա:</w:t>
      </w:r>
    </w:p>
    <w:p w14:paraId="79CD8BDB" w14:textId="77777777" w:rsidR="00B834A2" w:rsidRPr="00B834A2" w:rsidRDefault="00B834A2" w:rsidP="00B22C60">
      <w:pPr>
        <w:spacing w:after="160" w:line="360" w:lineRule="auto"/>
        <w:ind w:firstLine="567"/>
        <w:jc w:val="both"/>
      </w:pPr>
      <w:r w:rsidRPr="00B834A2">
        <w:t>Մեթանսուլֆոնիլքլորիդի պարունակությունը՝ միլիոներորդ մասով (ppm), հաշվարկվում է հետ</w:t>
      </w:r>
      <w:r>
        <w:t>եւ</w:t>
      </w:r>
      <w:r w:rsidRPr="00B834A2">
        <w:t>յալ բանաձ</w:t>
      </w:r>
      <w:r>
        <w:t>եւ</w:t>
      </w:r>
      <w:r w:rsidRPr="00B834A2">
        <w:t>ով.</w:t>
      </w:r>
    </w:p>
    <w:p w14:paraId="5D7B40BA" w14:textId="77777777" w:rsidR="00B834A2" w:rsidRPr="00B834A2" w:rsidRDefault="00000000" w:rsidP="00B834A2">
      <w:pPr>
        <w:spacing w:after="160" w:line="360" w:lineRule="auto"/>
        <w:jc w:val="both"/>
      </w:pPr>
      <m:oMathPara>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r>
                <w:rPr>
                  <w:rFonts w:ascii="Cambria Math" w:hAnsi="Cambria Math"/>
                </w:rPr>
                <m:t>Q</m:t>
              </m:r>
              <m:r>
                <m:rPr>
                  <m:sty m:val="p"/>
                </m:rPr>
                <w:rPr>
                  <w:rFonts w:ascii="Cambria Math" w:hAnsi="Cambria Math"/>
                </w:rPr>
                <m:t>∙1,5</m:t>
              </m:r>
            </m:num>
            <m:den>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S</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а</m:t>
                  </m:r>
                </m:e>
                <m:sub>
                  <m:r>
                    <m:rPr>
                      <m:sty m:val="p"/>
                    </m:rPr>
                    <w:rPr>
                      <w:rFonts w:ascii="Cambria Math" w:hAnsi="Cambria Math"/>
                    </w:rPr>
                    <m:t>2</m:t>
                  </m:r>
                </m:sub>
              </m:sSub>
            </m:den>
          </m:f>
          <m:r>
            <m:rPr>
              <m:sty m:val="p"/>
            </m:rPr>
            <w:rPr>
              <w:rFonts w:ascii="Cambria Math" w:hAnsi="Cambria Math"/>
            </w:rPr>
            <m:t>,</m:t>
          </m:r>
        </m:oMath>
      </m:oMathPara>
    </w:p>
    <w:p w14:paraId="5C6EF643" w14:textId="77777777" w:rsidR="00B834A2" w:rsidRPr="00B834A2" w:rsidRDefault="00B834A2" w:rsidP="00B22C60">
      <w:pPr>
        <w:spacing w:after="160" w:line="360" w:lineRule="auto"/>
        <w:ind w:firstLine="567"/>
        <w:jc w:val="both"/>
      </w:pPr>
      <w:r w:rsidRPr="00B834A2">
        <w:t xml:space="preserve">որտեղ՝ </w:t>
      </w:r>
    </w:p>
    <w:p w14:paraId="27EA4840" w14:textId="77777777" w:rsidR="00B834A2" w:rsidRPr="00B834A2" w:rsidRDefault="00B834A2" w:rsidP="00B22C60">
      <w:pPr>
        <w:spacing w:after="160" w:line="360" w:lineRule="auto"/>
        <w:ind w:firstLine="567"/>
        <w:jc w:val="both"/>
      </w:pPr>
      <w:r w:rsidRPr="001F5087">
        <w:rPr>
          <w:i/>
        </w:rPr>
        <w:t>Տ</w:t>
      </w:r>
      <w:r w:rsidRPr="001F5087">
        <w:rPr>
          <w:i/>
          <w:vertAlign w:val="subscript"/>
        </w:rPr>
        <w:t>1</w:t>
      </w:r>
      <w:r w:rsidRPr="00B834A2">
        <w:t>-ը (բ) համեմատման լուծույթի քրոմատագրի վրա մեթանսուլֆոնիլքլորիդի պիկի մակերեսն է.</w:t>
      </w:r>
    </w:p>
    <w:p w14:paraId="61E285E8" w14:textId="77777777" w:rsidR="00B834A2" w:rsidRPr="00B834A2" w:rsidRDefault="00B834A2" w:rsidP="00B22C60">
      <w:pPr>
        <w:spacing w:after="160" w:line="360" w:lineRule="auto"/>
        <w:ind w:firstLine="567"/>
        <w:jc w:val="both"/>
      </w:pPr>
      <w:r w:rsidRPr="001F5087">
        <w:rPr>
          <w:i/>
        </w:rPr>
        <w:t>Տ</w:t>
      </w:r>
      <w:r w:rsidRPr="001F5087">
        <w:rPr>
          <w:i/>
          <w:vertAlign w:val="subscript"/>
        </w:rPr>
        <w:t>2</w:t>
      </w:r>
      <w:r w:rsidRPr="00B834A2">
        <w:t>-ը փորձարկվող լուծույթի քրոմատագրի վրա մեթանսուլֆոնիլքլորիդի պիկի մակերեսն է.</w:t>
      </w:r>
    </w:p>
    <w:p w14:paraId="4A37FA22" w14:textId="77777777" w:rsidR="00B834A2" w:rsidRPr="00B834A2" w:rsidRDefault="00B834A2" w:rsidP="00B22C60">
      <w:pPr>
        <w:spacing w:after="160" w:line="360" w:lineRule="auto"/>
        <w:ind w:firstLine="567"/>
        <w:jc w:val="both"/>
      </w:pPr>
      <w:r w:rsidRPr="001F5087">
        <w:rPr>
          <w:i/>
        </w:rPr>
        <w:t>Q-</w:t>
      </w:r>
      <w:r w:rsidRPr="00B834A2">
        <w:t>ն մեթանսուլֆոնիլքլորիդի մեջ հիմնական նյութի պարունակությունն է՝ տոկոսներով.</w:t>
      </w:r>
    </w:p>
    <w:p w14:paraId="6083D6EC" w14:textId="77777777" w:rsidR="00B834A2" w:rsidRPr="00B834A2" w:rsidRDefault="00B834A2" w:rsidP="00B22C60">
      <w:pPr>
        <w:spacing w:after="160" w:line="360" w:lineRule="auto"/>
        <w:ind w:firstLine="567"/>
        <w:jc w:val="both"/>
      </w:pPr>
      <w:r w:rsidRPr="001F5087">
        <w:rPr>
          <w:i/>
        </w:rPr>
        <w:lastRenderedPageBreak/>
        <w:t>Տ'</w:t>
      </w:r>
      <w:r w:rsidRPr="001F5087">
        <w:rPr>
          <w:i/>
          <w:vertAlign w:val="subscript"/>
        </w:rPr>
        <w:t>1</w:t>
      </w:r>
      <w:r w:rsidRPr="00B834A2">
        <w:t>-ը (բ) համեմատման լուծույթի քրոմատագրի վրա ներքին ստանդարտի (ԲՄՍ) պիկի մակերեսն է.</w:t>
      </w:r>
    </w:p>
    <w:p w14:paraId="3CD8FD24" w14:textId="77777777" w:rsidR="00B834A2" w:rsidRPr="00B834A2" w:rsidRDefault="00B834A2" w:rsidP="00B22C60">
      <w:pPr>
        <w:spacing w:after="160" w:line="360" w:lineRule="auto"/>
        <w:ind w:firstLine="567"/>
        <w:jc w:val="both"/>
      </w:pPr>
      <w:r w:rsidRPr="001F5087">
        <w:rPr>
          <w:i/>
        </w:rPr>
        <w:t>Տ'</w:t>
      </w:r>
      <w:r w:rsidRPr="001F5087">
        <w:rPr>
          <w:i/>
          <w:vertAlign w:val="subscript"/>
        </w:rPr>
        <w:t>2</w:t>
      </w:r>
      <w:r w:rsidRPr="001F5087">
        <w:rPr>
          <w:i/>
        </w:rPr>
        <w:t>-</w:t>
      </w:r>
      <w:r w:rsidRPr="00B834A2">
        <w:t>ը փորձարկվող լուծույթի քրոմատագրի վրա ներքին ստանդարտի (ԲՄՍ) պիկի մակերեսն է.</w:t>
      </w:r>
    </w:p>
    <w:p w14:paraId="6B742D03" w14:textId="77777777" w:rsidR="00B834A2" w:rsidRPr="00B834A2" w:rsidRDefault="00B834A2" w:rsidP="00B22C60">
      <w:pPr>
        <w:spacing w:after="160" w:line="360" w:lineRule="auto"/>
        <w:ind w:firstLine="567"/>
        <w:jc w:val="both"/>
      </w:pPr>
      <w:r w:rsidRPr="001F5087">
        <w:rPr>
          <w:i/>
        </w:rPr>
        <w:t>а</w:t>
      </w:r>
      <w:r w:rsidRPr="001F5087">
        <w:rPr>
          <w:i/>
          <w:vertAlign w:val="subscript"/>
        </w:rPr>
        <w:t>1</w:t>
      </w:r>
      <w:r w:rsidRPr="001F5087">
        <w:rPr>
          <w:i/>
        </w:rPr>
        <w:t>-</w:t>
      </w:r>
      <w:r w:rsidRPr="00B834A2">
        <w:t>ը (ա) համեմատման լուծույթի պատրաստման համար վերցված մեթանսուլֆոնիլքլորիդի կշռանմուշն է՝ միլիգրամներով.</w:t>
      </w:r>
    </w:p>
    <w:p w14:paraId="62EFAB3F" w14:textId="77777777" w:rsidR="00B834A2" w:rsidRPr="00B834A2" w:rsidRDefault="00B834A2" w:rsidP="00B22C60">
      <w:pPr>
        <w:spacing w:after="160" w:line="360" w:lineRule="auto"/>
        <w:ind w:firstLine="567"/>
        <w:jc w:val="both"/>
      </w:pPr>
      <w:r w:rsidRPr="001F5087">
        <w:rPr>
          <w:i/>
        </w:rPr>
        <w:t>а</w:t>
      </w:r>
      <w:r w:rsidRPr="001F5087">
        <w:rPr>
          <w:i/>
          <w:vertAlign w:val="subscript"/>
        </w:rPr>
        <w:t>2</w:t>
      </w:r>
      <w:r w:rsidRPr="00B834A2">
        <w:t>-ը փորձարկվող լուծույթի պատրաստման համար վերցված փորձարկվող կշռանմուշն է՝ միլիգրամներով.</w:t>
      </w:r>
    </w:p>
    <w:p w14:paraId="1F89841A" w14:textId="77777777" w:rsidR="00B834A2" w:rsidRPr="00B834A2" w:rsidRDefault="00B834A2" w:rsidP="00B22C60">
      <w:pPr>
        <w:spacing w:after="160" w:line="360" w:lineRule="auto"/>
        <w:ind w:firstLine="567"/>
        <w:jc w:val="both"/>
      </w:pPr>
      <w:r w:rsidRPr="00B834A2">
        <w:t>1,5-ը նոսրացման գործակիցն է:</w:t>
      </w:r>
    </w:p>
    <w:p w14:paraId="799DA8B7" w14:textId="77777777" w:rsidR="006035D0" w:rsidRDefault="006035D0">
      <w:pPr>
        <w:rPr>
          <w:b/>
        </w:rPr>
      </w:pPr>
      <w:r>
        <w:rPr>
          <w:b/>
        </w:rPr>
        <w:br w:type="page"/>
      </w:r>
    </w:p>
    <w:p w14:paraId="305E7B6D" w14:textId="77777777" w:rsidR="00B834A2" w:rsidRPr="00B834A2" w:rsidRDefault="00B834A2" w:rsidP="00B834A2">
      <w:pPr>
        <w:spacing w:after="160" w:line="360" w:lineRule="auto"/>
        <w:jc w:val="center"/>
        <w:rPr>
          <w:b/>
        </w:rPr>
      </w:pPr>
      <w:r w:rsidRPr="00B834A2">
        <w:rPr>
          <w:b/>
        </w:rPr>
        <w:lastRenderedPageBreak/>
        <w:t>2.1.5. ՔԱՆԱԿԱԿԱՆ ՈՐՈՇՄԱՆ ՄԵԹՈԴՆԵՐԸ</w:t>
      </w:r>
    </w:p>
    <w:p w14:paraId="33B1E3AF" w14:textId="77777777" w:rsidR="00B834A2" w:rsidRPr="009217DE" w:rsidRDefault="00B834A2" w:rsidP="00B22C60">
      <w:pPr>
        <w:spacing w:after="160" w:line="360" w:lineRule="auto"/>
        <w:jc w:val="right"/>
        <w:rPr>
          <w:b/>
          <w:sz w:val="20"/>
        </w:rPr>
      </w:pPr>
      <w:r w:rsidRPr="001F5087">
        <w:rPr>
          <w:b/>
          <w:sz w:val="20"/>
        </w:rPr>
        <w:t>201050016-2022</w:t>
      </w:r>
    </w:p>
    <w:p w14:paraId="4A78774E" w14:textId="77777777" w:rsidR="001F5087" w:rsidRPr="009217DE" w:rsidRDefault="001F5087" w:rsidP="00B22C60">
      <w:pPr>
        <w:spacing w:after="160" w:line="360" w:lineRule="auto"/>
        <w:jc w:val="right"/>
        <w:rPr>
          <w:b/>
          <w:sz w:val="20"/>
        </w:rPr>
      </w:pPr>
    </w:p>
    <w:p w14:paraId="0A85D729" w14:textId="77777777" w:rsidR="00B834A2" w:rsidRPr="00B834A2" w:rsidRDefault="00B834A2" w:rsidP="00B22C60">
      <w:pPr>
        <w:tabs>
          <w:tab w:val="left" w:pos="1701"/>
        </w:tabs>
        <w:spacing w:after="160" w:line="360" w:lineRule="auto"/>
        <w:ind w:firstLine="567"/>
        <w:jc w:val="both"/>
        <w:rPr>
          <w:b/>
        </w:rPr>
      </w:pPr>
      <w:r w:rsidRPr="00B834A2">
        <w:rPr>
          <w:b/>
        </w:rPr>
        <w:t>2.1.5.16.</w:t>
      </w:r>
      <w:r w:rsidR="00B22C60" w:rsidRPr="00097504">
        <w:rPr>
          <w:b/>
        </w:rPr>
        <w:tab/>
      </w:r>
      <w:r w:rsidRPr="00B834A2">
        <w:rPr>
          <w:b/>
        </w:rPr>
        <w:t>Ֆտորի որոշումը</w:t>
      </w:r>
    </w:p>
    <w:p w14:paraId="4B9C01FB" w14:textId="77777777" w:rsidR="00B834A2" w:rsidRPr="00B834A2" w:rsidRDefault="00B834A2" w:rsidP="008F5B6F">
      <w:pPr>
        <w:spacing w:after="160" w:line="360" w:lineRule="auto"/>
        <w:ind w:firstLine="567"/>
        <w:jc w:val="both"/>
      </w:pPr>
      <w:r w:rsidRPr="00B834A2">
        <w:t>Դեղամիջոցի մոլեկուլի բաղադրամասի մեջ մտնող ֆտորի պարունակությունը կարող է որոշվել հետ</w:t>
      </w:r>
      <w:r>
        <w:t>եւ</w:t>
      </w:r>
      <w:r w:rsidRPr="00B834A2">
        <w:t>յալ երեք մեթոդներից որ</w:t>
      </w:r>
      <w:r>
        <w:t>եւ</w:t>
      </w:r>
      <w:r w:rsidRPr="00B834A2">
        <w:t>է մեկով՝ տիտրաչափական, սպեկտրալուսաչափական կամ իոնաչափական: Անալիզի կատարման համար օգտագործվում է պլաստիկե սպասք:</w:t>
      </w:r>
    </w:p>
    <w:p w14:paraId="3B04DBF7" w14:textId="77777777" w:rsidR="00B834A2" w:rsidRPr="00B22C60" w:rsidRDefault="00B834A2" w:rsidP="008F5B6F">
      <w:pPr>
        <w:spacing w:after="160" w:line="360" w:lineRule="auto"/>
        <w:ind w:firstLine="567"/>
        <w:jc w:val="both"/>
        <w:rPr>
          <w:sz w:val="20"/>
        </w:rPr>
      </w:pPr>
    </w:p>
    <w:p w14:paraId="44776E25" w14:textId="77777777" w:rsidR="00B834A2" w:rsidRPr="006B7DC5" w:rsidRDefault="00B834A2" w:rsidP="008F5B6F">
      <w:pPr>
        <w:tabs>
          <w:tab w:val="left" w:pos="1134"/>
        </w:tabs>
        <w:spacing w:after="160" w:line="360" w:lineRule="auto"/>
        <w:ind w:firstLine="567"/>
        <w:jc w:val="both"/>
        <w:rPr>
          <w:b/>
        </w:rPr>
      </w:pPr>
      <w:r w:rsidRPr="00B22C60">
        <w:rPr>
          <w:b/>
        </w:rPr>
        <w:t>1.</w:t>
      </w:r>
      <w:r w:rsidR="00B22C60" w:rsidRPr="00097504">
        <w:rPr>
          <w:b/>
        </w:rPr>
        <w:tab/>
      </w:r>
      <w:r w:rsidRPr="00B834A2">
        <w:rPr>
          <w:b/>
        </w:rPr>
        <w:t>ՏԻՏՐԱՉԱՓԱԿԱՆ ՄԵԹՈԴԸ</w:t>
      </w:r>
    </w:p>
    <w:p w14:paraId="34C94BFF" w14:textId="77777777" w:rsidR="00B834A2" w:rsidRPr="00B834A2" w:rsidRDefault="00B834A2" w:rsidP="008F5B6F">
      <w:pPr>
        <w:spacing w:after="160" w:line="360" w:lineRule="auto"/>
        <w:ind w:firstLine="567"/>
        <w:jc w:val="both"/>
      </w:pPr>
      <w:r w:rsidRPr="00B834A2">
        <w:t xml:space="preserve">Դեղամիջոցի՝ դեղագրքային հոդվածում նշված ճշգրիտ կշռանմուշը (մոտավորապես 3,8 մգ ֆտորի պարունակությամբ) այրում են թթվածնով լցված փորձանոթի մեջ՝ այրման արգասիքները կլանելով 15 մլ Р ջրով: Խցանը, նմուշի պահիչը </w:t>
      </w:r>
      <w:r>
        <w:t>եւ</w:t>
      </w:r>
      <w:r w:rsidRPr="00B834A2">
        <w:t xml:space="preserve"> փորձանոթի պատերը լվանում են 40 մլ Р ջրով (2.1.5.10. Թթվածնով լցված փորձանոթի մեջ այրման մեթոդը), ավելացնում են 0,6 մլ S Р ալիզարինի լուծույթ </w:t>
      </w:r>
      <w:r>
        <w:t>եւ</w:t>
      </w:r>
      <w:r w:rsidRPr="00B834A2">
        <w:t xml:space="preserve"> կաթիլ առ կաթիլ՝ 0,1 М նատրիումի հիդրօքսիդի լուծույթ՝ մինչ</w:t>
      </w:r>
      <w:r>
        <w:t>եւ</w:t>
      </w:r>
      <w:r w:rsidRPr="00B834A2">
        <w:t xml:space="preserve"> կարմիր գույն ներկվելը, այնուհետ</w:t>
      </w:r>
      <w:r>
        <w:t>եւ</w:t>
      </w:r>
      <w:r w:rsidRPr="00B834A2">
        <w:t xml:space="preserve"> 2-3 կաթիլ 1,5 % Р ազոտաթթու՝ մինչ</w:t>
      </w:r>
      <w:r>
        <w:t>եւ</w:t>
      </w:r>
      <w:r w:rsidRPr="00B834A2">
        <w:t xml:space="preserve"> դեղին գունավորում ստանալը, 3,5 մլ pH 3,0 բուֆերային լուծույթ </w:t>
      </w:r>
      <w:r>
        <w:t>եւ</w:t>
      </w:r>
      <w:r w:rsidRPr="00B834A2">
        <w:t xml:space="preserve"> տիտրում թորիումի (IV) նիտրատի 0,005 М լուծույթով՝ մինչ</w:t>
      </w:r>
      <w:r>
        <w:t>եւ</w:t>
      </w:r>
      <w:r w:rsidRPr="00B834A2">
        <w:t xml:space="preserve"> վարդագույն դառնալը:</w:t>
      </w:r>
    </w:p>
    <w:p w14:paraId="29754536" w14:textId="77777777" w:rsidR="00B834A2" w:rsidRPr="00B834A2" w:rsidRDefault="00B834A2" w:rsidP="00B22C60">
      <w:pPr>
        <w:spacing w:after="160" w:line="360" w:lineRule="auto"/>
        <w:ind w:firstLine="567"/>
        <w:jc w:val="both"/>
      </w:pPr>
      <w:r w:rsidRPr="00B834A2">
        <w:t>0,005 М թորիումի (IV) նիտրատի 1 մլ լուծույթը համապատասխանում է 0,380 մգ ֆտորին:</w:t>
      </w:r>
    </w:p>
    <w:p w14:paraId="12ECFEB6" w14:textId="77777777" w:rsidR="00B834A2" w:rsidRPr="00B22C60" w:rsidRDefault="00B834A2" w:rsidP="00B22C60">
      <w:pPr>
        <w:spacing w:after="160" w:line="360" w:lineRule="auto"/>
        <w:ind w:firstLine="567"/>
        <w:jc w:val="both"/>
        <w:rPr>
          <w:sz w:val="20"/>
        </w:rPr>
      </w:pPr>
      <w:r w:rsidRPr="00B22C60">
        <w:rPr>
          <w:sz w:val="20"/>
        </w:rPr>
        <w:t>Ծանոթագրություններ.</w:t>
      </w:r>
    </w:p>
    <w:p w14:paraId="28F45AA5" w14:textId="77777777" w:rsidR="00B834A2" w:rsidRPr="00B22C60" w:rsidRDefault="00B834A2" w:rsidP="00B22C60">
      <w:pPr>
        <w:spacing w:after="160" w:line="360" w:lineRule="auto"/>
        <w:ind w:firstLine="567"/>
        <w:jc w:val="both"/>
        <w:rPr>
          <w:sz w:val="20"/>
        </w:rPr>
      </w:pPr>
      <w:r w:rsidRPr="001F5087">
        <w:rPr>
          <w:i/>
          <w:sz w:val="20"/>
        </w:rPr>
        <w:t>pH 3,0 ունեցող բուֆերային լուծույթի պատրաստումը:</w:t>
      </w:r>
      <w:r w:rsidRPr="00B22C60">
        <w:rPr>
          <w:sz w:val="20"/>
        </w:rPr>
        <w:t xml:space="preserve"> 24,0 գ Р անջուր նատրիումի դիհիդրոֆոսֆատը լուծում են Р ջրի մեջ: pH-ը ճշգրտում են մինչեւ 3,0 արժեքը պոտենցաչափորեն Р նոսրացված ֆոսֆորաթթվով եւ լուծույթի ծավալը Р ջրով հասցնում են մինչեւ 1000,0 մլ-ի:</w:t>
      </w:r>
    </w:p>
    <w:p w14:paraId="41462D34" w14:textId="77777777" w:rsidR="00B834A2" w:rsidRPr="009217DE" w:rsidRDefault="00B834A2" w:rsidP="00B22C60">
      <w:pPr>
        <w:spacing w:after="160" w:line="360" w:lineRule="auto"/>
        <w:ind w:firstLine="567"/>
        <w:jc w:val="both"/>
        <w:rPr>
          <w:sz w:val="20"/>
        </w:rPr>
      </w:pPr>
      <w:r w:rsidRPr="001F5087">
        <w:rPr>
          <w:i/>
          <w:sz w:val="20"/>
        </w:rPr>
        <w:t>0,005 М թորիումի (IV) նիտրատի լուծույթը</w:t>
      </w:r>
      <w:r w:rsidRPr="00B22C60">
        <w:rPr>
          <w:sz w:val="20"/>
        </w:rPr>
        <w:t>: 2,761 գ Р թորիումի (IV) նիտրատը Тh(NO</w:t>
      </w:r>
      <w:r w:rsidRPr="001F5087">
        <w:rPr>
          <w:sz w:val="20"/>
          <w:vertAlign w:val="subscript"/>
        </w:rPr>
        <w:t>3</w:t>
      </w:r>
      <w:r w:rsidRPr="00B22C60">
        <w:rPr>
          <w:sz w:val="20"/>
        </w:rPr>
        <w:t>)</w:t>
      </w:r>
      <w:r w:rsidRPr="001F5087">
        <w:rPr>
          <w:sz w:val="20"/>
          <w:vertAlign w:val="subscript"/>
        </w:rPr>
        <w:t>4.</w:t>
      </w:r>
      <w:r w:rsidRPr="00B22C60">
        <w:rPr>
          <w:sz w:val="20"/>
        </w:rPr>
        <w:t xml:space="preserve"> 4H</w:t>
      </w:r>
      <w:r w:rsidRPr="001F5087">
        <w:rPr>
          <w:sz w:val="20"/>
          <w:vertAlign w:val="subscript"/>
        </w:rPr>
        <w:t>2</w:t>
      </w:r>
      <w:r w:rsidRPr="00B22C60">
        <w:rPr>
          <w:sz w:val="20"/>
        </w:rPr>
        <w:t>O լուծում են Р ջրի մեջ, լուծույթի ծավալը միեւնույն լուծիչով հասցնում են 1000,0 մլ-ի եւ խառնում են:</w:t>
      </w:r>
    </w:p>
    <w:p w14:paraId="3C4105BF" w14:textId="77777777" w:rsidR="00B834A2" w:rsidRPr="00B22C60" w:rsidRDefault="00B834A2" w:rsidP="00B22C60">
      <w:pPr>
        <w:spacing w:after="160" w:line="360" w:lineRule="auto"/>
        <w:ind w:firstLine="567"/>
        <w:jc w:val="both"/>
        <w:rPr>
          <w:sz w:val="20"/>
        </w:rPr>
      </w:pPr>
      <w:r w:rsidRPr="00B22C60">
        <w:rPr>
          <w:sz w:val="20"/>
        </w:rPr>
        <w:lastRenderedPageBreak/>
        <w:t>Տիտրի սահմանումը: 150 °С ջերմաստիճանում մինչեւ հաստատուն զանգվածը նախապես չորացրած 0,05 գ РО նատրիումի ֆտորիդը լուծում են Р ջրի մեջ, լուծույթի ծավալը միեւնույն լուծիչով հասցնում են 250,0 մլ-ի եւ խառնում են: 20,0 մլ ստացված լուծույթին ավելացնում են 0,6 մլ S Р ալիզարինի լուծույթ եւ կաթիլ առ կաթիլ՝ 0,1 М նատրիումի հիդրօքսիդի լուծույթ, մինչեւ վարդագույնը վերածվի դեղին գույնի: Այնուհետեւ ավելացնում են 5,0 մլ pH 3,0 ունեցող բուֆերային լուծույթ եւ տիտրում 0,005 М թորիումի (IV) նիտրատի լուծույթով, մինչեւ դեղին գույնը վերածվի վարդագույնի:</w:t>
      </w:r>
    </w:p>
    <w:p w14:paraId="258652C5" w14:textId="77777777" w:rsidR="00B834A2" w:rsidRPr="00B22C60" w:rsidRDefault="00B834A2" w:rsidP="00B22C60">
      <w:pPr>
        <w:spacing w:after="160" w:line="360" w:lineRule="auto"/>
        <w:ind w:firstLine="567"/>
        <w:jc w:val="both"/>
        <w:rPr>
          <w:sz w:val="20"/>
        </w:rPr>
      </w:pPr>
      <w:r w:rsidRPr="00B22C60">
        <w:rPr>
          <w:sz w:val="20"/>
        </w:rPr>
        <w:t>0,005 М թորիումի (IV) նիտրատի 1 մլ լուծույթը համապատասխանում է 0,380 մգ ֆտորին:</w:t>
      </w:r>
    </w:p>
    <w:p w14:paraId="2D221600" w14:textId="77777777" w:rsidR="00B834A2" w:rsidRPr="00B834A2" w:rsidRDefault="00B834A2" w:rsidP="00B834A2">
      <w:pPr>
        <w:spacing w:after="160" w:line="360" w:lineRule="auto"/>
        <w:jc w:val="both"/>
      </w:pPr>
    </w:p>
    <w:p w14:paraId="0FB2CDF4" w14:textId="77777777" w:rsidR="00B834A2" w:rsidRPr="00B834A2" w:rsidRDefault="00B834A2" w:rsidP="00B22C60">
      <w:pPr>
        <w:tabs>
          <w:tab w:val="left" w:pos="1134"/>
        </w:tabs>
        <w:spacing w:after="160" w:line="360" w:lineRule="auto"/>
        <w:ind w:firstLine="567"/>
        <w:jc w:val="both"/>
        <w:rPr>
          <w:b/>
        </w:rPr>
      </w:pPr>
      <w:r w:rsidRPr="00B834A2">
        <w:rPr>
          <w:b/>
        </w:rPr>
        <w:t>2.</w:t>
      </w:r>
      <w:r w:rsidR="00B22C60" w:rsidRPr="00097504">
        <w:rPr>
          <w:b/>
        </w:rPr>
        <w:tab/>
      </w:r>
      <w:r w:rsidRPr="00B834A2">
        <w:rPr>
          <w:b/>
        </w:rPr>
        <w:t>ՍՊԵԿՏՐԱԼՈՒՍԱՉԱՓԱԿԱՆ ՄԵԹՈԴԸ</w:t>
      </w:r>
    </w:p>
    <w:p w14:paraId="5993B5D9" w14:textId="77777777" w:rsidR="00B834A2" w:rsidRPr="00B834A2" w:rsidRDefault="00B834A2" w:rsidP="00B22C60">
      <w:pPr>
        <w:spacing w:after="160" w:line="360" w:lineRule="auto"/>
        <w:ind w:firstLine="567"/>
        <w:jc w:val="both"/>
      </w:pPr>
      <w:r w:rsidRPr="00B834A2">
        <w:t xml:space="preserve">Դեղամիջոցի՝ դեղագրքային հոդվածում նշված ճշգրիտ կշռանմուշը (մոտավորապես 50,0-70,0 մգ ֆտորի պարունակությամբ) այրում են թթվածնով լցված փորձանոթի մեջ՝ այրման արգասիքները կլանելով 15 մլ Р ջրով: Խցանը, նմուշի պահիչը </w:t>
      </w:r>
      <w:r>
        <w:t>եւ</w:t>
      </w:r>
      <w:r w:rsidRPr="00B834A2">
        <w:t xml:space="preserve"> փորձանոթի պատերը լվանում են 40 մլ Р ջրով (2.1.5.10. Թթվածնով լցված փորձանոթի մեջ այրման մեթոդը), լուծույթը քանակապես տեղափոխում են 100 մլ տարողությամբ չափանոթի մեջ, ավելացնում են 25,0-ական մլ 0,01 % I արսենազո լուծույթ </w:t>
      </w:r>
      <w:r>
        <w:t>եւ</w:t>
      </w:r>
      <w:r w:rsidRPr="00B834A2">
        <w:t xml:space="preserve"> թորիումի (IV) նիտրատի 0,005 М լուծույթ, լուծույթի ծավալը Р ջրով հասցնում են մինչ</w:t>
      </w:r>
      <w:r>
        <w:t>եւ</w:t>
      </w:r>
      <w:r w:rsidRPr="00B834A2">
        <w:t xml:space="preserve"> նիշը </w:t>
      </w:r>
      <w:r>
        <w:t>եւ</w:t>
      </w:r>
      <w:r w:rsidRPr="00B834A2">
        <w:t xml:space="preserve"> խառնում: 30 րոպե հետո ալիքի 580 նմ երկարության դեպքում չափում են փորձարկվող լուծույթի օպտիկական խտությունն այն հավասարակշռման լուծույթի նկատմամբ, որը պարունակում է ռեակտիվների մի</w:t>
      </w:r>
      <w:r>
        <w:t>եւ</w:t>
      </w:r>
      <w:r w:rsidRPr="00B834A2">
        <w:t>նույն քանակները, սակայն առանց դեղամիջոցի:</w:t>
      </w:r>
      <w:r>
        <w:t xml:space="preserve"> </w:t>
      </w:r>
      <w:r w:rsidRPr="00B834A2">
        <w:t>Ֆտորի պարունակությունը որոշում են ստուգաճշտման գրաֆիկով:</w:t>
      </w:r>
    </w:p>
    <w:p w14:paraId="12B4261E" w14:textId="77777777" w:rsidR="00B834A2" w:rsidRPr="001F5087" w:rsidRDefault="00B834A2" w:rsidP="00B22C60">
      <w:pPr>
        <w:spacing w:after="160" w:line="360" w:lineRule="auto"/>
        <w:ind w:firstLine="567"/>
        <w:jc w:val="both"/>
        <w:rPr>
          <w:i/>
        </w:rPr>
      </w:pPr>
      <w:r w:rsidRPr="001F5087">
        <w:rPr>
          <w:i/>
        </w:rPr>
        <w:t>Համեմատման լուծույթների պատրաստումը:</w:t>
      </w:r>
    </w:p>
    <w:p w14:paraId="24271009" w14:textId="77777777" w:rsidR="00B834A2" w:rsidRPr="00B834A2" w:rsidRDefault="00B834A2" w:rsidP="00B22C60">
      <w:pPr>
        <w:spacing w:after="160" w:line="360" w:lineRule="auto"/>
        <w:ind w:firstLine="567"/>
        <w:jc w:val="both"/>
      </w:pPr>
      <w:r w:rsidRPr="00B834A2">
        <w:t xml:space="preserve">4,0, 5,0, 6,0, 7,0 </w:t>
      </w:r>
      <w:r>
        <w:t>եւ</w:t>
      </w:r>
      <w:r w:rsidRPr="00B834A2">
        <w:t xml:space="preserve"> 8,0 մլ ֆտորիդ իոնների </w:t>
      </w:r>
      <w:r w:rsidRPr="00E2444F">
        <w:rPr>
          <w:i/>
        </w:rPr>
        <w:t>ստանդարտ լուծույթները (10 ppm F-) (2.2.1.2. Խառնուկների սահմանային պարունակության փորձարկումների համար ստանդարտ լուծույթները)</w:t>
      </w:r>
      <w:r w:rsidRPr="00B834A2">
        <w:t xml:space="preserve"> նոսրացնում են մինչ</w:t>
      </w:r>
      <w:r>
        <w:t>եւ</w:t>
      </w:r>
      <w:r w:rsidRPr="00B834A2">
        <w:t xml:space="preserve"> 100,0 մլ </w:t>
      </w:r>
      <w:r>
        <w:t>եւ</w:t>
      </w:r>
      <w:r w:rsidRPr="00B834A2">
        <w:t xml:space="preserve"> այնուհետ</w:t>
      </w:r>
      <w:r>
        <w:t>եւ</w:t>
      </w:r>
      <w:r w:rsidRPr="00B834A2">
        <w:t xml:space="preserve"> անում այնպես, ինչպես նշված է վեր</w:t>
      </w:r>
      <w:r>
        <w:t>եւ</w:t>
      </w:r>
      <w:r w:rsidRPr="00B834A2">
        <w:t>ում՝ սկսելով հետ</w:t>
      </w:r>
      <w:r>
        <w:t>եւ</w:t>
      </w:r>
      <w:r w:rsidRPr="00B834A2">
        <w:t>յալ բառերով</w:t>
      </w:r>
      <w:r w:rsidRPr="00B834A2">
        <w:rPr>
          <w:rFonts w:ascii="MS Mincho" w:eastAsia="MS Mincho" w:hAnsi="MS Mincho" w:cs="MS Mincho" w:hint="eastAsia"/>
        </w:rPr>
        <w:t>․</w:t>
      </w:r>
      <w:r w:rsidRPr="00B834A2">
        <w:t xml:space="preserve"> «...ավելացնում են 25,0-ական մլ 0,01 % I արսենազո լուծույթ»:</w:t>
      </w:r>
    </w:p>
    <w:p w14:paraId="099EF985" w14:textId="77777777" w:rsidR="00B834A2" w:rsidRPr="00B22C60" w:rsidRDefault="00B834A2" w:rsidP="006035D0">
      <w:pPr>
        <w:spacing w:after="160" w:line="346" w:lineRule="auto"/>
        <w:ind w:firstLine="567"/>
        <w:jc w:val="both"/>
        <w:rPr>
          <w:sz w:val="20"/>
        </w:rPr>
      </w:pPr>
      <w:r w:rsidRPr="00B22C60">
        <w:rPr>
          <w:sz w:val="20"/>
        </w:rPr>
        <w:lastRenderedPageBreak/>
        <w:t>Ծանոթագրություն.</w:t>
      </w:r>
    </w:p>
    <w:p w14:paraId="32D72B66" w14:textId="77777777" w:rsidR="00B834A2" w:rsidRPr="00B22C60" w:rsidRDefault="00B834A2" w:rsidP="006035D0">
      <w:pPr>
        <w:spacing w:after="160" w:line="346" w:lineRule="auto"/>
        <w:ind w:firstLine="567"/>
        <w:jc w:val="both"/>
        <w:rPr>
          <w:sz w:val="20"/>
        </w:rPr>
      </w:pPr>
      <w:r w:rsidRPr="00E2444F">
        <w:rPr>
          <w:i/>
          <w:sz w:val="20"/>
        </w:rPr>
        <w:t>0,01 % I արսենազո լուծույթի պատրաստումը</w:t>
      </w:r>
      <w:r w:rsidRPr="00B22C60">
        <w:rPr>
          <w:sz w:val="20"/>
        </w:rPr>
        <w:t>: 0,01 գ IP արսենազոն լուծում են Р ջրի մեջ, լուծույթի ծավալը Р ջրով հասցնում են 100,0 մլ-ի եւ խառնում:</w:t>
      </w:r>
    </w:p>
    <w:p w14:paraId="03A8B7DB" w14:textId="77777777" w:rsidR="00B834A2" w:rsidRPr="00B834A2" w:rsidRDefault="00B834A2" w:rsidP="006035D0">
      <w:pPr>
        <w:spacing w:after="160" w:line="346" w:lineRule="auto"/>
        <w:jc w:val="both"/>
      </w:pPr>
    </w:p>
    <w:p w14:paraId="7AA21131" w14:textId="77777777" w:rsidR="00B834A2" w:rsidRPr="00B834A2" w:rsidRDefault="00B834A2" w:rsidP="006035D0">
      <w:pPr>
        <w:tabs>
          <w:tab w:val="left" w:pos="1134"/>
        </w:tabs>
        <w:spacing w:after="160" w:line="346" w:lineRule="auto"/>
        <w:ind w:firstLine="567"/>
        <w:jc w:val="both"/>
        <w:rPr>
          <w:b/>
        </w:rPr>
      </w:pPr>
      <w:r w:rsidRPr="00B834A2">
        <w:rPr>
          <w:b/>
        </w:rPr>
        <w:t>3.</w:t>
      </w:r>
      <w:r w:rsidR="00B22C60" w:rsidRPr="00097504">
        <w:rPr>
          <w:b/>
        </w:rPr>
        <w:tab/>
      </w:r>
      <w:r w:rsidRPr="00B834A2">
        <w:rPr>
          <w:b/>
        </w:rPr>
        <w:t>ԻՈՆԱՉԱՓԱԿԱՆ ՄԵԹՈԴԸ</w:t>
      </w:r>
    </w:p>
    <w:p w14:paraId="367A6D54" w14:textId="77777777" w:rsidR="00B834A2" w:rsidRPr="00B834A2" w:rsidRDefault="00B834A2" w:rsidP="006035D0">
      <w:pPr>
        <w:spacing w:after="160" w:line="346" w:lineRule="auto"/>
        <w:ind w:firstLine="567"/>
        <w:jc w:val="both"/>
      </w:pPr>
      <w:r w:rsidRPr="00B834A2">
        <w:t>Դեղամիջոցի՝ դեղագրքային մասնավոր հոդվածում նշված ճշգրիտ կշռանմուշին (մոտավորապես 20,0 մգ ֆտորի պարունակությամբ) ավելացնում են 400 մլ Р</w:t>
      </w:r>
      <w:r>
        <w:t xml:space="preserve"> </w:t>
      </w:r>
      <w:r w:rsidRPr="00B834A2">
        <w:t xml:space="preserve">ջուր </w:t>
      </w:r>
      <w:r>
        <w:t>եւ</w:t>
      </w:r>
      <w:r w:rsidRPr="00B834A2">
        <w:t xml:space="preserve"> 20 րոպե պահում են մոտավորապես 80 °С ջերմաստիճանում ջրային բաղնիքի վրա՝ պարբերաբար խառնելով: Հովացնում են մինչ</w:t>
      </w:r>
      <w:r>
        <w:t>եւ</w:t>
      </w:r>
      <w:r w:rsidRPr="00B834A2">
        <w:t xml:space="preserve"> սենյակային ջերմաստիճան, լուծույթի ծավալը հասցնում են 500,0 մլ-ի </w:t>
      </w:r>
      <w:r>
        <w:t>եւ</w:t>
      </w:r>
      <w:r w:rsidRPr="00B834A2">
        <w:t xml:space="preserve"> ֆիլտրում:</w:t>
      </w:r>
    </w:p>
    <w:p w14:paraId="11C0F1FB" w14:textId="77777777" w:rsidR="00B834A2" w:rsidRPr="00B834A2" w:rsidRDefault="00B834A2" w:rsidP="006035D0">
      <w:pPr>
        <w:spacing w:after="160" w:line="346" w:lineRule="auto"/>
        <w:ind w:firstLine="567"/>
        <w:jc w:val="both"/>
      </w:pPr>
      <w:r w:rsidRPr="00B834A2">
        <w:t xml:space="preserve">Մասնավոր դեղագրքային հոդվածում նշված ստացված լուծույթի ծավալին ավելացնում են pH 5,25 ունեցող բուֆերային լուծույթի հավասար ծավալ </w:t>
      </w:r>
      <w:r>
        <w:t>եւ</w:t>
      </w:r>
      <w:r w:rsidRPr="00B834A2">
        <w:t xml:space="preserve"> խառնում:</w:t>
      </w:r>
    </w:p>
    <w:p w14:paraId="320FE215" w14:textId="77777777" w:rsidR="00B834A2" w:rsidRPr="00B834A2" w:rsidRDefault="00B834A2" w:rsidP="006035D0">
      <w:pPr>
        <w:spacing w:after="160" w:line="346" w:lineRule="auto"/>
        <w:ind w:firstLine="567"/>
        <w:jc w:val="both"/>
      </w:pPr>
      <w:r w:rsidRPr="00B834A2">
        <w:t>Ֆտորիդ իոնների պարունակությունը որոշվում է այնպես, ինչպես նկարագրված է «2.1.2.47. Իոնասելեկտիվ էլեկտրոդների օգտագործմամբ իոնների կոնցենտրացիայի պոտենցաչափական որոշումը» հոդվածում:</w:t>
      </w:r>
      <w:r>
        <w:t xml:space="preserve"> </w:t>
      </w:r>
      <w:r w:rsidRPr="00B834A2">
        <w:t>Որպես չափիչ էլեկտրոդ օգտագործում են ֆտորիդ-սելեկտիվ էլեկտրոդ, որպես համեմատության էլեկտրոդ՝ քլորարծաթե կամ կալոմելային էլեկտրոդներ:</w:t>
      </w:r>
    </w:p>
    <w:p w14:paraId="26610670" w14:textId="77777777" w:rsidR="00B834A2" w:rsidRPr="00B834A2" w:rsidRDefault="00B834A2" w:rsidP="006035D0">
      <w:pPr>
        <w:spacing w:after="160" w:line="346" w:lineRule="auto"/>
        <w:ind w:firstLine="567"/>
        <w:jc w:val="both"/>
      </w:pPr>
      <w:r w:rsidRPr="00B834A2">
        <w:t>Պատրաստում են համապատասխան կոնցենտրացիաների ֆտորիդ իոնների առնվազն 3 ստանդարտ լուծույթ՝ ֆտորիդ իոնների հիմնական ստանդարտ լուծույթը 2000 մկգ/մլ նոսրացնելու միջոցով:</w:t>
      </w:r>
    </w:p>
    <w:p w14:paraId="7340C31D" w14:textId="77777777" w:rsidR="00B834A2" w:rsidRPr="00B834A2" w:rsidRDefault="00B834A2" w:rsidP="006035D0">
      <w:pPr>
        <w:spacing w:after="160" w:line="346" w:lineRule="auto"/>
        <w:ind w:firstLine="567"/>
        <w:jc w:val="both"/>
      </w:pPr>
      <w:r w:rsidRPr="00B834A2">
        <w:t>Կառուցում են ֆտորիդ իոնների կոնցենտրացիայի լոգարիթմից պոտենցիալների տարբերության կախվածության ստուգաճշտման գրաֆիկ: Ըստ գրաֆիկի գտնում են փորձարկվող լուծույթի համար կոնցենտրացիայի լոգարիթմի (lg С) արժեքը:</w:t>
      </w:r>
    </w:p>
    <w:p w14:paraId="168A13DE" w14:textId="77777777" w:rsidR="00B834A2" w:rsidRPr="00B834A2" w:rsidRDefault="00B834A2" w:rsidP="006035D0">
      <w:pPr>
        <w:spacing w:after="160" w:line="346" w:lineRule="auto"/>
        <w:ind w:firstLine="567"/>
        <w:jc w:val="both"/>
      </w:pPr>
      <w:r w:rsidRPr="00B834A2">
        <w:t>Փորձարկվող լուծույթի մեջ ֆտորիդ իոնների կոնցենտրացիան (С)՝ մեկ միլիլիտրին բաժին ընկնող միկրոգրամներով, հաշվարկում են հետ</w:t>
      </w:r>
      <w:r>
        <w:t>եւ</w:t>
      </w:r>
      <w:r w:rsidRPr="00B834A2">
        <w:t>յալ բանաձ</w:t>
      </w:r>
      <w:r>
        <w:t>եւ</w:t>
      </w:r>
      <w:r w:rsidRPr="00B834A2">
        <w:t>ով.</w:t>
      </w:r>
    </w:p>
    <w:p w14:paraId="4A28E784" w14:textId="77777777" w:rsidR="00B834A2" w:rsidRPr="00B834A2" w:rsidRDefault="00B834A2" w:rsidP="00B22C60">
      <w:pPr>
        <w:spacing w:after="160" w:line="360" w:lineRule="auto"/>
        <w:jc w:val="center"/>
      </w:pPr>
      <w:r w:rsidRPr="00B834A2">
        <w:lastRenderedPageBreak/>
        <w:t>С= 10</w:t>
      </w:r>
      <w:r w:rsidRPr="00E2444F">
        <w:rPr>
          <w:vertAlign w:val="superscript"/>
        </w:rPr>
        <w:t>px</w:t>
      </w:r>
      <w:r w:rsidRPr="00B834A2">
        <w:t>,</w:t>
      </w:r>
    </w:p>
    <w:p w14:paraId="1E4691D1" w14:textId="77777777" w:rsidR="00B834A2" w:rsidRPr="00B834A2" w:rsidRDefault="00B834A2" w:rsidP="00B22C60">
      <w:pPr>
        <w:spacing w:after="160" w:line="360" w:lineRule="auto"/>
        <w:ind w:firstLine="567"/>
        <w:jc w:val="both"/>
      </w:pPr>
      <w:r w:rsidRPr="00B834A2">
        <w:t>որտեղ х = lgC:</w:t>
      </w:r>
    </w:p>
    <w:p w14:paraId="1454B0C2" w14:textId="77777777" w:rsidR="00B834A2" w:rsidRPr="00B834A2" w:rsidRDefault="00B834A2" w:rsidP="00B22C60">
      <w:pPr>
        <w:spacing w:after="160" w:line="360" w:lineRule="auto"/>
        <w:ind w:firstLine="567"/>
        <w:jc w:val="both"/>
      </w:pPr>
      <w:r w:rsidRPr="00E2444F">
        <w:rPr>
          <w:i/>
        </w:rPr>
        <w:t>Բուֆերային լուծույթի</w:t>
      </w:r>
      <w:r w:rsidRPr="00B834A2">
        <w:t xml:space="preserve"> pH-ը՝ 5,2-5,3: 57,0 մլ Р սառցային քացախաթթուն, 58,0 գ Р նատրիումի քլորիդը </w:t>
      </w:r>
      <w:r>
        <w:t>եւ</w:t>
      </w:r>
      <w:r w:rsidRPr="00B834A2">
        <w:t xml:space="preserve"> 4 գ Р ցիկլոհեքսիլենդինիտրիլ-տետրաքացախաթթուն </w:t>
      </w:r>
      <w:r w:rsidRPr="00B22C60">
        <w:rPr>
          <w:spacing w:val="-4"/>
        </w:rPr>
        <w:t>լուծում են Р ջրի մեջ եւ լուծույթի ծավալը միեւնույն լուծիչով հասցնում են 500,0 մլ-ի: pH-ի արժեքը Р նատրիումի հիդրօքսիդի լուծույթով ճշգրտում են 5,2-ից մինչեւ</w:t>
      </w:r>
      <w:r w:rsidRPr="00B834A2">
        <w:t xml:space="preserve"> 5,3 </w:t>
      </w:r>
      <w:r>
        <w:t>եւ</w:t>
      </w:r>
      <w:r w:rsidRPr="00B834A2">
        <w:t xml:space="preserve"> լուծույթի ծավալը Р ջրով հասցնում են մինչ</w:t>
      </w:r>
      <w:r>
        <w:t>եւ</w:t>
      </w:r>
      <w:r w:rsidRPr="00B834A2">
        <w:t xml:space="preserve"> 1000,0 մլ-ի: Լուծույթը պահում են 24 ժամ:</w:t>
      </w:r>
    </w:p>
    <w:p w14:paraId="100DADF0" w14:textId="77777777" w:rsidR="00B834A2" w:rsidRPr="00B834A2" w:rsidRDefault="00B834A2" w:rsidP="00B22C60">
      <w:pPr>
        <w:spacing w:after="160" w:line="360" w:lineRule="auto"/>
        <w:ind w:firstLine="567"/>
        <w:jc w:val="both"/>
      </w:pPr>
      <w:r w:rsidRPr="00B834A2">
        <w:t xml:space="preserve">Բաղադրիչների նշված քանակները կարող են փոփոխվել՝ պայմանավորված փորձարկմամբ </w:t>
      </w:r>
      <w:r>
        <w:t>եւ</w:t>
      </w:r>
      <w:r w:rsidRPr="00B834A2">
        <w:t xml:space="preserve"> փորձարկվող նմուշի բաղադրամասով:</w:t>
      </w:r>
    </w:p>
    <w:p w14:paraId="77D69126" w14:textId="77777777" w:rsidR="00B834A2" w:rsidRPr="004A7CC9" w:rsidRDefault="00B834A2" w:rsidP="00B22C60">
      <w:pPr>
        <w:spacing w:after="160" w:line="360" w:lineRule="auto"/>
        <w:ind w:firstLine="567"/>
        <w:jc w:val="both"/>
      </w:pPr>
      <w:r w:rsidRPr="00E2444F">
        <w:rPr>
          <w:i/>
        </w:rPr>
        <w:t>Ֆտորիդ իոնների հիմնական ստանդարտ լուծույթը</w:t>
      </w:r>
      <w:r w:rsidRPr="00B834A2">
        <w:t xml:space="preserve"> (2000 ppm F): 300 °С ջերմաստիճանում 12 ժամվա ընթացքում նախապես չորացրած 4,42 գ Р նատրիումի ֆտորիդը լուծում են Р ջրի մեջ </w:t>
      </w:r>
      <w:r>
        <w:t>եւ</w:t>
      </w:r>
      <w:r w:rsidRPr="00B834A2">
        <w:t xml:space="preserve"> լուծույթի ծավալը մի</w:t>
      </w:r>
      <w:r>
        <w:t>եւ</w:t>
      </w:r>
      <w:r w:rsidRPr="00B834A2">
        <w:t>նույն լուծիչով հասցնում են 1000,0 մլ-ի (2000 մկգ/մլ):</w:t>
      </w:r>
    </w:p>
    <w:p w14:paraId="7D8B4B26" w14:textId="77777777" w:rsidR="00B834A2" w:rsidRPr="00B834A2" w:rsidRDefault="00B834A2" w:rsidP="00B22C60">
      <w:pPr>
        <w:spacing w:after="160" w:line="360" w:lineRule="auto"/>
        <w:ind w:firstLine="567"/>
        <w:jc w:val="both"/>
      </w:pPr>
      <w:r w:rsidRPr="00B834A2">
        <w:t>Լուծույթը պահում են պոլիէթիլենային կամ պոլիպրոպիլենային տարայի մեջ, սենյակային ջերմաստիճանում:</w:t>
      </w:r>
    </w:p>
    <w:p w14:paraId="63CEE3D1" w14:textId="77777777" w:rsidR="00B834A2" w:rsidRPr="00B834A2" w:rsidRDefault="00B834A2" w:rsidP="00B22C60">
      <w:pPr>
        <w:spacing w:after="160" w:line="360" w:lineRule="auto"/>
        <w:ind w:firstLine="567"/>
        <w:jc w:val="both"/>
      </w:pPr>
      <w:r w:rsidRPr="00B834A2">
        <w:t>Պահպանման ժամկետը (պիտանիության ժամկետը)՝ 3 ամսից ոչ ավելի:</w:t>
      </w:r>
    </w:p>
    <w:p w14:paraId="1306C23D" w14:textId="77777777" w:rsidR="00B834A2" w:rsidRPr="00B834A2" w:rsidRDefault="00B834A2" w:rsidP="00B834A2">
      <w:pPr>
        <w:spacing w:after="160" w:line="360" w:lineRule="auto"/>
        <w:jc w:val="both"/>
      </w:pPr>
    </w:p>
    <w:p w14:paraId="05565490" w14:textId="77777777" w:rsidR="00B834A2" w:rsidRPr="009217DE" w:rsidRDefault="00B834A2" w:rsidP="00B22C60">
      <w:pPr>
        <w:spacing w:after="160" w:line="360" w:lineRule="auto"/>
        <w:jc w:val="right"/>
        <w:rPr>
          <w:b/>
          <w:sz w:val="20"/>
        </w:rPr>
      </w:pPr>
      <w:r w:rsidRPr="00E2444F">
        <w:rPr>
          <w:b/>
          <w:sz w:val="20"/>
        </w:rPr>
        <w:t>201050017-2022</w:t>
      </w:r>
    </w:p>
    <w:p w14:paraId="5BF6C6D7" w14:textId="77777777" w:rsidR="00E2444F" w:rsidRPr="009217DE" w:rsidRDefault="00E2444F" w:rsidP="00B22C60">
      <w:pPr>
        <w:spacing w:after="160" w:line="360" w:lineRule="auto"/>
        <w:jc w:val="right"/>
        <w:rPr>
          <w:b/>
          <w:sz w:val="20"/>
        </w:rPr>
      </w:pPr>
    </w:p>
    <w:p w14:paraId="25371E98" w14:textId="77777777" w:rsidR="00B834A2" w:rsidRPr="00B834A2" w:rsidRDefault="00B834A2" w:rsidP="00B22C60">
      <w:pPr>
        <w:tabs>
          <w:tab w:val="left" w:pos="1701"/>
        </w:tabs>
        <w:spacing w:after="160" w:line="360" w:lineRule="auto"/>
        <w:ind w:firstLine="567"/>
        <w:jc w:val="both"/>
        <w:rPr>
          <w:b/>
        </w:rPr>
      </w:pPr>
      <w:r w:rsidRPr="00B834A2">
        <w:rPr>
          <w:b/>
        </w:rPr>
        <w:t>2.1.5.17.</w:t>
      </w:r>
      <w:r w:rsidR="00B22C60" w:rsidRPr="00097504">
        <w:rPr>
          <w:b/>
        </w:rPr>
        <w:tab/>
      </w:r>
      <w:r w:rsidRPr="00B834A2">
        <w:rPr>
          <w:b/>
        </w:rPr>
        <w:t>Թթվային չեզոքացնող ունակության որոշումը</w:t>
      </w:r>
    </w:p>
    <w:p w14:paraId="4E9D63B1" w14:textId="77777777" w:rsidR="00B834A2" w:rsidRPr="00B834A2" w:rsidRDefault="00B834A2" w:rsidP="00B22C60">
      <w:pPr>
        <w:spacing w:after="160" w:line="360" w:lineRule="auto"/>
        <w:ind w:firstLine="567"/>
        <w:jc w:val="both"/>
      </w:pPr>
      <w:r w:rsidRPr="00B834A2">
        <w:rPr>
          <w:i/>
        </w:rPr>
        <w:t>Թթվային չեզոքացնող ունակություն</w:t>
      </w:r>
      <w:r w:rsidRPr="00B834A2">
        <w:t xml:space="preserve"> ցուցանիշը բնութագրում է անտացիդ դեղամիջոցների հիմնական հատկությունները՝ քլորաջրածնային թթուն կապելու ունակությունը: Թթվային չեզոքացնող ունակությունն արտահայտվում է քլորաջրածնային թթվի միլիգրամ-համարժեքների քանակով, որը կապվում է 1 գ-ով կամ դեղամիջոցի նվազագույն դեղաչափով:</w:t>
      </w:r>
    </w:p>
    <w:p w14:paraId="0706592B" w14:textId="77777777" w:rsidR="00B834A2" w:rsidRPr="006B7DC5" w:rsidRDefault="00B834A2" w:rsidP="00B22C60">
      <w:pPr>
        <w:spacing w:after="160" w:line="360" w:lineRule="auto"/>
        <w:ind w:firstLine="567"/>
        <w:jc w:val="both"/>
        <w:rPr>
          <w:b/>
        </w:rPr>
      </w:pPr>
      <w:r w:rsidRPr="00B834A2">
        <w:rPr>
          <w:b/>
        </w:rPr>
        <w:lastRenderedPageBreak/>
        <w:t>ՓՈՐՁԱՐԿՎՈՂ ԼՈՒԾՈՒՅԹԻ ՊԱՏՐԱՍՏՈՒՄԸ</w:t>
      </w:r>
    </w:p>
    <w:p w14:paraId="19976E43" w14:textId="77777777" w:rsidR="00B834A2" w:rsidRPr="00B834A2" w:rsidRDefault="00B834A2" w:rsidP="00B22C60">
      <w:pPr>
        <w:spacing w:after="160" w:line="360" w:lineRule="auto"/>
        <w:ind w:firstLine="567"/>
        <w:jc w:val="both"/>
      </w:pPr>
      <w:r w:rsidRPr="00B834A2">
        <w:t>Բոլոր փորձարկումները պետք է անցկացվեն (37 ± 3) °С ջերմաստիճանում:</w:t>
      </w:r>
    </w:p>
    <w:p w14:paraId="616DB730" w14:textId="77777777" w:rsidR="00B834A2" w:rsidRPr="00B834A2" w:rsidRDefault="00B834A2" w:rsidP="00B22C60">
      <w:pPr>
        <w:spacing w:after="160" w:line="360" w:lineRule="auto"/>
        <w:ind w:firstLine="567"/>
        <w:jc w:val="both"/>
      </w:pPr>
      <w:r w:rsidRPr="00B834A2">
        <w:t>Մասնավոր դեղագրքային հոդվածում այլ նշումների բացակայության դեպքում փորձարկվող լուծույթը պատրաստում են հետ</w:t>
      </w:r>
      <w:r>
        <w:t>եւ</w:t>
      </w:r>
      <w:r w:rsidRPr="00B834A2">
        <w:t>յալ կերպ.</w:t>
      </w:r>
    </w:p>
    <w:p w14:paraId="491984C7" w14:textId="77777777" w:rsidR="00B834A2" w:rsidRPr="004A7CC9" w:rsidRDefault="00B834A2" w:rsidP="00B22C60">
      <w:pPr>
        <w:spacing w:after="160" w:line="360" w:lineRule="auto"/>
        <w:ind w:firstLine="567"/>
        <w:jc w:val="both"/>
      </w:pPr>
      <w:r w:rsidRPr="00E2444F">
        <w:rPr>
          <w:b/>
        </w:rPr>
        <w:t>Դեղագործական կիրառության համար բաղադրամասեր, պինդ դեղաձեւեր:</w:t>
      </w:r>
      <w:r w:rsidRPr="00B834A2">
        <w:t xml:space="preserve"> Դեղագործական կիրառության համար բաղադրամասի կամ պատրաստուկի ճշգրիտ կշռված քանակը (մասնավոր դեղագրքային հոդվածում նշված), որը համարժեք է նվազագույն դոզային, տեղավորում են 250 մլ տարողությամբ բաժակի մեջ: Ավելացնում են 70 մլ Р ջուր </w:t>
      </w:r>
      <w:r>
        <w:t>եւ</w:t>
      </w:r>
      <w:r w:rsidRPr="00B834A2">
        <w:t xml:space="preserve"> մագնիսական խառնիչի վրա խառնում են 1</w:t>
      </w:r>
      <w:r w:rsidR="00E2444F" w:rsidRPr="00E2444F">
        <w:t> </w:t>
      </w:r>
      <w:r w:rsidRPr="00B834A2">
        <w:t>րոպե: Անհրաժեշտության դեպքում փորձարկվող նմուշը խոնավացնում են՝ ավելացնելով ոչ ավելի, քան 5 մլ Р էթանոլ (96%) (պոտենցաչափորեն, մինչ</w:t>
      </w:r>
      <w:r>
        <w:t>եւ</w:t>
      </w:r>
      <w:r w:rsidRPr="00B834A2">
        <w:t xml:space="preserve"> pH 3,5 մեծության հասցված), </w:t>
      </w:r>
      <w:r>
        <w:t>եւ</w:t>
      </w:r>
      <w:r w:rsidRPr="00B834A2">
        <w:t xml:space="preserve"> խառնում են մինչ</w:t>
      </w:r>
      <w:r>
        <w:t>եւ</w:t>
      </w:r>
      <w:r w:rsidRPr="00B834A2">
        <w:t xml:space="preserve"> նմուշի լրիվ թրջվելը:</w:t>
      </w:r>
    </w:p>
    <w:p w14:paraId="7307A60C" w14:textId="77777777" w:rsidR="00B834A2" w:rsidRPr="00B834A2" w:rsidRDefault="00B834A2" w:rsidP="008F5B6F">
      <w:pPr>
        <w:spacing w:after="160" w:line="346" w:lineRule="auto"/>
        <w:ind w:firstLine="567"/>
        <w:jc w:val="both"/>
      </w:pPr>
      <w:r w:rsidRPr="00B834A2">
        <w:t xml:space="preserve">Փրփրուն դեղահաբերի դեպքում կշռանմուշին սկզբում ավելացնում են 10 մլ Р </w:t>
      </w:r>
      <w:r w:rsidRPr="00B22C60">
        <w:rPr>
          <w:spacing w:val="-4"/>
        </w:rPr>
        <w:t>ջուր եւ զգուշությամբ պտտում բաժակը, մինչեւ ռեակցիան դադարի: Ավելացնում են եւս</w:t>
      </w:r>
      <w:r w:rsidRPr="00B834A2">
        <w:t xml:space="preserve"> 10 մլ Р ջուր </w:t>
      </w:r>
      <w:r>
        <w:t>եւ</w:t>
      </w:r>
      <w:r w:rsidRPr="00B834A2">
        <w:t xml:space="preserve"> զգուշությամբ խառնում: Բաժակի պատերը լվանում են 50 մլ Р ջրով </w:t>
      </w:r>
      <w:r>
        <w:t>եւ</w:t>
      </w:r>
      <w:r w:rsidRPr="00B834A2">
        <w:t xml:space="preserve"> մագնիսական խառնիչի վրա խառնում են 1 րոպե:</w:t>
      </w:r>
    </w:p>
    <w:p w14:paraId="077A1FCF" w14:textId="77777777" w:rsidR="00B834A2" w:rsidRPr="00B834A2" w:rsidRDefault="00B834A2" w:rsidP="008F5B6F">
      <w:pPr>
        <w:spacing w:after="160" w:line="346" w:lineRule="auto"/>
        <w:ind w:firstLine="567"/>
        <w:jc w:val="both"/>
      </w:pPr>
      <w:r w:rsidRPr="00E2444F">
        <w:rPr>
          <w:b/>
          <w:i/>
        </w:rPr>
        <w:t>Կախույթները եւ այլ հեղուկներ</w:t>
      </w:r>
      <w:r w:rsidRPr="00B834A2">
        <w:rPr>
          <w:i/>
        </w:rPr>
        <w:t>:</w:t>
      </w:r>
      <w:r w:rsidRPr="00B834A2">
        <w:t xml:space="preserve"> Կոնտեյները թափահարում են, մինչ</w:t>
      </w:r>
      <w:r>
        <w:t>եւ</w:t>
      </w:r>
      <w:r w:rsidRPr="00B834A2">
        <w:t xml:space="preserve"> պարունակությունը դառնա միատարր, որոշում են խտությունը՝ «2.1.2.5 Հարաբերական խտությունը» ընդհանուր դեղագրքային հոդվածին համապատասխան: Նվազագույն դոզային համարժեք՝ միատարր խառնուրդի ճշգրիտ կշռված քանակը տեղափոխում են 250 մլ տարողությամբ բաժակի մեջ, ավելացնում են Р ջուր մոտավորապես մինչ</w:t>
      </w:r>
      <w:r>
        <w:t>եւ</w:t>
      </w:r>
      <w:r w:rsidRPr="00B834A2">
        <w:t xml:space="preserve"> 70 մլ ծավալը </w:t>
      </w:r>
      <w:r>
        <w:t>եւ</w:t>
      </w:r>
      <w:r w:rsidRPr="00B834A2">
        <w:t xml:space="preserve"> մագնիսական խառնիչի վրա խառնում են 1 րոպե:</w:t>
      </w:r>
    </w:p>
    <w:p w14:paraId="73230F01" w14:textId="77777777" w:rsidR="008F5B6F" w:rsidRPr="004A7CC9" w:rsidRDefault="008F5B6F" w:rsidP="008F5B6F">
      <w:pPr>
        <w:spacing w:after="160" w:line="346" w:lineRule="auto"/>
        <w:ind w:firstLine="567"/>
        <w:jc w:val="both"/>
        <w:rPr>
          <w:b/>
        </w:rPr>
      </w:pPr>
    </w:p>
    <w:p w14:paraId="23038C28" w14:textId="77777777" w:rsidR="00B834A2" w:rsidRPr="006B7DC5" w:rsidRDefault="00B834A2" w:rsidP="008F5B6F">
      <w:pPr>
        <w:spacing w:after="160" w:line="346" w:lineRule="auto"/>
        <w:ind w:firstLine="567"/>
        <w:jc w:val="both"/>
        <w:rPr>
          <w:b/>
        </w:rPr>
      </w:pPr>
      <w:r w:rsidRPr="00B834A2">
        <w:rPr>
          <w:b/>
        </w:rPr>
        <w:t>ՄԵԹՈԴԻԿԱՆ</w:t>
      </w:r>
    </w:p>
    <w:p w14:paraId="5A24987F" w14:textId="77777777" w:rsidR="00B834A2" w:rsidRPr="00B834A2" w:rsidRDefault="00B834A2" w:rsidP="008F5B6F">
      <w:pPr>
        <w:spacing w:after="160" w:line="346" w:lineRule="auto"/>
        <w:ind w:firstLine="567"/>
        <w:jc w:val="both"/>
      </w:pPr>
      <w:r w:rsidRPr="00B22C60">
        <w:rPr>
          <w:spacing w:val="-6"/>
        </w:rPr>
        <w:t>Մագնիսական խառնիչի վրա խառնելիս փորձարկվող լուծույթին ավելացնում են 30,0 մլ М քլորաջրածնային</w:t>
      </w:r>
      <w:r w:rsidRPr="00B834A2">
        <w:t xml:space="preserve"> թթու:</w:t>
      </w:r>
      <w:r>
        <w:t xml:space="preserve"> </w:t>
      </w:r>
      <w:r w:rsidRPr="00B834A2">
        <w:t xml:space="preserve">Թթուն ավելացնելուց հետո 15 րոպե խառնում են </w:t>
      </w:r>
      <w:r>
        <w:lastRenderedPageBreak/>
        <w:t>եւ</w:t>
      </w:r>
      <w:r w:rsidRPr="00B834A2">
        <w:t xml:space="preserve"> անմիջապես սկսում քլորաջրածնային թթվի ավելցուկը տիտրել 0,5 М նատրիումի հիդրօքսիդի լուծույթով 5 րոպեն չգերազանցող ժամանակի ընթացքում՝ մինչ</w:t>
      </w:r>
      <w:r>
        <w:t>եւ</w:t>
      </w:r>
      <w:r w:rsidRPr="00B834A2">
        <w:t xml:space="preserve"> 10-15 վ-ի ընթացքում pH-ի հաստատուն՝ 3,5 արժեքին (պոտենցաչափորեն) հասնելը:</w:t>
      </w:r>
    </w:p>
    <w:p w14:paraId="48FB224B" w14:textId="77777777" w:rsidR="00B834A2" w:rsidRPr="00B834A2" w:rsidRDefault="00B834A2" w:rsidP="008F5B6F">
      <w:pPr>
        <w:spacing w:after="160" w:line="346" w:lineRule="auto"/>
        <w:ind w:firstLine="567"/>
        <w:jc w:val="both"/>
      </w:pPr>
      <w:r w:rsidRPr="00B834A2">
        <w:t>Կլանված թթվի միլիգրամ-համարժեքների (մգ-համ.) քանակը հաշվարկում են հետ</w:t>
      </w:r>
      <w:r>
        <w:t>եւ</w:t>
      </w:r>
      <w:r w:rsidRPr="00B834A2">
        <w:t>յալ բանաձ</w:t>
      </w:r>
      <w:r>
        <w:t>եւ</w:t>
      </w:r>
      <w:r w:rsidRPr="00B834A2">
        <w:t>ով.</w:t>
      </w:r>
    </w:p>
    <w:p w14:paraId="655F6F23" w14:textId="77777777" w:rsidR="00B834A2" w:rsidRPr="00B834A2" w:rsidRDefault="00B834A2" w:rsidP="008F5B6F">
      <w:pPr>
        <w:spacing w:after="160" w:line="346" w:lineRule="auto"/>
        <w:jc w:val="center"/>
      </w:pPr>
      <w:r w:rsidRPr="00B834A2">
        <w:t>X</w:t>
      </w:r>
      <w:r w:rsidRPr="00B834A2">
        <w:rPr>
          <w:vertAlign w:val="subscript"/>
        </w:rPr>
        <w:t>ՄԳ-ՀԱՄ</w:t>
      </w:r>
      <w:r w:rsidRPr="00B834A2">
        <w:t xml:space="preserve"> = (30∙M</w:t>
      </w:r>
      <w:r w:rsidRPr="00B834A2">
        <w:rPr>
          <w:vertAlign w:val="subscript"/>
        </w:rPr>
        <w:t>HCl</w:t>
      </w:r>
      <w:r w:rsidRPr="00B834A2">
        <w:t xml:space="preserve">) </w:t>
      </w:r>
      <w:r w:rsidR="002E52D1">
        <w:t>-</w:t>
      </w:r>
      <w:r w:rsidRPr="00B834A2">
        <w:t xml:space="preserve"> (V</w:t>
      </w:r>
      <w:r w:rsidRPr="00B834A2">
        <w:rPr>
          <w:vertAlign w:val="subscript"/>
        </w:rPr>
        <w:t>NaOH</w:t>
      </w:r>
      <w:r w:rsidRPr="00B834A2">
        <w:t>∙M</w:t>
      </w:r>
      <w:r w:rsidRPr="00B834A2">
        <w:rPr>
          <w:vertAlign w:val="subscript"/>
        </w:rPr>
        <w:t>NaOH</w:t>
      </w:r>
      <w:r w:rsidRPr="00B834A2">
        <w:t>),</w:t>
      </w:r>
    </w:p>
    <w:p w14:paraId="19376E07" w14:textId="77777777" w:rsidR="00B834A2" w:rsidRPr="00B834A2" w:rsidRDefault="00B834A2" w:rsidP="008F5B6F">
      <w:pPr>
        <w:spacing w:after="160" w:line="346" w:lineRule="auto"/>
        <w:ind w:firstLine="567"/>
        <w:jc w:val="both"/>
      </w:pPr>
      <w:r w:rsidRPr="00B834A2">
        <w:t>որտեղ՝</w:t>
      </w:r>
    </w:p>
    <w:p w14:paraId="7E84D3FD" w14:textId="77777777" w:rsidR="00B834A2" w:rsidRPr="00B834A2" w:rsidRDefault="00B834A2" w:rsidP="008F5B6F">
      <w:pPr>
        <w:spacing w:after="160" w:line="346" w:lineRule="auto"/>
        <w:ind w:firstLine="567"/>
        <w:jc w:val="both"/>
      </w:pPr>
      <w:r w:rsidRPr="00B834A2">
        <w:t>M</w:t>
      </w:r>
      <w:r w:rsidRPr="00B834A2">
        <w:rPr>
          <w:vertAlign w:val="subscript"/>
        </w:rPr>
        <w:t>HCl</w:t>
      </w:r>
      <w:r w:rsidRPr="00B834A2">
        <w:t xml:space="preserve"> -</w:t>
      </w:r>
      <w:r>
        <w:t>եւ</w:t>
      </w:r>
      <w:r w:rsidRPr="00B834A2">
        <w:t xml:space="preserve"> M</w:t>
      </w:r>
      <w:r w:rsidRPr="00B834A2">
        <w:rPr>
          <w:vertAlign w:val="subscript"/>
        </w:rPr>
        <w:t>NaOH</w:t>
      </w:r>
      <w:r w:rsidRPr="00B834A2">
        <w:t xml:space="preserve">-ը համապատասխանաբար քլորաջրածնային թթվի </w:t>
      </w:r>
      <w:r>
        <w:t>եւ</w:t>
      </w:r>
      <w:r w:rsidRPr="00B834A2">
        <w:t xml:space="preserve"> նատրիումի հիդրօքսիդի մոլային կոնցենտրացիան են.</w:t>
      </w:r>
    </w:p>
    <w:p w14:paraId="48C57BC2" w14:textId="77777777" w:rsidR="00B834A2" w:rsidRPr="00B834A2" w:rsidRDefault="00B834A2" w:rsidP="00B22C60">
      <w:pPr>
        <w:spacing w:after="160" w:line="360" w:lineRule="auto"/>
        <w:ind w:firstLine="567"/>
        <w:jc w:val="both"/>
      </w:pPr>
      <w:r w:rsidRPr="00B834A2">
        <w:t>V</w:t>
      </w:r>
      <w:r w:rsidRPr="00B834A2">
        <w:rPr>
          <w:vertAlign w:val="subscript"/>
        </w:rPr>
        <w:t>NaOH</w:t>
      </w:r>
      <w:r w:rsidRPr="00B834A2">
        <w:t>-ը 0,5 М՝ նատրիումի հիդրօքսիդի լուծույթի՝ տիտրման վրա ծախսված ծավալն է:</w:t>
      </w:r>
    </w:p>
    <w:p w14:paraId="5B299C37" w14:textId="77777777" w:rsidR="00B834A2" w:rsidRPr="00B834A2" w:rsidRDefault="00B834A2" w:rsidP="00B22C60">
      <w:pPr>
        <w:spacing w:after="160" w:line="360" w:lineRule="auto"/>
        <w:ind w:firstLine="567"/>
        <w:jc w:val="both"/>
      </w:pPr>
      <w:r w:rsidRPr="00B834A2">
        <w:t xml:space="preserve">Եթե փորձարկվող նմուշի թթվային չեզոքացնող ունակությունն ավելին է, քան 25 մգ-համ.-ը, ավելացնում են 60,0 մլ М քլորաջրածնային թթու </w:t>
      </w:r>
      <w:r>
        <w:t>եւ</w:t>
      </w:r>
      <w:r w:rsidRPr="00B834A2">
        <w:t xml:space="preserve"> հաշվարկելիս համապատասխան փոփոխություն կատարում:</w:t>
      </w:r>
    </w:p>
    <w:p w14:paraId="665AC28B" w14:textId="77777777" w:rsidR="00B834A2" w:rsidRPr="00B834A2" w:rsidRDefault="00B834A2" w:rsidP="00B22C60">
      <w:pPr>
        <w:spacing w:after="160" w:line="360" w:lineRule="auto"/>
        <w:ind w:firstLine="567"/>
        <w:jc w:val="both"/>
      </w:pPr>
      <w:r w:rsidRPr="00B834A2">
        <w:t>Արդյունքն արտահայտում են թթվի միլիգրամ-համարժեքներով (մգ-համ.), որը կլանվել է դեղագործական կիրառության համար փորձարկվող բաղադրամասի կամ փորձարկվող պատրաստուկի 1 գ-ով (Х1) կամ նվազագույն դեղաչափով (Х2).</w:t>
      </w:r>
    </w:p>
    <w:p w14:paraId="42E64329" w14:textId="77777777" w:rsidR="00B834A2" w:rsidRPr="00B834A2" w:rsidRDefault="00B834A2" w:rsidP="00B22C60">
      <w:pPr>
        <w:spacing w:after="160" w:line="360" w:lineRule="auto"/>
        <w:ind w:firstLine="567"/>
        <w:jc w:val="both"/>
      </w:pPr>
      <w:r w:rsidRPr="00B834A2">
        <w:t>Դեղագործական կիրառության համար նախատեսված բաղադրամասերի կամ կոշտ դեղաձ</w:t>
      </w:r>
      <w:r>
        <w:t>եւ</w:t>
      </w:r>
      <w:r w:rsidRPr="00B834A2">
        <w:t>երի համար՝</w:t>
      </w:r>
    </w:p>
    <w:p w14:paraId="16AB4E9E" w14:textId="77777777" w:rsidR="00B834A2" w:rsidRPr="008F20E6" w:rsidRDefault="00000000" w:rsidP="008F20E6">
      <w:pPr>
        <w:tabs>
          <w:tab w:val="left" w:pos="3544"/>
        </w:tabs>
        <w:spacing w:after="160" w:line="360" w:lineRule="auto"/>
        <w:jc w:val="center"/>
      </w:pP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մգ-համ</m:t>
            </m:r>
          </m:num>
          <m:den>
            <m:r>
              <w:rPr>
                <w:rFonts w:ascii="Cambria Math" w:hAnsi="Cambria Math"/>
              </w:rPr>
              <m:t>a</m:t>
            </m:r>
          </m:den>
        </m:f>
      </m:oMath>
      <w:r w:rsidR="00B834A2" w:rsidRPr="00B834A2">
        <w:t>,</w:t>
      </w:r>
      <w:r w:rsidR="008F20E6" w:rsidRPr="008F20E6">
        <w:tab/>
      </w:r>
      <w:r w:rsidR="008F20E6" w:rsidRPr="00B834A2">
        <w:t>(2)</w:t>
      </w:r>
    </w:p>
    <w:p w14:paraId="44F3CB41" w14:textId="77777777" w:rsidR="00B834A2" w:rsidRPr="008F20E6" w:rsidRDefault="00000000" w:rsidP="008F20E6">
      <w:pPr>
        <w:tabs>
          <w:tab w:val="left" w:pos="3544"/>
        </w:tabs>
        <w:spacing w:after="160" w:line="360" w:lineRule="auto"/>
        <w:jc w:val="center"/>
      </w:pP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մգ-համ</m:t>
            </m:r>
            <m:r>
              <w:rPr>
                <w:rFonts w:ascii="Cambria Math" w:hAnsi="Cambria Math"/>
              </w:rPr>
              <m:t>b</m:t>
            </m:r>
          </m:num>
          <m:den>
            <m:r>
              <w:rPr>
                <w:rFonts w:ascii="Cambria Math" w:hAnsi="Cambria Math"/>
              </w:rPr>
              <m:t>a</m:t>
            </m:r>
          </m:den>
        </m:f>
      </m:oMath>
      <w:r w:rsidR="008F20E6" w:rsidRPr="008F20E6">
        <w:tab/>
      </w:r>
      <w:r w:rsidR="008F20E6" w:rsidRPr="00B834A2">
        <w:t>(3),</w:t>
      </w:r>
    </w:p>
    <w:p w14:paraId="57C95DDE" w14:textId="77777777" w:rsidR="00B834A2" w:rsidRPr="00903268" w:rsidRDefault="00B834A2" w:rsidP="00B22C60">
      <w:pPr>
        <w:spacing w:after="160" w:line="360" w:lineRule="auto"/>
        <w:ind w:firstLine="567"/>
        <w:jc w:val="both"/>
      </w:pPr>
      <w:r w:rsidRPr="00B834A2">
        <w:t xml:space="preserve">որտեղ՝ </w:t>
      </w:r>
    </w:p>
    <w:p w14:paraId="63230502" w14:textId="77777777" w:rsidR="006035D0" w:rsidRPr="00903268" w:rsidRDefault="006035D0" w:rsidP="00B22C60">
      <w:pPr>
        <w:spacing w:after="160" w:line="360" w:lineRule="auto"/>
        <w:ind w:firstLine="567"/>
        <w:jc w:val="both"/>
      </w:pPr>
    </w:p>
    <w:p w14:paraId="51840520" w14:textId="77777777" w:rsidR="00B834A2" w:rsidRPr="00B834A2" w:rsidRDefault="00B834A2" w:rsidP="00B22C60">
      <w:pPr>
        <w:spacing w:after="160" w:line="360" w:lineRule="auto"/>
        <w:ind w:firstLine="567"/>
        <w:jc w:val="both"/>
      </w:pPr>
      <w:r w:rsidRPr="008F20E6">
        <w:rPr>
          <w:i/>
        </w:rPr>
        <w:lastRenderedPageBreak/>
        <w:t>a</w:t>
      </w:r>
      <w:r w:rsidRPr="00B834A2">
        <w:t>-ն դեղագործական կիրառության համար բաղադրամասի կամ փորձարկվող պատրաստուկի կշռանմուշն է, գ.</w:t>
      </w:r>
    </w:p>
    <w:p w14:paraId="50C58FF0" w14:textId="77777777" w:rsidR="00B834A2" w:rsidRPr="00B834A2" w:rsidRDefault="00B834A2" w:rsidP="00B22C60">
      <w:pPr>
        <w:spacing w:after="160" w:line="360" w:lineRule="auto"/>
        <w:ind w:firstLine="567"/>
        <w:jc w:val="both"/>
      </w:pPr>
      <w:r w:rsidRPr="008F20E6">
        <w:rPr>
          <w:i/>
        </w:rPr>
        <w:t>b</w:t>
      </w:r>
      <w:r w:rsidRPr="00B834A2">
        <w:t>-ն դեղահաբի կամ դեղապատիճի պարունակության՝ նվազագույն դոզային համապատասխանող միջին զանգվածն է, գ:</w:t>
      </w:r>
    </w:p>
    <w:p w14:paraId="462FD8EE" w14:textId="77777777" w:rsidR="00B834A2" w:rsidRPr="00B834A2" w:rsidRDefault="00B834A2" w:rsidP="00B22C60">
      <w:pPr>
        <w:spacing w:after="160" w:line="360" w:lineRule="auto"/>
        <w:ind w:firstLine="567"/>
        <w:jc w:val="both"/>
      </w:pPr>
      <w:r w:rsidRPr="00B834A2">
        <w:t>Հեղուկների համար՝</w:t>
      </w:r>
    </w:p>
    <w:p w14:paraId="34A20E22" w14:textId="77777777" w:rsidR="00B834A2" w:rsidRPr="008F20E6" w:rsidRDefault="00000000" w:rsidP="008F20E6">
      <w:pPr>
        <w:tabs>
          <w:tab w:val="left" w:pos="3544"/>
        </w:tabs>
        <w:spacing w:after="160" w:line="360" w:lineRule="auto"/>
        <w:jc w:val="center"/>
        <w:rPr>
          <w:i/>
        </w:rPr>
      </w:pP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մգ-համ</m:t>
                </m:r>
                <m:r>
                  <w:rPr>
                    <w:rFonts w:ascii="Cambria Math" w:hAnsi="Cambria Math"/>
                  </w:rPr>
                  <m:t>V</m:t>
                </m:r>
              </m:e>
              <m:sub>
                <m:r>
                  <m:rPr>
                    <m:sty m:val="p"/>
                  </m:rPr>
                  <w:rPr>
                    <w:rFonts w:ascii="Cambria Math" w:hAnsi="Cambria Math"/>
                  </w:rPr>
                  <m:t>դեղաչափեր</m:t>
                </m:r>
              </m:sub>
            </m:sSub>
            <m:r>
              <m:rPr>
                <m:sty m:val="p"/>
              </m:rPr>
              <w:rPr>
                <w:rFonts w:ascii="Cambria Math" w:hAnsi="Cambria Math"/>
              </w:rPr>
              <m:t>∙</m:t>
            </m:r>
            <m:r>
              <w:rPr>
                <w:rFonts w:ascii="Cambria Math" w:hAnsi="Cambria Math"/>
              </w:rPr>
              <m:t>ρ</m:t>
            </m:r>
          </m:num>
          <m:den>
            <m:r>
              <w:rPr>
                <w:rFonts w:ascii="Cambria Math" w:hAnsi="Cambria Math"/>
              </w:rPr>
              <m:t>a</m:t>
            </m:r>
          </m:den>
        </m:f>
      </m:oMath>
      <w:r w:rsidR="008F20E6" w:rsidRPr="008F20E6">
        <w:rPr>
          <w:i/>
        </w:rPr>
        <w:tab/>
      </w:r>
      <w:r w:rsidR="008F20E6" w:rsidRPr="00B834A2">
        <w:t>(</w:t>
      </w:r>
      <w:r w:rsidR="008F20E6" w:rsidRPr="008F20E6">
        <w:t>4</w:t>
      </w:r>
      <w:r w:rsidR="008F20E6" w:rsidRPr="00B834A2">
        <w:t>),</w:t>
      </w:r>
    </w:p>
    <w:p w14:paraId="480508DD" w14:textId="77777777" w:rsidR="00B834A2" w:rsidRPr="00B834A2" w:rsidRDefault="00B834A2" w:rsidP="00B22C60">
      <w:pPr>
        <w:spacing w:after="160" w:line="360" w:lineRule="auto"/>
        <w:ind w:firstLine="567"/>
        <w:jc w:val="both"/>
      </w:pPr>
      <w:r w:rsidRPr="00B834A2">
        <w:t>որտեղ՝</w:t>
      </w:r>
    </w:p>
    <w:p w14:paraId="0431F050" w14:textId="77777777" w:rsidR="00B834A2" w:rsidRPr="00B834A2" w:rsidRDefault="00B834A2" w:rsidP="00B22C60">
      <w:pPr>
        <w:spacing w:after="160" w:line="360" w:lineRule="auto"/>
        <w:ind w:firstLine="567"/>
        <w:jc w:val="both"/>
      </w:pPr>
      <w:r w:rsidRPr="00B834A2">
        <w:t>V</w:t>
      </w:r>
      <w:r w:rsidRPr="00B834A2">
        <w:rPr>
          <w:vertAlign w:val="subscript"/>
        </w:rPr>
        <w:t>դեղաչափերը</w:t>
      </w:r>
      <w:r w:rsidRPr="00B834A2">
        <w:t xml:space="preserve"> նվազագույն դոզայի ծավալն է, մլ.</w:t>
      </w:r>
    </w:p>
    <w:p w14:paraId="0ADCE15E" w14:textId="77777777" w:rsidR="00B834A2" w:rsidRPr="00B834A2" w:rsidRDefault="00B834A2" w:rsidP="00B22C60">
      <w:pPr>
        <w:spacing w:after="160" w:line="360" w:lineRule="auto"/>
        <w:ind w:firstLine="567"/>
        <w:jc w:val="both"/>
      </w:pPr>
      <w:r w:rsidRPr="00B834A2">
        <w:t>ρ-ն հեղուկի խտությունն է, գ/մլ.</w:t>
      </w:r>
    </w:p>
    <w:p w14:paraId="56BE7E62" w14:textId="77777777" w:rsidR="00B834A2" w:rsidRPr="00B834A2" w:rsidRDefault="00B834A2" w:rsidP="00B22C60">
      <w:pPr>
        <w:spacing w:after="160" w:line="360" w:lineRule="auto"/>
        <w:ind w:firstLine="567"/>
        <w:jc w:val="both"/>
      </w:pPr>
      <w:r w:rsidRPr="00B834A2">
        <w:rPr>
          <w:rFonts w:ascii="Cambria Math" w:hAnsi="Cambria Math" w:cs="Cambria Math"/>
        </w:rPr>
        <w:t>𝑎</w:t>
      </w:r>
      <w:r w:rsidRPr="00B834A2">
        <w:t>-ն փորձարկվող պատրաստուկի կշռանմուշն է, գ։</w:t>
      </w:r>
    </w:p>
    <w:p w14:paraId="65034805" w14:textId="77777777" w:rsidR="00B834A2" w:rsidRPr="00B834A2" w:rsidRDefault="00B834A2" w:rsidP="00B834A2">
      <w:pPr>
        <w:spacing w:after="160" w:line="360" w:lineRule="auto"/>
        <w:jc w:val="both"/>
      </w:pPr>
    </w:p>
    <w:p w14:paraId="49EEE087" w14:textId="77777777" w:rsidR="00B834A2" w:rsidRPr="009217DE" w:rsidRDefault="00B834A2" w:rsidP="00B22C60">
      <w:pPr>
        <w:spacing w:after="160" w:line="360" w:lineRule="auto"/>
        <w:jc w:val="right"/>
        <w:rPr>
          <w:b/>
          <w:sz w:val="20"/>
        </w:rPr>
      </w:pPr>
      <w:r w:rsidRPr="008F20E6">
        <w:rPr>
          <w:b/>
          <w:sz w:val="20"/>
        </w:rPr>
        <w:t>201050018-2022</w:t>
      </w:r>
    </w:p>
    <w:p w14:paraId="6C28666B" w14:textId="77777777" w:rsidR="008F20E6" w:rsidRPr="009217DE" w:rsidRDefault="008F20E6" w:rsidP="00B22C60">
      <w:pPr>
        <w:spacing w:after="160" w:line="360" w:lineRule="auto"/>
        <w:jc w:val="right"/>
        <w:rPr>
          <w:b/>
          <w:sz w:val="20"/>
        </w:rPr>
      </w:pPr>
    </w:p>
    <w:p w14:paraId="64EE0CBB" w14:textId="77777777" w:rsidR="00B834A2" w:rsidRPr="00B834A2" w:rsidRDefault="00B834A2" w:rsidP="00B22C60">
      <w:pPr>
        <w:tabs>
          <w:tab w:val="left" w:pos="1701"/>
        </w:tabs>
        <w:spacing w:after="160" w:line="360" w:lineRule="auto"/>
        <w:ind w:firstLine="567"/>
        <w:jc w:val="both"/>
        <w:rPr>
          <w:b/>
        </w:rPr>
      </w:pPr>
      <w:r w:rsidRPr="00B834A2">
        <w:rPr>
          <w:b/>
        </w:rPr>
        <w:t>2.1.5.18.</w:t>
      </w:r>
      <w:r w:rsidR="00B22C60" w:rsidRPr="00097504">
        <w:rPr>
          <w:b/>
        </w:rPr>
        <w:tab/>
      </w:r>
      <w:r w:rsidRPr="00B834A2">
        <w:rPr>
          <w:b/>
        </w:rPr>
        <w:t>Ցինկը՝ ինսուլինի մեջ</w:t>
      </w:r>
    </w:p>
    <w:p w14:paraId="1B6B5780" w14:textId="77777777" w:rsidR="00B834A2" w:rsidRPr="00B834A2" w:rsidRDefault="00B834A2" w:rsidP="00B22C60">
      <w:pPr>
        <w:spacing w:after="160" w:line="360" w:lineRule="auto"/>
        <w:ind w:firstLine="567"/>
        <w:jc w:val="both"/>
      </w:pPr>
      <w:r w:rsidRPr="00B834A2">
        <w:t xml:space="preserve">Սույն ընդհանուր դեղագրքային հոդվածը տարածվում է ինսուլինի դեղապատրաստուկների </w:t>
      </w:r>
      <w:r>
        <w:t>եւ</w:t>
      </w:r>
      <w:r w:rsidRPr="00B834A2">
        <w:t xml:space="preserve"> ակտիվ դեղագործական բաղադրամասերի մեջ ցինկի որոշման վրա: Ցինկը որոշում են ատոմային աբսորբման սպեկտրաչափության մեթոդով («2.1.2.22 Ատոմային աբսորբման սպեկտրաչափություն» ընդհանուր դեղագրքային հոդված, I մեթոդ):</w:t>
      </w:r>
    </w:p>
    <w:p w14:paraId="00087CC1" w14:textId="77777777" w:rsidR="00B834A2" w:rsidRPr="00B834A2" w:rsidRDefault="00B834A2" w:rsidP="00B22C60">
      <w:pPr>
        <w:spacing w:after="160" w:line="360" w:lineRule="auto"/>
        <w:ind w:firstLine="567"/>
        <w:jc w:val="both"/>
        <w:rPr>
          <w:i/>
        </w:rPr>
      </w:pPr>
      <w:r w:rsidRPr="00B834A2">
        <w:rPr>
          <w:i/>
        </w:rPr>
        <w:t>Փորձարկվող լուծույթը՝</w:t>
      </w:r>
    </w:p>
    <w:p w14:paraId="60A6B4E1" w14:textId="77777777" w:rsidR="00B834A2" w:rsidRPr="00097504" w:rsidRDefault="00B834A2" w:rsidP="00B22C60">
      <w:pPr>
        <w:tabs>
          <w:tab w:val="left" w:pos="1134"/>
        </w:tabs>
        <w:spacing w:after="160" w:line="360" w:lineRule="auto"/>
        <w:ind w:firstLine="567"/>
        <w:jc w:val="both"/>
        <w:rPr>
          <w:i/>
        </w:rPr>
      </w:pPr>
      <w:r w:rsidRPr="00B834A2">
        <w:t>-</w:t>
      </w:r>
      <w:r w:rsidR="00B22C60" w:rsidRPr="00B22C60">
        <w:tab/>
      </w:r>
      <w:r w:rsidRPr="00B834A2">
        <w:rPr>
          <w:i/>
        </w:rPr>
        <w:t>լուծիչներ՝ կախույթ</w:t>
      </w:r>
      <w:r w:rsidRPr="00B834A2">
        <w:t xml:space="preserve"> </w:t>
      </w:r>
      <w:r w:rsidRPr="00B834A2">
        <w:rPr>
          <w:i/>
        </w:rPr>
        <w:t>դեղաձ</w:t>
      </w:r>
      <w:r>
        <w:rPr>
          <w:i/>
        </w:rPr>
        <w:t>եւ</w:t>
      </w:r>
      <w:r w:rsidRPr="00B834A2">
        <w:rPr>
          <w:i/>
        </w:rPr>
        <w:t>ով, պարէնտերալ կիրառության դեղապատրաստուկների համար.</w:t>
      </w:r>
    </w:p>
    <w:p w14:paraId="7676017D" w14:textId="77777777" w:rsidR="00B834A2" w:rsidRPr="00B834A2" w:rsidRDefault="00B834A2" w:rsidP="008F20E6">
      <w:pPr>
        <w:spacing w:after="160" w:line="374" w:lineRule="auto"/>
        <w:ind w:firstLine="567"/>
        <w:jc w:val="both"/>
      </w:pPr>
      <w:r w:rsidRPr="00B834A2">
        <w:t xml:space="preserve">Այն դեպքում, երբ փորձարկվող դեղապատրաստուկը կախույթ է, փաթեթվածքի մեջ 1 մլ դեղապատրաստուկին նախապես ավելացնում են 2 մկլ </w:t>
      </w:r>
      <w:r w:rsidRPr="00B834A2">
        <w:lastRenderedPageBreak/>
        <w:t xml:space="preserve">(ինսուլինի 40 ՄՄ/մլ ակտիվության դեպքում) կամ 4 մկլ (ինսուլինի 100 ՄՄ/մլ ակտիվության դեպքում) 6 М Р քլորաջրածնային թթու </w:t>
      </w:r>
      <w:r>
        <w:t>եւ</w:t>
      </w:r>
      <w:r w:rsidRPr="00B834A2">
        <w:t xml:space="preserve"> մանրակրկիտ խառնում:</w:t>
      </w:r>
    </w:p>
    <w:p w14:paraId="28241983" w14:textId="77777777" w:rsidR="00B834A2" w:rsidRPr="00B834A2" w:rsidRDefault="00B834A2" w:rsidP="008F20E6">
      <w:pPr>
        <w:spacing w:after="160" w:line="374" w:lineRule="auto"/>
        <w:ind w:firstLine="567"/>
        <w:jc w:val="both"/>
      </w:pPr>
      <w:r w:rsidRPr="00B834A2">
        <w:t xml:space="preserve">Իրար են միացնում առնվազն 3 փաթեթվածքների պարունակությունը </w:t>
      </w:r>
      <w:r>
        <w:t>եւ</w:t>
      </w:r>
      <w:r w:rsidRPr="00B834A2">
        <w:t xml:space="preserve"> խառնում:</w:t>
      </w:r>
      <w:r>
        <w:t xml:space="preserve"> </w:t>
      </w:r>
      <w:r w:rsidRPr="00B834A2">
        <w:t xml:space="preserve">Ստացված նմուշի՝ 100 ՄՄ-ին համարժեք ծավալը 0,01 М Р քլորաջրածնային թթվով հասցնում են 25,0 մլ-ի </w:t>
      </w:r>
      <w:r>
        <w:t>եւ</w:t>
      </w:r>
      <w:r w:rsidRPr="00B834A2">
        <w:t xml:space="preserve"> խառնում: Անհրաժեշտության դեպքում կատարում են լրացուցիչ նոսրացում մինչ</w:t>
      </w:r>
      <w:r>
        <w:t>եւ</w:t>
      </w:r>
      <w:r w:rsidRPr="00B834A2">
        <w:t xml:space="preserve"> 0,4-1,6 մկգ/մլ-ի սահմաններում ցինկի կոնցենտրացիա ստանալու համար.</w:t>
      </w:r>
    </w:p>
    <w:p w14:paraId="0BF38F3C" w14:textId="77777777" w:rsidR="00B834A2" w:rsidRPr="00B834A2" w:rsidRDefault="00B834A2" w:rsidP="008F20E6">
      <w:pPr>
        <w:tabs>
          <w:tab w:val="left" w:pos="1134"/>
        </w:tabs>
        <w:spacing w:after="160" w:line="374" w:lineRule="auto"/>
        <w:ind w:firstLine="567"/>
        <w:jc w:val="both"/>
      </w:pPr>
      <w:r w:rsidRPr="00B834A2">
        <w:t>-</w:t>
      </w:r>
      <w:r w:rsidR="00B22C60" w:rsidRPr="00B22C60">
        <w:tab/>
      </w:r>
      <w:r w:rsidRPr="00B834A2">
        <w:rPr>
          <w:i/>
        </w:rPr>
        <w:t>կախույթ</w:t>
      </w:r>
      <w:r w:rsidRPr="00B834A2">
        <w:t xml:space="preserve"> դեղաձ</w:t>
      </w:r>
      <w:r>
        <w:t>եւ</w:t>
      </w:r>
      <w:r w:rsidRPr="00B834A2">
        <w:t>ով, պարէնտերալ կիրառության դեղապատրաստուկներում վերնստվածքային հեղուկի համար.</w:t>
      </w:r>
    </w:p>
    <w:p w14:paraId="19CA9FB4" w14:textId="77777777" w:rsidR="00B834A2" w:rsidRPr="00B834A2" w:rsidRDefault="00B834A2" w:rsidP="008F20E6">
      <w:pPr>
        <w:spacing w:after="160" w:line="374" w:lineRule="auto"/>
        <w:ind w:firstLine="567"/>
        <w:jc w:val="both"/>
      </w:pPr>
      <w:r w:rsidRPr="00B834A2">
        <w:t>Յուրաքանչյուր փաթեթվածքի պարունակությունը մանրակրկիտ խառնում են մինչ</w:t>
      </w:r>
      <w:r>
        <w:t>եւ</w:t>
      </w:r>
      <w:r w:rsidRPr="00B834A2">
        <w:t xml:space="preserve"> համասեռ վիճակը, իրար են միացնում առնվազն 3 փաթեթվածքների պարունակությունը, ընտրում են 5-10 մլ համասեռ կախույթ, տեղափոխում են ցենտրիֆուգալ փորձասրվակի մեջ </w:t>
      </w:r>
      <w:r>
        <w:t>եւ</w:t>
      </w:r>
      <w:r w:rsidRPr="00B834A2">
        <w:t xml:space="preserve"> ցենտրիֆուգում են: Օգտագործելով վերնստվածքային հեղուկը՝ պատրաստում են 0,4-1,6 մկգ/մլ-ի սահմաններում ցինկի կոնցենտրացիայով լուծույթ՝ որպես նոսրացուցիչ օգտագործելով 0,01 М Р քլորաջրածնային թթու:</w:t>
      </w:r>
    </w:p>
    <w:p w14:paraId="0D5D8AFE" w14:textId="77777777" w:rsidR="00B834A2" w:rsidRPr="008F20E6" w:rsidRDefault="00B834A2" w:rsidP="008F20E6">
      <w:pPr>
        <w:tabs>
          <w:tab w:val="left" w:pos="1134"/>
        </w:tabs>
        <w:spacing w:after="160" w:line="374" w:lineRule="auto"/>
        <w:ind w:firstLine="567"/>
        <w:jc w:val="both"/>
        <w:rPr>
          <w:i/>
        </w:rPr>
      </w:pPr>
      <w:r w:rsidRPr="00B834A2">
        <w:t>-</w:t>
      </w:r>
      <w:r w:rsidR="00B22C60" w:rsidRPr="00B22C60">
        <w:tab/>
      </w:r>
      <w:r w:rsidRPr="008F20E6">
        <w:rPr>
          <w:i/>
        </w:rPr>
        <w:t>ակտիվ դեղագործական բաղադրամասի համար.</w:t>
      </w:r>
    </w:p>
    <w:p w14:paraId="58A9FA81" w14:textId="77777777" w:rsidR="00B834A2" w:rsidRPr="00B834A2" w:rsidRDefault="00B834A2" w:rsidP="008F20E6">
      <w:pPr>
        <w:spacing w:after="160" w:line="374" w:lineRule="auto"/>
        <w:ind w:firstLine="567"/>
        <w:jc w:val="both"/>
      </w:pPr>
      <w:r w:rsidRPr="00B834A2">
        <w:t>50,0 մգ ինսուլինը, փրփրագոյացումից խուսափելով, լուծում են 0,01 М Р քլորաջրածնային թթվի մեջ, լուծույթի ծավալը մի</w:t>
      </w:r>
      <w:r>
        <w:t>եւ</w:t>
      </w:r>
      <w:r w:rsidRPr="00B834A2">
        <w:t>նույն լուծիչով հասցնում են 25,0</w:t>
      </w:r>
      <w:r w:rsidR="00B22C60" w:rsidRPr="00B22C60">
        <w:t> </w:t>
      </w:r>
      <w:r w:rsidRPr="00B834A2">
        <w:t xml:space="preserve">մլ-ի </w:t>
      </w:r>
      <w:r>
        <w:t>եւ</w:t>
      </w:r>
      <w:r w:rsidRPr="00B834A2">
        <w:t xml:space="preserve"> խառնում: Ստացված լուծույթը 0,01 М Р քլորաջրածնային թթվով նոսրացնում են մինչ</w:t>
      </w:r>
      <w:r>
        <w:t>եւ</w:t>
      </w:r>
      <w:r w:rsidRPr="00B834A2">
        <w:t xml:space="preserve"> 0,4-1,6 մկգ/մլ-ի սահմաններում ցինկի կոնցենտրացիան </w:t>
      </w:r>
      <w:r>
        <w:t>եւ</w:t>
      </w:r>
      <w:r w:rsidRPr="00B834A2">
        <w:t xml:space="preserve"> խառնում:</w:t>
      </w:r>
    </w:p>
    <w:p w14:paraId="0BFC049A" w14:textId="77777777" w:rsidR="00B834A2" w:rsidRPr="00B834A2" w:rsidRDefault="00B834A2" w:rsidP="008F20E6">
      <w:pPr>
        <w:spacing w:after="160" w:line="374" w:lineRule="auto"/>
        <w:ind w:firstLine="567"/>
        <w:jc w:val="both"/>
      </w:pPr>
      <w:r w:rsidRPr="00B834A2">
        <w:rPr>
          <w:i/>
        </w:rPr>
        <w:t>Չափաբերման լուծույթները</w:t>
      </w:r>
      <w:r w:rsidRPr="00B834A2">
        <w:t xml:space="preserve">: </w:t>
      </w:r>
      <w:r w:rsidRPr="00B834A2">
        <w:rPr>
          <w:i/>
        </w:rPr>
        <w:t>Р ցինկի իոնների (5 մգ/մլ Zn2+) ստանդարտ լուծույթի միջոցով</w:t>
      </w:r>
      <w:r w:rsidRPr="00B834A2">
        <w:t xml:space="preserve"> պատրաստում են առնվազն 5 չափաբերման լուծույթ կոնցենտրացիաների այն ընդգրկույթում, որը պայմանավորված է դեղամիջոցի մեջ ցինկի պարունակությամբ </w:t>
      </w:r>
      <w:r>
        <w:t>եւ</w:t>
      </w:r>
      <w:r w:rsidRPr="00B834A2">
        <w:t xml:space="preserve"> օգտագործվող սարքավորման աշխատանքային </w:t>
      </w:r>
      <w:r w:rsidRPr="00B834A2">
        <w:lastRenderedPageBreak/>
        <w:t>ընդգրկույթով՝ որպես նոսրացուցիչ օգտագործելով 0,01 М Р քլորաջրածնային թթու:</w:t>
      </w:r>
    </w:p>
    <w:p w14:paraId="5E494456" w14:textId="77777777" w:rsidR="00B834A2" w:rsidRPr="00B834A2" w:rsidRDefault="00B834A2" w:rsidP="00B22C60">
      <w:pPr>
        <w:spacing w:after="160" w:line="360" w:lineRule="auto"/>
        <w:ind w:firstLine="567"/>
        <w:jc w:val="both"/>
        <w:rPr>
          <w:i/>
        </w:rPr>
      </w:pPr>
      <w:r w:rsidRPr="00B834A2">
        <w:rPr>
          <w:i/>
        </w:rPr>
        <w:t>Փորձարկումների պայմանները</w:t>
      </w:r>
    </w:p>
    <w:p w14:paraId="3BCF8084" w14:textId="77777777" w:rsidR="00B834A2" w:rsidRPr="00B834A2" w:rsidRDefault="00B834A2" w:rsidP="00B22C60">
      <w:pPr>
        <w:spacing w:after="160" w:line="360" w:lineRule="auto"/>
        <w:ind w:firstLine="567"/>
        <w:jc w:val="both"/>
      </w:pPr>
      <w:r w:rsidRPr="00B834A2">
        <w:t xml:space="preserve">Ճառագայթման աղբյուրը </w:t>
      </w:r>
    </w:p>
    <w:p w14:paraId="228229A9" w14:textId="77777777" w:rsidR="00B834A2" w:rsidRPr="00B834A2" w:rsidRDefault="00B834A2" w:rsidP="00B22C60">
      <w:pPr>
        <w:spacing w:after="160" w:line="360" w:lineRule="auto"/>
        <w:ind w:firstLine="567"/>
        <w:jc w:val="both"/>
      </w:pPr>
      <w:r w:rsidRPr="00B834A2">
        <w:t>Սնամեջ կատոդով ցինկային լամպ (թույլատրվում է օգտագործել աղեղային, քսենոնային լամպեր՝ որպես հոծ սպեկտր՝ համակցված բարձր լուծաչափով մոնոքրոմատորների հետ՝ մեթոդիկայի վալիդացման պայմանով):</w:t>
      </w:r>
    </w:p>
    <w:p w14:paraId="76850CD6" w14:textId="77777777" w:rsidR="00B834A2" w:rsidRPr="00B834A2" w:rsidRDefault="00B834A2" w:rsidP="00B22C60">
      <w:pPr>
        <w:spacing w:after="160" w:line="360" w:lineRule="auto"/>
        <w:ind w:firstLine="567"/>
        <w:jc w:val="both"/>
      </w:pPr>
      <w:r w:rsidRPr="00B834A2">
        <w:t xml:space="preserve">Փոշեցրումը </w:t>
      </w:r>
    </w:p>
    <w:p w14:paraId="694A62C7" w14:textId="77777777" w:rsidR="00B834A2" w:rsidRPr="00B834A2" w:rsidRDefault="00B834A2" w:rsidP="00B22C60">
      <w:pPr>
        <w:spacing w:after="160" w:line="360" w:lineRule="auto"/>
        <w:ind w:firstLine="567"/>
        <w:jc w:val="both"/>
      </w:pPr>
      <w:r w:rsidRPr="00B834A2">
        <w:t>Օդային ացետիլենային բոց: Ալիքի երկարությունը՝ 213,9 նմ:</w:t>
      </w:r>
    </w:p>
    <w:p w14:paraId="65BC6201" w14:textId="77777777" w:rsidR="00B834A2" w:rsidRPr="00B834A2" w:rsidRDefault="00B834A2" w:rsidP="00B22C60">
      <w:pPr>
        <w:spacing w:after="160" w:line="360" w:lineRule="auto"/>
        <w:ind w:firstLine="567"/>
        <w:jc w:val="both"/>
      </w:pPr>
      <w:r w:rsidRPr="00B834A2">
        <w:t xml:space="preserve">Չափում են փորձարկվող, հսկիչ </w:t>
      </w:r>
      <w:r>
        <w:t>եւ</w:t>
      </w:r>
      <w:r w:rsidRPr="00B834A2">
        <w:t xml:space="preserve"> չափաբերման լուծույթների կլանումը:</w:t>
      </w:r>
    </w:p>
    <w:p w14:paraId="0708A7EB" w14:textId="77777777" w:rsidR="00B834A2" w:rsidRPr="00B834A2" w:rsidRDefault="00B834A2" w:rsidP="00B22C60">
      <w:pPr>
        <w:spacing w:after="160" w:line="360" w:lineRule="auto"/>
        <w:ind w:firstLine="567"/>
        <w:jc w:val="both"/>
      </w:pPr>
      <w:r w:rsidRPr="00B834A2">
        <w:t>Կառուցում են ցինկի կոնցենտրացիայից (մկգ/մլ) ատոմային կլանման կախվածության ստուգաճշտման գրաֆիկ:</w:t>
      </w:r>
    </w:p>
    <w:p w14:paraId="721E96E5" w14:textId="77777777" w:rsidR="00B834A2" w:rsidRPr="00B834A2" w:rsidRDefault="00B834A2" w:rsidP="00B22C60">
      <w:pPr>
        <w:spacing w:after="160" w:line="360" w:lineRule="auto"/>
        <w:ind w:firstLine="567"/>
        <w:jc w:val="both"/>
        <w:rPr>
          <w:i/>
        </w:rPr>
      </w:pPr>
      <w:r w:rsidRPr="00B834A2">
        <w:rPr>
          <w:i/>
        </w:rPr>
        <w:t>Համակարգի պիտանիությունը</w:t>
      </w:r>
    </w:p>
    <w:p w14:paraId="1A8FB5B2" w14:textId="77777777" w:rsidR="00B834A2" w:rsidRPr="00B834A2" w:rsidRDefault="00B834A2" w:rsidP="00B22C60">
      <w:pPr>
        <w:spacing w:after="160" w:line="360" w:lineRule="auto"/>
        <w:ind w:firstLine="567"/>
        <w:jc w:val="both"/>
      </w:pPr>
      <w:r w:rsidRPr="00B834A2">
        <w:t>0,8 մկգ/մլ ցինկի կոնցենտրացիայով չափաբերման լուծույթի համար ատոմային կլանման հարաբերական ստանդարտ շեղումը պետք է լինի ոչ ավելի, քան 1,4 % (6 չափում):</w:t>
      </w:r>
    </w:p>
    <w:p w14:paraId="163A33BA" w14:textId="77777777" w:rsidR="00B834A2" w:rsidRPr="00B834A2" w:rsidRDefault="00B834A2" w:rsidP="00B22C60">
      <w:pPr>
        <w:spacing w:after="160" w:line="360" w:lineRule="auto"/>
        <w:ind w:firstLine="567"/>
        <w:jc w:val="both"/>
      </w:pPr>
      <w:r w:rsidRPr="00B834A2">
        <w:t>Ստուգաճշտման գրաֆիկի համահարաբերակցության գործակիցը պետք է լինի առնվազն 0,99:</w:t>
      </w:r>
    </w:p>
    <w:p w14:paraId="51DF13AD" w14:textId="77777777" w:rsidR="00B834A2" w:rsidRPr="00B834A2" w:rsidRDefault="00B834A2" w:rsidP="00B22C60">
      <w:pPr>
        <w:spacing w:after="160" w:line="360" w:lineRule="auto"/>
        <w:ind w:firstLine="567"/>
        <w:jc w:val="both"/>
      </w:pPr>
      <w:r w:rsidRPr="00B834A2">
        <w:t>Փորձարկվող լուծույթի մեջ ցինկի կոնցենտրացիան (С, մկգ/մլ) որոշում են ըստ ստուգաճշտման գրաֆիկի:</w:t>
      </w:r>
    </w:p>
    <w:p w14:paraId="7602BB05" w14:textId="77777777" w:rsidR="00B834A2" w:rsidRPr="00B834A2" w:rsidRDefault="00B834A2" w:rsidP="00B22C60">
      <w:pPr>
        <w:spacing w:after="160" w:line="360" w:lineRule="auto"/>
        <w:ind w:firstLine="567"/>
        <w:jc w:val="both"/>
      </w:pPr>
      <w:r w:rsidRPr="00B834A2">
        <w:t>Դեղապատրաստուկի մեջ ցինկի պարունակությունը՝ մեկ միլիլիտրին բաժին ընկնող միկրոգրամներով (Х1), հաշվարկում են հետ</w:t>
      </w:r>
      <w:r>
        <w:t>եւ</w:t>
      </w:r>
      <w:r w:rsidRPr="00B834A2">
        <w:t>յալ բանաձ</w:t>
      </w:r>
      <w:r>
        <w:t>եւ</w:t>
      </w:r>
      <w:r w:rsidRPr="00B834A2">
        <w:t>ով.</w:t>
      </w:r>
    </w:p>
    <w:p w14:paraId="61CDB396" w14:textId="77777777" w:rsidR="00B834A2" w:rsidRPr="00B834A2" w:rsidRDefault="00B834A2" w:rsidP="00B22C60">
      <w:pPr>
        <w:spacing w:after="160" w:line="360" w:lineRule="auto"/>
        <w:jc w:val="center"/>
      </w:pPr>
      <w:r w:rsidRPr="00B834A2">
        <w:t>Х</w:t>
      </w:r>
      <w:r w:rsidRPr="00B834A2">
        <w:rPr>
          <w:vertAlign w:val="subscript"/>
        </w:rPr>
        <w:t>1</w:t>
      </w:r>
      <w:r w:rsidRPr="00B834A2">
        <w:t xml:space="preserve"> =С∙N,</w:t>
      </w:r>
    </w:p>
    <w:p w14:paraId="2B6F7C9A" w14:textId="77777777" w:rsidR="00B834A2" w:rsidRPr="009217DE" w:rsidRDefault="00B834A2" w:rsidP="008F20E6">
      <w:pPr>
        <w:spacing w:after="160" w:line="336" w:lineRule="auto"/>
        <w:ind w:firstLine="567"/>
        <w:jc w:val="both"/>
      </w:pPr>
      <w:r w:rsidRPr="00B834A2">
        <w:t xml:space="preserve">որտեղ՝ </w:t>
      </w:r>
    </w:p>
    <w:p w14:paraId="6F0BE421" w14:textId="77777777" w:rsidR="00B834A2" w:rsidRPr="00B834A2" w:rsidRDefault="00B834A2" w:rsidP="008F20E6">
      <w:pPr>
        <w:spacing w:after="160" w:line="336" w:lineRule="auto"/>
        <w:ind w:firstLine="567"/>
        <w:jc w:val="both"/>
      </w:pPr>
      <w:r w:rsidRPr="00B834A2">
        <w:lastRenderedPageBreak/>
        <w:t>С-ն փորձարկվող լուծույթի մեջ ըստ ստուգաճշտման գրաֆիկի որոշված ցինկի կոնցենտրացիան է՝ մեկ միլիլիտրին բաժին ընկնող միկրոգրամներով.</w:t>
      </w:r>
    </w:p>
    <w:p w14:paraId="363BAB11" w14:textId="77777777" w:rsidR="00B834A2" w:rsidRPr="00B834A2" w:rsidRDefault="00B834A2" w:rsidP="008F20E6">
      <w:pPr>
        <w:spacing w:after="160" w:line="336" w:lineRule="auto"/>
        <w:ind w:firstLine="567"/>
        <w:jc w:val="both"/>
      </w:pPr>
      <w:r w:rsidRPr="00B834A2">
        <w:t>N-ն փորձարկվող լուծույթի նոսրացումն է:</w:t>
      </w:r>
    </w:p>
    <w:p w14:paraId="2A1E865D" w14:textId="77777777" w:rsidR="00B834A2" w:rsidRPr="00B834A2" w:rsidRDefault="00B834A2" w:rsidP="008F20E6">
      <w:pPr>
        <w:spacing w:after="160" w:line="336" w:lineRule="auto"/>
        <w:ind w:firstLine="567"/>
        <w:jc w:val="both"/>
      </w:pPr>
      <w:r w:rsidRPr="00B834A2">
        <w:t>Ակտիվ դեղագործական բաղադրամասի մեջ ցինկի պարունակությունը՝ չոր նյութի վերահաշվարկով, տոկոսներով, (Х2) հաշվարկում են հետ</w:t>
      </w:r>
      <w:r>
        <w:t>եւ</w:t>
      </w:r>
      <w:r w:rsidRPr="00B834A2">
        <w:t>յալ բանաձ</w:t>
      </w:r>
      <w:r>
        <w:t>եւ</w:t>
      </w:r>
      <w:r w:rsidRPr="00B834A2">
        <w:t>ով.</w:t>
      </w:r>
    </w:p>
    <w:p w14:paraId="701579CB" w14:textId="77777777" w:rsidR="00B834A2" w:rsidRPr="00B834A2" w:rsidRDefault="00000000" w:rsidP="008F20E6">
      <w:pPr>
        <w:spacing w:after="160" w:line="336" w:lineRule="auto"/>
        <w:jc w:val="both"/>
        <w:rPr>
          <w:i/>
        </w:rPr>
      </w:pPr>
      <m:oMathPara>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w:rPr>
                  <w:rFonts w:ascii="Cambria Math" w:hAnsi="Cambria Math"/>
                </w:rPr>
                <m:t>C</m:t>
              </m:r>
              <m:r>
                <m:rPr>
                  <m:sty m:val="p"/>
                </m:rPr>
                <w:rPr>
                  <w:rFonts w:ascii="Cambria Math" w:hAnsi="Cambria Math"/>
                </w:rPr>
                <m:t>∙</m:t>
              </m:r>
              <m:r>
                <w:rPr>
                  <w:rFonts w:ascii="Cambria Math" w:hAnsi="Cambria Math"/>
                </w:rPr>
                <m:t>N</m:t>
              </m:r>
              <m:r>
                <m:rPr>
                  <m:sty m:val="p"/>
                </m:rPr>
                <w:rPr>
                  <w:rFonts w:ascii="Cambria Math" w:hAnsi="Cambria Math"/>
                </w:rPr>
                <m:t>∙250</m:t>
              </m:r>
            </m:num>
            <m:den>
              <m:r>
                <w:rPr>
                  <w:rFonts w:ascii="Cambria Math" w:hAnsi="Cambria Math"/>
                </w:rPr>
                <m:t>a</m:t>
              </m:r>
              <m:r>
                <m:rPr>
                  <m:sty m:val="p"/>
                </m:rPr>
                <w:rPr>
                  <w:rFonts w:ascii="Cambria Math" w:hAnsi="Cambria Math"/>
                </w:rPr>
                <m:t>∙(100-</m:t>
              </m:r>
              <m:r>
                <w:rPr>
                  <w:rFonts w:ascii="Cambria Math" w:hAnsi="Cambria Math"/>
                </w:rPr>
                <m:t>W</m:t>
              </m:r>
              <m:r>
                <m:rPr>
                  <m:sty m:val="p"/>
                </m:rPr>
                <w:rPr>
                  <w:rFonts w:ascii="Cambria Math" w:hAnsi="Cambria Math"/>
                </w:rPr>
                <m:t>)</m:t>
              </m:r>
            </m:den>
          </m:f>
          <m:r>
            <w:rPr>
              <w:rFonts w:ascii="Cambria Math" w:hAnsi="Cambria Math"/>
            </w:rPr>
            <m:t>,</m:t>
          </m:r>
        </m:oMath>
      </m:oMathPara>
    </w:p>
    <w:p w14:paraId="02EE630D" w14:textId="77777777" w:rsidR="00B834A2" w:rsidRPr="00B834A2" w:rsidRDefault="00B834A2" w:rsidP="008F20E6">
      <w:pPr>
        <w:spacing w:after="160" w:line="336" w:lineRule="auto"/>
        <w:ind w:firstLine="567"/>
        <w:jc w:val="both"/>
      </w:pPr>
      <w:r w:rsidRPr="00B834A2">
        <w:t xml:space="preserve">որտեղ՝ </w:t>
      </w:r>
    </w:p>
    <w:p w14:paraId="0E5A9868" w14:textId="77777777" w:rsidR="00B834A2" w:rsidRPr="00B834A2" w:rsidRDefault="00B834A2" w:rsidP="008F20E6">
      <w:pPr>
        <w:spacing w:after="160" w:line="336" w:lineRule="auto"/>
        <w:ind w:firstLine="567"/>
        <w:jc w:val="both"/>
      </w:pPr>
      <w:r w:rsidRPr="00B834A2">
        <w:t>С-ն փորձարկվող լուծույթի մեջ ըստ ստուգաճշտման գրաֆիկի որոշված ցինկի կոնցենտրացիան է՝ մեկ միլիլիտրին բաժին ընկնող միկրոգրամներով.</w:t>
      </w:r>
    </w:p>
    <w:p w14:paraId="4495877A" w14:textId="77777777" w:rsidR="00B834A2" w:rsidRPr="00B834A2" w:rsidRDefault="00B834A2" w:rsidP="008F20E6">
      <w:pPr>
        <w:spacing w:after="160" w:line="336" w:lineRule="auto"/>
        <w:ind w:firstLine="567"/>
        <w:jc w:val="both"/>
      </w:pPr>
      <w:r w:rsidRPr="00B834A2">
        <w:t>a-ն ինսուլինի կշռանմուշն է՝ միլիգրամներով.</w:t>
      </w:r>
    </w:p>
    <w:p w14:paraId="377B3EEB" w14:textId="77777777" w:rsidR="00B834A2" w:rsidRPr="00B834A2" w:rsidRDefault="00B834A2" w:rsidP="008F20E6">
      <w:pPr>
        <w:spacing w:after="160" w:line="336" w:lineRule="auto"/>
        <w:ind w:firstLine="567"/>
        <w:jc w:val="both"/>
      </w:pPr>
      <w:r w:rsidRPr="00B834A2">
        <w:t>N-ը փորձարկվող լուծույթի լրացուցիչ նոսրացումն է.</w:t>
      </w:r>
    </w:p>
    <w:p w14:paraId="0E2990EB" w14:textId="77777777" w:rsidR="00B834A2" w:rsidRPr="00B834A2" w:rsidRDefault="00B834A2" w:rsidP="008F20E6">
      <w:pPr>
        <w:spacing w:after="160" w:line="336" w:lineRule="auto"/>
        <w:ind w:firstLine="567"/>
        <w:jc w:val="both"/>
      </w:pPr>
      <w:r w:rsidRPr="00B834A2">
        <w:t>W-ն չորացնելու դեպքում զանգվածի կորուստն է՝ տոկոսներով:</w:t>
      </w:r>
    </w:p>
    <w:p w14:paraId="6BA94F26" w14:textId="77777777" w:rsidR="006035D0" w:rsidRPr="00903268" w:rsidRDefault="006035D0" w:rsidP="008F20E6">
      <w:pPr>
        <w:spacing w:after="160" w:line="336" w:lineRule="auto"/>
        <w:jc w:val="right"/>
        <w:rPr>
          <w:b/>
          <w:sz w:val="20"/>
        </w:rPr>
      </w:pPr>
    </w:p>
    <w:p w14:paraId="594E6575" w14:textId="77777777" w:rsidR="00B834A2" w:rsidRPr="009217DE" w:rsidRDefault="00B834A2" w:rsidP="008F20E6">
      <w:pPr>
        <w:spacing w:after="160" w:line="336" w:lineRule="auto"/>
        <w:jc w:val="right"/>
        <w:rPr>
          <w:b/>
          <w:sz w:val="20"/>
        </w:rPr>
      </w:pPr>
      <w:r w:rsidRPr="008F20E6">
        <w:rPr>
          <w:b/>
          <w:sz w:val="20"/>
        </w:rPr>
        <w:t>201050019-2022</w:t>
      </w:r>
    </w:p>
    <w:p w14:paraId="2F970EB3" w14:textId="77777777" w:rsidR="008F20E6" w:rsidRPr="009217DE" w:rsidRDefault="008F20E6" w:rsidP="008F20E6">
      <w:pPr>
        <w:spacing w:after="160" w:line="336" w:lineRule="auto"/>
        <w:jc w:val="right"/>
        <w:rPr>
          <w:b/>
          <w:sz w:val="20"/>
        </w:rPr>
      </w:pPr>
    </w:p>
    <w:p w14:paraId="511BB0A8" w14:textId="77777777" w:rsidR="00B834A2" w:rsidRPr="00B834A2" w:rsidRDefault="00B834A2" w:rsidP="008F20E6">
      <w:pPr>
        <w:tabs>
          <w:tab w:val="left" w:pos="1701"/>
        </w:tabs>
        <w:spacing w:after="160" w:line="336" w:lineRule="auto"/>
        <w:ind w:firstLine="567"/>
        <w:jc w:val="both"/>
        <w:rPr>
          <w:b/>
        </w:rPr>
      </w:pPr>
      <w:r w:rsidRPr="00B834A2">
        <w:rPr>
          <w:b/>
        </w:rPr>
        <w:t>2.1.5.19.</w:t>
      </w:r>
      <w:r w:rsidR="00B22C60" w:rsidRPr="00097504">
        <w:rPr>
          <w:b/>
        </w:rPr>
        <w:tab/>
      </w:r>
      <w:r w:rsidRPr="00B834A2">
        <w:rPr>
          <w:b/>
        </w:rPr>
        <w:t>Ֆորմոլային տիտրման մեթոդը</w:t>
      </w:r>
    </w:p>
    <w:p w14:paraId="2E550FBF" w14:textId="77777777" w:rsidR="00B834A2" w:rsidRPr="00DE4F37" w:rsidRDefault="00B834A2" w:rsidP="008F20E6">
      <w:pPr>
        <w:tabs>
          <w:tab w:val="left" w:pos="1701"/>
        </w:tabs>
        <w:spacing w:after="160" w:line="336" w:lineRule="auto"/>
        <w:ind w:firstLine="567"/>
        <w:jc w:val="both"/>
      </w:pPr>
      <w:r w:rsidRPr="00B834A2">
        <w:t xml:space="preserve">Սույն ընդհանուր դեղագրքային հոդվածը տարածվում է ֆորմոլային տիտրման մեթոդի վրա, որը նախատեսված է փորձարկվող լուծույթի 1 մլ-ի մեջ ազոտի 1,5-5,0 մգ պարունակությամբ ամինաթթուների, պեպտիդների, սպիտակուցների </w:t>
      </w:r>
      <w:r>
        <w:t>եւ</w:t>
      </w:r>
      <w:r w:rsidRPr="00B834A2">
        <w:t xml:space="preserve"> այլնի պատրաստուկների մեջ ազատ (ծայրային) ամինախմբերի ամինային ազոտի որոշման համար: Ֆորմոլային տիտրման մեթոդը (Սերենսենի մեթոդ) հիմնված է ազատ ամինախմբերի՝ ֆորմալդեհիդով պաշտպանության վրա՝ Շիֆֆի հիմքերի առաջացմամբ, </w:t>
      </w:r>
      <w:r>
        <w:t>եւ</w:t>
      </w:r>
      <w:r w:rsidRPr="00B834A2">
        <w:t xml:space="preserve"> կարբօքսիլային խմբերի համարժեք քանակի ալկալիաչափական տիտրման վրա:</w:t>
      </w:r>
    </w:p>
    <w:p w14:paraId="1049EFC0" w14:textId="77777777" w:rsidR="00B834A2" w:rsidRPr="00B834A2" w:rsidRDefault="00B834A2" w:rsidP="00B22C60">
      <w:pPr>
        <w:tabs>
          <w:tab w:val="left" w:pos="1701"/>
        </w:tabs>
        <w:spacing w:after="160" w:line="360" w:lineRule="auto"/>
        <w:ind w:firstLine="567"/>
        <w:jc w:val="both"/>
      </w:pPr>
      <w:r w:rsidRPr="00B834A2">
        <w:t>Մեթոդը կիրառելի չէ ամոնիումի իոնների առկայության դեպքում, քանի որ այդ դեպքում բարձր է որոշման՝ չափից ավելի արդյունքներ ստանալու ռիսկը:</w:t>
      </w:r>
    </w:p>
    <w:p w14:paraId="7F7F58A9" w14:textId="77777777" w:rsidR="00B834A2" w:rsidRPr="00B834A2" w:rsidRDefault="00B834A2" w:rsidP="00B22C60">
      <w:pPr>
        <w:spacing w:after="160" w:line="360" w:lineRule="auto"/>
        <w:ind w:firstLine="567"/>
        <w:jc w:val="both"/>
      </w:pPr>
      <w:r w:rsidRPr="00B834A2">
        <w:lastRenderedPageBreak/>
        <w:t>Դեղագրքային մասնավոր հոդվածում նշված՝ փորձարկվող նմուշի ճշգրիտ կշռանմուշին կամ ճշգրիտ ծավալին ավելացնում են Р ջուր մինչ</w:t>
      </w:r>
      <w:r>
        <w:t>եւ</w:t>
      </w:r>
      <w:r w:rsidRPr="00B834A2">
        <w:t xml:space="preserve"> 20 մլ ծավալը: Անհրաժեշտության դեպքում լուծույթը պոտենցաչափորեն չեզոքացնում են մինչ</w:t>
      </w:r>
      <w:r>
        <w:t>եւ</w:t>
      </w:r>
      <w:r w:rsidRPr="00B834A2">
        <w:t xml:space="preserve"> pH 7,0, 0,1 М նատրիումի հիդրօքսիդի լուծույթ կամ 0,1 М քլորաջրածնային թթու ավելացնելու միջոցով: Չեզոքացման ավարտից հետո ավելացնում են (կոնկրետ </w:t>
      </w:r>
      <w:r w:rsidRPr="0058052E">
        <w:rPr>
          <w:spacing w:val="4"/>
        </w:rPr>
        <w:t>մեծությունները նշում են դեղագրքային մասնավոր հոդվածում) անալիզի օրը 10</w:t>
      </w:r>
      <w:r w:rsidR="0058052E">
        <w:rPr>
          <w:spacing w:val="4"/>
        </w:rPr>
        <w:t> </w:t>
      </w:r>
      <w:r w:rsidRPr="0058052E">
        <w:rPr>
          <w:spacing w:val="4"/>
        </w:rPr>
        <w:t>%-անոց նատրիումի</w:t>
      </w:r>
      <w:r w:rsidRPr="00B834A2">
        <w:t xml:space="preserve"> հիդրօքսիդի լուծույթով մինչ</w:t>
      </w:r>
      <w:r>
        <w:t>եւ</w:t>
      </w:r>
      <w:r w:rsidRPr="00B834A2">
        <w:t xml:space="preserve"> pH 7,0 չեզոքացված 2-10 մլ Р ֆորմալդեհիդի լուծույթ, խառնում են </w:t>
      </w:r>
      <w:r>
        <w:t>եւ</w:t>
      </w:r>
      <w:r w:rsidRPr="00B834A2">
        <w:t xml:space="preserve"> 0,1 М նատրիումի հիդրօքսիդի լուծույթով, տիտրում մինչ</w:t>
      </w:r>
      <w:r>
        <w:t>եւ</w:t>
      </w:r>
      <w:r w:rsidRPr="00B834A2">
        <w:t xml:space="preserve"> pH 9,1 արժեքը կամ թույլ վարդագույն գունավորման առաջանալը (ինդիկատորը Р1 ֆենոլֆտալեինի լուծույթն է), որոնք չեն փոփոխվում 2 րոպե խառնելու դեպքում:</w:t>
      </w:r>
    </w:p>
    <w:p w14:paraId="53794946" w14:textId="77777777" w:rsidR="00B834A2" w:rsidRPr="00B834A2" w:rsidRDefault="00B834A2" w:rsidP="00B22C60">
      <w:pPr>
        <w:spacing w:after="160" w:line="360" w:lineRule="auto"/>
        <w:ind w:firstLine="567"/>
        <w:jc w:val="both"/>
      </w:pPr>
      <w:r w:rsidRPr="00B834A2">
        <w:t>Զուգահեռ անցկացնում են ստուգիչ փորձ:</w:t>
      </w:r>
    </w:p>
    <w:p w14:paraId="6EFCE243" w14:textId="77777777" w:rsidR="00B834A2" w:rsidRPr="00B834A2" w:rsidRDefault="00B834A2" w:rsidP="00B22C60">
      <w:pPr>
        <w:spacing w:after="160" w:line="360" w:lineRule="auto"/>
        <w:ind w:firstLine="567"/>
        <w:jc w:val="both"/>
      </w:pPr>
      <w:r w:rsidRPr="00B834A2">
        <w:t xml:space="preserve">Որոշվող միացության մեջ ֆունկցիոնալ խմբերի քանակով պայմանավորված՝ տիտրը կլինի տարբեր </w:t>
      </w:r>
      <w:r>
        <w:t>եւ</w:t>
      </w:r>
      <w:r w:rsidRPr="00B834A2">
        <w:t xml:space="preserve"> պետք է սահմանվի յուրաքանչյուր կոնկրետ դեպքի համար:</w:t>
      </w:r>
    </w:p>
    <w:p w14:paraId="76810A64" w14:textId="77777777" w:rsidR="00B834A2" w:rsidRPr="00B834A2" w:rsidRDefault="00B834A2" w:rsidP="00B22C60">
      <w:pPr>
        <w:spacing w:after="160" w:line="360" w:lineRule="auto"/>
        <w:ind w:firstLine="567"/>
        <w:jc w:val="both"/>
      </w:pPr>
      <w:r w:rsidRPr="00B834A2">
        <w:t>Մասնավորապես ամինային ազոտի որոշման դեպքում 0,1 М նատրիումի հիդրօքսիդի լուծույթը համապատասխանում է 1,4 մգ ամինային ազոտին:</w:t>
      </w:r>
    </w:p>
    <w:p w14:paraId="4F788774" w14:textId="77777777" w:rsidR="006035D0" w:rsidRDefault="006035D0">
      <w:r>
        <w:br w:type="page"/>
      </w:r>
    </w:p>
    <w:p w14:paraId="5DF140FC" w14:textId="77777777" w:rsidR="00B834A2" w:rsidRPr="00B834A2" w:rsidRDefault="00B834A2" w:rsidP="00B22C60">
      <w:pPr>
        <w:spacing w:after="160" w:line="360" w:lineRule="auto"/>
        <w:jc w:val="center"/>
        <w:rPr>
          <w:b/>
        </w:rPr>
      </w:pPr>
      <w:r w:rsidRPr="00B834A2">
        <w:rPr>
          <w:b/>
        </w:rPr>
        <w:lastRenderedPageBreak/>
        <w:t>2.1.8. ՖԱՐՄԱԿՈԳՆՈՍՏԻԿ ՓՈՐՁԱՐԿՈՒՄՆԵՐԻ ՄԵԹՈԴՆԵՐԸ</w:t>
      </w:r>
    </w:p>
    <w:p w14:paraId="0B56E734" w14:textId="77777777" w:rsidR="00B834A2" w:rsidRPr="009217DE" w:rsidRDefault="00B834A2" w:rsidP="00B22C60">
      <w:pPr>
        <w:spacing w:after="160" w:line="360" w:lineRule="auto"/>
        <w:jc w:val="right"/>
        <w:rPr>
          <w:b/>
          <w:sz w:val="20"/>
        </w:rPr>
      </w:pPr>
      <w:r w:rsidRPr="008F20E6">
        <w:rPr>
          <w:b/>
          <w:sz w:val="20"/>
        </w:rPr>
        <w:t>201080018-2022</w:t>
      </w:r>
    </w:p>
    <w:p w14:paraId="1FF07FB3" w14:textId="77777777" w:rsidR="008F20E6" w:rsidRPr="009217DE" w:rsidRDefault="008F20E6" w:rsidP="00B22C60">
      <w:pPr>
        <w:spacing w:after="160" w:line="360" w:lineRule="auto"/>
        <w:jc w:val="right"/>
        <w:rPr>
          <w:b/>
        </w:rPr>
      </w:pPr>
    </w:p>
    <w:p w14:paraId="685FA647" w14:textId="77777777" w:rsidR="00B834A2" w:rsidRPr="00B834A2" w:rsidRDefault="00B834A2" w:rsidP="00871A31">
      <w:pPr>
        <w:tabs>
          <w:tab w:val="left" w:pos="1701"/>
        </w:tabs>
        <w:spacing w:after="160" w:line="360" w:lineRule="auto"/>
        <w:ind w:firstLine="567"/>
        <w:jc w:val="both"/>
        <w:rPr>
          <w:b/>
        </w:rPr>
      </w:pPr>
      <w:r w:rsidRPr="00B834A2">
        <w:rPr>
          <w:b/>
        </w:rPr>
        <w:t>2.1.8.18.</w:t>
      </w:r>
      <w:r w:rsidR="00B22C60" w:rsidRPr="00097504">
        <w:rPr>
          <w:b/>
        </w:rPr>
        <w:tab/>
      </w:r>
      <w:r w:rsidRPr="00B834A2">
        <w:rPr>
          <w:b/>
        </w:rPr>
        <w:t xml:space="preserve">Դեղաբուսական հումքի համար ջրակլանման գործակցի </w:t>
      </w:r>
      <w:r>
        <w:rPr>
          <w:b/>
        </w:rPr>
        <w:t>եւ</w:t>
      </w:r>
      <w:r w:rsidRPr="00B834A2">
        <w:rPr>
          <w:b/>
        </w:rPr>
        <w:t xml:space="preserve"> ծախսային գործակցի որոշումը</w:t>
      </w:r>
    </w:p>
    <w:p w14:paraId="387AF119" w14:textId="77777777" w:rsidR="00B834A2" w:rsidRPr="00B834A2" w:rsidRDefault="00B834A2" w:rsidP="00B22C60">
      <w:pPr>
        <w:spacing w:after="160" w:line="360" w:lineRule="auto"/>
        <w:ind w:firstLine="567"/>
        <w:jc w:val="both"/>
      </w:pPr>
      <w:r w:rsidRPr="00B834A2">
        <w:t>Սույն ընդհանուր դեղագրքային հոդվածը նախատեսված է ջրակլանման գործակցի առկայությունը հաշվի առնելու համար՝ պոլիսախարիդներ (օրինակ՝ տատրակի տեր</w:t>
      </w:r>
      <w:r>
        <w:t>եւ</w:t>
      </w:r>
      <w:r w:rsidRPr="00B834A2">
        <w:t xml:space="preserve">ներ </w:t>
      </w:r>
      <w:r>
        <w:t>եւ</w:t>
      </w:r>
      <w:r w:rsidRPr="00B834A2">
        <w:t xml:space="preserve"> այլն) պարունակող դեղաբուսական հումքից ջրային հանուկների պահանջվող քանակներն ստանալու դեպքում </w:t>
      </w:r>
      <w:r>
        <w:t>եւ</w:t>
      </w:r>
      <w:r w:rsidRPr="00B834A2">
        <w:t xml:space="preserve"> ծախսային գործակցի առկայությունը հաշվի առնելու համար՝ լորձ (օրինակ՝ տուտղի արմատներ) պարունակող դեղաբուսական հումքից ջրային հանուկների պահանջվող քանակներն ստանալու դեպքում:</w:t>
      </w:r>
    </w:p>
    <w:p w14:paraId="5F8016DC" w14:textId="77777777" w:rsidR="00B834A2" w:rsidRPr="00B834A2" w:rsidRDefault="00B834A2" w:rsidP="00B834A2">
      <w:pPr>
        <w:spacing w:after="160" w:line="360" w:lineRule="auto"/>
        <w:jc w:val="both"/>
      </w:pPr>
    </w:p>
    <w:p w14:paraId="4FF9DA66" w14:textId="77777777" w:rsidR="00B834A2" w:rsidRPr="006B7DC5" w:rsidRDefault="00B834A2" w:rsidP="00871A31">
      <w:pPr>
        <w:spacing w:after="160" w:line="360" w:lineRule="auto"/>
        <w:ind w:firstLine="567"/>
        <w:jc w:val="both"/>
        <w:rPr>
          <w:b/>
        </w:rPr>
      </w:pPr>
      <w:r w:rsidRPr="00B834A2">
        <w:rPr>
          <w:b/>
        </w:rPr>
        <w:t>ՋՐԱԿԼԱՆՄԱՆ ԳՈՐԾԱԿԻՑԸ</w:t>
      </w:r>
    </w:p>
    <w:p w14:paraId="3F3C6B26" w14:textId="77777777" w:rsidR="00B834A2" w:rsidRPr="00B834A2" w:rsidRDefault="00B834A2" w:rsidP="00871A31">
      <w:pPr>
        <w:spacing w:after="160" w:line="360" w:lineRule="auto"/>
        <w:ind w:firstLine="567"/>
        <w:jc w:val="both"/>
      </w:pPr>
      <w:r w:rsidRPr="00B834A2">
        <w:t xml:space="preserve">Ջրակլանման գործակիցը ցուցանիշ է, որը որոշվում է միլիլիտրերով այն ջրի </w:t>
      </w:r>
      <w:r w:rsidRPr="00871A31">
        <w:rPr>
          <w:spacing w:val="-4"/>
        </w:rPr>
        <w:t>քանակով, որը պահում է 1,0 գ դեղաբուսական հումքը՝ ինֆունդիրային ապարատի ծակոտկեն բաժակի մեջ դա քամելուց հետո: Ջրակլանման գործակիցը կիրառվում է դեղաբուսական</w:t>
      </w:r>
      <w:r w:rsidRPr="00B834A2">
        <w:t xml:space="preserve"> հումքից ջրային հանուկներ ստանալու դեպքում հաշվարկների համար:</w:t>
      </w:r>
    </w:p>
    <w:p w14:paraId="0BE76075" w14:textId="77777777" w:rsidR="00B834A2" w:rsidRPr="00097504" w:rsidRDefault="00B834A2" w:rsidP="00871A31">
      <w:pPr>
        <w:spacing w:after="160" w:line="360" w:lineRule="auto"/>
        <w:ind w:firstLine="567"/>
        <w:jc w:val="both"/>
      </w:pPr>
      <w:r w:rsidRPr="00B834A2">
        <w:t xml:space="preserve">Ջրակլանման գործակիցը որոշելու համար ամբողջական կամ մանրատված դեղաբուսական հումքի 10,0 գ զանգվածով կշռանմուշի վրա լցնում են Р ջուր </w:t>
      </w:r>
      <w:r>
        <w:t>եւ</w:t>
      </w:r>
      <w:r w:rsidRPr="00B834A2">
        <w:t xml:space="preserve"> </w:t>
      </w:r>
      <w:r w:rsidRPr="00871A31">
        <w:rPr>
          <w:spacing w:val="-4"/>
        </w:rPr>
        <w:t>պատրաստում ջրային հանուկ՝ «2.5.1.15. Թուրմերը եւ եփուկները» ընդհանուր դեղագրքային հոդվածին համապատասխան: Ստացված ջրային հանուկը քամում են, ինֆունդիրային ապարատի ծակոտկեն բաժակի մեջ մնացած հումքը մզում են եւ չափում</w:t>
      </w:r>
      <w:r w:rsidRPr="00B834A2">
        <w:t xml:space="preserve"> հանուկի ծավալը:</w:t>
      </w:r>
    </w:p>
    <w:p w14:paraId="466C1F34" w14:textId="77777777" w:rsidR="00B834A2" w:rsidRPr="00B834A2" w:rsidRDefault="00B834A2" w:rsidP="00871A31">
      <w:pPr>
        <w:spacing w:after="160" w:line="360" w:lineRule="auto"/>
        <w:ind w:firstLine="567"/>
        <w:jc w:val="both"/>
      </w:pPr>
      <w:r w:rsidRPr="00B834A2">
        <w:t>Ջրակլանման գործակիցը (ՋԿԳ) հաշվարկում են հետ</w:t>
      </w:r>
      <w:r>
        <w:t>եւ</w:t>
      </w:r>
      <w:r w:rsidRPr="00B834A2">
        <w:t>յալ բանաձ</w:t>
      </w:r>
      <w:r>
        <w:t>եւ</w:t>
      </w:r>
      <w:r w:rsidRPr="00B834A2">
        <w:t>ով.</w:t>
      </w:r>
    </w:p>
    <w:p w14:paraId="3CF5D84C" w14:textId="77777777" w:rsidR="00B834A2" w:rsidRPr="00B834A2" w:rsidRDefault="00000000" w:rsidP="00B834A2">
      <w:pPr>
        <w:spacing w:after="160" w:line="360" w:lineRule="auto"/>
        <w:jc w:val="both"/>
      </w:pPr>
      <m:oMathPara>
        <m:oMath>
          <m:sSub>
            <m:sSubPr>
              <m:ctrlPr>
                <w:rPr>
                  <w:rFonts w:ascii="Cambria Math" w:hAnsi="Cambria Math"/>
                </w:rPr>
              </m:ctrlPr>
            </m:sSubPr>
            <m:e>
              <m:r>
                <m:rPr>
                  <m:sty m:val="p"/>
                </m:rPr>
                <w:rPr>
                  <w:rFonts w:ascii="Cambria Math" w:hAnsi="Cambria Math"/>
                </w:rPr>
                <m:t>К</m:t>
              </m:r>
            </m:e>
            <m:sub>
              <m:r>
                <m:rPr>
                  <m:sty m:val="p"/>
                </m:rPr>
                <w:rPr>
                  <w:rFonts w:ascii="Cambria Math" w:hAnsi="Cambria Math"/>
                </w:rPr>
                <m:t>ջկ</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w:rPr>
                  <w:rFonts w:ascii="Cambria Math" w:hAnsi="Cambria Math"/>
                </w:rPr>
                <m:t>m</m:t>
              </m:r>
            </m:den>
          </m:f>
          <m:r>
            <m:rPr>
              <m:sty m:val="p"/>
            </m:rPr>
            <w:rPr>
              <w:rFonts w:ascii="Cambria Math" w:hAnsi="Cambria Math"/>
            </w:rPr>
            <m:t>,</m:t>
          </m:r>
        </m:oMath>
      </m:oMathPara>
    </w:p>
    <w:p w14:paraId="3E779D3F" w14:textId="77777777" w:rsidR="00B834A2" w:rsidRPr="00B834A2" w:rsidRDefault="00B834A2" w:rsidP="00871A31">
      <w:pPr>
        <w:spacing w:after="160" w:line="360" w:lineRule="auto"/>
        <w:ind w:firstLine="567"/>
        <w:jc w:val="both"/>
      </w:pPr>
      <w:r w:rsidRPr="00B834A2">
        <w:t xml:space="preserve">որտեղ՝ </w:t>
      </w:r>
    </w:p>
    <w:p w14:paraId="0DD8583A" w14:textId="77777777" w:rsidR="00B834A2" w:rsidRPr="00B834A2" w:rsidRDefault="00B834A2" w:rsidP="00871A31">
      <w:pPr>
        <w:spacing w:after="160" w:line="360" w:lineRule="auto"/>
        <w:ind w:firstLine="567"/>
        <w:jc w:val="both"/>
      </w:pPr>
      <w:r w:rsidRPr="008F20E6">
        <w:rPr>
          <w:i/>
        </w:rPr>
        <w:t>V</w:t>
      </w:r>
      <w:r w:rsidRPr="008F20E6">
        <w:rPr>
          <w:i/>
          <w:vertAlign w:val="subscript"/>
        </w:rPr>
        <w:t>1</w:t>
      </w:r>
      <w:r w:rsidRPr="00B834A2">
        <w:t>-ը ջրային հանուկի պահանջվող ծավալն է՝ միլիլիտրերով.</w:t>
      </w:r>
    </w:p>
    <w:p w14:paraId="3FBD507C" w14:textId="77777777" w:rsidR="00B834A2" w:rsidRPr="00B834A2" w:rsidRDefault="00B834A2" w:rsidP="00871A31">
      <w:pPr>
        <w:spacing w:after="160" w:line="360" w:lineRule="auto"/>
        <w:ind w:firstLine="567"/>
        <w:jc w:val="both"/>
      </w:pPr>
      <w:r w:rsidRPr="008F20E6">
        <w:rPr>
          <w:i/>
        </w:rPr>
        <w:t>V</w:t>
      </w:r>
      <w:r w:rsidRPr="008F20E6">
        <w:rPr>
          <w:i/>
          <w:vertAlign w:val="subscript"/>
        </w:rPr>
        <w:t>2</w:t>
      </w:r>
      <w:r w:rsidRPr="00B834A2">
        <w:t>-ը հումքը մզելուց հետո ջրային հանուկի ստացված ծավալն է՝ միլիլիտրերով.</w:t>
      </w:r>
    </w:p>
    <w:p w14:paraId="5CC56D5A" w14:textId="77777777" w:rsidR="00B834A2" w:rsidRPr="00B834A2" w:rsidRDefault="00B834A2" w:rsidP="00871A31">
      <w:pPr>
        <w:spacing w:after="160" w:line="360" w:lineRule="auto"/>
        <w:ind w:firstLine="567"/>
        <w:jc w:val="both"/>
      </w:pPr>
      <w:r w:rsidRPr="008F20E6">
        <w:rPr>
          <w:i/>
        </w:rPr>
        <w:t>m</w:t>
      </w:r>
      <w:r w:rsidRPr="00B834A2">
        <w:t>-ը դեղաբուսական հումքի զանգվածն է՝ գրամներով:</w:t>
      </w:r>
    </w:p>
    <w:p w14:paraId="1D00FA67" w14:textId="77777777" w:rsidR="00B834A2" w:rsidRPr="00B834A2" w:rsidRDefault="00B834A2" w:rsidP="00871A31">
      <w:pPr>
        <w:spacing w:after="160" w:line="360" w:lineRule="auto"/>
        <w:ind w:firstLine="567"/>
        <w:jc w:val="both"/>
      </w:pPr>
      <w:r w:rsidRPr="00B834A2">
        <w:t>Ջրակլանման գործակիցը հաշվարկում են որպես երեք զուգահեռ որոշումների արդյունքների թվաբանական միջին:</w:t>
      </w:r>
    </w:p>
    <w:p w14:paraId="4992F9B0" w14:textId="77777777" w:rsidR="00B834A2" w:rsidRPr="00B834A2" w:rsidRDefault="00B834A2" w:rsidP="00871A31">
      <w:pPr>
        <w:spacing w:after="160" w:line="360" w:lineRule="auto"/>
        <w:ind w:firstLine="567"/>
        <w:jc w:val="both"/>
      </w:pPr>
      <w:r w:rsidRPr="00B834A2">
        <w:t>Ջրակլանման գործակցի արժեքները վերցնում են 1-ին աղյուսակից կամ կիրառում են դրա պայմանական արժեքներ:</w:t>
      </w:r>
    </w:p>
    <w:p w14:paraId="2681BE97" w14:textId="77777777" w:rsidR="00B834A2" w:rsidRPr="00B834A2" w:rsidRDefault="00B834A2" w:rsidP="00871A31">
      <w:pPr>
        <w:spacing w:after="160" w:line="360" w:lineRule="auto"/>
        <w:ind w:firstLine="567"/>
        <w:jc w:val="both"/>
      </w:pPr>
      <w:r w:rsidRPr="00B834A2">
        <w:t>2.1.8.18-1 աղյուսակում ներկայացված են ջրակլանման գործակիցների արժեքները՝ դեղաբուսական հումքի առանձին տեսակների համար:</w:t>
      </w:r>
    </w:p>
    <w:p w14:paraId="5A795EAD" w14:textId="77777777" w:rsidR="00B834A2" w:rsidRPr="00B834A2" w:rsidRDefault="00B834A2" w:rsidP="00871A31">
      <w:pPr>
        <w:spacing w:after="160" w:line="360" w:lineRule="auto"/>
        <w:ind w:firstLine="567"/>
        <w:jc w:val="both"/>
      </w:pPr>
      <w:r w:rsidRPr="00B834A2">
        <w:t>Աղյուսակ 2.1.8.18-1։ Դեղաբուսական հումքի առանձին տեսակների համար ջրակլանման գործակիցները</w:t>
      </w:r>
    </w:p>
    <w:tbl>
      <w:tblPr>
        <w:tblOverlap w:val="never"/>
        <w:tblW w:w="6671" w:type="dxa"/>
        <w:jc w:val="center"/>
        <w:tblLayout w:type="fixed"/>
        <w:tblCellMar>
          <w:left w:w="10" w:type="dxa"/>
          <w:right w:w="10" w:type="dxa"/>
        </w:tblCellMar>
        <w:tblLook w:val="04A0" w:firstRow="1" w:lastRow="0" w:firstColumn="1" w:lastColumn="0" w:noHBand="0" w:noVBand="1"/>
      </w:tblPr>
      <w:tblGrid>
        <w:gridCol w:w="4895"/>
        <w:gridCol w:w="1776"/>
      </w:tblGrid>
      <w:tr w:rsidR="00B834A2" w:rsidRPr="00871A31" w14:paraId="18779319" w14:textId="77777777" w:rsidTr="00871A31">
        <w:trPr>
          <w:tblHeader/>
          <w:jc w:val="center"/>
        </w:trPr>
        <w:tc>
          <w:tcPr>
            <w:tcW w:w="4895" w:type="dxa"/>
            <w:tcBorders>
              <w:top w:val="single" w:sz="4" w:space="0" w:color="auto"/>
            </w:tcBorders>
            <w:shd w:val="clear" w:color="auto" w:fill="FFFFFF"/>
            <w:vAlign w:val="center"/>
          </w:tcPr>
          <w:p w14:paraId="7D31F90C" w14:textId="77777777" w:rsidR="00B834A2" w:rsidRPr="00871A31" w:rsidRDefault="00B834A2" w:rsidP="00871A31">
            <w:pPr>
              <w:spacing w:after="120"/>
              <w:jc w:val="center"/>
              <w:rPr>
                <w:sz w:val="20"/>
                <w:szCs w:val="20"/>
              </w:rPr>
            </w:pPr>
            <w:r w:rsidRPr="00871A31">
              <w:rPr>
                <w:sz w:val="20"/>
                <w:szCs w:val="20"/>
              </w:rPr>
              <w:t>Հումքի տեսակը</w:t>
            </w:r>
          </w:p>
        </w:tc>
        <w:tc>
          <w:tcPr>
            <w:tcW w:w="1776" w:type="dxa"/>
            <w:tcBorders>
              <w:top w:val="single" w:sz="4" w:space="0" w:color="auto"/>
            </w:tcBorders>
            <w:shd w:val="clear" w:color="auto" w:fill="FFFFFF"/>
            <w:vAlign w:val="bottom"/>
          </w:tcPr>
          <w:p w14:paraId="012C3846" w14:textId="77777777" w:rsidR="00B834A2" w:rsidRPr="00871A31" w:rsidRDefault="00B834A2" w:rsidP="00871A31">
            <w:pPr>
              <w:spacing w:after="120"/>
              <w:jc w:val="center"/>
              <w:rPr>
                <w:sz w:val="20"/>
                <w:szCs w:val="20"/>
              </w:rPr>
            </w:pPr>
            <w:r w:rsidRPr="00871A31">
              <w:rPr>
                <w:sz w:val="20"/>
                <w:szCs w:val="20"/>
              </w:rPr>
              <w:t>Գործակիցը, մլ</w:t>
            </w:r>
          </w:p>
        </w:tc>
      </w:tr>
      <w:tr w:rsidR="00B834A2" w:rsidRPr="00871A31" w14:paraId="2CF3FFE5" w14:textId="77777777" w:rsidTr="00871A31">
        <w:trPr>
          <w:jc w:val="center"/>
        </w:trPr>
        <w:tc>
          <w:tcPr>
            <w:tcW w:w="4895" w:type="dxa"/>
            <w:tcBorders>
              <w:top w:val="single" w:sz="4" w:space="0" w:color="auto"/>
            </w:tcBorders>
            <w:shd w:val="clear" w:color="auto" w:fill="FFFFFF"/>
            <w:vAlign w:val="bottom"/>
          </w:tcPr>
          <w:p w14:paraId="3E52EC5E" w14:textId="77777777" w:rsidR="00B834A2" w:rsidRPr="00871A31" w:rsidRDefault="00B834A2" w:rsidP="00871A31">
            <w:pPr>
              <w:spacing w:after="120"/>
              <w:jc w:val="both"/>
              <w:rPr>
                <w:sz w:val="20"/>
                <w:szCs w:val="20"/>
              </w:rPr>
            </w:pPr>
            <w:r w:rsidRPr="00871A31">
              <w:rPr>
                <w:sz w:val="20"/>
                <w:szCs w:val="20"/>
              </w:rPr>
              <w:t>Կատվախոտի կոճղարմատներ՝ արմատներով</w:t>
            </w:r>
          </w:p>
        </w:tc>
        <w:tc>
          <w:tcPr>
            <w:tcW w:w="1776" w:type="dxa"/>
            <w:tcBorders>
              <w:top w:val="single" w:sz="4" w:space="0" w:color="auto"/>
            </w:tcBorders>
            <w:shd w:val="clear" w:color="auto" w:fill="FFFFFF"/>
            <w:vAlign w:val="bottom"/>
          </w:tcPr>
          <w:p w14:paraId="0E429FAA" w14:textId="77777777" w:rsidR="00B834A2" w:rsidRPr="00871A31" w:rsidRDefault="00B834A2" w:rsidP="008F20E6">
            <w:pPr>
              <w:spacing w:after="120"/>
              <w:jc w:val="center"/>
              <w:rPr>
                <w:sz w:val="20"/>
                <w:szCs w:val="20"/>
              </w:rPr>
            </w:pPr>
            <w:r w:rsidRPr="00871A31">
              <w:rPr>
                <w:sz w:val="20"/>
                <w:szCs w:val="20"/>
              </w:rPr>
              <w:t>2,9</w:t>
            </w:r>
          </w:p>
        </w:tc>
      </w:tr>
      <w:tr w:rsidR="00B834A2" w:rsidRPr="00871A31" w14:paraId="4D614726" w14:textId="77777777" w:rsidTr="00871A31">
        <w:trPr>
          <w:jc w:val="center"/>
        </w:trPr>
        <w:tc>
          <w:tcPr>
            <w:tcW w:w="4895" w:type="dxa"/>
            <w:shd w:val="clear" w:color="auto" w:fill="FFFFFF"/>
            <w:vAlign w:val="bottom"/>
          </w:tcPr>
          <w:p w14:paraId="27ACC471" w14:textId="77777777" w:rsidR="00B834A2" w:rsidRPr="00871A31" w:rsidRDefault="00B834A2" w:rsidP="00871A31">
            <w:pPr>
              <w:spacing w:after="120"/>
              <w:jc w:val="both"/>
              <w:rPr>
                <w:sz w:val="20"/>
                <w:szCs w:val="20"/>
              </w:rPr>
            </w:pPr>
            <w:r w:rsidRPr="00871A31">
              <w:rPr>
                <w:sz w:val="20"/>
                <w:szCs w:val="20"/>
              </w:rPr>
              <w:t>Ադոնիսի խոտ</w:t>
            </w:r>
          </w:p>
        </w:tc>
        <w:tc>
          <w:tcPr>
            <w:tcW w:w="1776" w:type="dxa"/>
            <w:shd w:val="clear" w:color="auto" w:fill="FFFFFF"/>
            <w:vAlign w:val="bottom"/>
          </w:tcPr>
          <w:p w14:paraId="29F8EB22" w14:textId="77777777" w:rsidR="00B834A2" w:rsidRPr="00871A31" w:rsidRDefault="00B834A2" w:rsidP="008F20E6">
            <w:pPr>
              <w:spacing w:after="120"/>
              <w:jc w:val="center"/>
              <w:rPr>
                <w:sz w:val="20"/>
                <w:szCs w:val="20"/>
              </w:rPr>
            </w:pPr>
            <w:r w:rsidRPr="00871A31">
              <w:rPr>
                <w:sz w:val="20"/>
                <w:szCs w:val="20"/>
              </w:rPr>
              <w:t>2,8</w:t>
            </w:r>
          </w:p>
        </w:tc>
      </w:tr>
      <w:tr w:rsidR="00B834A2" w:rsidRPr="00871A31" w14:paraId="5DF31E63" w14:textId="77777777" w:rsidTr="00871A31">
        <w:trPr>
          <w:jc w:val="center"/>
        </w:trPr>
        <w:tc>
          <w:tcPr>
            <w:tcW w:w="4895" w:type="dxa"/>
            <w:shd w:val="clear" w:color="auto" w:fill="FFFFFF"/>
            <w:vAlign w:val="center"/>
          </w:tcPr>
          <w:p w14:paraId="27F367CE" w14:textId="77777777" w:rsidR="00B834A2" w:rsidRPr="00871A31" w:rsidRDefault="00B834A2" w:rsidP="00871A31">
            <w:pPr>
              <w:spacing w:after="120"/>
              <w:jc w:val="both"/>
              <w:rPr>
                <w:sz w:val="20"/>
                <w:szCs w:val="20"/>
              </w:rPr>
            </w:pPr>
            <w:r w:rsidRPr="00871A31">
              <w:rPr>
                <w:sz w:val="20"/>
                <w:szCs w:val="20"/>
              </w:rPr>
              <w:t>Օձային մատիտեղի (գալարուկի) կոճղարմատներ</w:t>
            </w:r>
          </w:p>
        </w:tc>
        <w:tc>
          <w:tcPr>
            <w:tcW w:w="1776" w:type="dxa"/>
            <w:shd w:val="clear" w:color="auto" w:fill="FFFFFF"/>
            <w:vAlign w:val="center"/>
          </w:tcPr>
          <w:p w14:paraId="3FE20BFF" w14:textId="77777777" w:rsidR="00B834A2" w:rsidRPr="00871A31" w:rsidRDefault="00B834A2" w:rsidP="008F20E6">
            <w:pPr>
              <w:spacing w:after="120"/>
              <w:jc w:val="center"/>
              <w:rPr>
                <w:sz w:val="20"/>
                <w:szCs w:val="20"/>
              </w:rPr>
            </w:pPr>
            <w:r w:rsidRPr="00871A31">
              <w:rPr>
                <w:sz w:val="20"/>
                <w:szCs w:val="20"/>
              </w:rPr>
              <w:t>2,0</w:t>
            </w:r>
          </w:p>
        </w:tc>
      </w:tr>
      <w:tr w:rsidR="00B834A2" w:rsidRPr="00871A31" w14:paraId="19E43156" w14:textId="77777777" w:rsidTr="00871A31">
        <w:trPr>
          <w:jc w:val="center"/>
        </w:trPr>
        <w:tc>
          <w:tcPr>
            <w:tcW w:w="4895" w:type="dxa"/>
            <w:shd w:val="clear" w:color="auto" w:fill="FFFFFF"/>
          </w:tcPr>
          <w:p w14:paraId="52E19341" w14:textId="77777777" w:rsidR="00B834A2" w:rsidRPr="00871A31" w:rsidRDefault="00B834A2" w:rsidP="00871A31">
            <w:pPr>
              <w:spacing w:after="120"/>
              <w:jc w:val="both"/>
              <w:rPr>
                <w:sz w:val="20"/>
                <w:szCs w:val="20"/>
              </w:rPr>
            </w:pPr>
            <w:r w:rsidRPr="00871A31">
              <w:rPr>
                <w:sz w:val="20"/>
                <w:szCs w:val="20"/>
              </w:rPr>
              <w:t>Կաղնու կեղեւ</w:t>
            </w:r>
          </w:p>
        </w:tc>
        <w:tc>
          <w:tcPr>
            <w:tcW w:w="1776" w:type="dxa"/>
            <w:shd w:val="clear" w:color="auto" w:fill="FFFFFF"/>
            <w:vAlign w:val="center"/>
          </w:tcPr>
          <w:p w14:paraId="32DB15E8" w14:textId="77777777" w:rsidR="00B834A2" w:rsidRPr="00871A31" w:rsidRDefault="00B834A2" w:rsidP="008F20E6">
            <w:pPr>
              <w:spacing w:after="120"/>
              <w:jc w:val="center"/>
              <w:rPr>
                <w:sz w:val="20"/>
                <w:szCs w:val="20"/>
              </w:rPr>
            </w:pPr>
            <w:r w:rsidRPr="00871A31">
              <w:rPr>
                <w:sz w:val="20"/>
                <w:szCs w:val="20"/>
              </w:rPr>
              <w:t>2,0</w:t>
            </w:r>
          </w:p>
        </w:tc>
      </w:tr>
      <w:tr w:rsidR="00B834A2" w:rsidRPr="00871A31" w14:paraId="44A609E6" w14:textId="77777777" w:rsidTr="00871A31">
        <w:trPr>
          <w:jc w:val="center"/>
        </w:trPr>
        <w:tc>
          <w:tcPr>
            <w:tcW w:w="4895" w:type="dxa"/>
            <w:shd w:val="clear" w:color="auto" w:fill="FFFFFF"/>
            <w:vAlign w:val="bottom"/>
          </w:tcPr>
          <w:p w14:paraId="624571BA" w14:textId="77777777" w:rsidR="00B834A2" w:rsidRPr="00871A31" w:rsidRDefault="00B834A2" w:rsidP="00871A31">
            <w:pPr>
              <w:spacing w:after="120"/>
              <w:jc w:val="both"/>
              <w:rPr>
                <w:sz w:val="20"/>
                <w:szCs w:val="20"/>
              </w:rPr>
            </w:pPr>
            <w:r w:rsidRPr="00871A31">
              <w:rPr>
                <w:sz w:val="20"/>
                <w:szCs w:val="20"/>
              </w:rPr>
              <w:t>Խնկածաղկի խոտ</w:t>
            </w:r>
          </w:p>
        </w:tc>
        <w:tc>
          <w:tcPr>
            <w:tcW w:w="1776" w:type="dxa"/>
            <w:shd w:val="clear" w:color="auto" w:fill="FFFFFF"/>
            <w:vAlign w:val="center"/>
          </w:tcPr>
          <w:p w14:paraId="1D28E356" w14:textId="77777777" w:rsidR="00B834A2" w:rsidRPr="00871A31" w:rsidRDefault="00B834A2" w:rsidP="008F20E6">
            <w:pPr>
              <w:spacing w:after="120"/>
              <w:jc w:val="center"/>
              <w:rPr>
                <w:sz w:val="20"/>
                <w:szCs w:val="20"/>
              </w:rPr>
            </w:pPr>
            <w:r w:rsidRPr="00871A31">
              <w:rPr>
                <w:sz w:val="20"/>
                <w:szCs w:val="20"/>
              </w:rPr>
              <w:t>2,0</w:t>
            </w:r>
          </w:p>
        </w:tc>
      </w:tr>
      <w:tr w:rsidR="00B834A2" w:rsidRPr="00871A31" w14:paraId="2E9745DB" w14:textId="77777777" w:rsidTr="00871A31">
        <w:trPr>
          <w:jc w:val="center"/>
        </w:trPr>
        <w:tc>
          <w:tcPr>
            <w:tcW w:w="4895" w:type="dxa"/>
            <w:shd w:val="clear" w:color="auto" w:fill="FFFFFF"/>
            <w:vAlign w:val="center"/>
          </w:tcPr>
          <w:p w14:paraId="30D6841D" w14:textId="77777777" w:rsidR="00B834A2" w:rsidRPr="00871A31" w:rsidRDefault="00B834A2" w:rsidP="00871A31">
            <w:pPr>
              <w:spacing w:after="120"/>
              <w:jc w:val="both"/>
              <w:rPr>
                <w:sz w:val="20"/>
                <w:szCs w:val="20"/>
              </w:rPr>
            </w:pPr>
            <w:r w:rsidRPr="00871A31">
              <w:rPr>
                <w:sz w:val="20"/>
                <w:szCs w:val="20"/>
              </w:rPr>
              <w:t>Սրոհունդի խոտ</w:t>
            </w:r>
          </w:p>
        </w:tc>
        <w:tc>
          <w:tcPr>
            <w:tcW w:w="1776" w:type="dxa"/>
            <w:shd w:val="clear" w:color="auto" w:fill="FFFFFF"/>
            <w:vAlign w:val="center"/>
          </w:tcPr>
          <w:p w14:paraId="309711EC" w14:textId="77777777" w:rsidR="00B834A2" w:rsidRPr="00871A31" w:rsidRDefault="00B834A2" w:rsidP="008F20E6">
            <w:pPr>
              <w:spacing w:after="120"/>
              <w:jc w:val="center"/>
              <w:rPr>
                <w:sz w:val="20"/>
                <w:szCs w:val="20"/>
              </w:rPr>
            </w:pPr>
            <w:r w:rsidRPr="00871A31">
              <w:rPr>
                <w:sz w:val="20"/>
                <w:szCs w:val="20"/>
              </w:rPr>
              <w:t>1,6</w:t>
            </w:r>
          </w:p>
        </w:tc>
      </w:tr>
      <w:tr w:rsidR="00B834A2" w:rsidRPr="00871A31" w14:paraId="06A5976A" w14:textId="77777777" w:rsidTr="00871A31">
        <w:trPr>
          <w:jc w:val="center"/>
        </w:trPr>
        <w:tc>
          <w:tcPr>
            <w:tcW w:w="4895" w:type="dxa"/>
            <w:shd w:val="clear" w:color="auto" w:fill="FFFFFF"/>
            <w:vAlign w:val="center"/>
          </w:tcPr>
          <w:p w14:paraId="7C5FA218" w14:textId="77777777" w:rsidR="00B834A2" w:rsidRPr="00871A31" w:rsidRDefault="00B834A2" w:rsidP="00871A31">
            <w:pPr>
              <w:spacing w:after="120"/>
              <w:jc w:val="both"/>
              <w:rPr>
                <w:sz w:val="20"/>
                <w:szCs w:val="20"/>
              </w:rPr>
            </w:pPr>
            <w:r w:rsidRPr="00871A31">
              <w:rPr>
                <w:sz w:val="20"/>
                <w:szCs w:val="20"/>
              </w:rPr>
              <w:t>Բռինչի կեղեւ</w:t>
            </w:r>
          </w:p>
        </w:tc>
        <w:tc>
          <w:tcPr>
            <w:tcW w:w="1776" w:type="dxa"/>
            <w:shd w:val="clear" w:color="auto" w:fill="FFFFFF"/>
            <w:vAlign w:val="center"/>
          </w:tcPr>
          <w:p w14:paraId="7BDA741E" w14:textId="77777777" w:rsidR="00B834A2" w:rsidRPr="00871A31" w:rsidRDefault="00B834A2" w:rsidP="008F20E6">
            <w:pPr>
              <w:spacing w:after="120"/>
              <w:jc w:val="center"/>
              <w:rPr>
                <w:sz w:val="20"/>
                <w:szCs w:val="20"/>
              </w:rPr>
            </w:pPr>
            <w:r w:rsidRPr="00871A31">
              <w:rPr>
                <w:sz w:val="20"/>
                <w:szCs w:val="20"/>
              </w:rPr>
              <w:t>2,0</w:t>
            </w:r>
          </w:p>
        </w:tc>
      </w:tr>
      <w:tr w:rsidR="00B834A2" w:rsidRPr="00871A31" w14:paraId="7109455D" w14:textId="77777777" w:rsidTr="00871A31">
        <w:trPr>
          <w:jc w:val="center"/>
        </w:trPr>
        <w:tc>
          <w:tcPr>
            <w:tcW w:w="4895" w:type="dxa"/>
            <w:shd w:val="clear" w:color="auto" w:fill="FFFFFF"/>
            <w:vAlign w:val="center"/>
          </w:tcPr>
          <w:p w14:paraId="19AE825F" w14:textId="77777777" w:rsidR="00B834A2" w:rsidRPr="00871A31" w:rsidRDefault="00B834A2" w:rsidP="00871A31">
            <w:pPr>
              <w:spacing w:after="120"/>
              <w:jc w:val="both"/>
              <w:rPr>
                <w:sz w:val="20"/>
                <w:szCs w:val="20"/>
              </w:rPr>
            </w:pPr>
            <w:r w:rsidRPr="00871A31">
              <w:rPr>
                <w:sz w:val="20"/>
                <w:szCs w:val="20"/>
              </w:rPr>
              <w:t>Եղինջի տերեւներ</w:t>
            </w:r>
          </w:p>
        </w:tc>
        <w:tc>
          <w:tcPr>
            <w:tcW w:w="1776" w:type="dxa"/>
            <w:shd w:val="clear" w:color="auto" w:fill="FFFFFF"/>
            <w:vAlign w:val="center"/>
          </w:tcPr>
          <w:p w14:paraId="56CC2737" w14:textId="77777777" w:rsidR="00B834A2" w:rsidRPr="00871A31" w:rsidRDefault="00B834A2" w:rsidP="008F20E6">
            <w:pPr>
              <w:spacing w:after="120"/>
              <w:jc w:val="center"/>
              <w:rPr>
                <w:sz w:val="20"/>
                <w:szCs w:val="20"/>
              </w:rPr>
            </w:pPr>
            <w:r w:rsidRPr="00871A31">
              <w:rPr>
                <w:sz w:val="20"/>
                <w:szCs w:val="20"/>
              </w:rPr>
              <w:t>1,8</w:t>
            </w:r>
          </w:p>
        </w:tc>
      </w:tr>
      <w:tr w:rsidR="00B834A2" w:rsidRPr="00871A31" w14:paraId="22C84099" w14:textId="77777777" w:rsidTr="00871A31">
        <w:trPr>
          <w:jc w:val="center"/>
        </w:trPr>
        <w:tc>
          <w:tcPr>
            <w:tcW w:w="4895" w:type="dxa"/>
            <w:shd w:val="clear" w:color="auto" w:fill="FFFFFF"/>
          </w:tcPr>
          <w:p w14:paraId="0BB6FF91" w14:textId="77777777" w:rsidR="00B834A2" w:rsidRPr="00871A31" w:rsidRDefault="00B834A2" w:rsidP="00871A31">
            <w:pPr>
              <w:spacing w:after="120"/>
              <w:jc w:val="both"/>
              <w:rPr>
                <w:sz w:val="20"/>
                <w:szCs w:val="20"/>
              </w:rPr>
            </w:pPr>
            <w:r w:rsidRPr="00871A31">
              <w:rPr>
                <w:sz w:val="20"/>
                <w:szCs w:val="20"/>
              </w:rPr>
              <w:t>Արյունխմիկի կոճղարմատներ եւ արմատներ</w:t>
            </w:r>
          </w:p>
        </w:tc>
        <w:tc>
          <w:tcPr>
            <w:tcW w:w="1776" w:type="dxa"/>
            <w:shd w:val="clear" w:color="auto" w:fill="FFFFFF"/>
          </w:tcPr>
          <w:p w14:paraId="06771E0B" w14:textId="77777777" w:rsidR="00B834A2" w:rsidRPr="00871A31" w:rsidRDefault="00B834A2" w:rsidP="008F20E6">
            <w:pPr>
              <w:spacing w:after="120"/>
              <w:jc w:val="center"/>
              <w:rPr>
                <w:sz w:val="20"/>
                <w:szCs w:val="20"/>
              </w:rPr>
            </w:pPr>
            <w:r w:rsidRPr="00871A31">
              <w:rPr>
                <w:sz w:val="20"/>
                <w:szCs w:val="20"/>
              </w:rPr>
              <w:t>1,7</w:t>
            </w:r>
          </w:p>
        </w:tc>
      </w:tr>
      <w:tr w:rsidR="00B834A2" w:rsidRPr="00871A31" w14:paraId="23E0B402" w14:textId="77777777" w:rsidTr="00871A31">
        <w:trPr>
          <w:jc w:val="center"/>
        </w:trPr>
        <w:tc>
          <w:tcPr>
            <w:tcW w:w="4895" w:type="dxa"/>
            <w:shd w:val="clear" w:color="auto" w:fill="FFFFFF"/>
            <w:vAlign w:val="center"/>
          </w:tcPr>
          <w:p w14:paraId="7762F4B0" w14:textId="77777777" w:rsidR="00B834A2" w:rsidRPr="00871A31" w:rsidRDefault="00B834A2" w:rsidP="00871A31">
            <w:pPr>
              <w:spacing w:after="120"/>
              <w:jc w:val="both"/>
              <w:rPr>
                <w:sz w:val="20"/>
                <w:szCs w:val="20"/>
              </w:rPr>
            </w:pPr>
            <w:r w:rsidRPr="00871A31">
              <w:rPr>
                <w:sz w:val="20"/>
                <w:szCs w:val="20"/>
              </w:rPr>
              <w:t>Բեկտենու կեղեւ</w:t>
            </w:r>
          </w:p>
        </w:tc>
        <w:tc>
          <w:tcPr>
            <w:tcW w:w="1776" w:type="dxa"/>
            <w:shd w:val="clear" w:color="auto" w:fill="FFFFFF"/>
            <w:vAlign w:val="center"/>
          </w:tcPr>
          <w:p w14:paraId="2A51EC3D" w14:textId="77777777" w:rsidR="00B834A2" w:rsidRPr="00871A31" w:rsidRDefault="00B834A2" w:rsidP="008F20E6">
            <w:pPr>
              <w:spacing w:after="120"/>
              <w:jc w:val="center"/>
              <w:rPr>
                <w:sz w:val="20"/>
                <w:szCs w:val="20"/>
              </w:rPr>
            </w:pPr>
            <w:r w:rsidRPr="00871A31">
              <w:rPr>
                <w:sz w:val="20"/>
                <w:szCs w:val="20"/>
              </w:rPr>
              <w:t>1,6</w:t>
            </w:r>
          </w:p>
        </w:tc>
      </w:tr>
      <w:tr w:rsidR="00B834A2" w:rsidRPr="00871A31" w14:paraId="6107CD74" w14:textId="77777777" w:rsidTr="00871A31">
        <w:trPr>
          <w:jc w:val="center"/>
        </w:trPr>
        <w:tc>
          <w:tcPr>
            <w:tcW w:w="4895" w:type="dxa"/>
            <w:shd w:val="clear" w:color="auto" w:fill="FFFFFF"/>
            <w:vAlign w:val="bottom"/>
          </w:tcPr>
          <w:p w14:paraId="7E666E04" w14:textId="77777777" w:rsidR="00B834A2" w:rsidRPr="00871A31" w:rsidRDefault="00B834A2" w:rsidP="00871A31">
            <w:pPr>
              <w:spacing w:after="120"/>
              <w:jc w:val="both"/>
              <w:rPr>
                <w:sz w:val="20"/>
                <w:szCs w:val="20"/>
              </w:rPr>
            </w:pPr>
            <w:r w:rsidRPr="00871A31">
              <w:rPr>
                <w:sz w:val="20"/>
                <w:szCs w:val="20"/>
              </w:rPr>
              <w:t xml:space="preserve">Մատնունու կոճղարմատներ </w:t>
            </w:r>
          </w:p>
        </w:tc>
        <w:tc>
          <w:tcPr>
            <w:tcW w:w="1776" w:type="dxa"/>
            <w:shd w:val="clear" w:color="auto" w:fill="FFFFFF"/>
            <w:vAlign w:val="bottom"/>
          </w:tcPr>
          <w:p w14:paraId="3A977F9F" w14:textId="77777777" w:rsidR="00B834A2" w:rsidRPr="00871A31" w:rsidRDefault="00B834A2" w:rsidP="008F20E6">
            <w:pPr>
              <w:spacing w:after="120"/>
              <w:jc w:val="center"/>
              <w:rPr>
                <w:sz w:val="20"/>
                <w:szCs w:val="20"/>
              </w:rPr>
            </w:pPr>
            <w:r w:rsidRPr="00871A31">
              <w:rPr>
                <w:sz w:val="20"/>
                <w:szCs w:val="20"/>
              </w:rPr>
              <w:t>1,4</w:t>
            </w:r>
          </w:p>
        </w:tc>
      </w:tr>
      <w:tr w:rsidR="00B834A2" w:rsidRPr="00871A31" w14:paraId="72B57617" w14:textId="77777777" w:rsidTr="00871A31">
        <w:trPr>
          <w:jc w:val="center"/>
        </w:trPr>
        <w:tc>
          <w:tcPr>
            <w:tcW w:w="4895" w:type="dxa"/>
            <w:shd w:val="clear" w:color="auto" w:fill="FFFFFF"/>
            <w:vAlign w:val="bottom"/>
          </w:tcPr>
          <w:p w14:paraId="0361BB0E" w14:textId="77777777" w:rsidR="00B834A2" w:rsidRPr="00871A31" w:rsidRDefault="00B834A2" w:rsidP="00871A31">
            <w:pPr>
              <w:spacing w:after="120"/>
              <w:jc w:val="both"/>
              <w:rPr>
                <w:sz w:val="20"/>
                <w:szCs w:val="20"/>
              </w:rPr>
            </w:pPr>
            <w:r w:rsidRPr="00871A31">
              <w:rPr>
                <w:sz w:val="20"/>
                <w:szCs w:val="20"/>
              </w:rPr>
              <w:t>Տատրակի տերեւներ</w:t>
            </w:r>
          </w:p>
        </w:tc>
        <w:tc>
          <w:tcPr>
            <w:tcW w:w="1776" w:type="dxa"/>
            <w:shd w:val="clear" w:color="auto" w:fill="FFFFFF"/>
            <w:vAlign w:val="bottom"/>
          </w:tcPr>
          <w:p w14:paraId="5751A861" w14:textId="77777777" w:rsidR="00B834A2" w:rsidRPr="00871A31" w:rsidRDefault="00B834A2" w:rsidP="008F20E6">
            <w:pPr>
              <w:spacing w:after="120"/>
              <w:jc w:val="center"/>
              <w:rPr>
                <w:sz w:val="20"/>
                <w:szCs w:val="20"/>
              </w:rPr>
            </w:pPr>
            <w:r w:rsidRPr="00871A31">
              <w:rPr>
                <w:sz w:val="20"/>
                <w:szCs w:val="20"/>
              </w:rPr>
              <w:t>3,0</w:t>
            </w:r>
          </w:p>
        </w:tc>
      </w:tr>
      <w:tr w:rsidR="00B834A2" w:rsidRPr="00871A31" w14:paraId="65B0E0AB" w14:textId="77777777" w:rsidTr="00871A31">
        <w:trPr>
          <w:jc w:val="center"/>
        </w:trPr>
        <w:tc>
          <w:tcPr>
            <w:tcW w:w="4895" w:type="dxa"/>
            <w:shd w:val="clear" w:color="auto" w:fill="FFFFFF"/>
          </w:tcPr>
          <w:p w14:paraId="36803CED" w14:textId="77777777" w:rsidR="00B834A2" w:rsidRPr="00871A31" w:rsidRDefault="00B834A2" w:rsidP="00871A31">
            <w:pPr>
              <w:spacing w:after="120"/>
              <w:jc w:val="both"/>
              <w:rPr>
                <w:sz w:val="20"/>
                <w:szCs w:val="20"/>
              </w:rPr>
            </w:pPr>
            <w:r w:rsidRPr="00871A31">
              <w:rPr>
                <w:sz w:val="20"/>
                <w:szCs w:val="20"/>
              </w:rPr>
              <w:t>Պղպեղային անանուխի տերեւներ</w:t>
            </w:r>
          </w:p>
        </w:tc>
        <w:tc>
          <w:tcPr>
            <w:tcW w:w="1776" w:type="dxa"/>
            <w:shd w:val="clear" w:color="auto" w:fill="FFFFFF"/>
          </w:tcPr>
          <w:p w14:paraId="70AE3194" w14:textId="77777777" w:rsidR="00B834A2" w:rsidRPr="00871A31" w:rsidRDefault="00B834A2" w:rsidP="008F20E6">
            <w:pPr>
              <w:spacing w:after="120"/>
              <w:jc w:val="center"/>
              <w:rPr>
                <w:sz w:val="20"/>
                <w:szCs w:val="20"/>
              </w:rPr>
            </w:pPr>
            <w:r w:rsidRPr="00871A31">
              <w:rPr>
                <w:sz w:val="20"/>
                <w:szCs w:val="20"/>
              </w:rPr>
              <w:t>2,4</w:t>
            </w:r>
          </w:p>
        </w:tc>
      </w:tr>
      <w:tr w:rsidR="00B834A2" w:rsidRPr="00871A31" w14:paraId="0B79EB47" w14:textId="77777777" w:rsidTr="00871A31">
        <w:trPr>
          <w:jc w:val="center"/>
        </w:trPr>
        <w:tc>
          <w:tcPr>
            <w:tcW w:w="4895" w:type="dxa"/>
            <w:shd w:val="clear" w:color="auto" w:fill="FFFFFF"/>
            <w:vAlign w:val="bottom"/>
          </w:tcPr>
          <w:p w14:paraId="4DA7DB29" w14:textId="77777777" w:rsidR="00B834A2" w:rsidRPr="00871A31" w:rsidRDefault="00B834A2" w:rsidP="00871A31">
            <w:pPr>
              <w:spacing w:after="120"/>
              <w:jc w:val="both"/>
              <w:rPr>
                <w:sz w:val="20"/>
                <w:szCs w:val="20"/>
              </w:rPr>
            </w:pPr>
            <w:r w:rsidRPr="00871A31">
              <w:rPr>
                <w:sz w:val="20"/>
                <w:szCs w:val="20"/>
              </w:rPr>
              <w:lastRenderedPageBreak/>
              <w:t>Մեծ եզան լեզվի տերեւներ</w:t>
            </w:r>
          </w:p>
        </w:tc>
        <w:tc>
          <w:tcPr>
            <w:tcW w:w="1776" w:type="dxa"/>
            <w:shd w:val="clear" w:color="auto" w:fill="FFFFFF"/>
            <w:vAlign w:val="bottom"/>
          </w:tcPr>
          <w:p w14:paraId="3B8F81F8" w14:textId="77777777" w:rsidR="00B834A2" w:rsidRPr="00871A31" w:rsidRDefault="00B834A2" w:rsidP="008F20E6">
            <w:pPr>
              <w:spacing w:after="120"/>
              <w:jc w:val="center"/>
              <w:rPr>
                <w:sz w:val="20"/>
                <w:szCs w:val="20"/>
              </w:rPr>
            </w:pPr>
            <w:r w:rsidRPr="00871A31">
              <w:rPr>
                <w:sz w:val="20"/>
                <w:szCs w:val="20"/>
              </w:rPr>
              <w:t>2,5</w:t>
            </w:r>
          </w:p>
        </w:tc>
      </w:tr>
      <w:tr w:rsidR="00B834A2" w:rsidRPr="00871A31" w14:paraId="27699440" w14:textId="77777777" w:rsidTr="00871A31">
        <w:trPr>
          <w:jc w:val="center"/>
        </w:trPr>
        <w:tc>
          <w:tcPr>
            <w:tcW w:w="4895" w:type="dxa"/>
            <w:shd w:val="clear" w:color="auto" w:fill="FFFFFF"/>
            <w:vAlign w:val="bottom"/>
          </w:tcPr>
          <w:p w14:paraId="5F43B0A6" w14:textId="77777777" w:rsidR="00B834A2" w:rsidRPr="00871A31" w:rsidRDefault="00B834A2" w:rsidP="00871A31">
            <w:pPr>
              <w:spacing w:after="120"/>
              <w:jc w:val="both"/>
              <w:rPr>
                <w:sz w:val="20"/>
                <w:szCs w:val="20"/>
              </w:rPr>
            </w:pPr>
            <w:r w:rsidRPr="00871A31">
              <w:rPr>
                <w:sz w:val="20"/>
                <w:szCs w:val="20"/>
              </w:rPr>
              <w:t>Դառը օշինդրի խոտ</w:t>
            </w:r>
          </w:p>
        </w:tc>
        <w:tc>
          <w:tcPr>
            <w:tcW w:w="1776" w:type="dxa"/>
            <w:shd w:val="clear" w:color="auto" w:fill="FFFFFF"/>
            <w:vAlign w:val="bottom"/>
          </w:tcPr>
          <w:p w14:paraId="42DCB070" w14:textId="77777777" w:rsidR="00B834A2" w:rsidRPr="00871A31" w:rsidRDefault="00B834A2" w:rsidP="008F20E6">
            <w:pPr>
              <w:spacing w:after="120"/>
              <w:jc w:val="center"/>
              <w:rPr>
                <w:sz w:val="20"/>
                <w:szCs w:val="20"/>
              </w:rPr>
            </w:pPr>
            <w:r w:rsidRPr="00871A31">
              <w:rPr>
                <w:sz w:val="20"/>
                <w:szCs w:val="20"/>
              </w:rPr>
              <w:t>2,1</w:t>
            </w:r>
          </w:p>
        </w:tc>
      </w:tr>
      <w:tr w:rsidR="00B834A2" w:rsidRPr="00871A31" w14:paraId="7AD6C4E6" w14:textId="77777777" w:rsidTr="00871A31">
        <w:trPr>
          <w:jc w:val="center"/>
        </w:trPr>
        <w:tc>
          <w:tcPr>
            <w:tcW w:w="4895" w:type="dxa"/>
            <w:shd w:val="clear" w:color="auto" w:fill="FFFFFF"/>
            <w:vAlign w:val="center"/>
          </w:tcPr>
          <w:p w14:paraId="186933BE" w14:textId="77777777" w:rsidR="00B834A2" w:rsidRPr="00871A31" w:rsidRDefault="00B834A2" w:rsidP="00871A31">
            <w:pPr>
              <w:spacing w:after="120"/>
              <w:jc w:val="both"/>
              <w:rPr>
                <w:sz w:val="20"/>
                <w:szCs w:val="20"/>
              </w:rPr>
            </w:pPr>
            <w:r w:rsidRPr="00871A31">
              <w:rPr>
                <w:sz w:val="20"/>
                <w:szCs w:val="20"/>
              </w:rPr>
              <w:t>Առյուծագիի խոտ</w:t>
            </w:r>
          </w:p>
        </w:tc>
        <w:tc>
          <w:tcPr>
            <w:tcW w:w="1776" w:type="dxa"/>
            <w:shd w:val="clear" w:color="auto" w:fill="FFFFFF"/>
            <w:vAlign w:val="center"/>
          </w:tcPr>
          <w:p w14:paraId="16F2C75C" w14:textId="77777777" w:rsidR="00B834A2" w:rsidRPr="00871A31" w:rsidRDefault="00B834A2" w:rsidP="008F20E6">
            <w:pPr>
              <w:spacing w:after="120"/>
              <w:jc w:val="center"/>
              <w:rPr>
                <w:sz w:val="20"/>
                <w:szCs w:val="20"/>
              </w:rPr>
            </w:pPr>
            <w:r w:rsidRPr="00871A31">
              <w:rPr>
                <w:sz w:val="20"/>
                <w:szCs w:val="20"/>
              </w:rPr>
              <w:t>2,0</w:t>
            </w:r>
          </w:p>
        </w:tc>
      </w:tr>
      <w:tr w:rsidR="00B834A2" w:rsidRPr="00871A31" w14:paraId="0F360ABA" w14:textId="77777777" w:rsidTr="00871A31">
        <w:trPr>
          <w:jc w:val="center"/>
        </w:trPr>
        <w:tc>
          <w:tcPr>
            <w:tcW w:w="4895" w:type="dxa"/>
            <w:shd w:val="clear" w:color="auto" w:fill="FFFFFF"/>
            <w:vAlign w:val="bottom"/>
          </w:tcPr>
          <w:p w14:paraId="1C4C9967" w14:textId="77777777" w:rsidR="00B834A2" w:rsidRPr="00871A31" w:rsidRDefault="00B834A2" w:rsidP="00871A31">
            <w:pPr>
              <w:spacing w:after="120"/>
              <w:jc w:val="both"/>
              <w:rPr>
                <w:sz w:val="20"/>
                <w:szCs w:val="20"/>
              </w:rPr>
            </w:pPr>
            <w:r w:rsidRPr="00871A31">
              <w:rPr>
                <w:sz w:val="20"/>
                <w:szCs w:val="20"/>
              </w:rPr>
              <w:t>Դեղատնային երիցուկի ծաղիկներ</w:t>
            </w:r>
          </w:p>
        </w:tc>
        <w:tc>
          <w:tcPr>
            <w:tcW w:w="1776" w:type="dxa"/>
            <w:shd w:val="clear" w:color="auto" w:fill="FFFFFF"/>
            <w:vAlign w:val="bottom"/>
          </w:tcPr>
          <w:p w14:paraId="41A5C2FC" w14:textId="77777777" w:rsidR="00B834A2" w:rsidRPr="00871A31" w:rsidRDefault="00B834A2" w:rsidP="008F20E6">
            <w:pPr>
              <w:spacing w:after="120"/>
              <w:jc w:val="center"/>
              <w:rPr>
                <w:sz w:val="20"/>
                <w:szCs w:val="20"/>
              </w:rPr>
            </w:pPr>
            <w:r w:rsidRPr="00871A31">
              <w:rPr>
                <w:sz w:val="20"/>
                <w:szCs w:val="20"/>
              </w:rPr>
              <w:t>3,4</w:t>
            </w:r>
          </w:p>
        </w:tc>
      </w:tr>
      <w:tr w:rsidR="00B834A2" w:rsidRPr="00871A31" w14:paraId="21B91645" w14:textId="77777777" w:rsidTr="00871A31">
        <w:trPr>
          <w:jc w:val="center"/>
        </w:trPr>
        <w:tc>
          <w:tcPr>
            <w:tcW w:w="4895" w:type="dxa"/>
            <w:shd w:val="clear" w:color="auto" w:fill="FFFFFF"/>
            <w:vAlign w:val="bottom"/>
          </w:tcPr>
          <w:p w14:paraId="2746387F" w14:textId="77777777" w:rsidR="00B834A2" w:rsidRPr="00871A31" w:rsidRDefault="00B834A2" w:rsidP="00871A31">
            <w:pPr>
              <w:spacing w:after="120"/>
              <w:jc w:val="both"/>
              <w:rPr>
                <w:sz w:val="20"/>
                <w:szCs w:val="20"/>
              </w:rPr>
            </w:pPr>
            <w:r w:rsidRPr="00871A31">
              <w:rPr>
                <w:sz w:val="20"/>
                <w:szCs w:val="20"/>
              </w:rPr>
              <w:t>Սեննայի տերեւներ</w:t>
            </w:r>
          </w:p>
        </w:tc>
        <w:tc>
          <w:tcPr>
            <w:tcW w:w="1776" w:type="dxa"/>
            <w:shd w:val="clear" w:color="auto" w:fill="FFFFFF"/>
            <w:vAlign w:val="bottom"/>
          </w:tcPr>
          <w:p w14:paraId="4BF21915" w14:textId="77777777" w:rsidR="00B834A2" w:rsidRPr="00871A31" w:rsidRDefault="00B834A2" w:rsidP="008F20E6">
            <w:pPr>
              <w:spacing w:after="120"/>
              <w:jc w:val="center"/>
              <w:rPr>
                <w:sz w:val="20"/>
                <w:szCs w:val="20"/>
              </w:rPr>
            </w:pPr>
            <w:r w:rsidRPr="00871A31">
              <w:rPr>
                <w:sz w:val="20"/>
                <w:szCs w:val="20"/>
              </w:rPr>
              <w:t>1,8</w:t>
            </w:r>
          </w:p>
        </w:tc>
      </w:tr>
      <w:tr w:rsidR="00B834A2" w:rsidRPr="00871A31" w14:paraId="64D7E6CF" w14:textId="77777777" w:rsidTr="00871A31">
        <w:trPr>
          <w:jc w:val="center"/>
        </w:trPr>
        <w:tc>
          <w:tcPr>
            <w:tcW w:w="4895" w:type="dxa"/>
            <w:shd w:val="clear" w:color="auto" w:fill="FFFFFF"/>
          </w:tcPr>
          <w:p w14:paraId="54980E29" w14:textId="77777777" w:rsidR="00B834A2" w:rsidRPr="00871A31" w:rsidRDefault="00B834A2" w:rsidP="00871A31">
            <w:pPr>
              <w:spacing w:after="120"/>
              <w:jc w:val="both"/>
              <w:rPr>
                <w:sz w:val="20"/>
                <w:szCs w:val="20"/>
              </w:rPr>
            </w:pPr>
            <w:r w:rsidRPr="00871A31">
              <w:rPr>
                <w:sz w:val="20"/>
                <w:szCs w:val="20"/>
              </w:rPr>
              <w:t>Մատուտակի արմատներ</w:t>
            </w:r>
          </w:p>
        </w:tc>
        <w:tc>
          <w:tcPr>
            <w:tcW w:w="1776" w:type="dxa"/>
            <w:shd w:val="clear" w:color="auto" w:fill="FFFFFF"/>
          </w:tcPr>
          <w:p w14:paraId="68642477" w14:textId="77777777" w:rsidR="00B834A2" w:rsidRPr="00871A31" w:rsidRDefault="00B834A2" w:rsidP="008F20E6">
            <w:pPr>
              <w:spacing w:after="120"/>
              <w:jc w:val="center"/>
              <w:rPr>
                <w:sz w:val="20"/>
                <w:szCs w:val="20"/>
              </w:rPr>
            </w:pPr>
            <w:r w:rsidRPr="00871A31">
              <w:rPr>
                <w:sz w:val="20"/>
                <w:szCs w:val="20"/>
              </w:rPr>
              <w:t>1,7</w:t>
            </w:r>
          </w:p>
        </w:tc>
      </w:tr>
      <w:tr w:rsidR="00B834A2" w:rsidRPr="00871A31" w14:paraId="23D18BAC" w14:textId="77777777" w:rsidTr="00871A31">
        <w:trPr>
          <w:jc w:val="center"/>
        </w:trPr>
        <w:tc>
          <w:tcPr>
            <w:tcW w:w="4895" w:type="dxa"/>
            <w:shd w:val="clear" w:color="auto" w:fill="FFFFFF"/>
            <w:vAlign w:val="bottom"/>
          </w:tcPr>
          <w:p w14:paraId="49BE7D86" w14:textId="77777777" w:rsidR="00B834A2" w:rsidRPr="00871A31" w:rsidRDefault="00B834A2" w:rsidP="00871A31">
            <w:pPr>
              <w:spacing w:after="120"/>
              <w:jc w:val="both"/>
              <w:rPr>
                <w:sz w:val="20"/>
                <w:szCs w:val="20"/>
              </w:rPr>
            </w:pPr>
            <w:r w:rsidRPr="00871A31">
              <w:rPr>
                <w:sz w:val="20"/>
                <w:szCs w:val="20"/>
              </w:rPr>
              <w:t>Անմեռուկի խոտ</w:t>
            </w:r>
          </w:p>
        </w:tc>
        <w:tc>
          <w:tcPr>
            <w:tcW w:w="1776" w:type="dxa"/>
            <w:shd w:val="clear" w:color="auto" w:fill="FFFFFF"/>
            <w:vAlign w:val="center"/>
          </w:tcPr>
          <w:p w14:paraId="2BE24DDB" w14:textId="77777777" w:rsidR="00B834A2" w:rsidRPr="00871A31" w:rsidRDefault="00B834A2" w:rsidP="008F20E6">
            <w:pPr>
              <w:spacing w:after="120"/>
              <w:jc w:val="center"/>
              <w:rPr>
                <w:sz w:val="20"/>
                <w:szCs w:val="20"/>
              </w:rPr>
            </w:pPr>
            <w:r w:rsidRPr="00871A31">
              <w:rPr>
                <w:sz w:val="20"/>
                <w:szCs w:val="20"/>
              </w:rPr>
              <w:t>2,2</w:t>
            </w:r>
          </w:p>
        </w:tc>
      </w:tr>
      <w:tr w:rsidR="00B834A2" w:rsidRPr="00871A31" w14:paraId="5967BEAE" w14:textId="77777777" w:rsidTr="00871A31">
        <w:trPr>
          <w:jc w:val="center"/>
        </w:trPr>
        <w:tc>
          <w:tcPr>
            <w:tcW w:w="4895" w:type="dxa"/>
            <w:shd w:val="clear" w:color="auto" w:fill="FFFFFF"/>
            <w:vAlign w:val="bottom"/>
          </w:tcPr>
          <w:p w14:paraId="38E81968" w14:textId="77777777" w:rsidR="00B834A2" w:rsidRPr="00871A31" w:rsidRDefault="00B834A2" w:rsidP="00871A31">
            <w:pPr>
              <w:spacing w:after="120"/>
              <w:jc w:val="both"/>
              <w:rPr>
                <w:sz w:val="20"/>
                <w:szCs w:val="20"/>
              </w:rPr>
            </w:pPr>
            <w:r w:rsidRPr="00871A31">
              <w:rPr>
                <w:sz w:val="20"/>
                <w:szCs w:val="20"/>
              </w:rPr>
              <w:t>Արջախաղողի տերեւներ</w:t>
            </w:r>
          </w:p>
        </w:tc>
        <w:tc>
          <w:tcPr>
            <w:tcW w:w="1776" w:type="dxa"/>
            <w:shd w:val="clear" w:color="auto" w:fill="FFFFFF"/>
            <w:vAlign w:val="bottom"/>
          </w:tcPr>
          <w:p w14:paraId="3B236F0B" w14:textId="77777777" w:rsidR="00B834A2" w:rsidRPr="00871A31" w:rsidRDefault="00B834A2" w:rsidP="008F20E6">
            <w:pPr>
              <w:spacing w:after="120"/>
              <w:jc w:val="center"/>
              <w:rPr>
                <w:sz w:val="20"/>
                <w:szCs w:val="20"/>
              </w:rPr>
            </w:pPr>
            <w:r w:rsidRPr="00871A31">
              <w:rPr>
                <w:sz w:val="20"/>
                <w:szCs w:val="20"/>
              </w:rPr>
              <w:t>1,4</w:t>
            </w:r>
          </w:p>
        </w:tc>
      </w:tr>
      <w:tr w:rsidR="00B834A2" w:rsidRPr="00871A31" w14:paraId="091D433D" w14:textId="77777777" w:rsidTr="00871A31">
        <w:trPr>
          <w:jc w:val="center"/>
        </w:trPr>
        <w:tc>
          <w:tcPr>
            <w:tcW w:w="4895" w:type="dxa"/>
            <w:shd w:val="clear" w:color="auto" w:fill="FFFFFF"/>
            <w:vAlign w:val="bottom"/>
          </w:tcPr>
          <w:p w14:paraId="7C0AF033" w14:textId="77777777" w:rsidR="00B834A2" w:rsidRPr="00871A31" w:rsidRDefault="00B834A2" w:rsidP="00871A31">
            <w:pPr>
              <w:spacing w:after="120"/>
              <w:jc w:val="both"/>
              <w:rPr>
                <w:sz w:val="20"/>
                <w:szCs w:val="20"/>
              </w:rPr>
            </w:pPr>
            <w:r w:rsidRPr="00871A31">
              <w:rPr>
                <w:sz w:val="20"/>
                <w:szCs w:val="20"/>
              </w:rPr>
              <w:t>Եղեսպակի տերեւներ</w:t>
            </w:r>
          </w:p>
        </w:tc>
        <w:tc>
          <w:tcPr>
            <w:tcW w:w="1776" w:type="dxa"/>
            <w:shd w:val="clear" w:color="auto" w:fill="FFFFFF"/>
            <w:vAlign w:val="bottom"/>
          </w:tcPr>
          <w:p w14:paraId="4AADD04F" w14:textId="77777777" w:rsidR="00B834A2" w:rsidRPr="00871A31" w:rsidRDefault="00B834A2" w:rsidP="008F20E6">
            <w:pPr>
              <w:spacing w:after="120"/>
              <w:jc w:val="center"/>
              <w:rPr>
                <w:sz w:val="20"/>
                <w:szCs w:val="20"/>
              </w:rPr>
            </w:pPr>
            <w:r w:rsidRPr="00871A31">
              <w:rPr>
                <w:sz w:val="20"/>
                <w:szCs w:val="20"/>
              </w:rPr>
              <w:t>3,3</w:t>
            </w:r>
          </w:p>
        </w:tc>
      </w:tr>
      <w:tr w:rsidR="00B834A2" w:rsidRPr="00871A31" w14:paraId="7EA49597" w14:textId="77777777" w:rsidTr="00871A31">
        <w:trPr>
          <w:jc w:val="center"/>
        </w:trPr>
        <w:tc>
          <w:tcPr>
            <w:tcW w:w="4895" w:type="dxa"/>
            <w:tcBorders>
              <w:bottom w:val="single" w:sz="4" w:space="0" w:color="auto"/>
            </w:tcBorders>
            <w:shd w:val="clear" w:color="auto" w:fill="FFFFFF"/>
            <w:vAlign w:val="center"/>
          </w:tcPr>
          <w:p w14:paraId="42A93B26" w14:textId="77777777" w:rsidR="00B834A2" w:rsidRPr="00871A31" w:rsidRDefault="00B834A2" w:rsidP="00871A31">
            <w:pPr>
              <w:spacing w:after="120"/>
              <w:jc w:val="both"/>
              <w:rPr>
                <w:sz w:val="20"/>
                <w:szCs w:val="20"/>
              </w:rPr>
            </w:pPr>
            <w:r w:rsidRPr="00871A31">
              <w:rPr>
                <w:sz w:val="20"/>
                <w:szCs w:val="20"/>
              </w:rPr>
              <w:t>Մասուրի պտուղներ</w:t>
            </w:r>
          </w:p>
        </w:tc>
        <w:tc>
          <w:tcPr>
            <w:tcW w:w="1776" w:type="dxa"/>
            <w:tcBorders>
              <w:bottom w:val="single" w:sz="4" w:space="0" w:color="auto"/>
            </w:tcBorders>
            <w:shd w:val="clear" w:color="auto" w:fill="FFFFFF"/>
            <w:vAlign w:val="center"/>
          </w:tcPr>
          <w:p w14:paraId="714EFF49" w14:textId="77777777" w:rsidR="00B834A2" w:rsidRPr="00871A31" w:rsidRDefault="00B834A2" w:rsidP="008F20E6">
            <w:pPr>
              <w:spacing w:after="120"/>
              <w:jc w:val="center"/>
              <w:rPr>
                <w:sz w:val="20"/>
                <w:szCs w:val="20"/>
              </w:rPr>
            </w:pPr>
            <w:r w:rsidRPr="00871A31">
              <w:rPr>
                <w:sz w:val="20"/>
                <w:szCs w:val="20"/>
              </w:rPr>
              <w:t>1,1</w:t>
            </w:r>
          </w:p>
        </w:tc>
      </w:tr>
    </w:tbl>
    <w:p w14:paraId="0B0BCEA6" w14:textId="77777777" w:rsidR="00B834A2" w:rsidRPr="00B834A2" w:rsidRDefault="00B834A2" w:rsidP="00B834A2">
      <w:pPr>
        <w:spacing w:after="160" w:line="360" w:lineRule="auto"/>
        <w:jc w:val="both"/>
      </w:pPr>
    </w:p>
    <w:p w14:paraId="5F037578" w14:textId="77777777" w:rsidR="00B834A2" w:rsidRPr="00B834A2" w:rsidRDefault="00B834A2" w:rsidP="00871A31">
      <w:pPr>
        <w:spacing w:after="160" w:line="360" w:lineRule="auto"/>
        <w:ind w:firstLine="567"/>
        <w:jc w:val="both"/>
      </w:pPr>
      <w:r w:rsidRPr="00B834A2">
        <w:t>Առանձին մորֆոլոգիական խմբերի դեղաբուսական հումքի համար ջրակլանման գործակցի բացակայության դեպքում կիրառում են հետ</w:t>
      </w:r>
      <w:r>
        <w:t>եւ</w:t>
      </w:r>
      <w:r w:rsidRPr="00B834A2">
        <w:t>յալ պայմանական արժեքները.</w:t>
      </w:r>
    </w:p>
    <w:p w14:paraId="22BE5B28"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B834A2">
        <w:t xml:space="preserve">արմատների </w:t>
      </w:r>
      <w:r>
        <w:t>եւ</w:t>
      </w:r>
      <w:r w:rsidRPr="00B834A2">
        <w:t xml:space="preserve"> կոճղարմատների համար՝ 1,5 մլ/գ,</w:t>
      </w:r>
    </w:p>
    <w:p w14:paraId="7BBBC9D8"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B834A2">
        <w:t>կեղ</w:t>
      </w:r>
      <w:r>
        <w:t>եւ</w:t>
      </w:r>
      <w:r w:rsidRPr="00B834A2">
        <w:t xml:space="preserve">ի, բողբոջների, խոտի </w:t>
      </w:r>
      <w:r>
        <w:t>եւ</w:t>
      </w:r>
      <w:r w:rsidRPr="00B834A2">
        <w:t xml:space="preserve"> ծաղիկների համար՝ 2,0 մլ/գ,</w:t>
      </w:r>
    </w:p>
    <w:p w14:paraId="6E3B6C23" w14:textId="77777777" w:rsidR="00B834A2" w:rsidRPr="00B834A2" w:rsidRDefault="00B834A2" w:rsidP="00871A31">
      <w:pPr>
        <w:tabs>
          <w:tab w:val="left" w:pos="1134"/>
        </w:tabs>
        <w:spacing w:after="160" w:line="360" w:lineRule="auto"/>
        <w:ind w:firstLine="567"/>
        <w:jc w:val="both"/>
      </w:pPr>
      <w:r w:rsidRPr="00B834A2">
        <w:t>-</w:t>
      </w:r>
      <w:r w:rsidR="00871A31" w:rsidRPr="00097504">
        <w:tab/>
      </w:r>
      <w:r w:rsidRPr="00B834A2">
        <w:t>սերմերի համար՝ 3,0 մլ/գ։</w:t>
      </w:r>
    </w:p>
    <w:p w14:paraId="78B0608A" w14:textId="77777777" w:rsidR="00B834A2" w:rsidRPr="00B834A2" w:rsidRDefault="00B834A2" w:rsidP="00871A31">
      <w:pPr>
        <w:spacing w:after="160" w:line="360" w:lineRule="auto"/>
        <w:ind w:firstLine="567"/>
        <w:jc w:val="both"/>
      </w:pPr>
      <w:r w:rsidRPr="00B834A2">
        <w:t>Ջրային հանուկի ստացման համար անհրաժեշտ ջրի ծավալը (V</w:t>
      </w:r>
      <w:r w:rsidRPr="00B834A2">
        <w:rPr>
          <w:vertAlign w:val="subscript"/>
        </w:rPr>
        <w:t>ջկգ</w:t>
      </w:r>
      <w:r w:rsidRPr="00B834A2">
        <w:t>), հաշվի առնելով ջրակլանման գործակիցը (Ջ</w:t>
      </w:r>
      <w:r w:rsidRPr="00B834A2">
        <w:rPr>
          <w:vertAlign w:val="subscript"/>
        </w:rPr>
        <w:t>կգ</w:t>
      </w:r>
      <w:r w:rsidRPr="00B834A2">
        <w:t>), հաշվարկում են հետ</w:t>
      </w:r>
      <w:r>
        <w:t>եւ</w:t>
      </w:r>
      <w:r w:rsidRPr="00B834A2">
        <w:t>յալ բանաձ</w:t>
      </w:r>
      <w:r>
        <w:t>եւ</w:t>
      </w:r>
      <w:r w:rsidRPr="00B834A2">
        <w:t>ով.</w:t>
      </w:r>
    </w:p>
    <w:p w14:paraId="217488A5" w14:textId="77777777" w:rsidR="00B834A2" w:rsidRPr="008F20E6" w:rsidRDefault="00B834A2" w:rsidP="00871A31">
      <w:pPr>
        <w:spacing w:after="160" w:line="360" w:lineRule="auto"/>
        <w:jc w:val="center"/>
        <w:rPr>
          <w:i/>
        </w:rPr>
      </w:pPr>
      <w:r w:rsidRPr="008F20E6">
        <w:rPr>
          <w:i/>
        </w:rPr>
        <w:t>Vջկգ = V + m∙Գ</w:t>
      </w:r>
      <w:r w:rsidRPr="008F20E6">
        <w:rPr>
          <w:i/>
          <w:vertAlign w:val="subscript"/>
        </w:rPr>
        <w:t>ջկ</w:t>
      </w:r>
      <w:r w:rsidRPr="008F20E6">
        <w:rPr>
          <w:i/>
        </w:rPr>
        <w:t>,</w:t>
      </w:r>
    </w:p>
    <w:p w14:paraId="0EAAD4D2" w14:textId="77777777" w:rsidR="00B834A2" w:rsidRPr="00B834A2" w:rsidRDefault="00B834A2" w:rsidP="00871A31">
      <w:pPr>
        <w:spacing w:after="160" w:line="360" w:lineRule="auto"/>
        <w:ind w:firstLine="567"/>
        <w:jc w:val="both"/>
      </w:pPr>
      <w:r w:rsidRPr="00B834A2">
        <w:t xml:space="preserve">որտեղ՝ </w:t>
      </w:r>
    </w:p>
    <w:p w14:paraId="4AB33C94" w14:textId="77777777" w:rsidR="00B834A2" w:rsidRPr="00B834A2" w:rsidRDefault="00B834A2" w:rsidP="00871A31">
      <w:pPr>
        <w:spacing w:after="160" w:line="360" w:lineRule="auto"/>
        <w:ind w:firstLine="567"/>
        <w:jc w:val="both"/>
      </w:pPr>
      <w:r w:rsidRPr="008F20E6">
        <w:rPr>
          <w:i/>
        </w:rPr>
        <w:t>V</w:t>
      </w:r>
      <w:r w:rsidRPr="00B834A2">
        <w:t>-ն ջրային հանուկի պահանջվող ծավալն է՝ միլիլիտրերով.</w:t>
      </w:r>
    </w:p>
    <w:p w14:paraId="5927CDC2" w14:textId="77777777" w:rsidR="00B834A2" w:rsidRPr="00B834A2" w:rsidRDefault="00B834A2" w:rsidP="00871A31">
      <w:pPr>
        <w:spacing w:after="160" w:line="360" w:lineRule="auto"/>
        <w:ind w:firstLine="567"/>
        <w:jc w:val="both"/>
      </w:pPr>
      <w:r w:rsidRPr="008F20E6">
        <w:rPr>
          <w:i/>
        </w:rPr>
        <w:t>m</w:t>
      </w:r>
      <w:r w:rsidRPr="00B834A2">
        <w:t>-ը դեղաբուսական հումքի՝ ջրային հանուկի ստացման համար անհրաժեշտ զանգվածն է՝ գրամներով.</w:t>
      </w:r>
    </w:p>
    <w:p w14:paraId="670D7D11" w14:textId="77777777" w:rsidR="00B834A2" w:rsidRPr="00B834A2" w:rsidRDefault="00B834A2" w:rsidP="00871A31">
      <w:pPr>
        <w:spacing w:after="160" w:line="360" w:lineRule="auto"/>
        <w:ind w:firstLine="567"/>
        <w:jc w:val="both"/>
      </w:pPr>
      <w:r w:rsidRPr="008F20E6">
        <w:rPr>
          <w:i/>
        </w:rPr>
        <w:t>Ջ</w:t>
      </w:r>
      <w:r w:rsidRPr="008F20E6">
        <w:rPr>
          <w:i/>
          <w:vertAlign w:val="subscript"/>
        </w:rPr>
        <w:t>կգ</w:t>
      </w:r>
      <w:r w:rsidRPr="00B834A2">
        <w:t>-ը դեղաբուսական հումքի ջրակլանման գործակիցն է:</w:t>
      </w:r>
    </w:p>
    <w:p w14:paraId="0B83DD1B" w14:textId="77777777" w:rsidR="00B834A2" w:rsidRPr="00B834A2" w:rsidRDefault="00B834A2" w:rsidP="00B834A2">
      <w:pPr>
        <w:spacing w:after="160" w:line="360" w:lineRule="auto"/>
        <w:jc w:val="both"/>
      </w:pPr>
    </w:p>
    <w:p w14:paraId="5CC605CF" w14:textId="77777777" w:rsidR="00B834A2" w:rsidRPr="006B7DC5" w:rsidRDefault="00B834A2" w:rsidP="00871A31">
      <w:pPr>
        <w:spacing w:after="160" w:line="360" w:lineRule="auto"/>
        <w:ind w:firstLine="567"/>
        <w:jc w:val="both"/>
        <w:rPr>
          <w:b/>
        </w:rPr>
      </w:pPr>
      <w:r w:rsidRPr="00B834A2">
        <w:rPr>
          <w:b/>
        </w:rPr>
        <w:lastRenderedPageBreak/>
        <w:t>ԾԱԽՍԱՅԻՆ ԳՈՐԾԱԿԻՑԸ</w:t>
      </w:r>
    </w:p>
    <w:p w14:paraId="33D9CE76" w14:textId="77777777" w:rsidR="00B834A2" w:rsidRPr="00B834A2" w:rsidRDefault="00B834A2" w:rsidP="00871A31">
      <w:pPr>
        <w:spacing w:after="160" w:line="360" w:lineRule="auto"/>
        <w:ind w:firstLine="567"/>
        <w:jc w:val="both"/>
      </w:pPr>
      <w:r w:rsidRPr="00B834A2">
        <w:t>Լորձ պարունակող դեղաբուսական հումքից, մասնավորապես՝ տուտղի արմատներից ջրային հանուկներ ստանալու դեպքում կիրառում են ծախսային գործակիցը (</w:t>
      </w:r>
      <w:r w:rsidRPr="00B834A2">
        <w:rPr>
          <w:i/>
        </w:rPr>
        <w:t>Գ</w:t>
      </w:r>
      <w:r w:rsidRPr="00B834A2">
        <w:rPr>
          <w:i/>
          <w:vertAlign w:val="subscript"/>
        </w:rPr>
        <w:t>ծ</w:t>
      </w:r>
      <w:r w:rsidRPr="00B834A2">
        <w:t xml:space="preserve">): Ծախսային գործակիցը ցույց է տալիս, թե քանի անգամ է հարկավոր ավելացնել հումքի զանգվածը </w:t>
      </w:r>
      <w:r>
        <w:t>եւ</w:t>
      </w:r>
      <w:r w:rsidRPr="00B834A2">
        <w:t xml:space="preserve"> Р ջրի ծավալը՝ ջրային հանուկի պահանջվող ծավալը (մլ) ստանալու համար:</w:t>
      </w:r>
    </w:p>
    <w:p w14:paraId="45D24CCC" w14:textId="77777777" w:rsidR="00B834A2" w:rsidRPr="00B834A2" w:rsidRDefault="00B834A2" w:rsidP="00871A31">
      <w:pPr>
        <w:spacing w:after="160" w:line="360" w:lineRule="auto"/>
        <w:ind w:firstLine="567"/>
        <w:jc w:val="both"/>
      </w:pPr>
      <w:r w:rsidRPr="00B834A2">
        <w:t xml:space="preserve">Տուտղի արմատներից ջրային հանուկներ ստանալու համար ծախսային գործակիցները բուսական հումքի </w:t>
      </w:r>
      <w:r>
        <w:t>եւ</w:t>
      </w:r>
      <w:r w:rsidRPr="00B834A2">
        <w:t xml:space="preserve"> Р ջրի տարբեր հարաբերակցությունների դեպքում բերված են 2.1.8.18-2 աղյուսակում:</w:t>
      </w:r>
    </w:p>
    <w:p w14:paraId="2FD91656" w14:textId="77777777" w:rsidR="00B834A2" w:rsidRPr="00B834A2" w:rsidRDefault="00B834A2" w:rsidP="00871A31">
      <w:pPr>
        <w:spacing w:after="160" w:line="360" w:lineRule="auto"/>
        <w:ind w:firstLine="567"/>
        <w:jc w:val="both"/>
      </w:pPr>
      <w:r w:rsidRPr="00B834A2">
        <w:t>Տուտղի արմատներից 5 % (1:20) կոնցենտրացիայով ջրային հանուկի համար ծախսային գործակիցը (Գ</w:t>
      </w:r>
      <w:r w:rsidRPr="00B834A2">
        <w:rPr>
          <w:vertAlign w:val="subscript"/>
        </w:rPr>
        <w:t>ծ</w:t>
      </w:r>
      <w:r w:rsidRPr="00B834A2">
        <w:t>) հաշվարկում են հետ</w:t>
      </w:r>
      <w:r>
        <w:t>եւ</w:t>
      </w:r>
      <w:r w:rsidRPr="00B834A2">
        <w:t>յալ բանաձ</w:t>
      </w:r>
      <w:r>
        <w:t>եւ</w:t>
      </w:r>
      <w:r w:rsidRPr="00B834A2">
        <w:t>ով.</w:t>
      </w:r>
    </w:p>
    <w:p w14:paraId="363AAE1F" w14:textId="77777777" w:rsidR="00B834A2" w:rsidRPr="00B834A2" w:rsidRDefault="00B834A2" w:rsidP="00B834A2">
      <w:pPr>
        <w:spacing w:after="160" w:line="360" w:lineRule="auto"/>
        <w:jc w:val="both"/>
        <w:rPr>
          <w:i/>
        </w:rPr>
      </w:pPr>
      <m:oMathPara>
        <m:oMath>
          <m:r>
            <m:rPr>
              <m:sty m:val="p"/>
            </m:rPr>
            <w:rPr>
              <w:rFonts w:ascii="Cambria Math" w:hAnsi="Cambria Math"/>
            </w:rPr>
            <m:t>Գ</m:t>
          </m:r>
          <m:r>
            <m:rPr>
              <m:sty m:val="p"/>
            </m:rPr>
            <w:rPr>
              <w:rFonts w:ascii="Cambria Math" w:hAnsi="Cambria Math"/>
              <w:vertAlign w:val="subscript"/>
            </w:rPr>
            <m:t>ծ</m:t>
          </m:r>
          <m:r>
            <m:rPr>
              <m:sty m:val="p"/>
            </m:rPr>
            <w:rPr>
              <w:rFonts w:ascii="Cambria Math" w:hAnsi="Cambria Math"/>
            </w:rPr>
            <m:t>=</m:t>
          </m:r>
          <m:f>
            <m:fPr>
              <m:ctrlPr>
                <w:rPr>
                  <w:rFonts w:ascii="Cambria Math" w:hAnsi="Cambria Math"/>
                </w:rPr>
              </m:ctrlPr>
            </m:fPr>
            <m:num>
              <m:r>
                <m:rPr>
                  <m:sty m:val="p"/>
                </m:rPr>
                <w:rPr>
                  <w:rFonts w:ascii="Cambria Math" w:hAnsi="Cambria Math"/>
                </w:rPr>
                <m:t>100</m:t>
              </m:r>
            </m:num>
            <m:den>
              <m:r>
                <m:rPr>
                  <m:sty m:val="p"/>
                </m:rPr>
                <w:rPr>
                  <w:rFonts w:ascii="Cambria Math" w:hAnsi="Cambria Math"/>
                </w:rPr>
                <m:t>100-(</m:t>
              </m:r>
              <m:r>
                <w:rPr>
                  <w:rFonts w:ascii="Cambria Math" w:hAnsi="Cambria Math"/>
                </w:rPr>
                <m:t>m</m:t>
              </m:r>
              <m:r>
                <m:rPr>
                  <m:sty m:val="p"/>
                </m:rPr>
                <w:rPr>
                  <w:rFonts w:ascii="Cambria Math" w:hAnsi="Cambria Math"/>
                </w:rPr>
                <m:t>∙4,6)</m:t>
              </m:r>
            </m:den>
          </m:f>
          <m:r>
            <m:rPr>
              <m:sty m:val="p"/>
            </m:rPr>
            <w:rPr>
              <w:rFonts w:ascii="Cambria Math" w:hAnsi="Cambria Math"/>
            </w:rPr>
            <m:t>,</m:t>
          </m:r>
        </m:oMath>
      </m:oMathPara>
    </w:p>
    <w:p w14:paraId="04369CAE" w14:textId="77777777" w:rsidR="00B834A2" w:rsidRPr="00B834A2" w:rsidRDefault="00B834A2" w:rsidP="00871A31">
      <w:pPr>
        <w:spacing w:after="160" w:line="360" w:lineRule="auto"/>
        <w:ind w:firstLine="567"/>
        <w:jc w:val="both"/>
      </w:pPr>
      <w:r w:rsidRPr="00B834A2">
        <w:t xml:space="preserve">Աղյուսակ 2.1.8.18-2: Տուտղի արմատների ջրային հանուկներ ստանալու համար ծախսային գործակիցները՝ հումքի </w:t>
      </w:r>
      <w:r>
        <w:t>եւ</w:t>
      </w:r>
      <w:r w:rsidRPr="00B834A2">
        <w:t xml:space="preserve"> Р ջրի տարբեր հարաբերակցությունների դեպքում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3051"/>
      </w:tblGrid>
      <w:tr w:rsidR="00B834A2" w:rsidRPr="00871A31" w14:paraId="71FAF301" w14:textId="77777777" w:rsidTr="00871A31">
        <w:trPr>
          <w:jc w:val="center"/>
        </w:trPr>
        <w:tc>
          <w:tcPr>
            <w:tcW w:w="2486" w:type="dxa"/>
            <w:tcBorders>
              <w:top w:val="single" w:sz="4" w:space="0" w:color="auto"/>
            </w:tcBorders>
            <w:shd w:val="clear" w:color="auto" w:fill="FFFFFF"/>
            <w:vAlign w:val="bottom"/>
          </w:tcPr>
          <w:p w14:paraId="3E256247" w14:textId="77777777" w:rsidR="00B834A2" w:rsidRPr="00871A31" w:rsidRDefault="00B834A2" w:rsidP="00871A31">
            <w:pPr>
              <w:spacing w:after="120"/>
              <w:jc w:val="center"/>
              <w:rPr>
                <w:sz w:val="20"/>
              </w:rPr>
            </w:pPr>
            <w:r w:rsidRPr="00871A31">
              <w:rPr>
                <w:sz w:val="20"/>
              </w:rPr>
              <w:t>Հումք / Р ջուր հարաբերակցությունը</w:t>
            </w:r>
          </w:p>
        </w:tc>
        <w:tc>
          <w:tcPr>
            <w:tcW w:w="3051" w:type="dxa"/>
            <w:tcBorders>
              <w:top w:val="single" w:sz="4" w:space="0" w:color="auto"/>
            </w:tcBorders>
            <w:shd w:val="clear" w:color="auto" w:fill="FFFFFF"/>
            <w:vAlign w:val="bottom"/>
          </w:tcPr>
          <w:p w14:paraId="3B3817EF" w14:textId="77777777" w:rsidR="00B834A2" w:rsidRPr="00871A31" w:rsidRDefault="00B834A2" w:rsidP="00871A31">
            <w:pPr>
              <w:spacing w:after="120"/>
              <w:jc w:val="center"/>
              <w:rPr>
                <w:sz w:val="20"/>
              </w:rPr>
            </w:pPr>
            <w:r w:rsidRPr="00871A31">
              <w:rPr>
                <w:sz w:val="20"/>
              </w:rPr>
              <w:t>Տուտղի արմատների ծախսային գործակիցը, Գ</w:t>
            </w:r>
            <w:r w:rsidRPr="00871A31">
              <w:rPr>
                <w:sz w:val="20"/>
                <w:vertAlign w:val="subscript"/>
              </w:rPr>
              <w:t>ծ</w:t>
            </w:r>
          </w:p>
        </w:tc>
      </w:tr>
      <w:tr w:rsidR="00B834A2" w:rsidRPr="00871A31" w14:paraId="1A68054E" w14:textId="77777777" w:rsidTr="00871A31">
        <w:trPr>
          <w:jc w:val="center"/>
        </w:trPr>
        <w:tc>
          <w:tcPr>
            <w:tcW w:w="2486" w:type="dxa"/>
            <w:tcBorders>
              <w:top w:val="single" w:sz="4" w:space="0" w:color="auto"/>
            </w:tcBorders>
            <w:shd w:val="clear" w:color="auto" w:fill="FFFFFF"/>
            <w:vAlign w:val="center"/>
          </w:tcPr>
          <w:p w14:paraId="43495CA2" w14:textId="77777777" w:rsidR="00B834A2" w:rsidRPr="00871A31" w:rsidRDefault="00B834A2" w:rsidP="00871A31">
            <w:pPr>
              <w:spacing w:after="120"/>
              <w:jc w:val="center"/>
              <w:rPr>
                <w:sz w:val="20"/>
              </w:rPr>
            </w:pPr>
            <w:r w:rsidRPr="00871A31">
              <w:rPr>
                <w:sz w:val="20"/>
              </w:rPr>
              <w:t>1:100</w:t>
            </w:r>
          </w:p>
        </w:tc>
        <w:tc>
          <w:tcPr>
            <w:tcW w:w="3051" w:type="dxa"/>
            <w:tcBorders>
              <w:top w:val="single" w:sz="4" w:space="0" w:color="auto"/>
            </w:tcBorders>
            <w:shd w:val="clear" w:color="auto" w:fill="FFFFFF"/>
            <w:vAlign w:val="center"/>
          </w:tcPr>
          <w:p w14:paraId="707382A6" w14:textId="77777777" w:rsidR="00B834A2" w:rsidRPr="00871A31" w:rsidRDefault="00B834A2" w:rsidP="00871A31">
            <w:pPr>
              <w:spacing w:after="120"/>
              <w:jc w:val="center"/>
              <w:rPr>
                <w:sz w:val="20"/>
              </w:rPr>
            </w:pPr>
            <w:r w:rsidRPr="00871A31">
              <w:rPr>
                <w:sz w:val="20"/>
              </w:rPr>
              <w:t>1,05</w:t>
            </w:r>
          </w:p>
        </w:tc>
      </w:tr>
      <w:tr w:rsidR="00B834A2" w:rsidRPr="00871A31" w14:paraId="7AB4A6C1" w14:textId="77777777" w:rsidTr="00871A31">
        <w:trPr>
          <w:jc w:val="center"/>
        </w:trPr>
        <w:tc>
          <w:tcPr>
            <w:tcW w:w="2486" w:type="dxa"/>
            <w:shd w:val="clear" w:color="auto" w:fill="FFFFFF"/>
            <w:vAlign w:val="bottom"/>
          </w:tcPr>
          <w:p w14:paraId="23A04380" w14:textId="77777777" w:rsidR="00B834A2" w:rsidRPr="00871A31" w:rsidRDefault="00B834A2" w:rsidP="00871A31">
            <w:pPr>
              <w:spacing w:after="120"/>
              <w:jc w:val="center"/>
              <w:rPr>
                <w:sz w:val="20"/>
              </w:rPr>
            </w:pPr>
            <w:r w:rsidRPr="00871A31">
              <w:rPr>
                <w:sz w:val="20"/>
              </w:rPr>
              <w:t>1:50</w:t>
            </w:r>
          </w:p>
        </w:tc>
        <w:tc>
          <w:tcPr>
            <w:tcW w:w="3051" w:type="dxa"/>
            <w:shd w:val="clear" w:color="auto" w:fill="FFFFFF"/>
            <w:vAlign w:val="bottom"/>
          </w:tcPr>
          <w:p w14:paraId="564A47E3" w14:textId="77777777" w:rsidR="00B834A2" w:rsidRPr="00871A31" w:rsidRDefault="00B834A2" w:rsidP="00871A31">
            <w:pPr>
              <w:spacing w:after="120"/>
              <w:jc w:val="center"/>
              <w:rPr>
                <w:sz w:val="20"/>
              </w:rPr>
            </w:pPr>
            <w:r w:rsidRPr="00871A31">
              <w:rPr>
                <w:sz w:val="20"/>
              </w:rPr>
              <w:t>1,10</w:t>
            </w:r>
          </w:p>
        </w:tc>
      </w:tr>
      <w:tr w:rsidR="00B834A2" w:rsidRPr="00871A31" w14:paraId="2320D34E" w14:textId="77777777" w:rsidTr="00871A31">
        <w:trPr>
          <w:jc w:val="center"/>
        </w:trPr>
        <w:tc>
          <w:tcPr>
            <w:tcW w:w="2486" w:type="dxa"/>
            <w:shd w:val="clear" w:color="auto" w:fill="FFFFFF"/>
            <w:vAlign w:val="bottom"/>
          </w:tcPr>
          <w:p w14:paraId="7F6E2B67" w14:textId="77777777" w:rsidR="00B834A2" w:rsidRPr="00871A31" w:rsidRDefault="00B834A2" w:rsidP="00871A31">
            <w:pPr>
              <w:spacing w:after="120"/>
              <w:jc w:val="center"/>
              <w:rPr>
                <w:sz w:val="20"/>
              </w:rPr>
            </w:pPr>
            <w:r w:rsidRPr="00871A31">
              <w:rPr>
                <w:sz w:val="20"/>
              </w:rPr>
              <w:t>1:30</w:t>
            </w:r>
          </w:p>
        </w:tc>
        <w:tc>
          <w:tcPr>
            <w:tcW w:w="3051" w:type="dxa"/>
            <w:shd w:val="clear" w:color="auto" w:fill="FFFFFF"/>
            <w:vAlign w:val="bottom"/>
          </w:tcPr>
          <w:p w14:paraId="408400D5" w14:textId="77777777" w:rsidR="00B834A2" w:rsidRPr="00871A31" w:rsidRDefault="00B834A2" w:rsidP="00871A31">
            <w:pPr>
              <w:spacing w:after="120"/>
              <w:jc w:val="center"/>
              <w:rPr>
                <w:sz w:val="20"/>
              </w:rPr>
            </w:pPr>
            <w:r w:rsidRPr="00871A31">
              <w:rPr>
                <w:sz w:val="20"/>
              </w:rPr>
              <w:t>1,15</w:t>
            </w:r>
          </w:p>
        </w:tc>
      </w:tr>
      <w:tr w:rsidR="00B834A2" w:rsidRPr="00871A31" w14:paraId="3917BBD1" w14:textId="77777777" w:rsidTr="00871A31">
        <w:trPr>
          <w:jc w:val="center"/>
        </w:trPr>
        <w:tc>
          <w:tcPr>
            <w:tcW w:w="2486" w:type="dxa"/>
            <w:shd w:val="clear" w:color="auto" w:fill="FFFFFF"/>
            <w:vAlign w:val="bottom"/>
          </w:tcPr>
          <w:p w14:paraId="3D572EB4" w14:textId="77777777" w:rsidR="00B834A2" w:rsidRPr="00871A31" w:rsidRDefault="00B834A2" w:rsidP="00871A31">
            <w:pPr>
              <w:spacing w:after="120"/>
              <w:jc w:val="center"/>
              <w:rPr>
                <w:sz w:val="20"/>
              </w:rPr>
            </w:pPr>
            <w:r w:rsidRPr="00871A31">
              <w:rPr>
                <w:sz w:val="20"/>
              </w:rPr>
              <w:t>1:25</w:t>
            </w:r>
          </w:p>
        </w:tc>
        <w:tc>
          <w:tcPr>
            <w:tcW w:w="3051" w:type="dxa"/>
            <w:shd w:val="clear" w:color="auto" w:fill="FFFFFF"/>
            <w:vAlign w:val="bottom"/>
          </w:tcPr>
          <w:p w14:paraId="54A78149" w14:textId="77777777" w:rsidR="00B834A2" w:rsidRPr="00871A31" w:rsidRDefault="00B834A2" w:rsidP="00871A31">
            <w:pPr>
              <w:spacing w:after="120"/>
              <w:jc w:val="center"/>
              <w:rPr>
                <w:sz w:val="20"/>
              </w:rPr>
            </w:pPr>
            <w:r w:rsidRPr="00871A31">
              <w:rPr>
                <w:sz w:val="20"/>
              </w:rPr>
              <w:t>1,20</w:t>
            </w:r>
          </w:p>
        </w:tc>
      </w:tr>
      <w:tr w:rsidR="00B834A2" w:rsidRPr="00871A31" w14:paraId="3398E7C1" w14:textId="77777777" w:rsidTr="008F20E6">
        <w:trPr>
          <w:jc w:val="center"/>
        </w:trPr>
        <w:tc>
          <w:tcPr>
            <w:tcW w:w="2486" w:type="dxa"/>
            <w:tcBorders>
              <w:bottom w:val="single" w:sz="8" w:space="0" w:color="auto"/>
            </w:tcBorders>
            <w:shd w:val="clear" w:color="auto" w:fill="FFFFFF"/>
            <w:vAlign w:val="center"/>
          </w:tcPr>
          <w:p w14:paraId="5E8D02C9" w14:textId="77777777" w:rsidR="00B834A2" w:rsidRPr="00871A31" w:rsidRDefault="00B834A2" w:rsidP="00871A31">
            <w:pPr>
              <w:spacing w:after="120"/>
              <w:jc w:val="center"/>
              <w:rPr>
                <w:sz w:val="20"/>
              </w:rPr>
            </w:pPr>
            <w:r w:rsidRPr="00871A31">
              <w:rPr>
                <w:sz w:val="20"/>
              </w:rPr>
              <w:t>1:20</w:t>
            </w:r>
          </w:p>
        </w:tc>
        <w:tc>
          <w:tcPr>
            <w:tcW w:w="3051" w:type="dxa"/>
            <w:tcBorders>
              <w:bottom w:val="single" w:sz="8" w:space="0" w:color="auto"/>
            </w:tcBorders>
            <w:shd w:val="clear" w:color="auto" w:fill="FFFFFF"/>
            <w:vAlign w:val="center"/>
          </w:tcPr>
          <w:p w14:paraId="62B0CC42" w14:textId="77777777" w:rsidR="00B834A2" w:rsidRPr="00871A31" w:rsidRDefault="00B834A2" w:rsidP="00871A31">
            <w:pPr>
              <w:spacing w:after="120"/>
              <w:jc w:val="center"/>
              <w:rPr>
                <w:sz w:val="20"/>
              </w:rPr>
            </w:pPr>
            <w:r w:rsidRPr="00871A31">
              <w:rPr>
                <w:sz w:val="20"/>
              </w:rPr>
              <w:t>1,30</w:t>
            </w:r>
          </w:p>
        </w:tc>
      </w:tr>
    </w:tbl>
    <w:p w14:paraId="0BFFA08C" w14:textId="77777777" w:rsidR="008F5B6F" w:rsidRDefault="008F5B6F" w:rsidP="00B834A2">
      <w:pPr>
        <w:spacing w:after="160" w:line="360" w:lineRule="auto"/>
        <w:jc w:val="both"/>
      </w:pPr>
    </w:p>
    <w:p w14:paraId="68BECEA2" w14:textId="77777777" w:rsidR="008F5B6F" w:rsidRDefault="008F5B6F">
      <w:r>
        <w:br w:type="page"/>
      </w:r>
    </w:p>
    <w:p w14:paraId="7B0A0A65" w14:textId="77777777" w:rsidR="00B834A2" w:rsidRPr="00B834A2" w:rsidRDefault="00B834A2" w:rsidP="00871A31">
      <w:pPr>
        <w:spacing w:after="160" w:line="360" w:lineRule="auto"/>
        <w:ind w:firstLine="567"/>
        <w:jc w:val="both"/>
      </w:pPr>
      <w:r w:rsidRPr="00B834A2">
        <w:lastRenderedPageBreak/>
        <w:t xml:space="preserve">որտեղ՝ </w:t>
      </w:r>
    </w:p>
    <w:p w14:paraId="4B3DB3F6" w14:textId="77777777" w:rsidR="00B834A2" w:rsidRPr="00097504" w:rsidRDefault="00B834A2" w:rsidP="00871A31">
      <w:pPr>
        <w:spacing w:after="160" w:line="360" w:lineRule="auto"/>
        <w:ind w:firstLine="567"/>
        <w:jc w:val="both"/>
      </w:pPr>
      <w:r w:rsidRPr="009149C9">
        <w:rPr>
          <w:i/>
        </w:rPr>
        <w:t>m</w:t>
      </w:r>
      <w:r w:rsidRPr="00B834A2">
        <w:t>-ն անհրաժեշտ կոնցենտրացիայի 100 մլ ջրային հանուկ ստանալու համար անհրաժեշտ տուտղի արմատի զանգվածն է.</w:t>
      </w:r>
    </w:p>
    <w:p w14:paraId="192DB42B" w14:textId="77777777" w:rsidR="00B834A2" w:rsidRPr="00B834A2" w:rsidRDefault="00B834A2" w:rsidP="00871A31">
      <w:pPr>
        <w:spacing w:after="160" w:line="360" w:lineRule="auto"/>
        <w:ind w:firstLine="567"/>
        <w:jc w:val="both"/>
      </w:pPr>
      <w:r w:rsidRPr="00B834A2">
        <w:t>4,6-ը հաստատուն մեծություն է, որը ցույց է տալիս, որ տուտղի 1,0 գ-ը պահում է 4,6 մլ Р ջուր:</w:t>
      </w:r>
    </w:p>
    <w:p w14:paraId="09659A42" w14:textId="77777777" w:rsidR="00B834A2" w:rsidRPr="00B834A2" w:rsidRDefault="00B834A2" w:rsidP="00B834A2">
      <w:pPr>
        <w:spacing w:after="160" w:line="360" w:lineRule="auto"/>
        <w:jc w:val="both"/>
      </w:pPr>
    </w:p>
    <w:p w14:paraId="19DB9824" w14:textId="77777777" w:rsidR="00B834A2" w:rsidRPr="009217DE" w:rsidRDefault="00B834A2" w:rsidP="00871A31">
      <w:pPr>
        <w:spacing w:after="160" w:line="360" w:lineRule="auto"/>
        <w:jc w:val="right"/>
        <w:rPr>
          <w:b/>
          <w:sz w:val="20"/>
        </w:rPr>
      </w:pPr>
      <w:r w:rsidRPr="009149C9">
        <w:rPr>
          <w:b/>
          <w:sz w:val="20"/>
        </w:rPr>
        <w:t>201080019-2022</w:t>
      </w:r>
    </w:p>
    <w:p w14:paraId="18685F78" w14:textId="77777777" w:rsidR="009149C9" w:rsidRPr="009217DE" w:rsidRDefault="009149C9" w:rsidP="00871A31">
      <w:pPr>
        <w:spacing w:after="160" w:line="360" w:lineRule="auto"/>
        <w:jc w:val="right"/>
        <w:rPr>
          <w:b/>
          <w:sz w:val="20"/>
        </w:rPr>
      </w:pPr>
    </w:p>
    <w:p w14:paraId="77232F85" w14:textId="77777777" w:rsidR="00B834A2" w:rsidRPr="00B834A2" w:rsidRDefault="00B834A2" w:rsidP="00871A31">
      <w:pPr>
        <w:tabs>
          <w:tab w:val="left" w:pos="1701"/>
        </w:tabs>
        <w:spacing w:after="160" w:line="360" w:lineRule="auto"/>
        <w:ind w:firstLine="567"/>
        <w:jc w:val="both"/>
        <w:rPr>
          <w:b/>
        </w:rPr>
      </w:pPr>
      <w:r w:rsidRPr="00B834A2">
        <w:rPr>
          <w:b/>
        </w:rPr>
        <w:t>2.1.8.19.</w:t>
      </w:r>
      <w:r w:rsidR="00871A31" w:rsidRPr="00097504">
        <w:rPr>
          <w:b/>
        </w:rPr>
        <w:tab/>
      </w:r>
      <w:r w:rsidRPr="00B834A2">
        <w:rPr>
          <w:b/>
        </w:rPr>
        <w:t>Ճարպային յուղերի նույնականացումը՝ նրբաշերտ քրոմատագրման մեթոդով</w:t>
      </w:r>
    </w:p>
    <w:p w14:paraId="1BE2F29C" w14:textId="77777777" w:rsidR="00B834A2" w:rsidRPr="009149C9" w:rsidRDefault="00B834A2" w:rsidP="00871A31">
      <w:pPr>
        <w:spacing w:after="160" w:line="360" w:lineRule="auto"/>
        <w:ind w:firstLine="567"/>
        <w:jc w:val="both"/>
        <w:rPr>
          <w:i/>
        </w:rPr>
      </w:pPr>
      <w:r w:rsidRPr="00B834A2">
        <w:t xml:space="preserve">Փորձարկումներն անցկացնում են նրբաշերտ քրոմատագրման մեթոդով </w:t>
      </w:r>
      <w:r w:rsidRPr="009149C9">
        <w:rPr>
          <w:i/>
        </w:rPr>
        <w:t>(2.1.2.26):</w:t>
      </w:r>
    </w:p>
    <w:p w14:paraId="6C8216B9" w14:textId="77777777" w:rsidR="00B834A2" w:rsidRPr="00B834A2" w:rsidRDefault="00B834A2" w:rsidP="00871A31">
      <w:pPr>
        <w:spacing w:after="160" w:line="360" w:lineRule="auto"/>
        <w:ind w:firstLine="567"/>
        <w:jc w:val="both"/>
        <w:rPr>
          <w:b/>
        </w:rPr>
      </w:pPr>
    </w:p>
    <w:p w14:paraId="55AE9F0F" w14:textId="77777777" w:rsidR="00B834A2" w:rsidRPr="006B7DC5" w:rsidRDefault="00B834A2" w:rsidP="00871A31">
      <w:pPr>
        <w:spacing w:after="160" w:line="360" w:lineRule="auto"/>
        <w:ind w:firstLine="567"/>
        <w:jc w:val="both"/>
        <w:rPr>
          <w:b/>
        </w:rPr>
      </w:pPr>
      <w:r w:rsidRPr="00B834A2">
        <w:rPr>
          <w:b/>
        </w:rPr>
        <w:t>ՄԵԹՈԴԻԿԱ 1</w:t>
      </w:r>
    </w:p>
    <w:p w14:paraId="2718D300" w14:textId="77777777" w:rsidR="00B834A2" w:rsidRPr="00B834A2" w:rsidRDefault="00B834A2" w:rsidP="00871A31">
      <w:pPr>
        <w:spacing w:after="160" w:line="360" w:lineRule="auto"/>
        <w:ind w:firstLine="567"/>
        <w:jc w:val="both"/>
      </w:pPr>
      <w:r w:rsidRPr="0058052E">
        <w:rPr>
          <w:i/>
        </w:rPr>
        <w:t>Փորձարկվող լուծույթը</w:t>
      </w:r>
      <w:r w:rsidRPr="00B834A2">
        <w:t>։ Ճարպային յուղի մոտավորապես 20 մգ (1 կաթիլը) լուծում են 3 մլ Р մեթիլեն քլորիդի մեջ՝ մասնավոր դեղագրքային հոդվածում այլ ցուցումների բացակայության դեպքում:</w:t>
      </w:r>
    </w:p>
    <w:p w14:paraId="7E636496" w14:textId="77777777" w:rsidR="00B834A2" w:rsidRPr="00B834A2" w:rsidRDefault="00B834A2" w:rsidP="00871A31">
      <w:pPr>
        <w:spacing w:after="160" w:line="360" w:lineRule="auto"/>
        <w:ind w:firstLine="567"/>
        <w:jc w:val="both"/>
      </w:pPr>
      <w:r w:rsidRPr="00CF11B8">
        <w:rPr>
          <w:i/>
        </w:rPr>
        <w:t>Համեմատման լուծույթը</w:t>
      </w:r>
      <w:r w:rsidRPr="00B834A2">
        <w:t>։ Р եգիպտացորենի յուղի մոտավորապես 20 մգ (1</w:t>
      </w:r>
      <w:r w:rsidR="00133111" w:rsidRPr="00133111">
        <w:t> </w:t>
      </w:r>
      <w:r w:rsidRPr="00B834A2">
        <w:t>կաթիլը) լուծում են 3 մլ Р մեթիլեն քլորիդի մեջ:</w:t>
      </w:r>
    </w:p>
    <w:p w14:paraId="4616DA88" w14:textId="77777777" w:rsidR="00B834A2" w:rsidRPr="00B834A2" w:rsidRDefault="00B834A2" w:rsidP="00871A31">
      <w:pPr>
        <w:spacing w:after="160" w:line="360" w:lineRule="auto"/>
        <w:ind w:firstLine="567"/>
        <w:jc w:val="both"/>
        <w:rPr>
          <w:i/>
        </w:rPr>
      </w:pPr>
      <w:r w:rsidRPr="00B834A2">
        <w:rPr>
          <w:i/>
        </w:rPr>
        <w:t>Քրոմատագրման պայմանները՝</w:t>
      </w:r>
    </w:p>
    <w:p w14:paraId="75CA7FF9"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9149C9">
        <w:rPr>
          <w:i/>
        </w:rPr>
        <w:t>ՆՇՔ թիթեղը</w:t>
      </w:r>
      <w:r w:rsidRPr="00B834A2">
        <w:t>՝ Р oկտադեցիլ-սիլիլային սիլիկագելի շերտով [2-10 մկմ].</w:t>
      </w:r>
    </w:p>
    <w:p w14:paraId="749C7B39" w14:textId="77777777" w:rsidR="00B834A2" w:rsidRPr="009149C9" w:rsidRDefault="00B834A2" w:rsidP="00871A31">
      <w:pPr>
        <w:tabs>
          <w:tab w:val="left" w:pos="1134"/>
        </w:tabs>
        <w:spacing w:after="160" w:line="360" w:lineRule="auto"/>
        <w:ind w:firstLine="567"/>
        <w:jc w:val="both"/>
        <w:rPr>
          <w:i/>
        </w:rPr>
      </w:pPr>
      <w:r w:rsidRPr="00B834A2">
        <w:t>-</w:t>
      </w:r>
      <w:r w:rsidR="00871A31" w:rsidRPr="00871A31">
        <w:tab/>
      </w:r>
      <w:r w:rsidRPr="009149C9">
        <w:rPr>
          <w:i/>
        </w:rPr>
        <w:t>Ա շարժուն ֆազը՝ Р եթեր.</w:t>
      </w:r>
    </w:p>
    <w:p w14:paraId="32303F01" w14:textId="77777777" w:rsidR="00B834A2" w:rsidRPr="009149C9" w:rsidRDefault="00B834A2" w:rsidP="00871A31">
      <w:pPr>
        <w:tabs>
          <w:tab w:val="left" w:pos="1134"/>
        </w:tabs>
        <w:spacing w:after="160" w:line="360" w:lineRule="auto"/>
        <w:ind w:firstLine="567"/>
        <w:jc w:val="both"/>
        <w:rPr>
          <w:i/>
        </w:rPr>
      </w:pPr>
      <w:r w:rsidRPr="00B834A2">
        <w:t>-</w:t>
      </w:r>
      <w:r w:rsidR="00871A31" w:rsidRPr="00871A31">
        <w:tab/>
      </w:r>
      <w:r w:rsidRPr="009149C9">
        <w:rPr>
          <w:i/>
        </w:rPr>
        <w:t>Բ շարժուն ֆազը՝</w:t>
      </w:r>
      <w:r w:rsidRPr="00B834A2">
        <w:t xml:space="preserve"> </w:t>
      </w:r>
      <w:r w:rsidRPr="009149C9">
        <w:rPr>
          <w:i/>
        </w:rPr>
        <w:t>Р մեթիլենքլորիդ-Р սառցային քացախաթթու-Р ացետոն (20:40:50, ծավ./ծավ./ծավ.).</w:t>
      </w:r>
    </w:p>
    <w:p w14:paraId="7FEDE898" w14:textId="77777777" w:rsidR="00B834A2" w:rsidRPr="00B834A2" w:rsidRDefault="00B834A2" w:rsidP="00871A31">
      <w:pPr>
        <w:tabs>
          <w:tab w:val="left" w:pos="1134"/>
        </w:tabs>
        <w:spacing w:after="160" w:line="360" w:lineRule="auto"/>
        <w:ind w:firstLine="567"/>
        <w:jc w:val="both"/>
      </w:pPr>
      <w:r w:rsidRPr="00B834A2">
        <w:lastRenderedPageBreak/>
        <w:t>-</w:t>
      </w:r>
      <w:r w:rsidR="00871A31" w:rsidRPr="00871A31">
        <w:tab/>
      </w:r>
      <w:r w:rsidRPr="009149C9">
        <w:rPr>
          <w:i/>
        </w:rPr>
        <w:t>քսվող փորձանմուշի ծավալը՝</w:t>
      </w:r>
      <w:r w:rsidRPr="00B834A2">
        <w:t xml:space="preserve"> 1 մկլ.</w:t>
      </w:r>
    </w:p>
    <w:p w14:paraId="65010A40" w14:textId="77777777" w:rsidR="00B834A2" w:rsidRPr="00B834A2" w:rsidRDefault="00B834A2" w:rsidP="009149C9">
      <w:pPr>
        <w:tabs>
          <w:tab w:val="left" w:pos="1134"/>
        </w:tabs>
        <w:spacing w:after="160" w:line="360" w:lineRule="auto"/>
        <w:ind w:firstLine="567"/>
      </w:pPr>
      <w:r w:rsidRPr="00B834A2">
        <w:t>-</w:t>
      </w:r>
      <w:r w:rsidR="00871A31" w:rsidRPr="00871A31">
        <w:tab/>
      </w:r>
      <w:r w:rsidRPr="009149C9">
        <w:rPr>
          <w:i/>
        </w:rPr>
        <w:t>շարժուն ֆազի ճակատային գծի հոսքը</w:t>
      </w:r>
      <w:r w:rsidRPr="00B834A2">
        <w:t>՝ երկու անգամ, Ա շարժուն ֆազով, մեկնարկային գծից առնվազն 0,5 սմ, այնուհետ</w:t>
      </w:r>
      <w:r>
        <w:t>եւ</w:t>
      </w:r>
      <w:r w:rsidRPr="00B834A2">
        <w:t xml:space="preserve"> երկու անգամ, Բ շարժուն ֆազով, մեկնարկային գծից առնվազն 8 սմ.</w:t>
      </w:r>
    </w:p>
    <w:p w14:paraId="73F31CFA" w14:textId="77777777" w:rsidR="00B834A2" w:rsidRPr="00B834A2" w:rsidRDefault="00B834A2" w:rsidP="00871A31">
      <w:pPr>
        <w:tabs>
          <w:tab w:val="left" w:pos="1134"/>
        </w:tabs>
        <w:spacing w:after="160" w:line="360" w:lineRule="auto"/>
        <w:ind w:firstLine="567"/>
        <w:jc w:val="both"/>
      </w:pPr>
      <w:r w:rsidRPr="00B834A2">
        <w:t>-</w:t>
      </w:r>
      <w:r w:rsidR="00871A31" w:rsidRPr="00097504">
        <w:tab/>
      </w:r>
      <w:r w:rsidRPr="009149C9">
        <w:rPr>
          <w:i/>
        </w:rPr>
        <w:t>չորացումը՝</w:t>
      </w:r>
      <w:r w:rsidRPr="00B834A2">
        <w:t xml:space="preserve"> օդում.</w:t>
      </w:r>
    </w:p>
    <w:p w14:paraId="50AB99F5"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9149C9">
        <w:rPr>
          <w:i/>
        </w:rPr>
        <w:t>դետեկտումը՝</w:t>
      </w:r>
      <w:r w:rsidRPr="00B834A2">
        <w:t xml:space="preserve"> ցողում են </w:t>
      </w:r>
      <w:r w:rsidRPr="009149C9">
        <w:rPr>
          <w:i/>
        </w:rPr>
        <w:t>Р էթանոլի</w:t>
      </w:r>
      <w:r w:rsidR="009149C9">
        <w:rPr>
          <w:i/>
        </w:rPr>
        <w:t xml:space="preserve"> (96</w:t>
      </w:r>
      <w:r w:rsidRPr="009149C9">
        <w:rPr>
          <w:i/>
        </w:rPr>
        <w:t>%&gt;)</w:t>
      </w:r>
      <w:r w:rsidRPr="00B834A2">
        <w:t xml:space="preserve"> մեջ 100 գ/լ Р ֆոսֆորամոլիբդենային թթվի լուծույթով, մոտավորապես 3 րոպե տաքացնում են 120 °С ջերմաստիճանում </w:t>
      </w:r>
      <w:r>
        <w:t>եւ</w:t>
      </w:r>
      <w:r w:rsidRPr="00B834A2">
        <w:t xml:space="preserve"> դիտարկում են ցերեկային լույսի տակ:</w:t>
      </w:r>
    </w:p>
    <w:p w14:paraId="623E1EA6" w14:textId="77777777" w:rsidR="00B834A2" w:rsidRPr="00B834A2" w:rsidRDefault="00B834A2" w:rsidP="00871A31">
      <w:pPr>
        <w:spacing w:after="160" w:line="360" w:lineRule="auto"/>
        <w:ind w:firstLine="567"/>
        <w:jc w:val="both"/>
      </w:pPr>
      <w:r w:rsidRPr="00B834A2">
        <w:t>Ճարպային յուղերի նույնականացման տիպիկ քրոմատագիրը բերված է 2.1.8.19-1 նկարում:</w:t>
      </w:r>
    </w:p>
    <w:p w14:paraId="042AAD8F" w14:textId="77777777" w:rsidR="00B834A2" w:rsidRPr="00B834A2" w:rsidRDefault="00B834A2" w:rsidP="00B834A2">
      <w:pPr>
        <w:spacing w:after="160" w:line="360" w:lineRule="auto"/>
        <w:jc w:val="both"/>
      </w:pPr>
    </w:p>
    <w:p w14:paraId="745105F6" w14:textId="77777777" w:rsidR="00B834A2" w:rsidRPr="006B7DC5" w:rsidRDefault="00B834A2" w:rsidP="00871A31">
      <w:pPr>
        <w:spacing w:after="160" w:line="360" w:lineRule="auto"/>
        <w:ind w:firstLine="567"/>
        <w:jc w:val="both"/>
        <w:rPr>
          <w:b/>
        </w:rPr>
      </w:pPr>
      <w:r w:rsidRPr="00B834A2">
        <w:rPr>
          <w:b/>
        </w:rPr>
        <w:t>ՄԵԹՈԴԻԿԱ 2</w:t>
      </w:r>
    </w:p>
    <w:p w14:paraId="635EA55A" w14:textId="77777777" w:rsidR="00B834A2" w:rsidRPr="00B834A2" w:rsidRDefault="00B834A2" w:rsidP="00871A31">
      <w:pPr>
        <w:spacing w:after="160" w:line="360" w:lineRule="auto"/>
        <w:ind w:firstLine="567"/>
        <w:jc w:val="both"/>
      </w:pPr>
      <w:r w:rsidRPr="00B834A2">
        <w:t>Փորձարկվող լուծույթը։ Ճարպային յուղի մոտավորապես 20 մգ (1 կաթիլը) լուծում են 3 մլ Р մեթիլեն քլորիդի մեջ՝ մասնավոր դեղագրքային հոդվածում այլ ցուցումների բացակայության դեպքում:</w:t>
      </w:r>
    </w:p>
    <w:p w14:paraId="40FA589E" w14:textId="77777777" w:rsidR="00B834A2" w:rsidRPr="00B834A2" w:rsidRDefault="00B834A2" w:rsidP="00B834A2">
      <w:pPr>
        <w:spacing w:after="160" w:line="360" w:lineRule="auto"/>
        <w:jc w:val="both"/>
      </w:pPr>
      <w:r w:rsidRPr="00B834A2">
        <w:rPr>
          <w:noProof/>
          <w:lang w:val="en-US" w:eastAsia="en-US" w:bidi="ar-SA"/>
        </w:rPr>
        <w:drawing>
          <wp:inline distT="0" distB="0" distL="0" distR="0" wp14:anchorId="07F2B260" wp14:editId="04B1BC02">
            <wp:extent cx="5955665" cy="2172970"/>
            <wp:effectExtent l="19050" t="0" r="6985" b="0"/>
            <wp:docPr id="20" name="Picture 20" descr="D:\2 VERSION\14.07.115-0003-2023-B_for final formatting\02.2023\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2 VERSION\14.07.115-0003-2023-B_for final formatting\02.2023\media\image10.jpeg"/>
                    <pic:cNvPicPr>
                      <a:picLocks noChangeAspect="1" noChangeArrowheads="1"/>
                    </pic:cNvPicPr>
                  </pic:nvPicPr>
                  <pic:blipFill>
                    <a:blip r:embed="rId23" cstate="print"/>
                    <a:srcRect/>
                    <a:stretch>
                      <a:fillRect/>
                    </a:stretch>
                  </pic:blipFill>
                  <pic:spPr bwMode="auto">
                    <a:xfrm>
                      <a:off x="0" y="0"/>
                      <a:ext cx="5955665" cy="2172970"/>
                    </a:xfrm>
                    <a:prstGeom prst="rect">
                      <a:avLst/>
                    </a:prstGeom>
                    <a:noFill/>
                    <a:ln w="9525">
                      <a:noFill/>
                      <a:miter lim="800000"/>
                      <a:headEnd/>
                      <a:tailEnd/>
                    </a:ln>
                  </pic:spPr>
                </pic:pic>
              </a:graphicData>
            </a:graphic>
          </wp:inline>
        </w:drawing>
      </w:r>
    </w:p>
    <w:p w14:paraId="5F2686F4" w14:textId="77777777" w:rsidR="00B834A2" w:rsidRPr="00871A31" w:rsidRDefault="00B834A2" w:rsidP="00871A31">
      <w:pPr>
        <w:spacing w:after="160" w:line="360" w:lineRule="auto"/>
        <w:ind w:firstLine="567"/>
        <w:jc w:val="both"/>
        <w:rPr>
          <w:sz w:val="20"/>
        </w:rPr>
      </w:pPr>
      <w:r w:rsidRPr="00871A31">
        <w:rPr>
          <w:sz w:val="20"/>
        </w:rPr>
        <w:t>Նկար 2.1.8.19-1։ Ճարպային յուղերի նույնականացման քրոմատագիր (մեթոդիկա 1): 1՝ գետնընկույզի յուղ, 2՝ քնջութի յուղ, 3՝ եգիպտացորենի յուղ, 4՝ կանճրակի յուղ, 5՝ սոյայի յուղ, 6՝ կանճրակի յուղ (էրուկաթթու չպարունակող), 7՝ կտավատի յուղ, 8՝ ձիթապտղի յուղ, 9՝ արեւածաղկի յուղ, 10՝ նուշի յուղ, 11՝ ցորենի սաղմերի յուղ, 12՝ դեղատու գաղտրիկի յուղ, 13՝ էնոտերայի յուղ, 14՝ սաֆլորի յուղ (I տիպ), 15՝ սաֆլորի յուղ (II տիպ), 16՝ հիդրոգենացված գետնընկույզի յուղ</w:t>
      </w:r>
    </w:p>
    <w:p w14:paraId="64142B82" w14:textId="77777777" w:rsidR="00B834A2" w:rsidRPr="00B834A2" w:rsidRDefault="00B834A2" w:rsidP="00B834A2">
      <w:pPr>
        <w:spacing w:after="160" w:line="360" w:lineRule="auto"/>
        <w:jc w:val="both"/>
      </w:pPr>
      <w:r w:rsidRPr="00B834A2">
        <w:rPr>
          <w:noProof/>
          <w:lang w:val="en-US" w:eastAsia="en-US" w:bidi="ar-SA"/>
        </w:rPr>
        <w:lastRenderedPageBreak/>
        <w:drawing>
          <wp:inline distT="0" distB="0" distL="0" distR="0" wp14:anchorId="318655DF" wp14:editId="099907E2">
            <wp:extent cx="5955665" cy="2089785"/>
            <wp:effectExtent l="19050" t="0" r="6985" b="0"/>
            <wp:docPr id="3" name="Picture 21" descr="D:\2 VERSION\14.07.115-0003-2023-B_for final formatting\02.2023\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2 VERSION\14.07.115-0003-2023-B_for final formatting\02.2023\media\image11.jpeg"/>
                    <pic:cNvPicPr>
                      <a:picLocks noChangeAspect="1" noChangeArrowheads="1"/>
                    </pic:cNvPicPr>
                  </pic:nvPicPr>
                  <pic:blipFill>
                    <a:blip r:embed="rId24" cstate="print"/>
                    <a:srcRect/>
                    <a:stretch>
                      <a:fillRect/>
                    </a:stretch>
                  </pic:blipFill>
                  <pic:spPr bwMode="auto">
                    <a:xfrm>
                      <a:off x="0" y="0"/>
                      <a:ext cx="5955665" cy="2089785"/>
                    </a:xfrm>
                    <a:prstGeom prst="rect">
                      <a:avLst/>
                    </a:prstGeom>
                    <a:noFill/>
                    <a:ln w="9525">
                      <a:noFill/>
                      <a:miter lim="800000"/>
                      <a:headEnd/>
                      <a:tailEnd/>
                    </a:ln>
                  </pic:spPr>
                </pic:pic>
              </a:graphicData>
            </a:graphic>
          </wp:inline>
        </w:drawing>
      </w:r>
    </w:p>
    <w:p w14:paraId="74D61781" w14:textId="77777777" w:rsidR="00B834A2" w:rsidRPr="00871A31" w:rsidRDefault="00B834A2" w:rsidP="00871A31">
      <w:pPr>
        <w:spacing w:after="160" w:line="341" w:lineRule="auto"/>
        <w:ind w:firstLine="567"/>
        <w:jc w:val="both"/>
        <w:rPr>
          <w:sz w:val="20"/>
        </w:rPr>
      </w:pPr>
      <w:r w:rsidRPr="00871A31">
        <w:rPr>
          <w:sz w:val="20"/>
        </w:rPr>
        <w:t>Նկար 2.1.8.19-2։ Ճարպային յուղերի նույնականացման քրոմատագիր (մեթոդիկա 2): 1՝ գետնընկույզի յուղ, 2՝ քնջութի յուղ, 3՝ եգիպտացորենի յուղ, 4՝ կանճրակի յուղ, 5՝ սոյայի յուղ, 6՝ կանճրակի յուղ (էրուկաթթու չպարունակող), 7՝ կտավատի յուղ, 8՝ ձիթապտղի յուղ, 9՝ արեւածաղկի յուղ, 10՝ նուշի յուղ, 11՝ ցորենի սաղմերի յուղ, 12՝ դեղատու գաղտրիկի յուղ, 13՝ էնոտերայի յուղ, 14՝ սաֆլորի յուղ (I տիպ), 15՝ սաֆլորի յուղ (II տիպ), 16՝ հիդրոգենացված գետնընկույզի յուղ</w:t>
      </w:r>
    </w:p>
    <w:p w14:paraId="5450A4AD" w14:textId="77777777" w:rsidR="00B834A2" w:rsidRPr="00871A31" w:rsidRDefault="00B834A2" w:rsidP="00871A31">
      <w:pPr>
        <w:spacing w:after="120"/>
        <w:jc w:val="both"/>
        <w:rPr>
          <w:sz w:val="20"/>
        </w:rPr>
      </w:pPr>
    </w:p>
    <w:p w14:paraId="34CA6195" w14:textId="77777777" w:rsidR="00B834A2" w:rsidRPr="00B834A2" w:rsidRDefault="00B834A2" w:rsidP="00871A31">
      <w:pPr>
        <w:spacing w:after="160" w:line="341" w:lineRule="auto"/>
        <w:ind w:firstLine="567"/>
        <w:jc w:val="both"/>
      </w:pPr>
      <w:r w:rsidRPr="00B834A2">
        <w:rPr>
          <w:i/>
        </w:rPr>
        <w:t>Համեմատման լուծույթը։</w:t>
      </w:r>
      <w:r w:rsidRPr="00B834A2">
        <w:t xml:space="preserve"> Р եգիպտացորենի յուղի մոտավորապես 20 մգ (1</w:t>
      </w:r>
      <w:r w:rsidR="004D71A7" w:rsidRPr="004D71A7">
        <w:t> </w:t>
      </w:r>
      <w:r w:rsidRPr="00B834A2">
        <w:t>կաթիլը) լուծում են 3 մլ Р մեթիլեն քլորիդի մեջ:</w:t>
      </w:r>
    </w:p>
    <w:p w14:paraId="530E57B6" w14:textId="77777777" w:rsidR="00B834A2" w:rsidRPr="00B834A2" w:rsidRDefault="00B834A2" w:rsidP="00871A31">
      <w:pPr>
        <w:spacing w:after="160" w:line="341" w:lineRule="auto"/>
        <w:ind w:firstLine="567"/>
        <w:jc w:val="both"/>
      </w:pPr>
      <w:r w:rsidRPr="00B834A2">
        <w:t>Քրոմատագրման պայմանները՝</w:t>
      </w:r>
    </w:p>
    <w:p w14:paraId="6847BF00" w14:textId="77777777" w:rsidR="00B834A2" w:rsidRPr="00B834A2" w:rsidRDefault="00B834A2" w:rsidP="00871A31">
      <w:pPr>
        <w:tabs>
          <w:tab w:val="left" w:pos="1134"/>
        </w:tabs>
        <w:spacing w:after="160" w:line="341" w:lineRule="auto"/>
        <w:ind w:firstLine="567"/>
        <w:jc w:val="both"/>
      </w:pPr>
      <w:r w:rsidRPr="00B834A2">
        <w:t>-</w:t>
      </w:r>
      <w:r w:rsidR="00871A31" w:rsidRPr="00871A31">
        <w:tab/>
      </w:r>
      <w:r w:rsidRPr="009149C9">
        <w:rPr>
          <w:i/>
        </w:rPr>
        <w:t>ՆՇՔ թիթեղը՝</w:t>
      </w:r>
      <w:r w:rsidRPr="00B834A2">
        <w:t xml:space="preserve"> Р oկտադեցիլ-սիլիլային սիլիկագելի շերտով [2-10 մկմ].</w:t>
      </w:r>
    </w:p>
    <w:p w14:paraId="237753B2" w14:textId="77777777" w:rsidR="00B834A2" w:rsidRPr="00B834A2" w:rsidRDefault="00B834A2" w:rsidP="00871A31">
      <w:pPr>
        <w:tabs>
          <w:tab w:val="left" w:pos="1134"/>
        </w:tabs>
        <w:spacing w:after="160" w:line="341" w:lineRule="auto"/>
        <w:ind w:firstLine="567"/>
        <w:jc w:val="both"/>
      </w:pPr>
      <w:r w:rsidRPr="00B834A2">
        <w:t>-</w:t>
      </w:r>
      <w:r w:rsidR="00871A31" w:rsidRPr="00871A31">
        <w:tab/>
      </w:r>
      <w:r w:rsidRPr="009149C9">
        <w:rPr>
          <w:i/>
        </w:rPr>
        <w:t>շարժուն ֆազը՝</w:t>
      </w:r>
      <w:r w:rsidRPr="00B834A2">
        <w:t xml:space="preserve"> Р մեթիլենքլորիդ-Р սառցային քացախաթթու-Р ացետոն (20:40:50, ծավ./ծավ./ծավ.). </w:t>
      </w:r>
    </w:p>
    <w:p w14:paraId="33D28E56" w14:textId="77777777" w:rsidR="00B834A2" w:rsidRPr="00B834A2" w:rsidRDefault="00B834A2" w:rsidP="00871A31">
      <w:pPr>
        <w:tabs>
          <w:tab w:val="left" w:pos="1134"/>
        </w:tabs>
        <w:spacing w:after="160" w:line="341" w:lineRule="auto"/>
        <w:ind w:firstLine="567"/>
        <w:jc w:val="both"/>
      </w:pPr>
      <w:r w:rsidRPr="00B834A2">
        <w:t>-</w:t>
      </w:r>
      <w:r w:rsidR="00871A31" w:rsidRPr="00871A31">
        <w:tab/>
      </w:r>
      <w:r w:rsidRPr="009149C9">
        <w:rPr>
          <w:i/>
        </w:rPr>
        <w:t>քսվող փորձանմուշի ծավալը</w:t>
      </w:r>
      <w:r w:rsidRPr="00B834A2">
        <w:t>՝ 1 մկլ՝ 8 մմ երկարությամբ շերտերի տեսքով (կարող է օգտագործվել համապատասխան ավտոմատացված սարք).</w:t>
      </w:r>
    </w:p>
    <w:p w14:paraId="2FAB3556" w14:textId="77777777" w:rsidR="00B834A2" w:rsidRPr="00871A31" w:rsidRDefault="00B834A2" w:rsidP="00871A31">
      <w:pPr>
        <w:tabs>
          <w:tab w:val="left" w:pos="1134"/>
        </w:tabs>
        <w:spacing w:after="160" w:line="341" w:lineRule="auto"/>
        <w:ind w:firstLine="567"/>
        <w:jc w:val="both"/>
        <w:rPr>
          <w:spacing w:val="-4"/>
        </w:rPr>
      </w:pPr>
      <w:r w:rsidRPr="00871A31">
        <w:rPr>
          <w:spacing w:val="-4"/>
        </w:rPr>
        <w:t>-</w:t>
      </w:r>
      <w:r w:rsidR="00871A31" w:rsidRPr="00871A31">
        <w:rPr>
          <w:spacing w:val="-4"/>
        </w:rPr>
        <w:tab/>
      </w:r>
      <w:r w:rsidRPr="009149C9">
        <w:rPr>
          <w:i/>
          <w:spacing w:val="-4"/>
        </w:rPr>
        <w:t>շարժուն ֆազի ճակատային գծի հոսքը</w:t>
      </w:r>
      <w:r w:rsidRPr="00871A31">
        <w:rPr>
          <w:spacing w:val="-4"/>
        </w:rPr>
        <w:t>՝ մեկնարկային գծից առնվազն 7 սմ.</w:t>
      </w:r>
    </w:p>
    <w:p w14:paraId="5629F1A4" w14:textId="77777777" w:rsidR="00B834A2" w:rsidRPr="00B834A2" w:rsidRDefault="00B834A2" w:rsidP="00871A31">
      <w:pPr>
        <w:tabs>
          <w:tab w:val="left" w:pos="1134"/>
        </w:tabs>
        <w:spacing w:after="160" w:line="341" w:lineRule="auto"/>
        <w:ind w:firstLine="567"/>
        <w:jc w:val="both"/>
      </w:pPr>
      <w:r w:rsidRPr="00B834A2">
        <w:t>-</w:t>
      </w:r>
      <w:r w:rsidR="00871A31" w:rsidRPr="00871A31">
        <w:tab/>
      </w:r>
      <w:r w:rsidRPr="009149C9">
        <w:rPr>
          <w:i/>
        </w:rPr>
        <w:t>չորացումը</w:t>
      </w:r>
      <w:r w:rsidRPr="00B834A2">
        <w:t>՝ օդում.</w:t>
      </w:r>
    </w:p>
    <w:p w14:paraId="222812C5" w14:textId="77777777" w:rsidR="00B834A2" w:rsidRPr="00B834A2" w:rsidRDefault="00B834A2" w:rsidP="009149C9">
      <w:pPr>
        <w:tabs>
          <w:tab w:val="left" w:pos="1134"/>
        </w:tabs>
        <w:spacing w:after="160" w:line="341" w:lineRule="auto"/>
        <w:ind w:firstLine="567"/>
        <w:jc w:val="both"/>
      </w:pPr>
      <w:r w:rsidRPr="00B834A2">
        <w:t>-</w:t>
      </w:r>
      <w:r w:rsidR="00871A31" w:rsidRPr="00871A31">
        <w:tab/>
      </w:r>
      <w:r w:rsidRPr="009149C9">
        <w:rPr>
          <w:i/>
        </w:rPr>
        <w:t>դետեկտումը՝</w:t>
      </w:r>
      <w:r w:rsidRPr="00B834A2">
        <w:t xml:space="preserve"> մշակում են Р էթանոլի (96 %) մեջ 100 գ/լ Р ֆոսֆորամոլիբդենային թթվի լուծույթով, 3 րոպե տաքացնում են 120 °С ջերմաստիճանում </w:t>
      </w:r>
      <w:r>
        <w:t>եւ</w:t>
      </w:r>
      <w:r w:rsidRPr="00B834A2">
        <w:t xml:space="preserve"> դիտարկում են ցերեկային լույսի տակ:</w:t>
      </w:r>
    </w:p>
    <w:p w14:paraId="7664E282" w14:textId="77777777" w:rsidR="00B834A2" w:rsidRPr="00097504" w:rsidRDefault="00B834A2" w:rsidP="00871A31">
      <w:pPr>
        <w:spacing w:after="160" w:line="360" w:lineRule="auto"/>
        <w:ind w:firstLine="567"/>
        <w:jc w:val="both"/>
      </w:pPr>
      <w:r w:rsidRPr="00B834A2">
        <w:t>Ճարպային յուղերի նույնականացման տիպիկ քրոմատագիրը բերված է 2.1.8.19-2 նկարում:</w:t>
      </w:r>
    </w:p>
    <w:p w14:paraId="1752985B" w14:textId="77777777" w:rsidR="00B834A2" w:rsidRPr="009149C9" w:rsidRDefault="00B834A2" w:rsidP="00871A31">
      <w:pPr>
        <w:spacing w:after="160" w:line="360" w:lineRule="auto"/>
        <w:ind w:firstLine="567"/>
        <w:jc w:val="right"/>
        <w:rPr>
          <w:b/>
          <w:sz w:val="20"/>
        </w:rPr>
      </w:pPr>
      <w:r w:rsidRPr="009149C9">
        <w:rPr>
          <w:b/>
          <w:sz w:val="20"/>
        </w:rPr>
        <w:lastRenderedPageBreak/>
        <w:t>201080020-2022</w:t>
      </w:r>
    </w:p>
    <w:p w14:paraId="56AB89BD" w14:textId="77777777" w:rsidR="00783242" w:rsidRPr="002E52D1" w:rsidRDefault="00783242" w:rsidP="00871A31">
      <w:pPr>
        <w:spacing w:after="160" w:line="360" w:lineRule="auto"/>
        <w:ind w:firstLine="567"/>
        <w:jc w:val="right"/>
        <w:rPr>
          <w:b/>
        </w:rPr>
      </w:pPr>
    </w:p>
    <w:p w14:paraId="0DCFF7B9" w14:textId="77777777" w:rsidR="00B834A2" w:rsidRPr="00B834A2" w:rsidRDefault="00B834A2" w:rsidP="00871A31">
      <w:pPr>
        <w:tabs>
          <w:tab w:val="left" w:pos="1701"/>
        </w:tabs>
        <w:spacing w:after="160" w:line="360" w:lineRule="auto"/>
        <w:ind w:firstLine="567"/>
        <w:jc w:val="both"/>
        <w:rPr>
          <w:b/>
        </w:rPr>
      </w:pPr>
      <w:r w:rsidRPr="00B834A2">
        <w:rPr>
          <w:b/>
        </w:rPr>
        <w:t>2.1.8.20.</w:t>
      </w:r>
      <w:r w:rsidR="00871A31" w:rsidRPr="00097504">
        <w:rPr>
          <w:b/>
        </w:rPr>
        <w:tab/>
      </w:r>
      <w:r w:rsidRPr="00B834A2">
        <w:rPr>
          <w:b/>
        </w:rPr>
        <w:t>Ճարպային յուղերի մեջ հիմնային խառնուկների որոշումը</w:t>
      </w:r>
    </w:p>
    <w:p w14:paraId="7E5F226F" w14:textId="77777777" w:rsidR="00B834A2" w:rsidRPr="00B834A2" w:rsidRDefault="00B834A2" w:rsidP="00871A31">
      <w:pPr>
        <w:spacing w:after="160" w:line="360" w:lineRule="auto"/>
        <w:ind w:firstLine="567"/>
        <w:jc w:val="both"/>
      </w:pPr>
      <w:r w:rsidRPr="00B834A2">
        <w:t xml:space="preserve">Փորձասրվակի մեջ տեղավորում են 10 մլ թարմ թորված Р ացետոն </w:t>
      </w:r>
      <w:r>
        <w:t>եւ</w:t>
      </w:r>
      <w:r w:rsidRPr="00B834A2">
        <w:t xml:space="preserve"> 0,3 մլ Р ջուր, ավելացնում են Р էթանոլի (96 %) մեջ 0,4 գ/լ Р բրոմոֆենոլի կապույտի 0,05 մլ լուծույթ.</w:t>
      </w:r>
      <w:r>
        <w:t xml:space="preserve"> </w:t>
      </w:r>
      <w:r w:rsidRPr="00B834A2">
        <w:t>անհրաժեշտության դեպքում լուծույթը չեզոքացնում են 0,01 М քլորաջրածնային թթվով կամ 0,01 М նատրիումի հիդրօքսիդի լուծույթով, այնուհետ</w:t>
      </w:r>
      <w:r>
        <w:t>եւ</w:t>
      </w:r>
      <w:r w:rsidRPr="00B834A2">
        <w:t xml:space="preserve"> ավելացնում են 10 մլ փորձարկվող յուղ, թափահարում են </w:t>
      </w:r>
      <w:r>
        <w:t>եւ</w:t>
      </w:r>
      <w:r w:rsidRPr="00B834A2">
        <w:t xml:space="preserve"> թողնում մինչ</w:t>
      </w:r>
      <w:r>
        <w:t>եւ</w:t>
      </w:r>
      <w:r w:rsidRPr="00B834A2">
        <w:t xml:space="preserve"> շերտերի բաժանումը:</w:t>
      </w:r>
    </w:p>
    <w:p w14:paraId="22B8FF4D" w14:textId="77777777" w:rsidR="00B834A2" w:rsidRPr="00B834A2" w:rsidRDefault="00B834A2" w:rsidP="00871A31">
      <w:pPr>
        <w:spacing w:after="160" w:line="360" w:lineRule="auto"/>
        <w:ind w:firstLine="567"/>
        <w:jc w:val="both"/>
      </w:pPr>
      <w:r w:rsidRPr="00B834A2">
        <w:t>Որպեսզի վերին շերտի գույնը վերածվի դեղինի, պետք է ծախսվի ոչ ավելի, քան 0,1 մլ 0,01 М քլորաջրածնային թթու:</w:t>
      </w:r>
    </w:p>
    <w:p w14:paraId="2E26F3EE" w14:textId="77777777" w:rsidR="00B834A2" w:rsidRPr="00B834A2" w:rsidRDefault="00B834A2" w:rsidP="00871A31">
      <w:pPr>
        <w:spacing w:after="160" w:line="360" w:lineRule="auto"/>
        <w:ind w:firstLine="567"/>
        <w:jc w:val="both"/>
      </w:pPr>
    </w:p>
    <w:p w14:paraId="2768CBD4" w14:textId="77777777" w:rsidR="00B834A2" w:rsidRPr="009149C9" w:rsidRDefault="00B834A2" w:rsidP="00871A31">
      <w:pPr>
        <w:spacing w:after="160" w:line="360" w:lineRule="auto"/>
        <w:ind w:firstLine="567"/>
        <w:jc w:val="right"/>
        <w:rPr>
          <w:b/>
          <w:sz w:val="20"/>
        </w:rPr>
      </w:pPr>
      <w:r w:rsidRPr="009149C9">
        <w:rPr>
          <w:b/>
          <w:sz w:val="20"/>
        </w:rPr>
        <w:t>201080021-2022</w:t>
      </w:r>
    </w:p>
    <w:p w14:paraId="7A6039BC" w14:textId="77777777" w:rsidR="00783242" w:rsidRPr="002E52D1" w:rsidRDefault="00783242" w:rsidP="00871A31">
      <w:pPr>
        <w:spacing w:after="160" w:line="360" w:lineRule="auto"/>
        <w:ind w:firstLine="567"/>
        <w:jc w:val="right"/>
        <w:rPr>
          <w:b/>
        </w:rPr>
      </w:pPr>
    </w:p>
    <w:p w14:paraId="5893EA90" w14:textId="77777777" w:rsidR="00B834A2" w:rsidRPr="00B834A2" w:rsidRDefault="00B834A2" w:rsidP="00871A31">
      <w:pPr>
        <w:tabs>
          <w:tab w:val="left" w:pos="1701"/>
        </w:tabs>
        <w:spacing w:after="160" w:line="360" w:lineRule="auto"/>
        <w:ind w:firstLine="567"/>
        <w:jc w:val="both"/>
        <w:rPr>
          <w:b/>
        </w:rPr>
      </w:pPr>
      <w:r w:rsidRPr="00B834A2">
        <w:rPr>
          <w:b/>
        </w:rPr>
        <w:t>2.1.8.21.</w:t>
      </w:r>
      <w:r w:rsidR="00871A31" w:rsidRPr="00097504">
        <w:rPr>
          <w:b/>
        </w:rPr>
        <w:tab/>
      </w:r>
      <w:r w:rsidRPr="00B834A2">
        <w:rPr>
          <w:b/>
        </w:rPr>
        <w:t>Ճարպային յուղերի մեջ կողմնակի յուղերի որոշումը՝ նրբաշերտ քրոմատագրման մեթոդով</w:t>
      </w:r>
    </w:p>
    <w:p w14:paraId="3D9A8D86" w14:textId="77777777" w:rsidR="00B834A2" w:rsidRPr="00B834A2" w:rsidRDefault="00B834A2" w:rsidP="00871A31">
      <w:pPr>
        <w:spacing w:after="160" w:line="360" w:lineRule="auto"/>
        <w:ind w:firstLine="567"/>
        <w:jc w:val="both"/>
      </w:pPr>
      <w:r w:rsidRPr="00B834A2">
        <w:t>Փորձարկումն անցկացնում են նրբաշերտ քրոմատագրման մեթոդով՝ ընդհանուր դեղագրքային 2.1.2.26 հոդվածին համապատասխան: Նրբաշերտ քրոմատագրումը՝ որպես նուրբ շերտ G Р կիզելգուրի օգտագործմամբ:</w:t>
      </w:r>
    </w:p>
    <w:p w14:paraId="6D342724" w14:textId="77777777" w:rsidR="00B834A2" w:rsidRPr="00B834A2" w:rsidRDefault="00B834A2" w:rsidP="00871A31">
      <w:pPr>
        <w:spacing w:after="160" w:line="360" w:lineRule="auto"/>
        <w:ind w:firstLine="567"/>
        <w:jc w:val="both"/>
      </w:pPr>
      <w:r w:rsidRPr="00B834A2">
        <w:t xml:space="preserve">Թիթեղը տոգորում են՝ տեղավորելով այնպիսի քանակությամբ Р հեղուկ պարաֆինի </w:t>
      </w:r>
      <w:r w:rsidR="009217DE">
        <w:t>-</w:t>
      </w:r>
      <w:r w:rsidRPr="00B834A2">
        <w:t xml:space="preserve"> Р պետրոլային եթերի (10:90, ծավ./ծավ.) խառնուրդ պարունակող խցիկի մեջ, որ թիթեղի ստորին եզրն ընկղմվի հեղուկի մեջ 5 մմ-ով: Երբ տոգորման խառնուրդը թիթեղի ստորին եզրից բարձրանում է առնվազն 12 սմ-ով, խցիկից հանում են </w:t>
      </w:r>
      <w:r>
        <w:t>եւ</w:t>
      </w:r>
      <w:r w:rsidRPr="00B834A2">
        <w:t xml:space="preserve"> թողնում, որ լուծիչը գոլորշիանա 5 րոպեի ընթացքում: Հաջորդ քրոմատագրումն անցկացնում են այն նույն ուղղությամբ, ինչ փորձարկման համար թիթեղի նախապատրաստումը:</w:t>
      </w:r>
      <w:r>
        <w:t xml:space="preserve"> </w:t>
      </w:r>
    </w:p>
    <w:p w14:paraId="04CE8BA4" w14:textId="77777777" w:rsidR="00B834A2" w:rsidRPr="00B834A2" w:rsidRDefault="00B834A2" w:rsidP="00871A31">
      <w:pPr>
        <w:spacing w:after="160" w:line="360" w:lineRule="auto"/>
        <w:ind w:firstLine="567"/>
        <w:jc w:val="both"/>
      </w:pPr>
      <w:r w:rsidRPr="00B834A2">
        <w:rPr>
          <w:i/>
        </w:rPr>
        <w:lastRenderedPageBreak/>
        <w:t xml:space="preserve">Ճարպաթթուների խառնուրդի պատրաստումը: </w:t>
      </w:r>
      <w:r w:rsidRPr="00B834A2">
        <w:t>2 գ յուղին ավելացնում են 30</w:t>
      </w:r>
      <w:r w:rsidR="00871A31" w:rsidRPr="00871A31">
        <w:t> </w:t>
      </w:r>
      <w:r w:rsidRPr="00B834A2">
        <w:t xml:space="preserve">մլ 0,5 М կալիումի հիդրօքսիդի սպիրտային լուծույթ </w:t>
      </w:r>
      <w:r>
        <w:t>եւ</w:t>
      </w:r>
      <w:r w:rsidRPr="00B834A2">
        <w:t xml:space="preserve"> հետադարձ սառնարանում տաքացնում են 45 րոպե: Ավելացնում են 50 մլ Р ջուր, հովացնում, տեղափոխում են բաժանիչ ձագարի մեջ </w:t>
      </w:r>
      <w:r>
        <w:t>եւ</w:t>
      </w:r>
      <w:r w:rsidRPr="00B834A2">
        <w:t xml:space="preserve"> լուծահանում 50-ական մլ Р եթերի երեք մասնաբաժիններով: Եթերային շերտերը հեռացնում են, ջրային շերտը</w:t>
      </w:r>
      <w:r>
        <w:t xml:space="preserve"> </w:t>
      </w:r>
      <w:r w:rsidRPr="00B834A2">
        <w:t>թեթ</w:t>
      </w:r>
      <w:r>
        <w:t>եւ</w:t>
      </w:r>
      <w:r w:rsidRPr="00B834A2">
        <w:t xml:space="preserve">ակի թթվեցնում են Р քլորաջրածնային թթվով </w:t>
      </w:r>
      <w:r>
        <w:t>եւ</w:t>
      </w:r>
      <w:r w:rsidRPr="00B834A2">
        <w:t xml:space="preserve"> նորից թափահարում 50-ական մլ Р եթերի երեք մասնաբաժիններով: Եթերային լուծամզուկներն իրար են միացնում </w:t>
      </w:r>
      <w:r>
        <w:t>եւ</w:t>
      </w:r>
      <w:r w:rsidRPr="00B834A2">
        <w:t xml:space="preserve"> թափահարում 10-ական մլ Р ջրի երեք մասնաբաժիններով՝ հեռացնելով լվացման ջրերը: Իրար միացրած եթերային լուծամզուկները չորացնում են Р անջուր նատրիումի սուլֆատի վրա </w:t>
      </w:r>
      <w:r>
        <w:t>եւ</w:t>
      </w:r>
      <w:r w:rsidRPr="00B834A2">
        <w:t xml:space="preserve"> ֆիլտրում: Այնուհետ</w:t>
      </w:r>
      <w:r>
        <w:t>եւ</w:t>
      </w:r>
      <w:r w:rsidRPr="00B834A2">
        <w:t xml:space="preserve"> եթերը շոգեհանում են ջրային բաղնիքի վրա, իսկ ստացված մնացորդից պատրաստում են փորձարկվող լուծույթը: Ճարպաթթուները կարելի է դուրս բերել նա</w:t>
      </w:r>
      <w:r>
        <w:t>եւ</w:t>
      </w:r>
      <w:r w:rsidRPr="00B834A2">
        <w:t xml:space="preserve"> չօճառացվող նյութերի որոշման ժամանակ ստացված հիմնային լուծույթից:</w:t>
      </w:r>
    </w:p>
    <w:p w14:paraId="02CFB3ED" w14:textId="77777777" w:rsidR="00B834A2" w:rsidRPr="00B834A2" w:rsidRDefault="00B834A2" w:rsidP="00871A31">
      <w:pPr>
        <w:spacing w:after="160" w:line="360" w:lineRule="auto"/>
        <w:ind w:firstLine="567"/>
        <w:jc w:val="both"/>
      </w:pPr>
      <w:r w:rsidRPr="00B834A2">
        <w:rPr>
          <w:i/>
        </w:rPr>
        <w:t>Փորձարկվող լուծույթը։</w:t>
      </w:r>
      <w:r w:rsidRPr="00B834A2">
        <w:t xml:space="preserve"> Ճարպաթթուների՝ յուղի փորձարկվող նմուշից ստացված 40 մգ խառնուրդը լուծում են 4 մլ Р քլորոֆորմի մեջ:</w:t>
      </w:r>
    </w:p>
    <w:p w14:paraId="7536380D" w14:textId="77777777" w:rsidR="00B834A2" w:rsidRPr="00B834A2" w:rsidRDefault="00B834A2" w:rsidP="00871A31">
      <w:pPr>
        <w:spacing w:after="160" w:line="360" w:lineRule="auto"/>
        <w:ind w:firstLine="567"/>
        <w:jc w:val="both"/>
      </w:pPr>
      <w:r w:rsidRPr="00B834A2">
        <w:rPr>
          <w:i/>
        </w:rPr>
        <w:t>Համեմատման լուծույթը:</w:t>
      </w:r>
      <w:r w:rsidRPr="00B834A2">
        <w:t xml:space="preserve"> Р եգիպտացորենի յուղի 19 ծավալների </w:t>
      </w:r>
      <w:r>
        <w:t>եւ</w:t>
      </w:r>
      <w:r w:rsidRPr="00B834A2">
        <w:t xml:space="preserve"> Р կանճրակի յուղի 1 ծավալի խառնուրդից ստացված ճարպաթթուների 40 մգ խառնուրդը լուծում են 4 մլ Р քլորոֆորմի մեջ:</w:t>
      </w:r>
    </w:p>
    <w:p w14:paraId="3C114A54" w14:textId="77777777" w:rsidR="00B834A2" w:rsidRPr="00B834A2" w:rsidRDefault="00B834A2" w:rsidP="00871A31">
      <w:pPr>
        <w:spacing w:after="160" w:line="360" w:lineRule="auto"/>
        <w:ind w:firstLine="567"/>
        <w:jc w:val="both"/>
      </w:pPr>
      <w:r w:rsidRPr="00B834A2">
        <w:t xml:space="preserve">Քրոմատագրման թիթեղի մեկնարկային գծին քսում են 3-ական մկլ փորձարկվող լուծույթ </w:t>
      </w:r>
      <w:r>
        <w:t>եւ</w:t>
      </w:r>
      <w:r w:rsidRPr="00B834A2">
        <w:t xml:space="preserve"> համեմատման լուծույթ: Թիթեղը դնում են Р ջուր-Р սառցային քացախաթթու (10:90 ծավ./ծավ.) լուծիչների համակարգով համալրված խցիկի մեջ: Երբ լուծիչների ճակատային գիծը 8 սմ անցնում է մեկնարկային գծից, թիթեղը խցիկից հանում են, 10 րոպե չորացնում են 110 °С ջերմաստիճանում </w:t>
      </w:r>
      <w:r>
        <w:t>եւ</w:t>
      </w:r>
      <w:r w:rsidRPr="00B834A2">
        <w:t xml:space="preserve"> թողնում մինչ</w:t>
      </w:r>
      <w:r>
        <w:t>եւ</w:t>
      </w:r>
      <w:r w:rsidRPr="00B834A2">
        <w:t xml:space="preserve"> հովանալը: Այնուհետ</w:t>
      </w:r>
      <w:r>
        <w:t>եւ</w:t>
      </w:r>
      <w:r w:rsidRPr="00B834A2">
        <w:t>, մասնավոր դեղագրքային հոդվածում այլ ցուցումների բացակայության դեպքում թիթեղը տեղավորում են կիպ հարմարեցված կափարիչով փակված՝ նախօրոք յոդի գոլորշիներով հագեցած քրոմատագրման խցիկի մեջ (խցիկի հատակին՝ շոգեհանման թասի մեջ, դնում են Р յոդ): Որոշ ժամանակ անց եր</w:t>
      </w:r>
      <w:r>
        <w:t>եւ</w:t>
      </w:r>
      <w:r w:rsidRPr="00B834A2">
        <w:t xml:space="preserve">ում են դարչնագույն կամ դեղնադարչնագույն գծեր: </w:t>
      </w:r>
      <w:r w:rsidRPr="00B834A2">
        <w:lastRenderedPageBreak/>
        <w:t xml:space="preserve">Թիթեղը հանում են խցիկից </w:t>
      </w:r>
      <w:r>
        <w:t>եւ</w:t>
      </w:r>
      <w:r w:rsidRPr="00B834A2">
        <w:t xml:space="preserve"> թողնում մի քանի րոպե՝ մինչ</w:t>
      </w:r>
      <w:r>
        <w:t>եւ</w:t>
      </w:r>
      <w:r w:rsidRPr="00B834A2">
        <w:t xml:space="preserve"> դարչնագույն ֆոնի անհետանալը, </w:t>
      </w:r>
      <w:r>
        <w:t>եւ</w:t>
      </w:r>
      <w:r w:rsidRPr="00B834A2">
        <w:t xml:space="preserve"> ցողում են Р օսլայի լուծույթով: Ի հայտ են գալիս կապույտ բծեր (ադսորբման գոտին), որոնք չորացնելիս կարող են դառնալ դարչնագույն </w:t>
      </w:r>
      <w:r>
        <w:t>եւ</w:t>
      </w:r>
      <w:r w:rsidRPr="00B834A2">
        <w:t xml:space="preserve"> կրկին դառնում են կապույտ՝ Р ջրով ցողելուց հետո:</w:t>
      </w:r>
    </w:p>
    <w:p w14:paraId="7E5D4FCE" w14:textId="77777777" w:rsidR="00B834A2" w:rsidRPr="00B834A2" w:rsidRDefault="00B834A2" w:rsidP="00871A31">
      <w:pPr>
        <w:spacing w:after="160" w:line="360" w:lineRule="auto"/>
        <w:ind w:firstLine="567"/>
        <w:jc w:val="both"/>
      </w:pPr>
      <w:r w:rsidRPr="00B834A2">
        <w:t xml:space="preserve">Փորձարկվող լուծույթի քրոմատագրի վրա միշտ պետք է հայտնաբերվեն բծեր՝մոտավորապես 0,5 RF-ով (օլեինաթթու), </w:t>
      </w:r>
      <w:r>
        <w:t>եւ</w:t>
      </w:r>
      <w:r w:rsidRPr="00B834A2">
        <w:t xml:space="preserve"> բիծ՝ մոտավորապես 0,65 RF-ով (լինոլաթթու), որոնք համապատասխանում են համեմատման լուծույթի քրոմատագրի վրա եղած բծերին: Որոշ յուղերի փորձարկվող լուծույթի քրոմատագրի վրա կարող է հայտնաբերվել բիծ՝ մոտավորապես 0,75 RF-ով (լինոլենաթթու): Փորձարկվող լուծույթի </w:t>
      </w:r>
      <w:r>
        <w:t>եւ</w:t>
      </w:r>
      <w:r w:rsidRPr="00B834A2">
        <w:t xml:space="preserve"> համեմատման լուծույթի քրոմատագրերի վրա եղած բծերը համեմատելիս փորձարկվող լուծույթի քրոմատագրի վրա չպետք է հայտնաբերվի մոտավորապես 0,25 RF-ով բիծ (էրուկաթթու):</w:t>
      </w:r>
    </w:p>
    <w:p w14:paraId="5CCB8320" w14:textId="77777777" w:rsidR="00B834A2" w:rsidRPr="00B834A2" w:rsidRDefault="00B834A2" w:rsidP="00871A31">
      <w:pPr>
        <w:spacing w:after="160" w:line="360" w:lineRule="auto"/>
        <w:ind w:firstLine="567"/>
        <w:jc w:val="both"/>
      </w:pPr>
    </w:p>
    <w:p w14:paraId="0672550B" w14:textId="77777777" w:rsidR="00B834A2" w:rsidRPr="00214A65" w:rsidRDefault="00B834A2" w:rsidP="00871A31">
      <w:pPr>
        <w:spacing w:after="160" w:line="360" w:lineRule="auto"/>
        <w:ind w:firstLine="567"/>
        <w:jc w:val="right"/>
        <w:rPr>
          <w:b/>
          <w:sz w:val="20"/>
        </w:rPr>
      </w:pPr>
      <w:r w:rsidRPr="00214A65">
        <w:rPr>
          <w:b/>
          <w:sz w:val="20"/>
        </w:rPr>
        <w:t>201080022-2022</w:t>
      </w:r>
    </w:p>
    <w:p w14:paraId="6B35487B" w14:textId="77777777" w:rsidR="00783242" w:rsidRPr="002E52D1" w:rsidRDefault="00783242" w:rsidP="00871A31">
      <w:pPr>
        <w:spacing w:after="160" w:line="360" w:lineRule="auto"/>
        <w:ind w:firstLine="567"/>
        <w:jc w:val="right"/>
        <w:rPr>
          <w:b/>
        </w:rPr>
      </w:pPr>
    </w:p>
    <w:p w14:paraId="762A8D71" w14:textId="77777777" w:rsidR="00B834A2" w:rsidRPr="00B834A2" w:rsidRDefault="00B834A2" w:rsidP="00871A31">
      <w:pPr>
        <w:tabs>
          <w:tab w:val="left" w:pos="1701"/>
        </w:tabs>
        <w:spacing w:after="160" w:line="360" w:lineRule="auto"/>
        <w:ind w:firstLine="567"/>
        <w:jc w:val="both"/>
        <w:rPr>
          <w:b/>
        </w:rPr>
      </w:pPr>
      <w:r w:rsidRPr="00B834A2">
        <w:rPr>
          <w:b/>
        </w:rPr>
        <w:t>2.1.8.22.</w:t>
      </w:r>
      <w:r w:rsidR="00871A31" w:rsidRPr="00097504">
        <w:rPr>
          <w:b/>
        </w:rPr>
        <w:tab/>
      </w:r>
      <w:r w:rsidRPr="00B834A2">
        <w:rPr>
          <w:b/>
        </w:rPr>
        <w:t>Հիդրոգենացված բուսայուղերում նիկելի որոշումը</w:t>
      </w:r>
    </w:p>
    <w:p w14:paraId="59812481" w14:textId="77777777" w:rsidR="00B834A2" w:rsidRPr="00CF11B8" w:rsidRDefault="00B834A2" w:rsidP="00871A31">
      <w:pPr>
        <w:spacing w:after="160" w:line="360" w:lineRule="auto"/>
        <w:ind w:firstLine="567"/>
        <w:jc w:val="both"/>
        <w:rPr>
          <w:i/>
        </w:rPr>
      </w:pPr>
      <w:r w:rsidRPr="00B834A2">
        <w:t xml:space="preserve">Նիկելը որոշում են ատոմային աբսորբման սպեկտրաչափության մեթոդով </w:t>
      </w:r>
      <w:r w:rsidRPr="00CF11B8">
        <w:rPr>
          <w:i/>
        </w:rPr>
        <w:t>(2.1.2.22, I մեթոդ):</w:t>
      </w:r>
    </w:p>
    <w:p w14:paraId="4A625DD3" w14:textId="77777777" w:rsidR="00B834A2" w:rsidRPr="00B834A2" w:rsidRDefault="00B834A2" w:rsidP="00871A31">
      <w:pPr>
        <w:spacing w:after="160" w:line="360" w:lineRule="auto"/>
        <w:ind w:firstLine="567"/>
        <w:jc w:val="both"/>
        <w:rPr>
          <w:i/>
        </w:rPr>
      </w:pPr>
      <w:r w:rsidRPr="00B834A2">
        <w:rPr>
          <w:i/>
        </w:rPr>
        <w:t xml:space="preserve">Օգտագործելուց առաջ Р մագնեզիումի նիտրատի </w:t>
      </w:r>
      <w:r>
        <w:rPr>
          <w:i/>
        </w:rPr>
        <w:t>եւ</w:t>
      </w:r>
      <w:r w:rsidRPr="00B834A2">
        <w:rPr>
          <w:i/>
        </w:rPr>
        <w:t xml:space="preserve"> Р ամոնիումի դիհիդրոֆոսֆատի ռեակտիվները պետք է ստուգվեն նիկելի առկայության համար: Փորձարկվող նմուշի մեջ նիկելի պարունակությունը հաշվարկելիս հաշվի են առնում դրա փաստացի պարունակությունը ռեակտիվներում:</w:t>
      </w:r>
    </w:p>
    <w:p w14:paraId="3AB6563F" w14:textId="77777777" w:rsidR="00B834A2" w:rsidRPr="00B834A2" w:rsidRDefault="00B834A2" w:rsidP="00871A31">
      <w:pPr>
        <w:spacing w:after="160" w:line="360" w:lineRule="auto"/>
        <w:ind w:firstLine="567"/>
        <w:jc w:val="both"/>
      </w:pPr>
      <w:r w:rsidRPr="00B834A2">
        <w:rPr>
          <w:i/>
        </w:rPr>
        <w:t>Փորձարկվող լուծույթը։</w:t>
      </w:r>
      <w:r w:rsidRPr="00B834A2">
        <w:t xml:space="preserve"> 0,250 գ (m) փորձարկվող նմուշը տեղավորում են բարձր ճնշման նկատմամբ դիմացկուն (օրինակ՝ ֆտորպոլիմերից կամ կվարցային ապակուց) համապատասխան ռեակցիոն անոթի մեջ, ավելացնում նիկելից զերծ 6,0</w:t>
      </w:r>
      <w:r w:rsidR="00871A31" w:rsidRPr="00871A31">
        <w:t> </w:t>
      </w:r>
      <w:r w:rsidRPr="00B834A2">
        <w:t xml:space="preserve">մլ Р ազոտաթթու </w:t>
      </w:r>
      <w:r>
        <w:t>եւ</w:t>
      </w:r>
      <w:r w:rsidRPr="00B834A2">
        <w:t xml:space="preserve"> 2,0 մլ Р կոնցենտրացված ջրածնի պերօքսիդի լուծույթ: </w:t>
      </w:r>
      <w:r w:rsidRPr="00B834A2">
        <w:lastRenderedPageBreak/>
        <w:t xml:space="preserve">Նույն կերպ պատրաստում են հսկիչ լուծույթը: Փակ անոթները դնում են լաբորատոր միկրոալիքային վառարանի մեջ </w:t>
      </w:r>
      <w:r>
        <w:t>եւ</w:t>
      </w:r>
      <w:r w:rsidRPr="00B834A2">
        <w:t xml:space="preserve"> դրանց պարունակությունը մշակում են համապատասխան ծրագրի համաձայն, օրինակ՝ 1000 Վտ հզորության տակ 40 րոպե: Բացելուց առաջ ռեակցիոն անոթները հովացնում են, այնուհետ</w:t>
      </w:r>
      <w:r>
        <w:t>եւ</w:t>
      </w:r>
      <w:r w:rsidRPr="00B834A2">
        <w:t xml:space="preserve"> ավելացնում 2,0-ական մլ Р կոնցենտրացված ջրածնի պերօքսիդի լուծույթ </w:t>
      </w:r>
      <w:r>
        <w:t>եւ</w:t>
      </w:r>
      <w:r w:rsidRPr="00B834A2">
        <w:t xml:space="preserve"> կրկնում են մշակման փուլը: Շրջափուլի ավարտից հետո անոթները հովացնում են:</w:t>
      </w:r>
      <w:r>
        <w:t xml:space="preserve"> </w:t>
      </w:r>
      <w:r w:rsidRPr="00B834A2">
        <w:t xml:space="preserve">Անոթների պարունակությունը քանակապես տեղափոխում են 25 մլ </w:t>
      </w:r>
      <w:r w:rsidRPr="00871A31">
        <w:rPr>
          <w:color w:val="auto"/>
        </w:rPr>
        <w:t xml:space="preserve">տարողությամբ չափանոթների </w:t>
      </w:r>
      <w:r w:rsidRPr="00B834A2">
        <w:t xml:space="preserve">մեջ, յուրաքանչյուր փորձանոթի մեջ ավելացնում 0,5-ական մլ 10 գ/լ Р մագնեզիումի նիտրատի լուծույթ </w:t>
      </w:r>
      <w:r>
        <w:t>եւ</w:t>
      </w:r>
      <w:r w:rsidRPr="00B834A2">
        <w:t xml:space="preserve"> 100 գ/լ Р ամոնիումի դիհիդրոֆոսֆատի լուծույթ, լուծույթների ծավալը քրոմատագրման համար նախատեսված Р ջրով հասցնում են 25,0 մլ-ի </w:t>
      </w:r>
      <w:r>
        <w:t>եւ</w:t>
      </w:r>
      <w:r w:rsidRPr="00B834A2">
        <w:t xml:space="preserve"> խառնում:</w:t>
      </w:r>
    </w:p>
    <w:p w14:paraId="00178CA0" w14:textId="77777777" w:rsidR="00B834A2" w:rsidRPr="00B834A2" w:rsidRDefault="00B834A2" w:rsidP="00871A31">
      <w:pPr>
        <w:spacing w:after="160" w:line="360" w:lineRule="auto"/>
        <w:ind w:firstLine="567"/>
        <w:jc w:val="both"/>
      </w:pPr>
      <w:r w:rsidRPr="00B834A2">
        <w:rPr>
          <w:i/>
        </w:rPr>
        <w:t>Համեմատման լուծույթները։</w:t>
      </w:r>
      <w:r w:rsidRPr="00B834A2">
        <w:t xml:space="preserve"> 25 մլ տարողությամբ չորս </w:t>
      </w:r>
      <w:r w:rsidRPr="00871A31">
        <w:rPr>
          <w:color w:val="auto"/>
        </w:rPr>
        <w:t>չափանոթների մեջ</w:t>
      </w:r>
      <w:r w:rsidRPr="00B834A2">
        <w:t xml:space="preserve"> տեղավորում են 25 մկլ, 50 մկլ, 75 մկլ, 100 մկլ Р նիկելի իոնների ստանդարտ լուծույթներ (5 ppm Ni2+): Յուրաքանչյուր փորձանոթի մեջ ավելացնում են 0,5 մլ 10</w:t>
      </w:r>
      <w:r w:rsidR="00133111" w:rsidRPr="00133111">
        <w:t> </w:t>
      </w:r>
      <w:r w:rsidRPr="00B834A2">
        <w:t>գ/լ Р մագնեզիումի նիտրատի լուծույթ, 0,5 մլ 100 գ/լ Р ամոնիումի դիհիդրոֆոսֆատի լուծույթ, նիկելից զերծ 6,0 մլ Р ազոտաթթու, քրոմատագրման համար նախատեսված Р ջրով հասցնում են մինչ</w:t>
      </w:r>
      <w:r>
        <w:t>եւ</w:t>
      </w:r>
      <w:r w:rsidRPr="00B834A2">
        <w:t xml:space="preserve"> 25,0 մլ ծավալի </w:t>
      </w:r>
      <w:r>
        <w:t>եւ</w:t>
      </w:r>
      <w:r w:rsidRPr="00B834A2">
        <w:t xml:space="preserve"> խառնում: Ստացված համեմատման լուծույթներում նիկելի կոնցենտրացիան կազմում է համապատասխանաբար 5 նգ/մլ, 10 նգ/մլ, 15 նգ/մլ </w:t>
      </w:r>
      <w:r>
        <w:t>եւ</w:t>
      </w:r>
      <w:r w:rsidRPr="00B834A2">
        <w:t xml:space="preserve"> 20 նգ/մլ (ppb):</w:t>
      </w:r>
    </w:p>
    <w:p w14:paraId="227A9285" w14:textId="77777777" w:rsidR="00B834A2" w:rsidRPr="00B834A2" w:rsidRDefault="00B834A2" w:rsidP="00871A31">
      <w:pPr>
        <w:spacing w:after="160" w:line="360" w:lineRule="auto"/>
        <w:ind w:firstLine="567"/>
        <w:jc w:val="both"/>
      </w:pPr>
      <w:r w:rsidRPr="00B834A2">
        <w:rPr>
          <w:i/>
        </w:rPr>
        <w:t>Հսկիչ լուծույթը։</w:t>
      </w:r>
      <w:r w:rsidRPr="00B834A2">
        <w:t xml:space="preserve"> 1,0 մլ 10 գ/լ Р մագնեզիումի նիտրատի լուծույթը, 1,0 մլ 100 գ/լ Р ամոնիումի դիհիդրոֆոսֆատի լուծույթը </w:t>
      </w:r>
      <w:r>
        <w:t>եւ</w:t>
      </w:r>
      <w:r w:rsidRPr="00B834A2">
        <w:t xml:space="preserve"> նիկելից զերծ 12,0 մլ Р ազոտաթթուն քրոմատագրման համար նախատեսված Р ջրով հասցնում են մինչ</w:t>
      </w:r>
      <w:r>
        <w:t>եւ</w:t>
      </w:r>
      <w:r w:rsidRPr="00B834A2">
        <w:t xml:space="preserve"> 50,0 մլ ծավալի </w:t>
      </w:r>
      <w:r>
        <w:t>եւ</w:t>
      </w:r>
      <w:r w:rsidRPr="00B834A2">
        <w:t xml:space="preserve"> խառնում:</w:t>
      </w:r>
    </w:p>
    <w:p w14:paraId="5353BB3A" w14:textId="77777777" w:rsidR="00B834A2" w:rsidRPr="00B834A2" w:rsidRDefault="00B834A2" w:rsidP="00871A31">
      <w:pPr>
        <w:spacing w:after="160" w:line="360" w:lineRule="auto"/>
        <w:ind w:firstLine="567"/>
        <w:jc w:val="both"/>
        <w:rPr>
          <w:i/>
        </w:rPr>
      </w:pPr>
      <w:r w:rsidRPr="00B834A2">
        <w:rPr>
          <w:i/>
        </w:rPr>
        <w:t>Փորձարկումը։</w:t>
      </w:r>
    </w:p>
    <w:p w14:paraId="4E428F6A" w14:textId="77777777" w:rsidR="00B834A2" w:rsidRPr="006B7DC5" w:rsidRDefault="00B834A2" w:rsidP="00871A31">
      <w:pPr>
        <w:spacing w:after="160" w:line="360" w:lineRule="auto"/>
        <w:ind w:firstLine="567"/>
        <w:jc w:val="both"/>
        <w:rPr>
          <w:i/>
        </w:rPr>
      </w:pPr>
      <w:r w:rsidRPr="00B834A2">
        <w:t xml:space="preserve">Փորձարկման համար կիրառում են ատոմային աբսորբման սպեկտրաչափության մեթոդը </w:t>
      </w:r>
      <w:r w:rsidRPr="00CF11B8">
        <w:rPr>
          <w:i/>
        </w:rPr>
        <w:t>(2.1.2.22, I մեթոդ):</w:t>
      </w:r>
    </w:p>
    <w:p w14:paraId="6A84AC33" w14:textId="77777777" w:rsidR="00063A76" w:rsidRPr="006B7DC5" w:rsidRDefault="00063A76" w:rsidP="00871A31">
      <w:pPr>
        <w:spacing w:after="160" w:line="360" w:lineRule="auto"/>
        <w:ind w:firstLine="567"/>
        <w:jc w:val="both"/>
        <w:rPr>
          <w:i/>
        </w:rPr>
      </w:pPr>
    </w:p>
    <w:p w14:paraId="7ECF006F" w14:textId="77777777" w:rsidR="00B834A2" w:rsidRPr="00214A65" w:rsidRDefault="00B834A2" w:rsidP="00871A31">
      <w:pPr>
        <w:spacing w:after="160" w:line="360" w:lineRule="auto"/>
        <w:ind w:firstLine="567"/>
        <w:jc w:val="both"/>
        <w:rPr>
          <w:i/>
        </w:rPr>
      </w:pPr>
      <w:r w:rsidRPr="00214A65">
        <w:rPr>
          <w:i/>
        </w:rPr>
        <w:lastRenderedPageBreak/>
        <w:t>Որոշման պայմանները՝</w:t>
      </w:r>
    </w:p>
    <w:p w14:paraId="66508F58"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214A65">
        <w:rPr>
          <w:i/>
        </w:rPr>
        <w:t>աղբյուրը</w:t>
      </w:r>
      <w:r w:rsidRPr="00B834A2">
        <w:t>՝ սնամեջ կատոդով նիկելային լամպ,</w:t>
      </w:r>
    </w:p>
    <w:p w14:paraId="3B9807E6" w14:textId="77777777" w:rsidR="00B834A2" w:rsidRPr="00097504" w:rsidRDefault="00B834A2" w:rsidP="00871A31">
      <w:pPr>
        <w:tabs>
          <w:tab w:val="left" w:pos="1134"/>
        </w:tabs>
        <w:spacing w:after="160" w:line="360" w:lineRule="auto"/>
        <w:ind w:firstLine="567"/>
        <w:jc w:val="both"/>
      </w:pPr>
      <w:r w:rsidRPr="00B834A2">
        <w:t>-</w:t>
      </w:r>
      <w:r w:rsidR="00871A31" w:rsidRPr="00871A31">
        <w:tab/>
      </w:r>
      <w:r w:rsidRPr="00214A65">
        <w:rPr>
          <w:i/>
        </w:rPr>
        <w:t>ալիքի երկարությունը</w:t>
      </w:r>
      <w:r w:rsidRPr="00B834A2">
        <w:t>՝ 232,0 նմ,</w:t>
      </w:r>
    </w:p>
    <w:p w14:paraId="5273CFBB" w14:textId="77777777" w:rsidR="00B834A2" w:rsidRPr="00B834A2" w:rsidRDefault="00B834A2" w:rsidP="00871A31">
      <w:pPr>
        <w:tabs>
          <w:tab w:val="left" w:pos="1134"/>
        </w:tabs>
        <w:spacing w:after="160" w:line="360" w:lineRule="auto"/>
        <w:ind w:firstLine="567"/>
        <w:jc w:val="both"/>
      </w:pPr>
      <w:r w:rsidRPr="00B834A2">
        <w:t>-</w:t>
      </w:r>
      <w:r w:rsidR="00871A31" w:rsidRPr="00871A31">
        <w:tab/>
      </w:r>
      <w:r w:rsidRPr="00214A65">
        <w:rPr>
          <w:i/>
        </w:rPr>
        <w:t>փոշեցրիչը՝</w:t>
      </w:r>
      <w:r w:rsidRPr="00B834A2">
        <w:t xml:space="preserve"> էլեկտրաջերմային (գրաֆիտային խողովակավոր վառարան), որը համալրված է ֆոնի ճշգրտման համակարգով, պիրոլիտիկ ծածկույթ ունեցող խողովակով.</w:t>
      </w:r>
    </w:p>
    <w:p w14:paraId="3FF51638" w14:textId="77777777" w:rsidR="00B834A2" w:rsidRPr="00B834A2" w:rsidRDefault="00B834A2" w:rsidP="00871A31">
      <w:pPr>
        <w:tabs>
          <w:tab w:val="left" w:pos="1134"/>
        </w:tabs>
        <w:spacing w:after="160" w:line="360" w:lineRule="auto"/>
        <w:ind w:firstLine="567"/>
        <w:jc w:val="both"/>
      </w:pPr>
      <w:r w:rsidRPr="00B834A2">
        <w:t>-</w:t>
      </w:r>
      <w:r w:rsidR="00871A31" w:rsidRPr="00097504">
        <w:tab/>
      </w:r>
      <w:r w:rsidRPr="00214A65">
        <w:rPr>
          <w:i/>
        </w:rPr>
        <w:t>ջերմաստիճանային ռեժիմը</w:t>
      </w:r>
      <w:r w:rsidRPr="00B834A2">
        <w:t>՝ մինչ</w:t>
      </w:r>
      <w:r>
        <w:t>եւ</w:t>
      </w:r>
      <w:r w:rsidRPr="00B834A2">
        <w:t xml:space="preserve"> չորացման ջերմաստիճան (120 °С) տաքացումը կատարում են 5 վայրկյան </w:t>
      </w:r>
      <w:r>
        <w:t>եւ</w:t>
      </w:r>
      <w:r w:rsidRPr="00B834A2">
        <w:t xml:space="preserve"> այդ ջերմաստիճանում պահում են 35</w:t>
      </w:r>
      <w:r w:rsidR="00133111" w:rsidRPr="00133111">
        <w:t> </w:t>
      </w:r>
      <w:r w:rsidRPr="00B834A2">
        <w:t>վայրկյան, մինչ</w:t>
      </w:r>
      <w:r>
        <w:t>եւ</w:t>
      </w:r>
      <w:r w:rsidRPr="00B834A2">
        <w:t xml:space="preserve"> մոխրացման ջերմաստիճան (1100 °С) տաքացումը կատարում</w:t>
      </w:r>
      <w:r w:rsidR="00133111" w:rsidRPr="00133111">
        <w:t> </w:t>
      </w:r>
      <w:r w:rsidRPr="00B834A2">
        <w:t xml:space="preserve">են 30 վայրկյան </w:t>
      </w:r>
      <w:r>
        <w:t>եւ</w:t>
      </w:r>
      <w:r w:rsidRPr="00B834A2">
        <w:t xml:space="preserve"> այդ ջերմաստիճանում պահում են 10 վայրկյան, մինչ</w:t>
      </w:r>
      <w:r>
        <w:t>եւ</w:t>
      </w:r>
      <w:r w:rsidRPr="00B834A2">
        <w:t xml:space="preserve"> 800 °С ջերմաստիճան հովացումը կատարում են 5 վայրկյան </w:t>
      </w:r>
      <w:r>
        <w:t>եւ</w:t>
      </w:r>
      <w:r w:rsidRPr="00B834A2">
        <w:t xml:space="preserve"> այդ ջերմաստիճանում պահում են 5 վայրկյան, փոշեցրումը կատարում են 2700 °С ջերմաստիճանում 7 վայրկյան:</w:t>
      </w:r>
    </w:p>
    <w:p w14:paraId="386241A7" w14:textId="77777777" w:rsidR="00B834A2" w:rsidRPr="00B834A2" w:rsidRDefault="00B834A2" w:rsidP="00871A31">
      <w:pPr>
        <w:spacing w:after="160" w:line="360" w:lineRule="auto"/>
        <w:ind w:firstLine="567"/>
        <w:jc w:val="both"/>
      </w:pPr>
      <w:r w:rsidRPr="00B834A2">
        <w:t>Օպտիմալ ջերմաստիճանային ծրագիրը կարող է տարբերվել յուրաքանչյուր սարքի համար, ուստի թույլատրվում է ծրագրի կիրառումը՝ արտադրող գործարանի հրահանգին համապատասխան:</w:t>
      </w:r>
    </w:p>
    <w:p w14:paraId="2C7D7F4F" w14:textId="77777777" w:rsidR="00B834A2" w:rsidRPr="00B834A2" w:rsidRDefault="00B834A2" w:rsidP="00871A31">
      <w:pPr>
        <w:spacing w:after="160" w:line="360" w:lineRule="auto"/>
        <w:ind w:firstLine="567"/>
        <w:jc w:val="both"/>
      </w:pPr>
      <w:r w:rsidRPr="00B834A2">
        <w:t>Փորձարկվող լուծույթի մեջ նիկելի պարունակությունը որոշում են ըստ ստացված ստուգաճշտման կորի՝ փորձարկվող լուծույթի համար կլանման համապատասխան մեծության հիման վրա: Անհրաժեշտության դեպքում ստուգաճշտման ընդգրկույթում կլանման արժեքներ ստանալու համար փորձարկվող լուծույթը նոսրացնում են հսկիչ լուծույթով: Մեկ գրամին բաժին ընկնող միկրոգրամներով (ppm) նիկելի պարունակությունը հաշվարկում են հետ</w:t>
      </w:r>
      <w:r>
        <w:t>եւ</w:t>
      </w:r>
      <w:r w:rsidRPr="00B834A2">
        <w:t>յալ բանաձ</w:t>
      </w:r>
      <w:r>
        <w:t>եւ</w:t>
      </w:r>
      <w:r w:rsidRPr="00B834A2">
        <w:t>ով.</w:t>
      </w:r>
    </w:p>
    <w:p w14:paraId="6589B2CB" w14:textId="77777777" w:rsidR="00B834A2" w:rsidRPr="00B834A2" w:rsidRDefault="00B834A2" w:rsidP="00B834A2">
      <w:pPr>
        <w:spacing w:after="160" w:line="360" w:lineRule="auto"/>
        <w:jc w:val="both"/>
        <w:rPr>
          <w:i/>
        </w:rPr>
      </w:pPr>
      <m:oMathPara>
        <m:oMath>
          <m:r>
            <w:rPr>
              <w:rFonts w:ascii="Cambria Math" w:hAnsi="Cambria Math"/>
            </w:rPr>
            <m:t>X</m:t>
          </m:r>
          <m:r>
            <m:rPr>
              <m:sty m:val="p"/>
            </m:rPr>
            <w:rPr>
              <w:rFonts w:ascii="Cambria Math" w:hAnsi="Cambria Math"/>
            </w:rPr>
            <m:t>=</m:t>
          </m:r>
          <m:f>
            <m:fPr>
              <m:ctrlPr>
                <w:rPr>
                  <w:rFonts w:ascii="Cambria Math" w:hAnsi="Cambria Math"/>
                </w:rPr>
              </m:ctrlPr>
            </m:fPr>
            <m:num>
              <m:r>
                <w:rPr>
                  <w:rFonts w:ascii="Cambria Math" w:hAnsi="Cambria Math"/>
                </w:rPr>
                <m:t>c</m:t>
              </m:r>
              <m:r>
                <m:rPr>
                  <m:sty m:val="p"/>
                </m:rPr>
                <w:rPr>
                  <w:rFonts w:ascii="Cambria Math" w:hAnsi="Cambria Math"/>
                </w:rPr>
                <m:t>∙</m:t>
              </m:r>
              <m:r>
                <w:rPr>
                  <w:rFonts w:ascii="Cambria Math" w:hAnsi="Cambria Math"/>
                </w:rPr>
                <m:t>f</m:t>
              </m:r>
            </m:num>
            <m:den>
              <m:r>
                <w:rPr>
                  <w:rFonts w:ascii="Cambria Math" w:hAnsi="Cambria Math"/>
                </w:rPr>
                <m:t>m</m:t>
              </m:r>
              <m:r>
                <m:rPr>
                  <m:sty m:val="p"/>
                </m:rPr>
                <w:rPr>
                  <w:rFonts w:ascii="Cambria Math" w:hAnsi="Cambria Math"/>
                </w:rPr>
                <m:t>∙40</m:t>
              </m:r>
            </m:den>
          </m:f>
          <m:r>
            <w:rPr>
              <w:rFonts w:ascii="Cambria Math" w:hAnsi="Cambria Math"/>
            </w:rPr>
            <m:t>,</m:t>
          </m:r>
        </m:oMath>
      </m:oMathPara>
    </w:p>
    <w:p w14:paraId="6E9CFF51" w14:textId="77777777" w:rsidR="00B834A2" w:rsidRPr="00B834A2" w:rsidRDefault="00B834A2" w:rsidP="00871A31">
      <w:pPr>
        <w:spacing w:after="160" w:line="360" w:lineRule="auto"/>
        <w:ind w:firstLine="567"/>
        <w:jc w:val="both"/>
      </w:pPr>
      <w:r w:rsidRPr="00B834A2">
        <w:t xml:space="preserve">որտեղ՝ </w:t>
      </w:r>
    </w:p>
    <w:p w14:paraId="17FBC402" w14:textId="77777777" w:rsidR="001516F5" w:rsidRDefault="001516F5">
      <w:pPr>
        <w:rPr>
          <w:i/>
        </w:rPr>
      </w:pPr>
      <w:r>
        <w:rPr>
          <w:i/>
        </w:rPr>
        <w:br w:type="page"/>
      </w:r>
    </w:p>
    <w:p w14:paraId="309B44B0" w14:textId="77777777" w:rsidR="00B834A2" w:rsidRPr="00B834A2" w:rsidRDefault="00B834A2" w:rsidP="00871A31">
      <w:pPr>
        <w:spacing w:after="160" w:line="360" w:lineRule="auto"/>
        <w:ind w:firstLine="567"/>
        <w:jc w:val="both"/>
      </w:pPr>
      <w:r w:rsidRPr="00CF11B8">
        <w:rPr>
          <w:i/>
        </w:rPr>
        <w:lastRenderedPageBreak/>
        <w:t>с</w:t>
      </w:r>
      <w:r w:rsidRPr="00B834A2">
        <w:t>-ն մեկ միլիլիտրին բաժին ընկնող նանոգրամներում նիկելի չափված կոնցենտրացիան է.</w:t>
      </w:r>
    </w:p>
    <w:p w14:paraId="4FA6E41C" w14:textId="77777777" w:rsidR="00B834A2" w:rsidRPr="00B834A2" w:rsidRDefault="00B834A2" w:rsidP="00871A31">
      <w:pPr>
        <w:spacing w:after="160" w:line="360" w:lineRule="auto"/>
        <w:ind w:firstLine="567"/>
        <w:jc w:val="both"/>
      </w:pPr>
      <w:r w:rsidRPr="00CF11B8">
        <w:rPr>
          <w:i/>
        </w:rPr>
        <w:t>f-</w:t>
      </w:r>
      <w:r w:rsidRPr="00B834A2">
        <w:t>ը փորձարկվող լուծույթի նոսրացման գործակիցն է.</w:t>
      </w:r>
    </w:p>
    <w:p w14:paraId="5089EDA6" w14:textId="77777777" w:rsidR="00B834A2" w:rsidRPr="00B834A2" w:rsidRDefault="00B834A2" w:rsidP="00871A31">
      <w:pPr>
        <w:spacing w:after="160" w:line="360" w:lineRule="auto"/>
        <w:ind w:firstLine="567"/>
        <w:jc w:val="both"/>
      </w:pPr>
      <w:r w:rsidRPr="00CF11B8">
        <w:rPr>
          <w:i/>
        </w:rPr>
        <w:t>m</w:t>
      </w:r>
      <w:r w:rsidRPr="00B834A2">
        <w:t>-ը՝ փորձարկվող կշռանմուշի զանգվածն է՝ գրամներով:</w:t>
      </w:r>
    </w:p>
    <w:p w14:paraId="566ECD39" w14:textId="77777777" w:rsidR="00783242" w:rsidRPr="002E52D1" w:rsidRDefault="00783242" w:rsidP="00871A31">
      <w:pPr>
        <w:spacing w:after="160" w:line="360" w:lineRule="auto"/>
        <w:jc w:val="right"/>
        <w:rPr>
          <w:b/>
        </w:rPr>
      </w:pPr>
    </w:p>
    <w:p w14:paraId="73C3EE54" w14:textId="77777777" w:rsidR="00B834A2" w:rsidRPr="00133111" w:rsidRDefault="00B834A2" w:rsidP="00871A31">
      <w:pPr>
        <w:spacing w:after="160" w:line="360" w:lineRule="auto"/>
        <w:jc w:val="right"/>
        <w:rPr>
          <w:b/>
          <w:sz w:val="20"/>
        </w:rPr>
      </w:pPr>
      <w:r w:rsidRPr="00133111">
        <w:rPr>
          <w:b/>
          <w:sz w:val="20"/>
        </w:rPr>
        <w:t>201080023-2022</w:t>
      </w:r>
    </w:p>
    <w:p w14:paraId="3E9AF890" w14:textId="77777777" w:rsidR="00783242" w:rsidRPr="002E52D1" w:rsidRDefault="00783242" w:rsidP="00871A31">
      <w:pPr>
        <w:spacing w:after="160" w:line="360" w:lineRule="auto"/>
        <w:jc w:val="right"/>
        <w:rPr>
          <w:b/>
        </w:rPr>
      </w:pPr>
    </w:p>
    <w:p w14:paraId="5A3E8374" w14:textId="77777777" w:rsidR="00B834A2" w:rsidRPr="00B834A2" w:rsidRDefault="00B834A2" w:rsidP="00871A31">
      <w:pPr>
        <w:tabs>
          <w:tab w:val="left" w:pos="1701"/>
        </w:tabs>
        <w:spacing w:after="160" w:line="360" w:lineRule="auto"/>
        <w:ind w:firstLine="567"/>
        <w:jc w:val="both"/>
        <w:rPr>
          <w:b/>
        </w:rPr>
      </w:pPr>
      <w:r w:rsidRPr="00B834A2">
        <w:rPr>
          <w:b/>
        </w:rPr>
        <w:t>2.1.8.23.</w:t>
      </w:r>
      <w:r w:rsidR="00871A31" w:rsidRPr="00097504">
        <w:rPr>
          <w:b/>
        </w:rPr>
        <w:tab/>
      </w:r>
      <w:r w:rsidRPr="00B834A2">
        <w:rPr>
          <w:b/>
        </w:rPr>
        <w:t>Ընդհանուր խոլեստերինը՝ օմեգա-3 պոլիչհագեցած ճարպաթթուներով յուղերի մեջ</w:t>
      </w:r>
    </w:p>
    <w:p w14:paraId="2B45DC7F" w14:textId="77777777" w:rsidR="00B834A2" w:rsidRPr="00B834A2" w:rsidRDefault="00B834A2" w:rsidP="00871A31">
      <w:pPr>
        <w:spacing w:after="160" w:line="360" w:lineRule="auto"/>
        <w:ind w:firstLine="567"/>
        <w:jc w:val="both"/>
      </w:pPr>
      <w:r w:rsidRPr="00B834A2">
        <w:t xml:space="preserve">Փորձարկումը կարող է կիրառվել օմեգա-3 թթուների տարբեր կոնցենտրացիաներով կենդանական ծագման դեղամիջոցների մեջ ազատ </w:t>
      </w:r>
      <w:r>
        <w:t>եւ</w:t>
      </w:r>
      <w:r w:rsidRPr="00B834A2">
        <w:t xml:space="preserve"> եթերացված խոլեստերինի ընդհանուր պարունակության քանակական որոշման համար: Օմեգա-3 պոլիչհագեցած ճարպաթթվով յուղերի մեջ խոլեստերին կա ձկան յուղից պատրաստված արտադրանքի, ձկների լյարդի յուղի մեջ:</w:t>
      </w:r>
    </w:p>
    <w:p w14:paraId="3228C86F" w14:textId="77777777" w:rsidR="00B834A2" w:rsidRPr="00B834A2" w:rsidRDefault="00B834A2" w:rsidP="00871A31">
      <w:pPr>
        <w:spacing w:after="160" w:line="360" w:lineRule="auto"/>
        <w:ind w:firstLine="567"/>
        <w:jc w:val="both"/>
      </w:pPr>
      <w:r w:rsidRPr="00B834A2">
        <w:t xml:space="preserve">Ազատ </w:t>
      </w:r>
      <w:r>
        <w:t>եւ</w:t>
      </w:r>
      <w:r w:rsidRPr="00B834A2">
        <w:t xml:space="preserve"> եթերացված խոլեստերինի քանակական որոշման համար կիրառում են բոցային իոնիզացիայի դետեկտմամբ գազային քրոմատագրման մեթոդը </w:t>
      </w:r>
      <w:r w:rsidRPr="00CF11B8">
        <w:rPr>
          <w:i/>
        </w:rPr>
        <w:t>(2.1.2.27):</w:t>
      </w:r>
    </w:p>
    <w:p w14:paraId="619E0B0F" w14:textId="77777777" w:rsidR="00B834A2" w:rsidRPr="00871A31" w:rsidRDefault="00B834A2" w:rsidP="00871A31">
      <w:pPr>
        <w:spacing w:after="160" w:line="360" w:lineRule="auto"/>
        <w:ind w:firstLine="567"/>
        <w:jc w:val="both"/>
        <w:rPr>
          <w:spacing w:val="-4"/>
        </w:rPr>
      </w:pPr>
      <w:r w:rsidRPr="00214A65">
        <w:rPr>
          <w:i/>
          <w:spacing w:val="-4"/>
        </w:rPr>
        <w:t>Ներքին ստանդարտի հիմնական լուծույթը</w:t>
      </w:r>
      <w:r w:rsidRPr="00871A31">
        <w:rPr>
          <w:spacing w:val="-4"/>
        </w:rPr>
        <w:t>: 0,15 գ Р (5α)-խոլեստանը լուծում են Р հեպտանի մեջ եւ ծավալը միեւնույն լուծիչով հասցնում են 50,0 մլ-ի: Թույլատրվում է ներքին ստանդարտի լուծույթը սառցախցում պահել մինչեւ 6 ամիս:</w:t>
      </w:r>
    </w:p>
    <w:p w14:paraId="071B3C42" w14:textId="77777777" w:rsidR="00B834A2" w:rsidRPr="00B834A2" w:rsidRDefault="00B834A2" w:rsidP="00871A31">
      <w:pPr>
        <w:spacing w:after="160" w:line="360" w:lineRule="auto"/>
        <w:ind w:firstLine="567"/>
        <w:jc w:val="both"/>
      </w:pPr>
      <w:r w:rsidRPr="00214A65">
        <w:rPr>
          <w:i/>
        </w:rPr>
        <w:t>Ներքին ստանդարտի աշխատանքային լուծույթը:</w:t>
      </w:r>
      <w:r w:rsidRPr="00B834A2">
        <w:t xml:space="preserve"> Պատրաստում են օգտագործելուց անմիջապես առաջ: 1,0 մլ ներքին ստանդարտի հիմնական լուծույթը Р հեպտանով հասցնում են մինչ</w:t>
      </w:r>
      <w:r>
        <w:t>եւ</w:t>
      </w:r>
      <w:r w:rsidRPr="00B834A2">
        <w:t xml:space="preserve"> 10,0 մլ ծավալի:</w:t>
      </w:r>
    </w:p>
    <w:p w14:paraId="3AE3627B" w14:textId="77777777" w:rsidR="00B834A2" w:rsidRPr="00B834A2" w:rsidRDefault="00B834A2" w:rsidP="00871A31">
      <w:pPr>
        <w:spacing w:after="160" w:line="360" w:lineRule="auto"/>
        <w:ind w:firstLine="567"/>
        <w:jc w:val="both"/>
      </w:pPr>
      <w:r w:rsidRPr="00214A65">
        <w:rPr>
          <w:i/>
        </w:rPr>
        <w:t>Խոլեստերինի հիմնական լուծույթը</w:t>
      </w:r>
      <w:r w:rsidRPr="00B834A2">
        <w:t xml:space="preserve">: 50,0 մգ Р խոլեստերոլը լուծում են Р հեպտանի մեջ </w:t>
      </w:r>
      <w:r>
        <w:t>եւ</w:t>
      </w:r>
      <w:r w:rsidRPr="00B834A2">
        <w:t xml:space="preserve"> լուծույթի ծավալը մի</w:t>
      </w:r>
      <w:r>
        <w:t>եւ</w:t>
      </w:r>
      <w:r w:rsidRPr="00B834A2">
        <w:t>նույն լուծիչով հասցնում են 100,0 մլ-ի: Հիմնական լուծույթը կարելի է սառցախցում պահել մինչ</w:t>
      </w:r>
      <w:r>
        <w:t>եւ</w:t>
      </w:r>
      <w:r w:rsidRPr="00B834A2">
        <w:t xml:space="preserve"> 6 ամիս:</w:t>
      </w:r>
    </w:p>
    <w:p w14:paraId="4045CC7E" w14:textId="77777777" w:rsidR="00B834A2" w:rsidRPr="00B834A2" w:rsidRDefault="00B834A2" w:rsidP="00871A31">
      <w:pPr>
        <w:spacing w:after="160" w:line="360" w:lineRule="auto"/>
        <w:ind w:firstLine="567"/>
        <w:jc w:val="both"/>
      </w:pPr>
      <w:r w:rsidRPr="00B834A2">
        <w:lastRenderedPageBreak/>
        <w:t xml:space="preserve">Խոլեստերինի աշխատանքային լուծույթը: Պատրաստում են օգտագործելուց անմիջապես առաջ: 1,0 մլ խոլեստերինի հիմնական լուծույթը լուծում են Р հեպտանի մեջ </w:t>
      </w:r>
      <w:r>
        <w:t>եւ</w:t>
      </w:r>
      <w:r w:rsidRPr="00B834A2">
        <w:t xml:space="preserve"> լուծույթի ծավալը մի</w:t>
      </w:r>
      <w:r>
        <w:t>եւ</w:t>
      </w:r>
      <w:r w:rsidRPr="00B834A2">
        <w:t>նույն լուծիչով հասցնում են 10,0 մլ-ի:</w:t>
      </w:r>
    </w:p>
    <w:p w14:paraId="50C2E65F" w14:textId="77777777" w:rsidR="00B834A2" w:rsidRPr="00B834A2" w:rsidRDefault="00B834A2" w:rsidP="00871A31">
      <w:pPr>
        <w:spacing w:after="160" w:line="360" w:lineRule="auto"/>
        <w:ind w:firstLine="567"/>
        <w:jc w:val="both"/>
      </w:pPr>
      <w:r w:rsidRPr="00214A65">
        <w:rPr>
          <w:i/>
        </w:rPr>
        <w:t>Խոլեստերինի եւ α-տոկոֆերոլի հիմնական լուծույթը</w:t>
      </w:r>
      <w:r w:rsidRPr="00B834A2">
        <w:t>:</w:t>
      </w:r>
      <w:r>
        <w:t xml:space="preserve"> </w:t>
      </w:r>
      <w:r w:rsidRPr="00B834A2">
        <w:t xml:space="preserve">50,0 մգ Р խոլեստերինը </w:t>
      </w:r>
      <w:r>
        <w:t>եւ</w:t>
      </w:r>
      <w:r w:rsidRPr="00B834A2">
        <w:t xml:space="preserve"> 50,0 մգ Р α-տոկոֆերոլը լուծում են Р հեպտանի մեջ </w:t>
      </w:r>
      <w:r>
        <w:t>եւ</w:t>
      </w:r>
      <w:r w:rsidRPr="00B834A2">
        <w:t xml:space="preserve"> լուծույթի ծավալը մի</w:t>
      </w:r>
      <w:r>
        <w:t>եւ</w:t>
      </w:r>
      <w:r w:rsidRPr="00B834A2">
        <w:t>նույն լուծիչով հասցնում են 100,0 մլ-ի: Լուծույթը սենյակային ջերմաստիճանում կարելի է պահել մինչ</w:t>
      </w:r>
      <w:r>
        <w:t>եւ</w:t>
      </w:r>
      <w:r w:rsidRPr="00B834A2">
        <w:t xml:space="preserve"> 3 ամիս:</w:t>
      </w:r>
    </w:p>
    <w:p w14:paraId="600CBA3A" w14:textId="77777777" w:rsidR="00B834A2" w:rsidRPr="00B834A2" w:rsidRDefault="00B834A2" w:rsidP="00871A31">
      <w:pPr>
        <w:spacing w:after="160" w:line="360" w:lineRule="auto"/>
        <w:ind w:firstLine="567"/>
        <w:jc w:val="both"/>
      </w:pPr>
      <w:r w:rsidRPr="00214A65">
        <w:rPr>
          <w:i/>
        </w:rPr>
        <w:t>Համեմատման լուծույթը:</w:t>
      </w:r>
      <w:r w:rsidRPr="00B834A2">
        <w:t xml:space="preserve"> Լուծույթը պատրաստում են օգտագործման օրը: Խոլեստերինի </w:t>
      </w:r>
      <w:r>
        <w:t>եւ</w:t>
      </w:r>
      <w:r w:rsidRPr="00B834A2">
        <w:t xml:space="preserve"> α-տոկոֆերոլի 1,0 մլ հիմնական լուծույթը լուծում են Р հեպտանի մեջ </w:t>
      </w:r>
      <w:r>
        <w:t>եւ</w:t>
      </w:r>
      <w:r w:rsidRPr="00B834A2">
        <w:t xml:space="preserve"> լուծույթի ծավալը մի</w:t>
      </w:r>
      <w:r>
        <w:t>եւ</w:t>
      </w:r>
      <w:r w:rsidRPr="00B834A2">
        <w:t>նույն լուծիչով հասցնում են 100,0 մլ-ի:</w:t>
      </w:r>
    </w:p>
    <w:p w14:paraId="63513C9A" w14:textId="77777777" w:rsidR="00B834A2" w:rsidRPr="00B834A2" w:rsidRDefault="00B834A2" w:rsidP="00871A31">
      <w:pPr>
        <w:spacing w:after="160" w:line="360" w:lineRule="auto"/>
        <w:ind w:firstLine="567"/>
        <w:jc w:val="both"/>
      </w:pPr>
      <w:r w:rsidRPr="00214A65">
        <w:rPr>
          <w:i/>
        </w:rPr>
        <w:t>Չափաբերման լուծույթները</w:t>
      </w:r>
      <w:r w:rsidRPr="00B834A2">
        <w:t>: Լուծույթները պատրաստում են օգտագործման օրը: Յուրաքանչյուր չափաբերման լուծույթի համար կշռանմուշը, 2.1.8.23-1 աղյուսակի տվյալների համաձայն, Р հեպտանի մեջ Р էթիլացետատի 10% (ծավ./ծավ.) լուծույթով հասցնում են մինչ</w:t>
      </w:r>
      <w:r>
        <w:t>եւ</w:t>
      </w:r>
      <w:r w:rsidRPr="00B834A2">
        <w:t xml:space="preserve"> 20,0 մլ ծավալի:</w:t>
      </w:r>
    </w:p>
    <w:p w14:paraId="3E8ED19D" w14:textId="77777777" w:rsidR="00B834A2" w:rsidRPr="00B834A2" w:rsidRDefault="00B834A2" w:rsidP="00871A31">
      <w:pPr>
        <w:spacing w:after="160" w:line="360" w:lineRule="auto"/>
        <w:ind w:firstLine="567"/>
        <w:jc w:val="both"/>
      </w:pPr>
      <w:r w:rsidRPr="00D34D77">
        <w:rPr>
          <w:spacing w:val="-6"/>
        </w:rPr>
        <w:t>Խոլեստերինի բարձր (3.0-20,0 մգ/գ) պարունակության դեպքում օգտագործում են բոլոր 5 չափաբերման</w:t>
      </w:r>
      <w:r w:rsidRPr="00B834A2">
        <w:t xml:space="preserve"> լուծույթները:</w:t>
      </w:r>
    </w:p>
    <w:p w14:paraId="080C3C92" w14:textId="77777777" w:rsidR="00B834A2" w:rsidRPr="00B834A2" w:rsidRDefault="00B834A2" w:rsidP="00871A31">
      <w:pPr>
        <w:spacing w:after="160" w:line="360" w:lineRule="auto"/>
        <w:ind w:firstLine="567"/>
        <w:jc w:val="both"/>
      </w:pPr>
      <w:r w:rsidRPr="00D34D77">
        <w:rPr>
          <w:spacing w:val="-6"/>
        </w:rPr>
        <w:t>Խոլեստերինի ցածր (0,2-3,0 մգ/գ) պարունակության դեպքում օգտագործում են չափաբերման</w:t>
      </w:r>
      <w:r w:rsidRPr="00B834A2">
        <w:t xml:space="preserve"> լուծույթները՝ 0,2 մգ/գ, 1,0 մգ/գ </w:t>
      </w:r>
      <w:r>
        <w:t>եւ</w:t>
      </w:r>
      <w:r w:rsidRPr="00B834A2">
        <w:t xml:space="preserve"> 3,0 մգ/գ:</w:t>
      </w:r>
    </w:p>
    <w:p w14:paraId="587C59EC" w14:textId="77777777" w:rsidR="00B834A2" w:rsidRPr="00B834A2" w:rsidRDefault="00B834A2" w:rsidP="00871A31">
      <w:pPr>
        <w:spacing w:after="160" w:line="360" w:lineRule="auto"/>
        <w:ind w:firstLine="567"/>
        <w:jc w:val="both"/>
      </w:pPr>
      <w:r w:rsidRPr="00B834A2">
        <w:t>Փորձարկվող լուծույթը: 0,100 գ բաղադրամասի փորձարկվող նմուշը տեղավորում են 15 մլ ջերմակայուն կվարցային փորձասրվակի մեջ (եթե նմուշը ոչ միատարր կոնսիստենցիա ունի, ապա նախքան կշռելն այն ուժեղ թափահարում են համապատասխան տարայի մեջ, 10-15 րոպե թողնում են մինչ</w:t>
      </w:r>
      <w:r>
        <w:t>եւ</w:t>
      </w:r>
      <w:r w:rsidRPr="00B834A2">
        <w:t xml:space="preserve"> նստվածք տա՝ տարան պահելով ուղղահայաց դիրքով, կշռելու համար ընտրում են միջին շերտից մի մասը):</w:t>
      </w:r>
    </w:p>
    <w:p w14:paraId="35928502" w14:textId="77777777" w:rsidR="00B834A2" w:rsidRPr="00B834A2" w:rsidRDefault="00B834A2" w:rsidP="00871A31">
      <w:pPr>
        <w:spacing w:after="160" w:line="360" w:lineRule="auto"/>
        <w:ind w:firstLine="567"/>
        <w:jc w:val="both"/>
      </w:pPr>
      <w:r w:rsidRPr="00B834A2">
        <w:t>Փորձարկվող կշռանմուշով փորձասրվակի մեջ ավելացնում են 1,0 մլ ներքին ստանդարտի աշխատանքային լուծույթ: Փորձասրվակի պարունակությունը 50 °С ջերմաստիճանում եռացնելով պակասեցնում են մինչ</w:t>
      </w:r>
      <w:r>
        <w:t>եւ</w:t>
      </w:r>
      <w:r w:rsidRPr="00B834A2">
        <w:t xml:space="preserve"> լրիվ չորանալը՝ լուծույթի </w:t>
      </w:r>
      <w:r w:rsidRPr="00B834A2">
        <w:lastRenderedPageBreak/>
        <w:t xml:space="preserve">միջով անցկացնելով Р ազոտի թույլ հոսք: Ավելացնում են 0,5 մլ Р կալիումի </w:t>
      </w:r>
      <w:r w:rsidRPr="00D34D77">
        <w:rPr>
          <w:spacing w:val="-4"/>
        </w:rPr>
        <w:t>հիդրօքսիդի 50 % լուծույթ (մ/մ) եւ 3,0 մլ Р էթանոլ (96 %): Փորձասրվակի մեջ լցնում են Р ազոտ</w:t>
      </w:r>
      <w:r w:rsidRPr="00B834A2">
        <w:t xml:space="preserve">, փակում խցանով </w:t>
      </w:r>
      <w:r>
        <w:t>եւ</w:t>
      </w:r>
      <w:r w:rsidRPr="00B834A2">
        <w:t xml:space="preserve"> 100 °С ջերմաստիճանում համասեռացնում են 1 ժամ: Հովացնում են 10 րոպե, ավելացնում են 6,0 մլ Р թորած ջուր </w:t>
      </w:r>
      <w:r>
        <w:t>եւ</w:t>
      </w:r>
      <w:r w:rsidRPr="00B834A2">
        <w:t xml:space="preserve"> համասեռացնում են՝ ստանալով օճառացված նյութով համասեռ խառնուրդ:</w:t>
      </w:r>
    </w:p>
    <w:p w14:paraId="51056223" w14:textId="77777777" w:rsidR="00783242" w:rsidRPr="002E52D1" w:rsidRDefault="00783242" w:rsidP="00D34D77">
      <w:pPr>
        <w:spacing w:after="160" w:line="360" w:lineRule="auto"/>
        <w:ind w:firstLine="567"/>
        <w:jc w:val="both"/>
      </w:pPr>
    </w:p>
    <w:p w14:paraId="5692AC55" w14:textId="77777777" w:rsidR="00B834A2" w:rsidRPr="00063A76" w:rsidRDefault="00D34D77" w:rsidP="00D34D77">
      <w:pPr>
        <w:spacing w:after="160" w:line="360" w:lineRule="auto"/>
        <w:ind w:firstLine="567"/>
        <w:jc w:val="both"/>
        <w:rPr>
          <w:i/>
        </w:rPr>
      </w:pPr>
      <w:r w:rsidRPr="00B834A2">
        <w:t xml:space="preserve">Աղյուսակ 2.1.8.23-1։ </w:t>
      </w:r>
      <w:r w:rsidRPr="00063A76">
        <w:rPr>
          <w:i/>
        </w:rPr>
        <w:t>Չափաբերման լուծույթների նախապատրաստումը</w:t>
      </w:r>
    </w:p>
    <w:tbl>
      <w:tblPr>
        <w:tblOverlap w:val="never"/>
        <w:tblW w:w="9634" w:type="dxa"/>
        <w:jc w:val="center"/>
        <w:tblLayout w:type="fixed"/>
        <w:tblCellMar>
          <w:left w:w="10" w:type="dxa"/>
          <w:right w:w="10" w:type="dxa"/>
        </w:tblCellMar>
        <w:tblLook w:val="04A0" w:firstRow="1" w:lastRow="0" w:firstColumn="1" w:lastColumn="0" w:noHBand="0" w:noVBand="1"/>
      </w:tblPr>
      <w:tblGrid>
        <w:gridCol w:w="1987"/>
        <w:gridCol w:w="1954"/>
        <w:gridCol w:w="1613"/>
        <w:gridCol w:w="1891"/>
        <w:gridCol w:w="2189"/>
      </w:tblGrid>
      <w:tr w:rsidR="00B834A2" w:rsidRPr="00D34D77" w14:paraId="2FA7D93B" w14:textId="77777777" w:rsidTr="00B834A2">
        <w:trPr>
          <w:jc w:val="center"/>
        </w:trPr>
        <w:tc>
          <w:tcPr>
            <w:tcW w:w="3941" w:type="dxa"/>
            <w:gridSpan w:val="2"/>
            <w:tcBorders>
              <w:top w:val="single" w:sz="4" w:space="0" w:color="auto"/>
            </w:tcBorders>
            <w:shd w:val="clear" w:color="auto" w:fill="FFFFFF"/>
            <w:vAlign w:val="bottom"/>
          </w:tcPr>
          <w:p w14:paraId="53EA2DFE" w14:textId="77777777" w:rsidR="00B834A2" w:rsidRPr="00D34D77" w:rsidRDefault="00B834A2" w:rsidP="00D34D77">
            <w:pPr>
              <w:spacing w:after="120"/>
              <w:jc w:val="center"/>
              <w:rPr>
                <w:sz w:val="20"/>
              </w:rPr>
            </w:pPr>
            <w:r w:rsidRPr="00D34D77">
              <w:rPr>
                <w:sz w:val="20"/>
              </w:rPr>
              <w:t>Չափաբերման լուծույթները</w:t>
            </w:r>
          </w:p>
        </w:tc>
        <w:tc>
          <w:tcPr>
            <w:tcW w:w="1613" w:type="dxa"/>
            <w:vMerge w:val="restart"/>
            <w:tcBorders>
              <w:top w:val="single" w:sz="4" w:space="0" w:color="auto"/>
            </w:tcBorders>
            <w:shd w:val="clear" w:color="auto" w:fill="FFFFFF"/>
            <w:vAlign w:val="center"/>
          </w:tcPr>
          <w:p w14:paraId="59F33F71" w14:textId="77777777" w:rsidR="00B834A2" w:rsidRPr="00D34D77" w:rsidRDefault="00B834A2" w:rsidP="00D34D77">
            <w:pPr>
              <w:spacing w:after="120"/>
              <w:jc w:val="center"/>
              <w:rPr>
                <w:sz w:val="20"/>
              </w:rPr>
            </w:pPr>
            <w:r w:rsidRPr="00D34D77">
              <w:rPr>
                <w:sz w:val="20"/>
              </w:rPr>
              <w:t>Խոլեստերինի հիմնական լուծույթը (մլ)</w:t>
            </w:r>
          </w:p>
        </w:tc>
        <w:tc>
          <w:tcPr>
            <w:tcW w:w="1891" w:type="dxa"/>
            <w:vMerge w:val="restart"/>
            <w:tcBorders>
              <w:top w:val="single" w:sz="4" w:space="0" w:color="auto"/>
            </w:tcBorders>
            <w:shd w:val="clear" w:color="auto" w:fill="FFFFFF"/>
            <w:vAlign w:val="center"/>
          </w:tcPr>
          <w:p w14:paraId="63D5A78B" w14:textId="77777777" w:rsidR="00B834A2" w:rsidRPr="00D34D77" w:rsidRDefault="00B834A2" w:rsidP="00D34D77">
            <w:pPr>
              <w:spacing w:after="120"/>
              <w:jc w:val="center"/>
              <w:rPr>
                <w:sz w:val="20"/>
              </w:rPr>
            </w:pPr>
            <w:r w:rsidRPr="00D34D77">
              <w:rPr>
                <w:sz w:val="20"/>
              </w:rPr>
              <w:t>Խոլեստերինի աշխատանքային լուծույթը (մլ)</w:t>
            </w:r>
          </w:p>
        </w:tc>
        <w:tc>
          <w:tcPr>
            <w:tcW w:w="2189" w:type="dxa"/>
            <w:vMerge w:val="restart"/>
            <w:tcBorders>
              <w:top w:val="single" w:sz="4" w:space="0" w:color="auto"/>
            </w:tcBorders>
            <w:shd w:val="clear" w:color="auto" w:fill="FFFFFF"/>
            <w:vAlign w:val="center"/>
          </w:tcPr>
          <w:p w14:paraId="16896301" w14:textId="77777777" w:rsidR="00B834A2" w:rsidRPr="00D34D77" w:rsidRDefault="00B834A2" w:rsidP="00D34D77">
            <w:pPr>
              <w:spacing w:after="120"/>
              <w:jc w:val="center"/>
              <w:rPr>
                <w:sz w:val="20"/>
              </w:rPr>
            </w:pPr>
            <w:r w:rsidRPr="00D34D77">
              <w:rPr>
                <w:sz w:val="20"/>
              </w:rPr>
              <w:t>Ներքին ստանդարտի աշխատանքային լուծույթը (մլ)</w:t>
            </w:r>
          </w:p>
        </w:tc>
      </w:tr>
      <w:tr w:rsidR="00B834A2" w:rsidRPr="00D34D77" w14:paraId="59AC2E8A" w14:textId="77777777" w:rsidTr="00B834A2">
        <w:trPr>
          <w:jc w:val="center"/>
        </w:trPr>
        <w:tc>
          <w:tcPr>
            <w:tcW w:w="1987" w:type="dxa"/>
            <w:tcBorders>
              <w:top w:val="single" w:sz="4" w:space="0" w:color="auto"/>
            </w:tcBorders>
            <w:shd w:val="clear" w:color="auto" w:fill="FFFFFF"/>
            <w:vAlign w:val="bottom"/>
          </w:tcPr>
          <w:p w14:paraId="55458B4B" w14:textId="77777777" w:rsidR="00B834A2" w:rsidRPr="00D34D77" w:rsidRDefault="00B834A2" w:rsidP="00D34D77">
            <w:pPr>
              <w:spacing w:after="120"/>
              <w:jc w:val="center"/>
              <w:rPr>
                <w:sz w:val="20"/>
              </w:rPr>
            </w:pPr>
            <w:r w:rsidRPr="00D34D77">
              <w:rPr>
                <w:sz w:val="20"/>
              </w:rPr>
              <w:t>Խոլեստերինի կոնցենտրացիան (մգ/մլ)</w:t>
            </w:r>
          </w:p>
        </w:tc>
        <w:tc>
          <w:tcPr>
            <w:tcW w:w="1954" w:type="dxa"/>
            <w:tcBorders>
              <w:top w:val="single" w:sz="4" w:space="0" w:color="auto"/>
            </w:tcBorders>
            <w:shd w:val="clear" w:color="auto" w:fill="FFFFFF"/>
            <w:vAlign w:val="bottom"/>
          </w:tcPr>
          <w:p w14:paraId="67FD946F" w14:textId="77777777" w:rsidR="00B834A2" w:rsidRPr="00890AE3" w:rsidRDefault="00B834A2" w:rsidP="00890AE3">
            <w:pPr>
              <w:spacing w:after="120"/>
              <w:jc w:val="center"/>
              <w:rPr>
                <w:sz w:val="20"/>
                <w:lang w:val="en-US"/>
              </w:rPr>
            </w:pPr>
            <w:r w:rsidRPr="00D34D77">
              <w:rPr>
                <w:sz w:val="20"/>
              </w:rPr>
              <w:t>Խոլեստերինի կոնցենտրացիան (մգ/գ</w:t>
            </w:r>
            <w:r w:rsidR="00D34D77">
              <w:rPr>
                <w:sz w:val="20"/>
              </w:rPr>
              <w:t>)</w:t>
            </w:r>
            <w:r w:rsidR="00890AE3">
              <w:rPr>
                <w:sz w:val="20"/>
                <w:lang w:val="en-US"/>
              </w:rPr>
              <w:t>*</w:t>
            </w:r>
          </w:p>
        </w:tc>
        <w:tc>
          <w:tcPr>
            <w:tcW w:w="1613" w:type="dxa"/>
            <w:vMerge/>
            <w:shd w:val="clear" w:color="auto" w:fill="FFFFFF"/>
            <w:vAlign w:val="center"/>
          </w:tcPr>
          <w:p w14:paraId="06345E83" w14:textId="77777777" w:rsidR="00B834A2" w:rsidRPr="00D34D77" w:rsidRDefault="00B834A2" w:rsidP="00D34D77">
            <w:pPr>
              <w:spacing w:after="120"/>
              <w:jc w:val="both"/>
              <w:rPr>
                <w:sz w:val="20"/>
              </w:rPr>
            </w:pPr>
          </w:p>
        </w:tc>
        <w:tc>
          <w:tcPr>
            <w:tcW w:w="1891" w:type="dxa"/>
            <w:vMerge/>
            <w:shd w:val="clear" w:color="auto" w:fill="FFFFFF"/>
            <w:vAlign w:val="center"/>
          </w:tcPr>
          <w:p w14:paraId="221A888E" w14:textId="77777777" w:rsidR="00B834A2" w:rsidRPr="00D34D77" w:rsidRDefault="00B834A2" w:rsidP="00D34D77">
            <w:pPr>
              <w:spacing w:after="120"/>
              <w:jc w:val="both"/>
              <w:rPr>
                <w:sz w:val="20"/>
              </w:rPr>
            </w:pPr>
          </w:p>
        </w:tc>
        <w:tc>
          <w:tcPr>
            <w:tcW w:w="2189" w:type="dxa"/>
            <w:vMerge/>
            <w:shd w:val="clear" w:color="auto" w:fill="FFFFFF"/>
            <w:vAlign w:val="center"/>
          </w:tcPr>
          <w:p w14:paraId="6EF57591" w14:textId="77777777" w:rsidR="00B834A2" w:rsidRPr="00D34D77" w:rsidRDefault="00B834A2" w:rsidP="00D34D77">
            <w:pPr>
              <w:spacing w:after="120"/>
              <w:jc w:val="both"/>
              <w:rPr>
                <w:sz w:val="20"/>
              </w:rPr>
            </w:pPr>
          </w:p>
        </w:tc>
      </w:tr>
      <w:tr w:rsidR="00B834A2" w:rsidRPr="00D34D77" w14:paraId="7A2958A1" w14:textId="77777777" w:rsidTr="00B834A2">
        <w:trPr>
          <w:jc w:val="center"/>
        </w:trPr>
        <w:tc>
          <w:tcPr>
            <w:tcW w:w="1987" w:type="dxa"/>
            <w:tcBorders>
              <w:top w:val="single" w:sz="4" w:space="0" w:color="auto"/>
            </w:tcBorders>
            <w:shd w:val="clear" w:color="auto" w:fill="FFFFFF"/>
            <w:vAlign w:val="bottom"/>
          </w:tcPr>
          <w:p w14:paraId="3D824F81" w14:textId="77777777" w:rsidR="00B834A2" w:rsidRPr="00D34D77" w:rsidRDefault="00B834A2" w:rsidP="00D34D77">
            <w:pPr>
              <w:spacing w:after="120"/>
              <w:jc w:val="center"/>
              <w:rPr>
                <w:sz w:val="20"/>
              </w:rPr>
            </w:pPr>
            <w:r w:rsidRPr="00D34D77">
              <w:rPr>
                <w:sz w:val="20"/>
              </w:rPr>
              <w:t>0,1</w:t>
            </w:r>
          </w:p>
        </w:tc>
        <w:tc>
          <w:tcPr>
            <w:tcW w:w="1954" w:type="dxa"/>
            <w:tcBorders>
              <w:top w:val="single" w:sz="4" w:space="0" w:color="auto"/>
            </w:tcBorders>
            <w:shd w:val="clear" w:color="auto" w:fill="FFFFFF"/>
            <w:vAlign w:val="bottom"/>
          </w:tcPr>
          <w:p w14:paraId="4B30ECDE" w14:textId="77777777" w:rsidR="00B834A2" w:rsidRPr="00D34D77" w:rsidRDefault="00B834A2" w:rsidP="00D34D77">
            <w:pPr>
              <w:spacing w:after="120"/>
              <w:jc w:val="center"/>
              <w:rPr>
                <w:sz w:val="20"/>
              </w:rPr>
            </w:pPr>
            <w:r w:rsidRPr="00D34D77">
              <w:rPr>
                <w:sz w:val="20"/>
              </w:rPr>
              <w:t>20,0</w:t>
            </w:r>
          </w:p>
        </w:tc>
        <w:tc>
          <w:tcPr>
            <w:tcW w:w="1613" w:type="dxa"/>
            <w:tcBorders>
              <w:top w:val="single" w:sz="4" w:space="0" w:color="auto"/>
            </w:tcBorders>
            <w:shd w:val="clear" w:color="auto" w:fill="FFFFFF"/>
            <w:vAlign w:val="bottom"/>
          </w:tcPr>
          <w:p w14:paraId="2EFBD4CB" w14:textId="77777777" w:rsidR="00B834A2" w:rsidRPr="00D34D77" w:rsidRDefault="00B834A2" w:rsidP="00D34D77">
            <w:pPr>
              <w:spacing w:after="120"/>
              <w:jc w:val="center"/>
              <w:rPr>
                <w:sz w:val="20"/>
              </w:rPr>
            </w:pPr>
            <w:r w:rsidRPr="00D34D77">
              <w:rPr>
                <w:sz w:val="20"/>
              </w:rPr>
              <w:t>4,0</w:t>
            </w:r>
          </w:p>
        </w:tc>
        <w:tc>
          <w:tcPr>
            <w:tcW w:w="1891" w:type="dxa"/>
            <w:tcBorders>
              <w:top w:val="single" w:sz="4" w:space="0" w:color="auto"/>
            </w:tcBorders>
            <w:shd w:val="clear" w:color="auto" w:fill="FFFFFF"/>
          </w:tcPr>
          <w:p w14:paraId="0E1F48EA" w14:textId="77777777" w:rsidR="00B834A2" w:rsidRPr="00D34D77" w:rsidRDefault="00B834A2" w:rsidP="00D34D77">
            <w:pPr>
              <w:spacing w:after="120"/>
              <w:jc w:val="center"/>
              <w:rPr>
                <w:sz w:val="20"/>
              </w:rPr>
            </w:pPr>
          </w:p>
        </w:tc>
        <w:tc>
          <w:tcPr>
            <w:tcW w:w="2189" w:type="dxa"/>
            <w:tcBorders>
              <w:top w:val="single" w:sz="4" w:space="0" w:color="auto"/>
            </w:tcBorders>
            <w:shd w:val="clear" w:color="auto" w:fill="FFFFFF"/>
            <w:vAlign w:val="bottom"/>
          </w:tcPr>
          <w:p w14:paraId="613CF254" w14:textId="77777777" w:rsidR="00B834A2" w:rsidRPr="00D34D77" w:rsidRDefault="00B834A2" w:rsidP="00D34D77">
            <w:pPr>
              <w:spacing w:after="120"/>
              <w:jc w:val="center"/>
              <w:rPr>
                <w:sz w:val="20"/>
              </w:rPr>
            </w:pPr>
            <w:r w:rsidRPr="00D34D77">
              <w:rPr>
                <w:sz w:val="20"/>
              </w:rPr>
              <w:t>1,0</w:t>
            </w:r>
          </w:p>
        </w:tc>
      </w:tr>
      <w:tr w:rsidR="00B834A2" w:rsidRPr="00D34D77" w14:paraId="20543ED2" w14:textId="77777777" w:rsidTr="00B834A2">
        <w:trPr>
          <w:jc w:val="center"/>
        </w:trPr>
        <w:tc>
          <w:tcPr>
            <w:tcW w:w="1987" w:type="dxa"/>
            <w:shd w:val="clear" w:color="auto" w:fill="FFFFFF"/>
            <w:vAlign w:val="center"/>
          </w:tcPr>
          <w:p w14:paraId="1F3A09B5" w14:textId="77777777" w:rsidR="00B834A2" w:rsidRPr="00D34D77" w:rsidRDefault="00B834A2" w:rsidP="00D34D77">
            <w:pPr>
              <w:spacing w:after="120"/>
              <w:jc w:val="center"/>
              <w:rPr>
                <w:sz w:val="20"/>
              </w:rPr>
            </w:pPr>
            <w:r w:rsidRPr="00D34D77">
              <w:rPr>
                <w:sz w:val="20"/>
              </w:rPr>
              <w:t>0,05</w:t>
            </w:r>
          </w:p>
        </w:tc>
        <w:tc>
          <w:tcPr>
            <w:tcW w:w="1954" w:type="dxa"/>
            <w:shd w:val="clear" w:color="auto" w:fill="FFFFFF"/>
            <w:vAlign w:val="bottom"/>
          </w:tcPr>
          <w:p w14:paraId="109329EA" w14:textId="77777777" w:rsidR="00B834A2" w:rsidRPr="00D34D77" w:rsidRDefault="00B834A2" w:rsidP="00D34D77">
            <w:pPr>
              <w:spacing w:after="120"/>
              <w:jc w:val="center"/>
              <w:rPr>
                <w:sz w:val="20"/>
              </w:rPr>
            </w:pPr>
            <w:r w:rsidRPr="00D34D77">
              <w:rPr>
                <w:sz w:val="20"/>
              </w:rPr>
              <w:t>10,0</w:t>
            </w:r>
          </w:p>
        </w:tc>
        <w:tc>
          <w:tcPr>
            <w:tcW w:w="1613" w:type="dxa"/>
            <w:shd w:val="clear" w:color="auto" w:fill="FFFFFF"/>
            <w:vAlign w:val="bottom"/>
          </w:tcPr>
          <w:p w14:paraId="78BBC295" w14:textId="77777777" w:rsidR="00B834A2" w:rsidRPr="00D34D77" w:rsidRDefault="00B834A2" w:rsidP="00D34D77">
            <w:pPr>
              <w:spacing w:after="120"/>
              <w:jc w:val="center"/>
              <w:rPr>
                <w:sz w:val="20"/>
              </w:rPr>
            </w:pPr>
            <w:r w:rsidRPr="00D34D77">
              <w:rPr>
                <w:sz w:val="20"/>
              </w:rPr>
              <w:t>2,0</w:t>
            </w:r>
          </w:p>
        </w:tc>
        <w:tc>
          <w:tcPr>
            <w:tcW w:w="1891" w:type="dxa"/>
            <w:shd w:val="clear" w:color="auto" w:fill="FFFFFF"/>
          </w:tcPr>
          <w:p w14:paraId="5624C065" w14:textId="77777777" w:rsidR="00B834A2" w:rsidRPr="00D34D77" w:rsidRDefault="00B834A2" w:rsidP="00D34D77">
            <w:pPr>
              <w:spacing w:after="120"/>
              <w:jc w:val="center"/>
              <w:rPr>
                <w:sz w:val="20"/>
              </w:rPr>
            </w:pPr>
          </w:p>
        </w:tc>
        <w:tc>
          <w:tcPr>
            <w:tcW w:w="2189" w:type="dxa"/>
            <w:shd w:val="clear" w:color="auto" w:fill="FFFFFF"/>
            <w:vAlign w:val="bottom"/>
          </w:tcPr>
          <w:p w14:paraId="5AF5BCAE" w14:textId="77777777" w:rsidR="00B834A2" w:rsidRPr="00D34D77" w:rsidRDefault="00B834A2" w:rsidP="00D34D77">
            <w:pPr>
              <w:spacing w:after="120"/>
              <w:jc w:val="center"/>
              <w:rPr>
                <w:sz w:val="20"/>
              </w:rPr>
            </w:pPr>
            <w:r w:rsidRPr="00D34D77">
              <w:rPr>
                <w:sz w:val="20"/>
              </w:rPr>
              <w:t>1,0</w:t>
            </w:r>
          </w:p>
        </w:tc>
      </w:tr>
      <w:tr w:rsidR="00B834A2" w:rsidRPr="00D34D77" w14:paraId="4765F668" w14:textId="77777777" w:rsidTr="00B834A2">
        <w:trPr>
          <w:jc w:val="center"/>
        </w:trPr>
        <w:tc>
          <w:tcPr>
            <w:tcW w:w="1987" w:type="dxa"/>
            <w:shd w:val="clear" w:color="auto" w:fill="FFFFFF"/>
            <w:vAlign w:val="bottom"/>
          </w:tcPr>
          <w:p w14:paraId="5AFACF6F" w14:textId="77777777" w:rsidR="00B834A2" w:rsidRPr="00D34D77" w:rsidRDefault="00B834A2" w:rsidP="00D34D77">
            <w:pPr>
              <w:spacing w:after="120"/>
              <w:jc w:val="center"/>
              <w:rPr>
                <w:sz w:val="20"/>
              </w:rPr>
            </w:pPr>
            <w:r w:rsidRPr="00D34D77">
              <w:rPr>
                <w:sz w:val="20"/>
              </w:rPr>
              <w:t>0,015</w:t>
            </w:r>
          </w:p>
        </w:tc>
        <w:tc>
          <w:tcPr>
            <w:tcW w:w="1954" w:type="dxa"/>
            <w:shd w:val="clear" w:color="auto" w:fill="FFFFFF"/>
            <w:vAlign w:val="bottom"/>
          </w:tcPr>
          <w:p w14:paraId="62F4CAA9" w14:textId="77777777" w:rsidR="00B834A2" w:rsidRPr="00D34D77" w:rsidRDefault="00B834A2" w:rsidP="00D34D77">
            <w:pPr>
              <w:spacing w:after="120"/>
              <w:jc w:val="center"/>
              <w:rPr>
                <w:sz w:val="20"/>
              </w:rPr>
            </w:pPr>
            <w:r w:rsidRPr="00D34D77">
              <w:rPr>
                <w:sz w:val="20"/>
              </w:rPr>
              <w:t>3,0</w:t>
            </w:r>
          </w:p>
        </w:tc>
        <w:tc>
          <w:tcPr>
            <w:tcW w:w="1613" w:type="dxa"/>
            <w:shd w:val="clear" w:color="auto" w:fill="FFFFFF"/>
            <w:vAlign w:val="bottom"/>
          </w:tcPr>
          <w:p w14:paraId="640FA077" w14:textId="77777777" w:rsidR="00B834A2" w:rsidRPr="00D34D77" w:rsidRDefault="00B834A2" w:rsidP="00D34D77">
            <w:pPr>
              <w:spacing w:after="120"/>
              <w:jc w:val="center"/>
              <w:rPr>
                <w:sz w:val="20"/>
              </w:rPr>
            </w:pPr>
            <w:r w:rsidRPr="00D34D77">
              <w:rPr>
                <w:sz w:val="20"/>
              </w:rPr>
              <w:t>0,60</w:t>
            </w:r>
          </w:p>
        </w:tc>
        <w:tc>
          <w:tcPr>
            <w:tcW w:w="1891" w:type="dxa"/>
            <w:shd w:val="clear" w:color="auto" w:fill="FFFFFF"/>
          </w:tcPr>
          <w:p w14:paraId="468BE4B9" w14:textId="77777777" w:rsidR="00B834A2" w:rsidRPr="00D34D77" w:rsidRDefault="00B834A2" w:rsidP="00D34D77">
            <w:pPr>
              <w:spacing w:after="120"/>
              <w:jc w:val="center"/>
              <w:rPr>
                <w:sz w:val="20"/>
              </w:rPr>
            </w:pPr>
          </w:p>
        </w:tc>
        <w:tc>
          <w:tcPr>
            <w:tcW w:w="2189" w:type="dxa"/>
            <w:shd w:val="clear" w:color="auto" w:fill="FFFFFF"/>
            <w:vAlign w:val="bottom"/>
          </w:tcPr>
          <w:p w14:paraId="7FD271D5" w14:textId="77777777" w:rsidR="00B834A2" w:rsidRPr="00D34D77" w:rsidRDefault="00B834A2" w:rsidP="00D34D77">
            <w:pPr>
              <w:spacing w:after="120"/>
              <w:jc w:val="center"/>
              <w:rPr>
                <w:sz w:val="20"/>
              </w:rPr>
            </w:pPr>
            <w:r w:rsidRPr="00D34D77">
              <w:rPr>
                <w:sz w:val="20"/>
              </w:rPr>
              <w:t>1,0</w:t>
            </w:r>
          </w:p>
        </w:tc>
      </w:tr>
      <w:tr w:rsidR="00B834A2" w:rsidRPr="00D34D77" w14:paraId="7F9D2020" w14:textId="77777777" w:rsidTr="00D34D77">
        <w:trPr>
          <w:jc w:val="center"/>
        </w:trPr>
        <w:tc>
          <w:tcPr>
            <w:tcW w:w="1987" w:type="dxa"/>
            <w:shd w:val="clear" w:color="auto" w:fill="FFFFFF"/>
            <w:vAlign w:val="center"/>
          </w:tcPr>
          <w:p w14:paraId="2DAAE1B4" w14:textId="77777777" w:rsidR="00B834A2" w:rsidRPr="00D34D77" w:rsidRDefault="00B834A2" w:rsidP="00D34D77">
            <w:pPr>
              <w:spacing w:after="120"/>
              <w:jc w:val="center"/>
              <w:rPr>
                <w:sz w:val="20"/>
              </w:rPr>
            </w:pPr>
            <w:r w:rsidRPr="00D34D77">
              <w:rPr>
                <w:sz w:val="20"/>
              </w:rPr>
              <w:t>0,005</w:t>
            </w:r>
          </w:p>
        </w:tc>
        <w:tc>
          <w:tcPr>
            <w:tcW w:w="1954" w:type="dxa"/>
            <w:shd w:val="clear" w:color="auto" w:fill="FFFFFF"/>
            <w:vAlign w:val="bottom"/>
          </w:tcPr>
          <w:p w14:paraId="0FA17BC7" w14:textId="77777777" w:rsidR="00B834A2" w:rsidRPr="00D34D77" w:rsidRDefault="00B834A2" w:rsidP="00D34D77">
            <w:pPr>
              <w:spacing w:after="120"/>
              <w:jc w:val="center"/>
              <w:rPr>
                <w:sz w:val="20"/>
              </w:rPr>
            </w:pPr>
            <w:r w:rsidRPr="00D34D77">
              <w:rPr>
                <w:sz w:val="20"/>
              </w:rPr>
              <w:t>1,0</w:t>
            </w:r>
          </w:p>
        </w:tc>
        <w:tc>
          <w:tcPr>
            <w:tcW w:w="1613" w:type="dxa"/>
            <w:shd w:val="clear" w:color="auto" w:fill="FFFFFF"/>
          </w:tcPr>
          <w:p w14:paraId="41163C69" w14:textId="77777777" w:rsidR="00B834A2" w:rsidRPr="00D34D77" w:rsidRDefault="00B834A2" w:rsidP="00D34D77">
            <w:pPr>
              <w:spacing w:after="120"/>
              <w:jc w:val="center"/>
              <w:rPr>
                <w:sz w:val="20"/>
              </w:rPr>
            </w:pPr>
          </w:p>
        </w:tc>
        <w:tc>
          <w:tcPr>
            <w:tcW w:w="1891" w:type="dxa"/>
            <w:shd w:val="clear" w:color="auto" w:fill="FFFFFF"/>
            <w:vAlign w:val="bottom"/>
          </w:tcPr>
          <w:p w14:paraId="0D186E0D" w14:textId="77777777" w:rsidR="00B834A2" w:rsidRPr="00D34D77" w:rsidRDefault="00B834A2" w:rsidP="00D34D77">
            <w:pPr>
              <w:spacing w:after="120"/>
              <w:jc w:val="center"/>
              <w:rPr>
                <w:sz w:val="20"/>
              </w:rPr>
            </w:pPr>
            <w:r w:rsidRPr="00D34D77">
              <w:rPr>
                <w:sz w:val="20"/>
              </w:rPr>
              <w:t>2,0</w:t>
            </w:r>
          </w:p>
        </w:tc>
        <w:tc>
          <w:tcPr>
            <w:tcW w:w="2189" w:type="dxa"/>
            <w:shd w:val="clear" w:color="auto" w:fill="FFFFFF"/>
            <w:vAlign w:val="bottom"/>
          </w:tcPr>
          <w:p w14:paraId="7D429D65" w14:textId="77777777" w:rsidR="00B834A2" w:rsidRPr="00D34D77" w:rsidRDefault="00B834A2" w:rsidP="00D34D77">
            <w:pPr>
              <w:spacing w:after="120"/>
              <w:jc w:val="center"/>
              <w:rPr>
                <w:sz w:val="20"/>
              </w:rPr>
            </w:pPr>
            <w:r w:rsidRPr="00D34D77">
              <w:rPr>
                <w:sz w:val="20"/>
              </w:rPr>
              <w:t>1,0</w:t>
            </w:r>
          </w:p>
        </w:tc>
      </w:tr>
      <w:tr w:rsidR="00B834A2" w:rsidRPr="00D34D77" w14:paraId="3B82E68B" w14:textId="77777777" w:rsidTr="00D34D77">
        <w:trPr>
          <w:jc w:val="center"/>
        </w:trPr>
        <w:tc>
          <w:tcPr>
            <w:tcW w:w="1987" w:type="dxa"/>
            <w:tcBorders>
              <w:bottom w:val="single" w:sz="4" w:space="0" w:color="auto"/>
            </w:tcBorders>
            <w:shd w:val="clear" w:color="auto" w:fill="FFFFFF"/>
            <w:vAlign w:val="bottom"/>
          </w:tcPr>
          <w:p w14:paraId="49E67651" w14:textId="77777777" w:rsidR="00B834A2" w:rsidRPr="00D34D77" w:rsidRDefault="00B834A2" w:rsidP="00D34D77">
            <w:pPr>
              <w:spacing w:after="120"/>
              <w:jc w:val="center"/>
              <w:rPr>
                <w:sz w:val="20"/>
              </w:rPr>
            </w:pPr>
            <w:r w:rsidRPr="00D34D77">
              <w:rPr>
                <w:sz w:val="20"/>
              </w:rPr>
              <w:t>0,001</w:t>
            </w:r>
          </w:p>
        </w:tc>
        <w:tc>
          <w:tcPr>
            <w:tcW w:w="1954" w:type="dxa"/>
            <w:tcBorders>
              <w:bottom w:val="single" w:sz="4" w:space="0" w:color="auto"/>
            </w:tcBorders>
            <w:shd w:val="clear" w:color="auto" w:fill="FFFFFF"/>
            <w:vAlign w:val="bottom"/>
          </w:tcPr>
          <w:p w14:paraId="2955E3A9" w14:textId="77777777" w:rsidR="00B834A2" w:rsidRPr="00D34D77" w:rsidRDefault="00B834A2" w:rsidP="00D34D77">
            <w:pPr>
              <w:spacing w:after="120"/>
              <w:jc w:val="center"/>
              <w:rPr>
                <w:sz w:val="20"/>
              </w:rPr>
            </w:pPr>
            <w:r w:rsidRPr="00D34D77">
              <w:rPr>
                <w:sz w:val="20"/>
              </w:rPr>
              <w:t>0,2</w:t>
            </w:r>
          </w:p>
        </w:tc>
        <w:tc>
          <w:tcPr>
            <w:tcW w:w="1613" w:type="dxa"/>
            <w:tcBorders>
              <w:bottom w:val="single" w:sz="4" w:space="0" w:color="auto"/>
            </w:tcBorders>
            <w:shd w:val="clear" w:color="auto" w:fill="FFFFFF"/>
          </w:tcPr>
          <w:p w14:paraId="5F0B82E4" w14:textId="77777777" w:rsidR="00B834A2" w:rsidRPr="00D34D77" w:rsidRDefault="00B834A2" w:rsidP="00D34D77">
            <w:pPr>
              <w:spacing w:after="120"/>
              <w:jc w:val="center"/>
              <w:rPr>
                <w:sz w:val="20"/>
              </w:rPr>
            </w:pPr>
          </w:p>
        </w:tc>
        <w:tc>
          <w:tcPr>
            <w:tcW w:w="1891" w:type="dxa"/>
            <w:tcBorders>
              <w:bottom w:val="single" w:sz="4" w:space="0" w:color="auto"/>
            </w:tcBorders>
            <w:shd w:val="clear" w:color="auto" w:fill="FFFFFF"/>
            <w:vAlign w:val="center"/>
          </w:tcPr>
          <w:p w14:paraId="57A93D05" w14:textId="77777777" w:rsidR="00B834A2" w:rsidRPr="00D34D77" w:rsidRDefault="00B834A2" w:rsidP="00D34D77">
            <w:pPr>
              <w:spacing w:after="120"/>
              <w:jc w:val="center"/>
              <w:rPr>
                <w:sz w:val="20"/>
              </w:rPr>
            </w:pPr>
            <w:r w:rsidRPr="00D34D77">
              <w:rPr>
                <w:sz w:val="20"/>
              </w:rPr>
              <w:t>0,40</w:t>
            </w:r>
          </w:p>
        </w:tc>
        <w:tc>
          <w:tcPr>
            <w:tcW w:w="2189" w:type="dxa"/>
            <w:tcBorders>
              <w:bottom w:val="single" w:sz="4" w:space="0" w:color="auto"/>
            </w:tcBorders>
            <w:shd w:val="clear" w:color="auto" w:fill="FFFFFF"/>
            <w:vAlign w:val="bottom"/>
          </w:tcPr>
          <w:p w14:paraId="1296BAA4" w14:textId="77777777" w:rsidR="00B834A2" w:rsidRPr="00D34D77" w:rsidRDefault="00B834A2" w:rsidP="00D34D77">
            <w:pPr>
              <w:spacing w:after="120"/>
              <w:jc w:val="center"/>
              <w:rPr>
                <w:sz w:val="20"/>
              </w:rPr>
            </w:pPr>
            <w:r w:rsidRPr="00D34D77">
              <w:rPr>
                <w:sz w:val="20"/>
              </w:rPr>
              <w:t>1,0</w:t>
            </w:r>
          </w:p>
        </w:tc>
      </w:tr>
    </w:tbl>
    <w:p w14:paraId="27D3287B" w14:textId="77777777" w:rsidR="00B834A2" w:rsidRPr="006B7DC5" w:rsidRDefault="00890AE3" w:rsidP="00063A76">
      <w:pPr>
        <w:spacing w:after="160" w:line="360" w:lineRule="auto"/>
        <w:ind w:firstLine="567"/>
        <w:jc w:val="both"/>
        <w:rPr>
          <w:sz w:val="20"/>
          <w:szCs w:val="20"/>
        </w:rPr>
      </w:pPr>
      <w:r w:rsidRPr="00890AE3">
        <w:rPr>
          <w:sz w:val="20"/>
          <w:szCs w:val="20"/>
        </w:rPr>
        <w:t>* Փորձարկվող նմուշի 0,100 գ-ի մեջ կշռանմուշի հաշվարկով:</w:t>
      </w:r>
    </w:p>
    <w:p w14:paraId="6AC4C32F" w14:textId="77777777" w:rsidR="00063A76" w:rsidRPr="006B7DC5" w:rsidRDefault="00063A76" w:rsidP="00063A76">
      <w:pPr>
        <w:spacing w:after="160" w:line="360" w:lineRule="auto"/>
        <w:ind w:firstLine="567"/>
        <w:jc w:val="both"/>
        <w:rPr>
          <w:sz w:val="20"/>
          <w:szCs w:val="20"/>
        </w:rPr>
      </w:pPr>
    </w:p>
    <w:p w14:paraId="1980CD60" w14:textId="77777777" w:rsidR="00B834A2" w:rsidRPr="00B834A2" w:rsidRDefault="00B834A2" w:rsidP="00D34D77">
      <w:pPr>
        <w:spacing w:after="160" w:line="360" w:lineRule="auto"/>
        <w:ind w:firstLine="567"/>
        <w:jc w:val="both"/>
      </w:pPr>
      <w:r w:rsidRPr="00B834A2">
        <w:t>Աշտարակը հավասարակշռության են բերում պինդ ֆազային էքստրակցիայի (ՊՖԷ) համար (սորբենտն ակտիվ վիճակի են բերում):</w:t>
      </w:r>
    </w:p>
    <w:p w14:paraId="7D53938B" w14:textId="77777777" w:rsidR="00B834A2" w:rsidRPr="00B834A2" w:rsidRDefault="00B834A2" w:rsidP="00D34D77">
      <w:pPr>
        <w:spacing w:after="160" w:line="360" w:lineRule="auto"/>
        <w:ind w:firstLine="567"/>
        <w:jc w:val="both"/>
      </w:pPr>
      <w:r w:rsidRPr="00B834A2">
        <w:t xml:space="preserve">20 մլ տարողությամբ աշտարակը պարունակում է քրոմատագրման համար նախատեսված 1 գ Р էնդկեպացված [ծայրափակված] oկտադեցիլ-սիլիլային սիլիկագել (55 մկմ տրամագծով </w:t>
      </w:r>
      <w:r>
        <w:t>եւ</w:t>
      </w:r>
      <w:r w:rsidRPr="00B834A2">
        <w:t xml:space="preserve"> ծակոտիների 7 նմ չափով մասնիկներ) </w:t>
      </w:r>
      <w:r>
        <w:t>եւ</w:t>
      </w:r>
      <w:r w:rsidRPr="00B834A2">
        <w:t xml:space="preserve"> Р թորած ջրի մեջ 5 մլ 50 % (ծավ./ծավ.) Р էթանոլի լուծույթ (96%):</w:t>
      </w:r>
    </w:p>
    <w:p w14:paraId="0A503A21" w14:textId="77777777" w:rsidR="00B834A2" w:rsidRPr="009217DE" w:rsidRDefault="00B834A2" w:rsidP="00D34D77">
      <w:pPr>
        <w:spacing w:after="160" w:line="360" w:lineRule="auto"/>
        <w:ind w:firstLine="567"/>
        <w:jc w:val="both"/>
      </w:pPr>
      <w:r w:rsidRPr="00B834A2">
        <w:t>5,0 մլ համասեռ խառնուրդը ներմուծում են ՊՖԷ աշտարակի մեջ՝ հետ</w:t>
      </w:r>
      <w:r>
        <w:t>եւ</w:t>
      </w:r>
      <w:r w:rsidRPr="00B834A2">
        <w:t>ելով, որ աշտարակը միշտ լինի խոնավ: Աշտարակը լվանում են Р թորած ջրի մեջ 5,0 մլ 50 % (ծավ./ծավ.) Р էթանոլի լուծույթով (96%): Էլյուացումը կատարում են՝ օգտագործելով Р հեպտանի մեջ Р էթիլացետատի 20,0 մլ 10 % (ծավ./ծավ.) լուծույթ: Ստացված էլյուատն օգտագործում են որպես փորձարկվող լուծույթ:</w:t>
      </w:r>
    </w:p>
    <w:p w14:paraId="42D2B691" w14:textId="77777777" w:rsidR="00B834A2" w:rsidRPr="002E52D1" w:rsidRDefault="00B834A2" w:rsidP="00D34D77">
      <w:pPr>
        <w:spacing w:after="160" w:line="360" w:lineRule="auto"/>
        <w:ind w:firstLine="567"/>
        <w:jc w:val="both"/>
        <w:rPr>
          <w:i/>
        </w:rPr>
      </w:pPr>
      <w:r w:rsidRPr="00B834A2">
        <w:rPr>
          <w:i/>
        </w:rPr>
        <w:lastRenderedPageBreak/>
        <w:t>Քրոմատագրման պայմանները՝</w:t>
      </w:r>
    </w:p>
    <w:p w14:paraId="28B2A375"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B834A2">
        <w:rPr>
          <w:i/>
        </w:rPr>
        <w:t>աշտարակը՝</w:t>
      </w:r>
      <w:r w:rsidRPr="00B834A2">
        <w:t xml:space="preserve"> մազանոթային, 15 մ երկարությամբ </w:t>
      </w:r>
      <w:r>
        <w:t>եւ</w:t>
      </w:r>
      <w:r w:rsidRPr="00B834A2">
        <w:t xml:space="preserve"> 0,25 մմ ներքին տրամագծով ջերմակայուն կվարցից, 0,25 մկմ հաստությամբ Р ֆենիլ(5)մեթիլ(95)պոլիսիլօքսանով պատված.</w:t>
      </w:r>
    </w:p>
    <w:p w14:paraId="68357D9E" w14:textId="77777777" w:rsidR="00B834A2" w:rsidRPr="00097504" w:rsidRDefault="00B834A2" w:rsidP="00D34D77">
      <w:pPr>
        <w:tabs>
          <w:tab w:val="left" w:pos="1134"/>
        </w:tabs>
        <w:spacing w:after="160" w:line="360" w:lineRule="auto"/>
        <w:ind w:firstLine="567"/>
        <w:jc w:val="both"/>
      </w:pPr>
      <w:r w:rsidRPr="00B834A2">
        <w:t>-</w:t>
      </w:r>
      <w:r w:rsidR="00D34D77" w:rsidRPr="00D34D77">
        <w:tab/>
      </w:r>
      <w:r w:rsidRPr="00890AE3">
        <w:rPr>
          <w:i/>
        </w:rPr>
        <w:t>կրող գազը՝</w:t>
      </w:r>
      <w:r w:rsidRPr="00B834A2">
        <w:t xml:space="preserve"> Р հելիում՝ քրոմատագրման համար.</w:t>
      </w:r>
    </w:p>
    <w:p w14:paraId="6721067D"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890AE3">
        <w:rPr>
          <w:i/>
        </w:rPr>
        <w:t>ճնշումը՝</w:t>
      </w:r>
      <w:r w:rsidRPr="00B834A2">
        <w:t xml:space="preserve"> 48 կՊա (համապատասխանում է կրող գազի՝ մոտավորապես 0,6 մլ/րոպե արագությանը 200 °С ջերմաստիճանում </w:t>
      </w:r>
      <w:r>
        <w:t>եւ</w:t>
      </w:r>
      <w:r w:rsidRPr="00B834A2">
        <w:t xml:space="preserve"> մոտավորապես՝ 0,4</w:t>
      </w:r>
      <w:r w:rsidR="003244DF" w:rsidRPr="003244DF">
        <w:t> </w:t>
      </w:r>
      <w:r w:rsidRPr="00B834A2">
        <w:t>մլ/րոպե 330 °С ջերմաստիճանում)</w:t>
      </w:r>
    </w:p>
    <w:p w14:paraId="7902DF6B" w14:textId="77777777" w:rsidR="00B834A2" w:rsidRPr="00B834A2" w:rsidRDefault="00B834A2" w:rsidP="00D34D77">
      <w:pPr>
        <w:tabs>
          <w:tab w:val="left" w:pos="1134"/>
        </w:tabs>
        <w:spacing w:after="160" w:line="360" w:lineRule="auto"/>
        <w:ind w:firstLine="567"/>
        <w:jc w:val="both"/>
        <w:rPr>
          <w:i/>
        </w:rPr>
      </w:pPr>
      <w:r w:rsidRPr="00B834A2">
        <w:t>-</w:t>
      </w:r>
      <w:r w:rsidR="00D34D77" w:rsidRPr="00097504">
        <w:tab/>
      </w:r>
      <w:r w:rsidRPr="00B834A2">
        <w:rPr>
          <w:i/>
        </w:rPr>
        <w:t>հոսքի բաժանումը՝ 1:5,</w:t>
      </w:r>
    </w:p>
    <w:p w14:paraId="7E420F4B" w14:textId="77777777" w:rsidR="00B834A2" w:rsidRPr="00B834A2" w:rsidRDefault="00B834A2" w:rsidP="00D34D77">
      <w:pPr>
        <w:tabs>
          <w:tab w:val="left" w:pos="1134"/>
        </w:tabs>
        <w:spacing w:after="160" w:line="360" w:lineRule="auto"/>
        <w:ind w:firstLine="567"/>
        <w:jc w:val="both"/>
        <w:rPr>
          <w:i/>
        </w:rPr>
      </w:pPr>
      <w:r w:rsidRPr="00B834A2">
        <w:rPr>
          <w:i/>
        </w:rPr>
        <w:t>-</w:t>
      </w:r>
      <w:r w:rsidR="00D34D77" w:rsidRPr="00D34D77">
        <w:rPr>
          <w:i/>
        </w:rPr>
        <w:tab/>
      </w:r>
      <w:r w:rsidRPr="00B834A2">
        <w:rPr>
          <w:i/>
        </w:rPr>
        <w:t>ջերմաստիճանի փոփոխման ռեժիմը՝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39"/>
        <w:gridCol w:w="1843"/>
        <w:gridCol w:w="2268"/>
      </w:tblGrid>
      <w:tr w:rsidR="00B834A2" w:rsidRPr="00D34D77" w14:paraId="2CDF0660" w14:textId="77777777" w:rsidTr="00890AE3">
        <w:trPr>
          <w:jc w:val="center"/>
        </w:trPr>
        <w:tc>
          <w:tcPr>
            <w:tcW w:w="2739" w:type="dxa"/>
            <w:tcBorders>
              <w:top w:val="single" w:sz="4" w:space="0" w:color="auto"/>
            </w:tcBorders>
            <w:shd w:val="clear" w:color="auto" w:fill="FFFFFF"/>
          </w:tcPr>
          <w:p w14:paraId="4751A12A" w14:textId="77777777" w:rsidR="00B834A2" w:rsidRPr="00D34D77" w:rsidRDefault="00B834A2" w:rsidP="00D34D77">
            <w:pPr>
              <w:spacing w:after="120"/>
              <w:jc w:val="both"/>
              <w:rPr>
                <w:sz w:val="20"/>
              </w:rPr>
            </w:pPr>
          </w:p>
        </w:tc>
        <w:tc>
          <w:tcPr>
            <w:tcW w:w="1843" w:type="dxa"/>
            <w:tcBorders>
              <w:top w:val="single" w:sz="4" w:space="0" w:color="auto"/>
            </w:tcBorders>
            <w:shd w:val="clear" w:color="auto" w:fill="FFFFFF"/>
            <w:vAlign w:val="bottom"/>
          </w:tcPr>
          <w:p w14:paraId="21A097E9" w14:textId="77777777" w:rsidR="00B834A2" w:rsidRPr="00D34D77" w:rsidRDefault="00B834A2" w:rsidP="00D34D77">
            <w:pPr>
              <w:spacing w:after="120"/>
              <w:jc w:val="both"/>
              <w:rPr>
                <w:sz w:val="20"/>
              </w:rPr>
            </w:pPr>
            <w:r w:rsidRPr="00D34D77">
              <w:rPr>
                <w:sz w:val="20"/>
              </w:rPr>
              <w:t>Ժամանակը (րոպե)</w:t>
            </w:r>
          </w:p>
        </w:tc>
        <w:tc>
          <w:tcPr>
            <w:tcW w:w="2268" w:type="dxa"/>
            <w:tcBorders>
              <w:top w:val="single" w:sz="4" w:space="0" w:color="auto"/>
            </w:tcBorders>
            <w:shd w:val="clear" w:color="auto" w:fill="FFFFFF"/>
            <w:vAlign w:val="bottom"/>
          </w:tcPr>
          <w:p w14:paraId="28F07C58" w14:textId="77777777" w:rsidR="00B834A2" w:rsidRPr="00D34D77" w:rsidRDefault="00B834A2" w:rsidP="00D34D77">
            <w:pPr>
              <w:spacing w:after="120"/>
              <w:jc w:val="both"/>
              <w:rPr>
                <w:sz w:val="20"/>
              </w:rPr>
            </w:pPr>
            <w:r w:rsidRPr="00D34D77">
              <w:rPr>
                <w:sz w:val="20"/>
              </w:rPr>
              <w:t>Ջերմաստիճանը (°С)</w:t>
            </w:r>
          </w:p>
        </w:tc>
      </w:tr>
      <w:tr w:rsidR="00B834A2" w:rsidRPr="00D34D77" w14:paraId="382E2EAF" w14:textId="77777777" w:rsidTr="00890AE3">
        <w:trPr>
          <w:jc w:val="center"/>
        </w:trPr>
        <w:tc>
          <w:tcPr>
            <w:tcW w:w="2739" w:type="dxa"/>
            <w:tcBorders>
              <w:top w:val="single" w:sz="4" w:space="0" w:color="auto"/>
            </w:tcBorders>
            <w:shd w:val="clear" w:color="auto" w:fill="FFFFFF"/>
            <w:vAlign w:val="center"/>
          </w:tcPr>
          <w:p w14:paraId="03045284" w14:textId="77777777" w:rsidR="00B834A2" w:rsidRPr="00D34D77" w:rsidRDefault="00B834A2" w:rsidP="00D34D77">
            <w:pPr>
              <w:spacing w:after="120"/>
              <w:jc w:val="both"/>
              <w:rPr>
                <w:sz w:val="20"/>
              </w:rPr>
            </w:pPr>
            <w:r w:rsidRPr="00D34D77">
              <w:rPr>
                <w:sz w:val="20"/>
              </w:rPr>
              <w:t>Աշտարակը</w:t>
            </w:r>
          </w:p>
        </w:tc>
        <w:tc>
          <w:tcPr>
            <w:tcW w:w="1843" w:type="dxa"/>
            <w:tcBorders>
              <w:top w:val="single" w:sz="4" w:space="0" w:color="auto"/>
            </w:tcBorders>
            <w:shd w:val="clear" w:color="auto" w:fill="FFFFFF"/>
            <w:vAlign w:val="center"/>
          </w:tcPr>
          <w:p w14:paraId="57DE49EC" w14:textId="77777777" w:rsidR="00B834A2" w:rsidRPr="00D34D77" w:rsidRDefault="00B834A2" w:rsidP="00D34D77">
            <w:pPr>
              <w:spacing w:after="120"/>
              <w:jc w:val="center"/>
              <w:rPr>
                <w:sz w:val="20"/>
              </w:rPr>
            </w:pPr>
            <w:r w:rsidRPr="00D34D77">
              <w:rPr>
                <w:sz w:val="20"/>
              </w:rPr>
              <w:t>0-1</w:t>
            </w:r>
          </w:p>
        </w:tc>
        <w:tc>
          <w:tcPr>
            <w:tcW w:w="2268" w:type="dxa"/>
            <w:tcBorders>
              <w:top w:val="single" w:sz="4" w:space="0" w:color="auto"/>
            </w:tcBorders>
            <w:shd w:val="clear" w:color="auto" w:fill="FFFFFF"/>
            <w:vAlign w:val="bottom"/>
          </w:tcPr>
          <w:p w14:paraId="05C6D6E1" w14:textId="77777777" w:rsidR="00B834A2" w:rsidRPr="00D34D77" w:rsidRDefault="00B834A2" w:rsidP="00D34D77">
            <w:pPr>
              <w:spacing w:after="120"/>
              <w:jc w:val="center"/>
              <w:rPr>
                <w:sz w:val="20"/>
              </w:rPr>
            </w:pPr>
            <w:r w:rsidRPr="00D34D77">
              <w:rPr>
                <w:sz w:val="20"/>
              </w:rPr>
              <w:t>200</w:t>
            </w:r>
          </w:p>
        </w:tc>
      </w:tr>
      <w:tr w:rsidR="00B834A2" w:rsidRPr="00D34D77" w14:paraId="5ED67F89" w14:textId="77777777" w:rsidTr="00890AE3">
        <w:trPr>
          <w:jc w:val="center"/>
        </w:trPr>
        <w:tc>
          <w:tcPr>
            <w:tcW w:w="2739" w:type="dxa"/>
            <w:shd w:val="clear" w:color="auto" w:fill="FFFFFF"/>
          </w:tcPr>
          <w:p w14:paraId="5EC1CB36" w14:textId="77777777" w:rsidR="00B834A2" w:rsidRPr="00D34D77" w:rsidRDefault="00B834A2" w:rsidP="00D34D77">
            <w:pPr>
              <w:spacing w:after="120"/>
              <w:jc w:val="both"/>
              <w:rPr>
                <w:sz w:val="20"/>
              </w:rPr>
            </w:pPr>
          </w:p>
        </w:tc>
        <w:tc>
          <w:tcPr>
            <w:tcW w:w="1843" w:type="dxa"/>
            <w:shd w:val="clear" w:color="auto" w:fill="FFFFFF"/>
            <w:vAlign w:val="bottom"/>
          </w:tcPr>
          <w:p w14:paraId="4B9DB613" w14:textId="77777777" w:rsidR="00B834A2" w:rsidRPr="00D34D77" w:rsidRDefault="00B834A2" w:rsidP="00D34D77">
            <w:pPr>
              <w:spacing w:after="120"/>
              <w:jc w:val="center"/>
              <w:rPr>
                <w:sz w:val="20"/>
              </w:rPr>
            </w:pPr>
            <w:r w:rsidRPr="00D34D77">
              <w:rPr>
                <w:sz w:val="20"/>
              </w:rPr>
              <w:t>1</w:t>
            </w:r>
            <w:r w:rsidR="00D34D77">
              <w:rPr>
                <w:sz w:val="20"/>
                <w:lang w:val="en-US"/>
              </w:rPr>
              <w:t>-</w:t>
            </w:r>
            <w:r w:rsidRPr="00D34D77">
              <w:rPr>
                <w:sz w:val="20"/>
              </w:rPr>
              <w:t>7,5</w:t>
            </w:r>
          </w:p>
        </w:tc>
        <w:tc>
          <w:tcPr>
            <w:tcW w:w="2268" w:type="dxa"/>
            <w:shd w:val="clear" w:color="auto" w:fill="FFFFFF"/>
            <w:vAlign w:val="bottom"/>
          </w:tcPr>
          <w:p w14:paraId="7C5EE079" w14:textId="77777777" w:rsidR="00B834A2" w:rsidRPr="00D34D77" w:rsidRDefault="00B834A2" w:rsidP="00D34D77">
            <w:pPr>
              <w:spacing w:after="120"/>
              <w:jc w:val="center"/>
              <w:rPr>
                <w:sz w:val="20"/>
              </w:rPr>
            </w:pPr>
            <w:r w:rsidRPr="00D34D77">
              <w:rPr>
                <w:sz w:val="20"/>
              </w:rPr>
              <w:t xml:space="preserve">200 </w:t>
            </w:r>
            <w:r w:rsidRPr="00D34D77">
              <w:rPr>
                <w:rFonts w:ascii="Times New Roman" w:hAnsi="Times New Roman" w:cs="Times New Roman"/>
                <w:sz w:val="20"/>
              </w:rPr>
              <w:t>→</w:t>
            </w:r>
            <w:r w:rsidRPr="00D34D77">
              <w:rPr>
                <w:sz w:val="20"/>
              </w:rPr>
              <w:t xml:space="preserve"> 330</w:t>
            </w:r>
          </w:p>
        </w:tc>
      </w:tr>
      <w:tr w:rsidR="00B834A2" w:rsidRPr="00D34D77" w14:paraId="25759F42" w14:textId="77777777" w:rsidTr="00890AE3">
        <w:trPr>
          <w:jc w:val="center"/>
        </w:trPr>
        <w:tc>
          <w:tcPr>
            <w:tcW w:w="2739" w:type="dxa"/>
            <w:shd w:val="clear" w:color="auto" w:fill="FFFFFF"/>
          </w:tcPr>
          <w:p w14:paraId="65E79517" w14:textId="77777777" w:rsidR="00B834A2" w:rsidRPr="00D34D77" w:rsidRDefault="00B834A2" w:rsidP="00D34D77">
            <w:pPr>
              <w:spacing w:after="120"/>
              <w:jc w:val="both"/>
              <w:rPr>
                <w:sz w:val="20"/>
              </w:rPr>
            </w:pPr>
          </w:p>
        </w:tc>
        <w:tc>
          <w:tcPr>
            <w:tcW w:w="1843" w:type="dxa"/>
            <w:shd w:val="clear" w:color="auto" w:fill="FFFFFF"/>
            <w:vAlign w:val="bottom"/>
          </w:tcPr>
          <w:p w14:paraId="004F89E5" w14:textId="77777777" w:rsidR="00B834A2" w:rsidRPr="00D34D77" w:rsidRDefault="00D34D77" w:rsidP="00D34D77">
            <w:pPr>
              <w:spacing w:after="120"/>
              <w:jc w:val="center"/>
              <w:rPr>
                <w:sz w:val="20"/>
              </w:rPr>
            </w:pPr>
            <w:r>
              <w:rPr>
                <w:sz w:val="20"/>
              </w:rPr>
              <w:t>7,5-</w:t>
            </w:r>
            <w:r w:rsidR="00B834A2" w:rsidRPr="00D34D77">
              <w:rPr>
                <w:sz w:val="20"/>
              </w:rPr>
              <w:t>10</w:t>
            </w:r>
          </w:p>
        </w:tc>
        <w:tc>
          <w:tcPr>
            <w:tcW w:w="2268" w:type="dxa"/>
            <w:shd w:val="clear" w:color="auto" w:fill="FFFFFF"/>
            <w:vAlign w:val="bottom"/>
          </w:tcPr>
          <w:p w14:paraId="0669D74F" w14:textId="77777777" w:rsidR="00B834A2" w:rsidRPr="00D34D77" w:rsidRDefault="00B834A2" w:rsidP="00D34D77">
            <w:pPr>
              <w:spacing w:after="120"/>
              <w:jc w:val="center"/>
              <w:rPr>
                <w:sz w:val="20"/>
              </w:rPr>
            </w:pPr>
            <w:r w:rsidRPr="00D34D77">
              <w:rPr>
                <w:sz w:val="20"/>
              </w:rPr>
              <w:t>330</w:t>
            </w:r>
          </w:p>
        </w:tc>
      </w:tr>
      <w:tr w:rsidR="00B834A2" w:rsidRPr="00D34D77" w14:paraId="5630E69F" w14:textId="77777777" w:rsidTr="00890AE3">
        <w:trPr>
          <w:jc w:val="center"/>
        </w:trPr>
        <w:tc>
          <w:tcPr>
            <w:tcW w:w="4582" w:type="dxa"/>
            <w:gridSpan w:val="2"/>
            <w:shd w:val="clear" w:color="auto" w:fill="FFFFFF"/>
            <w:vAlign w:val="bottom"/>
          </w:tcPr>
          <w:p w14:paraId="2C6B799C" w14:textId="77777777" w:rsidR="00B834A2" w:rsidRPr="00D34D77" w:rsidRDefault="00B834A2" w:rsidP="00D34D77">
            <w:pPr>
              <w:spacing w:after="120"/>
              <w:jc w:val="both"/>
              <w:rPr>
                <w:sz w:val="20"/>
              </w:rPr>
            </w:pPr>
            <w:r w:rsidRPr="00D34D77">
              <w:rPr>
                <w:sz w:val="20"/>
              </w:rPr>
              <w:t>Փորձանմուշների ներմուծման բլոկը (ինժեկտորը)</w:t>
            </w:r>
          </w:p>
        </w:tc>
        <w:tc>
          <w:tcPr>
            <w:tcW w:w="2268" w:type="dxa"/>
            <w:shd w:val="clear" w:color="auto" w:fill="FFFFFF"/>
            <w:vAlign w:val="bottom"/>
          </w:tcPr>
          <w:p w14:paraId="32252609" w14:textId="77777777" w:rsidR="00B834A2" w:rsidRPr="00D34D77" w:rsidRDefault="00B834A2" w:rsidP="00D34D77">
            <w:pPr>
              <w:spacing w:after="120"/>
              <w:jc w:val="center"/>
              <w:rPr>
                <w:sz w:val="20"/>
              </w:rPr>
            </w:pPr>
            <w:r w:rsidRPr="00D34D77">
              <w:rPr>
                <w:sz w:val="20"/>
              </w:rPr>
              <w:t>250</w:t>
            </w:r>
          </w:p>
        </w:tc>
      </w:tr>
      <w:tr w:rsidR="00B834A2" w:rsidRPr="00D34D77" w14:paraId="3A34D168" w14:textId="77777777" w:rsidTr="00890AE3">
        <w:trPr>
          <w:jc w:val="center"/>
        </w:trPr>
        <w:tc>
          <w:tcPr>
            <w:tcW w:w="4582" w:type="dxa"/>
            <w:gridSpan w:val="2"/>
            <w:tcBorders>
              <w:bottom w:val="single" w:sz="4" w:space="0" w:color="auto"/>
            </w:tcBorders>
            <w:shd w:val="clear" w:color="auto" w:fill="FFFFFF"/>
          </w:tcPr>
          <w:p w14:paraId="2D0C3E90" w14:textId="77777777" w:rsidR="00B834A2" w:rsidRPr="00D34D77" w:rsidRDefault="00B834A2" w:rsidP="00D34D77">
            <w:pPr>
              <w:spacing w:after="120"/>
              <w:jc w:val="both"/>
              <w:rPr>
                <w:sz w:val="20"/>
              </w:rPr>
            </w:pPr>
            <w:r w:rsidRPr="00D34D77">
              <w:rPr>
                <w:sz w:val="20"/>
              </w:rPr>
              <w:t>Դետեկտորը</w:t>
            </w:r>
          </w:p>
        </w:tc>
        <w:tc>
          <w:tcPr>
            <w:tcW w:w="2268" w:type="dxa"/>
            <w:tcBorders>
              <w:bottom w:val="single" w:sz="4" w:space="0" w:color="auto"/>
            </w:tcBorders>
            <w:shd w:val="clear" w:color="auto" w:fill="FFFFFF"/>
          </w:tcPr>
          <w:p w14:paraId="49C8DF8C" w14:textId="77777777" w:rsidR="00B834A2" w:rsidRPr="00D34D77" w:rsidRDefault="00B834A2" w:rsidP="00D34D77">
            <w:pPr>
              <w:spacing w:after="120"/>
              <w:jc w:val="center"/>
              <w:rPr>
                <w:sz w:val="20"/>
              </w:rPr>
            </w:pPr>
            <w:r w:rsidRPr="00D34D77">
              <w:rPr>
                <w:sz w:val="20"/>
              </w:rPr>
              <w:t>340</w:t>
            </w:r>
          </w:p>
        </w:tc>
      </w:tr>
    </w:tbl>
    <w:p w14:paraId="17524A91" w14:textId="77777777" w:rsidR="00B834A2" w:rsidRPr="00B834A2" w:rsidRDefault="00B834A2" w:rsidP="00B834A2">
      <w:pPr>
        <w:spacing w:after="160" w:line="360" w:lineRule="auto"/>
        <w:jc w:val="both"/>
      </w:pPr>
    </w:p>
    <w:p w14:paraId="4B03509A" w14:textId="77777777" w:rsidR="00B834A2" w:rsidRPr="00B834A2" w:rsidRDefault="00B834A2" w:rsidP="00D34D77">
      <w:pPr>
        <w:spacing w:after="160" w:line="360" w:lineRule="auto"/>
        <w:ind w:firstLine="567"/>
        <w:jc w:val="both"/>
      </w:pPr>
      <w:r w:rsidRPr="00B834A2">
        <w:t>Նախքան փորձարկումն սկսելն աշտարակը տաքացնում են մինչ</w:t>
      </w:r>
      <w:r>
        <w:t>եւ</w:t>
      </w:r>
      <w:r w:rsidRPr="00B834A2">
        <w:t xml:space="preserve"> 340 °С ջերմաստիճանն առնվազն 30 րոպե՝ նշված ճնշման տակ.</w:t>
      </w:r>
    </w:p>
    <w:p w14:paraId="5937F910"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890AE3">
        <w:rPr>
          <w:i/>
        </w:rPr>
        <w:t>դետեկտորը</w:t>
      </w:r>
      <w:r w:rsidRPr="00B834A2">
        <w:t>՝ բոցային իոնիզացիոն.</w:t>
      </w:r>
    </w:p>
    <w:p w14:paraId="535AC1D7"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890AE3">
        <w:rPr>
          <w:i/>
        </w:rPr>
        <w:t>ներմուծվող փորձանմուշի ծավալը</w:t>
      </w:r>
      <w:r w:rsidRPr="00B834A2">
        <w:t>՝ 1 մկլ.</w:t>
      </w:r>
    </w:p>
    <w:p w14:paraId="5BCB2594"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890AE3">
        <w:rPr>
          <w:i/>
        </w:rPr>
        <w:t>պահման ժամանակը</w:t>
      </w:r>
      <w:r w:rsidRPr="00B834A2">
        <w:t>՝ (5α)-խոլեստան՝ մոտավորապես 7,5 րոպե, խոլեստերին՝ մոտավորապես 9 րոպե.</w:t>
      </w:r>
    </w:p>
    <w:p w14:paraId="1B6D7BC1"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890AE3">
        <w:rPr>
          <w:i/>
        </w:rPr>
        <w:t>ստուգաճշտման կորը՝</w:t>
      </w:r>
      <w:r w:rsidRPr="00B834A2">
        <w:t xml:space="preserve"> ստուգաճշտման կորը կառուցում են՝ աբսցիսների առանցքի երկայնքով (х առանցք) նշելով չափաբերման լուծույթներից յուրաքանչյուրի մեջ խոլեստերինի նոմինալ կոնցենտրացիան՝ մեկ գրամին բաժին ընկնող միլիգրամներով, օրդինատների առանցքի երկայնքով (y առանցք) </w:t>
      </w:r>
      <w:r w:rsidRPr="00B834A2">
        <w:lastRenderedPageBreak/>
        <w:t>նշում</w:t>
      </w:r>
      <w:r w:rsidR="00133111" w:rsidRPr="00133111">
        <w:t> </w:t>
      </w:r>
      <w:r w:rsidRPr="00B834A2">
        <w:t xml:space="preserve">ենք խոլեստերինի պիկի մակերեսի (А1) </w:t>
      </w:r>
      <w:r>
        <w:t>եւ</w:t>
      </w:r>
      <w:r w:rsidRPr="00B834A2">
        <w:t xml:space="preserve"> (5α)-խոլեստանի պիկի մակերեսի (А2) հարաբերակցությունն այն քրոմատագրի վրա, որն ստացվել է չափաբերման լուծույթներից յուրաքանչյուրից: Հաշվարկում են (S) թեքությունը </w:t>
      </w:r>
      <w:r>
        <w:t>եւ</w:t>
      </w:r>
      <w:r w:rsidRPr="00B834A2">
        <w:t xml:space="preserve"> օրդինատների առանցքի հետ հատումը (у առանցք):</w:t>
      </w:r>
    </w:p>
    <w:p w14:paraId="52315E8C" w14:textId="77777777" w:rsidR="00B834A2" w:rsidRPr="00B834A2" w:rsidRDefault="00B834A2" w:rsidP="00D34D77">
      <w:pPr>
        <w:spacing w:after="160" w:line="360" w:lineRule="auto"/>
        <w:ind w:firstLine="567"/>
        <w:jc w:val="both"/>
      </w:pPr>
      <w:r w:rsidRPr="00B834A2">
        <w:t>Քրոմատագրման համակարգի պիտանիությունը՝</w:t>
      </w:r>
    </w:p>
    <w:p w14:paraId="4B050CFB"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B834A2">
        <w:rPr>
          <w:i/>
        </w:rPr>
        <w:t>լուծաչափը՝</w:t>
      </w:r>
      <w:r w:rsidRPr="00B834A2">
        <w:t xml:space="preserve"> խոլեստերինի </w:t>
      </w:r>
      <w:r>
        <w:t>եւ</w:t>
      </w:r>
      <w:r w:rsidRPr="00B834A2">
        <w:t xml:space="preserve"> α-տոկոֆերոլի պիկերի միջ</w:t>
      </w:r>
      <w:r>
        <w:t>եւ</w:t>
      </w:r>
      <w:r w:rsidRPr="00B834A2">
        <w:t xml:space="preserve"> առնվազն 1,5՝ համեմատման լուծույթի քրոմատագրի վրա.</w:t>
      </w:r>
    </w:p>
    <w:p w14:paraId="1BCFD725"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B834A2">
        <w:rPr>
          <w:i/>
        </w:rPr>
        <w:t>ստուգաճշտման կորի վրա դետերմինացման գործակիցը</w:t>
      </w:r>
      <w:r w:rsidRPr="00B834A2">
        <w:t xml:space="preserve"> (R2) կազմում է առնվազն 0,995:</w:t>
      </w:r>
    </w:p>
    <w:p w14:paraId="0F7D77BE" w14:textId="77777777" w:rsidR="00B834A2" w:rsidRPr="00B834A2" w:rsidRDefault="00B834A2" w:rsidP="00D34D77">
      <w:pPr>
        <w:spacing w:after="160" w:line="360" w:lineRule="auto"/>
        <w:ind w:firstLine="567"/>
        <w:jc w:val="both"/>
      </w:pPr>
      <w:r w:rsidRPr="00B834A2">
        <w:t>Փորձարկվող նյութի մեջ ընդհանուր խոլեստերինի պարունակությունը (մեկ գրամին բաժին ընկնող միլիգրամներով) հաշվարկում են հետ</w:t>
      </w:r>
      <w:r>
        <w:t>եւ</w:t>
      </w:r>
      <w:r w:rsidRPr="00B834A2">
        <w:t>յալ բանաձ</w:t>
      </w:r>
      <w:r>
        <w:t>եւ</w:t>
      </w:r>
      <w:r w:rsidRPr="00B834A2">
        <w:t>ով.</w:t>
      </w:r>
    </w:p>
    <w:p w14:paraId="5B676A92" w14:textId="77777777" w:rsidR="00B834A2" w:rsidRPr="00B834A2" w:rsidRDefault="00000000" w:rsidP="00B834A2">
      <w:pPr>
        <w:spacing w:after="160" w:line="360" w:lineRule="auto"/>
        <w:jc w:val="both"/>
      </w:pPr>
      <m:oMathPara>
        <m:oMath>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2</m:t>
                      </m:r>
                    </m:sub>
                  </m:sSub>
                </m:den>
              </m:f>
              <m:r>
                <m:rPr>
                  <m:sty m:val="p"/>
                </m:rPr>
                <w:rPr>
                  <w:rFonts w:ascii="Cambria Math" w:hAnsi="Cambria Math"/>
                </w:rPr>
                <m:t>-</m:t>
              </m:r>
              <m:r>
                <w:rPr>
                  <w:rFonts w:ascii="Cambria Math" w:hAnsi="Cambria Math"/>
                </w:rPr>
                <m:t>Y</m:t>
              </m:r>
            </m:num>
            <m:den>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r>
                <w:rPr>
                  <w:rFonts w:ascii="Cambria Math" w:hAnsi="Cambria Math"/>
                </w:rPr>
                <m:t>S</m:t>
              </m:r>
              <m:r>
                <m:rPr>
                  <m:sty m:val="p"/>
                </m:rPr>
                <w:rPr>
                  <w:rFonts w:ascii="Cambria Math" w:hAnsi="Cambria Math"/>
                </w:rPr>
                <m:t>)</m:t>
              </m:r>
            </m:den>
          </m:f>
          <m:r>
            <m:rPr>
              <m:sty m:val="p"/>
            </m:rPr>
            <w:rPr>
              <w:rFonts w:ascii="Cambria Math" w:hAnsi="Cambria Math"/>
            </w:rPr>
            <m:t>∙0,100,</m:t>
          </m:r>
        </m:oMath>
      </m:oMathPara>
    </w:p>
    <w:p w14:paraId="297045DF" w14:textId="77777777" w:rsidR="00B834A2" w:rsidRPr="00B834A2" w:rsidRDefault="00B834A2" w:rsidP="00D34D77">
      <w:pPr>
        <w:spacing w:after="160" w:line="360" w:lineRule="auto"/>
        <w:ind w:firstLine="567"/>
        <w:jc w:val="both"/>
      </w:pPr>
      <w:r w:rsidRPr="00B834A2">
        <w:t xml:space="preserve">որտեղ՝ </w:t>
      </w:r>
    </w:p>
    <w:p w14:paraId="533545E4" w14:textId="77777777" w:rsidR="00B834A2" w:rsidRPr="00B834A2" w:rsidRDefault="00B834A2" w:rsidP="00D34D77">
      <w:pPr>
        <w:spacing w:after="160" w:line="360" w:lineRule="auto"/>
        <w:ind w:firstLine="567"/>
        <w:jc w:val="both"/>
      </w:pPr>
      <w:r w:rsidRPr="00890AE3">
        <w:rPr>
          <w:i/>
        </w:rPr>
        <w:t>А</w:t>
      </w:r>
      <w:r w:rsidRPr="00890AE3">
        <w:rPr>
          <w:i/>
          <w:vertAlign w:val="subscript"/>
        </w:rPr>
        <w:t>1</w:t>
      </w:r>
      <w:r w:rsidRPr="00B834A2">
        <w:t>-ը փորձարկվող լուծույթի քրոմատագրի վրա խոլեստերինի պիկի մակերեսն է.</w:t>
      </w:r>
    </w:p>
    <w:p w14:paraId="3DC7196A" w14:textId="77777777" w:rsidR="00B834A2" w:rsidRPr="00B834A2" w:rsidRDefault="00B834A2" w:rsidP="00D34D77">
      <w:pPr>
        <w:spacing w:after="160" w:line="360" w:lineRule="auto"/>
        <w:ind w:firstLine="567"/>
        <w:jc w:val="both"/>
      </w:pPr>
      <w:r w:rsidRPr="00890AE3">
        <w:rPr>
          <w:i/>
        </w:rPr>
        <w:t>А</w:t>
      </w:r>
      <w:r w:rsidRPr="00890AE3">
        <w:rPr>
          <w:i/>
          <w:vertAlign w:val="subscript"/>
        </w:rPr>
        <w:t>2</w:t>
      </w:r>
      <w:r w:rsidRPr="00B834A2">
        <w:t>-ը փորձարկվող լուծույթի քրոմատագրի վրա (5α)-խոլեստանի պիկի մակերեսն է.</w:t>
      </w:r>
    </w:p>
    <w:p w14:paraId="1A26CC54" w14:textId="77777777" w:rsidR="00B834A2" w:rsidRPr="00B834A2" w:rsidRDefault="00B834A2" w:rsidP="00D34D77">
      <w:pPr>
        <w:spacing w:after="160" w:line="360" w:lineRule="auto"/>
        <w:ind w:firstLine="567"/>
        <w:jc w:val="both"/>
      </w:pPr>
      <w:r w:rsidRPr="00890AE3">
        <w:rPr>
          <w:i/>
        </w:rPr>
        <w:t>m</w:t>
      </w:r>
      <w:r w:rsidRPr="00890AE3">
        <w:rPr>
          <w:i/>
          <w:vertAlign w:val="subscript"/>
        </w:rPr>
        <w:t>1</w:t>
      </w:r>
      <w:r w:rsidRPr="00B834A2">
        <w:t>-ը փորձարկվող լուծույթի մեջ բաղադրամասի կշռանմուշն է՝ գրամներով.</w:t>
      </w:r>
    </w:p>
    <w:p w14:paraId="5D797DAB" w14:textId="77777777" w:rsidR="00B834A2" w:rsidRPr="00B834A2" w:rsidRDefault="00B834A2" w:rsidP="00D34D77">
      <w:pPr>
        <w:spacing w:after="160" w:line="360" w:lineRule="auto"/>
        <w:ind w:firstLine="567"/>
        <w:jc w:val="both"/>
      </w:pPr>
      <w:r w:rsidRPr="00890AE3">
        <w:rPr>
          <w:i/>
        </w:rPr>
        <w:t>Y</w:t>
      </w:r>
      <w:r w:rsidRPr="00B834A2">
        <w:t>-ը՝ ստուգաճշտման կորի հատումն է օրդինատների առանցքի հետ (у առանցք).</w:t>
      </w:r>
    </w:p>
    <w:p w14:paraId="18D6EA15" w14:textId="77777777" w:rsidR="00B834A2" w:rsidRPr="00B834A2" w:rsidRDefault="00B834A2" w:rsidP="00D34D77">
      <w:pPr>
        <w:spacing w:after="160" w:line="360" w:lineRule="auto"/>
        <w:ind w:firstLine="567"/>
        <w:jc w:val="both"/>
      </w:pPr>
      <w:r w:rsidRPr="00890AE3">
        <w:rPr>
          <w:i/>
        </w:rPr>
        <w:t>S</w:t>
      </w:r>
      <w:r w:rsidRPr="00B834A2">
        <w:t>-ը՝ ստուգաճշտման կորի թեքությունն է՝ մեկ միլիգրամին բաժին ընկնող գրամներով:</w:t>
      </w:r>
    </w:p>
    <w:p w14:paraId="07DEDCC2" w14:textId="77777777" w:rsidR="00B834A2" w:rsidRPr="00B834A2" w:rsidRDefault="00B834A2" w:rsidP="00B834A2">
      <w:pPr>
        <w:spacing w:after="160" w:line="360" w:lineRule="auto"/>
        <w:jc w:val="both"/>
      </w:pPr>
    </w:p>
    <w:p w14:paraId="0BC7A9A4" w14:textId="77777777" w:rsidR="00783242" w:rsidRDefault="00783242">
      <w:pPr>
        <w:rPr>
          <w:b/>
        </w:rPr>
      </w:pPr>
      <w:r>
        <w:rPr>
          <w:b/>
        </w:rPr>
        <w:br w:type="page"/>
      </w:r>
    </w:p>
    <w:p w14:paraId="05C39DAC" w14:textId="77777777" w:rsidR="00B834A2" w:rsidRPr="00890AE3" w:rsidRDefault="00B834A2" w:rsidP="00D34D77">
      <w:pPr>
        <w:spacing w:after="160" w:line="360" w:lineRule="auto"/>
        <w:jc w:val="right"/>
        <w:rPr>
          <w:b/>
          <w:sz w:val="20"/>
        </w:rPr>
      </w:pPr>
      <w:r w:rsidRPr="00890AE3">
        <w:rPr>
          <w:b/>
          <w:sz w:val="20"/>
        </w:rPr>
        <w:lastRenderedPageBreak/>
        <w:t>201080024-2022</w:t>
      </w:r>
    </w:p>
    <w:p w14:paraId="3C847F97" w14:textId="77777777" w:rsidR="00783242" w:rsidRPr="00890AE3" w:rsidRDefault="00783242" w:rsidP="00D34D77">
      <w:pPr>
        <w:spacing w:after="160" w:line="360" w:lineRule="auto"/>
        <w:jc w:val="right"/>
        <w:rPr>
          <w:b/>
          <w:sz w:val="20"/>
        </w:rPr>
      </w:pPr>
    </w:p>
    <w:p w14:paraId="421F8EDC" w14:textId="77777777" w:rsidR="00B834A2" w:rsidRPr="00B834A2" w:rsidRDefault="00B834A2" w:rsidP="00D34D77">
      <w:pPr>
        <w:tabs>
          <w:tab w:val="left" w:pos="1701"/>
        </w:tabs>
        <w:spacing w:after="160" w:line="360" w:lineRule="auto"/>
        <w:ind w:firstLine="567"/>
        <w:jc w:val="both"/>
        <w:rPr>
          <w:b/>
        </w:rPr>
      </w:pPr>
      <w:r w:rsidRPr="00B834A2">
        <w:rPr>
          <w:b/>
        </w:rPr>
        <w:t>2.1.8.24.</w:t>
      </w:r>
      <w:r w:rsidR="00D34D77" w:rsidRPr="00097504">
        <w:rPr>
          <w:b/>
        </w:rPr>
        <w:tab/>
      </w:r>
      <w:r w:rsidRPr="00B834A2">
        <w:rPr>
          <w:b/>
        </w:rPr>
        <w:t>Յուղերի ճարպաթթվային բաղադրամասի որոշումը՝ գազային քրոմատագրման մեթոդով</w:t>
      </w:r>
    </w:p>
    <w:p w14:paraId="4FB860F1" w14:textId="77777777" w:rsidR="00B834A2" w:rsidRPr="009217DE" w:rsidRDefault="00B834A2" w:rsidP="00D34D77">
      <w:pPr>
        <w:spacing w:after="160" w:line="360" w:lineRule="auto"/>
        <w:ind w:firstLine="567"/>
        <w:jc w:val="both"/>
      </w:pPr>
      <w:r w:rsidRPr="00B834A2">
        <w:t xml:space="preserve">Յուղերի ճարպաթթվային բաղադրամասը որոշում են գազային քրոմատագրման մեթոդով </w:t>
      </w:r>
      <w:r w:rsidRPr="00044E00">
        <w:rPr>
          <w:i/>
        </w:rPr>
        <w:t>(2.1.2.27)</w:t>
      </w:r>
      <w:r w:rsidRPr="00B834A2">
        <w:t xml:space="preserve"> ճարպաթթուները մեթիլային եթերների վերածելուց հետո:</w:t>
      </w:r>
    </w:p>
    <w:p w14:paraId="6F6BE147" w14:textId="77777777" w:rsidR="00890AE3" w:rsidRPr="009217DE" w:rsidRDefault="00890AE3" w:rsidP="00D34D77">
      <w:pPr>
        <w:spacing w:after="160" w:line="360" w:lineRule="auto"/>
        <w:ind w:firstLine="567"/>
        <w:jc w:val="both"/>
      </w:pPr>
    </w:p>
    <w:p w14:paraId="18AE57EF" w14:textId="77777777" w:rsidR="00B834A2" w:rsidRPr="006B7DC5" w:rsidRDefault="00B834A2" w:rsidP="00D34D77">
      <w:pPr>
        <w:spacing w:after="160" w:line="360" w:lineRule="auto"/>
        <w:ind w:firstLine="567"/>
        <w:jc w:val="both"/>
        <w:rPr>
          <w:b/>
        </w:rPr>
      </w:pPr>
      <w:r w:rsidRPr="00B834A2">
        <w:rPr>
          <w:b/>
        </w:rPr>
        <w:t>ՄԵԹՈԴ 1</w:t>
      </w:r>
    </w:p>
    <w:p w14:paraId="7370181B" w14:textId="77777777" w:rsidR="00B834A2" w:rsidRPr="00B834A2" w:rsidRDefault="00B834A2" w:rsidP="00D34D77">
      <w:pPr>
        <w:spacing w:after="160" w:line="360" w:lineRule="auto"/>
        <w:ind w:firstLine="567"/>
        <w:jc w:val="both"/>
        <w:rPr>
          <w:i/>
        </w:rPr>
      </w:pPr>
      <w:r w:rsidRPr="00B834A2">
        <w:rPr>
          <w:i/>
        </w:rPr>
        <w:t xml:space="preserve">Մեթոդը կիրառելի չէ այն յուղերի համար, որոնք պարունակում են ճարպաթթուների գլիցերիդներ՝ էպօքսի-, հիդրոէպօքսի, հիդրոպերօքսի-, ցիկլոպրոպիլային </w:t>
      </w:r>
      <w:r>
        <w:rPr>
          <w:i/>
        </w:rPr>
        <w:t>եւ</w:t>
      </w:r>
      <w:r w:rsidRPr="00B834A2">
        <w:rPr>
          <w:i/>
        </w:rPr>
        <w:t>/կամ ցիկլոպրոպենիլային խմբերով, կամ այն յուղերի համար, որոնց բաղադրամասում եղած ճարպաթթուների մեծ մասը ածխածնի 8 ատոմից պակաս շղթայի երկարություն ունի, կամ 2,0-ից ավելի թթվային թիվ ունեցող յուղերի համար:</w:t>
      </w:r>
    </w:p>
    <w:p w14:paraId="2E59AB10" w14:textId="77777777" w:rsidR="00B834A2" w:rsidRPr="00B834A2" w:rsidRDefault="00B834A2" w:rsidP="00D34D77">
      <w:pPr>
        <w:spacing w:after="160" w:line="360" w:lineRule="auto"/>
        <w:ind w:firstLine="567"/>
        <w:jc w:val="both"/>
      </w:pPr>
      <w:r w:rsidRPr="00B834A2">
        <w:rPr>
          <w:i/>
        </w:rPr>
        <w:t xml:space="preserve">Փորձարկվող լուծույթը: </w:t>
      </w:r>
      <w:r w:rsidRPr="00B834A2">
        <w:t xml:space="preserve">Մեթիլացումից առաջ յուղը չորացնում են մասնավոր դեղագրքային հոդվածում ցուցումների առկայության դեպքում: 1,0 գ յուղը տեղավորում են կիպահղկվածքով, 25 մլ տարողությամբ կլորահատակ փորձանոթի մեջ, որը համալրված է հետադարձ սառնարանով </w:t>
      </w:r>
      <w:r>
        <w:t>եւ</w:t>
      </w:r>
      <w:r w:rsidRPr="00B834A2">
        <w:t xml:space="preserve"> գազահեռ խողովակով: Փորձանոթի մեջ ավելացնում են 10 մլ Р անջուր մեթանոլ </w:t>
      </w:r>
      <w:r>
        <w:t>եւ</w:t>
      </w:r>
      <w:r w:rsidRPr="00B834A2">
        <w:t xml:space="preserve"> Р մեթանոլի մեջ 60 գ/լ Р կալիումի հիդրօքսիդի 0,2 մլ լուծույթ, միացնում են </w:t>
      </w:r>
      <w:r w:rsidRPr="00133111">
        <w:rPr>
          <w:spacing w:val="4"/>
        </w:rPr>
        <w:t>հետադարձ սառնարանը, խառնուրդի միջով 50 մլ/վրկ արագությամբ անցկացնում են Р</w:t>
      </w:r>
      <w:r w:rsidRPr="00B834A2">
        <w:t xml:space="preserve"> ազոտ, թափահարում են </w:t>
      </w:r>
      <w:r>
        <w:t>եւ</w:t>
      </w:r>
      <w:r w:rsidRPr="00B834A2">
        <w:t xml:space="preserve"> տաքացնում մինչ</w:t>
      </w:r>
      <w:r>
        <w:t>եւ</w:t>
      </w:r>
      <w:r w:rsidRPr="00B834A2">
        <w:t xml:space="preserve"> եռալը: Երբ լուծույթը դառնում է թափանցիկ (սովորաբար՝ 10 րոպե հետո), շարունակում են տաքացնել 5 րոպե: Այնուհետ</w:t>
      </w:r>
      <w:r>
        <w:t>եւ</w:t>
      </w:r>
      <w:r w:rsidRPr="00B834A2">
        <w:t xml:space="preserve"> փորձանոթը հովացնում են հոսող ջրի տակ </w:t>
      </w:r>
      <w:r>
        <w:t>եւ</w:t>
      </w:r>
      <w:r w:rsidRPr="00B834A2">
        <w:t xml:space="preserve"> պարունակությունը տեղափոխում բաժանիչ ձագարի մեջ: Փորձանոթը լվանում են 50 մլ Р հեպտանով, լվացման լուծույթը տեղափոխում են մի</w:t>
      </w:r>
      <w:r>
        <w:t>եւ</w:t>
      </w:r>
      <w:r w:rsidRPr="00B834A2">
        <w:t xml:space="preserve">նույն բաժանիչ </w:t>
      </w:r>
      <w:r w:rsidRPr="00B834A2">
        <w:lastRenderedPageBreak/>
        <w:t xml:space="preserve">ձագարի մեջ </w:t>
      </w:r>
      <w:r>
        <w:t>եւ</w:t>
      </w:r>
      <w:r w:rsidRPr="00B834A2">
        <w:t xml:space="preserve"> թափահարում: Ավելացնում են 200 գ/լ Р նատրիումի քլորիդի 10 մլ լուծույթ, ուժեղ թափահարում են </w:t>
      </w:r>
      <w:r>
        <w:t>եւ</w:t>
      </w:r>
      <w:r w:rsidRPr="00B834A2">
        <w:t xml:space="preserve"> խառնուրդը թողնում մինչ</w:t>
      </w:r>
      <w:r>
        <w:t>եւ</w:t>
      </w:r>
      <w:r w:rsidRPr="00B834A2">
        <w:t xml:space="preserve"> շերտավորվի: Այնուհետ</w:t>
      </w:r>
      <w:r>
        <w:t>եւ</w:t>
      </w:r>
      <w:r w:rsidRPr="00B834A2">
        <w:t xml:space="preserve"> օրգանական շերտը տեղափոխում են Р անջուր նատրիումի սուլֆատով փորձանոթի մեջ, որոշ ժամանակ պահում </w:t>
      </w:r>
      <w:r>
        <w:t>եւ</w:t>
      </w:r>
      <w:r w:rsidRPr="00B834A2">
        <w:t xml:space="preserve"> ֆիլտրում:</w:t>
      </w:r>
    </w:p>
    <w:p w14:paraId="410443FA" w14:textId="77777777" w:rsidR="00B834A2" w:rsidRPr="00B834A2" w:rsidRDefault="00B834A2" w:rsidP="00D34D77">
      <w:pPr>
        <w:spacing w:after="160" w:line="360" w:lineRule="auto"/>
        <w:ind w:firstLine="567"/>
        <w:jc w:val="both"/>
      </w:pPr>
      <w:r w:rsidRPr="00B834A2">
        <w:t>Թույլատրվում է ճարպաթթուները մեթիլային եթերների վերածելու այլ մեթոդիկաներ կիրառել մասնավոր դեղագրքային հոդվածում նշված լինելու դեպքում:</w:t>
      </w:r>
    </w:p>
    <w:p w14:paraId="5BB0AC61" w14:textId="77777777" w:rsidR="00B834A2" w:rsidRPr="00B834A2" w:rsidRDefault="00B834A2" w:rsidP="001516F5">
      <w:pPr>
        <w:spacing w:after="160" w:line="348" w:lineRule="auto"/>
        <w:ind w:firstLine="567"/>
        <w:jc w:val="both"/>
      </w:pPr>
      <w:r w:rsidRPr="00044E00">
        <w:rPr>
          <w:i/>
        </w:rPr>
        <w:t xml:space="preserve">(Ա) համեմատման լուծույթը: </w:t>
      </w:r>
      <w:r w:rsidRPr="00B834A2">
        <w:t>Պատրաստում են 2.1.8.24 աղյուսակներից որ</w:t>
      </w:r>
      <w:r>
        <w:t>եւ</w:t>
      </w:r>
      <w:r w:rsidRPr="00B834A2">
        <w:t xml:space="preserve">է մեկում բերված՝ բաղադրամասի ստուգաճշտման համար օգտագործվող նյութերի 0,50 գ խառնուրդ (ստուգաճշտման խառնուրդ)՝ մասնավոր դեղագրքային հոդվածի ցուցումների համաձայն: Այն դեպքում, երբ կոնկրետ բաղադրամասով խառնուրդ նշված չէ մասնավոր դեղագրքային հոդվածում, օգտագործում են 2.1.8.24-1 աղյուսակի մեջ բերված բաղադրամասը: Խառնուրդը լուծում են Р հեպտանի մեջ </w:t>
      </w:r>
      <w:r>
        <w:t>եւ</w:t>
      </w:r>
      <w:r w:rsidRPr="00B834A2">
        <w:t xml:space="preserve"> մի</w:t>
      </w:r>
      <w:r>
        <w:t>եւ</w:t>
      </w:r>
      <w:r w:rsidRPr="00B834A2">
        <w:t>նույն լուծիչով հասցնում են մինչ</w:t>
      </w:r>
      <w:r>
        <w:t>եւ</w:t>
      </w:r>
      <w:r w:rsidRPr="00B834A2">
        <w:t xml:space="preserve"> 50,0 մլ ծավալի:</w:t>
      </w:r>
    </w:p>
    <w:p w14:paraId="23D1E7EC" w14:textId="77777777" w:rsidR="00B834A2" w:rsidRPr="00B834A2" w:rsidRDefault="00B834A2" w:rsidP="001516F5">
      <w:pPr>
        <w:spacing w:after="160" w:line="348" w:lineRule="auto"/>
        <w:ind w:firstLine="567"/>
        <w:jc w:val="both"/>
      </w:pPr>
      <w:r w:rsidRPr="00044E00">
        <w:rPr>
          <w:i/>
        </w:rPr>
        <w:t>(Բ) համեմատման լուծույթը</w:t>
      </w:r>
      <w:r w:rsidRPr="00B834A2">
        <w:t>։ 1,0 մլ (ա) համեմատման լուծույթը Р հեպտանով հասցնում են մինչ</w:t>
      </w:r>
      <w:r>
        <w:t>եւ</w:t>
      </w:r>
      <w:r w:rsidRPr="00B834A2">
        <w:t xml:space="preserve"> 10,0 մլ ծավալի:</w:t>
      </w:r>
    </w:p>
    <w:p w14:paraId="46BB04AD" w14:textId="77777777" w:rsidR="00B834A2" w:rsidRPr="00B834A2" w:rsidRDefault="00B834A2" w:rsidP="001516F5">
      <w:pPr>
        <w:spacing w:after="160" w:line="348" w:lineRule="auto"/>
        <w:ind w:firstLine="567"/>
        <w:jc w:val="both"/>
      </w:pPr>
      <w:r w:rsidRPr="00044E00">
        <w:rPr>
          <w:i/>
        </w:rPr>
        <w:t>(Գ) համեմատման լուծույթը:</w:t>
      </w:r>
      <w:r w:rsidRPr="00B834A2">
        <w:t xml:space="preserve"> Պատրաստում են այն ճարպաթթուների մեթիլային եթերների 0,50 գ խառնուրդ, որոնք ըստ բաղադրամասի համապատասխանում են փորձարկվող յուղին առնչվող մասնավոր դեղագրքային հոդվածում նշված ճարպաթթուների խառնուրդին: Խառնուրդը լուծում են Р հեպտանի մեջ </w:t>
      </w:r>
      <w:r>
        <w:t>եւ</w:t>
      </w:r>
      <w:r w:rsidRPr="00B834A2">
        <w:t xml:space="preserve"> մի</w:t>
      </w:r>
      <w:r>
        <w:t>եւ</w:t>
      </w:r>
      <w:r w:rsidRPr="00B834A2">
        <w:t>նույն լուծիչով հասցնում են մինչ</w:t>
      </w:r>
      <w:r>
        <w:t>եւ</w:t>
      </w:r>
      <w:r w:rsidRPr="00B834A2">
        <w:t xml:space="preserve"> 50,0 մլ ծավալի: Կարող են օգտագործվել ճարպաթթուների մեթիլային եթերների՝ կոմերցիոն տեսանկյունից մատչելի խառնուրդներ:</w:t>
      </w:r>
    </w:p>
    <w:p w14:paraId="0FAF46AE" w14:textId="77777777" w:rsidR="00B834A2" w:rsidRPr="00044E00" w:rsidRDefault="00B834A2" w:rsidP="00D34D77">
      <w:pPr>
        <w:spacing w:after="160" w:line="360" w:lineRule="auto"/>
        <w:ind w:firstLine="567"/>
        <w:jc w:val="both"/>
        <w:rPr>
          <w:i/>
        </w:rPr>
      </w:pPr>
      <w:r w:rsidRPr="00044E00">
        <w:rPr>
          <w:i/>
        </w:rPr>
        <w:t>Քրոմատագրման պայմանները՝</w:t>
      </w:r>
    </w:p>
    <w:p w14:paraId="52372EEB"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աշտարակը՝</w:t>
      </w:r>
      <w:r w:rsidRPr="00B834A2">
        <w:t xml:space="preserve"> մազանոթային, 10 մ-30 մ երկարությամբ </w:t>
      </w:r>
      <w:r>
        <w:t>եւ</w:t>
      </w:r>
      <w:r w:rsidRPr="00B834A2">
        <w:t xml:space="preserve"> 0,2 մ-0,8 մմ ներքին տրամագծով, ջերմակայուն կվարցից, պատված 0,1 մկմ-ից 0,5 մկմ հաստությամբ 20 000 Р մակրոգոլի շերտով կամ այլ համապատասխան անշարժ ֆազով.</w:t>
      </w:r>
    </w:p>
    <w:p w14:paraId="2A0FBF92" w14:textId="77777777" w:rsidR="00B834A2" w:rsidRPr="00044E00" w:rsidRDefault="00B834A2" w:rsidP="00D34D77">
      <w:pPr>
        <w:tabs>
          <w:tab w:val="left" w:pos="1134"/>
        </w:tabs>
        <w:spacing w:after="160" w:line="360" w:lineRule="auto"/>
        <w:ind w:firstLine="567"/>
        <w:jc w:val="both"/>
        <w:rPr>
          <w:i/>
        </w:rPr>
      </w:pPr>
      <w:r w:rsidRPr="00B834A2">
        <w:lastRenderedPageBreak/>
        <w:t>-</w:t>
      </w:r>
      <w:r w:rsidR="00D34D77" w:rsidRPr="00D34D77">
        <w:tab/>
      </w:r>
      <w:r w:rsidRPr="00044E00">
        <w:rPr>
          <w:i/>
        </w:rPr>
        <w:t>կրող գազը՝ քրոմատագրման համար Р հելիում կամ քրոմատագրման համար Р ջրածին.</w:t>
      </w:r>
    </w:p>
    <w:p w14:paraId="3935017B"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կրող գազի արագությունը</w:t>
      </w:r>
      <w:r w:rsidRPr="00B834A2">
        <w:t>՝ 1,3 մլ/րոպե (0,32 մմ ներքին տրամագծով աշտարակի համար).</w:t>
      </w:r>
    </w:p>
    <w:p w14:paraId="4186A36D"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հոսքի բաժանումը</w:t>
      </w:r>
      <w:r w:rsidRPr="00B834A2">
        <w:t>՝ 1:100 կամ պակաս՝ պայմանավորված օգտագործվող աշտարակի ներքին տրամագծով (օրինակ՝ 0,32 մմ ներքին տրամագծով աշտարակ օգտագործելու դեպքում հոսքի բաժանումը պետք է կազմի 1:50).</w:t>
      </w:r>
    </w:p>
    <w:p w14:paraId="65385AF9" w14:textId="77777777" w:rsidR="00B834A2" w:rsidRPr="00B834A2" w:rsidRDefault="00B834A2" w:rsidP="00D34D77">
      <w:pPr>
        <w:tabs>
          <w:tab w:val="left" w:pos="1134"/>
        </w:tabs>
        <w:spacing w:after="160" w:line="360" w:lineRule="auto"/>
        <w:ind w:firstLine="567"/>
        <w:jc w:val="both"/>
      </w:pPr>
      <w:r w:rsidRPr="00B834A2">
        <w:t>-</w:t>
      </w:r>
      <w:r w:rsidR="00D34D77" w:rsidRPr="00097504">
        <w:tab/>
      </w:r>
      <w:r w:rsidRPr="00044E00">
        <w:rPr>
          <w:i/>
        </w:rPr>
        <w:t>դետեկտորը՝</w:t>
      </w:r>
      <w:r w:rsidRPr="00B834A2">
        <w:t xml:space="preserve"> բոցային իոնիզացիոն.</w:t>
      </w:r>
    </w:p>
    <w:p w14:paraId="3E06DC26" w14:textId="77777777" w:rsidR="00B834A2" w:rsidRPr="00B834A2" w:rsidRDefault="00B834A2" w:rsidP="00D34D77">
      <w:pPr>
        <w:tabs>
          <w:tab w:val="left" w:pos="1134"/>
        </w:tabs>
        <w:spacing w:after="160" w:line="360" w:lineRule="auto"/>
        <w:ind w:firstLine="567"/>
        <w:jc w:val="both"/>
      </w:pPr>
      <w:r w:rsidRPr="00B834A2">
        <w:t>-</w:t>
      </w:r>
      <w:r w:rsidR="00D34D77" w:rsidRPr="00097504">
        <w:tab/>
      </w:r>
      <w:r w:rsidRPr="00044E00">
        <w:rPr>
          <w:i/>
        </w:rPr>
        <w:t>ներմուծվող փորձանմուշի ծավալը</w:t>
      </w:r>
      <w:r w:rsidRPr="00B834A2">
        <w:t xml:space="preserve">՝ 1-ական մկլ փորձարկվող լուծույթ </w:t>
      </w:r>
      <w:r>
        <w:t>եւ</w:t>
      </w:r>
      <w:r w:rsidRPr="00B834A2">
        <w:t xml:space="preserve"> (ա), (բ) </w:t>
      </w:r>
      <w:r>
        <w:t>եւ</w:t>
      </w:r>
      <w:r w:rsidRPr="00B834A2">
        <w:t xml:space="preserve"> (գ) համեմատման լուծույթներ.</w:t>
      </w:r>
    </w:p>
    <w:p w14:paraId="2838618B" w14:textId="77777777" w:rsidR="00B834A2" w:rsidRPr="00044E00" w:rsidRDefault="00B834A2" w:rsidP="00D34D77">
      <w:pPr>
        <w:tabs>
          <w:tab w:val="left" w:pos="1134"/>
        </w:tabs>
        <w:spacing w:after="160" w:line="360" w:lineRule="auto"/>
        <w:ind w:firstLine="567"/>
        <w:jc w:val="both"/>
        <w:rPr>
          <w:i/>
        </w:rPr>
      </w:pPr>
      <w:r w:rsidRPr="00044E00">
        <w:rPr>
          <w:i/>
        </w:rPr>
        <w:t>Ջերմաստիճանը՝</w:t>
      </w:r>
    </w:p>
    <w:p w14:paraId="1602CCC4" w14:textId="77777777" w:rsidR="00B834A2" w:rsidRPr="00044E00" w:rsidRDefault="00B834A2" w:rsidP="00D34D77">
      <w:pPr>
        <w:tabs>
          <w:tab w:val="left" w:pos="1134"/>
        </w:tabs>
        <w:spacing w:after="160" w:line="360" w:lineRule="auto"/>
        <w:ind w:firstLine="567"/>
        <w:jc w:val="both"/>
        <w:rPr>
          <w:i/>
        </w:rPr>
      </w:pPr>
      <w:r w:rsidRPr="00B834A2">
        <w:t>-</w:t>
      </w:r>
      <w:r w:rsidR="00D34D77" w:rsidRPr="00097504">
        <w:tab/>
      </w:r>
      <w:r w:rsidRPr="00044E00">
        <w:rPr>
          <w:i/>
        </w:rPr>
        <w:t>աշտարակը՝</w:t>
      </w:r>
    </w:p>
    <w:p w14:paraId="047648AF" w14:textId="77777777" w:rsidR="00B834A2" w:rsidRPr="00B834A2" w:rsidRDefault="00B834A2" w:rsidP="00D34D77">
      <w:pPr>
        <w:tabs>
          <w:tab w:val="left" w:pos="1134"/>
        </w:tabs>
        <w:spacing w:after="160" w:line="346" w:lineRule="auto"/>
        <w:ind w:firstLine="567"/>
        <w:jc w:val="both"/>
      </w:pPr>
      <w:r w:rsidRPr="00B834A2">
        <w:t xml:space="preserve">իզոթերմիկ պայմաններում (160-200) °С, աշտարակի երկարությունից </w:t>
      </w:r>
      <w:r>
        <w:t>եւ</w:t>
      </w:r>
      <w:r w:rsidRPr="00B834A2">
        <w:t xml:space="preserve"> տեսակով պայմանավորված (օրինակ՝ 30 մ երկարությամբ, 20 000 Р մակրոգոլի շերտով պատված աշտարակի համար ջերմաստիճանը պետք է կազմի 200 °С).</w:t>
      </w:r>
    </w:p>
    <w:p w14:paraId="48CF0E02"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B834A2">
        <w:t>ջերմաստիճանի գծային գրադիենտի դեպքում աշտարակի ջերմաստիճանն ավելացնում են 170 °С-230 °С՝ 3 °С/րոպե արագությամբ.</w:t>
      </w:r>
    </w:p>
    <w:p w14:paraId="4A59318D"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044E00">
        <w:rPr>
          <w:i/>
        </w:rPr>
        <w:t>փորձանմուշների ներմուծման բլոկը</w:t>
      </w:r>
      <w:r w:rsidRPr="00B834A2">
        <w:t>՝ 250 °С.</w:t>
      </w:r>
    </w:p>
    <w:p w14:paraId="5ACECB5B"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044E00">
        <w:rPr>
          <w:i/>
        </w:rPr>
        <w:t>դետեկտորը՝</w:t>
      </w:r>
      <w:r w:rsidRPr="00B834A2">
        <w:t xml:space="preserve"> 250 °С։</w:t>
      </w:r>
    </w:p>
    <w:p w14:paraId="4A5C59CB" w14:textId="77777777" w:rsidR="00B834A2" w:rsidRPr="00044E00" w:rsidRDefault="00B834A2" w:rsidP="00D34D77">
      <w:pPr>
        <w:tabs>
          <w:tab w:val="left" w:pos="1134"/>
        </w:tabs>
        <w:spacing w:after="160" w:line="346" w:lineRule="auto"/>
        <w:ind w:firstLine="567"/>
        <w:jc w:val="both"/>
        <w:rPr>
          <w:i/>
        </w:rPr>
      </w:pPr>
      <w:r w:rsidRPr="00044E00">
        <w:rPr>
          <w:i/>
        </w:rPr>
        <w:t>Քրոմատագրման համակարգի պիտանիությունը</w:t>
      </w:r>
    </w:p>
    <w:p w14:paraId="53EDA4A0" w14:textId="77777777" w:rsidR="00B834A2" w:rsidRPr="006B7DC5" w:rsidRDefault="00B834A2" w:rsidP="00D34D77">
      <w:pPr>
        <w:tabs>
          <w:tab w:val="left" w:pos="1134"/>
        </w:tabs>
        <w:spacing w:after="160" w:line="346" w:lineRule="auto"/>
        <w:ind w:firstLine="567"/>
        <w:jc w:val="both"/>
      </w:pPr>
      <w:r w:rsidRPr="00B834A2">
        <w:t>2.1.8.24-1 աղյուսակում կամ 2.1.8.24-3 աղյուսակում բերված չափաբերման նյութերի խառնուրդի օգտագործման դեպքում.</w:t>
      </w:r>
    </w:p>
    <w:p w14:paraId="5ED16CD5"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044E00">
        <w:rPr>
          <w:i/>
        </w:rPr>
        <w:t>լուծաչափը՝</w:t>
      </w:r>
      <w:r w:rsidRPr="00B834A2">
        <w:t xml:space="preserve"> առնվազն 1,8 այն պիկերի միջ</w:t>
      </w:r>
      <w:r>
        <w:t>եւ</w:t>
      </w:r>
      <w:r w:rsidRPr="00B834A2">
        <w:t xml:space="preserve">, որոնք համապատասխանում են (ա) համեմատման լուծույթի քրոմատագրի վրա մեթիլօլեատին </w:t>
      </w:r>
      <w:r>
        <w:t>եւ</w:t>
      </w:r>
      <w:r w:rsidRPr="00B834A2">
        <w:t xml:space="preserve"> մեթիլստեարատին.</w:t>
      </w:r>
    </w:p>
    <w:p w14:paraId="23491800" w14:textId="77777777" w:rsidR="00B834A2" w:rsidRPr="00B834A2" w:rsidRDefault="00B834A2" w:rsidP="00D34D77">
      <w:pPr>
        <w:tabs>
          <w:tab w:val="left" w:pos="1134"/>
        </w:tabs>
        <w:spacing w:after="160" w:line="346" w:lineRule="auto"/>
        <w:ind w:firstLine="567"/>
        <w:jc w:val="both"/>
      </w:pPr>
      <w:r w:rsidRPr="00B834A2">
        <w:lastRenderedPageBreak/>
        <w:t>-</w:t>
      </w:r>
      <w:r w:rsidR="00D34D77" w:rsidRPr="00D34D77">
        <w:tab/>
      </w:r>
      <w:r w:rsidRPr="00044E00">
        <w:rPr>
          <w:i/>
        </w:rPr>
        <w:t>ազդանշան/աղմուկ հարաբերակցությունը՝</w:t>
      </w:r>
      <w:r w:rsidRPr="00B834A2">
        <w:t xml:space="preserve"> մեթիլմիրիստատի պիկի համար առնվազն 5՝ (բ) համեմատման լուծույթի քրոմատագրի վրա.</w:t>
      </w:r>
    </w:p>
    <w:p w14:paraId="462A6BB3"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044E00">
        <w:rPr>
          <w:i/>
        </w:rPr>
        <w:t>տեսական ափսեների թիվը՝</w:t>
      </w:r>
      <w:r w:rsidRPr="00B834A2">
        <w:t xml:space="preserve"> առնվազն 30 000, որոնք հաշվարկված են ըստ մեթիլստեարատի պիկի՝ (ա) համեմատման լուծույթի քրոմատագրի վրա:</w:t>
      </w:r>
    </w:p>
    <w:p w14:paraId="6472989A" w14:textId="77777777" w:rsidR="00B834A2" w:rsidRPr="00B834A2" w:rsidRDefault="00B834A2" w:rsidP="00D34D77">
      <w:pPr>
        <w:tabs>
          <w:tab w:val="left" w:pos="1134"/>
        </w:tabs>
        <w:spacing w:after="160" w:line="346" w:lineRule="auto"/>
        <w:ind w:firstLine="567"/>
        <w:jc w:val="both"/>
      </w:pPr>
      <w:r w:rsidRPr="00B834A2">
        <w:t>2.1.8.24-2 աղյուսակում բերված ստուգաճշտման նյութերի խառնուրդի օգտագործման դեպքում՝</w:t>
      </w:r>
    </w:p>
    <w:p w14:paraId="1B553F56" w14:textId="77777777" w:rsidR="00B834A2" w:rsidRPr="00B834A2" w:rsidRDefault="00B834A2" w:rsidP="00D34D77">
      <w:pPr>
        <w:tabs>
          <w:tab w:val="left" w:pos="1134"/>
        </w:tabs>
        <w:spacing w:after="160" w:line="346" w:lineRule="auto"/>
        <w:ind w:firstLine="567"/>
        <w:jc w:val="both"/>
      </w:pPr>
      <w:r w:rsidRPr="00B834A2">
        <w:t>-</w:t>
      </w:r>
      <w:r w:rsidR="00D34D77" w:rsidRPr="00D34D77">
        <w:tab/>
      </w:r>
      <w:r w:rsidRPr="00044E00">
        <w:rPr>
          <w:i/>
        </w:rPr>
        <w:t>լուծաչափը՝</w:t>
      </w:r>
      <w:r w:rsidRPr="00B834A2">
        <w:t xml:space="preserve"> առնվազն 4,0 այն պիկերի միջ</w:t>
      </w:r>
      <w:r>
        <w:t>եւ</w:t>
      </w:r>
      <w:r w:rsidRPr="00B834A2">
        <w:t xml:space="preserve">, որոնք համապատասխանում են (ա) համեմատման լուծույթի քրոմատագրի վրա մեթիլկապրիլատին </w:t>
      </w:r>
      <w:r>
        <w:t>եւ</w:t>
      </w:r>
      <w:r w:rsidRPr="00B834A2">
        <w:t xml:space="preserve"> մեթիլդեկանոատին.</w:t>
      </w:r>
    </w:p>
    <w:p w14:paraId="306B9598"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ազդանշան/աղմուկ հարաբերակցությունը</w:t>
      </w:r>
      <w:r w:rsidRPr="00B834A2">
        <w:t>՝ մեթիլկապրոատի պիկի համար առնվազն 5՝ (բ) համեմատման լուծույթի քրոմատագրի վրա.</w:t>
      </w:r>
    </w:p>
    <w:p w14:paraId="2A56A968"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տեսական ափսեների թիվը՝</w:t>
      </w:r>
      <w:r w:rsidRPr="00B834A2">
        <w:t xml:space="preserve"> առնվազն 15 000, որոնք հաշվարկված են ըստ մեթիլդեկանոատի պիկի՝ (ա) համեմատման լուծույթի քրոմատագրի վրա:</w:t>
      </w:r>
    </w:p>
    <w:p w14:paraId="59ADD5AB" w14:textId="77777777" w:rsidR="00B834A2" w:rsidRPr="00B834A2" w:rsidRDefault="00B834A2" w:rsidP="00B834A2">
      <w:pPr>
        <w:spacing w:after="160" w:line="360" w:lineRule="auto"/>
        <w:jc w:val="both"/>
      </w:pPr>
    </w:p>
    <w:p w14:paraId="7CEAE79F" w14:textId="77777777" w:rsidR="00B834A2" w:rsidRPr="006B7DC5" w:rsidRDefault="00B834A2" w:rsidP="00D34D77">
      <w:pPr>
        <w:spacing w:after="160" w:line="360" w:lineRule="auto"/>
        <w:ind w:firstLine="567"/>
        <w:jc w:val="both"/>
        <w:rPr>
          <w:b/>
        </w:rPr>
      </w:pPr>
      <w:r w:rsidRPr="00B834A2">
        <w:rPr>
          <w:b/>
        </w:rPr>
        <w:t>ՔՐՈՄԱՏԱԳՐԵՐԻ ԳՆԱՀԱՏՈՒՄԸ</w:t>
      </w:r>
    </w:p>
    <w:p w14:paraId="5AC4AB2F" w14:textId="77777777" w:rsidR="00B834A2" w:rsidRPr="00B834A2" w:rsidRDefault="00B834A2" w:rsidP="00D34D77">
      <w:pPr>
        <w:spacing w:after="160" w:line="360" w:lineRule="auto"/>
        <w:ind w:firstLine="567"/>
        <w:jc w:val="both"/>
      </w:pPr>
      <w:r w:rsidRPr="00B834A2">
        <w:t>Հարկավոր է խուսափել քրոմատագրման այնպիսի պայմաններից, որոնց արդյունքում կարող են ստացվել չբաժանված պիկեր:</w:t>
      </w:r>
    </w:p>
    <w:p w14:paraId="45E7FD9F" w14:textId="77777777" w:rsidR="00063A76" w:rsidRPr="00063A76" w:rsidRDefault="00B834A2" w:rsidP="00D34D77">
      <w:pPr>
        <w:spacing w:after="160" w:line="360" w:lineRule="auto"/>
        <w:ind w:firstLine="567"/>
        <w:jc w:val="both"/>
        <w:rPr>
          <w:i/>
        </w:rPr>
      </w:pPr>
      <w:r w:rsidRPr="00B834A2">
        <w:t xml:space="preserve">Աղյուսակ 2.1.8.24-1։ </w:t>
      </w:r>
      <w:r w:rsidRPr="00063A76">
        <w:rPr>
          <w:i/>
        </w:rPr>
        <w:t>Ստուգաճշտման համար օգտագործվող նյութերի խառնուրդը (մազանոթային աշտարակով եւ հոսքի բաժանմամբ գազային քրոմատագրման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2469"/>
      </w:tblGrid>
      <w:tr w:rsidR="00B834A2" w:rsidRPr="00D34D77" w14:paraId="1397CE37" w14:textId="77777777" w:rsidTr="00D34D77">
        <w:trPr>
          <w:jc w:val="center"/>
        </w:trPr>
        <w:tc>
          <w:tcPr>
            <w:tcW w:w="2976" w:type="dxa"/>
            <w:tcBorders>
              <w:top w:val="single" w:sz="4" w:space="0" w:color="auto"/>
            </w:tcBorders>
            <w:shd w:val="clear" w:color="auto" w:fill="FFFFFF"/>
            <w:vAlign w:val="bottom"/>
          </w:tcPr>
          <w:p w14:paraId="6FF9848A" w14:textId="77777777" w:rsidR="00B834A2" w:rsidRPr="00D34D77" w:rsidRDefault="00B834A2" w:rsidP="00D34D77">
            <w:pPr>
              <w:spacing w:after="120"/>
              <w:jc w:val="both"/>
              <w:rPr>
                <w:sz w:val="20"/>
              </w:rPr>
            </w:pPr>
            <w:r w:rsidRPr="00D34D77">
              <w:rPr>
                <w:sz w:val="20"/>
              </w:rPr>
              <w:t>Նյութերի խառնուրդը</w:t>
            </w:r>
          </w:p>
        </w:tc>
        <w:tc>
          <w:tcPr>
            <w:tcW w:w="2469" w:type="dxa"/>
            <w:tcBorders>
              <w:top w:val="single" w:sz="4" w:space="0" w:color="auto"/>
            </w:tcBorders>
            <w:shd w:val="clear" w:color="auto" w:fill="FFFFFF"/>
            <w:vAlign w:val="bottom"/>
          </w:tcPr>
          <w:p w14:paraId="525EA2C9" w14:textId="77777777" w:rsidR="00B834A2" w:rsidRPr="00D34D77" w:rsidRDefault="00B834A2" w:rsidP="00D34D77">
            <w:pPr>
              <w:spacing w:after="120"/>
              <w:jc w:val="both"/>
              <w:rPr>
                <w:sz w:val="20"/>
              </w:rPr>
            </w:pPr>
            <w:r w:rsidRPr="00D34D77">
              <w:rPr>
                <w:sz w:val="20"/>
              </w:rPr>
              <w:t>Բաղադրությունը (%մ/մ)</w:t>
            </w:r>
          </w:p>
        </w:tc>
      </w:tr>
      <w:tr w:rsidR="00B834A2" w:rsidRPr="00D34D77" w14:paraId="23B8CD54" w14:textId="77777777" w:rsidTr="00D34D77">
        <w:trPr>
          <w:jc w:val="center"/>
        </w:trPr>
        <w:tc>
          <w:tcPr>
            <w:tcW w:w="2976" w:type="dxa"/>
            <w:tcBorders>
              <w:top w:val="single" w:sz="4" w:space="0" w:color="auto"/>
            </w:tcBorders>
            <w:shd w:val="clear" w:color="auto" w:fill="FFFFFF"/>
          </w:tcPr>
          <w:p w14:paraId="41CEDB9D" w14:textId="77777777" w:rsidR="00B834A2" w:rsidRPr="00D34D77" w:rsidRDefault="00B834A2" w:rsidP="00D34D77">
            <w:pPr>
              <w:spacing w:after="120"/>
              <w:jc w:val="both"/>
              <w:rPr>
                <w:sz w:val="20"/>
              </w:rPr>
            </w:pPr>
            <w:r w:rsidRPr="00D34D77">
              <w:rPr>
                <w:sz w:val="20"/>
              </w:rPr>
              <w:t>Р մեթիլլաուրատ</w:t>
            </w:r>
          </w:p>
        </w:tc>
        <w:tc>
          <w:tcPr>
            <w:tcW w:w="2469" w:type="dxa"/>
            <w:tcBorders>
              <w:top w:val="single" w:sz="4" w:space="0" w:color="auto"/>
            </w:tcBorders>
            <w:shd w:val="clear" w:color="auto" w:fill="FFFFFF"/>
          </w:tcPr>
          <w:p w14:paraId="37CBE263" w14:textId="77777777" w:rsidR="00B834A2" w:rsidRPr="00D34D77" w:rsidRDefault="00B834A2" w:rsidP="00D34D77">
            <w:pPr>
              <w:spacing w:after="120"/>
              <w:jc w:val="center"/>
              <w:rPr>
                <w:sz w:val="20"/>
              </w:rPr>
            </w:pPr>
            <w:r w:rsidRPr="00D34D77">
              <w:rPr>
                <w:sz w:val="20"/>
              </w:rPr>
              <w:t>5</w:t>
            </w:r>
          </w:p>
        </w:tc>
      </w:tr>
      <w:tr w:rsidR="00B834A2" w:rsidRPr="00D34D77" w14:paraId="7E3ED626" w14:textId="77777777" w:rsidTr="00D34D77">
        <w:trPr>
          <w:jc w:val="center"/>
        </w:trPr>
        <w:tc>
          <w:tcPr>
            <w:tcW w:w="2976" w:type="dxa"/>
            <w:shd w:val="clear" w:color="auto" w:fill="FFFFFF"/>
          </w:tcPr>
          <w:p w14:paraId="03A9CF6F" w14:textId="77777777" w:rsidR="00B834A2" w:rsidRPr="00D34D77" w:rsidRDefault="00B834A2" w:rsidP="00D34D77">
            <w:pPr>
              <w:spacing w:after="120"/>
              <w:jc w:val="both"/>
              <w:rPr>
                <w:sz w:val="20"/>
              </w:rPr>
            </w:pPr>
            <w:r w:rsidRPr="00D34D77">
              <w:rPr>
                <w:sz w:val="20"/>
              </w:rPr>
              <w:t>Р մեթիլմիրիստատ</w:t>
            </w:r>
          </w:p>
        </w:tc>
        <w:tc>
          <w:tcPr>
            <w:tcW w:w="2469" w:type="dxa"/>
            <w:shd w:val="clear" w:color="auto" w:fill="FFFFFF"/>
          </w:tcPr>
          <w:p w14:paraId="2487867B" w14:textId="77777777" w:rsidR="00B834A2" w:rsidRPr="00D34D77" w:rsidRDefault="00B834A2" w:rsidP="00D34D77">
            <w:pPr>
              <w:spacing w:after="120"/>
              <w:jc w:val="center"/>
              <w:rPr>
                <w:sz w:val="20"/>
              </w:rPr>
            </w:pPr>
            <w:r w:rsidRPr="00D34D77">
              <w:rPr>
                <w:sz w:val="20"/>
              </w:rPr>
              <w:t>5</w:t>
            </w:r>
          </w:p>
        </w:tc>
      </w:tr>
      <w:tr w:rsidR="00B834A2" w:rsidRPr="00D34D77" w14:paraId="65B1245D" w14:textId="77777777" w:rsidTr="00D34D77">
        <w:trPr>
          <w:jc w:val="center"/>
        </w:trPr>
        <w:tc>
          <w:tcPr>
            <w:tcW w:w="2976" w:type="dxa"/>
            <w:shd w:val="clear" w:color="auto" w:fill="FFFFFF"/>
            <w:vAlign w:val="center"/>
          </w:tcPr>
          <w:p w14:paraId="4BAA7C38" w14:textId="77777777" w:rsidR="00B834A2" w:rsidRPr="00D34D77" w:rsidRDefault="00B834A2" w:rsidP="00D34D77">
            <w:pPr>
              <w:spacing w:after="120"/>
              <w:jc w:val="both"/>
              <w:rPr>
                <w:sz w:val="20"/>
              </w:rPr>
            </w:pPr>
            <w:r w:rsidRPr="00D34D77">
              <w:rPr>
                <w:sz w:val="20"/>
              </w:rPr>
              <w:t>Р մեթիլպալմիտատ</w:t>
            </w:r>
          </w:p>
        </w:tc>
        <w:tc>
          <w:tcPr>
            <w:tcW w:w="2469" w:type="dxa"/>
            <w:shd w:val="clear" w:color="auto" w:fill="FFFFFF"/>
            <w:vAlign w:val="center"/>
          </w:tcPr>
          <w:p w14:paraId="666C5977" w14:textId="77777777" w:rsidR="00B834A2" w:rsidRPr="00D34D77" w:rsidRDefault="00B834A2" w:rsidP="00D34D77">
            <w:pPr>
              <w:spacing w:after="120"/>
              <w:jc w:val="center"/>
              <w:rPr>
                <w:sz w:val="20"/>
              </w:rPr>
            </w:pPr>
            <w:r w:rsidRPr="00D34D77">
              <w:rPr>
                <w:sz w:val="20"/>
              </w:rPr>
              <w:t>10</w:t>
            </w:r>
          </w:p>
        </w:tc>
      </w:tr>
      <w:tr w:rsidR="00B834A2" w:rsidRPr="00D34D77" w14:paraId="5E216758" w14:textId="77777777" w:rsidTr="00D34D77">
        <w:trPr>
          <w:jc w:val="center"/>
        </w:trPr>
        <w:tc>
          <w:tcPr>
            <w:tcW w:w="2976" w:type="dxa"/>
            <w:shd w:val="clear" w:color="auto" w:fill="FFFFFF"/>
            <w:vAlign w:val="center"/>
          </w:tcPr>
          <w:p w14:paraId="57CCE078" w14:textId="77777777" w:rsidR="00B834A2" w:rsidRPr="00D34D77" w:rsidRDefault="00B834A2" w:rsidP="00D34D77">
            <w:pPr>
              <w:spacing w:after="120"/>
              <w:jc w:val="both"/>
              <w:rPr>
                <w:sz w:val="20"/>
              </w:rPr>
            </w:pPr>
            <w:r w:rsidRPr="00D34D77">
              <w:rPr>
                <w:sz w:val="20"/>
              </w:rPr>
              <w:t>Р մեթիլստեարատ</w:t>
            </w:r>
          </w:p>
        </w:tc>
        <w:tc>
          <w:tcPr>
            <w:tcW w:w="2469" w:type="dxa"/>
            <w:shd w:val="clear" w:color="auto" w:fill="FFFFFF"/>
            <w:vAlign w:val="center"/>
          </w:tcPr>
          <w:p w14:paraId="69CC4FE1" w14:textId="77777777" w:rsidR="00B834A2" w:rsidRPr="00D34D77" w:rsidRDefault="00B834A2" w:rsidP="00D34D77">
            <w:pPr>
              <w:spacing w:after="120"/>
              <w:jc w:val="center"/>
              <w:rPr>
                <w:sz w:val="20"/>
              </w:rPr>
            </w:pPr>
            <w:r w:rsidRPr="00D34D77">
              <w:rPr>
                <w:sz w:val="20"/>
              </w:rPr>
              <w:t>20</w:t>
            </w:r>
          </w:p>
        </w:tc>
      </w:tr>
      <w:tr w:rsidR="00B834A2" w:rsidRPr="00D34D77" w14:paraId="1AB49094" w14:textId="77777777" w:rsidTr="00D34D77">
        <w:trPr>
          <w:jc w:val="center"/>
        </w:trPr>
        <w:tc>
          <w:tcPr>
            <w:tcW w:w="2976" w:type="dxa"/>
            <w:shd w:val="clear" w:color="auto" w:fill="FFFFFF"/>
          </w:tcPr>
          <w:p w14:paraId="4286776E" w14:textId="77777777" w:rsidR="00B834A2" w:rsidRPr="00D34D77" w:rsidRDefault="00B834A2" w:rsidP="00D34D77">
            <w:pPr>
              <w:spacing w:after="120"/>
              <w:jc w:val="both"/>
              <w:rPr>
                <w:sz w:val="20"/>
              </w:rPr>
            </w:pPr>
            <w:r w:rsidRPr="00D34D77">
              <w:rPr>
                <w:sz w:val="20"/>
              </w:rPr>
              <w:t>Р մեթիլարախիդատ</w:t>
            </w:r>
          </w:p>
        </w:tc>
        <w:tc>
          <w:tcPr>
            <w:tcW w:w="2469" w:type="dxa"/>
            <w:shd w:val="clear" w:color="auto" w:fill="FFFFFF"/>
          </w:tcPr>
          <w:p w14:paraId="3BA09658" w14:textId="77777777" w:rsidR="00B834A2" w:rsidRPr="00D34D77" w:rsidRDefault="00B834A2" w:rsidP="00D34D77">
            <w:pPr>
              <w:spacing w:after="120"/>
              <w:jc w:val="center"/>
              <w:rPr>
                <w:sz w:val="20"/>
              </w:rPr>
            </w:pPr>
            <w:r w:rsidRPr="00D34D77">
              <w:rPr>
                <w:sz w:val="20"/>
              </w:rPr>
              <w:t>40</w:t>
            </w:r>
          </w:p>
        </w:tc>
      </w:tr>
      <w:tr w:rsidR="00B834A2" w:rsidRPr="00D34D77" w14:paraId="0B4B425F" w14:textId="77777777" w:rsidTr="00D34D77">
        <w:trPr>
          <w:jc w:val="center"/>
        </w:trPr>
        <w:tc>
          <w:tcPr>
            <w:tcW w:w="2976" w:type="dxa"/>
            <w:shd w:val="clear" w:color="auto" w:fill="FFFFFF"/>
            <w:vAlign w:val="center"/>
          </w:tcPr>
          <w:p w14:paraId="1C1B32BE" w14:textId="77777777" w:rsidR="00B834A2" w:rsidRPr="00D34D77" w:rsidRDefault="00B834A2" w:rsidP="00D34D77">
            <w:pPr>
              <w:spacing w:after="120"/>
              <w:jc w:val="both"/>
              <w:rPr>
                <w:sz w:val="20"/>
              </w:rPr>
            </w:pPr>
            <w:r w:rsidRPr="00D34D77">
              <w:rPr>
                <w:sz w:val="20"/>
              </w:rPr>
              <w:t>Р մեթիլօլեատ</w:t>
            </w:r>
          </w:p>
        </w:tc>
        <w:tc>
          <w:tcPr>
            <w:tcW w:w="2469" w:type="dxa"/>
            <w:shd w:val="clear" w:color="auto" w:fill="FFFFFF"/>
            <w:vAlign w:val="center"/>
          </w:tcPr>
          <w:p w14:paraId="5A76669C" w14:textId="77777777" w:rsidR="00B834A2" w:rsidRPr="00D34D77" w:rsidRDefault="00B834A2" w:rsidP="00D34D77">
            <w:pPr>
              <w:spacing w:after="120"/>
              <w:jc w:val="center"/>
              <w:rPr>
                <w:sz w:val="20"/>
              </w:rPr>
            </w:pPr>
            <w:r w:rsidRPr="00D34D77">
              <w:rPr>
                <w:sz w:val="20"/>
              </w:rPr>
              <w:t>20</w:t>
            </w:r>
          </w:p>
        </w:tc>
      </w:tr>
    </w:tbl>
    <w:p w14:paraId="613DE5DD" w14:textId="77777777" w:rsidR="00B834A2" w:rsidRPr="00B834A2" w:rsidRDefault="00B834A2" w:rsidP="00B834A2">
      <w:pPr>
        <w:spacing w:after="160" w:line="360" w:lineRule="auto"/>
        <w:jc w:val="both"/>
      </w:pPr>
    </w:p>
    <w:p w14:paraId="1EA847B3" w14:textId="77777777" w:rsidR="00B834A2" w:rsidRPr="00063A76" w:rsidRDefault="00B834A2" w:rsidP="00D34D77">
      <w:pPr>
        <w:spacing w:after="160" w:line="360" w:lineRule="auto"/>
        <w:ind w:firstLine="567"/>
        <w:jc w:val="both"/>
        <w:rPr>
          <w:i/>
        </w:rPr>
      </w:pPr>
      <w:r w:rsidRPr="00B834A2">
        <w:lastRenderedPageBreak/>
        <w:t xml:space="preserve">Աղյուսակ 2.1.8.24-2։ </w:t>
      </w:r>
      <w:r w:rsidRPr="00063A76">
        <w:rPr>
          <w:i/>
        </w:rPr>
        <w:t>Ստուգաճշտման համար օգտագործվող նյութերի խառնուրդը (մազանոթային աշտարակով եւ հոսքի բաժանմամբ գազային քրոմատագրման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6"/>
        <w:gridCol w:w="2342"/>
      </w:tblGrid>
      <w:tr w:rsidR="00B834A2" w:rsidRPr="00D34D77" w14:paraId="7696DBF3" w14:textId="77777777" w:rsidTr="00D34D77">
        <w:trPr>
          <w:jc w:val="center"/>
        </w:trPr>
        <w:tc>
          <w:tcPr>
            <w:tcW w:w="2076" w:type="dxa"/>
            <w:tcBorders>
              <w:top w:val="single" w:sz="4" w:space="0" w:color="auto"/>
            </w:tcBorders>
            <w:shd w:val="clear" w:color="auto" w:fill="FFFFFF"/>
            <w:vAlign w:val="bottom"/>
          </w:tcPr>
          <w:p w14:paraId="38D34D88" w14:textId="77777777" w:rsidR="00B834A2" w:rsidRPr="00D34D77" w:rsidRDefault="00B834A2" w:rsidP="00D34D77">
            <w:pPr>
              <w:spacing w:after="120"/>
              <w:jc w:val="both"/>
              <w:rPr>
                <w:sz w:val="20"/>
              </w:rPr>
            </w:pPr>
            <w:r w:rsidRPr="00D34D77">
              <w:rPr>
                <w:sz w:val="20"/>
              </w:rPr>
              <w:t>Նյութերի խառնուրդը</w:t>
            </w:r>
          </w:p>
        </w:tc>
        <w:tc>
          <w:tcPr>
            <w:tcW w:w="2342" w:type="dxa"/>
            <w:tcBorders>
              <w:top w:val="single" w:sz="4" w:space="0" w:color="auto"/>
            </w:tcBorders>
            <w:shd w:val="clear" w:color="auto" w:fill="FFFFFF"/>
            <w:vAlign w:val="bottom"/>
          </w:tcPr>
          <w:p w14:paraId="1D523A64" w14:textId="77777777" w:rsidR="00B834A2" w:rsidRPr="00D34D77" w:rsidRDefault="00B834A2" w:rsidP="00D34D77">
            <w:pPr>
              <w:spacing w:after="120"/>
              <w:jc w:val="both"/>
              <w:rPr>
                <w:sz w:val="20"/>
              </w:rPr>
            </w:pPr>
            <w:r w:rsidRPr="00D34D77">
              <w:rPr>
                <w:sz w:val="20"/>
              </w:rPr>
              <w:t>Բաղադրությունը (%մ/մ)</w:t>
            </w:r>
          </w:p>
        </w:tc>
      </w:tr>
      <w:tr w:rsidR="00B834A2" w:rsidRPr="00D34D77" w14:paraId="525E2B42" w14:textId="77777777" w:rsidTr="00D34D77">
        <w:trPr>
          <w:jc w:val="center"/>
        </w:trPr>
        <w:tc>
          <w:tcPr>
            <w:tcW w:w="2076" w:type="dxa"/>
            <w:tcBorders>
              <w:top w:val="single" w:sz="4" w:space="0" w:color="auto"/>
            </w:tcBorders>
            <w:shd w:val="clear" w:color="auto" w:fill="FFFFFF"/>
            <w:vAlign w:val="center"/>
          </w:tcPr>
          <w:p w14:paraId="14810060" w14:textId="77777777" w:rsidR="00B834A2" w:rsidRPr="00D34D77" w:rsidRDefault="00B834A2" w:rsidP="00D34D77">
            <w:pPr>
              <w:spacing w:after="120"/>
              <w:jc w:val="both"/>
              <w:rPr>
                <w:i/>
                <w:sz w:val="20"/>
              </w:rPr>
            </w:pPr>
            <w:r w:rsidRPr="00D34D77">
              <w:rPr>
                <w:i/>
                <w:sz w:val="20"/>
              </w:rPr>
              <w:t>Р մեթիլկապրոատ</w:t>
            </w:r>
          </w:p>
        </w:tc>
        <w:tc>
          <w:tcPr>
            <w:tcW w:w="2342" w:type="dxa"/>
            <w:tcBorders>
              <w:top w:val="single" w:sz="4" w:space="0" w:color="auto"/>
            </w:tcBorders>
            <w:shd w:val="clear" w:color="auto" w:fill="FFFFFF"/>
            <w:vAlign w:val="center"/>
          </w:tcPr>
          <w:p w14:paraId="33F82989" w14:textId="77777777" w:rsidR="00B834A2" w:rsidRPr="00D34D77" w:rsidRDefault="00B834A2" w:rsidP="00D34D77">
            <w:pPr>
              <w:spacing w:after="120"/>
              <w:jc w:val="center"/>
              <w:rPr>
                <w:sz w:val="20"/>
              </w:rPr>
            </w:pPr>
            <w:r w:rsidRPr="00D34D77">
              <w:rPr>
                <w:sz w:val="20"/>
              </w:rPr>
              <w:t>10</w:t>
            </w:r>
          </w:p>
        </w:tc>
      </w:tr>
      <w:tr w:rsidR="00B834A2" w:rsidRPr="00D34D77" w14:paraId="67F422A3" w14:textId="77777777" w:rsidTr="00D34D77">
        <w:trPr>
          <w:jc w:val="center"/>
        </w:trPr>
        <w:tc>
          <w:tcPr>
            <w:tcW w:w="2076" w:type="dxa"/>
            <w:shd w:val="clear" w:color="auto" w:fill="FFFFFF"/>
            <w:vAlign w:val="center"/>
          </w:tcPr>
          <w:p w14:paraId="01AE6F8D" w14:textId="77777777" w:rsidR="00B834A2" w:rsidRPr="00D34D77" w:rsidRDefault="00B834A2" w:rsidP="00D34D77">
            <w:pPr>
              <w:spacing w:after="120"/>
              <w:jc w:val="both"/>
              <w:rPr>
                <w:i/>
                <w:sz w:val="20"/>
              </w:rPr>
            </w:pPr>
            <w:r w:rsidRPr="00D34D77">
              <w:rPr>
                <w:i/>
                <w:sz w:val="20"/>
              </w:rPr>
              <w:t>Р մեթիլկապրիլատ</w:t>
            </w:r>
          </w:p>
        </w:tc>
        <w:tc>
          <w:tcPr>
            <w:tcW w:w="2342" w:type="dxa"/>
            <w:shd w:val="clear" w:color="auto" w:fill="FFFFFF"/>
            <w:vAlign w:val="center"/>
          </w:tcPr>
          <w:p w14:paraId="1BFA2F45" w14:textId="77777777" w:rsidR="00B834A2" w:rsidRPr="00D34D77" w:rsidRDefault="00B834A2" w:rsidP="00D34D77">
            <w:pPr>
              <w:spacing w:after="120"/>
              <w:jc w:val="center"/>
              <w:rPr>
                <w:sz w:val="20"/>
              </w:rPr>
            </w:pPr>
            <w:r w:rsidRPr="00D34D77">
              <w:rPr>
                <w:sz w:val="20"/>
              </w:rPr>
              <w:t>10</w:t>
            </w:r>
          </w:p>
        </w:tc>
      </w:tr>
      <w:tr w:rsidR="00B834A2" w:rsidRPr="00D34D77" w14:paraId="114DB18A" w14:textId="77777777" w:rsidTr="00D34D77">
        <w:trPr>
          <w:jc w:val="center"/>
        </w:trPr>
        <w:tc>
          <w:tcPr>
            <w:tcW w:w="2076" w:type="dxa"/>
            <w:shd w:val="clear" w:color="auto" w:fill="FFFFFF"/>
            <w:vAlign w:val="center"/>
          </w:tcPr>
          <w:p w14:paraId="1BE1BD61" w14:textId="77777777" w:rsidR="00B834A2" w:rsidRPr="00D34D77" w:rsidRDefault="00B834A2" w:rsidP="00D34D77">
            <w:pPr>
              <w:spacing w:after="120"/>
              <w:jc w:val="both"/>
              <w:rPr>
                <w:i/>
                <w:sz w:val="20"/>
              </w:rPr>
            </w:pPr>
            <w:r w:rsidRPr="00D34D77">
              <w:rPr>
                <w:i/>
                <w:sz w:val="20"/>
              </w:rPr>
              <w:t>Р մեթիլդեկանոատ</w:t>
            </w:r>
          </w:p>
        </w:tc>
        <w:tc>
          <w:tcPr>
            <w:tcW w:w="2342" w:type="dxa"/>
            <w:shd w:val="clear" w:color="auto" w:fill="FFFFFF"/>
            <w:vAlign w:val="center"/>
          </w:tcPr>
          <w:p w14:paraId="3E2AF6DF" w14:textId="77777777" w:rsidR="00B834A2" w:rsidRPr="00D34D77" w:rsidRDefault="00B834A2" w:rsidP="00D34D77">
            <w:pPr>
              <w:spacing w:after="120"/>
              <w:jc w:val="center"/>
              <w:rPr>
                <w:sz w:val="20"/>
              </w:rPr>
            </w:pPr>
            <w:r w:rsidRPr="00D34D77">
              <w:rPr>
                <w:sz w:val="20"/>
              </w:rPr>
              <w:t>20</w:t>
            </w:r>
          </w:p>
        </w:tc>
      </w:tr>
      <w:tr w:rsidR="00B834A2" w:rsidRPr="00D34D77" w14:paraId="4C0721AD" w14:textId="77777777" w:rsidTr="00D34D77">
        <w:trPr>
          <w:jc w:val="center"/>
        </w:trPr>
        <w:tc>
          <w:tcPr>
            <w:tcW w:w="2076" w:type="dxa"/>
            <w:shd w:val="clear" w:color="auto" w:fill="FFFFFF"/>
            <w:vAlign w:val="center"/>
          </w:tcPr>
          <w:p w14:paraId="6CA0BD84" w14:textId="77777777" w:rsidR="00B834A2" w:rsidRPr="00D34D77" w:rsidRDefault="00B834A2" w:rsidP="00D34D77">
            <w:pPr>
              <w:spacing w:after="120"/>
              <w:jc w:val="both"/>
              <w:rPr>
                <w:i/>
                <w:sz w:val="20"/>
              </w:rPr>
            </w:pPr>
            <w:r w:rsidRPr="00D34D77">
              <w:rPr>
                <w:i/>
                <w:sz w:val="20"/>
              </w:rPr>
              <w:t>Р մեթիլլաուրատ</w:t>
            </w:r>
          </w:p>
        </w:tc>
        <w:tc>
          <w:tcPr>
            <w:tcW w:w="2342" w:type="dxa"/>
            <w:shd w:val="clear" w:color="auto" w:fill="FFFFFF"/>
            <w:vAlign w:val="center"/>
          </w:tcPr>
          <w:p w14:paraId="6D936E9B" w14:textId="77777777" w:rsidR="00B834A2" w:rsidRPr="00D34D77" w:rsidRDefault="00B834A2" w:rsidP="00D34D77">
            <w:pPr>
              <w:spacing w:after="120"/>
              <w:jc w:val="center"/>
              <w:rPr>
                <w:sz w:val="20"/>
              </w:rPr>
            </w:pPr>
            <w:r w:rsidRPr="00D34D77">
              <w:rPr>
                <w:sz w:val="20"/>
              </w:rPr>
              <w:t>20</w:t>
            </w:r>
          </w:p>
        </w:tc>
      </w:tr>
      <w:tr w:rsidR="00B834A2" w:rsidRPr="00D34D77" w14:paraId="7170E7E6" w14:textId="77777777" w:rsidTr="00D34D77">
        <w:trPr>
          <w:jc w:val="center"/>
        </w:trPr>
        <w:tc>
          <w:tcPr>
            <w:tcW w:w="2076" w:type="dxa"/>
            <w:shd w:val="clear" w:color="auto" w:fill="FFFFFF"/>
          </w:tcPr>
          <w:p w14:paraId="48A3BCF1" w14:textId="77777777" w:rsidR="00B834A2" w:rsidRPr="00D34D77" w:rsidRDefault="00B834A2" w:rsidP="00D34D77">
            <w:pPr>
              <w:spacing w:after="120"/>
              <w:jc w:val="both"/>
              <w:rPr>
                <w:i/>
                <w:sz w:val="20"/>
              </w:rPr>
            </w:pPr>
            <w:r w:rsidRPr="00D34D77">
              <w:rPr>
                <w:i/>
                <w:sz w:val="20"/>
              </w:rPr>
              <w:t>Р մեթիլմիրիստատ</w:t>
            </w:r>
          </w:p>
        </w:tc>
        <w:tc>
          <w:tcPr>
            <w:tcW w:w="2342" w:type="dxa"/>
            <w:shd w:val="clear" w:color="auto" w:fill="FFFFFF"/>
          </w:tcPr>
          <w:p w14:paraId="4C945440" w14:textId="77777777" w:rsidR="00B834A2" w:rsidRPr="00D34D77" w:rsidRDefault="00B834A2" w:rsidP="00D34D77">
            <w:pPr>
              <w:spacing w:after="120"/>
              <w:jc w:val="center"/>
              <w:rPr>
                <w:sz w:val="20"/>
              </w:rPr>
            </w:pPr>
            <w:r w:rsidRPr="00D34D77">
              <w:rPr>
                <w:sz w:val="20"/>
              </w:rPr>
              <w:t>40</w:t>
            </w:r>
          </w:p>
        </w:tc>
      </w:tr>
    </w:tbl>
    <w:p w14:paraId="137D5BCB" w14:textId="77777777" w:rsidR="00B834A2" w:rsidRPr="00B834A2" w:rsidRDefault="00B834A2" w:rsidP="00B834A2">
      <w:pPr>
        <w:spacing w:after="160" w:line="360" w:lineRule="auto"/>
        <w:jc w:val="both"/>
      </w:pPr>
    </w:p>
    <w:p w14:paraId="4B372A53" w14:textId="77777777" w:rsidR="00B834A2" w:rsidRPr="00063A76" w:rsidRDefault="00B834A2" w:rsidP="00D34D77">
      <w:pPr>
        <w:spacing w:after="160" w:line="360" w:lineRule="auto"/>
        <w:ind w:firstLine="567"/>
        <w:jc w:val="both"/>
        <w:rPr>
          <w:i/>
        </w:rPr>
      </w:pPr>
      <w:r w:rsidRPr="00B834A2">
        <w:t xml:space="preserve">Աղյուսակ 2.1.8.24-3։ </w:t>
      </w:r>
      <w:r w:rsidRPr="00063A76">
        <w:rPr>
          <w:i/>
        </w:rPr>
        <w:t>Ստուգաճշտման համար օգտագործվող նյութերի խառնուրդը (մազանոթային աշտարակով եւ հոսքի բաժանմամբ գազային քրոմատագրման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76"/>
        <w:gridCol w:w="2342"/>
      </w:tblGrid>
      <w:tr w:rsidR="00B834A2" w:rsidRPr="00D34D77" w14:paraId="03D8602C" w14:textId="77777777" w:rsidTr="00D34D77">
        <w:trPr>
          <w:jc w:val="center"/>
        </w:trPr>
        <w:tc>
          <w:tcPr>
            <w:tcW w:w="2076" w:type="dxa"/>
            <w:tcBorders>
              <w:top w:val="single" w:sz="4" w:space="0" w:color="auto"/>
            </w:tcBorders>
            <w:shd w:val="clear" w:color="auto" w:fill="FFFFFF"/>
            <w:vAlign w:val="bottom"/>
          </w:tcPr>
          <w:p w14:paraId="1E5F991B" w14:textId="77777777" w:rsidR="00B834A2" w:rsidRPr="00D34D77" w:rsidRDefault="00B834A2" w:rsidP="00D34D77">
            <w:pPr>
              <w:spacing w:after="120"/>
              <w:jc w:val="both"/>
              <w:rPr>
                <w:sz w:val="20"/>
              </w:rPr>
            </w:pPr>
            <w:r w:rsidRPr="00D34D77">
              <w:rPr>
                <w:sz w:val="20"/>
              </w:rPr>
              <w:t>Նյութերի խառնուրդը</w:t>
            </w:r>
          </w:p>
        </w:tc>
        <w:tc>
          <w:tcPr>
            <w:tcW w:w="2342" w:type="dxa"/>
            <w:tcBorders>
              <w:top w:val="single" w:sz="4" w:space="0" w:color="auto"/>
            </w:tcBorders>
            <w:shd w:val="clear" w:color="auto" w:fill="FFFFFF"/>
            <w:vAlign w:val="bottom"/>
          </w:tcPr>
          <w:p w14:paraId="54816A50" w14:textId="77777777" w:rsidR="00B834A2" w:rsidRPr="00D34D77" w:rsidRDefault="00B834A2" w:rsidP="00D34D77">
            <w:pPr>
              <w:spacing w:after="120"/>
              <w:jc w:val="both"/>
              <w:rPr>
                <w:sz w:val="20"/>
              </w:rPr>
            </w:pPr>
            <w:r w:rsidRPr="00D34D77">
              <w:rPr>
                <w:sz w:val="20"/>
              </w:rPr>
              <w:t>Բաղադրությունը (%մ/մ)</w:t>
            </w:r>
          </w:p>
        </w:tc>
      </w:tr>
      <w:tr w:rsidR="00B834A2" w:rsidRPr="00D34D77" w14:paraId="492AD3C8" w14:textId="77777777" w:rsidTr="00D34D77">
        <w:trPr>
          <w:jc w:val="center"/>
        </w:trPr>
        <w:tc>
          <w:tcPr>
            <w:tcW w:w="2076" w:type="dxa"/>
            <w:tcBorders>
              <w:top w:val="single" w:sz="4" w:space="0" w:color="auto"/>
            </w:tcBorders>
            <w:shd w:val="clear" w:color="auto" w:fill="FFFFFF"/>
          </w:tcPr>
          <w:p w14:paraId="1EEE3B0C" w14:textId="77777777" w:rsidR="00B834A2" w:rsidRPr="00D34D77" w:rsidRDefault="00B834A2" w:rsidP="00D34D77">
            <w:pPr>
              <w:spacing w:after="120"/>
              <w:jc w:val="both"/>
              <w:rPr>
                <w:i/>
                <w:sz w:val="20"/>
              </w:rPr>
            </w:pPr>
            <w:r w:rsidRPr="00D34D77">
              <w:rPr>
                <w:i/>
                <w:sz w:val="20"/>
              </w:rPr>
              <w:t>Р մեթիլմիրիստատ</w:t>
            </w:r>
          </w:p>
        </w:tc>
        <w:tc>
          <w:tcPr>
            <w:tcW w:w="2342" w:type="dxa"/>
            <w:tcBorders>
              <w:top w:val="single" w:sz="4" w:space="0" w:color="auto"/>
            </w:tcBorders>
            <w:shd w:val="clear" w:color="auto" w:fill="FFFFFF"/>
          </w:tcPr>
          <w:p w14:paraId="345C04A4" w14:textId="77777777" w:rsidR="00B834A2" w:rsidRPr="00D34D77" w:rsidRDefault="00B834A2" w:rsidP="00D34D77">
            <w:pPr>
              <w:spacing w:after="120"/>
              <w:jc w:val="center"/>
              <w:rPr>
                <w:sz w:val="20"/>
              </w:rPr>
            </w:pPr>
            <w:r w:rsidRPr="00D34D77">
              <w:rPr>
                <w:sz w:val="20"/>
              </w:rPr>
              <w:t>5</w:t>
            </w:r>
          </w:p>
        </w:tc>
      </w:tr>
      <w:tr w:rsidR="00B834A2" w:rsidRPr="00D34D77" w14:paraId="3B0F35CA" w14:textId="77777777" w:rsidTr="00D34D77">
        <w:trPr>
          <w:jc w:val="center"/>
        </w:trPr>
        <w:tc>
          <w:tcPr>
            <w:tcW w:w="2076" w:type="dxa"/>
            <w:shd w:val="clear" w:color="auto" w:fill="FFFFFF"/>
            <w:vAlign w:val="center"/>
          </w:tcPr>
          <w:p w14:paraId="0B0B6F15" w14:textId="77777777" w:rsidR="00B834A2" w:rsidRPr="00D34D77" w:rsidRDefault="00B834A2" w:rsidP="00D34D77">
            <w:pPr>
              <w:spacing w:after="120"/>
              <w:jc w:val="both"/>
              <w:rPr>
                <w:i/>
                <w:sz w:val="20"/>
              </w:rPr>
            </w:pPr>
            <w:r w:rsidRPr="00D34D77">
              <w:rPr>
                <w:i/>
                <w:sz w:val="20"/>
              </w:rPr>
              <w:t>Р մեթիլպալմիտատ</w:t>
            </w:r>
          </w:p>
        </w:tc>
        <w:tc>
          <w:tcPr>
            <w:tcW w:w="2342" w:type="dxa"/>
            <w:shd w:val="clear" w:color="auto" w:fill="FFFFFF"/>
            <w:vAlign w:val="center"/>
          </w:tcPr>
          <w:p w14:paraId="50B140C9" w14:textId="77777777" w:rsidR="00B834A2" w:rsidRPr="00D34D77" w:rsidRDefault="00B834A2" w:rsidP="00D34D77">
            <w:pPr>
              <w:spacing w:after="120"/>
              <w:jc w:val="center"/>
              <w:rPr>
                <w:sz w:val="20"/>
              </w:rPr>
            </w:pPr>
            <w:r w:rsidRPr="00D34D77">
              <w:rPr>
                <w:sz w:val="20"/>
              </w:rPr>
              <w:t>10</w:t>
            </w:r>
          </w:p>
        </w:tc>
      </w:tr>
      <w:tr w:rsidR="00B834A2" w:rsidRPr="00D34D77" w14:paraId="08005F96" w14:textId="77777777" w:rsidTr="00D34D77">
        <w:trPr>
          <w:jc w:val="center"/>
        </w:trPr>
        <w:tc>
          <w:tcPr>
            <w:tcW w:w="2076" w:type="dxa"/>
            <w:shd w:val="clear" w:color="auto" w:fill="FFFFFF"/>
          </w:tcPr>
          <w:p w14:paraId="518F46E5" w14:textId="77777777" w:rsidR="00B834A2" w:rsidRPr="00D34D77" w:rsidRDefault="00B834A2" w:rsidP="00D34D77">
            <w:pPr>
              <w:spacing w:after="120"/>
              <w:jc w:val="both"/>
              <w:rPr>
                <w:i/>
                <w:sz w:val="20"/>
              </w:rPr>
            </w:pPr>
            <w:r w:rsidRPr="00D34D77">
              <w:rPr>
                <w:i/>
                <w:sz w:val="20"/>
              </w:rPr>
              <w:t>Р մեթիլստեարատ</w:t>
            </w:r>
          </w:p>
        </w:tc>
        <w:tc>
          <w:tcPr>
            <w:tcW w:w="2342" w:type="dxa"/>
            <w:shd w:val="clear" w:color="auto" w:fill="FFFFFF"/>
          </w:tcPr>
          <w:p w14:paraId="009FA818" w14:textId="77777777" w:rsidR="00B834A2" w:rsidRPr="00D34D77" w:rsidRDefault="00B834A2" w:rsidP="00D34D77">
            <w:pPr>
              <w:spacing w:after="120"/>
              <w:jc w:val="center"/>
              <w:rPr>
                <w:sz w:val="20"/>
              </w:rPr>
            </w:pPr>
            <w:r w:rsidRPr="00D34D77">
              <w:rPr>
                <w:sz w:val="20"/>
              </w:rPr>
              <w:t>15</w:t>
            </w:r>
          </w:p>
        </w:tc>
      </w:tr>
      <w:tr w:rsidR="00B834A2" w:rsidRPr="00D34D77" w14:paraId="7434CB8B" w14:textId="77777777" w:rsidTr="00D34D77">
        <w:trPr>
          <w:jc w:val="center"/>
        </w:trPr>
        <w:tc>
          <w:tcPr>
            <w:tcW w:w="2076" w:type="dxa"/>
            <w:shd w:val="clear" w:color="auto" w:fill="FFFFFF"/>
            <w:vAlign w:val="center"/>
          </w:tcPr>
          <w:p w14:paraId="115FC02F" w14:textId="77777777" w:rsidR="00B834A2" w:rsidRPr="00D34D77" w:rsidRDefault="00B834A2" w:rsidP="00D34D77">
            <w:pPr>
              <w:spacing w:after="120"/>
              <w:jc w:val="both"/>
              <w:rPr>
                <w:i/>
                <w:sz w:val="20"/>
              </w:rPr>
            </w:pPr>
            <w:r w:rsidRPr="00D34D77">
              <w:rPr>
                <w:i/>
                <w:sz w:val="20"/>
              </w:rPr>
              <w:t>Р մեթիլարախիդատ</w:t>
            </w:r>
          </w:p>
        </w:tc>
        <w:tc>
          <w:tcPr>
            <w:tcW w:w="2342" w:type="dxa"/>
            <w:shd w:val="clear" w:color="auto" w:fill="FFFFFF"/>
            <w:vAlign w:val="center"/>
          </w:tcPr>
          <w:p w14:paraId="215C7D04" w14:textId="77777777" w:rsidR="00B834A2" w:rsidRPr="00D34D77" w:rsidRDefault="00B834A2" w:rsidP="00D34D77">
            <w:pPr>
              <w:spacing w:after="120"/>
              <w:jc w:val="center"/>
              <w:rPr>
                <w:sz w:val="20"/>
              </w:rPr>
            </w:pPr>
            <w:r w:rsidRPr="00D34D77">
              <w:rPr>
                <w:sz w:val="20"/>
              </w:rPr>
              <w:t>20</w:t>
            </w:r>
          </w:p>
        </w:tc>
      </w:tr>
      <w:tr w:rsidR="00B834A2" w:rsidRPr="00D34D77" w14:paraId="5C056B8D" w14:textId="77777777" w:rsidTr="00D34D77">
        <w:trPr>
          <w:jc w:val="center"/>
        </w:trPr>
        <w:tc>
          <w:tcPr>
            <w:tcW w:w="2076" w:type="dxa"/>
            <w:shd w:val="clear" w:color="auto" w:fill="FFFFFF"/>
            <w:vAlign w:val="center"/>
          </w:tcPr>
          <w:p w14:paraId="287187D3" w14:textId="77777777" w:rsidR="00B834A2" w:rsidRPr="00D34D77" w:rsidRDefault="00B834A2" w:rsidP="00D34D77">
            <w:pPr>
              <w:spacing w:after="120"/>
              <w:jc w:val="both"/>
              <w:rPr>
                <w:i/>
                <w:sz w:val="20"/>
              </w:rPr>
            </w:pPr>
            <w:r w:rsidRPr="00D34D77">
              <w:rPr>
                <w:i/>
                <w:sz w:val="20"/>
              </w:rPr>
              <w:t>Р մեթիլօլեատ</w:t>
            </w:r>
          </w:p>
        </w:tc>
        <w:tc>
          <w:tcPr>
            <w:tcW w:w="2342" w:type="dxa"/>
            <w:shd w:val="clear" w:color="auto" w:fill="FFFFFF"/>
            <w:vAlign w:val="center"/>
          </w:tcPr>
          <w:p w14:paraId="26747050" w14:textId="77777777" w:rsidR="00B834A2" w:rsidRPr="00D34D77" w:rsidRDefault="00B834A2" w:rsidP="00D34D77">
            <w:pPr>
              <w:spacing w:after="120"/>
              <w:jc w:val="center"/>
              <w:rPr>
                <w:sz w:val="20"/>
              </w:rPr>
            </w:pPr>
            <w:r w:rsidRPr="00D34D77">
              <w:rPr>
                <w:sz w:val="20"/>
              </w:rPr>
              <w:t>20</w:t>
            </w:r>
          </w:p>
        </w:tc>
      </w:tr>
      <w:tr w:rsidR="00B834A2" w:rsidRPr="00D34D77" w14:paraId="4443FC1A" w14:textId="77777777" w:rsidTr="00D34D77">
        <w:trPr>
          <w:jc w:val="center"/>
        </w:trPr>
        <w:tc>
          <w:tcPr>
            <w:tcW w:w="2076" w:type="dxa"/>
            <w:shd w:val="clear" w:color="auto" w:fill="FFFFFF"/>
            <w:vAlign w:val="center"/>
          </w:tcPr>
          <w:p w14:paraId="56FBECCB" w14:textId="77777777" w:rsidR="00B834A2" w:rsidRPr="00D34D77" w:rsidRDefault="00B834A2" w:rsidP="00D34D77">
            <w:pPr>
              <w:spacing w:after="120"/>
              <w:jc w:val="both"/>
              <w:rPr>
                <w:i/>
                <w:sz w:val="20"/>
              </w:rPr>
            </w:pPr>
            <w:r w:rsidRPr="00D34D77">
              <w:rPr>
                <w:i/>
                <w:sz w:val="20"/>
              </w:rPr>
              <w:t>Р մեթիլէյկոզենոատ</w:t>
            </w:r>
          </w:p>
        </w:tc>
        <w:tc>
          <w:tcPr>
            <w:tcW w:w="2342" w:type="dxa"/>
            <w:shd w:val="clear" w:color="auto" w:fill="FFFFFF"/>
            <w:vAlign w:val="center"/>
          </w:tcPr>
          <w:p w14:paraId="19B80928" w14:textId="77777777" w:rsidR="00B834A2" w:rsidRPr="00D34D77" w:rsidRDefault="00B834A2" w:rsidP="00D34D77">
            <w:pPr>
              <w:spacing w:after="120"/>
              <w:jc w:val="center"/>
              <w:rPr>
                <w:sz w:val="20"/>
              </w:rPr>
            </w:pPr>
            <w:r w:rsidRPr="00D34D77">
              <w:rPr>
                <w:sz w:val="20"/>
              </w:rPr>
              <w:t>10</w:t>
            </w:r>
          </w:p>
        </w:tc>
      </w:tr>
      <w:tr w:rsidR="00B834A2" w:rsidRPr="00D34D77" w14:paraId="5365EC80" w14:textId="77777777" w:rsidTr="00D34D77">
        <w:trPr>
          <w:jc w:val="center"/>
        </w:trPr>
        <w:tc>
          <w:tcPr>
            <w:tcW w:w="2076" w:type="dxa"/>
            <w:shd w:val="clear" w:color="auto" w:fill="FFFFFF"/>
            <w:vAlign w:val="center"/>
          </w:tcPr>
          <w:p w14:paraId="7F2B509A" w14:textId="77777777" w:rsidR="00B834A2" w:rsidRPr="00D34D77" w:rsidRDefault="00B834A2" w:rsidP="00D34D77">
            <w:pPr>
              <w:spacing w:after="120"/>
              <w:jc w:val="both"/>
              <w:rPr>
                <w:i/>
                <w:sz w:val="20"/>
              </w:rPr>
            </w:pPr>
            <w:r w:rsidRPr="00D34D77">
              <w:rPr>
                <w:i/>
                <w:sz w:val="20"/>
              </w:rPr>
              <w:t>Р մեթիլբեգենատ</w:t>
            </w:r>
          </w:p>
        </w:tc>
        <w:tc>
          <w:tcPr>
            <w:tcW w:w="2342" w:type="dxa"/>
            <w:shd w:val="clear" w:color="auto" w:fill="FFFFFF"/>
            <w:vAlign w:val="center"/>
          </w:tcPr>
          <w:p w14:paraId="3BC01803" w14:textId="77777777" w:rsidR="00B834A2" w:rsidRPr="00D34D77" w:rsidRDefault="00B834A2" w:rsidP="00D34D77">
            <w:pPr>
              <w:spacing w:after="120"/>
              <w:jc w:val="center"/>
              <w:rPr>
                <w:sz w:val="20"/>
              </w:rPr>
            </w:pPr>
            <w:r w:rsidRPr="00D34D77">
              <w:rPr>
                <w:sz w:val="20"/>
              </w:rPr>
              <w:t>10</w:t>
            </w:r>
          </w:p>
        </w:tc>
      </w:tr>
      <w:tr w:rsidR="00B834A2" w:rsidRPr="00D34D77" w14:paraId="30012226" w14:textId="77777777" w:rsidTr="00D34D77">
        <w:trPr>
          <w:jc w:val="center"/>
        </w:trPr>
        <w:tc>
          <w:tcPr>
            <w:tcW w:w="2076" w:type="dxa"/>
            <w:shd w:val="clear" w:color="auto" w:fill="FFFFFF"/>
            <w:vAlign w:val="bottom"/>
          </w:tcPr>
          <w:p w14:paraId="082EDA4C" w14:textId="77777777" w:rsidR="00B834A2" w:rsidRPr="00D34D77" w:rsidRDefault="00B834A2" w:rsidP="00D34D77">
            <w:pPr>
              <w:spacing w:after="120"/>
              <w:jc w:val="both"/>
              <w:rPr>
                <w:i/>
                <w:sz w:val="20"/>
              </w:rPr>
            </w:pPr>
            <w:r w:rsidRPr="00D34D77">
              <w:rPr>
                <w:i/>
                <w:sz w:val="20"/>
              </w:rPr>
              <w:t>Р մեթիլլիգնոցերատ</w:t>
            </w:r>
          </w:p>
        </w:tc>
        <w:tc>
          <w:tcPr>
            <w:tcW w:w="2342" w:type="dxa"/>
            <w:shd w:val="clear" w:color="auto" w:fill="FFFFFF"/>
            <w:vAlign w:val="center"/>
          </w:tcPr>
          <w:p w14:paraId="08794963" w14:textId="77777777" w:rsidR="00B834A2" w:rsidRPr="00D34D77" w:rsidRDefault="00B834A2" w:rsidP="00D34D77">
            <w:pPr>
              <w:spacing w:after="120"/>
              <w:jc w:val="center"/>
              <w:rPr>
                <w:sz w:val="20"/>
              </w:rPr>
            </w:pPr>
            <w:r w:rsidRPr="00D34D77">
              <w:rPr>
                <w:sz w:val="20"/>
              </w:rPr>
              <w:t>10</w:t>
            </w:r>
          </w:p>
        </w:tc>
      </w:tr>
    </w:tbl>
    <w:p w14:paraId="3687D4B6" w14:textId="77777777" w:rsidR="00B834A2" w:rsidRPr="003A4194" w:rsidRDefault="00B834A2" w:rsidP="00D34D77">
      <w:pPr>
        <w:spacing w:after="160" w:line="360" w:lineRule="auto"/>
        <w:ind w:firstLine="567"/>
        <w:jc w:val="both"/>
        <w:rPr>
          <w:sz w:val="20"/>
        </w:rPr>
      </w:pPr>
      <w:r w:rsidRPr="00044E00">
        <w:rPr>
          <w:i/>
          <w:sz w:val="20"/>
        </w:rPr>
        <w:t>Ծանոթագրություն.</w:t>
      </w:r>
      <w:r w:rsidRPr="00044E00">
        <w:rPr>
          <w:sz w:val="20"/>
        </w:rPr>
        <w:t xml:space="preserve"> ստուգաճշտման կորերի կիրառմամբ որակական որոշում իրականացնելու դեպքում ստուգաճշտման խառնուրդի մեջ առաջարկվում է ավելացնել փորձարկվող լուծույթի՝ շղթայում ածխածնի ատոմների առավելագույն թվով բաղադրիչ:</w:t>
      </w:r>
    </w:p>
    <w:p w14:paraId="13F819D8" w14:textId="77777777" w:rsidR="00B834A2" w:rsidRPr="00CE5DEC" w:rsidRDefault="00B834A2" w:rsidP="00D34D77">
      <w:pPr>
        <w:spacing w:after="160" w:line="360" w:lineRule="auto"/>
        <w:ind w:firstLine="567"/>
        <w:jc w:val="both"/>
        <w:rPr>
          <w:color w:val="auto"/>
          <w:sz w:val="20"/>
        </w:rPr>
      </w:pPr>
      <w:r w:rsidRPr="00CE5DEC">
        <w:rPr>
          <w:color w:val="auto"/>
          <w:sz w:val="20"/>
        </w:rPr>
        <w:t>(բաղադրիչների առկայությունը՝ պահման ժամանակների աննշան տարբերությամբ, օրինակ՝ լինոլաթթու եւ արախինաթթու)</w:t>
      </w:r>
    </w:p>
    <w:p w14:paraId="30043123" w14:textId="77777777" w:rsidR="00CE5DEC" w:rsidRPr="003A4194" w:rsidRDefault="00CE5DEC" w:rsidP="00D34D77">
      <w:pPr>
        <w:spacing w:after="160" w:line="360" w:lineRule="auto"/>
        <w:ind w:firstLine="567"/>
        <w:jc w:val="both"/>
        <w:rPr>
          <w:b/>
        </w:rPr>
      </w:pPr>
    </w:p>
    <w:p w14:paraId="2BDDD200" w14:textId="77777777" w:rsidR="00B834A2" w:rsidRPr="00B834A2" w:rsidRDefault="00B834A2" w:rsidP="00D34D77">
      <w:pPr>
        <w:spacing w:after="160" w:line="360" w:lineRule="auto"/>
        <w:ind w:firstLine="567"/>
        <w:jc w:val="both"/>
      </w:pPr>
      <w:r w:rsidRPr="00044E00">
        <w:rPr>
          <w:b/>
        </w:rPr>
        <w:t>Որակական որոշումը.</w:t>
      </w:r>
      <w:r w:rsidRPr="00B834A2">
        <w:t xml:space="preserve"> Պիկերը նույնականացնում են (գ) համեմատման լուծույթի քրոմատագրի վրա (քրոմատագրման իզոթերմիկ պայմանները կամ ջերմաստիճանի գծային գրադիենտը): Քրոմատագրման իզոթերմիկ պայմանների </w:t>
      </w:r>
      <w:r w:rsidRPr="00B834A2">
        <w:lastRenderedPageBreak/>
        <w:t>կիրառման դեպքում պիկերը կարող են նա</w:t>
      </w:r>
      <w:r>
        <w:t>եւ</w:t>
      </w:r>
      <w:r w:rsidRPr="00B834A2">
        <w:t xml:space="preserve"> նույնականացվել ստուգաճշտման կորերի կառուցմամբ՝ օգտագործելով (ա) համեմատման լուծույթի քրոմատագիրը </w:t>
      </w:r>
      <w:r>
        <w:t>եւ</w:t>
      </w:r>
      <w:r w:rsidRPr="00B834A2">
        <w:t xml:space="preserve"> 2.1.8.24-1, 2.1.8.24-2 աղյուսակի կամ 2.1.8.24-3 աղյուսակի տվյալները:</w:t>
      </w:r>
    </w:p>
    <w:p w14:paraId="77CE0C02" w14:textId="77777777" w:rsidR="00B834A2" w:rsidRPr="00B834A2" w:rsidRDefault="00B834A2" w:rsidP="00D34D77">
      <w:pPr>
        <w:spacing w:after="160" w:line="360" w:lineRule="auto"/>
        <w:ind w:firstLine="567"/>
        <w:jc w:val="both"/>
      </w:pPr>
      <w:r w:rsidRPr="00B834A2">
        <w:t>(Ա) համեմատման լուծույթի քրոմատագրի վրա չափում են յուրաքանչյուր պիկի բերված պահման ժամանակը (t՛</w:t>
      </w:r>
      <w:r w:rsidRPr="00044E00">
        <w:rPr>
          <w:vertAlign w:val="subscript"/>
        </w:rPr>
        <w:t>R</w:t>
      </w:r>
      <w:r w:rsidRPr="00B834A2">
        <w:t xml:space="preserve">): Բերված պահման ժամանակը՝ </w:t>
      </w:r>
      <w:r w:rsidRPr="00B834A2">
        <w:rPr>
          <w:i/>
        </w:rPr>
        <w:t>t՛</w:t>
      </w:r>
      <w:r w:rsidRPr="00B834A2">
        <w:rPr>
          <w:i/>
          <w:vertAlign w:val="subscript"/>
        </w:rPr>
        <w:t>R</w:t>
      </w:r>
      <w:r w:rsidRPr="00B834A2">
        <w:rPr>
          <w:i/>
        </w:rPr>
        <w:t>-</w:t>
      </w:r>
      <w:r w:rsidRPr="00B834A2">
        <w:t xml:space="preserve">ը, նյութի պիկի պահման ժամանակի </w:t>
      </w:r>
      <w:r>
        <w:t>եւ</w:t>
      </w:r>
      <w:r w:rsidRPr="00B834A2">
        <w:t xml:space="preserve"> չսորբացվող (որոշման պայմաններում) նյութի պահման ժամանակի միջ</w:t>
      </w:r>
      <w:r>
        <w:t>եւ</w:t>
      </w:r>
      <w:r w:rsidRPr="00B834A2">
        <w:t xml:space="preserve"> եղած տարբերությունն է:</w:t>
      </w:r>
    </w:p>
    <w:p w14:paraId="36AFA9E7" w14:textId="77777777" w:rsidR="00B834A2" w:rsidRPr="00B834A2" w:rsidRDefault="00B834A2" w:rsidP="00D34D77">
      <w:pPr>
        <w:spacing w:after="160" w:line="360" w:lineRule="auto"/>
        <w:ind w:firstLine="567"/>
        <w:jc w:val="both"/>
      </w:pPr>
      <w:r w:rsidRPr="00B834A2">
        <w:t>Կառուցում են գծային կախվածության գրաֆիկը՝</w:t>
      </w:r>
    </w:p>
    <w:p w14:paraId="0C15E274" w14:textId="77777777" w:rsidR="00B834A2" w:rsidRPr="00B834A2" w:rsidRDefault="00B834A2" w:rsidP="00B834A2">
      <w:pPr>
        <w:spacing w:after="160" w:line="360" w:lineRule="auto"/>
        <w:jc w:val="center"/>
      </w:pPr>
      <w:r w:rsidRPr="00B834A2">
        <w:t>lg(t՛</w:t>
      </w:r>
      <w:r w:rsidRPr="00044E00">
        <w:rPr>
          <w:vertAlign w:val="subscript"/>
        </w:rPr>
        <w:t>R</w:t>
      </w:r>
      <w:r w:rsidRPr="00B834A2">
        <w:t>)=f,</w:t>
      </w:r>
    </w:p>
    <w:p w14:paraId="3E9D4652" w14:textId="77777777" w:rsidR="00B834A2" w:rsidRPr="00B834A2" w:rsidRDefault="00B834A2" w:rsidP="00D34D77">
      <w:pPr>
        <w:spacing w:after="160" w:line="360" w:lineRule="auto"/>
        <w:ind w:firstLine="567"/>
        <w:jc w:val="both"/>
      </w:pPr>
      <w:r w:rsidRPr="00B834A2">
        <w:t xml:space="preserve">որտեղ </w:t>
      </w:r>
      <w:r w:rsidRPr="00044E00">
        <w:rPr>
          <w:i/>
        </w:rPr>
        <w:t>f</w:t>
      </w:r>
      <w:r w:rsidRPr="00B834A2">
        <w:t>-ը շղթայում ածխածնի ատոմների թվի համարժեքն է:</w:t>
      </w:r>
    </w:p>
    <w:p w14:paraId="329F8AE3" w14:textId="77777777" w:rsidR="00B834A2" w:rsidRPr="006B7DC5" w:rsidRDefault="00B834A2" w:rsidP="00D34D77">
      <w:pPr>
        <w:spacing w:after="160" w:line="360" w:lineRule="auto"/>
        <w:ind w:firstLine="567"/>
        <w:jc w:val="both"/>
      </w:pPr>
      <w:r w:rsidRPr="00B834A2">
        <w:t xml:space="preserve">Չհագեցած ճարպաթթուների </w:t>
      </w:r>
      <w:r w:rsidRPr="00B834A2">
        <w:rPr>
          <w:i/>
        </w:rPr>
        <w:t>t՛</w:t>
      </w:r>
      <w:r w:rsidRPr="00B834A2">
        <w:rPr>
          <w:i/>
          <w:vertAlign w:val="subscript"/>
        </w:rPr>
        <w:t>R</w:t>
      </w:r>
      <w:r w:rsidRPr="00B834A2">
        <w:t xml:space="preserve"> լոգարիթմներն այդ գծի վրա տեղակայված են այն կետերում, որոնք համապատասխանում են «շղթայում ածխածնի ատոմների </w:t>
      </w:r>
      <w:r w:rsidRPr="00D34D77">
        <w:rPr>
          <w:spacing w:val="-4"/>
        </w:rPr>
        <w:t>թվի համարժեքի» ոչ ամբողջ արժեքներին: Շղթայում ածխածնի ատոմների թվի համարժեքը հագեցած ճարպաթթվի տեսական շղթայի երկարությունն է, որը պետք է ունենա</w:t>
      </w:r>
      <w:r w:rsidRPr="00B834A2">
        <w:t xml:space="preserve"> </w:t>
      </w:r>
      <w:r w:rsidRPr="00B834A2">
        <w:rPr>
          <w:i/>
        </w:rPr>
        <w:t>t՛</w:t>
      </w:r>
      <w:r w:rsidRPr="00B834A2">
        <w:rPr>
          <w:i/>
          <w:vertAlign w:val="subscript"/>
        </w:rPr>
        <w:t>R</w:t>
      </w:r>
      <w:r w:rsidRPr="00B834A2">
        <w:t xml:space="preserve"> -ի նույն արժեքը, ինչ նույնականացվող ճարպաթթուն: Օրինակ՝ լինոլաթթուն ունի նույն t՛R-ը, ինչ ածխածնի 18,8 ատոմ ունեցող տեսականորեն հագեցած ճարպաթթուն:</w:t>
      </w:r>
    </w:p>
    <w:p w14:paraId="2D9FEACD" w14:textId="77777777" w:rsidR="00B834A2" w:rsidRPr="00B834A2" w:rsidRDefault="00B834A2" w:rsidP="00D34D77">
      <w:pPr>
        <w:spacing w:after="160" w:line="360" w:lineRule="auto"/>
        <w:ind w:firstLine="567"/>
        <w:jc w:val="both"/>
      </w:pPr>
      <w:r w:rsidRPr="00B834A2">
        <w:t xml:space="preserve">Փորձարկվող լուծույթի քրոմատագրի վրա պիկերի նույնականացումն անցկացնում են ուղիղ գծով </w:t>
      </w:r>
      <w:r>
        <w:t>եւ</w:t>
      </w:r>
      <w:r w:rsidRPr="00B834A2">
        <w:t xml:space="preserve"> ըստ բերված պահման ժամանակների: Շղթայի համարժեք երկարությունների արժեքները բերված են 2.1.8.24-4 աղյուսակում:</w:t>
      </w:r>
    </w:p>
    <w:p w14:paraId="6AFF871F" w14:textId="77777777" w:rsidR="00B834A2" w:rsidRPr="00B834A2" w:rsidRDefault="00B834A2" w:rsidP="00D34D77">
      <w:pPr>
        <w:spacing w:after="160" w:line="360" w:lineRule="auto"/>
        <w:ind w:firstLine="567"/>
        <w:jc w:val="both"/>
      </w:pPr>
    </w:p>
    <w:p w14:paraId="67EFA97E" w14:textId="77777777" w:rsidR="00B834A2" w:rsidRPr="006B7DC5" w:rsidRDefault="00B834A2" w:rsidP="00D34D77">
      <w:pPr>
        <w:spacing w:after="160" w:line="360" w:lineRule="auto"/>
        <w:ind w:firstLine="567"/>
        <w:jc w:val="both"/>
        <w:rPr>
          <w:b/>
        </w:rPr>
      </w:pPr>
      <w:r w:rsidRPr="00B834A2">
        <w:rPr>
          <w:b/>
        </w:rPr>
        <w:t>ՔԱՆԱԿԱԿԱՆ ՈՐՈՇՈՒՄԸ</w:t>
      </w:r>
    </w:p>
    <w:p w14:paraId="70464314" w14:textId="77777777" w:rsidR="00B834A2" w:rsidRPr="00B834A2" w:rsidRDefault="00B834A2" w:rsidP="00D34D77">
      <w:pPr>
        <w:spacing w:after="160" w:line="360" w:lineRule="auto"/>
        <w:ind w:firstLine="567"/>
        <w:jc w:val="both"/>
      </w:pPr>
      <w:r w:rsidRPr="00B834A2">
        <w:t xml:space="preserve">Կիրառում են ներքին նորմալացման մեթոդը. ընդ որում, քրոմատագրի վրա եղած բոլոր պիկերի մակերեսների հանրագումարը, բացի լուծիչին առնչվող պիկերից, ընդունում են 100 %: Յուրաքանչյուր բաղադրիչի պարունակությունը հաշվարկում են որպես համապատասխան պիկի մակերեսի </w:t>
      </w:r>
      <w:r>
        <w:t>եւ</w:t>
      </w:r>
      <w:r w:rsidRPr="00B834A2">
        <w:t xml:space="preserve"> բոլոր պիկերի </w:t>
      </w:r>
      <w:r w:rsidRPr="00B834A2">
        <w:lastRenderedPageBreak/>
        <w:t>մակերեսների հանրագումարի հարաբերակցություն: Այն պիկերը, որոնց մակերեսը կազմում է բոլոր պիկերի մակերեսների հանրագումարի 0,05 %-ից պակաս, հաշվի չեն առնում:</w:t>
      </w:r>
    </w:p>
    <w:p w14:paraId="52883D37" w14:textId="77777777" w:rsidR="00B834A2" w:rsidRPr="00063A76" w:rsidRDefault="00B834A2" w:rsidP="00D34D77">
      <w:pPr>
        <w:spacing w:after="160" w:line="360" w:lineRule="auto"/>
        <w:ind w:firstLine="567"/>
        <w:jc w:val="both"/>
        <w:rPr>
          <w:i/>
        </w:rPr>
      </w:pPr>
      <w:r w:rsidRPr="00B834A2">
        <w:t xml:space="preserve">Աղյուսակ 2.4.8.24-4: </w:t>
      </w:r>
      <w:r w:rsidRPr="00063A76">
        <w:rPr>
          <w:i/>
        </w:rPr>
        <w:t>Շղթայի համարժեք երկարությունների արժեքները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03"/>
        <w:gridCol w:w="2950"/>
      </w:tblGrid>
      <w:tr w:rsidR="00B834A2" w:rsidRPr="00D34D77" w14:paraId="6063EB64" w14:textId="77777777" w:rsidTr="00D34D77">
        <w:trPr>
          <w:jc w:val="center"/>
        </w:trPr>
        <w:tc>
          <w:tcPr>
            <w:tcW w:w="3003" w:type="dxa"/>
            <w:tcBorders>
              <w:top w:val="single" w:sz="4" w:space="0" w:color="auto"/>
            </w:tcBorders>
            <w:shd w:val="clear" w:color="auto" w:fill="FFFFFF"/>
            <w:vAlign w:val="center"/>
          </w:tcPr>
          <w:p w14:paraId="4FA156FF" w14:textId="77777777" w:rsidR="00B834A2" w:rsidRPr="00D34D77" w:rsidRDefault="00B834A2" w:rsidP="00044E00">
            <w:pPr>
              <w:spacing w:after="120"/>
              <w:jc w:val="center"/>
              <w:rPr>
                <w:sz w:val="20"/>
                <w:szCs w:val="20"/>
              </w:rPr>
            </w:pPr>
            <w:r w:rsidRPr="00D34D77">
              <w:rPr>
                <w:sz w:val="20"/>
                <w:szCs w:val="20"/>
              </w:rPr>
              <w:t>Ճարպաթթուն</w:t>
            </w:r>
          </w:p>
        </w:tc>
        <w:tc>
          <w:tcPr>
            <w:tcW w:w="2950" w:type="dxa"/>
            <w:tcBorders>
              <w:top w:val="single" w:sz="4" w:space="0" w:color="auto"/>
            </w:tcBorders>
            <w:shd w:val="clear" w:color="auto" w:fill="FFFFFF"/>
            <w:vAlign w:val="bottom"/>
          </w:tcPr>
          <w:p w14:paraId="7B9363AD" w14:textId="77777777" w:rsidR="00B834A2" w:rsidRPr="00D34D77" w:rsidRDefault="00B834A2" w:rsidP="00044E00">
            <w:pPr>
              <w:spacing w:after="120"/>
              <w:jc w:val="center"/>
              <w:rPr>
                <w:sz w:val="20"/>
                <w:szCs w:val="20"/>
              </w:rPr>
            </w:pPr>
            <w:r w:rsidRPr="00D34D77">
              <w:rPr>
                <w:sz w:val="20"/>
                <w:szCs w:val="20"/>
              </w:rPr>
              <w:t>Շղթայում ածխածնի ատոմների թվի համարժեքը</w:t>
            </w:r>
          </w:p>
        </w:tc>
      </w:tr>
      <w:tr w:rsidR="00B834A2" w:rsidRPr="00D34D77" w14:paraId="067EF59F" w14:textId="77777777" w:rsidTr="00D34D77">
        <w:trPr>
          <w:trHeight w:val="339"/>
          <w:jc w:val="center"/>
        </w:trPr>
        <w:tc>
          <w:tcPr>
            <w:tcW w:w="3003" w:type="dxa"/>
            <w:tcBorders>
              <w:top w:val="single" w:sz="4" w:space="0" w:color="auto"/>
            </w:tcBorders>
            <w:shd w:val="clear" w:color="auto" w:fill="FFFFFF"/>
            <w:vAlign w:val="center"/>
          </w:tcPr>
          <w:p w14:paraId="744A4BCB" w14:textId="77777777" w:rsidR="00B834A2" w:rsidRPr="00D34D77" w:rsidRDefault="00B834A2" w:rsidP="00D34D77">
            <w:pPr>
              <w:spacing w:after="120"/>
              <w:jc w:val="both"/>
              <w:rPr>
                <w:sz w:val="20"/>
                <w:szCs w:val="20"/>
              </w:rPr>
            </w:pPr>
            <w:r w:rsidRPr="00D34D77">
              <w:rPr>
                <w:sz w:val="20"/>
                <w:szCs w:val="20"/>
              </w:rPr>
              <w:t>Կապրոնաթթու</w:t>
            </w:r>
          </w:p>
        </w:tc>
        <w:tc>
          <w:tcPr>
            <w:tcW w:w="2950" w:type="dxa"/>
            <w:tcBorders>
              <w:top w:val="single" w:sz="4" w:space="0" w:color="auto"/>
            </w:tcBorders>
            <w:shd w:val="clear" w:color="auto" w:fill="FFFFFF"/>
            <w:vAlign w:val="center"/>
          </w:tcPr>
          <w:p w14:paraId="614A9D3C" w14:textId="77777777" w:rsidR="00B834A2" w:rsidRPr="00D34D77" w:rsidRDefault="00B834A2" w:rsidP="00D34D77">
            <w:pPr>
              <w:spacing w:after="120"/>
              <w:jc w:val="center"/>
              <w:rPr>
                <w:sz w:val="20"/>
                <w:szCs w:val="20"/>
              </w:rPr>
            </w:pPr>
            <w:r w:rsidRPr="00D34D77">
              <w:rPr>
                <w:sz w:val="20"/>
                <w:szCs w:val="20"/>
              </w:rPr>
              <w:t>6,0</w:t>
            </w:r>
          </w:p>
        </w:tc>
      </w:tr>
      <w:tr w:rsidR="00B834A2" w:rsidRPr="00D34D77" w14:paraId="7BF7AF8E" w14:textId="77777777" w:rsidTr="00D34D77">
        <w:trPr>
          <w:trHeight w:val="339"/>
          <w:jc w:val="center"/>
        </w:trPr>
        <w:tc>
          <w:tcPr>
            <w:tcW w:w="3003" w:type="dxa"/>
            <w:shd w:val="clear" w:color="auto" w:fill="FFFFFF"/>
            <w:vAlign w:val="center"/>
          </w:tcPr>
          <w:p w14:paraId="4FA17AAD" w14:textId="77777777" w:rsidR="00B834A2" w:rsidRPr="00D34D77" w:rsidRDefault="00B834A2" w:rsidP="00D34D77">
            <w:pPr>
              <w:spacing w:after="120"/>
              <w:jc w:val="both"/>
              <w:rPr>
                <w:sz w:val="20"/>
                <w:szCs w:val="20"/>
              </w:rPr>
            </w:pPr>
            <w:r w:rsidRPr="00D34D77">
              <w:rPr>
                <w:sz w:val="20"/>
                <w:szCs w:val="20"/>
              </w:rPr>
              <w:t>Կապրիլաթթու</w:t>
            </w:r>
          </w:p>
        </w:tc>
        <w:tc>
          <w:tcPr>
            <w:tcW w:w="2950" w:type="dxa"/>
            <w:shd w:val="clear" w:color="auto" w:fill="FFFFFF"/>
            <w:vAlign w:val="center"/>
          </w:tcPr>
          <w:p w14:paraId="00EC153F" w14:textId="77777777" w:rsidR="00B834A2" w:rsidRPr="00D34D77" w:rsidRDefault="00B834A2" w:rsidP="00D34D77">
            <w:pPr>
              <w:spacing w:after="120"/>
              <w:jc w:val="center"/>
              <w:rPr>
                <w:sz w:val="20"/>
                <w:szCs w:val="20"/>
              </w:rPr>
            </w:pPr>
            <w:r w:rsidRPr="00D34D77">
              <w:rPr>
                <w:sz w:val="20"/>
                <w:szCs w:val="20"/>
              </w:rPr>
              <w:t>8,0</w:t>
            </w:r>
          </w:p>
        </w:tc>
      </w:tr>
      <w:tr w:rsidR="00B834A2" w:rsidRPr="00D34D77" w14:paraId="1DDA1F5E" w14:textId="77777777" w:rsidTr="00D34D77">
        <w:trPr>
          <w:trHeight w:val="339"/>
          <w:jc w:val="center"/>
        </w:trPr>
        <w:tc>
          <w:tcPr>
            <w:tcW w:w="3003" w:type="dxa"/>
            <w:shd w:val="clear" w:color="auto" w:fill="FFFFFF"/>
            <w:vAlign w:val="center"/>
          </w:tcPr>
          <w:p w14:paraId="6816D817" w14:textId="77777777" w:rsidR="00B834A2" w:rsidRPr="00D34D77" w:rsidRDefault="00B834A2" w:rsidP="00D34D77">
            <w:pPr>
              <w:spacing w:after="120"/>
              <w:jc w:val="both"/>
              <w:rPr>
                <w:sz w:val="20"/>
                <w:szCs w:val="20"/>
              </w:rPr>
            </w:pPr>
            <w:r w:rsidRPr="00D34D77">
              <w:rPr>
                <w:sz w:val="20"/>
                <w:szCs w:val="20"/>
              </w:rPr>
              <w:t>Կապրինաթթու</w:t>
            </w:r>
          </w:p>
        </w:tc>
        <w:tc>
          <w:tcPr>
            <w:tcW w:w="2950" w:type="dxa"/>
            <w:shd w:val="clear" w:color="auto" w:fill="FFFFFF"/>
            <w:vAlign w:val="center"/>
          </w:tcPr>
          <w:p w14:paraId="4F6CD953" w14:textId="77777777" w:rsidR="00B834A2" w:rsidRPr="00D34D77" w:rsidRDefault="00B834A2" w:rsidP="00D34D77">
            <w:pPr>
              <w:spacing w:after="120"/>
              <w:jc w:val="center"/>
              <w:rPr>
                <w:sz w:val="20"/>
                <w:szCs w:val="20"/>
              </w:rPr>
            </w:pPr>
            <w:r w:rsidRPr="00D34D77">
              <w:rPr>
                <w:sz w:val="20"/>
                <w:szCs w:val="20"/>
              </w:rPr>
              <w:t>10,0</w:t>
            </w:r>
          </w:p>
        </w:tc>
      </w:tr>
      <w:tr w:rsidR="00B834A2" w:rsidRPr="00D34D77" w14:paraId="577DD793" w14:textId="77777777" w:rsidTr="00D34D77">
        <w:trPr>
          <w:trHeight w:val="339"/>
          <w:jc w:val="center"/>
        </w:trPr>
        <w:tc>
          <w:tcPr>
            <w:tcW w:w="3003" w:type="dxa"/>
            <w:shd w:val="clear" w:color="auto" w:fill="FFFFFF"/>
            <w:vAlign w:val="center"/>
          </w:tcPr>
          <w:p w14:paraId="53F2274C" w14:textId="77777777" w:rsidR="00B834A2" w:rsidRPr="00D34D77" w:rsidRDefault="00B834A2" w:rsidP="00D34D77">
            <w:pPr>
              <w:spacing w:after="120"/>
              <w:jc w:val="both"/>
              <w:rPr>
                <w:sz w:val="20"/>
                <w:szCs w:val="20"/>
              </w:rPr>
            </w:pPr>
            <w:r w:rsidRPr="00D34D77">
              <w:rPr>
                <w:sz w:val="20"/>
                <w:szCs w:val="20"/>
              </w:rPr>
              <w:t>Լաուրինաթթու</w:t>
            </w:r>
          </w:p>
        </w:tc>
        <w:tc>
          <w:tcPr>
            <w:tcW w:w="2950" w:type="dxa"/>
            <w:shd w:val="clear" w:color="auto" w:fill="FFFFFF"/>
            <w:vAlign w:val="center"/>
          </w:tcPr>
          <w:p w14:paraId="0BDA79C3" w14:textId="77777777" w:rsidR="00B834A2" w:rsidRPr="00D34D77" w:rsidRDefault="00B834A2" w:rsidP="00D34D77">
            <w:pPr>
              <w:spacing w:after="120"/>
              <w:jc w:val="center"/>
              <w:rPr>
                <w:sz w:val="20"/>
                <w:szCs w:val="20"/>
              </w:rPr>
            </w:pPr>
            <w:r w:rsidRPr="00D34D77">
              <w:rPr>
                <w:sz w:val="20"/>
                <w:szCs w:val="20"/>
              </w:rPr>
              <w:t>12,0</w:t>
            </w:r>
          </w:p>
        </w:tc>
      </w:tr>
      <w:tr w:rsidR="00B834A2" w:rsidRPr="00D34D77" w14:paraId="38AC2FD3" w14:textId="77777777" w:rsidTr="00D34D77">
        <w:trPr>
          <w:trHeight w:val="339"/>
          <w:jc w:val="center"/>
        </w:trPr>
        <w:tc>
          <w:tcPr>
            <w:tcW w:w="3003" w:type="dxa"/>
            <w:shd w:val="clear" w:color="auto" w:fill="FFFFFF"/>
          </w:tcPr>
          <w:p w14:paraId="11C402EA" w14:textId="77777777" w:rsidR="00B834A2" w:rsidRPr="00D34D77" w:rsidRDefault="00B834A2" w:rsidP="00D34D77">
            <w:pPr>
              <w:spacing w:after="120"/>
              <w:jc w:val="both"/>
              <w:rPr>
                <w:sz w:val="20"/>
                <w:szCs w:val="20"/>
              </w:rPr>
            </w:pPr>
            <w:r w:rsidRPr="00D34D77">
              <w:rPr>
                <w:sz w:val="20"/>
                <w:szCs w:val="20"/>
              </w:rPr>
              <w:t>Միրիստինաթթու</w:t>
            </w:r>
          </w:p>
        </w:tc>
        <w:tc>
          <w:tcPr>
            <w:tcW w:w="2950" w:type="dxa"/>
            <w:shd w:val="clear" w:color="auto" w:fill="FFFFFF"/>
          </w:tcPr>
          <w:p w14:paraId="27B07CB0" w14:textId="77777777" w:rsidR="00B834A2" w:rsidRPr="00D34D77" w:rsidRDefault="00B834A2" w:rsidP="00D34D77">
            <w:pPr>
              <w:spacing w:after="120"/>
              <w:jc w:val="center"/>
              <w:rPr>
                <w:sz w:val="20"/>
                <w:szCs w:val="20"/>
              </w:rPr>
            </w:pPr>
            <w:r w:rsidRPr="00D34D77">
              <w:rPr>
                <w:sz w:val="20"/>
                <w:szCs w:val="20"/>
              </w:rPr>
              <w:t>14,0</w:t>
            </w:r>
          </w:p>
        </w:tc>
      </w:tr>
      <w:tr w:rsidR="00B834A2" w:rsidRPr="00D34D77" w14:paraId="18BB4514" w14:textId="77777777" w:rsidTr="00D34D77">
        <w:trPr>
          <w:trHeight w:val="339"/>
          <w:jc w:val="center"/>
        </w:trPr>
        <w:tc>
          <w:tcPr>
            <w:tcW w:w="3003" w:type="dxa"/>
            <w:shd w:val="clear" w:color="auto" w:fill="FFFFFF"/>
            <w:vAlign w:val="center"/>
          </w:tcPr>
          <w:p w14:paraId="40B37ADC" w14:textId="77777777" w:rsidR="00B834A2" w:rsidRPr="00D34D77" w:rsidRDefault="00B834A2" w:rsidP="00D34D77">
            <w:pPr>
              <w:spacing w:after="120"/>
              <w:jc w:val="both"/>
              <w:rPr>
                <w:sz w:val="20"/>
                <w:szCs w:val="20"/>
              </w:rPr>
            </w:pPr>
            <w:r w:rsidRPr="00D34D77">
              <w:rPr>
                <w:sz w:val="20"/>
                <w:szCs w:val="20"/>
              </w:rPr>
              <w:t>Պալմիտինաթթու</w:t>
            </w:r>
          </w:p>
        </w:tc>
        <w:tc>
          <w:tcPr>
            <w:tcW w:w="2950" w:type="dxa"/>
            <w:shd w:val="clear" w:color="auto" w:fill="FFFFFF"/>
            <w:vAlign w:val="center"/>
          </w:tcPr>
          <w:p w14:paraId="407D0F28" w14:textId="77777777" w:rsidR="00B834A2" w:rsidRPr="00D34D77" w:rsidRDefault="00B834A2" w:rsidP="00D34D77">
            <w:pPr>
              <w:spacing w:after="120"/>
              <w:jc w:val="center"/>
              <w:rPr>
                <w:sz w:val="20"/>
                <w:szCs w:val="20"/>
              </w:rPr>
            </w:pPr>
            <w:r w:rsidRPr="00D34D77">
              <w:rPr>
                <w:sz w:val="20"/>
                <w:szCs w:val="20"/>
              </w:rPr>
              <w:t>16,0</w:t>
            </w:r>
          </w:p>
        </w:tc>
      </w:tr>
      <w:tr w:rsidR="00B834A2" w:rsidRPr="00D34D77" w14:paraId="22FA9B6D" w14:textId="77777777" w:rsidTr="00D34D77">
        <w:trPr>
          <w:trHeight w:val="339"/>
          <w:jc w:val="center"/>
        </w:trPr>
        <w:tc>
          <w:tcPr>
            <w:tcW w:w="3003" w:type="dxa"/>
            <w:shd w:val="clear" w:color="auto" w:fill="FFFFFF"/>
          </w:tcPr>
          <w:p w14:paraId="6355D80C" w14:textId="77777777" w:rsidR="00B834A2" w:rsidRPr="00D34D77" w:rsidRDefault="00B834A2" w:rsidP="00D34D77">
            <w:pPr>
              <w:spacing w:after="120"/>
              <w:jc w:val="both"/>
              <w:rPr>
                <w:sz w:val="20"/>
                <w:szCs w:val="20"/>
              </w:rPr>
            </w:pPr>
            <w:r w:rsidRPr="00D34D77">
              <w:rPr>
                <w:sz w:val="20"/>
                <w:szCs w:val="20"/>
              </w:rPr>
              <w:t>Պալմիտօլեինաթթու</w:t>
            </w:r>
          </w:p>
        </w:tc>
        <w:tc>
          <w:tcPr>
            <w:tcW w:w="2950" w:type="dxa"/>
            <w:shd w:val="clear" w:color="auto" w:fill="FFFFFF"/>
          </w:tcPr>
          <w:p w14:paraId="6F4E1EA5" w14:textId="77777777" w:rsidR="00B834A2" w:rsidRPr="00D34D77" w:rsidRDefault="00B834A2" w:rsidP="00D34D77">
            <w:pPr>
              <w:spacing w:after="120"/>
              <w:jc w:val="center"/>
              <w:rPr>
                <w:sz w:val="20"/>
                <w:szCs w:val="20"/>
              </w:rPr>
            </w:pPr>
            <w:r w:rsidRPr="00D34D77">
              <w:rPr>
                <w:sz w:val="20"/>
                <w:szCs w:val="20"/>
              </w:rPr>
              <w:t>16,3</w:t>
            </w:r>
          </w:p>
        </w:tc>
      </w:tr>
      <w:tr w:rsidR="00B834A2" w:rsidRPr="00D34D77" w14:paraId="3CE6878D" w14:textId="77777777" w:rsidTr="00D34D77">
        <w:trPr>
          <w:trHeight w:val="339"/>
          <w:jc w:val="center"/>
        </w:trPr>
        <w:tc>
          <w:tcPr>
            <w:tcW w:w="3003" w:type="dxa"/>
            <w:shd w:val="clear" w:color="auto" w:fill="FFFFFF"/>
          </w:tcPr>
          <w:p w14:paraId="03296544" w14:textId="77777777" w:rsidR="00B834A2" w:rsidRPr="00D34D77" w:rsidRDefault="00B834A2" w:rsidP="00D34D77">
            <w:pPr>
              <w:spacing w:after="120"/>
              <w:jc w:val="both"/>
              <w:rPr>
                <w:sz w:val="20"/>
                <w:szCs w:val="20"/>
              </w:rPr>
            </w:pPr>
            <w:r w:rsidRPr="00D34D77">
              <w:rPr>
                <w:sz w:val="20"/>
                <w:szCs w:val="20"/>
              </w:rPr>
              <w:t>Մարգարինաթթու</w:t>
            </w:r>
          </w:p>
        </w:tc>
        <w:tc>
          <w:tcPr>
            <w:tcW w:w="2950" w:type="dxa"/>
            <w:shd w:val="clear" w:color="auto" w:fill="FFFFFF"/>
          </w:tcPr>
          <w:p w14:paraId="661E8BD0" w14:textId="77777777" w:rsidR="00B834A2" w:rsidRPr="00D34D77" w:rsidRDefault="00B834A2" w:rsidP="00D34D77">
            <w:pPr>
              <w:spacing w:after="120"/>
              <w:jc w:val="center"/>
              <w:rPr>
                <w:sz w:val="20"/>
                <w:szCs w:val="20"/>
              </w:rPr>
            </w:pPr>
            <w:r w:rsidRPr="00D34D77">
              <w:rPr>
                <w:sz w:val="20"/>
                <w:szCs w:val="20"/>
              </w:rPr>
              <w:t>17,0</w:t>
            </w:r>
          </w:p>
        </w:tc>
      </w:tr>
      <w:tr w:rsidR="00B834A2" w:rsidRPr="00D34D77" w14:paraId="5BF96EB6" w14:textId="77777777" w:rsidTr="00D34D77">
        <w:trPr>
          <w:trHeight w:val="339"/>
          <w:jc w:val="center"/>
        </w:trPr>
        <w:tc>
          <w:tcPr>
            <w:tcW w:w="3003" w:type="dxa"/>
            <w:shd w:val="clear" w:color="auto" w:fill="FFFFFF"/>
            <w:vAlign w:val="center"/>
          </w:tcPr>
          <w:p w14:paraId="72EB06A9" w14:textId="77777777" w:rsidR="00B834A2" w:rsidRPr="00D34D77" w:rsidRDefault="00B834A2" w:rsidP="00D34D77">
            <w:pPr>
              <w:spacing w:after="120"/>
              <w:jc w:val="both"/>
              <w:rPr>
                <w:sz w:val="20"/>
                <w:szCs w:val="20"/>
              </w:rPr>
            </w:pPr>
            <w:r w:rsidRPr="00D34D77">
              <w:rPr>
                <w:sz w:val="20"/>
                <w:szCs w:val="20"/>
              </w:rPr>
              <w:t xml:space="preserve">Ստեարինաթթու </w:t>
            </w:r>
          </w:p>
        </w:tc>
        <w:tc>
          <w:tcPr>
            <w:tcW w:w="2950" w:type="dxa"/>
            <w:shd w:val="clear" w:color="auto" w:fill="FFFFFF"/>
            <w:vAlign w:val="center"/>
          </w:tcPr>
          <w:p w14:paraId="3D6B6473" w14:textId="77777777" w:rsidR="00B834A2" w:rsidRPr="00D34D77" w:rsidRDefault="00B834A2" w:rsidP="00D34D77">
            <w:pPr>
              <w:spacing w:after="120"/>
              <w:jc w:val="center"/>
              <w:rPr>
                <w:sz w:val="20"/>
                <w:szCs w:val="20"/>
              </w:rPr>
            </w:pPr>
            <w:r w:rsidRPr="00D34D77">
              <w:rPr>
                <w:sz w:val="20"/>
                <w:szCs w:val="20"/>
              </w:rPr>
              <w:t>18,0</w:t>
            </w:r>
          </w:p>
        </w:tc>
      </w:tr>
      <w:tr w:rsidR="00B834A2" w:rsidRPr="00D34D77" w14:paraId="520F0979" w14:textId="77777777" w:rsidTr="00D34D77">
        <w:trPr>
          <w:trHeight w:val="339"/>
          <w:jc w:val="center"/>
        </w:trPr>
        <w:tc>
          <w:tcPr>
            <w:tcW w:w="3003" w:type="dxa"/>
            <w:shd w:val="clear" w:color="auto" w:fill="FFFFFF"/>
          </w:tcPr>
          <w:p w14:paraId="0B191B48" w14:textId="77777777" w:rsidR="00B834A2" w:rsidRPr="00D34D77" w:rsidRDefault="00B834A2" w:rsidP="00D34D77">
            <w:pPr>
              <w:spacing w:after="120"/>
              <w:jc w:val="both"/>
              <w:rPr>
                <w:sz w:val="20"/>
                <w:szCs w:val="20"/>
              </w:rPr>
            </w:pPr>
            <w:r w:rsidRPr="00D34D77">
              <w:rPr>
                <w:sz w:val="20"/>
                <w:szCs w:val="20"/>
              </w:rPr>
              <w:t>Օլեինաթթու</w:t>
            </w:r>
          </w:p>
        </w:tc>
        <w:tc>
          <w:tcPr>
            <w:tcW w:w="2950" w:type="dxa"/>
            <w:shd w:val="clear" w:color="auto" w:fill="FFFFFF"/>
          </w:tcPr>
          <w:p w14:paraId="5D38407E" w14:textId="77777777" w:rsidR="00B834A2" w:rsidRPr="00D34D77" w:rsidRDefault="00B834A2" w:rsidP="00D34D77">
            <w:pPr>
              <w:spacing w:after="120"/>
              <w:jc w:val="center"/>
              <w:rPr>
                <w:sz w:val="20"/>
                <w:szCs w:val="20"/>
              </w:rPr>
            </w:pPr>
            <w:r w:rsidRPr="00D34D77">
              <w:rPr>
                <w:sz w:val="20"/>
                <w:szCs w:val="20"/>
              </w:rPr>
              <w:t>18,3</w:t>
            </w:r>
          </w:p>
        </w:tc>
      </w:tr>
      <w:tr w:rsidR="00B834A2" w:rsidRPr="00D34D77" w14:paraId="4597C32E" w14:textId="77777777" w:rsidTr="00D34D77">
        <w:trPr>
          <w:trHeight w:val="339"/>
          <w:jc w:val="center"/>
        </w:trPr>
        <w:tc>
          <w:tcPr>
            <w:tcW w:w="3003" w:type="dxa"/>
            <w:shd w:val="clear" w:color="auto" w:fill="FFFFFF"/>
            <w:vAlign w:val="center"/>
          </w:tcPr>
          <w:p w14:paraId="25EB4FC9" w14:textId="77777777" w:rsidR="00B834A2" w:rsidRPr="00D34D77" w:rsidRDefault="00B834A2" w:rsidP="00D34D77">
            <w:pPr>
              <w:spacing w:after="120"/>
              <w:jc w:val="both"/>
              <w:rPr>
                <w:sz w:val="20"/>
                <w:szCs w:val="20"/>
              </w:rPr>
            </w:pPr>
            <w:r w:rsidRPr="00D34D77">
              <w:rPr>
                <w:sz w:val="20"/>
                <w:szCs w:val="20"/>
              </w:rPr>
              <w:t>Լինոլաթթու</w:t>
            </w:r>
          </w:p>
        </w:tc>
        <w:tc>
          <w:tcPr>
            <w:tcW w:w="2950" w:type="dxa"/>
            <w:shd w:val="clear" w:color="auto" w:fill="FFFFFF"/>
            <w:vAlign w:val="bottom"/>
          </w:tcPr>
          <w:p w14:paraId="4F6089EA" w14:textId="77777777" w:rsidR="00B834A2" w:rsidRPr="00D34D77" w:rsidRDefault="00B834A2" w:rsidP="00D34D77">
            <w:pPr>
              <w:spacing w:after="120"/>
              <w:jc w:val="center"/>
              <w:rPr>
                <w:sz w:val="20"/>
                <w:szCs w:val="20"/>
              </w:rPr>
            </w:pPr>
            <w:r w:rsidRPr="00D34D77">
              <w:rPr>
                <w:sz w:val="20"/>
                <w:szCs w:val="20"/>
              </w:rPr>
              <w:t>18,8</w:t>
            </w:r>
          </w:p>
        </w:tc>
      </w:tr>
      <w:tr w:rsidR="00B834A2" w:rsidRPr="00D34D77" w14:paraId="22490727" w14:textId="77777777" w:rsidTr="00D34D77">
        <w:trPr>
          <w:trHeight w:val="339"/>
          <w:jc w:val="center"/>
        </w:trPr>
        <w:tc>
          <w:tcPr>
            <w:tcW w:w="3003" w:type="dxa"/>
            <w:shd w:val="clear" w:color="auto" w:fill="FFFFFF"/>
          </w:tcPr>
          <w:p w14:paraId="6A278823" w14:textId="77777777" w:rsidR="00B834A2" w:rsidRPr="00D34D77" w:rsidRDefault="00B834A2" w:rsidP="00D34D77">
            <w:pPr>
              <w:spacing w:after="120"/>
              <w:jc w:val="both"/>
              <w:rPr>
                <w:sz w:val="20"/>
                <w:szCs w:val="20"/>
              </w:rPr>
            </w:pPr>
            <w:r w:rsidRPr="00D34D77">
              <w:rPr>
                <w:sz w:val="20"/>
                <w:szCs w:val="20"/>
              </w:rPr>
              <w:t>Գամմա-լինոլենաթթու</w:t>
            </w:r>
          </w:p>
        </w:tc>
        <w:tc>
          <w:tcPr>
            <w:tcW w:w="2950" w:type="dxa"/>
            <w:shd w:val="clear" w:color="auto" w:fill="FFFFFF"/>
          </w:tcPr>
          <w:p w14:paraId="099E8B0C" w14:textId="77777777" w:rsidR="00B834A2" w:rsidRPr="00D34D77" w:rsidRDefault="00B834A2" w:rsidP="00D34D77">
            <w:pPr>
              <w:spacing w:after="120"/>
              <w:jc w:val="center"/>
              <w:rPr>
                <w:sz w:val="20"/>
                <w:szCs w:val="20"/>
              </w:rPr>
            </w:pPr>
            <w:r w:rsidRPr="00D34D77">
              <w:rPr>
                <w:sz w:val="20"/>
                <w:szCs w:val="20"/>
              </w:rPr>
              <w:t>19,0</w:t>
            </w:r>
          </w:p>
        </w:tc>
      </w:tr>
      <w:tr w:rsidR="00B834A2" w:rsidRPr="00D34D77" w14:paraId="092A2C4A" w14:textId="77777777" w:rsidTr="00D34D77">
        <w:trPr>
          <w:trHeight w:val="339"/>
          <w:jc w:val="center"/>
        </w:trPr>
        <w:tc>
          <w:tcPr>
            <w:tcW w:w="3003" w:type="dxa"/>
            <w:shd w:val="clear" w:color="auto" w:fill="FFFFFF"/>
          </w:tcPr>
          <w:p w14:paraId="66A43B0F" w14:textId="77777777" w:rsidR="00B834A2" w:rsidRPr="00D34D77" w:rsidRDefault="00B834A2" w:rsidP="00D34D77">
            <w:pPr>
              <w:spacing w:after="120"/>
              <w:jc w:val="both"/>
              <w:rPr>
                <w:sz w:val="20"/>
                <w:szCs w:val="20"/>
              </w:rPr>
            </w:pPr>
            <w:r w:rsidRPr="00D34D77">
              <w:rPr>
                <w:sz w:val="20"/>
                <w:szCs w:val="20"/>
              </w:rPr>
              <w:t>Ալֆա-լինոլենաթթու</w:t>
            </w:r>
          </w:p>
        </w:tc>
        <w:tc>
          <w:tcPr>
            <w:tcW w:w="2950" w:type="dxa"/>
            <w:shd w:val="clear" w:color="auto" w:fill="FFFFFF"/>
          </w:tcPr>
          <w:p w14:paraId="457A8AC3" w14:textId="77777777" w:rsidR="00B834A2" w:rsidRPr="00D34D77" w:rsidRDefault="00B834A2" w:rsidP="00D34D77">
            <w:pPr>
              <w:spacing w:after="120"/>
              <w:jc w:val="center"/>
              <w:rPr>
                <w:sz w:val="20"/>
                <w:szCs w:val="20"/>
              </w:rPr>
            </w:pPr>
            <w:r w:rsidRPr="00D34D77">
              <w:rPr>
                <w:sz w:val="20"/>
                <w:szCs w:val="20"/>
              </w:rPr>
              <w:t>19,2</w:t>
            </w:r>
          </w:p>
        </w:tc>
      </w:tr>
      <w:tr w:rsidR="00B834A2" w:rsidRPr="00D34D77" w14:paraId="1F2F1C4B" w14:textId="77777777" w:rsidTr="00D34D77">
        <w:trPr>
          <w:trHeight w:val="339"/>
          <w:jc w:val="center"/>
        </w:trPr>
        <w:tc>
          <w:tcPr>
            <w:tcW w:w="3003" w:type="dxa"/>
            <w:shd w:val="clear" w:color="auto" w:fill="FFFFFF"/>
            <w:vAlign w:val="center"/>
          </w:tcPr>
          <w:p w14:paraId="31F1D75E" w14:textId="77777777" w:rsidR="00B834A2" w:rsidRPr="00D34D77" w:rsidRDefault="00B834A2" w:rsidP="00D34D77">
            <w:pPr>
              <w:spacing w:after="120"/>
              <w:jc w:val="both"/>
              <w:rPr>
                <w:sz w:val="20"/>
                <w:szCs w:val="20"/>
              </w:rPr>
            </w:pPr>
            <w:r w:rsidRPr="00D34D77">
              <w:rPr>
                <w:sz w:val="20"/>
                <w:szCs w:val="20"/>
              </w:rPr>
              <w:t>Արախինաթթու</w:t>
            </w:r>
          </w:p>
        </w:tc>
        <w:tc>
          <w:tcPr>
            <w:tcW w:w="2950" w:type="dxa"/>
            <w:shd w:val="clear" w:color="auto" w:fill="FFFFFF"/>
            <w:vAlign w:val="center"/>
          </w:tcPr>
          <w:p w14:paraId="25E00BBD" w14:textId="77777777" w:rsidR="00B834A2" w:rsidRPr="00D34D77" w:rsidRDefault="00B834A2" w:rsidP="00D34D77">
            <w:pPr>
              <w:spacing w:after="120"/>
              <w:jc w:val="center"/>
              <w:rPr>
                <w:sz w:val="20"/>
                <w:szCs w:val="20"/>
              </w:rPr>
            </w:pPr>
            <w:r w:rsidRPr="00D34D77">
              <w:rPr>
                <w:sz w:val="20"/>
                <w:szCs w:val="20"/>
              </w:rPr>
              <w:t>20,0</w:t>
            </w:r>
          </w:p>
        </w:tc>
      </w:tr>
      <w:tr w:rsidR="00B834A2" w:rsidRPr="00D34D77" w14:paraId="09117C18" w14:textId="77777777" w:rsidTr="00D34D77">
        <w:trPr>
          <w:trHeight w:val="339"/>
          <w:jc w:val="center"/>
        </w:trPr>
        <w:tc>
          <w:tcPr>
            <w:tcW w:w="3003" w:type="dxa"/>
            <w:shd w:val="clear" w:color="auto" w:fill="FFFFFF"/>
            <w:vAlign w:val="center"/>
          </w:tcPr>
          <w:p w14:paraId="6D5D196C" w14:textId="77777777" w:rsidR="00B834A2" w:rsidRPr="00D34D77" w:rsidRDefault="00B834A2" w:rsidP="00D34D77">
            <w:pPr>
              <w:spacing w:after="120"/>
              <w:jc w:val="both"/>
              <w:rPr>
                <w:sz w:val="20"/>
                <w:szCs w:val="20"/>
              </w:rPr>
            </w:pPr>
            <w:r w:rsidRPr="00D34D77">
              <w:rPr>
                <w:sz w:val="20"/>
                <w:szCs w:val="20"/>
              </w:rPr>
              <w:t>Էյկոզենաթթու (գոնդոինաթթու)</w:t>
            </w:r>
          </w:p>
        </w:tc>
        <w:tc>
          <w:tcPr>
            <w:tcW w:w="2950" w:type="dxa"/>
            <w:shd w:val="clear" w:color="auto" w:fill="FFFFFF"/>
          </w:tcPr>
          <w:p w14:paraId="27A53C92" w14:textId="77777777" w:rsidR="00B834A2" w:rsidRPr="00D34D77" w:rsidRDefault="00B834A2" w:rsidP="00D34D77">
            <w:pPr>
              <w:spacing w:after="120"/>
              <w:jc w:val="center"/>
              <w:rPr>
                <w:sz w:val="20"/>
                <w:szCs w:val="20"/>
              </w:rPr>
            </w:pPr>
            <w:r w:rsidRPr="00D34D77">
              <w:rPr>
                <w:sz w:val="20"/>
                <w:szCs w:val="20"/>
              </w:rPr>
              <w:t>20,2</w:t>
            </w:r>
          </w:p>
        </w:tc>
      </w:tr>
      <w:tr w:rsidR="00B834A2" w:rsidRPr="00D34D77" w14:paraId="116A88E0" w14:textId="77777777" w:rsidTr="00D34D77">
        <w:trPr>
          <w:trHeight w:val="339"/>
          <w:jc w:val="center"/>
        </w:trPr>
        <w:tc>
          <w:tcPr>
            <w:tcW w:w="3003" w:type="dxa"/>
            <w:shd w:val="clear" w:color="auto" w:fill="FFFFFF"/>
            <w:vAlign w:val="center"/>
          </w:tcPr>
          <w:p w14:paraId="7ED24A08" w14:textId="77777777" w:rsidR="00B834A2" w:rsidRPr="00D34D77" w:rsidRDefault="00B834A2" w:rsidP="00D34D77">
            <w:pPr>
              <w:spacing w:after="120"/>
              <w:jc w:val="both"/>
              <w:rPr>
                <w:sz w:val="20"/>
                <w:szCs w:val="20"/>
              </w:rPr>
            </w:pPr>
            <w:r w:rsidRPr="00D34D77">
              <w:rPr>
                <w:sz w:val="20"/>
                <w:szCs w:val="20"/>
              </w:rPr>
              <w:t>Արախիդոնաթթու</w:t>
            </w:r>
          </w:p>
        </w:tc>
        <w:tc>
          <w:tcPr>
            <w:tcW w:w="2950" w:type="dxa"/>
            <w:shd w:val="clear" w:color="auto" w:fill="FFFFFF"/>
            <w:vAlign w:val="center"/>
          </w:tcPr>
          <w:p w14:paraId="646F0047" w14:textId="77777777" w:rsidR="00B834A2" w:rsidRPr="00D34D77" w:rsidRDefault="00B834A2" w:rsidP="00D34D77">
            <w:pPr>
              <w:spacing w:after="120"/>
              <w:jc w:val="center"/>
              <w:rPr>
                <w:sz w:val="20"/>
                <w:szCs w:val="20"/>
              </w:rPr>
            </w:pPr>
            <w:r w:rsidRPr="00D34D77">
              <w:rPr>
                <w:sz w:val="20"/>
                <w:szCs w:val="20"/>
              </w:rPr>
              <w:t>21,2</w:t>
            </w:r>
          </w:p>
        </w:tc>
      </w:tr>
      <w:tr w:rsidR="00B834A2" w:rsidRPr="00D34D77" w14:paraId="72A53E2D" w14:textId="77777777" w:rsidTr="00D34D77">
        <w:trPr>
          <w:trHeight w:val="339"/>
          <w:jc w:val="center"/>
        </w:trPr>
        <w:tc>
          <w:tcPr>
            <w:tcW w:w="3003" w:type="dxa"/>
            <w:shd w:val="clear" w:color="auto" w:fill="FFFFFF"/>
            <w:vAlign w:val="center"/>
          </w:tcPr>
          <w:p w14:paraId="3F11AE20" w14:textId="77777777" w:rsidR="00B834A2" w:rsidRPr="00D34D77" w:rsidRDefault="00B834A2" w:rsidP="00D34D77">
            <w:pPr>
              <w:spacing w:after="120"/>
              <w:jc w:val="both"/>
              <w:rPr>
                <w:sz w:val="20"/>
                <w:szCs w:val="20"/>
              </w:rPr>
            </w:pPr>
            <w:r w:rsidRPr="00D34D77">
              <w:rPr>
                <w:sz w:val="20"/>
                <w:szCs w:val="20"/>
              </w:rPr>
              <w:t>Բեգենաթթու</w:t>
            </w:r>
          </w:p>
        </w:tc>
        <w:tc>
          <w:tcPr>
            <w:tcW w:w="2950" w:type="dxa"/>
            <w:shd w:val="clear" w:color="auto" w:fill="FFFFFF"/>
            <w:vAlign w:val="center"/>
          </w:tcPr>
          <w:p w14:paraId="2451D6AC" w14:textId="77777777" w:rsidR="00B834A2" w:rsidRPr="00D34D77" w:rsidRDefault="00B834A2" w:rsidP="00D34D77">
            <w:pPr>
              <w:spacing w:after="120"/>
              <w:jc w:val="center"/>
              <w:rPr>
                <w:sz w:val="20"/>
                <w:szCs w:val="20"/>
              </w:rPr>
            </w:pPr>
            <w:r w:rsidRPr="00D34D77">
              <w:rPr>
                <w:sz w:val="20"/>
                <w:szCs w:val="20"/>
              </w:rPr>
              <w:t>22,0</w:t>
            </w:r>
          </w:p>
        </w:tc>
      </w:tr>
      <w:tr w:rsidR="00B834A2" w:rsidRPr="00D34D77" w14:paraId="60A2641A" w14:textId="77777777" w:rsidTr="00D34D77">
        <w:trPr>
          <w:trHeight w:val="339"/>
          <w:jc w:val="center"/>
        </w:trPr>
        <w:tc>
          <w:tcPr>
            <w:tcW w:w="3003" w:type="dxa"/>
            <w:shd w:val="clear" w:color="auto" w:fill="FFFFFF"/>
            <w:vAlign w:val="center"/>
          </w:tcPr>
          <w:p w14:paraId="484F3F4E" w14:textId="77777777" w:rsidR="00B834A2" w:rsidRPr="00D34D77" w:rsidRDefault="00B834A2" w:rsidP="00D34D77">
            <w:pPr>
              <w:spacing w:after="120"/>
              <w:jc w:val="both"/>
              <w:rPr>
                <w:sz w:val="20"/>
                <w:szCs w:val="20"/>
              </w:rPr>
            </w:pPr>
            <w:r w:rsidRPr="00D34D77">
              <w:rPr>
                <w:sz w:val="20"/>
                <w:szCs w:val="20"/>
              </w:rPr>
              <w:t>Էրուկաթթու</w:t>
            </w:r>
          </w:p>
        </w:tc>
        <w:tc>
          <w:tcPr>
            <w:tcW w:w="2950" w:type="dxa"/>
            <w:shd w:val="clear" w:color="auto" w:fill="FFFFFF"/>
            <w:vAlign w:val="center"/>
          </w:tcPr>
          <w:p w14:paraId="233C7006" w14:textId="77777777" w:rsidR="00B834A2" w:rsidRPr="00D34D77" w:rsidRDefault="00B834A2" w:rsidP="00D34D77">
            <w:pPr>
              <w:spacing w:after="120"/>
              <w:jc w:val="center"/>
              <w:rPr>
                <w:sz w:val="20"/>
                <w:szCs w:val="20"/>
              </w:rPr>
            </w:pPr>
            <w:r w:rsidRPr="00D34D77">
              <w:rPr>
                <w:sz w:val="20"/>
                <w:szCs w:val="20"/>
              </w:rPr>
              <w:t>22,2</w:t>
            </w:r>
          </w:p>
        </w:tc>
      </w:tr>
      <w:tr w:rsidR="00B834A2" w:rsidRPr="00D34D77" w14:paraId="24968376" w14:textId="77777777" w:rsidTr="00D34D77">
        <w:trPr>
          <w:trHeight w:val="339"/>
          <w:jc w:val="center"/>
        </w:trPr>
        <w:tc>
          <w:tcPr>
            <w:tcW w:w="3003" w:type="dxa"/>
            <w:shd w:val="clear" w:color="auto" w:fill="FFFFFF"/>
          </w:tcPr>
          <w:p w14:paraId="50E7360D" w14:textId="77777777" w:rsidR="00B834A2" w:rsidRPr="00D34D77" w:rsidRDefault="00B834A2" w:rsidP="00D34D77">
            <w:pPr>
              <w:spacing w:after="120"/>
              <w:jc w:val="both"/>
              <w:rPr>
                <w:sz w:val="20"/>
                <w:szCs w:val="20"/>
              </w:rPr>
            </w:pPr>
            <w:r w:rsidRPr="00D34D77">
              <w:rPr>
                <w:sz w:val="20"/>
                <w:szCs w:val="20"/>
              </w:rPr>
              <w:t>12-Օքսոստեարինաթթու</w:t>
            </w:r>
          </w:p>
        </w:tc>
        <w:tc>
          <w:tcPr>
            <w:tcW w:w="2950" w:type="dxa"/>
            <w:shd w:val="clear" w:color="auto" w:fill="FFFFFF"/>
          </w:tcPr>
          <w:p w14:paraId="51116D2F" w14:textId="77777777" w:rsidR="00B834A2" w:rsidRPr="00D34D77" w:rsidRDefault="00B834A2" w:rsidP="00D34D77">
            <w:pPr>
              <w:spacing w:after="120"/>
              <w:jc w:val="center"/>
              <w:rPr>
                <w:sz w:val="20"/>
                <w:szCs w:val="20"/>
              </w:rPr>
            </w:pPr>
            <w:r w:rsidRPr="00D34D77">
              <w:rPr>
                <w:sz w:val="20"/>
                <w:szCs w:val="20"/>
              </w:rPr>
              <w:t>22,7</w:t>
            </w:r>
          </w:p>
        </w:tc>
      </w:tr>
      <w:tr w:rsidR="00B834A2" w:rsidRPr="00D34D77" w14:paraId="5369B02D" w14:textId="77777777" w:rsidTr="00D34D77">
        <w:trPr>
          <w:trHeight w:val="339"/>
          <w:jc w:val="center"/>
        </w:trPr>
        <w:tc>
          <w:tcPr>
            <w:tcW w:w="3003" w:type="dxa"/>
            <w:shd w:val="clear" w:color="auto" w:fill="FFFFFF"/>
          </w:tcPr>
          <w:p w14:paraId="3D3E021C" w14:textId="77777777" w:rsidR="00B834A2" w:rsidRPr="00D34D77" w:rsidRDefault="00B834A2" w:rsidP="00D34D77">
            <w:pPr>
              <w:spacing w:after="120"/>
              <w:jc w:val="both"/>
              <w:rPr>
                <w:sz w:val="20"/>
                <w:szCs w:val="20"/>
              </w:rPr>
            </w:pPr>
            <w:r w:rsidRPr="00D34D77">
              <w:rPr>
                <w:sz w:val="20"/>
                <w:szCs w:val="20"/>
              </w:rPr>
              <w:t>Ռիցինօլեինաթթու</w:t>
            </w:r>
          </w:p>
        </w:tc>
        <w:tc>
          <w:tcPr>
            <w:tcW w:w="2950" w:type="dxa"/>
            <w:shd w:val="clear" w:color="auto" w:fill="FFFFFF"/>
          </w:tcPr>
          <w:p w14:paraId="0EE3C783" w14:textId="77777777" w:rsidR="00B834A2" w:rsidRPr="00D34D77" w:rsidRDefault="00B834A2" w:rsidP="00D34D77">
            <w:pPr>
              <w:spacing w:after="120"/>
              <w:jc w:val="center"/>
              <w:rPr>
                <w:sz w:val="20"/>
                <w:szCs w:val="20"/>
              </w:rPr>
            </w:pPr>
            <w:r w:rsidRPr="00D34D77">
              <w:rPr>
                <w:sz w:val="20"/>
                <w:szCs w:val="20"/>
              </w:rPr>
              <w:t>23,9</w:t>
            </w:r>
          </w:p>
        </w:tc>
      </w:tr>
      <w:tr w:rsidR="00B834A2" w:rsidRPr="00D34D77" w14:paraId="7B64FF86" w14:textId="77777777" w:rsidTr="00D34D77">
        <w:trPr>
          <w:trHeight w:val="339"/>
          <w:jc w:val="center"/>
        </w:trPr>
        <w:tc>
          <w:tcPr>
            <w:tcW w:w="3003" w:type="dxa"/>
            <w:shd w:val="clear" w:color="auto" w:fill="FFFFFF"/>
          </w:tcPr>
          <w:p w14:paraId="1898820C" w14:textId="77777777" w:rsidR="00B834A2" w:rsidRPr="00D34D77" w:rsidRDefault="00B834A2" w:rsidP="00D34D77">
            <w:pPr>
              <w:spacing w:after="120"/>
              <w:jc w:val="both"/>
              <w:rPr>
                <w:sz w:val="20"/>
                <w:szCs w:val="20"/>
              </w:rPr>
            </w:pPr>
            <w:r w:rsidRPr="00D34D77">
              <w:rPr>
                <w:sz w:val="20"/>
                <w:szCs w:val="20"/>
              </w:rPr>
              <w:t>12-Հիդրօքսիստեարինաթթու</w:t>
            </w:r>
          </w:p>
        </w:tc>
        <w:tc>
          <w:tcPr>
            <w:tcW w:w="2950" w:type="dxa"/>
            <w:shd w:val="clear" w:color="auto" w:fill="FFFFFF"/>
          </w:tcPr>
          <w:p w14:paraId="2DC1B5B7" w14:textId="77777777" w:rsidR="00B834A2" w:rsidRPr="00D34D77" w:rsidRDefault="00B834A2" w:rsidP="00D34D77">
            <w:pPr>
              <w:spacing w:after="120"/>
              <w:jc w:val="center"/>
              <w:rPr>
                <w:sz w:val="20"/>
                <w:szCs w:val="20"/>
              </w:rPr>
            </w:pPr>
            <w:r w:rsidRPr="00D34D77">
              <w:rPr>
                <w:sz w:val="20"/>
                <w:szCs w:val="20"/>
              </w:rPr>
              <w:t>23,9</w:t>
            </w:r>
          </w:p>
        </w:tc>
      </w:tr>
      <w:tr w:rsidR="00B834A2" w:rsidRPr="00D34D77" w14:paraId="36799AEE" w14:textId="77777777" w:rsidTr="00D34D77">
        <w:trPr>
          <w:trHeight w:val="339"/>
          <w:jc w:val="center"/>
        </w:trPr>
        <w:tc>
          <w:tcPr>
            <w:tcW w:w="3003" w:type="dxa"/>
            <w:shd w:val="clear" w:color="auto" w:fill="FFFFFF"/>
          </w:tcPr>
          <w:p w14:paraId="6CABB3E9" w14:textId="77777777" w:rsidR="00B834A2" w:rsidRPr="00D34D77" w:rsidRDefault="00B834A2" w:rsidP="00D34D77">
            <w:pPr>
              <w:spacing w:after="120"/>
              <w:jc w:val="both"/>
              <w:rPr>
                <w:sz w:val="20"/>
                <w:szCs w:val="20"/>
              </w:rPr>
            </w:pPr>
            <w:r w:rsidRPr="00D34D77">
              <w:rPr>
                <w:sz w:val="20"/>
                <w:szCs w:val="20"/>
              </w:rPr>
              <w:t>Լիգնոցերինաթթու</w:t>
            </w:r>
          </w:p>
        </w:tc>
        <w:tc>
          <w:tcPr>
            <w:tcW w:w="2950" w:type="dxa"/>
            <w:shd w:val="clear" w:color="auto" w:fill="FFFFFF"/>
          </w:tcPr>
          <w:p w14:paraId="1221D1C8" w14:textId="77777777" w:rsidR="00B834A2" w:rsidRPr="00D34D77" w:rsidRDefault="00B834A2" w:rsidP="00D34D77">
            <w:pPr>
              <w:spacing w:after="120"/>
              <w:jc w:val="center"/>
              <w:rPr>
                <w:sz w:val="20"/>
                <w:szCs w:val="20"/>
              </w:rPr>
            </w:pPr>
            <w:r w:rsidRPr="00D34D77">
              <w:rPr>
                <w:sz w:val="20"/>
                <w:szCs w:val="20"/>
              </w:rPr>
              <w:t>24,0</w:t>
            </w:r>
          </w:p>
        </w:tc>
      </w:tr>
      <w:tr w:rsidR="00B834A2" w:rsidRPr="00D34D77" w14:paraId="045D4E36" w14:textId="77777777" w:rsidTr="00D34D77">
        <w:trPr>
          <w:trHeight w:val="339"/>
          <w:jc w:val="center"/>
        </w:trPr>
        <w:tc>
          <w:tcPr>
            <w:tcW w:w="3003" w:type="dxa"/>
            <w:shd w:val="clear" w:color="auto" w:fill="FFFFFF"/>
          </w:tcPr>
          <w:p w14:paraId="72397BEB" w14:textId="77777777" w:rsidR="00B834A2" w:rsidRPr="00D34D77" w:rsidRDefault="00B834A2" w:rsidP="00D34D77">
            <w:pPr>
              <w:spacing w:after="120"/>
              <w:jc w:val="both"/>
              <w:rPr>
                <w:sz w:val="20"/>
                <w:szCs w:val="20"/>
              </w:rPr>
            </w:pPr>
            <w:r w:rsidRPr="00D34D77">
              <w:rPr>
                <w:sz w:val="20"/>
                <w:szCs w:val="20"/>
              </w:rPr>
              <w:t>Ներվոնաթթու</w:t>
            </w:r>
          </w:p>
        </w:tc>
        <w:tc>
          <w:tcPr>
            <w:tcW w:w="2950" w:type="dxa"/>
            <w:shd w:val="clear" w:color="auto" w:fill="FFFFFF"/>
          </w:tcPr>
          <w:p w14:paraId="2253CFF2" w14:textId="77777777" w:rsidR="00B834A2" w:rsidRPr="00D34D77" w:rsidRDefault="00B834A2" w:rsidP="00D34D77">
            <w:pPr>
              <w:spacing w:after="120"/>
              <w:jc w:val="center"/>
              <w:rPr>
                <w:sz w:val="20"/>
                <w:szCs w:val="20"/>
              </w:rPr>
            </w:pPr>
            <w:r w:rsidRPr="00D34D77">
              <w:rPr>
                <w:sz w:val="20"/>
                <w:szCs w:val="20"/>
              </w:rPr>
              <w:t>24,2</w:t>
            </w:r>
          </w:p>
        </w:tc>
      </w:tr>
    </w:tbl>
    <w:p w14:paraId="0A8E1230" w14:textId="77777777" w:rsidR="00D34D77" w:rsidRDefault="00D34D77" w:rsidP="00B834A2">
      <w:pPr>
        <w:spacing w:after="160" w:line="360" w:lineRule="auto"/>
        <w:jc w:val="both"/>
        <w:rPr>
          <w:lang w:val="en-US"/>
        </w:rPr>
      </w:pPr>
    </w:p>
    <w:p w14:paraId="075C6121" w14:textId="77777777" w:rsidR="00B834A2" w:rsidRDefault="00B834A2" w:rsidP="00D34D77">
      <w:pPr>
        <w:spacing w:after="160" w:line="360" w:lineRule="auto"/>
        <w:ind w:firstLine="567"/>
        <w:jc w:val="both"/>
        <w:rPr>
          <w:sz w:val="20"/>
          <w:lang w:val="en-US"/>
        </w:rPr>
      </w:pPr>
      <w:r w:rsidRPr="00044E00">
        <w:rPr>
          <w:sz w:val="20"/>
        </w:rPr>
        <w:t>Ծանոթագրություն. ստուգաճշտման կորերի կիրառմամբ դուրս բերված արժեքները ներկայացված են որպես օրինակ՝ 20 000 մակրոգոլով աշտարակի համար:</w:t>
      </w:r>
    </w:p>
    <w:p w14:paraId="7E06F079" w14:textId="77777777" w:rsidR="00063A76" w:rsidRPr="00063A76" w:rsidRDefault="00063A76" w:rsidP="00D34D77">
      <w:pPr>
        <w:spacing w:after="160" w:line="360" w:lineRule="auto"/>
        <w:ind w:firstLine="567"/>
        <w:jc w:val="both"/>
        <w:rPr>
          <w:sz w:val="20"/>
          <w:lang w:val="en-US"/>
        </w:rPr>
      </w:pPr>
    </w:p>
    <w:p w14:paraId="6B4448B7" w14:textId="77777777" w:rsidR="00B834A2" w:rsidRPr="00B834A2" w:rsidRDefault="00B834A2" w:rsidP="001516F5">
      <w:pPr>
        <w:spacing w:after="160" w:line="348" w:lineRule="auto"/>
        <w:ind w:firstLine="567"/>
        <w:jc w:val="both"/>
      </w:pPr>
      <w:r w:rsidRPr="00B834A2">
        <w:lastRenderedPageBreak/>
        <w:t>Որոշ դեպքերում, օրինակ՝ ածխածնի 12 կամ պակաս ատոմներով ճարպաթթուների առկայության դեպքում մասնավոր դեղագրքային հոդվածում պետք է նշվեն համապատասխան ճշգրտման գործակիցները՝ պիկերի մակերեսները տոկոսների փոխակերպելու համար (մ/մ):</w:t>
      </w:r>
    </w:p>
    <w:p w14:paraId="35A690F0" w14:textId="77777777" w:rsidR="00783242" w:rsidRPr="002E52D1" w:rsidRDefault="00783242" w:rsidP="001516F5">
      <w:pPr>
        <w:spacing w:after="160" w:line="348" w:lineRule="auto"/>
        <w:ind w:firstLine="567"/>
        <w:jc w:val="both"/>
        <w:rPr>
          <w:b/>
        </w:rPr>
      </w:pPr>
    </w:p>
    <w:p w14:paraId="521315C9" w14:textId="77777777" w:rsidR="00B834A2" w:rsidRPr="006B7DC5" w:rsidRDefault="00B834A2" w:rsidP="001516F5">
      <w:pPr>
        <w:spacing w:after="160" w:line="348" w:lineRule="auto"/>
        <w:ind w:firstLine="567"/>
        <w:jc w:val="both"/>
        <w:rPr>
          <w:b/>
        </w:rPr>
      </w:pPr>
      <w:r w:rsidRPr="00B834A2">
        <w:rPr>
          <w:b/>
        </w:rPr>
        <w:t>ՄԵԹՈԴ 2</w:t>
      </w:r>
    </w:p>
    <w:p w14:paraId="4137AE9D" w14:textId="77777777" w:rsidR="00B834A2" w:rsidRPr="00B834A2" w:rsidRDefault="00B834A2" w:rsidP="001516F5">
      <w:pPr>
        <w:spacing w:after="160" w:line="348" w:lineRule="auto"/>
        <w:ind w:firstLine="567"/>
        <w:jc w:val="both"/>
        <w:rPr>
          <w:i/>
        </w:rPr>
      </w:pPr>
      <w:r w:rsidRPr="00B834A2">
        <w:rPr>
          <w:i/>
        </w:rPr>
        <w:t xml:space="preserve">Մեթոդը կիրառելի չէ այն յուղերի համար, որոնք պարունակում են ճարպաթթուների գլիցերիդներ՝ էպօքսի-, հիդրոէպօքսի, հիդրոպերօքսի-, ցիկլոպրոպիլային </w:t>
      </w:r>
      <w:r>
        <w:rPr>
          <w:i/>
        </w:rPr>
        <w:t>եւ</w:t>
      </w:r>
      <w:r w:rsidRPr="00B834A2">
        <w:rPr>
          <w:i/>
        </w:rPr>
        <w:t>/կամ ցիկլոպրոպենիլային խմբերով, կամ 2,0-ից ավելի թթվային թիվ ունեցող յուղերի համար:</w:t>
      </w:r>
    </w:p>
    <w:p w14:paraId="10329AC6" w14:textId="77777777" w:rsidR="00B834A2" w:rsidRPr="00B834A2" w:rsidRDefault="00B834A2" w:rsidP="001516F5">
      <w:pPr>
        <w:spacing w:after="160" w:line="348" w:lineRule="auto"/>
        <w:ind w:firstLine="567"/>
        <w:jc w:val="both"/>
      </w:pPr>
      <w:r w:rsidRPr="00B834A2">
        <w:rPr>
          <w:i/>
        </w:rPr>
        <w:t xml:space="preserve">Փորձարկվող լուծույթը: </w:t>
      </w:r>
      <w:r w:rsidRPr="00B834A2">
        <w:t xml:space="preserve">0,100 գ փորձարկվող յուղը դնում են ներպտուտակվող կափարիչով, 10 մլ տարողությամբ ցենտրիֆուգալ փորձասրվակի մեջ, ավելացնում են 1 մլ Р հեպտան </w:t>
      </w:r>
      <w:r>
        <w:t>եւ</w:t>
      </w:r>
      <w:r w:rsidRPr="00B834A2">
        <w:t xml:space="preserve"> 1 մլ Р դիմեթիլկարբոնատ </w:t>
      </w:r>
      <w:r>
        <w:t>եւ</w:t>
      </w:r>
      <w:r w:rsidRPr="00B834A2">
        <w:t xml:space="preserve"> չափավոր</w:t>
      </w:r>
      <w:r w:rsidR="00D34D77">
        <w:t xml:space="preserve"> (50-</w:t>
      </w:r>
      <w:r w:rsidRPr="00B834A2">
        <w:t xml:space="preserve">60) °С տաքացնելով՝ ուժեղ թափահարում են: Չհովացած լուծույթին ավելացնում են Р անջուր մեթանոլի մեջ 12 գ/լ Р նատրիումի 1 մլ լուծույթ </w:t>
      </w:r>
      <w:r>
        <w:t>եւ</w:t>
      </w:r>
      <w:r w:rsidRPr="00B834A2">
        <w:t xml:space="preserve"> արագ խառնում են 5 րոպե: Այնուհետ</w:t>
      </w:r>
      <w:r>
        <w:t>եւ</w:t>
      </w:r>
      <w:r w:rsidRPr="00B834A2">
        <w:t xml:space="preserve"> ավելացնում են 3 մլ Р թորած ջուր </w:t>
      </w:r>
      <w:r>
        <w:t>եւ</w:t>
      </w:r>
      <w:r w:rsidRPr="00B834A2">
        <w:t xml:space="preserve"> 30 վայրկյան արագ խառնում են: Խառնուրդը ցենտրիֆուգում են 15 րոպե՝ 1500 պտ./րոպեում արագությամբ: Քրոմատագրում են 1 մկլ օրգանական շերտը:</w:t>
      </w:r>
    </w:p>
    <w:p w14:paraId="00685A53" w14:textId="77777777" w:rsidR="00B834A2" w:rsidRPr="00B834A2" w:rsidRDefault="00B834A2" w:rsidP="00D34D77">
      <w:pPr>
        <w:spacing w:after="160" w:line="360" w:lineRule="auto"/>
        <w:ind w:firstLine="567"/>
        <w:jc w:val="both"/>
      </w:pPr>
      <w:r w:rsidRPr="00044E00">
        <w:rPr>
          <w:i/>
        </w:rPr>
        <w:t>Համեմատման լուծույթները</w:t>
      </w:r>
      <w:r w:rsidRPr="00B834A2">
        <w:t xml:space="preserve"> </w:t>
      </w:r>
      <w:r w:rsidRPr="00044E00">
        <w:rPr>
          <w:i/>
        </w:rPr>
        <w:t>եւ քրոմատագրերի գնահատումը</w:t>
      </w:r>
      <w:r w:rsidRPr="00B834A2">
        <w:t xml:space="preserve">: Մասնավոր </w:t>
      </w:r>
      <w:r w:rsidRPr="001516F5">
        <w:rPr>
          <w:spacing w:val="4"/>
        </w:rPr>
        <w:t>դեղագրքային հոդվածում այլ ցուցումների բացակայության դեպքում գործում են 1-ին</w:t>
      </w:r>
      <w:r w:rsidRPr="00B834A2">
        <w:t xml:space="preserve"> մեթոդի մեջ բերված ցուցումներին համապատասխան:</w:t>
      </w:r>
    </w:p>
    <w:p w14:paraId="3E5DE510" w14:textId="77777777" w:rsidR="00B834A2" w:rsidRPr="00B834A2" w:rsidRDefault="00B834A2" w:rsidP="00D34D77">
      <w:pPr>
        <w:spacing w:after="160" w:line="360" w:lineRule="auto"/>
        <w:ind w:firstLine="567"/>
        <w:jc w:val="both"/>
        <w:rPr>
          <w:i/>
        </w:rPr>
      </w:pPr>
      <w:r w:rsidRPr="00B834A2">
        <w:rPr>
          <w:i/>
        </w:rPr>
        <w:t>Քրոմատագրման պայմանները՝</w:t>
      </w:r>
    </w:p>
    <w:p w14:paraId="33297886"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աշտարակը՝</w:t>
      </w:r>
      <w:r w:rsidRPr="00B834A2">
        <w:t xml:space="preserve"> 30 մ երկարությամբ </w:t>
      </w:r>
      <w:r>
        <w:t>եւ</w:t>
      </w:r>
      <w:r w:rsidRPr="00B834A2">
        <w:t xml:space="preserve"> 0,25 մմ ներքին տրամագծով, ջերմակայուն կվարցից, 0,25 մկմ հաստությամբ Р 20 000 մակրոգոլի շերտով պատված.</w:t>
      </w:r>
    </w:p>
    <w:p w14:paraId="59016925"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կրող գազը՝ Р հելիում՝ քրոմատագրման համար.</w:t>
      </w:r>
    </w:p>
    <w:p w14:paraId="262BA0B0" w14:textId="77777777" w:rsidR="00B834A2" w:rsidRPr="00B834A2" w:rsidRDefault="00B834A2" w:rsidP="00D34D77">
      <w:pPr>
        <w:tabs>
          <w:tab w:val="left" w:pos="1134"/>
        </w:tabs>
        <w:spacing w:after="160" w:line="360" w:lineRule="auto"/>
        <w:ind w:firstLine="567"/>
        <w:jc w:val="both"/>
      </w:pPr>
      <w:r w:rsidRPr="00B834A2">
        <w:t>-</w:t>
      </w:r>
      <w:r w:rsidR="00D34D77" w:rsidRPr="00D34D77">
        <w:tab/>
      </w:r>
      <w:r w:rsidRPr="00044E00">
        <w:rPr>
          <w:i/>
        </w:rPr>
        <w:t>կրող գազի արագությունը</w:t>
      </w:r>
      <w:r w:rsidRPr="00B834A2">
        <w:t>՝ 0,9 մլ/րոպե.</w:t>
      </w:r>
    </w:p>
    <w:p w14:paraId="72C03728" w14:textId="77777777" w:rsidR="00B834A2" w:rsidRPr="00B834A2" w:rsidRDefault="00B834A2" w:rsidP="00D34D77">
      <w:pPr>
        <w:tabs>
          <w:tab w:val="left" w:pos="1134"/>
        </w:tabs>
        <w:spacing w:after="160" w:line="360" w:lineRule="auto"/>
        <w:ind w:firstLine="567"/>
        <w:jc w:val="both"/>
      </w:pPr>
      <w:r w:rsidRPr="00B834A2">
        <w:lastRenderedPageBreak/>
        <w:t>-</w:t>
      </w:r>
      <w:r w:rsidR="00D34D77" w:rsidRPr="00097504">
        <w:tab/>
      </w:r>
      <w:r w:rsidRPr="00044E00">
        <w:rPr>
          <w:i/>
        </w:rPr>
        <w:t>հոսքի բաժանումը</w:t>
      </w:r>
      <w:r w:rsidRPr="00B834A2">
        <w:t>՝ 1:100.</w:t>
      </w:r>
    </w:p>
    <w:p w14:paraId="5310F4B6" w14:textId="77777777" w:rsidR="00B834A2" w:rsidRPr="00044E00" w:rsidRDefault="00B834A2" w:rsidP="00D34D77">
      <w:pPr>
        <w:tabs>
          <w:tab w:val="left" w:pos="1134"/>
        </w:tabs>
        <w:spacing w:after="160" w:line="360" w:lineRule="auto"/>
        <w:ind w:firstLine="567"/>
        <w:jc w:val="both"/>
        <w:rPr>
          <w:i/>
        </w:rPr>
      </w:pPr>
      <w:r w:rsidRPr="00B834A2">
        <w:t>-</w:t>
      </w:r>
      <w:r w:rsidR="00D34D77" w:rsidRPr="00D34D77">
        <w:tab/>
      </w:r>
      <w:r w:rsidRPr="00044E00">
        <w:rPr>
          <w:i/>
        </w:rPr>
        <w:t>ջերմաստիճանի փոփոխման ռեժիմը՝</w:t>
      </w:r>
    </w:p>
    <w:tbl>
      <w:tblPr>
        <w:tblW w:w="0" w:type="auto"/>
        <w:tblInd w:w="1242" w:type="dxa"/>
        <w:tblBorders>
          <w:top w:val="single" w:sz="4" w:space="0" w:color="auto"/>
        </w:tblBorders>
        <w:tblLook w:val="04A0" w:firstRow="1" w:lastRow="0" w:firstColumn="1" w:lastColumn="0" w:noHBand="0" w:noVBand="1"/>
      </w:tblPr>
      <w:tblGrid>
        <w:gridCol w:w="1851"/>
        <w:gridCol w:w="2083"/>
        <w:gridCol w:w="2126"/>
      </w:tblGrid>
      <w:tr w:rsidR="00B834A2" w:rsidRPr="00D34D77" w14:paraId="3F127776" w14:textId="77777777" w:rsidTr="00D34D77">
        <w:tc>
          <w:tcPr>
            <w:tcW w:w="1851" w:type="dxa"/>
            <w:tcBorders>
              <w:bottom w:val="single" w:sz="4" w:space="0" w:color="auto"/>
            </w:tcBorders>
          </w:tcPr>
          <w:p w14:paraId="4C88DBA2" w14:textId="77777777" w:rsidR="00B834A2" w:rsidRPr="00D34D77" w:rsidRDefault="00B834A2" w:rsidP="00D34D77">
            <w:pPr>
              <w:spacing w:after="120"/>
              <w:jc w:val="both"/>
              <w:rPr>
                <w:sz w:val="20"/>
              </w:rPr>
            </w:pPr>
          </w:p>
        </w:tc>
        <w:tc>
          <w:tcPr>
            <w:tcW w:w="2083" w:type="dxa"/>
            <w:tcBorders>
              <w:bottom w:val="single" w:sz="4" w:space="0" w:color="auto"/>
            </w:tcBorders>
            <w:vAlign w:val="bottom"/>
          </w:tcPr>
          <w:p w14:paraId="395EB6CF" w14:textId="77777777" w:rsidR="00B834A2" w:rsidRPr="00D34D77" w:rsidRDefault="00B834A2" w:rsidP="00D34D77">
            <w:pPr>
              <w:spacing w:after="120"/>
              <w:jc w:val="both"/>
              <w:rPr>
                <w:sz w:val="20"/>
              </w:rPr>
            </w:pPr>
            <w:r w:rsidRPr="00D34D77">
              <w:rPr>
                <w:sz w:val="20"/>
              </w:rPr>
              <w:t>Ժամանակը (րոպե)</w:t>
            </w:r>
          </w:p>
        </w:tc>
        <w:tc>
          <w:tcPr>
            <w:tcW w:w="2126" w:type="dxa"/>
            <w:tcBorders>
              <w:bottom w:val="single" w:sz="4" w:space="0" w:color="auto"/>
            </w:tcBorders>
            <w:vAlign w:val="bottom"/>
          </w:tcPr>
          <w:p w14:paraId="0197FEB1" w14:textId="77777777" w:rsidR="00B834A2" w:rsidRPr="00D34D77" w:rsidRDefault="00B834A2" w:rsidP="00D34D77">
            <w:pPr>
              <w:spacing w:after="120"/>
              <w:jc w:val="both"/>
              <w:rPr>
                <w:sz w:val="20"/>
              </w:rPr>
            </w:pPr>
            <w:r w:rsidRPr="00D34D77">
              <w:rPr>
                <w:sz w:val="20"/>
              </w:rPr>
              <w:t>Ջերմաստիճանը (°С)</w:t>
            </w:r>
          </w:p>
        </w:tc>
      </w:tr>
      <w:tr w:rsidR="00B834A2" w:rsidRPr="00D34D77" w14:paraId="1C8F98A1" w14:textId="77777777" w:rsidTr="00D34D77">
        <w:tc>
          <w:tcPr>
            <w:tcW w:w="1851" w:type="dxa"/>
            <w:tcBorders>
              <w:top w:val="single" w:sz="4" w:space="0" w:color="auto"/>
            </w:tcBorders>
            <w:vAlign w:val="center"/>
          </w:tcPr>
          <w:p w14:paraId="427DB552" w14:textId="77777777" w:rsidR="00B834A2" w:rsidRPr="00D34D77" w:rsidRDefault="00B834A2" w:rsidP="00D34D77">
            <w:pPr>
              <w:spacing w:after="120"/>
              <w:jc w:val="both"/>
              <w:rPr>
                <w:sz w:val="20"/>
              </w:rPr>
            </w:pPr>
            <w:r w:rsidRPr="00D34D77">
              <w:rPr>
                <w:sz w:val="20"/>
              </w:rPr>
              <w:t>Աշտարակը</w:t>
            </w:r>
          </w:p>
        </w:tc>
        <w:tc>
          <w:tcPr>
            <w:tcW w:w="2083" w:type="dxa"/>
            <w:tcBorders>
              <w:top w:val="single" w:sz="4" w:space="0" w:color="auto"/>
            </w:tcBorders>
            <w:vAlign w:val="center"/>
          </w:tcPr>
          <w:p w14:paraId="6BA1ECB8" w14:textId="77777777" w:rsidR="00B834A2" w:rsidRPr="00D34D77" w:rsidRDefault="00B834A2" w:rsidP="00D34D77">
            <w:pPr>
              <w:spacing w:after="120"/>
              <w:jc w:val="center"/>
              <w:rPr>
                <w:sz w:val="20"/>
              </w:rPr>
            </w:pPr>
            <w:r w:rsidRPr="00D34D77">
              <w:rPr>
                <w:sz w:val="20"/>
              </w:rPr>
              <w:t>0-15</w:t>
            </w:r>
          </w:p>
        </w:tc>
        <w:tc>
          <w:tcPr>
            <w:tcW w:w="2126" w:type="dxa"/>
            <w:tcBorders>
              <w:top w:val="single" w:sz="4" w:space="0" w:color="auto"/>
            </w:tcBorders>
            <w:vAlign w:val="bottom"/>
          </w:tcPr>
          <w:p w14:paraId="3E033832" w14:textId="77777777" w:rsidR="00B834A2" w:rsidRPr="00D34D77" w:rsidRDefault="00B834A2" w:rsidP="00D34D77">
            <w:pPr>
              <w:spacing w:after="120"/>
              <w:jc w:val="center"/>
              <w:rPr>
                <w:sz w:val="20"/>
              </w:rPr>
            </w:pPr>
            <w:r w:rsidRPr="00D34D77">
              <w:rPr>
                <w:sz w:val="20"/>
              </w:rPr>
              <w:t>100</w:t>
            </w:r>
          </w:p>
        </w:tc>
      </w:tr>
      <w:tr w:rsidR="00B834A2" w:rsidRPr="00D34D77" w14:paraId="460CEB63" w14:textId="77777777" w:rsidTr="00D34D77">
        <w:tc>
          <w:tcPr>
            <w:tcW w:w="1851" w:type="dxa"/>
            <w:tcBorders>
              <w:top w:val="nil"/>
            </w:tcBorders>
            <w:vAlign w:val="center"/>
          </w:tcPr>
          <w:p w14:paraId="4BDF1062" w14:textId="77777777" w:rsidR="00B834A2" w:rsidRPr="00D34D77" w:rsidRDefault="00B834A2" w:rsidP="00D34D77">
            <w:pPr>
              <w:spacing w:after="120"/>
              <w:jc w:val="both"/>
              <w:rPr>
                <w:sz w:val="20"/>
              </w:rPr>
            </w:pPr>
          </w:p>
        </w:tc>
        <w:tc>
          <w:tcPr>
            <w:tcW w:w="2083" w:type="dxa"/>
            <w:tcBorders>
              <w:top w:val="nil"/>
            </w:tcBorders>
            <w:vAlign w:val="bottom"/>
          </w:tcPr>
          <w:p w14:paraId="47846CC6" w14:textId="77777777" w:rsidR="00B834A2" w:rsidRPr="00D34D77" w:rsidRDefault="00B834A2" w:rsidP="00D34D77">
            <w:pPr>
              <w:spacing w:after="120"/>
              <w:jc w:val="center"/>
              <w:rPr>
                <w:sz w:val="20"/>
              </w:rPr>
            </w:pPr>
            <w:r w:rsidRPr="00D34D77">
              <w:rPr>
                <w:sz w:val="20"/>
              </w:rPr>
              <w:t>15-36</w:t>
            </w:r>
          </w:p>
        </w:tc>
        <w:tc>
          <w:tcPr>
            <w:tcW w:w="2126" w:type="dxa"/>
            <w:tcBorders>
              <w:top w:val="nil"/>
            </w:tcBorders>
            <w:vAlign w:val="bottom"/>
          </w:tcPr>
          <w:p w14:paraId="3E4DB45B" w14:textId="77777777" w:rsidR="00B834A2" w:rsidRPr="00D34D77" w:rsidRDefault="00B834A2" w:rsidP="00D34D77">
            <w:pPr>
              <w:spacing w:after="120"/>
              <w:jc w:val="center"/>
              <w:rPr>
                <w:sz w:val="20"/>
              </w:rPr>
            </w:pPr>
            <w:r w:rsidRPr="00D34D77">
              <w:rPr>
                <w:sz w:val="20"/>
              </w:rPr>
              <w:t xml:space="preserve">100 </w:t>
            </w:r>
            <w:r w:rsidRPr="00D34D77">
              <w:rPr>
                <w:rFonts w:ascii="Times New Roman" w:hAnsi="Times New Roman" w:cs="Times New Roman"/>
                <w:sz w:val="20"/>
              </w:rPr>
              <w:t>→</w:t>
            </w:r>
            <w:r w:rsidRPr="00D34D77">
              <w:rPr>
                <w:sz w:val="20"/>
              </w:rPr>
              <w:t xml:space="preserve"> 225</w:t>
            </w:r>
          </w:p>
        </w:tc>
      </w:tr>
      <w:tr w:rsidR="00B834A2" w:rsidRPr="00D34D77" w14:paraId="3F0D1C14" w14:textId="77777777" w:rsidTr="00D34D77">
        <w:tc>
          <w:tcPr>
            <w:tcW w:w="1851" w:type="dxa"/>
            <w:tcBorders>
              <w:top w:val="nil"/>
            </w:tcBorders>
            <w:vAlign w:val="center"/>
          </w:tcPr>
          <w:p w14:paraId="78AF171E" w14:textId="77777777" w:rsidR="00B834A2" w:rsidRPr="00D34D77" w:rsidRDefault="00B834A2" w:rsidP="00D34D77">
            <w:pPr>
              <w:spacing w:after="120"/>
              <w:jc w:val="both"/>
              <w:rPr>
                <w:sz w:val="20"/>
              </w:rPr>
            </w:pPr>
          </w:p>
        </w:tc>
        <w:tc>
          <w:tcPr>
            <w:tcW w:w="2083" w:type="dxa"/>
            <w:tcBorders>
              <w:top w:val="nil"/>
            </w:tcBorders>
            <w:vAlign w:val="center"/>
          </w:tcPr>
          <w:p w14:paraId="7016D826" w14:textId="77777777" w:rsidR="00B834A2" w:rsidRPr="00D34D77" w:rsidRDefault="00B834A2" w:rsidP="00D34D77">
            <w:pPr>
              <w:spacing w:after="120"/>
              <w:jc w:val="center"/>
              <w:rPr>
                <w:sz w:val="20"/>
              </w:rPr>
            </w:pPr>
            <w:r w:rsidRPr="00D34D77">
              <w:rPr>
                <w:sz w:val="20"/>
              </w:rPr>
              <w:t>36-61</w:t>
            </w:r>
          </w:p>
        </w:tc>
        <w:tc>
          <w:tcPr>
            <w:tcW w:w="2126" w:type="dxa"/>
            <w:tcBorders>
              <w:top w:val="nil"/>
            </w:tcBorders>
            <w:vAlign w:val="center"/>
          </w:tcPr>
          <w:p w14:paraId="376F2C8E" w14:textId="77777777" w:rsidR="00B834A2" w:rsidRPr="00D34D77" w:rsidRDefault="00B834A2" w:rsidP="00D34D77">
            <w:pPr>
              <w:spacing w:after="120"/>
              <w:jc w:val="center"/>
              <w:rPr>
                <w:sz w:val="20"/>
              </w:rPr>
            </w:pPr>
            <w:r w:rsidRPr="00D34D77">
              <w:rPr>
                <w:sz w:val="20"/>
              </w:rPr>
              <w:t>225</w:t>
            </w:r>
          </w:p>
        </w:tc>
      </w:tr>
      <w:tr w:rsidR="00B834A2" w:rsidRPr="00D34D77" w14:paraId="71E55327" w14:textId="77777777" w:rsidTr="00D34D77">
        <w:tc>
          <w:tcPr>
            <w:tcW w:w="3934" w:type="dxa"/>
            <w:gridSpan w:val="2"/>
            <w:tcBorders>
              <w:top w:val="nil"/>
            </w:tcBorders>
            <w:vAlign w:val="center"/>
          </w:tcPr>
          <w:p w14:paraId="74FAF298" w14:textId="77777777" w:rsidR="00B834A2" w:rsidRPr="00D34D77" w:rsidRDefault="00B834A2" w:rsidP="00D34D77">
            <w:pPr>
              <w:spacing w:after="120"/>
              <w:jc w:val="both"/>
              <w:rPr>
                <w:sz w:val="20"/>
              </w:rPr>
            </w:pPr>
            <w:r w:rsidRPr="00D34D77">
              <w:rPr>
                <w:sz w:val="20"/>
              </w:rPr>
              <w:t>Փորձանմուշների ներմուծման բլոկը</w:t>
            </w:r>
          </w:p>
        </w:tc>
        <w:tc>
          <w:tcPr>
            <w:tcW w:w="2126" w:type="dxa"/>
            <w:tcBorders>
              <w:top w:val="nil"/>
            </w:tcBorders>
          </w:tcPr>
          <w:p w14:paraId="5A39AE6C" w14:textId="77777777" w:rsidR="00B834A2" w:rsidRPr="00D34D77" w:rsidRDefault="00B834A2" w:rsidP="00D34D77">
            <w:pPr>
              <w:spacing w:after="120"/>
              <w:jc w:val="center"/>
              <w:rPr>
                <w:sz w:val="20"/>
              </w:rPr>
            </w:pPr>
            <w:r w:rsidRPr="00D34D77">
              <w:rPr>
                <w:sz w:val="20"/>
              </w:rPr>
              <w:t>250</w:t>
            </w:r>
          </w:p>
        </w:tc>
      </w:tr>
      <w:tr w:rsidR="00B834A2" w:rsidRPr="00D34D77" w14:paraId="7D81050D" w14:textId="77777777" w:rsidTr="00D34D77">
        <w:tc>
          <w:tcPr>
            <w:tcW w:w="3934" w:type="dxa"/>
            <w:gridSpan w:val="2"/>
            <w:tcBorders>
              <w:top w:val="nil"/>
              <w:bottom w:val="single" w:sz="4" w:space="0" w:color="auto"/>
            </w:tcBorders>
            <w:vAlign w:val="center"/>
          </w:tcPr>
          <w:p w14:paraId="05B3EAEB" w14:textId="77777777" w:rsidR="00B834A2" w:rsidRPr="00D34D77" w:rsidRDefault="00B834A2" w:rsidP="00D34D77">
            <w:pPr>
              <w:spacing w:after="120"/>
              <w:jc w:val="both"/>
              <w:rPr>
                <w:sz w:val="20"/>
              </w:rPr>
            </w:pPr>
            <w:r w:rsidRPr="00D34D77">
              <w:rPr>
                <w:sz w:val="20"/>
              </w:rPr>
              <w:t>Դետեկտորը</w:t>
            </w:r>
          </w:p>
        </w:tc>
        <w:tc>
          <w:tcPr>
            <w:tcW w:w="2126" w:type="dxa"/>
            <w:tcBorders>
              <w:top w:val="nil"/>
              <w:bottom w:val="single" w:sz="4" w:space="0" w:color="auto"/>
            </w:tcBorders>
          </w:tcPr>
          <w:p w14:paraId="6247F4A3" w14:textId="77777777" w:rsidR="00B834A2" w:rsidRPr="00D34D77" w:rsidRDefault="00B834A2" w:rsidP="00D34D77">
            <w:pPr>
              <w:spacing w:after="120"/>
              <w:jc w:val="center"/>
              <w:rPr>
                <w:sz w:val="20"/>
              </w:rPr>
            </w:pPr>
            <w:r w:rsidRPr="00D34D77">
              <w:rPr>
                <w:sz w:val="20"/>
              </w:rPr>
              <w:t>250</w:t>
            </w:r>
          </w:p>
        </w:tc>
      </w:tr>
    </w:tbl>
    <w:p w14:paraId="59ABBCE1" w14:textId="77777777" w:rsidR="00063A76" w:rsidRDefault="00063A76" w:rsidP="008F5B6F">
      <w:pPr>
        <w:tabs>
          <w:tab w:val="left" w:pos="1134"/>
        </w:tabs>
        <w:spacing w:after="160" w:line="360" w:lineRule="auto"/>
        <w:ind w:firstLine="567"/>
        <w:jc w:val="both"/>
        <w:rPr>
          <w:lang w:val="en-US"/>
        </w:rPr>
      </w:pPr>
    </w:p>
    <w:p w14:paraId="2C79F901" w14:textId="77777777" w:rsidR="00B834A2" w:rsidRPr="00B834A2" w:rsidRDefault="00044E00" w:rsidP="008F5B6F">
      <w:pPr>
        <w:tabs>
          <w:tab w:val="left" w:pos="1134"/>
        </w:tabs>
        <w:spacing w:after="160" w:line="360" w:lineRule="auto"/>
        <w:ind w:firstLine="567"/>
        <w:jc w:val="both"/>
        <w:rPr>
          <w:i/>
        </w:rPr>
      </w:pPr>
      <w:r>
        <w:t>-</w:t>
      </w:r>
      <w:r w:rsidR="00D34D77" w:rsidRPr="00D34D77">
        <w:tab/>
      </w:r>
      <w:r w:rsidR="00B834A2" w:rsidRPr="00B834A2">
        <w:rPr>
          <w:i/>
        </w:rPr>
        <w:t>դետեկտորը՝ բոցային իոնիզացիոն.</w:t>
      </w:r>
    </w:p>
    <w:p w14:paraId="5E52591A" w14:textId="77777777" w:rsidR="00B834A2" w:rsidRDefault="00B834A2" w:rsidP="008F5B6F">
      <w:pPr>
        <w:tabs>
          <w:tab w:val="left" w:pos="1134"/>
        </w:tabs>
        <w:spacing w:after="160" w:line="360" w:lineRule="auto"/>
        <w:ind w:firstLine="567"/>
        <w:jc w:val="both"/>
        <w:rPr>
          <w:lang w:val="en-US"/>
        </w:rPr>
      </w:pPr>
      <w:r w:rsidRPr="00B834A2">
        <w:rPr>
          <w:i/>
        </w:rPr>
        <w:t>-</w:t>
      </w:r>
      <w:r w:rsidR="00D34D77">
        <w:rPr>
          <w:i/>
          <w:lang w:val="en-US"/>
        </w:rPr>
        <w:tab/>
      </w:r>
      <w:r w:rsidRPr="00B834A2">
        <w:rPr>
          <w:i/>
        </w:rPr>
        <w:t xml:space="preserve">ներմուծվող փորձանմուշի ծավալը՝ </w:t>
      </w:r>
      <w:r w:rsidRPr="00044E00">
        <w:t>1 մկլ։</w:t>
      </w:r>
    </w:p>
    <w:p w14:paraId="18312E10" w14:textId="77777777" w:rsidR="001516F5" w:rsidRPr="001516F5" w:rsidRDefault="001516F5" w:rsidP="008F5B6F">
      <w:pPr>
        <w:tabs>
          <w:tab w:val="left" w:pos="1134"/>
        </w:tabs>
        <w:spacing w:after="160" w:line="360" w:lineRule="auto"/>
        <w:ind w:firstLine="567"/>
        <w:jc w:val="both"/>
        <w:rPr>
          <w:lang w:val="en-US"/>
        </w:rPr>
      </w:pPr>
    </w:p>
    <w:p w14:paraId="31C0D9B4" w14:textId="77777777" w:rsidR="00B834A2" w:rsidRDefault="00B834A2" w:rsidP="008F5B6F">
      <w:pPr>
        <w:spacing w:after="160" w:line="360" w:lineRule="auto"/>
        <w:ind w:firstLine="567"/>
        <w:jc w:val="both"/>
        <w:rPr>
          <w:b/>
          <w:lang w:val="en-US"/>
        </w:rPr>
      </w:pPr>
      <w:r w:rsidRPr="00B834A2">
        <w:rPr>
          <w:b/>
        </w:rPr>
        <w:t>ՄԵԹՈԴ 3</w:t>
      </w:r>
    </w:p>
    <w:p w14:paraId="4E6CA994" w14:textId="77777777" w:rsidR="00B834A2" w:rsidRPr="00B834A2" w:rsidRDefault="00B834A2" w:rsidP="008F5B6F">
      <w:pPr>
        <w:spacing w:after="160" w:line="360" w:lineRule="auto"/>
        <w:ind w:firstLine="567"/>
        <w:jc w:val="both"/>
        <w:rPr>
          <w:i/>
        </w:rPr>
      </w:pPr>
      <w:r w:rsidRPr="00B834A2">
        <w:rPr>
          <w:i/>
        </w:rPr>
        <w:t xml:space="preserve">Մեթոդը կիրառելի չէ այն յուղերի համար, որոնք պարունակում են ճարպաթթուների գլիցերիդներ՝ էպօքսի-, հիդրոէպօքսի, հիդրոպերօքսի-, ալդեհիդային, կետոնային, ցիկլոպրոպիլային </w:t>
      </w:r>
      <w:r>
        <w:rPr>
          <w:i/>
        </w:rPr>
        <w:t>եւ</w:t>
      </w:r>
      <w:r w:rsidRPr="00B834A2">
        <w:rPr>
          <w:i/>
        </w:rPr>
        <w:t xml:space="preserve"> ցիկլոպրոպենիլային խմբերով, </w:t>
      </w:r>
      <w:r>
        <w:rPr>
          <w:i/>
        </w:rPr>
        <w:t>եւ</w:t>
      </w:r>
      <w:r w:rsidRPr="00B834A2">
        <w:rPr>
          <w:i/>
        </w:rPr>
        <w:t xml:space="preserve"> կապված են պոլիչհագեցած </w:t>
      </w:r>
      <w:r>
        <w:rPr>
          <w:i/>
        </w:rPr>
        <w:t>եւ</w:t>
      </w:r>
      <w:r w:rsidRPr="00B834A2">
        <w:rPr>
          <w:i/>
        </w:rPr>
        <w:t xml:space="preserve"> ացետիլենային բաղադրիչներով՝ այդ խմբերի մասնակի կամ ամբողջական ճեղքման հետ</w:t>
      </w:r>
      <w:r>
        <w:rPr>
          <w:i/>
        </w:rPr>
        <w:t>եւ</w:t>
      </w:r>
      <w:r w:rsidRPr="00B834A2">
        <w:rPr>
          <w:i/>
        </w:rPr>
        <w:t>անքով:</w:t>
      </w:r>
    </w:p>
    <w:p w14:paraId="39B26EC7" w14:textId="77777777" w:rsidR="00B834A2" w:rsidRPr="00B834A2" w:rsidRDefault="00B834A2" w:rsidP="008F5B6F">
      <w:pPr>
        <w:spacing w:after="160" w:line="360" w:lineRule="auto"/>
        <w:ind w:firstLine="567"/>
        <w:jc w:val="both"/>
      </w:pPr>
      <w:r w:rsidRPr="00B834A2">
        <w:rPr>
          <w:i/>
        </w:rPr>
        <w:t xml:space="preserve">Փորձարկվող լուծույթը: </w:t>
      </w:r>
      <w:r w:rsidRPr="00B834A2">
        <w:t>0,1 գ փորձարկվող յուղը դնում են 25 մլ տարողությամբ կոնաձ</w:t>
      </w:r>
      <w:r>
        <w:t>եւ</w:t>
      </w:r>
      <w:r w:rsidRPr="00B834A2">
        <w:t xml:space="preserve"> փորձանոթի մեջ, 2 մլ լուծույթի մեջ լուծում են Р անջուր մեթանոլի մեջ 20 գ/լ Р նատրիումի հիդրօքսիդ </w:t>
      </w:r>
      <w:r>
        <w:t>եւ</w:t>
      </w:r>
      <w:r w:rsidRPr="00B834A2">
        <w:t xml:space="preserve"> հետադարձ սառնարանով եռացնում են 30 րոպե: Այնուհետ</w:t>
      </w:r>
      <w:r>
        <w:t>եւ</w:t>
      </w:r>
      <w:r w:rsidRPr="00B834A2">
        <w:t xml:space="preserve"> սառնարանի միջով ավելացնում են Р մեթանոլի մեջ բորի տրիֆտորիդի 2,0 մլ լուծույթ </w:t>
      </w:r>
      <w:r>
        <w:t>եւ</w:t>
      </w:r>
      <w:r w:rsidRPr="00B834A2">
        <w:t xml:space="preserve"> եռացնում են 30 րոպե, ինչից հետո սառնարանի միջով ավելացնում են 4,0 մլ Р հեպտան </w:t>
      </w:r>
      <w:r>
        <w:t>եւ</w:t>
      </w:r>
      <w:r w:rsidRPr="00B834A2">
        <w:t xml:space="preserve"> եռացնում 5 րոպե: Խառնուրդը հովացնում են, ավելացնում 10,0 մլ Р նատրիումի քլորիդի հագեցած լուծույթ, թափահարում են 15 վայրկյան </w:t>
      </w:r>
      <w:r>
        <w:t>եւ</w:t>
      </w:r>
      <w:r w:rsidRPr="00B834A2">
        <w:t xml:space="preserve"> ավելացնում Р նատրիումի քլորիդի հագեցած լուծույթի այնպիսի ծավալ, որ վերին շերտը բարձրանա մինչ</w:t>
      </w:r>
      <w:r>
        <w:t>եւ</w:t>
      </w:r>
      <w:r w:rsidRPr="00B834A2">
        <w:t xml:space="preserve"> փորձանոթի բուկը: Ընտրում են 2,0 մլ վերին շերտը, դնում են բաժանիչ ձագարի </w:t>
      </w:r>
      <w:r w:rsidRPr="00B834A2">
        <w:lastRenderedPageBreak/>
        <w:t xml:space="preserve">մեջ, լվանում են Р ջրի երեք մասնաբաժիններով՝ յուրաքանչյուրը 2-ական մլ, </w:t>
      </w:r>
      <w:r>
        <w:t>եւ</w:t>
      </w:r>
      <w:r w:rsidRPr="00B834A2">
        <w:t xml:space="preserve"> չորացնում են Р անջուր նատրիումի սուլֆատի վրա:</w:t>
      </w:r>
    </w:p>
    <w:p w14:paraId="0D50A43C" w14:textId="77777777" w:rsidR="00B834A2" w:rsidRPr="00B834A2" w:rsidRDefault="00B834A2" w:rsidP="008F5B6F">
      <w:pPr>
        <w:spacing w:after="160" w:line="360" w:lineRule="auto"/>
        <w:ind w:firstLine="567"/>
        <w:jc w:val="both"/>
      </w:pPr>
      <w:r w:rsidRPr="00044E00">
        <w:rPr>
          <w:i/>
        </w:rPr>
        <w:t>Համեմատման լուծույթները եւ քրոմատագրերի գնահատումը</w:t>
      </w:r>
      <w:r w:rsidRPr="00B834A2">
        <w:t>: Մասնավոր դեղագրքային հոդվածում այլ ցուցումների բացակայության դեպքում հետ</w:t>
      </w:r>
      <w:r>
        <w:t>եւ</w:t>
      </w:r>
      <w:r w:rsidRPr="00B834A2">
        <w:t>ում են 1-ին մեթոդի մեջ բերված ցուցումներին:</w:t>
      </w:r>
    </w:p>
    <w:p w14:paraId="69B94066" w14:textId="77777777" w:rsidR="00B834A2" w:rsidRPr="00B834A2" w:rsidRDefault="00B834A2" w:rsidP="008F5B6F">
      <w:pPr>
        <w:spacing w:after="160" w:line="360" w:lineRule="auto"/>
        <w:jc w:val="both"/>
      </w:pPr>
    </w:p>
    <w:p w14:paraId="02E88883" w14:textId="77777777" w:rsidR="00B834A2" w:rsidRPr="00044E00" w:rsidRDefault="00B834A2" w:rsidP="008F5B6F">
      <w:pPr>
        <w:spacing w:after="160" w:line="360" w:lineRule="auto"/>
        <w:jc w:val="right"/>
        <w:rPr>
          <w:b/>
          <w:sz w:val="20"/>
        </w:rPr>
      </w:pPr>
      <w:r w:rsidRPr="00044E00">
        <w:rPr>
          <w:b/>
          <w:sz w:val="20"/>
        </w:rPr>
        <w:t>201080025-2022</w:t>
      </w:r>
    </w:p>
    <w:p w14:paraId="2DC9BBF1" w14:textId="77777777" w:rsidR="00783242" w:rsidRPr="002E52D1" w:rsidRDefault="00783242" w:rsidP="008F5B6F">
      <w:pPr>
        <w:spacing w:after="160" w:line="360" w:lineRule="auto"/>
        <w:jc w:val="right"/>
        <w:rPr>
          <w:b/>
        </w:rPr>
      </w:pPr>
    </w:p>
    <w:p w14:paraId="2F3BE8CB" w14:textId="77777777" w:rsidR="00B834A2" w:rsidRPr="00B834A2" w:rsidRDefault="00B834A2" w:rsidP="00CE5DEC">
      <w:pPr>
        <w:tabs>
          <w:tab w:val="left" w:pos="1701"/>
        </w:tabs>
        <w:spacing w:after="160" w:line="360" w:lineRule="auto"/>
        <w:ind w:firstLine="567"/>
        <w:jc w:val="both"/>
        <w:rPr>
          <w:b/>
        </w:rPr>
      </w:pPr>
      <w:r w:rsidRPr="00B834A2">
        <w:rPr>
          <w:b/>
        </w:rPr>
        <w:t>2.1.8.25.</w:t>
      </w:r>
      <w:r w:rsidR="00044E00">
        <w:rPr>
          <w:b/>
        </w:rPr>
        <w:tab/>
      </w:r>
      <w:r w:rsidRPr="00B834A2">
        <w:rPr>
          <w:b/>
        </w:rPr>
        <w:t>Պոլիչհագեցած ճարպաթթուները՝ օմեգա-3 թթուներ պարունակող յուղերում</w:t>
      </w:r>
    </w:p>
    <w:p w14:paraId="285E6EDE" w14:textId="77777777" w:rsidR="00B834A2" w:rsidRPr="00B834A2" w:rsidRDefault="00B834A2" w:rsidP="008F5B6F">
      <w:pPr>
        <w:spacing w:after="160" w:line="360" w:lineRule="auto"/>
        <w:ind w:firstLine="567"/>
        <w:jc w:val="both"/>
      </w:pPr>
      <w:r w:rsidRPr="00B834A2">
        <w:t xml:space="preserve">Փորձարկումը կարող է կիրառվել էյկոզապենտաենաթթվի (ԷՊԹ), դոկոզահեքսաենաթթվի (ԴՀԹ) </w:t>
      </w:r>
      <w:r>
        <w:t>եւ</w:t>
      </w:r>
      <w:r w:rsidRPr="00B834A2">
        <w:t xml:space="preserve"> տրիգլիցերիդների ու բարդ եթերների ձ</w:t>
      </w:r>
      <w:r>
        <w:t>եւ</w:t>
      </w:r>
      <w:r w:rsidRPr="00B834A2">
        <w:t>ով օմեգա-3 թթուների տարբեր կոնցենտրացիաներով դեղամիջոցների մեջ օմեգա-3 պոլիչհագեցած ճարպաթթուների ընդհանուր պարունակության քանակական որոշման համար: Տրիգլիցերիդների ձ</w:t>
      </w:r>
      <w:r>
        <w:t>եւ</w:t>
      </w:r>
      <w:r w:rsidRPr="00B834A2">
        <w:t xml:space="preserve">ով օմեգա-3 թթուները պարունակվում են </w:t>
      </w:r>
      <w:r w:rsidRPr="003244DF">
        <w:rPr>
          <w:spacing w:val="4"/>
        </w:rPr>
        <w:t>ձկան յուղից, ձկների լյարդի յուղից արտադրանքի, ջրիմուռների յուղերի եւ օմեգա-3 թ</w:t>
      </w:r>
      <w:r w:rsidRPr="00B834A2">
        <w:t>թուների կոնցենտրատների մեջ: Փորձարկման արդյունքներն արտահայտում են որպես տրիգլիցերիդների կամ էթիլային եթերների պարունակություն:</w:t>
      </w:r>
    </w:p>
    <w:p w14:paraId="49CFFA30" w14:textId="77777777" w:rsidR="00B834A2" w:rsidRPr="00B834A2" w:rsidRDefault="00B834A2" w:rsidP="008F5B6F">
      <w:pPr>
        <w:spacing w:after="160" w:line="360" w:lineRule="auto"/>
        <w:ind w:firstLine="567"/>
        <w:jc w:val="both"/>
      </w:pPr>
      <w:r w:rsidRPr="00B834A2">
        <w:t>Օմեգա-3 պոլիչհագեցած ճարպաթթուների քանակական որոշման համար կիրառում են բոցային իոնիզացիայի դետեկտմամբ գազային քրոմատագրման մեթոդը (2.1.2.27):</w:t>
      </w:r>
    </w:p>
    <w:p w14:paraId="4ABDDE7A" w14:textId="77777777" w:rsidR="00B834A2" w:rsidRPr="004A7CC9" w:rsidRDefault="00B834A2" w:rsidP="008F5B6F">
      <w:pPr>
        <w:spacing w:after="160" w:line="360" w:lineRule="auto"/>
        <w:ind w:firstLine="567"/>
        <w:jc w:val="both"/>
      </w:pPr>
      <w:r w:rsidRPr="00B834A2">
        <w:t xml:space="preserve">Փորձարկումներն անհրաժեշտ է կատարել հնարավորինս արագ՝ թույլ չտալով ճառագայթային լույսի, օքսիդարարների, օքսիդացման կատալիզատորների (օրինակ՝ պղնձի </w:t>
      </w:r>
      <w:r>
        <w:t>եւ</w:t>
      </w:r>
      <w:r w:rsidRPr="00B834A2">
        <w:t xml:space="preserve"> երկաթի) </w:t>
      </w:r>
      <w:r>
        <w:t>եւ</w:t>
      </w:r>
      <w:r w:rsidRPr="00B834A2">
        <w:t xml:space="preserve"> օդի ազդեցությունը:</w:t>
      </w:r>
    </w:p>
    <w:p w14:paraId="710CBC65" w14:textId="77777777" w:rsidR="008F5B6F" w:rsidRPr="004A7CC9" w:rsidRDefault="008F5B6F" w:rsidP="008F5B6F">
      <w:pPr>
        <w:spacing w:after="160" w:line="360" w:lineRule="auto"/>
        <w:ind w:firstLine="567"/>
        <w:jc w:val="both"/>
      </w:pPr>
    </w:p>
    <w:p w14:paraId="10A452E0" w14:textId="77777777" w:rsidR="00B834A2" w:rsidRPr="00DE4F37" w:rsidRDefault="00B834A2" w:rsidP="008F5B6F">
      <w:pPr>
        <w:spacing w:after="160" w:line="360" w:lineRule="auto"/>
        <w:ind w:firstLine="567"/>
        <w:jc w:val="both"/>
      </w:pPr>
      <w:r w:rsidRPr="00B834A2">
        <w:lastRenderedPageBreak/>
        <w:t xml:space="preserve">Փորձարկումն անցկացնում են փորձարկվող նմուշների մեջ (аll-Z)-էյկոզա-5,8,11,14,17-պենտաենաթթվի (ԷՊԹ, С20:5 n-3) </w:t>
      </w:r>
      <w:r>
        <w:t>եւ</w:t>
      </w:r>
      <w:r w:rsidRPr="00B834A2">
        <w:t xml:space="preserve"> (аll-Z)-դոկոզա-4,7,10,13,16,19-հեքսաենաթթվի (ԴՀԹ, С22:6 n-3) էթիլային եթերներով կամ մեթիլային եթերներով (տրիգլիցերիդների դերիվացումից հետո՝ 2-րդ փուլ):</w:t>
      </w:r>
    </w:p>
    <w:p w14:paraId="0B0C094F" w14:textId="77777777" w:rsidR="00B834A2" w:rsidRPr="00B834A2" w:rsidRDefault="00B834A2" w:rsidP="00D34D77">
      <w:pPr>
        <w:spacing w:after="160" w:line="360" w:lineRule="auto"/>
        <w:ind w:firstLine="567"/>
        <w:jc w:val="both"/>
        <w:rPr>
          <w:lang w:val="en-US"/>
        </w:rPr>
      </w:pPr>
      <w:r w:rsidRPr="00B834A2">
        <w:t>Աղյուսակ 2.1.8.25-1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98"/>
        <w:gridCol w:w="2932"/>
      </w:tblGrid>
      <w:tr w:rsidR="00B834A2" w:rsidRPr="00D34D77" w14:paraId="7AA2A6DA" w14:textId="77777777" w:rsidTr="00044E00">
        <w:trPr>
          <w:trHeight w:val="578"/>
          <w:jc w:val="center"/>
        </w:trPr>
        <w:tc>
          <w:tcPr>
            <w:tcW w:w="3498" w:type="dxa"/>
            <w:tcBorders>
              <w:top w:val="single" w:sz="4" w:space="0" w:color="auto"/>
            </w:tcBorders>
            <w:shd w:val="clear" w:color="auto" w:fill="FFFFFF"/>
          </w:tcPr>
          <w:p w14:paraId="67CDDC6F" w14:textId="77777777" w:rsidR="00B834A2" w:rsidRPr="00D34D77" w:rsidRDefault="00B834A2" w:rsidP="00044E00">
            <w:pPr>
              <w:spacing w:after="120"/>
              <w:jc w:val="center"/>
              <w:rPr>
                <w:sz w:val="20"/>
              </w:rPr>
            </w:pPr>
            <w:r w:rsidRPr="00D34D77">
              <w:rPr>
                <w:sz w:val="20"/>
              </w:rPr>
              <w:t>Մոտավոր հանրագումարը</w:t>
            </w:r>
            <w:r w:rsidR="00044E00">
              <w:rPr>
                <w:sz w:val="20"/>
              </w:rPr>
              <w:t xml:space="preserve"> </w:t>
            </w:r>
            <w:r w:rsidR="00044E00">
              <w:rPr>
                <w:sz w:val="20"/>
              </w:rPr>
              <w:br/>
            </w:r>
            <w:r w:rsidRPr="00D34D77">
              <w:rPr>
                <w:sz w:val="20"/>
              </w:rPr>
              <w:t>ԷՊԹ + ԴՀԹ (%)</w:t>
            </w:r>
          </w:p>
        </w:tc>
        <w:tc>
          <w:tcPr>
            <w:tcW w:w="2932" w:type="dxa"/>
            <w:tcBorders>
              <w:top w:val="single" w:sz="4" w:space="0" w:color="auto"/>
            </w:tcBorders>
            <w:shd w:val="clear" w:color="auto" w:fill="FFFFFF"/>
          </w:tcPr>
          <w:p w14:paraId="5F8E8C21" w14:textId="77777777" w:rsidR="00B834A2" w:rsidRPr="00D34D77" w:rsidRDefault="00B834A2" w:rsidP="00D34D77">
            <w:pPr>
              <w:spacing w:after="120"/>
              <w:jc w:val="center"/>
              <w:rPr>
                <w:sz w:val="20"/>
              </w:rPr>
            </w:pPr>
            <w:r w:rsidRPr="00D34D77">
              <w:rPr>
                <w:sz w:val="20"/>
              </w:rPr>
              <w:t>Փորձարկվող կշռանմուշը (գ)</w:t>
            </w:r>
          </w:p>
        </w:tc>
      </w:tr>
      <w:tr w:rsidR="00B834A2" w:rsidRPr="00D34D77" w14:paraId="6756EFF9" w14:textId="77777777" w:rsidTr="00D34D77">
        <w:trPr>
          <w:jc w:val="center"/>
        </w:trPr>
        <w:tc>
          <w:tcPr>
            <w:tcW w:w="3498" w:type="dxa"/>
            <w:tcBorders>
              <w:top w:val="single" w:sz="4" w:space="0" w:color="auto"/>
            </w:tcBorders>
            <w:shd w:val="clear" w:color="auto" w:fill="FFFFFF"/>
          </w:tcPr>
          <w:p w14:paraId="4CE7E35E" w14:textId="77777777" w:rsidR="00B834A2" w:rsidRPr="00D34D77" w:rsidRDefault="00044E00" w:rsidP="00D34D77">
            <w:pPr>
              <w:spacing w:after="120"/>
              <w:jc w:val="center"/>
              <w:rPr>
                <w:sz w:val="20"/>
              </w:rPr>
            </w:pPr>
            <w:r>
              <w:rPr>
                <w:sz w:val="20"/>
              </w:rPr>
              <w:t>30-</w:t>
            </w:r>
            <w:r w:rsidR="00B834A2" w:rsidRPr="00D34D77">
              <w:rPr>
                <w:sz w:val="20"/>
              </w:rPr>
              <w:t>50</w:t>
            </w:r>
          </w:p>
        </w:tc>
        <w:tc>
          <w:tcPr>
            <w:tcW w:w="2932" w:type="dxa"/>
            <w:tcBorders>
              <w:top w:val="single" w:sz="4" w:space="0" w:color="auto"/>
            </w:tcBorders>
            <w:shd w:val="clear" w:color="auto" w:fill="FFFFFF"/>
          </w:tcPr>
          <w:p w14:paraId="770A75D2" w14:textId="77777777" w:rsidR="00B834A2" w:rsidRPr="00D34D77" w:rsidRDefault="00B834A2" w:rsidP="00D34D77">
            <w:pPr>
              <w:spacing w:after="120"/>
              <w:jc w:val="center"/>
              <w:rPr>
                <w:sz w:val="20"/>
              </w:rPr>
            </w:pPr>
            <w:r w:rsidRPr="00D34D77">
              <w:rPr>
                <w:sz w:val="20"/>
              </w:rPr>
              <w:t>0,4-0,5</w:t>
            </w:r>
          </w:p>
        </w:tc>
      </w:tr>
      <w:tr w:rsidR="00B834A2" w:rsidRPr="00D34D77" w14:paraId="35C8C150" w14:textId="77777777" w:rsidTr="00D34D77">
        <w:trPr>
          <w:jc w:val="center"/>
        </w:trPr>
        <w:tc>
          <w:tcPr>
            <w:tcW w:w="3498" w:type="dxa"/>
            <w:shd w:val="clear" w:color="auto" w:fill="FFFFFF"/>
          </w:tcPr>
          <w:p w14:paraId="0D4118E0" w14:textId="77777777" w:rsidR="00B834A2" w:rsidRPr="00D34D77" w:rsidRDefault="00B834A2" w:rsidP="00D34D77">
            <w:pPr>
              <w:spacing w:after="120"/>
              <w:jc w:val="center"/>
              <w:rPr>
                <w:sz w:val="20"/>
              </w:rPr>
            </w:pPr>
            <w:r w:rsidRPr="00D34D77">
              <w:rPr>
                <w:sz w:val="20"/>
              </w:rPr>
              <w:t>50-70</w:t>
            </w:r>
          </w:p>
        </w:tc>
        <w:tc>
          <w:tcPr>
            <w:tcW w:w="2932" w:type="dxa"/>
            <w:shd w:val="clear" w:color="auto" w:fill="FFFFFF"/>
          </w:tcPr>
          <w:p w14:paraId="1563EEB1" w14:textId="77777777" w:rsidR="00B834A2" w:rsidRPr="00D34D77" w:rsidRDefault="00B834A2" w:rsidP="00D34D77">
            <w:pPr>
              <w:spacing w:after="120"/>
              <w:jc w:val="center"/>
              <w:rPr>
                <w:sz w:val="20"/>
              </w:rPr>
            </w:pPr>
            <w:r w:rsidRPr="00D34D77">
              <w:rPr>
                <w:sz w:val="20"/>
              </w:rPr>
              <w:t>0,3</w:t>
            </w:r>
          </w:p>
        </w:tc>
      </w:tr>
      <w:tr w:rsidR="00B834A2" w:rsidRPr="00D34D77" w14:paraId="65327202" w14:textId="77777777" w:rsidTr="00D34D77">
        <w:trPr>
          <w:jc w:val="center"/>
        </w:trPr>
        <w:tc>
          <w:tcPr>
            <w:tcW w:w="3498" w:type="dxa"/>
            <w:tcBorders>
              <w:bottom w:val="single" w:sz="4" w:space="0" w:color="auto"/>
            </w:tcBorders>
            <w:shd w:val="clear" w:color="auto" w:fill="FFFFFF"/>
          </w:tcPr>
          <w:p w14:paraId="71ACD8B3" w14:textId="77777777" w:rsidR="00B834A2" w:rsidRPr="00D34D77" w:rsidRDefault="00B834A2" w:rsidP="00D34D77">
            <w:pPr>
              <w:spacing w:after="120"/>
              <w:jc w:val="center"/>
              <w:rPr>
                <w:sz w:val="20"/>
              </w:rPr>
            </w:pPr>
            <w:r w:rsidRPr="00D34D77">
              <w:rPr>
                <w:sz w:val="20"/>
              </w:rPr>
              <w:t>70-90</w:t>
            </w:r>
          </w:p>
        </w:tc>
        <w:tc>
          <w:tcPr>
            <w:tcW w:w="2932" w:type="dxa"/>
            <w:tcBorders>
              <w:bottom w:val="single" w:sz="4" w:space="0" w:color="auto"/>
            </w:tcBorders>
            <w:shd w:val="clear" w:color="auto" w:fill="FFFFFF"/>
          </w:tcPr>
          <w:p w14:paraId="0F02458A" w14:textId="77777777" w:rsidR="00B834A2" w:rsidRPr="00D34D77" w:rsidRDefault="00B834A2" w:rsidP="00D34D77">
            <w:pPr>
              <w:spacing w:after="120"/>
              <w:jc w:val="center"/>
              <w:rPr>
                <w:sz w:val="20"/>
              </w:rPr>
            </w:pPr>
            <w:r w:rsidRPr="00D34D77">
              <w:rPr>
                <w:sz w:val="20"/>
              </w:rPr>
              <w:t>0,25</w:t>
            </w:r>
          </w:p>
        </w:tc>
      </w:tr>
    </w:tbl>
    <w:p w14:paraId="5B4C9D61" w14:textId="77777777" w:rsidR="00B834A2" w:rsidRPr="00B834A2" w:rsidRDefault="00B834A2" w:rsidP="00B834A2">
      <w:pPr>
        <w:spacing w:after="160" w:line="360" w:lineRule="auto"/>
        <w:jc w:val="both"/>
      </w:pPr>
    </w:p>
    <w:p w14:paraId="253E663C" w14:textId="77777777" w:rsidR="00B834A2" w:rsidRPr="00B834A2" w:rsidRDefault="00B834A2" w:rsidP="00D34D77">
      <w:pPr>
        <w:spacing w:after="160" w:line="360" w:lineRule="auto"/>
        <w:ind w:firstLine="567"/>
        <w:jc w:val="both"/>
        <w:rPr>
          <w:i/>
        </w:rPr>
      </w:pPr>
      <w:r w:rsidRPr="00B834A2">
        <w:t xml:space="preserve">Ներքին ստանդարտը՝ </w:t>
      </w:r>
      <w:r w:rsidRPr="00B834A2">
        <w:rPr>
          <w:i/>
        </w:rPr>
        <w:t>Р մեթիլտրիկոզանոատ:</w:t>
      </w:r>
    </w:p>
    <w:p w14:paraId="65E4D706" w14:textId="77777777" w:rsidR="00B834A2" w:rsidRPr="006B7DC5" w:rsidRDefault="00B834A2" w:rsidP="00D34D77">
      <w:pPr>
        <w:spacing w:after="160" w:line="360" w:lineRule="auto"/>
        <w:ind w:firstLine="567"/>
        <w:jc w:val="both"/>
      </w:pPr>
      <w:r w:rsidRPr="00B834A2">
        <w:t>Բոլոր փորձարկվող լուծույթները պատրաստում են երկու օրինակից:</w:t>
      </w:r>
    </w:p>
    <w:p w14:paraId="1719E91C" w14:textId="77777777" w:rsidR="00B834A2" w:rsidRPr="00B834A2" w:rsidRDefault="00B834A2" w:rsidP="00D34D77">
      <w:pPr>
        <w:spacing w:after="160" w:line="360" w:lineRule="auto"/>
        <w:ind w:firstLine="567"/>
        <w:jc w:val="both"/>
      </w:pPr>
      <w:r w:rsidRPr="00B834A2">
        <w:t>ՓՈՒԼ 1.</w:t>
      </w:r>
    </w:p>
    <w:p w14:paraId="5810882D" w14:textId="77777777" w:rsidR="00B834A2" w:rsidRPr="00B834A2" w:rsidRDefault="00B834A2" w:rsidP="00D34D77">
      <w:pPr>
        <w:spacing w:after="160" w:line="360" w:lineRule="auto"/>
        <w:ind w:firstLine="567"/>
        <w:jc w:val="both"/>
      </w:pPr>
      <w:r w:rsidRPr="00B834A2">
        <w:rPr>
          <w:i/>
        </w:rPr>
        <w:t>(Ա) փորձարկվող լուծույթ:</w:t>
      </w:r>
      <w:r w:rsidRPr="00B834A2">
        <w:t xml:space="preserve"> Փորձարկվող կշռանմուշը՝ 2.1.8.25.-1 աղյուսակին համապատասխան, </w:t>
      </w:r>
      <w:r>
        <w:t>եւ</w:t>
      </w:r>
      <w:r w:rsidRPr="00B834A2">
        <w:t xml:space="preserve"> 70,0 մգ ներքին ստանդարտը լուծում են Р տրիմեթիլպենտանի մեջ լուծված՝ Р բութիլհիդրօքսիտոլուոլի 50 մգ/լ լուծույթի մեջ </w:t>
      </w:r>
      <w:r>
        <w:t>եւ</w:t>
      </w:r>
      <w:r w:rsidRPr="00B834A2">
        <w:t xml:space="preserve"> ծավալը մի</w:t>
      </w:r>
      <w:r>
        <w:t>եւ</w:t>
      </w:r>
      <w:r w:rsidRPr="00B834A2">
        <w:t>նույն լուծույթով հասցնում են 10,0 մլ-ի: Ներքին ստանդարտը լուծելու համար թույլատրվում է այն թույլ տաքացնել մինչ</w:t>
      </w:r>
      <w:r>
        <w:t>եւ</w:t>
      </w:r>
      <w:r w:rsidRPr="00B834A2">
        <w:t xml:space="preserve"> 60 °С: Ստացված փորձարկվող (ա) լուծույթն օգտագործում են էթիլային եթերների փորձարկումների անցկացման համար: Տրիգլիցերիդները որոշելու համար փորձարկումը շարունակել 2-րդ փուլի համաձայն:</w:t>
      </w:r>
    </w:p>
    <w:p w14:paraId="0D44F83F" w14:textId="77777777" w:rsidR="00063A76" w:rsidRPr="00DE4F37" w:rsidRDefault="00B834A2" w:rsidP="00D34D77">
      <w:pPr>
        <w:spacing w:after="160" w:line="360" w:lineRule="auto"/>
        <w:ind w:firstLine="567"/>
        <w:jc w:val="both"/>
      </w:pPr>
      <w:r w:rsidRPr="00B834A2">
        <w:rPr>
          <w:i/>
        </w:rPr>
        <w:t>(Բ) փորձարկվող լուծույթ:</w:t>
      </w:r>
      <w:r w:rsidRPr="00B834A2">
        <w:t xml:space="preserve"> Փորձարկվող կշռանմուշը, 2.1.8.25.-1 աղյուսակին համապատասխան, լուծում են Р տրիմեթիլպենտանի մեջ լուծված՝ Р բութիլհիդրօքսիտոլուոլի 50 մգ/մլ լուծույթի մեջ </w:t>
      </w:r>
      <w:r>
        <w:t>եւ</w:t>
      </w:r>
      <w:r w:rsidRPr="00B834A2">
        <w:t xml:space="preserve"> ծավալը մի</w:t>
      </w:r>
      <w:r>
        <w:t>եւ</w:t>
      </w:r>
      <w:r w:rsidRPr="00B834A2">
        <w:t>նույն լուծույթով հասցնում են 10,0 մլ-ի: Ստացված (բ) լուծույթն օգտագործում են էթիլային եթերների փորձարկումների անցկացման համար: Տրիգլիցերիդները որոշելու համար փորձարկումը շարունակել 2-րդ փուլի համաձայն:</w:t>
      </w:r>
    </w:p>
    <w:p w14:paraId="29F450D2" w14:textId="77777777" w:rsidR="00B834A2" w:rsidRPr="00B834A2" w:rsidRDefault="00B834A2" w:rsidP="00D34D77">
      <w:pPr>
        <w:spacing w:after="160" w:line="360" w:lineRule="auto"/>
        <w:ind w:firstLine="567"/>
        <w:jc w:val="both"/>
      </w:pPr>
      <w:r w:rsidRPr="00B834A2">
        <w:lastRenderedPageBreak/>
        <w:t>ՓՈՒԼ 2.</w:t>
      </w:r>
    </w:p>
    <w:p w14:paraId="1CCD4A27" w14:textId="77777777" w:rsidR="00B834A2" w:rsidRPr="00B834A2" w:rsidRDefault="00B834A2" w:rsidP="00D34D77">
      <w:pPr>
        <w:spacing w:after="160" w:line="360" w:lineRule="auto"/>
        <w:ind w:firstLine="567"/>
        <w:jc w:val="both"/>
      </w:pPr>
      <w:r w:rsidRPr="00B834A2">
        <w:t>Այնուհետ</w:t>
      </w:r>
      <w:r>
        <w:t>եւ</w:t>
      </w:r>
      <w:r w:rsidRPr="00B834A2">
        <w:t xml:space="preserve"> առանձին կվարցային փորձասրվակների մեջ ներմուծում են 1-ին փուլում ստացված՝ 20-ական մլ (ա) </w:t>
      </w:r>
      <w:r>
        <w:t>եւ</w:t>
      </w:r>
      <w:r w:rsidRPr="00B834A2">
        <w:t xml:space="preserve"> (բ) փորձարկվող լուծույթները: Լուծիչի գոլորշիացման համար լուծույթների միջով անցկացնում են Р ազոտի թույլ հոսք: Ավելացնում են Р մեթանոլի մեջ (20 գ/լ) Р նատրիումի հիդրօքսիդի 1,5 մլ լուծույթ, լուծույթի վրա ստեղծում են Р ազոտի միջնաշերտ, կիպ փակում են պոլիտետրաֆտորէթիլենով լամինացված կափարիչով, մանրակրկիտ </w:t>
      </w:r>
      <w:r w:rsidRPr="00721707">
        <w:rPr>
          <w:spacing w:val="-4"/>
        </w:rPr>
        <w:t>խառնում են եւ</w:t>
      </w:r>
      <w:r w:rsidRPr="00B834A2">
        <w:t xml:space="preserve"> ջրային բաղնիքի վրա տաքացնում են 7 րոպե: Թողնում են հովանա:</w:t>
      </w:r>
    </w:p>
    <w:p w14:paraId="0AA2870C" w14:textId="77777777" w:rsidR="00B834A2" w:rsidRPr="00B834A2" w:rsidRDefault="00B834A2" w:rsidP="00D34D77">
      <w:pPr>
        <w:spacing w:after="160" w:line="360" w:lineRule="auto"/>
        <w:ind w:firstLine="567"/>
        <w:jc w:val="both"/>
      </w:pPr>
      <w:r w:rsidRPr="00B834A2">
        <w:t xml:space="preserve">Հովացած փորձասրվակների մեջ ավելացնում են Р մեթանոլի մեջ լուծված՝ բորի տրիքլորիդի 2 մլ լուծույթ, կրկին ստեղծում են Р ազոտի միջնաշերտ, կիպ փակում են խցանով, մանրակրկիտ խառնում են </w:t>
      </w:r>
      <w:r>
        <w:t>եւ</w:t>
      </w:r>
      <w:r w:rsidRPr="00B834A2">
        <w:t xml:space="preserve"> ջրային բաղնիքի վրա տաքացնում 30 րոպե: Հովացնում են մինչ</w:t>
      </w:r>
      <w:r>
        <w:t>եւ</w:t>
      </w:r>
      <w:r w:rsidRPr="00B834A2">
        <w:t xml:space="preserve"> 40-50 °С: Ավելացնում են 1 մլ Р տրիմեթիլպենտան, պատում են Р ազոտի շերտով, փակում խցանով </w:t>
      </w:r>
      <w:r>
        <w:t>եւ</w:t>
      </w:r>
      <w:r w:rsidRPr="00B834A2">
        <w:t xml:space="preserve"> ուժեղ խառնում են առնվազն 30 վայրկյան: Անմիջապես ավելացնում են 5 մլ Р նատրիումի քլորիդի հագեցած լուծույթ, պատում են Р ազոտով, փակում խցանով </w:t>
      </w:r>
      <w:r>
        <w:t>եւ</w:t>
      </w:r>
      <w:r w:rsidRPr="00B834A2">
        <w:t xml:space="preserve"> մանրակրկիտ խառնում առնվազն 15 վայրկյան: Վերին շերտը քանակապես տեղափոխում են առանձին փորձասրվակի մեջ: Մնացած լուծույթի մեջ ավելացնում են 1 մլ Р տրիմեթիլպենտան, խառնում են </w:t>
      </w:r>
      <w:r>
        <w:t>եւ</w:t>
      </w:r>
      <w:r w:rsidRPr="00B834A2">
        <w:t xml:space="preserve"> կրկին տեղափոխում: Տրիմեթիլպենտանի իրար միացրած լուծամզուկները լվանում են 1-ական մլ Р ջրի երկու մասնաբաժիններով </w:t>
      </w:r>
      <w:r>
        <w:t>եւ</w:t>
      </w:r>
      <w:r w:rsidRPr="00B834A2">
        <w:t xml:space="preserve"> չորացնում են Р անջուր նատրիումի սուլֆատի վրա: Չորացնելու համար էքսիկատորի հատակին դնում են Р անջուր նատրիումի սուլֆատ, վեր</w:t>
      </w:r>
      <w:r>
        <w:t>եւ</w:t>
      </w:r>
      <w:r w:rsidRPr="00B834A2">
        <w:t xml:space="preserve">ից տեղադրում են ցանց, որի վրա դնում են բաց փորձասրվակները, կիպ փակում են էքսիկատորը </w:t>
      </w:r>
      <w:r>
        <w:t>եւ</w:t>
      </w:r>
      <w:r w:rsidRPr="00B834A2">
        <w:t xml:space="preserve"> պահում մինչ</w:t>
      </w:r>
      <w:r>
        <w:t>եւ</w:t>
      </w:r>
      <w:r w:rsidRPr="00B834A2">
        <w:t xml:space="preserve"> չոր մնացորդի առաջացումը:</w:t>
      </w:r>
    </w:p>
    <w:p w14:paraId="182398C6" w14:textId="77777777" w:rsidR="00B834A2" w:rsidRPr="00B834A2" w:rsidRDefault="00B834A2" w:rsidP="00D34D77">
      <w:pPr>
        <w:spacing w:after="160" w:line="360" w:lineRule="auto"/>
        <w:ind w:firstLine="567"/>
        <w:jc w:val="both"/>
      </w:pPr>
      <w:r w:rsidRPr="00B834A2">
        <w:t xml:space="preserve">Համեմատման լուծույթները: (ա1) </w:t>
      </w:r>
      <w:r>
        <w:t>եւ</w:t>
      </w:r>
      <w:r w:rsidRPr="00B834A2">
        <w:t xml:space="preserve"> (ա2) համեմատման լուծույթները պատրաստում են երկու օրինակից, (գ) համեմատման լուծույթը պատրաստում են տրիգլիցերիդների համար միայն այն դեպքում, երբ (ա) փորձարկվող լուծույթի քրոմատագրի վրա ակնհայտորեն չի հայտնաբերվում տետրակոզ-15-ենաթթվի մեթիլային եթերի պիկը:</w:t>
      </w:r>
    </w:p>
    <w:p w14:paraId="28A8AD5C" w14:textId="77777777" w:rsidR="00B834A2" w:rsidRPr="00B834A2" w:rsidRDefault="00B834A2" w:rsidP="008F5B6F">
      <w:pPr>
        <w:tabs>
          <w:tab w:val="left" w:pos="1134"/>
        </w:tabs>
        <w:spacing w:after="160" w:line="336" w:lineRule="auto"/>
        <w:ind w:firstLine="567"/>
        <w:jc w:val="both"/>
      </w:pPr>
      <w:r w:rsidRPr="00B834A2">
        <w:lastRenderedPageBreak/>
        <w:t>-</w:t>
      </w:r>
      <w:r w:rsidR="00D34D77" w:rsidRPr="00D34D77">
        <w:tab/>
      </w:r>
      <w:r w:rsidRPr="00721707">
        <w:rPr>
          <w:i/>
        </w:rPr>
        <w:t>(</w:t>
      </w:r>
      <w:r w:rsidRPr="00721707">
        <w:rPr>
          <w:rFonts w:ascii="Cambria Math" w:hAnsi="Cambria Math" w:cs="Cambria Math"/>
          <w:i/>
        </w:rPr>
        <w:t>𝑎</w:t>
      </w:r>
      <w:r w:rsidRPr="00721707">
        <w:rPr>
          <w:i/>
        </w:rPr>
        <w:t>1) համեմատման լուծույթը</w:t>
      </w:r>
      <w:r w:rsidRPr="00B834A2">
        <w:t xml:space="preserve">: 70,0 մգ ներքին ստանդարտը </w:t>
      </w:r>
      <w:r>
        <w:t>եւ</w:t>
      </w:r>
      <w:r w:rsidRPr="00B834A2">
        <w:t xml:space="preserve"> 90,0 մգ ԵԱՏՄԴ ՍՆ էյկոզապենտաենաթթվի էթիլային եթերը լուծում են Р տրիմեթիլպենտանի մեջ լուծված՝ Р բութիլհիդրօքսիտոլուոլի 50 մգ/լ լուծույթի մեջ </w:t>
      </w:r>
      <w:r>
        <w:t>եւ</w:t>
      </w:r>
      <w:r w:rsidRPr="00B834A2">
        <w:t xml:space="preserve"> ծավալը մի</w:t>
      </w:r>
      <w:r>
        <w:t>եւ</w:t>
      </w:r>
      <w:r w:rsidRPr="00B834A2">
        <w:t>նույն լուծույթով հասցնում են 10,0 մլ-ի: Ներքին ստանդարտը լուծելու համար թույլատրվում է այն թույլ տաքացնել մինչ</w:t>
      </w:r>
      <w:r>
        <w:t>եւ</w:t>
      </w:r>
      <w:r w:rsidRPr="00B834A2">
        <w:t xml:space="preserve"> 60 °С:</w:t>
      </w:r>
    </w:p>
    <w:p w14:paraId="6A0F7C8F" w14:textId="77777777" w:rsidR="00B834A2" w:rsidRPr="00B834A2" w:rsidRDefault="00B834A2" w:rsidP="008F5B6F">
      <w:pPr>
        <w:tabs>
          <w:tab w:val="left" w:pos="1134"/>
        </w:tabs>
        <w:spacing w:after="160" w:line="336" w:lineRule="auto"/>
        <w:ind w:firstLine="567"/>
        <w:jc w:val="both"/>
      </w:pPr>
      <w:r w:rsidRPr="00B834A2">
        <w:t>-</w:t>
      </w:r>
      <w:r w:rsidR="00D34D77" w:rsidRPr="00D34D77">
        <w:tab/>
      </w:r>
      <w:r w:rsidRPr="00B834A2">
        <w:t>(</w:t>
      </w:r>
      <w:r w:rsidRPr="00721707">
        <w:rPr>
          <w:i/>
        </w:rPr>
        <w:t>ա2) համեմատման լուծույթը</w:t>
      </w:r>
      <w:r w:rsidRPr="00B834A2">
        <w:t xml:space="preserve">: 60,0 մգ ԵԱՏՄԴ ՍՆ դոկոզահեքսաենաթթվի էթիլային եթերը </w:t>
      </w:r>
      <w:r>
        <w:t>եւ</w:t>
      </w:r>
      <w:r w:rsidRPr="00B834A2">
        <w:t xml:space="preserve"> 70,0 մգ ներքին ստանդարտը լուծում են Р տրիմեթիլպենտանի մեջ լուծված՝ Р բութիլհիդրօքսիտոլուոլի 50 մգ/լ լուծույթի մեջ </w:t>
      </w:r>
      <w:r>
        <w:t>եւ</w:t>
      </w:r>
      <w:r w:rsidRPr="00B834A2">
        <w:t xml:space="preserve"> ծավալը մի</w:t>
      </w:r>
      <w:r>
        <w:t>եւ</w:t>
      </w:r>
      <w:r w:rsidRPr="00B834A2">
        <w:t>նույն լուծույթով հասցնում են 10,0 մլ-ի: Ներքին ստանդարտը լուծելու համար թույլատրվում է այն թույլ տաքացնել մինչ</w:t>
      </w:r>
      <w:r>
        <w:t>եւ</w:t>
      </w:r>
      <w:r w:rsidRPr="00B834A2">
        <w:t xml:space="preserve"> 60 °С: Էթիլային եթերների որոշման համար (ա) </w:t>
      </w:r>
      <w:r>
        <w:t>եւ</w:t>
      </w:r>
      <w:r w:rsidRPr="00B834A2">
        <w:t xml:space="preserve"> (բ) համեմատման լուծույթները պատրաստ են: Տրիգլիցերիդների որոշման համար 2-րդ փուլը շարունակել նույն կերպ, ինչ (ա) </w:t>
      </w:r>
      <w:r>
        <w:t>եւ</w:t>
      </w:r>
      <w:r w:rsidRPr="00B834A2">
        <w:t xml:space="preserve"> (բ) փորձարկվող նմուշների համար:</w:t>
      </w:r>
    </w:p>
    <w:p w14:paraId="6F2A677E" w14:textId="77777777" w:rsidR="00B834A2" w:rsidRPr="00DE4F37" w:rsidRDefault="00B834A2" w:rsidP="008F5B6F">
      <w:pPr>
        <w:tabs>
          <w:tab w:val="left" w:pos="1134"/>
        </w:tabs>
        <w:spacing w:after="160" w:line="336" w:lineRule="auto"/>
        <w:ind w:firstLine="567"/>
        <w:jc w:val="both"/>
      </w:pPr>
      <w:r w:rsidRPr="00B834A2">
        <w:t>-</w:t>
      </w:r>
      <w:r w:rsidR="00D34D77" w:rsidRPr="00D34D77">
        <w:tab/>
      </w:r>
      <w:r w:rsidRPr="00721707">
        <w:rPr>
          <w:i/>
        </w:rPr>
        <w:t>(բ) համեմատման լուծույթը</w:t>
      </w:r>
      <w:r w:rsidRPr="00B834A2">
        <w:t xml:space="preserve">: 0,300 մգ Р մեթիլարախիդատը, 0,300 մգ Р մեթիլբեգենատը, 0,300 մգ Р մեթիլպալմիտատը </w:t>
      </w:r>
      <w:r>
        <w:t>եւ</w:t>
      </w:r>
      <w:r w:rsidRPr="00B834A2">
        <w:t xml:space="preserve"> 0,300 մգ Р մեթիլստեարատը լուծում են Р տրիմեթիլպենտանի մեջ լուծված՝ Р բութիլհիդրօքսիտոլուոլի 50 մգ/լ լուծույթի մեջ </w:t>
      </w:r>
      <w:r>
        <w:t>եւ</w:t>
      </w:r>
      <w:r w:rsidRPr="00B834A2">
        <w:t xml:space="preserve"> ծավալը մի</w:t>
      </w:r>
      <w:r>
        <w:t>եւ</w:t>
      </w:r>
      <w:r w:rsidRPr="00B834A2">
        <w:t>նույն լուծույթով հասցնում են 10,0 մլ-ի.</w:t>
      </w:r>
    </w:p>
    <w:p w14:paraId="48D13C0B" w14:textId="77777777" w:rsidR="00B834A2" w:rsidRPr="00B834A2" w:rsidRDefault="00B834A2" w:rsidP="008F5B6F">
      <w:pPr>
        <w:tabs>
          <w:tab w:val="left" w:pos="1134"/>
        </w:tabs>
        <w:spacing w:after="160" w:line="336" w:lineRule="auto"/>
        <w:ind w:firstLine="567"/>
        <w:jc w:val="both"/>
      </w:pPr>
      <w:r w:rsidRPr="00B834A2">
        <w:t>-</w:t>
      </w:r>
      <w:r w:rsidR="00D34D77" w:rsidRPr="00D34D77">
        <w:tab/>
      </w:r>
      <w:r w:rsidRPr="00721707">
        <w:rPr>
          <w:i/>
        </w:rPr>
        <w:t>(գ) համեմատման լուծույթը:</w:t>
      </w:r>
      <w:r w:rsidRPr="00B834A2">
        <w:t xml:space="preserve"> 55,0 մգ Р դոկոզահեքսաենաթթվի մեթիլային եթերը </w:t>
      </w:r>
      <w:r>
        <w:t>եւ</w:t>
      </w:r>
      <w:r w:rsidRPr="00B834A2">
        <w:t xml:space="preserve"> 5,0 մգ Р տետրակոզ-15-ենաթթվի մեթիլային եթերը պարունակող կշռանմուշը լուծում են Р տրիմեթիլպենտանի մեջ լուծված՝ Р բութիլհիդրօքսիտոլուոլի 50 մգ/լ լուծույթի մեջ </w:t>
      </w:r>
      <w:r>
        <w:t>եւ</w:t>
      </w:r>
      <w:r w:rsidRPr="00B834A2">
        <w:t xml:space="preserve"> ծավալը մի</w:t>
      </w:r>
      <w:r>
        <w:t>եւ</w:t>
      </w:r>
      <w:r w:rsidRPr="00B834A2">
        <w:t>նույն լուծույթով հասցնում են 10,0 մլ-ի:</w:t>
      </w:r>
    </w:p>
    <w:p w14:paraId="1DF941CC" w14:textId="77777777" w:rsidR="00B834A2" w:rsidRPr="00721707" w:rsidRDefault="00B834A2" w:rsidP="008F5B6F">
      <w:pPr>
        <w:tabs>
          <w:tab w:val="left" w:pos="1134"/>
        </w:tabs>
        <w:spacing w:after="160" w:line="336" w:lineRule="auto"/>
        <w:ind w:firstLine="567"/>
        <w:jc w:val="both"/>
        <w:rPr>
          <w:i/>
        </w:rPr>
      </w:pPr>
      <w:r w:rsidRPr="00721707">
        <w:rPr>
          <w:i/>
        </w:rPr>
        <w:t>Քրոմատագրման պայմանները.</w:t>
      </w:r>
    </w:p>
    <w:p w14:paraId="7E5DF3BD" w14:textId="77777777" w:rsidR="00B834A2" w:rsidRPr="00B834A2" w:rsidRDefault="00B834A2" w:rsidP="008F5B6F">
      <w:pPr>
        <w:tabs>
          <w:tab w:val="left" w:pos="1134"/>
        </w:tabs>
        <w:spacing w:after="160" w:line="336" w:lineRule="auto"/>
        <w:ind w:firstLine="567"/>
        <w:jc w:val="both"/>
      </w:pPr>
      <w:r w:rsidRPr="00B834A2">
        <w:t>-</w:t>
      </w:r>
      <w:r w:rsidR="00D34D77" w:rsidRPr="00D34D77">
        <w:tab/>
      </w:r>
      <w:r w:rsidRPr="00721707">
        <w:rPr>
          <w:i/>
        </w:rPr>
        <w:t>աշտարակը՝</w:t>
      </w:r>
      <w:r w:rsidRPr="00B834A2">
        <w:t xml:space="preserve"> մազանոթային, առնվազն 25 մ երկարությամբ </w:t>
      </w:r>
      <w:r>
        <w:t>եւ</w:t>
      </w:r>
      <w:r w:rsidRPr="00B834A2">
        <w:t xml:space="preserve"> 0,25 մմ ներքին տրամագծով ջերմակայուն կվարցից, 0,2 մկմ հաստությամբ Р 20 000 մակրոգոլի շերտով պատված.</w:t>
      </w:r>
    </w:p>
    <w:p w14:paraId="755CA88C" w14:textId="77777777" w:rsidR="00B834A2" w:rsidRPr="00721707" w:rsidRDefault="00B834A2" w:rsidP="008F5B6F">
      <w:pPr>
        <w:tabs>
          <w:tab w:val="left" w:pos="1134"/>
        </w:tabs>
        <w:spacing w:after="160" w:line="336" w:lineRule="auto"/>
        <w:ind w:firstLine="567"/>
        <w:jc w:val="both"/>
        <w:rPr>
          <w:i/>
        </w:rPr>
      </w:pPr>
      <w:r w:rsidRPr="00B834A2">
        <w:t>-</w:t>
      </w:r>
      <w:r w:rsidR="00D34D77" w:rsidRPr="00D34D77">
        <w:tab/>
      </w:r>
      <w:r w:rsidRPr="00721707">
        <w:rPr>
          <w:i/>
        </w:rPr>
        <w:t>կրող գազը՝ քրոմատագրման համար Р ջրածին կամ քրոմատագրման համար Р հելիում.</w:t>
      </w:r>
    </w:p>
    <w:p w14:paraId="7EBAEBAE" w14:textId="77777777" w:rsidR="00B834A2" w:rsidRPr="00B834A2" w:rsidRDefault="00B834A2" w:rsidP="008F5B6F">
      <w:pPr>
        <w:tabs>
          <w:tab w:val="left" w:pos="1134"/>
        </w:tabs>
        <w:spacing w:after="160" w:line="360" w:lineRule="auto"/>
        <w:ind w:firstLine="567"/>
        <w:jc w:val="both"/>
      </w:pPr>
      <w:r w:rsidRPr="00B834A2">
        <w:t>-</w:t>
      </w:r>
      <w:r w:rsidR="00D34D77" w:rsidRPr="00D34D77">
        <w:tab/>
      </w:r>
      <w:r w:rsidRPr="00721707">
        <w:rPr>
          <w:i/>
        </w:rPr>
        <w:t xml:space="preserve">կրող գազի արագությունը՝ </w:t>
      </w:r>
      <w:r w:rsidRPr="00B834A2">
        <w:t>1 մլ/րոպե.</w:t>
      </w:r>
    </w:p>
    <w:p w14:paraId="63F076E8" w14:textId="77777777" w:rsidR="00B834A2" w:rsidRPr="00B834A2" w:rsidRDefault="00B834A2" w:rsidP="008F5B6F">
      <w:pPr>
        <w:tabs>
          <w:tab w:val="left" w:pos="1134"/>
        </w:tabs>
        <w:spacing w:after="160" w:line="360" w:lineRule="auto"/>
        <w:ind w:firstLine="567"/>
        <w:jc w:val="both"/>
      </w:pPr>
      <w:r w:rsidRPr="00B834A2">
        <w:lastRenderedPageBreak/>
        <w:t>-</w:t>
      </w:r>
      <w:r w:rsidR="00D34D77" w:rsidRPr="00D34D77">
        <w:tab/>
      </w:r>
      <w:r w:rsidRPr="00721707">
        <w:rPr>
          <w:i/>
        </w:rPr>
        <w:t>դետեկտորը՝</w:t>
      </w:r>
      <w:r w:rsidRPr="00B834A2">
        <w:t xml:space="preserve"> բոցային իոնիզացիոն.</w:t>
      </w:r>
    </w:p>
    <w:p w14:paraId="1B0E967F" w14:textId="77777777" w:rsidR="00B834A2" w:rsidRPr="00B834A2" w:rsidRDefault="00B834A2" w:rsidP="008F5B6F">
      <w:pPr>
        <w:tabs>
          <w:tab w:val="left" w:pos="1134"/>
        </w:tabs>
        <w:spacing w:after="160" w:line="360" w:lineRule="auto"/>
        <w:ind w:firstLine="567"/>
        <w:jc w:val="both"/>
      </w:pPr>
      <w:r w:rsidRPr="00B834A2">
        <w:t>-</w:t>
      </w:r>
      <w:r w:rsidR="00D34D77" w:rsidRPr="00D34D77">
        <w:tab/>
      </w:r>
      <w:r w:rsidRPr="00721707">
        <w:rPr>
          <w:i/>
        </w:rPr>
        <w:t>ներմուծվող փորձանմուշի ծավալը</w:t>
      </w:r>
      <w:r w:rsidRPr="00B834A2">
        <w:t>՝ 1 մլ.</w:t>
      </w:r>
    </w:p>
    <w:p w14:paraId="19B0556A" w14:textId="77777777" w:rsidR="00B834A2" w:rsidRPr="00B834A2" w:rsidRDefault="00B834A2" w:rsidP="008F5B6F">
      <w:pPr>
        <w:tabs>
          <w:tab w:val="left" w:pos="1134"/>
        </w:tabs>
        <w:spacing w:after="160" w:line="360" w:lineRule="auto"/>
        <w:ind w:firstLine="567"/>
        <w:jc w:val="both"/>
      </w:pPr>
      <w:r w:rsidRPr="00B834A2">
        <w:t>-</w:t>
      </w:r>
      <w:r w:rsidR="00D34D77" w:rsidRPr="00D34D77">
        <w:tab/>
      </w:r>
      <w:r w:rsidRPr="00B834A2">
        <w:t>հոսքի բաժանումը՝ 1:200, որպես այլընտրանք՝ ներմուծումն առանց հոսքերի բաժանման, ջերմաստիճանի հսկմամբ (այդ դեպքում անհրաժեշտ է նախքան ներմուծելը փորձարկվող լուծույթները նոսրացնել 50 մգ/լ Р տրիմեթիլպենտանի մեջ լուծված՝ Р բութիլհիդրօքսիտոլուոլի 1/200 լուծույթով):</w:t>
      </w:r>
    </w:p>
    <w:p w14:paraId="1CC97DBB" w14:textId="77777777" w:rsidR="00B834A2" w:rsidRPr="00B834A2" w:rsidRDefault="00B834A2" w:rsidP="008F5B6F">
      <w:pPr>
        <w:spacing w:after="160" w:line="360" w:lineRule="auto"/>
        <w:ind w:firstLine="567"/>
        <w:jc w:val="both"/>
      </w:pPr>
      <w:r w:rsidRPr="00B834A2">
        <w:t xml:space="preserve">Անհրաժեշտության դեպքում հոսքի արագությունը </w:t>
      </w:r>
      <w:r>
        <w:t>եւ</w:t>
      </w:r>
      <w:r w:rsidRPr="00B834A2">
        <w:t xml:space="preserve"> (կամ) նմուշի նոսրացումը ճշգրտում են այնպես, որ հասնեն էյկոզապենտաենաթթվի </w:t>
      </w:r>
      <w:r>
        <w:t>եւ</w:t>
      </w:r>
      <w:r w:rsidRPr="00B834A2">
        <w:t xml:space="preserve"> </w:t>
      </w:r>
      <w:r w:rsidRPr="006F34D9">
        <w:rPr>
          <w:spacing w:val="-4"/>
        </w:rPr>
        <w:t>դոկոզահեքսաենաթթվի մեթիլային կամ էթիլային եթերների պիկերի համար 0,8-1,5</w:t>
      </w:r>
      <w:r w:rsidRPr="00B834A2">
        <w:t xml:space="preserve"> համաչափության գործակցին, ընդ որում, (բ) փորձարկվող լուծույթի քրոմատագրի վրա պետք է հստակ հայտնաբերվեն համապատասխան եթերներին (լինոլենաթթու (С18:3 n-3), ստեարիդոնաթթու (С18:4 n-3), էյկոզատետրաենաթթու (С20:4 n-3), գենիկոզապենտաենաթթու (С21:5n-3) </w:t>
      </w:r>
      <w:r>
        <w:t>եւ</w:t>
      </w:r>
      <w:r w:rsidRPr="00B834A2">
        <w:t xml:space="preserve"> դոկոզապենտաենաթթու (С22:5 n-3)) առնչություն ունեցող պիկերը: Պահանջները չկատարելու դեպքում նախապատվությունը տրվում է (բ) փորձարկվող լուծույթի համար վերը ներկայացված՝ հստակ հայտնաբերված համապատասխան բարդ եթերներին:</w:t>
      </w:r>
    </w:p>
    <w:p w14:paraId="78E92794" w14:textId="77777777" w:rsidR="00B834A2" w:rsidRPr="00B834A2" w:rsidRDefault="00B834A2" w:rsidP="008F5B6F">
      <w:pPr>
        <w:spacing w:after="160" w:line="360" w:lineRule="auto"/>
        <w:ind w:firstLine="567"/>
        <w:jc w:val="both"/>
      </w:pPr>
      <w:r w:rsidRPr="00B834A2">
        <w:t xml:space="preserve">Անհրաժեշտության դեպքում (բ) համեմատման լուծույթի բաղադրիչներով պայմանավորված պիկերի համար 0,8-1,5 համաչափության գործակիցը ստանալու համար ճշգրտում են հոսքի արագությունը </w:t>
      </w:r>
      <w:r>
        <w:t>եւ</w:t>
      </w:r>
      <w:r w:rsidRPr="00B834A2">
        <w:t xml:space="preserve"> (կամ) նմուշի նոսրացումը:</w:t>
      </w:r>
    </w:p>
    <w:p w14:paraId="23A03EE5" w14:textId="77777777" w:rsidR="00B834A2" w:rsidRDefault="00B834A2" w:rsidP="008F5B6F">
      <w:pPr>
        <w:tabs>
          <w:tab w:val="left" w:pos="1134"/>
        </w:tabs>
        <w:spacing w:after="160" w:line="360" w:lineRule="auto"/>
        <w:ind w:firstLine="567"/>
        <w:jc w:val="both"/>
        <w:rPr>
          <w:lang w:val="en-US"/>
        </w:rPr>
      </w:pPr>
      <w:r w:rsidRPr="00B834A2">
        <w:t>-</w:t>
      </w:r>
      <w:r w:rsidR="00D34D77" w:rsidRPr="00D34D77">
        <w:tab/>
      </w:r>
      <w:r w:rsidRPr="0023462C">
        <w:rPr>
          <w:i/>
        </w:rPr>
        <w:t>ջերմաստիճանի փոփոխման ռեժիմը՝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56"/>
        <w:gridCol w:w="2551"/>
        <w:gridCol w:w="2008"/>
        <w:gridCol w:w="1887"/>
        <w:gridCol w:w="2008"/>
      </w:tblGrid>
      <w:tr w:rsidR="00B834A2" w:rsidRPr="00D34D77" w14:paraId="15B044F7" w14:textId="77777777" w:rsidTr="00D34D77">
        <w:trPr>
          <w:jc w:val="center"/>
        </w:trPr>
        <w:tc>
          <w:tcPr>
            <w:tcW w:w="2156" w:type="dxa"/>
            <w:tcBorders>
              <w:top w:val="single" w:sz="4" w:space="0" w:color="auto"/>
            </w:tcBorders>
            <w:shd w:val="clear" w:color="auto" w:fill="FFFFFF"/>
          </w:tcPr>
          <w:p w14:paraId="5599A0D8" w14:textId="77777777" w:rsidR="00B834A2" w:rsidRPr="00D34D77" w:rsidRDefault="00B834A2" w:rsidP="00D34D77">
            <w:pPr>
              <w:spacing w:after="120"/>
              <w:jc w:val="both"/>
              <w:rPr>
                <w:sz w:val="20"/>
              </w:rPr>
            </w:pPr>
          </w:p>
        </w:tc>
        <w:tc>
          <w:tcPr>
            <w:tcW w:w="4559" w:type="dxa"/>
            <w:gridSpan w:val="2"/>
            <w:tcBorders>
              <w:top w:val="single" w:sz="4" w:space="0" w:color="auto"/>
            </w:tcBorders>
            <w:shd w:val="clear" w:color="auto" w:fill="FFFFFF"/>
            <w:vAlign w:val="bottom"/>
          </w:tcPr>
          <w:p w14:paraId="01BC6D84" w14:textId="77777777" w:rsidR="00B834A2" w:rsidRPr="00D34D77" w:rsidRDefault="00B834A2" w:rsidP="00D34D77">
            <w:pPr>
              <w:spacing w:after="120"/>
              <w:jc w:val="center"/>
              <w:rPr>
                <w:sz w:val="20"/>
              </w:rPr>
            </w:pPr>
            <w:r w:rsidRPr="00D34D77">
              <w:rPr>
                <w:sz w:val="20"/>
              </w:rPr>
              <w:t>Հոսքի բաժանմամբ</w:t>
            </w:r>
          </w:p>
        </w:tc>
        <w:tc>
          <w:tcPr>
            <w:tcW w:w="3895" w:type="dxa"/>
            <w:gridSpan w:val="2"/>
            <w:tcBorders>
              <w:top w:val="single" w:sz="4" w:space="0" w:color="auto"/>
            </w:tcBorders>
            <w:shd w:val="clear" w:color="auto" w:fill="FFFFFF"/>
            <w:vAlign w:val="bottom"/>
          </w:tcPr>
          <w:p w14:paraId="34C21BC6" w14:textId="77777777" w:rsidR="00B834A2" w:rsidRPr="00D34D77" w:rsidRDefault="00B834A2" w:rsidP="00D34D77">
            <w:pPr>
              <w:spacing w:after="120"/>
              <w:jc w:val="center"/>
              <w:rPr>
                <w:sz w:val="20"/>
              </w:rPr>
            </w:pPr>
            <w:r w:rsidRPr="00D34D77">
              <w:rPr>
                <w:sz w:val="20"/>
              </w:rPr>
              <w:t>Առանց հոսքի բաժանման</w:t>
            </w:r>
          </w:p>
        </w:tc>
      </w:tr>
      <w:tr w:rsidR="00B834A2" w:rsidRPr="00D34D77" w14:paraId="75CC3B2B" w14:textId="77777777" w:rsidTr="00D34D77">
        <w:trPr>
          <w:jc w:val="center"/>
        </w:trPr>
        <w:tc>
          <w:tcPr>
            <w:tcW w:w="2156" w:type="dxa"/>
            <w:shd w:val="clear" w:color="auto" w:fill="FFFFFF"/>
          </w:tcPr>
          <w:p w14:paraId="26526D88" w14:textId="77777777" w:rsidR="00B834A2" w:rsidRPr="00D34D77" w:rsidRDefault="00B834A2" w:rsidP="00D34D77">
            <w:pPr>
              <w:spacing w:after="120"/>
              <w:jc w:val="both"/>
              <w:rPr>
                <w:sz w:val="20"/>
              </w:rPr>
            </w:pPr>
          </w:p>
        </w:tc>
        <w:tc>
          <w:tcPr>
            <w:tcW w:w="2551" w:type="dxa"/>
            <w:tcBorders>
              <w:top w:val="single" w:sz="4" w:space="0" w:color="auto"/>
            </w:tcBorders>
            <w:shd w:val="clear" w:color="auto" w:fill="FFFFFF"/>
            <w:vAlign w:val="bottom"/>
          </w:tcPr>
          <w:p w14:paraId="4340BDEB" w14:textId="77777777" w:rsidR="00B834A2" w:rsidRPr="00D34D77" w:rsidRDefault="00B834A2" w:rsidP="00D34D77">
            <w:pPr>
              <w:spacing w:after="120"/>
              <w:jc w:val="center"/>
              <w:rPr>
                <w:sz w:val="20"/>
              </w:rPr>
            </w:pPr>
            <w:r w:rsidRPr="00D34D77">
              <w:rPr>
                <w:sz w:val="20"/>
              </w:rPr>
              <w:t>Ժամանակը (րոպե)</w:t>
            </w:r>
          </w:p>
        </w:tc>
        <w:tc>
          <w:tcPr>
            <w:tcW w:w="2008" w:type="dxa"/>
            <w:tcBorders>
              <w:top w:val="single" w:sz="4" w:space="0" w:color="auto"/>
            </w:tcBorders>
            <w:shd w:val="clear" w:color="auto" w:fill="FFFFFF"/>
            <w:vAlign w:val="bottom"/>
          </w:tcPr>
          <w:p w14:paraId="25C2AD19" w14:textId="77777777" w:rsidR="00B834A2" w:rsidRPr="00D34D77" w:rsidRDefault="00B834A2" w:rsidP="00D34D77">
            <w:pPr>
              <w:spacing w:after="120"/>
              <w:jc w:val="center"/>
              <w:rPr>
                <w:sz w:val="20"/>
              </w:rPr>
            </w:pPr>
            <w:r w:rsidRPr="00D34D77">
              <w:rPr>
                <w:sz w:val="20"/>
              </w:rPr>
              <w:t>Ջերմաստիճանը (°С)</w:t>
            </w:r>
          </w:p>
        </w:tc>
        <w:tc>
          <w:tcPr>
            <w:tcW w:w="1887" w:type="dxa"/>
            <w:tcBorders>
              <w:top w:val="single" w:sz="4" w:space="0" w:color="auto"/>
            </w:tcBorders>
            <w:shd w:val="clear" w:color="auto" w:fill="FFFFFF"/>
            <w:vAlign w:val="bottom"/>
          </w:tcPr>
          <w:p w14:paraId="387771EC" w14:textId="77777777" w:rsidR="00B834A2" w:rsidRPr="00D34D77" w:rsidRDefault="00B834A2" w:rsidP="00D34D77">
            <w:pPr>
              <w:spacing w:after="120"/>
              <w:jc w:val="center"/>
              <w:rPr>
                <w:sz w:val="20"/>
              </w:rPr>
            </w:pPr>
            <w:r w:rsidRPr="00D34D77">
              <w:rPr>
                <w:sz w:val="20"/>
              </w:rPr>
              <w:t>Ժամանակը (րոպե)</w:t>
            </w:r>
          </w:p>
        </w:tc>
        <w:tc>
          <w:tcPr>
            <w:tcW w:w="2008" w:type="dxa"/>
            <w:tcBorders>
              <w:top w:val="single" w:sz="4" w:space="0" w:color="auto"/>
            </w:tcBorders>
            <w:shd w:val="clear" w:color="auto" w:fill="FFFFFF"/>
            <w:vAlign w:val="bottom"/>
          </w:tcPr>
          <w:p w14:paraId="595A3C68" w14:textId="77777777" w:rsidR="00B834A2" w:rsidRPr="00D34D77" w:rsidRDefault="00B834A2" w:rsidP="00D34D77">
            <w:pPr>
              <w:spacing w:after="120"/>
              <w:jc w:val="center"/>
              <w:rPr>
                <w:sz w:val="20"/>
              </w:rPr>
            </w:pPr>
            <w:r w:rsidRPr="00D34D77">
              <w:rPr>
                <w:sz w:val="20"/>
              </w:rPr>
              <w:t>Ջերմաստիճանը (°С)</w:t>
            </w:r>
          </w:p>
        </w:tc>
      </w:tr>
      <w:tr w:rsidR="00B834A2" w:rsidRPr="00D34D77" w14:paraId="685489D8" w14:textId="77777777" w:rsidTr="00D34D77">
        <w:trPr>
          <w:jc w:val="center"/>
        </w:trPr>
        <w:tc>
          <w:tcPr>
            <w:tcW w:w="2156" w:type="dxa"/>
            <w:tcBorders>
              <w:top w:val="single" w:sz="4" w:space="0" w:color="auto"/>
            </w:tcBorders>
            <w:shd w:val="clear" w:color="auto" w:fill="FFFFFF"/>
            <w:vAlign w:val="center"/>
          </w:tcPr>
          <w:p w14:paraId="3706D536" w14:textId="77777777" w:rsidR="00B834A2" w:rsidRPr="00D34D77" w:rsidRDefault="00B834A2" w:rsidP="00D34D77">
            <w:pPr>
              <w:spacing w:after="120"/>
              <w:jc w:val="both"/>
              <w:rPr>
                <w:sz w:val="20"/>
              </w:rPr>
            </w:pPr>
            <w:r w:rsidRPr="00D34D77">
              <w:rPr>
                <w:sz w:val="20"/>
              </w:rPr>
              <w:t>Աշտարակը</w:t>
            </w:r>
          </w:p>
        </w:tc>
        <w:tc>
          <w:tcPr>
            <w:tcW w:w="2551" w:type="dxa"/>
            <w:tcBorders>
              <w:top w:val="single" w:sz="4" w:space="0" w:color="auto"/>
            </w:tcBorders>
            <w:shd w:val="clear" w:color="auto" w:fill="FFFFFF"/>
            <w:vAlign w:val="center"/>
          </w:tcPr>
          <w:p w14:paraId="1C2E445F" w14:textId="77777777" w:rsidR="00B834A2" w:rsidRPr="00D34D77" w:rsidRDefault="00B834A2" w:rsidP="00D34D77">
            <w:pPr>
              <w:spacing w:after="120"/>
              <w:jc w:val="center"/>
              <w:rPr>
                <w:sz w:val="20"/>
              </w:rPr>
            </w:pPr>
            <w:r w:rsidRPr="00D34D77">
              <w:rPr>
                <w:sz w:val="20"/>
              </w:rPr>
              <w:t>0-2</w:t>
            </w:r>
          </w:p>
        </w:tc>
        <w:tc>
          <w:tcPr>
            <w:tcW w:w="2008" w:type="dxa"/>
            <w:tcBorders>
              <w:top w:val="single" w:sz="4" w:space="0" w:color="auto"/>
            </w:tcBorders>
            <w:shd w:val="clear" w:color="auto" w:fill="FFFFFF"/>
            <w:vAlign w:val="center"/>
          </w:tcPr>
          <w:p w14:paraId="3601BC7D" w14:textId="77777777" w:rsidR="00B834A2" w:rsidRPr="00D34D77" w:rsidRDefault="00B834A2" w:rsidP="00D34D77">
            <w:pPr>
              <w:spacing w:after="120"/>
              <w:jc w:val="center"/>
              <w:rPr>
                <w:sz w:val="20"/>
              </w:rPr>
            </w:pPr>
            <w:r w:rsidRPr="00D34D77">
              <w:rPr>
                <w:sz w:val="20"/>
              </w:rPr>
              <w:t>170</w:t>
            </w:r>
          </w:p>
        </w:tc>
        <w:tc>
          <w:tcPr>
            <w:tcW w:w="1887" w:type="dxa"/>
            <w:tcBorders>
              <w:top w:val="single" w:sz="4" w:space="0" w:color="auto"/>
            </w:tcBorders>
            <w:shd w:val="clear" w:color="auto" w:fill="FFFFFF"/>
            <w:vAlign w:val="center"/>
          </w:tcPr>
          <w:p w14:paraId="7BA8E84A" w14:textId="77777777" w:rsidR="00B834A2" w:rsidRPr="00D34D77" w:rsidRDefault="00B834A2" w:rsidP="00D34D77">
            <w:pPr>
              <w:spacing w:after="120"/>
              <w:jc w:val="center"/>
              <w:rPr>
                <w:sz w:val="20"/>
              </w:rPr>
            </w:pPr>
            <w:r w:rsidRPr="00D34D77">
              <w:rPr>
                <w:sz w:val="20"/>
              </w:rPr>
              <w:t>0-2</w:t>
            </w:r>
          </w:p>
        </w:tc>
        <w:tc>
          <w:tcPr>
            <w:tcW w:w="2008" w:type="dxa"/>
            <w:tcBorders>
              <w:top w:val="single" w:sz="4" w:space="0" w:color="auto"/>
            </w:tcBorders>
            <w:shd w:val="clear" w:color="auto" w:fill="FFFFFF"/>
            <w:vAlign w:val="center"/>
          </w:tcPr>
          <w:p w14:paraId="19E459C5" w14:textId="77777777" w:rsidR="00B834A2" w:rsidRPr="00D34D77" w:rsidRDefault="00B834A2" w:rsidP="00D34D77">
            <w:pPr>
              <w:spacing w:after="120"/>
              <w:jc w:val="center"/>
              <w:rPr>
                <w:sz w:val="20"/>
              </w:rPr>
            </w:pPr>
            <w:r w:rsidRPr="00D34D77">
              <w:rPr>
                <w:sz w:val="20"/>
              </w:rPr>
              <w:t>90</w:t>
            </w:r>
          </w:p>
        </w:tc>
      </w:tr>
      <w:tr w:rsidR="00B834A2" w:rsidRPr="00D34D77" w14:paraId="32AACEAC" w14:textId="77777777" w:rsidTr="00D34D77">
        <w:trPr>
          <w:jc w:val="center"/>
        </w:trPr>
        <w:tc>
          <w:tcPr>
            <w:tcW w:w="2156" w:type="dxa"/>
            <w:shd w:val="clear" w:color="auto" w:fill="FFFFFF"/>
          </w:tcPr>
          <w:p w14:paraId="0E3914EA" w14:textId="77777777" w:rsidR="00B834A2" w:rsidRPr="00D34D77" w:rsidRDefault="00B834A2" w:rsidP="00D34D77">
            <w:pPr>
              <w:spacing w:after="120"/>
              <w:jc w:val="both"/>
              <w:rPr>
                <w:sz w:val="20"/>
              </w:rPr>
            </w:pPr>
          </w:p>
        </w:tc>
        <w:tc>
          <w:tcPr>
            <w:tcW w:w="2551" w:type="dxa"/>
            <w:shd w:val="clear" w:color="auto" w:fill="FFFFFF"/>
            <w:vAlign w:val="bottom"/>
          </w:tcPr>
          <w:p w14:paraId="3EE408A2" w14:textId="77777777" w:rsidR="00B834A2" w:rsidRPr="00D34D77" w:rsidRDefault="00B834A2" w:rsidP="00D34D77">
            <w:pPr>
              <w:spacing w:after="120"/>
              <w:jc w:val="center"/>
              <w:rPr>
                <w:sz w:val="20"/>
              </w:rPr>
            </w:pPr>
            <w:r w:rsidRPr="00D34D77">
              <w:rPr>
                <w:sz w:val="20"/>
              </w:rPr>
              <w:t>2-25,7</w:t>
            </w:r>
          </w:p>
        </w:tc>
        <w:tc>
          <w:tcPr>
            <w:tcW w:w="2008" w:type="dxa"/>
            <w:shd w:val="clear" w:color="auto" w:fill="FFFFFF"/>
            <w:vAlign w:val="bottom"/>
          </w:tcPr>
          <w:p w14:paraId="4D2C0E76" w14:textId="77777777" w:rsidR="00B834A2" w:rsidRPr="00D34D77" w:rsidRDefault="00B834A2" w:rsidP="00D34D77">
            <w:pPr>
              <w:spacing w:after="120"/>
              <w:jc w:val="center"/>
              <w:rPr>
                <w:sz w:val="20"/>
              </w:rPr>
            </w:pPr>
            <w:r w:rsidRPr="00D34D77">
              <w:rPr>
                <w:sz w:val="20"/>
              </w:rPr>
              <w:t xml:space="preserve">170 </w:t>
            </w:r>
            <w:r w:rsidRPr="00D34D77">
              <w:rPr>
                <w:rFonts w:ascii="Times New Roman" w:hAnsi="Times New Roman" w:cs="Times New Roman"/>
                <w:sz w:val="20"/>
              </w:rPr>
              <w:t>→</w:t>
            </w:r>
            <w:r w:rsidRPr="00D34D77">
              <w:rPr>
                <w:sz w:val="20"/>
              </w:rPr>
              <w:t xml:space="preserve"> 240</w:t>
            </w:r>
          </w:p>
        </w:tc>
        <w:tc>
          <w:tcPr>
            <w:tcW w:w="1887" w:type="dxa"/>
            <w:shd w:val="clear" w:color="auto" w:fill="FFFFFF"/>
            <w:vAlign w:val="bottom"/>
          </w:tcPr>
          <w:p w14:paraId="2E339604" w14:textId="77777777" w:rsidR="00B834A2" w:rsidRPr="00D34D77" w:rsidRDefault="00B834A2" w:rsidP="00D34D77">
            <w:pPr>
              <w:spacing w:after="120"/>
              <w:jc w:val="center"/>
              <w:rPr>
                <w:sz w:val="20"/>
              </w:rPr>
            </w:pPr>
            <w:r w:rsidRPr="00D34D77">
              <w:rPr>
                <w:sz w:val="20"/>
              </w:rPr>
              <w:t>2-4,7</w:t>
            </w:r>
          </w:p>
        </w:tc>
        <w:tc>
          <w:tcPr>
            <w:tcW w:w="2008" w:type="dxa"/>
            <w:shd w:val="clear" w:color="auto" w:fill="FFFFFF"/>
            <w:vAlign w:val="bottom"/>
          </w:tcPr>
          <w:p w14:paraId="0C0EE66E" w14:textId="77777777" w:rsidR="00B834A2" w:rsidRPr="00D34D77" w:rsidRDefault="00B834A2" w:rsidP="00D34D77">
            <w:pPr>
              <w:spacing w:after="120"/>
              <w:jc w:val="center"/>
              <w:rPr>
                <w:sz w:val="20"/>
              </w:rPr>
            </w:pPr>
            <w:r w:rsidRPr="00D34D77">
              <w:rPr>
                <w:sz w:val="20"/>
              </w:rPr>
              <w:t xml:space="preserve">90 </w:t>
            </w:r>
            <w:r w:rsidRPr="00D34D77">
              <w:rPr>
                <w:rFonts w:ascii="Times New Roman" w:hAnsi="Times New Roman" w:cs="Times New Roman"/>
                <w:sz w:val="20"/>
              </w:rPr>
              <w:t>→</w:t>
            </w:r>
            <w:r w:rsidRPr="00D34D77">
              <w:rPr>
                <w:sz w:val="20"/>
              </w:rPr>
              <w:t xml:space="preserve"> 170</w:t>
            </w:r>
          </w:p>
        </w:tc>
      </w:tr>
      <w:tr w:rsidR="00B834A2" w:rsidRPr="00D34D77" w14:paraId="183F2BB6" w14:textId="77777777" w:rsidTr="00D34D77">
        <w:trPr>
          <w:jc w:val="center"/>
        </w:trPr>
        <w:tc>
          <w:tcPr>
            <w:tcW w:w="2156" w:type="dxa"/>
            <w:shd w:val="clear" w:color="auto" w:fill="FFFFFF"/>
          </w:tcPr>
          <w:p w14:paraId="5DC7659D" w14:textId="77777777" w:rsidR="00B834A2" w:rsidRPr="00D34D77" w:rsidRDefault="00B834A2" w:rsidP="00D34D77">
            <w:pPr>
              <w:spacing w:after="120"/>
              <w:jc w:val="both"/>
              <w:rPr>
                <w:sz w:val="20"/>
              </w:rPr>
            </w:pPr>
          </w:p>
        </w:tc>
        <w:tc>
          <w:tcPr>
            <w:tcW w:w="2551" w:type="dxa"/>
            <w:shd w:val="clear" w:color="auto" w:fill="FFFFFF"/>
            <w:vAlign w:val="bottom"/>
          </w:tcPr>
          <w:p w14:paraId="45921CAA" w14:textId="77777777" w:rsidR="00B834A2" w:rsidRPr="00D34D77" w:rsidRDefault="00B834A2" w:rsidP="00D34D77">
            <w:pPr>
              <w:spacing w:after="120"/>
              <w:jc w:val="center"/>
              <w:rPr>
                <w:sz w:val="20"/>
              </w:rPr>
            </w:pPr>
            <w:r w:rsidRPr="00D34D77">
              <w:rPr>
                <w:sz w:val="20"/>
              </w:rPr>
              <w:t>25.7-28</w:t>
            </w:r>
          </w:p>
        </w:tc>
        <w:tc>
          <w:tcPr>
            <w:tcW w:w="2008" w:type="dxa"/>
            <w:shd w:val="clear" w:color="auto" w:fill="FFFFFF"/>
            <w:vAlign w:val="bottom"/>
          </w:tcPr>
          <w:p w14:paraId="11627D6D" w14:textId="77777777" w:rsidR="00B834A2" w:rsidRPr="00D34D77" w:rsidRDefault="00B834A2" w:rsidP="00D34D77">
            <w:pPr>
              <w:spacing w:after="120"/>
              <w:jc w:val="center"/>
              <w:rPr>
                <w:sz w:val="20"/>
              </w:rPr>
            </w:pPr>
            <w:r w:rsidRPr="00D34D77">
              <w:rPr>
                <w:sz w:val="20"/>
              </w:rPr>
              <w:t>240</w:t>
            </w:r>
          </w:p>
        </w:tc>
        <w:tc>
          <w:tcPr>
            <w:tcW w:w="1887" w:type="dxa"/>
            <w:shd w:val="clear" w:color="auto" w:fill="FFFFFF"/>
            <w:vAlign w:val="bottom"/>
          </w:tcPr>
          <w:p w14:paraId="0A728602" w14:textId="77777777" w:rsidR="00B834A2" w:rsidRPr="00D34D77" w:rsidRDefault="00D34D77" w:rsidP="00D34D77">
            <w:pPr>
              <w:spacing w:after="120"/>
              <w:jc w:val="center"/>
              <w:rPr>
                <w:sz w:val="20"/>
              </w:rPr>
            </w:pPr>
            <w:r>
              <w:rPr>
                <w:sz w:val="20"/>
              </w:rPr>
              <w:t>4,7-</w:t>
            </w:r>
            <w:r w:rsidR="00B834A2" w:rsidRPr="00D34D77">
              <w:rPr>
                <w:sz w:val="20"/>
              </w:rPr>
              <w:t>28</w:t>
            </w:r>
          </w:p>
        </w:tc>
        <w:tc>
          <w:tcPr>
            <w:tcW w:w="2008" w:type="dxa"/>
            <w:shd w:val="clear" w:color="auto" w:fill="FFFFFF"/>
            <w:vAlign w:val="bottom"/>
          </w:tcPr>
          <w:p w14:paraId="668BB22C" w14:textId="77777777" w:rsidR="00B834A2" w:rsidRPr="00D34D77" w:rsidRDefault="00B834A2" w:rsidP="00D34D77">
            <w:pPr>
              <w:spacing w:after="120"/>
              <w:jc w:val="center"/>
              <w:rPr>
                <w:sz w:val="20"/>
              </w:rPr>
            </w:pPr>
            <w:r w:rsidRPr="00D34D77">
              <w:rPr>
                <w:sz w:val="20"/>
              </w:rPr>
              <w:t xml:space="preserve">170 </w:t>
            </w:r>
            <w:r w:rsidRPr="00D34D77">
              <w:rPr>
                <w:rFonts w:ascii="Times New Roman" w:hAnsi="Times New Roman" w:cs="Times New Roman"/>
                <w:sz w:val="20"/>
              </w:rPr>
              <w:t>→</w:t>
            </w:r>
            <w:r w:rsidRPr="00D34D77">
              <w:rPr>
                <w:sz w:val="20"/>
              </w:rPr>
              <w:t xml:space="preserve"> 240</w:t>
            </w:r>
          </w:p>
        </w:tc>
      </w:tr>
      <w:tr w:rsidR="00B834A2" w:rsidRPr="00D34D77" w14:paraId="566650BF" w14:textId="77777777" w:rsidTr="00D34D77">
        <w:trPr>
          <w:jc w:val="center"/>
        </w:trPr>
        <w:tc>
          <w:tcPr>
            <w:tcW w:w="2156" w:type="dxa"/>
            <w:shd w:val="clear" w:color="auto" w:fill="FFFFFF"/>
          </w:tcPr>
          <w:p w14:paraId="4A7CA3E8" w14:textId="77777777" w:rsidR="00B834A2" w:rsidRPr="00D34D77" w:rsidRDefault="00B834A2" w:rsidP="00D34D77">
            <w:pPr>
              <w:spacing w:after="120"/>
              <w:jc w:val="both"/>
              <w:rPr>
                <w:sz w:val="20"/>
              </w:rPr>
            </w:pPr>
          </w:p>
        </w:tc>
        <w:tc>
          <w:tcPr>
            <w:tcW w:w="2551" w:type="dxa"/>
            <w:shd w:val="clear" w:color="auto" w:fill="FFFFFF"/>
          </w:tcPr>
          <w:p w14:paraId="2AA8DD5D" w14:textId="77777777" w:rsidR="00B834A2" w:rsidRPr="00D34D77" w:rsidRDefault="00B834A2" w:rsidP="00D34D77">
            <w:pPr>
              <w:spacing w:after="120"/>
              <w:jc w:val="both"/>
              <w:rPr>
                <w:sz w:val="20"/>
              </w:rPr>
            </w:pPr>
          </w:p>
        </w:tc>
        <w:tc>
          <w:tcPr>
            <w:tcW w:w="2008" w:type="dxa"/>
            <w:shd w:val="clear" w:color="auto" w:fill="FFFFFF"/>
          </w:tcPr>
          <w:p w14:paraId="2B4109B6" w14:textId="77777777" w:rsidR="00B834A2" w:rsidRPr="00D34D77" w:rsidRDefault="00B834A2" w:rsidP="00D34D77">
            <w:pPr>
              <w:spacing w:after="120"/>
              <w:jc w:val="both"/>
              <w:rPr>
                <w:sz w:val="20"/>
              </w:rPr>
            </w:pPr>
          </w:p>
        </w:tc>
        <w:tc>
          <w:tcPr>
            <w:tcW w:w="1887" w:type="dxa"/>
            <w:shd w:val="clear" w:color="auto" w:fill="FFFFFF"/>
          </w:tcPr>
          <w:p w14:paraId="791E452F" w14:textId="77777777" w:rsidR="00B834A2" w:rsidRPr="00D34D77" w:rsidRDefault="00B834A2" w:rsidP="00D34D77">
            <w:pPr>
              <w:spacing w:after="120"/>
              <w:jc w:val="center"/>
              <w:rPr>
                <w:sz w:val="20"/>
              </w:rPr>
            </w:pPr>
            <w:r w:rsidRPr="00D34D77">
              <w:rPr>
                <w:sz w:val="20"/>
              </w:rPr>
              <w:t>28-30</w:t>
            </w:r>
          </w:p>
        </w:tc>
        <w:tc>
          <w:tcPr>
            <w:tcW w:w="2008" w:type="dxa"/>
            <w:shd w:val="clear" w:color="auto" w:fill="FFFFFF"/>
          </w:tcPr>
          <w:p w14:paraId="19511383" w14:textId="77777777" w:rsidR="00B834A2" w:rsidRPr="00D34D77" w:rsidRDefault="00B834A2" w:rsidP="00D34D77">
            <w:pPr>
              <w:spacing w:after="120"/>
              <w:jc w:val="center"/>
              <w:rPr>
                <w:sz w:val="20"/>
              </w:rPr>
            </w:pPr>
            <w:r w:rsidRPr="00D34D77">
              <w:rPr>
                <w:sz w:val="20"/>
              </w:rPr>
              <w:t>240</w:t>
            </w:r>
          </w:p>
        </w:tc>
      </w:tr>
      <w:tr w:rsidR="00B834A2" w:rsidRPr="00D34D77" w14:paraId="20EC2EEC" w14:textId="77777777" w:rsidTr="00D34D77">
        <w:trPr>
          <w:jc w:val="center"/>
        </w:trPr>
        <w:tc>
          <w:tcPr>
            <w:tcW w:w="4707" w:type="dxa"/>
            <w:gridSpan w:val="2"/>
            <w:shd w:val="clear" w:color="auto" w:fill="FFFFFF"/>
          </w:tcPr>
          <w:p w14:paraId="2E348628" w14:textId="77777777" w:rsidR="00B834A2" w:rsidRPr="00D34D77" w:rsidRDefault="00B834A2" w:rsidP="00D34D77">
            <w:pPr>
              <w:spacing w:after="120"/>
              <w:jc w:val="both"/>
              <w:rPr>
                <w:sz w:val="20"/>
              </w:rPr>
            </w:pPr>
            <w:r w:rsidRPr="00D34D77">
              <w:rPr>
                <w:sz w:val="20"/>
              </w:rPr>
              <w:t>Փորձանմուշների ներմուծման բլոկը (ինժեկտորը)</w:t>
            </w:r>
          </w:p>
        </w:tc>
        <w:tc>
          <w:tcPr>
            <w:tcW w:w="2008" w:type="dxa"/>
            <w:shd w:val="clear" w:color="auto" w:fill="FFFFFF"/>
          </w:tcPr>
          <w:p w14:paraId="300B6D0C" w14:textId="77777777" w:rsidR="00B834A2" w:rsidRPr="00D34D77" w:rsidRDefault="00B834A2" w:rsidP="00D34D77">
            <w:pPr>
              <w:spacing w:after="120"/>
              <w:jc w:val="center"/>
              <w:rPr>
                <w:sz w:val="20"/>
              </w:rPr>
            </w:pPr>
            <w:r w:rsidRPr="00D34D77">
              <w:rPr>
                <w:sz w:val="20"/>
              </w:rPr>
              <w:t>250</w:t>
            </w:r>
          </w:p>
        </w:tc>
        <w:tc>
          <w:tcPr>
            <w:tcW w:w="1887" w:type="dxa"/>
            <w:shd w:val="clear" w:color="auto" w:fill="FFFFFF"/>
          </w:tcPr>
          <w:p w14:paraId="416327E5" w14:textId="77777777" w:rsidR="00B834A2" w:rsidRPr="00D34D77" w:rsidRDefault="00B834A2" w:rsidP="00D34D77">
            <w:pPr>
              <w:spacing w:after="120"/>
              <w:jc w:val="center"/>
              <w:rPr>
                <w:sz w:val="20"/>
              </w:rPr>
            </w:pPr>
          </w:p>
        </w:tc>
        <w:tc>
          <w:tcPr>
            <w:tcW w:w="2008" w:type="dxa"/>
            <w:shd w:val="clear" w:color="auto" w:fill="FFFFFF"/>
          </w:tcPr>
          <w:p w14:paraId="13FE616C" w14:textId="77777777" w:rsidR="00B834A2" w:rsidRPr="00D34D77" w:rsidRDefault="00D34D77" w:rsidP="001E64EC">
            <w:pPr>
              <w:spacing w:after="120"/>
              <w:jc w:val="center"/>
              <w:rPr>
                <w:sz w:val="20"/>
                <w:lang w:val="en-US"/>
              </w:rPr>
            </w:pPr>
            <w:r>
              <w:rPr>
                <w:sz w:val="20"/>
              </w:rPr>
              <w:t>90-250</w:t>
            </w:r>
            <w:r w:rsidR="001E64EC">
              <w:rPr>
                <w:sz w:val="20"/>
              </w:rPr>
              <w:t>*</w:t>
            </w:r>
          </w:p>
        </w:tc>
      </w:tr>
      <w:tr w:rsidR="00B834A2" w:rsidRPr="00D34D77" w14:paraId="6C0A0680" w14:textId="77777777" w:rsidTr="0023462C">
        <w:trPr>
          <w:jc w:val="center"/>
        </w:trPr>
        <w:tc>
          <w:tcPr>
            <w:tcW w:w="4707" w:type="dxa"/>
            <w:gridSpan w:val="2"/>
            <w:tcBorders>
              <w:bottom w:val="single" w:sz="8" w:space="0" w:color="auto"/>
            </w:tcBorders>
            <w:shd w:val="clear" w:color="auto" w:fill="FFFFFF"/>
          </w:tcPr>
          <w:p w14:paraId="1FD0E08A" w14:textId="77777777" w:rsidR="00B834A2" w:rsidRPr="00D34D77" w:rsidRDefault="00B834A2" w:rsidP="00D34D77">
            <w:pPr>
              <w:spacing w:after="120"/>
              <w:jc w:val="both"/>
              <w:rPr>
                <w:sz w:val="20"/>
              </w:rPr>
            </w:pPr>
            <w:r w:rsidRPr="00D34D77">
              <w:rPr>
                <w:sz w:val="20"/>
              </w:rPr>
              <w:t>Դետեկտորը</w:t>
            </w:r>
          </w:p>
        </w:tc>
        <w:tc>
          <w:tcPr>
            <w:tcW w:w="2008" w:type="dxa"/>
            <w:tcBorders>
              <w:bottom w:val="single" w:sz="8" w:space="0" w:color="auto"/>
            </w:tcBorders>
            <w:shd w:val="clear" w:color="auto" w:fill="FFFFFF"/>
          </w:tcPr>
          <w:p w14:paraId="2B42C894" w14:textId="77777777" w:rsidR="00B834A2" w:rsidRPr="00D34D77" w:rsidRDefault="00B834A2" w:rsidP="00D34D77">
            <w:pPr>
              <w:spacing w:after="120"/>
              <w:jc w:val="center"/>
              <w:rPr>
                <w:sz w:val="20"/>
              </w:rPr>
            </w:pPr>
            <w:r w:rsidRPr="00D34D77">
              <w:rPr>
                <w:sz w:val="20"/>
              </w:rPr>
              <w:t>270</w:t>
            </w:r>
          </w:p>
        </w:tc>
        <w:tc>
          <w:tcPr>
            <w:tcW w:w="1887" w:type="dxa"/>
            <w:tcBorders>
              <w:bottom w:val="single" w:sz="8" w:space="0" w:color="auto"/>
            </w:tcBorders>
            <w:shd w:val="clear" w:color="auto" w:fill="FFFFFF"/>
          </w:tcPr>
          <w:p w14:paraId="3C15A351" w14:textId="77777777" w:rsidR="00B834A2" w:rsidRPr="00D34D77" w:rsidRDefault="00B834A2" w:rsidP="00D34D77">
            <w:pPr>
              <w:spacing w:after="120"/>
              <w:jc w:val="center"/>
              <w:rPr>
                <w:sz w:val="20"/>
              </w:rPr>
            </w:pPr>
          </w:p>
        </w:tc>
        <w:tc>
          <w:tcPr>
            <w:tcW w:w="2008" w:type="dxa"/>
            <w:tcBorders>
              <w:bottom w:val="single" w:sz="8" w:space="0" w:color="auto"/>
            </w:tcBorders>
            <w:shd w:val="clear" w:color="auto" w:fill="FFFFFF"/>
          </w:tcPr>
          <w:p w14:paraId="25273431" w14:textId="77777777" w:rsidR="00B834A2" w:rsidRPr="00D34D77" w:rsidRDefault="00B834A2" w:rsidP="00D34D77">
            <w:pPr>
              <w:spacing w:after="120"/>
              <w:jc w:val="center"/>
              <w:rPr>
                <w:sz w:val="20"/>
              </w:rPr>
            </w:pPr>
            <w:r w:rsidRPr="00D34D77">
              <w:rPr>
                <w:sz w:val="20"/>
              </w:rPr>
              <w:t>270</w:t>
            </w:r>
          </w:p>
        </w:tc>
      </w:tr>
    </w:tbl>
    <w:p w14:paraId="57A8605F" w14:textId="77777777" w:rsidR="00783242" w:rsidRPr="006F34D9" w:rsidRDefault="001E64EC" w:rsidP="006C4184">
      <w:pPr>
        <w:spacing w:after="160" w:line="360" w:lineRule="auto"/>
        <w:ind w:firstLine="567"/>
        <w:jc w:val="both"/>
        <w:rPr>
          <w:sz w:val="22"/>
        </w:rPr>
      </w:pPr>
      <w:r w:rsidRPr="006F34D9">
        <w:rPr>
          <w:sz w:val="22"/>
        </w:rPr>
        <w:t>*90 °С՝ անմիջապես աշտարակի սկզբնամասում ներմուծելու դեպքում:</w:t>
      </w:r>
    </w:p>
    <w:p w14:paraId="718610B9" w14:textId="77777777" w:rsidR="00B834A2" w:rsidRPr="006F34D9" w:rsidRDefault="00B834A2" w:rsidP="006C4184">
      <w:pPr>
        <w:spacing w:after="160" w:line="360" w:lineRule="auto"/>
        <w:ind w:firstLine="567"/>
        <w:jc w:val="both"/>
        <w:rPr>
          <w:i/>
        </w:rPr>
      </w:pPr>
      <w:r w:rsidRPr="006F34D9">
        <w:rPr>
          <w:i/>
        </w:rPr>
        <w:lastRenderedPageBreak/>
        <w:t>Քրոմատագրման համակարգի պիտանիությունը.</w:t>
      </w:r>
    </w:p>
    <w:p w14:paraId="3F3C7ED8"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(բ)</w:t>
      </w:r>
      <w:r w:rsidRPr="00B834A2">
        <w:t xml:space="preserve"> համեմատման լուծույթի քրոմատագրի վրա մեթիլպալմիտատի, մեթիլստեարատի, մեթիլարախիդատի </w:t>
      </w:r>
      <w:r>
        <w:t>եւ</w:t>
      </w:r>
      <w:r w:rsidRPr="00B834A2">
        <w:t xml:space="preserve"> մեթիլբեգենատի բաղադրիչների պիկերի մակերեսները փոփոխվում են 2.1.8.25-2 աղյուսակում ներկայացված՝ զգայունության գործակիցներին համապատասխան (պիկի մակերեսը բազմապատկվում է զգայունության գործակցով). նորմալացման մեթոդի կիրառումից հետո ճարպաթթուների մեթիլային եթերների պիկերի ճշգրտված մակերեսներն ընդունում են 100 տոկոս. ճարպաթթվի յուրաքանչյուր մեթիլային եթերի մակերեսի նորմալացված տոկոսային պարունակությունը պետք է լինի համապատասխան զանգվածային տոկոսի (±1) սահմաններում.</w:t>
      </w:r>
    </w:p>
    <w:p w14:paraId="0EDB0534" w14:textId="77777777" w:rsidR="00B834A2" w:rsidRPr="00B834A2" w:rsidRDefault="00B834A2" w:rsidP="006C4184">
      <w:pPr>
        <w:tabs>
          <w:tab w:val="left" w:pos="1134"/>
        </w:tabs>
        <w:spacing w:after="160" w:line="360" w:lineRule="auto"/>
        <w:ind w:firstLine="567"/>
        <w:jc w:val="both"/>
        <w:rPr>
          <w:i/>
        </w:rPr>
      </w:pPr>
      <w:r w:rsidRPr="00B834A2">
        <w:rPr>
          <w:i/>
        </w:rPr>
        <w:t>-</w:t>
      </w:r>
      <w:r w:rsidR="006C4184" w:rsidRPr="006C4184">
        <w:rPr>
          <w:i/>
        </w:rPr>
        <w:tab/>
      </w:r>
      <w:r w:rsidRPr="00B834A2">
        <w:rPr>
          <w:i/>
        </w:rPr>
        <w:t>լուծաչափը՝</w:t>
      </w:r>
    </w:p>
    <w:p w14:paraId="0363627A"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t xml:space="preserve">էթիլային եթերները՝ առնվազն 1,2՝ </w:t>
      </w:r>
      <w:r w:rsidRPr="006F34D9">
        <w:rPr>
          <w:i/>
        </w:rPr>
        <w:t>(ա)</w:t>
      </w:r>
      <w:r w:rsidRPr="00B834A2">
        <w:t xml:space="preserve"> համեմատման լուծույթի քրոմատագրի վրա մեթիլտրիկոզանոատի </w:t>
      </w:r>
      <w:r>
        <w:t>եւ</w:t>
      </w:r>
      <w:r w:rsidRPr="00B834A2">
        <w:t xml:space="preserve"> գենիկոզապենտաենաթթվի էթիլային եթերի պիկերի միջ</w:t>
      </w:r>
      <w:r>
        <w:t>եւ</w:t>
      </w:r>
      <w:r w:rsidRPr="00B834A2">
        <w:t>.</w:t>
      </w:r>
    </w:p>
    <w:p w14:paraId="16C599D8" w14:textId="77777777" w:rsidR="00B834A2" w:rsidRPr="00DE4F37" w:rsidRDefault="00B834A2" w:rsidP="006C4184">
      <w:pPr>
        <w:tabs>
          <w:tab w:val="left" w:pos="1134"/>
        </w:tabs>
        <w:spacing w:after="160" w:line="360" w:lineRule="auto"/>
        <w:ind w:firstLine="567"/>
        <w:jc w:val="both"/>
      </w:pPr>
      <w:r w:rsidRPr="00B834A2">
        <w:t>-</w:t>
      </w:r>
      <w:r w:rsidR="006C4184" w:rsidRPr="006C4184">
        <w:tab/>
      </w:r>
      <w:r w:rsidRPr="00B834A2">
        <w:t xml:space="preserve">տրիգլիցերիդները՝ առնվազն 1,2՝ (ա) փորձարկվող լուծույթի կամ (գ) համեմատման լուծույթի քրոմատագրի վրա դոկոզահեքսաենաթթվի մեթիլային եթերի </w:t>
      </w:r>
      <w:r>
        <w:t>եւ</w:t>
      </w:r>
      <w:r w:rsidRPr="00B834A2">
        <w:t xml:space="preserve"> տետրակոզ-15-ենաթթվի մեթիլային եթերի պիկերի միջ</w:t>
      </w:r>
      <w:r>
        <w:t>եւ</w:t>
      </w:r>
      <w:r w:rsidRPr="00B834A2">
        <w:t>.</w:t>
      </w:r>
    </w:p>
    <w:p w14:paraId="35ABBDCC" w14:textId="77777777" w:rsidR="00B834A2" w:rsidRPr="00B834A2" w:rsidRDefault="00B834A2" w:rsidP="006C4184">
      <w:pPr>
        <w:spacing w:after="160" w:line="360" w:lineRule="auto"/>
        <w:ind w:firstLine="567"/>
        <w:jc w:val="both"/>
      </w:pPr>
      <w:r w:rsidRPr="00B834A2">
        <w:t>Աղյուսակ 2.1.8.25-2</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00"/>
        <w:gridCol w:w="2590"/>
      </w:tblGrid>
      <w:tr w:rsidR="00B834A2" w:rsidRPr="006C4184" w14:paraId="5C561C2B" w14:textId="77777777" w:rsidTr="006C4184">
        <w:trPr>
          <w:jc w:val="center"/>
        </w:trPr>
        <w:tc>
          <w:tcPr>
            <w:tcW w:w="3700" w:type="dxa"/>
            <w:tcBorders>
              <w:top w:val="single" w:sz="4" w:space="0" w:color="auto"/>
            </w:tcBorders>
            <w:shd w:val="clear" w:color="auto" w:fill="FFFFFF"/>
            <w:vAlign w:val="bottom"/>
          </w:tcPr>
          <w:p w14:paraId="189D1C25" w14:textId="77777777" w:rsidR="00B834A2" w:rsidRPr="006C4184" w:rsidRDefault="00B834A2" w:rsidP="006C4184">
            <w:pPr>
              <w:spacing w:after="120"/>
              <w:jc w:val="both"/>
              <w:rPr>
                <w:sz w:val="20"/>
              </w:rPr>
            </w:pPr>
            <w:r w:rsidRPr="006C4184">
              <w:rPr>
                <w:sz w:val="20"/>
              </w:rPr>
              <w:t>Ճարպաթթուների մեթիլային եթերները</w:t>
            </w:r>
          </w:p>
        </w:tc>
        <w:tc>
          <w:tcPr>
            <w:tcW w:w="2590" w:type="dxa"/>
            <w:tcBorders>
              <w:top w:val="single" w:sz="4" w:space="0" w:color="auto"/>
            </w:tcBorders>
            <w:shd w:val="clear" w:color="auto" w:fill="FFFFFF"/>
            <w:vAlign w:val="bottom"/>
          </w:tcPr>
          <w:p w14:paraId="5E4D7388" w14:textId="77777777" w:rsidR="00B834A2" w:rsidRPr="006C4184" w:rsidRDefault="00B834A2" w:rsidP="006C4184">
            <w:pPr>
              <w:spacing w:after="120"/>
              <w:jc w:val="both"/>
              <w:rPr>
                <w:sz w:val="20"/>
              </w:rPr>
            </w:pPr>
            <w:r w:rsidRPr="006C4184">
              <w:rPr>
                <w:sz w:val="20"/>
              </w:rPr>
              <w:t>Զգայունության գործակիցը</w:t>
            </w:r>
          </w:p>
        </w:tc>
      </w:tr>
      <w:tr w:rsidR="00B834A2" w:rsidRPr="006C4184" w14:paraId="18ADE511" w14:textId="77777777" w:rsidTr="006C4184">
        <w:trPr>
          <w:jc w:val="center"/>
        </w:trPr>
        <w:tc>
          <w:tcPr>
            <w:tcW w:w="3700" w:type="dxa"/>
            <w:tcBorders>
              <w:top w:val="single" w:sz="4" w:space="0" w:color="auto"/>
            </w:tcBorders>
            <w:shd w:val="clear" w:color="auto" w:fill="FFFFFF"/>
          </w:tcPr>
          <w:p w14:paraId="6E838FCF" w14:textId="77777777" w:rsidR="00B834A2" w:rsidRPr="006C4184" w:rsidRDefault="00B834A2" w:rsidP="006C4184">
            <w:pPr>
              <w:spacing w:after="120"/>
              <w:jc w:val="both"/>
              <w:rPr>
                <w:sz w:val="20"/>
              </w:rPr>
            </w:pPr>
            <w:r w:rsidRPr="006C4184">
              <w:rPr>
                <w:sz w:val="20"/>
              </w:rPr>
              <w:t>Մեթիլպալմիտատ</w:t>
            </w:r>
          </w:p>
        </w:tc>
        <w:tc>
          <w:tcPr>
            <w:tcW w:w="2590" w:type="dxa"/>
            <w:tcBorders>
              <w:top w:val="single" w:sz="4" w:space="0" w:color="auto"/>
            </w:tcBorders>
            <w:shd w:val="clear" w:color="auto" w:fill="FFFFFF"/>
          </w:tcPr>
          <w:p w14:paraId="4830F182" w14:textId="77777777" w:rsidR="00B834A2" w:rsidRPr="006C4184" w:rsidRDefault="00B834A2" w:rsidP="006C4184">
            <w:pPr>
              <w:spacing w:after="120"/>
              <w:jc w:val="center"/>
              <w:rPr>
                <w:sz w:val="20"/>
              </w:rPr>
            </w:pPr>
            <w:r w:rsidRPr="006C4184">
              <w:rPr>
                <w:sz w:val="20"/>
              </w:rPr>
              <w:t>1.049</w:t>
            </w:r>
          </w:p>
        </w:tc>
      </w:tr>
      <w:tr w:rsidR="00B834A2" w:rsidRPr="006C4184" w14:paraId="4E1F760B" w14:textId="77777777" w:rsidTr="006C4184">
        <w:trPr>
          <w:jc w:val="center"/>
        </w:trPr>
        <w:tc>
          <w:tcPr>
            <w:tcW w:w="3700" w:type="dxa"/>
            <w:shd w:val="clear" w:color="auto" w:fill="FFFFFF"/>
            <w:vAlign w:val="bottom"/>
          </w:tcPr>
          <w:p w14:paraId="623972AC" w14:textId="77777777" w:rsidR="00B834A2" w:rsidRPr="006C4184" w:rsidRDefault="00B834A2" w:rsidP="006C4184">
            <w:pPr>
              <w:spacing w:after="120"/>
              <w:jc w:val="both"/>
              <w:rPr>
                <w:sz w:val="20"/>
              </w:rPr>
            </w:pPr>
            <w:r w:rsidRPr="006C4184">
              <w:rPr>
                <w:sz w:val="20"/>
              </w:rPr>
              <w:t>Մեթիլստեարատ</w:t>
            </w:r>
          </w:p>
        </w:tc>
        <w:tc>
          <w:tcPr>
            <w:tcW w:w="2590" w:type="dxa"/>
            <w:shd w:val="clear" w:color="auto" w:fill="FFFFFF"/>
            <w:vAlign w:val="bottom"/>
          </w:tcPr>
          <w:p w14:paraId="50F124D9" w14:textId="77777777" w:rsidR="00B834A2" w:rsidRPr="006C4184" w:rsidRDefault="00B834A2" w:rsidP="006C4184">
            <w:pPr>
              <w:spacing w:after="120"/>
              <w:jc w:val="center"/>
              <w:rPr>
                <w:sz w:val="20"/>
              </w:rPr>
            </w:pPr>
            <w:r w:rsidRPr="006C4184">
              <w:rPr>
                <w:sz w:val="20"/>
              </w:rPr>
              <w:t>1.029</w:t>
            </w:r>
          </w:p>
        </w:tc>
      </w:tr>
      <w:tr w:rsidR="00B834A2" w:rsidRPr="006C4184" w14:paraId="168EF216" w14:textId="77777777" w:rsidTr="006C4184">
        <w:trPr>
          <w:jc w:val="center"/>
        </w:trPr>
        <w:tc>
          <w:tcPr>
            <w:tcW w:w="3700" w:type="dxa"/>
            <w:shd w:val="clear" w:color="auto" w:fill="FFFFFF"/>
            <w:vAlign w:val="bottom"/>
          </w:tcPr>
          <w:p w14:paraId="28005C57" w14:textId="77777777" w:rsidR="00B834A2" w:rsidRPr="006C4184" w:rsidRDefault="00B834A2" w:rsidP="006C4184">
            <w:pPr>
              <w:spacing w:after="120"/>
              <w:jc w:val="both"/>
              <w:rPr>
                <w:sz w:val="20"/>
              </w:rPr>
            </w:pPr>
            <w:r w:rsidRPr="006C4184">
              <w:rPr>
                <w:sz w:val="20"/>
              </w:rPr>
              <w:t>Մեթիլարախիդատ</w:t>
            </w:r>
          </w:p>
        </w:tc>
        <w:tc>
          <w:tcPr>
            <w:tcW w:w="2590" w:type="dxa"/>
            <w:shd w:val="clear" w:color="auto" w:fill="FFFFFF"/>
            <w:vAlign w:val="bottom"/>
          </w:tcPr>
          <w:p w14:paraId="30E32F00" w14:textId="77777777" w:rsidR="00B834A2" w:rsidRPr="006C4184" w:rsidRDefault="00B834A2" w:rsidP="006C4184">
            <w:pPr>
              <w:spacing w:after="120"/>
              <w:jc w:val="center"/>
              <w:rPr>
                <w:sz w:val="20"/>
              </w:rPr>
            </w:pPr>
            <w:r w:rsidRPr="006C4184">
              <w:rPr>
                <w:sz w:val="20"/>
              </w:rPr>
              <w:t>1.013</w:t>
            </w:r>
          </w:p>
        </w:tc>
      </w:tr>
      <w:tr w:rsidR="00B834A2" w:rsidRPr="006C4184" w14:paraId="2012C1FF" w14:textId="77777777" w:rsidTr="006C4184">
        <w:trPr>
          <w:jc w:val="center"/>
        </w:trPr>
        <w:tc>
          <w:tcPr>
            <w:tcW w:w="3700" w:type="dxa"/>
            <w:shd w:val="clear" w:color="auto" w:fill="FFFFFF"/>
            <w:vAlign w:val="center"/>
          </w:tcPr>
          <w:p w14:paraId="04E9FCBA" w14:textId="77777777" w:rsidR="00B834A2" w:rsidRPr="006C4184" w:rsidRDefault="00B834A2" w:rsidP="006C4184">
            <w:pPr>
              <w:spacing w:after="120"/>
              <w:jc w:val="both"/>
              <w:rPr>
                <w:sz w:val="20"/>
              </w:rPr>
            </w:pPr>
            <w:r w:rsidRPr="006C4184">
              <w:rPr>
                <w:sz w:val="20"/>
              </w:rPr>
              <w:t>Մեթիլբեգենատ</w:t>
            </w:r>
          </w:p>
        </w:tc>
        <w:tc>
          <w:tcPr>
            <w:tcW w:w="2590" w:type="dxa"/>
            <w:shd w:val="clear" w:color="auto" w:fill="FFFFFF"/>
            <w:vAlign w:val="center"/>
          </w:tcPr>
          <w:p w14:paraId="1F913108" w14:textId="77777777" w:rsidR="00B834A2" w:rsidRPr="006C4184" w:rsidRDefault="00B834A2" w:rsidP="006C4184">
            <w:pPr>
              <w:spacing w:after="120"/>
              <w:jc w:val="center"/>
              <w:rPr>
                <w:sz w:val="20"/>
              </w:rPr>
            </w:pPr>
            <w:r w:rsidRPr="006C4184">
              <w:rPr>
                <w:sz w:val="20"/>
              </w:rPr>
              <w:t>1</w:t>
            </w:r>
          </w:p>
        </w:tc>
      </w:tr>
    </w:tbl>
    <w:p w14:paraId="0AA90F0F" w14:textId="77777777" w:rsidR="001516F5" w:rsidRDefault="001516F5" w:rsidP="006C4184">
      <w:pPr>
        <w:tabs>
          <w:tab w:val="left" w:pos="1134"/>
        </w:tabs>
        <w:spacing w:after="160" w:line="360" w:lineRule="auto"/>
        <w:ind w:firstLine="567"/>
        <w:jc w:val="both"/>
        <w:rPr>
          <w:lang w:val="en-US"/>
        </w:rPr>
      </w:pPr>
    </w:p>
    <w:p w14:paraId="12B36780"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t xml:space="preserve">փորձարկվող լուծույթի օգնությամբ ստացված քրոմատագրի վրա մեթիլտրիկոզանոատի </w:t>
      </w:r>
      <w:r>
        <w:t>եւ</w:t>
      </w:r>
      <w:r w:rsidRPr="00B834A2">
        <w:t xml:space="preserve"> գենիկոզապենտաենաթթվի մեթիլային եթերի պիկերը (բ) փորձարկվող լուծույթի օգնությամբ ստացված քրոմատագրի հետ համեմատելիս պետք է ամբողջությամբ տարանջատվեն:</w:t>
      </w:r>
    </w:p>
    <w:p w14:paraId="0796640F" w14:textId="77777777" w:rsidR="00B834A2" w:rsidRPr="00B834A2" w:rsidRDefault="00B834A2" w:rsidP="006C4184">
      <w:pPr>
        <w:tabs>
          <w:tab w:val="left" w:pos="1134"/>
        </w:tabs>
        <w:spacing w:after="160" w:line="360" w:lineRule="auto"/>
        <w:ind w:firstLine="567"/>
        <w:jc w:val="both"/>
      </w:pPr>
      <w:r w:rsidRPr="00B834A2">
        <w:lastRenderedPageBreak/>
        <w:t xml:space="preserve">Էյկոզապենտաենաթթվի </w:t>
      </w:r>
      <w:r>
        <w:t>եւ</w:t>
      </w:r>
      <w:r w:rsidRPr="00B834A2">
        <w:t xml:space="preserve"> դոկոզահեքսաենաթթվի՝ տոկոսներով պարունակությունը, հաշվի առնելով ստանդարտ նմուշների մեջ դրանց պարունակությունը, հաշվարկում են հետ</w:t>
      </w:r>
      <w:r>
        <w:t>եւ</w:t>
      </w:r>
      <w:r w:rsidRPr="00B834A2">
        <w:t>յալ բանաձ</w:t>
      </w:r>
      <w:r>
        <w:t>եւ</w:t>
      </w:r>
      <w:r w:rsidRPr="00B834A2">
        <w:t>ով.</w:t>
      </w:r>
    </w:p>
    <w:p w14:paraId="2F893CA9" w14:textId="77777777" w:rsidR="00B834A2" w:rsidRPr="00B834A2" w:rsidRDefault="00000000" w:rsidP="00B834A2">
      <w:pPr>
        <w:spacing w:after="160" w:line="360" w:lineRule="auto"/>
        <w:jc w:val="both"/>
      </w:pPr>
      <m:oMathPara>
        <m:oMath>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den>
              </m:f>
            </m:e>
          </m:d>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f</m:t>
              </m:r>
            </m:sub>
          </m:sSub>
          <m:r>
            <m:rPr>
              <m:sty m:val="p"/>
            </m:rPr>
            <w:rPr>
              <w:rFonts w:ascii="Cambria Math" w:hAnsi="Cambria Math"/>
            </w:rPr>
            <m:t>∙</m:t>
          </m:r>
          <m:r>
            <w:rPr>
              <w:rFonts w:ascii="Cambria Math" w:hAnsi="Cambria Math"/>
            </w:rPr>
            <m:t>K</m:t>
          </m:r>
          <m:r>
            <m:rPr>
              <m:sty m:val="p"/>
            </m:rPr>
            <w:rPr>
              <w:rFonts w:ascii="Cambria Math" w:hAnsi="Cambria Math"/>
            </w:rPr>
            <m:t>∙100,</m:t>
          </m:r>
        </m:oMath>
      </m:oMathPara>
    </w:p>
    <w:p w14:paraId="3EE8F57D" w14:textId="77777777" w:rsidR="00B834A2" w:rsidRPr="00B834A2" w:rsidRDefault="00B834A2" w:rsidP="006C4184">
      <w:pPr>
        <w:spacing w:after="160" w:line="360" w:lineRule="auto"/>
        <w:ind w:firstLine="567"/>
        <w:jc w:val="both"/>
      </w:pPr>
      <w:r w:rsidRPr="00B834A2">
        <w:t>որտեղ՝</w:t>
      </w:r>
    </w:p>
    <w:p w14:paraId="0A1E8AF0" w14:textId="77777777" w:rsidR="00B834A2" w:rsidRPr="00B834A2" w:rsidRDefault="00B834A2" w:rsidP="006C4184">
      <w:pPr>
        <w:spacing w:after="160" w:line="360" w:lineRule="auto"/>
        <w:ind w:firstLine="567"/>
        <w:jc w:val="both"/>
      </w:pPr>
      <w:r w:rsidRPr="00B834A2">
        <w:t>R</w:t>
      </w:r>
      <w:r w:rsidRPr="00B834A2">
        <w:rPr>
          <w:vertAlign w:val="subscript"/>
        </w:rPr>
        <w:t>f</w:t>
      </w:r>
      <w:r w:rsidRPr="00B834A2">
        <w:t xml:space="preserve">-ը էյկոզապենտաենաթթվի </w:t>
      </w:r>
      <w:r>
        <w:t>եւ</w:t>
      </w:r>
      <w:r w:rsidRPr="00B834A2">
        <w:t xml:space="preserve"> դոկոզահեքսաենաթթվի համար զգայունության գործակիցն է՝ հաշվարկված հետ</w:t>
      </w:r>
      <w:r>
        <w:t>եւ</w:t>
      </w:r>
      <w:r w:rsidRPr="00B834A2">
        <w:t>յալ բանաձ</w:t>
      </w:r>
      <w:r>
        <w:t>եւ</w:t>
      </w:r>
      <w:r w:rsidRPr="00B834A2">
        <w:t>ով.</w:t>
      </w:r>
    </w:p>
    <w:p w14:paraId="50C4DA73" w14:textId="77777777" w:rsidR="00B834A2" w:rsidRPr="00B834A2" w:rsidRDefault="00000000" w:rsidP="00B834A2">
      <w:pPr>
        <w:spacing w:after="160" w:line="360" w:lineRule="auto"/>
        <w:jc w:val="both"/>
      </w:pPr>
      <m:oMathPara>
        <m:oMath>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x</m:t>
                  </m:r>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x</m:t>
                  </m:r>
                  <m:r>
                    <m:rPr>
                      <m:sty m:val="p"/>
                    </m:rPr>
                    <w:rPr>
                      <w:rFonts w:ascii="Cambria Math" w:hAnsi="Cambria Math"/>
                    </w:rPr>
                    <m:t>,</m:t>
                  </m:r>
                  <m:r>
                    <w:rPr>
                      <w:rFonts w:ascii="Cambria Math" w:hAnsi="Cambria Math"/>
                    </w:rPr>
                    <m:t>r</m:t>
                  </m:r>
                </m:sub>
              </m:sSub>
            </m:num>
            <m:den>
              <m:sSub>
                <m:sSubPr>
                  <m:ctrlPr>
                    <w:rPr>
                      <w:rFonts w:ascii="Cambria Math" w:hAnsi="Cambria Math"/>
                    </w:rPr>
                  </m:ctrlPr>
                </m:sSubPr>
                <m:e>
                  <m:r>
                    <w:rPr>
                      <w:rFonts w:ascii="Cambria Math" w:hAnsi="Cambria Math"/>
                    </w:rPr>
                    <m:t>A</m:t>
                  </m:r>
                </m:e>
                <m:sub>
                  <m:r>
                    <w:rPr>
                      <w:rFonts w:ascii="Cambria Math" w:hAnsi="Cambria Math"/>
                    </w:rPr>
                    <m:t>x</m:t>
                  </m:r>
                  <m:r>
                    <m:rPr>
                      <m:sty m:val="p"/>
                    </m:rPr>
                    <w:rPr>
                      <w:rFonts w:ascii="Cambria Math" w:hAnsi="Cambria Math"/>
                    </w:rPr>
                    <m:t>,</m:t>
                  </m:r>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x</m:t>
                  </m:r>
                  <m:r>
                    <m:rPr>
                      <m:sty m:val="p"/>
                    </m:rPr>
                    <w:rPr>
                      <w:rFonts w:ascii="Cambria Math" w:hAnsi="Cambria Math"/>
                    </w:rPr>
                    <m:t>,3</m:t>
                  </m:r>
                </m:sub>
              </m:sSub>
            </m:den>
          </m:f>
          <m:r>
            <m:rPr>
              <m:sty m:val="p"/>
            </m:rPr>
            <w:rPr>
              <w:rFonts w:ascii="Cambria Math" w:hAnsi="Cambria Math"/>
            </w:rPr>
            <m:t>,</m:t>
          </m:r>
        </m:oMath>
      </m:oMathPara>
    </w:p>
    <w:p w14:paraId="2AFD4FA3" w14:textId="77777777" w:rsidR="00B834A2" w:rsidRPr="00B834A2" w:rsidRDefault="00B834A2" w:rsidP="006C4184">
      <w:pPr>
        <w:spacing w:after="160" w:line="360" w:lineRule="auto"/>
        <w:ind w:firstLine="567"/>
        <w:jc w:val="both"/>
      </w:pPr>
      <w:r w:rsidRPr="00B834A2">
        <w:t xml:space="preserve">որտեղ՝ </w:t>
      </w:r>
    </w:p>
    <w:p w14:paraId="52E4DC3B" w14:textId="77777777" w:rsidR="00B834A2" w:rsidRPr="00B834A2" w:rsidRDefault="00B834A2" w:rsidP="006C4184">
      <w:pPr>
        <w:spacing w:after="160" w:line="360" w:lineRule="auto"/>
        <w:ind w:firstLine="567"/>
        <w:jc w:val="both"/>
      </w:pPr>
      <w:r w:rsidRPr="006F34D9">
        <w:rPr>
          <w:i/>
        </w:rPr>
        <w:t>m</w:t>
      </w:r>
      <w:r w:rsidRPr="006F34D9">
        <w:rPr>
          <w:i/>
          <w:vertAlign w:val="subscript"/>
        </w:rPr>
        <w:t>1</w:t>
      </w:r>
      <w:r w:rsidRPr="00B834A2">
        <w:t>-ը (ա) փորձարկվող լուծույթի մեջ ներքին ստանդարտի զանգվածն է՝ միլիգրամներով.</w:t>
      </w:r>
    </w:p>
    <w:p w14:paraId="30E1B03B" w14:textId="77777777" w:rsidR="00B834A2" w:rsidRPr="00B834A2" w:rsidRDefault="00B834A2" w:rsidP="006C4184">
      <w:pPr>
        <w:spacing w:after="160" w:line="360" w:lineRule="auto"/>
        <w:ind w:firstLine="567"/>
        <w:jc w:val="both"/>
      </w:pPr>
      <w:r w:rsidRPr="006F34D9">
        <w:rPr>
          <w:i/>
        </w:rPr>
        <w:t>m</w:t>
      </w:r>
      <w:r w:rsidRPr="006F34D9">
        <w:rPr>
          <w:i/>
          <w:vertAlign w:val="subscript"/>
        </w:rPr>
        <w:t>2</w:t>
      </w:r>
      <w:r w:rsidRPr="00B834A2">
        <w:t>-ը (ա) փորձարկվող լուծույթի մեջ փորձարկվող նմուշի զանգվածն է՝ միլիգրամներով.</w:t>
      </w:r>
    </w:p>
    <w:p w14:paraId="5D329761" w14:textId="77777777" w:rsidR="00B834A2" w:rsidRPr="00B834A2" w:rsidRDefault="00B834A2" w:rsidP="006C4184">
      <w:pPr>
        <w:spacing w:after="160" w:line="360" w:lineRule="auto"/>
        <w:ind w:firstLine="567"/>
        <w:jc w:val="both"/>
      </w:pPr>
      <w:r w:rsidRPr="006F34D9">
        <w:rPr>
          <w:i/>
        </w:rPr>
        <w:t>m</w:t>
      </w:r>
      <w:r w:rsidRPr="006F34D9">
        <w:rPr>
          <w:i/>
          <w:vertAlign w:val="subscript"/>
        </w:rPr>
        <w:t>x,3</w:t>
      </w:r>
      <w:r w:rsidRPr="00B834A2">
        <w:t>-ը (ա</w:t>
      </w:r>
      <w:r w:rsidRPr="00B834A2">
        <w:rPr>
          <w:vertAlign w:val="subscript"/>
        </w:rPr>
        <w:t>1</w:t>
      </w:r>
      <w:r w:rsidRPr="00B834A2">
        <w:t>) համեմատման լուծույթի մեջ (էյկոզապենտաենաթթվի որոշման համար) կամ (ա</w:t>
      </w:r>
      <w:r w:rsidRPr="00B834A2">
        <w:rPr>
          <w:vertAlign w:val="subscript"/>
        </w:rPr>
        <w:t>2</w:t>
      </w:r>
      <w:r w:rsidRPr="00B834A2">
        <w:t>) համեմատման լուծույթի մեջ (դոկոզահեքսաենաթթվի որոշման համար) ներքին ստանդարտի զանգվածն է՝ միլիգրամներով.</w:t>
      </w:r>
    </w:p>
    <w:p w14:paraId="78E65D2B" w14:textId="77777777" w:rsidR="00B834A2" w:rsidRPr="00B834A2" w:rsidRDefault="00B834A2" w:rsidP="006C4184">
      <w:pPr>
        <w:spacing w:after="160" w:line="360" w:lineRule="auto"/>
        <w:ind w:firstLine="567"/>
        <w:jc w:val="both"/>
      </w:pPr>
      <w:r w:rsidRPr="006F34D9">
        <w:rPr>
          <w:i/>
        </w:rPr>
        <w:t>m</w:t>
      </w:r>
      <w:r w:rsidRPr="006F34D9">
        <w:rPr>
          <w:i/>
          <w:vertAlign w:val="subscript"/>
        </w:rPr>
        <w:t>x,r</w:t>
      </w:r>
      <w:r w:rsidRPr="00B834A2">
        <w:t>-ը (ա</w:t>
      </w:r>
      <w:r w:rsidRPr="00B834A2">
        <w:rPr>
          <w:vertAlign w:val="subscript"/>
        </w:rPr>
        <w:t>1</w:t>
      </w:r>
      <w:r w:rsidRPr="00B834A2">
        <w:t>) համեմատման լուծույթի մեջ ԵԱՏՄԴ ՍՆ էյկոզապենտաենաթթվի էթիլային եթերի կամ (ա</w:t>
      </w:r>
      <w:r w:rsidRPr="00B834A2">
        <w:rPr>
          <w:vertAlign w:val="subscript"/>
        </w:rPr>
        <w:t>2</w:t>
      </w:r>
      <w:r w:rsidRPr="00B834A2">
        <w:t>) համեմատման լուծույթի մեջ ԵԱՏՄԴ ՍՆ դոկոզահեքսաենաթթվի էթիլային եթերի զանգվածն է՝ միլիգրամներով.</w:t>
      </w:r>
    </w:p>
    <w:p w14:paraId="38914145" w14:textId="77777777" w:rsidR="00B834A2" w:rsidRPr="00097504" w:rsidRDefault="00B834A2" w:rsidP="006C4184">
      <w:pPr>
        <w:spacing w:after="160" w:line="360" w:lineRule="auto"/>
        <w:ind w:firstLine="567"/>
        <w:jc w:val="both"/>
      </w:pPr>
      <w:r w:rsidRPr="006F34D9">
        <w:rPr>
          <w:i/>
        </w:rPr>
        <w:t>А</w:t>
      </w:r>
      <w:r w:rsidRPr="006F34D9">
        <w:rPr>
          <w:i/>
          <w:vertAlign w:val="subscript"/>
        </w:rPr>
        <w:t>х</w:t>
      </w:r>
      <w:r w:rsidRPr="006F34D9">
        <w:rPr>
          <w:i/>
        </w:rPr>
        <w:t>-</w:t>
      </w:r>
      <w:r w:rsidRPr="00B834A2">
        <w:t>ը (ա) փորձարկվող լուծույթի քրոմատագրի վրա էյկոզապենտաենաթթվի էթիլային եթերի կամ դոկոզահեքսաենաթթվի էթիլային եթերի պիկի մակերեսն է.</w:t>
      </w:r>
    </w:p>
    <w:p w14:paraId="3781B747" w14:textId="77777777" w:rsidR="00B834A2" w:rsidRPr="00B834A2" w:rsidRDefault="00B834A2" w:rsidP="006C4184">
      <w:pPr>
        <w:spacing w:after="160" w:line="360" w:lineRule="auto"/>
        <w:ind w:firstLine="567"/>
        <w:jc w:val="both"/>
      </w:pPr>
      <w:r w:rsidRPr="006F34D9">
        <w:rPr>
          <w:i/>
        </w:rPr>
        <w:t>А</w:t>
      </w:r>
      <w:r w:rsidRPr="006F34D9">
        <w:rPr>
          <w:i/>
          <w:vertAlign w:val="subscript"/>
        </w:rPr>
        <w:t>х,r</w:t>
      </w:r>
      <w:r w:rsidRPr="00B834A2">
        <w:t>-ը (ա</w:t>
      </w:r>
      <w:r w:rsidRPr="00B834A2">
        <w:rPr>
          <w:vertAlign w:val="subscript"/>
        </w:rPr>
        <w:t>1</w:t>
      </w:r>
      <w:r w:rsidRPr="00B834A2">
        <w:t>) համեմատման լուծույթի քրոմատագրի</w:t>
      </w:r>
      <w:r>
        <w:t xml:space="preserve"> </w:t>
      </w:r>
      <w:r w:rsidRPr="00B834A2">
        <w:t>վրա էյկոզապենտաենաթթվի էթիլային եթերի կամ (ա</w:t>
      </w:r>
      <w:r w:rsidRPr="00B834A2">
        <w:rPr>
          <w:vertAlign w:val="subscript"/>
        </w:rPr>
        <w:t>2</w:t>
      </w:r>
      <w:r w:rsidRPr="00B834A2">
        <w:t>) համեմատման լուծույթի քրոմատագրի վրա դոկոզահեքսաենաթթվի էթիլային եթերի պիկի</w:t>
      </w:r>
      <w:r>
        <w:t xml:space="preserve"> </w:t>
      </w:r>
      <w:r w:rsidRPr="00B834A2">
        <w:t>մակերեսն է.</w:t>
      </w:r>
    </w:p>
    <w:p w14:paraId="0660F603" w14:textId="77777777" w:rsidR="00B834A2" w:rsidRPr="00B834A2" w:rsidRDefault="00B834A2" w:rsidP="006C4184">
      <w:pPr>
        <w:spacing w:after="160" w:line="360" w:lineRule="auto"/>
        <w:ind w:firstLine="567"/>
        <w:jc w:val="both"/>
      </w:pPr>
      <w:r w:rsidRPr="006F34D9">
        <w:rPr>
          <w:i/>
        </w:rPr>
        <w:lastRenderedPageBreak/>
        <w:t>A</w:t>
      </w:r>
      <w:r w:rsidRPr="006F34D9">
        <w:rPr>
          <w:i/>
          <w:vertAlign w:val="subscript"/>
        </w:rPr>
        <w:t>1</w:t>
      </w:r>
      <w:r w:rsidRPr="006F34D9">
        <w:rPr>
          <w:i/>
        </w:rPr>
        <w:t>-</w:t>
      </w:r>
      <w:r w:rsidRPr="00B834A2">
        <w:t>ը (ա) փորձարկվող լուծույթի քրոմատագրի վրա ներքին ստանդարտի պիկի մակերեսն է.</w:t>
      </w:r>
    </w:p>
    <w:p w14:paraId="50CA950D" w14:textId="77777777" w:rsidR="00B834A2" w:rsidRPr="00B834A2" w:rsidRDefault="00B834A2" w:rsidP="006C4184">
      <w:pPr>
        <w:spacing w:after="160" w:line="360" w:lineRule="auto"/>
        <w:ind w:firstLine="567"/>
        <w:jc w:val="both"/>
      </w:pPr>
      <w:r w:rsidRPr="006F34D9">
        <w:rPr>
          <w:i/>
        </w:rPr>
        <w:t>А</w:t>
      </w:r>
      <w:r w:rsidRPr="006F34D9">
        <w:rPr>
          <w:i/>
          <w:vertAlign w:val="subscript"/>
        </w:rPr>
        <w:t>х,3</w:t>
      </w:r>
      <w:r w:rsidRPr="006F34D9">
        <w:rPr>
          <w:i/>
        </w:rPr>
        <w:t>-</w:t>
      </w:r>
      <w:r w:rsidRPr="00B834A2">
        <w:t>ը (ա</w:t>
      </w:r>
      <w:r w:rsidRPr="00B834A2">
        <w:rPr>
          <w:vertAlign w:val="subscript"/>
        </w:rPr>
        <w:t>1</w:t>
      </w:r>
      <w:r w:rsidRPr="00B834A2">
        <w:t>) համեմատման լուծույթի (էյկոզապենտաենաթթվի որոշման համար) կամ (ա</w:t>
      </w:r>
      <w:r w:rsidRPr="00B834A2">
        <w:rPr>
          <w:vertAlign w:val="subscript"/>
        </w:rPr>
        <w:t>2</w:t>
      </w:r>
      <w:r w:rsidRPr="00B834A2">
        <w:t>) համեմատման լուծույթի (դոկոզահեքսաենաթթվի որոշման համար) քրոմատագրերի վրա ներքին ստանդարտի պիկի մակերեսն է.</w:t>
      </w:r>
    </w:p>
    <w:p w14:paraId="06C4E3E6" w14:textId="77777777" w:rsidR="00B834A2" w:rsidRPr="00B834A2" w:rsidRDefault="00B834A2" w:rsidP="006C4184">
      <w:pPr>
        <w:spacing w:after="160" w:line="360" w:lineRule="auto"/>
        <w:ind w:firstLine="567"/>
        <w:jc w:val="both"/>
      </w:pPr>
      <w:r w:rsidRPr="006F34D9">
        <w:rPr>
          <w:i/>
        </w:rPr>
        <w:t>К-</w:t>
      </w:r>
      <w:r w:rsidRPr="00B834A2">
        <w:t xml:space="preserve">ն էթիլային եթերների </w:t>
      </w:r>
      <w:r>
        <w:t>եւ</w:t>
      </w:r>
      <w:r w:rsidRPr="00B834A2">
        <w:t xml:space="preserve"> տրիգլիցերիդների միջ</w:t>
      </w:r>
      <w:r>
        <w:t>եւ</w:t>
      </w:r>
      <w:r w:rsidRPr="00B834A2">
        <w:t xml:space="preserve"> վերահաշվարկի գործակիցն է.</w:t>
      </w:r>
    </w:p>
    <w:p w14:paraId="4A67AFAB" w14:textId="77777777" w:rsidR="00B834A2" w:rsidRPr="00B834A2" w:rsidRDefault="00B834A2" w:rsidP="006C4184">
      <w:pPr>
        <w:spacing w:after="160" w:line="360" w:lineRule="auto"/>
        <w:ind w:firstLine="567"/>
        <w:jc w:val="both"/>
      </w:pPr>
      <w:r w:rsidRPr="006F34D9">
        <w:t xml:space="preserve">К </w:t>
      </w:r>
      <w:r w:rsidRPr="00B834A2">
        <w:t>էթիլային եթերներ՝ 1,00.</w:t>
      </w:r>
    </w:p>
    <w:p w14:paraId="06CB070B" w14:textId="77777777" w:rsidR="00B834A2" w:rsidRPr="00B834A2" w:rsidRDefault="00B834A2" w:rsidP="006C4184">
      <w:pPr>
        <w:spacing w:after="160" w:line="360" w:lineRule="auto"/>
        <w:ind w:firstLine="567"/>
        <w:jc w:val="both"/>
      </w:pPr>
      <w:r w:rsidRPr="00B834A2">
        <w:t>К տրիգլիցերիդներ՝ 0,954 էյկոզապենտաենաթթվի համար.</w:t>
      </w:r>
    </w:p>
    <w:p w14:paraId="35D9F542" w14:textId="77777777" w:rsidR="00B834A2" w:rsidRPr="00DE4F37" w:rsidRDefault="00B834A2" w:rsidP="006C4184">
      <w:pPr>
        <w:spacing w:after="160" w:line="360" w:lineRule="auto"/>
        <w:ind w:firstLine="567"/>
        <w:jc w:val="both"/>
      </w:pPr>
      <w:r w:rsidRPr="00B834A2">
        <w:t>К՝ 0,957 դոկոզահեքսաենաթթվի համար:</w:t>
      </w:r>
    </w:p>
    <w:p w14:paraId="05A2AAAA" w14:textId="77777777" w:rsidR="001516F5" w:rsidRPr="00DE4F37" w:rsidRDefault="001516F5" w:rsidP="006C4184">
      <w:pPr>
        <w:spacing w:after="160" w:line="360" w:lineRule="auto"/>
        <w:ind w:firstLine="567"/>
        <w:jc w:val="both"/>
      </w:pPr>
    </w:p>
    <w:p w14:paraId="4C79EC63" w14:textId="77777777" w:rsidR="00B834A2" w:rsidRPr="00B834A2" w:rsidRDefault="00B834A2" w:rsidP="006C4184">
      <w:pPr>
        <w:spacing w:after="160" w:line="360" w:lineRule="auto"/>
        <w:ind w:firstLine="567"/>
        <w:jc w:val="both"/>
        <w:rPr>
          <w:b/>
        </w:rPr>
      </w:pPr>
      <w:r w:rsidRPr="00B834A2">
        <w:rPr>
          <w:b/>
        </w:rPr>
        <w:t>ՕՄԵԳԱ-3 ԹԹՈՒՆԵՐԻ ԸՆԴՀԱՆՈՒՐ ՊԱՐՈՒՆԱԿՈՒԹՅՈՒՆԸ</w:t>
      </w:r>
    </w:p>
    <w:p w14:paraId="7C6E6761" w14:textId="77777777" w:rsidR="00B834A2" w:rsidRPr="00B834A2" w:rsidRDefault="00B834A2" w:rsidP="001516F5">
      <w:pPr>
        <w:spacing w:after="160" w:line="348" w:lineRule="auto"/>
        <w:ind w:firstLine="567"/>
        <w:jc w:val="both"/>
      </w:pPr>
      <w:r w:rsidRPr="00B834A2">
        <w:t xml:space="preserve">Էյկոզապենտաենաթթվի </w:t>
      </w:r>
      <w:r>
        <w:t>եւ</w:t>
      </w:r>
      <w:r w:rsidRPr="00B834A2">
        <w:t xml:space="preserve"> դոկոզահեքսաենաթթվի քանակական որոշման ստացված արդյունքների հիման վրա հաշվարկում են օմեգա-3 թթուների՝ տոկոսներով ընդհանուր պարունակությունը՝ հետ</w:t>
      </w:r>
      <w:r>
        <w:t>եւ</w:t>
      </w:r>
      <w:r w:rsidRPr="00B834A2">
        <w:t>յալ բանաձ</w:t>
      </w:r>
      <w:r>
        <w:t>եւ</w:t>
      </w:r>
      <w:r w:rsidRPr="00B834A2">
        <w:t>ով.</w:t>
      </w:r>
    </w:p>
    <w:p w14:paraId="3280F724" w14:textId="77777777" w:rsidR="00B834A2" w:rsidRPr="00B834A2" w:rsidRDefault="00B834A2" w:rsidP="001516F5">
      <w:pPr>
        <w:spacing w:after="160" w:line="348" w:lineRule="auto"/>
        <w:jc w:val="center"/>
      </w:pPr>
      <m:oMath>
        <m:r>
          <m:rPr>
            <m:sty m:val="p"/>
          </m:rPr>
          <w:rPr>
            <w:rFonts w:ascii="Cambria Math" w:hAnsi="Cambria Math"/>
          </w:rPr>
          <m:t>ԷՊԹ+ԴՀԹ+</m:t>
        </m:r>
        <m:f>
          <m:fPr>
            <m:ctrlPr>
              <w:rPr>
                <w:rFonts w:ascii="Cambria Math" w:hAnsi="Cambria Math"/>
              </w:rPr>
            </m:ctrlPr>
          </m:fPr>
          <m:num>
            <m:sSub>
              <m:sSubPr>
                <m:ctrlPr>
                  <w:rPr>
                    <w:rFonts w:ascii="Cambria Math" w:hAnsi="Cambria Math"/>
                  </w:rPr>
                </m:ctrlPr>
              </m:sSubPr>
              <m:e>
                <m:r>
                  <m:rPr>
                    <m:sty m:val="p"/>
                  </m:rPr>
                  <w:rPr>
                    <w:rFonts w:ascii="Cambria Math" w:hAnsi="Cambria Math"/>
                  </w:rPr>
                  <m:t>А</m:t>
                </m:r>
              </m:e>
              <m:sub>
                <m:r>
                  <w:rPr>
                    <w:rFonts w:ascii="Cambria Math" w:hAnsi="Cambria Math"/>
                  </w:rPr>
                  <m:t>n</m:t>
                </m:r>
                <m:r>
                  <m:rPr>
                    <m:sty m:val="p"/>
                  </m:rPr>
                  <w:rPr>
                    <w:rFonts w:ascii="Cambria Math" w:hAnsi="Cambria Math"/>
                  </w:rPr>
                  <m:t>-3</m:t>
                </m:r>
              </m:sub>
            </m:sSub>
            <m:r>
              <m:rPr>
                <m:sty m:val="p"/>
              </m:rPr>
              <w:rPr>
                <w:rFonts w:ascii="Cambria Math" w:hAnsi="Cambria Math"/>
              </w:rPr>
              <m:t>(ԷՊԹ+ԴՀԹ)</m:t>
            </m:r>
          </m:num>
          <m:den>
            <m:sSub>
              <m:sSubPr>
                <m:ctrlPr>
                  <w:rPr>
                    <w:rFonts w:ascii="Cambria Math" w:hAnsi="Cambria Math"/>
                  </w:rPr>
                </m:ctrlPr>
              </m:sSubPr>
              <m:e>
                <m:r>
                  <m:rPr>
                    <m:sty m:val="p"/>
                  </m:rPr>
                  <w:rPr>
                    <w:rFonts w:ascii="Cambria Math" w:hAnsi="Cambria Math"/>
                  </w:rPr>
                  <m:t>А</m:t>
                </m:r>
              </m:e>
              <m:sub>
                <m:r>
                  <m:rPr>
                    <m:sty m:val="p"/>
                  </m:rPr>
                  <w:rPr>
                    <w:rFonts w:ascii="Cambria Math" w:hAnsi="Cambria Math"/>
                  </w:rPr>
                  <m:t>ԷՊԹ</m:t>
                </m:r>
              </m:sub>
            </m:sSub>
            <m:r>
              <m:rPr>
                <m:sty m:val="p"/>
              </m:rPr>
              <w:rPr>
                <w:rFonts w:ascii="Cambria Math" w:hAnsi="Cambria Math"/>
              </w:rPr>
              <m:t>+ԴՀԹ</m:t>
            </m:r>
          </m:den>
        </m:f>
      </m:oMath>
      <w:r w:rsidRPr="00B834A2">
        <w:t>,</w:t>
      </w:r>
    </w:p>
    <w:p w14:paraId="1895E025" w14:textId="77777777" w:rsidR="00B834A2" w:rsidRPr="00B834A2" w:rsidRDefault="00B834A2" w:rsidP="001516F5">
      <w:pPr>
        <w:spacing w:after="160" w:line="348" w:lineRule="auto"/>
        <w:ind w:firstLine="567"/>
        <w:jc w:val="both"/>
      </w:pPr>
      <w:r w:rsidRPr="00B834A2">
        <w:t>որտեղ՝</w:t>
      </w:r>
    </w:p>
    <w:p w14:paraId="48C4AA88" w14:textId="77777777" w:rsidR="00B834A2" w:rsidRPr="00B834A2" w:rsidRDefault="00B834A2" w:rsidP="001516F5">
      <w:pPr>
        <w:spacing w:after="160" w:line="348" w:lineRule="auto"/>
        <w:ind w:firstLine="567"/>
        <w:jc w:val="both"/>
      </w:pPr>
      <w:r w:rsidRPr="00B834A2">
        <w:t>ԷՊԹ-ն էյկոզապենտաենաթթվի պարունակությունն է՝ տոկոսներով.</w:t>
      </w:r>
    </w:p>
    <w:p w14:paraId="3BCEFAFF" w14:textId="77777777" w:rsidR="00B834A2" w:rsidRPr="00097504" w:rsidRDefault="00B834A2" w:rsidP="001516F5">
      <w:pPr>
        <w:spacing w:after="160" w:line="348" w:lineRule="auto"/>
        <w:ind w:firstLine="567"/>
        <w:jc w:val="both"/>
      </w:pPr>
      <w:r w:rsidRPr="00B834A2">
        <w:t>ԴՀԹ-ն դոկոզահեքսաենաթթվի պարունակությունն է՝ տոկոսներով.</w:t>
      </w:r>
    </w:p>
    <w:p w14:paraId="0E7FEF71" w14:textId="77777777" w:rsidR="00B834A2" w:rsidRPr="00B834A2" w:rsidRDefault="00B834A2" w:rsidP="001516F5">
      <w:pPr>
        <w:spacing w:after="160" w:line="348" w:lineRule="auto"/>
        <w:ind w:firstLine="567"/>
        <w:jc w:val="both"/>
      </w:pPr>
      <w:r w:rsidRPr="00063A76">
        <w:rPr>
          <w:spacing w:val="4"/>
        </w:rPr>
        <w:t>А</w:t>
      </w:r>
      <w:r w:rsidRPr="00063A76">
        <w:rPr>
          <w:spacing w:val="4"/>
          <w:vertAlign w:val="subscript"/>
        </w:rPr>
        <w:t>n-3</w:t>
      </w:r>
      <w:r w:rsidRPr="00063A76">
        <w:rPr>
          <w:spacing w:val="4"/>
        </w:rPr>
        <w:t>-ը (բ) փորձարկվող լուծույթի քրոմատագրի վրա լինոլենաթթվի (С18:3 n-3), ստեարիդոնաթթվի</w:t>
      </w:r>
      <w:r w:rsidRPr="00B834A2">
        <w:t xml:space="preserve"> (С18:4 n-3), էյկոզատետրաենաթթվի (С20:4 n-3), գենիկոզապենտաենաթթվի (С21:5n-3) </w:t>
      </w:r>
      <w:r>
        <w:t>եւ</w:t>
      </w:r>
      <w:r w:rsidRPr="00B834A2">
        <w:t xml:space="preserve"> դոկոզապենտաենաթթվի (С22:5 n-3) եթերներին համապատասխանող պիկերի մակերեսների հանրագումարն է.</w:t>
      </w:r>
    </w:p>
    <w:p w14:paraId="5D117D9E" w14:textId="77777777" w:rsidR="00B834A2" w:rsidRPr="00B834A2" w:rsidRDefault="00B834A2" w:rsidP="001516F5">
      <w:pPr>
        <w:spacing w:after="160" w:line="348" w:lineRule="auto"/>
        <w:ind w:firstLine="567"/>
        <w:jc w:val="both"/>
      </w:pPr>
      <w:r w:rsidRPr="00B834A2">
        <w:t>A</w:t>
      </w:r>
      <w:r w:rsidRPr="00B834A2">
        <w:rPr>
          <w:vertAlign w:val="subscript"/>
        </w:rPr>
        <w:t>ԷՊԹ</w:t>
      </w:r>
      <w:r w:rsidRPr="00B834A2">
        <w:t>-ն (բ) փորձարկվող լուծույթի քրոմատագրի վրա ԷՊԹ-ի էթիլային եթերի պիկի մակերեսն է.</w:t>
      </w:r>
    </w:p>
    <w:p w14:paraId="030CFFC0" w14:textId="77777777" w:rsidR="00B834A2" w:rsidRPr="00B834A2" w:rsidRDefault="00B834A2" w:rsidP="006C4184">
      <w:pPr>
        <w:spacing w:after="160" w:line="360" w:lineRule="auto"/>
        <w:ind w:firstLine="567"/>
        <w:jc w:val="both"/>
      </w:pPr>
      <w:r w:rsidRPr="00B834A2">
        <w:lastRenderedPageBreak/>
        <w:t>A</w:t>
      </w:r>
      <w:r w:rsidRPr="00B834A2">
        <w:rPr>
          <w:vertAlign w:val="subscript"/>
        </w:rPr>
        <w:t>ԴՀԹ</w:t>
      </w:r>
      <w:r w:rsidRPr="00B834A2">
        <w:t>-ն (բ) փորձարկվող լուծույթի քրոմատագրի վրա ԴՀԹ-ի էթիլային եթերի պիկի մակերեսն է:</w:t>
      </w:r>
    </w:p>
    <w:p w14:paraId="24BC2B10" w14:textId="77777777" w:rsidR="00783242" w:rsidRPr="002E52D1" w:rsidRDefault="00783242" w:rsidP="00B834A2">
      <w:pPr>
        <w:spacing w:after="160" w:line="360" w:lineRule="auto"/>
        <w:jc w:val="both"/>
      </w:pPr>
    </w:p>
    <w:p w14:paraId="61CCD523" w14:textId="77777777" w:rsidR="00B834A2" w:rsidRPr="006F34D9" w:rsidRDefault="00B834A2" w:rsidP="006C4184">
      <w:pPr>
        <w:spacing w:after="160" w:line="360" w:lineRule="auto"/>
        <w:jc w:val="right"/>
        <w:rPr>
          <w:b/>
          <w:sz w:val="20"/>
        </w:rPr>
      </w:pPr>
      <w:r w:rsidRPr="006F34D9">
        <w:rPr>
          <w:b/>
          <w:sz w:val="20"/>
        </w:rPr>
        <w:t>201080026-2022</w:t>
      </w:r>
    </w:p>
    <w:p w14:paraId="0A1985C5" w14:textId="77777777" w:rsidR="00783242" w:rsidRPr="002E52D1" w:rsidRDefault="00783242" w:rsidP="006C4184">
      <w:pPr>
        <w:spacing w:after="160" w:line="360" w:lineRule="auto"/>
        <w:jc w:val="right"/>
        <w:rPr>
          <w:b/>
        </w:rPr>
      </w:pPr>
    </w:p>
    <w:p w14:paraId="102D992E" w14:textId="77777777" w:rsidR="00B834A2" w:rsidRPr="00B834A2" w:rsidRDefault="00B834A2" w:rsidP="006C4184">
      <w:pPr>
        <w:tabs>
          <w:tab w:val="left" w:pos="1701"/>
        </w:tabs>
        <w:spacing w:after="160" w:line="360" w:lineRule="auto"/>
        <w:ind w:firstLine="567"/>
        <w:jc w:val="both"/>
        <w:rPr>
          <w:b/>
        </w:rPr>
      </w:pPr>
      <w:r w:rsidRPr="00B834A2">
        <w:rPr>
          <w:b/>
        </w:rPr>
        <w:t>2.1.8.26.</w:t>
      </w:r>
      <w:r w:rsidR="006C4184" w:rsidRPr="00097504">
        <w:rPr>
          <w:b/>
        </w:rPr>
        <w:tab/>
      </w:r>
      <w:r w:rsidRPr="00B834A2">
        <w:rPr>
          <w:b/>
        </w:rPr>
        <w:t>Ճարպային յուղերի մեջ ստերինների որոշումը</w:t>
      </w:r>
    </w:p>
    <w:p w14:paraId="405A3F8B" w14:textId="77777777" w:rsidR="00B834A2" w:rsidRPr="00B834A2" w:rsidRDefault="00B834A2" w:rsidP="006C4184">
      <w:pPr>
        <w:spacing w:after="160" w:line="360" w:lineRule="auto"/>
        <w:ind w:firstLine="567"/>
        <w:jc w:val="both"/>
        <w:rPr>
          <w:i/>
        </w:rPr>
      </w:pPr>
      <w:r w:rsidRPr="00B834A2">
        <w:rPr>
          <w:i/>
        </w:rPr>
        <w:t>Մասնավոր դեղագրքային հոդվածում որոշման մեթոդին կատարվող հղման բացակայության դեպքում կիրառում են 1-ին մեթոդը: 1-ին մեթոդից 2-րդ մեթոդին ցանկացած փոփոխություն պետք է վալիդացվի:</w:t>
      </w:r>
    </w:p>
    <w:p w14:paraId="61449C6C" w14:textId="77777777" w:rsidR="008F5B6F" w:rsidRPr="004A7CC9" w:rsidRDefault="008F5B6F" w:rsidP="006C4184">
      <w:pPr>
        <w:spacing w:after="160" w:line="360" w:lineRule="auto"/>
        <w:ind w:firstLine="567"/>
        <w:jc w:val="both"/>
        <w:rPr>
          <w:b/>
        </w:rPr>
      </w:pPr>
    </w:p>
    <w:p w14:paraId="2031CEC7" w14:textId="77777777" w:rsidR="00B834A2" w:rsidRPr="006B7DC5" w:rsidRDefault="00B834A2" w:rsidP="006C4184">
      <w:pPr>
        <w:spacing w:after="160" w:line="360" w:lineRule="auto"/>
        <w:ind w:firstLine="567"/>
        <w:jc w:val="both"/>
        <w:rPr>
          <w:b/>
        </w:rPr>
      </w:pPr>
      <w:r w:rsidRPr="00B834A2">
        <w:rPr>
          <w:b/>
        </w:rPr>
        <w:t>ՄԵԹՈԴ 1</w:t>
      </w:r>
    </w:p>
    <w:p w14:paraId="31D65F37" w14:textId="77777777" w:rsidR="00B834A2" w:rsidRPr="006F34D9" w:rsidRDefault="00B834A2" w:rsidP="006C4184">
      <w:pPr>
        <w:spacing w:after="160" w:line="360" w:lineRule="auto"/>
        <w:ind w:firstLine="567"/>
        <w:jc w:val="both"/>
        <w:rPr>
          <w:i/>
        </w:rPr>
      </w:pPr>
      <w:r w:rsidRPr="006F34D9">
        <w:rPr>
          <w:i/>
        </w:rPr>
        <w:t>Ստերինային թորամասի զատումը (ՆՇՔ)</w:t>
      </w:r>
    </w:p>
    <w:p w14:paraId="080FA04B" w14:textId="77777777" w:rsidR="00B834A2" w:rsidRPr="00B834A2" w:rsidRDefault="00B834A2" w:rsidP="006C4184">
      <w:pPr>
        <w:spacing w:after="160" w:line="360" w:lineRule="auto"/>
        <w:ind w:firstLine="567"/>
        <w:jc w:val="both"/>
      </w:pPr>
      <w:r w:rsidRPr="00B834A2">
        <w:t>Ստանում են ճարպային յուղի չօճառացվող նյութեր, այնուհետ</w:t>
      </w:r>
      <w:r>
        <w:t>եւ</w:t>
      </w:r>
      <w:r w:rsidRPr="00B834A2">
        <w:t xml:space="preserve"> ստերինային թորամասը զատում են նրբաշերտ քրոմատագրման մեթոդով </w:t>
      </w:r>
      <w:r w:rsidRPr="006F34D9">
        <w:rPr>
          <w:i/>
        </w:rPr>
        <w:t>(2.1.2.26)՝</w:t>
      </w:r>
      <w:r w:rsidRPr="00B834A2">
        <w:t xml:space="preserve"> օգտագործելով 0,2 մմ-0,5 մմ հաստությամբ Р սիլիկագելի շերտով ՆՇՔ թիթեղ:</w:t>
      </w:r>
    </w:p>
    <w:p w14:paraId="5A851285" w14:textId="77777777" w:rsidR="00B834A2" w:rsidRPr="00B834A2" w:rsidRDefault="00B834A2" w:rsidP="006C4184">
      <w:pPr>
        <w:spacing w:after="160" w:line="360" w:lineRule="auto"/>
        <w:ind w:firstLine="567"/>
        <w:jc w:val="both"/>
      </w:pPr>
      <w:r w:rsidRPr="00B834A2">
        <w:rPr>
          <w:i/>
        </w:rPr>
        <w:t>(Ա) փորձարկվող լուծույթ</w:t>
      </w:r>
      <w:r w:rsidRPr="00B834A2">
        <w:t>: Հետադարձ սառնարանով համալրված, 150 մլ տարողությամբ փորձանոթի մեջ դնում են Р մեթիլենքլորիդի մեջ Р բետուլինի այն լուծույթի 2 գ/լ ծավալ, որը համապատասխանում է որոշման համար վերցված նմուշի մեջ ստերինի պարունակության՝ մոտավորապես 10 % բետուլինին (օրինակ՝ ձիթապտղի յուղի դեպքում ավելացնում են 500 մկլ բետուլինի լուծույթ, այլ բուսական յուղերի դեպքում՝ 1500 մկլ բետուլինի լուծույթ): Մասնավոր դեղագրքային հոդվածի մեջ ստերինային թորամասի մեջ ստերինների տոկոսային պարունակությունը որոշելու վերաբերյալ ցուցման առկայության դեպքում թույլատրվում է բետուլինի լուծույթ չավելացնել: Р ազոտի հոսքի մեջ եռացնելով՝ պակասեցնում են մինչ</w:t>
      </w:r>
      <w:r>
        <w:t>եւ</w:t>
      </w:r>
      <w:r w:rsidRPr="00B834A2">
        <w:t xml:space="preserve"> լրիվ չորանալը, ավելացնում են 5,00 գ (մ) փորձարկվող նմուշ, նա</w:t>
      </w:r>
      <w:r>
        <w:t>եւ</w:t>
      </w:r>
      <w:r w:rsidRPr="00B834A2">
        <w:t xml:space="preserve"> 50 մլ 2 М կալիումի հիդրօքսիդի Р սպիրտային լուծույթ </w:t>
      </w:r>
      <w:r>
        <w:t>եւ</w:t>
      </w:r>
      <w:r w:rsidRPr="00B834A2">
        <w:t xml:space="preserve"> ջրային </w:t>
      </w:r>
      <w:r w:rsidRPr="00B834A2">
        <w:lastRenderedPageBreak/>
        <w:t>բաղնիքի վրա տաքացնում են 1 ժամ՝ շրջանաձ</w:t>
      </w:r>
      <w:r>
        <w:t>եւ</w:t>
      </w:r>
      <w:r w:rsidRPr="00B834A2">
        <w:t xml:space="preserve"> շարժումներով հաճախակի խառնելով փորձանոթի պարունակությունը: Հովացնում են մինչ</w:t>
      </w:r>
      <w:r>
        <w:t>եւ</w:t>
      </w:r>
      <w:r w:rsidRPr="00B834A2">
        <w:t xml:space="preserve"> 25 °С-ից ցածր ջերմաստիճանը </w:t>
      </w:r>
      <w:r>
        <w:t>եւ</w:t>
      </w:r>
      <w:r w:rsidRPr="00B834A2">
        <w:t xml:space="preserve"> 100 մլ Р ջրի օգնությամբ փորձանոթի պարունակությունը քանակապես տեղափոխում են բաժանիչ ձագարի մեջ: Զզուշորեն թափահարում են պերօքսիդներից զերծ Р եթերի` յուրաքանչյուրը 100 մլ, երեք մասնաբաժինների հետ: Իրար միացրած եթերի շերտերը դնում են 40 մլ Р ջուր պարունակող մեկ այլ բաժանիչ ձագարի մեջ, զգուշորեն թափահարում են մի քանի րոպե, պահում մինչ</w:t>
      </w:r>
      <w:r>
        <w:t>եւ</w:t>
      </w:r>
      <w:r w:rsidRPr="00B834A2">
        <w:t xml:space="preserve"> շերտավորվելը </w:t>
      </w:r>
      <w:r>
        <w:t>եւ</w:t>
      </w:r>
      <w:r w:rsidRPr="00B834A2">
        <w:t xml:space="preserve"> հեռացնում են ջրի շերտը: Եթերի շերտը 40-ական մլ Р ջրի մի քանի մասնաբաժիններով լվանում են այնքան ժամանակ, մինչ</w:t>
      </w:r>
      <w:r>
        <w:t>եւ</w:t>
      </w:r>
      <w:r w:rsidRPr="00B834A2">
        <w:t xml:space="preserve"> ջրի շերտը ֆենոլֆտալեինի նկատմամբ հիմնային ռեակցիա այլ</w:t>
      </w:r>
      <w:r>
        <w:t>եւ</w:t>
      </w:r>
      <w:r w:rsidRPr="00B834A2">
        <w:t xml:space="preserve">ս չտա: Եթերային շերտը տեղափոխում են նախապես կշռված փորձանոթի մեջ՝ բաժանիչ ձագարը լվանալով պերօքսիդներից զերծ Р եթերով: Եթերը թորում են պահանջվող զգուշությամբ </w:t>
      </w:r>
      <w:r>
        <w:t>եւ</w:t>
      </w:r>
      <w:r w:rsidRPr="00B834A2">
        <w:t xml:space="preserve"> մնացորդին ավելացնում են 6 մլ Р ացետոն: Լուծիչն զգուշորեն հեռացնում են Р ազոտի հոսքի մեջ, մնացորդը 100 °С-ից մինչ</w:t>
      </w:r>
      <w:r>
        <w:t>եւ</w:t>
      </w:r>
      <w:r w:rsidRPr="00B834A2">
        <w:t xml:space="preserve"> 150 °С ջերմաստիճանում չորացնում են մինչ</w:t>
      </w:r>
      <w:r>
        <w:t>եւ</w:t>
      </w:r>
      <w:r w:rsidRPr="00B834A2">
        <w:t xml:space="preserve"> հաստատուն զանգվածը, հովացնում են էքսիկատորի մեջ </w:t>
      </w:r>
      <w:r>
        <w:t>եւ</w:t>
      </w:r>
      <w:r w:rsidRPr="00B834A2">
        <w:t xml:space="preserve"> կշռում: Մնացորդը Р մեթիլենքլորիդի օգնությամբ տեղափոխում են ոչ մեծ փորձասրվակի մեջ: Ազոտի հոսքի մեջ եռացնելով՝ պակասեցնում են մինչ</w:t>
      </w:r>
      <w:r>
        <w:t>եւ</w:t>
      </w:r>
      <w:r w:rsidRPr="00B834A2">
        <w:t xml:space="preserve"> մոտավորապես 1 մլ ծավալը: Յուղի չօճառացվող պարունակությամբ պայմանավորված՝ լուծույթի կոնցենտրացիան հասցնում են մինչ</w:t>
      </w:r>
      <w:r>
        <w:t>եւ</w:t>
      </w:r>
      <w:r w:rsidRPr="00B834A2">
        <w:t xml:space="preserve"> (25-50) մգ/մլ:</w:t>
      </w:r>
    </w:p>
    <w:p w14:paraId="3E2457C7" w14:textId="77777777" w:rsidR="00B834A2" w:rsidRPr="00097504" w:rsidRDefault="00B834A2" w:rsidP="006C4184">
      <w:pPr>
        <w:spacing w:after="160" w:line="360" w:lineRule="auto"/>
        <w:ind w:firstLine="567"/>
        <w:jc w:val="both"/>
      </w:pPr>
      <w:r w:rsidRPr="00B834A2">
        <w:t>(</w:t>
      </w:r>
      <w:r w:rsidRPr="006F34D9">
        <w:rPr>
          <w:i/>
        </w:rPr>
        <w:t>Բ) փորձարկվող լուծույթ:</w:t>
      </w:r>
      <w:r w:rsidRPr="00B834A2">
        <w:t xml:space="preserve"> 5,00 գ Р կանճրակի յուղը մշակում են փորձարկվող նմուշին առնչվող ցուցումներին համապատասխան՝ սկսելով «ավելացնում են 50 մլ 2 М կալիումի հիդրօքսիդի Р սպիրտային լուծույթ» բառերից:</w:t>
      </w:r>
    </w:p>
    <w:p w14:paraId="13483082" w14:textId="77777777" w:rsidR="00B834A2" w:rsidRPr="00B834A2" w:rsidRDefault="00B834A2" w:rsidP="006C4184">
      <w:pPr>
        <w:spacing w:after="160" w:line="360" w:lineRule="auto"/>
        <w:ind w:firstLine="567"/>
        <w:jc w:val="both"/>
      </w:pPr>
      <w:r w:rsidRPr="006F34D9">
        <w:rPr>
          <w:i/>
        </w:rPr>
        <w:t>(Գ) փորձարկվող լուծույթ:</w:t>
      </w:r>
      <w:r w:rsidRPr="00B834A2">
        <w:t xml:space="preserve"> 5,00 գ Р ար</w:t>
      </w:r>
      <w:r>
        <w:t>եւ</w:t>
      </w:r>
      <w:r w:rsidRPr="00B834A2">
        <w:t>ածաղկի յուղը մշակում են փորձարկվող նմուշին առնչվող ցուցումներին համապատասխան՝ սկսելով «ավելացնում են 50 մլ 2 М կալիումի հիդրօքսիդի Р սպիրտային լուծույթ» բառերից:</w:t>
      </w:r>
    </w:p>
    <w:p w14:paraId="53799C14" w14:textId="77777777" w:rsidR="00B834A2" w:rsidRPr="00B834A2" w:rsidRDefault="00B834A2" w:rsidP="006C4184">
      <w:pPr>
        <w:spacing w:after="160" w:line="360" w:lineRule="auto"/>
        <w:ind w:firstLine="567"/>
        <w:jc w:val="both"/>
      </w:pPr>
      <w:r w:rsidRPr="006F34D9">
        <w:rPr>
          <w:i/>
          <w:spacing w:val="-4"/>
        </w:rPr>
        <w:t>Համեմատման լուծույթը</w:t>
      </w:r>
      <w:r w:rsidRPr="006C4184">
        <w:rPr>
          <w:spacing w:val="-4"/>
        </w:rPr>
        <w:t>: 25 մգ Р խոլեստերինը եւ 10 մգ Р բետուլինը լուծում են 1 մլ Р մեթիլենքլորիդի</w:t>
      </w:r>
      <w:r w:rsidRPr="00B834A2">
        <w:t xml:space="preserve"> մեջ:</w:t>
      </w:r>
    </w:p>
    <w:p w14:paraId="7B659596" w14:textId="77777777" w:rsidR="00B834A2" w:rsidRPr="00B834A2" w:rsidRDefault="00B834A2" w:rsidP="006C4184">
      <w:pPr>
        <w:spacing w:after="160" w:line="360" w:lineRule="auto"/>
        <w:ind w:firstLine="567"/>
        <w:jc w:val="both"/>
      </w:pPr>
      <w:r w:rsidRPr="00B834A2">
        <w:lastRenderedPageBreak/>
        <w:t>Յուրաքանչյուր փորձարկվող նմուշի համար առանձին թիթեղ են օգտագործում:</w:t>
      </w:r>
    </w:p>
    <w:p w14:paraId="03289208" w14:textId="77777777" w:rsidR="00B834A2" w:rsidRPr="00B834A2" w:rsidRDefault="00B834A2" w:rsidP="006C4184">
      <w:pPr>
        <w:spacing w:after="160" w:line="360" w:lineRule="auto"/>
        <w:ind w:firstLine="567"/>
        <w:jc w:val="both"/>
        <w:rPr>
          <w:i/>
        </w:rPr>
      </w:pPr>
      <w:r w:rsidRPr="00B834A2">
        <w:rPr>
          <w:i/>
        </w:rPr>
        <w:t>Քրոմատագրման պայմանները.</w:t>
      </w:r>
    </w:p>
    <w:p w14:paraId="4676FE2B" w14:textId="77777777" w:rsidR="00B834A2" w:rsidRPr="00B834A2" w:rsidRDefault="00B834A2" w:rsidP="006C4184">
      <w:pPr>
        <w:tabs>
          <w:tab w:val="left" w:pos="1134"/>
        </w:tabs>
        <w:spacing w:after="160" w:line="360" w:lineRule="auto"/>
        <w:ind w:firstLine="567"/>
        <w:jc w:val="both"/>
        <w:rPr>
          <w:i/>
        </w:rPr>
      </w:pPr>
      <w:r w:rsidRPr="00B834A2">
        <w:t>-</w:t>
      </w:r>
      <w:r w:rsidR="006C4184" w:rsidRPr="00097504">
        <w:tab/>
      </w:r>
      <w:r w:rsidRPr="00B834A2">
        <w:rPr>
          <w:i/>
        </w:rPr>
        <w:t>ՆՇՔ թիթեղը՝ G Р սիլիկագելի շերտով.</w:t>
      </w:r>
    </w:p>
    <w:p w14:paraId="5E01997A" w14:textId="77777777" w:rsidR="00B834A2" w:rsidRPr="00B834A2" w:rsidRDefault="00B834A2" w:rsidP="006C4184">
      <w:pPr>
        <w:tabs>
          <w:tab w:val="left" w:pos="1134"/>
        </w:tabs>
        <w:spacing w:after="160" w:line="360" w:lineRule="auto"/>
        <w:ind w:firstLine="567"/>
        <w:jc w:val="both"/>
        <w:rPr>
          <w:i/>
        </w:rPr>
      </w:pPr>
      <w:r w:rsidRPr="00B834A2">
        <w:rPr>
          <w:i/>
        </w:rPr>
        <w:t>-</w:t>
      </w:r>
      <w:r w:rsidR="006C4184" w:rsidRPr="006C4184">
        <w:rPr>
          <w:i/>
        </w:rPr>
        <w:tab/>
      </w:r>
      <w:r w:rsidRPr="00B834A2">
        <w:rPr>
          <w:i/>
        </w:rPr>
        <w:t>շարժուն ֆազը՝ Р եթեր-Р հեքսան (35:65, ծավ./ծավ.).</w:t>
      </w:r>
    </w:p>
    <w:p w14:paraId="7E69D6B3" w14:textId="77777777" w:rsidR="00B834A2" w:rsidRPr="00B834A2" w:rsidRDefault="00B834A2" w:rsidP="006C4184">
      <w:pPr>
        <w:tabs>
          <w:tab w:val="left" w:pos="1134"/>
        </w:tabs>
        <w:spacing w:after="160" w:line="360" w:lineRule="auto"/>
        <w:ind w:firstLine="567"/>
        <w:jc w:val="both"/>
      </w:pPr>
      <w:r w:rsidRPr="00B834A2">
        <w:rPr>
          <w:i/>
        </w:rPr>
        <w:t>-</w:t>
      </w:r>
      <w:r w:rsidR="006C4184" w:rsidRPr="006C4184">
        <w:rPr>
          <w:i/>
        </w:rPr>
        <w:tab/>
      </w:r>
      <w:r w:rsidRPr="00B834A2">
        <w:rPr>
          <w:i/>
        </w:rPr>
        <w:t>քսվող փորձանմուշի ծավալը</w:t>
      </w:r>
      <w:r w:rsidRPr="00B834A2">
        <w:t>՝ 10 մկլ համեմատման լուծույթ (հիմքից 20</w:t>
      </w:r>
      <w:r w:rsidR="006C4184" w:rsidRPr="006C4184">
        <w:t> </w:t>
      </w:r>
      <w:r w:rsidRPr="00B834A2">
        <w:t xml:space="preserve">մմ </w:t>
      </w:r>
      <w:r>
        <w:t>եւ</w:t>
      </w:r>
      <w:r w:rsidRPr="00B834A2">
        <w:t xml:space="preserve"> ձախ եզրից 10 մմ հեռավորությամբ՝ 10 մմ չափով շերտագծի տեսքով).</w:t>
      </w:r>
    </w:p>
    <w:p w14:paraId="3D5E9B1F" w14:textId="77777777" w:rsidR="00B834A2" w:rsidRPr="00B834A2" w:rsidRDefault="00063A76" w:rsidP="006C4184">
      <w:pPr>
        <w:tabs>
          <w:tab w:val="left" w:pos="1134"/>
        </w:tabs>
        <w:spacing w:after="160" w:line="360" w:lineRule="auto"/>
        <w:ind w:firstLine="567"/>
        <w:jc w:val="both"/>
      </w:pPr>
      <w:r>
        <w:t>-</w:t>
      </w:r>
      <w:r w:rsidRPr="00063A76">
        <w:tab/>
      </w:r>
      <w:r w:rsidR="00B834A2" w:rsidRPr="00B834A2">
        <w:t>0,5-ական մլ (ա), (բ) կամ (գ) փորձարկվող լուծույթներ (հիմքից 20 մմ հեռավորությամբ՝ 150 մմ չափով շերտագծի տեսքով).</w:t>
      </w:r>
    </w:p>
    <w:p w14:paraId="7171C51B"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շարժուն ֆազի ճակատային գծի հոսքը՝</w:t>
      </w:r>
      <w:r w:rsidRPr="00B834A2">
        <w:t xml:space="preserve"> մեկնարկային գծից 17 սմ.</w:t>
      </w:r>
    </w:p>
    <w:p w14:paraId="34A39CA3"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չորացումը</w:t>
      </w:r>
      <w:r w:rsidRPr="00B834A2">
        <w:t>՝ Р ազոտի հոսքի մեջ.</w:t>
      </w:r>
    </w:p>
    <w:p w14:paraId="03BCEE90"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դետեկտումը՝</w:t>
      </w:r>
      <w:r w:rsidRPr="00B834A2">
        <w:t xml:space="preserve"> ուլտրամանուշակագույն լույսի մեջ, 254 նմ ալիքի</w:t>
      </w:r>
      <w:r>
        <w:t xml:space="preserve"> </w:t>
      </w:r>
      <w:r w:rsidRPr="00B834A2">
        <w:t xml:space="preserve">երկարության դեպքում, </w:t>
      </w:r>
      <w:r w:rsidRPr="006F34D9">
        <w:rPr>
          <w:i/>
        </w:rPr>
        <w:t>Р անջուր էթանոլի</w:t>
      </w:r>
      <w:r w:rsidRPr="00B834A2">
        <w:t xml:space="preserve"> մեջ </w:t>
      </w:r>
      <w:r w:rsidRPr="006F34D9">
        <w:rPr>
          <w:i/>
        </w:rPr>
        <w:t>Р դիքլորֆլուորեսցեինի</w:t>
      </w:r>
      <w:r w:rsidRPr="00B834A2">
        <w:t xml:space="preserve"> 2 գ/լ լուծույթով ցողելուց հետո:</w:t>
      </w:r>
    </w:p>
    <w:p w14:paraId="0218B985" w14:textId="77777777" w:rsidR="00B834A2" w:rsidRPr="00B834A2" w:rsidRDefault="00B834A2" w:rsidP="006C4184">
      <w:pPr>
        <w:spacing w:after="160" w:line="360" w:lineRule="auto"/>
        <w:ind w:firstLine="567"/>
        <w:jc w:val="both"/>
      </w:pPr>
      <w:r w:rsidRPr="00B834A2">
        <w:t xml:space="preserve">Համեմատման լուծույթի քրոմատագրի վրա հայտնաբերվում են խոլեստերինին </w:t>
      </w:r>
      <w:r>
        <w:t>եւ</w:t>
      </w:r>
      <w:r w:rsidRPr="00B834A2">
        <w:t xml:space="preserve"> բետուլինին համապատասխանող շերտեր: Փորձարկվող նմուշների քրոմատագրերի վրա հայտնաբերվում են ստերիններին համապատասխանող R</w:t>
      </w:r>
      <w:r w:rsidRPr="00B834A2">
        <w:rPr>
          <w:vertAlign w:val="subscript"/>
        </w:rPr>
        <w:t>F</w:t>
      </w:r>
      <w:r w:rsidRPr="00B834A2">
        <w:t xml:space="preserve"> արժեքներով շերտեր:</w:t>
      </w:r>
    </w:p>
    <w:p w14:paraId="0991E76E" w14:textId="77777777" w:rsidR="00B834A2" w:rsidRPr="00B834A2" w:rsidRDefault="00B834A2" w:rsidP="006C4184">
      <w:pPr>
        <w:spacing w:after="160" w:line="360" w:lineRule="auto"/>
        <w:ind w:firstLine="567"/>
        <w:jc w:val="both"/>
      </w:pPr>
      <w:r w:rsidRPr="00B834A2">
        <w:t>Յուրաքանչյուր փորձարկվող լուծույթի քրոմատագրից հանում են սիլիկագելի շերտը ստերինների շերտերի հետ միասին, ինչպես նա</w:t>
      </w:r>
      <w:r>
        <w:t>եւ</w:t>
      </w:r>
      <w:r w:rsidRPr="00B834A2">
        <w:t xml:space="preserve"> լրացուցիչ հանում են սիլիկագելը՝ համեմատման լուծույթին համապատասխանող տեսանելի գոտիներից վեր</w:t>
      </w:r>
      <w:r>
        <w:t>եւ</w:t>
      </w:r>
      <w:r w:rsidRPr="00B834A2">
        <w:t xml:space="preserve"> </w:t>
      </w:r>
      <w:r>
        <w:t>եւ</w:t>
      </w:r>
      <w:r w:rsidRPr="00B834A2">
        <w:t xml:space="preserve"> ներք</w:t>
      </w:r>
      <w:r>
        <w:t>եւ</w:t>
      </w:r>
      <w:r w:rsidRPr="00B834A2">
        <w:t xml:space="preserve"> (2-3) մմ-ով, </w:t>
      </w:r>
      <w:r>
        <w:t>եւ</w:t>
      </w:r>
      <w:r w:rsidRPr="00B834A2">
        <w:t xml:space="preserve"> առանձին տեղավորում են յուրաքանչյուրը 50 մլ տարողությամբ երեք փորձանոթների մեջ: Յուրաքանչյուր փորձանոթի մեջ ավելացնում են 15-ական մլ Р մեթիլենքլորիդ </w:t>
      </w:r>
      <w:r>
        <w:t>եւ</w:t>
      </w:r>
      <w:r w:rsidRPr="00B834A2">
        <w:t xml:space="preserve"> խառնելու ընթացքում 15 րոպե տաքացնում են հետադարձ սառնարանով: Յուրաքանչյուր լուծույթ անցկացնում են ապակյա ֆիլտրի (40) (2.1.1.2) կամ համապատասխան </w:t>
      </w:r>
      <w:r w:rsidRPr="00B834A2">
        <w:lastRenderedPageBreak/>
        <w:t xml:space="preserve">ֆիլտրման թղթի միջով, </w:t>
      </w:r>
      <w:r>
        <w:t>եւ</w:t>
      </w:r>
      <w:r w:rsidRPr="00B834A2">
        <w:t xml:space="preserve"> յուրաքանչյուր ֆիլտր լվանում են 15-ական մլ Р մեթիլենքլորիդի երեք մասնաբաժիններով: Իրար միացրած երեք ֆիլտրատներից </w:t>
      </w:r>
      <w:r>
        <w:t>եւ</w:t>
      </w:r>
      <w:r w:rsidRPr="00B834A2">
        <w:t xml:space="preserve"> ողողվածքներից յուրաքանչյուրը դնում են երեք փորձանոթների մեջ, Р ազոտի հոսքի մեջ եռացնելով` պակասեցնում են մինչ</w:t>
      </w:r>
      <w:r>
        <w:t>եւ</w:t>
      </w:r>
      <w:r w:rsidRPr="00B834A2">
        <w:t xml:space="preserve"> 5 մլ-10 մլ ծավալը: Յուրաքանչյուր փորձանոթի պարունակություն տեղափոխում են ոչ մեծ փորձասրվակների մեջ </w:t>
      </w:r>
      <w:r>
        <w:t>եւ</w:t>
      </w:r>
      <w:r w:rsidRPr="00B834A2">
        <w:t xml:space="preserve"> Р ազոտի հոսքի մեջ եռացնելով պակասեցնում են մինչ</w:t>
      </w:r>
      <w:r>
        <w:t>եւ</w:t>
      </w:r>
      <w:r w:rsidRPr="00B834A2">
        <w:t xml:space="preserve"> լրիվ չորանալը:</w:t>
      </w:r>
    </w:p>
    <w:p w14:paraId="3D681EB6" w14:textId="77777777" w:rsidR="00B834A2" w:rsidRPr="00B834A2" w:rsidRDefault="00B834A2" w:rsidP="006C4184">
      <w:pPr>
        <w:spacing w:after="160" w:line="360" w:lineRule="auto"/>
        <w:ind w:firstLine="567"/>
        <w:jc w:val="both"/>
      </w:pPr>
      <w:r w:rsidRPr="00B834A2">
        <w:t>Պահանջը.</w:t>
      </w:r>
    </w:p>
    <w:p w14:paraId="5E6EFBFB" w14:textId="77777777" w:rsidR="00B834A2" w:rsidRPr="006B7DC5" w:rsidRDefault="00B834A2" w:rsidP="006C4184">
      <w:pPr>
        <w:tabs>
          <w:tab w:val="left" w:pos="1134"/>
        </w:tabs>
        <w:spacing w:after="160" w:line="360" w:lineRule="auto"/>
        <w:ind w:firstLine="567"/>
        <w:jc w:val="both"/>
      </w:pPr>
      <w:r w:rsidRPr="00B834A2">
        <w:t>-</w:t>
      </w:r>
      <w:r w:rsidR="006C4184" w:rsidRPr="006C4184">
        <w:tab/>
      </w:r>
      <w:r w:rsidRPr="00B834A2">
        <w:t xml:space="preserve">համեմատման լուծույթի քրոմատագրի վրա հայտնաբերվում են խոլեստերինին </w:t>
      </w:r>
      <w:r>
        <w:t>եւ</w:t>
      </w:r>
      <w:r w:rsidRPr="00B834A2">
        <w:t xml:space="preserve"> բետուլինին համապատասխանող շերտեր.</w:t>
      </w:r>
    </w:p>
    <w:p w14:paraId="62C5AEDD"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t>փորձարկվող լուծույթների քրոմատագրերի վրա հայտնաբերվում են ստերիններին համապատասխանող R</w:t>
      </w:r>
      <w:r w:rsidRPr="00B834A2">
        <w:rPr>
          <w:vertAlign w:val="subscript"/>
        </w:rPr>
        <w:t>F</w:t>
      </w:r>
      <w:r w:rsidRPr="00B834A2">
        <w:t xml:space="preserve"> արժեքներով շերտեր:</w:t>
      </w:r>
    </w:p>
    <w:p w14:paraId="54D23697" w14:textId="77777777" w:rsidR="00B834A2" w:rsidRPr="006F34D9" w:rsidRDefault="00B834A2" w:rsidP="006C4184">
      <w:pPr>
        <w:spacing w:after="160" w:line="360" w:lineRule="auto"/>
        <w:ind w:firstLine="567"/>
        <w:jc w:val="both"/>
        <w:rPr>
          <w:i/>
        </w:rPr>
      </w:pPr>
      <w:r w:rsidRPr="006F34D9">
        <w:rPr>
          <w:i/>
        </w:rPr>
        <w:t>Ստերինների որոշումը (ԳՔ)</w:t>
      </w:r>
    </w:p>
    <w:p w14:paraId="1F8524AF" w14:textId="77777777" w:rsidR="00B834A2" w:rsidRPr="006F34D9" w:rsidRDefault="00B834A2" w:rsidP="006C4184">
      <w:pPr>
        <w:spacing w:after="160" w:line="360" w:lineRule="auto"/>
        <w:ind w:firstLine="567"/>
        <w:jc w:val="both"/>
        <w:rPr>
          <w:i/>
        </w:rPr>
      </w:pPr>
      <w:r w:rsidRPr="00B834A2">
        <w:t xml:space="preserve">Ստերինները որոշում են գազային քրոմատագրման մեթոդով </w:t>
      </w:r>
      <w:r w:rsidRPr="006F34D9">
        <w:rPr>
          <w:i/>
        </w:rPr>
        <w:t>(2.1.2.27):</w:t>
      </w:r>
      <w:r w:rsidRPr="00B834A2">
        <w:t xml:space="preserve"> </w:t>
      </w:r>
      <w:r w:rsidRPr="006F34D9">
        <w:rPr>
          <w:i/>
        </w:rPr>
        <w:t>Բոլոր գործողությունները կատարում են՝ ապահովելով խոնավությունից պաշտպանություն. լուծույթները պատրաստում են օգտագործումից անմիջապես առաջ:</w:t>
      </w:r>
    </w:p>
    <w:p w14:paraId="51DD21A5" w14:textId="77777777" w:rsidR="00B834A2" w:rsidRPr="00097504" w:rsidRDefault="00B834A2" w:rsidP="006C4184">
      <w:pPr>
        <w:spacing w:after="160" w:line="360" w:lineRule="auto"/>
        <w:ind w:firstLine="567"/>
        <w:jc w:val="both"/>
      </w:pPr>
      <w:r w:rsidRPr="006F34D9">
        <w:rPr>
          <w:i/>
        </w:rPr>
        <w:t>Փորձարկվող լուծույթը:</w:t>
      </w:r>
      <w:r w:rsidRPr="00B834A2">
        <w:t xml:space="preserve"> Նրբաշերտ քրոմատագրման մեթոդով փորձարկվող նմուշից անջատված ստերիններին ավելացնում են 0,04 մլ Р քլորտրիմեթիլսիլանի, 0,1 մլ Р հեքսամեթիլդիսիլազանի </w:t>
      </w:r>
      <w:r>
        <w:t>եւ</w:t>
      </w:r>
      <w:r w:rsidRPr="00B834A2">
        <w:t xml:space="preserve"> 0,5 մլ Р անջուր պիրիդինի նոր պատրաստված խառնուրդ </w:t>
      </w:r>
      <w:r>
        <w:t>եւ</w:t>
      </w:r>
      <w:r w:rsidRPr="00B834A2">
        <w:t xml:space="preserve"> պահում առնվազն 5 րոպե. օգտագործում են հեղուկ ֆազ:</w:t>
      </w:r>
    </w:p>
    <w:p w14:paraId="2B608924" w14:textId="77777777" w:rsidR="00B834A2" w:rsidRPr="004A7CC9" w:rsidRDefault="00B834A2" w:rsidP="006C4184">
      <w:pPr>
        <w:spacing w:after="160" w:line="360" w:lineRule="auto"/>
        <w:ind w:firstLine="567"/>
        <w:jc w:val="both"/>
      </w:pPr>
      <w:r w:rsidRPr="006F34D9">
        <w:rPr>
          <w:i/>
        </w:rPr>
        <w:t xml:space="preserve">(Ա) համեմատման լուծույթը։ </w:t>
      </w:r>
      <w:r w:rsidRPr="00B834A2">
        <w:t xml:space="preserve">Նրբաշերտ քրոմատագրման մեթոդով Р կանճրակի յուղից անջատված ստերինների 9 մասերին ավելացնում են Р խոլեստերինի 1 մաս: Ստացված խառնուրդին ավելացնում են 0,04 մլ Р քլորտրիմեթլսիլանի, 0,1 մլ Р հեքսամեթիլդիսիլազանի </w:t>
      </w:r>
      <w:r>
        <w:t>եւ</w:t>
      </w:r>
      <w:r w:rsidRPr="00B834A2">
        <w:t xml:space="preserve"> 0,5 մլ Р անջուր պիրիդինի նոր պատրաստված խառնուրդ </w:t>
      </w:r>
      <w:r>
        <w:t>եւ</w:t>
      </w:r>
      <w:r w:rsidRPr="00B834A2">
        <w:t xml:space="preserve"> պահում առնվազն 5 րոպե. օգտագործում են հեղուկ ֆազ:</w:t>
      </w:r>
    </w:p>
    <w:p w14:paraId="3179E785" w14:textId="77777777" w:rsidR="008F5B6F" w:rsidRPr="004A7CC9" w:rsidRDefault="008F5B6F" w:rsidP="006C4184">
      <w:pPr>
        <w:spacing w:after="160" w:line="360" w:lineRule="auto"/>
        <w:ind w:firstLine="567"/>
        <w:jc w:val="both"/>
      </w:pPr>
    </w:p>
    <w:p w14:paraId="2CB3B10F" w14:textId="77777777" w:rsidR="00B834A2" w:rsidRPr="00B834A2" w:rsidRDefault="00B834A2" w:rsidP="006C4184">
      <w:pPr>
        <w:spacing w:after="160" w:line="360" w:lineRule="auto"/>
        <w:ind w:firstLine="567"/>
        <w:jc w:val="both"/>
      </w:pPr>
      <w:r w:rsidRPr="006F34D9">
        <w:rPr>
          <w:i/>
        </w:rPr>
        <w:lastRenderedPageBreak/>
        <w:t>(Բ) համեմատման լուծույթը:</w:t>
      </w:r>
      <w:r w:rsidRPr="00B834A2">
        <w:t xml:space="preserve"> Նրբաշերտ քրոմատագրման մեթոդով Р ար</w:t>
      </w:r>
      <w:r>
        <w:t>եւ</w:t>
      </w:r>
      <w:r w:rsidRPr="00B834A2">
        <w:t xml:space="preserve">ածաղկի յուղից անջատված ստերիններին ավելացնում են 0,04 մլ Р քլորտրիմեթլսիլանի, 0,1 մլ Р հեքսամեթիլդիսիլազանի </w:t>
      </w:r>
      <w:r>
        <w:t>եւ</w:t>
      </w:r>
      <w:r w:rsidRPr="00B834A2">
        <w:t xml:space="preserve"> 0,5 մլ Р անջուր պիրիդինի նոր պատրաստված խառնուրդ </w:t>
      </w:r>
      <w:r>
        <w:t>եւ</w:t>
      </w:r>
      <w:r w:rsidRPr="00B834A2">
        <w:t xml:space="preserve"> պահում առնվազն 5 րոպե. օգտագործում են հեղուկ ֆազ:</w:t>
      </w:r>
    </w:p>
    <w:p w14:paraId="049C5AD4" w14:textId="77777777" w:rsidR="00B834A2" w:rsidRPr="006F34D9" w:rsidRDefault="00B834A2" w:rsidP="006C4184">
      <w:pPr>
        <w:spacing w:after="160" w:line="360" w:lineRule="auto"/>
        <w:ind w:firstLine="567"/>
        <w:jc w:val="both"/>
        <w:rPr>
          <w:i/>
        </w:rPr>
      </w:pPr>
      <w:r w:rsidRPr="006F34D9">
        <w:rPr>
          <w:i/>
        </w:rPr>
        <w:t>Քրոմատագրման պայմանները.</w:t>
      </w:r>
    </w:p>
    <w:p w14:paraId="7D552A57"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աշտարակը՝</w:t>
      </w:r>
      <w:r w:rsidRPr="00B834A2">
        <w:t xml:space="preserve"> 10 մ-30 մ երկարությամբ </w:t>
      </w:r>
      <w:r>
        <w:t>եւ</w:t>
      </w:r>
      <w:r w:rsidRPr="00B834A2">
        <w:t xml:space="preserve"> 0,25 մմ-0,32 մմ ներքին տրամագծով, մազանոթային, ջերմակայուն կվարցից, 0,25 մկմ հաստությամբ Р պոլի[մեթիլ(95)ֆենիլ(5)]սիլօքսանով կամ Р պոլի (ցիանոպրոպիլ) (7) (ֆենիլ) (7) (մեթիլ) (86)սիլօքսանով լցված.</w:t>
      </w:r>
    </w:p>
    <w:p w14:paraId="474635B4" w14:textId="77777777" w:rsidR="00B834A2" w:rsidRPr="006F34D9" w:rsidRDefault="00B834A2" w:rsidP="006C4184">
      <w:pPr>
        <w:tabs>
          <w:tab w:val="left" w:pos="1134"/>
        </w:tabs>
        <w:spacing w:after="160" w:line="360" w:lineRule="auto"/>
        <w:ind w:firstLine="567"/>
        <w:jc w:val="both"/>
        <w:rPr>
          <w:i/>
        </w:rPr>
      </w:pPr>
      <w:r w:rsidRPr="00B834A2">
        <w:t>-</w:t>
      </w:r>
      <w:r w:rsidR="006C4184" w:rsidRPr="006C4184">
        <w:tab/>
      </w:r>
      <w:r w:rsidRPr="006F34D9">
        <w:rPr>
          <w:i/>
        </w:rPr>
        <w:t>կրող գազը՝ քրոմատագրման համար Р ջրածին կամ քրոմատագրման համար Р հելիում.</w:t>
      </w:r>
    </w:p>
    <w:p w14:paraId="6B871C05" w14:textId="77777777" w:rsidR="00B834A2" w:rsidRPr="00B834A2" w:rsidRDefault="00B834A2" w:rsidP="006C4184">
      <w:pPr>
        <w:tabs>
          <w:tab w:val="left" w:pos="1134"/>
        </w:tabs>
        <w:spacing w:after="160" w:line="360" w:lineRule="auto"/>
        <w:ind w:firstLine="567"/>
        <w:jc w:val="both"/>
      </w:pPr>
      <w:r w:rsidRPr="00B834A2">
        <w:t>-</w:t>
      </w:r>
      <w:r w:rsidR="001516F5" w:rsidRPr="00DE4F37">
        <w:tab/>
      </w:r>
      <w:r w:rsidRPr="006F34D9">
        <w:rPr>
          <w:i/>
        </w:rPr>
        <w:t>կրող գազի գծային արագությունը</w:t>
      </w:r>
      <w:r w:rsidRPr="00B834A2">
        <w:t>՝ (30-50) սմ/վ (ջրածին) կամ (20-35) սմ/վ (հելիում).</w:t>
      </w:r>
    </w:p>
    <w:p w14:paraId="394ADFA8"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հոսքի բաժանումը՝</w:t>
      </w:r>
      <w:r w:rsidRPr="00B834A2">
        <w:t xml:space="preserve"> 1:50 (ջրածին) կամ 1:100 (հելիում).</w:t>
      </w:r>
    </w:p>
    <w:p w14:paraId="087302FB"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աշտարակի ջերմաստիճանը</w:t>
      </w:r>
      <w:r w:rsidRPr="00B834A2">
        <w:t>՝ 260 °С.</w:t>
      </w:r>
    </w:p>
    <w:p w14:paraId="3F460D95"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փորձանմուշների ներմուծման բլոկի ջերմաստիճանը</w:t>
      </w:r>
      <w:r w:rsidRPr="00B834A2">
        <w:t>՝ 280 °С.</w:t>
      </w:r>
    </w:p>
    <w:p w14:paraId="7D83E205"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դետեկտորի ջերմաստիճանը</w:t>
      </w:r>
      <w:r w:rsidRPr="00B834A2">
        <w:t>՝ 290 °С.</w:t>
      </w:r>
    </w:p>
    <w:p w14:paraId="4782D24D" w14:textId="77777777" w:rsidR="00B834A2" w:rsidRPr="00097504" w:rsidRDefault="00B834A2" w:rsidP="006C4184">
      <w:pPr>
        <w:tabs>
          <w:tab w:val="left" w:pos="1134"/>
        </w:tabs>
        <w:spacing w:after="160" w:line="360" w:lineRule="auto"/>
        <w:ind w:firstLine="567"/>
        <w:jc w:val="both"/>
      </w:pPr>
      <w:r w:rsidRPr="00B834A2">
        <w:t>-</w:t>
      </w:r>
      <w:r w:rsidR="006C4184" w:rsidRPr="006C4184">
        <w:tab/>
      </w:r>
      <w:r w:rsidRPr="006F34D9">
        <w:rPr>
          <w:i/>
        </w:rPr>
        <w:t>դետեկտորը</w:t>
      </w:r>
      <w:r w:rsidRPr="00B834A2">
        <w:t>՝ բոցային իոնիզացիոն.</w:t>
      </w:r>
    </w:p>
    <w:p w14:paraId="00CAB0D0"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ներմուծվող փորձանմուշի ծավալը՝</w:t>
      </w:r>
      <w:r w:rsidRPr="00B834A2">
        <w:t xml:space="preserve"> 1-ական մկլ փորձարկվող լուծույթ, </w:t>
      </w:r>
      <w:r w:rsidRPr="006F34D9">
        <w:rPr>
          <w:i/>
        </w:rPr>
        <w:t>(ա)</w:t>
      </w:r>
      <w:r w:rsidRPr="00B834A2">
        <w:t xml:space="preserve"> </w:t>
      </w:r>
      <w:r>
        <w:t>եւ</w:t>
      </w:r>
      <w:r w:rsidRPr="00B834A2">
        <w:t xml:space="preserve"> </w:t>
      </w:r>
      <w:r w:rsidRPr="006F34D9">
        <w:rPr>
          <w:i/>
        </w:rPr>
        <w:t>(բ)</w:t>
      </w:r>
      <w:r w:rsidRPr="00B834A2">
        <w:t xml:space="preserve"> համեմատման լուծույթներ:</w:t>
      </w:r>
    </w:p>
    <w:p w14:paraId="7AEDD10F" w14:textId="77777777" w:rsidR="00B834A2" w:rsidRPr="00B834A2" w:rsidRDefault="00B834A2" w:rsidP="006C4184">
      <w:pPr>
        <w:spacing w:after="160" w:line="360" w:lineRule="auto"/>
        <w:ind w:firstLine="567"/>
        <w:jc w:val="both"/>
      </w:pPr>
      <w:r w:rsidRPr="00B834A2">
        <w:t xml:space="preserve">Պիկերի նույնականացումը. (ա) համեմատման լուծույթի քրոմատագրի վրա հայտնաբերվում են չորս հիմնական պիկեր, որոնք համապատասխանում են խոլեստերինին, բրասսիկաստերինին, կամպեստերինին </w:t>
      </w:r>
      <w:r>
        <w:t>եւ</w:t>
      </w:r>
      <w:r w:rsidRPr="00B834A2">
        <w:t xml:space="preserve"> β-սիտոստերինին. (բ) համեմատման լուծույթի քրոմատագրի վրա հայտնաբերվում են 4 հիմնական </w:t>
      </w:r>
      <w:r w:rsidRPr="001516F5">
        <w:rPr>
          <w:spacing w:val="4"/>
        </w:rPr>
        <w:t xml:space="preserve">պիկեր, որոնք համապատասխանում են կամպեստերինին, ստիգմաստերինին, </w:t>
      </w:r>
      <w:r w:rsidRPr="001516F5">
        <w:rPr>
          <w:spacing w:val="4"/>
        </w:rPr>
        <w:lastRenderedPageBreak/>
        <w:t>β-սի</w:t>
      </w:r>
      <w:r w:rsidRPr="00B834A2">
        <w:t xml:space="preserve">տոստերինին </w:t>
      </w:r>
      <w:r>
        <w:t>եւ</w:t>
      </w:r>
      <w:r w:rsidRPr="00B834A2">
        <w:t xml:space="preserve"> ∆7-ստիգմաստենոլին: β-սիտոստերինի պիկի նկատմամբ ստերինների պիկերի պահման հարաբերական ժամանակները ներկայացված են 2.1.8.26-1 աղյուսակում:</w:t>
      </w:r>
    </w:p>
    <w:p w14:paraId="107A20D1" w14:textId="77777777" w:rsidR="00B834A2" w:rsidRPr="00B834A2" w:rsidRDefault="00B834A2" w:rsidP="006C4184">
      <w:pPr>
        <w:spacing w:after="160" w:line="360" w:lineRule="auto"/>
        <w:ind w:firstLine="567"/>
        <w:jc w:val="both"/>
      </w:pPr>
      <w:r w:rsidRPr="00B834A2">
        <w:t>Ներքին ստանդարտի (բետուլին) պիկը պետք է հստակ տարանջատվի որոշվող ստերինների պիկերից:</w:t>
      </w:r>
    </w:p>
    <w:p w14:paraId="3849B463" w14:textId="77777777" w:rsidR="00B834A2" w:rsidRPr="00B834A2" w:rsidRDefault="00B834A2" w:rsidP="006C4184">
      <w:pPr>
        <w:spacing w:after="160" w:line="360" w:lineRule="auto"/>
        <w:ind w:firstLine="567"/>
        <w:jc w:val="both"/>
      </w:pPr>
      <w:r w:rsidRPr="00B834A2">
        <w:t>Նույնականացնում են փորձարկվող լուծույթի քրոմատագրի վրա հայտնաբերված պիկերը:</w:t>
      </w:r>
    </w:p>
    <w:p w14:paraId="7E9A1839" w14:textId="77777777" w:rsidR="00B834A2" w:rsidRPr="00B834A2" w:rsidRDefault="00B834A2" w:rsidP="006C4184">
      <w:pPr>
        <w:spacing w:after="160" w:line="360" w:lineRule="auto"/>
        <w:ind w:firstLine="567"/>
        <w:jc w:val="both"/>
      </w:pPr>
      <w:r w:rsidRPr="00B834A2">
        <w:t>Փորձարկվող լուծույթի ստերինային թորամասի մեջ յուրաքանչյուր ստերինի՝ տոկոսներով պարունակություն հաշվարկում են հետ</w:t>
      </w:r>
      <w:r>
        <w:t>եւ</w:t>
      </w:r>
      <w:r w:rsidRPr="00B834A2">
        <w:t>յալ բանաձ</w:t>
      </w:r>
      <w:r>
        <w:t>եւ</w:t>
      </w:r>
      <w:r w:rsidRPr="00B834A2">
        <w:t>ով.</w:t>
      </w:r>
    </w:p>
    <w:p w14:paraId="78A02FE0" w14:textId="77777777" w:rsidR="00B834A2" w:rsidRPr="00B834A2" w:rsidRDefault="00000000" w:rsidP="00B834A2">
      <w:pPr>
        <w:spacing w:after="160" w:line="360" w:lineRule="auto"/>
        <w:jc w:val="both"/>
      </w:pPr>
      <m:oMathPara>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i</m:t>
                  </m:r>
                </m:sub>
              </m:sSub>
            </m:num>
            <m:den>
              <m:nary>
                <m:naryPr>
                  <m:chr m:val="∑"/>
                  <m:limLoc m:val="undOvr"/>
                  <m:subHide m:val="1"/>
                  <m:supHide m:val="1"/>
                  <m:ctrlPr>
                    <w:rPr>
                      <w:rFonts w:ascii="Cambria Math" w:hAnsi="Cambria Math"/>
                    </w:rPr>
                  </m:ctrlPr>
                </m:naryPr>
                <m:sub/>
                <m:sup/>
                <m:e>
                  <m:sSub>
                    <m:sSubPr>
                      <m:ctrlPr>
                        <w:rPr>
                          <w:rFonts w:ascii="Cambria Math" w:hAnsi="Cambria Math"/>
                        </w:rPr>
                      </m:ctrlPr>
                    </m:sSubPr>
                    <m:e>
                      <m:r>
                        <w:rPr>
                          <w:rFonts w:ascii="Cambria Math" w:hAnsi="Cambria Math"/>
                        </w:rPr>
                        <m:t>S</m:t>
                      </m:r>
                    </m:e>
                    <m:sub>
                      <m:r>
                        <w:rPr>
                          <w:rFonts w:ascii="Cambria Math" w:hAnsi="Cambria Math"/>
                        </w:rPr>
                        <m:t>i</m:t>
                      </m:r>
                    </m:sub>
                  </m:sSub>
                </m:e>
              </m:nary>
            </m:den>
          </m:f>
          <m:r>
            <m:rPr>
              <m:sty m:val="p"/>
            </m:rPr>
            <w:rPr>
              <w:rFonts w:ascii="Cambria Math" w:hAnsi="Cambria Math"/>
            </w:rPr>
            <m:t>∙100,</m:t>
          </m:r>
        </m:oMath>
      </m:oMathPara>
    </w:p>
    <w:p w14:paraId="3459973E" w14:textId="77777777" w:rsidR="00B834A2" w:rsidRPr="00B834A2" w:rsidRDefault="00B834A2" w:rsidP="006C4184">
      <w:pPr>
        <w:spacing w:after="160" w:line="360" w:lineRule="auto"/>
        <w:ind w:firstLine="567"/>
        <w:jc w:val="both"/>
      </w:pPr>
      <w:r w:rsidRPr="00B834A2">
        <w:t xml:space="preserve">որտեղ՝ </w:t>
      </w:r>
    </w:p>
    <w:p w14:paraId="6C0BEA88" w14:textId="77777777" w:rsidR="00B834A2" w:rsidRPr="00B834A2" w:rsidRDefault="00B834A2" w:rsidP="006C4184">
      <w:pPr>
        <w:spacing w:after="160" w:line="360" w:lineRule="auto"/>
        <w:ind w:firstLine="567"/>
        <w:jc w:val="both"/>
      </w:pPr>
      <w:r w:rsidRPr="006F34D9">
        <w:rPr>
          <w:i/>
        </w:rPr>
        <w:t>Տ</w:t>
      </w:r>
      <w:r w:rsidRPr="00B834A2">
        <w:rPr>
          <w:vertAlign w:val="subscript"/>
        </w:rPr>
        <w:t>i</w:t>
      </w:r>
      <w:r w:rsidRPr="00B834A2">
        <w:t>-ը փորձարկվող լուծույթի քրոմատագրի վրա ստերինի պիկի մակերեսն է.</w:t>
      </w:r>
    </w:p>
    <w:p w14:paraId="20314869" w14:textId="77777777" w:rsidR="00B834A2" w:rsidRPr="00B834A2" w:rsidRDefault="00B834A2" w:rsidP="006C4184">
      <w:pPr>
        <w:spacing w:after="160" w:line="360" w:lineRule="auto"/>
        <w:ind w:firstLine="567"/>
        <w:jc w:val="both"/>
      </w:pPr>
      <w:r w:rsidRPr="00B834A2">
        <w:t>Σ</w:t>
      </w:r>
      <w:r w:rsidRPr="006F34D9">
        <w:rPr>
          <w:i/>
        </w:rPr>
        <w:t>S</w:t>
      </w:r>
      <w:r w:rsidRPr="006F34D9">
        <w:rPr>
          <w:i/>
          <w:vertAlign w:val="subscript"/>
        </w:rPr>
        <w:t>i</w:t>
      </w:r>
      <w:r w:rsidRPr="00B834A2">
        <w:t>-ը, բետուլինի պիկից բացի, 2.1.8.26-1 աղյուսակում նշված ստերինների բոլոր պիկերի մակերեսների հանրագումարն է:</w:t>
      </w:r>
    </w:p>
    <w:p w14:paraId="1DB3B84B" w14:textId="77777777" w:rsidR="00B834A2" w:rsidRPr="00B834A2" w:rsidRDefault="00B834A2" w:rsidP="006C4184">
      <w:pPr>
        <w:spacing w:after="160" w:line="360" w:lineRule="auto"/>
        <w:ind w:firstLine="567"/>
        <w:jc w:val="both"/>
      </w:pPr>
      <w:r w:rsidRPr="00B834A2">
        <w:t>Մասնավոր դեղագրքային հոդվածում ցուցումների առկայության դեպքում փորձարկվող լուծույթի ստերինային թորամասի մեջ յուրաքանչյուր ստերինի՝ տոկոսներով պարունակություն հաշվարկում են հետ</w:t>
      </w:r>
      <w:r>
        <w:t>եւ</w:t>
      </w:r>
      <w:r w:rsidRPr="00B834A2">
        <w:t>յալ բանաձ</w:t>
      </w:r>
      <w:r>
        <w:t>եւ</w:t>
      </w:r>
      <w:r w:rsidRPr="00B834A2">
        <w:t>ով.</w:t>
      </w:r>
    </w:p>
    <w:p w14:paraId="12B1C80D" w14:textId="77777777" w:rsidR="00B834A2" w:rsidRPr="00B834A2" w:rsidRDefault="00000000" w:rsidP="00B834A2">
      <w:pPr>
        <w:spacing w:after="160" w:line="360" w:lineRule="auto"/>
        <w:jc w:val="both"/>
        <w:rPr>
          <w:i/>
        </w:rPr>
      </w:pPr>
      <m:oMathPara>
        <m:oMath>
          <m:f>
            <m:fPr>
              <m:ctrlPr>
                <w:rPr>
                  <w:rFonts w:ascii="Cambria Math" w:hAnsi="Cambria Math"/>
                </w:rPr>
              </m:ctrlPr>
            </m:fPr>
            <m:num>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s</m:t>
                  </m:r>
                </m:sub>
              </m:sSub>
              <m:r>
                <m:rPr>
                  <m:sty m:val="p"/>
                </m:rPr>
                <w:rPr>
                  <w:rFonts w:ascii="Cambria Math" w:hAnsi="Cambria Math"/>
                </w:rPr>
                <m:t>∙100</m:t>
              </m:r>
            </m:num>
            <m:den>
              <m:sSub>
                <m:sSubPr>
                  <m:ctrlPr>
                    <w:rPr>
                      <w:rFonts w:ascii="Cambria Math" w:hAnsi="Cambria Math"/>
                    </w:rPr>
                  </m:ctrlPr>
                </m:sSubPr>
                <m:e>
                  <m:r>
                    <w:rPr>
                      <w:rFonts w:ascii="Cambria Math" w:hAnsi="Cambria Math"/>
                    </w:rPr>
                    <m:t>S</m:t>
                  </m:r>
                </m:e>
                <m:sub>
                  <m:r>
                    <m:rPr>
                      <m:sty m:val="p"/>
                    </m:rPr>
                    <w:rPr>
                      <w:rFonts w:ascii="Cambria Math" w:hAnsi="Cambria Math"/>
                    </w:rPr>
                    <m:t>0</m:t>
                  </m:r>
                </m:sub>
              </m:sSub>
              <m:r>
                <m:rPr>
                  <m:sty m:val="p"/>
                </m:rPr>
                <w:rPr>
                  <w:rFonts w:ascii="Cambria Math" w:hAnsi="Cambria Math"/>
                </w:rPr>
                <m:t>∙</m:t>
              </m:r>
              <m:r>
                <w:rPr>
                  <w:rFonts w:ascii="Cambria Math" w:hAnsi="Cambria Math"/>
                </w:rPr>
                <m:t>m</m:t>
              </m:r>
            </m:den>
          </m:f>
          <m:r>
            <m:rPr>
              <m:sty m:val="p"/>
            </m:rPr>
            <w:rPr>
              <w:rFonts w:ascii="Cambria Math" w:hAnsi="Cambria Math"/>
            </w:rPr>
            <m:t>,</m:t>
          </m:r>
        </m:oMath>
      </m:oMathPara>
    </w:p>
    <w:p w14:paraId="4954540B" w14:textId="77777777" w:rsidR="00B834A2" w:rsidRPr="00B834A2" w:rsidRDefault="00B834A2" w:rsidP="006C4184">
      <w:pPr>
        <w:spacing w:after="160" w:line="360" w:lineRule="auto"/>
        <w:ind w:firstLine="567"/>
        <w:jc w:val="both"/>
      </w:pPr>
      <w:r w:rsidRPr="00B834A2">
        <w:t>Աղյուսակ 2.1.8.26-1: β-սիտոստերինի պիկի նկատմամբ ստերինների պիկերի պահման հարաբերական ժամանակները՝ երկու տարբեր աշտարակների համար</w:t>
      </w:r>
    </w:p>
    <w:tbl>
      <w:tblPr>
        <w:tblOverlap w:val="never"/>
        <w:tblW w:w="9427" w:type="dxa"/>
        <w:jc w:val="center"/>
        <w:tblLayout w:type="fixed"/>
        <w:tblCellMar>
          <w:left w:w="10" w:type="dxa"/>
          <w:right w:w="10" w:type="dxa"/>
        </w:tblCellMar>
        <w:tblLook w:val="04A0" w:firstRow="1" w:lastRow="0" w:firstColumn="1" w:lastColumn="0" w:noHBand="0" w:noVBand="1"/>
      </w:tblPr>
      <w:tblGrid>
        <w:gridCol w:w="2592"/>
        <w:gridCol w:w="3605"/>
        <w:gridCol w:w="3230"/>
      </w:tblGrid>
      <w:tr w:rsidR="00B834A2" w:rsidRPr="006C4184" w14:paraId="16804A1E" w14:textId="77777777" w:rsidTr="00CE5DEC">
        <w:trPr>
          <w:tblHeader/>
          <w:jc w:val="center"/>
        </w:trPr>
        <w:tc>
          <w:tcPr>
            <w:tcW w:w="2592" w:type="dxa"/>
            <w:tcBorders>
              <w:top w:val="single" w:sz="4" w:space="0" w:color="auto"/>
            </w:tcBorders>
            <w:shd w:val="clear" w:color="auto" w:fill="FFFFFF"/>
            <w:vAlign w:val="center"/>
          </w:tcPr>
          <w:p w14:paraId="4329021D" w14:textId="77777777" w:rsidR="00B834A2" w:rsidRPr="006C4184" w:rsidRDefault="00B834A2" w:rsidP="006C4184">
            <w:pPr>
              <w:spacing w:after="120"/>
              <w:jc w:val="center"/>
              <w:rPr>
                <w:sz w:val="20"/>
                <w:szCs w:val="20"/>
              </w:rPr>
            </w:pPr>
            <w:r w:rsidRPr="006C4184">
              <w:rPr>
                <w:sz w:val="20"/>
                <w:szCs w:val="20"/>
              </w:rPr>
              <w:t>Ստերիններ</w:t>
            </w:r>
          </w:p>
        </w:tc>
        <w:tc>
          <w:tcPr>
            <w:tcW w:w="3605" w:type="dxa"/>
            <w:tcBorders>
              <w:top w:val="single" w:sz="4" w:space="0" w:color="auto"/>
            </w:tcBorders>
            <w:shd w:val="clear" w:color="auto" w:fill="FFFFFF"/>
            <w:vAlign w:val="bottom"/>
          </w:tcPr>
          <w:p w14:paraId="1742DD64" w14:textId="77777777" w:rsidR="00B834A2" w:rsidRPr="006C4184" w:rsidRDefault="00B834A2" w:rsidP="006C4184">
            <w:pPr>
              <w:spacing w:after="120"/>
              <w:jc w:val="center"/>
              <w:rPr>
                <w:sz w:val="20"/>
                <w:szCs w:val="20"/>
              </w:rPr>
            </w:pPr>
            <w:r w:rsidRPr="006C4184">
              <w:rPr>
                <w:sz w:val="20"/>
                <w:szCs w:val="20"/>
              </w:rPr>
              <w:t>Պոլի(ցիանոպրոպիլ)(7)(ֆենիլ)(7)-(մեթիլ)(86)սիլօքսան</w:t>
            </w:r>
          </w:p>
        </w:tc>
        <w:tc>
          <w:tcPr>
            <w:tcW w:w="3230" w:type="dxa"/>
            <w:tcBorders>
              <w:top w:val="single" w:sz="4" w:space="0" w:color="auto"/>
            </w:tcBorders>
            <w:shd w:val="clear" w:color="auto" w:fill="FFFFFF"/>
            <w:vAlign w:val="center"/>
          </w:tcPr>
          <w:p w14:paraId="7B340A69" w14:textId="77777777" w:rsidR="00B834A2" w:rsidRPr="006C4184" w:rsidRDefault="00B834A2" w:rsidP="006C4184">
            <w:pPr>
              <w:spacing w:after="120"/>
              <w:jc w:val="center"/>
              <w:rPr>
                <w:sz w:val="20"/>
                <w:szCs w:val="20"/>
              </w:rPr>
            </w:pPr>
            <w:r w:rsidRPr="006C4184">
              <w:rPr>
                <w:sz w:val="20"/>
                <w:szCs w:val="20"/>
              </w:rPr>
              <w:t>Պոլի [մեթիլ(95)ֆենիլ-(5)] սիլօքսան</w:t>
            </w:r>
          </w:p>
        </w:tc>
      </w:tr>
      <w:tr w:rsidR="00B834A2" w:rsidRPr="006C4184" w14:paraId="7A604EEE" w14:textId="77777777" w:rsidTr="00B834A2">
        <w:trPr>
          <w:jc w:val="center"/>
        </w:trPr>
        <w:tc>
          <w:tcPr>
            <w:tcW w:w="2592" w:type="dxa"/>
            <w:tcBorders>
              <w:top w:val="single" w:sz="4" w:space="0" w:color="auto"/>
            </w:tcBorders>
            <w:shd w:val="clear" w:color="auto" w:fill="FFFFFF"/>
          </w:tcPr>
          <w:p w14:paraId="52A830FF" w14:textId="77777777" w:rsidR="00B834A2" w:rsidRPr="006C4184" w:rsidRDefault="00B834A2" w:rsidP="006C4184">
            <w:pPr>
              <w:spacing w:after="120"/>
              <w:jc w:val="both"/>
              <w:rPr>
                <w:sz w:val="20"/>
                <w:szCs w:val="20"/>
              </w:rPr>
            </w:pPr>
            <w:r w:rsidRPr="006C4184">
              <w:rPr>
                <w:sz w:val="20"/>
                <w:szCs w:val="20"/>
              </w:rPr>
              <w:t>Խոլեստերին</w:t>
            </w:r>
          </w:p>
        </w:tc>
        <w:tc>
          <w:tcPr>
            <w:tcW w:w="3605" w:type="dxa"/>
            <w:tcBorders>
              <w:top w:val="single" w:sz="4" w:space="0" w:color="auto"/>
            </w:tcBorders>
            <w:shd w:val="clear" w:color="auto" w:fill="FFFFFF"/>
          </w:tcPr>
          <w:p w14:paraId="196C8726" w14:textId="77777777" w:rsidR="00B834A2" w:rsidRPr="006C4184" w:rsidRDefault="00B834A2" w:rsidP="006C4184">
            <w:pPr>
              <w:spacing w:after="120"/>
              <w:jc w:val="center"/>
              <w:rPr>
                <w:sz w:val="20"/>
                <w:szCs w:val="20"/>
              </w:rPr>
            </w:pPr>
            <w:r w:rsidRPr="006C4184">
              <w:rPr>
                <w:sz w:val="20"/>
                <w:szCs w:val="20"/>
              </w:rPr>
              <w:t>0,64</w:t>
            </w:r>
          </w:p>
        </w:tc>
        <w:tc>
          <w:tcPr>
            <w:tcW w:w="3230" w:type="dxa"/>
            <w:tcBorders>
              <w:top w:val="single" w:sz="4" w:space="0" w:color="auto"/>
            </w:tcBorders>
            <w:shd w:val="clear" w:color="auto" w:fill="FFFFFF"/>
          </w:tcPr>
          <w:p w14:paraId="73896E7B" w14:textId="77777777" w:rsidR="00B834A2" w:rsidRPr="006C4184" w:rsidRDefault="00B834A2" w:rsidP="006C4184">
            <w:pPr>
              <w:spacing w:after="120"/>
              <w:jc w:val="center"/>
              <w:rPr>
                <w:sz w:val="20"/>
                <w:szCs w:val="20"/>
              </w:rPr>
            </w:pPr>
            <w:r w:rsidRPr="006C4184">
              <w:rPr>
                <w:sz w:val="20"/>
                <w:szCs w:val="20"/>
              </w:rPr>
              <w:t>0,63</w:t>
            </w:r>
          </w:p>
        </w:tc>
      </w:tr>
      <w:tr w:rsidR="00B834A2" w:rsidRPr="006C4184" w14:paraId="06468C35" w14:textId="77777777" w:rsidTr="00B834A2">
        <w:trPr>
          <w:jc w:val="center"/>
        </w:trPr>
        <w:tc>
          <w:tcPr>
            <w:tcW w:w="2592" w:type="dxa"/>
            <w:shd w:val="clear" w:color="auto" w:fill="FFFFFF"/>
          </w:tcPr>
          <w:p w14:paraId="5BC0F02D" w14:textId="77777777" w:rsidR="00B834A2" w:rsidRPr="006C4184" w:rsidRDefault="00B834A2" w:rsidP="006C4184">
            <w:pPr>
              <w:spacing w:after="120"/>
              <w:jc w:val="both"/>
              <w:rPr>
                <w:sz w:val="20"/>
                <w:szCs w:val="20"/>
              </w:rPr>
            </w:pPr>
            <w:r w:rsidRPr="006C4184">
              <w:rPr>
                <w:sz w:val="20"/>
                <w:szCs w:val="20"/>
              </w:rPr>
              <w:t>Բրասսիկաստերին</w:t>
            </w:r>
          </w:p>
        </w:tc>
        <w:tc>
          <w:tcPr>
            <w:tcW w:w="3605" w:type="dxa"/>
            <w:shd w:val="clear" w:color="auto" w:fill="FFFFFF"/>
          </w:tcPr>
          <w:p w14:paraId="13CAE7F6" w14:textId="77777777" w:rsidR="00B834A2" w:rsidRPr="006C4184" w:rsidRDefault="00B834A2" w:rsidP="006C4184">
            <w:pPr>
              <w:spacing w:after="120"/>
              <w:jc w:val="center"/>
              <w:rPr>
                <w:sz w:val="20"/>
                <w:szCs w:val="20"/>
              </w:rPr>
            </w:pPr>
            <w:r w:rsidRPr="006C4184">
              <w:rPr>
                <w:sz w:val="20"/>
                <w:szCs w:val="20"/>
              </w:rPr>
              <w:t>0,70</w:t>
            </w:r>
          </w:p>
        </w:tc>
        <w:tc>
          <w:tcPr>
            <w:tcW w:w="3230" w:type="dxa"/>
            <w:shd w:val="clear" w:color="auto" w:fill="FFFFFF"/>
          </w:tcPr>
          <w:p w14:paraId="6A317446" w14:textId="77777777" w:rsidR="00B834A2" w:rsidRPr="006C4184" w:rsidRDefault="00B834A2" w:rsidP="006C4184">
            <w:pPr>
              <w:spacing w:after="120"/>
              <w:jc w:val="center"/>
              <w:rPr>
                <w:sz w:val="20"/>
                <w:szCs w:val="20"/>
              </w:rPr>
            </w:pPr>
            <w:r w:rsidRPr="006C4184">
              <w:rPr>
                <w:sz w:val="20"/>
                <w:szCs w:val="20"/>
              </w:rPr>
              <w:t>0,71</w:t>
            </w:r>
          </w:p>
        </w:tc>
      </w:tr>
      <w:tr w:rsidR="00B834A2" w:rsidRPr="006C4184" w14:paraId="7895D692" w14:textId="77777777" w:rsidTr="00B834A2">
        <w:trPr>
          <w:jc w:val="center"/>
        </w:trPr>
        <w:tc>
          <w:tcPr>
            <w:tcW w:w="2592" w:type="dxa"/>
            <w:shd w:val="clear" w:color="auto" w:fill="FFFFFF"/>
          </w:tcPr>
          <w:p w14:paraId="5B7D7A82" w14:textId="77777777" w:rsidR="00B834A2" w:rsidRPr="006C4184" w:rsidRDefault="00B834A2" w:rsidP="006C4184">
            <w:pPr>
              <w:spacing w:after="120"/>
              <w:jc w:val="both"/>
              <w:rPr>
                <w:sz w:val="20"/>
                <w:szCs w:val="20"/>
              </w:rPr>
            </w:pPr>
            <w:r w:rsidRPr="006C4184">
              <w:rPr>
                <w:sz w:val="20"/>
                <w:szCs w:val="20"/>
              </w:rPr>
              <w:t>24-Մեթիլեն խոլեստերին</w:t>
            </w:r>
          </w:p>
        </w:tc>
        <w:tc>
          <w:tcPr>
            <w:tcW w:w="3605" w:type="dxa"/>
            <w:shd w:val="clear" w:color="auto" w:fill="FFFFFF"/>
          </w:tcPr>
          <w:p w14:paraId="77D1C256" w14:textId="77777777" w:rsidR="00B834A2" w:rsidRPr="006C4184" w:rsidRDefault="00B834A2" w:rsidP="006C4184">
            <w:pPr>
              <w:spacing w:after="120"/>
              <w:jc w:val="center"/>
              <w:rPr>
                <w:sz w:val="20"/>
                <w:szCs w:val="20"/>
              </w:rPr>
            </w:pPr>
            <w:r w:rsidRPr="006C4184">
              <w:rPr>
                <w:sz w:val="20"/>
                <w:szCs w:val="20"/>
              </w:rPr>
              <w:t>0,79</w:t>
            </w:r>
          </w:p>
        </w:tc>
        <w:tc>
          <w:tcPr>
            <w:tcW w:w="3230" w:type="dxa"/>
            <w:shd w:val="clear" w:color="auto" w:fill="FFFFFF"/>
            <w:vAlign w:val="center"/>
          </w:tcPr>
          <w:p w14:paraId="451959C6" w14:textId="77777777" w:rsidR="00B834A2" w:rsidRPr="006C4184" w:rsidRDefault="00B834A2" w:rsidP="006C4184">
            <w:pPr>
              <w:spacing w:after="120"/>
              <w:jc w:val="center"/>
              <w:rPr>
                <w:sz w:val="20"/>
                <w:szCs w:val="20"/>
              </w:rPr>
            </w:pPr>
            <w:r w:rsidRPr="006C4184">
              <w:rPr>
                <w:sz w:val="20"/>
                <w:szCs w:val="20"/>
              </w:rPr>
              <w:t>0,80</w:t>
            </w:r>
          </w:p>
        </w:tc>
      </w:tr>
      <w:tr w:rsidR="00B834A2" w:rsidRPr="006C4184" w14:paraId="7A2EE3A5" w14:textId="77777777" w:rsidTr="00B834A2">
        <w:trPr>
          <w:jc w:val="center"/>
        </w:trPr>
        <w:tc>
          <w:tcPr>
            <w:tcW w:w="2592" w:type="dxa"/>
            <w:shd w:val="clear" w:color="auto" w:fill="FFFFFF"/>
            <w:vAlign w:val="center"/>
          </w:tcPr>
          <w:p w14:paraId="2755907B" w14:textId="77777777" w:rsidR="00B834A2" w:rsidRPr="006C4184" w:rsidRDefault="00B834A2" w:rsidP="006C4184">
            <w:pPr>
              <w:spacing w:after="120"/>
              <w:jc w:val="both"/>
              <w:rPr>
                <w:sz w:val="20"/>
                <w:szCs w:val="20"/>
              </w:rPr>
            </w:pPr>
            <w:r w:rsidRPr="006C4184">
              <w:rPr>
                <w:sz w:val="20"/>
                <w:szCs w:val="20"/>
              </w:rPr>
              <w:t>Կամպեստերին</w:t>
            </w:r>
          </w:p>
        </w:tc>
        <w:tc>
          <w:tcPr>
            <w:tcW w:w="3605" w:type="dxa"/>
            <w:shd w:val="clear" w:color="auto" w:fill="FFFFFF"/>
            <w:vAlign w:val="center"/>
          </w:tcPr>
          <w:p w14:paraId="189498D3" w14:textId="77777777" w:rsidR="00B834A2" w:rsidRPr="006C4184" w:rsidRDefault="00B834A2" w:rsidP="006C4184">
            <w:pPr>
              <w:spacing w:after="120"/>
              <w:jc w:val="center"/>
              <w:rPr>
                <w:sz w:val="20"/>
                <w:szCs w:val="20"/>
              </w:rPr>
            </w:pPr>
            <w:r w:rsidRPr="006C4184">
              <w:rPr>
                <w:sz w:val="20"/>
                <w:szCs w:val="20"/>
              </w:rPr>
              <w:t>0,82</w:t>
            </w:r>
          </w:p>
        </w:tc>
        <w:tc>
          <w:tcPr>
            <w:tcW w:w="3230" w:type="dxa"/>
            <w:shd w:val="clear" w:color="auto" w:fill="FFFFFF"/>
            <w:vAlign w:val="center"/>
          </w:tcPr>
          <w:p w14:paraId="17B79DD6" w14:textId="77777777" w:rsidR="00B834A2" w:rsidRPr="006C4184" w:rsidRDefault="00B834A2" w:rsidP="006C4184">
            <w:pPr>
              <w:spacing w:after="120"/>
              <w:jc w:val="center"/>
              <w:rPr>
                <w:sz w:val="20"/>
                <w:szCs w:val="20"/>
              </w:rPr>
            </w:pPr>
            <w:r w:rsidRPr="006C4184">
              <w:rPr>
                <w:sz w:val="20"/>
                <w:szCs w:val="20"/>
              </w:rPr>
              <w:t>0,81</w:t>
            </w:r>
          </w:p>
        </w:tc>
      </w:tr>
      <w:tr w:rsidR="00B834A2" w:rsidRPr="006C4184" w14:paraId="4036ADE5" w14:textId="77777777" w:rsidTr="00B834A2">
        <w:trPr>
          <w:jc w:val="center"/>
        </w:trPr>
        <w:tc>
          <w:tcPr>
            <w:tcW w:w="2592" w:type="dxa"/>
            <w:shd w:val="clear" w:color="auto" w:fill="FFFFFF"/>
            <w:vAlign w:val="center"/>
          </w:tcPr>
          <w:p w14:paraId="73E02707" w14:textId="77777777" w:rsidR="00B834A2" w:rsidRPr="006C4184" w:rsidRDefault="00B834A2" w:rsidP="006C4184">
            <w:pPr>
              <w:spacing w:after="120"/>
              <w:jc w:val="both"/>
              <w:rPr>
                <w:sz w:val="20"/>
                <w:szCs w:val="20"/>
              </w:rPr>
            </w:pPr>
            <w:r w:rsidRPr="006C4184">
              <w:rPr>
                <w:sz w:val="20"/>
                <w:szCs w:val="20"/>
              </w:rPr>
              <w:lastRenderedPageBreak/>
              <w:t>Կամպեստանոլ</w:t>
            </w:r>
          </w:p>
        </w:tc>
        <w:tc>
          <w:tcPr>
            <w:tcW w:w="3605" w:type="dxa"/>
            <w:shd w:val="clear" w:color="auto" w:fill="FFFFFF"/>
            <w:vAlign w:val="center"/>
          </w:tcPr>
          <w:p w14:paraId="79461B92" w14:textId="77777777" w:rsidR="00B834A2" w:rsidRPr="006C4184" w:rsidRDefault="00B834A2" w:rsidP="006C4184">
            <w:pPr>
              <w:spacing w:after="120"/>
              <w:jc w:val="center"/>
              <w:rPr>
                <w:sz w:val="20"/>
                <w:szCs w:val="20"/>
              </w:rPr>
            </w:pPr>
            <w:r w:rsidRPr="006C4184">
              <w:rPr>
                <w:sz w:val="20"/>
                <w:szCs w:val="20"/>
              </w:rPr>
              <w:t>0,83</w:t>
            </w:r>
          </w:p>
        </w:tc>
        <w:tc>
          <w:tcPr>
            <w:tcW w:w="3230" w:type="dxa"/>
            <w:shd w:val="clear" w:color="auto" w:fill="FFFFFF"/>
            <w:vAlign w:val="center"/>
          </w:tcPr>
          <w:p w14:paraId="119C9CC3" w14:textId="77777777" w:rsidR="00B834A2" w:rsidRPr="006C4184" w:rsidRDefault="00B834A2" w:rsidP="006C4184">
            <w:pPr>
              <w:spacing w:after="120"/>
              <w:jc w:val="center"/>
              <w:rPr>
                <w:sz w:val="20"/>
                <w:szCs w:val="20"/>
              </w:rPr>
            </w:pPr>
            <w:r w:rsidRPr="006C4184">
              <w:rPr>
                <w:sz w:val="20"/>
                <w:szCs w:val="20"/>
              </w:rPr>
              <w:t>0,82</w:t>
            </w:r>
          </w:p>
        </w:tc>
      </w:tr>
      <w:tr w:rsidR="00B834A2" w:rsidRPr="006C4184" w14:paraId="43C18A19" w14:textId="77777777" w:rsidTr="00B834A2">
        <w:trPr>
          <w:jc w:val="center"/>
        </w:trPr>
        <w:tc>
          <w:tcPr>
            <w:tcW w:w="2592" w:type="dxa"/>
            <w:shd w:val="clear" w:color="auto" w:fill="FFFFFF"/>
          </w:tcPr>
          <w:p w14:paraId="0CBA07DB" w14:textId="77777777" w:rsidR="00B834A2" w:rsidRPr="006C4184" w:rsidRDefault="00B834A2" w:rsidP="006C4184">
            <w:pPr>
              <w:spacing w:after="120"/>
              <w:jc w:val="both"/>
              <w:rPr>
                <w:sz w:val="20"/>
                <w:szCs w:val="20"/>
              </w:rPr>
            </w:pPr>
            <w:r w:rsidRPr="006C4184">
              <w:rPr>
                <w:sz w:val="20"/>
                <w:szCs w:val="20"/>
              </w:rPr>
              <w:t>Ստիգմաստերին</w:t>
            </w:r>
          </w:p>
        </w:tc>
        <w:tc>
          <w:tcPr>
            <w:tcW w:w="3605" w:type="dxa"/>
            <w:shd w:val="clear" w:color="auto" w:fill="FFFFFF"/>
          </w:tcPr>
          <w:p w14:paraId="57CC11FB" w14:textId="77777777" w:rsidR="00B834A2" w:rsidRPr="006C4184" w:rsidRDefault="00B834A2" w:rsidP="006C4184">
            <w:pPr>
              <w:spacing w:after="120"/>
              <w:jc w:val="center"/>
              <w:rPr>
                <w:sz w:val="20"/>
                <w:szCs w:val="20"/>
              </w:rPr>
            </w:pPr>
            <w:r w:rsidRPr="006C4184">
              <w:rPr>
                <w:sz w:val="20"/>
                <w:szCs w:val="20"/>
              </w:rPr>
              <w:t>0,87</w:t>
            </w:r>
          </w:p>
        </w:tc>
        <w:tc>
          <w:tcPr>
            <w:tcW w:w="3230" w:type="dxa"/>
            <w:shd w:val="clear" w:color="auto" w:fill="FFFFFF"/>
          </w:tcPr>
          <w:p w14:paraId="4ADAB794" w14:textId="77777777" w:rsidR="00B834A2" w:rsidRPr="006C4184" w:rsidRDefault="00B834A2" w:rsidP="006C4184">
            <w:pPr>
              <w:spacing w:after="120"/>
              <w:jc w:val="center"/>
              <w:rPr>
                <w:sz w:val="20"/>
                <w:szCs w:val="20"/>
              </w:rPr>
            </w:pPr>
            <w:r w:rsidRPr="006C4184">
              <w:rPr>
                <w:sz w:val="20"/>
                <w:szCs w:val="20"/>
              </w:rPr>
              <w:t>0,87</w:t>
            </w:r>
          </w:p>
        </w:tc>
      </w:tr>
      <w:tr w:rsidR="00B834A2" w:rsidRPr="006C4184" w14:paraId="0C934D17" w14:textId="77777777" w:rsidTr="00B834A2">
        <w:trPr>
          <w:jc w:val="center"/>
        </w:trPr>
        <w:tc>
          <w:tcPr>
            <w:tcW w:w="2592" w:type="dxa"/>
            <w:shd w:val="clear" w:color="auto" w:fill="FFFFFF"/>
          </w:tcPr>
          <w:p w14:paraId="72DBB90C" w14:textId="77777777" w:rsidR="00B834A2" w:rsidRPr="006C4184" w:rsidRDefault="00B834A2" w:rsidP="006C4184">
            <w:pPr>
              <w:spacing w:after="120"/>
              <w:jc w:val="both"/>
              <w:rPr>
                <w:sz w:val="20"/>
                <w:szCs w:val="20"/>
              </w:rPr>
            </w:pPr>
            <w:r w:rsidRPr="006C4184">
              <w:rPr>
                <w:sz w:val="20"/>
                <w:szCs w:val="20"/>
              </w:rPr>
              <w:t>∆7-Կամպեստերին</w:t>
            </w:r>
          </w:p>
        </w:tc>
        <w:tc>
          <w:tcPr>
            <w:tcW w:w="3605" w:type="dxa"/>
            <w:shd w:val="clear" w:color="auto" w:fill="FFFFFF"/>
          </w:tcPr>
          <w:p w14:paraId="7256E4A3" w14:textId="77777777" w:rsidR="00B834A2" w:rsidRPr="006C4184" w:rsidRDefault="00B834A2" w:rsidP="006C4184">
            <w:pPr>
              <w:spacing w:after="120"/>
              <w:jc w:val="center"/>
              <w:rPr>
                <w:sz w:val="20"/>
                <w:szCs w:val="20"/>
              </w:rPr>
            </w:pPr>
            <w:r w:rsidRPr="006C4184">
              <w:rPr>
                <w:sz w:val="20"/>
                <w:szCs w:val="20"/>
              </w:rPr>
              <w:t>0,93</w:t>
            </w:r>
          </w:p>
        </w:tc>
        <w:tc>
          <w:tcPr>
            <w:tcW w:w="3230" w:type="dxa"/>
            <w:shd w:val="clear" w:color="auto" w:fill="FFFFFF"/>
          </w:tcPr>
          <w:p w14:paraId="0A8E34FC" w14:textId="77777777" w:rsidR="00B834A2" w:rsidRPr="006C4184" w:rsidRDefault="00B834A2" w:rsidP="006C4184">
            <w:pPr>
              <w:spacing w:after="120"/>
              <w:jc w:val="center"/>
              <w:rPr>
                <w:sz w:val="20"/>
                <w:szCs w:val="20"/>
              </w:rPr>
            </w:pPr>
            <w:r w:rsidRPr="006C4184">
              <w:rPr>
                <w:sz w:val="20"/>
                <w:szCs w:val="20"/>
              </w:rPr>
              <w:t>0,92</w:t>
            </w:r>
          </w:p>
        </w:tc>
      </w:tr>
      <w:tr w:rsidR="00B834A2" w:rsidRPr="006C4184" w14:paraId="51248DF6" w14:textId="77777777" w:rsidTr="00B834A2">
        <w:trPr>
          <w:jc w:val="center"/>
        </w:trPr>
        <w:tc>
          <w:tcPr>
            <w:tcW w:w="2592" w:type="dxa"/>
            <w:shd w:val="clear" w:color="auto" w:fill="FFFFFF"/>
          </w:tcPr>
          <w:p w14:paraId="0A011EE9" w14:textId="77777777" w:rsidR="00B834A2" w:rsidRPr="006C4184" w:rsidRDefault="00B834A2" w:rsidP="006C4184">
            <w:pPr>
              <w:spacing w:after="120"/>
              <w:jc w:val="both"/>
              <w:rPr>
                <w:sz w:val="20"/>
                <w:szCs w:val="20"/>
              </w:rPr>
            </w:pPr>
            <w:r w:rsidRPr="006C4184">
              <w:rPr>
                <w:sz w:val="20"/>
                <w:szCs w:val="20"/>
              </w:rPr>
              <w:t>∆5,23-Ստիգմաստադիենոլ</w:t>
            </w:r>
          </w:p>
        </w:tc>
        <w:tc>
          <w:tcPr>
            <w:tcW w:w="3605" w:type="dxa"/>
            <w:shd w:val="clear" w:color="auto" w:fill="FFFFFF"/>
          </w:tcPr>
          <w:p w14:paraId="680B82EB" w14:textId="77777777" w:rsidR="00B834A2" w:rsidRPr="006C4184" w:rsidRDefault="00B834A2" w:rsidP="006C4184">
            <w:pPr>
              <w:spacing w:after="120"/>
              <w:jc w:val="center"/>
              <w:rPr>
                <w:sz w:val="20"/>
                <w:szCs w:val="20"/>
              </w:rPr>
            </w:pPr>
            <w:r w:rsidRPr="006C4184">
              <w:rPr>
                <w:sz w:val="20"/>
                <w:szCs w:val="20"/>
              </w:rPr>
              <w:t>0,95</w:t>
            </w:r>
          </w:p>
        </w:tc>
        <w:tc>
          <w:tcPr>
            <w:tcW w:w="3230" w:type="dxa"/>
            <w:shd w:val="clear" w:color="auto" w:fill="FFFFFF"/>
          </w:tcPr>
          <w:p w14:paraId="1CAA6D01" w14:textId="77777777" w:rsidR="00B834A2" w:rsidRPr="006C4184" w:rsidRDefault="00B834A2" w:rsidP="006C4184">
            <w:pPr>
              <w:spacing w:after="120"/>
              <w:jc w:val="center"/>
              <w:rPr>
                <w:sz w:val="20"/>
                <w:szCs w:val="20"/>
              </w:rPr>
            </w:pPr>
            <w:r w:rsidRPr="006C4184">
              <w:rPr>
                <w:sz w:val="20"/>
                <w:szCs w:val="20"/>
              </w:rPr>
              <w:t>0,95</w:t>
            </w:r>
          </w:p>
        </w:tc>
      </w:tr>
      <w:tr w:rsidR="00B834A2" w:rsidRPr="006C4184" w14:paraId="571B33CE" w14:textId="77777777" w:rsidTr="00B834A2">
        <w:trPr>
          <w:jc w:val="center"/>
        </w:trPr>
        <w:tc>
          <w:tcPr>
            <w:tcW w:w="2592" w:type="dxa"/>
            <w:shd w:val="clear" w:color="auto" w:fill="FFFFFF"/>
          </w:tcPr>
          <w:p w14:paraId="026704F7" w14:textId="77777777" w:rsidR="00B834A2" w:rsidRPr="006C4184" w:rsidRDefault="00B834A2" w:rsidP="006C4184">
            <w:pPr>
              <w:spacing w:after="120"/>
              <w:jc w:val="both"/>
              <w:rPr>
                <w:sz w:val="20"/>
                <w:szCs w:val="20"/>
              </w:rPr>
            </w:pPr>
            <w:r w:rsidRPr="006C4184">
              <w:rPr>
                <w:sz w:val="20"/>
                <w:szCs w:val="20"/>
              </w:rPr>
              <w:t>Կլերոստերին</w:t>
            </w:r>
          </w:p>
        </w:tc>
        <w:tc>
          <w:tcPr>
            <w:tcW w:w="3605" w:type="dxa"/>
            <w:shd w:val="clear" w:color="auto" w:fill="FFFFFF"/>
          </w:tcPr>
          <w:p w14:paraId="45362F1A" w14:textId="77777777" w:rsidR="00B834A2" w:rsidRPr="006C4184" w:rsidRDefault="00B834A2" w:rsidP="006C4184">
            <w:pPr>
              <w:spacing w:after="120"/>
              <w:jc w:val="center"/>
              <w:rPr>
                <w:sz w:val="20"/>
                <w:szCs w:val="20"/>
              </w:rPr>
            </w:pPr>
            <w:r w:rsidRPr="006C4184">
              <w:rPr>
                <w:sz w:val="20"/>
                <w:szCs w:val="20"/>
              </w:rPr>
              <w:t>0,96</w:t>
            </w:r>
          </w:p>
        </w:tc>
        <w:tc>
          <w:tcPr>
            <w:tcW w:w="3230" w:type="dxa"/>
            <w:shd w:val="clear" w:color="auto" w:fill="FFFFFF"/>
          </w:tcPr>
          <w:p w14:paraId="4AB9DB34" w14:textId="77777777" w:rsidR="00B834A2" w:rsidRPr="006C4184" w:rsidRDefault="00B834A2" w:rsidP="006C4184">
            <w:pPr>
              <w:spacing w:after="120"/>
              <w:jc w:val="center"/>
              <w:rPr>
                <w:sz w:val="20"/>
                <w:szCs w:val="20"/>
              </w:rPr>
            </w:pPr>
            <w:r w:rsidRPr="006C4184">
              <w:rPr>
                <w:sz w:val="20"/>
                <w:szCs w:val="20"/>
              </w:rPr>
              <w:t>0,96</w:t>
            </w:r>
          </w:p>
        </w:tc>
      </w:tr>
      <w:tr w:rsidR="00B834A2" w:rsidRPr="006C4184" w14:paraId="12DA9ED0" w14:textId="77777777" w:rsidTr="00B834A2">
        <w:trPr>
          <w:jc w:val="center"/>
        </w:trPr>
        <w:tc>
          <w:tcPr>
            <w:tcW w:w="2592" w:type="dxa"/>
            <w:shd w:val="clear" w:color="auto" w:fill="FFFFFF"/>
            <w:vAlign w:val="center"/>
          </w:tcPr>
          <w:p w14:paraId="499F3E7A" w14:textId="77777777" w:rsidR="00B834A2" w:rsidRPr="006C4184" w:rsidRDefault="00B834A2" w:rsidP="006C4184">
            <w:pPr>
              <w:spacing w:after="120"/>
              <w:jc w:val="both"/>
              <w:rPr>
                <w:sz w:val="20"/>
                <w:szCs w:val="20"/>
              </w:rPr>
            </w:pPr>
            <w:r w:rsidRPr="006C4184">
              <w:rPr>
                <w:sz w:val="20"/>
                <w:szCs w:val="20"/>
              </w:rPr>
              <w:t>β-Սիտոստերին</w:t>
            </w:r>
          </w:p>
        </w:tc>
        <w:tc>
          <w:tcPr>
            <w:tcW w:w="3605" w:type="dxa"/>
            <w:shd w:val="clear" w:color="auto" w:fill="FFFFFF"/>
            <w:vAlign w:val="center"/>
          </w:tcPr>
          <w:p w14:paraId="7D2CA396" w14:textId="77777777" w:rsidR="00B834A2" w:rsidRPr="006C4184" w:rsidRDefault="00B834A2" w:rsidP="006C4184">
            <w:pPr>
              <w:spacing w:after="120"/>
              <w:jc w:val="center"/>
              <w:rPr>
                <w:sz w:val="20"/>
                <w:szCs w:val="20"/>
              </w:rPr>
            </w:pPr>
            <w:r w:rsidRPr="006C4184">
              <w:rPr>
                <w:sz w:val="20"/>
                <w:szCs w:val="20"/>
              </w:rPr>
              <w:t>1</w:t>
            </w:r>
          </w:p>
        </w:tc>
        <w:tc>
          <w:tcPr>
            <w:tcW w:w="3230" w:type="dxa"/>
            <w:shd w:val="clear" w:color="auto" w:fill="FFFFFF"/>
            <w:vAlign w:val="center"/>
          </w:tcPr>
          <w:p w14:paraId="348CA675" w14:textId="77777777" w:rsidR="00B834A2" w:rsidRPr="006C4184" w:rsidRDefault="00B834A2" w:rsidP="006C4184">
            <w:pPr>
              <w:spacing w:after="120"/>
              <w:jc w:val="center"/>
              <w:rPr>
                <w:sz w:val="20"/>
                <w:szCs w:val="20"/>
              </w:rPr>
            </w:pPr>
            <w:r w:rsidRPr="006C4184">
              <w:rPr>
                <w:sz w:val="20"/>
                <w:szCs w:val="20"/>
              </w:rPr>
              <w:t>1</w:t>
            </w:r>
          </w:p>
        </w:tc>
      </w:tr>
      <w:tr w:rsidR="00B834A2" w:rsidRPr="006C4184" w14:paraId="69CCD232" w14:textId="77777777" w:rsidTr="00B834A2">
        <w:trPr>
          <w:jc w:val="center"/>
        </w:trPr>
        <w:tc>
          <w:tcPr>
            <w:tcW w:w="2592" w:type="dxa"/>
            <w:shd w:val="clear" w:color="auto" w:fill="FFFFFF"/>
            <w:vAlign w:val="center"/>
          </w:tcPr>
          <w:p w14:paraId="680B4FE7" w14:textId="77777777" w:rsidR="00B834A2" w:rsidRPr="006C4184" w:rsidRDefault="00B834A2" w:rsidP="006C4184">
            <w:pPr>
              <w:spacing w:after="120"/>
              <w:jc w:val="both"/>
              <w:rPr>
                <w:sz w:val="20"/>
                <w:szCs w:val="20"/>
              </w:rPr>
            </w:pPr>
            <w:r w:rsidRPr="006C4184">
              <w:rPr>
                <w:sz w:val="20"/>
                <w:szCs w:val="20"/>
              </w:rPr>
              <w:t>Սիտոստանոլ</w:t>
            </w:r>
          </w:p>
        </w:tc>
        <w:tc>
          <w:tcPr>
            <w:tcW w:w="3605" w:type="dxa"/>
            <w:shd w:val="clear" w:color="auto" w:fill="FFFFFF"/>
            <w:vAlign w:val="center"/>
          </w:tcPr>
          <w:p w14:paraId="15052F8E" w14:textId="77777777" w:rsidR="00B834A2" w:rsidRPr="006C4184" w:rsidRDefault="00B834A2" w:rsidP="006C4184">
            <w:pPr>
              <w:spacing w:after="120"/>
              <w:jc w:val="center"/>
              <w:rPr>
                <w:sz w:val="20"/>
                <w:szCs w:val="20"/>
              </w:rPr>
            </w:pPr>
            <w:r w:rsidRPr="006C4184">
              <w:rPr>
                <w:sz w:val="20"/>
                <w:szCs w:val="20"/>
              </w:rPr>
              <w:t>1,01</w:t>
            </w:r>
          </w:p>
        </w:tc>
        <w:tc>
          <w:tcPr>
            <w:tcW w:w="3230" w:type="dxa"/>
            <w:shd w:val="clear" w:color="auto" w:fill="FFFFFF"/>
            <w:vAlign w:val="center"/>
          </w:tcPr>
          <w:p w14:paraId="02FE1DE0" w14:textId="77777777" w:rsidR="00B834A2" w:rsidRPr="006C4184" w:rsidRDefault="00B834A2" w:rsidP="006C4184">
            <w:pPr>
              <w:spacing w:after="120"/>
              <w:jc w:val="center"/>
              <w:rPr>
                <w:sz w:val="20"/>
                <w:szCs w:val="20"/>
              </w:rPr>
            </w:pPr>
            <w:r w:rsidRPr="006C4184">
              <w:rPr>
                <w:sz w:val="20"/>
                <w:szCs w:val="20"/>
              </w:rPr>
              <w:t>1,02</w:t>
            </w:r>
          </w:p>
        </w:tc>
      </w:tr>
      <w:tr w:rsidR="00B834A2" w:rsidRPr="006C4184" w14:paraId="3E829B54" w14:textId="77777777" w:rsidTr="00B834A2">
        <w:trPr>
          <w:jc w:val="center"/>
        </w:trPr>
        <w:tc>
          <w:tcPr>
            <w:tcW w:w="2592" w:type="dxa"/>
            <w:shd w:val="clear" w:color="auto" w:fill="FFFFFF"/>
          </w:tcPr>
          <w:p w14:paraId="71A8AE5E" w14:textId="77777777" w:rsidR="00B834A2" w:rsidRPr="006C4184" w:rsidRDefault="00B834A2" w:rsidP="006C4184">
            <w:pPr>
              <w:spacing w:after="120"/>
              <w:jc w:val="both"/>
              <w:rPr>
                <w:sz w:val="20"/>
                <w:szCs w:val="20"/>
              </w:rPr>
            </w:pPr>
            <w:r w:rsidRPr="006C4184">
              <w:rPr>
                <w:sz w:val="20"/>
                <w:szCs w:val="20"/>
              </w:rPr>
              <w:t>∆5-Ավենաստերին</w:t>
            </w:r>
          </w:p>
        </w:tc>
        <w:tc>
          <w:tcPr>
            <w:tcW w:w="3605" w:type="dxa"/>
            <w:shd w:val="clear" w:color="auto" w:fill="FFFFFF"/>
          </w:tcPr>
          <w:p w14:paraId="6F3633B2" w14:textId="77777777" w:rsidR="00B834A2" w:rsidRPr="006C4184" w:rsidRDefault="00B834A2" w:rsidP="006C4184">
            <w:pPr>
              <w:spacing w:after="120"/>
              <w:jc w:val="center"/>
              <w:rPr>
                <w:sz w:val="20"/>
                <w:szCs w:val="20"/>
              </w:rPr>
            </w:pPr>
            <w:r w:rsidRPr="006C4184">
              <w:rPr>
                <w:sz w:val="20"/>
                <w:szCs w:val="20"/>
              </w:rPr>
              <w:t>1,03</w:t>
            </w:r>
          </w:p>
        </w:tc>
        <w:tc>
          <w:tcPr>
            <w:tcW w:w="3230" w:type="dxa"/>
            <w:shd w:val="clear" w:color="auto" w:fill="FFFFFF"/>
          </w:tcPr>
          <w:p w14:paraId="0D6A3512" w14:textId="77777777" w:rsidR="00B834A2" w:rsidRPr="006C4184" w:rsidRDefault="00B834A2" w:rsidP="006C4184">
            <w:pPr>
              <w:spacing w:after="120"/>
              <w:jc w:val="center"/>
              <w:rPr>
                <w:sz w:val="20"/>
                <w:szCs w:val="20"/>
              </w:rPr>
            </w:pPr>
            <w:r w:rsidRPr="006C4184">
              <w:rPr>
                <w:sz w:val="20"/>
                <w:szCs w:val="20"/>
              </w:rPr>
              <w:t>1,03</w:t>
            </w:r>
          </w:p>
        </w:tc>
      </w:tr>
      <w:tr w:rsidR="00B834A2" w:rsidRPr="006C4184" w14:paraId="72AE0766" w14:textId="77777777" w:rsidTr="00B834A2">
        <w:trPr>
          <w:jc w:val="center"/>
        </w:trPr>
        <w:tc>
          <w:tcPr>
            <w:tcW w:w="2592" w:type="dxa"/>
            <w:shd w:val="clear" w:color="auto" w:fill="FFFFFF"/>
          </w:tcPr>
          <w:p w14:paraId="338DAA4D" w14:textId="77777777" w:rsidR="00B834A2" w:rsidRPr="006C4184" w:rsidRDefault="00B834A2" w:rsidP="006C4184">
            <w:pPr>
              <w:spacing w:after="120"/>
              <w:jc w:val="both"/>
              <w:rPr>
                <w:sz w:val="20"/>
                <w:szCs w:val="20"/>
              </w:rPr>
            </w:pPr>
            <w:r w:rsidRPr="006C4184">
              <w:rPr>
                <w:sz w:val="20"/>
                <w:szCs w:val="20"/>
              </w:rPr>
              <w:t>∆5,24-Ստիգմաստադիենոլ</w:t>
            </w:r>
          </w:p>
        </w:tc>
        <w:tc>
          <w:tcPr>
            <w:tcW w:w="3605" w:type="dxa"/>
            <w:shd w:val="clear" w:color="auto" w:fill="FFFFFF"/>
          </w:tcPr>
          <w:p w14:paraId="5CCB1C12" w14:textId="77777777" w:rsidR="00B834A2" w:rsidRPr="006C4184" w:rsidRDefault="00B834A2" w:rsidP="006C4184">
            <w:pPr>
              <w:spacing w:after="120"/>
              <w:jc w:val="center"/>
              <w:rPr>
                <w:sz w:val="20"/>
                <w:szCs w:val="20"/>
              </w:rPr>
            </w:pPr>
            <w:r w:rsidRPr="006C4184">
              <w:rPr>
                <w:sz w:val="20"/>
                <w:szCs w:val="20"/>
              </w:rPr>
              <w:t>1,09</w:t>
            </w:r>
          </w:p>
        </w:tc>
        <w:tc>
          <w:tcPr>
            <w:tcW w:w="3230" w:type="dxa"/>
            <w:shd w:val="clear" w:color="auto" w:fill="FFFFFF"/>
            <w:vAlign w:val="center"/>
          </w:tcPr>
          <w:p w14:paraId="7700BF0B" w14:textId="77777777" w:rsidR="00B834A2" w:rsidRPr="006C4184" w:rsidRDefault="00B834A2" w:rsidP="006C4184">
            <w:pPr>
              <w:spacing w:after="120"/>
              <w:jc w:val="center"/>
              <w:rPr>
                <w:sz w:val="20"/>
                <w:szCs w:val="20"/>
              </w:rPr>
            </w:pPr>
            <w:r w:rsidRPr="006C4184">
              <w:rPr>
                <w:sz w:val="20"/>
                <w:szCs w:val="20"/>
              </w:rPr>
              <w:t>1,08</w:t>
            </w:r>
          </w:p>
        </w:tc>
      </w:tr>
      <w:tr w:rsidR="00B834A2" w:rsidRPr="006C4184" w14:paraId="207BDF93" w14:textId="77777777" w:rsidTr="00B834A2">
        <w:trPr>
          <w:jc w:val="center"/>
        </w:trPr>
        <w:tc>
          <w:tcPr>
            <w:tcW w:w="2592" w:type="dxa"/>
            <w:shd w:val="clear" w:color="auto" w:fill="FFFFFF"/>
            <w:vAlign w:val="center"/>
          </w:tcPr>
          <w:p w14:paraId="195EBE61" w14:textId="77777777" w:rsidR="00B834A2" w:rsidRPr="006F34D9" w:rsidRDefault="00B834A2" w:rsidP="006F34D9">
            <w:pPr>
              <w:spacing w:after="120"/>
              <w:jc w:val="both"/>
              <w:rPr>
                <w:sz w:val="20"/>
                <w:szCs w:val="20"/>
                <w:lang w:val="en-US"/>
              </w:rPr>
            </w:pPr>
            <w:r w:rsidRPr="006C4184">
              <w:rPr>
                <w:sz w:val="20"/>
                <w:szCs w:val="20"/>
              </w:rPr>
              <w:t>∆7-Ստիգմաստենոլ</w:t>
            </w:r>
            <w:r w:rsidR="006F34D9">
              <w:rPr>
                <w:sz w:val="20"/>
                <w:szCs w:val="20"/>
                <w:lang w:val="en-US"/>
              </w:rPr>
              <w:t>*</w:t>
            </w:r>
          </w:p>
        </w:tc>
        <w:tc>
          <w:tcPr>
            <w:tcW w:w="3605" w:type="dxa"/>
            <w:shd w:val="clear" w:color="auto" w:fill="FFFFFF"/>
            <w:vAlign w:val="center"/>
          </w:tcPr>
          <w:p w14:paraId="62BA5F7C" w14:textId="77777777" w:rsidR="00B834A2" w:rsidRPr="006C4184" w:rsidRDefault="00B834A2" w:rsidP="006C4184">
            <w:pPr>
              <w:spacing w:after="120"/>
              <w:jc w:val="center"/>
              <w:rPr>
                <w:sz w:val="20"/>
                <w:szCs w:val="20"/>
              </w:rPr>
            </w:pPr>
            <w:r w:rsidRPr="006C4184">
              <w:rPr>
                <w:sz w:val="20"/>
                <w:szCs w:val="20"/>
              </w:rPr>
              <w:t>1,13</w:t>
            </w:r>
          </w:p>
        </w:tc>
        <w:tc>
          <w:tcPr>
            <w:tcW w:w="3230" w:type="dxa"/>
            <w:shd w:val="clear" w:color="auto" w:fill="FFFFFF"/>
            <w:vAlign w:val="center"/>
          </w:tcPr>
          <w:p w14:paraId="22EE067E" w14:textId="77777777" w:rsidR="00B834A2" w:rsidRPr="006C4184" w:rsidRDefault="00B834A2" w:rsidP="006C4184">
            <w:pPr>
              <w:spacing w:after="120"/>
              <w:jc w:val="center"/>
              <w:rPr>
                <w:sz w:val="20"/>
                <w:szCs w:val="20"/>
              </w:rPr>
            </w:pPr>
            <w:r w:rsidRPr="006C4184">
              <w:rPr>
                <w:sz w:val="20"/>
                <w:szCs w:val="20"/>
              </w:rPr>
              <w:t>1,12</w:t>
            </w:r>
          </w:p>
        </w:tc>
      </w:tr>
      <w:tr w:rsidR="00B834A2" w:rsidRPr="006C4184" w14:paraId="426B7794" w14:textId="77777777" w:rsidTr="00B834A2">
        <w:trPr>
          <w:jc w:val="center"/>
        </w:trPr>
        <w:tc>
          <w:tcPr>
            <w:tcW w:w="2592" w:type="dxa"/>
            <w:shd w:val="clear" w:color="auto" w:fill="FFFFFF"/>
            <w:vAlign w:val="center"/>
          </w:tcPr>
          <w:p w14:paraId="4B3CCF09" w14:textId="77777777" w:rsidR="00B834A2" w:rsidRPr="006C4184" w:rsidRDefault="00B834A2" w:rsidP="006C4184">
            <w:pPr>
              <w:spacing w:after="120"/>
              <w:jc w:val="both"/>
              <w:rPr>
                <w:sz w:val="20"/>
                <w:szCs w:val="20"/>
              </w:rPr>
            </w:pPr>
            <w:r w:rsidRPr="006C4184">
              <w:rPr>
                <w:sz w:val="20"/>
                <w:szCs w:val="20"/>
              </w:rPr>
              <w:t>∆7-Ավենաստերին</w:t>
            </w:r>
          </w:p>
        </w:tc>
        <w:tc>
          <w:tcPr>
            <w:tcW w:w="3605" w:type="dxa"/>
            <w:shd w:val="clear" w:color="auto" w:fill="FFFFFF"/>
            <w:vAlign w:val="center"/>
          </w:tcPr>
          <w:p w14:paraId="76DF74CB" w14:textId="77777777" w:rsidR="00B834A2" w:rsidRPr="006C4184" w:rsidRDefault="00B834A2" w:rsidP="006C4184">
            <w:pPr>
              <w:spacing w:after="120"/>
              <w:jc w:val="center"/>
              <w:rPr>
                <w:sz w:val="20"/>
                <w:szCs w:val="20"/>
              </w:rPr>
            </w:pPr>
            <w:r w:rsidRPr="006C4184">
              <w:rPr>
                <w:sz w:val="20"/>
                <w:szCs w:val="20"/>
              </w:rPr>
              <w:t>1,18</w:t>
            </w:r>
          </w:p>
        </w:tc>
        <w:tc>
          <w:tcPr>
            <w:tcW w:w="3230" w:type="dxa"/>
            <w:shd w:val="clear" w:color="auto" w:fill="FFFFFF"/>
            <w:vAlign w:val="center"/>
          </w:tcPr>
          <w:p w14:paraId="7590787E" w14:textId="77777777" w:rsidR="00B834A2" w:rsidRPr="006C4184" w:rsidRDefault="00B834A2" w:rsidP="006C4184">
            <w:pPr>
              <w:spacing w:after="120"/>
              <w:jc w:val="center"/>
              <w:rPr>
                <w:sz w:val="20"/>
                <w:szCs w:val="20"/>
              </w:rPr>
            </w:pPr>
            <w:r w:rsidRPr="006C4184">
              <w:rPr>
                <w:sz w:val="20"/>
                <w:szCs w:val="20"/>
              </w:rPr>
              <w:t>1,16</w:t>
            </w:r>
          </w:p>
        </w:tc>
      </w:tr>
      <w:tr w:rsidR="00B834A2" w:rsidRPr="006C4184" w14:paraId="7397DE44" w14:textId="77777777" w:rsidTr="00B834A2">
        <w:trPr>
          <w:jc w:val="center"/>
        </w:trPr>
        <w:tc>
          <w:tcPr>
            <w:tcW w:w="2592" w:type="dxa"/>
            <w:shd w:val="clear" w:color="auto" w:fill="FFFFFF"/>
          </w:tcPr>
          <w:p w14:paraId="2FD741B5" w14:textId="77777777" w:rsidR="00B834A2" w:rsidRPr="006C4184" w:rsidRDefault="00B834A2" w:rsidP="006C4184">
            <w:pPr>
              <w:spacing w:after="120"/>
              <w:jc w:val="both"/>
              <w:rPr>
                <w:sz w:val="20"/>
                <w:szCs w:val="20"/>
              </w:rPr>
            </w:pPr>
            <w:r w:rsidRPr="006C4184">
              <w:rPr>
                <w:sz w:val="20"/>
                <w:szCs w:val="20"/>
              </w:rPr>
              <w:t>Բետուլին</w:t>
            </w:r>
          </w:p>
        </w:tc>
        <w:tc>
          <w:tcPr>
            <w:tcW w:w="3605" w:type="dxa"/>
            <w:shd w:val="clear" w:color="auto" w:fill="FFFFFF"/>
          </w:tcPr>
          <w:p w14:paraId="70008788" w14:textId="77777777" w:rsidR="00B834A2" w:rsidRPr="006C4184" w:rsidRDefault="00B834A2" w:rsidP="006C4184">
            <w:pPr>
              <w:spacing w:after="120"/>
              <w:jc w:val="center"/>
              <w:rPr>
                <w:sz w:val="20"/>
                <w:szCs w:val="20"/>
              </w:rPr>
            </w:pPr>
            <w:r w:rsidRPr="006C4184">
              <w:rPr>
                <w:sz w:val="20"/>
                <w:szCs w:val="20"/>
              </w:rPr>
              <w:t>1,4</w:t>
            </w:r>
          </w:p>
        </w:tc>
        <w:tc>
          <w:tcPr>
            <w:tcW w:w="3230" w:type="dxa"/>
            <w:shd w:val="clear" w:color="auto" w:fill="FFFFFF"/>
          </w:tcPr>
          <w:p w14:paraId="5F5C50E2" w14:textId="77777777" w:rsidR="00B834A2" w:rsidRPr="006C4184" w:rsidRDefault="00B834A2" w:rsidP="006C4184">
            <w:pPr>
              <w:spacing w:after="120"/>
              <w:jc w:val="center"/>
              <w:rPr>
                <w:sz w:val="20"/>
                <w:szCs w:val="20"/>
              </w:rPr>
            </w:pPr>
            <w:r w:rsidRPr="006C4184">
              <w:rPr>
                <w:sz w:val="20"/>
                <w:szCs w:val="20"/>
              </w:rPr>
              <w:t>1,4</w:t>
            </w:r>
          </w:p>
        </w:tc>
      </w:tr>
    </w:tbl>
    <w:p w14:paraId="2436D3AF" w14:textId="77777777" w:rsidR="00B834A2" w:rsidRPr="006F34D9" w:rsidRDefault="006F34D9" w:rsidP="00063A76">
      <w:pPr>
        <w:spacing w:after="160" w:line="360" w:lineRule="auto"/>
        <w:ind w:firstLine="567"/>
        <w:jc w:val="both"/>
        <w:rPr>
          <w:sz w:val="20"/>
        </w:rPr>
      </w:pPr>
      <w:r w:rsidRPr="006F34D9">
        <w:rPr>
          <w:i/>
        </w:rPr>
        <w:t xml:space="preserve">* </w:t>
      </w:r>
      <w:r w:rsidRPr="006F34D9">
        <w:rPr>
          <w:sz w:val="20"/>
        </w:rPr>
        <w:t>Գրականության մեջ տվյալ ստերինը կարող է նաեւ անվանվել ∆7-ստիգմաստերին</w:t>
      </w:r>
    </w:p>
    <w:p w14:paraId="6663B983" w14:textId="77777777" w:rsidR="008F5B6F" w:rsidRPr="004A7CC9" w:rsidRDefault="008F5B6F" w:rsidP="006C4184">
      <w:pPr>
        <w:spacing w:after="160" w:line="360" w:lineRule="auto"/>
        <w:ind w:firstLine="567"/>
        <w:jc w:val="both"/>
      </w:pPr>
    </w:p>
    <w:p w14:paraId="1AD0C7BC" w14:textId="77777777" w:rsidR="00B834A2" w:rsidRPr="00B834A2" w:rsidRDefault="00B834A2" w:rsidP="006C4184">
      <w:pPr>
        <w:spacing w:after="160" w:line="360" w:lineRule="auto"/>
        <w:ind w:firstLine="567"/>
        <w:jc w:val="both"/>
      </w:pPr>
      <w:r w:rsidRPr="00B834A2">
        <w:t>որտեղ՝</w:t>
      </w:r>
    </w:p>
    <w:p w14:paraId="568B3569" w14:textId="77777777" w:rsidR="00B834A2" w:rsidRPr="00B834A2" w:rsidRDefault="00B834A2" w:rsidP="006C4184">
      <w:pPr>
        <w:spacing w:after="160" w:line="360" w:lineRule="auto"/>
        <w:ind w:firstLine="567"/>
        <w:jc w:val="both"/>
      </w:pPr>
      <w:r w:rsidRPr="006F34D9">
        <w:rPr>
          <w:i/>
        </w:rPr>
        <w:t>Տ</w:t>
      </w:r>
      <w:r w:rsidRPr="006F34D9">
        <w:rPr>
          <w:i/>
          <w:vertAlign w:val="subscript"/>
        </w:rPr>
        <w:t>i</w:t>
      </w:r>
      <w:r w:rsidRPr="00B834A2">
        <w:t>-ը փորձարկվող լուծույթի քրոմատագրի վրա որոշվող ստերինի պիկի մակերեսն է.</w:t>
      </w:r>
    </w:p>
    <w:p w14:paraId="358CED3D" w14:textId="77777777" w:rsidR="00B834A2" w:rsidRPr="006C4184" w:rsidRDefault="00B834A2" w:rsidP="006C4184">
      <w:pPr>
        <w:spacing w:after="160" w:line="360" w:lineRule="auto"/>
        <w:ind w:firstLine="567"/>
        <w:jc w:val="both"/>
        <w:rPr>
          <w:spacing w:val="-4"/>
        </w:rPr>
      </w:pPr>
      <w:r w:rsidRPr="006F34D9">
        <w:rPr>
          <w:i/>
          <w:spacing w:val="-4"/>
        </w:rPr>
        <w:t>Տ</w:t>
      </w:r>
      <w:r w:rsidRPr="006F34D9">
        <w:rPr>
          <w:i/>
          <w:spacing w:val="-4"/>
          <w:vertAlign w:val="subscript"/>
        </w:rPr>
        <w:t>0</w:t>
      </w:r>
      <w:r w:rsidRPr="006C4184">
        <w:rPr>
          <w:spacing w:val="-4"/>
        </w:rPr>
        <w:t>-ն համեմատման լուծույթի քրոմատագրի վրա բետուլինի պիկի մակերեսն է.</w:t>
      </w:r>
    </w:p>
    <w:p w14:paraId="7A760CCE" w14:textId="77777777" w:rsidR="00B834A2" w:rsidRPr="00B834A2" w:rsidRDefault="00B834A2" w:rsidP="006C4184">
      <w:pPr>
        <w:spacing w:after="160" w:line="360" w:lineRule="auto"/>
        <w:ind w:firstLine="567"/>
        <w:jc w:val="both"/>
      </w:pPr>
      <w:r w:rsidRPr="006F34D9">
        <w:rPr>
          <w:i/>
        </w:rPr>
        <w:t>m</w:t>
      </w:r>
      <w:r w:rsidRPr="00B834A2">
        <w:t>-ը փորձարկվող կշռանմուշի զանգվածն է՝ գրամներով.</w:t>
      </w:r>
    </w:p>
    <w:p w14:paraId="1DD63E43" w14:textId="77777777" w:rsidR="00B834A2" w:rsidRPr="006C4184" w:rsidRDefault="00B834A2" w:rsidP="006C4184">
      <w:pPr>
        <w:spacing w:after="160" w:line="360" w:lineRule="auto"/>
        <w:ind w:firstLine="567"/>
        <w:jc w:val="both"/>
      </w:pPr>
      <w:r w:rsidRPr="006F34D9">
        <w:rPr>
          <w:i/>
        </w:rPr>
        <w:t>m</w:t>
      </w:r>
      <w:r w:rsidRPr="006F34D9">
        <w:rPr>
          <w:i/>
          <w:vertAlign w:val="subscript"/>
        </w:rPr>
        <w:t>s</w:t>
      </w:r>
      <w:r w:rsidRPr="00B834A2">
        <w:t>-ն ավելացված Р բետուլինի կշռանմուշի զանգվածն է՝ միլիգրամներով:</w:t>
      </w:r>
    </w:p>
    <w:p w14:paraId="3F1F5AE5" w14:textId="77777777" w:rsidR="006C4184" w:rsidRPr="00097504" w:rsidRDefault="006C4184" w:rsidP="00B834A2">
      <w:pPr>
        <w:spacing w:after="160" w:line="360" w:lineRule="auto"/>
        <w:jc w:val="both"/>
        <w:rPr>
          <w:b/>
        </w:rPr>
      </w:pPr>
    </w:p>
    <w:p w14:paraId="30EED2C4" w14:textId="77777777" w:rsidR="00B834A2" w:rsidRPr="006B7DC5" w:rsidRDefault="00B834A2" w:rsidP="006C4184">
      <w:pPr>
        <w:spacing w:after="160" w:line="360" w:lineRule="auto"/>
        <w:ind w:firstLine="567"/>
        <w:jc w:val="both"/>
        <w:rPr>
          <w:b/>
        </w:rPr>
      </w:pPr>
      <w:r w:rsidRPr="00B834A2">
        <w:rPr>
          <w:b/>
        </w:rPr>
        <w:t>ՄԵԹՈԴ 2</w:t>
      </w:r>
    </w:p>
    <w:p w14:paraId="55187F4B" w14:textId="77777777" w:rsidR="00B834A2" w:rsidRPr="006F34D9" w:rsidRDefault="00B834A2" w:rsidP="006C4184">
      <w:pPr>
        <w:spacing w:after="160" w:line="360" w:lineRule="auto"/>
        <w:ind w:firstLine="567"/>
        <w:jc w:val="both"/>
        <w:rPr>
          <w:i/>
        </w:rPr>
      </w:pPr>
      <w:r w:rsidRPr="006F34D9">
        <w:rPr>
          <w:i/>
        </w:rPr>
        <w:t>Չօճառացվող նյութերի պատրաստումը</w:t>
      </w:r>
    </w:p>
    <w:p w14:paraId="27D85523" w14:textId="77777777" w:rsidR="00B834A2" w:rsidRPr="00B834A2" w:rsidRDefault="00B834A2" w:rsidP="006C4184">
      <w:pPr>
        <w:spacing w:after="160" w:line="360" w:lineRule="auto"/>
        <w:ind w:firstLine="567"/>
        <w:jc w:val="both"/>
      </w:pPr>
      <w:r w:rsidRPr="00B834A2">
        <w:t xml:space="preserve">Չօճառացվող նյութերը պատրաստում են բաղադրամասին առնչվող մասնավոր դեղագրքային հոդվածում չօճառացվող նյութերի փորձարկման մեջ նկարագրված մեթոդով: Տվյալ մեթոդի բացակայության դեպքում չօճառացվող նյութերը պատրաստում են «2.1.5.7. Չօճառացվող նյութերը» ընդհանուր </w:t>
      </w:r>
      <w:r w:rsidRPr="00B834A2">
        <w:lastRenderedPageBreak/>
        <w:t>դեղագրքային հոդվածում ներկայացված մեթոդով: Չեզոքացման փուլից հետո (96%) Р էթանոլը եռացնելով պակասեցնում են, այնուհետ</w:t>
      </w:r>
      <w:r>
        <w:t>եւ</w:t>
      </w:r>
      <w:r w:rsidRPr="00B834A2">
        <w:t xml:space="preserve"> ավելացնում են 6 մլ Р ացետոն </w:t>
      </w:r>
      <w:r>
        <w:t>եւ</w:t>
      </w:r>
      <w:r w:rsidRPr="00B834A2">
        <w:t xml:space="preserve"> եռացնելով պակասեցնում են լուծիչը: Մնացորդը չորացնում են 100 °С-105 °С ջերմաստիճանում: Չի պահանջվում դա չորացնել մինչ</w:t>
      </w:r>
      <w:r>
        <w:t>եւ</w:t>
      </w:r>
      <w:r w:rsidRPr="00B834A2">
        <w:t xml:space="preserve"> հաստատուն զանգվածը:</w:t>
      </w:r>
    </w:p>
    <w:p w14:paraId="3146E0FB" w14:textId="77777777" w:rsidR="00B834A2" w:rsidRPr="00B834A2" w:rsidRDefault="00B834A2" w:rsidP="00CE5DEC">
      <w:pPr>
        <w:spacing w:after="160" w:line="360" w:lineRule="auto"/>
        <w:ind w:firstLine="567"/>
        <w:jc w:val="both"/>
      </w:pPr>
      <w:r w:rsidRPr="00B834A2">
        <w:t>Զուգահեռ՝ մի</w:t>
      </w:r>
      <w:r>
        <w:t>եւ</w:t>
      </w:r>
      <w:r w:rsidRPr="00B834A2">
        <w:t>նույն պայմաններում պատրաստում են Р ար</w:t>
      </w:r>
      <w:r>
        <w:t>եւ</w:t>
      </w:r>
      <w:r w:rsidRPr="00B834A2">
        <w:t>ածաղկի յուղի չօճառացվող նյութեր, որոնք օգտագործվում են մասնավորապես այն ստերինային թորամասի նույնականացման համար, որը հարկավոր է հավաքել:</w:t>
      </w:r>
    </w:p>
    <w:p w14:paraId="0731B8AE" w14:textId="77777777" w:rsidR="00B834A2" w:rsidRPr="006F34D9" w:rsidRDefault="00B834A2" w:rsidP="00CE5DEC">
      <w:pPr>
        <w:spacing w:after="160" w:line="360" w:lineRule="auto"/>
        <w:ind w:firstLine="567"/>
        <w:jc w:val="both"/>
        <w:rPr>
          <w:i/>
        </w:rPr>
      </w:pPr>
      <w:r w:rsidRPr="006F34D9">
        <w:rPr>
          <w:i/>
        </w:rPr>
        <w:t>Ստերինային թորամասի զատումը (ՀՔ)</w:t>
      </w:r>
    </w:p>
    <w:p w14:paraId="1986A73B" w14:textId="77777777" w:rsidR="00B834A2" w:rsidRPr="006F34D9" w:rsidRDefault="00B834A2" w:rsidP="00CE5DEC">
      <w:pPr>
        <w:spacing w:after="160" w:line="360" w:lineRule="auto"/>
        <w:ind w:firstLine="567"/>
        <w:jc w:val="both"/>
        <w:rPr>
          <w:i/>
        </w:rPr>
      </w:pPr>
      <w:r w:rsidRPr="00B834A2">
        <w:t xml:space="preserve">Ստերինային թորամասի զատումը կատարում են հեղուկ քրոմատագրման մեթոդով </w:t>
      </w:r>
      <w:r w:rsidRPr="006F34D9">
        <w:rPr>
          <w:i/>
        </w:rPr>
        <w:t>(2.1.2.28)։</w:t>
      </w:r>
    </w:p>
    <w:p w14:paraId="5DCA48DD" w14:textId="77777777" w:rsidR="00B834A2" w:rsidRPr="00B834A2" w:rsidRDefault="00B834A2" w:rsidP="00CE5DEC">
      <w:pPr>
        <w:spacing w:after="160" w:line="360" w:lineRule="auto"/>
        <w:ind w:firstLine="567"/>
        <w:jc w:val="both"/>
      </w:pPr>
      <w:r w:rsidRPr="00B834A2">
        <w:rPr>
          <w:i/>
        </w:rPr>
        <w:t xml:space="preserve">Փորձարկվող լուծույթը։ </w:t>
      </w:r>
      <w:r w:rsidRPr="00B834A2">
        <w:t>Չօճառացվող նյութերի չորացրած մնացորդը չօճառացվող նյութերի (սովորաբար՝ Р եթեր կամ Р պետրոլային եթեր) ստացման ժամանակ օգտագործվող լուծիչի 4-ական մլ երեք մասնաբաժիններով տեղափոխում են 15 մլ տարողությամբ փորձասրվակի մեջ, Р ազոտի հոսքի մեջ եռացնելով՝ պակասեցնում են մինչ</w:t>
      </w:r>
      <w:r>
        <w:t>եւ</w:t>
      </w:r>
      <w:r w:rsidRPr="00B834A2">
        <w:t xml:space="preserve"> լրիվ չորանալը: Մնացորդը լուծում են շարժուն ֆազի՝ մոտավորապես 40 մգ/մլ կոնցենտրացիա ստանալու համար բավարար ծավալի մեջ, լուծելիությունը լավացնելու համար ավելացնում են Р1 2-պրոպանոլի մի քանի կաթիլ (ամբողջովին լուծվելն ապահովելու համար սովորաբար բավարար է երեք կաթիլ): Ստացված լուծույթն անցկացնում են ծակոտիների 0,45 մկմ չափ ունեցող մեմբրանային ֆիլտրի միջով:</w:t>
      </w:r>
    </w:p>
    <w:p w14:paraId="345A3C99" w14:textId="77777777" w:rsidR="00B834A2" w:rsidRPr="00B834A2" w:rsidRDefault="00B834A2" w:rsidP="00CE5DEC">
      <w:pPr>
        <w:spacing w:after="160" w:line="360" w:lineRule="auto"/>
        <w:ind w:firstLine="567"/>
        <w:jc w:val="both"/>
      </w:pPr>
      <w:r w:rsidRPr="00B834A2">
        <w:rPr>
          <w:i/>
        </w:rPr>
        <w:t>Համեմատման լուծույթը:</w:t>
      </w:r>
      <w:r w:rsidRPr="00B834A2">
        <w:t xml:space="preserve"> Պատրաստում են Р ար</w:t>
      </w:r>
      <w:r>
        <w:t>եւ</w:t>
      </w:r>
      <w:r w:rsidRPr="00B834A2">
        <w:t>ածաղկի յուղից ստացված չօճառացվող նյութերից՝ փորձարկվող լուծույթին առնչվող ցուցումներին համապատասխան:</w:t>
      </w:r>
    </w:p>
    <w:p w14:paraId="04D38C28" w14:textId="77777777" w:rsidR="00B834A2" w:rsidRPr="006F34D9" w:rsidRDefault="00B834A2" w:rsidP="00CE5DEC">
      <w:pPr>
        <w:spacing w:after="160" w:line="360" w:lineRule="auto"/>
        <w:ind w:firstLine="567"/>
        <w:jc w:val="both"/>
        <w:rPr>
          <w:i/>
        </w:rPr>
      </w:pPr>
      <w:r w:rsidRPr="006F34D9">
        <w:rPr>
          <w:i/>
        </w:rPr>
        <w:t>Քրոմատագրման պայմանները.</w:t>
      </w:r>
    </w:p>
    <w:p w14:paraId="42B49473" w14:textId="77777777" w:rsidR="00B834A2" w:rsidRPr="00B834A2" w:rsidRDefault="00B834A2" w:rsidP="00CE5DEC">
      <w:pPr>
        <w:tabs>
          <w:tab w:val="left" w:pos="1134"/>
        </w:tabs>
        <w:spacing w:after="160" w:line="360" w:lineRule="auto"/>
        <w:ind w:firstLine="567"/>
        <w:jc w:val="both"/>
      </w:pPr>
      <w:r w:rsidRPr="00B834A2">
        <w:t>-</w:t>
      </w:r>
      <w:r w:rsidR="006C4184" w:rsidRPr="006C4184">
        <w:tab/>
      </w:r>
      <w:r w:rsidRPr="006F34D9">
        <w:rPr>
          <w:i/>
        </w:rPr>
        <w:t>նախաաշտարակը</w:t>
      </w:r>
      <w:r w:rsidRPr="00B834A2">
        <w:t xml:space="preserve">՝ չժանգոտող պողպատից, 0.005 մ երկարությամբ </w:t>
      </w:r>
      <w:r>
        <w:t>եւ</w:t>
      </w:r>
      <w:r w:rsidRPr="00B834A2">
        <w:t xml:space="preserve"> 4,6 մմ ներքին տրամագծով, քրոմատագրման համար նախատեսված, մասնիկների </w:t>
      </w:r>
      <w:r w:rsidRPr="00B834A2">
        <w:lastRenderedPageBreak/>
        <w:t>5 մկմ գնդաձ</w:t>
      </w:r>
      <w:r>
        <w:t>եւ</w:t>
      </w:r>
      <w:r w:rsidRPr="00B834A2">
        <w:t xml:space="preserve"> չափով </w:t>
      </w:r>
      <w:r>
        <w:t>եւ</w:t>
      </w:r>
      <w:r w:rsidRPr="00B834A2">
        <w:t xml:space="preserve"> ծակոտիների 6 նմ չափով Р սիլիկագելի շերտով պատված.</w:t>
      </w:r>
    </w:p>
    <w:p w14:paraId="24AFE947"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աշտարակը՝</w:t>
      </w:r>
      <w:r w:rsidRPr="00B834A2">
        <w:t xml:space="preserve"> չժանգոտող պողպատից, 0.25 մ երկարությամբ </w:t>
      </w:r>
      <w:r>
        <w:t>եւ</w:t>
      </w:r>
      <w:r w:rsidRPr="00B834A2">
        <w:t xml:space="preserve"> 4,6 մմ ներքին տրամագծով, քրոմատագրման համար նախատեսված, մասնիկների 5 մկմ գնդաձ</w:t>
      </w:r>
      <w:r>
        <w:t>եւ</w:t>
      </w:r>
      <w:r w:rsidRPr="00B834A2">
        <w:t xml:space="preserve"> չափով </w:t>
      </w:r>
      <w:r>
        <w:t>եւ</w:t>
      </w:r>
      <w:r w:rsidRPr="00B834A2">
        <w:t xml:space="preserve"> ծակոտիների 6 նմ չափով Р սիլիկագելի շերտով պատված.</w:t>
      </w:r>
    </w:p>
    <w:p w14:paraId="0B95190B" w14:textId="77777777" w:rsidR="00B834A2" w:rsidRPr="00B834A2" w:rsidRDefault="00B834A2" w:rsidP="006C4184">
      <w:pPr>
        <w:tabs>
          <w:tab w:val="left" w:pos="1134"/>
        </w:tabs>
        <w:spacing w:after="160" w:line="360" w:lineRule="auto"/>
        <w:ind w:firstLine="567"/>
        <w:jc w:val="both"/>
        <w:rPr>
          <w:i/>
        </w:rPr>
      </w:pPr>
      <w:r w:rsidRPr="00B834A2">
        <w:t>-</w:t>
      </w:r>
      <w:r w:rsidR="006C4184" w:rsidRPr="006C4184">
        <w:tab/>
      </w:r>
      <w:r w:rsidRPr="00B834A2">
        <w:rPr>
          <w:i/>
        </w:rPr>
        <w:t xml:space="preserve">շարժուն ֆազը՝ Р1 2-պրոպանոլ </w:t>
      </w:r>
      <w:r w:rsidR="009217DE">
        <w:rPr>
          <w:i/>
        </w:rPr>
        <w:t>-</w:t>
      </w:r>
      <w:r w:rsidRPr="00B834A2">
        <w:rPr>
          <w:i/>
        </w:rPr>
        <w:t xml:space="preserve"> Р հեքսան (1:99, ծավ./ծավ.).</w:t>
      </w:r>
    </w:p>
    <w:p w14:paraId="71EE8313" w14:textId="77777777" w:rsidR="00B834A2" w:rsidRPr="00B834A2" w:rsidRDefault="00B834A2" w:rsidP="006C4184">
      <w:pPr>
        <w:tabs>
          <w:tab w:val="left" w:pos="1134"/>
        </w:tabs>
        <w:spacing w:after="160" w:line="360" w:lineRule="auto"/>
        <w:ind w:firstLine="567"/>
        <w:jc w:val="both"/>
      </w:pPr>
      <w:r w:rsidRPr="00B834A2">
        <w:rPr>
          <w:i/>
        </w:rPr>
        <w:t>-</w:t>
      </w:r>
      <w:r w:rsidR="006C4184" w:rsidRPr="006C4184">
        <w:rPr>
          <w:i/>
        </w:rPr>
        <w:tab/>
      </w:r>
      <w:r w:rsidRPr="00B834A2">
        <w:rPr>
          <w:i/>
        </w:rPr>
        <w:t>շարժուն ֆազի արագությունը</w:t>
      </w:r>
      <w:r w:rsidRPr="00B834A2">
        <w:t>՝ 1,0 մլ/րոպե.</w:t>
      </w:r>
    </w:p>
    <w:p w14:paraId="66276610"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rPr>
          <w:i/>
        </w:rPr>
        <w:t>դետեկտորը՝</w:t>
      </w:r>
      <w:r w:rsidRPr="00B834A2">
        <w:t xml:space="preserve"> ուլտրամանուշակագույն, ալիքի երկարությունը՝ 210 նմ.</w:t>
      </w:r>
    </w:p>
    <w:p w14:paraId="10835EE3"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6F34D9">
        <w:rPr>
          <w:i/>
        </w:rPr>
        <w:t>ներմուծվող փորձանմուշի ծավալը</w:t>
      </w:r>
      <w:r w:rsidRPr="00B834A2">
        <w:t xml:space="preserve">՝ 50-ական մկլ փորձարկվող լուծույթ </w:t>
      </w:r>
      <w:r>
        <w:t>եւ</w:t>
      </w:r>
      <w:r w:rsidRPr="00B834A2">
        <w:t xml:space="preserve"> համեմատման լուծույթ:</w:t>
      </w:r>
    </w:p>
    <w:p w14:paraId="1ADBF399" w14:textId="77777777" w:rsidR="00B834A2" w:rsidRPr="00B834A2" w:rsidRDefault="00B834A2" w:rsidP="006C4184">
      <w:pPr>
        <w:spacing w:after="160" w:line="360" w:lineRule="auto"/>
        <w:ind w:firstLine="567"/>
        <w:jc w:val="both"/>
      </w:pPr>
      <w:r w:rsidRPr="006F34D9">
        <w:rPr>
          <w:i/>
        </w:rPr>
        <w:t>Ստերինների պիկերի նույնականացումը</w:t>
      </w:r>
      <w:r w:rsidRPr="00B834A2">
        <w:t xml:space="preserve"> (համեմատման լուծույթ).</w:t>
      </w:r>
      <w:r>
        <w:t xml:space="preserve"> </w:t>
      </w:r>
      <w:r w:rsidRPr="00B834A2">
        <w:t xml:space="preserve">հայտնաբերվում են երկու հիմնական պիկեր, որոնք էլյուացվում են մոտավորապես 23-րդ </w:t>
      </w:r>
      <w:r>
        <w:t>եւ</w:t>
      </w:r>
      <w:r w:rsidRPr="00B834A2">
        <w:t xml:space="preserve"> 32-րդ րոպեների միջակայքում: Ստերինների թորամասի պիկերն էլյուացվում են քրոմատագրման վերջում:</w:t>
      </w:r>
    </w:p>
    <w:p w14:paraId="031CF2DA" w14:textId="77777777" w:rsidR="00B834A2" w:rsidRPr="00B834A2" w:rsidRDefault="00B834A2" w:rsidP="006C4184">
      <w:pPr>
        <w:spacing w:after="160" w:line="360" w:lineRule="auto"/>
        <w:ind w:firstLine="567"/>
        <w:jc w:val="both"/>
      </w:pPr>
      <w:r w:rsidRPr="00B834A2">
        <w:t>Թորամասը հավաքում են դետեկտորի ելքի մոտ՝ պտուտակաձ</w:t>
      </w:r>
      <w:r>
        <w:t>եւ</w:t>
      </w:r>
      <w:r w:rsidRPr="00B834A2">
        <w:t xml:space="preserve"> կափարիչով, 15 մլ տարողությամբ փորձասրվակի մեջ: Լուծիչը եռացնելով՝ պակասեցնում են Р ազոտի հոսքի մեջ:</w:t>
      </w:r>
    </w:p>
    <w:p w14:paraId="089D4680" w14:textId="77777777" w:rsidR="00B834A2" w:rsidRPr="006F34D9" w:rsidRDefault="00B834A2" w:rsidP="006C4184">
      <w:pPr>
        <w:spacing w:after="160" w:line="360" w:lineRule="auto"/>
        <w:ind w:firstLine="567"/>
        <w:jc w:val="both"/>
        <w:rPr>
          <w:i/>
        </w:rPr>
      </w:pPr>
      <w:r w:rsidRPr="006F34D9">
        <w:rPr>
          <w:i/>
        </w:rPr>
        <w:t>Ստերինների որոշումը (ԳՔ)</w:t>
      </w:r>
    </w:p>
    <w:p w14:paraId="14A663E9" w14:textId="77777777" w:rsidR="00B834A2" w:rsidRPr="006F34D9" w:rsidRDefault="00B834A2" w:rsidP="006C4184">
      <w:pPr>
        <w:spacing w:after="160" w:line="360" w:lineRule="auto"/>
        <w:ind w:firstLine="567"/>
        <w:jc w:val="both"/>
        <w:rPr>
          <w:i/>
        </w:rPr>
      </w:pPr>
      <w:r w:rsidRPr="00B834A2">
        <w:t xml:space="preserve">Ստերինները որոշում են գազային քրոմատագրման մեթոդով </w:t>
      </w:r>
      <w:r w:rsidRPr="006F34D9">
        <w:rPr>
          <w:i/>
        </w:rPr>
        <w:t>(2.1.2.27):</w:t>
      </w:r>
    </w:p>
    <w:p w14:paraId="4E53B016" w14:textId="77777777" w:rsidR="00B834A2" w:rsidRPr="003A4194" w:rsidRDefault="00B834A2" w:rsidP="006C4184">
      <w:pPr>
        <w:spacing w:after="160" w:line="360" w:lineRule="auto"/>
        <w:ind w:firstLine="567"/>
        <w:jc w:val="both"/>
      </w:pPr>
      <w:r w:rsidRPr="006C4184">
        <w:rPr>
          <w:i/>
          <w:spacing w:val="-4"/>
        </w:rPr>
        <w:t>Փորձարկվող լուծույթը:</w:t>
      </w:r>
      <w:r w:rsidRPr="006C4184">
        <w:rPr>
          <w:spacing w:val="-4"/>
        </w:rPr>
        <w:t xml:space="preserve"> Նախորդող փուլում նրբաշերտ քրոմատագրման մեթոդով փորձարկվող լուծույթից արտազատված ստերինների թորամասը լուծում են 0,2 մլ</w:t>
      </w:r>
      <w:r w:rsidRPr="00B834A2">
        <w:t xml:space="preserve"> Р անջուր պիրիդինի խառնուրդի </w:t>
      </w:r>
      <w:r>
        <w:t>եւ</w:t>
      </w:r>
      <w:r w:rsidRPr="00B834A2">
        <w:t xml:space="preserve"> 0,2 մլ Р քլորտրիմեթիլսիլանի </w:t>
      </w:r>
      <w:r w:rsidR="009217DE">
        <w:t>-</w:t>
      </w:r>
      <w:r w:rsidRPr="00B834A2">
        <w:t xml:space="preserve"> Р N,O-բիս (տրիմեթիլսիլիլ) տրիֆտորացետամիդի (1:99, ծավ./ծավ.) խառնուրդի մեջ, </w:t>
      </w:r>
      <w:r w:rsidRPr="006C4184">
        <w:rPr>
          <w:spacing w:val="-4"/>
        </w:rPr>
        <w:t>փորձասրվակը կիպ փակում են խցանով եւ 80 °С ջերմաստիճանում տաքացնում են 20</w:t>
      </w:r>
      <w:r w:rsidRPr="00B834A2">
        <w:t xml:space="preserve"> րոպե: Այնուհետ</w:t>
      </w:r>
      <w:r>
        <w:t>եւ</w:t>
      </w:r>
      <w:r w:rsidRPr="00B834A2">
        <w:t xml:space="preserve"> հովացնում են </w:t>
      </w:r>
      <w:r>
        <w:t>եւ</w:t>
      </w:r>
      <w:r w:rsidRPr="00B834A2">
        <w:t xml:space="preserve"> օգտագործում են հեղուկ ֆազ:</w:t>
      </w:r>
    </w:p>
    <w:p w14:paraId="7B970D66" w14:textId="77777777" w:rsidR="00CE5DEC" w:rsidRPr="003A4194" w:rsidRDefault="00CE5DEC" w:rsidP="006C4184">
      <w:pPr>
        <w:spacing w:after="160" w:line="360" w:lineRule="auto"/>
        <w:ind w:firstLine="567"/>
        <w:jc w:val="both"/>
      </w:pPr>
    </w:p>
    <w:p w14:paraId="6CE9FCA3" w14:textId="77777777" w:rsidR="00B834A2" w:rsidRPr="00B834A2" w:rsidRDefault="00B834A2" w:rsidP="006C4184">
      <w:pPr>
        <w:spacing w:after="160" w:line="360" w:lineRule="auto"/>
        <w:ind w:firstLine="567"/>
        <w:jc w:val="both"/>
      </w:pPr>
      <w:r w:rsidRPr="00B834A2">
        <w:rPr>
          <w:i/>
        </w:rPr>
        <w:lastRenderedPageBreak/>
        <w:t>Համեմատման լուծույթը:</w:t>
      </w:r>
      <w:r w:rsidRPr="00B834A2">
        <w:t xml:space="preserve"> Նախորդող փուլում նրբաշերտ քրոմատագրման մեթոդով համեմատման լուծույթից արտազատված ստերինների թորամասը լուծում են 0,2 մլ Р անջուր պիրիդինի խառնուրդի </w:t>
      </w:r>
      <w:r>
        <w:t>եւ</w:t>
      </w:r>
      <w:r w:rsidRPr="00B834A2">
        <w:t xml:space="preserve"> 0,2 մլ Р քլորտրիմեթիլսիլանի </w:t>
      </w:r>
      <w:r w:rsidR="009217DE">
        <w:t>-</w:t>
      </w:r>
      <w:r w:rsidRPr="00B834A2">
        <w:t xml:space="preserve"> Р N,O-բիս (տրիմեթիլսիլիլ) տրիֆտորացետամիդի (1:99, ծավ./ծավ.) խառնուրդի մեջ, փորձասրվակը կիպ փակում են խցանով </w:t>
      </w:r>
      <w:r>
        <w:t>եւ</w:t>
      </w:r>
      <w:r w:rsidRPr="00B834A2">
        <w:t xml:space="preserve"> 80 °С ջերմաստիճանում տաքացնում են 20 րոպե: Այնուհետ</w:t>
      </w:r>
      <w:r>
        <w:t>եւ</w:t>
      </w:r>
      <w:r w:rsidRPr="00B834A2">
        <w:t xml:space="preserve"> հովացնում են </w:t>
      </w:r>
      <w:r>
        <w:t>եւ</w:t>
      </w:r>
      <w:r w:rsidRPr="00B834A2">
        <w:t xml:space="preserve"> օգտագործում են հեղուկ ֆազ:</w:t>
      </w:r>
    </w:p>
    <w:p w14:paraId="678DD959" w14:textId="77777777" w:rsidR="00B834A2" w:rsidRPr="00B834A2" w:rsidRDefault="00B834A2" w:rsidP="006C4184">
      <w:pPr>
        <w:spacing w:after="160" w:line="360" w:lineRule="auto"/>
        <w:ind w:firstLine="567"/>
        <w:jc w:val="both"/>
      </w:pPr>
      <w:r w:rsidRPr="00B834A2">
        <w:t>Նա</w:t>
      </w:r>
      <w:r>
        <w:t>եւ</w:t>
      </w:r>
      <w:r w:rsidRPr="00B834A2">
        <w:t xml:space="preserve"> կարող է օգտագործվել խոլեստերինի ԵԱՏՄԴ ՍՆ՝ առանձին կամ ար</w:t>
      </w:r>
      <w:r>
        <w:t>եւ</w:t>
      </w:r>
      <w:r w:rsidRPr="00B834A2">
        <w:t>ածաղկի յուղի ստերինային թորամասով խառնուրդի մեջ: Դերիվացումն անցկացնում են փորձարկվող լուծույթին առնչվող ցուցումներին համապատասխան:</w:t>
      </w:r>
    </w:p>
    <w:p w14:paraId="47D806F8" w14:textId="77777777" w:rsidR="00B834A2" w:rsidRPr="00B834A2" w:rsidRDefault="00B834A2" w:rsidP="006C4184">
      <w:pPr>
        <w:spacing w:after="160" w:line="360" w:lineRule="auto"/>
        <w:ind w:firstLine="567"/>
        <w:jc w:val="both"/>
        <w:rPr>
          <w:i/>
        </w:rPr>
      </w:pPr>
      <w:r w:rsidRPr="00B834A2">
        <w:rPr>
          <w:i/>
        </w:rPr>
        <w:t>Քրոմատագրման պայմանները.</w:t>
      </w:r>
    </w:p>
    <w:p w14:paraId="4590378D"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rPr>
          <w:i/>
        </w:rPr>
        <w:t>աշտարակը՝</w:t>
      </w:r>
      <w:r w:rsidRPr="00B834A2">
        <w:t xml:space="preserve"> մազանոթային աշտարակ, 30 մ երկարությամբ </w:t>
      </w:r>
      <w:r>
        <w:t>եւ</w:t>
      </w:r>
      <w:r w:rsidRPr="00B834A2">
        <w:t xml:space="preserve"> 0,25 մմ ներքին տրամագծով ջերմակայուն կվարցից, 0,25 մկմ հաստությամբ Р պոլի[մեթիլ(95) ֆենիլ(5)] սիլօքսանի շերտով պատված.</w:t>
      </w:r>
    </w:p>
    <w:p w14:paraId="48B005CC" w14:textId="77777777" w:rsidR="00B834A2" w:rsidRPr="00B834A2" w:rsidRDefault="00B834A2" w:rsidP="006C4184">
      <w:pPr>
        <w:tabs>
          <w:tab w:val="left" w:pos="1134"/>
        </w:tabs>
        <w:spacing w:after="160" w:line="360" w:lineRule="auto"/>
        <w:ind w:firstLine="567"/>
        <w:jc w:val="both"/>
        <w:rPr>
          <w:i/>
        </w:rPr>
      </w:pPr>
      <w:r w:rsidRPr="00B834A2">
        <w:t>-</w:t>
      </w:r>
      <w:r w:rsidR="006C4184" w:rsidRPr="006C4184">
        <w:tab/>
      </w:r>
      <w:r w:rsidRPr="00B834A2">
        <w:rPr>
          <w:i/>
        </w:rPr>
        <w:t>կրող գազը՝ Р հելիում՝ քրոմատագրման համար.</w:t>
      </w:r>
    </w:p>
    <w:p w14:paraId="23DB3A54" w14:textId="77777777" w:rsidR="00B834A2" w:rsidRPr="00B834A2" w:rsidRDefault="00B834A2" w:rsidP="006C4184">
      <w:pPr>
        <w:tabs>
          <w:tab w:val="left" w:pos="1134"/>
        </w:tabs>
        <w:spacing w:after="160" w:line="360" w:lineRule="auto"/>
        <w:ind w:firstLine="567"/>
        <w:jc w:val="both"/>
      </w:pPr>
      <w:r w:rsidRPr="00B834A2">
        <w:rPr>
          <w:i/>
        </w:rPr>
        <w:t>-</w:t>
      </w:r>
      <w:r w:rsidR="006C4184" w:rsidRPr="006C4184">
        <w:rPr>
          <w:i/>
        </w:rPr>
        <w:tab/>
      </w:r>
      <w:r w:rsidRPr="00B834A2">
        <w:rPr>
          <w:i/>
        </w:rPr>
        <w:t>կրող գազի արագությունը</w:t>
      </w:r>
      <w:r w:rsidRPr="00B834A2">
        <w:t>՝ 2,6 մլ/րոպե.</w:t>
      </w:r>
    </w:p>
    <w:p w14:paraId="2C596C7A" w14:textId="77777777" w:rsidR="00B834A2" w:rsidRPr="00B834A2" w:rsidRDefault="00B834A2" w:rsidP="006C4184">
      <w:pPr>
        <w:tabs>
          <w:tab w:val="left" w:pos="1134"/>
        </w:tabs>
        <w:spacing w:after="160" w:line="360" w:lineRule="auto"/>
        <w:ind w:firstLine="567"/>
        <w:jc w:val="both"/>
      </w:pPr>
      <w:r w:rsidRPr="00B834A2">
        <w:t>-</w:t>
      </w:r>
      <w:r w:rsidR="006C4184" w:rsidRPr="00097504">
        <w:tab/>
      </w:r>
      <w:r w:rsidRPr="00B834A2">
        <w:rPr>
          <w:i/>
        </w:rPr>
        <w:t>հոսքի բաժանումը՝</w:t>
      </w:r>
      <w:r w:rsidRPr="00B834A2">
        <w:t xml:space="preserve"> 1:25.</w:t>
      </w:r>
    </w:p>
    <w:p w14:paraId="7DA3547D"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t>ներմուծվող փորձանմուշի ծավալը՝ 1-3 մկլ (փորձարկվող լուծույթի մեջ ստերինների ակնկալվող քանակով պայմանավորված).</w:t>
      </w:r>
    </w:p>
    <w:p w14:paraId="7DED4D3F" w14:textId="77777777" w:rsidR="00B834A2" w:rsidRPr="00B834A2" w:rsidRDefault="00B834A2" w:rsidP="006C4184">
      <w:pPr>
        <w:tabs>
          <w:tab w:val="left" w:pos="1134"/>
        </w:tabs>
        <w:spacing w:after="160" w:line="360" w:lineRule="auto"/>
        <w:ind w:firstLine="567"/>
        <w:jc w:val="both"/>
      </w:pPr>
      <w:r w:rsidRPr="00B834A2">
        <w:t>-</w:t>
      </w:r>
      <w:r w:rsidR="006C4184">
        <w:rPr>
          <w:lang w:val="en-US"/>
        </w:rPr>
        <w:tab/>
      </w:r>
      <w:r w:rsidRPr="00B834A2">
        <w:t>ջերմաստիճանի փոփոխման ռեժիմը՝</w:t>
      </w:r>
    </w:p>
    <w:tbl>
      <w:tblPr>
        <w:tblOverlap w:val="never"/>
        <w:tblW w:w="0" w:type="auto"/>
        <w:tblInd w:w="861" w:type="dxa"/>
        <w:tblLayout w:type="fixed"/>
        <w:tblCellMar>
          <w:left w:w="10" w:type="dxa"/>
          <w:right w:w="10" w:type="dxa"/>
        </w:tblCellMar>
        <w:tblLook w:val="04A0" w:firstRow="1" w:lastRow="0" w:firstColumn="1" w:lastColumn="0" w:noHBand="0" w:noVBand="1"/>
      </w:tblPr>
      <w:tblGrid>
        <w:gridCol w:w="2693"/>
        <w:gridCol w:w="1843"/>
        <w:gridCol w:w="2668"/>
      </w:tblGrid>
      <w:tr w:rsidR="00B834A2" w:rsidRPr="006C4184" w14:paraId="05A94021" w14:textId="77777777" w:rsidTr="006035D0">
        <w:tc>
          <w:tcPr>
            <w:tcW w:w="2693" w:type="dxa"/>
            <w:tcBorders>
              <w:top w:val="single" w:sz="4" w:space="0" w:color="auto"/>
            </w:tcBorders>
            <w:shd w:val="clear" w:color="auto" w:fill="FFFFFF"/>
            <w:vAlign w:val="center"/>
          </w:tcPr>
          <w:p w14:paraId="13B9643F" w14:textId="77777777" w:rsidR="00B834A2" w:rsidRPr="006C4184" w:rsidRDefault="00B834A2" w:rsidP="006C4184">
            <w:pPr>
              <w:spacing w:after="120"/>
              <w:jc w:val="center"/>
              <w:rPr>
                <w:sz w:val="20"/>
              </w:rPr>
            </w:pPr>
            <w:r w:rsidRPr="006C4184">
              <w:rPr>
                <w:sz w:val="20"/>
              </w:rPr>
              <w:t>Տարրը</w:t>
            </w:r>
          </w:p>
        </w:tc>
        <w:tc>
          <w:tcPr>
            <w:tcW w:w="1843" w:type="dxa"/>
            <w:tcBorders>
              <w:top w:val="single" w:sz="4" w:space="0" w:color="auto"/>
            </w:tcBorders>
            <w:shd w:val="clear" w:color="auto" w:fill="FFFFFF"/>
            <w:vAlign w:val="center"/>
          </w:tcPr>
          <w:p w14:paraId="4A479030" w14:textId="77777777" w:rsidR="00B834A2" w:rsidRPr="006C4184" w:rsidRDefault="00B834A2" w:rsidP="006C4184">
            <w:pPr>
              <w:spacing w:after="120"/>
              <w:jc w:val="center"/>
              <w:rPr>
                <w:sz w:val="20"/>
              </w:rPr>
            </w:pPr>
            <w:r w:rsidRPr="006C4184">
              <w:rPr>
                <w:sz w:val="20"/>
              </w:rPr>
              <w:t>Ժամանակը (րոպե)</w:t>
            </w:r>
          </w:p>
        </w:tc>
        <w:tc>
          <w:tcPr>
            <w:tcW w:w="2668" w:type="dxa"/>
            <w:tcBorders>
              <w:top w:val="single" w:sz="4" w:space="0" w:color="auto"/>
            </w:tcBorders>
            <w:shd w:val="clear" w:color="auto" w:fill="FFFFFF"/>
            <w:vAlign w:val="center"/>
          </w:tcPr>
          <w:p w14:paraId="36737055" w14:textId="77777777" w:rsidR="00B834A2" w:rsidRPr="006C4184" w:rsidRDefault="00B834A2" w:rsidP="006C4184">
            <w:pPr>
              <w:spacing w:after="120"/>
              <w:jc w:val="center"/>
              <w:rPr>
                <w:sz w:val="20"/>
              </w:rPr>
            </w:pPr>
            <w:r w:rsidRPr="006C4184">
              <w:rPr>
                <w:sz w:val="20"/>
              </w:rPr>
              <w:t>Ջերմաստիճանը (</w:t>
            </w:r>
            <w:r w:rsidRPr="006C4184">
              <w:rPr>
                <w:rFonts w:ascii="Times New Roman" w:hAnsi="Times New Roman" w:cs="Times New Roman"/>
                <w:sz w:val="20"/>
              </w:rPr>
              <w:t>○</w:t>
            </w:r>
            <w:r w:rsidRPr="006C4184">
              <w:rPr>
                <w:sz w:val="20"/>
              </w:rPr>
              <w:t>C)</w:t>
            </w:r>
          </w:p>
        </w:tc>
      </w:tr>
      <w:tr w:rsidR="00B834A2" w:rsidRPr="006C4184" w14:paraId="06B10A73" w14:textId="77777777" w:rsidTr="006035D0">
        <w:tc>
          <w:tcPr>
            <w:tcW w:w="2693" w:type="dxa"/>
            <w:tcBorders>
              <w:top w:val="single" w:sz="4" w:space="0" w:color="auto"/>
            </w:tcBorders>
            <w:shd w:val="clear" w:color="auto" w:fill="FFFFFF"/>
            <w:vAlign w:val="center"/>
          </w:tcPr>
          <w:p w14:paraId="490DDDE5" w14:textId="77777777" w:rsidR="00B834A2" w:rsidRPr="006C4184" w:rsidRDefault="00B834A2" w:rsidP="006C4184">
            <w:pPr>
              <w:spacing w:after="120"/>
              <w:jc w:val="both"/>
              <w:rPr>
                <w:sz w:val="20"/>
              </w:rPr>
            </w:pPr>
            <w:r w:rsidRPr="006C4184">
              <w:rPr>
                <w:sz w:val="20"/>
              </w:rPr>
              <w:t>Աշտարակը</w:t>
            </w:r>
          </w:p>
        </w:tc>
        <w:tc>
          <w:tcPr>
            <w:tcW w:w="1843" w:type="dxa"/>
            <w:tcBorders>
              <w:top w:val="single" w:sz="4" w:space="0" w:color="auto"/>
            </w:tcBorders>
            <w:shd w:val="clear" w:color="auto" w:fill="FFFFFF"/>
            <w:vAlign w:val="center"/>
          </w:tcPr>
          <w:p w14:paraId="340684F7" w14:textId="77777777" w:rsidR="00B834A2" w:rsidRPr="006C4184" w:rsidRDefault="00B834A2" w:rsidP="006C4184">
            <w:pPr>
              <w:spacing w:after="120"/>
              <w:jc w:val="center"/>
              <w:rPr>
                <w:sz w:val="20"/>
              </w:rPr>
            </w:pPr>
            <w:r w:rsidRPr="006C4184">
              <w:rPr>
                <w:sz w:val="20"/>
              </w:rPr>
              <w:t>0-38</w:t>
            </w:r>
          </w:p>
        </w:tc>
        <w:tc>
          <w:tcPr>
            <w:tcW w:w="2668" w:type="dxa"/>
            <w:tcBorders>
              <w:top w:val="single" w:sz="4" w:space="0" w:color="auto"/>
            </w:tcBorders>
            <w:shd w:val="clear" w:color="auto" w:fill="FFFFFF"/>
            <w:vAlign w:val="center"/>
          </w:tcPr>
          <w:p w14:paraId="7927CB59" w14:textId="77777777" w:rsidR="00B834A2" w:rsidRPr="006C4184" w:rsidRDefault="00B834A2" w:rsidP="006C4184">
            <w:pPr>
              <w:spacing w:after="120"/>
              <w:jc w:val="center"/>
              <w:rPr>
                <w:sz w:val="20"/>
              </w:rPr>
            </w:pPr>
            <w:r w:rsidRPr="006C4184">
              <w:rPr>
                <w:sz w:val="20"/>
              </w:rPr>
              <w:t>260</w:t>
            </w:r>
          </w:p>
        </w:tc>
      </w:tr>
      <w:tr w:rsidR="00B834A2" w:rsidRPr="006C4184" w14:paraId="5280D023" w14:textId="77777777" w:rsidTr="006035D0">
        <w:tc>
          <w:tcPr>
            <w:tcW w:w="2693" w:type="dxa"/>
            <w:shd w:val="clear" w:color="auto" w:fill="FFFFFF"/>
            <w:vAlign w:val="center"/>
          </w:tcPr>
          <w:p w14:paraId="50EA8DA8" w14:textId="77777777" w:rsidR="00B834A2" w:rsidRPr="006C4184" w:rsidRDefault="00B834A2" w:rsidP="006C4184">
            <w:pPr>
              <w:spacing w:after="120"/>
              <w:jc w:val="both"/>
              <w:rPr>
                <w:sz w:val="20"/>
              </w:rPr>
            </w:pPr>
          </w:p>
        </w:tc>
        <w:tc>
          <w:tcPr>
            <w:tcW w:w="1843" w:type="dxa"/>
            <w:shd w:val="clear" w:color="auto" w:fill="FFFFFF"/>
            <w:vAlign w:val="center"/>
          </w:tcPr>
          <w:p w14:paraId="5149427E" w14:textId="77777777" w:rsidR="00B834A2" w:rsidRPr="006C4184" w:rsidRDefault="00B834A2" w:rsidP="006C4184">
            <w:pPr>
              <w:spacing w:after="120"/>
              <w:jc w:val="center"/>
              <w:rPr>
                <w:sz w:val="20"/>
              </w:rPr>
            </w:pPr>
            <w:r w:rsidRPr="006C4184">
              <w:rPr>
                <w:sz w:val="20"/>
              </w:rPr>
              <w:t>38-44</w:t>
            </w:r>
          </w:p>
        </w:tc>
        <w:tc>
          <w:tcPr>
            <w:tcW w:w="2668" w:type="dxa"/>
            <w:shd w:val="clear" w:color="auto" w:fill="FFFFFF"/>
            <w:vAlign w:val="center"/>
          </w:tcPr>
          <w:p w14:paraId="0288BB29" w14:textId="77777777" w:rsidR="00B834A2" w:rsidRPr="006C4184" w:rsidRDefault="00B834A2" w:rsidP="006C4184">
            <w:pPr>
              <w:spacing w:after="120"/>
              <w:jc w:val="center"/>
              <w:rPr>
                <w:sz w:val="20"/>
              </w:rPr>
            </w:pPr>
            <w:r w:rsidRPr="006C4184">
              <w:rPr>
                <w:sz w:val="20"/>
              </w:rPr>
              <w:t xml:space="preserve">260 </w:t>
            </w:r>
            <w:r w:rsidRPr="006C4184">
              <w:rPr>
                <w:rFonts w:ascii="Times New Roman" w:hAnsi="Times New Roman" w:cs="Times New Roman"/>
                <w:sz w:val="20"/>
              </w:rPr>
              <w:t>→</w:t>
            </w:r>
            <w:r w:rsidRPr="006C4184">
              <w:rPr>
                <w:sz w:val="20"/>
              </w:rPr>
              <w:t xml:space="preserve"> 290</w:t>
            </w:r>
          </w:p>
        </w:tc>
      </w:tr>
      <w:tr w:rsidR="00B834A2" w:rsidRPr="006C4184" w14:paraId="1501B6DE" w14:textId="77777777" w:rsidTr="006035D0">
        <w:tc>
          <w:tcPr>
            <w:tcW w:w="2693" w:type="dxa"/>
            <w:shd w:val="clear" w:color="auto" w:fill="FFFFFF"/>
            <w:vAlign w:val="center"/>
          </w:tcPr>
          <w:p w14:paraId="32BDAA0E" w14:textId="77777777" w:rsidR="00B834A2" w:rsidRPr="006C4184" w:rsidRDefault="00B834A2" w:rsidP="006C4184">
            <w:pPr>
              <w:spacing w:after="120"/>
              <w:jc w:val="both"/>
              <w:rPr>
                <w:sz w:val="20"/>
              </w:rPr>
            </w:pPr>
          </w:p>
        </w:tc>
        <w:tc>
          <w:tcPr>
            <w:tcW w:w="1843" w:type="dxa"/>
            <w:shd w:val="clear" w:color="auto" w:fill="FFFFFF"/>
            <w:vAlign w:val="center"/>
          </w:tcPr>
          <w:p w14:paraId="3131B5AD" w14:textId="77777777" w:rsidR="00B834A2" w:rsidRPr="006C4184" w:rsidRDefault="00B834A2" w:rsidP="006C4184">
            <w:pPr>
              <w:spacing w:after="120"/>
              <w:jc w:val="center"/>
              <w:rPr>
                <w:sz w:val="20"/>
              </w:rPr>
            </w:pPr>
            <w:r w:rsidRPr="006C4184">
              <w:rPr>
                <w:sz w:val="20"/>
              </w:rPr>
              <w:t>44-49</w:t>
            </w:r>
          </w:p>
        </w:tc>
        <w:tc>
          <w:tcPr>
            <w:tcW w:w="2668" w:type="dxa"/>
            <w:shd w:val="clear" w:color="auto" w:fill="FFFFFF"/>
            <w:vAlign w:val="center"/>
          </w:tcPr>
          <w:p w14:paraId="5B13787A" w14:textId="77777777" w:rsidR="00B834A2" w:rsidRPr="006C4184" w:rsidRDefault="00B834A2" w:rsidP="006C4184">
            <w:pPr>
              <w:spacing w:after="120"/>
              <w:jc w:val="center"/>
              <w:rPr>
                <w:sz w:val="20"/>
              </w:rPr>
            </w:pPr>
            <w:r w:rsidRPr="006C4184">
              <w:rPr>
                <w:sz w:val="20"/>
              </w:rPr>
              <w:t>290</w:t>
            </w:r>
          </w:p>
        </w:tc>
      </w:tr>
      <w:tr w:rsidR="00B834A2" w:rsidRPr="006C4184" w14:paraId="63531D8D" w14:textId="77777777" w:rsidTr="006035D0">
        <w:tc>
          <w:tcPr>
            <w:tcW w:w="4536" w:type="dxa"/>
            <w:gridSpan w:val="2"/>
            <w:shd w:val="clear" w:color="auto" w:fill="FFFFFF"/>
            <w:vAlign w:val="center"/>
          </w:tcPr>
          <w:p w14:paraId="7DD10E41" w14:textId="77777777" w:rsidR="00B834A2" w:rsidRPr="006C4184" w:rsidRDefault="00B834A2" w:rsidP="006C4184">
            <w:pPr>
              <w:spacing w:after="120"/>
              <w:jc w:val="both"/>
              <w:rPr>
                <w:sz w:val="20"/>
              </w:rPr>
            </w:pPr>
            <w:r w:rsidRPr="006C4184">
              <w:rPr>
                <w:sz w:val="20"/>
              </w:rPr>
              <w:t>Փորձանմուշների ներմուծման բլոկը</w:t>
            </w:r>
          </w:p>
        </w:tc>
        <w:tc>
          <w:tcPr>
            <w:tcW w:w="2668" w:type="dxa"/>
            <w:shd w:val="clear" w:color="auto" w:fill="FFFFFF"/>
            <w:vAlign w:val="center"/>
          </w:tcPr>
          <w:p w14:paraId="581CC8E0" w14:textId="77777777" w:rsidR="00B834A2" w:rsidRPr="006C4184" w:rsidRDefault="00B834A2" w:rsidP="006C4184">
            <w:pPr>
              <w:spacing w:after="120"/>
              <w:jc w:val="center"/>
              <w:rPr>
                <w:sz w:val="20"/>
              </w:rPr>
            </w:pPr>
            <w:r w:rsidRPr="006C4184">
              <w:rPr>
                <w:sz w:val="20"/>
              </w:rPr>
              <w:t>290</w:t>
            </w:r>
          </w:p>
        </w:tc>
      </w:tr>
      <w:tr w:rsidR="00B834A2" w:rsidRPr="006C4184" w14:paraId="5F47CFA8" w14:textId="77777777" w:rsidTr="006035D0">
        <w:tc>
          <w:tcPr>
            <w:tcW w:w="4536" w:type="dxa"/>
            <w:gridSpan w:val="2"/>
            <w:tcBorders>
              <w:bottom w:val="single" w:sz="4" w:space="0" w:color="auto"/>
            </w:tcBorders>
            <w:shd w:val="clear" w:color="auto" w:fill="FFFFFF"/>
            <w:vAlign w:val="center"/>
          </w:tcPr>
          <w:p w14:paraId="06A1A4CF" w14:textId="77777777" w:rsidR="00B834A2" w:rsidRPr="006C4184" w:rsidRDefault="00B834A2" w:rsidP="006C4184">
            <w:pPr>
              <w:spacing w:after="120"/>
              <w:jc w:val="both"/>
              <w:rPr>
                <w:sz w:val="20"/>
              </w:rPr>
            </w:pPr>
            <w:r w:rsidRPr="006C4184">
              <w:rPr>
                <w:sz w:val="20"/>
              </w:rPr>
              <w:t>Դետեկտորը</w:t>
            </w:r>
          </w:p>
        </w:tc>
        <w:tc>
          <w:tcPr>
            <w:tcW w:w="2668" w:type="dxa"/>
            <w:tcBorders>
              <w:bottom w:val="single" w:sz="4" w:space="0" w:color="auto"/>
            </w:tcBorders>
            <w:shd w:val="clear" w:color="auto" w:fill="FFFFFF"/>
            <w:vAlign w:val="center"/>
          </w:tcPr>
          <w:p w14:paraId="023C52F9" w14:textId="77777777" w:rsidR="00B834A2" w:rsidRPr="006C4184" w:rsidRDefault="00B834A2" w:rsidP="006C4184">
            <w:pPr>
              <w:spacing w:after="120"/>
              <w:jc w:val="center"/>
              <w:rPr>
                <w:sz w:val="20"/>
              </w:rPr>
            </w:pPr>
            <w:r w:rsidRPr="006C4184">
              <w:rPr>
                <w:sz w:val="20"/>
              </w:rPr>
              <w:t>290</w:t>
            </w:r>
          </w:p>
        </w:tc>
      </w:tr>
    </w:tbl>
    <w:p w14:paraId="60F63886" w14:textId="77777777" w:rsidR="00B834A2" w:rsidRPr="00B834A2" w:rsidRDefault="00B834A2" w:rsidP="006C4184">
      <w:pPr>
        <w:spacing w:after="160" w:line="360" w:lineRule="auto"/>
        <w:ind w:firstLine="567"/>
        <w:jc w:val="both"/>
      </w:pPr>
      <w:r w:rsidRPr="00B834A2">
        <w:lastRenderedPageBreak/>
        <w:t xml:space="preserve">Պիկերի նույնականացումը (համեմատման լուծույթ)՝ կամպեստերինի, ստիգմաստերինի, β-սիտոստերինի </w:t>
      </w:r>
      <w:r>
        <w:t>եւ</w:t>
      </w:r>
      <w:r w:rsidRPr="00B834A2">
        <w:t xml:space="preserve"> ∆7-ստիգմաստենոլի, ստերինների պիկերը </w:t>
      </w:r>
      <w:r>
        <w:t>եւ</w:t>
      </w:r>
      <w:r w:rsidRPr="00B834A2">
        <w:t xml:space="preserve"> β-սիտոստերինի պիկի նկատմամբ պիկերի պահման հարաբերական արժեքները, որոնք ներկայացված են 2.1.8.26-1 աղյուսակում:</w:t>
      </w:r>
    </w:p>
    <w:p w14:paraId="60E34B03" w14:textId="77777777" w:rsidR="00B834A2" w:rsidRPr="00B834A2" w:rsidRDefault="00B834A2" w:rsidP="006C4184">
      <w:pPr>
        <w:spacing w:after="160" w:line="360" w:lineRule="auto"/>
        <w:ind w:firstLine="567"/>
        <w:jc w:val="both"/>
      </w:pPr>
      <w:r w:rsidRPr="00B834A2">
        <w:rPr>
          <w:i/>
        </w:rPr>
        <w:t>Համակարգի պիտանիությունը</w:t>
      </w:r>
      <w:r w:rsidRPr="00B834A2">
        <w:t xml:space="preserve"> (համեմատման լուծույթ).</w:t>
      </w:r>
    </w:p>
    <w:p w14:paraId="0AC1A63B" w14:textId="77777777" w:rsidR="00B834A2" w:rsidRPr="00B834A2" w:rsidRDefault="00B834A2" w:rsidP="006C4184">
      <w:pPr>
        <w:tabs>
          <w:tab w:val="left" w:pos="1134"/>
        </w:tabs>
        <w:spacing w:after="160" w:line="360" w:lineRule="auto"/>
        <w:ind w:firstLine="567"/>
        <w:jc w:val="both"/>
      </w:pPr>
      <w:r w:rsidRPr="00B834A2">
        <w:t>-</w:t>
      </w:r>
      <w:r w:rsidR="006C4184" w:rsidRPr="006C4184">
        <w:tab/>
      </w:r>
      <w:r w:rsidRPr="00B834A2">
        <w:rPr>
          <w:i/>
        </w:rPr>
        <w:t>լուծաչափը՝</w:t>
      </w:r>
      <w:r w:rsidRPr="00B834A2">
        <w:t xml:space="preserve"> ոչ ավելի, քան 4,0՝ կամպեստերինի </w:t>
      </w:r>
      <w:r>
        <w:t>եւ</w:t>
      </w:r>
      <w:r w:rsidRPr="00B834A2">
        <w:t xml:space="preserve"> ստիգմաստերինի պիկերի միջ</w:t>
      </w:r>
      <w:r>
        <w:t>եւ</w:t>
      </w:r>
      <w:r w:rsidRPr="00B834A2">
        <w:t>:</w:t>
      </w:r>
    </w:p>
    <w:p w14:paraId="4212EDBD" w14:textId="77777777" w:rsidR="00B834A2" w:rsidRPr="00B834A2" w:rsidRDefault="00B834A2" w:rsidP="006C4184">
      <w:pPr>
        <w:spacing w:after="160" w:line="360" w:lineRule="auto"/>
        <w:ind w:firstLine="567"/>
        <w:jc w:val="both"/>
      </w:pPr>
      <w:r w:rsidRPr="00B834A2">
        <w:t>Փորձարկվող նմուշի ստերինային թորամասի մեջ յուրաքանչյուր ստերինի՝ տոկոսներով պարունակություն հաշվարկում են հետ</w:t>
      </w:r>
      <w:r>
        <w:t>եւ</w:t>
      </w:r>
      <w:r w:rsidRPr="00B834A2">
        <w:t>յալ բանաձ</w:t>
      </w:r>
      <w:r>
        <w:t>եւ</w:t>
      </w:r>
      <w:r w:rsidRPr="00B834A2">
        <w:t>ով.</w:t>
      </w:r>
    </w:p>
    <w:p w14:paraId="6B37505D" w14:textId="77777777" w:rsidR="00B834A2" w:rsidRPr="00B834A2" w:rsidRDefault="00000000" w:rsidP="00B834A2">
      <w:pPr>
        <w:spacing w:after="160" w:line="360" w:lineRule="auto"/>
        <w:jc w:val="both"/>
      </w:pPr>
      <m:oMathPara>
        <m:oMath>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i</m:t>
                  </m:r>
                </m:sub>
              </m:sSub>
            </m:num>
            <m:den>
              <m:sSub>
                <m:sSubPr>
                  <m:ctrlPr>
                    <w:rPr>
                      <w:rFonts w:ascii="Cambria Math" w:hAnsi="Cambria Math"/>
                    </w:rPr>
                  </m:ctrlPr>
                </m:sSubPr>
                <m:e>
                  <m:nary>
                    <m:naryPr>
                      <m:chr m:val="∑"/>
                      <m:limLoc m:val="undOvr"/>
                      <m:subHide m:val="1"/>
                      <m:supHide m:val="1"/>
                      <m:ctrlPr>
                        <w:rPr>
                          <w:rFonts w:ascii="Cambria Math" w:hAnsi="Cambria Math"/>
                        </w:rPr>
                      </m:ctrlPr>
                    </m:naryPr>
                    <m:sub/>
                    <m:sup/>
                    <m:e>
                      <m:r>
                        <w:rPr>
                          <w:rFonts w:ascii="Cambria Math" w:hAnsi="Cambria Math"/>
                        </w:rPr>
                        <m:t>S</m:t>
                      </m:r>
                    </m:e>
                  </m:nary>
                </m:e>
                <m:sub>
                  <m:r>
                    <w:rPr>
                      <w:rFonts w:ascii="Cambria Math" w:hAnsi="Cambria Math"/>
                    </w:rPr>
                    <m:t>i</m:t>
                  </m:r>
                </m:sub>
              </m:sSub>
            </m:den>
          </m:f>
          <m:r>
            <m:rPr>
              <m:sty m:val="p"/>
            </m:rPr>
            <w:rPr>
              <w:rFonts w:ascii="Cambria Math" w:hAnsi="Cambria Math"/>
            </w:rPr>
            <m:t>∙100,</m:t>
          </m:r>
        </m:oMath>
      </m:oMathPara>
    </w:p>
    <w:p w14:paraId="4412DE6B" w14:textId="77777777" w:rsidR="00B834A2" w:rsidRPr="00B834A2" w:rsidRDefault="00B834A2" w:rsidP="006C4184">
      <w:pPr>
        <w:spacing w:after="160" w:line="360" w:lineRule="auto"/>
        <w:ind w:firstLine="567"/>
        <w:jc w:val="both"/>
      </w:pPr>
      <w:r w:rsidRPr="00B834A2">
        <w:t xml:space="preserve">որտեղ՝ </w:t>
      </w:r>
    </w:p>
    <w:p w14:paraId="22EB9899" w14:textId="77777777" w:rsidR="00B834A2" w:rsidRPr="00B834A2" w:rsidRDefault="00B834A2" w:rsidP="006C4184">
      <w:pPr>
        <w:spacing w:after="160" w:line="360" w:lineRule="auto"/>
        <w:ind w:firstLine="567"/>
        <w:jc w:val="both"/>
      </w:pPr>
      <w:r w:rsidRPr="006F34D9">
        <w:rPr>
          <w:i/>
        </w:rPr>
        <w:t>Տ</w:t>
      </w:r>
      <w:r w:rsidRPr="006F34D9">
        <w:rPr>
          <w:i/>
          <w:vertAlign w:val="subscript"/>
        </w:rPr>
        <w:t>i</w:t>
      </w:r>
      <w:r w:rsidRPr="00B834A2">
        <w:t>-ը փորձարկվող նմուշի քրոմատագրի վրա որոշվող ստերինի պիկի մակերեսն է.</w:t>
      </w:r>
    </w:p>
    <w:p w14:paraId="4349E45F" w14:textId="77777777" w:rsidR="00B834A2" w:rsidRPr="00B834A2" w:rsidRDefault="00B834A2" w:rsidP="006C4184">
      <w:pPr>
        <w:spacing w:after="160" w:line="360" w:lineRule="auto"/>
        <w:ind w:firstLine="567"/>
        <w:jc w:val="both"/>
      </w:pPr>
      <w:r w:rsidRPr="00B834A2">
        <w:t>Σ</w:t>
      </w:r>
      <w:r w:rsidRPr="006F34D9">
        <w:rPr>
          <w:i/>
        </w:rPr>
        <w:t>S</w:t>
      </w:r>
      <w:r w:rsidRPr="00B834A2">
        <w:rPr>
          <w:vertAlign w:val="subscript"/>
        </w:rPr>
        <w:t>i</w:t>
      </w:r>
      <w:r w:rsidRPr="00B834A2">
        <w:t>-ը, բետուլինի պիկից բացի, 2.1.8.26.-1 աղյուսակում նշված ստերինների բոլոր պիկերի մակերեսների հանրագումարն է:</w:t>
      </w:r>
    </w:p>
    <w:p w14:paraId="04CAF299" w14:textId="77777777" w:rsidR="006035D0" w:rsidRDefault="006035D0">
      <w:pPr>
        <w:rPr>
          <w:b/>
        </w:rPr>
      </w:pPr>
      <w:r>
        <w:rPr>
          <w:b/>
        </w:rPr>
        <w:br w:type="page"/>
      </w:r>
    </w:p>
    <w:p w14:paraId="78C98223" w14:textId="77777777" w:rsidR="00B834A2" w:rsidRPr="00B834A2" w:rsidRDefault="00B834A2" w:rsidP="006C4184">
      <w:pPr>
        <w:spacing w:after="160" w:line="360" w:lineRule="auto"/>
        <w:jc w:val="center"/>
        <w:rPr>
          <w:b/>
        </w:rPr>
      </w:pPr>
      <w:r w:rsidRPr="00B834A2">
        <w:rPr>
          <w:b/>
        </w:rPr>
        <w:lastRenderedPageBreak/>
        <w:t>2.1.9. ԴԵՂԱԳՈՐԾԱԿԱՆ-ՏԵԽՆՈԼՈԳԻԱԿԱՆ ՓՈՐՁԱՐԿՈՒՄՆԵՐԸ</w:t>
      </w:r>
    </w:p>
    <w:p w14:paraId="65927F82" w14:textId="77777777" w:rsidR="00B834A2" w:rsidRPr="006F34D9" w:rsidRDefault="00B834A2" w:rsidP="006C4184">
      <w:pPr>
        <w:spacing w:after="160" w:line="360" w:lineRule="auto"/>
        <w:jc w:val="right"/>
        <w:rPr>
          <w:b/>
          <w:sz w:val="20"/>
        </w:rPr>
      </w:pPr>
      <w:r w:rsidRPr="006F34D9">
        <w:rPr>
          <w:b/>
          <w:sz w:val="20"/>
        </w:rPr>
        <w:t>201090018-2022</w:t>
      </w:r>
    </w:p>
    <w:p w14:paraId="403295BD" w14:textId="77777777" w:rsidR="00783242" w:rsidRPr="002E52D1" w:rsidRDefault="00783242" w:rsidP="006C4184">
      <w:pPr>
        <w:spacing w:after="160" w:line="360" w:lineRule="auto"/>
        <w:jc w:val="right"/>
        <w:rPr>
          <w:b/>
        </w:rPr>
      </w:pPr>
    </w:p>
    <w:p w14:paraId="6FA742A2" w14:textId="77777777" w:rsidR="00B834A2" w:rsidRPr="00B834A2" w:rsidRDefault="00B834A2" w:rsidP="006C4184">
      <w:pPr>
        <w:tabs>
          <w:tab w:val="left" w:pos="1701"/>
        </w:tabs>
        <w:spacing w:after="160" w:line="360" w:lineRule="auto"/>
        <w:ind w:firstLine="567"/>
        <w:jc w:val="both"/>
        <w:rPr>
          <w:b/>
        </w:rPr>
      </w:pPr>
      <w:r w:rsidRPr="00B834A2">
        <w:rPr>
          <w:b/>
        </w:rPr>
        <w:t>2.1.9.18.</w:t>
      </w:r>
      <w:r w:rsidR="006C4184" w:rsidRPr="00097504">
        <w:rPr>
          <w:b/>
        </w:rPr>
        <w:tab/>
      </w:r>
      <w:r w:rsidRPr="00B834A2">
        <w:rPr>
          <w:b/>
        </w:rPr>
        <w:t xml:space="preserve">Չդոզավորված աերոզոլների, փրփուրների </w:t>
      </w:r>
      <w:r>
        <w:rPr>
          <w:b/>
        </w:rPr>
        <w:t>եւ</w:t>
      </w:r>
      <w:r w:rsidRPr="00B834A2">
        <w:rPr>
          <w:b/>
        </w:rPr>
        <w:t xml:space="preserve"> ցողաշիթերի համար փաթեթվածքի պարունակության ելքի որոշումը</w:t>
      </w:r>
    </w:p>
    <w:p w14:paraId="7EB42BEC" w14:textId="77777777" w:rsidR="00B834A2" w:rsidRPr="00B834A2" w:rsidRDefault="00B834A2" w:rsidP="006C4184">
      <w:pPr>
        <w:spacing w:after="160" w:line="360" w:lineRule="auto"/>
        <w:ind w:firstLine="567"/>
        <w:jc w:val="both"/>
      </w:pPr>
      <w:r w:rsidRPr="00B834A2">
        <w:t>Տվյալ փորձարկումը նախատեսված է աերոզոլներ, փրփուրներ կամ ցողաշիթեր հանդիսացող չդոզավորված դեղաձ</w:t>
      </w:r>
      <w:r>
        <w:t>եւ</w:t>
      </w:r>
      <w:r w:rsidRPr="00B834A2">
        <w:t>երի համար՝ դրանց կիրառման ժամանակ փաթեթվածքի պարունակության ելքի տոկոսը որոշելու նպատակով:</w:t>
      </w:r>
    </w:p>
    <w:p w14:paraId="6105EC4D" w14:textId="77777777" w:rsidR="00B834A2" w:rsidRPr="00B834A2" w:rsidRDefault="00B834A2" w:rsidP="006C4184">
      <w:pPr>
        <w:spacing w:after="160" w:line="360" w:lineRule="auto"/>
        <w:ind w:firstLine="567"/>
        <w:jc w:val="both"/>
      </w:pPr>
      <w:r w:rsidRPr="00B834A2">
        <w:t xml:space="preserve">Մասնավոր դեղագրքային հոդվածում </w:t>
      </w:r>
      <w:r>
        <w:t>եւ</w:t>
      </w:r>
      <w:r w:rsidRPr="00B834A2">
        <w:t xml:space="preserve"> (կամ) որակի վերաբերյալ նորմատիվ փաստաթղթում այլ ցուցումների բացակայության դեպքում փորձարկումն անցկացնում են առնվազն երեք նմուշների վրա, որոնք ընտրվել են «2.1.7.1. Փորձանմուշներ վերցնելը» ընդհանուր դեղագրքային հոդվածին համապատասխան:</w:t>
      </w:r>
    </w:p>
    <w:p w14:paraId="3B4731A5" w14:textId="77777777" w:rsidR="00B834A2" w:rsidRPr="00B834A2" w:rsidRDefault="00B834A2" w:rsidP="006C4184">
      <w:pPr>
        <w:spacing w:after="160" w:line="360" w:lineRule="auto"/>
        <w:ind w:firstLine="567"/>
        <w:jc w:val="both"/>
      </w:pPr>
      <w:r w:rsidRPr="00B834A2">
        <w:t>Մեթոդիկան։ Որոշում են փոշեցիրի կամ գլխադիրի հետ միասին կշռված երեք փաթեթվածքներից յուրաքանչյուրի զանգվածը՝ մինչ</w:t>
      </w:r>
      <w:r>
        <w:t>եւ</w:t>
      </w:r>
      <w:r w:rsidRPr="00B834A2">
        <w:t xml:space="preserve"> 0,01 գ (m</w:t>
      </w:r>
      <w:r w:rsidRPr="00B834A2">
        <w:rPr>
          <w:vertAlign w:val="subscript"/>
        </w:rPr>
        <w:t>1</w:t>
      </w:r>
      <w:r w:rsidRPr="00B834A2">
        <w:t xml:space="preserve">) ճշգրտությամբ: Փոշեցիրի կամ գլխադիրի վրա սեղմելով՝ փաթեթվածքից հեռացնում են ողջ պարունակությունը </w:t>
      </w:r>
      <w:r>
        <w:t>եւ</w:t>
      </w:r>
      <w:r w:rsidRPr="00B834A2">
        <w:t xml:space="preserve"> դատարկ փաթեթվածքը փոշեցիրի կամ գլխադիրի հետ միասին նորից կշռում են մինչ</w:t>
      </w:r>
      <w:r>
        <w:t>եւ</w:t>
      </w:r>
      <w:r w:rsidRPr="00B834A2">
        <w:t xml:space="preserve"> 0,01 գ (m</w:t>
      </w:r>
      <w:r w:rsidRPr="00B834A2">
        <w:rPr>
          <w:vertAlign w:val="subscript"/>
        </w:rPr>
        <w:t>2</w:t>
      </w:r>
      <w:r w:rsidRPr="00B834A2">
        <w:t>) ճշգրտությամբ:</w:t>
      </w:r>
    </w:p>
    <w:p w14:paraId="35486175" w14:textId="77777777" w:rsidR="00B834A2" w:rsidRPr="00B834A2" w:rsidRDefault="00B834A2" w:rsidP="006C4184">
      <w:pPr>
        <w:spacing w:after="160" w:line="360" w:lineRule="auto"/>
        <w:ind w:firstLine="567"/>
        <w:jc w:val="both"/>
      </w:pPr>
      <w:r w:rsidRPr="00B834A2">
        <w:t>Փաթեթվածքի՝ տոկոսներով պարունակության ելքը (X) հաշվարկում են հետ</w:t>
      </w:r>
      <w:r>
        <w:t>եւ</w:t>
      </w:r>
      <w:r w:rsidRPr="00B834A2">
        <w:t>յալ բանաձ</w:t>
      </w:r>
      <w:r>
        <w:t>եւ</w:t>
      </w:r>
      <w:r w:rsidRPr="00B834A2">
        <w:t>ով.</w:t>
      </w:r>
    </w:p>
    <w:p w14:paraId="34CF892A" w14:textId="77777777" w:rsidR="00B834A2" w:rsidRPr="00B834A2" w:rsidRDefault="00B834A2" w:rsidP="00B834A2">
      <w:pPr>
        <w:spacing w:after="160" w:line="360" w:lineRule="auto"/>
        <w:jc w:val="both"/>
      </w:pPr>
      <m:oMathPara>
        <m:oMath>
          <m:r>
            <w:rPr>
              <w:rFonts w:ascii="Cambria Math" w:hAnsi="Cambria Math"/>
            </w:rPr>
            <m:t>X</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3</m:t>
                  </m:r>
                </m:sub>
              </m:sSub>
            </m:den>
          </m:f>
          <m:r>
            <m:rPr>
              <m:sty m:val="p"/>
            </m:rPr>
            <w:rPr>
              <w:rFonts w:ascii="Cambria Math" w:hAnsi="Cambria Math"/>
            </w:rPr>
            <m:t>∙100,</m:t>
          </m:r>
        </m:oMath>
      </m:oMathPara>
    </w:p>
    <w:p w14:paraId="18CDEAEC" w14:textId="77777777" w:rsidR="00B834A2" w:rsidRPr="00B834A2" w:rsidRDefault="00B834A2" w:rsidP="006C4184">
      <w:pPr>
        <w:spacing w:after="160" w:line="360" w:lineRule="auto"/>
        <w:ind w:firstLine="567"/>
        <w:jc w:val="both"/>
      </w:pPr>
      <w:r w:rsidRPr="00B834A2">
        <w:t xml:space="preserve">որտեղ՝ </w:t>
      </w:r>
    </w:p>
    <w:p w14:paraId="2EBA3155" w14:textId="77777777" w:rsidR="00B834A2" w:rsidRPr="00097504" w:rsidRDefault="00B834A2" w:rsidP="006C4184">
      <w:pPr>
        <w:spacing w:after="160" w:line="360" w:lineRule="auto"/>
        <w:ind w:firstLine="567"/>
        <w:jc w:val="both"/>
      </w:pPr>
      <w:r w:rsidRPr="00927269">
        <w:rPr>
          <w:i/>
        </w:rPr>
        <w:t>m</w:t>
      </w:r>
      <w:r w:rsidRPr="00927269">
        <w:rPr>
          <w:i/>
          <w:vertAlign w:val="subscript"/>
        </w:rPr>
        <w:t>1</w:t>
      </w:r>
      <w:r w:rsidRPr="00B834A2">
        <w:t>-ը փոշեցիրի կամ գլխադիրի հետ միասին</w:t>
      </w:r>
      <w:r>
        <w:t xml:space="preserve"> </w:t>
      </w:r>
      <w:r w:rsidRPr="00B834A2">
        <w:t>փաթեթվածքի զանգվածն է, գ.</w:t>
      </w:r>
    </w:p>
    <w:p w14:paraId="38035C4D" w14:textId="77777777" w:rsidR="00B834A2" w:rsidRPr="00B834A2" w:rsidRDefault="00B834A2" w:rsidP="006C4184">
      <w:pPr>
        <w:spacing w:after="160" w:line="360" w:lineRule="auto"/>
        <w:ind w:firstLine="567"/>
        <w:jc w:val="both"/>
      </w:pPr>
      <w:r w:rsidRPr="00927269">
        <w:rPr>
          <w:i/>
        </w:rPr>
        <w:t>m</w:t>
      </w:r>
      <w:r w:rsidRPr="00927269">
        <w:rPr>
          <w:i/>
          <w:vertAlign w:val="subscript"/>
        </w:rPr>
        <w:t>2</w:t>
      </w:r>
      <w:r w:rsidRPr="00B834A2">
        <w:t>-ը փոշեցիրի կամ գլխադիրի հետ միասին դատարկ փաթեթվածքի զանգվածն է, գ.</w:t>
      </w:r>
    </w:p>
    <w:p w14:paraId="73F8C851" w14:textId="77777777" w:rsidR="00B834A2" w:rsidRPr="00B834A2" w:rsidRDefault="00B834A2" w:rsidP="006C4184">
      <w:pPr>
        <w:spacing w:after="160" w:line="360" w:lineRule="auto"/>
        <w:ind w:firstLine="567"/>
        <w:jc w:val="both"/>
      </w:pPr>
      <w:r w:rsidRPr="00927269">
        <w:rPr>
          <w:i/>
        </w:rPr>
        <w:lastRenderedPageBreak/>
        <w:t>m</w:t>
      </w:r>
      <w:r w:rsidRPr="00927269">
        <w:rPr>
          <w:i/>
          <w:vertAlign w:val="subscript"/>
        </w:rPr>
        <w:t>3</w:t>
      </w:r>
      <w:r w:rsidRPr="00B834A2">
        <w:t>-ը դեղապատրաստուկի պարունակության՝ պիտակի վրա նշված (կամ դեղապատրաստուկի նոմինալ ծավալը դրա խտությամբ բազմապատկելու եղանակով ստացված) զանգվածն է, գ:</w:t>
      </w:r>
    </w:p>
    <w:p w14:paraId="2A29BD2B" w14:textId="77777777" w:rsidR="00B834A2" w:rsidRPr="00B834A2" w:rsidRDefault="00B834A2" w:rsidP="006C4184">
      <w:pPr>
        <w:spacing w:after="160" w:line="360" w:lineRule="auto"/>
        <w:ind w:firstLine="567"/>
        <w:jc w:val="both"/>
      </w:pPr>
      <w:r w:rsidRPr="00B834A2">
        <w:t xml:space="preserve">Մասնավոր դեղագրքային հոդվածում </w:t>
      </w:r>
      <w:r>
        <w:t>եւ</w:t>
      </w:r>
      <w:r w:rsidRPr="00B834A2">
        <w:t xml:space="preserve"> (կամ) որակի վերաբերյալ նորմատիվ փաստաթղթում այլ ցուցումների բացակայության դեպքում դեղապատրաստուկը համարում են փորձարկումն անցած, եթե երեք փաթեթվածքներից յուրաքանչյուրի պարունակության ելքը (X) կազմում է դեղապատրաստուկի պարունակության՝ պիտակի վրա նշված զանգվածի առնվազն 90 %-ը:</w:t>
      </w:r>
    </w:p>
    <w:p w14:paraId="1E4AEA46" w14:textId="77777777" w:rsidR="006035D0" w:rsidRPr="00903268" w:rsidRDefault="006035D0" w:rsidP="006C4184">
      <w:pPr>
        <w:spacing w:after="160" w:line="360" w:lineRule="auto"/>
        <w:ind w:firstLine="567"/>
        <w:jc w:val="right"/>
        <w:rPr>
          <w:b/>
          <w:sz w:val="20"/>
        </w:rPr>
      </w:pPr>
    </w:p>
    <w:p w14:paraId="3B0A3621" w14:textId="77777777" w:rsidR="00B834A2" w:rsidRPr="00A859E3" w:rsidRDefault="00B834A2" w:rsidP="006C4184">
      <w:pPr>
        <w:spacing w:after="160" w:line="360" w:lineRule="auto"/>
        <w:ind w:firstLine="567"/>
        <w:jc w:val="right"/>
        <w:rPr>
          <w:b/>
          <w:sz w:val="20"/>
        </w:rPr>
      </w:pPr>
      <w:r w:rsidRPr="00927269">
        <w:rPr>
          <w:b/>
          <w:sz w:val="20"/>
        </w:rPr>
        <w:t>201090019-2022</w:t>
      </w:r>
    </w:p>
    <w:p w14:paraId="11CB5A65" w14:textId="77777777" w:rsidR="00927269" w:rsidRPr="00A859E3" w:rsidRDefault="00927269" w:rsidP="006C4184">
      <w:pPr>
        <w:spacing w:after="160" w:line="360" w:lineRule="auto"/>
        <w:ind w:firstLine="567"/>
        <w:jc w:val="right"/>
        <w:rPr>
          <w:b/>
          <w:sz w:val="20"/>
        </w:rPr>
      </w:pPr>
    </w:p>
    <w:p w14:paraId="41579654" w14:textId="77777777" w:rsidR="00B834A2" w:rsidRPr="00B834A2" w:rsidRDefault="00B834A2" w:rsidP="006C4184">
      <w:pPr>
        <w:tabs>
          <w:tab w:val="left" w:pos="1701"/>
        </w:tabs>
        <w:spacing w:after="160" w:line="360" w:lineRule="auto"/>
        <w:ind w:firstLine="567"/>
        <w:jc w:val="both"/>
        <w:rPr>
          <w:b/>
        </w:rPr>
      </w:pPr>
      <w:r w:rsidRPr="00B834A2">
        <w:rPr>
          <w:b/>
        </w:rPr>
        <w:t>2.1.9.19.</w:t>
      </w:r>
      <w:r w:rsidR="006C4184" w:rsidRPr="00097504">
        <w:rPr>
          <w:b/>
        </w:rPr>
        <w:tab/>
      </w:r>
      <w:r w:rsidRPr="00B834A2">
        <w:rPr>
          <w:b/>
        </w:rPr>
        <w:t>Փաթեթվածքի հերմետիկության որոշումը</w:t>
      </w:r>
    </w:p>
    <w:p w14:paraId="582EF2D9" w14:textId="77777777" w:rsidR="00B834A2" w:rsidRPr="00B834A2" w:rsidRDefault="00B834A2" w:rsidP="006C4184">
      <w:pPr>
        <w:spacing w:after="160" w:line="360" w:lineRule="auto"/>
        <w:ind w:firstLine="567"/>
        <w:jc w:val="both"/>
      </w:pPr>
      <w:r w:rsidRPr="00B834A2">
        <w:t>Սույն ընդհանուր դեղագրքային հոդվածը սահմանում է դեղամիջոցների փաթեթվածքի հերմետիկությունը որոշելուն ներկայացվող ընդհանուր պահանջները:</w:t>
      </w:r>
    </w:p>
    <w:p w14:paraId="1C2762F9" w14:textId="77777777" w:rsidR="00B834A2" w:rsidRPr="00B834A2" w:rsidRDefault="00B834A2" w:rsidP="006C4184">
      <w:pPr>
        <w:spacing w:after="160" w:line="360" w:lineRule="auto"/>
        <w:ind w:firstLine="567"/>
        <w:jc w:val="both"/>
      </w:pPr>
      <w:r w:rsidRPr="00B834A2">
        <w:t>Սույն ընդհանուր դեղագրքային հոդվածի պահանջները չեն տարածվում առանց դեղամիջոցի փաթեթվածքի, այսինքն՝ առանց պարունակության փաթեթվածքի հերմետիկությունը որոշելու վրա:</w:t>
      </w:r>
    </w:p>
    <w:p w14:paraId="2E0CB2C4" w14:textId="77777777" w:rsidR="00B834A2" w:rsidRPr="00B834A2" w:rsidRDefault="00B834A2" w:rsidP="006C4184">
      <w:pPr>
        <w:spacing w:after="160" w:line="360" w:lineRule="auto"/>
        <w:ind w:firstLine="567"/>
        <w:jc w:val="both"/>
      </w:pPr>
      <w:r w:rsidRPr="00B834A2">
        <w:t xml:space="preserve">Դեղամիջոցների համար նախատեսված փաթեթվածքի հերմետիկության տակ պետք է հասկանալ պահպանման, փոխադրման </w:t>
      </w:r>
      <w:r>
        <w:t>եւ</w:t>
      </w:r>
      <w:r w:rsidRPr="00B834A2">
        <w:t xml:space="preserve"> իրացման սովորական պայմանների դեպքում դրա՝ փաթեթվածքի պարունակության մեջ գազերի, գոլորշիների </w:t>
      </w:r>
      <w:r>
        <w:t>եւ</w:t>
      </w:r>
      <w:r w:rsidRPr="00B834A2">
        <w:t xml:space="preserve"> (կամ) հեղուկների ներթափանցումը </w:t>
      </w:r>
      <w:r>
        <w:t>եւ</w:t>
      </w:r>
      <w:r w:rsidRPr="00B834A2">
        <w:t xml:space="preserve"> դրանից ելքը խցանափակման միջոցների </w:t>
      </w:r>
      <w:r>
        <w:t>եւ</w:t>
      </w:r>
      <w:r w:rsidRPr="00B834A2">
        <w:t xml:space="preserve"> փաթեթավորման համակարգի այլ տարրերի հետ միասին կանխելու ունակությունը:</w:t>
      </w:r>
    </w:p>
    <w:p w14:paraId="3832C78B" w14:textId="77777777" w:rsidR="00B834A2" w:rsidRPr="00B834A2" w:rsidRDefault="00B834A2" w:rsidP="00945178">
      <w:pPr>
        <w:spacing w:after="160" w:line="336" w:lineRule="auto"/>
        <w:ind w:firstLine="567"/>
        <w:jc w:val="both"/>
      </w:pPr>
      <w:r w:rsidRPr="00B834A2">
        <w:t xml:space="preserve">Փաթեթվածքի հերմետիկության փորձարկումը թույլ է տալիս որոշել փաթեթվածքի պատռվածքի, դրա տարրերի ոչ կիպ հպման առկայությունը: </w:t>
      </w:r>
      <w:r w:rsidRPr="00B834A2">
        <w:lastRenderedPageBreak/>
        <w:t>Արտահոսքը նյութի (պինդ, հեղուկ կամ գազանման) պատահական ներթափանցումը կամ ելքն է փաթեթվածքի մեջ եղած անցքի կամ փաթեթվածքի տարրերի միջ</w:t>
      </w:r>
      <w:r>
        <w:t>եւ</w:t>
      </w:r>
      <w:r w:rsidRPr="00B834A2">
        <w:t xml:space="preserve"> եղած բացակի միջով՝ ի տարբերություն «փաթեթվածքի թափանցելիություն» հասկացության, որը ենթադրում է փաթեթվածքի ոչ ծակոտկեն կողապատի միջով կամ հենց փաթեթվածքի մեջ գազի, հեղուկի հոսքն այն դեպքում, երբ մոլեկուլների ոչ մեծ մի մաս ունակ է անցնելու պատնեշի միջով:</w:t>
      </w:r>
    </w:p>
    <w:p w14:paraId="0F1DFE22" w14:textId="77777777" w:rsidR="00B834A2" w:rsidRPr="00B834A2" w:rsidRDefault="00B834A2" w:rsidP="00945178">
      <w:pPr>
        <w:spacing w:after="160" w:line="336" w:lineRule="auto"/>
        <w:ind w:firstLine="567"/>
        <w:jc w:val="both"/>
      </w:pPr>
      <w:r w:rsidRPr="00B834A2">
        <w:t>Դեղամիջոցների փաթեթվածքի հերմետիկությունը կարող է որոշվել՝</w:t>
      </w:r>
    </w:p>
    <w:p w14:paraId="0CAB21A4" w14:textId="77777777" w:rsidR="00B834A2" w:rsidRPr="004A7CC9" w:rsidRDefault="00B834A2" w:rsidP="00945178">
      <w:pPr>
        <w:tabs>
          <w:tab w:val="left" w:pos="1134"/>
        </w:tabs>
        <w:spacing w:after="160" w:line="336" w:lineRule="auto"/>
        <w:ind w:firstLine="567"/>
        <w:jc w:val="both"/>
      </w:pPr>
      <w:r w:rsidRPr="00B834A2">
        <w:t>-</w:t>
      </w:r>
      <w:r w:rsidR="006C4184" w:rsidRPr="006C4184">
        <w:tab/>
      </w:r>
      <w:r w:rsidRPr="00B834A2">
        <w:t xml:space="preserve">դեղամիջոցների արտադրության տեխնոլոգիական գործընթացի դեպքում՝ լցնելուց </w:t>
      </w:r>
      <w:r>
        <w:t>եւ</w:t>
      </w:r>
      <w:r w:rsidRPr="00B834A2">
        <w:t xml:space="preserve"> խցանափակելուց հետո,</w:t>
      </w:r>
    </w:p>
    <w:p w14:paraId="1C364867" w14:textId="77777777" w:rsidR="00B834A2" w:rsidRPr="00B834A2" w:rsidRDefault="00B834A2" w:rsidP="00945178">
      <w:pPr>
        <w:tabs>
          <w:tab w:val="left" w:pos="1134"/>
        </w:tabs>
        <w:spacing w:after="160" w:line="336" w:lineRule="auto"/>
        <w:ind w:firstLine="567"/>
        <w:jc w:val="both"/>
      </w:pPr>
      <w:r w:rsidRPr="00B834A2">
        <w:t>-</w:t>
      </w:r>
      <w:r w:rsidR="006C4184" w:rsidRPr="006C4184">
        <w:tab/>
      </w:r>
      <w:r w:rsidRPr="00B834A2">
        <w:t xml:space="preserve">պատրաստի դեղապատրաստուկի փորձարկման </w:t>
      </w:r>
      <w:r>
        <w:t>եւ</w:t>
      </w:r>
      <w:r w:rsidRPr="00B834A2">
        <w:t xml:space="preserve"> մասնավոր դեղագրքային հոդվածի </w:t>
      </w:r>
      <w:r>
        <w:t>եւ</w:t>
      </w:r>
      <w:r w:rsidRPr="00B834A2">
        <w:t xml:space="preserve"> (կամ) որակի վերաբերյալ նորմատիվ փաստաթղթի պահանջներին դրա համապատասխանության հաստատման ընթացքում:</w:t>
      </w:r>
    </w:p>
    <w:p w14:paraId="69845741" w14:textId="77777777" w:rsidR="00B834A2" w:rsidRPr="00B834A2" w:rsidRDefault="00B834A2" w:rsidP="00945178">
      <w:pPr>
        <w:spacing w:after="160" w:line="336" w:lineRule="auto"/>
        <w:ind w:firstLine="567"/>
        <w:jc w:val="both"/>
      </w:pPr>
      <w:r w:rsidRPr="00B834A2">
        <w:t>Դեղամիջոցների փաթեթվածքի հերմետիկության փորձարկման մեթոդի ընտրությունը, ինչպես նա</w:t>
      </w:r>
      <w:r>
        <w:t>եւ</w:t>
      </w:r>
      <w:r w:rsidRPr="00B834A2">
        <w:t xml:space="preserve"> հերմետիկությունը գնահատելու դեպքում ընդունելիության կիրառվող չափորոշիչները պայմանավորված են առաջնային փաթեթվածքի տիպով, տեսակով </w:t>
      </w:r>
      <w:r>
        <w:t>եւ</w:t>
      </w:r>
      <w:r w:rsidRPr="00B834A2">
        <w:t xml:space="preserve"> այլ բնութագրերով, դեղապատրաստուկի դեղաձ</w:t>
      </w:r>
      <w:r>
        <w:t>եւ</w:t>
      </w:r>
      <w:r w:rsidRPr="00B834A2">
        <w:t xml:space="preserve">ով, որի համար նախատեսված է փաթեթվածքը, </w:t>
      </w:r>
      <w:r>
        <w:t>եւ</w:t>
      </w:r>
      <w:r w:rsidRPr="00B834A2">
        <w:t xml:space="preserve"> այլ գործոններով:</w:t>
      </w:r>
    </w:p>
    <w:p w14:paraId="15144F87" w14:textId="77777777" w:rsidR="00B834A2" w:rsidRPr="00B834A2" w:rsidRDefault="00B834A2" w:rsidP="00945178">
      <w:pPr>
        <w:spacing w:after="160" w:line="336" w:lineRule="auto"/>
        <w:ind w:firstLine="567"/>
        <w:jc w:val="both"/>
      </w:pPr>
      <w:r w:rsidRPr="00B834A2">
        <w:t>Հերմետիկությունը որոշում են վալիդացված այնպիսի մեթոդների, համապատասխան սարքավորումների օգտագործմամբ, որոնք թույլ են տալիս գնահատել փաթեթվածքի հերմետիկությունը, այդ թվում՝ ավտոմատ ռեժիմով:</w:t>
      </w:r>
    </w:p>
    <w:p w14:paraId="473BABA2" w14:textId="77777777" w:rsidR="00B834A2" w:rsidRPr="00B834A2" w:rsidRDefault="00B834A2" w:rsidP="00945178">
      <w:pPr>
        <w:spacing w:after="160" w:line="336" w:lineRule="auto"/>
        <w:jc w:val="both"/>
      </w:pPr>
    </w:p>
    <w:p w14:paraId="57344B87" w14:textId="77777777" w:rsidR="00B834A2" w:rsidRPr="006B7DC5" w:rsidRDefault="00B834A2" w:rsidP="00945178">
      <w:pPr>
        <w:spacing w:after="160" w:line="336" w:lineRule="auto"/>
        <w:ind w:firstLine="567"/>
        <w:jc w:val="both"/>
        <w:rPr>
          <w:b/>
        </w:rPr>
      </w:pPr>
      <w:r w:rsidRPr="00B834A2">
        <w:rPr>
          <w:b/>
        </w:rPr>
        <w:t>ՓԱԹԵԹՎԱԾՔԻ ՀԵՐՄԵՏԻԿՈՒԹՅՈՒՆԸ ՆԵՐՔԻՆ ՃՆՇՄԱՆ (ՎԱԿՈՒՈՒՄԱՑՄԱՆ) ՄԵԹՈԴՈՎ ՈՐՈՇԵԼԸ</w:t>
      </w:r>
    </w:p>
    <w:p w14:paraId="0C42668B" w14:textId="77777777" w:rsidR="00B834A2" w:rsidRPr="00B834A2" w:rsidRDefault="00B834A2" w:rsidP="006C4184">
      <w:pPr>
        <w:spacing w:after="160" w:line="360" w:lineRule="auto"/>
        <w:ind w:firstLine="567"/>
        <w:jc w:val="both"/>
      </w:pPr>
      <w:r w:rsidRPr="00B834A2">
        <w:t>Մեթոդը կիրառում են, որպես կանոն, զոդված սրվակիկներում, հերմետիկ փակ սրվակներում, շշերում, բանկաներում լցված հեղուկ դեղաձ</w:t>
      </w:r>
      <w:r>
        <w:t>եւ</w:t>
      </w:r>
      <w:r w:rsidRPr="00B834A2">
        <w:t xml:space="preserve">եր հանդիսացող դեղապատրաստուկների փաթեթվածքի հերմետիկությունը որոշելու համար, դեղամիջոցների արտադրության տեխնոլոգիական գործընթացի դեպքում՝ փաթեթվածքը լցնելուց </w:t>
      </w:r>
      <w:r>
        <w:t>եւ</w:t>
      </w:r>
      <w:r w:rsidRPr="00B834A2">
        <w:t xml:space="preserve"> խցանափակելուց կամ զոդելուց հետո:</w:t>
      </w:r>
    </w:p>
    <w:p w14:paraId="6A649692" w14:textId="77777777" w:rsidR="00B834A2" w:rsidRPr="00B834A2" w:rsidRDefault="00B834A2" w:rsidP="006C4184">
      <w:pPr>
        <w:spacing w:after="160" w:line="360" w:lineRule="auto"/>
        <w:ind w:firstLine="567"/>
        <w:jc w:val="both"/>
      </w:pPr>
      <w:r w:rsidRPr="00B834A2">
        <w:lastRenderedPageBreak/>
        <w:t xml:space="preserve">Մեթոդը հիմնված է փորձարկվող նմուշի հերմետիկ փակված կամ հերմետիկ զոդված փաթեթվածքի ներսում ավելցուկային ճնշում ստեղծելու </w:t>
      </w:r>
      <w:r>
        <w:t>եւ</w:t>
      </w:r>
      <w:r w:rsidRPr="00B834A2">
        <w:t xml:space="preserve"> փաթեթվածքի հերմետիկությունը տեսողական զննման կամ համապատասխան սարքավորումների միջոցով հետագայում որոշելու վրա:</w:t>
      </w:r>
    </w:p>
    <w:p w14:paraId="2FF14218" w14:textId="77777777" w:rsidR="00B834A2" w:rsidRPr="00B834A2" w:rsidRDefault="00B834A2" w:rsidP="006C4184">
      <w:pPr>
        <w:spacing w:after="160" w:line="360" w:lineRule="auto"/>
        <w:ind w:firstLine="567"/>
        <w:jc w:val="both"/>
      </w:pPr>
      <w:r w:rsidRPr="00927269">
        <w:rPr>
          <w:i/>
        </w:rPr>
        <w:t>Ս</w:t>
      </w:r>
      <w:r w:rsidRPr="00B834A2">
        <w:rPr>
          <w:i/>
        </w:rPr>
        <w:t>րվակիկների հերմետիկության որոշումը (սրվակիկների զոդվածքի որակի որոշումը):</w:t>
      </w:r>
      <w:r w:rsidRPr="00B834A2">
        <w:t xml:space="preserve"> Զոդված սրվակիկների մեջ դեղապատրաստուկները դնում են կասետներում՝ սրվակիկների մազանոթները դեպի ներք</w:t>
      </w:r>
      <w:r>
        <w:t>եւ</w:t>
      </w:r>
      <w:r w:rsidRPr="00B834A2">
        <w:t>, կասետները դնում են վակուումային խցիկի, էքսիկատորի կամ օգտագործվող սարքավորումների համապատասխան տարայի մեջ: Վակուումային խցիկի ներսում ստեղծում են անհրաժեշտ նոսրացում՝ պոմպահանելով օդը, ընդ որում, սրվակիկների ներսում ավելցուկային ճնշում է ստեղծվում: Եթե տեղի է ունենում սրվակիկներից հեղուկի մասնակի կամ ամբողջական արտահոսք, սրվակիկների փաթեթվածքը համարվում է ոչ հերմետիկ:</w:t>
      </w:r>
    </w:p>
    <w:p w14:paraId="55817181" w14:textId="77777777" w:rsidR="00B834A2" w:rsidRPr="00B834A2" w:rsidRDefault="00B834A2" w:rsidP="006C4184">
      <w:pPr>
        <w:spacing w:after="160" w:line="360" w:lineRule="auto"/>
        <w:ind w:firstLine="567"/>
        <w:jc w:val="both"/>
      </w:pPr>
      <w:r w:rsidRPr="00B834A2">
        <w:t>Սրվակների, շշերի, բանկաների հերմետիկության որոշումը: Հեղուկ դեղաձ</w:t>
      </w:r>
      <w:r>
        <w:t>եւ</w:t>
      </w:r>
      <w:r w:rsidRPr="00B834A2">
        <w:t>երի տեսքով դեղապատրաստուկներով, հերմետիկ խցանափակված փաթեթվածքներ հանդիսացող փորձարկվող նմուշները վակուումային խցիկի, էքսիկատորի կամ օգտագործվող սարքավորումների համապատասխան տարայի մեջ են դնում բերանով ներք</w:t>
      </w:r>
      <w:r>
        <w:t>եւ</w:t>
      </w:r>
      <w:r w:rsidRPr="00B834A2">
        <w:t xml:space="preserve">: Վակուումային պոմպի օգնությամբ հասնում են վակուումային խցիկի մեջ տրված նոսրացմանը, ինչից հետո կանգնեցնում են վակուումային պոմպը </w:t>
      </w:r>
      <w:r>
        <w:t>եւ</w:t>
      </w:r>
      <w:r w:rsidRPr="00B834A2">
        <w:t xml:space="preserve"> վակուումը նվազեցնում են մինչ</w:t>
      </w:r>
      <w:r>
        <w:t>եւ</w:t>
      </w:r>
      <w:r w:rsidRPr="00B834A2">
        <w:t xml:space="preserve"> մթնոլորտային ճնշումը:</w:t>
      </w:r>
    </w:p>
    <w:p w14:paraId="61EC3315" w14:textId="77777777" w:rsidR="00B834A2" w:rsidRPr="006B7DC5" w:rsidRDefault="00B834A2" w:rsidP="006C4184">
      <w:pPr>
        <w:spacing w:after="160" w:line="360" w:lineRule="auto"/>
        <w:ind w:firstLine="567"/>
        <w:jc w:val="both"/>
      </w:pPr>
      <w:r w:rsidRPr="00B834A2">
        <w:t xml:space="preserve">Փորձարկվող նմուշները հանում են վակուումային խցիկից եւ կատարում են տեսողական գնահատում ու (կամ) ներծծող անձեռոցիկի օգնությամբ գնահատում: Խցանափակման տեղում այնպիսի արտահոսք հայտնաբերելու դեպքում, որը հայտնաբերվում է անձեռոցիկի վրա դեղամիջոցի կաթիլների </w:t>
      </w:r>
      <w:r>
        <w:t>եւ</w:t>
      </w:r>
      <w:r w:rsidRPr="00B834A2">
        <w:t xml:space="preserve"> (կամ) հետքերի առկայությամբ, սրվակներ, շշեր կամ բանկաներ հանդիսացող փաթեթվածքի այդ նմուշները համարվում են ոչ հերմետիկ:</w:t>
      </w:r>
    </w:p>
    <w:p w14:paraId="3D70A8EF" w14:textId="77777777" w:rsidR="00063A76" w:rsidRPr="006B7DC5" w:rsidRDefault="00063A76" w:rsidP="006C4184">
      <w:pPr>
        <w:spacing w:after="160" w:line="360" w:lineRule="auto"/>
        <w:ind w:firstLine="567"/>
        <w:jc w:val="both"/>
      </w:pPr>
    </w:p>
    <w:p w14:paraId="260DBFC7" w14:textId="77777777" w:rsidR="00B834A2" w:rsidRPr="006B7DC5" w:rsidRDefault="00B834A2" w:rsidP="006C4184">
      <w:pPr>
        <w:spacing w:after="160" w:line="360" w:lineRule="auto"/>
        <w:ind w:firstLine="567"/>
        <w:jc w:val="both"/>
        <w:rPr>
          <w:b/>
        </w:rPr>
      </w:pPr>
      <w:r w:rsidRPr="00B834A2">
        <w:rPr>
          <w:b/>
        </w:rPr>
        <w:lastRenderedPageBreak/>
        <w:t>ՓԱԹԵԹՎԱԾՔԻ ՀԵՐՄԵՏԻԿՈՒԹՅՈՒՆՆ ԻՆԴԻԿԱՏՈՐԱՅԻՆ (ՆԵՐԿՈՂ) ԼՈՒԾՈՒՅԹԻ ՕԳՆՈՒԹՅԱՄԲ ՈՐՈՇԵԼԸ</w:t>
      </w:r>
    </w:p>
    <w:p w14:paraId="7882FECB" w14:textId="77777777" w:rsidR="00B834A2" w:rsidRPr="00B834A2" w:rsidRDefault="00B834A2" w:rsidP="006C4184">
      <w:pPr>
        <w:spacing w:after="160" w:line="360" w:lineRule="auto"/>
        <w:ind w:firstLine="567"/>
        <w:jc w:val="both"/>
      </w:pPr>
      <w:r w:rsidRPr="00B834A2">
        <w:t>Տվյալ մեթոդի դեպքում փաթեթվածքի հերմետիկությունը որոշում են այն փաթեթվածքի ներսում ներկանյութի բացակայությամբ, որը ենթարկվել է մթնոլորտային ճնշման հետ համեմատած՝ ավելի շատ ճնշման կամ վակուումի ազդեցության:</w:t>
      </w:r>
    </w:p>
    <w:p w14:paraId="5475B937" w14:textId="77777777" w:rsidR="00B834A2" w:rsidRPr="00B834A2" w:rsidRDefault="00B834A2" w:rsidP="006C4184">
      <w:pPr>
        <w:spacing w:after="160" w:line="360" w:lineRule="auto"/>
        <w:ind w:firstLine="567"/>
        <w:jc w:val="both"/>
      </w:pPr>
      <w:r w:rsidRPr="00B834A2">
        <w:rPr>
          <w:i/>
        </w:rPr>
        <w:t xml:space="preserve">Մթնոլորտային ճնշման տակ լցվելուց հետո հերմետիկացված սրվակիկների </w:t>
      </w:r>
      <w:r>
        <w:rPr>
          <w:i/>
        </w:rPr>
        <w:t>եւ</w:t>
      </w:r>
      <w:r w:rsidRPr="00B834A2">
        <w:rPr>
          <w:i/>
        </w:rPr>
        <w:t xml:space="preserve"> սրվակների հերմետիկության որոշումը:</w:t>
      </w:r>
      <w:r w:rsidRPr="00B834A2">
        <w:t xml:space="preserve"> Սրվակիկներում </w:t>
      </w:r>
      <w:r>
        <w:t>եւ</w:t>
      </w:r>
      <w:r w:rsidRPr="00B834A2">
        <w:t xml:space="preserve"> (կամ) սրվակներում դեղապատրաստուկները դնում են կասետների մեջ, որոնք ընկղմում են ցանկացած ջրալուծելի ներկանյութով գունավորված ջրով, օրինակ՝ Р մեթիլենային կապույտի 0,0005 % (մ/ծավ) լուծույթով լցված տարայի մեջ: Կասետներն ընկղմում են այնպես, որ սրվակիկները </w:t>
      </w:r>
      <w:r>
        <w:t>եւ</w:t>
      </w:r>
      <w:r w:rsidRPr="00B834A2">
        <w:t xml:space="preserve"> (կամ) սրվակներն ամբողջությամբ գտնվեն ջրի մեջ: Տարան հերմետիկ փակում են </w:t>
      </w:r>
      <w:r>
        <w:t>եւ</w:t>
      </w:r>
      <w:r w:rsidRPr="00B834A2">
        <w:t xml:space="preserve"> դրա ներսում ստեղծում են մթնոլորտային ճնշման հետ համեմատած ավելի շատ՝ (100±20) կՊա ճնշում, որը պահում են 20-25 րոպե, ինչից հետո տարայի ներսում սահմանում են մթնոլորտային ճնշմանը հավասար ճնշում: Ճնշումը թուլացնելուց հետո սրվակիկներով </w:t>
      </w:r>
      <w:r>
        <w:t>եւ</w:t>
      </w:r>
      <w:r w:rsidRPr="00B834A2">
        <w:t xml:space="preserve"> (կամ) սրվակներով կասետը հանում են </w:t>
      </w:r>
      <w:r>
        <w:t>եւ</w:t>
      </w:r>
      <w:r w:rsidRPr="00B834A2">
        <w:t xml:space="preserve"> ստուգում փաթեթվածքի թերությունների միջով սրվակիկներ </w:t>
      </w:r>
      <w:r>
        <w:t>եւ</w:t>
      </w:r>
      <w:r w:rsidRPr="00B834A2">
        <w:t xml:space="preserve"> (կամ) սրվակներ ներթափանցած ներկանյութի առկայությունը: Ներկանյութ պարունակող սրվակիկները </w:t>
      </w:r>
      <w:r>
        <w:t>եւ</w:t>
      </w:r>
      <w:r w:rsidRPr="00B834A2">
        <w:t xml:space="preserve"> (կամ) սրվակները համարվում են ոչ հերմետիկ:</w:t>
      </w:r>
    </w:p>
    <w:p w14:paraId="434F5C68" w14:textId="77777777" w:rsidR="00B834A2" w:rsidRPr="00B834A2" w:rsidRDefault="00B834A2" w:rsidP="006C4184">
      <w:pPr>
        <w:spacing w:after="160" w:line="346" w:lineRule="auto"/>
        <w:ind w:firstLine="567"/>
        <w:jc w:val="both"/>
      </w:pPr>
      <w:r w:rsidRPr="00927269">
        <w:rPr>
          <w:i/>
        </w:rPr>
        <w:t>Անբջիջ փաթեթվածքների (ստրիպների), բջջային փաթեթվածքների (բլիստերների), փաթեթների, փաթեթիկների (սաշեների) հերմետիկության որոշումը:</w:t>
      </w:r>
      <w:r w:rsidRPr="00B834A2">
        <w:t xml:space="preserve"> Անբջիջ փաթեթվածքներ (ստրիպներ), բջջային փաթեթվածքներ (բլիստերներ), փաթեթներ կամ փաթեթիկներ (սաշեներ) հանդիսացող, հերմետիկ խցանափակված փաթեթվածքներում դեղապատրաստուկների նմուշներն ընկղմում են էքսիկատորի (կամ օգտագործվող սարքավորումների համապատասխան տարայի) մեջ, որը լցված է ցանկացած ջրալուծելի ներկանյութով գունավորված ջրով, օրինակ՝ Р մեթիլենային կապույտի 0,0005 % (մ/ծավ.) լուծույթով: Փաթեթվածքները պետք է ամբողջությամբ ընկղմվեն ջրի մեջ, անհրաժեշտության դեպքում դրանք վեր</w:t>
      </w:r>
      <w:r>
        <w:t>եւ</w:t>
      </w:r>
      <w:r w:rsidRPr="00B834A2">
        <w:t xml:space="preserve">ից ծածկում են անցքեր ունեցող պահող </w:t>
      </w:r>
      <w:r w:rsidRPr="00B834A2">
        <w:lastRenderedPageBreak/>
        <w:t xml:space="preserve">թիթեղով: Փորձարկման խցիկի (էքսիկատորի) ներսում ստեղծում են 40-60 կՊա ճնշում, ինչից հետո կանգնեցնում են վակուումային պոմպը </w:t>
      </w:r>
      <w:r>
        <w:t>եւ</w:t>
      </w:r>
      <w:r w:rsidRPr="00B834A2">
        <w:t xml:space="preserve"> ճնշումը նվազեցնում են մինչ</w:t>
      </w:r>
      <w:r>
        <w:t>եւ</w:t>
      </w:r>
      <w:r w:rsidRPr="00B834A2">
        <w:t xml:space="preserve"> մթնոլորտային ճնշումը: Մթնոլորտային ճնշման տակ պահում են 30 րոպե:</w:t>
      </w:r>
    </w:p>
    <w:p w14:paraId="5698CB0F" w14:textId="77777777" w:rsidR="00B834A2" w:rsidRPr="00B834A2" w:rsidRDefault="00B834A2" w:rsidP="006C4184">
      <w:pPr>
        <w:spacing w:after="160" w:line="346" w:lineRule="auto"/>
        <w:ind w:firstLine="567"/>
        <w:jc w:val="both"/>
      </w:pPr>
      <w:r w:rsidRPr="00B834A2">
        <w:t xml:space="preserve">Նմուշները հանում են էքսիկատորից, լվանում են ջրով </w:t>
      </w:r>
      <w:r>
        <w:t>եւ</w:t>
      </w:r>
      <w:r w:rsidRPr="00B834A2">
        <w:t xml:space="preserve"> տեսողական գնահատում կատարում: Նմուշի ներսում ներկանյութ հայտնաբերելու դեպքում փաթեթվածքը համարվում է ոչ հերմետիկ:</w:t>
      </w:r>
    </w:p>
    <w:p w14:paraId="3EB2F104" w14:textId="77777777" w:rsidR="00B834A2" w:rsidRPr="00B834A2" w:rsidRDefault="00B834A2" w:rsidP="006C4184">
      <w:pPr>
        <w:spacing w:after="160" w:line="346" w:lineRule="auto"/>
        <w:ind w:firstLine="567"/>
        <w:jc w:val="both"/>
      </w:pPr>
    </w:p>
    <w:p w14:paraId="71D4F5E0" w14:textId="77777777" w:rsidR="00B834A2" w:rsidRPr="006B7DC5" w:rsidRDefault="00B834A2" w:rsidP="006C4184">
      <w:pPr>
        <w:spacing w:after="160" w:line="346" w:lineRule="auto"/>
        <w:ind w:firstLine="567"/>
        <w:jc w:val="both"/>
        <w:rPr>
          <w:b/>
        </w:rPr>
      </w:pPr>
      <w:r w:rsidRPr="00B834A2">
        <w:rPr>
          <w:b/>
        </w:rPr>
        <w:t>ՓԱԹԵԹՎԱԾՔԻ ՀԵՐՄԵՏԻԿՈՒԹՅՈՒՆԸ ԼՈՒՍԱՐՁԱԿՄԱՆ ՄԵԹՈԴՈՎ ՈՐՈՇԵԼԸ</w:t>
      </w:r>
    </w:p>
    <w:p w14:paraId="11E980E6" w14:textId="77777777" w:rsidR="00B834A2" w:rsidRPr="00B834A2" w:rsidRDefault="00B834A2" w:rsidP="006C4184">
      <w:pPr>
        <w:spacing w:after="160" w:line="346" w:lineRule="auto"/>
        <w:ind w:firstLine="567"/>
        <w:jc w:val="both"/>
      </w:pPr>
      <w:r w:rsidRPr="00B834A2">
        <w:t>Մեթոդը հիմնված է դեղամիջոցների փաթեթվածքի գազային միջավայրի՝ բարձր լարման տակ բարձր հաճախականության էլեկտրական հոսանքի ազդեցությամբ լուսարձակման ունակության վրա: Փաթեթվածքի գազային միջավայրի մեծությամբ (վակուումի մակարդակով) պայմանավորված՝ լուսարձակման գույնը տարբեր կլինի:</w:t>
      </w:r>
    </w:p>
    <w:p w14:paraId="4602A809" w14:textId="77777777" w:rsidR="00B834A2" w:rsidRPr="006B7DC5" w:rsidRDefault="00B834A2" w:rsidP="006C4184">
      <w:pPr>
        <w:spacing w:after="160" w:line="346" w:lineRule="auto"/>
        <w:ind w:firstLine="567"/>
        <w:jc w:val="both"/>
      </w:pPr>
      <w:r w:rsidRPr="00B834A2">
        <w:t xml:space="preserve">Կիրառում են հերմետիկացված </w:t>
      </w:r>
      <w:r>
        <w:t>եւ</w:t>
      </w:r>
      <w:r w:rsidRPr="00B834A2">
        <w:t xml:space="preserve"> համապատասխանաբար ցածր ճնշման տակ (վակուումով) խցանափակված սրվակիկներում </w:t>
      </w:r>
      <w:r>
        <w:t>եւ</w:t>
      </w:r>
      <w:r w:rsidRPr="00B834A2">
        <w:t xml:space="preserve"> սրվակներում դեղապատրաստուկների համար: Փաթեթվածքի հերմետիկության որոշումն այս դեպքում դեղապատրաստուկի պարունակության պատշաճ որակն ապահովելու համար անհրաժեշտ վակուումի մակարդակը պահելու դրա ունակության ստուգումն է:</w:t>
      </w:r>
    </w:p>
    <w:p w14:paraId="6EF528C0" w14:textId="77777777" w:rsidR="00B834A2" w:rsidRPr="00B834A2" w:rsidRDefault="00B834A2" w:rsidP="006C4184">
      <w:pPr>
        <w:spacing w:after="160" w:line="360" w:lineRule="auto"/>
        <w:ind w:firstLine="567"/>
        <w:jc w:val="both"/>
      </w:pPr>
      <w:r w:rsidRPr="00B834A2">
        <w:t>Փորձարկումների անցկացման համար օգտագործում են համապատասխան սարքավորումներ, որոնք ապահովում են անհրաժեշտ միջակայքում վակուումի մակարդակի սահմանումը:</w:t>
      </w:r>
    </w:p>
    <w:p w14:paraId="4E293287" w14:textId="77777777" w:rsidR="00B834A2" w:rsidRPr="00B834A2" w:rsidRDefault="00B834A2" w:rsidP="00F2280F">
      <w:pPr>
        <w:spacing w:after="160" w:line="360" w:lineRule="auto"/>
        <w:ind w:firstLine="567"/>
        <w:jc w:val="both"/>
      </w:pPr>
      <w:r w:rsidRPr="00B834A2">
        <w:t xml:space="preserve">Փորձարկվող սրվակիկները </w:t>
      </w:r>
      <w:r>
        <w:t>եւ</w:t>
      </w:r>
      <w:r w:rsidRPr="00B834A2">
        <w:t xml:space="preserve"> (կամ) սրվակները սենյակային ջերմաստիճանում տեղադրում են կալանի մեջ, դրանց 1 սմ հեռավորությամբ մոտեցնում են էլեկտրոդ՝ բարձր հաճախականության էլեկտրոդով չդիպչելով սրվակիկների զոդման տեղին: Յուրաքանչյուր սրվակիկի </w:t>
      </w:r>
      <w:r>
        <w:t>եւ</w:t>
      </w:r>
      <w:r w:rsidRPr="00B834A2">
        <w:t xml:space="preserve"> (կամ) սրվակի </w:t>
      </w:r>
      <w:r w:rsidRPr="00B834A2">
        <w:lastRenderedPageBreak/>
        <w:t xml:space="preserve">կայծային լիցքի մնալու ժամանակը չպետք է լինի 1 վայրկյանից ավելի՝ սրվակիկների </w:t>
      </w:r>
      <w:r>
        <w:t>եւ</w:t>
      </w:r>
      <w:r w:rsidRPr="00B834A2">
        <w:t xml:space="preserve"> (կամ) սրվակների կողապատի ծակվելուց խուսափելու համար: Սրվակիկի </w:t>
      </w:r>
      <w:r>
        <w:t>եւ</w:t>
      </w:r>
      <w:r w:rsidRPr="00B834A2">
        <w:t xml:space="preserve"> (կամ) սրվակի ներսում լուսարձակումը </w:t>
      </w:r>
      <w:r>
        <w:t>եւ</w:t>
      </w:r>
      <w:r w:rsidRPr="00B834A2">
        <w:t xml:space="preserve"> էլեկտրոդը դրանց մոտեցնելիս բնորոշ ճարճատյունը վկայում են փաթեթվածքներում վակուումի առկայության մասին: Սրվակիկի </w:t>
      </w:r>
      <w:r>
        <w:t>եւ</w:t>
      </w:r>
      <w:r w:rsidRPr="00B834A2">
        <w:t xml:space="preserve"> (կամ) սրվակի մեջ մնացորդային ճնշման մեծությամբ (վակուումի մակարդակով) պայմանավորված՝ լուսարձակման գույնը տարբեր կլինի (աղյուսակ 2.1.9.19-1):</w:t>
      </w:r>
    </w:p>
    <w:p w14:paraId="1D844AB9" w14:textId="77777777" w:rsidR="006035D0" w:rsidRPr="00903268" w:rsidRDefault="006035D0" w:rsidP="00F2280F">
      <w:pPr>
        <w:spacing w:after="160" w:line="360" w:lineRule="auto"/>
        <w:ind w:firstLine="567"/>
        <w:jc w:val="both"/>
      </w:pPr>
    </w:p>
    <w:p w14:paraId="77336156" w14:textId="77777777" w:rsidR="00B834A2" w:rsidRPr="00B834A2" w:rsidRDefault="00B834A2" w:rsidP="00F2280F">
      <w:pPr>
        <w:spacing w:after="160" w:line="360" w:lineRule="auto"/>
        <w:ind w:firstLine="567"/>
        <w:jc w:val="both"/>
      </w:pPr>
      <w:r w:rsidRPr="00063A76">
        <w:t>Աղյուսակ 2.1.9.19-1։</w:t>
      </w:r>
      <w:r w:rsidRPr="00B834A2">
        <w:t xml:space="preserve"> Ճնշման մեծությունից լուսարձակման գույնի կախվածությունը՝ իմունակենսաբանական դեղապատրաստուկների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69"/>
        <w:gridCol w:w="2726"/>
      </w:tblGrid>
      <w:tr w:rsidR="00B834A2" w:rsidRPr="00F2280F" w14:paraId="03205F62" w14:textId="77777777" w:rsidTr="00F2280F">
        <w:trPr>
          <w:jc w:val="center"/>
        </w:trPr>
        <w:tc>
          <w:tcPr>
            <w:tcW w:w="2769" w:type="dxa"/>
            <w:tcBorders>
              <w:top w:val="single" w:sz="4" w:space="0" w:color="auto"/>
            </w:tcBorders>
            <w:shd w:val="clear" w:color="auto" w:fill="FFFFFF"/>
            <w:vAlign w:val="center"/>
          </w:tcPr>
          <w:p w14:paraId="092A210C" w14:textId="77777777" w:rsidR="00B834A2" w:rsidRPr="00F2280F" w:rsidRDefault="00B834A2" w:rsidP="00F2280F">
            <w:pPr>
              <w:spacing w:after="120"/>
              <w:jc w:val="both"/>
              <w:rPr>
                <w:sz w:val="20"/>
              </w:rPr>
            </w:pPr>
            <w:r w:rsidRPr="00F2280F">
              <w:rPr>
                <w:sz w:val="20"/>
              </w:rPr>
              <w:t>Ճնշման մեծությունը, կՊա</w:t>
            </w:r>
          </w:p>
        </w:tc>
        <w:tc>
          <w:tcPr>
            <w:tcW w:w="2726" w:type="dxa"/>
            <w:tcBorders>
              <w:top w:val="single" w:sz="4" w:space="0" w:color="auto"/>
            </w:tcBorders>
            <w:shd w:val="clear" w:color="auto" w:fill="FFFFFF"/>
            <w:vAlign w:val="center"/>
          </w:tcPr>
          <w:p w14:paraId="30428621" w14:textId="77777777" w:rsidR="00B834A2" w:rsidRPr="00F2280F" w:rsidRDefault="00B834A2" w:rsidP="00F2280F">
            <w:pPr>
              <w:spacing w:after="120"/>
              <w:jc w:val="both"/>
              <w:rPr>
                <w:sz w:val="20"/>
              </w:rPr>
            </w:pPr>
            <w:r w:rsidRPr="00F2280F">
              <w:rPr>
                <w:sz w:val="20"/>
              </w:rPr>
              <w:t>Լուսարձակման գույնը</w:t>
            </w:r>
          </w:p>
        </w:tc>
      </w:tr>
      <w:tr w:rsidR="00B834A2" w:rsidRPr="00F2280F" w14:paraId="127EBC29" w14:textId="77777777" w:rsidTr="00F2280F">
        <w:trPr>
          <w:jc w:val="center"/>
        </w:trPr>
        <w:tc>
          <w:tcPr>
            <w:tcW w:w="2769" w:type="dxa"/>
            <w:tcBorders>
              <w:top w:val="single" w:sz="4" w:space="0" w:color="auto"/>
            </w:tcBorders>
            <w:shd w:val="clear" w:color="auto" w:fill="FFFFFF"/>
            <w:vAlign w:val="center"/>
          </w:tcPr>
          <w:p w14:paraId="0BF7D958" w14:textId="77777777" w:rsidR="00B834A2" w:rsidRPr="00F2280F" w:rsidRDefault="00B834A2" w:rsidP="00F2280F">
            <w:pPr>
              <w:spacing w:after="120"/>
              <w:jc w:val="center"/>
              <w:rPr>
                <w:sz w:val="20"/>
              </w:rPr>
            </w:pPr>
            <w:r w:rsidRPr="00F2280F">
              <w:rPr>
                <w:sz w:val="20"/>
              </w:rPr>
              <w:t>0,010-ից մինչեւ 0,1</w:t>
            </w:r>
          </w:p>
        </w:tc>
        <w:tc>
          <w:tcPr>
            <w:tcW w:w="2726" w:type="dxa"/>
            <w:tcBorders>
              <w:top w:val="single" w:sz="4" w:space="0" w:color="auto"/>
            </w:tcBorders>
            <w:shd w:val="clear" w:color="auto" w:fill="FFFFFF"/>
            <w:vAlign w:val="center"/>
          </w:tcPr>
          <w:p w14:paraId="3E59B4ED" w14:textId="77777777" w:rsidR="00B834A2" w:rsidRPr="00F2280F" w:rsidRDefault="00B834A2" w:rsidP="00F2280F">
            <w:pPr>
              <w:spacing w:after="120"/>
              <w:jc w:val="center"/>
              <w:rPr>
                <w:sz w:val="20"/>
              </w:rPr>
            </w:pPr>
            <w:r w:rsidRPr="00F2280F">
              <w:rPr>
                <w:sz w:val="20"/>
              </w:rPr>
              <w:t>Բաց երկնագույն</w:t>
            </w:r>
          </w:p>
        </w:tc>
      </w:tr>
      <w:tr w:rsidR="00B834A2" w:rsidRPr="00F2280F" w14:paraId="5B4273F0" w14:textId="77777777" w:rsidTr="00F2280F">
        <w:trPr>
          <w:jc w:val="center"/>
        </w:trPr>
        <w:tc>
          <w:tcPr>
            <w:tcW w:w="2769" w:type="dxa"/>
            <w:shd w:val="clear" w:color="auto" w:fill="FFFFFF"/>
            <w:vAlign w:val="center"/>
          </w:tcPr>
          <w:p w14:paraId="230533CF" w14:textId="77777777" w:rsidR="00B834A2" w:rsidRPr="00F2280F" w:rsidRDefault="00B834A2" w:rsidP="00F2280F">
            <w:pPr>
              <w:spacing w:after="120"/>
              <w:jc w:val="center"/>
              <w:rPr>
                <w:sz w:val="20"/>
              </w:rPr>
            </w:pPr>
            <w:r w:rsidRPr="00F2280F">
              <w:rPr>
                <w:sz w:val="20"/>
              </w:rPr>
              <w:t>0,1-ից մինչեւ 1,0</w:t>
            </w:r>
          </w:p>
        </w:tc>
        <w:tc>
          <w:tcPr>
            <w:tcW w:w="2726" w:type="dxa"/>
            <w:shd w:val="clear" w:color="auto" w:fill="FFFFFF"/>
            <w:vAlign w:val="center"/>
          </w:tcPr>
          <w:p w14:paraId="19A1478C" w14:textId="77777777" w:rsidR="00B834A2" w:rsidRPr="00F2280F" w:rsidRDefault="00B834A2" w:rsidP="00F2280F">
            <w:pPr>
              <w:spacing w:after="120"/>
              <w:jc w:val="center"/>
              <w:rPr>
                <w:sz w:val="20"/>
              </w:rPr>
            </w:pPr>
            <w:r w:rsidRPr="00F2280F">
              <w:rPr>
                <w:sz w:val="20"/>
              </w:rPr>
              <w:t>Վարդագույն</w:t>
            </w:r>
            <w:r w:rsidR="00F2280F">
              <w:rPr>
                <w:sz w:val="20"/>
              </w:rPr>
              <w:t>-</w:t>
            </w:r>
            <w:r w:rsidRPr="00F2280F">
              <w:rPr>
                <w:sz w:val="20"/>
              </w:rPr>
              <w:t>երկնագույն</w:t>
            </w:r>
          </w:p>
        </w:tc>
      </w:tr>
      <w:tr w:rsidR="00B834A2" w:rsidRPr="00F2280F" w14:paraId="29B03BAF" w14:textId="77777777" w:rsidTr="00F2280F">
        <w:trPr>
          <w:jc w:val="center"/>
        </w:trPr>
        <w:tc>
          <w:tcPr>
            <w:tcW w:w="2769" w:type="dxa"/>
            <w:shd w:val="clear" w:color="auto" w:fill="FFFFFF"/>
            <w:vAlign w:val="center"/>
          </w:tcPr>
          <w:p w14:paraId="1F66B33A" w14:textId="77777777" w:rsidR="00B834A2" w:rsidRPr="00F2280F" w:rsidRDefault="00B834A2" w:rsidP="00F2280F">
            <w:pPr>
              <w:spacing w:after="120"/>
              <w:jc w:val="center"/>
              <w:rPr>
                <w:sz w:val="20"/>
              </w:rPr>
            </w:pPr>
            <w:r w:rsidRPr="00F2280F">
              <w:rPr>
                <w:sz w:val="20"/>
              </w:rPr>
              <w:t>1,0-ից մինչեւ 5,0</w:t>
            </w:r>
          </w:p>
        </w:tc>
        <w:tc>
          <w:tcPr>
            <w:tcW w:w="2726" w:type="dxa"/>
            <w:shd w:val="clear" w:color="auto" w:fill="FFFFFF"/>
            <w:vAlign w:val="center"/>
          </w:tcPr>
          <w:p w14:paraId="41F68745" w14:textId="77777777" w:rsidR="00B834A2" w:rsidRPr="00F2280F" w:rsidRDefault="00B834A2" w:rsidP="00F2280F">
            <w:pPr>
              <w:spacing w:after="120"/>
              <w:jc w:val="center"/>
              <w:rPr>
                <w:sz w:val="20"/>
              </w:rPr>
            </w:pPr>
            <w:r w:rsidRPr="00F2280F">
              <w:rPr>
                <w:sz w:val="20"/>
              </w:rPr>
              <w:t>Մանուշակագույն</w:t>
            </w:r>
          </w:p>
        </w:tc>
      </w:tr>
      <w:tr w:rsidR="00B834A2" w:rsidRPr="00F2280F" w14:paraId="0BBEB687" w14:textId="77777777" w:rsidTr="00F2280F">
        <w:trPr>
          <w:jc w:val="center"/>
        </w:trPr>
        <w:tc>
          <w:tcPr>
            <w:tcW w:w="2769" w:type="dxa"/>
            <w:shd w:val="clear" w:color="auto" w:fill="FFFFFF"/>
            <w:vAlign w:val="center"/>
          </w:tcPr>
          <w:p w14:paraId="68EE6557" w14:textId="77777777" w:rsidR="00B834A2" w:rsidRPr="00F2280F" w:rsidRDefault="00B834A2" w:rsidP="00F2280F">
            <w:pPr>
              <w:spacing w:after="120"/>
              <w:jc w:val="center"/>
              <w:rPr>
                <w:sz w:val="20"/>
              </w:rPr>
            </w:pPr>
            <w:r w:rsidRPr="00F2280F">
              <w:rPr>
                <w:sz w:val="20"/>
              </w:rPr>
              <w:t>5,0-ից մինչեւ 100,0</w:t>
            </w:r>
          </w:p>
        </w:tc>
        <w:tc>
          <w:tcPr>
            <w:tcW w:w="2726" w:type="dxa"/>
            <w:shd w:val="clear" w:color="auto" w:fill="FFFFFF"/>
            <w:vAlign w:val="center"/>
          </w:tcPr>
          <w:p w14:paraId="1CB2A05C" w14:textId="77777777" w:rsidR="00B834A2" w:rsidRPr="00F2280F" w:rsidRDefault="00B834A2" w:rsidP="00F2280F">
            <w:pPr>
              <w:spacing w:after="120"/>
              <w:jc w:val="center"/>
              <w:rPr>
                <w:sz w:val="20"/>
              </w:rPr>
            </w:pPr>
            <w:r w:rsidRPr="00F2280F">
              <w:rPr>
                <w:sz w:val="20"/>
              </w:rPr>
              <w:t>Լուսարձակում չկա</w:t>
            </w:r>
          </w:p>
        </w:tc>
      </w:tr>
    </w:tbl>
    <w:p w14:paraId="2E6D0900" w14:textId="77777777" w:rsidR="00B834A2" w:rsidRPr="00B834A2" w:rsidRDefault="00B834A2" w:rsidP="00F2280F">
      <w:pPr>
        <w:jc w:val="both"/>
      </w:pPr>
    </w:p>
    <w:p w14:paraId="27FF0211" w14:textId="77777777" w:rsidR="00B834A2" w:rsidRPr="00F2280F" w:rsidRDefault="00B834A2" w:rsidP="00F2280F">
      <w:pPr>
        <w:spacing w:after="160" w:line="360" w:lineRule="auto"/>
        <w:ind w:firstLine="567"/>
        <w:jc w:val="both"/>
        <w:rPr>
          <w:spacing w:val="-4"/>
        </w:rPr>
      </w:pPr>
      <w:r w:rsidRPr="00F2280F">
        <w:rPr>
          <w:spacing w:val="-4"/>
        </w:rPr>
        <w:t>Որոշման ճշգրտության հսկողությունը հարկավոր է կատարել ըստ այն սրվակիկների եւ սրվակների նմուշների լուսարձակման, որոնք հերմետիկացված են խստորեն վերահսկվող պայմաններում, ճնշման ճշգրիտ հայտնի արժեքների դեպքում:</w:t>
      </w:r>
    </w:p>
    <w:p w14:paraId="7CFF216F" w14:textId="77777777" w:rsidR="00927269" w:rsidRDefault="00B834A2" w:rsidP="00F2280F">
      <w:pPr>
        <w:spacing w:after="160" w:line="360" w:lineRule="auto"/>
        <w:ind w:firstLine="567"/>
        <w:jc w:val="both"/>
      </w:pPr>
      <w:r w:rsidRPr="00B834A2">
        <w:t xml:space="preserve">Օրինակ՝ իմունակենսաբանական դեղապատրաստուկներ պարունակող </w:t>
      </w:r>
      <w:r w:rsidRPr="00F2280F">
        <w:rPr>
          <w:spacing w:val="-4"/>
        </w:rPr>
        <w:t>սրվակիկների եւ սրվակների հերմետիկությունը լուսարձակման մեթոդով որոշելիս այլ ցուցումների բացակայության դեպքում ճնշման մեծությունը որոշում են ըստ</w:t>
      </w:r>
      <w:r w:rsidRPr="00B834A2">
        <w:t xml:space="preserve"> լուսարձակման գույնի՝ 2.1.9.19-1 աղյուսակի տվյալներին համապատասխան: Փաթեթվածքը համարվում է ոչ հերմետիկ, եթե սրվակիկի կամ սրվակի ներսում մնացորդային ճնշումը լինի 1,0 կՊա-ից ավելի:</w:t>
      </w:r>
    </w:p>
    <w:p w14:paraId="62B2A8AA" w14:textId="77777777" w:rsidR="006035D0" w:rsidRDefault="006035D0">
      <w:pPr>
        <w:rPr>
          <w:b/>
        </w:rPr>
      </w:pPr>
      <w:r>
        <w:rPr>
          <w:b/>
        </w:rPr>
        <w:br w:type="page"/>
      </w:r>
    </w:p>
    <w:p w14:paraId="7AFD8002" w14:textId="77777777" w:rsidR="00B834A2" w:rsidRPr="006B7DC5" w:rsidRDefault="00B834A2" w:rsidP="00F2280F">
      <w:pPr>
        <w:spacing w:after="160" w:line="360" w:lineRule="auto"/>
        <w:ind w:firstLine="567"/>
        <w:jc w:val="both"/>
        <w:rPr>
          <w:b/>
        </w:rPr>
      </w:pPr>
      <w:r w:rsidRPr="00B834A2">
        <w:rPr>
          <w:b/>
        </w:rPr>
        <w:lastRenderedPageBreak/>
        <w:t>ՓԱՓՈՒԿ ԴԵՂԱՁԵՎԵՐՈՎ ԽՈՂՈՎԱԿԱՊԱՏՅԱՆՆԵՐԻ ՀԵՐՄԵՏԻԿՈՒԹՅԱՆ ՈՐՈՇՈՒՄԸ</w:t>
      </w:r>
    </w:p>
    <w:p w14:paraId="6A24CF66" w14:textId="77777777" w:rsidR="00B834A2" w:rsidRPr="00B834A2" w:rsidRDefault="00B834A2" w:rsidP="00F2280F">
      <w:pPr>
        <w:spacing w:after="160" w:line="360" w:lineRule="auto"/>
        <w:ind w:firstLine="567"/>
        <w:jc w:val="both"/>
      </w:pPr>
      <w:r w:rsidRPr="00B834A2">
        <w:t>Փորձարկումն անցկացնում են փափուկ դեղաձ</w:t>
      </w:r>
      <w:r>
        <w:t>եւ</w:t>
      </w:r>
      <w:r w:rsidRPr="00B834A2">
        <w:t>եր պարունակող պարկուճ հանդիսացող փաթեթվածքի համար, փափուկ դեղաձ</w:t>
      </w:r>
      <w:r>
        <w:t>եւ</w:t>
      </w:r>
      <w:r w:rsidRPr="00B834A2">
        <w:t>երի արտադրության տեխնոլոգիական գործընթացի հսկողության շրջանակներում:</w:t>
      </w:r>
      <w:r w:rsidR="00696072">
        <w:t xml:space="preserve"> </w:t>
      </w:r>
    </w:p>
    <w:p w14:paraId="213573DE" w14:textId="77777777" w:rsidR="00B834A2" w:rsidRPr="00B834A2" w:rsidRDefault="00B834A2" w:rsidP="00F2280F">
      <w:pPr>
        <w:spacing w:after="160" w:line="360" w:lineRule="auto"/>
        <w:ind w:firstLine="567"/>
        <w:jc w:val="both"/>
      </w:pPr>
      <w:r w:rsidRPr="00B834A2">
        <w:t xml:space="preserve">Սկզբում ընտրում են 10 խողովակապատյան </w:t>
      </w:r>
      <w:r>
        <w:t>եւ</w:t>
      </w:r>
      <w:r w:rsidRPr="00B834A2">
        <w:t xml:space="preserve"> դրանց արտաքին մակեր</w:t>
      </w:r>
      <w:r>
        <w:t>եւ</w:t>
      </w:r>
      <w:r w:rsidRPr="00B834A2">
        <w:t xml:space="preserve">ույթները մանրակրկիտ սրբում են ֆիլտրման թղթով: Խողովակապատյանները հորիզոնական դիրքով դնում են ֆիլտրման թղթի թերթի վրա </w:t>
      </w:r>
      <w:r>
        <w:t>եւ</w:t>
      </w:r>
      <w:r w:rsidRPr="00B834A2">
        <w:t xml:space="preserve"> (60 ± 3) °С ջերմաստիճանում պահում 8 ժամ:</w:t>
      </w:r>
    </w:p>
    <w:p w14:paraId="1AAAD023" w14:textId="77777777" w:rsidR="00B834A2" w:rsidRPr="00B834A2" w:rsidRDefault="00B834A2" w:rsidP="00F2280F">
      <w:pPr>
        <w:spacing w:after="160" w:line="360" w:lineRule="auto"/>
        <w:ind w:firstLine="567"/>
        <w:jc w:val="both"/>
      </w:pPr>
      <w:r w:rsidRPr="00B834A2">
        <w:t>Ֆիլտրման թղթի վրա ոչ մի խողովակապատյանից հոսակեղտեր չպետք է լինեն:</w:t>
      </w:r>
    </w:p>
    <w:p w14:paraId="25FF82F1" w14:textId="77777777" w:rsidR="00B834A2" w:rsidRPr="00B834A2" w:rsidRDefault="00B834A2" w:rsidP="00F2280F">
      <w:pPr>
        <w:spacing w:after="160" w:line="360" w:lineRule="auto"/>
        <w:ind w:firstLine="567"/>
        <w:jc w:val="both"/>
      </w:pPr>
      <w:r w:rsidRPr="00B834A2">
        <w:t>Եթե սկզբում ընտրված 10 խողովակապատյաններից որ</w:t>
      </w:r>
      <w:r>
        <w:t>եւ</w:t>
      </w:r>
      <w:r w:rsidRPr="00B834A2">
        <w:t xml:space="preserve">է մեկից հոսակեղտեր են նկատվում, լրացուցիչ փորձարկում են անցկացնում </w:t>
      </w:r>
      <w:r>
        <w:t>եւ</w:t>
      </w:r>
      <w:r w:rsidRPr="00B834A2">
        <w:t>ս 20 խողովակապատյանների հետ: Լրացուցիչ ընտրված 20 խողովակապատյաններից ոչ մեկից հոսակեղտեր չպետք է լինեն:</w:t>
      </w:r>
    </w:p>
    <w:p w14:paraId="564F222E" w14:textId="77777777" w:rsidR="00B834A2" w:rsidRPr="00B834A2" w:rsidRDefault="00B834A2" w:rsidP="00F2280F">
      <w:pPr>
        <w:spacing w:after="160" w:line="360" w:lineRule="auto"/>
        <w:ind w:firstLine="567"/>
        <w:jc w:val="both"/>
        <w:rPr>
          <w:b/>
        </w:rPr>
      </w:pPr>
    </w:p>
    <w:p w14:paraId="34DF1541" w14:textId="77777777" w:rsidR="00B834A2" w:rsidRPr="006B7DC5" w:rsidRDefault="00B834A2" w:rsidP="00F2280F">
      <w:pPr>
        <w:spacing w:after="160" w:line="360" w:lineRule="auto"/>
        <w:ind w:firstLine="567"/>
        <w:jc w:val="both"/>
        <w:rPr>
          <w:b/>
        </w:rPr>
      </w:pPr>
      <w:r w:rsidRPr="00B834A2">
        <w:rPr>
          <w:b/>
        </w:rPr>
        <w:t>ԱԵՐՈԶՈԼԱՅԻՆ ՓԱԹԵԹՎԱԾՔՆԵՐԻ ՀԵՐՄԵՏԻԿՈՒԹՅԱՆ ՈՐՈՇՈՒՄԸ</w:t>
      </w:r>
    </w:p>
    <w:p w14:paraId="6D3F3095" w14:textId="77777777" w:rsidR="00B834A2" w:rsidRPr="00B834A2" w:rsidRDefault="00B834A2" w:rsidP="00F2280F">
      <w:pPr>
        <w:spacing w:after="160" w:line="360" w:lineRule="auto"/>
        <w:ind w:firstLine="567"/>
        <w:jc w:val="both"/>
      </w:pPr>
      <w:r w:rsidRPr="00B834A2">
        <w:t>Փորձարկումն անցկացնում են փականային փոշեցրման համակարգի միջոցով խցանափակված աերոզոլային բալոններ հանդիսացող փաթեթվածքների (աերոզոլային փաթեթվածքներ) համար, որոնք պարունակում են պրոպելենտի ճնշման տակ այդ փաթեթվածքներում գտնվող դեղաձ</w:t>
      </w:r>
      <w:r>
        <w:t>եւ</w:t>
      </w:r>
      <w:r w:rsidRPr="00B834A2">
        <w:t>եր (օրինակ՝ աերոզոլներ, փրփուրներ):</w:t>
      </w:r>
    </w:p>
    <w:p w14:paraId="2C37B965" w14:textId="77777777" w:rsidR="00B834A2" w:rsidRPr="00B834A2" w:rsidRDefault="00B834A2" w:rsidP="00F2280F">
      <w:pPr>
        <w:spacing w:after="160" w:line="360" w:lineRule="auto"/>
        <w:ind w:firstLine="567"/>
        <w:jc w:val="both"/>
      </w:pPr>
      <w:r w:rsidRPr="00B834A2">
        <w:t xml:space="preserve">Հերմետիկությունը որոշելու տեսողական մեթոդը: Մասնավոր դեղագրքային հոդվածում </w:t>
      </w:r>
      <w:r>
        <w:t>եւ</w:t>
      </w:r>
      <w:r w:rsidRPr="00B834A2">
        <w:t xml:space="preserve"> (կամ) որակի վերաբերյալ նորմատիվ փաստաթղթում այլ ցուցումների բացակայության դեպքում փորձարկումն անցկացնում են փաթեթվածքի առնվազն երեք նմուշների վրա:</w:t>
      </w:r>
      <w:r w:rsidR="00696072">
        <w:t xml:space="preserve"> </w:t>
      </w:r>
      <w:r w:rsidRPr="00B834A2">
        <w:t xml:space="preserve"> Աերոզոլային բալոնը, առանց թասակի </w:t>
      </w:r>
      <w:r>
        <w:t>եւ</w:t>
      </w:r>
      <w:r w:rsidRPr="00B834A2">
        <w:t xml:space="preserve"> փոշեցիրի կամ գլխադիրի, ամբողջությամբ ընկղմում են ջրային </w:t>
      </w:r>
      <w:r w:rsidRPr="00B834A2">
        <w:lastRenderedPageBreak/>
        <w:t xml:space="preserve">բաղնիքի մեջ (45 ± 5) °С ջերմաստիճանում, ոչ պակաս, քան 15 րոպեով </w:t>
      </w:r>
      <w:r>
        <w:t>եւ</w:t>
      </w:r>
      <w:r w:rsidRPr="00B834A2">
        <w:t xml:space="preserve"> ոչ ավելի, քան 30 րոպեով՝ ապակյա աերոզոլային բալոնի համար, </w:t>
      </w:r>
      <w:r>
        <w:t>եւ</w:t>
      </w:r>
      <w:r w:rsidRPr="00B834A2">
        <w:t xml:space="preserve"> ոչ պակաս, քան 10</w:t>
      </w:r>
      <w:r w:rsidR="00205AB7" w:rsidRPr="00205AB7">
        <w:t> </w:t>
      </w:r>
      <w:r w:rsidRPr="00B834A2">
        <w:t xml:space="preserve">րոպեով </w:t>
      </w:r>
      <w:r>
        <w:t>եւ</w:t>
      </w:r>
      <w:r w:rsidRPr="00B834A2">
        <w:t xml:space="preserve"> ոչ ավելի, քան 20 րոպեով՝ մետաղյա աերոզոլային բալոնի համար: Փականի կոթի վրա ջրի շերտի հաստությունը պետք է լինի առնվազն 1 սմ:</w:t>
      </w:r>
      <w:r>
        <w:t xml:space="preserve"> </w:t>
      </w:r>
      <w:r w:rsidRPr="00B834A2">
        <w:t>Փաթեթվածքը համարվում է հերմետիկ, եթե գազի պղպջակներ չեն արձակվում:</w:t>
      </w:r>
    </w:p>
    <w:p w14:paraId="70D01581" w14:textId="77777777" w:rsidR="00B834A2" w:rsidRPr="00B834A2" w:rsidRDefault="00B834A2" w:rsidP="006035D0">
      <w:pPr>
        <w:spacing w:after="160" w:line="341" w:lineRule="auto"/>
        <w:ind w:firstLine="567"/>
        <w:jc w:val="both"/>
      </w:pPr>
      <w:r w:rsidRPr="00B834A2">
        <w:rPr>
          <w:i/>
        </w:rPr>
        <w:t>Արտահոսքի արագությունը:</w:t>
      </w:r>
      <w:r w:rsidRPr="00B834A2">
        <w:t xml:space="preserve"> Ընտրում են նախկինում չօգտագործված 12</w:t>
      </w:r>
      <w:r w:rsidR="00205AB7" w:rsidRPr="00205AB7">
        <w:t> </w:t>
      </w:r>
      <w:r w:rsidRPr="00B834A2">
        <w:t xml:space="preserve">աերոզոլային բալոն, դրանցից հեռացնում են բոլոր պիտակները: Յուրաքանչյուր աերոզոլային բալոն, առանց թասակի </w:t>
      </w:r>
      <w:r>
        <w:t>եւ</w:t>
      </w:r>
      <w:r w:rsidRPr="00B834A2">
        <w:t xml:space="preserve"> փոշեցիրի կամ գլխադիրի, կշռում են մինչ</w:t>
      </w:r>
      <w:r>
        <w:t>եւ</w:t>
      </w:r>
      <w:r w:rsidRPr="00B834A2">
        <w:t xml:space="preserve"> 0,001 գ (m0) ճշգրտությամբ, գրանցում են ամսաթիվը </w:t>
      </w:r>
      <w:r>
        <w:t>եւ</w:t>
      </w:r>
      <w:r w:rsidRPr="00B834A2">
        <w:t xml:space="preserve"> ժամը մինչ</w:t>
      </w:r>
      <w:r>
        <w:t>եւ</w:t>
      </w:r>
      <w:r w:rsidRPr="00B834A2">
        <w:t xml:space="preserve"> կես ժամվա ճշգրտությամբ </w:t>
      </w:r>
      <w:r>
        <w:t>եւ</w:t>
      </w:r>
      <w:r w:rsidRPr="00B834A2">
        <w:t xml:space="preserve"> ուղղահայաց դիրքով (25 ± 2) °С ջերմաստիճանում թողնում են առնվազն 3 օր: Տվյալ փորձարկումից հետո յուրաքանչյուր աերոզոլային բալոն կրկին կշռում են մինչ</w:t>
      </w:r>
      <w:r>
        <w:t>եւ</w:t>
      </w:r>
      <w:r w:rsidRPr="00B834A2">
        <w:t xml:space="preserve"> 0,001 գ (m1) ճշգրտությամբ, գրանցում</w:t>
      </w:r>
      <w:r w:rsidR="00945178" w:rsidRPr="00945178">
        <w:t> </w:t>
      </w:r>
      <w:r w:rsidRPr="00B834A2">
        <w:t xml:space="preserve">են ամսաթիվը </w:t>
      </w:r>
      <w:r>
        <w:t>եւ</w:t>
      </w:r>
      <w:r w:rsidRPr="00B834A2">
        <w:t xml:space="preserve"> ժամը մինչ</w:t>
      </w:r>
      <w:r>
        <w:t>եւ</w:t>
      </w:r>
      <w:r w:rsidRPr="00B834A2">
        <w:t xml:space="preserve"> կես ժամվա ճշգրտությամբ:</w:t>
      </w:r>
      <w:r>
        <w:t xml:space="preserve"> </w:t>
      </w:r>
      <w:r w:rsidRPr="00B834A2">
        <w:t xml:space="preserve">Նշում են ժամանակը (T)՝ ժամերով, որի ընթացքում աերոզոլային բալոնները ենթարկվել են փորձարկման: </w:t>
      </w:r>
    </w:p>
    <w:p w14:paraId="79D5F071" w14:textId="77777777" w:rsidR="00B834A2" w:rsidRPr="00B834A2" w:rsidRDefault="00B834A2" w:rsidP="006035D0">
      <w:pPr>
        <w:spacing w:after="160" w:line="341" w:lineRule="auto"/>
        <w:ind w:firstLine="567"/>
        <w:jc w:val="both"/>
      </w:pPr>
      <w:r w:rsidRPr="00B834A2">
        <w:t>Յուրաքանչյուր աերոզոլային բալոն պարունակությունից ազատում են մասնավոր դեղագրքային հոդվածում կամ որակի վերաբերյալ նորմատիվ փաստաթղթում նշված եղանակին համապատասխան: Յուրաքանչյուր դատարկ աերոզոլային բալոն կշռում են մինչ</w:t>
      </w:r>
      <w:r>
        <w:t>եւ</w:t>
      </w:r>
      <w:r w:rsidRPr="00B834A2">
        <w:t xml:space="preserve"> 0,001 գ (m2) ճշգրտությամբ </w:t>
      </w:r>
      <w:r>
        <w:t>եւ</w:t>
      </w:r>
      <w:r w:rsidRPr="00B834A2">
        <w:t xml:space="preserve"> յուրաքանչյուր աերոզոլային բալոնի պարունակության զանգվածը (m3) հաշվարկում են հետ</w:t>
      </w:r>
      <w:r>
        <w:t>եւ</w:t>
      </w:r>
      <w:r w:rsidRPr="00B834A2">
        <w:t>յալ բանաձ</w:t>
      </w:r>
      <w:r>
        <w:t>եւ</w:t>
      </w:r>
      <w:r w:rsidRPr="00B834A2">
        <w:t>ով.</w:t>
      </w:r>
    </w:p>
    <w:p w14:paraId="1F76258D" w14:textId="77777777" w:rsidR="00B834A2" w:rsidRPr="00B834A2" w:rsidRDefault="00B834A2" w:rsidP="006035D0">
      <w:pPr>
        <w:spacing w:after="160" w:line="341" w:lineRule="auto"/>
        <w:jc w:val="center"/>
      </w:pPr>
      <w:r w:rsidRPr="00B834A2">
        <w:t>m</w:t>
      </w:r>
      <w:r w:rsidRPr="00CE5DEC">
        <w:rPr>
          <w:vertAlign w:val="subscript"/>
        </w:rPr>
        <w:t>3</w:t>
      </w:r>
      <w:r w:rsidRPr="00B834A2">
        <w:t>=m</w:t>
      </w:r>
      <w:r w:rsidRPr="00F2280F">
        <w:rPr>
          <w:vertAlign w:val="subscript"/>
        </w:rPr>
        <w:t>0</w:t>
      </w:r>
      <w:r w:rsidRPr="00B834A2">
        <w:t>-m</w:t>
      </w:r>
      <w:r w:rsidRPr="00F2280F">
        <w:rPr>
          <w:vertAlign w:val="subscript"/>
        </w:rPr>
        <w:t>2</w:t>
      </w:r>
    </w:p>
    <w:p w14:paraId="128B4780" w14:textId="77777777" w:rsidR="00B834A2" w:rsidRPr="00B834A2" w:rsidRDefault="00B834A2" w:rsidP="006035D0">
      <w:pPr>
        <w:spacing w:after="160" w:line="341" w:lineRule="auto"/>
        <w:ind w:firstLine="567"/>
        <w:jc w:val="both"/>
      </w:pPr>
      <w:r w:rsidRPr="00B834A2">
        <w:t>Փորձարկվող աերոզոլային բալոնների պարունակության միջին զանգվածը՝ մինչ</w:t>
      </w:r>
      <w:r>
        <w:t>եւ</w:t>
      </w:r>
      <w:r w:rsidRPr="00B834A2">
        <w:t xml:space="preserve"> 0,001 գ (m</w:t>
      </w:r>
      <w:r w:rsidRPr="00B834A2">
        <w:rPr>
          <w:vertAlign w:val="subscript"/>
        </w:rPr>
        <w:t>3i</w:t>
      </w:r>
      <w:r w:rsidRPr="00B834A2">
        <w:t>) ճշգրտությամբ, հաշվարկում են հետ</w:t>
      </w:r>
      <w:r>
        <w:t>եւ</w:t>
      </w:r>
      <w:r w:rsidRPr="00B834A2">
        <w:t>յալ բանաձ</w:t>
      </w:r>
      <w:r>
        <w:t>եւ</w:t>
      </w:r>
      <w:r w:rsidRPr="00B834A2">
        <w:t xml:space="preserve">ով. </w:t>
      </w:r>
    </w:p>
    <w:p w14:paraId="0442B299" w14:textId="77777777" w:rsidR="00B834A2" w:rsidRPr="00B834A2" w:rsidRDefault="00000000" w:rsidP="006035D0">
      <w:pPr>
        <w:spacing w:after="160" w:line="341" w:lineRule="auto"/>
        <w:jc w:val="both"/>
      </w:pPr>
      <m:oMathPara>
        <m:oMath>
          <m:sSub>
            <m:sSubPr>
              <m:ctrlPr>
                <w:rPr>
                  <w:rFonts w:ascii="Cambria Math" w:hAnsi="Cambria Math"/>
                </w:rPr>
              </m:ctrlPr>
            </m:sSubPr>
            <m:e>
              <m:r>
                <w:rPr>
                  <w:rFonts w:ascii="Cambria Math" w:hAnsi="Cambria Math"/>
                </w:rPr>
                <m:t>m</m:t>
              </m:r>
            </m:e>
            <m:sub>
              <m:r>
                <m:rPr>
                  <m:sty m:val="p"/>
                </m:rPr>
                <w:rPr>
                  <w:rFonts w:ascii="Cambria Math" w:hAnsi="Cambria Math"/>
                </w:rPr>
                <m:t>3</m:t>
              </m:r>
            </m:sub>
          </m:sSub>
          <m:r>
            <w:rPr>
              <w:rFonts w:ascii="Cambria Math" w:hAnsi="Cambria Math"/>
            </w:rPr>
            <m:t>i</m:t>
          </m:r>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w:rPr>
                  <w:rFonts w:ascii="Cambria Math" w:hAnsi="Cambria Math"/>
                </w:rPr>
                <m:t>i</m:t>
              </m:r>
              <m:r>
                <m:rPr>
                  <m:sty m:val="p"/>
                </m:rPr>
                <w:rPr>
                  <w:rFonts w:ascii="Cambria Math" w:hAnsi="Cambria Math"/>
                </w:rPr>
                <m:t>)</m:t>
              </m:r>
            </m:num>
            <m:den>
              <m:r>
                <w:rPr>
                  <w:rFonts w:ascii="Cambria Math" w:hAnsi="Cambria Math"/>
                </w:rPr>
                <m:t>n</m:t>
              </m:r>
            </m:den>
          </m:f>
          <m:r>
            <m:rPr>
              <m:sty m:val="p"/>
            </m:rPr>
            <w:rPr>
              <w:rFonts w:ascii="Cambria Math" w:hAnsi="Cambria Math"/>
            </w:rPr>
            <m:t>,</m:t>
          </m:r>
        </m:oMath>
      </m:oMathPara>
    </w:p>
    <w:p w14:paraId="0DCA5ACC" w14:textId="77777777" w:rsidR="00B834A2" w:rsidRPr="00B834A2" w:rsidRDefault="00B834A2" w:rsidP="006035D0">
      <w:pPr>
        <w:spacing w:after="160" w:line="341" w:lineRule="auto"/>
        <w:ind w:firstLine="567"/>
        <w:jc w:val="both"/>
      </w:pPr>
      <w:r w:rsidRPr="00B834A2">
        <w:t>որտեղ՝</w:t>
      </w:r>
    </w:p>
    <w:p w14:paraId="2709F4F7" w14:textId="77777777" w:rsidR="00B834A2" w:rsidRPr="00B834A2" w:rsidRDefault="00B834A2" w:rsidP="00F2280F">
      <w:pPr>
        <w:spacing w:after="160" w:line="360" w:lineRule="auto"/>
        <w:ind w:firstLine="567"/>
        <w:jc w:val="both"/>
      </w:pPr>
      <w:r w:rsidRPr="00BE3AB4">
        <w:rPr>
          <w:i/>
        </w:rPr>
        <w:t>m</w:t>
      </w:r>
      <w:r w:rsidRPr="00BE3AB4">
        <w:rPr>
          <w:i/>
          <w:vertAlign w:val="subscript"/>
        </w:rPr>
        <w:t>0</w:t>
      </w:r>
      <w:r w:rsidRPr="00B834A2">
        <w:rPr>
          <w:vertAlign w:val="subscript"/>
        </w:rPr>
        <w:t>i</w:t>
      </w:r>
      <w:r w:rsidRPr="00B834A2">
        <w:t>-ը փորձարկման ենթարկված աերոզոլային բալոնների՝ պարունակության հետ միասին զանգվածների հանրագումարն է՝ գրամներով.</w:t>
      </w:r>
    </w:p>
    <w:p w14:paraId="44076BB1" w14:textId="77777777" w:rsidR="00B834A2" w:rsidRPr="00B834A2" w:rsidRDefault="00B834A2" w:rsidP="00F2280F">
      <w:pPr>
        <w:spacing w:after="160" w:line="360" w:lineRule="auto"/>
        <w:ind w:firstLine="567"/>
        <w:jc w:val="both"/>
      </w:pPr>
      <w:r w:rsidRPr="00BE3AB4">
        <w:rPr>
          <w:i/>
        </w:rPr>
        <w:lastRenderedPageBreak/>
        <w:t>m</w:t>
      </w:r>
      <w:r w:rsidRPr="00BE3AB4">
        <w:rPr>
          <w:i/>
          <w:vertAlign w:val="subscript"/>
        </w:rPr>
        <w:t>2</w:t>
      </w:r>
      <w:r w:rsidRPr="00B834A2">
        <w:rPr>
          <w:vertAlign w:val="subscript"/>
        </w:rPr>
        <w:t>i</w:t>
      </w:r>
      <w:r w:rsidRPr="00B834A2">
        <w:t>-ը փորձարկման ենթարկված աերոզոլային բալոնների՝ առանց պարունակության զանգվածների հանրագումարն է՝ գրամներով.</w:t>
      </w:r>
    </w:p>
    <w:p w14:paraId="6BBB3579" w14:textId="77777777" w:rsidR="00B834A2" w:rsidRPr="00B834A2" w:rsidRDefault="00B834A2" w:rsidP="00F2280F">
      <w:pPr>
        <w:spacing w:after="160" w:line="360" w:lineRule="auto"/>
        <w:ind w:firstLine="567"/>
        <w:jc w:val="both"/>
      </w:pPr>
      <w:r w:rsidRPr="00BE3AB4">
        <w:rPr>
          <w:i/>
        </w:rPr>
        <w:t>n</w:t>
      </w:r>
      <w:r w:rsidRPr="00B834A2">
        <w:t>-ը՝ փորձարկման ենթարկված աերոզոլային բալոնների քանակն է:</w:t>
      </w:r>
    </w:p>
    <w:p w14:paraId="07FF4A70" w14:textId="77777777" w:rsidR="00B834A2" w:rsidRPr="00B834A2" w:rsidRDefault="00B834A2" w:rsidP="00F2280F">
      <w:pPr>
        <w:spacing w:after="160" w:line="360" w:lineRule="auto"/>
        <w:ind w:firstLine="567"/>
        <w:jc w:val="both"/>
      </w:pPr>
      <w:r w:rsidRPr="00B834A2">
        <w:t>Փորձարկման ենթարկված յուրաքանչյուր աերոզոլային բալոնի պարունակության տարեկան արտահոսքի արագությունը՝ միլիգրամներով (Vm), հաշվարկում են հետ</w:t>
      </w:r>
      <w:r>
        <w:t>եւ</w:t>
      </w:r>
      <w:r w:rsidRPr="00B834A2">
        <w:t>յալ բանաձ</w:t>
      </w:r>
      <w:r>
        <w:t>եւ</w:t>
      </w:r>
      <w:r w:rsidRPr="00B834A2">
        <w:t>ով.</w:t>
      </w:r>
    </w:p>
    <w:p w14:paraId="67D75851" w14:textId="77777777" w:rsidR="00B834A2" w:rsidRPr="00B834A2" w:rsidRDefault="00000000" w:rsidP="00B834A2">
      <w:pPr>
        <w:spacing w:after="160" w:line="360" w:lineRule="auto"/>
        <w:jc w:val="both"/>
      </w:pPr>
      <m:oMathPara>
        <m:oMath>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f>
            <m:fPr>
              <m:ctrlPr>
                <w:rPr>
                  <w:rFonts w:ascii="Cambria Math" w:hAnsi="Cambria Math"/>
                </w:rPr>
              </m:ctrlPr>
            </m:fPr>
            <m:num>
              <m:r>
                <m:rPr>
                  <m:sty m:val="p"/>
                </m:rPr>
                <w:rPr>
                  <w:rFonts w:ascii="Cambria Math" w:hAnsi="Cambria Math"/>
                </w:rPr>
                <m:t>365∙24∙(</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)∙1000</m:t>
              </m:r>
            </m:num>
            <m:den>
              <m:r>
                <w:rPr>
                  <w:rFonts w:ascii="Cambria Math" w:hAnsi="Cambria Math"/>
                </w:rPr>
                <m:t>T</m:t>
              </m:r>
            </m:den>
          </m:f>
          <m:r>
            <m:rPr>
              <m:sty m:val="p"/>
            </m:rPr>
            <w:rPr>
              <w:rFonts w:ascii="Cambria Math" w:hAnsi="Cambria Math"/>
            </w:rPr>
            <m:t>,</m:t>
          </m:r>
        </m:oMath>
      </m:oMathPara>
    </w:p>
    <w:p w14:paraId="4B640D04" w14:textId="77777777" w:rsidR="00B834A2" w:rsidRPr="00B834A2" w:rsidRDefault="00B834A2" w:rsidP="008F5B6F">
      <w:pPr>
        <w:spacing w:after="160" w:line="346" w:lineRule="auto"/>
        <w:ind w:firstLine="567"/>
        <w:jc w:val="both"/>
      </w:pPr>
      <w:r w:rsidRPr="00B834A2">
        <w:t>որտեղ՝</w:t>
      </w:r>
    </w:p>
    <w:p w14:paraId="58543A61" w14:textId="77777777" w:rsidR="00B834A2" w:rsidRPr="00B834A2" w:rsidRDefault="00B834A2" w:rsidP="008F5B6F">
      <w:pPr>
        <w:spacing w:after="160" w:line="346" w:lineRule="auto"/>
        <w:ind w:firstLine="567"/>
        <w:jc w:val="both"/>
      </w:pPr>
      <w:r w:rsidRPr="00BE3AB4">
        <w:rPr>
          <w:i/>
        </w:rPr>
        <w:t>m</w:t>
      </w:r>
      <w:r w:rsidRPr="00B834A2">
        <w:rPr>
          <w:vertAlign w:val="subscript"/>
        </w:rPr>
        <w:t>0</w:t>
      </w:r>
      <w:r w:rsidRPr="00B834A2">
        <w:t>-ն աերոզոլային բալոնի՝ պարունակության հետ միասին զանգվածն է՝ գրամներով.</w:t>
      </w:r>
    </w:p>
    <w:p w14:paraId="3250729B" w14:textId="77777777" w:rsidR="00B834A2" w:rsidRPr="00B834A2" w:rsidRDefault="00B834A2" w:rsidP="008F5B6F">
      <w:pPr>
        <w:spacing w:after="160" w:line="346" w:lineRule="auto"/>
        <w:ind w:firstLine="567"/>
        <w:jc w:val="both"/>
      </w:pPr>
      <w:r w:rsidRPr="00BE3AB4">
        <w:rPr>
          <w:i/>
        </w:rPr>
        <w:t>m</w:t>
      </w:r>
      <w:r w:rsidRPr="00B834A2">
        <w:rPr>
          <w:vertAlign w:val="subscript"/>
        </w:rPr>
        <w:t>1</w:t>
      </w:r>
      <w:r w:rsidRPr="00B834A2">
        <w:t>-ը փորձարկման ավարտից հետո աերոզոլային բալոնի զանգվածն է՝ գրամներով.</w:t>
      </w:r>
    </w:p>
    <w:p w14:paraId="53497634" w14:textId="77777777" w:rsidR="00B834A2" w:rsidRPr="00B834A2" w:rsidRDefault="00B834A2" w:rsidP="008F5B6F">
      <w:pPr>
        <w:spacing w:after="160" w:line="346" w:lineRule="auto"/>
        <w:ind w:firstLine="567"/>
        <w:jc w:val="both"/>
      </w:pPr>
      <w:r w:rsidRPr="00BE3AB4">
        <w:rPr>
          <w:i/>
        </w:rPr>
        <w:t>Т</w:t>
      </w:r>
      <w:r w:rsidRPr="00B834A2">
        <w:t>-ն ժամանակն է՝ ժամերով.</w:t>
      </w:r>
    </w:p>
    <w:p w14:paraId="4448972F" w14:textId="77777777" w:rsidR="00B834A2" w:rsidRPr="00B834A2" w:rsidRDefault="00B834A2" w:rsidP="008F5B6F">
      <w:pPr>
        <w:spacing w:after="160" w:line="346" w:lineRule="auto"/>
        <w:ind w:firstLine="567"/>
        <w:jc w:val="both"/>
      </w:pPr>
      <w:r w:rsidRPr="00B834A2">
        <w:t>1000-ը գրամների փոխակերպումն է միլիգրամների:</w:t>
      </w:r>
    </w:p>
    <w:p w14:paraId="2FDCCE4D" w14:textId="77777777" w:rsidR="00B834A2" w:rsidRPr="00B834A2" w:rsidRDefault="00B834A2" w:rsidP="008F5B6F">
      <w:pPr>
        <w:spacing w:after="160" w:line="346" w:lineRule="auto"/>
        <w:ind w:firstLine="567"/>
        <w:jc w:val="both"/>
      </w:pPr>
      <w:r w:rsidRPr="00B834A2">
        <w:t>Փորձարկման ենթարկված աերոզոլային բալոնների պարունակության տարեկան արտահոսքի միջին արագությունը՝ միլիգրամներով (Vmi), հաշվարկում</w:t>
      </w:r>
      <w:r w:rsidR="00063A76" w:rsidRPr="00063A76">
        <w:t> </w:t>
      </w:r>
      <w:r w:rsidRPr="00B834A2">
        <w:t>են հետ</w:t>
      </w:r>
      <w:r>
        <w:t>եւ</w:t>
      </w:r>
      <w:r w:rsidRPr="00B834A2">
        <w:t>յալ բանաձ</w:t>
      </w:r>
      <w:r>
        <w:t>եւ</w:t>
      </w:r>
      <w:r w:rsidRPr="00B834A2">
        <w:t>ով.</w:t>
      </w:r>
    </w:p>
    <w:p w14:paraId="44E32CD9" w14:textId="77777777" w:rsidR="00B834A2" w:rsidRPr="00B834A2" w:rsidRDefault="00000000" w:rsidP="008F5B6F">
      <w:pPr>
        <w:spacing w:after="160" w:line="346" w:lineRule="auto"/>
        <w:jc w:val="both"/>
      </w:pPr>
      <m:oMathPara>
        <m:oMath>
          <m:sSub>
            <m:sSubPr>
              <m:ctrlPr>
                <w:rPr>
                  <w:rFonts w:ascii="Cambria Math" w:hAnsi="Cambria Math"/>
                </w:rPr>
              </m:ctrlPr>
            </m:sSubPr>
            <m:e>
              <m:r>
                <w:rPr>
                  <w:rFonts w:ascii="Cambria Math" w:hAnsi="Cambria Math"/>
                </w:rPr>
                <m:t>V</m:t>
              </m:r>
            </m:e>
            <m:sub>
              <m:r>
                <w:rPr>
                  <w:rFonts w:ascii="Cambria Math" w:hAnsi="Cambria Math"/>
                </w:rPr>
                <m:t>mi</m:t>
              </m:r>
            </m:sub>
          </m:sSub>
          <m:r>
            <m:rPr>
              <m:sty m:val="p"/>
            </m:rPr>
            <w:rPr>
              <w:rFonts w:ascii="Cambria Math" w:hAnsi="Cambria Math"/>
            </w:rPr>
            <m:t>=</m:t>
          </m:r>
          <m:f>
            <m:fPr>
              <m:ctrlPr>
                <w:rPr>
                  <w:rFonts w:ascii="Cambria Math" w:hAnsi="Cambria Math"/>
                </w:rPr>
              </m:ctrlPr>
            </m:fPr>
            <m:num>
              <m:r>
                <m:rPr>
                  <m:sty m:val="p"/>
                </m:rPr>
                <w:rPr>
                  <w:rFonts w:ascii="Cambria Math" w:hAnsi="Cambria Math"/>
                </w:rPr>
                <m:t>365∙24∙(</m:t>
              </m:r>
              <m:sSub>
                <m:sSubPr>
                  <m:ctrlPr>
                    <w:rPr>
                      <w:rFonts w:ascii="Cambria Math" w:hAnsi="Cambria Math"/>
                    </w:rPr>
                  </m:ctrlPr>
                </m:sSubPr>
                <m:e>
                  <m:r>
                    <w:rPr>
                      <w:rFonts w:ascii="Cambria Math" w:hAnsi="Cambria Math"/>
                    </w:rPr>
                    <m:t>m</m:t>
                  </m:r>
                </m:e>
                <m:sub>
                  <m:r>
                    <m:rPr>
                      <m:sty m:val="p"/>
                    </m:rPr>
                    <w:rPr>
                      <w:rFonts w:ascii="Cambria Math" w:hAnsi="Cambria Math"/>
                    </w:rPr>
                    <m:t>0</m:t>
                  </m:r>
                </m:sub>
              </m:sSub>
              <m:r>
                <w:rPr>
                  <w:rFonts w:ascii="Cambria Math" w:hAnsi="Cambria Math"/>
                </w:rPr>
                <m:t>i</m:t>
              </m:r>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r>
                <w:rPr>
                  <w:rFonts w:ascii="Cambria Math" w:hAnsi="Cambria Math"/>
                </w:rPr>
                <m:t>i</m:t>
              </m:r>
              <m:r>
                <m:rPr>
                  <m:sty m:val="p"/>
                </m:rPr>
                <w:rPr>
                  <w:rFonts w:ascii="Cambria Math" w:hAnsi="Cambria Math"/>
                </w:rPr>
                <m:t>)∙1000</m:t>
              </m:r>
            </m:num>
            <m:den>
              <m:r>
                <w:rPr>
                  <w:rFonts w:ascii="Cambria Math" w:hAnsi="Cambria Math"/>
                </w:rPr>
                <m:t>T</m:t>
              </m:r>
              <m:r>
                <m:rPr>
                  <m:sty m:val="p"/>
                </m:rPr>
                <w:rPr>
                  <w:rFonts w:ascii="Cambria Math" w:hAnsi="Cambria Math"/>
                </w:rPr>
                <m:t>∙</m:t>
              </m:r>
              <m:r>
                <w:rPr>
                  <w:rFonts w:ascii="Cambria Math" w:hAnsi="Cambria Math"/>
                </w:rPr>
                <m:t>n</m:t>
              </m:r>
            </m:den>
          </m:f>
          <m:r>
            <m:rPr>
              <m:sty m:val="p"/>
            </m:rPr>
            <w:rPr>
              <w:rFonts w:ascii="Cambria Math" w:hAnsi="Cambria Math"/>
            </w:rPr>
            <m:t>,</m:t>
          </m:r>
        </m:oMath>
      </m:oMathPara>
    </w:p>
    <w:p w14:paraId="5A3C689B" w14:textId="77777777" w:rsidR="00B834A2" w:rsidRPr="00B834A2" w:rsidRDefault="00B834A2" w:rsidP="008F5B6F">
      <w:pPr>
        <w:spacing w:after="160" w:line="346" w:lineRule="auto"/>
        <w:ind w:firstLine="567"/>
        <w:jc w:val="both"/>
      </w:pPr>
      <w:r w:rsidRPr="00B834A2">
        <w:t xml:space="preserve">որտեղ՝ </w:t>
      </w:r>
    </w:p>
    <w:p w14:paraId="5A85F21A" w14:textId="77777777" w:rsidR="00B834A2" w:rsidRPr="00B834A2" w:rsidRDefault="00B834A2" w:rsidP="008F5B6F">
      <w:pPr>
        <w:spacing w:after="160" w:line="346" w:lineRule="auto"/>
        <w:ind w:firstLine="567"/>
        <w:jc w:val="both"/>
      </w:pPr>
      <w:r w:rsidRPr="00BE3AB4">
        <w:rPr>
          <w:i/>
        </w:rPr>
        <w:t>m</w:t>
      </w:r>
      <w:r w:rsidRPr="00BE3AB4">
        <w:rPr>
          <w:i/>
          <w:vertAlign w:val="subscript"/>
        </w:rPr>
        <w:t>0</w:t>
      </w:r>
      <w:r w:rsidRPr="00B834A2">
        <w:rPr>
          <w:vertAlign w:val="subscript"/>
        </w:rPr>
        <w:t>i</w:t>
      </w:r>
      <w:r w:rsidRPr="00B834A2">
        <w:t>-ը փորձարկման ենթարկված աերոզոլային բալոնների՝ պարունակության հետ միասին զանգվածների հանրագումարն է՝ գրամներով.</w:t>
      </w:r>
    </w:p>
    <w:p w14:paraId="5FA5A995" w14:textId="77777777" w:rsidR="00B834A2" w:rsidRPr="00B834A2" w:rsidRDefault="00B834A2" w:rsidP="008F5B6F">
      <w:pPr>
        <w:spacing w:after="160" w:line="346" w:lineRule="auto"/>
        <w:ind w:firstLine="567"/>
        <w:jc w:val="both"/>
      </w:pPr>
      <w:r w:rsidRPr="00BE3AB4">
        <w:rPr>
          <w:i/>
        </w:rPr>
        <w:t>m</w:t>
      </w:r>
      <w:r w:rsidRPr="00BE3AB4">
        <w:rPr>
          <w:i/>
          <w:vertAlign w:val="subscript"/>
        </w:rPr>
        <w:t>1</w:t>
      </w:r>
      <w:r w:rsidRPr="00B834A2">
        <w:rPr>
          <w:vertAlign w:val="subscript"/>
        </w:rPr>
        <w:t>i</w:t>
      </w:r>
      <w:r w:rsidRPr="00B834A2">
        <w:t>-ը փորձարկման ավարտից հետո փորձարկման ենթարկված աերոզոլային բալոնների զանգվածների հանրագումարն է՝ գրամներով.</w:t>
      </w:r>
    </w:p>
    <w:p w14:paraId="7167A6AC" w14:textId="77777777" w:rsidR="00B834A2" w:rsidRPr="00B834A2" w:rsidRDefault="00B834A2" w:rsidP="008F5B6F">
      <w:pPr>
        <w:spacing w:after="160" w:line="346" w:lineRule="auto"/>
        <w:ind w:firstLine="567"/>
        <w:jc w:val="both"/>
      </w:pPr>
      <w:r w:rsidRPr="00BE3AB4">
        <w:rPr>
          <w:i/>
        </w:rPr>
        <w:t>n</w:t>
      </w:r>
      <w:r w:rsidRPr="00B834A2">
        <w:t>-ը փորձարկման ենթարկված աերոզոլային բալոնների քանակն է.</w:t>
      </w:r>
    </w:p>
    <w:p w14:paraId="307203C1" w14:textId="77777777" w:rsidR="00B834A2" w:rsidRPr="00B834A2" w:rsidRDefault="00B834A2" w:rsidP="008F5B6F">
      <w:pPr>
        <w:spacing w:after="160" w:line="346" w:lineRule="auto"/>
        <w:ind w:firstLine="567"/>
      </w:pPr>
      <w:r w:rsidRPr="00BE3AB4">
        <w:rPr>
          <w:i/>
        </w:rPr>
        <w:lastRenderedPageBreak/>
        <w:t>Т</w:t>
      </w:r>
      <w:r w:rsidRPr="00B834A2">
        <w:t>-ն ժամանակն է՝ ժամերով.</w:t>
      </w:r>
    </w:p>
    <w:p w14:paraId="2106D2EA" w14:textId="77777777" w:rsidR="00B834A2" w:rsidRPr="00B834A2" w:rsidRDefault="00B834A2" w:rsidP="008F5B6F">
      <w:pPr>
        <w:spacing w:after="160" w:line="346" w:lineRule="auto"/>
        <w:ind w:firstLine="567"/>
        <w:jc w:val="both"/>
      </w:pPr>
      <w:r w:rsidRPr="00B834A2">
        <w:t>1000-ը գրամների փոխակերպումն է միլիգրամների:</w:t>
      </w:r>
    </w:p>
    <w:p w14:paraId="1DD61FA5" w14:textId="77777777" w:rsidR="00B834A2" w:rsidRPr="00B834A2" w:rsidRDefault="00B834A2" w:rsidP="00F2280F">
      <w:pPr>
        <w:spacing w:after="160" w:line="360" w:lineRule="auto"/>
        <w:ind w:firstLine="567"/>
        <w:jc w:val="both"/>
      </w:pPr>
      <w:r w:rsidRPr="00B834A2">
        <w:t>Փորձարկման ենթարկված յուրաքանչյուր աերոզոլային բալոնի պարունակության տարեկան արտահոսքի արագությունը՝ տոկոսներով (V%), հաշվարկում են հետ</w:t>
      </w:r>
      <w:r>
        <w:t>եւ</w:t>
      </w:r>
      <w:r w:rsidRPr="00B834A2">
        <w:t>յալ բանաձ</w:t>
      </w:r>
      <w:r>
        <w:t>եւ</w:t>
      </w:r>
      <w:r w:rsidRPr="00B834A2">
        <w:t>ով.</w:t>
      </w:r>
    </w:p>
    <w:p w14:paraId="3A88BF1B" w14:textId="77777777" w:rsidR="00B834A2" w:rsidRPr="00B834A2" w:rsidRDefault="00000000" w:rsidP="00B834A2">
      <w:pPr>
        <w:spacing w:after="160" w:line="360" w:lineRule="auto"/>
        <w:jc w:val="both"/>
        <w:rPr>
          <w:lang w:val="en-US"/>
        </w:rPr>
      </w:pPr>
      <m:oMathPara>
        <m:oMath>
          <m:sSub>
            <m:sSubPr>
              <m:ctrlPr>
                <w:rPr>
                  <w:rFonts w:ascii="Cambria Math" w:hAnsi="Cambria Math"/>
                </w:rPr>
              </m:ctrlPr>
            </m:sSubPr>
            <m:e>
              <m:r>
                <w:rPr>
                  <w:rFonts w:ascii="Cambria Math" w:hAnsi="Cambria Math"/>
                </w:rPr>
                <m:t>V</m:t>
              </m:r>
            </m:e>
            <m:sub>
              <m:r>
                <m:rPr>
                  <m:sty m:val="p"/>
                </m:rPr>
                <w:rPr>
                  <w:rFonts w:ascii="Cambria Math" w:hAnsi="Cambria Math"/>
                </w:rPr>
                <m:t>%</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∙100</m:t>
              </m:r>
            </m:num>
            <m:den>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∙1000</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m</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∙10</m:t>
              </m:r>
            </m:den>
          </m:f>
          <m:r>
            <m:rPr>
              <m:sty m:val="p"/>
            </m:rPr>
            <w:rPr>
              <w:rFonts w:ascii="Cambria Math" w:hAnsi="Cambria Math"/>
            </w:rPr>
            <m:t>:</m:t>
          </m:r>
        </m:oMath>
      </m:oMathPara>
    </w:p>
    <w:p w14:paraId="2B183132" w14:textId="77777777" w:rsidR="00B834A2" w:rsidRPr="00B834A2" w:rsidRDefault="00B834A2" w:rsidP="00F2280F">
      <w:pPr>
        <w:spacing w:after="160" w:line="360" w:lineRule="auto"/>
        <w:ind w:firstLine="567"/>
        <w:jc w:val="both"/>
        <w:rPr>
          <w:lang w:val="en-US"/>
        </w:rPr>
      </w:pPr>
      <w:r w:rsidRPr="00B834A2">
        <w:t>Փորձարկման ենթարկված աերոզոլային բալոնների պարունակության տարեկան արտահոսքի միջին արագությունը՝ տոկոսներով (</w:t>
      </w:r>
      <w:r w:rsidRPr="00B834A2">
        <w:rPr>
          <w:i/>
        </w:rPr>
        <w:t>Vi%</w:t>
      </w:r>
      <w:r w:rsidRPr="00B834A2">
        <w:t>), հաշվարկում են հետ</w:t>
      </w:r>
      <w:r>
        <w:t>եւ</w:t>
      </w:r>
      <w:r w:rsidRPr="00B834A2">
        <w:t>յալ բանաձ</w:t>
      </w:r>
      <w:r>
        <w:t>եւ</w:t>
      </w:r>
      <w:r w:rsidRPr="00B834A2">
        <w:t>ով</w:t>
      </w:r>
      <w:r w:rsidRPr="00B834A2">
        <w:rPr>
          <w:lang w:val="en-US"/>
        </w:rPr>
        <w:t>.</w:t>
      </w:r>
    </w:p>
    <w:p w14:paraId="5A242274" w14:textId="77777777" w:rsidR="00B834A2" w:rsidRPr="00B834A2" w:rsidRDefault="00000000" w:rsidP="00F2280F">
      <w:pPr>
        <w:spacing w:after="160" w:line="360" w:lineRule="auto"/>
        <w:jc w:val="center"/>
        <w:rPr>
          <w:lang w:val="en-US"/>
        </w:rPr>
      </w:pPr>
      <m:oMath>
        <m:sSub>
          <m:sSubPr>
            <m:ctrlPr>
              <w:rPr>
                <w:rFonts w:ascii="Cambria Math" w:hAnsi="Cambria Math"/>
              </w:rPr>
            </m:ctrlPr>
          </m:sSubPr>
          <m:e>
            <m:r>
              <w:rPr>
                <w:rFonts w:ascii="Cambria Math" w:hAnsi="Cambria Math"/>
              </w:rPr>
              <m:t>Vi</m:t>
            </m:r>
          </m:e>
          <m:sub>
            <m:r>
              <m:rPr>
                <m:sty m:val="p"/>
              </m:rPr>
              <w:rPr>
                <w:rFonts w:ascii="Cambria Math" w:hAnsi="Cambria Math"/>
              </w:rPr>
              <m:t>%</m:t>
            </m:r>
          </m:sub>
        </m:sSub>
        <m:r>
          <m:rPr>
            <m:sty m:val="p"/>
          </m:rPr>
          <w:rPr>
            <w:rFonts w:ascii="Cambria Math" w:hAnsi="Cambria Math"/>
          </w:rPr>
          <m:t>=</m:t>
        </m:r>
        <m:f>
          <m:fPr>
            <m:ctrlPr>
              <w:rPr>
                <w:rFonts w:ascii="Cambria Math" w:hAnsi="Cambria Math"/>
              </w:rPr>
            </m:ctrlPr>
          </m:fPr>
          <m:num>
            <m:r>
              <w:rPr>
                <w:rFonts w:ascii="Cambria Math" w:hAnsi="Cambria Math"/>
              </w:rPr>
              <m:t>V</m:t>
            </m:r>
            <m:r>
              <m:rPr>
                <m:sty m:val="p"/>
              </m:rPr>
              <w:rPr>
                <w:rFonts w:ascii="Cambria Math" w:hAnsi="Cambria Math"/>
              </w:rPr>
              <m:t>mi∙100</m:t>
            </m:r>
          </m:num>
          <m:den>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i∙1000</m:t>
            </m:r>
          </m:den>
        </m:f>
        <m:r>
          <m:rPr>
            <m:sty m:val="p"/>
          </m:rPr>
          <w:rPr>
            <w:rFonts w:ascii="Cambria Math" w:hAnsi="Cambria Math"/>
          </w:rPr>
          <m:t>=</m:t>
        </m:r>
        <m:f>
          <m:fPr>
            <m:ctrlPr>
              <w:rPr>
                <w:rFonts w:ascii="Cambria Math" w:hAnsi="Cambria Math"/>
              </w:rPr>
            </m:ctrlPr>
          </m:fPr>
          <m:num>
            <m:r>
              <w:rPr>
                <w:rFonts w:ascii="Cambria Math" w:hAnsi="Cambria Math"/>
              </w:rPr>
              <m:t>V</m:t>
            </m:r>
            <m:r>
              <m:rPr>
                <m:sty m:val="p"/>
              </m:rPr>
              <w:rPr>
                <w:rFonts w:ascii="Cambria Math" w:hAnsi="Cambria Math"/>
              </w:rPr>
              <m:t>mi</m:t>
            </m:r>
          </m:num>
          <m:den>
            <m:sSub>
              <m:sSubPr>
                <m:ctrlPr>
                  <w:rPr>
                    <w:rFonts w:ascii="Cambria Math" w:hAnsi="Cambria Math"/>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i∙10</m:t>
            </m:r>
          </m:den>
        </m:f>
      </m:oMath>
      <w:r w:rsidR="00B834A2" w:rsidRPr="00B834A2">
        <w:rPr>
          <w:lang w:val="en-US"/>
        </w:rPr>
        <w:t>:</w:t>
      </w:r>
    </w:p>
    <w:p w14:paraId="374AAD6F" w14:textId="77777777" w:rsidR="00B834A2" w:rsidRDefault="00B834A2" w:rsidP="00F2280F">
      <w:pPr>
        <w:spacing w:after="160" w:line="360" w:lineRule="auto"/>
        <w:ind w:firstLine="567"/>
        <w:jc w:val="both"/>
        <w:rPr>
          <w:lang w:val="en-US"/>
        </w:rPr>
      </w:pPr>
      <w:r w:rsidRPr="00B834A2">
        <w:t xml:space="preserve">Եթե աերոզոլային բալոնի պարունակության զանգվածը 15 գ </w:t>
      </w:r>
      <w:r>
        <w:t>եւ</w:t>
      </w:r>
      <w:r w:rsidRPr="00B834A2">
        <w:t xml:space="preserve"> ավելի է, մասնավոր դեղագրքային հոդվածում կամ որակի վերաբերյալ նորմատիվ փաստաթղթում այլ ցուցումների բացակայության դեպքում 12 աերոզոլային բալոնների համար տարեկան արտահոսքի միջին արագությունը չպետք է գերազանցի աերոզոլային բալոնի պարունակության միջին զանգվածի 3,5 %-ը, իսկ դրանցից ոչ մեկի համար չպետք է գերազանցի 5,0 %-ը:</w:t>
      </w:r>
    </w:p>
    <w:p w14:paraId="46EC4760" w14:textId="77777777" w:rsidR="00B834A2" w:rsidRPr="00B834A2" w:rsidRDefault="00B834A2" w:rsidP="00F2280F">
      <w:pPr>
        <w:spacing w:after="160" w:line="360" w:lineRule="auto"/>
        <w:ind w:firstLine="567"/>
        <w:jc w:val="both"/>
      </w:pPr>
      <w:r w:rsidRPr="00B834A2">
        <w:t xml:space="preserve">Եթե թեկուզ մեկ աերոզոլային բալոնի համար տարեկան արտահոսքի միջին արագությունը գերազանցում է 5,0 %-ը, սակայն աերոզոլային բալոններից ոչ մեկի համար չի գերազանցում 7,0 %-ը, հոսակորստի արագության փորձարկումն անցկացնում են </w:t>
      </w:r>
      <w:r>
        <w:t>եւ</w:t>
      </w:r>
      <w:r w:rsidRPr="00B834A2">
        <w:t>ս 24 աերոզոլային բալոնների վրա: 36 աերոզոլային բալոններից ոչ ավելի, քան 2-ը կարող են ունենալ 5,0 %-ը գերազանցող տարեկան արտահոսքի միջին արագություն, իսկ դրանցից ոչ մեկի համար տարեկան արտահոսքի միջին արագությունը չպետք է գերազանցի 7,0 %-ը:</w:t>
      </w:r>
    </w:p>
    <w:p w14:paraId="717B15B9" w14:textId="77777777" w:rsidR="00B834A2" w:rsidRPr="00B834A2" w:rsidRDefault="00B834A2" w:rsidP="00063A76">
      <w:pPr>
        <w:spacing w:after="160" w:line="348" w:lineRule="auto"/>
        <w:ind w:firstLine="567"/>
        <w:jc w:val="both"/>
      </w:pPr>
      <w:r w:rsidRPr="00F2280F">
        <w:rPr>
          <w:spacing w:val="-4"/>
        </w:rPr>
        <w:t xml:space="preserve">Եթե աերոզոլային բալոնի պարունակության զանգվածը 15 գ-ից պակաս է, ապա 12 աերոզոլային բալոնների համար տարեկան արտահոսքի միջին արագությունը չպետք է գերազանցի 525 մգ-ը, իսկ դրանցից ոչ մեկի համար չպետք է գերազանցի </w:t>
      </w:r>
      <w:r w:rsidRPr="00F2280F">
        <w:rPr>
          <w:spacing w:val="-4"/>
        </w:rPr>
        <w:lastRenderedPageBreak/>
        <w:t>750</w:t>
      </w:r>
      <w:r w:rsidR="00BE3AB4" w:rsidRPr="00BE3AB4">
        <w:rPr>
          <w:spacing w:val="-4"/>
        </w:rPr>
        <w:t> </w:t>
      </w:r>
      <w:r w:rsidRPr="00F2280F">
        <w:rPr>
          <w:spacing w:val="-4"/>
        </w:rPr>
        <w:t>մգ-ը: Եթե թեկուզ մեկ աերոզոլային բալոնի համար տարեկան արտահոսքի արագությունը գերազանցում է 750 մգ-ը, սակայն ոչ ավելի, քան 1,1 գ, ապա հոսակորստի արագության փորձարկումն անցկացնում են եւս 24 աերոզոլային բալոնների վրա: 36 աերոզոլային բալոններից ոչ ավելի, քան 2-ը կարող է ունենալ 750</w:t>
      </w:r>
      <w:r w:rsidR="00BE3AB4" w:rsidRPr="00BE3AB4">
        <w:rPr>
          <w:spacing w:val="-4"/>
        </w:rPr>
        <w:t> </w:t>
      </w:r>
      <w:r w:rsidRPr="00F2280F">
        <w:rPr>
          <w:spacing w:val="-4"/>
        </w:rPr>
        <w:t>մգ-ը գերազանցող տարեկան արտահոսքի արագություն, իսկ դրանցից ոչ մեկի</w:t>
      </w:r>
      <w:r w:rsidRPr="00B834A2">
        <w:t xml:space="preserve"> համար տարեկան արտահոսքի արագությունը չպետք է գերազանցի 1,1 գ-ը:</w:t>
      </w:r>
    </w:p>
    <w:p w14:paraId="19FD50F9" w14:textId="77777777" w:rsidR="00B834A2" w:rsidRPr="00B834A2" w:rsidRDefault="00B834A2" w:rsidP="00063A76">
      <w:pPr>
        <w:spacing w:after="160" w:line="348" w:lineRule="auto"/>
        <w:jc w:val="both"/>
      </w:pPr>
    </w:p>
    <w:p w14:paraId="26181030" w14:textId="77777777" w:rsidR="00B834A2" w:rsidRPr="00A859E3" w:rsidRDefault="00B834A2" w:rsidP="00063A76">
      <w:pPr>
        <w:spacing w:after="160" w:line="348" w:lineRule="auto"/>
        <w:jc w:val="right"/>
        <w:rPr>
          <w:b/>
          <w:sz w:val="20"/>
        </w:rPr>
      </w:pPr>
      <w:r w:rsidRPr="00BE3AB4">
        <w:rPr>
          <w:b/>
          <w:sz w:val="20"/>
        </w:rPr>
        <w:t>201090020-2022</w:t>
      </w:r>
    </w:p>
    <w:p w14:paraId="0431CFF7" w14:textId="77777777" w:rsidR="00BE3AB4" w:rsidRPr="00A859E3" w:rsidRDefault="00BE3AB4" w:rsidP="00063A76">
      <w:pPr>
        <w:spacing w:after="160" w:line="348" w:lineRule="auto"/>
        <w:jc w:val="right"/>
        <w:rPr>
          <w:b/>
          <w:sz w:val="20"/>
        </w:rPr>
      </w:pPr>
    </w:p>
    <w:p w14:paraId="0603F7FF" w14:textId="77777777" w:rsidR="00B834A2" w:rsidRPr="00B834A2" w:rsidRDefault="00B834A2" w:rsidP="00063A76">
      <w:pPr>
        <w:tabs>
          <w:tab w:val="left" w:pos="1701"/>
        </w:tabs>
        <w:spacing w:after="160" w:line="348" w:lineRule="auto"/>
        <w:ind w:firstLine="567"/>
        <w:jc w:val="both"/>
        <w:rPr>
          <w:b/>
        </w:rPr>
      </w:pPr>
      <w:r w:rsidRPr="00B834A2">
        <w:rPr>
          <w:b/>
        </w:rPr>
        <w:t>2.1.9.20.</w:t>
      </w:r>
      <w:r w:rsidR="00F2280F" w:rsidRPr="00097504">
        <w:rPr>
          <w:b/>
        </w:rPr>
        <w:tab/>
      </w:r>
      <w:r w:rsidRPr="00B834A2">
        <w:rPr>
          <w:b/>
        </w:rPr>
        <w:t>Հերմետիկ փաթեթվածքի մեջ ճնշման որոշումը</w:t>
      </w:r>
    </w:p>
    <w:p w14:paraId="614DAD21" w14:textId="77777777" w:rsidR="00B834A2" w:rsidRPr="00B834A2" w:rsidRDefault="00B834A2" w:rsidP="00F2280F">
      <w:pPr>
        <w:spacing w:after="160" w:line="360" w:lineRule="auto"/>
        <w:ind w:firstLine="567"/>
        <w:jc w:val="both"/>
      </w:pPr>
      <w:r w:rsidRPr="00B834A2">
        <w:t xml:space="preserve">Տվյալ փորձարկումը նախատեսված է հերմետիկ փաթեթվածքի մեջ ճնշման տակ գտնվող այնպիսի աերոզոլներ </w:t>
      </w:r>
      <w:r>
        <w:t>եւ</w:t>
      </w:r>
      <w:r w:rsidRPr="00B834A2">
        <w:t xml:space="preserve"> փրփուրներ հանդիսացող դեղաձ</w:t>
      </w:r>
      <w:r>
        <w:t>եւ</w:t>
      </w:r>
      <w:r w:rsidRPr="00B834A2">
        <w:t xml:space="preserve">երի համար, որոնց մեջ պրոպելենտները սեղմված գազերն են, </w:t>
      </w:r>
      <w:r>
        <w:t>եւ</w:t>
      </w:r>
      <w:r w:rsidRPr="00B834A2">
        <w:t xml:space="preserve"> այդ փորձարկման նպատակը փաթեթվածքի ներսում ճնշումը որոշելն է:</w:t>
      </w:r>
    </w:p>
    <w:p w14:paraId="7BF7AD5E" w14:textId="77777777" w:rsidR="00B834A2" w:rsidRPr="00F2280F" w:rsidRDefault="00B834A2" w:rsidP="00F2280F">
      <w:pPr>
        <w:spacing w:after="160" w:line="360" w:lineRule="auto"/>
        <w:ind w:firstLine="567"/>
        <w:jc w:val="both"/>
        <w:rPr>
          <w:spacing w:val="-4"/>
        </w:rPr>
      </w:pPr>
      <w:r w:rsidRPr="00B834A2">
        <w:t xml:space="preserve">Մասնավոր դեղագրքային հոդվածում </w:t>
      </w:r>
      <w:r>
        <w:t>եւ</w:t>
      </w:r>
      <w:r w:rsidRPr="00B834A2">
        <w:t xml:space="preserve"> (կամ) որակի վերաբերյալ նորմատիվ փաստաթղթում այլ ցուցումների բացակայության դեպքում փորձարկումն անցկացնում են առնվազն 3 նմուշների վրա: Ճնշման տակ գտնվող </w:t>
      </w:r>
      <w:r w:rsidRPr="00F2280F">
        <w:rPr>
          <w:spacing w:val="-4"/>
        </w:rPr>
        <w:t>աերոզոլների կամ փրփուրների փաթեթվածքը, որպես կանոն, աերոզոլային բալոն է:</w:t>
      </w:r>
    </w:p>
    <w:p w14:paraId="67C2DBF1" w14:textId="77777777" w:rsidR="00B834A2" w:rsidRPr="00B834A2" w:rsidRDefault="00B834A2" w:rsidP="00F2280F">
      <w:pPr>
        <w:spacing w:after="160" w:line="346" w:lineRule="auto"/>
        <w:ind w:firstLine="567"/>
        <w:jc w:val="both"/>
      </w:pPr>
      <w:r w:rsidRPr="00B834A2">
        <w:t xml:space="preserve">Մեթոդիկան։ Մասնավոր դեղագրքային հոդվածում </w:t>
      </w:r>
      <w:r>
        <w:t>եւ</w:t>
      </w:r>
      <w:r w:rsidRPr="00B834A2">
        <w:t xml:space="preserve"> (կամ) որակի վերաբերյալ նորմատիվ փաստաթղթում այլ ցուցումների բացակայության դեպքում փորձարկման համար ընտրված աերոզոլային բալոնները</w:t>
      </w:r>
      <w:r w:rsidR="00BE3AB4">
        <w:t xml:space="preserve"> (20±</w:t>
      </w:r>
      <w:r w:rsidRPr="00B834A2">
        <w:t>5) °С ջերմաստիճանում պահում են 1 ժամ: Այնուհետ</w:t>
      </w:r>
      <w:r>
        <w:t>եւ</w:t>
      </w:r>
      <w:r w:rsidRPr="00B834A2">
        <w:t xml:space="preserve"> աերոզոլային բալոնները թափահարում են </w:t>
      </w:r>
      <w:r>
        <w:t>եւ</w:t>
      </w:r>
      <w:r w:rsidRPr="00B834A2">
        <w:t xml:space="preserve"> դնում են ուղղահայաց դիրքով: Հատուկ ադապտերի (հարմարակցիչի) օգնությամբ աերոզոլային բալոնի փականի անցքին են միացնում մանոմետր, որը ստուգաճշտված է մեծությունների նորմավորվող միջակայքում ճնշումը չափելու համար </w:t>
      </w:r>
      <w:r>
        <w:t>եւ</w:t>
      </w:r>
      <w:r w:rsidRPr="00B834A2">
        <w:t xml:space="preserve"> ունի չափումների ընդգրկույթի 2,5 %-ը չգերազանցող չափման թույլատրելի շեղում: Չափում են յուրաքանչյուր աերոզոլային բալոնի ներսում ճնշումը:</w:t>
      </w:r>
    </w:p>
    <w:p w14:paraId="397CA2DD" w14:textId="77777777" w:rsidR="00B834A2" w:rsidRPr="00B834A2" w:rsidRDefault="00B834A2" w:rsidP="00F2280F">
      <w:pPr>
        <w:spacing w:after="160" w:line="346" w:lineRule="auto"/>
        <w:ind w:firstLine="567"/>
        <w:jc w:val="both"/>
      </w:pPr>
      <w:r w:rsidRPr="00B834A2">
        <w:lastRenderedPageBreak/>
        <w:t xml:space="preserve">Յուրաքանչյուր փաթեթվածքի ներսում ճնշումը պետք է համապատասխանի մասնավոր դեղագրքային հոդվածում </w:t>
      </w:r>
      <w:r>
        <w:t>եւ</w:t>
      </w:r>
      <w:r w:rsidRPr="00B834A2">
        <w:t xml:space="preserve"> (կամ) որակի վերաբերյալ նորմատիվ փաստաթղթում նշված պահանջներին։ Մասնավոր դեղագրքային հոդվածում </w:t>
      </w:r>
      <w:r>
        <w:t>եւ</w:t>
      </w:r>
      <w:r w:rsidRPr="00B834A2">
        <w:t xml:space="preserve"> (կամ) որակի վերաբերյալ նորմատիվ փաստաթղթում այլ ցուցումների բացակայության դեպքում փորձարկվող փաթեթվածքներից յուրաքանչյուրի ներսում ճնշումը չպետք է գերազանցի 0,8 ՄՊա-ն:</w:t>
      </w:r>
    </w:p>
    <w:p w14:paraId="7D80CADA" w14:textId="77777777" w:rsidR="00B834A2" w:rsidRPr="00B834A2" w:rsidRDefault="00B834A2" w:rsidP="00F2280F">
      <w:pPr>
        <w:spacing w:after="160" w:line="346" w:lineRule="auto"/>
        <w:ind w:firstLine="567"/>
        <w:jc w:val="both"/>
      </w:pPr>
    </w:p>
    <w:p w14:paraId="50F313D7" w14:textId="77777777" w:rsidR="00B834A2" w:rsidRPr="00A859E3" w:rsidRDefault="00B834A2" w:rsidP="00F2280F">
      <w:pPr>
        <w:spacing w:after="160" w:line="346" w:lineRule="auto"/>
        <w:ind w:firstLine="567"/>
        <w:jc w:val="right"/>
        <w:rPr>
          <w:b/>
          <w:sz w:val="20"/>
        </w:rPr>
      </w:pPr>
      <w:r w:rsidRPr="00BE3AB4">
        <w:rPr>
          <w:b/>
          <w:sz w:val="20"/>
        </w:rPr>
        <w:t>201090021-2022</w:t>
      </w:r>
    </w:p>
    <w:p w14:paraId="184D08AF" w14:textId="77777777" w:rsidR="00BE3AB4" w:rsidRPr="00A859E3" w:rsidRDefault="00BE3AB4" w:rsidP="00F2280F">
      <w:pPr>
        <w:spacing w:after="160" w:line="346" w:lineRule="auto"/>
        <w:ind w:firstLine="567"/>
        <w:jc w:val="right"/>
        <w:rPr>
          <w:b/>
          <w:sz w:val="20"/>
        </w:rPr>
      </w:pPr>
    </w:p>
    <w:p w14:paraId="5E52D26D" w14:textId="77777777" w:rsidR="00B834A2" w:rsidRPr="00B834A2" w:rsidRDefault="00B834A2" w:rsidP="00F2280F">
      <w:pPr>
        <w:tabs>
          <w:tab w:val="left" w:pos="1701"/>
        </w:tabs>
        <w:spacing w:after="160" w:line="346" w:lineRule="auto"/>
        <w:ind w:firstLine="567"/>
        <w:jc w:val="both"/>
        <w:rPr>
          <w:b/>
        </w:rPr>
      </w:pPr>
      <w:r w:rsidRPr="00B834A2">
        <w:rPr>
          <w:b/>
        </w:rPr>
        <w:t>2.1.9.21.</w:t>
      </w:r>
      <w:r w:rsidR="00F2280F" w:rsidRPr="00097504">
        <w:rPr>
          <w:b/>
        </w:rPr>
        <w:tab/>
      </w:r>
      <w:r w:rsidRPr="00B834A2">
        <w:rPr>
          <w:b/>
        </w:rPr>
        <w:t>Վերականգնված դեղաձ</w:t>
      </w:r>
      <w:r>
        <w:rPr>
          <w:b/>
        </w:rPr>
        <w:t>եւ</w:t>
      </w:r>
      <w:r w:rsidRPr="00B834A2">
        <w:rPr>
          <w:b/>
        </w:rPr>
        <w:t>եր ստանալու համար լուծվելու կամ դիսպերսվելու ժամանակը</w:t>
      </w:r>
    </w:p>
    <w:p w14:paraId="2A5F89EC" w14:textId="77777777" w:rsidR="00B834A2" w:rsidRPr="00B834A2" w:rsidRDefault="00B834A2" w:rsidP="00F2280F">
      <w:pPr>
        <w:spacing w:after="160" w:line="346" w:lineRule="auto"/>
        <w:ind w:firstLine="567"/>
        <w:jc w:val="both"/>
      </w:pPr>
      <w:r w:rsidRPr="00B834A2">
        <w:t>Սույն ընդհանուր դեղագրքային հոդվածը նախատեսված է սկզբնական դեղաձ</w:t>
      </w:r>
      <w:r>
        <w:t>եւ</w:t>
      </w:r>
      <w:r w:rsidRPr="00B834A2">
        <w:t>երից դեղապատրաստուկների այնպիսի վերականգնված դեղաձ</w:t>
      </w:r>
      <w:r>
        <w:t>եւ</w:t>
      </w:r>
      <w:r w:rsidRPr="00B834A2">
        <w:t>եր ստանալու ժամանակը որոշելու համար, որոնց դեպքում նախքան կիրառումը պահանջվում է համապատասխան լուծիչի մեջ լուծվելու կամ դիսպերսվելու եղանակով լրացուցիչ կերպափոխում:</w:t>
      </w:r>
    </w:p>
    <w:p w14:paraId="2E3AF2E9" w14:textId="77777777" w:rsidR="00B834A2" w:rsidRPr="00B834A2" w:rsidRDefault="00B834A2" w:rsidP="00F2280F">
      <w:pPr>
        <w:spacing w:after="160" w:line="346" w:lineRule="auto"/>
        <w:ind w:firstLine="567"/>
        <w:jc w:val="both"/>
      </w:pPr>
      <w:r w:rsidRPr="00B834A2">
        <w:t>Տվյալ փորձարկումն առնչվում է հատիկներին, լիոֆիլիզատներին, փոշիներին (այսուհետ՝ պինդ դեղաձ</w:t>
      </w:r>
      <w:r>
        <w:t>եւ</w:t>
      </w:r>
      <w:r w:rsidRPr="00B834A2">
        <w:t>եր), որոնք նախատեսված են հեղուկ դեղաձ</w:t>
      </w:r>
      <w:r>
        <w:t>եւ</w:t>
      </w:r>
      <w:r w:rsidRPr="00B834A2">
        <w:t>եր ստանալու համար, ինչպես նա</w:t>
      </w:r>
      <w:r>
        <w:t>եւ</w:t>
      </w:r>
      <w:r w:rsidRPr="00B834A2">
        <w:t xml:space="preserve"> փրփրուն փոշիներին:</w:t>
      </w:r>
    </w:p>
    <w:p w14:paraId="268595C2" w14:textId="77777777" w:rsidR="00B834A2" w:rsidRPr="00B834A2" w:rsidRDefault="00B834A2" w:rsidP="00F2280F">
      <w:pPr>
        <w:spacing w:after="160" w:line="346" w:lineRule="auto"/>
        <w:ind w:firstLine="567"/>
        <w:jc w:val="both"/>
      </w:pPr>
      <w:r w:rsidRPr="00F2280F">
        <w:rPr>
          <w:spacing w:val="-4"/>
        </w:rPr>
        <w:t>«Լուծվելու կամ դիսպերսվելու ժամանակ» հասկացության տակ ենթադրում են այն ժամանակը, որի ընթացքում սկզբնական դեղաձեւն ամբողջությամբ լուծվել կամ դիսպերսվել</w:t>
      </w:r>
      <w:r w:rsidRPr="00B834A2">
        <w:t xml:space="preserve"> է համապատասխան լուծիչի մեջ. փրփրուն փոշիների դեպքում դադարել է ածխածնի դիօքսիդի պղպջակների արձակումը:</w:t>
      </w:r>
    </w:p>
    <w:p w14:paraId="6DCF0765" w14:textId="77777777" w:rsidR="006035D0" w:rsidRDefault="006035D0">
      <w:r>
        <w:br w:type="page"/>
      </w:r>
    </w:p>
    <w:p w14:paraId="3A5B9851" w14:textId="77777777" w:rsidR="00B834A2" w:rsidRPr="006B7DC5" w:rsidRDefault="00B834A2" w:rsidP="00063A76">
      <w:pPr>
        <w:spacing w:after="160" w:line="360" w:lineRule="auto"/>
        <w:ind w:firstLine="567"/>
        <w:jc w:val="both"/>
        <w:rPr>
          <w:b/>
        </w:rPr>
      </w:pPr>
      <w:r w:rsidRPr="00B834A2">
        <w:rPr>
          <w:b/>
        </w:rPr>
        <w:lastRenderedPageBreak/>
        <w:t>ՀԵՂՈՒԿ ԴԵՂԱՁԵՎԵՐ ՍՏԱՆԱԼՈՒ ՀԱՄԱՐ ՆԱԽԱՏԵՍՎԱԾ ՊԻՆԴ ԴԵՂԱՁԵՎԵՐԻ ՀԱՄԱՐ ՄԵԹՈԴԻԿԱՆ</w:t>
      </w:r>
    </w:p>
    <w:p w14:paraId="66EF212F" w14:textId="77777777" w:rsidR="00B834A2" w:rsidRPr="00B834A2" w:rsidRDefault="00B834A2" w:rsidP="00063A76">
      <w:pPr>
        <w:spacing w:after="160" w:line="360" w:lineRule="auto"/>
        <w:ind w:firstLine="567"/>
        <w:jc w:val="both"/>
      </w:pPr>
      <w:r w:rsidRPr="00B834A2">
        <w:t>Դեղապատրաստուկների վերականգնված դեղաձ</w:t>
      </w:r>
      <w:r>
        <w:t>եւ</w:t>
      </w:r>
      <w:r w:rsidRPr="00B834A2">
        <w:t>եր ստանալու համար պինդ դեղաձ</w:t>
      </w:r>
      <w:r>
        <w:t>եւ</w:t>
      </w:r>
      <w:r w:rsidRPr="00B834A2">
        <w:t>երի լուծվելու կամ դիսպերսվելու գործընթացը պետք է անցնի այնպիսի պայմաններում, որոնք ապահովում են պինդ դեղաձ</w:t>
      </w:r>
      <w:r>
        <w:t>եւ</w:t>
      </w:r>
      <w:r w:rsidRPr="00B834A2">
        <w:t xml:space="preserve">ով դեղապատրաստուկի բոլոր բաղադրիչների լրիվ թրջվելը </w:t>
      </w:r>
      <w:r>
        <w:t>եւ</w:t>
      </w:r>
      <w:r w:rsidRPr="00B834A2">
        <w:t xml:space="preserve"> որոշակի ինտենսիվությամբ թափախառնման դեպքում բավարար ժամանակի ընթացքում պինդ բաղադրիչների՝ լուծույթի վերածվելը: Անհրաժեշտության դեպքում պետք է նշվեն դեղապատրաստուկի լուծվելուն ներկայացվող հատուկ պահանջներ (օրինակ՝ ջերմաստիճանային ռեժիմ </w:t>
      </w:r>
      <w:r>
        <w:t>եւ</w:t>
      </w:r>
      <w:r w:rsidRPr="00B834A2">
        <w:t xml:space="preserve"> այլն):</w:t>
      </w:r>
    </w:p>
    <w:p w14:paraId="7ED8E608" w14:textId="77777777" w:rsidR="00B834A2" w:rsidRPr="00B834A2" w:rsidRDefault="00B834A2" w:rsidP="00F2280F">
      <w:pPr>
        <w:spacing w:after="160" w:line="346" w:lineRule="auto"/>
        <w:ind w:firstLine="567"/>
        <w:jc w:val="both"/>
      </w:pPr>
      <w:r w:rsidRPr="00B834A2">
        <w:t>Իրականացնում են տեսողական որոշում 6 նմուշի վրա, ժամանակի հաշվարկը կատարում են վայրկենաչափի օգնությամբ:</w:t>
      </w:r>
    </w:p>
    <w:p w14:paraId="61FDB891" w14:textId="77777777" w:rsidR="00B834A2" w:rsidRPr="00B834A2" w:rsidRDefault="00B834A2" w:rsidP="00F2280F">
      <w:pPr>
        <w:spacing w:after="160" w:line="346" w:lineRule="auto"/>
        <w:ind w:firstLine="567"/>
        <w:jc w:val="both"/>
      </w:pPr>
      <w:r w:rsidRPr="00B834A2">
        <w:t>Նմուշ ասելով՝ հասկանում են միադեղաչափ փաթեթվածքով դեղապատրաստուկը:</w:t>
      </w:r>
    </w:p>
    <w:p w14:paraId="5D9E6FA9" w14:textId="77777777" w:rsidR="00B834A2" w:rsidRPr="00B834A2" w:rsidRDefault="00B834A2" w:rsidP="00F2280F">
      <w:pPr>
        <w:spacing w:after="160" w:line="346" w:lineRule="auto"/>
        <w:ind w:firstLine="567"/>
        <w:jc w:val="both"/>
      </w:pPr>
      <w:r w:rsidRPr="00B834A2">
        <w:t xml:space="preserve">Մասնավոր դեղագրքային հոդվածում </w:t>
      </w:r>
      <w:r>
        <w:t>եւ</w:t>
      </w:r>
      <w:r w:rsidRPr="00B834A2">
        <w:t xml:space="preserve"> (կամ) որակի վերաբերյալ նորմատիվ փաստաթղթում այլ ցուցումների բացակայության դեպքում պինդ դեղաձ</w:t>
      </w:r>
      <w:r>
        <w:t>եւ</w:t>
      </w:r>
      <w:r w:rsidRPr="00B834A2">
        <w:t>ը փորձարկումն անցնում է ըստ «Դեղապատրաստուկների վերականգնված դեղաձ</w:t>
      </w:r>
      <w:r>
        <w:t>եւ</w:t>
      </w:r>
      <w:r w:rsidRPr="00B834A2">
        <w:t>եր ստանալու համար լուծվելու ժամանակը կամ դիսպերսվելու ժամանակը» ցուցանիշի, եթե 6 նմուշներից յուրաքանչյուրը լուծվում կամ դիսպերսվում է ոչ ավելի, քան 5 րոպեի ընթացքում:</w:t>
      </w:r>
    </w:p>
    <w:p w14:paraId="222E9032" w14:textId="77777777" w:rsidR="00B834A2" w:rsidRPr="00B834A2" w:rsidRDefault="00B834A2" w:rsidP="00F2280F">
      <w:pPr>
        <w:spacing w:after="160" w:line="360" w:lineRule="auto"/>
        <w:ind w:firstLine="567"/>
        <w:jc w:val="both"/>
      </w:pPr>
      <w:r w:rsidRPr="00B834A2">
        <w:t>Տարբերակում են «Դեղապատրաստուկների վերականգնված դեղաձ</w:t>
      </w:r>
      <w:r>
        <w:t>եւ</w:t>
      </w:r>
      <w:r w:rsidRPr="00B834A2">
        <w:t>եր ստանալու համար լուծվելու ժամանակը կամ դիսպերսվելու ժամանակը» ցուցանիշի որոշման համար նմուշների նախապատրաստման երկու եղանակ:</w:t>
      </w:r>
    </w:p>
    <w:p w14:paraId="6F5E93EB" w14:textId="77777777" w:rsidR="00B834A2" w:rsidRPr="00B834A2" w:rsidRDefault="00B834A2" w:rsidP="00F2280F">
      <w:pPr>
        <w:spacing w:after="160" w:line="360" w:lineRule="auto"/>
        <w:ind w:firstLine="567"/>
        <w:jc w:val="both"/>
      </w:pPr>
      <w:r w:rsidRPr="00B834A2">
        <w:t>Այն դեպքում, երբ լուծիչի ծավալը չի գերազանցում որպես կանոն սրվակ հանդիսացող փաթեթվածքի նոմինալ ծավալը, որոշումը կատարվում է հետ</w:t>
      </w:r>
      <w:r>
        <w:t>եւ</w:t>
      </w:r>
      <w:r w:rsidRPr="00B834A2">
        <w:t>յալ կերպ: Պինդ դեղաձ</w:t>
      </w:r>
      <w:r>
        <w:t>եւ</w:t>
      </w:r>
      <w:r w:rsidRPr="00B834A2">
        <w:t xml:space="preserve"> հանդիսացող դեղապատրաստուկով սրվակի մեջ ներմուծում</w:t>
      </w:r>
      <w:r w:rsidR="006B3C70" w:rsidRPr="006B3C70">
        <w:t> </w:t>
      </w:r>
      <w:r w:rsidRPr="00B834A2">
        <w:t xml:space="preserve">են մասնավոր դեղագրքային հոդվածում </w:t>
      </w:r>
      <w:r>
        <w:t>եւ</w:t>
      </w:r>
      <w:r w:rsidRPr="00B834A2">
        <w:t xml:space="preserve"> (կամ) որակի վերաբերյալ նորմատիվ </w:t>
      </w:r>
      <w:r w:rsidRPr="00BE3AB4">
        <w:rPr>
          <w:spacing w:val="4"/>
        </w:rPr>
        <w:t xml:space="preserve">փաստաթղթում նշված լուծիչի քանակը եւ զգուշորեն խառնում կամ </w:t>
      </w:r>
      <w:r w:rsidRPr="00BE3AB4">
        <w:rPr>
          <w:spacing w:val="4"/>
        </w:rPr>
        <w:lastRenderedPageBreak/>
        <w:t>թափահարում են,</w:t>
      </w:r>
      <w:r w:rsidRPr="00B834A2">
        <w:t xml:space="preserve"> մինչ</w:t>
      </w:r>
      <w:r>
        <w:t>եւ</w:t>
      </w:r>
      <w:r w:rsidRPr="00B834A2">
        <w:t xml:space="preserve"> պինդ դեղաձ</w:t>
      </w:r>
      <w:r>
        <w:t>եւ</w:t>
      </w:r>
      <w:r w:rsidRPr="00B834A2">
        <w:t>ն ամբողջությամբ լուծվի կամ դիսպերսվի: Սահմանված դեպքերում լուծիչը ներմուծում են՝ դեղապատրաստուկով սրվակը խցանափակող ռետինե խցանը ծակելով համապատասխան լուծիչով նախապես լցված ներարկիչի օգնությամբ:</w:t>
      </w:r>
    </w:p>
    <w:p w14:paraId="1A5DA2B2" w14:textId="77777777" w:rsidR="00B834A2" w:rsidRPr="00B834A2" w:rsidRDefault="00B834A2" w:rsidP="00F2280F">
      <w:pPr>
        <w:spacing w:after="160" w:line="360" w:lineRule="auto"/>
        <w:ind w:firstLine="567"/>
        <w:jc w:val="both"/>
      </w:pPr>
      <w:r w:rsidRPr="00B834A2">
        <w:t>Դեղապատրաստուկի լուծվելու կամ դիսպերսվելու ժամանակը չափում են լուծիչը դեղապատրաստուկով փաթեթվածքի մեջ ներմուծելու պահից:</w:t>
      </w:r>
    </w:p>
    <w:p w14:paraId="1537581D" w14:textId="77777777" w:rsidR="00B834A2" w:rsidRPr="00B834A2" w:rsidRDefault="00B834A2" w:rsidP="006B3C70">
      <w:pPr>
        <w:spacing w:after="160" w:line="336" w:lineRule="auto"/>
        <w:ind w:firstLine="567"/>
        <w:jc w:val="both"/>
      </w:pPr>
      <w:r w:rsidRPr="00B834A2">
        <w:t>Եթե լուծիչի ծավալը գերազանցում է փաթեթվածքի նոմինալ ծավալը, կամ եթե փաթեթվածքը նախատեսված չէ դրա մեջ լուծիչ ներմուծելու համար, որոշումը կատարում են հետ</w:t>
      </w:r>
      <w:r>
        <w:t>եւ</w:t>
      </w:r>
      <w:r w:rsidRPr="00B834A2">
        <w:t>յալ կերպ:</w:t>
      </w:r>
      <w:r w:rsidR="00696072">
        <w:t xml:space="preserve"> </w:t>
      </w:r>
      <w:r w:rsidRPr="00B834A2">
        <w:t>Պինդ դեղաձ</w:t>
      </w:r>
      <w:r>
        <w:t>եւ</w:t>
      </w:r>
      <w:r w:rsidRPr="00B834A2">
        <w:t xml:space="preserve">ով դեղապատրաստուկի մեկ դեղաչափը դնում են մասնավոր դեղագրքային հոդվածում </w:t>
      </w:r>
      <w:r>
        <w:t>եւ</w:t>
      </w:r>
      <w:r w:rsidRPr="00B834A2">
        <w:t xml:space="preserve"> (կամ) որակի վերաբերյալ նորմատիվ փաստաթղթում նշված՝ լուծիչի չափված քանակ պարունակող բաժակի մեջ, զգուշորեն խառնում կամ թափահարում են, մինչ</w:t>
      </w:r>
      <w:r>
        <w:t>եւ</w:t>
      </w:r>
      <w:r w:rsidRPr="00B834A2">
        <w:t xml:space="preserve"> պինդ դեղաձ</w:t>
      </w:r>
      <w:r>
        <w:t>եւ</w:t>
      </w:r>
      <w:r w:rsidRPr="00B834A2">
        <w:t>ն ամբողջությամբ լուծվի կամ դիսպերսվի:</w:t>
      </w:r>
    </w:p>
    <w:p w14:paraId="073C1506" w14:textId="77777777" w:rsidR="00B834A2" w:rsidRPr="00B834A2" w:rsidRDefault="00B834A2" w:rsidP="006B3C70">
      <w:pPr>
        <w:spacing w:after="160" w:line="336" w:lineRule="auto"/>
        <w:ind w:firstLine="567"/>
        <w:jc w:val="both"/>
      </w:pPr>
      <w:r w:rsidRPr="00B834A2">
        <w:t>Դեղապատրաստուկի վերականգնված դեղաձ</w:t>
      </w:r>
      <w:r>
        <w:t>եւ</w:t>
      </w:r>
      <w:r w:rsidRPr="00B834A2">
        <w:t xml:space="preserve"> ստանալու համար լուծվելու կամ դիսպերսվելու ժամանակը չափում են դեղաձ</w:t>
      </w:r>
      <w:r>
        <w:t>եւ</w:t>
      </w:r>
      <w:r w:rsidRPr="00B834A2">
        <w:t>ը լուծիչի մեջ ներմուծելու պահից:</w:t>
      </w:r>
    </w:p>
    <w:p w14:paraId="26FF3B68" w14:textId="77777777" w:rsidR="00B834A2" w:rsidRPr="00B834A2" w:rsidRDefault="00B834A2" w:rsidP="006B3C70">
      <w:pPr>
        <w:spacing w:after="160" w:line="336" w:lineRule="auto"/>
        <w:ind w:firstLine="567"/>
        <w:jc w:val="both"/>
      </w:pPr>
    </w:p>
    <w:p w14:paraId="2896CF69" w14:textId="77777777" w:rsidR="00B834A2" w:rsidRPr="006B7DC5" w:rsidRDefault="00B834A2" w:rsidP="006B3C70">
      <w:pPr>
        <w:spacing w:after="160" w:line="336" w:lineRule="auto"/>
        <w:ind w:firstLine="567"/>
        <w:jc w:val="both"/>
        <w:rPr>
          <w:b/>
        </w:rPr>
      </w:pPr>
      <w:r w:rsidRPr="00B834A2">
        <w:rPr>
          <w:b/>
        </w:rPr>
        <w:t>ՈՐՈՇՄԱՆ ՄԵԹՈԴԻԿԱՆ՝ ՓՐՓՐՈՒՆ ՓՈՇԻՆԵՐԻ ՀԱՄԱՐ</w:t>
      </w:r>
    </w:p>
    <w:p w14:paraId="3C9FC5B0" w14:textId="77777777" w:rsidR="00B834A2" w:rsidRPr="00B834A2" w:rsidRDefault="00B834A2" w:rsidP="006B3C70">
      <w:pPr>
        <w:spacing w:after="160" w:line="336" w:lineRule="auto"/>
        <w:ind w:firstLine="567"/>
        <w:jc w:val="both"/>
      </w:pPr>
      <w:r w:rsidRPr="00B834A2">
        <w:t>Իրականացնում են տեսողական որոշում 6 նմուշի վրա, ժամանակի հաշվարկը կատարում են վայրկենաչափի օգնությամբ:</w:t>
      </w:r>
    </w:p>
    <w:p w14:paraId="586FC2E8" w14:textId="77777777" w:rsidR="00B834A2" w:rsidRPr="00B834A2" w:rsidRDefault="00B834A2" w:rsidP="006B3C70">
      <w:pPr>
        <w:spacing w:after="160" w:line="336" w:lineRule="auto"/>
        <w:ind w:firstLine="567"/>
        <w:jc w:val="both"/>
      </w:pPr>
      <w:r w:rsidRPr="00B834A2">
        <w:t>Նմուշ ասելով՝ հասկանում են միադեղաչափ փաթեթվածքով դեղապատրաստուկը:</w:t>
      </w:r>
    </w:p>
    <w:p w14:paraId="5295338B" w14:textId="77777777" w:rsidR="00B834A2" w:rsidRPr="00B834A2" w:rsidRDefault="00B834A2" w:rsidP="006B3C70">
      <w:pPr>
        <w:spacing w:after="160" w:line="336" w:lineRule="auto"/>
        <w:ind w:firstLine="567"/>
        <w:jc w:val="both"/>
      </w:pPr>
      <w:r w:rsidRPr="00B834A2">
        <w:t xml:space="preserve">Եթե մասնավոր դեղագրքային հոդվածում </w:t>
      </w:r>
      <w:r>
        <w:t>եւ</w:t>
      </w:r>
      <w:r w:rsidRPr="00B834A2">
        <w:t xml:space="preserve"> (կամ) որակի վերաբերյալ նորմատիվ փաստաթղթում այլ ցուցումներ չկան, փրփրուն փոշին փորձարկումն անցնում է ըստ «Դեղապատրաստուկի վերականգնված դեղաձ</w:t>
      </w:r>
      <w:r>
        <w:t>եւ</w:t>
      </w:r>
      <w:r w:rsidRPr="00B834A2">
        <w:t xml:space="preserve"> ստանալու համար լուծվելու ժամանակը կամ դիսպերսվելու ժամանակը» ցուցանիշի, եթե դեղապատրաստուկի փորձարկվող 6 նմուշներից յուրաքանչյուրը լուծվում կամ դիսպերսվում է ոչ ավելի, քան 5 րոպեի ընթացքում:</w:t>
      </w:r>
    </w:p>
    <w:p w14:paraId="40E73F9A" w14:textId="77777777" w:rsidR="00B834A2" w:rsidRPr="00B834A2" w:rsidRDefault="00B834A2" w:rsidP="00F2280F">
      <w:pPr>
        <w:spacing w:after="160" w:line="360" w:lineRule="auto"/>
        <w:ind w:firstLine="567"/>
        <w:jc w:val="both"/>
      </w:pPr>
      <w:r w:rsidRPr="00B834A2">
        <w:lastRenderedPageBreak/>
        <w:t>Փրփրուն փոշու տեսքով դեղապատրաստուկի մեկ դեղաչափը դնում են 200 մլ ջուր պարունակող բաժակի մեջ 15 °С-25 °С ջերմաստիճանում, միաժամանակ սկսում են գազի պղպջակներ արձակվել: Դեղաձ</w:t>
      </w:r>
      <w:r>
        <w:t>եւ</w:t>
      </w:r>
      <w:r w:rsidRPr="00B834A2">
        <w:t>ը համարվում է վերականգնված, եթե գազի պղպջակների արձակումը դադարելուց հետո այն ամբողջությամբ լուծվել կամ դիսպերսվել է:</w:t>
      </w:r>
    </w:p>
    <w:p w14:paraId="027FC433" w14:textId="77777777" w:rsidR="00B834A2" w:rsidRPr="00B834A2" w:rsidRDefault="00B834A2" w:rsidP="00F2280F">
      <w:pPr>
        <w:spacing w:after="160" w:line="360" w:lineRule="auto"/>
        <w:ind w:firstLine="567"/>
        <w:jc w:val="both"/>
      </w:pPr>
    </w:p>
    <w:p w14:paraId="7A96966A" w14:textId="77777777" w:rsidR="00B834A2" w:rsidRPr="00A859E3" w:rsidRDefault="00B834A2" w:rsidP="00F2280F">
      <w:pPr>
        <w:spacing w:after="160" w:line="360" w:lineRule="auto"/>
        <w:ind w:firstLine="567"/>
        <w:jc w:val="right"/>
        <w:rPr>
          <w:b/>
          <w:sz w:val="20"/>
        </w:rPr>
      </w:pPr>
      <w:r w:rsidRPr="00BE3AB4">
        <w:rPr>
          <w:b/>
          <w:sz w:val="20"/>
        </w:rPr>
        <w:t>201090022-2022</w:t>
      </w:r>
    </w:p>
    <w:p w14:paraId="7E15620F" w14:textId="77777777" w:rsidR="00BE3AB4" w:rsidRPr="00A859E3" w:rsidRDefault="00BE3AB4" w:rsidP="00F2280F">
      <w:pPr>
        <w:spacing w:after="160" w:line="360" w:lineRule="auto"/>
        <w:ind w:firstLine="567"/>
        <w:jc w:val="right"/>
        <w:rPr>
          <w:b/>
          <w:sz w:val="20"/>
        </w:rPr>
      </w:pPr>
    </w:p>
    <w:p w14:paraId="155FCC78" w14:textId="77777777" w:rsidR="00B834A2" w:rsidRPr="00B834A2" w:rsidRDefault="00B834A2" w:rsidP="00F2280F">
      <w:pPr>
        <w:tabs>
          <w:tab w:val="left" w:pos="1701"/>
        </w:tabs>
        <w:spacing w:after="160" w:line="360" w:lineRule="auto"/>
        <w:ind w:firstLine="567"/>
        <w:jc w:val="both"/>
        <w:rPr>
          <w:b/>
        </w:rPr>
      </w:pPr>
      <w:r w:rsidRPr="00B834A2">
        <w:rPr>
          <w:b/>
        </w:rPr>
        <w:t>2.1.9.22.</w:t>
      </w:r>
      <w:r w:rsidR="00F2280F" w:rsidRPr="00097504">
        <w:rPr>
          <w:b/>
        </w:rPr>
        <w:tab/>
      </w:r>
      <w:r w:rsidRPr="00B834A2">
        <w:rPr>
          <w:b/>
        </w:rPr>
        <w:t xml:space="preserve">Հատիկների </w:t>
      </w:r>
      <w:r>
        <w:rPr>
          <w:b/>
        </w:rPr>
        <w:t>եւ</w:t>
      </w:r>
      <w:r w:rsidRPr="00B834A2">
        <w:rPr>
          <w:b/>
        </w:rPr>
        <w:t xml:space="preserve"> գնդարդների մաշվելիությունը</w:t>
      </w:r>
    </w:p>
    <w:p w14:paraId="1733C42E" w14:textId="77777777" w:rsidR="00B834A2" w:rsidRPr="006B7DC5" w:rsidRDefault="00B834A2" w:rsidP="00F2280F">
      <w:pPr>
        <w:spacing w:after="160" w:line="360" w:lineRule="auto"/>
        <w:ind w:firstLine="567"/>
        <w:jc w:val="both"/>
      </w:pPr>
      <w:r w:rsidRPr="00B834A2">
        <w:t xml:space="preserve">Տվյալ ընդհանուր դեղագրքային հոդվածում նկարագրվում են հատիկների </w:t>
      </w:r>
      <w:r>
        <w:t>եւ</w:t>
      </w:r>
      <w:r w:rsidRPr="00B834A2">
        <w:t xml:space="preserve"> գնդարդների մաշվելիության որոշման երկու մեթոդներ, որոնք կարող են կիրառվել դեղագործական մշակման դեպքում: Թույլատրվում է հավասարապես պիտանի այլ մեթոդների կիրառումը:</w:t>
      </w:r>
    </w:p>
    <w:p w14:paraId="37F9CF1C" w14:textId="77777777" w:rsidR="00B834A2" w:rsidRPr="00B834A2" w:rsidRDefault="00B834A2" w:rsidP="00F2280F">
      <w:pPr>
        <w:spacing w:after="160" w:line="360" w:lineRule="auto"/>
        <w:ind w:firstLine="567"/>
        <w:jc w:val="both"/>
      </w:pPr>
      <w:r w:rsidRPr="00B834A2">
        <w:t xml:space="preserve">Փորձարկումը նախատեսված է սահմանված պայմաններում հատիկների </w:t>
      </w:r>
      <w:r>
        <w:t>եւ</w:t>
      </w:r>
      <w:r w:rsidRPr="00B834A2">
        <w:t xml:space="preserve"> գնդարդների մաշվելիությունը որոշելու համար: Մաշվելիությունը որոշում են որպես հատիկների կամ գնդարդների զանգվածի նվազում կամ դրանց բեկորների առաջացում, որը դիտվում է մշակման ընթացքում հատիկների կամ գնդարդների վրա մեխանիկական ազդեցության դեպքում (թափահարում, թրթռում, կեղծ հեղուկացված շերտի ազդեցություն </w:t>
      </w:r>
      <w:r>
        <w:t>եւ</w:t>
      </w:r>
      <w:r w:rsidRPr="00B834A2">
        <w:t xml:space="preserve"> այլն): Հատիկների կամ գնդարդների քերծվածքները, կոտրվածքները կամ ձ</w:t>
      </w:r>
      <w:r>
        <w:t>եւ</w:t>
      </w:r>
      <w:r w:rsidRPr="00B834A2">
        <w:t>ախախտումները դասվում են փոփոխությունների շարքին:</w:t>
      </w:r>
    </w:p>
    <w:p w14:paraId="058B3A12" w14:textId="77777777" w:rsidR="00B834A2" w:rsidRPr="00B834A2" w:rsidRDefault="00B834A2" w:rsidP="00F2280F">
      <w:pPr>
        <w:spacing w:after="160" w:line="360" w:lineRule="auto"/>
        <w:ind w:firstLine="567"/>
        <w:jc w:val="both"/>
      </w:pPr>
    </w:p>
    <w:p w14:paraId="493F704C" w14:textId="77777777" w:rsidR="00B834A2" w:rsidRPr="006B7DC5" w:rsidRDefault="00B834A2" w:rsidP="00F2280F">
      <w:pPr>
        <w:spacing w:after="160" w:line="346" w:lineRule="auto"/>
        <w:ind w:firstLine="567"/>
        <w:jc w:val="both"/>
        <w:rPr>
          <w:b/>
        </w:rPr>
      </w:pPr>
      <w:r w:rsidRPr="00B834A2">
        <w:rPr>
          <w:b/>
        </w:rPr>
        <w:t>ՄԵԹՈԴ 1</w:t>
      </w:r>
    </w:p>
    <w:p w14:paraId="21C3F073" w14:textId="77777777" w:rsidR="00B834A2" w:rsidRPr="00B834A2" w:rsidRDefault="00B834A2" w:rsidP="00F2280F">
      <w:pPr>
        <w:spacing w:after="160" w:line="346" w:lineRule="auto"/>
        <w:ind w:firstLine="567"/>
        <w:jc w:val="both"/>
      </w:pPr>
      <w:r w:rsidRPr="00B834A2">
        <w:rPr>
          <w:b/>
        </w:rPr>
        <w:t>Սարքը (կեղծ հեղուկացված շերտի ստեղծման համար նախատեսված սարքը):</w:t>
      </w:r>
      <w:r w:rsidRPr="00B834A2">
        <w:t>Սարքը (նկար 2.1.9.22-1) բաղկացած է ապակյա գլանից (Ա)՝ կոնաձ</w:t>
      </w:r>
      <w:r>
        <w:t>եւ</w:t>
      </w:r>
      <w:r w:rsidRPr="00B834A2">
        <w:t xml:space="preserve"> ստորին հատվածով: Գլանը համալրված է 500 մկմ չափով անցքեր ունեցող ցանցավոր կափարիչով (Բ) կամ ցանկացած այլ համապատասխան մաղով: </w:t>
      </w:r>
      <w:r w:rsidRPr="00B834A2">
        <w:lastRenderedPageBreak/>
        <w:t>Կոնուսաձ</w:t>
      </w:r>
      <w:r>
        <w:t>եւ</w:t>
      </w:r>
      <w:r w:rsidRPr="00B834A2">
        <w:t xml:space="preserve"> ծայրն ամրակցված է Ս-ձ</w:t>
      </w:r>
      <w:r>
        <w:t>եւ</w:t>
      </w:r>
      <w:r w:rsidRPr="00B834A2">
        <w:t xml:space="preserve"> ապակյա խողովակին (Գ), որը կարող է գլանից անջատվել հատիկների կամ գնդարդների հեռացման համար: Ս-ձ</w:t>
      </w:r>
      <w:r>
        <w:t>եւ</w:t>
      </w:r>
      <w:r w:rsidRPr="00B834A2">
        <w:t xml:space="preserve"> խողովակն ամրակցված է Т-ձ</w:t>
      </w:r>
      <w:r>
        <w:t>եւ</w:t>
      </w:r>
      <w:r w:rsidRPr="00B834A2">
        <w:t xml:space="preserve"> կցորդիչին (Դ): Т-ձ</w:t>
      </w:r>
      <w:r>
        <w:t>եւ</w:t>
      </w:r>
      <w:r w:rsidRPr="00B834A2">
        <w:t xml:space="preserve"> կցորդիչի մի ծայրը սիլիկոնային խողովակով միակցված է սեղմված օդի (օգտագործում են սեղմված օդ) հոսքը կարգավորող մանոմետրին, մյուս ծայրը սիլիկոնային խողովակով միակցված է հոսքի արագության չափիչին (Ե) (0,10-1,00 մ3∙ժ-1):</w:t>
      </w:r>
    </w:p>
    <w:p w14:paraId="74EC2146" w14:textId="77777777" w:rsidR="00B834A2" w:rsidRPr="00B834A2" w:rsidRDefault="00B834A2" w:rsidP="00F2280F">
      <w:pPr>
        <w:spacing w:after="160" w:line="346" w:lineRule="auto"/>
        <w:ind w:firstLine="567"/>
        <w:jc w:val="both"/>
      </w:pPr>
      <w:r w:rsidRPr="00B834A2">
        <w:t>Սովորաբար կիրառում են հետ</w:t>
      </w:r>
      <w:r>
        <w:t>եւ</w:t>
      </w:r>
      <w:r w:rsidRPr="00B834A2">
        <w:t>յալ մեթոդիկան:</w:t>
      </w:r>
    </w:p>
    <w:p w14:paraId="21C56ECC" w14:textId="77777777" w:rsidR="00B834A2" w:rsidRPr="00B834A2" w:rsidRDefault="00B834A2" w:rsidP="00F2280F">
      <w:pPr>
        <w:spacing w:after="160" w:line="346" w:lineRule="auto"/>
        <w:ind w:firstLine="567"/>
        <w:jc w:val="both"/>
      </w:pPr>
      <w:r w:rsidRPr="00B834A2">
        <w:rPr>
          <w:b/>
        </w:rPr>
        <w:t>Մեթոդիկան։</w:t>
      </w:r>
      <w:r w:rsidRPr="00B834A2">
        <w:t xml:space="preserve"> Մանր մասնիկները հեռացնում են անցքերի 710 մկմ չափ ունեցող մաղով կամ ցանկացած այլ համապատասխան մաղով անցկացնելու միջոցով: Մոտավորապես 8,0 գ (m</w:t>
      </w:r>
      <w:r w:rsidRPr="00BE3AB4">
        <w:rPr>
          <w:vertAlign w:val="subscript"/>
        </w:rPr>
        <w:t>1</w:t>
      </w:r>
      <w:r w:rsidRPr="00B834A2">
        <w:t>) հատիկներ կամ գնդարդներ դնում են գլանի (Ա) մեջ: Սարքը ծածկում են ցանցավոր կափարիչով (Բ): Սեղմված օդի հոսքի արագությունը դնում են 0,45 մ3∙ժ-1 մակարդակի վրա: 15 րոպե անց հատիկները կամ գնդարդները սարքից հեռացնում են Ս-ձ</w:t>
      </w:r>
      <w:r>
        <w:t>եւ</w:t>
      </w:r>
      <w:r w:rsidRPr="00B834A2">
        <w:t xml:space="preserve"> խողովակն անջատելու միջոցով </w:t>
      </w:r>
      <w:r>
        <w:t>եւ</w:t>
      </w:r>
      <w:r w:rsidRPr="00B834A2">
        <w:t xml:space="preserve"> նորից են կշռում (m</w:t>
      </w:r>
      <w:r w:rsidRPr="00BE3AB4">
        <w:rPr>
          <w:vertAlign w:val="subscript"/>
        </w:rPr>
        <w:t>2</w:t>
      </w:r>
      <w:r w:rsidRPr="00B834A2">
        <w:t xml:space="preserve">): Փորձարկումն անցկացնում են երեք նմուշների վրա </w:t>
      </w:r>
      <w:r>
        <w:t>եւ</w:t>
      </w:r>
      <w:r w:rsidRPr="00B834A2">
        <w:t xml:space="preserve"> հաշվարկում են միջին արժեքը: Էլեկտրաստատիկ լիցքը լիցքաթափելու համար խորհուրդ է տրվում սարքի ներքին մակեր</w:t>
      </w:r>
      <w:r>
        <w:t>եւ</w:t>
      </w:r>
      <w:r w:rsidRPr="00B834A2">
        <w:t>ույթը հակաստատիկ ռեակտիվով ցողել ամեն երրորդ որոշումը կատարելուց հետո:</w:t>
      </w:r>
    </w:p>
    <w:p w14:paraId="2E383F09" w14:textId="77777777" w:rsidR="00B834A2" w:rsidRPr="00B834A2" w:rsidRDefault="00B834A2" w:rsidP="00F2280F">
      <w:pPr>
        <w:spacing w:after="160" w:line="346" w:lineRule="auto"/>
        <w:ind w:firstLine="567"/>
        <w:jc w:val="both"/>
      </w:pPr>
      <w:r w:rsidRPr="00B834A2">
        <w:t xml:space="preserve">Չորացնելու ժամանակ զանգվածի կորուստը որոշելու համար նմուշները չորացնում են չորացնող պահարանի մեջ 105 °С ջերմաստիճանում՝ մասնավոր դեղագրքային հոդվածում այլ ցուցումների բացակայության դեպքում: Որպես այլընտրանք թույլատրվում է կիրառել </w:t>
      </w:r>
      <w:r w:rsidRPr="00B834A2">
        <w:rPr>
          <w:i/>
        </w:rPr>
        <w:t>«2.1.2.31. Չորացնելու ժամանակ զանգվածի կորուստը»</w:t>
      </w:r>
      <w:r w:rsidRPr="00B834A2">
        <w:t xml:space="preserve"> ընդհանուր դեղագրքային հոդվածում նկարագրված՝ չորացման այլ պայմաններ:</w:t>
      </w:r>
    </w:p>
    <w:p w14:paraId="3ED6F537" w14:textId="77777777" w:rsidR="00B834A2" w:rsidRPr="00B834A2" w:rsidRDefault="00B834A2" w:rsidP="00F2280F">
      <w:pPr>
        <w:spacing w:after="160" w:line="360" w:lineRule="auto"/>
        <w:ind w:firstLine="567"/>
        <w:jc w:val="both"/>
      </w:pPr>
      <w:r w:rsidRPr="00B834A2">
        <w:t>Մաշվելիությունը (F) հաշվարկում են հետ</w:t>
      </w:r>
      <w:r>
        <w:t>եւ</w:t>
      </w:r>
      <w:r w:rsidRPr="00B834A2">
        <w:t>յալ բանաձ</w:t>
      </w:r>
      <w:r>
        <w:t>եւ</w:t>
      </w:r>
      <w:r w:rsidRPr="00B834A2">
        <w:t>ով.</w:t>
      </w:r>
    </w:p>
    <w:p w14:paraId="578A1A9E" w14:textId="77777777" w:rsidR="00B834A2" w:rsidRPr="00B834A2" w:rsidRDefault="00B834A2" w:rsidP="00B834A2">
      <w:pPr>
        <w:spacing w:after="160" w:line="360" w:lineRule="auto"/>
        <w:jc w:val="both"/>
      </w:pPr>
      <m:oMathPara>
        <m:oMath>
          <m:r>
            <w:rPr>
              <w:rFonts w:ascii="Cambria Math" w:hAnsi="Cambria Math"/>
            </w:rPr>
            <m:t>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100-</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(100-</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r>
            <m:rPr>
              <m:sty m:val="p"/>
            </m:rPr>
            <w:rPr>
              <w:rFonts w:ascii="Cambria Math" w:hAnsi="Cambria Math"/>
            </w:rPr>
            <m:t>∙100,</m:t>
          </m:r>
        </m:oMath>
      </m:oMathPara>
    </w:p>
    <w:p w14:paraId="682BFEDB" w14:textId="77777777" w:rsidR="00B834A2" w:rsidRPr="00903268" w:rsidRDefault="00B834A2" w:rsidP="00F2280F">
      <w:pPr>
        <w:spacing w:after="160" w:line="360" w:lineRule="auto"/>
        <w:ind w:firstLine="567"/>
        <w:jc w:val="both"/>
      </w:pPr>
      <w:r w:rsidRPr="00B834A2">
        <w:t xml:space="preserve">որտեղ՝ </w:t>
      </w:r>
    </w:p>
    <w:p w14:paraId="7ADD0121" w14:textId="77777777" w:rsidR="006035D0" w:rsidRPr="00903268" w:rsidRDefault="006035D0" w:rsidP="00F2280F">
      <w:pPr>
        <w:spacing w:after="160" w:line="360" w:lineRule="auto"/>
        <w:ind w:firstLine="567"/>
        <w:jc w:val="both"/>
      </w:pPr>
    </w:p>
    <w:p w14:paraId="0B814C92" w14:textId="77777777" w:rsidR="00B834A2" w:rsidRPr="00B834A2" w:rsidRDefault="00B834A2" w:rsidP="006B3C70">
      <w:pPr>
        <w:spacing w:after="160" w:line="374" w:lineRule="auto"/>
        <w:ind w:firstLine="567"/>
        <w:jc w:val="both"/>
      </w:pPr>
      <w:r w:rsidRPr="00BE3AB4">
        <w:rPr>
          <w:i/>
        </w:rPr>
        <w:lastRenderedPageBreak/>
        <w:t>Т</w:t>
      </w:r>
      <w:r w:rsidRPr="00B834A2">
        <w:rPr>
          <w:vertAlign w:val="subscript"/>
        </w:rPr>
        <w:t>1</w:t>
      </w:r>
      <w:r w:rsidRPr="00B834A2">
        <w:t>-ը փորձարկումից առաջ չորացնելու ժամանակ զանգվածի կորուստն է՝ տոկոսներով (երկու որոշումների միջին արժեքը).</w:t>
      </w:r>
    </w:p>
    <w:p w14:paraId="7A6340FF" w14:textId="77777777" w:rsidR="00B834A2" w:rsidRPr="00B834A2" w:rsidRDefault="00B834A2" w:rsidP="006B3C70">
      <w:pPr>
        <w:spacing w:after="160" w:line="374" w:lineRule="auto"/>
        <w:ind w:firstLine="567"/>
        <w:jc w:val="both"/>
      </w:pPr>
      <w:r w:rsidRPr="00BE3AB4">
        <w:rPr>
          <w:i/>
        </w:rPr>
        <w:t>Т</w:t>
      </w:r>
      <w:r w:rsidRPr="00B834A2">
        <w:rPr>
          <w:vertAlign w:val="subscript"/>
        </w:rPr>
        <w:t>2</w:t>
      </w:r>
      <w:r w:rsidRPr="00B834A2">
        <w:t>-ը փորձարկումից հետո չորացնելու ժամանակ զանգվածի կորուստն է՝ տոկոսներով (երկու որոշումների միջին արժեքը).</w:t>
      </w:r>
    </w:p>
    <w:p w14:paraId="4CC16D2C" w14:textId="77777777" w:rsidR="00B834A2" w:rsidRPr="00B834A2" w:rsidRDefault="00B834A2" w:rsidP="006B3C70">
      <w:pPr>
        <w:spacing w:after="160" w:line="374" w:lineRule="auto"/>
        <w:ind w:firstLine="567"/>
        <w:jc w:val="both"/>
      </w:pPr>
      <w:r w:rsidRPr="00BE3AB4">
        <w:rPr>
          <w:i/>
        </w:rPr>
        <w:t>m</w:t>
      </w:r>
      <w:r w:rsidRPr="00B834A2">
        <w:rPr>
          <w:vertAlign w:val="subscript"/>
        </w:rPr>
        <w:t>1</w:t>
      </w:r>
      <w:r w:rsidRPr="00B834A2">
        <w:t>-ը փորձարկումից առաջ հատիկների կամ գնդարդների զանգվածն է՝ գրամներով.</w:t>
      </w:r>
    </w:p>
    <w:p w14:paraId="3386189C" w14:textId="77777777" w:rsidR="00B834A2" w:rsidRPr="00B834A2" w:rsidRDefault="00B834A2" w:rsidP="006B3C70">
      <w:pPr>
        <w:spacing w:after="160" w:line="374" w:lineRule="auto"/>
        <w:ind w:firstLine="567"/>
        <w:jc w:val="both"/>
      </w:pPr>
      <w:r w:rsidRPr="00BE3AB4">
        <w:rPr>
          <w:i/>
        </w:rPr>
        <w:t>m</w:t>
      </w:r>
      <w:r w:rsidRPr="00B834A2">
        <w:rPr>
          <w:vertAlign w:val="subscript"/>
        </w:rPr>
        <w:t>2</w:t>
      </w:r>
      <w:r w:rsidRPr="00B834A2">
        <w:t>-ը փորձարկումից հետո հատիկների կամ գնդարդների զանգվածն է՝ գրամներով:</w:t>
      </w:r>
    </w:p>
    <w:p w14:paraId="3A6AFA87" w14:textId="77777777" w:rsidR="00B834A2" w:rsidRPr="00B834A2" w:rsidRDefault="00B834A2" w:rsidP="006B3C70">
      <w:pPr>
        <w:spacing w:after="160" w:line="374" w:lineRule="auto"/>
        <w:ind w:firstLine="567"/>
        <w:jc w:val="both"/>
      </w:pPr>
    </w:p>
    <w:p w14:paraId="3519EF6D" w14:textId="77777777" w:rsidR="00B834A2" w:rsidRPr="006B7DC5" w:rsidRDefault="00B834A2" w:rsidP="006B3C70">
      <w:pPr>
        <w:spacing w:after="160" w:line="374" w:lineRule="auto"/>
        <w:ind w:firstLine="567"/>
        <w:jc w:val="both"/>
        <w:rPr>
          <w:b/>
        </w:rPr>
      </w:pPr>
      <w:r w:rsidRPr="00B834A2">
        <w:rPr>
          <w:b/>
        </w:rPr>
        <w:t>ՄԵԹՈԴ 2</w:t>
      </w:r>
    </w:p>
    <w:p w14:paraId="3F02EF08" w14:textId="77777777" w:rsidR="00B834A2" w:rsidRPr="00B834A2" w:rsidRDefault="00B834A2" w:rsidP="006B3C70">
      <w:pPr>
        <w:spacing w:after="160" w:line="374" w:lineRule="auto"/>
        <w:ind w:firstLine="567"/>
        <w:jc w:val="both"/>
      </w:pPr>
      <w:r w:rsidRPr="00B834A2">
        <w:t xml:space="preserve">Սարքը (թրթռային սարքը): Սարքը (նկար 2.1.9.22-2) բաղկացած է ապակյա անոթից, որը պարունակում է փորձարկվող հատիկներ կամ գնդարդներ, որոնք հորիզոնական թրթռումների են ենթարկվում: Թրթռումների հաճախականությունը </w:t>
      </w:r>
      <w:r>
        <w:t>եւ</w:t>
      </w:r>
      <w:r w:rsidRPr="00B834A2">
        <w:t xml:space="preserve"> տ</w:t>
      </w:r>
      <w:r>
        <w:t>եւ</w:t>
      </w:r>
      <w:r w:rsidRPr="00B834A2">
        <w:t>ողությունը մշտապես կարող են փոփոխվել: Հաճախականությունը կարելի է կարգավորել սանդղակի օգնությամբ՝ մինչ</w:t>
      </w:r>
      <w:r>
        <w:t>եւ</w:t>
      </w:r>
      <w:r w:rsidRPr="00B834A2">
        <w:t xml:space="preserve"> 0-ից 400 թրթռում/րոպեի սահմաններում արժեքը: Տ</w:t>
      </w:r>
      <w:r>
        <w:t>եւ</w:t>
      </w:r>
      <w:r w:rsidRPr="00B834A2">
        <w:t>ողությունը կարելի է սահմանել 0-ից 9999 վ ընդգրկույթում:</w:t>
      </w:r>
    </w:p>
    <w:p w14:paraId="6E98D5DA" w14:textId="77777777" w:rsidR="00B834A2" w:rsidRPr="00B834A2" w:rsidRDefault="00B834A2" w:rsidP="00F2280F">
      <w:pPr>
        <w:spacing w:after="160" w:line="360" w:lineRule="auto"/>
        <w:ind w:firstLine="567"/>
        <w:jc w:val="both"/>
      </w:pPr>
      <w:r w:rsidRPr="00B834A2">
        <w:t>Սովորաբար կիրառում են հետ</w:t>
      </w:r>
      <w:r>
        <w:t>եւ</w:t>
      </w:r>
      <w:r w:rsidRPr="00B834A2">
        <w:t>յալ մեթոդիկան:</w:t>
      </w:r>
    </w:p>
    <w:p w14:paraId="78510520" w14:textId="77777777" w:rsidR="00B834A2" w:rsidRPr="00B834A2" w:rsidRDefault="00B834A2" w:rsidP="00F2280F">
      <w:pPr>
        <w:spacing w:after="160" w:line="360" w:lineRule="auto"/>
        <w:ind w:firstLine="567"/>
        <w:jc w:val="both"/>
      </w:pPr>
      <w:r w:rsidRPr="00BE3AB4">
        <w:rPr>
          <w:b/>
        </w:rPr>
        <w:t>Մեթոդիկան։</w:t>
      </w:r>
      <w:r w:rsidRPr="00B834A2">
        <w:t xml:space="preserve"> Մանր մասնիկները հեռացնում են անցքերի 355 մկմ չափ ունեցող մաղով կամ ցանկացած այլ համապատասխան մաղով անցկացնելու միջոցով: Ապակյա անոթի մեջ կշռում են մոտավորապես 10,00 գ (/771) հատիկներ կամ գնդարդներ:</w:t>
      </w:r>
      <w:r w:rsidR="00696072">
        <w:t xml:space="preserve"> </w:t>
      </w:r>
      <w:r w:rsidRPr="00B834A2">
        <w:t>Անոթը դնում են սարքի մեջ: Թափահարում են 240 վ առավելագույն հաճախականությամբ՝ պինդ հատիկների կամ գնդարդների համար, կամ 120 վ նվազագույն հաճախականությամբ (օրինակ՝ 140</w:t>
      </w:r>
      <w:r w:rsidR="00BE3AB4" w:rsidRPr="00BE3AB4">
        <w:t> </w:t>
      </w:r>
      <w:r w:rsidRPr="00B834A2">
        <w:t xml:space="preserve">թրթռում/րոպե)՝ փափուկ հատիկների կամ գնդարդների համար: Անցկացնում են 355 մկմ չափ ունեցող մաղով կամ արդեն օգտագործված մաղով </w:t>
      </w:r>
      <w:r>
        <w:t>եւ</w:t>
      </w:r>
      <w:r w:rsidRPr="00B834A2">
        <w:t xml:space="preserve"> նորից են </w:t>
      </w:r>
      <w:r w:rsidRPr="00B834A2">
        <w:lastRenderedPageBreak/>
        <w:t xml:space="preserve">կշռում հատիկները կամ գնդարդները: Փորձարկումն անցկացնում են երեք նմուշի վրա </w:t>
      </w:r>
      <w:r>
        <w:t>եւ</w:t>
      </w:r>
      <w:r w:rsidRPr="00B834A2">
        <w:t xml:space="preserve"> հաշվարկում են միջին արժեքը:</w:t>
      </w:r>
    </w:p>
    <w:p w14:paraId="573EA36B" w14:textId="77777777" w:rsidR="00B834A2" w:rsidRPr="00B834A2" w:rsidRDefault="00000000" w:rsidP="00B834A2">
      <w:pPr>
        <w:spacing w:after="160" w:line="360" w:lineRule="auto"/>
        <w:jc w:val="both"/>
      </w:pPr>
      <w:r>
        <w:pict w14:anchorId="4ED02199">
          <v:group id="_x0000_s1158" style="position:absolute;left:0;text-align:left;margin-left:11.95pt;margin-top:37.9pt;width:436.2pt;height:300.65pt;z-index:251683840" coordorigin="1657,2176" coordsize="8724,6013">
            <v:shape id="_x0000_s1159" type="#_x0000_t202" style="position:absolute;left:4191;top:6582;width:204;height:156;mso-width-relative:margin;mso-height-relative:margin" fillcolor="white [3212]" strokecolor="white [3212]">
              <v:textbox style="mso-next-textbox:#_x0000_s1159" inset="0,0,0,0">
                <w:txbxContent>
                  <w:p w14:paraId="706C6E38" w14:textId="77777777" w:rsidR="008D6E8B" w:rsidRPr="00672EEC" w:rsidRDefault="008D6E8B" w:rsidP="00B834A2">
                    <w:pPr>
                      <w:jc w:val="center"/>
                      <w:rPr>
                        <w:sz w:val="14"/>
                      </w:rPr>
                    </w:pPr>
                    <w:r>
                      <w:rPr>
                        <w:sz w:val="14"/>
                      </w:rPr>
                      <w:t>սմ</w:t>
                    </w:r>
                  </w:p>
                </w:txbxContent>
              </v:textbox>
            </v:shape>
            <v:shape id="_x0000_s1160" type="#_x0000_t202" style="position:absolute;left:2847;top:6270;width:204;height:156;mso-width-relative:margin;mso-height-relative:margin" fillcolor="white [3212]" strokecolor="white [3212]">
              <v:textbox style="mso-next-textbox:#_x0000_s1160" inset="0,0,0,0">
                <w:txbxContent>
                  <w:p w14:paraId="7E6BB467" w14:textId="77777777" w:rsidR="008D6E8B" w:rsidRPr="00672EEC" w:rsidRDefault="008D6E8B" w:rsidP="00B834A2">
                    <w:pPr>
                      <w:jc w:val="center"/>
                      <w:rPr>
                        <w:sz w:val="14"/>
                      </w:rPr>
                    </w:pPr>
                    <w:r>
                      <w:rPr>
                        <w:sz w:val="14"/>
                      </w:rPr>
                      <w:t>սմ</w:t>
                    </w:r>
                  </w:p>
                </w:txbxContent>
              </v:textbox>
            </v:shape>
            <v:shape id="_x0000_s1161" type="#_x0000_t202" style="position:absolute;left:3051;top:6582;width:204;height:156;mso-width-relative:margin;mso-height-relative:margin" fillcolor="white [3212]" strokecolor="white [3212]">
              <v:textbox style="mso-next-textbox:#_x0000_s1161" inset="0,0,0,0">
                <w:txbxContent>
                  <w:p w14:paraId="3E957606" w14:textId="77777777" w:rsidR="008D6E8B" w:rsidRPr="00672EEC" w:rsidRDefault="008D6E8B" w:rsidP="00B834A2">
                    <w:pPr>
                      <w:jc w:val="center"/>
                      <w:rPr>
                        <w:sz w:val="14"/>
                      </w:rPr>
                    </w:pPr>
                    <w:r>
                      <w:rPr>
                        <w:sz w:val="14"/>
                      </w:rPr>
                      <w:t>սմ</w:t>
                    </w:r>
                  </w:p>
                </w:txbxContent>
              </v:textbox>
            </v:shape>
            <v:shape id="_x0000_s1162" type="#_x0000_t202" style="position:absolute;left:8338;top:2176;width:204;height:156;mso-width-relative:margin;mso-height-relative:margin" fillcolor="white [3212]" strokecolor="white [3212]">
              <v:textbox style="mso-next-textbox:#_x0000_s1162" inset="0,0,0,0">
                <w:txbxContent>
                  <w:p w14:paraId="00208AB0" w14:textId="77777777" w:rsidR="008D6E8B" w:rsidRPr="00672EEC" w:rsidRDefault="008D6E8B" w:rsidP="00B834A2">
                    <w:pPr>
                      <w:jc w:val="center"/>
                      <w:rPr>
                        <w:sz w:val="14"/>
                      </w:rPr>
                    </w:pPr>
                    <w:r>
                      <w:rPr>
                        <w:sz w:val="14"/>
                      </w:rPr>
                      <w:t>սմ</w:t>
                    </w:r>
                  </w:p>
                </w:txbxContent>
              </v:textbox>
            </v:shape>
            <v:shape id="_x0000_s1163" type="#_x0000_t202" style="position:absolute;left:1657;top:7422;width:252;height:273;mso-width-relative:margin;mso-height-relative:margin" fillcolor="white [3212]" strokecolor="white [3212]">
              <v:textbox style="layout-flow:vertical;mso-layout-flow-alt:bottom-to-top;mso-next-textbox:#_x0000_s1163" inset="0,0,0,0">
                <w:txbxContent>
                  <w:p w14:paraId="5C973DC6" w14:textId="77777777" w:rsidR="008D6E8B" w:rsidRPr="006D443E" w:rsidRDefault="008D6E8B" w:rsidP="00B834A2">
                    <w:pPr>
                      <w:jc w:val="center"/>
                    </w:pPr>
                    <w:r>
                      <w:rPr>
                        <w:sz w:val="18"/>
                      </w:rPr>
                      <w:t>սմ</w:t>
                    </w:r>
                  </w:p>
                </w:txbxContent>
              </v:textbox>
            </v:shape>
            <v:shape id="_x0000_s1164" type="#_x0000_t202" style="position:absolute;left:3607;top:7916;width:176;height:273;mso-width-relative:margin;mso-height-relative:margin" fillcolor="white [3212]" strokecolor="white [3212]">
              <v:textbox style="layout-flow:vertical;mso-layout-flow-alt:bottom-to-top;mso-next-textbox:#_x0000_s1164" inset="0,0,0,0">
                <w:txbxContent>
                  <w:p w14:paraId="26AF926A" w14:textId="77777777" w:rsidR="008D6E8B" w:rsidRPr="006D443E" w:rsidRDefault="008D6E8B" w:rsidP="00B834A2">
                    <w:pPr>
                      <w:jc w:val="center"/>
                    </w:pPr>
                    <w:r>
                      <w:rPr>
                        <w:sz w:val="18"/>
                      </w:rPr>
                      <w:t>սմ</w:t>
                    </w:r>
                  </w:p>
                </w:txbxContent>
              </v:textbox>
            </v:shape>
            <v:shape id="_x0000_s1165" type="#_x0000_t202" style="position:absolute;left:10129;top:6637;width:252;height:273;mso-width-relative:margin;mso-height-relative:margin" fillcolor="white [3212]" strokecolor="white [3212]">
              <v:textbox style="layout-flow:vertical;mso-layout-flow-alt:bottom-to-top;mso-next-textbox:#_x0000_s1165" inset="0,0,0,0">
                <w:txbxContent>
                  <w:p w14:paraId="20FA0557" w14:textId="77777777" w:rsidR="008D6E8B" w:rsidRPr="006D443E" w:rsidRDefault="008D6E8B" w:rsidP="00B834A2">
                    <w:pPr>
                      <w:jc w:val="center"/>
                    </w:pPr>
                    <w:r>
                      <w:rPr>
                        <w:sz w:val="18"/>
                      </w:rPr>
                      <w:t>սմ</w:t>
                    </w:r>
                  </w:p>
                </w:txbxContent>
              </v:textbox>
            </v:shape>
            <v:shape id="_x0000_s1166" type="#_x0000_t202" style="position:absolute;left:10129;top:5326;width:252;height:273;mso-width-relative:margin;mso-height-relative:margin" fillcolor="white [3212]" strokecolor="white [3212]">
              <v:textbox style="layout-flow:vertical;mso-layout-flow-alt:bottom-to-top;mso-next-textbox:#_x0000_s1166" inset="0,0,0,0">
                <w:txbxContent>
                  <w:p w14:paraId="7C36F91F" w14:textId="77777777" w:rsidR="008D6E8B" w:rsidRPr="006D443E" w:rsidRDefault="008D6E8B" w:rsidP="00B834A2">
                    <w:pPr>
                      <w:jc w:val="center"/>
                    </w:pPr>
                    <w:r>
                      <w:rPr>
                        <w:sz w:val="18"/>
                      </w:rPr>
                      <w:t>սմ</w:t>
                    </w:r>
                  </w:p>
                </w:txbxContent>
              </v:textbox>
            </v:shape>
            <v:shape id="_x0000_s1167" type="#_x0000_t202" style="position:absolute;left:10129;top:3585;width:252;height:273;mso-width-relative:margin;mso-height-relative:margin" fillcolor="white [3212]" strokecolor="white [3212]">
              <v:textbox style="layout-flow:vertical;mso-layout-flow-alt:bottom-to-top;mso-next-textbox:#_x0000_s1167" inset="0,0,0,0">
                <w:txbxContent>
                  <w:p w14:paraId="745749B7" w14:textId="77777777" w:rsidR="008D6E8B" w:rsidRPr="006D443E" w:rsidRDefault="008D6E8B" w:rsidP="00B834A2">
                    <w:pPr>
                      <w:jc w:val="center"/>
                    </w:pPr>
                    <w:r>
                      <w:rPr>
                        <w:sz w:val="18"/>
                      </w:rPr>
                      <w:t>սմ</w:t>
                    </w:r>
                  </w:p>
                </w:txbxContent>
              </v:textbox>
            </v:shape>
            <v:shape id="_x0000_s1168" type="#_x0000_t202" style="position:absolute;left:8748;top:6990;width:204;height:156;mso-width-relative:margin;mso-height-relative:margin" fillcolor="white [3212]" strokecolor="white [3212]">
              <v:textbox style="mso-next-textbox:#_x0000_s1168" inset="0,0,0,0">
                <w:txbxContent>
                  <w:p w14:paraId="366319BE" w14:textId="77777777" w:rsidR="008D6E8B" w:rsidRPr="00672EEC" w:rsidRDefault="008D6E8B" w:rsidP="00B834A2">
                    <w:pPr>
                      <w:jc w:val="center"/>
                      <w:rPr>
                        <w:sz w:val="14"/>
                      </w:rPr>
                    </w:pPr>
                    <w:r>
                      <w:rPr>
                        <w:sz w:val="14"/>
                      </w:rPr>
                      <w:t>սմ</w:t>
                    </w:r>
                  </w:p>
                </w:txbxContent>
              </v:textbox>
            </v:shape>
          </v:group>
        </w:pict>
      </w:r>
      <w:r w:rsidR="00B834A2" w:rsidRPr="00B834A2">
        <w:rPr>
          <w:noProof/>
          <w:lang w:val="en-US" w:eastAsia="en-US" w:bidi="ar-SA"/>
        </w:rPr>
        <w:drawing>
          <wp:inline distT="0" distB="0" distL="0" distR="0" wp14:anchorId="21A5C2C6" wp14:editId="6F2DF7C0">
            <wp:extent cx="5761549" cy="4708239"/>
            <wp:effectExtent l="19050" t="0" r="0" b="0"/>
            <wp:docPr id="22" name="Picture 22" descr="D:\2 VERSION\14.07.115-0003-2023-B_for final formatting\02.2023\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2 VERSION\14.07.115-0003-2023-B_for final formatting\02.2023\media\image12.jpeg"/>
                    <pic:cNvPicPr>
                      <a:picLocks noChangeAspect="1" noChangeArrowheads="1"/>
                    </pic:cNvPicPr>
                  </pic:nvPicPr>
                  <pic:blipFill>
                    <a:blip r:embed="rId25" cstate="print"/>
                    <a:srcRect/>
                    <a:stretch>
                      <a:fillRect/>
                    </a:stretch>
                  </pic:blipFill>
                  <pic:spPr bwMode="auto">
                    <a:xfrm>
                      <a:off x="0" y="0"/>
                      <a:ext cx="5762475" cy="4708996"/>
                    </a:xfrm>
                    <a:prstGeom prst="rect">
                      <a:avLst/>
                    </a:prstGeom>
                    <a:noFill/>
                    <a:ln w="9525">
                      <a:noFill/>
                      <a:miter lim="800000"/>
                      <a:headEnd/>
                      <a:tailEnd/>
                    </a:ln>
                  </pic:spPr>
                </pic:pic>
              </a:graphicData>
            </a:graphic>
          </wp:inline>
        </w:drawing>
      </w:r>
    </w:p>
    <w:p w14:paraId="19103762" w14:textId="77777777" w:rsidR="00B834A2" w:rsidRPr="00063A76" w:rsidRDefault="00B834A2" w:rsidP="00B834A2">
      <w:pPr>
        <w:spacing w:after="160" w:line="360" w:lineRule="auto"/>
        <w:jc w:val="both"/>
        <w:rPr>
          <w:i/>
          <w:sz w:val="20"/>
        </w:rPr>
      </w:pPr>
      <w:r w:rsidRPr="00F2280F">
        <w:rPr>
          <w:sz w:val="20"/>
        </w:rPr>
        <w:t xml:space="preserve">Նկար 2.1.9.22-1. </w:t>
      </w:r>
      <w:r w:rsidRPr="00063A76">
        <w:rPr>
          <w:i/>
          <w:sz w:val="20"/>
        </w:rPr>
        <w:t>Կեղծ հեղուկացված շերտի ստեղծման համար նախատեսված սարք</w:t>
      </w:r>
    </w:p>
    <w:p w14:paraId="1E297994" w14:textId="77777777" w:rsidR="00B834A2" w:rsidRPr="00B834A2" w:rsidRDefault="00000000" w:rsidP="00B834A2">
      <w:pPr>
        <w:spacing w:after="160" w:line="360" w:lineRule="auto"/>
        <w:jc w:val="both"/>
      </w:pPr>
      <w:r>
        <w:rPr>
          <w:noProof/>
          <w:lang w:val="en-US" w:eastAsia="en-US" w:bidi="ar-SA"/>
        </w:rPr>
        <w:lastRenderedPageBreak/>
        <w:pict w14:anchorId="51866813">
          <v:group id="_x0000_s1398" style="position:absolute;left:0;text-align:left;margin-left:9.15pt;margin-top:90.45pt;width:426.4pt;height:153.15pt;z-index:251917312" coordorigin="1601,3227" coordsize="8528,3063">
            <v:shape id="_x0000_s1170" type="#_x0000_t202" style="position:absolute;left:1601;top:4194;width:1155;height:401;mso-width-relative:margin;mso-height-relative:margin" fillcolor="white [3212]" strokecolor="white [3212]">
              <v:textbox style="mso-next-textbox:#_x0000_s1170" inset="0,0,0,0">
                <w:txbxContent>
                  <w:p w14:paraId="1E898781" w14:textId="77777777" w:rsidR="008D6E8B" w:rsidRPr="004E1531" w:rsidRDefault="008D6E8B" w:rsidP="00B834A2">
                    <w:pPr>
                      <w:rPr>
                        <w:sz w:val="12"/>
                      </w:rPr>
                    </w:pPr>
                    <w:r w:rsidRPr="004E1531">
                      <w:rPr>
                        <w:sz w:val="12"/>
                      </w:rPr>
                      <w:t>Ապակյա կոնտեյներ</w:t>
                    </w:r>
                  </w:p>
                </w:txbxContent>
              </v:textbox>
            </v:shape>
            <v:shape id="_x0000_s1171" type="#_x0000_t202" style="position:absolute;left:4019;top:5516;width:945;height:229;mso-width-relative:margin;mso-height-relative:margin" fillcolor="white [3212]" strokecolor="white [3212]">
              <v:textbox style="mso-next-textbox:#_x0000_s1171" inset="0,0,0,0">
                <w:txbxContent>
                  <w:p w14:paraId="74EB873F" w14:textId="77777777" w:rsidR="008D6E8B" w:rsidRPr="009041F6" w:rsidRDefault="008D6E8B" w:rsidP="00B834A2">
                    <w:pPr>
                      <w:rPr>
                        <w:sz w:val="14"/>
                      </w:rPr>
                    </w:pPr>
                    <w:r>
                      <w:rPr>
                        <w:sz w:val="14"/>
                      </w:rPr>
                      <w:t>Ժամանակ</w:t>
                    </w:r>
                  </w:p>
                </w:txbxContent>
              </v:textbox>
            </v:shape>
            <v:shape id="_x0000_s1172" type="#_x0000_t202" style="position:absolute;left:5642;top:5444;width:1443;height:301;mso-width-relative:margin;mso-height-relative:margin" fillcolor="white [3212]" strokecolor="white [3212]">
              <v:textbox style="mso-next-textbox:#_x0000_s1172" inset="0,0,0,0">
                <w:txbxContent>
                  <w:p w14:paraId="2CEC0ED4" w14:textId="77777777" w:rsidR="008D6E8B" w:rsidRPr="009041F6" w:rsidRDefault="008D6E8B" w:rsidP="00B834A2">
                    <w:pPr>
                      <w:rPr>
                        <w:sz w:val="14"/>
                      </w:rPr>
                    </w:pPr>
                    <w:r>
                      <w:rPr>
                        <w:sz w:val="14"/>
                      </w:rPr>
                      <w:t>Հաճախականություն</w:t>
                    </w:r>
                  </w:p>
                </w:txbxContent>
              </v:textbox>
            </v:shape>
            <v:shape id="_x0000_s1173" type="#_x0000_t202" style="position:absolute;left:9665;top:3227;width:464;height:229;mso-width-relative:margin;mso-height-relative:margin" fillcolor="white [3212]" strokecolor="white [3212]">
              <v:textbox style="mso-next-textbox:#_x0000_s1173" inset="0,0,0,0">
                <w:txbxContent>
                  <w:p w14:paraId="166D33C7" w14:textId="77777777" w:rsidR="008D6E8B" w:rsidRPr="009041F6" w:rsidRDefault="008D6E8B" w:rsidP="00B834A2">
                    <w:pPr>
                      <w:rPr>
                        <w:sz w:val="14"/>
                      </w:rPr>
                    </w:pPr>
                    <w:r>
                      <w:rPr>
                        <w:sz w:val="14"/>
                      </w:rPr>
                      <w:t>մմ</w:t>
                    </w:r>
                  </w:p>
                </w:txbxContent>
              </v:textbox>
            </v:shape>
            <v:shape id="_x0000_s1174" type="#_x0000_t202" style="position:absolute;left:8178;top:5215;width:1951;height:229;mso-width-relative:margin;mso-height-relative:margin" fillcolor="white [3212]" strokecolor="white [3212]">
              <v:textbox style="mso-next-textbox:#_x0000_s1174" inset="0,0,0,0">
                <w:txbxContent>
                  <w:p w14:paraId="131A5815" w14:textId="77777777" w:rsidR="008D6E8B" w:rsidRPr="009041F6" w:rsidRDefault="008D6E8B" w:rsidP="00B834A2">
                    <w:pPr>
                      <w:rPr>
                        <w:sz w:val="14"/>
                      </w:rPr>
                    </w:pPr>
                    <w:r>
                      <w:rPr>
                        <w:sz w:val="14"/>
                      </w:rPr>
                      <w:t>մլ ապակյա կոնտեյներ</w:t>
                    </w:r>
                  </w:p>
                </w:txbxContent>
              </v:textbox>
            </v:shape>
            <v:shape id="_x0000_s1175" type="#_x0000_t202" style="position:absolute;left:8344;top:5411;width:1785;height:229;mso-width-relative:margin;mso-height-relative:margin" fillcolor="white [3212]" strokecolor="white [3212]">
              <v:textbox style="mso-next-textbox:#_x0000_s1175" inset="0,0,0,0">
                <w:txbxContent>
                  <w:p w14:paraId="67282E07" w14:textId="77777777" w:rsidR="008D6E8B" w:rsidRPr="009041F6" w:rsidRDefault="008D6E8B" w:rsidP="00B834A2">
                    <w:pPr>
                      <w:rPr>
                        <w:sz w:val="14"/>
                      </w:rPr>
                    </w:pPr>
                    <w:r>
                      <w:rPr>
                        <w:sz w:val="14"/>
                      </w:rPr>
                      <w:t>մլ ներքին տրամագիծ</w:t>
                    </w:r>
                  </w:p>
                </w:txbxContent>
              </v:textbox>
            </v:shape>
            <v:shape id="_x0000_s1176" type="#_x0000_t202" style="position:absolute;left:8344;top:5640;width:1390;height:159;mso-width-relative:margin;mso-height-relative:margin" fillcolor="white [3212]" strokecolor="white [3212]">
              <v:textbox style="mso-next-textbox:#_x0000_s1176" inset="0,0,0,0">
                <w:txbxContent>
                  <w:p w14:paraId="7BDF1579" w14:textId="77777777" w:rsidR="008D6E8B" w:rsidRPr="009041F6" w:rsidRDefault="008D6E8B" w:rsidP="00B834A2">
                    <w:pPr>
                      <w:rPr>
                        <w:sz w:val="14"/>
                      </w:rPr>
                    </w:pPr>
                    <w:r>
                      <w:rPr>
                        <w:sz w:val="14"/>
                      </w:rPr>
                      <w:t>մմ բարձրություն</w:t>
                    </w:r>
                  </w:p>
                </w:txbxContent>
              </v:textbox>
            </v:shape>
            <v:shape id="_x0000_s1177" type="#_x0000_t202" style="position:absolute;left:7579;top:5860;width:2086;height:430;mso-width-relative:margin;mso-height-relative:margin" fillcolor="white [3212]" strokecolor="white [3212]">
              <v:textbox style="mso-next-textbox:#_x0000_s1177" inset="0,0,0,0">
                <w:txbxContent>
                  <w:p w14:paraId="355E7EE6" w14:textId="77777777" w:rsidR="008D6E8B" w:rsidRPr="004E1531" w:rsidRDefault="008D6E8B" w:rsidP="00B834A2">
                    <w:pPr>
                      <w:rPr>
                        <w:sz w:val="14"/>
                        <w:lang w:val="en-US"/>
                      </w:rPr>
                    </w:pPr>
                    <w:r>
                      <w:rPr>
                        <w:sz w:val="14"/>
                      </w:rPr>
                      <w:t>պտտվող կափարիչ</w:t>
                    </w:r>
                  </w:p>
                </w:txbxContent>
              </v:textbox>
            </v:shape>
          </v:group>
        </w:pict>
      </w:r>
      <w:r w:rsidR="00B834A2" w:rsidRPr="00B834A2">
        <w:rPr>
          <w:noProof/>
          <w:lang w:val="en-US" w:eastAsia="en-US" w:bidi="ar-SA"/>
        </w:rPr>
        <w:drawing>
          <wp:inline distT="0" distB="0" distL="0" distR="0" wp14:anchorId="2C538D53" wp14:editId="1C617CA0">
            <wp:extent cx="6009005" cy="3170555"/>
            <wp:effectExtent l="19050" t="0" r="0" b="0"/>
            <wp:docPr id="23" name="Picture 23" descr="D:\2 VERSION\14.07.115-0003-2023-B_for final formatting\02.2023\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2 VERSION\14.07.115-0003-2023-B_for final formatting\02.2023\media\image13.jpeg"/>
                    <pic:cNvPicPr>
                      <a:picLocks noChangeAspect="1" noChangeArrowheads="1"/>
                    </pic:cNvPicPr>
                  </pic:nvPicPr>
                  <pic:blipFill>
                    <a:blip r:embed="rId26" cstate="print"/>
                    <a:srcRect/>
                    <a:stretch>
                      <a:fillRect/>
                    </a:stretch>
                  </pic:blipFill>
                  <pic:spPr bwMode="auto">
                    <a:xfrm>
                      <a:off x="0" y="0"/>
                      <a:ext cx="6009005" cy="3170555"/>
                    </a:xfrm>
                    <a:prstGeom prst="rect">
                      <a:avLst/>
                    </a:prstGeom>
                    <a:noFill/>
                    <a:ln w="9525">
                      <a:noFill/>
                      <a:miter lim="800000"/>
                      <a:headEnd/>
                      <a:tailEnd/>
                    </a:ln>
                  </pic:spPr>
                </pic:pic>
              </a:graphicData>
            </a:graphic>
          </wp:inline>
        </w:drawing>
      </w:r>
    </w:p>
    <w:p w14:paraId="3829E77A" w14:textId="77777777" w:rsidR="00B834A2" w:rsidRPr="004E1531" w:rsidRDefault="00B834A2" w:rsidP="004E1531">
      <w:pPr>
        <w:spacing w:after="160" w:line="360" w:lineRule="auto"/>
        <w:ind w:firstLine="567"/>
        <w:jc w:val="both"/>
        <w:rPr>
          <w:sz w:val="20"/>
        </w:rPr>
      </w:pPr>
      <w:r w:rsidRPr="004E1531">
        <w:rPr>
          <w:sz w:val="20"/>
        </w:rPr>
        <w:t xml:space="preserve">Նկար 2.1.9.22-2. </w:t>
      </w:r>
      <w:r w:rsidRPr="004E1531">
        <w:rPr>
          <w:i/>
          <w:sz w:val="20"/>
        </w:rPr>
        <w:t>Թրթռային սարք</w:t>
      </w:r>
    </w:p>
    <w:p w14:paraId="3AA1FC73" w14:textId="77777777" w:rsidR="00B834A2" w:rsidRPr="00B834A2" w:rsidRDefault="00B834A2" w:rsidP="004E1531">
      <w:pPr>
        <w:spacing w:after="160" w:line="360" w:lineRule="auto"/>
        <w:ind w:firstLine="567"/>
        <w:jc w:val="both"/>
      </w:pPr>
      <w:r w:rsidRPr="00B834A2">
        <w:t xml:space="preserve">Չորացնելու ժամանակ զանգվածի կորուստը որոշելու համար նմուշները չորացնում են չորացնող պահարանի մեջ 105 °С ջերմաստիճանում՝ մասնավոր դեղագրքային հոդվածում այլ ցուցումների բացակայության դեպքում: Որպես այլընտրանք թույլատրվում է կիրառել «2.1.2.31. </w:t>
      </w:r>
      <w:r w:rsidRPr="00B834A2">
        <w:rPr>
          <w:i/>
        </w:rPr>
        <w:t>Չորացնելու ժամանակ զանգվածի կորուստը»</w:t>
      </w:r>
      <w:r w:rsidRPr="00B834A2">
        <w:t xml:space="preserve"> ընդհանուր դեղագրքային հոդվածում նկարագրված՝ չորացման այլ պայմաններ։</w:t>
      </w:r>
    </w:p>
    <w:p w14:paraId="735EAC67" w14:textId="77777777" w:rsidR="00B834A2" w:rsidRPr="00B834A2" w:rsidRDefault="00B834A2" w:rsidP="004E1531">
      <w:pPr>
        <w:spacing w:after="160" w:line="360" w:lineRule="auto"/>
        <w:ind w:firstLine="567"/>
        <w:jc w:val="both"/>
      </w:pPr>
      <w:r w:rsidRPr="00B834A2">
        <w:t xml:space="preserve">Մաշվելիությունը </w:t>
      </w:r>
      <w:r w:rsidRPr="00B834A2">
        <w:rPr>
          <w:i/>
        </w:rPr>
        <w:t>(F)</w:t>
      </w:r>
      <w:r w:rsidRPr="00B834A2">
        <w:t xml:space="preserve"> հաշվարկում են հետ</w:t>
      </w:r>
      <w:r>
        <w:t>եւ</w:t>
      </w:r>
      <w:r w:rsidRPr="00B834A2">
        <w:t>յալ բանաձ</w:t>
      </w:r>
      <w:r>
        <w:t>եւ</w:t>
      </w:r>
      <w:r w:rsidRPr="00B834A2">
        <w:t>ով.</w:t>
      </w:r>
    </w:p>
    <w:p w14:paraId="1208E973" w14:textId="77777777" w:rsidR="00B834A2" w:rsidRPr="00B834A2" w:rsidRDefault="00B834A2" w:rsidP="00B834A2">
      <w:pPr>
        <w:spacing w:after="160" w:line="360" w:lineRule="auto"/>
        <w:jc w:val="both"/>
      </w:pPr>
      <m:oMathPara>
        <m:oMath>
          <m:r>
            <w:rPr>
              <w:rFonts w:ascii="Cambria Math" w:hAnsi="Cambria Math"/>
            </w:rPr>
            <m:t>F</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100-</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(100-</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r>
                <m:rPr>
                  <m:sty m:val="p"/>
                </m:rPr>
                <w:rPr>
                  <w:rFonts w:ascii="Cambria Math" w:hAnsi="Cambria Math"/>
                </w:rPr>
                <m:t>)</m:t>
              </m:r>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r>
            <m:rPr>
              <m:sty m:val="p"/>
            </m:rPr>
            <w:rPr>
              <w:rFonts w:ascii="Cambria Math" w:hAnsi="Cambria Math"/>
            </w:rPr>
            <m:t>,</m:t>
          </m:r>
        </m:oMath>
      </m:oMathPara>
    </w:p>
    <w:p w14:paraId="7AF0A855" w14:textId="77777777" w:rsidR="00B834A2" w:rsidRPr="00B834A2" w:rsidRDefault="00B834A2" w:rsidP="004E1531">
      <w:pPr>
        <w:spacing w:after="160" w:line="360" w:lineRule="auto"/>
        <w:ind w:firstLine="567"/>
        <w:jc w:val="both"/>
      </w:pPr>
      <w:r w:rsidRPr="00B834A2">
        <w:t xml:space="preserve">որտեղ՝ </w:t>
      </w:r>
    </w:p>
    <w:p w14:paraId="7D76B09F" w14:textId="77777777" w:rsidR="00B834A2" w:rsidRPr="00A859E3" w:rsidRDefault="00B834A2" w:rsidP="004E1531">
      <w:pPr>
        <w:spacing w:after="160" w:line="360" w:lineRule="auto"/>
        <w:ind w:firstLine="567"/>
        <w:jc w:val="both"/>
      </w:pPr>
      <w:r w:rsidRPr="00BE3AB4">
        <w:rPr>
          <w:i/>
        </w:rPr>
        <w:t>Т</w:t>
      </w:r>
      <w:r w:rsidRPr="00B834A2">
        <w:rPr>
          <w:vertAlign w:val="subscript"/>
        </w:rPr>
        <w:t>1</w:t>
      </w:r>
      <w:r w:rsidRPr="00B834A2">
        <w:t>-ը փորձարկումից առաջ չորացնելու ժամանակ զանգվածի կորուստն է՝ տոկոսներով (երկու որոշումների միջին արժեքը).</w:t>
      </w:r>
    </w:p>
    <w:p w14:paraId="4D62CBC2" w14:textId="77777777" w:rsidR="00B834A2" w:rsidRPr="00903268" w:rsidRDefault="00B834A2" w:rsidP="004E1531">
      <w:pPr>
        <w:spacing w:after="160" w:line="360" w:lineRule="auto"/>
        <w:ind w:firstLine="567"/>
        <w:jc w:val="both"/>
      </w:pPr>
      <w:r w:rsidRPr="00BE3AB4">
        <w:rPr>
          <w:i/>
        </w:rPr>
        <w:t>Т</w:t>
      </w:r>
      <w:r w:rsidRPr="00B834A2">
        <w:rPr>
          <w:vertAlign w:val="subscript"/>
        </w:rPr>
        <w:t>2</w:t>
      </w:r>
      <w:r w:rsidRPr="00B834A2">
        <w:t>-ը փորձարկումից հետո չորացնելու ժամանակ զանգվածի կորուստն է՝ տոկոսներով (երկու որոշումների միջին արժեքը).</w:t>
      </w:r>
    </w:p>
    <w:p w14:paraId="622F9F07" w14:textId="77777777" w:rsidR="006035D0" w:rsidRPr="00903268" w:rsidRDefault="006035D0" w:rsidP="004E1531">
      <w:pPr>
        <w:spacing w:after="160" w:line="360" w:lineRule="auto"/>
        <w:ind w:firstLine="567"/>
        <w:jc w:val="both"/>
      </w:pPr>
    </w:p>
    <w:p w14:paraId="57F4A94E" w14:textId="77777777" w:rsidR="00B834A2" w:rsidRPr="00B834A2" w:rsidRDefault="00B834A2" w:rsidP="004E1531">
      <w:pPr>
        <w:spacing w:after="160" w:line="360" w:lineRule="auto"/>
        <w:ind w:firstLine="567"/>
        <w:jc w:val="both"/>
      </w:pPr>
      <w:r w:rsidRPr="00BE3AB4">
        <w:rPr>
          <w:i/>
        </w:rPr>
        <w:lastRenderedPageBreak/>
        <w:t>m</w:t>
      </w:r>
      <w:r w:rsidRPr="00B834A2">
        <w:rPr>
          <w:vertAlign w:val="subscript"/>
        </w:rPr>
        <w:t>1</w:t>
      </w:r>
      <w:r w:rsidRPr="00B834A2">
        <w:t>-ը փորձարկումից առաջ հատիկների կամ գնդարդների զանգվածն է՝ գրամներով.</w:t>
      </w:r>
    </w:p>
    <w:p w14:paraId="60100667" w14:textId="77777777" w:rsidR="00B834A2" w:rsidRPr="00B834A2" w:rsidRDefault="00B834A2" w:rsidP="004E1531">
      <w:pPr>
        <w:spacing w:after="160" w:line="360" w:lineRule="auto"/>
        <w:ind w:firstLine="567"/>
        <w:jc w:val="both"/>
      </w:pPr>
      <w:r w:rsidRPr="00BE3AB4">
        <w:rPr>
          <w:i/>
        </w:rPr>
        <w:t>m</w:t>
      </w:r>
      <w:r w:rsidRPr="00B834A2">
        <w:rPr>
          <w:vertAlign w:val="subscript"/>
        </w:rPr>
        <w:t>2</w:t>
      </w:r>
      <w:r w:rsidRPr="00B834A2">
        <w:t>-ը փորձարկումից հետո հատիկների կամ գնդարդների զանգվածն է՝ գրամներով։</w:t>
      </w:r>
    </w:p>
    <w:p w14:paraId="61D27AED" w14:textId="77777777" w:rsidR="00B834A2" w:rsidRPr="00B834A2" w:rsidRDefault="00B834A2" w:rsidP="004E1531">
      <w:pPr>
        <w:spacing w:after="160" w:line="360" w:lineRule="auto"/>
        <w:ind w:firstLine="567"/>
        <w:jc w:val="both"/>
      </w:pPr>
    </w:p>
    <w:p w14:paraId="62C2CA4F" w14:textId="77777777" w:rsidR="00B834A2" w:rsidRPr="00A859E3" w:rsidRDefault="00B834A2" w:rsidP="004E1531">
      <w:pPr>
        <w:spacing w:after="160" w:line="360" w:lineRule="auto"/>
        <w:ind w:firstLine="567"/>
        <w:jc w:val="right"/>
        <w:rPr>
          <w:b/>
          <w:sz w:val="20"/>
        </w:rPr>
      </w:pPr>
      <w:r w:rsidRPr="00BE3AB4">
        <w:rPr>
          <w:b/>
          <w:sz w:val="20"/>
        </w:rPr>
        <w:t>201090023-2022</w:t>
      </w:r>
    </w:p>
    <w:p w14:paraId="65D82E56" w14:textId="77777777" w:rsidR="00BE3AB4" w:rsidRPr="00A859E3" w:rsidRDefault="00BE3AB4" w:rsidP="004E1531">
      <w:pPr>
        <w:spacing w:after="160" w:line="360" w:lineRule="auto"/>
        <w:ind w:firstLine="567"/>
        <w:jc w:val="right"/>
        <w:rPr>
          <w:b/>
        </w:rPr>
      </w:pPr>
    </w:p>
    <w:p w14:paraId="317679D3" w14:textId="77777777" w:rsidR="00B834A2" w:rsidRPr="00B834A2" w:rsidRDefault="00B834A2" w:rsidP="004E1531">
      <w:pPr>
        <w:tabs>
          <w:tab w:val="left" w:pos="1701"/>
        </w:tabs>
        <w:spacing w:after="160" w:line="360" w:lineRule="auto"/>
        <w:ind w:firstLine="567"/>
        <w:jc w:val="both"/>
      </w:pPr>
      <w:r w:rsidRPr="00B834A2">
        <w:rPr>
          <w:b/>
        </w:rPr>
        <w:t>2.1.9.23.</w:t>
      </w:r>
      <w:r w:rsidR="004E1531" w:rsidRPr="00097504">
        <w:rPr>
          <w:b/>
        </w:rPr>
        <w:tab/>
      </w:r>
      <w:r w:rsidRPr="00B834A2">
        <w:rPr>
          <w:b/>
        </w:rPr>
        <w:t>Դեղամիջոց հանդիսացող ծամոնների համար լուծվելու փորձարկումը</w:t>
      </w:r>
    </w:p>
    <w:p w14:paraId="292C72AA" w14:textId="77777777" w:rsidR="00B834A2" w:rsidRPr="00097504" w:rsidRDefault="00B834A2" w:rsidP="004E1531">
      <w:pPr>
        <w:spacing w:after="160" w:line="360" w:lineRule="auto"/>
        <w:ind w:firstLine="567"/>
        <w:jc w:val="both"/>
      </w:pPr>
      <w:r w:rsidRPr="00B834A2">
        <w:t>Փորձարկումը նախատեսված է այն ազդող նյութի քանակը որոշելու համար, որը որոշակի ժամանակահատվածի ընթացքում պետք է ծամոնից լուծվելու միջավայր արտազատվի սույն ընդհանուր դեղագրքային հոդվածում, ինչպես նա</w:t>
      </w:r>
      <w:r>
        <w:t>եւ</w:t>
      </w:r>
      <w:r w:rsidRPr="00B834A2">
        <w:t xml:space="preserve"> մասնավոր դեղագրքային հոդվածում </w:t>
      </w:r>
      <w:r>
        <w:t>եւ</w:t>
      </w:r>
      <w:r w:rsidRPr="00B834A2">
        <w:t xml:space="preserve"> (կամ) որակի վերաբերյալ նորմատիվ փաստաթղթում նշված պայմաններում։ </w:t>
      </w:r>
    </w:p>
    <w:p w14:paraId="2937A386" w14:textId="77777777" w:rsidR="00B834A2" w:rsidRPr="00B834A2" w:rsidRDefault="00B834A2" w:rsidP="004E1531">
      <w:pPr>
        <w:spacing w:after="160" w:line="360" w:lineRule="auto"/>
        <w:ind w:firstLine="567"/>
        <w:jc w:val="both"/>
      </w:pPr>
      <w:r w:rsidRPr="00B834A2">
        <w:t>Որոշումը կատարում են ծամելու ընթացքը նմանակող ոչ մեծ խցիկում տեղադրված ծամոնի կտորը մեխանիկորեն տրորելու միջոցով։</w:t>
      </w:r>
    </w:p>
    <w:p w14:paraId="56891542" w14:textId="77777777" w:rsidR="00B834A2" w:rsidRPr="00B834A2" w:rsidRDefault="00B834A2" w:rsidP="004E1531">
      <w:pPr>
        <w:spacing w:after="160" w:line="360" w:lineRule="auto"/>
        <w:ind w:firstLine="567"/>
        <w:jc w:val="both"/>
      </w:pPr>
    </w:p>
    <w:p w14:paraId="64016D0D" w14:textId="77777777" w:rsidR="00B834A2" w:rsidRPr="00B834A2" w:rsidRDefault="00B834A2" w:rsidP="004E1531">
      <w:pPr>
        <w:spacing w:after="160" w:line="360" w:lineRule="auto"/>
        <w:ind w:firstLine="567"/>
        <w:jc w:val="both"/>
        <w:rPr>
          <w:b/>
        </w:rPr>
      </w:pPr>
      <w:r w:rsidRPr="00B834A2">
        <w:rPr>
          <w:b/>
        </w:rPr>
        <w:t>ՍԱՐՔԱՎՈՐՈՒՄՆԵՐԸ</w:t>
      </w:r>
    </w:p>
    <w:p w14:paraId="25C17107" w14:textId="77777777" w:rsidR="004E1531" w:rsidRPr="00097504" w:rsidRDefault="004E1531" w:rsidP="004E1531">
      <w:pPr>
        <w:spacing w:after="160" w:line="360" w:lineRule="auto"/>
        <w:ind w:firstLine="567"/>
        <w:jc w:val="both"/>
        <w:rPr>
          <w:b/>
          <w:i/>
        </w:rPr>
      </w:pPr>
    </w:p>
    <w:p w14:paraId="0919E333" w14:textId="77777777" w:rsidR="00B834A2" w:rsidRPr="00B834A2" w:rsidRDefault="00B834A2" w:rsidP="004E1531">
      <w:pPr>
        <w:spacing w:after="160" w:line="360" w:lineRule="auto"/>
        <w:ind w:firstLine="567"/>
        <w:jc w:val="both"/>
        <w:rPr>
          <w:b/>
          <w:i/>
        </w:rPr>
      </w:pPr>
      <w:r w:rsidRPr="00B834A2">
        <w:rPr>
          <w:b/>
          <w:i/>
        </w:rPr>
        <w:t>Ա ՍԱՐՔԸ</w:t>
      </w:r>
    </w:p>
    <w:p w14:paraId="412DE435" w14:textId="77777777" w:rsidR="00B834A2" w:rsidRPr="00B834A2" w:rsidRDefault="00B834A2" w:rsidP="004E1531">
      <w:pPr>
        <w:spacing w:after="160" w:line="360" w:lineRule="auto"/>
        <w:ind w:firstLine="567"/>
        <w:jc w:val="both"/>
      </w:pPr>
      <w:r w:rsidRPr="00B834A2">
        <w:t>Ծամելը նմանակելու համար նախատեսված Ա սարքը (նկար 2.1.9.23-1) բաղկացած է հետ</w:t>
      </w:r>
      <w:r>
        <w:t>եւ</w:t>
      </w:r>
      <w:r w:rsidRPr="00B834A2">
        <w:t>յալ մասերից.</w:t>
      </w:r>
    </w:p>
    <w:p w14:paraId="1898A670"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ծամելու ընթացքը նմանակող խցիկից,</w:t>
      </w:r>
    </w:p>
    <w:p w14:paraId="3335E0B8"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ուղղահայաց մխոցից,</w:t>
      </w:r>
    </w:p>
    <w:p w14:paraId="34FAB801" w14:textId="77777777" w:rsidR="00B834A2" w:rsidRPr="00B834A2" w:rsidRDefault="00B834A2" w:rsidP="004E1531">
      <w:pPr>
        <w:tabs>
          <w:tab w:val="left" w:pos="1134"/>
        </w:tabs>
        <w:spacing w:after="160" w:line="346" w:lineRule="auto"/>
        <w:ind w:firstLine="567"/>
        <w:jc w:val="both"/>
      </w:pPr>
      <w:r w:rsidRPr="00B834A2">
        <w:lastRenderedPageBreak/>
        <w:t>-</w:t>
      </w:r>
      <w:r w:rsidR="004E1531" w:rsidRPr="004E1531">
        <w:tab/>
      </w:r>
      <w:r w:rsidRPr="00B834A2">
        <w:t>խցարար О-ձ</w:t>
      </w:r>
      <w:r>
        <w:t>եւ</w:t>
      </w:r>
      <w:r w:rsidRPr="00B834A2">
        <w:t xml:space="preserve"> օղակներ </w:t>
      </w:r>
      <w:r>
        <w:t>եւ</w:t>
      </w:r>
      <w:r w:rsidRPr="00B834A2">
        <w:t xml:space="preserve"> միջադիրներ ունեցող երկու հորիզոնական մխոցներից։</w:t>
      </w:r>
    </w:p>
    <w:p w14:paraId="1171CAF1" w14:textId="77777777" w:rsidR="00B834A2" w:rsidRPr="00B834A2" w:rsidRDefault="00B834A2" w:rsidP="004E1531">
      <w:pPr>
        <w:spacing w:after="160" w:line="346" w:lineRule="auto"/>
        <w:ind w:firstLine="567"/>
        <w:jc w:val="both"/>
      </w:pPr>
      <w:r w:rsidRPr="00B834A2">
        <w:t>Ծամելը նմանակելու համար նախատեսված խցիկը բաղկացած է չորս առանձին մասերից՝</w:t>
      </w:r>
    </w:p>
    <w:p w14:paraId="55834B74" w14:textId="77777777" w:rsidR="00B834A2" w:rsidRPr="00B834A2" w:rsidRDefault="00B834A2" w:rsidP="004E1531">
      <w:pPr>
        <w:tabs>
          <w:tab w:val="left" w:pos="1134"/>
        </w:tabs>
        <w:spacing w:after="160" w:line="346" w:lineRule="auto"/>
        <w:ind w:firstLine="567"/>
        <w:jc w:val="both"/>
      </w:pPr>
      <w:r w:rsidRPr="00B834A2">
        <w:t>-</w:t>
      </w:r>
      <w:r w:rsidR="004E1531" w:rsidRPr="004E1531">
        <w:tab/>
      </w:r>
      <w:r w:rsidRPr="00B834A2">
        <w:t>կենտրոնական խցիկից,</w:t>
      </w:r>
    </w:p>
    <w:p w14:paraId="28F27B0E" w14:textId="77777777" w:rsidR="00B834A2" w:rsidRPr="00B834A2" w:rsidRDefault="00B834A2" w:rsidP="004E1531">
      <w:pPr>
        <w:tabs>
          <w:tab w:val="left" w:pos="1134"/>
        </w:tabs>
        <w:spacing w:after="160" w:line="346" w:lineRule="auto"/>
        <w:ind w:firstLine="567"/>
        <w:jc w:val="both"/>
      </w:pPr>
      <w:r w:rsidRPr="00B834A2">
        <w:t>-</w:t>
      </w:r>
      <w:r w:rsidR="004E1531" w:rsidRPr="004E1531">
        <w:tab/>
      </w:r>
      <w:r w:rsidRPr="00B834A2">
        <w:t>ձագարից (նկար 2.1.9.23.-2),</w:t>
      </w:r>
    </w:p>
    <w:p w14:paraId="7967A0B9" w14:textId="77777777" w:rsidR="00B834A2" w:rsidRPr="00B834A2" w:rsidRDefault="00B834A2" w:rsidP="004E1531">
      <w:pPr>
        <w:tabs>
          <w:tab w:val="left" w:pos="1134"/>
        </w:tabs>
        <w:spacing w:after="160" w:line="346" w:lineRule="auto"/>
        <w:ind w:firstLine="567"/>
        <w:jc w:val="both"/>
      </w:pPr>
      <w:r w:rsidRPr="00B834A2">
        <w:t>-</w:t>
      </w:r>
      <w:r w:rsidR="004E1531" w:rsidRPr="004E1531">
        <w:tab/>
      </w:r>
      <w:r w:rsidRPr="00B834A2">
        <w:t>ականոցներով երկու ուղղորդիչ տարրերից (նկար 2.1.9.23-3):</w:t>
      </w:r>
    </w:p>
    <w:p w14:paraId="178DD4D7" w14:textId="77777777" w:rsidR="00B834A2" w:rsidRPr="00B834A2" w:rsidRDefault="00B834A2" w:rsidP="004E1531">
      <w:pPr>
        <w:spacing w:after="160" w:line="346" w:lineRule="auto"/>
        <w:ind w:firstLine="567"/>
        <w:jc w:val="both"/>
      </w:pPr>
      <w:r w:rsidRPr="00B834A2">
        <w:t xml:space="preserve">Ձագարը </w:t>
      </w:r>
      <w:r>
        <w:t>եւ</w:t>
      </w:r>
      <w:r w:rsidRPr="00B834A2">
        <w:t xml:space="preserve"> ուղղորդիչ տարրերը մոնտաժում են կենտրոնական խցիկի մեջ: Խցարար О-ձ</w:t>
      </w:r>
      <w:r>
        <w:t>եւ</w:t>
      </w:r>
      <w:r w:rsidRPr="00B834A2">
        <w:t xml:space="preserve"> օղակները տեղադրում են մխոցի ակոսատաշվածքի մեջ, որի շուրջը տեղադրված է խցիկի հերմետիկությունն ապահովող միջադիրը։</w:t>
      </w:r>
    </w:p>
    <w:p w14:paraId="372B0ADB" w14:textId="77777777" w:rsidR="00B834A2" w:rsidRPr="00B834A2" w:rsidRDefault="00B834A2" w:rsidP="004E1531">
      <w:pPr>
        <w:spacing w:after="160" w:line="346" w:lineRule="auto"/>
        <w:ind w:firstLine="567"/>
        <w:jc w:val="both"/>
      </w:pPr>
      <w:r w:rsidRPr="00B834A2">
        <w:t>Հորիզոնական մխոցները խցիկի մեջ տեղադրում են ծամելու ընթացքը նմանակելու համար նախատեսված ուղղորդիչների ուղղությամբ:</w:t>
      </w:r>
    </w:p>
    <w:p w14:paraId="094C49BB" w14:textId="77777777" w:rsidR="00B834A2" w:rsidRPr="00B834A2" w:rsidRDefault="00B834A2" w:rsidP="004E1531">
      <w:pPr>
        <w:spacing w:after="160" w:line="346" w:lineRule="auto"/>
        <w:ind w:firstLine="567"/>
        <w:jc w:val="both"/>
      </w:pPr>
      <w:r w:rsidRPr="00B834A2">
        <w:t>Ծամոնի վրա ազդեցություն են գործադրում հորիզոնական մխոցների օգնությամբ. ուղղահայաց մխոցն ապահովում է ծամելը նմանակելու ընթացքում ծամոնի ճիշտ տեղադիրքը:</w:t>
      </w:r>
    </w:p>
    <w:p w14:paraId="4EB53A10" w14:textId="77777777" w:rsidR="00B834A2" w:rsidRPr="00B834A2" w:rsidRDefault="00B834A2" w:rsidP="004E1531">
      <w:pPr>
        <w:spacing w:after="160" w:line="346" w:lineRule="auto"/>
        <w:ind w:firstLine="567"/>
        <w:jc w:val="both"/>
      </w:pPr>
      <w:r w:rsidRPr="00B834A2">
        <w:t>Աշխատանքային շրջափուլի մշտականությունն ապահովելու համար սարքի արագությունը վերահսկվում է: Ծամելու մեկ շրջափուլը որոշվում է հետ</w:t>
      </w:r>
      <w:r>
        <w:t>եւ</w:t>
      </w:r>
      <w:r w:rsidRPr="00B834A2">
        <w:t xml:space="preserve">յալ կերպ. հորիզոնական մխոցներն սկսում են շարժվել վերին արտաքին դիրքերից, շարժվում են դեպի ամենահեռու ներքին դիրքը </w:t>
      </w:r>
      <w:r>
        <w:t>եւ</w:t>
      </w:r>
      <w:r w:rsidRPr="00B834A2">
        <w:t xml:space="preserve"> վերադառնում են վերին արտաքին դիրքին: Մեկ շրջափուլի ընթացքում ուղղահայաց մխոցն ամենաստորին դիրքից շարժվում է դեպի ամենավերին դիրքը </w:t>
      </w:r>
      <w:r>
        <w:t>եւ</w:t>
      </w:r>
      <w:r w:rsidRPr="00B834A2">
        <w:t xml:space="preserve"> նորից վերադառնում է ամենաստորին դիրքին:</w:t>
      </w:r>
    </w:p>
    <w:p w14:paraId="19815B52" w14:textId="77777777" w:rsidR="00B834A2" w:rsidRPr="00B834A2" w:rsidRDefault="00B834A2" w:rsidP="004E1531">
      <w:pPr>
        <w:spacing w:after="160" w:line="346" w:lineRule="auto"/>
        <w:ind w:firstLine="567"/>
        <w:jc w:val="both"/>
      </w:pPr>
      <w:r w:rsidRPr="00B834A2">
        <w:t>Յուրաքանչյուր հորիզոնական մխոցի ընթացքի մեծությունը կազմում է 25,0</w:t>
      </w:r>
      <w:r w:rsidR="004E1531" w:rsidRPr="004E1531">
        <w:t> </w:t>
      </w:r>
      <w:r w:rsidRPr="00B834A2">
        <w:t>մմ: Երկու հորիզոնական մխոցների միջ</w:t>
      </w:r>
      <w:r>
        <w:t>եւ</w:t>
      </w:r>
      <w:r w:rsidRPr="00B834A2">
        <w:t xml:space="preserve"> առավելագույն հեռավորությունը կազմում է 50 մմ: Երկու հորիզոնական մխոցների միջ</w:t>
      </w:r>
      <w:r>
        <w:t>եւ</w:t>
      </w:r>
      <w:r w:rsidRPr="00B834A2">
        <w:t xml:space="preserve"> նվազագույն հեռավորությունը կազմում է 0,1 մմ-1,0 մմ: Ուղղահայաց մխոցի ընթացքի մեծությունը կազմում է 22,0 մմ։</w:t>
      </w:r>
    </w:p>
    <w:p w14:paraId="129914A9" w14:textId="77777777" w:rsidR="00B834A2" w:rsidRPr="00B834A2" w:rsidRDefault="00B834A2" w:rsidP="004E1531">
      <w:pPr>
        <w:spacing w:after="160" w:line="360" w:lineRule="auto"/>
        <w:ind w:firstLine="567"/>
        <w:jc w:val="both"/>
      </w:pPr>
      <w:r w:rsidRPr="00B834A2">
        <w:lastRenderedPageBreak/>
        <w:t>Հորիզոնական մխոցների շարժումը վերահսկվում է այնպես, որ երկու մխոցներն ամենահեռու ներքին դիրքում գտնվեն միաժամանակ։ Ուղղահայաց մխոցի շարժումը պետք է համապատասխանեցվի հորիզոնական մխոցների շարժմանը։</w:t>
      </w:r>
    </w:p>
    <w:p w14:paraId="15BA4FE5" w14:textId="77777777" w:rsidR="00B834A2" w:rsidRPr="00B834A2" w:rsidRDefault="00000000" w:rsidP="00B834A2">
      <w:pPr>
        <w:spacing w:after="160" w:line="360" w:lineRule="auto"/>
        <w:jc w:val="both"/>
      </w:pPr>
      <w:r>
        <w:rPr>
          <w:noProof/>
          <w:lang w:val="en-US" w:eastAsia="en-US" w:bidi="ar-SA"/>
        </w:rPr>
        <w:pict w14:anchorId="62F6C6F0">
          <v:group id="_x0000_s1399" style="position:absolute;left:0;text-align:left;margin-left:103.85pt;margin-top:7.55pt;width:290.6pt;height:341.75pt;z-index:251932672" coordorigin="3495,3625" coordsize="5812,6835">
            <v:shape id="_x0000_s1179" type="#_x0000_t202" style="position:absolute;left:3495;top:7719;width:1524;height:322;mso-width-relative:margin;mso-height-relative:margin" fillcolor="white [3212]" strokecolor="white [3212]">
              <v:textbox style="mso-next-textbox:#_x0000_s1179" inset="0,0,0,0">
                <w:txbxContent>
                  <w:p w14:paraId="2D193469" w14:textId="77777777" w:rsidR="008D6E8B" w:rsidRPr="00530352" w:rsidRDefault="008D6E8B" w:rsidP="00B834A2">
                    <w:pPr>
                      <w:jc w:val="center"/>
                      <w:rPr>
                        <w:sz w:val="16"/>
                      </w:rPr>
                    </w:pPr>
                    <w:r>
                      <w:rPr>
                        <w:sz w:val="16"/>
                      </w:rPr>
                      <w:t>Է-Է հատվածամաս</w:t>
                    </w:r>
                  </w:p>
                </w:txbxContent>
              </v:textbox>
            </v:shape>
            <v:shape id="_x0000_s1180" type="#_x0000_t202" style="position:absolute;left:4366;top:8718;width:266;height:226;mso-width-relative:margin;mso-height-relative:margin" fillcolor="white [3212]" strokecolor="white [3212]">
              <v:textbox style="mso-next-textbox:#_x0000_s1180;mso-fit-shape-to-text:t" inset="0,0,0,0">
                <w:txbxContent>
                  <w:p w14:paraId="7E2660A9" w14:textId="77777777" w:rsidR="008D6E8B" w:rsidRPr="00114AD7" w:rsidRDefault="008D6E8B" w:rsidP="00B834A2">
                    <w:pPr>
                      <w:jc w:val="center"/>
                      <w:rPr>
                        <w:sz w:val="16"/>
                      </w:rPr>
                    </w:pPr>
                    <w:r>
                      <w:rPr>
                        <w:sz w:val="16"/>
                      </w:rPr>
                      <w:t>Է</w:t>
                    </w:r>
                  </w:p>
                </w:txbxContent>
              </v:textbox>
            </v:shape>
            <v:shape id="_x0000_s1181" type="#_x0000_t202" style="position:absolute;left:7566;top:6881;width:1741;height:301;mso-width-relative:margin;mso-height-relative:margin" fillcolor="white [3212]" strokecolor="white [3212]">
              <v:textbox style="mso-next-textbox:#_x0000_s1181" inset="0,0,0,0">
                <w:txbxContent>
                  <w:p w14:paraId="2A9C9829" w14:textId="77777777" w:rsidR="008D6E8B" w:rsidRPr="00530352" w:rsidRDefault="008D6E8B" w:rsidP="00B834A2">
                    <w:pPr>
                      <w:jc w:val="center"/>
                      <w:rPr>
                        <w:sz w:val="16"/>
                      </w:rPr>
                    </w:pPr>
                    <w:r>
                      <w:rPr>
                        <w:sz w:val="16"/>
                      </w:rPr>
                      <w:t>Զ-Զ հատվածամաս</w:t>
                    </w:r>
                  </w:p>
                </w:txbxContent>
              </v:textbox>
            </v:shape>
            <v:shape id="_x0000_s1182" type="#_x0000_t202" style="position:absolute;left:4366;top:9470;width:266;height:226;mso-width-relative:margin;mso-height-relative:margin" fillcolor="white [3212]" strokecolor="white [3212]">
              <v:textbox style="mso-next-textbox:#_x0000_s1182;mso-fit-shape-to-text:t" inset="0,0,0,0">
                <w:txbxContent>
                  <w:p w14:paraId="37C9EBB1" w14:textId="77777777" w:rsidR="008D6E8B" w:rsidRPr="00114AD7" w:rsidRDefault="008D6E8B" w:rsidP="00B834A2">
                    <w:pPr>
                      <w:jc w:val="center"/>
                      <w:rPr>
                        <w:sz w:val="16"/>
                      </w:rPr>
                    </w:pPr>
                    <w:r>
                      <w:rPr>
                        <w:sz w:val="16"/>
                      </w:rPr>
                      <w:t>Է</w:t>
                    </w:r>
                  </w:p>
                </w:txbxContent>
              </v:textbox>
            </v:shape>
            <v:shape id="_x0000_s1183" type="#_x0000_t202" style="position:absolute;left:3495;top:9922;width:266;height:226;mso-width-relative:margin;mso-height-relative:margin" fillcolor="white [3212]" strokecolor="white [3212]">
              <v:textbox style="mso-next-textbox:#_x0000_s1183;mso-fit-shape-to-text:t" inset="0,0,0,0">
                <w:txbxContent>
                  <w:p w14:paraId="03839275" w14:textId="77777777" w:rsidR="008D6E8B" w:rsidRPr="00114AD7" w:rsidRDefault="008D6E8B" w:rsidP="00B834A2">
                    <w:pPr>
                      <w:jc w:val="center"/>
                      <w:rPr>
                        <w:sz w:val="16"/>
                      </w:rPr>
                    </w:pPr>
                    <w:r>
                      <w:rPr>
                        <w:sz w:val="16"/>
                      </w:rPr>
                      <w:t>Ա</w:t>
                    </w:r>
                  </w:p>
                </w:txbxContent>
              </v:textbox>
            </v:shape>
            <v:shape id="_x0000_s1184" type="#_x0000_t202" style="position:absolute;left:4753;top:9922;width:266;height:226;mso-width-relative:margin;mso-height-relative:margin" fillcolor="white [3212]" strokecolor="white [3212]">
              <v:textbox style="mso-next-textbox:#_x0000_s1184;mso-fit-shape-to-text:t" inset="0,0,0,0">
                <w:txbxContent>
                  <w:p w14:paraId="42304093" w14:textId="77777777" w:rsidR="008D6E8B" w:rsidRPr="00114AD7" w:rsidRDefault="008D6E8B" w:rsidP="00B834A2">
                    <w:pPr>
                      <w:jc w:val="center"/>
                      <w:rPr>
                        <w:sz w:val="16"/>
                      </w:rPr>
                    </w:pPr>
                    <w:r>
                      <w:rPr>
                        <w:sz w:val="16"/>
                      </w:rPr>
                      <w:t>Բ</w:t>
                    </w:r>
                  </w:p>
                </w:txbxContent>
              </v:textbox>
            </v:shape>
            <v:shape id="_x0000_s1185" type="#_x0000_t202" style="position:absolute;left:5978;top:10234;width:266;height:226;mso-width-relative:margin;mso-height-relative:margin" fillcolor="white [3212]" strokecolor="white [3212]">
              <v:textbox style="mso-next-textbox:#_x0000_s1185;mso-fit-shape-to-text:t" inset="0,0,0,0">
                <w:txbxContent>
                  <w:p w14:paraId="7C3E6E33" w14:textId="77777777" w:rsidR="008D6E8B" w:rsidRPr="00114AD7" w:rsidRDefault="008D6E8B" w:rsidP="00B834A2">
                    <w:pPr>
                      <w:jc w:val="center"/>
                      <w:rPr>
                        <w:sz w:val="16"/>
                      </w:rPr>
                    </w:pPr>
                    <w:r>
                      <w:rPr>
                        <w:sz w:val="16"/>
                      </w:rPr>
                      <w:t>Գ</w:t>
                    </w:r>
                  </w:p>
                </w:txbxContent>
              </v:textbox>
            </v:shape>
            <v:shape id="_x0000_s1186" type="#_x0000_t202" style="position:absolute;left:7505;top:8622;width:266;height:226;mso-width-relative:margin;mso-height-relative:margin" fillcolor="white [3212]" strokecolor="white [3212]">
              <v:textbox style="mso-next-textbox:#_x0000_s1186;mso-fit-shape-to-text:t" inset="0,0,0,0">
                <w:txbxContent>
                  <w:p w14:paraId="3768F332" w14:textId="77777777" w:rsidR="008D6E8B" w:rsidRPr="00114AD7" w:rsidRDefault="008D6E8B" w:rsidP="00B834A2">
                    <w:pPr>
                      <w:jc w:val="center"/>
                      <w:rPr>
                        <w:sz w:val="16"/>
                      </w:rPr>
                    </w:pPr>
                    <w:r>
                      <w:rPr>
                        <w:sz w:val="16"/>
                      </w:rPr>
                      <w:t>Է</w:t>
                    </w:r>
                  </w:p>
                </w:txbxContent>
              </v:textbox>
            </v:shape>
            <v:shape id="_x0000_s1187" type="#_x0000_t202" style="position:absolute;left:6730;top:8492;width:266;height:226;mso-width-relative:margin;mso-height-relative:margin" fillcolor="white [3212]" strokecolor="white [3212]">
              <v:textbox style="mso-next-textbox:#_x0000_s1187;mso-fit-shape-to-text:t" inset="0,0,0,0">
                <w:txbxContent>
                  <w:p w14:paraId="416B653C" w14:textId="77777777" w:rsidR="008D6E8B" w:rsidRPr="00114AD7" w:rsidRDefault="008D6E8B" w:rsidP="00B834A2">
                    <w:pPr>
                      <w:jc w:val="center"/>
                      <w:rPr>
                        <w:sz w:val="16"/>
                      </w:rPr>
                    </w:pPr>
                    <w:r>
                      <w:rPr>
                        <w:sz w:val="16"/>
                      </w:rPr>
                      <w:t>Զ</w:t>
                    </w:r>
                  </w:p>
                </w:txbxContent>
              </v:textbox>
            </v:shape>
            <v:shape id="_x0000_s1188" type="#_x0000_t202" style="position:absolute;left:6676;top:9696;width:266;height:226;mso-width-relative:margin;mso-height-relative:margin" fillcolor="white [3212]" strokecolor="white [3212]">
              <v:textbox style="mso-next-textbox:#_x0000_s1188;mso-fit-shape-to-text:t" inset="0,0,0,0">
                <w:txbxContent>
                  <w:p w14:paraId="328E1F21" w14:textId="77777777" w:rsidR="008D6E8B" w:rsidRPr="00114AD7" w:rsidRDefault="008D6E8B" w:rsidP="00B834A2">
                    <w:pPr>
                      <w:jc w:val="center"/>
                      <w:rPr>
                        <w:sz w:val="16"/>
                      </w:rPr>
                    </w:pPr>
                    <w:r>
                      <w:rPr>
                        <w:sz w:val="16"/>
                      </w:rPr>
                      <w:t>Զ</w:t>
                    </w:r>
                  </w:p>
                </w:txbxContent>
              </v:textbox>
            </v:shape>
            <v:shape id="_x0000_s1189" type="#_x0000_t202" style="position:absolute;left:7505;top:9578;width:266;height:226;mso-width-relative:margin;mso-height-relative:margin" fillcolor="white [3212]" strokecolor="white [3212]">
              <v:textbox style="mso-next-textbox:#_x0000_s1189;mso-fit-shape-to-text:t" inset="0,0,0,0">
                <w:txbxContent>
                  <w:p w14:paraId="519E0AF3" w14:textId="77777777" w:rsidR="008D6E8B" w:rsidRPr="00114AD7" w:rsidRDefault="008D6E8B" w:rsidP="00B834A2">
                    <w:pPr>
                      <w:jc w:val="center"/>
                      <w:rPr>
                        <w:sz w:val="16"/>
                      </w:rPr>
                    </w:pPr>
                    <w:r>
                      <w:rPr>
                        <w:sz w:val="16"/>
                      </w:rPr>
                      <w:t>Է</w:t>
                    </w:r>
                  </w:p>
                </w:txbxContent>
              </v:textbox>
            </v:shape>
            <v:shape id="_x0000_s1190" type="#_x0000_t202" style="position:absolute;left:6996;top:7182;width:266;height:226;mso-width-relative:margin;mso-height-relative:margin" fillcolor="white [3212]" strokecolor="white [3212]">
              <v:textbox style="mso-next-textbox:#_x0000_s1190;mso-fit-shape-to-text:t" inset="0,0,0,0">
                <w:txbxContent>
                  <w:p w14:paraId="053ED64C" w14:textId="77777777" w:rsidR="008D6E8B" w:rsidRPr="00114AD7" w:rsidRDefault="008D6E8B" w:rsidP="00B834A2">
                    <w:pPr>
                      <w:jc w:val="center"/>
                      <w:rPr>
                        <w:sz w:val="16"/>
                      </w:rPr>
                    </w:pPr>
                    <w:r>
                      <w:rPr>
                        <w:sz w:val="16"/>
                      </w:rPr>
                      <w:t>Դ</w:t>
                    </w:r>
                  </w:p>
                </w:txbxContent>
              </v:textbox>
            </v:shape>
            <v:shape id="_x0000_s1191" type="#_x0000_t202" style="position:absolute;left:6676;top:4839;width:388;height:226;mso-width-relative:margin;mso-height-relative:margin" fillcolor="white [3212]" strokecolor="white [3212]">
              <v:textbox style="mso-next-textbox:#_x0000_s1191;mso-fit-shape-to-text:t" inset="0,0,0,0">
                <w:txbxContent>
                  <w:p w14:paraId="3335372A" w14:textId="77777777" w:rsidR="008D6E8B" w:rsidRPr="00114AD7" w:rsidRDefault="008D6E8B" w:rsidP="00B834A2">
                    <w:pPr>
                      <w:jc w:val="center"/>
                      <w:rPr>
                        <w:sz w:val="16"/>
                      </w:rPr>
                    </w:pPr>
                    <w:r>
                      <w:rPr>
                        <w:sz w:val="16"/>
                      </w:rPr>
                      <w:t>Ե</w:t>
                    </w:r>
                  </w:p>
                </w:txbxContent>
              </v:textbox>
            </v:shape>
            <v:shape id="_x0000_s1192" type="#_x0000_t202" style="position:absolute;left:6261;top:3625;width:1001;height:172;mso-width-relative:margin;mso-height-relative:margin" fillcolor="white [3212]" strokecolor="white [3212]">
              <v:textbox style="mso-next-textbox:#_x0000_s1192" inset="0,0,0,0">
                <w:txbxContent>
                  <w:p w14:paraId="4E81C0CA" w14:textId="77777777" w:rsidR="008D6E8B" w:rsidRPr="00A448A5" w:rsidRDefault="008D6E8B" w:rsidP="00B834A2">
                    <w:pPr>
                      <w:jc w:val="center"/>
                      <w:rPr>
                        <w:sz w:val="12"/>
                      </w:rPr>
                    </w:pPr>
                    <w:r>
                      <w:rPr>
                        <w:sz w:val="12"/>
                      </w:rPr>
                      <w:t>М6×16</w:t>
                    </w:r>
                  </w:p>
                </w:txbxContent>
              </v:textbox>
            </v:shape>
          </v:group>
        </w:pict>
      </w:r>
      <w:r w:rsidR="00B834A2" w:rsidRPr="00B834A2">
        <w:rPr>
          <w:noProof/>
          <w:lang w:val="en-US" w:eastAsia="en-US" w:bidi="ar-SA"/>
        </w:rPr>
        <w:drawing>
          <wp:inline distT="0" distB="0" distL="0" distR="0" wp14:anchorId="303AC399" wp14:editId="596E9953">
            <wp:extent cx="5955665" cy="4512310"/>
            <wp:effectExtent l="19050" t="0" r="6985" b="0"/>
            <wp:docPr id="24" name="Picture 24" descr="D:\2 VERSION\14.07.115-0003-2023-B_for final formatting\02.2023\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 VERSION\14.07.115-0003-2023-B_for final formatting\02.2023\media\image14.jpeg"/>
                    <pic:cNvPicPr>
                      <a:picLocks noChangeAspect="1" noChangeArrowheads="1"/>
                    </pic:cNvPicPr>
                  </pic:nvPicPr>
                  <pic:blipFill>
                    <a:blip r:embed="rId27" cstate="print"/>
                    <a:srcRect/>
                    <a:stretch>
                      <a:fillRect/>
                    </a:stretch>
                  </pic:blipFill>
                  <pic:spPr bwMode="auto">
                    <a:xfrm>
                      <a:off x="0" y="0"/>
                      <a:ext cx="5955665" cy="4512310"/>
                    </a:xfrm>
                    <a:prstGeom prst="rect">
                      <a:avLst/>
                    </a:prstGeom>
                    <a:noFill/>
                    <a:ln w="9525">
                      <a:noFill/>
                      <a:miter lim="800000"/>
                      <a:headEnd/>
                      <a:tailEnd/>
                    </a:ln>
                  </pic:spPr>
                </pic:pic>
              </a:graphicData>
            </a:graphic>
          </wp:inline>
        </w:drawing>
      </w:r>
    </w:p>
    <w:p w14:paraId="2797B605" w14:textId="77777777" w:rsidR="00B834A2" w:rsidRPr="004E1531" w:rsidRDefault="00B834A2" w:rsidP="004E1531">
      <w:pPr>
        <w:spacing w:after="160" w:line="360" w:lineRule="auto"/>
        <w:ind w:firstLine="567"/>
        <w:jc w:val="both"/>
        <w:rPr>
          <w:i/>
          <w:sz w:val="20"/>
        </w:rPr>
      </w:pPr>
      <w:r w:rsidRPr="00063A76">
        <w:rPr>
          <w:sz w:val="20"/>
        </w:rPr>
        <w:t>Նկար 2.1.9.23-1.</w:t>
      </w:r>
      <w:r w:rsidRPr="004E1531">
        <w:rPr>
          <w:i/>
          <w:sz w:val="20"/>
        </w:rPr>
        <w:t xml:space="preserve"> Ծամելը նմանակելու համար նախատեսված Ա սարք: Ծամիչ խցիկ եւ մխոցներ: Չափերը նշված են միլիմետրերով: Ա՝ հորիզոնական մխոց, Բ՝ ուղղորդիչ տարր, Գ՝ ծամելը նմանակելու համար նախատեսված խցիկ, Դ՝ ձագար, Ե՝ ուղղահայաց մխոց: Չափերը նշված</w:t>
      </w:r>
      <w:r w:rsidR="00BE3AB4" w:rsidRPr="00BE3AB4">
        <w:rPr>
          <w:i/>
          <w:sz w:val="20"/>
        </w:rPr>
        <w:t> </w:t>
      </w:r>
      <w:r w:rsidRPr="004E1531">
        <w:rPr>
          <w:i/>
          <w:sz w:val="20"/>
        </w:rPr>
        <w:t>են միլիմետրերով</w:t>
      </w:r>
    </w:p>
    <w:p w14:paraId="022EAFA4" w14:textId="77777777" w:rsidR="00B834A2" w:rsidRPr="00B834A2" w:rsidRDefault="00B834A2" w:rsidP="00B834A2">
      <w:pPr>
        <w:spacing w:after="160" w:line="360" w:lineRule="auto"/>
        <w:jc w:val="both"/>
      </w:pPr>
    </w:p>
    <w:p w14:paraId="5414E78A" w14:textId="77777777" w:rsidR="00B834A2" w:rsidRPr="00B834A2" w:rsidRDefault="00B834A2" w:rsidP="00B834A2">
      <w:pPr>
        <w:spacing w:after="160" w:line="360" w:lineRule="auto"/>
        <w:jc w:val="both"/>
      </w:pPr>
      <w:r w:rsidRPr="00B834A2">
        <w:rPr>
          <w:noProof/>
          <w:lang w:val="en-US" w:eastAsia="en-US" w:bidi="ar-SA"/>
        </w:rPr>
        <w:lastRenderedPageBreak/>
        <w:drawing>
          <wp:inline distT="0" distB="0" distL="0" distR="0" wp14:anchorId="02FCEFB4" wp14:editId="3C848B1B">
            <wp:extent cx="6009005" cy="2950845"/>
            <wp:effectExtent l="19050" t="0" r="0" b="0"/>
            <wp:docPr id="25" name="Picture 25" descr="D:\2 VERSION\14.07.115-0003-2023-B_for final formatting\02.2023\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2 VERSION\14.07.115-0003-2023-B_for final formatting\02.2023\media\image15.jpeg"/>
                    <pic:cNvPicPr>
                      <a:picLocks noChangeAspect="1" noChangeArrowheads="1"/>
                    </pic:cNvPicPr>
                  </pic:nvPicPr>
                  <pic:blipFill>
                    <a:blip r:embed="rId28" cstate="print"/>
                    <a:srcRect/>
                    <a:stretch>
                      <a:fillRect/>
                    </a:stretch>
                  </pic:blipFill>
                  <pic:spPr bwMode="auto">
                    <a:xfrm>
                      <a:off x="0" y="0"/>
                      <a:ext cx="6009005" cy="2950845"/>
                    </a:xfrm>
                    <a:prstGeom prst="rect">
                      <a:avLst/>
                    </a:prstGeom>
                    <a:noFill/>
                    <a:ln w="9525">
                      <a:noFill/>
                      <a:miter lim="800000"/>
                      <a:headEnd/>
                      <a:tailEnd/>
                    </a:ln>
                  </pic:spPr>
                </pic:pic>
              </a:graphicData>
            </a:graphic>
          </wp:inline>
        </w:drawing>
      </w:r>
    </w:p>
    <w:p w14:paraId="4103857B" w14:textId="77777777" w:rsidR="00B834A2" w:rsidRPr="00B834A2" w:rsidRDefault="00B834A2" w:rsidP="00B834A2">
      <w:pPr>
        <w:spacing w:after="160" w:line="360" w:lineRule="auto"/>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4867"/>
        <w:gridCol w:w="4728"/>
      </w:tblGrid>
      <w:tr w:rsidR="00B834A2" w:rsidRPr="00B834A2" w14:paraId="295E60FB" w14:textId="77777777" w:rsidTr="004E1531">
        <w:trPr>
          <w:jc w:val="center"/>
        </w:trPr>
        <w:tc>
          <w:tcPr>
            <w:tcW w:w="4867" w:type="dxa"/>
            <w:shd w:val="clear" w:color="auto" w:fill="FFFFFF"/>
          </w:tcPr>
          <w:p w14:paraId="3F24A330" w14:textId="77777777" w:rsidR="00B834A2" w:rsidRPr="004E1531" w:rsidRDefault="00B834A2" w:rsidP="00CE5DEC">
            <w:pPr>
              <w:spacing w:after="160" w:line="360" w:lineRule="auto"/>
              <w:ind w:right="59"/>
              <w:rPr>
                <w:i/>
                <w:sz w:val="20"/>
              </w:rPr>
            </w:pPr>
            <w:r w:rsidRPr="00063A76">
              <w:rPr>
                <w:sz w:val="20"/>
              </w:rPr>
              <w:t xml:space="preserve">Նկար 2.1.9.23-2. </w:t>
            </w:r>
            <w:r w:rsidRPr="004E1531">
              <w:rPr>
                <w:i/>
                <w:sz w:val="20"/>
              </w:rPr>
              <w:t>Ա սարք։ Ձագար: Չափերը նշված են միլիմետրերով</w:t>
            </w:r>
          </w:p>
        </w:tc>
        <w:tc>
          <w:tcPr>
            <w:tcW w:w="4728" w:type="dxa"/>
            <w:shd w:val="clear" w:color="auto" w:fill="FFFFFF"/>
          </w:tcPr>
          <w:p w14:paraId="7B954AAA" w14:textId="77777777" w:rsidR="00B834A2" w:rsidRPr="004E1531" w:rsidRDefault="00B834A2" w:rsidP="004E1531">
            <w:pPr>
              <w:spacing w:after="160" w:line="360" w:lineRule="auto"/>
              <w:rPr>
                <w:i/>
                <w:sz w:val="20"/>
              </w:rPr>
            </w:pPr>
            <w:r w:rsidRPr="00063A76">
              <w:rPr>
                <w:sz w:val="20"/>
              </w:rPr>
              <w:t>Նկար 2.1.9.23-3.</w:t>
            </w:r>
            <w:r w:rsidRPr="004E1531">
              <w:rPr>
                <w:i/>
                <w:sz w:val="20"/>
              </w:rPr>
              <w:t xml:space="preserve"> Ա սարք (Զ-Զ հատվածամաս): Ուղղորդիչ տարր: Չափերը նշված են միլիմետրերով</w:t>
            </w:r>
          </w:p>
        </w:tc>
      </w:tr>
    </w:tbl>
    <w:p w14:paraId="24BB5587" w14:textId="77777777" w:rsidR="00B834A2" w:rsidRPr="00B834A2" w:rsidRDefault="00B834A2" w:rsidP="00B834A2">
      <w:pPr>
        <w:spacing w:after="160" w:line="360" w:lineRule="auto"/>
        <w:jc w:val="both"/>
      </w:pPr>
    </w:p>
    <w:p w14:paraId="41CCD570" w14:textId="77777777" w:rsidR="00B834A2" w:rsidRPr="00B834A2" w:rsidRDefault="00B834A2" w:rsidP="004E1531">
      <w:pPr>
        <w:spacing w:after="160" w:line="360" w:lineRule="auto"/>
        <w:ind w:firstLine="567"/>
        <w:jc w:val="both"/>
      </w:pPr>
      <w:r w:rsidRPr="00B834A2">
        <w:t>Անհրաժեշտության դեպքում սարքը կարող է նախագծվել այնպես, որ շրջափուլի ավարտին հորիզոնական մխոցները միմյանց հակադարձ ուղղությամբ պտտվեն իրենց առանցքի շուրջը՝ ծամելու առավելագույն արդյունքի հասնելու համար:</w:t>
      </w:r>
    </w:p>
    <w:p w14:paraId="6A2508C5" w14:textId="77777777" w:rsidR="00B834A2" w:rsidRPr="00A859E3" w:rsidRDefault="00B834A2" w:rsidP="004E1531">
      <w:pPr>
        <w:spacing w:after="160" w:line="360" w:lineRule="auto"/>
        <w:ind w:firstLine="567"/>
        <w:jc w:val="both"/>
      </w:pPr>
      <w:r w:rsidRPr="00B834A2">
        <w:t xml:space="preserve">Սարքի բոլոր մասերը, որոնք կարող են շփվել պատրաստուկի կամ լուծվելու միջավայրի հետ, պետք է լինեն քիմիապես իներտ </w:t>
      </w:r>
      <w:r>
        <w:t>եւ</w:t>
      </w:r>
      <w:r w:rsidRPr="00B834A2">
        <w:t xml:space="preserve"> չպետք է մակակլանեն նմուշը, ռեակցիայի կամ որ</w:t>
      </w:r>
      <w:r>
        <w:t>եւ</w:t>
      </w:r>
      <w:r w:rsidRPr="00B834A2">
        <w:t>է այլ կերպ փոխազդեցության մեջ մտնեն դրա հետ:</w:t>
      </w:r>
    </w:p>
    <w:p w14:paraId="29CE5AAA" w14:textId="77777777" w:rsidR="00BE3AB4" w:rsidRPr="00A859E3" w:rsidRDefault="00BE3AB4" w:rsidP="004E1531">
      <w:pPr>
        <w:spacing w:after="160" w:line="360" w:lineRule="auto"/>
        <w:ind w:firstLine="567"/>
        <w:jc w:val="both"/>
      </w:pPr>
    </w:p>
    <w:p w14:paraId="6C78F137" w14:textId="77777777" w:rsidR="00B834A2" w:rsidRPr="00B834A2" w:rsidRDefault="00B834A2" w:rsidP="004E1531">
      <w:pPr>
        <w:spacing w:after="160" w:line="360" w:lineRule="auto"/>
        <w:ind w:firstLine="567"/>
        <w:jc w:val="both"/>
        <w:rPr>
          <w:i/>
        </w:rPr>
      </w:pPr>
      <w:r w:rsidRPr="00B834A2">
        <w:rPr>
          <w:i/>
        </w:rPr>
        <w:t>Բ ՍԱՐՔ</w:t>
      </w:r>
    </w:p>
    <w:p w14:paraId="76CAB36D" w14:textId="77777777" w:rsidR="00B834A2" w:rsidRPr="006B7DC5" w:rsidRDefault="00B834A2" w:rsidP="004E1531">
      <w:pPr>
        <w:spacing w:after="160" w:line="360" w:lineRule="auto"/>
        <w:ind w:firstLine="567"/>
        <w:jc w:val="both"/>
      </w:pPr>
      <w:r w:rsidRPr="00B834A2">
        <w:t>Ծամելը նմանակելու համար նախատեսված Բ սարքը (նկար 2.1.9.23-4) բաղկացած է հետ</w:t>
      </w:r>
      <w:r>
        <w:t>եւ</w:t>
      </w:r>
      <w:r w:rsidRPr="00B834A2">
        <w:t>յալից.</w:t>
      </w:r>
    </w:p>
    <w:p w14:paraId="595264E4" w14:textId="77777777" w:rsidR="00063A76" w:rsidRPr="006B7DC5" w:rsidRDefault="00063A76" w:rsidP="004E1531">
      <w:pPr>
        <w:spacing w:after="160" w:line="360" w:lineRule="auto"/>
        <w:ind w:firstLine="567"/>
        <w:jc w:val="both"/>
      </w:pPr>
    </w:p>
    <w:p w14:paraId="48F56841" w14:textId="77777777" w:rsidR="00B834A2" w:rsidRPr="00B834A2" w:rsidRDefault="00B834A2" w:rsidP="004E1531">
      <w:pPr>
        <w:tabs>
          <w:tab w:val="left" w:pos="1134"/>
        </w:tabs>
        <w:spacing w:after="160" w:line="360" w:lineRule="auto"/>
        <w:ind w:firstLine="567"/>
        <w:jc w:val="both"/>
      </w:pPr>
      <w:r w:rsidRPr="00B834A2">
        <w:lastRenderedPageBreak/>
        <w:t>-</w:t>
      </w:r>
      <w:r w:rsidR="004E1531" w:rsidRPr="004E1531">
        <w:tab/>
      </w:r>
      <w:r w:rsidRPr="00B834A2">
        <w:t>փորձարկման համար նախատեսված բջիջից (նկար 2.1.9.23-5 կամ նկար 2.1.9.23-6),</w:t>
      </w:r>
    </w:p>
    <w:p w14:paraId="09AD4EE6" w14:textId="77777777" w:rsidR="00B834A2" w:rsidRPr="00B834A2" w:rsidRDefault="00000000" w:rsidP="00B834A2">
      <w:pPr>
        <w:spacing w:after="160" w:line="360" w:lineRule="auto"/>
        <w:jc w:val="both"/>
      </w:pPr>
      <w:r>
        <w:pict w14:anchorId="43D965ED">
          <v:group id="_x0000_s1193" style="position:absolute;left:0;text-align:left;margin-left:202.4pt;margin-top:30.4pt;width:15.25pt;height:255.45pt;z-index:251686912" coordorigin="5466,8173" coordsize="305,5109">
            <v:shape id="_x0000_s1194" type="#_x0000_t202" style="position:absolute;left:5542;top:8173;width:229;height:274;mso-width-relative:margin;mso-height-relative:margin" fillcolor="white [3212]" strokecolor="white [3212]">
              <v:textbox style="mso-next-textbox:#_x0000_s1194" inset="0,0,0,0">
                <w:txbxContent>
                  <w:p w14:paraId="10BF8AF3" w14:textId="77777777" w:rsidR="008D6E8B" w:rsidRPr="004B39F7" w:rsidRDefault="008D6E8B" w:rsidP="00B834A2">
                    <w:pPr>
                      <w:jc w:val="center"/>
                      <w:rPr>
                        <w:sz w:val="14"/>
                      </w:rPr>
                    </w:pPr>
                    <w:r>
                      <w:rPr>
                        <w:sz w:val="14"/>
                      </w:rPr>
                      <w:t>Ա</w:t>
                    </w:r>
                  </w:p>
                </w:txbxContent>
              </v:textbox>
            </v:shape>
            <v:shape id="_x0000_s1195" type="#_x0000_t202" style="position:absolute;left:5542;top:9602;width:229;height:274;mso-width-relative:margin;mso-height-relative:margin" fillcolor="white [3212]" strokecolor="white [3212]">
              <v:textbox style="mso-next-textbox:#_x0000_s1195" inset="0,0,0,0">
                <w:txbxContent>
                  <w:p w14:paraId="4BAB9FC0" w14:textId="77777777" w:rsidR="008D6E8B" w:rsidRPr="004B39F7" w:rsidRDefault="008D6E8B" w:rsidP="00B834A2">
                    <w:pPr>
                      <w:jc w:val="center"/>
                      <w:rPr>
                        <w:sz w:val="14"/>
                      </w:rPr>
                    </w:pPr>
                    <w:r>
                      <w:rPr>
                        <w:sz w:val="14"/>
                      </w:rPr>
                      <w:t>Բ</w:t>
                    </w:r>
                  </w:p>
                </w:txbxContent>
              </v:textbox>
            </v:shape>
            <v:shape id="_x0000_s1196" type="#_x0000_t202" style="position:absolute;left:5542;top:10897;width:229;height:194;mso-width-relative:margin;mso-height-relative:margin" fillcolor="white [3212]" strokecolor="white [3212]">
              <v:textbox style="mso-next-textbox:#_x0000_s1196" inset="0,0,0,0">
                <w:txbxContent>
                  <w:p w14:paraId="66BCC3FD" w14:textId="77777777" w:rsidR="008D6E8B" w:rsidRPr="004B39F7" w:rsidRDefault="008D6E8B" w:rsidP="00B834A2">
                    <w:pPr>
                      <w:jc w:val="center"/>
                      <w:rPr>
                        <w:sz w:val="14"/>
                      </w:rPr>
                    </w:pPr>
                    <w:r>
                      <w:rPr>
                        <w:sz w:val="14"/>
                      </w:rPr>
                      <w:t>Ե</w:t>
                    </w:r>
                  </w:p>
                </w:txbxContent>
              </v:textbox>
            </v:shape>
            <v:shape id="_x0000_s1197" type="#_x0000_t202" style="position:absolute;left:5542;top:10236;width:229;height:274;mso-width-relative:margin;mso-height-relative:margin" fillcolor="white [3212]" strokecolor="white [3212]">
              <v:textbox style="mso-next-textbox:#_x0000_s1197" inset="0,0,0,0">
                <w:txbxContent>
                  <w:p w14:paraId="0DE2CDEF" w14:textId="77777777" w:rsidR="008D6E8B" w:rsidRPr="004B39F7" w:rsidRDefault="008D6E8B" w:rsidP="00B834A2">
                    <w:pPr>
                      <w:jc w:val="center"/>
                      <w:rPr>
                        <w:sz w:val="14"/>
                      </w:rPr>
                    </w:pPr>
                    <w:r>
                      <w:rPr>
                        <w:sz w:val="14"/>
                      </w:rPr>
                      <w:t>Գ</w:t>
                    </w:r>
                  </w:p>
                </w:txbxContent>
              </v:textbox>
            </v:shape>
            <v:shape id="_x0000_s1198" type="#_x0000_t202" style="position:absolute;left:5542;top:10543;width:229;height:274;mso-width-relative:margin;mso-height-relative:margin" fillcolor="white [3212]" strokecolor="white [3212]">
              <v:textbox style="mso-next-textbox:#_x0000_s1198" inset="0,0,0,0">
                <w:txbxContent>
                  <w:p w14:paraId="7E0F1E5C" w14:textId="77777777" w:rsidR="008D6E8B" w:rsidRPr="004B39F7" w:rsidRDefault="008D6E8B" w:rsidP="00B834A2">
                    <w:pPr>
                      <w:jc w:val="center"/>
                      <w:rPr>
                        <w:sz w:val="14"/>
                      </w:rPr>
                    </w:pPr>
                    <w:r>
                      <w:rPr>
                        <w:sz w:val="14"/>
                      </w:rPr>
                      <w:t>Դ</w:t>
                    </w:r>
                  </w:p>
                </w:txbxContent>
              </v:textbox>
            </v:shape>
            <v:shape id="_x0000_s1199" type="#_x0000_t202" style="position:absolute;left:5542;top:11498;width:229;height:194;mso-width-relative:margin;mso-height-relative:margin" fillcolor="white [3212]" strokecolor="white [3212]">
              <v:textbox style="mso-next-textbox:#_x0000_s1199" inset="0,0,0,0">
                <w:txbxContent>
                  <w:p w14:paraId="73D41232" w14:textId="77777777" w:rsidR="008D6E8B" w:rsidRPr="004B39F7" w:rsidRDefault="008D6E8B" w:rsidP="00B834A2">
                    <w:pPr>
                      <w:jc w:val="center"/>
                      <w:rPr>
                        <w:sz w:val="14"/>
                      </w:rPr>
                    </w:pPr>
                    <w:r>
                      <w:rPr>
                        <w:sz w:val="14"/>
                      </w:rPr>
                      <w:t>Զ</w:t>
                    </w:r>
                  </w:p>
                </w:txbxContent>
              </v:textbox>
            </v:shape>
            <v:shape id="_x0000_s1200" type="#_x0000_t202" style="position:absolute;left:5542;top:11758;width:229;height:194;mso-width-relative:margin;mso-height-relative:margin" fillcolor="white [3212]" strokecolor="white [3212]">
              <v:textbox style="mso-next-textbox:#_x0000_s1200" inset="0,0,0,0">
                <w:txbxContent>
                  <w:p w14:paraId="6AFEC77C" w14:textId="77777777" w:rsidR="008D6E8B" w:rsidRPr="004B39F7" w:rsidRDefault="008D6E8B" w:rsidP="00B834A2">
                    <w:pPr>
                      <w:jc w:val="center"/>
                      <w:rPr>
                        <w:sz w:val="14"/>
                      </w:rPr>
                    </w:pPr>
                    <w:r>
                      <w:rPr>
                        <w:sz w:val="14"/>
                      </w:rPr>
                      <w:t>Է</w:t>
                    </w:r>
                  </w:p>
                </w:txbxContent>
              </v:textbox>
            </v:shape>
            <v:shape id="_x0000_s1201" type="#_x0000_t202" style="position:absolute;left:5466;top:13088;width:229;height:194;mso-width-relative:margin;mso-height-relative:margin" fillcolor="white [3212]" strokecolor="white [3212]">
              <v:textbox style="mso-next-textbox:#_x0000_s1201" inset="0,0,0,0">
                <w:txbxContent>
                  <w:p w14:paraId="379A807B" w14:textId="77777777" w:rsidR="008D6E8B" w:rsidRPr="004B39F7" w:rsidRDefault="008D6E8B" w:rsidP="00B834A2">
                    <w:pPr>
                      <w:jc w:val="center"/>
                      <w:rPr>
                        <w:sz w:val="14"/>
                      </w:rPr>
                    </w:pPr>
                    <w:r>
                      <w:rPr>
                        <w:sz w:val="14"/>
                      </w:rPr>
                      <w:t>Թ</w:t>
                    </w:r>
                  </w:p>
                </w:txbxContent>
              </v:textbox>
            </v:shape>
          </v:group>
        </w:pict>
      </w:r>
      <w:r w:rsidR="00B834A2" w:rsidRPr="00B834A2">
        <w:rPr>
          <w:noProof/>
          <w:lang w:val="en-US" w:eastAsia="en-US" w:bidi="ar-SA"/>
        </w:rPr>
        <w:drawing>
          <wp:inline distT="0" distB="0" distL="0" distR="0" wp14:anchorId="0627FAC9" wp14:editId="46CCA1A6">
            <wp:extent cx="2907030" cy="4088765"/>
            <wp:effectExtent l="19050" t="0" r="7620" b="0"/>
            <wp:docPr id="32" name="Picture 32" descr="C:\Users\mikhail.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ikhail.LOCAL\Desktop\media\image2.jpeg"/>
                    <pic:cNvPicPr>
                      <a:picLocks noChangeAspect="1" noChangeArrowheads="1"/>
                    </pic:cNvPicPr>
                  </pic:nvPicPr>
                  <pic:blipFill>
                    <a:blip r:embed="rId29" cstate="print"/>
                    <a:srcRect/>
                    <a:stretch>
                      <a:fillRect/>
                    </a:stretch>
                  </pic:blipFill>
                  <pic:spPr bwMode="auto">
                    <a:xfrm>
                      <a:off x="0" y="0"/>
                      <a:ext cx="2907030" cy="4088765"/>
                    </a:xfrm>
                    <a:prstGeom prst="rect">
                      <a:avLst/>
                    </a:prstGeom>
                    <a:noFill/>
                    <a:ln w="9525">
                      <a:noFill/>
                      <a:miter lim="800000"/>
                      <a:headEnd/>
                      <a:tailEnd/>
                    </a:ln>
                  </pic:spPr>
                </pic:pic>
              </a:graphicData>
            </a:graphic>
          </wp:inline>
        </w:drawing>
      </w:r>
    </w:p>
    <w:p w14:paraId="58B87364" w14:textId="77777777" w:rsidR="00B834A2" w:rsidRPr="00063A76" w:rsidRDefault="00B834A2" w:rsidP="004E1531">
      <w:pPr>
        <w:spacing w:after="160" w:line="360" w:lineRule="auto"/>
        <w:ind w:firstLine="567"/>
        <w:jc w:val="both"/>
        <w:rPr>
          <w:i/>
          <w:sz w:val="20"/>
        </w:rPr>
      </w:pPr>
      <w:r w:rsidRPr="004E1531">
        <w:rPr>
          <w:sz w:val="20"/>
        </w:rPr>
        <w:t xml:space="preserve">Նկար 2.1.9.23-4. </w:t>
      </w:r>
      <w:r w:rsidRPr="00063A76">
        <w:rPr>
          <w:i/>
          <w:sz w:val="20"/>
        </w:rPr>
        <w:t>Բ սարք Ա՝ վերին ծամող մակերեւույթը պտտող սարքվածք, Բ՝ իրան, Գ՝ փորձարկումների համար նախատեսված բջիջ, Դ՝ լիսեռ, Ե՝ վերին ծամող մակերեւույթ, Զ՝ ստորին ծամող մակերեւույթ, Է՝ հիմք-խցիկ, Ը՝ վերեւ-ներքեւ ծամողական շարժումները նմանակելու համար նախատեսված սարքվածք։</w:t>
      </w:r>
    </w:p>
    <w:p w14:paraId="372FB91E" w14:textId="77777777" w:rsidR="004E1531" w:rsidRPr="00097504" w:rsidRDefault="004E1531" w:rsidP="004E1531">
      <w:pPr>
        <w:spacing w:after="160" w:line="360" w:lineRule="auto"/>
        <w:ind w:firstLine="567"/>
        <w:jc w:val="both"/>
        <w:rPr>
          <w:sz w:val="20"/>
        </w:rPr>
      </w:pPr>
    </w:p>
    <w:p w14:paraId="3CDD7C0E" w14:textId="77777777" w:rsidR="00B834A2" w:rsidRPr="00BE3AB4" w:rsidRDefault="00B834A2" w:rsidP="004E1531">
      <w:pPr>
        <w:tabs>
          <w:tab w:val="left" w:pos="1134"/>
        </w:tabs>
        <w:spacing w:after="160" w:line="360" w:lineRule="auto"/>
        <w:ind w:firstLine="567"/>
        <w:jc w:val="both"/>
        <w:rPr>
          <w:spacing w:val="-4"/>
        </w:rPr>
      </w:pPr>
      <w:r w:rsidRPr="00B834A2">
        <w:t>-</w:t>
      </w:r>
      <w:r w:rsidR="004E1531" w:rsidRPr="00097504">
        <w:tab/>
      </w:r>
      <w:r w:rsidRPr="00BE3AB4">
        <w:rPr>
          <w:spacing w:val="-4"/>
        </w:rPr>
        <w:t>վերին ծամող մակերեւույթով ուղղահայաց լիսեռից (նկարներ 2.1.9.23-7 եւ 2.1.9.23-8).</w:t>
      </w:r>
    </w:p>
    <w:p w14:paraId="17ECFBDB"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ստորին ծամող մակեր</w:t>
      </w:r>
      <w:r>
        <w:t>եւ</w:t>
      </w:r>
      <w:r w:rsidRPr="00B834A2">
        <w:t xml:space="preserve">ույթով հիմք-խցիկից (նկարներ 2.1.9.23-9 </w:t>
      </w:r>
      <w:r>
        <w:t>եւ</w:t>
      </w:r>
      <w:r w:rsidRPr="00B834A2">
        <w:t xml:space="preserve"> 2.1.9.23-10).</w:t>
      </w:r>
    </w:p>
    <w:p w14:paraId="7986C112"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ծամողական շարժումներ կատարելու համար նախատեսված սարքվածքից.</w:t>
      </w:r>
    </w:p>
    <w:p w14:paraId="41A9B870" w14:textId="77777777" w:rsidR="00B834A2" w:rsidRPr="00B834A2" w:rsidRDefault="00B834A2" w:rsidP="004E1531">
      <w:pPr>
        <w:tabs>
          <w:tab w:val="left" w:pos="1134"/>
        </w:tabs>
        <w:spacing w:after="160" w:line="360" w:lineRule="auto"/>
        <w:ind w:firstLine="567"/>
        <w:jc w:val="both"/>
      </w:pPr>
      <w:r w:rsidRPr="00B834A2">
        <w:t>-</w:t>
      </w:r>
      <w:r w:rsidR="004E1531" w:rsidRPr="00097504">
        <w:tab/>
      </w:r>
      <w:r w:rsidRPr="00B834A2">
        <w:t>ուղղահայաց լիսեռը պտտող սարքվածքից:</w:t>
      </w:r>
    </w:p>
    <w:p w14:paraId="271585EB" w14:textId="77777777" w:rsidR="00B834A2" w:rsidRPr="00B834A2" w:rsidRDefault="00B834A2" w:rsidP="00063A76">
      <w:pPr>
        <w:spacing w:after="160" w:line="336" w:lineRule="auto"/>
        <w:ind w:firstLine="567"/>
        <w:jc w:val="both"/>
      </w:pPr>
      <w:r w:rsidRPr="00B834A2">
        <w:lastRenderedPageBreak/>
        <w:t>Սովորաբար ծամոնը դնում են երկու պտտվող պլաստիկե ցանցերի միջ</w:t>
      </w:r>
      <w:r>
        <w:t>եւ</w:t>
      </w:r>
      <w:r w:rsidRPr="00B834A2">
        <w:t>` դրա կազմալուծվելը կանխելու համար:</w:t>
      </w:r>
    </w:p>
    <w:p w14:paraId="7FBF4B0E" w14:textId="77777777" w:rsidR="00B834A2" w:rsidRPr="00B834A2" w:rsidRDefault="00B834A2" w:rsidP="00063A76">
      <w:pPr>
        <w:spacing w:after="160" w:line="336" w:lineRule="auto"/>
        <w:ind w:firstLine="567"/>
        <w:jc w:val="both"/>
      </w:pPr>
      <w:r w:rsidRPr="00B834A2">
        <w:t xml:space="preserve">Թույլատրվում է օգտագործել նեյլոնից (РА6) պատրաստված ցանցեր՝ խորշերի 1,4 մմ չափով </w:t>
      </w:r>
      <w:r>
        <w:t>եւ</w:t>
      </w:r>
      <w:r w:rsidRPr="00B834A2">
        <w:t xml:space="preserve"> թելերի 0,405 մմ տրամագծով:</w:t>
      </w:r>
    </w:p>
    <w:p w14:paraId="68AF4B40" w14:textId="77777777" w:rsidR="00B834A2" w:rsidRPr="00B834A2" w:rsidRDefault="00B834A2" w:rsidP="00063A76">
      <w:pPr>
        <w:spacing w:after="160" w:line="336" w:lineRule="auto"/>
        <w:ind w:firstLine="567"/>
        <w:jc w:val="both"/>
      </w:pPr>
      <w:r w:rsidRPr="00B834A2">
        <w:t xml:space="preserve">Ծամոնի վրա ազդեցություն են գործադրում ստորին </w:t>
      </w:r>
      <w:r>
        <w:t>եւ</w:t>
      </w:r>
      <w:r w:rsidRPr="00B834A2">
        <w:t xml:space="preserve"> վերին ծամող մակեր</w:t>
      </w:r>
      <w:r>
        <w:t>եւ</w:t>
      </w:r>
      <w:r w:rsidRPr="00B834A2">
        <w:t xml:space="preserve">ույթների օգնությամբ: Աշխատանքային շրջափուլի մշտականությունն ապահովելու համար սարքի արագությունը վերահսկվում է: Ստորին </w:t>
      </w:r>
      <w:r>
        <w:t>եւ</w:t>
      </w:r>
      <w:r w:rsidRPr="00B834A2">
        <w:t xml:space="preserve"> վերին ծամող մակեր</w:t>
      </w:r>
      <w:r>
        <w:t>եւ</w:t>
      </w:r>
      <w:r w:rsidRPr="00B834A2">
        <w:t>ույթների միջ</w:t>
      </w:r>
      <w:r>
        <w:t>եւ</w:t>
      </w:r>
      <w:r w:rsidRPr="00B834A2">
        <w:t xml:space="preserve"> հեռավորությունը կարող է սահմանվել մինչ</w:t>
      </w:r>
      <w:r>
        <w:t>եւ</w:t>
      </w:r>
      <w:r w:rsidRPr="00B834A2">
        <w:t xml:space="preserve"> 5 միլիմետր: Պտտող սարքվածքի պտտման անկյունը կազմում է մոտավորապես 20 աստիճան:</w:t>
      </w:r>
    </w:p>
    <w:p w14:paraId="27E6B722" w14:textId="77777777" w:rsidR="00B834A2" w:rsidRPr="00B834A2" w:rsidRDefault="00B834A2" w:rsidP="00063A76">
      <w:pPr>
        <w:spacing w:after="160" w:line="336" w:lineRule="auto"/>
        <w:ind w:firstLine="567"/>
        <w:jc w:val="both"/>
      </w:pPr>
      <w:r w:rsidRPr="00B834A2">
        <w:t>Փորձարկումների համար նախատեսված բջիջները կարող են նա</w:t>
      </w:r>
      <w:r>
        <w:t>եւ</w:t>
      </w:r>
      <w:r w:rsidRPr="00B834A2">
        <w:t xml:space="preserve"> համալրվել փորձանմուշներ վերցնելու համար նախատեսված, կրկնակի թերմոստատացվող կողապատեր ունեցող 1 կամ 2 ապակյա խողովակներով: Խողովակները թույլ են տալիս նա</w:t>
      </w:r>
      <w:r>
        <w:t>եւ</w:t>
      </w:r>
      <w:r w:rsidRPr="00B834A2">
        <w:t xml:space="preserve"> ապահովել դեպի դուրս հեղուկի հոսքը, ինչը կարող է պահանջվել չափավոր լուծելի նյութերի համար:</w:t>
      </w:r>
    </w:p>
    <w:p w14:paraId="590C67DF" w14:textId="77777777" w:rsidR="00B834A2" w:rsidRPr="00B834A2" w:rsidRDefault="00B834A2" w:rsidP="004E1531">
      <w:pPr>
        <w:spacing w:after="160" w:line="360" w:lineRule="auto"/>
        <w:ind w:firstLine="567"/>
        <w:jc w:val="both"/>
      </w:pPr>
      <w:r w:rsidRPr="00B834A2">
        <w:t xml:space="preserve">Սարքի բոլոր մասերը, որոնք կարող են շփվել պատրաստուկի կամ լուծվելու միջավայրի հետ, պետք է լինեն քիմիապես իներտ </w:t>
      </w:r>
      <w:r>
        <w:t>եւ</w:t>
      </w:r>
      <w:r w:rsidRPr="00B834A2">
        <w:t xml:space="preserve"> չպետք է մակակլանեն նմուշը, ռեակցիայի կամ որ</w:t>
      </w:r>
      <w:r>
        <w:t>եւ</w:t>
      </w:r>
      <w:r w:rsidRPr="00B834A2">
        <w:t>է այլ կերպ փոխազդեցության մեջ մտնեն դրա հետ:</w:t>
      </w:r>
    </w:p>
    <w:p w14:paraId="4BF9ABA8" w14:textId="77777777" w:rsidR="00B834A2" w:rsidRPr="00B834A2" w:rsidRDefault="00B834A2" w:rsidP="00B834A2">
      <w:pPr>
        <w:spacing w:after="160" w:line="360" w:lineRule="auto"/>
        <w:jc w:val="both"/>
      </w:pPr>
      <w:r w:rsidRPr="00B834A2">
        <w:rPr>
          <w:noProof/>
          <w:lang w:val="en-US" w:eastAsia="en-US" w:bidi="ar-SA"/>
        </w:rPr>
        <w:drawing>
          <wp:inline distT="0" distB="0" distL="0" distR="0" wp14:anchorId="336232B9" wp14:editId="5940BFBE">
            <wp:extent cx="2933065" cy="2587625"/>
            <wp:effectExtent l="19050" t="0" r="635" b="0"/>
            <wp:docPr id="35" name="Picture 35"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ikhail.LOCAL\Desktop\media\image1.jpeg"/>
                    <pic:cNvPicPr>
                      <a:picLocks noChangeAspect="1" noChangeArrowheads="1"/>
                    </pic:cNvPicPr>
                  </pic:nvPicPr>
                  <pic:blipFill>
                    <a:blip r:embed="rId30" cstate="print"/>
                    <a:srcRect/>
                    <a:stretch>
                      <a:fillRect/>
                    </a:stretch>
                  </pic:blipFill>
                  <pic:spPr bwMode="auto">
                    <a:xfrm>
                      <a:off x="0" y="0"/>
                      <a:ext cx="2933065" cy="2587625"/>
                    </a:xfrm>
                    <a:prstGeom prst="rect">
                      <a:avLst/>
                    </a:prstGeom>
                    <a:noFill/>
                    <a:ln w="9525">
                      <a:noFill/>
                      <a:miter lim="800000"/>
                      <a:headEnd/>
                      <a:tailEnd/>
                    </a:ln>
                  </pic:spPr>
                </pic:pic>
              </a:graphicData>
            </a:graphic>
          </wp:inline>
        </w:drawing>
      </w:r>
    </w:p>
    <w:p w14:paraId="443B171C" w14:textId="77777777" w:rsidR="00B834A2" w:rsidRPr="00063A76" w:rsidRDefault="00B834A2" w:rsidP="004E1531">
      <w:pPr>
        <w:spacing w:after="160" w:line="360" w:lineRule="auto"/>
        <w:ind w:firstLine="567"/>
        <w:jc w:val="both"/>
        <w:rPr>
          <w:i/>
          <w:sz w:val="20"/>
        </w:rPr>
      </w:pPr>
      <w:r w:rsidRPr="004E1531">
        <w:rPr>
          <w:sz w:val="20"/>
        </w:rPr>
        <w:t xml:space="preserve">Նկար 2.1.9.23-5. </w:t>
      </w:r>
      <w:r w:rsidRPr="00063A76">
        <w:rPr>
          <w:i/>
          <w:sz w:val="20"/>
        </w:rPr>
        <w:t>Բ սարք։ Փորձարկման համար նախատեսված բջիջ։ Չափերը նշված են միլիմետրերով</w:t>
      </w:r>
    </w:p>
    <w:p w14:paraId="29F2672A" w14:textId="77777777" w:rsidR="00B834A2" w:rsidRPr="00B834A2" w:rsidRDefault="00B834A2" w:rsidP="00B834A2">
      <w:pPr>
        <w:spacing w:after="160" w:line="360" w:lineRule="auto"/>
        <w:jc w:val="both"/>
      </w:pPr>
      <w:r w:rsidRPr="00B834A2">
        <w:rPr>
          <w:noProof/>
          <w:lang w:val="en-US" w:eastAsia="en-US" w:bidi="ar-SA"/>
        </w:rPr>
        <w:lastRenderedPageBreak/>
        <w:drawing>
          <wp:inline distT="0" distB="0" distL="0" distR="0" wp14:anchorId="2408C261" wp14:editId="7F15BB5B">
            <wp:extent cx="5955665" cy="2915285"/>
            <wp:effectExtent l="19050" t="0" r="6985" b="0"/>
            <wp:docPr id="26" name="Picture 26" descr="D:\2 VERSION\14.07.115-0003-2023-B_for final formatting\02.2023\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2 VERSION\14.07.115-0003-2023-B_for final formatting\02.2023\media\image16.jpeg"/>
                    <pic:cNvPicPr>
                      <a:picLocks noChangeAspect="1" noChangeArrowheads="1"/>
                    </pic:cNvPicPr>
                  </pic:nvPicPr>
                  <pic:blipFill>
                    <a:blip r:embed="rId31" cstate="print"/>
                    <a:srcRect/>
                    <a:stretch>
                      <a:fillRect/>
                    </a:stretch>
                  </pic:blipFill>
                  <pic:spPr bwMode="auto">
                    <a:xfrm>
                      <a:off x="0" y="0"/>
                      <a:ext cx="5955665" cy="2915285"/>
                    </a:xfrm>
                    <a:prstGeom prst="rect">
                      <a:avLst/>
                    </a:prstGeom>
                    <a:noFill/>
                    <a:ln w="9525">
                      <a:noFill/>
                      <a:miter lim="800000"/>
                      <a:headEnd/>
                      <a:tailEnd/>
                    </a:ln>
                  </pic:spPr>
                </pic:pic>
              </a:graphicData>
            </a:graphic>
          </wp:inline>
        </w:drawing>
      </w:r>
    </w:p>
    <w:tbl>
      <w:tblPr>
        <w:tblOverlap w:val="never"/>
        <w:tblW w:w="9605" w:type="dxa"/>
        <w:jc w:val="center"/>
        <w:tblLayout w:type="fixed"/>
        <w:tblCellMar>
          <w:left w:w="10" w:type="dxa"/>
          <w:right w:w="10" w:type="dxa"/>
        </w:tblCellMar>
        <w:tblLook w:val="04A0" w:firstRow="1" w:lastRow="0" w:firstColumn="1" w:lastColumn="0" w:noHBand="0" w:noVBand="1"/>
      </w:tblPr>
      <w:tblGrid>
        <w:gridCol w:w="4829"/>
        <w:gridCol w:w="4776"/>
      </w:tblGrid>
      <w:tr w:rsidR="00B834A2" w:rsidRPr="004E1531" w14:paraId="1A753711" w14:textId="77777777" w:rsidTr="004E1531">
        <w:trPr>
          <w:jc w:val="center"/>
        </w:trPr>
        <w:tc>
          <w:tcPr>
            <w:tcW w:w="4829" w:type="dxa"/>
            <w:shd w:val="clear" w:color="auto" w:fill="FFFFFF"/>
          </w:tcPr>
          <w:p w14:paraId="536C6F81" w14:textId="77777777" w:rsidR="00B834A2" w:rsidRPr="004E1531" w:rsidRDefault="00B834A2" w:rsidP="004E1531">
            <w:pPr>
              <w:spacing w:after="160" w:line="360" w:lineRule="auto"/>
              <w:rPr>
                <w:sz w:val="20"/>
              </w:rPr>
            </w:pPr>
            <w:r w:rsidRPr="004E1531">
              <w:rPr>
                <w:sz w:val="20"/>
              </w:rPr>
              <w:t xml:space="preserve">Նկար 2.1.9.23-6. </w:t>
            </w:r>
            <w:r w:rsidRPr="00063A76">
              <w:rPr>
                <w:i/>
                <w:sz w:val="20"/>
              </w:rPr>
              <w:t>Բ սարք։ Փորձարկման համար նախատեսված բջիջ (ուղիղ): Չափերը նշված են միլիմետրերով</w:t>
            </w:r>
          </w:p>
        </w:tc>
        <w:tc>
          <w:tcPr>
            <w:tcW w:w="4776" w:type="dxa"/>
            <w:shd w:val="clear" w:color="auto" w:fill="FFFFFF"/>
          </w:tcPr>
          <w:p w14:paraId="01FE7904" w14:textId="77777777" w:rsidR="00B834A2" w:rsidRPr="004E1531" w:rsidRDefault="00B834A2" w:rsidP="004E1531">
            <w:pPr>
              <w:spacing w:after="160" w:line="360" w:lineRule="auto"/>
              <w:rPr>
                <w:sz w:val="20"/>
              </w:rPr>
            </w:pPr>
            <w:r w:rsidRPr="004E1531">
              <w:rPr>
                <w:sz w:val="20"/>
              </w:rPr>
              <w:t xml:space="preserve">Նկար 2.1.9.23-8. </w:t>
            </w:r>
            <w:r w:rsidRPr="00063A76">
              <w:rPr>
                <w:i/>
                <w:sz w:val="20"/>
              </w:rPr>
              <w:t>Բ սարք: Վերին ծամող մակերեւույթ: Չափերը նշված են միլիմետրերով</w:t>
            </w:r>
          </w:p>
        </w:tc>
      </w:tr>
    </w:tbl>
    <w:p w14:paraId="1DCE4BE4" w14:textId="77777777" w:rsidR="00B834A2" w:rsidRPr="00B834A2" w:rsidRDefault="00B834A2" w:rsidP="00B834A2">
      <w:pPr>
        <w:spacing w:after="160" w:line="360" w:lineRule="auto"/>
        <w:jc w:val="both"/>
      </w:pPr>
    </w:p>
    <w:p w14:paraId="0E42239A" w14:textId="77777777" w:rsidR="00B834A2" w:rsidRPr="00B834A2" w:rsidRDefault="00B834A2" w:rsidP="00B834A2">
      <w:pPr>
        <w:spacing w:after="160" w:line="360" w:lineRule="auto"/>
        <w:jc w:val="both"/>
      </w:pPr>
      <w:r w:rsidRPr="00B834A2">
        <w:rPr>
          <w:noProof/>
          <w:lang w:val="en-US" w:eastAsia="en-US" w:bidi="ar-SA"/>
        </w:rPr>
        <w:lastRenderedPageBreak/>
        <w:drawing>
          <wp:inline distT="0" distB="0" distL="0" distR="0" wp14:anchorId="7FC19421" wp14:editId="405CC2C7">
            <wp:extent cx="5955665" cy="4601845"/>
            <wp:effectExtent l="19050" t="0" r="6985" b="0"/>
            <wp:docPr id="27" name="Picture 27" descr="D:\2 VERSION\14.07.115-0003-2023-B_for final formatting\02.2023\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2 VERSION\14.07.115-0003-2023-B_for final formatting\02.2023\media\image17.jpeg"/>
                    <pic:cNvPicPr>
                      <a:picLocks noChangeAspect="1" noChangeArrowheads="1"/>
                    </pic:cNvPicPr>
                  </pic:nvPicPr>
                  <pic:blipFill>
                    <a:blip r:embed="rId32" cstate="print"/>
                    <a:srcRect/>
                    <a:stretch>
                      <a:fillRect/>
                    </a:stretch>
                  </pic:blipFill>
                  <pic:spPr bwMode="auto">
                    <a:xfrm>
                      <a:off x="0" y="0"/>
                      <a:ext cx="5955665" cy="4601845"/>
                    </a:xfrm>
                    <a:prstGeom prst="rect">
                      <a:avLst/>
                    </a:prstGeom>
                    <a:noFill/>
                    <a:ln w="9525">
                      <a:noFill/>
                      <a:miter lim="800000"/>
                      <a:headEnd/>
                      <a:tailEnd/>
                    </a:ln>
                  </pic:spPr>
                </pic:pic>
              </a:graphicData>
            </a:graphic>
          </wp:inline>
        </w:drawing>
      </w:r>
    </w:p>
    <w:tbl>
      <w:tblPr>
        <w:tblOverlap w:val="never"/>
        <w:tblW w:w="9277" w:type="dxa"/>
        <w:jc w:val="center"/>
        <w:tblLayout w:type="fixed"/>
        <w:tblCellMar>
          <w:left w:w="10" w:type="dxa"/>
          <w:right w:w="10" w:type="dxa"/>
        </w:tblCellMar>
        <w:tblLook w:val="04A0" w:firstRow="1" w:lastRow="0" w:firstColumn="1" w:lastColumn="0" w:noHBand="0" w:noVBand="1"/>
      </w:tblPr>
      <w:tblGrid>
        <w:gridCol w:w="4583"/>
        <w:gridCol w:w="4694"/>
      </w:tblGrid>
      <w:tr w:rsidR="00B834A2" w:rsidRPr="004E1531" w14:paraId="28B10F28" w14:textId="77777777" w:rsidTr="006B3C70">
        <w:trPr>
          <w:jc w:val="center"/>
        </w:trPr>
        <w:tc>
          <w:tcPr>
            <w:tcW w:w="4583" w:type="dxa"/>
            <w:shd w:val="clear" w:color="auto" w:fill="FFFFFF"/>
          </w:tcPr>
          <w:p w14:paraId="1A5C8026" w14:textId="77777777" w:rsidR="00B834A2" w:rsidRPr="004E1531" w:rsidRDefault="00B834A2" w:rsidP="004E1531">
            <w:pPr>
              <w:spacing w:after="160" w:line="360" w:lineRule="auto"/>
              <w:rPr>
                <w:sz w:val="20"/>
              </w:rPr>
            </w:pPr>
            <w:r w:rsidRPr="004E1531">
              <w:rPr>
                <w:sz w:val="20"/>
              </w:rPr>
              <w:t xml:space="preserve">Նկար 2.1.9.23-7. </w:t>
            </w:r>
            <w:r w:rsidRPr="00063A76">
              <w:rPr>
                <w:i/>
                <w:sz w:val="20"/>
              </w:rPr>
              <w:t>Բ սարք: Լիսեռ: Չափերը նշված են միլիմետրերով</w:t>
            </w:r>
          </w:p>
        </w:tc>
        <w:tc>
          <w:tcPr>
            <w:tcW w:w="4694" w:type="dxa"/>
            <w:shd w:val="clear" w:color="auto" w:fill="FFFFFF"/>
          </w:tcPr>
          <w:p w14:paraId="69ACE3EE" w14:textId="77777777" w:rsidR="00B834A2" w:rsidRPr="004E1531" w:rsidRDefault="00B834A2" w:rsidP="004E1531">
            <w:pPr>
              <w:spacing w:after="160" w:line="360" w:lineRule="auto"/>
              <w:rPr>
                <w:sz w:val="20"/>
              </w:rPr>
            </w:pPr>
            <w:r w:rsidRPr="004E1531">
              <w:rPr>
                <w:sz w:val="20"/>
              </w:rPr>
              <w:t xml:space="preserve">Նկար 2.1.9.23-9. </w:t>
            </w:r>
            <w:r w:rsidRPr="00063A76">
              <w:rPr>
                <w:i/>
                <w:sz w:val="20"/>
              </w:rPr>
              <w:t>Բ սարք: Հիմք-խցիկ: Չափերը նշված են միլիմետրերով</w:t>
            </w:r>
          </w:p>
        </w:tc>
      </w:tr>
    </w:tbl>
    <w:p w14:paraId="2B9F4860" w14:textId="77777777" w:rsidR="00B834A2" w:rsidRPr="00B834A2" w:rsidRDefault="00B834A2" w:rsidP="00B834A2">
      <w:pPr>
        <w:spacing w:after="160" w:line="360" w:lineRule="auto"/>
        <w:jc w:val="both"/>
      </w:pPr>
    </w:p>
    <w:p w14:paraId="18A8525C" w14:textId="77777777" w:rsidR="00B834A2" w:rsidRPr="00B834A2" w:rsidRDefault="00B834A2" w:rsidP="00B834A2">
      <w:pPr>
        <w:spacing w:after="160" w:line="360" w:lineRule="auto"/>
        <w:jc w:val="both"/>
      </w:pPr>
      <w:r w:rsidRPr="00B834A2">
        <w:br w:type="page"/>
      </w:r>
    </w:p>
    <w:p w14:paraId="0C6C51D7" w14:textId="77777777" w:rsidR="00B834A2" w:rsidRPr="00B834A2" w:rsidRDefault="00B834A2" w:rsidP="00B834A2">
      <w:pPr>
        <w:spacing w:after="160" w:line="360" w:lineRule="auto"/>
        <w:jc w:val="both"/>
      </w:pPr>
      <w:r w:rsidRPr="00B834A2">
        <w:rPr>
          <w:noProof/>
          <w:lang w:val="en-US" w:eastAsia="en-US" w:bidi="ar-SA"/>
        </w:rPr>
        <w:lastRenderedPageBreak/>
        <w:drawing>
          <wp:inline distT="0" distB="0" distL="0" distR="0" wp14:anchorId="41A931D2" wp14:editId="12E923DA">
            <wp:extent cx="2950210" cy="3174365"/>
            <wp:effectExtent l="19050" t="0" r="2540" b="0"/>
            <wp:docPr id="38" name="Picture 38"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ikhail.LOCAL\Desktop\media\image1.jpeg"/>
                    <pic:cNvPicPr>
                      <a:picLocks noChangeAspect="1" noChangeArrowheads="1"/>
                    </pic:cNvPicPr>
                  </pic:nvPicPr>
                  <pic:blipFill>
                    <a:blip r:embed="rId33" cstate="print"/>
                    <a:srcRect/>
                    <a:stretch>
                      <a:fillRect/>
                    </a:stretch>
                  </pic:blipFill>
                  <pic:spPr bwMode="auto">
                    <a:xfrm>
                      <a:off x="0" y="0"/>
                      <a:ext cx="2950210" cy="3174365"/>
                    </a:xfrm>
                    <a:prstGeom prst="rect">
                      <a:avLst/>
                    </a:prstGeom>
                    <a:noFill/>
                    <a:ln w="9525">
                      <a:noFill/>
                      <a:miter lim="800000"/>
                      <a:headEnd/>
                      <a:tailEnd/>
                    </a:ln>
                  </pic:spPr>
                </pic:pic>
              </a:graphicData>
            </a:graphic>
          </wp:inline>
        </w:drawing>
      </w:r>
    </w:p>
    <w:p w14:paraId="328C6459" w14:textId="77777777" w:rsidR="00B834A2" w:rsidRPr="00063A76" w:rsidRDefault="00B834A2" w:rsidP="004E1531">
      <w:pPr>
        <w:spacing w:after="160" w:line="360" w:lineRule="auto"/>
        <w:ind w:firstLine="567"/>
        <w:jc w:val="both"/>
        <w:rPr>
          <w:i/>
          <w:sz w:val="20"/>
        </w:rPr>
      </w:pPr>
      <w:r w:rsidRPr="004E1531">
        <w:rPr>
          <w:sz w:val="20"/>
        </w:rPr>
        <w:t xml:space="preserve">Նկար 2.1.9.23-10. </w:t>
      </w:r>
      <w:r w:rsidRPr="00063A76">
        <w:rPr>
          <w:i/>
          <w:sz w:val="20"/>
        </w:rPr>
        <w:t>Բ սարք: Ստորին ծամող մակերեւույթ: Չափերը նշված են միլիմետրերով</w:t>
      </w:r>
    </w:p>
    <w:p w14:paraId="4EF2697F" w14:textId="77777777" w:rsidR="00B834A2" w:rsidRPr="00B834A2" w:rsidRDefault="00B834A2" w:rsidP="00B834A2">
      <w:pPr>
        <w:spacing w:after="160" w:line="360" w:lineRule="auto"/>
        <w:jc w:val="both"/>
      </w:pPr>
    </w:p>
    <w:p w14:paraId="44C60BB2" w14:textId="77777777" w:rsidR="00B834A2" w:rsidRPr="006B7DC5" w:rsidRDefault="00B834A2" w:rsidP="004E1531">
      <w:pPr>
        <w:spacing w:after="160" w:line="360" w:lineRule="auto"/>
        <w:ind w:firstLine="567"/>
        <w:jc w:val="both"/>
        <w:rPr>
          <w:b/>
        </w:rPr>
      </w:pPr>
      <w:r w:rsidRPr="00B834A2">
        <w:rPr>
          <w:b/>
        </w:rPr>
        <w:t>ՄԵԹՈԴԻԿԱՆ</w:t>
      </w:r>
    </w:p>
    <w:p w14:paraId="7CBB8E57" w14:textId="77777777" w:rsidR="00B834A2" w:rsidRPr="00B834A2" w:rsidRDefault="00B834A2" w:rsidP="004E1531">
      <w:pPr>
        <w:spacing w:after="160" w:line="360" w:lineRule="auto"/>
        <w:ind w:firstLine="567"/>
        <w:jc w:val="both"/>
      </w:pPr>
      <w:r w:rsidRPr="00B834A2">
        <w:t xml:space="preserve">Կոնկրետ ծամոնին առնչվող մասնավոր դեղագրքային հոդվածում </w:t>
      </w:r>
      <w:r>
        <w:t>եւ</w:t>
      </w:r>
      <w:r w:rsidRPr="00B834A2">
        <w:t xml:space="preserve"> (կամ) որակի վերաբերյալ նորմատիվ փաստաթղթում նշվում են՝</w:t>
      </w:r>
    </w:p>
    <w:p w14:paraId="4250A846"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օգտագործվող սարքը (Ա տիպ կամ Բ տիպ),</w:t>
      </w:r>
    </w:p>
    <w:p w14:paraId="2B546B42"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 xml:space="preserve">լուծվելու միջավայրի բաղադրությունը, ծավալը </w:t>
      </w:r>
      <w:r>
        <w:t>եւ</w:t>
      </w:r>
      <w:r w:rsidRPr="00B834A2">
        <w:t xml:space="preserve"> ջերմաստիճանը,</w:t>
      </w:r>
    </w:p>
    <w:p w14:paraId="60A3970B"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«ծամելու» շրջափուլերի քանակը՝ րոպեում,</w:t>
      </w:r>
    </w:p>
    <w:p w14:paraId="7EE6798D"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 xml:space="preserve">փորձանմուշներ վերցնելու ժամանակը </w:t>
      </w:r>
      <w:r>
        <w:t>եւ</w:t>
      </w:r>
      <w:r w:rsidRPr="00B834A2">
        <w:t xml:space="preserve"> մեթոդը,</w:t>
      </w:r>
    </w:p>
    <w:p w14:paraId="6AD22063"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 xml:space="preserve">քանակական որոշման մեթոդիկան, </w:t>
      </w:r>
    </w:p>
    <w:p w14:paraId="1A317412" w14:textId="77777777" w:rsidR="00B834A2" w:rsidRPr="00B834A2" w:rsidRDefault="00B834A2" w:rsidP="004E1531">
      <w:pPr>
        <w:tabs>
          <w:tab w:val="left" w:pos="1134"/>
        </w:tabs>
        <w:spacing w:after="160" w:line="360" w:lineRule="auto"/>
        <w:ind w:firstLine="567"/>
        <w:jc w:val="both"/>
      </w:pPr>
      <w:r w:rsidRPr="00B834A2">
        <w:t>-</w:t>
      </w:r>
      <w:r w:rsidR="004E1531" w:rsidRPr="004E1531">
        <w:tab/>
      </w:r>
      <w:r w:rsidRPr="00B834A2">
        <w:t>ընդունելիության չափորոշիչները։</w:t>
      </w:r>
    </w:p>
    <w:p w14:paraId="763EA4FC" w14:textId="77777777" w:rsidR="00B834A2" w:rsidRPr="00B834A2" w:rsidRDefault="00B834A2" w:rsidP="004E1531">
      <w:pPr>
        <w:spacing w:after="160" w:line="360" w:lineRule="auto"/>
        <w:ind w:firstLine="567"/>
        <w:jc w:val="both"/>
      </w:pPr>
      <w:r w:rsidRPr="00B834A2">
        <w:t>Ազդող նյութի քանակական որոշումն անցկացնում են՝ օգտագործելով ծամոնի կամ լուծվելու միջավայրի մնացորդը:</w:t>
      </w:r>
    </w:p>
    <w:p w14:paraId="5C4C5E91" w14:textId="77777777" w:rsidR="00B834A2" w:rsidRPr="00B834A2" w:rsidRDefault="00B834A2" w:rsidP="004E1531">
      <w:pPr>
        <w:spacing w:after="160" w:line="360" w:lineRule="auto"/>
        <w:ind w:firstLine="567"/>
        <w:jc w:val="both"/>
      </w:pPr>
      <w:r w:rsidRPr="00B834A2">
        <w:t xml:space="preserve">Ծամելը նմանակելու համար նախատեսված խցիկի մեջ տեղադրում են լուծման միջավայրի նշված ծավալը, որպես կանոն, 20 մլ </w:t>
      </w:r>
      <w:r w:rsidRPr="00BE3AB4">
        <w:rPr>
          <w:i/>
        </w:rPr>
        <w:t>pH 6,0</w:t>
      </w:r>
      <w:r w:rsidRPr="00B834A2">
        <w:t xml:space="preserve"> </w:t>
      </w:r>
      <w:r w:rsidRPr="00BE3AB4">
        <w:rPr>
          <w:i/>
        </w:rPr>
        <w:t>Р2 ֆոսֆատային</w:t>
      </w:r>
      <w:r w:rsidRPr="00B834A2">
        <w:t xml:space="preserve"> </w:t>
      </w:r>
      <w:r w:rsidRPr="00BE3AB4">
        <w:rPr>
          <w:i/>
        </w:rPr>
        <w:lastRenderedPageBreak/>
        <w:t>բուֆերային լուծույթ</w:t>
      </w:r>
      <w:r w:rsidRPr="00B834A2">
        <w:t>: Լուծման միջավայրի ջերմաստիճանը պահում են</w:t>
      </w:r>
      <w:r w:rsidR="00BE3AB4">
        <w:t xml:space="preserve"> (37±</w:t>
      </w:r>
      <w:r w:rsidRPr="00B834A2">
        <w:t xml:space="preserve">0,5) °С՝ օգտագործելով արտաքին հսկողությամբ էլեկտրական սարքվածք (Ա սարք) կամ թերմոստատ (Բ սարք): Սահմանում են մխոցների շարժման արագությունը՝ մեկ րոպեում ծամելու շրջափուլերի նշված թվի դեպքում (սովորաբար՝ 60)։ Ճշգրիտ կշռում են ծամոնի մի մասը կամ ծամոնն ամբողջությամբ, դա դնում են ծամելը նմանակելու համար նախատեսված խցիկի մեջ </w:t>
      </w:r>
      <w:r>
        <w:t>եւ</w:t>
      </w:r>
      <w:r w:rsidRPr="00B834A2">
        <w:t xml:space="preserve"> գործարկում սարքը:</w:t>
      </w:r>
    </w:p>
    <w:p w14:paraId="78D4C6CD" w14:textId="77777777" w:rsidR="00B834A2" w:rsidRPr="00B834A2" w:rsidRDefault="00B834A2" w:rsidP="004E1531">
      <w:pPr>
        <w:spacing w:after="160" w:line="360" w:lineRule="auto"/>
        <w:ind w:firstLine="567"/>
        <w:jc w:val="both"/>
      </w:pPr>
    </w:p>
    <w:p w14:paraId="15DB966B" w14:textId="77777777" w:rsidR="00B834A2" w:rsidRPr="006B7DC5" w:rsidRDefault="00B834A2" w:rsidP="004E1531">
      <w:pPr>
        <w:spacing w:after="160" w:line="360" w:lineRule="auto"/>
        <w:ind w:firstLine="567"/>
        <w:jc w:val="both"/>
        <w:rPr>
          <w:b/>
        </w:rPr>
      </w:pPr>
      <w:r w:rsidRPr="00B834A2">
        <w:rPr>
          <w:b/>
        </w:rPr>
        <w:t>ՓՈՐՁԱՆՄՈՒՇՆԵՐ ՎԵՐՑՆԵԼԸ ԵՎ ԱՐԴՅՈՒՆՔՆԵՐԸ ԳՆԱՀԱՏԵԼԸ</w:t>
      </w:r>
    </w:p>
    <w:p w14:paraId="242648BC" w14:textId="77777777" w:rsidR="00B834A2" w:rsidRPr="00B834A2" w:rsidRDefault="00B834A2" w:rsidP="004E1531">
      <w:pPr>
        <w:spacing w:after="160" w:line="360" w:lineRule="auto"/>
        <w:ind w:firstLine="567"/>
        <w:jc w:val="both"/>
      </w:pPr>
      <w:r w:rsidRPr="00B834A2">
        <w:t xml:space="preserve">Սարքը կանգնեցնում են նշված ժամանակին: Հեռացնում են ծամոնի մնացորդները </w:t>
      </w:r>
      <w:r>
        <w:t>եւ</w:t>
      </w:r>
      <w:r w:rsidRPr="00B834A2">
        <w:t xml:space="preserve"> ընտրում են լուծվելու միջավայրի փորձանմուշը: Որոշում են ազդող նյութի (նյութերի) պարունակությունը՝ ըստ համապատասխան մեթոդիկայի: Յուրաքանչյուր նմուշառումից հետո թույլատրվում է ավելացնել լուծվելու միջավայրը. հաշվարկներ կատարելիս անհրաժեշտ է հաշվի առնել լուծվելու միջավայրի ծավալի փոփոխությունը կամ փորձանմուշի նոսրացումը: Որպես այլընտրանք՝ հնարավոր է որոշել ծամոնի մեջ մնացած ազդող նյութի (նյութերի) պարունակությունը:</w:t>
      </w:r>
      <w:r>
        <w:t xml:space="preserve"> </w:t>
      </w:r>
      <w:r w:rsidRPr="00B834A2">
        <w:t>Փորձարկումը հետագայում անցկացնում են 6 ծամոնի վրա:</w:t>
      </w:r>
    </w:p>
    <w:p w14:paraId="6BC1212C" w14:textId="77777777" w:rsidR="00B834A2" w:rsidRPr="00B834A2" w:rsidRDefault="00B834A2" w:rsidP="004E1531">
      <w:pPr>
        <w:spacing w:after="160" w:line="360" w:lineRule="auto"/>
        <w:ind w:firstLine="567"/>
        <w:jc w:val="both"/>
      </w:pPr>
      <w:r w:rsidRPr="00B834A2">
        <w:t>Որոշակի ժամանակի ընթացքում լուծված ազդող նյութի (նյութերի) քանակը արտահայտվում է դեղապատրաստուկի պիտակի վրա նշված պարունակության տոկոսներով:</w:t>
      </w:r>
    </w:p>
    <w:p w14:paraId="6B227CC2" w14:textId="77777777" w:rsidR="00063A76" w:rsidRDefault="00063A76">
      <w:r>
        <w:br w:type="page"/>
      </w:r>
    </w:p>
    <w:p w14:paraId="25190E59" w14:textId="77777777" w:rsidR="00B834A2" w:rsidRPr="00A859E3" w:rsidRDefault="00B834A2" w:rsidP="004E1531">
      <w:pPr>
        <w:spacing w:after="160" w:line="360" w:lineRule="auto"/>
        <w:ind w:firstLine="567"/>
        <w:jc w:val="right"/>
        <w:rPr>
          <w:b/>
          <w:sz w:val="20"/>
        </w:rPr>
      </w:pPr>
      <w:r w:rsidRPr="00BE3AB4">
        <w:rPr>
          <w:b/>
          <w:sz w:val="20"/>
        </w:rPr>
        <w:lastRenderedPageBreak/>
        <w:t>201090024-2022</w:t>
      </w:r>
    </w:p>
    <w:p w14:paraId="4D482726" w14:textId="77777777" w:rsidR="00BE3AB4" w:rsidRPr="00A859E3" w:rsidRDefault="00BE3AB4" w:rsidP="004E1531">
      <w:pPr>
        <w:spacing w:after="160" w:line="360" w:lineRule="auto"/>
        <w:ind w:firstLine="567"/>
        <w:jc w:val="right"/>
        <w:rPr>
          <w:b/>
          <w:sz w:val="20"/>
        </w:rPr>
      </w:pPr>
    </w:p>
    <w:p w14:paraId="6412CD32" w14:textId="77777777" w:rsidR="00B834A2" w:rsidRPr="00B834A2" w:rsidRDefault="00B834A2" w:rsidP="004E1531">
      <w:pPr>
        <w:tabs>
          <w:tab w:val="left" w:pos="1701"/>
        </w:tabs>
        <w:spacing w:after="160" w:line="360" w:lineRule="auto"/>
        <w:ind w:firstLine="567"/>
        <w:jc w:val="both"/>
        <w:rPr>
          <w:b/>
        </w:rPr>
      </w:pPr>
      <w:r w:rsidRPr="00B834A2">
        <w:rPr>
          <w:b/>
        </w:rPr>
        <w:t>2.1.9.24.</w:t>
      </w:r>
      <w:r w:rsidR="004E1531" w:rsidRPr="00097504">
        <w:rPr>
          <w:b/>
        </w:rPr>
        <w:tab/>
      </w:r>
      <w:r w:rsidRPr="00B834A2">
        <w:rPr>
          <w:b/>
        </w:rPr>
        <w:t>Մեծ չափի ընտրանքի օգտագործմամբ դոզավորված միավորների միատարրության հաստատումը</w:t>
      </w:r>
    </w:p>
    <w:p w14:paraId="4056E2B0" w14:textId="77777777" w:rsidR="00B834A2" w:rsidRPr="00B834A2" w:rsidRDefault="00B834A2" w:rsidP="004E1531">
      <w:pPr>
        <w:spacing w:after="160" w:line="360" w:lineRule="auto"/>
        <w:ind w:firstLine="567"/>
        <w:jc w:val="both"/>
      </w:pPr>
      <w:r w:rsidRPr="00B834A2">
        <w:t>Փորձարկումը նախատեսված է այն դեղապատրաստուկների գնահատման համար, որոնց արտադրությունն իրականացվում է գործընթացային վերլուծական տեխնոլոգիայի կիրառմամբ: Այս դեպքում փորձարկումն անցկացվում է մեծ չափի ընտրանքի վրա, որում դոզավորված միավորների թիվն առնվազն 100 է (n ≥ 100): Այդ ընտրանքի համար «2.1.9.14. Դոզավորված միավորների միատարրությունը» ընդհանուր դեղագրքային հոդվածի պահանջներին համապատասխանությունը կարող է հաստատվել տվյալ ընդհանուր դեղագրքային հոդվածում նկարագրված այլընտրանքային փորձարկումների օգնությամբ: Տվյալ ընդհանուր դեղագրքային հոդվածի կիրառումը պարտադիր չէ:</w:t>
      </w:r>
    </w:p>
    <w:p w14:paraId="60434683" w14:textId="77777777" w:rsidR="00B834A2" w:rsidRPr="00B834A2" w:rsidRDefault="00B834A2" w:rsidP="004E1531">
      <w:pPr>
        <w:spacing w:after="160" w:line="360" w:lineRule="auto"/>
        <w:ind w:firstLine="567"/>
        <w:jc w:val="both"/>
      </w:pPr>
      <w:r w:rsidRPr="00B834A2">
        <w:t>Ցանկացած այլընտրանքային փորձարկման պահանջների կատարումը նշանակում է, որ փորձարկվող դեղապատրաստուկը համապատասխանում է «2.1.9.14. Դոզավորված միավորների միատարրությունը» ընդհանուր դեղագրքային հոդվածի պահանջներին: Ներկայացված այլընտրանքային փորձարկումները համարվում են համարժեք՝ «2.1.9.14. Դոզավորված միավորների միատարրությունը» ընդհանուր դեղագրքային հոդվածի պահանջներին համապատասխանությունը հաստատելու դեպքում:</w:t>
      </w:r>
    </w:p>
    <w:p w14:paraId="0FF501DC" w14:textId="77777777" w:rsidR="00B834A2" w:rsidRPr="00B834A2" w:rsidRDefault="00B834A2" w:rsidP="00B834A2">
      <w:pPr>
        <w:spacing w:after="160" w:line="360" w:lineRule="auto"/>
        <w:jc w:val="both"/>
        <w:rPr>
          <w:rFonts w:cs="Times New Roman"/>
        </w:rPr>
      </w:pPr>
    </w:p>
    <w:p w14:paraId="45550879" w14:textId="77777777" w:rsidR="00B834A2" w:rsidRPr="00A859E3" w:rsidRDefault="00B834A2" w:rsidP="00B834A2">
      <w:pPr>
        <w:pStyle w:val="Bodytext20"/>
        <w:shd w:val="clear" w:color="auto" w:fill="auto"/>
        <w:spacing w:before="0" w:after="160" w:line="360" w:lineRule="auto"/>
        <w:jc w:val="right"/>
        <w:rPr>
          <w:rStyle w:val="Bodytext29pt"/>
          <w:b/>
          <w:sz w:val="20"/>
          <w:szCs w:val="24"/>
        </w:rPr>
      </w:pPr>
      <w:r w:rsidRPr="00BE3AB4">
        <w:rPr>
          <w:rStyle w:val="Bodytext29pt"/>
          <w:b/>
          <w:sz w:val="20"/>
          <w:szCs w:val="24"/>
        </w:rPr>
        <w:t>201090024-2022</w:t>
      </w:r>
    </w:p>
    <w:p w14:paraId="6A32E298" w14:textId="77777777" w:rsidR="00BE3AB4" w:rsidRPr="00A859E3" w:rsidRDefault="00BE3AB4" w:rsidP="00B834A2">
      <w:pPr>
        <w:pStyle w:val="Bodytext20"/>
        <w:shd w:val="clear" w:color="auto" w:fill="auto"/>
        <w:spacing w:before="0" w:after="160" w:line="360" w:lineRule="auto"/>
        <w:jc w:val="right"/>
        <w:rPr>
          <w:rFonts w:ascii="Sylfaen" w:hAnsi="Sylfaen" w:cs="Sylfaen"/>
          <w:b/>
          <w:sz w:val="20"/>
          <w:szCs w:val="24"/>
        </w:rPr>
      </w:pPr>
    </w:p>
    <w:p w14:paraId="3D2BDCDA" w14:textId="77777777" w:rsidR="00B834A2" w:rsidRPr="004E1531" w:rsidRDefault="00B834A2" w:rsidP="004E1531">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4E1531">
        <w:rPr>
          <w:rStyle w:val="Bodytext29pt"/>
          <w:b/>
          <w:sz w:val="24"/>
          <w:szCs w:val="24"/>
        </w:rPr>
        <w:t>2.1.9.24.</w:t>
      </w:r>
      <w:r w:rsidR="004E1531" w:rsidRPr="00097504">
        <w:rPr>
          <w:rStyle w:val="Bodytext29pt"/>
          <w:b/>
          <w:sz w:val="24"/>
          <w:szCs w:val="24"/>
        </w:rPr>
        <w:tab/>
      </w:r>
      <w:r w:rsidRPr="004E1531">
        <w:rPr>
          <w:rStyle w:val="Bodytext29pt"/>
          <w:b/>
          <w:sz w:val="24"/>
          <w:szCs w:val="24"/>
        </w:rPr>
        <w:t>Մեծ չափի ընտրանքի օգտագործմամբ դոզավորված միավորների միատարրության հաստատումը</w:t>
      </w:r>
    </w:p>
    <w:p w14:paraId="56C465CB" w14:textId="77777777" w:rsidR="00B834A2" w:rsidRPr="00097504" w:rsidRDefault="00B834A2" w:rsidP="004E1531">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Փորձարկումը նախատեսված է այն դեղապատրաստուկների գնահատման համար, որոնց արտադրությունն իրականացվում է գործընթացային վերլուծական </w:t>
      </w:r>
      <w:r w:rsidRPr="00B834A2">
        <w:rPr>
          <w:rFonts w:ascii="Sylfaen" w:hAnsi="Sylfaen"/>
          <w:sz w:val="24"/>
          <w:szCs w:val="24"/>
        </w:rPr>
        <w:lastRenderedPageBreak/>
        <w:t xml:space="preserve">տեխնոլոգիայի կիրառմամբ: Այս դեպքում փորձարկումն անցկացվում է մեծ չափի ընտրանքի հիման վրա, որում դոզավորված միավորների թիվն առնվազն 100 է </w:t>
      </w:r>
      <w:r w:rsidRPr="00B834A2">
        <w:rPr>
          <w:rFonts w:ascii="Sylfaen" w:hAnsi="Sylfaen"/>
          <w:i/>
          <w:sz w:val="24"/>
          <w:szCs w:val="24"/>
        </w:rPr>
        <w:t>(n ≥ 100)</w:t>
      </w:r>
      <w:r w:rsidRPr="00B834A2">
        <w:rPr>
          <w:rFonts w:ascii="Sylfaen" w:hAnsi="Sylfaen"/>
          <w:sz w:val="24"/>
          <w:szCs w:val="24"/>
        </w:rPr>
        <w:t xml:space="preserve">: Այդ ընտրանքի համար </w:t>
      </w:r>
      <w:r w:rsidRPr="00B834A2">
        <w:rPr>
          <w:rFonts w:ascii="Sylfaen" w:hAnsi="Sylfaen"/>
          <w:i/>
          <w:sz w:val="24"/>
          <w:szCs w:val="24"/>
        </w:rPr>
        <w:t>«Դոզավորված միավորների միատարրությունը»</w:t>
      </w:r>
      <w:r w:rsidRPr="00B834A2">
        <w:rPr>
          <w:rFonts w:ascii="Sylfaen" w:hAnsi="Sylfaen"/>
          <w:sz w:val="24"/>
          <w:szCs w:val="24"/>
        </w:rPr>
        <w:t xml:space="preserve"> </w:t>
      </w:r>
      <w:r w:rsidRPr="00B834A2">
        <w:rPr>
          <w:rFonts w:ascii="Sylfaen" w:hAnsi="Sylfaen"/>
          <w:i/>
          <w:sz w:val="24"/>
          <w:szCs w:val="24"/>
        </w:rPr>
        <w:t xml:space="preserve">2.1.9.14. </w:t>
      </w:r>
      <w:r w:rsidRPr="00B834A2">
        <w:rPr>
          <w:rFonts w:ascii="Sylfaen" w:hAnsi="Sylfaen"/>
          <w:sz w:val="24"/>
          <w:szCs w:val="24"/>
        </w:rPr>
        <w:t>ընդհանուր դեղագրքային հոդվածի պահանջներին համապատասխանությունը կարող է հաստատվել տվյալ ընդհանուր դեղագրքային հոդվածում նկարագրված այլընտրանքային փորձարկումների օգնությամբ: Տվյալ ընդհանուր դեղագրքային հոդվածի կիրառումը պարտադիր չէ:</w:t>
      </w:r>
    </w:p>
    <w:p w14:paraId="47820B57" w14:textId="77777777" w:rsidR="00B834A2" w:rsidRPr="00B834A2" w:rsidRDefault="00B834A2" w:rsidP="004E1531">
      <w:pPr>
        <w:spacing w:after="160" w:line="360" w:lineRule="auto"/>
        <w:ind w:firstLine="567"/>
        <w:jc w:val="both"/>
        <w:rPr>
          <w:rStyle w:val="Bodytext2Italic"/>
          <w:rFonts w:eastAsia="Tahoma"/>
          <w:sz w:val="24"/>
          <w:szCs w:val="24"/>
        </w:rPr>
      </w:pPr>
      <w:r w:rsidRPr="00B834A2">
        <w:t xml:space="preserve">Ցանկացած այլընտրանքային փորձարկման պահանջների կատարումը նշանակում է, որ փորձարկվող դեղապատրաստուկը համապատասխանում է </w:t>
      </w:r>
      <w:r w:rsidRPr="00B834A2">
        <w:rPr>
          <w:i/>
        </w:rPr>
        <w:t>«Դոզավորված միավորների միատարրությունը»</w:t>
      </w:r>
      <w:r w:rsidRPr="00B834A2">
        <w:t xml:space="preserve"> </w:t>
      </w:r>
      <w:r w:rsidRPr="00B834A2">
        <w:rPr>
          <w:i/>
        </w:rPr>
        <w:t xml:space="preserve">2.1.9.14. </w:t>
      </w:r>
      <w:r w:rsidRPr="00B834A2">
        <w:t xml:space="preserve">ընդհանուր դեղագրքային հոդվածի պահանջներին: Ներկայացված այլընտրանքային փորձարկումները </w:t>
      </w:r>
      <w:r w:rsidRPr="00B834A2">
        <w:rPr>
          <w:i/>
        </w:rPr>
        <w:t>«Դոզավորված միավորների միատարրությունը»</w:t>
      </w:r>
      <w:r w:rsidRPr="00B834A2">
        <w:t xml:space="preserve"> </w:t>
      </w:r>
      <w:r w:rsidRPr="00B834A2">
        <w:rPr>
          <w:i/>
        </w:rPr>
        <w:t xml:space="preserve">2.1.9.14. </w:t>
      </w:r>
      <w:r w:rsidRPr="00B834A2">
        <w:t>ընդհանուր դեղագրքային հոդվածի պահանջներին համապատասխանությունը հաստատելու դեպքում համարում են համարժեք:</w:t>
      </w:r>
    </w:p>
    <w:p w14:paraId="62F9E657" w14:textId="77777777" w:rsidR="00B834A2" w:rsidRPr="00B834A2" w:rsidRDefault="00B834A2" w:rsidP="00B834A2">
      <w:pPr>
        <w:pStyle w:val="Bodytext20"/>
        <w:shd w:val="clear" w:color="auto" w:fill="auto"/>
        <w:spacing w:before="0" w:after="160" w:line="360" w:lineRule="auto"/>
        <w:rPr>
          <w:rFonts w:ascii="Sylfaen" w:hAnsi="Sylfaen" w:cs="Sylfaen"/>
          <w:b/>
          <w:sz w:val="24"/>
          <w:szCs w:val="24"/>
        </w:rPr>
      </w:pPr>
    </w:p>
    <w:p w14:paraId="28067A5D"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ԱՅԼԸՆՏՐԱՆՔԱՅԻՆ ՓՈՐՁԱՐԿՈՒՄ 1 (ՊԱՐԱՄԵՏՐԻԿ)</w:t>
      </w:r>
    </w:p>
    <w:p w14:paraId="1B9104B3"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Վերցնում են 100-ից ոչ պակաս դոզավորված միավորներ՝ փորձանմուշներ վերցնելու նախապես կազմված պլանին համապատասխան:</w:t>
      </w:r>
    </w:p>
    <w:p w14:paraId="256E025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Դոզավորված միավորների միատարրությունը գնահատում են ըստ զանգվածի պարունակության միատարրության կամ փոփոխության, ինչպես նշված է 2.1.9.24-1 աղյուսակում: Թույլատրելի արժեքը </w:t>
      </w:r>
      <w:r w:rsidRPr="00B834A2">
        <w:rPr>
          <w:rFonts w:ascii="Sylfaen" w:hAnsi="Sylfaen"/>
          <w:i/>
          <w:sz w:val="24"/>
          <w:szCs w:val="24"/>
        </w:rPr>
        <w:t>(AV)</w:t>
      </w:r>
      <w:r w:rsidRPr="00B834A2">
        <w:rPr>
          <w:rFonts w:ascii="Sylfaen" w:hAnsi="Sylfaen"/>
          <w:sz w:val="24"/>
          <w:szCs w:val="24"/>
        </w:rPr>
        <w:t xml:space="preserve"> հաշվարկում են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ով.</w:t>
      </w:r>
    </w:p>
    <w:p w14:paraId="085DCAF6" w14:textId="77777777" w:rsidR="00B834A2" w:rsidRPr="00B834A2" w:rsidRDefault="00B834A2" w:rsidP="004E1531">
      <w:pPr>
        <w:pStyle w:val="Bodytext20"/>
        <w:shd w:val="clear" w:color="auto" w:fill="auto"/>
        <w:spacing w:before="0" w:after="160" w:line="360" w:lineRule="auto"/>
        <w:rPr>
          <w:rFonts w:ascii="Sylfaen" w:hAnsi="Sylfaen" w:cs="Sylfaen"/>
          <w:sz w:val="24"/>
          <w:szCs w:val="24"/>
        </w:rPr>
      </w:pPr>
      <w:r w:rsidRPr="00B834A2">
        <w:rPr>
          <w:rStyle w:val="Bodytext2Italic"/>
          <w:sz w:val="24"/>
          <w:szCs w:val="24"/>
        </w:rPr>
        <w:t>АV= |М-Х|±</w:t>
      </w:r>
      <w:r w:rsidRPr="00B834A2">
        <w:rPr>
          <w:rFonts w:ascii="Sylfaen" w:hAnsi="Sylfaen"/>
          <w:sz w:val="24"/>
          <w:szCs w:val="24"/>
        </w:rPr>
        <w:t xml:space="preserve"> kS,</w:t>
      </w:r>
    </w:p>
    <w:p w14:paraId="113FE7A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որի համար մեծությունները որոշում են 2.1.9.24-2 աղյուսակից, իսկ </w:t>
      </w:r>
      <w:r w:rsidRPr="00B834A2">
        <w:rPr>
          <w:rStyle w:val="Bodytext2Italic"/>
          <w:sz w:val="24"/>
          <w:szCs w:val="24"/>
        </w:rPr>
        <w:t>K</w:t>
      </w:r>
      <w:r w:rsidRPr="00B834A2">
        <w:rPr>
          <w:rFonts w:ascii="Sylfaen" w:hAnsi="Sylfaen"/>
          <w:sz w:val="24"/>
          <w:szCs w:val="24"/>
        </w:rPr>
        <w:t>-ի արժեքը, որը պայմանավորված է ընտրանքում դոզավորված միավորների թվով, որոշում են 2.1.9.24-1 աղյուսակից:</w:t>
      </w:r>
    </w:p>
    <w:p w14:paraId="5BA7CD69" w14:textId="77777777" w:rsidR="006B3C70" w:rsidRPr="00DE4F37" w:rsidRDefault="006B3C70" w:rsidP="004E1531">
      <w:pPr>
        <w:pStyle w:val="Bodytext20"/>
        <w:shd w:val="clear" w:color="auto" w:fill="auto"/>
        <w:spacing w:before="0" w:after="160" w:line="360" w:lineRule="auto"/>
        <w:ind w:firstLine="567"/>
        <w:jc w:val="both"/>
        <w:rPr>
          <w:rFonts w:ascii="Sylfaen" w:hAnsi="Sylfaen"/>
          <w:b/>
          <w:sz w:val="24"/>
          <w:szCs w:val="24"/>
        </w:rPr>
      </w:pPr>
    </w:p>
    <w:p w14:paraId="4F800EC2" w14:textId="77777777" w:rsidR="00B834A2" w:rsidRPr="006B7DC5" w:rsidRDefault="00B834A2" w:rsidP="006B3C70">
      <w:pPr>
        <w:pStyle w:val="Bodytext20"/>
        <w:shd w:val="clear" w:color="auto" w:fill="auto"/>
        <w:spacing w:before="0" w:after="160" w:line="348" w:lineRule="auto"/>
        <w:ind w:firstLine="567"/>
        <w:jc w:val="both"/>
        <w:rPr>
          <w:rFonts w:ascii="Sylfaen" w:hAnsi="Sylfaen"/>
          <w:b/>
          <w:sz w:val="24"/>
          <w:szCs w:val="24"/>
        </w:rPr>
      </w:pPr>
      <w:r w:rsidRPr="00B834A2">
        <w:rPr>
          <w:rFonts w:ascii="Sylfaen" w:hAnsi="Sylfaen"/>
          <w:b/>
          <w:sz w:val="24"/>
          <w:szCs w:val="24"/>
        </w:rPr>
        <w:lastRenderedPageBreak/>
        <w:t>ՊԱՀԱՆՋՆԵՐ</w:t>
      </w:r>
    </w:p>
    <w:p w14:paraId="7EC30B9A"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Այլ ցուցումների բացակայության դեպքում կիրառում են հետ</w:t>
      </w:r>
      <w:r>
        <w:rPr>
          <w:rFonts w:ascii="Sylfaen" w:hAnsi="Sylfaen"/>
          <w:sz w:val="24"/>
          <w:szCs w:val="24"/>
        </w:rPr>
        <w:t>եւ</w:t>
      </w:r>
      <w:r w:rsidRPr="00B834A2">
        <w:rPr>
          <w:rFonts w:ascii="Sylfaen" w:hAnsi="Sylfaen"/>
          <w:sz w:val="24"/>
          <w:szCs w:val="24"/>
        </w:rPr>
        <w:t>յալ պահանջները:</w:t>
      </w:r>
    </w:p>
    <w:p w14:paraId="1BA11F10"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Դեղաձ</w:t>
      </w:r>
      <w:r>
        <w:rPr>
          <w:rFonts w:ascii="Sylfaen" w:hAnsi="Sylfaen"/>
          <w:sz w:val="24"/>
          <w:szCs w:val="24"/>
        </w:rPr>
        <w:t>եւ</w:t>
      </w:r>
      <w:r w:rsidRPr="00B834A2">
        <w:rPr>
          <w:rFonts w:ascii="Sylfaen" w:hAnsi="Sylfaen"/>
          <w:sz w:val="24"/>
          <w:szCs w:val="24"/>
        </w:rPr>
        <w:t>ի դոզավորված միավորների միատարրության համար պահանջները կատարվում են, եթե՝</w:t>
      </w:r>
    </w:p>
    <w:p w14:paraId="0F317611" w14:textId="77777777" w:rsidR="00B834A2" w:rsidRPr="00B834A2" w:rsidRDefault="00B834A2" w:rsidP="006B3C70">
      <w:pPr>
        <w:tabs>
          <w:tab w:val="left" w:pos="1134"/>
        </w:tabs>
        <w:spacing w:after="160" w:line="348" w:lineRule="auto"/>
        <w:ind w:firstLine="567"/>
        <w:jc w:val="both"/>
      </w:pPr>
      <w:r w:rsidRPr="00B834A2">
        <w:t>1)</w:t>
      </w:r>
      <w:r w:rsidR="004E1531" w:rsidRPr="00097504">
        <w:tab/>
      </w:r>
      <w:r w:rsidRPr="00B834A2">
        <w:t xml:space="preserve">թույլատրված արժեքը </w:t>
      </w:r>
      <w:r w:rsidRPr="00B834A2">
        <w:rPr>
          <w:rStyle w:val="Bodytext2Italic"/>
          <w:rFonts w:eastAsia="Tahoma"/>
          <w:sz w:val="24"/>
          <w:szCs w:val="24"/>
        </w:rPr>
        <w:t>(АV)</w:t>
      </w:r>
      <w:r w:rsidRPr="00B834A2">
        <w:t xml:space="preserve"> փոքր կամ հավասար է </w:t>
      </w:r>
      <w:r w:rsidRPr="00B834A2">
        <w:rPr>
          <w:i/>
        </w:rPr>
        <w:t>L</w:t>
      </w:r>
      <w:r w:rsidRPr="00501C38">
        <w:t>1</w:t>
      </w:r>
      <w:r w:rsidRPr="00B834A2">
        <w:t xml:space="preserve">-ի, </w:t>
      </w:r>
      <w:r>
        <w:t>եւ</w:t>
      </w:r>
    </w:p>
    <w:p w14:paraId="778B2810" w14:textId="77777777" w:rsidR="00B834A2" w:rsidRPr="00B834A2" w:rsidRDefault="00B834A2" w:rsidP="006B3C70">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B834A2">
        <w:rPr>
          <w:rFonts w:ascii="Sylfaen" w:hAnsi="Sylfaen"/>
          <w:sz w:val="24"/>
          <w:szCs w:val="24"/>
        </w:rPr>
        <w:t>2)</w:t>
      </w:r>
      <w:r w:rsidR="004E1531" w:rsidRPr="004E1531">
        <w:rPr>
          <w:rFonts w:ascii="Sylfaen" w:hAnsi="Sylfaen"/>
          <w:sz w:val="24"/>
          <w:szCs w:val="24"/>
        </w:rPr>
        <w:tab/>
      </w:r>
      <w:r w:rsidRPr="00B834A2">
        <w:rPr>
          <w:rFonts w:ascii="Sylfaen" w:hAnsi="Sylfaen"/>
          <w:sz w:val="24"/>
          <w:szCs w:val="24"/>
        </w:rPr>
        <w:t xml:space="preserve">թույլատրված արժեքը </w:t>
      </w:r>
      <w:r w:rsidRPr="00B834A2">
        <w:rPr>
          <w:rStyle w:val="Bodytext2Italic"/>
          <w:sz w:val="24"/>
          <w:szCs w:val="24"/>
        </w:rPr>
        <w:t>(АV)</w:t>
      </w:r>
      <w:r w:rsidRPr="00B834A2">
        <w:rPr>
          <w:rFonts w:ascii="Sylfaen" w:hAnsi="Sylfaen"/>
          <w:sz w:val="24"/>
          <w:szCs w:val="24"/>
        </w:rPr>
        <w:t xml:space="preserve"> հաշվարկելիս զանգվածի պարունակության միատարրության կամ փոփոխության համար ազդող նյութի պարունակությամբ առանձին դոզավորված միավորների թիվը (1 ± L</w:t>
      </w:r>
      <w:r w:rsidRPr="00B834A2">
        <w:rPr>
          <w:rStyle w:val="Bodytext2Italic"/>
          <w:sz w:val="24"/>
          <w:szCs w:val="24"/>
        </w:rPr>
        <w:t>2</w:t>
      </w:r>
      <w:r>
        <w:rPr>
          <w:rStyle w:val="Bodytext2Italic"/>
          <w:sz w:val="24"/>
          <w:szCs w:val="24"/>
        </w:rPr>
        <w:t xml:space="preserve"> </w:t>
      </w:r>
      <w:r w:rsidRPr="00B834A2">
        <w:rPr>
          <w:rStyle w:val="Bodytext295pt"/>
          <w:noProof/>
          <w:sz w:val="24"/>
          <w:szCs w:val="24"/>
        </w:rPr>
        <w:t>•</w:t>
      </w:r>
      <w:r w:rsidRPr="00B834A2">
        <w:rPr>
          <w:rStyle w:val="Bodytext2Italic"/>
          <w:sz w:val="24"/>
          <w:szCs w:val="24"/>
        </w:rPr>
        <w:t xml:space="preserve"> </w:t>
      </w:r>
      <w:r w:rsidRPr="00B834A2">
        <w:rPr>
          <w:rFonts w:ascii="Sylfaen" w:hAnsi="Sylfaen"/>
          <w:sz w:val="24"/>
          <w:szCs w:val="24"/>
        </w:rPr>
        <w:t>0,01)</w:t>
      </w:r>
      <w:r>
        <w:rPr>
          <w:rFonts w:ascii="Sylfaen" w:hAnsi="Sylfaen"/>
          <w:sz w:val="24"/>
          <w:szCs w:val="24"/>
        </w:rPr>
        <w:t xml:space="preserve"> </w:t>
      </w:r>
      <w:r w:rsidRPr="00B834A2">
        <w:rPr>
          <w:rStyle w:val="Bodytext295pt"/>
          <w:noProof/>
          <w:sz w:val="24"/>
          <w:szCs w:val="24"/>
        </w:rPr>
        <w:t>•</w:t>
      </w:r>
      <w:r w:rsidRPr="00B834A2">
        <w:rPr>
          <w:rFonts w:ascii="Sylfaen" w:hAnsi="Sylfaen"/>
          <w:sz w:val="24"/>
          <w:szCs w:val="24"/>
        </w:rPr>
        <w:t xml:space="preserve"> </w:t>
      </w:r>
      <w:r w:rsidRPr="00B834A2">
        <w:rPr>
          <w:rStyle w:val="Bodytext2Italic"/>
          <w:sz w:val="24"/>
          <w:szCs w:val="24"/>
        </w:rPr>
        <w:t xml:space="preserve">М </w:t>
      </w:r>
      <w:r w:rsidRPr="00B834A2">
        <w:rPr>
          <w:rFonts w:ascii="Sylfaen" w:hAnsi="Sylfaen"/>
          <w:sz w:val="24"/>
          <w:szCs w:val="24"/>
        </w:rPr>
        <w:t>սահմաններից դուրս</w:t>
      </w:r>
      <w:r>
        <w:rPr>
          <w:rFonts w:ascii="Sylfaen" w:hAnsi="Sylfaen"/>
          <w:sz w:val="24"/>
          <w:szCs w:val="24"/>
        </w:rPr>
        <w:t xml:space="preserve"> </w:t>
      </w:r>
    </w:p>
    <w:p w14:paraId="308CEF5D"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 xml:space="preserve">փոքր կամ հավասար է </w:t>
      </w:r>
      <w:r w:rsidRPr="00501C38">
        <w:rPr>
          <w:rStyle w:val="Bodytext285pt"/>
          <w:i w:val="0"/>
          <w:spacing w:val="0"/>
          <w:sz w:val="24"/>
          <w:szCs w:val="24"/>
        </w:rPr>
        <w:t>2</w:t>
      </w:r>
      <w:r w:rsidRPr="00B834A2">
        <w:rPr>
          <w:rStyle w:val="Bodytext285pt"/>
          <w:spacing w:val="0"/>
          <w:sz w:val="24"/>
          <w:szCs w:val="24"/>
        </w:rPr>
        <w:t>-</w:t>
      </w:r>
      <w:r w:rsidR="00501C38" w:rsidRPr="00B834A2">
        <w:rPr>
          <w:rFonts w:ascii="Sylfaen" w:hAnsi="Sylfaen"/>
          <w:sz w:val="24"/>
          <w:szCs w:val="24"/>
        </w:rPr>
        <w:t>ի</w:t>
      </w:r>
      <w:r w:rsidRPr="00B834A2">
        <w:rPr>
          <w:rStyle w:val="Bodytext285pt"/>
          <w:spacing w:val="0"/>
          <w:sz w:val="24"/>
          <w:szCs w:val="24"/>
        </w:rPr>
        <w:t xml:space="preserve"> </w:t>
      </w:r>
      <w:r w:rsidRPr="00B834A2">
        <w:rPr>
          <w:rFonts w:ascii="Sylfaen" w:hAnsi="Sylfaen"/>
          <w:sz w:val="24"/>
          <w:szCs w:val="24"/>
        </w:rPr>
        <w:t>, ինչպես նշված է n ընտրանքի տվյալ չափի համար 2.1.9.24-1 աղյուսակում:</w:t>
      </w:r>
    </w:p>
    <w:p w14:paraId="29C79EE0"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 xml:space="preserve">Այլ ցուցումների բացակայության դեպքում </w:t>
      </w:r>
      <w:r w:rsidRPr="00B834A2">
        <w:rPr>
          <w:rFonts w:ascii="Sylfaen" w:hAnsi="Sylfaen"/>
          <w:i/>
          <w:sz w:val="24"/>
          <w:szCs w:val="24"/>
        </w:rPr>
        <w:t>L1</w:t>
      </w:r>
      <w:r w:rsidRPr="00B834A2">
        <w:rPr>
          <w:rFonts w:ascii="Sylfaen" w:hAnsi="Sylfaen"/>
          <w:sz w:val="24"/>
          <w:szCs w:val="24"/>
        </w:rPr>
        <w:t xml:space="preserve"> = 15,0-ի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L2</w:t>
      </w:r>
      <w:r w:rsidRPr="00B834A2">
        <w:rPr>
          <w:rFonts w:ascii="Sylfaen" w:hAnsi="Sylfaen"/>
          <w:sz w:val="24"/>
          <w:szCs w:val="24"/>
        </w:rPr>
        <w:t xml:space="preserve"> = 25,0-ի:</w:t>
      </w:r>
    </w:p>
    <w:p w14:paraId="6A26B3EA"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2.1.9.24.-1 աղյուսակն օգտագործում են հետ</w:t>
      </w:r>
      <w:r>
        <w:rPr>
          <w:rFonts w:ascii="Sylfaen" w:hAnsi="Sylfaen"/>
          <w:sz w:val="24"/>
          <w:szCs w:val="24"/>
        </w:rPr>
        <w:t>եւ</w:t>
      </w:r>
      <w:r w:rsidRPr="00B834A2">
        <w:rPr>
          <w:rFonts w:ascii="Sylfaen" w:hAnsi="Sylfaen"/>
          <w:sz w:val="24"/>
          <w:szCs w:val="24"/>
        </w:rPr>
        <w:t>յալ կերպ.</w:t>
      </w:r>
    </w:p>
    <w:p w14:paraId="69D10F37" w14:textId="77777777" w:rsidR="00B834A2" w:rsidRPr="00B834A2" w:rsidRDefault="00B834A2" w:rsidP="006B3C70">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Pr="00B834A2">
        <w:rPr>
          <w:rStyle w:val="Bodytext2Italic"/>
          <w:sz w:val="24"/>
          <w:szCs w:val="24"/>
        </w:rPr>
        <w:t>n</w:t>
      </w:r>
      <w:r w:rsidRPr="00B834A2">
        <w:rPr>
          <w:rFonts w:ascii="Sylfaen" w:hAnsi="Sylfaen"/>
          <w:sz w:val="24"/>
          <w:szCs w:val="24"/>
        </w:rPr>
        <w:t xml:space="preserve"> = 400-ի չափով ընտրանքի համար գտնում են արժեքներ </w:t>
      </w:r>
      <w:r w:rsidRPr="00B834A2">
        <w:rPr>
          <w:rStyle w:val="Bodytext2Italic"/>
          <w:sz w:val="24"/>
          <w:szCs w:val="24"/>
        </w:rPr>
        <w:t>n ≥</w:t>
      </w:r>
      <w:r w:rsidRPr="00B834A2">
        <w:rPr>
          <w:rFonts w:ascii="Sylfaen" w:hAnsi="Sylfaen"/>
          <w:sz w:val="24"/>
          <w:szCs w:val="24"/>
        </w:rPr>
        <w:t xml:space="preserve"> 385-ին մոտ՝ k = 2,23 </w:t>
      </w:r>
      <w:r>
        <w:rPr>
          <w:rFonts w:ascii="Sylfaen" w:hAnsi="Sylfaen"/>
          <w:sz w:val="24"/>
          <w:szCs w:val="24"/>
        </w:rPr>
        <w:t>եւ</w:t>
      </w:r>
      <w:r w:rsidRPr="00B834A2">
        <w:rPr>
          <w:rFonts w:ascii="Sylfaen" w:hAnsi="Sylfaen"/>
          <w:sz w:val="24"/>
          <w:szCs w:val="24"/>
        </w:rPr>
        <w:t xml:space="preserve"> с2 = 3.</w:t>
      </w:r>
    </w:p>
    <w:p w14:paraId="1441B0D0" w14:textId="77777777" w:rsidR="00B834A2" w:rsidRPr="00B834A2" w:rsidRDefault="00B834A2" w:rsidP="006B3C70">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006B3C70" w:rsidRPr="006B3C70">
        <w:rPr>
          <w:rStyle w:val="Bodytext2Italic"/>
          <w:sz w:val="24"/>
          <w:szCs w:val="24"/>
        </w:rPr>
        <w:t>n</w:t>
      </w:r>
      <w:r w:rsidRPr="00B834A2">
        <w:rPr>
          <w:rFonts w:ascii="Sylfaen" w:hAnsi="Sylfaen"/>
          <w:sz w:val="24"/>
          <w:szCs w:val="24"/>
        </w:rPr>
        <w:t xml:space="preserve"> = 450-ի չափով ընտրանքի համար գտնում են արժեքներ </w:t>
      </w:r>
      <w:r w:rsidRPr="00B834A2">
        <w:rPr>
          <w:rStyle w:val="Bodytext2Italic"/>
          <w:sz w:val="24"/>
          <w:szCs w:val="24"/>
        </w:rPr>
        <w:t>n</w:t>
      </w:r>
      <w:r w:rsidRPr="00B834A2">
        <w:rPr>
          <w:rFonts w:ascii="Sylfaen" w:hAnsi="Sylfaen"/>
          <w:sz w:val="24"/>
          <w:szCs w:val="24"/>
        </w:rPr>
        <w:t xml:space="preserve"> ≥ 407-ին մոտ՝ k = 2,24 </w:t>
      </w:r>
      <w:r>
        <w:rPr>
          <w:rFonts w:ascii="Sylfaen" w:hAnsi="Sylfaen"/>
          <w:sz w:val="24"/>
          <w:szCs w:val="24"/>
        </w:rPr>
        <w:t>եւ</w:t>
      </w:r>
      <w:r w:rsidRPr="00B834A2">
        <w:rPr>
          <w:rFonts w:ascii="Sylfaen" w:hAnsi="Sylfaen"/>
          <w:sz w:val="24"/>
          <w:szCs w:val="24"/>
        </w:rPr>
        <w:t xml:space="preserve"> с2 = 3.</w:t>
      </w:r>
    </w:p>
    <w:p w14:paraId="3728CA65" w14:textId="77777777" w:rsidR="00B834A2" w:rsidRPr="00B834A2" w:rsidRDefault="00B834A2" w:rsidP="006B3C70">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006B3C70" w:rsidRPr="006B3C70">
        <w:rPr>
          <w:rStyle w:val="Bodytext2Italic"/>
          <w:sz w:val="24"/>
          <w:szCs w:val="24"/>
        </w:rPr>
        <w:t>n</w:t>
      </w:r>
      <w:r w:rsidRPr="00B834A2">
        <w:rPr>
          <w:rFonts w:ascii="Sylfaen" w:hAnsi="Sylfaen"/>
          <w:sz w:val="24"/>
          <w:szCs w:val="24"/>
        </w:rPr>
        <w:t xml:space="preserve"> = 500-ի չափով ընտրանքի համար գտնում են արժեքներ </w:t>
      </w:r>
      <w:r w:rsidRPr="00B834A2">
        <w:rPr>
          <w:rStyle w:val="Bodytext2Italic"/>
          <w:sz w:val="24"/>
          <w:szCs w:val="24"/>
        </w:rPr>
        <w:t>n ≥</w:t>
      </w:r>
      <w:r w:rsidRPr="00B834A2">
        <w:rPr>
          <w:rFonts w:ascii="Sylfaen" w:hAnsi="Sylfaen"/>
          <w:sz w:val="24"/>
          <w:szCs w:val="24"/>
        </w:rPr>
        <w:t xml:space="preserve"> 490-ին մոտ՝ k = 2,24 </w:t>
      </w:r>
      <w:r>
        <w:rPr>
          <w:rFonts w:ascii="Sylfaen" w:hAnsi="Sylfaen"/>
          <w:sz w:val="24"/>
          <w:szCs w:val="24"/>
        </w:rPr>
        <w:t>եւ</w:t>
      </w:r>
      <w:r w:rsidRPr="00B834A2">
        <w:rPr>
          <w:rFonts w:ascii="Sylfaen" w:hAnsi="Sylfaen"/>
          <w:sz w:val="24"/>
          <w:szCs w:val="24"/>
        </w:rPr>
        <w:t xml:space="preserve"> с2 = 4:</w:t>
      </w:r>
    </w:p>
    <w:p w14:paraId="32E94C53" w14:textId="77777777" w:rsidR="00B834A2" w:rsidRPr="00B834A2" w:rsidRDefault="00B834A2" w:rsidP="006B3C70">
      <w:pPr>
        <w:pStyle w:val="Bodytext20"/>
        <w:shd w:val="clear" w:color="auto" w:fill="auto"/>
        <w:spacing w:before="0" w:after="160" w:line="348" w:lineRule="auto"/>
        <w:jc w:val="both"/>
        <w:rPr>
          <w:rFonts w:ascii="Sylfaen" w:hAnsi="Sylfaen" w:cs="Sylfaen"/>
          <w:b/>
          <w:sz w:val="24"/>
          <w:szCs w:val="24"/>
        </w:rPr>
      </w:pPr>
    </w:p>
    <w:p w14:paraId="3B21D881" w14:textId="77777777" w:rsidR="00B834A2" w:rsidRPr="006B7DC5" w:rsidRDefault="00B834A2" w:rsidP="006B3C70">
      <w:pPr>
        <w:pStyle w:val="Bodytext20"/>
        <w:shd w:val="clear" w:color="auto" w:fill="auto"/>
        <w:spacing w:before="0" w:after="160" w:line="348" w:lineRule="auto"/>
        <w:ind w:firstLine="567"/>
        <w:jc w:val="both"/>
        <w:rPr>
          <w:rFonts w:ascii="Sylfaen" w:hAnsi="Sylfaen"/>
          <w:b/>
          <w:sz w:val="24"/>
          <w:szCs w:val="24"/>
        </w:rPr>
      </w:pPr>
      <w:r w:rsidRPr="00B834A2">
        <w:rPr>
          <w:rFonts w:ascii="Sylfaen" w:hAnsi="Sylfaen"/>
          <w:b/>
          <w:sz w:val="24"/>
          <w:szCs w:val="24"/>
        </w:rPr>
        <w:t>ԱՅԼԸՆՏՐԱՆՔԱՅԻՆ ՓՈՐՁԱՐԿՈՒՄ 2 (ՈՉ ՊԱՐԱՄԵՏՐԻԿ)</w:t>
      </w:r>
    </w:p>
    <w:p w14:paraId="1C7BAA3A"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Վերցնում են 100-ից ոչ պակաս դոզավորված միավորներ՝ փորձանմուշներ վերցնելու նախապես կազմված պլանին համապատասխան:</w:t>
      </w:r>
    </w:p>
    <w:p w14:paraId="4F3E32FC" w14:textId="77777777" w:rsidR="00B834A2" w:rsidRPr="00B834A2" w:rsidRDefault="00B834A2" w:rsidP="006B3C70">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 xml:space="preserve">Դոզավորված միավորների միատարրությունը գնահատում են ըստ զանգվածի պարունակության միատարրության կամ փոփոխության, ինչպես </w:t>
      </w:r>
      <w:r w:rsidRPr="00B834A2">
        <w:rPr>
          <w:rFonts w:ascii="Sylfaen" w:hAnsi="Sylfaen"/>
          <w:sz w:val="24"/>
          <w:szCs w:val="24"/>
        </w:rPr>
        <w:lastRenderedPageBreak/>
        <w:t xml:space="preserve">նշված է 2.1.9.24-1 աղյուսակում: Կատարում են յուրաքանչյուր միավորում ազդող նյութի քանակական որոշում կամ կշռում են միավորները </w:t>
      </w:r>
      <w:r>
        <w:rPr>
          <w:rFonts w:ascii="Sylfaen" w:hAnsi="Sylfaen"/>
          <w:sz w:val="24"/>
          <w:szCs w:val="24"/>
        </w:rPr>
        <w:t>եւ</w:t>
      </w:r>
      <w:r w:rsidRPr="00B834A2">
        <w:rPr>
          <w:rFonts w:ascii="Sylfaen" w:hAnsi="Sylfaen"/>
          <w:sz w:val="24"/>
          <w:szCs w:val="24"/>
        </w:rPr>
        <w:t xml:space="preserve"> հաշվարկում են դրանցից յուրաքանչյուրում ազդող նյութի պարունակությունը, ինչպես նշված է </w:t>
      </w:r>
      <w:r w:rsidRPr="00B834A2">
        <w:rPr>
          <w:rStyle w:val="Bodytext2Italic"/>
          <w:sz w:val="24"/>
          <w:szCs w:val="24"/>
        </w:rPr>
        <w:t>«Դոզավորված միավորների միատարրությունը»</w:t>
      </w:r>
      <w:r w:rsidRPr="00B834A2">
        <w:rPr>
          <w:rFonts w:ascii="Sylfaen" w:hAnsi="Sylfaen"/>
          <w:sz w:val="24"/>
          <w:szCs w:val="24"/>
        </w:rPr>
        <w:t xml:space="preserve"> </w:t>
      </w:r>
      <w:r w:rsidRPr="00B834A2">
        <w:rPr>
          <w:rStyle w:val="Bodytext2Italic"/>
          <w:sz w:val="24"/>
          <w:szCs w:val="24"/>
        </w:rPr>
        <w:t xml:space="preserve">2.1.9.14 </w:t>
      </w:r>
      <w:r w:rsidRPr="00B834A2">
        <w:rPr>
          <w:rFonts w:ascii="Sylfaen" w:hAnsi="Sylfaen"/>
          <w:sz w:val="24"/>
          <w:szCs w:val="24"/>
        </w:rPr>
        <w:t>ընդհանուր դեղագրքային հոդվածում: Հաշվարկում են ազդող նյութի պարունակությամբ առանձին դ</w:t>
      </w:r>
      <w:r w:rsidR="00501C38">
        <w:rPr>
          <w:rFonts w:ascii="Sylfaen" w:hAnsi="Sylfaen"/>
          <w:sz w:val="24"/>
          <w:szCs w:val="24"/>
        </w:rPr>
        <w:t>ոզավորված միավորների թիվը՝ (1±</w:t>
      </w:r>
      <w:r w:rsidRPr="00B834A2">
        <w:rPr>
          <w:rFonts w:ascii="Sylfaen" w:hAnsi="Sylfaen"/>
          <w:sz w:val="24"/>
          <w:szCs w:val="24"/>
        </w:rPr>
        <w:t xml:space="preserve">L1 . 0,01) </w:t>
      </w:r>
      <w:r w:rsidRPr="00B834A2">
        <w:rPr>
          <w:rStyle w:val="Bodytext295pt"/>
          <w:noProof/>
          <w:sz w:val="24"/>
          <w:szCs w:val="24"/>
        </w:rPr>
        <w:t>•</w:t>
      </w:r>
      <w:r w:rsidRPr="00B834A2">
        <w:rPr>
          <w:rFonts w:ascii="Sylfaen" w:hAnsi="Sylfaen"/>
          <w:sz w:val="24"/>
          <w:szCs w:val="24"/>
        </w:rPr>
        <w:t xml:space="preserve"> T սահմաններից դուրս: Անցկացնում են դոզավորված միավորների միատարրության գնահատում, եթե արժեքները գտնվում են 2.1.9.24-2 աղյուսակում նշված սահմաններում:</w:t>
      </w:r>
    </w:p>
    <w:p w14:paraId="2036C511" w14:textId="77777777" w:rsidR="00B834A2" w:rsidRPr="00B834A2" w:rsidRDefault="00B834A2" w:rsidP="006B3C70">
      <w:pPr>
        <w:spacing w:after="160" w:line="348" w:lineRule="auto"/>
        <w:ind w:firstLine="567"/>
        <w:jc w:val="both"/>
        <w:rPr>
          <w:i/>
        </w:rPr>
      </w:pPr>
      <w:r w:rsidRPr="00063A76">
        <w:rPr>
          <w:rStyle w:val="Bodytext53NotItalic"/>
          <w:rFonts w:ascii="Sylfaen" w:eastAsia="Tahoma" w:hAnsi="Sylfaen"/>
          <w:i w:val="0"/>
          <w:sz w:val="24"/>
          <w:szCs w:val="24"/>
        </w:rPr>
        <w:t>Աղյուսակ 2.1.9.24-1</w:t>
      </w:r>
      <w:r w:rsidRPr="00B834A2">
        <w:rPr>
          <w:rStyle w:val="Bodytext53NotItalic"/>
          <w:rFonts w:ascii="Sylfaen" w:eastAsia="Tahoma" w:hAnsi="Sylfaen"/>
          <w:sz w:val="24"/>
          <w:szCs w:val="24"/>
        </w:rPr>
        <w:t xml:space="preserve"> </w:t>
      </w:r>
      <w:r w:rsidR="009217DE">
        <w:rPr>
          <w:i/>
        </w:rPr>
        <w:t>-</w:t>
      </w:r>
      <w:r w:rsidRPr="00B834A2">
        <w:rPr>
          <w:i/>
        </w:rPr>
        <w:t xml:space="preserve"> Թույլատրելիության հաստատունը (k) </w:t>
      </w:r>
      <w:r>
        <w:rPr>
          <w:i/>
        </w:rPr>
        <w:t>եւ</w:t>
      </w:r>
      <w:r w:rsidRPr="00B834A2">
        <w:rPr>
          <w:i/>
        </w:rPr>
        <w:t xml:space="preserve"> ազդող նյութի պարունակությամբ դոզավորված միավորների թույլատրելի թիվը</w:t>
      </w:r>
      <w:r w:rsidR="00501C38">
        <w:rPr>
          <w:i/>
        </w:rPr>
        <w:t xml:space="preserve"> (1</w:t>
      </w:r>
      <w:r w:rsidRPr="00B834A2">
        <w:rPr>
          <w:i/>
        </w:rPr>
        <w:t xml:space="preserve">±L2 . 0,01) </w:t>
      </w:r>
      <w:r w:rsidRPr="00B834A2">
        <w:rPr>
          <w:rStyle w:val="Bodytext295pt"/>
          <w:rFonts w:eastAsia="Tahoma"/>
          <w:noProof/>
          <w:sz w:val="24"/>
          <w:szCs w:val="24"/>
        </w:rPr>
        <w:t>•</w:t>
      </w:r>
      <w:r w:rsidRPr="00B834A2">
        <w:rPr>
          <w:i/>
        </w:rPr>
        <w:t xml:space="preserve"> М (= с2) սահմաններից դուրս՝ n ընտրանքի տվյալ չափի համար</w:t>
      </w:r>
    </w:p>
    <w:p w14:paraId="7032D6A5" w14:textId="77777777" w:rsidR="00B834A2" w:rsidRPr="00B834A2" w:rsidRDefault="00B834A2" w:rsidP="00B834A2">
      <w:pPr>
        <w:spacing w:after="160" w:line="360" w:lineRule="auto"/>
      </w:pPr>
      <w:r w:rsidRPr="00B834A2">
        <w:rPr>
          <w:noProof/>
          <w:lang w:val="en-US" w:eastAsia="en-US" w:bidi="ar-SA"/>
        </w:rPr>
        <w:drawing>
          <wp:inline distT="0" distB="0" distL="0" distR="0" wp14:anchorId="15111E84" wp14:editId="4CCC69E5">
            <wp:extent cx="5760085" cy="3538880"/>
            <wp:effectExtent l="19050" t="0" r="0" b="0"/>
            <wp:docPr id="13"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34" cstate="print"/>
                    <a:srcRect/>
                    <a:stretch>
                      <a:fillRect/>
                    </a:stretch>
                  </pic:blipFill>
                  <pic:spPr bwMode="auto">
                    <a:xfrm>
                      <a:off x="0" y="0"/>
                      <a:ext cx="5760085" cy="3538880"/>
                    </a:xfrm>
                    <a:prstGeom prst="rect">
                      <a:avLst/>
                    </a:prstGeom>
                    <a:noFill/>
                    <a:ln w="9525">
                      <a:noFill/>
                      <a:miter lim="800000"/>
                      <a:headEnd/>
                      <a:tailEnd/>
                    </a:ln>
                  </pic:spPr>
                </pic:pic>
              </a:graphicData>
            </a:graphic>
          </wp:inline>
        </w:drawing>
      </w:r>
    </w:p>
    <w:p w14:paraId="69615DFE" w14:textId="77777777" w:rsidR="00B834A2" w:rsidRPr="00B834A2" w:rsidRDefault="00B834A2" w:rsidP="00B834A2">
      <w:pPr>
        <w:spacing w:after="160" w:line="360" w:lineRule="auto"/>
        <w:ind w:right="360" w:firstLine="567"/>
        <w:jc w:val="both"/>
        <w:rPr>
          <w:i/>
        </w:rPr>
      </w:pPr>
      <w:r w:rsidRPr="00063A76">
        <w:rPr>
          <w:rStyle w:val="Bodytext53NotItalic"/>
          <w:rFonts w:ascii="Sylfaen" w:eastAsia="Tahoma" w:hAnsi="Sylfaen"/>
          <w:i w:val="0"/>
          <w:sz w:val="24"/>
          <w:szCs w:val="24"/>
        </w:rPr>
        <w:t>Աղյուսակ 2.1.9.24-2</w:t>
      </w:r>
      <w:r w:rsidRPr="00B834A2">
        <w:rPr>
          <w:rStyle w:val="Bodytext53NotItalic"/>
          <w:rFonts w:ascii="Sylfaen" w:eastAsia="Tahoma" w:hAnsi="Sylfaen"/>
          <w:sz w:val="24"/>
          <w:szCs w:val="24"/>
        </w:rPr>
        <w:t xml:space="preserve"> </w:t>
      </w:r>
      <w:r w:rsidR="009217DE">
        <w:t>-</w:t>
      </w:r>
      <w:r w:rsidRPr="00B834A2">
        <w:t xml:space="preserve"> </w:t>
      </w:r>
      <w:r w:rsidRPr="00B834A2">
        <w:rPr>
          <w:i/>
        </w:rPr>
        <w:t xml:space="preserve">Ազդող նյութի պարունակությամբ առանձին դոզավորված միավորների թույլատրելի թիվը՝ </w:t>
      </w:r>
      <w:r w:rsidR="00501C38">
        <w:rPr>
          <w:rStyle w:val="Bodytext530"/>
          <w:rFonts w:ascii="Sylfaen" w:eastAsia="Tahoma" w:hAnsi="Sylfaen"/>
          <w:sz w:val="24"/>
          <w:szCs w:val="24"/>
        </w:rPr>
        <w:t>(1±</w:t>
      </w:r>
      <w:r w:rsidRPr="00B834A2">
        <w:rPr>
          <w:rStyle w:val="Bodytext530"/>
          <w:rFonts w:ascii="Sylfaen" w:eastAsia="Tahoma" w:hAnsi="Sylfaen"/>
          <w:sz w:val="24"/>
          <w:szCs w:val="24"/>
        </w:rPr>
        <w:t xml:space="preserve">L1 </w:t>
      </w:r>
      <w:r w:rsidRPr="00B834A2">
        <w:rPr>
          <w:rStyle w:val="Bodytext310pt"/>
          <w:rFonts w:eastAsia="Tahoma"/>
          <w:sz w:val="24"/>
          <w:szCs w:val="24"/>
        </w:rPr>
        <w:t>•</w:t>
      </w:r>
      <w:r w:rsidRPr="00B834A2">
        <w:rPr>
          <w:rStyle w:val="Bodytext53Spacing1pt"/>
          <w:rFonts w:ascii="Sylfaen" w:eastAsia="Tahoma" w:hAnsi="Sylfaen"/>
          <w:spacing w:val="0"/>
          <w:sz w:val="24"/>
          <w:szCs w:val="24"/>
        </w:rPr>
        <w:t xml:space="preserve"> </w:t>
      </w:r>
      <w:r w:rsidRPr="00B834A2">
        <w:rPr>
          <w:rStyle w:val="Bodytext530"/>
          <w:rFonts w:ascii="Sylfaen" w:eastAsia="Tahoma" w:hAnsi="Sylfaen"/>
          <w:sz w:val="24"/>
          <w:szCs w:val="24"/>
        </w:rPr>
        <w:t>0,01)</w:t>
      </w:r>
      <w:r w:rsidRPr="00B834A2">
        <w:rPr>
          <w:rStyle w:val="Bodytext53NotItalic"/>
          <w:rFonts w:ascii="Sylfaen" w:eastAsia="Tahoma" w:hAnsi="Sylfaen"/>
          <w:sz w:val="24"/>
          <w:szCs w:val="24"/>
        </w:rPr>
        <w:t xml:space="preserve"> </w:t>
      </w:r>
      <w:r w:rsidRPr="00B834A2">
        <w:rPr>
          <w:rStyle w:val="Bodytext310pt"/>
          <w:rFonts w:eastAsia="Tahoma"/>
          <w:sz w:val="24"/>
          <w:szCs w:val="24"/>
        </w:rPr>
        <w:t xml:space="preserve">• </w:t>
      </w:r>
      <w:r w:rsidRPr="00B834A2">
        <w:rPr>
          <w:rStyle w:val="Bodytext530"/>
          <w:rFonts w:ascii="Sylfaen" w:eastAsia="Tahoma" w:hAnsi="Sylfaen"/>
          <w:sz w:val="24"/>
          <w:szCs w:val="24"/>
        </w:rPr>
        <w:t xml:space="preserve">Т </w:t>
      </w:r>
      <w:r w:rsidRPr="00B834A2">
        <w:rPr>
          <w:rStyle w:val="Bodytext53Spacing1pt"/>
          <w:rFonts w:ascii="Sylfaen" w:eastAsia="Tahoma" w:hAnsi="Sylfaen"/>
          <w:spacing w:val="0"/>
          <w:sz w:val="24"/>
          <w:szCs w:val="24"/>
        </w:rPr>
        <w:t xml:space="preserve">(= </w:t>
      </w:r>
      <w:r w:rsidRPr="00B834A2">
        <w:rPr>
          <w:rStyle w:val="Bodytext530"/>
          <w:rFonts w:ascii="Sylfaen" w:eastAsia="Tahoma" w:hAnsi="Sylfaen"/>
          <w:sz w:val="24"/>
          <w:szCs w:val="24"/>
        </w:rPr>
        <w:t xml:space="preserve">с1) </w:t>
      </w:r>
      <w:r>
        <w:rPr>
          <w:rStyle w:val="Bodytext530"/>
          <w:rFonts w:ascii="Sylfaen" w:eastAsia="Tahoma" w:hAnsi="Sylfaen"/>
          <w:sz w:val="24"/>
          <w:szCs w:val="24"/>
        </w:rPr>
        <w:t>եւ</w:t>
      </w:r>
      <w:r w:rsidRPr="00B834A2">
        <w:rPr>
          <w:rStyle w:val="Bodytext530"/>
          <w:rFonts w:ascii="Sylfaen" w:eastAsia="Tahoma" w:hAnsi="Sylfaen"/>
          <w:sz w:val="24"/>
          <w:szCs w:val="24"/>
        </w:rPr>
        <w:t xml:space="preserve"> (1</w:t>
      </w:r>
      <w:r w:rsidRPr="00B834A2">
        <w:rPr>
          <w:rStyle w:val="Bodytext53Spacing1pt"/>
          <w:rFonts w:ascii="Sylfaen" w:eastAsia="Tahoma" w:hAnsi="Sylfaen"/>
          <w:spacing w:val="0"/>
          <w:sz w:val="24"/>
          <w:szCs w:val="24"/>
        </w:rPr>
        <w:t xml:space="preserve">±L2 </w:t>
      </w:r>
      <w:r w:rsidRPr="00B834A2">
        <w:rPr>
          <w:rStyle w:val="Bodytext310pt"/>
          <w:rFonts w:eastAsia="Tahoma"/>
          <w:sz w:val="24"/>
          <w:szCs w:val="24"/>
        </w:rPr>
        <w:t>•</w:t>
      </w:r>
      <w:r w:rsidRPr="00B834A2">
        <w:rPr>
          <w:rStyle w:val="Bodytext53Spacing1pt"/>
          <w:rFonts w:ascii="Sylfaen" w:eastAsia="Tahoma" w:hAnsi="Sylfaen"/>
          <w:spacing w:val="0"/>
          <w:sz w:val="24"/>
          <w:szCs w:val="24"/>
        </w:rPr>
        <w:t xml:space="preserve"> 0,</w:t>
      </w:r>
      <w:r w:rsidRPr="00B834A2">
        <w:rPr>
          <w:rStyle w:val="Bodytext530"/>
          <w:rFonts w:ascii="Sylfaen" w:eastAsia="Tahoma" w:hAnsi="Sylfaen"/>
          <w:sz w:val="24"/>
          <w:szCs w:val="24"/>
        </w:rPr>
        <w:t>01)</w:t>
      </w:r>
      <w:r w:rsidRPr="00B834A2">
        <w:rPr>
          <w:rStyle w:val="Bodytext53NotItalic"/>
          <w:rFonts w:ascii="Sylfaen" w:eastAsia="Tahoma" w:hAnsi="Sylfaen"/>
          <w:sz w:val="24"/>
          <w:szCs w:val="24"/>
        </w:rPr>
        <w:t xml:space="preserve"> </w:t>
      </w:r>
      <w:r w:rsidRPr="00B834A2">
        <w:rPr>
          <w:rStyle w:val="Bodytext310pt"/>
          <w:rFonts w:eastAsia="Tahoma"/>
          <w:sz w:val="24"/>
          <w:szCs w:val="24"/>
        </w:rPr>
        <w:t>•</w:t>
      </w:r>
      <w:r w:rsidRPr="00B834A2">
        <w:rPr>
          <w:rStyle w:val="Bodytext53NotItalic"/>
          <w:rFonts w:ascii="Sylfaen" w:eastAsia="Tahoma" w:hAnsi="Sylfaen"/>
          <w:sz w:val="24"/>
          <w:szCs w:val="24"/>
        </w:rPr>
        <w:t xml:space="preserve"> </w:t>
      </w:r>
      <w:r w:rsidRPr="00B834A2">
        <w:rPr>
          <w:rStyle w:val="Bodytext530"/>
          <w:rFonts w:ascii="Sylfaen" w:eastAsia="Tahoma" w:hAnsi="Sylfaen"/>
          <w:sz w:val="24"/>
          <w:szCs w:val="24"/>
        </w:rPr>
        <w:t xml:space="preserve">Т </w:t>
      </w:r>
      <w:r w:rsidRPr="00B834A2">
        <w:rPr>
          <w:rStyle w:val="Bodytext53Spacing1pt"/>
          <w:rFonts w:ascii="Sylfaen" w:eastAsia="Tahoma" w:hAnsi="Sylfaen"/>
          <w:spacing w:val="0"/>
          <w:sz w:val="24"/>
          <w:szCs w:val="24"/>
        </w:rPr>
        <w:t xml:space="preserve">(= </w:t>
      </w:r>
      <w:r w:rsidRPr="00B834A2">
        <w:rPr>
          <w:rStyle w:val="Bodytext530"/>
          <w:rFonts w:ascii="Sylfaen" w:eastAsia="Tahoma" w:hAnsi="Sylfaen"/>
          <w:sz w:val="24"/>
          <w:szCs w:val="24"/>
        </w:rPr>
        <w:t>с2</w:t>
      </w:r>
      <w:r w:rsidRPr="00B834A2">
        <w:rPr>
          <w:rStyle w:val="Bodytext53Spacing1pt"/>
          <w:rFonts w:ascii="Sylfaen" w:eastAsia="Tahoma" w:hAnsi="Sylfaen"/>
          <w:spacing w:val="0"/>
          <w:sz w:val="24"/>
          <w:szCs w:val="24"/>
        </w:rPr>
        <w:t>) սահմաններից դուրս՝ համապատասխանաբար n ընտրանքի տվյալ չափի համար</w:t>
      </w:r>
    </w:p>
    <w:p w14:paraId="575FC266" w14:textId="77777777" w:rsidR="00B834A2" w:rsidRPr="00B834A2" w:rsidRDefault="00B834A2" w:rsidP="00B834A2">
      <w:pPr>
        <w:spacing w:after="160" w:line="360" w:lineRule="auto"/>
      </w:pPr>
      <w:r w:rsidRPr="00B834A2">
        <w:rPr>
          <w:noProof/>
          <w:lang w:val="en-US" w:eastAsia="en-US" w:bidi="ar-SA"/>
        </w:rPr>
        <w:lastRenderedPageBreak/>
        <w:drawing>
          <wp:inline distT="0" distB="0" distL="0" distR="0" wp14:anchorId="59075C05" wp14:editId="0A61FFE4">
            <wp:extent cx="5760085" cy="7821162"/>
            <wp:effectExtent l="19050" t="0" r="0" b="0"/>
            <wp:docPr id="14" name="Picture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35" cstate="print"/>
                    <a:srcRect/>
                    <a:stretch>
                      <a:fillRect/>
                    </a:stretch>
                  </pic:blipFill>
                  <pic:spPr bwMode="auto">
                    <a:xfrm>
                      <a:off x="0" y="0"/>
                      <a:ext cx="5760085" cy="7821162"/>
                    </a:xfrm>
                    <a:prstGeom prst="rect">
                      <a:avLst/>
                    </a:prstGeom>
                    <a:noFill/>
                    <a:ln w="9525">
                      <a:noFill/>
                      <a:miter lim="800000"/>
                      <a:headEnd/>
                      <a:tailEnd/>
                    </a:ln>
                  </pic:spPr>
                </pic:pic>
              </a:graphicData>
            </a:graphic>
          </wp:inline>
        </w:drawing>
      </w:r>
    </w:p>
    <w:p w14:paraId="0FB196D4" w14:textId="77777777" w:rsidR="004E1531" w:rsidRDefault="004E1531">
      <w:pPr>
        <w:rPr>
          <w:rFonts w:eastAsia="Times New Roman" w:cs="Times New Roman"/>
          <w:b/>
        </w:rPr>
      </w:pPr>
      <w:r>
        <w:rPr>
          <w:b/>
        </w:rPr>
        <w:br w:type="page"/>
      </w:r>
    </w:p>
    <w:p w14:paraId="2AF3F957" w14:textId="77777777" w:rsidR="00B834A2" w:rsidRPr="006B7DC5" w:rsidRDefault="00B834A2" w:rsidP="006B3C70">
      <w:pPr>
        <w:pStyle w:val="Bodytext20"/>
        <w:shd w:val="clear" w:color="auto" w:fill="auto"/>
        <w:spacing w:before="0" w:after="160" w:line="374" w:lineRule="auto"/>
        <w:ind w:firstLine="567"/>
        <w:jc w:val="both"/>
        <w:rPr>
          <w:rFonts w:ascii="Sylfaen" w:hAnsi="Sylfaen"/>
          <w:b/>
          <w:sz w:val="24"/>
          <w:szCs w:val="24"/>
        </w:rPr>
      </w:pPr>
      <w:r w:rsidRPr="00B834A2">
        <w:rPr>
          <w:rFonts w:ascii="Sylfaen" w:hAnsi="Sylfaen"/>
          <w:b/>
          <w:sz w:val="24"/>
          <w:szCs w:val="24"/>
        </w:rPr>
        <w:lastRenderedPageBreak/>
        <w:t>ՊԱՀԱՆՋՆԵՐ</w:t>
      </w:r>
    </w:p>
    <w:p w14:paraId="6CB14C87" w14:textId="77777777" w:rsidR="00B834A2" w:rsidRPr="00B834A2" w:rsidRDefault="00B834A2" w:rsidP="006B3C7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Այլ ցուցումների բացակայության դեպքում կիրառում են հետ</w:t>
      </w:r>
      <w:r>
        <w:rPr>
          <w:rFonts w:ascii="Sylfaen" w:hAnsi="Sylfaen"/>
          <w:sz w:val="24"/>
          <w:szCs w:val="24"/>
        </w:rPr>
        <w:t>եւ</w:t>
      </w:r>
      <w:r w:rsidRPr="00B834A2">
        <w:rPr>
          <w:rFonts w:ascii="Sylfaen" w:hAnsi="Sylfaen"/>
          <w:sz w:val="24"/>
          <w:szCs w:val="24"/>
        </w:rPr>
        <w:t>յալ պահանջները:</w:t>
      </w:r>
    </w:p>
    <w:p w14:paraId="68D1D3A6" w14:textId="77777777" w:rsidR="00B834A2" w:rsidRPr="00B834A2" w:rsidRDefault="00B834A2" w:rsidP="006B3C7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Դեղաձ</w:t>
      </w:r>
      <w:r>
        <w:rPr>
          <w:rFonts w:ascii="Sylfaen" w:hAnsi="Sylfaen"/>
          <w:sz w:val="24"/>
          <w:szCs w:val="24"/>
        </w:rPr>
        <w:t>եւ</w:t>
      </w:r>
      <w:r w:rsidRPr="00B834A2">
        <w:rPr>
          <w:rFonts w:ascii="Sylfaen" w:hAnsi="Sylfaen"/>
          <w:sz w:val="24"/>
          <w:szCs w:val="24"/>
        </w:rPr>
        <w:t>ի դոզավորված միավորների միատարրության համար պահանջները կատարվում են, եթե՝</w:t>
      </w:r>
    </w:p>
    <w:p w14:paraId="54B163D7" w14:textId="77777777" w:rsidR="00B834A2" w:rsidRPr="00B834A2" w:rsidRDefault="00B834A2" w:rsidP="006B3C70">
      <w:pPr>
        <w:pStyle w:val="Bodytext20"/>
        <w:shd w:val="clear" w:color="auto" w:fill="auto"/>
        <w:tabs>
          <w:tab w:val="left" w:pos="1134"/>
        </w:tabs>
        <w:spacing w:before="0" w:after="160" w:line="374" w:lineRule="auto"/>
        <w:ind w:firstLine="567"/>
        <w:jc w:val="both"/>
        <w:rPr>
          <w:rFonts w:ascii="Sylfaen" w:hAnsi="Sylfaen" w:cs="Sylfaen"/>
          <w:sz w:val="24"/>
          <w:szCs w:val="24"/>
        </w:rPr>
      </w:pPr>
      <w:r w:rsidRPr="00B834A2">
        <w:rPr>
          <w:rFonts w:ascii="Sylfaen" w:hAnsi="Sylfaen"/>
          <w:sz w:val="24"/>
          <w:szCs w:val="24"/>
        </w:rPr>
        <w:t>1)</w:t>
      </w:r>
      <w:r w:rsidR="004E1531" w:rsidRPr="004E1531">
        <w:rPr>
          <w:rFonts w:ascii="Sylfaen" w:hAnsi="Sylfaen"/>
          <w:sz w:val="24"/>
          <w:szCs w:val="24"/>
        </w:rPr>
        <w:tab/>
      </w:r>
      <w:r w:rsidRPr="00B834A2">
        <w:rPr>
          <w:rFonts w:ascii="Sylfaen" w:hAnsi="Sylfaen"/>
          <w:sz w:val="24"/>
          <w:szCs w:val="24"/>
        </w:rPr>
        <w:t xml:space="preserve">ազդող նյութի պարունակությամբ առանձին </w:t>
      </w:r>
      <w:r w:rsidR="00501C38">
        <w:rPr>
          <w:rFonts w:ascii="Sylfaen" w:hAnsi="Sylfaen"/>
          <w:sz w:val="24"/>
          <w:szCs w:val="24"/>
        </w:rPr>
        <w:t>դոզավորված միավորների թիվը (1±</w:t>
      </w:r>
      <w:r w:rsidRPr="00B834A2">
        <w:rPr>
          <w:rFonts w:ascii="Sylfaen" w:hAnsi="Sylfaen"/>
          <w:sz w:val="24"/>
          <w:szCs w:val="24"/>
        </w:rPr>
        <w:t>L1</w:t>
      </w:r>
      <w:r w:rsidRPr="00B834A2">
        <w:rPr>
          <w:rStyle w:val="Bodytext2Italic"/>
          <w:sz w:val="24"/>
          <w:szCs w:val="24"/>
        </w:rPr>
        <w:t xml:space="preserve"> .</w:t>
      </w:r>
      <w:r w:rsidRPr="00B834A2">
        <w:rPr>
          <w:rFonts w:ascii="Sylfaen" w:hAnsi="Sylfaen"/>
          <w:sz w:val="24"/>
          <w:szCs w:val="24"/>
        </w:rPr>
        <w:t xml:space="preserve"> 0,01) </w:t>
      </w:r>
      <w:r w:rsidRPr="00B834A2">
        <w:rPr>
          <w:rStyle w:val="Bodytext310pt"/>
          <w:rFonts w:eastAsia="Tahoma"/>
          <w:sz w:val="24"/>
          <w:szCs w:val="24"/>
        </w:rPr>
        <w:t>•</w:t>
      </w:r>
      <w:r w:rsidRPr="00B834A2">
        <w:rPr>
          <w:rStyle w:val="Bodytext2Italic"/>
          <w:sz w:val="24"/>
          <w:szCs w:val="24"/>
        </w:rPr>
        <w:t>Т</w:t>
      </w:r>
      <w:r w:rsidRPr="00B834A2">
        <w:rPr>
          <w:rFonts w:ascii="Sylfaen" w:hAnsi="Sylfaen"/>
          <w:sz w:val="24"/>
          <w:szCs w:val="24"/>
        </w:rPr>
        <w:t xml:space="preserve"> սահմաններից դուրս փոքր կամ հավասար է с1-ի, </w:t>
      </w:r>
      <w:r>
        <w:rPr>
          <w:rFonts w:ascii="Sylfaen" w:hAnsi="Sylfaen"/>
          <w:sz w:val="24"/>
          <w:szCs w:val="24"/>
        </w:rPr>
        <w:t>եւ</w:t>
      </w:r>
    </w:p>
    <w:p w14:paraId="34501575" w14:textId="77777777" w:rsidR="00B834A2" w:rsidRPr="00B834A2" w:rsidRDefault="00B834A2" w:rsidP="006B3C70">
      <w:pPr>
        <w:pStyle w:val="Bodytext20"/>
        <w:shd w:val="clear" w:color="auto" w:fill="auto"/>
        <w:tabs>
          <w:tab w:val="left" w:pos="1134"/>
        </w:tabs>
        <w:spacing w:before="0" w:after="160" w:line="374" w:lineRule="auto"/>
        <w:ind w:firstLine="567"/>
        <w:jc w:val="both"/>
        <w:rPr>
          <w:rFonts w:ascii="Sylfaen" w:hAnsi="Sylfaen" w:cs="Sylfaen"/>
          <w:sz w:val="24"/>
          <w:szCs w:val="24"/>
        </w:rPr>
      </w:pPr>
      <w:r w:rsidRPr="00B834A2">
        <w:rPr>
          <w:rFonts w:ascii="Sylfaen" w:hAnsi="Sylfaen"/>
          <w:sz w:val="24"/>
          <w:szCs w:val="24"/>
        </w:rPr>
        <w:t>2)</w:t>
      </w:r>
      <w:r w:rsidR="004E1531" w:rsidRPr="004E1531">
        <w:rPr>
          <w:rFonts w:ascii="Sylfaen" w:hAnsi="Sylfaen"/>
          <w:sz w:val="24"/>
          <w:szCs w:val="24"/>
        </w:rPr>
        <w:tab/>
      </w:r>
      <w:r w:rsidRPr="00B834A2">
        <w:rPr>
          <w:rFonts w:ascii="Sylfaen" w:hAnsi="Sylfaen"/>
          <w:sz w:val="24"/>
          <w:szCs w:val="24"/>
        </w:rPr>
        <w:t xml:space="preserve">ազդող նյութի պարունակությամբ առանձին </w:t>
      </w:r>
      <w:r w:rsidR="00501C38">
        <w:rPr>
          <w:rFonts w:ascii="Sylfaen" w:hAnsi="Sylfaen"/>
          <w:sz w:val="24"/>
          <w:szCs w:val="24"/>
        </w:rPr>
        <w:t>դոզավորված միավորների թիվը (1±</w:t>
      </w:r>
      <w:r w:rsidRPr="00B834A2">
        <w:rPr>
          <w:rFonts w:ascii="Sylfaen" w:hAnsi="Sylfaen"/>
          <w:sz w:val="24"/>
          <w:szCs w:val="24"/>
        </w:rPr>
        <w:t>L2</w:t>
      </w:r>
      <w:r w:rsidRPr="00B834A2">
        <w:rPr>
          <w:rStyle w:val="Bodytext2Italic"/>
          <w:sz w:val="24"/>
          <w:szCs w:val="24"/>
        </w:rPr>
        <w:t xml:space="preserve"> .</w:t>
      </w:r>
      <w:r w:rsidRPr="00B834A2">
        <w:rPr>
          <w:rFonts w:ascii="Sylfaen" w:hAnsi="Sylfaen"/>
          <w:sz w:val="24"/>
          <w:szCs w:val="24"/>
        </w:rPr>
        <w:t xml:space="preserve"> 0,01) </w:t>
      </w:r>
      <w:r w:rsidRPr="00B834A2">
        <w:rPr>
          <w:rStyle w:val="Bodytext310pt"/>
          <w:rFonts w:eastAsia="Tahoma"/>
          <w:sz w:val="24"/>
          <w:szCs w:val="24"/>
        </w:rPr>
        <w:t>•</w:t>
      </w:r>
      <w:r w:rsidRPr="00B834A2">
        <w:rPr>
          <w:rFonts w:ascii="Sylfaen" w:hAnsi="Sylfaen"/>
          <w:sz w:val="24"/>
          <w:szCs w:val="24"/>
        </w:rPr>
        <w:t xml:space="preserve"> </w:t>
      </w:r>
      <w:r w:rsidRPr="00B834A2">
        <w:rPr>
          <w:rStyle w:val="Bodytext2Italic"/>
          <w:sz w:val="24"/>
          <w:szCs w:val="24"/>
        </w:rPr>
        <w:t>Т</w:t>
      </w:r>
      <w:r w:rsidRPr="00B834A2">
        <w:rPr>
          <w:rFonts w:ascii="Sylfaen" w:hAnsi="Sylfaen"/>
          <w:sz w:val="24"/>
          <w:szCs w:val="24"/>
        </w:rPr>
        <w:t xml:space="preserve"> սահմաններից դուրս փոքր կամ հավասար է </w:t>
      </w:r>
      <w:r w:rsidRPr="00B834A2">
        <w:rPr>
          <w:rFonts w:ascii="Sylfaen" w:hAnsi="Sylfaen"/>
          <w:i/>
          <w:sz w:val="24"/>
          <w:szCs w:val="24"/>
        </w:rPr>
        <w:t>с</w:t>
      </w:r>
      <w:r w:rsidRPr="00B834A2">
        <w:rPr>
          <w:rFonts w:ascii="Sylfaen" w:hAnsi="Sylfaen"/>
          <w:sz w:val="24"/>
          <w:szCs w:val="24"/>
        </w:rPr>
        <w:t>2-ի:</w:t>
      </w:r>
    </w:p>
    <w:p w14:paraId="7F5407FC" w14:textId="77777777" w:rsidR="00B834A2" w:rsidRPr="00B834A2" w:rsidRDefault="00B834A2" w:rsidP="006B3C7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i/>
          <w:sz w:val="24"/>
          <w:szCs w:val="24"/>
        </w:rPr>
        <w:t>n</w:t>
      </w:r>
      <w:r w:rsidRPr="00B834A2">
        <w:rPr>
          <w:rFonts w:ascii="Sylfaen" w:hAnsi="Sylfaen"/>
          <w:sz w:val="24"/>
          <w:szCs w:val="24"/>
        </w:rPr>
        <w:t xml:space="preserve"> ընտրանքի տվյալ չափի համար </w:t>
      </w:r>
      <w:r w:rsidRPr="00B834A2">
        <w:rPr>
          <w:rFonts w:ascii="Sylfaen" w:hAnsi="Sylfaen"/>
          <w:i/>
          <w:sz w:val="24"/>
          <w:szCs w:val="24"/>
        </w:rPr>
        <w:t>с</w:t>
      </w:r>
      <w:r w:rsidRPr="00B834A2">
        <w:rPr>
          <w:rFonts w:ascii="Sylfaen" w:hAnsi="Sylfaen"/>
          <w:sz w:val="24"/>
          <w:szCs w:val="24"/>
        </w:rPr>
        <w:t xml:space="preserve">1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с</w:t>
      </w:r>
      <w:r w:rsidRPr="00B834A2">
        <w:rPr>
          <w:rFonts w:ascii="Sylfaen" w:hAnsi="Sylfaen"/>
          <w:sz w:val="24"/>
          <w:szCs w:val="24"/>
        </w:rPr>
        <w:t xml:space="preserve">2 արժեքները որոշում են 2.1.9.24-2 աղյուսակից: Այլ ցուցումների բացակայության դեպքում՝ </w:t>
      </w:r>
      <w:r w:rsidRPr="00B834A2">
        <w:rPr>
          <w:rFonts w:ascii="Sylfaen" w:hAnsi="Sylfaen"/>
          <w:i/>
          <w:sz w:val="24"/>
          <w:szCs w:val="24"/>
        </w:rPr>
        <w:t>L</w:t>
      </w:r>
      <w:r w:rsidRPr="00B834A2">
        <w:rPr>
          <w:rFonts w:ascii="Sylfaen" w:hAnsi="Sylfaen"/>
          <w:sz w:val="24"/>
          <w:szCs w:val="24"/>
        </w:rPr>
        <w:t xml:space="preserve">1 = 15,0-ի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L</w:t>
      </w:r>
      <w:r w:rsidRPr="00B834A2">
        <w:rPr>
          <w:rFonts w:ascii="Sylfaen" w:hAnsi="Sylfaen"/>
          <w:sz w:val="24"/>
          <w:szCs w:val="24"/>
        </w:rPr>
        <w:t>2 = 25,0-ի:</w:t>
      </w:r>
    </w:p>
    <w:p w14:paraId="55C3509F" w14:textId="77777777" w:rsidR="00B834A2" w:rsidRPr="00B834A2" w:rsidRDefault="00B834A2" w:rsidP="006B3C7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2.1.9.24.-2 աղյուսակն օգտագործում են հետ</w:t>
      </w:r>
      <w:r>
        <w:rPr>
          <w:rFonts w:ascii="Sylfaen" w:hAnsi="Sylfaen"/>
          <w:sz w:val="24"/>
          <w:szCs w:val="24"/>
        </w:rPr>
        <w:t>եւ</w:t>
      </w:r>
      <w:r w:rsidRPr="00B834A2">
        <w:rPr>
          <w:rFonts w:ascii="Sylfaen" w:hAnsi="Sylfaen"/>
          <w:sz w:val="24"/>
          <w:szCs w:val="24"/>
        </w:rPr>
        <w:t>յալ կերպ.</w:t>
      </w:r>
    </w:p>
    <w:p w14:paraId="40F8CA30" w14:textId="77777777" w:rsidR="00B834A2" w:rsidRPr="00B834A2" w:rsidRDefault="00B834A2" w:rsidP="006B3C70">
      <w:pPr>
        <w:pStyle w:val="Bodytext20"/>
        <w:shd w:val="clear" w:color="auto" w:fill="auto"/>
        <w:tabs>
          <w:tab w:val="left" w:pos="1134"/>
          <w:tab w:val="left" w:pos="6096"/>
        </w:tabs>
        <w:spacing w:before="0" w:after="160" w:line="374"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007B5F99" w:rsidRPr="007B5F99">
        <w:rPr>
          <w:rStyle w:val="Bodytext2Italic"/>
          <w:sz w:val="24"/>
          <w:szCs w:val="24"/>
        </w:rPr>
        <w:t>n</w:t>
      </w:r>
      <w:r w:rsidRPr="00B834A2">
        <w:rPr>
          <w:rFonts w:ascii="Sylfaen" w:hAnsi="Sylfaen"/>
          <w:sz w:val="24"/>
          <w:szCs w:val="24"/>
        </w:rPr>
        <w:t xml:space="preserve"> = 400-ի չափով ընտրանքի համար գտնում են արժեքներ </w:t>
      </w:r>
      <w:r w:rsidRPr="00B834A2">
        <w:rPr>
          <w:rStyle w:val="Bodytext2Italic"/>
          <w:sz w:val="24"/>
          <w:szCs w:val="24"/>
        </w:rPr>
        <w:t>n ≥</w:t>
      </w:r>
      <w:r w:rsidRPr="00B834A2">
        <w:rPr>
          <w:rFonts w:ascii="Sylfaen" w:hAnsi="Sylfaen"/>
          <w:sz w:val="24"/>
          <w:szCs w:val="24"/>
        </w:rPr>
        <w:t xml:space="preserve"> 394-ին մոտ՝ с1 = 11 </w:t>
      </w:r>
      <w:r>
        <w:rPr>
          <w:rFonts w:ascii="Sylfaen" w:hAnsi="Sylfaen"/>
          <w:sz w:val="24"/>
          <w:szCs w:val="24"/>
        </w:rPr>
        <w:t>եւ</w:t>
      </w:r>
      <w:r w:rsidRPr="00B834A2">
        <w:rPr>
          <w:rFonts w:ascii="Sylfaen" w:hAnsi="Sylfaen"/>
          <w:sz w:val="24"/>
          <w:szCs w:val="24"/>
        </w:rPr>
        <w:t xml:space="preserve"> с2 = 3.</w:t>
      </w:r>
    </w:p>
    <w:p w14:paraId="237178E4" w14:textId="77777777" w:rsidR="00B834A2" w:rsidRPr="00B834A2" w:rsidRDefault="00B834A2" w:rsidP="006B3C70">
      <w:pPr>
        <w:pStyle w:val="Bodytext20"/>
        <w:shd w:val="clear" w:color="auto" w:fill="auto"/>
        <w:tabs>
          <w:tab w:val="left" w:pos="1134"/>
        </w:tabs>
        <w:spacing w:before="0" w:after="160" w:line="374"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007B5F99" w:rsidRPr="007B5F99">
        <w:rPr>
          <w:rStyle w:val="Bodytext2Italic"/>
          <w:sz w:val="24"/>
          <w:szCs w:val="24"/>
        </w:rPr>
        <w:t>n</w:t>
      </w:r>
      <w:r w:rsidRPr="00B834A2">
        <w:rPr>
          <w:rFonts w:ascii="Sylfaen" w:hAnsi="Sylfaen"/>
          <w:sz w:val="24"/>
          <w:szCs w:val="24"/>
        </w:rPr>
        <w:t xml:space="preserve"> = 450-ի չափով ընտրանքի համար գտնում են արժեքներ </w:t>
      </w:r>
      <w:r w:rsidRPr="00B834A2">
        <w:rPr>
          <w:rStyle w:val="Bodytext2Italic"/>
          <w:sz w:val="24"/>
          <w:szCs w:val="24"/>
        </w:rPr>
        <w:t>n ≥</w:t>
      </w:r>
      <w:r w:rsidRPr="00B834A2">
        <w:rPr>
          <w:rFonts w:ascii="Sylfaen" w:hAnsi="Sylfaen"/>
          <w:sz w:val="24"/>
          <w:szCs w:val="24"/>
        </w:rPr>
        <w:t xml:space="preserve"> 434-ի մոտ՝ с1 = 12 </w:t>
      </w:r>
      <w:r>
        <w:rPr>
          <w:rFonts w:ascii="Sylfaen" w:hAnsi="Sylfaen"/>
          <w:sz w:val="24"/>
          <w:szCs w:val="24"/>
        </w:rPr>
        <w:t>եւ</w:t>
      </w:r>
      <w:r w:rsidRPr="00B834A2">
        <w:rPr>
          <w:rFonts w:ascii="Sylfaen" w:hAnsi="Sylfaen"/>
          <w:sz w:val="24"/>
          <w:szCs w:val="24"/>
        </w:rPr>
        <w:t xml:space="preserve"> </w:t>
      </w:r>
      <w:r w:rsidRPr="00B834A2">
        <w:rPr>
          <w:rStyle w:val="Bodytext2Italic"/>
          <w:sz w:val="24"/>
          <w:szCs w:val="24"/>
        </w:rPr>
        <w:t>с2</w:t>
      </w:r>
      <w:r w:rsidRPr="00B834A2">
        <w:rPr>
          <w:rFonts w:ascii="Sylfaen" w:hAnsi="Sylfaen"/>
          <w:sz w:val="24"/>
          <w:szCs w:val="24"/>
        </w:rPr>
        <w:t xml:space="preserve"> = 3.</w:t>
      </w:r>
    </w:p>
    <w:p w14:paraId="53379A6B" w14:textId="77777777" w:rsidR="00B834A2" w:rsidRPr="00B834A2" w:rsidRDefault="00B834A2" w:rsidP="006B3C70">
      <w:pPr>
        <w:pStyle w:val="Bodytext20"/>
        <w:shd w:val="clear" w:color="auto" w:fill="auto"/>
        <w:tabs>
          <w:tab w:val="left" w:pos="1134"/>
        </w:tabs>
        <w:spacing w:before="0" w:after="160" w:line="374" w:lineRule="auto"/>
        <w:ind w:firstLine="567"/>
        <w:jc w:val="both"/>
        <w:rPr>
          <w:rFonts w:ascii="Sylfaen" w:hAnsi="Sylfaen" w:cs="Sylfaen"/>
          <w:sz w:val="24"/>
          <w:szCs w:val="24"/>
        </w:rPr>
      </w:pPr>
      <w:r w:rsidRPr="00B834A2">
        <w:rPr>
          <w:rFonts w:ascii="Sylfaen" w:hAnsi="Sylfaen"/>
          <w:sz w:val="24"/>
          <w:szCs w:val="24"/>
        </w:rPr>
        <w:t>-</w:t>
      </w:r>
      <w:r w:rsidR="004E1531" w:rsidRPr="004E1531">
        <w:rPr>
          <w:rFonts w:ascii="Sylfaen" w:hAnsi="Sylfaen"/>
          <w:sz w:val="24"/>
          <w:szCs w:val="24"/>
        </w:rPr>
        <w:tab/>
      </w:r>
      <w:r w:rsidR="007B5F99" w:rsidRPr="007B5F99">
        <w:rPr>
          <w:rStyle w:val="Bodytext2Italic"/>
          <w:sz w:val="24"/>
          <w:szCs w:val="24"/>
        </w:rPr>
        <w:t>n</w:t>
      </w:r>
      <w:r w:rsidRPr="00B834A2">
        <w:rPr>
          <w:rFonts w:ascii="Sylfaen" w:hAnsi="Sylfaen"/>
          <w:sz w:val="24"/>
          <w:szCs w:val="24"/>
        </w:rPr>
        <w:t xml:space="preserve"> = 500-ի չափով ընտրանքի համար գտնում են արժեքներ </w:t>
      </w:r>
      <w:r w:rsidRPr="00B834A2">
        <w:rPr>
          <w:rStyle w:val="Bodytext2Italic"/>
          <w:sz w:val="24"/>
          <w:szCs w:val="24"/>
        </w:rPr>
        <w:t>n ≥</w:t>
      </w:r>
      <w:r w:rsidRPr="00B834A2">
        <w:rPr>
          <w:rFonts w:ascii="Sylfaen" w:hAnsi="Sylfaen"/>
          <w:sz w:val="24"/>
          <w:szCs w:val="24"/>
        </w:rPr>
        <w:t xml:space="preserve"> 490-ին մոտ՝ с1 = 13 </w:t>
      </w:r>
      <w:r>
        <w:rPr>
          <w:rFonts w:ascii="Sylfaen" w:hAnsi="Sylfaen"/>
          <w:sz w:val="24"/>
          <w:szCs w:val="24"/>
        </w:rPr>
        <w:t>եւ</w:t>
      </w:r>
      <w:r w:rsidRPr="00B834A2">
        <w:rPr>
          <w:rFonts w:ascii="Sylfaen" w:hAnsi="Sylfaen"/>
          <w:sz w:val="24"/>
          <w:szCs w:val="24"/>
        </w:rPr>
        <w:t xml:space="preserve"> с2 = 4:</w:t>
      </w:r>
    </w:p>
    <w:p w14:paraId="172BE1AD" w14:textId="77777777" w:rsidR="006B3C70" w:rsidRDefault="006B3C70">
      <w:pPr>
        <w:rPr>
          <w:rStyle w:val="Bodytext29pt"/>
          <w:sz w:val="24"/>
          <w:szCs w:val="24"/>
        </w:rPr>
      </w:pPr>
      <w:r>
        <w:rPr>
          <w:rStyle w:val="Bodytext29pt"/>
          <w:sz w:val="24"/>
          <w:szCs w:val="24"/>
        </w:rPr>
        <w:br w:type="page"/>
      </w:r>
    </w:p>
    <w:p w14:paraId="097D656B" w14:textId="77777777" w:rsidR="00B834A2" w:rsidRPr="00A859E3" w:rsidRDefault="00B834A2" w:rsidP="006B3C70">
      <w:pPr>
        <w:pStyle w:val="Bodytext20"/>
        <w:shd w:val="clear" w:color="auto" w:fill="auto"/>
        <w:spacing w:before="0" w:after="160" w:line="374" w:lineRule="auto"/>
        <w:jc w:val="right"/>
        <w:rPr>
          <w:rStyle w:val="Bodytext29pt"/>
          <w:b/>
          <w:sz w:val="20"/>
          <w:szCs w:val="24"/>
        </w:rPr>
      </w:pPr>
      <w:r w:rsidRPr="007B5F99">
        <w:rPr>
          <w:rStyle w:val="Bodytext29pt"/>
          <w:b/>
          <w:sz w:val="20"/>
          <w:szCs w:val="24"/>
        </w:rPr>
        <w:lastRenderedPageBreak/>
        <w:t>201090025-2022</w:t>
      </w:r>
    </w:p>
    <w:p w14:paraId="2AA87CDC" w14:textId="77777777" w:rsidR="007B5F99" w:rsidRPr="00A859E3" w:rsidRDefault="007B5F99" w:rsidP="006B3C70">
      <w:pPr>
        <w:pStyle w:val="Bodytext20"/>
        <w:shd w:val="clear" w:color="auto" w:fill="auto"/>
        <w:spacing w:before="0" w:after="160" w:line="374" w:lineRule="auto"/>
        <w:jc w:val="right"/>
        <w:rPr>
          <w:rFonts w:ascii="Sylfaen" w:hAnsi="Sylfaen" w:cs="Sylfaen"/>
          <w:b/>
          <w:sz w:val="20"/>
          <w:szCs w:val="24"/>
        </w:rPr>
      </w:pPr>
    </w:p>
    <w:p w14:paraId="1CCAC63C" w14:textId="77777777" w:rsidR="00B834A2" w:rsidRPr="004E1531" w:rsidRDefault="00B834A2" w:rsidP="006B3C70">
      <w:pPr>
        <w:pStyle w:val="Bodytext20"/>
        <w:shd w:val="clear" w:color="auto" w:fill="auto"/>
        <w:tabs>
          <w:tab w:val="left" w:pos="1701"/>
        </w:tabs>
        <w:spacing w:before="0" w:after="160" w:line="374" w:lineRule="auto"/>
        <w:ind w:firstLine="567"/>
        <w:jc w:val="both"/>
        <w:rPr>
          <w:rFonts w:ascii="Sylfaen" w:hAnsi="Sylfaen" w:cs="Sylfaen"/>
          <w:b/>
          <w:sz w:val="24"/>
          <w:szCs w:val="24"/>
        </w:rPr>
      </w:pPr>
      <w:r w:rsidRPr="004E1531">
        <w:rPr>
          <w:rStyle w:val="Bodytext29pt"/>
          <w:b/>
          <w:sz w:val="24"/>
          <w:szCs w:val="24"/>
        </w:rPr>
        <w:t>2.1.9.25.</w:t>
      </w:r>
      <w:r w:rsidR="004E1531" w:rsidRPr="00097504">
        <w:rPr>
          <w:rStyle w:val="Bodytext29pt"/>
          <w:b/>
          <w:sz w:val="24"/>
          <w:szCs w:val="24"/>
        </w:rPr>
        <w:tab/>
      </w:r>
      <w:r w:rsidRPr="004E1531">
        <w:rPr>
          <w:rStyle w:val="Bodytext29pt"/>
          <w:b/>
          <w:sz w:val="24"/>
          <w:szCs w:val="24"/>
        </w:rPr>
        <w:t>Սուսպենզիաներում, էմուլսիաներում, փափուկ դեղաձեւերում մասնիկների չափի որոշումը</w:t>
      </w:r>
    </w:p>
    <w:p w14:paraId="2A23BC1F" w14:textId="77777777" w:rsidR="00B834A2" w:rsidRPr="00B834A2" w:rsidRDefault="00B834A2" w:rsidP="006B3C70">
      <w:pPr>
        <w:spacing w:after="160" w:line="374" w:lineRule="auto"/>
        <w:ind w:firstLine="567"/>
        <w:jc w:val="both"/>
      </w:pPr>
      <w:r w:rsidRPr="00B834A2">
        <w:t>Տվյալ փորձարկումը նախատեսված է այն դեղաձ</w:t>
      </w:r>
      <w:r>
        <w:t>եւ</w:t>
      </w:r>
      <w:r w:rsidRPr="00B834A2">
        <w:t>երում մասնիկների չափը որոշելու համար, որոնք կախույթներ, էմուլսիաներ են, ինչպես նա</w:t>
      </w:r>
      <w:r>
        <w:t>եւ</w:t>
      </w:r>
      <w:r w:rsidRPr="00B834A2">
        <w:t xml:space="preserve"> տարասեռ </w:t>
      </w:r>
      <w:r>
        <w:t>եւ</w:t>
      </w:r>
      <w:r w:rsidRPr="00B834A2">
        <w:t xml:space="preserve"> համակցված տեսակի այն փափուկ դեղաձ</w:t>
      </w:r>
      <w:r>
        <w:t>եւ</w:t>
      </w:r>
      <w:r w:rsidRPr="00B834A2">
        <w:t>երում, որոնք պարունակում են կոշտ դիսպերսային ֆազի տեսքով բաղադրիչներ:</w:t>
      </w:r>
    </w:p>
    <w:p w14:paraId="37F4C050"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Որոշումն անցկացնում են օպտիկական մանրադիտման մեթոդով՝ </w:t>
      </w:r>
      <w:r w:rsidRPr="00B834A2">
        <w:rPr>
          <w:rFonts w:ascii="Sylfaen" w:hAnsi="Sylfaen"/>
          <w:i/>
          <w:sz w:val="24"/>
          <w:szCs w:val="24"/>
        </w:rPr>
        <w:t>«Օպտիկական մանրադիտում»</w:t>
      </w:r>
      <w:r w:rsidRPr="00B834A2">
        <w:rPr>
          <w:rFonts w:ascii="Sylfaen" w:hAnsi="Sylfaen"/>
          <w:sz w:val="24"/>
          <w:szCs w:val="24"/>
        </w:rPr>
        <w:t xml:space="preserve"> </w:t>
      </w:r>
      <w:r w:rsidRPr="00B834A2">
        <w:rPr>
          <w:rFonts w:ascii="Sylfaen" w:hAnsi="Sylfaen"/>
          <w:i/>
          <w:sz w:val="24"/>
          <w:szCs w:val="24"/>
        </w:rPr>
        <w:t xml:space="preserve">2.1.9.13 </w:t>
      </w:r>
      <w:r w:rsidRPr="00B834A2">
        <w:rPr>
          <w:rFonts w:ascii="Sylfaen" w:hAnsi="Sylfaen"/>
          <w:sz w:val="24"/>
          <w:szCs w:val="24"/>
        </w:rPr>
        <w:t xml:space="preserve">ընդհանուր դեղագրքային հոդվածին համապատասխան՝ հետազոտելով օբյեկտը տեսողական կամ ավտոմատ ռեժիմով՝ համակարգչային ապահովման օգնությամբ, լազերային դիֆրակցիայի մեթոդով՝ </w:t>
      </w:r>
      <w:r w:rsidRPr="00B834A2">
        <w:rPr>
          <w:rFonts w:ascii="Sylfaen" w:hAnsi="Sylfaen"/>
          <w:i/>
          <w:sz w:val="24"/>
          <w:szCs w:val="24"/>
        </w:rPr>
        <w:t>«Լազերային ճառագայթման դիֆրակցիայի մեթոդով մասնիկների չափի որոշումը»</w:t>
      </w:r>
      <w:r w:rsidRPr="00B834A2">
        <w:rPr>
          <w:rFonts w:ascii="Sylfaen" w:hAnsi="Sylfaen"/>
          <w:sz w:val="24"/>
          <w:szCs w:val="24"/>
        </w:rPr>
        <w:t xml:space="preserve"> </w:t>
      </w:r>
      <w:r w:rsidRPr="00B834A2">
        <w:rPr>
          <w:rFonts w:ascii="Sylfaen" w:hAnsi="Sylfaen"/>
          <w:i/>
          <w:sz w:val="24"/>
          <w:szCs w:val="24"/>
        </w:rPr>
        <w:t xml:space="preserve">2.1.9.26 </w:t>
      </w:r>
      <w:r w:rsidRPr="00B834A2">
        <w:rPr>
          <w:rFonts w:ascii="Sylfaen" w:hAnsi="Sylfaen"/>
          <w:sz w:val="24"/>
          <w:szCs w:val="24"/>
        </w:rPr>
        <w:t xml:space="preserve">ընդհանուր դեղագրքային հոդվածին համապատասխան կամ 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նշված մեթոդիկային համապատասխան: </w:t>
      </w:r>
    </w:p>
    <w:p w14:paraId="438288BD" w14:textId="77777777" w:rsidR="00B834A2" w:rsidRPr="00B834A2" w:rsidRDefault="00B834A2" w:rsidP="00B834A2">
      <w:pPr>
        <w:pStyle w:val="Bodytext20"/>
        <w:shd w:val="clear" w:color="auto" w:fill="auto"/>
        <w:spacing w:before="0" w:after="160" w:line="360" w:lineRule="auto"/>
        <w:rPr>
          <w:rFonts w:ascii="Sylfaen" w:hAnsi="Sylfaen" w:cs="Sylfaen"/>
          <w:b/>
          <w:sz w:val="24"/>
          <w:szCs w:val="24"/>
        </w:rPr>
      </w:pPr>
    </w:p>
    <w:p w14:paraId="01C4A609"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ԱԿՆԱԲՈՒԺԱԿԱՆ ԿԻՐԱՌՈՒԹՅԱՆ ՀԱՄԱՐ ՓԱՓՈՒԿ ԴԵՂԱՁԵՎԵՐՈՒՄ ԵՎ ՍՈՒՍՊԵՆԶԻԱՆԵՐՈՒՄ ՄԱՍՆԻԿՆԵՐԻ ՉԱՓԻ ՈՐՈՇՈՒՄԸ</w:t>
      </w:r>
    </w:p>
    <w:p w14:paraId="702265E8"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Փորձարկումն անցկացնում են օպտիկական մանրադիտման մեթոդով: 10</w:t>
      </w:r>
      <w:r w:rsidR="00063A76" w:rsidRPr="006B7DC5">
        <w:rPr>
          <w:rFonts w:ascii="Sylfaen" w:hAnsi="Sylfaen"/>
          <w:sz w:val="24"/>
          <w:szCs w:val="24"/>
        </w:rPr>
        <w:t> </w:t>
      </w:r>
      <w:r w:rsidRPr="00B834A2">
        <w:rPr>
          <w:rFonts w:ascii="Sylfaen" w:hAnsi="Sylfaen"/>
          <w:sz w:val="24"/>
          <w:szCs w:val="24"/>
        </w:rPr>
        <w:t>մկգ-ից ոչ պակաս կոշտ ազդող նյութ պարունակող դեղապատրաստուկի փորձանմուշը մտցնում են հաշվարկման խցիկ (սուսպենզիա հանդիսացող դեղապատրաստուկների համար) կամ զգուշությամբ դնում են առարկայական ապակու վրա (փափուկ դեղաձ</w:t>
      </w:r>
      <w:r>
        <w:rPr>
          <w:rFonts w:ascii="Sylfaen" w:hAnsi="Sylfaen"/>
          <w:sz w:val="24"/>
          <w:szCs w:val="24"/>
        </w:rPr>
        <w:t>եւ</w:t>
      </w:r>
      <w:r w:rsidRPr="00B834A2">
        <w:rPr>
          <w:rFonts w:ascii="Sylfaen" w:hAnsi="Sylfaen"/>
          <w:sz w:val="24"/>
          <w:szCs w:val="24"/>
        </w:rPr>
        <w:t xml:space="preserve">եր հանդիսացող դեղապատրաստուկների համար) </w:t>
      </w:r>
      <w:r>
        <w:rPr>
          <w:rFonts w:ascii="Sylfaen" w:hAnsi="Sylfaen"/>
          <w:sz w:val="24"/>
          <w:szCs w:val="24"/>
        </w:rPr>
        <w:t>եւ</w:t>
      </w:r>
      <w:r w:rsidRPr="00B834A2">
        <w:rPr>
          <w:rFonts w:ascii="Sylfaen" w:hAnsi="Sylfaen"/>
          <w:sz w:val="24"/>
          <w:szCs w:val="24"/>
        </w:rPr>
        <w:t xml:space="preserve"> մանրադիտակի տակ դիտում են փորձանմուշի ամբողջ մակերեսը: Սկզբում փորձանմուշը դիտում են փոքր խոշորացմամբ (օրինակ՝ 50х)՝ նշելով 25 մկմ-ից ավելի չափով մասնիկները: Այնուհետ</w:t>
      </w:r>
      <w:r>
        <w:rPr>
          <w:rFonts w:ascii="Sylfaen" w:hAnsi="Sylfaen"/>
          <w:sz w:val="24"/>
          <w:szCs w:val="24"/>
        </w:rPr>
        <w:t>եւ</w:t>
      </w:r>
      <w:r w:rsidRPr="00B834A2">
        <w:rPr>
          <w:rFonts w:ascii="Sylfaen" w:hAnsi="Sylfaen"/>
          <w:sz w:val="24"/>
          <w:szCs w:val="24"/>
        </w:rPr>
        <w:t xml:space="preserve"> անցկացնում են այդ մասնիկների </w:t>
      </w:r>
      <w:r w:rsidRPr="00B834A2">
        <w:rPr>
          <w:rFonts w:ascii="Sylfaen" w:hAnsi="Sylfaen"/>
          <w:sz w:val="24"/>
          <w:szCs w:val="24"/>
        </w:rPr>
        <w:lastRenderedPageBreak/>
        <w:t>չափումը մեծ խոշորացմամբ (օրինակ՝ 200x-ից մինչ</w:t>
      </w:r>
      <w:r>
        <w:rPr>
          <w:rFonts w:ascii="Sylfaen" w:hAnsi="Sylfaen"/>
          <w:sz w:val="24"/>
          <w:szCs w:val="24"/>
        </w:rPr>
        <w:t>եւ</w:t>
      </w:r>
      <w:r w:rsidRPr="00B834A2">
        <w:rPr>
          <w:rFonts w:ascii="Sylfaen" w:hAnsi="Sylfaen"/>
          <w:sz w:val="24"/>
          <w:szCs w:val="24"/>
        </w:rPr>
        <w:t xml:space="preserve"> 500x): Մասնիկների քանակը հաշվում են 10 մկգ կոշտ ազդող նյութ պարունակող դեղապատրաստուկի փորձանմուշի վերահաշվարկով:</w:t>
      </w:r>
    </w:p>
    <w:p w14:paraId="72AC6FCA"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10 մկգ կոշտ ազդող նյութ պարունակող դեղապատրաստուկի փորձանմուշում չպետք է հայտնաբերվի 25 մկմ-ից ավելի չափով 20 մասնիկից ավելի, դրանցից երկու մասնիկներից ոչ ավելին կարող են ունենալ 50 մկմ-ից ավելի չափ: Չի թույլատրվում 90 մկմ-ից ավելի չափով մասնիկների առկայություն:</w:t>
      </w:r>
    </w:p>
    <w:p w14:paraId="5C49888D" w14:textId="77777777" w:rsidR="00B834A2" w:rsidRPr="00B834A2" w:rsidRDefault="00B834A2" w:rsidP="004E1531">
      <w:pPr>
        <w:pStyle w:val="Bodytext20"/>
        <w:shd w:val="clear" w:color="auto" w:fill="auto"/>
        <w:spacing w:before="0" w:after="160" w:line="360" w:lineRule="auto"/>
        <w:jc w:val="both"/>
        <w:rPr>
          <w:rFonts w:ascii="Sylfaen" w:hAnsi="Sylfaen" w:cs="Sylfaen"/>
          <w:b/>
          <w:sz w:val="24"/>
          <w:szCs w:val="24"/>
        </w:rPr>
      </w:pPr>
    </w:p>
    <w:p w14:paraId="0C085FEB"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ՓԱՓՈՒԿ ԴԵՂԱՁԵՎԵՐՈՒՄ ՄԱՍՆԻԿՆԵՐԻ ՉԱՓԻ ՈՐՈՇՈՒՄԸ</w:t>
      </w:r>
    </w:p>
    <w:p w14:paraId="385473EB" w14:textId="77777777" w:rsidR="00B834A2" w:rsidRPr="00063A76" w:rsidRDefault="00B834A2" w:rsidP="00063A76">
      <w:pPr>
        <w:pStyle w:val="Bodytext20"/>
        <w:shd w:val="clear" w:color="auto" w:fill="auto"/>
        <w:spacing w:before="0" w:after="160" w:line="336" w:lineRule="auto"/>
        <w:ind w:firstLine="567"/>
        <w:jc w:val="both"/>
        <w:rPr>
          <w:rFonts w:ascii="Sylfaen" w:hAnsi="Sylfaen" w:cs="Sylfaen"/>
          <w:sz w:val="24"/>
          <w:szCs w:val="24"/>
        </w:rPr>
      </w:pPr>
      <w:r w:rsidRPr="00B834A2">
        <w:rPr>
          <w:rFonts w:ascii="Sylfaen" w:hAnsi="Sylfaen"/>
          <w:sz w:val="24"/>
          <w:szCs w:val="24"/>
        </w:rPr>
        <w:t xml:space="preserve">Փորձարկումն անցկացնում են օպտիկական մանրադիտման մեթոդով: 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w:t>
      </w:r>
      <w:r w:rsidRPr="00063A76">
        <w:rPr>
          <w:rFonts w:ascii="Sylfaen" w:hAnsi="Sylfaen"/>
          <w:sz w:val="24"/>
          <w:szCs w:val="24"/>
        </w:rPr>
        <w:t>փաստաթղթում այլ ցուցումների բացակայության դեպքում օգտագործում են մանրադիտակ, որը հագեցված է օկուլյար միկրոմետրով՝ օկուլյարի 15х եւ օբյեկտիվի 8х խոշորացմամբ: Օկուլյար միկրոմետրի բաժանման արժեքը ճշտում են թափանցող լույսի համար օբյեկտ միկրոմետրով:</w:t>
      </w:r>
    </w:p>
    <w:p w14:paraId="1AEFC508" w14:textId="77777777" w:rsidR="00B834A2" w:rsidRPr="00063A76" w:rsidRDefault="00B834A2" w:rsidP="00063A76">
      <w:pPr>
        <w:pStyle w:val="Bodytext20"/>
        <w:shd w:val="clear" w:color="auto" w:fill="auto"/>
        <w:spacing w:before="0" w:after="160" w:line="336" w:lineRule="auto"/>
        <w:ind w:firstLine="567"/>
        <w:jc w:val="both"/>
        <w:rPr>
          <w:rFonts w:ascii="Sylfaen" w:hAnsi="Sylfaen" w:cs="Sylfaen"/>
          <w:sz w:val="24"/>
          <w:szCs w:val="24"/>
        </w:rPr>
      </w:pPr>
      <w:r w:rsidRPr="00063A76">
        <w:rPr>
          <w:rFonts w:ascii="Sylfaen" w:hAnsi="Sylfaen"/>
          <w:sz w:val="24"/>
          <w:szCs w:val="24"/>
        </w:rPr>
        <w:t>Օգտագործվող առարկայական ապակիները մի կողմից պետք է մշակված լինեն հետեւյալ կերպ՝ ապակու մեջտեղում ալմաստով, կամ որեւիցե այլ հղկանյութով գծանշում են մոտավորապես 15 մմ կողմով եւ անկյունագծերով քառակուսի: Գծերը ներկվում են ապակու մատիտի օգնությամբ: Առարկայական ապակու հակառակ կողմը մնում է անմշակ:</w:t>
      </w:r>
    </w:p>
    <w:p w14:paraId="7B668265"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Վերցնում են 5 գ-ից ոչ պակաս զանգվածով փափուկ դեղաձ</w:t>
      </w:r>
      <w:r>
        <w:rPr>
          <w:rFonts w:ascii="Sylfaen" w:hAnsi="Sylfaen"/>
          <w:sz w:val="24"/>
          <w:szCs w:val="24"/>
        </w:rPr>
        <w:t>եւ</w:t>
      </w:r>
      <w:r w:rsidRPr="00B834A2">
        <w:rPr>
          <w:rFonts w:ascii="Sylfaen" w:hAnsi="Sylfaen"/>
          <w:sz w:val="24"/>
          <w:szCs w:val="24"/>
        </w:rPr>
        <w:t xml:space="preserve"> հանդիսացող դեղապատրաստուկի միջին փորձանմուշ: Եթե դեղապատրաստուկում ազդող </w:t>
      </w:r>
      <w:r w:rsidRPr="007B5F99">
        <w:rPr>
          <w:rFonts w:ascii="Sylfaen" w:hAnsi="Sylfaen"/>
          <w:spacing w:val="-6"/>
          <w:sz w:val="24"/>
          <w:szCs w:val="24"/>
        </w:rPr>
        <w:t>նյութերի կոնցենտրացիան գերազանցում է 10 %-ը, ապա ավելացնում են մինչեւ 10 %</w:t>
      </w:r>
      <w:r w:rsidRPr="00B834A2">
        <w:rPr>
          <w:rFonts w:ascii="Sylfaen" w:hAnsi="Sylfaen"/>
          <w:sz w:val="24"/>
          <w:szCs w:val="24"/>
        </w:rPr>
        <w:t xml:space="preserve"> ազդող նյութերի պարունակության համապատասխան հիմքը </w:t>
      </w:r>
      <w:r>
        <w:rPr>
          <w:rFonts w:ascii="Sylfaen" w:hAnsi="Sylfaen"/>
          <w:sz w:val="24"/>
          <w:szCs w:val="24"/>
        </w:rPr>
        <w:t>եւ</w:t>
      </w:r>
      <w:r w:rsidRPr="00B834A2">
        <w:rPr>
          <w:rFonts w:ascii="Sylfaen" w:hAnsi="Sylfaen"/>
          <w:sz w:val="24"/>
          <w:szCs w:val="24"/>
        </w:rPr>
        <w:t xml:space="preserve"> խառնում են: Փորձանմուշներ վերցնելիս անհրաժեշտ է խուսափել մասնիկների մանրացումից:</w:t>
      </w:r>
    </w:p>
    <w:p w14:paraId="26A54944" w14:textId="77777777" w:rsidR="00B834A2" w:rsidRPr="00B834A2" w:rsidRDefault="00B834A2" w:rsidP="004E1531">
      <w:pPr>
        <w:pStyle w:val="Bodytext20"/>
        <w:shd w:val="clear" w:color="auto" w:fill="auto"/>
        <w:tabs>
          <w:tab w:val="left" w:pos="5963"/>
        </w:tabs>
        <w:spacing w:before="0" w:after="160" w:line="360" w:lineRule="auto"/>
        <w:ind w:firstLine="567"/>
        <w:jc w:val="both"/>
        <w:rPr>
          <w:rFonts w:ascii="Sylfaen" w:hAnsi="Sylfaen" w:cs="Sylfaen"/>
          <w:sz w:val="24"/>
          <w:szCs w:val="24"/>
        </w:rPr>
      </w:pPr>
      <w:r w:rsidRPr="00B834A2">
        <w:rPr>
          <w:rFonts w:ascii="Sylfaen" w:hAnsi="Sylfaen"/>
          <w:sz w:val="24"/>
          <w:szCs w:val="24"/>
        </w:rPr>
        <w:t>Փափուկ դեղաձ</w:t>
      </w:r>
      <w:r>
        <w:rPr>
          <w:rFonts w:ascii="Sylfaen" w:hAnsi="Sylfaen"/>
          <w:sz w:val="24"/>
          <w:szCs w:val="24"/>
        </w:rPr>
        <w:t>եւ</w:t>
      </w:r>
      <w:r w:rsidRPr="00B834A2">
        <w:rPr>
          <w:rFonts w:ascii="Sylfaen" w:hAnsi="Sylfaen"/>
          <w:sz w:val="24"/>
          <w:szCs w:val="24"/>
        </w:rPr>
        <w:t xml:space="preserve"> դեղապատրաստուկի միջին փորձանմուշից վերցնում են 0,05 գ կշռանմուշ </w:t>
      </w:r>
      <w:r>
        <w:rPr>
          <w:rFonts w:ascii="Sylfaen" w:hAnsi="Sylfaen"/>
          <w:sz w:val="24"/>
          <w:szCs w:val="24"/>
        </w:rPr>
        <w:t>եւ</w:t>
      </w:r>
      <w:r w:rsidRPr="00B834A2">
        <w:rPr>
          <w:rFonts w:ascii="Sylfaen" w:hAnsi="Sylfaen"/>
          <w:sz w:val="24"/>
          <w:szCs w:val="24"/>
        </w:rPr>
        <w:t xml:space="preserve"> զետեղում են ծածկութային ապակու չմշակված կողմի վրա: Փորձանմուշը ծածկում են պաշտպանական ապակիով (24 x 24 մմ), ֆիքսում են այն </w:t>
      </w:r>
      <w:r w:rsidRPr="00B834A2">
        <w:rPr>
          <w:rFonts w:ascii="Sylfaen" w:hAnsi="Sylfaen"/>
          <w:sz w:val="24"/>
          <w:szCs w:val="24"/>
        </w:rPr>
        <w:lastRenderedPageBreak/>
        <w:t xml:space="preserve">թույլ սեղմման միջոցով </w:t>
      </w:r>
      <w:r>
        <w:rPr>
          <w:rFonts w:ascii="Sylfaen" w:hAnsi="Sylfaen"/>
          <w:sz w:val="24"/>
          <w:szCs w:val="24"/>
        </w:rPr>
        <w:t>եւ</w:t>
      </w:r>
      <w:r w:rsidRPr="00B834A2">
        <w:rPr>
          <w:rFonts w:ascii="Sylfaen" w:hAnsi="Sylfaen"/>
          <w:sz w:val="24"/>
          <w:szCs w:val="24"/>
        </w:rPr>
        <w:t xml:space="preserve"> դիտում մեկական տեսադաշտով՝ քառակուսու անկյունագծերով ձ</w:t>
      </w:r>
      <w:r>
        <w:rPr>
          <w:rFonts w:ascii="Sylfaen" w:hAnsi="Sylfaen"/>
          <w:sz w:val="24"/>
          <w:szCs w:val="24"/>
        </w:rPr>
        <w:t>եւ</w:t>
      </w:r>
      <w:r w:rsidRPr="00B834A2">
        <w:rPr>
          <w:rFonts w:ascii="Sylfaen" w:hAnsi="Sylfaen"/>
          <w:sz w:val="24"/>
          <w:szCs w:val="24"/>
        </w:rPr>
        <w:t>ավորված յուրաքանչյուր չորս հատվածներում: Մեկ դեղապատրաստուկի փորձարկումների համար անցկացնում են միջին փորձանմուշի 5 որոշում:</w:t>
      </w:r>
    </w:p>
    <w:p w14:paraId="2DF870D3" w14:textId="77777777" w:rsidR="00B834A2" w:rsidRPr="00A859E3" w:rsidRDefault="00B834A2" w:rsidP="004E1531">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այլ ցուցումների բացակայության դեպքում տարասեռ </w:t>
      </w:r>
      <w:r>
        <w:rPr>
          <w:rFonts w:ascii="Sylfaen" w:hAnsi="Sylfaen"/>
          <w:sz w:val="24"/>
          <w:szCs w:val="24"/>
        </w:rPr>
        <w:t>եւ</w:t>
      </w:r>
      <w:r w:rsidRPr="00B834A2">
        <w:rPr>
          <w:rFonts w:ascii="Sylfaen" w:hAnsi="Sylfaen"/>
          <w:sz w:val="24"/>
          <w:szCs w:val="24"/>
        </w:rPr>
        <w:t xml:space="preserve"> համակցված տեսակների փափուկ դեղաձ</w:t>
      </w:r>
      <w:r>
        <w:rPr>
          <w:rFonts w:ascii="Sylfaen" w:hAnsi="Sylfaen"/>
          <w:sz w:val="24"/>
          <w:szCs w:val="24"/>
        </w:rPr>
        <w:t>եւ</w:t>
      </w:r>
      <w:r w:rsidRPr="00B834A2">
        <w:rPr>
          <w:rFonts w:ascii="Sylfaen" w:hAnsi="Sylfaen"/>
          <w:sz w:val="24"/>
          <w:szCs w:val="24"/>
        </w:rPr>
        <w:t>երով դեղապատրաստուկների մասնիկների չափը չպետք է գերազանցի 100 մկմ-ը:</w:t>
      </w:r>
    </w:p>
    <w:p w14:paraId="2F0D0E31" w14:textId="77777777" w:rsidR="007B5F99" w:rsidRPr="00A859E3" w:rsidRDefault="007B5F99" w:rsidP="004E1531">
      <w:pPr>
        <w:pStyle w:val="Bodytext20"/>
        <w:shd w:val="clear" w:color="auto" w:fill="auto"/>
        <w:spacing w:before="0" w:after="160" w:line="360" w:lineRule="auto"/>
        <w:ind w:firstLine="567"/>
        <w:jc w:val="both"/>
        <w:rPr>
          <w:rFonts w:ascii="Sylfaen" w:hAnsi="Sylfaen" w:cs="Sylfaen"/>
          <w:sz w:val="24"/>
          <w:szCs w:val="24"/>
        </w:rPr>
      </w:pPr>
    </w:p>
    <w:p w14:paraId="22E648D7"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ՍՈՒՍՊԵՆԶԻԱՆԵՐՈՒՄ ՄԱՍՆԿԻՆԵՐԻ ՉԱՓԻ ՈՐՈՇՈՒՄԸ</w:t>
      </w:r>
    </w:p>
    <w:p w14:paraId="77852E2D"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այլ ցուցումների բացակայության դեպքում սուսպենզիաներում մասնիկների չափի որոշումն անցկացնում են այնպես, ինչպես </w:t>
      </w:r>
      <w:r>
        <w:rPr>
          <w:rFonts w:ascii="Sylfaen" w:hAnsi="Sylfaen"/>
          <w:sz w:val="24"/>
          <w:szCs w:val="24"/>
        </w:rPr>
        <w:t>եւ</w:t>
      </w:r>
      <w:r w:rsidRPr="00B834A2">
        <w:rPr>
          <w:rFonts w:ascii="Sylfaen" w:hAnsi="Sylfaen"/>
          <w:sz w:val="24"/>
          <w:szCs w:val="24"/>
        </w:rPr>
        <w:t xml:space="preserve"> ակնաբուժական կիրառության համար նախատեսված սուսպենզիաների համար:</w:t>
      </w:r>
    </w:p>
    <w:p w14:paraId="4B497EE4"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այլ ցուցումների բացակայության դեպքում սուսպենզիա հանդիսացող դեղապատրաստուկի փորձանմուշի մեջ չպետք է հայտնաբերվեն 100 մկմ-ից ավելի չափով մասնիկներ:</w:t>
      </w:r>
    </w:p>
    <w:p w14:paraId="5D95C51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p>
    <w:p w14:paraId="55B81D5D"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ԷՄՈՒԼՍԻԱՆԵՐՈՒՄ ՄԱՍՆԿԻՆԵՐԻ ՉԱՓԻ ՈՐՈՇՈՒՄԸ</w:t>
      </w:r>
    </w:p>
    <w:p w14:paraId="134B503B"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Փորձարկումը կատարում են որոշման մեթոդիկային ու 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նշված պահանջներին համապատասխան:</w:t>
      </w:r>
    </w:p>
    <w:p w14:paraId="4B5199E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 այլ ցուցումների բացակայության դեպքում </w:t>
      </w:r>
      <w:r w:rsidRPr="00B834A2">
        <w:rPr>
          <w:rFonts w:ascii="Sylfaen" w:hAnsi="Sylfaen"/>
          <w:sz w:val="24"/>
          <w:szCs w:val="24"/>
        </w:rPr>
        <w:lastRenderedPageBreak/>
        <w:t>ներանոթային ներմուծման համար էմուլսիաներում կաթիլների տրամագիծը չպետք է գերազանցի 5 մկմ-ը:</w:t>
      </w:r>
    </w:p>
    <w:p w14:paraId="148B5000" w14:textId="77777777" w:rsidR="00B834A2" w:rsidRPr="00B834A2" w:rsidRDefault="00B834A2" w:rsidP="004E1531">
      <w:pPr>
        <w:pStyle w:val="Bodytext20"/>
        <w:shd w:val="clear" w:color="auto" w:fill="auto"/>
        <w:spacing w:before="0" w:after="160" w:line="360" w:lineRule="auto"/>
        <w:ind w:firstLine="440"/>
        <w:jc w:val="both"/>
        <w:rPr>
          <w:rFonts w:ascii="Sylfaen" w:hAnsi="Sylfaen" w:cs="Sylfaen"/>
          <w:sz w:val="24"/>
          <w:szCs w:val="24"/>
        </w:rPr>
      </w:pPr>
    </w:p>
    <w:p w14:paraId="3F88D23D" w14:textId="77777777" w:rsidR="00B834A2" w:rsidRPr="00A859E3" w:rsidRDefault="00B834A2" w:rsidP="004E1531">
      <w:pPr>
        <w:pStyle w:val="Bodytext20"/>
        <w:shd w:val="clear" w:color="auto" w:fill="auto"/>
        <w:spacing w:before="0" w:after="160" w:line="360" w:lineRule="auto"/>
        <w:jc w:val="right"/>
        <w:rPr>
          <w:rStyle w:val="Bodytext29pt"/>
          <w:b/>
          <w:sz w:val="20"/>
          <w:szCs w:val="24"/>
        </w:rPr>
      </w:pPr>
      <w:r w:rsidRPr="007B5F99">
        <w:rPr>
          <w:rStyle w:val="Bodytext29pt"/>
          <w:b/>
          <w:sz w:val="20"/>
          <w:szCs w:val="24"/>
        </w:rPr>
        <w:t>201090026-2022</w:t>
      </w:r>
    </w:p>
    <w:p w14:paraId="7EF63783" w14:textId="77777777" w:rsidR="007B5F99" w:rsidRPr="00A859E3" w:rsidRDefault="007B5F99" w:rsidP="004E1531">
      <w:pPr>
        <w:pStyle w:val="Bodytext20"/>
        <w:shd w:val="clear" w:color="auto" w:fill="auto"/>
        <w:spacing w:before="0" w:after="160" w:line="360" w:lineRule="auto"/>
        <w:jc w:val="right"/>
        <w:rPr>
          <w:rFonts w:ascii="Sylfaen" w:hAnsi="Sylfaen" w:cs="Sylfaen"/>
          <w:b/>
          <w:sz w:val="20"/>
          <w:szCs w:val="24"/>
        </w:rPr>
      </w:pPr>
    </w:p>
    <w:p w14:paraId="46BC9620" w14:textId="77777777" w:rsidR="00B834A2" w:rsidRPr="004E1531" w:rsidRDefault="00B834A2" w:rsidP="004E1531">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4E1531">
        <w:rPr>
          <w:rStyle w:val="Bodytext29pt"/>
          <w:b/>
          <w:sz w:val="24"/>
          <w:szCs w:val="24"/>
        </w:rPr>
        <w:t>2.1.9.26.</w:t>
      </w:r>
      <w:r w:rsidR="004E1531" w:rsidRPr="00097504">
        <w:rPr>
          <w:rStyle w:val="Bodytext29pt"/>
          <w:b/>
          <w:sz w:val="24"/>
          <w:szCs w:val="24"/>
        </w:rPr>
        <w:tab/>
      </w:r>
      <w:r w:rsidRPr="004E1531">
        <w:rPr>
          <w:rStyle w:val="Bodytext29pt"/>
          <w:b/>
          <w:sz w:val="24"/>
          <w:szCs w:val="24"/>
        </w:rPr>
        <w:t>Լազերային ճառագայթման դիֆրակցիայի մեթոդով մասնիկների չափի որոշումը</w:t>
      </w:r>
    </w:p>
    <w:p w14:paraId="4BD81514"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Լազերային ճառագայթման դիֆրակցիայի մեթոդը, որն օգտագործվում է ըստ չափի մասնիկների բաշխումը որոշելու համար, հիմնված է կոլիմացված լազերային ճառագայթով մասնիկները լուսավորելիս առաջացող լույսի ցրման պրոֆիլի անալիզի վրա: Մեթոդը թույլ է տալիս չափել 0,1 մկմ-ից մինչ</w:t>
      </w:r>
      <w:r>
        <w:rPr>
          <w:rFonts w:ascii="Sylfaen" w:hAnsi="Sylfaen"/>
          <w:sz w:val="24"/>
          <w:szCs w:val="24"/>
        </w:rPr>
        <w:t>եւ</w:t>
      </w:r>
      <w:r w:rsidRPr="00B834A2">
        <w:rPr>
          <w:rFonts w:ascii="Sylfaen" w:hAnsi="Sylfaen"/>
          <w:sz w:val="24"/>
          <w:szCs w:val="24"/>
        </w:rPr>
        <w:t xml:space="preserve"> 3,0 ընդգրկույթում մասնիկները:</w:t>
      </w:r>
    </w:p>
    <w:p w14:paraId="3BAD76BC" w14:textId="77777777" w:rsidR="00B834A2" w:rsidRPr="00B834A2" w:rsidRDefault="00B834A2" w:rsidP="00B834A2">
      <w:pPr>
        <w:pStyle w:val="Bodytext20"/>
        <w:shd w:val="clear" w:color="auto" w:fill="auto"/>
        <w:spacing w:before="0" w:after="160" w:line="360" w:lineRule="auto"/>
        <w:jc w:val="left"/>
        <w:rPr>
          <w:rFonts w:ascii="Sylfaen" w:hAnsi="Sylfaen" w:cs="Sylfaen"/>
          <w:b/>
          <w:sz w:val="24"/>
          <w:szCs w:val="24"/>
        </w:rPr>
      </w:pPr>
    </w:p>
    <w:p w14:paraId="08B0D54E"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ԿԻՐԱՌՈՒԹՅԱՆ ՈԼՈՐՏԸ</w:t>
      </w:r>
    </w:p>
    <w:p w14:paraId="02F3BDF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Մեթոդը նախատեսված է այնպիսի դեղապատրաստուկներում մասնիկների չափը որոշելու </w:t>
      </w:r>
      <w:r>
        <w:rPr>
          <w:rFonts w:ascii="Sylfaen" w:hAnsi="Sylfaen"/>
          <w:sz w:val="24"/>
          <w:szCs w:val="24"/>
        </w:rPr>
        <w:t>եւ</w:t>
      </w:r>
      <w:r w:rsidRPr="00B834A2">
        <w:rPr>
          <w:rFonts w:ascii="Sylfaen" w:hAnsi="Sylfaen"/>
          <w:sz w:val="24"/>
          <w:szCs w:val="24"/>
        </w:rPr>
        <w:t xml:space="preserve"> մասնիկներն ըստ չափի բաշխելու համար, որոնք այնպիսի դեղաձ</w:t>
      </w:r>
      <w:r>
        <w:rPr>
          <w:rFonts w:ascii="Sylfaen" w:hAnsi="Sylfaen"/>
          <w:sz w:val="24"/>
          <w:szCs w:val="24"/>
        </w:rPr>
        <w:t>եւ</w:t>
      </w:r>
      <w:r w:rsidRPr="00B834A2">
        <w:rPr>
          <w:rFonts w:ascii="Sylfaen" w:hAnsi="Sylfaen"/>
          <w:sz w:val="24"/>
          <w:szCs w:val="24"/>
        </w:rPr>
        <w:t xml:space="preserve">եր են, ինչպիսիք են փոշիները, սուսպենզիաները, էմուլսիաները </w:t>
      </w:r>
      <w:r>
        <w:rPr>
          <w:rFonts w:ascii="Sylfaen" w:hAnsi="Sylfaen"/>
          <w:sz w:val="24"/>
          <w:szCs w:val="24"/>
        </w:rPr>
        <w:t>եւ</w:t>
      </w:r>
      <w:r w:rsidRPr="00B834A2">
        <w:rPr>
          <w:rFonts w:ascii="Sylfaen" w:hAnsi="Sylfaen"/>
          <w:sz w:val="24"/>
          <w:szCs w:val="24"/>
        </w:rPr>
        <w:t xml:space="preserve"> այլն: Մեթոդը թույլ է տալիս որոշել, հետո նա</w:t>
      </w:r>
      <w:r>
        <w:rPr>
          <w:rFonts w:ascii="Sylfaen" w:hAnsi="Sylfaen"/>
          <w:sz w:val="24"/>
          <w:szCs w:val="24"/>
        </w:rPr>
        <w:t>եւ</w:t>
      </w:r>
      <w:r w:rsidRPr="00B834A2">
        <w:rPr>
          <w:rFonts w:ascii="Sylfaen" w:hAnsi="Sylfaen"/>
          <w:sz w:val="24"/>
          <w:szCs w:val="24"/>
        </w:rPr>
        <w:t xml:space="preserve"> նորմավորել դեղագործական բաղադրամասերի մասնիկների չափը </w:t>
      </w:r>
      <w:r>
        <w:rPr>
          <w:rFonts w:ascii="Sylfaen" w:hAnsi="Sylfaen"/>
          <w:sz w:val="24"/>
          <w:szCs w:val="24"/>
        </w:rPr>
        <w:t>եւ</w:t>
      </w:r>
      <w:r w:rsidRPr="00B834A2">
        <w:rPr>
          <w:rFonts w:ascii="Sylfaen" w:hAnsi="Sylfaen"/>
          <w:sz w:val="24"/>
          <w:szCs w:val="24"/>
        </w:rPr>
        <w:t xml:space="preserve"> դրանց բաշխումը:</w:t>
      </w:r>
    </w:p>
    <w:p w14:paraId="5BCC9D00" w14:textId="77777777" w:rsidR="00B834A2" w:rsidRPr="00B834A2" w:rsidRDefault="00B834A2" w:rsidP="00B834A2">
      <w:pPr>
        <w:pStyle w:val="Bodytext20"/>
        <w:shd w:val="clear" w:color="auto" w:fill="auto"/>
        <w:spacing w:before="0" w:after="160" w:line="360" w:lineRule="auto"/>
        <w:ind w:firstLine="567"/>
        <w:jc w:val="left"/>
        <w:rPr>
          <w:rFonts w:ascii="Sylfaen" w:hAnsi="Sylfaen" w:cs="Sylfaen"/>
          <w:b/>
          <w:sz w:val="24"/>
          <w:szCs w:val="24"/>
        </w:rPr>
      </w:pPr>
    </w:p>
    <w:p w14:paraId="53B00023"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ՍԱՐՔԱՎՈՐՈՒՄՆԵՐԸ</w:t>
      </w:r>
    </w:p>
    <w:p w14:paraId="22022837"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Սարքավորումները տեղադրում են այնպես, որ այն պաշտպանվի էլեկտրական խանգարումների, մեխանիկական թրթռումների, ջերմաստիճանի տատանումների, խոնավության </w:t>
      </w:r>
      <w:r>
        <w:rPr>
          <w:rFonts w:ascii="Sylfaen" w:hAnsi="Sylfaen"/>
          <w:sz w:val="24"/>
          <w:szCs w:val="24"/>
        </w:rPr>
        <w:t>եւ</w:t>
      </w:r>
      <w:r w:rsidRPr="00B834A2">
        <w:rPr>
          <w:rFonts w:ascii="Sylfaen" w:hAnsi="Sylfaen"/>
          <w:sz w:val="24"/>
          <w:szCs w:val="24"/>
        </w:rPr>
        <w:t xml:space="preserve"> ուղիղ պայծառ լույսի ազդեցությունից:</w:t>
      </w:r>
    </w:p>
    <w:p w14:paraId="47CD963B"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Լազերային դիֆրակցիայի համար սարքի սխեման ներկայացված է 2.1.9.26-1 աղյուսակում:</w:t>
      </w:r>
    </w:p>
    <w:p w14:paraId="35091D84"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Ընկնող լույսի ճառագայթի ու դիսպերային ֆազի մասնիկների փոխազդեցությունը հանգեցնում է տարբեր անկյուններում լույսի ինտենսիվության տարբեր արժեքներով լույսի ցրման պրոֆիլի առաջացմանը: Անկյունային ինտենսիվության՝ ուղիղ </w:t>
      </w:r>
      <w:r>
        <w:rPr>
          <w:rFonts w:ascii="Sylfaen" w:hAnsi="Sylfaen"/>
          <w:sz w:val="24"/>
          <w:szCs w:val="24"/>
        </w:rPr>
        <w:t>եւ</w:t>
      </w:r>
      <w:r w:rsidRPr="00B834A2">
        <w:rPr>
          <w:rFonts w:ascii="Sylfaen" w:hAnsi="Sylfaen"/>
          <w:sz w:val="24"/>
          <w:szCs w:val="24"/>
        </w:rPr>
        <w:t xml:space="preserve"> ցրված լույսից բաղկացած ընդհանուր բաշխումը կիզակետվում է ոսպնյակով բազմատարր դետեկտորի վրա: Ոսպնյակն ստեղծում է լույսի ցրման պրոֆիլ, որը պայմանավորված չէ լուսային ճառագայթում մասնիկների դիրքով:</w:t>
      </w:r>
    </w:p>
    <w:p w14:paraId="39BE20C1" w14:textId="77777777" w:rsidR="00B834A2" w:rsidRPr="00B834A2" w:rsidRDefault="00B834A2" w:rsidP="00B834A2">
      <w:pPr>
        <w:spacing w:after="160" w:line="360" w:lineRule="auto"/>
        <w:ind w:firstLine="567"/>
      </w:pPr>
    </w:p>
    <w:p w14:paraId="4DFB50BF" w14:textId="77777777" w:rsidR="00B834A2" w:rsidRPr="00B834A2" w:rsidRDefault="00B834A2" w:rsidP="00B834A2">
      <w:pPr>
        <w:spacing w:after="160" w:line="360" w:lineRule="auto"/>
        <w:rPr>
          <w:rStyle w:val="Picturecaption13NotItalic"/>
          <w:rFonts w:ascii="Sylfaen" w:eastAsia="Tahoma" w:hAnsi="Sylfaen"/>
          <w:sz w:val="24"/>
          <w:szCs w:val="24"/>
        </w:rPr>
      </w:pPr>
      <w:r w:rsidRPr="00B834A2">
        <w:rPr>
          <w:noProof/>
          <w:lang w:val="en-US" w:eastAsia="en-US" w:bidi="ar-SA"/>
        </w:rPr>
        <w:drawing>
          <wp:inline distT="0" distB="0" distL="0" distR="0" wp14:anchorId="6CA279A9" wp14:editId="30222C33">
            <wp:extent cx="5637475" cy="1708253"/>
            <wp:effectExtent l="19050" t="0" r="1325" b="0"/>
            <wp:docPr id="15" name="Picture 7"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4"/>
                    <pic:cNvPicPr>
                      <a:picLocks noChangeAspect="1" noChangeArrowheads="1"/>
                    </pic:cNvPicPr>
                  </pic:nvPicPr>
                  <pic:blipFill>
                    <a:blip r:embed="rId36" cstate="print"/>
                    <a:srcRect/>
                    <a:stretch>
                      <a:fillRect/>
                    </a:stretch>
                  </pic:blipFill>
                  <pic:spPr bwMode="auto">
                    <a:xfrm>
                      <a:off x="0" y="0"/>
                      <a:ext cx="5636043" cy="1707819"/>
                    </a:xfrm>
                    <a:prstGeom prst="rect">
                      <a:avLst/>
                    </a:prstGeom>
                    <a:noFill/>
                    <a:ln w="9525">
                      <a:noFill/>
                      <a:miter lim="800000"/>
                      <a:headEnd/>
                      <a:tailEnd/>
                    </a:ln>
                  </pic:spPr>
                </pic:pic>
              </a:graphicData>
            </a:graphic>
          </wp:inline>
        </w:drawing>
      </w:r>
    </w:p>
    <w:p w14:paraId="3D5597EA" w14:textId="77777777" w:rsidR="00B834A2" w:rsidRPr="004E1531" w:rsidRDefault="00B834A2" w:rsidP="00B834A2">
      <w:pPr>
        <w:spacing w:after="160" w:line="360" w:lineRule="auto"/>
        <w:jc w:val="both"/>
        <w:rPr>
          <w:i/>
          <w:sz w:val="20"/>
        </w:rPr>
      </w:pPr>
      <w:r w:rsidRPr="00063A76">
        <w:rPr>
          <w:rStyle w:val="Picturecaption13NotItalic"/>
          <w:rFonts w:ascii="Sylfaen" w:eastAsia="Tahoma" w:hAnsi="Sylfaen"/>
          <w:i w:val="0"/>
          <w:szCs w:val="24"/>
        </w:rPr>
        <w:t>Նկար 2.1.9.26-1</w:t>
      </w:r>
      <w:r w:rsidRPr="004E1531">
        <w:rPr>
          <w:rStyle w:val="Picturecaption13NotItalic"/>
          <w:rFonts w:ascii="Sylfaen" w:eastAsia="Tahoma" w:hAnsi="Sylfaen"/>
          <w:szCs w:val="24"/>
        </w:rPr>
        <w:t xml:space="preserve"> </w:t>
      </w:r>
      <w:r w:rsidR="009217DE">
        <w:rPr>
          <w:rStyle w:val="Picturecaption13NotItalic"/>
          <w:rFonts w:ascii="Sylfaen" w:eastAsia="Tahoma" w:hAnsi="Sylfaen"/>
          <w:szCs w:val="24"/>
        </w:rPr>
        <w:t>-</w:t>
      </w:r>
      <w:r w:rsidRPr="004E1531">
        <w:rPr>
          <w:i/>
          <w:sz w:val="20"/>
        </w:rPr>
        <w:t>Լազերային դիֆրակցիայի մեթոդով մասնիկների չափը որոշելու համար սարքի սխեման: 1</w:t>
      </w:r>
      <w:r w:rsidRPr="004E1531">
        <w:rPr>
          <w:rStyle w:val="Picturecaption13NotItalic"/>
          <w:rFonts w:ascii="Sylfaen" w:eastAsia="Tahoma" w:hAnsi="Sylfaen"/>
          <w:szCs w:val="24"/>
        </w:rPr>
        <w:t xml:space="preserve">՝ </w:t>
      </w:r>
      <w:r w:rsidRPr="004E1531">
        <w:rPr>
          <w:i/>
          <w:sz w:val="20"/>
        </w:rPr>
        <w:t>լազերային ճառագայթման աղբյուր, 2</w:t>
      </w:r>
      <w:r w:rsidRPr="004E1531">
        <w:rPr>
          <w:rStyle w:val="Picturecaption13NotItalic"/>
          <w:rFonts w:ascii="Sylfaen" w:eastAsia="Tahoma" w:hAnsi="Sylfaen"/>
          <w:szCs w:val="24"/>
        </w:rPr>
        <w:t xml:space="preserve">՝ </w:t>
      </w:r>
      <w:r w:rsidRPr="004E1531">
        <w:rPr>
          <w:i/>
          <w:sz w:val="20"/>
        </w:rPr>
        <w:t xml:space="preserve">լազերային ճառագայթումը մշակելու մոդուլ, </w:t>
      </w:r>
      <w:r w:rsidRPr="004E1531">
        <w:rPr>
          <w:rStyle w:val="Picturecaption13NotItalic"/>
          <w:rFonts w:ascii="Sylfaen" w:eastAsia="Tahoma" w:hAnsi="Sylfaen"/>
          <w:szCs w:val="24"/>
        </w:rPr>
        <w:t xml:space="preserve">3՝ </w:t>
      </w:r>
      <w:r w:rsidRPr="004E1531">
        <w:rPr>
          <w:i/>
          <w:sz w:val="20"/>
        </w:rPr>
        <w:t>մասնիկներ, 4՝ ոսպնյակով չհավաքված ցրված լույս (6), 5՝ ոսպնյակի աշխատանքային հեռավորություն (6), 6</w:t>
      </w:r>
      <w:r w:rsidRPr="004E1531">
        <w:rPr>
          <w:rStyle w:val="Picturecaption13NotItalic"/>
          <w:rFonts w:ascii="Sylfaen" w:eastAsia="Tahoma" w:hAnsi="Sylfaen"/>
          <w:szCs w:val="24"/>
        </w:rPr>
        <w:t xml:space="preserve">՝ </w:t>
      </w:r>
      <w:r w:rsidRPr="004E1531">
        <w:rPr>
          <w:i/>
          <w:sz w:val="20"/>
        </w:rPr>
        <w:t>ոսպնյակ Ֆուրիե, 7</w:t>
      </w:r>
      <w:r w:rsidRPr="004E1531">
        <w:rPr>
          <w:rStyle w:val="Picturecaption13NotItalic"/>
          <w:rFonts w:ascii="Sylfaen" w:eastAsia="Tahoma" w:hAnsi="Sylfaen"/>
          <w:szCs w:val="24"/>
        </w:rPr>
        <w:t xml:space="preserve">՝ </w:t>
      </w:r>
      <w:r w:rsidRPr="004E1531">
        <w:rPr>
          <w:i/>
          <w:sz w:val="20"/>
        </w:rPr>
        <w:t>ուղիղ ճառագայթ, 8</w:t>
      </w:r>
      <w:r w:rsidRPr="004E1531">
        <w:rPr>
          <w:rStyle w:val="Picturecaption13NotItalic"/>
          <w:rFonts w:ascii="Sylfaen" w:eastAsia="Tahoma" w:hAnsi="Sylfaen"/>
          <w:szCs w:val="24"/>
        </w:rPr>
        <w:t xml:space="preserve">՝ </w:t>
      </w:r>
      <w:r w:rsidRPr="004E1531">
        <w:rPr>
          <w:i/>
          <w:sz w:val="20"/>
        </w:rPr>
        <w:t>ոսպնյակի կիզակետային հեռավորություն (6), 9՝ ցրված ճառագայթ, 10</w:t>
      </w:r>
      <w:r w:rsidRPr="004E1531">
        <w:rPr>
          <w:rStyle w:val="Picturecaption13NotItalic"/>
          <w:rFonts w:ascii="Sylfaen" w:eastAsia="Tahoma" w:hAnsi="Sylfaen"/>
          <w:szCs w:val="24"/>
        </w:rPr>
        <w:t xml:space="preserve">՝ </w:t>
      </w:r>
      <w:r w:rsidRPr="004E1531">
        <w:rPr>
          <w:i/>
          <w:sz w:val="20"/>
        </w:rPr>
        <w:t>մթեցման դետեկտոր, 11՝</w:t>
      </w:r>
      <w:r w:rsidRPr="004E1531">
        <w:rPr>
          <w:rStyle w:val="Picturecaption13NotItalic"/>
          <w:rFonts w:ascii="Sylfaen" w:eastAsia="Tahoma" w:hAnsi="Sylfaen"/>
          <w:szCs w:val="24"/>
        </w:rPr>
        <w:t xml:space="preserve"> </w:t>
      </w:r>
      <w:r w:rsidRPr="004E1531">
        <w:rPr>
          <w:i/>
          <w:sz w:val="20"/>
        </w:rPr>
        <w:t>բազմատարր դետեկտոր</w:t>
      </w:r>
    </w:p>
    <w:p w14:paraId="17B1AE66" w14:textId="77777777" w:rsidR="004E1531" w:rsidRPr="00097504" w:rsidRDefault="004E1531" w:rsidP="00B834A2">
      <w:pPr>
        <w:pStyle w:val="Bodytext20"/>
        <w:shd w:val="clear" w:color="auto" w:fill="auto"/>
        <w:spacing w:before="0" w:after="160" w:line="360" w:lineRule="auto"/>
        <w:ind w:firstLine="567"/>
        <w:rPr>
          <w:rFonts w:ascii="Sylfaen" w:hAnsi="Sylfaen"/>
          <w:sz w:val="24"/>
          <w:szCs w:val="24"/>
        </w:rPr>
      </w:pPr>
    </w:p>
    <w:p w14:paraId="167C2FFC"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Սարքի աշխատանքը հիմնվում է մասնիկների իդեալականացված հատկությունների պայմաններում լազերային ճառագայթումը ցրելու հիմնական սկզբունքների վրա, ուստի նախքան չափումը սարքի ստուգաճշտում չի պահանջվում: Սարքի աշխատանքի ճշտության ստուգում կարելի է իրականացնել սերտիֆիկացված ստանդարտ նյութի չափման միջոցով, որը կազմված է ըստ չափի հայտնի բաշխմամբ ստացված մասնիկներից։</w:t>
      </w:r>
    </w:p>
    <w:p w14:paraId="3549A17A"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Սարքի աշխատանքն անհրաժեշտ է հաստատել ժամանակի կանոնավոր միջակայքերի միջոցով կամ պատշաճ հաճախականությամբ: Համակարգի </w:t>
      </w:r>
      <w:r w:rsidRPr="00B834A2">
        <w:rPr>
          <w:rFonts w:ascii="Sylfaen" w:hAnsi="Sylfaen"/>
          <w:sz w:val="24"/>
          <w:szCs w:val="24"/>
        </w:rPr>
        <w:lastRenderedPageBreak/>
        <w:t xml:space="preserve">ստուգաչափումն անցկացնում են ըստ չափի հայտնի բաշխումով ստուգիչ նյութի օգտագործմամբ: Երեք չափումների միջին արժեքները պետք է տարբերվեն </w:t>
      </w:r>
      <w:r w:rsidRPr="007B5F99">
        <w:rPr>
          <w:rFonts w:ascii="Sylfaen" w:hAnsi="Sylfaen"/>
          <w:spacing w:val="-4"/>
          <w:sz w:val="24"/>
          <w:szCs w:val="24"/>
        </w:rPr>
        <w:t>սահմանված արժեքից՝ x</w:t>
      </w:r>
      <w:r w:rsidRPr="007B5F99">
        <w:rPr>
          <w:rFonts w:ascii="Sylfaen" w:hAnsi="Sylfaen"/>
          <w:spacing w:val="-4"/>
          <w:sz w:val="24"/>
          <w:szCs w:val="24"/>
          <w:vertAlign w:val="subscript"/>
        </w:rPr>
        <w:t>50</w:t>
      </w:r>
      <w:r w:rsidRPr="007B5F99">
        <w:rPr>
          <w:rFonts w:ascii="Sylfaen" w:hAnsi="Sylfaen"/>
          <w:spacing w:val="-4"/>
          <w:sz w:val="24"/>
          <w:szCs w:val="24"/>
        </w:rPr>
        <w:t>-ի համար՝ 10 %-ից ոչ ավելի եւ x</w:t>
      </w:r>
      <w:r w:rsidRPr="007B5F99">
        <w:rPr>
          <w:rFonts w:ascii="Sylfaen" w:hAnsi="Sylfaen"/>
          <w:spacing w:val="-4"/>
          <w:sz w:val="24"/>
          <w:szCs w:val="24"/>
          <w:vertAlign w:val="subscript"/>
        </w:rPr>
        <w:t>10</w:t>
      </w:r>
      <w:r w:rsidRPr="007B5F99">
        <w:rPr>
          <w:rFonts w:ascii="Sylfaen" w:hAnsi="Sylfaen"/>
          <w:spacing w:val="-4"/>
          <w:sz w:val="24"/>
          <w:szCs w:val="24"/>
        </w:rPr>
        <w:t xml:space="preserve"> ու x</w:t>
      </w:r>
      <w:r w:rsidRPr="007B5F99">
        <w:rPr>
          <w:rFonts w:ascii="Sylfaen" w:hAnsi="Sylfaen"/>
          <w:spacing w:val="-4"/>
          <w:sz w:val="24"/>
          <w:szCs w:val="24"/>
          <w:vertAlign w:val="subscript"/>
        </w:rPr>
        <w:t>90</w:t>
      </w:r>
      <w:r w:rsidRPr="007B5F99">
        <w:rPr>
          <w:rFonts w:ascii="Sylfaen" w:hAnsi="Sylfaen"/>
          <w:spacing w:val="-4"/>
          <w:sz w:val="24"/>
          <w:szCs w:val="24"/>
        </w:rPr>
        <w:t>-ի համար՝ 15 %-ից</w:t>
      </w:r>
      <w:r w:rsidRPr="00B834A2">
        <w:rPr>
          <w:rFonts w:ascii="Sylfaen" w:hAnsi="Sylfaen"/>
          <w:sz w:val="24"/>
          <w:szCs w:val="24"/>
        </w:rPr>
        <w:t xml:space="preserve"> ոչ ավելի:</w:t>
      </w:r>
      <w:r>
        <w:rPr>
          <w:rFonts w:ascii="Sylfaen" w:hAnsi="Sylfaen"/>
          <w:sz w:val="24"/>
          <w:szCs w:val="24"/>
        </w:rPr>
        <w:t xml:space="preserve"> </w:t>
      </w:r>
      <w:r w:rsidRPr="00B834A2">
        <w:rPr>
          <w:rStyle w:val="Bodytext2Italic"/>
          <w:sz w:val="24"/>
          <w:szCs w:val="24"/>
        </w:rPr>
        <w:t>х</w:t>
      </w:r>
      <w:r w:rsidRPr="00B834A2">
        <w:rPr>
          <w:rFonts w:ascii="Sylfaen" w:hAnsi="Sylfaen"/>
          <w:sz w:val="24"/>
          <w:szCs w:val="24"/>
        </w:rPr>
        <w:t xml:space="preserve"> &lt; </w:t>
      </w:r>
      <w:r w:rsidRPr="00B834A2">
        <w:rPr>
          <w:rStyle w:val="Bodytext285pt"/>
          <w:spacing w:val="0"/>
          <w:sz w:val="24"/>
          <w:szCs w:val="24"/>
        </w:rPr>
        <w:t>10</w:t>
      </w:r>
      <w:r w:rsidRPr="00B834A2">
        <w:rPr>
          <w:rFonts w:ascii="Sylfaen" w:hAnsi="Sylfaen"/>
          <w:sz w:val="24"/>
          <w:szCs w:val="24"/>
        </w:rPr>
        <w:t xml:space="preserve"> մկմ-ի համար այդ մեծություններն անհրաժեշտ է կրկնապատկել:</w:t>
      </w:r>
    </w:p>
    <w:p w14:paraId="64C4915F" w14:textId="77777777" w:rsidR="00063A76" w:rsidRPr="006B7DC5" w:rsidRDefault="00063A76" w:rsidP="004E1531">
      <w:pPr>
        <w:pStyle w:val="Bodytext20"/>
        <w:shd w:val="clear" w:color="auto" w:fill="auto"/>
        <w:spacing w:before="0" w:after="160" w:line="360" w:lineRule="auto"/>
        <w:ind w:firstLine="567"/>
        <w:jc w:val="both"/>
        <w:rPr>
          <w:rFonts w:ascii="Sylfaen" w:hAnsi="Sylfaen"/>
          <w:b/>
          <w:sz w:val="24"/>
          <w:szCs w:val="24"/>
        </w:rPr>
      </w:pPr>
    </w:p>
    <w:p w14:paraId="6409D15C"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ՓՈՐՁԱՆՄՈՒՇԻ ՆԱԽԱՊԱՏՐԱՍՏՈՒՄԸ</w:t>
      </w:r>
    </w:p>
    <w:p w14:paraId="67B1AD2E"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Փորձանմուշի նախապատրաստման մեթոդիկան պետք է ապահովի մասնիկների չափի չափման համար պահանջվող ծավալի ներկայացուցչական նմուշի ստացումը:</w:t>
      </w:r>
    </w:p>
    <w:p w14:paraId="264DBA18"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Ցողաշիթերը, աերոզոլները </w:t>
      </w:r>
      <w:r>
        <w:rPr>
          <w:rFonts w:ascii="Sylfaen" w:hAnsi="Sylfaen"/>
          <w:sz w:val="24"/>
          <w:szCs w:val="24"/>
        </w:rPr>
        <w:t>եւ</w:t>
      </w:r>
      <w:r w:rsidRPr="00B834A2">
        <w:rPr>
          <w:rFonts w:ascii="Sylfaen" w:hAnsi="Sylfaen"/>
          <w:sz w:val="24"/>
          <w:szCs w:val="24"/>
        </w:rPr>
        <w:t xml:space="preserve"> գազի պղպջակները հեղուկի մեջ չափվում են անմիջապես, քանի որ փորձանմուշի նախապատրաստումը կամ նոսրացումը կարող է փոխել ըստ չափի մասնիկների բաշխումը:</w:t>
      </w:r>
      <w:r>
        <w:rPr>
          <w:rFonts w:ascii="Sylfaen" w:hAnsi="Sylfaen"/>
          <w:sz w:val="24"/>
          <w:szCs w:val="24"/>
        </w:rPr>
        <w:t xml:space="preserve"> </w:t>
      </w:r>
    </w:p>
    <w:p w14:paraId="0EE8F247"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Սորուն փոշիները կարելի է նա</w:t>
      </w:r>
      <w:r>
        <w:rPr>
          <w:rFonts w:ascii="Sylfaen" w:hAnsi="Sylfaen"/>
          <w:sz w:val="24"/>
          <w:szCs w:val="24"/>
        </w:rPr>
        <w:t>եւ</w:t>
      </w:r>
      <w:r w:rsidRPr="00B834A2">
        <w:rPr>
          <w:rFonts w:ascii="Sylfaen" w:hAnsi="Sylfaen"/>
          <w:sz w:val="24"/>
          <w:szCs w:val="24"/>
        </w:rPr>
        <w:t xml:space="preserve"> փոխակերպել աերոզոլների՝ սեղմված գազի կամ ճնշման տատանումների էներգիան օգտագործող դիսպերսարարների օգնությամբ: Ստացված աերոզոլն անցնում է չափման գոտու միջով, որից հետո ընկնում է վակուումային բլոկի ներթողման անցքի մեջ, որտեղ աերոզոլի մասնիկները հավաքվում են:</w:t>
      </w:r>
    </w:p>
    <w:p w14:paraId="19A3532E"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Որպես դիսպերսիոն միջավայր կարող են օգտագործվել </w:t>
      </w:r>
      <w:r w:rsidRPr="00B834A2">
        <w:rPr>
          <w:rFonts w:ascii="Sylfaen" w:hAnsi="Sylfaen"/>
          <w:i/>
          <w:sz w:val="24"/>
          <w:szCs w:val="24"/>
        </w:rPr>
        <w:t>Ռ ջուր</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տարբեր օրգանական լուծիչներ </w:t>
      </w:r>
      <w:r w:rsidRPr="00B834A2">
        <w:rPr>
          <w:rFonts w:ascii="Sylfaen" w:hAnsi="Sylfaen"/>
          <w:i/>
          <w:sz w:val="24"/>
          <w:szCs w:val="24"/>
        </w:rPr>
        <w:t>(Ռ էթանոլ (96%), Ռ մեթանոլ, Ռ իզոպրոպանոլ, Ռ հեքսան, Ռ ացետոն, Ռ տոլուոլ</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այլն), ինչը պետք է նշված լինի մասնավոր դեղագրքային հոդվածում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փաստաթղթում:</w:t>
      </w:r>
    </w:p>
    <w:p w14:paraId="29BAC6D5" w14:textId="77777777" w:rsidR="00B834A2" w:rsidRPr="00DE4F37" w:rsidRDefault="00B834A2" w:rsidP="004E1531">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Կոնցենտրացիաների ընդգրկույթի որոշումը:</w:t>
      </w:r>
      <w:r w:rsidRPr="00B834A2">
        <w:rPr>
          <w:rFonts w:ascii="Sylfaen" w:hAnsi="Sylfaen"/>
          <w:sz w:val="24"/>
          <w:szCs w:val="24"/>
        </w:rPr>
        <w:t xml:space="preserve"> Դետեկտորում «ազդանշան - աղմուկ» ընդունելի հարաբերակցություն ստանալու համար դիսպերսիայում մասնիկների կոնցենտրացիան պետք է գերազանցի նվազագույն մակարդակը: Այն նա</w:t>
      </w:r>
      <w:r>
        <w:rPr>
          <w:rFonts w:ascii="Sylfaen" w:hAnsi="Sylfaen"/>
          <w:sz w:val="24"/>
          <w:szCs w:val="24"/>
        </w:rPr>
        <w:t>եւ</w:t>
      </w:r>
      <w:r w:rsidRPr="00B834A2">
        <w:rPr>
          <w:rFonts w:ascii="Sylfaen" w:hAnsi="Sylfaen"/>
          <w:sz w:val="24"/>
          <w:szCs w:val="24"/>
        </w:rPr>
        <w:t xml:space="preserve"> պետք է պակաս լինի կոնցենտրացիայի առավելագույն մակարդակից՝ բազմակի ցրումից խուսափելու համար:</w:t>
      </w:r>
    </w:p>
    <w:p w14:paraId="7D6A98EA" w14:textId="77777777" w:rsidR="006B3C70" w:rsidRPr="00DE4F37" w:rsidRDefault="006B3C70" w:rsidP="004E1531">
      <w:pPr>
        <w:pStyle w:val="Bodytext20"/>
        <w:shd w:val="clear" w:color="auto" w:fill="auto"/>
        <w:spacing w:before="0" w:after="160" w:line="360" w:lineRule="auto"/>
        <w:ind w:firstLine="567"/>
        <w:jc w:val="both"/>
        <w:rPr>
          <w:rFonts w:ascii="Sylfaen" w:hAnsi="Sylfaen" w:cs="Sylfaen"/>
          <w:sz w:val="24"/>
          <w:szCs w:val="24"/>
        </w:rPr>
      </w:pPr>
    </w:p>
    <w:p w14:paraId="7D794A68"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Կոնցենտրացիաների ընդգրկույթի վրա ազդում են լազերային ճառագայթի լայնությունը, հեռավորությունը, որն անցնում է չափման գոտում լազերի ճառագայթի միջոցով, մասնիկների օպտիկական հատկությունները </w:t>
      </w:r>
      <w:r>
        <w:rPr>
          <w:rFonts w:ascii="Sylfaen" w:hAnsi="Sylfaen"/>
          <w:sz w:val="24"/>
          <w:szCs w:val="24"/>
        </w:rPr>
        <w:t>եւ</w:t>
      </w:r>
      <w:r w:rsidRPr="00B834A2">
        <w:rPr>
          <w:rFonts w:ascii="Sylfaen" w:hAnsi="Sylfaen"/>
          <w:sz w:val="24"/>
          <w:szCs w:val="24"/>
        </w:rPr>
        <w:t xml:space="preserve"> դետեկտորի տարրերի զգայունությունը: Չափումներն անհրաժեշտ է անցկացնել մասնիկների տարբեր կոնցենտրացիաների պայմաններում՝ նյութի յուրաքանչյուր բնորոշ նմուշի համար կոնցենտրացիաների օպտիմալ ընդգրկույթը որոշելու համար:</w:t>
      </w:r>
    </w:p>
    <w:p w14:paraId="31286C4C"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 սկզբունքը</w:t>
      </w:r>
      <w:r w:rsidRPr="00B834A2">
        <w:rPr>
          <w:rFonts w:ascii="Sylfaen" w:hAnsi="Sylfaen"/>
          <w:sz w:val="24"/>
          <w:szCs w:val="24"/>
        </w:rPr>
        <w:t>. Անհրաժեշտ կոնցենտրացիաներով հեղուկում կամ գազում դիսպերսված նմուշը ենթարկվում է լազերային ճառագայթման ազդեցությանը: Տարբեր անկյուններում մասնիկներից ցրված լույսը չափվում է բազմատարր դետեկտորով: Լույսի ցրման պրոֆիլը ներկայացնող թվային արժեքները գրանցվում են հաջորդող անալիզի համար: Հետագայում այդ արժեքներն օպտիկական մոդելի օգնությամբ մաթեմատիկորեն վերակերպվում են բաժինների՝ առանձին չափային դասերի ընդհանուր ծավալից՝ ձ</w:t>
      </w:r>
      <w:r>
        <w:rPr>
          <w:rFonts w:ascii="Sylfaen" w:hAnsi="Sylfaen"/>
          <w:sz w:val="24"/>
          <w:szCs w:val="24"/>
        </w:rPr>
        <w:t>եւ</w:t>
      </w:r>
      <w:r w:rsidRPr="00B834A2">
        <w:rPr>
          <w:rFonts w:ascii="Sylfaen" w:hAnsi="Sylfaen"/>
          <w:sz w:val="24"/>
          <w:szCs w:val="24"/>
        </w:rPr>
        <w:t>ավորելով այդպիսով մասնիկների ծավալային բաշխումն ըստ չափի:</w:t>
      </w:r>
    </w:p>
    <w:p w14:paraId="76CF6477"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Մեթոդով հնարավոր չէ տարբերել ցրումը տարբեր մասնիկներից </w:t>
      </w:r>
      <w:r>
        <w:rPr>
          <w:rFonts w:ascii="Sylfaen" w:hAnsi="Sylfaen"/>
          <w:sz w:val="24"/>
          <w:szCs w:val="24"/>
        </w:rPr>
        <w:t>եւ</w:t>
      </w:r>
      <w:r w:rsidRPr="00B834A2">
        <w:rPr>
          <w:rFonts w:ascii="Sylfaen" w:hAnsi="Sylfaen"/>
          <w:sz w:val="24"/>
          <w:szCs w:val="24"/>
        </w:rPr>
        <w:t xml:space="preserve"> մասնիկների կլաստերներից, այսինքն՝ ագլոմերատներից կամ ագրեգատներից ցրումը: Այն դեպքում, երբ նմուշները պարունակում են մասնիկների ագլոմերատներ կամ ագրեգատներ, </w:t>
      </w:r>
      <w:r>
        <w:rPr>
          <w:rFonts w:ascii="Sylfaen" w:hAnsi="Sylfaen"/>
          <w:sz w:val="24"/>
          <w:szCs w:val="24"/>
        </w:rPr>
        <w:t>եւ</w:t>
      </w:r>
      <w:r w:rsidRPr="00B834A2">
        <w:rPr>
          <w:rFonts w:ascii="Sylfaen" w:hAnsi="Sylfaen"/>
          <w:sz w:val="24"/>
          <w:szCs w:val="24"/>
        </w:rPr>
        <w:t xml:space="preserve"> եթե անհրաժեշտ է որոշել ըստ չափի առանձին մասնիկների բաշխումը, ապա նախքան չափումը կլաստերները դիսպերսում են առանձին մասնիկների: Ոչ գնդաձ</w:t>
      </w:r>
      <w:r>
        <w:rPr>
          <w:rFonts w:ascii="Sylfaen" w:hAnsi="Sylfaen"/>
          <w:sz w:val="24"/>
          <w:szCs w:val="24"/>
        </w:rPr>
        <w:t>եւ</w:t>
      </w:r>
      <w:r w:rsidRPr="00B834A2">
        <w:rPr>
          <w:rFonts w:ascii="Sylfaen" w:hAnsi="Sylfaen"/>
          <w:sz w:val="24"/>
          <w:szCs w:val="24"/>
        </w:rPr>
        <w:t xml:space="preserve"> մասնիկների համար ստանում են չափով համարժեք գնդերի համապատասխան բաշխումը, քանի որ մեթոդով ենթադրվում է օգտագործել գնդաձ</w:t>
      </w:r>
      <w:r>
        <w:rPr>
          <w:rFonts w:ascii="Sylfaen" w:hAnsi="Sylfaen"/>
          <w:sz w:val="24"/>
          <w:szCs w:val="24"/>
        </w:rPr>
        <w:t>եւ</w:t>
      </w:r>
      <w:r w:rsidRPr="00B834A2">
        <w:rPr>
          <w:rFonts w:ascii="Sylfaen" w:hAnsi="Sylfaen"/>
          <w:sz w:val="24"/>
          <w:szCs w:val="24"/>
        </w:rPr>
        <w:t xml:space="preserve"> մասնիկներն իր օպտիկական մոդելում: Ըստ չափի մասնիկների ստացված բաշխումը կարող է տարբերվել այլ ֆիզիկական սկզբունքների վրա հիմնված բաշխումներից (օրինակ՝ նստվածքակուտակումը կամ մաղով որոշումը):</w:t>
      </w:r>
    </w:p>
    <w:p w14:paraId="0D4E26AA" w14:textId="77777777" w:rsidR="00063A76" w:rsidRDefault="00063A76">
      <w:pPr>
        <w:rPr>
          <w:rFonts w:eastAsia="Times New Roman"/>
          <w:b/>
        </w:rPr>
      </w:pPr>
      <w:r>
        <w:rPr>
          <w:b/>
        </w:rPr>
        <w:br w:type="page"/>
      </w:r>
    </w:p>
    <w:p w14:paraId="0A2DFDEF" w14:textId="77777777" w:rsidR="00B834A2" w:rsidRPr="006B7DC5" w:rsidRDefault="00B834A2" w:rsidP="004E1531">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lastRenderedPageBreak/>
        <w:t>ՄԵԹՈԴԻԿԱ</w:t>
      </w:r>
    </w:p>
    <w:p w14:paraId="217379D1"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Մասնիկների չափերի չափումն իրականացնում են դիսպերսության քիչ անկյուն ունեցող չափիչների վրա՝ սարքի շահագործման ձեռնարկին </w:t>
      </w:r>
      <w:r>
        <w:rPr>
          <w:rFonts w:ascii="Sylfaen" w:hAnsi="Sylfaen"/>
          <w:sz w:val="24"/>
          <w:szCs w:val="24"/>
        </w:rPr>
        <w:t>եւ</w:t>
      </w:r>
      <w:r w:rsidRPr="00B834A2">
        <w:rPr>
          <w:rFonts w:ascii="Sylfaen" w:hAnsi="Sylfaen"/>
          <w:sz w:val="24"/>
          <w:szCs w:val="24"/>
        </w:rPr>
        <w:t xml:space="preserve"> օգտագործողի ուղեցույցին համապատասխան: </w:t>
      </w:r>
    </w:p>
    <w:p w14:paraId="6614FF0C"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Սարքի օպտիկական մասի համապատասխան կարգավորումն անելուց հետո անցկացնում են այն միջավայրի ֆոնային չափումը, որում բացակայում են դիսպերսային մասնիկները: Ֆոնի ազդանշանի մակարդակը պետք է ցածր լինի </w:t>
      </w:r>
      <w:r w:rsidRPr="007B5F99">
        <w:rPr>
          <w:rFonts w:ascii="Sylfaen" w:hAnsi="Sylfaen"/>
          <w:spacing w:val="4"/>
          <w:sz w:val="24"/>
          <w:szCs w:val="24"/>
        </w:rPr>
        <w:t>համապատասխան սահմանային արժեքից: Ֆոնային չափումից հետո անցկացնում են փորձանմուշի</w:t>
      </w:r>
      <w:r w:rsidRPr="00B834A2">
        <w:rPr>
          <w:rFonts w:ascii="Sylfaen" w:hAnsi="Sylfaen"/>
          <w:sz w:val="24"/>
          <w:szCs w:val="24"/>
        </w:rPr>
        <w:t xml:space="preserve"> չափումը: Սովորաբար չափման ժամանակ դետեկտորի տարրերի վրա կատարվում է ազդանշանի գրանցումների մեծ թիվ, </w:t>
      </w:r>
      <w:r>
        <w:rPr>
          <w:rFonts w:ascii="Sylfaen" w:hAnsi="Sylfaen"/>
          <w:sz w:val="24"/>
          <w:szCs w:val="24"/>
        </w:rPr>
        <w:t>եւ</w:t>
      </w:r>
      <w:r w:rsidRPr="00B834A2">
        <w:rPr>
          <w:rFonts w:ascii="Sylfaen" w:hAnsi="Sylfaen"/>
          <w:sz w:val="24"/>
          <w:szCs w:val="24"/>
        </w:rPr>
        <w:t xml:space="preserve"> յուրաքանչյուր տարրի համար որոշվում է միջին արժեքը: Դետեկտորի տարրերի դիրքը </w:t>
      </w:r>
      <w:r>
        <w:rPr>
          <w:rFonts w:ascii="Sylfaen" w:hAnsi="Sylfaen"/>
          <w:sz w:val="24"/>
          <w:szCs w:val="24"/>
        </w:rPr>
        <w:t>եւ</w:t>
      </w:r>
      <w:r w:rsidRPr="00B834A2">
        <w:rPr>
          <w:rFonts w:ascii="Sylfaen" w:hAnsi="Sylfaen"/>
          <w:sz w:val="24"/>
          <w:szCs w:val="24"/>
        </w:rPr>
        <w:t xml:space="preserve"> չափը, ոսպնյակի կիզակետային հեռավորությունը սահմանում են յուրաքանչյուր տարրի համար ցրման անկյունների ընդգրկույթը:</w:t>
      </w:r>
    </w:p>
    <w:p w14:paraId="4E894B12"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Սարքերի մեծամասնությունը չափում են նա</w:t>
      </w:r>
      <w:r>
        <w:rPr>
          <w:rFonts w:ascii="Sylfaen" w:hAnsi="Sylfaen"/>
          <w:sz w:val="24"/>
          <w:szCs w:val="24"/>
        </w:rPr>
        <w:t>եւ</w:t>
      </w:r>
      <w:r w:rsidRPr="00B834A2">
        <w:rPr>
          <w:rFonts w:ascii="Sylfaen" w:hAnsi="Sylfaen"/>
          <w:sz w:val="24"/>
          <w:szCs w:val="24"/>
        </w:rPr>
        <w:t xml:space="preserve"> կենտրոնական ճառագայթի ինտենսիվությունը: Դիսպերսային համակարգում կենտրոնական ճառագայթի ինտենսիվությունների </w:t>
      </w:r>
      <w:r>
        <w:rPr>
          <w:rFonts w:ascii="Sylfaen" w:hAnsi="Sylfaen"/>
          <w:sz w:val="24"/>
          <w:szCs w:val="24"/>
        </w:rPr>
        <w:t>եւ</w:t>
      </w:r>
      <w:r w:rsidRPr="00B834A2">
        <w:rPr>
          <w:rFonts w:ascii="Sylfaen" w:hAnsi="Sylfaen"/>
          <w:sz w:val="24"/>
          <w:szCs w:val="24"/>
        </w:rPr>
        <w:t xml:space="preserve"> ֆոնային չափման տարբերությունը մթեցման պարամետր է </w:t>
      </w:r>
      <w:r>
        <w:rPr>
          <w:rFonts w:ascii="Sylfaen" w:hAnsi="Sylfaen"/>
          <w:sz w:val="24"/>
          <w:szCs w:val="24"/>
        </w:rPr>
        <w:t>եւ</w:t>
      </w:r>
      <w:r w:rsidRPr="00B834A2">
        <w:rPr>
          <w:rFonts w:ascii="Sylfaen" w:hAnsi="Sylfaen"/>
          <w:sz w:val="24"/>
          <w:szCs w:val="24"/>
        </w:rPr>
        <w:t xml:space="preserve"> վկայում է ցրված լույսի ինտենսիվության </w:t>
      </w:r>
      <w:r>
        <w:rPr>
          <w:rFonts w:ascii="Sylfaen" w:hAnsi="Sylfaen"/>
          <w:sz w:val="24"/>
          <w:szCs w:val="24"/>
        </w:rPr>
        <w:t>եւ</w:t>
      </w:r>
      <w:r w:rsidRPr="00B834A2">
        <w:rPr>
          <w:rFonts w:ascii="Sylfaen" w:hAnsi="Sylfaen"/>
          <w:sz w:val="24"/>
          <w:szCs w:val="24"/>
        </w:rPr>
        <w:t xml:space="preserve"> մասնիկների կոնցենտրացիայի մասին:</w:t>
      </w:r>
    </w:p>
    <w:p w14:paraId="0411D7F8"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Մասնիկների չափման </w:t>
      </w:r>
      <w:r>
        <w:rPr>
          <w:rFonts w:ascii="Sylfaen" w:hAnsi="Sylfaen"/>
          <w:sz w:val="24"/>
          <w:szCs w:val="24"/>
        </w:rPr>
        <w:t>եւ</w:t>
      </w:r>
      <w:r w:rsidRPr="00B834A2">
        <w:rPr>
          <w:rFonts w:ascii="Sylfaen" w:hAnsi="Sylfaen"/>
          <w:sz w:val="24"/>
          <w:szCs w:val="24"/>
        </w:rPr>
        <w:t xml:space="preserve"> կոնկրետ դեղամիջոցներում դրանց բաշխման անալիզ անցկացնելու սպեցիֆիկ պայմանները նշվում են մասնավոր դեղագրքային հոդվածներում </w:t>
      </w:r>
      <w:r>
        <w:rPr>
          <w:rFonts w:ascii="Sylfaen" w:hAnsi="Sylfaen"/>
          <w:sz w:val="24"/>
          <w:szCs w:val="24"/>
        </w:rPr>
        <w:t>եւ</w:t>
      </w:r>
      <w:r w:rsidRPr="00B834A2">
        <w:rPr>
          <w:rFonts w:ascii="Sylfaen" w:hAnsi="Sylfaen"/>
          <w:sz w:val="24"/>
          <w:szCs w:val="24"/>
        </w:rPr>
        <w:t xml:space="preserve"> (կամ) որակի վերաբերյալ նորմատիվ փաստաթղթերում:</w:t>
      </w:r>
    </w:p>
    <w:p w14:paraId="3B97042F"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Օպտիկական մոդելի ընտրությունը.</w:t>
      </w:r>
      <w:r w:rsidRPr="00B834A2">
        <w:rPr>
          <w:rFonts w:ascii="Sylfaen" w:hAnsi="Sylfaen"/>
          <w:sz w:val="24"/>
          <w:szCs w:val="24"/>
        </w:rPr>
        <w:t xml:space="preserve"> Համապատասխան օպտիկական մոդելի ընտրությունը պայմանավորված է փորձարկվող մոդելի աբսորբման չափով, բեկման ցուցանիշով, անհարթությամբ, բյուրեղի կողմնորոշմամբ </w:t>
      </w:r>
      <w:r>
        <w:rPr>
          <w:rFonts w:ascii="Sylfaen" w:hAnsi="Sylfaen"/>
          <w:sz w:val="24"/>
          <w:szCs w:val="24"/>
        </w:rPr>
        <w:t>եւ</w:t>
      </w:r>
      <w:r w:rsidRPr="00B834A2">
        <w:rPr>
          <w:rFonts w:ascii="Sylfaen" w:hAnsi="Sylfaen"/>
          <w:sz w:val="24"/>
          <w:szCs w:val="24"/>
        </w:rPr>
        <w:t xml:space="preserve"> այլն: Մեծամասամբ կիրառում են Ֆրաունգոֆերի մոտարկումը կամ Միի թեորիան: Մասնիկների՝ 25 մկմ-ից փոքր չափի դեպքում օպտիկական մոդելների միջ</w:t>
      </w:r>
      <w:r>
        <w:rPr>
          <w:rFonts w:ascii="Sylfaen" w:hAnsi="Sylfaen"/>
          <w:sz w:val="24"/>
          <w:szCs w:val="24"/>
        </w:rPr>
        <w:t>եւ</w:t>
      </w:r>
      <w:r w:rsidRPr="00B834A2">
        <w:rPr>
          <w:rFonts w:ascii="Sylfaen" w:hAnsi="Sylfaen"/>
          <w:sz w:val="24"/>
          <w:szCs w:val="24"/>
        </w:rPr>
        <w:t xml:space="preserve"> տարբերությունը դառնում է ավելի զգալի: Այդ ընդգրկույթում ավելի ճշգրիտ արդյունքների հասնել թույլ է տալիս Միի թեորիան: Միի թեորիան օգտագործելիս </w:t>
      </w:r>
      <w:r w:rsidRPr="00B834A2">
        <w:rPr>
          <w:rFonts w:ascii="Sylfaen" w:hAnsi="Sylfaen"/>
          <w:sz w:val="24"/>
          <w:szCs w:val="24"/>
        </w:rPr>
        <w:lastRenderedPageBreak/>
        <w:t xml:space="preserve">սարքի մեջ անհրաժեշտ է ներմուծել մասնիկների բեկման ցուցանիշի </w:t>
      </w:r>
      <w:r>
        <w:rPr>
          <w:rFonts w:ascii="Sylfaen" w:hAnsi="Sylfaen"/>
          <w:sz w:val="24"/>
          <w:szCs w:val="24"/>
        </w:rPr>
        <w:t>եւ</w:t>
      </w:r>
      <w:r w:rsidRPr="00B834A2">
        <w:rPr>
          <w:rFonts w:ascii="Sylfaen" w:hAnsi="Sylfaen"/>
          <w:sz w:val="24"/>
          <w:szCs w:val="24"/>
        </w:rPr>
        <w:t xml:space="preserve"> միջավայրի արժեքները կամ դրանց հարաբերակցությունը:</w:t>
      </w:r>
    </w:p>
    <w:p w14:paraId="2B8856AB" w14:textId="77777777" w:rsidR="00B834A2" w:rsidRPr="00097504" w:rsidRDefault="00B834A2" w:rsidP="004E1531">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Չափման ժամանակը.</w:t>
      </w:r>
      <w:r w:rsidRPr="00B834A2">
        <w:rPr>
          <w:rFonts w:ascii="Sylfaen" w:hAnsi="Sylfaen"/>
          <w:sz w:val="24"/>
          <w:szCs w:val="24"/>
        </w:rPr>
        <w:t xml:space="preserve"> Չափման ժամանակը, դետեկտորով տվյալների հավաքման ժամանակը </w:t>
      </w:r>
      <w:r>
        <w:rPr>
          <w:rFonts w:ascii="Sylfaen" w:hAnsi="Sylfaen"/>
          <w:sz w:val="24"/>
          <w:szCs w:val="24"/>
        </w:rPr>
        <w:t>եւ</w:t>
      </w:r>
      <w:r w:rsidRPr="00B834A2">
        <w:rPr>
          <w:rFonts w:ascii="Sylfaen" w:hAnsi="Sylfaen"/>
          <w:sz w:val="24"/>
          <w:szCs w:val="24"/>
        </w:rPr>
        <w:t xml:space="preserve"> հաճախականությունը որոշում են փորձարարական եղանակով այնպես, որ հասնեն ցանկալի ճշգրտության: Որպես կանոն, չափման ժամանակ կարճ ժամանակահատվածի ընթացքում կատարվում է սկանավորումների մեծ քանակություն:</w:t>
      </w:r>
    </w:p>
    <w:p w14:paraId="28719E90"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Կրկնակի չափումները.</w:t>
      </w:r>
      <w:r w:rsidRPr="00B834A2">
        <w:rPr>
          <w:rFonts w:ascii="Sylfaen" w:hAnsi="Sylfaen"/>
          <w:sz w:val="24"/>
          <w:szCs w:val="24"/>
        </w:rPr>
        <w:t xml:space="preserve"> Կրկնակի չափումների թիվը պայմանավորված է կոնկրետ նյութով: Սովորաբար չափում են մեկ սերիայի առնվազն երեք ներկայացուցչական նմուշներ:</w:t>
      </w:r>
    </w:p>
    <w:p w14:paraId="29DCB5E2"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Չափումների արդյունքները.</w:t>
      </w:r>
      <w:r w:rsidRPr="00B834A2">
        <w:rPr>
          <w:rFonts w:ascii="Sylfaen" w:hAnsi="Sylfaen"/>
          <w:sz w:val="24"/>
          <w:szCs w:val="24"/>
        </w:rPr>
        <w:t xml:space="preserve"> Արդյունքները սովորաբար ներկայացնում են ըստ չափի մասնիկների բաշխման ինտեգրալային կորի տեսքով (նկար 2.1.9.26.-2): х</w:t>
      </w:r>
      <w:r w:rsidRPr="00B834A2">
        <w:rPr>
          <w:rFonts w:ascii="Sylfaen" w:hAnsi="Sylfaen"/>
          <w:sz w:val="24"/>
          <w:szCs w:val="24"/>
          <w:vertAlign w:val="subscript"/>
        </w:rPr>
        <w:t>m</w:t>
      </w:r>
      <w:r w:rsidRPr="00B834A2">
        <w:rPr>
          <w:rFonts w:ascii="Sylfaen" w:hAnsi="Sylfaen"/>
          <w:sz w:val="24"/>
          <w:szCs w:val="24"/>
        </w:rPr>
        <w:t xml:space="preserve"> մեծություններն արտացոլում են մասնիկների չափը, որտեղ </w:t>
      </w:r>
      <w:r w:rsidRPr="00B834A2">
        <w:rPr>
          <w:rStyle w:val="Bodytext2Italic"/>
          <w:sz w:val="24"/>
          <w:szCs w:val="24"/>
        </w:rPr>
        <w:t>т</w:t>
      </w:r>
      <w:r w:rsidRPr="00B834A2">
        <w:rPr>
          <w:rFonts w:ascii="Sylfaen" w:hAnsi="Sylfaen"/>
          <w:sz w:val="24"/>
          <w:szCs w:val="24"/>
        </w:rPr>
        <w:t xml:space="preserve">-ն х չափի </w:t>
      </w:r>
      <w:r>
        <w:rPr>
          <w:rFonts w:ascii="Sylfaen" w:hAnsi="Sylfaen"/>
          <w:sz w:val="24"/>
          <w:szCs w:val="24"/>
        </w:rPr>
        <w:t>եւ</w:t>
      </w:r>
      <w:r w:rsidRPr="00B834A2">
        <w:rPr>
          <w:rFonts w:ascii="Sylfaen" w:hAnsi="Sylfaen"/>
          <w:sz w:val="24"/>
          <w:szCs w:val="24"/>
        </w:rPr>
        <w:t xml:space="preserve"> դրանից փոքր մասնիկների մասնաբաժինն է: Ըստ չափի բաշխումը գնահատելու համար օգտագործում են х</w:t>
      </w:r>
      <w:r w:rsidRPr="00B834A2">
        <w:rPr>
          <w:rFonts w:ascii="Sylfaen" w:hAnsi="Sylfaen"/>
          <w:sz w:val="24"/>
          <w:szCs w:val="24"/>
          <w:vertAlign w:val="subscript"/>
        </w:rPr>
        <w:t>10</w:t>
      </w:r>
      <w:r w:rsidRPr="00B834A2">
        <w:rPr>
          <w:rFonts w:ascii="Sylfaen" w:hAnsi="Sylfaen"/>
          <w:sz w:val="24"/>
          <w:szCs w:val="24"/>
        </w:rPr>
        <w:t xml:space="preserve"> х</w:t>
      </w:r>
      <w:r w:rsidRPr="00B834A2">
        <w:rPr>
          <w:rStyle w:val="Bodytext285pt"/>
          <w:spacing w:val="0"/>
          <w:sz w:val="24"/>
          <w:szCs w:val="24"/>
          <w:vertAlign w:val="subscript"/>
        </w:rPr>
        <w:t>50</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х</w:t>
      </w:r>
      <w:r w:rsidRPr="00B834A2">
        <w:rPr>
          <w:rFonts w:ascii="Sylfaen" w:hAnsi="Sylfaen"/>
          <w:sz w:val="24"/>
          <w:szCs w:val="24"/>
          <w:vertAlign w:val="subscript"/>
        </w:rPr>
        <w:t>90</w:t>
      </w:r>
      <w:r w:rsidRPr="00B834A2">
        <w:rPr>
          <w:rFonts w:ascii="Sylfaen" w:hAnsi="Sylfaen"/>
          <w:sz w:val="24"/>
          <w:szCs w:val="24"/>
        </w:rPr>
        <w:t xml:space="preserve"> արժեքները:</w:t>
      </w:r>
    </w:p>
    <w:p w14:paraId="133A6217"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Կրկնելիությունը.</w:t>
      </w:r>
      <w:r w:rsidRPr="00B834A2">
        <w:rPr>
          <w:rFonts w:ascii="Sylfaen" w:hAnsi="Sylfaen"/>
          <w:sz w:val="24"/>
          <w:szCs w:val="24"/>
        </w:rPr>
        <w:t xml:space="preserve"> Նախընտրելի է օգտագործել սերտիֆիկացված կամ ստանդարտ նյութեր, որոնք բաղկացած են ըստ չափի հայտնի բաշխման գնդաձ</w:t>
      </w:r>
      <w:r>
        <w:rPr>
          <w:rFonts w:ascii="Sylfaen" w:hAnsi="Sylfaen"/>
          <w:sz w:val="24"/>
          <w:szCs w:val="24"/>
        </w:rPr>
        <w:t>եւ</w:t>
      </w:r>
      <w:r w:rsidRPr="00B834A2">
        <w:rPr>
          <w:rFonts w:ascii="Sylfaen" w:hAnsi="Sylfaen"/>
          <w:sz w:val="24"/>
          <w:szCs w:val="24"/>
        </w:rPr>
        <w:t xml:space="preserve"> մասնիկներից՝ չափով 10 անգամից ավելի տարբերվող չափային խմբերով: Սարքի աշխատունակությունը համարվում է պահանջներին համապատասխան, եթե սերտիֆիկացված կամ ստանդարտ նյութի առնվազն երեք անկախ չափումների x</w:t>
      </w:r>
      <w:r w:rsidRPr="00B834A2">
        <w:rPr>
          <w:rFonts w:ascii="Sylfaen" w:hAnsi="Sylfaen"/>
          <w:sz w:val="24"/>
          <w:szCs w:val="24"/>
          <w:vertAlign w:val="subscript"/>
        </w:rPr>
        <w:t>50</w:t>
      </w:r>
      <w:r w:rsidRPr="00B834A2">
        <w:rPr>
          <w:rFonts w:ascii="Sylfaen" w:hAnsi="Sylfaen"/>
          <w:sz w:val="24"/>
          <w:szCs w:val="24"/>
        </w:rPr>
        <w:t xml:space="preserve"> միջին արժեքն արժեքների սահմանված ընդգրկույթից տարբերվում է 3%-ից ոչ ավելի:</w:t>
      </w:r>
      <w:r>
        <w:rPr>
          <w:rFonts w:ascii="Sylfaen" w:hAnsi="Sylfaen"/>
          <w:sz w:val="24"/>
          <w:szCs w:val="24"/>
        </w:rPr>
        <w:t xml:space="preserve"> </w:t>
      </w:r>
      <w:r w:rsidRPr="00B834A2">
        <w:rPr>
          <w:rFonts w:ascii="Sylfaen" w:hAnsi="Sylfaen"/>
          <w:sz w:val="24"/>
          <w:szCs w:val="24"/>
        </w:rPr>
        <w:t>х</w:t>
      </w:r>
      <w:r w:rsidRPr="00B834A2">
        <w:rPr>
          <w:rFonts w:ascii="Sylfaen" w:hAnsi="Sylfaen"/>
          <w:sz w:val="24"/>
          <w:szCs w:val="24"/>
          <w:vertAlign w:val="subscript"/>
        </w:rPr>
        <w:t>10</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х</w:t>
      </w:r>
      <w:r w:rsidRPr="00B834A2">
        <w:rPr>
          <w:rFonts w:ascii="Sylfaen" w:hAnsi="Sylfaen"/>
          <w:sz w:val="24"/>
          <w:szCs w:val="24"/>
          <w:vertAlign w:val="subscript"/>
        </w:rPr>
        <w:t>90</w:t>
      </w:r>
      <w:r w:rsidRPr="00B834A2">
        <w:rPr>
          <w:rFonts w:ascii="Sylfaen" w:hAnsi="Sylfaen"/>
          <w:sz w:val="24"/>
          <w:szCs w:val="24"/>
        </w:rPr>
        <w:t xml:space="preserve"> միջին արժեքները չպետք է գերազանցեն արժեքների սահմանված ընդգրկույթը ոչ ավելի քան 5%-ով: Հարաբերական ստանդարտ շեղումը պետք է լինի 3 %-ից պակաս՝ Х</w:t>
      </w:r>
      <w:r w:rsidRPr="00B834A2">
        <w:rPr>
          <w:rStyle w:val="Bodytext285pt"/>
          <w:spacing w:val="0"/>
          <w:sz w:val="24"/>
          <w:szCs w:val="24"/>
          <w:vertAlign w:val="subscript"/>
        </w:rPr>
        <w:t>50</w:t>
      </w:r>
      <w:r w:rsidRPr="00B834A2">
        <w:rPr>
          <w:rStyle w:val="Bodytext285pt"/>
          <w:spacing w:val="0"/>
          <w:sz w:val="24"/>
          <w:szCs w:val="24"/>
        </w:rPr>
        <w:t xml:space="preserve"> </w:t>
      </w:r>
      <w:r w:rsidRPr="00B834A2">
        <w:rPr>
          <w:rFonts w:ascii="Sylfaen" w:hAnsi="Sylfaen"/>
          <w:sz w:val="24"/>
          <w:szCs w:val="24"/>
        </w:rPr>
        <w:t>-ի համար, ու 5 % -ից պակաս՝ х</w:t>
      </w:r>
      <w:r w:rsidRPr="00B834A2">
        <w:rPr>
          <w:rFonts w:ascii="Sylfaen" w:hAnsi="Sylfaen"/>
          <w:sz w:val="24"/>
          <w:szCs w:val="24"/>
          <w:vertAlign w:val="subscript"/>
        </w:rPr>
        <w:t>10</w:t>
      </w:r>
      <w:r w:rsidRPr="00B834A2">
        <w:rPr>
          <w:rFonts w:ascii="Sylfaen" w:hAnsi="Sylfaen"/>
          <w:sz w:val="24"/>
          <w:szCs w:val="24"/>
        </w:rPr>
        <w:t xml:space="preserve"> եւ х</w:t>
      </w:r>
      <w:r w:rsidRPr="00B834A2">
        <w:rPr>
          <w:rFonts w:ascii="Sylfaen" w:hAnsi="Sylfaen"/>
          <w:sz w:val="24"/>
          <w:szCs w:val="24"/>
          <w:vertAlign w:val="subscript"/>
        </w:rPr>
        <w:t>90</w:t>
      </w:r>
      <w:r w:rsidRPr="00B834A2">
        <w:rPr>
          <w:rFonts w:ascii="Sylfaen" w:hAnsi="Sylfaen"/>
          <w:sz w:val="24"/>
          <w:szCs w:val="24"/>
        </w:rPr>
        <w:t>-ի համար: х &lt; 10 մկմ-ի համար այդ մեծություններն անհրաժեշտ է</w:t>
      </w:r>
      <w:r>
        <w:rPr>
          <w:rFonts w:ascii="Sylfaen" w:hAnsi="Sylfaen"/>
          <w:sz w:val="24"/>
          <w:szCs w:val="24"/>
        </w:rPr>
        <w:t xml:space="preserve"> </w:t>
      </w:r>
      <w:r w:rsidRPr="00B834A2">
        <w:rPr>
          <w:rFonts w:ascii="Sylfaen" w:hAnsi="Sylfaen"/>
          <w:sz w:val="24"/>
          <w:szCs w:val="24"/>
        </w:rPr>
        <w:t>կրկնապատկել:</w:t>
      </w:r>
    </w:p>
    <w:p w14:paraId="41D1CEAB" w14:textId="77777777" w:rsidR="00B834A2" w:rsidRPr="00B834A2" w:rsidRDefault="00B834A2" w:rsidP="004E1531">
      <w:pPr>
        <w:pStyle w:val="Bodytext20"/>
        <w:shd w:val="clear" w:color="auto" w:fill="auto"/>
        <w:tabs>
          <w:tab w:val="left" w:pos="2977"/>
        </w:tabs>
        <w:spacing w:before="0" w:after="160" w:line="360" w:lineRule="auto"/>
        <w:ind w:firstLine="567"/>
        <w:jc w:val="both"/>
        <w:rPr>
          <w:rFonts w:ascii="Sylfaen" w:hAnsi="Sylfaen" w:cs="Sylfaen"/>
          <w:sz w:val="24"/>
          <w:szCs w:val="24"/>
        </w:rPr>
      </w:pPr>
      <w:r w:rsidRPr="00B834A2">
        <w:rPr>
          <w:rFonts w:ascii="Sylfaen" w:hAnsi="Sylfaen"/>
          <w:b/>
          <w:sz w:val="24"/>
          <w:szCs w:val="24"/>
        </w:rPr>
        <w:t>Միջանկյալ ներլաբորատոր ճշգրտությունը.</w:t>
      </w:r>
      <w:r w:rsidRPr="00B834A2">
        <w:rPr>
          <w:rFonts w:ascii="Sylfaen" w:hAnsi="Sylfaen"/>
          <w:sz w:val="24"/>
          <w:szCs w:val="24"/>
        </w:rPr>
        <w:t xml:space="preserve"> Մեթոդի միջանկյալ ներլաբորատոր ճշգրտությունը գլխավորապես պայմանավորված է նյութի բնութագրերով (մանրացրած/չմանրացրած, կոշտ/բեկուն), ինչպես նա</w:t>
      </w:r>
      <w:r>
        <w:rPr>
          <w:rFonts w:ascii="Sylfaen" w:hAnsi="Sylfaen"/>
          <w:sz w:val="24"/>
          <w:szCs w:val="24"/>
        </w:rPr>
        <w:t>եւ</w:t>
      </w:r>
      <w:r w:rsidRPr="00B834A2">
        <w:rPr>
          <w:rFonts w:ascii="Sylfaen" w:hAnsi="Sylfaen"/>
          <w:sz w:val="24"/>
          <w:szCs w:val="24"/>
        </w:rPr>
        <w:t xml:space="preserve"> դեղաձ</w:t>
      </w:r>
      <w:r>
        <w:rPr>
          <w:rFonts w:ascii="Sylfaen" w:hAnsi="Sylfaen"/>
          <w:sz w:val="24"/>
          <w:szCs w:val="24"/>
        </w:rPr>
        <w:t>եւ</w:t>
      </w:r>
      <w:r w:rsidRPr="00B834A2">
        <w:rPr>
          <w:rFonts w:ascii="Sylfaen" w:hAnsi="Sylfaen"/>
          <w:sz w:val="24"/>
          <w:szCs w:val="24"/>
        </w:rPr>
        <w:t xml:space="preserve">ի </w:t>
      </w:r>
      <w:r w:rsidRPr="00B834A2">
        <w:rPr>
          <w:rFonts w:ascii="Sylfaen" w:hAnsi="Sylfaen"/>
          <w:sz w:val="24"/>
          <w:szCs w:val="24"/>
        </w:rPr>
        <w:lastRenderedPageBreak/>
        <w:t>տեսակով: Սովորաբար չափում են մեկ սերիայի առնվազն երեք ներկայացուցչական նմուշներ: Հարաբերական ստանդարտ շեղումը պետք է լինի Х</w:t>
      </w:r>
      <w:r w:rsidRPr="00B834A2">
        <w:rPr>
          <w:rFonts w:ascii="Sylfaen" w:hAnsi="Sylfaen"/>
          <w:sz w:val="24"/>
          <w:szCs w:val="24"/>
          <w:vertAlign w:val="subscript"/>
        </w:rPr>
        <w:t>50</w:t>
      </w:r>
      <w:r w:rsidRPr="00B834A2">
        <w:rPr>
          <w:rFonts w:ascii="Sylfaen" w:hAnsi="Sylfaen"/>
          <w:sz w:val="24"/>
          <w:szCs w:val="24"/>
        </w:rPr>
        <w:t>-ի համար 10 %-ից պակաս: х</w:t>
      </w:r>
      <w:r w:rsidRPr="00B834A2">
        <w:rPr>
          <w:rFonts w:ascii="Sylfaen" w:hAnsi="Sylfaen"/>
          <w:sz w:val="24"/>
          <w:szCs w:val="24"/>
          <w:vertAlign w:val="subscript"/>
        </w:rPr>
        <w:t>10</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х</w:t>
      </w:r>
      <w:r w:rsidRPr="00B834A2">
        <w:rPr>
          <w:rFonts w:ascii="Sylfaen" w:hAnsi="Sylfaen"/>
          <w:sz w:val="24"/>
          <w:szCs w:val="24"/>
          <w:vertAlign w:val="subscript"/>
        </w:rPr>
        <w:t>90</w:t>
      </w:r>
      <w:r>
        <w:rPr>
          <w:rFonts w:ascii="Sylfaen" w:hAnsi="Sylfaen"/>
          <w:sz w:val="24"/>
          <w:szCs w:val="24"/>
        </w:rPr>
        <w:t xml:space="preserve"> </w:t>
      </w:r>
      <w:r w:rsidRPr="00B834A2">
        <w:rPr>
          <w:rFonts w:ascii="Sylfaen" w:hAnsi="Sylfaen"/>
          <w:sz w:val="24"/>
          <w:szCs w:val="24"/>
        </w:rPr>
        <w:t xml:space="preserve">արժեքների համար հարաբերական ստանդարտ շեղումը պետք է լինի 15 %-ից պակաս: </w:t>
      </w:r>
      <w:r w:rsidRPr="00B834A2">
        <w:rPr>
          <w:rStyle w:val="Bodytext2Italic"/>
          <w:sz w:val="24"/>
          <w:szCs w:val="24"/>
        </w:rPr>
        <w:t>х</w:t>
      </w:r>
      <w:r w:rsidRPr="00B834A2">
        <w:rPr>
          <w:rFonts w:ascii="Sylfaen" w:hAnsi="Sylfaen"/>
          <w:sz w:val="24"/>
          <w:szCs w:val="24"/>
        </w:rPr>
        <w:t xml:space="preserve"> &lt; 10 մկմ-ի համար այդ մեծություններն անհրաժեշտ է կրկնապատկել:</w:t>
      </w:r>
    </w:p>
    <w:p w14:paraId="28F24672" w14:textId="77777777" w:rsidR="00B834A2" w:rsidRPr="00B834A2" w:rsidRDefault="00B834A2" w:rsidP="004E1531">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9pt"/>
          <w:sz w:val="24"/>
          <w:szCs w:val="24"/>
        </w:rPr>
        <w:t xml:space="preserve">Նախազգուշական միջոցները. </w:t>
      </w:r>
      <w:r w:rsidRPr="00B834A2">
        <w:rPr>
          <w:rFonts w:ascii="Sylfaen" w:hAnsi="Sylfaen"/>
          <w:sz w:val="24"/>
          <w:szCs w:val="24"/>
        </w:rPr>
        <w:t>Հեղուկ դիսպերսիաների չափումներ անցկացնելիս անհրաժեշտ է խուսափել օդի պղպջակների առաջացումից, հեղուկի գոլորշացումից կամ դիսպերսիայի այլ անհամասեռություններից: Չոր դիսպերսիաների հետ աշխատելիս անհրաժեշտ է խուսափել դիսպերգատորից մասնիկների անհամաչափ հոսքից կամ տուբուլենտ օդային հոսքից: Այդ էֆեկտները կարող են հանգեցնել ըստ չափի մասնիկները բաշխելու վերաբերյալ ոչ հավաստի արդյունքներ ստանալուն:</w:t>
      </w:r>
    </w:p>
    <w:p w14:paraId="71855276" w14:textId="77777777" w:rsidR="00B834A2" w:rsidRPr="00B834A2" w:rsidRDefault="00000000" w:rsidP="00B834A2">
      <w:pPr>
        <w:spacing w:after="160" w:line="360" w:lineRule="auto"/>
      </w:pPr>
      <w:r>
        <w:rPr>
          <w:noProof/>
          <w:lang w:val="en-US" w:eastAsia="en-US" w:bidi="ar-SA"/>
        </w:rPr>
        <w:pict w14:anchorId="2A067845">
          <v:group id="_x0000_s1400" style="position:absolute;margin-left:71.6pt;margin-top:40.85pt;width:235.95pt;height:181.65pt;z-index:251935744" coordorigin="2850,4765" coordsize="4719,3633">
            <v:rect id="_x0000_s1215" style="position:absolute;left:2850;top:4765;width:540;height:2745" stroked="f">
              <v:textbox style="layout-flow:vertical;mso-layout-flow-alt:bottom-to-top;mso-next-textbox:#_x0000_s1215">
                <w:txbxContent>
                  <w:p w14:paraId="51CEBBEE" w14:textId="77777777" w:rsidR="008D6E8B" w:rsidRPr="004E1531" w:rsidRDefault="008D6E8B" w:rsidP="00B834A2">
                    <w:pPr>
                      <w:jc w:val="center"/>
                      <w:rPr>
                        <w:sz w:val="16"/>
                        <w:szCs w:val="20"/>
                      </w:rPr>
                    </w:pPr>
                    <w:r w:rsidRPr="004E1531">
                      <w:rPr>
                        <w:sz w:val="16"/>
                      </w:rPr>
                      <w:t>Ծավալային մասը, % Q3(х)</w:t>
                    </w:r>
                  </w:p>
                </w:txbxContent>
              </v:textbox>
            </v:rect>
            <v:rect id="_x0000_s1216" style="position:absolute;left:4875;top:8006;width:2694;height:392" stroked="f">
              <v:textbox style="mso-next-textbox:#_x0000_s1216">
                <w:txbxContent>
                  <w:p w14:paraId="1139F0EE" w14:textId="77777777" w:rsidR="008D6E8B" w:rsidRPr="004E1531" w:rsidRDefault="008D6E8B" w:rsidP="00B834A2">
                    <w:pPr>
                      <w:jc w:val="center"/>
                      <w:rPr>
                        <w:sz w:val="16"/>
                        <w:szCs w:val="16"/>
                      </w:rPr>
                    </w:pPr>
                    <w:r w:rsidRPr="004E1531">
                      <w:rPr>
                        <w:sz w:val="16"/>
                        <w:szCs w:val="16"/>
                      </w:rPr>
                      <w:t xml:space="preserve">Մասնիկների չափը </w:t>
                    </w:r>
                    <w:r w:rsidRPr="004E1531">
                      <w:rPr>
                        <w:i/>
                        <w:sz w:val="16"/>
                        <w:szCs w:val="16"/>
                      </w:rPr>
                      <w:t>х, մկմ</w:t>
                    </w:r>
                  </w:p>
                </w:txbxContent>
              </v:textbox>
            </v:rect>
          </v:group>
        </w:pict>
      </w:r>
      <w:r w:rsidR="00B834A2" w:rsidRPr="00B834A2">
        <w:rPr>
          <w:noProof/>
          <w:lang w:val="en-US" w:eastAsia="en-US" w:bidi="ar-SA"/>
        </w:rPr>
        <w:drawing>
          <wp:inline distT="0" distB="0" distL="0" distR="0" wp14:anchorId="5540BD71" wp14:editId="2FB071BE">
            <wp:extent cx="5760085" cy="2860697"/>
            <wp:effectExtent l="19050" t="0" r="0" b="0"/>
            <wp:docPr id="16" name="Picture 1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5"/>
                    <pic:cNvPicPr>
                      <a:picLocks noChangeAspect="1" noChangeArrowheads="1"/>
                    </pic:cNvPicPr>
                  </pic:nvPicPr>
                  <pic:blipFill>
                    <a:blip r:embed="rId37" cstate="print"/>
                    <a:srcRect/>
                    <a:stretch>
                      <a:fillRect/>
                    </a:stretch>
                  </pic:blipFill>
                  <pic:spPr bwMode="auto">
                    <a:xfrm>
                      <a:off x="0" y="0"/>
                      <a:ext cx="5760085" cy="2860697"/>
                    </a:xfrm>
                    <a:prstGeom prst="rect">
                      <a:avLst/>
                    </a:prstGeom>
                    <a:noFill/>
                    <a:ln w="9525">
                      <a:noFill/>
                      <a:miter lim="800000"/>
                      <a:headEnd/>
                      <a:tailEnd/>
                    </a:ln>
                  </pic:spPr>
                </pic:pic>
              </a:graphicData>
            </a:graphic>
          </wp:inline>
        </w:drawing>
      </w:r>
    </w:p>
    <w:p w14:paraId="22B96AE9" w14:textId="77777777" w:rsidR="00B834A2" w:rsidRPr="004E1531" w:rsidRDefault="00B834A2" w:rsidP="004E1531">
      <w:pPr>
        <w:pStyle w:val="Picturecaption130"/>
        <w:shd w:val="clear" w:color="auto" w:fill="auto"/>
        <w:spacing w:after="160" w:line="360" w:lineRule="auto"/>
        <w:ind w:firstLine="567"/>
        <w:rPr>
          <w:rFonts w:ascii="Sylfaen" w:hAnsi="Sylfaen" w:cs="Sylfaen"/>
          <w:i w:val="0"/>
          <w:szCs w:val="24"/>
        </w:rPr>
      </w:pPr>
      <w:r w:rsidRPr="004E1531">
        <w:rPr>
          <w:rStyle w:val="Picturecaption13NotItalic"/>
          <w:rFonts w:ascii="Sylfaen" w:hAnsi="Sylfaen"/>
          <w:szCs w:val="24"/>
        </w:rPr>
        <w:t xml:space="preserve">Նկար 2.1.9.26.-2 </w:t>
      </w:r>
      <w:r w:rsidR="009217DE">
        <w:rPr>
          <w:rFonts w:ascii="Sylfaen" w:hAnsi="Sylfaen"/>
          <w:szCs w:val="24"/>
        </w:rPr>
        <w:t>-</w:t>
      </w:r>
      <w:r w:rsidRPr="004E1531">
        <w:rPr>
          <w:rFonts w:ascii="Sylfaen" w:hAnsi="Sylfaen"/>
          <w:szCs w:val="24"/>
        </w:rPr>
        <w:t xml:space="preserve"> Ըստ չափի մասնիկների ինտեգրալային ծավալային բաշխումը: </w:t>
      </w:r>
      <w:r w:rsidRPr="004E1531">
        <w:rPr>
          <w:rFonts w:ascii="Sylfaen" w:hAnsi="Sylfaen"/>
          <w:i w:val="0"/>
          <w:szCs w:val="24"/>
        </w:rPr>
        <w:t>х</w:t>
      </w:r>
      <w:r w:rsidR="002E52D1">
        <w:rPr>
          <w:rFonts w:ascii="Sylfaen" w:hAnsi="Sylfaen"/>
          <w:szCs w:val="24"/>
        </w:rPr>
        <w:t>-</w:t>
      </w:r>
      <w:r w:rsidRPr="004E1531">
        <w:rPr>
          <w:rFonts w:ascii="Sylfaen" w:hAnsi="Sylfaen"/>
          <w:szCs w:val="24"/>
        </w:rPr>
        <w:t>ը մասնիկների չափն է, որը որոշվում է որպես համարժեք գնդի ծավալի տրամագիծ.</w:t>
      </w:r>
      <w:r w:rsidRPr="004E1531">
        <w:rPr>
          <w:rFonts w:ascii="Sylfaen" w:hAnsi="Sylfaen"/>
          <w:i w:val="0"/>
          <w:szCs w:val="24"/>
        </w:rPr>
        <w:t xml:space="preserve"> Q3(х)-ը</w:t>
      </w:r>
      <w:r w:rsidRPr="004E1531">
        <w:rPr>
          <w:rStyle w:val="Picturecaption13NotItalic"/>
          <w:rFonts w:ascii="Sylfaen" w:hAnsi="Sylfaen"/>
          <w:szCs w:val="24"/>
        </w:rPr>
        <w:t xml:space="preserve">՝ </w:t>
      </w:r>
      <w:r w:rsidRPr="004E1531">
        <w:rPr>
          <w:rFonts w:ascii="Sylfaen" w:hAnsi="Sylfaen"/>
          <w:i w:val="0"/>
          <w:szCs w:val="24"/>
        </w:rPr>
        <w:t>х չափի եւ դրանից պակաս մասնիկների ծավալային մասը. x</w:t>
      </w:r>
      <w:r w:rsidRPr="004E1531">
        <w:rPr>
          <w:rFonts w:ascii="Sylfaen" w:hAnsi="Sylfaen"/>
          <w:i w:val="0"/>
          <w:szCs w:val="24"/>
          <w:vertAlign w:val="subscript"/>
        </w:rPr>
        <w:t>10</w:t>
      </w:r>
      <w:r w:rsidRPr="004E1531">
        <w:rPr>
          <w:rFonts w:ascii="Sylfaen" w:hAnsi="Sylfaen"/>
          <w:i w:val="0"/>
          <w:szCs w:val="24"/>
        </w:rPr>
        <w:t>, х</w:t>
      </w:r>
      <w:r w:rsidRPr="004E1531">
        <w:rPr>
          <w:rFonts w:ascii="Sylfaen" w:hAnsi="Sylfaen"/>
          <w:i w:val="0"/>
          <w:szCs w:val="24"/>
          <w:vertAlign w:val="subscript"/>
        </w:rPr>
        <w:t>50</w:t>
      </w:r>
      <w:r w:rsidRPr="004E1531">
        <w:rPr>
          <w:rFonts w:ascii="Sylfaen" w:hAnsi="Sylfaen"/>
          <w:i w:val="0"/>
          <w:szCs w:val="24"/>
        </w:rPr>
        <w:t>, Х</w:t>
      </w:r>
      <w:r w:rsidRPr="004E1531">
        <w:rPr>
          <w:rFonts w:ascii="Sylfaen" w:hAnsi="Sylfaen"/>
          <w:i w:val="0"/>
          <w:szCs w:val="24"/>
          <w:vertAlign w:val="subscript"/>
        </w:rPr>
        <w:t>90</w:t>
      </w:r>
      <w:r w:rsidRPr="004E1531">
        <w:rPr>
          <w:rFonts w:ascii="Sylfaen" w:hAnsi="Sylfaen"/>
          <w:i w:val="0"/>
          <w:szCs w:val="24"/>
        </w:rPr>
        <w:t>-ը՝ մասնիկների չափը, որը համապատասխանում է համապատասխանաբար 10%, 50 % եւ 90 % ծավալային մասին:</w:t>
      </w:r>
    </w:p>
    <w:p w14:paraId="3E4731CE" w14:textId="77777777" w:rsidR="006B3C70" w:rsidRDefault="006B3C70">
      <w:pPr>
        <w:rPr>
          <w:rStyle w:val="Bodytext29pt"/>
          <w:b/>
          <w:sz w:val="20"/>
          <w:szCs w:val="24"/>
        </w:rPr>
      </w:pPr>
      <w:r>
        <w:rPr>
          <w:rStyle w:val="Bodytext29pt"/>
          <w:b/>
          <w:sz w:val="20"/>
          <w:szCs w:val="24"/>
        </w:rPr>
        <w:br w:type="page"/>
      </w:r>
    </w:p>
    <w:p w14:paraId="4C4E786A" w14:textId="77777777" w:rsidR="00B834A2" w:rsidRPr="00A859E3" w:rsidRDefault="00B834A2" w:rsidP="00B834A2">
      <w:pPr>
        <w:pStyle w:val="Bodytext20"/>
        <w:shd w:val="clear" w:color="auto" w:fill="auto"/>
        <w:spacing w:before="0" w:after="160" w:line="360" w:lineRule="auto"/>
        <w:jc w:val="right"/>
        <w:rPr>
          <w:rStyle w:val="Bodytext29pt"/>
          <w:b/>
          <w:sz w:val="20"/>
          <w:szCs w:val="24"/>
        </w:rPr>
      </w:pPr>
      <w:r w:rsidRPr="007B5F99">
        <w:rPr>
          <w:rStyle w:val="Bodytext29pt"/>
          <w:b/>
          <w:sz w:val="20"/>
          <w:szCs w:val="24"/>
        </w:rPr>
        <w:lastRenderedPageBreak/>
        <w:t>201090027-2022</w:t>
      </w:r>
    </w:p>
    <w:p w14:paraId="796E4668" w14:textId="77777777" w:rsidR="007B5F99" w:rsidRPr="00A859E3" w:rsidRDefault="007B5F99" w:rsidP="00B834A2">
      <w:pPr>
        <w:pStyle w:val="Bodytext20"/>
        <w:shd w:val="clear" w:color="auto" w:fill="auto"/>
        <w:spacing w:before="0" w:after="160" w:line="360" w:lineRule="auto"/>
        <w:jc w:val="right"/>
        <w:rPr>
          <w:rFonts w:ascii="Sylfaen" w:hAnsi="Sylfaen" w:cs="Sylfaen"/>
          <w:b/>
          <w:sz w:val="20"/>
          <w:szCs w:val="24"/>
        </w:rPr>
      </w:pPr>
    </w:p>
    <w:p w14:paraId="16900410" w14:textId="77777777" w:rsidR="00B834A2" w:rsidRPr="00176A1B" w:rsidRDefault="00B834A2" w:rsidP="00176A1B">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176A1B">
        <w:rPr>
          <w:rStyle w:val="Bodytext29pt"/>
          <w:b/>
          <w:sz w:val="24"/>
          <w:szCs w:val="24"/>
        </w:rPr>
        <w:t>2.1.9.27.</w:t>
      </w:r>
      <w:r w:rsidR="00176A1B" w:rsidRPr="00097504">
        <w:rPr>
          <w:rStyle w:val="Bodytext29pt"/>
          <w:b/>
          <w:sz w:val="24"/>
          <w:szCs w:val="24"/>
        </w:rPr>
        <w:tab/>
      </w:r>
      <w:r w:rsidRPr="00176A1B">
        <w:rPr>
          <w:rStyle w:val="Bodytext29pt"/>
          <w:b/>
          <w:sz w:val="24"/>
          <w:szCs w:val="24"/>
        </w:rPr>
        <w:t xml:space="preserve">Աչքերի համար նախատեսված քսադեղերում մետաղական մասնիկները </w:t>
      </w:r>
    </w:p>
    <w:p w14:paraId="2DF88C17" w14:textId="77777777" w:rsidR="00B834A2" w:rsidRPr="00176A1B" w:rsidRDefault="00B834A2" w:rsidP="00176A1B">
      <w:pPr>
        <w:pStyle w:val="Bodytext20"/>
        <w:shd w:val="clear" w:color="auto" w:fill="auto"/>
        <w:spacing w:before="0" w:after="160" w:line="360" w:lineRule="auto"/>
        <w:ind w:firstLine="567"/>
        <w:jc w:val="both"/>
        <w:rPr>
          <w:rFonts w:ascii="Sylfaen" w:hAnsi="Sylfaen" w:cs="Sylfaen"/>
          <w:spacing w:val="-6"/>
          <w:sz w:val="24"/>
          <w:szCs w:val="24"/>
        </w:rPr>
      </w:pPr>
      <w:r w:rsidRPr="00176A1B">
        <w:rPr>
          <w:rFonts w:ascii="Sylfaen" w:hAnsi="Sylfaen"/>
          <w:spacing w:val="-6"/>
          <w:sz w:val="24"/>
          <w:szCs w:val="24"/>
        </w:rPr>
        <w:t xml:space="preserve">Տվյալ փորձարկումն անցկացնում են աչքերի համար նախատեսված այն քսադեղերում, որոնց փաթեթվածքները մետաղական պարկուճներ (տյուբիկներ) են: </w:t>
      </w:r>
    </w:p>
    <w:p w14:paraId="332323A0"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9pt"/>
          <w:sz w:val="24"/>
          <w:szCs w:val="24"/>
        </w:rPr>
        <w:t xml:space="preserve">Մեթոդիկան. </w:t>
      </w:r>
      <w:r w:rsidRPr="00B834A2">
        <w:rPr>
          <w:rFonts w:ascii="Sylfaen" w:hAnsi="Sylfaen"/>
          <w:sz w:val="24"/>
          <w:szCs w:val="24"/>
        </w:rPr>
        <w:t xml:space="preserve">Փորձարկումն անկացնում են 10 պարկուճով: 10 պարկուճներից յուրաքանչյուրի պարունակությունը (քսադեղն առավելագույնս ճզմելով հանում են պարկուճներից) տեղադրում են առանձին, մաքուր, առանց քերծվածքների 60 մմ տրամագծով հարթ հատակով Պետրի բաժակների մեջ: Պետրի բաժակները փակում են կափարիչներով </w:t>
      </w:r>
      <w:r>
        <w:rPr>
          <w:rFonts w:ascii="Sylfaen" w:hAnsi="Sylfaen"/>
          <w:sz w:val="24"/>
          <w:szCs w:val="24"/>
        </w:rPr>
        <w:t>եւ</w:t>
      </w:r>
      <w:r w:rsidRPr="00B834A2">
        <w:rPr>
          <w:rFonts w:ascii="Sylfaen" w:hAnsi="Sylfaen"/>
          <w:sz w:val="24"/>
          <w:szCs w:val="24"/>
        </w:rPr>
        <w:t xml:space="preserve"> դրանց պարունակությունը տաքացնում են մոտավորապես 85 °С պայմաններում՝ մինչ</w:t>
      </w:r>
      <w:r>
        <w:rPr>
          <w:rFonts w:ascii="Sylfaen" w:hAnsi="Sylfaen"/>
          <w:sz w:val="24"/>
          <w:szCs w:val="24"/>
        </w:rPr>
        <w:t>եւ</w:t>
      </w:r>
      <w:r w:rsidRPr="00B834A2">
        <w:rPr>
          <w:rFonts w:ascii="Sylfaen" w:hAnsi="Sylfaen"/>
          <w:sz w:val="24"/>
          <w:szCs w:val="24"/>
        </w:rPr>
        <w:t xml:space="preserve"> քսադեղի հիմքի ամբողջական հալումը: Քսադեղը սառեցնում են սենյակային ջերմաստիճանի պայմաններում մինչ</w:t>
      </w:r>
      <w:r>
        <w:rPr>
          <w:rFonts w:ascii="Sylfaen" w:hAnsi="Sylfaen"/>
          <w:sz w:val="24"/>
          <w:szCs w:val="24"/>
        </w:rPr>
        <w:t>եւ</w:t>
      </w:r>
      <w:r w:rsidRPr="00B834A2">
        <w:rPr>
          <w:rFonts w:ascii="Sylfaen" w:hAnsi="Sylfaen"/>
          <w:sz w:val="24"/>
          <w:szCs w:val="24"/>
        </w:rPr>
        <w:t xml:space="preserve"> պնդանալը՝ խուսափելով խառնելուց </w:t>
      </w:r>
      <w:r>
        <w:rPr>
          <w:rFonts w:ascii="Sylfaen" w:hAnsi="Sylfaen"/>
          <w:sz w:val="24"/>
          <w:szCs w:val="24"/>
        </w:rPr>
        <w:t>եւ</w:t>
      </w:r>
      <w:r w:rsidRPr="00B834A2">
        <w:rPr>
          <w:rFonts w:ascii="Sylfaen" w:hAnsi="Sylfaen"/>
          <w:sz w:val="24"/>
          <w:szCs w:val="24"/>
        </w:rPr>
        <w:t xml:space="preserve"> թափահարելուց:</w:t>
      </w:r>
    </w:p>
    <w:p w14:paraId="661A7FB9" w14:textId="77777777" w:rsidR="00B834A2" w:rsidRPr="00B834A2" w:rsidRDefault="00B834A2" w:rsidP="00176A1B">
      <w:pPr>
        <w:spacing w:after="160" w:line="360" w:lineRule="auto"/>
        <w:ind w:firstLine="567"/>
        <w:jc w:val="both"/>
      </w:pPr>
      <w:r w:rsidRPr="00B834A2">
        <w:t xml:space="preserve">Փորձարկումն անցկացնում են օպտիկական մանրադիտման մեթոդով՝ </w:t>
      </w:r>
      <w:r w:rsidRPr="00B834A2">
        <w:rPr>
          <w:i/>
        </w:rPr>
        <w:t>«2.1.9.13 Օպտիկական մանրադիտում»</w:t>
      </w:r>
      <w:r w:rsidRPr="00B834A2">
        <w:t xml:space="preserve"> ընդհանուր դեղագրքային հոդվածին համապատասխան՝ հետազոտելով օբյեկտը տեսողական կամ համակարգչային ապահովման օգնությամբ: Պետրի բաժակների վրայից հանում են կափարիչները </w:t>
      </w:r>
      <w:r>
        <w:t>եւ</w:t>
      </w:r>
      <w:r w:rsidRPr="00B834A2">
        <w:t xml:space="preserve"> դրանցից յուրաքանչյուրը շրջում են մանրադիտակի տակդիրի վրա՝ 30х ոչ պակաս խոշորացմամբ </w:t>
      </w:r>
      <w:r>
        <w:t>եւ</w:t>
      </w:r>
      <w:r w:rsidRPr="00B834A2">
        <w:t xml:space="preserve"> միկրոմետրի օկուլյարի սկավառակով, որը ստուգաճշտվել է օգտագործվող խոշորացման մասով: Որպես սովորաբար կիրառվող լուսավորման լրացում՝ օգտագործում են այն լույսի աղբյուրը, որն ուղղված է քսադեղի նմուշի վեր</w:t>
      </w:r>
      <w:r>
        <w:t>եւ</w:t>
      </w:r>
      <w:r w:rsidRPr="00B834A2">
        <w:t>ից՝ մոտավորապես 45° անկյան տակ: Հետազոտում են Պետրի յուրաքանչյուր բաժակի հատակի ամբողջ մակերեսը մետաղական մասնիկների առկայության մասով, որոնք կարող են հայտնաբերվել մետաղական փայլով՝ լրացուցիչ աղբյուրից լույսի ինտենսիվությունը փոփոխելիս: Հաշվարկում են այն մետաղական մասնիկների թիվը, որոնց չափը չափման ցանկացած առանցքում կազմում է 50 մկմ կամ ավելի:</w:t>
      </w:r>
    </w:p>
    <w:p w14:paraId="21A2CACE"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Աչքերի համար նախատեսված քսադեղը համապատասխանում է պահանջներին, եթե մետաղական մասնիկների ընդհանուր թիվը, որոնց չափը կազմում է 50 մկմ կամ ավելի, բոլոր 10 պարկուճներում չի գերազանցում 50-ը, </w:t>
      </w:r>
      <w:r>
        <w:rPr>
          <w:rFonts w:ascii="Sylfaen" w:hAnsi="Sylfaen"/>
          <w:sz w:val="24"/>
          <w:szCs w:val="24"/>
        </w:rPr>
        <w:t>եւ</w:t>
      </w:r>
      <w:r w:rsidRPr="00B834A2">
        <w:rPr>
          <w:rFonts w:ascii="Sylfaen" w:hAnsi="Sylfaen"/>
          <w:sz w:val="24"/>
          <w:szCs w:val="24"/>
        </w:rPr>
        <w:t xml:space="preserve"> եթե ոչ ավելի, քան 1 պարկուճում կան նշված չափի 8-ից ավելի մասնիկներ: Եթե տվյալ պահանջը չի կատարվում, հետազոտությունը կրկնում են 20 լրացուցիչ պարկուճներում:</w:t>
      </w:r>
    </w:p>
    <w:p w14:paraId="7D4AF834"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Աչքերի համար նախատեսված քսադեղը համապատասխանում է պահանջներին, եթե մետաղական մասնիկների ընդհանուր թիվը, որոնց չափը կազմում է 50 մկմ կամ ավելի, բոլոր 30 պարկուճներում չի գերազանցում 150-ը, </w:t>
      </w:r>
      <w:r>
        <w:rPr>
          <w:rFonts w:ascii="Sylfaen" w:hAnsi="Sylfaen"/>
          <w:sz w:val="24"/>
          <w:szCs w:val="24"/>
        </w:rPr>
        <w:t>եւ</w:t>
      </w:r>
      <w:r w:rsidRPr="00B834A2">
        <w:rPr>
          <w:rFonts w:ascii="Sylfaen" w:hAnsi="Sylfaen"/>
          <w:sz w:val="24"/>
          <w:szCs w:val="24"/>
        </w:rPr>
        <w:t xml:space="preserve"> եթե ոչ ավելի, քան 3 պարկուճներում կան նշված չափի 8-ից ավելի մասնիկներ (պարկուճներից յուրաքանչյուրում):</w:t>
      </w:r>
    </w:p>
    <w:p w14:paraId="4020EC02"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Չի թույլատրվում 90 մկմ-ից ավելի չափով մասնիկների առկայություն:</w:t>
      </w:r>
    </w:p>
    <w:p w14:paraId="4A0AF226" w14:textId="77777777" w:rsidR="00B834A2" w:rsidRPr="00B834A2" w:rsidRDefault="00B834A2" w:rsidP="00B834A2">
      <w:pPr>
        <w:pStyle w:val="Bodytext20"/>
        <w:shd w:val="clear" w:color="auto" w:fill="auto"/>
        <w:spacing w:before="0" w:after="160" w:line="360" w:lineRule="auto"/>
        <w:jc w:val="right"/>
        <w:rPr>
          <w:rStyle w:val="Bodytext29pt"/>
          <w:sz w:val="24"/>
          <w:szCs w:val="24"/>
        </w:rPr>
      </w:pPr>
    </w:p>
    <w:p w14:paraId="20F88B73" w14:textId="77777777" w:rsidR="00B834A2" w:rsidRPr="00A859E3" w:rsidRDefault="00B834A2" w:rsidP="00176A1B">
      <w:pPr>
        <w:pStyle w:val="Bodytext20"/>
        <w:shd w:val="clear" w:color="auto" w:fill="auto"/>
        <w:spacing w:before="0" w:after="160" w:line="360" w:lineRule="auto"/>
        <w:ind w:firstLine="567"/>
        <w:jc w:val="right"/>
        <w:rPr>
          <w:rStyle w:val="Bodytext29pt"/>
          <w:b/>
          <w:sz w:val="20"/>
          <w:szCs w:val="24"/>
        </w:rPr>
      </w:pPr>
      <w:r w:rsidRPr="007B5F99">
        <w:rPr>
          <w:rStyle w:val="Bodytext29pt"/>
          <w:b/>
          <w:sz w:val="20"/>
          <w:szCs w:val="24"/>
        </w:rPr>
        <w:t>201090028-2022</w:t>
      </w:r>
    </w:p>
    <w:p w14:paraId="7A0A86FA" w14:textId="77777777" w:rsidR="007B5F99" w:rsidRPr="00A859E3" w:rsidRDefault="007B5F99" w:rsidP="00176A1B">
      <w:pPr>
        <w:pStyle w:val="Bodytext20"/>
        <w:shd w:val="clear" w:color="auto" w:fill="auto"/>
        <w:spacing w:before="0" w:after="160" w:line="360" w:lineRule="auto"/>
        <w:ind w:firstLine="567"/>
        <w:jc w:val="right"/>
        <w:rPr>
          <w:rFonts w:ascii="Sylfaen" w:hAnsi="Sylfaen" w:cs="Sylfaen"/>
          <w:b/>
          <w:sz w:val="20"/>
          <w:szCs w:val="24"/>
        </w:rPr>
      </w:pPr>
    </w:p>
    <w:p w14:paraId="00E91A9D" w14:textId="77777777" w:rsidR="00B834A2" w:rsidRPr="00176A1B" w:rsidRDefault="00B834A2" w:rsidP="006035D0">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176A1B">
        <w:rPr>
          <w:rStyle w:val="Bodytext29pt"/>
          <w:b/>
          <w:sz w:val="24"/>
          <w:szCs w:val="24"/>
        </w:rPr>
        <w:t>2.1.9.28.</w:t>
      </w:r>
      <w:r w:rsidR="007B5F99" w:rsidRPr="00A859E3">
        <w:rPr>
          <w:rStyle w:val="Bodytext29pt"/>
          <w:b/>
          <w:sz w:val="24"/>
          <w:szCs w:val="24"/>
        </w:rPr>
        <w:tab/>
      </w:r>
      <w:r w:rsidRPr="00176A1B">
        <w:rPr>
          <w:rStyle w:val="Bodytext29pt"/>
          <w:b/>
          <w:sz w:val="24"/>
          <w:szCs w:val="24"/>
        </w:rPr>
        <w:t>Անասնաբուժական թիթեղների, անասնաբուժական քուղերի եւ ինհալյացիաների համար անասնաբուժական կոշտ դեղաձեւերի տեսքով դեղապատրաստուկների դյուրավառությունը եւ մարմրման բնույթը</w:t>
      </w:r>
    </w:p>
    <w:p w14:paraId="09AE9AD5" w14:textId="77777777" w:rsidR="00B834A2" w:rsidRPr="006B7DC5" w:rsidRDefault="00B834A2" w:rsidP="00176A1B">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Սույն ընդհանուր դեղագրքային հոդվածը նախատեսված է անասնաբուժական թիթեղների, անասնաբուժական քուղերի </w:t>
      </w:r>
      <w:r>
        <w:rPr>
          <w:rFonts w:ascii="Sylfaen" w:hAnsi="Sylfaen"/>
          <w:sz w:val="24"/>
          <w:szCs w:val="24"/>
        </w:rPr>
        <w:t>եւ</w:t>
      </w:r>
      <w:r w:rsidRPr="00B834A2">
        <w:rPr>
          <w:rFonts w:ascii="Sylfaen" w:hAnsi="Sylfaen"/>
          <w:sz w:val="24"/>
          <w:szCs w:val="24"/>
        </w:rPr>
        <w:t xml:space="preserve"> ինհալյացիաների համար անասնաբուժական կոշտ դեղաձ</w:t>
      </w:r>
      <w:r>
        <w:rPr>
          <w:rFonts w:ascii="Sylfaen" w:hAnsi="Sylfaen"/>
          <w:sz w:val="24"/>
          <w:szCs w:val="24"/>
        </w:rPr>
        <w:t>եւ</w:t>
      </w:r>
      <w:r w:rsidRPr="00B834A2">
        <w:rPr>
          <w:rFonts w:ascii="Sylfaen" w:hAnsi="Sylfaen"/>
          <w:sz w:val="24"/>
          <w:szCs w:val="24"/>
        </w:rPr>
        <w:t xml:space="preserve">երի տեսքով (փոշիներ, դեղահաբեր) այն դեղապատրաստուկների դյուրավառությունը </w:t>
      </w:r>
      <w:r>
        <w:rPr>
          <w:rFonts w:ascii="Sylfaen" w:hAnsi="Sylfaen"/>
          <w:sz w:val="24"/>
          <w:szCs w:val="24"/>
        </w:rPr>
        <w:t>եւ</w:t>
      </w:r>
      <w:r w:rsidRPr="00B834A2">
        <w:rPr>
          <w:rFonts w:ascii="Sylfaen" w:hAnsi="Sylfaen"/>
          <w:sz w:val="24"/>
          <w:szCs w:val="24"/>
        </w:rPr>
        <w:t xml:space="preserve"> մարմրման բնույթը գնահատելու համար, որոնք կիրառվում են աերոզոլի տեսքով (ջերմային գոլորշացման ժամանակ) կամ օժանդակ նյութերի մարմրման պրոցեսի ընթացքում բարձր ջերմաստիճանի ազդեցության տակ ազդող նյութի (նյութերի) ջերմային ցնդեցման միջոցով:</w:t>
      </w:r>
    </w:p>
    <w:p w14:paraId="0A768DCA" w14:textId="77777777" w:rsidR="00063A76" w:rsidRPr="006B7DC5" w:rsidRDefault="00063A76" w:rsidP="00176A1B">
      <w:pPr>
        <w:pStyle w:val="Bodytext20"/>
        <w:shd w:val="clear" w:color="auto" w:fill="auto"/>
        <w:spacing w:before="0" w:after="160" w:line="360" w:lineRule="auto"/>
        <w:ind w:firstLine="567"/>
        <w:jc w:val="both"/>
        <w:rPr>
          <w:rFonts w:ascii="Sylfaen" w:hAnsi="Sylfaen" w:cs="Sylfaen"/>
          <w:sz w:val="24"/>
          <w:szCs w:val="24"/>
        </w:rPr>
      </w:pPr>
    </w:p>
    <w:p w14:paraId="012A240A"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Տվյալ դեղաձ</w:t>
      </w:r>
      <w:r>
        <w:rPr>
          <w:rFonts w:ascii="Sylfaen" w:hAnsi="Sylfaen"/>
          <w:sz w:val="24"/>
          <w:szCs w:val="24"/>
        </w:rPr>
        <w:t>եւ</w:t>
      </w:r>
      <w:r w:rsidRPr="00B834A2">
        <w:rPr>
          <w:rFonts w:ascii="Sylfaen" w:hAnsi="Sylfaen"/>
          <w:sz w:val="24"/>
          <w:szCs w:val="24"/>
        </w:rPr>
        <w:t>երի դեղապատրաստուկներում որպես օժանդակ նյութեր օգտագործում են ջերմային գոլորշացման կամ ջերմային ցնդեցման համար հիմքը, օքսիդացման (մարմրման) ռեակցիա հրահրելու համար օքսիդիչները, ինչպես նա</w:t>
      </w:r>
      <w:r>
        <w:rPr>
          <w:rFonts w:ascii="Sylfaen" w:hAnsi="Sylfaen"/>
          <w:sz w:val="24"/>
          <w:szCs w:val="24"/>
        </w:rPr>
        <w:t>եւ</w:t>
      </w:r>
      <w:r w:rsidRPr="00B834A2">
        <w:rPr>
          <w:rFonts w:ascii="Sylfaen" w:hAnsi="Sylfaen"/>
          <w:sz w:val="24"/>
          <w:szCs w:val="24"/>
        </w:rPr>
        <w:t xml:space="preserve"> բոցավառումը կանխելու համար բոցամարիչները:</w:t>
      </w:r>
    </w:p>
    <w:p w14:paraId="48B53E74"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Դյուրավառությունը բարձր ջերմաստիճանի աղբյուրի ազդեցությամբ դեղաձ</w:t>
      </w:r>
      <w:r>
        <w:rPr>
          <w:rFonts w:ascii="Sylfaen" w:hAnsi="Sylfaen"/>
          <w:sz w:val="24"/>
          <w:szCs w:val="24"/>
        </w:rPr>
        <w:t>եւ</w:t>
      </w:r>
      <w:r w:rsidRPr="00B834A2">
        <w:rPr>
          <w:rFonts w:ascii="Sylfaen" w:hAnsi="Sylfaen"/>
          <w:sz w:val="24"/>
          <w:szCs w:val="24"/>
        </w:rPr>
        <w:t>ի մարմրման պրոցեսի հրահրումը, ինչպես նա</w:t>
      </w:r>
      <w:r>
        <w:rPr>
          <w:rFonts w:ascii="Sylfaen" w:hAnsi="Sylfaen"/>
          <w:sz w:val="24"/>
          <w:szCs w:val="24"/>
        </w:rPr>
        <w:t>եւ</w:t>
      </w:r>
      <w:r w:rsidRPr="00B834A2">
        <w:rPr>
          <w:rFonts w:ascii="Sylfaen" w:hAnsi="Sylfaen"/>
          <w:sz w:val="24"/>
          <w:szCs w:val="24"/>
        </w:rPr>
        <w:t xml:space="preserve"> բարձր ջերմաստիճանի աղբյուրի ազդեցությունն սկսելուց մինչ</w:t>
      </w:r>
      <w:r>
        <w:rPr>
          <w:rFonts w:ascii="Sylfaen" w:hAnsi="Sylfaen"/>
          <w:sz w:val="24"/>
          <w:szCs w:val="24"/>
        </w:rPr>
        <w:t>եւ</w:t>
      </w:r>
      <w:r w:rsidRPr="00B834A2">
        <w:rPr>
          <w:rFonts w:ascii="Sylfaen" w:hAnsi="Sylfaen"/>
          <w:sz w:val="24"/>
          <w:szCs w:val="24"/>
        </w:rPr>
        <w:t xml:space="preserve"> մարման պրոցեսն սկսելու ժամանակի միջակայքի որոշումն է:</w:t>
      </w:r>
    </w:p>
    <w:p w14:paraId="6C29CDC8"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Մարմրումն այրման տեսակներից մեկն է, որը բնութագրվում է բոցի բացակայությամբ </w:t>
      </w:r>
      <w:r>
        <w:rPr>
          <w:rFonts w:ascii="Sylfaen" w:hAnsi="Sylfaen"/>
          <w:sz w:val="24"/>
          <w:szCs w:val="24"/>
        </w:rPr>
        <w:t>եւ</w:t>
      </w:r>
      <w:r w:rsidRPr="00B834A2">
        <w:rPr>
          <w:rFonts w:ascii="Sylfaen" w:hAnsi="Sylfaen"/>
          <w:sz w:val="24"/>
          <w:szCs w:val="24"/>
        </w:rPr>
        <w:t xml:space="preserve"> օքսիդավերականգնման պրոցեսի ընթանալու ցածր արագությամբ:</w:t>
      </w:r>
    </w:p>
    <w:p w14:paraId="1AC852FE"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Մարմրման բնույթը դեղաձ</w:t>
      </w:r>
      <w:r>
        <w:rPr>
          <w:rFonts w:ascii="Sylfaen" w:hAnsi="Sylfaen"/>
          <w:sz w:val="24"/>
          <w:szCs w:val="24"/>
        </w:rPr>
        <w:t>եւ</w:t>
      </w:r>
      <w:r w:rsidRPr="00B834A2">
        <w:rPr>
          <w:rFonts w:ascii="Sylfaen" w:hAnsi="Sylfaen"/>
          <w:sz w:val="24"/>
          <w:szCs w:val="24"/>
        </w:rPr>
        <w:t xml:space="preserve">ի մարմրման պրոցեսի վիզուալ գնահատումն է (կայծի </w:t>
      </w:r>
      <w:r>
        <w:rPr>
          <w:rFonts w:ascii="Sylfaen" w:hAnsi="Sylfaen"/>
          <w:sz w:val="24"/>
          <w:szCs w:val="24"/>
        </w:rPr>
        <w:t>եւ</w:t>
      </w:r>
      <w:r w:rsidRPr="00B834A2">
        <w:rPr>
          <w:rFonts w:ascii="Sylfaen" w:hAnsi="Sylfaen"/>
          <w:sz w:val="24"/>
          <w:szCs w:val="24"/>
        </w:rPr>
        <w:t xml:space="preserve"> (կամ) բոցի առկայություն կամ բացակայություն, ջերմային գոլորշացման կամ ջերմային ցնդեցման արդյունքների գույն):</w:t>
      </w:r>
    </w:p>
    <w:p w14:paraId="12248BF4"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այլ ցուցումների բացակայության դեպքում փորձարկումն անցկացնում են նվազագույնը երեք նմուշների վրա, որոնք վերցվել են </w:t>
      </w:r>
      <w:r w:rsidRPr="00B834A2">
        <w:rPr>
          <w:rStyle w:val="Bodytext2Italic"/>
          <w:sz w:val="24"/>
          <w:szCs w:val="24"/>
        </w:rPr>
        <w:t>«Փորձանմուշներ վերցնելը»</w:t>
      </w:r>
      <w:r>
        <w:rPr>
          <w:rStyle w:val="Bodytext2Italic"/>
          <w:sz w:val="24"/>
          <w:szCs w:val="24"/>
        </w:rPr>
        <w:t xml:space="preserve"> </w:t>
      </w:r>
      <w:r w:rsidRPr="00B834A2">
        <w:rPr>
          <w:rStyle w:val="Bodytext2Italic"/>
          <w:sz w:val="24"/>
          <w:szCs w:val="24"/>
        </w:rPr>
        <w:t xml:space="preserve">2.1.7.1. </w:t>
      </w:r>
      <w:r w:rsidRPr="00B834A2">
        <w:rPr>
          <w:rFonts w:ascii="Sylfaen" w:hAnsi="Sylfaen"/>
          <w:sz w:val="24"/>
          <w:szCs w:val="24"/>
        </w:rPr>
        <w:t>ընդհանուր դեղագրքային հոդվածին համապատասխան:</w:t>
      </w:r>
    </w:p>
    <w:p w14:paraId="1F19D387"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Անասնաբուժական թիթեղների, անասնաբուժական քուղերի </w:t>
      </w:r>
      <w:r>
        <w:rPr>
          <w:rFonts w:ascii="Sylfaen" w:hAnsi="Sylfaen"/>
          <w:sz w:val="24"/>
          <w:szCs w:val="24"/>
        </w:rPr>
        <w:t>եւ</w:t>
      </w:r>
      <w:r w:rsidRPr="00B834A2">
        <w:rPr>
          <w:rFonts w:ascii="Sylfaen" w:hAnsi="Sylfaen"/>
          <w:sz w:val="24"/>
          <w:szCs w:val="24"/>
        </w:rPr>
        <w:t xml:space="preserve"> ինհալյացիաների համար անասնաբուժական փոշիների </w:t>
      </w:r>
      <w:r>
        <w:rPr>
          <w:rFonts w:ascii="Sylfaen" w:hAnsi="Sylfaen"/>
          <w:sz w:val="24"/>
          <w:szCs w:val="24"/>
        </w:rPr>
        <w:t>եւ</w:t>
      </w:r>
      <w:r w:rsidRPr="00B834A2">
        <w:rPr>
          <w:rFonts w:ascii="Sylfaen" w:hAnsi="Sylfaen"/>
          <w:sz w:val="24"/>
          <w:szCs w:val="24"/>
        </w:rPr>
        <w:t xml:space="preserve"> դեղահաբերի դյուրավառության </w:t>
      </w:r>
      <w:r>
        <w:rPr>
          <w:rFonts w:ascii="Sylfaen" w:hAnsi="Sylfaen"/>
          <w:sz w:val="24"/>
          <w:szCs w:val="24"/>
        </w:rPr>
        <w:t>եւ</w:t>
      </w:r>
      <w:r w:rsidRPr="00B834A2">
        <w:rPr>
          <w:rFonts w:ascii="Sylfaen" w:hAnsi="Sylfaen"/>
          <w:sz w:val="24"/>
          <w:szCs w:val="24"/>
        </w:rPr>
        <w:t xml:space="preserve"> մարմրման բնույթի գնահատումն անհրաժեշտ է անցկացնել՝ պահպանելով հրդեհային անվտանգության պահանջները:</w:t>
      </w:r>
    </w:p>
    <w:p w14:paraId="3CD4AB40" w14:textId="77777777" w:rsidR="00B834A2" w:rsidRPr="00B834A2" w:rsidRDefault="00B834A2" w:rsidP="00176A1B">
      <w:pPr>
        <w:pStyle w:val="Bodytext20"/>
        <w:shd w:val="clear" w:color="auto" w:fill="auto"/>
        <w:spacing w:before="0" w:after="160" w:line="346" w:lineRule="auto"/>
        <w:ind w:firstLine="440"/>
        <w:jc w:val="both"/>
        <w:rPr>
          <w:rFonts w:ascii="Sylfaen" w:hAnsi="Sylfaen" w:cs="Sylfaen"/>
          <w:sz w:val="24"/>
          <w:szCs w:val="24"/>
        </w:rPr>
      </w:pPr>
      <w:r w:rsidRPr="00B834A2">
        <w:rPr>
          <w:rFonts w:ascii="Sylfaen" w:hAnsi="Sylfaen"/>
          <w:sz w:val="24"/>
          <w:szCs w:val="24"/>
        </w:rPr>
        <w:t xml:space="preserve">Փաթեթվածքը բացելուց հետո անասնաբուժական թիթեղները, անասնաբուժական քուղերը, ինհալյացիաների համար անասնաբուժական փոշիները </w:t>
      </w:r>
      <w:r>
        <w:rPr>
          <w:rFonts w:ascii="Sylfaen" w:hAnsi="Sylfaen"/>
          <w:sz w:val="24"/>
          <w:szCs w:val="24"/>
        </w:rPr>
        <w:t>եւ</w:t>
      </w:r>
      <w:r w:rsidRPr="00B834A2">
        <w:rPr>
          <w:rFonts w:ascii="Sylfaen" w:hAnsi="Sylfaen"/>
          <w:sz w:val="24"/>
          <w:szCs w:val="24"/>
        </w:rPr>
        <w:t xml:space="preserve"> դեղահաբերը տեղադրում են իներտ, չայրվող նյութից մակեր</w:t>
      </w:r>
      <w:r>
        <w:rPr>
          <w:rFonts w:ascii="Sylfaen" w:hAnsi="Sylfaen"/>
          <w:sz w:val="24"/>
          <w:szCs w:val="24"/>
        </w:rPr>
        <w:t>եւ</w:t>
      </w:r>
      <w:r w:rsidRPr="00B834A2">
        <w:rPr>
          <w:rFonts w:ascii="Sylfaen" w:hAnsi="Sylfaen"/>
          <w:sz w:val="24"/>
          <w:szCs w:val="24"/>
        </w:rPr>
        <w:t>ույթի վրա (կերամիկա, քար կամ մետաղ):</w:t>
      </w:r>
    </w:p>
    <w:p w14:paraId="45BA7B7C" w14:textId="77777777" w:rsidR="00063A76" w:rsidRDefault="00063A76">
      <w:pPr>
        <w:rPr>
          <w:rFonts w:eastAsia="Times New Roman" w:cs="Times New Roman"/>
        </w:rPr>
      </w:pPr>
      <w:r>
        <w:br w:type="page"/>
      </w:r>
    </w:p>
    <w:p w14:paraId="1E201798" w14:textId="77777777" w:rsidR="00B834A2" w:rsidRPr="00B834A2" w:rsidRDefault="00B834A2" w:rsidP="00176A1B">
      <w:pPr>
        <w:pStyle w:val="Bodytext20"/>
        <w:shd w:val="clear" w:color="auto" w:fill="auto"/>
        <w:spacing w:before="0" w:after="160" w:line="346" w:lineRule="auto"/>
        <w:ind w:firstLine="440"/>
        <w:jc w:val="both"/>
        <w:rPr>
          <w:rFonts w:ascii="Sylfaen" w:hAnsi="Sylfaen" w:cs="Sylfaen"/>
          <w:sz w:val="24"/>
          <w:szCs w:val="24"/>
        </w:rPr>
      </w:pPr>
      <w:r w:rsidRPr="00B834A2">
        <w:rPr>
          <w:rFonts w:ascii="Sylfaen" w:hAnsi="Sylfaen"/>
          <w:sz w:val="24"/>
          <w:szCs w:val="24"/>
        </w:rPr>
        <w:lastRenderedPageBreak/>
        <w:t>Մարմրման գործընթացը հրահրում են բարձր ջերմաստիճանի աղբյուրի օգնությամբ, որի համար օգտագործում են բոցը (եթե այլ բան նախատեսված չէ մասնավոր դեղագրքային հոդվածում):</w:t>
      </w:r>
    </w:p>
    <w:p w14:paraId="5035EA00"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Դեղաձ</w:t>
      </w:r>
      <w:r>
        <w:rPr>
          <w:rFonts w:ascii="Sylfaen" w:hAnsi="Sylfaen"/>
          <w:sz w:val="24"/>
          <w:szCs w:val="24"/>
        </w:rPr>
        <w:t>եւ</w:t>
      </w:r>
      <w:r w:rsidRPr="00B834A2">
        <w:rPr>
          <w:rFonts w:ascii="Sylfaen" w:hAnsi="Sylfaen"/>
          <w:sz w:val="24"/>
          <w:szCs w:val="24"/>
        </w:rPr>
        <w:t>ի վրա բարձր ջերմաստիճանի աղբյուրի ազդեցությունը դադարեցնում են մարմրման պրոցեսն սկսելիս:</w:t>
      </w:r>
    </w:p>
    <w:p w14:paraId="3F5EDC4A"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Դյուրավառությունը գնահատում են մարմրման պրոցես հրահրելու հնարավորությամբ, ինչպես նա</w:t>
      </w:r>
      <w:r>
        <w:rPr>
          <w:rFonts w:ascii="Sylfaen" w:hAnsi="Sylfaen"/>
          <w:sz w:val="24"/>
          <w:szCs w:val="24"/>
        </w:rPr>
        <w:t>եւ</w:t>
      </w:r>
      <w:r w:rsidRPr="00B834A2">
        <w:rPr>
          <w:rFonts w:ascii="Sylfaen" w:hAnsi="Sylfaen"/>
          <w:sz w:val="24"/>
          <w:szCs w:val="24"/>
        </w:rPr>
        <w:t xml:space="preserve"> բարձր ջերմաստիճանի աղբյուրի ազդեցությունն սկսելուց մինչ</w:t>
      </w:r>
      <w:r>
        <w:rPr>
          <w:rFonts w:ascii="Sylfaen" w:hAnsi="Sylfaen"/>
          <w:sz w:val="24"/>
          <w:szCs w:val="24"/>
        </w:rPr>
        <w:t>եւ</w:t>
      </w:r>
      <w:r w:rsidRPr="00B834A2">
        <w:rPr>
          <w:rFonts w:ascii="Sylfaen" w:hAnsi="Sylfaen"/>
          <w:sz w:val="24"/>
          <w:szCs w:val="24"/>
        </w:rPr>
        <w:t xml:space="preserve"> մարմրման պրոցեսն սկսելու ժամանակի միջակայքով:</w:t>
      </w:r>
    </w:p>
    <w:p w14:paraId="3535D801"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Բարձր ջերմաստիճանի աղբյուրի ազդեցությունն սկսելուց մինչ</w:t>
      </w:r>
      <w:r>
        <w:rPr>
          <w:rFonts w:ascii="Sylfaen" w:hAnsi="Sylfaen"/>
          <w:sz w:val="24"/>
          <w:szCs w:val="24"/>
        </w:rPr>
        <w:t>եւ</w:t>
      </w:r>
      <w:r w:rsidRPr="00B834A2">
        <w:rPr>
          <w:rFonts w:ascii="Sylfaen" w:hAnsi="Sylfaen"/>
          <w:sz w:val="24"/>
          <w:szCs w:val="24"/>
        </w:rPr>
        <w:t xml:space="preserve"> մարմրման պրոցեսն սկսելու ժամանակի միջակայքը որոշում են վայրկենաչափի օգնությամբ:</w:t>
      </w:r>
    </w:p>
    <w:p w14:paraId="6DAC5F06" w14:textId="77777777" w:rsidR="00B834A2" w:rsidRPr="00B834A2" w:rsidRDefault="00B834A2" w:rsidP="00176A1B">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 xml:space="preserve">Մարմրման բնույթը գնահատում են տեսողականորեն՝ կայծերի </w:t>
      </w:r>
      <w:r>
        <w:rPr>
          <w:rFonts w:ascii="Sylfaen" w:hAnsi="Sylfaen"/>
          <w:sz w:val="24"/>
          <w:szCs w:val="24"/>
        </w:rPr>
        <w:t>եւ</w:t>
      </w:r>
      <w:r w:rsidRPr="00B834A2">
        <w:rPr>
          <w:rFonts w:ascii="Sylfaen" w:hAnsi="Sylfaen"/>
          <w:sz w:val="24"/>
          <w:szCs w:val="24"/>
        </w:rPr>
        <w:t xml:space="preserve"> (կամ) բոցերի առկայության կամ բացակայության մասով, ջերմային գոլորշացման կամ ջերմային ցնդեցման արդյունքների գույնով: </w:t>
      </w:r>
    </w:p>
    <w:p w14:paraId="08C66005" w14:textId="77777777" w:rsidR="00B834A2" w:rsidRPr="00B834A2" w:rsidRDefault="00B834A2" w:rsidP="00176A1B">
      <w:pPr>
        <w:spacing w:after="160" w:line="360" w:lineRule="auto"/>
        <w:ind w:firstLine="567"/>
        <w:jc w:val="both"/>
      </w:pPr>
      <w:r w:rsidRPr="00B834A2">
        <w:t xml:space="preserve">Անասնաբուժական թիթեղները, անասնաբուժական քուղերը, ինհալյացիաների համար անասնաբուժական փոշիները </w:t>
      </w:r>
      <w:r>
        <w:t>եւ</w:t>
      </w:r>
      <w:r w:rsidRPr="00B834A2">
        <w:t xml:space="preserve"> դեղահաբերը համապատասխանում են պահանջներին, եթե մարմրման պրոցեսն անխափան կերպով հրահրվում է բարձր ջերմաստիճանի աղբյուրի ազդեցությամբ:</w:t>
      </w:r>
    </w:p>
    <w:p w14:paraId="3D5E5697"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Բարձր ջերմաստիճանի աղբյուրի ազդեցությունն սկսելու պահից մինչ</w:t>
      </w:r>
      <w:r>
        <w:rPr>
          <w:rFonts w:ascii="Sylfaen" w:hAnsi="Sylfaen"/>
          <w:sz w:val="24"/>
          <w:szCs w:val="24"/>
        </w:rPr>
        <w:t>եւ</w:t>
      </w:r>
      <w:r w:rsidRPr="00B834A2">
        <w:rPr>
          <w:rFonts w:ascii="Sylfaen" w:hAnsi="Sylfaen"/>
          <w:sz w:val="24"/>
          <w:szCs w:val="24"/>
        </w:rPr>
        <w:t xml:space="preserve"> մարմրման պրոցեսն սկսելու ժամանակը պետք է համապատասխանի մասնավոր դեղագրքային հոդվածի </w:t>
      </w:r>
      <w:r>
        <w:rPr>
          <w:rFonts w:ascii="Sylfaen" w:hAnsi="Sylfaen"/>
          <w:sz w:val="24"/>
          <w:szCs w:val="24"/>
        </w:rPr>
        <w:t>եւ</w:t>
      </w:r>
      <w:r w:rsidRPr="00B834A2">
        <w:rPr>
          <w:rFonts w:ascii="Sylfaen" w:hAnsi="Sylfaen"/>
          <w:sz w:val="24"/>
          <w:szCs w:val="24"/>
        </w:rPr>
        <w:t xml:space="preserve"> (կամ) անասնաբուժական դեղամիջոցի վերաբերյալ նորմատիվ փաստաթղթի պահանջներին:</w:t>
      </w:r>
    </w:p>
    <w:p w14:paraId="672CB03A"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Մարմրման պրոցեսի ընթացքում կայծերը </w:t>
      </w:r>
      <w:r>
        <w:rPr>
          <w:rFonts w:ascii="Sylfaen" w:hAnsi="Sylfaen"/>
          <w:sz w:val="24"/>
          <w:szCs w:val="24"/>
        </w:rPr>
        <w:t>եւ</w:t>
      </w:r>
      <w:r w:rsidRPr="00B834A2">
        <w:rPr>
          <w:rFonts w:ascii="Sylfaen" w:hAnsi="Sylfaen"/>
          <w:sz w:val="24"/>
          <w:szCs w:val="24"/>
        </w:rPr>
        <w:t xml:space="preserve"> (կամ) բաց բոցը պետք է բացակայեն, ջերմային գոլորշացման կամ ջերմային ցնդեցման արդյունքի գույնը պետք է համապատասխանի մասնավոր դեղագրքային հոդվածի </w:t>
      </w:r>
      <w:r>
        <w:rPr>
          <w:rFonts w:ascii="Sylfaen" w:hAnsi="Sylfaen"/>
          <w:sz w:val="24"/>
          <w:szCs w:val="24"/>
        </w:rPr>
        <w:t>եւ</w:t>
      </w:r>
      <w:r w:rsidRPr="00B834A2">
        <w:rPr>
          <w:rFonts w:ascii="Sylfaen" w:hAnsi="Sylfaen"/>
          <w:sz w:val="24"/>
          <w:szCs w:val="24"/>
        </w:rPr>
        <w:t xml:space="preserve"> (կամ) անասնաբուժական դեղամիջոցի վերաբերյալ նորմատիվ փաստաթղթի պահանջներին:</w:t>
      </w:r>
    </w:p>
    <w:p w14:paraId="387184F3" w14:textId="77777777" w:rsidR="00B834A2" w:rsidRPr="00B834A2" w:rsidRDefault="00B834A2" w:rsidP="00B834A2">
      <w:pPr>
        <w:pStyle w:val="Bodytext20"/>
        <w:shd w:val="clear" w:color="auto" w:fill="auto"/>
        <w:spacing w:before="0" w:after="160" w:line="360" w:lineRule="auto"/>
        <w:ind w:firstLine="340"/>
        <w:rPr>
          <w:rFonts w:ascii="Sylfaen" w:hAnsi="Sylfaen" w:cs="Sylfaen"/>
          <w:sz w:val="24"/>
          <w:szCs w:val="24"/>
        </w:rPr>
      </w:pPr>
    </w:p>
    <w:p w14:paraId="76063CFC" w14:textId="77777777" w:rsidR="00B834A2" w:rsidRPr="00A859E3" w:rsidRDefault="00B834A2" w:rsidP="00B834A2">
      <w:pPr>
        <w:pStyle w:val="Bodytext20"/>
        <w:shd w:val="clear" w:color="auto" w:fill="auto"/>
        <w:spacing w:before="0" w:after="160" w:line="360" w:lineRule="auto"/>
        <w:jc w:val="right"/>
        <w:rPr>
          <w:rStyle w:val="Bodytext29pt"/>
          <w:b/>
          <w:sz w:val="20"/>
          <w:szCs w:val="24"/>
        </w:rPr>
      </w:pPr>
      <w:r w:rsidRPr="007B5F99">
        <w:rPr>
          <w:rStyle w:val="Bodytext29pt"/>
          <w:b/>
          <w:sz w:val="20"/>
          <w:szCs w:val="24"/>
        </w:rPr>
        <w:lastRenderedPageBreak/>
        <w:t>201090029-2022</w:t>
      </w:r>
    </w:p>
    <w:p w14:paraId="685E8029" w14:textId="77777777" w:rsidR="007B5F99" w:rsidRPr="00A859E3" w:rsidRDefault="007B5F99" w:rsidP="00B834A2">
      <w:pPr>
        <w:pStyle w:val="Bodytext20"/>
        <w:shd w:val="clear" w:color="auto" w:fill="auto"/>
        <w:spacing w:before="0" w:after="160" w:line="360" w:lineRule="auto"/>
        <w:jc w:val="right"/>
        <w:rPr>
          <w:rFonts w:ascii="Sylfaen" w:hAnsi="Sylfaen" w:cs="Sylfaen"/>
          <w:b/>
          <w:sz w:val="20"/>
          <w:szCs w:val="24"/>
        </w:rPr>
      </w:pPr>
    </w:p>
    <w:p w14:paraId="0C67A566" w14:textId="77777777" w:rsidR="00B834A2" w:rsidRPr="00176A1B" w:rsidRDefault="00B834A2" w:rsidP="00176A1B">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176A1B">
        <w:rPr>
          <w:rStyle w:val="Bodytext29pt"/>
          <w:b/>
          <w:sz w:val="24"/>
          <w:szCs w:val="24"/>
        </w:rPr>
        <w:t>2.1.9.29.</w:t>
      </w:r>
      <w:r w:rsidR="00176A1B" w:rsidRPr="00097504">
        <w:rPr>
          <w:rStyle w:val="Bodytext29pt"/>
          <w:b/>
          <w:sz w:val="24"/>
          <w:szCs w:val="24"/>
        </w:rPr>
        <w:tab/>
      </w:r>
      <w:r w:rsidRPr="00176A1B">
        <w:rPr>
          <w:rStyle w:val="Bodytext29pt"/>
          <w:b/>
          <w:sz w:val="24"/>
          <w:szCs w:val="24"/>
        </w:rPr>
        <w:t>Անասնաբուժական թիթեղների, անասնաբուժական քուղերի եւ ինհալյացիաների համար անասնաբուժական կոշտ դեղաձեւերի տեսքով դեղապատրաստուկների մարմրման ժամանակի որոշումը</w:t>
      </w:r>
    </w:p>
    <w:p w14:paraId="7F41013C"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Սույն ընդհանուր դեղագրքային հոդվածը նախատեսված է անասնաբուժական թիթեղների, անասնաբուժական քուղերի </w:t>
      </w:r>
      <w:r>
        <w:rPr>
          <w:rFonts w:ascii="Sylfaen" w:hAnsi="Sylfaen"/>
          <w:sz w:val="24"/>
          <w:szCs w:val="24"/>
        </w:rPr>
        <w:t>եւ</w:t>
      </w:r>
      <w:r w:rsidRPr="00B834A2">
        <w:rPr>
          <w:rFonts w:ascii="Sylfaen" w:hAnsi="Sylfaen"/>
          <w:sz w:val="24"/>
          <w:szCs w:val="24"/>
        </w:rPr>
        <w:t xml:space="preserve"> ինհալյացիաների համար անասնաբուժական կոշտ դեղաձ</w:t>
      </w:r>
      <w:r>
        <w:rPr>
          <w:rFonts w:ascii="Sylfaen" w:hAnsi="Sylfaen"/>
          <w:sz w:val="24"/>
          <w:szCs w:val="24"/>
        </w:rPr>
        <w:t>եւ</w:t>
      </w:r>
      <w:r w:rsidRPr="00B834A2">
        <w:rPr>
          <w:rFonts w:ascii="Sylfaen" w:hAnsi="Sylfaen"/>
          <w:sz w:val="24"/>
          <w:szCs w:val="24"/>
        </w:rPr>
        <w:t>երի տեսքով (փոշիներ, դեղահաբեր) այն դեղապատրաստուկների մարմրման ժամանակը որոշելու համար, որոնք կիրառվում են աերոզոլի տեսքով (ջերմային գոլորշացման ժամանակ) կամ օժանդակ նյութերի մարմրման պրոցեսի ընթացքում բարձր ջերմաստիճանի ազդեցության տակ ազդող նյութի (նյութերի) ջերմային ցնդեցման միջոցով:</w:t>
      </w:r>
    </w:p>
    <w:p w14:paraId="7BD94A10"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Տվյալ դեղաձ</w:t>
      </w:r>
      <w:r>
        <w:rPr>
          <w:rFonts w:ascii="Sylfaen" w:hAnsi="Sylfaen"/>
          <w:sz w:val="24"/>
          <w:szCs w:val="24"/>
        </w:rPr>
        <w:t>եւ</w:t>
      </w:r>
      <w:r w:rsidRPr="00B834A2">
        <w:rPr>
          <w:rFonts w:ascii="Sylfaen" w:hAnsi="Sylfaen"/>
          <w:sz w:val="24"/>
          <w:szCs w:val="24"/>
        </w:rPr>
        <w:t>երի դեղապատրաստուկներում որպես օժանդակ նյութեր օգտագործում են ջերմային գոլորշացման կամ ջերմային ցնդեցման համար հիմքը, օքսիդացման (մարմրման) ռեակցիա հրահրելու համար օքսիդիչները, ինչպես նա</w:t>
      </w:r>
      <w:r>
        <w:rPr>
          <w:rFonts w:ascii="Sylfaen" w:hAnsi="Sylfaen"/>
          <w:sz w:val="24"/>
          <w:szCs w:val="24"/>
        </w:rPr>
        <w:t>եւ</w:t>
      </w:r>
      <w:r w:rsidRPr="00B834A2">
        <w:rPr>
          <w:rFonts w:ascii="Sylfaen" w:hAnsi="Sylfaen"/>
          <w:sz w:val="24"/>
          <w:szCs w:val="24"/>
        </w:rPr>
        <w:t xml:space="preserve"> բոցավառումը կանխելու համար բոցամարիչները:</w:t>
      </w:r>
    </w:p>
    <w:p w14:paraId="59FB3DF9"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Մարմրումն այրման տեսակներից մեկն է, որը բնութագրվում է բոցի բացակայությամբ </w:t>
      </w:r>
      <w:r>
        <w:rPr>
          <w:rFonts w:ascii="Sylfaen" w:hAnsi="Sylfaen"/>
          <w:sz w:val="24"/>
          <w:szCs w:val="24"/>
        </w:rPr>
        <w:t>եւ</w:t>
      </w:r>
      <w:r w:rsidRPr="00B834A2">
        <w:rPr>
          <w:rFonts w:ascii="Sylfaen" w:hAnsi="Sylfaen"/>
          <w:sz w:val="24"/>
          <w:szCs w:val="24"/>
        </w:rPr>
        <w:t xml:space="preserve"> օքսիդավերականգնման պրոցեսի ընթանալու ցածր արագությամբ:</w:t>
      </w:r>
    </w:p>
    <w:p w14:paraId="16856488"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Մարմրման ժամանակը բռնկումն սկսելուց մինչ</w:t>
      </w:r>
      <w:r>
        <w:rPr>
          <w:rFonts w:ascii="Sylfaen" w:hAnsi="Sylfaen"/>
          <w:sz w:val="24"/>
          <w:szCs w:val="24"/>
        </w:rPr>
        <w:t>եւ</w:t>
      </w:r>
      <w:r w:rsidRPr="00B834A2">
        <w:rPr>
          <w:rFonts w:ascii="Sylfaen" w:hAnsi="Sylfaen"/>
          <w:sz w:val="24"/>
          <w:szCs w:val="24"/>
        </w:rPr>
        <w:t xml:space="preserve"> մարմրման պրոցեսն ավարտվելու ժամանակի միջակայքն է:</w:t>
      </w:r>
    </w:p>
    <w:p w14:paraId="166E7E8A"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այլ ցուցումների բացակայության դեպքում փորձարկումն անցկացնում են նվազագույնը երեք նմուշների վրա, որոնք վերցվել են </w:t>
      </w:r>
      <w:r w:rsidRPr="00B834A2">
        <w:rPr>
          <w:rStyle w:val="Bodytext2Italic"/>
          <w:sz w:val="24"/>
          <w:szCs w:val="24"/>
        </w:rPr>
        <w:t>«Փորձանմուշներ վերցնելը»</w:t>
      </w:r>
      <w:r>
        <w:rPr>
          <w:rStyle w:val="Bodytext2Italic"/>
          <w:sz w:val="24"/>
          <w:szCs w:val="24"/>
        </w:rPr>
        <w:t xml:space="preserve"> </w:t>
      </w:r>
      <w:r w:rsidRPr="00B834A2">
        <w:rPr>
          <w:rStyle w:val="Bodytext2Italic"/>
          <w:sz w:val="24"/>
          <w:szCs w:val="24"/>
        </w:rPr>
        <w:t xml:space="preserve">2.1.7.1 </w:t>
      </w:r>
      <w:r w:rsidRPr="00B834A2">
        <w:rPr>
          <w:rFonts w:ascii="Sylfaen" w:hAnsi="Sylfaen"/>
          <w:sz w:val="24"/>
          <w:szCs w:val="24"/>
        </w:rPr>
        <w:t>ընդհանուր դեղագրքային հոդվածին համապատասխան:</w:t>
      </w:r>
      <w:r w:rsidRPr="00B834A2">
        <w:rPr>
          <w:rStyle w:val="Bodytext2Italic"/>
          <w:sz w:val="24"/>
          <w:szCs w:val="24"/>
        </w:rPr>
        <w:t xml:space="preserve"> </w:t>
      </w:r>
    </w:p>
    <w:p w14:paraId="27F93266"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Անասնաբուժական թիթեղների, անասնաբուժական քուղերի, ինհալյացիաների համար անասնաբուժական փոշիների </w:t>
      </w:r>
      <w:r>
        <w:rPr>
          <w:rFonts w:ascii="Sylfaen" w:hAnsi="Sylfaen"/>
          <w:sz w:val="24"/>
          <w:szCs w:val="24"/>
        </w:rPr>
        <w:t>եւ</w:t>
      </w:r>
      <w:r w:rsidRPr="00B834A2">
        <w:rPr>
          <w:rFonts w:ascii="Sylfaen" w:hAnsi="Sylfaen"/>
          <w:sz w:val="24"/>
          <w:szCs w:val="24"/>
        </w:rPr>
        <w:t xml:space="preserve"> դեղահաբերի </w:t>
      </w:r>
      <w:r w:rsidRPr="00B834A2">
        <w:rPr>
          <w:rFonts w:ascii="Sylfaen" w:hAnsi="Sylfaen"/>
          <w:sz w:val="24"/>
          <w:szCs w:val="24"/>
        </w:rPr>
        <w:lastRenderedPageBreak/>
        <w:t>մարմրման բնույթի գնահատումն անհրաժեշտ է անցկացնել՝ պահպանելով հրդեհային անվտանգության պահանջները:</w:t>
      </w:r>
    </w:p>
    <w:p w14:paraId="1E0F4AB9"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Փաթեթվածքը բացելուց հետո անասնաբուժական թիթեղները, անասնաբուժական քուղերը, ինհալյացիաների համար անասնաբուժական փոշիները </w:t>
      </w:r>
      <w:r>
        <w:rPr>
          <w:rFonts w:ascii="Sylfaen" w:hAnsi="Sylfaen"/>
          <w:sz w:val="24"/>
          <w:szCs w:val="24"/>
        </w:rPr>
        <w:t>եւ</w:t>
      </w:r>
      <w:r w:rsidRPr="00B834A2">
        <w:rPr>
          <w:rFonts w:ascii="Sylfaen" w:hAnsi="Sylfaen"/>
          <w:sz w:val="24"/>
          <w:szCs w:val="24"/>
        </w:rPr>
        <w:t xml:space="preserve"> դեղահաբերը տեղադրում են իներտ, չայրվող նյութից մակեր</w:t>
      </w:r>
      <w:r>
        <w:rPr>
          <w:rFonts w:ascii="Sylfaen" w:hAnsi="Sylfaen"/>
          <w:sz w:val="24"/>
          <w:szCs w:val="24"/>
        </w:rPr>
        <w:t>եւ</w:t>
      </w:r>
      <w:r w:rsidRPr="00B834A2">
        <w:rPr>
          <w:rFonts w:ascii="Sylfaen" w:hAnsi="Sylfaen"/>
          <w:sz w:val="24"/>
          <w:szCs w:val="24"/>
        </w:rPr>
        <w:t>ույթի վրա (կերամիկա, քար կամ մետաղ):</w:t>
      </w:r>
    </w:p>
    <w:p w14:paraId="4BB2629D"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Մարմրման պրոցեսը հրահրում են բարձր ջերմաստիճանի աղբյուրի օգնությամբ, որի համար օգտագործում են բոցը (եթե այլ բան նախատեսված չէ անասնաբուժական դեղամիջոցի վերաբերյալ նորմատիվ փաստաթղթում կամ մասնավոր դեղագրքային հոդվածում):</w:t>
      </w:r>
    </w:p>
    <w:p w14:paraId="157DFED9" w14:textId="77777777" w:rsidR="00B834A2" w:rsidRPr="00B834A2" w:rsidRDefault="00B834A2" w:rsidP="00176A1B">
      <w:pPr>
        <w:pStyle w:val="Bodytext20"/>
        <w:shd w:val="clear" w:color="auto" w:fill="auto"/>
        <w:spacing w:before="0" w:after="160" w:line="360" w:lineRule="auto"/>
        <w:ind w:firstLine="420"/>
        <w:jc w:val="both"/>
        <w:rPr>
          <w:rFonts w:ascii="Sylfaen" w:hAnsi="Sylfaen" w:cs="Sylfaen"/>
          <w:sz w:val="24"/>
          <w:szCs w:val="24"/>
        </w:rPr>
      </w:pPr>
      <w:r w:rsidRPr="007B5F99">
        <w:rPr>
          <w:rFonts w:ascii="Sylfaen" w:hAnsi="Sylfaen"/>
          <w:spacing w:val="4"/>
          <w:sz w:val="24"/>
          <w:szCs w:val="24"/>
        </w:rPr>
        <w:t>Դեղաձեւի վրա բարձր ջերմաստիճանի աղբյուրի ազդեցությունը դադարեցնում են մարմրման</w:t>
      </w:r>
      <w:r w:rsidRPr="00B834A2">
        <w:rPr>
          <w:rFonts w:ascii="Sylfaen" w:hAnsi="Sylfaen"/>
          <w:sz w:val="24"/>
          <w:szCs w:val="24"/>
        </w:rPr>
        <w:t xml:space="preserve"> պրոցեսն սկսելիս:</w:t>
      </w:r>
    </w:p>
    <w:p w14:paraId="1DA68E32" w14:textId="77777777" w:rsidR="00B834A2" w:rsidRPr="00B834A2" w:rsidRDefault="00B834A2" w:rsidP="00176A1B">
      <w:pPr>
        <w:pStyle w:val="Bodytext20"/>
        <w:shd w:val="clear" w:color="auto" w:fill="auto"/>
        <w:spacing w:before="0" w:after="160" w:line="360" w:lineRule="auto"/>
        <w:ind w:firstLine="420"/>
        <w:jc w:val="both"/>
        <w:rPr>
          <w:rFonts w:ascii="Sylfaen" w:hAnsi="Sylfaen" w:cs="Sylfaen"/>
          <w:sz w:val="24"/>
          <w:szCs w:val="24"/>
        </w:rPr>
      </w:pPr>
      <w:r w:rsidRPr="00B834A2">
        <w:rPr>
          <w:rFonts w:ascii="Sylfaen" w:hAnsi="Sylfaen"/>
          <w:sz w:val="24"/>
          <w:szCs w:val="24"/>
        </w:rPr>
        <w:t>Մարմրման պրոցեսն սկսելուց մինչ</w:t>
      </w:r>
      <w:r>
        <w:rPr>
          <w:rFonts w:ascii="Sylfaen" w:hAnsi="Sylfaen"/>
          <w:sz w:val="24"/>
          <w:szCs w:val="24"/>
        </w:rPr>
        <w:t>եւ</w:t>
      </w:r>
      <w:r w:rsidRPr="00B834A2">
        <w:rPr>
          <w:rFonts w:ascii="Sylfaen" w:hAnsi="Sylfaen"/>
          <w:sz w:val="24"/>
          <w:szCs w:val="24"/>
        </w:rPr>
        <w:t xml:space="preserve"> ավարտն ընկած ժամանակի միջակայքը որոշում են վայրկենաչափի օգնությամբ:</w:t>
      </w:r>
    </w:p>
    <w:p w14:paraId="19A9D2F5" w14:textId="77777777" w:rsidR="00B834A2" w:rsidRPr="00B834A2" w:rsidRDefault="00B834A2" w:rsidP="00176A1B">
      <w:pPr>
        <w:spacing w:after="160" w:line="360" w:lineRule="auto"/>
        <w:ind w:firstLine="567"/>
        <w:jc w:val="both"/>
      </w:pPr>
      <w:r w:rsidRPr="00B834A2">
        <w:t xml:space="preserve">Անասնաբուժական թիթեղները, անասնաբուժական քուղերը, ինհալյացիաների համար անասնաբուժական փոշիները </w:t>
      </w:r>
      <w:r>
        <w:t>եւ</w:t>
      </w:r>
      <w:r w:rsidRPr="00B834A2">
        <w:t xml:space="preserve"> դեղահաբերը համապատասխանում են պահանջներին, եթե բռնկումն սկսելուց մինչ</w:t>
      </w:r>
      <w:r>
        <w:t>եւ</w:t>
      </w:r>
      <w:r w:rsidRPr="00B834A2">
        <w:t xml:space="preserve"> մարմրման պրոցեսի ավարտն ընկած ժամանակի միջակայքը համապատասխանում է մասնավոր դեղագրքային հոդվածի </w:t>
      </w:r>
      <w:r>
        <w:t>եւ</w:t>
      </w:r>
      <w:r w:rsidRPr="00B834A2">
        <w:t xml:space="preserve"> (կամ) անասնաբուժական դեղամիջոցի վերաբերյալ նորմատիվ փաստաթղթի պահանջներին: </w:t>
      </w:r>
    </w:p>
    <w:p w14:paraId="230EBCB9" w14:textId="77777777" w:rsidR="00176A1B" w:rsidRDefault="00176A1B">
      <w:pPr>
        <w:rPr>
          <w:rFonts w:eastAsia="Times New Roman"/>
          <w:b/>
          <w:bCs/>
          <w:color w:val="auto"/>
        </w:rPr>
      </w:pPr>
      <w:r>
        <w:br w:type="page"/>
      </w:r>
    </w:p>
    <w:p w14:paraId="076AD622" w14:textId="77777777" w:rsidR="00B834A2" w:rsidRPr="00B834A2" w:rsidRDefault="00B834A2" w:rsidP="00B834A2">
      <w:pPr>
        <w:pStyle w:val="Heading120"/>
        <w:shd w:val="clear" w:color="auto" w:fill="auto"/>
        <w:spacing w:after="160" w:line="360" w:lineRule="auto"/>
        <w:ind w:right="40"/>
        <w:outlineLvl w:val="9"/>
        <w:rPr>
          <w:rFonts w:ascii="Sylfaen" w:hAnsi="Sylfaen" w:cs="Sylfaen"/>
          <w:sz w:val="24"/>
          <w:szCs w:val="24"/>
        </w:rPr>
      </w:pPr>
      <w:r w:rsidRPr="00B834A2">
        <w:rPr>
          <w:rFonts w:ascii="Sylfaen" w:hAnsi="Sylfaen"/>
          <w:sz w:val="24"/>
          <w:szCs w:val="24"/>
        </w:rPr>
        <w:lastRenderedPageBreak/>
        <w:t>2.1.10. ՖՈՒՆԿՑԻՈՆԱԼ ԲՆՈՒԹԱԳՐԵՐԻ</w:t>
      </w:r>
      <w:bookmarkStart w:id="0" w:name="bookmark1"/>
      <w:r w:rsidR="00BA4B30" w:rsidRPr="00A859E3">
        <w:rPr>
          <w:rFonts w:ascii="Sylfaen" w:hAnsi="Sylfaen"/>
          <w:sz w:val="24"/>
          <w:szCs w:val="24"/>
        </w:rPr>
        <w:t xml:space="preserve"> </w:t>
      </w:r>
      <w:r w:rsidRPr="00B834A2">
        <w:rPr>
          <w:rFonts w:ascii="Sylfaen" w:hAnsi="Sylfaen"/>
          <w:sz w:val="24"/>
          <w:szCs w:val="24"/>
        </w:rPr>
        <w:t>ՈՐՈՇՈՒՄԸ</w:t>
      </w:r>
      <w:bookmarkEnd w:id="0"/>
    </w:p>
    <w:p w14:paraId="28A5906C" w14:textId="77777777" w:rsidR="00B834A2" w:rsidRPr="00A859E3" w:rsidRDefault="00B834A2" w:rsidP="00B834A2">
      <w:pPr>
        <w:pStyle w:val="Bodytext20"/>
        <w:shd w:val="clear" w:color="auto" w:fill="auto"/>
        <w:spacing w:before="0" w:after="160" w:line="360" w:lineRule="auto"/>
        <w:jc w:val="right"/>
        <w:rPr>
          <w:rStyle w:val="Bodytext2Bold"/>
          <w:rFonts w:ascii="Sylfaen" w:hAnsi="Sylfaen"/>
          <w:szCs w:val="24"/>
          <w:u w:val="none"/>
        </w:rPr>
      </w:pPr>
      <w:r w:rsidRPr="00BA4B30">
        <w:rPr>
          <w:rStyle w:val="Bodytext2Bold"/>
          <w:rFonts w:ascii="Sylfaen" w:hAnsi="Sylfaen"/>
          <w:szCs w:val="24"/>
          <w:u w:val="none"/>
        </w:rPr>
        <w:t>201100001-2022</w:t>
      </w:r>
    </w:p>
    <w:p w14:paraId="72A2504E" w14:textId="77777777" w:rsidR="00BA4B30" w:rsidRPr="00A859E3" w:rsidRDefault="00BA4B30" w:rsidP="00B834A2">
      <w:pPr>
        <w:pStyle w:val="Bodytext20"/>
        <w:shd w:val="clear" w:color="auto" w:fill="auto"/>
        <w:spacing w:before="0" w:after="160" w:line="360" w:lineRule="auto"/>
        <w:jc w:val="right"/>
        <w:rPr>
          <w:rFonts w:ascii="Sylfaen" w:hAnsi="Sylfaen" w:cs="Sylfaen"/>
          <w:sz w:val="20"/>
          <w:szCs w:val="24"/>
        </w:rPr>
      </w:pPr>
    </w:p>
    <w:p w14:paraId="57EFAEB4" w14:textId="77777777" w:rsidR="00B834A2" w:rsidRPr="00176A1B" w:rsidRDefault="00B834A2" w:rsidP="00176A1B">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176A1B">
        <w:rPr>
          <w:rStyle w:val="Bodytext29pt"/>
          <w:b/>
          <w:sz w:val="24"/>
          <w:szCs w:val="24"/>
        </w:rPr>
        <w:t>2.1.10.1.</w:t>
      </w:r>
      <w:r w:rsidR="00176A1B" w:rsidRPr="00097504">
        <w:rPr>
          <w:rStyle w:val="Bodytext29pt"/>
          <w:b/>
          <w:sz w:val="24"/>
          <w:szCs w:val="24"/>
        </w:rPr>
        <w:tab/>
      </w:r>
      <w:r w:rsidRPr="00176A1B">
        <w:rPr>
          <w:rStyle w:val="Bodytext29pt"/>
          <w:b/>
          <w:sz w:val="24"/>
          <w:szCs w:val="24"/>
        </w:rPr>
        <w:t>Սորունությունը</w:t>
      </w:r>
    </w:p>
    <w:p w14:paraId="210E1EA9" w14:textId="77777777" w:rsidR="00B834A2" w:rsidRPr="00B834A2" w:rsidRDefault="00B834A2" w:rsidP="00176A1B">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Սորունության մասով փորձարկումը նախատեսված է կոշտ մասնիկների (օրինակ՝ փոշիների </w:t>
      </w:r>
      <w:r>
        <w:rPr>
          <w:rFonts w:ascii="Sylfaen" w:hAnsi="Sylfaen"/>
          <w:sz w:val="24"/>
          <w:szCs w:val="24"/>
        </w:rPr>
        <w:t>եւ</w:t>
      </w:r>
      <w:r w:rsidRPr="00B834A2">
        <w:rPr>
          <w:rFonts w:ascii="Sylfaen" w:hAnsi="Sylfaen"/>
          <w:sz w:val="24"/>
          <w:szCs w:val="24"/>
        </w:rPr>
        <w:t xml:space="preserve"> գրանուլների)՝ տրված պայմաններում ուղղահայաց ուղղությամբ սորելու ունակությունը որոշելու համար:</w:t>
      </w:r>
    </w:p>
    <w:p w14:paraId="35BB091F" w14:textId="77777777" w:rsidR="00B834A2" w:rsidRPr="00B834A2" w:rsidRDefault="00B834A2" w:rsidP="00B834A2">
      <w:pPr>
        <w:pStyle w:val="Bodytext20"/>
        <w:shd w:val="clear" w:color="auto" w:fill="auto"/>
        <w:spacing w:before="0" w:after="160" w:line="360" w:lineRule="auto"/>
        <w:ind w:firstLine="460"/>
        <w:rPr>
          <w:rFonts w:ascii="Sylfaen" w:hAnsi="Sylfaen" w:cs="Sylfaen"/>
          <w:b/>
          <w:sz w:val="24"/>
          <w:szCs w:val="24"/>
        </w:rPr>
      </w:pPr>
    </w:p>
    <w:p w14:paraId="6359A7ED" w14:textId="77777777" w:rsidR="00B834A2" w:rsidRPr="006B7DC5" w:rsidRDefault="00B834A2" w:rsidP="00176A1B">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ՍԱՐՔԱՎՈՐՈՒՄՆԵՐԸ</w:t>
      </w:r>
    </w:p>
    <w:p w14:paraId="018C1BBF" w14:textId="77777777" w:rsidR="00B834A2" w:rsidRPr="00B834A2" w:rsidRDefault="00B834A2" w:rsidP="00B834A2">
      <w:pPr>
        <w:spacing w:after="160" w:line="360" w:lineRule="auto"/>
        <w:ind w:firstLine="567"/>
        <w:jc w:val="both"/>
      </w:pPr>
      <w:r w:rsidRPr="00B834A2">
        <w:t xml:space="preserve">Պայմանավորված փորձարկվող նմուշի սորունությամբ՝ օգտագործում են ձագարներ՝ ելքային փողով կամ առանց դրա, ելքային անցքերի տարբեր անկյուններով </w:t>
      </w:r>
      <w:r>
        <w:t>եւ</w:t>
      </w:r>
      <w:r w:rsidRPr="00B834A2">
        <w:t xml:space="preserve"> տրամագծերով: Ելքային փողի բացակայության դեպքում օգտագործում են գլխադիրով ձագար: Տիպիկ ձագարները ներկայացված են 2.1.10.1-1 </w:t>
      </w:r>
      <w:r>
        <w:t>եւ</w:t>
      </w:r>
      <w:r w:rsidRPr="00B834A2">
        <w:t xml:space="preserve"> 2.1.10.1.-2 նկարներում: Ձագարը պահվում է ուղղահայաց դիրքով՝ հատուկ հարմարանքի օգնությամբ: Ամբողջ կոնստրուկցիան պետք է պաշտպանված լինի թրթռումից:</w:t>
      </w:r>
    </w:p>
    <w:p w14:paraId="77113065" w14:textId="77777777" w:rsidR="00B834A2" w:rsidRPr="00B834A2" w:rsidRDefault="00000000" w:rsidP="00B834A2">
      <w:pPr>
        <w:spacing w:after="160" w:line="360" w:lineRule="auto"/>
        <w:jc w:val="center"/>
      </w:pPr>
      <w:r>
        <w:rPr>
          <w:noProof/>
          <w:lang w:val="en-US" w:eastAsia="en-US" w:bidi="ar-SA"/>
        </w:rPr>
        <w:lastRenderedPageBreak/>
        <w:pict w14:anchorId="1F0849C3">
          <v:group id="_x0000_s1401" style="position:absolute;left:0;text-align:left;margin-left:191.6pt;margin-top:52.35pt;width:183.9pt;height:185.5pt;z-index:251941888" coordorigin="5250,2465" coordsize="3678,3710">
            <v:rect id="_x0000_s1203" style="position:absolute;left:7231;top:3030;width:1138;height:323" stroked="f">
              <v:textbox style="mso-next-textbox:#_x0000_s1203">
                <w:txbxContent>
                  <w:p w14:paraId="07CDA6E4" w14:textId="77777777" w:rsidR="008D6E8B" w:rsidRPr="005563E0" w:rsidRDefault="008D6E8B" w:rsidP="00B834A2">
                    <w:pPr>
                      <w:jc w:val="center"/>
                      <w:rPr>
                        <w:sz w:val="16"/>
                      </w:rPr>
                    </w:pPr>
                    <w:r w:rsidRPr="005563E0">
                      <w:rPr>
                        <w:sz w:val="16"/>
                      </w:rPr>
                      <w:t>Ձագար</w:t>
                    </w:r>
                  </w:p>
                </w:txbxContent>
              </v:textbox>
            </v:rect>
            <v:rect id="_x0000_s1204" style="position:absolute;left:7100;top:3767;width:1440;height:371" stroked="f">
              <v:textbox style="mso-next-textbox:#_x0000_s1204">
                <w:txbxContent>
                  <w:p w14:paraId="3D1009E8" w14:textId="77777777" w:rsidR="008D6E8B" w:rsidRPr="005563E0" w:rsidRDefault="008D6E8B" w:rsidP="00B834A2">
                    <w:pPr>
                      <w:jc w:val="center"/>
                      <w:rPr>
                        <w:sz w:val="12"/>
                      </w:rPr>
                    </w:pPr>
                    <w:r w:rsidRPr="005563E0">
                      <w:rPr>
                        <w:sz w:val="12"/>
                      </w:rPr>
                      <w:t>Կապակցող կցորդիչ</w:t>
                    </w:r>
                  </w:p>
                </w:txbxContent>
              </v:textbox>
            </v:rect>
            <v:rect id="_x0000_s1205" style="position:absolute;left:7231;top:4482;width:1521;height:322" stroked="f">
              <v:textbox style="mso-next-textbox:#_x0000_s1205">
                <w:txbxContent>
                  <w:p w14:paraId="0B55F637" w14:textId="77777777" w:rsidR="008D6E8B" w:rsidRPr="005563E0" w:rsidRDefault="008D6E8B" w:rsidP="00B834A2">
                    <w:pPr>
                      <w:jc w:val="center"/>
                      <w:rPr>
                        <w:sz w:val="14"/>
                      </w:rPr>
                    </w:pPr>
                    <w:r w:rsidRPr="005563E0">
                      <w:rPr>
                        <w:sz w:val="14"/>
                      </w:rPr>
                      <w:t>1,2 կամ 3 գլխադիր</w:t>
                    </w:r>
                  </w:p>
                </w:txbxContent>
              </v:textbox>
            </v:rect>
            <v:rect id="_x0000_s1206" style="position:absolute;left:7165;top:5334;width:1763;height:841" stroked="f">
              <v:textbox style="mso-next-textbox:#_x0000_s1206" inset="0,0,0,0">
                <w:txbxContent>
                  <w:p w14:paraId="73D2D63A" w14:textId="77777777" w:rsidR="008D6E8B" w:rsidRPr="001E21E6" w:rsidRDefault="008D6E8B" w:rsidP="001E21E6">
                    <w:pPr>
                      <w:jc w:val="center"/>
                      <w:rPr>
                        <w:sz w:val="10"/>
                      </w:rPr>
                    </w:pPr>
                    <w:r w:rsidRPr="001E21E6">
                      <w:rPr>
                        <w:sz w:val="14"/>
                      </w:rPr>
                      <w:t>1,2 կամ 3 գլխադիր՝ մեծ մասշտաբով</w:t>
                    </w:r>
                  </w:p>
                </w:txbxContent>
              </v:textbox>
            </v:rect>
            <v:rect id="_x0000_s1207" style="position:absolute;left:5250;top:2465;width:1311;height:376" stroked="f">
              <v:textbox style="mso-next-textbox:#_x0000_s1207">
                <w:txbxContent>
                  <w:p w14:paraId="69F242C4" w14:textId="77777777" w:rsidR="008D6E8B" w:rsidRPr="001E21E6" w:rsidRDefault="008D6E8B" w:rsidP="00B834A2">
                    <w:pPr>
                      <w:jc w:val="center"/>
                      <w:rPr>
                        <w:sz w:val="12"/>
                      </w:rPr>
                    </w:pPr>
                    <w:r w:rsidRPr="001E21E6">
                      <w:rPr>
                        <w:sz w:val="12"/>
                      </w:rPr>
                      <w:t>Ողորկվել է</w:t>
                    </w:r>
                  </w:p>
                </w:txbxContent>
              </v:textbox>
            </v:rect>
          </v:group>
        </w:pict>
      </w:r>
      <w:r w:rsidR="00B834A2" w:rsidRPr="00B834A2">
        <w:rPr>
          <w:noProof/>
          <w:lang w:val="en-US" w:eastAsia="en-US" w:bidi="ar-SA"/>
        </w:rPr>
        <w:drawing>
          <wp:inline distT="0" distB="0" distL="0" distR="0" wp14:anchorId="1C02791C" wp14:editId="25ECF4A6">
            <wp:extent cx="2862580" cy="3569970"/>
            <wp:effectExtent l="19050" t="0" r="0" b="0"/>
            <wp:docPr id="17" name="Picture 13"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6"/>
                    <pic:cNvPicPr>
                      <a:picLocks noChangeAspect="1" noChangeArrowheads="1"/>
                    </pic:cNvPicPr>
                  </pic:nvPicPr>
                  <pic:blipFill>
                    <a:blip r:embed="rId38" cstate="print"/>
                    <a:srcRect/>
                    <a:stretch>
                      <a:fillRect/>
                    </a:stretch>
                  </pic:blipFill>
                  <pic:spPr bwMode="auto">
                    <a:xfrm>
                      <a:off x="0" y="0"/>
                      <a:ext cx="2862580" cy="3569970"/>
                    </a:xfrm>
                    <a:prstGeom prst="rect">
                      <a:avLst/>
                    </a:prstGeom>
                    <a:noFill/>
                    <a:ln w="9525">
                      <a:noFill/>
                      <a:miter lim="800000"/>
                      <a:headEnd/>
                      <a:tailEnd/>
                    </a:ln>
                  </pic:spPr>
                </pic:pic>
              </a:graphicData>
            </a:graphic>
          </wp:inline>
        </w:drawing>
      </w:r>
    </w:p>
    <w:p w14:paraId="697A93DE" w14:textId="77777777" w:rsidR="00B834A2" w:rsidRPr="00A859E3" w:rsidRDefault="00B834A2" w:rsidP="00B834A2">
      <w:pPr>
        <w:spacing w:after="160" w:line="360" w:lineRule="auto"/>
        <w:ind w:firstLine="567"/>
        <w:rPr>
          <w:rStyle w:val="Bodytext530"/>
          <w:rFonts w:ascii="Sylfaen" w:eastAsia="Tahoma" w:hAnsi="Sylfaen"/>
          <w:szCs w:val="24"/>
        </w:rPr>
      </w:pPr>
      <w:r w:rsidRPr="00063A76">
        <w:rPr>
          <w:rStyle w:val="Bodytext53NotItalic"/>
          <w:rFonts w:ascii="Sylfaen" w:eastAsia="Tahoma" w:hAnsi="Sylfaen"/>
          <w:i w:val="0"/>
          <w:szCs w:val="24"/>
        </w:rPr>
        <w:t>Նկար 2.1.10.1-1</w:t>
      </w:r>
      <w:r w:rsidRPr="00176A1B">
        <w:rPr>
          <w:rStyle w:val="Bodytext53NotItalic"/>
          <w:rFonts w:ascii="Sylfaen" w:eastAsia="Tahoma" w:hAnsi="Sylfaen"/>
          <w:szCs w:val="24"/>
        </w:rPr>
        <w:t xml:space="preserve"> </w:t>
      </w:r>
      <w:r w:rsidR="009217DE">
        <w:rPr>
          <w:rStyle w:val="Bodytext53NotItalic"/>
          <w:rFonts w:ascii="Sylfaen" w:eastAsia="Tahoma" w:hAnsi="Sylfaen"/>
          <w:szCs w:val="24"/>
        </w:rPr>
        <w:t>-</w:t>
      </w:r>
      <w:r w:rsidRPr="00176A1B">
        <w:rPr>
          <w:rStyle w:val="Bodytext53NotItalic"/>
          <w:rFonts w:ascii="Sylfaen" w:eastAsia="Tahoma" w:hAnsi="Sylfaen"/>
          <w:szCs w:val="24"/>
        </w:rPr>
        <w:t xml:space="preserve"> </w:t>
      </w:r>
      <w:r w:rsidRPr="00176A1B">
        <w:rPr>
          <w:rStyle w:val="Bodytext530"/>
          <w:rFonts w:ascii="Sylfaen" w:eastAsia="Tahoma" w:hAnsi="Sylfaen"/>
          <w:szCs w:val="24"/>
        </w:rPr>
        <w:t>Առանց ելքային փողի ձագար եւ գլխադիր: Գլխադիրը պատրաստված է չժանգոտվող թթվահեստ պողպատից (V4А, СrNi): Չափերը նշված են միլիմետրերով</w:t>
      </w:r>
    </w:p>
    <w:p w14:paraId="1E8796B9" w14:textId="77777777" w:rsidR="00BA4B30" w:rsidRPr="00A859E3" w:rsidRDefault="00BA4B30" w:rsidP="00063A76">
      <w:pPr>
        <w:spacing w:line="360" w:lineRule="auto"/>
        <w:ind w:firstLine="567"/>
        <w:rPr>
          <w:i/>
          <w:sz w:val="20"/>
        </w:rPr>
      </w:pPr>
    </w:p>
    <w:tbl>
      <w:tblPr>
        <w:tblOverlap w:val="never"/>
        <w:tblW w:w="0" w:type="auto"/>
        <w:tblLayout w:type="fixed"/>
        <w:tblCellMar>
          <w:left w:w="10" w:type="dxa"/>
          <w:right w:w="10" w:type="dxa"/>
        </w:tblCellMar>
        <w:tblLook w:val="0000" w:firstRow="0" w:lastRow="0" w:firstColumn="0" w:lastColumn="0" w:noHBand="0" w:noVBand="0"/>
      </w:tblPr>
      <w:tblGrid>
        <w:gridCol w:w="1291"/>
        <w:gridCol w:w="3681"/>
      </w:tblGrid>
      <w:tr w:rsidR="00B834A2" w:rsidRPr="005563E0" w14:paraId="27B38DAE" w14:textId="77777777" w:rsidTr="005563E0">
        <w:tc>
          <w:tcPr>
            <w:tcW w:w="1291" w:type="dxa"/>
            <w:tcBorders>
              <w:top w:val="single" w:sz="4" w:space="0" w:color="auto"/>
            </w:tcBorders>
            <w:shd w:val="clear" w:color="auto" w:fill="FFFFFF"/>
            <w:vAlign w:val="center"/>
          </w:tcPr>
          <w:p w14:paraId="52AE0056" w14:textId="77777777" w:rsidR="00B834A2" w:rsidRPr="00F37D51" w:rsidRDefault="00F37D51" w:rsidP="005563E0">
            <w:pPr>
              <w:pStyle w:val="Bodytext20"/>
              <w:shd w:val="clear" w:color="auto" w:fill="auto"/>
              <w:spacing w:before="0" w:line="240" w:lineRule="auto"/>
              <w:rPr>
                <w:rFonts w:ascii="Sylfaen" w:hAnsi="Sylfaen" w:cs="Sylfaen"/>
                <w:sz w:val="20"/>
                <w:szCs w:val="24"/>
              </w:rPr>
            </w:pPr>
            <w:r w:rsidRPr="00F37D51">
              <w:rPr>
                <w:rFonts w:ascii="Sylfaen" w:hAnsi="Sylfaen"/>
                <w:i/>
                <w:sz w:val="20"/>
              </w:rPr>
              <w:t>Գլխադիր</w:t>
            </w:r>
          </w:p>
        </w:tc>
        <w:tc>
          <w:tcPr>
            <w:tcW w:w="3681" w:type="dxa"/>
            <w:tcBorders>
              <w:top w:val="single" w:sz="4" w:space="0" w:color="auto"/>
            </w:tcBorders>
            <w:shd w:val="clear" w:color="auto" w:fill="FFFFFF"/>
            <w:vAlign w:val="center"/>
          </w:tcPr>
          <w:p w14:paraId="784FC7DE" w14:textId="77777777" w:rsidR="00B834A2" w:rsidRPr="00F37D51" w:rsidRDefault="00F37D51" w:rsidP="00F37D51">
            <w:pPr>
              <w:pStyle w:val="Bodytext20"/>
              <w:shd w:val="clear" w:color="auto" w:fill="auto"/>
              <w:spacing w:before="0" w:line="240" w:lineRule="auto"/>
              <w:ind w:left="240"/>
              <w:rPr>
                <w:rFonts w:ascii="Sylfaen" w:hAnsi="Sylfaen" w:cs="Sylfaen"/>
                <w:sz w:val="20"/>
                <w:szCs w:val="24"/>
              </w:rPr>
            </w:pPr>
            <w:r w:rsidRPr="00F37D51">
              <w:rPr>
                <w:rFonts w:ascii="Sylfaen" w:hAnsi="Sylfaen"/>
                <w:i/>
                <w:sz w:val="20"/>
              </w:rPr>
              <w:t>Ելքային ա</w:t>
            </w:r>
            <w:r>
              <w:rPr>
                <w:rFonts w:ascii="Sylfaen" w:hAnsi="Sylfaen"/>
                <w:i/>
                <w:sz w:val="20"/>
              </w:rPr>
              <w:t>ն</w:t>
            </w:r>
            <w:r w:rsidRPr="00F37D51">
              <w:rPr>
                <w:rFonts w:ascii="Sylfaen" w:hAnsi="Sylfaen"/>
                <w:i/>
                <w:sz w:val="20"/>
              </w:rPr>
              <w:t>ցքի (մմ) տրամագիծը (D)</w:t>
            </w:r>
          </w:p>
        </w:tc>
      </w:tr>
      <w:tr w:rsidR="00B834A2" w:rsidRPr="005563E0" w14:paraId="2AA718C3" w14:textId="77777777" w:rsidTr="005563E0">
        <w:tc>
          <w:tcPr>
            <w:tcW w:w="1291" w:type="dxa"/>
            <w:tcBorders>
              <w:top w:val="single" w:sz="4" w:space="0" w:color="auto"/>
            </w:tcBorders>
            <w:shd w:val="clear" w:color="auto" w:fill="FFFFFF"/>
            <w:vAlign w:val="bottom"/>
          </w:tcPr>
          <w:p w14:paraId="2E4F13C5"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85pt"/>
                <w:spacing w:val="0"/>
                <w:sz w:val="20"/>
                <w:szCs w:val="24"/>
              </w:rPr>
              <w:t>1</w:t>
            </w:r>
          </w:p>
        </w:tc>
        <w:tc>
          <w:tcPr>
            <w:tcW w:w="3681" w:type="dxa"/>
            <w:tcBorders>
              <w:top w:val="single" w:sz="4" w:space="0" w:color="auto"/>
            </w:tcBorders>
            <w:shd w:val="clear" w:color="auto" w:fill="FFFFFF"/>
            <w:vAlign w:val="center"/>
          </w:tcPr>
          <w:p w14:paraId="2AB631F4"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85pt"/>
                <w:spacing w:val="0"/>
                <w:sz w:val="20"/>
                <w:szCs w:val="24"/>
              </w:rPr>
              <w:t>10,00 ±0,01</w:t>
            </w:r>
          </w:p>
        </w:tc>
      </w:tr>
      <w:tr w:rsidR="00B834A2" w:rsidRPr="005563E0" w14:paraId="04F1F5DF" w14:textId="77777777" w:rsidTr="005563E0">
        <w:tc>
          <w:tcPr>
            <w:tcW w:w="1291" w:type="dxa"/>
            <w:shd w:val="clear" w:color="auto" w:fill="FFFFFF"/>
            <w:vAlign w:val="center"/>
          </w:tcPr>
          <w:p w14:paraId="676DB061"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85pt"/>
                <w:spacing w:val="0"/>
                <w:sz w:val="20"/>
                <w:szCs w:val="24"/>
              </w:rPr>
              <w:t>2</w:t>
            </w:r>
          </w:p>
        </w:tc>
        <w:tc>
          <w:tcPr>
            <w:tcW w:w="3681" w:type="dxa"/>
            <w:shd w:val="clear" w:color="auto" w:fill="FFFFFF"/>
            <w:vAlign w:val="center"/>
          </w:tcPr>
          <w:p w14:paraId="76145446"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85pt"/>
                <w:spacing w:val="0"/>
                <w:sz w:val="20"/>
                <w:szCs w:val="24"/>
              </w:rPr>
              <w:t>15,00 ±0,01</w:t>
            </w:r>
          </w:p>
        </w:tc>
      </w:tr>
      <w:tr w:rsidR="00BA4B30" w:rsidRPr="005563E0" w14:paraId="477377B6" w14:textId="77777777" w:rsidTr="00BA4B30">
        <w:tc>
          <w:tcPr>
            <w:tcW w:w="1291" w:type="dxa"/>
            <w:tcBorders>
              <w:bottom w:val="single" w:sz="8" w:space="0" w:color="auto"/>
            </w:tcBorders>
            <w:shd w:val="clear" w:color="auto" w:fill="FFFFFF"/>
            <w:vAlign w:val="center"/>
          </w:tcPr>
          <w:p w14:paraId="517229FA" w14:textId="77777777" w:rsidR="00BA4B30" w:rsidRPr="005563E0" w:rsidRDefault="00BA4B30" w:rsidP="005563E0">
            <w:pPr>
              <w:pStyle w:val="Bodytext20"/>
              <w:shd w:val="clear" w:color="auto" w:fill="auto"/>
              <w:spacing w:before="0" w:line="240" w:lineRule="auto"/>
              <w:rPr>
                <w:rStyle w:val="Bodytext285pt"/>
                <w:spacing w:val="0"/>
                <w:sz w:val="20"/>
                <w:szCs w:val="24"/>
              </w:rPr>
            </w:pPr>
            <w:r w:rsidRPr="005563E0">
              <w:rPr>
                <w:rStyle w:val="Bodytext285pt"/>
                <w:spacing w:val="0"/>
                <w:sz w:val="20"/>
                <w:szCs w:val="24"/>
              </w:rPr>
              <w:t>3</w:t>
            </w:r>
          </w:p>
        </w:tc>
        <w:tc>
          <w:tcPr>
            <w:tcW w:w="3681" w:type="dxa"/>
            <w:tcBorders>
              <w:bottom w:val="single" w:sz="8" w:space="0" w:color="auto"/>
            </w:tcBorders>
            <w:shd w:val="clear" w:color="auto" w:fill="FFFFFF"/>
            <w:vAlign w:val="center"/>
          </w:tcPr>
          <w:p w14:paraId="23C13DFA" w14:textId="77777777" w:rsidR="00BA4B30" w:rsidRPr="005563E0" w:rsidRDefault="00BA4B30" w:rsidP="005563E0">
            <w:pPr>
              <w:pStyle w:val="Bodytext20"/>
              <w:shd w:val="clear" w:color="auto" w:fill="auto"/>
              <w:spacing w:before="0" w:line="240" w:lineRule="auto"/>
              <w:rPr>
                <w:rStyle w:val="Bodytext285pt"/>
                <w:spacing w:val="0"/>
                <w:sz w:val="20"/>
                <w:szCs w:val="24"/>
              </w:rPr>
            </w:pPr>
            <w:r w:rsidRPr="005563E0">
              <w:rPr>
                <w:rStyle w:val="Bodytext285pt"/>
                <w:spacing w:val="0"/>
                <w:sz w:val="20"/>
                <w:szCs w:val="24"/>
              </w:rPr>
              <w:t>25,00 ±0,01</w:t>
            </w:r>
          </w:p>
        </w:tc>
      </w:tr>
    </w:tbl>
    <w:p w14:paraId="33C45D6E" w14:textId="77777777" w:rsidR="00BA4B30" w:rsidRDefault="00BA4B30">
      <w:pPr>
        <w:rPr>
          <w:lang w:val="en-US"/>
        </w:rPr>
      </w:pPr>
    </w:p>
    <w:p w14:paraId="0F411669" w14:textId="77777777" w:rsidR="00B834A2" w:rsidRPr="00B834A2" w:rsidRDefault="00B834A2" w:rsidP="00063A76">
      <w:pPr>
        <w:spacing w:after="160" w:line="360" w:lineRule="auto"/>
        <w:jc w:val="center"/>
      </w:pPr>
      <w:r w:rsidRPr="00B834A2">
        <w:rPr>
          <w:noProof/>
          <w:lang w:val="en-US" w:eastAsia="en-US" w:bidi="ar-SA"/>
        </w:rPr>
        <w:drawing>
          <wp:inline distT="0" distB="0" distL="0" distR="0" wp14:anchorId="0E72571B" wp14:editId="53844F45">
            <wp:extent cx="2073456" cy="2027583"/>
            <wp:effectExtent l="19050" t="0" r="2994" b="0"/>
            <wp:docPr id="18" name="Picture 16"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7"/>
                    <pic:cNvPicPr>
                      <a:picLocks noChangeAspect="1" noChangeArrowheads="1"/>
                    </pic:cNvPicPr>
                  </pic:nvPicPr>
                  <pic:blipFill>
                    <a:blip r:embed="rId39" cstate="print"/>
                    <a:srcRect/>
                    <a:stretch>
                      <a:fillRect/>
                    </a:stretch>
                  </pic:blipFill>
                  <pic:spPr bwMode="auto">
                    <a:xfrm>
                      <a:off x="0" y="0"/>
                      <a:ext cx="2074414" cy="2028519"/>
                    </a:xfrm>
                    <a:prstGeom prst="rect">
                      <a:avLst/>
                    </a:prstGeom>
                    <a:noFill/>
                    <a:ln w="9525">
                      <a:noFill/>
                      <a:miter lim="800000"/>
                      <a:headEnd/>
                      <a:tailEnd/>
                    </a:ln>
                  </pic:spPr>
                </pic:pic>
              </a:graphicData>
            </a:graphic>
          </wp:inline>
        </w:drawing>
      </w:r>
    </w:p>
    <w:p w14:paraId="4F057EA1" w14:textId="77777777" w:rsidR="00B834A2" w:rsidRDefault="00B834A2" w:rsidP="00B834A2">
      <w:pPr>
        <w:spacing w:after="160" w:line="360" w:lineRule="auto"/>
        <w:ind w:firstLine="567"/>
        <w:jc w:val="both"/>
        <w:rPr>
          <w:rStyle w:val="Bodytext530"/>
          <w:rFonts w:ascii="Sylfaen" w:eastAsia="Tahoma" w:hAnsi="Sylfaen"/>
          <w:szCs w:val="24"/>
        </w:rPr>
      </w:pPr>
      <w:r w:rsidRPr="00063A76">
        <w:rPr>
          <w:rStyle w:val="Bodytext53NotItalic"/>
          <w:rFonts w:ascii="Sylfaen" w:eastAsia="Tahoma" w:hAnsi="Sylfaen"/>
          <w:i w:val="0"/>
          <w:szCs w:val="24"/>
        </w:rPr>
        <w:t>Նկար 2.1.10.1-2</w:t>
      </w:r>
      <w:r w:rsidRPr="005563E0">
        <w:rPr>
          <w:rStyle w:val="Bodytext53NotItalic"/>
          <w:rFonts w:ascii="Sylfaen" w:eastAsia="Tahoma" w:hAnsi="Sylfaen"/>
          <w:szCs w:val="24"/>
        </w:rPr>
        <w:t xml:space="preserve"> </w:t>
      </w:r>
      <w:r w:rsidR="009217DE">
        <w:rPr>
          <w:rStyle w:val="Bodytext53NotItalic"/>
          <w:rFonts w:ascii="Sylfaen" w:eastAsia="Tahoma" w:hAnsi="Sylfaen"/>
          <w:szCs w:val="24"/>
        </w:rPr>
        <w:t>-</w:t>
      </w:r>
      <w:r w:rsidRPr="005563E0">
        <w:rPr>
          <w:rStyle w:val="Bodytext53NotItalic"/>
          <w:rFonts w:ascii="Sylfaen" w:eastAsia="Tahoma" w:hAnsi="Sylfaen"/>
          <w:szCs w:val="24"/>
        </w:rPr>
        <w:t xml:space="preserve"> </w:t>
      </w:r>
      <w:r w:rsidRPr="005563E0">
        <w:rPr>
          <w:rStyle w:val="Bodytext530"/>
          <w:rFonts w:ascii="Sylfaen" w:eastAsia="Tahoma" w:hAnsi="Sylfaen"/>
          <w:szCs w:val="24"/>
        </w:rPr>
        <w:t>Ելքային փողով ձագար: Չափերը նշված են միլիմետրերով</w:t>
      </w:r>
    </w:p>
    <w:p w14:paraId="20D7C114" w14:textId="77777777" w:rsidR="00F37D51" w:rsidRPr="005563E0" w:rsidRDefault="00F37D51" w:rsidP="00B834A2">
      <w:pPr>
        <w:spacing w:after="160" w:line="360" w:lineRule="auto"/>
        <w:ind w:firstLine="567"/>
        <w:jc w:val="both"/>
        <w:rPr>
          <w:sz w:val="20"/>
        </w:rPr>
      </w:pPr>
    </w:p>
    <w:p w14:paraId="1016E6E6" w14:textId="77777777" w:rsidR="00B834A2" w:rsidRPr="006B7DC5" w:rsidRDefault="00B834A2" w:rsidP="005563E0">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lastRenderedPageBreak/>
        <w:t>ՄԵԹՈԴԻԿԱ</w:t>
      </w:r>
    </w:p>
    <w:p w14:paraId="59A4B5B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Չոր ձագարի մեջ, որի ելքային անցքը համապատասխան ձ</w:t>
      </w:r>
      <w:r>
        <w:rPr>
          <w:rFonts w:ascii="Sylfaen" w:hAnsi="Sylfaen"/>
          <w:sz w:val="24"/>
          <w:szCs w:val="24"/>
        </w:rPr>
        <w:t>եւ</w:t>
      </w:r>
      <w:r w:rsidRPr="00B834A2">
        <w:rPr>
          <w:rFonts w:ascii="Sylfaen" w:hAnsi="Sylfaen"/>
          <w:sz w:val="24"/>
          <w:szCs w:val="24"/>
        </w:rPr>
        <w:t>ով փակ է, առանց խտացման տեղադրվում է մինչ</w:t>
      </w:r>
      <w:r>
        <w:rPr>
          <w:rFonts w:ascii="Sylfaen" w:hAnsi="Sylfaen"/>
          <w:sz w:val="24"/>
          <w:szCs w:val="24"/>
        </w:rPr>
        <w:t>եւ</w:t>
      </w:r>
      <w:r w:rsidRPr="00B834A2">
        <w:rPr>
          <w:rFonts w:ascii="Sylfaen" w:hAnsi="Sylfaen"/>
          <w:sz w:val="24"/>
          <w:szCs w:val="24"/>
        </w:rPr>
        <w:t xml:space="preserve"> 0,5 % ճշգրտությամբ կշռված </w:t>
      </w:r>
      <w:r w:rsidRPr="00F37D51">
        <w:rPr>
          <w:rFonts w:ascii="Sylfaen" w:hAnsi="Sylfaen"/>
          <w:spacing w:val="-4"/>
          <w:sz w:val="24"/>
          <w:szCs w:val="24"/>
        </w:rPr>
        <w:t>փորձարկվող նմուշի կշռանմուշ: Փորձարկվող նմուշի քանակը պայմանավորված է դրա թվացյալ</w:t>
      </w:r>
      <w:r w:rsidRPr="00B834A2">
        <w:rPr>
          <w:rFonts w:ascii="Sylfaen" w:hAnsi="Sylfaen"/>
          <w:sz w:val="24"/>
          <w:szCs w:val="24"/>
        </w:rPr>
        <w:t xml:space="preserve"> (լցրած) ծավալով </w:t>
      </w:r>
      <w:r>
        <w:rPr>
          <w:rFonts w:ascii="Sylfaen" w:hAnsi="Sylfaen"/>
          <w:sz w:val="24"/>
          <w:szCs w:val="24"/>
        </w:rPr>
        <w:t>եւ</w:t>
      </w:r>
      <w:r w:rsidRPr="00B834A2">
        <w:rPr>
          <w:rFonts w:ascii="Sylfaen" w:hAnsi="Sylfaen"/>
          <w:sz w:val="24"/>
          <w:szCs w:val="24"/>
        </w:rPr>
        <w:t xml:space="preserve"> օգտագործվող սարքավորումներով: Բացում են ձագարի ելքային անցքը </w:t>
      </w:r>
      <w:r>
        <w:rPr>
          <w:rFonts w:ascii="Sylfaen" w:hAnsi="Sylfaen"/>
          <w:sz w:val="24"/>
          <w:szCs w:val="24"/>
        </w:rPr>
        <w:t>եւ</w:t>
      </w:r>
      <w:r w:rsidRPr="00B834A2">
        <w:rPr>
          <w:rFonts w:ascii="Sylfaen" w:hAnsi="Sylfaen"/>
          <w:sz w:val="24"/>
          <w:szCs w:val="24"/>
        </w:rPr>
        <w:t xml:space="preserve"> որոշում են այն ժամանակը, որն անհրաժեշտ է փորձարկվող նմուշը ձագարից ամբողջությամբ սորելու համար: Կատարում են 3</w:t>
      </w:r>
      <w:r w:rsidR="00F37D51">
        <w:rPr>
          <w:rFonts w:ascii="Sylfaen" w:hAnsi="Sylfaen"/>
          <w:sz w:val="24"/>
          <w:szCs w:val="24"/>
        </w:rPr>
        <w:t> </w:t>
      </w:r>
      <w:r w:rsidRPr="00B834A2">
        <w:rPr>
          <w:rFonts w:ascii="Sylfaen" w:hAnsi="Sylfaen"/>
          <w:sz w:val="24"/>
          <w:szCs w:val="24"/>
        </w:rPr>
        <w:t>չափում։</w:t>
      </w:r>
    </w:p>
    <w:p w14:paraId="1EDCBF45"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p>
    <w:p w14:paraId="15A288F8" w14:textId="77777777" w:rsidR="00B834A2" w:rsidRPr="006B7DC5" w:rsidRDefault="00B834A2" w:rsidP="005563E0">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ԱՐԴՅՈՒՆՔՆԵՐԸ ՆԵՐԿԱՅԱՑՆԵԼԸ</w:t>
      </w:r>
    </w:p>
    <w:p w14:paraId="176D4FD6" w14:textId="77777777" w:rsidR="00B834A2" w:rsidRPr="00B834A2" w:rsidRDefault="00B834A2" w:rsidP="005563E0">
      <w:pPr>
        <w:spacing w:after="160" w:line="360" w:lineRule="auto"/>
        <w:ind w:firstLine="567"/>
        <w:jc w:val="both"/>
      </w:pPr>
      <w:r w:rsidRPr="00B834A2">
        <w:t xml:space="preserve">Սորունությունն արտահայտում են 100 գ փորձարկվող նմուշի նկատմամբ վայրկյաններով </w:t>
      </w:r>
      <w:r>
        <w:t>եւ</w:t>
      </w:r>
      <w:r w:rsidRPr="00B834A2">
        <w:t xml:space="preserve"> վայրկյանների տասներորդ բաժիններով: </w:t>
      </w:r>
    </w:p>
    <w:p w14:paraId="579C91FE"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Արդյունքները պայմանավորված են փորձարկվող նմուշի պահպանման պայմաններով: Արդյունքները կարող են ներկայացվել հետ</w:t>
      </w:r>
      <w:r>
        <w:rPr>
          <w:rFonts w:ascii="Sylfaen" w:hAnsi="Sylfaen"/>
          <w:sz w:val="24"/>
          <w:szCs w:val="24"/>
        </w:rPr>
        <w:t>եւ</w:t>
      </w:r>
      <w:r w:rsidRPr="00B834A2">
        <w:rPr>
          <w:rFonts w:ascii="Sylfaen" w:hAnsi="Sylfaen"/>
          <w:sz w:val="24"/>
          <w:szCs w:val="24"/>
        </w:rPr>
        <w:t>յալ կերպ.</w:t>
      </w:r>
    </w:p>
    <w:p w14:paraId="2C99A187"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ա)</w:t>
      </w:r>
      <w:r w:rsidR="005563E0" w:rsidRPr="005563E0">
        <w:rPr>
          <w:rFonts w:ascii="Sylfaen" w:hAnsi="Sylfaen"/>
          <w:sz w:val="24"/>
          <w:szCs w:val="24"/>
        </w:rPr>
        <w:tab/>
      </w:r>
      <w:r w:rsidRPr="00B834A2">
        <w:rPr>
          <w:rFonts w:ascii="Sylfaen" w:hAnsi="Sylfaen"/>
          <w:sz w:val="24"/>
          <w:szCs w:val="24"/>
        </w:rPr>
        <w:t>ստացված արդյունքների միջին արժեքի տեսքով՝ պայմանով, որ արդյունքներից ոչ մեկը չի շեղվում միջին արժեքից ավելի, քան 10 %-ով.</w:t>
      </w:r>
    </w:p>
    <w:p w14:paraId="1CD6933C"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F37D51">
        <w:rPr>
          <w:rFonts w:ascii="Sylfaen" w:hAnsi="Sylfaen"/>
          <w:spacing w:val="-4"/>
          <w:sz w:val="24"/>
          <w:szCs w:val="24"/>
        </w:rPr>
        <w:t>բ)</w:t>
      </w:r>
      <w:r w:rsidR="005563E0" w:rsidRPr="00F37D51">
        <w:rPr>
          <w:rFonts w:ascii="Sylfaen" w:hAnsi="Sylfaen"/>
          <w:spacing w:val="-4"/>
          <w:sz w:val="24"/>
          <w:szCs w:val="24"/>
        </w:rPr>
        <w:tab/>
      </w:r>
      <w:r w:rsidRPr="00F37D51">
        <w:rPr>
          <w:rFonts w:ascii="Sylfaen" w:hAnsi="Sylfaen"/>
          <w:spacing w:val="-4"/>
          <w:sz w:val="24"/>
          <w:szCs w:val="24"/>
        </w:rPr>
        <w:t>արժեքների ընդգրկույթի տեսքով, եթե առանձին արդյունքները շեղվում են միջին</w:t>
      </w:r>
      <w:r w:rsidRPr="00B834A2">
        <w:rPr>
          <w:rFonts w:ascii="Sylfaen" w:hAnsi="Sylfaen"/>
          <w:sz w:val="24"/>
          <w:szCs w:val="24"/>
        </w:rPr>
        <w:t xml:space="preserve"> արժեքից ավելի, քան 10 %-ով.</w:t>
      </w:r>
    </w:p>
    <w:p w14:paraId="6EDB1A71"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գ)</w:t>
      </w:r>
      <w:r w:rsidR="005563E0" w:rsidRPr="005563E0">
        <w:rPr>
          <w:rFonts w:ascii="Sylfaen" w:hAnsi="Sylfaen"/>
          <w:sz w:val="24"/>
          <w:szCs w:val="24"/>
        </w:rPr>
        <w:tab/>
      </w:r>
      <w:r w:rsidRPr="00B834A2">
        <w:rPr>
          <w:rFonts w:ascii="Sylfaen" w:hAnsi="Sylfaen"/>
          <w:sz w:val="24"/>
          <w:szCs w:val="24"/>
        </w:rPr>
        <w:t>զանգվածի՝ թափվելու ժամանակից կախվածության գրաֆիկի տեսքով.</w:t>
      </w:r>
    </w:p>
    <w:p w14:paraId="66926359" w14:textId="77777777" w:rsidR="00B834A2" w:rsidRDefault="00B834A2" w:rsidP="005563E0">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դ)</w:t>
      </w:r>
      <w:r w:rsidR="005563E0" w:rsidRPr="005563E0">
        <w:rPr>
          <w:rFonts w:ascii="Sylfaen" w:hAnsi="Sylfaen"/>
          <w:sz w:val="24"/>
          <w:szCs w:val="24"/>
        </w:rPr>
        <w:tab/>
      </w:r>
      <w:r w:rsidRPr="00B834A2">
        <w:rPr>
          <w:rFonts w:ascii="Sylfaen" w:hAnsi="Sylfaen"/>
          <w:sz w:val="24"/>
          <w:szCs w:val="24"/>
        </w:rPr>
        <w:t>ձագարից փոշին ոչ ամբողջությամբ թափվելու դեպքում սորունություն չունեցող փորձարկվող նմուշի համար անհրաժեշտ ժամանակի տեսքով:</w:t>
      </w:r>
    </w:p>
    <w:p w14:paraId="18FA48BE" w14:textId="77777777" w:rsidR="00F37D51" w:rsidRPr="00B834A2" w:rsidRDefault="00F37D51"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p>
    <w:p w14:paraId="54C55AB8" w14:textId="77777777" w:rsidR="00C96025" w:rsidRDefault="00C96025">
      <w:pPr>
        <w:rPr>
          <w:rStyle w:val="Bodytext29pt"/>
          <w:b/>
          <w:sz w:val="20"/>
          <w:szCs w:val="24"/>
        </w:rPr>
      </w:pPr>
      <w:r>
        <w:rPr>
          <w:rStyle w:val="Bodytext29pt"/>
          <w:b/>
          <w:sz w:val="20"/>
          <w:szCs w:val="24"/>
        </w:rPr>
        <w:br w:type="page"/>
      </w:r>
    </w:p>
    <w:p w14:paraId="32361970" w14:textId="77777777" w:rsidR="00B834A2" w:rsidRPr="00F37D51" w:rsidRDefault="00B834A2" w:rsidP="00B834A2">
      <w:pPr>
        <w:pStyle w:val="Bodytext20"/>
        <w:shd w:val="clear" w:color="auto" w:fill="auto"/>
        <w:spacing w:before="0" w:after="160" w:line="360" w:lineRule="auto"/>
        <w:ind w:right="160"/>
        <w:jc w:val="right"/>
        <w:rPr>
          <w:rStyle w:val="Bodytext29pt"/>
          <w:b/>
          <w:sz w:val="20"/>
          <w:szCs w:val="24"/>
        </w:rPr>
      </w:pPr>
      <w:r w:rsidRPr="00F37D51">
        <w:rPr>
          <w:rStyle w:val="Bodytext29pt"/>
          <w:b/>
          <w:sz w:val="20"/>
          <w:szCs w:val="24"/>
        </w:rPr>
        <w:lastRenderedPageBreak/>
        <w:t>201100002-2022</w:t>
      </w:r>
    </w:p>
    <w:p w14:paraId="607ABA4C" w14:textId="77777777" w:rsidR="00F37D51" w:rsidRPr="00F37D51" w:rsidRDefault="00F37D51" w:rsidP="00B834A2">
      <w:pPr>
        <w:pStyle w:val="Bodytext20"/>
        <w:shd w:val="clear" w:color="auto" w:fill="auto"/>
        <w:spacing w:before="0" w:after="160" w:line="360" w:lineRule="auto"/>
        <w:ind w:right="160"/>
        <w:jc w:val="right"/>
        <w:rPr>
          <w:rFonts w:ascii="Sylfaen" w:hAnsi="Sylfaen" w:cs="Sylfaen"/>
          <w:b/>
          <w:sz w:val="20"/>
          <w:szCs w:val="24"/>
        </w:rPr>
      </w:pPr>
    </w:p>
    <w:p w14:paraId="5F49E2EE" w14:textId="77777777" w:rsidR="00B834A2" w:rsidRPr="005563E0" w:rsidRDefault="00B834A2" w:rsidP="005563E0">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5563E0">
        <w:rPr>
          <w:rStyle w:val="Bodytext29pt"/>
          <w:b/>
          <w:sz w:val="24"/>
          <w:szCs w:val="24"/>
        </w:rPr>
        <w:t>2.1.10.2.</w:t>
      </w:r>
      <w:r w:rsidR="005563E0" w:rsidRPr="00097504">
        <w:rPr>
          <w:rStyle w:val="Bodytext29pt"/>
          <w:b/>
          <w:sz w:val="24"/>
          <w:szCs w:val="24"/>
        </w:rPr>
        <w:tab/>
      </w:r>
      <w:r w:rsidRPr="005563E0">
        <w:rPr>
          <w:rStyle w:val="Bodytext29pt"/>
          <w:b/>
          <w:sz w:val="24"/>
          <w:szCs w:val="24"/>
        </w:rPr>
        <w:t>Փոշիների սորունությունը</w:t>
      </w:r>
    </w:p>
    <w:p w14:paraId="30939ED3"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Դեղագործական արդյունաբերությունում փոշիների տարածված օգտագործումը հանգեցրել է դրանց սորունության բնութագրերի համար տարատեսակ մեթոդների առաջացման: Ձեռնարկվում է փորձ՝ փոշիների սորունության տարբեր չափորոշիչների </w:t>
      </w:r>
      <w:r>
        <w:rPr>
          <w:rFonts w:ascii="Sylfaen" w:hAnsi="Sylfaen"/>
          <w:sz w:val="24"/>
          <w:szCs w:val="24"/>
        </w:rPr>
        <w:t>եւ</w:t>
      </w:r>
      <w:r w:rsidRPr="00B834A2">
        <w:rPr>
          <w:rFonts w:ascii="Sylfaen" w:hAnsi="Sylfaen"/>
          <w:sz w:val="24"/>
          <w:szCs w:val="24"/>
        </w:rPr>
        <w:t xml:space="preserve"> արտադրական գործընթացի հետ կապը սահմանելու համար: Փորձարկումների տարատեսակ մեթոդիկաների այդքան մեծ քանակության մշակումը եղել է անխուսափելի, քանի որ փոշիների վարքը բազմատեսակ է, ինչն էլ բարդացնում է դրանց սորունությունը բնութագրելու փորձերը:</w:t>
      </w:r>
    </w:p>
    <w:p w14:paraId="2A40E0BE"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Տվյալ ընդհանուր դեղագրքային հոդվածի նպատակը դեղագործական գործելակերպում առավել հաճախ հանդիպող՝ փոշիների սորունության գնահատման մեթոդների ամփոփումն է:</w:t>
      </w:r>
    </w:p>
    <w:p w14:paraId="15FA9592"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Փոշու սորունության գնահատման ցանկացած մեթոդ պետք է լինի պրակտիկ, վերարտադրելի </w:t>
      </w:r>
      <w:r>
        <w:rPr>
          <w:rFonts w:ascii="Sylfaen" w:hAnsi="Sylfaen"/>
          <w:sz w:val="24"/>
          <w:szCs w:val="24"/>
        </w:rPr>
        <w:t>եւ</w:t>
      </w:r>
      <w:r w:rsidRPr="00B834A2">
        <w:rPr>
          <w:rFonts w:ascii="Sylfaen" w:hAnsi="Sylfaen"/>
          <w:sz w:val="24"/>
          <w:szCs w:val="24"/>
        </w:rPr>
        <w:t xml:space="preserve"> զգայուն, ինչպես նա</w:t>
      </w:r>
      <w:r>
        <w:rPr>
          <w:rFonts w:ascii="Sylfaen" w:hAnsi="Sylfaen"/>
          <w:sz w:val="24"/>
          <w:szCs w:val="24"/>
        </w:rPr>
        <w:t>եւ</w:t>
      </w:r>
      <w:r w:rsidRPr="00B834A2">
        <w:rPr>
          <w:rFonts w:ascii="Sylfaen" w:hAnsi="Sylfaen"/>
          <w:sz w:val="24"/>
          <w:szCs w:val="24"/>
        </w:rPr>
        <w:t xml:space="preserve"> պետք է ապահովի ինֆորմատիվ արդյունքների ստացումը: Սակայն փոշիների սորունությունը որոշելու ոչ մի պարզ մեթոդ չի կարող ադեկվատ </w:t>
      </w:r>
      <w:r>
        <w:rPr>
          <w:rFonts w:ascii="Sylfaen" w:hAnsi="Sylfaen"/>
          <w:sz w:val="24"/>
          <w:szCs w:val="24"/>
        </w:rPr>
        <w:t>եւ</w:t>
      </w:r>
      <w:r w:rsidRPr="00B834A2">
        <w:rPr>
          <w:rFonts w:ascii="Sylfaen" w:hAnsi="Sylfaen"/>
          <w:sz w:val="24"/>
          <w:szCs w:val="24"/>
        </w:rPr>
        <w:t xml:space="preserve"> ամբողջությամբ բնութագրել փոշու սորունության հատկությունների լայն սպեկտրը, որը դեղագործական արդյունաբերության համար ունի որոշակի նշանակություն: Համապատասխան ռազմավարություն կարող է լինել փորձարկումների մի քանի ստանդարտացված մեթոդների օգտագործումը, որոնք բնութագրում են մշակողին անհրաժեշտ՝ փոշու սորունության բնութագրերը:</w:t>
      </w:r>
    </w:p>
    <w:p w14:paraId="4948AC86" w14:textId="77777777" w:rsidR="00B834A2" w:rsidRPr="00097504" w:rsidRDefault="00B834A2" w:rsidP="005563E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Տվյալ ընդհանուր դեղագրքային հոդվածում ներկայացվում են փորձարկումների մեթոդների ստանդարտացման վերաբերյալ առաջարկություններ, որոնք կարող են օգտակար լինել դեղագործական մշակման փուլում:</w:t>
      </w:r>
    </w:p>
    <w:p w14:paraId="040F6A26"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Փոշու սորունության գնահատման համար առավել հաճախ օգտագործում են փորձարկումների 4 մեթոդ՝</w:t>
      </w:r>
    </w:p>
    <w:p w14:paraId="5E67E2A2"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բնական թեքության անկյան որոշում.</w:t>
      </w:r>
    </w:p>
    <w:p w14:paraId="526E4ED8"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մամլելիության գործակցի կամ Հաուսների գործակցի որոշում.</w:t>
      </w:r>
    </w:p>
    <w:p w14:paraId="6CD3A72E"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անցքի միջով սորունության արագության որոշում.</w:t>
      </w:r>
    </w:p>
    <w:p w14:paraId="0EC19370"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097504">
        <w:rPr>
          <w:rFonts w:ascii="Sylfaen" w:hAnsi="Sylfaen"/>
          <w:sz w:val="24"/>
          <w:szCs w:val="24"/>
        </w:rPr>
        <w:tab/>
      </w:r>
      <w:r w:rsidRPr="00B834A2">
        <w:rPr>
          <w:rFonts w:ascii="Sylfaen" w:hAnsi="Sylfaen"/>
          <w:sz w:val="24"/>
          <w:szCs w:val="24"/>
        </w:rPr>
        <w:t>տեղաշարժվող խորշի մեթոդ:</w:t>
      </w:r>
    </w:p>
    <w:p w14:paraId="3341EFC1"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Բացի այդ, հանդիպում են այդ հիմնական մեթոդներից յուրաքանչյուրի բազմաթիվ տեսակներ: Հաշվի առնելով փորձարկումների մեթոդների </w:t>
      </w:r>
      <w:r>
        <w:rPr>
          <w:rFonts w:ascii="Sylfaen" w:hAnsi="Sylfaen"/>
          <w:sz w:val="24"/>
          <w:szCs w:val="24"/>
        </w:rPr>
        <w:t>եւ</w:t>
      </w:r>
      <w:r w:rsidRPr="00B834A2">
        <w:rPr>
          <w:rFonts w:ascii="Sylfaen" w:hAnsi="Sylfaen"/>
          <w:sz w:val="24"/>
          <w:szCs w:val="24"/>
        </w:rPr>
        <w:t xml:space="preserve"> դրանց տարբերակների մեծ քանակությունը՝ հնարավորության դեպքում անհրաժեշտ է ստանդարտացնել փորձարկումների մեթոդաբանությունները:</w:t>
      </w:r>
    </w:p>
    <w:p w14:paraId="03977E35"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Այնուհետ</w:t>
      </w:r>
      <w:r>
        <w:rPr>
          <w:rFonts w:ascii="Sylfaen" w:hAnsi="Sylfaen"/>
          <w:sz w:val="24"/>
          <w:szCs w:val="24"/>
        </w:rPr>
        <w:t>եւ</w:t>
      </w:r>
      <w:r w:rsidRPr="00B834A2">
        <w:rPr>
          <w:rFonts w:ascii="Sylfaen" w:hAnsi="Sylfaen"/>
          <w:sz w:val="24"/>
          <w:szCs w:val="24"/>
        </w:rPr>
        <w:t xml:space="preserve"> բերվում է առավել հաճախ օգտագործվող մեթոդների նկարագրությունը: Որոշվել են կար</w:t>
      </w:r>
      <w:r>
        <w:rPr>
          <w:rFonts w:ascii="Sylfaen" w:hAnsi="Sylfaen"/>
          <w:sz w:val="24"/>
          <w:szCs w:val="24"/>
        </w:rPr>
        <w:t>եւ</w:t>
      </w:r>
      <w:r w:rsidRPr="00B834A2">
        <w:rPr>
          <w:rFonts w:ascii="Sylfaen" w:hAnsi="Sylfaen"/>
          <w:sz w:val="24"/>
          <w:szCs w:val="24"/>
        </w:rPr>
        <w:t xml:space="preserve">որագույն փորձարարական ասպեկտները, </w:t>
      </w:r>
      <w:r>
        <w:rPr>
          <w:rFonts w:ascii="Sylfaen" w:hAnsi="Sylfaen"/>
          <w:sz w:val="24"/>
          <w:szCs w:val="24"/>
        </w:rPr>
        <w:t>եւ</w:t>
      </w:r>
      <w:r w:rsidRPr="00B834A2">
        <w:rPr>
          <w:rFonts w:ascii="Sylfaen" w:hAnsi="Sylfaen"/>
          <w:sz w:val="24"/>
          <w:szCs w:val="24"/>
        </w:rPr>
        <w:t xml:space="preserve"> ներկայացվել են տվյալ մեթոդների ստանդարտացմանը վերաբերող առաջարկություններ:</w:t>
      </w:r>
    </w:p>
    <w:p w14:paraId="65D1687B" w14:textId="77777777" w:rsidR="00B834A2" w:rsidRPr="00B834A2" w:rsidRDefault="00B834A2" w:rsidP="005563E0">
      <w:pPr>
        <w:pStyle w:val="Bodytext20"/>
        <w:shd w:val="clear" w:color="auto" w:fill="auto"/>
        <w:spacing w:before="0" w:after="160" w:line="360" w:lineRule="auto"/>
        <w:jc w:val="both"/>
        <w:rPr>
          <w:rFonts w:ascii="Sylfaen" w:hAnsi="Sylfaen" w:cs="Sylfaen"/>
          <w:b/>
          <w:sz w:val="24"/>
          <w:szCs w:val="24"/>
        </w:rPr>
      </w:pPr>
    </w:p>
    <w:p w14:paraId="2DA21D7D" w14:textId="77777777" w:rsidR="00B834A2" w:rsidRPr="006B7DC5" w:rsidRDefault="00B834A2" w:rsidP="005563E0">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ԲՆԱԿԱՆ ԹԵՔՈՒԹՅԱՆ ԱՆԿՅՈՒՆԸ</w:t>
      </w:r>
    </w:p>
    <w:p w14:paraId="3F51FFF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Բնական թեքության անկյունն օգտագործվում է գիտության տարբեր ճյուղերում՝ կոշտ մարմինների սորունության հատկությունները նկարագրելու համար: Բնական թեքության անկյունը բնութագիր է, որը հաշվի է առնում մասնիկների՝ իրար միջ</w:t>
      </w:r>
      <w:r>
        <w:rPr>
          <w:rFonts w:ascii="Sylfaen" w:hAnsi="Sylfaen"/>
          <w:sz w:val="24"/>
          <w:szCs w:val="24"/>
        </w:rPr>
        <w:t>եւ</w:t>
      </w:r>
      <w:r w:rsidRPr="00B834A2">
        <w:rPr>
          <w:rFonts w:ascii="Sylfaen" w:hAnsi="Sylfaen"/>
          <w:sz w:val="24"/>
          <w:szCs w:val="24"/>
        </w:rPr>
        <w:t xml:space="preserve"> շփումը, ինչպես նա</w:t>
      </w:r>
      <w:r>
        <w:rPr>
          <w:rFonts w:ascii="Sylfaen" w:hAnsi="Sylfaen"/>
          <w:sz w:val="24"/>
          <w:szCs w:val="24"/>
        </w:rPr>
        <w:t>եւ</w:t>
      </w:r>
      <w:r w:rsidRPr="00B834A2">
        <w:rPr>
          <w:rFonts w:ascii="Sylfaen" w:hAnsi="Sylfaen"/>
          <w:sz w:val="24"/>
          <w:szCs w:val="24"/>
        </w:rPr>
        <w:t xml:space="preserve"> մասնիկների միջ</w:t>
      </w:r>
      <w:r>
        <w:rPr>
          <w:rFonts w:ascii="Sylfaen" w:hAnsi="Sylfaen"/>
          <w:sz w:val="24"/>
          <w:szCs w:val="24"/>
        </w:rPr>
        <w:t>եւ</w:t>
      </w:r>
      <w:r w:rsidRPr="00B834A2">
        <w:rPr>
          <w:rFonts w:ascii="Sylfaen" w:hAnsi="Sylfaen"/>
          <w:sz w:val="24"/>
          <w:szCs w:val="24"/>
        </w:rPr>
        <w:t xml:space="preserve"> դիմադրությունը՝ դրանց շարժման ժամանակ: Բնական թեքության անկյան որոշումը մեծամասամբ պայմանավորված է օգտագործվող մեթոդով: Փորձարկում անցկացնելիս դժվարություններն առաջանում են կոնի ձ</w:t>
      </w:r>
      <w:r>
        <w:rPr>
          <w:rFonts w:ascii="Sylfaen" w:hAnsi="Sylfaen"/>
          <w:sz w:val="24"/>
          <w:szCs w:val="24"/>
        </w:rPr>
        <w:t>եւ</w:t>
      </w:r>
      <w:r w:rsidRPr="00B834A2">
        <w:rPr>
          <w:rFonts w:ascii="Sylfaen" w:hAnsi="Sylfaen"/>
          <w:sz w:val="24"/>
          <w:szCs w:val="24"/>
        </w:rPr>
        <w:t xml:space="preserve">ավորման ժամանակ փոշու շերտավորումից (սեգրեգացիայից), խտացումից կամ փխրեցումից (աերացիայից): Չնայած դրան՝ մեթոդը շարունակում է օգտագործվել դեղագործական արդյունաբերությունում. նկարագրված են բազմաթիվ օրինակներ, </w:t>
      </w:r>
      <w:r w:rsidRPr="00B834A2">
        <w:rPr>
          <w:rFonts w:ascii="Sylfaen" w:hAnsi="Sylfaen"/>
          <w:sz w:val="24"/>
          <w:szCs w:val="24"/>
        </w:rPr>
        <w:lastRenderedPageBreak/>
        <w:t>որոնք ցույց են տալիս դրա նշանակությունն արտադրական խնդիրները կանխատեսելիս:</w:t>
      </w:r>
    </w:p>
    <w:p w14:paraId="47D6032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Բնական թեքության անկյունը եռաչափ անկյան մեծությունն է (հորիզոնական մակեր</w:t>
      </w:r>
      <w:r>
        <w:rPr>
          <w:rFonts w:ascii="Sylfaen" w:hAnsi="Sylfaen"/>
          <w:sz w:val="24"/>
          <w:szCs w:val="24"/>
        </w:rPr>
        <w:t>եւ</w:t>
      </w:r>
      <w:r w:rsidRPr="00B834A2">
        <w:rPr>
          <w:rFonts w:ascii="Sylfaen" w:hAnsi="Sylfaen"/>
          <w:sz w:val="24"/>
          <w:szCs w:val="24"/>
        </w:rPr>
        <w:t>ույթի նկատմամբ), որը ձ</w:t>
      </w:r>
      <w:r>
        <w:rPr>
          <w:rFonts w:ascii="Sylfaen" w:hAnsi="Sylfaen"/>
          <w:sz w:val="24"/>
          <w:szCs w:val="24"/>
        </w:rPr>
        <w:t>եւ</w:t>
      </w:r>
      <w:r w:rsidRPr="00B834A2">
        <w:rPr>
          <w:rFonts w:ascii="Sylfaen" w:hAnsi="Sylfaen"/>
          <w:sz w:val="24"/>
          <w:szCs w:val="24"/>
        </w:rPr>
        <w:t>ավորվում է փոշին կոնաձ</w:t>
      </w:r>
      <w:r>
        <w:rPr>
          <w:rFonts w:ascii="Sylfaen" w:hAnsi="Sylfaen"/>
          <w:sz w:val="24"/>
          <w:szCs w:val="24"/>
        </w:rPr>
        <w:t>եւ</w:t>
      </w:r>
      <w:r w:rsidRPr="00B834A2">
        <w:rPr>
          <w:rFonts w:ascii="Sylfaen" w:hAnsi="Sylfaen"/>
          <w:sz w:val="24"/>
          <w:szCs w:val="24"/>
        </w:rPr>
        <w:t xml:space="preserve"> բլրակով լցնելիս: Անկյան մեծությունը որոշում են ստոր</w:t>
      </w:r>
      <w:r>
        <w:rPr>
          <w:rFonts w:ascii="Sylfaen" w:hAnsi="Sylfaen"/>
          <w:sz w:val="24"/>
          <w:szCs w:val="24"/>
        </w:rPr>
        <w:t>եւ</w:t>
      </w:r>
      <w:r w:rsidRPr="00B834A2">
        <w:rPr>
          <w:rFonts w:ascii="Sylfaen" w:hAnsi="Sylfaen"/>
          <w:sz w:val="24"/>
          <w:szCs w:val="24"/>
        </w:rPr>
        <w:t xml:space="preserve"> նշված եղանակներից մեկով:</w:t>
      </w:r>
    </w:p>
    <w:p w14:paraId="7844714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Բնական թեքության անկյունը</w:t>
      </w:r>
      <w:r w:rsidRPr="00B834A2">
        <w:rPr>
          <w:rFonts w:ascii="Sylfaen" w:hAnsi="Sylfaen"/>
          <w:sz w:val="24"/>
          <w:szCs w:val="24"/>
        </w:rPr>
        <w:t xml:space="preserve"> </w:t>
      </w:r>
      <w:r w:rsidRPr="00B834A2">
        <w:rPr>
          <w:rFonts w:ascii="Sylfaen" w:hAnsi="Sylfaen"/>
          <w:i/>
          <w:sz w:val="24"/>
          <w:szCs w:val="24"/>
        </w:rPr>
        <w:t>որոշելու հիմնական մեթոդիկաները</w:t>
      </w:r>
    </w:p>
    <w:p w14:paraId="74BB40EE" w14:textId="77777777" w:rsidR="00B834A2" w:rsidRPr="00B834A2" w:rsidRDefault="00B834A2" w:rsidP="005563E0">
      <w:pPr>
        <w:spacing w:after="160" w:line="360" w:lineRule="auto"/>
        <w:ind w:firstLine="567"/>
        <w:jc w:val="both"/>
      </w:pPr>
      <w:r w:rsidRPr="00B834A2">
        <w:t>Բնական թեքության վիճակագրական անկյունը որոշելու կիրառվող մեթոդիկաների մեծամասնությունը կարող է դասակարգվել երկու կար</w:t>
      </w:r>
      <w:r>
        <w:t>եւ</w:t>
      </w:r>
      <w:r w:rsidRPr="00B834A2">
        <w:t>որ փորձարարական փոփոխականների հիման վրա՝</w:t>
      </w:r>
    </w:p>
    <w:p w14:paraId="4EB6DFDF"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pacing w:val="-4"/>
          <w:sz w:val="24"/>
          <w:szCs w:val="24"/>
        </w:rPr>
        <w:tab/>
      </w:r>
      <w:r w:rsidRPr="005563E0">
        <w:rPr>
          <w:rFonts w:ascii="Sylfaen" w:hAnsi="Sylfaen"/>
          <w:spacing w:val="-4"/>
          <w:sz w:val="24"/>
          <w:szCs w:val="24"/>
        </w:rPr>
        <w:t>այն «ձագարի» բարձրությունը, որի միջով անցնում է փոշին, որը կարող է սահմանվել</w:t>
      </w:r>
      <w:r w:rsidRPr="00B834A2">
        <w:rPr>
          <w:rFonts w:ascii="Sylfaen" w:hAnsi="Sylfaen"/>
          <w:sz w:val="24"/>
          <w:szCs w:val="24"/>
        </w:rPr>
        <w:t xml:space="preserve"> հիմքի մասով կամ փոփոխվել բլրակը ձ</w:t>
      </w:r>
      <w:r>
        <w:rPr>
          <w:rFonts w:ascii="Sylfaen" w:hAnsi="Sylfaen"/>
          <w:sz w:val="24"/>
          <w:szCs w:val="24"/>
        </w:rPr>
        <w:t>եւ</w:t>
      </w:r>
      <w:r w:rsidRPr="00B834A2">
        <w:rPr>
          <w:rFonts w:ascii="Sylfaen" w:hAnsi="Sylfaen"/>
          <w:sz w:val="24"/>
          <w:szCs w:val="24"/>
        </w:rPr>
        <w:t>ավորելուն համընթաց.</w:t>
      </w:r>
    </w:p>
    <w:p w14:paraId="58B76020"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հիմքը, որի վրա ձ</w:t>
      </w:r>
      <w:r>
        <w:rPr>
          <w:rFonts w:ascii="Sylfaen" w:hAnsi="Sylfaen"/>
          <w:sz w:val="24"/>
          <w:szCs w:val="24"/>
        </w:rPr>
        <w:t>եւ</w:t>
      </w:r>
      <w:r w:rsidRPr="00B834A2">
        <w:rPr>
          <w:rFonts w:ascii="Sylfaen" w:hAnsi="Sylfaen"/>
          <w:sz w:val="24"/>
          <w:szCs w:val="24"/>
        </w:rPr>
        <w:t>ավորվում է բլրակը, կարող է ունենալ որոշակի տրամագիծ, կամ փոշուց բլրակի կոնի հիմքի տրամագիծը կարող է փոխվել բլրակի ձ</w:t>
      </w:r>
      <w:r>
        <w:rPr>
          <w:rFonts w:ascii="Sylfaen" w:hAnsi="Sylfaen"/>
          <w:sz w:val="24"/>
          <w:szCs w:val="24"/>
        </w:rPr>
        <w:t>եւ</w:t>
      </w:r>
      <w:r w:rsidRPr="00B834A2">
        <w:rPr>
          <w:rFonts w:ascii="Sylfaen" w:hAnsi="Sylfaen"/>
          <w:sz w:val="24"/>
          <w:szCs w:val="24"/>
        </w:rPr>
        <w:t>ավորմանը համընթաց:</w:t>
      </w:r>
    </w:p>
    <w:p w14:paraId="0DEF9DF8"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Բնական թեքության անկյունը որոշելու մեթոդիկաների տեսակները</w:t>
      </w:r>
    </w:p>
    <w:p w14:paraId="3C8BED9D"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Ներկայացված են վերոնշյալ մեթոդիկաների հետ</w:t>
      </w:r>
      <w:r>
        <w:rPr>
          <w:rFonts w:ascii="Sylfaen" w:hAnsi="Sylfaen"/>
          <w:sz w:val="24"/>
          <w:szCs w:val="24"/>
        </w:rPr>
        <w:t>եւ</w:t>
      </w:r>
      <w:r w:rsidRPr="00B834A2">
        <w:rPr>
          <w:rFonts w:ascii="Sylfaen" w:hAnsi="Sylfaen"/>
          <w:sz w:val="24"/>
          <w:szCs w:val="24"/>
        </w:rPr>
        <w:t>յալ տեսակների նկարագրությունները.</w:t>
      </w:r>
    </w:p>
    <w:p w14:paraId="5F27748D"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i/>
          <w:sz w:val="24"/>
          <w:szCs w:val="24"/>
        </w:rPr>
        <w:t>բնական թեքության հոսող անկյունը</w:t>
      </w:r>
      <w:r w:rsidRPr="00B834A2">
        <w:rPr>
          <w:rFonts w:ascii="Sylfaen" w:hAnsi="Sylfaen"/>
          <w:sz w:val="24"/>
          <w:szCs w:val="24"/>
        </w:rPr>
        <w:t xml:space="preserve"> որոշվում է փոշու լրացուցիչ քանակությունը կոնտեյներից «թափելուց» հետո, որը դուրս է գալիս կոնկրետ տրամագծի բլրակի կոնի հիմքի սահմաններից դուրս: Բնական թեքության հոսող անկյունը որոշում են որոշակի տրամագծի հիմքից փոշու ձ</w:t>
      </w:r>
      <w:r>
        <w:rPr>
          <w:rFonts w:ascii="Sylfaen" w:hAnsi="Sylfaen"/>
          <w:sz w:val="24"/>
          <w:szCs w:val="24"/>
        </w:rPr>
        <w:t>եւ</w:t>
      </w:r>
      <w:r w:rsidRPr="00B834A2">
        <w:rPr>
          <w:rFonts w:ascii="Sylfaen" w:hAnsi="Sylfaen"/>
          <w:sz w:val="24"/>
          <w:szCs w:val="24"/>
        </w:rPr>
        <w:t>ավորված կոնի վրա.</w:t>
      </w:r>
    </w:p>
    <w:p w14:paraId="07AF413C" w14:textId="77777777" w:rsidR="00B834A2" w:rsidRPr="00B834A2" w:rsidRDefault="00B834A2" w:rsidP="005563E0">
      <w:pPr>
        <w:tabs>
          <w:tab w:val="left" w:pos="1134"/>
        </w:tabs>
        <w:spacing w:after="160" w:line="360" w:lineRule="auto"/>
        <w:ind w:firstLine="567"/>
        <w:jc w:val="both"/>
      </w:pPr>
      <w:r w:rsidRPr="00B834A2">
        <w:t>-</w:t>
      </w:r>
      <w:r w:rsidR="005563E0" w:rsidRPr="005563E0">
        <w:tab/>
      </w:r>
      <w:r w:rsidRPr="00B834A2">
        <w:rPr>
          <w:i/>
        </w:rPr>
        <w:t>բնական թեքության դինամիկ անկյունը</w:t>
      </w:r>
      <w:r w:rsidRPr="00B834A2">
        <w:t xml:space="preserve"> որոշվում է գլանը (մի ծայրին թափանցիկ հարթ կափարիչով) լցնելու </w:t>
      </w:r>
      <w:r>
        <w:t>եւ</w:t>
      </w:r>
      <w:r w:rsidRPr="00B834A2">
        <w:t xml:space="preserve"> դրա՝ որոշակի արագությամբ պտտվելու միջոցով: Բնական թեքության դինամիկ անկյունը սորուն փոշով ձ</w:t>
      </w:r>
      <w:r>
        <w:t>եւ</w:t>
      </w:r>
      <w:r w:rsidRPr="00B834A2">
        <w:t>ավորված անկյուն է (հորիզոնական մակեր</w:t>
      </w:r>
      <w:r>
        <w:t>եւ</w:t>
      </w:r>
      <w:r w:rsidRPr="00B834A2">
        <w:t xml:space="preserve">ույթի նկատմամբ): Կինետիկ շփման ներքին անկյունը որոշում են հարթության վրա փոշու վերին շերտի վրայից գլորվող </w:t>
      </w:r>
      <w:r w:rsidRPr="00B834A2">
        <w:lastRenderedPageBreak/>
        <w:t>մասնիկները եւ գլանի հետ միասին պտտվող մասնիկները (անհարթ մակեր</w:t>
      </w:r>
      <w:r>
        <w:t>եւ</w:t>
      </w:r>
      <w:r w:rsidRPr="00B834A2">
        <w:t>ույթով) առանձնացնելու միջոցով:</w:t>
      </w:r>
    </w:p>
    <w:p w14:paraId="69663F82" w14:textId="77777777" w:rsidR="00B834A2" w:rsidRPr="00B834A2" w:rsidRDefault="00B834A2" w:rsidP="00B834A2">
      <w:pPr>
        <w:spacing w:after="160" w:line="360" w:lineRule="auto"/>
      </w:pPr>
    </w:p>
    <w:p w14:paraId="129F5E95" w14:textId="77777777" w:rsidR="00B834A2" w:rsidRPr="00B834A2" w:rsidRDefault="00B834A2" w:rsidP="005563E0">
      <w:pPr>
        <w:pStyle w:val="Tablecaption110"/>
        <w:shd w:val="clear" w:color="auto" w:fill="auto"/>
        <w:spacing w:after="160" w:line="360" w:lineRule="auto"/>
        <w:ind w:firstLine="567"/>
        <w:rPr>
          <w:rFonts w:ascii="Sylfaen" w:hAnsi="Sylfaen" w:cs="Sylfaen"/>
          <w:sz w:val="24"/>
          <w:szCs w:val="24"/>
        </w:rPr>
      </w:pPr>
      <w:r w:rsidRPr="00B834A2">
        <w:rPr>
          <w:rStyle w:val="Tablecaption11NotItalic"/>
          <w:rFonts w:ascii="Sylfaen" w:eastAsia="Sylfaen" w:hAnsi="Sylfaen"/>
          <w:sz w:val="24"/>
          <w:szCs w:val="24"/>
        </w:rPr>
        <w:t xml:space="preserve">Նկար 2.1.10.2-1 </w:t>
      </w:r>
      <w:r w:rsidR="009217DE">
        <w:rPr>
          <w:rFonts w:ascii="Sylfaen" w:hAnsi="Sylfaen"/>
          <w:sz w:val="24"/>
          <w:szCs w:val="24"/>
        </w:rPr>
        <w:t>-</w:t>
      </w:r>
      <w:r w:rsidRPr="00B834A2">
        <w:rPr>
          <w:rFonts w:ascii="Sylfaen" w:hAnsi="Sylfaen"/>
          <w:sz w:val="24"/>
          <w:szCs w:val="24"/>
        </w:rPr>
        <w:t xml:space="preserve"> Սորունությունը </w:t>
      </w:r>
      <w:r>
        <w:rPr>
          <w:rFonts w:ascii="Sylfaen" w:hAnsi="Sylfaen"/>
          <w:sz w:val="24"/>
          <w:szCs w:val="24"/>
        </w:rPr>
        <w:t>եւ</w:t>
      </w:r>
      <w:r w:rsidRPr="00B834A2">
        <w:rPr>
          <w:rFonts w:ascii="Sylfaen" w:hAnsi="Sylfaen"/>
          <w:sz w:val="24"/>
          <w:szCs w:val="24"/>
        </w:rPr>
        <w:t xml:space="preserve"> բնական թեքության համապատասխան անկյունը</w:t>
      </w:r>
    </w:p>
    <w:tbl>
      <w:tblPr>
        <w:tblOverlap w:val="never"/>
        <w:tblW w:w="0" w:type="auto"/>
        <w:tblLayout w:type="fixed"/>
        <w:tblCellMar>
          <w:left w:w="10" w:type="dxa"/>
          <w:right w:w="10" w:type="dxa"/>
        </w:tblCellMar>
        <w:tblLook w:val="0000" w:firstRow="0" w:lastRow="0" w:firstColumn="0" w:lastColumn="0" w:noHBand="0" w:noVBand="0"/>
      </w:tblPr>
      <w:tblGrid>
        <w:gridCol w:w="3091"/>
        <w:gridCol w:w="3015"/>
      </w:tblGrid>
      <w:tr w:rsidR="00B834A2" w:rsidRPr="005563E0" w14:paraId="3852A428" w14:textId="77777777" w:rsidTr="005563E0">
        <w:tc>
          <w:tcPr>
            <w:tcW w:w="3091" w:type="dxa"/>
            <w:tcBorders>
              <w:top w:val="single" w:sz="4" w:space="0" w:color="auto"/>
            </w:tcBorders>
            <w:shd w:val="clear" w:color="auto" w:fill="FFFFFF"/>
            <w:vAlign w:val="center"/>
          </w:tcPr>
          <w:p w14:paraId="06FC3361" w14:textId="77777777" w:rsidR="00B834A2" w:rsidRPr="005563E0" w:rsidRDefault="00B834A2" w:rsidP="005563E0">
            <w:pPr>
              <w:pStyle w:val="Bodytext20"/>
              <w:shd w:val="clear" w:color="auto" w:fill="auto"/>
              <w:spacing w:before="0" w:line="240" w:lineRule="auto"/>
              <w:ind w:left="680"/>
              <w:jc w:val="left"/>
              <w:rPr>
                <w:rFonts w:ascii="Sylfaen" w:hAnsi="Sylfaen" w:cs="Sylfaen"/>
                <w:sz w:val="20"/>
                <w:szCs w:val="24"/>
              </w:rPr>
            </w:pPr>
            <w:r w:rsidRPr="005563E0">
              <w:rPr>
                <w:rFonts w:ascii="Sylfaen" w:hAnsi="Sylfaen"/>
                <w:sz w:val="20"/>
                <w:szCs w:val="24"/>
              </w:rPr>
              <w:t>Սորունության բնութագիրը</w:t>
            </w:r>
          </w:p>
        </w:tc>
        <w:tc>
          <w:tcPr>
            <w:tcW w:w="3015" w:type="dxa"/>
            <w:tcBorders>
              <w:top w:val="single" w:sz="4" w:space="0" w:color="auto"/>
            </w:tcBorders>
            <w:shd w:val="clear" w:color="auto" w:fill="FFFFFF"/>
            <w:vAlign w:val="bottom"/>
          </w:tcPr>
          <w:p w14:paraId="144BBB06"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Բնական թեքության անկյունը (աստիճաններով)</w:t>
            </w:r>
          </w:p>
        </w:tc>
      </w:tr>
      <w:tr w:rsidR="00B834A2" w:rsidRPr="005563E0" w14:paraId="276C214C" w14:textId="77777777" w:rsidTr="005563E0">
        <w:tc>
          <w:tcPr>
            <w:tcW w:w="3091" w:type="dxa"/>
            <w:tcBorders>
              <w:top w:val="single" w:sz="4" w:space="0" w:color="auto"/>
            </w:tcBorders>
            <w:shd w:val="clear" w:color="auto" w:fill="FFFFFF"/>
            <w:vAlign w:val="bottom"/>
          </w:tcPr>
          <w:p w14:paraId="5570573D"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Գերազանց</w:t>
            </w:r>
          </w:p>
        </w:tc>
        <w:tc>
          <w:tcPr>
            <w:tcW w:w="3015" w:type="dxa"/>
            <w:tcBorders>
              <w:top w:val="single" w:sz="4" w:space="0" w:color="auto"/>
            </w:tcBorders>
            <w:shd w:val="clear" w:color="auto" w:fill="FFFFFF"/>
            <w:vAlign w:val="bottom"/>
          </w:tcPr>
          <w:p w14:paraId="51CFAEA7"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25-30</w:t>
            </w:r>
          </w:p>
        </w:tc>
      </w:tr>
      <w:tr w:rsidR="00B834A2" w:rsidRPr="005563E0" w14:paraId="0CF2596A" w14:textId="77777777" w:rsidTr="005563E0">
        <w:tc>
          <w:tcPr>
            <w:tcW w:w="3091" w:type="dxa"/>
            <w:shd w:val="clear" w:color="auto" w:fill="FFFFFF"/>
          </w:tcPr>
          <w:p w14:paraId="7A463846"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Լավ</w:t>
            </w:r>
          </w:p>
        </w:tc>
        <w:tc>
          <w:tcPr>
            <w:tcW w:w="3015" w:type="dxa"/>
            <w:shd w:val="clear" w:color="auto" w:fill="FFFFFF"/>
          </w:tcPr>
          <w:p w14:paraId="72E9C332"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31-35</w:t>
            </w:r>
          </w:p>
        </w:tc>
      </w:tr>
      <w:tr w:rsidR="00B834A2" w:rsidRPr="005563E0" w14:paraId="4E73AB47" w14:textId="77777777" w:rsidTr="005563E0">
        <w:tc>
          <w:tcPr>
            <w:tcW w:w="3091" w:type="dxa"/>
            <w:shd w:val="clear" w:color="auto" w:fill="FFFFFF"/>
            <w:vAlign w:val="bottom"/>
          </w:tcPr>
          <w:p w14:paraId="485D01E9"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Բավականաչափ (լրացուցիչ գործողություններ չեն պահանջվում)</w:t>
            </w:r>
          </w:p>
        </w:tc>
        <w:tc>
          <w:tcPr>
            <w:tcW w:w="3015" w:type="dxa"/>
            <w:shd w:val="clear" w:color="auto" w:fill="FFFFFF"/>
          </w:tcPr>
          <w:p w14:paraId="331F2FA5"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36-40</w:t>
            </w:r>
          </w:p>
        </w:tc>
      </w:tr>
      <w:tr w:rsidR="00B834A2" w:rsidRPr="005563E0" w14:paraId="557689AC" w14:textId="77777777" w:rsidTr="005563E0">
        <w:tc>
          <w:tcPr>
            <w:tcW w:w="3091" w:type="dxa"/>
            <w:shd w:val="clear" w:color="auto" w:fill="FFFFFF"/>
            <w:vAlign w:val="bottom"/>
          </w:tcPr>
          <w:p w14:paraId="467E9092"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Բավարար (կարող է «լռվել»)</w:t>
            </w:r>
          </w:p>
        </w:tc>
        <w:tc>
          <w:tcPr>
            <w:tcW w:w="3015" w:type="dxa"/>
            <w:shd w:val="clear" w:color="auto" w:fill="FFFFFF"/>
          </w:tcPr>
          <w:p w14:paraId="007CF959"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41-45</w:t>
            </w:r>
          </w:p>
        </w:tc>
      </w:tr>
      <w:tr w:rsidR="00B834A2" w:rsidRPr="005563E0" w14:paraId="2D1DA742" w14:textId="77777777" w:rsidTr="005563E0">
        <w:tc>
          <w:tcPr>
            <w:tcW w:w="3091" w:type="dxa"/>
            <w:shd w:val="clear" w:color="auto" w:fill="FFFFFF"/>
          </w:tcPr>
          <w:p w14:paraId="3F8C6A1F"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Վատ (անհրաժեշտ է թափահարում, թրթռում)</w:t>
            </w:r>
          </w:p>
        </w:tc>
        <w:tc>
          <w:tcPr>
            <w:tcW w:w="3015" w:type="dxa"/>
            <w:shd w:val="clear" w:color="auto" w:fill="FFFFFF"/>
          </w:tcPr>
          <w:p w14:paraId="08CFF604" w14:textId="77777777" w:rsidR="00B834A2" w:rsidRPr="005563E0" w:rsidRDefault="00F37D51" w:rsidP="005563E0">
            <w:pPr>
              <w:pStyle w:val="Bodytext20"/>
              <w:shd w:val="clear" w:color="auto" w:fill="auto"/>
              <w:spacing w:before="0" w:line="240" w:lineRule="auto"/>
              <w:rPr>
                <w:rFonts w:ascii="Sylfaen" w:hAnsi="Sylfaen" w:cs="Sylfaen"/>
                <w:sz w:val="20"/>
                <w:szCs w:val="24"/>
              </w:rPr>
            </w:pPr>
            <w:r>
              <w:rPr>
                <w:rFonts w:ascii="Sylfaen" w:hAnsi="Sylfaen"/>
                <w:sz w:val="20"/>
                <w:szCs w:val="24"/>
              </w:rPr>
              <w:t>46-</w:t>
            </w:r>
            <w:r w:rsidR="00B834A2" w:rsidRPr="005563E0">
              <w:rPr>
                <w:rFonts w:ascii="Sylfaen" w:hAnsi="Sylfaen"/>
                <w:sz w:val="20"/>
                <w:szCs w:val="24"/>
              </w:rPr>
              <w:t>55</w:t>
            </w:r>
          </w:p>
        </w:tc>
      </w:tr>
      <w:tr w:rsidR="00B834A2" w:rsidRPr="005563E0" w14:paraId="4DDA2850" w14:textId="77777777" w:rsidTr="005563E0">
        <w:tc>
          <w:tcPr>
            <w:tcW w:w="3091" w:type="dxa"/>
            <w:shd w:val="clear" w:color="auto" w:fill="FFFFFF"/>
          </w:tcPr>
          <w:p w14:paraId="65A66478"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Շատ վատ</w:t>
            </w:r>
          </w:p>
        </w:tc>
        <w:tc>
          <w:tcPr>
            <w:tcW w:w="3015" w:type="dxa"/>
            <w:shd w:val="clear" w:color="auto" w:fill="FFFFFF"/>
          </w:tcPr>
          <w:p w14:paraId="3B693319"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56-65</w:t>
            </w:r>
          </w:p>
        </w:tc>
      </w:tr>
      <w:tr w:rsidR="00B834A2" w:rsidRPr="005563E0" w14:paraId="154751EC" w14:textId="77777777" w:rsidTr="005563E0">
        <w:tc>
          <w:tcPr>
            <w:tcW w:w="3091" w:type="dxa"/>
            <w:tcBorders>
              <w:bottom w:val="single" w:sz="4" w:space="0" w:color="auto"/>
            </w:tcBorders>
            <w:shd w:val="clear" w:color="auto" w:fill="FFFFFF"/>
          </w:tcPr>
          <w:p w14:paraId="454963EC" w14:textId="77777777" w:rsidR="00B834A2" w:rsidRPr="005563E0" w:rsidRDefault="00B834A2" w:rsidP="005563E0">
            <w:pPr>
              <w:pStyle w:val="Bodytext20"/>
              <w:shd w:val="clear" w:color="auto" w:fill="auto"/>
              <w:spacing w:before="0" w:line="240" w:lineRule="auto"/>
              <w:ind w:left="142"/>
              <w:jc w:val="left"/>
              <w:rPr>
                <w:rFonts w:ascii="Sylfaen" w:hAnsi="Sylfaen" w:cs="Sylfaen"/>
                <w:sz w:val="20"/>
                <w:szCs w:val="24"/>
              </w:rPr>
            </w:pPr>
            <w:r w:rsidRPr="005563E0">
              <w:rPr>
                <w:rFonts w:ascii="Sylfaen" w:hAnsi="Sylfaen"/>
                <w:sz w:val="20"/>
                <w:szCs w:val="24"/>
              </w:rPr>
              <w:t>Ծայրահեղ վատ</w:t>
            </w:r>
          </w:p>
        </w:tc>
        <w:tc>
          <w:tcPr>
            <w:tcW w:w="3015" w:type="dxa"/>
            <w:tcBorders>
              <w:bottom w:val="single" w:sz="4" w:space="0" w:color="auto"/>
            </w:tcBorders>
            <w:shd w:val="clear" w:color="auto" w:fill="FFFFFF"/>
          </w:tcPr>
          <w:p w14:paraId="2B8B2CED"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66-ից ավելի</w:t>
            </w:r>
          </w:p>
        </w:tc>
      </w:tr>
    </w:tbl>
    <w:p w14:paraId="6C1E8BB2" w14:textId="77777777" w:rsidR="00B834A2" w:rsidRPr="00B834A2" w:rsidRDefault="00B834A2" w:rsidP="00B834A2">
      <w:pPr>
        <w:spacing w:after="160" w:line="360" w:lineRule="auto"/>
      </w:pPr>
    </w:p>
    <w:p w14:paraId="6AE21802" w14:textId="77777777" w:rsidR="00B834A2" w:rsidRPr="00F37D51" w:rsidRDefault="00B834A2" w:rsidP="005563E0">
      <w:pPr>
        <w:pStyle w:val="Bodytext20"/>
        <w:shd w:val="clear" w:color="auto" w:fill="auto"/>
        <w:spacing w:before="0" w:after="160" w:line="360" w:lineRule="auto"/>
        <w:ind w:firstLine="567"/>
        <w:jc w:val="both"/>
        <w:rPr>
          <w:rFonts w:ascii="Sylfaen" w:hAnsi="Sylfaen" w:cs="Sylfaen"/>
          <w:i/>
          <w:sz w:val="24"/>
          <w:szCs w:val="24"/>
        </w:rPr>
      </w:pPr>
      <w:r w:rsidRPr="00F37D51">
        <w:rPr>
          <w:rFonts w:ascii="Sylfaen" w:hAnsi="Sylfaen"/>
          <w:i/>
          <w:sz w:val="24"/>
          <w:szCs w:val="24"/>
        </w:rPr>
        <w:t>Սորունության եւ բնական թեքության անկյան ընդհանուր սանդղակը</w:t>
      </w:r>
    </w:p>
    <w:p w14:paraId="7EBFF7BD" w14:textId="77777777" w:rsidR="00B834A2" w:rsidRDefault="00B834A2" w:rsidP="005563E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Թե</w:t>
      </w:r>
      <w:r>
        <w:rPr>
          <w:rFonts w:ascii="Sylfaen" w:hAnsi="Sylfaen"/>
          <w:sz w:val="24"/>
          <w:szCs w:val="24"/>
        </w:rPr>
        <w:t>եւ</w:t>
      </w:r>
      <w:r w:rsidRPr="00B834A2">
        <w:rPr>
          <w:rFonts w:ascii="Sylfaen" w:hAnsi="Sylfaen"/>
          <w:sz w:val="24"/>
          <w:szCs w:val="24"/>
        </w:rPr>
        <w:t xml:space="preserve"> բնական թեքության անկյան օգտագործմամբ փոշիների սորունության որակական նկարագրության մեջ կան որոշակի տարբերություններ՝ մեծամասամբ համաձայնեցվում է 2.1.10.2-1 աղյուսակում բերված՝ Կարրի դասակարգման հետ: Կան 40°-ից մինչ</w:t>
      </w:r>
      <w:r>
        <w:rPr>
          <w:rFonts w:ascii="Sylfaen" w:hAnsi="Sylfaen"/>
          <w:sz w:val="24"/>
          <w:szCs w:val="24"/>
        </w:rPr>
        <w:t>եւ</w:t>
      </w:r>
      <w:r w:rsidRPr="00B834A2">
        <w:rPr>
          <w:rFonts w:ascii="Sylfaen" w:hAnsi="Sylfaen"/>
          <w:sz w:val="24"/>
          <w:szCs w:val="24"/>
        </w:rPr>
        <w:t xml:space="preserve"> 50° ընդգրկույթում անկյունով խառնուրդների օրինակներ, որոնք բավական հաճախ օգտագործվում են տեխնոլոգիական գործընթացում: 50°-ից ավելի բնական թեքության անկյունով փոշիներն արտադրական նպատակների համար հազվադեպ կիրառելի են:</w:t>
      </w:r>
    </w:p>
    <w:p w14:paraId="259006F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Բնական թեքության անկյան փորձարարական որոշման պայմանները</w:t>
      </w:r>
    </w:p>
    <w:p w14:paraId="216834EF"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Բնական թեքության անկյունը փոշու բնական հատկանիշ չէ, քանի որ այն զգալիորեն պայմանավորված է փոշու կոնի ձ</w:t>
      </w:r>
      <w:r>
        <w:rPr>
          <w:rFonts w:ascii="Sylfaen" w:hAnsi="Sylfaen"/>
          <w:sz w:val="24"/>
          <w:szCs w:val="24"/>
        </w:rPr>
        <w:t>եւ</w:t>
      </w:r>
      <w:r w:rsidRPr="00B834A2">
        <w:rPr>
          <w:rFonts w:ascii="Sylfaen" w:hAnsi="Sylfaen"/>
          <w:sz w:val="24"/>
          <w:szCs w:val="24"/>
        </w:rPr>
        <w:t>ավորման համար օգտագործվող մեթոդիկայով: Պետք է ուշադրություն դարձնել հետ</w:t>
      </w:r>
      <w:r>
        <w:rPr>
          <w:rFonts w:ascii="Sylfaen" w:hAnsi="Sylfaen"/>
          <w:sz w:val="24"/>
          <w:szCs w:val="24"/>
        </w:rPr>
        <w:t>եւ</w:t>
      </w:r>
      <w:r w:rsidRPr="00B834A2">
        <w:rPr>
          <w:rFonts w:ascii="Sylfaen" w:hAnsi="Sylfaen"/>
          <w:sz w:val="24"/>
          <w:szCs w:val="24"/>
        </w:rPr>
        <w:t>յալ կար</w:t>
      </w:r>
      <w:r>
        <w:rPr>
          <w:rFonts w:ascii="Sylfaen" w:hAnsi="Sylfaen"/>
          <w:sz w:val="24"/>
          <w:szCs w:val="24"/>
        </w:rPr>
        <w:t>եւ</w:t>
      </w:r>
      <w:r w:rsidRPr="00B834A2">
        <w:rPr>
          <w:rFonts w:ascii="Sylfaen" w:hAnsi="Sylfaen"/>
          <w:sz w:val="24"/>
          <w:szCs w:val="24"/>
        </w:rPr>
        <w:t>որ ասպեկտներին.</w:t>
      </w:r>
    </w:p>
    <w:p w14:paraId="35C36A53"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5563E0" w:rsidRPr="005563E0">
        <w:rPr>
          <w:rFonts w:ascii="Sylfaen" w:hAnsi="Sylfaen"/>
          <w:sz w:val="24"/>
          <w:szCs w:val="24"/>
        </w:rPr>
        <w:tab/>
      </w:r>
      <w:r w:rsidRPr="00B834A2">
        <w:rPr>
          <w:rFonts w:ascii="Sylfaen" w:hAnsi="Sylfaen"/>
          <w:sz w:val="24"/>
          <w:szCs w:val="24"/>
        </w:rPr>
        <w:t>փոշու կոնի գագաթը կարող է դեֆորմացվել վեր</w:t>
      </w:r>
      <w:r>
        <w:rPr>
          <w:rFonts w:ascii="Sylfaen" w:hAnsi="Sylfaen"/>
          <w:sz w:val="24"/>
          <w:szCs w:val="24"/>
        </w:rPr>
        <w:t>եւ</w:t>
      </w:r>
      <w:r w:rsidRPr="00B834A2">
        <w:rPr>
          <w:rFonts w:ascii="Sylfaen" w:hAnsi="Sylfaen"/>
          <w:sz w:val="24"/>
          <w:szCs w:val="24"/>
        </w:rPr>
        <w:t>ից փոշու ազդեցությամբ: Վեր</w:t>
      </w:r>
      <w:r>
        <w:rPr>
          <w:rFonts w:ascii="Sylfaen" w:hAnsi="Sylfaen"/>
          <w:sz w:val="24"/>
          <w:szCs w:val="24"/>
        </w:rPr>
        <w:t>եւ</w:t>
      </w:r>
      <w:r w:rsidRPr="00B834A2">
        <w:rPr>
          <w:rFonts w:ascii="Sylfaen" w:hAnsi="Sylfaen"/>
          <w:sz w:val="24"/>
          <w:szCs w:val="24"/>
        </w:rPr>
        <w:t xml:space="preserve">ից փոշու ազդեցությամբ դեֆորմացիան կարելի է նվազեցնել փոշու կոնը զգուշությամբ կազմավորելիս. </w:t>
      </w:r>
    </w:p>
    <w:p w14:paraId="24D2C028"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այն հիմքի նյութը, որի վրա ստեղծվում է փոշու կոնը, ազդում է բնական թեքության անկյան վրա: Խորհուրդ է տրվում, որ փոշուց կոնը ձ</w:t>
      </w:r>
      <w:r>
        <w:rPr>
          <w:rFonts w:ascii="Sylfaen" w:hAnsi="Sylfaen"/>
          <w:sz w:val="24"/>
          <w:szCs w:val="24"/>
        </w:rPr>
        <w:t>եւ</w:t>
      </w:r>
      <w:r w:rsidRPr="00B834A2">
        <w:rPr>
          <w:rFonts w:ascii="Sylfaen" w:hAnsi="Sylfaen"/>
          <w:sz w:val="24"/>
          <w:szCs w:val="24"/>
        </w:rPr>
        <w:t>ավորվի «միատեսակ հիմքի» վրա, այսինքն՝ փոշու կոնի ձ</w:t>
      </w:r>
      <w:r>
        <w:rPr>
          <w:rFonts w:ascii="Sylfaen" w:hAnsi="Sylfaen"/>
          <w:sz w:val="24"/>
          <w:szCs w:val="24"/>
        </w:rPr>
        <w:t>եւ</w:t>
      </w:r>
      <w:r w:rsidRPr="00B834A2">
        <w:rPr>
          <w:rFonts w:ascii="Sylfaen" w:hAnsi="Sylfaen"/>
          <w:sz w:val="24"/>
          <w:szCs w:val="24"/>
        </w:rPr>
        <w:t>ավորում փոշու այն շերտի վրա, որն ստացվում է որոշակի տրամագծով հիմք օգտագործելով, որի արտաքին եզրերն ունեն փոշու շերտ ստանալու համար կող, որի վրա ձ</w:t>
      </w:r>
      <w:r>
        <w:rPr>
          <w:rFonts w:ascii="Sylfaen" w:hAnsi="Sylfaen"/>
          <w:sz w:val="24"/>
          <w:szCs w:val="24"/>
        </w:rPr>
        <w:t>եւ</w:t>
      </w:r>
      <w:r w:rsidRPr="00B834A2">
        <w:rPr>
          <w:rFonts w:ascii="Sylfaen" w:hAnsi="Sylfaen"/>
          <w:sz w:val="24"/>
          <w:szCs w:val="24"/>
        </w:rPr>
        <w:t>ավորվում է կոնը:</w:t>
      </w:r>
    </w:p>
    <w:p w14:paraId="44227561"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Բնական թեքության անկյունը որոշելու առաջարկվող մեթոդիկան</w:t>
      </w:r>
    </w:p>
    <w:p w14:paraId="78FDE293"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Բնական թեքության անկյունը ձ</w:t>
      </w:r>
      <w:r>
        <w:rPr>
          <w:rFonts w:ascii="Sylfaen" w:hAnsi="Sylfaen"/>
          <w:sz w:val="24"/>
          <w:szCs w:val="24"/>
        </w:rPr>
        <w:t>եւ</w:t>
      </w:r>
      <w:r w:rsidRPr="00B834A2">
        <w:rPr>
          <w:rFonts w:ascii="Sylfaen" w:hAnsi="Sylfaen"/>
          <w:sz w:val="24"/>
          <w:szCs w:val="24"/>
        </w:rPr>
        <w:t>ավորում են կող ունեցող անշարժ հիմքի վրա, որը հիմքի վրա պահում է փոշու շերտը: Հիմքը չպետք է ենթարկվի թրթռման: Ձագարի բարձրությունն ընտրում են այնպես, որ փոշին ձ</w:t>
      </w:r>
      <w:r>
        <w:rPr>
          <w:rFonts w:ascii="Sylfaen" w:hAnsi="Sylfaen"/>
          <w:sz w:val="24"/>
          <w:szCs w:val="24"/>
        </w:rPr>
        <w:t>եւ</w:t>
      </w:r>
      <w:r w:rsidRPr="00B834A2">
        <w:rPr>
          <w:rFonts w:ascii="Sylfaen" w:hAnsi="Sylfaen"/>
          <w:sz w:val="24"/>
          <w:szCs w:val="24"/>
        </w:rPr>
        <w:t>ավորի սիմետրիկ կոն:</w:t>
      </w:r>
    </w:p>
    <w:p w14:paraId="3EEA2786"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Անհրաժեշտ է միջոցներ ձեռնարկել ձագարի շարժման ժամանակ թրթռումը կանխելու մասով: Կոնի ձ</w:t>
      </w:r>
      <w:r>
        <w:rPr>
          <w:rFonts w:ascii="Sylfaen" w:hAnsi="Sylfaen"/>
          <w:sz w:val="24"/>
          <w:szCs w:val="24"/>
        </w:rPr>
        <w:t>եւ</w:t>
      </w:r>
      <w:r w:rsidRPr="00B834A2">
        <w:rPr>
          <w:rFonts w:ascii="Sylfaen" w:hAnsi="Sylfaen"/>
          <w:sz w:val="24"/>
          <w:szCs w:val="24"/>
        </w:rPr>
        <w:t xml:space="preserve">ավորվող գագաթի վրա ընկնող փոշու ազդեցությունը </w:t>
      </w:r>
      <w:r w:rsidRPr="00B834A2">
        <w:rPr>
          <w:rFonts w:ascii="Sylfaen" w:hAnsi="Sylfaen"/>
          <w:iCs/>
          <w:sz w:val="24"/>
          <w:szCs w:val="24"/>
        </w:rPr>
        <w:t xml:space="preserve">նվազեցնելու համար ձագարի եզրը պետք է գտնվի փոշու բլրակի գագաթից 2 - 4 սմ հեռավորության վրա: Եթե չի հաջողվում ստանալ կամ վերարտադրել փոշու սիմետրիկ կոն, ապա այդ մեթոդը չի կարող օգտագործվել: Չափում են փոշու ստացված կոնի բարձրությունը </w:t>
      </w:r>
      <w:r>
        <w:rPr>
          <w:rFonts w:ascii="Sylfaen" w:hAnsi="Sylfaen"/>
          <w:iCs/>
          <w:sz w:val="24"/>
          <w:szCs w:val="24"/>
        </w:rPr>
        <w:t>եւ</w:t>
      </w:r>
      <w:r w:rsidRPr="00B834A2">
        <w:rPr>
          <w:rFonts w:ascii="Sylfaen" w:hAnsi="Sylfaen"/>
          <w:iCs/>
          <w:sz w:val="24"/>
          <w:szCs w:val="24"/>
        </w:rPr>
        <w:t xml:space="preserve"> հաշվում են բնական թեքության անկյունը՝</w:t>
      </w:r>
      <w:r w:rsidRPr="00B834A2">
        <w:rPr>
          <w:rFonts w:ascii="Sylfaen" w:hAnsi="Sylfaen"/>
          <w:sz w:val="24"/>
          <w:szCs w:val="24"/>
        </w:rPr>
        <w:t xml:space="preserve"> а,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 xml:space="preserve">ի. </w:t>
      </w:r>
    </w:p>
    <w:p w14:paraId="37FB1EEA"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m:oMathPara>
        <m:oMath>
          <m:r>
            <w:rPr>
              <w:rStyle w:val="Bodytext27pt"/>
              <w:rFonts w:ascii="Cambria Math" w:hAnsi="Cambria Math"/>
              <w:sz w:val="24"/>
              <w:szCs w:val="24"/>
            </w:rPr>
            <m:t>tan(α)=</m:t>
          </m:r>
          <m:f>
            <m:fPr>
              <m:ctrlPr>
                <w:rPr>
                  <w:rStyle w:val="Bodytext27pt"/>
                  <w:rFonts w:ascii="Cambria Math" w:hAnsi="Cambria Math"/>
                  <w:i w:val="0"/>
                  <w:iCs w:val="0"/>
                  <w:sz w:val="24"/>
                  <w:szCs w:val="24"/>
                </w:rPr>
              </m:ctrlPr>
            </m:fPr>
            <m:num>
              <m:r>
                <w:rPr>
                  <w:rFonts w:ascii="Sylfaen" w:hAnsi="Sylfaen" w:cs="Sylfaen"/>
                  <w:sz w:val="24"/>
                  <w:szCs w:val="24"/>
                </w:rPr>
                <m:t>բարձրություն</m:t>
              </m:r>
            </m:num>
            <m:den>
              <m:r>
                <m:rPr>
                  <m:sty m:val="p"/>
                </m:rPr>
                <w:rPr>
                  <w:rFonts w:ascii="Cambria Math" w:hAnsi="Cambria Math" w:cs="Sylfaen"/>
                  <w:sz w:val="24"/>
                  <w:szCs w:val="24"/>
                </w:rPr>
                <m:t xml:space="preserve">0,5 </m:t>
              </m:r>
              <m:r>
                <m:rPr>
                  <m:sty m:val="p"/>
                </m:rPr>
                <w:rPr>
                  <w:rFonts w:ascii="Sylfaen" w:hAnsi="Sylfaen" w:cs="Sylfaen"/>
                  <w:sz w:val="24"/>
                  <w:szCs w:val="24"/>
                </w:rPr>
                <m:t>տրամագիծ</m:t>
              </m:r>
            </m:den>
          </m:f>
        </m:oMath>
      </m:oMathPara>
    </w:p>
    <w:p w14:paraId="37DDCBAD" w14:textId="77777777" w:rsidR="005542DC" w:rsidRDefault="005542DC" w:rsidP="005563E0">
      <w:pPr>
        <w:pStyle w:val="Bodytext20"/>
        <w:shd w:val="clear" w:color="auto" w:fill="auto"/>
        <w:spacing w:before="0" w:after="160" w:line="360" w:lineRule="auto"/>
        <w:ind w:firstLine="567"/>
        <w:jc w:val="both"/>
        <w:rPr>
          <w:rFonts w:ascii="Sylfaen" w:hAnsi="Sylfaen"/>
          <w:b/>
          <w:sz w:val="24"/>
          <w:szCs w:val="24"/>
          <w:lang w:val="en-US"/>
        </w:rPr>
      </w:pPr>
    </w:p>
    <w:p w14:paraId="52DB8F6D" w14:textId="77777777" w:rsidR="00B834A2" w:rsidRPr="006B7DC5" w:rsidRDefault="00B834A2" w:rsidP="005563E0">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ՄԱՄԼԵԼԻՈՒԹՅԱՆ ԳՈՐԾԱԿԻՑԸ ԵՎ ՀԱՈՒՍՆԵՐԻ ԳՈՐԾԱԿԻՑԸ</w:t>
      </w:r>
    </w:p>
    <w:p w14:paraId="4C1A31CC" w14:textId="77777777" w:rsidR="00B834A2" w:rsidRDefault="00B834A2" w:rsidP="005563E0">
      <w:pPr>
        <w:pStyle w:val="Bodytext20"/>
        <w:shd w:val="clear" w:color="auto" w:fill="auto"/>
        <w:spacing w:before="0" w:after="160" w:line="360" w:lineRule="auto"/>
        <w:ind w:firstLine="567"/>
        <w:jc w:val="both"/>
        <w:rPr>
          <w:rFonts w:ascii="Sylfaen" w:hAnsi="Sylfaen"/>
          <w:sz w:val="24"/>
          <w:szCs w:val="24"/>
          <w:lang w:val="en-US"/>
        </w:rPr>
      </w:pPr>
      <w:r w:rsidRPr="00B834A2">
        <w:rPr>
          <w:rFonts w:ascii="Sylfaen" w:hAnsi="Sylfaen"/>
          <w:sz w:val="24"/>
          <w:szCs w:val="24"/>
        </w:rPr>
        <w:t xml:space="preserve">Վերջին տարիներին մամլելիության գործակցի </w:t>
      </w:r>
      <w:r>
        <w:rPr>
          <w:rFonts w:ascii="Sylfaen" w:hAnsi="Sylfaen"/>
          <w:sz w:val="24"/>
          <w:szCs w:val="24"/>
        </w:rPr>
        <w:t>եւ</w:t>
      </w:r>
      <w:r w:rsidRPr="00B834A2">
        <w:rPr>
          <w:rFonts w:ascii="Sylfaen" w:hAnsi="Sylfaen"/>
          <w:sz w:val="24"/>
          <w:szCs w:val="24"/>
        </w:rPr>
        <w:t xml:space="preserve"> դրան մոտ կապակցված Հաուսների գործակցի որոշումը դարձել է փոշիների սորունության բնութագրերը կանխատեսելու պարզ, արագ </w:t>
      </w:r>
      <w:r>
        <w:rPr>
          <w:rFonts w:ascii="Sylfaen" w:hAnsi="Sylfaen"/>
          <w:sz w:val="24"/>
          <w:szCs w:val="24"/>
        </w:rPr>
        <w:t>եւ</w:t>
      </w:r>
      <w:r w:rsidRPr="00B834A2">
        <w:rPr>
          <w:rFonts w:ascii="Sylfaen" w:hAnsi="Sylfaen"/>
          <w:sz w:val="24"/>
          <w:szCs w:val="24"/>
        </w:rPr>
        <w:t xml:space="preserve"> հանրամատչելի մեթոդ: </w:t>
      </w:r>
    </w:p>
    <w:p w14:paraId="23F539D9" w14:textId="77777777" w:rsidR="005542DC" w:rsidRPr="005542DC" w:rsidRDefault="005542DC" w:rsidP="005563E0">
      <w:pPr>
        <w:pStyle w:val="Bodytext20"/>
        <w:shd w:val="clear" w:color="auto" w:fill="auto"/>
        <w:spacing w:before="0" w:after="160" w:line="360" w:lineRule="auto"/>
        <w:ind w:firstLine="567"/>
        <w:jc w:val="both"/>
        <w:rPr>
          <w:rFonts w:ascii="Sylfaen" w:hAnsi="Sylfaen"/>
          <w:sz w:val="24"/>
          <w:szCs w:val="24"/>
          <w:lang w:val="en-US"/>
        </w:rPr>
      </w:pPr>
    </w:p>
    <w:p w14:paraId="11B91267"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Մամլելիության գործակիցը առաջարկվել է որպես նյութի լցման խտության, չափի </w:t>
      </w:r>
      <w:r>
        <w:rPr>
          <w:rFonts w:ascii="Sylfaen" w:hAnsi="Sylfaen"/>
          <w:sz w:val="24"/>
          <w:szCs w:val="24"/>
        </w:rPr>
        <w:t>եւ</w:t>
      </w:r>
      <w:r w:rsidRPr="00B834A2">
        <w:rPr>
          <w:rFonts w:ascii="Sylfaen" w:hAnsi="Sylfaen"/>
          <w:sz w:val="24"/>
          <w:szCs w:val="24"/>
        </w:rPr>
        <w:t xml:space="preserve"> ձ</w:t>
      </w:r>
      <w:r>
        <w:rPr>
          <w:rFonts w:ascii="Sylfaen" w:hAnsi="Sylfaen"/>
          <w:sz w:val="24"/>
          <w:szCs w:val="24"/>
        </w:rPr>
        <w:t>եւ</w:t>
      </w:r>
      <w:r w:rsidRPr="00B834A2">
        <w:rPr>
          <w:rFonts w:ascii="Sylfaen" w:hAnsi="Sylfaen"/>
          <w:sz w:val="24"/>
          <w:szCs w:val="24"/>
        </w:rPr>
        <w:t>ի, մակեր</w:t>
      </w:r>
      <w:r>
        <w:rPr>
          <w:rFonts w:ascii="Sylfaen" w:hAnsi="Sylfaen"/>
          <w:sz w:val="24"/>
          <w:szCs w:val="24"/>
        </w:rPr>
        <w:t>եւ</w:t>
      </w:r>
      <w:r w:rsidRPr="00B834A2">
        <w:rPr>
          <w:rFonts w:ascii="Sylfaen" w:hAnsi="Sylfaen"/>
          <w:sz w:val="24"/>
          <w:szCs w:val="24"/>
        </w:rPr>
        <w:t xml:space="preserve">ույթի մակերեսի, խոնավության պարունակության </w:t>
      </w:r>
      <w:r>
        <w:rPr>
          <w:rFonts w:ascii="Sylfaen" w:hAnsi="Sylfaen"/>
          <w:sz w:val="24"/>
          <w:szCs w:val="24"/>
        </w:rPr>
        <w:t>եւ</w:t>
      </w:r>
      <w:r w:rsidRPr="00B834A2">
        <w:rPr>
          <w:rFonts w:ascii="Sylfaen" w:hAnsi="Sylfaen"/>
          <w:sz w:val="24"/>
          <w:szCs w:val="24"/>
        </w:rPr>
        <w:t xml:space="preserve"> կոհեզիոն ունակության անուղղակի ցուցանիշ, քանի որ բոլոր այդ պարամետրերը կարող են ազդել մամլելիության գործակցի վրա: Այդպիսով, մամլելիության գործակիցը </w:t>
      </w:r>
      <w:r>
        <w:rPr>
          <w:rFonts w:ascii="Sylfaen" w:hAnsi="Sylfaen"/>
          <w:sz w:val="24"/>
          <w:szCs w:val="24"/>
        </w:rPr>
        <w:t>եւ</w:t>
      </w:r>
      <w:r w:rsidRPr="00B834A2">
        <w:rPr>
          <w:rFonts w:ascii="Sylfaen" w:hAnsi="Sylfaen"/>
          <w:sz w:val="24"/>
          <w:szCs w:val="24"/>
        </w:rPr>
        <w:t xml:space="preserve"> Հաուսների գործակիցը որոշում են փոշու լցման ծավալը </w:t>
      </w:r>
      <w:r>
        <w:rPr>
          <w:rFonts w:ascii="Sylfaen" w:hAnsi="Sylfaen"/>
          <w:sz w:val="24"/>
          <w:szCs w:val="24"/>
        </w:rPr>
        <w:t>եւ</w:t>
      </w:r>
      <w:r w:rsidRPr="00B834A2">
        <w:rPr>
          <w:rFonts w:ascii="Sylfaen" w:hAnsi="Sylfaen"/>
          <w:sz w:val="24"/>
          <w:szCs w:val="24"/>
        </w:rPr>
        <w:t xml:space="preserve"> խտացումից հետո փոշու ծավալը չափելու միջոցով:</w:t>
      </w:r>
    </w:p>
    <w:p w14:paraId="0403A15C"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 xml:space="preserve">Մամլելիության գործակիցը </w:t>
      </w:r>
      <w:r>
        <w:rPr>
          <w:rFonts w:ascii="Sylfaen" w:hAnsi="Sylfaen"/>
          <w:i/>
          <w:sz w:val="24"/>
          <w:szCs w:val="24"/>
        </w:rPr>
        <w:t>եւ</w:t>
      </w:r>
      <w:r w:rsidRPr="00B834A2">
        <w:rPr>
          <w:rFonts w:ascii="Sylfaen" w:hAnsi="Sylfaen"/>
          <w:i/>
          <w:sz w:val="24"/>
          <w:szCs w:val="24"/>
        </w:rPr>
        <w:t xml:space="preserve"> Հաուսների գործակիցը որոշելու հիմնական մեթոդիկաները</w:t>
      </w:r>
    </w:p>
    <w:p w14:paraId="1A51F2C8"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Թեպետ գոյություն ունեն մամլելիության </w:t>
      </w:r>
      <w:r>
        <w:rPr>
          <w:rFonts w:ascii="Sylfaen" w:hAnsi="Sylfaen"/>
          <w:sz w:val="24"/>
          <w:szCs w:val="24"/>
        </w:rPr>
        <w:t>եւ</w:t>
      </w:r>
      <w:r w:rsidRPr="00B834A2">
        <w:rPr>
          <w:rFonts w:ascii="Sylfaen" w:hAnsi="Sylfaen"/>
          <w:sz w:val="24"/>
          <w:szCs w:val="24"/>
        </w:rPr>
        <w:t xml:space="preserve"> Հաուսների գործակիցներ որոշելու մեթոդիկաների մի քանի տեսակներ, հիմնական փորձը կայանում է փոշու թվացյալ (լցման) ծավալը (</w:t>
      </w:r>
      <w:r w:rsidRPr="00B834A2">
        <w:rPr>
          <w:rStyle w:val="Bodytext2Italic"/>
          <w:sz w:val="24"/>
          <w:szCs w:val="24"/>
        </w:rPr>
        <w:t>V</w:t>
      </w:r>
      <w:r w:rsidRPr="00B834A2">
        <w:rPr>
          <w:rFonts w:ascii="Sylfaen" w:hAnsi="Sylfaen"/>
          <w:sz w:val="24"/>
          <w:szCs w:val="24"/>
          <w:vertAlign w:val="subscript"/>
        </w:rPr>
        <w:t>0</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դրա խտացումից հետո փոշու ծավալը (V</w:t>
      </w:r>
      <w:r w:rsidRPr="00B834A2">
        <w:rPr>
          <w:rFonts w:ascii="Sylfaen" w:hAnsi="Sylfaen"/>
          <w:sz w:val="24"/>
          <w:szCs w:val="24"/>
          <w:vertAlign w:val="subscript"/>
        </w:rPr>
        <w:t>f</w:t>
      </w:r>
      <w:r w:rsidRPr="00B834A2">
        <w:rPr>
          <w:rFonts w:ascii="Sylfaen" w:hAnsi="Sylfaen"/>
          <w:sz w:val="24"/>
          <w:szCs w:val="24"/>
        </w:rPr>
        <w:t>,) չափելու մեջ այնքան ժամանակ, քանի դեռ ծավալի մեջ չի կատարվի որ</w:t>
      </w:r>
      <w:r>
        <w:rPr>
          <w:rFonts w:ascii="Sylfaen" w:hAnsi="Sylfaen"/>
          <w:sz w:val="24"/>
          <w:szCs w:val="24"/>
        </w:rPr>
        <w:t>եւ</w:t>
      </w:r>
      <w:r w:rsidRPr="00B834A2">
        <w:rPr>
          <w:rFonts w:ascii="Sylfaen" w:hAnsi="Sylfaen"/>
          <w:sz w:val="24"/>
          <w:szCs w:val="24"/>
        </w:rPr>
        <w:t xml:space="preserve">է փոփոխություն: Մամլելիության գործակիցը </w:t>
      </w:r>
      <w:r>
        <w:rPr>
          <w:rFonts w:ascii="Sylfaen" w:hAnsi="Sylfaen"/>
          <w:sz w:val="24"/>
          <w:szCs w:val="24"/>
        </w:rPr>
        <w:t>եւ</w:t>
      </w:r>
      <w:r w:rsidRPr="00B834A2">
        <w:rPr>
          <w:rFonts w:ascii="Sylfaen" w:hAnsi="Sylfaen"/>
          <w:sz w:val="24"/>
          <w:szCs w:val="24"/>
        </w:rPr>
        <w:t xml:space="preserve"> Հաուսների գործակիցը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երի.</w:t>
      </w:r>
    </w:p>
    <w:p w14:paraId="54DBAA83"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i/>
          <w:sz w:val="24"/>
          <w:szCs w:val="24"/>
        </w:rPr>
      </w:pPr>
      <m:oMathPara>
        <m:oMath>
          <m:r>
            <m:rPr>
              <m:sty m:val="p"/>
            </m:rPr>
            <w:rPr>
              <w:rFonts w:ascii="Sylfaen" w:hAnsi="Sylfaen" w:cs="Sylfaen"/>
              <w:sz w:val="24"/>
              <w:szCs w:val="24"/>
            </w:rPr>
            <m:t>Մամլելիության</m:t>
          </m:r>
          <m:r>
            <m:rPr>
              <m:sty m:val="p"/>
            </m:rPr>
            <w:rPr>
              <w:rFonts w:ascii="Cambria Math" w:hAnsi="Cambria Math" w:cs="Cambria Math"/>
              <w:sz w:val="24"/>
              <w:szCs w:val="24"/>
            </w:rPr>
            <m:t xml:space="preserve"> </m:t>
          </m:r>
          <m:r>
            <m:rPr>
              <m:sty m:val="p"/>
            </m:rPr>
            <w:rPr>
              <w:rFonts w:ascii="Sylfaen" w:hAnsi="Sylfaen" w:cs="Sylfaen"/>
              <w:sz w:val="24"/>
              <w:szCs w:val="24"/>
            </w:rPr>
            <m:t>գործակիցը</m:t>
          </m:r>
          <m:r>
            <w:rPr>
              <w:rFonts w:ascii="Cambria Math" w:hAnsi="Cambria Math" w:cs="Sylfaen"/>
              <w:sz w:val="24"/>
              <w:szCs w:val="24"/>
            </w:rPr>
            <m:t>=100.</m:t>
          </m:r>
          <m:f>
            <m:fPr>
              <m:ctrlPr>
                <w:rPr>
                  <w:rFonts w:ascii="Cambria Math" w:hAnsi="Cambria Math" w:cs="Sylfaen"/>
                  <w:i/>
                  <w:sz w:val="24"/>
                  <w:szCs w:val="24"/>
                </w:rPr>
              </m:ctrlPr>
            </m:fPr>
            <m:num>
              <m:sSub>
                <m:sSubPr>
                  <m:ctrlPr>
                    <w:rPr>
                      <w:rFonts w:ascii="Cambria Math" w:hAnsi="Cambria Math" w:cs="Sylfaen"/>
                      <w:i/>
                      <w:sz w:val="24"/>
                      <w:szCs w:val="24"/>
                    </w:rPr>
                  </m:ctrlPr>
                </m:sSubPr>
                <m:e>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0</m:t>
                      </m:r>
                    </m:sub>
                  </m:sSub>
                  <m:r>
                    <w:rPr>
                      <w:rFonts w:ascii="Cambria Math" w:hAnsi="Cambria Math" w:cs="Sylfaen"/>
                      <w:sz w:val="24"/>
                      <w:szCs w:val="24"/>
                    </w:rPr>
                    <m:t>-V</m:t>
                  </m:r>
                </m:e>
                <m:sub>
                  <m:r>
                    <w:rPr>
                      <w:rFonts w:ascii="Cambria Math" w:hAnsi="Cambria Math" w:cs="Sylfaen"/>
                      <w:sz w:val="24"/>
                      <w:szCs w:val="24"/>
                    </w:rPr>
                    <m:t>f</m:t>
                  </m:r>
                </m:sub>
              </m:sSub>
            </m:num>
            <m:den>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0</m:t>
                  </m:r>
                </m:sub>
              </m:sSub>
            </m:den>
          </m:f>
        </m:oMath>
      </m:oMathPara>
    </w:p>
    <w:p w14:paraId="0A2944DA" w14:textId="77777777" w:rsidR="00B834A2" w:rsidRPr="00B834A2" w:rsidRDefault="00B834A2" w:rsidP="00B834A2">
      <w:pPr>
        <w:pStyle w:val="Bodytext20"/>
        <w:shd w:val="clear" w:color="auto" w:fill="auto"/>
        <w:spacing w:before="0" w:after="160" w:line="360" w:lineRule="auto"/>
        <w:jc w:val="left"/>
        <w:rPr>
          <w:rFonts w:ascii="Sylfaen" w:hAnsi="Sylfaen" w:cs="Sylfaen"/>
          <w:i/>
          <w:sz w:val="24"/>
          <w:szCs w:val="24"/>
        </w:rPr>
      </w:pPr>
      <m:oMathPara>
        <m:oMath>
          <m:r>
            <m:rPr>
              <m:sty m:val="p"/>
            </m:rPr>
            <w:rPr>
              <w:rFonts w:ascii="Sylfaen" w:hAnsi="Sylfaen" w:cs="Sylfaen"/>
              <w:sz w:val="24"/>
              <w:szCs w:val="24"/>
            </w:rPr>
            <m:t>Հաուսների</m:t>
          </m:r>
          <m:r>
            <m:rPr>
              <m:sty m:val="p"/>
            </m:rPr>
            <w:rPr>
              <w:rFonts w:ascii="Cambria Math" w:hAnsi="Cambria Math" w:cs="Cambria Math"/>
              <w:sz w:val="24"/>
              <w:szCs w:val="24"/>
            </w:rPr>
            <m:t xml:space="preserve"> </m:t>
          </m:r>
          <m:r>
            <m:rPr>
              <m:sty m:val="p"/>
            </m:rPr>
            <w:rPr>
              <w:rFonts w:ascii="Sylfaen" w:hAnsi="Sylfaen" w:cs="Sylfaen"/>
              <w:sz w:val="24"/>
              <w:szCs w:val="24"/>
            </w:rPr>
            <m:t>գործակիցը</m:t>
          </m:r>
          <m:r>
            <w:rPr>
              <w:rFonts w:ascii="Cambria Math" w:hAnsi="Cambria Math" w:cs="Sylfaen"/>
              <w:sz w:val="24"/>
              <w:szCs w:val="24"/>
            </w:rPr>
            <m:t>=</m:t>
          </m:r>
          <m:f>
            <m:fPr>
              <m:ctrlPr>
                <w:rPr>
                  <w:rFonts w:ascii="Cambria Math" w:hAnsi="Cambria Math" w:cs="Sylfaen"/>
                  <w:i/>
                  <w:sz w:val="24"/>
                  <w:szCs w:val="24"/>
                </w:rPr>
              </m:ctrlPr>
            </m:fPr>
            <m:num>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0</m:t>
                  </m:r>
                </m:sub>
              </m:sSub>
            </m:num>
            <m:den>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f</m:t>
                  </m:r>
                </m:sub>
              </m:sSub>
            </m:den>
          </m:f>
        </m:oMath>
      </m:oMathPara>
    </w:p>
    <w:p w14:paraId="6C4309D4"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Որպես այլընտրանք, մամլելիության գործակիցը </w:t>
      </w:r>
      <w:r>
        <w:rPr>
          <w:rFonts w:ascii="Sylfaen" w:hAnsi="Sylfaen"/>
          <w:sz w:val="24"/>
          <w:szCs w:val="24"/>
        </w:rPr>
        <w:t>եւ</w:t>
      </w:r>
      <w:r w:rsidRPr="00B834A2">
        <w:rPr>
          <w:rFonts w:ascii="Sylfaen" w:hAnsi="Sylfaen"/>
          <w:sz w:val="24"/>
          <w:szCs w:val="24"/>
        </w:rPr>
        <w:t xml:space="preserve"> Հաուսների գործակիցը կարող են հաշվարկվել՝ լցման խտության </w:t>
      </w:r>
      <w:r w:rsidRPr="00B834A2">
        <w:rPr>
          <w:rStyle w:val="Bodytext2Bold"/>
          <w:rFonts w:ascii="Sylfaen" w:hAnsi="Sylfaen"/>
          <w:sz w:val="24"/>
          <w:szCs w:val="24"/>
        </w:rPr>
        <w:t>(</w:t>
      </w:r>
      <w:r w:rsidRPr="00B834A2">
        <w:rPr>
          <w:rFonts w:ascii="Sylfaen" w:hAnsi="Sylfaen"/>
          <w:sz w:val="24"/>
          <w:szCs w:val="24"/>
        </w:rPr>
        <w:t>p</w:t>
      </w:r>
      <w:r w:rsidRPr="00B834A2">
        <w:rPr>
          <w:rStyle w:val="Bodytext2Italic"/>
          <w:sz w:val="24"/>
          <w:szCs w:val="24"/>
          <w:vertAlign w:val="subscript"/>
        </w:rPr>
        <w:t>bulk</w:t>
      </w:r>
      <w:r w:rsidRPr="00B834A2">
        <w:rPr>
          <w:rStyle w:val="Bodytext2Bold"/>
          <w:rFonts w:ascii="Sylfaen" w:hAnsi="Sylfaen"/>
          <w:sz w:val="24"/>
          <w:szCs w:val="24"/>
        </w:rPr>
        <w:t>)</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խտացումից հետո խտության (р</w:t>
      </w:r>
      <w:r w:rsidRPr="00B834A2">
        <w:rPr>
          <w:rStyle w:val="Bodytext285pt"/>
          <w:spacing w:val="0"/>
          <w:sz w:val="24"/>
          <w:szCs w:val="24"/>
          <w:vertAlign w:val="subscript"/>
        </w:rPr>
        <w:t>tapped</w:t>
      </w:r>
      <w:r w:rsidRPr="00B834A2">
        <w:rPr>
          <w:rStyle w:val="Bodytext2Italic"/>
          <w:sz w:val="24"/>
          <w:szCs w:val="24"/>
        </w:rPr>
        <w:t>)</w:t>
      </w:r>
      <w:r w:rsidRPr="00B834A2">
        <w:rPr>
          <w:rFonts w:ascii="Sylfaen" w:hAnsi="Sylfaen"/>
          <w:sz w:val="24"/>
          <w:szCs w:val="24"/>
        </w:rPr>
        <w:t xml:space="preserve"> չափված արժեքները հետ</w:t>
      </w:r>
      <w:r>
        <w:rPr>
          <w:rFonts w:ascii="Sylfaen" w:hAnsi="Sylfaen"/>
          <w:sz w:val="24"/>
          <w:szCs w:val="24"/>
        </w:rPr>
        <w:t>եւ</w:t>
      </w:r>
      <w:r w:rsidRPr="00B834A2">
        <w:rPr>
          <w:rFonts w:ascii="Sylfaen" w:hAnsi="Sylfaen"/>
          <w:sz w:val="24"/>
          <w:szCs w:val="24"/>
        </w:rPr>
        <w:t>յալ կերպ օգտագործելով.</w:t>
      </w:r>
    </w:p>
    <w:p w14:paraId="62DCF16A" w14:textId="77777777" w:rsidR="00B834A2" w:rsidRPr="00B834A2" w:rsidRDefault="00B834A2" w:rsidP="00B834A2">
      <w:pPr>
        <w:pStyle w:val="Bodytext20"/>
        <w:shd w:val="clear" w:color="auto" w:fill="auto"/>
        <w:spacing w:before="0" w:after="160" w:line="360" w:lineRule="auto"/>
        <w:rPr>
          <w:rStyle w:val="Bodytext2Spacing1pt"/>
          <w:rFonts w:ascii="Sylfaen" w:hAnsi="Sylfaen" w:cs="Sylfaen"/>
          <w:spacing w:val="0"/>
          <w:sz w:val="24"/>
          <w:szCs w:val="24"/>
        </w:rPr>
      </w:pPr>
      <m:oMathPara>
        <m:oMath>
          <m:r>
            <m:rPr>
              <m:sty m:val="p"/>
            </m:rPr>
            <w:rPr>
              <w:rFonts w:ascii="Sylfaen" w:hAnsi="Sylfaen" w:cs="Sylfaen"/>
              <w:sz w:val="24"/>
              <w:szCs w:val="24"/>
            </w:rPr>
            <m:t>Մամլելիության</m:t>
          </m:r>
          <m:r>
            <m:rPr>
              <m:sty m:val="p"/>
            </m:rPr>
            <w:rPr>
              <w:rFonts w:ascii="Cambria Math" w:hAnsi="Cambria Math" w:cs="Cambria Math"/>
              <w:sz w:val="24"/>
              <w:szCs w:val="24"/>
            </w:rPr>
            <m:t xml:space="preserve"> </m:t>
          </m:r>
          <m:r>
            <m:rPr>
              <m:sty m:val="p"/>
            </m:rPr>
            <w:rPr>
              <w:rFonts w:ascii="Sylfaen" w:hAnsi="Sylfaen" w:cs="Sylfaen"/>
              <w:sz w:val="24"/>
              <w:szCs w:val="24"/>
            </w:rPr>
            <m:t>գործակիցը</m:t>
          </m:r>
          <m:r>
            <w:rPr>
              <w:rFonts w:ascii="Cambria Math" w:hAnsi="Cambria Math" w:cs="Sylfaen"/>
              <w:sz w:val="24"/>
              <w:szCs w:val="24"/>
            </w:rPr>
            <m:t>=100.</m:t>
          </m:r>
          <m:f>
            <m:fPr>
              <m:ctrlPr>
                <w:rPr>
                  <w:rFonts w:ascii="Cambria Math" w:hAnsi="Cambria Math" w:cs="Sylfaen"/>
                  <w:i/>
                  <w:sz w:val="24"/>
                  <w:szCs w:val="24"/>
                </w:rPr>
              </m:ctrlPr>
            </m:fPr>
            <m:num>
              <m:sSub>
                <m:sSubPr>
                  <m:ctrlPr>
                    <w:rPr>
                      <w:rFonts w:ascii="Cambria Math" w:hAnsi="Cambria Math" w:cs="Sylfaen"/>
                      <w:i/>
                      <w:sz w:val="24"/>
                      <w:szCs w:val="24"/>
                    </w:rPr>
                  </m:ctrlPr>
                </m:sSubPr>
                <m:e>
                  <m:sSub>
                    <m:sSubPr>
                      <m:ctrlPr>
                        <w:rPr>
                          <w:rFonts w:ascii="Cambria Math" w:hAnsi="Cambria Math" w:cs="Sylfaen"/>
                          <w:i/>
                          <w:sz w:val="24"/>
                          <w:szCs w:val="24"/>
                        </w:rPr>
                      </m:ctrlPr>
                    </m:sSubPr>
                    <m:e>
                      <m:r>
                        <w:rPr>
                          <w:rFonts w:ascii="Cambria Math" w:hAnsi="Cambria Math" w:cs="Sylfaen"/>
                          <w:sz w:val="24"/>
                          <w:szCs w:val="24"/>
                        </w:rPr>
                        <m:t>p</m:t>
                      </m:r>
                    </m:e>
                    <m:sub>
                      <m:r>
                        <w:rPr>
                          <w:rStyle w:val="Bodytext285pt"/>
                          <w:rFonts w:ascii="Cambria Math" w:hAnsi="Cambria Math"/>
                          <w:spacing w:val="0"/>
                          <w:sz w:val="24"/>
                          <w:szCs w:val="24"/>
                          <w:vertAlign w:val="subscript"/>
                        </w:rPr>
                        <m:t>tapped</m:t>
                      </m:r>
                    </m:sub>
                  </m:sSub>
                  <m:r>
                    <w:rPr>
                      <w:rFonts w:ascii="Cambria Math" w:hAnsi="Cambria Math" w:cs="Sylfaen"/>
                      <w:sz w:val="24"/>
                      <w:szCs w:val="24"/>
                    </w:rPr>
                    <m:t>-p</m:t>
                  </m:r>
                </m:e>
                <m:sub>
                  <m:r>
                    <w:rPr>
                      <w:rStyle w:val="Bodytext2Italic"/>
                      <w:rFonts w:ascii="Cambria Math" w:hAnsi="Cambria Math"/>
                      <w:sz w:val="24"/>
                      <w:szCs w:val="24"/>
                      <w:vertAlign w:val="subscript"/>
                    </w:rPr>
                    <m:t>bulk</m:t>
                  </m:r>
                </m:sub>
              </m:sSub>
            </m:num>
            <m:den>
              <m:sSub>
                <m:sSubPr>
                  <m:ctrlPr>
                    <w:rPr>
                      <w:rFonts w:ascii="Cambria Math" w:hAnsi="Cambria Math" w:cs="Sylfaen"/>
                      <w:i/>
                      <w:sz w:val="24"/>
                      <w:szCs w:val="24"/>
                    </w:rPr>
                  </m:ctrlPr>
                </m:sSubPr>
                <m:e>
                  <m:r>
                    <w:rPr>
                      <w:rFonts w:ascii="Cambria Math" w:hAnsi="Cambria Math" w:cs="Sylfaen"/>
                      <w:sz w:val="24"/>
                      <w:szCs w:val="24"/>
                    </w:rPr>
                    <m:t>p</m:t>
                  </m:r>
                </m:e>
                <m:sub>
                  <m:r>
                    <w:rPr>
                      <w:rStyle w:val="Bodytext285pt"/>
                      <w:rFonts w:ascii="Cambria Math" w:hAnsi="Cambria Math"/>
                      <w:spacing w:val="0"/>
                      <w:sz w:val="24"/>
                      <w:szCs w:val="24"/>
                      <w:vertAlign w:val="subscript"/>
                    </w:rPr>
                    <m:t>tapped</m:t>
                  </m:r>
                </m:sub>
              </m:sSub>
            </m:den>
          </m:f>
        </m:oMath>
      </m:oMathPara>
    </w:p>
    <w:p w14:paraId="512662D2" w14:textId="77777777" w:rsidR="006B3C70" w:rsidRDefault="006B3C70">
      <w:pPr>
        <w:rPr>
          <w:rFonts w:eastAsia="Times New Roman" w:cs="Times New Roman"/>
          <w:color w:val="auto"/>
        </w:rPr>
      </w:pPr>
      <w:r>
        <w:br w:type="page"/>
      </w:r>
    </w:p>
    <w:p w14:paraId="48AA0108" w14:textId="77777777" w:rsidR="00B834A2" w:rsidRDefault="00B834A2" w:rsidP="005563E0">
      <w:pPr>
        <w:pStyle w:val="Tablecaption120"/>
        <w:shd w:val="clear" w:color="auto" w:fill="auto"/>
        <w:spacing w:after="160" w:line="360" w:lineRule="auto"/>
        <w:ind w:firstLine="567"/>
        <w:jc w:val="both"/>
        <w:rPr>
          <w:rStyle w:val="Tablecaption12Italic"/>
          <w:rFonts w:ascii="Sylfaen" w:eastAsia="Sylfaen" w:hAnsi="Sylfaen"/>
          <w:sz w:val="24"/>
          <w:szCs w:val="24"/>
          <w:lang w:val="en-US"/>
        </w:rPr>
      </w:pPr>
      <w:r w:rsidRPr="00B834A2">
        <w:rPr>
          <w:rFonts w:ascii="Sylfaen" w:hAnsi="Sylfaen"/>
          <w:sz w:val="24"/>
          <w:szCs w:val="24"/>
        </w:rPr>
        <w:lastRenderedPageBreak/>
        <w:t xml:space="preserve">Աղյուսակ 2.1.10.2-2 </w:t>
      </w:r>
      <w:r w:rsidR="009217DE">
        <w:rPr>
          <w:rFonts w:ascii="Sylfaen" w:hAnsi="Sylfaen"/>
          <w:sz w:val="24"/>
          <w:szCs w:val="24"/>
        </w:rPr>
        <w:t>-</w:t>
      </w:r>
      <w:r w:rsidRPr="00B834A2">
        <w:rPr>
          <w:rFonts w:ascii="Sylfaen" w:hAnsi="Sylfaen"/>
          <w:sz w:val="24"/>
          <w:szCs w:val="24"/>
        </w:rPr>
        <w:t xml:space="preserve"> </w:t>
      </w:r>
      <w:r w:rsidRPr="00B834A2">
        <w:rPr>
          <w:rStyle w:val="Tablecaption12Italic"/>
          <w:rFonts w:ascii="Sylfaen" w:eastAsia="Sylfaen" w:hAnsi="Sylfaen"/>
          <w:sz w:val="24"/>
          <w:szCs w:val="24"/>
        </w:rPr>
        <w:t>Սորունության սանդղակը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90"/>
        <w:gridCol w:w="1980"/>
        <w:gridCol w:w="1985"/>
      </w:tblGrid>
      <w:tr w:rsidR="00B834A2" w:rsidRPr="005563E0" w14:paraId="36FA1497" w14:textId="77777777" w:rsidTr="005563E0">
        <w:trPr>
          <w:jc w:val="center"/>
        </w:trPr>
        <w:tc>
          <w:tcPr>
            <w:tcW w:w="1990" w:type="dxa"/>
            <w:tcBorders>
              <w:top w:val="single" w:sz="4" w:space="0" w:color="auto"/>
            </w:tcBorders>
            <w:shd w:val="clear" w:color="auto" w:fill="FFFFFF"/>
          </w:tcPr>
          <w:p w14:paraId="3CF67B94" w14:textId="77777777" w:rsidR="00B834A2" w:rsidRPr="005563E0" w:rsidRDefault="00F37D51" w:rsidP="00F37D51">
            <w:pPr>
              <w:pStyle w:val="Tablecaption120"/>
              <w:shd w:val="clear" w:color="auto" w:fill="auto"/>
              <w:spacing w:after="160" w:line="360" w:lineRule="auto"/>
              <w:jc w:val="center"/>
              <w:rPr>
                <w:rFonts w:ascii="Sylfaen" w:hAnsi="Sylfaen" w:cs="Sylfaen"/>
                <w:szCs w:val="24"/>
              </w:rPr>
            </w:pPr>
            <w:r w:rsidRPr="00F37D51">
              <w:rPr>
                <w:rFonts w:ascii="Sylfaen" w:hAnsi="Sylfaen" w:cs="Sylfaen"/>
                <w:szCs w:val="24"/>
              </w:rPr>
              <w:t>Մամլելիության գործակիցը</w:t>
            </w:r>
            <w:r>
              <w:rPr>
                <w:rFonts w:ascii="Sylfaen" w:hAnsi="Sylfaen" w:cs="Sylfaen"/>
                <w:szCs w:val="24"/>
                <w:lang w:val="en-US"/>
              </w:rPr>
              <w:t xml:space="preserve"> </w:t>
            </w:r>
            <w:r>
              <w:rPr>
                <w:rFonts w:ascii="Sylfaen" w:hAnsi="Sylfaen" w:cs="Sylfaen"/>
                <w:szCs w:val="24"/>
                <w:lang w:val="ru-RU"/>
              </w:rPr>
              <w:t>(</w:t>
            </w:r>
            <w:r>
              <w:rPr>
                <w:rFonts w:ascii="Sylfaen" w:hAnsi="Sylfaen" w:cs="Sylfaen"/>
                <w:szCs w:val="24"/>
                <w:lang w:val="en-US"/>
              </w:rPr>
              <w:t>%)</w:t>
            </w:r>
          </w:p>
        </w:tc>
        <w:tc>
          <w:tcPr>
            <w:tcW w:w="1980" w:type="dxa"/>
            <w:tcBorders>
              <w:top w:val="single" w:sz="4" w:space="0" w:color="auto"/>
            </w:tcBorders>
            <w:shd w:val="clear" w:color="auto" w:fill="FFFFFF"/>
          </w:tcPr>
          <w:p w14:paraId="56EFB747"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Սորունության բնութագիրը</w:t>
            </w:r>
          </w:p>
        </w:tc>
        <w:tc>
          <w:tcPr>
            <w:tcW w:w="1985" w:type="dxa"/>
            <w:tcBorders>
              <w:top w:val="single" w:sz="4" w:space="0" w:color="auto"/>
            </w:tcBorders>
            <w:shd w:val="clear" w:color="auto" w:fill="FFFFFF"/>
          </w:tcPr>
          <w:p w14:paraId="455708D1" w14:textId="77777777" w:rsidR="00B834A2" w:rsidRPr="005563E0" w:rsidRDefault="00F37D51" w:rsidP="00F37D51">
            <w:pPr>
              <w:pStyle w:val="Tablecaption120"/>
              <w:shd w:val="clear" w:color="auto" w:fill="auto"/>
              <w:spacing w:after="160" w:line="360" w:lineRule="auto"/>
              <w:jc w:val="center"/>
              <w:rPr>
                <w:rFonts w:ascii="Sylfaen" w:hAnsi="Sylfaen" w:cs="Sylfaen"/>
                <w:szCs w:val="24"/>
              </w:rPr>
            </w:pPr>
            <w:r w:rsidRPr="00F37D51">
              <w:rPr>
                <w:rStyle w:val="Tablecaption12Italic"/>
                <w:rFonts w:ascii="Sylfaen" w:eastAsia="Sylfaen" w:hAnsi="Sylfaen"/>
                <w:szCs w:val="24"/>
              </w:rPr>
              <w:t>Հաուսների գործակիցը</w:t>
            </w:r>
          </w:p>
        </w:tc>
      </w:tr>
      <w:tr w:rsidR="00B834A2" w:rsidRPr="005563E0" w14:paraId="23DB8ED9" w14:textId="77777777" w:rsidTr="005563E0">
        <w:trPr>
          <w:jc w:val="center"/>
        </w:trPr>
        <w:tc>
          <w:tcPr>
            <w:tcW w:w="1990" w:type="dxa"/>
            <w:tcBorders>
              <w:top w:val="single" w:sz="4" w:space="0" w:color="auto"/>
            </w:tcBorders>
            <w:shd w:val="clear" w:color="auto" w:fill="FFFFFF"/>
          </w:tcPr>
          <w:p w14:paraId="32F4B674"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1 - 10</w:t>
            </w:r>
          </w:p>
        </w:tc>
        <w:tc>
          <w:tcPr>
            <w:tcW w:w="1980" w:type="dxa"/>
            <w:tcBorders>
              <w:top w:val="single" w:sz="4" w:space="0" w:color="auto"/>
            </w:tcBorders>
            <w:shd w:val="clear" w:color="auto" w:fill="FFFFFF"/>
          </w:tcPr>
          <w:p w14:paraId="7108528F"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Գերազանց</w:t>
            </w:r>
          </w:p>
        </w:tc>
        <w:tc>
          <w:tcPr>
            <w:tcW w:w="1985" w:type="dxa"/>
            <w:tcBorders>
              <w:top w:val="single" w:sz="4" w:space="0" w:color="auto"/>
            </w:tcBorders>
            <w:shd w:val="clear" w:color="auto" w:fill="FFFFFF"/>
          </w:tcPr>
          <w:p w14:paraId="675430A8"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1,00-1,11</w:t>
            </w:r>
          </w:p>
        </w:tc>
      </w:tr>
      <w:tr w:rsidR="00B834A2" w:rsidRPr="005563E0" w14:paraId="2FC149D6" w14:textId="77777777" w:rsidTr="005563E0">
        <w:trPr>
          <w:jc w:val="center"/>
        </w:trPr>
        <w:tc>
          <w:tcPr>
            <w:tcW w:w="1990" w:type="dxa"/>
            <w:shd w:val="clear" w:color="auto" w:fill="FFFFFF"/>
          </w:tcPr>
          <w:p w14:paraId="3903F14D"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11 - 15</w:t>
            </w:r>
          </w:p>
        </w:tc>
        <w:tc>
          <w:tcPr>
            <w:tcW w:w="1980" w:type="dxa"/>
            <w:shd w:val="clear" w:color="auto" w:fill="FFFFFF"/>
          </w:tcPr>
          <w:p w14:paraId="674CE1F9"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Լավ</w:t>
            </w:r>
          </w:p>
        </w:tc>
        <w:tc>
          <w:tcPr>
            <w:tcW w:w="1985" w:type="dxa"/>
            <w:shd w:val="clear" w:color="auto" w:fill="FFFFFF"/>
          </w:tcPr>
          <w:p w14:paraId="0B8606D8"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1.12-1.18</w:t>
            </w:r>
          </w:p>
        </w:tc>
      </w:tr>
      <w:tr w:rsidR="00B834A2" w:rsidRPr="005563E0" w14:paraId="7002EDF9" w14:textId="77777777" w:rsidTr="005563E0">
        <w:trPr>
          <w:jc w:val="center"/>
        </w:trPr>
        <w:tc>
          <w:tcPr>
            <w:tcW w:w="1990" w:type="dxa"/>
            <w:shd w:val="clear" w:color="auto" w:fill="FFFFFF"/>
          </w:tcPr>
          <w:p w14:paraId="253A6784"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16-20</w:t>
            </w:r>
          </w:p>
        </w:tc>
        <w:tc>
          <w:tcPr>
            <w:tcW w:w="1980" w:type="dxa"/>
            <w:shd w:val="clear" w:color="auto" w:fill="FFFFFF"/>
          </w:tcPr>
          <w:p w14:paraId="4CA20573" w14:textId="77777777" w:rsidR="00B834A2" w:rsidRPr="005563E0" w:rsidRDefault="00B834A2" w:rsidP="005563E0">
            <w:pPr>
              <w:pStyle w:val="Bodytext20"/>
              <w:shd w:val="clear" w:color="auto" w:fill="auto"/>
              <w:spacing w:before="0" w:line="240" w:lineRule="auto"/>
              <w:ind w:left="200"/>
              <w:jc w:val="left"/>
              <w:rPr>
                <w:rFonts w:ascii="Sylfaen" w:hAnsi="Sylfaen" w:cs="Sylfaen"/>
                <w:sz w:val="20"/>
                <w:szCs w:val="24"/>
              </w:rPr>
            </w:pPr>
            <w:r w:rsidRPr="005563E0">
              <w:rPr>
                <w:rFonts w:ascii="Sylfaen" w:hAnsi="Sylfaen"/>
                <w:sz w:val="20"/>
                <w:szCs w:val="24"/>
              </w:rPr>
              <w:t>Բավականաչափ</w:t>
            </w:r>
          </w:p>
        </w:tc>
        <w:tc>
          <w:tcPr>
            <w:tcW w:w="1985" w:type="dxa"/>
            <w:shd w:val="clear" w:color="auto" w:fill="FFFFFF"/>
          </w:tcPr>
          <w:p w14:paraId="7EB7E617"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1.19-1.25</w:t>
            </w:r>
          </w:p>
        </w:tc>
      </w:tr>
      <w:tr w:rsidR="00B834A2" w:rsidRPr="005563E0" w14:paraId="0F236308" w14:textId="77777777" w:rsidTr="005563E0">
        <w:trPr>
          <w:jc w:val="center"/>
        </w:trPr>
        <w:tc>
          <w:tcPr>
            <w:tcW w:w="1990" w:type="dxa"/>
            <w:shd w:val="clear" w:color="auto" w:fill="FFFFFF"/>
          </w:tcPr>
          <w:p w14:paraId="3B705FC5"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21-25</w:t>
            </w:r>
          </w:p>
        </w:tc>
        <w:tc>
          <w:tcPr>
            <w:tcW w:w="1980" w:type="dxa"/>
            <w:shd w:val="clear" w:color="auto" w:fill="FFFFFF"/>
          </w:tcPr>
          <w:p w14:paraId="6116DB36" w14:textId="77777777" w:rsidR="00B834A2" w:rsidRPr="005563E0" w:rsidRDefault="00B834A2" w:rsidP="005563E0">
            <w:pPr>
              <w:pStyle w:val="Bodytext20"/>
              <w:shd w:val="clear" w:color="auto" w:fill="auto"/>
              <w:spacing w:before="0" w:line="240" w:lineRule="auto"/>
              <w:rPr>
                <w:rFonts w:ascii="Sylfaen" w:hAnsi="Sylfaen" w:cs="Sylfaen"/>
                <w:sz w:val="20"/>
                <w:szCs w:val="24"/>
                <w:lang w:val="en-US"/>
              </w:rPr>
            </w:pPr>
            <w:r w:rsidRPr="005563E0">
              <w:rPr>
                <w:rFonts w:ascii="Sylfaen" w:hAnsi="Sylfaen"/>
                <w:sz w:val="20"/>
                <w:szCs w:val="24"/>
              </w:rPr>
              <w:t>Բավարար</w:t>
            </w:r>
          </w:p>
        </w:tc>
        <w:tc>
          <w:tcPr>
            <w:tcW w:w="1985" w:type="dxa"/>
            <w:shd w:val="clear" w:color="auto" w:fill="FFFFFF"/>
          </w:tcPr>
          <w:p w14:paraId="44E48DDE"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1.26-1.34</w:t>
            </w:r>
          </w:p>
        </w:tc>
      </w:tr>
      <w:tr w:rsidR="00B834A2" w:rsidRPr="005563E0" w14:paraId="17439594" w14:textId="77777777" w:rsidTr="005563E0">
        <w:trPr>
          <w:jc w:val="center"/>
        </w:trPr>
        <w:tc>
          <w:tcPr>
            <w:tcW w:w="1990" w:type="dxa"/>
            <w:shd w:val="clear" w:color="auto" w:fill="FFFFFF"/>
          </w:tcPr>
          <w:p w14:paraId="5B9AD42A"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26-31</w:t>
            </w:r>
          </w:p>
        </w:tc>
        <w:tc>
          <w:tcPr>
            <w:tcW w:w="1980" w:type="dxa"/>
            <w:shd w:val="clear" w:color="auto" w:fill="FFFFFF"/>
          </w:tcPr>
          <w:p w14:paraId="5DCA3A2E"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 xml:space="preserve">Վատ </w:t>
            </w:r>
          </w:p>
        </w:tc>
        <w:tc>
          <w:tcPr>
            <w:tcW w:w="1985" w:type="dxa"/>
            <w:shd w:val="clear" w:color="auto" w:fill="FFFFFF"/>
          </w:tcPr>
          <w:p w14:paraId="3226D845"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1.35-1.45</w:t>
            </w:r>
          </w:p>
        </w:tc>
      </w:tr>
      <w:tr w:rsidR="00B834A2" w:rsidRPr="005563E0" w14:paraId="7A6D7F0D" w14:textId="77777777" w:rsidTr="005563E0">
        <w:trPr>
          <w:jc w:val="center"/>
        </w:trPr>
        <w:tc>
          <w:tcPr>
            <w:tcW w:w="1990" w:type="dxa"/>
            <w:shd w:val="clear" w:color="auto" w:fill="FFFFFF"/>
          </w:tcPr>
          <w:p w14:paraId="16CDFF52"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Style w:val="Bodytext2Spacing1pt"/>
                <w:rFonts w:ascii="Sylfaen" w:hAnsi="Sylfaen"/>
                <w:spacing w:val="0"/>
                <w:szCs w:val="24"/>
              </w:rPr>
              <w:t>32-37</w:t>
            </w:r>
          </w:p>
        </w:tc>
        <w:tc>
          <w:tcPr>
            <w:tcW w:w="1980" w:type="dxa"/>
            <w:shd w:val="clear" w:color="auto" w:fill="FFFFFF"/>
          </w:tcPr>
          <w:p w14:paraId="77C8BB3C"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Շատ վատ</w:t>
            </w:r>
          </w:p>
        </w:tc>
        <w:tc>
          <w:tcPr>
            <w:tcW w:w="1985" w:type="dxa"/>
            <w:shd w:val="clear" w:color="auto" w:fill="FFFFFF"/>
          </w:tcPr>
          <w:p w14:paraId="6AC3F3D1"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1.46-1.59</w:t>
            </w:r>
          </w:p>
        </w:tc>
      </w:tr>
      <w:tr w:rsidR="00B834A2" w:rsidRPr="005563E0" w14:paraId="52F2A902" w14:textId="77777777" w:rsidTr="005563E0">
        <w:trPr>
          <w:jc w:val="center"/>
        </w:trPr>
        <w:tc>
          <w:tcPr>
            <w:tcW w:w="1990" w:type="dxa"/>
            <w:tcBorders>
              <w:bottom w:val="single" w:sz="4" w:space="0" w:color="auto"/>
            </w:tcBorders>
            <w:shd w:val="clear" w:color="auto" w:fill="FFFFFF"/>
          </w:tcPr>
          <w:p w14:paraId="55B005AA"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38-ից ավելի</w:t>
            </w:r>
          </w:p>
        </w:tc>
        <w:tc>
          <w:tcPr>
            <w:tcW w:w="1980" w:type="dxa"/>
            <w:tcBorders>
              <w:bottom w:val="single" w:sz="4" w:space="0" w:color="auto"/>
            </w:tcBorders>
            <w:shd w:val="clear" w:color="auto" w:fill="FFFFFF"/>
          </w:tcPr>
          <w:p w14:paraId="5CD632FB"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Ծայրահեղ վատ</w:t>
            </w:r>
          </w:p>
        </w:tc>
        <w:tc>
          <w:tcPr>
            <w:tcW w:w="1985" w:type="dxa"/>
            <w:tcBorders>
              <w:bottom w:val="single" w:sz="4" w:space="0" w:color="auto"/>
            </w:tcBorders>
            <w:shd w:val="clear" w:color="auto" w:fill="FFFFFF"/>
          </w:tcPr>
          <w:p w14:paraId="206EBA6D" w14:textId="77777777" w:rsidR="00B834A2" w:rsidRPr="005563E0" w:rsidRDefault="00B834A2" w:rsidP="005563E0">
            <w:pPr>
              <w:pStyle w:val="Bodytext20"/>
              <w:shd w:val="clear" w:color="auto" w:fill="auto"/>
              <w:spacing w:before="0" w:line="240" w:lineRule="auto"/>
              <w:rPr>
                <w:rFonts w:ascii="Sylfaen" w:hAnsi="Sylfaen" w:cs="Sylfaen"/>
                <w:sz w:val="20"/>
                <w:szCs w:val="24"/>
              </w:rPr>
            </w:pPr>
            <w:r w:rsidRPr="005563E0">
              <w:rPr>
                <w:rFonts w:ascii="Sylfaen" w:hAnsi="Sylfaen"/>
                <w:sz w:val="20"/>
                <w:szCs w:val="24"/>
              </w:rPr>
              <w:t>1.60-ից ավելի</w:t>
            </w:r>
          </w:p>
        </w:tc>
      </w:tr>
    </w:tbl>
    <w:p w14:paraId="424AA185"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p>
    <w:p w14:paraId="44234575" w14:textId="77777777" w:rsidR="00B834A2" w:rsidRPr="00B834A2" w:rsidRDefault="00B834A2" w:rsidP="00B834A2">
      <w:pPr>
        <w:pStyle w:val="Bodytext20"/>
        <w:shd w:val="clear" w:color="auto" w:fill="auto"/>
        <w:spacing w:before="0" w:after="160" w:line="360" w:lineRule="auto"/>
        <w:rPr>
          <w:rFonts w:ascii="Sylfaen" w:hAnsi="Sylfaen" w:cs="Sylfaen"/>
          <w:sz w:val="24"/>
          <w:szCs w:val="24"/>
        </w:rPr>
      </w:pPr>
      <m:oMathPara>
        <m:oMath>
          <m:r>
            <m:rPr>
              <m:sty m:val="p"/>
            </m:rPr>
            <w:rPr>
              <w:rFonts w:ascii="Sylfaen" w:hAnsi="Sylfaen" w:cs="Sylfaen"/>
              <w:sz w:val="24"/>
              <w:szCs w:val="24"/>
            </w:rPr>
            <m:t>Հաուսների</m:t>
          </m:r>
          <m:r>
            <m:rPr>
              <m:sty m:val="p"/>
            </m:rPr>
            <w:rPr>
              <w:rFonts w:ascii="Cambria Math" w:hAnsi="Cambria Math" w:cs="Cambria Math"/>
              <w:sz w:val="24"/>
              <w:szCs w:val="24"/>
            </w:rPr>
            <m:t xml:space="preserve"> </m:t>
          </m:r>
          <m:r>
            <m:rPr>
              <m:sty m:val="p"/>
            </m:rPr>
            <w:rPr>
              <w:rFonts w:ascii="Sylfaen" w:hAnsi="Sylfaen" w:cs="Sylfaen"/>
              <w:sz w:val="24"/>
              <w:szCs w:val="24"/>
            </w:rPr>
            <m:t>գործակիցը</m:t>
          </m:r>
          <m:r>
            <w:rPr>
              <w:rFonts w:ascii="Cambria Math" w:hAnsi="Cambria Math" w:cs="Sylfaen"/>
              <w:sz w:val="24"/>
              <w:szCs w:val="24"/>
            </w:rPr>
            <m:t>=</m:t>
          </m:r>
          <m:f>
            <m:fPr>
              <m:ctrlPr>
                <w:rPr>
                  <w:rFonts w:ascii="Cambria Math" w:hAnsi="Cambria Math" w:cs="Sylfaen"/>
                  <w:i/>
                  <w:sz w:val="24"/>
                  <w:szCs w:val="24"/>
                </w:rPr>
              </m:ctrlPr>
            </m:fPr>
            <m:num>
              <m:sSub>
                <m:sSubPr>
                  <m:ctrlPr>
                    <w:rPr>
                      <w:rFonts w:ascii="Cambria Math" w:hAnsi="Cambria Math" w:cs="Sylfaen"/>
                      <w:i/>
                      <w:sz w:val="24"/>
                      <w:szCs w:val="24"/>
                    </w:rPr>
                  </m:ctrlPr>
                </m:sSubPr>
                <m:e>
                  <m:r>
                    <w:rPr>
                      <w:rFonts w:ascii="Cambria Math" w:hAnsi="Cambria Math" w:cs="Sylfaen"/>
                      <w:sz w:val="24"/>
                      <w:szCs w:val="24"/>
                    </w:rPr>
                    <m:t>p</m:t>
                  </m:r>
                </m:e>
                <m:sub>
                  <m:r>
                    <w:rPr>
                      <w:rStyle w:val="Bodytext285pt"/>
                      <w:rFonts w:ascii="Cambria Math" w:hAnsi="Cambria Math"/>
                      <w:spacing w:val="0"/>
                      <w:sz w:val="24"/>
                      <w:szCs w:val="24"/>
                      <w:vertAlign w:val="subscript"/>
                    </w:rPr>
                    <m:t>tapped</m:t>
                  </m:r>
                </m:sub>
              </m:sSub>
            </m:num>
            <m:den>
              <m:sSub>
                <m:sSubPr>
                  <m:ctrlPr>
                    <w:rPr>
                      <w:rFonts w:ascii="Cambria Math" w:hAnsi="Cambria Math" w:cs="Sylfaen"/>
                      <w:i/>
                      <w:sz w:val="24"/>
                      <w:szCs w:val="24"/>
                    </w:rPr>
                  </m:ctrlPr>
                </m:sSubPr>
                <m:e>
                  <m:r>
                    <w:rPr>
                      <w:rFonts w:ascii="Cambria Math" w:hAnsi="Cambria Math" w:cs="Sylfaen"/>
                      <w:sz w:val="24"/>
                      <w:szCs w:val="24"/>
                    </w:rPr>
                    <m:t>p</m:t>
                  </m:r>
                </m:e>
                <m:sub>
                  <m:r>
                    <w:rPr>
                      <w:rStyle w:val="Bodytext285pt"/>
                      <w:rFonts w:ascii="Cambria Math" w:hAnsi="Cambria Math"/>
                      <w:spacing w:val="0"/>
                      <w:sz w:val="24"/>
                      <w:szCs w:val="24"/>
                      <w:vertAlign w:val="subscript"/>
                    </w:rPr>
                    <m:t>bulk</m:t>
                  </m:r>
                </m:sub>
              </m:sSub>
            </m:den>
          </m:f>
        </m:oMath>
      </m:oMathPara>
    </w:p>
    <w:p w14:paraId="182C60B0"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Երբեմն մեթոդիկայի որոշ տեսակներում խտացման աստիճանը որոշում են որպես խտացման ժամանակ ծավալը չափելու առանձին կամ լրացուցիչ պարամետր: Մամլելիության գործակցի </w:t>
      </w:r>
      <w:r>
        <w:rPr>
          <w:rFonts w:ascii="Sylfaen" w:hAnsi="Sylfaen"/>
          <w:sz w:val="24"/>
          <w:szCs w:val="24"/>
        </w:rPr>
        <w:t>եւ</w:t>
      </w:r>
      <w:r w:rsidRPr="00B834A2">
        <w:rPr>
          <w:rFonts w:ascii="Sylfaen" w:hAnsi="Sylfaen"/>
          <w:sz w:val="24"/>
          <w:szCs w:val="24"/>
        </w:rPr>
        <w:t xml:space="preserve"> Հաուսների գործակցի համար օգտագործում են սորունության ընդհանուր ընդունված սանդղակը, որը բերված է 2.1.10.2-2 աղյուսակում:</w:t>
      </w:r>
    </w:p>
    <w:p w14:paraId="798608D7"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 xml:space="preserve">Մամլելիության </w:t>
      </w:r>
      <w:r>
        <w:rPr>
          <w:rFonts w:ascii="Sylfaen" w:hAnsi="Sylfaen"/>
          <w:i/>
          <w:sz w:val="24"/>
          <w:szCs w:val="24"/>
        </w:rPr>
        <w:t>եւ</w:t>
      </w:r>
      <w:r w:rsidRPr="00B834A2">
        <w:rPr>
          <w:rFonts w:ascii="Sylfaen" w:hAnsi="Sylfaen"/>
          <w:i/>
          <w:sz w:val="24"/>
          <w:szCs w:val="24"/>
        </w:rPr>
        <w:t xml:space="preserve"> Հաուսների գործակիցների փորձարարական որոշման պայմանները</w:t>
      </w:r>
    </w:p>
    <w:p w14:paraId="260E1632"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Մամլելիության </w:t>
      </w:r>
      <w:r>
        <w:rPr>
          <w:rFonts w:ascii="Sylfaen" w:hAnsi="Sylfaen"/>
          <w:sz w:val="24"/>
          <w:szCs w:val="24"/>
        </w:rPr>
        <w:t>եւ</w:t>
      </w:r>
      <w:r w:rsidRPr="00B834A2">
        <w:rPr>
          <w:rFonts w:ascii="Sylfaen" w:hAnsi="Sylfaen"/>
          <w:sz w:val="24"/>
          <w:szCs w:val="24"/>
        </w:rPr>
        <w:t xml:space="preserve"> Հաուսների գործակիցները փոշուն բնորոշ բնական հատկանիշներ չեն, քանի որ դրանք պայմանավորված են օգտագործվող մեթոդիկայով: Գոյություն ունեցող գրականության մեջ նշված են մի քանի կար</w:t>
      </w:r>
      <w:r>
        <w:rPr>
          <w:rFonts w:ascii="Sylfaen" w:hAnsi="Sylfaen"/>
          <w:sz w:val="24"/>
          <w:szCs w:val="24"/>
        </w:rPr>
        <w:t>եւ</w:t>
      </w:r>
      <w:r w:rsidRPr="00B834A2">
        <w:rPr>
          <w:rFonts w:ascii="Sylfaen" w:hAnsi="Sylfaen"/>
          <w:sz w:val="24"/>
          <w:szCs w:val="24"/>
        </w:rPr>
        <w:t>որ գործոններ, որոնք ազդում են փոշու թվացյալ (լցման) ծավալը V</w:t>
      </w:r>
      <w:r w:rsidRPr="00B834A2">
        <w:rPr>
          <w:rFonts w:ascii="Sylfaen" w:hAnsi="Sylfaen"/>
          <w:sz w:val="24"/>
          <w:szCs w:val="24"/>
          <w:vertAlign w:val="subscript"/>
        </w:rPr>
        <w:t>0</w:t>
      </w:r>
      <w:r w:rsidRPr="00B834A2">
        <w:rPr>
          <w:rFonts w:ascii="Sylfaen" w:hAnsi="Sylfaen"/>
          <w:sz w:val="24"/>
          <w:szCs w:val="24"/>
        </w:rPr>
        <w:t xml:space="preserve">, խտացումից հետո փոշու ծավալը </w:t>
      </w:r>
      <w:r w:rsidRPr="00B834A2">
        <w:rPr>
          <w:rStyle w:val="Bodytext2Italic"/>
          <w:sz w:val="24"/>
          <w:szCs w:val="24"/>
        </w:rPr>
        <w:t>V</w:t>
      </w:r>
      <w:r w:rsidRPr="00B834A2">
        <w:rPr>
          <w:rStyle w:val="Bodytext2Italic"/>
          <w:sz w:val="24"/>
          <w:szCs w:val="24"/>
          <w:vertAlign w:val="subscript"/>
        </w:rPr>
        <w:t>f</w:t>
      </w:r>
      <w:r w:rsidRPr="00B834A2">
        <w:rPr>
          <w:rFonts w:ascii="Sylfaen" w:hAnsi="Sylfaen"/>
          <w:sz w:val="24"/>
          <w:szCs w:val="24"/>
        </w:rPr>
        <w:t>, լցման խտությունը p</w:t>
      </w:r>
      <w:r w:rsidRPr="00B834A2">
        <w:rPr>
          <w:rFonts w:ascii="Sylfaen" w:hAnsi="Sylfaen"/>
          <w:i/>
          <w:sz w:val="24"/>
          <w:szCs w:val="24"/>
          <w:vertAlign w:val="subscript"/>
        </w:rPr>
        <w:t>bulk</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խտացումից հետո խտությունը р</w:t>
      </w:r>
      <w:r w:rsidRPr="00B834A2">
        <w:rPr>
          <w:rStyle w:val="Bodytext2Italic"/>
          <w:sz w:val="24"/>
          <w:szCs w:val="24"/>
          <w:vertAlign w:val="subscript"/>
        </w:rPr>
        <w:t>tapped</w:t>
      </w:r>
      <w:r w:rsidRPr="00B834A2">
        <w:rPr>
          <w:rFonts w:ascii="Sylfaen" w:hAnsi="Sylfaen"/>
          <w:sz w:val="24"/>
          <w:szCs w:val="24"/>
        </w:rPr>
        <w:t xml:space="preserve"> որոշելու վրա՝</w:t>
      </w:r>
    </w:p>
    <w:p w14:paraId="057639D5" w14:textId="77777777" w:rsidR="00B834A2" w:rsidRPr="00097504" w:rsidRDefault="00B834A2" w:rsidP="005563E0">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օգտագործվող գլանի տրամագիծը.</w:t>
      </w:r>
    </w:p>
    <w:p w14:paraId="239566AA"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թափահարումների քանակը, որոնք անհրաժեշտ են խտացումից հետո լցման խտությանը հասնելու համար.</w:t>
      </w:r>
    </w:p>
    <w:p w14:paraId="359049C5"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5563E0" w:rsidRPr="005563E0">
        <w:rPr>
          <w:rFonts w:ascii="Sylfaen" w:hAnsi="Sylfaen"/>
          <w:sz w:val="24"/>
          <w:szCs w:val="24"/>
        </w:rPr>
        <w:tab/>
      </w:r>
      <w:r w:rsidRPr="00B834A2">
        <w:rPr>
          <w:rFonts w:ascii="Sylfaen" w:hAnsi="Sylfaen"/>
          <w:sz w:val="24"/>
          <w:szCs w:val="24"/>
        </w:rPr>
        <w:t>փորձարկման ժամանակ օգտագործվող նյութի զանգվածը.</w:t>
      </w:r>
    </w:p>
    <w:p w14:paraId="7B6AE560"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նմուշի պտույտը դրա խտացման ժամանակ:</w:t>
      </w:r>
    </w:p>
    <w:p w14:paraId="4EEE99C5"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 xml:space="preserve">Մամլելիության </w:t>
      </w:r>
      <w:r>
        <w:rPr>
          <w:rFonts w:ascii="Sylfaen" w:hAnsi="Sylfaen"/>
          <w:i/>
          <w:sz w:val="24"/>
          <w:szCs w:val="24"/>
        </w:rPr>
        <w:t>եւ</w:t>
      </w:r>
      <w:r w:rsidRPr="00B834A2">
        <w:rPr>
          <w:rFonts w:ascii="Sylfaen" w:hAnsi="Sylfaen"/>
          <w:i/>
          <w:sz w:val="24"/>
          <w:szCs w:val="24"/>
        </w:rPr>
        <w:t xml:space="preserve"> Հաուսների գործակիցները որոշելու առաջարկվող մեթոդիկան</w:t>
      </w:r>
    </w:p>
    <w:p w14:paraId="328E0B2F" w14:textId="77777777" w:rsidR="00B834A2" w:rsidRPr="00B834A2" w:rsidRDefault="00B834A2" w:rsidP="005563E0">
      <w:pPr>
        <w:spacing w:after="160" w:line="360" w:lineRule="auto"/>
        <w:ind w:firstLine="567"/>
        <w:jc w:val="both"/>
      </w:pPr>
      <w:r w:rsidRPr="00B834A2">
        <w:t xml:space="preserve">Օգտագործում են 250 մլ տարողությամբ չափիչ գլան </w:t>
      </w:r>
      <w:r>
        <w:t>եւ</w:t>
      </w:r>
      <w:r w:rsidRPr="00B834A2">
        <w:t xml:space="preserve"> 100 գ քանակով փորձարկվող նմուշի զանգված: Կարող են օգտագործվել նվազ քանակներ </w:t>
      </w:r>
      <w:r>
        <w:t>եւ</w:t>
      </w:r>
      <w:r w:rsidRPr="00B834A2">
        <w:t xml:space="preserve"> ծավալներ, սակայն մեթոդիկայում բոլոր չափումները պետք է նկարագրված լինեն ստացված արդյունքների հետ միասին:</w:t>
      </w:r>
      <w:r>
        <w:t xml:space="preserve"> </w:t>
      </w:r>
      <w:r w:rsidRPr="00B834A2">
        <w:t>Խորհուրդ է տրվում անցկացնել միջինում 3 որոշում:</w:t>
      </w:r>
    </w:p>
    <w:p w14:paraId="0E4FE424"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29EFF94B" w14:textId="77777777" w:rsidR="00B834A2" w:rsidRPr="006B7DC5" w:rsidRDefault="00B834A2" w:rsidP="005563E0">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ԱՆՑՔԻ ՄԻՋՈՎ ՓՈՇԻՆԵՐԻ ՍՈՐՈՒՆՈՒԹՅԱՆ ԱՐԱԳՈՒԹՅՈՒՆԸ</w:t>
      </w:r>
    </w:p>
    <w:p w14:paraId="763B7F45" w14:textId="77777777" w:rsidR="00B834A2" w:rsidRPr="00097504" w:rsidRDefault="00B834A2" w:rsidP="005563E0">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Փոշու սորունության արագությունը պայմանավորված է բազմաթիվ գործոններով, որոնցից որոշները պայմանավորված են դրա մասնիկների հատկություններով, իսկ որոշները՝ փորձարկմամբ: Փոշու սորունության արագության որոշումը անցքի միջով առաջարկվել է որպես դրա սորունության գնահատման բարելավված մեթոդ: Տվյալ մեթոդի օգտագործման դեպքում հատուկ նշանակություն ունի փոշու սորունության չընդհատվող մշտադիտարկման անցկացումը, քանի որ բաբախող հոսքերը դիտարկվում են նույնիսկ ազատ սորացող փոշիների մոտ: Հոսքի արագության փոփոխությունները կարող են դիտարկվել նա</w:t>
      </w:r>
      <w:r>
        <w:rPr>
          <w:rFonts w:ascii="Sylfaen" w:hAnsi="Sylfaen"/>
          <w:sz w:val="24"/>
          <w:szCs w:val="24"/>
        </w:rPr>
        <w:t>եւ</w:t>
      </w:r>
      <w:r w:rsidRPr="00B834A2">
        <w:rPr>
          <w:rFonts w:ascii="Sylfaen" w:hAnsi="Sylfaen"/>
          <w:sz w:val="24"/>
          <w:szCs w:val="24"/>
        </w:rPr>
        <w:t xml:space="preserve"> կոնտեյներն ազատվելուն պես: Նկարագրվել են էմպիրիկ համեմատություններ, որոնք կապում են հոսքի արագությունն անցքի տրամագծի, չափի </w:t>
      </w:r>
      <w:r>
        <w:rPr>
          <w:rFonts w:ascii="Sylfaen" w:hAnsi="Sylfaen"/>
          <w:sz w:val="24"/>
          <w:szCs w:val="24"/>
        </w:rPr>
        <w:t>եւ</w:t>
      </w:r>
      <w:r w:rsidRPr="00B834A2">
        <w:rPr>
          <w:rFonts w:ascii="Sylfaen" w:hAnsi="Sylfaen"/>
          <w:sz w:val="24"/>
          <w:szCs w:val="24"/>
        </w:rPr>
        <w:t xml:space="preserve"> մասնիկների խտության հետ: Սակայն անցքի միջով փոշու սորունության արագության որոշումը կարող է օգտագործվել միայն ազատ սորացող փոշիները փորձարկելիս:</w:t>
      </w:r>
    </w:p>
    <w:p w14:paraId="638E6FC7"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Անցքի միջով փոշիների սորունության արագությունը սովորաբար որոշվում է տարբեր տեսակների կոնտեյներներից (գլան, ձագար, բեռնման ձագար) դուրս եկող զանգվածի՝ ժամանակի նկատմամբ հարաբերակցությամբ: Փոշիների </w:t>
      </w:r>
      <w:r w:rsidRPr="00B834A2">
        <w:rPr>
          <w:rFonts w:ascii="Sylfaen" w:hAnsi="Sylfaen"/>
          <w:sz w:val="24"/>
          <w:szCs w:val="24"/>
        </w:rPr>
        <w:lastRenderedPageBreak/>
        <w:t>սորունության արագության չափումը կարող է կատարվել դիսկրետային աճումներով կամ անդադար:</w:t>
      </w:r>
    </w:p>
    <w:p w14:paraId="6A630CE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Փոշիների սորունության արագությունը որոշելու հիմնական մեթոդիկաները</w:t>
      </w:r>
    </w:p>
    <w:p w14:paraId="74F3753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Փոշիների սորունության արագությունը որոշելու համար առավել տարածված մեթոդիկաները կարող են դասակարգվել 3 կար</w:t>
      </w:r>
      <w:r>
        <w:rPr>
          <w:rFonts w:ascii="Sylfaen" w:hAnsi="Sylfaen"/>
          <w:sz w:val="24"/>
          <w:szCs w:val="24"/>
        </w:rPr>
        <w:t>եւ</w:t>
      </w:r>
      <w:r w:rsidRPr="00B834A2">
        <w:rPr>
          <w:rFonts w:ascii="Sylfaen" w:hAnsi="Sylfaen"/>
          <w:sz w:val="24"/>
          <w:szCs w:val="24"/>
        </w:rPr>
        <w:t>որ փորձարարական փոփոխականների հիման վրա</w:t>
      </w:r>
      <w:r w:rsidRPr="00B834A2">
        <w:rPr>
          <w:rFonts w:ascii="MS Mincho" w:eastAsia="MS Mincho" w:hAnsi="MS Mincho" w:cs="MS Mincho" w:hint="eastAsia"/>
          <w:sz w:val="24"/>
          <w:szCs w:val="24"/>
        </w:rPr>
        <w:t>․</w:t>
      </w:r>
    </w:p>
    <w:p w14:paraId="3AE51474"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կոնտեյների տեսակ, որում զետեղված է փոշին:</w:t>
      </w:r>
      <w:r>
        <w:rPr>
          <w:rFonts w:ascii="Sylfaen" w:hAnsi="Sylfaen"/>
          <w:sz w:val="24"/>
          <w:szCs w:val="24"/>
        </w:rPr>
        <w:t xml:space="preserve"> </w:t>
      </w:r>
      <w:r w:rsidRPr="00B834A2">
        <w:rPr>
          <w:rFonts w:ascii="Sylfaen" w:hAnsi="Sylfaen"/>
          <w:sz w:val="24"/>
          <w:szCs w:val="24"/>
        </w:rPr>
        <w:t>Սովորաբար օգտագործվում են տեխնոլոգիական սարքավորումներից գլանների, ձագարների, բեռնման ձագարների տեսքով կոնտեյներներ.</w:t>
      </w:r>
    </w:p>
    <w:p w14:paraId="014E6CA7"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 xml:space="preserve">օգտագործվող անցքի չափ </w:t>
      </w:r>
      <w:r>
        <w:rPr>
          <w:rFonts w:ascii="Sylfaen" w:hAnsi="Sylfaen"/>
          <w:sz w:val="24"/>
          <w:szCs w:val="24"/>
        </w:rPr>
        <w:t>եւ</w:t>
      </w:r>
      <w:r w:rsidRPr="00B834A2">
        <w:rPr>
          <w:rFonts w:ascii="Sylfaen" w:hAnsi="Sylfaen"/>
          <w:sz w:val="24"/>
          <w:szCs w:val="24"/>
        </w:rPr>
        <w:t xml:space="preserve"> ձ</w:t>
      </w:r>
      <w:r>
        <w:rPr>
          <w:rFonts w:ascii="Sylfaen" w:hAnsi="Sylfaen"/>
          <w:sz w:val="24"/>
          <w:szCs w:val="24"/>
        </w:rPr>
        <w:t>եւ</w:t>
      </w:r>
      <w:r w:rsidRPr="00B834A2">
        <w:rPr>
          <w:rFonts w:ascii="Sylfaen" w:hAnsi="Sylfaen"/>
          <w:sz w:val="24"/>
          <w:szCs w:val="24"/>
        </w:rPr>
        <w:t xml:space="preserve">: Անցքի տրամագիծը </w:t>
      </w:r>
      <w:r>
        <w:rPr>
          <w:rFonts w:ascii="Sylfaen" w:hAnsi="Sylfaen"/>
          <w:sz w:val="24"/>
          <w:szCs w:val="24"/>
        </w:rPr>
        <w:t>եւ</w:t>
      </w:r>
      <w:r w:rsidRPr="00B834A2">
        <w:rPr>
          <w:rFonts w:ascii="Sylfaen" w:hAnsi="Sylfaen"/>
          <w:sz w:val="24"/>
          <w:szCs w:val="24"/>
        </w:rPr>
        <w:t xml:space="preserve"> ձ</w:t>
      </w:r>
      <w:r>
        <w:rPr>
          <w:rFonts w:ascii="Sylfaen" w:hAnsi="Sylfaen"/>
          <w:sz w:val="24"/>
          <w:szCs w:val="24"/>
        </w:rPr>
        <w:t>եւ</w:t>
      </w:r>
      <w:r w:rsidRPr="00B834A2">
        <w:rPr>
          <w:rFonts w:ascii="Sylfaen" w:hAnsi="Sylfaen"/>
          <w:sz w:val="24"/>
          <w:szCs w:val="24"/>
        </w:rPr>
        <w:t>ը կրիտիկական գործոններ են փոշու սորունության արագությունը որոշելիս.</w:t>
      </w:r>
    </w:p>
    <w:p w14:paraId="38AAF33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փոշու սորունության արագության չափման մեթոդիկա: Հոսքի արագությունը կարող է չափվել անդադար՝ էլեկտրոնային կշեռքների օգտագործմամբ, որոնք հագեցված են որ</w:t>
      </w:r>
      <w:r>
        <w:rPr>
          <w:rFonts w:ascii="Sylfaen" w:hAnsi="Sylfaen"/>
          <w:sz w:val="24"/>
          <w:szCs w:val="24"/>
        </w:rPr>
        <w:t>եւ</w:t>
      </w:r>
      <w:r w:rsidRPr="00B834A2">
        <w:rPr>
          <w:rFonts w:ascii="Sylfaen" w:hAnsi="Sylfaen"/>
          <w:sz w:val="24"/>
          <w:szCs w:val="24"/>
        </w:rPr>
        <w:t>է գրանցող սարքվածքով (ժապավենային ինքնագրիչ, համակարգիչ) կամ դիսկրետային մեծություններով (օրինակ՝ 100 գ փոշու անցքով անցնելու համար անհրաժեշտ ժամանակը՝ վայրկյանի՝ մինչ</w:t>
      </w:r>
      <w:r>
        <w:rPr>
          <w:rFonts w:ascii="Sylfaen" w:hAnsi="Sylfaen"/>
          <w:sz w:val="24"/>
          <w:szCs w:val="24"/>
        </w:rPr>
        <w:t>եւ</w:t>
      </w:r>
      <w:r w:rsidRPr="00B834A2">
        <w:rPr>
          <w:rFonts w:ascii="Sylfaen" w:hAnsi="Sylfaen"/>
          <w:sz w:val="24"/>
          <w:szCs w:val="24"/>
        </w:rPr>
        <w:t xml:space="preserve"> տասներորդ մասի ճշգրտությամբ, կամ 10 վ-ի ընթացքում անցքով անցնող փոշու քանակը՝ գրամի՝ մինչ</w:t>
      </w:r>
      <w:r>
        <w:rPr>
          <w:rFonts w:ascii="Sylfaen" w:hAnsi="Sylfaen"/>
          <w:sz w:val="24"/>
          <w:szCs w:val="24"/>
        </w:rPr>
        <w:t>եւ</w:t>
      </w:r>
      <w:r w:rsidRPr="00B834A2">
        <w:rPr>
          <w:rFonts w:ascii="Sylfaen" w:hAnsi="Sylfaen"/>
          <w:sz w:val="24"/>
          <w:szCs w:val="24"/>
        </w:rPr>
        <w:t xml:space="preserve"> տասներորդ մասի ճշգրտությամբ):</w:t>
      </w:r>
    </w:p>
    <w:p w14:paraId="1141A02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Անցքի միջով փոշիների սորունության արագությունը որոշելու մեթոդիկաների տեսակները</w:t>
      </w:r>
    </w:p>
    <w:p w14:paraId="1DAA0AA8"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Կարելի է որոշել փոշիների սորունության զանգվածային կամ ծավալային արագությունը: Փոշիների սորունության զանգվածային արագության որոշումն ավելի թեթ</w:t>
      </w:r>
      <w:r>
        <w:rPr>
          <w:rFonts w:ascii="Sylfaen" w:hAnsi="Sylfaen"/>
          <w:sz w:val="24"/>
          <w:szCs w:val="24"/>
        </w:rPr>
        <w:t>եւ</w:t>
      </w:r>
      <w:r w:rsidRPr="00B834A2">
        <w:rPr>
          <w:rFonts w:ascii="Sylfaen" w:hAnsi="Sylfaen"/>
          <w:sz w:val="24"/>
          <w:szCs w:val="24"/>
        </w:rPr>
        <w:t xml:space="preserve"> մեթոդիկա է, սակայն բացասաբար է ազդում արդյունքների վրա բարձր խտությամբ նյութերը փորձարկելիս: Այդ դեպքում նախընտրելի է օգտագործել սորունության ծավալային արագության որոշումը: Երբեմն կոնտեյներից փոշու սորունությունը թեթ</w:t>
      </w:r>
      <w:r>
        <w:rPr>
          <w:rFonts w:ascii="Sylfaen" w:hAnsi="Sylfaen"/>
          <w:sz w:val="24"/>
          <w:szCs w:val="24"/>
        </w:rPr>
        <w:t>եւ</w:t>
      </w:r>
      <w:r w:rsidRPr="00B834A2">
        <w:rPr>
          <w:rFonts w:ascii="Sylfaen" w:hAnsi="Sylfaen"/>
          <w:sz w:val="24"/>
          <w:szCs w:val="24"/>
        </w:rPr>
        <w:t xml:space="preserve">ացնելու համար օգտագործվում է թրթռող սարքվածք, որը, սակայն, բարդացնում է արդյունքների մեկնաբանումը: </w:t>
      </w:r>
      <w:r w:rsidRPr="00B834A2">
        <w:rPr>
          <w:rFonts w:ascii="Sylfaen" w:hAnsi="Sylfaen"/>
          <w:sz w:val="24"/>
          <w:szCs w:val="24"/>
        </w:rPr>
        <w:lastRenderedPageBreak/>
        <w:t>Ռոտորային մամլման պայմանների ավելի հստակ մոդելավորման համար առաջարկվել է օգտագործել շարժական անցքով սարքվածք: Որոշվում է նա</w:t>
      </w:r>
      <w:r>
        <w:rPr>
          <w:rFonts w:ascii="Sylfaen" w:hAnsi="Sylfaen"/>
          <w:sz w:val="24"/>
          <w:szCs w:val="24"/>
        </w:rPr>
        <w:t>եւ</w:t>
      </w:r>
      <w:r w:rsidRPr="00B834A2">
        <w:rPr>
          <w:rFonts w:ascii="Sylfaen" w:hAnsi="Sylfaen"/>
          <w:sz w:val="24"/>
          <w:szCs w:val="24"/>
        </w:rPr>
        <w:t xml:space="preserve"> այն անցքի նվազագույն տրամագիծը, որի միջով անցնում է փոշու հոսքը:</w:t>
      </w:r>
    </w:p>
    <w:p w14:paraId="1F6786A1"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 xml:space="preserve">Սորունության ընդհանուր սանդղակը </w:t>
      </w:r>
      <w:r>
        <w:rPr>
          <w:rStyle w:val="Bodytext2Italic"/>
          <w:sz w:val="24"/>
          <w:szCs w:val="24"/>
        </w:rPr>
        <w:t>եւ</w:t>
      </w:r>
      <w:r w:rsidRPr="00B834A2">
        <w:rPr>
          <w:rStyle w:val="Bodytext2Italic"/>
          <w:sz w:val="24"/>
          <w:szCs w:val="24"/>
        </w:rPr>
        <w:t xml:space="preserve"> փոշիների սորունության արագությունը</w:t>
      </w:r>
    </w:p>
    <w:p w14:paraId="61A49FC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Քանի որ սորունության արագությունը պայմանավորված է չափման օգտագործվող մեթոդով, սորունության ընդհանուր սանդղակը տվյալ մեթոդի օգտագործման ժամանակ կիրառելի չէ: Ուստի հրապարակված արդյունքների համեմատումը դժվար է:</w:t>
      </w:r>
    </w:p>
    <w:p w14:paraId="0392BEEF"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Փոշիների սորունության արագության փորձարարական որոշման պայմանները</w:t>
      </w:r>
    </w:p>
    <w:p w14:paraId="2FB3934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Անցքի միջով սորունության արագությունը դրա բնական հատկությունը չէ: Այն էականորեն պայմանավորված է օգտագործվող մեթոդիկայով: Հայտնի են մի քանի կար</w:t>
      </w:r>
      <w:r>
        <w:rPr>
          <w:rFonts w:ascii="Sylfaen" w:hAnsi="Sylfaen"/>
          <w:sz w:val="24"/>
          <w:szCs w:val="24"/>
        </w:rPr>
        <w:t>եւ</w:t>
      </w:r>
      <w:r w:rsidRPr="00B834A2">
        <w:rPr>
          <w:rFonts w:ascii="Sylfaen" w:hAnsi="Sylfaen"/>
          <w:sz w:val="24"/>
          <w:szCs w:val="24"/>
        </w:rPr>
        <w:t>որ պարամետրեր, որոնք ազդում են ստացվող արդյունքների վրա՝</w:t>
      </w:r>
    </w:p>
    <w:p w14:paraId="17266E21"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 xml:space="preserve">անցքի տրամագիծ </w:t>
      </w:r>
      <w:r>
        <w:rPr>
          <w:rFonts w:ascii="Sylfaen" w:hAnsi="Sylfaen"/>
          <w:sz w:val="24"/>
          <w:szCs w:val="24"/>
        </w:rPr>
        <w:t>եւ</w:t>
      </w:r>
      <w:r w:rsidRPr="00B834A2">
        <w:rPr>
          <w:rFonts w:ascii="Sylfaen" w:hAnsi="Sylfaen"/>
          <w:sz w:val="24"/>
          <w:szCs w:val="24"/>
        </w:rPr>
        <w:t xml:space="preserve"> ձ</w:t>
      </w:r>
      <w:r>
        <w:rPr>
          <w:rFonts w:ascii="Sylfaen" w:hAnsi="Sylfaen"/>
          <w:sz w:val="24"/>
          <w:szCs w:val="24"/>
        </w:rPr>
        <w:t>եւ</w:t>
      </w:r>
      <w:r w:rsidRPr="00B834A2">
        <w:rPr>
          <w:rFonts w:ascii="Sylfaen" w:hAnsi="Sylfaen"/>
          <w:sz w:val="24"/>
          <w:szCs w:val="24"/>
        </w:rPr>
        <w:t>.</w:t>
      </w:r>
    </w:p>
    <w:p w14:paraId="385B9F36"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նյութի տեսակ, որից պատրաստված է կոնտեյները (մետաղ, ապակի, պոլիմեր).</w:t>
      </w:r>
    </w:p>
    <w:p w14:paraId="2DF7AF70" w14:textId="77777777" w:rsidR="00B834A2" w:rsidRPr="00B834A2" w:rsidRDefault="00B834A2" w:rsidP="005563E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 xml:space="preserve">փոշու շերտի տրամագիծ </w:t>
      </w:r>
      <w:r>
        <w:rPr>
          <w:rFonts w:ascii="Sylfaen" w:hAnsi="Sylfaen"/>
          <w:sz w:val="24"/>
          <w:szCs w:val="24"/>
        </w:rPr>
        <w:t>եւ</w:t>
      </w:r>
      <w:r w:rsidRPr="00B834A2">
        <w:rPr>
          <w:rFonts w:ascii="Sylfaen" w:hAnsi="Sylfaen"/>
          <w:sz w:val="24"/>
          <w:szCs w:val="24"/>
        </w:rPr>
        <w:t xml:space="preserve"> բարձրություն:</w:t>
      </w:r>
    </w:p>
    <w:p w14:paraId="121226D8"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Անցքի միջով փոշիների սորունության արագությունը որոշելու առաջարկվող մեթոդիկան</w:t>
      </w:r>
    </w:p>
    <w:p w14:paraId="5D68E710" w14:textId="77777777" w:rsidR="00B834A2" w:rsidRPr="00B834A2" w:rsidRDefault="00B834A2" w:rsidP="005563E0">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Անցքի միջով սորունության արագության որոշումն օգտագործվում է այն փոշիների համար, որոնք ունեն փոշիների սորունության որոշակի ունակություն: Այդ մեթոդիկան պիտանի չէ կոհեզիվ փոշիների համար: Եթե փոշու շերտը (փոշու այսպես կոչված «գլխամասը») էականորեն բարձր է, քան դիաֆրագմայի տրամագիծը, ապա սորունության աստիճանը փաստացի պայմանավորված չէ շերտի բարձրությամբ:</w:t>
      </w:r>
    </w:p>
    <w:p w14:paraId="1C752C4D" w14:textId="77777777" w:rsidR="00B834A2" w:rsidRPr="00B834A2" w:rsidRDefault="00B834A2" w:rsidP="005563E0">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lastRenderedPageBreak/>
        <w:t>Նպատակահարմար է որպես կոնտեյներ օգտագործել գլանը, որպեսզի կոնտեյների պատերը գործնականորեն չազդեն փոշու հոսքի վրա: Այդ դեպքում հոսքի արագությունը կորոշվի փոշու վրա փոշու արագությամբ, այլ ոչ թե կոնտեյների պատով փոշու շարժով: Հաճախ փոշու արտահոսման արագությունը մեծանում է, եթե փոշու սյունիկի բարձրությունը ցածր է, քան դրա կրկնակի տրամագիծը: Անցքը պետք է լինի կլոր, իսկ գլանը չպետք է թրթռա: Գլանի չափերին ներկայացվող հիմնական պահանջները հետ</w:t>
      </w:r>
      <w:r>
        <w:rPr>
          <w:rFonts w:ascii="Sylfaen" w:hAnsi="Sylfaen"/>
          <w:sz w:val="24"/>
          <w:szCs w:val="24"/>
        </w:rPr>
        <w:t>եւ</w:t>
      </w:r>
      <w:r w:rsidRPr="00B834A2">
        <w:rPr>
          <w:rFonts w:ascii="Sylfaen" w:hAnsi="Sylfaen"/>
          <w:sz w:val="24"/>
          <w:szCs w:val="24"/>
        </w:rPr>
        <w:t>յալն են.</w:t>
      </w:r>
    </w:p>
    <w:p w14:paraId="5631577E" w14:textId="77777777" w:rsidR="00B834A2" w:rsidRPr="00B834A2" w:rsidRDefault="00B834A2" w:rsidP="005563E0">
      <w:pPr>
        <w:pStyle w:val="Bodytext20"/>
        <w:shd w:val="clear" w:color="auto" w:fill="auto"/>
        <w:tabs>
          <w:tab w:val="left" w:pos="1134"/>
        </w:tabs>
        <w:spacing w:before="0" w:after="160" w:line="346"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անցքի տրամագիծը պետք է մեծ լինի մասնիկների տրամագծից ավելի քան 6 անգամ.</w:t>
      </w:r>
    </w:p>
    <w:p w14:paraId="3DF66E97" w14:textId="77777777" w:rsidR="00B834A2" w:rsidRPr="00B834A2" w:rsidRDefault="00B834A2" w:rsidP="005563E0">
      <w:pPr>
        <w:pStyle w:val="Bodytext20"/>
        <w:shd w:val="clear" w:color="auto" w:fill="auto"/>
        <w:tabs>
          <w:tab w:val="left" w:pos="1134"/>
        </w:tabs>
        <w:spacing w:before="0" w:after="160" w:line="346" w:lineRule="auto"/>
        <w:ind w:firstLine="567"/>
        <w:jc w:val="both"/>
        <w:rPr>
          <w:rFonts w:ascii="Sylfaen" w:hAnsi="Sylfaen" w:cs="Sylfaen"/>
          <w:sz w:val="24"/>
          <w:szCs w:val="24"/>
        </w:rPr>
      </w:pPr>
      <w:r w:rsidRPr="00B834A2">
        <w:rPr>
          <w:rFonts w:ascii="Sylfaen" w:hAnsi="Sylfaen"/>
          <w:sz w:val="24"/>
          <w:szCs w:val="24"/>
        </w:rPr>
        <w:t>-</w:t>
      </w:r>
      <w:r w:rsidR="005563E0" w:rsidRPr="005563E0">
        <w:rPr>
          <w:rFonts w:ascii="Sylfaen" w:hAnsi="Sylfaen"/>
          <w:sz w:val="24"/>
          <w:szCs w:val="24"/>
        </w:rPr>
        <w:tab/>
      </w:r>
      <w:r w:rsidRPr="00B834A2">
        <w:rPr>
          <w:rFonts w:ascii="Sylfaen" w:hAnsi="Sylfaen"/>
          <w:sz w:val="24"/>
          <w:szCs w:val="24"/>
        </w:rPr>
        <w:t>գլանի տրամագիծը պետք է մեծ լինի անցքի տրամագծից ավելի քան 2 անգամ:</w:t>
      </w:r>
    </w:p>
    <w:p w14:paraId="31FD6D53" w14:textId="77777777" w:rsidR="00B834A2" w:rsidRPr="00B834A2" w:rsidRDefault="00B834A2" w:rsidP="005563E0">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 xml:space="preserve">Բեռնման ձագարի օգտագործումը որպես կոնտեյներ կարող է տեղին լինել արտադրական պայմաններում հոսունության ներկայացուցչական գնահատման համար: Խորհուրդ չի տրվում օգտագործել հատկապես ելքային փողով ձագարը, քանի որ հոսքի արագությունը պայմանավորված է լինելու ոչ միայն ելքային փողի չափով </w:t>
      </w:r>
      <w:r>
        <w:rPr>
          <w:rFonts w:ascii="Sylfaen" w:hAnsi="Sylfaen"/>
          <w:sz w:val="24"/>
          <w:szCs w:val="24"/>
        </w:rPr>
        <w:t>եւ</w:t>
      </w:r>
      <w:r w:rsidRPr="00B834A2">
        <w:rPr>
          <w:rFonts w:ascii="Sylfaen" w:hAnsi="Sylfaen"/>
          <w:sz w:val="24"/>
          <w:szCs w:val="24"/>
        </w:rPr>
        <w:t xml:space="preserve"> բարձրությամբ, այլ նա</w:t>
      </w:r>
      <w:r>
        <w:rPr>
          <w:rFonts w:ascii="Sylfaen" w:hAnsi="Sylfaen"/>
          <w:sz w:val="24"/>
          <w:szCs w:val="24"/>
        </w:rPr>
        <w:t>եւ</w:t>
      </w:r>
      <w:r w:rsidRPr="00B834A2">
        <w:rPr>
          <w:rFonts w:ascii="Sylfaen" w:hAnsi="Sylfaen"/>
          <w:sz w:val="24"/>
          <w:szCs w:val="24"/>
        </w:rPr>
        <w:t xml:space="preserve"> փոշու </w:t>
      </w:r>
      <w:r>
        <w:rPr>
          <w:rFonts w:ascii="Sylfaen" w:hAnsi="Sylfaen"/>
          <w:sz w:val="24"/>
          <w:szCs w:val="24"/>
        </w:rPr>
        <w:t>եւ</w:t>
      </w:r>
      <w:r w:rsidRPr="00B834A2">
        <w:rPr>
          <w:rFonts w:ascii="Sylfaen" w:hAnsi="Sylfaen"/>
          <w:sz w:val="24"/>
          <w:szCs w:val="24"/>
        </w:rPr>
        <w:t xml:space="preserve"> ձագարի փողի միջ</w:t>
      </w:r>
      <w:r>
        <w:rPr>
          <w:rFonts w:ascii="Sylfaen" w:hAnsi="Sylfaen"/>
          <w:sz w:val="24"/>
          <w:szCs w:val="24"/>
        </w:rPr>
        <w:t>եւ</w:t>
      </w:r>
      <w:r w:rsidRPr="00B834A2">
        <w:rPr>
          <w:rFonts w:ascii="Sylfaen" w:hAnsi="Sylfaen"/>
          <w:sz w:val="24"/>
          <w:szCs w:val="24"/>
        </w:rPr>
        <w:t xml:space="preserve"> շփման ուժով: Կարելի է օգտագործել հատած կոնի տեսքով ձագար, սակայն այդ դեպքում հոսքի արագության վրա ազդելու է պատերի </w:t>
      </w:r>
      <w:r>
        <w:rPr>
          <w:rFonts w:ascii="Sylfaen" w:hAnsi="Sylfaen"/>
          <w:sz w:val="24"/>
          <w:szCs w:val="24"/>
        </w:rPr>
        <w:t>եւ</w:t>
      </w:r>
      <w:r w:rsidRPr="00B834A2">
        <w:rPr>
          <w:rFonts w:ascii="Sylfaen" w:hAnsi="Sylfaen"/>
          <w:sz w:val="24"/>
          <w:szCs w:val="24"/>
        </w:rPr>
        <w:t xml:space="preserve"> փոշու միջ</w:t>
      </w:r>
      <w:r>
        <w:rPr>
          <w:rFonts w:ascii="Sylfaen" w:hAnsi="Sylfaen"/>
          <w:sz w:val="24"/>
          <w:szCs w:val="24"/>
        </w:rPr>
        <w:t>եւ</w:t>
      </w:r>
      <w:r w:rsidRPr="00B834A2">
        <w:rPr>
          <w:rFonts w:ascii="Sylfaen" w:hAnsi="Sylfaen"/>
          <w:sz w:val="24"/>
          <w:szCs w:val="24"/>
        </w:rPr>
        <w:t xml:space="preserve"> շփման գործակիցը, ուստի մեծ կար</w:t>
      </w:r>
      <w:r>
        <w:rPr>
          <w:rFonts w:ascii="Sylfaen" w:hAnsi="Sylfaen"/>
          <w:sz w:val="24"/>
          <w:szCs w:val="24"/>
        </w:rPr>
        <w:t>եւ</w:t>
      </w:r>
      <w:r w:rsidRPr="00B834A2">
        <w:rPr>
          <w:rFonts w:ascii="Sylfaen" w:hAnsi="Sylfaen"/>
          <w:sz w:val="24"/>
          <w:szCs w:val="24"/>
        </w:rPr>
        <w:t>որություն ունի ձագարի նյութը:</w:t>
      </w:r>
    </w:p>
    <w:p w14:paraId="6257D427" w14:textId="77777777" w:rsidR="00B834A2" w:rsidRPr="00B834A2" w:rsidRDefault="00B834A2" w:rsidP="005563E0">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 xml:space="preserve">Հոսքի առավելագույն շարժունակությունը </w:t>
      </w:r>
      <w:r>
        <w:rPr>
          <w:rFonts w:ascii="Sylfaen" w:hAnsi="Sylfaen"/>
          <w:sz w:val="24"/>
          <w:szCs w:val="24"/>
        </w:rPr>
        <w:t>եւ</w:t>
      </w:r>
      <w:r w:rsidRPr="00B834A2">
        <w:rPr>
          <w:rFonts w:ascii="Sylfaen" w:hAnsi="Sylfaen"/>
          <w:sz w:val="24"/>
          <w:szCs w:val="24"/>
        </w:rPr>
        <w:t xml:space="preserve"> օպտիմալ կառուցվածքը («փոշին փոշու վրայով») ապահովելու համար գլանի հարթ հատակի վրա փոփոխվող տրամագծով անցք են բացում: Փոշու սորունության արագության չափումը կարող է լինել կա՛մ դիսկրետ, կա՛մ չընդհատվող: Սորունության արագության՝ էլեկտրոնային կշեռքների օգտագործմամբ չընդհատվող չափումը թույլ է տալիս ավելի արդյունավետ կերպով հայտնաբերել փոշու սորունության արագության կարճաժամկետ փոփոխությունները:</w:t>
      </w:r>
    </w:p>
    <w:p w14:paraId="5E72D58D" w14:textId="77777777" w:rsidR="006B3C70" w:rsidRDefault="006B3C70">
      <w:pPr>
        <w:rPr>
          <w:rFonts w:eastAsia="Times New Roman" w:cs="Times New Roman"/>
          <w:b/>
        </w:rPr>
      </w:pPr>
      <w:r>
        <w:rPr>
          <w:b/>
        </w:rPr>
        <w:br w:type="page"/>
      </w:r>
    </w:p>
    <w:p w14:paraId="767765F3" w14:textId="77777777" w:rsidR="00B834A2" w:rsidRPr="006B7DC5" w:rsidRDefault="00B834A2" w:rsidP="00C96025">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lastRenderedPageBreak/>
        <w:t>ՏԵՂԱՐԺՎՈՂ ԽՈՐՇԻ ՄԵԹՈԴԸ</w:t>
      </w:r>
    </w:p>
    <w:p w14:paraId="5D8F1269"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Փոշիների սորունությունն ուսումնասիրելու եւ փոշիների տարբեր տեսակների համար բեռնման ձագարներ նախագծելու ֆունդամենտալ հիմքեր ապահովելու համար մշակվել են հատուկ սարքեր </w:t>
      </w:r>
      <w:r>
        <w:rPr>
          <w:rFonts w:ascii="Sylfaen" w:hAnsi="Sylfaen"/>
          <w:sz w:val="24"/>
          <w:szCs w:val="24"/>
        </w:rPr>
        <w:t>եւ</w:t>
      </w:r>
      <w:r w:rsidRPr="00B834A2">
        <w:rPr>
          <w:rFonts w:ascii="Sylfaen" w:hAnsi="Sylfaen"/>
          <w:sz w:val="24"/>
          <w:szCs w:val="24"/>
        </w:rPr>
        <w:t xml:space="preserve"> տեղաշարժման մեթոդներ, որոնք թույլ են տալիս ավելի ամբողջական </w:t>
      </w:r>
      <w:r>
        <w:rPr>
          <w:rFonts w:ascii="Sylfaen" w:hAnsi="Sylfaen"/>
          <w:sz w:val="24"/>
          <w:szCs w:val="24"/>
        </w:rPr>
        <w:t>եւ</w:t>
      </w:r>
      <w:r w:rsidRPr="00B834A2">
        <w:rPr>
          <w:rFonts w:ascii="Sylfaen" w:hAnsi="Sylfaen"/>
          <w:sz w:val="24"/>
          <w:szCs w:val="24"/>
        </w:rPr>
        <w:t xml:space="preserve"> ճշգրիտ տալ փոշիների հոսունության բնութագիրը: Տեղաշարժվող խորշի մեթոդաբանությունը լայնորեն օգտագործվում է դեղագործական արդյունաբերության մեջ օգտագործվող փոշիներն ուսումնասիրելիս: Օգտագործելով այդ մեթոդները կարելի է ստանալ բազմաթիվ պարամետրեր, ներառյալ՝ սորունության կախվածությունը տեղաշարժի դեֆորմացիայի առկայությունից, ներքին շփման անկյունը, սորունության ժամանակ անսահմանափակ լարումը, ձգման ժամանակ ամրությունը, ինչպես նա</w:t>
      </w:r>
      <w:r>
        <w:rPr>
          <w:rFonts w:ascii="Sylfaen" w:hAnsi="Sylfaen"/>
          <w:sz w:val="24"/>
          <w:szCs w:val="24"/>
        </w:rPr>
        <w:t>եւ</w:t>
      </w:r>
      <w:r w:rsidRPr="00B834A2">
        <w:rPr>
          <w:rFonts w:ascii="Sylfaen" w:hAnsi="Sylfaen"/>
          <w:sz w:val="24"/>
          <w:szCs w:val="24"/>
        </w:rPr>
        <w:t xml:space="preserve"> ածանցյալ պարամետրերը, ինչպիսիք են հոսքի գործոնը </w:t>
      </w:r>
      <w:r>
        <w:rPr>
          <w:rFonts w:ascii="Sylfaen" w:hAnsi="Sylfaen"/>
          <w:sz w:val="24"/>
          <w:szCs w:val="24"/>
        </w:rPr>
        <w:t>եւ</w:t>
      </w:r>
      <w:r w:rsidRPr="00B834A2">
        <w:rPr>
          <w:rFonts w:ascii="Sylfaen" w:hAnsi="Sylfaen"/>
          <w:sz w:val="24"/>
          <w:szCs w:val="24"/>
        </w:rPr>
        <w:t xml:space="preserve"> սորունության այլ գործակիցներ:</w:t>
      </w:r>
    </w:p>
    <w:p w14:paraId="54C23F27"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Փորձարարական պարամետրերն ավելի ճշգրիտ կառավարելու հնարավորության շնորհիվ սորունության բնութագրերը կարելի է որոշել որպես խտացման ծանրաբեռնվածության, ժամանակի </w:t>
      </w:r>
      <w:r>
        <w:rPr>
          <w:rFonts w:ascii="Sylfaen" w:hAnsi="Sylfaen"/>
          <w:sz w:val="24"/>
          <w:szCs w:val="24"/>
        </w:rPr>
        <w:t>եւ</w:t>
      </w:r>
      <w:r w:rsidRPr="00B834A2">
        <w:rPr>
          <w:rFonts w:ascii="Sylfaen" w:hAnsi="Sylfaen"/>
          <w:sz w:val="24"/>
          <w:szCs w:val="24"/>
        </w:rPr>
        <w:t xml:space="preserve"> արտաքին միջավայրի այլ պայմանների ֆունկցիա: Այդ մեթոդները հաջողությամբ օգտագործվում են բեռնման ձագարի </w:t>
      </w:r>
      <w:r>
        <w:rPr>
          <w:rFonts w:ascii="Sylfaen" w:hAnsi="Sylfaen"/>
          <w:sz w:val="24"/>
          <w:szCs w:val="24"/>
        </w:rPr>
        <w:t>եւ</w:t>
      </w:r>
      <w:r w:rsidRPr="00B834A2">
        <w:rPr>
          <w:rFonts w:ascii="Sylfaen" w:hAnsi="Sylfaen"/>
          <w:sz w:val="24"/>
          <w:szCs w:val="24"/>
        </w:rPr>
        <w:t xml:space="preserve"> խառնիչների հիմնական պարամետրերը որոշելու համար:</w:t>
      </w:r>
    </w:p>
    <w:p w14:paraId="3AFDA26B"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Տեղաշարժվող խորշի հիմնական մեթոդիկաները</w:t>
      </w:r>
    </w:p>
    <w:p w14:paraId="2F4CC840"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Տեղաշարժվող խորշի տեսակներից մեկը գլանաձ</w:t>
      </w:r>
      <w:r>
        <w:rPr>
          <w:rFonts w:ascii="Sylfaen" w:hAnsi="Sylfaen"/>
          <w:sz w:val="24"/>
          <w:szCs w:val="24"/>
        </w:rPr>
        <w:t>եւ</w:t>
      </w:r>
      <w:r w:rsidRPr="00B834A2">
        <w:rPr>
          <w:rFonts w:ascii="Sylfaen" w:hAnsi="Sylfaen"/>
          <w:sz w:val="24"/>
          <w:szCs w:val="24"/>
        </w:rPr>
        <w:t xml:space="preserve"> բջիջն է, որը հորիզոնական կտրվածքով ձ</w:t>
      </w:r>
      <w:r>
        <w:rPr>
          <w:rFonts w:ascii="Sylfaen" w:hAnsi="Sylfaen"/>
          <w:sz w:val="24"/>
          <w:szCs w:val="24"/>
        </w:rPr>
        <w:t>եւ</w:t>
      </w:r>
      <w:r w:rsidRPr="00B834A2">
        <w:rPr>
          <w:rFonts w:ascii="Sylfaen" w:hAnsi="Sylfaen"/>
          <w:sz w:val="24"/>
          <w:szCs w:val="24"/>
        </w:rPr>
        <w:t xml:space="preserve">ավորում է տեղաշարժի հարթությունը խորշի ստորին անշարժ հիմքի </w:t>
      </w:r>
      <w:r>
        <w:rPr>
          <w:rFonts w:ascii="Sylfaen" w:hAnsi="Sylfaen"/>
          <w:sz w:val="24"/>
          <w:szCs w:val="24"/>
        </w:rPr>
        <w:t>եւ</w:t>
      </w:r>
      <w:r w:rsidRPr="00B834A2">
        <w:rPr>
          <w:rFonts w:ascii="Sylfaen" w:hAnsi="Sylfaen"/>
          <w:sz w:val="24"/>
          <w:szCs w:val="24"/>
        </w:rPr>
        <w:t xml:space="preserve"> օղակի վերին շարժական մասի միջ</w:t>
      </w:r>
      <w:r>
        <w:rPr>
          <w:rFonts w:ascii="Sylfaen" w:hAnsi="Sylfaen"/>
          <w:sz w:val="24"/>
          <w:szCs w:val="24"/>
        </w:rPr>
        <w:t>եւ</w:t>
      </w:r>
      <w:r w:rsidRPr="00B834A2">
        <w:rPr>
          <w:rFonts w:ascii="Sylfaen" w:hAnsi="Sylfaen"/>
          <w:sz w:val="24"/>
          <w:szCs w:val="24"/>
        </w:rPr>
        <w:t>: Տեղաշարժվող խորշում փոշու շերտը խտացնելուց հետո (մանրամասն նկարագրված մեթոդիկան օգտագործելու դեպքում) որոշում են վերին օղակի շարժումով փոշու շերտի տեղաշարժի համար անհրաժեշտ ուժը: Օղակաձ</w:t>
      </w:r>
      <w:r>
        <w:rPr>
          <w:rFonts w:ascii="Sylfaen" w:hAnsi="Sylfaen"/>
          <w:sz w:val="24"/>
          <w:szCs w:val="24"/>
        </w:rPr>
        <w:t>եւ</w:t>
      </w:r>
      <w:r w:rsidRPr="00B834A2">
        <w:rPr>
          <w:rFonts w:ascii="Sylfaen" w:hAnsi="Sylfaen"/>
          <w:sz w:val="24"/>
          <w:szCs w:val="24"/>
        </w:rPr>
        <w:t xml:space="preserve"> տեղաշարժվող խորշի մոդելները գլանաձ</w:t>
      </w:r>
      <w:r>
        <w:rPr>
          <w:rFonts w:ascii="Sylfaen" w:hAnsi="Sylfaen"/>
          <w:sz w:val="24"/>
          <w:szCs w:val="24"/>
        </w:rPr>
        <w:t>եւ</w:t>
      </w:r>
      <w:r w:rsidRPr="00B834A2">
        <w:rPr>
          <w:rFonts w:ascii="Sylfaen" w:hAnsi="Sylfaen"/>
          <w:sz w:val="24"/>
          <w:szCs w:val="24"/>
        </w:rPr>
        <w:t xml:space="preserve"> տեղաշարժվող խորշի մոդելի համեմատ ունեն մի քանի առավելություններ, ներառյալ՝ նյութի նվազագույն քանակության օգտագործումը: Տվյալ խորշի՝ դրա կառուցվածքով պայմանավորված թերությունն այն է, որ փոշու </w:t>
      </w:r>
      <w:r w:rsidRPr="00B834A2">
        <w:rPr>
          <w:rFonts w:ascii="Sylfaen" w:hAnsi="Sylfaen"/>
          <w:sz w:val="24"/>
          <w:szCs w:val="24"/>
        </w:rPr>
        <w:lastRenderedPageBreak/>
        <w:t xml:space="preserve">շերտը տեղաշարժվում է անհամասեռ, քանի որ օղակի արտաքին մասի վրա փոշու մասնիկները տեղաշարժվում են ավելի, քան ներքին մասի մասնիկները: Տեղաշարժվող խորշի երրորդ տեսակը (թիթեղի տեսակ) փոշու բարակ շերտ է ստորին անշարժ անհարթ մակերեսի </w:t>
      </w:r>
      <w:r>
        <w:rPr>
          <w:rFonts w:ascii="Sylfaen" w:hAnsi="Sylfaen"/>
          <w:sz w:val="24"/>
          <w:szCs w:val="24"/>
        </w:rPr>
        <w:t>եւ</w:t>
      </w:r>
      <w:r w:rsidRPr="00B834A2">
        <w:rPr>
          <w:rFonts w:ascii="Sylfaen" w:hAnsi="Sylfaen"/>
          <w:sz w:val="24"/>
          <w:szCs w:val="24"/>
        </w:rPr>
        <w:t xml:space="preserve"> վերին շարժական անհարթ մակերեսի միջ</w:t>
      </w:r>
      <w:r>
        <w:rPr>
          <w:rFonts w:ascii="Sylfaen" w:hAnsi="Sylfaen"/>
          <w:sz w:val="24"/>
          <w:szCs w:val="24"/>
        </w:rPr>
        <w:t>եւ</w:t>
      </w:r>
      <w:r w:rsidRPr="00B834A2">
        <w:rPr>
          <w:rFonts w:ascii="Sylfaen" w:hAnsi="Sylfaen"/>
          <w:sz w:val="24"/>
          <w:szCs w:val="24"/>
        </w:rPr>
        <w:t>:</w:t>
      </w:r>
    </w:p>
    <w:p w14:paraId="2FAB0FE0" w14:textId="77777777" w:rsidR="00B834A2" w:rsidRPr="00B834A2" w:rsidRDefault="00B834A2" w:rsidP="005563E0">
      <w:pPr>
        <w:pStyle w:val="Bodytext20"/>
        <w:shd w:val="clear" w:color="auto" w:fill="auto"/>
        <w:spacing w:before="0" w:after="160" w:line="360" w:lineRule="auto"/>
        <w:ind w:firstLine="440"/>
        <w:jc w:val="both"/>
        <w:rPr>
          <w:rStyle w:val="Bodytext53NotItalic"/>
          <w:rFonts w:ascii="Sylfaen" w:eastAsia="Tahoma" w:hAnsi="Sylfaen" w:cs="Sylfaen"/>
          <w:sz w:val="24"/>
          <w:szCs w:val="24"/>
        </w:rPr>
      </w:pPr>
      <w:r w:rsidRPr="00B834A2">
        <w:rPr>
          <w:rFonts w:ascii="Sylfaen" w:hAnsi="Sylfaen"/>
          <w:sz w:val="24"/>
          <w:szCs w:val="24"/>
        </w:rPr>
        <w:t xml:space="preserve">Տեղաշարժվող խորշի բոլոր մեթոդիկաներն ունեն իրենց առավելությունները </w:t>
      </w:r>
      <w:r>
        <w:rPr>
          <w:rFonts w:ascii="Sylfaen" w:hAnsi="Sylfaen"/>
          <w:sz w:val="24"/>
          <w:szCs w:val="24"/>
        </w:rPr>
        <w:t>եւ</w:t>
      </w:r>
      <w:r w:rsidRPr="00B834A2">
        <w:rPr>
          <w:rFonts w:ascii="Sylfaen" w:hAnsi="Sylfaen"/>
          <w:sz w:val="24"/>
          <w:szCs w:val="24"/>
        </w:rPr>
        <w:t xml:space="preserve"> թերությունները, սակայն մանրամասն ամփոփումը դուրս է տվյալ ընդհանուր դեղագրքային հոդվածի շրջանակներից: Տեղաշարժվող խորշի զգալի առավելությունը կայանում է ավելի շատ փորձարկման պայմանները հսկելու հնարավորությամբ: Սակայն տվյալ մեթոդը բավականաչափ երկարատ</w:t>
      </w:r>
      <w:r>
        <w:rPr>
          <w:rFonts w:ascii="Sylfaen" w:hAnsi="Sylfaen"/>
          <w:sz w:val="24"/>
          <w:szCs w:val="24"/>
        </w:rPr>
        <w:t>եւ</w:t>
      </w:r>
      <w:r w:rsidRPr="00B834A2">
        <w:rPr>
          <w:rFonts w:ascii="Sylfaen" w:hAnsi="Sylfaen"/>
          <w:sz w:val="24"/>
          <w:szCs w:val="24"/>
        </w:rPr>
        <w:t xml:space="preserve"> է, պահանջում է փոշու զգալի քանակություն </w:t>
      </w:r>
      <w:r>
        <w:rPr>
          <w:rFonts w:ascii="Sylfaen" w:hAnsi="Sylfaen"/>
          <w:sz w:val="24"/>
          <w:szCs w:val="24"/>
        </w:rPr>
        <w:t>եւ</w:t>
      </w:r>
      <w:r w:rsidRPr="00B834A2">
        <w:rPr>
          <w:rFonts w:ascii="Sylfaen" w:hAnsi="Sylfaen"/>
          <w:sz w:val="24"/>
          <w:szCs w:val="24"/>
        </w:rPr>
        <w:t xml:space="preserve"> ուսուցում անցած օպերատորի առկայություն:</w:t>
      </w:r>
      <w:r w:rsidRPr="00B834A2">
        <w:rPr>
          <w:rStyle w:val="Bodytext53NotItalic"/>
          <w:rFonts w:ascii="Sylfaen" w:hAnsi="Sylfaen"/>
          <w:sz w:val="24"/>
          <w:szCs w:val="24"/>
        </w:rPr>
        <w:t xml:space="preserve"> </w:t>
      </w:r>
    </w:p>
    <w:p w14:paraId="508CC8EF"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Տեղաշարժվող խորշի մեթոդին ներկայացվող առաջարկությունները</w:t>
      </w:r>
    </w:p>
    <w:p w14:paraId="44055A62" w14:textId="77777777" w:rsidR="00B834A2" w:rsidRPr="00B834A2" w:rsidRDefault="00B834A2" w:rsidP="005563E0">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Տեղաշարժվող խորշի գոյություն ունեցող շատ կազմաձ</w:t>
      </w:r>
      <w:r>
        <w:rPr>
          <w:rFonts w:ascii="Sylfaen" w:hAnsi="Sylfaen"/>
          <w:sz w:val="24"/>
          <w:szCs w:val="24"/>
        </w:rPr>
        <w:t>եւ</w:t>
      </w:r>
      <w:r w:rsidRPr="00B834A2">
        <w:rPr>
          <w:rFonts w:ascii="Sylfaen" w:hAnsi="Sylfaen"/>
          <w:sz w:val="24"/>
          <w:szCs w:val="24"/>
        </w:rPr>
        <w:t xml:space="preserve">եր </w:t>
      </w:r>
      <w:r>
        <w:rPr>
          <w:rFonts w:ascii="Sylfaen" w:hAnsi="Sylfaen"/>
          <w:sz w:val="24"/>
          <w:szCs w:val="24"/>
        </w:rPr>
        <w:t>եւ</w:t>
      </w:r>
      <w:r w:rsidRPr="00B834A2">
        <w:rPr>
          <w:rFonts w:ascii="Sylfaen" w:hAnsi="Sylfaen"/>
          <w:sz w:val="24"/>
          <w:szCs w:val="24"/>
        </w:rPr>
        <w:t xml:space="preserve"> փորձարկումների մեթոդներ տվյալների մեծ զանգված են ու կարող են շատ արդյունավետորեն օգտագործվել փոշիների սորունությունը բնութագրելու համար: Դրանք նա</w:t>
      </w:r>
      <w:r>
        <w:rPr>
          <w:rFonts w:ascii="Sylfaen" w:hAnsi="Sylfaen"/>
          <w:sz w:val="24"/>
          <w:szCs w:val="24"/>
        </w:rPr>
        <w:t>եւ</w:t>
      </w:r>
      <w:r w:rsidRPr="00B834A2">
        <w:rPr>
          <w:rFonts w:ascii="Sylfaen" w:hAnsi="Sylfaen"/>
          <w:sz w:val="24"/>
          <w:szCs w:val="24"/>
        </w:rPr>
        <w:t xml:space="preserve"> օգտակար են այն սարքավորումները մշակելիս, ինչպիսիք են բեռնման ձագարները </w:t>
      </w:r>
      <w:r>
        <w:rPr>
          <w:rFonts w:ascii="Sylfaen" w:hAnsi="Sylfaen"/>
          <w:sz w:val="24"/>
          <w:szCs w:val="24"/>
        </w:rPr>
        <w:t>եւ</w:t>
      </w:r>
      <w:r w:rsidRPr="00B834A2">
        <w:rPr>
          <w:rFonts w:ascii="Sylfaen" w:hAnsi="Sylfaen"/>
          <w:sz w:val="24"/>
          <w:szCs w:val="24"/>
        </w:rPr>
        <w:t xml:space="preserve"> խառնիչները: Օգտագործվող սարքավորումների </w:t>
      </w:r>
      <w:r>
        <w:rPr>
          <w:rFonts w:ascii="Sylfaen" w:hAnsi="Sylfaen"/>
          <w:sz w:val="24"/>
          <w:szCs w:val="24"/>
        </w:rPr>
        <w:t>եւ</w:t>
      </w:r>
      <w:r w:rsidRPr="00B834A2">
        <w:rPr>
          <w:rFonts w:ascii="Sylfaen" w:hAnsi="Sylfaen"/>
          <w:sz w:val="24"/>
          <w:szCs w:val="24"/>
        </w:rPr>
        <w:t xml:space="preserve"> փորձարարական ընթացակարգերի բազմատեսակության պատճառով մեթոդաբանության մասով ոչ մի կոնկրետ առաջարկություն ընդհանուր դեղագործական հոդվածում չի բերվում: Խորհուրդ է տրվում, որ փոշիների սորունության բնութագրերի որոշման արդյունքները, որոնք ստացվել են տեղաշարժվող խորշերի մեթոդի օգտագործմամբ, ներառեն սարքավորումների </w:t>
      </w:r>
      <w:r>
        <w:rPr>
          <w:rFonts w:ascii="Sylfaen" w:hAnsi="Sylfaen"/>
          <w:sz w:val="24"/>
          <w:szCs w:val="24"/>
        </w:rPr>
        <w:t>եւ</w:t>
      </w:r>
      <w:r w:rsidRPr="00B834A2">
        <w:rPr>
          <w:rFonts w:ascii="Sylfaen" w:hAnsi="Sylfaen"/>
          <w:sz w:val="24"/>
          <w:szCs w:val="24"/>
        </w:rPr>
        <w:t xml:space="preserve"> օգտագործվող մեթոդիկայի ամբողջական նկարագրությունը:</w:t>
      </w:r>
    </w:p>
    <w:p w14:paraId="1C69281D" w14:textId="77777777" w:rsidR="005563E0" w:rsidRDefault="005563E0">
      <w:pPr>
        <w:rPr>
          <w:rStyle w:val="Bodytext29pt"/>
          <w:sz w:val="24"/>
          <w:szCs w:val="24"/>
        </w:rPr>
      </w:pPr>
      <w:r>
        <w:rPr>
          <w:rStyle w:val="Bodytext29pt"/>
          <w:sz w:val="24"/>
          <w:szCs w:val="24"/>
        </w:rPr>
        <w:br w:type="page"/>
      </w:r>
    </w:p>
    <w:p w14:paraId="09349118" w14:textId="77777777" w:rsidR="00B834A2" w:rsidRDefault="00B834A2" w:rsidP="005563E0">
      <w:pPr>
        <w:pStyle w:val="Bodytext20"/>
        <w:shd w:val="clear" w:color="auto" w:fill="auto"/>
        <w:spacing w:before="0" w:after="160" w:line="360" w:lineRule="auto"/>
        <w:ind w:firstLine="567"/>
        <w:jc w:val="right"/>
        <w:rPr>
          <w:rStyle w:val="Bodytext29pt"/>
          <w:b/>
          <w:sz w:val="20"/>
          <w:szCs w:val="24"/>
        </w:rPr>
      </w:pPr>
      <w:r w:rsidRPr="00DD273F">
        <w:rPr>
          <w:rStyle w:val="Bodytext29pt"/>
          <w:b/>
          <w:sz w:val="20"/>
          <w:szCs w:val="24"/>
        </w:rPr>
        <w:lastRenderedPageBreak/>
        <w:t>201100003-2022</w:t>
      </w:r>
    </w:p>
    <w:p w14:paraId="40AEEDCE" w14:textId="77777777" w:rsidR="00DD273F" w:rsidRPr="00DD273F" w:rsidRDefault="00DD273F" w:rsidP="005563E0">
      <w:pPr>
        <w:pStyle w:val="Bodytext20"/>
        <w:shd w:val="clear" w:color="auto" w:fill="auto"/>
        <w:spacing w:before="0" w:after="160" w:line="360" w:lineRule="auto"/>
        <w:ind w:firstLine="567"/>
        <w:jc w:val="right"/>
        <w:rPr>
          <w:rFonts w:ascii="Sylfaen" w:hAnsi="Sylfaen" w:cs="Sylfaen"/>
          <w:b/>
          <w:sz w:val="20"/>
          <w:szCs w:val="24"/>
        </w:rPr>
      </w:pPr>
    </w:p>
    <w:p w14:paraId="11E5D87F" w14:textId="77777777" w:rsidR="00B834A2" w:rsidRPr="005563E0" w:rsidRDefault="00B834A2" w:rsidP="00DD273F">
      <w:pPr>
        <w:pStyle w:val="Bodytext20"/>
        <w:shd w:val="clear" w:color="auto" w:fill="auto"/>
        <w:tabs>
          <w:tab w:val="left" w:pos="1701"/>
        </w:tabs>
        <w:spacing w:before="0" w:after="160" w:line="360" w:lineRule="auto"/>
        <w:ind w:firstLine="567"/>
        <w:jc w:val="left"/>
        <w:rPr>
          <w:rFonts w:ascii="Sylfaen" w:hAnsi="Sylfaen" w:cs="Sylfaen"/>
          <w:b/>
          <w:sz w:val="24"/>
          <w:szCs w:val="24"/>
        </w:rPr>
      </w:pPr>
      <w:r w:rsidRPr="005563E0">
        <w:rPr>
          <w:rStyle w:val="Bodytext29pt"/>
          <w:b/>
          <w:sz w:val="24"/>
          <w:szCs w:val="24"/>
        </w:rPr>
        <w:t>2.1.10.3.</w:t>
      </w:r>
      <w:r w:rsidR="00DD273F">
        <w:rPr>
          <w:rStyle w:val="Bodytext29pt"/>
          <w:b/>
          <w:sz w:val="24"/>
          <w:szCs w:val="24"/>
        </w:rPr>
        <w:tab/>
      </w:r>
      <w:r w:rsidRPr="005563E0">
        <w:rPr>
          <w:rStyle w:val="Bodytext29pt"/>
          <w:b/>
          <w:sz w:val="24"/>
          <w:szCs w:val="24"/>
        </w:rPr>
        <w:t>Լցման խտությունը եւ խտացումից հետո խտությունը</w:t>
      </w:r>
    </w:p>
    <w:p w14:paraId="39AF3FC0" w14:textId="77777777" w:rsidR="00B834A2" w:rsidRPr="00B834A2" w:rsidRDefault="00B834A2" w:rsidP="005563E0">
      <w:pPr>
        <w:pStyle w:val="Bodytext20"/>
        <w:shd w:val="clear" w:color="auto" w:fill="auto"/>
        <w:spacing w:before="0" w:after="160" w:line="346" w:lineRule="auto"/>
        <w:ind w:firstLine="567"/>
        <w:jc w:val="both"/>
        <w:rPr>
          <w:rFonts w:ascii="Sylfaen" w:hAnsi="Sylfaen" w:cs="Sylfaen"/>
          <w:sz w:val="24"/>
          <w:szCs w:val="24"/>
        </w:rPr>
      </w:pPr>
      <w:r w:rsidRPr="00B834A2">
        <w:rPr>
          <w:rStyle w:val="Bodytext2Italic"/>
          <w:sz w:val="24"/>
          <w:szCs w:val="24"/>
        </w:rPr>
        <w:t>Տվյալ դեղագործական-տեխնոգիական փորձարկումը կիրառում են՝ պայմանավորված կոնկրետ տեխնոլոգիական խնդիրներով:</w:t>
      </w:r>
    </w:p>
    <w:p w14:paraId="132D8AC2" w14:textId="77777777" w:rsidR="00B834A2" w:rsidRPr="00B834A2" w:rsidRDefault="00B834A2" w:rsidP="00C96025">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Փորձարկումը թույլ է տալիս տրված պայմաններում որոշել լցման ծավալները նախքան խտացումը </w:t>
      </w:r>
      <w:r>
        <w:rPr>
          <w:rFonts w:ascii="Sylfaen" w:hAnsi="Sylfaen"/>
          <w:sz w:val="24"/>
          <w:szCs w:val="24"/>
        </w:rPr>
        <w:t>եւ</w:t>
      </w:r>
      <w:r w:rsidRPr="00B834A2">
        <w:rPr>
          <w:rFonts w:ascii="Sylfaen" w:hAnsi="Sylfaen"/>
          <w:sz w:val="24"/>
          <w:szCs w:val="24"/>
        </w:rPr>
        <w:t xml:space="preserve"> դրանից հետո, խտացման նկատմամբ ունակությունը, ինչպես նա</w:t>
      </w:r>
      <w:r>
        <w:rPr>
          <w:rFonts w:ascii="Sylfaen" w:hAnsi="Sylfaen"/>
          <w:sz w:val="24"/>
          <w:szCs w:val="24"/>
        </w:rPr>
        <w:t>եւ</w:t>
      </w:r>
      <w:r w:rsidRPr="00B834A2">
        <w:rPr>
          <w:rFonts w:ascii="Sylfaen" w:hAnsi="Sylfaen"/>
          <w:sz w:val="24"/>
          <w:szCs w:val="24"/>
        </w:rPr>
        <w:t xml:space="preserve"> փորձարկվող նմուշի (օրինակ՝ փոշիների </w:t>
      </w:r>
      <w:r>
        <w:rPr>
          <w:rFonts w:ascii="Sylfaen" w:hAnsi="Sylfaen"/>
          <w:sz w:val="24"/>
          <w:szCs w:val="24"/>
        </w:rPr>
        <w:t>եւ</w:t>
      </w:r>
      <w:r w:rsidRPr="00B834A2">
        <w:rPr>
          <w:rFonts w:ascii="Sylfaen" w:hAnsi="Sylfaen"/>
          <w:sz w:val="24"/>
          <w:szCs w:val="24"/>
        </w:rPr>
        <w:t xml:space="preserve"> գրանուլների) լցման խտությունը: Փորձարկվող նմուշի լցման խտությունը չխտացված նմուշի զանգվածի հարաբերակցությունն է դրա ծավալի նկատմամբ, ներառյալ՝ մասնիկների միջ</w:t>
      </w:r>
      <w:r>
        <w:rPr>
          <w:rFonts w:ascii="Sylfaen" w:hAnsi="Sylfaen"/>
          <w:sz w:val="24"/>
          <w:szCs w:val="24"/>
        </w:rPr>
        <w:t>եւ</w:t>
      </w:r>
      <w:r w:rsidRPr="00B834A2">
        <w:rPr>
          <w:rFonts w:ascii="Sylfaen" w:hAnsi="Sylfaen"/>
          <w:sz w:val="24"/>
          <w:szCs w:val="24"/>
        </w:rPr>
        <w:t xml:space="preserve"> դատարկ տարածության ծավալը: Համապատասխանաբար, </w:t>
      </w:r>
      <w:r w:rsidRPr="00DD273F">
        <w:rPr>
          <w:rFonts w:ascii="Sylfaen" w:hAnsi="Sylfaen"/>
          <w:spacing w:val="-4"/>
          <w:sz w:val="24"/>
          <w:szCs w:val="24"/>
        </w:rPr>
        <w:t>լցման խտությունը պայմանավորված է ինչպես մասնիկների խտությամբ, այնպես էլ</w:t>
      </w:r>
      <w:r w:rsidRPr="00B834A2">
        <w:rPr>
          <w:rFonts w:ascii="Sylfaen" w:hAnsi="Sylfaen"/>
          <w:sz w:val="24"/>
          <w:szCs w:val="24"/>
        </w:rPr>
        <w:t xml:space="preserve"> փորձարկվող նմուշի շերտում դրանց տարածական դասավորությամբ: Լցման խտությունն արտահայտում են գրամ միլիլիտրերով (գ/մլ), Միավորների միջազգային համակարգում՝ կիլոգրամ խորանարդ մետրով (1 գ/մլ = 10</w:t>
      </w:r>
      <w:r w:rsidRPr="00B834A2">
        <w:rPr>
          <w:rFonts w:ascii="Sylfaen" w:hAnsi="Sylfaen"/>
          <w:sz w:val="24"/>
          <w:szCs w:val="24"/>
          <w:vertAlign w:val="superscript"/>
        </w:rPr>
        <w:t>3</w:t>
      </w:r>
      <w:r w:rsidRPr="00B834A2">
        <w:rPr>
          <w:rFonts w:ascii="Sylfaen" w:hAnsi="Sylfaen"/>
          <w:sz w:val="24"/>
          <w:szCs w:val="24"/>
        </w:rPr>
        <w:t xml:space="preserve"> կգ/մ</w:t>
      </w:r>
      <w:r w:rsidRPr="00B834A2">
        <w:rPr>
          <w:rFonts w:ascii="Sylfaen" w:hAnsi="Sylfaen"/>
          <w:sz w:val="24"/>
          <w:szCs w:val="24"/>
          <w:vertAlign w:val="superscript"/>
        </w:rPr>
        <w:t>3</w:t>
      </w:r>
      <w:r w:rsidRPr="00B834A2">
        <w:rPr>
          <w:rFonts w:ascii="Sylfaen" w:hAnsi="Sylfaen"/>
          <w:sz w:val="24"/>
          <w:szCs w:val="24"/>
        </w:rPr>
        <w:t>), քանի որ չափումն անցկացնում են գլանների օգտագործմամբ: Թույլատրվում է օգտագործել գրամ խորանարդ սանտիմետրով արտահայտությունները (գ/սմ</w:t>
      </w:r>
      <w:r w:rsidRPr="00B834A2">
        <w:rPr>
          <w:rFonts w:ascii="Sylfaen" w:hAnsi="Sylfaen"/>
          <w:sz w:val="24"/>
          <w:szCs w:val="24"/>
          <w:vertAlign w:val="superscript"/>
        </w:rPr>
        <w:t>3</w:t>
      </w:r>
      <w:r w:rsidRPr="00B834A2">
        <w:rPr>
          <w:rFonts w:ascii="Sylfaen" w:hAnsi="Sylfaen"/>
          <w:sz w:val="24"/>
          <w:szCs w:val="24"/>
        </w:rPr>
        <w:t>):</w:t>
      </w:r>
    </w:p>
    <w:p w14:paraId="5530FE6E" w14:textId="77777777" w:rsidR="00B834A2" w:rsidRPr="00B834A2" w:rsidRDefault="00B834A2" w:rsidP="00C96025">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Փորձարկվող նմուշի լցման հատկությունները պայմանավորված են արտադրման եղանակով, մշակման մեթոդներով </w:t>
      </w:r>
      <w:r>
        <w:rPr>
          <w:rFonts w:ascii="Sylfaen" w:hAnsi="Sylfaen"/>
          <w:sz w:val="24"/>
          <w:szCs w:val="24"/>
        </w:rPr>
        <w:t>եւ</w:t>
      </w:r>
      <w:r w:rsidRPr="00B834A2">
        <w:rPr>
          <w:rFonts w:ascii="Sylfaen" w:hAnsi="Sylfaen"/>
          <w:sz w:val="24"/>
          <w:szCs w:val="24"/>
        </w:rPr>
        <w:t xml:space="preserve"> պահպանման պայմաններով: Մասնիկների խտացումը </w:t>
      </w:r>
      <w:r>
        <w:rPr>
          <w:rFonts w:ascii="Sylfaen" w:hAnsi="Sylfaen"/>
          <w:sz w:val="24"/>
          <w:szCs w:val="24"/>
        </w:rPr>
        <w:t>եւ</w:t>
      </w:r>
      <w:r w:rsidRPr="00B834A2">
        <w:rPr>
          <w:rFonts w:ascii="Sylfaen" w:hAnsi="Sylfaen"/>
          <w:sz w:val="24"/>
          <w:szCs w:val="24"/>
        </w:rPr>
        <w:t xml:space="preserve"> տարբեր, նույնիսկ փորձարկումների պրոցեսում փորձարկվող նմուշի զանգվածի վրա աննշան ազդեցությունները կարող են հանգեցնել լցման խտության փոփոխության: Պայմանավորված դրանով՝ փորձարկվող նմուշի ծավալային խտությունը հաճախ դժվար է չափել բավականաչափ վերարտադրելիությամբ, </w:t>
      </w:r>
      <w:r>
        <w:rPr>
          <w:rFonts w:ascii="Sylfaen" w:hAnsi="Sylfaen"/>
          <w:sz w:val="24"/>
          <w:szCs w:val="24"/>
        </w:rPr>
        <w:t>եւ</w:t>
      </w:r>
      <w:r w:rsidRPr="00B834A2">
        <w:rPr>
          <w:rFonts w:ascii="Sylfaen" w:hAnsi="Sylfaen"/>
          <w:sz w:val="24"/>
          <w:szCs w:val="24"/>
        </w:rPr>
        <w:t xml:space="preserve"> արդյունքները տրամադրելիս անհրաժեշտ է նշել դրա որոշման պայմանները:</w:t>
      </w:r>
    </w:p>
    <w:p w14:paraId="539DA684" w14:textId="77777777" w:rsidR="00B834A2" w:rsidRDefault="00B834A2" w:rsidP="005563E0">
      <w:pPr>
        <w:pStyle w:val="Bodytext20"/>
        <w:shd w:val="clear" w:color="auto" w:fill="auto"/>
        <w:spacing w:before="0" w:after="160" w:line="346" w:lineRule="auto"/>
        <w:ind w:firstLine="567"/>
        <w:jc w:val="both"/>
        <w:rPr>
          <w:rFonts w:ascii="Sylfaen" w:hAnsi="Sylfaen"/>
          <w:sz w:val="24"/>
          <w:szCs w:val="24"/>
        </w:rPr>
      </w:pPr>
      <w:r w:rsidRPr="00B834A2">
        <w:rPr>
          <w:rFonts w:ascii="Sylfaen" w:hAnsi="Sylfaen"/>
          <w:sz w:val="24"/>
          <w:szCs w:val="24"/>
        </w:rPr>
        <w:t xml:space="preserve">Փորձարկվող նմուշի լցման խտությունը որոշում են կա՛մ աստիճանավորված գլանում հայտնի զանգվածով դրա ծավալի չափմամբ (մեթոդ 1), կա՛մ փորձարկվող նմուշի զանգածի չափմամբ, որը ծավալաչափի օգնությամբ հայտնի զանգվածով </w:t>
      </w:r>
      <w:r w:rsidRPr="00B834A2">
        <w:rPr>
          <w:rFonts w:ascii="Sylfaen" w:hAnsi="Sylfaen"/>
          <w:sz w:val="24"/>
          <w:szCs w:val="24"/>
        </w:rPr>
        <w:lastRenderedPageBreak/>
        <w:t>տեղադրվել է բաժակի մեջ (մեթոդ 2) կամ գլանաձ</w:t>
      </w:r>
      <w:r>
        <w:rPr>
          <w:rFonts w:ascii="Sylfaen" w:hAnsi="Sylfaen"/>
          <w:sz w:val="24"/>
          <w:szCs w:val="24"/>
        </w:rPr>
        <w:t>եւ</w:t>
      </w:r>
      <w:r w:rsidRPr="00B834A2">
        <w:rPr>
          <w:rFonts w:ascii="Sylfaen" w:hAnsi="Sylfaen"/>
          <w:sz w:val="24"/>
          <w:szCs w:val="24"/>
        </w:rPr>
        <w:t xml:space="preserve"> անոթի մեջ (մեթոդ 3): 1-ին </w:t>
      </w:r>
      <w:r>
        <w:rPr>
          <w:rFonts w:ascii="Sylfaen" w:hAnsi="Sylfaen"/>
          <w:sz w:val="24"/>
          <w:szCs w:val="24"/>
        </w:rPr>
        <w:t>եւ</w:t>
      </w:r>
      <w:r w:rsidRPr="00B834A2">
        <w:rPr>
          <w:rFonts w:ascii="Sylfaen" w:hAnsi="Sylfaen"/>
          <w:sz w:val="24"/>
          <w:szCs w:val="24"/>
        </w:rPr>
        <w:t xml:space="preserve"> 3-րդ մեթոդները համարվում են նախընտրելի:</w:t>
      </w:r>
    </w:p>
    <w:p w14:paraId="6209E6A6" w14:textId="77777777" w:rsidR="00DD273F" w:rsidRPr="00B834A2" w:rsidRDefault="00DD273F" w:rsidP="005563E0">
      <w:pPr>
        <w:pStyle w:val="Bodytext20"/>
        <w:shd w:val="clear" w:color="auto" w:fill="auto"/>
        <w:spacing w:before="0" w:after="160" w:line="346" w:lineRule="auto"/>
        <w:ind w:firstLine="567"/>
        <w:jc w:val="both"/>
        <w:rPr>
          <w:rFonts w:ascii="Sylfaen" w:hAnsi="Sylfaen" w:cs="Sylfaen"/>
          <w:sz w:val="24"/>
          <w:szCs w:val="24"/>
        </w:rPr>
      </w:pPr>
    </w:p>
    <w:p w14:paraId="30E26032"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 xml:space="preserve">ՄԵԹՈԴ 1. ՉԱՓՈՒՄ ԱՍՏԻՃԱՆԱՎՈՐՎԱԾ ԳԼԱՆՈՒՄ </w:t>
      </w:r>
    </w:p>
    <w:p w14:paraId="77913B99"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Փորձարկումն անցկացնելու համար անհրաժեշտ քանակով փորձարկվող նմուշն անց են կացնում 1,0 մմ-ից ոչ պակաս անցքերի չափով մաղի միջով՝ անհրաժեշտության դեպքում քայքայելով դրա պահպանման ժամանակ առաջացած ագլոմերատները: Տվյալ ընթացակարգն անցկացնում են զգուշությամբ՝ նմուշի հատկությունների փոփոխությունից խուսափելու համար: 2 մլ բաժանքի արժեքով 250 մլ տարողությամբ չոր աստիճանավորված գլանում առանց խտացման տեղադրում են 100 գ զանգվածով </w:t>
      </w:r>
      <w:r w:rsidRPr="00B834A2">
        <w:rPr>
          <w:rStyle w:val="Bodytext2Italic"/>
          <w:sz w:val="24"/>
          <w:szCs w:val="24"/>
        </w:rPr>
        <w:t>(т)</w:t>
      </w:r>
      <w:r w:rsidRPr="00B834A2">
        <w:rPr>
          <w:rFonts w:ascii="Sylfaen" w:hAnsi="Sylfaen"/>
          <w:sz w:val="24"/>
          <w:szCs w:val="24"/>
        </w:rPr>
        <w:t xml:space="preserve"> փորձարկվող նմուշը, որը կշռվել է 0,1 % ճշգրտությամբ: Անհրաժեշտության դեպքում զգուշությամբ հարթեցնում են </w:t>
      </w:r>
      <w:r w:rsidRPr="00DD273F">
        <w:rPr>
          <w:rFonts w:ascii="Sylfaen" w:hAnsi="Sylfaen"/>
          <w:spacing w:val="-4"/>
          <w:sz w:val="24"/>
          <w:szCs w:val="24"/>
        </w:rPr>
        <w:t>առանց խտացման փորձարկվող նմուշի մակերեսը եւ մոտակա բաժանքով նշում են չխտացված</w:t>
      </w:r>
      <w:r w:rsidRPr="00B834A2">
        <w:rPr>
          <w:rFonts w:ascii="Sylfaen" w:hAnsi="Sylfaen"/>
          <w:sz w:val="24"/>
          <w:szCs w:val="24"/>
        </w:rPr>
        <w:t xml:space="preserve"> փորձարկվող նմուշի սկզբնական ծավալը (V</w:t>
      </w:r>
      <w:r w:rsidRPr="00B834A2">
        <w:rPr>
          <w:rFonts w:ascii="Sylfaen" w:hAnsi="Sylfaen"/>
          <w:sz w:val="24"/>
          <w:szCs w:val="24"/>
          <w:vertAlign w:val="subscript"/>
        </w:rPr>
        <w:t>0</w:t>
      </w:r>
      <w:r w:rsidRPr="00B834A2">
        <w:rPr>
          <w:rFonts w:ascii="Sylfaen" w:hAnsi="Sylfaen"/>
          <w:sz w:val="24"/>
          <w:szCs w:val="24"/>
        </w:rPr>
        <w:t>):</w:t>
      </w:r>
    </w:p>
    <w:p w14:paraId="19A849D5"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Լցման խտությունը գրամ միլիմետրով (գ/մլ)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68251D8F" w14:textId="77777777" w:rsidR="00B834A2" w:rsidRPr="00B834A2" w:rsidRDefault="00B834A2" w:rsidP="001E21E6">
      <w:pPr>
        <w:pStyle w:val="Bodytext20"/>
        <w:shd w:val="clear" w:color="auto" w:fill="auto"/>
        <w:spacing w:before="0" w:after="160" w:line="360" w:lineRule="auto"/>
        <w:ind w:firstLine="567"/>
        <w:rPr>
          <w:rFonts w:ascii="Sylfaen" w:hAnsi="Sylfaen" w:cs="Sylfaen"/>
          <w:i/>
          <w:iCs/>
          <w:sz w:val="24"/>
          <w:szCs w:val="24"/>
          <w:shd w:val="clear" w:color="auto" w:fill="FFFFFF"/>
        </w:rPr>
      </w:pPr>
      <w:r w:rsidRPr="00B834A2">
        <w:rPr>
          <w:rStyle w:val="Bodytext2Italic"/>
          <w:sz w:val="24"/>
          <w:szCs w:val="24"/>
        </w:rPr>
        <w:t>m/ V</w:t>
      </w:r>
      <w:r w:rsidRPr="00B834A2">
        <w:rPr>
          <w:rStyle w:val="Bodytext2Italic"/>
          <w:sz w:val="24"/>
          <w:szCs w:val="24"/>
          <w:vertAlign w:val="subscript"/>
        </w:rPr>
        <w:t>0</w:t>
      </w:r>
      <w:r w:rsidRPr="00B834A2">
        <w:rPr>
          <w:rStyle w:val="Bodytext2Italic"/>
          <w:sz w:val="24"/>
          <w:szCs w:val="24"/>
        </w:rPr>
        <w:t>,</w:t>
      </w:r>
    </w:p>
    <w:p w14:paraId="72EBE517" w14:textId="77777777" w:rsidR="00B834A2" w:rsidRPr="00B834A2"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որտեղ՝ </w:t>
      </w:r>
    </w:p>
    <w:p w14:paraId="5EC0A401"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m</w:t>
      </w:r>
      <w:r w:rsidRPr="00B834A2">
        <w:rPr>
          <w:rFonts w:ascii="Sylfaen" w:hAnsi="Sylfaen"/>
          <w:sz w:val="24"/>
          <w:szCs w:val="24"/>
        </w:rPr>
        <w:t>-ը փորձարկվող նմուշի զանգվածն է՝ գրամներով.</w:t>
      </w:r>
    </w:p>
    <w:p w14:paraId="1F60B5EC"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V</w:t>
      </w:r>
      <w:r w:rsidRPr="00B834A2">
        <w:rPr>
          <w:rStyle w:val="Bodytext2Italic"/>
          <w:sz w:val="24"/>
          <w:szCs w:val="24"/>
          <w:vertAlign w:val="subscript"/>
        </w:rPr>
        <w:t>0</w:t>
      </w:r>
      <w:r w:rsidRPr="00B834A2">
        <w:rPr>
          <w:rFonts w:ascii="Sylfaen" w:hAnsi="Sylfaen"/>
          <w:sz w:val="24"/>
          <w:szCs w:val="24"/>
        </w:rPr>
        <w:t>-ն՝ չխտացված փորձարկվող նմուշի սկզբնական ծավալը՝ միլիլիտրերով:</w:t>
      </w:r>
    </w:p>
    <w:p w14:paraId="5C2FE65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Հաշվարկում են երեք որոշումների միջին արժեքը՝ օգտագործելով երեք փորձարկվող նմուշներ:</w:t>
      </w:r>
    </w:p>
    <w:p w14:paraId="34A5708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100 գ զանգվածով փորձարկվող նմուշի օգտագործումը չի թույլատրվում, եթե լցման խտությունը չափազանց ցածր կամ բարձր է, ու չխտացված փորձարկվող նմուշի ծավալը կազմում է 150 մլ-ից պակաս կամ 250 մլ-ից ավելի:</w:t>
      </w:r>
    </w:p>
    <w:p w14:paraId="49D9BBDC" w14:textId="77777777" w:rsidR="006B3C70" w:rsidRPr="00DE4F37" w:rsidRDefault="006B3C70" w:rsidP="001E21E6">
      <w:pPr>
        <w:pStyle w:val="Bodytext20"/>
        <w:shd w:val="clear" w:color="auto" w:fill="auto"/>
        <w:spacing w:before="0" w:after="160" w:line="360" w:lineRule="auto"/>
        <w:ind w:firstLine="567"/>
        <w:jc w:val="both"/>
        <w:rPr>
          <w:rFonts w:ascii="Sylfaen" w:hAnsi="Sylfaen"/>
          <w:sz w:val="24"/>
          <w:szCs w:val="24"/>
          <w:shd w:val="clear" w:color="auto" w:fill="FFFFFF"/>
        </w:rPr>
      </w:pPr>
    </w:p>
    <w:p w14:paraId="4108CD33"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shd w:val="clear" w:color="auto" w:fill="FFFFFF"/>
        </w:rPr>
        <w:lastRenderedPageBreak/>
        <w:t>Տվյալ դեպքում փորձարկվող նմուշի քանակը վերցնում են այնպես, որ չխտացված փորձարկվող նմուշի ծավալը կազմի 150 մլ-ից մինչ</w:t>
      </w:r>
      <w:r>
        <w:rPr>
          <w:rFonts w:ascii="Sylfaen" w:hAnsi="Sylfaen"/>
          <w:sz w:val="24"/>
          <w:szCs w:val="24"/>
          <w:shd w:val="clear" w:color="auto" w:fill="FFFFFF"/>
        </w:rPr>
        <w:t>եւ</w:t>
      </w:r>
      <w:r w:rsidRPr="00B834A2">
        <w:rPr>
          <w:rFonts w:ascii="Sylfaen" w:hAnsi="Sylfaen"/>
          <w:sz w:val="24"/>
          <w:szCs w:val="24"/>
          <w:shd w:val="clear" w:color="auto" w:fill="FFFFFF"/>
        </w:rPr>
        <w:t xml:space="preserve"> 250 մլ (գլանի ընդհանուր ծավալից 60 %-ից ոչ պակաս). փորձարկվող նմուշի զանգվածը նշում են փորձարկման արդյունքներում: Այն փորձարկվող նմուշների համար, որոնք ունեն չխտացված փորձարկվող նմուշի՝ 50 մլ-ից մինչ</w:t>
      </w:r>
      <w:r>
        <w:rPr>
          <w:rFonts w:ascii="Sylfaen" w:hAnsi="Sylfaen"/>
          <w:sz w:val="24"/>
          <w:szCs w:val="24"/>
          <w:shd w:val="clear" w:color="auto" w:fill="FFFFFF"/>
        </w:rPr>
        <w:t>եւ</w:t>
      </w:r>
      <w:r w:rsidRPr="00B834A2">
        <w:rPr>
          <w:rFonts w:ascii="Sylfaen" w:hAnsi="Sylfaen"/>
          <w:sz w:val="24"/>
          <w:szCs w:val="24"/>
          <w:shd w:val="clear" w:color="auto" w:fill="FFFFFF"/>
        </w:rPr>
        <w:t xml:space="preserve"> 100 մլ ծավալ, թույլատրվում է օգտագործել 100 մլ տարողությամբ 1 մլ բաժանքի արժեքով չափիչ գլան. գլանի ծավալը նշում են փորձարկման արդյունքներում:</w:t>
      </w:r>
    </w:p>
    <w:p w14:paraId="09B4F50C"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7E2986D3"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ՄԵԹՈԴ 2. ՉԱՓՈՒՄ ԾԱՎԱԼԱՉԱՓՈՒՄ</w:t>
      </w:r>
    </w:p>
    <w:p w14:paraId="1A265912"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Սարքը.</w:t>
      </w:r>
      <w:r w:rsidRPr="00B834A2">
        <w:rPr>
          <w:rFonts w:ascii="Sylfaen" w:hAnsi="Sylfaen"/>
          <w:sz w:val="24"/>
          <w:szCs w:val="24"/>
        </w:rPr>
        <w:t xml:space="preserve"> Սարքը (նկար 2.1.10.3-1) բաղկացած է փորձարկվող նմուշի համար ձագարից, որը հագեցված է 1,0 մմ անցքերի չափով մաղով, բեռնման ձագարից, որը տեղադրված է չորս թեք ապակե միջնապատերով խցիկի վրա, որոնց վրայով սահում է փորձարկվող նմուշը </w:t>
      </w:r>
      <w:r>
        <w:rPr>
          <w:rFonts w:ascii="Sylfaen" w:hAnsi="Sylfaen"/>
          <w:sz w:val="24"/>
          <w:szCs w:val="24"/>
        </w:rPr>
        <w:t>եւ</w:t>
      </w:r>
      <w:r w:rsidRPr="00B834A2">
        <w:rPr>
          <w:rFonts w:ascii="Sylfaen" w:hAnsi="Sylfaen"/>
          <w:sz w:val="24"/>
          <w:szCs w:val="24"/>
        </w:rPr>
        <w:t xml:space="preserve"> ուղղվում է շարժման ընթացքով: Խցիկի ստորին մասում գտնվում է ձագարը, որը փորձարկվող նմուշն ուղղորդում է դեպի անմիջապես դրա տակ տեղադրված՝ նմուշի ընդունման բաժակ: Բաժակը կարող է լինել գլանաձ</w:t>
      </w:r>
      <w:r>
        <w:rPr>
          <w:rFonts w:ascii="Sylfaen" w:hAnsi="Sylfaen"/>
          <w:sz w:val="24"/>
          <w:szCs w:val="24"/>
        </w:rPr>
        <w:t>եւ</w:t>
      </w:r>
      <w:r w:rsidRPr="00B834A2">
        <w:rPr>
          <w:rFonts w:ascii="Sylfaen" w:hAnsi="Sylfaen"/>
          <w:sz w:val="24"/>
          <w:szCs w:val="24"/>
        </w:rPr>
        <w:t xml:space="preserve"> (ծավալը (25,00 ± 0,05) մլ </w:t>
      </w:r>
      <w:r>
        <w:rPr>
          <w:rFonts w:ascii="Sylfaen" w:hAnsi="Sylfaen"/>
          <w:sz w:val="24"/>
          <w:szCs w:val="24"/>
        </w:rPr>
        <w:t>եւ</w:t>
      </w:r>
      <w:r w:rsidRPr="00B834A2">
        <w:rPr>
          <w:rFonts w:ascii="Sylfaen" w:hAnsi="Sylfaen"/>
          <w:sz w:val="24"/>
          <w:szCs w:val="24"/>
        </w:rPr>
        <w:t xml:space="preserve"> ներքին տրամագիծը (30,00 ± 2,00) մմ) կամ քառակուսի (ծավալը (16,39 ± 2,00) մլ </w:t>
      </w:r>
      <w:r>
        <w:rPr>
          <w:rFonts w:ascii="Sylfaen" w:hAnsi="Sylfaen"/>
          <w:sz w:val="24"/>
          <w:szCs w:val="24"/>
        </w:rPr>
        <w:t>եւ</w:t>
      </w:r>
      <w:r w:rsidRPr="00B834A2">
        <w:rPr>
          <w:rFonts w:ascii="Sylfaen" w:hAnsi="Sylfaen"/>
          <w:sz w:val="24"/>
          <w:szCs w:val="24"/>
        </w:rPr>
        <w:t xml:space="preserve"> ներքին չափերը (25,400 ± 0,076) մմ):</w:t>
      </w:r>
    </w:p>
    <w:p w14:paraId="4C33CA4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Փորձարկվող նմուշն ավելցուկով սարքի միջով բաց են թողնում բաժակի մեջ մինչ</w:t>
      </w:r>
      <w:r>
        <w:rPr>
          <w:rFonts w:ascii="Sylfaen" w:hAnsi="Sylfaen"/>
          <w:sz w:val="24"/>
          <w:szCs w:val="24"/>
        </w:rPr>
        <w:t>եւ</w:t>
      </w:r>
      <w:r w:rsidRPr="00B834A2">
        <w:rPr>
          <w:rFonts w:ascii="Sylfaen" w:hAnsi="Sylfaen"/>
          <w:sz w:val="24"/>
          <w:szCs w:val="24"/>
        </w:rPr>
        <w:t xml:space="preserve"> դրա լցվելը՝ օգտագործելով 25 սմ</w:t>
      </w:r>
      <w:r w:rsidRPr="00B834A2">
        <w:rPr>
          <w:rFonts w:ascii="Sylfaen" w:hAnsi="Sylfaen"/>
          <w:sz w:val="24"/>
          <w:szCs w:val="24"/>
          <w:vertAlign w:val="superscript"/>
        </w:rPr>
        <w:t>3</w:t>
      </w:r>
      <w:r w:rsidRPr="00B834A2">
        <w:rPr>
          <w:rFonts w:ascii="Sylfaen" w:hAnsi="Sylfaen"/>
          <w:sz w:val="24"/>
          <w:szCs w:val="24"/>
        </w:rPr>
        <w:t xml:space="preserve">-ից ոչ պակաս նմուշ՝ քառակուսի բաժակի համար, </w:t>
      </w:r>
      <w:r>
        <w:rPr>
          <w:rFonts w:ascii="Sylfaen" w:hAnsi="Sylfaen"/>
          <w:sz w:val="24"/>
          <w:szCs w:val="24"/>
        </w:rPr>
        <w:t>եւ</w:t>
      </w:r>
      <w:r w:rsidRPr="00B834A2">
        <w:rPr>
          <w:rFonts w:ascii="Sylfaen" w:hAnsi="Sylfaen"/>
          <w:sz w:val="24"/>
          <w:szCs w:val="24"/>
        </w:rPr>
        <w:t xml:space="preserve"> 35 սմ</w:t>
      </w:r>
      <w:r w:rsidRPr="00B834A2">
        <w:rPr>
          <w:rFonts w:ascii="Sylfaen" w:hAnsi="Sylfaen"/>
          <w:sz w:val="24"/>
          <w:szCs w:val="24"/>
          <w:vertAlign w:val="superscript"/>
        </w:rPr>
        <w:t>3</w:t>
      </w:r>
      <w:r w:rsidRPr="00B834A2">
        <w:rPr>
          <w:rFonts w:ascii="Sylfaen" w:hAnsi="Sylfaen"/>
          <w:sz w:val="24"/>
          <w:szCs w:val="24"/>
        </w:rPr>
        <w:t>-ից ոչ ավելի նմուշ՝ գլանաձ</w:t>
      </w:r>
      <w:r>
        <w:rPr>
          <w:rFonts w:ascii="Sylfaen" w:hAnsi="Sylfaen"/>
          <w:sz w:val="24"/>
          <w:szCs w:val="24"/>
        </w:rPr>
        <w:t>եւ</w:t>
      </w:r>
      <w:r w:rsidRPr="00B834A2">
        <w:rPr>
          <w:rFonts w:ascii="Sylfaen" w:hAnsi="Sylfaen"/>
          <w:sz w:val="24"/>
          <w:szCs w:val="24"/>
        </w:rPr>
        <w:t xml:space="preserve"> բաժակի համար: Փորձարկվող նմուշի ավելցուկը բաժակում զգուշությամբ հարթեցնում են առանց խտացման՝ մածկաթիակը դրա եզրերով ուղղահայաց հավասարաչափ շարժելով: Բաժակի պատերից հեռացնում են փորձարկվող նմուշի մնացորդները </w:t>
      </w:r>
      <w:r>
        <w:rPr>
          <w:rFonts w:ascii="Sylfaen" w:hAnsi="Sylfaen"/>
          <w:sz w:val="24"/>
          <w:szCs w:val="24"/>
        </w:rPr>
        <w:t>եւ</w:t>
      </w:r>
      <w:r w:rsidRPr="00B834A2">
        <w:rPr>
          <w:rFonts w:ascii="Sylfaen" w:hAnsi="Sylfaen"/>
          <w:sz w:val="24"/>
          <w:szCs w:val="24"/>
        </w:rPr>
        <w:t xml:space="preserve"> որոշում են նմուշի զանգվածը (</w:t>
      </w:r>
      <w:r w:rsidRPr="00B834A2">
        <w:rPr>
          <w:rStyle w:val="Bodytext2Italic"/>
          <w:sz w:val="24"/>
          <w:szCs w:val="24"/>
        </w:rPr>
        <w:t>т</w:t>
      </w:r>
      <w:r w:rsidRPr="00B834A2">
        <w:rPr>
          <w:rFonts w:ascii="Sylfaen" w:hAnsi="Sylfaen"/>
          <w:sz w:val="24"/>
          <w:szCs w:val="24"/>
        </w:rPr>
        <w:t>)՝ 0,1 % ճշգրտությամբ:</w:t>
      </w:r>
    </w:p>
    <w:p w14:paraId="79E4BFB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Լցման խտությունը գրամ միլիմետրով (գ/մլ)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579CB8B5"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r w:rsidRPr="00B834A2">
        <w:rPr>
          <w:rStyle w:val="Bodytext2Italic"/>
          <w:sz w:val="24"/>
          <w:szCs w:val="24"/>
        </w:rPr>
        <w:t>m/V</w:t>
      </w:r>
      <w:r w:rsidRPr="00B834A2">
        <w:rPr>
          <w:rStyle w:val="Bodytext2Italic"/>
          <w:sz w:val="24"/>
          <w:szCs w:val="24"/>
          <w:vertAlign w:val="subscript"/>
        </w:rPr>
        <w:t>0</w:t>
      </w:r>
      <w:r w:rsidRPr="00B834A2">
        <w:rPr>
          <w:rStyle w:val="Bodytext2Italic"/>
          <w:sz w:val="24"/>
          <w:szCs w:val="24"/>
        </w:rPr>
        <w:t>,</w:t>
      </w:r>
    </w:p>
    <w:p w14:paraId="3266EC1E" w14:textId="77777777" w:rsidR="00B834A2" w:rsidRPr="00B834A2"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lastRenderedPageBreak/>
        <w:t xml:space="preserve">որտեղ՝ </w:t>
      </w:r>
    </w:p>
    <w:p w14:paraId="317D181C"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V</w:t>
      </w:r>
      <w:r w:rsidRPr="00B834A2">
        <w:rPr>
          <w:rStyle w:val="Bodytext2Italic"/>
          <w:sz w:val="24"/>
          <w:szCs w:val="24"/>
          <w:vertAlign w:val="subscript"/>
        </w:rPr>
        <w:t>0</w:t>
      </w:r>
      <w:r w:rsidRPr="00B834A2">
        <w:rPr>
          <w:rFonts w:ascii="Sylfaen" w:hAnsi="Sylfaen"/>
          <w:sz w:val="24"/>
          <w:szCs w:val="24"/>
        </w:rPr>
        <w:t>-ն չխտացված փորձարկվող նմուշի սկզբնական ծավալն է՝ միլիլիտրերով,</w:t>
      </w:r>
      <w:r w:rsidR="00696072">
        <w:rPr>
          <w:rFonts w:ascii="Sylfaen" w:hAnsi="Sylfaen"/>
          <w:sz w:val="24"/>
          <w:szCs w:val="24"/>
        </w:rPr>
        <w:t xml:space="preserve"> </w:t>
      </w:r>
    </w:p>
    <w:p w14:paraId="2712C284"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m</w:t>
      </w:r>
      <w:r w:rsidRPr="00B834A2">
        <w:rPr>
          <w:rFonts w:ascii="Sylfaen" w:hAnsi="Sylfaen"/>
          <w:sz w:val="24"/>
          <w:szCs w:val="24"/>
        </w:rPr>
        <w:t>-ը՝ փորձարկվող զանգվածը՝ գրամներով։</w:t>
      </w:r>
    </w:p>
    <w:p w14:paraId="15BCFB5A"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Հաշվարկում են երեք որոշումների միջին արժեքը՝ օգտագործելով երեք տարբեր փորձարկվող նմուշներ:</w:t>
      </w:r>
    </w:p>
    <w:p w14:paraId="0E03646B" w14:textId="77777777" w:rsidR="00B834A2" w:rsidRPr="00B834A2" w:rsidRDefault="00000000" w:rsidP="00B834A2">
      <w:pPr>
        <w:spacing w:after="160" w:line="360" w:lineRule="auto"/>
        <w:jc w:val="both"/>
      </w:pPr>
      <w:r>
        <w:rPr>
          <w:noProof/>
        </w:rPr>
        <w:pict w14:anchorId="15E1E735">
          <v:group id="_x0000_s1229" style="position:absolute;left:0;text-align:left;margin-left:5.6pt;margin-top:11.6pt;width:214.5pt;height:198.75pt;z-index:251696128" coordorigin="1530,1650" coordsize="4290,3975">
            <v:rect id="_x0000_s1230" style="position:absolute;left:1530;top:1650;width:810;height:330" stroked="f">
              <v:textbox style="mso-next-textbox:#_x0000_s1230">
                <w:txbxContent>
                  <w:p w14:paraId="072F6EA3" w14:textId="77777777" w:rsidR="008D6E8B" w:rsidRPr="00161689" w:rsidRDefault="008D6E8B" w:rsidP="00B834A2">
                    <w:pPr>
                      <w:jc w:val="center"/>
                      <w:rPr>
                        <w:sz w:val="20"/>
                      </w:rPr>
                    </w:pPr>
                    <w:r>
                      <w:rPr>
                        <w:sz w:val="20"/>
                      </w:rPr>
                      <w:t>Ա</w:t>
                    </w:r>
                  </w:p>
                </w:txbxContent>
              </v:textbox>
            </v:rect>
            <v:rect id="_x0000_s1231" style="position:absolute;left:1530;top:2100;width:810;height:405" stroked="f">
              <v:textbox style="mso-next-textbox:#_x0000_s1231">
                <w:txbxContent>
                  <w:p w14:paraId="32EEABF6" w14:textId="77777777" w:rsidR="008D6E8B" w:rsidRPr="00161689" w:rsidRDefault="008D6E8B" w:rsidP="00B834A2">
                    <w:pPr>
                      <w:jc w:val="center"/>
                      <w:rPr>
                        <w:sz w:val="20"/>
                      </w:rPr>
                    </w:pPr>
                    <w:r>
                      <w:rPr>
                        <w:sz w:val="20"/>
                      </w:rPr>
                      <w:t>Բ</w:t>
                    </w:r>
                  </w:p>
                </w:txbxContent>
              </v:textbox>
            </v:rect>
            <v:rect id="_x0000_s1232" style="position:absolute;left:1530;top:2745;width:810;height:405" stroked="f">
              <v:textbox style="mso-next-textbox:#_x0000_s1232">
                <w:txbxContent>
                  <w:p w14:paraId="1FA1B297" w14:textId="77777777" w:rsidR="008D6E8B" w:rsidRPr="00161689" w:rsidRDefault="008D6E8B" w:rsidP="00B834A2">
                    <w:pPr>
                      <w:jc w:val="center"/>
                      <w:rPr>
                        <w:sz w:val="20"/>
                      </w:rPr>
                    </w:pPr>
                    <w:r>
                      <w:rPr>
                        <w:sz w:val="20"/>
                      </w:rPr>
                      <w:t>Գ</w:t>
                    </w:r>
                  </w:p>
                </w:txbxContent>
              </v:textbox>
            </v:rect>
            <v:rect id="_x0000_s1233" style="position:absolute;left:1530;top:3750;width:810;height:420" stroked="f">
              <v:textbox style="mso-next-textbox:#_x0000_s1233">
                <w:txbxContent>
                  <w:p w14:paraId="3B2484C6" w14:textId="77777777" w:rsidR="008D6E8B" w:rsidRPr="00161689" w:rsidRDefault="008D6E8B" w:rsidP="00B834A2">
                    <w:pPr>
                      <w:jc w:val="center"/>
                      <w:rPr>
                        <w:sz w:val="20"/>
                      </w:rPr>
                    </w:pPr>
                    <w:r>
                      <w:rPr>
                        <w:sz w:val="20"/>
                      </w:rPr>
                      <w:t>Դ</w:t>
                    </w:r>
                  </w:p>
                </w:txbxContent>
              </v:textbox>
            </v:rect>
            <v:rect id="_x0000_s1234" style="position:absolute;left:1530;top:4425;width:810;height:420" stroked="f">
              <v:textbox style="mso-next-textbox:#_x0000_s1234">
                <w:txbxContent>
                  <w:p w14:paraId="29CDD400" w14:textId="77777777" w:rsidR="008D6E8B" w:rsidRPr="00161689" w:rsidRDefault="008D6E8B" w:rsidP="00B834A2">
                    <w:pPr>
                      <w:jc w:val="center"/>
                      <w:rPr>
                        <w:sz w:val="20"/>
                      </w:rPr>
                    </w:pPr>
                    <w:r>
                      <w:rPr>
                        <w:sz w:val="20"/>
                      </w:rPr>
                      <w:t>Ե</w:t>
                    </w:r>
                  </w:p>
                </w:txbxContent>
              </v:textbox>
            </v:rect>
            <v:rect id="_x0000_s1235" style="position:absolute;left:1530;top:5280;width:810;height:345" stroked="f">
              <v:textbox style="mso-next-textbox:#_x0000_s1235">
                <w:txbxContent>
                  <w:p w14:paraId="47EBCF49" w14:textId="77777777" w:rsidR="008D6E8B" w:rsidRPr="00161689" w:rsidRDefault="008D6E8B" w:rsidP="00B834A2">
                    <w:pPr>
                      <w:jc w:val="center"/>
                      <w:rPr>
                        <w:sz w:val="20"/>
                      </w:rPr>
                    </w:pPr>
                    <w:r>
                      <w:rPr>
                        <w:sz w:val="20"/>
                      </w:rPr>
                      <w:t>Զ</w:t>
                    </w:r>
                  </w:p>
                </w:txbxContent>
              </v:textbox>
            </v:rect>
            <v:rect id="_x0000_s1236" style="position:absolute;left:5010;top:4350;width:810;height:330" stroked="f">
              <v:textbox style="mso-next-textbox:#_x0000_s1236">
                <w:txbxContent>
                  <w:p w14:paraId="7B26AA6D" w14:textId="77777777" w:rsidR="008D6E8B" w:rsidRPr="00161689" w:rsidRDefault="008D6E8B" w:rsidP="00B834A2">
                    <w:pPr>
                      <w:jc w:val="center"/>
                      <w:rPr>
                        <w:sz w:val="20"/>
                      </w:rPr>
                    </w:pPr>
                    <w:r>
                      <w:rPr>
                        <w:sz w:val="20"/>
                      </w:rPr>
                      <w:t>Է</w:t>
                    </w:r>
                  </w:p>
                </w:txbxContent>
              </v:textbox>
            </v:rect>
          </v:group>
        </w:pict>
      </w:r>
      <w:r w:rsidR="00B834A2" w:rsidRPr="00B834A2">
        <w:rPr>
          <w:noProof/>
          <w:lang w:val="en-US" w:eastAsia="en-US" w:bidi="ar-SA"/>
        </w:rPr>
        <w:drawing>
          <wp:inline distT="0" distB="0" distL="0" distR="0" wp14:anchorId="166F8744" wp14:editId="4FA4F938">
            <wp:extent cx="2886075" cy="2997835"/>
            <wp:effectExtent l="19050" t="0" r="9525" b="0"/>
            <wp:docPr id="19" name="Picture 19"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8"/>
                    <pic:cNvPicPr>
                      <a:picLocks noChangeAspect="1" noChangeArrowheads="1"/>
                    </pic:cNvPicPr>
                  </pic:nvPicPr>
                  <pic:blipFill>
                    <a:blip r:embed="rId40" cstate="print"/>
                    <a:srcRect/>
                    <a:stretch>
                      <a:fillRect/>
                    </a:stretch>
                  </pic:blipFill>
                  <pic:spPr bwMode="auto">
                    <a:xfrm>
                      <a:off x="0" y="0"/>
                      <a:ext cx="2886075" cy="2997835"/>
                    </a:xfrm>
                    <a:prstGeom prst="rect">
                      <a:avLst/>
                    </a:prstGeom>
                    <a:noFill/>
                    <a:ln w="9525">
                      <a:noFill/>
                      <a:miter lim="800000"/>
                      <a:headEnd/>
                      <a:tailEnd/>
                    </a:ln>
                  </pic:spPr>
                </pic:pic>
              </a:graphicData>
            </a:graphic>
          </wp:inline>
        </w:drawing>
      </w:r>
    </w:p>
    <w:p w14:paraId="3330239B" w14:textId="77777777" w:rsidR="00B834A2" w:rsidRPr="001E21E6" w:rsidRDefault="00B834A2" w:rsidP="00B834A2">
      <w:pPr>
        <w:pStyle w:val="Picturecaption130"/>
        <w:shd w:val="clear" w:color="auto" w:fill="auto"/>
        <w:spacing w:after="160" w:line="360" w:lineRule="auto"/>
        <w:rPr>
          <w:rFonts w:ascii="Sylfaen" w:hAnsi="Sylfaen" w:cs="Sylfaen"/>
          <w:szCs w:val="24"/>
        </w:rPr>
      </w:pPr>
      <w:r w:rsidRPr="001E21E6">
        <w:rPr>
          <w:rStyle w:val="Picturecaption13NotItalic"/>
          <w:rFonts w:ascii="Sylfaen" w:hAnsi="Sylfaen"/>
          <w:szCs w:val="24"/>
        </w:rPr>
        <w:t xml:space="preserve">Նկար 2.1.10.3-1 </w:t>
      </w:r>
      <w:r w:rsidR="009217DE">
        <w:rPr>
          <w:rStyle w:val="Picturecaption13NotItalic"/>
          <w:rFonts w:ascii="Sylfaen" w:hAnsi="Sylfaen"/>
          <w:szCs w:val="24"/>
        </w:rPr>
        <w:t>-</w:t>
      </w:r>
      <w:r w:rsidRPr="001E21E6">
        <w:rPr>
          <w:rStyle w:val="Picturecaption13NotItalic"/>
          <w:rFonts w:ascii="Sylfaen" w:hAnsi="Sylfaen"/>
          <w:szCs w:val="24"/>
        </w:rPr>
        <w:t xml:space="preserve"> </w:t>
      </w:r>
      <w:r w:rsidRPr="001E21E6">
        <w:rPr>
          <w:rFonts w:ascii="Sylfaen" w:hAnsi="Sylfaen"/>
          <w:szCs w:val="24"/>
        </w:rPr>
        <w:t>Ծավալաչափ: Ա</w:t>
      </w:r>
      <w:r w:rsidRPr="001E21E6">
        <w:rPr>
          <w:rStyle w:val="Picturecaption13NotItalic"/>
          <w:rFonts w:ascii="Sylfaen" w:hAnsi="Sylfaen"/>
          <w:szCs w:val="24"/>
        </w:rPr>
        <w:t xml:space="preserve">՝ </w:t>
      </w:r>
      <w:r w:rsidRPr="001E21E6">
        <w:rPr>
          <w:rFonts w:ascii="Sylfaen" w:hAnsi="Sylfaen"/>
          <w:szCs w:val="24"/>
        </w:rPr>
        <w:t>Մաղ՝ 1,0 մմ անցքերի չափով. Բ</w:t>
      </w:r>
      <w:r w:rsidRPr="001E21E6">
        <w:rPr>
          <w:rStyle w:val="Picturecaption13NotItalic"/>
          <w:rFonts w:ascii="Sylfaen" w:hAnsi="Sylfaen"/>
          <w:szCs w:val="24"/>
        </w:rPr>
        <w:t xml:space="preserve">՝ </w:t>
      </w:r>
      <w:r w:rsidRPr="001E21E6">
        <w:rPr>
          <w:rFonts w:ascii="Sylfaen" w:hAnsi="Sylfaen"/>
          <w:szCs w:val="24"/>
        </w:rPr>
        <w:t>ձագար՝ փորձարկվող նմուշի համար. Գ</w:t>
      </w:r>
      <w:r w:rsidRPr="001E21E6">
        <w:rPr>
          <w:rStyle w:val="Picturecaption13NotItalic"/>
          <w:rFonts w:ascii="Sylfaen" w:hAnsi="Sylfaen"/>
          <w:szCs w:val="24"/>
        </w:rPr>
        <w:t xml:space="preserve">՝ </w:t>
      </w:r>
      <w:r w:rsidRPr="001E21E6">
        <w:rPr>
          <w:rFonts w:ascii="Sylfaen" w:hAnsi="Sylfaen"/>
          <w:szCs w:val="24"/>
        </w:rPr>
        <w:t>բեռնման ձագար. Դ</w:t>
      </w:r>
      <w:r w:rsidRPr="001E21E6">
        <w:rPr>
          <w:rStyle w:val="Picturecaption13NotItalic"/>
          <w:rFonts w:ascii="Sylfaen" w:hAnsi="Sylfaen"/>
          <w:szCs w:val="24"/>
        </w:rPr>
        <w:t xml:space="preserve">՝ </w:t>
      </w:r>
      <w:r w:rsidRPr="001E21E6">
        <w:rPr>
          <w:rFonts w:ascii="Sylfaen" w:hAnsi="Sylfaen"/>
          <w:szCs w:val="24"/>
        </w:rPr>
        <w:t>խցիկ. Ե</w:t>
      </w:r>
      <w:r w:rsidRPr="001E21E6">
        <w:rPr>
          <w:rStyle w:val="Picturecaption13NotItalic"/>
          <w:rFonts w:ascii="Sylfaen" w:hAnsi="Sylfaen"/>
          <w:szCs w:val="24"/>
        </w:rPr>
        <w:t xml:space="preserve">՝ </w:t>
      </w:r>
      <w:r w:rsidRPr="001E21E6">
        <w:rPr>
          <w:rFonts w:ascii="Sylfaen" w:hAnsi="Sylfaen"/>
          <w:szCs w:val="24"/>
        </w:rPr>
        <w:t>ապակե միջնապատեր. Զ</w:t>
      </w:r>
      <w:r w:rsidRPr="001E21E6">
        <w:rPr>
          <w:rStyle w:val="Picturecaption13NotItalic"/>
          <w:rFonts w:ascii="Sylfaen" w:hAnsi="Sylfaen"/>
          <w:szCs w:val="24"/>
        </w:rPr>
        <w:t xml:space="preserve">՝ </w:t>
      </w:r>
      <w:r w:rsidRPr="001E21E6">
        <w:rPr>
          <w:rFonts w:ascii="Sylfaen" w:hAnsi="Sylfaen"/>
          <w:szCs w:val="24"/>
        </w:rPr>
        <w:t>բաժակ՝ փորձարկվող նմուշն ընդունելու համար. Է</w:t>
      </w:r>
      <w:r w:rsidRPr="001E21E6">
        <w:rPr>
          <w:rStyle w:val="Picturecaption13NotItalic"/>
          <w:rFonts w:ascii="Sylfaen" w:hAnsi="Sylfaen"/>
          <w:szCs w:val="24"/>
        </w:rPr>
        <w:t xml:space="preserve">՝ </w:t>
      </w:r>
      <w:r w:rsidRPr="001E21E6">
        <w:rPr>
          <w:rFonts w:ascii="Sylfaen" w:hAnsi="Sylfaen"/>
          <w:szCs w:val="24"/>
        </w:rPr>
        <w:t xml:space="preserve">տակդիր </w:t>
      </w:r>
    </w:p>
    <w:p w14:paraId="58D2B6C4" w14:textId="77777777" w:rsidR="00B834A2" w:rsidRPr="00B834A2" w:rsidRDefault="00B834A2" w:rsidP="00B834A2">
      <w:pPr>
        <w:pStyle w:val="Picturecaption130"/>
        <w:shd w:val="clear" w:color="auto" w:fill="auto"/>
        <w:spacing w:after="160" w:line="360" w:lineRule="auto"/>
        <w:rPr>
          <w:rFonts w:ascii="Sylfaen" w:hAnsi="Sylfaen" w:cs="Sylfaen"/>
          <w:sz w:val="24"/>
          <w:szCs w:val="24"/>
        </w:rPr>
      </w:pPr>
    </w:p>
    <w:p w14:paraId="26BA65A8"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ՄԵԹՈԴ 3. ՉԱՓՈՒՄ ԳԼԱՆԱՁԵՎ ԱՆՈԹՈՒՄ</w:t>
      </w:r>
    </w:p>
    <w:p w14:paraId="57DA9973" w14:textId="77777777" w:rsidR="00B834A2" w:rsidRPr="006B7DC5"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b/>
          <w:sz w:val="24"/>
          <w:szCs w:val="24"/>
        </w:rPr>
        <w:t>Սարքը.</w:t>
      </w:r>
      <w:r w:rsidRPr="00B834A2">
        <w:rPr>
          <w:rFonts w:ascii="Sylfaen" w:hAnsi="Sylfaen"/>
          <w:sz w:val="24"/>
          <w:szCs w:val="24"/>
        </w:rPr>
        <w:t xml:space="preserve"> Սարքը բաղկացած է 100 մլ տարողությամբ կափարիչով գլանաձ</w:t>
      </w:r>
      <w:r>
        <w:rPr>
          <w:rFonts w:ascii="Sylfaen" w:hAnsi="Sylfaen"/>
          <w:sz w:val="24"/>
          <w:szCs w:val="24"/>
        </w:rPr>
        <w:t>եւ</w:t>
      </w:r>
      <w:r w:rsidRPr="00B834A2">
        <w:rPr>
          <w:rFonts w:ascii="Sylfaen" w:hAnsi="Sylfaen"/>
          <w:sz w:val="24"/>
          <w:szCs w:val="24"/>
        </w:rPr>
        <w:t xml:space="preserve"> անոթից, որը պատրաստված է չժանգոտվող պողպատից, 2.1.10.3-2 նկարում նշված չափերով:</w:t>
      </w:r>
    </w:p>
    <w:p w14:paraId="783DAC3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Փորձարկվող նմուշը փորձարկումն անցկացնելու համար </w:t>
      </w:r>
      <w:r w:rsidRPr="001E21E6">
        <w:rPr>
          <w:rFonts w:ascii="Sylfaen" w:hAnsi="Sylfaen"/>
          <w:spacing w:val="-6"/>
          <w:sz w:val="24"/>
          <w:szCs w:val="24"/>
        </w:rPr>
        <w:t xml:space="preserve">անհրաժեշտ քանակով անց են կացնում 1,0 մմ անցքերի չափով մաղի միջով չափիչ անոթի մեջ մինչեւ այն լցվելը՝ անհրաժեշտության դեպքում քայքայելով դրա պահպանման ժամանակ առաջացած ագլոմերատները: Փորձարկվող նմուշի </w:t>
      </w:r>
      <w:r w:rsidRPr="001E21E6">
        <w:rPr>
          <w:rFonts w:ascii="Sylfaen" w:hAnsi="Sylfaen"/>
          <w:spacing w:val="-6"/>
          <w:sz w:val="24"/>
          <w:szCs w:val="24"/>
        </w:rPr>
        <w:lastRenderedPageBreak/>
        <w:t>մակերեսը զգուշությամբ հավասարեցնում են, ինչպես նկարագրված է 2-րդ մեթոդում: Փորձարկվող նմուշի զանգվածը (</w:t>
      </w:r>
      <w:r w:rsidRPr="001E21E6">
        <w:rPr>
          <w:rStyle w:val="Bodytext2Italic"/>
          <w:spacing w:val="-6"/>
          <w:sz w:val="24"/>
          <w:szCs w:val="24"/>
        </w:rPr>
        <w:t>m</w:t>
      </w:r>
      <w:r w:rsidRPr="001E21E6">
        <w:rPr>
          <w:rStyle w:val="Bodytext2Italic"/>
          <w:spacing w:val="-6"/>
          <w:sz w:val="24"/>
          <w:szCs w:val="24"/>
          <w:vertAlign w:val="subscript"/>
        </w:rPr>
        <w:t>0</w:t>
      </w:r>
      <w:r w:rsidRPr="001E21E6">
        <w:rPr>
          <w:rFonts w:ascii="Sylfaen" w:hAnsi="Sylfaen"/>
          <w:spacing w:val="-6"/>
          <w:sz w:val="24"/>
          <w:szCs w:val="24"/>
        </w:rPr>
        <w:t>) որոշում են 0,1 % ճշգրտությամբ՝ նմուշով գլանաձեւ անոթի մեջից հանելով դատարկ գլանաձեւ անոթի զանգվածը: Լցման խտությունը գրամ</w:t>
      </w:r>
      <w:r w:rsidRPr="00B834A2">
        <w:rPr>
          <w:rFonts w:ascii="Sylfaen" w:hAnsi="Sylfaen"/>
          <w:sz w:val="24"/>
          <w:szCs w:val="24"/>
        </w:rPr>
        <w:t xml:space="preserve"> միլիմետրով (գ/մլ)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71039E5A"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r w:rsidRPr="00B834A2">
        <w:rPr>
          <w:rStyle w:val="Bodytext2Italic"/>
          <w:sz w:val="24"/>
          <w:szCs w:val="24"/>
        </w:rPr>
        <w:t>m</w:t>
      </w:r>
      <w:r w:rsidRPr="00B834A2">
        <w:rPr>
          <w:rStyle w:val="Bodytext2Italic"/>
          <w:sz w:val="24"/>
          <w:szCs w:val="24"/>
          <w:vertAlign w:val="subscript"/>
        </w:rPr>
        <w:t>0</w:t>
      </w:r>
      <w:r w:rsidRPr="00B834A2">
        <w:rPr>
          <w:rFonts w:ascii="Sylfaen" w:hAnsi="Sylfaen"/>
          <w:sz w:val="24"/>
          <w:szCs w:val="24"/>
        </w:rPr>
        <w:t>/100,</w:t>
      </w:r>
    </w:p>
    <w:p w14:paraId="32DED8B5" w14:textId="77777777" w:rsidR="00B834A2" w:rsidRPr="00B834A2" w:rsidRDefault="00B834A2" w:rsidP="001E21E6">
      <w:pPr>
        <w:spacing w:after="160" w:line="360" w:lineRule="auto"/>
        <w:ind w:firstLine="567"/>
        <w:jc w:val="both"/>
      </w:pPr>
      <w:r w:rsidRPr="00B834A2">
        <w:t xml:space="preserve">որտեղ </w:t>
      </w:r>
      <w:r w:rsidRPr="00B834A2">
        <w:rPr>
          <w:rStyle w:val="Bodytext2Italic"/>
          <w:rFonts w:eastAsia="Tahoma"/>
          <w:sz w:val="24"/>
          <w:szCs w:val="24"/>
        </w:rPr>
        <w:t>m</w:t>
      </w:r>
      <w:r w:rsidRPr="00B834A2">
        <w:rPr>
          <w:rStyle w:val="Bodytext2Italic"/>
          <w:rFonts w:eastAsia="Tahoma"/>
          <w:sz w:val="24"/>
          <w:szCs w:val="24"/>
          <w:vertAlign w:val="subscript"/>
        </w:rPr>
        <w:t>0</w:t>
      </w:r>
      <w:r w:rsidRPr="00B834A2">
        <w:t>-ն փորձարկվող նմուշի զանգվածն է՝ գրամներով:</w:t>
      </w:r>
    </w:p>
    <w:p w14:paraId="2A2C74E4"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Հաշվարկում են երեք որոշումների միջին արժեքը՝ օգտագործելով երեք տարբեր փորձարկվող նմուշներ:</w:t>
      </w:r>
    </w:p>
    <w:p w14:paraId="068D2034" w14:textId="77777777" w:rsidR="00B834A2" w:rsidRPr="00B834A2" w:rsidRDefault="00B834A2" w:rsidP="00B834A2">
      <w:pPr>
        <w:spacing w:after="160" w:line="360" w:lineRule="auto"/>
      </w:pPr>
      <w:r w:rsidRPr="00B834A2">
        <w:rPr>
          <w:noProof/>
          <w:lang w:val="en-US" w:eastAsia="en-US" w:bidi="ar-SA"/>
        </w:rPr>
        <w:drawing>
          <wp:inline distT="0" distB="0" distL="0" distR="0" wp14:anchorId="06F9B80F" wp14:editId="3516BB57">
            <wp:extent cx="2886075" cy="1271905"/>
            <wp:effectExtent l="19050" t="0" r="9525" b="0"/>
            <wp:docPr id="28" name="Picture 22"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9"/>
                    <pic:cNvPicPr>
                      <a:picLocks noChangeAspect="1" noChangeArrowheads="1"/>
                    </pic:cNvPicPr>
                  </pic:nvPicPr>
                  <pic:blipFill>
                    <a:blip r:embed="rId41" cstate="print"/>
                    <a:srcRect/>
                    <a:stretch>
                      <a:fillRect/>
                    </a:stretch>
                  </pic:blipFill>
                  <pic:spPr bwMode="auto">
                    <a:xfrm>
                      <a:off x="0" y="0"/>
                      <a:ext cx="2886075" cy="1271905"/>
                    </a:xfrm>
                    <a:prstGeom prst="rect">
                      <a:avLst/>
                    </a:prstGeom>
                    <a:noFill/>
                    <a:ln w="9525">
                      <a:noFill/>
                      <a:miter lim="800000"/>
                      <a:headEnd/>
                      <a:tailEnd/>
                    </a:ln>
                  </pic:spPr>
                </pic:pic>
              </a:graphicData>
            </a:graphic>
          </wp:inline>
        </w:drawing>
      </w:r>
    </w:p>
    <w:p w14:paraId="6F192867" w14:textId="77777777" w:rsidR="00B834A2" w:rsidRPr="001E21E6" w:rsidRDefault="00B834A2" w:rsidP="00B834A2">
      <w:pPr>
        <w:pStyle w:val="Picturecaption130"/>
        <w:shd w:val="clear" w:color="auto" w:fill="auto"/>
        <w:spacing w:after="160" w:line="360" w:lineRule="auto"/>
        <w:ind w:firstLine="567"/>
        <w:rPr>
          <w:rFonts w:ascii="Sylfaen" w:hAnsi="Sylfaen" w:cs="Sylfaen"/>
          <w:szCs w:val="24"/>
        </w:rPr>
      </w:pPr>
      <w:r w:rsidRPr="001E21E6">
        <w:rPr>
          <w:rStyle w:val="Picturecaption13NotItalic"/>
          <w:rFonts w:ascii="Sylfaen" w:hAnsi="Sylfaen"/>
          <w:szCs w:val="24"/>
        </w:rPr>
        <w:t xml:space="preserve">Նկար 2.1.10.3-2 </w:t>
      </w:r>
      <w:r w:rsidR="009217DE">
        <w:rPr>
          <w:rFonts w:ascii="Sylfaen" w:hAnsi="Sylfaen"/>
          <w:szCs w:val="24"/>
        </w:rPr>
        <w:t>-</w:t>
      </w:r>
      <w:r w:rsidRPr="001E21E6">
        <w:rPr>
          <w:rFonts w:ascii="Sylfaen" w:hAnsi="Sylfaen"/>
          <w:szCs w:val="24"/>
        </w:rPr>
        <w:t>Գլանաձեւ անոթ (ձախից) եւ կափարիչ (աջից): Չափերը նշված են միլիմետրերով</w:t>
      </w:r>
    </w:p>
    <w:p w14:paraId="332FFC7E" w14:textId="77777777" w:rsidR="00B834A2" w:rsidRPr="00B834A2" w:rsidRDefault="00B834A2" w:rsidP="00B834A2">
      <w:pPr>
        <w:pStyle w:val="Picturecaption130"/>
        <w:shd w:val="clear" w:color="auto" w:fill="auto"/>
        <w:spacing w:after="160" w:line="360" w:lineRule="auto"/>
        <w:ind w:firstLine="567"/>
        <w:rPr>
          <w:rFonts w:ascii="Sylfaen" w:hAnsi="Sylfaen" w:cs="Sylfaen"/>
          <w:sz w:val="24"/>
          <w:szCs w:val="24"/>
        </w:rPr>
      </w:pPr>
    </w:p>
    <w:p w14:paraId="52F63807" w14:textId="77777777" w:rsidR="00B834A2" w:rsidRPr="006B7DC5"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ԽՏԱՑՈՒՄԻՑ ՀԵՏՈ ԽՏՈՒԹՅՈՒՆԸ</w:t>
      </w:r>
    </w:p>
    <w:p w14:paraId="4AD03E9B"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Խտացումից հետո խտությունը փորձարկվող նմուշի՝ աստիճանավորված գլանում կամ անոթում մեխանիկական խտացման միջոցով խտացումից հետո լցման մեծացված խտությունն է:</w:t>
      </w:r>
    </w:p>
    <w:p w14:paraId="31FEA6E3"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Փորձարկվող նմուշի սկզբնական զանգվածը կամ ծավալը չափելուց հետո աստիճանավորված գլանի կամ անոթի պարունակությունը մեխանիկորեն խտացնում են մինչ</w:t>
      </w:r>
      <w:r>
        <w:rPr>
          <w:rFonts w:ascii="Sylfaen" w:hAnsi="Sylfaen"/>
          <w:sz w:val="24"/>
          <w:szCs w:val="24"/>
        </w:rPr>
        <w:t>եւ</w:t>
      </w:r>
      <w:r w:rsidRPr="00B834A2">
        <w:rPr>
          <w:rFonts w:ascii="Sylfaen" w:hAnsi="Sylfaen"/>
          <w:sz w:val="24"/>
          <w:szCs w:val="24"/>
        </w:rPr>
        <w:t xml:space="preserve"> մշտական զանգվածը կամ ծավալն ստանալը: Փորձարկվող նմուշի խտացմանը հասնում են սահմանված բարձրությամբ աստիճանավորված գլանի կամ անոթի մեխանիկական բարձրացմամբ կամ ընկնելով՝ սեփական զանգվածի ծանրության ուժի ազդեցությամբ, ինչպես նկարագրված է երեք մեթոդներից մեկում: Նախընտրելի է օգտագործել սարքվածքներ, որոնք </w:t>
      </w:r>
      <w:r w:rsidRPr="00B834A2">
        <w:rPr>
          <w:rFonts w:ascii="Sylfaen" w:hAnsi="Sylfaen"/>
          <w:sz w:val="24"/>
          <w:szCs w:val="24"/>
        </w:rPr>
        <w:lastRenderedPageBreak/>
        <w:t>փորձարկվող նմուշի խտացման ժամանակ պտտում են աստիճանավորված գլանը կամ անոթը՝ խտացման ժամանակ զանգվածի հնարավոր անջատումը նվազեցնելու համար:</w:t>
      </w:r>
    </w:p>
    <w:p w14:paraId="11551F7F" w14:textId="77777777" w:rsidR="001E21E6" w:rsidRPr="00097504" w:rsidRDefault="001E21E6" w:rsidP="001E21E6">
      <w:pPr>
        <w:pStyle w:val="Bodytext20"/>
        <w:shd w:val="clear" w:color="auto" w:fill="auto"/>
        <w:spacing w:before="0" w:after="160" w:line="360" w:lineRule="auto"/>
        <w:ind w:firstLine="567"/>
        <w:jc w:val="both"/>
        <w:rPr>
          <w:rFonts w:ascii="Sylfaen" w:hAnsi="Sylfaen"/>
          <w:b/>
          <w:sz w:val="24"/>
          <w:szCs w:val="24"/>
        </w:rPr>
      </w:pPr>
    </w:p>
    <w:p w14:paraId="09A5F420"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ՄԵԹՈԴ 1</w:t>
      </w:r>
    </w:p>
    <w:p w14:paraId="3E9330D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Սարքը.</w:t>
      </w:r>
      <w:r w:rsidRPr="00B834A2">
        <w:rPr>
          <w:rFonts w:ascii="Sylfaen" w:hAnsi="Sylfaen"/>
          <w:sz w:val="24"/>
          <w:szCs w:val="24"/>
        </w:rPr>
        <w:t xml:space="preserve"> Սարքը (նկար 2.1.10.3-3) բաղկացած է հետ</w:t>
      </w:r>
      <w:r>
        <w:rPr>
          <w:rFonts w:ascii="Sylfaen" w:hAnsi="Sylfaen"/>
          <w:sz w:val="24"/>
          <w:szCs w:val="24"/>
        </w:rPr>
        <w:t>եւ</w:t>
      </w:r>
      <w:r w:rsidRPr="00B834A2">
        <w:rPr>
          <w:rFonts w:ascii="Sylfaen" w:hAnsi="Sylfaen"/>
          <w:sz w:val="24"/>
          <w:szCs w:val="24"/>
        </w:rPr>
        <w:t>յալ մասերից.</w:t>
      </w:r>
    </w:p>
    <w:p w14:paraId="2FC47674"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sz w:val="24"/>
          <w:szCs w:val="24"/>
        </w:rPr>
        <w:t>աստիճանավորված գլան (տարողությունը 250 մլ՝ 2 մլ բ</w:t>
      </w:r>
      <w:r w:rsidR="00DD273F">
        <w:rPr>
          <w:rFonts w:ascii="Sylfaen" w:hAnsi="Sylfaen"/>
          <w:sz w:val="24"/>
          <w:szCs w:val="24"/>
        </w:rPr>
        <w:t>աժանքի արժեքով, զանգվածը (220±</w:t>
      </w:r>
      <w:r w:rsidRPr="00B834A2">
        <w:rPr>
          <w:rFonts w:ascii="Sylfaen" w:hAnsi="Sylfaen"/>
          <w:sz w:val="24"/>
          <w:szCs w:val="24"/>
        </w:rPr>
        <w:t>44) գ).</w:t>
      </w:r>
    </w:p>
    <w:p w14:paraId="1F010048"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sz w:val="24"/>
          <w:szCs w:val="24"/>
        </w:rPr>
        <w:t>խտացնող սարք (րոպեում</w:t>
      </w:r>
      <w:r w:rsidR="00DD273F">
        <w:rPr>
          <w:rFonts w:ascii="Sylfaen" w:hAnsi="Sylfaen"/>
          <w:sz w:val="24"/>
          <w:szCs w:val="24"/>
        </w:rPr>
        <w:t xml:space="preserve"> (250±15) թափահարումներ՝ (3±</w:t>
      </w:r>
      <w:r w:rsidRPr="00B834A2">
        <w:rPr>
          <w:rFonts w:ascii="Sylfaen" w:hAnsi="Sylfaen"/>
          <w:sz w:val="24"/>
          <w:szCs w:val="24"/>
        </w:rPr>
        <w:t>0,2) մմ բարձրությամբ, կամ րոպեում (300</w:t>
      </w:r>
      <w:r w:rsidRPr="00B834A2">
        <w:rPr>
          <w:rStyle w:val="Bodytext2Spacing1pt"/>
          <w:rFonts w:ascii="Sylfaen" w:hAnsi="Sylfaen"/>
          <w:spacing w:val="0"/>
          <w:sz w:val="24"/>
          <w:szCs w:val="24"/>
        </w:rPr>
        <w:t>±15)</w:t>
      </w:r>
      <w:r w:rsidR="00DD273F">
        <w:rPr>
          <w:rFonts w:ascii="Sylfaen" w:hAnsi="Sylfaen"/>
          <w:sz w:val="24"/>
          <w:szCs w:val="24"/>
        </w:rPr>
        <w:t xml:space="preserve"> թափահարումներ՝ (14±</w:t>
      </w:r>
      <w:r w:rsidRPr="00B834A2">
        <w:rPr>
          <w:rFonts w:ascii="Sylfaen" w:hAnsi="Sylfaen"/>
          <w:sz w:val="24"/>
          <w:szCs w:val="24"/>
        </w:rPr>
        <w:t>2) մմ բարձրությամբ):</w:t>
      </w:r>
    </w:p>
    <w:p w14:paraId="04749038" w14:textId="77777777" w:rsidR="00B834A2" w:rsidRPr="00B834A2" w:rsidRDefault="00B834A2" w:rsidP="001E21E6">
      <w:pPr>
        <w:spacing w:after="160" w:line="360" w:lineRule="auto"/>
        <w:ind w:firstLine="567"/>
        <w:jc w:val="both"/>
      </w:pPr>
      <w:r w:rsidRPr="00B834A2">
        <w:t>Բռնիչով աստիճանավորված գլանի համար տակդիրն ունի</w:t>
      </w:r>
      <w:r w:rsidR="00DD273F">
        <w:t xml:space="preserve"> (450±</w:t>
      </w:r>
      <w:r w:rsidRPr="00B834A2">
        <w:t xml:space="preserve">10) գ զանգված: </w:t>
      </w:r>
      <w:r w:rsidRPr="00B834A2">
        <w:rPr>
          <w:noProof/>
          <w:lang w:val="en-US" w:eastAsia="en-US" w:bidi="ar-SA"/>
        </w:rPr>
        <w:lastRenderedPageBreak/>
        <w:drawing>
          <wp:inline distT="0" distB="0" distL="0" distR="0" wp14:anchorId="441DD2AB" wp14:editId="4727D0B3">
            <wp:extent cx="5760085" cy="4715158"/>
            <wp:effectExtent l="19050" t="0" r="0" b="0"/>
            <wp:docPr id="29" name="Picture 25"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10"/>
                    <pic:cNvPicPr>
                      <a:picLocks noChangeAspect="1" noChangeArrowheads="1"/>
                    </pic:cNvPicPr>
                  </pic:nvPicPr>
                  <pic:blipFill>
                    <a:blip r:embed="rId42" cstate="print"/>
                    <a:srcRect/>
                    <a:stretch>
                      <a:fillRect/>
                    </a:stretch>
                  </pic:blipFill>
                  <pic:spPr bwMode="auto">
                    <a:xfrm>
                      <a:off x="0" y="0"/>
                      <a:ext cx="5760085" cy="4715158"/>
                    </a:xfrm>
                    <a:prstGeom prst="rect">
                      <a:avLst/>
                    </a:prstGeom>
                    <a:noFill/>
                    <a:ln w="9525">
                      <a:noFill/>
                      <a:miter lim="800000"/>
                      <a:headEnd/>
                      <a:tailEnd/>
                    </a:ln>
                  </pic:spPr>
                </pic:pic>
              </a:graphicData>
            </a:graphic>
          </wp:inline>
        </w:drawing>
      </w:r>
    </w:p>
    <w:p w14:paraId="06CD6174" w14:textId="77777777" w:rsidR="00B834A2" w:rsidRPr="001E21E6" w:rsidRDefault="00000000" w:rsidP="001E21E6">
      <w:pPr>
        <w:spacing w:after="160" w:line="360" w:lineRule="auto"/>
        <w:ind w:firstLine="567"/>
        <w:jc w:val="both"/>
        <w:rPr>
          <w:sz w:val="20"/>
        </w:rPr>
      </w:pPr>
      <w:r>
        <w:rPr>
          <w:noProof/>
          <w:lang w:val="en-US" w:eastAsia="en-US" w:bidi="ar-SA"/>
        </w:rPr>
        <w:pict w14:anchorId="5D7E300D">
          <v:group id="_x0000_s1446" style="position:absolute;left:0;text-align:left;margin-left:37.4pt;margin-top:-331.95pt;width:392.75pt;height:301.7pt;z-index:251947008" coordorigin="2166,2522" coordsize="7855,6034">
            <v:rect id="_x0000_s1209" style="position:absolute;left:6133;top:8164;width:1951;height:392" stroked="f">
              <v:textbox style="mso-next-textbox:#_x0000_s1209">
                <w:txbxContent>
                  <w:p w14:paraId="63C1B476" w14:textId="77777777" w:rsidR="008D6E8B" w:rsidRPr="001E21E6" w:rsidRDefault="008D6E8B" w:rsidP="00B834A2">
                    <w:pPr>
                      <w:jc w:val="center"/>
                      <w:rPr>
                        <w:sz w:val="14"/>
                      </w:rPr>
                    </w:pPr>
                    <w:r w:rsidRPr="001E21E6">
                      <w:rPr>
                        <w:sz w:val="16"/>
                      </w:rPr>
                      <w:t>Արտակենտրոնակ</w:t>
                    </w:r>
                  </w:p>
                </w:txbxContent>
              </v:textbox>
            </v:rect>
            <v:group id="_x0000_s1422" style="position:absolute;left:2166;top:2522;width:7855;height:5642" coordorigin="2166,2522" coordsize="7855,5642">
              <v:rect id="_x0000_s1208" style="position:absolute;left:2166;top:6148;width:2016;height:526" stroked="f">
                <v:textbox style="mso-next-textbox:#_x0000_s1208">
                  <w:txbxContent>
                    <w:p w14:paraId="1F2A44C3" w14:textId="77777777" w:rsidR="008D6E8B" w:rsidRPr="001E21E6" w:rsidRDefault="008D6E8B" w:rsidP="00B834A2">
                      <w:pPr>
                        <w:jc w:val="center"/>
                        <w:rPr>
                          <w:sz w:val="20"/>
                        </w:rPr>
                      </w:pPr>
                      <w:r w:rsidRPr="001E21E6">
                        <w:rPr>
                          <w:sz w:val="16"/>
                        </w:rPr>
                        <w:t>Սալիկ</w:t>
                      </w:r>
                    </w:p>
                  </w:txbxContent>
                </v:textbox>
              </v:rect>
              <v:rect id="_x0000_s1210" style="position:absolute;left:7003;top:6486;width:3018;height:1678" stroked="f">
                <v:textbox style="mso-next-textbox:#_x0000_s1210">
                  <w:txbxContent>
                    <w:p w14:paraId="1F4B40B9" w14:textId="77777777" w:rsidR="008D6E8B" w:rsidRPr="00C252C9" w:rsidRDefault="008D6E8B" w:rsidP="00B834A2">
                      <w:pPr>
                        <w:rPr>
                          <w:sz w:val="16"/>
                          <w:szCs w:val="20"/>
                        </w:rPr>
                      </w:pPr>
                      <w:r>
                        <w:rPr>
                          <w:sz w:val="16"/>
                        </w:rPr>
                        <w:t>Տվյալ չափը պետք է ապահովի անկման բարձրությունը, որը բավարարում է մասնագրի պահանջներին, և որի դեպքում արտակենտրոնակի ստորին կետում գլանի բռնիչը ազատ կկանգնի սալիկի վերին մասում</w:t>
                      </w:r>
                    </w:p>
                  </w:txbxContent>
                </v:textbox>
              </v:rect>
              <v:rect id="_x0000_s1218" style="position:absolute;left:2329;top:3417;width:2191;height:465" stroked="f">
                <v:textbox style="mso-next-textbox:#_x0000_s1218">
                  <w:txbxContent>
                    <w:p w14:paraId="5BF9874D" w14:textId="77777777" w:rsidR="008D6E8B" w:rsidRPr="001E21E6" w:rsidRDefault="008D6E8B" w:rsidP="00B834A2">
                      <w:pPr>
                        <w:rPr>
                          <w:sz w:val="20"/>
                        </w:rPr>
                      </w:pPr>
                      <w:r w:rsidRPr="001E21E6">
                        <w:rPr>
                          <w:sz w:val="16"/>
                        </w:rPr>
                        <w:t>Աստիճանավորված գլան</w:t>
                      </w:r>
                    </w:p>
                  </w:txbxContent>
                </v:textbox>
              </v:rect>
              <v:rect id="_x0000_s1219" style="position:absolute;left:2241;top:4395;width:1641;height:409" stroked="f">
                <v:textbox style="mso-next-textbox:#_x0000_s1219">
                  <w:txbxContent>
                    <w:p w14:paraId="3CEDB51A" w14:textId="77777777" w:rsidR="008D6E8B" w:rsidRPr="001E21E6" w:rsidRDefault="008D6E8B" w:rsidP="00B834A2">
                      <w:pPr>
                        <w:jc w:val="center"/>
                        <w:rPr>
                          <w:sz w:val="12"/>
                        </w:rPr>
                      </w:pPr>
                      <w:r w:rsidRPr="001E21E6">
                        <w:rPr>
                          <w:sz w:val="16"/>
                        </w:rPr>
                        <w:t>Գլանի բռնիչ</w:t>
                      </w:r>
                    </w:p>
                  </w:txbxContent>
                </v:textbox>
              </v:rect>
              <v:rect id="_x0000_s1220" style="position:absolute;left:5546;top:2867;width:464;height:2016" stroked="f">
                <v:textbox style="layout-flow:vertical;mso-layout-flow-alt:bottom-to-top;mso-next-textbox:#_x0000_s1220">
                  <w:txbxContent>
                    <w:p w14:paraId="4C8EE4E8" w14:textId="77777777" w:rsidR="008D6E8B" w:rsidRPr="00C252C9" w:rsidRDefault="008D6E8B" w:rsidP="00B834A2">
                      <w:pPr>
                        <w:jc w:val="center"/>
                        <w:rPr>
                          <w:sz w:val="10"/>
                          <w:szCs w:val="20"/>
                        </w:rPr>
                      </w:pPr>
                      <w:r>
                        <w:rPr>
                          <w:sz w:val="10"/>
                        </w:rPr>
                        <w:t>Աստիճանավորում՝ 250 մլ-ի համար</w:t>
                      </w:r>
                    </w:p>
                  </w:txbxContent>
                </v:textbox>
              </v:rect>
              <v:rect id="_x0000_s1221" style="position:absolute;left:6010;top:3155;width:427;height:1340" stroked="f">
                <v:textbox style="layout-flow:vertical;mso-layout-flow-alt:bottom-to-top;mso-next-textbox:#_x0000_s1221">
                  <w:txbxContent>
                    <w:p w14:paraId="44BE30C5" w14:textId="77777777" w:rsidR="008D6E8B" w:rsidRPr="00D0068A" w:rsidRDefault="008D6E8B" w:rsidP="00B834A2">
                      <w:pPr>
                        <w:jc w:val="center"/>
                        <w:rPr>
                          <w:sz w:val="14"/>
                        </w:rPr>
                      </w:pPr>
                      <w:r>
                        <w:rPr>
                          <w:sz w:val="14"/>
                        </w:rPr>
                        <w:t>200 մմ-ից ոչ ավելի</w:t>
                      </w:r>
                    </w:p>
                  </w:txbxContent>
                </v:textbox>
              </v:rect>
              <v:rect id="_x0000_s1222" style="position:absolute;left:6691;top:2703;width:413;height:1266" stroked="f">
                <v:textbox style="layout-flow:vertical;mso-layout-flow-alt:bottom-to-top;mso-next-textbox:#_x0000_s1222">
                  <w:txbxContent>
                    <w:p w14:paraId="73D7D78C" w14:textId="77777777" w:rsidR="008D6E8B" w:rsidRPr="00D0068A" w:rsidRDefault="008D6E8B" w:rsidP="00B834A2">
                      <w:pPr>
                        <w:jc w:val="center"/>
                        <w:rPr>
                          <w:sz w:val="12"/>
                          <w:szCs w:val="16"/>
                        </w:rPr>
                      </w:pPr>
                      <w:r>
                        <w:rPr>
                          <w:sz w:val="12"/>
                        </w:rPr>
                        <w:t>335 մմ-ից ոչ ավելի</w:t>
                      </w:r>
                    </w:p>
                  </w:txbxContent>
                </v:textbox>
              </v:rect>
              <v:rect id="_x0000_s1223" style="position:absolute;left:7839;top:5323;width:476;height:1026" stroked="f">
                <v:textbox style="layout-flow:vertical;mso-layout-flow-alt:bottom-to-top;mso-next-textbox:#_x0000_s1223">
                  <w:txbxContent>
                    <w:p w14:paraId="39C50B02" w14:textId="77777777" w:rsidR="008D6E8B" w:rsidRPr="00D0068A" w:rsidRDefault="008D6E8B" w:rsidP="00B834A2">
                      <w:pPr>
                        <w:rPr>
                          <w:sz w:val="14"/>
                        </w:rPr>
                      </w:pPr>
                      <w:r>
                        <w:rPr>
                          <w:sz w:val="14"/>
                        </w:rPr>
                        <w:t>3 մմ ± 0,2 մմ</w:t>
                      </w:r>
                    </w:p>
                  </w:txbxContent>
                </v:textbox>
              </v:rect>
              <v:rect id="_x0000_s1224" style="position:absolute;left:6361;top:2522;width:424;height:1873" stroked="f">
                <v:textbox style="layout-flow:vertical;mso-layout-flow-alt:bottom-to-top;mso-next-textbox:#_x0000_s1224">
                  <w:txbxContent>
                    <w:p w14:paraId="6E088A56" w14:textId="77777777" w:rsidR="008D6E8B" w:rsidRPr="001E21E6" w:rsidRDefault="008D6E8B" w:rsidP="00B834A2">
                      <w:pPr>
                        <w:rPr>
                          <w:sz w:val="8"/>
                          <w:szCs w:val="16"/>
                        </w:rPr>
                      </w:pPr>
                      <w:r w:rsidRPr="001E21E6">
                        <w:rPr>
                          <w:sz w:val="8"/>
                        </w:rPr>
                        <w:t>Ընդհանուր բարձրությունը</w:t>
                      </w:r>
                    </w:p>
                  </w:txbxContent>
                </v:textbox>
              </v:rect>
            </v:group>
          </v:group>
        </w:pict>
      </w:r>
      <w:r w:rsidR="00B834A2" w:rsidRPr="00E97ADA">
        <w:rPr>
          <w:rStyle w:val="Bodytext53NotItalic"/>
          <w:rFonts w:ascii="Sylfaen" w:eastAsia="Tahoma" w:hAnsi="Sylfaen"/>
          <w:szCs w:val="24"/>
        </w:rPr>
        <w:t>Նկար 2.1.10.3-3</w:t>
      </w:r>
      <w:r w:rsidR="00B834A2" w:rsidRPr="00C96025">
        <w:rPr>
          <w:rStyle w:val="Bodytext53NotItalic"/>
          <w:rFonts w:ascii="Sylfaen" w:eastAsia="Tahoma" w:hAnsi="Sylfaen"/>
          <w:szCs w:val="24"/>
        </w:rPr>
        <w:t xml:space="preserve"> </w:t>
      </w:r>
      <w:r w:rsidR="009217DE">
        <w:rPr>
          <w:rStyle w:val="Bodytext53NotItalic"/>
          <w:rFonts w:ascii="Sylfaen" w:eastAsia="Tahoma" w:hAnsi="Sylfaen"/>
          <w:szCs w:val="24"/>
        </w:rPr>
        <w:t>-</w:t>
      </w:r>
      <w:r w:rsidR="00B834A2" w:rsidRPr="001E21E6">
        <w:rPr>
          <w:rStyle w:val="Bodytext53NotItalic"/>
          <w:rFonts w:ascii="Sylfaen" w:eastAsia="Tahoma" w:hAnsi="Sylfaen"/>
          <w:szCs w:val="24"/>
        </w:rPr>
        <w:t xml:space="preserve"> </w:t>
      </w:r>
      <w:r w:rsidR="00B834A2" w:rsidRPr="001E21E6">
        <w:rPr>
          <w:rStyle w:val="Bodytext530"/>
          <w:rFonts w:ascii="Sylfaen" w:eastAsia="Tahoma" w:hAnsi="Sylfaen"/>
          <w:szCs w:val="24"/>
        </w:rPr>
        <w:t>Փորձարկվող նմուշի համար խտացնող սարքվածքը: Չափերը նշված են միլիմետրերով</w:t>
      </w:r>
    </w:p>
    <w:p w14:paraId="10205FF5" w14:textId="77777777" w:rsidR="001E21E6" w:rsidRPr="00097504" w:rsidRDefault="001E21E6" w:rsidP="00B834A2">
      <w:pPr>
        <w:pStyle w:val="Bodytext20"/>
        <w:shd w:val="clear" w:color="auto" w:fill="auto"/>
        <w:spacing w:before="0" w:after="160" w:line="360" w:lineRule="auto"/>
        <w:ind w:firstLine="567"/>
        <w:rPr>
          <w:rFonts w:ascii="Sylfaen" w:hAnsi="Sylfaen"/>
          <w:b/>
          <w:sz w:val="24"/>
          <w:szCs w:val="24"/>
        </w:rPr>
      </w:pPr>
    </w:p>
    <w:p w14:paraId="450DF20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Որոշում են չխտացված փորձարկվող նմուշի ծավալը՝ </w:t>
      </w:r>
      <w:r w:rsidRPr="00B834A2">
        <w:rPr>
          <w:rFonts w:ascii="Sylfaen" w:hAnsi="Sylfaen"/>
          <w:i/>
          <w:sz w:val="24"/>
          <w:szCs w:val="24"/>
        </w:rPr>
        <w:t xml:space="preserve">Չափում </w:t>
      </w:r>
      <w:r w:rsidRPr="00DD273F">
        <w:rPr>
          <w:rFonts w:ascii="Sylfaen" w:hAnsi="Sylfaen"/>
          <w:i/>
          <w:spacing w:val="4"/>
          <w:sz w:val="24"/>
          <w:szCs w:val="24"/>
        </w:rPr>
        <w:t>աստիճանավորված գլանում</w:t>
      </w:r>
      <w:r w:rsidRPr="00DD273F">
        <w:rPr>
          <w:rFonts w:ascii="Sylfaen" w:hAnsi="Sylfaen"/>
          <w:spacing w:val="4"/>
          <w:sz w:val="24"/>
          <w:szCs w:val="24"/>
        </w:rPr>
        <w:t xml:space="preserve"> 1-ին մեթոդով: Աստիճանավորված գլանն ամրացնում են</w:t>
      </w:r>
      <w:r w:rsidRPr="00B834A2">
        <w:rPr>
          <w:rFonts w:ascii="Sylfaen" w:hAnsi="Sylfaen"/>
          <w:sz w:val="24"/>
          <w:szCs w:val="24"/>
        </w:rPr>
        <w:t xml:space="preserve"> բռնիչի մեջ: Փոշու մի</w:t>
      </w:r>
      <w:r>
        <w:rPr>
          <w:rFonts w:ascii="Sylfaen" w:hAnsi="Sylfaen"/>
          <w:sz w:val="24"/>
          <w:szCs w:val="24"/>
        </w:rPr>
        <w:t>եւ</w:t>
      </w:r>
      <w:r w:rsidRPr="00B834A2">
        <w:rPr>
          <w:rFonts w:ascii="Sylfaen" w:hAnsi="Sylfaen"/>
          <w:sz w:val="24"/>
          <w:szCs w:val="24"/>
        </w:rPr>
        <w:t xml:space="preserve">նույն նմուշով կատարում են 10, 500 </w:t>
      </w:r>
      <w:r>
        <w:rPr>
          <w:rFonts w:ascii="Sylfaen" w:hAnsi="Sylfaen"/>
          <w:sz w:val="24"/>
          <w:szCs w:val="24"/>
        </w:rPr>
        <w:t>եւ</w:t>
      </w:r>
      <w:r w:rsidRPr="00B834A2">
        <w:rPr>
          <w:rFonts w:ascii="Sylfaen" w:hAnsi="Sylfaen"/>
          <w:sz w:val="24"/>
          <w:szCs w:val="24"/>
        </w:rPr>
        <w:t xml:space="preserve"> 1250 թափահարումներ </w:t>
      </w:r>
      <w:r>
        <w:rPr>
          <w:rFonts w:ascii="Sylfaen" w:hAnsi="Sylfaen"/>
          <w:sz w:val="24"/>
          <w:szCs w:val="24"/>
        </w:rPr>
        <w:t>եւ</w:t>
      </w:r>
      <w:r w:rsidRPr="00B834A2">
        <w:rPr>
          <w:rFonts w:ascii="Sylfaen" w:hAnsi="Sylfaen"/>
          <w:sz w:val="24"/>
          <w:szCs w:val="24"/>
        </w:rPr>
        <w:t xml:space="preserve"> չափում են համապատասխան </w:t>
      </w:r>
      <w:r w:rsidRPr="00B834A2">
        <w:rPr>
          <w:rStyle w:val="Bodytext2Italic"/>
          <w:sz w:val="24"/>
          <w:szCs w:val="24"/>
        </w:rPr>
        <w:t>V</w:t>
      </w:r>
      <w:r w:rsidRPr="00B834A2">
        <w:rPr>
          <w:rFonts w:ascii="Sylfaen" w:hAnsi="Sylfaen"/>
          <w:sz w:val="24"/>
          <w:szCs w:val="24"/>
          <w:vertAlign w:val="subscript"/>
        </w:rPr>
        <w:t>10</w:t>
      </w:r>
      <w:r w:rsidRPr="00B834A2">
        <w:rPr>
          <w:rStyle w:val="Bodytext275pt"/>
          <w:spacing w:val="0"/>
          <w:sz w:val="24"/>
          <w:szCs w:val="24"/>
        </w:rPr>
        <w:t xml:space="preserve">, </w:t>
      </w:r>
      <w:r w:rsidRPr="00B834A2">
        <w:rPr>
          <w:rStyle w:val="Bodytext2Italic"/>
          <w:sz w:val="24"/>
          <w:szCs w:val="24"/>
        </w:rPr>
        <w:t>V</w:t>
      </w:r>
      <w:r w:rsidRPr="00B834A2">
        <w:rPr>
          <w:rStyle w:val="Bodytext2Italic"/>
          <w:sz w:val="24"/>
          <w:szCs w:val="24"/>
          <w:vertAlign w:val="subscript"/>
        </w:rPr>
        <w:t>50</w:t>
      </w:r>
      <w:r w:rsidRPr="00B834A2">
        <w:rPr>
          <w:rFonts w:ascii="Sylfaen" w:hAnsi="Sylfaen"/>
          <w:sz w:val="24"/>
          <w:szCs w:val="24"/>
          <w:vertAlign w:val="subscript"/>
        </w:rPr>
        <w:t>0</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Style w:val="Bodytext2Italic"/>
          <w:sz w:val="24"/>
          <w:szCs w:val="24"/>
        </w:rPr>
        <w:t>V</w:t>
      </w:r>
      <w:r w:rsidRPr="00B834A2">
        <w:rPr>
          <w:rFonts w:ascii="Sylfaen" w:hAnsi="Sylfaen"/>
          <w:sz w:val="24"/>
          <w:szCs w:val="24"/>
          <w:vertAlign w:val="subscript"/>
        </w:rPr>
        <w:t>1250</w:t>
      </w:r>
      <w:r w:rsidRPr="00B834A2">
        <w:rPr>
          <w:rFonts w:ascii="Sylfaen" w:hAnsi="Sylfaen"/>
          <w:sz w:val="24"/>
          <w:szCs w:val="24"/>
        </w:rPr>
        <w:t xml:space="preserve"> ծավալները:</w:t>
      </w:r>
      <w:r w:rsidRPr="00B834A2">
        <w:rPr>
          <w:rFonts w:ascii="Sylfaen" w:hAnsi="Sylfaen"/>
          <w:sz w:val="24"/>
          <w:szCs w:val="24"/>
          <w:vertAlign w:val="subscript"/>
        </w:rPr>
        <w:t xml:space="preserve"> </w:t>
      </w:r>
      <w:r w:rsidRPr="00B834A2">
        <w:rPr>
          <w:rFonts w:ascii="Sylfaen" w:hAnsi="Sylfaen"/>
          <w:sz w:val="24"/>
          <w:szCs w:val="24"/>
        </w:rPr>
        <w:t xml:space="preserve">Եթե </w:t>
      </w:r>
      <w:r w:rsidRPr="00B834A2">
        <w:rPr>
          <w:rStyle w:val="Bodytext2Italic"/>
          <w:sz w:val="24"/>
          <w:szCs w:val="24"/>
        </w:rPr>
        <w:t>V</w:t>
      </w:r>
      <w:r w:rsidRPr="00B834A2">
        <w:rPr>
          <w:rStyle w:val="Bodytext2Italic"/>
          <w:sz w:val="24"/>
          <w:szCs w:val="24"/>
          <w:vertAlign w:val="subscript"/>
        </w:rPr>
        <w:t>50</w:t>
      </w:r>
      <w:r w:rsidRPr="00B834A2">
        <w:rPr>
          <w:rFonts w:ascii="Sylfaen" w:hAnsi="Sylfaen"/>
          <w:sz w:val="24"/>
          <w:szCs w:val="24"/>
          <w:vertAlign w:val="subscript"/>
        </w:rPr>
        <w:t>0</w:t>
      </w:r>
      <w:r w:rsidRPr="00B834A2">
        <w:rPr>
          <w:rFonts w:ascii="Sylfaen" w:hAnsi="Sylfaen"/>
          <w:sz w:val="24"/>
          <w:szCs w:val="24"/>
        </w:rPr>
        <w:t xml:space="preserve">-ի </w:t>
      </w:r>
      <w:r>
        <w:rPr>
          <w:rFonts w:ascii="Sylfaen" w:hAnsi="Sylfaen"/>
          <w:sz w:val="24"/>
          <w:szCs w:val="24"/>
        </w:rPr>
        <w:t>եւ</w:t>
      </w:r>
      <w:r w:rsidRPr="00B834A2">
        <w:rPr>
          <w:rFonts w:ascii="Sylfaen" w:hAnsi="Sylfaen"/>
          <w:sz w:val="24"/>
          <w:szCs w:val="24"/>
        </w:rPr>
        <w:t xml:space="preserve"> </w:t>
      </w:r>
      <w:r w:rsidRPr="00B834A2">
        <w:rPr>
          <w:rStyle w:val="Bodytext2Italic"/>
          <w:sz w:val="24"/>
          <w:szCs w:val="24"/>
        </w:rPr>
        <w:t>V</w:t>
      </w:r>
      <w:r w:rsidRPr="00B834A2">
        <w:rPr>
          <w:rFonts w:ascii="Sylfaen" w:hAnsi="Sylfaen"/>
          <w:sz w:val="24"/>
          <w:szCs w:val="24"/>
          <w:vertAlign w:val="subscript"/>
        </w:rPr>
        <w:t>1250</w:t>
      </w:r>
      <w:r w:rsidRPr="00B834A2">
        <w:rPr>
          <w:rFonts w:ascii="Sylfaen" w:hAnsi="Sylfaen"/>
          <w:sz w:val="24"/>
          <w:szCs w:val="24"/>
        </w:rPr>
        <w:t>-ի միջ</w:t>
      </w:r>
      <w:r>
        <w:rPr>
          <w:rFonts w:ascii="Sylfaen" w:hAnsi="Sylfaen"/>
          <w:sz w:val="24"/>
          <w:szCs w:val="24"/>
        </w:rPr>
        <w:t>եւ</w:t>
      </w:r>
      <w:r w:rsidRPr="00B834A2">
        <w:rPr>
          <w:rFonts w:ascii="Sylfaen" w:hAnsi="Sylfaen"/>
          <w:sz w:val="24"/>
          <w:szCs w:val="24"/>
        </w:rPr>
        <w:t xml:space="preserve"> տարբերությունը կազմում է 2 մլ-ից ոչ ավելի, ապա որպես խտացումից հետո ծավալ ընդունում են </w:t>
      </w:r>
      <w:r w:rsidRPr="00B834A2">
        <w:rPr>
          <w:rStyle w:val="Bodytext2Italic"/>
          <w:sz w:val="24"/>
          <w:szCs w:val="24"/>
        </w:rPr>
        <w:t>V</w:t>
      </w:r>
      <w:r w:rsidRPr="00B834A2">
        <w:rPr>
          <w:rFonts w:ascii="Sylfaen" w:hAnsi="Sylfaen"/>
          <w:sz w:val="24"/>
          <w:szCs w:val="24"/>
          <w:vertAlign w:val="subscript"/>
        </w:rPr>
        <w:t>125</w:t>
      </w:r>
      <w:r w:rsidRPr="00B834A2">
        <w:rPr>
          <w:rFonts w:ascii="Sylfaen" w:hAnsi="Sylfaen"/>
          <w:sz w:val="24"/>
          <w:szCs w:val="24"/>
        </w:rPr>
        <w:t xml:space="preserve">-ը: Եթե </w:t>
      </w:r>
      <w:r w:rsidRPr="00B834A2">
        <w:rPr>
          <w:rStyle w:val="Bodytext29pt"/>
          <w:sz w:val="24"/>
          <w:szCs w:val="24"/>
        </w:rPr>
        <w:t>V</w:t>
      </w:r>
      <w:r w:rsidRPr="00B834A2">
        <w:rPr>
          <w:rStyle w:val="Bodytext275pt"/>
          <w:spacing w:val="0"/>
          <w:sz w:val="24"/>
          <w:szCs w:val="24"/>
          <w:vertAlign w:val="subscript"/>
        </w:rPr>
        <w:t>500</w:t>
      </w:r>
      <w:r w:rsidRPr="00B834A2">
        <w:rPr>
          <w:rStyle w:val="Bodytext275pt"/>
          <w:spacing w:val="0"/>
          <w:sz w:val="24"/>
          <w:szCs w:val="24"/>
        </w:rPr>
        <w:t xml:space="preserve">-ի </w:t>
      </w:r>
      <w:r>
        <w:rPr>
          <w:rStyle w:val="Bodytext275pt"/>
          <w:spacing w:val="0"/>
          <w:sz w:val="24"/>
          <w:szCs w:val="24"/>
        </w:rPr>
        <w:t>եւ</w:t>
      </w:r>
      <w:r w:rsidRPr="00B834A2">
        <w:rPr>
          <w:rStyle w:val="Bodytext275pt"/>
          <w:spacing w:val="0"/>
          <w:sz w:val="24"/>
          <w:szCs w:val="24"/>
        </w:rPr>
        <w:t xml:space="preserve"> V</w:t>
      </w:r>
      <w:r w:rsidRPr="00B834A2">
        <w:rPr>
          <w:rStyle w:val="Bodytext2Italic"/>
          <w:sz w:val="24"/>
          <w:szCs w:val="24"/>
          <w:vertAlign w:val="subscript"/>
        </w:rPr>
        <w:t>1250</w:t>
      </w:r>
      <w:r w:rsidRPr="00B834A2">
        <w:rPr>
          <w:rFonts w:ascii="Sylfaen" w:hAnsi="Sylfaen"/>
          <w:sz w:val="24"/>
          <w:szCs w:val="24"/>
        </w:rPr>
        <w:t>-ի միջ</w:t>
      </w:r>
      <w:r>
        <w:rPr>
          <w:rFonts w:ascii="Sylfaen" w:hAnsi="Sylfaen"/>
          <w:sz w:val="24"/>
          <w:szCs w:val="24"/>
        </w:rPr>
        <w:t>եւ</w:t>
      </w:r>
      <w:r w:rsidRPr="00B834A2">
        <w:rPr>
          <w:rFonts w:ascii="Sylfaen" w:hAnsi="Sylfaen"/>
          <w:sz w:val="24"/>
          <w:szCs w:val="24"/>
        </w:rPr>
        <w:t xml:space="preserve"> տարբերությունը կազմում է 2 մլ-ից ավելի, փորձարկվող նմուշը լրացուցիչ թափահարում են, օրինակ՝ 1250 թափահարումների քանակով՝ մինչ</w:t>
      </w:r>
      <w:r>
        <w:rPr>
          <w:rFonts w:ascii="Sylfaen" w:hAnsi="Sylfaen"/>
          <w:sz w:val="24"/>
          <w:szCs w:val="24"/>
        </w:rPr>
        <w:t>եւ</w:t>
      </w:r>
      <w:r w:rsidRPr="00B834A2">
        <w:rPr>
          <w:rFonts w:ascii="Sylfaen" w:hAnsi="Sylfaen"/>
          <w:sz w:val="24"/>
          <w:szCs w:val="24"/>
        </w:rPr>
        <w:t xml:space="preserve"> ծավալի հաջորդական չափումների միջ</w:t>
      </w:r>
      <w:r>
        <w:rPr>
          <w:rFonts w:ascii="Sylfaen" w:hAnsi="Sylfaen"/>
          <w:sz w:val="24"/>
          <w:szCs w:val="24"/>
        </w:rPr>
        <w:t>եւ</w:t>
      </w:r>
      <w:r w:rsidRPr="00B834A2">
        <w:rPr>
          <w:rFonts w:ascii="Sylfaen" w:hAnsi="Sylfaen"/>
          <w:sz w:val="24"/>
          <w:szCs w:val="24"/>
        </w:rPr>
        <w:t xml:space="preserve"> տարբերությունը 2 մլ-ից ոչ ավելիին հասնելը: Որոշ փորձարկվող նմուշի համար թույլատրվում է նվազ քանակությամբ </w:t>
      </w:r>
      <w:r w:rsidRPr="00B834A2">
        <w:rPr>
          <w:rFonts w:ascii="Sylfaen" w:hAnsi="Sylfaen"/>
          <w:sz w:val="24"/>
          <w:szCs w:val="24"/>
        </w:rPr>
        <w:lastRenderedPageBreak/>
        <w:t>թափահարումների մեթոդիկան՝ դրա համապատասխան վալիդացման դեպքում: Խտացումից հետո խտությունը՝ գրամ միլիլիտրով (գ/մլ),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430BB177"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r w:rsidRPr="00B834A2">
        <w:rPr>
          <w:rStyle w:val="Bodytext2Italic"/>
          <w:sz w:val="24"/>
          <w:szCs w:val="24"/>
        </w:rPr>
        <w:t>m/V</w:t>
      </w:r>
      <w:r w:rsidRPr="00B834A2">
        <w:rPr>
          <w:rStyle w:val="Bodytext275pt"/>
          <w:spacing w:val="0"/>
          <w:sz w:val="24"/>
          <w:szCs w:val="24"/>
          <w:vertAlign w:val="subscript"/>
        </w:rPr>
        <w:t>f</w:t>
      </w:r>
      <w:r w:rsidRPr="00B834A2">
        <w:rPr>
          <w:rStyle w:val="Bodytext275pt"/>
          <w:spacing w:val="0"/>
          <w:sz w:val="24"/>
          <w:szCs w:val="24"/>
        </w:rPr>
        <w:t>,</w:t>
      </w:r>
    </w:p>
    <w:p w14:paraId="32A40CC8" w14:textId="77777777" w:rsidR="00B834A2" w:rsidRPr="00B834A2"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որտեղ՝ </w:t>
      </w:r>
    </w:p>
    <w:p w14:paraId="5A8B135F"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V</w:t>
      </w:r>
      <w:r w:rsidRPr="00B834A2">
        <w:rPr>
          <w:rFonts w:ascii="Sylfaen" w:hAnsi="Sylfaen"/>
          <w:sz w:val="24"/>
          <w:szCs w:val="24"/>
          <w:vertAlign w:val="subscript"/>
        </w:rPr>
        <w:t>f</w:t>
      </w:r>
      <w:r w:rsidRPr="00B834A2">
        <w:rPr>
          <w:rFonts w:ascii="Sylfaen" w:hAnsi="Sylfaen"/>
          <w:sz w:val="24"/>
          <w:szCs w:val="24"/>
        </w:rPr>
        <w:t xml:space="preserve">-ը խտացումից հետո փորձարկվող նմուշի վերջնական լցման ծավալն է՝ միլիլիտրերով. </w:t>
      </w:r>
    </w:p>
    <w:p w14:paraId="2472FEA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m</w:t>
      </w:r>
      <w:r w:rsidRPr="00B834A2">
        <w:rPr>
          <w:rFonts w:ascii="Sylfaen" w:hAnsi="Sylfaen"/>
          <w:sz w:val="24"/>
          <w:szCs w:val="24"/>
        </w:rPr>
        <w:t>-ը՝ փորձարկվող նմուշի զանգվածը՝ գրամներով:</w:t>
      </w:r>
    </w:p>
    <w:p w14:paraId="6A9F152B"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Խտացումից հետո խտությունը հաշվարկելու համար պահանջվող որոշումները սովորաբար կրկնում են: Բարձրությունը, որից կատարել են թափահարումը, նշում են փորձարկման արդյունքներում:</w:t>
      </w:r>
    </w:p>
    <w:p w14:paraId="73FBF2AD" w14:textId="77777777" w:rsidR="00B834A2" w:rsidRPr="00B834A2" w:rsidRDefault="00B834A2" w:rsidP="001E21E6">
      <w:pPr>
        <w:pStyle w:val="Bodytext20"/>
        <w:shd w:val="clear" w:color="auto" w:fill="auto"/>
        <w:tabs>
          <w:tab w:val="left" w:pos="2970"/>
        </w:tabs>
        <w:spacing w:before="0" w:after="160" w:line="360" w:lineRule="auto"/>
        <w:ind w:firstLine="567"/>
        <w:jc w:val="both"/>
        <w:rPr>
          <w:rFonts w:ascii="Sylfaen" w:hAnsi="Sylfaen" w:cs="Sylfaen"/>
          <w:sz w:val="24"/>
          <w:szCs w:val="24"/>
        </w:rPr>
      </w:pPr>
      <w:r w:rsidRPr="00B834A2">
        <w:rPr>
          <w:rFonts w:ascii="Sylfaen" w:hAnsi="Sylfaen"/>
          <w:sz w:val="24"/>
          <w:szCs w:val="24"/>
        </w:rPr>
        <w:t xml:space="preserve">100 գ զանգվածով փորձարկվող նմուշի հետ փորձարկում անցկացնելու հնարավորության բացակայության դեպքում օգտագործում են դրա ավելի քիչ քանակություն </w:t>
      </w:r>
      <w:r>
        <w:rPr>
          <w:rFonts w:ascii="Sylfaen" w:hAnsi="Sylfaen"/>
          <w:sz w:val="24"/>
          <w:szCs w:val="24"/>
        </w:rPr>
        <w:t>եւ</w:t>
      </w:r>
      <w:r w:rsidRPr="00B834A2">
        <w:rPr>
          <w:rFonts w:ascii="Sylfaen" w:hAnsi="Sylfaen"/>
          <w:sz w:val="24"/>
          <w:szCs w:val="24"/>
        </w:rPr>
        <w:t xml:space="preserve"> 100 մլ տարողությամբ հարմար աստիճանավորված գլան (բաժանքի արժեքը 1 մլ, զանգվածը (130 </w:t>
      </w:r>
      <w:r w:rsidRPr="00B834A2">
        <w:rPr>
          <w:rStyle w:val="Bodytext2Spacing1pt"/>
          <w:rFonts w:ascii="Sylfaen" w:hAnsi="Sylfaen"/>
          <w:spacing w:val="0"/>
          <w:sz w:val="24"/>
          <w:szCs w:val="24"/>
        </w:rPr>
        <w:t>±16)</w:t>
      </w:r>
      <w:r w:rsidRPr="00B834A2">
        <w:rPr>
          <w:rFonts w:ascii="Sylfaen" w:hAnsi="Sylfaen"/>
          <w:sz w:val="24"/>
          <w:szCs w:val="24"/>
        </w:rPr>
        <w:t xml:space="preserve"> գ), որը տեղադրված է բռնիչի վրա (զանգվածը (240 </w:t>
      </w:r>
      <w:r w:rsidRPr="00B834A2">
        <w:rPr>
          <w:rStyle w:val="Bodytext2Spacing1pt"/>
          <w:rFonts w:ascii="Sylfaen" w:hAnsi="Sylfaen"/>
          <w:spacing w:val="0"/>
          <w:sz w:val="24"/>
          <w:szCs w:val="24"/>
        </w:rPr>
        <w:t>±12)</w:t>
      </w:r>
      <w:r w:rsidRPr="00B834A2">
        <w:rPr>
          <w:rFonts w:ascii="Sylfaen" w:hAnsi="Sylfaen"/>
          <w:sz w:val="24"/>
          <w:szCs w:val="24"/>
        </w:rPr>
        <w:t xml:space="preserve"> գ): Փոփոխված պայմանները նշում են փորձարկման արդյունքներում: Փորձարկվող մի</w:t>
      </w:r>
      <w:r>
        <w:rPr>
          <w:rFonts w:ascii="Sylfaen" w:hAnsi="Sylfaen"/>
          <w:sz w:val="24"/>
          <w:szCs w:val="24"/>
        </w:rPr>
        <w:t>եւ</w:t>
      </w:r>
      <w:r w:rsidRPr="00B834A2">
        <w:rPr>
          <w:rFonts w:ascii="Sylfaen" w:hAnsi="Sylfaen"/>
          <w:sz w:val="24"/>
          <w:szCs w:val="24"/>
        </w:rPr>
        <w:t xml:space="preserve">նույն նմուշով անցկացնում են 10, 500 </w:t>
      </w:r>
      <w:r>
        <w:rPr>
          <w:rFonts w:ascii="Sylfaen" w:hAnsi="Sylfaen"/>
          <w:sz w:val="24"/>
          <w:szCs w:val="24"/>
        </w:rPr>
        <w:t>եւ</w:t>
      </w:r>
      <w:r w:rsidRPr="00B834A2">
        <w:rPr>
          <w:rFonts w:ascii="Sylfaen" w:hAnsi="Sylfaen"/>
          <w:sz w:val="24"/>
          <w:szCs w:val="24"/>
        </w:rPr>
        <w:t xml:space="preserve"> 1250 թափահարումներ </w:t>
      </w:r>
      <w:r>
        <w:rPr>
          <w:rFonts w:ascii="Sylfaen" w:hAnsi="Sylfaen"/>
          <w:sz w:val="24"/>
          <w:szCs w:val="24"/>
        </w:rPr>
        <w:t>եւ</w:t>
      </w:r>
      <w:r w:rsidRPr="00B834A2">
        <w:rPr>
          <w:rFonts w:ascii="Sylfaen" w:hAnsi="Sylfaen"/>
          <w:sz w:val="24"/>
          <w:szCs w:val="24"/>
        </w:rPr>
        <w:t xml:space="preserve"> չափում են համապատասխան </w:t>
      </w:r>
      <w:r w:rsidRPr="00B834A2">
        <w:rPr>
          <w:rStyle w:val="Bodytext2Italic"/>
          <w:sz w:val="24"/>
          <w:szCs w:val="24"/>
        </w:rPr>
        <w:t>V</w:t>
      </w:r>
      <w:r w:rsidRPr="00B834A2">
        <w:rPr>
          <w:rFonts w:ascii="Sylfaen" w:hAnsi="Sylfaen"/>
          <w:sz w:val="24"/>
          <w:szCs w:val="24"/>
          <w:vertAlign w:val="subscript"/>
        </w:rPr>
        <w:t>10</w:t>
      </w:r>
      <w:r w:rsidRPr="00B834A2">
        <w:rPr>
          <w:rFonts w:ascii="Sylfaen" w:hAnsi="Sylfaen"/>
          <w:sz w:val="24"/>
          <w:szCs w:val="24"/>
        </w:rPr>
        <w:t xml:space="preserve">, </w:t>
      </w:r>
      <w:r w:rsidRPr="00B834A2">
        <w:rPr>
          <w:rStyle w:val="Bodytext2Italic"/>
          <w:sz w:val="24"/>
          <w:szCs w:val="24"/>
        </w:rPr>
        <w:t>V</w:t>
      </w:r>
      <w:r w:rsidRPr="00B834A2">
        <w:rPr>
          <w:rStyle w:val="Bodytext2Italic"/>
          <w:sz w:val="24"/>
          <w:szCs w:val="24"/>
          <w:vertAlign w:val="subscript"/>
        </w:rPr>
        <w:t>50</w:t>
      </w:r>
      <w:r w:rsidRPr="00B834A2">
        <w:rPr>
          <w:rFonts w:ascii="Sylfaen" w:hAnsi="Sylfaen"/>
          <w:sz w:val="24"/>
          <w:szCs w:val="24"/>
          <w:vertAlign w:val="subscript"/>
        </w:rPr>
        <w:t>0</w:t>
      </w:r>
      <w:r w:rsidRPr="00B834A2">
        <w:rPr>
          <w:rFonts w:ascii="Sylfaen" w:hAnsi="Sylfaen"/>
          <w:sz w:val="24"/>
          <w:szCs w:val="24"/>
        </w:rPr>
        <w:t xml:space="preserve">, </w:t>
      </w:r>
      <w:r w:rsidRPr="00B834A2">
        <w:rPr>
          <w:rStyle w:val="Bodytext2Italic"/>
          <w:sz w:val="24"/>
          <w:szCs w:val="24"/>
        </w:rPr>
        <w:t>V</w:t>
      </w:r>
      <w:r w:rsidRPr="00B834A2">
        <w:rPr>
          <w:rFonts w:ascii="Sylfaen" w:hAnsi="Sylfaen"/>
          <w:sz w:val="24"/>
          <w:szCs w:val="24"/>
          <w:vertAlign w:val="subscript"/>
        </w:rPr>
        <w:t>1250</w:t>
      </w:r>
      <w:r w:rsidRPr="00B834A2">
        <w:rPr>
          <w:rFonts w:ascii="Sylfaen" w:hAnsi="Sylfaen"/>
          <w:sz w:val="24"/>
          <w:szCs w:val="24"/>
        </w:rPr>
        <w:t xml:space="preserve"> ծավալները: Եթե V</w:t>
      </w:r>
      <w:r w:rsidRPr="00B834A2">
        <w:rPr>
          <w:rFonts w:ascii="Sylfaen" w:hAnsi="Sylfaen"/>
          <w:sz w:val="24"/>
          <w:szCs w:val="24"/>
          <w:vertAlign w:val="subscript"/>
        </w:rPr>
        <w:t>500</w:t>
      </w:r>
      <w:r w:rsidRPr="00B834A2">
        <w:rPr>
          <w:rFonts w:ascii="Sylfaen" w:hAnsi="Sylfaen"/>
          <w:sz w:val="24"/>
          <w:szCs w:val="24"/>
        </w:rPr>
        <w:t xml:space="preserve">-ի </w:t>
      </w:r>
      <w:r>
        <w:rPr>
          <w:rFonts w:ascii="Sylfaen" w:hAnsi="Sylfaen"/>
          <w:sz w:val="24"/>
          <w:szCs w:val="24"/>
        </w:rPr>
        <w:t>եւ</w:t>
      </w:r>
      <w:r w:rsidRPr="00B834A2">
        <w:rPr>
          <w:rFonts w:ascii="Sylfaen" w:hAnsi="Sylfaen"/>
          <w:sz w:val="24"/>
          <w:szCs w:val="24"/>
        </w:rPr>
        <w:t xml:space="preserve"> V</w:t>
      </w:r>
      <w:r w:rsidRPr="00B834A2">
        <w:rPr>
          <w:rFonts w:ascii="Sylfaen" w:hAnsi="Sylfaen"/>
          <w:sz w:val="24"/>
          <w:szCs w:val="24"/>
          <w:vertAlign w:val="subscript"/>
        </w:rPr>
        <w:t>1250</w:t>
      </w:r>
      <w:r w:rsidRPr="00B834A2">
        <w:rPr>
          <w:rFonts w:ascii="Sylfaen" w:hAnsi="Sylfaen"/>
          <w:sz w:val="24"/>
          <w:szCs w:val="24"/>
        </w:rPr>
        <w:t>-ի միջ</w:t>
      </w:r>
      <w:r>
        <w:rPr>
          <w:rFonts w:ascii="Sylfaen" w:hAnsi="Sylfaen"/>
          <w:sz w:val="24"/>
          <w:szCs w:val="24"/>
        </w:rPr>
        <w:t>եւ</w:t>
      </w:r>
      <w:r w:rsidRPr="00B834A2">
        <w:rPr>
          <w:rFonts w:ascii="Sylfaen" w:hAnsi="Sylfaen"/>
          <w:sz w:val="24"/>
          <w:szCs w:val="24"/>
        </w:rPr>
        <w:t xml:space="preserve"> տարբերությունը կազմում է 1 մլ-ից ոչ ավելի, ապա որպես խտացումից հետո ծավալ ընդունում են </w:t>
      </w:r>
      <w:r w:rsidRPr="00B834A2">
        <w:rPr>
          <w:rStyle w:val="Bodytext2Italic"/>
          <w:sz w:val="24"/>
          <w:szCs w:val="24"/>
        </w:rPr>
        <w:t>V</w:t>
      </w:r>
      <w:r w:rsidRPr="00B834A2">
        <w:rPr>
          <w:rFonts w:ascii="Sylfaen" w:hAnsi="Sylfaen"/>
          <w:sz w:val="24"/>
          <w:szCs w:val="24"/>
          <w:vertAlign w:val="subscript"/>
        </w:rPr>
        <w:t>1250</w:t>
      </w:r>
      <w:r w:rsidRPr="00B834A2">
        <w:rPr>
          <w:rFonts w:ascii="Sylfaen" w:hAnsi="Sylfaen"/>
          <w:sz w:val="24"/>
          <w:szCs w:val="24"/>
        </w:rPr>
        <w:t>-ը: Եթե</w:t>
      </w:r>
      <w:r>
        <w:rPr>
          <w:rFonts w:ascii="Sylfaen" w:hAnsi="Sylfaen"/>
          <w:sz w:val="24"/>
          <w:szCs w:val="24"/>
        </w:rPr>
        <w:t xml:space="preserve"> </w:t>
      </w:r>
      <w:r w:rsidRPr="00B834A2">
        <w:rPr>
          <w:rStyle w:val="Bodytext2Italic"/>
          <w:sz w:val="24"/>
          <w:szCs w:val="24"/>
        </w:rPr>
        <w:t>V</w:t>
      </w:r>
      <w:r w:rsidRPr="00B834A2">
        <w:rPr>
          <w:rStyle w:val="Bodytext27pt"/>
          <w:sz w:val="24"/>
          <w:szCs w:val="24"/>
          <w:vertAlign w:val="subscript"/>
        </w:rPr>
        <w:t>500</w:t>
      </w:r>
      <w:r w:rsidRPr="00B834A2">
        <w:rPr>
          <w:rStyle w:val="Bodytext2Italic"/>
          <w:sz w:val="24"/>
          <w:szCs w:val="24"/>
        </w:rPr>
        <w:t xml:space="preserve">-ի </w:t>
      </w:r>
      <w:r>
        <w:rPr>
          <w:rStyle w:val="Bodytext2Italic"/>
          <w:sz w:val="24"/>
          <w:szCs w:val="24"/>
        </w:rPr>
        <w:t>եւ</w:t>
      </w:r>
      <w:r w:rsidRPr="00B834A2">
        <w:rPr>
          <w:rStyle w:val="Bodytext2Italic"/>
          <w:sz w:val="24"/>
          <w:szCs w:val="24"/>
        </w:rPr>
        <w:t xml:space="preserve"> V</w:t>
      </w:r>
      <w:r w:rsidRPr="00B834A2">
        <w:rPr>
          <w:rFonts w:ascii="Sylfaen" w:hAnsi="Sylfaen"/>
          <w:sz w:val="24"/>
          <w:szCs w:val="24"/>
          <w:vertAlign w:val="subscript"/>
        </w:rPr>
        <w:t>1250</w:t>
      </w:r>
      <w:r w:rsidRPr="00B834A2">
        <w:rPr>
          <w:rFonts w:ascii="Sylfaen" w:hAnsi="Sylfaen"/>
          <w:sz w:val="24"/>
          <w:szCs w:val="24"/>
        </w:rPr>
        <w:t>-ի միջ</w:t>
      </w:r>
      <w:r>
        <w:rPr>
          <w:rFonts w:ascii="Sylfaen" w:hAnsi="Sylfaen"/>
          <w:sz w:val="24"/>
          <w:szCs w:val="24"/>
        </w:rPr>
        <w:t>եւ</w:t>
      </w:r>
      <w:r w:rsidRPr="00B834A2">
        <w:rPr>
          <w:rFonts w:ascii="Sylfaen" w:hAnsi="Sylfaen"/>
          <w:sz w:val="24"/>
          <w:szCs w:val="24"/>
        </w:rPr>
        <w:t xml:space="preserve"> տարբերությունը կազմում է 1 մլ-ից ավելի, փորձարկվող նմուշը լրացուցիչ թափահարում են, օրինակ՝ 1250 թափահարումների քանակով՝ մինչ</w:t>
      </w:r>
      <w:r>
        <w:rPr>
          <w:rFonts w:ascii="Sylfaen" w:hAnsi="Sylfaen"/>
          <w:sz w:val="24"/>
          <w:szCs w:val="24"/>
        </w:rPr>
        <w:t>եւ</w:t>
      </w:r>
      <w:r w:rsidRPr="00B834A2">
        <w:rPr>
          <w:rFonts w:ascii="Sylfaen" w:hAnsi="Sylfaen"/>
          <w:sz w:val="24"/>
          <w:szCs w:val="24"/>
        </w:rPr>
        <w:t xml:space="preserve"> ծավալի հաջորդական չափումների միջ</w:t>
      </w:r>
      <w:r>
        <w:rPr>
          <w:rFonts w:ascii="Sylfaen" w:hAnsi="Sylfaen"/>
          <w:sz w:val="24"/>
          <w:szCs w:val="24"/>
        </w:rPr>
        <w:t>եւ</w:t>
      </w:r>
      <w:r w:rsidRPr="00B834A2">
        <w:rPr>
          <w:rFonts w:ascii="Sylfaen" w:hAnsi="Sylfaen"/>
          <w:sz w:val="24"/>
          <w:szCs w:val="24"/>
        </w:rPr>
        <w:t xml:space="preserve"> տարբերությունը 1 մլ-ից ոչ ավելիին հասնելը:</w:t>
      </w:r>
    </w:p>
    <w:p w14:paraId="2399D1CF" w14:textId="77777777" w:rsidR="00BF0860" w:rsidRDefault="00BF0860">
      <w:pPr>
        <w:rPr>
          <w:rFonts w:eastAsia="Times New Roman"/>
          <w:b/>
        </w:rPr>
      </w:pPr>
      <w:r>
        <w:rPr>
          <w:b/>
        </w:rPr>
        <w:br w:type="page"/>
      </w:r>
    </w:p>
    <w:p w14:paraId="5F12A885"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lastRenderedPageBreak/>
        <w:t>ՄԵԹՈԴ 2</w:t>
      </w:r>
    </w:p>
    <w:p w14:paraId="69D7EA9A"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Փորձարկումը կատարում են </w:t>
      </w:r>
      <w:r w:rsidRPr="00B834A2">
        <w:rPr>
          <w:rFonts w:ascii="Sylfaen" w:hAnsi="Sylfaen"/>
          <w:i/>
          <w:sz w:val="24"/>
          <w:szCs w:val="24"/>
        </w:rPr>
        <w:t>Չափում աստիճանավորված գլանում</w:t>
      </w:r>
      <w:r w:rsidRPr="00B834A2">
        <w:rPr>
          <w:rFonts w:ascii="Sylfaen" w:hAnsi="Sylfaen"/>
          <w:sz w:val="24"/>
          <w:szCs w:val="24"/>
        </w:rPr>
        <w:t xml:space="preserve"> 1-ին մեթոդով՝ բացառությամբ այն բանի, որ խտացնող սարքվածքն ապահովում է (3 ± 0,2) մմ սահմանված բարձրությունից անկումը՝ թափահարումների՝ րոպեում 250 անգամ հաճախականության դեպքում:</w:t>
      </w:r>
    </w:p>
    <w:p w14:paraId="1B50128E"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b/>
          <w:sz w:val="24"/>
          <w:szCs w:val="24"/>
        </w:rPr>
      </w:pPr>
    </w:p>
    <w:p w14:paraId="69E487AF" w14:textId="77777777" w:rsidR="00B834A2" w:rsidRDefault="00B834A2" w:rsidP="001E21E6">
      <w:pPr>
        <w:pStyle w:val="Bodytext20"/>
        <w:shd w:val="clear" w:color="auto" w:fill="auto"/>
        <w:spacing w:before="0" w:after="160" w:line="360" w:lineRule="auto"/>
        <w:ind w:firstLine="567"/>
        <w:jc w:val="both"/>
        <w:rPr>
          <w:rFonts w:ascii="Sylfaen" w:hAnsi="Sylfaen"/>
          <w:b/>
          <w:sz w:val="24"/>
          <w:szCs w:val="24"/>
        </w:rPr>
      </w:pPr>
      <w:r w:rsidRPr="00B834A2">
        <w:rPr>
          <w:rFonts w:ascii="Sylfaen" w:hAnsi="Sylfaen"/>
          <w:b/>
          <w:sz w:val="24"/>
          <w:szCs w:val="24"/>
        </w:rPr>
        <w:t>ՄԵԹՈԴ 3</w:t>
      </w:r>
    </w:p>
    <w:p w14:paraId="7F3623F4"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Մեթոդիկան.</w:t>
      </w:r>
      <w:r w:rsidRPr="00B834A2">
        <w:rPr>
          <w:rFonts w:ascii="Sylfaen" w:hAnsi="Sylfaen"/>
          <w:sz w:val="24"/>
          <w:szCs w:val="24"/>
        </w:rPr>
        <w:t xml:space="preserve"> Փորձարկումն անցկացնում են </w:t>
      </w:r>
      <w:r w:rsidRPr="00B834A2">
        <w:rPr>
          <w:rFonts w:ascii="Sylfaen" w:hAnsi="Sylfaen"/>
          <w:i/>
          <w:sz w:val="24"/>
          <w:szCs w:val="24"/>
        </w:rPr>
        <w:t>Չափում գլանաձ</w:t>
      </w:r>
      <w:r>
        <w:rPr>
          <w:rFonts w:ascii="Sylfaen" w:hAnsi="Sylfaen"/>
          <w:i/>
          <w:sz w:val="24"/>
          <w:szCs w:val="24"/>
        </w:rPr>
        <w:t>եւ</w:t>
      </w:r>
      <w:r w:rsidRPr="00B834A2">
        <w:rPr>
          <w:rFonts w:ascii="Sylfaen" w:hAnsi="Sylfaen"/>
          <w:i/>
          <w:sz w:val="24"/>
          <w:szCs w:val="24"/>
        </w:rPr>
        <w:t xml:space="preserve"> անոթում</w:t>
      </w:r>
      <w:r w:rsidRPr="00B834A2">
        <w:rPr>
          <w:rFonts w:ascii="Sylfaen" w:hAnsi="Sylfaen"/>
          <w:sz w:val="24"/>
          <w:szCs w:val="24"/>
        </w:rPr>
        <w:t xml:space="preserve"> 3-րդ մեթոդով՝ օգտագործելով կափարիչով գլանաձ</w:t>
      </w:r>
      <w:r>
        <w:rPr>
          <w:rFonts w:ascii="Sylfaen" w:hAnsi="Sylfaen"/>
          <w:sz w:val="24"/>
          <w:szCs w:val="24"/>
        </w:rPr>
        <w:t>եւ</w:t>
      </w:r>
      <w:r w:rsidRPr="00B834A2">
        <w:rPr>
          <w:rFonts w:ascii="Sylfaen" w:hAnsi="Sylfaen"/>
          <w:sz w:val="24"/>
          <w:szCs w:val="24"/>
        </w:rPr>
        <w:t xml:space="preserve"> անոթ, որը ներկայացված է 2.1.10.3-2 նկարում: Կափարիչով անոթը թափահարում են րոպեում 50-60 անգամ հաճախականությամբ՝ խտացումից հետո խտությունը համապատասխան սարքի օգնությամբ չափելու համար: Կատարում են 200 թափահարում, հանում են կափարիչը </w:t>
      </w:r>
      <w:r>
        <w:rPr>
          <w:rFonts w:ascii="Sylfaen" w:hAnsi="Sylfaen"/>
          <w:sz w:val="24"/>
          <w:szCs w:val="24"/>
        </w:rPr>
        <w:t>եւ</w:t>
      </w:r>
      <w:r w:rsidRPr="00B834A2">
        <w:rPr>
          <w:rFonts w:ascii="Sylfaen" w:hAnsi="Sylfaen"/>
          <w:sz w:val="24"/>
          <w:szCs w:val="24"/>
        </w:rPr>
        <w:t xml:space="preserve"> զգուշությամբ անոթի մակերեսից հեռացնում են սկզբնական նմուշի ավելցուկը, ինչպես նկարագրված է լցման խտության չափման՝ </w:t>
      </w:r>
      <w:r w:rsidRPr="00B834A2">
        <w:rPr>
          <w:rFonts w:ascii="Sylfaen" w:hAnsi="Sylfaen"/>
          <w:i/>
          <w:sz w:val="24"/>
          <w:szCs w:val="24"/>
        </w:rPr>
        <w:t>Չափում գլանաձ</w:t>
      </w:r>
      <w:r>
        <w:rPr>
          <w:rFonts w:ascii="Sylfaen" w:hAnsi="Sylfaen"/>
          <w:i/>
          <w:sz w:val="24"/>
          <w:szCs w:val="24"/>
        </w:rPr>
        <w:t>եւ</w:t>
      </w:r>
      <w:r w:rsidRPr="00B834A2">
        <w:rPr>
          <w:rFonts w:ascii="Sylfaen" w:hAnsi="Sylfaen"/>
          <w:i/>
          <w:sz w:val="24"/>
          <w:szCs w:val="24"/>
        </w:rPr>
        <w:t xml:space="preserve"> անոթում</w:t>
      </w:r>
      <w:r w:rsidRPr="00B834A2">
        <w:rPr>
          <w:rFonts w:ascii="Sylfaen" w:hAnsi="Sylfaen"/>
          <w:sz w:val="24"/>
          <w:szCs w:val="24"/>
        </w:rPr>
        <w:t xml:space="preserve"> 3-րդ մեթոդում: Փորձարկումը կրկնում են 400 թափահարումների պայմաններում: Փորձարկումը կրկնում են, եթե զանգվածի երկու չափումների միջ</w:t>
      </w:r>
      <w:r>
        <w:rPr>
          <w:rFonts w:ascii="Sylfaen" w:hAnsi="Sylfaen"/>
          <w:sz w:val="24"/>
          <w:szCs w:val="24"/>
        </w:rPr>
        <w:t>եւ</w:t>
      </w:r>
      <w:r w:rsidRPr="00B834A2">
        <w:rPr>
          <w:rFonts w:ascii="Sylfaen" w:hAnsi="Sylfaen"/>
          <w:sz w:val="24"/>
          <w:szCs w:val="24"/>
        </w:rPr>
        <w:t xml:space="preserve"> տարբերությունը, որն ստացվել է 200 </w:t>
      </w:r>
      <w:r>
        <w:rPr>
          <w:rFonts w:ascii="Sylfaen" w:hAnsi="Sylfaen"/>
          <w:sz w:val="24"/>
          <w:szCs w:val="24"/>
        </w:rPr>
        <w:t>եւ</w:t>
      </w:r>
      <w:r w:rsidRPr="00B834A2">
        <w:rPr>
          <w:rFonts w:ascii="Sylfaen" w:hAnsi="Sylfaen"/>
          <w:sz w:val="24"/>
          <w:szCs w:val="24"/>
        </w:rPr>
        <w:t xml:space="preserve"> 400 թափահարումներից հետո, կազմել է 2 %-ից ավելի: Փորձարկվող նմուշը լրացուցիչ թափահարում են 200 թափահարումների քանակության պայմաններում՝ մինչ</w:t>
      </w:r>
      <w:r>
        <w:rPr>
          <w:rFonts w:ascii="Sylfaen" w:hAnsi="Sylfaen"/>
          <w:sz w:val="24"/>
          <w:szCs w:val="24"/>
        </w:rPr>
        <w:t>եւ</w:t>
      </w:r>
      <w:r w:rsidRPr="00B834A2">
        <w:rPr>
          <w:rFonts w:ascii="Sylfaen" w:hAnsi="Sylfaen"/>
          <w:sz w:val="24"/>
          <w:szCs w:val="24"/>
        </w:rPr>
        <w:t xml:space="preserve"> զանգվածի՝ հաջորդական չափումների միջ</w:t>
      </w:r>
      <w:r>
        <w:rPr>
          <w:rFonts w:ascii="Sylfaen" w:hAnsi="Sylfaen"/>
          <w:sz w:val="24"/>
          <w:szCs w:val="24"/>
        </w:rPr>
        <w:t>եւ</w:t>
      </w:r>
      <w:r w:rsidRPr="00B834A2">
        <w:rPr>
          <w:rFonts w:ascii="Sylfaen" w:hAnsi="Sylfaen"/>
          <w:sz w:val="24"/>
          <w:szCs w:val="24"/>
        </w:rPr>
        <w:t xml:space="preserve"> տարբերությունը 2 %-ից պակասին հասնելը: Խտացումից հետո խտությունը գրամ միլիմետրով (գ/մլ)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5B0E509C" w14:textId="77777777" w:rsidR="00B834A2" w:rsidRPr="00B834A2" w:rsidRDefault="00B834A2" w:rsidP="00B834A2">
      <w:pPr>
        <w:pStyle w:val="Bodytext20"/>
        <w:shd w:val="clear" w:color="auto" w:fill="auto"/>
        <w:spacing w:before="0" w:after="160" w:line="360" w:lineRule="auto"/>
        <w:rPr>
          <w:rFonts w:ascii="Sylfaen" w:hAnsi="Sylfaen" w:cs="Sylfaen"/>
          <w:sz w:val="24"/>
          <w:szCs w:val="24"/>
        </w:rPr>
      </w:pPr>
      <w:r w:rsidRPr="00B834A2">
        <w:rPr>
          <w:rFonts w:ascii="Sylfaen" w:hAnsi="Sylfaen"/>
          <w:sz w:val="24"/>
          <w:szCs w:val="24"/>
        </w:rPr>
        <w:t>m</w:t>
      </w:r>
      <w:r w:rsidRPr="00B834A2">
        <w:rPr>
          <w:rStyle w:val="Bodytext2Italic"/>
          <w:sz w:val="24"/>
          <w:szCs w:val="24"/>
          <w:vertAlign w:val="subscript"/>
        </w:rPr>
        <w:t>f</w:t>
      </w:r>
      <w:r w:rsidRPr="00B834A2">
        <w:rPr>
          <w:rFonts w:ascii="Sylfaen" w:hAnsi="Sylfaen"/>
          <w:sz w:val="24"/>
          <w:szCs w:val="24"/>
        </w:rPr>
        <w:t>/100,</w:t>
      </w:r>
    </w:p>
    <w:p w14:paraId="4F374C02"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որտեղ m</w:t>
      </w:r>
      <w:r w:rsidRPr="00B834A2">
        <w:rPr>
          <w:rStyle w:val="Bodytext2Italic"/>
          <w:sz w:val="24"/>
          <w:szCs w:val="24"/>
          <w:vertAlign w:val="subscript"/>
        </w:rPr>
        <w:t>f</w:t>
      </w:r>
      <w:r w:rsidRPr="00B834A2">
        <w:rPr>
          <w:rFonts w:ascii="Sylfaen" w:hAnsi="Sylfaen"/>
          <w:sz w:val="24"/>
          <w:szCs w:val="24"/>
        </w:rPr>
        <w:t>-ը գլանաձ</w:t>
      </w:r>
      <w:r>
        <w:rPr>
          <w:rFonts w:ascii="Sylfaen" w:hAnsi="Sylfaen"/>
          <w:sz w:val="24"/>
          <w:szCs w:val="24"/>
        </w:rPr>
        <w:t>եւ</w:t>
      </w:r>
      <w:r w:rsidRPr="00B834A2">
        <w:rPr>
          <w:rFonts w:ascii="Sylfaen" w:hAnsi="Sylfaen"/>
          <w:sz w:val="24"/>
          <w:szCs w:val="24"/>
        </w:rPr>
        <w:t xml:space="preserve"> անոթում փորձարկվող նյութի զանգվածն է՝ գրամներով:</w:t>
      </w:r>
    </w:p>
    <w:p w14:paraId="176BD2AE" w14:textId="77777777" w:rsidR="00BF0860" w:rsidRDefault="00BF0860">
      <w:pPr>
        <w:rPr>
          <w:rFonts w:eastAsia="Times New Roman" w:cs="Times New Roman"/>
        </w:rPr>
      </w:pPr>
      <w:r>
        <w:br w:type="page"/>
      </w:r>
    </w:p>
    <w:p w14:paraId="1E7E0A8C"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lastRenderedPageBreak/>
        <w:t>Հաշվարկում են երեք որոշումների միջին արժեքը՝ օգտագործելով երեք տարբեր փորձարկվող նմուշներ: Փորձարկումների պայմանները, ներառյալ՝ բարձրությունը նշում են արդյունքներում:</w:t>
      </w:r>
    </w:p>
    <w:p w14:paraId="64674C36" w14:textId="77777777" w:rsidR="00B834A2" w:rsidRPr="00B834A2" w:rsidRDefault="00B834A2" w:rsidP="005542DC">
      <w:pPr>
        <w:pStyle w:val="Bodytext20"/>
        <w:shd w:val="clear" w:color="auto" w:fill="auto"/>
        <w:spacing w:before="0" w:after="160" w:line="346" w:lineRule="auto"/>
        <w:ind w:firstLine="567"/>
        <w:rPr>
          <w:rFonts w:ascii="Sylfaen" w:hAnsi="Sylfaen" w:cs="Sylfaen"/>
          <w:b/>
          <w:sz w:val="24"/>
          <w:szCs w:val="24"/>
        </w:rPr>
      </w:pPr>
    </w:p>
    <w:p w14:paraId="69E3AC06"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b/>
          <w:sz w:val="24"/>
          <w:szCs w:val="24"/>
        </w:rPr>
      </w:pPr>
      <w:r w:rsidRPr="00B834A2">
        <w:rPr>
          <w:rFonts w:ascii="Sylfaen" w:hAnsi="Sylfaen"/>
          <w:b/>
          <w:sz w:val="24"/>
          <w:szCs w:val="24"/>
        </w:rPr>
        <w:t>ՄԱՄԼԵԼԻՈՒԹՅԱՆ ՑՈՒՑԱՆԻՇՆԵՐԸ</w:t>
      </w:r>
    </w:p>
    <w:p w14:paraId="5E4B5E69"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Մասնիկների միջ</w:t>
      </w:r>
      <w:r>
        <w:rPr>
          <w:rFonts w:ascii="Sylfaen" w:hAnsi="Sylfaen"/>
          <w:sz w:val="24"/>
          <w:szCs w:val="24"/>
        </w:rPr>
        <w:t>եւ</w:t>
      </w:r>
      <w:r w:rsidRPr="00B834A2">
        <w:rPr>
          <w:rFonts w:ascii="Sylfaen" w:hAnsi="Sylfaen"/>
          <w:sz w:val="24"/>
          <w:szCs w:val="24"/>
        </w:rPr>
        <w:t xml:space="preserve"> փոխազդեցություններն ազդում են ինչպես փորձարկվող նմուշի լցման խտության, այնպես էլ սորունության վրա: Լցման խտության համեմատումը նախքան խտացումը </w:t>
      </w:r>
      <w:r>
        <w:rPr>
          <w:rFonts w:ascii="Sylfaen" w:hAnsi="Sylfaen"/>
          <w:sz w:val="24"/>
          <w:szCs w:val="24"/>
        </w:rPr>
        <w:t>եւ</w:t>
      </w:r>
      <w:r w:rsidRPr="00B834A2">
        <w:rPr>
          <w:rFonts w:ascii="Sylfaen" w:hAnsi="Sylfaen"/>
          <w:sz w:val="24"/>
          <w:szCs w:val="24"/>
        </w:rPr>
        <w:t xml:space="preserve"> խտացումից հետո թույլ է տալիս գնահատել փորձարկվող նմուշի շերտում տարբեր մասնիկների միջ</w:t>
      </w:r>
      <w:r>
        <w:rPr>
          <w:rFonts w:ascii="Sylfaen" w:hAnsi="Sylfaen"/>
          <w:sz w:val="24"/>
          <w:szCs w:val="24"/>
        </w:rPr>
        <w:t>եւ</w:t>
      </w:r>
      <w:r w:rsidRPr="00B834A2">
        <w:rPr>
          <w:rFonts w:ascii="Sylfaen" w:hAnsi="Sylfaen"/>
          <w:sz w:val="24"/>
          <w:szCs w:val="24"/>
        </w:rPr>
        <w:t xml:space="preserve"> փոխազդեցության բնույթը: Տվյալ արժեքներն օգտագործում են որպես փորձարկվող նմուշի սորունության ցուցանիշների՝ մամլելիության գործակից </w:t>
      </w:r>
      <w:r>
        <w:rPr>
          <w:rFonts w:ascii="Sylfaen" w:hAnsi="Sylfaen"/>
          <w:sz w:val="24"/>
          <w:szCs w:val="24"/>
        </w:rPr>
        <w:t>եւ</w:t>
      </w:r>
      <w:r w:rsidRPr="00B834A2">
        <w:rPr>
          <w:rFonts w:ascii="Sylfaen" w:hAnsi="Sylfaen"/>
          <w:sz w:val="24"/>
          <w:szCs w:val="24"/>
        </w:rPr>
        <w:t xml:space="preserve"> Հաուսների գործակից:</w:t>
      </w:r>
    </w:p>
    <w:p w14:paraId="0C71C222"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 xml:space="preserve">Մամլելիության գործակիցը </w:t>
      </w:r>
      <w:r>
        <w:rPr>
          <w:rFonts w:ascii="Sylfaen" w:hAnsi="Sylfaen"/>
          <w:sz w:val="24"/>
          <w:szCs w:val="24"/>
        </w:rPr>
        <w:t>եւ</w:t>
      </w:r>
      <w:r w:rsidRPr="00B834A2">
        <w:rPr>
          <w:rFonts w:ascii="Sylfaen" w:hAnsi="Sylfaen"/>
          <w:sz w:val="24"/>
          <w:szCs w:val="24"/>
        </w:rPr>
        <w:t xml:space="preserve"> Հաուսների գործակիցը ցույց են տալիս փորձարկվող նմուշի զանգվածի՝ խտացման նկատմամբ ունակությունը, </w:t>
      </w:r>
      <w:r>
        <w:rPr>
          <w:rFonts w:ascii="Sylfaen" w:hAnsi="Sylfaen"/>
          <w:sz w:val="24"/>
          <w:szCs w:val="24"/>
        </w:rPr>
        <w:t>եւ</w:t>
      </w:r>
      <w:r w:rsidRPr="00B834A2">
        <w:rPr>
          <w:rFonts w:ascii="Sylfaen" w:hAnsi="Sylfaen"/>
          <w:sz w:val="24"/>
          <w:szCs w:val="24"/>
        </w:rPr>
        <w:t xml:space="preserve"> թույլ են տալիս գնահատել դրա մասնիկների միջ</w:t>
      </w:r>
      <w:r>
        <w:rPr>
          <w:rFonts w:ascii="Sylfaen" w:hAnsi="Sylfaen"/>
          <w:sz w:val="24"/>
          <w:szCs w:val="24"/>
        </w:rPr>
        <w:t>եւ</w:t>
      </w:r>
      <w:r w:rsidRPr="00B834A2">
        <w:rPr>
          <w:rFonts w:ascii="Sylfaen" w:hAnsi="Sylfaen"/>
          <w:sz w:val="24"/>
          <w:szCs w:val="24"/>
        </w:rPr>
        <w:t xml:space="preserve"> փոխազդեցության հարաբերական նշանակալիությունը: Ազատ սորացող փորձարկվող նմուշների համար այդպիսի փոխազդեցությունները նվազ կար</w:t>
      </w:r>
      <w:r>
        <w:rPr>
          <w:rFonts w:ascii="Sylfaen" w:hAnsi="Sylfaen"/>
          <w:sz w:val="24"/>
          <w:szCs w:val="24"/>
        </w:rPr>
        <w:t>եւ</w:t>
      </w:r>
      <w:r w:rsidRPr="00B834A2">
        <w:rPr>
          <w:rFonts w:ascii="Sylfaen" w:hAnsi="Sylfaen"/>
          <w:sz w:val="24"/>
          <w:szCs w:val="24"/>
        </w:rPr>
        <w:t xml:space="preserve">որ են, ուստի դրանց լցման խտության </w:t>
      </w:r>
      <w:r>
        <w:rPr>
          <w:rFonts w:ascii="Sylfaen" w:hAnsi="Sylfaen"/>
          <w:sz w:val="24"/>
          <w:szCs w:val="24"/>
        </w:rPr>
        <w:t>եւ</w:t>
      </w:r>
      <w:r w:rsidRPr="00B834A2">
        <w:rPr>
          <w:rFonts w:ascii="Sylfaen" w:hAnsi="Sylfaen"/>
          <w:sz w:val="24"/>
          <w:szCs w:val="24"/>
        </w:rPr>
        <w:t xml:space="preserve"> խտացումից հետո խտության ցուցանիշները լինելու են արժեքով մոտ: Թույլ սորացող փորձարկվող նմուշների համար մասնիկների միջ</w:t>
      </w:r>
      <w:r>
        <w:rPr>
          <w:rFonts w:ascii="Sylfaen" w:hAnsi="Sylfaen"/>
          <w:sz w:val="24"/>
          <w:szCs w:val="24"/>
        </w:rPr>
        <w:t>եւ</w:t>
      </w:r>
      <w:r w:rsidRPr="00B834A2">
        <w:rPr>
          <w:rFonts w:ascii="Sylfaen" w:hAnsi="Sylfaen"/>
          <w:sz w:val="24"/>
          <w:szCs w:val="24"/>
        </w:rPr>
        <w:t xml:space="preserve"> փոխազդեցությունը զգալի է, այդ պատճառով լցման խտության </w:t>
      </w:r>
      <w:r>
        <w:rPr>
          <w:rFonts w:ascii="Sylfaen" w:hAnsi="Sylfaen"/>
          <w:sz w:val="24"/>
          <w:szCs w:val="24"/>
        </w:rPr>
        <w:t>եւ</w:t>
      </w:r>
      <w:r w:rsidRPr="00B834A2">
        <w:rPr>
          <w:rFonts w:ascii="Sylfaen" w:hAnsi="Sylfaen"/>
          <w:sz w:val="24"/>
          <w:szCs w:val="24"/>
        </w:rPr>
        <w:t xml:space="preserve"> խտացումից հետո խտության արժեքների տարբերությունը կլինի բարձր: Տվյալ տարբերություններն արտացոլվում են մամլելիության գործակցով </w:t>
      </w:r>
      <w:r>
        <w:rPr>
          <w:rFonts w:ascii="Sylfaen" w:hAnsi="Sylfaen"/>
          <w:sz w:val="24"/>
          <w:szCs w:val="24"/>
        </w:rPr>
        <w:t>եւ</w:t>
      </w:r>
      <w:r w:rsidRPr="00B834A2">
        <w:rPr>
          <w:rFonts w:ascii="Sylfaen" w:hAnsi="Sylfaen"/>
          <w:sz w:val="24"/>
          <w:szCs w:val="24"/>
        </w:rPr>
        <w:t xml:space="preserve"> Հաուսների գործակցով:</w:t>
      </w:r>
    </w:p>
    <w:p w14:paraId="0331399E"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Մամլելիության գործակիցը հաշվարկվում է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ով.</w:t>
      </w:r>
    </w:p>
    <w:p w14:paraId="127C1CC5" w14:textId="77777777" w:rsidR="00DD273F" w:rsidRDefault="00B834A2" w:rsidP="005542DC">
      <w:pPr>
        <w:pStyle w:val="Bodytext20"/>
        <w:shd w:val="clear" w:color="auto" w:fill="auto"/>
        <w:spacing w:before="0" w:after="160" w:line="346" w:lineRule="auto"/>
        <w:rPr>
          <w:rFonts w:ascii="Sylfaen" w:hAnsi="Sylfaen"/>
          <w:sz w:val="24"/>
          <w:szCs w:val="24"/>
        </w:rPr>
      </w:pPr>
      <w:r w:rsidRPr="00B834A2">
        <w:rPr>
          <w:rFonts w:ascii="Sylfaen" w:hAnsi="Sylfaen" w:cs="Sylfaen"/>
          <w:noProof/>
          <w:sz w:val="24"/>
          <w:szCs w:val="24"/>
          <w:lang w:val="en-US" w:eastAsia="en-US" w:bidi="ar-SA"/>
        </w:rPr>
        <w:drawing>
          <wp:inline distT="0" distB="0" distL="0" distR="0" wp14:anchorId="4D06586F" wp14:editId="077B81E1">
            <wp:extent cx="1189548" cy="596348"/>
            <wp:effectExtent l="1905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1190528" cy="596839"/>
                    </a:xfrm>
                    <a:prstGeom prst="rect">
                      <a:avLst/>
                    </a:prstGeom>
                    <a:noFill/>
                    <a:ln w="9525">
                      <a:noFill/>
                      <a:miter lim="800000"/>
                      <a:headEnd/>
                      <a:tailEnd/>
                    </a:ln>
                  </pic:spPr>
                </pic:pic>
              </a:graphicData>
            </a:graphic>
          </wp:inline>
        </w:drawing>
      </w:r>
    </w:p>
    <w:p w14:paraId="3E687827" w14:textId="77777777" w:rsidR="00B834A2" w:rsidRPr="00B834A2" w:rsidRDefault="00B834A2" w:rsidP="005542DC">
      <w:pPr>
        <w:pStyle w:val="Bodytext20"/>
        <w:shd w:val="clear" w:color="auto" w:fill="auto"/>
        <w:spacing w:before="0" w:after="160" w:line="346" w:lineRule="auto"/>
        <w:ind w:firstLine="567"/>
        <w:jc w:val="both"/>
        <w:rPr>
          <w:rFonts w:ascii="Sylfaen" w:hAnsi="Sylfaen"/>
          <w:sz w:val="24"/>
          <w:szCs w:val="24"/>
        </w:rPr>
      </w:pPr>
      <w:r w:rsidRPr="00B834A2">
        <w:rPr>
          <w:rFonts w:ascii="Sylfaen" w:hAnsi="Sylfaen"/>
          <w:sz w:val="24"/>
          <w:szCs w:val="24"/>
        </w:rPr>
        <w:t xml:space="preserve">որտեղ՝ </w:t>
      </w:r>
    </w:p>
    <w:p w14:paraId="48D63EB1" w14:textId="77777777" w:rsidR="00B834A2" w:rsidRPr="00B834A2" w:rsidRDefault="00B834A2" w:rsidP="005542DC">
      <w:pPr>
        <w:pStyle w:val="Bodytext20"/>
        <w:shd w:val="clear" w:color="auto" w:fill="auto"/>
        <w:spacing w:before="0" w:after="160" w:line="346" w:lineRule="auto"/>
        <w:ind w:firstLine="567"/>
        <w:jc w:val="both"/>
        <w:rPr>
          <w:rFonts w:ascii="Sylfaen" w:hAnsi="Sylfaen" w:cs="Sylfaen"/>
          <w:sz w:val="24"/>
          <w:szCs w:val="24"/>
        </w:rPr>
      </w:pPr>
      <w:r w:rsidRPr="00B834A2">
        <w:rPr>
          <w:rStyle w:val="Bodytext2Italic"/>
          <w:sz w:val="24"/>
          <w:szCs w:val="24"/>
        </w:rPr>
        <w:t>V</w:t>
      </w:r>
      <w:r w:rsidRPr="00B834A2">
        <w:rPr>
          <w:rStyle w:val="Bodytext2Italic"/>
          <w:sz w:val="24"/>
          <w:szCs w:val="24"/>
          <w:vertAlign w:val="subscript"/>
        </w:rPr>
        <w:t>0</w:t>
      </w:r>
      <w:r w:rsidRPr="00B834A2">
        <w:rPr>
          <w:rFonts w:ascii="Sylfaen" w:hAnsi="Sylfaen"/>
          <w:sz w:val="24"/>
          <w:szCs w:val="24"/>
        </w:rPr>
        <w:t>-ն չխտացված փորձարկվող նմուշի սկզբնական ծավալն է՝ միլիլիտրերով.</w:t>
      </w:r>
    </w:p>
    <w:p w14:paraId="5E2FF3ED" w14:textId="77777777" w:rsidR="005542DC" w:rsidRPr="004A7CC9" w:rsidRDefault="005542DC" w:rsidP="001E21E6">
      <w:pPr>
        <w:pStyle w:val="Bodytext20"/>
        <w:shd w:val="clear" w:color="auto" w:fill="auto"/>
        <w:spacing w:before="0" w:after="160" w:line="360" w:lineRule="auto"/>
        <w:ind w:firstLine="567"/>
        <w:jc w:val="both"/>
        <w:rPr>
          <w:rStyle w:val="Bodytext2Italic"/>
          <w:sz w:val="24"/>
          <w:szCs w:val="24"/>
        </w:rPr>
      </w:pPr>
    </w:p>
    <w:p w14:paraId="70ADACF4"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lastRenderedPageBreak/>
        <w:t>V</w:t>
      </w:r>
      <w:r w:rsidRPr="00B834A2">
        <w:rPr>
          <w:rStyle w:val="Bodytext2Italic"/>
          <w:sz w:val="24"/>
          <w:szCs w:val="24"/>
          <w:vertAlign w:val="subscript"/>
        </w:rPr>
        <w:t>f</w:t>
      </w:r>
      <w:r w:rsidRPr="00B834A2">
        <w:rPr>
          <w:rFonts w:ascii="Sylfaen" w:hAnsi="Sylfaen"/>
          <w:sz w:val="24"/>
          <w:szCs w:val="24"/>
        </w:rPr>
        <w:t>-ը՝ խտացումից հետո փորձարկվող նմուշի վերջնական լցման ծավալը՝ միլիլիտրերով:</w:t>
      </w:r>
    </w:p>
    <w:p w14:paraId="51D0EF05" w14:textId="77777777" w:rsidR="00B834A2" w:rsidRPr="00B834A2" w:rsidRDefault="00B834A2" w:rsidP="001E21E6">
      <w:pPr>
        <w:spacing w:after="160" w:line="360" w:lineRule="auto"/>
        <w:ind w:firstLine="567"/>
        <w:jc w:val="both"/>
      </w:pPr>
      <w:r w:rsidRPr="001E21E6">
        <w:rPr>
          <w:rFonts w:eastAsia="Times New Roman" w:cs="Times New Roman"/>
        </w:rPr>
        <w:t>Հաուսների</w:t>
      </w:r>
      <w:r w:rsidRPr="00B834A2">
        <w:t xml:space="preserve"> գործակիցը հաշվարկվում է հետ</w:t>
      </w:r>
      <w:r>
        <w:t>եւ</w:t>
      </w:r>
      <w:r w:rsidRPr="00B834A2">
        <w:t>յալ բանաձ</w:t>
      </w:r>
      <w:r>
        <w:t>եւ</w:t>
      </w:r>
      <w:r w:rsidRPr="00B834A2">
        <w:t>ով.</w:t>
      </w:r>
    </w:p>
    <w:p w14:paraId="576E7FB0" w14:textId="77777777" w:rsidR="00B834A2" w:rsidRPr="00B834A2" w:rsidRDefault="00B834A2" w:rsidP="00B834A2">
      <w:pPr>
        <w:pStyle w:val="Bodytext20"/>
        <w:shd w:val="clear" w:color="auto" w:fill="auto"/>
        <w:spacing w:before="0" w:after="160" w:line="360" w:lineRule="auto"/>
        <w:ind w:firstLine="567"/>
        <w:rPr>
          <w:rStyle w:val="Bodytext2105pt"/>
          <w:rFonts w:ascii="Sylfaen" w:eastAsia="Sylfaen" w:hAnsi="Sylfaen"/>
          <w:w w:val="100"/>
          <w:sz w:val="24"/>
          <w:szCs w:val="24"/>
        </w:rPr>
      </w:pPr>
      <w:r w:rsidRPr="00B834A2">
        <w:rPr>
          <w:rFonts w:ascii="Sylfaen" w:hAnsi="Sylfaen" w:cs="Sylfaen"/>
          <w:noProof/>
          <w:sz w:val="24"/>
          <w:szCs w:val="24"/>
          <w:shd w:val="clear" w:color="auto" w:fill="FFFFFF"/>
          <w:lang w:val="en-US" w:eastAsia="en-US" w:bidi="ar-SA"/>
        </w:rPr>
        <w:drawing>
          <wp:inline distT="0" distB="0" distL="0" distR="0" wp14:anchorId="28324944" wp14:editId="2C3175D8">
            <wp:extent cx="504825" cy="731400"/>
            <wp:effectExtent l="1905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a:stretch>
                      <a:fillRect/>
                    </a:stretch>
                  </pic:blipFill>
                  <pic:spPr bwMode="auto">
                    <a:xfrm>
                      <a:off x="0" y="0"/>
                      <a:ext cx="506222" cy="733425"/>
                    </a:xfrm>
                    <a:prstGeom prst="rect">
                      <a:avLst/>
                    </a:prstGeom>
                    <a:noFill/>
                    <a:ln w="9525">
                      <a:noFill/>
                      <a:miter lim="800000"/>
                      <a:headEnd/>
                      <a:tailEnd/>
                    </a:ln>
                  </pic:spPr>
                </pic:pic>
              </a:graphicData>
            </a:graphic>
          </wp:inline>
        </w:drawing>
      </w:r>
    </w:p>
    <w:p w14:paraId="452559DB"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Պայմանավորված նյութի բնույթով՝ մամլելիության գործակիցը </w:t>
      </w:r>
      <w:r w:rsidRPr="00B834A2">
        <w:rPr>
          <w:rStyle w:val="Bodytext2Italic"/>
          <w:sz w:val="24"/>
          <w:szCs w:val="24"/>
        </w:rPr>
        <w:t>V</w:t>
      </w:r>
      <w:r w:rsidRPr="00B834A2">
        <w:rPr>
          <w:rStyle w:val="Bodytext2105pt"/>
          <w:rFonts w:ascii="Sylfaen" w:eastAsia="Sylfaen" w:hAnsi="Sylfaen"/>
          <w:w w:val="100"/>
          <w:sz w:val="24"/>
          <w:szCs w:val="24"/>
          <w:vertAlign w:val="subscript"/>
        </w:rPr>
        <w:t>о</w:t>
      </w:r>
      <w:r w:rsidRPr="00B834A2">
        <w:rPr>
          <w:rStyle w:val="Bodytext2105pt"/>
          <w:rFonts w:ascii="Sylfaen" w:eastAsia="Sylfaen" w:hAnsi="Sylfaen"/>
          <w:w w:val="100"/>
          <w:sz w:val="24"/>
          <w:szCs w:val="24"/>
        </w:rPr>
        <w:t>-ի փոխարեն</w:t>
      </w:r>
      <w:r w:rsidRPr="00B834A2">
        <w:rPr>
          <w:rFonts w:ascii="Sylfaen" w:hAnsi="Sylfaen"/>
          <w:sz w:val="24"/>
          <w:szCs w:val="24"/>
        </w:rPr>
        <w:t xml:space="preserve"> կարող է որոշվել </w:t>
      </w:r>
      <w:r w:rsidRPr="00B834A2">
        <w:rPr>
          <w:rStyle w:val="Bodytext2Italic"/>
          <w:sz w:val="24"/>
          <w:szCs w:val="24"/>
        </w:rPr>
        <w:t>V</w:t>
      </w:r>
      <w:r w:rsidRPr="00B834A2">
        <w:rPr>
          <w:rFonts w:ascii="Sylfaen" w:hAnsi="Sylfaen"/>
          <w:sz w:val="24"/>
          <w:szCs w:val="24"/>
          <w:vertAlign w:val="subscript"/>
        </w:rPr>
        <w:t>10</w:t>
      </w:r>
      <w:r w:rsidRPr="00B834A2">
        <w:rPr>
          <w:rStyle w:val="Bodytext2105pt"/>
          <w:rFonts w:ascii="Sylfaen" w:eastAsia="Sylfaen" w:hAnsi="Sylfaen"/>
          <w:w w:val="100"/>
          <w:sz w:val="24"/>
          <w:szCs w:val="24"/>
        </w:rPr>
        <w:t xml:space="preserve"> </w:t>
      </w:r>
      <w:r w:rsidRPr="00B834A2">
        <w:rPr>
          <w:rFonts w:ascii="Sylfaen" w:hAnsi="Sylfaen"/>
          <w:sz w:val="24"/>
          <w:szCs w:val="24"/>
        </w:rPr>
        <w:t>-ի օգնությամբ</w:t>
      </w:r>
      <w:r w:rsidRPr="00B834A2">
        <w:rPr>
          <w:rStyle w:val="Bodytext2105pt"/>
          <w:rFonts w:ascii="Sylfaen" w:eastAsia="Sylfaen" w:hAnsi="Sylfaen"/>
          <w:w w:val="100"/>
          <w:sz w:val="24"/>
          <w:szCs w:val="24"/>
        </w:rPr>
        <w:t xml:space="preserve">: </w:t>
      </w:r>
      <w:r w:rsidRPr="00B834A2">
        <w:rPr>
          <w:rStyle w:val="Bodytext2Italic"/>
          <w:sz w:val="24"/>
          <w:szCs w:val="24"/>
        </w:rPr>
        <w:t>V</w:t>
      </w:r>
      <w:r w:rsidRPr="00B834A2">
        <w:rPr>
          <w:rFonts w:ascii="Sylfaen" w:hAnsi="Sylfaen"/>
          <w:sz w:val="24"/>
          <w:szCs w:val="24"/>
          <w:vertAlign w:val="subscript"/>
        </w:rPr>
        <w:t>10</w:t>
      </w:r>
      <w:r w:rsidRPr="00B834A2">
        <w:rPr>
          <w:rStyle w:val="Bodytext2105pt"/>
          <w:rFonts w:ascii="Sylfaen" w:eastAsia="Sylfaen" w:hAnsi="Sylfaen"/>
          <w:w w:val="100"/>
          <w:sz w:val="24"/>
          <w:szCs w:val="24"/>
        </w:rPr>
        <w:t xml:space="preserve">-ի օգտագործման դեպքում </w:t>
      </w:r>
      <w:r w:rsidRPr="00B834A2">
        <w:rPr>
          <w:rFonts w:ascii="Sylfaen" w:hAnsi="Sylfaen"/>
          <w:sz w:val="24"/>
          <w:szCs w:val="24"/>
        </w:rPr>
        <w:t>դա պետք է նշված լինի արդյունքներում:</w:t>
      </w:r>
    </w:p>
    <w:p w14:paraId="44F4F502" w14:textId="77777777" w:rsidR="00B834A2" w:rsidRPr="00B834A2" w:rsidRDefault="00B834A2" w:rsidP="00B834A2">
      <w:pPr>
        <w:pStyle w:val="Bodytext20"/>
        <w:shd w:val="clear" w:color="auto" w:fill="auto"/>
        <w:spacing w:before="0" w:after="160" w:line="360" w:lineRule="auto"/>
        <w:jc w:val="right"/>
        <w:rPr>
          <w:rStyle w:val="Bodytext29pt"/>
          <w:sz w:val="24"/>
          <w:szCs w:val="24"/>
        </w:rPr>
      </w:pPr>
    </w:p>
    <w:p w14:paraId="04682E63" w14:textId="77777777" w:rsidR="00B834A2" w:rsidRPr="00DD273F" w:rsidRDefault="00B834A2" w:rsidP="00B834A2">
      <w:pPr>
        <w:pStyle w:val="Bodytext20"/>
        <w:shd w:val="clear" w:color="auto" w:fill="auto"/>
        <w:spacing w:before="0" w:after="160" w:line="360" w:lineRule="auto"/>
        <w:jc w:val="right"/>
        <w:rPr>
          <w:rStyle w:val="Bodytext29pt"/>
          <w:b/>
          <w:sz w:val="20"/>
          <w:szCs w:val="24"/>
        </w:rPr>
      </w:pPr>
      <w:r w:rsidRPr="00DD273F">
        <w:rPr>
          <w:rStyle w:val="Bodytext29pt"/>
          <w:b/>
          <w:sz w:val="20"/>
          <w:szCs w:val="24"/>
        </w:rPr>
        <w:t>201100004-2022</w:t>
      </w:r>
    </w:p>
    <w:p w14:paraId="2BC84B95" w14:textId="77777777" w:rsidR="00DD273F" w:rsidRPr="00DD273F" w:rsidRDefault="00DD273F" w:rsidP="00B834A2">
      <w:pPr>
        <w:pStyle w:val="Bodytext20"/>
        <w:shd w:val="clear" w:color="auto" w:fill="auto"/>
        <w:spacing w:before="0" w:after="160" w:line="360" w:lineRule="auto"/>
        <w:jc w:val="right"/>
        <w:rPr>
          <w:rFonts w:ascii="Sylfaen" w:hAnsi="Sylfaen" w:cs="Sylfaen"/>
          <w:b/>
          <w:sz w:val="20"/>
          <w:szCs w:val="24"/>
        </w:rPr>
      </w:pPr>
    </w:p>
    <w:p w14:paraId="3E084EC6" w14:textId="77777777" w:rsidR="00B834A2" w:rsidRPr="001E21E6" w:rsidRDefault="00B834A2" w:rsidP="00DD273F">
      <w:pPr>
        <w:pStyle w:val="Bodytext20"/>
        <w:shd w:val="clear" w:color="auto" w:fill="auto"/>
        <w:tabs>
          <w:tab w:val="left" w:pos="1843"/>
        </w:tabs>
        <w:spacing w:before="0" w:after="160" w:line="360" w:lineRule="auto"/>
        <w:ind w:firstLine="567"/>
        <w:jc w:val="both"/>
        <w:rPr>
          <w:rFonts w:ascii="Sylfaen" w:hAnsi="Sylfaen" w:cs="Sylfaen"/>
          <w:b/>
          <w:sz w:val="24"/>
          <w:szCs w:val="24"/>
        </w:rPr>
      </w:pPr>
      <w:r w:rsidRPr="001E21E6">
        <w:rPr>
          <w:rStyle w:val="Bodytext29pt"/>
          <w:b/>
          <w:sz w:val="24"/>
          <w:szCs w:val="24"/>
        </w:rPr>
        <w:t>2.1.10.4.</w:t>
      </w:r>
      <w:r w:rsidR="00DD273F">
        <w:rPr>
          <w:rStyle w:val="Bodytext29pt"/>
          <w:b/>
          <w:sz w:val="24"/>
          <w:szCs w:val="24"/>
        </w:rPr>
        <w:tab/>
      </w:r>
      <w:r w:rsidRPr="001E21E6">
        <w:rPr>
          <w:rStyle w:val="Bodytext29pt"/>
          <w:b/>
          <w:sz w:val="24"/>
          <w:szCs w:val="24"/>
        </w:rPr>
        <w:t>Պինդ նյութերի խտությունը</w:t>
      </w:r>
    </w:p>
    <w:p w14:paraId="5FC2CBE2"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Պինդ նյութերի խտությունը որոշվում է ծավալի միավորի միջին զանգվածով </w:t>
      </w:r>
      <w:r>
        <w:rPr>
          <w:rFonts w:ascii="Sylfaen" w:hAnsi="Sylfaen"/>
          <w:sz w:val="24"/>
          <w:szCs w:val="24"/>
        </w:rPr>
        <w:t>եւ</w:t>
      </w:r>
      <w:r w:rsidRPr="00B834A2">
        <w:rPr>
          <w:rFonts w:ascii="Sylfaen" w:hAnsi="Sylfaen"/>
          <w:sz w:val="24"/>
          <w:szCs w:val="24"/>
        </w:rPr>
        <w:t xml:space="preserve"> որպես կանոն, արտահայտվում է գրամ խորանարդ սանտիմետրով (գ/սմ</w:t>
      </w:r>
      <w:r w:rsidRPr="00B834A2">
        <w:rPr>
          <w:rFonts w:ascii="Sylfaen" w:hAnsi="Sylfaen"/>
          <w:sz w:val="24"/>
          <w:szCs w:val="24"/>
          <w:vertAlign w:val="superscript"/>
        </w:rPr>
        <w:t>3</w:t>
      </w:r>
      <w:r w:rsidRPr="00B834A2">
        <w:rPr>
          <w:rFonts w:ascii="Sylfaen" w:hAnsi="Sylfaen"/>
          <w:sz w:val="24"/>
          <w:szCs w:val="24"/>
        </w:rPr>
        <w:t>):</w:t>
      </w:r>
    </w:p>
    <w:p w14:paraId="4F1481A8"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Ի տարբերություն գազերի </w:t>
      </w:r>
      <w:r>
        <w:rPr>
          <w:rFonts w:ascii="Sylfaen" w:hAnsi="Sylfaen"/>
          <w:sz w:val="24"/>
          <w:szCs w:val="24"/>
        </w:rPr>
        <w:t>եւ</w:t>
      </w:r>
      <w:r w:rsidRPr="00B834A2">
        <w:rPr>
          <w:rFonts w:ascii="Sylfaen" w:hAnsi="Sylfaen"/>
          <w:sz w:val="24"/>
          <w:szCs w:val="24"/>
        </w:rPr>
        <w:t xml:space="preserve"> հեղուկների, որոնց խտությունը որոշվում է </w:t>
      </w:r>
      <w:r w:rsidRPr="00DD273F">
        <w:rPr>
          <w:rFonts w:ascii="Sylfaen" w:hAnsi="Sylfaen"/>
          <w:spacing w:val="4"/>
          <w:sz w:val="24"/>
          <w:szCs w:val="24"/>
        </w:rPr>
        <w:t>միայն ջերմաստիճանով եւ ճնշմամբ, պինդ նյութերի խտությունը պայմանավորված է նաեւ դրանց</w:t>
      </w:r>
      <w:r w:rsidRPr="00DD273F">
        <w:rPr>
          <w:rFonts w:ascii="Sylfaen" w:hAnsi="Sylfaen"/>
          <w:spacing w:val="-4"/>
          <w:sz w:val="24"/>
          <w:szCs w:val="24"/>
        </w:rPr>
        <w:t xml:space="preserve"> կառուցվածքով եւ այդ պատճառով էլ փոփոխվում</w:t>
      </w:r>
      <w:r w:rsidR="00DD273F">
        <w:rPr>
          <w:rFonts w:ascii="Sylfaen" w:hAnsi="Sylfaen"/>
          <w:spacing w:val="-4"/>
          <w:sz w:val="24"/>
          <w:szCs w:val="24"/>
        </w:rPr>
        <w:t> </w:t>
      </w:r>
      <w:r w:rsidRPr="00DD273F">
        <w:rPr>
          <w:rFonts w:ascii="Sylfaen" w:hAnsi="Sylfaen"/>
          <w:spacing w:val="-4"/>
          <w:sz w:val="24"/>
          <w:szCs w:val="24"/>
        </w:rPr>
        <w:t>է՝</w:t>
      </w:r>
      <w:r w:rsidRPr="00B834A2">
        <w:rPr>
          <w:rFonts w:ascii="Sylfaen" w:hAnsi="Sylfaen"/>
          <w:sz w:val="24"/>
          <w:szCs w:val="24"/>
        </w:rPr>
        <w:t xml:space="preserve"> պայմանավորված</w:t>
      </w:r>
      <w:r>
        <w:rPr>
          <w:rFonts w:ascii="Sylfaen" w:hAnsi="Sylfaen"/>
          <w:sz w:val="24"/>
          <w:szCs w:val="24"/>
        </w:rPr>
        <w:t xml:space="preserve"> </w:t>
      </w:r>
      <w:r w:rsidRPr="00B834A2">
        <w:rPr>
          <w:rFonts w:ascii="Sylfaen" w:hAnsi="Sylfaen"/>
          <w:sz w:val="24"/>
          <w:szCs w:val="24"/>
        </w:rPr>
        <w:t xml:space="preserve">բյուրեղի կառուցվածքով </w:t>
      </w:r>
      <w:r>
        <w:rPr>
          <w:rFonts w:ascii="Sylfaen" w:hAnsi="Sylfaen"/>
          <w:sz w:val="24"/>
          <w:szCs w:val="24"/>
        </w:rPr>
        <w:t>եւ</w:t>
      </w:r>
      <w:r w:rsidRPr="00B834A2">
        <w:rPr>
          <w:rFonts w:ascii="Sylfaen" w:hAnsi="Sylfaen"/>
          <w:sz w:val="24"/>
          <w:szCs w:val="24"/>
        </w:rPr>
        <w:t xml:space="preserve"> բյուրեղայնության աստիճանով:</w:t>
      </w:r>
    </w:p>
    <w:p w14:paraId="60BEDABA"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Այն դեպքում, երբ պինդ մասնիկները ամորֆ կամ մասնակի ամորֆ են, դրանց խտությունը պայմանավորված է ստացման, մշակման </w:t>
      </w:r>
      <w:r>
        <w:rPr>
          <w:rFonts w:ascii="Sylfaen" w:hAnsi="Sylfaen"/>
          <w:sz w:val="24"/>
          <w:szCs w:val="24"/>
        </w:rPr>
        <w:t>եւ</w:t>
      </w:r>
      <w:r w:rsidRPr="00B834A2">
        <w:rPr>
          <w:rFonts w:ascii="Sylfaen" w:hAnsi="Sylfaen"/>
          <w:sz w:val="24"/>
          <w:szCs w:val="24"/>
        </w:rPr>
        <w:t xml:space="preserve"> պահպանման եղանակով: Ուստի, ի տարբերություն հեղուկների, երկու քիմիապես համարժեք պինդ նյութերի խտությունները կարող են տարբեր լինել, ինչն արտացոլում է համապատասխան տարբերությունը պինդ վիճակի կառուցվածքում: Բաղկացուցիչ մասերի խտությունը փոշու ձ</w:t>
      </w:r>
      <w:r>
        <w:rPr>
          <w:rFonts w:ascii="Sylfaen" w:hAnsi="Sylfaen"/>
          <w:sz w:val="24"/>
          <w:szCs w:val="24"/>
        </w:rPr>
        <w:t>եւ</w:t>
      </w:r>
      <w:r w:rsidRPr="00B834A2">
        <w:rPr>
          <w:rFonts w:ascii="Sylfaen" w:hAnsi="Sylfaen"/>
          <w:sz w:val="24"/>
          <w:szCs w:val="24"/>
        </w:rPr>
        <w:t>ով դեղամիջոցների կար</w:t>
      </w:r>
      <w:r>
        <w:rPr>
          <w:rFonts w:ascii="Sylfaen" w:hAnsi="Sylfaen"/>
          <w:sz w:val="24"/>
          <w:szCs w:val="24"/>
        </w:rPr>
        <w:t>եւ</w:t>
      </w:r>
      <w:r w:rsidRPr="00B834A2">
        <w:rPr>
          <w:rFonts w:ascii="Sylfaen" w:hAnsi="Sylfaen"/>
          <w:sz w:val="24"/>
          <w:szCs w:val="24"/>
        </w:rPr>
        <w:t>որ ֆիզիկական բնութագիր է:</w:t>
      </w:r>
    </w:p>
    <w:p w14:paraId="14DA0377"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Պինդ մասնիկի խտությունը կարող է ընդունել տարբեր արժեքներ՝ պայմանավորված դրա ծավալի չափման համար օգտագործվող մեթոդով: Անհրաժեշտ է տարբերել խտությունն արտահայտելու 3 մակարդակ.</w:t>
      </w:r>
    </w:p>
    <w:p w14:paraId="0AC3A34E"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i/>
          <w:sz w:val="24"/>
          <w:szCs w:val="24"/>
        </w:rPr>
        <w:t>իրական խտություն</w:t>
      </w:r>
      <w:r w:rsidRPr="00B834A2">
        <w:rPr>
          <w:rFonts w:ascii="Sylfaen" w:hAnsi="Sylfaen"/>
          <w:sz w:val="24"/>
          <w:szCs w:val="24"/>
        </w:rPr>
        <w:t>, որը ներառում է նյութի միայն պինդ զտամասը. բյուրեղային նյութերի դեպքում իրական խտությունն անվանում են նա</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բյուրեղային խտություն.</w:t>
      </w:r>
    </w:p>
    <w:p w14:paraId="0E5CAE39"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i/>
          <w:sz w:val="24"/>
          <w:szCs w:val="24"/>
        </w:rPr>
        <w:t>մասնիկների խտություն</w:t>
      </w:r>
      <w:r w:rsidRPr="00B834A2">
        <w:rPr>
          <w:rFonts w:ascii="Sylfaen" w:hAnsi="Sylfaen"/>
          <w:sz w:val="24"/>
          <w:szCs w:val="24"/>
        </w:rPr>
        <w:t>, որը ներառում է նա</w:t>
      </w:r>
      <w:r>
        <w:rPr>
          <w:rFonts w:ascii="Sylfaen" w:hAnsi="Sylfaen"/>
          <w:sz w:val="24"/>
          <w:szCs w:val="24"/>
        </w:rPr>
        <w:t>եւ</w:t>
      </w:r>
      <w:r w:rsidRPr="00B834A2">
        <w:rPr>
          <w:rFonts w:ascii="Sylfaen" w:hAnsi="Sylfaen"/>
          <w:sz w:val="24"/>
          <w:szCs w:val="24"/>
        </w:rPr>
        <w:t xml:space="preserve"> պինդ մասնիկների ներսում ծակոտիների ծավալը.</w:t>
      </w:r>
    </w:p>
    <w:p w14:paraId="14946DBE"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i/>
          <w:sz w:val="24"/>
          <w:szCs w:val="24"/>
        </w:rPr>
        <w:t>լցման խտություն</w:t>
      </w:r>
      <w:r w:rsidRPr="00B834A2">
        <w:rPr>
          <w:rFonts w:ascii="Sylfaen" w:hAnsi="Sylfaen"/>
          <w:sz w:val="24"/>
          <w:szCs w:val="24"/>
        </w:rPr>
        <w:t>, որը, դրանից բացի, ներառում է փոշու շերտում գոյացած մասնիկների միջ</w:t>
      </w:r>
      <w:r>
        <w:rPr>
          <w:rFonts w:ascii="Sylfaen" w:hAnsi="Sylfaen"/>
          <w:sz w:val="24"/>
          <w:szCs w:val="24"/>
        </w:rPr>
        <w:t>եւ</w:t>
      </w:r>
      <w:r w:rsidRPr="00B834A2">
        <w:rPr>
          <w:rFonts w:ascii="Sylfaen" w:hAnsi="Sylfaen"/>
          <w:sz w:val="24"/>
          <w:szCs w:val="24"/>
        </w:rPr>
        <w:t xml:space="preserve"> դատարկությունների ծավալները. ծավալային խտությունն անվանում են նա</w:t>
      </w:r>
      <w:r>
        <w:rPr>
          <w:rFonts w:ascii="Sylfaen" w:hAnsi="Sylfaen"/>
          <w:sz w:val="24"/>
          <w:szCs w:val="24"/>
        </w:rPr>
        <w:t>եւ</w:t>
      </w:r>
      <w:r w:rsidRPr="00B834A2">
        <w:rPr>
          <w:rFonts w:ascii="Sylfaen" w:hAnsi="Sylfaen"/>
          <w:sz w:val="24"/>
          <w:szCs w:val="24"/>
        </w:rPr>
        <w:t xml:space="preserve"> թվացյալ խտություն կամ լցման զանգված:</w:t>
      </w:r>
    </w:p>
    <w:p w14:paraId="1D42CBDF"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2693E62E"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ԻՐԱԿԱՆ ԽՏՈՒԹՅՈՒՆԸ</w:t>
      </w:r>
    </w:p>
    <w:p w14:paraId="12F24715"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Նյութի իրական խտությունը զանգվածի հարաբերակցությունն է բյուրեղի տարրական բջջի նկատմամբ՝ բացառությամբ այն ծակոտիների ծավալի, որոնք </w:t>
      </w:r>
      <w:r w:rsidRPr="00DD273F">
        <w:rPr>
          <w:rFonts w:ascii="Sylfaen" w:hAnsi="Sylfaen"/>
          <w:spacing w:val="4"/>
          <w:sz w:val="24"/>
          <w:szCs w:val="24"/>
        </w:rPr>
        <w:t>նյութի բյուրեղացանցի անբաժանելի մասը չեն: Իրական խտությունը հատկություն է, որը</w:t>
      </w:r>
      <w:r w:rsidRPr="00B834A2">
        <w:rPr>
          <w:rFonts w:ascii="Sylfaen" w:hAnsi="Sylfaen"/>
          <w:sz w:val="24"/>
          <w:szCs w:val="24"/>
        </w:rPr>
        <w:t xml:space="preserve"> բնորոշ է նյութի անհատական բյուրեղային կառուցվածքին, </w:t>
      </w:r>
      <w:r>
        <w:rPr>
          <w:rFonts w:ascii="Sylfaen" w:hAnsi="Sylfaen"/>
          <w:sz w:val="24"/>
          <w:szCs w:val="24"/>
        </w:rPr>
        <w:t>եւ</w:t>
      </w:r>
      <w:r w:rsidRPr="00B834A2">
        <w:rPr>
          <w:rFonts w:ascii="Sylfaen" w:hAnsi="Sylfaen"/>
          <w:sz w:val="24"/>
          <w:szCs w:val="24"/>
        </w:rPr>
        <w:t xml:space="preserve"> այդ պատճառով դրա մեծությունը չպետք է պայմանավորված լինի որոշման եղանակով: Իրական խտությունը որոշվում է հաշվարկային եղանակով:</w:t>
      </w:r>
    </w:p>
    <w:p w14:paraId="739DB855" w14:textId="77777777" w:rsidR="00B834A2"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Իրական խտությունը հաշվում են բյուրեղագիտական տվյալների հիման վրա (բյուրեղի տարրական բջջի չափ </w:t>
      </w:r>
      <w:r>
        <w:rPr>
          <w:rFonts w:ascii="Sylfaen" w:hAnsi="Sylfaen"/>
          <w:sz w:val="24"/>
          <w:szCs w:val="24"/>
        </w:rPr>
        <w:t>եւ</w:t>
      </w:r>
      <w:r w:rsidRPr="00B834A2">
        <w:rPr>
          <w:rFonts w:ascii="Sylfaen" w:hAnsi="Sylfaen"/>
          <w:sz w:val="24"/>
          <w:szCs w:val="24"/>
        </w:rPr>
        <w:t xml:space="preserve"> բաղադրություն), օրինակ՝ միաբյուրեղի վրա ռենտգենյան ճառագայթման դիֆրակցիայի տվյալներից կամ բյուրեղային կառուցվածքի ճշգրտման եղանակով՝ փոշու վրա ռենտգենյան ճառագայթման դիֆրակցիայի տվյալների հիման վրա:</w:t>
      </w:r>
    </w:p>
    <w:p w14:paraId="04B58E91" w14:textId="77777777" w:rsidR="00BF0860" w:rsidRDefault="00BF0860">
      <w:pPr>
        <w:rPr>
          <w:rFonts w:eastAsia="Times New Roman"/>
        </w:rPr>
      </w:pPr>
      <w:r>
        <w:br w:type="page"/>
      </w:r>
    </w:p>
    <w:p w14:paraId="442B038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lastRenderedPageBreak/>
        <w:t>ՄԱՍՆԻԿՆԵՐԻ ԽՏՈՒԹՅՈՒՆԸ</w:t>
      </w:r>
    </w:p>
    <w:p w14:paraId="41341EE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Նյութի մասնիկների խտությունը հաշվի է առնում ինչպես իրական խտությունը, այնպես էլ նյութի հենց մասնիկի ծակոտկենությունը (փակ </w:t>
      </w:r>
      <w:r>
        <w:rPr>
          <w:rFonts w:ascii="Sylfaen" w:hAnsi="Sylfaen"/>
          <w:sz w:val="24"/>
          <w:szCs w:val="24"/>
        </w:rPr>
        <w:t>եւ</w:t>
      </w:r>
      <w:r w:rsidRPr="00B834A2">
        <w:rPr>
          <w:rFonts w:ascii="Sylfaen" w:hAnsi="Sylfaen"/>
          <w:sz w:val="24"/>
          <w:szCs w:val="24"/>
        </w:rPr>
        <w:t xml:space="preserve"> (կամ) փորձի պայմաններում անհասանելի բաց ծակոտիներ): Այդպիսով, մասնիկների խտությունը պայմանավորված է սահմանված այն ծավալի մեծությամբ, որն իր հերթին պայմանավորված է չափման մեթոդով: Նյութի մասնիկի խտությունը կարող է սահմանվել հետ</w:t>
      </w:r>
      <w:r>
        <w:rPr>
          <w:rFonts w:ascii="Sylfaen" w:hAnsi="Sylfaen"/>
          <w:sz w:val="24"/>
          <w:szCs w:val="24"/>
        </w:rPr>
        <w:t>եւ</w:t>
      </w:r>
      <w:r w:rsidRPr="00B834A2">
        <w:rPr>
          <w:rFonts w:ascii="Sylfaen" w:hAnsi="Sylfaen"/>
          <w:sz w:val="24"/>
          <w:szCs w:val="24"/>
        </w:rPr>
        <w:t>յալ երկու մեթոդներից մեկով:</w:t>
      </w:r>
    </w:p>
    <w:p w14:paraId="07914B60"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i/>
          <w:sz w:val="24"/>
          <w:szCs w:val="24"/>
        </w:rPr>
        <w:t>Խտաչափական խտությունը</w:t>
      </w:r>
      <w:r w:rsidRPr="00B834A2">
        <w:rPr>
          <w:rFonts w:ascii="Sylfaen" w:hAnsi="Sylfaen"/>
          <w:sz w:val="24"/>
          <w:szCs w:val="24"/>
        </w:rPr>
        <w:t xml:space="preserve"> որոշվում է փոշենման նյութի հայտնի զանգվածով զբաղեցված ծավալը չափելու միջոցով, որը համարժեք է գազի՝ գազային խտաչափի օգնությամբ որոշված նյութով արտամղված ծավալին: Նյութի՝ այդպիսի մեթոդով սահմանված ծավալը բացառում է բաց ծակոտիների զբաղեցրած ծավալը, սակայն ներառում է փակ կամ գազի համար անհասանելի ծակոտիների ծավալը: Հելիումի դիֆուզիայի բարձր գործակցի շնորհիվ, որը գազի որոշման համար ավելի նախընտրելի է, բաց ծակոտիների մեծամասնությունը հասանելի է գազին: Ուստի շատ մանրացված փոշու գազային խտաչափական խտությունն ընդհանուր առմամբ աննշան տարբերվում է իրական խտության արժեքից: Հետ</w:t>
      </w:r>
      <w:r>
        <w:rPr>
          <w:rFonts w:ascii="Sylfaen" w:hAnsi="Sylfaen"/>
          <w:sz w:val="24"/>
          <w:szCs w:val="24"/>
        </w:rPr>
        <w:t>եւ</w:t>
      </w:r>
      <w:r w:rsidRPr="00B834A2">
        <w:rPr>
          <w:rFonts w:ascii="Sylfaen" w:hAnsi="Sylfaen"/>
          <w:sz w:val="24"/>
          <w:szCs w:val="24"/>
        </w:rPr>
        <w:t xml:space="preserve">աբար խտաչափական խտությունը ամորֆ կամ մասնակի բյուրեղային նմուշի իրական խտության լավագույն գնահատականն է </w:t>
      </w:r>
      <w:r>
        <w:rPr>
          <w:rFonts w:ascii="Sylfaen" w:hAnsi="Sylfaen"/>
          <w:sz w:val="24"/>
          <w:szCs w:val="24"/>
        </w:rPr>
        <w:t>եւ</w:t>
      </w:r>
      <w:r w:rsidRPr="00B834A2">
        <w:rPr>
          <w:rFonts w:ascii="Sylfaen" w:hAnsi="Sylfaen"/>
          <w:sz w:val="24"/>
          <w:szCs w:val="24"/>
        </w:rPr>
        <w:t xml:space="preserve"> դրա համար էլ լայնորեն կիրառվում է փոշիների ձ</w:t>
      </w:r>
      <w:r>
        <w:rPr>
          <w:rFonts w:ascii="Sylfaen" w:hAnsi="Sylfaen"/>
          <w:sz w:val="24"/>
          <w:szCs w:val="24"/>
        </w:rPr>
        <w:t>եւ</w:t>
      </w:r>
      <w:r w:rsidRPr="00B834A2">
        <w:rPr>
          <w:rFonts w:ascii="Sylfaen" w:hAnsi="Sylfaen"/>
          <w:sz w:val="24"/>
          <w:szCs w:val="24"/>
        </w:rPr>
        <w:t>ով դեղամիջոցների նմուշների համար:</w:t>
      </w:r>
    </w:p>
    <w:p w14:paraId="6C0546BD" w14:textId="77777777" w:rsidR="00B834A2" w:rsidRPr="00B834A2" w:rsidRDefault="00B834A2" w:rsidP="001E21E6">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i/>
          <w:sz w:val="24"/>
          <w:szCs w:val="24"/>
        </w:rPr>
        <w:t>Սնդիկային ծակոտկենաչափի օգնությամբ սահմանվող խտությունը</w:t>
      </w:r>
      <w:r w:rsidRPr="00B834A2">
        <w:rPr>
          <w:rFonts w:ascii="Sylfaen" w:hAnsi="Sylfaen"/>
          <w:sz w:val="24"/>
          <w:szCs w:val="24"/>
        </w:rPr>
        <w:t>, որը նա</w:t>
      </w:r>
      <w:r>
        <w:rPr>
          <w:rFonts w:ascii="Sylfaen" w:hAnsi="Sylfaen"/>
          <w:sz w:val="24"/>
          <w:szCs w:val="24"/>
        </w:rPr>
        <w:t>եւ</w:t>
      </w:r>
      <w:r w:rsidRPr="00B834A2">
        <w:rPr>
          <w:rFonts w:ascii="Sylfaen" w:hAnsi="Sylfaen"/>
          <w:sz w:val="24"/>
          <w:szCs w:val="24"/>
        </w:rPr>
        <w:t xml:space="preserve"> անվանվում է հատիկավոր խտություն: Տվյալ մեթոդով որոշվող ծավալը ներառում է փակ ծակոտիներով կամ սնդիկի համար անհասանելի ծակոտիներով զբաղեցրած ծավալը, բայց ներառում է միայն այն բաց ծակոտիների ծավալը, որոնք փոքր են որոշակի սահմանային արժեքից: Ծակոտիների չափի սահմանային արժեքը կամ հասանելիության նվազագույն տրամագիծը պայմանավորված է առավելագույն ճնշմամբ, որի տակ մատակարարվում է սնդիկը՝ չափման ժամանակ. չափման սովորական պայմաններում սնդիկը չի ներթափանցում հելիումի համար հասանելի մանրագույն ծակոտիների մեջ: Մեկ նմուշի համար </w:t>
      </w:r>
      <w:r w:rsidRPr="00B834A2">
        <w:rPr>
          <w:rFonts w:ascii="Sylfaen" w:hAnsi="Sylfaen"/>
          <w:sz w:val="24"/>
          <w:szCs w:val="24"/>
        </w:rPr>
        <w:lastRenderedPageBreak/>
        <w:t>կարող են ստանալ հատիկավոր խտության տարբեր արժեքներ՝ սնդիկի յուրաքանչյուր օգտագործվող ներժայթքային ճնշման դեպքում, որոնք տվյալ ճնշման դեպքում համապատասխանում են ծակոտիների սահմանային չափի տարբեր արժեքներին:</w:t>
      </w:r>
    </w:p>
    <w:p w14:paraId="2177A897" w14:textId="77777777" w:rsidR="00B834A2" w:rsidRPr="00B834A2" w:rsidRDefault="00B834A2" w:rsidP="001E21E6">
      <w:pPr>
        <w:pStyle w:val="Bodytext20"/>
        <w:shd w:val="clear" w:color="auto" w:fill="auto"/>
        <w:spacing w:before="0" w:after="160" w:line="348" w:lineRule="auto"/>
        <w:jc w:val="left"/>
        <w:rPr>
          <w:rFonts w:ascii="Sylfaen" w:hAnsi="Sylfaen" w:cs="Sylfaen"/>
          <w:b/>
          <w:sz w:val="24"/>
          <w:szCs w:val="24"/>
        </w:rPr>
      </w:pPr>
    </w:p>
    <w:p w14:paraId="068B59F0" w14:textId="77777777" w:rsidR="00B834A2" w:rsidRPr="00B834A2" w:rsidRDefault="00B834A2" w:rsidP="001E21E6">
      <w:pPr>
        <w:pStyle w:val="Bodytext20"/>
        <w:shd w:val="clear" w:color="auto" w:fill="auto"/>
        <w:spacing w:before="0" w:after="160" w:line="348" w:lineRule="auto"/>
        <w:ind w:firstLine="567"/>
        <w:jc w:val="both"/>
        <w:rPr>
          <w:rFonts w:ascii="Sylfaen" w:hAnsi="Sylfaen" w:cs="Sylfaen"/>
          <w:b/>
          <w:sz w:val="24"/>
          <w:szCs w:val="24"/>
        </w:rPr>
      </w:pPr>
      <w:r w:rsidRPr="00B834A2">
        <w:rPr>
          <w:rFonts w:ascii="Sylfaen" w:hAnsi="Sylfaen"/>
          <w:b/>
          <w:sz w:val="24"/>
          <w:szCs w:val="24"/>
        </w:rPr>
        <w:t>ԼՑՄԱՆ ԽՏՈՒԹՅՈՒՆԸ ԵՎ ԽՏՈՒԹՅՈՒՆԸ ԽՏԱՑՈՒՄԻՑ ՀԵՏՈ</w:t>
      </w:r>
    </w:p>
    <w:p w14:paraId="2B05FEB1" w14:textId="77777777" w:rsidR="00B834A2" w:rsidRPr="00B834A2" w:rsidRDefault="00B834A2" w:rsidP="001E21E6">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Փոշու լցման խտությունը հաշվի է առնում փոշիների մասնիկների միջ</w:t>
      </w:r>
      <w:r>
        <w:rPr>
          <w:rFonts w:ascii="Sylfaen" w:hAnsi="Sylfaen"/>
          <w:sz w:val="24"/>
          <w:szCs w:val="24"/>
        </w:rPr>
        <w:t>եւ</w:t>
      </w:r>
      <w:r w:rsidRPr="00B834A2">
        <w:rPr>
          <w:rFonts w:ascii="Sylfaen" w:hAnsi="Sylfaen"/>
          <w:sz w:val="24"/>
          <w:szCs w:val="24"/>
        </w:rPr>
        <w:t xml:space="preserve"> ազատ ծավալի ներդրումը: Ուստի լցման խտությունը պայմանավորված է ինչպես փոշու մասնիկների խտությամբ, այնպես էլ փոշու շերտում դրանց տարածական դասավորությամբ:</w:t>
      </w:r>
    </w:p>
    <w:p w14:paraId="2008901D" w14:textId="77777777" w:rsidR="00B834A2" w:rsidRPr="00B834A2" w:rsidRDefault="00B834A2" w:rsidP="001E21E6">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Փոշու լցման խտությունը հաճախ բավականին բարդ է չափել պատշաճ վերարտադրելիությամբ, քանի որ շերտում ամենափոքր խախտումները կարող են բերել խտության նոր արժեքի: Այսպիսով, կար</w:t>
      </w:r>
      <w:r>
        <w:rPr>
          <w:rFonts w:ascii="Sylfaen" w:hAnsi="Sylfaen"/>
          <w:sz w:val="24"/>
          <w:szCs w:val="24"/>
        </w:rPr>
        <w:t>եւ</w:t>
      </w:r>
      <w:r w:rsidRPr="00B834A2">
        <w:rPr>
          <w:rFonts w:ascii="Sylfaen" w:hAnsi="Sylfaen"/>
          <w:sz w:val="24"/>
          <w:szCs w:val="24"/>
        </w:rPr>
        <w:t>որ է լցման խտության հետ նշել, թե ինչպես է այն որոշվել:</w:t>
      </w:r>
    </w:p>
    <w:p w14:paraId="038D6AC7" w14:textId="77777777" w:rsidR="00B834A2" w:rsidRPr="00B834A2" w:rsidRDefault="00B834A2" w:rsidP="001E21E6">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 xml:space="preserve">Լցման խտությունը </w:t>
      </w:r>
      <w:r>
        <w:rPr>
          <w:rFonts w:ascii="Sylfaen" w:hAnsi="Sylfaen"/>
          <w:sz w:val="24"/>
          <w:szCs w:val="24"/>
        </w:rPr>
        <w:t>եւ</w:t>
      </w:r>
      <w:r w:rsidRPr="00B834A2">
        <w:rPr>
          <w:rFonts w:ascii="Sylfaen" w:hAnsi="Sylfaen"/>
          <w:sz w:val="24"/>
          <w:szCs w:val="24"/>
        </w:rPr>
        <w:t xml:space="preserve"> խտացումից հետո խտությունը որոշում են, ինչպես նշված է </w:t>
      </w:r>
      <w:r w:rsidRPr="00B834A2">
        <w:rPr>
          <w:rFonts w:ascii="Sylfaen" w:hAnsi="Sylfaen"/>
          <w:i/>
          <w:sz w:val="24"/>
          <w:szCs w:val="24"/>
        </w:rPr>
        <w:t>2.1.10.3</w:t>
      </w:r>
      <w:r w:rsidRPr="00B834A2">
        <w:rPr>
          <w:rStyle w:val="Bodytext2Italic"/>
          <w:sz w:val="24"/>
          <w:szCs w:val="24"/>
        </w:rPr>
        <w:t xml:space="preserve"> Լցման խտությունը եւ խտությունը խտացումից հետո</w:t>
      </w:r>
      <w:r w:rsidRPr="00B834A2">
        <w:rPr>
          <w:rFonts w:ascii="Sylfaen" w:hAnsi="Sylfaen"/>
          <w:sz w:val="24"/>
          <w:szCs w:val="24"/>
        </w:rPr>
        <w:t xml:space="preserve"> ընդհանուր դեղագրքային հոդվածում։ </w:t>
      </w:r>
    </w:p>
    <w:p w14:paraId="6345F748" w14:textId="77777777" w:rsidR="00B834A2" w:rsidRPr="00B834A2" w:rsidRDefault="00B834A2" w:rsidP="001E21E6">
      <w:pPr>
        <w:pStyle w:val="Bodytext20"/>
        <w:shd w:val="clear" w:color="auto" w:fill="auto"/>
        <w:spacing w:before="0" w:after="160" w:line="348" w:lineRule="auto"/>
        <w:ind w:left="3220"/>
        <w:jc w:val="right"/>
        <w:rPr>
          <w:rStyle w:val="Bodytext29pt"/>
          <w:sz w:val="24"/>
          <w:szCs w:val="24"/>
        </w:rPr>
      </w:pPr>
    </w:p>
    <w:p w14:paraId="0E2C7EB1" w14:textId="77777777" w:rsidR="00B834A2" w:rsidRPr="00DD273F" w:rsidRDefault="00B834A2" w:rsidP="001E21E6">
      <w:pPr>
        <w:pStyle w:val="Bodytext20"/>
        <w:shd w:val="clear" w:color="auto" w:fill="auto"/>
        <w:spacing w:before="0" w:after="160" w:line="348" w:lineRule="auto"/>
        <w:ind w:left="3220"/>
        <w:jc w:val="right"/>
        <w:rPr>
          <w:rStyle w:val="Bodytext29pt"/>
          <w:b/>
          <w:sz w:val="20"/>
          <w:szCs w:val="24"/>
        </w:rPr>
      </w:pPr>
      <w:r w:rsidRPr="00DD273F">
        <w:rPr>
          <w:rStyle w:val="Bodytext29pt"/>
          <w:b/>
          <w:sz w:val="20"/>
          <w:szCs w:val="24"/>
        </w:rPr>
        <w:t>201100005-2022</w:t>
      </w:r>
    </w:p>
    <w:p w14:paraId="5C05179A" w14:textId="77777777" w:rsidR="00DD273F" w:rsidRPr="00DD273F" w:rsidRDefault="00DD273F" w:rsidP="001E21E6">
      <w:pPr>
        <w:pStyle w:val="Bodytext20"/>
        <w:shd w:val="clear" w:color="auto" w:fill="auto"/>
        <w:spacing w:before="0" w:after="160" w:line="348" w:lineRule="auto"/>
        <w:ind w:left="3220"/>
        <w:jc w:val="right"/>
        <w:rPr>
          <w:rFonts w:ascii="Sylfaen" w:hAnsi="Sylfaen" w:cs="Sylfaen"/>
          <w:b/>
          <w:sz w:val="20"/>
          <w:szCs w:val="24"/>
        </w:rPr>
      </w:pPr>
    </w:p>
    <w:p w14:paraId="4A675DD7" w14:textId="77777777" w:rsidR="00B834A2" w:rsidRPr="001E21E6" w:rsidRDefault="00B834A2" w:rsidP="001E21E6">
      <w:pPr>
        <w:pStyle w:val="Bodytext20"/>
        <w:shd w:val="clear" w:color="auto" w:fill="auto"/>
        <w:tabs>
          <w:tab w:val="left" w:pos="1701"/>
        </w:tabs>
        <w:spacing w:before="0" w:after="160" w:line="348" w:lineRule="auto"/>
        <w:ind w:firstLine="567"/>
        <w:jc w:val="both"/>
        <w:rPr>
          <w:rFonts w:ascii="Sylfaen" w:hAnsi="Sylfaen" w:cs="Sylfaen"/>
          <w:b/>
          <w:sz w:val="24"/>
          <w:szCs w:val="24"/>
        </w:rPr>
      </w:pPr>
      <w:r w:rsidRPr="001E21E6">
        <w:rPr>
          <w:rStyle w:val="Bodytext29pt"/>
          <w:b/>
          <w:sz w:val="24"/>
          <w:szCs w:val="24"/>
        </w:rPr>
        <w:t>2.1.10.5.</w:t>
      </w:r>
      <w:r w:rsidR="001E21E6" w:rsidRPr="00097504">
        <w:rPr>
          <w:rStyle w:val="Bodytext29pt"/>
          <w:b/>
          <w:sz w:val="24"/>
          <w:szCs w:val="24"/>
        </w:rPr>
        <w:tab/>
      </w:r>
      <w:r w:rsidRPr="001E21E6">
        <w:rPr>
          <w:rStyle w:val="Bodytext29pt"/>
          <w:b/>
          <w:sz w:val="24"/>
          <w:szCs w:val="24"/>
        </w:rPr>
        <w:t>Պինդ նյութերի բյուրեղայնության որոշումը՝ փոշու ռենտգենյան դիֆրակտաչափության մեթոդով</w:t>
      </w:r>
    </w:p>
    <w:p w14:paraId="7A87D459" w14:textId="77777777" w:rsidR="00B834A2" w:rsidRPr="00097504" w:rsidRDefault="00B834A2" w:rsidP="001E21E6">
      <w:pPr>
        <w:pStyle w:val="Bodytext20"/>
        <w:shd w:val="clear" w:color="auto" w:fill="auto"/>
        <w:spacing w:before="0" w:after="160" w:line="348" w:lineRule="auto"/>
        <w:ind w:firstLine="567"/>
        <w:jc w:val="both"/>
        <w:rPr>
          <w:rFonts w:ascii="Sylfaen" w:hAnsi="Sylfaen"/>
          <w:sz w:val="24"/>
          <w:szCs w:val="24"/>
        </w:rPr>
      </w:pPr>
      <w:r w:rsidRPr="00B834A2">
        <w:rPr>
          <w:rFonts w:ascii="Sylfaen" w:hAnsi="Sylfaen"/>
          <w:sz w:val="24"/>
          <w:szCs w:val="24"/>
        </w:rPr>
        <w:t>Նմուշի յուրաքանչյուր բյուրեղային ֆազ տալիս է ռենտգենյան դիֆրակցիայի բնորոշ պատկեր: Ռենտգենյան դիֆրակտագրերը ստանում են անկանոն կողմնորոշված բյուրեղային փոշիների համար, որոնք բաղկացած են բյուրեղներից կամ բյուրեղի՝ վերջնական չափերի բեկորներից: Փոշու՝ ստացված դիֆրակտագիրը ներառում է երեք տեսակի տեղեկատվություն.</w:t>
      </w:r>
    </w:p>
    <w:p w14:paraId="47EA52F7"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1E21E6" w:rsidRPr="00097504">
        <w:rPr>
          <w:rFonts w:ascii="Sylfaen" w:hAnsi="Sylfaen"/>
          <w:sz w:val="24"/>
          <w:szCs w:val="24"/>
        </w:rPr>
        <w:tab/>
      </w:r>
      <w:r w:rsidRPr="00B834A2">
        <w:rPr>
          <w:rFonts w:ascii="Sylfaen" w:hAnsi="Sylfaen"/>
          <w:sz w:val="24"/>
          <w:szCs w:val="24"/>
        </w:rPr>
        <w:t xml:space="preserve">դիֆրակցիոն գծերի անկյունային դիրք (որը պայմանավորված է տարրական բջջի երկրաչափությամբ </w:t>
      </w:r>
      <w:r>
        <w:rPr>
          <w:rFonts w:ascii="Sylfaen" w:hAnsi="Sylfaen"/>
          <w:sz w:val="24"/>
          <w:szCs w:val="24"/>
        </w:rPr>
        <w:t>եւ</w:t>
      </w:r>
      <w:r w:rsidRPr="00B834A2">
        <w:rPr>
          <w:rFonts w:ascii="Sylfaen" w:hAnsi="Sylfaen"/>
          <w:sz w:val="24"/>
          <w:szCs w:val="24"/>
        </w:rPr>
        <w:t xml:space="preserve"> չափով).</w:t>
      </w:r>
    </w:p>
    <w:p w14:paraId="037DB8A8"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sz w:val="24"/>
          <w:szCs w:val="24"/>
        </w:rPr>
        <w:t xml:space="preserve">դիֆրակցիոն գծերի ինտենսիվություն (որը գլխավորապես պայմանավորված է ատոմների տեսակով </w:t>
      </w:r>
      <w:r>
        <w:rPr>
          <w:rFonts w:ascii="Sylfaen" w:hAnsi="Sylfaen"/>
          <w:sz w:val="24"/>
          <w:szCs w:val="24"/>
        </w:rPr>
        <w:t>եւ</w:t>
      </w:r>
      <w:r w:rsidRPr="00B834A2">
        <w:rPr>
          <w:rFonts w:ascii="Sylfaen" w:hAnsi="Sylfaen"/>
          <w:sz w:val="24"/>
          <w:szCs w:val="24"/>
        </w:rPr>
        <w:t xml:space="preserve"> դրանց փոխադարձ դասավորությամբ, նմուշում բյուրեղների կողմնորոշմամբ).</w:t>
      </w:r>
    </w:p>
    <w:p w14:paraId="0921C03A" w14:textId="77777777" w:rsidR="00B834A2" w:rsidRPr="00B834A2" w:rsidRDefault="00B834A2" w:rsidP="001E21E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E21E6" w:rsidRPr="001E21E6">
        <w:rPr>
          <w:rFonts w:ascii="Sylfaen" w:hAnsi="Sylfaen"/>
          <w:sz w:val="24"/>
          <w:szCs w:val="24"/>
        </w:rPr>
        <w:tab/>
      </w:r>
      <w:r w:rsidRPr="00B834A2">
        <w:rPr>
          <w:rFonts w:ascii="Sylfaen" w:hAnsi="Sylfaen"/>
          <w:sz w:val="24"/>
          <w:szCs w:val="24"/>
        </w:rPr>
        <w:t xml:space="preserve">դիֆրակցիոն գծերի պրոֆիլներ (որոնք պայմանավորված են գործիքային տեխնիկայի թույլատրող ունակությամբ, բյուրեղների չափերով, դեֆորմացիայով </w:t>
      </w:r>
      <w:r>
        <w:rPr>
          <w:rFonts w:ascii="Sylfaen" w:hAnsi="Sylfaen"/>
          <w:sz w:val="24"/>
          <w:szCs w:val="24"/>
        </w:rPr>
        <w:t>եւ</w:t>
      </w:r>
      <w:r w:rsidRPr="00B834A2">
        <w:rPr>
          <w:rFonts w:ascii="Sylfaen" w:hAnsi="Sylfaen"/>
          <w:sz w:val="24"/>
          <w:szCs w:val="24"/>
        </w:rPr>
        <w:t xml:space="preserve"> նմուշի հաստությամբ):</w:t>
      </w:r>
    </w:p>
    <w:p w14:paraId="6ED83793"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Փորձնական ճանապարհով ստացված անկյունային դիրքերը </w:t>
      </w:r>
      <w:r>
        <w:rPr>
          <w:rFonts w:ascii="Sylfaen" w:hAnsi="Sylfaen"/>
          <w:sz w:val="24"/>
          <w:szCs w:val="24"/>
        </w:rPr>
        <w:t>եւ</w:t>
      </w:r>
      <w:r w:rsidRPr="00B834A2">
        <w:rPr>
          <w:rFonts w:ascii="Sylfaen" w:hAnsi="Sylfaen"/>
          <w:sz w:val="24"/>
          <w:szCs w:val="24"/>
        </w:rPr>
        <w:t xml:space="preserve"> գծերի ինտենսիվություններն օգտագործում են ինչպես որակական ֆազային անալիզի (օրինակ՝ բյուրեղային ֆազերի նույնականացումը), այնպես էլ բյուրեղային նյութերի քանակական ֆազային անալիզի համար: Անցկացնում են նա</w:t>
      </w:r>
      <w:r>
        <w:rPr>
          <w:rFonts w:ascii="Sylfaen" w:hAnsi="Sylfaen"/>
          <w:sz w:val="24"/>
          <w:szCs w:val="24"/>
        </w:rPr>
        <w:t>եւ</w:t>
      </w:r>
      <w:r w:rsidRPr="00B834A2">
        <w:rPr>
          <w:rFonts w:ascii="Sylfaen" w:hAnsi="Sylfaen"/>
          <w:sz w:val="24"/>
          <w:szCs w:val="24"/>
        </w:rPr>
        <w:t xml:space="preserve"> նմուշում ամորֆ </w:t>
      </w:r>
      <w:r>
        <w:rPr>
          <w:rFonts w:ascii="Sylfaen" w:hAnsi="Sylfaen"/>
          <w:sz w:val="24"/>
          <w:szCs w:val="24"/>
        </w:rPr>
        <w:t>եւ</w:t>
      </w:r>
      <w:r w:rsidRPr="00B834A2">
        <w:rPr>
          <w:rFonts w:ascii="Sylfaen" w:hAnsi="Sylfaen"/>
          <w:sz w:val="24"/>
          <w:szCs w:val="24"/>
        </w:rPr>
        <w:t xml:space="preserve"> բյուրեղային զտամասերի գնահատում:</w:t>
      </w:r>
    </w:p>
    <w:p w14:paraId="77D8FFAE"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Փոշու ռենտգենյան դիֆրակցիայի (ՓՌԴ) մեթոդը կիրառում են նա</w:t>
      </w:r>
      <w:r>
        <w:rPr>
          <w:rFonts w:ascii="Sylfaen" w:hAnsi="Sylfaen"/>
          <w:sz w:val="24"/>
          <w:szCs w:val="24"/>
        </w:rPr>
        <w:t>եւ</w:t>
      </w:r>
      <w:r w:rsidRPr="00B834A2">
        <w:rPr>
          <w:rFonts w:ascii="Sylfaen" w:hAnsi="Sylfaen"/>
          <w:sz w:val="24"/>
          <w:szCs w:val="24"/>
        </w:rPr>
        <w:t xml:space="preserve"> այլ բնագավառներում, օրինակ՝ բյուրեղային դեղագործական բաղադրամասերը հետազոտելու համար՝ բյուրեղային կառուցվածքի որոշում </w:t>
      </w:r>
      <w:r>
        <w:rPr>
          <w:rFonts w:ascii="Sylfaen" w:hAnsi="Sylfaen"/>
          <w:sz w:val="24"/>
          <w:szCs w:val="24"/>
        </w:rPr>
        <w:t>եւ</w:t>
      </w:r>
      <w:r w:rsidRPr="00B834A2">
        <w:rPr>
          <w:rFonts w:ascii="Sylfaen" w:hAnsi="Sylfaen"/>
          <w:sz w:val="24"/>
          <w:szCs w:val="24"/>
        </w:rPr>
        <w:t xml:space="preserve"> ճշգրտում, բյուրեղային ֆազերի բյուրեղագիտական մաքրության </w:t>
      </w:r>
      <w:r>
        <w:rPr>
          <w:rFonts w:ascii="Sylfaen" w:hAnsi="Sylfaen"/>
          <w:sz w:val="24"/>
          <w:szCs w:val="24"/>
        </w:rPr>
        <w:t>եւ</w:t>
      </w:r>
      <w:r w:rsidRPr="00B834A2">
        <w:rPr>
          <w:rFonts w:ascii="Sylfaen" w:hAnsi="Sylfaen"/>
          <w:sz w:val="24"/>
          <w:szCs w:val="24"/>
        </w:rPr>
        <w:t xml:space="preserve"> բյուրեղագիտական նյութերի բնութագրերի որոշում </w:t>
      </w:r>
      <w:r>
        <w:rPr>
          <w:rFonts w:ascii="Sylfaen" w:hAnsi="Sylfaen"/>
          <w:sz w:val="24"/>
          <w:szCs w:val="24"/>
        </w:rPr>
        <w:t>եւ</w:t>
      </w:r>
      <w:r w:rsidRPr="00B834A2">
        <w:rPr>
          <w:rFonts w:ascii="Sylfaen" w:hAnsi="Sylfaen"/>
          <w:sz w:val="24"/>
          <w:szCs w:val="24"/>
        </w:rPr>
        <w:t xml:space="preserve"> այլն: Նշված ոլորտում ՓՌԴ մեթոդի կիրառումը նկարագրված չէ տվյալ ընդհանուր դեղագործական հոդվածում:</w:t>
      </w:r>
    </w:p>
    <w:p w14:paraId="5AD5AB06"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ՓՌԴ մեթոդի առավելությունն անալիզի այլ մեթոդների համեմատ դրա՝ նյութի բնույթը չքայքայելու ունակությունն է (նմուշի նախապատրաստումը սովորաբար սահմանափակվում է մանրացմամբ՝ միայն անկանոն կողմնորոշված նմուշ ստանալու համար): Տվյալ մեթոդի օգնությամբ հետազոտությունները նա</w:t>
      </w:r>
      <w:r>
        <w:rPr>
          <w:rFonts w:ascii="Sylfaen" w:hAnsi="Sylfaen"/>
          <w:sz w:val="24"/>
          <w:szCs w:val="24"/>
        </w:rPr>
        <w:t>եւ</w:t>
      </w:r>
      <w:r w:rsidRPr="00B834A2">
        <w:rPr>
          <w:rFonts w:ascii="Sylfaen" w:hAnsi="Sylfaen"/>
          <w:sz w:val="24"/>
          <w:szCs w:val="24"/>
        </w:rPr>
        <w:t xml:space="preserve"> անցկացնում են </w:t>
      </w:r>
      <w:r w:rsidRPr="00B834A2">
        <w:rPr>
          <w:rStyle w:val="Bodytext2Italic"/>
          <w:sz w:val="24"/>
          <w:szCs w:val="24"/>
        </w:rPr>
        <w:t>in situ</w:t>
      </w:r>
      <w:r w:rsidRPr="00B834A2">
        <w:rPr>
          <w:rFonts w:ascii="Sylfaen" w:hAnsi="Sylfaen"/>
          <w:sz w:val="24"/>
          <w:szCs w:val="24"/>
        </w:rPr>
        <w:t xml:space="preserve"> պայմաններում, որոնք պայմանավորված չեն շրջակա միջավայրով, օրինակ՝ ցածր կամ բարձր ջերմաստիճանների </w:t>
      </w:r>
      <w:r>
        <w:rPr>
          <w:rFonts w:ascii="Sylfaen" w:hAnsi="Sylfaen"/>
          <w:sz w:val="24"/>
          <w:szCs w:val="24"/>
        </w:rPr>
        <w:t>եւ</w:t>
      </w:r>
      <w:r w:rsidRPr="00B834A2">
        <w:rPr>
          <w:rFonts w:ascii="Sylfaen" w:hAnsi="Sylfaen"/>
          <w:sz w:val="24"/>
          <w:szCs w:val="24"/>
        </w:rPr>
        <w:t xml:space="preserve"> խոնավության պայմաններում:</w:t>
      </w:r>
    </w:p>
    <w:p w14:paraId="520EE5E9" w14:textId="77777777" w:rsidR="00B834A2" w:rsidRPr="00B834A2" w:rsidRDefault="00B834A2" w:rsidP="00B834A2">
      <w:pPr>
        <w:spacing w:after="160" w:line="360" w:lineRule="auto"/>
      </w:pPr>
      <w:r w:rsidRPr="00B834A2">
        <w:rPr>
          <w:noProof/>
          <w:lang w:val="en-US" w:eastAsia="en-US" w:bidi="ar-SA"/>
        </w:rPr>
        <w:lastRenderedPageBreak/>
        <w:drawing>
          <wp:inline distT="0" distB="0" distL="0" distR="0" wp14:anchorId="0082A588" wp14:editId="2F14FF84">
            <wp:extent cx="5760085" cy="3791130"/>
            <wp:effectExtent l="19050" t="0" r="0" b="0"/>
            <wp:docPr id="224" name="Picture 28"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1"/>
                    <pic:cNvPicPr>
                      <a:picLocks noChangeAspect="1" noChangeArrowheads="1"/>
                    </pic:cNvPicPr>
                  </pic:nvPicPr>
                  <pic:blipFill>
                    <a:blip r:embed="rId45" cstate="print"/>
                    <a:srcRect/>
                    <a:stretch>
                      <a:fillRect/>
                    </a:stretch>
                  </pic:blipFill>
                  <pic:spPr bwMode="auto">
                    <a:xfrm>
                      <a:off x="0" y="0"/>
                      <a:ext cx="5760085" cy="3791130"/>
                    </a:xfrm>
                    <a:prstGeom prst="rect">
                      <a:avLst/>
                    </a:prstGeom>
                    <a:noFill/>
                    <a:ln w="9525">
                      <a:noFill/>
                      <a:miter lim="800000"/>
                      <a:headEnd/>
                      <a:tailEnd/>
                    </a:ln>
                  </pic:spPr>
                </pic:pic>
              </a:graphicData>
            </a:graphic>
          </wp:inline>
        </w:drawing>
      </w:r>
    </w:p>
    <w:p w14:paraId="20970898" w14:textId="77777777" w:rsidR="00B834A2" w:rsidRPr="001E21E6" w:rsidRDefault="00B834A2" w:rsidP="00B834A2">
      <w:pPr>
        <w:pStyle w:val="Picturecaption130"/>
        <w:shd w:val="clear" w:color="auto" w:fill="auto"/>
        <w:spacing w:after="160" w:line="360" w:lineRule="auto"/>
        <w:rPr>
          <w:rFonts w:ascii="Sylfaen" w:hAnsi="Sylfaen" w:cs="Sylfaen"/>
          <w:szCs w:val="24"/>
        </w:rPr>
      </w:pPr>
      <w:r w:rsidRPr="001E21E6">
        <w:rPr>
          <w:rStyle w:val="Picturecaption13NotItalic"/>
          <w:rFonts w:ascii="Sylfaen" w:hAnsi="Sylfaen"/>
          <w:szCs w:val="24"/>
        </w:rPr>
        <w:t xml:space="preserve">Նկար 2.1.10.5-1 </w:t>
      </w:r>
      <w:r w:rsidRPr="001E21E6">
        <w:rPr>
          <w:rFonts w:ascii="Sylfaen" w:hAnsi="Sylfaen"/>
          <w:szCs w:val="24"/>
        </w:rPr>
        <w:t>- Բյուրեղում ռենտգենյան ճառագայթների դիֆրակցիան՝ ըստ Բրեգգի կանոնի</w:t>
      </w:r>
    </w:p>
    <w:p w14:paraId="5D3166BD" w14:textId="77777777" w:rsidR="00B834A2" w:rsidRPr="00B834A2" w:rsidRDefault="00B834A2" w:rsidP="00B834A2">
      <w:pPr>
        <w:pStyle w:val="Bodytext20"/>
        <w:shd w:val="clear" w:color="auto" w:fill="auto"/>
        <w:spacing w:before="0" w:after="160" w:line="360" w:lineRule="auto"/>
        <w:rPr>
          <w:rFonts w:ascii="Sylfaen" w:hAnsi="Sylfaen" w:cs="Sylfaen"/>
          <w:b/>
          <w:sz w:val="24"/>
          <w:szCs w:val="24"/>
        </w:rPr>
      </w:pPr>
    </w:p>
    <w:p w14:paraId="4B3F515A"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ՍԿԶԲՈՒՆՔԸ</w:t>
      </w:r>
    </w:p>
    <w:p w14:paraId="5720CABA"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Ռենտգենյան դիֆրակցիան ռենտգենյան ճառագայթների՝ ատոմների էլեկտրոնային թաղանթների հետ փոխազդեցության արդյունքն է: Ռենտգենյան ճառագայթների ցրման արդյունքում առաջանում է ատոմների դասավորությամբ պայմանավորված ինտերֆերենցիա: Ինտերֆերենցիան ազդում է նյութի կազմության վրա, եթե երկու արտացոլված ռենտգենյան ճառագայթների միջ</w:t>
      </w:r>
      <w:r>
        <w:rPr>
          <w:rFonts w:ascii="Sylfaen" w:hAnsi="Sylfaen"/>
          <w:sz w:val="24"/>
          <w:szCs w:val="24"/>
        </w:rPr>
        <w:t>եւ</w:t>
      </w:r>
      <w:r w:rsidRPr="00B834A2">
        <w:rPr>
          <w:rFonts w:ascii="Sylfaen" w:hAnsi="Sylfaen"/>
          <w:sz w:val="24"/>
          <w:szCs w:val="24"/>
        </w:rPr>
        <w:t xml:space="preserve"> տարբերությունը կազմում է ալիքների երկարության ամբողջ թիվ: Տվյալ ընտրողական պայմանը նկարագրվում է Բրեգգի հավասարումով (կանոնով) (տե՛ս նկար 2.1.10.5-1):</w:t>
      </w:r>
    </w:p>
    <w:p w14:paraId="200E2407" w14:textId="77777777" w:rsidR="00B834A2" w:rsidRPr="00B834A2" w:rsidRDefault="00B834A2" w:rsidP="001E21E6">
      <w:pPr>
        <w:pStyle w:val="Bodytext20"/>
        <w:shd w:val="clear" w:color="auto" w:fill="auto"/>
        <w:spacing w:before="0" w:after="160" w:line="360" w:lineRule="auto"/>
        <w:rPr>
          <w:rFonts w:ascii="Sylfaen" w:hAnsi="Sylfaen" w:cs="Sylfaen"/>
          <w:sz w:val="24"/>
          <w:szCs w:val="24"/>
        </w:rPr>
      </w:pPr>
      <w:r w:rsidRPr="00B834A2">
        <w:rPr>
          <w:rFonts w:ascii="Sylfaen" w:hAnsi="Sylfaen"/>
          <w:sz w:val="24"/>
          <w:szCs w:val="24"/>
        </w:rPr>
        <w:t>2d</w:t>
      </w:r>
      <w:r w:rsidRPr="00B834A2">
        <w:rPr>
          <w:rStyle w:val="Bodytext2Italic"/>
          <w:sz w:val="24"/>
          <w:szCs w:val="24"/>
          <w:vertAlign w:val="subscript"/>
        </w:rPr>
        <w:t>hkl</w:t>
      </w:r>
      <w:r w:rsidRPr="00B834A2">
        <w:rPr>
          <w:rFonts w:ascii="Sylfaen" w:hAnsi="Sylfaen"/>
          <w:sz w:val="24"/>
          <w:szCs w:val="24"/>
        </w:rPr>
        <w:t xml:space="preserve"> sin</w:t>
      </w:r>
      <w:r w:rsidR="00024994" w:rsidRPr="00024994">
        <w:rPr>
          <w:rFonts w:ascii="Sylfaen" w:hAnsi="Sylfaen"/>
          <w:sz w:val="24"/>
          <w:szCs w:val="24"/>
        </w:rPr>
        <w:t xml:space="preserve"> </w:t>
      </w:r>
      <w:r w:rsidR="00024994" w:rsidRPr="00B834A2">
        <w:rPr>
          <w:rFonts w:ascii="Sylfaen" w:hAnsi="Sylfaen"/>
          <w:sz w:val="24"/>
          <w:szCs w:val="24"/>
        </w:rPr>
        <w:t>θ</w:t>
      </w:r>
      <w:r w:rsidRPr="00B834A2">
        <w:rPr>
          <w:rStyle w:val="Bodytext2Italic"/>
          <w:sz w:val="24"/>
          <w:szCs w:val="24"/>
          <w:vertAlign w:val="subscript"/>
        </w:rPr>
        <w:t>hkl=</w:t>
      </w:r>
      <w:r w:rsidRPr="00B834A2">
        <w:rPr>
          <w:rStyle w:val="Bodytext2Italic"/>
          <w:sz w:val="24"/>
          <w:szCs w:val="24"/>
        </w:rPr>
        <w:t>n</w:t>
      </w:r>
      <w:r w:rsidRPr="00B834A2">
        <w:rPr>
          <w:rFonts w:ascii="Sylfaen" w:hAnsi="Sylfaen"/>
          <w:sz w:val="24"/>
          <w:szCs w:val="24"/>
        </w:rPr>
        <w:t>λ</w:t>
      </w:r>
    </w:p>
    <w:p w14:paraId="5988EDF1"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Х-ռենտգենյան ճառագայթների ալիքի երկարությունն ունի արժեքների մի</w:t>
      </w:r>
      <w:r>
        <w:rPr>
          <w:rFonts w:ascii="Sylfaen" w:hAnsi="Sylfaen"/>
          <w:sz w:val="24"/>
          <w:szCs w:val="24"/>
        </w:rPr>
        <w:t>եւ</w:t>
      </w:r>
      <w:r w:rsidRPr="00B834A2">
        <w:rPr>
          <w:rFonts w:ascii="Sylfaen" w:hAnsi="Sylfaen"/>
          <w:sz w:val="24"/>
          <w:szCs w:val="24"/>
        </w:rPr>
        <w:t xml:space="preserve">նույն կարգը, ինչը </w:t>
      </w:r>
      <w:r>
        <w:rPr>
          <w:rFonts w:ascii="Sylfaen" w:hAnsi="Sylfaen"/>
          <w:sz w:val="24"/>
          <w:szCs w:val="24"/>
        </w:rPr>
        <w:t>եւ</w:t>
      </w:r>
      <w:r w:rsidRPr="00B834A2">
        <w:rPr>
          <w:rFonts w:ascii="Sylfaen" w:hAnsi="Sylfaen"/>
          <w:sz w:val="24"/>
          <w:szCs w:val="24"/>
        </w:rPr>
        <w:t xml:space="preserve"> d/</w:t>
      </w:r>
      <w:r w:rsidRPr="00B834A2">
        <w:rPr>
          <w:rStyle w:val="Bodytext2Italic"/>
          <w:sz w:val="24"/>
          <w:szCs w:val="24"/>
          <w:vertAlign w:val="subscript"/>
        </w:rPr>
        <w:t xml:space="preserve">hkl </w:t>
      </w:r>
      <w:r w:rsidRPr="00B834A2">
        <w:rPr>
          <w:rFonts w:ascii="Sylfaen" w:hAnsi="Sylfaen"/>
          <w:sz w:val="24"/>
          <w:szCs w:val="24"/>
        </w:rPr>
        <w:t>բյուրեղացանցի հաջորդական հարթությունների միջ</w:t>
      </w:r>
      <w:r>
        <w:rPr>
          <w:rFonts w:ascii="Sylfaen" w:hAnsi="Sylfaen"/>
          <w:sz w:val="24"/>
          <w:szCs w:val="24"/>
        </w:rPr>
        <w:t>եւ</w:t>
      </w:r>
      <w:r w:rsidRPr="00B834A2">
        <w:rPr>
          <w:rFonts w:ascii="Sylfaen" w:hAnsi="Sylfaen"/>
          <w:sz w:val="24"/>
          <w:szCs w:val="24"/>
        </w:rPr>
        <w:t xml:space="preserve"> տարածությունն է (միջհարթությունային հեռավորություն): </w:t>
      </w:r>
      <w:r w:rsidR="00024994" w:rsidRPr="00B834A2">
        <w:rPr>
          <w:rFonts w:ascii="Sylfaen" w:hAnsi="Sylfaen"/>
          <w:sz w:val="24"/>
          <w:szCs w:val="24"/>
        </w:rPr>
        <w:t>θ</w:t>
      </w:r>
      <w:r w:rsidRPr="00B834A2">
        <w:rPr>
          <w:rStyle w:val="Bodytext2Italic"/>
          <w:sz w:val="24"/>
          <w:szCs w:val="24"/>
          <w:vertAlign w:val="subscript"/>
        </w:rPr>
        <w:t>hkl</w:t>
      </w:r>
      <w:r w:rsidRPr="00B834A2">
        <w:rPr>
          <w:rFonts w:ascii="Sylfaen" w:hAnsi="Sylfaen"/>
          <w:sz w:val="24"/>
          <w:szCs w:val="24"/>
        </w:rPr>
        <w:t xml:space="preserve"> մեծությունն </w:t>
      </w:r>
      <w:r w:rsidRPr="00B834A2">
        <w:rPr>
          <w:rFonts w:ascii="Sylfaen" w:hAnsi="Sylfaen"/>
          <w:sz w:val="24"/>
          <w:szCs w:val="24"/>
        </w:rPr>
        <w:lastRenderedPageBreak/>
        <w:t xml:space="preserve">ընկնող ճառագայթի </w:t>
      </w:r>
      <w:r>
        <w:rPr>
          <w:rFonts w:ascii="Sylfaen" w:hAnsi="Sylfaen"/>
          <w:sz w:val="24"/>
          <w:szCs w:val="24"/>
        </w:rPr>
        <w:t>եւ</w:t>
      </w:r>
      <w:r w:rsidRPr="00B834A2">
        <w:rPr>
          <w:rFonts w:ascii="Sylfaen" w:hAnsi="Sylfaen"/>
          <w:sz w:val="24"/>
          <w:szCs w:val="24"/>
        </w:rPr>
        <w:t xml:space="preserve"> ցանցի հարթությունների ընտանիքի միջ</w:t>
      </w:r>
      <w:r>
        <w:rPr>
          <w:rFonts w:ascii="Sylfaen" w:hAnsi="Sylfaen"/>
          <w:sz w:val="24"/>
          <w:szCs w:val="24"/>
        </w:rPr>
        <w:t>եւ</w:t>
      </w:r>
      <w:r w:rsidRPr="00B834A2">
        <w:rPr>
          <w:rFonts w:ascii="Sylfaen" w:hAnsi="Sylfaen"/>
          <w:sz w:val="24"/>
          <w:szCs w:val="24"/>
        </w:rPr>
        <w:t xml:space="preserve"> անկյունն է, sin</w:t>
      </w:r>
      <w:r w:rsidR="00024994" w:rsidRPr="00B834A2">
        <w:rPr>
          <w:rFonts w:ascii="Sylfaen" w:hAnsi="Sylfaen"/>
          <w:sz w:val="24"/>
          <w:szCs w:val="24"/>
        </w:rPr>
        <w:t>θ</w:t>
      </w:r>
      <w:r w:rsidRPr="00B834A2">
        <w:rPr>
          <w:rStyle w:val="Bodytext2Italic"/>
          <w:sz w:val="24"/>
          <w:szCs w:val="24"/>
          <w:vertAlign w:val="subscript"/>
        </w:rPr>
        <w:t>htl</w:t>
      </w:r>
      <w:r w:rsidRPr="00B834A2">
        <w:rPr>
          <w:rFonts w:ascii="Sylfaen" w:hAnsi="Sylfaen"/>
          <w:sz w:val="24"/>
          <w:szCs w:val="24"/>
        </w:rPr>
        <w:t xml:space="preserve">-ը հակադարձ համեմատական է </w:t>
      </w:r>
      <w:r w:rsidRPr="00B834A2">
        <w:rPr>
          <w:rStyle w:val="Bodytext2Italic"/>
          <w:sz w:val="24"/>
          <w:szCs w:val="24"/>
        </w:rPr>
        <w:t xml:space="preserve">d </w:t>
      </w:r>
      <w:r w:rsidRPr="00B834A2">
        <w:rPr>
          <w:rFonts w:ascii="Sylfaen" w:hAnsi="Sylfaen"/>
          <w:sz w:val="24"/>
          <w:szCs w:val="24"/>
        </w:rPr>
        <w:t>միջհարթությունային հեռավորությանը:</w:t>
      </w:r>
    </w:p>
    <w:p w14:paraId="751D28B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Ուղղությունը </w:t>
      </w:r>
      <w:r>
        <w:rPr>
          <w:rFonts w:ascii="Sylfaen" w:hAnsi="Sylfaen"/>
          <w:sz w:val="24"/>
          <w:szCs w:val="24"/>
        </w:rPr>
        <w:t>եւ</w:t>
      </w:r>
      <w:r w:rsidRPr="00B834A2">
        <w:rPr>
          <w:rFonts w:ascii="Sylfaen" w:hAnsi="Sylfaen"/>
          <w:sz w:val="24"/>
          <w:szCs w:val="24"/>
        </w:rPr>
        <w:t xml:space="preserve"> միջհարթությունային հեռավորությունը տարրական բջջի առանցքների նկատմամբ որոշվում են Միլլերի ինդեքսներով </w:t>
      </w:r>
      <w:r w:rsidRPr="00B834A2">
        <w:rPr>
          <w:rStyle w:val="Bodytext2Italic"/>
          <w:sz w:val="24"/>
          <w:szCs w:val="24"/>
        </w:rPr>
        <w:t>{hkl}:</w:t>
      </w:r>
      <w:r w:rsidRPr="00B834A2">
        <w:rPr>
          <w:rFonts w:ascii="Sylfaen" w:hAnsi="Sylfaen"/>
          <w:sz w:val="24"/>
          <w:szCs w:val="24"/>
        </w:rPr>
        <w:t xml:space="preserve"> Ինդեքսները հատվածների ամենափոքր ամբողջ թիվն են, որոնց վրա հարթությունը կիսում է տարրական բջիջների առանցքները: Ցանցի հաստատունը որոշվում է </w:t>
      </w:r>
      <w:r w:rsidRPr="00B834A2">
        <w:rPr>
          <w:rStyle w:val="Bodytext2Italic"/>
          <w:sz w:val="24"/>
          <w:szCs w:val="24"/>
        </w:rPr>
        <w:t>а, b, с</w:t>
      </w:r>
      <w:r w:rsidRPr="00B834A2">
        <w:rPr>
          <w:rFonts w:ascii="Sylfaen" w:hAnsi="Sylfaen"/>
          <w:sz w:val="24"/>
          <w:szCs w:val="24"/>
        </w:rPr>
        <w:t xml:space="preserve"> հատվածներով </w:t>
      </w:r>
      <w:r>
        <w:rPr>
          <w:rFonts w:ascii="Sylfaen" w:hAnsi="Sylfaen"/>
          <w:sz w:val="24"/>
          <w:szCs w:val="24"/>
        </w:rPr>
        <w:t>եւ</w:t>
      </w:r>
      <w:r w:rsidRPr="00B834A2">
        <w:rPr>
          <w:rFonts w:ascii="Sylfaen" w:hAnsi="Sylfaen"/>
          <w:sz w:val="24"/>
          <w:szCs w:val="24"/>
        </w:rPr>
        <w:t xml:space="preserve"> դրանց միջ</w:t>
      </w:r>
      <w:r>
        <w:rPr>
          <w:rFonts w:ascii="Sylfaen" w:hAnsi="Sylfaen"/>
          <w:sz w:val="24"/>
          <w:szCs w:val="24"/>
        </w:rPr>
        <w:t>եւ</w:t>
      </w:r>
      <w:r w:rsidRPr="00B834A2">
        <w:rPr>
          <w:rFonts w:ascii="Sylfaen" w:hAnsi="Sylfaen"/>
          <w:sz w:val="24"/>
          <w:szCs w:val="24"/>
        </w:rPr>
        <w:t xml:space="preserve"> α, β ու γ անկյուններով:</w:t>
      </w:r>
    </w:p>
    <w:p w14:paraId="7AB0D3F7"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 xml:space="preserve">Hkl </w:t>
      </w:r>
      <w:r w:rsidRPr="00B834A2">
        <w:rPr>
          <w:rFonts w:ascii="Sylfaen" w:hAnsi="Sylfaen"/>
          <w:sz w:val="24"/>
          <w:szCs w:val="24"/>
        </w:rPr>
        <w:t xml:space="preserve">զուգահեռ հարթությունների լրակազմի համար միջհարթությունային հեռավորությունը նշում են </w:t>
      </w:r>
      <w:r w:rsidRPr="00B834A2">
        <w:rPr>
          <w:rStyle w:val="Bodytext2Italic"/>
          <w:sz w:val="24"/>
          <w:szCs w:val="24"/>
        </w:rPr>
        <w:t>d</w:t>
      </w:r>
      <w:r w:rsidRPr="00B834A2">
        <w:rPr>
          <w:rStyle w:val="Bodytext2Italic"/>
          <w:sz w:val="24"/>
          <w:szCs w:val="24"/>
          <w:vertAlign w:val="subscript"/>
        </w:rPr>
        <w:t>hkl</w:t>
      </w:r>
      <w:r w:rsidRPr="00B834A2">
        <w:rPr>
          <w:rFonts w:ascii="Sylfaen" w:hAnsi="Sylfaen"/>
          <w:sz w:val="24"/>
          <w:szCs w:val="24"/>
        </w:rPr>
        <w:t xml:space="preserve">-ով: Հարթությունների յուրաքանչյուր այդպիսի ընտանիք ցույց է տալիս դիֆրակցիայի ավելի բարձր հաջորդականություն, եթե </w:t>
      </w:r>
      <w:r w:rsidRPr="00B834A2">
        <w:rPr>
          <w:rStyle w:val="Bodytext2Italic"/>
          <w:sz w:val="24"/>
          <w:szCs w:val="24"/>
        </w:rPr>
        <w:t xml:space="preserve">nh, </w:t>
      </w:r>
      <w:r w:rsidR="00DD273F" w:rsidRPr="00DD273F">
        <w:rPr>
          <w:rStyle w:val="Bodytext2Italic"/>
          <w:sz w:val="24"/>
          <w:szCs w:val="24"/>
        </w:rPr>
        <w:t>n</w:t>
      </w:r>
      <w:r w:rsidRPr="00B834A2">
        <w:rPr>
          <w:rStyle w:val="Bodytext2Italic"/>
          <w:sz w:val="24"/>
          <w:szCs w:val="24"/>
        </w:rPr>
        <w:t>k, nl</w:t>
      </w:r>
      <w:r w:rsidRPr="00B834A2">
        <w:rPr>
          <w:rFonts w:ascii="Sylfaen" w:hAnsi="Sylfaen"/>
          <w:sz w:val="24"/>
          <w:szCs w:val="24"/>
        </w:rPr>
        <w:t xml:space="preserve"> հարթությունների համապատասխան ընտանիքների համար </w:t>
      </w:r>
      <w:r w:rsidRPr="00B834A2">
        <w:rPr>
          <w:rStyle w:val="Bodytext2Italic"/>
          <w:sz w:val="24"/>
          <w:szCs w:val="24"/>
        </w:rPr>
        <w:t>d</w:t>
      </w:r>
      <w:r w:rsidRPr="00B834A2">
        <w:rPr>
          <w:rFonts w:ascii="Sylfaen" w:hAnsi="Sylfaen"/>
          <w:sz w:val="24"/>
          <w:szCs w:val="24"/>
        </w:rPr>
        <w:t xml:space="preserve"> մեծությունները նվազեցվում են 1/ n գործոնով </w:t>
      </w:r>
      <w:r w:rsidRPr="00B834A2">
        <w:rPr>
          <w:rStyle w:val="Bodytext2Italic"/>
          <w:sz w:val="24"/>
          <w:szCs w:val="24"/>
        </w:rPr>
        <w:t>(n</w:t>
      </w:r>
      <w:r w:rsidRPr="00B834A2">
        <w:rPr>
          <w:rFonts w:ascii="Sylfaen" w:hAnsi="Sylfaen"/>
          <w:sz w:val="24"/>
          <w:szCs w:val="24"/>
        </w:rPr>
        <w:t xml:space="preserve">-ը ամբողջ թիվ է՝ 2, 3, 4 </w:t>
      </w:r>
      <w:r>
        <w:rPr>
          <w:rFonts w:ascii="Sylfaen" w:hAnsi="Sylfaen"/>
          <w:sz w:val="24"/>
          <w:szCs w:val="24"/>
        </w:rPr>
        <w:t>եւ</w:t>
      </w:r>
      <w:r w:rsidRPr="00B834A2">
        <w:rPr>
          <w:rFonts w:ascii="Sylfaen" w:hAnsi="Sylfaen"/>
          <w:sz w:val="24"/>
          <w:szCs w:val="24"/>
        </w:rPr>
        <w:t xml:space="preserve"> այլն):</w:t>
      </w:r>
    </w:p>
    <w:p w14:paraId="6CC0ADED"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Հարթությունների յուրաքանչյուր լրակազմ ունի </w:t>
      </w:r>
      <w:r w:rsidR="00024994" w:rsidRPr="00B834A2">
        <w:rPr>
          <w:rFonts w:ascii="Sylfaen" w:hAnsi="Sylfaen"/>
          <w:sz w:val="24"/>
          <w:szCs w:val="24"/>
        </w:rPr>
        <w:t>θ</w:t>
      </w:r>
      <w:r w:rsidRPr="00B834A2">
        <w:rPr>
          <w:rStyle w:val="Bodytext2Italic"/>
          <w:sz w:val="24"/>
          <w:szCs w:val="24"/>
          <w:vertAlign w:val="subscript"/>
        </w:rPr>
        <w:t>hkl</w:t>
      </w:r>
      <w:r w:rsidRPr="00B834A2">
        <w:rPr>
          <w:rFonts w:ascii="Sylfaen" w:hAnsi="Sylfaen"/>
          <w:sz w:val="24"/>
          <w:szCs w:val="24"/>
        </w:rPr>
        <w:t xml:space="preserve"> Բրեգգի արտացոլման համապատասխան անկյուն (λ ալիքի որոշակի երկարության դեպքում):</w:t>
      </w:r>
    </w:p>
    <w:p w14:paraId="36DD5F66" w14:textId="77777777" w:rsidR="00B834A2" w:rsidRPr="00B834A2" w:rsidRDefault="00B834A2" w:rsidP="001E21E6">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Փոշու նմուշը համարում են բազմաբյուրեղային, եթե կողմնորոշված </w:t>
      </w:r>
      <w:r w:rsidR="00024994" w:rsidRPr="00B834A2">
        <w:rPr>
          <w:rFonts w:ascii="Sylfaen" w:hAnsi="Sylfaen"/>
          <w:sz w:val="24"/>
          <w:szCs w:val="24"/>
        </w:rPr>
        <w:t>θ</w:t>
      </w:r>
      <w:r w:rsidRPr="00B834A2">
        <w:rPr>
          <w:rFonts w:ascii="Sylfaen" w:hAnsi="Sylfaen"/>
          <w:sz w:val="24"/>
          <w:szCs w:val="24"/>
          <w:vertAlign w:val="subscript"/>
        </w:rPr>
        <w:t>hkl</w:t>
      </w:r>
      <w:r w:rsidRPr="00B834A2">
        <w:rPr>
          <w:rFonts w:ascii="Sylfaen" w:hAnsi="Sylfaen"/>
          <w:sz w:val="24"/>
          <w:szCs w:val="24"/>
        </w:rPr>
        <w:t xml:space="preserve"> ցանկացած անկյան համար կան բյուրեղներ, որոնք առաջացնում են դիֆրակցիա՝ Բրեգգի կանոնի համաձայն: Դիֆրակցիոն փորձարկումների համար իդեալական փոշին պարունակում է ոչ մեծ անկանոն կողմնորոշված գնդաձ</w:t>
      </w:r>
      <w:r>
        <w:rPr>
          <w:rFonts w:ascii="Sylfaen" w:hAnsi="Sylfaen"/>
          <w:sz w:val="24"/>
          <w:szCs w:val="24"/>
        </w:rPr>
        <w:t>եւ</w:t>
      </w:r>
      <w:r w:rsidRPr="00B834A2">
        <w:rPr>
          <w:rFonts w:ascii="Sylfaen" w:hAnsi="Sylfaen"/>
          <w:sz w:val="24"/>
          <w:szCs w:val="24"/>
        </w:rPr>
        <w:t xml:space="preserve"> բյուրեղների մեծ քանակ (կորեգենտ դիֆրակտող բյուրեղային դոմեններ): Դրանց բավականաչափ քանակության դեպքում միշտ կա կողմնորոշված բյուրեղների այնպիսի թիվ, որը թույլ է տալիս ստանալ վերարտադրվող դիֆրակտագրերը:</w:t>
      </w:r>
    </w:p>
    <w:p w14:paraId="65A1A119" w14:textId="77777777" w:rsidR="00B834A2" w:rsidRPr="00B834A2" w:rsidRDefault="00B834A2" w:rsidP="001E21E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Ռենտգենյան ճառագայթման ալիքի տրված երկարության համար արտացոլման պիկերի դիրքերը (գծեր, արտացոլումներ կամ Բրեգգի արտացոլումներ) բնորոշիչ են բյուրեղացանցի համար (միջհարթությունային հեռավորություն d). դրանց տեսական ինտենսիվությունները պայմանավորված են բյուրեղագիտական տարրական բջջի կազմությամբ (ատոմների բնույթ </w:t>
      </w:r>
      <w:r>
        <w:rPr>
          <w:rFonts w:ascii="Sylfaen" w:hAnsi="Sylfaen"/>
          <w:sz w:val="24"/>
          <w:szCs w:val="24"/>
        </w:rPr>
        <w:t>եւ</w:t>
      </w:r>
      <w:r w:rsidRPr="00B834A2">
        <w:rPr>
          <w:rFonts w:ascii="Sylfaen" w:hAnsi="Sylfaen"/>
          <w:sz w:val="24"/>
          <w:szCs w:val="24"/>
        </w:rPr>
        <w:t xml:space="preserve"> դիրք), իսկ գծերի պրոֆիլները՝ բյուրեղացանցի կատարելությամբ </w:t>
      </w:r>
      <w:r>
        <w:rPr>
          <w:rFonts w:ascii="Sylfaen" w:hAnsi="Sylfaen"/>
          <w:sz w:val="24"/>
          <w:szCs w:val="24"/>
        </w:rPr>
        <w:t>եւ</w:t>
      </w:r>
      <w:r w:rsidRPr="00B834A2">
        <w:rPr>
          <w:rFonts w:ascii="Sylfaen" w:hAnsi="Sylfaen"/>
          <w:sz w:val="24"/>
          <w:szCs w:val="24"/>
        </w:rPr>
        <w:t xml:space="preserve"> չափերով: Տվյալ պայմանների դեպքում դիֆրակցիոն պիկն ունի վերջնական ինտենսիվություն, որը </w:t>
      </w:r>
      <w:r w:rsidRPr="00B834A2">
        <w:rPr>
          <w:rFonts w:ascii="Sylfaen" w:hAnsi="Sylfaen"/>
          <w:sz w:val="24"/>
          <w:szCs w:val="24"/>
        </w:rPr>
        <w:lastRenderedPageBreak/>
        <w:t xml:space="preserve">պայմանավորված է ատոմների փոխադարձ դասավորությամբ, ատոմների տեսակով, ջերմային շարժով </w:t>
      </w:r>
      <w:r>
        <w:rPr>
          <w:rFonts w:ascii="Sylfaen" w:hAnsi="Sylfaen"/>
          <w:sz w:val="24"/>
          <w:szCs w:val="24"/>
        </w:rPr>
        <w:t>եւ</w:t>
      </w:r>
      <w:r w:rsidRPr="00B834A2">
        <w:rPr>
          <w:rFonts w:ascii="Sylfaen" w:hAnsi="Sylfaen"/>
          <w:sz w:val="24"/>
          <w:szCs w:val="24"/>
        </w:rPr>
        <w:t xml:space="preserve"> կառուցվածքի թերություններով, ինչպես նա</w:t>
      </w:r>
      <w:r>
        <w:rPr>
          <w:rFonts w:ascii="Sylfaen" w:hAnsi="Sylfaen"/>
          <w:sz w:val="24"/>
          <w:szCs w:val="24"/>
        </w:rPr>
        <w:t>եւ</w:t>
      </w:r>
      <w:r w:rsidRPr="00B834A2">
        <w:rPr>
          <w:rFonts w:ascii="Sylfaen" w:hAnsi="Sylfaen"/>
          <w:sz w:val="24"/>
          <w:szCs w:val="24"/>
        </w:rPr>
        <w:t xml:space="preserve"> գործիքային բնութագրերով: Ինտենսիվությունը պայմանավորված է բազմաթիվ գործոններով, օրինակ՝ կառուցվածքով, ջերմաստիճանով, բյուրեղայնությամբ, բ</w:t>
      </w:r>
      <w:r>
        <w:rPr>
          <w:rFonts w:ascii="Sylfaen" w:hAnsi="Sylfaen"/>
          <w:sz w:val="24"/>
          <w:szCs w:val="24"/>
        </w:rPr>
        <w:t>եւ</w:t>
      </w:r>
      <w:r w:rsidRPr="00B834A2">
        <w:rPr>
          <w:rFonts w:ascii="Sylfaen" w:hAnsi="Sylfaen"/>
          <w:sz w:val="24"/>
          <w:szCs w:val="24"/>
        </w:rPr>
        <w:t xml:space="preserve">եռացմամբ, մուլտիպլետությամբ </w:t>
      </w:r>
      <w:r>
        <w:rPr>
          <w:rFonts w:ascii="Sylfaen" w:hAnsi="Sylfaen"/>
          <w:sz w:val="24"/>
          <w:szCs w:val="24"/>
        </w:rPr>
        <w:t>եւ</w:t>
      </w:r>
      <w:r w:rsidRPr="00B834A2">
        <w:rPr>
          <w:rFonts w:ascii="Sylfaen" w:hAnsi="Sylfaen"/>
          <w:sz w:val="24"/>
          <w:szCs w:val="24"/>
        </w:rPr>
        <w:t xml:space="preserve"> Լորենտցի գործոնով:</w:t>
      </w:r>
    </w:p>
    <w:p w14:paraId="04AE1C25" w14:textId="77777777" w:rsidR="00B834A2" w:rsidRPr="00B15269" w:rsidRDefault="00B834A2" w:rsidP="00B834A2">
      <w:pPr>
        <w:spacing w:after="160" w:line="360" w:lineRule="auto"/>
        <w:ind w:firstLine="567"/>
        <w:jc w:val="both"/>
        <w:rPr>
          <w:spacing w:val="-6"/>
        </w:rPr>
      </w:pPr>
      <w:r w:rsidRPr="00B15269">
        <w:rPr>
          <w:spacing w:val="-6"/>
        </w:rPr>
        <w:t>Դիֆրակցիոն գծերի պրոֆիլների հիմնական բնութագրերն են դիրք 20-ը, պիկի բարձրությունը, պիկի մակերեսը եւ ձեւը (բնութագրվում է, օրինակ, պիկի լայնությամբ կամ անհամաչափությամբ, անալիտիկ ֆունկցիայով, փորձառական ներկայացուցչականությամբ): Փոշու ռենտգենագրերի օրինակները, որոնք ստացվել են նյութի հինգ տարբեր պինդ փուլերի համար, ցույց են տրված 2.1.10.5-2 նկարում:</w:t>
      </w:r>
    </w:p>
    <w:p w14:paraId="267A65AD" w14:textId="77777777" w:rsidR="00B834A2" w:rsidRPr="00B834A2" w:rsidRDefault="00000000" w:rsidP="00B834A2">
      <w:pPr>
        <w:spacing w:after="160" w:line="360" w:lineRule="auto"/>
      </w:pPr>
      <w:r>
        <w:rPr>
          <w:noProof/>
        </w:rPr>
        <w:pict w14:anchorId="539B2BC4">
          <v:group id="_x0000_s1237" style="position:absolute;margin-left:214.85pt;margin-top:38pt;width:162pt;height:292.5pt;z-index:251697152" coordorigin="5715,2175" coordsize="3240,5850">
            <v:rect id="_x0000_s1238" style="position:absolute;left:8070;top:6150;width:765;height:300" stroked="f">
              <v:textbox style="mso-next-textbox:#_x0000_s1238">
                <w:txbxContent>
                  <w:p w14:paraId="6F304D3C" w14:textId="77777777" w:rsidR="008D6E8B" w:rsidRPr="005A52CF" w:rsidRDefault="008D6E8B" w:rsidP="00B834A2">
                    <w:pPr>
                      <w:rPr>
                        <w:sz w:val="12"/>
                        <w:szCs w:val="16"/>
                      </w:rPr>
                    </w:pPr>
                    <w:r>
                      <w:rPr>
                        <w:sz w:val="12"/>
                      </w:rPr>
                      <w:t>Ձև Ա</w:t>
                    </w:r>
                  </w:p>
                </w:txbxContent>
              </v:textbox>
            </v:rect>
            <v:rect id="_x0000_s1239" style="position:absolute;left:8070;top:4785;width:765;height:300" stroked="f">
              <v:textbox style="mso-next-textbox:#_x0000_s1239">
                <w:txbxContent>
                  <w:p w14:paraId="1F4FA3A4" w14:textId="77777777" w:rsidR="008D6E8B" w:rsidRPr="005A52CF" w:rsidRDefault="008D6E8B" w:rsidP="00B834A2">
                    <w:pPr>
                      <w:rPr>
                        <w:sz w:val="12"/>
                        <w:szCs w:val="16"/>
                      </w:rPr>
                    </w:pPr>
                    <w:r>
                      <w:rPr>
                        <w:sz w:val="12"/>
                      </w:rPr>
                      <w:t>Ձև Բ</w:t>
                    </w:r>
                  </w:p>
                </w:txbxContent>
              </v:textbox>
            </v:rect>
            <v:rect id="_x0000_s1240" style="position:absolute;left:8070;top:3495;width:765;height:300" stroked="f">
              <v:textbox style="mso-next-textbox:#_x0000_s1240">
                <w:txbxContent>
                  <w:p w14:paraId="022C20C8" w14:textId="77777777" w:rsidR="008D6E8B" w:rsidRPr="005A52CF" w:rsidRDefault="008D6E8B" w:rsidP="00B834A2">
                    <w:pPr>
                      <w:rPr>
                        <w:sz w:val="12"/>
                        <w:szCs w:val="16"/>
                      </w:rPr>
                    </w:pPr>
                    <w:r>
                      <w:rPr>
                        <w:sz w:val="12"/>
                      </w:rPr>
                      <w:t>Ձև Գ</w:t>
                    </w:r>
                  </w:p>
                </w:txbxContent>
              </v:textbox>
            </v:rect>
            <v:rect id="_x0000_s1241" style="position:absolute;left:8070;top:2175;width:765;height:300" stroked="f">
              <v:textbox style="mso-next-textbox:#_x0000_s1241">
                <w:txbxContent>
                  <w:p w14:paraId="7825DD19" w14:textId="77777777" w:rsidR="008D6E8B" w:rsidRPr="005A52CF" w:rsidRDefault="008D6E8B" w:rsidP="00B834A2">
                    <w:pPr>
                      <w:rPr>
                        <w:sz w:val="12"/>
                        <w:szCs w:val="16"/>
                      </w:rPr>
                    </w:pPr>
                    <w:r>
                      <w:rPr>
                        <w:sz w:val="12"/>
                      </w:rPr>
                      <w:t>Ձև Դ</w:t>
                    </w:r>
                  </w:p>
                </w:txbxContent>
              </v:textbox>
            </v:rect>
            <v:rect id="_x0000_s1242" style="position:absolute;left:8190;top:6990;width:765;height:300" stroked="f">
              <v:textbox style="mso-next-textbox:#_x0000_s1242">
                <w:txbxContent>
                  <w:p w14:paraId="1A6D5EA1" w14:textId="77777777" w:rsidR="008D6E8B" w:rsidRPr="005A52CF" w:rsidRDefault="008D6E8B" w:rsidP="00B834A2">
                    <w:pPr>
                      <w:rPr>
                        <w:sz w:val="12"/>
                        <w:szCs w:val="16"/>
                      </w:rPr>
                    </w:pPr>
                    <w:r>
                      <w:rPr>
                        <w:sz w:val="12"/>
                      </w:rPr>
                      <w:t>Ամորֆ</w:t>
                    </w:r>
                  </w:p>
                </w:txbxContent>
              </v:textbox>
            </v:rect>
            <v:rect id="_x0000_s1243" style="position:absolute;left:5715;top:7725;width:765;height:300" stroked="f">
              <v:textbox style="mso-next-textbox:#_x0000_s1243">
                <w:txbxContent>
                  <w:p w14:paraId="120C092B" w14:textId="77777777" w:rsidR="008D6E8B" w:rsidRPr="005A52CF" w:rsidRDefault="008D6E8B" w:rsidP="00B834A2">
                    <w:pPr>
                      <w:rPr>
                        <w:sz w:val="12"/>
                        <w:szCs w:val="16"/>
                      </w:rPr>
                    </w:pPr>
                    <w:r>
                      <w:rPr>
                        <w:sz w:val="12"/>
                      </w:rPr>
                      <w:t>ֆազ</w:t>
                    </w:r>
                  </w:p>
                </w:txbxContent>
              </v:textbox>
            </v:rect>
          </v:group>
        </w:pict>
      </w:r>
      <w:r w:rsidR="00B834A2" w:rsidRPr="00B834A2">
        <w:rPr>
          <w:noProof/>
          <w:lang w:val="en-US" w:eastAsia="en-US" w:bidi="ar-SA"/>
        </w:rPr>
        <w:drawing>
          <wp:inline distT="0" distB="0" distL="0" distR="0" wp14:anchorId="02EAE81E" wp14:editId="08D783E5">
            <wp:extent cx="5760085" cy="4196756"/>
            <wp:effectExtent l="19050" t="0" r="0" b="0"/>
            <wp:docPr id="225" name="Picture 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2"/>
                    <pic:cNvPicPr>
                      <a:picLocks noChangeAspect="1" noChangeArrowheads="1"/>
                    </pic:cNvPicPr>
                  </pic:nvPicPr>
                  <pic:blipFill>
                    <a:blip r:embed="rId46" cstate="print"/>
                    <a:srcRect/>
                    <a:stretch>
                      <a:fillRect/>
                    </a:stretch>
                  </pic:blipFill>
                  <pic:spPr bwMode="auto">
                    <a:xfrm>
                      <a:off x="0" y="0"/>
                      <a:ext cx="5760085" cy="4196756"/>
                    </a:xfrm>
                    <a:prstGeom prst="rect">
                      <a:avLst/>
                    </a:prstGeom>
                    <a:noFill/>
                    <a:ln w="9525">
                      <a:noFill/>
                      <a:miter lim="800000"/>
                      <a:headEnd/>
                      <a:tailEnd/>
                    </a:ln>
                  </pic:spPr>
                </pic:pic>
              </a:graphicData>
            </a:graphic>
          </wp:inline>
        </w:drawing>
      </w:r>
    </w:p>
    <w:p w14:paraId="409B5419" w14:textId="77777777" w:rsidR="00B834A2" w:rsidRPr="00B15269" w:rsidRDefault="00B834A2" w:rsidP="00B15269">
      <w:pPr>
        <w:spacing w:after="160" w:line="360" w:lineRule="auto"/>
        <w:ind w:firstLine="567"/>
        <w:jc w:val="both"/>
        <w:rPr>
          <w:sz w:val="20"/>
        </w:rPr>
      </w:pPr>
      <w:r w:rsidRPr="00B15269">
        <w:rPr>
          <w:rStyle w:val="Bodytext53NotItalic"/>
          <w:rFonts w:ascii="Sylfaen" w:eastAsia="Tahoma" w:hAnsi="Sylfaen"/>
          <w:szCs w:val="24"/>
        </w:rPr>
        <w:t xml:space="preserve">Նկար 2.1.10.5-2 </w:t>
      </w:r>
      <w:r w:rsidRPr="00B15269">
        <w:rPr>
          <w:sz w:val="20"/>
        </w:rPr>
        <w:t>- Նյութի հինգ տարբեր պինդ ֆազերի փոշու դիֆրակտագրեր (ինտենսիվությունները նորմալացված են)</w:t>
      </w:r>
    </w:p>
    <w:p w14:paraId="21F60A0B" w14:textId="77777777" w:rsidR="00B834A2" w:rsidRPr="00B834A2" w:rsidRDefault="00B834A2" w:rsidP="00B1526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Որպես լրացում՝ ռենտգենյան դիֆրակցիան փորձում տալիս է ավելի կամ պակաս համասեռ ֆոն, որի վրա տեղի է ունենում դիֆրակցիոն պիկերի </w:t>
      </w:r>
      <w:r w:rsidRPr="00B834A2">
        <w:rPr>
          <w:rFonts w:ascii="Sylfaen" w:hAnsi="Sylfaen"/>
          <w:sz w:val="24"/>
          <w:szCs w:val="24"/>
        </w:rPr>
        <w:lastRenderedPageBreak/>
        <w:t xml:space="preserve">վերադրումը: Բացի նմուշի նախապատրաստումից՝ ֆոնի ստեղծմանն ազդում են այլ գործոններ, օրինակ, նմուշի բռնիչից խանգարումները, օդից </w:t>
      </w:r>
      <w:r>
        <w:rPr>
          <w:rFonts w:ascii="Sylfaen" w:hAnsi="Sylfaen"/>
          <w:sz w:val="24"/>
          <w:szCs w:val="24"/>
        </w:rPr>
        <w:t>եւ</w:t>
      </w:r>
      <w:r w:rsidRPr="00B834A2">
        <w:rPr>
          <w:rFonts w:ascii="Sylfaen" w:hAnsi="Sylfaen"/>
          <w:sz w:val="24"/>
          <w:szCs w:val="24"/>
        </w:rPr>
        <w:t xml:space="preserve"> սարքավորումից դիֆուզային ցրումը, գործիքային պարամետրերը (դետեկտորի աղմուկ, ռենտգենյան խողովակի ընդհանուր ճառագայթում </w:t>
      </w:r>
      <w:r>
        <w:rPr>
          <w:rFonts w:ascii="Sylfaen" w:hAnsi="Sylfaen"/>
          <w:sz w:val="24"/>
          <w:szCs w:val="24"/>
        </w:rPr>
        <w:t>եւ</w:t>
      </w:r>
      <w:r w:rsidRPr="00B834A2">
        <w:rPr>
          <w:rFonts w:ascii="Sylfaen" w:hAnsi="Sylfaen"/>
          <w:sz w:val="24"/>
          <w:szCs w:val="24"/>
        </w:rPr>
        <w:t xml:space="preserve"> այլն): Պիկի՝ ֆոնին հարաբերակցությունն ավելացնում են ֆոնը նվազեցնելու </w:t>
      </w:r>
      <w:r>
        <w:rPr>
          <w:rFonts w:ascii="Sylfaen" w:hAnsi="Sylfaen"/>
          <w:sz w:val="24"/>
          <w:szCs w:val="24"/>
        </w:rPr>
        <w:t>եւ</w:t>
      </w:r>
      <w:r w:rsidRPr="00B834A2">
        <w:rPr>
          <w:rFonts w:ascii="Sylfaen" w:hAnsi="Sylfaen"/>
          <w:sz w:val="24"/>
          <w:szCs w:val="24"/>
        </w:rPr>
        <w:t xml:space="preserve"> էքսպոզիցիայի ժամանակի տ</w:t>
      </w:r>
      <w:r>
        <w:rPr>
          <w:rFonts w:ascii="Sylfaen" w:hAnsi="Sylfaen"/>
          <w:sz w:val="24"/>
          <w:szCs w:val="24"/>
        </w:rPr>
        <w:t>եւ</w:t>
      </w:r>
      <w:r w:rsidRPr="00B834A2">
        <w:rPr>
          <w:rFonts w:ascii="Sylfaen" w:hAnsi="Sylfaen"/>
          <w:sz w:val="24"/>
          <w:szCs w:val="24"/>
        </w:rPr>
        <w:t>ողությունն ավելացնելու միջոցով:</w:t>
      </w:r>
    </w:p>
    <w:p w14:paraId="76EBFBFE"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562F41B9" w14:textId="77777777" w:rsidR="00B834A2" w:rsidRPr="004A7CC9" w:rsidRDefault="00B834A2" w:rsidP="00B15269">
      <w:pPr>
        <w:pStyle w:val="Bodytext20"/>
        <w:shd w:val="clear" w:color="auto" w:fill="auto"/>
        <w:spacing w:before="0" w:after="160" w:line="360" w:lineRule="auto"/>
        <w:ind w:firstLine="567"/>
        <w:jc w:val="both"/>
        <w:rPr>
          <w:rFonts w:ascii="Sylfaen" w:hAnsi="Sylfaen" w:cs="Sylfaen"/>
          <w:b/>
          <w:sz w:val="24"/>
          <w:szCs w:val="24"/>
        </w:rPr>
      </w:pPr>
      <w:r w:rsidRPr="004A7CC9">
        <w:rPr>
          <w:rFonts w:ascii="Sylfaen" w:hAnsi="Sylfaen"/>
          <w:b/>
          <w:sz w:val="24"/>
          <w:szCs w:val="24"/>
        </w:rPr>
        <w:t>ԱՊԱՐԱՏՈՒՐԱՆ</w:t>
      </w:r>
    </w:p>
    <w:p w14:paraId="6DF9392F" w14:textId="77777777" w:rsidR="00B834A2" w:rsidRPr="004A7CC9" w:rsidRDefault="00B834A2" w:rsidP="00B15269">
      <w:pPr>
        <w:pStyle w:val="Bodytext20"/>
        <w:shd w:val="clear" w:color="auto" w:fill="auto"/>
        <w:spacing w:before="0" w:after="160" w:line="360" w:lineRule="auto"/>
        <w:ind w:firstLine="567"/>
        <w:jc w:val="both"/>
        <w:rPr>
          <w:rFonts w:ascii="Sylfaen" w:hAnsi="Sylfaen" w:cs="Sylfaen"/>
          <w:sz w:val="24"/>
          <w:szCs w:val="24"/>
        </w:rPr>
      </w:pPr>
      <w:r w:rsidRPr="004A7CC9">
        <w:rPr>
          <w:rFonts w:ascii="Sylfaen" w:hAnsi="Sylfaen"/>
          <w:b/>
          <w:sz w:val="24"/>
          <w:szCs w:val="24"/>
        </w:rPr>
        <w:t xml:space="preserve">Սարքավորումների կարգավորումը. </w:t>
      </w:r>
      <w:r w:rsidRPr="004A7CC9">
        <w:rPr>
          <w:rFonts w:ascii="Sylfaen" w:hAnsi="Sylfaen"/>
          <w:sz w:val="24"/>
          <w:szCs w:val="24"/>
        </w:rPr>
        <w:t>Ռենտգենյան դիֆրակտաչափության չափման փորձերը սովորաբար անցկացնում են փոշու դիֆրակտաչափերի կամ փոշու խցիկների օգնությամբ:</w:t>
      </w:r>
    </w:p>
    <w:p w14:paraId="0D13BE42" w14:textId="77777777" w:rsidR="00B834A2" w:rsidRPr="004A7CC9" w:rsidRDefault="00B834A2" w:rsidP="00B15269">
      <w:pPr>
        <w:pStyle w:val="Bodytext20"/>
        <w:shd w:val="clear" w:color="auto" w:fill="auto"/>
        <w:spacing w:before="0" w:after="160" w:line="360" w:lineRule="auto"/>
        <w:ind w:firstLine="567"/>
        <w:jc w:val="both"/>
        <w:rPr>
          <w:rFonts w:ascii="Sylfaen" w:hAnsi="Sylfaen" w:cs="Sylfaen"/>
          <w:sz w:val="24"/>
          <w:szCs w:val="24"/>
        </w:rPr>
      </w:pPr>
      <w:r w:rsidRPr="004A7CC9">
        <w:rPr>
          <w:rFonts w:ascii="Sylfaen" w:hAnsi="Sylfaen"/>
          <w:sz w:val="24"/>
          <w:szCs w:val="24"/>
        </w:rPr>
        <w:t>Փոշու դիֆրակտաչափը, որպես կանոն, բաղկացած է հինգ հիմնական մասերից.</w:t>
      </w:r>
    </w:p>
    <w:p w14:paraId="497698F5" w14:textId="77777777" w:rsidR="00B834A2" w:rsidRPr="004A7CC9" w:rsidRDefault="00B834A2" w:rsidP="00BF086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4A7CC9">
        <w:rPr>
          <w:rFonts w:ascii="Sylfaen" w:hAnsi="Sylfaen"/>
          <w:sz w:val="24"/>
          <w:szCs w:val="24"/>
        </w:rPr>
        <w:t>-</w:t>
      </w:r>
      <w:r w:rsidR="00BF0860" w:rsidRPr="004A7CC9">
        <w:rPr>
          <w:rFonts w:ascii="Sylfaen" w:hAnsi="Sylfaen"/>
          <w:sz w:val="24"/>
          <w:szCs w:val="24"/>
        </w:rPr>
        <w:tab/>
      </w:r>
      <w:r w:rsidRPr="004A7CC9">
        <w:rPr>
          <w:rFonts w:ascii="Sylfaen" w:hAnsi="Sylfaen"/>
          <w:sz w:val="24"/>
          <w:szCs w:val="24"/>
        </w:rPr>
        <w:t>ռենտգենյան ճառագայթման աղբյուր,</w:t>
      </w:r>
    </w:p>
    <w:p w14:paraId="65D6C492" w14:textId="77777777" w:rsidR="00B834A2" w:rsidRPr="004A7CC9" w:rsidRDefault="00B834A2" w:rsidP="00BF086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4A7CC9">
        <w:rPr>
          <w:rFonts w:ascii="Sylfaen" w:hAnsi="Sylfaen"/>
          <w:sz w:val="24"/>
          <w:szCs w:val="24"/>
        </w:rPr>
        <w:t>-</w:t>
      </w:r>
      <w:r w:rsidR="00BF0860" w:rsidRPr="004A7CC9">
        <w:rPr>
          <w:rFonts w:ascii="Sylfaen" w:hAnsi="Sylfaen"/>
          <w:sz w:val="24"/>
          <w:szCs w:val="24"/>
        </w:rPr>
        <w:tab/>
      </w:r>
      <w:r w:rsidRPr="004A7CC9">
        <w:rPr>
          <w:rFonts w:ascii="Sylfaen" w:hAnsi="Sylfaen"/>
          <w:sz w:val="24"/>
          <w:szCs w:val="24"/>
        </w:rPr>
        <w:t>ճառագայթման այն ընկնող փնջի օպտիկական համակարգ, որն իրականացնում է դրա մոնոքրոմատիզացումը, զտումը, կոլիմացիան եւ (կամ) կիզակետումը.</w:t>
      </w:r>
    </w:p>
    <w:p w14:paraId="7B3FFF82" w14:textId="77777777" w:rsidR="00B834A2" w:rsidRPr="004A7CC9" w:rsidRDefault="00B834A2" w:rsidP="00BF086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4A7CC9">
        <w:rPr>
          <w:rFonts w:ascii="Sylfaen" w:hAnsi="Sylfaen"/>
          <w:sz w:val="24"/>
          <w:szCs w:val="24"/>
        </w:rPr>
        <w:t>-</w:t>
      </w:r>
      <w:r w:rsidR="00BF0860" w:rsidRPr="004A7CC9">
        <w:rPr>
          <w:rFonts w:ascii="Sylfaen" w:hAnsi="Sylfaen"/>
          <w:sz w:val="24"/>
          <w:szCs w:val="24"/>
        </w:rPr>
        <w:tab/>
      </w:r>
      <w:r w:rsidRPr="004A7CC9">
        <w:rPr>
          <w:rFonts w:ascii="Sylfaen" w:hAnsi="Sylfaen"/>
          <w:sz w:val="24"/>
          <w:szCs w:val="24"/>
        </w:rPr>
        <w:t>անկյունաչափ.</w:t>
      </w:r>
    </w:p>
    <w:p w14:paraId="613A22B3" w14:textId="77777777" w:rsidR="00B834A2" w:rsidRPr="004A7CC9" w:rsidRDefault="00B834A2" w:rsidP="00BF086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4A7CC9">
        <w:rPr>
          <w:rFonts w:ascii="Sylfaen" w:hAnsi="Sylfaen"/>
          <w:sz w:val="24"/>
          <w:szCs w:val="24"/>
        </w:rPr>
        <w:t>-</w:t>
      </w:r>
      <w:r w:rsidR="00BF0860" w:rsidRPr="004A7CC9">
        <w:rPr>
          <w:rFonts w:ascii="Sylfaen" w:hAnsi="Sylfaen"/>
          <w:sz w:val="24"/>
          <w:szCs w:val="24"/>
        </w:rPr>
        <w:tab/>
      </w:r>
      <w:r w:rsidRPr="004A7CC9">
        <w:rPr>
          <w:rFonts w:ascii="Sylfaen" w:hAnsi="Sylfaen"/>
          <w:sz w:val="24"/>
          <w:szCs w:val="24"/>
        </w:rPr>
        <w:t>ճառագայթման այն դիֆրակտացված փնջի օպտիկական համակարգ, որն իրականացնում է դրա մոնոքրոմատիզացումը, զտումը, կոլիմացիան եւ կիզակետումը կամ ճառագայթի ապազուգահեռումը.</w:t>
      </w:r>
    </w:p>
    <w:p w14:paraId="0E520C44" w14:textId="77777777" w:rsidR="00B834A2" w:rsidRPr="004A7CC9" w:rsidRDefault="00B834A2" w:rsidP="00BF0860">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4A7CC9">
        <w:rPr>
          <w:rFonts w:ascii="Sylfaen" w:hAnsi="Sylfaen"/>
          <w:sz w:val="24"/>
          <w:szCs w:val="24"/>
        </w:rPr>
        <w:t>-</w:t>
      </w:r>
      <w:r w:rsidR="00BF0860" w:rsidRPr="004A7CC9">
        <w:rPr>
          <w:rFonts w:ascii="Sylfaen" w:hAnsi="Sylfaen"/>
          <w:sz w:val="24"/>
          <w:szCs w:val="24"/>
        </w:rPr>
        <w:tab/>
      </w:r>
      <w:r w:rsidRPr="004A7CC9">
        <w:rPr>
          <w:rFonts w:ascii="Sylfaen" w:hAnsi="Sylfaen"/>
          <w:sz w:val="24"/>
          <w:szCs w:val="24"/>
        </w:rPr>
        <w:t>դետեկտոր:</w:t>
      </w:r>
    </w:p>
    <w:p w14:paraId="7CAD3B01" w14:textId="77777777" w:rsidR="00B834A2" w:rsidRPr="00DE4F37" w:rsidRDefault="00B834A2" w:rsidP="00B15269">
      <w:pPr>
        <w:pStyle w:val="Bodytext20"/>
        <w:shd w:val="clear" w:color="auto" w:fill="auto"/>
        <w:spacing w:before="0" w:after="160" w:line="360" w:lineRule="auto"/>
        <w:ind w:firstLine="567"/>
        <w:jc w:val="both"/>
        <w:rPr>
          <w:rFonts w:ascii="Sylfaen" w:hAnsi="Sylfaen"/>
          <w:sz w:val="24"/>
          <w:szCs w:val="24"/>
        </w:rPr>
      </w:pPr>
      <w:r w:rsidRPr="004A7CC9">
        <w:rPr>
          <w:rFonts w:ascii="Sylfaen" w:hAnsi="Sylfaen"/>
          <w:sz w:val="24"/>
          <w:szCs w:val="24"/>
        </w:rPr>
        <w:t>Դիֆրակտաչափության համար անհրաժեշտ են նաեւ տվյալների հավաքման եւ մշակման համակարգեր, որոնք սովորաբար</w:t>
      </w:r>
      <w:r w:rsidRPr="00B834A2">
        <w:rPr>
          <w:rFonts w:ascii="Sylfaen" w:hAnsi="Sylfaen"/>
          <w:sz w:val="24"/>
          <w:szCs w:val="24"/>
        </w:rPr>
        <w:t xml:space="preserve"> մտնում են սարքավորման լրակազմի մեջ:</w:t>
      </w:r>
    </w:p>
    <w:p w14:paraId="1CBD9F4F" w14:textId="77777777" w:rsidR="00BF0860" w:rsidRPr="00DE4F37" w:rsidRDefault="00BF0860" w:rsidP="00B15269">
      <w:pPr>
        <w:pStyle w:val="Bodytext20"/>
        <w:shd w:val="clear" w:color="auto" w:fill="auto"/>
        <w:spacing w:before="0" w:after="160" w:line="360" w:lineRule="auto"/>
        <w:ind w:firstLine="567"/>
        <w:jc w:val="both"/>
        <w:rPr>
          <w:rFonts w:ascii="Sylfaen" w:hAnsi="Sylfaen" w:cs="Sylfaen"/>
          <w:sz w:val="24"/>
          <w:szCs w:val="24"/>
        </w:rPr>
      </w:pPr>
    </w:p>
    <w:p w14:paraId="31955C9D" w14:textId="77777777" w:rsidR="00B834A2" w:rsidRPr="00B834A2" w:rsidRDefault="00B834A2" w:rsidP="00DD273F">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Պայմանավորված անալիզի նպատակով (ֆազերի նույնականացում, քանակական ֆազային անալիզ, ցանցի պարամետրերի որոշում </w:t>
      </w:r>
      <w:r>
        <w:rPr>
          <w:rFonts w:ascii="Sylfaen" w:hAnsi="Sylfaen"/>
          <w:sz w:val="24"/>
          <w:szCs w:val="24"/>
        </w:rPr>
        <w:t>եւ</w:t>
      </w:r>
      <w:r w:rsidRPr="00B834A2">
        <w:rPr>
          <w:rFonts w:ascii="Sylfaen" w:hAnsi="Sylfaen"/>
          <w:sz w:val="24"/>
          <w:szCs w:val="24"/>
        </w:rPr>
        <w:t xml:space="preserve"> այլ)՝ պահանջվում են ՓՌԴ տարբեր գործիքային փոխդասավորություններ (կոնֆիգուրացիաներ) </w:t>
      </w:r>
      <w:r>
        <w:rPr>
          <w:rFonts w:ascii="Sylfaen" w:hAnsi="Sylfaen"/>
          <w:sz w:val="24"/>
          <w:szCs w:val="24"/>
        </w:rPr>
        <w:t>եւ</w:t>
      </w:r>
      <w:r w:rsidRPr="00B834A2">
        <w:rPr>
          <w:rFonts w:ascii="Sylfaen" w:hAnsi="Sylfaen"/>
          <w:sz w:val="24"/>
          <w:szCs w:val="24"/>
        </w:rPr>
        <w:t xml:space="preserve"> փորձի կատարման ռեժիմներ: Փոշու խցիկները Փոշու նմուշների հետազոտման համար օգտագործվող պարզագույն սարքերն են: Ֆոտոնային դետեկտորներում որպես գրանցման միջոց նախկինում օգտագործված լուսանկարչական ժապավենների փոխարինումը հանգեցրել է այն դիֆրակտաչափերի մշակմանը, որոնցում ռենտգենաօպտիկական համակարգի երկրաչափական կառուցվածքը հիմնված է ոչ թե կիզակետման, այլ տարակիզակետման վրա, օրինակ, Բրեգգ-Բրենտանոյի սարքվածք: Ներկա ժամանակ ավելի տարածում է ստացել Բրեգգ-Բրենտանոյի տարակիզակետման փոխդասավորությունը, որի կարճ նկարագրությունը բերված է ստոր</w:t>
      </w:r>
      <w:r>
        <w:rPr>
          <w:rFonts w:ascii="Sylfaen" w:hAnsi="Sylfaen"/>
          <w:sz w:val="24"/>
          <w:szCs w:val="24"/>
        </w:rPr>
        <w:t>եւ</w:t>
      </w:r>
      <w:r w:rsidRPr="00B834A2">
        <w:rPr>
          <w:rFonts w:ascii="Sylfaen" w:hAnsi="Sylfaen"/>
          <w:sz w:val="24"/>
          <w:szCs w:val="24"/>
        </w:rPr>
        <w:t xml:space="preserve">: Կառուցվածքը թույլ է տալիս ապահովել հորիզոնական </w:t>
      </w:r>
      <w:r>
        <w:rPr>
          <w:rFonts w:ascii="Sylfaen" w:hAnsi="Sylfaen"/>
          <w:sz w:val="24"/>
          <w:szCs w:val="24"/>
        </w:rPr>
        <w:t>եւ</w:t>
      </w:r>
      <w:r w:rsidRPr="00B834A2">
        <w:rPr>
          <w:rFonts w:ascii="Sylfaen" w:hAnsi="Sylfaen"/>
          <w:sz w:val="24"/>
          <w:szCs w:val="24"/>
        </w:rPr>
        <w:t xml:space="preserve"> ուղղահայաց 0/2θ-երկրաչափությունը կամ ուղղահայաց երկրաչափությունը: Երկու դեպքերում </w:t>
      </w:r>
      <w:r w:rsidRPr="00024994">
        <w:rPr>
          <w:rFonts w:ascii="Sylfaen" w:hAnsi="Sylfaen"/>
          <w:spacing w:val="-4"/>
          <w:sz w:val="24"/>
          <w:szCs w:val="24"/>
        </w:rPr>
        <w:t>ռենտգենյան ճառագայթման ընկնող փունջը նմուշի հարթության հետ ձեւավորում է</w:t>
      </w:r>
      <w:r w:rsidRPr="00B834A2">
        <w:rPr>
          <w:rFonts w:ascii="Sylfaen" w:hAnsi="Sylfaen"/>
          <w:sz w:val="24"/>
          <w:szCs w:val="24"/>
        </w:rPr>
        <w:t xml:space="preserve"> անկյուն θ, իսկ դիֆրակտացված փնջի ուղղությամբ՝ անկյուն 2θ:</w:t>
      </w:r>
      <w:r>
        <w:rPr>
          <w:rFonts w:ascii="Sylfaen" w:hAnsi="Sylfaen"/>
          <w:sz w:val="24"/>
          <w:szCs w:val="24"/>
        </w:rPr>
        <w:t xml:space="preserve"> </w:t>
      </w:r>
      <w:r w:rsidRPr="00B834A2">
        <w:rPr>
          <w:rFonts w:ascii="Sylfaen" w:hAnsi="Sylfaen"/>
          <w:sz w:val="24"/>
          <w:szCs w:val="24"/>
        </w:rPr>
        <w:t>Ռենտգեն-օպտիկական սխեման ներկայացված է 2.1.19.5-3 նկարում:</w:t>
      </w:r>
      <w:r w:rsidRPr="00B834A2">
        <w:rPr>
          <w:rFonts w:ascii="Sylfaen" w:hAnsi="Sylfaen"/>
          <w:sz w:val="24"/>
          <w:szCs w:val="24"/>
        </w:rPr>
        <w:tab/>
      </w:r>
    </w:p>
    <w:p w14:paraId="4A0EAE61" w14:textId="77777777" w:rsidR="00B834A2" w:rsidRPr="00B834A2" w:rsidRDefault="00B834A2" w:rsidP="00DD273F">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Ռենտգենյան խողովակից ճառագայթների տարամիտվող փունջը (սկզբնական փունջ), անցնելով հարթ-զուգահեռ կոլիմատորի </w:t>
      </w:r>
      <w:r>
        <w:rPr>
          <w:rFonts w:ascii="Sylfaen" w:hAnsi="Sylfaen"/>
          <w:sz w:val="24"/>
          <w:szCs w:val="24"/>
        </w:rPr>
        <w:t>եւ</w:t>
      </w:r>
      <w:r w:rsidRPr="00B834A2">
        <w:rPr>
          <w:rFonts w:ascii="Sylfaen" w:hAnsi="Sylfaen"/>
          <w:sz w:val="24"/>
          <w:szCs w:val="24"/>
        </w:rPr>
        <w:t xml:space="preserve"> ճեղքի միջով, որը սահմանափակում է դրանց ճյուղավորումը, ճառագայթում է նմուշի հարթ մակերեսը: Նմուշի կողմնորոշված բյուրեղներով 2θ անկյունով բեկված ճառագայթները կիզակետվում են ընդունող ճեղքի վրա: Հարթ-զուգահեռ կոլիմատորից </w:t>
      </w:r>
      <w:r>
        <w:rPr>
          <w:rFonts w:ascii="Sylfaen" w:hAnsi="Sylfaen"/>
          <w:sz w:val="24"/>
          <w:szCs w:val="24"/>
        </w:rPr>
        <w:t>եւ</w:t>
      </w:r>
      <w:r w:rsidRPr="00B834A2">
        <w:rPr>
          <w:rFonts w:ascii="Sylfaen" w:hAnsi="Sylfaen"/>
          <w:sz w:val="24"/>
          <w:szCs w:val="24"/>
        </w:rPr>
        <w:t xml:space="preserve"> ցրող ճեղքից բաղկացած դետալների մյուս լրակազմը տեղավորում են ընդունող ճեղքի առջ</w:t>
      </w:r>
      <w:r>
        <w:rPr>
          <w:rFonts w:ascii="Sylfaen" w:hAnsi="Sylfaen"/>
          <w:sz w:val="24"/>
          <w:szCs w:val="24"/>
        </w:rPr>
        <w:t>եւ</w:t>
      </w:r>
      <w:r w:rsidRPr="00B834A2">
        <w:rPr>
          <w:rFonts w:ascii="Sylfaen" w:hAnsi="Sylfaen"/>
          <w:sz w:val="24"/>
          <w:szCs w:val="24"/>
        </w:rPr>
        <w:t>ում կամ հետ</w:t>
      </w:r>
      <w:r>
        <w:rPr>
          <w:rFonts w:ascii="Sylfaen" w:hAnsi="Sylfaen"/>
          <w:sz w:val="24"/>
          <w:szCs w:val="24"/>
        </w:rPr>
        <w:t>եւ</w:t>
      </w:r>
      <w:r w:rsidRPr="00B834A2">
        <w:rPr>
          <w:rFonts w:ascii="Sylfaen" w:hAnsi="Sylfaen"/>
          <w:sz w:val="24"/>
          <w:szCs w:val="24"/>
        </w:rPr>
        <w:t xml:space="preserve">ում: Խողովակի կիզակետը </w:t>
      </w:r>
      <w:r>
        <w:rPr>
          <w:rFonts w:ascii="Sylfaen" w:hAnsi="Sylfaen"/>
          <w:sz w:val="24"/>
          <w:szCs w:val="24"/>
        </w:rPr>
        <w:t>եւ</w:t>
      </w:r>
      <w:r w:rsidRPr="00B834A2">
        <w:rPr>
          <w:rFonts w:ascii="Sylfaen" w:hAnsi="Sylfaen"/>
          <w:sz w:val="24"/>
          <w:szCs w:val="24"/>
        </w:rPr>
        <w:t xml:space="preserve"> ընդունող ճեղքը անկյունաչափի առանցքից գտնվում են հավասար հեռավորությունների վրա: Ռենտգենյան ճառագայթման քվանտները հաշվարկվում են ռադիացիոն դետեկտորով, սովորաբար կայծկլտացող հաշվիչով, գազային համեմատական հաշվիչով կամ պինդ ֆազային դետեկտորների նկատմամբ դիրքազգայուն հաշվիչով (օրինակ՝ տոմոգրաֆիկ թիթեղ կամ CCD </w:t>
      </w:r>
      <w:r w:rsidRPr="00B834A2">
        <w:rPr>
          <w:rFonts w:ascii="Sylfaen" w:hAnsi="Sylfaen"/>
          <w:sz w:val="24"/>
          <w:szCs w:val="24"/>
        </w:rPr>
        <w:lastRenderedPageBreak/>
        <w:t xml:space="preserve">դետեկտոր): Ընդունող ճեղքը </w:t>
      </w:r>
      <w:r>
        <w:rPr>
          <w:rFonts w:ascii="Sylfaen" w:hAnsi="Sylfaen"/>
          <w:sz w:val="24"/>
          <w:szCs w:val="24"/>
        </w:rPr>
        <w:t>եւ</w:t>
      </w:r>
      <w:r w:rsidRPr="00B834A2">
        <w:rPr>
          <w:rFonts w:ascii="Sylfaen" w:hAnsi="Sylfaen"/>
          <w:sz w:val="24"/>
          <w:szCs w:val="24"/>
        </w:rPr>
        <w:t xml:space="preserve"> դետեկտորը, որոնք միացած են միմյանց, շոշափողով շարժվում են դեպի կիզակետային սկավառակը: 0/2θ-տեսածրման ժամանակ անկյունաչափը նմուշը պտտեցնում է մի</w:t>
      </w:r>
      <w:r>
        <w:rPr>
          <w:rFonts w:ascii="Sylfaen" w:hAnsi="Sylfaen"/>
          <w:sz w:val="24"/>
          <w:szCs w:val="24"/>
        </w:rPr>
        <w:t>եւ</w:t>
      </w:r>
      <w:r w:rsidRPr="00B834A2">
        <w:rPr>
          <w:rFonts w:ascii="Sylfaen" w:hAnsi="Sylfaen"/>
          <w:sz w:val="24"/>
          <w:szCs w:val="24"/>
        </w:rPr>
        <w:t>նույն առանցքի շուրջ, ինչը որ դետեկտորինն է, սակայն երկու անգամ ցածր արագությամբ (0/2 տեղափոխում): Ընդ որում, նմուշի մակեր</w:t>
      </w:r>
      <w:r>
        <w:rPr>
          <w:rFonts w:ascii="Sylfaen" w:hAnsi="Sylfaen"/>
          <w:sz w:val="24"/>
          <w:szCs w:val="24"/>
        </w:rPr>
        <w:t>եւ</w:t>
      </w:r>
      <w:r w:rsidRPr="00B834A2">
        <w:rPr>
          <w:rFonts w:ascii="Sylfaen" w:hAnsi="Sylfaen"/>
          <w:sz w:val="24"/>
          <w:szCs w:val="24"/>
        </w:rPr>
        <w:t xml:space="preserve">ույթը շոշափողով զետեղվում է դեպի կիզակետման սկավառակ: Հարթ-զուգահեռ կոլիմատորը սահմանափակում է փնջի առանցքային հեռացումը </w:t>
      </w:r>
      <w:r>
        <w:rPr>
          <w:rFonts w:ascii="Sylfaen" w:hAnsi="Sylfaen"/>
          <w:sz w:val="24"/>
          <w:szCs w:val="24"/>
        </w:rPr>
        <w:t>եւ</w:t>
      </w:r>
      <w:r w:rsidRPr="00B834A2">
        <w:rPr>
          <w:rFonts w:ascii="Sylfaen" w:hAnsi="Sylfaen"/>
          <w:sz w:val="24"/>
          <w:szCs w:val="24"/>
        </w:rPr>
        <w:t xml:space="preserve"> հետ</w:t>
      </w:r>
      <w:r>
        <w:rPr>
          <w:rFonts w:ascii="Sylfaen" w:hAnsi="Sylfaen"/>
          <w:sz w:val="24"/>
          <w:szCs w:val="24"/>
        </w:rPr>
        <w:t>եւ</w:t>
      </w:r>
      <w:r w:rsidRPr="00B834A2">
        <w:rPr>
          <w:rFonts w:ascii="Sylfaen" w:hAnsi="Sylfaen"/>
          <w:sz w:val="24"/>
          <w:szCs w:val="24"/>
        </w:rPr>
        <w:t>աբար մասնակի հսկում է դիֆրակցված գծի պրոֆիլի ձ</w:t>
      </w:r>
      <w:r>
        <w:rPr>
          <w:rFonts w:ascii="Sylfaen" w:hAnsi="Sylfaen"/>
          <w:sz w:val="24"/>
          <w:szCs w:val="24"/>
        </w:rPr>
        <w:t>եւ</w:t>
      </w:r>
      <w:r w:rsidRPr="00B834A2">
        <w:rPr>
          <w:rFonts w:ascii="Sylfaen" w:hAnsi="Sylfaen"/>
          <w:sz w:val="24"/>
          <w:szCs w:val="24"/>
        </w:rPr>
        <w:t>ը:</w:t>
      </w:r>
    </w:p>
    <w:p w14:paraId="304493AF"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Դիֆրակտաչափն օգտագործում են նա</w:t>
      </w:r>
      <w:r>
        <w:rPr>
          <w:rFonts w:ascii="Sylfaen" w:hAnsi="Sylfaen"/>
          <w:sz w:val="24"/>
          <w:szCs w:val="24"/>
        </w:rPr>
        <w:t>եւ</w:t>
      </w:r>
      <w:r w:rsidRPr="00B834A2">
        <w:rPr>
          <w:rFonts w:ascii="Sylfaen" w:hAnsi="Sylfaen"/>
          <w:sz w:val="24"/>
          <w:szCs w:val="24"/>
        </w:rPr>
        <w:t xml:space="preserve"> փոխհաղորդման ռեժիմում: Տվյալ տեխնոլոգիայի առավելությունը բյուրեղների նախընտրելի կողմնորոշմամբ պայմանավորված էֆեկտների նվազեցումն է: Նմուշի փոքր քանակությունների դեպքում օգտագործում է նա</w:t>
      </w:r>
      <w:r>
        <w:rPr>
          <w:rFonts w:ascii="Sylfaen" w:hAnsi="Sylfaen"/>
          <w:sz w:val="24"/>
          <w:szCs w:val="24"/>
        </w:rPr>
        <w:t>եւ</w:t>
      </w:r>
      <w:r w:rsidRPr="00B834A2">
        <w:rPr>
          <w:rFonts w:ascii="Sylfaen" w:hAnsi="Sylfaen"/>
          <w:sz w:val="24"/>
          <w:szCs w:val="24"/>
        </w:rPr>
        <w:t xml:space="preserve"> (0,5 - 2) մմ հաստությամբ մազանոթ:</w:t>
      </w:r>
    </w:p>
    <w:p w14:paraId="51E26F40"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024994">
        <w:rPr>
          <w:rStyle w:val="Bodytext29pt"/>
          <w:b/>
          <w:sz w:val="24"/>
          <w:szCs w:val="24"/>
        </w:rPr>
        <w:t>Ռենտգենյան ճառագայթումը.</w:t>
      </w:r>
      <w:r w:rsidRPr="00024994">
        <w:t xml:space="preserve"> </w:t>
      </w:r>
      <w:r w:rsidRPr="00B834A2">
        <w:rPr>
          <w:rFonts w:ascii="Sylfaen" w:hAnsi="Sylfaen"/>
          <w:sz w:val="24"/>
          <w:szCs w:val="24"/>
        </w:rPr>
        <w:t xml:space="preserve">Լաբորատորիայում ռենտգենյան ճառագայթները ստանում են ջերմաիոնային էֆեկտի ժամանակ արձակված </w:t>
      </w:r>
      <w:r>
        <w:rPr>
          <w:rFonts w:ascii="Sylfaen" w:hAnsi="Sylfaen"/>
          <w:sz w:val="24"/>
          <w:szCs w:val="24"/>
        </w:rPr>
        <w:t>եւ</w:t>
      </w:r>
      <w:r w:rsidRPr="00B834A2">
        <w:rPr>
          <w:rFonts w:ascii="Sylfaen" w:hAnsi="Sylfaen"/>
          <w:sz w:val="24"/>
          <w:szCs w:val="24"/>
        </w:rPr>
        <w:t xml:space="preserve"> ուժեղ էլեկտրական դաշտում արագացված էլեկտրոններով մետաղական անոդի ռմբակոծման ժամանակ (բարձրավոլտ գեներատորի օգտագործմամբ): Էլեկտրոնների կինետիկ էներգիայի մեծ մասը կերպափոխվում է ջերմության, որը սահմանափակում է խողովակի հզորությունը </w:t>
      </w:r>
      <w:r>
        <w:rPr>
          <w:rFonts w:ascii="Sylfaen" w:hAnsi="Sylfaen"/>
          <w:sz w:val="24"/>
          <w:szCs w:val="24"/>
        </w:rPr>
        <w:t>եւ</w:t>
      </w:r>
      <w:r w:rsidRPr="00B834A2">
        <w:rPr>
          <w:rFonts w:ascii="Sylfaen" w:hAnsi="Sylfaen"/>
          <w:sz w:val="24"/>
          <w:szCs w:val="24"/>
        </w:rPr>
        <w:t xml:space="preserve"> պահանջում է անոդի արդյունավետ սառեցում: Պտտվող անոդների </w:t>
      </w:r>
      <w:r>
        <w:rPr>
          <w:rFonts w:ascii="Sylfaen" w:hAnsi="Sylfaen"/>
          <w:sz w:val="24"/>
          <w:szCs w:val="24"/>
        </w:rPr>
        <w:t>եւ</w:t>
      </w:r>
      <w:r w:rsidRPr="00B834A2">
        <w:rPr>
          <w:rFonts w:ascii="Sylfaen" w:hAnsi="Sylfaen"/>
          <w:sz w:val="24"/>
          <w:szCs w:val="24"/>
        </w:rPr>
        <w:t xml:space="preserve"> ռենտգենյան օպտիկական համակարգի օգնությամբ հասնում են ճառագայթման ինտենսիվության՝ 20-30-ապատիկ ավելացման: Բացի այդ, ռենտգենյան ֆոտոնները ստանում են խոշոր սարքվածքների (սինքրոնոտրոնների) վրա:</w:t>
      </w:r>
    </w:p>
    <w:p w14:paraId="76D2B972"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Ռենտգենյան խողովակի՝ դրա բավականաչափ լարման դեպքում բաց թողնվող սպեկտրը բաղկացած է պոլիքրոմատիկ ճառագայթման չընդհատվող ֆոնից </w:t>
      </w:r>
      <w:r>
        <w:rPr>
          <w:rFonts w:ascii="Sylfaen" w:hAnsi="Sylfaen"/>
          <w:sz w:val="24"/>
          <w:szCs w:val="24"/>
        </w:rPr>
        <w:t>եւ</w:t>
      </w:r>
      <w:r w:rsidRPr="00B834A2">
        <w:rPr>
          <w:rFonts w:ascii="Sylfaen" w:hAnsi="Sylfaen"/>
          <w:sz w:val="24"/>
          <w:szCs w:val="24"/>
        </w:rPr>
        <w:t xml:space="preserve"> լրացուցիչ բնութագրական ճառագայթումից, որը պայմանավորված է անոդի տեսակով: Ռենտգենյան դիֆրակցիայի փորձերում օգտագործում են բնութագրական ճառագայթումը: Ռենտգենյան դիֆրակցիայի համար ճառագայթման գլխավոր աղբյուրը պղնձից, մոլիբդենից, երկաթից, կոբալտից կամ քրոմից պատրաստված անոդներով վակուումային խողովակներն են. պղնձե, </w:t>
      </w:r>
      <w:r w:rsidRPr="00B834A2">
        <w:rPr>
          <w:rFonts w:ascii="Sylfaen" w:hAnsi="Sylfaen"/>
          <w:sz w:val="24"/>
          <w:szCs w:val="24"/>
        </w:rPr>
        <w:lastRenderedPageBreak/>
        <w:t xml:space="preserve">մոլիբդենային կամ կոբալտային անոդները հիմնականում օգտագործում են օրգանական նյութերի համար (կոբալտային անոդները նախընտրելի են հստակ ռենտգենյան գծերը որոշելու համար): Ճառագայթման ընտրությունը պայմանավորված է նմուշի աբսորբսացիոն բնութագրերով </w:t>
      </w:r>
      <w:r>
        <w:rPr>
          <w:rFonts w:ascii="Sylfaen" w:hAnsi="Sylfaen"/>
          <w:sz w:val="24"/>
          <w:szCs w:val="24"/>
        </w:rPr>
        <w:t>եւ</w:t>
      </w:r>
      <w:r w:rsidRPr="00B834A2">
        <w:rPr>
          <w:rFonts w:ascii="Sylfaen" w:hAnsi="Sylfaen"/>
          <w:sz w:val="24"/>
          <w:szCs w:val="24"/>
        </w:rPr>
        <w:t xml:space="preserve"> դրանում եղած ատոմների հնարավոր ֆլուորեսցենտմամբ: Փոշու դիֆրակցիայի մեջ օգտագործվող ալիքների երկարությունները սովորաբար համապատասխանում են անոդի K</w:t>
      </w:r>
      <w:r w:rsidRPr="00B834A2">
        <w:rPr>
          <w:rFonts w:ascii="Sylfaen" w:hAnsi="Sylfaen"/>
          <w:sz w:val="24"/>
          <w:szCs w:val="24"/>
          <w:vertAlign w:val="subscript"/>
        </w:rPr>
        <w:t>α</w:t>
      </w:r>
      <w:r w:rsidRPr="00B834A2">
        <w:rPr>
          <w:rFonts w:ascii="Sylfaen" w:hAnsi="Sylfaen"/>
          <w:sz w:val="24"/>
          <w:szCs w:val="24"/>
        </w:rPr>
        <w:t>-ճառագայթմանը: Սպեկտրի այլ բաղադրամասերի վերացման համար ռենտգենյան ճառագայթման փունջը պետք է լինի մոնոքրոմատիկ: Ճառագայթման մոնոքրոմատության մասնակի չափով հասնում են Кβ-ֆիլտրերի, այսինքն՝ մետաղական ֆիլտրերի կիրառման շնորհիվ՝ խողովակով ճառագայթվող ալիքների</w:t>
      </w:r>
      <w:r>
        <w:rPr>
          <w:rFonts w:ascii="Sylfaen" w:hAnsi="Sylfaen"/>
          <w:sz w:val="24"/>
          <w:szCs w:val="24"/>
        </w:rPr>
        <w:t xml:space="preserve"> </w:t>
      </w:r>
      <w:r w:rsidRPr="00B834A2">
        <w:rPr>
          <w:rFonts w:ascii="Sylfaen" w:hAnsi="Sylfaen"/>
          <w:sz w:val="24"/>
          <w:szCs w:val="24"/>
        </w:rPr>
        <w:t>К</w:t>
      </w:r>
      <w:r w:rsidRPr="00BF0860">
        <w:rPr>
          <w:rFonts w:ascii="Sylfaen" w:hAnsi="Sylfaen"/>
          <w:sz w:val="24"/>
          <w:szCs w:val="24"/>
          <w:vertAlign w:val="subscript"/>
        </w:rPr>
        <w:t>α</w:t>
      </w:r>
      <w:r w:rsidRPr="00B834A2">
        <w:rPr>
          <w:rFonts w:ascii="Sylfaen" w:hAnsi="Sylfaen"/>
          <w:sz w:val="24"/>
          <w:szCs w:val="24"/>
        </w:rPr>
        <w:t xml:space="preserve"> и К</w:t>
      </w:r>
      <w:r w:rsidRPr="00B834A2">
        <w:rPr>
          <w:rFonts w:ascii="Sylfaen" w:hAnsi="Sylfaen"/>
          <w:sz w:val="24"/>
          <w:szCs w:val="24"/>
          <w:vertAlign w:val="subscript"/>
        </w:rPr>
        <w:t>β</w:t>
      </w:r>
      <w:r w:rsidRPr="00B834A2">
        <w:rPr>
          <w:rFonts w:ascii="Sylfaen" w:hAnsi="Sylfaen"/>
          <w:sz w:val="24"/>
          <w:szCs w:val="24"/>
        </w:rPr>
        <w:t xml:space="preserve"> երկարությունների միջ</w:t>
      </w:r>
      <w:r>
        <w:rPr>
          <w:rFonts w:ascii="Sylfaen" w:hAnsi="Sylfaen"/>
          <w:sz w:val="24"/>
          <w:szCs w:val="24"/>
        </w:rPr>
        <w:t>եւ</w:t>
      </w:r>
      <w:r w:rsidRPr="00B834A2">
        <w:rPr>
          <w:rFonts w:ascii="Sylfaen" w:hAnsi="Sylfaen"/>
          <w:sz w:val="24"/>
          <w:szCs w:val="24"/>
        </w:rPr>
        <w:t xml:space="preserve"> աբսորբման ոլորտով:</w:t>
      </w:r>
    </w:p>
    <w:p w14:paraId="0D214A65"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Սովորաբար Кβ-ֆիլտրերը զետեղում են ռենտգենյան խողովակի </w:t>
      </w:r>
      <w:r>
        <w:rPr>
          <w:rFonts w:ascii="Sylfaen" w:hAnsi="Sylfaen"/>
          <w:sz w:val="24"/>
          <w:szCs w:val="24"/>
        </w:rPr>
        <w:t>եւ</w:t>
      </w:r>
      <w:r w:rsidRPr="00B834A2">
        <w:rPr>
          <w:rFonts w:ascii="Sylfaen" w:hAnsi="Sylfaen"/>
          <w:sz w:val="24"/>
          <w:szCs w:val="24"/>
        </w:rPr>
        <w:t xml:space="preserve"> նմուշի միջ</w:t>
      </w:r>
      <w:r>
        <w:rPr>
          <w:rFonts w:ascii="Sylfaen" w:hAnsi="Sylfaen"/>
          <w:sz w:val="24"/>
          <w:szCs w:val="24"/>
        </w:rPr>
        <w:t>եւ</w:t>
      </w:r>
      <w:r w:rsidRPr="00B834A2">
        <w:rPr>
          <w:rFonts w:ascii="Sylfaen" w:hAnsi="Sylfaen"/>
          <w:sz w:val="24"/>
          <w:szCs w:val="24"/>
        </w:rPr>
        <w:t xml:space="preserve">: Մոնոքրոմատիկ ռենտգենյան ճառագայթում ստանալու այլ, ավելի </w:t>
      </w:r>
      <w:r w:rsidRPr="00024994">
        <w:rPr>
          <w:rFonts w:ascii="Sylfaen" w:hAnsi="Sylfaen"/>
          <w:spacing w:val="4"/>
          <w:sz w:val="24"/>
          <w:szCs w:val="24"/>
        </w:rPr>
        <w:t>տարածված եղանակը մեծ մոնոքրոմատիկ բյուրեղի (մոնոքրոմատորի) կիրառումն է: Բյուրեղը</w:t>
      </w:r>
      <w:r w:rsidRPr="00B834A2">
        <w:rPr>
          <w:rFonts w:ascii="Sylfaen" w:hAnsi="Sylfaen"/>
          <w:sz w:val="24"/>
          <w:szCs w:val="24"/>
        </w:rPr>
        <w:t>, տեղավորվելով նմուշի առջ</w:t>
      </w:r>
      <w:r>
        <w:rPr>
          <w:rFonts w:ascii="Sylfaen" w:hAnsi="Sylfaen"/>
          <w:sz w:val="24"/>
          <w:szCs w:val="24"/>
        </w:rPr>
        <w:t>եւ</w:t>
      </w:r>
      <w:r w:rsidRPr="00B834A2">
        <w:rPr>
          <w:rFonts w:ascii="Sylfaen" w:hAnsi="Sylfaen"/>
          <w:sz w:val="24"/>
          <w:szCs w:val="24"/>
        </w:rPr>
        <w:t>ում կամ հետ</w:t>
      </w:r>
      <w:r>
        <w:rPr>
          <w:rFonts w:ascii="Sylfaen" w:hAnsi="Sylfaen"/>
          <w:sz w:val="24"/>
          <w:szCs w:val="24"/>
        </w:rPr>
        <w:t>եւ</w:t>
      </w:r>
      <w:r w:rsidRPr="00B834A2">
        <w:rPr>
          <w:rFonts w:ascii="Sylfaen" w:hAnsi="Sylfaen"/>
          <w:sz w:val="24"/>
          <w:szCs w:val="24"/>
        </w:rPr>
        <w:t>ում, տարբեր անկյունների տակ բեկում է ռենտգենյան ճառագայթման բնութագրական պիկերը՝ ապահովելով դրանցից միայն մեկի մուտքը դետեկտոր: Հնարավոր է նա</w:t>
      </w:r>
      <w:r>
        <w:rPr>
          <w:rFonts w:ascii="Sylfaen" w:hAnsi="Sylfaen"/>
          <w:sz w:val="24"/>
          <w:szCs w:val="24"/>
        </w:rPr>
        <w:t>եւ</w:t>
      </w:r>
      <w:r w:rsidRPr="00B834A2">
        <w:rPr>
          <w:rFonts w:ascii="Sylfaen" w:hAnsi="Sylfaen"/>
          <w:sz w:val="24"/>
          <w:szCs w:val="24"/>
        </w:rPr>
        <w:t xml:space="preserve"> К</w:t>
      </w:r>
      <w:r w:rsidRPr="00B834A2">
        <w:rPr>
          <w:rFonts w:ascii="Sylfaen" w:hAnsi="Sylfaen"/>
          <w:sz w:val="24"/>
          <w:szCs w:val="24"/>
          <w:vertAlign w:val="subscript"/>
        </w:rPr>
        <w:t>α1</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К</w:t>
      </w:r>
      <w:r w:rsidRPr="00B834A2">
        <w:rPr>
          <w:rFonts w:ascii="Sylfaen" w:hAnsi="Sylfaen"/>
          <w:sz w:val="24"/>
          <w:szCs w:val="24"/>
          <w:vertAlign w:val="subscript"/>
        </w:rPr>
        <w:t>α2</w:t>
      </w:r>
      <w:r w:rsidRPr="00B834A2">
        <w:rPr>
          <w:rFonts w:ascii="Sylfaen" w:hAnsi="Sylfaen"/>
          <w:sz w:val="24"/>
          <w:szCs w:val="24"/>
        </w:rPr>
        <w:t>-ճառագայթումների բաժանումը մասնագիտացված մոնոքրոմատորների օգնությամբ: Սակայն մոնոքրոմատիկ ճառագայթման ստացումը ֆիլտրի կամ մոնոքրոմատորի օգնությամբ ուղեկցվում է դրա ինտենսիվության կորստով: К</w:t>
      </w:r>
      <w:r w:rsidRPr="00B834A2">
        <w:rPr>
          <w:rFonts w:ascii="Sylfaen" w:hAnsi="Sylfaen"/>
          <w:sz w:val="24"/>
          <w:szCs w:val="24"/>
          <w:vertAlign w:val="subscript"/>
        </w:rPr>
        <w:t>α1</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К</w:t>
      </w:r>
      <w:r w:rsidRPr="00B834A2">
        <w:rPr>
          <w:rFonts w:ascii="Sylfaen" w:hAnsi="Sylfaen"/>
          <w:sz w:val="24"/>
          <w:szCs w:val="24"/>
          <w:vertAlign w:val="subscript"/>
        </w:rPr>
        <w:t>α2</w:t>
      </w:r>
      <w:r w:rsidRPr="00B834A2">
        <w:rPr>
          <w:rFonts w:ascii="Sylfaen" w:hAnsi="Sylfaen"/>
          <w:sz w:val="24"/>
          <w:szCs w:val="24"/>
        </w:rPr>
        <w:t>-ճառագայթումների բաժանման այլընտրանքային եղանակ է ծռված ռենտգենյան հայելիների կիրառումը, որոնք թույլ են տալիս իրականացնել միաժամանակ մոնոքրոմատացումը, կիզակետումը կամ ռենտգենյան ճառագայթման զուգահեռումը:</w:t>
      </w:r>
    </w:p>
    <w:p w14:paraId="512FC175"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ՌԱԴԻԱՑԻՈՆ ՊԱՇՏՊԱՆՈՒԹՅՈՒՆԸ. Մարդու մարմնի ցանկացած հատվածի՝ ռենտգենյան ճառագայթներով</w:t>
      </w:r>
      <w:r>
        <w:rPr>
          <w:rStyle w:val="Bodytext2Italic"/>
          <w:sz w:val="24"/>
          <w:szCs w:val="24"/>
        </w:rPr>
        <w:t xml:space="preserve"> </w:t>
      </w:r>
      <w:r w:rsidRPr="00B834A2">
        <w:rPr>
          <w:rStyle w:val="Bodytext2Italic"/>
          <w:sz w:val="24"/>
          <w:szCs w:val="24"/>
        </w:rPr>
        <w:t xml:space="preserve">ճառագայթահարումը վտանգավոր է առողջության համար: Այդ առնչությամբ ռենտգենյան սարքավորումների օգտագործման դեպքում անհրաժեշտ է կիրառել նախազգուշական միջոցներ՝ օպերատորի </w:t>
      </w:r>
      <w:r>
        <w:rPr>
          <w:rStyle w:val="Bodytext2Italic"/>
          <w:sz w:val="24"/>
          <w:szCs w:val="24"/>
        </w:rPr>
        <w:t>եւ</w:t>
      </w:r>
      <w:r w:rsidRPr="00B834A2">
        <w:rPr>
          <w:rStyle w:val="Bodytext2Italic"/>
          <w:sz w:val="24"/>
          <w:szCs w:val="24"/>
        </w:rPr>
        <w:t xml:space="preserve"> շրջապատողների պաշտպանության համար: Պրակտիկայում </w:t>
      </w:r>
      <w:r w:rsidRPr="00B834A2">
        <w:rPr>
          <w:rStyle w:val="Bodytext2Italic"/>
          <w:sz w:val="24"/>
          <w:szCs w:val="24"/>
        </w:rPr>
        <w:lastRenderedPageBreak/>
        <w:t>ռադիացիոն պաշտպանության առաջարկվող միջոցները, ինչպես նա</w:t>
      </w:r>
      <w:r>
        <w:rPr>
          <w:rStyle w:val="Bodytext2Italic"/>
          <w:sz w:val="24"/>
          <w:szCs w:val="24"/>
        </w:rPr>
        <w:t>եւ</w:t>
      </w:r>
      <w:r w:rsidRPr="00B834A2">
        <w:rPr>
          <w:rStyle w:val="Bodytext2Italic"/>
          <w:sz w:val="24"/>
          <w:szCs w:val="24"/>
        </w:rPr>
        <w:t xml:space="preserve"> ռենտգենյան ճառագայթման մակարդակի սահմանային արժեքները պետք է սահմանվեն յուրաքանչյուր երկրի ազգային օրենսդրությամբ: Երկրում պաշտոնական կանոնների կամ հանձնարարականների բացակայության դեպքում անհրաժեշտ է կատարել Ռադիոլոգիական պաշտպանության հարցերով միջազգային կոմիտեի վերջին հանձնարարականները:</w:t>
      </w:r>
    </w:p>
    <w:p w14:paraId="301D8B42" w14:textId="77777777" w:rsidR="00B834A2" w:rsidRPr="00B834A2" w:rsidRDefault="00000000" w:rsidP="00B834A2">
      <w:pPr>
        <w:spacing w:after="160" w:line="360" w:lineRule="auto"/>
      </w:pPr>
      <w:r>
        <w:rPr>
          <w:noProof/>
        </w:rPr>
        <w:pict w14:anchorId="4EEB9620">
          <v:group id="_x0000_s1244" style="position:absolute;margin-left:60.35pt;margin-top:81.2pt;width:384pt;height:297pt;z-index:251698176" coordorigin="2625,4110" coordsize="7680,5940">
            <v:rect id="_x0000_s1245" style="position:absolute;left:2625;top:4680;width:765;height:300">
              <v:textbox style="mso-next-textbox:#_x0000_s1245">
                <w:txbxContent>
                  <w:p w14:paraId="0FCE7969" w14:textId="77777777" w:rsidR="008D6E8B" w:rsidRPr="00D83FE2" w:rsidRDefault="008D6E8B" w:rsidP="00B834A2">
                    <w:pPr>
                      <w:jc w:val="center"/>
                      <w:rPr>
                        <w:sz w:val="16"/>
                        <w:szCs w:val="16"/>
                      </w:rPr>
                    </w:pPr>
                    <w:r>
                      <w:rPr>
                        <w:sz w:val="16"/>
                      </w:rPr>
                      <w:t>Ա</w:t>
                    </w:r>
                  </w:p>
                </w:txbxContent>
              </v:textbox>
            </v:rect>
            <v:rect id="_x0000_s1246" style="position:absolute;left:5220;top:4485;width:765;height:420">
              <v:textbox style="mso-next-textbox:#_x0000_s1246">
                <w:txbxContent>
                  <w:p w14:paraId="4C08FD92" w14:textId="77777777" w:rsidR="008D6E8B" w:rsidRPr="00D83FE2" w:rsidRDefault="008D6E8B" w:rsidP="00B834A2">
                    <w:pPr>
                      <w:jc w:val="center"/>
                      <w:rPr>
                        <w:sz w:val="16"/>
                        <w:szCs w:val="16"/>
                      </w:rPr>
                    </w:pPr>
                    <w:r>
                      <w:rPr>
                        <w:sz w:val="16"/>
                      </w:rPr>
                      <w:t>Գ</w:t>
                    </w:r>
                  </w:p>
                </w:txbxContent>
              </v:textbox>
            </v:rect>
            <v:rect id="_x0000_s1247" style="position:absolute;left:3780;top:4110;width:765;height:375">
              <v:textbox style="mso-next-textbox:#_x0000_s1247">
                <w:txbxContent>
                  <w:p w14:paraId="39B823F6" w14:textId="77777777" w:rsidR="008D6E8B" w:rsidRPr="00D83FE2" w:rsidRDefault="008D6E8B" w:rsidP="00B834A2">
                    <w:pPr>
                      <w:jc w:val="center"/>
                      <w:rPr>
                        <w:sz w:val="16"/>
                        <w:szCs w:val="16"/>
                      </w:rPr>
                    </w:pPr>
                    <w:r>
                      <w:rPr>
                        <w:sz w:val="16"/>
                      </w:rPr>
                      <w:t>Բ</w:t>
                    </w:r>
                  </w:p>
                </w:txbxContent>
              </v:textbox>
            </v:rect>
            <v:rect id="_x0000_s1248" style="position:absolute;left:5310;top:6195;width:765;height:375">
              <v:textbox style="mso-next-textbox:#_x0000_s1248">
                <w:txbxContent>
                  <w:p w14:paraId="3A04239B" w14:textId="77777777" w:rsidR="008D6E8B" w:rsidRPr="00D83FE2" w:rsidRDefault="008D6E8B" w:rsidP="00B834A2">
                    <w:pPr>
                      <w:jc w:val="center"/>
                      <w:rPr>
                        <w:sz w:val="16"/>
                        <w:szCs w:val="16"/>
                      </w:rPr>
                    </w:pPr>
                    <w:r>
                      <w:rPr>
                        <w:sz w:val="16"/>
                      </w:rPr>
                      <w:t>Դ</w:t>
                    </w:r>
                  </w:p>
                </w:txbxContent>
              </v:textbox>
            </v:rect>
            <v:rect id="_x0000_s1249" style="position:absolute;left:5985;top:6900;width:765;height:375">
              <v:textbox style="mso-next-textbox:#_x0000_s1249">
                <w:txbxContent>
                  <w:p w14:paraId="070067BA" w14:textId="77777777" w:rsidR="008D6E8B" w:rsidRPr="00D83FE2" w:rsidRDefault="008D6E8B" w:rsidP="00B834A2">
                    <w:pPr>
                      <w:jc w:val="center"/>
                      <w:rPr>
                        <w:sz w:val="16"/>
                        <w:szCs w:val="16"/>
                      </w:rPr>
                    </w:pPr>
                    <w:r>
                      <w:rPr>
                        <w:sz w:val="16"/>
                      </w:rPr>
                      <w:t>Ե</w:t>
                    </w:r>
                  </w:p>
                </w:txbxContent>
              </v:textbox>
            </v:rect>
            <v:rect id="_x0000_s1250" style="position:absolute;left:7785;top:8055;width:765;height:405">
              <v:textbox style="mso-next-textbox:#_x0000_s1250">
                <w:txbxContent>
                  <w:p w14:paraId="228CA8F3" w14:textId="77777777" w:rsidR="008D6E8B" w:rsidRPr="00D83FE2" w:rsidRDefault="008D6E8B" w:rsidP="00B834A2">
                    <w:pPr>
                      <w:jc w:val="center"/>
                      <w:rPr>
                        <w:sz w:val="16"/>
                        <w:szCs w:val="16"/>
                      </w:rPr>
                    </w:pPr>
                    <w:r>
                      <w:rPr>
                        <w:sz w:val="16"/>
                      </w:rPr>
                      <w:t>Զ</w:t>
                    </w:r>
                  </w:p>
                </w:txbxContent>
              </v:textbox>
            </v:rect>
            <v:rect id="_x0000_s1251" style="position:absolute;left:9150;top:7170;width:765;height:390">
              <v:textbox style="mso-next-textbox:#_x0000_s1251">
                <w:txbxContent>
                  <w:p w14:paraId="172EAA22" w14:textId="77777777" w:rsidR="008D6E8B" w:rsidRPr="00D83FE2" w:rsidRDefault="008D6E8B" w:rsidP="00B834A2">
                    <w:pPr>
                      <w:jc w:val="center"/>
                      <w:rPr>
                        <w:sz w:val="16"/>
                        <w:szCs w:val="16"/>
                      </w:rPr>
                    </w:pPr>
                    <w:r>
                      <w:rPr>
                        <w:sz w:val="16"/>
                      </w:rPr>
                      <w:t>Ը</w:t>
                    </w:r>
                  </w:p>
                </w:txbxContent>
              </v:textbox>
            </v:rect>
            <v:rect id="_x0000_s1252" style="position:absolute;left:9540;top:6570;width:765;height:330">
              <v:textbox style="mso-next-textbox:#_x0000_s1252">
                <w:txbxContent>
                  <w:p w14:paraId="129D07AC" w14:textId="77777777" w:rsidR="008D6E8B" w:rsidRPr="00D83FE2" w:rsidRDefault="008D6E8B" w:rsidP="00B834A2">
                    <w:pPr>
                      <w:jc w:val="center"/>
                      <w:rPr>
                        <w:sz w:val="16"/>
                        <w:szCs w:val="16"/>
                      </w:rPr>
                    </w:pPr>
                    <w:r>
                      <w:rPr>
                        <w:sz w:val="16"/>
                      </w:rPr>
                      <w:t>Է</w:t>
                    </w:r>
                  </w:p>
                </w:txbxContent>
              </v:textbox>
            </v:rect>
            <v:rect id="_x0000_s1253" style="position:absolute;left:2625;top:9675;width:765;height:375">
              <v:textbox style="mso-next-textbox:#_x0000_s1253">
                <w:txbxContent>
                  <w:p w14:paraId="747A0D4F" w14:textId="77777777" w:rsidR="008D6E8B" w:rsidRPr="00D83FE2" w:rsidRDefault="008D6E8B" w:rsidP="00B834A2">
                    <w:pPr>
                      <w:jc w:val="center"/>
                      <w:rPr>
                        <w:sz w:val="16"/>
                        <w:szCs w:val="16"/>
                      </w:rPr>
                    </w:pPr>
                    <w:r>
                      <w:rPr>
                        <w:sz w:val="16"/>
                      </w:rPr>
                      <w:t>Ժ</w:t>
                    </w:r>
                  </w:p>
                </w:txbxContent>
              </v:textbox>
            </v:rect>
          </v:group>
        </w:pict>
      </w:r>
      <w:r w:rsidR="00B834A2" w:rsidRPr="00B834A2">
        <w:rPr>
          <w:noProof/>
          <w:lang w:val="en-US" w:eastAsia="en-US" w:bidi="ar-SA"/>
        </w:rPr>
        <w:drawing>
          <wp:inline distT="0" distB="0" distL="0" distR="0" wp14:anchorId="3EEB215B" wp14:editId="5D6B8583">
            <wp:extent cx="5760085" cy="4875713"/>
            <wp:effectExtent l="19050" t="0" r="0" b="0"/>
            <wp:docPr id="226" name="Picture 34"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13"/>
                    <pic:cNvPicPr>
                      <a:picLocks noChangeAspect="1" noChangeArrowheads="1"/>
                    </pic:cNvPicPr>
                  </pic:nvPicPr>
                  <pic:blipFill>
                    <a:blip r:embed="rId47" cstate="print"/>
                    <a:srcRect/>
                    <a:stretch>
                      <a:fillRect/>
                    </a:stretch>
                  </pic:blipFill>
                  <pic:spPr bwMode="auto">
                    <a:xfrm>
                      <a:off x="0" y="0"/>
                      <a:ext cx="5760085" cy="4875713"/>
                    </a:xfrm>
                    <a:prstGeom prst="rect">
                      <a:avLst/>
                    </a:prstGeom>
                    <a:noFill/>
                    <a:ln w="9525">
                      <a:noFill/>
                      <a:miter lim="800000"/>
                      <a:headEnd/>
                      <a:tailEnd/>
                    </a:ln>
                  </pic:spPr>
                </pic:pic>
              </a:graphicData>
            </a:graphic>
          </wp:inline>
        </w:drawing>
      </w:r>
    </w:p>
    <w:p w14:paraId="78743013" w14:textId="77777777" w:rsidR="00B834A2" w:rsidRPr="00024994" w:rsidRDefault="00B834A2" w:rsidP="00B834A2">
      <w:pPr>
        <w:pStyle w:val="Picturecaption130"/>
        <w:shd w:val="clear" w:color="auto" w:fill="auto"/>
        <w:spacing w:after="160" w:line="360" w:lineRule="auto"/>
        <w:rPr>
          <w:rFonts w:ascii="Sylfaen" w:hAnsi="Sylfaen" w:cs="Sylfaen"/>
          <w:szCs w:val="24"/>
        </w:rPr>
      </w:pPr>
      <w:r w:rsidRPr="00024994">
        <w:rPr>
          <w:rStyle w:val="Picturecaption13NotItalic"/>
          <w:rFonts w:ascii="Sylfaen" w:hAnsi="Sylfaen"/>
          <w:szCs w:val="24"/>
        </w:rPr>
        <w:t xml:space="preserve">Նկար 2.1.10.5-3 </w:t>
      </w:r>
      <w:r w:rsidRPr="00024994">
        <w:rPr>
          <w:rFonts w:ascii="Sylfaen" w:hAnsi="Sylfaen"/>
          <w:szCs w:val="24"/>
        </w:rPr>
        <w:t>- Բրեգգ-Բրենտանոյի տարակիզակետման երկրաչափություն: Ա՝ ռենտգենյան խողովակ. Բ՝ բաժանումը սահմանափակող ճեղք. Գ՝ նմուշ. Դ՝ հակադիֆուզային ճեղք. Ե՝ ընդունող ճեղք. Զ՝ մոնոքրոմատոր. Է՝ ընդունող ճեղքի դետեկտոր. Ը՝ դետեկտոր. Թ՝ դիֆրակտաչափի շրջանակ. Ժ՝ կիզակետման շրջանակ:</w:t>
      </w:r>
    </w:p>
    <w:p w14:paraId="1C654596" w14:textId="77777777" w:rsidR="00BF0860" w:rsidRDefault="00BF0860">
      <w:pPr>
        <w:rPr>
          <w:rFonts w:eastAsia="Times New Roman"/>
          <w:b/>
        </w:rPr>
      </w:pPr>
      <w:r>
        <w:rPr>
          <w:b/>
        </w:rPr>
        <w:br w:type="page"/>
      </w:r>
    </w:p>
    <w:p w14:paraId="742B488E" w14:textId="77777777" w:rsidR="00B834A2" w:rsidRPr="00B834A2" w:rsidRDefault="00B834A2" w:rsidP="00BF0860">
      <w:pPr>
        <w:pStyle w:val="Bodytext20"/>
        <w:shd w:val="clear" w:color="auto" w:fill="auto"/>
        <w:spacing w:before="0" w:after="160" w:line="374" w:lineRule="auto"/>
        <w:ind w:firstLine="567"/>
        <w:jc w:val="both"/>
        <w:rPr>
          <w:rFonts w:ascii="Sylfaen" w:hAnsi="Sylfaen" w:cs="Sylfaen"/>
          <w:b/>
          <w:sz w:val="24"/>
          <w:szCs w:val="24"/>
        </w:rPr>
      </w:pPr>
      <w:r w:rsidRPr="00B834A2">
        <w:rPr>
          <w:rFonts w:ascii="Sylfaen" w:hAnsi="Sylfaen"/>
          <w:b/>
          <w:sz w:val="24"/>
          <w:szCs w:val="24"/>
        </w:rPr>
        <w:lastRenderedPageBreak/>
        <w:t>ՆՄՈՒՇԻ ՆԱԽԱՊԱՏՐԱՍՏՈՒՄԸ ԵՎ ՏԵՂԱԴՐՈՒՄԸ</w:t>
      </w:r>
    </w:p>
    <w:p w14:paraId="3B8B7136" w14:textId="77777777" w:rsidR="00B834A2" w:rsidRPr="00B834A2" w:rsidRDefault="00B834A2" w:rsidP="00BF086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 xml:space="preserve">Փոշենման նյութի նմուշի նախապատրաստումը </w:t>
      </w:r>
      <w:r>
        <w:rPr>
          <w:rFonts w:ascii="Sylfaen" w:hAnsi="Sylfaen"/>
          <w:sz w:val="24"/>
          <w:szCs w:val="24"/>
        </w:rPr>
        <w:t>եւ</w:t>
      </w:r>
      <w:r w:rsidRPr="00B834A2">
        <w:rPr>
          <w:rFonts w:ascii="Sylfaen" w:hAnsi="Sylfaen"/>
          <w:sz w:val="24"/>
          <w:szCs w:val="24"/>
        </w:rPr>
        <w:t xml:space="preserve"> դրա տեղադրումը բռնիչի մեջ կրիտիկական փուլեր են շատ անալիտիկ մեթոդներում, մասնավորապես՝ ՓՌԴ մեթոդում՝ ելնելով արդյունքների որակի վրա զգալի ազդեցությունից: Նույն կերպ, փոփոխությունները կարող են տեղ գտնել չհավասարակշռված նմուշների փորձարկման ժամանակ տվյալների (ջերմաստիճան, խոնավություն) ստացման ընթացքում:</w:t>
      </w:r>
    </w:p>
    <w:p w14:paraId="6F8307BF" w14:textId="77777777" w:rsidR="00B834A2" w:rsidRPr="00A859E3" w:rsidRDefault="00B834A2" w:rsidP="00BF0860">
      <w:pPr>
        <w:pStyle w:val="Bodytext20"/>
        <w:shd w:val="clear" w:color="auto" w:fill="auto"/>
        <w:spacing w:before="0" w:after="160" w:line="374" w:lineRule="auto"/>
        <w:ind w:firstLine="567"/>
        <w:jc w:val="both"/>
        <w:rPr>
          <w:rFonts w:ascii="Sylfaen" w:hAnsi="Sylfaen"/>
          <w:sz w:val="24"/>
          <w:szCs w:val="24"/>
        </w:rPr>
      </w:pPr>
      <w:r w:rsidRPr="00B834A2">
        <w:rPr>
          <w:rFonts w:ascii="Sylfaen" w:hAnsi="Sylfaen"/>
          <w:sz w:val="24"/>
          <w:szCs w:val="24"/>
        </w:rPr>
        <w:t>Նշված գործոններով պայմանավորված՝ սխալների հիմնական աղբյուրները բերվում են ստոր</w:t>
      </w:r>
      <w:r>
        <w:rPr>
          <w:rFonts w:ascii="Sylfaen" w:hAnsi="Sylfaen"/>
          <w:sz w:val="24"/>
          <w:szCs w:val="24"/>
        </w:rPr>
        <w:t>եւ</w:t>
      </w:r>
      <w:r w:rsidRPr="00B834A2">
        <w:rPr>
          <w:rFonts w:ascii="Sylfaen" w:hAnsi="Sylfaen"/>
          <w:sz w:val="24"/>
          <w:szCs w:val="24"/>
        </w:rPr>
        <w:t xml:space="preserve">՝ Բրեգգ-Բրենտանոյի տարակիզակետային երկրաչափությունում օգտագործվող չափման միջոցների համար: </w:t>
      </w:r>
    </w:p>
    <w:p w14:paraId="10CD1024" w14:textId="77777777" w:rsidR="00024994" w:rsidRPr="00A859E3" w:rsidRDefault="00024994" w:rsidP="00BF0860">
      <w:pPr>
        <w:pStyle w:val="Bodytext20"/>
        <w:shd w:val="clear" w:color="auto" w:fill="auto"/>
        <w:spacing w:before="0" w:after="160" w:line="374" w:lineRule="auto"/>
        <w:ind w:firstLine="567"/>
        <w:jc w:val="both"/>
        <w:rPr>
          <w:rFonts w:ascii="Sylfaen" w:hAnsi="Sylfaen" w:cs="Sylfaen"/>
          <w:sz w:val="24"/>
          <w:szCs w:val="24"/>
        </w:rPr>
      </w:pPr>
    </w:p>
    <w:p w14:paraId="25F10255" w14:textId="77777777" w:rsidR="00B834A2" w:rsidRPr="00B834A2" w:rsidRDefault="00B834A2" w:rsidP="00BF0860">
      <w:pPr>
        <w:pStyle w:val="Bodytext20"/>
        <w:shd w:val="clear" w:color="auto" w:fill="auto"/>
        <w:spacing w:before="0" w:after="160" w:line="374" w:lineRule="auto"/>
        <w:ind w:firstLine="567"/>
        <w:jc w:val="both"/>
        <w:rPr>
          <w:rFonts w:ascii="Sylfaen" w:hAnsi="Sylfaen" w:cs="Sylfaen"/>
          <w:b/>
          <w:sz w:val="24"/>
          <w:szCs w:val="24"/>
        </w:rPr>
      </w:pPr>
      <w:r w:rsidRPr="00B834A2">
        <w:rPr>
          <w:rFonts w:ascii="Sylfaen" w:hAnsi="Sylfaen"/>
          <w:b/>
          <w:sz w:val="24"/>
          <w:szCs w:val="24"/>
        </w:rPr>
        <w:t>ՆՄՈՒՇԻ ՆԱԽԱՊԱՏՐԱՍՏՈՒՄԸ</w:t>
      </w:r>
    </w:p>
    <w:p w14:paraId="29F334C5" w14:textId="77777777" w:rsidR="00B834A2" w:rsidRPr="00B834A2" w:rsidRDefault="00B834A2" w:rsidP="00BF0860">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Նմուշի բյուրեղային մասնիկների մեծամասնության ձ</w:t>
      </w:r>
      <w:r>
        <w:rPr>
          <w:rFonts w:ascii="Sylfaen" w:hAnsi="Sylfaen"/>
          <w:sz w:val="24"/>
          <w:szCs w:val="24"/>
        </w:rPr>
        <w:t>եւ</w:t>
      </w:r>
      <w:r w:rsidRPr="00B834A2">
        <w:rPr>
          <w:rFonts w:ascii="Sylfaen" w:hAnsi="Sylfaen"/>
          <w:sz w:val="24"/>
          <w:szCs w:val="24"/>
        </w:rPr>
        <w:t>աբանությունն արտահայտում է նախընտրելի կողմնորոշման որոշակի աստիճան՝ բռնիչում այն տեղադրելիս: Պատկերավոր օրինակներ են ասեղնավոր կամ թիթեղավոր բյուրեղները, որոնցում չափերի փոքրացումը հանգեցնում է ավելի մանր ասեղների կամ թիթեղների առաջացման: Նմուշում նախընտրելի կողմնորոշումն ազդում է արտացոլումների ինտենսիվության վրա՝ ամբողջությամբ չկանոնակարգված նմուշից արտացոլման ինտենսիվության համեմատ այն ուժեղացնելով կամ նվազեցնելով: Չկանոնակարգվածության հասնելու (</w:t>
      </w:r>
      <w:r>
        <w:rPr>
          <w:rFonts w:ascii="Sylfaen" w:hAnsi="Sylfaen"/>
          <w:sz w:val="24"/>
          <w:szCs w:val="24"/>
        </w:rPr>
        <w:t>եւ</w:t>
      </w:r>
      <w:r w:rsidRPr="00B834A2">
        <w:rPr>
          <w:rFonts w:ascii="Sylfaen" w:hAnsi="Sylfaen"/>
          <w:sz w:val="24"/>
          <w:szCs w:val="24"/>
        </w:rPr>
        <w:t xml:space="preserve"> հետ</w:t>
      </w:r>
      <w:r>
        <w:rPr>
          <w:rFonts w:ascii="Sylfaen" w:hAnsi="Sylfaen"/>
          <w:sz w:val="24"/>
          <w:szCs w:val="24"/>
        </w:rPr>
        <w:t>եւ</w:t>
      </w:r>
      <w:r w:rsidRPr="00B834A2">
        <w:rPr>
          <w:rFonts w:ascii="Sylfaen" w:hAnsi="Sylfaen"/>
          <w:sz w:val="24"/>
          <w:szCs w:val="24"/>
        </w:rPr>
        <w:t xml:space="preserve">աբար նախընտրելի կողմնորոշումը նվազեցնելու) համար հնարավոր է օգտագործել մի քանի եղանակ, որոնցից լավագույնը </w:t>
      </w:r>
      <w:r>
        <w:rPr>
          <w:rFonts w:ascii="Sylfaen" w:hAnsi="Sylfaen"/>
          <w:sz w:val="24"/>
          <w:szCs w:val="24"/>
        </w:rPr>
        <w:t>եւ</w:t>
      </w:r>
      <w:r w:rsidRPr="00B834A2">
        <w:rPr>
          <w:rFonts w:ascii="Sylfaen" w:hAnsi="Sylfaen"/>
          <w:sz w:val="24"/>
          <w:szCs w:val="24"/>
        </w:rPr>
        <w:t xml:space="preserve"> պարզագույնը մասնիկների չափերի հետագա նվազեցումն</w:t>
      </w:r>
      <w:r w:rsidR="00024994" w:rsidRPr="00A859E3">
        <w:rPr>
          <w:rFonts w:ascii="Sylfaen" w:hAnsi="Sylfaen"/>
          <w:sz w:val="24"/>
          <w:szCs w:val="24"/>
        </w:rPr>
        <w:t> </w:t>
      </w:r>
      <w:r w:rsidRPr="00B834A2">
        <w:rPr>
          <w:rFonts w:ascii="Sylfaen" w:hAnsi="Sylfaen"/>
          <w:sz w:val="24"/>
          <w:szCs w:val="24"/>
        </w:rPr>
        <w:t xml:space="preserve">է: Բյուրեղների օպտիմալ թիվը պայմանավորված է դիֆրակտաչափի երկրաչափությամբ, դրա թողունակությամբ </w:t>
      </w:r>
      <w:r>
        <w:rPr>
          <w:rFonts w:ascii="Sylfaen" w:hAnsi="Sylfaen"/>
          <w:sz w:val="24"/>
          <w:szCs w:val="24"/>
        </w:rPr>
        <w:t>եւ</w:t>
      </w:r>
      <w:r w:rsidRPr="00B834A2">
        <w:rPr>
          <w:rFonts w:ascii="Sylfaen" w:hAnsi="Sylfaen"/>
          <w:sz w:val="24"/>
          <w:szCs w:val="24"/>
        </w:rPr>
        <w:t xml:space="preserve"> ռենտգենյան ճառագայթման փնջի թուլացմամբ: Ֆազերի նույնականացման ժամանակ մի շարք դեպքերում բավարար արդյունքների հասնում են 50 մկմ-ից ավելի մասնիկների չափերի դեպքում: Սակայն չափազանց մանրացումը (մոտավորապես 0,5 մկմ-ից պակաս) կարող է </w:t>
      </w:r>
      <w:r w:rsidRPr="00B834A2">
        <w:rPr>
          <w:rFonts w:ascii="Sylfaen" w:hAnsi="Sylfaen"/>
          <w:sz w:val="24"/>
          <w:szCs w:val="24"/>
        </w:rPr>
        <w:lastRenderedPageBreak/>
        <w:t xml:space="preserve">հանգեցնել սպեկտրալ գծի լայնացման </w:t>
      </w:r>
      <w:r>
        <w:rPr>
          <w:rFonts w:ascii="Sylfaen" w:hAnsi="Sylfaen"/>
          <w:sz w:val="24"/>
          <w:szCs w:val="24"/>
        </w:rPr>
        <w:t>եւ</w:t>
      </w:r>
      <w:r w:rsidRPr="00B834A2">
        <w:rPr>
          <w:rFonts w:ascii="Sylfaen" w:hAnsi="Sylfaen"/>
          <w:sz w:val="24"/>
          <w:szCs w:val="24"/>
        </w:rPr>
        <w:t xml:space="preserve"> նմուշում այնպիսի զգալի փոփոխությունների, ինչպիսիք են՝ </w:t>
      </w:r>
    </w:p>
    <w:p w14:paraId="723C44C0"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B834A2">
        <w:t>-</w:t>
      </w:r>
      <w:r w:rsidR="009D7BBB" w:rsidRPr="00DE4F37">
        <w:tab/>
      </w:r>
      <w:r w:rsidRPr="00B834A2">
        <w:t xml:space="preserve">նմուշի </w:t>
      </w:r>
      <w:r w:rsidRPr="00024994">
        <w:rPr>
          <w:rFonts w:eastAsia="Times New Roman" w:cs="Times New Roman"/>
        </w:rPr>
        <w:t xml:space="preserve">աղտոտումը՝ մանրացնող գործիքների մասնիկներով (սանդ, սանդաթակ, գնդիկներ եւ այլն). </w:t>
      </w:r>
    </w:p>
    <w:p w14:paraId="0D267C21"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024994">
        <w:rPr>
          <w:rFonts w:eastAsia="Times New Roman" w:cs="Times New Roman"/>
        </w:rPr>
        <w:t>-</w:t>
      </w:r>
      <w:r w:rsidR="009D7BBB" w:rsidRPr="00DE4F37">
        <w:rPr>
          <w:rFonts w:eastAsia="Times New Roman" w:cs="Times New Roman"/>
        </w:rPr>
        <w:tab/>
      </w:r>
      <w:r w:rsidRPr="00024994">
        <w:rPr>
          <w:rFonts w:eastAsia="Times New Roman" w:cs="Times New Roman"/>
        </w:rPr>
        <w:t>բյուրեղայնության աստիճանի նվազեցումը.</w:t>
      </w:r>
    </w:p>
    <w:p w14:paraId="1874B391"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024994">
        <w:rPr>
          <w:rFonts w:eastAsia="Times New Roman" w:cs="Times New Roman"/>
        </w:rPr>
        <w:t>-</w:t>
      </w:r>
      <w:r w:rsidR="009D7BBB" w:rsidRPr="00DE4F37">
        <w:rPr>
          <w:rFonts w:eastAsia="Times New Roman" w:cs="Times New Roman"/>
        </w:rPr>
        <w:tab/>
      </w:r>
      <w:r w:rsidRPr="00024994">
        <w:rPr>
          <w:rFonts w:eastAsia="Times New Roman" w:cs="Times New Roman"/>
        </w:rPr>
        <w:t>պինդֆազային անցումն այլ պոլիմորֆ ձեւափոխման.</w:t>
      </w:r>
    </w:p>
    <w:p w14:paraId="50197048"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024994">
        <w:rPr>
          <w:rFonts w:eastAsia="Times New Roman" w:cs="Times New Roman"/>
        </w:rPr>
        <w:t>-</w:t>
      </w:r>
      <w:r w:rsidR="009D7BBB" w:rsidRPr="00DE4F37">
        <w:rPr>
          <w:rFonts w:eastAsia="Times New Roman" w:cs="Times New Roman"/>
        </w:rPr>
        <w:tab/>
      </w:r>
      <w:r w:rsidRPr="00024994">
        <w:rPr>
          <w:rFonts w:eastAsia="Times New Roman" w:cs="Times New Roman"/>
        </w:rPr>
        <w:t>քիմիական քայքայումը.</w:t>
      </w:r>
    </w:p>
    <w:p w14:paraId="7AF5533E"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024994">
        <w:rPr>
          <w:rFonts w:eastAsia="Times New Roman" w:cs="Times New Roman"/>
        </w:rPr>
        <w:t>-</w:t>
      </w:r>
      <w:r w:rsidR="009D7BBB" w:rsidRPr="00DE4F37">
        <w:rPr>
          <w:rFonts w:eastAsia="Times New Roman" w:cs="Times New Roman"/>
        </w:rPr>
        <w:tab/>
      </w:r>
      <w:r w:rsidRPr="00024994">
        <w:rPr>
          <w:rFonts w:eastAsia="Times New Roman" w:cs="Times New Roman"/>
        </w:rPr>
        <w:t>ներքին լարման առաջացումը.</w:t>
      </w:r>
    </w:p>
    <w:p w14:paraId="3087709A" w14:textId="77777777" w:rsidR="00B834A2" w:rsidRPr="00024994" w:rsidRDefault="00B834A2" w:rsidP="009D7BBB">
      <w:pPr>
        <w:tabs>
          <w:tab w:val="left" w:pos="1134"/>
        </w:tabs>
        <w:spacing w:after="160" w:line="360" w:lineRule="auto"/>
        <w:ind w:firstLine="567"/>
        <w:jc w:val="both"/>
        <w:rPr>
          <w:rFonts w:eastAsia="Times New Roman" w:cs="Times New Roman"/>
        </w:rPr>
      </w:pPr>
      <w:r w:rsidRPr="00024994">
        <w:rPr>
          <w:rFonts w:eastAsia="Times New Roman" w:cs="Times New Roman"/>
        </w:rPr>
        <w:t>-</w:t>
      </w:r>
      <w:r w:rsidR="009D7BBB" w:rsidRPr="00DE4F37">
        <w:rPr>
          <w:rFonts w:eastAsia="Times New Roman" w:cs="Times New Roman"/>
        </w:rPr>
        <w:tab/>
      </w:r>
      <w:r w:rsidRPr="00024994">
        <w:rPr>
          <w:rFonts w:eastAsia="Times New Roman" w:cs="Times New Roman"/>
        </w:rPr>
        <w:t>պինդֆազային ռեակցիաները:</w:t>
      </w:r>
    </w:p>
    <w:p w14:paraId="56F7A02E" w14:textId="77777777" w:rsidR="00B834A2" w:rsidRPr="00B834A2" w:rsidRDefault="00B834A2" w:rsidP="00024994">
      <w:pPr>
        <w:spacing w:after="160" w:line="360" w:lineRule="auto"/>
        <w:ind w:firstLine="567"/>
        <w:jc w:val="both"/>
      </w:pPr>
      <w:r w:rsidRPr="00024994">
        <w:rPr>
          <w:rFonts w:eastAsia="Times New Roman" w:cs="Times New Roman"/>
        </w:rPr>
        <w:t>Կապված վերոնշյալի հետ՝ նպատակահարմար է համեմատել սկզբնական նմուշների եւ դրանցից ստացված</w:t>
      </w:r>
      <w:r w:rsidRPr="00B834A2">
        <w:t xml:space="preserve"> մանրացված նմուշների դիֆրակտագրերը: Փոշու դիֆրակտագրերի նմանության դեպքում երկու դեպքում էլ մանրացում չի պահանջվում:</w:t>
      </w:r>
    </w:p>
    <w:p w14:paraId="74C8F58D" w14:textId="77777777" w:rsidR="00B834A2" w:rsidRPr="00B834A2" w:rsidRDefault="00B834A2" w:rsidP="00024994">
      <w:pPr>
        <w:spacing w:after="160" w:line="360" w:lineRule="auto"/>
        <w:ind w:firstLine="567"/>
        <w:jc w:val="both"/>
      </w:pPr>
      <w:r w:rsidRPr="00B834A2">
        <w:t xml:space="preserve">Նմուշում մեկից ավելի ֆազի պարունակության </w:t>
      </w:r>
      <w:r>
        <w:t>եւ</w:t>
      </w:r>
      <w:r w:rsidRPr="00B834A2">
        <w:t xml:space="preserve"> մաղելու գործողություն կիրառելու դեպքում հնարավոր է փոփոխել նմուշի կազմը:</w:t>
      </w:r>
    </w:p>
    <w:p w14:paraId="5C811131"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5E7D5F16"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ՆՄՈՒՇԻ ՍԱՀՄԱՆՈՒՄԸ</w:t>
      </w:r>
    </w:p>
    <w:p w14:paraId="0AB5CA7A"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024994">
        <w:rPr>
          <w:rFonts w:ascii="Sylfaen" w:hAnsi="Sylfaen"/>
          <w:b/>
          <w:sz w:val="24"/>
          <w:szCs w:val="24"/>
        </w:rPr>
        <w:t>Նմուշի տեղաշարժի ազդեցությունը</w:t>
      </w:r>
      <w:r w:rsidRPr="00B834A2">
        <w:rPr>
          <w:rFonts w:ascii="Sylfaen" w:hAnsi="Sylfaen"/>
          <w:sz w:val="24"/>
          <w:szCs w:val="24"/>
        </w:rPr>
        <w:t xml:space="preserve">: </w:t>
      </w:r>
      <w:r w:rsidRPr="00B834A2">
        <w:rPr>
          <w:rFonts w:ascii="Sylfaen" w:hAnsi="Sylfaen"/>
          <w:i/>
          <w:sz w:val="24"/>
          <w:szCs w:val="24"/>
        </w:rPr>
        <w:t>D</w:t>
      </w:r>
      <w:r w:rsidRPr="00B834A2">
        <w:rPr>
          <w:rFonts w:ascii="Sylfaen" w:hAnsi="Sylfaen"/>
          <w:sz w:val="24"/>
          <w:szCs w:val="24"/>
        </w:rPr>
        <w:t xml:space="preserve"> Հեռավորության վրա նմուշի մակեր</w:t>
      </w:r>
      <w:r>
        <w:rPr>
          <w:rFonts w:ascii="Sylfaen" w:hAnsi="Sylfaen"/>
          <w:sz w:val="24"/>
          <w:szCs w:val="24"/>
        </w:rPr>
        <w:t>եւ</w:t>
      </w:r>
      <w:r w:rsidRPr="00B834A2">
        <w:rPr>
          <w:rFonts w:ascii="Sylfaen" w:hAnsi="Sylfaen"/>
          <w:sz w:val="24"/>
          <w:szCs w:val="24"/>
        </w:rPr>
        <w:t xml:space="preserve">ույթի տեղաշարժը դիֆրակտաչափի պտույտի առանցքի նկատմամբ հանգեցնում է անխուսափելի համակարգային սխալների, որոնց արդյունքում տեղի է ունենում </w:t>
      </w:r>
      <w:r w:rsidRPr="00B834A2">
        <w:rPr>
          <w:rFonts w:ascii="Sylfaen" w:hAnsi="Sylfaen"/>
          <w:i/>
          <w:sz w:val="24"/>
          <w:szCs w:val="24"/>
        </w:rPr>
        <w:t>Dсоsθ</w:t>
      </w:r>
      <w:r w:rsidRPr="00B834A2" w:rsidDel="00AE0994">
        <w:rPr>
          <w:rFonts w:ascii="Sylfaen" w:hAnsi="Sylfaen"/>
          <w:i/>
          <w:sz w:val="24"/>
          <w:szCs w:val="24"/>
        </w:rPr>
        <w:t xml:space="preserve"> </w:t>
      </w:r>
      <w:r w:rsidRPr="00B834A2">
        <w:rPr>
          <w:rFonts w:ascii="Sylfaen" w:hAnsi="Sylfaen"/>
          <w:sz w:val="24"/>
          <w:szCs w:val="24"/>
        </w:rPr>
        <w:t xml:space="preserve">-ի տեղաշարժ 2θ դիրքերում (D = 15 մկմ-ի դեպքում соsθ ≈ 1-ով 20 փոքր անկյուններում սովորաբար մոտավորապես 0,01°) </w:t>
      </w:r>
      <w:r>
        <w:rPr>
          <w:rFonts w:ascii="Sylfaen" w:hAnsi="Sylfaen"/>
          <w:sz w:val="24"/>
          <w:szCs w:val="24"/>
        </w:rPr>
        <w:t>եւ</w:t>
      </w:r>
      <w:r w:rsidRPr="00B834A2">
        <w:rPr>
          <w:rFonts w:ascii="Sylfaen" w:hAnsi="Sylfaen"/>
          <w:sz w:val="24"/>
          <w:szCs w:val="24"/>
        </w:rPr>
        <w:t xml:space="preserve"> 20 նվազագույն մեծությունների ուղղությամբ պրոֆիլի անհամաչափ ընդլայնում:</w:t>
      </w:r>
    </w:p>
    <w:p w14:paraId="7B256AFB"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Անկյունաչափի սահմանված զրոյական արժեքի տեղաշարժը բոլոր դիտարկվող դիրքերում 29-գծի</w:t>
      </w:r>
      <w:r>
        <w:rPr>
          <w:rFonts w:ascii="Sylfaen" w:hAnsi="Sylfaen"/>
          <w:sz w:val="24"/>
          <w:szCs w:val="24"/>
        </w:rPr>
        <w:t xml:space="preserve"> </w:t>
      </w:r>
      <w:r w:rsidRPr="00B834A2">
        <w:rPr>
          <w:rFonts w:ascii="Sylfaen" w:hAnsi="Sylfaen"/>
          <w:sz w:val="24"/>
          <w:szCs w:val="24"/>
        </w:rPr>
        <w:t xml:space="preserve">մշտական տեղաշարժի արդյունք է, այսինքն՝ տվյալ </w:t>
      </w:r>
      <w:r w:rsidRPr="00B834A2">
        <w:rPr>
          <w:rFonts w:ascii="Sylfaen" w:hAnsi="Sylfaen"/>
          <w:sz w:val="24"/>
          <w:szCs w:val="24"/>
        </w:rPr>
        <w:lastRenderedPageBreak/>
        <w:t>դեպքում տեղի է ունենում Z</w:t>
      </w:r>
      <w:r w:rsidRPr="00B834A2">
        <w:rPr>
          <w:rStyle w:val="Bodytext2Italic"/>
          <w:sz w:val="24"/>
          <w:szCs w:val="24"/>
        </w:rPr>
        <w:t>°</w:t>
      </w:r>
      <w:r w:rsidRPr="00B834A2">
        <w:rPr>
          <w:rFonts w:ascii="Sylfaen" w:hAnsi="Sylfaen"/>
          <w:sz w:val="24"/>
          <w:szCs w:val="24"/>
        </w:rPr>
        <w:t>-ը 2θ-ի փոփանցման միջոցով ամբողջական դիֆրակտագրի փոխակերպում:</w:t>
      </w:r>
    </w:p>
    <w:p w14:paraId="65861605"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Համապատասխան ներքին ստանդարտի օգտագործումը թույլ է տալիս հայտնաբերել </w:t>
      </w:r>
      <w:r>
        <w:rPr>
          <w:rFonts w:ascii="Sylfaen" w:hAnsi="Sylfaen"/>
          <w:sz w:val="24"/>
          <w:szCs w:val="24"/>
        </w:rPr>
        <w:t>եւ</w:t>
      </w:r>
      <w:r w:rsidRPr="00B834A2">
        <w:rPr>
          <w:rFonts w:ascii="Sylfaen" w:hAnsi="Sylfaen"/>
          <w:sz w:val="24"/>
          <w:szCs w:val="24"/>
        </w:rPr>
        <w:t xml:space="preserve"> ճշգրտել դիտարկվող էֆեկտը նմուշի թափանցիկության հետ</w:t>
      </w:r>
      <w:r>
        <w:rPr>
          <w:rFonts w:ascii="Sylfaen" w:hAnsi="Sylfaen"/>
          <w:sz w:val="24"/>
          <w:szCs w:val="24"/>
        </w:rPr>
        <w:t>եւ</w:t>
      </w:r>
      <w:r w:rsidRPr="00B834A2">
        <w:rPr>
          <w:rFonts w:ascii="Sylfaen" w:hAnsi="Sylfaen"/>
          <w:sz w:val="24"/>
          <w:szCs w:val="24"/>
        </w:rPr>
        <w:t>անքով առաջացող էֆեկտի հետ մեկտեղ: Նշված եր</w:t>
      </w:r>
      <w:r>
        <w:rPr>
          <w:rFonts w:ascii="Sylfaen" w:hAnsi="Sylfaen"/>
          <w:sz w:val="24"/>
          <w:szCs w:val="24"/>
        </w:rPr>
        <w:t>եւ</w:t>
      </w:r>
      <w:r w:rsidRPr="00B834A2">
        <w:rPr>
          <w:rFonts w:ascii="Sylfaen" w:hAnsi="Sylfaen"/>
          <w:sz w:val="24"/>
          <w:szCs w:val="24"/>
        </w:rPr>
        <w:t>ույթն այն արդյունքների մեջ սխալների հիմնական աղբյուրն է, որոնք ստացվել են մանրակրկտորեն կարգաբերված դիֆրակտագրերում:</w:t>
      </w:r>
    </w:p>
    <w:p w14:paraId="64079AF3"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b/>
          <w:sz w:val="24"/>
          <w:szCs w:val="24"/>
        </w:rPr>
        <w:t xml:space="preserve">Նմուշի հաստության </w:t>
      </w:r>
      <w:r>
        <w:rPr>
          <w:rFonts w:ascii="Sylfaen" w:hAnsi="Sylfaen"/>
          <w:b/>
          <w:sz w:val="24"/>
          <w:szCs w:val="24"/>
        </w:rPr>
        <w:t>եւ</w:t>
      </w:r>
      <w:r w:rsidRPr="00B834A2">
        <w:rPr>
          <w:rFonts w:ascii="Sylfaen" w:hAnsi="Sylfaen"/>
          <w:b/>
          <w:sz w:val="24"/>
          <w:szCs w:val="24"/>
        </w:rPr>
        <w:t xml:space="preserve"> թափանցիկության ազդեցությունը:</w:t>
      </w:r>
      <w:r w:rsidRPr="00B834A2">
        <w:rPr>
          <w:rFonts w:ascii="Sylfaen" w:hAnsi="Sylfaen"/>
          <w:sz w:val="24"/>
          <w:szCs w:val="24"/>
        </w:rPr>
        <w:t xml:space="preserve"> Արտացոլման ռեժիմում օգտագործման դեպքում ՓՌԴ մեթոդը նախընտրելիորեն կիրառում են «անվերջանալի հաստությամբ» նմուշների համար: Թափանցիկության էֆեկտների նվազեցման համար նպատակահարմար է օգտագործել չդիֆրակտող տակդիրների օգտագործումը (զրոյական ֆոնով բռնիչ), օրինակ՝ միաբյուրեղային կրեմնիումի թիթեղներ, որոնք կտրվել են 510 ցանցի հարթություններին զուգահեռ:</w:t>
      </w:r>
    </w:p>
    <w:p w14:paraId="12D05404"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Արտացոլման ռեժիմում աշխատանքի առավելությունը սխալների էական նվազեցումն է, որոնք կապված են փորձանմուշի բարձրության </w:t>
      </w:r>
      <w:r>
        <w:rPr>
          <w:rFonts w:ascii="Sylfaen" w:hAnsi="Sylfaen"/>
          <w:sz w:val="24"/>
          <w:szCs w:val="24"/>
        </w:rPr>
        <w:t>եւ</w:t>
      </w:r>
      <w:r w:rsidRPr="00B834A2">
        <w:rPr>
          <w:rFonts w:ascii="Sylfaen" w:hAnsi="Sylfaen"/>
          <w:sz w:val="24"/>
          <w:szCs w:val="24"/>
        </w:rPr>
        <w:t xml:space="preserve"> նմուշի թափանցիկության հետ:</w:t>
      </w:r>
    </w:p>
    <w:p w14:paraId="5D33DAF8"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Ցածր մարումով բարակ նմուշի փորձարկման ժամանակ գծերի դիրքերի ճշգրիտ չափումը կատարում են դիֆրակտաչափի եզրաձ</w:t>
      </w:r>
      <w:r>
        <w:rPr>
          <w:rFonts w:ascii="Sylfaen" w:hAnsi="Sylfaen"/>
          <w:sz w:val="24"/>
          <w:szCs w:val="24"/>
        </w:rPr>
        <w:t>եւ</w:t>
      </w:r>
      <w:r w:rsidRPr="00B834A2">
        <w:rPr>
          <w:rFonts w:ascii="Sylfaen" w:hAnsi="Sylfaen"/>
          <w:sz w:val="24"/>
          <w:szCs w:val="24"/>
        </w:rPr>
        <w:t>ը՝ փոխհաղորդման կամ արտացոլման երկրաչափության մեջ կիզակետելու միջոցով: Ցածր մարումով նմուշների վրա գծերի դիրքերի ճշգրիտ չափումը նախընտրելիորեն կատարում են այն դիֆրակտաչափերի օգտագործմամբ, որոնք ունեն զուգահեռ փնջի օպտիկական համակարգեր, ինչը թույլ է տալիս նվազեցնել նմուշի հաստության հետ կապված էֆեկտը:</w:t>
      </w:r>
    </w:p>
    <w:p w14:paraId="29643ACE" w14:textId="77777777" w:rsidR="00B834A2" w:rsidRPr="00B834A2" w:rsidRDefault="00B834A2" w:rsidP="00024994">
      <w:pPr>
        <w:spacing w:after="160" w:line="360" w:lineRule="auto"/>
        <w:ind w:firstLine="567"/>
        <w:jc w:val="both"/>
      </w:pPr>
      <w:r w:rsidRPr="00B834A2">
        <w:t xml:space="preserve">Համապատասխան ներքին ստանդարտի օգտագործումը թույլ է տալիս հայտնաբերել </w:t>
      </w:r>
      <w:r>
        <w:t>եւ</w:t>
      </w:r>
      <w:r w:rsidRPr="00B834A2">
        <w:t xml:space="preserve"> ճշգրտել դիտարկվող էֆեկտը նմուշի տեղաշարժով </w:t>
      </w:r>
      <w:r w:rsidRPr="00024994">
        <w:rPr>
          <w:rFonts w:eastAsia="Times New Roman" w:cs="Times New Roman"/>
        </w:rPr>
        <w:t>պայմանավորված</w:t>
      </w:r>
      <w:r w:rsidRPr="00B834A2">
        <w:t xml:space="preserve"> էֆեկտի հետ մեկտեղ:</w:t>
      </w:r>
    </w:p>
    <w:p w14:paraId="0530BB18"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39863B6C" w14:textId="77777777" w:rsidR="00B834A2" w:rsidRPr="00B834A2" w:rsidRDefault="00B834A2" w:rsidP="00024994">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lastRenderedPageBreak/>
        <w:t>ԴԻՖՐԱԿՏԱՉԱՓԻ ԿԱՐԳԱԲԵՐՈՒՄԸ</w:t>
      </w:r>
    </w:p>
    <w:p w14:paraId="6DA25E72" w14:textId="77777777" w:rsidR="00B834A2" w:rsidRPr="00B834A2" w:rsidRDefault="00B834A2" w:rsidP="00024994">
      <w:pPr>
        <w:spacing w:after="160" w:line="360" w:lineRule="auto"/>
        <w:ind w:firstLine="567"/>
        <w:jc w:val="both"/>
      </w:pPr>
      <w:r w:rsidRPr="00024994">
        <w:rPr>
          <w:rFonts w:eastAsia="Times New Roman" w:cs="Times New Roman"/>
        </w:rPr>
        <w:t>Ռենտգենային</w:t>
      </w:r>
      <w:r w:rsidRPr="00B834A2">
        <w:t xml:space="preserve"> ճառագայթման սկզբնական </w:t>
      </w:r>
      <w:r>
        <w:t>եւ</w:t>
      </w:r>
      <w:r w:rsidRPr="00B834A2">
        <w:t xml:space="preserve"> դիֆրակտացված փնջերի համար անկյունաչափերը </w:t>
      </w:r>
      <w:r>
        <w:t>եւ</w:t>
      </w:r>
      <w:r w:rsidRPr="00B834A2">
        <w:t xml:space="preserve"> օպտիկական համակարգերը պարունակում են կարգաբերում պահանջող մեխանիկական մասեր: Կարգաբերման ճշգրտությունը անմիջականորեն ազդում է ՓՌԴ մեթոդով հետազոտությունների արդյունքների որակի վրա: Դրա հետ կապված՝ դիֆրակտաչափի բաղադրիչները (օպտիկական, մեխանիկական համակարգեր </w:t>
      </w:r>
      <w:r>
        <w:t>եւ</w:t>
      </w:r>
      <w:r w:rsidRPr="00B834A2">
        <w:t xml:space="preserve"> այլն) պետք է մանրամասն կարգավորվեն մինչ</w:t>
      </w:r>
      <w:r>
        <w:t>եւ</w:t>
      </w:r>
      <w:r w:rsidRPr="00B834A2">
        <w:t xml:space="preserve"> համակարգային սխալների նվազագույն մակարդակը: Դիֆրակտաչափի կարգաբերման ժամանակ առավելագույն ինտենսիվության </w:t>
      </w:r>
      <w:r>
        <w:t>եւ</w:t>
      </w:r>
      <w:r w:rsidRPr="00B834A2">
        <w:t xml:space="preserve"> առավելագույն թույլատրման սահմանումը բնույթով իրար հակազդող գործողություններ են, ինչը պահանջում է սարքի կարգաբերման ժամանակ դրանց օպտիմալ հարաբերակցության որոնում: Սարքավորումների տարբեր կոնֆիգուրացիաների մեծ թվի առկայությունը յուրաքանչյուր դեպքում պահանջում է կարգավորման սպեցիֆիկ ընթացակարգեր:</w:t>
      </w:r>
    </w:p>
    <w:p w14:paraId="090E2ECF" w14:textId="77777777" w:rsidR="00B834A2" w:rsidRPr="00B834A2" w:rsidRDefault="00B834A2" w:rsidP="00024994">
      <w:pPr>
        <w:spacing w:after="160" w:line="360" w:lineRule="auto"/>
        <w:ind w:firstLine="567"/>
        <w:jc w:val="both"/>
      </w:pPr>
      <w:r w:rsidRPr="00B834A2">
        <w:t>Դիֆրակտաչափի պիտանիության ընդհանուր ստուգումը պետք է կատարվի պարբերաբար՝ համապատասխան սերտիֆիկացված (վկայագրված) ստանդարտ նմուշների օգտագործմամբ: Պայմանավորված անալիզի տեսակով՝ թույլատրվում է նա</w:t>
      </w:r>
      <w:r>
        <w:t>եւ</w:t>
      </w:r>
      <w:r w:rsidRPr="00B834A2">
        <w:t xml:space="preserve"> կիրառել այլ բազմակողմանիորեն բնութագրված ստանդարտ նմուշներ, սակայն նախընտրելի է օգտագործել սերտիֆիկացված (վկայագրված) ստանդարտ նմուշներ:</w:t>
      </w:r>
    </w:p>
    <w:p w14:paraId="00266430"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p>
    <w:p w14:paraId="5BDE46A0"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ՈՐԱԿԱԿԱՆ ՖԱԶԱՅԻՆ ԱՆԱԼԻԶ (ՖԱԶԵՐԻ ՆՈՒՅՆԱԿԱՆԱՑՈՒՄ)</w:t>
      </w:r>
    </w:p>
    <w:p w14:paraId="79484303" w14:textId="77777777" w:rsidR="00B834A2" w:rsidRPr="00B834A2" w:rsidRDefault="00B834A2" w:rsidP="00B05616">
      <w:pPr>
        <w:spacing w:after="160" w:line="360" w:lineRule="auto"/>
        <w:ind w:firstLine="567"/>
        <w:jc w:val="both"/>
      </w:pPr>
      <w:r w:rsidRPr="00B834A2">
        <w:t xml:space="preserve">ՓՌԴ մեթոդով անհայտ նմուշի ֆազային կազմության նույնականացումը հիմնված է դրա փորձանմուշի փոշու ռենտգենագրերի համեմատության վրա՝ ստանդարտ նմուշի փորձնականորեն ստացված կամ հաշվարկված ռենտգենագրի հետ, որը կատարվում է տեսողականորեն կամ համակարգչի օգնությամբ: Բարձր որակի ստանդարտ ռենտգենագրերը ստացվում են միաֆազ նմուշների վրա՝ սահմանված բնութագրերի ամբողջական լրակազմով: Նման մոտեցումը թույլ է </w:t>
      </w:r>
      <w:r w:rsidRPr="00B834A2">
        <w:lastRenderedPageBreak/>
        <w:t xml:space="preserve">տալիս դեպքերի մեծամասնության դեպքում կատարել բյուրեղային նյութի նույնականացում՝ դիֆրակցիայի 2θ անկյուններով կամ </w:t>
      </w:r>
      <w:r w:rsidRPr="00B834A2">
        <w:rPr>
          <w:rStyle w:val="Bodytext2Italic"/>
          <w:sz w:val="24"/>
          <w:szCs w:val="24"/>
        </w:rPr>
        <w:t>d</w:t>
      </w:r>
      <w:r w:rsidRPr="00B834A2">
        <w:t xml:space="preserve"> հարթությունների միջ</w:t>
      </w:r>
      <w:r>
        <w:t>եւ</w:t>
      </w:r>
      <w:r w:rsidRPr="00B834A2">
        <w:t xml:space="preserve"> հեռավորություններով </w:t>
      </w:r>
      <w:r>
        <w:t>եւ</w:t>
      </w:r>
      <w:r w:rsidRPr="00B834A2">
        <w:t xml:space="preserve"> դրա հարաբերական ինտենսիվություններով: Անհայտ նմուշի դիֆրակտագրերի համակարգչային համեմատությունը ստանդարտ տվյալների հետ անցկացնում են կա՛մ ամբողջական դիֆրակտագրի ավելի կամ պակաս ընդարձակված 2θ-ընդգրկույթում, կա՛մ դրանից ստացված կրճատված տվյալների լրակազմի ներգրավմամբ: Օրինակ՝ այն </w:t>
      </w:r>
      <w:r w:rsidRPr="00B834A2">
        <w:rPr>
          <w:rStyle w:val="Bodytext2Italic"/>
          <w:sz w:val="24"/>
          <w:szCs w:val="24"/>
        </w:rPr>
        <w:t>d</w:t>
      </w:r>
      <w:r w:rsidRPr="00B834A2">
        <w:t xml:space="preserve"> հարթությունների միջ</w:t>
      </w:r>
      <w:r>
        <w:t>եւ</w:t>
      </w:r>
      <w:r w:rsidRPr="00B834A2">
        <w:t xml:space="preserve"> հեռավորությունների արժեքների </w:t>
      </w:r>
      <w:r>
        <w:t>եւ</w:t>
      </w:r>
      <w:r w:rsidRPr="00B834A2">
        <w:t xml:space="preserve"> </w:t>
      </w:r>
      <w:r w:rsidRPr="00B834A2">
        <w:rPr>
          <w:rStyle w:val="Bodytext2Italic"/>
          <w:sz w:val="24"/>
          <w:szCs w:val="24"/>
        </w:rPr>
        <w:t>I</w:t>
      </w:r>
      <w:r w:rsidRPr="00B834A2">
        <w:rPr>
          <w:vertAlign w:val="subscript"/>
        </w:rPr>
        <w:t>նորմ</w:t>
      </w:r>
      <w:r w:rsidRPr="00B834A2">
        <w:t xml:space="preserve"> </w:t>
      </w:r>
      <w:r w:rsidRPr="00B834A2">
        <w:rPr>
          <w:rStyle w:val="Bodytext2Italic"/>
          <w:sz w:val="24"/>
          <w:szCs w:val="24"/>
        </w:rPr>
        <w:t>(d,</w:t>
      </w:r>
      <w:r w:rsidRPr="00B834A2">
        <w:t xml:space="preserve"> </w:t>
      </w:r>
      <w:r w:rsidRPr="00B834A2">
        <w:rPr>
          <w:i/>
        </w:rPr>
        <w:t>I</w:t>
      </w:r>
      <w:r w:rsidRPr="00B834A2">
        <w:rPr>
          <w:vertAlign w:val="subscript"/>
        </w:rPr>
        <w:t>նորմ</w:t>
      </w:r>
      <w:r w:rsidRPr="00B834A2">
        <w:t>՝ ցանկեր) նորմալացված ինտենսիվությունների ցանկը, որոնք ստացվել են ռենտգենագրերից, նյութի՝ «մատնահետքերի» տիպի բյուրեղագիտական բնութագրեր են, որոնք համեմատում են տվյալների բազայում առկա միաֆազ նմուշների՝ d</w:t>
      </w:r>
      <w:r w:rsidRPr="00B834A2">
        <w:rPr>
          <w:rStyle w:val="Bodytext2Italic"/>
          <w:sz w:val="24"/>
          <w:szCs w:val="24"/>
        </w:rPr>
        <w:t>,</w:t>
      </w:r>
      <w:r w:rsidRPr="00B834A2">
        <w:t xml:space="preserve"> </w:t>
      </w:r>
      <w:r w:rsidRPr="00B834A2">
        <w:rPr>
          <w:rStyle w:val="Bodytext2Italic"/>
          <w:sz w:val="24"/>
          <w:szCs w:val="24"/>
        </w:rPr>
        <w:t>I</w:t>
      </w:r>
      <w:r w:rsidRPr="00B834A2">
        <w:rPr>
          <w:vertAlign w:val="subscript"/>
        </w:rPr>
        <w:t>նորմ</w:t>
      </w:r>
      <w:r w:rsidRPr="00B834A2">
        <w:t xml:space="preserve"> ցանկի հետ:</w:t>
      </w:r>
    </w:p>
    <w:p w14:paraId="643FBEFA" w14:textId="77777777" w:rsidR="00B834A2" w:rsidRPr="00B834A2" w:rsidRDefault="00B834A2" w:rsidP="00B05616">
      <w:pPr>
        <w:spacing w:after="160" w:line="360" w:lineRule="auto"/>
        <w:ind w:firstLine="567"/>
        <w:jc w:val="both"/>
      </w:pPr>
      <w:r w:rsidRPr="00B834A2">
        <w:t>Օգտագործելով СuК</w:t>
      </w:r>
      <w:r w:rsidRPr="00B05616">
        <w:t>а</w:t>
      </w:r>
      <w:r w:rsidRPr="00B834A2">
        <w:t>-ճառագայթումը՝ օրգանական բյուրեղների մեծամասնության համար դիֆրակտագիրը ստանում են 0°-ից մինչ</w:t>
      </w:r>
      <w:r>
        <w:t>եւ</w:t>
      </w:r>
      <w:r w:rsidRPr="00B834A2">
        <w:t xml:space="preserve"> 40° 2θ</w:t>
      </w:r>
      <w:r w:rsidRPr="00B834A2" w:rsidDel="00C67E21">
        <w:t xml:space="preserve"> </w:t>
      </w:r>
      <w:r w:rsidRPr="00B834A2">
        <w:t>-ընդգրկույթում: Եթե մի</w:t>
      </w:r>
      <w:r>
        <w:t>եւ</w:t>
      </w:r>
      <w:r w:rsidRPr="00B834A2">
        <w:t>նույն բյուրեղային ձ</w:t>
      </w:r>
      <w:r>
        <w:t>եւ</w:t>
      </w:r>
      <w:r w:rsidRPr="00B834A2">
        <w:t xml:space="preserve">ի փորձարկվող </w:t>
      </w:r>
      <w:r>
        <w:t>եւ</w:t>
      </w:r>
      <w:r w:rsidRPr="00B834A2">
        <w:t xml:space="preserve"> ստանդարտ նմուշների 2θ -դիֆրակցիոն անկյունների համընկնումը կատարվում է 0,2°-ի սահմաններում, ապա դրանց համապատասխանող ինտենսիվությունները ենթակա են զգալի տարափոխման՝ նախընտրելի կողմնորոշման էֆեկտի հետ</w:t>
      </w:r>
      <w:r>
        <w:t>եւ</w:t>
      </w:r>
      <w:r w:rsidRPr="00B834A2">
        <w:t>անքով: Իր կառուցվածքի շնորհիվ այլ տեսակի նմուշների համար (օրինակ՝ ոչ օրգանական աղերը) անհրաժեշտ է տեսածրման 2θ-ընդգրկույթի ընդլայնում՝ մինչ</w:t>
      </w:r>
      <w:r>
        <w:t>եւ</w:t>
      </w:r>
      <w:r w:rsidRPr="00B834A2">
        <w:t xml:space="preserve"> 40°-ից ավելի անկյուններ: Ընդհանուր առմամբ բավական է տասը առավել ուժեղ արտացոլումների սկանավորումը, որոնք նույնականացվել են միաֆազ նմուշների համար ՓՌԴ տվյալների բազայով:</w:t>
      </w:r>
    </w:p>
    <w:p w14:paraId="7C8E6471" w14:textId="77777777" w:rsidR="00B834A2" w:rsidRPr="00B834A2" w:rsidRDefault="00B834A2" w:rsidP="00B05616">
      <w:pPr>
        <w:spacing w:after="160" w:line="360" w:lineRule="auto"/>
        <w:ind w:firstLine="567"/>
        <w:jc w:val="both"/>
      </w:pPr>
      <w:r w:rsidRPr="00B834A2">
        <w:t>Ֆազերի նույնականացման բարդությունը կամ նույնիսկ անհնարինությունը կապված է հետ</w:t>
      </w:r>
      <w:r>
        <w:t>եւ</w:t>
      </w:r>
      <w:r w:rsidRPr="00B834A2">
        <w:t>յալ դեպքերի հետ.</w:t>
      </w:r>
    </w:p>
    <w:p w14:paraId="7DB04B44" w14:textId="77777777" w:rsidR="00B834A2" w:rsidRPr="00B834A2" w:rsidRDefault="00B834A2" w:rsidP="009D7BBB">
      <w:pPr>
        <w:tabs>
          <w:tab w:val="left" w:pos="1134"/>
        </w:tabs>
        <w:spacing w:after="160" w:line="360" w:lineRule="auto"/>
        <w:ind w:firstLine="567"/>
        <w:jc w:val="both"/>
      </w:pPr>
      <w:r w:rsidRPr="00B834A2">
        <w:t>-</w:t>
      </w:r>
      <w:r w:rsidR="009D7BBB" w:rsidRPr="00DE4F37">
        <w:tab/>
      </w:r>
      <w:r w:rsidRPr="00B834A2">
        <w:t>ոչ բյուրեղային կամ ամորֆ նյութերի փորձարկում.</w:t>
      </w:r>
    </w:p>
    <w:p w14:paraId="6F447898" w14:textId="77777777" w:rsidR="00B834A2" w:rsidRPr="00B834A2" w:rsidRDefault="00B834A2" w:rsidP="009D7BBB">
      <w:pPr>
        <w:tabs>
          <w:tab w:val="left" w:pos="1134"/>
        </w:tabs>
        <w:spacing w:after="160" w:line="360" w:lineRule="auto"/>
        <w:ind w:firstLine="567"/>
        <w:jc w:val="both"/>
      </w:pPr>
      <w:r w:rsidRPr="00B834A2">
        <w:t>-</w:t>
      </w:r>
      <w:r w:rsidR="009D7BBB" w:rsidRPr="00DE4F37">
        <w:tab/>
      </w:r>
      <w:r w:rsidRPr="00B834A2">
        <w:t>անալիտիկ փորձանմուշում բաղադրամասերի թորամասերի զանգվածում ցածր պարունակություն (սովորաբար 10 % մ/մ-ից պակաս).</w:t>
      </w:r>
    </w:p>
    <w:p w14:paraId="30D35A07"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D7BBB" w:rsidRPr="00DE4F37">
        <w:rPr>
          <w:rFonts w:ascii="Sylfaen" w:hAnsi="Sylfaen"/>
          <w:sz w:val="24"/>
          <w:szCs w:val="24"/>
        </w:rPr>
        <w:tab/>
      </w:r>
      <w:r w:rsidRPr="00B834A2">
        <w:rPr>
          <w:rFonts w:ascii="Sylfaen" w:hAnsi="Sylfaen"/>
          <w:sz w:val="24"/>
          <w:szCs w:val="24"/>
        </w:rPr>
        <w:t>նախընտրելի կողմնորոշման էֆեկտի առկայություն.</w:t>
      </w:r>
    </w:p>
    <w:p w14:paraId="37318D4B"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9D7BBB" w:rsidRPr="00DE4F37">
        <w:rPr>
          <w:rFonts w:ascii="Sylfaen" w:hAnsi="Sylfaen"/>
          <w:sz w:val="24"/>
          <w:szCs w:val="24"/>
        </w:rPr>
        <w:tab/>
      </w:r>
      <w:r w:rsidRPr="00B834A2">
        <w:rPr>
          <w:rFonts w:ascii="Sylfaen" w:hAnsi="Sylfaen"/>
          <w:sz w:val="24"/>
          <w:szCs w:val="24"/>
        </w:rPr>
        <w:t>տվյալների բազայում ֆազի բացակայություն.</w:t>
      </w:r>
    </w:p>
    <w:p w14:paraId="03064C6B"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D7BBB" w:rsidRPr="00DE4F37">
        <w:rPr>
          <w:rFonts w:ascii="Sylfaen" w:hAnsi="Sylfaen"/>
          <w:sz w:val="24"/>
          <w:szCs w:val="24"/>
        </w:rPr>
        <w:tab/>
      </w:r>
      <w:r w:rsidRPr="00B834A2">
        <w:rPr>
          <w:rFonts w:ascii="Sylfaen" w:hAnsi="Sylfaen"/>
          <w:sz w:val="24"/>
          <w:szCs w:val="24"/>
        </w:rPr>
        <w:t>պինդ լուծույթների առաջացում.</w:t>
      </w:r>
    </w:p>
    <w:p w14:paraId="23AE5401" w14:textId="77777777" w:rsidR="00B834A2" w:rsidRPr="00B05616" w:rsidRDefault="00B834A2" w:rsidP="009D7BBB">
      <w:pPr>
        <w:tabs>
          <w:tab w:val="left" w:pos="1134"/>
        </w:tabs>
        <w:spacing w:after="160" w:line="360" w:lineRule="auto"/>
        <w:ind w:firstLine="567"/>
        <w:jc w:val="both"/>
        <w:rPr>
          <w:rFonts w:eastAsia="Times New Roman" w:cs="Times New Roman"/>
        </w:rPr>
      </w:pPr>
      <w:r w:rsidRPr="009D7BBB">
        <w:rPr>
          <w:spacing w:val="-6"/>
        </w:rPr>
        <w:t>-</w:t>
      </w:r>
      <w:r w:rsidR="009D7BBB" w:rsidRPr="00DE4F37">
        <w:rPr>
          <w:spacing w:val="-6"/>
        </w:rPr>
        <w:tab/>
      </w:r>
      <w:r w:rsidRPr="009D7BBB">
        <w:rPr>
          <w:spacing w:val="-6"/>
        </w:rPr>
        <w:t xml:space="preserve">չկանոնակարգված </w:t>
      </w:r>
      <w:r w:rsidRPr="009D7BBB">
        <w:rPr>
          <w:rFonts w:eastAsia="Times New Roman" w:cs="Times New Roman"/>
          <w:spacing w:val="-6"/>
        </w:rPr>
        <w:t>կառուցվածքների առկայություն, որոնք աղավաղում են տարրական</w:t>
      </w:r>
      <w:r w:rsidRPr="00B05616">
        <w:rPr>
          <w:rFonts w:eastAsia="Times New Roman" w:cs="Times New Roman"/>
        </w:rPr>
        <w:t xml:space="preserve"> բջիջը. </w:t>
      </w:r>
    </w:p>
    <w:p w14:paraId="71D96781" w14:textId="77777777" w:rsidR="00B834A2" w:rsidRPr="00B05616" w:rsidRDefault="00B834A2" w:rsidP="009D7BBB">
      <w:pPr>
        <w:tabs>
          <w:tab w:val="left" w:pos="1134"/>
        </w:tabs>
        <w:spacing w:after="160" w:line="360" w:lineRule="auto"/>
        <w:ind w:firstLine="567"/>
        <w:jc w:val="both"/>
        <w:rPr>
          <w:rFonts w:eastAsia="Times New Roman" w:cs="Times New Roman"/>
        </w:rPr>
      </w:pPr>
      <w:r w:rsidRPr="00B05616">
        <w:rPr>
          <w:rFonts w:eastAsia="Times New Roman" w:cs="Times New Roman"/>
        </w:rPr>
        <w:t>-</w:t>
      </w:r>
      <w:r w:rsidR="009D7BBB" w:rsidRPr="00DE4F37">
        <w:rPr>
          <w:rFonts w:eastAsia="Times New Roman" w:cs="Times New Roman"/>
        </w:rPr>
        <w:tab/>
      </w:r>
      <w:r w:rsidRPr="00B05616">
        <w:rPr>
          <w:rFonts w:eastAsia="Times New Roman" w:cs="Times New Roman"/>
        </w:rPr>
        <w:t>նմուշում մեծ քանակությամբ ֆազերի պարունակություն.</w:t>
      </w:r>
    </w:p>
    <w:p w14:paraId="3C64B919" w14:textId="77777777" w:rsidR="00B834A2" w:rsidRPr="00B05616" w:rsidRDefault="00B834A2" w:rsidP="009D7BBB">
      <w:pPr>
        <w:tabs>
          <w:tab w:val="left" w:pos="1134"/>
        </w:tabs>
        <w:spacing w:after="160" w:line="360" w:lineRule="auto"/>
        <w:ind w:firstLine="567"/>
        <w:jc w:val="both"/>
        <w:rPr>
          <w:rFonts w:eastAsia="Times New Roman" w:cs="Times New Roman"/>
        </w:rPr>
      </w:pPr>
      <w:r w:rsidRPr="00B05616">
        <w:rPr>
          <w:rFonts w:eastAsia="Times New Roman" w:cs="Times New Roman"/>
        </w:rPr>
        <w:t>-</w:t>
      </w:r>
      <w:r w:rsidR="009D7BBB" w:rsidRPr="00DE4F37">
        <w:rPr>
          <w:rFonts w:eastAsia="Times New Roman" w:cs="Times New Roman"/>
        </w:rPr>
        <w:tab/>
      </w:r>
      <w:r w:rsidRPr="00B05616">
        <w:rPr>
          <w:rFonts w:eastAsia="Times New Roman" w:cs="Times New Roman"/>
        </w:rPr>
        <w:t>ցանցի դեֆորմացիայի առկայություն.</w:t>
      </w:r>
    </w:p>
    <w:p w14:paraId="7F1DCA05" w14:textId="77777777" w:rsidR="00B834A2" w:rsidRPr="00A859E3" w:rsidRDefault="00B834A2" w:rsidP="009D7BBB">
      <w:pPr>
        <w:tabs>
          <w:tab w:val="left" w:pos="1134"/>
        </w:tabs>
        <w:spacing w:after="160" w:line="360" w:lineRule="auto"/>
        <w:ind w:firstLine="567"/>
        <w:jc w:val="both"/>
      </w:pPr>
      <w:r w:rsidRPr="00B05616">
        <w:rPr>
          <w:rFonts w:eastAsia="Times New Roman" w:cs="Times New Roman"/>
        </w:rPr>
        <w:t>-</w:t>
      </w:r>
      <w:r w:rsidR="009D7BBB" w:rsidRPr="00DE4F37">
        <w:rPr>
          <w:rFonts w:eastAsia="Times New Roman" w:cs="Times New Roman"/>
        </w:rPr>
        <w:tab/>
      </w:r>
      <w:r w:rsidRPr="00B05616">
        <w:rPr>
          <w:rFonts w:eastAsia="Times New Roman" w:cs="Times New Roman"/>
        </w:rPr>
        <w:t>տարբեր ֆազերի կառուցվածքային</w:t>
      </w:r>
      <w:r w:rsidRPr="00B834A2">
        <w:t xml:space="preserve"> նմանություն:</w:t>
      </w:r>
    </w:p>
    <w:p w14:paraId="34DC2F22" w14:textId="77777777" w:rsidR="00B05616" w:rsidRPr="00A859E3" w:rsidRDefault="00B05616" w:rsidP="00B05616">
      <w:pPr>
        <w:spacing w:after="160" w:line="360" w:lineRule="auto"/>
        <w:ind w:firstLine="567"/>
        <w:jc w:val="both"/>
      </w:pPr>
    </w:p>
    <w:p w14:paraId="7E08F501"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ՔԱՆԱԿԱԿԱՆ ՖԱԶԱՅԻՆ ԱՆԱԼԻԶ</w:t>
      </w:r>
    </w:p>
    <w:p w14:paraId="38AC1668"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Երկու կամ ավելի հայտնի ֆազերի խառնուրդը որպես փորձարկվող նմուշ օգտագործելու դեպքում, որոնցից միայն մեկն է ամորֆ, դեպքերի մեծամասնությունում հնարավոր է սահմանել յուրաքանչյուր բյուրեղային </w:t>
      </w:r>
      <w:r>
        <w:rPr>
          <w:rFonts w:ascii="Sylfaen" w:hAnsi="Sylfaen"/>
          <w:sz w:val="24"/>
          <w:szCs w:val="24"/>
        </w:rPr>
        <w:t>եւ</w:t>
      </w:r>
      <w:r w:rsidRPr="00B834A2">
        <w:rPr>
          <w:rFonts w:ascii="Sylfaen" w:hAnsi="Sylfaen"/>
          <w:sz w:val="24"/>
          <w:szCs w:val="24"/>
        </w:rPr>
        <w:t xml:space="preserve"> ամորֆ ֆազի պարունակությունը (ըստ ծավալի կամ զանգվածի) տոկոսներով: Քանակական ֆազային անալիզն անցկացնում են ինտեգրալային ինտենսիվությամբ, որոշակի առանձին դիֆրակցիոն գծերի պիկերի բարձրություններով կամ ամբողջական ռենտգենագրով:</w:t>
      </w:r>
    </w:p>
    <w:p w14:paraId="3CE4751D"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Եթե բոլոր բաղադրիչների բյուրեղային կառուցվածքները հայտնի են, ապա անցկացվում է քանակական անալիզ՝ Ռիտվելդի մեթոդով՝ բարձր ճշգրտությամբ: Եթե բաղադրիչի բյուրեղային կառուցվածքը հայտնի չէ, ապա օգտագործում են Պաուլի մեթոդը կամ նվազագույն քառակուսիների մեթոդը:</w:t>
      </w:r>
    </w:p>
    <w:p w14:paraId="236DB181"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Ինտեգրալային ինտենսիվությունների, պիկերի բարձրությունների կամ ամբողջական դիֆրակտագրերի ստացված արժեքները համեմատում են իրենից մեկ ֆազ կամ հայտնի ֆազերի խառնուրդ ներկայացնող ստանդարտ նմուշի համար համապատասխան մեծությունների հետ: Քանակական անալիզ անցկացնելու ժամանակ առաջացող բարդությունները կապված են նմուշի նախապատրաստման (արդյունքների ճշտությունը </w:t>
      </w:r>
      <w:r>
        <w:rPr>
          <w:rFonts w:ascii="Sylfaen" w:hAnsi="Sylfaen"/>
          <w:sz w:val="24"/>
          <w:szCs w:val="24"/>
        </w:rPr>
        <w:t>եւ</w:t>
      </w:r>
      <w:r w:rsidRPr="00B834A2">
        <w:rPr>
          <w:rFonts w:ascii="Sylfaen" w:hAnsi="Sylfaen"/>
          <w:sz w:val="24"/>
          <w:szCs w:val="24"/>
        </w:rPr>
        <w:t xml:space="preserve"> վերարտադրելիությունը </w:t>
      </w:r>
      <w:r w:rsidRPr="00B834A2">
        <w:rPr>
          <w:rFonts w:ascii="Sylfaen" w:hAnsi="Sylfaen"/>
          <w:sz w:val="24"/>
          <w:szCs w:val="24"/>
        </w:rPr>
        <w:lastRenderedPageBreak/>
        <w:t xml:space="preserve">պահանջում են բոլոր ֆազերի բացառիկ միատարրություն </w:t>
      </w:r>
      <w:r>
        <w:rPr>
          <w:rFonts w:ascii="Sylfaen" w:hAnsi="Sylfaen"/>
          <w:sz w:val="24"/>
          <w:szCs w:val="24"/>
        </w:rPr>
        <w:t>եւ</w:t>
      </w:r>
      <w:r w:rsidRPr="00B834A2">
        <w:rPr>
          <w:rFonts w:ascii="Sylfaen" w:hAnsi="Sylfaen"/>
          <w:sz w:val="24"/>
          <w:szCs w:val="24"/>
        </w:rPr>
        <w:t xml:space="preserve"> յուրաքանչյուր ֆազում ըստ չափի թորամասերի համապատասխան բաշխում) </w:t>
      </w:r>
      <w:r>
        <w:rPr>
          <w:rFonts w:ascii="Sylfaen" w:hAnsi="Sylfaen"/>
          <w:sz w:val="24"/>
          <w:szCs w:val="24"/>
        </w:rPr>
        <w:t>եւ</w:t>
      </w:r>
      <w:r w:rsidRPr="00B834A2">
        <w:rPr>
          <w:rFonts w:ascii="Sylfaen" w:hAnsi="Sylfaen"/>
          <w:sz w:val="24"/>
          <w:szCs w:val="24"/>
        </w:rPr>
        <w:t xml:space="preserve"> մատրիցային էֆեկտների հետ: Առանձին դեպքերում բյուրեղային ֆազերի՝ 10 %-ից պակաս քանակը կարող է որոշվել կոշտ մատրիցների վրա:</w:t>
      </w:r>
    </w:p>
    <w:p w14:paraId="423F5EC8"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rPr>
      </w:pPr>
    </w:p>
    <w:p w14:paraId="1423EBFC"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ՊՈԼԻՄՈՐՖ ՆՄՈՒՇՆԵՐԸ</w:t>
      </w:r>
    </w:p>
    <w:p w14:paraId="4120E768" w14:textId="77777777" w:rsidR="00B834A2" w:rsidRPr="00B834A2" w:rsidRDefault="00B834A2" w:rsidP="00B05616">
      <w:pPr>
        <w:spacing w:after="160" w:line="360" w:lineRule="auto"/>
        <w:ind w:firstLine="567"/>
        <w:jc w:val="both"/>
      </w:pPr>
      <w:r w:rsidRPr="00B834A2">
        <w:t xml:space="preserve">Երկու պոլիմորֆ a </w:t>
      </w:r>
      <w:r>
        <w:t>եւ</w:t>
      </w:r>
      <w:r w:rsidRPr="00B834A2">
        <w:t xml:space="preserve"> b ֆազերից բաղկացած նմուշի համար а ֆազի F</w:t>
      </w:r>
      <w:r w:rsidRPr="00B834A2">
        <w:rPr>
          <w:vertAlign w:val="subscript"/>
        </w:rPr>
        <w:t>a</w:t>
      </w:r>
      <w:r w:rsidRPr="00B834A2">
        <w:t xml:space="preserve"> </w:t>
      </w:r>
      <w:r w:rsidRPr="00B05616">
        <w:rPr>
          <w:rFonts w:eastAsia="Times New Roman" w:cs="Times New Roman"/>
        </w:rPr>
        <w:t>թորամասի</w:t>
      </w:r>
      <w:r w:rsidRPr="00B834A2">
        <w:t xml:space="preserve"> քանակը հաշվարկում են ըստ հետ</w:t>
      </w:r>
      <w:r>
        <w:t>եւ</w:t>
      </w:r>
      <w:r w:rsidRPr="00B834A2">
        <w:t>յալ բանաձ</w:t>
      </w:r>
      <w:r>
        <w:t>եւ</w:t>
      </w:r>
      <w:r w:rsidRPr="00B834A2">
        <w:t>ի.</w:t>
      </w:r>
    </w:p>
    <w:p w14:paraId="265A57DA" w14:textId="77777777" w:rsidR="00B834A2" w:rsidRPr="00B834A2" w:rsidRDefault="00B834A2" w:rsidP="00B05616">
      <w:pPr>
        <w:spacing w:after="160" w:line="360" w:lineRule="auto"/>
        <w:ind w:firstLine="567"/>
        <w:jc w:val="center"/>
      </w:pPr>
      <w:r w:rsidRPr="00B05616">
        <w:rPr>
          <w:noProof/>
          <w:lang w:val="en-US" w:eastAsia="en-US" w:bidi="ar-SA"/>
        </w:rPr>
        <w:drawing>
          <wp:inline distT="0" distB="0" distL="0" distR="0" wp14:anchorId="00EDCA2F" wp14:editId="3D722D83">
            <wp:extent cx="2005330" cy="661808"/>
            <wp:effectExtent l="19050" t="0" r="0" b="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2019964" cy="666638"/>
                    </a:xfrm>
                    <a:prstGeom prst="rect">
                      <a:avLst/>
                    </a:prstGeom>
                    <a:noFill/>
                    <a:ln w="9525">
                      <a:noFill/>
                      <a:miter lim="800000"/>
                      <a:headEnd/>
                      <a:tailEnd/>
                    </a:ln>
                  </pic:spPr>
                </pic:pic>
              </a:graphicData>
            </a:graphic>
          </wp:inline>
        </w:drawing>
      </w:r>
    </w:p>
    <w:p w14:paraId="72E8FC37"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Թորամասը որոշում են երկու ֆազերի միջ</w:t>
      </w:r>
      <w:r>
        <w:rPr>
          <w:rFonts w:ascii="Sylfaen" w:hAnsi="Sylfaen"/>
          <w:sz w:val="24"/>
          <w:szCs w:val="24"/>
        </w:rPr>
        <w:t>եւ</w:t>
      </w:r>
      <w:r w:rsidRPr="00B834A2">
        <w:rPr>
          <w:rFonts w:ascii="Sylfaen" w:hAnsi="Sylfaen"/>
          <w:sz w:val="24"/>
          <w:szCs w:val="24"/>
        </w:rPr>
        <w:t xml:space="preserve"> ինտենսիվությունների հարաբերակցությունը չափելու միջոցով՝</w:t>
      </w:r>
      <w:r w:rsidRPr="00B834A2">
        <w:rPr>
          <w:rStyle w:val="Bodytext2Italic"/>
          <w:sz w:val="24"/>
          <w:szCs w:val="24"/>
        </w:rPr>
        <w:t>K</w:t>
      </w:r>
      <w:r w:rsidRPr="00B834A2">
        <w:rPr>
          <w:rFonts w:ascii="Sylfaen" w:hAnsi="Sylfaen"/>
          <w:sz w:val="24"/>
          <w:szCs w:val="24"/>
        </w:rPr>
        <w:t xml:space="preserve"> կոնստանտի հայտնի արժեքների դեպքում: </w:t>
      </w:r>
      <w:r w:rsidRPr="00B834A2">
        <w:rPr>
          <w:rStyle w:val="Bodytext2Italic"/>
          <w:sz w:val="24"/>
          <w:szCs w:val="24"/>
        </w:rPr>
        <w:t>K</w:t>
      </w:r>
      <w:r w:rsidRPr="00B834A2">
        <w:rPr>
          <w:rFonts w:ascii="Sylfaen" w:hAnsi="Sylfaen"/>
          <w:sz w:val="24"/>
          <w:szCs w:val="24"/>
        </w:rPr>
        <w:t xml:space="preserve"> կոնստանտը </w:t>
      </w:r>
      <w:r w:rsidRPr="00B834A2">
        <w:rPr>
          <w:rStyle w:val="Bodytext2Italic"/>
          <w:sz w:val="24"/>
          <w:szCs w:val="24"/>
        </w:rPr>
        <w:t>I</w:t>
      </w:r>
      <w:r w:rsidRPr="00B834A2">
        <w:rPr>
          <w:rStyle w:val="Bodytext2Italic"/>
          <w:sz w:val="24"/>
          <w:szCs w:val="24"/>
          <w:vertAlign w:val="subscript"/>
        </w:rPr>
        <w:t>oa</w:t>
      </w:r>
      <w:r w:rsidRPr="00B834A2">
        <w:rPr>
          <w:rFonts w:ascii="Sylfaen" w:hAnsi="Sylfaen"/>
          <w:sz w:val="24"/>
          <w:szCs w:val="24"/>
        </w:rPr>
        <w:t>/</w:t>
      </w:r>
      <w:r w:rsidRPr="00B834A2">
        <w:rPr>
          <w:rStyle w:val="Bodytext2Italic"/>
          <w:sz w:val="24"/>
          <w:szCs w:val="24"/>
        </w:rPr>
        <w:t>I</w:t>
      </w:r>
      <w:r w:rsidRPr="00B834A2">
        <w:rPr>
          <w:rStyle w:val="Bodytext2Italic"/>
          <w:sz w:val="24"/>
          <w:szCs w:val="24"/>
          <w:vertAlign w:val="subscript"/>
        </w:rPr>
        <w:t>ob</w:t>
      </w:r>
      <w:r>
        <w:rPr>
          <w:rStyle w:val="Bodytext285pt"/>
          <w:spacing w:val="0"/>
          <w:sz w:val="24"/>
          <w:szCs w:val="24"/>
        </w:rPr>
        <w:t xml:space="preserve"> </w:t>
      </w:r>
      <w:r w:rsidRPr="00B834A2">
        <w:rPr>
          <w:rFonts w:ascii="Sylfaen" w:hAnsi="Sylfaen"/>
          <w:sz w:val="24"/>
          <w:szCs w:val="24"/>
        </w:rPr>
        <w:t>երկու մաքուր պոլիմորֆ ֆազերի ճառագայթման բացարձակ ինտենսիվությունների հարաբերակցություն է, որի արժեքը որոշում են՝ օգտագործելով ստանդարտ նմուշները:</w:t>
      </w:r>
    </w:p>
    <w:p w14:paraId="6F20C8C2"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p>
    <w:p w14:paraId="57C2A134"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ՍՏԱՆԴԱՐՏԻ ՕԳՏԱԳՈՐԾՄԱՆ ՄԵԹՈԴՆԵՐԸ</w:t>
      </w:r>
    </w:p>
    <w:p w14:paraId="60AF22ED"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Քանակական ֆազային անալիզը մեծամասամբ անցկացնում են հետ</w:t>
      </w:r>
      <w:r>
        <w:rPr>
          <w:rFonts w:ascii="Sylfaen" w:hAnsi="Sylfaen"/>
          <w:sz w:val="24"/>
          <w:szCs w:val="24"/>
        </w:rPr>
        <w:t>եւ</w:t>
      </w:r>
      <w:r w:rsidRPr="00B834A2">
        <w:rPr>
          <w:rFonts w:ascii="Sylfaen" w:hAnsi="Sylfaen"/>
          <w:sz w:val="24"/>
          <w:szCs w:val="24"/>
        </w:rPr>
        <w:t>յալ մեթոդներից մեկով.</w:t>
      </w:r>
    </w:p>
    <w:p w14:paraId="39DBD289"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D7BBB" w:rsidRPr="00DE4F37">
        <w:rPr>
          <w:rFonts w:ascii="Sylfaen" w:hAnsi="Sylfaen"/>
          <w:sz w:val="24"/>
          <w:szCs w:val="24"/>
        </w:rPr>
        <w:tab/>
      </w:r>
      <w:r w:rsidRPr="00B834A2">
        <w:rPr>
          <w:rFonts w:ascii="Sylfaen" w:hAnsi="Sylfaen"/>
          <w:sz w:val="24"/>
          <w:szCs w:val="24"/>
        </w:rPr>
        <w:t>արտաքին ստանդարտի մեթոդ.</w:t>
      </w:r>
    </w:p>
    <w:p w14:paraId="4128B5F3"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D7BBB" w:rsidRPr="00DE4F37">
        <w:rPr>
          <w:rFonts w:ascii="Sylfaen" w:hAnsi="Sylfaen"/>
          <w:sz w:val="24"/>
          <w:szCs w:val="24"/>
        </w:rPr>
        <w:tab/>
      </w:r>
      <w:r w:rsidRPr="00B834A2">
        <w:rPr>
          <w:rFonts w:ascii="Sylfaen" w:hAnsi="Sylfaen"/>
          <w:sz w:val="24"/>
          <w:szCs w:val="24"/>
        </w:rPr>
        <w:t>ներքին ստանդարտի մեթոդ.</w:t>
      </w:r>
    </w:p>
    <w:p w14:paraId="51D8FF7F" w14:textId="77777777" w:rsidR="00B834A2" w:rsidRPr="00B834A2" w:rsidRDefault="00B834A2" w:rsidP="009D7BB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D7BBB" w:rsidRPr="00DE4F37">
        <w:rPr>
          <w:rFonts w:ascii="Sylfaen" w:hAnsi="Sylfaen"/>
          <w:sz w:val="24"/>
          <w:szCs w:val="24"/>
        </w:rPr>
        <w:tab/>
      </w:r>
      <w:r w:rsidRPr="00B834A2">
        <w:rPr>
          <w:rFonts w:ascii="Sylfaen" w:hAnsi="Sylfaen"/>
          <w:sz w:val="24"/>
          <w:szCs w:val="24"/>
        </w:rPr>
        <w:t>հավելումների մեթոդ (ստանդարտ հավելումների մեթոդ):</w:t>
      </w:r>
    </w:p>
    <w:p w14:paraId="0CCE8B46"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Ամենատարածվածն արտաքին ստանդարտի մեթոդն է, որը հիմնված է դիֆրակտագրերի կամ փորձարկվող </w:t>
      </w:r>
      <w:r>
        <w:rPr>
          <w:rFonts w:ascii="Sylfaen" w:hAnsi="Sylfaen"/>
          <w:sz w:val="24"/>
          <w:szCs w:val="24"/>
        </w:rPr>
        <w:t>եւ</w:t>
      </w:r>
      <w:r w:rsidRPr="00B834A2">
        <w:rPr>
          <w:rFonts w:ascii="Sylfaen" w:hAnsi="Sylfaen"/>
          <w:sz w:val="24"/>
          <w:szCs w:val="24"/>
        </w:rPr>
        <w:t xml:space="preserve"> ստանդարտ նմուշների համապատասխան գծերի ինտենսիվությունների վրա կամ կառուցվածքային մոդելի տեսական </w:t>
      </w:r>
      <w:r w:rsidRPr="00B834A2">
        <w:rPr>
          <w:rFonts w:ascii="Sylfaen" w:hAnsi="Sylfaen"/>
          <w:sz w:val="24"/>
          <w:szCs w:val="24"/>
        </w:rPr>
        <w:lastRenderedPageBreak/>
        <w:t>ինտենսիվությունների համեմատության վրա՝ դրա ամբողջական ուսումնասիրված լինելու պայմանով:</w:t>
      </w:r>
    </w:p>
    <w:p w14:paraId="6AC1B1A0" w14:textId="77777777" w:rsidR="00B834A2" w:rsidRPr="00B05616" w:rsidRDefault="00B834A2" w:rsidP="00B05616">
      <w:pPr>
        <w:spacing w:after="160" w:line="360" w:lineRule="auto"/>
        <w:ind w:firstLine="567"/>
        <w:jc w:val="both"/>
        <w:rPr>
          <w:rFonts w:eastAsia="Times New Roman"/>
        </w:rPr>
      </w:pPr>
      <w:r w:rsidRPr="00B834A2">
        <w:t xml:space="preserve">Մատրիցային էֆեկտներով պայմանավորված սխալների սահմանափակման համար որպես ներքին ստանդարտ նմուշ օգտագործում են բյուրեղների չափի </w:t>
      </w:r>
      <w:r>
        <w:t>եւ</w:t>
      </w:r>
      <w:r w:rsidRPr="00B834A2">
        <w:t xml:space="preserve"> ռենտգենային </w:t>
      </w:r>
      <w:r w:rsidRPr="00B05616">
        <w:rPr>
          <w:rFonts w:eastAsia="Times New Roman"/>
        </w:rPr>
        <w:t>ճառագայթման աբսորբման գործակցող խառնուրդ, որոնք համեմատելի են դրա բաղադրիչների համար, ինչպես նաեւ դիֆրակտագրի հետ, որը չի դրվում անալիզի ենթարկվող նմուշի դիֆրակտագրի վրա: Ստանդարտ նմուշի հայտնի քանակությունն ավելացնում են անալիզի ենթարկվող նմուշին եւ յուրաքանչյուր ստանդարտ խառնուրդի մեջ: Այդ պայմաններում ճառագայթման ինտենսիվության կախվածությունը ֆազի կոնցենտրացիայից ունի գծային բնույթ: Ներքին ստանդարտի մեթոդը պահանջում է ռենտգենյան ճառագայթման ինտենսիվության ճշգրիտ չափում:</w:t>
      </w:r>
    </w:p>
    <w:p w14:paraId="23C845FB" w14:textId="77777777" w:rsidR="00B834A2" w:rsidRPr="00B834A2" w:rsidRDefault="00B834A2" w:rsidP="00B05616">
      <w:pPr>
        <w:spacing w:after="160" w:line="360" w:lineRule="auto"/>
        <w:ind w:firstLine="567"/>
        <w:jc w:val="both"/>
      </w:pPr>
      <w:r w:rsidRPr="00B05616">
        <w:rPr>
          <w:rFonts w:eastAsia="Times New Roman"/>
        </w:rPr>
        <w:t xml:space="preserve">Հավելումների մեթոդում (կամ ստանդարտ հավելումների մեթոդում) </w:t>
      </w:r>
      <w:r w:rsidRPr="00B05616">
        <w:rPr>
          <w:rFonts w:eastAsia="Times New Roman"/>
          <w:i/>
          <w:iCs/>
        </w:rPr>
        <w:t>a</w:t>
      </w:r>
      <w:r w:rsidRPr="00B05616">
        <w:rPr>
          <w:rFonts w:eastAsia="Times New Roman"/>
        </w:rPr>
        <w:t xml:space="preserve"> մաքուր ֆազի որոշակի քանակությունն ավելացնում են այդ ֆազի անհայտ կոնցենտրացիա պարունակող խառնուրդի մեջ: Հավելումն անցկացնում են բազմաթիվ անգամ՝ ֆազի կոնցենտրացիայից</w:t>
      </w:r>
      <w:r w:rsidRPr="00B834A2">
        <w:t xml:space="preserve"> ինտենսիվության կախվածության գրաֆիկ կառուցելու համար, որով բացասական հատվածում որոշում են փորձարկվող նմուշում </w:t>
      </w:r>
      <w:r w:rsidRPr="00B834A2">
        <w:rPr>
          <w:rStyle w:val="Bodytext2Italic"/>
          <w:sz w:val="24"/>
          <w:szCs w:val="24"/>
        </w:rPr>
        <w:t>a</w:t>
      </w:r>
      <w:r w:rsidRPr="00B834A2">
        <w:t xml:space="preserve"> ֆազի կոնցենտրացիա հանդիսացող </w:t>
      </w:r>
      <w:r w:rsidRPr="00B834A2">
        <w:rPr>
          <w:rStyle w:val="Bodytext2Italic"/>
          <w:sz w:val="24"/>
          <w:szCs w:val="24"/>
        </w:rPr>
        <w:t>х</w:t>
      </w:r>
      <w:r w:rsidRPr="00B834A2">
        <w:t xml:space="preserve"> հատվածը:</w:t>
      </w:r>
    </w:p>
    <w:p w14:paraId="55317584" w14:textId="77777777" w:rsidR="00B834A2" w:rsidRPr="00B834A2" w:rsidRDefault="00B834A2" w:rsidP="00B834A2">
      <w:pPr>
        <w:pStyle w:val="Bodytext20"/>
        <w:shd w:val="clear" w:color="auto" w:fill="auto"/>
        <w:spacing w:before="0" w:after="160" w:line="360" w:lineRule="auto"/>
        <w:ind w:firstLine="567"/>
        <w:jc w:val="left"/>
        <w:rPr>
          <w:rFonts w:ascii="Sylfaen" w:hAnsi="Sylfaen" w:cs="Sylfaen"/>
          <w:b/>
          <w:sz w:val="24"/>
          <w:szCs w:val="24"/>
        </w:rPr>
      </w:pPr>
    </w:p>
    <w:p w14:paraId="65761FCB" w14:textId="77777777" w:rsidR="00B834A2" w:rsidRPr="00B834A2" w:rsidRDefault="00B834A2" w:rsidP="00B05616">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ԹՈՐԱՄԱՍԵՐԻ ԱՄՈՐՖՈՒԹՅԱՆ ԵՎ ԲՅՈՒՐԵՂԱՅՆՈՒԹՅԱՆ ԳՆԱՀԱՏԱԿԱՆԸ</w:t>
      </w:r>
    </w:p>
    <w:p w14:paraId="7FAE9C96" w14:textId="77777777" w:rsidR="00B834A2" w:rsidRPr="00B834A2" w:rsidRDefault="00B834A2" w:rsidP="00B05616">
      <w:pPr>
        <w:spacing w:after="160" w:line="360" w:lineRule="auto"/>
        <w:ind w:firstLine="567"/>
        <w:jc w:val="both"/>
      </w:pPr>
      <w:r w:rsidRPr="00B834A2">
        <w:t xml:space="preserve">Խառնուրդում բյուրեղային </w:t>
      </w:r>
      <w:r>
        <w:t>եւ</w:t>
      </w:r>
      <w:r w:rsidRPr="00B834A2">
        <w:t xml:space="preserve"> ամորֆ ֆազերի պարունակության գնահատականը անցկացնում են մի քանի մեթոդներով, որոնց ընտրությունը սահմանվում է նմուշի բնույթով՝</w:t>
      </w:r>
    </w:p>
    <w:p w14:paraId="68BA31A2" w14:textId="77777777" w:rsidR="00B834A2" w:rsidRPr="00B834A2" w:rsidRDefault="00B834A2" w:rsidP="009D7BBB">
      <w:pPr>
        <w:tabs>
          <w:tab w:val="left" w:pos="1134"/>
        </w:tabs>
        <w:spacing w:after="160" w:line="360" w:lineRule="auto"/>
        <w:ind w:firstLine="567"/>
        <w:jc w:val="both"/>
      </w:pPr>
      <w:r w:rsidRPr="00B834A2">
        <w:t>-</w:t>
      </w:r>
      <w:r w:rsidR="009D7BBB" w:rsidRPr="00DE4F37">
        <w:tab/>
      </w:r>
      <w:r w:rsidRPr="00B834A2">
        <w:t xml:space="preserve">եթե նմուշը կազմված է բյուրեղային թորամասերից </w:t>
      </w:r>
      <w:r>
        <w:t>եւ</w:t>
      </w:r>
      <w:r w:rsidRPr="00B834A2">
        <w:t xml:space="preserve"> տարբեր քիմիական բաղադրության ամորֆ թորամասից, անհատական բյուրեղային ֆազի քանակը գնահատում են համապատասխան ստանդարտ նմուշների օգնությամբ, </w:t>
      </w:r>
      <w:r w:rsidRPr="00B834A2">
        <w:lastRenderedPageBreak/>
        <w:t>ինչպես նկարագրված է վեր</w:t>
      </w:r>
      <w:r>
        <w:t>եւ</w:t>
      </w:r>
      <w:r w:rsidRPr="00B834A2">
        <w:t>ում, այնուհետ</w:t>
      </w:r>
      <w:r>
        <w:t>եւ</w:t>
      </w:r>
      <w:r w:rsidRPr="00B834A2">
        <w:t xml:space="preserve"> ամորֆ թորամասը որոշում են հանելով.</w:t>
      </w:r>
    </w:p>
    <w:p w14:paraId="4A0EF987" w14:textId="77777777" w:rsidR="00B834A2" w:rsidRPr="00B834A2" w:rsidRDefault="00B834A2" w:rsidP="009D7BBB">
      <w:pPr>
        <w:tabs>
          <w:tab w:val="left" w:pos="1134"/>
        </w:tabs>
        <w:spacing w:after="160" w:line="360" w:lineRule="auto"/>
        <w:ind w:firstLine="567"/>
        <w:jc w:val="both"/>
      </w:pPr>
      <w:r w:rsidRPr="00B834A2">
        <w:t>-</w:t>
      </w:r>
      <w:r w:rsidR="009D7BBB" w:rsidRPr="00DE4F37">
        <w:tab/>
      </w:r>
      <w:r w:rsidRPr="00B834A2">
        <w:t>եթե նմուշը բաղկացած է միաֆազ կամ երկֆազ խառնուրդի տեսքով տարրերի մի</w:t>
      </w:r>
      <w:r>
        <w:t>եւ</w:t>
      </w:r>
      <w:r w:rsidRPr="00B834A2">
        <w:t xml:space="preserve">նույն կազմությամբ մեկ ամորֆ </w:t>
      </w:r>
      <w:r>
        <w:t>եւ</w:t>
      </w:r>
      <w:r w:rsidRPr="00B834A2">
        <w:t xml:space="preserve"> մեկ բյուրեղային թորամասից, ապա բյուրեղային ֆազի քանակը (բյուրեղայնության աստիճանը) հաշվարկում են դիֆրակտագրի երեք հատվածներում պիկերը չափելու միջոցով՝</w:t>
      </w:r>
    </w:p>
    <w:p w14:paraId="3B879C8A"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А</w:t>
      </w:r>
      <w:r w:rsidRPr="00B834A2">
        <w:rPr>
          <w:rFonts w:ascii="Sylfaen" w:hAnsi="Sylfaen"/>
          <w:sz w:val="24"/>
          <w:szCs w:val="24"/>
        </w:rPr>
        <w:t>՝ նմուշի բյուրեղային ֆազից դիֆրակցիայի ժամանակ առաջացող պիկերի ընդհանուր մակերես.</w:t>
      </w:r>
    </w:p>
    <w:p w14:paraId="5C8D3492"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В</w:t>
      </w:r>
      <w:r w:rsidRPr="00B834A2">
        <w:rPr>
          <w:rFonts w:ascii="Sylfaen" w:hAnsi="Sylfaen"/>
          <w:sz w:val="24"/>
          <w:szCs w:val="24"/>
        </w:rPr>
        <w:t xml:space="preserve">՝ ընդհանուր մակերես </w:t>
      </w:r>
      <w:r w:rsidRPr="00B834A2">
        <w:rPr>
          <w:rStyle w:val="Bodytext2Italic"/>
          <w:sz w:val="24"/>
          <w:szCs w:val="24"/>
        </w:rPr>
        <w:t xml:space="preserve">А </w:t>
      </w:r>
      <w:r w:rsidRPr="00B834A2">
        <w:rPr>
          <w:rFonts w:ascii="Sylfaen" w:hAnsi="Sylfaen"/>
          <w:sz w:val="24"/>
          <w:szCs w:val="24"/>
        </w:rPr>
        <w:t>հատվածի տակ.</w:t>
      </w:r>
    </w:p>
    <w:p w14:paraId="3026A818"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С</w:t>
      </w:r>
      <w:r w:rsidRPr="00B834A2">
        <w:rPr>
          <w:rFonts w:ascii="Sylfaen" w:hAnsi="Sylfaen"/>
          <w:sz w:val="24"/>
          <w:szCs w:val="24"/>
        </w:rPr>
        <w:t xml:space="preserve">՝ օդային ցրման, ֆլուորոսցենտման, սարքավորումների </w:t>
      </w:r>
      <w:r>
        <w:rPr>
          <w:rFonts w:ascii="Sylfaen" w:hAnsi="Sylfaen"/>
          <w:sz w:val="24"/>
          <w:szCs w:val="24"/>
        </w:rPr>
        <w:t>եւ</w:t>
      </w:r>
      <w:r w:rsidRPr="00B834A2">
        <w:rPr>
          <w:rFonts w:ascii="Sylfaen" w:hAnsi="Sylfaen"/>
          <w:sz w:val="24"/>
          <w:szCs w:val="24"/>
        </w:rPr>
        <w:t xml:space="preserve"> այլնի հաշվին առաջացող ֆոնի մակերեսը: Բյուրեղայնության աստիճանի մոտավոր արժեքը հաշվարկում են ըստ հետ</w:t>
      </w:r>
      <w:r>
        <w:rPr>
          <w:rFonts w:ascii="Sylfaen" w:hAnsi="Sylfaen"/>
          <w:sz w:val="24"/>
          <w:szCs w:val="24"/>
        </w:rPr>
        <w:t>եւ</w:t>
      </w:r>
      <w:r w:rsidRPr="00B834A2">
        <w:rPr>
          <w:rFonts w:ascii="Sylfaen" w:hAnsi="Sylfaen"/>
          <w:sz w:val="24"/>
          <w:szCs w:val="24"/>
        </w:rPr>
        <w:t>յալ բանաձ</w:t>
      </w:r>
      <w:r>
        <w:rPr>
          <w:rFonts w:ascii="Sylfaen" w:hAnsi="Sylfaen"/>
          <w:sz w:val="24"/>
          <w:szCs w:val="24"/>
        </w:rPr>
        <w:t>եւ</w:t>
      </w:r>
      <w:r w:rsidRPr="00B834A2">
        <w:rPr>
          <w:rFonts w:ascii="Sylfaen" w:hAnsi="Sylfaen"/>
          <w:sz w:val="24"/>
          <w:szCs w:val="24"/>
        </w:rPr>
        <w:t>ի.</w:t>
      </w:r>
    </w:p>
    <w:p w14:paraId="560B7F81"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Բյուրեղայնության աստիճան՝ </w:t>
      </w:r>
      <w:r w:rsidRPr="00B834A2">
        <w:rPr>
          <w:rStyle w:val="Bodytext2Italic"/>
          <w:sz w:val="24"/>
          <w:szCs w:val="24"/>
        </w:rPr>
        <w:t xml:space="preserve">(%) - </w:t>
      </w:r>
      <w:r w:rsidRPr="00B834A2">
        <w:rPr>
          <w:rFonts w:ascii="Sylfaen" w:hAnsi="Sylfaen"/>
          <w:sz w:val="24"/>
          <w:szCs w:val="24"/>
        </w:rPr>
        <w:t xml:space="preserve">= </w:t>
      </w:r>
      <w:r w:rsidRPr="00B834A2">
        <w:rPr>
          <w:rStyle w:val="Bodytext2Italic"/>
          <w:sz w:val="24"/>
          <w:szCs w:val="24"/>
        </w:rPr>
        <w:t>100.А/(А + В - С)</w:t>
      </w:r>
    </w:p>
    <w:p w14:paraId="12274917"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Նկարագրված մեթոդը չի տալիս բյուրեղայնության աստիճանի բացարձակ արժեքներ </w:t>
      </w:r>
      <w:r>
        <w:rPr>
          <w:rFonts w:ascii="Sylfaen" w:hAnsi="Sylfaen"/>
          <w:sz w:val="24"/>
          <w:szCs w:val="24"/>
        </w:rPr>
        <w:t>եւ</w:t>
      </w:r>
      <w:r w:rsidRPr="00B834A2">
        <w:rPr>
          <w:rFonts w:ascii="Sylfaen" w:hAnsi="Sylfaen"/>
          <w:sz w:val="24"/>
          <w:szCs w:val="24"/>
        </w:rPr>
        <w:t xml:space="preserve"> օգտագործվում է հիմնականում համեմատման նպատակների համար։</w:t>
      </w:r>
    </w:p>
    <w:p w14:paraId="082BA6F0" w14:textId="77777777" w:rsidR="00B834A2" w:rsidRDefault="00B834A2" w:rsidP="00C471A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Հնարավոր է կիրառել ավելի բարդ մեթոդներ, օրինակ՝ Ռուլանդի մեթոդը։</w:t>
      </w:r>
    </w:p>
    <w:p w14:paraId="0DB005C7" w14:textId="77777777" w:rsidR="00C471A8" w:rsidRPr="00B834A2" w:rsidRDefault="00C471A8" w:rsidP="00C471A8">
      <w:pPr>
        <w:pStyle w:val="Bodytext20"/>
        <w:shd w:val="clear" w:color="auto" w:fill="auto"/>
        <w:spacing w:before="0" w:after="160" w:line="360" w:lineRule="auto"/>
        <w:ind w:firstLine="567"/>
        <w:jc w:val="both"/>
        <w:rPr>
          <w:rFonts w:ascii="Sylfaen" w:hAnsi="Sylfaen" w:cs="Sylfaen"/>
          <w:sz w:val="24"/>
          <w:szCs w:val="24"/>
        </w:rPr>
      </w:pPr>
    </w:p>
    <w:p w14:paraId="34DA6CCC"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b/>
          <w:sz w:val="24"/>
          <w:szCs w:val="24"/>
        </w:rPr>
      </w:pPr>
      <w:r w:rsidRPr="00B834A2">
        <w:rPr>
          <w:rFonts w:ascii="Sylfaen" w:hAnsi="Sylfaen"/>
          <w:b/>
          <w:sz w:val="24"/>
          <w:szCs w:val="24"/>
        </w:rPr>
        <w:t>ՄԻԱԲՅՈՒՐԵՂԻ ԿԱՌՈՒՑՎԱԾՔԸ</w:t>
      </w:r>
    </w:p>
    <w:p w14:paraId="3A8CAF38"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C471A8">
        <w:rPr>
          <w:rFonts w:ascii="Sylfaen" w:hAnsi="Sylfaen"/>
          <w:spacing w:val="-4"/>
          <w:sz w:val="24"/>
          <w:szCs w:val="24"/>
        </w:rPr>
        <w:t>Սովորաբար կառուցվածքը որոշում են ըստ ՓՌԴ տվյալների, որոնք ստացվել են մի</w:t>
      </w:r>
      <w:r w:rsidRPr="00B834A2">
        <w:rPr>
          <w:rFonts w:ascii="Sylfaen" w:hAnsi="Sylfaen"/>
          <w:sz w:val="24"/>
          <w:szCs w:val="24"/>
        </w:rPr>
        <w:t xml:space="preserve">աբյուրեղների օգտագործման ժամանակ։ Ամեն դեպքում օրգանական բյուրեղների կառուցվածքային անալիզը բարդ խնդիր է՝ պայմանավորված ցանցի պարամետրերի հարաբերականորեն բարձր արժեքներով, ցածր համաչափությամբ </w:t>
      </w:r>
      <w:r>
        <w:rPr>
          <w:rFonts w:ascii="Sylfaen" w:hAnsi="Sylfaen"/>
          <w:sz w:val="24"/>
          <w:szCs w:val="24"/>
        </w:rPr>
        <w:t>եւ</w:t>
      </w:r>
      <w:r w:rsidRPr="00B834A2">
        <w:rPr>
          <w:rFonts w:ascii="Sylfaen" w:hAnsi="Sylfaen"/>
          <w:sz w:val="24"/>
          <w:szCs w:val="24"/>
        </w:rPr>
        <w:t xml:space="preserve"> ոչ զգալի ցրող ունակություններով։</w:t>
      </w:r>
    </w:p>
    <w:p w14:paraId="422ABA68"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Նյութի ցանկացած բյուրեղային ձ</w:t>
      </w:r>
      <w:r>
        <w:rPr>
          <w:rFonts w:ascii="Sylfaen" w:hAnsi="Sylfaen"/>
          <w:sz w:val="24"/>
          <w:szCs w:val="24"/>
        </w:rPr>
        <w:t>եւ</w:t>
      </w:r>
      <w:r w:rsidRPr="00B834A2">
        <w:rPr>
          <w:rFonts w:ascii="Sylfaen" w:hAnsi="Sylfaen"/>
          <w:sz w:val="24"/>
          <w:szCs w:val="24"/>
        </w:rPr>
        <w:t xml:space="preserve">ի համար բյուրեղային կառուցվածքն իմանալը թույլ է տալիս անցկացնել հաշվարկներ՝ ՓՌԴ համապատասխան </w:t>
      </w:r>
      <w:r w:rsidRPr="00B834A2">
        <w:rPr>
          <w:rFonts w:ascii="Sylfaen" w:hAnsi="Sylfaen"/>
          <w:sz w:val="24"/>
          <w:szCs w:val="24"/>
        </w:rPr>
        <w:lastRenderedPageBreak/>
        <w:t>ռենտգենագրերով՝ ֆազերի նույնականացման համար օգտագործելով նախընտրելի կողմնորոշումից ազատ ստանդարտ նմուշների ռենտգենագրերը։</w:t>
      </w:r>
    </w:p>
    <w:p w14:paraId="7C3DF10F" w14:textId="77777777" w:rsidR="00B834A2" w:rsidRPr="00B834A2" w:rsidRDefault="00B834A2" w:rsidP="00B834A2">
      <w:pPr>
        <w:pStyle w:val="Bodytext20"/>
        <w:shd w:val="clear" w:color="auto" w:fill="auto"/>
        <w:spacing w:before="0" w:after="160" w:line="360" w:lineRule="auto"/>
        <w:jc w:val="right"/>
        <w:rPr>
          <w:rStyle w:val="Bodytext27pt"/>
          <w:b/>
          <w:bCs/>
          <w:sz w:val="24"/>
          <w:szCs w:val="24"/>
        </w:rPr>
      </w:pPr>
    </w:p>
    <w:p w14:paraId="6F55BF03" w14:textId="77777777" w:rsidR="00B834A2" w:rsidRPr="00C471A8" w:rsidRDefault="00B834A2" w:rsidP="00B834A2">
      <w:pPr>
        <w:pStyle w:val="Bodytext20"/>
        <w:shd w:val="clear" w:color="auto" w:fill="auto"/>
        <w:spacing w:before="0" w:after="160" w:line="360" w:lineRule="auto"/>
        <w:jc w:val="right"/>
        <w:rPr>
          <w:rStyle w:val="Bodytext27pt"/>
          <w:b/>
          <w:i w:val="0"/>
          <w:sz w:val="20"/>
          <w:szCs w:val="24"/>
        </w:rPr>
      </w:pPr>
      <w:r w:rsidRPr="00C471A8">
        <w:rPr>
          <w:rStyle w:val="Bodytext27pt"/>
          <w:b/>
          <w:i w:val="0"/>
          <w:sz w:val="20"/>
          <w:szCs w:val="24"/>
        </w:rPr>
        <w:t>201100006-2022</w:t>
      </w:r>
    </w:p>
    <w:p w14:paraId="478DCBF4" w14:textId="77777777" w:rsidR="00C471A8" w:rsidRPr="00C471A8" w:rsidRDefault="00C471A8" w:rsidP="00B834A2">
      <w:pPr>
        <w:pStyle w:val="Bodytext20"/>
        <w:shd w:val="clear" w:color="auto" w:fill="auto"/>
        <w:spacing w:before="0" w:after="160" w:line="360" w:lineRule="auto"/>
        <w:jc w:val="right"/>
        <w:rPr>
          <w:rFonts w:ascii="Sylfaen" w:hAnsi="Sylfaen" w:cs="Sylfaen"/>
          <w:sz w:val="20"/>
          <w:szCs w:val="24"/>
        </w:rPr>
      </w:pPr>
    </w:p>
    <w:p w14:paraId="25D61ED7" w14:textId="77777777" w:rsidR="00B834A2" w:rsidRPr="00B834A2" w:rsidRDefault="00B834A2" w:rsidP="00C471A8">
      <w:pPr>
        <w:pStyle w:val="Bodytext20"/>
        <w:shd w:val="clear" w:color="auto" w:fill="auto"/>
        <w:tabs>
          <w:tab w:val="left" w:pos="1843"/>
        </w:tabs>
        <w:spacing w:before="0" w:after="160" w:line="360" w:lineRule="auto"/>
        <w:ind w:firstLine="567"/>
        <w:jc w:val="both"/>
        <w:rPr>
          <w:rFonts w:ascii="Sylfaen" w:hAnsi="Sylfaen" w:cs="Sylfaen"/>
          <w:sz w:val="24"/>
          <w:szCs w:val="24"/>
        </w:rPr>
      </w:pPr>
      <w:r w:rsidRPr="00B834A2">
        <w:rPr>
          <w:rStyle w:val="Bodytext29pt"/>
          <w:sz w:val="24"/>
          <w:szCs w:val="24"/>
        </w:rPr>
        <w:t>2</w:t>
      </w:r>
      <w:r w:rsidRPr="00C471A8">
        <w:rPr>
          <w:rStyle w:val="Bodytext29pt"/>
          <w:b/>
          <w:sz w:val="24"/>
          <w:szCs w:val="24"/>
        </w:rPr>
        <w:t>.1.10.6.</w:t>
      </w:r>
      <w:r w:rsidR="00C471A8">
        <w:rPr>
          <w:rStyle w:val="Bodytext29pt"/>
          <w:b/>
          <w:sz w:val="24"/>
          <w:szCs w:val="24"/>
        </w:rPr>
        <w:tab/>
      </w:r>
      <w:r w:rsidRPr="00C471A8">
        <w:rPr>
          <w:rStyle w:val="Bodytext29pt"/>
          <w:b/>
          <w:sz w:val="24"/>
          <w:szCs w:val="24"/>
        </w:rPr>
        <w:t>Պինդ նյութերի բյուրեղայնության որոշումը լուծման միկրոկալորիաչափության եւ կալորիաչափության մեթոդներով</w:t>
      </w:r>
    </w:p>
    <w:p w14:paraId="2269F7B9"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 xml:space="preserve">Տվյալ ընդհանուր դեղագրքային հոդվածի շրջանակներում որպես պինդ նյութեր դիտարկվում են բյուրեղային նյութերը, մասնակի բյուրեղային նյութերը </w:t>
      </w:r>
      <w:r>
        <w:rPr>
          <w:rStyle w:val="Bodytext2Italic"/>
          <w:sz w:val="24"/>
          <w:szCs w:val="24"/>
        </w:rPr>
        <w:t>եւ</w:t>
      </w:r>
      <w:r w:rsidRPr="00B834A2">
        <w:rPr>
          <w:rStyle w:val="Bodytext2Italic"/>
          <w:sz w:val="24"/>
          <w:szCs w:val="24"/>
        </w:rPr>
        <w:t xml:space="preserve"> ամորֆ նյութերը։</w:t>
      </w:r>
    </w:p>
    <w:p w14:paraId="565130F9"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Ամբողջովին կարգավորված բյուրեղային ցանցը, որում յուրաքանչյուր մոլեկուլ զբաղեցնում է ենթադրաբար հայտնի դիրք, իդեալական է, սակայն սակավ հանդիպող, եթե ընդհանրապես երբ</w:t>
      </w:r>
      <w:r>
        <w:rPr>
          <w:rFonts w:ascii="Sylfaen" w:hAnsi="Sylfaen"/>
          <w:sz w:val="24"/>
          <w:szCs w:val="24"/>
        </w:rPr>
        <w:t>եւ</w:t>
      </w:r>
      <w:r w:rsidRPr="00B834A2">
        <w:rPr>
          <w:rFonts w:ascii="Sylfaen" w:hAnsi="Sylfaen"/>
          <w:sz w:val="24"/>
          <w:szCs w:val="24"/>
        </w:rPr>
        <w:t xml:space="preserve">է հնարավոր է լինում։ Այլ եզրային վիճակ է ամորֆ վիճակը, որտեղ պինդ նյութը պարունակում է դեֆեկտների (տարբեր կարգերի դեֆեկտների) առավելագույն հնարավոր խտությունը, ինչով պայմանավորվում է հետագա կարգի ամբողջական կորուստը </w:t>
      </w:r>
      <w:r>
        <w:rPr>
          <w:rFonts w:ascii="Sylfaen" w:hAnsi="Sylfaen"/>
          <w:sz w:val="24"/>
          <w:szCs w:val="24"/>
        </w:rPr>
        <w:t>եւ</w:t>
      </w:r>
      <w:r w:rsidRPr="00B834A2">
        <w:rPr>
          <w:rFonts w:ascii="Sylfaen" w:hAnsi="Sylfaen"/>
          <w:sz w:val="24"/>
          <w:szCs w:val="24"/>
        </w:rPr>
        <w:t xml:space="preserve"> միայն ամենամոտ, հար</w:t>
      </w:r>
      <w:r>
        <w:rPr>
          <w:rFonts w:ascii="Sylfaen" w:hAnsi="Sylfaen"/>
          <w:sz w:val="24"/>
          <w:szCs w:val="24"/>
        </w:rPr>
        <w:t>եւ</w:t>
      </w:r>
      <w:r w:rsidRPr="00B834A2">
        <w:rPr>
          <w:rFonts w:ascii="Sylfaen" w:hAnsi="Sylfaen"/>
          <w:sz w:val="24"/>
          <w:szCs w:val="24"/>
        </w:rPr>
        <w:t xml:space="preserve">ան մասնիկներով ներկայացված մոտակա կարգի առկայությունը։ Իրական բյուրեղները գտնվում են պինդ նյութերի շարքերում, բյուրեղային </w:t>
      </w:r>
      <w:r>
        <w:rPr>
          <w:rFonts w:ascii="Sylfaen" w:hAnsi="Sylfaen"/>
          <w:sz w:val="24"/>
          <w:szCs w:val="24"/>
        </w:rPr>
        <w:t>եւ</w:t>
      </w:r>
      <w:r w:rsidRPr="00B834A2">
        <w:rPr>
          <w:rFonts w:ascii="Sylfaen" w:hAnsi="Sylfaen"/>
          <w:sz w:val="24"/>
          <w:szCs w:val="24"/>
        </w:rPr>
        <w:t xml:space="preserve"> ամորֆ նյութերի միջ</w:t>
      </w:r>
      <w:r>
        <w:rPr>
          <w:rFonts w:ascii="Sylfaen" w:hAnsi="Sylfaen"/>
          <w:sz w:val="24"/>
          <w:szCs w:val="24"/>
        </w:rPr>
        <w:t>եւ</w:t>
      </w:r>
      <w:r w:rsidRPr="00B834A2">
        <w:rPr>
          <w:rFonts w:ascii="Sylfaen" w:hAnsi="Sylfaen"/>
          <w:sz w:val="24"/>
          <w:szCs w:val="24"/>
        </w:rPr>
        <w:t xml:space="preserve">։ Բյուրեղայնություն են անվանում բյուրեղային </w:t>
      </w:r>
      <w:r>
        <w:rPr>
          <w:rFonts w:ascii="Sylfaen" w:hAnsi="Sylfaen"/>
          <w:sz w:val="24"/>
          <w:szCs w:val="24"/>
        </w:rPr>
        <w:t>եւ</w:t>
      </w:r>
      <w:r w:rsidRPr="00B834A2">
        <w:rPr>
          <w:rFonts w:ascii="Sylfaen" w:hAnsi="Sylfaen"/>
          <w:sz w:val="24"/>
          <w:szCs w:val="24"/>
        </w:rPr>
        <w:t xml:space="preserve"> ամորֆ վիճակների միջ</w:t>
      </w:r>
      <w:r>
        <w:rPr>
          <w:rFonts w:ascii="Sylfaen" w:hAnsi="Sylfaen"/>
          <w:sz w:val="24"/>
          <w:szCs w:val="24"/>
        </w:rPr>
        <w:t>եւ</w:t>
      </w:r>
      <w:r w:rsidRPr="00B834A2">
        <w:rPr>
          <w:rFonts w:ascii="Sylfaen" w:hAnsi="Sylfaen"/>
          <w:sz w:val="24"/>
          <w:szCs w:val="24"/>
        </w:rPr>
        <w:t xml:space="preserve"> գտնվող բյուրեղի վիճակը։</w:t>
      </w:r>
    </w:p>
    <w:p w14:paraId="03D0A637"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Բոլոր իրական բյուրեղները նույնիսկ մաքուր վիճակում ունեն բյուրեղացանցի որոշակի դեֆեկտներ, որոնք մեծացնում են բյուրեղացանցի ինչպես էներգիան (մշտական ամորֆ ճնշման պայմաններում՝ էնթալպիան), այնպես էլ չկանոնակարգվածությունը (որն արտահայտված է էնտրոպիայով)։ Դեֆեկտների հարաբերական ցածր խտություն ունեցող բյուրեղն անվանում են բարձր բյուրեղային </w:t>
      </w:r>
      <w:r>
        <w:rPr>
          <w:rFonts w:ascii="Sylfaen" w:hAnsi="Sylfaen"/>
          <w:sz w:val="24"/>
          <w:szCs w:val="24"/>
        </w:rPr>
        <w:t>եւ</w:t>
      </w:r>
      <w:r w:rsidRPr="00B834A2">
        <w:rPr>
          <w:rFonts w:ascii="Sylfaen" w:hAnsi="Sylfaen"/>
          <w:sz w:val="24"/>
          <w:szCs w:val="24"/>
        </w:rPr>
        <w:t xml:space="preserve"> բարձր բյուրեղայնություն ունեցող։ Եվ ընդհակառակը, հարաբերական բարձր խտությամբ դեֆեկտների մասնիկն անվանում են մասնակի </w:t>
      </w:r>
      <w:r w:rsidRPr="00B834A2">
        <w:rPr>
          <w:rFonts w:ascii="Sylfaen" w:hAnsi="Sylfaen"/>
          <w:sz w:val="24"/>
          <w:szCs w:val="24"/>
        </w:rPr>
        <w:lastRenderedPageBreak/>
        <w:t xml:space="preserve">ամորֆ </w:t>
      </w:r>
      <w:r>
        <w:rPr>
          <w:rFonts w:ascii="Sylfaen" w:hAnsi="Sylfaen"/>
          <w:sz w:val="24"/>
          <w:szCs w:val="24"/>
        </w:rPr>
        <w:t>եւ</w:t>
      </w:r>
      <w:r w:rsidRPr="00B834A2">
        <w:rPr>
          <w:rFonts w:ascii="Sylfaen" w:hAnsi="Sylfaen"/>
          <w:sz w:val="24"/>
          <w:szCs w:val="24"/>
        </w:rPr>
        <w:t xml:space="preserve"> ցածր բյուրեղայնություն ունեցող։ Իդեալական պայմաններում ամբողջովին ամորֆ մասնիկին համապատասխանում է զրոյական բյուրեղայնությունը։ Ամորֆ մասնիկները կրող են պարունակել որոշակի աստիճանի կանոնակարգված դոմեններ, որոնք կարող են խաղալ բյուրեղացման միջուկի դերը։ Նմանատիպ, այսպես կոչված ամորֆ մասնիկների մասին ասում են, որ դրանք ունեն բյուրեղայնության ցածր, սակայն օրգանական աստիճան։</w:t>
      </w:r>
    </w:p>
    <w:p w14:paraId="768532B7"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Դեղամիջոցի մշակման </w:t>
      </w:r>
      <w:r>
        <w:rPr>
          <w:rFonts w:ascii="Sylfaen" w:hAnsi="Sylfaen"/>
          <w:sz w:val="24"/>
          <w:szCs w:val="24"/>
        </w:rPr>
        <w:t>եւ</w:t>
      </w:r>
      <w:r w:rsidRPr="00B834A2">
        <w:rPr>
          <w:rFonts w:ascii="Sylfaen" w:hAnsi="Sylfaen"/>
          <w:sz w:val="24"/>
          <w:szCs w:val="24"/>
        </w:rPr>
        <w:t xml:space="preserve"> հետագա արտադրման ժամանակ մեծ դեր ունի կենսահասանելիության ուսումնասիրությունը </w:t>
      </w:r>
      <w:r>
        <w:rPr>
          <w:rFonts w:ascii="Sylfaen" w:hAnsi="Sylfaen"/>
          <w:sz w:val="24"/>
          <w:szCs w:val="24"/>
        </w:rPr>
        <w:t>եւ</w:t>
      </w:r>
      <w:r w:rsidRPr="00B834A2">
        <w:rPr>
          <w:rFonts w:ascii="Sylfaen" w:hAnsi="Sylfaen"/>
          <w:sz w:val="24"/>
          <w:szCs w:val="24"/>
        </w:rPr>
        <w:t xml:space="preserve"> բյուրեղայնության բարձր աստիճանով սուբստանցիայում ամորֆ մասի պարունակության որոշումը։</w:t>
      </w:r>
    </w:p>
    <w:p w14:paraId="6EF79329" w14:textId="77777777" w:rsidR="00B834A2" w:rsidRPr="00DE4F37" w:rsidRDefault="00B834A2" w:rsidP="00C471A8">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 xml:space="preserve">Իրականում փոշին կարող է պարունակել բյուրեղայնության տարբեր աստիճանի մասնիկներ </w:t>
      </w:r>
      <w:r>
        <w:rPr>
          <w:rFonts w:ascii="Sylfaen" w:hAnsi="Sylfaen"/>
          <w:sz w:val="24"/>
          <w:szCs w:val="24"/>
        </w:rPr>
        <w:t>եւ</w:t>
      </w:r>
      <w:r w:rsidRPr="00B834A2">
        <w:rPr>
          <w:rFonts w:ascii="Sylfaen" w:hAnsi="Sylfaen"/>
          <w:sz w:val="24"/>
          <w:szCs w:val="24"/>
        </w:rPr>
        <w:t xml:space="preserve"> տարբեր չափերի </w:t>
      </w:r>
      <w:r>
        <w:rPr>
          <w:rFonts w:ascii="Sylfaen" w:hAnsi="Sylfaen"/>
          <w:sz w:val="24"/>
          <w:szCs w:val="24"/>
        </w:rPr>
        <w:t>եւ</w:t>
      </w:r>
      <w:r w:rsidRPr="00B834A2">
        <w:rPr>
          <w:rFonts w:ascii="Sylfaen" w:hAnsi="Sylfaen"/>
          <w:sz w:val="24"/>
          <w:szCs w:val="24"/>
        </w:rPr>
        <w:t xml:space="preserve"> ձ</w:t>
      </w:r>
      <w:r>
        <w:rPr>
          <w:rFonts w:ascii="Sylfaen" w:hAnsi="Sylfaen"/>
          <w:sz w:val="24"/>
          <w:szCs w:val="24"/>
        </w:rPr>
        <w:t>եւ</w:t>
      </w:r>
      <w:r w:rsidRPr="00B834A2">
        <w:rPr>
          <w:rFonts w:ascii="Sylfaen" w:hAnsi="Sylfaen"/>
          <w:sz w:val="24"/>
          <w:szCs w:val="24"/>
        </w:rPr>
        <w:t xml:space="preserve">ի մասնիկներ: Որքան ցածր է պինդ նյութի բյուրեղայնությունը, այնքան մեծ է էնթալպիան </w:t>
      </w:r>
      <w:r>
        <w:rPr>
          <w:rFonts w:ascii="Sylfaen" w:hAnsi="Sylfaen"/>
          <w:sz w:val="24"/>
          <w:szCs w:val="24"/>
        </w:rPr>
        <w:t>եւ</w:t>
      </w:r>
      <w:r w:rsidRPr="00B834A2">
        <w:rPr>
          <w:rFonts w:ascii="Sylfaen" w:hAnsi="Sylfaen"/>
          <w:sz w:val="24"/>
          <w:szCs w:val="24"/>
        </w:rPr>
        <w:t xml:space="preserve"> էնտրոպիան։ Էնթալպիայի մեծացումն ամբողջովին չի կոմպենսացվում էնտրոպիայի մեծացմամբ, ուստի Գիբբսի ազատ էներգիան, որն արտացոլում է դրանց միջ</w:t>
      </w:r>
      <w:r>
        <w:rPr>
          <w:rFonts w:ascii="Sylfaen" w:hAnsi="Sylfaen"/>
          <w:sz w:val="24"/>
          <w:szCs w:val="24"/>
        </w:rPr>
        <w:t>եւ</w:t>
      </w:r>
      <w:r w:rsidRPr="00B834A2">
        <w:rPr>
          <w:rFonts w:ascii="Sylfaen" w:hAnsi="Sylfaen"/>
          <w:sz w:val="24"/>
          <w:szCs w:val="24"/>
        </w:rPr>
        <w:t xml:space="preserve"> հավասարակշռությունը, փաստացի մեծանում է։ Հետ</w:t>
      </w:r>
      <w:r>
        <w:rPr>
          <w:rFonts w:ascii="Sylfaen" w:hAnsi="Sylfaen"/>
          <w:sz w:val="24"/>
          <w:szCs w:val="24"/>
        </w:rPr>
        <w:t>եւ</w:t>
      </w:r>
      <w:r w:rsidRPr="00B834A2">
        <w:rPr>
          <w:rFonts w:ascii="Sylfaen" w:hAnsi="Sylfaen"/>
          <w:sz w:val="24"/>
          <w:szCs w:val="24"/>
        </w:rPr>
        <w:t xml:space="preserve">աբար որքան ցածր է նյութի (փոշու) բյուրեղայնությունը </w:t>
      </w:r>
      <w:r>
        <w:rPr>
          <w:rFonts w:ascii="Sylfaen" w:hAnsi="Sylfaen"/>
          <w:sz w:val="24"/>
          <w:szCs w:val="24"/>
        </w:rPr>
        <w:t>եւ</w:t>
      </w:r>
      <w:r w:rsidRPr="00B834A2">
        <w:rPr>
          <w:rFonts w:ascii="Sylfaen" w:hAnsi="Sylfaen"/>
          <w:sz w:val="24"/>
          <w:szCs w:val="24"/>
        </w:rPr>
        <w:t xml:space="preserve"> ավելի արտահայտած է դրա ամորֆ բնույթը, այդքան բարձր է դրա թվացյալ բնութագրող լուծելիությունը </w:t>
      </w:r>
      <w:r>
        <w:rPr>
          <w:rFonts w:ascii="Sylfaen" w:hAnsi="Sylfaen"/>
          <w:sz w:val="24"/>
          <w:szCs w:val="24"/>
        </w:rPr>
        <w:t>եւ</w:t>
      </w:r>
      <w:r w:rsidRPr="00B834A2">
        <w:rPr>
          <w:rFonts w:ascii="Sylfaen" w:hAnsi="Sylfaen"/>
          <w:sz w:val="24"/>
          <w:szCs w:val="24"/>
        </w:rPr>
        <w:t xml:space="preserve"> լուծման արագությունը, սակայն ցածր է դրա ջերմադինամիկ կայունությունը։ Այդ հատկությունների մեծ կար</w:t>
      </w:r>
      <w:r>
        <w:rPr>
          <w:rFonts w:ascii="Sylfaen" w:hAnsi="Sylfaen"/>
          <w:sz w:val="24"/>
          <w:szCs w:val="24"/>
        </w:rPr>
        <w:t>եւ</w:t>
      </w:r>
      <w:r w:rsidRPr="00B834A2">
        <w:rPr>
          <w:rFonts w:ascii="Sylfaen" w:hAnsi="Sylfaen"/>
          <w:sz w:val="24"/>
          <w:szCs w:val="24"/>
        </w:rPr>
        <w:t>որությամբ պայմանավորված՝ բյուրեղայնությունը նույնպես կար</w:t>
      </w:r>
      <w:r>
        <w:rPr>
          <w:rFonts w:ascii="Sylfaen" w:hAnsi="Sylfaen"/>
          <w:sz w:val="24"/>
          <w:szCs w:val="24"/>
        </w:rPr>
        <w:t>եւ</w:t>
      </w:r>
      <w:r w:rsidRPr="00B834A2">
        <w:rPr>
          <w:rFonts w:ascii="Sylfaen" w:hAnsi="Sylfaen"/>
          <w:sz w:val="24"/>
          <w:szCs w:val="24"/>
        </w:rPr>
        <w:t>որ հատկություն է եւ պահանջում է համապատասխան մեթոդով չափում։ Տվյալ ընդհանուր դեղագրքային հոդվածում նկարագրված է բյուրեղայնության որոշումը կամ փոշու ամորֆ մասի պարունակությունն այնպիսի մեթոդներով, ինչպիսիք են միկրակալորիաչափությունը կամ լուծման կալորիաչափությունը, չնայած կարող են օգտագործվել նա</w:t>
      </w:r>
      <w:r>
        <w:rPr>
          <w:rFonts w:ascii="Sylfaen" w:hAnsi="Sylfaen"/>
          <w:sz w:val="24"/>
          <w:szCs w:val="24"/>
        </w:rPr>
        <w:t>եւ</w:t>
      </w:r>
      <w:r w:rsidRPr="00B834A2">
        <w:rPr>
          <w:rFonts w:ascii="Sylfaen" w:hAnsi="Sylfaen"/>
          <w:sz w:val="24"/>
          <w:szCs w:val="24"/>
        </w:rPr>
        <w:t xml:space="preserve"> այլ մեթոդներ (օրինակ՝ «Փոշու ռենտգենյան դիֆրակտաչափության մեթոդով պինդ նյութերի բյուրեղայնության որոշումը» 2.1.10.5. ընդհանուր դեղագրքային հոդվածում նկարագրվածները):</w:t>
      </w:r>
    </w:p>
    <w:p w14:paraId="2AD56F53" w14:textId="77777777" w:rsidR="00B603CA" w:rsidRPr="00DE4F37" w:rsidRDefault="00B603CA" w:rsidP="00C471A8">
      <w:pPr>
        <w:pStyle w:val="Bodytext20"/>
        <w:shd w:val="clear" w:color="auto" w:fill="auto"/>
        <w:spacing w:before="0" w:after="160" w:line="360" w:lineRule="auto"/>
        <w:ind w:firstLine="567"/>
        <w:jc w:val="both"/>
        <w:rPr>
          <w:rFonts w:ascii="Sylfaen" w:hAnsi="Sylfaen" w:cs="Sylfaen"/>
          <w:sz w:val="24"/>
          <w:szCs w:val="24"/>
        </w:rPr>
      </w:pPr>
    </w:p>
    <w:p w14:paraId="591C9E7D" w14:textId="77777777" w:rsidR="00B834A2" w:rsidRPr="00B834A2" w:rsidRDefault="00B834A2" w:rsidP="00B603CA">
      <w:pPr>
        <w:spacing w:after="160" w:line="348" w:lineRule="auto"/>
        <w:ind w:firstLine="567"/>
        <w:jc w:val="both"/>
      </w:pPr>
      <w:r w:rsidRPr="00B834A2">
        <w:lastRenderedPageBreak/>
        <w:t>Նյութի՝ տարբեր բյուրեղային ձ</w:t>
      </w:r>
      <w:r>
        <w:t>եւ</w:t>
      </w:r>
      <w:r w:rsidRPr="00B834A2">
        <w:t xml:space="preserve">երում գոյություն ունենալու ունակությունն անվանում են պոլիմորֆիզմ։ Այն բյուրեղները, որոնք պարունակում են ջրի կամ բյուրեղացանցերում լուծիչի մոլեկուլներ, անվանում են հիդրատներ կամ սոլվիտներ։ Որպես կանոն, դրանք ցուցաբերում են տարբեր ֆիզիկական հատկություններ, ինչը պայմանավորված է բյուրեղի տարբեր փաթեթվածքով </w:t>
      </w:r>
      <w:r>
        <w:t>եւ</w:t>
      </w:r>
      <w:r w:rsidRPr="00B834A2">
        <w:t xml:space="preserve"> (կամ) մոլեկուլային կառուցվածքով </w:t>
      </w:r>
      <w:r>
        <w:t>եւ</w:t>
      </w:r>
      <w:r w:rsidRPr="00B834A2">
        <w:t xml:space="preserve"> ցանցի էներգիայով։ Բյուրեղայնության աստիճանը որոշելիս կալորիաչափական չափումների անցկացման դյուրինության համար տվյալ դեպքում դիտարկվում է, որ փորձարկվող նմուշն ունի միայն մեկ բյուրեղային ձ</w:t>
      </w:r>
      <w:r>
        <w:t>եւ</w:t>
      </w:r>
      <w:r w:rsidRPr="00B834A2">
        <w:t xml:space="preserve">։ Տեսությունը </w:t>
      </w:r>
      <w:r>
        <w:t>եւ</w:t>
      </w:r>
      <w:r w:rsidRPr="00B834A2">
        <w:t xml:space="preserve"> փորձարարական մեթոդը կարող են տարածվել նյութի պոլիմորֆ ունակության վրա՝</w:t>
      </w:r>
      <w:r>
        <w:t xml:space="preserve"> </w:t>
      </w:r>
      <w:r w:rsidRPr="00B834A2">
        <w:t>պոլիմորֆ նյութերի էնթալպիայում տարբերությունները մանրակրկիտ ուսումնասիրելիս։</w:t>
      </w:r>
    </w:p>
    <w:p w14:paraId="39F90B5C" w14:textId="77777777" w:rsidR="00B834A2" w:rsidRPr="00B834A2" w:rsidRDefault="00B834A2" w:rsidP="00B603CA">
      <w:pPr>
        <w:pStyle w:val="Bodytext20"/>
        <w:shd w:val="clear" w:color="auto" w:fill="auto"/>
        <w:spacing w:before="0" w:after="160" w:line="348" w:lineRule="auto"/>
        <w:ind w:firstLine="567"/>
        <w:jc w:val="left"/>
        <w:rPr>
          <w:rFonts w:ascii="Sylfaen" w:hAnsi="Sylfaen" w:cs="Sylfaen"/>
          <w:b/>
          <w:sz w:val="24"/>
          <w:szCs w:val="24"/>
        </w:rPr>
      </w:pPr>
    </w:p>
    <w:p w14:paraId="22359C1E" w14:textId="77777777" w:rsidR="00B834A2" w:rsidRPr="00B834A2" w:rsidRDefault="00B834A2" w:rsidP="00B603CA">
      <w:pPr>
        <w:pStyle w:val="Bodytext20"/>
        <w:shd w:val="clear" w:color="auto" w:fill="auto"/>
        <w:spacing w:before="0" w:after="160" w:line="348" w:lineRule="auto"/>
        <w:ind w:firstLine="567"/>
        <w:jc w:val="both"/>
        <w:rPr>
          <w:rFonts w:ascii="Sylfaen" w:hAnsi="Sylfaen" w:cs="Sylfaen"/>
          <w:b/>
          <w:sz w:val="24"/>
          <w:szCs w:val="24"/>
        </w:rPr>
      </w:pPr>
      <w:r w:rsidRPr="00B834A2">
        <w:rPr>
          <w:rFonts w:ascii="Sylfaen" w:hAnsi="Sylfaen"/>
          <w:b/>
          <w:sz w:val="24"/>
          <w:szCs w:val="24"/>
        </w:rPr>
        <w:t>ՄԻԿՐՈԿԱԼՈՐԻԱՉԱՓՈՒԹՅՈՒՆԸ (ԱՄՈՐՖ ՄԱՍԻ ՊԱՐՈՒՆԱԿՈՒԹՅԱՆ ՈՐՈՇՈՒՄԸ)</w:t>
      </w:r>
    </w:p>
    <w:p w14:paraId="7DB3009D" w14:textId="77777777" w:rsidR="00B834A2" w:rsidRPr="00B834A2"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 xml:space="preserve">Քիմիական, ֆիզիկական </w:t>
      </w:r>
      <w:r>
        <w:rPr>
          <w:rFonts w:ascii="Sylfaen" w:hAnsi="Sylfaen"/>
          <w:sz w:val="24"/>
          <w:szCs w:val="24"/>
        </w:rPr>
        <w:t>եւ</w:t>
      </w:r>
      <w:r w:rsidRPr="00B834A2">
        <w:rPr>
          <w:rFonts w:ascii="Sylfaen" w:hAnsi="Sylfaen"/>
          <w:sz w:val="24"/>
          <w:szCs w:val="24"/>
        </w:rPr>
        <w:t xml:space="preserve"> կենսաբանական պրոցեսների մեծամասնությունը կապված է արտաքին միջավայրի հետ ջերմափոխանակմամբ։ Միկրոկալորիաչափությունը բարձր զգայունություն ունեցող մեթոդ է, որը թույլ է տալիս հետ</w:t>
      </w:r>
      <w:r>
        <w:rPr>
          <w:rFonts w:ascii="Sylfaen" w:hAnsi="Sylfaen"/>
          <w:sz w:val="24"/>
          <w:szCs w:val="24"/>
        </w:rPr>
        <w:t>եւ</w:t>
      </w:r>
      <w:r w:rsidRPr="00B834A2">
        <w:rPr>
          <w:rFonts w:ascii="Sylfaen" w:hAnsi="Sylfaen"/>
          <w:sz w:val="24"/>
          <w:szCs w:val="24"/>
        </w:rPr>
        <w:t xml:space="preserve">ել </w:t>
      </w:r>
      <w:r>
        <w:rPr>
          <w:rFonts w:ascii="Sylfaen" w:hAnsi="Sylfaen"/>
          <w:sz w:val="24"/>
          <w:szCs w:val="24"/>
        </w:rPr>
        <w:t>եւ</w:t>
      </w:r>
      <w:r w:rsidRPr="00B834A2">
        <w:rPr>
          <w:rFonts w:ascii="Sylfaen" w:hAnsi="Sylfaen"/>
          <w:sz w:val="24"/>
          <w:szCs w:val="24"/>
        </w:rPr>
        <w:t xml:space="preserve"> հաշվարկել տվյալ պրոցեսներն ուղեկցող ինչպես ջերմանջատիչ (ջերմություն անջատող), այնպես էլ ջերմակլանիչ (ջերմություն կլանող) փոփոխությունները։ Մեթոդը թույլ է տալիս որոշել քիմիական ռեակցիաներն ընթանալու արագությունը </w:t>
      </w:r>
      <w:r>
        <w:rPr>
          <w:rFonts w:ascii="Sylfaen" w:hAnsi="Sylfaen"/>
          <w:sz w:val="24"/>
          <w:szCs w:val="24"/>
        </w:rPr>
        <w:t>եւ</w:t>
      </w:r>
      <w:r w:rsidRPr="00B834A2">
        <w:rPr>
          <w:rFonts w:ascii="Sylfaen" w:hAnsi="Sylfaen"/>
          <w:sz w:val="24"/>
          <w:szCs w:val="24"/>
        </w:rPr>
        <w:t xml:space="preserve"> աստիճանը, ֆազային կերպափոխումները կամ կառուցվածքի փոփոխությունները։</w:t>
      </w:r>
    </w:p>
    <w:p w14:paraId="572B7F72" w14:textId="77777777" w:rsidR="00B834A2" w:rsidRPr="00B834A2"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B834A2">
        <w:rPr>
          <w:rFonts w:ascii="Sylfaen" w:hAnsi="Sylfaen"/>
          <w:sz w:val="24"/>
          <w:szCs w:val="24"/>
        </w:rPr>
        <w:t>Միկրոկալորիաչափության մեթոդի օգնությամբ կարող են ուսումնասիրվել այն ջերմային պրոցեսները, որոնց արդյունքում առաջանում է միայն միկրովատտերով արտահայտվող լարում։ Դա նշանակում է, որ 10</w:t>
      </w:r>
      <w:r w:rsidRPr="00B834A2">
        <w:rPr>
          <w:rFonts w:ascii="Sylfaen" w:hAnsi="Sylfaen"/>
          <w:sz w:val="24"/>
          <w:szCs w:val="24"/>
          <w:vertAlign w:val="superscript"/>
        </w:rPr>
        <w:t>-6</w:t>
      </w:r>
      <w:r w:rsidRPr="00B834A2">
        <w:rPr>
          <w:rFonts w:ascii="Sylfaen" w:hAnsi="Sylfaen"/>
          <w:sz w:val="24"/>
          <w:szCs w:val="24"/>
        </w:rPr>
        <w:t xml:space="preserve"> К-ից ցածր ջերմաստիճանում տարբերությունները պետք է լինեն հայտնաբերելի։ Միկրոկալորիաչափության մեթոդում, որպես կանոն, օգտագործում են ջերմային էֆեկտի սկզբունքը (ջերմային ցրում), երբ համապատասխան ջերմակայուն անոթում անջատվող (կամ կլանվող) ջերմային հոսքը տեղափոխվում է դրանից </w:t>
      </w:r>
      <w:r w:rsidRPr="00B834A2">
        <w:rPr>
          <w:rFonts w:ascii="Sylfaen" w:hAnsi="Sylfaen"/>
          <w:sz w:val="24"/>
          <w:szCs w:val="24"/>
        </w:rPr>
        <w:lastRenderedPageBreak/>
        <w:t>(դրա մեջ)՝ շրջակա միջավայրի հետ ջերմային հավասարակշռությունը հաստատելու համար։ Շրջակա միջավայրի հետ բացառիկ ջերմային կայունության պետք է հասնել ջերմահեռացման օգնությամբ կամ էլեկտրոնային կարգավորվող սարքվածքով։</w:t>
      </w:r>
    </w:p>
    <w:p w14:paraId="3AC50E5C"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Fonts w:ascii="Sylfaen" w:hAnsi="Sylfaen"/>
          <w:sz w:val="24"/>
          <w:szCs w:val="24"/>
        </w:rPr>
        <w:t>Ռեակցիոն անոթում ակտիվ նմուշից անջատվող ջերմային էներգիան, որպես կանոն, ուղարկվում է Պելտյե տարրերի միջոցով</w:t>
      </w:r>
      <w:r w:rsidRPr="00C471A8">
        <w:rPr>
          <w:rFonts w:ascii="Sylfaen" w:eastAsia="MS Mincho" w:hAnsi="MS Mincho" w:cs="MS Mincho"/>
          <w:sz w:val="24"/>
          <w:szCs w:val="24"/>
        </w:rPr>
        <w:t>․</w:t>
      </w:r>
      <w:r w:rsidRPr="00C471A8">
        <w:rPr>
          <w:rFonts w:ascii="Sylfaen" w:hAnsi="Sylfaen" w:cs="Sylfaen"/>
          <w:sz w:val="24"/>
          <w:szCs w:val="24"/>
        </w:rPr>
        <w:t xml:space="preserve"> դրանք հանդես են գալիս որպես ջերմաէլեկտրական գեներատորներ՝ օգտագործելով Զեեբեկի էֆեկտը (S</w:t>
      </w:r>
      <w:r w:rsidRPr="00C471A8">
        <w:rPr>
          <w:rStyle w:val="Bodytext2Italic"/>
          <w:sz w:val="24"/>
          <w:szCs w:val="24"/>
        </w:rPr>
        <w:t>ееbесk</w:t>
      </w:r>
      <w:r w:rsidRPr="00C471A8">
        <w:rPr>
          <w:rFonts w:ascii="Sylfaen" w:hAnsi="Sylfaen"/>
          <w:sz w:val="24"/>
          <w:szCs w:val="24"/>
        </w:rPr>
        <w:t>)։ Ջերմային էներգիան կոնվերտվում է ջերմային հոսքին համաչափ լարման ազդանշանի։</w:t>
      </w:r>
    </w:p>
    <w:p w14:paraId="34C4A003"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Fonts w:ascii="Sylfaen" w:hAnsi="Sylfaen"/>
          <w:sz w:val="24"/>
          <w:szCs w:val="24"/>
        </w:rPr>
        <w:t>Արդյունքները սովորաբար ներկայացնում են ջերմային էներգիայի քանակական բնութագրի տեսքով, որը ձեւավորվում է ժամանակի միավորի (Վատտ)՝ որպես ժամանակի ֆունկցիա։</w:t>
      </w:r>
    </w:p>
    <w:p w14:paraId="763B5C97"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Style w:val="Bodytext2Italic"/>
          <w:sz w:val="24"/>
          <w:szCs w:val="24"/>
        </w:rPr>
        <w:t>ՍԱՐՔԸ</w:t>
      </w:r>
    </w:p>
    <w:p w14:paraId="5E5C1453"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Fonts w:ascii="Sylfaen" w:hAnsi="Sylfaen"/>
          <w:sz w:val="24"/>
          <w:szCs w:val="24"/>
        </w:rPr>
        <w:t>Միկրոկալորիաչափերը սովորաբար ներկայացված են չափիչ անոթով եւ համեմատման անոթով զույգ համակարգերի տեսքով: Անոթները սովորաբար պատրաստվում են ապակուց կամ չժանգոտվող պողպատից: Որոշակի նպատակների համար կարող են կիրառվել հատուկ կառուցված անոթներ, որոնք թույլ են տալիս ավելացնել գազը, հեղուկը կամ պինդ նյութը:</w:t>
      </w:r>
    </w:p>
    <w:p w14:paraId="0D849D94"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Style w:val="Bodytext2Italic"/>
          <w:sz w:val="24"/>
          <w:szCs w:val="24"/>
        </w:rPr>
        <w:t>ՍՏՈՒԳԱՃՇՏՈՒՄԸ</w:t>
      </w:r>
    </w:p>
    <w:p w14:paraId="339E000C"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Fonts w:ascii="Sylfaen" w:hAnsi="Sylfaen"/>
          <w:sz w:val="24"/>
          <w:szCs w:val="24"/>
        </w:rPr>
        <w:t>Միկրոկալորիաչափը ստուգաճշտում են ջերմային հոսքով (էներգիան՝ ժամանակի միավորի)՝ օգտագործելով ստուգաճշտված ներքին կամ արտաքին էլեկտրական ջերմային աղբյուրներ կամ համապատասխան ստանդարտ ռեակցիա:</w:t>
      </w:r>
    </w:p>
    <w:p w14:paraId="4F749890"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Style w:val="Bodytext2Italic"/>
          <w:sz w:val="24"/>
          <w:szCs w:val="24"/>
        </w:rPr>
        <w:t>ԶԳԱՅՈՒՆՈՒԹՅՈՒՆԸ</w:t>
      </w:r>
    </w:p>
    <w:p w14:paraId="470D9BBD" w14:textId="77777777" w:rsidR="00B834A2" w:rsidRPr="00C471A8" w:rsidRDefault="00B834A2" w:rsidP="00B603CA">
      <w:pPr>
        <w:pStyle w:val="Bodytext20"/>
        <w:shd w:val="clear" w:color="auto" w:fill="auto"/>
        <w:spacing w:before="0" w:after="160" w:line="348" w:lineRule="auto"/>
        <w:ind w:firstLine="567"/>
        <w:jc w:val="both"/>
        <w:rPr>
          <w:rFonts w:ascii="Sylfaen" w:hAnsi="Sylfaen" w:cs="Sylfaen"/>
          <w:sz w:val="24"/>
          <w:szCs w:val="24"/>
        </w:rPr>
      </w:pPr>
      <w:r w:rsidRPr="00C471A8">
        <w:rPr>
          <w:rFonts w:ascii="Sylfaen" w:hAnsi="Sylfaen"/>
          <w:sz w:val="24"/>
          <w:szCs w:val="24"/>
        </w:rPr>
        <w:t>Միկրոկալորիաչափական մեթոդի զգայունության գնահատման հիմքում կարող է դրվել համապատասխան ստանդարտ նմուշի օգտագործումը, որն անալիզի է ենթարկվում համապատասխան մեթոդով՝ չափիչ սարքի ֆլուկտուացիոն աղմուկը որոշելու հետ մեկտեղ:</w:t>
      </w:r>
    </w:p>
    <w:p w14:paraId="701C69D0" w14:textId="77777777" w:rsidR="00B834A2" w:rsidRPr="00C471A8" w:rsidRDefault="00B834A2" w:rsidP="00B603CA">
      <w:pPr>
        <w:pStyle w:val="Bodytext20"/>
        <w:shd w:val="clear" w:color="auto" w:fill="auto"/>
        <w:spacing w:before="0" w:after="160" w:line="374" w:lineRule="auto"/>
        <w:ind w:firstLine="567"/>
        <w:jc w:val="both"/>
        <w:rPr>
          <w:rFonts w:ascii="Sylfaen" w:hAnsi="Sylfaen" w:cs="Sylfaen"/>
          <w:sz w:val="24"/>
          <w:szCs w:val="24"/>
        </w:rPr>
      </w:pPr>
      <w:r w:rsidRPr="00C471A8">
        <w:rPr>
          <w:rStyle w:val="Bodytext2Italic"/>
          <w:sz w:val="24"/>
          <w:szCs w:val="24"/>
        </w:rPr>
        <w:lastRenderedPageBreak/>
        <w:t>ՄԵԹՈԴԻԿԱՆ</w:t>
      </w:r>
    </w:p>
    <w:p w14:paraId="0D144DB2" w14:textId="77777777" w:rsidR="00B834A2" w:rsidRPr="00B834A2" w:rsidRDefault="00B834A2" w:rsidP="00B603CA">
      <w:pPr>
        <w:pStyle w:val="Bodytext20"/>
        <w:shd w:val="clear" w:color="auto" w:fill="auto"/>
        <w:spacing w:before="0" w:after="160" w:line="374" w:lineRule="auto"/>
        <w:ind w:firstLine="567"/>
        <w:jc w:val="both"/>
        <w:rPr>
          <w:rFonts w:ascii="Sylfaen" w:hAnsi="Sylfaen" w:cs="Sylfaen"/>
          <w:sz w:val="24"/>
          <w:szCs w:val="24"/>
        </w:rPr>
      </w:pPr>
      <w:r w:rsidRPr="00C471A8">
        <w:rPr>
          <w:rFonts w:ascii="Sylfaen" w:hAnsi="Sylfaen"/>
          <w:sz w:val="24"/>
          <w:szCs w:val="24"/>
        </w:rPr>
        <w:t>Փորձարկվող նմուշի համապատասխա</w:t>
      </w:r>
      <w:r w:rsidRPr="00B834A2">
        <w:rPr>
          <w:rFonts w:ascii="Sylfaen" w:hAnsi="Sylfaen"/>
          <w:sz w:val="24"/>
          <w:szCs w:val="24"/>
        </w:rPr>
        <w:t xml:space="preserve">ն քանակությունը կշռում են համապատասխան փորձանոթում: Խնամքով փակում են փորձանոթը, որպեսզի խուսափեն լուծիչների ցնդումից, </w:t>
      </w:r>
      <w:r>
        <w:rPr>
          <w:rFonts w:ascii="Sylfaen" w:hAnsi="Sylfaen"/>
          <w:sz w:val="24"/>
          <w:szCs w:val="24"/>
        </w:rPr>
        <w:t>եւ</w:t>
      </w:r>
      <w:r w:rsidRPr="00B834A2">
        <w:rPr>
          <w:rFonts w:ascii="Sylfaen" w:hAnsi="Sylfaen"/>
          <w:sz w:val="24"/>
          <w:szCs w:val="24"/>
        </w:rPr>
        <w:t xml:space="preserve"> զետեղում են նմուշի բռնիչի մեջ: Անհրաժեշտության դեպքում փորձանոթը պահում են չափման ջերմաստիճանով՝ նախքան այն չափման համար դիրքում զետեղելը: Չափումն սկսում են </w:t>
      </w:r>
      <w:r>
        <w:rPr>
          <w:rFonts w:ascii="Sylfaen" w:hAnsi="Sylfaen"/>
          <w:sz w:val="24"/>
          <w:szCs w:val="24"/>
        </w:rPr>
        <w:t>եւ</w:t>
      </w:r>
      <w:r w:rsidRPr="00B834A2">
        <w:rPr>
          <w:rFonts w:ascii="Sylfaen" w:hAnsi="Sylfaen"/>
          <w:sz w:val="24"/>
          <w:szCs w:val="24"/>
        </w:rPr>
        <w:t xml:space="preserve"> ֆիքսում</w:t>
      </w:r>
      <w:r w:rsidR="00B603CA" w:rsidRPr="00B603CA">
        <w:rPr>
          <w:rFonts w:ascii="Sylfaen" w:hAnsi="Sylfaen"/>
          <w:sz w:val="24"/>
          <w:szCs w:val="24"/>
        </w:rPr>
        <w:t> </w:t>
      </w:r>
      <w:r w:rsidRPr="00B834A2">
        <w:rPr>
          <w:rFonts w:ascii="Sylfaen" w:hAnsi="Sylfaen"/>
          <w:sz w:val="24"/>
          <w:szCs w:val="24"/>
        </w:rPr>
        <w:t xml:space="preserve">են ջերմային հոսքի մեծության արժեքները՝ ժամանակի արժեքներն առանձնացնելով աբսցիս առանցքի վրա, իսկ ջերմային հոսքինը՝ օրդինատ առանցքի վրա (սահմանում են ջերմային հոսքի ջերմանջատիչ </w:t>
      </w:r>
      <w:r>
        <w:rPr>
          <w:rFonts w:ascii="Sylfaen" w:hAnsi="Sylfaen"/>
          <w:sz w:val="24"/>
          <w:szCs w:val="24"/>
        </w:rPr>
        <w:t>եւ</w:t>
      </w:r>
      <w:r w:rsidRPr="00B834A2">
        <w:rPr>
          <w:rFonts w:ascii="Sylfaen" w:hAnsi="Sylfaen"/>
          <w:sz w:val="24"/>
          <w:szCs w:val="24"/>
        </w:rPr>
        <w:t xml:space="preserve"> ջերմակլանիչ ուղղությունը):</w:t>
      </w:r>
    </w:p>
    <w:p w14:paraId="5EF56653" w14:textId="77777777" w:rsidR="00B834A2" w:rsidRPr="00B834A2" w:rsidRDefault="00B834A2" w:rsidP="00B603CA">
      <w:pPr>
        <w:pStyle w:val="Bodytext20"/>
        <w:shd w:val="clear" w:color="auto" w:fill="auto"/>
        <w:spacing w:before="0" w:after="160" w:line="374" w:lineRule="auto"/>
        <w:ind w:firstLine="567"/>
        <w:jc w:val="both"/>
        <w:rPr>
          <w:rFonts w:ascii="Sylfaen" w:hAnsi="Sylfaen" w:cs="Sylfaen"/>
          <w:sz w:val="24"/>
          <w:szCs w:val="24"/>
        </w:rPr>
      </w:pPr>
      <w:r w:rsidRPr="00B834A2">
        <w:rPr>
          <w:rFonts w:ascii="Sylfaen" w:hAnsi="Sylfaen"/>
          <w:sz w:val="24"/>
          <w:szCs w:val="24"/>
        </w:rPr>
        <w:t>ՓՈՇԻՆԵՐՈՒՄ ԱՄՈՐՖ ՄԱՍԻ ՊԱՐՈՒՆԱԿՈՒԹՅԱՆ ՀԱՅՏՆԱԲԵՐՈՒՄԸ ԵՎ ՔԱՆԱԿԱԿԱՆ ՈՐՈՇՈՒՄԸ</w:t>
      </w:r>
    </w:p>
    <w:p w14:paraId="076374FE"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Ամորֆ վիճակը բյուրեղային վիճակի նկատմամբ մետակայուն է,</w:t>
      </w:r>
      <w:r>
        <w:rPr>
          <w:rFonts w:ascii="Sylfaen" w:hAnsi="Sylfaen"/>
          <w:sz w:val="24"/>
          <w:szCs w:val="24"/>
        </w:rPr>
        <w:t xml:space="preserve"> </w:t>
      </w:r>
      <w:r w:rsidRPr="00B834A2">
        <w:rPr>
          <w:rFonts w:ascii="Sylfaen" w:hAnsi="Sylfaen"/>
          <w:sz w:val="24"/>
          <w:szCs w:val="24"/>
        </w:rPr>
        <w:t>այդ պատճառով էլ կարող է տեղի ունենալ վերաբյուրեղացում: Վերաբյուրեղացման ջերմության չափումը թույլ է տալիս որոշել ամորֆ մասի պարունակությունը՝ օգտագործելով վերաբյուրեղացման պիկի մակերեսը: Փորձարկվող նմուշի ամորֆ մասի պարունակությունը հաշվարկում են փորձարկվող նմուշի համար միկրոկալորիաչափի ելքային տվյալների՝ ամորֆ ստանդարտ նմուշի համար ելքային տվյալների նկատմամբ հարաբերակցությամբ: Տվյալ մեթոդով ընդգրկվող ամորֆ մասի պարունակության արժեքների ընդգրկույթը պայմանավորված է կոնկրետ փորձարկվող նմուշով. բարենպաստ դեպքերում կարող են հասնել 1 %-ից ցածր հայտնաբերման սահմանները:</w:t>
      </w:r>
    </w:p>
    <w:p w14:paraId="0D8BEAE6"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Վերաբյուրեղացումը կարող է նախաձեռնվել, եթե նմուշը ենթարկվի ավելի բարձր հարաբերական խոնավության կամ օրգանական գոլորշի պարունակող մթնոլորտի ազդեցության: Փորձարկվող նմուշը, որպես կանոն, զետեղում են ամպուլայի մեջ, որը նա</w:t>
      </w:r>
      <w:r>
        <w:rPr>
          <w:rFonts w:ascii="Sylfaen" w:hAnsi="Sylfaen"/>
          <w:sz w:val="24"/>
          <w:szCs w:val="24"/>
        </w:rPr>
        <w:t>եւ</w:t>
      </w:r>
      <w:r w:rsidRPr="00B834A2">
        <w:rPr>
          <w:rFonts w:ascii="Sylfaen" w:hAnsi="Sylfaen"/>
          <w:sz w:val="24"/>
          <w:szCs w:val="24"/>
        </w:rPr>
        <w:t xml:space="preserve"> պարունակում է աղի ջրային հագեցված լուծույթով, օրգանական լուծիչով կամ լուծիչների խառնուրդով ոչ մեծ փորձասրվակ:</w:t>
      </w:r>
    </w:p>
    <w:p w14:paraId="4BBF3CFD" w14:textId="77777777" w:rsidR="00B834A2" w:rsidRPr="00B834A2" w:rsidRDefault="00B834A2" w:rsidP="00C471A8">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Վերաբյուրեղացման ջերմությունը սովորաբար չափում են՝ օգտագործելով ֆիքսված զանգվածի՝ բաժակի կամ պողպատե անոթի մեջ զետեղված նմուշ: Աղի հագեցված լուծույթ կամ օրգանական լուծույթ պարունակող փորձասրվակն ընտրվում է այնպես, որ այն բավական մեծ լինի նմուշի վրայի մթնոլորտն ամբողջությամբ հագեցնելու համար: Փորձարկվող նմուշի զանգվածը </w:t>
      </w:r>
      <w:r>
        <w:rPr>
          <w:rFonts w:ascii="Sylfaen" w:hAnsi="Sylfaen"/>
          <w:sz w:val="24"/>
          <w:szCs w:val="24"/>
        </w:rPr>
        <w:t>եւ</w:t>
      </w:r>
      <w:r w:rsidRPr="00B834A2">
        <w:rPr>
          <w:rFonts w:ascii="Sylfaen" w:hAnsi="Sylfaen"/>
          <w:sz w:val="24"/>
          <w:szCs w:val="24"/>
        </w:rPr>
        <w:t xml:space="preserve"> դրա վրայի մթնոլորտային գոլորշու բնույթն ընտրվում են այնպես, որ վերաբյուրեղացման ընթացքում դիտարկվի նմուշի ներմուծմամբ առաջացած ելքային ջերմային էֆեկտներից հստակ առանձնացված պարզորոշ պիկ:</w:t>
      </w:r>
    </w:p>
    <w:p w14:paraId="0293A209" w14:textId="77777777" w:rsidR="00B834A2" w:rsidRPr="006C4C19" w:rsidRDefault="00B834A2" w:rsidP="006C4C19">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Այն պայմանները, որոնց դեպքում տեղի է ունենում ամորֆ ֆազի անցում ջերմադինամիկ ավելի կայուն բյուրեղային վիճակի, զգալի ազդեցություն են թողնում վերաբյուրեղացման ժամանակի վրա:</w:t>
      </w:r>
      <w:r w:rsidRPr="00B834A2">
        <w:rPr>
          <w:rStyle w:val="Bodytext31Sylfaen9"/>
          <w:sz w:val="24"/>
          <w:szCs w:val="24"/>
        </w:rPr>
        <w:t xml:space="preserve"> </w:t>
      </w:r>
      <w:r w:rsidRPr="006C4C19">
        <w:rPr>
          <w:rStyle w:val="Bodytext31Sylfaen9"/>
          <w:i w:val="0"/>
          <w:sz w:val="24"/>
          <w:szCs w:val="24"/>
        </w:rPr>
        <w:t>Մասնավորապես մաքուր ամորֆ եւ մաքուր բյուրեղային նյութերից ֆիզիկական խառնուրդներն իրենց հատկությունները դրսեւորելիս տարբերվելու են մասնակի բյուրեղային նյութից: Այդպիսի ազդեցություններն անհրաժեշտ է հաշվի առնել մեթոդը մշակելու ժամանակ:</w:t>
      </w:r>
    </w:p>
    <w:p w14:paraId="74BBEADD" w14:textId="77777777" w:rsidR="00B834A2" w:rsidRPr="00B834A2" w:rsidRDefault="00000000" w:rsidP="00B834A2">
      <w:pPr>
        <w:spacing w:after="160" w:line="360" w:lineRule="auto"/>
      </w:pPr>
      <w:r>
        <w:rPr>
          <w:noProof/>
        </w:rPr>
        <w:pict w14:anchorId="6048DC85">
          <v:group id="_x0000_s1211" style="position:absolute;margin-left:2.35pt;margin-top:61.45pt;width:164.05pt;height:145.85pt;z-index:251693056" coordorigin="1465,8064" coordsize="3281,2917">
            <v:rect id="_x0000_s1212" style="position:absolute;left:1465;top:8064;width:451;height:1315" stroked="f">
              <v:textbox style="layout-flow:vertical;mso-layout-flow-alt:bottom-to-top;mso-next-textbox:#_x0000_s1212">
                <w:txbxContent>
                  <w:p w14:paraId="6510268B" w14:textId="77777777" w:rsidR="008D6E8B" w:rsidRPr="00726FCF" w:rsidRDefault="008D6E8B" w:rsidP="00B834A2">
                    <w:pPr>
                      <w:rPr>
                        <w:sz w:val="12"/>
                      </w:rPr>
                    </w:pPr>
                    <w:r>
                      <w:rPr>
                        <w:sz w:val="12"/>
                      </w:rPr>
                      <w:t>Հզորություն, մկՎտ</w:t>
                    </w:r>
                  </w:p>
                </w:txbxContent>
              </v:textbox>
            </v:rect>
            <v:rect id="_x0000_s1213" style="position:absolute;left:3306;top:10581;width:1440;height:400" stroked="f">
              <v:textbox style="mso-next-textbox:#_x0000_s1213">
                <w:txbxContent>
                  <w:p w14:paraId="182786EC" w14:textId="77777777" w:rsidR="008D6E8B" w:rsidRPr="00726FCF" w:rsidRDefault="008D6E8B" w:rsidP="00B834A2">
                    <w:pPr>
                      <w:jc w:val="center"/>
                      <w:rPr>
                        <w:sz w:val="14"/>
                      </w:rPr>
                    </w:pPr>
                    <w:r>
                      <w:rPr>
                        <w:sz w:val="14"/>
                      </w:rPr>
                      <w:t>Ժամանակ, ժ</w:t>
                    </w:r>
                  </w:p>
                </w:txbxContent>
              </v:textbox>
            </v:rect>
          </v:group>
        </w:pict>
      </w:r>
      <w:r w:rsidR="00B834A2" w:rsidRPr="00B834A2">
        <w:rPr>
          <w:noProof/>
          <w:lang w:val="en-US" w:eastAsia="en-US" w:bidi="ar-SA"/>
        </w:rPr>
        <w:drawing>
          <wp:inline distT="0" distB="0" distL="0" distR="0" wp14:anchorId="6640CF21" wp14:editId="5F5705A5">
            <wp:extent cx="2886075" cy="2663825"/>
            <wp:effectExtent l="19050" t="0" r="9525" b="0"/>
            <wp:docPr id="228" name="Picture 37"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4"/>
                    <pic:cNvPicPr>
                      <a:picLocks noChangeAspect="1" noChangeArrowheads="1"/>
                    </pic:cNvPicPr>
                  </pic:nvPicPr>
                  <pic:blipFill>
                    <a:blip r:embed="rId49" cstate="print"/>
                    <a:srcRect/>
                    <a:stretch>
                      <a:fillRect/>
                    </a:stretch>
                  </pic:blipFill>
                  <pic:spPr bwMode="auto">
                    <a:xfrm>
                      <a:off x="0" y="0"/>
                      <a:ext cx="2886075" cy="2663825"/>
                    </a:xfrm>
                    <a:prstGeom prst="rect">
                      <a:avLst/>
                    </a:prstGeom>
                    <a:noFill/>
                    <a:ln w="9525">
                      <a:noFill/>
                      <a:miter lim="800000"/>
                      <a:headEnd/>
                      <a:tailEnd/>
                    </a:ln>
                  </pic:spPr>
                </pic:pic>
              </a:graphicData>
            </a:graphic>
          </wp:inline>
        </w:drawing>
      </w:r>
    </w:p>
    <w:p w14:paraId="682E17F2" w14:textId="77777777" w:rsidR="00B834A2" w:rsidRDefault="00B834A2" w:rsidP="00B834A2">
      <w:pPr>
        <w:pStyle w:val="Picturecaption0"/>
        <w:shd w:val="clear" w:color="auto" w:fill="auto"/>
        <w:spacing w:after="160" w:line="360" w:lineRule="auto"/>
        <w:ind w:firstLine="567"/>
        <w:rPr>
          <w:rStyle w:val="Picturecaption10pt"/>
          <w:rFonts w:ascii="Sylfaen" w:eastAsia="Sylfaen" w:hAnsi="Sylfaen"/>
          <w:szCs w:val="24"/>
        </w:rPr>
      </w:pPr>
      <w:r w:rsidRPr="006C4C19">
        <w:rPr>
          <w:rStyle w:val="Bodytext31Sylfaen9"/>
          <w:sz w:val="20"/>
          <w:szCs w:val="24"/>
        </w:rPr>
        <w:t xml:space="preserve">Նկար 2.1.10.6-1. </w:t>
      </w:r>
      <w:r w:rsidRPr="006C4C19">
        <w:rPr>
          <w:rStyle w:val="Picturecaption10pt"/>
          <w:rFonts w:ascii="Sylfaen" w:eastAsia="Sylfaen" w:hAnsi="Sylfaen"/>
          <w:szCs w:val="24"/>
        </w:rPr>
        <w:t>Միկրոկալորիաչափական չափման համար տիպիկ ելքային տվյալները՝ ըստ հզորության (մկՎտ)՝ ժամանակի ֆունկցիայի տեսքով (ժամեր). ամորֆ կառուցվածքի քայքայման պիկը(1) եւ բյուրեղայնացման պիկը (2)՝ առավելապես ամորֆ լակտոզայի համար՝ 25</w:t>
      </w:r>
      <w:r w:rsidRPr="006C4C19">
        <w:rPr>
          <w:rStyle w:val="Bodytext31Sylfaen9"/>
          <w:sz w:val="20"/>
          <w:szCs w:val="24"/>
        </w:rPr>
        <w:t xml:space="preserve"> °С ջերմաստիճանի եւ </w:t>
      </w:r>
      <w:r w:rsidRPr="006C4C19">
        <w:rPr>
          <w:rStyle w:val="Picturecaption10pt"/>
          <w:rFonts w:ascii="Sylfaen" w:eastAsia="Sylfaen" w:hAnsi="Sylfaen"/>
          <w:szCs w:val="24"/>
        </w:rPr>
        <w:t xml:space="preserve">75 % հարաբերական խոնավության պայմաններում </w:t>
      </w:r>
    </w:p>
    <w:p w14:paraId="4B5992D4" w14:textId="77777777" w:rsidR="006C4C19" w:rsidRPr="006C4C19" w:rsidRDefault="006C4C19" w:rsidP="00B834A2">
      <w:pPr>
        <w:pStyle w:val="Picturecaption0"/>
        <w:shd w:val="clear" w:color="auto" w:fill="auto"/>
        <w:spacing w:after="160" w:line="360" w:lineRule="auto"/>
        <w:ind w:firstLine="567"/>
        <w:rPr>
          <w:rFonts w:ascii="Sylfaen" w:hAnsi="Sylfaen" w:cs="Sylfaen"/>
          <w:sz w:val="20"/>
        </w:rPr>
      </w:pPr>
    </w:p>
    <w:p w14:paraId="4662A8C8" w14:textId="77777777" w:rsidR="00B834A2" w:rsidRDefault="00B834A2" w:rsidP="006C4C19">
      <w:pPr>
        <w:pStyle w:val="Bodytext20"/>
        <w:shd w:val="clear" w:color="auto" w:fill="auto"/>
        <w:spacing w:before="0" w:after="160" w:line="360" w:lineRule="auto"/>
        <w:ind w:firstLine="567"/>
        <w:jc w:val="both"/>
        <w:rPr>
          <w:rStyle w:val="Bodytext31Sylfaen9"/>
          <w:i w:val="0"/>
          <w:sz w:val="24"/>
          <w:szCs w:val="24"/>
        </w:rPr>
      </w:pPr>
      <w:r w:rsidRPr="006C4C19">
        <w:rPr>
          <w:rStyle w:val="Bodytext31Sylfaen9"/>
          <w:i w:val="0"/>
          <w:sz w:val="24"/>
          <w:szCs w:val="24"/>
        </w:rPr>
        <w:lastRenderedPageBreak/>
        <w:t>Առավելապես ամորֆ նյութի վերաբյուրեղացման համար տիպիկ պատասխանը ցույց է տրված 2.1.10.6-1 նկարում: Կորի առաջին մասը ցույց է տալիս միաժամանակ տեղի ունեցող մի քանի մրցակցող պրոցեսներ, ինչպիսիք են ջրային գոլորշու՝ փոշու ամորֆ մասերի կողմից կլանումը եւ փորձասրվակից ջրային գոլորշու անջատումը: Սկզբնական պատասխանից հետո նշվում է մեծ ջերմանջատիչ պատասխանը, որն առաջացել է ամորֆ նյութի վերաբյուրեղացումից: Կա նաեւ ջրի ավելցուկի տեղի ունեցող, սակայն անտեսանելի հեռացում՝ դրա վերաբյուրեղացման մասերից, եւ դրա կոնդենսացում: Այդպիսով, վերաբյուրեղացման այդ ջերմակլանիչ պատասխանի տակ մակերեսը համեմատական է վերաբյուրեղացման ջերմությանը:</w:t>
      </w:r>
    </w:p>
    <w:p w14:paraId="51F1CB5C" w14:textId="77777777" w:rsidR="006C4C19" w:rsidRPr="006C4C19" w:rsidRDefault="006C4C19" w:rsidP="006C4C19">
      <w:pPr>
        <w:pStyle w:val="Bodytext20"/>
        <w:shd w:val="clear" w:color="auto" w:fill="auto"/>
        <w:spacing w:before="0" w:after="160" w:line="360" w:lineRule="auto"/>
        <w:ind w:firstLine="567"/>
        <w:jc w:val="both"/>
        <w:rPr>
          <w:rFonts w:ascii="Sylfaen" w:hAnsi="Sylfaen" w:cs="Sylfaen"/>
          <w:i/>
          <w:sz w:val="24"/>
          <w:szCs w:val="24"/>
        </w:rPr>
      </w:pPr>
    </w:p>
    <w:p w14:paraId="441365EF" w14:textId="77777777" w:rsidR="00B834A2" w:rsidRPr="006C4C19" w:rsidRDefault="00B834A2" w:rsidP="00B834A2">
      <w:pPr>
        <w:pStyle w:val="Bodytext20"/>
        <w:shd w:val="clear" w:color="auto" w:fill="auto"/>
        <w:spacing w:before="0" w:after="160" w:line="360" w:lineRule="auto"/>
        <w:jc w:val="left"/>
        <w:rPr>
          <w:rFonts w:ascii="Sylfaen" w:hAnsi="Sylfaen" w:cs="Sylfaen"/>
          <w:b/>
          <w:sz w:val="24"/>
          <w:szCs w:val="24"/>
        </w:rPr>
      </w:pPr>
      <w:r w:rsidRPr="006C4C19">
        <w:rPr>
          <w:rStyle w:val="Bodytext31Sylfaen9"/>
          <w:b/>
          <w:sz w:val="24"/>
          <w:szCs w:val="24"/>
        </w:rPr>
        <w:t>ԼՈՒԾՄԱՆ ԿԱԼՈՐԻԱՉԱՓՈՒԹՅՈՒՆԸ (ԲՅՈՒՐԵՂԱՅՆՈՒԹՅԱՆ ՈՐՈՇՈՒՄ)</w:t>
      </w:r>
    </w:p>
    <w:p w14:paraId="373A4FAD" w14:textId="77777777" w:rsidR="00B834A2" w:rsidRPr="006C4C19" w:rsidRDefault="00B834A2" w:rsidP="006C4C19">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Լուծման կալորիաչափությամբ սահմանվում է նյութի լուծման էնթալպիան (այսինքն՝ մշտական մթնոլորտային ճնշման ժամանակ լուծման ջերմությունը) որոշելու եղանակները:</w:t>
      </w:r>
      <w:r w:rsidRPr="00B834A2">
        <w:rPr>
          <w:rStyle w:val="Bodytext31Sylfaen9"/>
          <w:sz w:val="24"/>
          <w:szCs w:val="24"/>
        </w:rPr>
        <w:t xml:space="preserve"> </w:t>
      </w:r>
      <w:r w:rsidRPr="006C4C19">
        <w:rPr>
          <w:rStyle w:val="Bodytext31Sylfaen9"/>
          <w:i w:val="0"/>
          <w:sz w:val="24"/>
          <w:szCs w:val="24"/>
        </w:rPr>
        <w:t xml:space="preserve">Լուծման էնթալպիան որոշվում է որպես մինչեւ որոշակի կոնցենտրացիա լուծված նյութի էնթալպիայի եւ ելանյութի էնթալպիայի տարբերություն: Լուծման համար պետք է օգտագործվի այնպիսի լուծիչ, որ որոշակի զանգվածի պինդ նյութը լուծվի կալորիաչափի պատասխանի ժամանակին համապատասխանող ժամանակահատվածի ընթացքում, ինչպես դա նկարագրված է ստորեւ: Լուծման էնթալպիան համեմատական է լուծված պինդ նյութի քանակին: Այդ քանակը կարող է ընդունվել որպես </w:t>
      </w:r>
      <w:r w:rsidRPr="006C4C19">
        <w:rPr>
          <w:rStyle w:val="Bodytext285pt"/>
          <w:i w:val="0"/>
          <w:spacing w:val="0"/>
          <w:sz w:val="24"/>
          <w:szCs w:val="24"/>
        </w:rPr>
        <w:t>1</w:t>
      </w:r>
      <w:r w:rsidRPr="006C4C19">
        <w:rPr>
          <w:rStyle w:val="Bodytext31Sylfaen9"/>
          <w:i w:val="0"/>
          <w:sz w:val="24"/>
          <w:szCs w:val="24"/>
        </w:rPr>
        <w:t xml:space="preserve"> մոլ՝ մոլային էնթալպիայի համար, կամ </w:t>
      </w:r>
      <w:r w:rsidRPr="006C4C19">
        <w:rPr>
          <w:rStyle w:val="Bodytext285pt"/>
          <w:i w:val="0"/>
          <w:spacing w:val="0"/>
          <w:sz w:val="24"/>
          <w:szCs w:val="24"/>
        </w:rPr>
        <w:t>1</w:t>
      </w:r>
      <w:r w:rsidRPr="006C4C19">
        <w:rPr>
          <w:rStyle w:val="Bodytext31Sylfaen9"/>
          <w:i w:val="0"/>
          <w:sz w:val="24"/>
          <w:szCs w:val="24"/>
        </w:rPr>
        <w:t xml:space="preserve"> գ՝ տեսակարար էնթալպիայի համար: Եթե նյութն ունի բավականաչափ մաքրություն (որը որոշվել է ճշգրտության պահանջվող աստիճանով) եւ հայտնի է դրա մոլեկուլային զանգվածը, ապա նախընտրելի է համարվում մոլային էնթալպիան, այլ դեպքում պետք է օգտագործվի տեսակարար էնթալպիան: Լուծման էնթալպիան թույլ կախվածություն ունի ջերմաստիճանից, որը սովորաբար ունի 25,0 °С արժեք, եւ լուծված նյութի վերջնական կոնցենտրացիայից:</w:t>
      </w:r>
    </w:p>
    <w:p w14:paraId="530F6F1F" w14:textId="77777777" w:rsidR="00B834A2" w:rsidRPr="006C4C19" w:rsidRDefault="00B834A2" w:rsidP="006C4C19">
      <w:pPr>
        <w:pStyle w:val="Bodytext20"/>
        <w:shd w:val="clear" w:color="auto" w:fill="auto"/>
        <w:spacing w:before="0" w:after="160" w:line="360" w:lineRule="auto"/>
        <w:ind w:firstLine="567"/>
        <w:jc w:val="both"/>
        <w:rPr>
          <w:rStyle w:val="Bodytext31Sylfaen9"/>
          <w:i w:val="0"/>
          <w:sz w:val="24"/>
          <w:szCs w:val="24"/>
        </w:rPr>
      </w:pPr>
      <w:r w:rsidRPr="006C4C19">
        <w:rPr>
          <w:rStyle w:val="Bodytext31Sylfaen9"/>
          <w:i w:val="0"/>
          <w:sz w:val="24"/>
          <w:szCs w:val="24"/>
        </w:rPr>
        <w:lastRenderedPageBreak/>
        <w:t>Նյութի բյուրեղայնություն-ը՝</w:t>
      </w:r>
      <w:r w:rsidRPr="006C4C19">
        <w:rPr>
          <w:rStyle w:val="Bodytext2Italic"/>
          <w:i w:val="0"/>
          <w:sz w:val="24"/>
          <w:szCs w:val="24"/>
        </w:rPr>
        <w:t>Р</w:t>
      </w:r>
      <w:r w:rsidRPr="006C4C19">
        <w:rPr>
          <w:rStyle w:val="Bodytext2Italic"/>
          <w:i w:val="0"/>
          <w:sz w:val="24"/>
          <w:szCs w:val="24"/>
          <w:vertAlign w:val="subscript"/>
        </w:rPr>
        <w:t>с</w:t>
      </w:r>
      <w:r w:rsidRPr="006C4C19">
        <w:rPr>
          <w:rStyle w:val="Bodytext2Italic"/>
          <w:i w:val="0"/>
          <w:sz w:val="24"/>
          <w:szCs w:val="24"/>
        </w:rPr>
        <w:t>,</w:t>
      </w:r>
      <w:r w:rsidRPr="006C4C19">
        <w:rPr>
          <w:rStyle w:val="Bodytext31Sylfaen9"/>
          <w:i w:val="0"/>
          <w:sz w:val="24"/>
          <w:szCs w:val="24"/>
        </w:rPr>
        <w:t xml:space="preserve"> որպես կանոն, արտահայտում են տոկոսներով: Տվյալ մեթոդի համար անհրաժեշտ է համեմատության երկու</w:t>
      </w:r>
      <w:r w:rsidRPr="00B834A2">
        <w:rPr>
          <w:rStyle w:val="Bodytext31Sylfaen9"/>
          <w:sz w:val="24"/>
          <w:szCs w:val="24"/>
        </w:rPr>
        <w:t xml:space="preserve"> </w:t>
      </w:r>
      <w:r w:rsidRPr="006C4C19">
        <w:rPr>
          <w:rStyle w:val="Bodytext31Sylfaen9"/>
          <w:i w:val="0"/>
          <w:sz w:val="24"/>
          <w:szCs w:val="24"/>
        </w:rPr>
        <w:t xml:space="preserve">ստանդարտ, դրանք են՝ բարձր բյուրեղային նմուշ՝ պայմանով, որ այն ունի </w:t>
      </w:r>
      <w:r w:rsidRPr="006C4C19">
        <w:rPr>
          <w:rStyle w:val="Bodytext285pt"/>
          <w:i w:val="0"/>
          <w:spacing w:val="0"/>
          <w:sz w:val="24"/>
          <w:szCs w:val="24"/>
        </w:rPr>
        <w:t>100</w:t>
      </w:r>
      <w:r w:rsidRPr="006C4C19">
        <w:rPr>
          <w:rStyle w:val="Bodytext31Sylfaen9"/>
          <w:i w:val="0"/>
          <w:sz w:val="24"/>
          <w:szCs w:val="24"/>
        </w:rPr>
        <w:t xml:space="preserve"> % բյուրեղայնություն եւ ?</w:t>
      </w:r>
      <w:r w:rsidRPr="006C4C19">
        <w:rPr>
          <w:rStyle w:val="Bodytext2105pt"/>
          <w:rFonts w:ascii="Sylfaen" w:eastAsia="Sylfaen" w:hAnsi="Sylfaen"/>
          <w:i/>
          <w:w w:val="100"/>
          <w:sz w:val="24"/>
          <w:szCs w:val="24"/>
        </w:rPr>
        <w:t>Δ</w:t>
      </w:r>
      <w:r w:rsidRPr="006C4C19">
        <w:rPr>
          <w:rStyle w:val="Bodytext2Italic"/>
          <w:i w:val="0"/>
          <w:sz w:val="24"/>
          <w:szCs w:val="24"/>
        </w:rPr>
        <w:t>Н</w:t>
      </w:r>
      <w:r w:rsidRPr="006C4C19">
        <w:rPr>
          <w:rStyle w:val="Bodytext2Bold"/>
          <w:rFonts w:ascii="Sylfaen" w:hAnsi="Sylfaen"/>
          <w:i/>
          <w:sz w:val="24"/>
          <w:szCs w:val="24"/>
          <w:vertAlign w:val="superscript"/>
        </w:rPr>
        <w:t>s</w:t>
      </w:r>
      <w:r w:rsidRPr="006C4C19">
        <w:rPr>
          <w:rStyle w:val="Bodytext2Bold"/>
          <w:rFonts w:ascii="Sylfaen" w:hAnsi="Sylfaen"/>
          <w:i/>
          <w:sz w:val="24"/>
          <w:szCs w:val="24"/>
          <w:vertAlign w:val="subscript"/>
        </w:rPr>
        <w:t>c</w:t>
      </w:r>
      <w:r w:rsidRPr="006C4C19">
        <w:rPr>
          <w:rStyle w:val="Bodytext2Italic"/>
          <w:i w:val="0"/>
          <w:sz w:val="24"/>
          <w:szCs w:val="24"/>
        </w:rPr>
        <w:t>լուծման չափված էնթալպիա,</w:t>
      </w:r>
      <w:r w:rsidRPr="006C4C19">
        <w:rPr>
          <w:rStyle w:val="Bodytext31Sylfaen9"/>
          <w:i w:val="0"/>
          <w:sz w:val="24"/>
          <w:szCs w:val="24"/>
        </w:rPr>
        <w:t xml:space="preserve"> ու ամորֆ նմուշ՝ թույլ տալով, որ այն ունի 0 % բյուրեղայնություն եւ </w:t>
      </w:r>
      <w:r w:rsidRPr="006C4C19">
        <w:rPr>
          <w:rStyle w:val="Bodytext2105pt"/>
          <w:rFonts w:ascii="Sylfaen" w:eastAsia="Sylfaen" w:hAnsi="Sylfaen"/>
          <w:i/>
          <w:w w:val="100"/>
          <w:sz w:val="24"/>
          <w:szCs w:val="24"/>
        </w:rPr>
        <w:t>Δ</w:t>
      </w:r>
      <w:r w:rsidRPr="006C4C19">
        <w:rPr>
          <w:rStyle w:val="Bodytext2Italic"/>
          <w:i w:val="0"/>
          <w:sz w:val="24"/>
          <w:szCs w:val="24"/>
        </w:rPr>
        <w:t xml:space="preserve">Н </w:t>
      </w:r>
      <w:r w:rsidRPr="006C4C19">
        <w:rPr>
          <w:rStyle w:val="Bodytext2Italic"/>
          <w:i w:val="0"/>
          <w:sz w:val="24"/>
          <w:szCs w:val="24"/>
          <w:vertAlign w:val="superscript"/>
        </w:rPr>
        <w:t>s</w:t>
      </w:r>
      <w:r w:rsidRPr="006C4C19">
        <w:rPr>
          <w:rStyle w:val="Bodytext2Italic"/>
          <w:i w:val="0"/>
          <w:sz w:val="24"/>
          <w:szCs w:val="24"/>
          <w:vertAlign w:val="subscript"/>
        </w:rPr>
        <w:t>α</w:t>
      </w:r>
      <w:r w:rsidRPr="006C4C19">
        <w:rPr>
          <w:rStyle w:val="Bodytext2Italic"/>
          <w:i w:val="0"/>
          <w:sz w:val="24"/>
          <w:szCs w:val="24"/>
        </w:rPr>
        <w:t>լուծման չափված էնթալպիա:</w:t>
      </w:r>
      <w:r w:rsidRPr="006C4C19">
        <w:rPr>
          <w:rStyle w:val="Bodytext31Sylfaen9"/>
          <w:i w:val="0"/>
          <w:sz w:val="24"/>
          <w:szCs w:val="24"/>
        </w:rPr>
        <w:t xml:space="preserve"> Պինդ նյութի բյուրեղայնությունը </w:t>
      </w:r>
      <w:r w:rsidRPr="006C4C19">
        <w:rPr>
          <w:rStyle w:val="Bodytext2Italic"/>
          <w:i w:val="0"/>
          <w:sz w:val="24"/>
          <w:szCs w:val="24"/>
        </w:rPr>
        <w:t>(Р</w:t>
      </w:r>
      <w:r w:rsidRPr="006C4C19">
        <w:rPr>
          <w:rStyle w:val="Bodytext2Italic"/>
          <w:i w:val="0"/>
          <w:sz w:val="24"/>
          <w:szCs w:val="24"/>
          <w:vertAlign w:val="subscript"/>
        </w:rPr>
        <w:t>с</w:t>
      </w:r>
      <w:r w:rsidRPr="006C4C19">
        <w:rPr>
          <w:rStyle w:val="Bodytext2Italic"/>
          <w:i w:val="0"/>
          <w:sz w:val="24"/>
          <w:szCs w:val="24"/>
        </w:rPr>
        <w:t xml:space="preserve">)՝ </w:t>
      </w:r>
      <w:r w:rsidRPr="006C4C19">
        <w:rPr>
          <w:rStyle w:val="Bodytext31Sylfaen9"/>
          <w:i w:val="0"/>
          <w:sz w:val="24"/>
          <w:szCs w:val="24"/>
        </w:rPr>
        <w:t>տոկոսներով կարող է հաշվարկվել՝ օգտագործելով նշված մեծությունների արժեքները եւ ուսումնասիրվող պինդ նյութի լուծման չափված էնթալպիան (</w:t>
      </w:r>
      <w:r w:rsidRPr="006C4C19">
        <w:rPr>
          <w:rStyle w:val="Bodytext2105pt"/>
          <w:rFonts w:ascii="Sylfaen" w:eastAsia="Sylfaen" w:hAnsi="Sylfaen"/>
          <w:i/>
          <w:w w:val="100"/>
          <w:sz w:val="24"/>
          <w:szCs w:val="24"/>
        </w:rPr>
        <w:t>Δ</w:t>
      </w:r>
      <w:r w:rsidRPr="006C4C19">
        <w:rPr>
          <w:rStyle w:val="Bodytext2Italic"/>
          <w:i w:val="0"/>
          <w:sz w:val="24"/>
          <w:szCs w:val="24"/>
        </w:rPr>
        <w:t>Н</w:t>
      </w:r>
      <w:r w:rsidRPr="006C4C19">
        <w:rPr>
          <w:rStyle w:val="Bodytext2Italic"/>
          <w:i w:val="0"/>
          <w:sz w:val="24"/>
          <w:szCs w:val="24"/>
          <w:vertAlign w:val="superscript"/>
        </w:rPr>
        <w:t>s</w:t>
      </w:r>
      <w:r w:rsidRPr="006C4C19">
        <w:rPr>
          <w:rStyle w:val="Bodytext2Italic"/>
          <w:i w:val="0"/>
          <w:sz w:val="24"/>
          <w:szCs w:val="24"/>
          <w:vertAlign w:val="subscript"/>
        </w:rPr>
        <w:t>s</w:t>
      </w:r>
      <w:r w:rsidRPr="006C4C19">
        <w:rPr>
          <w:rStyle w:val="Bodytext2Italic"/>
          <w:i w:val="0"/>
          <w:sz w:val="24"/>
          <w:szCs w:val="24"/>
        </w:rPr>
        <w:t>),</w:t>
      </w:r>
      <w:r w:rsidRPr="006C4C19">
        <w:rPr>
          <w:rStyle w:val="Bodytext31Sylfaen9"/>
          <w:i w:val="0"/>
          <w:sz w:val="24"/>
          <w:szCs w:val="24"/>
        </w:rPr>
        <w:t xml:space="preserve"> ըստ հետեւյալ բանաձեւի.</w:t>
      </w:r>
    </w:p>
    <w:p w14:paraId="1226D8D9" w14:textId="77777777" w:rsidR="00B834A2" w:rsidRPr="00B834A2" w:rsidRDefault="00000000" w:rsidP="00B834A2">
      <w:pPr>
        <w:pStyle w:val="Bodytext20"/>
        <w:shd w:val="clear" w:color="auto" w:fill="auto"/>
        <w:spacing w:before="0" w:after="160" w:line="360" w:lineRule="auto"/>
        <w:ind w:firstLine="567"/>
        <w:rPr>
          <w:rStyle w:val="Bodytext31Sylfaen9"/>
          <w:sz w:val="24"/>
          <w:szCs w:val="24"/>
        </w:rPr>
      </w:pPr>
      <m:oMathPara>
        <m:oMath>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P</m:t>
              </m:r>
            </m:e>
            <m:sub>
              <m:r>
                <w:rPr>
                  <w:rStyle w:val="Bodytext31Sylfaen9"/>
                  <w:rFonts w:ascii="Cambria Math" w:hAnsi="Cambria Math"/>
                  <w:sz w:val="24"/>
                  <w:szCs w:val="24"/>
                </w:rPr>
                <m:t>c</m:t>
              </m:r>
            </m:sub>
          </m:sSub>
          <m:r>
            <w:rPr>
              <w:rStyle w:val="Bodytext31Sylfaen9"/>
              <w:rFonts w:ascii="Cambria Math" w:hAnsi="Cambria Math"/>
              <w:sz w:val="24"/>
              <w:szCs w:val="24"/>
            </w:rPr>
            <m:t>(%)=100(</m:t>
          </m:r>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∆H</m:t>
              </m:r>
            </m:e>
            <m:sub>
              <m:r>
                <w:rPr>
                  <w:rStyle w:val="Bodytext31Sylfaen9"/>
                  <w:rFonts w:ascii="Cambria Math" w:hAnsi="Cambria Math"/>
                  <w:sz w:val="24"/>
                  <w:szCs w:val="24"/>
                </w:rPr>
                <m:t>s</m:t>
              </m:r>
            </m:sub>
            <m:sup>
              <m:r>
                <w:rPr>
                  <w:rStyle w:val="Bodytext31Sylfaen9"/>
                  <w:rFonts w:ascii="Cambria Math" w:hAnsi="Cambria Math"/>
                  <w:sz w:val="24"/>
                  <w:szCs w:val="24"/>
                </w:rPr>
                <m:t>s</m:t>
              </m:r>
            </m:sup>
          </m:sSubSup>
          <m:r>
            <w:rPr>
              <w:rStyle w:val="Bodytext31Sylfaen9"/>
              <w:rFonts w:ascii="Cambria Math" w:hAnsi="Cambria Math"/>
              <w:sz w:val="24"/>
              <w:szCs w:val="24"/>
            </w:rPr>
            <m:t>-</m:t>
          </m:r>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∆H</m:t>
              </m:r>
            </m:e>
            <m:sub>
              <m:r>
                <w:rPr>
                  <w:rStyle w:val="Bodytext31Sylfaen9"/>
                  <w:rFonts w:ascii="Cambria Math" w:hAnsi="Cambria Math"/>
                  <w:sz w:val="24"/>
                  <w:szCs w:val="24"/>
                </w:rPr>
                <m:t>a</m:t>
              </m:r>
            </m:sub>
            <m:sup>
              <m:r>
                <w:rPr>
                  <w:rStyle w:val="Bodytext31Sylfaen9"/>
                  <w:rFonts w:ascii="Cambria Math" w:hAnsi="Cambria Math"/>
                  <w:sz w:val="24"/>
                  <w:szCs w:val="24"/>
                </w:rPr>
                <m:t>s</m:t>
              </m:r>
            </m:sup>
          </m:sSubSup>
          <m:r>
            <w:rPr>
              <w:rStyle w:val="Bodytext31Sylfaen9"/>
              <w:rFonts w:ascii="Cambria Math" w:hAnsi="Cambria Math"/>
              <w:sz w:val="24"/>
              <w:szCs w:val="24"/>
            </w:rPr>
            <m:t>)/(</m:t>
          </m:r>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∆H</m:t>
              </m:r>
            </m:e>
            <m:sub>
              <m:r>
                <w:rPr>
                  <w:rStyle w:val="Bodytext31Sylfaen9"/>
                  <w:rFonts w:ascii="Cambria Math" w:hAnsi="Cambria Math"/>
                  <w:sz w:val="24"/>
                  <w:szCs w:val="24"/>
                </w:rPr>
                <m:t>c</m:t>
              </m:r>
            </m:sub>
            <m:sup>
              <m:r>
                <w:rPr>
                  <w:rStyle w:val="Bodytext31Sylfaen9"/>
                  <w:rFonts w:ascii="Cambria Math" w:hAnsi="Cambria Math"/>
                  <w:sz w:val="24"/>
                  <w:szCs w:val="24"/>
                </w:rPr>
                <m:t>s</m:t>
              </m:r>
            </m:sup>
          </m:sSubSup>
          <m:r>
            <w:rPr>
              <w:rStyle w:val="Bodytext31Sylfaen9"/>
              <w:rFonts w:ascii="Cambria Math" w:hAnsi="Cambria Math"/>
              <w:sz w:val="24"/>
              <w:szCs w:val="24"/>
            </w:rPr>
            <m:t>-</m:t>
          </m:r>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∆H</m:t>
              </m:r>
            </m:e>
            <m:sub>
              <m:r>
                <w:rPr>
                  <w:rStyle w:val="Bodytext31Sylfaen9"/>
                  <w:rFonts w:ascii="Cambria Math" w:hAnsi="Cambria Math"/>
                  <w:sz w:val="24"/>
                  <w:szCs w:val="24"/>
                </w:rPr>
                <m:t>a</m:t>
              </m:r>
            </m:sub>
            <m:sup>
              <m:r>
                <w:rPr>
                  <w:rStyle w:val="Bodytext31Sylfaen9"/>
                  <w:rFonts w:ascii="Cambria Math" w:hAnsi="Cambria Math"/>
                  <w:sz w:val="24"/>
                  <w:szCs w:val="24"/>
                </w:rPr>
                <m:t>s</m:t>
              </m:r>
            </m:sup>
          </m:sSubSup>
          <m:r>
            <w:rPr>
              <w:rStyle w:val="Bodytext31Sylfaen9"/>
              <w:rFonts w:ascii="Cambria Math" w:hAnsi="Cambria Math"/>
              <w:sz w:val="24"/>
              <w:szCs w:val="24"/>
            </w:rPr>
            <m:t>)</m:t>
          </m:r>
        </m:oMath>
      </m:oMathPara>
    </w:p>
    <w:p w14:paraId="7759B57A" w14:textId="77777777" w:rsidR="00B834A2" w:rsidRPr="006C4C19" w:rsidRDefault="00B834A2" w:rsidP="004A7CC9">
      <w:pPr>
        <w:pStyle w:val="Bodytext20"/>
        <w:shd w:val="clear" w:color="auto" w:fill="auto"/>
        <w:spacing w:before="0" w:after="160" w:line="346" w:lineRule="auto"/>
        <w:ind w:firstLine="567"/>
        <w:jc w:val="both"/>
        <w:rPr>
          <w:rFonts w:ascii="Sylfaen" w:hAnsi="Sylfaen" w:cs="Sylfaen"/>
          <w:i/>
          <w:sz w:val="24"/>
          <w:szCs w:val="24"/>
        </w:rPr>
      </w:pPr>
      <w:r w:rsidRPr="006C4C19">
        <w:rPr>
          <w:rStyle w:val="Bodytext31Sylfaen9"/>
          <w:i w:val="0"/>
          <w:sz w:val="24"/>
          <w:szCs w:val="24"/>
        </w:rPr>
        <w:t>Անհայտ է, որ տոկոսներով արտահայտված բյուրեղայնությունը պայմանավորված է 3 չափված մեծություններով, իսկ լուծման էնթալպիաները կարող են փոխարինվել այլ համապատասխան ֆիզիկական մեծություններով, որոնք պայմանավորված են բյուրեղայնությամբ: Նմուշի բյուրեղայնության՝տոկոսներով արտահայտված արժեքը պայմանավորված է ոչ միայն համեմատման երկու ստանդարտների բնույթով եւ պատրաստման մեթոդով, այլ նաեւ չափվող ֆիզիկական մեծության ընտրությամբ: Լուծման էնթալպիան չափվում է իզոպերիբոլիկ կալորիաչափի (մշտական թաղանթ, այսինքն` շապիկը) կամ իզոթերմիկ կալորիաչափի (մշտական ջերմություն) օգնությամբ: Որպես կանոն, անցկացնում են յուրաքանչյուր նմուշի համար 3-ից ոչ պակաս չափում, հետո հաշվարկում են այդ մեծությունների միջին արժեքը: Պահանջները պայմանավորված են սարքավորման հնարավորություններով եւ ճշգրտության անհրաժեշտ աստիճանով:</w:t>
      </w:r>
    </w:p>
    <w:p w14:paraId="4793EF73" w14:textId="77777777" w:rsidR="004A7CC9" w:rsidRPr="00D35F34" w:rsidRDefault="004A7CC9" w:rsidP="004A7CC9">
      <w:pPr>
        <w:pStyle w:val="Bodytext20"/>
        <w:shd w:val="clear" w:color="auto" w:fill="auto"/>
        <w:spacing w:before="0" w:after="160" w:line="346" w:lineRule="auto"/>
        <w:ind w:firstLine="567"/>
        <w:jc w:val="both"/>
        <w:rPr>
          <w:rFonts w:ascii="Sylfaen" w:hAnsi="Sylfaen"/>
          <w:sz w:val="24"/>
          <w:szCs w:val="24"/>
        </w:rPr>
      </w:pPr>
    </w:p>
    <w:p w14:paraId="1155D86F" w14:textId="77777777" w:rsidR="00B834A2" w:rsidRPr="00B834A2" w:rsidRDefault="00B834A2" w:rsidP="004A7CC9">
      <w:pPr>
        <w:pStyle w:val="Bodytext20"/>
        <w:shd w:val="clear" w:color="auto" w:fill="auto"/>
        <w:spacing w:before="0" w:after="160" w:line="346" w:lineRule="auto"/>
        <w:ind w:firstLine="567"/>
        <w:jc w:val="both"/>
        <w:rPr>
          <w:rFonts w:ascii="Sylfaen" w:hAnsi="Sylfaen" w:cs="Sylfaen"/>
          <w:sz w:val="24"/>
          <w:szCs w:val="24"/>
        </w:rPr>
      </w:pPr>
      <w:r w:rsidRPr="00B834A2">
        <w:rPr>
          <w:rFonts w:ascii="Sylfaen" w:hAnsi="Sylfaen"/>
          <w:sz w:val="24"/>
          <w:szCs w:val="24"/>
        </w:rPr>
        <w:t>ԼՈՒԾՄԱՆ ԻԶՈՊԵՐԻԲՈԼԻԿ ԿԱԼՈՐԻԱՉԱՓՈՒԹՅՈՒՆԸ</w:t>
      </w:r>
    </w:p>
    <w:p w14:paraId="255CE302" w14:textId="77777777" w:rsidR="00B834A2" w:rsidRPr="006C4C19" w:rsidRDefault="00B834A2" w:rsidP="004A7CC9">
      <w:pPr>
        <w:pStyle w:val="Bodytext20"/>
        <w:shd w:val="clear" w:color="auto" w:fill="auto"/>
        <w:spacing w:before="0" w:after="160" w:line="346" w:lineRule="auto"/>
        <w:ind w:firstLine="567"/>
        <w:jc w:val="both"/>
        <w:rPr>
          <w:rFonts w:ascii="Sylfaen" w:hAnsi="Sylfaen" w:cs="Sylfaen"/>
          <w:i/>
          <w:sz w:val="24"/>
          <w:szCs w:val="24"/>
        </w:rPr>
      </w:pPr>
      <w:r w:rsidRPr="006C4C19">
        <w:rPr>
          <w:rStyle w:val="Bodytext31Sylfaen9"/>
          <w:i w:val="0"/>
          <w:sz w:val="24"/>
          <w:szCs w:val="24"/>
        </w:rPr>
        <w:t xml:space="preserve">Լուծման ընթացքում իզոպերիբոլիկ կալորիաչափում ջերմափոխանակումը լուծիչ-լուծված նյութ (այսինքն՝ լուծույթ) համակարգում առաջացնում է ջերմաստիճանի համապատասխան փոփոխություն: Ջերմաստիճանի տվյալ փոփոխությունը չափվում է էլեկտրական շղթայում ներառված ջերմաստիճանային տվիչով, որը գրի է առնում ջերմաստիճանի փոփոխությանը համապատասխանող </w:t>
      </w:r>
      <w:r w:rsidRPr="006C4C19">
        <w:rPr>
          <w:rStyle w:val="Bodytext31Sylfaen9"/>
          <w:i w:val="0"/>
          <w:sz w:val="24"/>
          <w:szCs w:val="24"/>
        </w:rPr>
        <w:lastRenderedPageBreak/>
        <w:t>էլեկտրական ազդանշանը: Որպես կանոն, ջերմաստիճանի՝ էլեկտրոնային ձեւով ներկայացվող տվյալ փոփոխությունը չափվում է ժամանակի ճշգրիտ որոշված</w:t>
      </w:r>
      <w:r w:rsidRPr="00B834A2">
        <w:rPr>
          <w:rStyle w:val="Bodytext31Sylfaen9"/>
          <w:sz w:val="24"/>
          <w:szCs w:val="24"/>
        </w:rPr>
        <w:t xml:space="preserve"> </w:t>
      </w:r>
      <w:r w:rsidRPr="006C4C19">
        <w:rPr>
          <w:rStyle w:val="Bodytext31Sylfaen9"/>
          <w:i w:val="0"/>
          <w:sz w:val="24"/>
          <w:szCs w:val="24"/>
        </w:rPr>
        <w:t>միջակայքերի միջոցով՝ ջերմաստիճան-ժամանակ տվյալները ստանալու համար, որոնք գրանցվում, վերլուծվում են համակարգչի միջոցով եւ այնուհետեւ արտացոլվում են գրաֆիկորեն: Առանց լուծիչին պինդ նյութի լուծույթ ավելացնելու ստուգիչ փորձը սովորաբար ցույց է տալիս ջերմաստիճան-ժամանակ կախվածության գրաֆիկի թեքության նկատելի փոփոխություն:</w:t>
      </w:r>
    </w:p>
    <w:p w14:paraId="777D7E8B" w14:textId="77777777" w:rsidR="00B834A2" w:rsidRPr="006C4C19" w:rsidRDefault="00B834A2" w:rsidP="006C4C19">
      <w:pPr>
        <w:pStyle w:val="Bodytext20"/>
        <w:shd w:val="clear" w:color="auto" w:fill="auto"/>
        <w:spacing w:before="0" w:after="160" w:line="360" w:lineRule="auto"/>
        <w:ind w:firstLine="567"/>
        <w:jc w:val="both"/>
        <w:rPr>
          <w:rFonts w:ascii="Sylfaen" w:hAnsi="Sylfaen" w:cs="Sylfaen"/>
          <w:i/>
          <w:sz w:val="24"/>
          <w:szCs w:val="24"/>
        </w:rPr>
      </w:pPr>
      <w:r w:rsidRPr="006C4C19">
        <w:rPr>
          <w:rStyle w:val="Bodytext31Sylfaen9"/>
          <w:i w:val="0"/>
          <w:sz w:val="24"/>
          <w:szCs w:val="24"/>
        </w:rPr>
        <w:t>Իզոպերիբոլիկ կալորիաչափերի համար պատասխանը բավականին արագ է, սակայն պետք է ներմուծվեն բաղնիքի վրա ջերմության ցանկացած կորստի կամ դրանից ջերմություն ստանալուն արվող ճշտումները: Հետեւաբար, եթե լուծման գործընթացը համեմատաբար արագ է, ապա իզոպերիբոլիկ կալորիաչափերը իզոթերմիկ կալորիաչափերի նկատմամբ ունեն առավելություններ: Իզոպերիբոլիկ կալորիաչափերի օգտագործմամբ լուծման էնթալպիան չափելու համար կարեւոր է համարվում լուծիչի ընտրությունը: Լուծիչի բնույթը, զանգվածը եւ փորձարկվող նմուշի զանգվածը պետք է լինեն այնպես, որ պինդ նյութի ամբողջական լուծման համար ջերմափոխանակման պրոցեսը ավարտվի 5 րոպեի ընթացքում՝ (400 - 600) ծավ/ր միջակայքի ընթացքում գտնվող՝ պտույտի մշտական արագությամբ ինտենսիվ խառնելու դեպքում:</w:t>
      </w:r>
    </w:p>
    <w:p w14:paraId="246C8AE4" w14:textId="77777777" w:rsidR="00B834A2" w:rsidRPr="006C4C19" w:rsidRDefault="00B834A2" w:rsidP="006C4C19">
      <w:pPr>
        <w:pStyle w:val="Bodytext20"/>
        <w:shd w:val="clear" w:color="auto" w:fill="auto"/>
        <w:spacing w:before="0" w:after="160" w:line="360" w:lineRule="auto"/>
        <w:ind w:firstLine="567"/>
        <w:jc w:val="both"/>
        <w:rPr>
          <w:rFonts w:ascii="Sylfaen" w:hAnsi="Sylfaen" w:cs="Sylfaen"/>
          <w:i/>
          <w:sz w:val="24"/>
          <w:szCs w:val="24"/>
        </w:rPr>
      </w:pPr>
      <w:r w:rsidRPr="006C4C19">
        <w:rPr>
          <w:rStyle w:val="Bodytext31Sylfaen9"/>
          <w:i w:val="0"/>
          <w:sz w:val="24"/>
          <w:szCs w:val="24"/>
        </w:rPr>
        <w:t>Կալորիաչափական խորշի եւ դրա պարունակության էֆեկտիվ ջերմունակությունը որոշվում է յուրաքանչյուր կալորիաչափական փոփոխության</w:t>
      </w:r>
      <w:r w:rsidRPr="00B834A2">
        <w:rPr>
          <w:rStyle w:val="Bodytext31Sylfaen9"/>
          <w:sz w:val="24"/>
          <w:szCs w:val="24"/>
        </w:rPr>
        <w:t xml:space="preserve"> </w:t>
      </w:r>
      <w:r w:rsidRPr="006C4C19">
        <w:rPr>
          <w:rStyle w:val="Bodytext31Sylfaen9"/>
          <w:i w:val="0"/>
          <w:sz w:val="24"/>
          <w:szCs w:val="24"/>
        </w:rPr>
        <w:t>համար: Այդ որոշումն ուղեկցվում է կալորիաչափական խորշի պարունակության էլեկտրական տաքացմամբ: Էֆեկտիվ ջերմունակությունը որոշվում է գործողությունների երկու հաջորդականություններից մեկին համապատասխան՝ առաջին որոշման կատարում՝ ամպուլան կոտրելուց հետո կամ առաջին որոշման կատարում՝ նախքան ամպուլան կոտրելուց, երկրորդ որոշման կատարում՝ ամպուլան կոտրելուց հետո եւ այնուհետեւ՝ երկու արդյունքների միջինացում: Էլեկտրական տաքացման ճշգրտությունը եւ հուսալիությունը սահմանվում են վերոնշյալ քիմիական ստուգաճշտումների ճշգրտության եւ հուսալիության հիման վրա:</w:t>
      </w:r>
    </w:p>
    <w:p w14:paraId="731911FC" w14:textId="77777777" w:rsidR="00B834A2" w:rsidRPr="00B834A2" w:rsidRDefault="00B834A2" w:rsidP="006C4C1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ԼՈՒԾՄԱՆ ԻԶՈԹԵՐՄԻԿ ԿԱԼՈՐԻԱՉԱՓՈՒԹՅՈՒՆԸ</w:t>
      </w:r>
    </w:p>
    <w:p w14:paraId="23D3E37D" w14:textId="77777777" w:rsidR="00B834A2" w:rsidRPr="006C4C19" w:rsidRDefault="00B834A2" w:rsidP="006C4C19">
      <w:pPr>
        <w:pStyle w:val="Bodytext20"/>
        <w:shd w:val="clear" w:color="auto" w:fill="auto"/>
        <w:spacing w:before="0" w:after="160" w:line="360" w:lineRule="auto"/>
        <w:ind w:firstLine="567"/>
        <w:jc w:val="both"/>
        <w:rPr>
          <w:rFonts w:ascii="Sylfaen" w:hAnsi="Sylfaen" w:cs="Sylfaen"/>
          <w:spacing w:val="-4"/>
          <w:sz w:val="24"/>
          <w:szCs w:val="24"/>
        </w:rPr>
      </w:pPr>
      <w:r w:rsidRPr="006C4C19">
        <w:rPr>
          <w:rStyle w:val="Bodytext31Sylfaen9"/>
          <w:i w:val="0"/>
          <w:sz w:val="24"/>
          <w:szCs w:val="24"/>
        </w:rPr>
        <w:t xml:space="preserve">Իզոթերմիկ (մշտական ջերմաստիճան) կալորիաչափում լուծման պրոցեսի ընթացքում ջերմության փոփոխությունը կոմպենսացվում է հավասար, բայց էներգիայի հակառակ փոփոխմամբ այնպես, որ լուծիչ-լուծված նյութ (այսինքն՝ </w:t>
      </w:r>
      <w:r w:rsidRPr="006C4C19">
        <w:rPr>
          <w:rStyle w:val="Bodytext31Sylfaen9"/>
          <w:i w:val="0"/>
          <w:spacing w:val="-4"/>
          <w:sz w:val="24"/>
          <w:szCs w:val="24"/>
        </w:rPr>
        <w:t>լուծույթ) համակարգի ջերմաստիճանը մնա առավելապես հաստատուն։ Չափվում է հավասար</w:t>
      </w:r>
      <w:r w:rsidRPr="006C4C19">
        <w:rPr>
          <w:rStyle w:val="Bodytext31Sylfaen9"/>
          <w:i w:val="0"/>
          <w:sz w:val="24"/>
          <w:szCs w:val="24"/>
        </w:rPr>
        <w:t xml:space="preserve">, սակայն էներգիայի հակառակ փոփոխություն, որը հակադարձ նշանի փոփոխման դեպքում պայմանավորում է լուծման էնթալպիան։ Իզոթերմիկ կալորիաչափերի համար պատասխանը համեմատաբար դանդաղ է, սակայն կոմպենսացիոն պրոցեսը նվազեցնում է բաղնիքի վրա ջերմության կորստի կամ դրանից ջերմություն ստանալու վրա էֆեկտները։ Հետեւաբար իզոթերմիկ կալորիաչափերը իզոպերիպոլիկ կալորիաչափերի նկատմամբ ունեն </w:t>
      </w:r>
      <w:r w:rsidRPr="006C4C19">
        <w:rPr>
          <w:rStyle w:val="Bodytext31Sylfaen9"/>
          <w:i w:val="0"/>
          <w:spacing w:val="-4"/>
          <w:sz w:val="24"/>
          <w:szCs w:val="24"/>
        </w:rPr>
        <w:t>առավելություններ այն դեպքում, երբ լուծման պրոցեսը համեմատաբար դանդաղ</w:t>
      </w:r>
      <w:r w:rsidRPr="006C4C19">
        <w:rPr>
          <w:rStyle w:val="Bodytext31Sylfaen9"/>
          <w:spacing w:val="-4"/>
          <w:sz w:val="24"/>
          <w:szCs w:val="24"/>
        </w:rPr>
        <w:t xml:space="preserve"> է:</w:t>
      </w:r>
    </w:p>
    <w:p w14:paraId="12CAFE77" w14:textId="77777777" w:rsidR="004A7CC9" w:rsidRPr="00D35F34" w:rsidRDefault="004A7CC9" w:rsidP="006C4C19">
      <w:pPr>
        <w:pStyle w:val="Bodytext20"/>
        <w:shd w:val="clear" w:color="auto" w:fill="auto"/>
        <w:spacing w:before="0" w:after="160" w:line="360" w:lineRule="auto"/>
        <w:ind w:firstLine="567"/>
        <w:jc w:val="both"/>
        <w:rPr>
          <w:rFonts w:ascii="Sylfaen" w:hAnsi="Sylfaen"/>
          <w:sz w:val="24"/>
          <w:szCs w:val="24"/>
        </w:rPr>
      </w:pPr>
    </w:p>
    <w:p w14:paraId="1090DCB9" w14:textId="77777777" w:rsidR="00B834A2" w:rsidRPr="00B834A2" w:rsidRDefault="00B834A2" w:rsidP="006C4C1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ԼՈՒԾՄԱՆ ԿԱԼՈՐԻԱՉԱՓԵՐԻ ՍՏՈՒԳԱՃՇՏՈՒՄԸ</w:t>
      </w:r>
    </w:p>
    <w:p w14:paraId="20704F3E" w14:textId="77777777" w:rsidR="00B834A2" w:rsidRPr="00832CCE" w:rsidRDefault="00B834A2" w:rsidP="004A7CC9">
      <w:pPr>
        <w:spacing w:after="160" w:line="360" w:lineRule="auto"/>
        <w:ind w:firstLine="567"/>
        <w:jc w:val="both"/>
        <w:rPr>
          <w:rStyle w:val="Bodytext31Sylfaen9"/>
          <w:i w:val="0"/>
          <w:sz w:val="24"/>
          <w:szCs w:val="24"/>
        </w:rPr>
      </w:pPr>
      <w:r w:rsidRPr="006C4C19">
        <w:rPr>
          <w:rStyle w:val="Bodytext31Sylfaen9"/>
          <w:i w:val="0"/>
          <w:sz w:val="24"/>
          <w:szCs w:val="24"/>
        </w:rPr>
        <w:t>Կալորիաչափի ճշգրտությունն ապահովելու համար քիմիական ստուգաճշտումները պետք է կատարվեն մշտական հիմքով։ Լուծման պրոցեսի ջերմակլանիչ պրոցեսի համար կալորիաչափի ստուգաճշտումը կատարվում է այն ջերմությունը չափելու միջոցով, որը կլանվել է 298,15 К (25,0 °С) ջերմաստիճանի պայմաններում թորած ջրում կալիումի քլորիդի լուծման պրոցեսի ընթացքում։ Էնթալպիայի սահմանված փոփոխությունը տվյալ ջերմակլանիչ պրոցեսում հավասար է 235,5 Ջ/գ (17,56 կՋ/մոլ)-ի։</w:t>
      </w:r>
      <w:r w:rsidRPr="00B834A2">
        <w:rPr>
          <w:rStyle w:val="Bodytext31Sylfaen9"/>
          <w:sz w:val="24"/>
          <w:szCs w:val="24"/>
        </w:rPr>
        <w:t xml:space="preserve"> </w:t>
      </w:r>
      <w:r w:rsidRPr="00B834A2">
        <w:t>Լուծման ջերմանջատիչ պրոցեսի համար կալորիաչափի ստուգումն իրականացվում է այն ջերմության չափման միջոցով, որն անջատվել է 5 գ/լ տրոմետամինը (տրիս(հիդրօքսիմեթիլ)ամինոմեթանը) 0,1 մոլ/լ ջրային քլորաջրածնային լուծույթում 298,15 К (25,0 °С) ջերմաստիճանի պայմաններում լուծելու ընթացքում։</w:t>
      </w:r>
      <w:r w:rsidRPr="00B834A2">
        <w:rPr>
          <w:rStyle w:val="Bodytext31Sylfaen9"/>
          <w:sz w:val="24"/>
          <w:szCs w:val="24"/>
        </w:rPr>
        <w:t xml:space="preserve"> </w:t>
      </w:r>
      <w:r w:rsidRPr="00832CCE">
        <w:rPr>
          <w:rStyle w:val="Bodytext31Sylfaen9"/>
          <w:i w:val="0"/>
          <w:sz w:val="24"/>
          <w:szCs w:val="24"/>
        </w:rPr>
        <w:t>Վերոնշյալ պրոցեսի համար սահմանված ջերմաստիճանը հավասար է -246,0 Ջ/գ (-29,80 կՋ/մոլ)-ի։</w:t>
      </w:r>
    </w:p>
    <w:p w14:paraId="0F9CD38B" w14:textId="77777777" w:rsidR="004A7CC9" w:rsidRPr="00D35F34" w:rsidRDefault="004A7CC9" w:rsidP="00832CCE">
      <w:pPr>
        <w:pStyle w:val="Bodytext20"/>
        <w:shd w:val="clear" w:color="auto" w:fill="auto"/>
        <w:spacing w:before="0" w:after="160" w:line="360" w:lineRule="auto"/>
        <w:ind w:firstLine="567"/>
        <w:jc w:val="both"/>
        <w:rPr>
          <w:rStyle w:val="Bodytext2Italic"/>
          <w:sz w:val="24"/>
          <w:szCs w:val="24"/>
        </w:rPr>
      </w:pPr>
    </w:p>
    <w:p w14:paraId="0E6C430E" w14:textId="77777777" w:rsidR="00B834A2" w:rsidRPr="00B834A2" w:rsidRDefault="00B834A2" w:rsidP="00832CC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lastRenderedPageBreak/>
        <w:t>ԱՇԽԱՏԱՆՔԸ ՆՄՈՒՇՆԵՐԻ ՀԵՏ</w:t>
      </w:r>
    </w:p>
    <w:p w14:paraId="6A553578" w14:textId="77777777" w:rsidR="00B834A2" w:rsidRPr="00832CCE" w:rsidRDefault="00B834A2" w:rsidP="00832CCE">
      <w:pPr>
        <w:pStyle w:val="Bodytext20"/>
        <w:shd w:val="clear" w:color="auto" w:fill="auto"/>
        <w:spacing w:before="0" w:after="160" w:line="360" w:lineRule="auto"/>
        <w:ind w:firstLine="567"/>
        <w:jc w:val="both"/>
        <w:rPr>
          <w:rFonts w:ascii="Sylfaen" w:hAnsi="Sylfaen" w:cs="Sylfaen"/>
          <w:sz w:val="24"/>
          <w:szCs w:val="24"/>
        </w:rPr>
      </w:pPr>
      <w:r w:rsidRPr="00832CCE">
        <w:rPr>
          <w:rStyle w:val="Bodytext31Sylfaen9"/>
          <w:i w:val="0"/>
          <w:sz w:val="24"/>
          <w:szCs w:val="24"/>
        </w:rPr>
        <w:t>Պինդ նյութերի քիմիական եւ ֆիզիկական կայունությունը կարող է նվազել բյուրեղայնության նվազեցմամբ։ Մասնավորապես ցածր բյուրեղայնության պինդ նյութերը, հատկապես ամորֆ պինդ նյութերը, ձգտում են մթնոլորտից կլանել ջրի գոլորշիները՝ հանգեցնելով բյուրեղայնացման եւ բյուրեղայնության համապատասխան մեծացման։ Որպես կանոն, փորձարկվող նմուշները, որոնք ջուր չեն պարունակում (անջուր են), նախքան բյուրեղայնության որոշումն անցկացնելը պետք է պահպանվեն զրոյական խոնավության կամ կրիտիկական սահմանից ցածր խոնավության արժեքների պայմաններում՝ հերմետիկ խցիկներում, որոնք պարունակում են խոնավության կլանիչ եւ ցանկալի է՝ էֆեկտիվության ինդիկատոր։ Բյուրեղայնություն-խոնավություն հետազոտությունն անցկացնելու դեպքում փորձարկվող նմուշը պետք պահպանվի հերմետիկ խցիկում, որը պարունակում է աղի հագեցված լուծույթ՝ որոշակի խոնավություն ապահովելու համար։</w:t>
      </w:r>
    </w:p>
    <w:p w14:paraId="61F11E13" w14:textId="77777777" w:rsidR="00B834A2" w:rsidRPr="00832CCE" w:rsidRDefault="00B834A2" w:rsidP="00B834A2">
      <w:pPr>
        <w:pStyle w:val="Bodytext20"/>
        <w:shd w:val="clear" w:color="auto" w:fill="auto"/>
        <w:spacing w:before="0" w:after="160" w:line="360" w:lineRule="auto"/>
        <w:jc w:val="right"/>
        <w:rPr>
          <w:rStyle w:val="Bodytext29pt"/>
          <w:sz w:val="24"/>
          <w:szCs w:val="24"/>
        </w:rPr>
      </w:pPr>
    </w:p>
    <w:p w14:paraId="7A1BA4CD" w14:textId="77777777" w:rsidR="00B834A2" w:rsidRPr="00832CCE" w:rsidRDefault="00B834A2" w:rsidP="00B834A2">
      <w:pPr>
        <w:pStyle w:val="Bodytext20"/>
        <w:shd w:val="clear" w:color="auto" w:fill="auto"/>
        <w:spacing w:before="0" w:after="160" w:line="360" w:lineRule="auto"/>
        <w:jc w:val="right"/>
        <w:rPr>
          <w:rStyle w:val="Bodytext29pt"/>
          <w:b/>
          <w:sz w:val="20"/>
          <w:szCs w:val="24"/>
        </w:rPr>
      </w:pPr>
      <w:r w:rsidRPr="00832CCE">
        <w:rPr>
          <w:rStyle w:val="Bodytext29pt"/>
          <w:b/>
          <w:sz w:val="20"/>
          <w:szCs w:val="24"/>
        </w:rPr>
        <w:t>201100007-2022</w:t>
      </w:r>
    </w:p>
    <w:p w14:paraId="118E4DE1" w14:textId="77777777" w:rsidR="00832CCE" w:rsidRPr="00832CCE" w:rsidRDefault="00832CCE" w:rsidP="00B834A2">
      <w:pPr>
        <w:pStyle w:val="Bodytext20"/>
        <w:shd w:val="clear" w:color="auto" w:fill="auto"/>
        <w:spacing w:before="0" w:after="160" w:line="360" w:lineRule="auto"/>
        <w:jc w:val="right"/>
        <w:rPr>
          <w:rFonts w:ascii="Sylfaen" w:hAnsi="Sylfaen" w:cs="Sylfaen"/>
          <w:b/>
          <w:sz w:val="20"/>
          <w:szCs w:val="24"/>
        </w:rPr>
      </w:pPr>
    </w:p>
    <w:p w14:paraId="1B4E5887" w14:textId="77777777" w:rsidR="00B834A2" w:rsidRPr="00832CCE" w:rsidRDefault="00B834A2" w:rsidP="006035D0">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832CCE">
        <w:rPr>
          <w:rStyle w:val="Bodytext29pt"/>
          <w:b/>
          <w:sz w:val="24"/>
          <w:szCs w:val="24"/>
        </w:rPr>
        <w:t>2.1.10.7.</w:t>
      </w:r>
      <w:r w:rsidR="00832CCE">
        <w:rPr>
          <w:rStyle w:val="Bodytext29pt"/>
          <w:b/>
          <w:sz w:val="24"/>
          <w:szCs w:val="24"/>
        </w:rPr>
        <w:tab/>
      </w:r>
      <w:r w:rsidRPr="00832CCE">
        <w:rPr>
          <w:rStyle w:val="Bodytext29pt"/>
          <w:b/>
          <w:sz w:val="24"/>
          <w:szCs w:val="24"/>
        </w:rPr>
        <w:t>Թվացյալ լուծումը</w:t>
      </w:r>
    </w:p>
    <w:p w14:paraId="27A6F7D4" w14:textId="77777777" w:rsidR="00B834A2" w:rsidRPr="00B834A2" w:rsidRDefault="00B834A2" w:rsidP="00832CCE">
      <w:pPr>
        <w:pStyle w:val="Bodytext20"/>
        <w:shd w:val="clear" w:color="auto" w:fill="auto"/>
        <w:spacing w:before="0" w:after="160" w:line="360" w:lineRule="auto"/>
        <w:ind w:firstLine="567"/>
        <w:jc w:val="both"/>
        <w:rPr>
          <w:rFonts w:ascii="Sylfaen" w:hAnsi="Sylfaen" w:cs="Sylfaen"/>
          <w:sz w:val="24"/>
          <w:szCs w:val="24"/>
        </w:rPr>
      </w:pPr>
      <w:r w:rsidRPr="00832CCE">
        <w:rPr>
          <w:rStyle w:val="Bodytext31Sylfaen9"/>
          <w:i w:val="0"/>
          <w:sz w:val="24"/>
          <w:szCs w:val="24"/>
        </w:rPr>
        <w:t>Տվյալ մեթոդն օգտագործվում է պինդ նյութերի, այդ թվում՝ փոշիների կամ գրանուլների ձեւով դեղապատրաստուկներում ազդող նյութերի թվացյալ (դիտարկվող) լուծման արագությունը որոշելու համար։ Թվացյալ լուծման արագության որոշումը կիրառվում է մասնավորապես դեղաձեւերի դեղագործական մշակման համար, քանի որ թույլ է տալիս կանխատեսել կենսահասանելիության պոտենցիալ խնդիրները՝ հաշվի առնելով դեղապատրաստուկների</w:t>
      </w:r>
      <w:r w:rsidRPr="00B834A2">
        <w:rPr>
          <w:rStyle w:val="Bodytext31Sylfaen9"/>
          <w:sz w:val="24"/>
          <w:szCs w:val="24"/>
        </w:rPr>
        <w:t xml:space="preserve"> </w:t>
      </w:r>
      <w:r w:rsidRPr="00832CCE">
        <w:rPr>
          <w:rStyle w:val="Bodytext31Sylfaen9"/>
          <w:i w:val="0"/>
          <w:sz w:val="24"/>
          <w:szCs w:val="24"/>
        </w:rPr>
        <w:t>ընտրված բաղադրամասերը</w:t>
      </w:r>
      <w:r w:rsidRPr="00B834A2">
        <w:rPr>
          <w:rStyle w:val="Bodytext31Sylfaen9"/>
          <w:sz w:val="24"/>
          <w:szCs w:val="24"/>
        </w:rPr>
        <w:t>։</w:t>
      </w:r>
    </w:p>
    <w:p w14:paraId="4B7E501D" w14:textId="77777777" w:rsidR="004A7CC9" w:rsidRPr="00D35F34" w:rsidRDefault="004A7CC9" w:rsidP="00832CCE">
      <w:pPr>
        <w:pStyle w:val="Bodytext20"/>
        <w:shd w:val="clear" w:color="auto" w:fill="auto"/>
        <w:spacing w:before="0" w:after="160" w:line="360" w:lineRule="auto"/>
        <w:ind w:firstLine="567"/>
        <w:jc w:val="both"/>
        <w:rPr>
          <w:rStyle w:val="Bodytext2Italic"/>
          <w:sz w:val="24"/>
          <w:szCs w:val="24"/>
        </w:rPr>
      </w:pPr>
    </w:p>
    <w:p w14:paraId="47D4490B" w14:textId="77777777" w:rsidR="004A7CC9" w:rsidRPr="00D35F34" w:rsidRDefault="004A7CC9">
      <w:pPr>
        <w:rPr>
          <w:rStyle w:val="Bodytext2Italic"/>
          <w:sz w:val="24"/>
          <w:szCs w:val="24"/>
        </w:rPr>
      </w:pPr>
      <w:r w:rsidRPr="00D35F34">
        <w:rPr>
          <w:rStyle w:val="Bodytext2Italic"/>
          <w:sz w:val="24"/>
          <w:szCs w:val="24"/>
        </w:rPr>
        <w:br w:type="page"/>
      </w:r>
    </w:p>
    <w:p w14:paraId="3603030A" w14:textId="77777777" w:rsidR="00B834A2" w:rsidRPr="00B834A2" w:rsidRDefault="00B834A2" w:rsidP="00832CC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lastRenderedPageBreak/>
        <w:t>ՍԱՐՔԸ</w:t>
      </w:r>
    </w:p>
    <w:p w14:paraId="2C985A85" w14:textId="77777777" w:rsidR="00B834A2" w:rsidRPr="00832CCE" w:rsidRDefault="00B834A2" w:rsidP="004A7CC9">
      <w:pPr>
        <w:pStyle w:val="Bodytext20"/>
        <w:shd w:val="clear" w:color="auto" w:fill="auto"/>
        <w:spacing w:before="0" w:after="160" w:line="360" w:lineRule="auto"/>
        <w:ind w:firstLine="567"/>
        <w:jc w:val="both"/>
        <w:rPr>
          <w:rFonts w:ascii="Sylfaen" w:hAnsi="Sylfaen" w:cs="Sylfaen"/>
          <w:i/>
          <w:sz w:val="24"/>
          <w:szCs w:val="24"/>
        </w:rPr>
      </w:pPr>
      <w:r w:rsidRPr="00832CCE">
        <w:rPr>
          <w:rStyle w:val="Bodytext31Sylfaen9"/>
          <w:i w:val="0"/>
          <w:sz w:val="24"/>
          <w:szCs w:val="24"/>
        </w:rPr>
        <w:t>Սարքի բոլոր այն մասերը, որոնք կարող են շփվել նմուշի լուծման միջավայրի հետ, պետք է քիմիապես իներտ լինեն եւ չպետք է մակակլանեն, ռեակցիայի մեջ մտնեն կամ որեւէ այլ եղանակով ազդեն փորձարկվող նմուշի վրա։ Չպետք է լինի ոչ մի ակնհայտ շարժում, տատանում կամ թրթռում, որոնք ծագում են սարքի մասերից կամ շրջակա միջավայրից՝ բացի նրանցից, որոնք ստեղծվում են հոսանուտ համակարգով։</w:t>
      </w:r>
    </w:p>
    <w:p w14:paraId="6BD56985" w14:textId="77777777" w:rsidR="00B834A2" w:rsidRPr="00832CCE" w:rsidRDefault="00B834A2" w:rsidP="004A7CC9">
      <w:pPr>
        <w:spacing w:after="160" w:line="360" w:lineRule="auto"/>
        <w:ind w:firstLine="567"/>
        <w:jc w:val="both"/>
        <w:rPr>
          <w:rStyle w:val="Bodytext31Sylfaen9"/>
          <w:i w:val="0"/>
          <w:sz w:val="24"/>
          <w:szCs w:val="24"/>
        </w:rPr>
      </w:pPr>
      <w:r w:rsidRPr="00832CCE">
        <w:rPr>
          <w:rStyle w:val="Bodytext31Sylfaen9"/>
          <w:i w:val="0"/>
          <w:sz w:val="24"/>
          <w:szCs w:val="24"/>
        </w:rPr>
        <w:t>Ցանկալի է օգտագործել փորձարկվող նմուշի նկատմամբ հետեւել թույլ տվող սարք։</w:t>
      </w:r>
    </w:p>
    <w:p w14:paraId="753DFEE9" w14:textId="77777777" w:rsidR="00B834A2" w:rsidRPr="00B834A2" w:rsidRDefault="00000000" w:rsidP="004A7CC9">
      <w:pPr>
        <w:spacing w:after="160" w:line="360" w:lineRule="auto"/>
      </w:pPr>
      <w:r>
        <w:rPr>
          <w:noProof/>
        </w:rPr>
        <w:pict w14:anchorId="288070EC">
          <v:group id="_x0000_s1254" style="position:absolute;margin-left:20.6pt;margin-top:113.7pt;width:174pt;height:30pt;z-index:251699200" coordorigin="1830,13815" coordsize="3480,600">
            <v:rect id="_x0000_s1255" style="position:absolute;left:1830;top:13815;width:480;height:450" stroked="f">
              <v:textbox style="mso-next-textbox:#_x0000_s1255">
                <w:txbxContent>
                  <w:p w14:paraId="3F4ED209" w14:textId="77777777" w:rsidR="008D6E8B" w:rsidRPr="00165DE9" w:rsidRDefault="008D6E8B" w:rsidP="00B834A2">
                    <w:r>
                      <w:t>Ա</w:t>
                    </w:r>
                  </w:p>
                </w:txbxContent>
              </v:textbox>
            </v:rect>
            <v:rect id="_x0000_s1256" style="position:absolute;left:2595;top:13815;width:420;height:450" stroked="f">
              <v:textbox style="mso-next-textbox:#_x0000_s1256">
                <w:txbxContent>
                  <w:p w14:paraId="1FC3C0D2" w14:textId="77777777" w:rsidR="008D6E8B" w:rsidRPr="00165DE9" w:rsidRDefault="008D6E8B" w:rsidP="00B834A2">
                    <w:r>
                      <w:t>Բ</w:t>
                    </w:r>
                  </w:p>
                </w:txbxContent>
              </v:textbox>
            </v:rect>
            <v:rect id="_x0000_s1257" style="position:absolute;left:3585;top:13815;width:495;height:525" stroked="f">
              <v:textbox style="mso-next-textbox:#_x0000_s1257">
                <w:txbxContent>
                  <w:p w14:paraId="3E06B001" w14:textId="77777777" w:rsidR="008D6E8B" w:rsidRPr="00165DE9" w:rsidRDefault="008D6E8B" w:rsidP="00B834A2">
                    <w:r>
                      <w:t>Գ</w:t>
                    </w:r>
                  </w:p>
                </w:txbxContent>
              </v:textbox>
            </v:rect>
            <v:rect id="_x0000_s1258" style="position:absolute;left:4815;top:13890;width:495;height:525" stroked="f">
              <v:textbox style="mso-next-textbox:#_x0000_s1258">
                <w:txbxContent>
                  <w:p w14:paraId="508AA63A" w14:textId="77777777" w:rsidR="008D6E8B" w:rsidRPr="00165DE9" w:rsidRDefault="008D6E8B" w:rsidP="00B834A2">
                    <w:r>
                      <w:t>Դ</w:t>
                    </w:r>
                  </w:p>
                </w:txbxContent>
              </v:textbox>
            </v:rect>
          </v:group>
        </w:pict>
      </w:r>
      <w:r w:rsidR="00B834A2" w:rsidRPr="00B834A2">
        <w:rPr>
          <w:noProof/>
          <w:lang w:val="en-US" w:eastAsia="en-US" w:bidi="ar-SA"/>
        </w:rPr>
        <w:drawing>
          <wp:inline distT="0" distB="0" distL="0" distR="0" wp14:anchorId="6278C960" wp14:editId="4ED25831">
            <wp:extent cx="2886075" cy="1717675"/>
            <wp:effectExtent l="19050" t="0" r="9525" b="0"/>
            <wp:docPr id="229" name="Picture 1" descr="C:\Users\tatevik\Desktop\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evik\Desktop\media\image15.jpeg"/>
                    <pic:cNvPicPr>
                      <a:picLocks noChangeAspect="1" noChangeArrowheads="1"/>
                    </pic:cNvPicPr>
                  </pic:nvPicPr>
                  <pic:blipFill>
                    <a:blip r:embed="rId50" cstate="print"/>
                    <a:srcRect/>
                    <a:stretch>
                      <a:fillRect/>
                    </a:stretch>
                  </pic:blipFill>
                  <pic:spPr bwMode="auto">
                    <a:xfrm>
                      <a:off x="0" y="0"/>
                      <a:ext cx="2886075" cy="1717675"/>
                    </a:xfrm>
                    <a:prstGeom prst="rect">
                      <a:avLst/>
                    </a:prstGeom>
                    <a:noFill/>
                    <a:ln w="9525">
                      <a:noFill/>
                      <a:miter lim="800000"/>
                      <a:headEnd/>
                      <a:tailEnd/>
                    </a:ln>
                  </pic:spPr>
                </pic:pic>
              </a:graphicData>
            </a:graphic>
          </wp:inline>
        </w:drawing>
      </w:r>
    </w:p>
    <w:p w14:paraId="66692A8D" w14:textId="77777777" w:rsidR="00B834A2" w:rsidRPr="00A44E2F" w:rsidRDefault="00B834A2" w:rsidP="004A7CC9">
      <w:pPr>
        <w:pStyle w:val="Picturecaption0"/>
        <w:shd w:val="clear" w:color="auto" w:fill="auto"/>
        <w:spacing w:after="160" w:line="336" w:lineRule="auto"/>
        <w:ind w:firstLine="567"/>
        <w:rPr>
          <w:rFonts w:ascii="Sylfaen" w:hAnsi="Sylfaen"/>
          <w:sz w:val="20"/>
        </w:rPr>
      </w:pPr>
      <w:r w:rsidRPr="00A44E2F">
        <w:rPr>
          <w:rStyle w:val="Bodytext31Sylfaen9"/>
          <w:sz w:val="20"/>
          <w:szCs w:val="24"/>
        </w:rPr>
        <w:t xml:space="preserve">Նկար 2.1.10.7-1 </w:t>
      </w:r>
      <w:r w:rsidR="009217DE" w:rsidRPr="00A44E2F">
        <w:rPr>
          <w:rFonts w:ascii="Sylfaen" w:hAnsi="Sylfaen"/>
          <w:sz w:val="20"/>
        </w:rPr>
        <w:t>-</w:t>
      </w:r>
      <w:r w:rsidRPr="00A44E2F">
        <w:rPr>
          <w:rFonts w:ascii="Sylfaen" w:hAnsi="Sylfaen"/>
          <w:sz w:val="20"/>
        </w:rPr>
        <w:t xml:space="preserve"> Հոսանուտ սարքը</w:t>
      </w:r>
      <w:r w:rsidRPr="00A44E2F">
        <w:rPr>
          <w:rStyle w:val="Picturecaption10pt"/>
          <w:rFonts w:ascii="Sylfaen" w:eastAsia="Sylfaen" w:hAnsi="Sylfaen"/>
          <w:szCs w:val="24"/>
        </w:rPr>
        <w:t xml:space="preserve"> </w:t>
      </w:r>
      <w:r w:rsidRPr="00A44E2F">
        <w:rPr>
          <w:rFonts w:ascii="Sylfaen" w:hAnsi="Sylfaen"/>
          <w:sz w:val="20"/>
        </w:rPr>
        <w:t>Ա՝ ռեզերվուար՝ լուծման միջավայրի համար,</w:t>
      </w:r>
      <w:r w:rsidRPr="00A44E2F">
        <w:rPr>
          <w:rStyle w:val="Picturecaption10pt"/>
          <w:rFonts w:ascii="Sylfaen" w:eastAsia="Sylfaen" w:hAnsi="Sylfaen"/>
          <w:szCs w:val="24"/>
        </w:rPr>
        <w:t xml:space="preserve"> </w:t>
      </w:r>
      <w:r w:rsidRPr="00A44E2F">
        <w:rPr>
          <w:rFonts w:ascii="Sylfaen" w:hAnsi="Sylfaen"/>
          <w:sz w:val="20"/>
        </w:rPr>
        <w:t>Բ՝ պոմպ,</w:t>
      </w:r>
      <w:r w:rsidRPr="00A44E2F">
        <w:rPr>
          <w:rStyle w:val="Picturecaption10pt"/>
          <w:rFonts w:ascii="Sylfaen" w:eastAsia="Sylfaen" w:hAnsi="Sylfaen"/>
          <w:szCs w:val="24"/>
        </w:rPr>
        <w:t xml:space="preserve"> </w:t>
      </w:r>
      <w:r w:rsidRPr="00A44E2F">
        <w:rPr>
          <w:rFonts w:ascii="Sylfaen" w:hAnsi="Sylfaen"/>
          <w:sz w:val="20"/>
        </w:rPr>
        <w:t>Գ՝ ջերմապահպանվող հոսանուտ խորշ եւ ֆիլտրերի համակարգ,</w:t>
      </w:r>
      <w:r w:rsidRPr="00A44E2F">
        <w:rPr>
          <w:rStyle w:val="Picturecaption10pt"/>
          <w:rFonts w:ascii="Sylfaen" w:eastAsia="Sylfaen" w:hAnsi="Sylfaen"/>
          <w:szCs w:val="24"/>
        </w:rPr>
        <w:t xml:space="preserve"> </w:t>
      </w:r>
      <w:r w:rsidRPr="00A44E2F">
        <w:rPr>
          <w:rFonts w:ascii="Sylfaen" w:hAnsi="Sylfaen"/>
          <w:sz w:val="20"/>
        </w:rPr>
        <w:t xml:space="preserve">Դ՝ հավաքիչ անոթներ՝ անալիզի ենթարկվող լուծույթների համար </w:t>
      </w:r>
    </w:p>
    <w:p w14:paraId="6B925171" w14:textId="77777777" w:rsidR="00A44E2F" w:rsidRPr="004A7CC9" w:rsidRDefault="00A44E2F" w:rsidP="004A7CC9">
      <w:pPr>
        <w:pStyle w:val="Picturecaption0"/>
        <w:shd w:val="clear" w:color="auto" w:fill="auto"/>
        <w:spacing w:line="240" w:lineRule="auto"/>
        <w:ind w:firstLine="567"/>
        <w:rPr>
          <w:rFonts w:ascii="Sylfaen" w:hAnsi="Sylfaen" w:cs="Sylfaen"/>
          <w:sz w:val="20"/>
        </w:rPr>
      </w:pPr>
    </w:p>
    <w:p w14:paraId="674B3D4E" w14:textId="77777777" w:rsidR="00B834A2" w:rsidRPr="00B834A2" w:rsidRDefault="00B834A2" w:rsidP="004A7CC9">
      <w:pPr>
        <w:pStyle w:val="Bodytext20"/>
        <w:shd w:val="clear" w:color="auto" w:fill="auto"/>
        <w:spacing w:before="0" w:after="160" w:line="336" w:lineRule="auto"/>
        <w:ind w:firstLine="567"/>
        <w:jc w:val="both"/>
        <w:rPr>
          <w:rFonts w:ascii="Sylfaen" w:hAnsi="Sylfaen" w:cs="Sylfaen"/>
          <w:sz w:val="24"/>
          <w:szCs w:val="24"/>
        </w:rPr>
      </w:pPr>
      <w:r w:rsidRPr="00B834A2">
        <w:rPr>
          <w:rStyle w:val="Bodytext31Sylfaen9"/>
          <w:sz w:val="24"/>
          <w:szCs w:val="24"/>
        </w:rPr>
        <w:t>Սարքը (նկար 2.1.10.7-1) բաղկացած է հետ</w:t>
      </w:r>
      <w:r>
        <w:rPr>
          <w:rStyle w:val="Bodytext31Sylfaen9"/>
          <w:sz w:val="24"/>
          <w:szCs w:val="24"/>
        </w:rPr>
        <w:t>եւ</w:t>
      </w:r>
      <w:r w:rsidRPr="00B834A2">
        <w:rPr>
          <w:rStyle w:val="Bodytext31Sylfaen9"/>
          <w:sz w:val="24"/>
          <w:szCs w:val="24"/>
        </w:rPr>
        <w:t>յալ մասերից.</w:t>
      </w:r>
    </w:p>
    <w:p w14:paraId="4C7BD0D9" w14:textId="77777777" w:rsidR="00B834A2" w:rsidRPr="00B834A2" w:rsidRDefault="009217DE" w:rsidP="004A7CC9">
      <w:pPr>
        <w:pStyle w:val="Bodytext20"/>
        <w:shd w:val="clear" w:color="auto" w:fill="auto"/>
        <w:tabs>
          <w:tab w:val="left" w:pos="1134"/>
        </w:tabs>
        <w:spacing w:before="0" w:after="160" w:line="336" w:lineRule="auto"/>
        <w:ind w:firstLine="567"/>
        <w:jc w:val="both"/>
        <w:rPr>
          <w:rFonts w:ascii="Sylfaen" w:hAnsi="Sylfaen" w:cs="Sylfaen"/>
          <w:sz w:val="24"/>
          <w:szCs w:val="24"/>
        </w:rPr>
      </w:pPr>
      <w:r>
        <w:rPr>
          <w:rFonts w:ascii="Sylfaen" w:hAnsi="Sylfaen"/>
          <w:sz w:val="24"/>
          <w:szCs w:val="24"/>
        </w:rPr>
        <w:t>-</w:t>
      </w:r>
      <w:r w:rsidR="00B603CA" w:rsidRPr="00DE4F37">
        <w:rPr>
          <w:rFonts w:ascii="Sylfaen" w:hAnsi="Sylfaen"/>
          <w:sz w:val="24"/>
          <w:szCs w:val="24"/>
        </w:rPr>
        <w:tab/>
      </w:r>
      <w:r w:rsidR="00B834A2" w:rsidRPr="00B834A2">
        <w:rPr>
          <w:rFonts w:ascii="Sylfaen" w:hAnsi="Sylfaen"/>
          <w:sz w:val="24"/>
          <w:szCs w:val="24"/>
        </w:rPr>
        <w:t>ռեզերվուար՝ լուծման միջավայրի համար (Ա),</w:t>
      </w:r>
    </w:p>
    <w:p w14:paraId="4507E3CE" w14:textId="77777777" w:rsidR="00B834A2" w:rsidRPr="00B834A2" w:rsidRDefault="009217DE" w:rsidP="004A7CC9">
      <w:pPr>
        <w:pStyle w:val="Bodytext20"/>
        <w:shd w:val="clear" w:color="auto" w:fill="auto"/>
        <w:tabs>
          <w:tab w:val="left" w:pos="1134"/>
        </w:tabs>
        <w:spacing w:before="0" w:after="160" w:line="336" w:lineRule="auto"/>
        <w:ind w:firstLine="567"/>
        <w:jc w:val="both"/>
        <w:rPr>
          <w:rFonts w:ascii="Sylfaen" w:hAnsi="Sylfaen" w:cs="Sylfaen"/>
          <w:sz w:val="24"/>
          <w:szCs w:val="24"/>
        </w:rPr>
      </w:pPr>
      <w:r>
        <w:rPr>
          <w:rFonts w:ascii="Sylfaen" w:hAnsi="Sylfaen"/>
          <w:sz w:val="24"/>
          <w:szCs w:val="24"/>
        </w:rPr>
        <w:t>-</w:t>
      </w:r>
      <w:r w:rsidR="00B603CA" w:rsidRPr="00DE4F37">
        <w:rPr>
          <w:rFonts w:ascii="Sylfaen" w:hAnsi="Sylfaen"/>
          <w:sz w:val="24"/>
          <w:szCs w:val="24"/>
        </w:rPr>
        <w:tab/>
      </w:r>
      <w:r w:rsidR="00B834A2" w:rsidRPr="00B834A2">
        <w:rPr>
          <w:rFonts w:ascii="Sylfaen" w:hAnsi="Sylfaen"/>
          <w:sz w:val="24"/>
          <w:szCs w:val="24"/>
        </w:rPr>
        <w:t>պոմպ՝ հոսանուտ խորշի միջով լուծման միջավայրը վերամղելու համար (Բ),</w:t>
      </w:r>
    </w:p>
    <w:p w14:paraId="5ABB40E8" w14:textId="77777777" w:rsidR="00B834A2" w:rsidRPr="00B834A2" w:rsidRDefault="009217DE" w:rsidP="004A7CC9">
      <w:pPr>
        <w:pStyle w:val="Bodytext20"/>
        <w:shd w:val="clear" w:color="auto" w:fill="auto"/>
        <w:tabs>
          <w:tab w:val="left" w:pos="1134"/>
        </w:tabs>
        <w:spacing w:before="0" w:after="160" w:line="336" w:lineRule="auto"/>
        <w:ind w:firstLine="567"/>
        <w:jc w:val="both"/>
        <w:rPr>
          <w:rFonts w:ascii="Sylfaen" w:hAnsi="Sylfaen" w:cs="Sylfaen"/>
          <w:sz w:val="24"/>
          <w:szCs w:val="24"/>
        </w:rPr>
      </w:pPr>
      <w:r>
        <w:rPr>
          <w:rFonts w:ascii="Sylfaen" w:hAnsi="Sylfaen"/>
          <w:sz w:val="24"/>
          <w:szCs w:val="24"/>
        </w:rPr>
        <w:t>-</w:t>
      </w:r>
      <w:r w:rsidR="00B603CA" w:rsidRPr="00DE4F37">
        <w:rPr>
          <w:rFonts w:ascii="Sylfaen" w:hAnsi="Sylfaen"/>
          <w:sz w:val="24"/>
          <w:szCs w:val="24"/>
        </w:rPr>
        <w:tab/>
      </w:r>
      <w:r w:rsidR="00B834A2" w:rsidRPr="00B834A2">
        <w:rPr>
          <w:rFonts w:ascii="Sylfaen" w:hAnsi="Sylfaen"/>
          <w:sz w:val="24"/>
          <w:szCs w:val="24"/>
        </w:rPr>
        <w:t>ջերմապահպանվող հոսանուտ խորշ թափանցիկ իներտ նյութից, որը տեղակայված է ուղղահայաց, չլուծված մասնիկներից հեռացումը կանխար</w:t>
      </w:r>
      <w:r w:rsidR="00525E98">
        <w:rPr>
          <w:rFonts w:ascii="Sylfaen" w:hAnsi="Sylfaen"/>
          <w:sz w:val="24"/>
          <w:szCs w:val="24"/>
        </w:rPr>
        <w:t>գելող ֆիլտրող համակարգով, (37±</w:t>
      </w:r>
      <w:r w:rsidR="00B834A2" w:rsidRPr="00B834A2">
        <w:rPr>
          <w:rFonts w:ascii="Sylfaen" w:hAnsi="Sylfaen"/>
          <w:sz w:val="24"/>
          <w:szCs w:val="24"/>
        </w:rPr>
        <w:t>0,5) °С ընդգրկույթում լուծման միջավայրի ընտրված ջերմաստիճանը պահպանող ջրային բաղնիքով (Գ).</w:t>
      </w:r>
    </w:p>
    <w:p w14:paraId="5CB5F3C6" w14:textId="77777777" w:rsidR="00B834A2" w:rsidRPr="00B834A2" w:rsidRDefault="00B834A2" w:rsidP="004A7CC9">
      <w:pPr>
        <w:pStyle w:val="Bodytext20"/>
        <w:shd w:val="clear" w:color="auto" w:fill="auto"/>
        <w:tabs>
          <w:tab w:val="left" w:pos="1134"/>
        </w:tabs>
        <w:spacing w:before="0" w:after="160" w:line="341" w:lineRule="auto"/>
        <w:ind w:firstLine="567"/>
        <w:jc w:val="both"/>
        <w:rPr>
          <w:rFonts w:ascii="Sylfaen" w:hAnsi="Sylfaen" w:cs="Sylfaen"/>
          <w:sz w:val="24"/>
          <w:szCs w:val="24"/>
        </w:rPr>
      </w:pPr>
      <w:r w:rsidRPr="00B834A2">
        <w:rPr>
          <w:rFonts w:ascii="Sylfaen" w:hAnsi="Sylfaen"/>
          <w:sz w:val="24"/>
          <w:szCs w:val="24"/>
        </w:rPr>
        <w:t>-</w:t>
      </w:r>
      <w:r w:rsidR="004A7CC9" w:rsidRPr="00D35F34">
        <w:rPr>
          <w:rFonts w:ascii="Sylfaen" w:hAnsi="Sylfaen"/>
          <w:sz w:val="24"/>
          <w:szCs w:val="24"/>
        </w:rPr>
        <w:tab/>
      </w:r>
      <w:r w:rsidRPr="00B834A2">
        <w:rPr>
          <w:rFonts w:ascii="Sylfaen" w:hAnsi="Sylfaen"/>
          <w:sz w:val="24"/>
          <w:szCs w:val="24"/>
        </w:rPr>
        <w:t>հավաքիչ անոթներ՝ անալիզի ենթարկվող լուծույթների համար (Դ):</w:t>
      </w:r>
    </w:p>
    <w:p w14:paraId="4B55D78F" w14:textId="77777777" w:rsidR="00B834A2" w:rsidRPr="00DE4F37" w:rsidRDefault="00B834A2" w:rsidP="004A7CC9">
      <w:pPr>
        <w:pStyle w:val="Bodytext20"/>
        <w:shd w:val="clear" w:color="auto" w:fill="auto"/>
        <w:spacing w:before="0" w:after="160" w:line="341" w:lineRule="auto"/>
        <w:ind w:firstLine="567"/>
        <w:jc w:val="both"/>
        <w:rPr>
          <w:rStyle w:val="Bodytext31Sylfaen9"/>
          <w:sz w:val="24"/>
          <w:szCs w:val="24"/>
        </w:rPr>
      </w:pPr>
      <w:r w:rsidRPr="00525E98">
        <w:rPr>
          <w:rStyle w:val="Bodytext31Sylfaen9"/>
          <w:spacing w:val="-4"/>
          <w:sz w:val="24"/>
          <w:szCs w:val="24"/>
        </w:rPr>
        <w:lastRenderedPageBreak/>
        <w:t>Հոսանուտ խորշը (նկար 2.1.10.7-2) բաղկացած է 3 մասերից, որոնք մտցնում են մեկը</w:t>
      </w:r>
      <w:r w:rsidRPr="00B834A2">
        <w:rPr>
          <w:rStyle w:val="Bodytext31Sylfaen9"/>
          <w:sz w:val="24"/>
          <w:szCs w:val="24"/>
        </w:rPr>
        <w:t xml:space="preserve"> մյուսի մեջ։ Ստորին մասը, որի վրա տեղադրում են փորձարկվող նմուշը, պահպանում է ցանցերի </w:t>
      </w:r>
      <w:r>
        <w:rPr>
          <w:rStyle w:val="Bodytext31Sylfaen9"/>
          <w:sz w:val="24"/>
          <w:szCs w:val="24"/>
        </w:rPr>
        <w:t>եւ</w:t>
      </w:r>
      <w:r w:rsidRPr="00B834A2">
        <w:rPr>
          <w:rStyle w:val="Bodytext31Sylfaen9"/>
          <w:sz w:val="24"/>
          <w:szCs w:val="24"/>
        </w:rPr>
        <w:t xml:space="preserve"> ֆիլտրերի համակարգը։ Միջին մասը, որը դրվում է ստորին մասի վրա, պարունակում է ներդրակ, որը մաղում է փորձարկվող նմուշը՝ խորշի միջով լուծման միջավայրով անցնելու ժամանակ: Տվյալ ներդրակը բաղկացած է երկու մասերից՝ կոնաձ</w:t>
      </w:r>
      <w:r>
        <w:rPr>
          <w:rStyle w:val="Bodytext31Sylfaen9"/>
          <w:sz w:val="24"/>
          <w:szCs w:val="24"/>
        </w:rPr>
        <w:t>եւ</w:t>
      </w:r>
      <w:r w:rsidRPr="00B834A2">
        <w:rPr>
          <w:rStyle w:val="Bodytext31Sylfaen9"/>
          <w:sz w:val="24"/>
          <w:szCs w:val="24"/>
        </w:rPr>
        <w:t xml:space="preserve"> մաղից, որը տեղադրվում է նմուշի վրա, </w:t>
      </w:r>
      <w:r>
        <w:rPr>
          <w:rStyle w:val="Bodytext31Sylfaen9"/>
          <w:sz w:val="24"/>
          <w:szCs w:val="24"/>
        </w:rPr>
        <w:t>եւ</w:t>
      </w:r>
      <w:r w:rsidRPr="00B834A2">
        <w:rPr>
          <w:rStyle w:val="Bodytext31Sylfaen9"/>
          <w:sz w:val="24"/>
          <w:szCs w:val="24"/>
        </w:rPr>
        <w:t xml:space="preserve"> սեղմիչից, որը տեղակայված է հեռավորության կեսում՝ մինչ</w:t>
      </w:r>
      <w:r>
        <w:rPr>
          <w:rStyle w:val="Bodytext31Sylfaen9"/>
          <w:sz w:val="24"/>
          <w:szCs w:val="24"/>
        </w:rPr>
        <w:t>եւ</w:t>
      </w:r>
      <w:r w:rsidRPr="00B834A2">
        <w:rPr>
          <w:rStyle w:val="Bodytext31Sylfaen9"/>
          <w:sz w:val="24"/>
          <w:szCs w:val="24"/>
        </w:rPr>
        <w:t xml:space="preserve"> միջին մասին հասնելը՝ լուծման միջավայրը անցնելիս մաղը տեղում պահելու համար։ Երկրորդ ֆիլտրող տարրը (ցանցը </w:t>
      </w:r>
      <w:r>
        <w:rPr>
          <w:rStyle w:val="Bodytext31Sylfaen9"/>
          <w:sz w:val="24"/>
          <w:szCs w:val="24"/>
        </w:rPr>
        <w:t>եւ</w:t>
      </w:r>
      <w:r w:rsidRPr="00B834A2">
        <w:rPr>
          <w:rStyle w:val="Bodytext31Sylfaen9"/>
          <w:sz w:val="24"/>
          <w:szCs w:val="24"/>
        </w:rPr>
        <w:t xml:space="preserve"> ֆիլտրը) տեղակայված է վերին մասի հետ միանալուց առաջ միջին մասի գագաթին, որի միջով լուծման միջավայրը թափվում է խորշից:</w:t>
      </w:r>
    </w:p>
    <w:p w14:paraId="373B609E" w14:textId="77777777" w:rsidR="00B603CA" w:rsidRPr="00DE4F37" w:rsidRDefault="00B603CA" w:rsidP="004A7CC9">
      <w:pPr>
        <w:pStyle w:val="Bodytext20"/>
        <w:shd w:val="clear" w:color="auto" w:fill="auto"/>
        <w:spacing w:before="0" w:after="0" w:line="240" w:lineRule="auto"/>
        <w:ind w:firstLine="567"/>
        <w:jc w:val="both"/>
        <w:rPr>
          <w:rFonts w:ascii="Sylfaen" w:hAnsi="Sylfaen" w:cs="Sylfaen"/>
          <w:sz w:val="24"/>
          <w:szCs w:val="24"/>
        </w:rPr>
      </w:pPr>
    </w:p>
    <w:p w14:paraId="7BF654CD" w14:textId="77777777" w:rsidR="00B834A2" w:rsidRPr="00525E98" w:rsidRDefault="00B834A2" w:rsidP="004A7CC9">
      <w:pPr>
        <w:pStyle w:val="Bodytext20"/>
        <w:shd w:val="clear" w:color="auto" w:fill="auto"/>
        <w:spacing w:before="0" w:after="160" w:line="341" w:lineRule="auto"/>
        <w:ind w:firstLine="567"/>
        <w:jc w:val="both"/>
        <w:rPr>
          <w:rFonts w:ascii="Sylfaen" w:hAnsi="Sylfaen" w:cs="Sylfaen"/>
          <w:b/>
          <w:i/>
          <w:sz w:val="24"/>
          <w:szCs w:val="24"/>
        </w:rPr>
      </w:pPr>
      <w:r w:rsidRPr="00525E98">
        <w:rPr>
          <w:rStyle w:val="Bodytext31Sylfaen9"/>
          <w:b/>
          <w:i w:val="0"/>
          <w:sz w:val="24"/>
          <w:szCs w:val="24"/>
        </w:rPr>
        <w:t>ԼՈՒԾՄԱՆ ՄԻՋԱՎԱՅՐԸ</w:t>
      </w:r>
    </w:p>
    <w:p w14:paraId="342040A6" w14:textId="77777777" w:rsidR="00B834A2" w:rsidRPr="00B834A2" w:rsidRDefault="00B834A2" w:rsidP="004A7CC9">
      <w:pPr>
        <w:spacing w:after="160" w:line="341" w:lineRule="auto"/>
        <w:ind w:firstLine="567"/>
        <w:jc w:val="both"/>
        <w:rPr>
          <w:rStyle w:val="Bodytext31Sylfaen9"/>
          <w:sz w:val="24"/>
          <w:szCs w:val="24"/>
        </w:rPr>
      </w:pPr>
      <w:r w:rsidRPr="00B834A2">
        <w:t xml:space="preserve">Որպես լուծման միջավայր կարող են օգտագործվել բուֆերային լուծույթները, որոնք նշված են </w:t>
      </w:r>
      <w:r w:rsidRPr="00B834A2">
        <w:rPr>
          <w:i/>
        </w:rPr>
        <w:t>«Լուծման փորձարկումների անցկացման վերաբերյալ առաջարկություններ» 2</w:t>
      </w:r>
      <w:r w:rsidRPr="00B834A2">
        <w:rPr>
          <w:rFonts w:ascii="MS Mincho" w:eastAsia="MS Mincho" w:hAnsi="MS Mincho" w:cs="MS Mincho" w:hint="eastAsia"/>
          <w:i/>
        </w:rPr>
        <w:t>․</w:t>
      </w:r>
      <w:r w:rsidRPr="00B834A2">
        <w:rPr>
          <w:i/>
        </w:rPr>
        <w:t>3</w:t>
      </w:r>
      <w:r w:rsidRPr="00B834A2">
        <w:rPr>
          <w:rFonts w:ascii="MS Mincho" w:eastAsia="MS Mincho" w:hAnsi="MS Mincho" w:cs="MS Mincho" w:hint="eastAsia"/>
          <w:i/>
        </w:rPr>
        <w:t>․</w:t>
      </w:r>
      <w:r w:rsidRPr="00B834A2">
        <w:rPr>
          <w:i/>
        </w:rPr>
        <w:t>9</w:t>
      </w:r>
      <w:r w:rsidRPr="00B834A2">
        <w:rPr>
          <w:rFonts w:ascii="MS Mincho" w:eastAsia="MS Mincho" w:hAnsi="MS Mincho" w:cs="MS Mincho" w:hint="eastAsia"/>
          <w:i/>
        </w:rPr>
        <w:t>․</w:t>
      </w:r>
      <w:r w:rsidRPr="00B834A2">
        <w:rPr>
          <w:i/>
        </w:rPr>
        <w:t>1</w:t>
      </w:r>
      <w:r w:rsidRPr="00B834A2">
        <w:t xml:space="preserve"> ընդհանուր դեղագրքային հոդվածում։</w:t>
      </w:r>
      <w:r w:rsidRPr="00B834A2">
        <w:rPr>
          <w:rStyle w:val="Bodytext2Italic"/>
          <w:rFonts w:eastAsia="Tahoma"/>
          <w:sz w:val="24"/>
          <w:szCs w:val="24"/>
        </w:rPr>
        <w:t xml:space="preserve"> </w:t>
      </w:r>
      <w:r w:rsidRPr="00B834A2">
        <w:t>Բուֆերային լուծույթների pH-ը հասցնում են մինչ</w:t>
      </w:r>
      <w:r>
        <w:t>եւ</w:t>
      </w:r>
      <w:r w:rsidRPr="00B834A2">
        <w:t xml:space="preserve"> անհրաժեշտ արժեքի՝ ± 0,05 ճշգրտությամբ։</w:t>
      </w:r>
      <w:r w:rsidRPr="00B834A2">
        <w:rPr>
          <w:rStyle w:val="Bodytext31Sylfaen9"/>
          <w:sz w:val="24"/>
          <w:szCs w:val="24"/>
        </w:rPr>
        <w:t xml:space="preserve"> Լուծման միջավայրից հեռացնում են լուծված գազերը, քանի որ դրանք կարող են հանգեցնել պղպջակների առաջացման, որոնք զգալիորեն ազդում են փորձարկման արդյունքի վրա:</w:t>
      </w:r>
    </w:p>
    <w:p w14:paraId="545CE3AA" w14:textId="77777777" w:rsidR="00B834A2" w:rsidRPr="00B834A2" w:rsidRDefault="00B834A2" w:rsidP="00B834A2">
      <w:pPr>
        <w:spacing w:after="160" w:line="360" w:lineRule="auto"/>
        <w:jc w:val="both"/>
      </w:pPr>
      <w:r w:rsidRPr="00B834A2">
        <w:rPr>
          <w:rStyle w:val="Bodytext31Sylfaen9"/>
          <w:noProof/>
          <w:sz w:val="24"/>
          <w:szCs w:val="24"/>
          <w:lang w:val="en-US" w:eastAsia="en-US" w:bidi="ar-SA"/>
        </w:rPr>
        <w:drawing>
          <wp:inline distT="0" distB="0" distL="0" distR="0" wp14:anchorId="768E345A" wp14:editId="487B57C2">
            <wp:extent cx="1960942" cy="2273667"/>
            <wp:effectExtent l="19050" t="0" r="1208"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1968286" cy="2282182"/>
                    </a:xfrm>
                    <a:prstGeom prst="rect">
                      <a:avLst/>
                    </a:prstGeom>
                    <a:noFill/>
                    <a:ln w="9525">
                      <a:noFill/>
                      <a:miter lim="800000"/>
                      <a:headEnd/>
                      <a:tailEnd/>
                    </a:ln>
                  </pic:spPr>
                </pic:pic>
              </a:graphicData>
            </a:graphic>
          </wp:inline>
        </w:drawing>
      </w:r>
    </w:p>
    <w:p w14:paraId="0A96D5EA" w14:textId="77777777" w:rsidR="00B834A2" w:rsidRPr="00525E98" w:rsidRDefault="00B834A2" w:rsidP="00B834A2">
      <w:pPr>
        <w:spacing w:after="160" w:line="360" w:lineRule="auto"/>
        <w:ind w:firstLine="567"/>
        <w:jc w:val="both"/>
        <w:rPr>
          <w:rStyle w:val="Picturecaption10pt"/>
          <w:rFonts w:ascii="Sylfaen" w:eastAsia="Tahoma" w:hAnsi="Sylfaen"/>
          <w:i w:val="0"/>
          <w:iCs w:val="0"/>
          <w:szCs w:val="24"/>
        </w:rPr>
      </w:pPr>
      <w:r w:rsidRPr="00525E98">
        <w:rPr>
          <w:rStyle w:val="Bodytext31Sylfaen9"/>
          <w:sz w:val="20"/>
          <w:szCs w:val="24"/>
        </w:rPr>
        <w:t xml:space="preserve">Նկար 2.1.10.7-2 </w:t>
      </w:r>
      <w:r w:rsidR="009217DE" w:rsidRPr="00525E98">
        <w:rPr>
          <w:rStyle w:val="Picturecaption10pt"/>
          <w:rFonts w:ascii="Sylfaen" w:eastAsia="Tahoma" w:hAnsi="Sylfaen"/>
          <w:i w:val="0"/>
          <w:szCs w:val="24"/>
        </w:rPr>
        <w:t>-</w:t>
      </w:r>
      <w:r w:rsidRPr="00525E98">
        <w:rPr>
          <w:rStyle w:val="Picturecaption10pt"/>
          <w:rFonts w:ascii="Sylfaen" w:eastAsia="Tahoma" w:hAnsi="Sylfaen"/>
          <w:i w:val="0"/>
          <w:szCs w:val="24"/>
        </w:rPr>
        <w:t xml:space="preserve"> </w:t>
      </w:r>
      <w:r w:rsidRPr="00525E98">
        <w:rPr>
          <w:rStyle w:val="Picturecaption10pt"/>
          <w:rFonts w:ascii="Sylfaen" w:eastAsia="Tahoma" w:hAnsi="Sylfaen"/>
          <w:szCs w:val="24"/>
        </w:rPr>
        <w:t xml:space="preserve">Հոսանուտ խորշ: Չափերը նշված են միլիմետրերով: </w:t>
      </w:r>
      <w:r w:rsidRPr="00525E98">
        <w:rPr>
          <w:sz w:val="20"/>
        </w:rPr>
        <w:t>Ա</w:t>
      </w:r>
      <w:r w:rsidRPr="00525E98">
        <w:rPr>
          <w:i/>
          <w:sz w:val="20"/>
        </w:rPr>
        <w:t>՝ ստորին մաս,</w:t>
      </w:r>
      <w:r w:rsidRPr="00525E98">
        <w:rPr>
          <w:rStyle w:val="Picturecaption10pt"/>
          <w:rFonts w:ascii="Sylfaen" w:eastAsia="Tahoma" w:hAnsi="Sylfaen"/>
          <w:i w:val="0"/>
          <w:szCs w:val="24"/>
        </w:rPr>
        <w:t xml:space="preserve"> </w:t>
      </w:r>
      <w:r w:rsidRPr="00525E98">
        <w:rPr>
          <w:i/>
          <w:sz w:val="20"/>
        </w:rPr>
        <w:t>Բ՝ ներդրակ, Գ՝ մաղ,</w:t>
      </w:r>
      <w:r w:rsidRPr="00525E98">
        <w:rPr>
          <w:rStyle w:val="Picturecaption10pt"/>
          <w:rFonts w:ascii="Sylfaen" w:eastAsia="Tahoma" w:hAnsi="Sylfaen"/>
          <w:i w:val="0"/>
          <w:szCs w:val="24"/>
        </w:rPr>
        <w:t xml:space="preserve"> </w:t>
      </w:r>
      <w:r w:rsidRPr="00525E98">
        <w:rPr>
          <w:i/>
          <w:sz w:val="20"/>
        </w:rPr>
        <w:t>Դ՝ սեղմակ,</w:t>
      </w:r>
      <w:r w:rsidRPr="00525E98">
        <w:rPr>
          <w:rStyle w:val="Picturecaption10pt"/>
          <w:rFonts w:ascii="Sylfaen" w:eastAsia="Tahoma" w:hAnsi="Sylfaen"/>
          <w:i w:val="0"/>
          <w:szCs w:val="24"/>
        </w:rPr>
        <w:t xml:space="preserve"> </w:t>
      </w:r>
      <w:r w:rsidRPr="00525E98">
        <w:rPr>
          <w:i/>
          <w:sz w:val="20"/>
        </w:rPr>
        <w:t>Ե՝ միջին մաս,</w:t>
      </w:r>
      <w:r w:rsidRPr="00525E98">
        <w:rPr>
          <w:rStyle w:val="Picturecaption10pt"/>
          <w:rFonts w:ascii="Sylfaen" w:eastAsia="Tahoma" w:hAnsi="Sylfaen"/>
          <w:i w:val="0"/>
          <w:szCs w:val="24"/>
        </w:rPr>
        <w:t xml:space="preserve"> </w:t>
      </w:r>
      <w:r w:rsidRPr="00525E98">
        <w:rPr>
          <w:i/>
          <w:sz w:val="20"/>
        </w:rPr>
        <w:t>Զ՝ վերին մաս</w:t>
      </w:r>
    </w:p>
    <w:p w14:paraId="57992DB9"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b/>
          <w:sz w:val="24"/>
          <w:szCs w:val="24"/>
        </w:rPr>
      </w:pPr>
      <w:r w:rsidRPr="00525E98">
        <w:rPr>
          <w:rStyle w:val="Bodytext31Sylfaen9"/>
          <w:b/>
          <w:sz w:val="24"/>
          <w:szCs w:val="24"/>
        </w:rPr>
        <w:lastRenderedPageBreak/>
        <w:t>ՄԵԹՈԴԻԿԱՆ</w:t>
      </w:r>
    </w:p>
    <w:p w14:paraId="2A7C097F" w14:textId="77777777" w:rsidR="00B834A2" w:rsidRPr="00DE4F37" w:rsidRDefault="00B834A2" w:rsidP="00B834A2">
      <w:pPr>
        <w:spacing w:after="160" w:line="360" w:lineRule="auto"/>
        <w:ind w:firstLine="567"/>
        <w:jc w:val="both"/>
        <w:rPr>
          <w:rStyle w:val="Bodytext31Sylfaen9"/>
          <w:i w:val="0"/>
          <w:sz w:val="24"/>
          <w:szCs w:val="24"/>
        </w:rPr>
      </w:pPr>
      <w:r w:rsidRPr="00525E98">
        <w:rPr>
          <w:rStyle w:val="Bodytext31Sylfaen9"/>
          <w:i w:val="0"/>
          <w:sz w:val="24"/>
          <w:szCs w:val="24"/>
        </w:rPr>
        <w:t>Կոնաձեւ ստորին մասի վրա տեղադրում են</w:t>
      </w:r>
      <w:r w:rsidR="00525E98">
        <w:rPr>
          <w:rStyle w:val="Bodytext31Sylfaen9"/>
          <w:i w:val="0"/>
          <w:sz w:val="24"/>
          <w:szCs w:val="24"/>
        </w:rPr>
        <w:t xml:space="preserve"> (5,0±</w:t>
      </w:r>
      <w:r w:rsidRPr="00525E98">
        <w:rPr>
          <w:rStyle w:val="Bodytext31Sylfaen9"/>
          <w:i w:val="0"/>
          <w:sz w:val="24"/>
          <w:szCs w:val="24"/>
        </w:rPr>
        <w:t>0,5) մմ տրամագծով գնդիկ, այնուհետեւ համապատասխան չափի ապակե գնդիկներ, ցանկալի է՝</w:t>
      </w:r>
      <w:r w:rsidR="00525E98">
        <w:rPr>
          <w:rStyle w:val="Bodytext31Sylfaen9"/>
          <w:i w:val="0"/>
          <w:sz w:val="24"/>
          <w:szCs w:val="24"/>
        </w:rPr>
        <w:t xml:space="preserve"> (1,0</w:t>
      </w:r>
      <w:r w:rsidRPr="00525E98">
        <w:rPr>
          <w:rStyle w:val="Bodytext31Sylfaen9"/>
          <w:i w:val="0"/>
          <w:sz w:val="24"/>
          <w:szCs w:val="24"/>
        </w:rPr>
        <w:t xml:space="preserve">±0,1) մմ տրամագծով։ </w:t>
      </w:r>
      <w:r w:rsidRPr="00B834A2">
        <w:t xml:space="preserve">Տեղադրում են մաղը (անցքերի՝ 0,2 մմ չափով), համապատասխան ֆիլտրը </w:t>
      </w:r>
      <w:r>
        <w:t>եւ</w:t>
      </w:r>
      <w:r w:rsidRPr="00B834A2">
        <w:t xml:space="preserve"> երկրորդ մաղը՝ սարքի ստորին մասի վրայից։</w:t>
      </w:r>
      <w:r w:rsidRPr="00B834A2">
        <w:rPr>
          <w:rStyle w:val="Bodytext31Sylfaen9"/>
          <w:sz w:val="24"/>
          <w:szCs w:val="24"/>
        </w:rPr>
        <w:t xml:space="preserve"> </w:t>
      </w:r>
      <w:r w:rsidRPr="00525E98">
        <w:rPr>
          <w:rStyle w:val="Bodytext31Sylfaen9"/>
          <w:i w:val="0"/>
          <w:sz w:val="24"/>
          <w:szCs w:val="24"/>
        </w:rPr>
        <w:t xml:space="preserve">Ստորին մասի վրա միացնում են սարքի միջին մասը։ Սարքի հավաքված մասը կշռում են։ Փորձարկվող նմուշը տեղադրում են ֆիլտրող տարրի վրա եւ այն կշռում խորշի մեջ։ Փորձարկվող նմուշի վրա տեղադրում են ներդրակի մաղը կոնաձեւ ծայրով դեպի վեր եւ ամրացնում են միջին մասի միջնամասից ցած։ Միջին մասի վրա տեղադրում են մաղ (անցքերի՝ 0,2 մմ չափով) եւ համապատասխան ֆիլտր։ Միացնում են վերին մասը։ Լուծման միջավայրը տաքացնում են մինչեւ ընտրված ջերմաստիճանը։ Լուծման տաքացրած միջավայրը համապատասխան պոմպի </w:t>
      </w:r>
      <w:r w:rsidRPr="00525E98">
        <w:rPr>
          <w:rStyle w:val="Bodytext31Sylfaen9"/>
          <w:i w:val="0"/>
          <w:spacing w:val="-4"/>
          <w:sz w:val="24"/>
          <w:szCs w:val="24"/>
        </w:rPr>
        <w:t>օգնությամբ բաց կամ փակ ցիկլով հոսքի տրված արագությամբ (±5 %) ուղարկում են</w:t>
      </w:r>
      <w:r w:rsidRPr="00525E98">
        <w:rPr>
          <w:rStyle w:val="Bodytext31Sylfaen9"/>
          <w:i w:val="0"/>
          <w:sz w:val="24"/>
          <w:szCs w:val="24"/>
        </w:rPr>
        <w:t xml:space="preserve"> խորշի հատակով։</w:t>
      </w:r>
    </w:p>
    <w:p w14:paraId="73850734" w14:textId="77777777" w:rsidR="00B603CA" w:rsidRPr="00DE4F37" w:rsidRDefault="00B603CA" w:rsidP="00B834A2">
      <w:pPr>
        <w:spacing w:after="160" w:line="360" w:lineRule="auto"/>
        <w:ind w:firstLine="567"/>
        <w:jc w:val="both"/>
        <w:rPr>
          <w:rStyle w:val="Bodytext31Sylfaen9"/>
          <w:i w:val="0"/>
          <w:sz w:val="24"/>
          <w:szCs w:val="24"/>
        </w:rPr>
      </w:pPr>
    </w:p>
    <w:p w14:paraId="51724D53"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b/>
          <w:sz w:val="24"/>
          <w:szCs w:val="24"/>
        </w:rPr>
      </w:pPr>
      <w:r w:rsidRPr="00525E98">
        <w:rPr>
          <w:rStyle w:val="Bodytext31Sylfaen9"/>
          <w:b/>
          <w:sz w:val="24"/>
          <w:szCs w:val="24"/>
        </w:rPr>
        <w:t>ՓՈՐՁԱՆՄՈՒՇՆԵՐ ՎԵՐՑՆԵԼԸ</w:t>
      </w:r>
    </w:p>
    <w:p w14:paraId="290D57AC"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t>Նմուշառումը միշտ իրականացվում է խորշի ելքային անցքի վրա՝ անկախ այն բանից՝ կիրառվում է փակ, թե բաց ցիկլ։</w:t>
      </w:r>
    </w:p>
    <w:p w14:paraId="7FE9383F" w14:textId="77777777" w:rsidR="00B834A2" w:rsidRPr="00DE4F37" w:rsidRDefault="00B834A2" w:rsidP="00525E98">
      <w:pPr>
        <w:pStyle w:val="Bodytext20"/>
        <w:shd w:val="clear" w:color="auto" w:fill="auto"/>
        <w:spacing w:before="0" w:after="160" w:line="360" w:lineRule="auto"/>
        <w:ind w:firstLine="340"/>
        <w:jc w:val="both"/>
        <w:rPr>
          <w:rFonts w:ascii="Sylfaen" w:hAnsi="Sylfaen"/>
          <w:i/>
          <w:sz w:val="24"/>
          <w:szCs w:val="24"/>
        </w:rPr>
      </w:pPr>
      <w:r w:rsidRPr="00525E98">
        <w:rPr>
          <w:rStyle w:val="Bodytext31Sylfaen9"/>
          <w:i w:val="0"/>
          <w:sz w:val="24"/>
          <w:szCs w:val="24"/>
        </w:rPr>
        <w:t>Ստացված հեղուկն անմիջապես անցկացնում են ծակոտիների համապատասխան չափով իներտ նյութից ֆիլտրի միջով։ Ֆիլտրի նյութը չպետք է առաջացնի լուծույթից ազդող նյութի զգալի մակակլանում եւ պարունակի նյութեր, որոնք դուրս են հանվում անալիտիկ մեթոդով ստացվող արդյունքների վրա ազդող լուծման միջավայրով</w:t>
      </w:r>
      <w:r w:rsidRPr="00B834A2">
        <w:rPr>
          <w:rStyle w:val="Bodytext31Sylfaen9"/>
          <w:sz w:val="24"/>
          <w:szCs w:val="24"/>
        </w:rPr>
        <w:t xml:space="preserve">։ </w:t>
      </w:r>
      <w:r w:rsidRPr="00525E98">
        <w:rPr>
          <w:rStyle w:val="Bodytext31Sylfaen9"/>
          <w:i w:val="0"/>
          <w:sz w:val="24"/>
          <w:szCs w:val="24"/>
        </w:rPr>
        <w:t>Ստացված ֆիլտրատը ենթարկում են անալիզի։</w:t>
      </w:r>
      <w:r w:rsidRPr="00525E98">
        <w:rPr>
          <w:rFonts w:ascii="Sylfaen" w:hAnsi="Sylfaen"/>
          <w:i/>
          <w:sz w:val="24"/>
          <w:szCs w:val="24"/>
        </w:rPr>
        <w:t xml:space="preserve"> </w:t>
      </w:r>
    </w:p>
    <w:p w14:paraId="311FD621" w14:textId="77777777" w:rsidR="00B603CA" w:rsidRPr="00DE4F37" w:rsidRDefault="00B603CA" w:rsidP="00525E98">
      <w:pPr>
        <w:pStyle w:val="Bodytext20"/>
        <w:shd w:val="clear" w:color="auto" w:fill="auto"/>
        <w:spacing w:before="0" w:after="160" w:line="360" w:lineRule="auto"/>
        <w:ind w:firstLine="340"/>
        <w:jc w:val="both"/>
        <w:rPr>
          <w:rFonts w:ascii="Sylfaen" w:hAnsi="Sylfaen"/>
          <w:i/>
          <w:sz w:val="24"/>
          <w:szCs w:val="24"/>
        </w:rPr>
      </w:pPr>
    </w:p>
    <w:p w14:paraId="2D66729A"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b/>
          <w:sz w:val="24"/>
          <w:szCs w:val="24"/>
        </w:rPr>
      </w:pPr>
      <w:r w:rsidRPr="00525E98">
        <w:rPr>
          <w:rStyle w:val="Bodytext31Sylfaen9"/>
          <w:b/>
          <w:sz w:val="24"/>
          <w:szCs w:val="24"/>
        </w:rPr>
        <w:t>ԱՐԴՅՈՒՆՔՆԵՐԻ ԳՆԱՀԱՏՈՒՄԸ</w:t>
      </w:r>
    </w:p>
    <w:p w14:paraId="4E4743C7"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t>Սերիայի թողարկման ժամանակ փորձարկում անցկացնելիս կատարում են բավարար քանակի կրկնություններ:</w:t>
      </w:r>
    </w:p>
    <w:p w14:paraId="1F000E39"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lastRenderedPageBreak/>
        <w:t>Արդյունքներն արտահայտում են հետեւյալ եղանակով.</w:t>
      </w:r>
    </w:p>
    <w:p w14:paraId="602E6DE2" w14:textId="77777777" w:rsidR="00B834A2" w:rsidRPr="00525E98" w:rsidRDefault="00B834A2" w:rsidP="00525E98">
      <w:pPr>
        <w:pStyle w:val="Bodytext20"/>
        <w:shd w:val="clear" w:color="auto" w:fill="auto"/>
        <w:tabs>
          <w:tab w:val="left" w:pos="1134"/>
        </w:tabs>
        <w:spacing w:before="0" w:after="160" w:line="360" w:lineRule="auto"/>
        <w:ind w:firstLine="567"/>
        <w:jc w:val="both"/>
        <w:rPr>
          <w:rFonts w:ascii="Sylfaen" w:hAnsi="Sylfaen" w:cs="Sylfaen"/>
          <w:spacing w:val="-4"/>
          <w:sz w:val="24"/>
          <w:szCs w:val="24"/>
        </w:rPr>
      </w:pPr>
      <w:r w:rsidRPr="00525E98">
        <w:rPr>
          <w:rFonts w:ascii="Sylfaen" w:hAnsi="Sylfaen"/>
          <w:spacing w:val="-4"/>
          <w:sz w:val="24"/>
          <w:szCs w:val="24"/>
        </w:rPr>
        <w:t>-</w:t>
      </w:r>
      <w:r w:rsidR="00525E98">
        <w:rPr>
          <w:rFonts w:ascii="Sylfaen" w:hAnsi="Sylfaen"/>
          <w:spacing w:val="-4"/>
          <w:sz w:val="24"/>
          <w:szCs w:val="24"/>
        </w:rPr>
        <w:tab/>
      </w:r>
      <w:r w:rsidRPr="00525E98">
        <w:rPr>
          <w:rFonts w:ascii="Sylfaen" w:hAnsi="Sylfaen"/>
          <w:spacing w:val="-4"/>
          <w:sz w:val="24"/>
          <w:szCs w:val="24"/>
        </w:rPr>
        <w:t>լուծված ազդող նյութի քանակը՝ ժամանակի միավորի (եթե լուծումը գծային է).</w:t>
      </w:r>
    </w:p>
    <w:p w14:paraId="703A5462" w14:textId="77777777" w:rsidR="00B834A2" w:rsidRPr="00B834A2" w:rsidRDefault="00B834A2" w:rsidP="00525E98">
      <w:pPr>
        <w:tabs>
          <w:tab w:val="left" w:pos="1134"/>
        </w:tabs>
        <w:spacing w:after="160" w:line="360" w:lineRule="auto"/>
        <w:ind w:firstLine="567"/>
        <w:jc w:val="both"/>
        <w:rPr>
          <w:rStyle w:val="Bodytext31Sylfaen9"/>
          <w:sz w:val="24"/>
          <w:szCs w:val="24"/>
        </w:rPr>
      </w:pPr>
      <w:r w:rsidRPr="00B834A2">
        <w:t>-</w:t>
      </w:r>
      <w:r w:rsidR="00525E98">
        <w:tab/>
      </w:r>
      <w:r w:rsidRPr="00B834A2">
        <w:t>ամբողջ փորձարկվող նմուշի լուծման ժամանակը՝ հաշվի առնելով համապատասխան միջանկյալ փուլերը։</w:t>
      </w:r>
    </w:p>
    <w:p w14:paraId="08C43947" w14:textId="77777777" w:rsidR="00B834A2" w:rsidRPr="00B834A2" w:rsidRDefault="00B834A2" w:rsidP="00B834A2">
      <w:pPr>
        <w:spacing w:after="160" w:line="360" w:lineRule="auto"/>
        <w:jc w:val="both"/>
        <w:rPr>
          <w:rStyle w:val="Bodytext31Sylfaen9"/>
          <w:sz w:val="24"/>
          <w:szCs w:val="24"/>
        </w:rPr>
      </w:pPr>
    </w:p>
    <w:p w14:paraId="6AD60E11" w14:textId="77777777" w:rsidR="00B834A2" w:rsidRPr="00525E98" w:rsidRDefault="00B834A2" w:rsidP="00B834A2">
      <w:pPr>
        <w:pStyle w:val="Bodytext20"/>
        <w:shd w:val="clear" w:color="auto" w:fill="auto"/>
        <w:spacing w:before="0" w:after="160" w:line="360" w:lineRule="auto"/>
        <w:jc w:val="right"/>
        <w:rPr>
          <w:rStyle w:val="Bodytext29pt"/>
          <w:b/>
          <w:sz w:val="20"/>
          <w:szCs w:val="24"/>
        </w:rPr>
      </w:pPr>
      <w:r w:rsidRPr="00525E98">
        <w:rPr>
          <w:rStyle w:val="Bodytext29pt"/>
          <w:b/>
          <w:sz w:val="20"/>
          <w:szCs w:val="24"/>
        </w:rPr>
        <w:t>201100008-2022</w:t>
      </w:r>
    </w:p>
    <w:p w14:paraId="30E681A3" w14:textId="77777777" w:rsidR="00525E98" w:rsidRPr="00525E98" w:rsidRDefault="00525E98" w:rsidP="00B834A2">
      <w:pPr>
        <w:pStyle w:val="Bodytext20"/>
        <w:shd w:val="clear" w:color="auto" w:fill="auto"/>
        <w:spacing w:before="0" w:after="160" w:line="360" w:lineRule="auto"/>
        <w:jc w:val="right"/>
        <w:rPr>
          <w:rFonts w:ascii="Sylfaen" w:hAnsi="Sylfaen" w:cs="Sylfaen"/>
          <w:b/>
          <w:sz w:val="20"/>
          <w:szCs w:val="24"/>
        </w:rPr>
      </w:pPr>
    </w:p>
    <w:p w14:paraId="16080D94" w14:textId="77777777" w:rsidR="00B834A2" w:rsidRPr="00525E98" w:rsidRDefault="00B834A2" w:rsidP="00525E98">
      <w:pPr>
        <w:pStyle w:val="Bodytext20"/>
        <w:shd w:val="clear" w:color="auto" w:fill="auto"/>
        <w:tabs>
          <w:tab w:val="left" w:pos="1843"/>
        </w:tabs>
        <w:spacing w:before="0" w:after="160" w:line="360" w:lineRule="auto"/>
        <w:ind w:firstLine="567"/>
        <w:jc w:val="both"/>
        <w:rPr>
          <w:rFonts w:ascii="Sylfaen" w:hAnsi="Sylfaen" w:cs="Sylfaen"/>
          <w:b/>
          <w:sz w:val="24"/>
          <w:szCs w:val="24"/>
        </w:rPr>
      </w:pPr>
      <w:r w:rsidRPr="00525E98">
        <w:rPr>
          <w:rStyle w:val="Bodytext29pt"/>
          <w:b/>
          <w:sz w:val="24"/>
          <w:szCs w:val="24"/>
        </w:rPr>
        <w:t>2.1.10.8.</w:t>
      </w:r>
      <w:r w:rsidR="00525E98">
        <w:rPr>
          <w:rStyle w:val="Bodytext29pt"/>
          <w:b/>
          <w:sz w:val="24"/>
          <w:szCs w:val="24"/>
        </w:rPr>
        <w:tab/>
      </w:r>
      <w:r w:rsidRPr="00525E98">
        <w:rPr>
          <w:rStyle w:val="Bodytext29pt"/>
          <w:b/>
          <w:sz w:val="24"/>
          <w:szCs w:val="24"/>
        </w:rPr>
        <w:t>Մասնիկների՝ ըստ չափի բաշխման գնահատում՝ անալիզային մաղման մեթոդով</w:t>
      </w:r>
    </w:p>
    <w:p w14:paraId="4DFDA58E" w14:textId="77777777" w:rsidR="00B834A2" w:rsidRPr="00525E98" w:rsidRDefault="00B834A2" w:rsidP="00B834A2">
      <w:pPr>
        <w:spacing w:after="160" w:line="360" w:lineRule="auto"/>
        <w:ind w:firstLine="567"/>
        <w:jc w:val="both"/>
        <w:rPr>
          <w:rStyle w:val="Bodytext31Sylfaen9"/>
          <w:i w:val="0"/>
          <w:sz w:val="24"/>
          <w:szCs w:val="24"/>
        </w:rPr>
      </w:pPr>
      <w:r w:rsidRPr="00525E98">
        <w:rPr>
          <w:rStyle w:val="Bodytext31Sylfaen9"/>
          <w:i w:val="0"/>
          <w:sz w:val="24"/>
          <w:szCs w:val="24"/>
        </w:rPr>
        <w:t xml:space="preserve">Մաղումը փոշիների եւ գրանուլների դասակարգման ամենասկզբնական մեթոդներից մեկն է՝ պայմանավորված մասնիկների (գրանուլաչափական կազմի)՝ ըստ չափի բաշխմամբ: Մաղի հյուսած գործվածք օգտագործելու դեպքում մաղումը սորտավորում է մասնիկները՝ ըստ դրանց միջանկյալ չափի (այսինքն՝ լայնության կամ հաստության): Մեխանիկական մաղումն ավելի համապատասխան մեթոդ է, եթե մասնիկների մեծամասնությունն ունի 75 մկմ-ից մեծ չափ։ Ավելի մանր մասնիկների փոքր քաշով պայմանավորվում է մաղելու ժամանակ բավարար ուժի բացակայությունը՝ կոհեզիայի եւ ադհեզիայի մակերեսային ուժերը հաղթահարելու համար, ինչն առաջացնում է մասնիկների՝ միմյանց միջեւ եւ մաղին կպչելը, որն իր հերթին հանգեցնում է մաղի մեջ այն մասնիկների պահմանը, որոնք ունակ են անցնել դրա միջով: Այդպիսի նմուշների համար ավելի հարմար է օդաշիթային եւ ուլտրաձայնային մաղումը: Այնուհանդերձ, երբեմն մաղումը կարող է օգտագործվել 75 մկմ-ից փոքր միջին չափի մասնիկներով որոշ փոշիների կամ գրանուլների համար՝ պայմանով, որ մեթոդիկան կարող է վալիդացվել: Դեղագործական պրակտիկայում մաղումը, որպես կանոն, ընտրում են միաբաղադրիչ փոշիների կամ գրանուլների կոպիտ դասակարգման համար: Տվյալ մեթոդը հատկապես համապատասխանում է այն փոշիների կամ գրանուլների </w:t>
      </w:r>
      <w:r w:rsidRPr="00525E98">
        <w:rPr>
          <w:rStyle w:val="Bodytext31Sylfaen9"/>
          <w:i w:val="0"/>
          <w:sz w:val="24"/>
          <w:szCs w:val="24"/>
        </w:rPr>
        <w:lastRenderedPageBreak/>
        <w:t>համար, որոնք դասակարգվում են միայն ըստ մասնիկների չափի: Մեծամասամբ փորձարկումը կարող է անցակցվել չոր վիճակում:</w:t>
      </w:r>
    </w:p>
    <w:p w14:paraId="16C51AAB" w14:textId="77777777" w:rsidR="00B834A2" w:rsidRPr="00525E98" w:rsidRDefault="00B834A2" w:rsidP="00525E98">
      <w:pPr>
        <w:spacing w:after="160" w:line="360" w:lineRule="auto"/>
        <w:ind w:firstLine="567"/>
        <w:jc w:val="both"/>
        <w:rPr>
          <w:rStyle w:val="Bodytext31Sylfaen9"/>
          <w:i w:val="0"/>
          <w:sz w:val="24"/>
          <w:szCs w:val="24"/>
        </w:rPr>
      </w:pPr>
      <w:r w:rsidRPr="00525E98">
        <w:rPr>
          <w:rStyle w:val="Bodytext31Sylfaen9"/>
          <w:i w:val="0"/>
          <w:sz w:val="24"/>
          <w:szCs w:val="24"/>
        </w:rPr>
        <w:t>Մաղման մեթոդի սահմանափակումների շարքին է դասվում փորձարկվող նմուշի զգալի քանակության օգտագործման անհրաժեշտությունը (սովորաբար 25</w:t>
      </w:r>
      <w:r w:rsidR="00525E98">
        <w:rPr>
          <w:rStyle w:val="Bodytext31Sylfaen9"/>
          <w:i w:val="0"/>
          <w:sz w:val="24"/>
          <w:szCs w:val="24"/>
        </w:rPr>
        <w:t> </w:t>
      </w:r>
      <w:r w:rsidRPr="00525E98">
        <w:rPr>
          <w:rStyle w:val="Bodytext31Sylfaen9"/>
          <w:i w:val="0"/>
          <w:sz w:val="24"/>
          <w:szCs w:val="24"/>
        </w:rPr>
        <w:t>գ-ից ոչ պակաս՝ կախված փոշիների կամ գրանուլների խտությունից եւ մաղի անցքերի տրամագծից) եւ յուղոտ կամ այլ կպչուն փոշիների կամ գրանուլների</w:t>
      </w:r>
      <w:r w:rsidRPr="00B834A2">
        <w:rPr>
          <w:rStyle w:val="Bodytext31Sylfaen9"/>
          <w:sz w:val="24"/>
          <w:szCs w:val="24"/>
        </w:rPr>
        <w:t xml:space="preserve"> </w:t>
      </w:r>
      <w:r w:rsidRPr="00525E98">
        <w:rPr>
          <w:rStyle w:val="Bodytext31Sylfaen9"/>
          <w:i w:val="0"/>
          <w:sz w:val="24"/>
          <w:szCs w:val="24"/>
        </w:rPr>
        <w:t>մաղման բարդությունը, որոնք խցանում են մաղի անցքերը: Մեթոդը հիմնականում կիրառում են մասնիկների չափի երկչափ գնահատման համար, քանի որ մաղի անցքերի միջով մասնիկների անցումը հաճախ պայմանավորված է դրանց առավելագույն լայնությամբ եւ հաստությամբ, քան երկարությամբ:</w:t>
      </w:r>
    </w:p>
    <w:p w14:paraId="229CE30C" w14:textId="77777777" w:rsidR="00B834A2" w:rsidRPr="00525E98" w:rsidRDefault="00B834A2" w:rsidP="00525E98">
      <w:pPr>
        <w:spacing w:after="160" w:line="360" w:lineRule="auto"/>
        <w:ind w:firstLine="567"/>
        <w:jc w:val="both"/>
        <w:rPr>
          <w:rStyle w:val="Bodytext31Sylfaen9"/>
          <w:i w:val="0"/>
          <w:sz w:val="24"/>
          <w:szCs w:val="24"/>
        </w:rPr>
      </w:pPr>
      <w:r w:rsidRPr="00525E98">
        <w:rPr>
          <w:rStyle w:val="Bodytext31Sylfaen9"/>
          <w:i w:val="0"/>
          <w:sz w:val="24"/>
          <w:szCs w:val="24"/>
        </w:rPr>
        <w:t>Մեթոդը նախատեսված է միաբաղադրիչ նմուշի մասնիկների՝ ըստ չափի ընդհանուր բաշխումը գնահատելու համար: Այն անպիտան է մեկ կամ երկու մաղերով անցած կամ դրանցում մնացած մասնիկների քանակական հարաբերակցությունը որոշելու համար:</w:t>
      </w:r>
    </w:p>
    <w:p w14:paraId="77BEFD6D" w14:textId="77777777" w:rsidR="00B834A2" w:rsidRPr="00525E98" w:rsidRDefault="00B834A2" w:rsidP="00525E98">
      <w:pPr>
        <w:spacing w:after="160" w:line="360" w:lineRule="auto"/>
        <w:ind w:firstLine="567"/>
        <w:jc w:val="both"/>
        <w:rPr>
          <w:rStyle w:val="Bodytext31Sylfaen9"/>
          <w:i w:val="0"/>
          <w:sz w:val="24"/>
          <w:szCs w:val="24"/>
        </w:rPr>
      </w:pPr>
      <w:r w:rsidRPr="00525E98">
        <w:rPr>
          <w:rStyle w:val="Bodytext31Sylfaen9"/>
          <w:i w:val="0"/>
          <w:sz w:val="24"/>
          <w:szCs w:val="24"/>
        </w:rPr>
        <w:t>Մասնավոր դեղագրքային հոդվածներում այլ ցուցումների բացակայության դեպքում մասնիկների՝ ըստ չափի բաշխման գնահատումն անցկացնում են Չոր մաղման մեթոդ բաժնում նկարագրված մեթոդիկային համապատասխան</w:t>
      </w:r>
      <w:r w:rsidRPr="00525E98">
        <w:rPr>
          <w:i/>
        </w:rPr>
        <w:t>:</w:t>
      </w:r>
      <w:r w:rsidRPr="00525E98">
        <w:rPr>
          <w:rStyle w:val="Bodytext31Sylfaen9"/>
          <w:i w:val="0"/>
          <w:sz w:val="24"/>
          <w:szCs w:val="24"/>
        </w:rPr>
        <w:t xml:space="preserve"> Մաղման վերջնակետին հասնելու մեջ դժվարությունների (այսինքն՝ նմուշի մասնիկները դժվարությամբ են անցնում մաղի անցքերի միջով) կամ շատ մանր չափերի անցքերով (75 մկմ-ից պակաս) մաղ օգտագործելու անհրաժեշտության դեպքում պետք է ուսումնասիրվի մասնիկների չափը որոշելու այլընտրանքային մեթոդ կիրառելու հնարավորությունը:</w:t>
      </w:r>
    </w:p>
    <w:p w14:paraId="750D3608" w14:textId="77777777" w:rsidR="00B834A2" w:rsidRPr="00DE4F37" w:rsidRDefault="00B834A2" w:rsidP="00525E98">
      <w:pPr>
        <w:pStyle w:val="Bodytext20"/>
        <w:shd w:val="clear" w:color="auto" w:fill="auto"/>
        <w:spacing w:before="0" w:after="160" w:line="360" w:lineRule="auto"/>
        <w:ind w:firstLine="567"/>
        <w:jc w:val="both"/>
        <w:rPr>
          <w:rStyle w:val="Bodytext31Sylfaen9"/>
          <w:i w:val="0"/>
          <w:sz w:val="24"/>
          <w:szCs w:val="24"/>
        </w:rPr>
      </w:pPr>
      <w:r w:rsidRPr="00525E98">
        <w:rPr>
          <w:rStyle w:val="Bodytext31Sylfaen9"/>
          <w:i w:val="0"/>
          <w:sz w:val="24"/>
          <w:szCs w:val="24"/>
        </w:rPr>
        <w:t>Մաղումն անցկացնում են փորձարկվող նմուշում խոնավության ավելացումը</w:t>
      </w:r>
      <w:r w:rsidRPr="00B834A2">
        <w:rPr>
          <w:rStyle w:val="Bodytext31Sylfaen9"/>
          <w:sz w:val="24"/>
          <w:szCs w:val="24"/>
        </w:rPr>
        <w:t xml:space="preserve"> </w:t>
      </w:r>
      <w:r w:rsidRPr="00525E98">
        <w:rPr>
          <w:rStyle w:val="Bodytext31Sylfaen9"/>
          <w:i w:val="0"/>
          <w:sz w:val="24"/>
          <w:szCs w:val="24"/>
        </w:rPr>
        <w:t>կամ նվազումը բացառող պայմաններում: Մասնավոր դեղագրքային հոդվածներում այլ ցուցումների բացակայության դեպքում մաղային անալիզն անցկացնում են հսկվող սենյակային ջերմաստիճանի եւ շրջակա միջավայրի հարաբերական խոնավության պայմաններում:</w:t>
      </w:r>
    </w:p>
    <w:p w14:paraId="16DEBF6E" w14:textId="77777777" w:rsidR="00B603CA" w:rsidRPr="00DE4F37" w:rsidRDefault="00B603CA" w:rsidP="00525E98">
      <w:pPr>
        <w:pStyle w:val="Bodytext20"/>
        <w:shd w:val="clear" w:color="auto" w:fill="auto"/>
        <w:spacing w:before="0" w:after="160" w:line="360" w:lineRule="auto"/>
        <w:ind w:firstLine="567"/>
        <w:jc w:val="both"/>
        <w:rPr>
          <w:rFonts w:ascii="Sylfaen" w:hAnsi="Sylfaen" w:cs="Sylfaen"/>
          <w:i/>
          <w:sz w:val="24"/>
          <w:szCs w:val="24"/>
        </w:rPr>
      </w:pPr>
    </w:p>
    <w:p w14:paraId="7A628F70"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sz w:val="24"/>
          <w:szCs w:val="24"/>
        </w:rPr>
      </w:pPr>
      <w:r w:rsidRPr="00525E98">
        <w:rPr>
          <w:rStyle w:val="Bodytext31Sylfaen9"/>
          <w:i w:val="0"/>
          <w:sz w:val="24"/>
          <w:szCs w:val="24"/>
        </w:rPr>
        <w:lastRenderedPageBreak/>
        <w:t xml:space="preserve">Եթե հայտնի է, որ փորձարկվող նմուշը կարող է լինել էլեկտրաստատիկ լարման աղբյուր, անհրաժեշտ է անալիզի արդյունքի վրա դրա ազդեցության բացակայության նկատմամբ մանրակրկիտ դիտարկում: </w:t>
      </w:r>
      <w:r w:rsidRPr="00525E98">
        <w:rPr>
          <w:rFonts w:ascii="Sylfaen" w:hAnsi="Sylfaen"/>
          <w:sz w:val="24"/>
          <w:szCs w:val="24"/>
        </w:rPr>
        <w:t>Նմանատիպ էֆեկտի նվազեցման համար թույլատրվում է փորձարկվող նմուշին ավելացնել հակաստատիկ միջոց, օրինակ՝ կոլոիդային կրեմնիումի դիօքսիդ եւ (կամ) ալյումինի օքսիդ՝ 0,5 % քանակությամբ (մ/մ):</w:t>
      </w:r>
    </w:p>
    <w:p w14:paraId="3225A989"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t>Ցանկացած հատուկ պայման, որը նախատեսված է որոշակի նյութի համար, պետք է մանրամասն նկարագրվի մասնավոր դեղագրքային հոդվածներում:</w:t>
      </w:r>
    </w:p>
    <w:p w14:paraId="69E5AB55" w14:textId="77777777" w:rsidR="004A7CC9" w:rsidRPr="00D35F34" w:rsidRDefault="004A7CC9" w:rsidP="00525E98">
      <w:pPr>
        <w:pStyle w:val="Bodytext20"/>
        <w:shd w:val="clear" w:color="auto" w:fill="auto"/>
        <w:spacing w:before="0" w:after="160" w:line="360" w:lineRule="auto"/>
        <w:ind w:firstLine="567"/>
        <w:jc w:val="both"/>
        <w:rPr>
          <w:rStyle w:val="Bodytext31Sylfaen9"/>
          <w:b/>
          <w:i w:val="0"/>
          <w:sz w:val="24"/>
          <w:szCs w:val="24"/>
        </w:rPr>
      </w:pPr>
    </w:p>
    <w:p w14:paraId="2AEACF6C"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b/>
          <w:i/>
          <w:sz w:val="24"/>
          <w:szCs w:val="24"/>
        </w:rPr>
      </w:pPr>
      <w:r w:rsidRPr="00525E98">
        <w:rPr>
          <w:rStyle w:val="Bodytext31Sylfaen9"/>
          <w:b/>
          <w:i w:val="0"/>
          <w:sz w:val="24"/>
          <w:szCs w:val="24"/>
        </w:rPr>
        <w:t>Անալիտիկ մաղման սկզբունքները</w:t>
      </w:r>
      <w:r w:rsidRPr="00525E98">
        <w:rPr>
          <w:rStyle w:val="Bodytext31Sylfaen9"/>
          <w:i w:val="0"/>
          <w:sz w:val="24"/>
          <w:szCs w:val="24"/>
        </w:rPr>
        <w:t>:</w:t>
      </w:r>
    </w:p>
    <w:p w14:paraId="0D241929"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t>Անալիտիկ մաղերը պատրաստում են գործած մետաղալարային ցանցից, որի հյուսմամբ ապահովվում է անցքերի՝ գործնականորեն քառակուսի ձեւը, եւ որը ձուլված է բաց գլանաձեւ կոնտեյների հիմքին: Հիմնական անալիտիկ մեթոդը ներառում է մաղերի՝ մեկը մյուսի վրա տեղադրումը՝ անցքերի չափի մեծացման կարգով՝ հետագայում փորձարկվող փոշին վերին մաղի վրա տեղադրելով: Մաղերի հավաքածուն թափահարում են ստանդարտ ժամանակահատվածի ընթացքում, հետո ճշգրիտ որոշում են յուրաքանչյուր մաղի վրա մնացած նյութի զանգվածը: Փորձարկման արդյունքում ստանում են անցքերի չափի օգտագործվող ընդգրկույթի յուրաքանչյուր մաղի վրա փոշու թորամասերի պարունակությունը՝ տոկոսներով:</w:t>
      </w:r>
    </w:p>
    <w:p w14:paraId="3CE5F2D7"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i/>
          <w:sz w:val="24"/>
          <w:szCs w:val="24"/>
        </w:rPr>
      </w:pPr>
      <w:r w:rsidRPr="00525E98">
        <w:rPr>
          <w:rStyle w:val="Bodytext31Sylfaen9"/>
          <w:i w:val="0"/>
          <w:sz w:val="24"/>
          <w:szCs w:val="24"/>
        </w:rPr>
        <w:t>Մաղելու այդպիսի եղանակը հիմնականում կիրառում են միաբաղադրիչ փոշիների մասնիկների՝ ըստ չափի բաշխումը գնահատելու համար, որոնցից 80 %-ից ոչ պակասն ունեն 75 մկմ-ից ավելի չափ: Չափի՝ անալիտիկ մաղման</w:t>
      </w:r>
      <w:r w:rsidRPr="00B834A2">
        <w:rPr>
          <w:rStyle w:val="Bodytext31Sylfaen9"/>
          <w:sz w:val="24"/>
          <w:szCs w:val="24"/>
        </w:rPr>
        <w:t xml:space="preserve"> </w:t>
      </w:r>
      <w:r w:rsidRPr="00525E98">
        <w:rPr>
          <w:rStyle w:val="Bodytext31Sylfaen9"/>
          <w:i w:val="0"/>
          <w:sz w:val="24"/>
          <w:szCs w:val="24"/>
        </w:rPr>
        <w:t>մեթոդով մասնիկները բաշխելու գնահատման ժամանակ օգտագործվող պարամետրն այն նվազագույն քառակուսի անցքի կողմի երկարությունն է, որի միջով կարող է անցնել մասնիկը:</w:t>
      </w:r>
    </w:p>
    <w:p w14:paraId="5CA1FDBE" w14:textId="77777777" w:rsidR="00B603CA" w:rsidRDefault="00B603CA">
      <w:pPr>
        <w:rPr>
          <w:rStyle w:val="Bodytext31Sylfaen9"/>
          <w:b/>
          <w:sz w:val="24"/>
          <w:szCs w:val="24"/>
        </w:rPr>
      </w:pPr>
      <w:r>
        <w:rPr>
          <w:rStyle w:val="Bodytext31Sylfaen9"/>
          <w:b/>
          <w:sz w:val="24"/>
          <w:szCs w:val="24"/>
        </w:rPr>
        <w:br w:type="page"/>
      </w:r>
    </w:p>
    <w:p w14:paraId="4D90417B"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b/>
          <w:sz w:val="24"/>
          <w:szCs w:val="24"/>
        </w:rPr>
      </w:pPr>
      <w:r w:rsidRPr="00525E98">
        <w:rPr>
          <w:rStyle w:val="Bodytext31Sylfaen9"/>
          <w:b/>
          <w:sz w:val="24"/>
          <w:szCs w:val="24"/>
        </w:rPr>
        <w:lastRenderedPageBreak/>
        <w:t>ԱՆԱԼԻՏԻԿ ՄԱՂԵՐԸ</w:t>
      </w:r>
    </w:p>
    <w:p w14:paraId="322CF542" w14:textId="77777777" w:rsidR="00B834A2" w:rsidRPr="00B834A2" w:rsidRDefault="00B834A2" w:rsidP="00B834A2">
      <w:pPr>
        <w:spacing w:after="160" w:line="360" w:lineRule="auto"/>
        <w:ind w:firstLine="567"/>
        <w:jc w:val="both"/>
        <w:rPr>
          <w:rStyle w:val="Bodytext31Sylfaen9"/>
          <w:sz w:val="24"/>
          <w:szCs w:val="24"/>
        </w:rPr>
      </w:pPr>
      <w:r w:rsidRPr="00B834A2">
        <w:t xml:space="preserve">Անալիտիկ մաղերը, որոնք օգտագործվում են դեղագրքային փորձարկումների համար, պետք է համապատասխանեն </w:t>
      </w:r>
      <w:smartTag w:uri="urn:schemas-microsoft-com:office:smarttags" w:element="stockticker">
        <w:r w:rsidRPr="00B834A2">
          <w:rPr>
            <w:rStyle w:val="Bodytext2Italic"/>
            <w:rFonts w:eastAsia="Tahoma"/>
            <w:sz w:val="24"/>
            <w:szCs w:val="24"/>
          </w:rPr>
          <w:t>ISO</w:t>
        </w:r>
      </w:smartTag>
      <w:r w:rsidRPr="00B834A2">
        <w:rPr>
          <w:rStyle w:val="Bodytext2Italic"/>
          <w:rFonts w:eastAsia="Tahoma"/>
          <w:sz w:val="24"/>
          <w:szCs w:val="24"/>
        </w:rPr>
        <w:t xml:space="preserve"> 3310-1 Անալիտիկ մաղեր. Տեխնիկական պահանջներ </w:t>
      </w:r>
      <w:r>
        <w:rPr>
          <w:rStyle w:val="Bodytext2Italic"/>
          <w:rFonts w:eastAsia="Tahoma"/>
          <w:sz w:val="24"/>
          <w:szCs w:val="24"/>
        </w:rPr>
        <w:t>եւ</w:t>
      </w:r>
      <w:r w:rsidRPr="00B834A2">
        <w:rPr>
          <w:rStyle w:val="Bodytext2Italic"/>
          <w:rFonts w:eastAsia="Tahoma"/>
          <w:sz w:val="24"/>
          <w:szCs w:val="24"/>
        </w:rPr>
        <w:t xml:space="preserve"> փորձարկում. Մաս 1. Մետաղական ցանցից անալիտիկ մաղեր</w:t>
      </w:r>
      <w:r>
        <w:rPr>
          <w:rStyle w:val="Bodytext2Italic"/>
          <w:rFonts w:eastAsia="Tahoma"/>
          <w:sz w:val="24"/>
          <w:szCs w:val="24"/>
        </w:rPr>
        <w:t xml:space="preserve"> </w:t>
      </w:r>
      <w:r w:rsidRPr="00B834A2">
        <w:t>գործող հրատարակությանը</w:t>
      </w:r>
      <w:r w:rsidRPr="00B834A2">
        <w:rPr>
          <w:rStyle w:val="Bodytext2Italic"/>
          <w:rFonts w:eastAsia="Tahoma"/>
          <w:sz w:val="24"/>
          <w:szCs w:val="24"/>
        </w:rPr>
        <w:t xml:space="preserve"> </w:t>
      </w:r>
      <w:r w:rsidRPr="00B834A2">
        <w:rPr>
          <w:rStyle w:val="Bodytext31Sylfaen9"/>
          <w:sz w:val="24"/>
          <w:szCs w:val="24"/>
        </w:rPr>
        <w:t xml:space="preserve">(տե՛ս աղյուսակ 2.1.10.8-1): </w:t>
      </w:r>
      <w:r w:rsidRPr="00B834A2">
        <w:t xml:space="preserve">Մասնավոր դեղագրքային հոդվածներում այլ ցուցումների բացակայության դեպքում կիրառում են համապատասխան </w:t>
      </w:r>
      <w:smartTag w:uri="urn:schemas-microsoft-com:office:smarttags" w:element="stockticker">
        <w:r w:rsidRPr="00B834A2">
          <w:t>ISO</w:t>
        </w:r>
      </w:smartTag>
      <w:r w:rsidRPr="00B834A2">
        <w:t xml:space="preserve"> մաղեր՝ 2.1.10.8-1 աղյուսակում նշված անցքերի չափով, որոնք խորհուրդ են տրվում որոշակի տարածաշրջանների համար:</w:t>
      </w:r>
    </w:p>
    <w:p w14:paraId="01C9BC32"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sz w:val="24"/>
          <w:szCs w:val="24"/>
        </w:rPr>
      </w:pPr>
      <w:r w:rsidRPr="00525E98">
        <w:rPr>
          <w:rStyle w:val="Bodytext31Sylfaen9"/>
          <w:i w:val="0"/>
          <w:sz w:val="24"/>
          <w:szCs w:val="24"/>
        </w:rPr>
        <w:t>Մաղերն ընտրում են այնպես, որ դրանք ներառեն մասնիկների չափերի՝ փորձարկվող նմուշում առկա ամբողջ ընդգրկույթը: Առաջարկվում է օգտագործել այն մաղերի հավաքածուն, որոնց անցքերի մակերեսը փոփոխվում է v-պրոգրեսիայում: Մաղերի հավաքածուն տեղադրում են այնպես, որ անցքերի ամենախոշոր չափով մաղը լինի վերինը, իսկ անցքերի ամենամանր չափերով մաղը՝ ստորինը: Անալիտիկ մաղերի անցքերի չափն արտահայտում են միկրոմետրերով կամ միլիմետրերով: Անալիտիկ մաղերի պատրաստման համար օգտագործում են չժանգոտվող պողպատից մետաղալար կամ քիչ ցանկալի է՝ պղնձից կամ այլ համապատասխան քիմիական ոչ ակտիվ մետաղից:</w:t>
      </w:r>
    </w:p>
    <w:p w14:paraId="33458E20" w14:textId="77777777" w:rsidR="00B834A2" w:rsidRPr="00525E98" w:rsidRDefault="00B834A2" w:rsidP="00525E98">
      <w:pPr>
        <w:pStyle w:val="Bodytext20"/>
        <w:shd w:val="clear" w:color="auto" w:fill="auto"/>
        <w:spacing w:before="0" w:after="160" w:line="360" w:lineRule="auto"/>
        <w:ind w:firstLine="567"/>
        <w:jc w:val="both"/>
        <w:rPr>
          <w:rFonts w:ascii="Sylfaen" w:hAnsi="Sylfaen" w:cs="Sylfaen"/>
          <w:sz w:val="24"/>
          <w:szCs w:val="24"/>
        </w:rPr>
      </w:pPr>
      <w:r w:rsidRPr="00525E98">
        <w:rPr>
          <w:rFonts w:ascii="Sylfaen" w:hAnsi="Sylfaen"/>
          <w:sz w:val="24"/>
          <w:szCs w:val="24"/>
        </w:rPr>
        <w:t xml:space="preserve">Անալիտիկ մաղերի ստուգաճշտումը եւ կրկնակի ստուգաճշտումը կատարվում է </w:t>
      </w:r>
      <w:smartTag w:uri="urn:schemas-microsoft-com:office:smarttags" w:element="stockticker">
        <w:r w:rsidRPr="00525E98">
          <w:rPr>
            <w:rStyle w:val="Bodytext2Italic"/>
            <w:i w:val="0"/>
            <w:sz w:val="24"/>
            <w:szCs w:val="24"/>
          </w:rPr>
          <w:t>ISO</w:t>
        </w:r>
      </w:smartTag>
      <w:r w:rsidRPr="00525E98">
        <w:rPr>
          <w:rStyle w:val="Bodytext2Italic"/>
          <w:i w:val="0"/>
          <w:sz w:val="24"/>
          <w:szCs w:val="24"/>
        </w:rPr>
        <w:t xml:space="preserve"> 3310-1</w:t>
      </w:r>
      <w:r w:rsidRPr="00525E98">
        <w:rPr>
          <w:rFonts w:ascii="Sylfaen" w:hAnsi="Sylfaen"/>
          <w:sz w:val="24"/>
          <w:szCs w:val="24"/>
        </w:rPr>
        <w:t xml:space="preserve"> գործող հրատարակությանը համապատասխան:</w:t>
      </w:r>
      <w:r w:rsidRPr="00525E98">
        <w:rPr>
          <w:rStyle w:val="Bodytext31Sylfaen9"/>
          <w:i w:val="0"/>
          <w:sz w:val="24"/>
          <w:szCs w:val="24"/>
        </w:rPr>
        <w:t xml:space="preserve"> Նախքան օգտագործելը՝ մաղը մանրակրկտորեն ստուգում են կոպիտ ծռվածությունների եւ փաթաթածալքերի մասով, մասնավորապես՝ մաղի կարկասի միացումները: Թույլատրվում է մաղերի օպտիկական ստուգաճշտում՝ անցքի միջին չափը եւ անցքերի չափերում տարբերությունները որոշելու համար:</w:t>
      </w:r>
    </w:p>
    <w:p w14:paraId="0E6A31CE" w14:textId="77777777" w:rsidR="00B834A2" w:rsidRPr="00525E98" w:rsidRDefault="00B834A2" w:rsidP="00525E98">
      <w:pPr>
        <w:spacing w:after="160" w:line="360" w:lineRule="auto"/>
        <w:ind w:firstLine="567"/>
        <w:jc w:val="both"/>
        <w:rPr>
          <w:rStyle w:val="Bodytext31Sylfaen9"/>
          <w:i w:val="0"/>
          <w:sz w:val="24"/>
          <w:szCs w:val="24"/>
        </w:rPr>
      </w:pPr>
      <w:r w:rsidRPr="00525E98">
        <w:rPr>
          <w:rStyle w:val="Bodytext31Sylfaen9"/>
          <w:i w:val="0"/>
          <w:sz w:val="24"/>
          <w:szCs w:val="24"/>
        </w:rPr>
        <w:t>Անալիտիկ մաղերի</w:t>
      </w:r>
      <w:r w:rsidR="00525E98">
        <w:rPr>
          <w:rStyle w:val="Bodytext31Sylfaen9"/>
          <w:i w:val="0"/>
          <w:sz w:val="24"/>
          <w:szCs w:val="24"/>
        </w:rPr>
        <w:t xml:space="preserve"> (212-</w:t>
      </w:r>
      <w:r w:rsidRPr="00525E98">
        <w:rPr>
          <w:rStyle w:val="Bodytext31Sylfaen9"/>
          <w:i w:val="0"/>
          <w:sz w:val="24"/>
          <w:szCs w:val="24"/>
        </w:rPr>
        <w:t>850) մկմ չափերի ընդգրկույթում</w:t>
      </w:r>
      <w:r w:rsidRPr="00B834A2">
        <w:rPr>
          <w:rStyle w:val="Bodytext31Sylfaen9"/>
          <w:sz w:val="24"/>
          <w:szCs w:val="24"/>
        </w:rPr>
        <w:t xml:space="preserve"> </w:t>
      </w:r>
      <w:r w:rsidRPr="00525E98">
        <w:rPr>
          <w:rStyle w:val="Bodytext31Sylfaen9"/>
          <w:i w:val="0"/>
          <w:sz w:val="24"/>
          <w:szCs w:val="24"/>
        </w:rPr>
        <w:t xml:space="preserve">անցքերի էֆեկտիվությունը գնահատելու համար կիրառում են նաեւ ստանդարտ ապակե գնդիկներ: Մասնավոր դեղագրքային հոդվածներում այլ ցուցումների բացակայության դեպքում մաղային անալիզն անցկացնում են հսկվող սենյակային </w:t>
      </w:r>
      <w:r w:rsidRPr="00525E98">
        <w:rPr>
          <w:rStyle w:val="Bodytext31Sylfaen9"/>
          <w:i w:val="0"/>
          <w:sz w:val="24"/>
          <w:szCs w:val="24"/>
        </w:rPr>
        <w:lastRenderedPageBreak/>
        <w:t>ջերմաստիճանի եւ շրջակա միջավայրի հարաբերական խոնավության պայմաններում:</w:t>
      </w:r>
    </w:p>
    <w:p w14:paraId="1B055D97" w14:textId="77777777" w:rsidR="00B834A2" w:rsidRPr="00525E98" w:rsidRDefault="00B834A2" w:rsidP="00B834A2">
      <w:pPr>
        <w:spacing w:after="160" w:line="360" w:lineRule="auto"/>
        <w:ind w:firstLine="567"/>
        <w:jc w:val="both"/>
        <w:rPr>
          <w:rStyle w:val="Bodytext31Sylfaen9"/>
          <w:i w:val="0"/>
          <w:sz w:val="24"/>
          <w:szCs w:val="24"/>
        </w:rPr>
      </w:pPr>
      <w:r w:rsidRPr="00525E98">
        <w:rPr>
          <w:rStyle w:val="Bodytext2Italic"/>
          <w:rFonts w:eastAsia="Tahoma"/>
          <w:i w:val="0"/>
          <w:sz w:val="24"/>
          <w:szCs w:val="24"/>
        </w:rPr>
        <w:t>Անալիտիկ մաղերի մաքրումը.</w:t>
      </w:r>
      <w:r w:rsidRPr="00525E98">
        <w:rPr>
          <w:rStyle w:val="Bodytext31Sylfaen9"/>
          <w:i w:val="0"/>
          <w:sz w:val="24"/>
          <w:szCs w:val="24"/>
        </w:rPr>
        <w:t xml:space="preserve"> Իդեալական դեպքում անալիտիկ մաղերի մաքրման համար օգտագործում են միայն ցածր ճնշման տակ օդային շիթ կամ հեղուկի շիթ: Եթե որոշ անցքեր, այնուհանդերձ, խցանվում են փորձարկվող նմուշների մասնիկներով, ապա ծայրահեղ դեպքում թույլատրվում է փափուկ խոզանակի կիրառումը:</w:t>
      </w:r>
    </w:p>
    <w:p w14:paraId="37E434B6" w14:textId="77777777" w:rsidR="00B834A2" w:rsidRPr="00BA5F6E" w:rsidRDefault="00B834A2" w:rsidP="00BA5F6E">
      <w:pPr>
        <w:pStyle w:val="Bodytext20"/>
        <w:shd w:val="clear" w:color="auto" w:fill="auto"/>
        <w:spacing w:before="0" w:after="160" w:line="360" w:lineRule="auto"/>
        <w:ind w:firstLine="567"/>
        <w:jc w:val="both"/>
        <w:rPr>
          <w:rFonts w:ascii="Sylfaen" w:hAnsi="Sylfaen" w:cs="Sylfaen"/>
          <w:i/>
          <w:sz w:val="24"/>
          <w:szCs w:val="24"/>
        </w:rPr>
      </w:pPr>
      <w:r w:rsidRPr="00BA5F6E">
        <w:rPr>
          <w:rStyle w:val="Bodytext31Sylfaen9"/>
          <w:b/>
          <w:i w:val="0"/>
          <w:sz w:val="24"/>
          <w:szCs w:val="24"/>
        </w:rPr>
        <w:t>Փորձարկվող նմուշը</w:t>
      </w:r>
      <w:r w:rsidRPr="00525E98">
        <w:rPr>
          <w:rStyle w:val="Bodytext31Sylfaen9"/>
          <w:i w:val="0"/>
          <w:sz w:val="24"/>
          <w:szCs w:val="24"/>
        </w:rPr>
        <w:t xml:space="preserve">. </w:t>
      </w:r>
      <w:r w:rsidRPr="00BA5F6E">
        <w:rPr>
          <w:rFonts w:ascii="Sylfaen" w:hAnsi="Sylfaen"/>
          <w:sz w:val="24"/>
          <w:szCs w:val="24"/>
        </w:rPr>
        <w:t>Եթե մասնավոր դեղագրքային հոդվածում կոնկրետ</w:t>
      </w:r>
      <w:r w:rsidRPr="00B834A2">
        <w:rPr>
          <w:rFonts w:ascii="Sylfaen" w:hAnsi="Sylfaen"/>
          <w:sz w:val="24"/>
          <w:szCs w:val="24"/>
        </w:rPr>
        <w:t xml:space="preserve"> փորձարկվող նմուշի համար կշռանմուշի զանգվածի վերաբերյալ չկան ցուցումներ, ապա 200 մմ տրամագծով անալիտիկ մաղերով փորձարկման համար օգտագործում են (25-100) գ զանգվածով փորձարկվող նմուշ՝ պայմանավորված դրա լցման խտությամբ:</w:t>
      </w:r>
      <w:r w:rsidRPr="00B834A2">
        <w:rPr>
          <w:rStyle w:val="Bodytext31Sylfaen9"/>
          <w:sz w:val="24"/>
          <w:szCs w:val="24"/>
        </w:rPr>
        <w:t xml:space="preserve"> </w:t>
      </w:r>
      <w:r w:rsidRPr="00BA5F6E">
        <w:rPr>
          <w:rStyle w:val="Bodytext31Sylfaen9"/>
          <w:i w:val="0"/>
          <w:sz w:val="24"/>
          <w:szCs w:val="24"/>
        </w:rPr>
        <w:t>76 մմ տրամագծով մաղերի համար փորձարկվող նմուշի քանակը պետք է կազմի դրա այն քանակության մոտ 1/7-ը, որը նախատեսված է 200 մմ տրամագծով անալիտիկ մաղերի վրա փորձարկումների համար</w:t>
      </w:r>
      <w:r w:rsidRPr="00B834A2">
        <w:rPr>
          <w:rStyle w:val="Bodytext31Sylfaen9"/>
          <w:sz w:val="24"/>
          <w:szCs w:val="24"/>
        </w:rPr>
        <w:t xml:space="preserve">: </w:t>
      </w:r>
      <w:r w:rsidRPr="00B834A2">
        <w:rPr>
          <w:rFonts w:ascii="Sylfaen" w:hAnsi="Sylfaen"/>
          <w:sz w:val="24"/>
          <w:szCs w:val="24"/>
        </w:rPr>
        <w:t xml:space="preserve">Կոնկրետ նմուշի համար ավելի նախընտրելի զանգվածը որոշում են տարբեր զանգվածների ճշգրիտ կշռանմուշների մաղումով, օրինակ՝ 25 գ, 50 գ </w:t>
      </w:r>
      <w:r>
        <w:rPr>
          <w:rFonts w:ascii="Sylfaen" w:hAnsi="Sylfaen"/>
          <w:sz w:val="24"/>
          <w:szCs w:val="24"/>
        </w:rPr>
        <w:t>եւ</w:t>
      </w:r>
      <w:r w:rsidRPr="00B834A2">
        <w:rPr>
          <w:rFonts w:ascii="Sylfaen" w:hAnsi="Sylfaen"/>
          <w:sz w:val="24"/>
          <w:szCs w:val="24"/>
        </w:rPr>
        <w:t xml:space="preserve"> 100 գ, մի</w:t>
      </w:r>
      <w:r>
        <w:rPr>
          <w:rFonts w:ascii="Sylfaen" w:hAnsi="Sylfaen"/>
          <w:sz w:val="24"/>
          <w:szCs w:val="24"/>
        </w:rPr>
        <w:t>եւ</w:t>
      </w:r>
      <w:r w:rsidRPr="00B834A2">
        <w:rPr>
          <w:rFonts w:ascii="Sylfaen" w:hAnsi="Sylfaen"/>
          <w:sz w:val="24"/>
          <w:szCs w:val="24"/>
        </w:rPr>
        <w:t>նույն ժամանակահատվածի ընթացքում՝ օգտագործելով մեխանիկական թափահարիչ (ծանոթագրություն.</w:t>
      </w:r>
      <w:r w:rsidRPr="00B834A2">
        <w:rPr>
          <w:rStyle w:val="Bodytext31Sylfaen9"/>
          <w:sz w:val="24"/>
          <w:szCs w:val="24"/>
        </w:rPr>
        <w:t xml:space="preserve"> </w:t>
      </w:r>
      <w:r w:rsidRPr="00B834A2">
        <w:rPr>
          <w:rFonts w:ascii="Sylfaen" w:hAnsi="Sylfaen"/>
          <w:sz w:val="24"/>
          <w:szCs w:val="24"/>
        </w:rPr>
        <w:t xml:space="preserve">եթե փորձարկման արդյունքները նման են 25 գ </w:t>
      </w:r>
      <w:r>
        <w:rPr>
          <w:rFonts w:ascii="Sylfaen" w:hAnsi="Sylfaen"/>
          <w:sz w:val="24"/>
          <w:szCs w:val="24"/>
        </w:rPr>
        <w:t>եւ</w:t>
      </w:r>
      <w:r w:rsidRPr="00B834A2">
        <w:rPr>
          <w:rFonts w:ascii="Sylfaen" w:hAnsi="Sylfaen"/>
          <w:sz w:val="24"/>
          <w:szCs w:val="24"/>
        </w:rPr>
        <w:t xml:space="preserve"> 50 գ կշռանմուշների համար արդյունքներին, սակայն 100 գ կշռանմուշի համար ստացվել է ամենափոքր մաղի միջով մաղելու՝ տոկոսներով ավելի ցածր արդյունք, ապա 100 գ կշռանմուշը չափազանց մեծ է տվյալ նմուշի համար</w:t>
      </w:r>
      <w:r w:rsidRPr="00BA5F6E">
        <w:rPr>
          <w:rFonts w:ascii="Sylfaen" w:hAnsi="Sylfaen"/>
          <w:i/>
          <w:sz w:val="24"/>
          <w:szCs w:val="24"/>
        </w:rPr>
        <w:t>):</w:t>
      </w:r>
      <w:r w:rsidRPr="00BA5F6E">
        <w:rPr>
          <w:rStyle w:val="Bodytext31Sylfaen9"/>
          <w:i w:val="0"/>
          <w:sz w:val="24"/>
          <w:szCs w:val="24"/>
        </w:rPr>
        <w:t xml:space="preserve"> Եթե կա փորձարկվող նմուշի միայն 10-25 գ, թույլատրվում է անալիտիկ մաղերը փոխարինել ավելի փոքր տրամագծով եւ միեւնույն մասնագրերին համապատասխանող ցանցով մաղերով, սակայն մաղելու վերջնակետը պետք է սահմանվի նորից: Թույլատրվում է անցկացնել ավելի քիչ (այսինքն 5 գ-ից քիչ) զանգվածով կշռանմուշի փորձարկումներ:</w:t>
      </w:r>
      <w:r w:rsidRPr="00B834A2">
        <w:rPr>
          <w:rStyle w:val="Bodytext31Sylfaen9"/>
          <w:sz w:val="24"/>
          <w:szCs w:val="24"/>
        </w:rPr>
        <w:t xml:space="preserve"> </w:t>
      </w:r>
      <w:r w:rsidRPr="00B834A2">
        <w:rPr>
          <w:rFonts w:ascii="Sylfaen" w:hAnsi="Sylfaen"/>
          <w:sz w:val="24"/>
          <w:szCs w:val="24"/>
        </w:rPr>
        <w:t>Ցածր թվացյալ (լցման) խտությամբ նմուշների դեպքում մասնիկների կամ նմուշների դեպքում, որոնք մեծամասամբ բաղկացած են արտահայտված իզոտրամագծային ձ</w:t>
      </w:r>
      <w:r>
        <w:rPr>
          <w:rFonts w:ascii="Sylfaen" w:hAnsi="Sylfaen"/>
          <w:sz w:val="24"/>
          <w:szCs w:val="24"/>
        </w:rPr>
        <w:t>եւ</w:t>
      </w:r>
      <w:r w:rsidRPr="00B834A2">
        <w:rPr>
          <w:rFonts w:ascii="Sylfaen" w:hAnsi="Sylfaen"/>
          <w:sz w:val="24"/>
          <w:szCs w:val="24"/>
        </w:rPr>
        <w:t xml:space="preserve">ի մասնիկներից, 200 մմ տրամագծով մաղերով փորձարկումների համար կարող են պահանջվել 5 գ-ից </w:t>
      </w:r>
      <w:r w:rsidRPr="00B834A2">
        <w:rPr>
          <w:rFonts w:ascii="Sylfaen" w:hAnsi="Sylfaen"/>
          <w:sz w:val="24"/>
          <w:szCs w:val="24"/>
        </w:rPr>
        <w:lastRenderedPageBreak/>
        <w:t>պակաս զանգվածով կշռանմուշներ՝ մասնիկների՝ մաղին չափազանց շատ կպչելը կանխելու համար:</w:t>
      </w:r>
      <w:r w:rsidRPr="00B834A2">
        <w:rPr>
          <w:rStyle w:val="Bodytext31Sylfaen9"/>
          <w:sz w:val="24"/>
          <w:szCs w:val="24"/>
        </w:rPr>
        <w:t xml:space="preserve"> </w:t>
      </w:r>
      <w:r w:rsidRPr="00BA5F6E">
        <w:rPr>
          <w:rStyle w:val="Bodytext31Sylfaen9"/>
          <w:i w:val="0"/>
          <w:sz w:val="24"/>
          <w:szCs w:val="24"/>
        </w:rPr>
        <w:t>Անալիտիկ մաղման որոշակի մեթոդիկայի վալիդացում անցկացնելու համար անհրաժեշտ է գնահատել փորձարկվող նմուշի մասնիկներով մաղի անցքերը խցանվելու հետ կապված խնդիրները:</w:t>
      </w:r>
    </w:p>
    <w:p w14:paraId="48C6EF33" w14:textId="77777777" w:rsidR="00B834A2" w:rsidRPr="00BA5F6E" w:rsidRDefault="00B834A2" w:rsidP="00B834A2">
      <w:pPr>
        <w:spacing w:after="160" w:line="360" w:lineRule="auto"/>
        <w:ind w:firstLine="567"/>
        <w:jc w:val="both"/>
        <w:rPr>
          <w:rStyle w:val="Bodytext31Sylfaen9"/>
          <w:i w:val="0"/>
          <w:sz w:val="24"/>
          <w:szCs w:val="24"/>
        </w:rPr>
      </w:pPr>
      <w:r w:rsidRPr="00BA5F6E">
        <w:rPr>
          <w:rStyle w:val="Bodytext31Sylfaen9"/>
          <w:b/>
          <w:i w:val="0"/>
          <w:sz w:val="24"/>
          <w:szCs w:val="24"/>
        </w:rPr>
        <w:t>Թափահարման եղանակները.</w:t>
      </w:r>
      <w:r w:rsidRPr="00BA5F6E">
        <w:rPr>
          <w:rStyle w:val="Bodytext31Sylfaen9"/>
          <w:i w:val="0"/>
          <w:sz w:val="24"/>
          <w:szCs w:val="24"/>
        </w:rPr>
        <w:t xml:space="preserve"> Մաղով անալիզ անցկացնելու համար կարող</w:t>
      </w:r>
      <w:r w:rsidR="00BA5F6E">
        <w:rPr>
          <w:rStyle w:val="Bodytext31Sylfaen9"/>
          <w:i w:val="0"/>
          <w:sz w:val="24"/>
          <w:szCs w:val="24"/>
        </w:rPr>
        <w:t> </w:t>
      </w:r>
      <w:r w:rsidRPr="00BA5F6E">
        <w:rPr>
          <w:rStyle w:val="Bodytext31Sylfaen9"/>
          <w:i w:val="0"/>
          <w:sz w:val="24"/>
          <w:szCs w:val="24"/>
        </w:rPr>
        <w:t>են օգտագործվել մաղերի եւ փոշիների թափահարման համար հարմարանքների՝ վաճառքում գոյություն ունեցող տարբեր տեսակներ</w:t>
      </w:r>
      <w:r w:rsidRPr="00B834A2">
        <w:rPr>
          <w:rStyle w:val="Bodytext31Sylfaen9"/>
          <w:sz w:val="24"/>
          <w:szCs w:val="24"/>
        </w:rPr>
        <w:t xml:space="preserve">: </w:t>
      </w:r>
      <w:r w:rsidRPr="00B834A2">
        <w:t xml:space="preserve">Սակայն թափահարման տարբեր եղանակները կարող են տալ մաղով անալիզի </w:t>
      </w:r>
      <w:r>
        <w:t>եւ</w:t>
      </w:r>
      <w:r w:rsidRPr="00B834A2">
        <w:t xml:space="preserve"> մաղելու վերջնակետերի որոշման տարբեր արդյունքներ, քանի որ փորձարկման ժամանակ յուրաքանչյուր մասնիկի վրա ազդում են տարբեր տիպի </w:t>
      </w:r>
      <w:r>
        <w:t>եւ</w:t>
      </w:r>
      <w:r w:rsidRPr="00B834A2">
        <w:t xml:space="preserve"> մեծության ուժեր: </w:t>
      </w:r>
      <w:r w:rsidRPr="00BA5F6E">
        <w:rPr>
          <w:rStyle w:val="Bodytext31Sylfaen9"/>
          <w:i w:val="0"/>
          <w:sz w:val="24"/>
          <w:szCs w:val="24"/>
        </w:rPr>
        <w:t>Գոյություն ունեցող սարքերում օգտագործում են մեխանիկական կամ էլեկտրամագնիսական թափահարում, մասնիկների ուղղահայաց տատանում կամ հորիզոնական շրջանաձեւ շարժ առաջացնող մեթոդներ, թրթռում կամ թրթռման ու մասնիկների հորիզոնական շրջանաձեւ շարժի համակցություն: Մասնիկները թափահարելու համար թույլ է տրվում կիրառել նաեւ օդային շիթ: Արդյունքներում պետք է նշվեն թափահարման օգտագործվող մեթոդը եւ պարամետրերը (դրանց հնարավոր փոփոխման դեպքում), քանի որ թափահարման պայմանների փոփոխությունը կարող է հանգեցնել մաղով անալիզի եւ մաղելու վերջնակետերի որոշման՝ տարբերվող եւ սխալ արդյունքների:</w:t>
      </w:r>
    </w:p>
    <w:p w14:paraId="12D36381" w14:textId="77777777" w:rsidR="00B834A2" w:rsidRPr="00DE4F37" w:rsidRDefault="00B834A2" w:rsidP="00B834A2">
      <w:pPr>
        <w:spacing w:after="160" w:line="360" w:lineRule="auto"/>
        <w:ind w:firstLine="567"/>
        <w:jc w:val="both"/>
      </w:pPr>
      <w:r w:rsidRPr="00BA5F6E">
        <w:rPr>
          <w:rStyle w:val="Bodytext31Sylfaen9"/>
          <w:b/>
          <w:i w:val="0"/>
          <w:sz w:val="24"/>
          <w:szCs w:val="24"/>
        </w:rPr>
        <w:t>Մաղման վերջնակետի որոշումը</w:t>
      </w:r>
      <w:r w:rsidRPr="00B834A2">
        <w:rPr>
          <w:rStyle w:val="Bodytext31Sylfaen9"/>
          <w:sz w:val="24"/>
          <w:szCs w:val="24"/>
        </w:rPr>
        <w:t xml:space="preserve">. </w:t>
      </w:r>
      <w:r w:rsidRPr="00B834A2">
        <w:t>Մաղով անալիզը համարում են ավարտված, եթե ցանկացած անալիտիկ մաղի վրա մնացորդի զանգվածը 5 %-ից ոչ ավելի կամ 0,1 գ-ով (76 մմ տրամագծով մաղով մաղելիս 10 %) չի տարբերվում նախորդ կշռման ժամանակ տվյալ մաղով կշռելիս դրա զանգվածից:</w:t>
      </w:r>
      <w:r w:rsidRPr="00B834A2">
        <w:rPr>
          <w:rStyle w:val="Bodytext31Sylfaen9"/>
          <w:sz w:val="24"/>
          <w:szCs w:val="24"/>
        </w:rPr>
        <w:t xml:space="preserve"> </w:t>
      </w:r>
      <w:r w:rsidRPr="00B834A2">
        <w:t>Եթե մաղի վրա մնացորդի զանգվածը կազմում է կշռանմուշի ընդհանուր զանգվածի 5 %-ից պակաս, ապա մաղելու վերջնակետը մեծացնում են այնպես, որ մի</w:t>
      </w:r>
      <w:r>
        <w:t>եւ</w:t>
      </w:r>
      <w:r w:rsidRPr="00B834A2">
        <w:t>նույն մաղով երկու կրկնվող կշռումների ժամանակ զանգվածների տարբերությունը կազմի 20</w:t>
      </w:r>
      <w:r w:rsidR="00BA5F6E">
        <w:t> </w:t>
      </w:r>
      <w:r w:rsidRPr="00B834A2">
        <w:t xml:space="preserve">%-ից ոչ ավելի: </w:t>
      </w:r>
    </w:p>
    <w:p w14:paraId="529CF586" w14:textId="77777777" w:rsidR="00B603CA" w:rsidRPr="00DE4F37" w:rsidRDefault="00B603CA" w:rsidP="00B834A2">
      <w:pPr>
        <w:spacing w:after="160" w:line="360" w:lineRule="auto"/>
        <w:ind w:firstLine="567"/>
        <w:jc w:val="both"/>
        <w:rPr>
          <w:rStyle w:val="Bodytext31Sylfaen9"/>
          <w:sz w:val="24"/>
          <w:szCs w:val="24"/>
        </w:rPr>
      </w:pPr>
    </w:p>
    <w:p w14:paraId="6A83EF37" w14:textId="77777777" w:rsidR="00B834A2" w:rsidRPr="00B834A2" w:rsidRDefault="00B834A2" w:rsidP="00B834A2">
      <w:pPr>
        <w:spacing w:after="160" w:line="360" w:lineRule="auto"/>
        <w:jc w:val="both"/>
        <w:rPr>
          <w:rStyle w:val="Bodytext31Sylfaen9"/>
          <w:sz w:val="24"/>
          <w:szCs w:val="24"/>
        </w:rPr>
      </w:pPr>
      <w:r w:rsidRPr="00B834A2">
        <w:lastRenderedPageBreak/>
        <w:t xml:space="preserve">Եթե մաղի վրա մնացորդի զանգվածը կազմում է կշռանմուշի ընդհանուր զանգվածի 50 %-ից ավելին, ապա մասնավոր դեղագրքային հոդվածում այլ ցուցումների բացակայության դեպքում փորձարկումը կրկնում են՝ մաղերի հավաքածուին ավելացնելով լրացուցիչ մաղ, որը, ըստ նմուշի ավելցուկային զանգված պարունակող մաղի անցքերի չափի, համարվում է միջանկյալ, </w:t>
      </w:r>
      <w:r>
        <w:t>եւ</w:t>
      </w:r>
      <w:r w:rsidRPr="00B834A2">
        <w:t xml:space="preserve"> օրիգինալ հավաքածուից անցքերի ամենամեծ չափով հաջորդ մաղով, այսինքն՝ ավելացնելով մաղերի տիպային հավաքածուից հանված մաղ՝ </w:t>
      </w:r>
      <w:smartTag w:uri="urn:schemas-microsoft-com:office:smarttags" w:element="stockticker">
        <w:r w:rsidRPr="00B834A2">
          <w:t>ISO</w:t>
        </w:r>
      </w:smartTag>
      <w:r w:rsidRPr="00B834A2">
        <w:t>-ին համապատասխան սերիայից:</w:t>
      </w:r>
    </w:p>
    <w:p w14:paraId="627D1381" w14:textId="77777777" w:rsidR="00B834A2" w:rsidRPr="00BA5F6E" w:rsidRDefault="00B834A2" w:rsidP="004A7CC9">
      <w:pPr>
        <w:spacing w:after="160" w:line="360" w:lineRule="auto"/>
        <w:ind w:firstLine="567"/>
        <w:jc w:val="both"/>
        <w:rPr>
          <w:rStyle w:val="Headerorfooter3"/>
          <w:rFonts w:ascii="Sylfaen" w:eastAsia="Tahoma" w:hAnsi="Sylfaen"/>
          <w:iCs w:val="0"/>
          <w:sz w:val="24"/>
          <w:szCs w:val="24"/>
        </w:rPr>
      </w:pPr>
      <w:r w:rsidRPr="00BA5F6E">
        <w:rPr>
          <w:rStyle w:val="Headerorfooter3NotItalic"/>
          <w:rFonts w:ascii="Sylfaen" w:eastAsia="Tahoma" w:hAnsi="Sylfaen"/>
          <w:i w:val="0"/>
          <w:sz w:val="24"/>
          <w:szCs w:val="24"/>
        </w:rPr>
        <w:t>Աղյուսակ 2.1.10.8-1</w:t>
      </w:r>
      <w:r w:rsidRPr="00B834A2">
        <w:rPr>
          <w:rStyle w:val="Headerorfooter3NotItalic"/>
          <w:rFonts w:ascii="Sylfaen" w:eastAsia="Tahoma" w:hAnsi="Sylfaen"/>
          <w:sz w:val="24"/>
          <w:szCs w:val="24"/>
        </w:rPr>
        <w:t xml:space="preserve"> </w:t>
      </w:r>
      <w:r w:rsidR="009217DE">
        <w:rPr>
          <w:rStyle w:val="Headerorfooter3"/>
          <w:rFonts w:ascii="Sylfaen" w:eastAsia="Tahoma" w:hAnsi="Sylfaen"/>
          <w:i w:val="0"/>
          <w:sz w:val="24"/>
          <w:szCs w:val="24"/>
        </w:rPr>
        <w:t>-</w:t>
      </w:r>
      <w:r w:rsidRPr="00B834A2">
        <w:rPr>
          <w:rStyle w:val="Headerorfooter3"/>
          <w:rFonts w:ascii="Sylfaen" w:eastAsia="Tahoma" w:hAnsi="Sylfaen"/>
          <w:i w:val="0"/>
          <w:sz w:val="24"/>
          <w:szCs w:val="24"/>
        </w:rPr>
        <w:t xml:space="preserve"> </w:t>
      </w:r>
      <w:r w:rsidRPr="00BA5F6E">
        <w:rPr>
          <w:rStyle w:val="Headerorfooter3"/>
          <w:rFonts w:ascii="Sylfaen" w:eastAsia="Tahoma" w:hAnsi="Sylfaen"/>
          <w:sz w:val="24"/>
          <w:szCs w:val="24"/>
        </w:rPr>
        <w:t>Մետաղական ցանցից անալիտիկ մաղեր</w:t>
      </w:r>
    </w:p>
    <w:tbl>
      <w:tblPr>
        <w:tblOverlap w:val="never"/>
        <w:tblW w:w="0" w:type="auto"/>
        <w:tblLayout w:type="fixed"/>
        <w:tblCellMar>
          <w:left w:w="10" w:type="dxa"/>
          <w:right w:w="10" w:type="dxa"/>
        </w:tblCellMar>
        <w:tblLook w:val="0000" w:firstRow="0" w:lastRow="0" w:firstColumn="0" w:lastColumn="0" w:noHBand="0" w:noVBand="0"/>
      </w:tblPr>
      <w:tblGrid>
        <w:gridCol w:w="1464"/>
        <w:gridCol w:w="1262"/>
        <w:gridCol w:w="1512"/>
        <w:gridCol w:w="1085"/>
        <w:gridCol w:w="1546"/>
        <w:gridCol w:w="1258"/>
        <w:gridCol w:w="1301"/>
      </w:tblGrid>
      <w:tr w:rsidR="00B834A2" w:rsidRPr="00BA5F6E" w14:paraId="30EE2AA0" w14:textId="77777777" w:rsidTr="004A7CC9">
        <w:trPr>
          <w:tblHeader/>
        </w:trPr>
        <w:tc>
          <w:tcPr>
            <w:tcW w:w="4238" w:type="dxa"/>
            <w:gridSpan w:val="3"/>
            <w:tcBorders>
              <w:top w:val="single" w:sz="4" w:space="0" w:color="auto"/>
            </w:tcBorders>
            <w:shd w:val="clear" w:color="auto" w:fill="FFFFFF"/>
            <w:vAlign w:val="bottom"/>
          </w:tcPr>
          <w:p w14:paraId="736225B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 xml:space="preserve">Անցքի անվանական չափը՝ </w:t>
            </w:r>
            <w:smartTag w:uri="urn:schemas-microsoft-com:office:smarttags" w:element="stockticker">
              <w:r w:rsidRPr="00BA5F6E">
                <w:rPr>
                  <w:rStyle w:val="Bodytext31Sylfaen9"/>
                  <w:i w:val="0"/>
                  <w:sz w:val="20"/>
                  <w:szCs w:val="20"/>
                </w:rPr>
                <w:t>ISO</w:t>
              </w:r>
            </w:smartTag>
            <w:r w:rsidRPr="00BA5F6E">
              <w:rPr>
                <w:rStyle w:val="Bodytext31Sylfaen9"/>
                <w:i w:val="0"/>
                <w:sz w:val="20"/>
                <w:szCs w:val="20"/>
              </w:rPr>
              <w:t>-ին համապատասխան</w:t>
            </w:r>
          </w:p>
        </w:tc>
        <w:tc>
          <w:tcPr>
            <w:tcW w:w="1085" w:type="dxa"/>
            <w:vMerge w:val="restart"/>
            <w:tcBorders>
              <w:top w:val="single" w:sz="4" w:space="0" w:color="auto"/>
              <w:left w:val="single" w:sz="4" w:space="0" w:color="auto"/>
            </w:tcBorders>
            <w:shd w:val="clear" w:color="auto" w:fill="FFFFFF"/>
            <w:vAlign w:val="center"/>
          </w:tcPr>
          <w:p w14:paraId="174E9064" w14:textId="77777777" w:rsidR="00B834A2" w:rsidRPr="00BA5F6E" w:rsidRDefault="00B834A2" w:rsidP="00C005F7">
            <w:pPr>
              <w:pStyle w:val="Bodytext20"/>
              <w:shd w:val="clear" w:color="auto" w:fill="auto"/>
              <w:spacing w:before="0" w:line="240" w:lineRule="auto"/>
              <w:ind w:left="15"/>
              <w:rPr>
                <w:rFonts w:ascii="Sylfaen" w:hAnsi="Sylfaen" w:cs="Sylfaen"/>
                <w:sz w:val="20"/>
                <w:szCs w:val="20"/>
              </w:rPr>
            </w:pPr>
            <w:r w:rsidRPr="00BA5F6E">
              <w:rPr>
                <w:rStyle w:val="Bodytext31Sylfaen9"/>
                <w:i w:val="0"/>
                <w:sz w:val="20"/>
                <w:szCs w:val="20"/>
              </w:rPr>
              <w:t>ԱՄՆ մաղեր թիվ</w:t>
            </w:r>
          </w:p>
        </w:tc>
        <w:tc>
          <w:tcPr>
            <w:tcW w:w="1546" w:type="dxa"/>
            <w:vMerge w:val="restart"/>
            <w:tcBorders>
              <w:top w:val="single" w:sz="4" w:space="0" w:color="auto"/>
              <w:left w:val="single" w:sz="4" w:space="0" w:color="auto"/>
            </w:tcBorders>
            <w:shd w:val="clear" w:color="auto" w:fill="FFFFFF"/>
            <w:vAlign w:val="bottom"/>
          </w:tcPr>
          <w:p w14:paraId="3C05FFCE" w14:textId="77777777" w:rsidR="00B834A2" w:rsidRPr="00BA5F6E" w:rsidRDefault="00B834A2" w:rsidP="00C005F7">
            <w:pPr>
              <w:pStyle w:val="Bodytext20"/>
              <w:shd w:val="clear" w:color="auto" w:fill="auto"/>
              <w:spacing w:before="0" w:line="240" w:lineRule="auto"/>
              <w:ind w:left="15"/>
              <w:rPr>
                <w:rFonts w:ascii="Sylfaen" w:hAnsi="Sylfaen" w:cs="Sylfaen"/>
                <w:sz w:val="20"/>
                <w:szCs w:val="20"/>
              </w:rPr>
            </w:pPr>
            <w:r w:rsidRPr="00BA5F6E">
              <w:rPr>
                <w:rStyle w:val="Bodytext31Sylfaen9"/>
                <w:i w:val="0"/>
                <w:sz w:val="20"/>
                <w:szCs w:val="20"/>
              </w:rPr>
              <w:t>ԱՄՆ Ֆ-ի կողմից խորհուրդ տրված մաղեր (մկմ)</w:t>
            </w:r>
          </w:p>
        </w:tc>
        <w:tc>
          <w:tcPr>
            <w:tcW w:w="1258" w:type="dxa"/>
            <w:vMerge w:val="restart"/>
            <w:tcBorders>
              <w:top w:val="single" w:sz="4" w:space="0" w:color="auto"/>
              <w:left w:val="single" w:sz="4" w:space="0" w:color="auto"/>
            </w:tcBorders>
            <w:shd w:val="clear" w:color="auto" w:fill="FFFFFF"/>
            <w:vAlign w:val="center"/>
          </w:tcPr>
          <w:p w14:paraId="4D335382" w14:textId="77777777" w:rsidR="00B834A2" w:rsidRPr="00BA5F6E" w:rsidRDefault="00B834A2" w:rsidP="00C005F7">
            <w:pPr>
              <w:pStyle w:val="Bodytext20"/>
              <w:shd w:val="clear" w:color="auto" w:fill="auto"/>
              <w:spacing w:before="0" w:line="240" w:lineRule="auto"/>
              <w:ind w:left="15"/>
              <w:rPr>
                <w:rFonts w:ascii="Sylfaen" w:hAnsi="Sylfaen" w:cs="Sylfaen"/>
                <w:sz w:val="20"/>
                <w:szCs w:val="20"/>
              </w:rPr>
            </w:pPr>
            <w:r w:rsidRPr="00BA5F6E">
              <w:rPr>
                <w:rStyle w:val="Bodytext31Sylfaen9"/>
                <w:i w:val="0"/>
                <w:sz w:val="20"/>
                <w:szCs w:val="20"/>
              </w:rPr>
              <w:t>Եվրոպական մաղեր թիվ</w:t>
            </w:r>
          </w:p>
        </w:tc>
        <w:tc>
          <w:tcPr>
            <w:tcW w:w="1301" w:type="dxa"/>
            <w:vMerge w:val="restart"/>
            <w:tcBorders>
              <w:top w:val="single" w:sz="4" w:space="0" w:color="auto"/>
              <w:left w:val="single" w:sz="4" w:space="0" w:color="auto"/>
            </w:tcBorders>
            <w:shd w:val="clear" w:color="auto" w:fill="FFFFFF"/>
            <w:vAlign w:val="center"/>
          </w:tcPr>
          <w:p w14:paraId="45177B9E" w14:textId="77777777" w:rsidR="00B834A2" w:rsidRPr="00BA5F6E" w:rsidRDefault="00B834A2" w:rsidP="00C005F7">
            <w:pPr>
              <w:pStyle w:val="Bodytext20"/>
              <w:shd w:val="clear" w:color="auto" w:fill="auto"/>
              <w:spacing w:before="0" w:line="240" w:lineRule="auto"/>
              <w:ind w:left="15"/>
              <w:rPr>
                <w:rFonts w:ascii="Sylfaen" w:hAnsi="Sylfaen" w:cs="Sylfaen"/>
                <w:sz w:val="20"/>
                <w:szCs w:val="20"/>
              </w:rPr>
            </w:pPr>
            <w:r w:rsidRPr="00BA5F6E">
              <w:rPr>
                <w:rStyle w:val="Bodytext31Sylfaen9"/>
                <w:i w:val="0"/>
                <w:sz w:val="20"/>
                <w:szCs w:val="20"/>
              </w:rPr>
              <w:t>Ճապոնական մաղեր թիվ</w:t>
            </w:r>
          </w:p>
        </w:tc>
      </w:tr>
      <w:tr w:rsidR="00B834A2" w:rsidRPr="00BA5F6E" w14:paraId="7DF126A6" w14:textId="77777777" w:rsidTr="004A7CC9">
        <w:trPr>
          <w:tblHeader/>
        </w:trPr>
        <w:tc>
          <w:tcPr>
            <w:tcW w:w="1464" w:type="dxa"/>
            <w:tcBorders>
              <w:top w:val="single" w:sz="4" w:space="0" w:color="auto"/>
            </w:tcBorders>
            <w:shd w:val="clear" w:color="auto" w:fill="FFFFFF"/>
            <w:vAlign w:val="center"/>
          </w:tcPr>
          <w:p w14:paraId="3BE607E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Հիմնական չափը</w:t>
            </w:r>
          </w:p>
        </w:tc>
        <w:tc>
          <w:tcPr>
            <w:tcW w:w="2774" w:type="dxa"/>
            <w:gridSpan w:val="2"/>
            <w:tcBorders>
              <w:top w:val="single" w:sz="4" w:space="0" w:color="auto"/>
              <w:left w:val="single" w:sz="4" w:space="0" w:color="auto"/>
              <w:bottom w:val="single" w:sz="4" w:space="0" w:color="auto"/>
            </w:tcBorders>
            <w:shd w:val="clear" w:color="auto" w:fill="FFFFFF"/>
            <w:vAlign w:val="center"/>
          </w:tcPr>
          <w:p w14:paraId="02C90EB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Լրացուցիչ չափը</w:t>
            </w:r>
          </w:p>
        </w:tc>
        <w:tc>
          <w:tcPr>
            <w:tcW w:w="1085" w:type="dxa"/>
            <w:vMerge/>
            <w:tcBorders>
              <w:left w:val="single" w:sz="4" w:space="0" w:color="auto"/>
            </w:tcBorders>
            <w:shd w:val="clear" w:color="auto" w:fill="FFFFFF"/>
            <w:vAlign w:val="center"/>
          </w:tcPr>
          <w:p w14:paraId="7646635C" w14:textId="77777777" w:rsidR="00B834A2" w:rsidRPr="00BA5F6E" w:rsidRDefault="00B834A2" w:rsidP="00BA5F6E">
            <w:pPr>
              <w:spacing w:after="120"/>
              <w:rPr>
                <w:sz w:val="20"/>
                <w:szCs w:val="20"/>
              </w:rPr>
            </w:pPr>
          </w:p>
        </w:tc>
        <w:tc>
          <w:tcPr>
            <w:tcW w:w="1546" w:type="dxa"/>
            <w:vMerge/>
            <w:tcBorders>
              <w:left w:val="single" w:sz="4" w:space="0" w:color="auto"/>
            </w:tcBorders>
            <w:shd w:val="clear" w:color="auto" w:fill="FFFFFF"/>
            <w:vAlign w:val="bottom"/>
          </w:tcPr>
          <w:p w14:paraId="055EBB4F" w14:textId="77777777" w:rsidR="00B834A2" w:rsidRPr="00BA5F6E" w:rsidRDefault="00B834A2" w:rsidP="00BA5F6E">
            <w:pPr>
              <w:spacing w:after="120"/>
              <w:rPr>
                <w:sz w:val="20"/>
                <w:szCs w:val="20"/>
              </w:rPr>
            </w:pPr>
          </w:p>
        </w:tc>
        <w:tc>
          <w:tcPr>
            <w:tcW w:w="1258" w:type="dxa"/>
            <w:vMerge/>
            <w:tcBorders>
              <w:left w:val="single" w:sz="4" w:space="0" w:color="auto"/>
            </w:tcBorders>
            <w:shd w:val="clear" w:color="auto" w:fill="FFFFFF"/>
            <w:vAlign w:val="center"/>
          </w:tcPr>
          <w:p w14:paraId="1E448C0F" w14:textId="77777777" w:rsidR="00B834A2" w:rsidRPr="00BA5F6E" w:rsidRDefault="00B834A2" w:rsidP="00BA5F6E">
            <w:pPr>
              <w:spacing w:after="120"/>
              <w:rPr>
                <w:sz w:val="20"/>
                <w:szCs w:val="20"/>
              </w:rPr>
            </w:pPr>
          </w:p>
        </w:tc>
        <w:tc>
          <w:tcPr>
            <w:tcW w:w="1301" w:type="dxa"/>
            <w:vMerge/>
            <w:tcBorders>
              <w:left w:val="single" w:sz="4" w:space="0" w:color="auto"/>
            </w:tcBorders>
            <w:shd w:val="clear" w:color="auto" w:fill="FFFFFF"/>
            <w:vAlign w:val="center"/>
          </w:tcPr>
          <w:p w14:paraId="46BDE46E" w14:textId="77777777" w:rsidR="00B834A2" w:rsidRPr="00BA5F6E" w:rsidRDefault="00B834A2" w:rsidP="00BA5F6E">
            <w:pPr>
              <w:spacing w:after="120"/>
              <w:rPr>
                <w:sz w:val="20"/>
                <w:szCs w:val="20"/>
              </w:rPr>
            </w:pPr>
          </w:p>
        </w:tc>
      </w:tr>
      <w:tr w:rsidR="00B834A2" w:rsidRPr="00BA5F6E" w14:paraId="7A0252D7" w14:textId="77777777" w:rsidTr="004A7CC9">
        <w:tc>
          <w:tcPr>
            <w:tcW w:w="1464" w:type="dxa"/>
            <w:tcBorders>
              <w:top w:val="single" w:sz="4" w:space="0" w:color="auto"/>
            </w:tcBorders>
            <w:shd w:val="clear" w:color="auto" w:fill="FFFFFF"/>
            <w:vAlign w:val="center"/>
          </w:tcPr>
          <w:p w14:paraId="2764B49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R 20/3</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5D70586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R 20</w:t>
            </w:r>
          </w:p>
        </w:tc>
        <w:tc>
          <w:tcPr>
            <w:tcW w:w="1512" w:type="dxa"/>
            <w:tcBorders>
              <w:top w:val="single" w:sz="4" w:space="0" w:color="auto"/>
              <w:left w:val="single" w:sz="4" w:space="0" w:color="auto"/>
              <w:bottom w:val="single" w:sz="4" w:space="0" w:color="auto"/>
            </w:tcBorders>
            <w:shd w:val="clear" w:color="auto" w:fill="FFFFFF"/>
            <w:vAlign w:val="center"/>
          </w:tcPr>
          <w:p w14:paraId="39FD0C1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R 40/3</w:t>
            </w:r>
          </w:p>
        </w:tc>
        <w:tc>
          <w:tcPr>
            <w:tcW w:w="1085" w:type="dxa"/>
            <w:tcBorders>
              <w:top w:val="single" w:sz="4" w:space="0" w:color="auto"/>
              <w:left w:val="single" w:sz="4" w:space="0" w:color="auto"/>
            </w:tcBorders>
            <w:shd w:val="clear" w:color="auto" w:fill="FFFFFF"/>
          </w:tcPr>
          <w:p w14:paraId="3BC59490"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5E139B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C7026C7"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058C7F75" w14:textId="77777777" w:rsidR="00B834A2" w:rsidRPr="00BA5F6E" w:rsidRDefault="00B834A2" w:rsidP="00BA5F6E">
            <w:pPr>
              <w:spacing w:after="120"/>
              <w:rPr>
                <w:sz w:val="20"/>
                <w:szCs w:val="20"/>
              </w:rPr>
            </w:pPr>
          </w:p>
        </w:tc>
      </w:tr>
      <w:tr w:rsidR="00B834A2" w:rsidRPr="00BA5F6E" w14:paraId="2925DD2F" w14:textId="77777777" w:rsidTr="004A7CC9">
        <w:tc>
          <w:tcPr>
            <w:tcW w:w="1464" w:type="dxa"/>
            <w:tcBorders>
              <w:top w:val="single" w:sz="4" w:space="0" w:color="auto"/>
            </w:tcBorders>
            <w:shd w:val="clear" w:color="auto" w:fill="FFFFFF"/>
            <w:vAlign w:val="center"/>
          </w:tcPr>
          <w:p w14:paraId="4630E9CE"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11,20 մմ</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center"/>
          </w:tcPr>
          <w:p w14:paraId="5D866CA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11,20 մմ</w:t>
            </w:r>
          </w:p>
        </w:tc>
        <w:tc>
          <w:tcPr>
            <w:tcW w:w="1512" w:type="dxa"/>
            <w:tcBorders>
              <w:top w:val="single" w:sz="4" w:space="0" w:color="auto"/>
              <w:left w:val="single" w:sz="4" w:space="0" w:color="auto"/>
              <w:bottom w:val="single" w:sz="4" w:space="0" w:color="auto"/>
            </w:tcBorders>
            <w:shd w:val="clear" w:color="auto" w:fill="FFFFFF"/>
            <w:vAlign w:val="center"/>
          </w:tcPr>
          <w:p w14:paraId="09036DA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11,20 մմ</w:t>
            </w:r>
          </w:p>
        </w:tc>
        <w:tc>
          <w:tcPr>
            <w:tcW w:w="1085" w:type="dxa"/>
            <w:tcBorders>
              <w:top w:val="single" w:sz="4" w:space="0" w:color="auto"/>
              <w:left w:val="single" w:sz="4" w:space="0" w:color="auto"/>
            </w:tcBorders>
            <w:shd w:val="clear" w:color="auto" w:fill="FFFFFF"/>
          </w:tcPr>
          <w:p w14:paraId="63928CD6"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831E08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vAlign w:val="center"/>
          </w:tcPr>
          <w:p w14:paraId="7C7FA5B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11 200</w:t>
            </w:r>
          </w:p>
        </w:tc>
        <w:tc>
          <w:tcPr>
            <w:tcW w:w="1301" w:type="dxa"/>
            <w:tcBorders>
              <w:top w:val="single" w:sz="4" w:space="0" w:color="auto"/>
              <w:left w:val="single" w:sz="4" w:space="0" w:color="auto"/>
            </w:tcBorders>
            <w:shd w:val="clear" w:color="auto" w:fill="FFFFFF"/>
          </w:tcPr>
          <w:p w14:paraId="4805FF74" w14:textId="77777777" w:rsidR="00B834A2" w:rsidRPr="00BA5F6E" w:rsidRDefault="00B834A2" w:rsidP="00BA5F6E">
            <w:pPr>
              <w:spacing w:after="120"/>
              <w:rPr>
                <w:sz w:val="20"/>
                <w:szCs w:val="20"/>
              </w:rPr>
            </w:pPr>
          </w:p>
        </w:tc>
      </w:tr>
      <w:tr w:rsidR="00B834A2" w:rsidRPr="00BA5F6E" w14:paraId="67D98D55" w14:textId="77777777" w:rsidTr="004A7CC9">
        <w:tc>
          <w:tcPr>
            <w:tcW w:w="1464" w:type="dxa"/>
            <w:tcBorders>
              <w:top w:val="single" w:sz="4" w:space="0" w:color="auto"/>
            </w:tcBorders>
            <w:shd w:val="clear" w:color="auto" w:fill="FFFFFF"/>
          </w:tcPr>
          <w:p w14:paraId="2CA317F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07DB019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10,00 մմ</w:t>
            </w:r>
          </w:p>
        </w:tc>
        <w:tc>
          <w:tcPr>
            <w:tcW w:w="1512" w:type="dxa"/>
            <w:tcBorders>
              <w:top w:val="single" w:sz="4" w:space="0" w:color="auto"/>
              <w:left w:val="single" w:sz="4" w:space="0" w:color="auto"/>
            </w:tcBorders>
            <w:shd w:val="clear" w:color="auto" w:fill="FFFFFF"/>
          </w:tcPr>
          <w:p w14:paraId="77D829A2"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3AC225C3"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452F71B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8299AEC"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F2920BA" w14:textId="77777777" w:rsidR="00B834A2" w:rsidRPr="00BA5F6E" w:rsidRDefault="00B834A2" w:rsidP="00BA5F6E">
            <w:pPr>
              <w:spacing w:after="120"/>
              <w:rPr>
                <w:sz w:val="20"/>
                <w:szCs w:val="20"/>
              </w:rPr>
            </w:pPr>
          </w:p>
        </w:tc>
      </w:tr>
      <w:tr w:rsidR="00B834A2" w:rsidRPr="00BA5F6E" w14:paraId="6127A95A" w14:textId="77777777" w:rsidTr="004A7CC9">
        <w:tc>
          <w:tcPr>
            <w:tcW w:w="1464" w:type="dxa"/>
            <w:tcBorders>
              <w:top w:val="single" w:sz="4" w:space="0" w:color="auto"/>
            </w:tcBorders>
            <w:shd w:val="clear" w:color="auto" w:fill="FFFFFF"/>
          </w:tcPr>
          <w:p w14:paraId="200FE932"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1D71EB8C"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bottom"/>
          </w:tcPr>
          <w:p w14:paraId="36661F2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9,50 մմ</w:t>
            </w:r>
          </w:p>
        </w:tc>
        <w:tc>
          <w:tcPr>
            <w:tcW w:w="1085" w:type="dxa"/>
            <w:tcBorders>
              <w:top w:val="single" w:sz="4" w:space="0" w:color="auto"/>
              <w:left w:val="single" w:sz="4" w:space="0" w:color="auto"/>
            </w:tcBorders>
            <w:shd w:val="clear" w:color="auto" w:fill="FFFFFF"/>
          </w:tcPr>
          <w:p w14:paraId="06C68F23"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A6DF561"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76B3E8A"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84B05BB" w14:textId="77777777" w:rsidR="00B834A2" w:rsidRPr="00BA5F6E" w:rsidRDefault="00B834A2" w:rsidP="00BA5F6E">
            <w:pPr>
              <w:spacing w:after="120"/>
              <w:rPr>
                <w:sz w:val="20"/>
                <w:szCs w:val="20"/>
              </w:rPr>
            </w:pPr>
          </w:p>
        </w:tc>
      </w:tr>
      <w:tr w:rsidR="00B834A2" w:rsidRPr="00BA5F6E" w14:paraId="0811230B" w14:textId="77777777" w:rsidTr="004A7CC9">
        <w:tc>
          <w:tcPr>
            <w:tcW w:w="1464" w:type="dxa"/>
            <w:tcBorders>
              <w:top w:val="single" w:sz="4" w:space="0" w:color="auto"/>
            </w:tcBorders>
            <w:shd w:val="clear" w:color="auto" w:fill="FFFFFF"/>
          </w:tcPr>
          <w:p w14:paraId="4998DA68"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7FF932A"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9,00 մմ</w:t>
            </w:r>
          </w:p>
        </w:tc>
        <w:tc>
          <w:tcPr>
            <w:tcW w:w="1512" w:type="dxa"/>
            <w:tcBorders>
              <w:top w:val="single" w:sz="4" w:space="0" w:color="auto"/>
              <w:left w:val="single" w:sz="4" w:space="0" w:color="auto"/>
            </w:tcBorders>
            <w:shd w:val="clear" w:color="auto" w:fill="FFFFFF"/>
          </w:tcPr>
          <w:p w14:paraId="72BD5B64"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656800D0"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61F4249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E2BDC4A"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3AEE843" w14:textId="77777777" w:rsidR="00B834A2" w:rsidRPr="00BA5F6E" w:rsidRDefault="00B834A2" w:rsidP="00BA5F6E">
            <w:pPr>
              <w:spacing w:after="120"/>
              <w:rPr>
                <w:sz w:val="20"/>
                <w:szCs w:val="20"/>
              </w:rPr>
            </w:pPr>
          </w:p>
        </w:tc>
      </w:tr>
      <w:tr w:rsidR="00B834A2" w:rsidRPr="00BA5F6E" w14:paraId="4FD6DA05" w14:textId="77777777" w:rsidTr="004A7CC9">
        <w:tc>
          <w:tcPr>
            <w:tcW w:w="1464" w:type="dxa"/>
            <w:tcBorders>
              <w:top w:val="single" w:sz="4" w:space="0" w:color="auto"/>
            </w:tcBorders>
            <w:shd w:val="clear" w:color="auto" w:fill="FFFFFF"/>
            <w:vAlign w:val="bottom"/>
          </w:tcPr>
          <w:p w14:paraId="147A022A"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8,00 մմ</w:t>
            </w:r>
          </w:p>
        </w:tc>
        <w:tc>
          <w:tcPr>
            <w:tcW w:w="1262" w:type="dxa"/>
            <w:tcBorders>
              <w:top w:val="single" w:sz="4" w:space="0" w:color="auto"/>
              <w:left w:val="single" w:sz="4" w:space="0" w:color="auto"/>
            </w:tcBorders>
            <w:shd w:val="clear" w:color="auto" w:fill="FFFFFF"/>
            <w:vAlign w:val="bottom"/>
          </w:tcPr>
          <w:p w14:paraId="27B1BC5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8,00 մմ</w:t>
            </w:r>
          </w:p>
        </w:tc>
        <w:tc>
          <w:tcPr>
            <w:tcW w:w="1512" w:type="dxa"/>
            <w:tcBorders>
              <w:top w:val="single" w:sz="4" w:space="0" w:color="auto"/>
              <w:left w:val="single" w:sz="4" w:space="0" w:color="auto"/>
            </w:tcBorders>
            <w:shd w:val="clear" w:color="auto" w:fill="FFFFFF"/>
            <w:vAlign w:val="bottom"/>
          </w:tcPr>
          <w:p w14:paraId="6892CFC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8,00 մմ</w:t>
            </w:r>
          </w:p>
        </w:tc>
        <w:tc>
          <w:tcPr>
            <w:tcW w:w="1085" w:type="dxa"/>
            <w:tcBorders>
              <w:top w:val="single" w:sz="4" w:space="0" w:color="auto"/>
              <w:left w:val="single" w:sz="4" w:space="0" w:color="auto"/>
            </w:tcBorders>
            <w:shd w:val="clear" w:color="auto" w:fill="FFFFFF"/>
          </w:tcPr>
          <w:p w14:paraId="63393F3C"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63BC10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5D6825E4"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F82968F" w14:textId="77777777" w:rsidR="00B834A2" w:rsidRPr="00BA5F6E" w:rsidRDefault="00B834A2" w:rsidP="00BA5F6E">
            <w:pPr>
              <w:spacing w:after="120"/>
              <w:rPr>
                <w:sz w:val="20"/>
                <w:szCs w:val="20"/>
              </w:rPr>
            </w:pPr>
          </w:p>
        </w:tc>
      </w:tr>
      <w:tr w:rsidR="00B834A2" w:rsidRPr="00BA5F6E" w14:paraId="07645A43" w14:textId="77777777" w:rsidTr="004A7CC9">
        <w:tc>
          <w:tcPr>
            <w:tcW w:w="1464" w:type="dxa"/>
            <w:tcBorders>
              <w:top w:val="single" w:sz="4" w:space="0" w:color="auto"/>
            </w:tcBorders>
            <w:shd w:val="clear" w:color="auto" w:fill="FFFFFF"/>
          </w:tcPr>
          <w:p w14:paraId="0076C53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77888D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7,10 մմ</w:t>
            </w:r>
          </w:p>
        </w:tc>
        <w:tc>
          <w:tcPr>
            <w:tcW w:w="1512" w:type="dxa"/>
            <w:tcBorders>
              <w:top w:val="single" w:sz="4" w:space="0" w:color="auto"/>
              <w:left w:val="single" w:sz="4" w:space="0" w:color="auto"/>
            </w:tcBorders>
            <w:shd w:val="clear" w:color="auto" w:fill="FFFFFF"/>
          </w:tcPr>
          <w:p w14:paraId="1625E93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476F8FE8"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DF09D56"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2D0AEDB"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0AD0CD65" w14:textId="77777777" w:rsidR="00B834A2" w:rsidRPr="00BA5F6E" w:rsidRDefault="00B834A2" w:rsidP="00BA5F6E">
            <w:pPr>
              <w:spacing w:after="120"/>
              <w:rPr>
                <w:sz w:val="20"/>
                <w:szCs w:val="20"/>
              </w:rPr>
            </w:pPr>
          </w:p>
        </w:tc>
      </w:tr>
      <w:tr w:rsidR="00B834A2" w:rsidRPr="00BA5F6E" w14:paraId="0797907F" w14:textId="77777777" w:rsidTr="004A7CC9">
        <w:tc>
          <w:tcPr>
            <w:tcW w:w="1464" w:type="dxa"/>
            <w:tcBorders>
              <w:top w:val="single" w:sz="4" w:space="0" w:color="auto"/>
            </w:tcBorders>
            <w:shd w:val="clear" w:color="auto" w:fill="FFFFFF"/>
          </w:tcPr>
          <w:p w14:paraId="2FE7632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AD3AC74"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058BBD7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6,70 մմ</w:t>
            </w:r>
          </w:p>
        </w:tc>
        <w:tc>
          <w:tcPr>
            <w:tcW w:w="1085" w:type="dxa"/>
            <w:tcBorders>
              <w:top w:val="single" w:sz="4" w:space="0" w:color="auto"/>
              <w:left w:val="single" w:sz="4" w:space="0" w:color="auto"/>
            </w:tcBorders>
            <w:shd w:val="clear" w:color="auto" w:fill="FFFFFF"/>
          </w:tcPr>
          <w:p w14:paraId="5CEFC06A"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74B581F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7247CA4D"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728E9A1" w14:textId="77777777" w:rsidR="00B834A2" w:rsidRPr="00BA5F6E" w:rsidRDefault="00B834A2" w:rsidP="00BA5F6E">
            <w:pPr>
              <w:spacing w:after="120"/>
              <w:rPr>
                <w:sz w:val="20"/>
                <w:szCs w:val="20"/>
              </w:rPr>
            </w:pPr>
          </w:p>
        </w:tc>
      </w:tr>
      <w:tr w:rsidR="00B834A2" w:rsidRPr="00BA5F6E" w14:paraId="6870CB05" w14:textId="77777777" w:rsidTr="004A7CC9">
        <w:tc>
          <w:tcPr>
            <w:tcW w:w="1464" w:type="dxa"/>
            <w:tcBorders>
              <w:top w:val="single" w:sz="4" w:space="0" w:color="auto"/>
            </w:tcBorders>
            <w:shd w:val="clear" w:color="auto" w:fill="FFFFFF"/>
          </w:tcPr>
          <w:p w14:paraId="5C8F04CB"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75B7C37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6,30 մմ</w:t>
            </w:r>
          </w:p>
        </w:tc>
        <w:tc>
          <w:tcPr>
            <w:tcW w:w="1512" w:type="dxa"/>
            <w:tcBorders>
              <w:top w:val="single" w:sz="4" w:space="0" w:color="auto"/>
              <w:left w:val="single" w:sz="4" w:space="0" w:color="auto"/>
            </w:tcBorders>
            <w:shd w:val="clear" w:color="auto" w:fill="FFFFFF"/>
          </w:tcPr>
          <w:p w14:paraId="25D2F018"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8519B5E"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5DC2260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7C3A0CA5"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A040CED" w14:textId="77777777" w:rsidR="00B834A2" w:rsidRPr="00BA5F6E" w:rsidRDefault="00B834A2" w:rsidP="00BA5F6E">
            <w:pPr>
              <w:spacing w:after="120"/>
              <w:rPr>
                <w:sz w:val="20"/>
                <w:szCs w:val="20"/>
              </w:rPr>
            </w:pPr>
          </w:p>
        </w:tc>
      </w:tr>
      <w:tr w:rsidR="00B834A2" w:rsidRPr="00BA5F6E" w14:paraId="20FEDE45" w14:textId="77777777" w:rsidTr="004A7CC9">
        <w:tc>
          <w:tcPr>
            <w:tcW w:w="1464" w:type="dxa"/>
            <w:tcBorders>
              <w:top w:val="single" w:sz="4" w:space="0" w:color="auto"/>
            </w:tcBorders>
            <w:shd w:val="clear" w:color="auto" w:fill="FFFFFF"/>
            <w:vAlign w:val="bottom"/>
          </w:tcPr>
          <w:p w14:paraId="4A29605F"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5,60 մմ</w:t>
            </w:r>
          </w:p>
        </w:tc>
        <w:tc>
          <w:tcPr>
            <w:tcW w:w="1262" w:type="dxa"/>
            <w:tcBorders>
              <w:top w:val="single" w:sz="4" w:space="0" w:color="auto"/>
              <w:left w:val="single" w:sz="4" w:space="0" w:color="auto"/>
            </w:tcBorders>
            <w:shd w:val="clear" w:color="auto" w:fill="FFFFFF"/>
            <w:vAlign w:val="bottom"/>
          </w:tcPr>
          <w:p w14:paraId="3063096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5,60 մմ</w:t>
            </w:r>
          </w:p>
        </w:tc>
        <w:tc>
          <w:tcPr>
            <w:tcW w:w="1512" w:type="dxa"/>
            <w:tcBorders>
              <w:top w:val="single" w:sz="4" w:space="0" w:color="auto"/>
              <w:left w:val="single" w:sz="4" w:space="0" w:color="auto"/>
            </w:tcBorders>
            <w:shd w:val="clear" w:color="auto" w:fill="FFFFFF"/>
            <w:vAlign w:val="bottom"/>
          </w:tcPr>
          <w:p w14:paraId="626BCB8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5,60 մմ</w:t>
            </w:r>
          </w:p>
        </w:tc>
        <w:tc>
          <w:tcPr>
            <w:tcW w:w="1085" w:type="dxa"/>
            <w:tcBorders>
              <w:top w:val="single" w:sz="4" w:space="0" w:color="auto"/>
              <w:left w:val="single" w:sz="4" w:space="0" w:color="auto"/>
            </w:tcBorders>
            <w:shd w:val="clear" w:color="auto" w:fill="FFFFFF"/>
          </w:tcPr>
          <w:p w14:paraId="5C6B7BC4"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277EEDD"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vAlign w:val="bottom"/>
          </w:tcPr>
          <w:p w14:paraId="6E1353E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5600</w:t>
            </w:r>
          </w:p>
        </w:tc>
        <w:tc>
          <w:tcPr>
            <w:tcW w:w="1301" w:type="dxa"/>
            <w:tcBorders>
              <w:top w:val="single" w:sz="4" w:space="0" w:color="auto"/>
              <w:left w:val="single" w:sz="4" w:space="0" w:color="auto"/>
            </w:tcBorders>
            <w:shd w:val="clear" w:color="auto" w:fill="FFFFFF"/>
            <w:vAlign w:val="bottom"/>
          </w:tcPr>
          <w:p w14:paraId="7686808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3.5</w:t>
            </w:r>
          </w:p>
        </w:tc>
      </w:tr>
      <w:tr w:rsidR="00B834A2" w:rsidRPr="00BA5F6E" w14:paraId="0164F8F5" w14:textId="77777777" w:rsidTr="004A7CC9">
        <w:tc>
          <w:tcPr>
            <w:tcW w:w="1464" w:type="dxa"/>
            <w:tcBorders>
              <w:top w:val="single" w:sz="4" w:space="0" w:color="auto"/>
            </w:tcBorders>
            <w:shd w:val="clear" w:color="auto" w:fill="FFFFFF"/>
          </w:tcPr>
          <w:p w14:paraId="6CA1BB54"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139C838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5,00 մմ</w:t>
            </w:r>
          </w:p>
        </w:tc>
        <w:tc>
          <w:tcPr>
            <w:tcW w:w="1512" w:type="dxa"/>
            <w:tcBorders>
              <w:top w:val="single" w:sz="4" w:space="0" w:color="auto"/>
              <w:left w:val="single" w:sz="4" w:space="0" w:color="auto"/>
            </w:tcBorders>
            <w:shd w:val="clear" w:color="auto" w:fill="FFFFFF"/>
          </w:tcPr>
          <w:p w14:paraId="766F596A"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8C62342"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5443563E"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6507C5D"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8BFCE95" w14:textId="77777777" w:rsidR="00B834A2" w:rsidRPr="00BA5F6E" w:rsidRDefault="00B834A2" w:rsidP="00BA5F6E">
            <w:pPr>
              <w:spacing w:after="120"/>
              <w:rPr>
                <w:sz w:val="20"/>
                <w:szCs w:val="20"/>
              </w:rPr>
            </w:pPr>
          </w:p>
        </w:tc>
      </w:tr>
      <w:tr w:rsidR="00B834A2" w:rsidRPr="00BA5F6E" w14:paraId="690DF04D" w14:textId="77777777" w:rsidTr="004A7CC9">
        <w:tc>
          <w:tcPr>
            <w:tcW w:w="1464" w:type="dxa"/>
            <w:tcBorders>
              <w:top w:val="single" w:sz="4" w:space="0" w:color="auto"/>
            </w:tcBorders>
            <w:shd w:val="clear" w:color="auto" w:fill="FFFFFF"/>
          </w:tcPr>
          <w:p w14:paraId="19AF85C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7DABF4AA"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48D60D2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4,75 մմ</w:t>
            </w:r>
          </w:p>
        </w:tc>
        <w:tc>
          <w:tcPr>
            <w:tcW w:w="1085" w:type="dxa"/>
            <w:tcBorders>
              <w:top w:val="single" w:sz="4" w:space="0" w:color="auto"/>
              <w:left w:val="single" w:sz="4" w:space="0" w:color="auto"/>
            </w:tcBorders>
            <w:shd w:val="clear" w:color="auto" w:fill="FFFFFF"/>
          </w:tcPr>
          <w:p w14:paraId="56C2E52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DDF2461"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4834AB8"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BD6587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w:t>
            </w:r>
          </w:p>
        </w:tc>
      </w:tr>
      <w:tr w:rsidR="00B834A2" w:rsidRPr="00BA5F6E" w14:paraId="6B69CEB2" w14:textId="77777777" w:rsidTr="004A7CC9">
        <w:tc>
          <w:tcPr>
            <w:tcW w:w="1464" w:type="dxa"/>
            <w:tcBorders>
              <w:top w:val="single" w:sz="4" w:space="0" w:color="auto"/>
            </w:tcBorders>
            <w:shd w:val="clear" w:color="auto" w:fill="FFFFFF"/>
          </w:tcPr>
          <w:p w14:paraId="56C8B70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D22677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4,50 մմ</w:t>
            </w:r>
          </w:p>
        </w:tc>
        <w:tc>
          <w:tcPr>
            <w:tcW w:w="1512" w:type="dxa"/>
            <w:tcBorders>
              <w:top w:val="single" w:sz="4" w:space="0" w:color="auto"/>
              <w:left w:val="single" w:sz="4" w:space="0" w:color="auto"/>
            </w:tcBorders>
            <w:shd w:val="clear" w:color="auto" w:fill="FFFFFF"/>
          </w:tcPr>
          <w:p w14:paraId="5BE793CC"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5E1DDE09"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3ADBF2CF"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2FECC7D"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3F7905C" w14:textId="77777777" w:rsidR="00B834A2" w:rsidRPr="00BA5F6E" w:rsidRDefault="00B834A2" w:rsidP="00BA5F6E">
            <w:pPr>
              <w:spacing w:after="120"/>
              <w:rPr>
                <w:sz w:val="20"/>
                <w:szCs w:val="20"/>
              </w:rPr>
            </w:pPr>
          </w:p>
        </w:tc>
      </w:tr>
      <w:tr w:rsidR="00B834A2" w:rsidRPr="00BA5F6E" w14:paraId="7F1D1EEA" w14:textId="77777777" w:rsidTr="004A7CC9">
        <w:tc>
          <w:tcPr>
            <w:tcW w:w="1464" w:type="dxa"/>
            <w:tcBorders>
              <w:top w:val="single" w:sz="4" w:space="0" w:color="auto"/>
            </w:tcBorders>
            <w:shd w:val="clear" w:color="auto" w:fill="FFFFFF"/>
          </w:tcPr>
          <w:p w14:paraId="552B621F"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4,00 մմ</w:t>
            </w:r>
          </w:p>
        </w:tc>
        <w:tc>
          <w:tcPr>
            <w:tcW w:w="1262" w:type="dxa"/>
            <w:tcBorders>
              <w:top w:val="single" w:sz="4" w:space="0" w:color="auto"/>
              <w:left w:val="single" w:sz="4" w:space="0" w:color="auto"/>
            </w:tcBorders>
            <w:shd w:val="clear" w:color="auto" w:fill="FFFFFF"/>
          </w:tcPr>
          <w:p w14:paraId="7C6028F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4,00 մմ</w:t>
            </w:r>
          </w:p>
        </w:tc>
        <w:tc>
          <w:tcPr>
            <w:tcW w:w="1512" w:type="dxa"/>
            <w:tcBorders>
              <w:top w:val="single" w:sz="4" w:space="0" w:color="auto"/>
              <w:left w:val="single" w:sz="4" w:space="0" w:color="auto"/>
            </w:tcBorders>
            <w:shd w:val="clear" w:color="auto" w:fill="FFFFFF"/>
          </w:tcPr>
          <w:p w14:paraId="101130B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4,00 մմ</w:t>
            </w:r>
          </w:p>
        </w:tc>
        <w:tc>
          <w:tcPr>
            <w:tcW w:w="1085" w:type="dxa"/>
            <w:tcBorders>
              <w:top w:val="single" w:sz="4" w:space="0" w:color="auto"/>
              <w:left w:val="single" w:sz="4" w:space="0" w:color="auto"/>
            </w:tcBorders>
            <w:shd w:val="clear" w:color="auto" w:fill="FFFFFF"/>
          </w:tcPr>
          <w:p w14:paraId="7E86254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w:t>
            </w:r>
          </w:p>
        </w:tc>
        <w:tc>
          <w:tcPr>
            <w:tcW w:w="1546" w:type="dxa"/>
            <w:tcBorders>
              <w:top w:val="single" w:sz="4" w:space="0" w:color="auto"/>
              <w:left w:val="single" w:sz="4" w:space="0" w:color="auto"/>
            </w:tcBorders>
            <w:shd w:val="clear" w:color="auto" w:fill="FFFFFF"/>
          </w:tcPr>
          <w:p w14:paraId="7B5033D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4000</w:t>
            </w:r>
          </w:p>
        </w:tc>
        <w:tc>
          <w:tcPr>
            <w:tcW w:w="1258" w:type="dxa"/>
            <w:tcBorders>
              <w:top w:val="single" w:sz="4" w:space="0" w:color="auto"/>
              <w:left w:val="single" w:sz="4" w:space="0" w:color="auto"/>
            </w:tcBorders>
            <w:shd w:val="clear" w:color="auto" w:fill="FFFFFF"/>
          </w:tcPr>
          <w:p w14:paraId="4EE1711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4000</w:t>
            </w:r>
          </w:p>
        </w:tc>
        <w:tc>
          <w:tcPr>
            <w:tcW w:w="1301" w:type="dxa"/>
            <w:tcBorders>
              <w:top w:val="single" w:sz="4" w:space="0" w:color="auto"/>
              <w:left w:val="single" w:sz="4" w:space="0" w:color="auto"/>
            </w:tcBorders>
            <w:shd w:val="clear" w:color="auto" w:fill="FFFFFF"/>
          </w:tcPr>
          <w:p w14:paraId="39BC127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4,7</w:t>
            </w:r>
          </w:p>
        </w:tc>
      </w:tr>
      <w:tr w:rsidR="00B834A2" w:rsidRPr="00BA5F6E" w14:paraId="51445175" w14:textId="77777777" w:rsidTr="004A7CC9">
        <w:tc>
          <w:tcPr>
            <w:tcW w:w="1464" w:type="dxa"/>
            <w:tcBorders>
              <w:top w:val="single" w:sz="4" w:space="0" w:color="auto"/>
            </w:tcBorders>
            <w:shd w:val="clear" w:color="auto" w:fill="FFFFFF"/>
          </w:tcPr>
          <w:p w14:paraId="1B380659"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4F584A3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3,55 մմ</w:t>
            </w:r>
          </w:p>
        </w:tc>
        <w:tc>
          <w:tcPr>
            <w:tcW w:w="1512" w:type="dxa"/>
            <w:tcBorders>
              <w:top w:val="single" w:sz="4" w:space="0" w:color="auto"/>
              <w:left w:val="single" w:sz="4" w:space="0" w:color="auto"/>
            </w:tcBorders>
            <w:shd w:val="clear" w:color="auto" w:fill="FFFFFF"/>
          </w:tcPr>
          <w:p w14:paraId="0924F21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6966F281"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D721C86"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DBD1C78"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AF9EEA1" w14:textId="77777777" w:rsidR="00B834A2" w:rsidRPr="00BA5F6E" w:rsidRDefault="00B834A2" w:rsidP="00BA5F6E">
            <w:pPr>
              <w:spacing w:after="120"/>
              <w:rPr>
                <w:sz w:val="20"/>
                <w:szCs w:val="20"/>
              </w:rPr>
            </w:pPr>
          </w:p>
        </w:tc>
      </w:tr>
      <w:tr w:rsidR="00B834A2" w:rsidRPr="00BA5F6E" w14:paraId="291B487B" w14:textId="77777777" w:rsidTr="004A7CC9">
        <w:tc>
          <w:tcPr>
            <w:tcW w:w="1464" w:type="dxa"/>
            <w:tcBorders>
              <w:top w:val="single" w:sz="4" w:space="0" w:color="auto"/>
            </w:tcBorders>
            <w:shd w:val="clear" w:color="auto" w:fill="FFFFFF"/>
          </w:tcPr>
          <w:p w14:paraId="44F5CD78"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24D857E0"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1AAFF9B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3,35 մմ</w:t>
            </w:r>
          </w:p>
        </w:tc>
        <w:tc>
          <w:tcPr>
            <w:tcW w:w="1085" w:type="dxa"/>
            <w:tcBorders>
              <w:top w:val="single" w:sz="4" w:space="0" w:color="auto"/>
              <w:left w:val="single" w:sz="4" w:space="0" w:color="auto"/>
            </w:tcBorders>
            <w:shd w:val="clear" w:color="auto" w:fill="FFFFFF"/>
            <w:vAlign w:val="center"/>
          </w:tcPr>
          <w:p w14:paraId="6C0B333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w:t>
            </w:r>
          </w:p>
        </w:tc>
        <w:tc>
          <w:tcPr>
            <w:tcW w:w="1546" w:type="dxa"/>
            <w:tcBorders>
              <w:top w:val="single" w:sz="4" w:space="0" w:color="auto"/>
              <w:left w:val="single" w:sz="4" w:space="0" w:color="auto"/>
            </w:tcBorders>
            <w:shd w:val="clear" w:color="auto" w:fill="FFFFFF"/>
          </w:tcPr>
          <w:p w14:paraId="04B9F55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D0500F6"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center"/>
          </w:tcPr>
          <w:p w14:paraId="7402C3B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5,5</w:t>
            </w:r>
          </w:p>
        </w:tc>
      </w:tr>
      <w:tr w:rsidR="00B834A2" w:rsidRPr="00BA5F6E" w14:paraId="646C28F7" w14:textId="77777777" w:rsidTr="004A7CC9">
        <w:tc>
          <w:tcPr>
            <w:tcW w:w="1464" w:type="dxa"/>
            <w:tcBorders>
              <w:top w:val="single" w:sz="4" w:space="0" w:color="auto"/>
            </w:tcBorders>
            <w:shd w:val="clear" w:color="auto" w:fill="FFFFFF"/>
          </w:tcPr>
          <w:p w14:paraId="16B85A0C"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39633D2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3,15 մմ</w:t>
            </w:r>
          </w:p>
        </w:tc>
        <w:tc>
          <w:tcPr>
            <w:tcW w:w="1512" w:type="dxa"/>
            <w:tcBorders>
              <w:top w:val="single" w:sz="4" w:space="0" w:color="auto"/>
              <w:left w:val="single" w:sz="4" w:space="0" w:color="auto"/>
            </w:tcBorders>
            <w:shd w:val="clear" w:color="auto" w:fill="FFFFFF"/>
          </w:tcPr>
          <w:p w14:paraId="2F2DBCE3"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08B42164"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171B36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1FC2122"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08FB6FF" w14:textId="77777777" w:rsidR="00B834A2" w:rsidRPr="00BA5F6E" w:rsidRDefault="00B834A2" w:rsidP="00BA5F6E">
            <w:pPr>
              <w:spacing w:after="120"/>
              <w:rPr>
                <w:sz w:val="20"/>
                <w:szCs w:val="20"/>
              </w:rPr>
            </w:pPr>
          </w:p>
        </w:tc>
      </w:tr>
      <w:tr w:rsidR="00B834A2" w:rsidRPr="00BA5F6E" w14:paraId="3C061AD1" w14:textId="77777777" w:rsidTr="004A7CC9">
        <w:tc>
          <w:tcPr>
            <w:tcW w:w="1464" w:type="dxa"/>
            <w:tcBorders>
              <w:top w:val="single" w:sz="4" w:space="0" w:color="auto"/>
            </w:tcBorders>
            <w:shd w:val="clear" w:color="auto" w:fill="FFFFFF"/>
            <w:vAlign w:val="center"/>
          </w:tcPr>
          <w:p w14:paraId="246C7289"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2,80 մմ</w:t>
            </w:r>
          </w:p>
        </w:tc>
        <w:tc>
          <w:tcPr>
            <w:tcW w:w="1262" w:type="dxa"/>
            <w:tcBorders>
              <w:top w:val="single" w:sz="4" w:space="0" w:color="auto"/>
              <w:left w:val="single" w:sz="4" w:space="0" w:color="auto"/>
            </w:tcBorders>
            <w:shd w:val="clear" w:color="auto" w:fill="FFFFFF"/>
            <w:vAlign w:val="center"/>
          </w:tcPr>
          <w:p w14:paraId="6F72AD5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2,80 մմ</w:t>
            </w:r>
          </w:p>
        </w:tc>
        <w:tc>
          <w:tcPr>
            <w:tcW w:w="1512" w:type="dxa"/>
            <w:tcBorders>
              <w:top w:val="single" w:sz="4" w:space="0" w:color="auto"/>
              <w:left w:val="single" w:sz="4" w:space="0" w:color="auto"/>
            </w:tcBorders>
            <w:shd w:val="clear" w:color="auto" w:fill="FFFFFF"/>
            <w:vAlign w:val="center"/>
          </w:tcPr>
          <w:p w14:paraId="1D70A59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2,80 մմ</w:t>
            </w:r>
          </w:p>
        </w:tc>
        <w:tc>
          <w:tcPr>
            <w:tcW w:w="1085" w:type="dxa"/>
            <w:tcBorders>
              <w:top w:val="single" w:sz="4" w:space="0" w:color="auto"/>
              <w:left w:val="single" w:sz="4" w:space="0" w:color="auto"/>
            </w:tcBorders>
            <w:shd w:val="clear" w:color="auto" w:fill="FFFFFF"/>
            <w:vAlign w:val="center"/>
          </w:tcPr>
          <w:p w14:paraId="058D7AA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w:t>
            </w:r>
          </w:p>
        </w:tc>
        <w:tc>
          <w:tcPr>
            <w:tcW w:w="1546" w:type="dxa"/>
            <w:tcBorders>
              <w:top w:val="single" w:sz="4" w:space="0" w:color="auto"/>
              <w:left w:val="single" w:sz="4" w:space="0" w:color="auto"/>
            </w:tcBorders>
            <w:shd w:val="clear" w:color="auto" w:fill="FFFFFF"/>
            <w:vAlign w:val="center"/>
          </w:tcPr>
          <w:p w14:paraId="1FA8437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2800</w:t>
            </w:r>
          </w:p>
        </w:tc>
        <w:tc>
          <w:tcPr>
            <w:tcW w:w="1258" w:type="dxa"/>
            <w:tcBorders>
              <w:top w:val="single" w:sz="4" w:space="0" w:color="auto"/>
              <w:left w:val="single" w:sz="4" w:space="0" w:color="auto"/>
            </w:tcBorders>
            <w:shd w:val="clear" w:color="auto" w:fill="FFFFFF"/>
            <w:vAlign w:val="center"/>
          </w:tcPr>
          <w:p w14:paraId="15313FC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2800</w:t>
            </w:r>
          </w:p>
        </w:tc>
        <w:tc>
          <w:tcPr>
            <w:tcW w:w="1301" w:type="dxa"/>
            <w:tcBorders>
              <w:top w:val="single" w:sz="4" w:space="0" w:color="auto"/>
              <w:left w:val="single" w:sz="4" w:space="0" w:color="auto"/>
            </w:tcBorders>
            <w:shd w:val="clear" w:color="auto" w:fill="FFFFFF"/>
            <w:vAlign w:val="center"/>
          </w:tcPr>
          <w:p w14:paraId="1D680EA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6,5</w:t>
            </w:r>
          </w:p>
        </w:tc>
      </w:tr>
      <w:tr w:rsidR="00B834A2" w:rsidRPr="00BA5F6E" w14:paraId="7AEFE526" w14:textId="77777777" w:rsidTr="004A7CC9">
        <w:tc>
          <w:tcPr>
            <w:tcW w:w="1464" w:type="dxa"/>
            <w:tcBorders>
              <w:top w:val="single" w:sz="4" w:space="0" w:color="auto"/>
            </w:tcBorders>
            <w:shd w:val="clear" w:color="auto" w:fill="FFFFFF"/>
          </w:tcPr>
          <w:p w14:paraId="513FA615"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11D34B8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2,50 մմ</w:t>
            </w:r>
          </w:p>
        </w:tc>
        <w:tc>
          <w:tcPr>
            <w:tcW w:w="1512" w:type="dxa"/>
            <w:tcBorders>
              <w:top w:val="single" w:sz="4" w:space="0" w:color="auto"/>
              <w:left w:val="single" w:sz="4" w:space="0" w:color="auto"/>
            </w:tcBorders>
            <w:shd w:val="clear" w:color="auto" w:fill="FFFFFF"/>
          </w:tcPr>
          <w:p w14:paraId="720509A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464F36E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67FB59BF"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0AED5F2"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3E526B6C" w14:textId="77777777" w:rsidR="00B834A2" w:rsidRPr="00BA5F6E" w:rsidRDefault="00B834A2" w:rsidP="00BA5F6E">
            <w:pPr>
              <w:spacing w:after="120"/>
              <w:rPr>
                <w:sz w:val="20"/>
                <w:szCs w:val="20"/>
              </w:rPr>
            </w:pPr>
          </w:p>
        </w:tc>
      </w:tr>
      <w:tr w:rsidR="00B834A2" w:rsidRPr="00BA5F6E" w14:paraId="6B447E69" w14:textId="77777777" w:rsidTr="004A7CC9">
        <w:tc>
          <w:tcPr>
            <w:tcW w:w="1464" w:type="dxa"/>
            <w:tcBorders>
              <w:top w:val="single" w:sz="4" w:space="0" w:color="auto"/>
            </w:tcBorders>
            <w:shd w:val="clear" w:color="auto" w:fill="FFFFFF"/>
          </w:tcPr>
          <w:p w14:paraId="6036D79E"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32FAA922"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553743E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2,36 մմ</w:t>
            </w:r>
          </w:p>
        </w:tc>
        <w:tc>
          <w:tcPr>
            <w:tcW w:w="1085" w:type="dxa"/>
            <w:tcBorders>
              <w:top w:val="single" w:sz="4" w:space="0" w:color="auto"/>
              <w:left w:val="single" w:sz="4" w:space="0" w:color="auto"/>
            </w:tcBorders>
            <w:shd w:val="clear" w:color="auto" w:fill="FFFFFF"/>
            <w:vAlign w:val="center"/>
          </w:tcPr>
          <w:p w14:paraId="443605B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w:t>
            </w:r>
          </w:p>
        </w:tc>
        <w:tc>
          <w:tcPr>
            <w:tcW w:w="1546" w:type="dxa"/>
            <w:tcBorders>
              <w:top w:val="single" w:sz="4" w:space="0" w:color="auto"/>
              <w:left w:val="single" w:sz="4" w:space="0" w:color="auto"/>
            </w:tcBorders>
            <w:shd w:val="clear" w:color="auto" w:fill="FFFFFF"/>
          </w:tcPr>
          <w:p w14:paraId="6785E17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1626B373"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center"/>
          </w:tcPr>
          <w:p w14:paraId="65BEFED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7,5</w:t>
            </w:r>
          </w:p>
        </w:tc>
      </w:tr>
      <w:tr w:rsidR="00B834A2" w:rsidRPr="00BA5F6E" w14:paraId="71462C2F" w14:textId="77777777" w:rsidTr="004A7CC9">
        <w:tc>
          <w:tcPr>
            <w:tcW w:w="1464" w:type="dxa"/>
            <w:tcBorders>
              <w:top w:val="single" w:sz="4" w:space="0" w:color="auto"/>
            </w:tcBorders>
            <w:shd w:val="clear" w:color="auto" w:fill="FFFFFF"/>
          </w:tcPr>
          <w:p w14:paraId="3DB2745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225DA3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2,24 մմ</w:t>
            </w:r>
          </w:p>
        </w:tc>
        <w:tc>
          <w:tcPr>
            <w:tcW w:w="1512" w:type="dxa"/>
            <w:tcBorders>
              <w:top w:val="single" w:sz="4" w:space="0" w:color="auto"/>
              <w:left w:val="single" w:sz="4" w:space="0" w:color="auto"/>
            </w:tcBorders>
            <w:shd w:val="clear" w:color="auto" w:fill="FFFFFF"/>
          </w:tcPr>
          <w:p w14:paraId="01304034"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331BB96D"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49A54D5A"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5955CAF"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E1185C9" w14:textId="77777777" w:rsidR="00B834A2" w:rsidRPr="00BA5F6E" w:rsidRDefault="00B834A2" w:rsidP="00BA5F6E">
            <w:pPr>
              <w:spacing w:after="120"/>
              <w:rPr>
                <w:sz w:val="20"/>
                <w:szCs w:val="20"/>
              </w:rPr>
            </w:pPr>
          </w:p>
        </w:tc>
      </w:tr>
      <w:tr w:rsidR="00B834A2" w:rsidRPr="00BA5F6E" w14:paraId="1EC76EC3" w14:textId="77777777" w:rsidTr="004A7CC9">
        <w:tc>
          <w:tcPr>
            <w:tcW w:w="1464" w:type="dxa"/>
            <w:tcBorders>
              <w:top w:val="single" w:sz="4" w:space="0" w:color="auto"/>
            </w:tcBorders>
            <w:shd w:val="clear" w:color="auto" w:fill="FFFFFF"/>
            <w:vAlign w:val="center"/>
          </w:tcPr>
          <w:p w14:paraId="2C1A01CF"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2,00 մմ</w:t>
            </w:r>
          </w:p>
        </w:tc>
        <w:tc>
          <w:tcPr>
            <w:tcW w:w="1262" w:type="dxa"/>
            <w:tcBorders>
              <w:top w:val="single" w:sz="4" w:space="0" w:color="auto"/>
              <w:left w:val="single" w:sz="4" w:space="0" w:color="auto"/>
            </w:tcBorders>
            <w:shd w:val="clear" w:color="auto" w:fill="FFFFFF"/>
            <w:vAlign w:val="center"/>
          </w:tcPr>
          <w:p w14:paraId="7CC42A0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2,00 մմ</w:t>
            </w:r>
          </w:p>
        </w:tc>
        <w:tc>
          <w:tcPr>
            <w:tcW w:w="1512" w:type="dxa"/>
            <w:tcBorders>
              <w:top w:val="single" w:sz="4" w:space="0" w:color="auto"/>
              <w:left w:val="single" w:sz="4" w:space="0" w:color="auto"/>
            </w:tcBorders>
            <w:shd w:val="clear" w:color="auto" w:fill="FFFFFF"/>
            <w:vAlign w:val="center"/>
          </w:tcPr>
          <w:p w14:paraId="0C8E3C5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2,00 մմ</w:t>
            </w:r>
          </w:p>
        </w:tc>
        <w:tc>
          <w:tcPr>
            <w:tcW w:w="1085" w:type="dxa"/>
            <w:tcBorders>
              <w:top w:val="single" w:sz="4" w:space="0" w:color="auto"/>
              <w:left w:val="single" w:sz="4" w:space="0" w:color="auto"/>
            </w:tcBorders>
            <w:shd w:val="clear" w:color="auto" w:fill="FFFFFF"/>
            <w:vAlign w:val="bottom"/>
          </w:tcPr>
          <w:p w14:paraId="47ADCD1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w:t>
            </w:r>
          </w:p>
        </w:tc>
        <w:tc>
          <w:tcPr>
            <w:tcW w:w="1546" w:type="dxa"/>
            <w:tcBorders>
              <w:top w:val="single" w:sz="4" w:space="0" w:color="auto"/>
              <w:left w:val="single" w:sz="4" w:space="0" w:color="auto"/>
            </w:tcBorders>
            <w:shd w:val="clear" w:color="auto" w:fill="FFFFFF"/>
            <w:vAlign w:val="bottom"/>
          </w:tcPr>
          <w:p w14:paraId="71A2C6D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2000</w:t>
            </w:r>
          </w:p>
        </w:tc>
        <w:tc>
          <w:tcPr>
            <w:tcW w:w="1258" w:type="dxa"/>
            <w:tcBorders>
              <w:top w:val="single" w:sz="4" w:space="0" w:color="auto"/>
              <w:left w:val="single" w:sz="4" w:space="0" w:color="auto"/>
            </w:tcBorders>
            <w:shd w:val="clear" w:color="auto" w:fill="FFFFFF"/>
            <w:vAlign w:val="bottom"/>
          </w:tcPr>
          <w:p w14:paraId="0CB4441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2000</w:t>
            </w:r>
          </w:p>
        </w:tc>
        <w:tc>
          <w:tcPr>
            <w:tcW w:w="1301" w:type="dxa"/>
            <w:tcBorders>
              <w:top w:val="single" w:sz="4" w:space="0" w:color="auto"/>
              <w:left w:val="single" w:sz="4" w:space="0" w:color="auto"/>
            </w:tcBorders>
            <w:shd w:val="clear" w:color="auto" w:fill="FFFFFF"/>
            <w:vAlign w:val="bottom"/>
          </w:tcPr>
          <w:p w14:paraId="7AA4C93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8,6</w:t>
            </w:r>
          </w:p>
        </w:tc>
      </w:tr>
      <w:tr w:rsidR="00B834A2" w:rsidRPr="00BA5F6E" w14:paraId="023ED825" w14:textId="77777777" w:rsidTr="004A7CC9">
        <w:tc>
          <w:tcPr>
            <w:tcW w:w="1464" w:type="dxa"/>
            <w:tcBorders>
              <w:top w:val="single" w:sz="4" w:space="0" w:color="auto"/>
            </w:tcBorders>
            <w:shd w:val="clear" w:color="auto" w:fill="FFFFFF"/>
          </w:tcPr>
          <w:p w14:paraId="63F10262"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2FF557B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1,80 մմ</w:t>
            </w:r>
          </w:p>
        </w:tc>
        <w:tc>
          <w:tcPr>
            <w:tcW w:w="1512" w:type="dxa"/>
            <w:tcBorders>
              <w:top w:val="single" w:sz="4" w:space="0" w:color="auto"/>
              <w:left w:val="single" w:sz="4" w:space="0" w:color="auto"/>
            </w:tcBorders>
            <w:shd w:val="clear" w:color="auto" w:fill="FFFFFF"/>
          </w:tcPr>
          <w:p w14:paraId="723414AC"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530A05F7"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4293BBC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896D1F3"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0D013444" w14:textId="77777777" w:rsidR="00B834A2" w:rsidRPr="00BA5F6E" w:rsidRDefault="00B834A2" w:rsidP="00BA5F6E">
            <w:pPr>
              <w:spacing w:after="120"/>
              <w:rPr>
                <w:sz w:val="20"/>
                <w:szCs w:val="20"/>
              </w:rPr>
            </w:pPr>
          </w:p>
        </w:tc>
      </w:tr>
      <w:tr w:rsidR="00B834A2" w:rsidRPr="00BA5F6E" w14:paraId="1258E892" w14:textId="77777777" w:rsidTr="004A7CC9">
        <w:tc>
          <w:tcPr>
            <w:tcW w:w="1464" w:type="dxa"/>
            <w:tcBorders>
              <w:top w:val="single" w:sz="4" w:space="0" w:color="auto"/>
            </w:tcBorders>
            <w:shd w:val="clear" w:color="auto" w:fill="FFFFFF"/>
          </w:tcPr>
          <w:p w14:paraId="3FF6A2D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73D1C9B4"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5233E6B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1,70 մմ</w:t>
            </w:r>
          </w:p>
        </w:tc>
        <w:tc>
          <w:tcPr>
            <w:tcW w:w="1085" w:type="dxa"/>
            <w:tcBorders>
              <w:top w:val="single" w:sz="4" w:space="0" w:color="auto"/>
              <w:left w:val="single" w:sz="4" w:space="0" w:color="auto"/>
            </w:tcBorders>
            <w:shd w:val="clear" w:color="auto" w:fill="FFFFFF"/>
            <w:vAlign w:val="bottom"/>
          </w:tcPr>
          <w:p w14:paraId="2C25E82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12</w:t>
            </w:r>
          </w:p>
        </w:tc>
        <w:tc>
          <w:tcPr>
            <w:tcW w:w="1546" w:type="dxa"/>
            <w:tcBorders>
              <w:top w:val="single" w:sz="4" w:space="0" w:color="auto"/>
              <w:left w:val="single" w:sz="4" w:space="0" w:color="auto"/>
            </w:tcBorders>
            <w:shd w:val="clear" w:color="auto" w:fill="FFFFFF"/>
          </w:tcPr>
          <w:p w14:paraId="4547B71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B4803E2"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bottom"/>
          </w:tcPr>
          <w:p w14:paraId="44C9F21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w:t>
            </w:r>
          </w:p>
        </w:tc>
      </w:tr>
      <w:tr w:rsidR="00B834A2" w:rsidRPr="00BA5F6E" w14:paraId="53B6563A" w14:textId="77777777" w:rsidTr="004A7CC9">
        <w:tc>
          <w:tcPr>
            <w:tcW w:w="1464" w:type="dxa"/>
            <w:tcBorders>
              <w:top w:val="single" w:sz="4" w:space="0" w:color="auto"/>
            </w:tcBorders>
            <w:shd w:val="clear" w:color="auto" w:fill="FFFFFF"/>
          </w:tcPr>
          <w:p w14:paraId="77DEF3D0"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3F3C7D6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1,60 մմ</w:t>
            </w:r>
          </w:p>
        </w:tc>
        <w:tc>
          <w:tcPr>
            <w:tcW w:w="1512" w:type="dxa"/>
            <w:tcBorders>
              <w:top w:val="single" w:sz="4" w:space="0" w:color="auto"/>
              <w:left w:val="single" w:sz="4" w:space="0" w:color="auto"/>
            </w:tcBorders>
            <w:shd w:val="clear" w:color="auto" w:fill="FFFFFF"/>
          </w:tcPr>
          <w:p w14:paraId="0EA3C897"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3C52F91C"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562B801C"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5DDEA350"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12C188B" w14:textId="77777777" w:rsidR="00B834A2" w:rsidRPr="00BA5F6E" w:rsidRDefault="00B834A2" w:rsidP="00BA5F6E">
            <w:pPr>
              <w:spacing w:after="120"/>
              <w:rPr>
                <w:sz w:val="20"/>
                <w:szCs w:val="20"/>
              </w:rPr>
            </w:pPr>
          </w:p>
        </w:tc>
      </w:tr>
      <w:tr w:rsidR="00B834A2" w:rsidRPr="00BA5F6E" w14:paraId="01FAB1FB" w14:textId="77777777" w:rsidTr="004A7CC9">
        <w:tc>
          <w:tcPr>
            <w:tcW w:w="1464" w:type="dxa"/>
            <w:tcBorders>
              <w:top w:val="single" w:sz="4" w:space="0" w:color="auto"/>
            </w:tcBorders>
            <w:shd w:val="clear" w:color="auto" w:fill="FFFFFF"/>
          </w:tcPr>
          <w:p w14:paraId="1516BEB9"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1,40 մմ</w:t>
            </w:r>
          </w:p>
        </w:tc>
        <w:tc>
          <w:tcPr>
            <w:tcW w:w="1262" w:type="dxa"/>
            <w:tcBorders>
              <w:top w:val="single" w:sz="4" w:space="0" w:color="auto"/>
              <w:left w:val="single" w:sz="4" w:space="0" w:color="auto"/>
            </w:tcBorders>
            <w:shd w:val="clear" w:color="auto" w:fill="FFFFFF"/>
          </w:tcPr>
          <w:p w14:paraId="249F75E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1,40 մմ</w:t>
            </w:r>
          </w:p>
        </w:tc>
        <w:tc>
          <w:tcPr>
            <w:tcW w:w="1512" w:type="dxa"/>
            <w:tcBorders>
              <w:top w:val="single" w:sz="4" w:space="0" w:color="auto"/>
              <w:left w:val="single" w:sz="4" w:space="0" w:color="auto"/>
            </w:tcBorders>
            <w:shd w:val="clear" w:color="auto" w:fill="FFFFFF"/>
          </w:tcPr>
          <w:p w14:paraId="147B0FB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1,40 մմ</w:t>
            </w:r>
          </w:p>
        </w:tc>
        <w:tc>
          <w:tcPr>
            <w:tcW w:w="1085" w:type="dxa"/>
            <w:tcBorders>
              <w:top w:val="single" w:sz="4" w:space="0" w:color="auto"/>
              <w:left w:val="single" w:sz="4" w:space="0" w:color="auto"/>
            </w:tcBorders>
            <w:shd w:val="clear" w:color="auto" w:fill="FFFFFF"/>
          </w:tcPr>
          <w:p w14:paraId="5015949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w:t>
            </w:r>
          </w:p>
        </w:tc>
        <w:tc>
          <w:tcPr>
            <w:tcW w:w="1546" w:type="dxa"/>
            <w:tcBorders>
              <w:top w:val="single" w:sz="4" w:space="0" w:color="auto"/>
              <w:left w:val="single" w:sz="4" w:space="0" w:color="auto"/>
            </w:tcBorders>
            <w:shd w:val="clear" w:color="auto" w:fill="FFFFFF"/>
          </w:tcPr>
          <w:p w14:paraId="66F1A9B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1400</w:t>
            </w:r>
          </w:p>
        </w:tc>
        <w:tc>
          <w:tcPr>
            <w:tcW w:w="1258" w:type="dxa"/>
            <w:tcBorders>
              <w:top w:val="single" w:sz="4" w:space="0" w:color="auto"/>
              <w:left w:val="single" w:sz="4" w:space="0" w:color="auto"/>
            </w:tcBorders>
            <w:shd w:val="clear" w:color="auto" w:fill="FFFFFF"/>
          </w:tcPr>
          <w:p w14:paraId="6009856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1400</w:t>
            </w:r>
          </w:p>
        </w:tc>
        <w:tc>
          <w:tcPr>
            <w:tcW w:w="1301" w:type="dxa"/>
            <w:tcBorders>
              <w:top w:val="single" w:sz="4" w:space="0" w:color="auto"/>
              <w:left w:val="single" w:sz="4" w:space="0" w:color="auto"/>
            </w:tcBorders>
            <w:shd w:val="clear" w:color="auto" w:fill="FFFFFF"/>
            <w:vAlign w:val="bottom"/>
          </w:tcPr>
          <w:p w14:paraId="6850E1F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12</w:t>
            </w:r>
          </w:p>
        </w:tc>
      </w:tr>
      <w:tr w:rsidR="00B834A2" w:rsidRPr="00BA5F6E" w14:paraId="1CC99D40" w14:textId="77777777" w:rsidTr="004A7CC9">
        <w:tc>
          <w:tcPr>
            <w:tcW w:w="1464" w:type="dxa"/>
            <w:tcBorders>
              <w:top w:val="single" w:sz="4" w:space="0" w:color="auto"/>
            </w:tcBorders>
            <w:shd w:val="clear" w:color="auto" w:fill="FFFFFF"/>
          </w:tcPr>
          <w:p w14:paraId="098AA275"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268725C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1,25 մմ</w:t>
            </w:r>
          </w:p>
        </w:tc>
        <w:tc>
          <w:tcPr>
            <w:tcW w:w="1512" w:type="dxa"/>
            <w:tcBorders>
              <w:top w:val="single" w:sz="4" w:space="0" w:color="auto"/>
              <w:left w:val="single" w:sz="4" w:space="0" w:color="auto"/>
            </w:tcBorders>
            <w:shd w:val="clear" w:color="auto" w:fill="FFFFFF"/>
          </w:tcPr>
          <w:p w14:paraId="29C1AB9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05DF8134"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6A6C677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5BCA31EF"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6EA7CFB" w14:textId="77777777" w:rsidR="00B834A2" w:rsidRPr="00BA5F6E" w:rsidRDefault="00B834A2" w:rsidP="00BA5F6E">
            <w:pPr>
              <w:spacing w:after="120"/>
              <w:rPr>
                <w:sz w:val="20"/>
                <w:szCs w:val="20"/>
              </w:rPr>
            </w:pPr>
          </w:p>
        </w:tc>
      </w:tr>
      <w:tr w:rsidR="00B834A2" w:rsidRPr="00BA5F6E" w14:paraId="707B155C" w14:textId="77777777" w:rsidTr="004A7CC9">
        <w:tc>
          <w:tcPr>
            <w:tcW w:w="1464" w:type="dxa"/>
            <w:tcBorders>
              <w:top w:val="single" w:sz="4" w:space="0" w:color="auto"/>
            </w:tcBorders>
            <w:shd w:val="clear" w:color="auto" w:fill="FFFFFF"/>
          </w:tcPr>
          <w:p w14:paraId="7DA261A9"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9898030"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0B078B9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1,18 մմ</w:t>
            </w:r>
          </w:p>
        </w:tc>
        <w:tc>
          <w:tcPr>
            <w:tcW w:w="1085" w:type="dxa"/>
            <w:tcBorders>
              <w:top w:val="single" w:sz="4" w:space="0" w:color="auto"/>
              <w:left w:val="single" w:sz="4" w:space="0" w:color="auto"/>
            </w:tcBorders>
            <w:shd w:val="clear" w:color="auto" w:fill="FFFFFF"/>
            <w:vAlign w:val="center"/>
          </w:tcPr>
          <w:p w14:paraId="3B8273F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16</w:t>
            </w:r>
          </w:p>
        </w:tc>
        <w:tc>
          <w:tcPr>
            <w:tcW w:w="1546" w:type="dxa"/>
            <w:tcBorders>
              <w:top w:val="single" w:sz="4" w:space="0" w:color="auto"/>
              <w:left w:val="single" w:sz="4" w:space="0" w:color="auto"/>
            </w:tcBorders>
            <w:shd w:val="clear" w:color="auto" w:fill="FFFFFF"/>
          </w:tcPr>
          <w:p w14:paraId="16A6FA2F"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1ED8ACCD"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center"/>
          </w:tcPr>
          <w:p w14:paraId="7969F22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14</w:t>
            </w:r>
          </w:p>
        </w:tc>
      </w:tr>
      <w:tr w:rsidR="00B834A2" w:rsidRPr="00BA5F6E" w14:paraId="0282E931" w14:textId="77777777" w:rsidTr="004A7CC9">
        <w:tc>
          <w:tcPr>
            <w:tcW w:w="1464" w:type="dxa"/>
            <w:tcBorders>
              <w:top w:val="single" w:sz="4" w:space="0" w:color="auto"/>
            </w:tcBorders>
            <w:shd w:val="clear" w:color="auto" w:fill="FFFFFF"/>
          </w:tcPr>
          <w:p w14:paraId="3CEF52F3"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bottom"/>
          </w:tcPr>
          <w:p w14:paraId="444DF6B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1,12 մմ</w:t>
            </w:r>
          </w:p>
        </w:tc>
        <w:tc>
          <w:tcPr>
            <w:tcW w:w="1512" w:type="dxa"/>
            <w:tcBorders>
              <w:top w:val="single" w:sz="4" w:space="0" w:color="auto"/>
              <w:left w:val="single" w:sz="4" w:space="0" w:color="auto"/>
            </w:tcBorders>
            <w:shd w:val="clear" w:color="auto" w:fill="FFFFFF"/>
          </w:tcPr>
          <w:p w14:paraId="7DFF8EEB"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501ABA8A"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C73330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5A784BEF"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405EDDC" w14:textId="77777777" w:rsidR="00B834A2" w:rsidRPr="00BA5F6E" w:rsidRDefault="00B834A2" w:rsidP="00BA5F6E">
            <w:pPr>
              <w:spacing w:after="120"/>
              <w:rPr>
                <w:sz w:val="20"/>
                <w:szCs w:val="20"/>
              </w:rPr>
            </w:pPr>
          </w:p>
        </w:tc>
      </w:tr>
      <w:tr w:rsidR="00B834A2" w:rsidRPr="00BA5F6E" w14:paraId="4EA9967D" w14:textId="77777777" w:rsidTr="004A7CC9">
        <w:tc>
          <w:tcPr>
            <w:tcW w:w="1464" w:type="dxa"/>
            <w:tcBorders>
              <w:top w:val="single" w:sz="4" w:space="0" w:color="auto"/>
            </w:tcBorders>
            <w:shd w:val="clear" w:color="auto" w:fill="FFFFFF"/>
            <w:vAlign w:val="center"/>
          </w:tcPr>
          <w:p w14:paraId="7338AF3A"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1,00 մմ</w:t>
            </w:r>
          </w:p>
        </w:tc>
        <w:tc>
          <w:tcPr>
            <w:tcW w:w="1262" w:type="dxa"/>
            <w:tcBorders>
              <w:top w:val="single" w:sz="4" w:space="0" w:color="auto"/>
              <w:left w:val="single" w:sz="4" w:space="0" w:color="auto"/>
            </w:tcBorders>
            <w:shd w:val="clear" w:color="auto" w:fill="FFFFFF"/>
            <w:vAlign w:val="center"/>
          </w:tcPr>
          <w:p w14:paraId="60A7274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1,00 մմ</w:t>
            </w:r>
          </w:p>
        </w:tc>
        <w:tc>
          <w:tcPr>
            <w:tcW w:w="1512" w:type="dxa"/>
            <w:tcBorders>
              <w:top w:val="single" w:sz="4" w:space="0" w:color="auto"/>
              <w:left w:val="single" w:sz="4" w:space="0" w:color="auto"/>
            </w:tcBorders>
            <w:shd w:val="clear" w:color="auto" w:fill="FFFFFF"/>
            <w:vAlign w:val="center"/>
          </w:tcPr>
          <w:p w14:paraId="079AAC3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1,00 մմ</w:t>
            </w:r>
          </w:p>
        </w:tc>
        <w:tc>
          <w:tcPr>
            <w:tcW w:w="1085" w:type="dxa"/>
            <w:tcBorders>
              <w:top w:val="single" w:sz="4" w:space="0" w:color="auto"/>
              <w:left w:val="single" w:sz="4" w:space="0" w:color="auto"/>
            </w:tcBorders>
            <w:shd w:val="clear" w:color="auto" w:fill="FFFFFF"/>
            <w:vAlign w:val="bottom"/>
          </w:tcPr>
          <w:p w14:paraId="53CE1A5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18</w:t>
            </w:r>
          </w:p>
        </w:tc>
        <w:tc>
          <w:tcPr>
            <w:tcW w:w="1546" w:type="dxa"/>
            <w:tcBorders>
              <w:top w:val="single" w:sz="4" w:space="0" w:color="auto"/>
              <w:left w:val="single" w:sz="4" w:space="0" w:color="auto"/>
            </w:tcBorders>
            <w:shd w:val="clear" w:color="auto" w:fill="FFFFFF"/>
            <w:vAlign w:val="bottom"/>
          </w:tcPr>
          <w:p w14:paraId="24D468D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1000</w:t>
            </w:r>
          </w:p>
        </w:tc>
        <w:tc>
          <w:tcPr>
            <w:tcW w:w="1258" w:type="dxa"/>
            <w:tcBorders>
              <w:top w:val="single" w:sz="4" w:space="0" w:color="auto"/>
              <w:left w:val="single" w:sz="4" w:space="0" w:color="auto"/>
            </w:tcBorders>
            <w:shd w:val="clear" w:color="auto" w:fill="FFFFFF"/>
            <w:vAlign w:val="bottom"/>
          </w:tcPr>
          <w:p w14:paraId="03C6208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1000</w:t>
            </w:r>
          </w:p>
        </w:tc>
        <w:tc>
          <w:tcPr>
            <w:tcW w:w="1301" w:type="dxa"/>
            <w:tcBorders>
              <w:top w:val="single" w:sz="4" w:space="0" w:color="auto"/>
              <w:left w:val="single" w:sz="4" w:space="0" w:color="auto"/>
            </w:tcBorders>
            <w:shd w:val="clear" w:color="auto" w:fill="FFFFFF"/>
            <w:vAlign w:val="bottom"/>
          </w:tcPr>
          <w:p w14:paraId="62D98AAA"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16</w:t>
            </w:r>
          </w:p>
        </w:tc>
      </w:tr>
      <w:tr w:rsidR="00B834A2" w:rsidRPr="00BA5F6E" w14:paraId="1255E2E6" w14:textId="77777777" w:rsidTr="004A7CC9">
        <w:tc>
          <w:tcPr>
            <w:tcW w:w="1464" w:type="dxa"/>
            <w:tcBorders>
              <w:top w:val="single" w:sz="4" w:space="0" w:color="auto"/>
            </w:tcBorders>
            <w:shd w:val="clear" w:color="auto" w:fill="FFFFFF"/>
          </w:tcPr>
          <w:p w14:paraId="5AFF277A"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99A6D0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900 մկմ</w:t>
            </w:r>
          </w:p>
        </w:tc>
        <w:tc>
          <w:tcPr>
            <w:tcW w:w="1512" w:type="dxa"/>
            <w:tcBorders>
              <w:top w:val="single" w:sz="4" w:space="0" w:color="auto"/>
              <w:left w:val="single" w:sz="4" w:space="0" w:color="auto"/>
            </w:tcBorders>
            <w:shd w:val="clear" w:color="auto" w:fill="FFFFFF"/>
          </w:tcPr>
          <w:p w14:paraId="0454989B"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3C6F3299"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0F4EB94"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1EFE57FF"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1E829334" w14:textId="77777777" w:rsidR="00B834A2" w:rsidRPr="00BA5F6E" w:rsidRDefault="00B834A2" w:rsidP="00BA5F6E">
            <w:pPr>
              <w:spacing w:after="120"/>
              <w:rPr>
                <w:sz w:val="20"/>
                <w:szCs w:val="20"/>
              </w:rPr>
            </w:pPr>
          </w:p>
        </w:tc>
      </w:tr>
      <w:tr w:rsidR="00B834A2" w:rsidRPr="00BA5F6E" w14:paraId="59921F1A" w14:textId="77777777" w:rsidTr="004A7CC9">
        <w:tc>
          <w:tcPr>
            <w:tcW w:w="1464" w:type="dxa"/>
            <w:tcBorders>
              <w:top w:val="single" w:sz="4" w:space="0" w:color="auto"/>
            </w:tcBorders>
            <w:shd w:val="clear" w:color="auto" w:fill="FFFFFF"/>
          </w:tcPr>
          <w:p w14:paraId="03EE3D18"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5AA6349"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54AFCFB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850 մկմ</w:t>
            </w:r>
          </w:p>
        </w:tc>
        <w:tc>
          <w:tcPr>
            <w:tcW w:w="1085" w:type="dxa"/>
            <w:tcBorders>
              <w:top w:val="single" w:sz="4" w:space="0" w:color="auto"/>
              <w:left w:val="single" w:sz="4" w:space="0" w:color="auto"/>
            </w:tcBorders>
            <w:shd w:val="clear" w:color="auto" w:fill="FFFFFF"/>
            <w:vAlign w:val="bottom"/>
          </w:tcPr>
          <w:p w14:paraId="77C19F4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20</w:t>
            </w:r>
          </w:p>
        </w:tc>
        <w:tc>
          <w:tcPr>
            <w:tcW w:w="1546" w:type="dxa"/>
            <w:tcBorders>
              <w:top w:val="single" w:sz="4" w:space="0" w:color="auto"/>
              <w:left w:val="single" w:sz="4" w:space="0" w:color="auto"/>
            </w:tcBorders>
            <w:shd w:val="clear" w:color="auto" w:fill="FFFFFF"/>
          </w:tcPr>
          <w:p w14:paraId="5A07B51D"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74BC0966"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bottom"/>
          </w:tcPr>
          <w:p w14:paraId="6CC1958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18</w:t>
            </w:r>
          </w:p>
        </w:tc>
      </w:tr>
      <w:tr w:rsidR="00B834A2" w:rsidRPr="00BA5F6E" w14:paraId="16C62205" w14:textId="77777777" w:rsidTr="004A7CC9">
        <w:tc>
          <w:tcPr>
            <w:tcW w:w="1464" w:type="dxa"/>
            <w:tcBorders>
              <w:top w:val="single" w:sz="4" w:space="0" w:color="auto"/>
            </w:tcBorders>
            <w:shd w:val="clear" w:color="auto" w:fill="FFFFFF"/>
          </w:tcPr>
          <w:p w14:paraId="55C0182A"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vAlign w:val="center"/>
          </w:tcPr>
          <w:p w14:paraId="456BD66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800 մկմ</w:t>
            </w:r>
          </w:p>
        </w:tc>
        <w:tc>
          <w:tcPr>
            <w:tcW w:w="1512" w:type="dxa"/>
            <w:tcBorders>
              <w:top w:val="single" w:sz="4" w:space="0" w:color="auto"/>
              <w:left w:val="single" w:sz="4" w:space="0" w:color="auto"/>
            </w:tcBorders>
            <w:shd w:val="clear" w:color="auto" w:fill="FFFFFF"/>
          </w:tcPr>
          <w:p w14:paraId="550E0543"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15ECCA3D"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3817330B"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D0DFF44"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D06BE7A" w14:textId="77777777" w:rsidR="00B834A2" w:rsidRPr="00BA5F6E" w:rsidRDefault="00B834A2" w:rsidP="00BA5F6E">
            <w:pPr>
              <w:spacing w:after="120"/>
              <w:rPr>
                <w:sz w:val="20"/>
                <w:szCs w:val="20"/>
              </w:rPr>
            </w:pPr>
          </w:p>
        </w:tc>
      </w:tr>
      <w:tr w:rsidR="00B834A2" w:rsidRPr="00BA5F6E" w14:paraId="1F509166" w14:textId="77777777" w:rsidTr="004A7CC9">
        <w:tc>
          <w:tcPr>
            <w:tcW w:w="1464" w:type="dxa"/>
            <w:tcBorders>
              <w:top w:val="single" w:sz="4" w:space="0" w:color="auto"/>
            </w:tcBorders>
            <w:shd w:val="clear" w:color="auto" w:fill="FFFFFF"/>
          </w:tcPr>
          <w:p w14:paraId="4A13C92C"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710 մկմ</w:t>
            </w:r>
          </w:p>
        </w:tc>
        <w:tc>
          <w:tcPr>
            <w:tcW w:w="1262" w:type="dxa"/>
            <w:tcBorders>
              <w:top w:val="single" w:sz="4" w:space="0" w:color="auto"/>
              <w:left w:val="single" w:sz="4" w:space="0" w:color="auto"/>
            </w:tcBorders>
            <w:shd w:val="clear" w:color="auto" w:fill="FFFFFF"/>
          </w:tcPr>
          <w:p w14:paraId="74196F0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710 մկմ</w:t>
            </w:r>
          </w:p>
        </w:tc>
        <w:tc>
          <w:tcPr>
            <w:tcW w:w="1512" w:type="dxa"/>
            <w:tcBorders>
              <w:top w:val="single" w:sz="4" w:space="0" w:color="auto"/>
              <w:left w:val="single" w:sz="4" w:space="0" w:color="auto"/>
            </w:tcBorders>
            <w:shd w:val="clear" w:color="auto" w:fill="FFFFFF"/>
          </w:tcPr>
          <w:p w14:paraId="0EC55BC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710 մկմ</w:t>
            </w:r>
          </w:p>
        </w:tc>
        <w:tc>
          <w:tcPr>
            <w:tcW w:w="1085" w:type="dxa"/>
            <w:tcBorders>
              <w:top w:val="single" w:sz="4" w:space="0" w:color="auto"/>
              <w:left w:val="single" w:sz="4" w:space="0" w:color="auto"/>
            </w:tcBorders>
            <w:shd w:val="clear" w:color="auto" w:fill="FFFFFF"/>
          </w:tcPr>
          <w:p w14:paraId="445E9B1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25</w:t>
            </w:r>
          </w:p>
        </w:tc>
        <w:tc>
          <w:tcPr>
            <w:tcW w:w="1546" w:type="dxa"/>
            <w:tcBorders>
              <w:top w:val="single" w:sz="4" w:space="0" w:color="auto"/>
              <w:left w:val="single" w:sz="4" w:space="0" w:color="auto"/>
            </w:tcBorders>
            <w:shd w:val="clear" w:color="auto" w:fill="FFFFFF"/>
          </w:tcPr>
          <w:p w14:paraId="7C6F905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710</w:t>
            </w:r>
          </w:p>
        </w:tc>
        <w:tc>
          <w:tcPr>
            <w:tcW w:w="1258" w:type="dxa"/>
            <w:tcBorders>
              <w:top w:val="single" w:sz="4" w:space="0" w:color="auto"/>
              <w:left w:val="single" w:sz="4" w:space="0" w:color="auto"/>
            </w:tcBorders>
            <w:shd w:val="clear" w:color="auto" w:fill="FFFFFF"/>
          </w:tcPr>
          <w:p w14:paraId="5F028B5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710</w:t>
            </w:r>
          </w:p>
        </w:tc>
        <w:tc>
          <w:tcPr>
            <w:tcW w:w="1301" w:type="dxa"/>
            <w:tcBorders>
              <w:top w:val="single" w:sz="4" w:space="0" w:color="auto"/>
              <w:left w:val="single" w:sz="4" w:space="0" w:color="auto"/>
            </w:tcBorders>
            <w:shd w:val="clear" w:color="auto" w:fill="FFFFFF"/>
            <w:vAlign w:val="center"/>
          </w:tcPr>
          <w:p w14:paraId="7FA95C8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22</w:t>
            </w:r>
          </w:p>
        </w:tc>
      </w:tr>
      <w:tr w:rsidR="00B834A2" w:rsidRPr="00BA5F6E" w14:paraId="10F4C713" w14:textId="77777777" w:rsidTr="004A7CC9">
        <w:tc>
          <w:tcPr>
            <w:tcW w:w="1464" w:type="dxa"/>
            <w:tcBorders>
              <w:top w:val="single" w:sz="4" w:space="0" w:color="auto"/>
            </w:tcBorders>
            <w:shd w:val="clear" w:color="auto" w:fill="FFFFFF"/>
          </w:tcPr>
          <w:p w14:paraId="70E6B96A"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E63FCA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630 մկմ</w:t>
            </w:r>
          </w:p>
        </w:tc>
        <w:tc>
          <w:tcPr>
            <w:tcW w:w="1512" w:type="dxa"/>
            <w:tcBorders>
              <w:top w:val="single" w:sz="4" w:space="0" w:color="auto"/>
              <w:left w:val="single" w:sz="4" w:space="0" w:color="auto"/>
            </w:tcBorders>
            <w:shd w:val="clear" w:color="auto" w:fill="FFFFFF"/>
          </w:tcPr>
          <w:p w14:paraId="3CE0C1A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1570F5FD"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9999CBD"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51ED07C"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0A30E603" w14:textId="77777777" w:rsidR="00B834A2" w:rsidRPr="00BA5F6E" w:rsidRDefault="00B834A2" w:rsidP="00BA5F6E">
            <w:pPr>
              <w:spacing w:after="120"/>
              <w:rPr>
                <w:sz w:val="20"/>
                <w:szCs w:val="20"/>
              </w:rPr>
            </w:pPr>
          </w:p>
        </w:tc>
      </w:tr>
      <w:tr w:rsidR="00B834A2" w:rsidRPr="00BA5F6E" w14:paraId="675563AD" w14:textId="77777777" w:rsidTr="004A7CC9">
        <w:tc>
          <w:tcPr>
            <w:tcW w:w="1464" w:type="dxa"/>
            <w:tcBorders>
              <w:top w:val="single" w:sz="4" w:space="0" w:color="auto"/>
            </w:tcBorders>
            <w:shd w:val="clear" w:color="auto" w:fill="FFFFFF"/>
          </w:tcPr>
          <w:p w14:paraId="1985F068"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42648AB7"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vAlign w:val="center"/>
          </w:tcPr>
          <w:p w14:paraId="262A6C8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600 մկմ</w:t>
            </w:r>
          </w:p>
        </w:tc>
        <w:tc>
          <w:tcPr>
            <w:tcW w:w="1085" w:type="dxa"/>
            <w:tcBorders>
              <w:top w:val="single" w:sz="4" w:space="0" w:color="auto"/>
              <w:left w:val="single" w:sz="4" w:space="0" w:color="auto"/>
            </w:tcBorders>
            <w:shd w:val="clear" w:color="auto" w:fill="FFFFFF"/>
            <w:vAlign w:val="center"/>
          </w:tcPr>
          <w:p w14:paraId="4491DC3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30</w:t>
            </w:r>
          </w:p>
        </w:tc>
        <w:tc>
          <w:tcPr>
            <w:tcW w:w="1546" w:type="dxa"/>
            <w:tcBorders>
              <w:top w:val="single" w:sz="4" w:space="0" w:color="auto"/>
              <w:left w:val="single" w:sz="4" w:space="0" w:color="auto"/>
            </w:tcBorders>
            <w:shd w:val="clear" w:color="auto" w:fill="FFFFFF"/>
          </w:tcPr>
          <w:p w14:paraId="2ABA2923"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2C8E08F"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vAlign w:val="bottom"/>
          </w:tcPr>
          <w:p w14:paraId="2F5B944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26</w:t>
            </w:r>
          </w:p>
        </w:tc>
      </w:tr>
      <w:tr w:rsidR="00B834A2" w:rsidRPr="00BA5F6E" w14:paraId="557186B3" w14:textId="77777777" w:rsidTr="004A7CC9">
        <w:tc>
          <w:tcPr>
            <w:tcW w:w="1464" w:type="dxa"/>
            <w:tcBorders>
              <w:top w:val="single" w:sz="4" w:space="0" w:color="auto"/>
            </w:tcBorders>
            <w:shd w:val="clear" w:color="auto" w:fill="FFFFFF"/>
          </w:tcPr>
          <w:p w14:paraId="51DDE0E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4809DDD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560 մկմ</w:t>
            </w:r>
          </w:p>
        </w:tc>
        <w:tc>
          <w:tcPr>
            <w:tcW w:w="1512" w:type="dxa"/>
            <w:tcBorders>
              <w:top w:val="single" w:sz="4" w:space="0" w:color="auto"/>
              <w:left w:val="single" w:sz="4" w:space="0" w:color="auto"/>
            </w:tcBorders>
            <w:shd w:val="clear" w:color="auto" w:fill="FFFFFF"/>
          </w:tcPr>
          <w:p w14:paraId="3D8FD4AC"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51DEAF56"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66F962D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850A6F9"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19225708" w14:textId="77777777" w:rsidR="00B834A2" w:rsidRPr="00BA5F6E" w:rsidRDefault="00B834A2" w:rsidP="00BA5F6E">
            <w:pPr>
              <w:spacing w:after="120"/>
              <w:rPr>
                <w:sz w:val="20"/>
                <w:szCs w:val="20"/>
              </w:rPr>
            </w:pPr>
          </w:p>
        </w:tc>
      </w:tr>
      <w:tr w:rsidR="00B834A2" w:rsidRPr="00BA5F6E" w14:paraId="78B3F897" w14:textId="77777777" w:rsidTr="004A7CC9">
        <w:tc>
          <w:tcPr>
            <w:tcW w:w="1464" w:type="dxa"/>
            <w:tcBorders>
              <w:top w:val="single" w:sz="4" w:space="0" w:color="auto"/>
            </w:tcBorders>
            <w:shd w:val="clear" w:color="auto" w:fill="FFFFFF"/>
          </w:tcPr>
          <w:p w14:paraId="7F497516"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i w:val="0"/>
                <w:sz w:val="20"/>
                <w:szCs w:val="20"/>
              </w:rPr>
              <w:t>500 մկմ</w:t>
            </w:r>
          </w:p>
        </w:tc>
        <w:tc>
          <w:tcPr>
            <w:tcW w:w="1262" w:type="dxa"/>
            <w:tcBorders>
              <w:top w:val="single" w:sz="4" w:space="0" w:color="auto"/>
              <w:left w:val="single" w:sz="4" w:space="0" w:color="auto"/>
            </w:tcBorders>
            <w:shd w:val="clear" w:color="auto" w:fill="FFFFFF"/>
          </w:tcPr>
          <w:p w14:paraId="401DDB0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500 մկմ</w:t>
            </w:r>
          </w:p>
        </w:tc>
        <w:tc>
          <w:tcPr>
            <w:tcW w:w="1512" w:type="dxa"/>
            <w:tcBorders>
              <w:top w:val="single" w:sz="4" w:space="0" w:color="auto"/>
              <w:left w:val="single" w:sz="4" w:space="0" w:color="auto"/>
            </w:tcBorders>
            <w:shd w:val="clear" w:color="auto" w:fill="FFFFFF"/>
          </w:tcPr>
          <w:p w14:paraId="546990E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500 մկմ</w:t>
            </w:r>
          </w:p>
        </w:tc>
        <w:tc>
          <w:tcPr>
            <w:tcW w:w="1085" w:type="dxa"/>
            <w:tcBorders>
              <w:top w:val="single" w:sz="4" w:space="0" w:color="auto"/>
              <w:left w:val="single" w:sz="4" w:space="0" w:color="auto"/>
            </w:tcBorders>
            <w:shd w:val="clear" w:color="auto" w:fill="FFFFFF"/>
          </w:tcPr>
          <w:p w14:paraId="70E918E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35</w:t>
            </w:r>
          </w:p>
        </w:tc>
        <w:tc>
          <w:tcPr>
            <w:tcW w:w="1546" w:type="dxa"/>
            <w:tcBorders>
              <w:top w:val="single" w:sz="4" w:space="0" w:color="auto"/>
              <w:left w:val="single" w:sz="4" w:space="0" w:color="auto"/>
            </w:tcBorders>
            <w:shd w:val="clear" w:color="auto" w:fill="FFFFFF"/>
          </w:tcPr>
          <w:p w14:paraId="396D431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500</w:t>
            </w:r>
          </w:p>
        </w:tc>
        <w:tc>
          <w:tcPr>
            <w:tcW w:w="1258" w:type="dxa"/>
            <w:tcBorders>
              <w:top w:val="single" w:sz="4" w:space="0" w:color="auto"/>
              <w:left w:val="single" w:sz="4" w:space="0" w:color="auto"/>
            </w:tcBorders>
            <w:shd w:val="clear" w:color="auto" w:fill="FFFFFF"/>
          </w:tcPr>
          <w:p w14:paraId="2FB395D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500</w:t>
            </w:r>
          </w:p>
        </w:tc>
        <w:tc>
          <w:tcPr>
            <w:tcW w:w="1301" w:type="dxa"/>
            <w:tcBorders>
              <w:top w:val="single" w:sz="4" w:space="0" w:color="auto"/>
              <w:left w:val="single" w:sz="4" w:space="0" w:color="auto"/>
            </w:tcBorders>
            <w:shd w:val="clear" w:color="auto" w:fill="FFFFFF"/>
          </w:tcPr>
          <w:p w14:paraId="1788DDD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30</w:t>
            </w:r>
          </w:p>
        </w:tc>
      </w:tr>
      <w:tr w:rsidR="00B834A2" w:rsidRPr="00BA5F6E" w14:paraId="56A0FC4C" w14:textId="77777777" w:rsidTr="004A7CC9">
        <w:tc>
          <w:tcPr>
            <w:tcW w:w="1464" w:type="dxa"/>
            <w:tcBorders>
              <w:top w:val="single" w:sz="4" w:space="0" w:color="auto"/>
            </w:tcBorders>
            <w:shd w:val="clear" w:color="auto" w:fill="FFFFFF"/>
          </w:tcPr>
          <w:p w14:paraId="2B54B77C"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C0FE8F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450 մկմ</w:t>
            </w:r>
          </w:p>
        </w:tc>
        <w:tc>
          <w:tcPr>
            <w:tcW w:w="1512" w:type="dxa"/>
            <w:tcBorders>
              <w:top w:val="single" w:sz="4" w:space="0" w:color="auto"/>
              <w:left w:val="single" w:sz="4" w:space="0" w:color="auto"/>
            </w:tcBorders>
            <w:shd w:val="clear" w:color="auto" w:fill="FFFFFF"/>
          </w:tcPr>
          <w:p w14:paraId="3969FCB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320FD091"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3C12258"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34F5160"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4F1ADAF" w14:textId="77777777" w:rsidR="00B834A2" w:rsidRPr="00BA5F6E" w:rsidRDefault="00B834A2" w:rsidP="00BA5F6E">
            <w:pPr>
              <w:spacing w:after="120"/>
              <w:rPr>
                <w:sz w:val="20"/>
                <w:szCs w:val="20"/>
              </w:rPr>
            </w:pPr>
          </w:p>
        </w:tc>
      </w:tr>
      <w:tr w:rsidR="00B834A2" w:rsidRPr="00BA5F6E" w14:paraId="33884A81" w14:textId="77777777" w:rsidTr="004A7CC9">
        <w:tc>
          <w:tcPr>
            <w:tcW w:w="1464" w:type="dxa"/>
            <w:tcBorders>
              <w:top w:val="single" w:sz="4" w:space="0" w:color="auto"/>
              <w:bottom w:val="single" w:sz="4" w:space="0" w:color="auto"/>
            </w:tcBorders>
            <w:shd w:val="clear" w:color="auto" w:fill="FFFFFF"/>
          </w:tcPr>
          <w:p w14:paraId="78FBD4C2"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bottom w:val="single" w:sz="4" w:space="0" w:color="auto"/>
            </w:tcBorders>
            <w:shd w:val="clear" w:color="auto" w:fill="FFFFFF"/>
          </w:tcPr>
          <w:p w14:paraId="701E1EEB"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bottom w:val="single" w:sz="4" w:space="0" w:color="auto"/>
            </w:tcBorders>
            <w:shd w:val="clear" w:color="auto" w:fill="FFFFFF"/>
          </w:tcPr>
          <w:p w14:paraId="4E9514B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425 մկմ</w:t>
            </w:r>
          </w:p>
        </w:tc>
        <w:tc>
          <w:tcPr>
            <w:tcW w:w="1085" w:type="dxa"/>
            <w:tcBorders>
              <w:top w:val="single" w:sz="4" w:space="0" w:color="auto"/>
              <w:left w:val="single" w:sz="4" w:space="0" w:color="auto"/>
              <w:bottom w:val="single" w:sz="4" w:space="0" w:color="auto"/>
            </w:tcBorders>
            <w:shd w:val="clear" w:color="auto" w:fill="FFFFFF"/>
          </w:tcPr>
          <w:p w14:paraId="4849316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40</w:t>
            </w:r>
          </w:p>
        </w:tc>
        <w:tc>
          <w:tcPr>
            <w:tcW w:w="1546" w:type="dxa"/>
            <w:tcBorders>
              <w:top w:val="single" w:sz="4" w:space="0" w:color="auto"/>
              <w:left w:val="single" w:sz="4" w:space="0" w:color="auto"/>
              <w:bottom w:val="single" w:sz="4" w:space="0" w:color="auto"/>
            </w:tcBorders>
            <w:shd w:val="clear" w:color="auto" w:fill="FFFFFF"/>
          </w:tcPr>
          <w:p w14:paraId="3AF95D11"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bottom w:val="single" w:sz="4" w:space="0" w:color="auto"/>
            </w:tcBorders>
            <w:shd w:val="clear" w:color="auto" w:fill="FFFFFF"/>
          </w:tcPr>
          <w:p w14:paraId="0B741970"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bottom w:val="single" w:sz="4" w:space="0" w:color="auto"/>
            </w:tcBorders>
            <w:shd w:val="clear" w:color="auto" w:fill="FFFFFF"/>
          </w:tcPr>
          <w:p w14:paraId="0000A36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i w:val="0"/>
                <w:sz w:val="20"/>
                <w:szCs w:val="20"/>
              </w:rPr>
              <w:t>36</w:t>
            </w:r>
          </w:p>
        </w:tc>
      </w:tr>
    </w:tbl>
    <w:p w14:paraId="0E9F0C49" w14:textId="77777777" w:rsidR="00B834A2" w:rsidRPr="00B834A2" w:rsidRDefault="00B834A2" w:rsidP="00B834A2">
      <w:pPr>
        <w:spacing w:after="160" w:line="360" w:lineRule="auto"/>
        <w:jc w:val="both"/>
        <w:rPr>
          <w:rStyle w:val="Bodytext31Sylfaen9"/>
          <w:sz w:val="24"/>
          <w:szCs w:val="24"/>
        </w:rPr>
      </w:pPr>
    </w:p>
    <w:p w14:paraId="06A7107C" w14:textId="77777777" w:rsidR="00B834A2" w:rsidRPr="00B834A2" w:rsidRDefault="00B834A2" w:rsidP="00B834A2">
      <w:pPr>
        <w:spacing w:after="160" w:line="360" w:lineRule="auto"/>
        <w:jc w:val="both"/>
        <w:rPr>
          <w:rStyle w:val="Headerorfooter4Italic"/>
          <w:rFonts w:ascii="Sylfaen" w:eastAsia="Tahoma" w:hAnsi="Sylfaen" w:cs="Sylfaen"/>
          <w:sz w:val="24"/>
          <w:szCs w:val="24"/>
        </w:rPr>
      </w:pPr>
      <w:r w:rsidRPr="00B834A2">
        <w:t xml:space="preserve">Աղյուսակ 2.1.10.8-1 </w:t>
      </w:r>
      <w:r w:rsidR="009217DE">
        <w:rPr>
          <w:i/>
        </w:rPr>
        <w:t>-</w:t>
      </w:r>
      <w:r w:rsidRPr="00B834A2">
        <w:rPr>
          <w:i/>
        </w:rPr>
        <w:t xml:space="preserve"> Ավարտ</w:t>
      </w:r>
    </w:p>
    <w:tbl>
      <w:tblPr>
        <w:tblOverlap w:val="never"/>
        <w:tblW w:w="9428" w:type="dxa"/>
        <w:tblLayout w:type="fixed"/>
        <w:tblCellMar>
          <w:left w:w="10" w:type="dxa"/>
          <w:right w:w="10" w:type="dxa"/>
        </w:tblCellMar>
        <w:tblLook w:val="0000" w:firstRow="0" w:lastRow="0" w:firstColumn="0" w:lastColumn="0" w:noHBand="0" w:noVBand="0"/>
      </w:tblPr>
      <w:tblGrid>
        <w:gridCol w:w="1464"/>
        <w:gridCol w:w="1262"/>
        <w:gridCol w:w="1512"/>
        <w:gridCol w:w="1085"/>
        <w:gridCol w:w="1546"/>
        <w:gridCol w:w="1258"/>
        <w:gridCol w:w="1301"/>
      </w:tblGrid>
      <w:tr w:rsidR="00B834A2" w:rsidRPr="00BA5F6E" w14:paraId="7B715A20" w14:textId="77777777" w:rsidTr="004A7CC9">
        <w:trPr>
          <w:tblHeader/>
        </w:trPr>
        <w:tc>
          <w:tcPr>
            <w:tcW w:w="4238" w:type="dxa"/>
            <w:gridSpan w:val="3"/>
            <w:tcBorders>
              <w:top w:val="single" w:sz="4" w:space="0" w:color="auto"/>
            </w:tcBorders>
            <w:shd w:val="clear" w:color="auto" w:fill="FFFFFF"/>
          </w:tcPr>
          <w:p w14:paraId="52300EDB" w14:textId="77777777" w:rsidR="00B834A2" w:rsidRPr="00BA5F6E" w:rsidRDefault="00B834A2" w:rsidP="00BC6A72">
            <w:pPr>
              <w:pStyle w:val="Bodytext20"/>
              <w:shd w:val="clear" w:color="auto" w:fill="auto"/>
              <w:spacing w:before="0" w:line="240" w:lineRule="auto"/>
              <w:rPr>
                <w:rFonts w:ascii="Sylfaen" w:hAnsi="Sylfaen" w:cs="Sylfaen"/>
                <w:sz w:val="20"/>
                <w:szCs w:val="20"/>
              </w:rPr>
            </w:pPr>
            <w:r w:rsidRPr="00BA5F6E">
              <w:rPr>
                <w:rStyle w:val="Bodytext31Sylfaen9"/>
                <w:sz w:val="20"/>
                <w:szCs w:val="20"/>
              </w:rPr>
              <w:t xml:space="preserve">Անցքի անվանական չափը՝ </w:t>
            </w:r>
            <w:smartTag w:uri="urn:schemas-microsoft-com:office:smarttags" w:element="stockticker">
              <w:r w:rsidRPr="00BA5F6E">
                <w:rPr>
                  <w:rStyle w:val="Bodytext31Sylfaen9"/>
                  <w:sz w:val="20"/>
                  <w:szCs w:val="20"/>
                </w:rPr>
                <w:t>ISO</w:t>
              </w:r>
            </w:smartTag>
            <w:r w:rsidRPr="00BA5F6E">
              <w:rPr>
                <w:rStyle w:val="Bodytext31Sylfaen9"/>
                <w:sz w:val="20"/>
                <w:szCs w:val="20"/>
              </w:rPr>
              <w:t>-ին համապատասխան</w:t>
            </w:r>
          </w:p>
        </w:tc>
        <w:tc>
          <w:tcPr>
            <w:tcW w:w="1085" w:type="dxa"/>
            <w:vMerge w:val="restart"/>
            <w:tcBorders>
              <w:top w:val="single" w:sz="4" w:space="0" w:color="auto"/>
              <w:left w:val="single" w:sz="4" w:space="0" w:color="auto"/>
            </w:tcBorders>
            <w:shd w:val="clear" w:color="auto" w:fill="FFFFFF"/>
          </w:tcPr>
          <w:p w14:paraId="18B6CF0A" w14:textId="77777777" w:rsidR="00B834A2" w:rsidRPr="00BA5F6E" w:rsidRDefault="00B834A2" w:rsidP="00C005F7">
            <w:pPr>
              <w:pStyle w:val="Bodytext20"/>
              <w:shd w:val="clear" w:color="auto" w:fill="auto"/>
              <w:spacing w:before="0" w:line="240" w:lineRule="auto"/>
              <w:ind w:left="15" w:right="200"/>
              <w:rPr>
                <w:rFonts w:ascii="Sylfaen" w:hAnsi="Sylfaen" w:cs="Sylfaen"/>
                <w:sz w:val="20"/>
                <w:szCs w:val="20"/>
              </w:rPr>
            </w:pPr>
            <w:r w:rsidRPr="00BA5F6E">
              <w:rPr>
                <w:rStyle w:val="Bodytext31Sylfaen9"/>
                <w:sz w:val="20"/>
                <w:szCs w:val="20"/>
              </w:rPr>
              <w:t>ԱՄՆ մաղեր թիվ</w:t>
            </w:r>
          </w:p>
        </w:tc>
        <w:tc>
          <w:tcPr>
            <w:tcW w:w="1546" w:type="dxa"/>
            <w:vMerge w:val="restart"/>
            <w:tcBorders>
              <w:top w:val="single" w:sz="4" w:space="0" w:color="auto"/>
              <w:left w:val="single" w:sz="4" w:space="0" w:color="auto"/>
            </w:tcBorders>
            <w:shd w:val="clear" w:color="auto" w:fill="FFFFFF"/>
          </w:tcPr>
          <w:p w14:paraId="38316031" w14:textId="77777777" w:rsidR="00B834A2" w:rsidRPr="00BA5F6E" w:rsidRDefault="00B834A2" w:rsidP="00BC6A72">
            <w:pPr>
              <w:pStyle w:val="Bodytext20"/>
              <w:shd w:val="clear" w:color="auto" w:fill="auto"/>
              <w:spacing w:before="0" w:line="240" w:lineRule="auto"/>
              <w:ind w:left="15"/>
              <w:rPr>
                <w:rFonts w:ascii="Sylfaen" w:hAnsi="Sylfaen" w:cs="Sylfaen"/>
                <w:sz w:val="20"/>
                <w:szCs w:val="20"/>
              </w:rPr>
            </w:pPr>
            <w:r w:rsidRPr="00BA5F6E">
              <w:rPr>
                <w:rStyle w:val="Bodytext31Sylfaen9"/>
                <w:sz w:val="20"/>
                <w:szCs w:val="20"/>
              </w:rPr>
              <w:t>ԱՄՆ Ֆ-ի կողմից խորհուրդ տրված մաղեր (մկմ)</w:t>
            </w:r>
          </w:p>
        </w:tc>
        <w:tc>
          <w:tcPr>
            <w:tcW w:w="1258" w:type="dxa"/>
            <w:vMerge w:val="restart"/>
            <w:tcBorders>
              <w:top w:val="single" w:sz="4" w:space="0" w:color="auto"/>
              <w:left w:val="single" w:sz="4" w:space="0" w:color="auto"/>
            </w:tcBorders>
            <w:shd w:val="clear" w:color="auto" w:fill="FFFFFF"/>
          </w:tcPr>
          <w:p w14:paraId="5943FC0F" w14:textId="77777777" w:rsidR="00B834A2" w:rsidRPr="00BA5F6E" w:rsidRDefault="00B834A2" w:rsidP="00BC6A72">
            <w:pPr>
              <w:pStyle w:val="Bodytext20"/>
              <w:shd w:val="clear" w:color="auto" w:fill="auto"/>
              <w:spacing w:before="0" w:line="240" w:lineRule="auto"/>
              <w:ind w:left="15"/>
              <w:rPr>
                <w:rFonts w:ascii="Sylfaen" w:hAnsi="Sylfaen" w:cs="Sylfaen"/>
                <w:sz w:val="20"/>
                <w:szCs w:val="20"/>
              </w:rPr>
            </w:pPr>
            <w:r w:rsidRPr="00BA5F6E">
              <w:rPr>
                <w:rStyle w:val="Bodytext31Sylfaen9"/>
                <w:sz w:val="20"/>
                <w:szCs w:val="20"/>
              </w:rPr>
              <w:t>Եվրոպական մաղեր թիվ</w:t>
            </w:r>
          </w:p>
        </w:tc>
        <w:tc>
          <w:tcPr>
            <w:tcW w:w="1301" w:type="dxa"/>
            <w:vMerge w:val="restart"/>
            <w:tcBorders>
              <w:top w:val="single" w:sz="4" w:space="0" w:color="auto"/>
              <w:left w:val="single" w:sz="4" w:space="0" w:color="auto"/>
            </w:tcBorders>
            <w:shd w:val="clear" w:color="auto" w:fill="FFFFFF"/>
          </w:tcPr>
          <w:p w14:paraId="2029B780" w14:textId="77777777" w:rsidR="00B834A2" w:rsidRPr="00BA5F6E" w:rsidRDefault="00B834A2" w:rsidP="00BC6A72">
            <w:pPr>
              <w:pStyle w:val="Bodytext20"/>
              <w:shd w:val="clear" w:color="auto" w:fill="auto"/>
              <w:spacing w:before="0" w:line="240" w:lineRule="auto"/>
              <w:ind w:left="15"/>
              <w:rPr>
                <w:rFonts w:ascii="Sylfaen" w:hAnsi="Sylfaen" w:cs="Sylfaen"/>
                <w:sz w:val="20"/>
                <w:szCs w:val="20"/>
              </w:rPr>
            </w:pPr>
            <w:r w:rsidRPr="00BA5F6E">
              <w:rPr>
                <w:rStyle w:val="Bodytext31Sylfaen9"/>
                <w:sz w:val="20"/>
                <w:szCs w:val="20"/>
              </w:rPr>
              <w:t>Ճապոնական մաղեր թիվ</w:t>
            </w:r>
          </w:p>
        </w:tc>
      </w:tr>
      <w:tr w:rsidR="00B834A2" w:rsidRPr="00BA5F6E" w14:paraId="589A48D6" w14:textId="77777777" w:rsidTr="004A7CC9">
        <w:trPr>
          <w:tblHeader/>
        </w:trPr>
        <w:tc>
          <w:tcPr>
            <w:tcW w:w="1464" w:type="dxa"/>
            <w:tcBorders>
              <w:top w:val="single" w:sz="4" w:space="0" w:color="auto"/>
            </w:tcBorders>
            <w:shd w:val="clear" w:color="auto" w:fill="FFFFFF"/>
          </w:tcPr>
          <w:p w14:paraId="469B7968" w14:textId="77777777" w:rsidR="00B834A2" w:rsidRPr="00BA5F6E" w:rsidRDefault="00B834A2" w:rsidP="00BC6A72">
            <w:pPr>
              <w:pStyle w:val="Bodytext20"/>
              <w:shd w:val="clear" w:color="auto" w:fill="auto"/>
              <w:spacing w:before="0" w:line="240" w:lineRule="auto"/>
              <w:rPr>
                <w:rFonts w:ascii="Sylfaen" w:hAnsi="Sylfaen" w:cs="Sylfaen"/>
                <w:sz w:val="20"/>
                <w:szCs w:val="20"/>
              </w:rPr>
            </w:pPr>
            <w:r w:rsidRPr="00BA5F6E">
              <w:rPr>
                <w:rStyle w:val="Bodytext31Sylfaen9"/>
                <w:sz w:val="20"/>
                <w:szCs w:val="20"/>
              </w:rPr>
              <w:t>Հիմնական չափը</w:t>
            </w:r>
          </w:p>
        </w:tc>
        <w:tc>
          <w:tcPr>
            <w:tcW w:w="2774" w:type="dxa"/>
            <w:gridSpan w:val="2"/>
            <w:tcBorders>
              <w:top w:val="single" w:sz="4" w:space="0" w:color="auto"/>
              <w:left w:val="single" w:sz="4" w:space="0" w:color="auto"/>
            </w:tcBorders>
            <w:shd w:val="clear" w:color="auto" w:fill="FFFFFF"/>
          </w:tcPr>
          <w:p w14:paraId="558D6751" w14:textId="77777777" w:rsidR="00B834A2" w:rsidRPr="00BA5F6E" w:rsidRDefault="00B834A2" w:rsidP="00BC6A72">
            <w:pPr>
              <w:pStyle w:val="Bodytext20"/>
              <w:shd w:val="clear" w:color="auto" w:fill="auto"/>
              <w:spacing w:before="0" w:line="240" w:lineRule="auto"/>
              <w:rPr>
                <w:rFonts w:ascii="Sylfaen" w:hAnsi="Sylfaen" w:cs="Sylfaen"/>
                <w:sz w:val="20"/>
                <w:szCs w:val="20"/>
              </w:rPr>
            </w:pPr>
            <w:r w:rsidRPr="00BA5F6E">
              <w:rPr>
                <w:rStyle w:val="Bodytext31Sylfaen9"/>
                <w:sz w:val="20"/>
                <w:szCs w:val="20"/>
              </w:rPr>
              <w:t>Լրացուցիչ չափը</w:t>
            </w:r>
          </w:p>
        </w:tc>
        <w:tc>
          <w:tcPr>
            <w:tcW w:w="1085" w:type="dxa"/>
            <w:vMerge/>
            <w:tcBorders>
              <w:left w:val="single" w:sz="4" w:space="0" w:color="auto"/>
            </w:tcBorders>
            <w:shd w:val="clear" w:color="auto" w:fill="FFFFFF"/>
          </w:tcPr>
          <w:p w14:paraId="2CC174C8" w14:textId="77777777" w:rsidR="00B834A2" w:rsidRPr="00BA5F6E" w:rsidRDefault="00B834A2" w:rsidP="00BA5F6E">
            <w:pPr>
              <w:spacing w:after="120"/>
              <w:rPr>
                <w:sz w:val="20"/>
                <w:szCs w:val="20"/>
              </w:rPr>
            </w:pPr>
          </w:p>
        </w:tc>
        <w:tc>
          <w:tcPr>
            <w:tcW w:w="1546" w:type="dxa"/>
            <w:vMerge/>
            <w:tcBorders>
              <w:left w:val="single" w:sz="4" w:space="0" w:color="auto"/>
            </w:tcBorders>
            <w:shd w:val="clear" w:color="auto" w:fill="FFFFFF"/>
          </w:tcPr>
          <w:p w14:paraId="14A9D4C8" w14:textId="77777777" w:rsidR="00B834A2" w:rsidRPr="00BA5F6E" w:rsidRDefault="00B834A2" w:rsidP="00BA5F6E">
            <w:pPr>
              <w:spacing w:after="120"/>
              <w:rPr>
                <w:sz w:val="20"/>
                <w:szCs w:val="20"/>
              </w:rPr>
            </w:pPr>
          </w:p>
        </w:tc>
        <w:tc>
          <w:tcPr>
            <w:tcW w:w="1258" w:type="dxa"/>
            <w:vMerge/>
            <w:tcBorders>
              <w:left w:val="single" w:sz="4" w:space="0" w:color="auto"/>
            </w:tcBorders>
            <w:shd w:val="clear" w:color="auto" w:fill="FFFFFF"/>
          </w:tcPr>
          <w:p w14:paraId="5254B201" w14:textId="77777777" w:rsidR="00B834A2" w:rsidRPr="00BA5F6E" w:rsidRDefault="00B834A2" w:rsidP="00BA5F6E">
            <w:pPr>
              <w:spacing w:after="120"/>
              <w:rPr>
                <w:sz w:val="20"/>
                <w:szCs w:val="20"/>
              </w:rPr>
            </w:pPr>
          </w:p>
        </w:tc>
        <w:tc>
          <w:tcPr>
            <w:tcW w:w="1301" w:type="dxa"/>
            <w:vMerge/>
            <w:tcBorders>
              <w:left w:val="single" w:sz="4" w:space="0" w:color="auto"/>
            </w:tcBorders>
            <w:shd w:val="clear" w:color="auto" w:fill="FFFFFF"/>
          </w:tcPr>
          <w:p w14:paraId="163DB6CB" w14:textId="77777777" w:rsidR="00B834A2" w:rsidRPr="00BA5F6E" w:rsidRDefault="00B834A2" w:rsidP="00BA5F6E">
            <w:pPr>
              <w:spacing w:after="120"/>
              <w:rPr>
                <w:sz w:val="20"/>
                <w:szCs w:val="20"/>
              </w:rPr>
            </w:pPr>
          </w:p>
        </w:tc>
      </w:tr>
      <w:tr w:rsidR="00B834A2" w:rsidRPr="00BA5F6E" w14:paraId="3AC37FF0" w14:textId="77777777" w:rsidTr="00B834A2">
        <w:tc>
          <w:tcPr>
            <w:tcW w:w="1464" w:type="dxa"/>
            <w:tcBorders>
              <w:top w:val="single" w:sz="4" w:space="0" w:color="auto"/>
            </w:tcBorders>
            <w:shd w:val="clear" w:color="auto" w:fill="FFFFFF"/>
          </w:tcPr>
          <w:p w14:paraId="31E9115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54AD0A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400</w:t>
            </w:r>
          </w:p>
        </w:tc>
        <w:tc>
          <w:tcPr>
            <w:tcW w:w="1512" w:type="dxa"/>
            <w:tcBorders>
              <w:top w:val="single" w:sz="4" w:space="0" w:color="auto"/>
              <w:left w:val="single" w:sz="4" w:space="0" w:color="auto"/>
            </w:tcBorders>
            <w:shd w:val="clear" w:color="auto" w:fill="FFFFFF"/>
          </w:tcPr>
          <w:p w14:paraId="32348525"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3E49F6E"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4C5014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4CEAAC0"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67797D29" w14:textId="77777777" w:rsidR="00B834A2" w:rsidRPr="00BA5F6E" w:rsidRDefault="00B834A2" w:rsidP="00BA5F6E">
            <w:pPr>
              <w:spacing w:after="120"/>
              <w:rPr>
                <w:sz w:val="20"/>
                <w:szCs w:val="20"/>
              </w:rPr>
            </w:pPr>
          </w:p>
        </w:tc>
      </w:tr>
      <w:tr w:rsidR="00B834A2" w:rsidRPr="00BA5F6E" w14:paraId="5AA869BA" w14:textId="77777777" w:rsidTr="00B834A2">
        <w:tc>
          <w:tcPr>
            <w:tcW w:w="1464" w:type="dxa"/>
            <w:tcBorders>
              <w:top w:val="single" w:sz="4" w:space="0" w:color="auto"/>
            </w:tcBorders>
            <w:shd w:val="clear" w:color="auto" w:fill="FFFFFF"/>
          </w:tcPr>
          <w:p w14:paraId="790FDF31"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355 մկմ</w:t>
            </w:r>
          </w:p>
        </w:tc>
        <w:tc>
          <w:tcPr>
            <w:tcW w:w="1262" w:type="dxa"/>
            <w:tcBorders>
              <w:top w:val="single" w:sz="4" w:space="0" w:color="auto"/>
              <w:left w:val="single" w:sz="4" w:space="0" w:color="auto"/>
            </w:tcBorders>
            <w:shd w:val="clear" w:color="auto" w:fill="FFFFFF"/>
          </w:tcPr>
          <w:p w14:paraId="70F2662A"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355 մկմ</w:t>
            </w:r>
          </w:p>
        </w:tc>
        <w:tc>
          <w:tcPr>
            <w:tcW w:w="1512" w:type="dxa"/>
            <w:tcBorders>
              <w:top w:val="single" w:sz="4" w:space="0" w:color="auto"/>
              <w:left w:val="single" w:sz="4" w:space="0" w:color="auto"/>
            </w:tcBorders>
            <w:shd w:val="clear" w:color="auto" w:fill="FFFFFF"/>
          </w:tcPr>
          <w:p w14:paraId="1E4653C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355 մկմ</w:t>
            </w:r>
          </w:p>
        </w:tc>
        <w:tc>
          <w:tcPr>
            <w:tcW w:w="1085" w:type="dxa"/>
            <w:tcBorders>
              <w:top w:val="single" w:sz="4" w:space="0" w:color="auto"/>
              <w:left w:val="single" w:sz="4" w:space="0" w:color="auto"/>
            </w:tcBorders>
            <w:shd w:val="clear" w:color="auto" w:fill="FFFFFF"/>
          </w:tcPr>
          <w:p w14:paraId="0B085F7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45</w:t>
            </w:r>
          </w:p>
        </w:tc>
        <w:tc>
          <w:tcPr>
            <w:tcW w:w="1546" w:type="dxa"/>
            <w:tcBorders>
              <w:top w:val="single" w:sz="4" w:space="0" w:color="auto"/>
              <w:left w:val="single" w:sz="4" w:space="0" w:color="auto"/>
            </w:tcBorders>
            <w:shd w:val="clear" w:color="auto" w:fill="FFFFFF"/>
          </w:tcPr>
          <w:p w14:paraId="5B4258B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355</w:t>
            </w:r>
          </w:p>
        </w:tc>
        <w:tc>
          <w:tcPr>
            <w:tcW w:w="1258" w:type="dxa"/>
            <w:tcBorders>
              <w:top w:val="single" w:sz="4" w:space="0" w:color="auto"/>
              <w:left w:val="single" w:sz="4" w:space="0" w:color="auto"/>
            </w:tcBorders>
            <w:shd w:val="clear" w:color="auto" w:fill="FFFFFF"/>
          </w:tcPr>
          <w:p w14:paraId="1B51C56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355</w:t>
            </w:r>
          </w:p>
        </w:tc>
        <w:tc>
          <w:tcPr>
            <w:tcW w:w="1301" w:type="dxa"/>
            <w:tcBorders>
              <w:top w:val="single" w:sz="4" w:space="0" w:color="auto"/>
              <w:left w:val="single" w:sz="4" w:space="0" w:color="auto"/>
            </w:tcBorders>
            <w:shd w:val="clear" w:color="auto" w:fill="FFFFFF"/>
          </w:tcPr>
          <w:p w14:paraId="2B0E323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42</w:t>
            </w:r>
          </w:p>
        </w:tc>
      </w:tr>
      <w:tr w:rsidR="00B834A2" w:rsidRPr="00BA5F6E" w14:paraId="1B7B8890" w14:textId="77777777" w:rsidTr="00B834A2">
        <w:tc>
          <w:tcPr>
            <w:tcW w:w="1464" w:type="dxa"/>
            <w:tcBorders>
              <w:top w:val="single" w:sz="4" w:space="0" w:color="auto"/>
            </w:tcBorders>
            <w:shd w:val="clear" w:color="auto" w:fill="FFFFFF"/>
          </w:tcPr>
          <w:p w14:paraId="09ECDBF1"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EBE581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315</w:t>
            </w:r>
          </w:p>
        </w:tc>
        <w:tc>
          <w:tcPr>
            <w:tcW w:w="1512" w:type="dxa"/>
            <w:tcBorders>
              <w:top w:val="single" w:sz="4" w:space="0" w:color="auto"/>
              <w:left w:val="single" w:sz="4" w:space="0" w:color="auto"/>
            </w:tcBorders>
            <w:shd w:val="clear" w:color="auto" w:fill="FFFFFF"/>
          </w:tcPr>
          <w:p w14:paraId="47460BEC"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654444F5"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7165E3F"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02A584E"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38A4B66" w14:textId="77777777" w:rsidR="00B834A2" w:rsidRPr="00BA5F6E" w:rsidRDefault="00B834A2" w:rsidP="00BA5F6E">
            <w:pPr>
              <w:spacing w:after="120"/>
              <w:rPr>
                <w:sz w:val="20"/>
                <w:szCs w:val="20"/>
              </w:rPr>
            </w:pPr>
          </w:p>
        </w:tc>
      </w:tr>
      <w:tr w:rsidR="00B834A2" w:rsidRPr="00BA5F6E" w14:paraId="5E4F4180" w14:textId="77777777" w:rsidTr="00B834A2">
        <w:tc>
          <w:tcPr>
            <w:tcW w:w="1464" w:type="dxa"/>
            <w:tcBorders>
              <w:top w:val="single" w:sz="4" w:space="0" w:color="auto"/>
            </w:tcBorders>
            <w:shd w:val="clear" w:color="auto" w:fill="FFFFFF"/>
          </w:tcPr>
          <w:p w14:paraId="6D32AB9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4BEDB14C"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78B78AB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300 մկմ</w:t>
            </w:r>
          </w:p>
        </w:tc>
        <w:tc>
          <w:tcPr>
            <w:tcW w:w="1085" w:type="dxa"/>
            <w:tcBorders>
              <w:top w:val="single" w:sz="4" w:space="0" w:color="auto"/>
              <w:left w:val="single" w:sz="4" w:space="0" w:color="auto"/>
            </w:tcBorders>
            <w:shd w:val="clear" w:color="auto" w:fill="FFFFFF"/>
          </w:tcPr>
          <w:p w14:paraId="3452AEE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50</w:t>
            </w:r>
          </w:p>
        </w:tc>
        <w:tc>
          <w:tcPr>
            <w:tcW w:w="1546" w:type="dxa"/>
            <w:tcBorders>
              <w:top w:val="single" w:sz="4" w:space="0" w:color="auto"/>
              <w:left w:val="single" w:sz="4" w:space="0" w:color="auto"/>
            </w:tcBorders>
            <w:shd w:val="clear" w:color="auto" w:fill="FFFFFF"/>
          </w:tcPr>
          <w:p w14:paraId="630DCFE1"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3ECC867"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DD0CCD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50</w:t>
            </w:r>
          </w:p>
        </w:tc>
      </w:tr>
      <w:tr w:rsidR="00B834A2" w:rsidRPr="00BA5F6E" w14:paraId="2A7322DB" w14:textId="77777777" w:rsidTr="00B834A2">
        <w:tc>
          <w:tcPr>
            <w:tcW w:w="1464" w:type="dxa"/>
            <w:tcBorders>
              <w:top w:val="single" w:sz="4" w:space="0" w:color="auto"/>
            </w:tcBorders>
            <w:shd w:val="clear" w:color="auto" w:fill="FFFFFF"/>
          </w:tcPr>
          <w:p w14:paraId="2190ACD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46433F58"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280 մկմ</w:t>
            </w:r>
          </w:p>
        </w:tc>
        <w:tc>
          <w:tcPr>
            <w:tcW w:w="1512" w:type="dxa"/>
            <w:tcBorders>
              <w:top w:val="single" w:sz="4" w:space="0" w:color="auto"/>
              <w:left w:val="single" w:sz="4" w:space="0" w:color="auto"/>
            </w:tcBorders>
            <w:shd w:val="clear" w:color="auto" w:fill="FFFFFF"/>
          </w:tcPr>
          <w:p w14:paraId="1CE1F640"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3B0C294"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4F256CA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9C50D30"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797ED30" w14:textId="77777777" w:rsidR="00B834A2" w:rsidRPr="00BA5F6E" w:rsidRDefault="00B834A2" w:rsidP="00BA5F6E">
            <w:pPr>
              <w:spacing w:after="120"/>
              <w:rPr>
                <w:sz w:val="20"/>
                <w:szCs w:val="20"/>
              </w:rPr>
            </w:pPr>
          </w:p>
        </w:tc>
      </w:tr>
      <w:tr w:rsidR="00B834A2" w:rsidRPr="00BA5F6E" w14:paraId="347B464A" w14:textId="77777777" w:rsidTr="00B834A2">
        <w:tc>
          <w:tcPr>
            <w:tcW w:w="1464" w:type="dxa"/>
            <w:tcBorders>
              <w:top w:val="single" w:sz="4" w:space="0" w:color="auto"/>
            </w:tcBorders>
            <w:shd w:val="clear" w:color="auto" w:fill="FFFFFF"/>
          </w:tcPr>
          <w:p w14:paraId="1E0CEBED"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250 մկմ</w:t>
            </w:r>
          </w:p>
        </w:tc>
        <w:tc>
          <w:tcPr>
            <w:tcW w:w="1262" w:type="dxa"/>
            <w:tcBorders>
              <w:top w:val="single" w:sz="4" w:space="0" w:color="auto"/>
              <w:left w:val="single" w:sz="4" w:space="0" w:color="auto"/>
            </w:tcBorders>
            <w:shd w:val="clear" w:color="auto" w:fill="FFFFFF"/>
          </w:tcPr>
          <w:p w14:paraId="70C397B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250 մկմ</w:t>
            </w:r>
          </w:p>
        </w:tc>
        <w:tc>
          <w:tcPr>
            <w:tcW w:w="1512" w:type="dxa"/>
            <w:tcBorders>
              <w:top w:val="single" w:sz="4" w:space="0" w:color="auto"/>
              <w:left w:val="single" w:sz="4" w:space="0" w:color="auto"/>
            </w:tcBorders>
            <w:shd w:val="clear" w:color="auto" w:fill="FFFFFF"/>
          </w:tcPr>
          <w:p w14:paraId="1A9F752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250 մկմ</w:t>
            </w:r>
          </w:p>
        </w:tc>
        <w:tc>
          <w:tcPr>
            <w:tcW w:w="1085" w:type="dxa"/>
            <w:tcBorders>
              <w:top w:val="single" w:sz="4" w:space="0" w:color="auto"/>
              <w:left w:val="single" w:sz="4" w:space="0" w:color="auto"/>
            </w:tcBorders>
            <w:shd w:val="clear" w:color="auto" w:fill="FFFFFF"/>
          </w:tcPr>
          <w:p w14:paraId="725D81B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60</w:t>
            </w:r>
          </w:p>
        </w:tc>
        <w:tc>
          <w:tcPr>
            <w:tcW w:w="1546" w:type="dxa"/>
            <w:tcBorders>
              <w:top w:val="single" w:sz="4" w:space="0" w:color="auto"/>
              <w:left w:val="single" w:sz="4" w:space="0" w:color="auto"/>
            </w:tcBorders>
            <w:shd w:val="clear" w:color="auto" w:fill="FFFFFF"/>
          </w:tcPr>
          <w:p w14:paraId="0846976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250</w:t>
            </w:r>
          </w:p>
        </w:tc>
        <w:tc>
          <w:tcPr>
            <w:tcW w:w="1258" w:type="dxa"/>
            <w:tcBorders>
              <w:top w:val="single" w:sz="4" w:space="0" w:color="auto"/>
              <w:left w:val="single" w:sz="4" w:space="0" w:color="auto"/>
            </w:tcBorders>
            <w:shd w:val="clear" w:color="auto" w:fill="FFFFFF"/>
          </w:tcPr>
          <w:p w14:paraId="172A6A2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250</w:t>
            </w:r>
          </w:p>
        </w:tc>
        <w:tc>
          <w:tcPr>
            <w:tcW w:w="1301" w:type="dxa"/>
            <w:tcBorders>
              <w:top w:val="single" w:sz="4" w:space="0" w:color="auto"/>
              <w:left w:val="single" w:sz="4" w:space="0" w:color="auto"/>
            </w:tcBorders>
            <w:shd w:val="clear" w:color="auto" w:fill="FFFFFF"/>
          </w:tcPr>
          <w:p w14:paraId="51368AE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60</w:t>
            </w:r>
          </w:p>
        </w:tc>
      </w:tr>
      <w:tr w:rsidR="00B834A2" w:rsidRPr="00BA5F6E" w14:paraId="76BB46EC" w14:textId="77777777" w:rsidTr="00B834A2">
        <w:tc>
          <w:tcPr>
            <w:tcW w:w="1464" w:type="dxa"/>
            <w:tcBorders>
              <w:top w:val="single" w:sz="4" w:space="0" w:color="auto"/>
            </w:tcBorders>
            <w:shd w:val="clear" w:color="auto" w:fill="FFFFFF"/>
          </w:tcPr>
          <w:p w14:paraId="7844493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EB9B5F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224 մկմ</w:t>
            </w:r>
          </w:p>
        </w:tc>
        <w:tc>
          <w:tcPr>
            <w:tcW w:w="1512" w:type="dxa"/>
            <w:tcBorders>
              <w:top w:val="single" w:sz="4" w:space="0" w:color="auto"/>
              <w:left w:val="single" w:sz="4" w:space="0" w:color="auto"/>
            </w:tcBorders>
            <w:shd w:val="clear" w:color="auto" w:fill="FFFFFF"/>
          </w:tcPr>
          <w:p w14:paraId="6587CA95"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57392F8"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5DD9E99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BE33A39"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73D538E" w14:textId="77777777" w:rsidR="00B834A2" w:rsidRPr="00BA5F6E" w:rsidRDefault="00B834A2" w:rsidP="00BA5F6E">
            <w:pPr>
              <w:spacing w:after="120"/>
              <w:rPr>
                <w:sz w:val="20"/>
                <w:szCs w:val="20"/>
              </w:rPr>
            </w:pPr>
          </w:p>
        </w:tc>
      </w:tr>
      <w:tr w:rsidR="00B834A2" w:rsidRPr="00BA5F6E" w14:paraId="0EBBD555" w14:textId="77777777" w:rsidTr="00B834A2">
        <w:tc>
          <w:tcPr>
            <w:tcW w:w="1464" w:type="dxa"/>
            <w:tcBorders>
              <w:top w:val="single" w:sz="4" w:space="0" w:color="auto"/>
            </w:tcBorders>
            <w:shd w:val="clear" w:color="auto" w:fill="FFFFFF"/>
          </w:tcPr>
          <w:p w14:paraId="099CD1DC"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02B9DCA"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0451496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212 մկմ</w:t>
            </w:r>
          </w:p>
        </w:tc>
        <w:tc>
          <w:tcPr>
            <w:tcW w:w="1085" w:type="dxa"/>
            <w:tcBorders>
              <w:top w:val="single" w:sz="4" w:space="0" w:color="auto"/>
              <w:left w:val="single" w:sz="4" w:space="0" w:color="auto"/>
            </w:tcBorders>
            <w:shd w:val="clear" w:color="auto" w:fill="FFFFFF"/>
          </w:tcPr>
          <w:p w14:paraId="3D7A4B1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70</w:t>
            </w:r>
          </w:p>
        </w:tc>
        <w:tc>
          <w:tcPr>
            <w:tcW w:w="1546" w:type="dxa"/>
            <w:tcBorders>
              <w:top w:val="single" w:sz="4" w:space="0" w:color="auto"/>
              <w:left w:val="single" w:sz="4" w:space="0" w:color="auto"/>
            </w:tcBorders>
            <w:shd w:val="clear" w:color="auto" w:fill="FFFFFF"/>
          </w:tcPr>
          <w:p w14:paraId="179F7432"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5B39568A"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1B9C4B3"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70</w:t>
            </w:r>
          </w:p>
        </w:tc>
      </w:tr>
      <w:tr w:rsidR="00B834A2" w:rsidRPr="00BA5F6E" w14:paraId="1F3A4354" w14:textId="77777777" w:rsidTr="00B834A2">
        <w:tc>
          <w:tcPr>
            <w:tcW w:w="1464" w:type="dxa"/>
            <w:tcBorders>
              <w:top w:val="single" w:sz="4" w:space="0" w:color="auto"/>
            </w:tcBorders>
            <w:shd w:val="clear" w:color="auto" w:fill="FFFFFF"/>
          </w:tcPr>
          <w:p w14:paraId="56F3CA3C"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1A24E0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200 մկմ</w:t>
            </w:r>
          </w:p>
        </w:tc>
        <w:tc>
          <w:tcPr>
            <w:tcW w:w="1512" w:type="dxa"/>
            <w:tcBorders>
              <w:top w:val="single" w:sz="4" w:space="0" w:color="auto"/>
              <w:left w:val="single" w:sz="4" w:space="0" w:color="auto"/>
            </w:tcBorders>
            <w:shd w:val="clear" w:color="auto" w:fill="FFFFFF"/>
          </w:tcPr>
          <w:p w14:paraId="2A97D0B6"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1D2EA71E"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1CDEAF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73BAC623"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F501B75" w14:textId="77777777" w:rsidR="00B834A2" w:rsidRPr="00BA5F6E" w:rsidRDefault="00B834A2" w:rsidP="00BA5F6E">
            <w:pPr>
              <w:spacing w:after="120"/>
              <w:rPr>
                <w:sz w:val="20"/>
                <w:szCs w:val="20"/>
              </w:rPr>
            </w:pPr>
          </w:p>
        </w:tc>
      </w:tr>
      <w:tr w:rsidR="00B834A2" w:rsidRPr="00BA5F6E" w14:paraId="51F57C3F" w14:textId="77777777" w:rsidTr="00B834A2">
        <w:tc>
          <w:tcPr>
            <w:tcW w:w="1464" w:type="dxa"/>
            <w:tcBorders>
              <w:top w:val="single" w:sz="4" w:space="0" w:color="auto"/>
            </w:tcBorders>
            <w:shd w:val="clear" w:color="auto" w:fill="FFFFFF"/>
          </w:tcPr>
          <w:p w14:paraId="1935AF9B"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180 մկմ</w:t>
            </w:r>
          </w:p>
        </w:tc>
        <w:tc>
          <w:tcPr>
            <w:tcW w:w="1262" w:type="dxa"/>
            <w:tcBorders>
              <w:top w:val="single" w:sz="4" w:space="0" w:color="auto"/>
              <w:left w:val="single" w:sz="4" w:space="0" w:color="auto"/>
            </w:tcBorders>
            <w:shd w:val="clear" w:color="auto" w:fill="FFFFFF"/>
          </w:tcPr>
          <w:p w14:paraId="3B9E88BA"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180 մկմ</w:t>
            </w:r>
          </w:p>
        </w:tc>
        <w:tc>
          <w:tcPr>
            <w:tcW w:w="1512" w:type="dxa"/>
            <w:tcBorders>
              <w:top w:val="single" w:sz="4" w:space="0" w:color="auto"/>
              <w:left w:val="single" w:sz="4" w:space="0" w:color="auto"/>
            </w:tcBorders>
            <w:shd w:val="clear" w:color="auto" w:fill="FFFFFF"/>
          </w:tcPr>
          <w:p w14:paraId="4BF022F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180 մկմ</w:t>
            </w:r>
          </w:p>
        </w:tc>
        <w:tc>
          <w:tcPr>
            <w:tcW w:w="1085" w:type="dxa"/>
            <w:tcBorders>
              <w:top w:val="single" w:sz="4" w:space="0" w:color="auto"/>
              <w:left w:val="single" w:sz="4" w:space="0" w:color="auto"/>
            </w:tcBorders>
            <w:shd w:val="clear" w:color="auto" w:fill="FFFFFF"/>
          </w:tcPr>
          <w:p w14:paraId="567AE81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80</w:t>
            </w:r>
          </w:p>
        </w:tc>
        <w:tc>
          <w:tcPr>
            <w:tcW w:w="1546" w:type="dxa"/>
            <w:tcBorders>
              <w:top w:val="single" w:sz="4" w:space="0" w:color="auto"/>
              <w:left w:val="single" w:sz="4" w:space="0" w:color="auto"/>
            </w:tcBorders>
            <w:shd w:val="clear" w:color="auto" w:fill="FFFFFF"/>
          </w:tcPr>
          <w:p w14:paraId="4426FD0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180</w:t>
            </w:r>
          </w:p>
        </w:tc>
        <w:tc>
          <w:tcPr>
            <w:tcW w:w="1258" w:type="dxa"/>
            <w:tcBorders>
              <w:top w:val="single" w:sz="4" w:space="0" w:color="auto"/>
              <w:left w:val="single" w:sz="4" w:space="0" w:color="auto"/>
            </w:tcBorders>
            <w:shd w:val="clear" w:color="auto" w:fill="FFFFFF"/>
          </w:tcPr>
          <w:p w14:paraId="26C57EE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180</w:t>
            </w:r>
          </w:p>
        </w:tc>
        <w:tc>
          <w:tcPr>
            <w:tcW w:w="1301" w:type="dxa"/>
            <w:tcBorders>
              <w:top w:val="single" w:sz="4" w:space="0" w:color="auto"/>
              <w:left w:val="single" w:sz="4" w:space="0" w:color="auto"/>
            </w:tcBorders>
            <w:shd w:val="clear" w:color="auto" w:fill="FFFFFF"/>
          </w:tcPr>
          <w:p w14:paraId="01A27F2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83</w:t>
            </w:r>
          </w:p>
        </w:tc>
      </w:tr>
      <w:tr w:rsidR="00B834A2" w:rsidRPr="00BA5F6E" w14:paraId="51CACF24" w14:textId="77777777" w:rsidTr="00B834A2">
        <w:tc>
          <w:tcPr>
            <w:tcW w:w="1464" w:type="dxa"/>
            <w:tcBorders>
              <w:top w:val="single" w:sz="4" w:space="0" w:color="auto"/>
            </w:tcBorders>
            <w:shd w:val="clear" w:color="auto" w:fill="FFFFFF"/>
          </w:tcPr>
          <w:p w14:paraId="51AC5EBE"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CBB8CD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160 մկմ</w:t>
            </w:r>
          </w:p>
        </w:tc>
        <w:tc>
          <w:tcPr>
            <w:tcW w:w="1512" w:type="dxa"/>
            <w:tcBorders>
              <w:top w:val="single" w:sz="4" w:space="0" w:color="auto"/>
              <w:left w:val="single" w:sz="4" w:space="0" w:color="auto"/>
            </w:tcBorders>
            <w:shd w:val="clear" w:color="auto" w:fill="FFFFFF"/>
          </w:tcPr>
          <w:p w14:paraId="2218056E"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0E950C34"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701E60F"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6EE385A5"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98AEDA0" w14:textId="77777777" w:rsidR="00B834A2" w:rsidRPr="00BA5F6E" w:rsidRDefault="00B834A2" w:rsidP="00BA5F6E">
            <w:pPr>
              <w:spacing w:after="120"/>
              <w:rPr>
                <w:sz w:val="20"/>
                <w:szCs w:val="20"/>
              </w:rPr>
            </w:pPr>
          </w:p>
        </w:tc>
      </w:tr>
      <w:tr w:rsidR="00B834A2" w:rsidRPr="00BA5F6E" w14:paraId="4B29FF59" w14:textId="77777777" w:rsidTr="00B834A2">
        <w:tc>
          <w:tcPr>
            <w:tcW w:w="1464" w:type="dxa"/>
            <w:tcBorders>
              <w:top w:val="single" w:sz="4" w:space="0" w:color="auto"/>
            </w:tcBorders>
            <w:shd w:val="clear" w:color="auto" w:fill="FFFFFF"/>
          </w:tcPr>
          <w:p w14:paraId="6C7984DF"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CEB5554"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3B3523C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150 մկմ</w:t>
            </w:r>
          </w:p>
        </w:tc>
        <w:tc>
          <w:tcPr>
            <w:tcW w:w="1085" w:type="dxa"/>
            <w:tcBorders>
              <w:top w:val="single" w:sz="4" w:space="0" w:color="auto"/>
              <w:left w:val="single" w:sz="4" w:space="0" w:color="auto"/>
            </w:tcBorders>
            <w:shd w:val="clear" w:color="auto" w:fill="FFFFFF"/>
          </w:tcPr>
          <w:p w14:paraId="00AB305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100</w:t>
            </w:r>
          </w:p>
        </w:tc>
        <w:tc>
          <w:tcPr>
            <w:tcW w:w="1546" w:type="dxa"/>
            <w:tcBorders>
              <w:top w:val="single" w:sz="4" w:space="0" w:color="auto"/>
              <w:left w:val="single" w:sz="4" w:space="0" w:color="auto"/>
            </w:tcBorders>
            <w:shd w:val="clear" w:color="auto" w:fill="FFFFFF"/>
          </w:tcPr>
          <w:p w14:paraId="426B1ECD"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2896F19"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0D77E21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100</w:t>
            </w:r>
          </w:p>
        </w:tc>
      </w:tr>
      <w:tr w:rsidR="00B834A2" w:rsidRPr="00BA5F6E" w14:paraId="3C6B04A2" w14:textId="77777777" w:rsidTr="00B834A2">
        <w:tc>
          <w:tcPr>
            <w:tcW w:w="1464" w:type="dxa"/>
            <w:tcBorders>
              <w:top w:val="single" w:sz="4" w:space="0" w:color="auto"/>
            </w:tcBorders>
            <w:shd w:val="clear" w:color="auto" w:fill="FFFFFF"/>
          </w:tcPr>
          <w:p w14:paraId="2535D57F"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1D4C2CA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140 մկմ</w:t>
            </w:r>
          </w:p>
        </w:tc>
        <w:tc>
          <w:tcPr>
            <w:tcW w:w="1512" w:type="dxa"/>
            <w:tcBorders>
              <w:top w:val="single" w:sz="4" w:space="0" w:color="auto"/>
              <w:left w:val="single" w:sz="4" w:space="0" w:color="auto"/>
            </w:tcBorders>
            <w:shd w:val="clear" w:color="auto" w:fill="FFFFFF"/>
          </w:tcPr>
          <w:p w14:paraId="0E59A909"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0B671B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2367E1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F8EDED7"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3707AC55" w14:textId="77777777" w:rsidR="00B834A2" w:rsidRPr="00BA5F6E" w:rsidRDefault="00B834A2" w:rsidP="00BA5F6E">
            <w:pPr>
              <w:spacing w:after="120"/>
              <w:rPr>
                <w:sz w:val="20"/>
                <w:szCs w:val="20"/>
              </w:rPr>
            </w:pPr>
          </w:p>
        </w:tc>
      </w:tr>
      <w:tr w:rsidR="00B834A2" w:rsidRPr="00BA5F6E" w14:paraId="73524B0E" w14:textId="77777777" w:rsidTr="00B834A2">
        <w:tc>
          <w:tcPr>
            <w:tcW w:w="1464" w:type="dxa"/>
            <w:tcBorders>
              <w:top w:val="single" w:sz="4" w:space="0" w:color="auto"/>
            </w:tcBorders>
            <w:shd w:val="clear" w:color="auto" w:fill="FFFFFF"/>
          </w:tcPr>
          <w:p w14:paraId="709D86D4"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125 մկմ</w:t>
            </w:r>
          </w:p>
        </w:tc>
        <w:tc>
          <w:tcPr>
            <w:tcW w:w="1262" w:type="dxa"/>
            <w:tcBorders>
              <w:top w:val="single" w:sz="4" w:space="0" w:color="auto"/>
              <w:left w:val="single" w:sz="4" w:space="0" w:color="auto"/>
            </w:tcBorders>
            <w:shd w:val="clear" w:color="auto" w:fill="FFFFFF"/>
          </w:tcPr>
          <w:p w14:paraId="664A53E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125 մկմ</w:t>
            </w:r>
          </w:p>
        </w:tc>
        <w:tc>
          <w:tcPr>
            <w:tcW w:w="1512" w:type="dxa"/>
            <w:tcBorders>
              <w:top w:val="single" w:sz="4" w:space="0" w:color="auto"/>
              <w:left w:val="single" w:sz="4" w:space="0" w:color="auto"/>
            </w:tcBorders>
            <w:shd w:val="clear" w:color="auto" w:fill="FFFFFF"/>
          </w:tcPr>
          <w:p w14:paraId="4C81732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125 մկմ</w:t>
            </w:r>
          </w:p>
        </w:tc>
        <w:tc>
          <w:tcPr>
            <w:tcW w:w="1085" w:type="dxa"/>
            <w:tcBorders>
              <w:top w:val="single" w:sz="4" w:space="0" w:color="auto"/>
              <w:left w:val="single" w:sz="4" w:space="0" w:color="auto"/>
            </w:tcBorders>
            <w:shd w:val="clear" w:color="auto" w:fill="FFFFFF"/>
          </w:tcPr>
          <w:p w14:paraId="1D2B556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120</w:t>
            </w:r>
          </w:p>
        </w:tc>
        <w:tc>
          <w:tcPr>
            <w:tcW w:w="1546" w:type="dxa"/>
            <w:tcBorders>
              <w:top w:val="single" w:sz="4" w:space="0" w:color="auto"/>
              <w:left w:val="single" w:sz="4" w:space="0" w:color="auto"/>
            </w:tcBorders>
            <w:shd w:val="clear" w:color="auto" w:fill="FFFFFF"/>
          </w:tcPr>
          <w:p w14:paraId="2278B0D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125</w:t>
            </w:r>
          </w:p>
        </w:tc>
        <w:tc>
          <w:tcPr>
            <w:tcW w:w="1258" w:type="dxa"/>
            <w:tcBorders>
              <w:top w:val="single" w:sz="4" w:space="0" w:color="auto"/>
              <w:left w:val="single" w:sz="4" w:space="0" w:color="auto"/>
            </w:tcBorders>
            <w:shd w:val="clear" w:color="auto" w:fill="FFFFFF"/>
          </w:tcPr>
          <w:p w14:paraId="0B248F6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125</w:t>
            </w:r>
          </w:p>
        </w:tc>
        <w:tc>
          <w:tcPr>
            <w:tcW w:w="1301" w:type="dxa"/>
            <w:tcBorders>
              <w:top w:val="single" w:sz="4" w:space="0" w:color="auto"/>
              <w:left w:val="single" w:sz="4" w:space="0" w:color="auto"/>
            </w:tcBorders>
            <w:shd w:val="clear" w:color="auto" w:fill="FFFFFF"/>
          </w:tcPr>
          <w:p w14:paraId="149D585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119</w:t>
            </w:r>
          </w:p>
        </w:tc>
      </w:tr>
      <w:tr w:rsidR="00B834A2" w:rsidRPr="00BA5F6E" w14:paraId="788E7560" w14:textId="77777777" w:rsidTr="00B834A2">
        <w:tc>
          <w:tcPr>
            <w:tcW w:w="1464" w:type="dxa"/>
            <w:tcBorders>
              <w:top w:val="single" w:sz="4" w:space="0" w:color="auto"/>
            </w:tcBorders>
            <w:shd w:val="clear" w:color="auto" w:fill="FFFFFF"/>
          </w:tcPr>
          <w:p w14:paraId="37164F4C"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DECF02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112 մկմ</w:t>
            </w:r>
          </w:p>
        </w:tc>
        <w:tc>
          <w:tcPr>
            <w:tcW w:w="1512" w:type="dxa"/>
            <w:tcBorders>
              <w:top w:val="single" w:sz="4" w:space="0" w:color="auto"/>
              <w:left w:val="single" w:sz="4" w:space="0" w:color="auto"/>
            </w:tcBorders>
            <w:shd w:val="clear" w:color="auto" w:fill="FFFFFF"/>
          </w:tcPr>
          <w:p w14:paraId="35C5BDF8"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7E1596C0"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D4544C7"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56C580B"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287A57FE" w14:textId="77777777" w:rsidR="00B834A2" w:rsidRPr="00BA5F6E" w:rsidRDefault="00B834A2" w:rsidP="00BA5F6E">
            <w:pPr>
              <w:spacing w:after="120"/>
              <w:rPr>
                <w:sz w:val="20"/>
                <w:szCs w:val="20"/>
              </w:rPr>
            </w:pPr>
          </w:p>
        </w:tc>
      </w:tr>
      <w:tr w:rsidR="00B834A2" w:rsidRPr="00BA5F6E" w14:paraId="4DDD721E" w14:textId="77777777" w:rsidTr="00B834A2">
        <w:tc>
          <w:tcPr>
            <w:tcW w:w="1464" w:type="dxa"/>
            <w:tcBorders>
              <w:top w:val="single" w:sz="4" w:space="0" w:color="auto"/>
            </w:tcBorders>
            <w:shd w:val="clear" w:color="auto" w:fill="FFFFFF"/>
          </w:tcPr>
          <w:p w14:paraId="0C39D65E"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21E19C9B"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6741B29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106 մկմ</w:t>
            </w:r>
          </w:p>
        </w:tc>
        <w:tc>
          <w:tcPr>
            <w:tcW w:w="1085" w:type="dxa"/>
            <w:tcBorders>
              <w:top w:val="single" w:sz="4" w:space="0" w:color="auto"/>
              <w:left w:val="single" w:sz="4" w:space="0" w:color="auto"/>
            </w:tcBorders>
            <w:shd w:val="clear" w:color="auto" w:fill="FFFFFF"/>
          </w:tcPr>
          <w:p w14:paraId="5E6CFAE2"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140</w:t>
            </w:r>
          </w:p>
        </w:tc>
        <w:tc>
          <w:tcPr>
            <w:tcW w:w="1546" w:type="dxa"/>
            <w:tcBorders>
              <w:top w:val="single" w:sz="4" w:space="0" w:color="auto"/>
              <w:left w:val="single" w:sz="4" w:space="0" w:color="auto"/>
            </w:tcBorders>
            <w:shd w:val="clear" w:color="auto" w:fill="FFFFFF"/>
          </w:tcPr>
          <w:p w14:paraId="15E19A81"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AF0F7A5"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95931E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140</w:t>
            </w:r>
          </w:p>
        </w:tc>
      </w:tr>
      <w:tr w:rsidR="00B834A2" w:rsidRPr="00BA5F6E" w14:paraId="688A094C" w14:textId="77777777" w:rsidTr="00B834A2">
        <w:tc>
          <w:tcPr>
            <w:tcW w:w="1464" w:type="dxa"/>
            <w:tcBorders>
              <w:top w:val="single" w:sz="4" w:space="0" w:color="auto"/>
            </w:tcBorders>
            <w:shd w:val="clear" w:color="auto" w:fill="FFFFFF"/>
          </w:tcPr>
          <w:p w14:paraId="436FD000"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338B677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100 մկմ</w:t>
            </w:r>
          </w:p>
        </w:tc>
        <w:tc>
          <w:tcPr>
            <w:tcW w:w="1512" w:type="dxa"/>
            <w:tcBorders>
              <w:top w:val="single" w:sz="4" w:space="0" w:color="auto"/>
              <w:left w:val="single" w:sz="4" w:space="0" w:color="auto"/>
            </w:tcBorders>
            <w:shd w:val="clear" w:color="auto" w:fill="FFFFFF"/>
          </w:tcPr>
          <w:p w14:paraId="060C32EB"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1D0A252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29413E5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7004C6B"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180780A" w14:textId="77777777" w:rsidR="00B834A2" w:rsidRPr="00BA5F6E" w:rsidRDefault="00B834A2" w:rsidP="00BA5F6E">
            <w:pPr>
              <w:spacing w:after="120"/>
              <w:rPr>
                <w:sz w:val="20"/>
                <w:szCs w:val="20"/>
              </w:rPr>
            </w:pPr>
          </w:p>
        </w:tc>
      </w:tr>
      <w:tr w:rsidR="00B834A2" w:rsidRPr="00BA5F6E" w14:paraId="2756440C" w14:textId="77777777" w:rsidTr="00B834A2">
        <w:tc>
          <w:tcPr>
            <w:tcW w:w="1464" w:type="dxa"/>
            <w:tcBorders>
              <w:top w:val="single" w:sz="4" w:space="0" w:color="auto"/>
            </w:tcBorders>
            <w:shd w:val="clear" w:color="auto" w:fill="FFFFFF"/>
          </w:tcPr>
          <w:p w14:paraId="12939795"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90 մկմ</w:t>
            </w:r>
          </w:p>
        </w:tc>
        <w:tc>
          <w:tcPr>
            <w:tcW w:w="1262" w:type="dxa"/>
            <w:tcBorders>
              <w:top w:val="single" w:sz="4" w:space="0" w:color="auto"/>
              <w:left w:val="single" w:sz="4" w:space="0" w:color="auto"/>
            </w:tcBorders>
            <w:shd w:val="clear" w:color="auto" w:fill="FFFFFF"/>
          </w:tcPr>
          <w:p w14:paraId="432AE2F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90 մկմ</w:t>
            </w:r>
          </w:p>
        </w:tc>
        <w:tc>
          <w:tcPr>
            <w:tcW w:w="1512" w:type="dxa"/>
            <w:tcBorders>
              <w:top w:val="single" w:sz="4" w:space="0" w:color="auto"/>
              <w:left w:val="single" w:sz="4" w:space="0" w:color="auto"/>
            </w:tcBorders>
            <w:shd w:val="clear" w:color="auto" w:fill="FFFFFF"/>
          </w:tcPr>
          <w:p w14:paraId="5F52855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90 մկմ</w:t>
            </w:r>
          </w:p>
        </w:tc>
        <w:tc>
          <w:tcPr>
            <w:tcW w:w="1085" w:type="dxa"/>
            <w:tcBorders>
              <w:top w:val="single" w:sz="4" w:space="0" w:color="auto"/>
              <w:left w:val="single" w:sz="4" w:space="0" w:color="auto"/>
            </w:tcBorders>
            <w:shd w:val="clear" w:color="auto" w:fill="FFFFFF"/>
          </w:tcPr>
          <w:p w14:paraId="7BD1F90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170</w:t>
            </w:r>
          </w:p>
        </w:tc>
        <w:tc>
          <w:tcPr>
            <w:tcW w:w="1546" w:type="dxa"/>
            <w:tcBorders>
              <w:top w:val="single" w:sz="4" w:space="0" w:color="auto"/>
              <w:left w:val="single" w:sz="4" w:space="0" w:color="auto"/>
            </w:tcBorders>
            <w:shd w:val="clear" w:color="auto" w:fill="FFFFFF"/>
          </w:tcPr>
          <w:p w14:paraId="414B51A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90</w:t>
            </w:r>
          </w:p>
        </w:tc>
        <w:tc>
          <w:tcPr>
            <w:tcW w:w="1258" w:type="dxa"/>
            <w:tcBorders>
              <w:top w:val="single" w:sz="4" w:space="0" w:color="auto"/>
              <w:left w:val="single" w:sz="4" w:space="0" w:color="auto"/>
            </w:tcBorders>
            <w:shd w:val="clear" w:color="auto" w:fill="FFFFFF"/>
          </w:tcPr>
          <w:p w14:paraId="0187E12A"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90</w:t>
            </w:r>
          </w:p>
        </w:tc>
        <w:tc>
          <w:tcPr>
            <w:tcW w:w="1301" w:type="dxa"/>
            <w:tcBorders>
              <w:top w:val="single" w:sz="4" w:space="0" w:color="auto"/>
              <w:left w:val="single" w:sz="4" w:space="0" w:color="auto"/>
            </w:tcBorders>
            <w:shd w:val="clear" w:color="auto" w:fill="FFFFFF"/>
          </w:tcPr>
          <w:p w14:paraId="54D5C0E7"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166</w:t>
            </w:r>
          </w:p>
        </w:tc>
      </w:tr>
      <w:tr w:rsidR="00B834A2" w:rsidRPr="00BA5F6E" w14:paraId="42A31583" w14:textId="77777777" w:rsidTr="00B834A2">
        <w:tc>
          <w:tcPr>
            <w:tcW w:w="1464" w:type="dxa"/>
            <w:tcBorders>
              <w:top w:val="single" w:sz="4" w:space="0" w:color="auto"/>
            </w:tcBorders>
            <w:shd w:val="clear" w:color="auto" w:fill="FFFFFF"/>
          </w:tcPr>
          <w:p w14:paraId="337D5567"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A423079"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80 մկմ</w:t>
            </w:r>
          </w:p>
        </w:tc>
        <w:tc>
          <w:tcPr>
            <w:tcW w:w="1512" w:type="dxa"/>
            <w:tcBorders>
              <w:top w:val="single" w:sz="4" w:space="0" w:color="auto"/>
              <w:left w:val="single" w:sz="4" w:space="0" w:color="auto"/>
            </w:tcBorders>
            <w:shd w:val="clear" w:color="auto" w:fill="FFFFFF"/>
          </w:tcPr>
          <w:p w14:paraId="084A8CEB"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2F0CC99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189F9FB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3EBF3035"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7A93D57" w14:textId="77777777" w:rsidR="00B834A2" w:rsidRPr="00BA5F6E" w:rsidRDefault="00B834A2" w:rsidP="00BA5F6E">
            <w:pPr>
              <w:spacing w:after="120"/>
              <w:rPr>
                <w:sz w:val="20"/>
                <w:szCs w:val="20"/>
              </w:rPr>
            </w:pPr>
          </w:p>
        </w:tc>
      </w:tr>
      <w:tr w:rsidR="00B834A2" w:rsidRPr="00BA5F6E" w14:paraId="0EA62567" w14:textId="77777777" w:rsidTr="00B834A2">
        <w:tc>
          <w:tcPr>
            <w:tcW w:w="1464" w:type="dxa"/>
            <w:tcBorders>
              <w:top w:val="single" w:sz="4" w:space="0" w:color="auto"/>
            </w:tcBorders>
            <w:shd w:val="clear" w:color="auto" w:fill="FFFFFF"/>
          </w:tcPr>
          <w:p w14:paraId="057D1371"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2A5F8927"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2E1D725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75 մկմ</w:t>
            </w:r>
          </w:p>
        </w:tc>
        <w:tc>
          <w:tcPr>
            <w:tcW w:w="1085" w:type="dxa"/>
            <w:tcBorders>
              <w:top w:val="single" w:sz="4" w:space="0" w:color="auto"/>
              <w:left w:val="single" w:sz="4" w:space="0" w:color="auto"/>
            </w:tcBorders>
            <w:shd w:val="clear" w:color="auto" w:fill="FFFFFF"/>
          </w:tcPr>
          <w:p w14:paraId="3AB9216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200</w:t>
            </w:r>
          </w:p>
        </w:tc>
        <w:tc>
          <w:tcPr>
            <w:tcW w:w="1546" w:type="dxa"/>
            <w:tcBorders>
              <w:top w:val="single" w:sz="4" w:space="0" w:color="auto"/>
              <w:left w:val="single" w:sz="4" w:space="0" w:color="auto"/>
            </w:tcBorders>
            <w:shd w:val="clear" w:color="auto" w:fill="FFFFFF"/>
          </w:tcPr>
          <w:p w14:paraId="6B43D239"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3E4B212"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17901C9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200</w:t>
            </w:r>
          </w:p>
        </w:tc>
      </w:tr>
      <w:tr w:rsidR="00B834A2" w:rsidRPr="00BA5F6E" w14:paraId="5862B67F" w14:textId="77777777" w:rsidTr="00B834A2">
        <w:tc>
          <w:tcPr>
            <w:tcW w:w="1464" w:type="dxa"/>
            <w:tcBorders>
              <w:top w:val="single" w:sz="4" w:space="0" w:color="auto"/>
            </w:tcBorders>
            <w:shd w:val="clear" w:color="auto" w:fill="FFFFFF"/>
          </w:tcPr>
          <w:p w14:paraId="16F591A6"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65E14DB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71 մկմ</w:t>
            </w:r>
          </w:p>
        </w:tc>
        <w:tc>
          <w:tcPr>
            <w:tcW w:w="1512" w:type="dxa"/>
            <w:tcBorders>
              <w:top w:val="single" w:sz="4" w:space="0" w:color="auto"/>
              <w:left w:val="single" w:sz="4" w:space="0" w:color="auto"/>
            </w:tcBorders>
            <w:shd w:val="clear" w:color="auto" w:fill="FFFFFF"/>
          </w:tcPr>
          <w:p w14:paraId="0F7053F5"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6351A0FD"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4D99F296"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5FC34D1"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578304F9" w14:textId="77777777" w:rsidR="00B834A2" w:rsidRPr="00BA5F6E" w:rsidRDefault="00B834A2" w:rsidP="00BA5F6E">
            <w:pPr>
              <w:spacing w:after="120"/>
              <w:rPr>
                <w:sz w:val="20"/>
                <w:szCs w:val="20"/>
              </w:rPr>
            </w:pPr>
          </w:p>
        </w:tc>
      </w:tr>
      <w:tr w:rsidR="00B834A2" w:rsidRPr="00BA5F6E" w14:paraId="334262EC" w14:textId="77777777" w:rsidTr="00B834A2">
        <w:tc>
          <w:tcPr>
            <w:tcW w:w="1464" w:type="dxa"/>
            <w:tcBorders>
              <w:top w:val="single" w:sz="4" w:space="0" w:color="auto"/>
            </w:tcBorders>
            <w:shd w:val="clear" w:color="auto" w:fill="FFFFFF"/>
          </w:tcPr>
          <w:p w14:paraId="5E001182"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63 մկմ</w:t>
            </w:r>
          </w:p>
        </w:tc>
        <w:tc>
          <w:tcPr>
            <w:tcW w:w="1262" w:type="dxa"/>
            <w:tcBorders>
              <w:top w:val="single" w:sz="4" w:space="0" w:color="auto"/>
              <w:left w:val="single" w:sz="4" w:space="0" w:color="auto"/>
            </w:tcBorders>
            <w:shd w:val="clear" w:color="auto" w:fill="FFFFFF"/>
          </w:tcPr>
          <w:p w14:paraId="43AC8D3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63 մկմ</w:t>
            </w:r>
          </w:p>
        </w:tc>
        <w:tc>
          <w:tcPr>
            <w:tcW w:w="1512" w:type="dxa"/>
            <w:tcBorders>
              <w:top w:val="single" w:sz="4" w:space="0" w:color="auto"/>
              <w:left w:val="single" w:sz="4" w:space="0" w:color="auto"/>
            </w:tcBorders>
            <w:shd w:val="clear" w:color="auto" w:fill="FFFFFF"/>
          </w:tcPr>
          <w:p w14:paraId="4DB2E49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63 մկմ</w:t>
            </w:r>
          </w:p>
        </w:tc>
        <w:tc>
          <w:tcPr>
            <w:tcW w:w="1085" w:type="dxa"/>
            <w:tcBorders>
              <w:top w:val="single" w:sz="4" w:space="0" w:color="auto"/>
              <w:left w:val="single" w:sz="4" w:space="0" w:color="auto"/>
            </w:tcBorders>
            <w:shd w:val="clear" w:color="auto" w:fill="FFFFFF"/>
          </w:tcPr>
          <w:p w14:paraId="62F7DAE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230</w:t>
            </w:r>
          </w:p>
        </w:tc>
        <w:tc>
          <w:tcPr>
            <w:tcW w:w="1546" w:type="dxa"/>
            <w:tcBorders>
              <w:top w:val="single" w:sz="4" w:space="0" w:color="auto"/>
              <w:left w:val="single" w:sz="4" w:space="0" w:color="auto"/>
            </w:tcBorders>
            <w:shd w:val="clear" w:color="auto" w:fill="FFFFFF"/>
          </w:tcPr>
          <w:p w14:paraId="5996BC2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63</w:t>
            </w:r>
          </w:p>
        </w:tc>
        <w:tc>
          <w:tcPr>
            <w:tcW w:w="1258" w:type="dxa"/>
            <w:tcBorders>
              <w:top w:val="single" w:sz="4" w:space="0" w:color="auto"/>
              <w:left w:val="single" w:sz="4" w:space="0" w:color="auto"/>
            </w:tcBorders>
            <w:shd w:val="clear" w:color="auto" w:fill="FFFFFF"/>
          </w:tcPr>
          <w:p w14:paraId="06BCAF9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63</w:t>
            </w:r>
          </w:p>
        </w:tc>
        <w:tc>
          <w:tcPr>
            <w:tcW w:w="1301" w:type="dxa"/>
            <w:tcBorders>
              <w:top w:val="single" w:sz="4" w:space="0" w:color="auto"/>
              <w:left w:val="single" w:sz="4" w:space="0" w:color="auto"/>
            </w:tcBorders>
            <w:shd w:val="clear" w:color="auto" w:fill="FFFFFF"/>
          </w:tcPr>
          <w:p w14:paraId="0FA7CBC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235</w:t>
            </w:r>
          </w:p>
        </w:tc>
      </w:tr>
      <w:tr w:rsidR="00B834A2" w:rsidRPr="00BA5F6E" w14:paraId="6AAE8128" w14:textId="77777777" w:rsidTr="00B834A2">
        <w:tc>
          <w:tcPr>
            <w:tcW w:w="1464" w:type="dxa"/>
            <w:tcBorders>
              <w:top w:val="single" w:sz="4" w:space="0" w:color="auto"/>
            </w:tcBorders>
            <w:shd w:val="clear" w:color="auto" w:fill="FFFFFF"/>
          </w:tcPr>
          <w:p w14:paraId="14D9BD59"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041A8F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56 մկմ</w:t>
            </w:r>
          </w:p>
        </w:tc>
        <w:tc>
          <w:tcPr>
            <w:tcW w:w="1512" w:type="dxa"/>
            <w:tcBorders>
              <w:top w:val="single" w:sz="4" w:space="0" w:color="auto"/>
              <w:left w:val="single" w:sz="4" w:space="0" w:color="auto"/>
            </w:tcBorders>
            <w:shd w:val="clear" w:color="auto" w:fill="FFFFFF"/>
          </w:tcPr>
          <w:p w14:paraId="71FCF1CF"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0FD594BB"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0FB77578"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0C224487"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19ABB0E8" w14:textId="77777777" w:rsidR="00B834A2" w:rsidRPr="00BA5F6E" w:rsidRDefault="00B834A2" w:rsidP="00BA5F6E">
            <w:pPr>
              <w:spacing w:after="120"/>
              <w:rPr>
                <w:sz w:val="20"/>
                <w:szCs w:val="20"/>
              </w:rPr>
            </w:pPr>
          </w:p>
        </w:tc>
      </w:tr>
      <w:tr w:rsidR="00B834A2" w:rsidRPr="00BA5F6E" w14:paraId="00BC02E6" w14:textId="77777777" w:rsidTr="00B834A2">
        <w:tc>
          <w:tcPr>
            <w:tcW w:w="1464" w:type="dxa"/>
            <w:tcBorders>
              <w:top w:val="single" w:sz="4" w:space="0" w:color="auto"/>
            </w:tcBorders>
            <w:shd w:val="clear" w:color="auto" w:fill="FFFFFF"/>
          </w:tcPr>
          <w:p w14:paraId="439DC34F"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165A7722"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tcBorders>
            <w:shd w:val="clear" w:color="auto" w:fill="FFFFFF"/>
          </w:tcPr>
          <w:p w14:paraId="27990721"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53 մկմ</w:t>
            </w:r>
          </w:p>
        </w:tc>
        <w:tc>
          <w:tcPr>
            <w:tcW w:w="1085" w:type="dxa"/>
            <w:tcBorders>
              <w:top w:val="single" w:sz="4" w:space="0" w:color="auto"/>
              <w:left w:val="single" w:sz="4" w:space="0" w:color="auto"/>
            </w:tcBorders>
            <w:shd w:val="clear" w:color="auto" w:fill="FFFFFF"/>
          </w:tcPr>
          <w:p w14:paraId="34B3442C"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270</w:t>
            </w:r>
          </w:p>
        </w:tc>
        <w:tc>
          <w:tcPr>
            <w:tcW w:w="1546" w:type="dxa"/>
            <w:tcBorders>
              <w:top w:val="single" w:sz="4" w:space="0" w:color="auto"/>
              <w:left w:val="single" w:sz="4" w:space="0" w:color="auto"/>
            </w:tcBorders>
            <w:shd w:val="clear" w:color="auto" w:fill="FFFFFF"/>
          </w:tcPr>
          <w:p w14:paraId="5C4B14E3"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476D3E8D"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45058B4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282</w:t>
            </w:r>
          </w:p>
        </w:tc>
      </w:tr>
      <w:tr w:rsidR="00B834A2" w:rsidRPr="00BA5F6E" w14:paraId="600556B3" w14:textId="77777777" w:rsidTr="00B834A2">
        <w:tc>
          <w:tcPr>
            <w:tcW w:w="1464" w:type="dxa"/>
            <w:tcBorders>
              <w:top w:val="single" w:sz="4" w:space="0" w:color="auto"/>
            </w:tcBorders>
            <w:shd w:val="clear" w:color="auto" w:fill="FFFFFF"/>
          </w:tcPr>
          <w:p w14:paraId="47C7F391"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5CD7DC7D"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50 մկմ</w:t>
            </w:r>
          </w:p>
        </w:tc>
        <w:tc>
          <w:tcPr>
            <w:tcW w:w="1512" w:type="dxa"/>
            <w:tcBorders>
              <w:top w:val="single" w:sz="4" w:space="0" w:color="auto"/>
              <w:left w:val="single" w:sz="4" w:space="0" w:color="auto"/>
            </w:tcBorders>
            <w:shd w:val="clear" w:color="auto" w:fill="FFFFFF"/>
          </w:tcPr>
          <w:p w14:paraId="60329268"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0F27884F"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7AA50115"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27278049"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31713B86" w14:textId="77777777" w:rsidR="00B834A2" w:rsidRPr="00BA5F6E" w:rsidRDefault="00B834A2" w:rsidP="00BA5F6E">
            <w:pPr>
              <w:spacing w:after="120"/>
              <w:rPr>
                <w:sz w:val="20"/>
                <w:szCs w:val="20"/>
              </w:rPr>
            </w:pPr>
          </w:p>
        </w:tc>
      </w:tr>
      <w:tr w:rsidR="00B834A2" w:rsidRPr="00BA5F6E" w14:paraId="4D8A1D77" w14:textId="77777777" w:rsidTr="00B834A2">
        <w:tc>
          <w:tcPr>
            <w:tcW w:w="1464" w:type="dxa"/>
            <w:tcBorders>
              <w:top w:val="single" w:sz="4" w:space="0" w:color="auto"/>
            </w:tcBorders>
            <w:shd w:val="clear" w:color="auto" w:fill="FFFFFF"/>
          </w:tcPr>
          <w:p w14:paraId="47DBF4C2" w14:textId="77777777" w:rsidR="00B834A2" w:rsidRPr="00BA5F6E" w:rsidRDefault="00B834A2" w:rsidP="00BA5F6E">
            <w:pPr>
              <w:pStyle w:val="Bodytext20"/>
              <w:shd w:val="clear" w:color="auto" w:fill="auto"/>
              <w:spacing w:before="0" w:line="240" w:lineRule="auto"/>
              <w:jc w:val="left"/>
              <w:rPr>
                <w:rFonts w:ascii="Sylfaen" w:hAnsi="Sylfaen" w:cs="Sylfaen"/>
                <w:sz w:val="20"/>
                <w:szCs w:val="20"/>
              </w:rPr>
            </w:pPr>
            <w:r w:rsidRPr="00BA5F6E">
              <w:rPr>
                <w:rStyle w:val="Bodytext31Sylfaen9"/>
                <w:sz w:val="20"/>
                <w:szCs w:val="20"/>
              </w:rPr>
              <w:t>45 մկմ</w:t>
            </w:r>
          </w:p>
        </w:tc>
        <w:tc>
          <w:tcPr>
            <w:tcW w:w="1262" w:type="dxa"/>
            <w:tcBorders>
              <w:top w:val="single" w:sz="4" w:space="0" w:color="auto"/>
              <w:left w:val="single" w:sz="4" w:space="0" w:color="auto"/>
            </w:tcBorders>
            <w:shd w:val="clear" w:color="auto" w:fill="FFFFFF"/>
          </w:tcPr>
          <w:p w14:paraId="5C49873F"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45 մկմ</w:t>
            </w:r>
          </w:p>
        </w:tc>
        <w:tc>
          <w:tcPr>
            <w:tcW w:w="1512" w:type="dxa"/>
            <w:tcBorders>
              <w:top w:val="single" w:sz="4" w:space="0" w:color="auto"/>
              <w:left w:val="single" w:sz="4" w:space="0" w:color="auto"/>
            </w:tcBorders>
            <w:shd w:val="clear" w:color="auto" w:fill="FFFFFF"/>
          </w:tcPr>
          <w:p w14:paraId="0BD674C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45 մկմ</w:t>
            </w:r>
          </w:p>
        </w:tc>
        <w:tc>
          <w:tcPr>
            <w:tcW w:w="1085" w:type="dxa"/>
            <w:tcBorders>
              <w:top w:val="single" w:sz="4" w:space="0" w:color="auto"/>
              <w:left w:val="single" w:sz="4" w:space="0" w:color="auto"/>
            </w:tcBorders>
            <w:shd w:val="clear" w:color="auto" w:fill="FFFFFF"/>
          </w:tcPr>
          <w:p w14:paraId="3D499CB4"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325</w:t>
            </w:r>
          </w:p>
        </w:tc>
        <w:tc>
          <w:tcPr>
            <w:tcW w:w="1546" w:type="dxa"/>
            <w:tcBorders>
              <w:top w:val="single" w:sz="4" w:space="0" w:color="auto"/>
              <w:left w:val="single" w:sz="4" w:space="0" w:color="auto"/>
            </w:tcBorders>
            <w:shd w:val="clear" w:color="auto" w:fill="FFFFFF"/>
          </w:tcPr>
          <w:p w14:paraId="4C0D6CA6"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45</w:t>
            </w:r>
          </w:p>
        </w:tc>
        <w:tc>
          <w:tcPr>
            <w:tcW w:w="1258" w:type="dxa"/>
            <w:tcBorders>
              <w:top w:val="single" w:sz="4" w:space="0" w:color="auto"/>
              <w:left w:val="single" w:sz="4" w:space="0" w:color="auto"/>
            </w:tcBorders>
            <w:shd w:val="clear" w:color="auto" w:fill="FFFFFF"/>
          </w:tcPr>
          <w:p w14:paraId="3A0DEC2E"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45</w:t>
            </w:r>
          </w:p>
        </w:tc>
        <w:tc>
          <w:tcPr>
            <w:tcW w:w="1301" w:type="dxa"/>
            <w:tcBorders>
              <w:top w:val="single" w:sz="4" w:space="0" w:color="auto"/>
              <w:left w:val="single" w:sz="4" w:space="0" w:color="auto"/>
            </w:tcBorders>
            <w:shd w:val="clear" w:color="auto" w:fill="FFFFFF"/>
          </w:tcPr>
          <w:p w14:paraId="432A6C5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330</w:t>
            </w:r>
          </w:p>
        </w:tc>
      </w:tr>
      <w:tr w:rsidR="00B834A2" w:rsidRPr="00BA5F6E" w14:paraId="2435606C" w14:textId="77777777" w:rsidTr="00B834A2">
        <w:tc>
          <w:tcPr>
            <w:tcW w:w="1464" w:type="dxa"/>
            <w:tcBorders>
              <w:top w:val="single" w:sz="4" w:space="0" w:color="auto"/>
            </w:tcBorders>
            <w:shd w:val="clear" w:color="auto" w:fill="FFFFFF"/>
          </w:tcPr>
          <w:p w14:paraId="4699475B"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tcBorders>
            <w:shd w:val="clear" w:color="auto" w:fill="FFFFFF"/>
          </w:tcPr>
          <w:p w14:paraId="015341D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40 մկմ</w:t>
            </w:r>
          </w:p>
        </w:tc>
        <w:tc>
          <w:tcPr>
            <w:tcW w:w="1512" w:type="dxa"/>
            <w:tcBorders>
              <w:top w:val="single" w:sz="4" w:space="0" w:color="auto"/>
              <w:left w:val="single" w:sz="4" w:space="0" w:color="auto"/>
            </w:tcBorders>
            <w:shd w:val="clear" w:color="auto" w:fill="FFFFFF"/>
          </w:tcPr>
          <w:p w14:paraId="72113EB3" w14:textId="77777777" w:rsidR="00B834A2" w:rsidRPr="00BA5F6E" w:rsidRDefault="00B834A2" w:rsidP="00BA5F6E">
            <w:pPr>
              <w:spacing w:after="120"/>
              <w:rPr>
                <w:sz w:val="20"/>
                <w:szCs w:val="20"/>
              </w:rPr>
            </w:pPr>
          </w:p>
        </w:tc>
        <w:tc>
          <w:tcPr>
            <w:tcW w:w="1085" w:type="dxa"/>
            <w:tcBorders>
              <w:top w:val="single" w:sz="4" w:space="0" w:color="auto"/>
              <w:left w:val="single" w:sz="4" w:space="0" w:color="auto"/>
            </w:tcBorders>
            <w:shd w:val="clear" w:color="auto" w:fill="FFFFFF"/>
          </w:tcPr>
          <w:p w14:paraId="1A9F4D52"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tcBorders>
            <w:shd w:val="clear" w:color="auto" w:fill="FFFFFF"/>
          </w:tcPr>
          <w:p w14:paraId="6C65FE34"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tcBorders>
            <w:shd w:val="clear" w:color="auto" w:fill="FFFFFF"/>
          </w:tcPr>
          <w:p w14:paraId="1FD612AB" w14:textId="77777777" w:rsidR="00B834A2" w:rsidRPr="00BA5F6E" w:rsidRDefault="00B834A2" w:rsidP="00BA5F6E">
            <w:pPr>
              <w:spacing w:after="120"/>
              <w:rPr>
                <w:sz w:val="20"/>
                <w:szCs w:val="20"/>
              </w:rPr>
            </w:pPr>
          </w:p>
        </w:tc>
        <w:tc>
          <w:tcPr>
            <w:tcW w:w="1301" w:type="dxa"/>
            <w:tcBorders>
              <w:top w:val="single" w:sz="4" w:space="0" w:color="auto"/>
              <w:left w:val="single" w:sz="4" w:space="0" w:color="auto"/>
            </w:tcBorders>
            <w:shd w:val="clear" w:color="auto" w:fill="FFFFFF"/>
          </w:tcPr>
          <w:p w14:paraId="7296F4AC" w14:textId="77777777" w:rsidR="00B834A2" w:rsidRPr="00BA5F6E" w:rsidRDefault="00B834A2" w:rsidP="00BA5F6E">
            <w:pPr>
              <w:spacing w:after="120"/>
              <w:rPr>
                <w:sz w:val="20"/>
                <w:szCs w:val="20"/>
              </w:rPr>
            </w:pPr>
          </w:p>
        </w:tc>
      </w:tr>
      <w:tr w:rsidR="00B834A2" w:rsidRPr="00BA5F6E" w14:paraId="393FBCBB" w14:textId="77777777" w:rsidTr="00B834A2">
        <w:tc>
          <w:tcPr>
            <w:tcW w:w="1464" w:type="dxa"/>
            <w:tcBorders>
              <w:top w:val="single" w:sz="4" w:space="0" w:color="auto"/>
              <w:bottom w:val="single" w:sz="4" w:space="0" w:color="auto"/>
            </w:tcBorders>
            <w:shd w:val="clear" w:color="auto" w:fill="FFFFFF"/>
          </w:tcPr>
          <w:p w14:paraId="2EC0E57A" w14:textId="77777777" w:rsidR="00B834A2" w:rsidRPr="00BA5F6E" w:rsidRDefault="00B834A2" w:rsidP="00BA5F6E">
            <w:pPr>
              <w:spacing w:after="120"/>
              <w:rPr>
                <w:sz w:val="20"/>
                <w:szCs w:val="20"/>
              </w:rPr>
            </w:pPr>
          </w:p>
        </w:tc>
        <w:tc>
          <w:tcPr>
            <w:tcW w:w="1262" w:type="dxa"/>
            <w:tcBorders>
              <w:top w:val="single" w:sz="4" w:space="0" w:color="auto"/>
              <w:left w:val="single" w:sz="4" w:space="0" w:color="auto"/>
              <w:bottom w:val="single" w:sz="4" w:space="0" w:color="auto"/>
            </w:tcBorders>
            <w:shd w:val="clear" w:color="auto" w:fill="FFFFFF"/>
          </w:tcPr>
          <w:p w14:paraId="393055C8" w14:textId="77777777" w:rsidR="00B834A2" w:rsidRPr="00BA5F6E" w:rsidRDefault="00B834A2" w:rsidP="00BA5F6E">
            <w:pPr>
              <w:spacing w:after="120"/>
              <w:rPr>
                <w:sz w:val="20"/>
                <w:szCs w:val="20"/>
              </w:rPr>
            </w:pPr>
          </w:p>
        </w:tc>
        <w:tc>
          <w:tcPr>
            <w:tcW w:w="1512" w:type="dxa"/>
            <w:tcBorders>
              <w:top w:val="single" w:sz="4" w:space="0" w:color="auto"/>
              <w:left w:val="single" w:sz="4" w:space="0" w:color="auto"/>
              <w:bottom w:val="single" w:sz="4" w:space="0" w:color="auto"/>
            </w:tcBorders>
            <w:shd w:val="clear" w:color="auto" w:fill="FFFFFF"/>
          </w:tcPr>
          <w:p w14:paraId="0E57B90B"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38 մկմ</w:t>
            </w:r>
          </w:p>
        </w:tc>
        <w:tc>
          <w:tcPr>
            <w:tcW w:w="1085" w:type="dxa"/>
            <w:tcBorders>
              <w:top w:val="single" w:sz="4" w:space="0" w:color="auto"/>
              <w:left w:val="single" w:sz="4" w:space="0" w:color="auto"/>
              <w:bottom w:val="single" w:sz="4" w:space="0" w:color="auto"/>
            </w:tcBorders>
            <w:shd w:val="clear" w:color="auto" w:fill="FFFFFF"/>
          </w:tcPr>
          <w:p w14:paraId="5662973D" w14:textId="77777777" w:rsidR="00B834A2" w:rsidRPr="00BA5F6E" w:rsidRDefault="00B834A2" w:rsidP="00BA5F6E">
            <w:pPr>
              <w:spacing w:after="120"/>
              <w:rPr>
                <w:sz w:val="20"/>
                <w:szCs w:val="20"/>
              </w:rPr>
            </w:pPr>
          </w:p>
        </w:tc>
        <w:tc>
          <w:tcPr>
            <w:tcW w:w="1546" w:type="dxa"/>
            <w:tcBorders>
              <w:top w:val="single" w:sz="4" w:space="0" w:color="auto"/>
              <w:left w:val="single" w:sz="4" w:space="0" w:color="auto"/>
              <w:bottom w:val="single" w:sz="4" w:space="0" w:color="auto"/>
            </w:tcBorders>
            <w:shd w:val="clear" w:color="auto" w:fill="FFFFFF"/>
          </w:tcPr>
          <w:p w14:paraId="1F50DA80" w14:textId="77777777" w:rsidR="00B834A2" w:rsidRPr="00BA5F6E" w:rsidRDefault="00B834A2" w:rsidP="00BA5F6E">
            <w:pPr>
              <w:spacing w:after="120"/>
              <w:rPr>
                <w:sz w:val="20"/>
                <w:szCs w:val="20"/>
              </w:rPr>
            </w:pPr>
          </w:p>
        </w:tc>
        <w:tc>
          <w:tcPr>
            <w:tcW w:w="1258" w:type="dxa"/>
            <w:tcBorders>
              <w:top w:val="single" w:sz="4" w:space="0" w:color="auto"/>
              <w:left w:val="single" w:sz="4" w:space="0" w:color="auto"/>
              <w:bottom w:val="single" w:sz="4" w:space="0" w:color="auto"/>
            </w:tcBorders>
            <w:shd w:val="clear" w:color="auto" w:fill="FFFFFF"/>
          </w:tcPr>
          <w:p w14:paraId="7BDB2415"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38</w:t>
            </w:r>
          </w:p>
        </w:tc>
        <w:tc>
          <w:tcPr>
            <w:tcW w:w="1301" w:type="dxa"/>
            <w:tcBorders>
              <w:top w:val="single" w:sz="4" w:space="0" w:color="auto"/>
              <w:left w:val="single" w:sz="4" w:space="0" w:color="auto"/>
              <w:bottom w:val="single" w:sz="4" w:space="0" w:color="auto"/>
            </w:tcBorders>
            <w:shd w:val="clear" w:color="auto" w:fill="FFFFFF"/>
          </w:tcPr>
          <w:p w14:paraId="210433B0" w14:textId="77777777" w:rsidR="00B834A2" w:rsidRPr="00BA5F6E" w:rsidRDefault="00B834A2" w:rsidP="00BA5F6E">
            <w:pPr>
              <w:pStyle w:val="Bodytext20"/>
              <w:shd w:val="clear" w:color="auto" w:fill="auto"/>
              <w:spacing w:before="0" w:line="240" w:lineRule="auto"/>
              <w:rPr>
                <w:rFonts w:ascii="Sylfaen" w:hAnsi="Sylfaen" w:cs="Sylfaen"/>
                <w:sz w:val="20"/>
                <w:szCs w:val="20"/>
              </w:rPr>
            </w:pPr>
            <w:r w:rsidRPr="00BA5F6E">
              <w:rPr>
                <w:rStyle w:val="Bodytext31Sylfaen9"/>
                <w:sz w:val="20"/>
                <w:szCs w:val="20"/>
              </w:rPr>
              <w:t>391</w:t>
            </w:r>
          </w:p>
        </w:tc>
      </w:tr>
    </w:tbl>
    <w:p w14:paraId="5D382AF2" w14:textId="77777777" w:rsidR="00B834A2" w:rsidRPr="00B834A2" w:rsidRDefault="00B834A2" w:rsidP="00B834A2">
      <w:pPr>
        <w:spacing w:after="160" w:line="360" w:lineRule="auto"/>
        <w:jc w:val="both"/>
        <w:rPr>
          <w:rStyle w:val="Bodytext31Sylfaen9"/>
          <w:sz w:val="24"/>
          <w:szCs w:val="24"/>
        </w:rPr>
      </w:pPr>
    </w:p>
    <w:p w14:paraId="4ED47E06"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sz w:val="24"/>
          <w:szCs w:val="24"/>
        </w:rPr>
        <w:t>ՄԱՂՄԱՆ ՄԵԹՈԴՆԵՐԸ</w:t>
      </w:r>
    </w:p>
    <w:p w14:paraId="48F38C8A" w14:textId="77777777" w:rsidR="00B834A2" w:rsidRPr="00BC6A72" w:rsidRDefault="00B834A2" w:rsidP="00B834A2">
      <w:pPr>
        <w:spacing w:after="160" w:line="360" w:lineRule="auto"/>
        <w:ind w:firstLine="567"/>
        <w:jc w:val="both"/>
        <w:rPr>
          <w:rStyle w:val="Bodytext31Sylfaen9"/>
          <w:i w:val="0"/>
          <w:sz w:val="24"/>
          <w:szCs w:val="24"/>
        </w:rPr>
      </w:pPr>
      <w:r w:rsidRPr="00BC6A72">
        <w:rPr>
          <w:rStyle w:val="Bodytext31Sylfaen9"/>
          <w:b/>
          <w:i w:val="0"/>
          <w:sz w:val="24"/>
          <w:szCs w:val="24"/>
        </w:rPr>
        <w:t>Մեխանիկական թափահարում (Չոր մաղման մեթոդ).</w:t>
      </w:r>
      <w:r w:rsidRPr="00B834A2">
        <w:rPr>
          <w:rStyle w:val="Bodytext31Sylfaen9"/>
          <w:sz w:val="24"/>
          <w:szCs w:val="24"/>
        </w:rPr>
        <w:t xml:space="preserve"> </w:t>
      </w:r>
      <w:r w:rsidRPr="00B834A2">
        <w:t xml:space="preserve">Յուրաքանչյուր անալիտիկ մաղ կշռում են 0,1 գ ճշգրտությամբ: Փորձարկվող նմուշի ճշգրիտ կշռանմուշը զետեղում են վերին (ամենամեծ չափի անցքերով) մաղի վրա </w:t>
      </w:r>
      <w:r>
        <w:t>եւ</w:t>
      </w:r>
      <w:r w:rsidRPr="00B834A2">
        <w:t xml:space="preserve"> փակում են կափարիչով: </w:t>
      </w:r>
      <w:r w:rsidRPr="00BC6A72">
        <w:rPr>
          <w:rStyle w:val="Bodytext31Sylfaen9"/>
          <w:i w:val="0"/>
          <w:sz w:val="24"/>
          <w:szCs w:val="24"/>
        </w:rPr>
        <w:t xml:space="preserve">Մաղերի հավաքածուն թափահարում են 5 րոպեի </w:t>
      </w:r>
      <w:r w:rsidRPr="00BC6A72">
        <w:rPr>
          <w:rStyle w:val="Bodytext31Sylfaen9"/>
          <w:i w:val="0"/>
          <w:sz w:val="24"/>
          <w:szCs w:val="24"/>
        </w:rPr>
        <w:lastRenderedPageBreak/>
        <w:t>ընթացքում, հետո զգուշությամբ, առանց նմուշի կորստի, հավաքածուից հանում են յուրաքանչյուր մաղ:</w:t>
      </w:r>
    </w:p>
    <w:p w14:paraId="4263543D" w14:textId="77777777" w:rsidR="00B834A2" w:rsidRPr="00BC6A72" w:rsidRDefault="00B834A2" w:rsidP="00B834A2">
      <w:pPr>
        <w:spacing w:after="160" w:line="360" w:lineRule="auto"/>
        <w:ind w:firstLine="567"/>
        <w:jc w:val="both"/>
        <w:rPr>
          <w:rStyle w:val="Bodytext31Sylfaen9"/>
          <w:i w:val="0"/>
          <w:sz w:val="24"/>
          <w:szCs w:val="24"/>
        </w:rPr>
      </w:pPr>
      <w:r w:rsidRPr="00BC6A72">
        <w:rPr>
          <w:rStyle w:val="Bodytext31Sylfaen9"/>
          <w:i w:val="0"/>
          <w:sz w:val="24"/>
          <w:szCs w:val="24"/>
        </w:rPr>
        <w:t>Կշռում են մաղերից յուրաքանչյուրը եւ որոշում են թափահարումից հետո յուրաքանչյուր մաղի վրա մնացորդի զանգվածը: Համանման եղանակով որոշում են մնացորդի զանգվածը հավաքիչ բաժակում: Նորից հավաքում են մաղերի հավաքածուն եւ թափահարում են 5 րոպեի ընթացքում: Հանում են մաղերից յուրաքանչյուրը եւ կշռում են նախկինում նկարագրվածին համապատասխան:</w:t>
      </w:r>
      <w:r w:rsidRPr="00B834A2">
        <w:rPr>
          <w:rStyle w:val="Bodytext31Sylfaen9"/>
          <w:sz w:val="24"/>
          <w:szCs w:val="24"/>
        </w:rPr>
        <w:t xml:space="preserve"> </w:t>
      </w:r>
      <w:r w:rsidRPr="00B834A2">
        <w:t>Կրկնում են գործընթացը՝ մինչ</w:t>
      </w:r>
      <w:r>
        <w:t>եւ</w:t>
      </w:r>
      <w:r w:rsidRPr="00B834A2">
        <w:t xml:space="preserve"> մաղման վերջնակետին հասնելը (տե՛ս </w:t>
      </w:r>
      <w:r w:rsidRPr="00BC6A72">
        <w:t xml:space="preserve">Մաղման վերջնակետի որոշումը. </w:t>
      </w:r>
      <w:r w:rsidRPr="00BC6A72">
        <w:rPr>
          <w:rStyle w:val="Bodytext2Italic"/>
          <w:rFonts w:eastAsia="Tahoma"/>
          <w:i w:val="0"/>
          <w:sz w:val="24"/>
          <w:szCs w:val="24"/>
        </w:rPr>
        <w:t xml:space="preserve">Անալիզային մաղեր </w:t>
      </w:r>
      <w:r w:rsidRPr="00BC6A72">
        <w:t>բաժնում):</w:t>
      </w:r>
      <w:r w:rsidRPr="00BC6A72">
        <w:rPr>
          <w:i/>
        </w:rPr>
        <w:t xml:space="preserve"> </w:t>
      </w:r>
      <w:r w:rsidRPr="00BC6A72">
        <w:rPr>
          <w:rStyle w:val="Bodytext31Sylfaen9"/>
          <w:i w:val="0"/>
          <w:sz w:val="24"/>
          <w:szCs w:val="24"/>
        </w:rPr>
        <w:t>Անալիզն ավարտելուց հետո համեմատում են փորձարկվող նմուշի թորամասերի զանգվածները: Զանգվածի գումարային կորուստը չպետք է գերազանցի փորձարկվող նմուշի կշռանմուշի սկզբնական զանգվածի 5 %-ը: Անալիզը կրկնում են նոր նմուշով՝ կատարելով մեկանգամյա մաղում՝ նախորդ որոշման ժամանակ մաղման գումարային ժամանակահատվածին հավասար ժամանակի ընթացքում: Հաստատում են, որ մաղման տվյալ ժամանակը համապատասխանում է մաղման</w:t>
      </w:r>
      <w:r w:rsidRPr="00B834A2">
        <w:rPr>
          <w:rStyle w:val="Bodytext31Sylfaen9"/>
          <w:sz w:val="24"/>
          <w:szCs w:val="24"/>
        </w:rPr>
        <w:t xml:space="preserve"> </w:t>
      </w:r>
      <w:r w:rsidRPr="00BC6A72">
        <w:rPr>
          <w:rStyle w:val="Bodytext31Sylfaen9"/>
          <w:i w:val="0"/>
          <w:sz w:val="24"/>
          <w:szCs w:val="24"/>
        </w:rPr>
        <w:t>վերջնակետի որոշման պահանջներին:</w:t>
      </w:r>
    </w:p>
    <w:p w14:paraId="77A37449" w14:textId="77777777" w:rsidR="00B834A2" w:rsidRPr="00BC6A72" w:rsidRDefault="00B834A2" w:rsidP="00B834A2">
      <w:pPr>
        <w:spacing w:after="160" w:line="360" w:lineRule="auto"/>
        <w:ind w:firstLine="567"/>
        <w:jc w:val="both"/>
        <w:rPr>
          <w:rStyle w:val="Bodytext31Sylfaen9"/>
          <w:i w:val="0"/>
          <w:sz w:val="24"/>
          <w:szCs w:val="24"/>
        </w:rPr>
      </w:pPr>
      <w:r w:rsidRPr="00BC6A72">
        <w:rPr>
          <w:rStyle w:val="Bodytext31Sylfaen9"/>
          <w:i w:val="0"/>
          <w:sz w:val="24"/>
          <w:szCs w:val="24"/>
        </w:rPr>
        <w:t>Եթե անցկացվել է տվյալ նմուշի համար մաղման վերջնակետի որոշման վալիդացում, հաջորդող փորձարկումներում թույլատրվում է օգտագործել մեկանգամյա մաղում՝ սահմանված ժամանակահատվածի ընթացքում՝ ըստ չափի մասնիկների բաշխումը նորմալ բաշխմանը համապատասխանելու պայմանով:</w:t>
      </w:r>
    </w:p>
    <w:p w14:paraId="54B10356" w14:textId="77777777" w:rsidR="00B834A2" w:rsidRPr="00BC6A72" w:rsidRDefault="00B834A2" w:rsidP="00B834A2">
      <w:pPr>
        <w:spacing w:after="160" w:line="360" w:lineRule="auto"/>
        <w:ind w:firstLine="567"/>
        <w:jc w:val="both"/>
        <w:rPr>
          <w:i/>
        </w:rPr>
      </w:pPr>
      <w:r w:rsidRPr="00BC6A72">
        <w:rPr>
          <w:rStyle w:val="Bodytext31Sylfaen9"/>
          <w:i w:val="0"/>
          <w:sz w:val="24"/>
          <w:szCs w:val="24"/>
        </w:rPr>
        <w:t>Մաղերից որեւէ մեկի վրա ոչ թե առանձին մասնիկների, այլ դրանց ագրեգատների հապաղման հատկանիշների առկայության դեպքում մեխանիկական չոր մաղման մեթոդի կիրառումը չի ապահովի պատշաճ վերարտադրելիությամբ արդյունքների ստացում, ինչը պահանջում է մասնիկների չափի որոշման այլ մեթոդի օգտագործում:</w:t>
      </w:r>
      <w:r w:rsidRPr="00BC6A72">
        <w:rPr>
          <w:i/>
        </w:rPr>
        <w:t xml:space="preserve"> </w:t>
      </w:r>
    </w:p>
    <w:p w14:paraId="25D9ECF6" w14:textId="77777777" w:rsidR="00B834A2" w:rsidRPr="00B834A2" w:rsidRDefault="00B834A2" w:rsidP="00B834A2">
      <w:pPr>
        <w:spacing w:after="160" w:line="360" w:lineRule="auto"/>
        <w:ind w:firstLine="567"/>
        <w:jc w:val="both"/>
        <w:rPr>
          <w:rStyle w:val="Bodytext31Sylfaen9"/>
          <w:sz w:val="24"/>
          <w:szCs w:val="24"/>
        </w:rPr>
      </w:pPr>
      <w:r w:rsidRPr="00BC6A72">
        <w:rPr>
          <w:rStyle w:val="Bodytext31Sylfaen9"/>
          <w:b/>
          <w:i w:val="0"/>
          <w:sz w:val="24"/>
          <w:szCs w:val="24"/>
        </w:rPr>
        <w:t>Օդի օգտագործմամբ մեթոդներ (օդաշիթային մաղում եւ ուլտրաձայնային մաղում).</w:t>
      </w:r>
      <w:r w:rsidRPr="00BC6A72">
        <w:rPr>
          <w:rStyle w:val="Bodytext31Sylfaen9"/>
          <w:i w:val="0"/>
          <w:sz w:val="24"/>
          <w:szCs w:val="24"/>
        </w:rPr>
        <w:t xml:space="preserve"> Մաղման համար կարող են օգտագործվել օդի հոսքի կիրառմամբ սարքավորումների տարբեր տեսակներ: Օդաշիթային մաղումը մեկանգամյա </w:t>
      </w:r>
      <w:r w:rsidRPr="00BC6A72">
        <w:rPr>
          <w:rStyle w:val="Bodytext31Sylfaen9"/>
          <w:i w:val="0"/>
          <w:sz w:val="24"/>
          <w:szCs w:val="24"/>
        </w:rPr>
        <w:lastRenderedPageBreak/>
        <w:t xml:space="preserve">մաղման մեթոդ է: </w:t>
      </w:r>
      <w:r w:rsidRPr="00B834A2">
        <w:t xml:space="preserve">Տվյալ մեթոդի օգտագործման դեպքում կիրառում են </w:t>
      </w:r>
      <w:r w:rsidRPr="00B834A2">
        <w:rPr>
          <w:i/>
        </w:rPr>
        <w:t>Չոր մաղման մեթոդը</w:t>
      </w:r>
      <w:r w:rsidRPr="00B834A2">
        <w:t xml:space="preserve"> բաժնում նկարագրված մեթոդիկան, որում թափահարման սովորական մեթոդը փոխարինում են ստանդարտացված օդային շիթով:</w:t>
      </w:r>
    </w:p>
    <w:p w14:paraId="3464505E" w14:textId="77777777" w:rsidR="00B834A2" w:rsidRPr="00BC6A72" w:rsidRDefault="00B834A2" w:rsidP="00B603CA">
      <w:pPr>
        <w:spacing w:after="160" w:line="336" w:lineRule="auto"/>
        <w:ind w:firstLine="567"/>
        <w:jc w:val="both"/>
        <w:rPr>
          <w:rStyle w:val="Bodytext31Sylfaen9"/>
          <w:i w:val="0"/>
          <w:sz w:val="24"/>
          <w:szCs w:val="24"/>
        </w:rPr>
      </w:pPr>
      <w:r w:rsidRPr="00BC6A72">
        <w:rPr>
          <w:rStyle w:val="Bodytext31Sylfaen9"/>
          <w:i w:val="0"/>
          <w:sz w:val="24"/>
          <w:szCs w:val="24"/>
        </w:rPr>
        <w:t xml:space="preserve">Մասնիկների՝ ըստ չափի բաշխման արդյունքներ ստանալու համար մեթոդիկան պահանջում է կատարել առանձին մաղերով հաջորդական փորձարկումներ՝ սկսելով անցքերի ամենափոքր չափով մաղից: Օդաշիթային մաղումը, որպես կանոն, ներառում է անցքերի ավելի փոքր չափով անալիզային </w:t>
      </w:r>
      <w:r w:rsidRPr="00BC6A72">
        <w:rPr>
          <w:rStyle w:val="Bodytext31Sylfaen9"/>
          <w:i w:val="0"/>
          <w:spacing w:val="-4"/>
          <w:sz w:val="24"/>
          <w:szCs w:val="24"/>
        </w:rPr>
        <w:t>մաղերի կիրառում, քան սովորական չոր մաղման ժամանակ: Տվյալ մեթոդը ավելի է համապատասխանում</w:t>
      </w:r>
      <w:r w:rsidRPr="00BC6A72">
        <w:rPr>
          <w:rStyle w:val="Bodytext31Sylfaen9"/>
          <w:i w:val="0"/>
          <w:sz w:val="24"/>
          <w:szCs w:val="24"/>
        </w:rPr>
        <w:t xml:space="preserve"> այն դեպքերի համար, երբ անհրաժեշտ է առանձնացնել մասնիկների ամենամեծ եւ ամենափոքր չափերով առանձին թորամասերը:</w:t>
      </w:r>
    </w:p>
    <w:p w14:paraId="076BE611" w14:textId="77777777" w:rsidR="00B834A2" w:rsidRPr="00BC6A72" w:rsidRDefault="00B834A2" w:rsidP="00B603CA">
      <w:pPr>
        <w:spacing w:after="160" w:line="336" w:lineRule="auto"/>
        <w:ind w:firstLine="567"/>
        <w:jc w:val="both"/>
        <w:rPr>
          <w:rStyle w:val="Bodytext31Sylfaen9"/>
          <w:i w:val="0"/>
          <w:sz w:val="24"/>
          <w:szCs w:val="24"/>
        </w:rPr>
      </w:pPr>
      <w:r w:rsidRPr="00BC6A72">
        <w:rPr>
          <w:rStyle w:val="Bodytext31Sylfaen9"/>
          <w:i w:val="0"/>
          <w:sz w:val="24"/>
          <w:szCs w:val="24"/>
        </w:rPr>
        <w:t>Ուլտրաձայնային մաղման մեթոդի ժամանակ օգտագործում են նաեւ մաղերի հավաքածու, իսկ փորձարկվող նմուշը մտցնում են օդի ուղղահայաց տատանումներն ապահովող աշտարակի մեջ, որը բարձրացնում է նմուշը եւ այնուհետեւ րոպեում իմպուլսների որոշակի քանակների ընթացքում այն վերադարձնում է մաղի անցքերի միջով: Ուլտրաձայնային մաղում կիրառելիս</w:t>
      </w:r>
      <w:r w:rsidRPr="00B834A2">
        <w:rPr>
          <w:rStyle w:val="Bodytext31Sylfaen9"/>
          <w:sz w:val="24"/>
          <w:szCs w:val="24"/>
        </w:rPr>
        <w:t xml:space="preserve"> </w:t>
      </w:r>
      <w:r w:rsidRPr="00BC6A72">
        <w:rPr>
          <w:rStyle w:val="Bodytext31Sylfaen9"/>
          <w:i w:val="0"/>
          <w:sz w:val="24"/>
          <w:szCs w:val="24"/>
        </w:rPr>
        <w:t>փորձարկվող նմուշի կշռանմուշը կարող է նվազեցվել մինչեւ 5 գ:</w:t>
      </w:r>
    </w:p>
    <w:p w14:paraId="5165CB54" w14:textId="77777777" w:rsidR="00B834A2" w:rsidRPr="00BC6A72" w:rsidRDefault="00B834A2" w:rsidP="00B603CA">
      <w:pPr>
        <w:spacing w:after="160" w:line="336" w:lineRule="auto"/>
        <w:ind w:firstLine="567"/>
        <w:jc w:val="both"/>
        <w:rPr>
          <w:rStyle w:val="Bodytext31Sylfaen9"/>
          <w:i w:val="0"/>
          <w:sz w:val="24"/>
          <w:szCs w:val="24"/>
        </w:rPr>
      </w:pPr>
      <w:r w:rsidRPr="00BC6A72">
        <w:rPr>
          <w:rStyle w:val="Bodytext31Sylfaen9"/>
          <w:i w:val="0"/>
          <w:sz w:val="24"/>
          <w:szCs w:val="24"/>
        </w:rPr>
        <w:t>Օդաշիթային եւ ուլտրաձայնային մաղման մեթոդները կարող են պիտանի լինել փոշիների եւ գրանուլների համար, երբ մեխանիկական մաղումը թույլ չի տալիս ստանալ հավաստի արդյունք:</w:t>
      </w:r>
    </w:p>
    <w:p w14:paraId="49363559" w14:textId="77777777" w:rsidR="00B834A2" w:rsidRPr="00BC6A72" w:rsidRDefault="00B834A2" w:rsidP="00B603CA">
      <w:pPr>
        <w:spacing w:after="160" w:line="336" w:lineRule="auto"/>
        <w:ind w:firstLine="567"/>
        <w:jc w:val="both"/>
        <w:rPr>
          <w:rStyle w:val="Bodytext31Sylfaen9"/>
          <w:i w:val="0"/>
          <w:sz w:val="24"/>
          <w:szCs w:val="24"/>
        </w:rPr>
      </w:pPr>
      <w:r w:rsidRPr="00BC6A72">
        <w:rPr>
          <w:rStyle w:val="Bodytext31Sylfaen9"/>
          <w:i w:val="0"/>
          <w:sz w:val="24"/>
          <w:szCs w:val="24"/>
        </w:rPr>
        <w:t>Նշված մեթոդները մեծամասամբ պայմանավորված են օդային հոսքում փոշու մասնիկների ճիշտ բաշխմամբ: Տվյալ պահանջը կարող է լինել դժվար կատարվող, եթե մաղման համար օգտագործում են շատ մանր չափերի անցքեր ունեցող մաղեր (75 մկմ-ից փոքր), եթե մասնիկներն ունեն կպչելու հատկություն եւ հատկապես, եթե նմուշը կարող է լինել էլեկտրաստատիկ լիցքի աղբյուր: Վերոնշյալ պատճառներից ելնելով՝ մաղման վերջնակետի որոշումը համարվում է հատկապես կրիտիկական, իսկ այն բանի հաստատումը, որ սովորականից մեծ չափի մասնիկներն առանձին մասնիկներ են, այլ ոչ թե ագրեգատներ, հատկապես կարեւոր են:</w:t>
      </w:r>
    </w:p>
    <w:p w14:paraId="3FA97D62" w14:textId="77777777" w:rsidR="00B834A2" w:rsidRPr="00B834A2" w:rsidRDefault="00B834A2" w:rsidP="00B834A2">
      <w:pPr>
        <w:pStyle w:val="Bodytext20"/>
        <w:shd w:val="clear" w:color="auto" w:fill="auto"/>
        <w:spacing w:before="0" w:after="160" w:line="360" w:lineRule="auto"/>
        <w:ind w:firstLine="480"/>
        <w:rPr>
          <w:rStyle w:val="Bodytext31Sylfaen9"/>
          <w:b/>
          <w:sz w:val="24"/>
          <w:szCs w:val="24"/>
        </w:rPr>
      </w:pPr>
    </w:p>
    <w:p w14:paraId="643C0193"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sz w:val="24"/>
          <w:szCs w:val="24"/>
        </w:rPr>
        <w:lastRenderedPageBreak/>
        <w:t>ԱՐԴՅՈՒՆՔՆԵՐԻ ԳՆԱՀԱՏՈՒՄԸ</w:t>
      </w:r>
    </w:p>
    <w:p w14:paraId="6D155099" w14:textId="77777777" w:rsidR="00B834A2" w:rsidRPr="00BC6A72" w:rsidRDefault="00B834A2" w:rsidP="00B834A2">
      <w:pPr>
        <w:spacing w:after="160" w:line="360" w:lineRule="auto"/>
        <w:ind w:firstLine="567"/>
        <w:jc w:val="both"/>
        <w:rPr>
          <w:rStyle w:val="Bodytext31Sylfaen9"/>
          <w:i w:val="0"/>
          <w:sz w:val="24"/>
          <w:szCs w:val="24"/>
        </w:rPr>
      </w:pPr>
      <w:r w:rsidRPr="00BC6A72">
        <w:rPr>
          <w:rStyle w:val="Bodytext31Sylfaen9"/>
          <w:i w:val="0"/>
          <w:sz w:val="24"/>
          <w:szCs w:val="24"/>
        </w:rPr>
        <w:t>Բացի առանձին մաղերում եւ հավաքիչ բաժակում ստացված մնացորդների զանգվածներից՝ սկզբնական տվյալները պետք է ներառեն փորձարկվող նմուշի կշռանմուշի զանգվածը, մաղման ընդհանուր ժամանակը եւ ճշգրիտ մեթոդիկան, բոլոր փոփոխվող պարամետրերի տրված մեծությունները:</w:t>
      </w:r>
    </w:p>
    <w:p w14:paraId="65C1E282" w14:textId="77777777" w:rsidR="00B834A2" w:rsidRPr="00B834A2" w:rsidRDefault="00B834A2" w:rsidP="00B834A2">
      <w:pPr>
        <w:spacing w:after="160" w:line="360" w:lineRule="auto"/>
        <w:ind w:firstLine="567"/>
        <w:jc w:val="both"/>
        <w:rPr>
          <w:rStyle w:val="Bodytext31Sylfaen9"/>
          <w:sz w:val="24"/>
          <w:szCs w:val="24"/>
        </w:rPr>
      </w:pPr>
      <w:r w:rsidRPr="00BC6A72">
        <w:rPr>
          <w:rStyle w:val="Bodytext31Sylfaen9"/>
          <w:i w:val="0"/>
          <w:sz w:val="24"/>
          <w:szCs w:val="24"/>
        </w:rPr>
        <w:t>Հարմարության համար թույլ է տրվում սկզբնական տվյալները վերափոխել զանգվածների գումարային բաշխման եւ բաշխումն արտահայտել սահմանված սահմանից փոքր չափով մասնիկների գումարային զանգվածի տեսքով: Օգտագործված մաղերի ընդգրկույթը պետք է ներառի այն մաղը, որի միջով անցնում է ամբողջ փորձարկվող նմուշը:</w:t>
      </w:r>
      <w:r w:rsidRPr="00B834A2">
        <w:rPr>
          <w:rStyle w:val="Bodytext31Sylfaen9"/>
          <w:sz w:val="24"/>
          <w:szCs w:val="24"/>
        </w:rPr>
        <w:t xml:space="preserve"> </w:t>
      </w:r>
      <w:r w:rsidRPr="00B834A2">
        <w:t>Այն հատկանիշների առկայության դեպքում, որ մաղի մեջ մնացած նմուշի մնացորդը մաղման ընթացքում առաջացած մասնիկների ագրեգատ է, փորձարկումը համարում են անվավեր:</w:t>
      </w:r>
    </w:p>
    <w:p w14:paraId="5A1B88D7" w14:textId="77777777" w:rsidR="00B834A2" w:rsidRPr="00B834A2" w:rsidRDefault="00B834A2" w:rsidP="00B834A2">
      <w:pPr>
        <w:pStyle w:val="Bodytext20"/>
        <w:shd w:val="clear" w:color="auto" w:fill="auto"/>
        <w:spacing w:before="0" w:after="160" w:line="360" w:lineRule="auto"/>
        <w:jc w:val="right"/>
        <w:rPr>
          <w:rStyle w:val="Bodytext29pt"/>
          <w:sz w:val="24"/>
          <w:szCs w:val="24"/>
        </w:rPr>
      </w:pPr>
    </w:p>
    <w:p w14:paraId="6D5D845B" w14:textId="77777777" w:rsidR="00B834A2" w:rsidRDefault="00B834A2" w:rsidP="00B834A2">
      <w:pPr>
        <w:pStyle w:val="Bodytext20"/>
        <w:shd w:val="clear" w:color="auto" w:fill="auto"/>
        <w:spacing w:before="0" w:after="160" w:line="360" w:lineRule="auto"/>
        <w:jc w:val="right"/>
        <w:rPr>
          <w:rStyle w:val="Bodytext29pt"/>
          <w:b/>
          <w:sz w:val="20"/>
          <w:szCs w:val="24"/>
        </w:rPr>
      </w:pPr>
      <w:r w:rsidRPr="00BC6A72">
        <w:rPr>
          <w:rStyle w:val="Bodytext29pt"/>
          <w:b/>
          <w:sz w:val="20"/>
          <w:szCs w:val="24"/>
        </w:rPr>
        <w:t>201100009-2022</w:t>
      </w:r>
    </w:p>
    <w:p w14:paraId="37AB989C" w14:textId="77777777" w:rsidR="00BC6A72" w:rsidRPr="00BC6A72" w:rsidRDefault="00BC6A72" w:rsidP="00B834A2">
      <w:pPr>
        <w:pStyle w:val="Bodytext20"/>
        <w:shd w:val="clear" w:color="auto" w:fill="auto"/>
        <w:spacing w:before="0" w:after="160" w:line="360" w:lineRule="auto"/>
        <w:jc w:val="right"/>
        <w:rPr>
          <w:rFonts w:ascii="Sylfaen" w:hAnsi="Sylfaen" w:cs="Sylfaen"/>
          <w:b/>
          <w:sz w:val="20"/>
          <w:szCs w:val="24"/>
        </w:rPr>
      </w:pPr>
    </w:p>
    <w:p w14:paraId="4D0A74C2" w14:textId="77777777" w:rsidR="00B834A2" w:rsidRPr="00BC6A72" w:rsidRDefault="00B834A2" w:rsidP="00BC6A72">
      <w:pPr>
        <w:pStyle w:val="Bodytext20"/>
        <w:shd w:val="clear" w:color="auto" w:fill="auto"/>
        <w:tabs>
          <w:tab w:val="left" w:pos="1701"/>
        </w:tabs>
        <w:spacing w:before="0" w:after="160" w:line="360" w:lineRule="auto"/>
        <w:ind w:firstLine="560"/>
        <w:jc w:val="both"/>
        <w:rPr>
          <w:rFonts w:ascii="Sylfaen" w:hAnsi="Sylfaen" w:cs="Sylfaen"/>
          <w:b/>
          <w:sz w:val="24"/>
          <w:szCs w:val="24"/>
        </w:rPr>
      </w:pPr>
      <w:r w:rsidRPr="00BC6A72">
        <w:rPr>
          <w:rStyle w:val="Bodytext29pt"/>
          <w:b/>
          <w:sz w:val="24"/>
          <w:szCs w:val="24"/>
        </w:rPr>
        <w:t>2.1.10.9.</w:t>
      </w:r>
      <w:r w:rsidR="00BC6A72">
        <w:rPr>
          <w:rStyle w:val="Bodytext29pt"/>
          <w:b/>
          <w:sz w:val="24"/>
          <w:szCs w:val="24"/>
        </w:rPr>
        <w:tab/>
      </w:r>
      <w:r w:rsidRPr="00BC6A72">
        <w:rPr>
          <w:rStyle w:val="Bodytext29pt"/>
          <w:b/>
          <w:sz w:val="24"/>
          <w:szCs w:val="24"/>
        </w:rPr>
        <w:t>Փոշիների մանրացվածությունը</w:t>
      </w:r>
    </w:p>
    <w:p w14:paraId="252E1962" w14:textId="77777777" w:rsidR="00B834A2" w:rsidRPr="00BC6A72" w:rsidRDefault="00B834A2" w:rsidP="00B834A2">
      <w:pPr>
        <w:spacing w:after="160" w:line="360" w:lineRule="auto"/>
        <w:ind w:firstLine="560"/>
        <w:jc w:val="both"/>
        <w:rPr>
          <w:rStyle w:val="Bodytext31Sylfaen9"/>
          <w:i w:val="0"/>
          <w:sz w:val="24"/>
          <w:szCs w:val="24"/>
        </w:rPr>
      </w:pPr>
      <w:r w:rsidRPr="00B834A2">
        <w:t>Սույն ընդհանուր դեղագրքային հոդվածում բերված է փոշիների մանրացվածության պարզ նկարագրական դասակարգում:</w:t>
      </w:r>
      <w:r w:rsidRPr="00B834A2">
        <w:rPr>
          <w:rStyle w:val="Bodytext31Sylfaen9"/>
          <w:sz w:val="24"/>
          <w:szCs w:val="24"/>
        </w:rPr>
        <w:t xml:space="preserve"> </w:t>
      </w:r>
      <w:r w:rsidRPr="00BC6A72">
        <w:rPr>
          <w:rStyle w:val="Bodytext31Sylfaen9"/>
          <w:i w:val="0"/>
          <w:sz w:val="24"/>
          <w:szCs w:val="24"/>
        </w:rPr>
        <w:t>Փոշիների մանրացվածությունը որոշելու համար, որպես կանոն, անցկացնում են մաղային անալիզ՝ կիրառելով որոշակի չափի մաղերի կիրառում (ընդհանուր դեղագրքային հոդված՝</w:t>
      </w:r>
      <w:r w:rsidRPr="00B834A2">
        <w:rPr>
          <w:rStyle w:val="Bodytext31Sylfaen9"/>
          <w:sz w:val="24"/>
          <w:szCs w:val="24"/>
        </w:rPr>
        <w:t xml:space="preserve"> </w:t>
      </w:r>
      <w:r w:rsidRPr="00B834A2">
        <w:rPr>
          <w:rStyle w:val="Bodytext2Italic"/>
          <w:rFonts w:eastAsia="Tahoma"/>
          <w:sz w:val="24"/>
          <w:szCs w:val="24"/>
        </w:rPr>
        <w:t>2.1.1.4. Մաղեր):</w:t>
      </w:r>
      <w:r w:rsidRPr="00B834A2">
        <w:rPr>
          <w:rStyle w:val="Bodytext31Sylfaen9"/>
          <w:sz w:val="24"/>
          <w:szCs w:val="24"/>
        </w:rPr>
        <w:t xml:space="preserve"> </w:t>
      </w:r>
      <w:r w:rsidRPr="00BC6A72">
        <w:rPr>
          <w:rStyle w:val="Bodytext31Sylfaen9"/>
          <w:i w:val="0"/>
          <w:sz w:val="24"/>
          <w:szCs w:val="24"/>
        </w:rPr>
        <w:t>Մաղային անալիզն առավել պիտանի է, եթե փոշու մասնիկների չափը գերազանցում է 75 մկմ-ը, ինչպես նաեւ առանձին փոշիների համար, որոնք ունեն նաեւ մասնիկների ավելի փոքր չափ, եթե այդպիսի մեթոդիկան վալիդացված է:</w:t>
      </w:r>
    </w:p>
    <w:p w14:paraId="74909572" w14:textId="77777777" w:rsidR="00B834A2" w:rsidRPr="00B834A2" w:rsidRDefault="00B834A2" w:rsidP="00B834A2">
      <w:pPr>
        <w:spacing w:after="160" w:line="360" w:lineRule="auto"/>
        <w:ind w:firstLine="560"/>
        <w:jc w:val="both"/>
        <w:rPr>
          <w:rStyle w:val="Bodytext31Sylfaen9"/>
          <w:sz w:val="24"/>
          <w:szCs w:val="24"/>
        </w:rPr>
      </w:pPr>
      <w:r w:rsidRPr="00B834A2">
        <w:t xml:space="preserve">Փոշիների մասնիկների՝ ըստ չափի բաշխումը սահմանում են անալիզային մաղման մեթոդով՝ </w:t>
      </w:r>
      <w:r w:rsidRPr="00B834A2">
        <w:rPr>
          <w:i/>
        </w:rPr>
        <w:t>«Մասնիկների՝ ըստ չափի բաշխման գնահատում անալիզային մաղման մեթոդով»</w:t>
      </w:r>
      <w:r w:rsidRPr="00B834A2">
        <w:t xml:space="preserve"> </w:t>
      </w:r>
      <w:r w:rsidRPr="00BC6A72">
        <w:rPr>
          <w:i/>
        </w:rPr>
        <w:t>2.1.10.8.</w:t>
      </w:r>
      <w:r w:rsidRPr="00B834A2">
        <w:t xml:space="preserve"> ընդհանուր դեղագրքային հոդվածին կամ այլ </w:t>
      </w:r>
      <w:r w:rsidRPr="00B834A2">
        <w:lastRenderedPageBreak/>
        <w:t>համապատասխան մեթոդների համապատասխան:</w:t>
      </w:r>
      <w:r w:rsidRPr="00B834A2">
        <w:rPr>
          <w:rStyle w:val="Bodytext31Sylfaen9"/>
          <w:sz w:val="24"/>
          <w:szCs w:val="24"/>
        </w:rPr>
        <w:t xml:space="preserve"> </w:t>
      </w:r>
      <w:r w:rsidRPr="00B834A2">
        <w:t>Լայն ընդգրկույթի մասնիկների՝ ըստ չափի բաշխումը որոշելու համար օգտագործում են նա</w:t>
      </w:r>
      <w:r>
        <w:t>եւ</w:t>
      </w:r>
      <w:r w:rsidRPr="00B834A2">
        <w:t xml:space="preserve"> լույսի դիֆրակցիայի մեթոդը</w:t>
      </w:r>
      <w:r w:rsidRPr="00B834A2">
        <w:rPr>
          <w:rStyle w:val="Bodytext31Sylfaen9"/>
          <w:sz w:val="24"/>
          <w:szCs w:val="24"/>
        </w:rPr>
        <w:t xml:space="preserve"> (</w:t>
      </w:r>
      <w:r w:rsidRPr="00B834A2">
        <w:rPr>
          <w:rStyle w:val="Bodytext2Italic"/>
          <w:rFonts w:eastAsia="Tahoma"/>
          <w:sz w:val="24"/>
          <w:szCs w:val="24"/>
        </w:rPr>
        <w:t>«Լազերային ճառագայթման դիֆրակցիայի մեթոդով մասնիկների չափի որոշումը» 2.1.9.26. ընդհանուր դեղագրքային հոդված)</w:t>
      </w:r>
      <w:r w:rsidRPr="00B834A2">
        <w:t>, որը թույլ է տալիս չափել 0,1 մկմ-ից մինչ</w:t>
      </w:r>
      <w:r>
        <w:t>եւ</w:t>
      </w:r>
      <w:r w:rsidRPr="00B834A2">
        <w:t xml:space="preserve"> 3,0 մմ ընդգրկույթում մասնիկները:</w:t>
      </w:r>
    </w:p>
    <w:p w14:paraId="69C2363D" w14:textId="77777777" w:rsidR="00B834A2" w:rsidRPr="00BC6A72" w:rsidRDefault="00B834A2" w:rsidP="00B834A2">
      <w:pPr>
        <w:spacing w:after="160" w:line="360" w:lineRule="auto"/>
        <w:ind w:firstLine="560"/>
        <w:jc w:val="both"/>
        <w:rPr>
          <w:rStyle w:val="Bodytext31Sylfaen9"/>
          <w:i w:val="0"/>
          <w:sz w:val="24"/>
          <w:szCs w:val="24"/>
        </w:rPr>
      </w:pPr>
      <w:r w:rsidRPr="00BC6A72">
        <w:rPr>
          <w:rStyle w:val="Bodytext31Sylfaen9"/>
          <w:i w:val="0"/>
          <w:sz w:val="24"/>
          <w:szCs w:val="24"/>
        </w:rPr>
        <w:t>Անալիտիկ մաղման մեթոդով կամ այլ համապատասխան մեթոդներով գումարային բաշխումը որոշելիս մասնիկների չափը կարող է նկարագրվել հետեւյալ կերպ.</w:t>
      </w:r>
    </w:p>
    <w:p w14:paraId="5AA7BDDE" w14:textId="77777777" w:rsidR="00B834A2" w:rsidRPr="00BC6A72" w:rsidRDefault="00B834A2" w:rsidP="00B834A2">
      <w:pPr>
        <w:spacing w:after="160" w:line="360" w:lineRule="auto"/>
        <w:ind w:firstLine="560"/>
        <w:jc w:val="both"/>
        <w:rPr>
          <w:rStyle w:val="Bodytext31Sylfaen9"/>
          <w:i w:val="0"/>
          <w:sz w:val="24"/>
          <w:szCs w:val="24"/>
        </w:rPr>
      </w:pPr>
      <w:r w:rsidRPr="00BC6A72">
        <w:rPr>
          <w:rStyle w:val="Bodytext285pt"/>
          <w:rFonts w:eastAsia="Tahoma"/>
          <w:i w:val="0"/>
          <w:spacing w:val="0"/>
          <w:sz w:val="24"/>
          <w:szCs w:val="24"/>
        </w:rPr>
        <w:t>X</w:t>
      </w:r>
      <w:r w:rsidRPr="00BC6A72">
        <w:rPr>
          <w:rStyle w:val="Bodytext285pt"/>
          <w:rFonts w:eastAsia="Tahoma"/>
          <w:i w:val="0"/>
          <w:spacing w:val="0"/>
          <w:sz w:val="24"/>
          <w:szCs w:val="24"/>
          <w:vertAlign w:val="subscript"/>
        </w:rPr>
        <w:t>90</w:t>
      </w:r>
      <w:r w:rsidRPr="00BC6A72">
        <w:rPr>
          <w:rStyle w:val="Bodytext31Sylfaen9"/>
          <w:i w:val="0"/>
          <w:sz w:val="24"/>
          <w:szCs w:val="24"/>
        </w:rPr>
        <w:t>՝ մասնիկների չափ, որը համապատասխանում է մաղի միջով անցնող մասնիկների գումարային բաշխման 90 %-ին,</w:t>
      </w:r>
    </w:p>
    <w:p w14:paraId="702BC337" w14:textId="77777777" w:rsidR="00B834A2" w:rsidRPr="00BC6A72" w:rsidRDefault="00B834A2" w:rsidP="00BC6A72">
      <w:pPr>
        <w:spacing w:after="160" w:line="360" w:lineRule="auto"/>
        <w:ind w:firstLine="560"/>
        <w:jc w:val="both"/>
        <w:rPr>
          <w:rStyle w:val="Bodytext31Sylfaen9"/>
          <w:i w:val="0"/>
          <w:sz w:val="24"/>
          <w:szCs w:val="24"/>
        </w:rPr>
      </w:pPr>
      <w:r w:rsidRPr="00BC6A72">
        <w:rPr>
          <w:rStyle w:val="Bodytext31Sylfaen9"/>
          <w:i w:val="0"/>
          <w:sz w:val="24"/>
          <w:szCs w:val="24"/>
        </w:rPr>
        <w:t>х</w:t>
      </w:r>
      <w:r w:rsidRPr="00BC6A72">
        <w:rPr>
          <w:rStyle w:val="Bodytext285pt"/>
          <w:rFonts w:eastAsia="Tahoma"/>
          <w:i w:val="0"/>
          <w:spacing w:val="0"/>
          <w:sz w:val="24"/>
          <w:szCs w:val="24"/>
          <w:vertAlign w:val="subscript"/>
        </w:rPr>
        <w:t>50</w:t>
      </w:r>
      <w:r w:rsidRPr="00BC6A72">
        <w:rPr>
          <w:rStyle w:val="Bodytext31Sylfaen9"/>
          <w:i w:val="0"/>
          <w:sz w:val="24"/>
          <w:szCs w:val="24"/>
        </w:rPr>
        <w:t>՝ մասնիկների միջին չափ (այսինքն՝ 50 % փոքր չափի մասնիկներ եւ 50 % մեծ չափի մասնիկներ),</w:t>
      </w:r>
    </w:p>
    <w:p w14:paraId="59ECFF74" w14:textId="77777777" w:rsidR="00B834A2" w:rsidRPr="00BC6A72" w:rsidRDefault="00B834A2" w:rsidP="00BC6A72">
      <w:pPr>
        <w:spacing w:after="160" w:line="360" w:lineRule="auto"/>
        <w:ind w:firstLine="560"/>
        <w:jc w:val="both"/>
        <w:rPr>
          <w:rStyle w:val="Bodytext31Sylfaen9"/>
          <w:i w:val="0"/>
          <w:sz w:val="24"/>
          <w:szCs w:val="24"/>
        </w:rPr>
      </w:pPr>
      <w:r w:rsidRPr="00BC6A72">
        <w:rPr>
          <w:rStyle w:val="Bodytext31Sylfaen9"/>
          <w:i w:val="0"/>
          <w:sz w:val="24"/>
          <w:szCs w:val="24"/>
        </w:rPr>
        <w:t>X</w:t>
      </w:r>
      <w:r w:rsidRPr="00BC6A72">
        <w:rPr>
          <w:rStyle w:val="Bodytext31Sylfaen9"/>
          <w:i w:val="0"/>
          <w:sz w:val="24"/>
          <w:szCs w:val="24"/>
          <w:vertAlign w:val="subscript"/>
        </w:rPr>
        <w:t>10</w:t>
      </w:r>
      <w:r w:rsidRPr="00BC6A72">
        <w:rPr>
          <w:rStyle w:val="Bodytext31Sylfaen9"/>
          <w:i w:val="0"/>
          <w:sz w:val="24"/>
          <w:szCs w:val="24"/>
        </w:rPr>
        <w:t>՝ մասնիկների չափ, որը համապատասխանում է մաղի միջով անցնող</w:t>
      </w:r>
      <w:r w:rsidRPr="00B834A2">
        <w:rPr>
          <w:rStyle w:val="Bodytext31Sylfaen9"/>
          <w:sz w:val="24"/>
          <w:szCs w:val="24"/>
        </w:rPr>
        <w:t xml:space="preserve"> </w:t>
      </w:r>
      <w:r w:rsidRPr="00BC6A72">
        <w:rPr>
          <w:rStyle w:val="Bodytext31Sylfaen9"/>
          <w:i w:val="0"/>
          <w:sz w:val="24"/>
          <w:szCs w:val="24"/>
        </w:rPr>
        <w:t>մասնիկների գումարային բաշխման</w:t>
      </w:r>
      <w:r w:rsidRPr="00BC6A72">
        <w:rPr>
          <w:rStyle w:val="Bodytext285pt"/>
          <w:rFonts w:eastAsia="Tahoma"/>
          <w:i w:val="0"/>
          <w:spacing w:val="0"/>
          <w:sz w:val="24"/>
          <w:szCs w:val="24"/>
        </w:rPr>
        <w:t>10</w:t>
      </w:r>
      <w:r w:rsidRPr="00BC6A72">
        <w:rPr>
          <w:rStyle w:val="Bodytext31Sylfaen9"/>
          <w:i w:val="0"/>
          <w:sz w:val="24"/>
          <w:szCs w:val="24"/>
        </w:rPr>
        <w:t xml:space="preserve"> %-ին:</w:t>
      </w:r>
    </w:p>
    <w:p w14:paraId="7410E353" w14:textId="77777777" w:rsidR="00B834A2" w:rsidRPr="00BC6A72" w:rsidRDefault="00B834A2" w:rsidP="00BC6A72">
      <w:pPr>
        <w:spacing w:after="160" w:line="360" w:lineRule="auto"/>
        <w:ind w:firstLine="560"/>
        <w:jc w:val="both"/>
        <w:rPr>
          <w:rStyle w:val="Bodytext31Sylfaen9"/>
          <w:i w:val="0"/>
          <w:sz w:val="24"/>
          <w:szCs w:val="24"/>
        </w:rPr>
      </w:pPr>
      <w:r w:rsidRPr="00BC6A72">
        <w:rPr>
          <w:rStyle w:val="Bodytext31Sylfaen9"/>
          <w:i w:val="0"/>
          <w:sz w:val="24"/>
          <w:szCs w:val="24"/>
        </w:rPr>
        <w:t xml:space="preserve">Տվյալ մեծությունները նշելու համար լայնորեն կիրառվում է նաեւ </w:t>
      </w:r>
      <w:r w:rsidRPr="00BC6A72">
        <w:rPr>
          <w:rStyle w:val="Bodytext31Sylfaen9"/>
          <w:sz w:val="24"/>
          <w:szCs w:val="24"/>
        </w:rPr>
        <w:t xml:space="preserve">d </w:t>
      </w:r>
      <w:r w:rsidRPr="00BC6A72">
        <w:rPr>
          <w:rStyle w:val="Bodytext31Sylfaen9"/>
          <w:i w:val="0"/>
          <w:sz w:val="24"/>
          <w:szCs w:val="24"/>
        </w:rPr>
        <w:t>պայմանանշանը:</w:t>
      </w:r>
    </w:p>
    <w:p w14:paraId="46EDCD5B" w14:textId="77777777" w:rsidR="00B834A2" w:rsidRPr="00B834A2" w:rsidRDefault="00B834A2" w:rsidP="00B834A2">
      <w:pPr>
        <w:spacing w:after="160" w:line="360" w:lineRule="auto"/>
        <w:jc w:val="both"/>
      </w:pPr>
    </w:p>
    <w:p w14:paraId="2BEBEC9C" w14:textId="77777777" w:rsidR="00B834A2" w:rsidRPr="00B834A2" w:rsidRDefault="00B834A2" w:rsidP="00FC2F75">
      <w:pPr>
        <w:spacing w:after="160" w:line="360" w:lineRule="auto"/>
        <w:ind w:firstLine="567"/>
        <w:jc w:val="both"/>
        <w:rPr>
          <w:rStyle w:val="Headerorfooter4Italic"/>
          <w:rFonts w:ascii="Sylfaen" w:eastAsia="Tahoma" w:hAnsi="Sylfaen" w:cs="Sylfaen"/>
          <w:sz w:val="24"/>
          <w:szCs w:val="24"/>
        </w:rPr>
      </w:pPr>
      <w:r w:rsidRPr="00B834A2">
        <w:t xml:space="preserve">Աղյուսակ 2.1.10.9-1 </w:t>
      </w:r>
      <w:r w:rsidR="009217DE">
        <w:t>-</w:t>
      </w:r>
      <w:r w:rsidRPr="00B834A2">
        <w:t xml:space="preserve"> </w:t>
      </w:r>
      <w:r w:rsidRPr="00B834A2">
        <w:rPr>
          <w:rStyle w:val="Headerorfooter4Italic"/>
          <w:rFonts w:ascii="Sylfaen" w:eastAsia="Tahoma" w:hAnsi="Sylfaen"/>
          <w:sz w:val="24"/>
          <w:szCs w:val="24"/>
        </w:rPr>
        <w:t>Բաշխման տեսակ</w:t>
      </w:r>
    </w:p>
    <w:tbl>
      <w:tblPr>
        <w:tblOverlap w:val="never"/>
        <w:tblW w:w="0" w:type="auto"/>
        <w:tblLayout w:type="fixed"/>
        <w:tblCellMar>
          <w:left w:w="10" w:type="dxa"/>
          <w:right w:w="10" w:type="dxa"/>
        </w:tblCellMar>
        <w:tblLook w:val="0000" w:firstRow="0" w:lastRow="0" w:firstColumn="0" w:lastColumn="0" w:noHBand="0" w:noVBand="0"/>
      </w:tblPr>
      <w:tblGrid>
        <w:gridCol w:w="1954"/>
        <w:gridCol w:w="2645"/>
      </w:tblGrid>
      <w:tr w:rsidR="00B834A2" w:rsidRPr="00BC6A72" w14:paraId="657FDFF3" w14:textId="77777777" w:rsidTr="00B834A2">
        <w:tc>
          <w:tcPr>
            <w:tcW w:w="1954" w:type="dxa"/>
            <w:tcBorders>
              <w:top w:val="single" w:sz="4" w:space="0" w:color="auto"/>
            </w:tcBorders>
            <w:shd w:val="clear" w:color="auto" w:fill="FFFFFF"/>
          </w:tcPr>
          <w:p w14:paraId="14E0DA44" w14:textId="77777777" w:rsidR="00B834A2" w:rsidRPr="00BC6A72" w:rsidRDefault="00B834A2" w:rsidP="00BC6A72">
            <w:pPr>
              <w:pStyle w:val="Bodytext20"/>
              <w:shd w:val="clear" w:color="auto" w:fill="auto"/>
              <w:spacing w:before="0" w:line="240" w:lineRule="auto"/>
              <w:rPr>
                <w:rFonts w:ascii="Sylfaen" w:hAnsi="Sylfaen" w:cs="Sylfaen"/>
                <w:sz w:val="20"/>
                <w:szCs w:val="20"/>
              </w:rPr>
            </w:pPr>
            <w:r w:rsidRPr="00BC6A72">
              <w:rPr>
                <w:rStyle w:val="Bodytext2Italic"/>
                <w:sz w:val="20"/>
                <w:szCs w:val="20"/>
              </w:rPr>
              <w:t>r</w:t>
            </w:r>
          </w:p>
        </w:tc>
        <w:tc>
          <w:tcPr>
            <w:tcW w:w="2645" w:type="dxa"/>
            <w:tcBorders>
              <w:top w:val="single" w:sz="4" w:space="0" w:color="auto"/>
            </w:tcBorders>
            <w:shd w:val="clear" w:color="auto" w:fill="FFFFFF"/>
          </w:tcPr>
          <w:p w14:paraId="11222205"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Բաշխման տեսակ</w:t>
            </w:r>
          </w:p>
        </w:tc>
      </w:tr>
      <w:tr w:rsidR="00B834A2" w:rsidRPr="00BC6A72" w14:paraId="1819D8B5" w14:textId="77777777" w:rsidTr="00B834A2">
        <w:tc>
          <w:tcPr>
            <w:tcW w:w="1954" w:type="dxa"/>
            <w:tcBorders>
              <w:top w:val="single" w:sz="4" w:space="0" w:color="auto"/>
            </w:tcBorders>
            <w:shd w:val="clear" w:color="auto" w:fill="FFFFFF"/>
          </w:tcPr>
          <w:p w14:paraId="75BF47B6"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0</w:t>
            </w:r>
          </w:p>
        </w:tc>
        <w:tc>
          <w:tcPr>
            <w:tcW w:w="2645" w:type="dxa"/>
            <w:tcBorders>
              <w:top w:val="single" w:sz="4" w:space="0" w:color="auto"/>
            </w:tcBorders>
            <w:shd w:val="clear" w:color="auto" w:fill="FFFFFF"/>
          </w:tcPr>
          <w:p w14:paraId="462F1A89"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Թիվը</w:t>
            </w:r>
          </w:p>
        </w:tc>
      </w:tr>
      <w:tr w:rsidR="00B834A2" w:rsidRPr="00BC6A72" w14:paraId="15D98B70" w14:textId="77777777" w:rsidTr="00B834A2">
        <w:tc>
          <w:tcPr>
            <w:tcW w:w="1954" w:type="dxa"/>
            <w:shd w:val="clear" w:color="auto" w:fill="FFFFFF"/>
          </w:tcPr>
          <w:p w14:paraId="329B508D"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1</w:t>
            </w:r>
          </w:p>
        </w:tc>
        <w:tc>
          <w:tcPr>
            <w:tcW w:w="2645" w:type="dxa"/>
            <w:shd w:val="clear" w:color="auto" w:fill="FFFFFF"/>
          </w:tcPr>
          <w:p w14:paraId="0B6DFEED"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Երկարությունը</w:t>
            </w:r>
          </w:p>
        </w:tc>
      </w:tr>
      <w:tr w:rsidR="00B834A2" w:rsidRPr="00BC6A72" w14:paraId="73D67CFB" w14:textId="77777777" w:rsidTr="00B834A2">
        <w:tc>
          <w:tcPr>
            <w:tcW w:w="1954" w:type="dxa"/>
            <w:shd w:val="clear" w:color="auto" w:fill="FFFFFF"/>
          </w:tcPr>
          <w:p w14:paraId="55C70A26"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2</w:t>
            </w:r>
          </w:p>
        </w:tc>
        <w:tc>
          <w:tcPr>
            <w:tcW w:w="2645" w:type="dxa"/>
            <w:shd w:val="clear" w:color="auto" w:fill="FFFFFF"/>
          </w:tcPr>
          <w:p w14:paraId="4FDD3210"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Մակերեսը</w:t>
            </w:r>
          </w:p>
        </w:tc>
      </w:tr>
      <w:tr w:rsidR="00B834A2" w:rsidRPr="00BC6A72" w14:paraId="5775982D" w14:textId="77777777" w:rsidTr="00B834A2">
        <w:tc>
          <w:tcPr>
            <w:tcW w:w="1954" w:type="dxa"/>
            <w:tcBorders>
              <w:bottom w:val="single" w:sz="4" w:space="0" w:color="auto"/>
            </w:tcBorders>
            <w:shd w:val="clear" w:color="auto" w:fill="FFFFFF"/>
          </w:tcPr>
          <w:p w14:paraId="06859BFA"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3</w:t>
            </w:r>
          </w:p>
        </w:tc>
        <w:tc>
          <w:tcPr>
            <w:tcW w:w="2645" w:type="dxa"/>
            <w:tcBorders>
              <w:bottom w:val="single" w:sz="4" w:space="0" w:color="auto"/>
            </w:tcBorders>
            <w:shd w:val="clear" w:color="auto" w:fill="FFFFFF"/>
          </w:tcPr>
          <w:p w14:paraId="4EBD83C9"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Ծավալը</w:t>
            </w:r>
          </w:p>
        </w:tc>
      </w:tr>
    </w:tbl>
    <w:p w14:paraId="555BCE3D" w14:textId="77777777" w:rsidR="00B834A2" w:rsidRPr="00B834A2" w:rsidRDefault="00B834A2" w:rsidP="00B834A2">
      <w:pPr>
        <w:spacing w:after="160" w:line="360" w:lineRule="auto"/>
        <w:jc w:val="both"/>
      </w:pPr>
    </w:p>
    <w:p w14:paraId="3E03D679" w14:textId="77777777" w:rsidR="004A7CC9" w:rsidRDefault="004A7CC9">
      <w:pPr>
        <w:rPr>
          <w:rStyle w:val="Bodytext31Sylfaen9"/>
          <w:i w:val="0"/>
          <w:sz w:val="24"/>
          <w:szCs w:val="24"/>
        </w:rPr>
      </w:pPr>
      <w:r>
        <w:rPr>
          <w:rStyle w:val="Bodytext31Sylfaen9"/>
          <w:i w:val="0"/>
          <w:sz w:val="24"/>
          <w:szCs w:val="24"/>
        </w:rPr>
        <w:br w:type="page"/>
      </w:r>
    </w:p>
    <w:p w14:paraId="3447B168" w14:textId="77777777" w:rsidR="00B834A2" w:rsidRPr="00B834A2" w:rsidRDefault="00B834A2" w:rsidP="00FC2F75">
      <w:pPr>
        <w:pStyle w:val="Bodytext20"/>
        <w:shd w:val="clear" w:color="auto" w:fill="auto"/>
        <w:spacing w:before="0" w:after="160" w:line="360" w:lineRule="auto"/>
        <w:ind w:firstLine="567"/>
        <w:jc w:val="both"/>
        <w:rPr>
          <w:rStyle w:val="Bodytext2Italic"/>
          <w:sz w:val="24"/>
          <w:szCs w:val="24"/>
        </w:rPr>
      </w:pPr>
      <w:r w:rsidRPr="00BC6A72">
        <w:rPr>
          <w:rStyle w:val="Bodytext31Sylfaen9"/>
          <w:i w:val="0"/>
          <w:sz w:val="24"/>
          <w:szCs w:val="24"/>
        </w:rPr>
        <w:lastRenderedPageBreak/>
        <w:t>Աղյուսակ 2.1.10.9-2</w:t>
      </w:r>
      <w:r w:rsidR="00BC6A72">
        <w:rPr>
          <w:rStyle w:val="Bodytext31Sylfaen9"/>
          <w:i w:val="0"/>
          <w:sz w:val="24"/>
          <w:szCs w:val="24"/>
        </w:rPr>
        <w:t xml:space="preserve"> </w:t>
      </w:r>
      <w:r w:rsidR="009217DE" w:rsidRPr="00BC6A72">
        <w:rPr>
          <w:rStyle w:val="Bodytext31Sylfaen9"/>
          <w:i w:val="0"/>
          <w:sz w:val="24"/>
          <w:szCs w:val="24"/>
        </w:rPr>
        <w:t>-</w:t>
      </w:r>
      <w:r w:rsidRPr="00B834A2">
        <w:rPr>
          <w:rStyle w:val="Bodytext2Italic"/>
          <w:sz w:val="24"/>
          <w:szCs w:val="24"/>
        </w:rPr>
        <w:t xml:space="preserve"> Փոշիների դասակարգումն ըստ դրանց</w:t>
      </w:r>
      <w:r w:rsidRPr="00B834A2">
        <w:rPr>
          <w:rStyle w:val="Picturecaption13"/>
          <w:rFonts w:ascii="Sylfaen" w:hAnsi="Sylfaen"/>
          <w:sz w:val="24"/>
          <w:szCs w:val="24"/>
        </w:rPr>
        <w:t xml:space="preserve"> </w:t>
      </w:r>
      <w:r w:rsidRPr="00B834A2">
        <w:rPr>
          <w:rStyle w:val="Bodytext2Italic"/>
          <w:sz w:val="24"/>
          <w:szCs w:val="24"/>
        </w:rPr>
        <w:t>մանրացվածության</w:t>
      </w:r>
    </w:p>
    <w:tbl>
      <w:tblPr>
        <w:tblOverlap w:val="never"/>
        <w:tblW w:w="0" w:type="auto"/>
        <w:tblInd w:w="-416" w:type="dxa"/>
        <w:tblLayout w:type="fixed"/>
        <w:tblCellMar>
          <w:left w:w="10" w:type="dxa"/>
          <w:right w:w="10" w:type="dxa"/>
        </w:tblCellMar>
        <w:tblLook w:val="0000" w:firstRow="0" w:lastRow="0" w:firstColumn="0" w:lastColumn="0" w:noHBand="0" w:noVBand="0"/>
      </w:tblPr>
      <w:tblGrid>
        <w:gridCol w:w="2553"/>
        <w:gridCol w:w="1701"/>
        <w:gridCol w:w="3685"/>
      </w:tblGrid>
      <w:tr w:rsidR="00B834A2" w:rsidRPr="00BC6A72" w14:paraId="03C5D8EC" w14:textId="77777777" w:rsidTr="00B834A2">
        <w:tc>
          <w:tcPr>
            <w:tcW w:w="2553" w:type="dxa"/>
            <w:tcBorders>
              <w:top w:val="single" w:sz="4" w:space="0" w:color="auto"/>
              <w:bottom w:val="nil"/>
            </w:tcBorders>
            <w:shd w:val="clear" w:color="auto" w:fill="FFFFFF"/>
          </w:tcPr>
          <w:p w14:paraId="3D6DA744" w14:textId="77777777" w:rsidR="00B834A2" w:rsidRPr="00BC6A72" w:rsidRDefault="00B834A2" w:rsidP="00BC6A72">
            <w:pPr>
              <w:pStyle w:val="Bodytext20"/>
              <w:shd w:val="clear" w:color="auto" w:fill="auto"/>
              <w:spacing w:before="0" w:line="240" w:lineRule="auto"/>
              <w:rPr>
                <w:rFonts w:ascii="Sylfaen" w:hAnsi="Sylfaen" w:cs="Sylfaen"/>
                <w:sz w:val="20"/>
                <w:szCs w:val="20"/>
              </w:rPr>
            </w:pPr>
            <w:r w:rsidRPr="00BC6A72">
              <w:rPr>
                <w:rFonts w:ascii="Sylfaen" w:hAnsi="Sylfaen"/>
                <w:sz w:val="20"/>
                <w:szCs w:val="20"/>
              </w:rPr>
              <w:t>Փոշիների նկարագրման համար օգտագործվող եզրույթը</w:t>
            </w:r>
          </w:p>
        </w:tc>
        <w:tc>
          <w:tcPr>
            <w:tcW w:w="1701" w:type="dxa"/>
            <w:tcBorders>
              <w:top w:val="single" w:sz="4" w:space="0" w:color="auto"/>
            </w:tcBorders>
            <w:shd w:val="clear" w:color="auto" w:fill="FFFFFF"/>
            <w:vAlign w:val="center"/>
          </w:tcPr>
          <w:p w14:paraId="32B6B64B" w14:textId="77777777" w:rsidR="00B834A2" w:rsidRPr="00BC6A72" w:rsidRDefault="00B834A2" w:rsidP="00BC6A72">
            <w:pPr>
              <w:pStyle w:val="Bodytext20"/>
              <w:shd w:val="clear" w:color="auto" w:fill="auto"/>
              <w:spacing w:before="0" w:line="240" w:lineRule="auto"/>
              <w:rPr>
                <w:rFonts w:ascii="Sylfaen" w:hAnsi="Sylfaen" w:cs="Sylfaen"/>
                <w:sz w:val="20"/>
                <w:szCs w:val="20"/>
              </w:rPr>
            </w:pPr>
            <w:r w:rsidRPr="00BC6A72">
              <w:rPr>
                <w:rStyle w:val="Bodytext27pt"/>
                <w:sz w:val="20"/>
                <w:szCs w:val="20"/>
              </w:rPr>
              <w:t>Х</w:t>
            </w:r>
            <w:r w:rsidRPr="00BC6A72">
              <w:rPr>
                <w:rStyle w:val="Bodytext27pt"/>
                <w:sz w:val="20"/>
                <w:szCs w:val="20"/>
                <w:vertAlign w:val="subscript"/>
              </w:rPr>
              <w:t>50</w:t>
            </w:r>
            <w:r w:rsidRPr="00BC6A72">
              <w:rPr>
                <w:rStyle w:val="Bodytext27pt"/>
                <w:sz w:val="20"/>
                <w:szCs w:val="20"/>
              </w:rPr>
              <w:t xml:space="preserve"> </w:t>
            </w:r>
            <w:r w:rsidRPr="00BC6A72">
              <w:rPr>
                <w:rStyle w:val="Bodytext31Sylfaen9"/>
                <w:sz w:val="20"/>
                <w:szCs w:val="20"/>
              </w:rPr>
              <w:t>(մկմ)</w:t>
            </w:r>
          </w:p>
        </w:tc>
        <w:tc>
          <w:tcPr>
            <w:tcW w:w="3685" w:type="dxa"/>
            <w:tcBorders>
              <w:top w:val="single" w:sz="4" w:space="0" w:color="auto"/>
            </w:tcBorders>
            <w:shd w:val="clear" w:color="auto" w:fill="FFFFFF"/>
          </w:tcPr>
          <w:p w14:paraId="267C25E0" w14:textId="77777777" w:rsidR="00B834A2" w:rsidRPr="00BC6A72" w:rsidRDefault="00B834A2" w:rsidP="00BC6A72">
            <w:pPr>
              <w:pStyle w:val="Bodytext20"/>
              <w:shd w:val="clear" w:color="auto" w:fill="auto"/>
              <w:spacing w:before="0" w:line="240" w:lineRule="auto"/>
              <w:rPr>
                <w:rFonts w:ascii="Sylfaen" w:hAnsi="Sylfaen" w:cs="Sylfaen"/>
                <w:sz w:val="20"/>
                <w:szCs w:val="20"/>
              </w:rPr>
            </w:pPr>
            <w:r w:rsidRPr="00BC6A72">
              <w:rPr>
                <w:rStyle w:val="Bodytext31Sylfaen9"/>
                <w:sz w:val="20"/>
                <w:szCs w:val="20"/>
              </w:rPr>
              <w:t>Գումարային բաշխում՝ ծավալի հիման վրա, Q</w:t>
            </w:r>
            <w:r w:rsidRPr="00BC6A72">
              <w:rPr>
                <w:rStyle w:val="Bodytext27pt"/>
                <w:sz w:val="20"/>
                <w:szCs w:val="20"/>
              </w:rPr>
              <w:t>з(х)</w:t>
            </w:r>
          </w:p>
        </w:tc>
      </w:tr>
      <w:tr w:rsidR="00B834A2" w:rsidRPr="00BC6A72" w14:paraId="7732345C" w14:textId="77777777" w:rsidTr="00B834A2">
        <w:tc>
          <w:tcPr>
            <w:tcW w:w="2553" w:type="dxa"/>
            <w:tcBorders>
              <w:top w:val="single" w:sz="4" w:space="0" w:color="auto"/>
            </w:tcBorders>
            <w:shd w:val="clear" w:color="auto" w:fill="FFFFFF"/>
          </w:tcPr>
          <w:p w14:paraId="581F8157" w14:textId="77777777" w:rsidR="00B834A2" w:rsidRPr="00BC6A72" w:rsidRDefault="00B834A2" w:rsidP="00BC6A72">
            <w:pPr>
              <w:pStyle w:val="Bodytext20"/>
              <w:shd w:val="clear" w:color="auto" w:fill="auto"/>
              <w:spacing w:before="0" w:line="240" w:lineRule="auto"/>
              <w:jc w:val="left"/>
              <w:rPr>
                <w:rFonts w:ascii="Sylfaen" w:hAnsi="Sylfaen" w:cs="Sylfaen"/>
                <w:i/>
                <w:sz w:val="20"/>
                <w:szCs w:val="20"/>
              </w:rPr>
            </w:pPr>
            <w:r w:rsidRPr="00BC6A72">
              <w:rPr>
                <w:rStyle w:val="Bodytext31Sylfaen9"/>
                <w:i w:val="0"/>
                <w:sz w:val="20"/>
                <w:szCs w:val="20"/>
              </w:rPr>
              <w:t>Խոշոր</w:t>
            </w:r>
          </w:p>
        </w:tc>
        <w:tc>
          <w:tcPr>
            <w:tcW w:w="1701" w:type="dxa"/>
            <w:tcBorders>
              <w:top w:val="single" w:sz="4" w:space="0" w:color="auto"/>
            </w:tcBorders>
            <w:shd w:val="clear" w:color="auto" w:fill="FFFFFF"/>
          </w:tcPr>
          <w:p w14:paraId="4BB1DBDE" w14:textId="77777777" w:rsidR="00B834A2" w:rsidRPr="00BC6A72" w:rsidRDefault="00B834A2" w:rsidP="00BC6A72">
            <w:pPr>
              <w:pStyle w:val="Bodytext20"/>
              <w:shd w:val="clear" w:color="auto" w:fill="auto"/>
              <w:spacing w:before="0" w:line="240" w:lineRule="auto"/>
              <w:ind w:left="-8"/>
              <w:rPr>
                <w:rFonts w:ascii="Sylfaen" w:hAnsi="Sylfaen" w:cs="Sylfaen"/>
                <w:i/>
                <w:sz w:val="20"/>
                <w:szCs w:val="20"/>
              </w:rPr>
            </w:pPr>
            <w:r w:rsidRPr="00BC6A72">
              <w:rPr>
                <w:rStyle w:val="Bodytext31Sylfaen9"/>
                <w:i w:val="0"/>
                <w:sz w:val="20"/>
                <w:szCs w:val="20"/>
              </w:rPr>
              <w:t>&gt;355</w:t>
            </w:r>
          </w:p>
        </w:tc>
        <w:tc>
          <w:tcPr>
            <w:tcW w:w="3685" w:type="dxa"/>
            <w:tcBorders>
              <w:top w:val="single" w:sz="4" w:space="0" w:color="auto"/>
            </w:tcBorders>
            <w:shd w:val="clear" w:color="auto" w:fill="FFFFFF"/>
          </w:tcPr>
          <w:p w14:paraId="014CB7C2"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Q</w:t>
            </w:r>
            <w:r w:rsidRPr="00BC6A72">
              <w:rPr>
                <w:rStyle w:val="Bodytext31Sylfaen9"/>
                <w:i w:val="0"/>
                <w:sz w:val="20"/>
                <w:szCs w:val="20"/>
                <w:vertAlign w:val="subscript"/>
              </w:rPr>
              <w:t>3</w:t>
            </w:r>
            <w:r w:rsidRPr="00BC6A72">
              <w:rPr>
                <w:rStyle w:val="Bodytext31Sylfaen9"/>
                <w:i w:val="0"/>
                <w:sz w:val="20"/>
                <w:szCs w:val="20"/>
              </w:rPr>
              <w:t>(355) &lt;0,50</w:t>
            </w:r>
          </w:p>
        </w:tc>
      </w:tr>
      <w:tr w:rsidR="00B834A2" w:rsidRPr="00BC6A72" w14:paraId="1DCBDF13" w14:textId="77777777" w:rsidTr="00B834A2">
        <w:tc>
          <w:tcPr>
            <w:tcW w:w="2553" w:type="dxa"/>
            <w:shd w:val="clear" w:color="auto" w:fill="FFFFFF"/>
          </w:tcPr>
          <w:p w14:paraId="5C0FB80A" w14:textId="77777777" w:rsidR="00B834A2" w:rsidRPr="00BC6A72" w:rsidRDefault="00B834A2" w:rsidP="00BC6A72">
            <w:pPr>
              <w:pStyle w:val="Bodytext20"/>
              <w:shd w:val="clear" w:color="auto" w:fill="auto"/>
              <w:spacing w:before="0" w:line="240" w:lineRule="auto"/>
              <w:jc w:val="left"/>
              <w:rPr>
                <w:rFonts w:ascii="Sylfaen" w:hAnsi="Sylfaen" w:cs="Sylfaen"/>
                <w:i/>
                <w:sz w:val="20"/>
                <w:szCs w:val="20"/>
              </w:rPr>
            </w:pPr>
            <w:r w:rsidRPr="00BC6A72">
              <w:rPr>
                <w:rStyle w:val="Bodytext31Sylfaen9"/>
                <w:i w:val="0"/>
                <w:sz w:val="20"/>
                <w:szCs w:val="20"/>
              </w:rPr>
              <w:t>Միջին խոշորության</w:t>
            </w:r>
          </w:p>
        </w:tc>
        <w:tc>
          <w:tcPr>
            <w:tcW w:w="1701" w:type="dxa"/>
            <w:shd w:val="clear" w:color="auto" w:fill="FFFFFF"/>
          </w:tcPr>
          <w:p w14:paraId="62143E5C" w14:textId="77777777" w:rsidR="00B834A2" w:rsidRPr="00BC6A72" w:rsidRDefault="00B834A2" w:rsidP="00BC6A72">
            <w:pPr>
              <w:pStyle w:val="Bodytext20"/>
              <w:shd w:val="clear" w:color="auto" w:fill="auto"/>
              <w:spacing w:before="0" w:line="240" w:lineRule="auto"/>
              <w:ind w:left="-8"/>
              <w:rPr>
                <w:rFonts w:ascii="Sylfaen" w:hAnsi="Sylfaen" w:cs="Sylfaen"/>
                <w:i/>
                <w:sz w:val="20"/>
                <w:szCs w:val="20"/>
              </w:rPr>
            </w:pPr>
            <w:r w:rsidRPr="00BC6A72">
              <w:rPr>
                <w:rStyle w:val="Bodytext31Sylfaen9"/>
                <w:i w:val="0"/>
                <w:sz w:val="20"/>
                <w:szCs w:val="20"/>
              </w:rPr>
              <w:t xml:space="preserve">180 </w:t>
            </w:r>
            <w:r w:rsidR="009217DE" w:rsidRPr="00BC6A72">
              <w:rPr>
                <w:rStyle w:val="Bodytext31Sylfaen9"/>
                <w:i w:val="0"/>
                <w:sz w:val="20"/>
                <w:szCs w:val="20"/>
              </w:rPr>
              <w:t>-</w:t>
            </w:r>
            <w:r w:rsidRPr="00BC6A72">
              <w:rPr>
                <w:rStyle w:val="Bodytext31Sylfaen9"/>
                <w:i w:val="0"/>
                <w:sz w:val="20"/>
                <w:szCs w:val="20"/>
              </w:rPr>
              <w:t xml:space="preserve"> 355</w:t>
            </w:r>
          </w:p>
        </w:tc>
        <w:tc>
          <w:tcPr>
            <w:tcW w:w="3685" w:type="dxa"/>
            <w:shd w:val="clear" w:color="auto" w:fill="FFFFFF"/>
          </w:tcPr>
          <w:p w14:paraId="3DA92A63"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Q</w:t>
            </w:r>
            <w:r w:rsidRPr="00BC6A72">
              <w:rPr>
                <w:rStyle w:val="Bodytext31Sylfaen9"/>
                <w:i w:val="0"/>
                <w:sz w:val="20"/>
                <w:szCs w:val="20"/>
                <w:vertAlign w:val="subscript"/>
              </w:rPr>
              <w:t>3</w:t>
            </w:r>
            <w:r w:rsidRPr="00BC6A72">
              <w:rPr>
                <w:rStyle w:val="Bodytext31Sylfaen9"/>
                <w:i w:val="0"/>
                <w:sz w:val="20"/>
                <w:szCs w:val="20"/>
              </w:rPr>
              <w:t xml:space="preserve"> (180) &lt;0,50 եւ Q</w:t>
            </w:r>
            <w:r w:rsidRPr="00BC6A72">
              <w:rPr>
                <w:rStyle w:val="Bodytext31Sylfaen9"/>
                <w:i w:val="0"/>
                <w:sz w:val="20"/>
                <w:szCs w:val="20"/>
                <w:vertAlign w:val="subscript"/>
              </w:rPr>
              <w:t>3</w:t>
            </w:r>
            <w:r w:rsidRPr="00BC6A72">
              <w:rPr>
                <w:rStyle w:val="Bodytext31Sylfaen9"/>
                <w:i w:val="0"/>
                <w:sz w:val="20"/>
                <w:szCs w:val="20"/>
              </w:rPr>
              <w:t xml:space="preserve"> (355) ≥0,50</w:t>
            </w:r>
          </w:p>
        </w:tc>
      </w:tr>
      <w:tr w:rsidR="00B834A2" w:rsidRPr="00BC6A72" w14:paraId="79CC47A0" w14:textId="77777777" w:rsidTr="00B834A2">
        <w:tc>
          <w:tcPr>
            <w:tcW w:w="2553" w:type="dxa"/>
            <w:shd w:val="clear" w:color="auto" w:fill="FFFFFF"/>
          </w:tcPr>
          <w:p w14:paraId="31399DD7" w14:textId="77777777" w:rsidR="00B834A2" w:rsidRPr="00BC6A72" w:rsidRDefault="00B834A2" w:rsidP="00BC6A72">
            <w:pPr>
              <w:pStyle w:val="Bodytext20"/>
              <w:shd w:val="clear" w:color="auto" w:fill="auto"/>
              <w:spacing w:before="0" w:line="240" w:lineRule="auto"/>
              <w:jc w:val="left"/>
              <w:rPr>
                <w:rFonts w:ascii="Sylfaen" w:hAnsi="Sylfaen" w:cs="Sylfaen"/>
                <w:i/>
                <w:sz w:val="20"/>
                <w:szCs w:val="20"/>
              </w:rPr>
            </w:pPr>
            <w:r w:rsidRPr="00BC6A72">
              <w:rPr>
                <w:rStyle w:val="Bodytext31Sylfaen9"/>
                <w:i w:val="0"/>
                <w:sz w:val="20"/>
                <w:szCs w:val="20"/>
              </w:rPr>
              <w:t>Մանր</w:t>
            </w:r>
          </w:p>
        </w:tc>
        <w:tc>
          <w:tcPr>
            <w:tcW w:w="1701" w:type="dxa"/>
            <w:shd w:val="clear" w:color="auto" w:fill="FFFFFF"/>
          </w:tcPr>
          <w:p w14:paraId="0A6914F4" w14:textId="77777777" w:rsidR="00B834A2" w:rsidRPr="00BC6A72" w:rsidRDefault="00B834A2" w:rsidP="00BC6A72">
            <w:pPr>
              <w:pStyle w:val="Bodytext20"/>
              <w:shd w:val="clear" w:color="auto" w:fill="auto"/>
              <w:spacing w:before="0" w:line="240" w:lineRule="auto"/>
              <w:ind w:left="-8"/>
              <w:rPr>
                <w:rFonts w:ascii="Sylfaen" w:hAnsi="Sylfaen" w:cs="Sylfaen"/>
                <w:i/>
                <w:sz w:val="20"/>
                <w:szCs w:val="20"/>
              </w:rPr>
            </w:pPr>
            <w:r w:rsidRPr="00BC6A72">
              <w:rPr>
                <w:rStyle w:val="Bodytext31Sylfaen9"/>
                <w:i w:val="0"/>
                <w:sz w:val="20"/>
                <w:szCs w:val="20"/>
              </w:rPr>
              <w:t xml:space="preserve">125 </w:t>
            </w:r>
            <w:r w:rsidR="009217DE" w:rsidRPr="00BC6A72">
              <w:rPr>
                <w:rStyle w:val="Bodytext31Sylfaen9"/>
                <w:i w:val="0"/>
                <w:sz w:val="20"/>
                <w:szCs w:val="20"/>
              </w:rPr>
              <w:t>-</w:t>
            </w:r>
            <w:r w:rsidRPr="00BC6A72">
              <w:rPr>
                <w:rStyle w:val="Bodytext31Sylfaen9"/>
                <w:i w:val="0"/>
                <w:sz w:val="20"/>
                <w:szCs w:val="20"/>
              </w:rPr>
              <w:t xml:space="preserve"> 180</w:t>
            </w:r>
          </w:p>
        </w:tc>
        <w:tc>
          <w:tcPr>
            <w:tcW w:w="3685" w:type="dxa"/>
            <w:shd w:val="clear" w:color="auto" w:fill="FFFFFF"/>
          </w:tcPr>
          <w:p w14:paraId="7C5591EE" w14:textId="77777777" w:rsidR="00B834A2" w:rsidRPr="00BC6A72" w:rsidRDefault="00B834A2" w:rsidP="00BC6A72">
            <w:pPr>
              <w:pStyle w:val="Bodytext20"/>
              <w:shd w:val="clear" w:color="auto" w:fill="auto"/>
              <w:spacing w:before="0" w:line="240" w:lineRule="auto"/>
              <w:rPr>
                <w:rFonts w:ascii="Sylfaen" w:hAnsi="Sylfaen" w:cs="Sylfaen"/>
                <w:i/>
                <w:sz w:val="20"/>
                <w:szCs w:val="20"/>
              </w:rPr>
            </w:pPr>
            <w:r w:rsidRPr="00BC6A72">
              <w:rPr>
                <w:rStyle w:val="Bodytext31Sylfaen9"/>
                <w:i w:val="0"/>
                <w:sz w:val="20"/>
                <w:szCs w:val="20"/>
              </w:rPr>
              <w:t>Q</w:t>
            </w:r>
            <w:r w:rsidRPr="00BC6A72">
              <w:rPr>
                <w:rStyle w:val="Bodytext31Sylfaen9"/>
                <w:i w:val="0"/>
                <w:sz w:val="20"/>
                <w:szCs w:val="20"/>
                <w:vertAlign w:val="subscript"/>
              </w:rPr>
              <w:t>3</w:t>
            </w:r>
            <w:r w:rsidRPr="00BC6A72">
              <w:rPr>
                <w:rStyle w:val="Bodytext31Sylfaen9"/>
                <w:i w:val="0"/>
                <w:sz w:val="20"/>
                <w:szCs w:val="20"/>
              </w:rPr>
              <w:t xml:space="preserve"> (125) &lt;0,50 եւ Q</w:t>
            </w:r>
            <w:r w:rsidRPr="00BC6A72">
              <w:rPr>
                <w:rStyle w:val="Bodytext31Sylfaen9"/>
                <w:i w:val="0"/>
                <w:sz w:val="20"/>
                <w:szCs w:val="20"/>
                <w:vertAlign w:val="subscript"/>
              </w:rPr>
              <w:t>3</w:t>
            </w:r>
            <w:r w:rsidRPr="00BC6A72">
              <w:rPr>
                <w:rStyle w:val="Bodytext31Sylfaen9"/>
                <w:i w:val="0"/>
                <w:sz w:val="20"/>
                <w:szCs w:val="20"/>
              </w:rPr>
              <w:t xml:space="preserve"> (180) </w:t>
            </w:r>
            <w:r w:rsidRPr="00BC6A72">
              <w:rPr>
                <w:rStyle w:val="Bodytext295pt"/>
                <w:i w:val="0"/>
                <w:sz w:val="20"/>
                <w:szCs w:val="20"/>
              </w:rPr>
              <w:t xml:space="preserve">≥ </w:t>
            </w:r>
            <w:r w:rsidRPr="00BC6A72">
              <w:rPr>
                <w:rStyle w:val="Bodytext31Sylfaen9"/>
                <w:i w:val="0"/>
                <w:sz w:val="20"/>
                <w:szCs w:val="20"/>
              </w:rPr>
              <w:t>0,50</w:t>
            </w:r>
          </w:p>
        </w:tc>
      </w:tr>
      <w:tr w:rsidR="00B834A2" w:rsidRPr="00BC6A72" w14:paraId="68CBF79D" w14:textId="77777777" w:rsidTr="00B834A2">
        <w:tc>
          <w:tcPr>
            <w:tcW w:w="2553" w:type="dxa"/>
            <w:tcBorders>
              <w:bottom w:val="single" w:sz="4" w:space="0" w:color="auto"/>
            </w:tcBorders>
            <w:shd w:val="clear" w:color="auto" w:fill="FFFFFF"/>
          </w:tcPr>
          <w:p w14:paraId="2CE4C22F" w14:textId="77777777" w:rsidR="00B834A2" w:rsidRPr="00BC6A72" w:rsidRDefault="00B834A2" w:rsidP="00BC6A72">
            <w:pPr>
              <w:pStyle w:val="Bodytext20"/>
              <w:shd w:val="clear" w:color="auto" w:fill="auto"/>
              <w:spacing w:before="0" w:line="240" w:lineRule="auto"/>
              <w:jc w:val="left"/>
              <w:rPr>
                <w:rFonts w:ascii="Sylfaen" w:eastAsia="Sylfaen" w:hAnsi="Sylfaen" w:cs="Sylfaen"/>
                <w:i/>
                <w:sz w:val="20"/>
                <w:szCs w:val="20"/>
                <w:shd w:val="clear" w:color="auto" w:fill="FFFFFF"/>
              </w:rPr>
            </w:pPr>
            <w:r w:rsidRPr="00BC6A72">
              <w:rPr>
                <w:rStyle w:val="Bodytext31Sylfaen9"/>
                <w:i w:val="0"/>
                <w:sz w:val="20"/>
                <w:szCs w:val="20"/>
              </w:rPr>
              <w:t>Շատ մանր</w:t>
            </w:r>
          </w:p>
        </w:tc>
        <w:tc>
          <w:tcPr>
            <w:tcW w:w="1701" w:type="dxa"/>
            <w:tcBorders>
              <w:bottom w:val="single" w:sz="4" w:space="0" w:color="auto"/>
            </w:tcBorders>
            <w:shd w:val="clear" w:color="auto" w:fill="FFFFFF"/>
          </w:tcPr>
          <w:p w14:paraId="5EFA3EB1" w14:textId="77777777" w:rsidR="00B834A2" w:rsidRPr="00BC6A72" w:rsidRDefault="00B834A2" w:rsidP="00BC6A72">
            <w:pPr>
              <w:pStyle w:val="Bodytext20"/>
              <w:shd w:val="clear" w:color="auto" w:fill="auto"/>
              <w:spacing w:before="0" w:line="240" w:lineRule="auto"/>
              <w:ind w:left="-8"/>
              <w:rPr>
                <w:rFonts w:ascii="Sylfaen" w:eastAsia="Sylfaen" w:hAnsi="Sylfaen" w:cs="Sylfaen"/>
                <w:i/>
                <w:sz w:val="20"/>
                <w:szCs w:val="20"/>
                <w:shd w:val="clear" w:color="auto" w:fill="FFFFFF"/>
              </w:rPr>
            </w:pPr>
            <w:r w:rsidRPr="00BC6A72">
              <w:rPr>
                <w:rStyle w:val="Bodytext31Sylfaen9"/>
                <w:i w:val="0"/>
                <w:sz w:val="20"/>
                <w:szCs w:val="20"/>
              </w:rPr>
              <w:t>≤ 125</w:t>
            </w:r>
          </w:p>
        </w:tc>
        <w:tc>
          <w:tcPr>
            <w:tcW w:w="3685" w:type="dxa"/>
            <w:tcBorders>
              <w:bottom w:val="single" w:sz="4" w:space="0" w:color="auto"/>
            </w:tcBorders>
            <w:shd w:val="clear" w:color="auto" w:fill="FFFFFF"/>
          </w:tcPr>
          <w:p w14:paraId="4144004A" w14:textId="77777777" w:rsidR="00B834A2" w:rsidRPr="00BC6A72" w:rsidRDefault="00B834A2" w:rsidP="00BC6A72">
            <w:pPr>
              <w:pStyle w:val="Bodytext20"/>
              <w:shd w:val="clear" w:color="auto" w:fill="auto"/>
              <w:spacing w:before="0" w:line="240" w:lineRule="auto"/>
              <w:rPr>
                <w:rFonts w:ascii="Sylfaen" w:eastAsia="Sylfaen" w:hAnsi="Sylfaen" w:cs="Sylfaen"/>
                <w:i/>
                <w:sz w:val="20"/>
                <w:szCs w:val="20"/>
                <w:shd w:val="clear" w:color="auto" w:fill="FFFFFF"/>
              </w:rPr>
            </w:pPr>
            <w:r w:rsidRPr="00BC6A72">
              <w:rPr>
                <w:rStyle w:val="Bodytext31Sylfaen9"/>
                <w:i w:val="0"/>
                <w:sz w:val="20"/>
                <w:szCs w:val="20"/>
              </w:rPr>
              <w:t>Q</w:t>
            </w:r>
            <w:r w:rsidRPr="00BC6A72">
              <w:rPr>
                <w:rStyle w:val="Bodytext31Sylfaen9"/>
                <w:i w:val="0"/>
                <w:sz w:val="20"/>
                <w:szCs w:val="20"/>
                <w:vertAlign w:val="subscript"/>
              </w:rPr>
              <w:t>3</w:t>
            </w:r>
            <w:r w:rsidRPr="00BC6A72">
              <w:rPr>
                <w:rStyle w:val="Bodytext31Sylfaen9"/>
                <w:i w:val="0"/>
                <w:sz w:val="20"/>
                <w:szCs w:val="20"/>
              </w:rPr>
              <w:t xml:space="preserve"> (125) </w:t>
            </w:r>
            <w:r w:rsidRPr="00BC6A72">
              <w:rPr>
                <w:rStyle w:val="Bodytext295pt"/>
                <w:i w:val="0"/>
                <w:sz w:val="20"/>
                <w:szCs w:val="20"/>
              </w:rPr>
              <w:t xml:space="preserve">≥ </w:t>
            </w:r>
            <w:r w:rsidRPr="00BC6A72">
              <w:rPr>
                <w:rStyle w:val="Bodytext31Sylfaen9"/>
                <w:i w:val="0"/>
                <w:sz w:val="20"/>
                <w:szCs w:val="20"/>
              </w:rPr>
              <w:t>0,50</w:t>
            </w:r>
          </w:p>
        </w:tc>
      </w:tr>
    </w:tbl>
    <w:p w14:paraId="73E72EFA" w14:textId="77777777" w:rsidR="00B834A2" w:rsidRPr="00B834A2" w:rsidRDefault="00B834A2" w:rsidP="00B834A2">
      <w:pPr>
        <w:pStyle w:val="Bodytext20"/>
        <w:shd w:val="clear" w:color="auto" w:fill="auto"/>
        <w:spacing w:before="0" w:after="160" w:line="360" w:lineRule="auto"/>
        <w:jc w:val="left"/>
        <w:rPr>
          <w:rFonts w:ascii="Sylfaen" w:hAnsi="Sylfaen"/>
          <w:sz w:val="24"/>
          <w:szCs w:val="24"/>
        </w:rPr>
      </w:pPr>
    </w:p>
    <w:p w14:paraId="07023113" w14:textId="77777777" w:rsidR="00B834A2" w:rsidRPr="00B834A2" w:rsidRDefault="00B834A2" w:rsidP="00BC6A72">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Այսպիսով, թույլ է տրվում օգտագործել </w:t>
      </w:r>
      <w:r w:rsidRPr="00B834A2">
        <w:rPr>
          <w:rStyle w:val="Bodytext27pt"/>
          <w:sz w:val="24"/>
          <w:szCs w:val="24"/>
        </w:rPr>
        <w:t>d</w:t>
      </w:r>
      <w:r w:rsidRPr="00B834A2">
        <w:rPr>
          <w:rStyle w:val="Bodytext27pt"/>
          <w:sz w:val="24"/>
          <w:szCs w:val="24"/>
          <w:vertAlign w:val="subscript"/>
        </w:rPr>
        <w:t>90</w:t>
      </w:r>
      <w:r w:rsidRPr="00B834A2">
        <w:rPr>
          <w:rStyle w:val="Bodytext31Sylfaen9"/>
          <w:sz w:val="24"/>
          <w:szCs w:val="24"/>
        </w:rPr>
        <w:t xml:space="preserve"> d</w:t>
      </w:r>
      <w:r w:rsidRPr="00B834A2">
        <w:rPr>
          <w:rStyle w:val="Bodytext31Sylfaen9"/>
          <w:sz w:val="24"/>
          <w:szCs w:val="24"/>
          <w:vertAlign w:val="subscript"/>
        </w:rPr>
        <w:t>50</w:t>
      </w:r>
      <w:r w:rsidRPr="00B834A2">
        <w:rPr>
          <w:rStyle w:val="Bodytext31Sylfaen9"/>
          <w:sz w:val="24"/>
          <w:szCs w:val="24"/>
        </w:rPr>
        <w:t>, d</w:t>
      </w:r>
      <w:r w:rsidRPr="00B834A2">
        <w:rPr>
          <w:rStyle w:val="Bodytext31Sylfaen9"/>
          <w:sz w:val="24"/>
          <w:szCs w:val="24"/>
          <w:vertAlign w:val="subscript"/>
        </w:rPr>
        <w:t>10</w:t>
      </w:r>
      <w:r w:rsidRPr="00B834A2">
        <w:rPr>
          <w:rFonts w:ascii="Sylfaen" w:hAnsi="Sylfaen"/>
          <w:sz w:val="24"/>
          <w:szCs w:val="24"/>
        </w:rPr>
        <w:t xml:space="preserve"> պայմանանշանները:</w:t>
      </w:r>
    </w:p>
    <w:p w14:paraId="7A2149F1"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i/>
          <w:sz w:val="24"/>
          <w:szCs w:val="24"/>
        </w:rPr>
      </w:pPr>
      <w:r w:rsidRPr="00BC6A72">
        <w:rPr>
          <w:rStyle w:val="Bodytext31Sylfaen9"/>
          <w:i w:val="0"/>
          <w:sz w:val="24"/>
          <w:szCs w:val="24"/>
        </w:rPr>
        <w:t>Գումարային բաշխման հիման վրա (Q</w:t>
      </w:r>
      <w:r w:rsidRPr="00BC6A72">
        <w:rPr>
          <w:rStyle w:val="Bodytext31Sylfaen9"/>
          <w:i w:val="0"/>
          <w:sz w:val="24"/>
          <w:szCs w:val="24"/>
          <w:vertAlign w:val="subscript"/>
        </w:rPr>
        <w:t>r</w:t>
      </w:r>
      <w:r w:rsidRPr="00BC6A72">
        <w:rPr>
          <w:rStyle w:val="Bodytext31Sylfaen9"/>
          <w:i w:val="0"/>
          <w:sz w:val="24"/>
          <w:szCs w:val="24"/>
        </w:rPr>
        <w:t xml:space="preserve"> (x)) կարող են որոշվել փոշու պարամետրերը, որոնք օգտագործվում են դեղամիջոցների արտադրման տեխնոլոգիական պրոցեսներում: Այդ պարամետրերն արտացոլված են 2.1.10.9-1 աղյուսակում:</w:t>
      </w:r>
    </w:p>
    <w:p w14:paraId="6A1E8A8D"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i/>
          <w:sz w:val="24"/>
          <w:szCs w:val="24"/>
        </w:rPr>
      </w:pPr>
      <w:r w:rsidRPr="00BC6A72">
        <w:rPr>
          <w:rStyle w:val="Bodytext31Sylfaen9"/>
          <w:i w:val="0"/>
          <w:sz w:val="24"/>
          <w:szCs w:val="24"/>
        </w:rPr>
        <w:t>Q</w:t>
      </w:r>
      <w:r w:rsidRPr="00BC6A72">
        <w:rPr>
          <w:rStyle w:val="Bodytext31Sylfaen9"/>
          <w:i w:val="0"/>
          <w:sz w:val="24"/>
          <w:szCs w:val="24"/>
          <w:vertAlign w:val="subscript"/>
        </w:rPr>
        <w:t>r</w:t>
      </w:r>
      <w:r w:rsidRPr="00BC6A72">
        <w:rPr>
          <w:rStyle w:val="Bodytext31Sylfaen9"/>
          <w:i w:val="0"/>
          <w:sz w:val="24"/>
          <w:szCs w:val="24"/>
        </w:rPr>
        <w:t>(х)՝ х-ից ոչ մեծ չափերի մասնիկների գումարային բաշխում, որտեղ r ցուցիչն արտացոլում է բաշխման տեսակը:</w:t>
      </w:r>
    </w:p>
    <w:p w14:paraId="30B6218F"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i/>
          <w:sz w:val="24"/>
          <w:szCs w:val="24"/>
        </w:rPr>
      </w:pPr>
      <w:r w:rsidRPr="00BC6A72">
        <w:rPr>
          <w:rStyle w:val="Bodytext31Sylfaen9"/>
          <w:i w:val="0"/>
          <w:sz w:val="24"/>
          <w:szCs w:val="24"/>
        </w:rPr>
        <w:t>Այսպիսով, այդ որոշմանը համաձայն՝</w:t>
      </w:r>
    </w:p>
    <w:p w14:paraId="563238B9" w14:textId="77777777" w:rsidR="00B834A2" w:rsidRPr="00BC6A72" w:rsidRDefault="00B834A2" w:rsidP="00B834A2">
      <w:pPr>
        <w:pStyle w:val="Bodytext20"/>
        <w:shd w:val="clear" w:color="auto" w:fill="auto"/>
        <w:spacing w:before="0" w:after="160" w:line="360" w:lineRule="auto"/>
        <w:ind w:firstLine="567"/>
        <w:rPr>
          <w:rFonts w:ascii="Sylfaen" w:hAnsi="Sylfaen" w:cs="Sylfaen"/>
          <w:i/>
          <w:sz w:val="24"/>
          <w:szCs w:val="24"/>
        </w:rPr>
      </w:pPr>
      <w:r w:rsidRPr="00BC6A72">
        <w:rPr>
          <w:rStyle w:val="Bodytext31Sylfaen9"/>
          <w:i w:val="0"/>
          <w:sz w:val="24"/>
          <w:szCs w:val="24"/>
        </w:rPr>
        <w:t>Q</w:t>
      </w:r>
      <w:r w:rsidRPr="00BC6A72">
        <w:rPr>
          <w:rStyle w:val="Bodytext31Sylfaen9"/>
          <w:i w:val="0"/>
          <w:sz w:val="24"/>
          <w:szCs w:val="24"/>
          <w:vertAlign w:val="subscript"/>
        </w:rPr>
        <w:t>r</w:t>
      </w:r>
      <w:r w:rsidRPr="00BC6A72">
        <w:rPr>
          <w:rStyle w:val="Bodytext31Sylfaen9"/>
          <w:i w:val="0"/>
          <w:sz w:val="24"/>
          <w:szCs w:val="24"/>
        </w:rPr>
        <w:t>(x) =0,90, եթե x = x</w:t>
      </w:r>
      <w:r w:rsidRPr="00BC6A72">
        <w:rPr>
          <w:rStyle w:val="Bodytext285pt"/>
          <w:i w:val="0"/>
          <w:spacing w:val="0"/>
          <w:sz w:val="24"/>
          <w:szCs w:val="24"/>
          <w:vertAlign w:val="subscript"/>
        </w:rPr>
        <w:t>90</w:t>
      </w:r>
      <w:r w:rsidRPr="00BC6A72">
        <w:rPr>
          <w:rStyle w:val="Bodytext31Sylfaen9"/>
          <w:i w:val="0"/>
          <w:sz w:val="24"/>
          <w:szCs w:val="24"/>
        </w:rPr>
        <w:t>,</w:t>
      </w:r>
    </w:p>
    <w:p w14:paraId="5FB6FFE0" w14:textId="77777777" w:rsidR="00B834A2" w:rsidRPr="00BC6A72" w:rsidRDefault="00B834A2" w:rsidP="00B834A2">
      <w:pPr>
        <w:pStyle w:val="Bodytext20"/>
        <w:shd w:val="clear" w:color="auto" w:fill="auto"/>
        <w:spacing w:before="0" w:after="160" w:line="360" w:lineRule="auto"/>
        <w:ind w:firstLine="567"/>
        <w:rPr>
          <w:rFonts w:ascii="Sylfaen" w:hAnsi="Sylfaen" w:cs="Sylfaen"/>
          <w:i/>
          <w:sz w:val="24"/>
          <w:szCs w:val="24"/>
        </w:rPr>
      </w:pPr>
      <w:r w:rsidRPr="00BC6A72">
        <w:rPr>
          <w:rStyle w:val="Bodytext31Sylfaen9"/>
          <w:i w:val="0"/>
          <w:sz w:val="24"/>
          <w:szCs w:val="24"/>
        </w:rPr>
        <w:t>Qr(х)=0,50, եթե</w:t>
      </w:r>
      <w:r w:rsidRPr="00BC6A72">
        <w:rPr>
          <w:rStyle w:val="Bodytext2Italic"/>
          <w:i w:val="0"/>
          <w:sz w:val="24"/>
          <w:szCs w:val="24"/>
        </w:rPr>
        <w:t>х = x</w:t>
      </w:r>
      <w:r w:rsidRPr="00BC6A72">
        <w:rPr>
          <w:rStyle w:val="Bodytext27pt"/>
          <w:i w:val="0"/>
          <w:sz w:val="24"/>
          <w:szCs w:val="24"/>
          <w:vertAlign w:val="subscript"/>
        </w:rPr>
        <w:t>5</w:t>
      </w:r>
      <w:r w:rsidRPr="00BC6A72">
        <w:rPr>
          <w:rStyle w:val="Bodytext2Italic"/>
          <w:i w:val="0"/>
          <w:sz w:val="24"/>
          <w:szCs w:val="24"/>
          <w:vertAlign w:val="subscript"/>
        </w:rPr>
        <w:t>о</w:t>
      </w:r>
      <w:r w:rsidRPr="00BC6A72">
        <w:rPr>
          <w:rStyle w:val="Bodytext2Italic"/>
          <w:i w:val="0"/>
          <w:sz w:val="24"/>
          <w:szCs w:val="24"/>
        </w:rPr>
        <w:t>,</w:t>
      </w:r>
    </w:p>
    <w:p w14:paraId="0A831915" w14:textId="77777777" w:rsidR="00B834A2" w:rsidRPr="00BC6A72" w:rsidRDefault="00B834A2" w:rsidP="00B834A2">
      <w:pPr>
        <w:pStyle w:val="Bodytext20"/>
        <w:shd w:val="clear" w:color="auto" w:fill="auto"/>
        <w:spacing w:before="0" w:after="160" w:line="360" w:lineRule="auto"/>
        <w:ind w:firstLine="567"/>
        <w:rPr>
          <w:rFonts w:ascii="Sylfaen" w:hAnsi="Sylfaen" w:cs="Sylfaen"/>
          <w:i/>
          <w:sz w:val="24"/>
          <w:szCs w:val="24"/>
        </w:rPr>
      </w:pPr>
      <w:r w:rsidRPr="00BC6A72">
        <w:rPr>
          <w:rStyle w:val="Bodytext2Italic"/>
          <w:i w:val="0"/>
          <w:sz w:val="24"/>
          <w:szCs w:val="24"/>
        </w:rPr>
        <w:t>Qr(х)</w:t>
      </w:r>
      <w:r w:rsidRPr="00BC6A72">
        <w:rPr>
          <w:rStyle w:val="Bodytext31Sylfaen9"/>
          <w:i w:val="0"/>
          <w:sz w:val="24"/>
          <w:szCs w:val="24"/>
        </w:rPr>
        <w:t xml:space="preserve"> =0,10, եթե х = х</w:t>
      </w:r>
      <w:r w:rsidRPr="00BC6A72">
        <w:rPr>
          <w:rStyle w:val="Bodytext31Sylfaen9"/>
          <w:i w:val="0"/>
          <w:sz w:val="24"/>
          <w:szCs w:val="24"/>
          <w:vertAlign w:val="subscript"/>
        </w:rPr>
        <w:t>10</w:t>
      </w:r>
      <w:r w:rsidRPr="00BC6A72">
        <w:rPr>
          <w:rStyle w:val="Bodytext31Sylfaen9"/>
          <w:i w:val="0"/>
          <w:sz w:val="24"/>
          <w:szCs w:val="24"/>
        </w:rPr>
        <w:t>:</w:t>
      </w:r>
    </w:p>
    <w:p w14:paraId="6265F2E6" w14:textId="77777777" w:rsidR="00B834A2" w:rsidRPr="00BC6A72" w:rsidRDefault="00B834A2" w:rsidP="00BC6A72">
      <w:pPr>
        <w:pStyle w:val="Bodytext20"/>
        <w:shd w:val="clear" w:color="auto" w:fill="auto"/>
        <w:spacing w:before="0" w:after="160" w:line="360" w:lineRule="auto"/>
        <w:ind w:firstLine="567"/>
        <w:jc w:val="both"/>
        <w:rPr>
          <w:rStyle w:val="Bodytext31Sylfaen9"/>
          <w:i w:val="0"/>
          <w:sz w:val="24"/>
          <w:szCs w:val="24"/>
        </w:rPr>
      </w:pPr>
      <w:r w:rsidRPr="00BC6A72">
        <w:rPr>
          <w:rStyle w:val="Bodytext31Sylfaen9"/>
          <w:i w:val="0"/>
          <w:sz w:val="24"/>
          <w:szCs w:val="24"/>
        </w:rPr>
        <w:t>Կարող է նաեւ օգտագործվել փոշիների մանրացվածության դասակարգման ավելի քիչ ինֆորմատիվ մեթոդ, որն օգտագործում է նշված տվյալները՝ 2.1.10.9-2 աղյուսակում ներկայացված չափերով մասնիկների բաշխումը նկարագրելու համար:</w:t>
      </w:r>
    </w:p>
    <w:p w14:paraId="7C244B33" w14:textId="77777777" w:rsidR="00B834A2" w:rsidRPr="00B834A2" w:rsidRDefault="00B834A2" w:rsidP="00B834A2">
      <w:pPr>
        <w:spacing w:after="160" w:line="360" w:lineRule="auto"/>
        <w:rPr>
          <w:rStyle w:val="Bodytext31Sylfaen9"/>
          <w:sz w:val="24"/>
          <w:szCs w:val="24"/>
        </w:rPr>
      </w:pPr>
      <w:r w:rsidRPr="00B834A2">
        <w:br w:type="page"/>
      </w:r>
    </w:p>
    <w:p w14:paraId="1765E814"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3B85072E"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79714739"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09C65BE8"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19C0930C"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0BD5FCF1"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2B556B44"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0700CEA6"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45045999"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2EE0B43"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1132EA86"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r w:rsidRPr="00B834A2">
        <w:rPr>
          <w:rFonts w:ascii="Sylfaen" w:hAnsi="Sylfaen"/>
          <w:b/>
          <w:sz w:val="24"/>
          <w:szCs w:val="24"/>
        </w:rPr>
        <w:t>2.2. ՌԵԱԿՏԻՎՆԵՐ</w:t>
      </w:r>
    </w:p>
    <w:p w14:paraId="695BE0B5" w14:textId="77777777" w:rsidR="004A7CC9" w:rsidRDefault="004A7CC9">
      <w:pPr>
        <w:rPr>
          <w:rFonts w:eastAsia="Times New Roman" w:cs="Times New Roman"/>
          <w:b/>
        </w:rPr>
      </w:pPr>
      <w:bookmarkStart w:id="1" w:name="bookmark2"/>
      <w:r>
        <w:rPr>
          <w:b/>
        </w:rPr>
        <w:br w:type="page"/>
      </w:r>
    </w:p>
    <w:p w14:paraId="04C86B48" w14:textId="77777777" w:rsidR="00B834A2" w:rsidRPr="00B834A2" w:rsidRDefault="00B834A2" w:rsidP="00B834A2">
      <w:pPr>
        <w:pStyle w:val="Bodytext20"/>
        <w:shd w:val="clear" w:color="auto" w:fill="auto"/>
        <w:spacing w:before="0" w:after="160" w:line="360" w:lineRule="auto"/>
        <w:rPr>
          <w:rFonts w:ascii="Sylfaen" w:hAnsi="Sylfaen" w:cs="Sylfaen"/>
          <w:b/>
          <w:sz w:val="24"/>
          <w:szCs w:val="24"/>
        </w:rPr>
      </w:pPr>
      <w:r w:rsidRPr="00B834A2">
        <w:rPr>
          <w:rFonts w:ascii="Sylfaen" w:hAnsi="Sylfaen"/>
          <w:b/>
          <w:sz w:val="24"/>
          <w:szCs w:val="24"/>
        </w:rPr>
        <w:lastRenderedPageBreak/>
        <w:t xml:space="preserve">2.2.1. ՌԵԱԿՏԻՎՆԵՐ, ՍՏԱՆԴԱՐՏ ԼՈՒԾՈՒՅԹՆԵՐ, </w:t>
      </w:r>
      <w:r w:rsidR="004A7CC9" w:rsidRPr="004A7CC9">
        <w:rPr>
          <w:rFonts w:ascii="Sylfaen" w:hAnsi="Sylfaen"/>
          <w:b/>
          <w:sz w:val="24"/>
          <w:szCs w:val="24"/>
        </w:rPr>
        <w:br/>
      </w:r>
      <w:r w:rsidRPr="00B834A2">
        <w:rPr>
          <w:rFonts w:ascii="Sylfaen" w:hAnsi="Sylfaen"/>
          <w:b/>
          <w:sz w:val="24"/>
          <w:szCs w:val="24"/>
        </w:rPr>
        <w:t>ԲՈՒՖԵՐԱՅԻՆ ԼՈՒԾՈՒՅԹՆԵՐ</w:t>
      </w:r>
      <w:bookmarkEnd w:id="1"/>
    </w:p>
    <w:p w14:paraId="17C84F5F" w14:textId="77777777" w:rsidR="00B834A2" w:rsidRPr="00BC6A72" w:rsidRDefault="00B834A2" w:rsidP="00B834A2">
      <w:pPr>
        <w:pStyle w:val="Bodytext20"/>
        <w:shd w:val="clear" w:color="auto" w:fill="auto"/>
        <w:spacing w:before="0" w:after="160" w:line="360" w:lineRule="auto"/>
        <w:jc w:val="right"/>
        <w:rPr>
          <w:rFonts w:ascii="Sylfaen" w:hAnsi="Sylfaen" w:cs="Sylfaen"/>
          <w:b/>
          <w:sz w:val="20"/>
          <w:szCs w:val="24"/>
        </w:rPr>
      </w:pPr>
      <w:r w:rsidRPr="00BC6A72">
        <w:rPr>
          <w:rFonts w:ascii="Sylfaen" w:hAnsi="Sylfaen"/>
          <w:b/>
          <w:sz w:val="20"/>
          <w:szCs w:val="24"/>
        </w:rPr>
        <w:t>202010001-2022</w:t>
      </w:r>
    </w:p>
    <w:p w14:paraId="7A99BB69" w14:textId="77777777" w:rsidR="00B834A2" w:rsidRPr="00B834A2" w:rsidRDefault="00B834A2" w:rsidP="00B834A2">
      <w:pPr>
        <w:pStyle w:val="Bodytext20"/>
        <w:shd w:val="clear" w:color="auto" w:fill="auto"/>
        <w:spacing w:before="0" w:after="160" w:line="360" w:lineRule="auto"/>
        <w:ind w:firstLine="420"/>
        <w:rPr>
          <w:rStyle w:val="Bodytext29pt"/>
          <w:rFonts w:eastAsia="Tahoma"/>
          <w:sz w:val="24"/>
          <w:szCs w:val="24"/>
        </w:rPr>
      </w:pPr>
    </w:p>
    <w:p w14:paraId="76B7AB6B" w14:textId="77777777" w:rsidR="00B834A2" w:rsidRPr="00BC6A72" w:rsidRDefault="00B834A2" w:rsidP="00BC6A72">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BC6A72">
        <w:rPr>
          <w:rStyle w:val="Bodytext29pt"/>
          <w:b/>
          <w:sz w:val="24"/>
          <w:szCs w:val="24"/>
        </w:rPr>
        <w:t>2.2.1.1.</w:t>
      </w:r>
      <w:r w:rsidR="00BC6A72">
        <w:rPr>
          <w:rStyle w:val="Bodytext29pt"/>
          <w:b/>
          <w:sz w:val="24"/>
          <w:szCs w:val="24"/>
        </w:rPr>
        <w:tab/>
      </w:r>
      <w:r w:rsidRPr="00BC6A72">
        <w:rPr>
          <w:rStyle w:val="Bodytext29pt"/>
          <w:b/>
          <w:sz w:val="24"/>
          <w:szCs w:val="24"/>
        </w:rPr>
        <w:t>Ռեակտիվներ</w:t>
      </w:r>
    </w:p>
    <w:p w14:paraId="7F3826DF"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sz w:val="24"/>
          <w:szCs w:val="24"/>
        </w:rPr>
      </w:pPr>
      <w:r w:rsidRPr="00BC6A72">
        <w:rPr>
          <w:rStyle w:val="Bodytext31Sylfaen9"/>
          <w:i w:val="0"/>
          <w:sz w:val="24"/>
          <w:szCs w:val="24"/>
        </w:rPr>
        <w:t>ՀԱՎԵԼՈՒՄ</w:t>
      </w:r>
    </w:p>
    <w:p w14:paraId="283834B8"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i w:val="0"/>
          <w:sz w:val="24"/>
          <w:szCs w:val="24"/>
        </w:rPr>
        <w:t>Ազոտական թթու՝ նիկելից զերծ։</w:t>
      </w:r>
    </w:p>
    <w:p w14:paraId="0F4B4C7D"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sz w:val="24"/>
          <w:szCs w:val="24"/>
        </w:rPr>
      </w:pPr>
      <w:r w:rsidRPr="00BC6A72">
        <w:rPr>
          <w:rFonts w:ascii="Sylfaen" w:hAnsi="Sylfaen"/>
          <w:sz w:val="24"/>
          <w:szCs w:val="24"/>
        </w:rPr>
        <w:t>Պետք է բավարարի լրացուցիչ փորձարկում Ռ ազոտական թթվի համար:</w:t>
      </w:r>
      <w:r w:rsidRPr="00BC6A72">
        <w:rPr>
          <w:rStyle w:val="Bodytext31Sylfaen9"/>
          <w:i w:val="0"/>
          <w:sz w:val="24"/>
          <w:szCs w:val="24"/>
        </w:rPr>
        <w:t xml:space="preserve"> Նիկել՝ 0,005 ррm-ից ոչ ավելի:</w:t>
      </w:r>
    </w:p>
    <w:p w14:paraId="56C2227D"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i w:val="0"/>
          <w:sz w:val="24"/>
          <w:szCs w:val="24"/>
        </w:rPr>
        <w:t>Բետուլին՝ մեթիլենքլորիդի մեջ:</w:t>
      </w:r>
    </w:p>
    <w:p w14:paraId="70B1EF65"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sz w:val="24"/>
          <w:szCs w:val="24"/>
        </w:rPr>
      </w:pPr>
      <w:r w:rsidRPr="00BC6A72">
        <w:rPr>
          <w:rStyle w:val="Bodytext31Sylfaen9"/>
          <w:i w:val="0"/>
          <w:sz w:val="24"/>
          <w:szCs w:val="24"/>
        </w:rPr>
        <w:t>2 գ/լ С</w:t>
      </w:r>
      <w:r w:rsidRPr="00BC6A72">
        <w:rPr>
          <w:rStyle w:val="Bodytext285pt"/>
          <w:i w:val="0"/>
          <w:spacing w:val="0"/>
          <w:sz w:val="24"/>
          <w:szCs w:val="24"/>
          <w:vertAlign w:val="subscript"/>
        </w:rPr>
        <w:t>30</w:t>
      </w:r>
      <w:r w:rsidRPr="00BC6A72">
        <w:rPr>
          <w:rStyle w:val="Bodytext31Sylfaen9"/>
          <w:i w:val="0"/>
          <w:sz w:val="24"/>
          <w:szCs w:val="24"/>
        </w:rPr>
        <w:t>Н</w:t>
      </w:r>
      <w:r w:rsidRPr="00BC6A72">
        <w:rPr>
          <w:rStyle w:val="Bodytext285pt"/>
          <w:i w:val="0"/>
          <w:spacing w:val="0"/>
          <w:sz w:val="24"/>
          <w:szCs w:val="24"/>
          <w:vertAlign w:val="subscript"/>
        </w:rPr>
        <w:t>50</w:t>
      </w:r>
      <w:r w:rsidRPr="00BC6A72">
        <w:rPr>
          <w:rStyle w:val="Bodytext31Sylfaen9"/>
          <w:i w:val="0"/>
          <w:sz w:val="24"/>
          <w:szCs w:val="24"/>
        </w:rPr>
        <w:t>О</w:t>
      </w:r>
      <w:r w:rsidRPr="00BC6A72">
        <w:rPr>
          <w:rStyle w:val="Bodytext285pt"/>
          <w:i w:val="0"/>
          <w:spacing w:val="0"/>
          <w:sz w:val="24"/>
          <w:szCs w:val="24"/>
          <w:vertAlign w:val="subscript"/>
        </w:rPr>
        <w:t>2</w:t>
      </w:r>
      <w:r w:rsidRPr="00BC6A72">
        <w:rPr>
          <w:rStyle w:val="Bodytext31Sylfaen9"/>
          <w:i w:val="0"/>
          <w:sz w:val="24"/>
          <w:szCs w:val="24"/>
        </w:rPr>
        <w:t xml:space="preserve"> լուծույթ՝ </w:t>
      </w:r>
      <w:r w:rsidRPr="00BC6A72">
        <w:rPr>
          <w:rStyle w:val="Bodytext2Italic"/>
          <w:i w:val="0"/>
          <w:sz w:val="24"/>
          <w:szCs w:val="24"/>
        </w:rPr>
        <w:t>Ռ մեթիլենքլորիդի մեջ:</w:t>
      </w:r>
    </w:p>
    <w:p w14:paraId="7539FBA9"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i w:val="0"/>
          <w:sz w:val="24"/>
          <w:szCs w:val="24"/>
        </w:rPr>
        <w:t>Բրոմֆենոլային կապույտ՝ 96 % էթանոլի մեջ:</w:t>
      </w:r>
    </w:p>
    <w:p w14:paraId="4C7879E8"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sz w:val="24"/>
          <w:szCs w:val="24"/>
        </w:rPr>
      </w:pPr>
      <w:r w:rsidRPr="00BC6A72">
        <w:rPr>
          <w:rStyle w:val="Bodytext31Sylfaen9"/>
          <w:i w:val="0"/>
          <w:sz w:val="24"/>
          <w:szCs w:val="24"/>
        </w:rPr>
        <w:t>0,4 գ/լ С</w:t>
      </w:r>
      <w:r w:rsidRPr="00BC6A72">
        <w:rPr>
          <w:rStyle w:val="Bodytext31Sylfaen9"/>
          <w:i w:val="0"/>
          <w:sz w:val="24"/>
          <w:szCs w:val="24"/>
          <w:vertAlign w:val="subscript"/>
        </w:rPr>
        <w:t>19</w:t>
      </w:r>
      <w:r w:rsidRPr="00BC6A72">
        <w:rPr>
          <w:rStyle w:val="Bodytext31Sylfaen9"/>
          <w:i w:val="0"/>
          <w:sz w:val="24"/>
          <w:szCs w:val="24"/>
        </w:rPr>
        <w:t xml:space="preserve"> H10Br4O</w:t>
      </w:r>
      <w:r w:rsidRPr="00BC6A72">
        <w:rPr>
          <w:rStyle w:val="Bodytext31Sylfaen9"/>
          <w:i w:val="0"/>
          <w:sz w:val="24"/>
          <w:szCs w:val="24"/>
          <w:vertAlign w:val="subscript"/>
        </w:rPr>
        <w:t>5</w:t>
      </w:r>
      <w:r w:rsidRPr="00BC6A72">
        <w:rPr>
          <w:rStyle w:val="Bodytext31Sylfaen9"/>
          <w:i w:val="0"/>
          <w:sz w:val="24"/>
          <w:szCs w:val="24"/>
        </w:rPr>
        <w:t xml:space="preserve">S լուծույթ՝ </w:t>
      </w:r>
      <w:r w:rsidRPr="00BC6A72">
        <w:rPr>
          <w:rStyle w:val="Bodytext2Italic"/>
          <w:i w:val="0"/>
          <w:sz w:val="24"/>
          <w:szCs w:val="24"/>
        </w:rPr>
        <w:t>Ռ էթինոլի մեջ (96 %):</w:t>
      </w:r>
    </w:p>
    <w:p w14:paraId="44E98855"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sz w:val="24"/>
          <w:szCs w:val="24"/>
        </w:rPr>
        <w:t>տրետ</w:t>
      </w:r>
      <w:r w:rsidRPr="00BC6A72">
        <w:rPr>
          <w:rStyle w:val="Bodytext31Sylfaen9"/>
          <w:b/>
          <w:i w:val="0"/>
          <w:sz w:val="24"/>
          <w:szCs w:val="24"/>
        </w:rPr>
        <w:t xml:space="preserve"> -</w:t>
      </w:r>
      <w:r w:rsidR="00BC6A72">
        <w:rPr>
          <w:rStyle w:val="Bodytext31Sylfaen9"/>
          <w:b/>
          <w:i w:val="0"/>
          <w:sz w:val="24"/>
          <w:szCs w:val="24"/>
        </w:rPr>
        <w:t xml:space="preserve"> </w:t>
      </w:r>
      <w:r w:rsidRPr="00BC6A72">
        <w:rPr>
          <w:rStyle w:val="Bodytext31Sylfaen9"/>
          <w:b/>
          <w:i w:val="0"/>
          <w:sz w:val="24"/>
          <w:szCs w:val="24"/>
        </w:rPr>
        <w:t>Բութիլհիդրոպերօքսիդ՝ տետրահիդրոֆուրանի մեջ:</w:t>
      </w:r>
    </w:p>
    <w:p w14:paraId="4E1FF08E"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sz w:val="24"/>
          <w:szCs w:val="24"/>
        </w:rPr>
      </w:pPr>
      <w:r w:rsidRPr="00BC6A72">
        <w:rPr>
          <w:rStyle w:val="Bodytext31Sylfaen9"/>
          <w:i w:val="0"/>
          <w:sz w:val="24"/>
          <w:szCs w:val="24"/>
        </w:rPr>
        <w:t>10 գ/լ С</w:t>
      </w:r>
      <w:r w:rsidRPr="00BC6A72">
        <w:rPr>
          <w:rStyle w:val="Bodytext285pt"/>
          <w:i w:val="0"/>
          <w:spacing w:val="0"/>
          <w:sz w:val="24"/>
          <w:szCs w:val="24"/>
          <w:vertAlign w:val="subscript"/>
        </w:rPr>
        <w:t>4</w:t>
      </w:r>
      <w:r w:rsidRPr="00BC6A72">
        <w:rPr>
          <w:rStyle w:val="Bodytext31Sylfaen9"/>
          <w:i w:val="0"/>
          <w:sz w:val="24"/>
          <w:szCs w:val="24"/>
        </w:rPr>
        <w:t>Н</w:t>
      </w:r>
      <w:r w:rsidRPr="00BC6A72">
        <w:rPr>
          <w:rStyle w:val="Bodytext285pt"/>
          <w:i w:val="0"/>
          <w:spacing w:val="0"/>
          <w:sz w:val="24"/>
          <w:szCs w:val="24"/>
          <w:vertAlign w:val="subscript"/>
        </w:rPr>
        <w:t>10</w:t>
      </w:r>
      <w:r w:rsidRPr="00BC6A72">
        <w:rPr>
          <w:rStyle w:val="Bodytext31Sylfaen9"/>
          <w:i w:val="0"/>
          <w:sz w:val="24"/>
          <w:szCs w:val="24"/>
        </w:rPr>
        <w:t>О</w:t>
      </w:r>
      <w:r w:rsidRPr="00BC6A72">
        <w:rPr>
          <w:rStyle w:val="Bodytext285pt"/>
          <w:i w:val="0"/>
          <w:spacing w:val="0"/>
          <w:sz w:val="24"/>
          <w:szCs w:val="24"/>
        </w:rPr>
        <w:t>2</w:t>
      </w:r>
      <w:r w:rsidRPr="00BC6A72">
        <w:rPr>
          <w:rStyle w:val="Bodytext31Sylfaen9"/>
          <w:i w:val="0"/>
          <w:sz w:val="24"/>
          <w:szCs w:val="24"/>
        </w:rPr>
        <w:t xml:space="preserve"> լուծույթ՝ </w:t>
      </w:r>
      <w:r w:rsidRPr="00BC6A72">
        <w:rPr>
          <w:rStyle w:val="Bodytext2Italic"/>
          <w:i w:val="0"/>
          <w:sz w:val="24"/>
          <w:szCs w:val="24"/>
        </w:rPr>
        <w:t>Ռ տետրահիդրոֆուրանի մեջ:</w:t>
      </w:r>
    </w:p>
    <w:p w14:paraId="3A5C62F5" w14:textId="77777777" w:rsidR="00B834A2" w:rsidRPr="00BC6A72" w:rsidRDefault="00B834A2" w:rsidP="00BC6A72">
      <w:pPr>
        <w:pStyle w:val="Bodytext20"/>
        <w:shd w:val="clear" w:color="auto" w:fill="auto"/>
        <w:spacing w:before="0" w:after="160" w:line="360" w:lineRule="auto"/>
        <w:ind w:firstLine="567"/>
        <w:jc w:val="both"/>
        <w:rPr>
          <w:rFonts w:ascii="Sylfaen" w:hAnsi="Sylfaen" w:cs="Sylfaen"/>
          <w:b/>
          <w:sz w:val="24"/>
          <w:szCs w:val="24"/>
        </w:rPr>
      </w:pPr>
      <w:r w:rsidRPr="00BC6A72">
        <w:rPr>
          <w:rStyle w:val="Bodytext31Sylfaen9"/>
          <w:b/>
          <w:i w:val="0"/>
          <w:sz w:val="24"/>
          <w:szCs w:val="24"/>
        </w:rPr>
        <w:t>Շշալցված հիդրօքսիտոլուոլ՝ տրիմեթիլպենտանի մեջ:</w:t>
      </w:r>
    </w:p>
    <w:p w14:paraId="054D3603" w14:textId="77777777" w:rsidR="00B834A2" w:rsidRPr="00BC6A72" w:rsidRDefault="00B834A2" w:rsidP="00BC6A72">
      <w:pPr>
        <w:pStyle w:val="Bodytext20"/>
        <w:shd w:val="clear" w:color="auto" w:fill="auto"/>
        <w:spacing w:before="0" w:after="160" w:line="360" w:lineRule="auto"/>
        <w:ind w:right="-1" w:firstLine="567"/>
        <w:jc w:val="both"/>
        <w:rPr>
          <w:rFonts w:ascii="Sylfaen" w:hAnsi="Sylfaen" w:cs="Sylfaen"/>
          <w:i/>
          <w:sz w:val="24"/>
          <w:szCs w:val="24"/>
        </w:rPr>
      </w:pPr>
      <w:r w:rsidRPr="00BC6A72">
        <w:rPr>
          <w:rStyle w:val="Bodytext31Sylfaen9"/>
          <w:i w:val="0"/>
          <w:sz w:val="24"/>
          <w:szCs w:val="24"/>
        </w:rPr>
        <w:t>50 մգ/լ C</w:t>
      </w:r>
      <w:r w:rsidRPr="00BC6A72">
        <w:rPr>
          <w:rStyle w:val="Bodytext285pt"/>
          <w:i w:val="0"/>
          <w:spacing w:val="0"/>
          <w:sz w:val="24"/>
          <w:szCs w:val="24"/>
          <w:vertAlign w:val="subscript"/>
        </w:rPr>
        <w:t>15</w:t>
      </w:r>
      <w:r w:rsidRPr="00BC6A72">
        <w:rPr>
          <w:rStyle w:val="Bodytext31Sylfaen9"/>
          <w:i w:val="0"/>
          <w:sz w:val="24"/>
          <w:szCs w:val="24"/>
        </w:rPr>
        <w:t>Н</w:t>
      </w:r>
      <w:r w:rsidRPr="00BC6A72">
        <w:rPr>
          <w:rStyle w:val="Bodytext285pt"/>
          <w:i w:val="0"/>
          <w:spacing w:val="0"/>
          <w:sz w:val="24"/>
          <w:szCs w:val="24"/>
          <w:vertAlign w:val="subscript"/>
        </w:rPr>
        <w:t>24</w:t>
      </w:r>
      <w:r w:rsidRPr="00BC6A72">
        <w:rPr>
          <w:rStyle w:val="Bodytext31Sylfaen9"/>
          <w:i w:val="0"/>
          <w:sz w:val="24"/>
          <w:szCs w:val="24"/>
        </w:rPr>
        <w:t xml:space="preserve">О լուծույթ՝ </w:t>
      </w:r>
      <w:r w:rsidRPr="00BC6A72">
        <w:rPr>
          <w:rStyle w:val="Bodytext2Italic"/>
          <w:i w:val="0"/>
          <w:sz w:val="24"/>
          <w:szCs w:val="24"/>
        </w:rPr>
        <w:t>Ռ տրիմեթիլպենտանի մեջ:</w:t>
      </w:r>
    </w:p>
    <w:p w14:paraId="7E1DBEDE" w14:textId="77777777" w:rsidR="00B834A2" w:rsidRPr="0076501E" w:rsidRDefault="00B834A2" w:rsidP="00BC6A72">
      <w:pPr>
        <w:pStyle w:val="Bodytext20"/>
        <w:shd w:val="clear" w:color="auto" w:fill="auto"/>
        <w:spacing w:before="0" w:after="160" w:line="360" w:lineRule="auto"/>
        <w:ind w:right="-1" w:firstLine="567"/>
        <w:jc w:val="both"/>
        <w:rPr>
          <w:rFonts w:ascii="Sylfaen" w:hAnsi="Sylfaen" w:cs="Sylfaen"/>
          <w:b/>
          <w:i/>
          <w:sz w:val="24"/>
          <w:szCs w:val="24"/>
        </w:rPr>
      </w:pPr>
      <w:r w:rsidRPr="0076501E">
        <w:rPr>
          <w:rStyle w:val="Bodytext31Sylfaen9"/>
          <w:b/>
          <w:i w:val="0"/>
          <w:sz w:val="24"/>
          <w:szCs w:val="24"/>
        </w:rPr>
        <w:t>1,1,1,3,3,3-Հեքսաֆտորպրոպան-2-ոլ:</w:t>
      </w:r>
    </w:p>
    <w:p w14:paraId="56304A2D" w14:textId="77777777" w:rsidR="00B834A2" w:rsidRPr="00BC6A72" w:rsidRDefault="00B834A2" w:rsidP="00BC6A72">
      <w:pPr>
        <w:pStyle w:val="Bodytext20"/>
        <w:shd w:val="clear" w:color="auto" w:fill="auto"/>
        <w:spacing w:before="0" w:after="160" w:line="360" w:lineRule="auto"/>
        <w:ind w:right="-1" w:firstLine="567"/>
        <w:jc w:val="both"/>
        <w:rPr>
          <w:rFonts w:ascii="Sylfaen" w:hAnsi="Sylfaen" w:cs="Sylfaen"/>
          <w:i/>
          <w:sz w:val="24"/>
          <w:szCs w:val="24"/>
        </w:rPr>
      </w:pPr>
      <w:r w:rsidRPr="00BC6A72">
        <w:rPr>
          <w:rStyle w:val="Bodytext31Sylfaen9"/>
          <w:i w:val="0"/>
          <w:sz w:val="24"/>
          <w:szCs w:val="24"/>
        </w:rPr>
        <w:t>С</w:t>
      </w:r>
      <w:r w:rsidRPr="00BC6A72">
        <w:rPr>
          <w:rStyle w:val="Bodytext285pt"/>
          <w:i w:val="0"/>
          <w:spacing w:val="0"/>
          <w:sz w:val="24"/>
          <w:szCs w:val="24"/>
          <w:vertAlign w:val="subscript"/>
        </w:rPr>
        <w:t>3</w:t>
      </w:r>
      <w:r w:rsidRPr="00BC6A72">
        <w:rPr>
          <w:rStyle w:val="Bodytext31Sylfaen9"/>
          <w:i w:val="0"/>
          <w:sz w:val="24"/>
          <w:szCs w:val="24"/>
        </w:rPr>
        <w:t>Н</w:t>
      </w:r>
      <w:r w:rsidRPr="00BC6A72">
        <w:rPr>
          <w:rStyle w:val="Bodytext285pt"/>
          <w:i w:val="0"/>
          <w:spacing w:val="0"/>
          <w:sz w:val="24"/>
          <w:szCs w:val="24"/>
          <w:vertAlign w:val="subscript"/>
        </w:rPr>
        <w:t>2</w:t>
      </w:r>
      <w:r w:rsidRPr="00BC6A72">
        <w:rPr>
          <w:rStyle w:val="Bodytext285pt"/>
          <w:i w:val="0"/>
          <w:spacing w:val="0"/>
          <w:sz w:val="24"/>
          <w:szCs w:val="24"/>
        </w:rPr>
        <w:t>F</w:t>
      </w:r>
      <w:r w:rsidRPr="00BC6A72">
        <w:rPr>
          <w:rStyle w:val="Bodytext285pt"/>
          <w:i w:val="0"/>
          <w:spacing w:val="0"/>
          <w:sz w:val="24"/>
          <w:szCs w:val="24"/>
          <w:vertAlign w:val="subscript"/>
        </w:rPr>
        <w:t>6</w:t>
      </w:r>
      <w:r w:rsidRPr="00BC6A72">
        <w:rPr>
          <w:rStyle w:val="Bodytext285pt"/>
          <w:i w:val="0"/>
          <w:spacing w:val="0"/>
          <w:sz w:val="24"/>
          <w:szCs w:val="24"/>
        </w:rPr>
        <w:t>O</w:t>
      </w:r>
      <w:r w:rsidRPr="00BC6A72">
        <w:rPr>
          <w:rStyle w:val="Bodytext31Sylfaen9"/>
          <w:i w:val="0"/>
          <w:sz w:val="24"/>
          <w:szCs w:val="24"/>
        </w:rPr>
        <w:t>: (M</w:t>
      </w:r>
      <w:r w:rsidRPr="00BC6A72">
        <w:rPr>
          <w:rStyle w:val="Bodytext31Sylfaen9"/>
          <w:i w:val="0"/>
          <w:sz w:val="24"/>
          <w:szCs w:val="24"/>
          <w:vertAlign w:val="subscript"/>
        </w:rPr>
        <w:t>r</w:t>
      </w:r>
      <w:r w:rsidRPr="00BC6A72">
        <w:rPr>
          <w:rStyle w:val="Bodytext31Sylfaen9"/>
          <w:i w:val="0"/>
          <w:sz w:val="24"/>
          <w:szCs w:val="24"/>
        </w:rPr>
        <w:t>,. 168,0). [920-66-1].</w:t>
      </w:r>
    </w:p>
    <w:p w14:paraId="159A802F" w14:textId="77777777" w:rsidR="00B834A2" w:rsidRPr="00BC6A72" w:rsidRDefault="00B834A2" w:rsidP="00BC6A72">
      <w:pPr>
        <w:pStyle w:val="Bodytext20"/>
        <w:shd w:val="clear" w:color="auto" w:fill="auto"/>
        <w:spacing w:before="0" w:after="160" w:line="360" w:lineRule="auto"/>
        <w:ind w:right="-1" w:firstLine="567"/>
        <w:jc w:val="both"/>
        <w:rPr>
          <w:rFonts w:ascii="Sylfaen" w:hAnsi="Sylfaen" w:cs="Sylfaen"/>
          <w:i/>
          <w:sz w:val="24"/>
          <w:szCs w:val="24"/>
        </w:rPr>
      </w:pPr>
      <w:r w:rsidRPr="00BC6A72">
        <w:rPr>
          <w:rStyle w:val="Bodytext31Sylfaen9"/>
          <w:i w:val="0"/>
          <w:sz w:val="24"/>
          <w:szCs w:val="24"/>
        </w:rPr>
        <w:t>Պարունակում է առնվազն 99,0 % С</w:t>
      </w:r>
      <w:r w:rsidRPr="00BC6A72">
        <w:rPr>
          <w:rStyle w:val="Bodytext31Sylfaen9"/>
          <w:i w:val="0"/>
          <w:sz w:val="24"/>
          <w:szCs w:val="24"/>
          <w:vertAlign w:val="subscript"/>
        </w:rPr>
        <w:t>3</w:t>
      </w:r>
      <w:r w:rsidRPr="00BC6A72">
        <w:rPr>
          <w:rStyle w:val="Bodytext31Sylfaen9"/>
          <w:i w:val="0"/>
          <w:sz w:val="24"/>
          <w:szCs w:val="24"/>
        </w:rPr>
        <w:t>H</w:t>
      </w:r>
      <w:r w:rsidRPr="00BC6A72">
        <w:rPr>
          <w:rStyle w:val="Bodytext31Sylfaen9"/>
          <w:i w:val="0"/>
          <w:sz w:val="24"/>
          <w:szCs w:val="24"/>
          <w:vertAlign w:val="subscript"/>
        </w:rPr>
        <w:t>2</w:t>
      </w:r>
      <w:r w:rsidRPr="00BC6A72">
        <w:rPr>
          <w:rStyle w:val="Bodytext31Sylfaen9"/>
          <w:i w:val="0"/>
          <w:sz w:val="24"/>
          <w:szCs w:val="24"/>
        </w:rPr>
        <w:t>F</w:t>
      </w:r>
      <w:r w:rsidRPr="00BC6A72">
        <w:rPr>
          <w:rStyle w:val="Bodytext31Sylfaen9"/>
          <w:i w:val="0"/>
          <w:sz w:val="24"/>
          <w:szCs w:val="24"/>
          <w:vertAlign w:val="subscript"/>
        </w:rPr>
        <w:t>6</w:t>
      </w:r>
      <w:r w:rsidRPr="00BC6A72">
        <w:rPr>
          <w:rStyle w:val="Bodytext31Sylfaen9"/>
          <w:i w:val="0"/>
          <w:sz w:val="24"/>
          <w:szCs w:val="24"/>
        </w:rPr>
        <w:t>О: Որոշումը կատարում են գազային քրոմատագրման մեթոդով:</w:t>
      </w:r>
    </w:p>
    <w:p w14:paraId="63344AC3" w14:textId="77777777" w:rsidR="00B834A2" w:rsidRPr="00B834A2" w:rsidRDefault="00B834A2" w:rsidP="00BC6A72">
      <w:pPr>
        <w:pStyle w:val="Bodytext20"/>
        <w:shd w:val="clear" w:color="auto" w:fill="auto"/>
        <w:spacing w:before="0" w:after="160" w:line="360" w:lineRule="auto"/>
        <w:ind w:right="-1" w:firstLine="567"/>
        <w:jc w:val="both"/>
        <w:rPr>
          <w:rStyle w:val="Bodytext31Sylfaen9"/>
          <w:sz w:val="24"/>
          <w:szCs w:val="24"/>
        </w:rPr>
      </w:pPr>
      <w:r w:rsidRPr="00BC6A72">
        <w:rPr>
          <w:rStyle w:val="Bodytext31Sylfaen9"/>
          <w:i w:val="0"/>
          <w:sz w:val="24"/>
          <w:szCs w:val="24"/>
        </w:rPr>
        <w:t>Թափանցիկ անգույն հեղուկ, խառնվում է</w:t>
      </w:r>
      <w:r w:rsidRPr="00B834A2">
        <w:rPr>
          <w:rStyle w:val="Bodytext31Sylfaen9"/>
          <w:sz w:val="24"/>
          <w:szCs w:val="24"/>
        </w:rPr>
        <w:t xml:space="preserve"> ջրի եւ անջուր էթանոլի հետ։ </w:t>
      </w:r>
    </w:p>
    <w:p w14:paraId="682503D0" w14:textId="77777777" w:rsidR="00840EC5" w:rsidRDefault="00000000" w:rsidP="00B834A2">
      <w:pPr>
        <w:pStyle w:val="Bodytext20"/>
        <w:shd w:val="clear" w:color="auto" w:fill="auto"/>
        <w:spacing w:before="0" w:after="160" w:line="360" w:lineRule="auto"/>
        <w:ind w:firstLine="567"/>
        <w:jc w:val="left"/>
        <w:rPr>
          <w:rStyle w:val="Bodytext31Sylfaen9"/>
          <w:sz w:val="24"/>
          <w:szCs w:val="24"/>
          <w:lang w:val="en-US"/>
        </w:rPr>
      </w:pPr>
      <m:oMathPara>
        <m:oMathParaPr>
          <m:jc m:val="left"/>
        </m:oMathParaPr>
        <m:oMath>
          <m:sSubSup>
            <m:sSubSupPr>
              <m:ctrlPr>
                <w:rPr>
                  <w:rStyle w:val="Bodytext31Sylfaen9"/>
                  <w:rFonts w:ascii="Cambria Math"/>
                  <w:i w:val="0"/>
                  <w:iCs w:val="0"/>
                  <w:sz w:val="24"/>
                  <w:szCs w:val="24"/>
                  <w:lang w:val="en-US"/>
                </w:rPr>
              </m:ctrlPr>
            </m:sSubSupPr>
            <m:e>
              <m:r>
                <w:rPr>
                  <w:rStyle w:val="Bodytext31Sylfaen9"/>
                  <w:rFonts w:ascii="Cambria Math" w:hAnsi="Cambria Math"/>
                  <w:sz w:val="24"/>
                  <w:szCs w:val="24"/>
                  <w:lang w:val="en-US"/>
                </w:rPr>
                <m:t>d</m:t>
              </m:r>
            </m:e>
            <m:sub>
              <m:r>
                <w:rPr>
                  <w:rStyle w:val="Bodytext31Sylfaen9"/>
                  <w:rFonts w:ascii="Cambria Math"/>
                  <w:sz w:val="24"/>
                  <w:szCs w:val="24"/>
                  <w:lang w:val="en-US"/>
                </w:rPr>
                <m:t>20</m:t>
              </m:r>
            </m:sub>
            <m:sup>
              <m:r>
                <w:rPr>
                  <w:rStyle w:val="Bodytext31Sylfaen9"/>
                  <w:rFonts w:ascii="Cambria Math"/>
                  <w:sz w:val="24"/>
                  <w:szCs w:val="24"/>
                  <w:lang w:val="en-US"/>
                </w:rPr>
                <m:t>20</m:t>
              </m:r>
            </m:sup>
          </m:sSubSup>
          <m:r>
            <w:rPr>
              <w:rStyle w:val="Bodytext31Sylfaen9"/>
              <w:rFonts w:ascii="Cambria Math" w:hAnsi="Cambria Math"/>
              <w:sz w:val="24"/>
              <w:szCs w:val="24"/>
            </w:rPr>
            <m:t>մոտ</m:t>
          </m:r>
          <m:r>
            <w:rPr>
              <w:rStyle w:val="Bodytext31Sylfaen9"/>
              <w:rFonts w:ascii="Cambria Math"/>
              <w:sz w:val="24"/>
              <w:szCs w:val="24"/>
            </w:rPr>
            <m:t xml:space="preserve"> 1,596</m:t>
          </m:r>
        </m:oMath>
      </m:oMathPara>
    </w:p>
    <w:p w14:paraId="6F102EC2" w14:textId="77777777" w:rsidR="00B834A2" w:rsidRPr="00B834A2" w:rsidRDefault="00B834A2" w:rsidP="00840EC5">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lastRenderedPageBreak/>
        <w:t>Եռման ջերմաստիճանը՝ մոտ 59 °С։</w:t>
      </w:r>
    </w:p>
    <w:p w14:paraId="5ADEAD6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Ռ2 դիօքսանի լուծույթ։</w:t>
      </w:r>
    </w:p>
    <w:p w14:paraId="2BAF3C09" w14:textId="77777777" w:rsidR="00B834A2" w:rsidRPr="00B834A2" w:rsidRDefault="00B834A2" w:rsidP="00840EC5">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2,0 մլ Ռ դիօքսանի լուծույթը Ռ ջրով հասցնում են մինչեւ 50,0 մլ ծավալի։</w:t>
      </w:r>
    </w:p>
    <w:p w14:paraId="7C9EE328"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 xml:space="preserve">(դիօքսանի </w:t>
      </w:r>
      <w:r w:rsidRPr="00840EC5">
        <w:rPr>
          <w:rStyle w:val="Bodytext285pt"/>
          <w:i w:val="0"/>
          <w:spacing w:val="0"/>
          <w:sz w:val="24"/>
          <w:szCs w:val="24"/>
        </w:rPr>
        <w:t>0,02</w:t>
      </w:r>
      <w:r w:rsidRPr="00840EC5">
        <w:rPr>
          <w:rStyle w:val="Bodytext31Sylfaen9"/>
          <w:i w:val="0"/>
          <w:sz w:val="24"/>
          <w:szCs w:val="24"/>
        </w:rPr>
        <w:t xml:space="preserve"> մգ/մլ):</w:t>
      </w:r>
    </w:p>
    <w:p w14:paraId="767D7714"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2,2'-Դի(օկտադեցիկօքսի)-5,5'-սպիրոբի(1,3,2-դի-օքսաֆոսֆորինան):</w:t>
      </w:r>
    </w:p>
    <w:p w14:paraId="464E3CB7"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color w:val="000000" w:themeColor="text1"/>
          <w:sz w:val="24"/>
          <w:szCs w:val="24"/>
        </w:rPr>
        <w:t>С</w:t>
      </w:r>
      <w:r w:rsidRPr="00840EC5">
        <w:rPr>
          <w:rStyle w:val="Bodytext31Sylfaen9"/>
          <w:i w:val="0"/>
          <w:color w:val="000000" w:themeColor="text1"/>
          <w:sz w:val="24"/>
          <w:szCs w:val="24"/>
          <w:vertAlign w:val="subscript"/>
        </w:rPr>
        <w:t>41</w:t>
      </w:r>
      <w:r w:rsidRPr="00840EC5">
        <w:rPr>
          <w:rStyle w:val="Bodytext31Sylfaen9"/>
          <w:i w:val="0"/>
          <w:color w:val="000000" w:themeColor="text1"/>
          <w:sz w:val="24"/>
          <w:szCs w:val="24"/>
        </w:rPr>
        <w:t>Н</w:t>
      </w:r>
      <w:r w:rsidRPr="00840EC5">
        <w:rPr>
          <w:rStyle w:val="Bodytext31Sylfaen9"/>
          <w:i w:val="0"/>
          <w:color w:val="000000" w:themeColor="text1"/>
          <w:sz w:val="24"/>
          <w:szCs w:val="24"/>
          <w:vertAlign w:val="subscript"/>
        </w:rPr>
        <w:t>82</w:t>
      </w:r>
      <w:r w:rsidRPr="00840EC5">
        <w:rPr>
          <w:rStyle w:val="Bodytext31Sylfaen9"/>
          <w:i w:val="0"/>
          <w:color w:val="000000" w:themeColor="text1"/>
          <w:sz w:val="24"/>
          <w:szCs w:val="24"/>
        </w:rPr>
        <w:t>О</w:t>
      </w:r>
      <w:r w:rsidRPr="00840EC5">
        <w:rPr>
          <w:rStyle w:val="Bodytext31Sylfaen9"/>
          <w:i w:val="0"/>
          <w:color w:val="000000" w:themeColor="text1"/>
          <w:sz w:val="24"/>
          <w:szCs w:val="24"/>
          <w:vertAlign w:val="subscript"/>
        </w:rPr>
        <w:t>6</w:t>
      </w:r>
      <w:r w:rsidRPr="00840EC5">
        <w:rPr>
          <w:rStyle w:val="Bodytext31Sylfaen9"/>
          <w:i w:val="0"/>
          <w:color w:val="000000" w:themeColor="text1"/>
          <w:sz w:val="24"/>
          <w:szCs w:val="24"/>
        </w:rPr>
        <w:t>Р</w:t>
      </w:r>
      <w:r w:rsidRPr="00840EC5">
        <w:rPr>
          <w:rStyle w:val="Bodytext31Sylfaen9"/>
          <w:i w:val="0"/>
          <w:color w:val="000000" w:themeColor="text1"/>
          <w:sz w:val="24"/>
          <w:szCs w:val="24"/>
          <w:vertAlign w:val="subscript"/>
        </w:rPr>
        <w:t>2</w:t>
      </w:r>
      <w:r w:rsidRPr="00840EC5">
        <w:rPr>
          <w:rStyle w:val="Bodytext31Sylfaen9"/>
          <w:i w:val="0"/>
          <w:sz w:val="24"/>
          <w:szCs w:val="24"/>
        </w:rPr>
        <w:t>: (</w:t>
      </w:r>
      <w:r w:rsidRPr="00840EC5">
        <w:rPr>
          <w:rStyle w:val="Bodytext2Italic"/>
          <w:i w:val="0"/>
          <w:sz w:val="24"/>
          <w:szCs w:val="24"/>
        </w:rPr>
        <w:t>М</w:t>
      </w:r>
      <w:r w:rsidRPr="00840EC5">
        <w:rPr>
          <w:rStyle w:val="Bodytext2Italic"/>
          <w:i w:val="0"/>
          <w:sz w:val="24"/>
          <w:szCs w:val="24"/>
          <w:vertAlign w:val="subscript"/>
        </w:rPr>
        <w:t>r</w:t>
      </w:r>
      <w:r w:rsidRPr="00840EC5">
        <w:rPr>
          <w:rStyle w:val="Bodytext31Sylfaen9"/>
          <w:i w:val="0"/>
          <w:sz w:val="24"/>
          <w:szCs w:val="24"/>
          <w:vertAlign w:val="subscript"/>
        </w:rPr>
        <w:t xml:space="preserve"> </w:t>
      </w:r>
      <w:r w:rsidRPr="00840EC5">
        <w:rPr>
          <w:rStyle w:val="Bodytext31Sylfaen9"/>
          <w:i w:val="0"/>
          <w:sz w:val="24"/>
          <w:szCs w:val="24"/>
        </w:rPr>
        <w:t>733,0): Պոլիմերային թիվ 14 նյութի հավելանյութ:</w:t>
      </w:r>
    </w:p>
    <w:p w14:paraId="427C1B7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Սպիտակ կամ գրեթե սպիտակ պինդ մոմանման նյութ։ Գործնականորեն լուծելի չէ ջրում, լուծելի է ածխաջրածիններում:</w:t>
      </w:r>
    </w:p>
    <w:p w14:paraId="2E3655AF"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Հալման ջերմաստիճանը՝ 40 °С-ից մինչեւ 70 °С։</w:t>
      </w:r>
    </w:p>
    <w:p w14:paraId="7581EFEA" w14:textId="77777777" w:rsidR="00B834A2" w:rsidRPr="00840EC5" w:rsidRDefault="00B834A2" w:rsidP="00840EC5">
      <w:pPr>
        <w:pStyle w:val="Bodytext20"/>
        <w:shd w:val="clear" w:color="auto" w:fill="auto"/>
        <w:spacing w:before="0" w:after="160" w:line="360" w:lineRule="auto"/>
        <w:ind w:firstLine="567"/>
        <w:jc w:val="both"/>
        <w:rPr>
          <w:rStyle w:val="Bodytext31Sylfaen9"/>
          <w:b/>
          <w:i w:val="0"/>
          <w:sz w:val="24"/>
          <w:szCs w:val="24"/>
        </w:rPr>
      </w:pPr>
      <w:r w:rsidRPr="00840EC5">
        <w:rPr>
          <w:rStyle w:val="Bodytext31Sylfaen9"/>
          <w:b/>
          <w:i w:val="0"/>
          <w:sz w:val="24"/>
          <w:szCs w:val="24"/>
        </w:rPr>
        <w:t>Դինոնիլֆտալատ՝ տետրահիդրոֆուրանի մեջ՝ քրոմատագրման համար:</w:t>
      </w:r>
    </w:p>
    <w:p w14:paraId="14DDDFF1" w14:textId="77777777" w:rsidR="00B834A2" w:rsidRPr="00840EC5" w:rsidRDefault="00B834A2" w:rsidP="00840EC5">
      <w:pPr>
        <w:pStyle w:val="Bodytext20"/>
        <w:shd w:val="clear" w:color="auto" w:fill="auto"/>
        <w:spacing w:before="0" w:after="160" w:line="360" w:lineRule="auto"/>
        <w:ind w:firstLine="567"/>
        <w:jc w:val="both"/>
        <w:rPr>
          <w:rStyle w:val="Bodytext2Italic"/>
          <w:i w:val="0"/>
          <w:sz w:val="24"/>
          <w:szCs w:val="24"/>
        </w:rPr>
      </w:pPr>
      <w:r w:rsidRPr="00840EC5">
        <w:rPr>
          <w:rStyle w:val="Bodytext31Sylfaen9"/>
          <w:i w:val="0"/>
          <w:sz w:val="24"/>
          <w:szCs w:val="24"/>
        </w:rPr>
        <w:t>1 մլ/լ С</w:t>
      </w:r>
      <w:r w:rsidRPr="00840EC5">
        <w:rPr>
          <w:rStyle w:val="Bodytext285pt"/>
          <w:i w:val="0"/>
          <w:spacing w:val="0"/>
          <w:sz w:val="24"/>
          <w:szCs w:val="24"/>
          <w:vertAlign w:val="subscript"/>
        </w:rPr>
        <w:t>26</w:t>
      </w:r>
      <w:r w:rsidRPr="00840EC5">
        <w:rPr>
          <w:rStyle w:val="Bodytext31Sylfaen9"/>
          <w:i w:val="0"/>
          <w:sz w:val="24"/>
          <w:szCs w:val="24"/>
        </w:rPr>
        <w:t>Н</w:t>
      </w:r>
      <w:r w:rsidRPr="00840EC5">
        <w:rPr>
          <w:rStyle w:val="Bodytext285pt"/>
          <w:i w:val="0"/>
          <w:spacing w:val="0"/>
          <w:sz w:val="24"/>
          <w:szCs w:val="24"/>
          <w:vertAlign w:val="subscript"/>
        </w:rPr>
        <w:t>42</w:t>
      </w:r>
      <w:r w:rsidRPr="00840EC5">
        <w:rPr>
          <w:rStyle w:val="Bodytext31Sylfaen9"/>
          <w:i w:val="0"/>
          <w:sz w:val="24"/>
          <w:szCs w:val="24"/>
        </w:rPr>
        <w:t>О</w:t>
      </w:r>
      <w:r w:rsidRPr="00840EC5">
        <w:rPr>
          <w:rStyle w:val="Bodytext285pt"/>
          <w:i w:val="0"/>
          <w:spacing w:val="0"/>
          <w:sz w:val="24"/>
          <w:szCs w:val="24"/>
          <w:vertAlign w:val="subscript"/>
        </w:rPr>
        <w:t>4</w:t>
      </w:r>
      <w:r w:rsidRPr="00840EC5">
        <w:rPr>
          <w:rStyle w:val="Bodytext31Sylfaen9"/>
          <w:i w:val="0"/>
          <w:sz w:val="24"/>
          <w:szCs w:val="24"/>
        </w:rPr>
        <w:t xml:space="preserve"> լուծույթ </w:t>
      </w:r>
      <w:r w:rsidRPr="00840EC5">
        <w:rPr>
          <w:rStyle w:val="Bodytext2Italic"/>
          <w:i w:val="0"/>
          <w:sz w:val="24"/>
          <w:szCs w:val="24"/>
        </w:rPr>
        <w:t>տետրահիդրոֆուրանի մեջ՝ ոչ Ռ քրոմատագրման համար:</w:t>
      </w:r>
    </w:p>
    <w:p w14:paraId="1EE4E4D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 xml:space="preserve">Դինոնիլֆտալատ՝ 96 % </w:t>
      </w:r>
      <w:r w:rsidRPr="00840EC5">
        <w:rPr>
          <w:rStyle w:val="Bodytext2Italic"/>
          <w:b/>
          <w:sz w:val="24"/>
          <w:szCs w:val="24"/>
        </w:rPr>
        <w:t>էթանոլի</w:t>
      </w:r>
      <w:r w:rsidRPr="00840EC5">
        <w:rPr>
          <w:rStyle w:val="Bodytext2Italic"/>
          <w:b/>
          <w:i w:val="0"/>
          <w:sz w:val="24"/>
          <w:szCs w:val="24"/>
        </w:rPr>
        <w:t xml:space="preserve"> մեջ:</w:t>
      </w:r>
    </w:p>
    <w:p w14:paraId="4E2AC53F" w14:textId="77777777" w:rsidR="00B834A2" w:rsidRPr="00840EC5" w:rsidRDefault="00B834A2" w:rsidP="00840EC5">
      <w:pPr>
        <w:pStyle w:val="Bodytext20"/>
        <w:shd w:val="clear" w:color="auto" w:fill="auto"/>
        <w:spacing w:before="0" w:after="160" w:line="360" w:lineRule="auto"/>
        <w:ind w:firstLine="567"/>
        <w:jc w:val="both"/>
        <w:rPr>
          <w:rStyle w:val="Bodytext2Italic"/>
          <w:i w:val="0"/>
          <w:sz w:val="24"/>
          <w:szCs w:val="24"/>
        </w:rPr>
      </w:pPr>
      <w:r w:rsidRPr="00840EC5">
        <w:rPr>
          <w:rStyle w:val="Bodytext31Sylfaen9"/>
          <w:i w:val="0"/>
          <w:sz w:val="24"/>
          <w:szCs w:val="24"/>
        </w:rPr>
        <w:t>5 մկգ/լ С</w:t>
      </w:r>
      <w:r w:rsidRPr="00840EC5">
        <w:rPr>
          <w:rStyle w:val="Bodytext285pt"/>
          <w:i w:val="0"/>
          <w:spacing w:val="0"/>
          <w:sz w:val="24"/>
          <w:szCs w:val="24"/>
          <w:vertAlign w:val="subscript"/>
        </w:rPr>
        <w:t>26</w:t>
      </w:r>
      <w:r w:rsidRPr="00840EC5">
        <w:rPr>
          <w:rStyle w:val="Bodytext31Sylfaen9"/>
          <w:i w:val="0"/>
          <w:sz w:val="24"/>
          <w:szCs w:val="24"/>
        </w:rPr>
        <w:t>Н</w:t>
      </w:r>
      <w:r w:rsidRPr="00840EC5">
        <w:rPr>
          <w:rStyle w:val="Bodytext285pt"/>
          <w:i w:val="0"/>
          <w:spacing w:val="0"/>
          <w:sz w:val="24"/>
          <w:szCs w:val="24"/>
          <w:vertAlign w:val="subscript"/>
        </w:rPr>
        <w:t>42</w:t>
      </w:r>
      <w:r w:rsidRPr="00840EC5">
        <w:rPr>
          <w:rStyle w:val="Bodytext31Sylfaen9"/>
          <w:i w:val="0"/>
          <w:sz w:val="24"/>
          <w:szCs w:val="24"/>
        </w:rPr>
        <w:t>О</w:t>
      </w:r>
      <w:r w:rsidRPr="00840EC5">
        <w:rPr>
          <w:rStyle w:val="Bodytext285pt"/>
          <w:i w:val="0"/>
          <w:spacing w:val="0"/>
          <w:sz w:val="24"/>
          <w:szCs w:val="24"/>
          <w:vertAlign w:val="subscript"/>
        </w:rPr>
        <w:t>4</w:t>
      </w:r>
      <w:r w:rsidRPr="00840EC5">
        <w:rPr>
          <w:rStyle w:val="Bodytext31Sylfaen9"/>
          <w:i w:val="0"/>
          <w:sz w:val="24"/>
          <w:szCs w:val="24"/>
        </w:rPr>
        <w:t xml:space="preserve"> լուծույթ՝ </w:t>
      </w:r>
      <w:r w:rsidRPr="00840EC5">
        <w:rPr>
          <w:rStyle w:val="Bodytext2Italic"/>
          <w:i w:val="0"/>
          <w:sz w:val="24"/>
          <w:szCs w:val="24"/>
        </w:rPr>
        <w:t>Ռ էթանոլի (96 %) մեջ:</w:t>
      </w:r>
    </w:p>
    <w:p w14:paraId="59DDD8E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Դիտիզոն՝ մեթիլենքլորիդի մեջ:</w:t>
      </w:r>
    </w:p>
    <w:p w14:paraId="2ED60528" w14:textId="77777777" w:rsidR="00B834A2" w:rsidRPr="00840EC5" w:rsidRDefault="00B834A2" w:rsidP="00840EC5">
      <w:pPr>
        <w:pStyle w:val="Bodytext20"/>
        <w:shd w:val="clear" w:color="auto" w:fill="auto"/>
        <w:spacing w:before="0" w:after="160" w:line="360" w:lineRule="auto"/>
        <w:ind w:firstLine="567"/>
        <w:jc w:val="both"/>
        <w:rPr>
          <w:rStyle w:val="Bodytext2Italic"/>
          <w:i w:val="0"/>
          <w:sz w:val="24"/>
          <w:szCs w:val="24"/>
        </w:rPr>
      </w:pPr>
      <w:r w:rsidRPr="00840EC5">
        <w:rPr>
          <w:rStyle w:val="Bodytext31Sylfaen9"/>
          <w:i w:val="0"/>
          <w:sz w:val="24"/>
          <w:szCs w:val="24"/>
        </w:rPr>
        <w:t>0,02 գ/լ С/</w:t>
      </w:r>
      <w:r w:rsidRPr="00840EC5">
        <w:rPr>
          <w:rStyle w:val="Bodytext285pt"/>
          <w:i w:val="0"/>
          <w:spacing w:val="0"/>
          <w:sz w:val="24"/>
          <w:szCs w:val="24"/>
          <w:vertAlign w:val="subscript"/>
        </w:rPr>
        <w:t>13</w:t>
      </w:r>
      <w:r w:rsidRPr="00840EC5">
        <w:rPr>
          <w:rStyle w:val="Bodytext31Sylfaen9"/>
          <w:i w:val="0"/>
          <w:sz w:val="24"/>
          <w:szCs w:val="24"/>
        </w:rPr>
        <w:t xml:space="preserve"> H</w:t>
      </w:r>
      <w:r w:rsidRPr="00840EC5">
        <w:rPr>
          <w:rStyle w:val="Bodytext285pt"/>
          <w:i w:val="0"/>
          <w:spacing w:val="0"/>
          <w:sz w:val="24"/>
          <w:szCs w:val="24"/>
          <w:vertAlign w:val="subscript"/>
        </w:rPr>
        <w:t>12</w:t>
      </w:r>
      <w:r w:rsidRPr="00840EC5">
        <w:rPr>
          <w:rStyle w:val="Bodytext31Sylfaen9"/>
          <w:i w:val="0"/>
          <w:sz w:val="24"/>
          <w:szCs w:val="24"/>
        </w:rPr>
        <w:t xml:space="preserve"> N</w:t>
      </w:r>
      <w:r w:rsidRPr="00840EC5">
        <w:rPr>
          <w:rStyle w:val="Bodytext285pt"/>
          <w:i w:val="0"/>
          <w:spacing w:val="0"/>
          <w:sz w:val="24"/>
          <w:szCs w:val="24"/>
          <w:vertAlign w:val="subscript"/>
        </w:rPr>
        <w:t>4</w:t>
      </w:r>
      <w:r w:rsidRPr="00840EC5">
        <w:rPr>
          <w:rStyle w:val="Bodytext285pt"/>
          <w:i w:val="0"/>
          <w:spacing w:val="0"/>
          <w:sz w:val="24"/>
          <w:szCs w:val="24"/>
        </w:rPr>
        <w:t>S</w:t>
      </w:r>
      <w:r w:rsidRPr="00840EC5">
        <w:rPr>
          <w:rStyle w:val="Bodytext31Sylfaen9"/>
          <w:i w:val="0"/>
          <w:sz w:val="24"/>
          <w:szCs w:val="24"/>
        </w:rPr>
        <w:t xml:space="preserve"> լուծույթ՝ </w:t>
      </w:r>
      <w:r w:rsidRPr="00840EC5">
        <w:rPr>
          <w:rStyle w:val="Bodytext2Italic"/>
          <w:i w:val="0"/>
          <w:sz w:val="24"/>
          <w:szCs w:val="24"/>
        </w:rPr>
        <w:t>Ռ մեթիլենքոլիդի մեջ:</w:t>
      </w:r>
    </w:p>
    <w:p w14:paraId="6390AC1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Դիքլորֆենոլինդոֆենոլի նատրիումական աղ՝ 96 % էթանոլի մեջ:</w:t>
      </w:r>
    </w:p>
    <w:p w14:paraId="4025EE8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2 գ/լ С</w:t>
      </w:r>
      <w:r w:rsidRPr="00840EC5">
        <w:rPr>
          <w:rStyle w:val="Bodytext31Sylfaen9"/>
          <w:i w:val="0"/>
          <w:sz w:val="24"/>
          <w:szCs w:val="24"/>
          <w:vertAlign w:val="subscript"/>
        </w:rPr>
        <w:t>1</w:t>
      </w:r>
      <w:r w:rsidRPr="00840EC5">
        <w:rPr>
          <w:rStyle w:val="Bodytext285pt"/>
          <w:i w:val="0"/>
          <w:spacing w:val="0"/>
          <w:sz w:val="24"/>
          <w:szCs w:val="24"/>
          <w:vertAlign w:val="subscript"/>
        </w:rPr>
        <w:t>2</w:t>
      </w:r>
      <w:r w:rsidRPr="00840EC5">
        <w:rPr>
          <w:rStyle w:val="Bodytext31Sylfaen9"/>
          <w:i w:val="0"/>
          <w:sz w:val="24"/>
          <w:szCs w:val="24"/>
        </w:rPr>
        <w:t>11</w:t>
      </w:r>
      <w:r w:rsidRPr="00840EC5">
        <w:rPr>
          <w:rStyle w:val="Bodytext31Sylfaen9"/>
          <w:i w:val="0"/>
          <w:sz w:val="24"/>
          <w:szCs w:val="24"/>
          <w:vertAlign w:val="subscript"/>
        </w:rPr>
        <w:t>6</w:t>
      </w:r>
      <w:r w:rsidRPr="00840EC5">
        <w:rPr>
          <w:rStyle w:val="Bodytext31Sylfaen9"/>
          <w:i w:val="0"/>
          <w:sz w:val="24"/>
          <w:szCs w:val="24"/>
        </w:rPr>
        <w:t>С1</w:t>
      </w:r>
      <w:r w:rsidRPr="00840EC5">
        <w:rPr>
          <w:rStyle w:val="Bodytext285pt"/>
          <w:i w:val="0"/>
          <w:spacing w:val="0"/>
          <w:sz w:val="24"/>
          <w:szCs w:val="24"/>
          <w:vertAlign w:val="subscript"/>
        </w:rPr>
        <w:t>2</w:t>
      </w:r>
      <w:r w:rsidRPr="00840EC5">
        <w:rPr>
          <w:rStyle w:val="Bodytext31Sylfaen9"/>
          <w:i w:val="0"/>
          <w:sz w:val="24"/>
          <w:szCs w:val="24"/>
        </w:rPr>
        <w:t>N NаО</w:t>
      </w:r>
      <w:r w:rsidRPr="00840EC5">
        <w:rPr>
          <w:rStyle w:val="Bodytext285pt"/>
          <w:i w:val="0"/>
          <w:spacing w:val="0"/>
          <w:sz w:val="24"/>
          <w:szCs w:val="24"/>
          <w:vertAlign w:val="subscript"/>
        </w:rPr>
        <w:t>2</w:t>
      </w:r>
      <w:r w:rsidRPr="00840EC5">
        <w:rPr>
          <w:rStyle w:val="Bodytext31Sylfaen9"/>
          <w:i w:val="0"/>
          <w:sz w:val="24"/>
          <w:szCs w:val="24"/>
        </w:rPr>
        <w:t xml:space="preserve"> . 2H</w:t>
      </w:r>
      <w:r w:rsidRPr="00840EC5">
        <w:rPr>
          <w:rStyle w:val="Bodytext31Sylfaen9"/>
          <w:i w:val="0"/>
          <w:sz w:val="24"/>
          <w:szCs w:val="24"/>
          <w:vertAlign w:val="subscript"/>
        </w:rPr>
        <w:t>2</w:t>
      </w:r>
      <w:r w:rsidRPr="00840EC5">
        <w:rPr>
          <w:rStyle w:val="Bodytext31Sylfaen9"/>
          <w:i w:val="0"/>
          <w:sz w:val="24"/>
          <w:szCs w:val="24"/>
        </w:rPr>
        <w:t xml:space="preserve">О լուծույթ՝ </w:t>
      </w:r>
      <w:r w:rsidRPr="00840EC5">
        <w:rPr>
          <w:rStyle w:val="Bodytext2Italic"/>
          <w:i w:val="0"/>
          <w:sz w:val="24"/>
          <w:szCs w:val="24"/>
        </w:rPr>
        <w:t>Ռ էթանոլի (96 %) մեջ:</w:t>
      </w:r>
    </w:p>
    <w:p w14:paraId="0A3C8F88"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Դիքլորֆլուորեսցեին՝ 96 % էթանոլի մեջ:</w:t>
      </w:r>
    </w:p>
    <w:p w14:paraId="505B09C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2 գ/լ С</w:t>
      </w:r>
      <w:r w:rsidRPr="00840EC5">
        <w:rPr>
          <w:rStyle w:val="Bodytext31Sylfaen9"/>
          <w:i w:val="0"/>
          <w:sz w:val="24"/>
          <w:szCs w:val="24"/>
          <w:vertAlign w:val="subscript"/>
        </w:rPr>
        <w:t>20</w:t>
      </w:r>
      <w:r w:rsidRPr="00840EC5">
        <w:rPr>
          <w:rStyle w:val="Bodytext31Sylfaen9"/>
          <w:i w:val="0"/>
          <w:sz w:val="24"/>
          <w:szCs w:val="24"/>
        </w:rPr>
        <w:t>Н</w:t>
      </w:r>
      <w:r w:rsidRPr="00840EC5">
        <w:rPr>
          <w:rStyle w:val="Bodytext31Sylfaen9"/>
          <w:i w:val="0"/>
          <w:sz w:val="24"/>
          <w:szCs w:val="24"/>
          <w:vertAlign w:val="subscript"/>
        </w:rPr>
        <w:t>10</w:t>
      </w:r>
      <w:r w:rsidRPr="00840EC5">
        <w:rPr>
          <w:rStyle w:val="Bodytext31Sylfaen9"/>
          <w:i w:val="0"/>
          <w:sz w:val="24"/>
          <w:szCs w:val="24"/>
        </w:rPr>
        <w:t>Сl</w:t>
      </w:r>
      <w:r w:rsidRPr="00840EC5">
        <w:rPr>
          <w:rStyle w:val="Bodytext31Sylfaen9"/>
          <w:i w:val="0"/>
          <w:sz w:val="24"/>
          <w:szCs w:val="24"/>
          <w:vertAlign w:val="subscript"/>
        </w:rPr>
        <w:t>2</w:t>
      </w:r>
      <w:r w:rsidRPr="00840EC5">
        <w:rPr>
          <w:rStyle w:val="Bodytext31Sylfaen9"/>
          <w:i w:val="0"/>
          <w:sz w:val="24"/>
          <w:szCs w:val="24"/>
        </w:rPr>
        <w:t>О</w:t>
      </w:r>
      <w:r w:rsidRPr="00840EC5">
        <w:rPr>
          <w:rStyle w:val="Bodytext31Sylfaen9"/>
          <w:i w:val="0"/>
          <w:sz w:val="24"/>
          <w:szCs w:val="24"/>
          <w:vertAlign w:val="subscript"/>
        </w:rPr>
        <w:t>5</w:t>
      </w:r>
      <w:r w:rsidRPr="00840EC5">
        <w:rPr>
          <w:rStyle w:val="Bodytext31Sylfaen9"/>
          <w:i w:val="0"/>
          <w:sz w:val="24"/>
          <w:szCs w:val="24"/>
        </w:rPr>
        <w:t xml:space="preserve"> լուծույթ՝ </w:t>
      </w:r>
      <w:r w:rsidRPr="00840EC5">
        <w:rPr>
          <w:rStyle w:val="Bodytext2Italic"/>
          <w:i w:val="0"/>
          <w:sz w:val="24"/>
          <w:szCs w:val="24"/>
        </w:rPr>
        <w:t>Ռ էթանոլի (96 %&gt;) մեջ:</w:t>
      </w:r>
    </w:p>
    <w:p w14:paraId="4F92178A"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Դոկոզահեքսաենաթթվի մեթիլային եթեր:</w:t>
      </w:r>
      <w:r w:rsidRPr="00840EC5">
        <w:rPr>
          <w:rStyle w:val="Bodytext31Sylfaen9"/>
          <w:i w:val="0"/>
          <w:sz w:val="24"/>
          <w:szCs w:val="24"/>
        </w:rPr>
        <w:t xml:space="preserve"> С</w:t>
      </w:r>
      <w:r w:rsidRPr="00840EC5">
        <w:rPr>
          <w:rStyle w:val="Bodytext31Sylfaen9"/>
          <w:i w:val="0"/>
          <w:sz w:val="24"/>
          <w:szCs w:val="24"/>
          <w:vertAlign w:val="subscript"/>
        </w:rPr>
        <w:t>2</w:t>
      </w:r>
      <w:r w:rsidRPr="00840EC5">
        <w:rPr>
          <w:rStyle w:val="Bodytext285pt"/>
          <w:i w:val="0"/>
          <w:spacing w:val="0"/>
          <w:sz w:val="24"/>
          <w:szCs w:val="24"/>
          <w:vertAlign w:val="subscript"/>
        </w:rPr>
        <w:t>3</w:t>
      </w:r>
      <w:r w:rsidRPr="00840EC5">
        <w:rPr>
          <w:rStyle w:val="Bodytext31Sylfaen9"/>
          <w:i w:val="0"/>
          <w:sz w:val="24"/>
          <w:szCs w:val="24"/>
        </w:rPr>
        <w:t>Н</w:t>
      </w:r>
      <w:r w:rsidRPr="00840EC5">
        <w:rPr>
          <w:rStyle w:val="Bodytext285pt"/>
          <w:i w:val="0"/>
          <w:spacing w:val="0"/>
          <w:sz w:val="24"/>
          <w:szCs w:val="24"/>
          <w:vertAlign w:val="subscript"/>
        </w:rPr>
        <w:t>34</w:t>
      </w:r>
      <w:r w:rsidRPr="00840EC5">
        <w:rPr>
          <w:rStyle w:val="Bodytext31Sylfaen9"/>
          <w:i w:val="0"/>
          <w:sz w:val="24"/>
          <w:szCs w:val="24"/>
        </w:rPr>
        <w:t>О</w:t>
      </w:r>
      <w:r w:rsidRPr="00840EC5">
        <w:rPr>
          <w:rStyle w:val="Bodytext285pt"/>
          <w:i w:val="0"/>
          <w:spacing w:val="0"/>
          <w:sz w:val="24"/>
          <w:szCs w:val="24"/>
          <w:vertAlign w:val="subscript"/>
        </w:rPr>
        <w:t>2</w:t>
      </w:r>
      <w:r w:rsidRPr="00840EC5">
        <w:rPr>
          <w:rStyle w:val="Bodytext31Sylfaen9"/>
          <w:i w:val="0"/>
          <w:sz w:val="24"/>
          <w:szCs w:val="24"/>
        </w:rPr>
        <w:t>. (М</w:t>
      </w:r>
      <w:r w:rsidRPr="00840EC5">
        <w:rPr>
          <w:rStyle w:val="Bodytext31Sylfaen9"/>
          <w:i w:val="0"/>
          <w:sz w:val="24"/>
          <w:szCs w:val="24"/>
          <w:vertAlign w:val="subscript"/>
        </w:rPr>
        <w:t>r</w:t>
      </w:r>
      <w:r w:rsidRPr="00840EC5">
        <w:rPr>
          <w:rStyle w:val="Bodytext31Sylfaen9"/>
          <w:i w:val="0"/>
          <w:sz w:val="24"/>
          <w:szCs w:val="24"/>
        </w:rPr>
        <w:t xml:space="preserve"> 342,5). [301-01-9]. Ցերվոնային թթվի մեթիլային եթեր:</w:t>
      </w:r>
    </w:p>
    <w:p w14:paraId="329DEE9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(аll-Z)-Դոկոզա-4,7,10,13,16,19-հեքսաենաթթվի մեթիլային եթեր:</w:t>
      </w:r>
    </w:p>
    <w:p w14:paraId="6FD6C815"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lastRenderedPageBreak/>
        <w:t>Պարունակում է 90,0 %-ից ոչ պակաս С</w:t>
      </w:r>
      <w:r w:rsidRPr="00840EC5">
        <w:rPr>
          <w:rStyle w:val="Bodytext285pt"/>
          <w:i w:val="0"/>
          <w:spacing w:val="0"/>
          <w:sz w:val="24"/>
          <w:szCs w:val="24"/>
          <w:vertAlign w:val="subscript"/>
        </w:rPr>
        <w:t>23</w:t>
      </w:r>
      <w:r w:rsidRPr="00840EC5">
        <w:rPr>
          <w:rStyle w:val="Bodytext31Sylfaen9"/>
          <w:i w:val="0"/>
          <w:sz w:val="24"/>
          <w:szCs w:val="24"/>
        </w:rPr>
        <w:t>Н</w:t>
      </w:r>
      <w:r w:rsidRPr="00840EC5">
        <w:rPr>
          <w:rStyle w:val="Bodytext285pt"/>
          <w:i w:val="0"/>
          <w:spacing w:val="0"/>
          <w:sz w:val="24"/>
          <w:szCs w:val="24"/>
          <w:vertAlign w:val="subscript"/>
        </w:rPr>
        <w:t>34</w:t>
      </w:r>
      <w:r w:rsidRPr="00840EC5">
        <w:rPr>
          <w:rStyle w:val="Bodytext31Sylfaen9"/>
          <w:i w:val="0"/>
          <w:sz w:val="24"/>
          <w:szCs w:val="24"/>
        </w:rPr>
        <w:t>О</w:t>
      </w:r>
      <w:r w:rsidRPr="00840EC5">
        <w:rPr>
          <w:rStyle w:val="Bodytext285pt"/>
          <w:i w:val="0"/>
          <w:spacing w:val="0"/>
          <w:sz w:val="24"/>
          <w:szCs w:val="24"/>
          <w:vertAlign w:val="subscript"/>
        </w:rPr>
        <w:t>2</w:t>
      </w:r>
      <w:r w:rsidRPr="00840EC5">
        <w:rPr>
          <w:rStyle w:val="Bodytext31Sylfaen9"/>
          <w:i w:val="0"/>
          <w:sz w:val="24"/>
          <w:szCs w:val="24"/>
        </w:rPr>
        <w:t>: Որոշումը կատարում են գազային քրոմատագրման մեթոդով:</w:t>
      </w:r>
    </w:p>
    <w:p w14:paraId="1DC6B46F"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Իզոպրոպիլմեթանսուլֆոնատ</w:t>
      </w:r>
      <w:r w:rsidRPr="00840EC5">
        <w:rPr>
          <w:rStyle w:val="Bodytext31Sylfaen9"/>
          <w:i w:val="0"/>
          <w:sz w:val="24"/>
          <w:szCs w:val="24"/>
        </w:rPr>
        <w:t>: С</w:t>
      </w:r>
      <w:r w:rsidRPr="00840EC5">
        <w:rPr>
          <w:rStyle w:val="Bodytext285pt"/>
          <w:i w:val="0"/>
          <w:spacing w:val="0"/>
          <w:sz w:val="24"/>
          <w:szCs w:val="24"/>
          <w:vertAlign w:val="subscript"/>
        </w:rPr>
        <w:t>4</w:t>
      </w:r>
      <w:r w:rsidRPr="00840EC5">
        <w:rPr>
          <w:rStyle w:val="Bodytext31Sylfaen9"/>
          <w:i w:val="0"/>
          <w:sz w:val="24"/>
          <w:szCs w:val="24"/>
        </w:rPr>
        <w:t>Н</w:t>
      </w:r>
      <w:r w:rsidRPr="00840EC5">
        <w:rPr>
          <w:rStyle w:val="Bodytext31Sylfaen9"/>
          <w:i w:val="0"/>
          <w:sz w:val="24"/>
          <w:szCs w:val="24"/>
          <w:vertAlign w:val="subscript"/>
        </w:rPr>
        <w:t>10</w:t>
      </w:r>
      <w:r w:rsidRPr="00840EC5">
        <w:rPr>
          <w:rStyle w:val="Bodytext31Sylfaen9"/>
          <w:i w:val="0"/>
          <w:sz w:val="24"/>
          <w:szCs w:val="24"/>
        </w:rPr>
        <w:t>О</w:t>
      </w:r>
      <w:r w:rsidRPr="00840EC5">
        <w:rPr>
          <w:rStyle w:val="Bodytext31Sylfaen9"/>
          <w:i w:val="0"/>
          <w:sz w:val="24"/>
          <w:szCs w:val="24"/>
          <w:vertAlign w:val="subscript"/>
        </w:rPr>
        <w:t>з</w:t>
      </w:r>
      <w:r w:rsidRPr="00840EC5">
        <w:rPr>
          <w:rStyle w:val="Bodytext31Sylfaen9"/>
          <w:i w:val="0"/>
          <w:sz w:val="24"/>
          <w:szCs w:val="24"/>
        </w:rPr>
        <w:t>S. (М</w:t>
      </w:r>
      <w:r w:rsidRPr="00840EC5">
        <w:rPr>
          <w:rStyle w:val="Bodytext31Sylfaen9"/>
          <w:i w:val="0"/>
          <w:sz w:val="24"/>
          <w:szCs w:val="24"/>
          <w:vertAlign w:val="subscript"/>
        </w:rPr>
        <w:t xml:space="preserve">г </w:t>
      </w:r>
      <w:r w:rsidRPr="00840EC5">
        <w:rPr>
          <w:rStyle w:val="Bodytext31Sylfaen9"/>
          <w:i w:val="0"/>
          <w:sz w:val="24"/>
          <w:szCs w:val="24"/>
        </w:rPr>
        <w:t>138,2). [926-06-7].</w:t>
      </w:r>
    </w:p>
    <w:p w14:paraId="6B04C1E4"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285pt"/>
          <w:i w:val="0"/>
          <w:spacing w:val="0"/>
          <w:sz w:val="24"/>
          <w:szCs w:val="24"/>
        </w:rPr>
        <w:t>1</w:t>
      </w:r>
      <w:r w:rsidRPr="00840EC5">
        <w:rPr>
          <w:rStyle w:val="Bodytext31Sylfaen9"/>
          <w:i w:val="0"/>
          <w:sz w:val="24"/>
          <w:szCs w:val="24"/>
        </w:rPr>
        <w:t>-մեթիլէթիլմեթանսուլֆոնատ:</w:t>
      </w:r>
    </w:p>
    <w:p w14:paraId="308F312E"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Թափանցիկ, անգույն հեղուկ։</w:t>
      </w:r>
    </w:p>
    <w:p w14:paraId="005E742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Պարունակում է 99,0 %-ից ոչ պակաս С</w:t>
      </w:r>
      <w:r w:rsidRPr="00840EC5">
        <w:rPr>
          <w:rStyle w:val="Bodytext285pt"/>
          <w:i w:val="0"/>
          <w:spacing w:val="0"/>
          <w:sz w:val="24"/>
          <w:szCs w:val="24"/>
          <w:vertAlign w:val="subscript"/>
        </w:rPr>
        <w:t>4</w:t>
      </w:r>
      <w:r w:rsidRPr="00840EC5">
        <w:rPr>
          <w:rStyle w:val="Bodytext31Sylfaen9"/>
          <w:i w:val="0"/>
          <w:sz w:val="24"/>
          <w:szCs w:val="24"/>
        </w:rPr>
        <w:t>Н</w:t>
      </w:r>
      <w:r w:rsidRPr="00840EC5">
        <w:rPr>
          <w:rStyle w:val="Bodytext285pt"/>
          <w:i w:val="0"/>
          <w:spacing w:val="0"/>
          <w:sz w:val="24"/>
          <w:szCs w:val="24"/>
          <w:vertAlign w:val="subscript"/>
        </w:rPr>
        <w:t>10</w:t>
      </w:r>
      <w:r w:rsidRPr="00840EC5">
        <w:rPr>
          <w:rStyle w:val="Bodytext31Sylfaen9"/>
          <w:i w:val="0"/>
          <w:sz w:val="24"/>
          <w:szCs w:val="24"/>
        </w:rPr>
        <w:t>О</w:t>
      </w:r>
      <w:r w:rsidRPr="00840EC5">
        <w:rPr>
          <w:rStyle w:val="Bodytext31Sylfaen9"/>
          <w:i w:val="0"/>
          <w:sz w:val="24"/>
          <w:szCs w:val="24"/>
          <w:vertAlign w:val="subscript"/>
        </w:rPr>
        <w:t>з</w:t>
      </w:r>
      <w:r w:rsidRPr="00840EC5">
        <w:rPr>
          <w:rStyle w:val="Bodytext31Sylfaen9"/>
          <w:i w:val="0"/>
          <w:sz w:val="24"/>
          <w:szCs w:val="24"/>
        </w:rPr>
        <w:t>S</w:t>
      </w:r>
      <w:r w:rsidRPr="00840EC5">
        <w:rPr>
          <w:rFonts w:ascii="Sylfaen" w:hAnsi="Sylfaen"/>
          <w:i/>
          <w:sz w:val="24"/>
          <w:szCs w:val="24"/>
        </w:rPr>
        <w:t>:</w:t>
      </w:r>
    </w:p>
    <w:p w14:paraId="429B9A3F" w14:textId="77777777" w:rsidR="00B834A2" w:rsidRPr="00A859E3"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Խտությունը՝ մոտ 1,129 գ/սմ</w:t>
      </w:r>
      <w:r w:rsidRPr="00840EC5">
        <w:rPr>
          <w:rStyle w:val="Bodytext285pt"/>
          <w:i w:val="0"/>
          <w:spacing w:val="0"/>
          <w:sz w:val="24"/>
          <w:szCs w:val="24"/>
          <w:vertAlign w:val="superscript"/>
        </w:rPr>
        <w:t>3</w:t>
      </w:r>
      <w:r w:rsidRPr="00840EC5">
        <w:rPr>
          <w:rStyle w:val="Bodytext31Sylfaen9"/>
          <w:i w:val="0"/>
          <w:sz w:val="24"/>
          <w:szCs w:val="24"/>
        </w:rPr>
        <w:t xml:space="preserve"> (20 °С-ի պայմաններում):</w:t>
      </w:r>
    </w:p>
    <w:p w14:paraId="667929B2" w14:textId="77777777" w:rsidR="00840EC5" w:rsidRPr="00840EC5" w:rsidRDefault="00000000" w:rsidP="00840EC5">
      <w:pPr>
        <w:pStyle w:val="Bodytext20"/>
        <w:shd w:val="clear" w:color="auto" w:fill="auto"/>
        <w:spacing w:before="0" w:after="160" w:line="360" w:lineRule="auto"/>
        <w:ind w:firstLine="567"/>
        <w:jc w:val="both"/>
        <w:rPr>
          <w:rFonts w:ascii="Sylfaen" w:hAnsi="Sylfaen" w:cs="Sylfaen"/>
          <w:i/>
          <w:sz w:val="24"/>
          <w:szCs w:val="24"/>
          <w:lang w:val="en-US"/>
        </w:rPr>
      </w:pPr>
      <m:oMathPara>
        <m:oMathParaPr>
          <m:jc m:val="center"/>
        </m:oMathParaPr>
        <m:oMath>
          <m:sSubSup>
            <m:sSubSupPr>
              <m:ctrlPr>
                <w:rPr>
                  <w:rFonts w:ascii="Cambria Math" w:hAnsi="Sylfaen" w:cs="Sylfaen"/>
                  <w:i/>
                  <w:sz w:val="24"/>
                  <w:szCs w:val="24"/>
                  <w:lang w:val="en-US"/>
                </w:rPr>
              </m:ctrlPr>
            </m:sSubSupPr>
            <m:e>
              <m:r>
                <w:rPr>
                  <w:rFonts w:ascii="Cambria Math" w:hAnsi="Cambria Math" w:cs="Sylfaen"/>
                  <w:sz w:val="24"/>
                  <w:szCs w:val="24"/>
                  <w:lang w:val="en-US"/>
                </w:rPr>
                <m:t>n</m:t>
              </m:r>
            </m:e>
            <m:sub>
              <m:r>
                <w:rPr>
                  <w:rFonts w:ascii="Cambria Math" w:hAnsi="Cambria Math" w:cs="Sylfaen"/>
                  <w:sz w:val="24"/>
                  <w:szCs w:val="24"/>
                  <w:lang w:val="en-US"/>
                </w:rPr>
                <m:t>D</m:t>
              </m:r>
            </m:sub>
            <m:sup>
              <m:r>
                <w:rPr>
                  <w:rFonts w:ascii="Cambria Math" w:hAnsi="Sylfaen" w:cs="Sylfaen"/>
                  <w:sz w:val="24"/>
                  <w:szCs w:val="24"/>
                  <w:lang w:val="en-US"/>
                </w:rPr>
                <m:t>20</m:t>
              </m:r>
            </m:sup>
          </m:sSubSup>
          <m:r>
            <w:rPr>
              <w:rStyle w:val="Bodytext31Sylfaen9"/>
              <w:rFonts w:ascii="Cambria Math"/>
              <w:sz w:val="24"/>
              <w:szCs w:val="24"/>
            </w:rPr>
            <m:t>1,418</m:t>
          </m:r>
          <m:r>
            <w:rPr>
              <w:rStyle w:val="Bodytext31Sylfaen9"/>
              <w:rFonts w:ascii="Cambria Math" w:hAnsi="Cambria Math"/>
              <w:sz w:val="24"/>
              <w:szCs w:val="24"/>
            </w:rPr>
            <m:t>-ից</m:t>
          </m:r>
          <m:r>
            <w:rPr>
              <w:rStyle w:val="Bodytext31Sylfaen9"/>
              <w:rFonts w:ascii="Cambria Math"/>
              <w:sz w:val="24"/>
              <w:szCs w:val="24"/>
            </w:rPr>
            <m:t xml:space="preserve"> </m:t>
          </m:r>
          <m:r>
            <w:rPr>
              <w:rStyle w:val="Bodytext31Sylfaen9"/>
              <w:rFonts w:ascii="Cambria Math" w:hAnsi="Cambria Math"/>
              <w:sz w:val="24"/>
              <w:szCs w:val="24"/>
            </w:rPr>
            <m:t>մինչեւ</m:t>
          </m:r>
          <m:r>
            <w:rPr>
              <w:rStyle w:val="Bodytext31Sylfaen9"/>
              <w:rFonts w:ascii="Cambria Math"/>
              <w:sz w:val="24"/>
              <w:szCs w:val="24"/>
            </w:rPr>
            <m:t xml:space="preserve"> 1,421:</m:t>
          </m:r>
        </m:oMath>
      </m:oMathPara>
    </w:p>
    <w:p w14:paraId="51416C7A" w14:textId="77777777" w:rsidR="004A7CC9" w:rsidRDefault="004A7CC9" w:rsidP="00840EC5">
      <w:pPr>
        <w:pStyle w:val="Bodytext20"/>
        <w:shd w:val="clear" w:color="auto" w:fill="auto"/>
        <w:spacing w:before="0" w:after="160" w:line="360" w:lineRule="auto"/>
        <w:ind w:firstLine="567"/>
        <w:jc w:val="both"/>
        <w:rPr>
          <w:rStyle w:val="Bodytext31Sylfaen9"/>
          <w:i w:val="0"/>
          <w:sz w:val="24"/>
          <w:szCs w:val="24"/>
          <w:lang w:val="en-US"/>
        </w:rPr>
      </w:pPr>
    </w:p>
    <w:p w14:paraId="55EB63DA"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 xml:space="preserve">Եռման ջերմաստիճանը՝ մոտ 82 °С՝ </w:t>
      </w:r>
      <w:r w:rsidRPr="00840EC5">
        <w:rPr>
          <w:rStyle w:val="Bodytext285pt"/>
          <w:i w:val="0"/>
          <w:spacing w:val="0"/>
          <w:sz w:val="24"/>
          <w:szCs w:val="24"/>
        </w:rPr>
        <w:t>6</w:t>
      </w:r>
      <w:r w:rsidRPr="00840EC5">
        <w:rPr>
          <w:rStyle w:val="Bodytext31Sylfaen9"/>
          <w:i w:val="0"/>
          <w:sz w:val="24"/>
          <w:szCs w:val="24"/>
        </w:rPr>
        <w:t xml:space="preserve"> մմ ս.ս. ճնշման տակ:</w:t>
      </w:r>
    </w:p>
    <w:p w14:paraId="426292B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Կալիումի հիդրօքսիդ՝ մեթանոլի մեջ:</w:t>
      </w:r>
    </w:p>
    <w:p w14:paraId="5AA42FC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60 գ/լ КОН [</w:t>
      </w:r>
      <w:r w:rsidRPr="00840EC5">
        <w:rPr>
          <w:rFonts w:ascii="Sylfaen" w:eastAsia="Sylfaen" w:hAnsi="Sylfaen" w:cs="Sylfaen"/>
          <w:i/>
          <w:sz w:val="24"/>
          <w:szCs w:val="24"/>
          <w:shd w:val="clear" w:color="auto" w:fill="FFFFFF"/>
        </w:rPr>
        <w:t>kalii hydroxidum</w:t>
      </w:r>
      <w:r w:rsidRPr="00840EC5">
        <w:rPr>
          <w:rStyle w:val="Bodytext31Sylfaen9"/>
          <w:i w:val="0"/>
          <w:sz w:val="24"/>
          <w:szCs w:val="24"/>
        </w:rPr>
        <w:t xml:space="preserve">] լուծույթ՝ </w:t>
      </w:r>
      <w:r w:rsidRPr="00840EC5">
        <w:rPr>
          <w:rStyle w:val="Bodytext2Italic"/>
          <w:i w:val="0"/>
          <w:sz w:val="24"/>
          <w:szCs w:val="24"/>
        </w:rPr>
        <w:t>Ռ մեթանոլի մեջ:</w:t>
      </w:r>
    </w:p>
    <w:p w14:paraId="67C8E9CF"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Մեթանսուլֆոնիլքլորիդ:</w:t>
      </w:r>
      <w:r w:rsidRPr="00840EC5">
        <w:rPr>
          <w:rStyle w:val="Bodytext31Sylfaen9"/>
          <w:i w:val="0"/>
          <w:sz w:val="24"/>
          <w:szCs w:val="24"/>
        </w:rPr>
        <w:t xml:space="preserve"> СH</w:t>
      </w:r>
      <w:r w:rsidRPr="00840EC5">
        <w:rPr>
          <w:rStyle w:val="Bodytext31Sylfaen9"/>
          <w:i w:val="0"/>
          <w:sz w:val="24"/>
          <w:szCs w:val="24"/>
          <w:vertAlign w:val="subscript"/>
        </w:rPr>
        <w:t>з</w:t>
      </w:r>
      <w:r w:rsidRPr="00840EC5">
        <w:rPr>
          <w:rStyle w:val="Bodytext31Sylfaen9"/>
          <w:i w:val="0"/>
          <w:sz w:val="24"/>
          <w:szCs w:val="24"/>
        </w:rPr>
        <w:t>ClО</w:t>
      </w:r>
      <w:r w:rsidRPr="00840EC5">
        <w:rPr>
          <w:rStyle w:val="Bodytext31Sylfaen9"/>
          <w:i w:val="0"/>
          <w:sz w:val="24"/>
          <w:szCs w:val="24"/>
          <w:vertAlign w:val="subscript"/>
        </w:rPr>
        <w:t>2</w:t>
      </w:r>
      <w:r w:rsidRPr="00840EC5">
        <w:rPr>
          <w:rStyle w:val="Bodytext31Sylfaen9"/>
          <w:i w:val="0"/>
          <w:sz w:val="24"/>
          <w:szCs w:val="24"/>
        </w:rPr>
        <w:t xml:space="preserve">S. </w:t>
      </w:r>
      <w:r w:rsidRPr="00840EC5">
        <w:rPr>
          <w:rStyle w:val="Bodytext2Italic"/>
          <w:i w:val="0"/>
          <w:sz w:val="24"/>
          <w:szCs w:val="24"/>
        </w:rPr>
        <w:t>(М</w:t>
      </w:r>
      <w:r w:rsidRPr="00840EC5">
        <w:rPr>
          <w:rStyle w:val="Bodytext2Italic"/>
          <w:i w:val="0"/>
          <w:sz w:val="24"/>
          <w:szCs w:val="24"/>
          <w:vertAlign w:val="subscript"/>
        </w:rPr>
        <w:t xml:space="preserve">r </w:t>
      </w:r>
      <w:r w:rsidRPr="00840EC5">
        <w:rPr>
          <w:rStyle w:val="Bodytext31Sylfaen9"/>
          <w:i w:val="0"/>
          <w:sz w:val="24"/>
          <w:szCs w:val="24"/>
        </w:rPr>
        <w:t>114,6). [124-63-0].</w:t>
      </w:r>
    </w:p>
    <w:p w14:paraId="21BE9D3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Թափանցիկ, անգույն կամ դեղնավուն հեղուկ։</w:t>
      </w:r>
    </w:p>
    <w:p w14:paraId="28A219DA"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Պարունակում է 99,0 %-ից ոչ պակաս CH</w:t>
      </w:r>
      <w:r w:rsidRPr="00840EC5">
        <w:rPr>
          <w:rStyle w:val="Bodytext285pt"/>
          <w:i w:val="0"/>
          <w:spacing w:val="0"/>
          <w:sz w:val="24"/>
          <w:szCs w:val="24"/>
          <w:vertAlign w:val="subscript"/>
        </w:rPr>
        <w:t>3</w:t>
      </w:r>
      <w:r w:rsidRPr="00840EC5">
        <w:rPr>
          <w:rStyle w:val="Bodytext285pt"/>
          <w:i w:val="0"/>
          <w:spacing w:val="0"/>
          <w:sz w:val="24"/>
          <w:szCs w:val="24"/>
        </w:rPr>
        <w:t>ClO</w:t>
      </w:r>
      <w:r w:rsidRPr="00840EC5">
        <w:rPr>
          <w:rStyle w:val="Bodytext285pt"/>
          <w:i w:val="0"/>
          <w:spacing w:val="0"/>
          <w:sz w:val="24"/>
          <w:szCs w:val="24"/>
          <w:vertAlign w:val="subscript"/>
        </w:rPr>
        <w:t>2</w:t>
      </w:r>
      <w:r w:rsidRPr="00840EC5">
        <w:rPr>
          <w:rStyle w:val="Bodytext31Sylfaen9"/>
          <w:i w:val="0"/>
          <w:sz w:val="24"/>
          <w:szCs w:val="24"/>
        </w:rPr>
        <w:t>Տ:</w:t>
      </w:r>
    </w:p>
    <w:p w14:paraId="6DC695F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Խտությունը՝ մոտ 1,48 գ/սմ</w:t>
      </w:r>
      <w:r w:rsidRPr="00840EC5">
        <w:rPr>
          <w:rStyle w:val="Bodytext31Sylfaen9"/>
          <w:i w:val="0"/>
          <w:sz w:val="24"/>
          <w:szCs w:val="24"/>
          <w:vertAlign w:val="superscript"/>
        </w:rPr>
        <w:t>3</w:t>
      </w:r>
      <w:r w:rsidRPr="00840EC5">
        <w:rPr>
          <w:rStyle w:val="Bodytext31Sylfaen9"/>
          <w:i w:val="0"/>
          <w:sz w:val="24"/>
          <w:szCs w:val="24"/>
        </w:rPr>
        <w:t>.</w:t>
      </w:r>
      <w:r w:rsidRPr="00840EC5">
        <w:rPr>
          <w:rStyle w:val="Bodytext2Italic"/>
          <w:i w:val="0"/>
          <w:sz w:val="24"/>
          <w:szCs w:val="24"/>
        </w:rPr>
        <w:t xml:space="preserve"> </w:t>
      </w:r>
      <m:oMath>
        <m:sSubSup>
          <m:sSubSupPr>
            <m:ctrlPr>
              <w:rPr>
                <w:rFonts w:ascii="Cambria Math" w:hAnsi="Sylfaen" w:cs="Sylfaen"/>
                <w:i/>
                <w:sz w:val="24"/>
                <w:szCs w:val="24"/>
                <w:lang w:val="en-US"/>
              </w:rPr>
            </m:ctrlPr>
          </m:sSubSupPr>
          <m:e>
            <m:r>
              <w:rPr>
                <w:rFonts w:ascii="Cambria Math" w:hAnsi="Cambria Math" w:cs="Sylfaen"/>
                <w:sz w:val="24"/>
                <w:szCs w:val="24"/>
              </w:rPr>
              <m:t>n</m:t>
            </m:r>
          </m:e>
          <m:sub>
            <m:r>
              <w:rPr>
                <w:rFonts w:ascii="Cambria Math" w:hAnsi="Cambria Math" w:cs="Sylfaen"/>
                <w:sz w:val="24"/>
                <w:szCs w:val="24"/>
              </w:rPr>
              <m:t>D</m:t>
            </m:r>
          </m:sub>
          <m:sup>
            <m:r>
              <w:rPr>
                <w:rFonts w:ascii="Cambria Math" w:hAnsi="Sylfaen" w:cs="Sylfaen"/>
                <w:sz w:val="24"/>
                <w:szCs w:val="24"/>
              </w:rPr>
              <m:t>20</m:t>
            </m:r>
          </m:sup>
        </m:sSubSup>
      </m:oMath>
      <w:r w:rsidRPr="00840EC5">
        <w:rPr>
          <w:rStyle w:val="Bodytext31Sylfaen9"/>
          <w:i w:val="0"/>
          <w:sz w:val="24"/>
          <w:szCs w:val="24"/>
        </w:rPr>
        <w:t>-ը մոտ 1,452:</w:t>
      </w:r>
    </w:p>
    <w:p w14:paraId="7674E3E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Եռման ջերմաստիճանը՝ մոտ 161 °С։</w:t>
      </w:r>
    </w:p>
    <w:p w14:paraId="7D58CCD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Մեթիլմեթանսուլֆոնատ: С</w:t>
      </w:r>
      <w:r w:rsidRPr="00840EC5">
        <w:rPr>
          <w:rStyle w:val="Bodytext285pt"/>
          <w:i w:val="0"/>
          <w:spacing w:val="0"/>
          <w:sz w:val="24"/>
          <w:szCs w:val="24"/>
          <w:vertAlign w:val="subscript"/>
        </w:rPr>
        <w:t>2</w:t>
      </w:r>
      <w:r w:rsidRPr="00840EC5">
        <w:rPr>
          <w:rStyle w:val="Bodytext31Sylfaen9"/>
          <w:i w:val="0"/>
          <w:sz w:val="24"/>
          <w:szCs w:val="24"/>
        </w:rPr>
        <w:t>Н</w:t>
      </w:r>
      <w:r w:rsidRPr="00840EC5">
        <w:rPr>
          <w:rStyle w:val="Bodytext285pt"/>
          <w:i w:val="0"/>
          <w:spacing w:val="0"/>
          <w:sz w:val="24"/>
          <w:szCs w:val="24"/>
          <w:vertAlign w:val="subscript"/>
        </w:rPr>
        <w:t>6</w:t>
      </w:r>
      <w:r w:rsidRPr="00840EC5">
        <w:rPr>
          <w:rStyle w:val="Bodytext285pt"/>
          <w:i w:val="0"/>
          <w:spacing w:val="0"/>
          <w:sz w:val="24"/>
          <w:szCs w:val="24"/>
        </w:rPr>
        <w:t>O</w:t>
      </w:r>
      <w:r w:rsidRPr="00840EC5">
        <w:rPr>
          <w:rStyle w:val="Bodytext31Sylfaen9"/>
          <w:i w:val="0"/>
          <w:sz w:val="24"/>
          <w:szCs w:val="24"/>
          <w:vertAlign w:val="subscript"/>
        </w:rPr>
        <w:t>з</w:t>
      </w:r>
      <w:r w:rsidRPr="00840EC5">
        <w:rPr>
          <w:rStyle w:val="Bodytext31Sylfaen9"/>
          <w:i w:val="0"/>
          <w:sz w:val="24"/>
          <w:szCs w:val="24"/>
        </w:rPr>
        <w:t xml:space="preserve">S. </w:t>
      </w:r>
      <w:r w:rsidRPr="00840EC5">
        <w:rPr>
          <w:rStyle w:val="Bodytext2Italic"/>
          <w:i w:val="0"/>
          <w:sz w:val="24"/>
          <w:szCs w:val="24"/>
        </w:rPr>
        <w:t>(М</w:t>
      </w:r>
      <w:r w:rsidRPr="00840EC5">
        <w:rPr>
          <w:rFonts w:ascii="Sylfaen" w:hAnsi="Sylfaen"/>
          <w:i/>
          <w:sz w:val="24"/>
          <w:szCs w:val="24"/>
          <w:vertAlign w:val="subscript"/>
        </w:rPr>
        <w:t>r</w:t>
      </w:r>
      <w:r w:rsidRPr="00840EC5">
        <w:rPr>
          <w:rStyle w:val="Bodytext31Sylfaen9"/>
          <w:i w:val="0"/>
          <w:sz w:val="24"/>
          <w:szCs w:val="24"/>
        </w:rPr>
        <w:t>110,1). [66-27-3].</w:t>
      </w:r>
    </w:p>
    <w:p w14:paraId="52B75AE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Թափանցիկ, անգույն կամ դեղնավուն հեղուկ։</w:t>
      </w:r>
    </w:p>
    <w:p w14:paraId="5F27211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Պարունակում է 99,0 %-ից ոչ պակաս С</w:t>
      </w:r>
      <w:r w:rsidRPr="00840EC5">
        <w:rPr>
          <w:rStyle w:val="Bodytext285pt"/>
          <w:i w:val="0"/>
          <w:spacing w:val="0"/>
          <w:sz w:val="24"/>
          <w:szCs w:val="24"/>
          <w:vertAlign w:val="subscript"/>
        </w:rPr>
        <w:t>2</w:t>
      </w:r>
      <w:r w:rsidRPr="00840EC5">
        <w:rPr>
          <w:rStyle w:val="Bodytext31Sylfaen9"/>
          <w:i w:val="0"/>
          <w:sz w:val="24"/>
          <w:szCs w:val="24"/>
        </w:rPr>
        <w:t>Н</w:t>
      </w:r>
      <w:r w:rsidRPr="00840EC5">
        <w:rPr>
          <w:rStyle w:val="Bodytext285pt"/>
          <w:i w:val="0"/>
          <w:spacing w:val="0"/>
          <w:sz w:val="24"/>
          <w:szCs w:val="24"/>
          <w:vertAlign w:val="subscript"/>
        </w:rPr>
        <w:t>6</w:t>
      </w:r>
      <w:r w:rsidRPr="00840EC5">
        <w:rPr>
          <w:rStyle w:val="Bodytext285pt"/>
          <w:i w:val="0"/>
          <w:spacing w:val="0"/>
          <w:sz w:val="24"/>
          <w:szCs w:val="24"/>
        </w:rPr>
        <w:t>O</w:t>
      </w:r>
      <w:r w:rsidRPr="00840EC5">
        <w:rPr>
          <w:rStyle w:val="Bodytext285pt"/>
          <w:i w:val="0"/>
          <w:spacing w:val="0"/>
          <w:sz w:val="24"/>
          <w:szCs w:val="24"/>
          <w:vertAlign w:val="subscript"/>
        </w:rPr>
        <w:t>3</w:t>
      </w:r>
      <w:r w:rsidRPr="00840EC5">
        <w:rPr>
          <w:rStyle w:val="Bodytext285pt"/>
          <w:i w:val="0"/>
          <w:spacing w:val="0"/>
          <w:sz w:val="24"/>
          <w:szCs w:val="24"/>
        </w:rPr>
        <w:t>S</w:t>
      </w:r>
      <w:r w:rsidRPr="00840EC5">
        <w:rPr>
          <w:rFonts w:ascii="Sylfaen" w:hAnsi="Sylfaen"/>
          <w:i/>
          <w:sz w:val="24"/>
          <w:szCs w:val="24"/>
        </w:rPr>
        <w:t>:</w:t>
      </w:r>
    </w:p>
    <w:p w14:paraId="7B2C582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Խտությունը՝ մոտ 1,3 գ/սմ</w:t>
      </w:r>
      <w:r w:rsidRPr="00840EC5">
        <w:rPr>
          <w:rStyle w:val="Bodytext285pt"/>
          <w:i w:val="0"/>
          <w:spacing w:val="0"/>
          <w:sz w:val="24"/>
          <w:szCs w:val="24"/>
          <w:vertAlign w:val="superscript"/>
        </w:rPr>
        <w:t>3</w:t>
      </w:r>
      <w:r w:rsidRPr="00840EC5">
        <w:rPr>
          <w:rStyle w:val="Bodytext31Sylfaen9"/>
          <w:i w:val="0"/>
          <w:sz w:val="24"/>
          <w:szCs w:val="24"/>
        </w:rPr>
        <w:t xml:space="preserve"> (25 °С-ի դեպքում): </w:t>
      </w:r>
      <m:oMath>
        <m:sSubSup>
          <m:sSubSupPr>
            <m:ctrlPr>
              <w:rPr>
                <w:rFonts w:ascii="Cambria Math" w:hAnsi="Sylfaen" w:cs="Sylfaen"/>
                <w:i/>
                <w:sz w:val="24"/>
                <w:szCs w:val="24"/>
                <w:lang w:val="en-US"/>
              </w:rPr>
            </m:ctrlPr>
          </m:sSubSupPr>
          <m:e>
            <m:r>
              <w:rPr>
                <w:rFonts w:ascii="Cambria Math" w:hAnsi="Cambria Math" w:cs="Sylfaen"/>
                <w:sz w:val="24"/>
                <w:szCs w:val="24"/>
              </w:rPr>
              <m:t>n</m:t>
            </m:r>
          </m:e>
          <m:sub>
            <m:r>
              <w:rPr>
                <w:rFonts w:ascii="Cambria Math" w:hAnsi="Cambria Math" w:cs="Sylfaen"/>
                <w:sz w:val="24"/>
                <w:szCs w:val="24"/>
              </w:rPr>
              <m:t>D</m:t>
            </m:r>
          </m:sub>
          <m:sup>
            <m:r>
              <w:rPr>
                <w:rFonts w:ascii="Cambria Math" w:hAnsi="Sylfaen" w:cs="Sylfaen"/>
                <w:sz w:val="24"/>
                <w:szCs w:val="24"/>
              </w:rPr>
              <m:t>20</m:t>
            </m:r>
          </m:sup>
        </m:sSubSup>
      </m:oMath>
      <w:r w:rsidRPr="00840EC5">
        <w:rPr>
          <w:rStyle w:val="Bodytext31Sylfaen9"/>
          <w:i w:val="0"/>
          <w:sz w:val="24"/>
          <w:szCs w:val="24"/>
        </w:rPr>
        <w:t>-ը մոտ 1,414:</w:t>
      </w:r>
    </w:p>
    <w:p w14:paraId="6F3E94E0" w14:textId="77777777" w:rsidR="00B834A2" w:rsidRPr="00DE4F37"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Եռման ջերմաստիճանը՝ մոտ 202 °С։</w:t>
      </w:r>
    </w:p>
    <w:p w14:paraId="4EE244F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lastRenderedPageBreak/>
        <w:t>Նատրիումի յոդիդ՝ անջուր քացախաթթվի մեջ:</w:t>
      </w:r>
    </w:p>
    <w:p w14:paraId="597BBD39"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 xml:space="preserve">200 գ/լ NaI լուծույթ՝ </w:t>
      </w:r>
      <w:r w:rsidRPr="00840EC5">
        <w:rPr>
          <w:rStyle w:val="Bodytext2Italic"/>
          <w:i w:val="0"/>
          <w:sz w:val="24"/>
          <w:szCs w:val="24"/>
        </w:rPr>
        <w:t>Ռ անջուր քացախաթթվի մեջ:</w:t>
      </w:r>
    </w:p>
    <w:p w14:paraId="7B170E38"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Նատրիումի տետրահիդրոբորատ</w:t>
      </w:r>
      <w:r w:rsidRPr="00840EC5">
        <w:rPr>
          <w:rStyle w:val="Bodytext31Sylfaen9"/>
          <w:i w:val="0"/>
          <w:sz w:val="24"/>
          <w:szCs w:val="24"/>
        </w:rPr>
        <w:t>: NaВH</w:t>
      </w:r>
      <w:r w:rsidRPr="00840EC5">
        <w:rPr>
          <w:rStyle w:val="Bodytext31Sylfaen9"/>
          <w:i w:val="0"/>
          <w:sz w:val="24"/>
          <w:szCs w:val="24"/>
          <w:vertAlign w:val="subscript"/>
        </w:rPr>
        <w:t>4</w:t>
      </w:r>
      <w:r w:rsidRPr="00840EC5">
        <w:rPr>
          <w:rStyle w:val="Bodytext31Sylfaen9"/>
          <w:i w:val="0"/>
          <w:sz w:val="24"/>
          <w:szCs w:val="24"/>
        </w:rPr>
        <w:t>. (M</w:t>
      </w:r>
      <w:r w:rsidRPr="00840EC5">
        <w:rPr>
          <w:rStyle w:val="Bodytext31Sylfaen9"/>
          <w:i w:val="0"/>
          <w:sz w:val="24"/>
          <w:szCs w:val="24"/>
          <w:vertAlign w:val="subscript"/>
        </w:rPr>
        <w:t>r</w:t>
      </w:r>
      <w:r w:rsidRPr="00840EC5">
        <w:rPr>
          <w:rStyle w:val="Bodytext31Sylfaen9"/>
          <w:i w:val="0"/>
          <w:sz w:val="24"/>
          <w:szCs w:val="24"/>
        </w:rPr>
        <w:t xml:space="preserve"> 37,8). [16940-66-2].</w:t>
      </w:r>
    </w:p>
    <w:p w14:paraId="3E89645E"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Նատրիումի բորոհիդրատ:</w:t>
      </w:r>
    </w:p>
    <w:p w14:paraId="37DC44E3"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Անգույն հիգրոսկոպիկ բյուրեղներ։ Շատ հեշտ լուծելի է ջրում, լուծելի է անջուր էթանոլում։ Քայքայվում է բարձր ջերմաստիճանի պայմաններում կամ թթուների կամ մետաղների որոշ աղերի ազդեցությամբ՝ առաջացնելով բորակ եւ ջրածին:</w:t>
      </w:r>
    </w:p>
    <w:p w14:paraId="184B9108"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Պահում են անօդանցիկ կոնտեյներում։</w:t>
      </w:r>
    </w:p>
    <w:p w14:paraId="2607AE35"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Նատրիումի տետրահիդրոբորատի լուծույթ։</w:t>
      </w:r>
    </w:p>
    <w:p w14:paraId="0FB2F9FA"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 xml:space="preserve">5,0 գ </w:t>
      </w:r>
      <w:r w:rsidRPr="00840EC5">
        <w:rPr>
          <w:rStyle w:val="Bodytext2Italic"/>
          <w:i w:val="0"/>
          <w:sz w:val="24"/>
          <w:szCs w:val="24"/>
        </w:rPr>
        <w:t xml:space="preserve">Ռ </w:t>
      </w:r>
      <w:r w:rsidRPr="00840EC5">
        <w:rPr>
          <w:rStyle w:val="Bodytext2Italic"/>
          <w:sz w:val="24"/>
          <w:szCs w:val="24"/>
        </w:rPr>
        <w:t>նատրիումի հիդրօքսիդը</w:t>
      </w:r>
      <w:r w:rsidRPr="00840EC5">
        <w:rPr>
          <w:rStyle w:val="Bodytext2Italic"/>
          <w:i w:val="0"/>
          <w:sz w:val="24"/>
          <w:szCs w:val="24"/>
        </w:rPr>
        <w:t xml:space="preserve"> </w:t>
      </w:r>
      <w:r w:rsidRPr="00840EC5">
        <w:rPr>
          <w:rFonts w:ascii="Sylfaen" w:hAnsi="Sylfaen"/>
          <w:sz w:val="24"/>
          <w:szCs w:val="24"/>
        </w:rPr>
        <w:t xml:space="preserve">գրանուլներով կամ թիթեղներով եւ 2,5 գ </w:t>
      </w:r>
      <w:r w:rsidRPr="00840EC5">
        <w:rPr>
          <w:rStyle w:val="Bodytext2Italic"/>
          <w:i w:val="0"/>
          <w:sz w:val="24"/>
          <w:szCs w:val="24"/>
        </w:rPr>
        <w:t>Ռ տետրաբորատը</w:t>
      </w:r>
      <w:r w:rsidRPr="00840EC5">
        <w:rPr>
          <w:rFonts w:ascii="Sylfaen" w:hAnsi="Sylfaen"/>
          <w:i/>
          <w:sz w:val="24"/>
          <w:szCs w:val="24"/>
        </w:rPr>
        <w:t xml:space="preserve"> </w:t>
      </w:r>
      <w:r w:rsidRPr="00840EC5">
        <w:rPr>
          <w:rStyle w:val="Bodytext31Sylfaen9"/>
          <w:i w:val="0"/>
          <w:sz w:val="24"/>
          <w:szCs w:val="24"/>
        </w:rPr>
        <w:t xml:space="preserve">լուծում են 100 մլ </w:t>
      </w:r>
      <w:r w:rsidRPr="00840EC5">
        <w:rPr>
          <w:rStyle w:val="Bodytext2Italic"/>
          <w:i w:val="0"/>
          <w:sz w:val="24"/>
          <w:szCs w:val="24"/>
        </w:rPr>
        <w:t xml:space="preserve">Ռ ջրի մեջ </w:t>
      </w:r>
      <w:r w:rsidRPr="00840EC5">
        <w:rPr>
          <w:rStyle w:val="Bodytext31Sylfaen9"/>
          <w:i w:val="0"/>
          <w:sz w:val="24"/>
          <w:szCs w:val="24"/>
        </w:rPr>
        <w:t xml:space="preserve">եւ լուծույթի ծավալը </w:t>
      </w:r>
      <w:r w:rsidRPr="00840EC5">
        <w:rPr>
          <w:rStyle w:val="Bodytext2Italic"/>
          <w:i w:val="0"/>
          <w:sz w:val="24"/>
          <w:szCs w:val="24"/>
        </w:rPr>
        <w:t xml:space="preserve">Ռ ջրով </w:t>
      </w:r>
      <w:r w:rsidRPr="00840EC5">
        <w:rPr>
          <w:rStyle w:val="Bodytext31Sylfaen9"/>
          <w:i w:val="0"/>
          <w:sz w:val="24"/>
          <w:szCs w:val="24"/>
        </w:rPr>
        <w:t>հասցնում</w:t>
      </w:r>
      <w:r w:rsidR="00840EC5" w:rsidRPr="00840EC5">
        <w:rPr>
          <w:rStyle w:val="Bodytext31Sylfaen9"/>
          <w:i w:val="0"/>
          <w:sz w:val="24"/>
          <w:szCs w:val="24"/>
        </w:rPr>
        <w:t> </w:t>
      </w:r>
      <w:r w:rsidRPr="00840EC5">
        <w:rPr>
          <w:rStyle w:val="Bodytext31Sylfaen9"/>
          <w:i w:val="0"/>
          <w:sz w:val="24"/>
          <w:szCs w:val="24"/>
        </w:rPr>
        <w:t>են մինչեւ 500,0 մլ-ի:</w:t>
      </w:r>
    </w:p>
    <w:p w14:paraId="602CB3A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Լուծույթը պատրաստում են օգտագործելուց անմիջապես առաջ:</w:t>
      </w:r>
    </w:p>
    <w:p w14:paraId="2DF5D51B"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Նավթիլամին՝ 0,1 М քլորաջրածնային թթվի մեջ:</w:t>
      </w:r>
    </w:p>
    <w:p w14:paraId="4AFD3DCE" w14:textId="77777777" w:rsidR="00B834A2" w:rsidRPr="00840EC5" w:rsidRDefault="00B834A2" w:rsidP="00840EC5">
      <w:pPr>
        <w:pStyle w:val="Bodytext20"/>
        <w:shd w:val="clear" w:color="auto" w:fill="auto"/>
        <w:spacing w:before="0" w:after="160" w:line="360" w:lineRule="auto"/>
        <w:ind w:firstLine="567"/>
        <w:jc w:val="both"/>
        <w:rPr>
          <w:rStyle w:val="Bodytext2Italic"/>
          <w:sz w:val="24"/>
          <w:szCs w:val="24"/>
        </w:rPr>
      </w:pPr>
      <w:r w:rsidRPr="00840EC5">
        <w:rPr>
          <w:rStyle w:val="Bodytext31Sylfaen9"/>
          <w:i w:val="0"/>
          <w:sz w:val="24"/>
          <w:szCs w:val="24"/>
        </w:rPr>
        <w:t>0,01 գ/լ С</w:t>
      </w:r>
      <w:r w:rsidRPr="00840EC5">
        <w:rPr>
          <w:rStyle w:val="Bodytext31Sylfaen9"/>
          <w:i w:val="0"/>
          <w:sz w:val="24"/>
          <w:szCs w:val="24"/>
          <w:vertAlign w:val="subscript"/>
        </w:rPr>
        <w:t>10</w:t>
      </w:r>
      <w:r w:rsidRPr="00840EC5">
        <w:rPr>
          <w:rStyle w:val="Bodytext31Sylfaen9"/>
          <w:i w:val="0"/>
          <w:sz w:val="24"/>
          <w:szCs w:val="24"/>
        </w:rPr>
        <w:t>H</w:t>
      </w:r>
      <w:r w:rsidRPr="00840EC5">
        <w:rPr>
          <w:rStyle w:val="Bodytext31Sylfaen9"/>
          <w:i w:val="0"/>
          <w:sz w:val="24"/>
          <w:szCs w:val="24"/>
          <w:vertAlign w:val="subscript"/>
        </w:rPr>
        <w:t>9</w:t>
      </w:r>
      <w:r w:rsidRPr="00840EC5">
        <w:rPr>
          <w:rStyle w:val="Bodytext31Sylfaen9"/>
          <w:i w:val="0"/>
          <w:sz w:val="24"/>
          <w:szCs w:val="24"/>
        </w:rPr>
        <w:t xml:space="preserve">N լուծույթ՝ </w:t>
      </w:r>
      <w:r w:rsidRPr="00840EC5">
        <w:rPr>
          <w:rStyle w:val="Bodytext2Italic"/>
          <w:i w:val="0"/>
          <w:sz w:val="24"/>
          <w:szCs w:val="24"/>
        </w:rPr>
        <w:t xml:space="preserve">0,1 М </w:t>
      </w:r>
      <w:r w:rsidRPr="00840EC5">
        <w:rPr>
          <w:rStyle w:val="Bodytext2Italic"/>
          <w:sz w:val="24"/>
          <w:szCs w:val="24"/>
        </w:rPr>
        <w:t>хքլորաջրածնային թթվի մեջ:</w:t>
      </w:r>
    </w:p>
    <w:p w14:paraId="7038EF3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Նիկելի նիտրատի հեքսահիդրատ</w:t>
      </w:r>
      <w:r w:rsidRPr="00840EC5">
        <w:rPr>
          <w:rStyle w:val="Bodytext31Sylfaen9"/>
          <w:i w:val="0"/>
          <w:sz w:val="24"/>
          <w:szCs w:val="24"/>
        </w:rPr>
        <w:t>: Ni(NOз)</w:t>
      </w:r>
      <w:r w:rsidRPr="00840EC5">
        <w:rPr>
          <w:rStyle w:val="Bodytext31Sylfaen9"/>
          <w:i w:val="0"/>
          <w:sz w:val="24"/>
          <w:szCs w:val="24"/>
          <w:vertAlign w:val="subscript"/>
        </w:rPr>
        <w:t xml:space="preserve">2 </w:t>
      </w:r>
      <w:r w:rsidRPr="00840EC5">
        <w:rPr>
          <w:rStyle w:val="Bodytext31Sylfaen9"/>
          <w:i w:val="0"/>
          <w:sz w:val="24"/>
          <w:szCs w:val="24"/>
        </w:rPr>
        <w:t>6Н</w:t>
      </w:r>
      <w:r w:rsidRPr="00840EC5">
        <w:rPr>
          <w:rStyle w:val="Bodytext31Sylfaen9"/>
          <w:i w:val="0"/>
          <w:sz w:val="24"/>
          <w:szCs w:val="24"/>
          <w:vertAlign w:val="subscript"/>
        </w:rPr>
        <w:t>2</w:t>
      </w:r>
      <w:r w:rsidRPr="00840EC5">
        <w:rPr>
          <w:rStyle w:val="Bodytext31Sylfaen9"/>
          <w:i w:val="0"/>
          <w:sz w:val="24"/>
          <w:szCs w:val="24"/>
        </w:rPr>
        <w:t>O. (М</w:t>
      </w:r>
      <w:r w:rsidRPr="00840EC5">
        <w:rPr>
          <w:rStyle w:val="Bodytext31Sylfaen9"/>
          <w:i w:val="0"/>
          <w:sz w:val="24"/>
          <w:szCs w:val="24"/>
          <w:vertAlign w:val="subscript"/>
        </w:rPr>
        <w:t>г</w:t>
      </w:r>
      <w:r w:rsidRPr="00840EC5">
        <w:rPr>
          <w:rStyle w:val="Bodytext31Sylfaen9"/>
          <w:i w:val="0"/>
          <w:sz w:val="24"/>
          <w:szCs w:val="24"/>
        </w:rPr>
        <w:t xml:space="preserve"> 290,8). [13478-00-7].</w:t>
      </w:r>
    </w:p>
    <w:p w14:paraId="533EC41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Նիկելի սուլֆատ:</w:t>
      </w:r>
      <w:r w:rsidRPr="00840EC5">
        <w:rPr>
          <w:rStyle w:val="Bodytext31Sylfaen9"/>
          <w:i w:val="0"/>
          <w:sz w:val="24"/>
          <w:szCs w:val="24"/>
        </w:rPr>
        <w:t xml:space="preserve"> NiSO</w:t>
      </w:r>
      <w:r w:rsidRPr="00840EC5">
        <w:rPr>
          <w:rStyle w:val="Bodytext31Sylfaen9"/>
          <w:i w:val="0"/>
          <w:sz w:val="24"/>
          <w:szCs w:val="24"/>
          <w:vertAlign w:val="subscript"/>
        </w:rPr>
        <w:t>4</w:t>
      </w:r>
      <w:r w:rsidRPr="00840EC5">
        <w:rPr>
          <w:rStyle w:val="Bodytext31Sylfaen9"/>
          <w:i w:val="0"/>
          <w:sz w:val="24"/>
          <w:szCs w:val="24"/>
        </w:rPr>
        <w:t>-7Н</w:t>
      </w:r>
      <w:r w:rsidRPr="00840EC5">
        <w:rPr>
          <w:rStyle w:val="Bodytext31Sylfaen9"/>
          <w:i w:val="0"/>
          <w:sz w:val="24"/>
          <w:szCs w:val="24"/>
          <w:vertAlign w:val="subscript"/>
        </w:rPr>
        <w:t>2</w:t>
      </w:r>
      <w:r w:rsidRPr="00840EC5">
        <w:rPr>
          <w:rStyle w:val="Bodytext31Sylfaen9"/>
          <w:i w:val="0"/>
          <w:sz w:val="24"/>
          <w:szCs w:val="24"/>
        </w:rPr>
        <w:t>O. (</w:t>
      </w:r>
      <w:r w:rsidRPr="00840EC5">
        <w:rPr>
          <w:rStyle w:val="Bodytext2Italic"/>
          <w:i w:val="0"/>
          <w:sz w:val="24"/>
          <w:szCs w:val="24"/>
        </w:rPr>
        <w:t>М</w:t>
      </w:r>
      <w:r w:rsidRPr="00840EC5">
        <w:rPr>
          <w:rStyle w:val="Bodytext2Italic"/>
          <w:i w:val="0"/>
          <w:sz w:val="24"/>
          <w:szCs w:val="24"/>
          <w:vertAlign w:val="subscript"/>
        </w:rPr>
        <w:t>r</w:t>
      </w:r>
      <w:r w:rsidRPr="00840EC5">
        <w:rPr>
          <w:rStyle w:val="Bodytext31Sylfaen9"/>
          <w:i w:val="0"/>
          <w:sz w:val="24"/>
          <w:szCs w:val="24"/>
        </w:rPr>
        <w:t xml:space="preserve"> 280,9). [10101-98-1].</w:t>
      </w:r>
    </w:p>
    <w:p w14:paraId="29F654FE"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Նիկելի սուլֆատի հեպտահիդրատ։</w:t>
      </w:r>
    </w:p>
    <w:p w14:paraId="6A27608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Կանաչ բյուրեղային փոշի կամ բյուրեղներ։ Հեշտ լուծելի է ջրում, քիչ լուծելի է 96 % էթանոլում։</w:t>
      </w:r>
    </w:p>
    <w:p w14:paraId="03AFD79E"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Օկտադեցիլ [3-[3,5-բիս(1,1-դիմեթիլէթիլ)- 4-հիդրօքսիֆենիլ]պրոպիոնատ]:</w:t>
      </w:r>
      <w:r w:rsidRPr="00840EC5">
        <w:rPr>
          <w:rStyle w:val="Bodytext31Sylfaen9"/>
          <w:i w:val="0"/>
          <w:sz w:val="24"/>
          <w:szCs w:val="24"/>
        </w:rPr>
        <w:t xml:space="preserve"> С</w:t>
      </w:r>
      <w:r w:rsidRPr="00840EC5">
        <w:rPr>
          <w:rStyle w:val="Bodytext31Sylfaen9"/>
          <w:i w:val="0"/>
          <w:sz w:val="24"/>
          <w:szCs w:val="24"/>
          <w:vertAlign w:val="subscript"/>
        </w:rPr>
        <w:t>з5</w:t>
      </w:r>
      <w:r w:rsidRPr="00840EC5">
        <w:rPr>
          <w:rStyle w:val="Bodytext31Sylfaen9"/>
          <w:i w:val="0"/>
          <w:sz w:val="24"/>
          <w:szCs w:val="24"/>
        </w:rPr>
        <w:t>Н</w:t>
      </w:r>
      <w:r w:rsidRPr="00840EC5">
        <w:rPr>
          <w:rStyle w:val="Bodytext31Sylfaen9"/>
          <w:i w:val="0"/>
          <w:sz w:val="24"/>
          <w:szCs w:val="24"/>
          <w:vertAlign w:val="subscript"/>
        </w:rPr>
        <w:t>62</w:t>
      </w:r>
      <w:r w:rsidRPr="00840EC5">
        <w:rPr>
          <w:rStyle w:val="Bodytext31Sylfaen9"/>
          <w:i w:val="0"/>
          <w:sz w:val="24"/>
          <w:szCs w:val="24"/>
        </w:rPr>
        <w:t>O</w:t>
      </w:r>
      <w:r w:rsidRPr="00840EC5">
        <w:rPr>
          <w:rStyle w:val="Bodytext31Sylfaen9"/>
          <w:i w:val="0"/>
          <w:sz w:val="24"/>
          <w:szCs w:val="24"/>
          <w:vertAlign w:val="subscript"/>
        </w:rPr>
        <w:t>з</w:t>
      </w:r>
      <w:r w:rsidRPr="00840EC5">
        <w:rPr>
          <w:rStyle w:val="Bodytext31Sylfaen9"/>
          <w:i w:val="0"/>
          <w:sz w:val="24"/>
          <w:szCs w:val="24"/>
        </w:rPr>
        <w:t>. (М</w:t>
      </w:r>
      <w:r w:rsidRPr="00840EC5">
        <w:rPr>
          <w:rStyle w:val="Bodytext31Sylfaen9"/>
          <w:i w:val="0"/>
          <w:sz w:val="24"/>
          <w:szCs w:val="24"/>
          <w:vertAlign w:val="subscript"/>
        </w:rPr>
        <w:t xml:space="preserve">г </w:t>
      </w:r>
      <w:r w:rsidRPr="00840EC5">
        <w:rPr>
          <w:rStyle w:val="Bodytext31Sylfaen9"/>
          <w:i w:val="0"/>
          <w:sz w:val="24"/>
          <w:szCs w:val="24"/>
        </w:rPr>
        <w:t>530,9). [2082-79-3].</w:t>
      </w:r>
    </w:p>
    <w:p w14:paraId="0BEF8C7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Օկտադեցիլ 3-(3,5-դի-տրետ-բութիլ-հիդրօքսիֆենիլ) պրոպիոնատ:</w:t>
      </w:r>
    </w:p>
    <w:p w14:paraId="7FEB557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lastRenderedPageBreak/>
        <w:t>Պոլիմերային թիվ 11 նյութի հավելանյութ:</w:t>
      </w:r>
    </w:p>
    <w:p w14:paraId="023A999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Սպիտակ կամ թեթեւակի դեղնավուն բյուրեղային փոշի։ Գործնականորեն լուծելի չէ ջրում, լավ լուծելի է ացետոնում եւ հեքսանում, քիչ լուծելի է մեթանոլում։</w:t>
      </w:r>
    </w:p>
    <w:p w14:paraId="1D22E3F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Հալման ջերմաստիճանը՝ 49 °С-ից մինչեւ 55 °С։</w:t>
      </w:r>
    </w:p>
    <w:p w14:paraId="5E8F3CD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Անագի(II) քլորիդ՝ 1 М քլորաջրածնային թթվի մեջ:</w:t>
      </w:r>
    </w:p>
    <w:p w14:paraId="381ED07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250 գ/լ SnС1</w:t>
      </w:r>
      <w:r w:rsidRPr="00840EC5">
        <w:rPr>
          <w:rStyle w:val="Bodytext285pt"/>
          <w:i w:val="0"/>
          <w:spacing w:val="0"/>
          <w:sz w:val="24"/>
          <w:szCs w:val="24"/>
          <w:vertAlign w:val="subscript"/>
        </w:rPr>
        <w:t>2</w:t>
      </w:r>
      <w:r w:rsidRPr="00840EC5">
        <w:rPr>
          <w:rStyle w:val="Bodytext31Sylfaen9"/>
          <w:i w:val="0"/>
          <w:sz w:val="24"/>
          <w:szCs w:val="24"/>
        </w:rPr>
        <w:t>.2Н</w:t>
      </w:r>
      <w:r w:rsidRPr="00840EC5">
        <w:rPr>
          <w:rStyle w:val="Bodytext31Sylfaen9"/>
          <w:i w:val="0"/>
          <w:sz w:val="24"/>
          <w:szCs w:val="24"/>
          <w:vertAlign w:val="subscript"/>
        </w:rPr>
        <w:t>2</w:t>
      </w:r>
      <w:r w:rsidRPr="00840EC5">
        <w:rPr>
          <w:rStyle w:val="Bodytext31Sylfaen9"/>
          <w:i w:val="0"/>
          <w:sz w:val="24"/>
          <w:szCs w:val="24"/>
        </w:rPr>
        <w:t xml:space="preserve">O լուծույթ՝ </w:t>
      </w:r>
      <w:r w:rsidRPr="00840EC5">
        <w:rPr>
          <w:rStyle w:val="Bodytext2Italic"/>
          <w:i w:val="0"/>
          <w:sz w:val="24"/>
          <w:szCs w:val="24"/>
        </w:rPr>
        <w:t>1 М քլորաջրածնային թթվի մեջ:</w:t>
      </w:r>
    </w:p>
    <w:p w14:paraId="11311BF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Տետրաբութիլամոնիումի հիդրօքսիդ՝ տոլուոլի մեջ:</w:t>
      </w:r>
    </w:p>
    <w:p w14:paraId="240A69F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10 գ/լ С</w:t>
      </w:r>
      <w:r w:rsidRPr="00840EC5">
        <w:rPr>
          <w:rStyle w:val="Bodytext31Sylfaen9"/>
          <w:i w:val="0"/>
          <w:sz w:val="24"/>
          <w:szCs w:val="24"/>
          <w:vertAlign w:val="subscript"/>
        </w:rPr>
        <w:t>16</w:t>
      </w:r>
      <w:r w:rsidRPr="00840EC5">
        <w:rPr>
          <w:rStyle w:val="Bodytext31Sylfaen9"/>
          <w:i w:val="0"/>
          <w:sz w:val="24"/>
          <w:szCs w:val="24"/>
        </w:rPr>
        <w:t>Н</w:t>
      </w:r>
      <w:r w:rsidRPr="00840EC5">
        <w:rPr>
          <w:rStyle w:val="Bodytext31Sylfaen9"/>
          <w:i w:val="0"/>
          <w:sz w:val="24"/>
          <w:szCs w:val="24"/>
          <w:vertAlign w:val="subscript"/>
        </w:rPr>
        <w:t>з7</w:t>
      </w:r>
      <w:r w:rsidRPr="00840EC5">
        <w:rPr>
          <w:rStyle w:val="Bodytext31Sylfaen9"/>
          <w:i w:val="0"/>
          <w:sz w:val="24"/>
          <w:szCs w:val="24"/>
        </w:rPr>
        <w:t>NО 30Н</w:t>
      </w:r>
      <w:r w:rsidRPr="00840EC5">
        <w:rPr>
          <w:rStyle w:val="Bodytext31Sylfaen9"/>
          <w:i w:val="0"/>
          <w:sz w:val="24"/>
          <w:szCs w:val="24"/>
          <w:vertAlign w:val="subscript"/>
        </w:rPr>
        <w:t>2</w:t>
      </w:r>
      <w:r w:rsidRPr="00840EC5">
        <w:rPr>
          <w:rStyle w:val="Bodytext31Sylfaen9"/>
          <w:i w:val="0"/>
          <w:sz w:val="24"/>
          <w:szCs w:val="24"/>
        </w:rPr>
        <w:t xml:space="preserve">О լուծույթ՝ </w:t>
      </w:r>
      <w:r w:rsidRPr="00840EC5">
        <w:rPr>
          <w:rStyle w:val="Bodytext2Italic"/>
          <w:i w:val="0"/>
          <w:sz w:val="24"/>
          <w:szCs w:val="24"/>
        </w:rPr>
        <w:t>Ռ տոլուոլի մեջ:</w:t>
      </w:r>
    </w:p>
    <w:p w14:paraId="3E8FC1AF"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Տետրակոզ-15-ենաթթվի մեթիլային եթեր</w:t>
      </w:r>
      <w:r w:rsidRPr="00840EC5">
        <w:rPr>
          <w:rStyle w:val="Bodytext31Sylfaen9"/>
          <w:i w:val="0"/>
          <w:sz w:val="24"/>
          <w:szCs w:val="24"/>
        </w:rPr>
        <w:t>: С</w:t>
      </w:r>
      <w:r w:rsidRPr="00840EC5">
        <w:rPr>
          <w:rStyle w:val="Bodytext285pt"/>
          <w:i w:val="0"/>
          <w:spacing w:val="0"/>
          <w:sz w:val="24"/>
          <w:szCs w:val="24"/>
          <w:vertAlign w:val="subscript"/>
        </w:rPr>
        <w:t>25</w:t>
      </w:r>
      <w:r w:rsidRPr="00840EC5">
        <w:rPr>
          <w:rStyle w:val="Bodytext31Sylfaen9"/>
          <w:i w:val="0"/>
          <w:sz w:val="24"/>
          <w:szCs w:val="24"/>
        </w:rPr>
        <w:t>Н</w:t>
      </w:r>
      <w:r w:rsidRPr="00840EC5">
        <w:rPr>
          <w:rStyle w:val="Bodytext285pt"/>
          <w:i w:val="0"/>
          <w:spacing w:val="0"/>
          <w:sz w:val="24"/>
          <w:szCs w:val="24"/>
          <w:vertAlign w:val="subscript"/>
        </w:rPr>
        <w:t>48</w:t>
      </w:r>
      <w:r w:rsidRPr="00840EC5">
        <w:rPr>
          <w:rStyle w:val="Bodytext285pt"/>
          <w:i w:val="0"/>
          <w:spacing w:val="0"/>
          <w:sz w:val="24"/>
          <w:szCs w:val="24"/>
        </w:rPr>
        <w:t>O</w:t>
      </w:r>
      <w:r w:rsidRPr="00840EC5">
        <w:rPr>
          <w:rStyle w:val="Bodytext31Sylfaen9"/>
          <w:i w:val="0"/>
          <w:sz w:val="24"/>
          <w:szCs w:val="24"/>
          <w:vertAlign w:val="subscript"/>
        </w:rPr>
        <w:t>2</w:t>
      </w:r>
      <w:r w:rsidRPr="00840EC5">
        <w:rPr>
          <w:rStyle w:val="Bodytext31Sylfaen9"/>
          <w:i w:val="0"/>
          <w:sz w:val="24"/>
          <w:szCs w:val="24"/>
        </w:rPr>
        <w:t xml:space="preserve">. </w:t>
      </w:r>
      <w:r w:rsidRPr="00840EC5">
        <w:rPr>
          <w:rStyle w:val="Bodytext2Italic"/>
          <w:i w:val="0"/>
          <w:sz w:val="24"/>
          <w:szCs w:val="24"/>
        </w:rPr>
        <w:t>(М</w:t>
      </w:r>
      <w:r w:rsidRPr="00840EC5">
        <w:rPr>
          <w:rFonts w:ascii="Sylfaen" w:hAnsi="Sylfaen"/>
          <w:i/>
          <w:sz w:val="24"/>
          <w:szCs w:val="24"/>
          <w:vertAlign w:val="subscript"/>
        </w:rPr>
        <w:t>r</w:t>
      </w:r>
      <w:r w:rsidRPr="00840EC5">
        <w:rPr>
          <w:rStyle w:val="Bodytext31Sylfaen9"/>
          <w:i w:val="0"/>
          <w:sz w:val="24"/>
          <w:szCs w:val="24"/>
        </w:rPr>
        <w:t xml:space="preserve"> 380,7). [2733-88-2]. 15-տետրակոզեինաթթվի մեթիլային եթեր:</w:t>
      </w:r>
    </w:p>
    <w:p w14:paraId="2C061CB5"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Մեթիլտետրակոզ-15-ենոատ: Ներվոնաթթվի մեթիլային եթեր:</w:t>
      </w:r>
    </w:p>
    <w:p w14:paraId="01882632"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Պարունակում է 99,0 %-ից ոչ պակաս С</w:t>
      </w:r>
      <w:r w:rsidRPr="00840EC5">
        <w:rPr>
          <w:rStyle w:val="Bodytext285pt"/>
          <w:i w:val="0"/>
          <w:spacing w:val="0"/>
          <w:sz w:val="24"/>
          <w:szCs w:val="24"/>
          <w:vertAlign w:val="subscript"/>
        </w:rPr>
        <w:t>25</w:t>
      </w:r>
      <w:r w:rsidRPr="00840EC5">
        <w:rPr>
          <w:rStyle w:val="Bodytext285pt"/>
          <w:i w:val="0"/>
          <w:spacing w:val="0"/>
          <w:sz w:val="24"/>
          <w:szCs w:val="24"/>
        </w:rPr>
        <w:t>H</w:t>
      </w:r>
      <w:r w:rsidRPr="00840EC5">
        <w:rPr>
          <w:rStyle w:val="Bodytext285pt"/>
          <w:i w:val="0"/>
          <w:spacing w:val="0"/>
          <w:sz w:val="24"/>
          <w:szCs w:val="24"/>
          <w:vertAlign w:val="subscript"/>
        </w:rPr>
        <w:t>48</w:t>
      </w:r>
      <w:r w:rsidRPr="00840EC5">
        <w:rPr>
          <w:rStyle w:val="Bodytext285pt"/>
          <w:i w:val="0"/>
          <w:spacing w:val="0"/>
          <w:sz w:val="24"/>
          <w:szCs w:val="24"/>
        </w:rPr>
        <w:t>O</w:t>
      </w:r>
      <w:r w:rsidRPr="00840EC5">
        <w:rPr>
          <w:rStyle w:val="Bodytext31Sylfaen9"/>
          <w:i w:val="0"/>
          <w:sz w:val="24"/>
          <w:szCs w:val="24"/>
          <w:vertAlign w:val="subscript"/>
        </w:rPr>
        <w:t>2</w:t>
      </w:r>
      <w:r w:rsidRPr="00840EC5">
        <w:rPr>
          <w:rStyle w:val="Bodytext31Sylfaen9"/>
          <w:i w:val="0"/>
          <w:sz w:val="24"/>
          <w:szCs w:val="24"/>
        </w:rPr>
        <w:t>: Որոշումը կատարում են գազային քրոմատագրման մեթոդով:</w:t>
      </w:r>
    </w:p>
    <w:p w14:paraId="5F2E08DB"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N,О-բիս(Տրիմեթիլսիլիլ)տրիֆտորացետամիդ: С</w:t>
      </w:r>
      <w:r w:rsidRPr="00840EC5">
        <w:rPr>
          <w:rStyle w:val="Bodytext31Sylfaen9"/>
          <w:i w:val="0"/>
          <w:sz w:val="24"/>
          <w:szCs w:val="24"/>
          <w:vertAlign w:val="subscript"/>
        </w:rPr>
        <w:t>8</w:t>
      </w:r>
      <w:r w:rsidRPr="00840EC5">
        <w:rPr>
          <w:rStyle w:val="Bodytext31Sylfaen9"/>
          <w:i w:val="0"/>
          <w:sz w:val="24"/>
          <w:szCs w:val="24"/>
        </w:rPr>
        <w:t>Н</w:t>
      </w:r>
      <w:r w:rsidRPr="00840EC5">
        <w:rPr>
          <w:rStyle w:val="Bodytext31Sylfaen9"/>
          <w:i w:val="0"/>
          <w:sz w:val="24"/>
          <w:szCs w:val="24"/>
          <w:vertAlign w:val="subscript"/>
        </w:rPr>
        <w:t>18</w:t>
      </w:r>
      <w:r w:rsidRPr="00840EC5">
        <w:rPr>
          <w:rStyle w:val="Bodytext31Sylfaen9"/>
          <w:i w:val="0"/>
          <w:sz w:val="24"/>
          <w:szCs w:val="24"/>
        </w:rPr>
        <w:t>F</w:t>
      </w:r>
      <w:r w:rsidRPr="00840EC5">
        <w:rPr>
          <w:rStyle w:val="Bodytext31Sylfaen9"/>
          <w:i w:val="0"/>
          <w:sz w:val="24"/>
          <w:szCs w:val="24"/>
          <w:vertAlign w:val="subscript"/>
        </w:rPr>
        <w:t>3</w:t>
      </w:r>
      <w:r w:rsidRPr="00840EC5">
        <w:rPr>
          <w:rStyle w:val="Bodytext31Sylfaen9"/>
          <w:i w:val="0"/>
          <w:sz w:val="24"/>
          <w:szCs w:val="24"/>
        </w:rPr>
        <w:t>NOSi</w:t>
      </w:r>
      <w:r w:rsidRPr="00840EC5">
        <w:rPr>
          <w:rStyle w:val="Bodytext31Sylfaen9"/>
          <w:i w:val="0"/>
          <w:sz w:val="24"/>
          <w:szCs w:val="24"/>
          <w:vertAlign w:val="subscript"/>
        </w:rPr>
        <w:t>2</w:t>
      </w:r>
      <w:r w:rsidRPr="00840EC5">
        <w:rPr>
          <w:rStyle w:val="Bodytext31Sylfaen9"/>
          <w:i w:val="0"/>
          <w:sz w:val="24"/>
          <w:szCs w:val="24"/>
        </w:rPr>
        <w:t>: (M</w:t>
      </w:r>
      <w:r w:rsidRPr="00840EC5">
        <w:rPr>
          <w:rStyle w:val="Bodytext31Sylfaen9"/>
          <w:i w:val="0"/>
          <w:sz w:val="24"/>
          <w:szCs w:val="24"/>
          <w:vertAlign w:val="subscript"/>
        </w:rPr>
        <w:t>r</w:t>
      </w:r>
      <w:r w:rsidRPr="00840EC5">
        <w:rPr>
          <w:rStyle w:val="Bodytext31Sylfaen9"/>
          <w:i w:val="0"/>
          <w:sz w:val="24"/>
          <w:szCs w:val="24"/>
        </w:rPr>
        <w:t>-257,4). [25561-30-2].</w:t>
      </w:r>
    </w:p>
    <w:p w14:paraId="04169859"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 xml:space="preserve">Անգույն հեղուկ։ </w:t>
      </w:r>
    </w:p>
    <w:p w14:paraId="71DF44A7" w14:textId="77777777" w:rsidR="00B834A2" w:rsidRPr="00840EC5" w:rsidRDefault="00000000" w:rsidP="00B834A2">
      <w:pPr>
        <w:pStyle w:val="Bodytext20"/>
        <w:shd w:val="clear" w:color="auto" w:fill="auto"/>
        <w:spacing w:before="0" w:after="160" w:line="360" w:lineRule="auto"/>
        <w:ind w:firstLine="567"/>
        <w:jc w:val="left"/>
        <w:rPr>
          <w:rFonts w:ascii="Sylfaen" w:hAnsi="Sylfaen" w:cs="Sylfaen"/>
          <w:i/>
          <w:sz w:val="24"/>
          <w:szCs w:val="24"/>
        </w:rPr>
      </w:pPr>
      <m:oMath>
        <m:sSubSup>
          <m:sSubSupPr>
            <m:ctrlPr>
              <w:rPr>
                <w:rFonts w:ascii="Cambria Math" w:hAnsi="Sylfaen" w:cs="Sylfaen"/>
                <w:i/>
                <w:sz w:val="24"/>
                <w:szCs w:val="24"/>
                <w:lang w:val="en-US"/>
              </w:rPr>
            </m:ctrlPr>
          </m:sSubSupPr>
          <m:e>
            <m:r>
              <w:rPr>
                <w:rFonts w:ascii="Cambria Math" w:hAnsi="Cambria Math" w:cs="Sylfaen"/>
                <w:sz w:val="24"/>
                <w:szCs w:val="24"/>
              </w:rPr>
              <m:t>n</m:t>
            </m:r>
          </m:e>
          <m:sub>
            <m:r>
              <w:rPr>
                <w:rFonts w:ascii="Cambria Math" w:hAnsi="Cambria Math" w:cs="Sylfaen"/>
                <w:sz w:val="24"/>
                <w:szCs w:val="24"/>
              </w:rPr>
              <m:t>20</m:t>
            </m:r>
          </m:sub>
          <m:sup>
            <m:r>
              <w:rPr>
                <w:rFonts w:ascii="Cambria Math" w:hAnsi="Sylfaen" w:cs="Sylfaen"/>
                <w:sz w:val="24"/>
                <w:szCs w:val="24"/>
              </w:rPr>
              <m:t>20</m:t>
            </m:r>
          </m:sup>
        </m:sSubSup>
      </m:oMath>
      <w:r w:rsidR="00B834A2" w:rsidRPr="00B834A2">
        <w:rPr>
          <w:rStyle w:val="Bodytext31Sylfaen9"/>
          <w:sz w:val="24"/>
          <w:szCs w:val="24"/>
        </w:rPr>
        <w:t xml:space="preserve">-ը՝ </w:t>
      </w:r>
      <w:r w:rsidR="00B834A2" w:rsidRPr="00840EC5">
        <w:rPr>
          <w:rStyle w:val="Bodytext31Sylfaen9"/>
          <w:i w:val="0"/>
          <w:sz w:val="24"/>
          <w:szCs w:val="24"/>
        </w:rPr>
        <w:t>մոտ 0,97:</w:t>
      </w:r>
    </w:p>
    <w:p w14:paraId="1D59AEF6" w14:textId="77777777" w:rsidR="00B834A2" w:rsidRPr="00840EC5" w:rsidRDefault="00000000" w:rsidP="00B834A2">
      <w:pPr>
        <w:pStyle w:val="Bodytext20"/>
        <w:shd w:val="clear" w:color="auto" w:fill="auto"/>
        <w:spacing w:before="0" w:after="160" w:line="360" w:lineRule="auto"/>
        <w:ind w:firstLine="567"/>
        <w:jc w:val="left"/>
        <w:rPr>
          <w:rFonts w:ascii="Sylfaen" w:hAnsi="Sylfaen" w:cs="Sylfaen"/>
          <w:i/>
          <w:sz w:val="24"/>
          <w:szCs w:val="24"/>
        </w:rPr>
      </w:pPr>
      <m:oMath>
        <m:sSubSup>
          <m:sSubSupPr>
            <m:ctrlPr>
              <w:rPr>
                <w:rFonts w:ascii="Cambria Math" w:hAnsi="Sylfaen" w:cs="Sylfaen"/>
                <w:i/>
                <w:sz w:val="24"/>
                <w:szCs w:val="24"/>
                <w:lang w:val="en-US"/>
              </w:rPr>
            </m:ctrlPr>
          </m:sSubSupPr>
          <m:e>
            <m:r>
              <w:rPr>
                <w:rFonts w:ascii="Cambria Math" w:hAnsi="Cambria Math" w:cs="Sylfaen"/>
                <w:sz w:val="24"/>
                <w:szCs w:val="24"/>
              </w:rPr>
              <m:t>n</m:t>
            </m:r>
          </m:e>
          <m:sub>
            <m:r>
              <w:rPr>
                <w:rFonts w:ascii="Cambria Math" w:hAnsi="Cambria Math" w:cs="Sylfaen"/>
                <w:sz w:val="24"/>
                <w:szCs w:val="24"/>
              </w:rPr>
              <m:t>D</m:t>
            </m:r>
          </m:sub>
          <m:sup>
            <m:r>
              <w:rPr>
                <w:rFonts w:ascii="Cambria Math" w:hAnsi="Sylfaen" w:cs="Sylfaen"/>
                <w:sz w:val="24"/>
                <w:szCs w:val="24"/>
              </w:rPr>
              <m:t>20</m:t>
            </m:r>
          </m:sup>
        </m:sSubSup>
      </m:oMath>
      <w:r w:rsidR="00B834A2" w:rsidRPr="00B834A2">
        <w:rPr>
          <w:rStyle w:val="Bodytext27pt"/>
          <w:sz w:val="24"/>
          <w:szCs w:val="24"/>
        </w:rPr>
        <w:t xml:space="preserve">-ը՝ </w:t>
      </w:r>
      <w:r w:rsidR="00B834A2" w:rsidRPr="00840EC5">
        <w:rPr>
          <w:rStyle w:val="Bodytext27pt"/>
          <w:i w:val="0"/>
          <w:sz w:val="24"/>
          <w:szCs w:val="24"/>
        </w:rPr>
        <w:t xml:space="preserve">մոտ </w:t>
      </w:r>
      <w:r w:rsidR="00B834A2" w:rsidRPr="00840EC5">
        <w:rPr>
          <w:rStyle w:val="Bodytext31Sylfaen9"/>
          <w:i w:val="0"/>
          <w:sz w:val="24"/>
          <w:szCs w:val="24"/>
        </w:rPr>
        <w:t>1,38:</w:t>
      </w:r>
    </w:p>
    <w:p w14:paraId="1499C34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 xml:space="preserve">Եռման ջերմաստիճանը՝ մոտ 40 °С՝ </w:t>
      </w:r>
      <w:r w:rsidRPr="00840EC5">
        <w:rPr>
          <w:rStyle w:val="Bodytext285pt"/>
          <w:i w:val="0"/>
          <w:spacing w:val="0"/>
          <w:sz w:val="24"/>
          <w:szCs w:val="24"/>
        </w:rPr>
        <w:t>12</w:t>
      </w:r>
      <w:r w:rsidRPr="00840EC5">
        <w:rPr>
          <w:rStyle w:val="Bodytext31Sylfaen9"/>
          <w:i w:val="0"/>
          <w:sz w:val="24"/>
          <w:szCs w:val="24"/>
        </w:rPr>
        <w:t xml:space="preserve"> մմ ս.ս. ճնշման տակ:</w:t>
      </w:r>
    </w:p>
    <w:p w14:paraId="69E42459"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B834A2">
        <w:rPr>
          <w:rStyle w:val="Bodytext2105pt"/>
          <w:rFonts w:ascii="Sylfaen" w:eastAsia="Sylfaen" w:hAnsi="Sylfaen"/>
          <w:w w:val="100"/>
          <w:sz w:val="24"/>
          <w:szCs w:val="24"/>
        </w:rPr>
        <w:t>α</w:t>
      </w:r>
      <w:r w:rsidRPr="00B834A2">
        <w:rPr>
          <w:rStyle w:val="Bodytext31Sylfaen9"/>
          <w:sz w:val="24"/>
          <w:szCs w:val="24"/>
        </w:rPr>
        <w:t>-</w:t>
      </w:r>
      <w:r w:rsidRPr="00840EC5">
        <w:rPr>
          <w:rStyle w:val="Bodytext31Sylfaen9"/>
          <w:b/>
          <w:sz w:val="24"/>
          <w:szCs w:val="24"/>
        </w:rPr>
        <w:t>տոկոֆերոլ:</w:t>
      </w:r>
      <w:r w:rsidRPr="00B834A2">
        <w:rPr>
          <w:rStyle w:val="Bodytext31Sylfaen9"/>
          <w:sz w:val="24"/>
          <w:szCs w:val="24"/>
        </w:rPr>
        <w:t xml:space="preserve"> </w:t>
      </w:r>
      <w:r w:rsidRPr="00840EC5">
        <w:rPr>
          <w:rStyle w:val="Bodytext31Sylfaen9"/>
          <w:i w:val="0"/>
          <w:sz w:val="24"/>
          <w:szCs w:val="24"/>
        </w:rPr>
        <w:t>[10191-41-0].</w:t>
      </w:r>
    </w:p>
    <w:p w14:paraId="705349B7" w14:textId="77777777" w:rsidR="00840EC5" w:rsidRPr="00A859E3" w:rsidRDefault="00B834A2" w:rsidP="00840EC5">
      <w:pPr>
        <w:pStyle w:val="Bodytext20"/>
        <w:shd w:val="clear" w:color="auto" w:fill="auto"/>
        <w:spacing w:before="0" w:after="160" w:line="360" w:lineRule="auto"/>
        <w:ind w:firstLine="567"/>
        <w:jc w:val="both"/>
        <w:rPr>
          <w:rFonts w:ascii="Sylfaen" w:hAnsi="Sylfaen"/>
          <w:i/>
          <w:sz w:val="24"/>
          <w:szCs w:val="24"/>
        </w:rPr>
      </w:pPr>
      <w:r w:rsidRPr="00840EC5">
        <w:rPr>
          <w:rStyle w:val="Bodytext31Sylfaen9"/>
          <w:i w:val="0"/>
          <w:sz w:val="24"/>
          <w:szCs w:val="24"/>
        </w:rPr>
        <w:t>Տե՛ս Տոկոֆերոլ:</w:t>
      </w:r>
      <w:r w:rsidRPr="00840EC5">
        <w:rPr>
          <w:rFonts w:ascii="Sylfaen" w:hAnsi="Sylfaen"/>
          <w:i/>
          <w:sz w:val="24"/>
          <w:szCs w:val="24"/>
        </w:rPr>
        <w:t xml:space="preserve"> </w:t>
      </w:r>
    </w:p>
    <w:p w14:paraId="463FD416"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1,3,5-Տրիս [3,5-դի(1,1 -դիմեթիլէթիլ)-4-հիդրօքսիբենզիլ]-1,3,5-տրիազին-2,4,6(1H,3H,5H) - տրիոն:</w:t>
      </w:r>
      <w:r w:rsidRPr="00840EC5">
        <w:rPr>
          <w:rStyle w:val="Bodytext31Sylfaen9"/>
          <w:i w:val="0"/>
          <w:sz w:val="24"/>
          <w:szCs w:val="24"/>
        </w:rPr>
        <w:t xml:space="preserve"> C</w:t>
      </w:r>
      <w:r w:rsidRPr="00840EC5">
        <w:rPr>
          <w:rStyle w:val="Bodytext285pt"/>
          <w:i w:val="0"/>
          <w:spacing w:val="0"/>
          <w:sz w:val="24"/>
          <w:szCs w:val="24"/>
          <w:vertAlign w:val="subscript"/>
        </w:rPr>
        <w:t>48</w:t>
      </w:r>
      <w:r w:rsidRPr="00840EC5">
        <w:rPr>
          <w:rStyle w:val="Bodytext31Sylfaen9"/>
          <w:i w:val="0"/>
          <w:sz w:val="24"/>
          <w:szCs w:val="24"/>
        </w:rPr>
        <w:t>H</w:t>
      </w:r>
      <w:r w:rsidRPr="00840EC5">
        <w:rPr>
          <w:rStyle w:val="Bodytext285pt"/>
          <w:i w:val="0"/>
          <w:spacing w:val="0"/>
          <w:sz w:val="24"/>
          <w:szCs w:val="24"/>
          <w:vertAlign w:val="subscript"/>
        </w:rPr>
        <w:t>69</w:t>
      </w:r>
      <w:r w:rsidRPr="00840EC5">
        <w:rPr>
          <w:rStyle w:val="Bodytext285pt"/>
          <w:i w:val="0"/>
          <w:spacing w:val="0"/>
          <w:sz w:val="24"/>
          <w:szCs w:val="24"/>
        </w:rPr>
        <w:t>O</w:t>
      </w:r>
      <w:r w:rsidRPr="00840EC5">
        <w:rPr>
          <w:rStyle w:val="Bodytext285pt"/>
          <w:i w:val="0"/>
          <w:spacing w:val="0"/>
          <w:sz w:val="24"/>
          <w:szCs w:val="24"/>
          <w:vertAlign w:val="subscript"/>
        </w:rPr>
        <w:t>6</w:t>
      </w:r>
      <w:r w:rsidRPr="00840EC5">
        <w:rPr>
          <w:rStyle w:val="Bodytext31Sylfaen9"/>
          <w:i w:val="0"/>
          <w:sz w:val="24"/>
          <w:szCs w:val="24"/>
        </w:rPr>
        <w:t>N</w:t>
      </w:r>
      <w:r w:rsidRPr="00840EC5">
        <w:rPr>
          <w:rStyle w:val="Bodytext31Sylfaen9"/>
          <w:i w:val="0"/>
          <w:sz w:val="24"/>
          <w:szCs w:val="24"/>
          <w:vertAlign w:val="subscript"/>
        </w:rPr>
        <w:t>3</w:t>
      </w:r>
      <w:r w:rsidRPr="00840EC5">
        <w:rPr>
          <w:rStyle w:val="Bodytext31Sylfaen9"/>
          <w:i w:val="0"/>
          <w:sz w:val="24"/>
          <w:szCs w:val="24"/>
        </w:rPr>
        <w:t>: (М</w:t>
      </w:r>
      <w:r w:rsidRPr="00840EC5">
        <w:rPr>
          <w:rStyle w:val="Bodytext31Sylfaen9"/>
          <w:i w:val="0"/>
          <w:sz w:val="24"/>
          <w:szCs w:val="24"/>
          <w:vertAlign w:val="subscript"/>
        </w:rPr>
        <w:t>r</w:t>
      </w:r>
      <w:r w:rsidRPr="00840EC5">
        <w:rPr>
          <w:rStyle w:val="Bodytext31Sylfaen9"/>
          <w:i w:val="0"/>
          <w:sz w:val="24"/>
          <w:szCs w:val="24"/>
        </w:rPr>
        <w:t xml:space="preserve"> 784,1). [27676-62-6].</w:t>
      </w:r>
    </w:p>
    <w:p w14:paraId="19B82B55"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lastRenderedPageBreak/>
        <w:t>Պոլիմերային թիվ 13 նյութի հավելանյութ:</w:t>
      </w:r>
    </w:p>
    <w:p w14:paraId="49631F7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Սպիտակ կամ գրեթե սպիտակ գույնի բյուրեղային փոշի։</w:t>
      </w:r>
    </w:p>
    <w:p w14:paraId="7ABAEBE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Հալման ջերմաստիճանը՝ 218 °С-ից մինչեւ 222 °С։</w:t>
      </w:r>
    </w:p>
    <w:p w14:paraId="6FF9B8D0" w14:textId="77777777" w:rsidR="00B834A2" w:rsidRPr="004A7CC9" w:rsidRDefault="00B834A2" w:rsidP="00840EC5">
      <w:pPr>
        <w:pStyle w:val="Bodytext20"/>
        <w:shd w:val="clear" w:color="auto" w:fill="auto"/>
        <w:spacing w:before="0" w:after="160" w:line="360" w:lineRule="auto"/>
        <w:ind w:firstLine="567"/>
        <w:jc w:val="both"/>
        <w:rPr>
          <w:rFonts w:ascii="Sylfaen" w:hAnsi="Sylfaen" w:cs="Sylfaen"/>
          <w:i/>
          <w:spacing w:val="-4"/>
          <w:sz w:val="24"/>
          <w:szCs w:val="24"/>
        </w:rPr>
      </w:pPr>
      <w:r w:rsidRPr="004A7CC9">
        <w:rPr>
          <w:rStyle w:val="Bodytext31Sylfaen9"/>
          <w:b/>
          <w:i w:val="0"/>
          <w:spacing w:val="-4"/>
          <w:sz w:val="24"/>
          <w:szCs w:val="24"/>
        </w:rPr>
        <w:t>Տրիս[2,4-դի(1,1-դիմեթիլէթիլ)ֆենիլ]ֆոսֆատ</w:t>
      </w:r>
      <w:r w:rsidRPr="004A7CC9">
        <w:rPr>
          <w:rStyle w:val="Bodytext31Sylfaen9"/>
          <w:i w:val="0"/>
          <w:spacing w:val="-4"/>
          <w:sz w:val="24"/>
          <w:szCs w:val="24"/>
        </w:rPr>
        <w:t>: С</w:t>
      </w:r>
      <w:r w:rsidRPr="004A7CC9">
        <w:rPr>
          <w:rStyle w:val="Bodytext285pt"/>
          <w:i w:val="0"/>
          <w:spacing w:val="-4"/>
          <w:sz w:val="24"/>
          <w:szCs w:val="24"/>
          <w:vertAlign w:val="subscript"/>
        </w:rPr>
        <w:t>42</w:t>
      </w:r>
      <w:r w:rsidRPr="004A7CC9">
        <w:rPr>
          <w:rStyle w:val="Bodytext31Sylfaen9"/>
          <w:i w:val="0"/>
          <w:spacing w:val="-4"/>
          <w:sz w:val="24"/>
          <w:szCs w:val="24"/>
        </w:rPr>
        <w:t>Н</w:t>
      </w:r>
      <w:r w:rsidRPr="004A7CC9">
        <w:rPr>
          <w:rStyle w:val="Bodytext285pt"/>
          <w:i w:val="0"/>
          <w:spacing w:val="-4"/>
          <w:sz w:val="24"/>
          <w:szCs w:val="24"/>
          <w:vertAlign w:val="subscript"/>
        </w:rPr>
        <w:t>6</w:t>
      </w:r>
      <w:r w:rsidRPr="004A7CC9">
        <w:rPr>
          <w:rStyle w:val="Bodytext31Sylfaen9"/>
          <w:i w:val="0"/>
          <w:spacing w:val="-4"/>
          <w:sz w:val="24"/>
          <w:szCs w:val="24"/>
          <w:vertAlign w:val="subscript"/>
        </w:rPr>
        <w:t>з</w:t>
      </w:r>
      <w:r w:rsidRPr="004A7CC9">
        <w:rPr>
          <w:rStyle w:val="Bodytext31Sylfaen9"/>
          <w:i w:val="0"/>
          <w:spacing w:val="-4"/>
          <w:sz w:val="24"/>
          <w:szCs w:val="24"/>
        </w:rPr>
        <w:t>О</w:t>
      </w:r>
      <w:r w:rsidRPr="004A7CC9">
        <w:rPr>
          <w:rStyle w:val="Bodytext31Sylfaen9"/>
          <w:i w:val="0"/>
          <w:spacing w:val="-4"/>
          <w:sz w:val="24"/>
          <w:szCs w:val="24"/>
          <w:vertAlign w:val="subscript"/>
        </w:rPr>
        <w:t>з</w:t>
      </w:r>
      <w:r w:rsidRPr="004A7CC9">
        <w:rPr>
          <w:rStyle w:val="Bodytext31Sylfaen9"/>
          <w:i w:val="0"/>
          <w:spacing w:val="-4"/>
          <w:sz w:val="24"/>
          <w:szCs w:val="24"/>
        </w:rPr>
        <w:t>Р. (М</w:t>
      </w:r>
      <w:r w:rsidRPr="004A7CC9">
        <w:rPr>
          <w:rStyle w:val="Bodytext31Sylfaen9"/>
          <w:i w:val="0"/>
          <w:spacing w:val="-4"/>
          <w:sz w:val="24"/>
          <w:szCs w:val="24"/>
          <w:vertAlign w:val="subscript"/>
        </w:rPr>
        <w:t>r</w:t>
      </w:r>
      <w:r w:rsidRPr="004A7CC9">
        <w:rPr>
          <w:rStyle w:val="Bodytext31Sylfaen9"/>
          <w:i w:val="0"/>
          <w:spacing w:val="-4"/>
          <w:sz w:val="24"/>
          <w:szCs w:val="24"/>
        </w:rPr>
        <w:t xml:space="preserve"> 647,0). [31570-04-4].</w:t>
      </w:r>
    </w:p>
    <w:p w14:paraId="5A33FBF9"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Պոլիմերային թիվ 12 նյութի հավելանյութ:</w:t>
      </w:r>
    </w:p>
    <w:p w14:paraId="1756556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Սպիտակ կամ գրեթե սպիտակ փոշի։</w:t>
      </w:r>
    </w:p>
    <w:p w14:paraId="6617110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Հալման ջերմաստիճանը՝ 182 °С-ից մինչեւ 186 °С։</w:t>
      </w:r>
    </w:p>
    <w:p w14:paraId="1DF4433C"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ՆՇՔ թիթեղը՝ oկտադեցիլ-սիլիլային սիլիկագելի շերտով</w:t>
      </w:r>
      <w:r w:rsidRPr="00840EC5">
        <w:rPr>
          <w:rStyle w:val="Bodytext31Sylfaen9"/>
          <w:i w:val="0"/>
          <w:sz w:val="24"/>
          <w:szCs w:val="24"/>
        </w:rPr>
        <w:t>:</w:t>
      </w:r>
    </w:p>
    <w:p w14:paraId="3EC40F8B"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Հիմքը՝ ապակուց, մետաղից կամ պոլիմերից՝ ծածկված oկտադեցիլ-սիլիլային սիլիկագելի շերտով։ Սորբենտը կարող է պարունակել կապակցող օրգանական նյութ:</w:t>
      </w:r>
    </w:p>
    <w:p w14:paraId="02950A90"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ՆՇՔ թիթեղը՝ F</w:t>
      </w:r>
      <w:r w:rsidRPr="00840EC5">
        <w:rPr>
          <w:rStyle w:val="Bodytext31Sylfaen9"/>
          <w:b/>
          <w:i w:val="0"/>
          <w:sz w:val="24"/>
          <w:szCs w:val="24"/>
          <w:vertAlign w:val="subscript"/>
        </w:rPr>
        <w:t>254</w:t>
      </w:r>
      <w:r w:rsidRPr="00840EC5">
        <w:rPr>
          <w:rStyle w:val="Bodytext31Sylfaen9"/>
          <w:b/>
          <w:i w:val="0"/>
          <w:sz w:val="24"/>
          <w:szCs w:val="24"/>
        </w:rPr>
        <w:t>oկտադեցիլ-սիլիլային սիլիկագելի շերտով:</w:t>
      </w:r>
    </w:p>
    <w:p w14:paraId="2AC2D93B"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Հիմքը՝ ապակուց, մետաղից կամ պոլիմերից՝ ծածկված oկտադեցիլ-սիլիլային սիլիկագելի շերտով։ Պարունակում է ֆլուորեսցենտային ինդիկատորով՝ 254 մն ալիքի երկարության դեպքում առավելագույն կլանումով:</w:t>
      </w:r>
    </w:p>
    <w:p w14:paraId="101478A4"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Ֆենիլ (5)մեթիլ(95)պոլիսիլօքսան:</w:t>
      </w:r>
    </w:p>
    <w:p w14:paraId="7C64EBA3"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Գազային քրոմատագրման համար անշարժ ֆազ։</w:t>
      </w:r>
    </w:p>
    <w:p w14:paraId="46B0D808"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Պարունակում է 5 % ֆենիլային խմբեր եւ 95 % մեթիլային խմբեր։</w:t>
      </w:r>
    </w:p>
    <w:p w14:paraId="095C82A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Ֆոսֆորամոլիբդենային թթու՝ 96 % էթանոլի մեջ:</w:t>
      </w:r>
    </w:p>
    <w:p w14:paraId="3D0CE8AE"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40 գ/լ 12МоО</w:t>
      </w:r>
      <w:r w:rsidRPr="00840EC5">
        <w:rPr>
          <w:rStyle w:val="Bodytext31Sylfaen9"/>
          <w:i w:val="0"/>
          <w:sz w:val="24"/>
          <w:szCs w:val="24"/>
          <w:vertAlign w:val="subscript"/>
        </w:rPr>
        <w:t>3</w:t>
      </w:r>
      <w:r w:rsidRPr="00840EC5">
        <w:rPr>
          <w:rStyle w:val="Bodytext31Sylfaen9"/>
          <w:i w:val="0"/>
          <w:sz w:val="24"/>
          <w:szCs w:val="24"/>
        </w:rPr>
        <w:t>-Н</w:t>
      </w:r>
      <w:r w:rsidRPr="00840EC5">
        <w:rPr>
          <w:rStyle w:val="Bodytext31Sylfaen9"/>
          <w:i w:val="0"/>
          <w:sz w:val="24"/>
          <w:szCs w:val="24"/>
          <w:vertAlign w:val="subscript"/>
        </w:rPr>
        <w:t>3</w:t>
      </w:r>
      <w:r w:rsidRPr="00840EC5">
        <w:rPr>
          <w:rStyle w:val="Bodytext31Sylfaen9"/>
          <w:i w:val="0"/>
          <w:sz w:val="24"/>
          <w:szCs w:val="24"/>
        </w:rPr>
        <w:t>РO</w:t>
      </w:r>
      <w:r w:rsidRPr="00840EC5">
        <w:rPr>
          <w:rStyle w:val="Bodytext31Sylfaen9"/>
          <w:i w:val="0"/>
          <w:sz w:val="24"/>
          <w:szCs w:val="24"/>
          <w:vertAlign w:val="subscript"/>
        </w:rPr>
        <w:t>4</w:t>
      </w:r>
      <w:r w:rsidRPr="00840EC5">
        <w:rPr>
          <w:rStyle w:val="Bodytext31Sylfaen9"/>
          <w:i w:val="0"/>
          <w:sz w:val="24"/>
          <w:szCs w:val="24"/>
        </w:rPr>
        <w:t>Н</w:t>
      </w:r>
      <w:r w:rsidRPr="00840EC5">
        <w:rPr>
          <w:rStyle w:val="Bodytext31Sylfaen9"/>
          <w:i w:val="0"/>
          <w:sz w:val="24"/>
          <w:szCs w:val="24"/>
          <w:vertAlign w:val="subscript"/>
        </w:rPr>
        <w:t>2</w:t>
      </w:r>
      <w:r w:rsidRPr="00840EC5">
        <w:rPr>
          <w:rStyle w:val="Bodytext31Sylfaen9"/>
          <w:i w:val="0"/>
          <w:sz w:val="24"/>
          <w:szCs w:val="24"/>
        </w:rPr>
        <w:t xml:space="preserve">O լուծույթ՝ </w:t>
      </w:r>
      <w:r w:rsidRPr="00840EC5">
        <w:rPr>
          <w:rStyle w:val="Bodytext2Italic"/>
          <w:i w:val="0"/>
          <w:sz w:val="24"/>
          <w:szCs w:val="24"/>
        </w:rPr>
        <w:t>Ռ էթանոլի (96 %&gt;) մեջ:</w:t>
      </w:r>
    </w:p>
    <w:p w14:paraId="334734E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b/>
          <w:i w:val="0"/>
          <w:sz w:val="24"/>
          <w:szCs w:val="24"/>
        </w:rPr>
        <w:t>(5</w:t>
      </w:r>
      <w:r w:rsidRPr="00840EC5">
        <w:rPr>
          <w:rStyle w:val="Bodytext2105pt"/>
          <w:rFonts w:ascii="Sylfaen" w:eastAsia="Sylfaen" w:hAnsi="Sylfaen"/>
          <w:b/>
          <w:i/>
          <w:w w:val="100"/>
          <w:sz w:val="24"/>
          <w:szCs w:val="24"/>
        </w:rPr>
        <w:t>α</w:t>
      </w:r>
      <w:r w:rsidRPr="00840EC5">
        <w:rPr>
          <w:rStyle w:val="Bodytext31Sylfaen9"/>
          <w:b/>
          <w:i w:val="0"/>
          <w:sz w:val="24"/>
          <w:szCs w:val="24"/>
        </w:rPr>
        <w:t>)-Խոլեստան</w:t>
      </w:r>
      <w:r w:rsidRPr="00840EC5">
        <w:rPr>
          <w:rStyle w:val="Bodytext31Sylfaen9"/>
          <w:i w:val="0"/>
          <w:sz w:val="24"/>
          <w:szCs w:val="24"/>
        </w:rPr>
        <w:t>: С</w:t>
      </w:r>
      <w:r w:rsidRPr="00840EC5">
        <w:rPr>
          <w:rStyle w:val="Bodytext285pt"/>
          <w:i w:val="0"/>
          <w:spacing w:val="0"/>
          <w:sz w:val="24"/>
          <w:szCs w:val="24"/>
          <w:vertAlign w:val="subscript"/>
        </w:rPr>
        <w:t>27</w:t>
      </w:r>
      <w:r w:rsidRPr="00840EC5">
        <w:rPr>
          <w:rStyle w:val="Bodytext31Sylfaen9"/>
          <w:i w:val="0"/>
          <w:sz w:val="24"/>
          <w:szCs w:val="24"/>
        </w:rPr>
        <w:t>Н</w:t>
      </w:r>
      <w:r w:rsidRPr="00840EC5">
        <w:rPr>
          <w:rStyle w:val="Bodytext31Sylfaen9"/>
          <w:i w:val="0"/>
          <w:sz w:val="24"/>
          <w:szCs w:val="24"/>
          <w:vertAlign w:val="subscript"/>
        </w:rPr>
        <w:t>48</w:t>
      </w:r>
      <w:r w:rsidRPr="00840EC5">
        <w:rPr>
          <w:rStyle w:val="Bodytext31Sylfaen9"/>
          <w:i w:val="0"/>
          <w:sz w:val="24"/>
          <w:szCs w:val="24"/>
        </w:rPr>
        <w:t>. (М</w:t>
      </w:r>
      <w:r w:rsidRPr="00840EC5">
        <w:rPr>
          <w:rStyle w:val="Bodytext31Sylfaen9"/>
          <w:i w:val="0"/>
          <w:sz w:val="24"/>
          <w:szCs w:val="24"/>
          <w:vertAlign w:val="subscript"/>
        </w:rPr>
        <w:t>r</w:t>
      </w:r>
      <w:r w:rsidRPr="00840EC5">
        <w:rPr>
          <w:rStyle w:val="Bodytext31Sylfaen9"/>
          <w:i w:val="0"/>
          <w:sz w:val="24"/>
          <w:szCs w:val="24"/>
        </w:rPr>
        <w:t>-372,7). [481-21-0].</w:t>
      </w:r>
    </w:p>
    <w:p w14:paraId="4DC545A7"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Քիչ լուծելի է ջրային էթանոլում:</w:t>
      </w:r>
    </w:p>
    <w:p w14:paraId="240DF94D"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840EC5">
        <w:rPr>
          <w:rStyle w:val="Bodytext31Sylfaen9"/>
          <w:i w:val="0"/>
          <w:sz w:val="24"/>
          <w:szCs w:val="24"/>
        </w:rPr>
        <w:t>Հալման ջերմաստիճանը՝ մոտ 81 °С։</w:t>
      </w:r>
    </w:p>
    <w:p w14:paraId="4721CC73"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lastRenderedPageBreak/>
        <w:t>Քրոմոտրոպաթթվի նատրիումական աղ՝ ծծմբական թթվի մեջ:</w:t>
      </w:r>
    </w:p>
    <w:p w14:paraId="76AD2A92"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sz w:val="24"/>
          <w:szCs w:val="24"/>
        </w:rPr>
      </w:pPr>
      <w:r w:rsidRPr="00840EC5">
        <w:rPr>
          <w:rStyle w:val="Bodytext31Sylfaen9"/>
          <w:i w:val="0"/>
          <w:sz w:val="24"/>
          <w:szCs w:val="24"/>
        </w:rPr>
        <w:t>1 գ/լ C</w:t>
      </w:r>
      <w:r w:rsidRPr="00840EC5">
        <w:rPr>
          <w:rStyle w:val="Bodytext31Sylfaen9"/>
          <w:i w:val="0"/>
          <w:sz w:val="24"/>
          <w:szCs w:val="24"/>
          <w:vertAlign w:val="subscript"/>
        </w:rPr>
        <w:t>10</w:t>
      </w:r>
      <w:r w:rsidRPr="00840EC5">
        <w:rPr>
          <w:rStyle w:val="Bodytext31Sylfaen9"/>
          <w:i w:val="0"/>
          <w:sz w:val="24"/>
          <w:szCs w:val="24"/>
        </w:rPr>
        <w:t>H</w:t>
      </w:r>
      <w:r w:rsidRPr="00840EC5">
        <w:rPr>
          <w:rStyle w:val="Bodytext31Sylfaen9"/>
          <w:i w:val="0"/>
          <w:sz w:val="24"/>
          <w:szCs w:val="24"/>
          <w:vertAlign w:val="subscript"/>
        </w:rPr>
        <w:t>6</w:t>
      </w:r>
      <w:r w:rsidRPr="00840EC5">
        <w:rPr>
          <w:rStyle w:val="Bodytext31Sylfaen9"/>
          <w:i w:val="0"/>
          <w:sz w:val="24"/>
          <w:szCs w:val="24"/>
        </w:rPr>
        <w:t>Na</w:t>
      </w:r>
      <w:r w:rsidRPr="00840EC5">
        <w:rPr>
          <w:rStyle w:val="Bodytext31Sylfaen9"/>
          <w:i w:val="0"/>
          <w:sz w:val="24"/>
          <w:szCs w:val="24"/>
          <w:vertAlign w:val="subscript"/>
        </w:rPr>
        <w:t>2</w:t>
      </w:r>
      <w:r w:rsidRPr="00840EC5">
        <w:rPr>
          <w:rStyle w:val="Bodytext31Sylfaen9"/>
          <w:i w:val="0"/>
          <w:sz w:val="24"/>
          <w:szCs w:val="24"/>
        </w:rPr>
        <w:t>O</w:t>
      </w:r>
      <w:r w:rsidRPr="00840EC5">
        <w:rPr>
          <w:rStyle w:val="Bodytext31Sylfaen9"/>
          <w:i w:val="0"/>
          <w:sz w:val="24"/>
          <w:szCs w:val="24"/>
          <w:vertAlign w:val="subscript"/>
        </w:rPr>
        <w:t>8</w:t>
      </w:r>
      <w:r w:rsidRPr="00840EC5">
        <w:rPr>
          <w:rStyle w:val="Bodytext31Sylfaen9"/>
          <w:i w:val="0"/>
          <w:sz w:val="24"/>
          <w:szCs w:val="24"/>
        </w:rPr>
        <w:t>S</w:t>
      </w:r>
      <w:r w:rsidRPr="00840EC5">
        <w:rPr>
          <w:rStyle w:val="Bodytext31Sylfaen9"/>
          <w:i w:val="0"/>
          <w:sz w:val="24"/>
          <w:szCs w:val="24"/>
          <w:vertAlign w:val="subscript"/>
        </w:rPr>
        <w:t>2</w:t>
      </w:r>
      <w:r w:rsidRPr="00840EC5">
        <w:rPr>
          <w:rStyle w:val="Bodytext31Sylfaen9"/>
          <w:i w:val="0"/>
          <w:sz w:val="24"/>
          <w:szCs w:val="24"/>
        </w:rPr>
        <w:t xml:space="preserve"> լուծույթ՝ </w:t>
      </w:r>
      <w:r w:rsidRPr="00840EC5">
        <w:rPr>
          <w:rStyle w:val="Bodytext2Italic"/>
          <w:sz w:val="24"/>
          <w:szCs w:val="24"/>
        </w:rPr>
        <w:t>Ռ ծծմբական թթվի մեջ:</w:t>
      </w:r>
    </w:p>
    <w:p w14:paraId="6C471839" w14:textId="77777777" w:rsidR="00B834A2" w:rsidRPr="00B834A2" w:rsidRDefault="00B834A2" w:rsidP="00B834A2">
      <w:pPr>
        <w:pStyle w:val="Bodytext20"/>
        <w:shd w:val="clear" w:color="auto" w:fill="auto"/>
        <w:spacing w:before="0" w:after="160" w:line="360" w:lineRule="auto"/>
        <w:ind w:right="200"/>
        <w:jc w:val="right"/>
        <w:rPr>
          <w:rFonts w:ascii="Sylfaen" w:hAnsi="Sylfaen" w:cs="Sylfaen"/>
          <w:sz w:val="24"/>
          <w:szCs w:val="24"/>
        </w:rPr>
      </w:pPr>
    </w:p>
    <w:p w14:paraId="7E794634" w14:textId="77777777" w:rsidR="00B834A2" w:rsidRPr="00A859E3" w:rsidRDefault="00B834A2" w:rsidP="00B834A2">
      <w:pPr>
        <w:pStyle w:val="Bodytext20"/>
        <w:shd w:val="clear" w:color="auto" w:fill="auto"/>
        <w:spacing w:before="0" w:after="160" w:line="360" w:lineRule="auto"/>
        <w:ind w:right="200"/>
        <w:jc w:val="right"/>
        <w:rPr>
          <w:rFonts w:ascii="Sylfaen" w:hAnsi="Sylfaen"/>
          <w:b/>
          <w:sz w:val="20"/>
          <w:szCs w:val="24"/>
        </w:rPr>
      </w:pPr>
      <w:r w:rsidRPr="00840EC5">
        <w:rPr>
          <w:rFonts w:ascii="Sylfaen" w:hAnsi="Sylfaen"/>
          <w:b/>
          <w:sz w:val="20"/>
          <w:szCs w:val="24"/>
        </w:rPr>
        <w:t>202010002-2022</w:t>
      </w:r>
    </w:p>
    <w:p w14:paraId="0D8730B4" w14:textId="77777777" w:rsidR="00840EC5" w:rsidRPr="00A859E3" w:rsidRDefault="00840EC5" w:rsidP="00B834A2">
      <w:pPr>
        <w:pStyle w:val="Bodytext20"/>
        <w:shd w:val="clear" w:color="auto" w:fill="auto"/>
        <w:spacing w:before="0" w:after="160" w:line="360" w:lineRule="auto"/>
        <w:ind w:right="200"/>
        <w:jc w:val="right"/>
        <w:rPr>
          <w:rFonts w:ascii="Sylfaen" w:hAnsi="Sylfaen" w:cs="Sylfaen"/>
          <w:b/>
          <w:sz w:val="20"/>
          <w:szCs w:val="24"/>
        </w:rPr>
      </w:pPr>
    </w:p>
    <w:p w14:paraId="16642DF4" w14:textId="77777777" w:rsidR="00B834A2" w:rsidRPr="00840EC5" w:rsidRDefault="00B834A2" w:rsidP="00DA2D5E">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840EC5">
        <w:rPr>
          <w:rStyle w:val="Bodytext29pt"/>
          <w:b/>
          <w:sz w:val="24"/>
          <w:szCs w:val="24"/>
        </w:rPr>
        <w:t>2.2.1.2.</w:t>
      </w:r>
      <w:r w:rsidR="00840EC5" w:rsidRPr="00A859E3">
        <w:rPr>
          <w:rStyle w:val="Bodytext29pt"/>
          <w:b/>
          <w:sz w:val="24"/>
          <w:szCs w:val="24"/>
        </w:rPr>
        <w:tab/>
      </w:r>
      <w:r w:rsidRPr="00840EC5">
        <w:rPr>
          <w:rStyle w:val="Bodytext29pt"/>
          <w:b/>
          <w:sz w:val="24"/>
          <w:szCs w:val="24"/>
        </w:rPr>
        <w:t>Ստանդարտ լուծույթներ՝ խառնուկների սահմանային պարունակության մասով փորձարկումների համար</w:t>
      </w:r>
    </w:p>
    <w:p w14:paraId="1C43A4D6" w14:textId="77777777" w:rsidR="00B834A2" w:rsidRPr="00B834A2" w:rsidRDefault="00B834A2" w:rsidP="00B834A2">
      <w:pPr>
        <w:pStyle w:val="Bodytext20"/>
        <w:shd w:val="clear" w:color="auto" w:fill="auto"/>
        <w:spacing w:before="0" w:after="160" w:line="360" w:lineRule="auto"/>
        <w:ind w:firstLine="567"/>
        <w:rPr>
          <w:rStyle w:val="Bodytext31Sylfaen9"/>
          <w:sz w:val="24"/>
          <w:szCs w:val="24"/>
        </w:rPr>
      </w:pPr>
    </w:p>
    <w:p w14:paraId="6A176C3F" w14:textId="77777777" w:rsidR="00B834A2" w:rsidRPr="00B834A2" w:rsidRDefault="00B834A2" w:rsidP="00840EC5">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ՀԱՎԵԼՈՒՄ</w:t>
      </w:r>
    </w:p>
    <w:p w14:paraId="1FA0AA2B"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b/>
          <w:i/>
          <w:sz w:val="24"/>
          <w:szCs w:val="24"/>
        </w:rPr>
      </w:pPr>
      <w:r w:rsidRPr="00840EC5">
        <w:rPr>
          <w:rStyle w:val="Bodytext31Sylfaen9"/>
          <w:b/>
          <w:i w:val="0"/>
          <w:sz w:val="24"/>
          <w:szCs w:val="24"/>
        </w:rPr>
        <w:t>Ֆտորիդ-իոնների ստանդարտ լուծույթ (100 ppm F-):</w:t>
      </w:r>
    </w:p>
    <w:p w14:paraId="71AD0211" w14:textId="77777777" w:rsidR="00B834A2" w:rsidRPr="00840EC5" w:rsidRDefault="00B834A2" w:rsidP="00840EC5">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 xml:space="preserve">300 °С ջերմաստիճանում 12 ժամվա ընթացքում նախապես չորացրած </w:t>
      </w:r>
      <w:r w:rsidRPr="00840EC5">
        <w:rPr>
          <w:rStyle w:val="Bodytext31Sylfaen9"/>
          <w:i w:val="0"/>
          <w:sz w:val="24"/>
          <w:szCs w:val="24"/>
        </w:rPr>
        <w:t xml:space="preserve">4,199 գ </w:t>
      </w:r>
      <w:r w:rsidRPr="00840EC5">
        <w:rPr>
          <w:rStyle w:val="Bodytext2Italic"/>
          <w:i w:val="0"/>
          <w:sz w:val="24"/>
          <w:szCs w:val="24"/>
        </w:rPr>
        <w:t>Ռ նատրիումի ֆտորիդը</w:t>
      </w:r>
      <w:r w:rsidRPr="00840EC5">
        <w:rPr>
          <w:rStyle w:val="Bodytext31Sylfaen9"/>
          <w:i w:val="0"/>
          <w:sz w:val="24"/>
          <w:szCs w:val="24"/>
        </w:rPr>
        <w:t xml:space="preserve"> լուծում են </w:t>
      </w:r>
      <w:r w:rsidRPr="00840EC5">
        <w:rPr>
          <w:rStyle w:val="Bodytext2Italic"/>
          <w:i w:val="0"/>
          <w:sz w:val="24"/>
          <w:szCs w:val="24"/>
        </w:rPr>
        <w:t>Ռ ջրի մեջ</w:t>
      </w:r>
      <w:r w:rsidRPr="00840EC5">
        <w:rPr>
          <w:rStyle w:val="Bodytext31Sylfaen9"/>
          <w:i w:val="0"/>
          <w:sz w:val="24"/>
          <w:szCs w:val="24"/>
        </w:rPr>
        <w:t xml:space="preserve"> եւ լուծույթի ծավալը միեւնույն լուծիչով հասցնում են </w:t>
      </w:r>
      <w:r w:rsidRPr="00840EC5">
        <w:rPr>
          <w:rStyle w:val="Bodytext285pt"/>
          <w:i w:val="0"/>
          <w:spacing w:val="0"/>
          <w:sz w:val="24"/>
          <w:szCs w:val="24"/>
        </w:rPr>
        <w:t>1000,0</w:t>
      </w:r>
      <w:r w:rsidRPr="00840EC5">
        <w:rPr>
          <w:rStyle w:val="Bodytext31Sylfaen9"/>
          <w:i w:val="0"/>
          <w:sz w:val="24"/>
          <w:szCs w:val="24"/>
        </w:rPr>
        <w:t xml:space="preserve"> մլ-ի</w:t>
      </w:r>
      <w:r w:rsidRPr="00840EC5">
        <w:rPr>
          <w:rStyle w:val="Bodytext285pt"/>
          <w:i w:val="0"/>
          <w:spacing w:val="0"/>
          <w:sz w:val="24"/>
          <w:szCs w:val="24"/>
        </w:rPr>
        <w:t xml:space="preserve">(2000 </w:t>
      </w:r>
      <w:r w:rsidRPr="00840EC5">
        <w:rPr>
          <w:rStyle w:val="Bodytext31Sylfaen9"/>
          <w:i w:val="0"/>
          <w:sz w:val="24"/>
          <w:szCs w:val="24"/>
        </w:rPr>
        <w:t>մկգ/մլ F</w:t>
      </w:r>
      <w:r w:rsidRPr="00840EC5">
        <w:rPr>
          <w:rStyle w:val="Bodytext31Sylfaen9"/>
          <w:i w:val="0"/>
          <w:sz w:val="24"/>
          <w:szCs w:val="24"/>
          <w:vertAlign w:val="superscript"/>
        </w:rPr>
        <w:t>-</w:t>
      </w:r>
      <w:r w:rsidRPr="00840EC5">
        <w:rPr>
          <w:rStyle w:val="Bodytext31Sylfaen9"/>
          <w:i w:val="0"/>
          <w:sz w:val="24"/>
          <w:szCs w:val="24"/>
        </w:rPr>
        <w:t>):</w:t>
      </w:r>
    </w:p>
    <w:p w14:paraId="15354D33" w14:textId="77777777" w:rsidR="00B834A2" w:rsidRPr="00840EC5" w:rsidRDefault="00B834A2" w:rsidP="00840EC5">
      <w:pPr>
        <w:pStyle w:val="Bodytext20"/>
        <w:shd w:val="clear" w:color="auto" w:fill="auto"/>
        <w:spacing w:before="0" w:after="160" w:line="360" w:lineRule="auto"/>
        <w:ind w:firstLine="567"/>
        <w:jc w:val="both"/>
        <w:rPr>
          <w:rStyle w:val="Bodytext31Sylfaen9"/>
          <w:i w:val="0"/>
          <w:sz w:val="24"/>
          <w:szCs w:val="24"/>
        </w:rPr>
      </w:pPr>
      <w:r w:rsidRPr="00840EC5">
        <w:rPr>
          <w:rStyle w:val="Bodytext31Sylfaen9"/>
          <w:i w:val="0"/>
          <w:sz w:val="24"/>
          <w:szCs w:val="24"/>
        </w:rPr>
        <w:t>Լուծույթը պահում են պոլիէթիլենային կամ պոլիպրոպիլենային կոնտեյներում, սենյակային ջերմաստիճանի պայմաններում, 3 ամսից ոչ ավելի:</w:t>
      </w:r>
    </w:p>
    <w:p w14:paraId="38DF5D4B" w14:textId="77777777" w:rsidR="00B834A2" w:rsidRPr="00B834A2" w:rsidRDefault="00B834A2" w:rsidP="00B834A2">
      <w:pPr>
        <w:spacing w:after="160" w:line="360" w:lineRule="auto"/>
        <w:rPr>
          <w:rStyle w:val="Bodytext31Sylfaen9"/>
          <w:sz w:val="24"/>
          <w:szCs w:val="24"/>
        </w:rPr>
      </w:pPr>
      <w:r w:rsidRPr="00B834A2">
        <w:br w:type="page"/>
      </w:r>
    </w:p>
    <w:p w14:paraId="6C0ACFD3"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75D3B9BA"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688F9F2"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FE9AFF9"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2310D55A"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7D594C4"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37B91073"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1B8DF2C"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3C567B31"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5CC0E954"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p>
    <w:p w14:paraId="6FC4363F" w14:textId="77777777" w:rsidR="00B834A2" w:rsidRPr="00B834A2" w:rsidRDefault="00B834A2" w:rsidP="00B834A2">
      <w:pPr>
        <w:pStyle w:val="Bodytext20"/>
        <w:shd w:val="clear" w:color="auto" w:fill="auto"/>
        <w:spacing w:before="0" w:after="160" w:line="360" w:lineRule="auto"/>
        <w:rPr>
          <w:rFonts w:ascii="Sylfaen" w:hAnsi="Sylfaen"/>
          <w:b/>
          <w:sz w:val="24"/>
          <w:szCs w:val="24"/>
        </w:rPr>
      </w:pPr>
      <w:r w:rsidRPr="00B834A2">
        <w:rPr>
          <w:rFonts w:ascii="Sylfaen" w:hAnsi="Sylfaen"/>
          <w:b/>
          <w:sz w:val="24"/>
          <w:szCs w:val="24"/>
        </w:rPr>
        <w:t>2.3. ԸՆԴՀԱՆՈՒՐ ՏԵՔՍՏԵՐ</w:t>
      </w:r>
    </w:p>
    <w:p w14:paraId="5561FCF5" w14:textId="77777777" w:rsidR="00B834A2" w:rsidRPr="00B834A2" w:rsidRDefault="00B834A2" w:rsidP="00B834A2">
      <w:pPr>
        <w:spacing w:after="160" w:line="360" w:lineRule="auto"/>
        <w:rPr>
          <w:rFonts w:eastAsia="Times New Roman" w:cs="Times New Roman"/>
          <w:b/>
          <w:color w:val="auto"/>
        </w:rPr>
      </w:pPr>
      <w:r w:rsidRPr="00B834A2">
        <w:br w:type="page"/>
      </w:r>
    </w:p>
    <w:p w14:paraId="2B321667" w14:textId="77777777" w:rsidR="00B834A2" w:rsidRPr="001636CE" w:rsidRDefault="00B834A2" w:rsidP="00B834A2">
      <w:pPr>
        <w:pStyle w:val="Bodytext20"/>
        <w:shd w:val="clear" w:color="auto" w:fill="auto"/>
        <w:spacing w:before="0" w:after="160" w:line="360" w:lineRule="auto"/>
        <w:ind w:left="480"/>
        <w:jc w:val="right"/>
        <w:rPr>
          <w:rStyle w:val="Bodytext31Sylfaen9"/>
          <w:b/>
          <w:i w:val="0"/>
          <w:sz w:val="20"/>
          <w:szCs w:val="24"/>
        </w:rPr>
      </w:pPr>
      <w:r w:rsidRPr="001636CE">
        <w:rPr>
          <w:rStyle w:val="Bodytext31Sylfaen9"/>
          <w:b/>
          <w:i w:val="0"/>
          <w:sz w:val="20"/>
          <w:szCs w:val="24"/>
        </w:rPr>
        <w:lastRenderedPageBreak/>
        <w:t>203010002-2022</w:t>
      </w:r>
    </w:p>
    <w:p w14:paraId="3B922743" w14:textId="77777777" w:rsidR="00B834A2" w:rsidRPr="001F0C86" w:rsidRDefault="00B834A2" w:rsidP="00B834A2">
      <w:pPr>
        <w:pStyle w:val="Bodytext20"/>
        <w:shd w:val="clear" w:color="auto" w:fill="auto"/>
        <w:spacing w:before="0" w:after="160" w:line="360" w:lineRule="auto"/>
        <w:ind w:left="480"/>
        <w:jc w:val="right"/>
        <w:rPr>
          <w:rStyle w:val="Bodytext31Sylfaen9"/>
          <w:b/>
          <w:sz w:val="20"/>
          <w:szCs w:val="24"/>
        </w:rPr>
      </w:pPr>
    </w:p>
    <w:p w14:paraId="70F917DE" w14:textId="77777777" w:rsidR="00B834A2" w:rsidRPr="001F0C86" w:rsidRDefault="00B834A2" w:rsidP="001F0C86">
      <w:pPr>
        <w:pStyle w:val="Bodytext20"/>
        <w:shd w:val="clear" w:color="auto" w:fill="auto"/>
        <w:tabs>
          <w:tab w:val="left" w:pos="1701"/>
        </w:tabs>
        <w:spacing w:before="0" w:after="160" w:line="360" w:lineRule="auto"/>
        <w:ind w:firstLine="567"/>
        <w:jc w:val="both"/>
        <w:rPr>
          <w:rFonts w:ascii="Sylfaen" w:hAnsi="Sylfaen"/>
          <w:b/>
          <w:sz w:val="24"/>
          <w:szCs w:val="24"/>
        </w:rPr>
      </w:pPr>
      <w:r w:rsidRPr="001F0C86">
        <w:rPr>
          <w:rStyle w:val="Bodytext29pt"/>
          <w:b/>
          <w:sz w:val="24"/>
          <w:szCs w:val="24"/>
        </w:rPr>
        <w:t>2.3.1.2.</w:t>
      </w:r>
      <w:r w:rsidR="001F0C86" w:rsidRPr="00A859E3">
        <w:rPr>
          <w:rStyle w:val="Bodytext29pt"/>
          <w:b/>
          <w:sz w:val="24"/>
          <w:szCs w:val="24"/>
        </w:rPr>
        <w:tab/>
      </w:r>
      <w:r w:rsidRPr="001F0C86">
        <w:rPr>
          <w:rStyle w:val="Bodytext29pt"/>
          <w:b/>
          <w:sz w:val="24"/>
          <w:szCs w:val="24"/>
        </w:rPr>
        <w:t>Դեղապատրաստուկների, դեղագործական բաղադրամասերի ու օժանդակ նյութերի մանրէաբանական մաքրությանը ներկայացվող պահանջները՝ դրանց արտադրության համար</w:t>
      </w:r>
    </w:p>
    <w:p w14:paraId="1F159A62" w14:textId="77777777" w:rsidR="00B834A2" w:rsidRPr="001F0C86" w:rsidRDefault="00B834A2" w:rsidP="001F0C86">
      <w:pPr>
        <w:pStyle w:val="Bodytext20"/>
        <w:shd w:val="clear" w:color="auto" w:fill="auto"/>
        <w:spacing w:before="0" w:after="160" w:line="360" w:lineRule="auto"/>
        <w:ind w:firstLine="567"/>
        <w:jc w:val="both"/>
        <w:rPr>
          <w:rFonts w:ascii="Sylfaen" w:hAnsi="Sylfaen" w:cs="Sylfaen"/>
          <w:sz w:val="24"/>
          <w:szCs w:val="24"/>
        </w:rPr>
      </w:pPr>
      <w:r w:rsidRPr="001F0C86">
        <w:rPr>
          <w:rStyle w:val="Bodytext31Sylfaen9"/>
          <w:i w:val="0"/>
          <w:sz w:val="24"/>
          <w:szCs w:val="24"/>
        </w:rPr>
        <w:t>Սույն ընդհանուր դեղագրքային հոդվածով սահմանվում են դեղապատրաստուկների, դեղագործական բաղադրամասերի ու օժանդակ նյութերի մանրէաբանական մաքրության ընդունելիության չափորոշիչները՝ դրանց արտադրության համար։</w:t>
      </w:r>
    </w:p>
    <w:p w14:paraId="1AD06976" w14:textId="77777777" w:rsidR="00B834A2" w:rsidRPr="001F0C86" w:rsidRDefault="00B834A2" w:rsidP="001F0C86">
      <w:pPr>
        <w:pStyle w:val="Bodytext20"/>
        <w:shd w:val="clear" w:color="auto" w:fill="auto"/>
        <w:spacing w:before="0" w:after="160" w:line="360" w:lineRule="auto"/>
        <w:ind w:firstLine="567"/>
        <w:jc w:val="both"/>
        <w:rPr>
          <w:rFonts w:ascii="Sylfaen" w:hAnsi="Sylfaen" w:cs="Sylfaen"/>
          <w:sz w:val="24"/>
          <w:szCs w:val="24"/>
        </w:rPr>
      </w:pPr>
      <w:r w:rsidRPr="001F0C86">
        <w:rPr>
          <w:rStyle w:val="Bodytext31Sylfaen9"/>
          <w:i w:val="0"/>
          <w:sz w:val="24"/>
          <w:szCs w:val="24"/>
        </w:rPr>
        <w:t>Ոչ մանրէազերծ դեղամիջոցները կարող են կոնտամինացված լինել միկրոօրգանիզմներով։ Թույլատրվում է բակտերիաների եւ սնկերի սահմանափակ քանակություն՝ մարդու առողջության համար վտանգ ներկայացնող որոշակի տեսակների բացակայության դեպքում։ Ոչ մանրէազերծ դեղապատրաստուկներում միկրոօրգանիզմների առկայությունը կարող է անբարենպաստ ազդեցություն ունենալ պացիենտի առողջության վրա եւ հանգեցնել պատրաստուկի թերապեւտիկ արդյունավետության նվազմանը։ Այդ պատճառով արտադրողները պետք է ապահովեն դեղամիջոցների մանրէաբանական մաքրության համապատասխան մակարդակը՝ դեղապատրաստուկների արտադրության, պահպանման եւ դիստրիբյուցիայի հետ կապված պատշաճ գործունեության (GхР) վերաբերյալ գործող ուղեցույցների կատարման միջոցով։</w:t>
      </w:r>
    </w:p>
    <w:p w14:paraId="486A8EC3" w14:textId="77777777" w:rsidR="00B834A2" w:rsidRPr="00B834A2" w:rsidRDefault="00B834A2" w:rsidP="001F0C8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Ոչ մանրէազերծ դեղապատրաստուկների մանրէաբանական փորձարկումն անցկացվում է հետեւյալ ընդհանուր դեղագրքային հոդվածներում բերված մեթոդներին համապատասխան՝</w:t>
      </w:r>
      <w:r w:rsidRPr="00B834A2">
        <w:rPr>
          <w:rStyle w:val="Bodytext2Italic"/>
          <w:sz w:val="24"/>
          <w:szCs w:val="24"/>
        </w:rPr>
        <w:t xml:space="preserve"> 2.1.6.6. Ոչ մանրէազերծ դեղամիջոցների մանրէաբանական փորձարկումները. </w:t>
      </w:r>
      <w:r w:rsidRPr="00B834A2">
        <w:rPr>
          <w:rFonts w:ascii="Sylfaen" w:hAnsi="Sylfaen"/>
          <w:i/>
          <w:sz w:val="24"/>
          <w:szCs w:val="24"/>
        </w:rPr>
        <w:t>կենսունակ աէրոբ միկրոօրգանիզմների ընդհանուր քանակը</w:t>
      </w:r>
      <w:r w:rsidRPr="00B834A2">
        <w:rPr>
          <w:rFonts w:ascii="Sylfaen" w:hAnsi="Sylfaen"/>
          <w:sz w:val="24"/>
          <w:szCs w:val="24"/>
        </w:rPr>
        <w:t xml:space="preserve"> եւ 2.1.6.7. </w:t>
      </w:r>
      <w:r w:rsidRPr="00B834A2">
        <w:rPr>
          <w:rStyle w:val="Bodytext2Italic"/>
          <w:sz w:val="24"/>
          <w:szCs w:val="24"/>
        </w:rPr>
        <w:t>Ոչ մանրէազերծ դեղամիջոցների մանրէաբանական փորձարկումները՝ միկրոօրգանիզմների առանձին տեսակների առկայության մասով։</w:t>
      </w:r>
    </w:p>
    <w:p w14:paraId="3AF39FD7" w14:textId="77777777" w:rsidR="00B834A2" w:rsidRPr="001F0C86" w:rsidRDefault="00B834A2" w:rsidP="001F0C86">
      <w:pPr>
        <w:pStyle w:val="Bodytext20"/>
        <w:shd w:val="clear" w:color="auto" w:fill="auto"/>
        <w:spacing w:before="0" w:after="160" w:line="360" w:lineRule="auto"/>
        <w:ind w:firstLine="567"/>
        <w:jc w:val="both"/>
        <w:rPr>
          <w:rStyle w:val="Bodytext31Sylfaen9"/>
          <w:i w:val="0"/>
          <w:sz w:val="24"/>
          <w:szCs w:val="24"/>
        </w:rPr>
      </w:pPr>
      <w:r w:rsidRPr="001F0C86">
        <w:rPr>
          <w:rStyle w:val="Bodytext31Sylfaen9"/>
          <w:i w:val="0"/>
          <w:sz w:val="24"/>
          <w:szCs w:val="24"/>
        </w:rPr>
        <w:lastRenderedPageBreak/>
        <w:t>Ոչ մանրէազերծ դեղապատրաստուկների համար աէրոբ միկրոօրգանիզմների ընդհանուր թվի (ՄԸԹ, ТAМС) եւ խմորասնկերի ու բորբոսասնկերի ընդհանուր թվի (ՍԸԹ, ТYМС) հաշվարկման վրա հիմնված ընդունելիության չափորոշիչները բերված են 2.3.1.2-1 աղյուսակում։ Ընդունելիության չափորոշիչները սահմանվում են առանձին արդյունքների կամ բոլոր հաշվարկների միջին արժեքի հիման վրա՝ ռեպլիկացում կիրառելիս (օրինակ՝ ուղղակի ցանքի մեթոդ)։ Արդյունքները մեկնաբանվում են հետեւյալ կերպ.</w:t>
      </w:r>
    </w:p>
    <w:p w14:paraId="2F47BC25" w14:textId="77777777" w:rsidR="00B834A2" w:rsidRPr="00B834A2" w:rsidRDefault="00B834A2" w:rsidP="001636C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636CE" w:rsidRPr="00DE4F37">
        <w:rPr>
          <w:rFonts w:ascii="Sylfaen" w:hAnsi="Sylfaen"/>
          <w:sz w:val="24"/>
          <w:szCs w:val="24"/>
        </w:rPr>
        <w:tab/>
      </w:r>
      <w:r w:rsidRPr="001F0C86">
        <w:rPr>
          <w:rStyle w:val="Bodytext31Sylfaen9"/>
          <w:i w:val="0"/>
          <w:sz w:val="24"/>
          <w:szCs w:val="24"/>
        </w:rPr>
        <w:t>10</w:t>
      </w:r>
      <w:r w:rsidRPr="001F0C86">
        <w:rPr>
          <w:rStyle w:val="Bodytext285pt"/>
          <w:i w:val="0"/>
          <w:spacing w:val="0"/>
          <w:sz w:val="24"/>
          <w:szCs w:val="24"/>
          <w:vertAlign w:val="superscript"/>
        </w:rPr>
        <w:t>1</w:t>
      </w:r>
      <w:r w:rsidRPr="00B834A2">
        <w:rPr>
          <w:rFonts w:ascii="Sylfaen" w:hAnsi="Sylfaen"/>
          <w:sz w:val="24"/>
          <w:szCs w:val="24"/>
        </w:rPr>
        <w:t>ԳԱՄ կամ ոչ ավելի, քան 10</w:t>
      </w:r>
      <w:r w:rsidRPr="00B834A2">
        <w:rPr>
          <w:rFonts w:ascii="Sylfaen" w:hAnsi="Sylfaen"/>
          <w:sz w:val="24"/>
          <w:szCs w:val="24"/>
          <w:vertAlign w:val="superscript"/>
        </w:rPr>
        <w:t>1</w:t>
      </w:r>
      <w:r w:rsidRPr="00B834A2">
        <w:rPr>
          <w:rFonts w:ascii="Sylfaen" w:hAnsi="Sylfaen"/>
          <w:sz w:val="24"/>
          <w:szCs w:val="24"/>
        </w:rPr>
        <w:t xml:space="preserve"> ԳԱՄ </w:t>
      </w:r>
      <w:r w:rsidR="009217DE">
        <w:rPr>
          <w:rFonts w:ascii="Sylfaen" w:hAnsi="Sylfaen"/>
          <w:sz w:val="24"/>
          <w:szCs w:val="24"/>
        </w:rPr>
        <w:t>-</w:t>
      </w:r>
      <w:r w:rsidRPr="00B834A2">
        <w:rPr>
          <w:rFonts w:ascii="Sylfaen" w:hAnsi="Sylfaen"/>
          <w:sz w:val="24"/>
          <w:szCs w:val="24"/>
        </w:rPr>
        <w:t xml:space="preserve"> առավելագույն թույլատրելի թիվը՝</w:t>
      </w:r>
      <w:r>
        <w:rPr>
          <w:rFonts w:ascii="Sylfaen" w:hAnsi="Sylfaen"/>
          <w:sz w:val="24"/>
          <w:szCs w:val="24"/>
        </w:rPr>
        <w:t xml:space="preserve"> </w:t>
      </w:r>
      <w:r w:rsidRPr="00B834A2">
        <w:rPr>
          <w:rFonts w:ascii="Sylfaen" w:hAnsi="Sylfaen"/>
          <w:sz w:val="24"/>
          <w:szCs w:val="24"/>
        </w:rPr>
        <w:t>20 ԳԱՄ/գ (մլ).</w:t>
      </w:r>
    </w:p>
    <w:p w14:paraId="6E09A464" w14:textId="77777777" w:rsidR="00B834A2" w:rsidRPr="00B834A2" w:rsidRDefault="00B834A2" w:rsidP="001636C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636CE" w:rsidRPr="00DE4F37">
        <w:rPr>
          <w:rFonts w:ascii="Sylfaen" w:hAnsi="Sylfaen"/>
          <w:sz w:val="24"/>
          <w:szCs w:val="24"/>
        </w:rPr>
        <w:tab/>
      </w:r>
      <w:r w:rsidRPr="001F0C86">
        <w:rPr>
          <w:rStyle w:val="Bodytext31Sylfaen9"/>
          <w:i w:val="0"/>
          <w:sz w:val="24"/>
          <w:szCs w:val="24"/>
        </w:rPr>
        <w:t>10</w:t>
      </w:r>
      <w:r w:rsidRPr="001F0C86">
        <w:rPr>
          <w:rStyle w:val="Bodytext285pt"/>
          <w:i w:val="0"/>
          <w:spacing w:val="0"/>
          <w:sz w:val="24"/>
          <w:szCs w:val="24"/>
          <w:vertAlign w:val="superscript"/>
        </w:rPr>
        <w:t>2</w:t>
      </w:r>
      <w:r w:rsidRPr="00B834A2">
        <w:rPr>
          <w:rFonts w:ascii="Sylfaen" w:hAnsi="Sylfaen"/>
          <w:sz w:val="24"/>
          <w:szCs w:val="24"/>
        </w:rPr>
        <w:t>ԳԱՄ կամ ոչ ավելի, քան 10</w:t>
      </w:r>
      <w:r w:rsidRPr="00B834A2">
        <w:rPr>
          <w:rFonts w:ascii="Sylfaen" w:hAnsi="Sylfaen"/>
          <w:sz w:val="24"/>
          <w:szCs w:val="24"/>
          <w:vertAlign w:val="superscript"/>
        </w:rPr>
        <w:t>2</w:t>
      </w:r>
      <w:r w:rsidRPr="00B834A2">
        <w:rPr>
          <w:rFonts w:ascii="Sylfaen" w:hAnsi="Sylfaen"/>
          <w:sz w:val="24"/>
          <w:szCs w:val="24"/>
        </w:rPr>
        <w:t xml:space="preserve"> ԳԱՄ </w:t>
      </w:r>
      <w:r w:rsidR="009217DE">
        <w:rPr>
          <w:rFonts w:ascii="Sylfaen" w:hAnsi="Sylfaen"/>
          <w:sz w:val="24"/>
          <w:szCs w:val="24"/>
        </w:rPr>
        <w:t>-</w:t>
      </w:r>
      <w:r w:rsidRPr="00B834A2">
        <w:rPr>
          <w:rFonts w:ascii="Sylfaen" w:hAnsi="Sylfaen"/>
          <w:sz w:val="24"/>
          <w:szCs w:val="24"/>
        </w:rPr>
        <w:t xml:space="preserve"> առավելագույն թույլատրելի թիվը՝</w:t>
      </w:r>
      <w:r>
        <w:rPr>
          <w:rFonts w:ascii="Sylfaen" w:hAnsi="Sylfaen"/>
          <w:sz w:val="24"/>
          <w:szCs w:val="24"/>
        </w:rPr>
        <w:t xml:space="preserve"> </w:t>
      </w:r>
      <w:r w:rsidRPr="00B834A2">
        <w:rPr>
          <w:rFonts w:ascii="Sylfaen" w:hAnsi="Sylfaen"/>
          <w:sz w:val="24"/>
          <w:szCs w:val="24"/>
        </w:rPr>
        <w:t>200 ԳԱՄ/գ (մլ).</w:t>
      </w:r>
    </w:p>
    <w:p w14:paraId="02F47F14" w14:textId="77777777" w:rsidR="00B834A2" w:rsidRPr="00B834A2" w:rsidRDefault="00B834A2" w:rsidP="001636C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1636CE" w:rsidRPr="00DE4F37">
        <w:rPr>
          <w:rFonts w:ascii="Sylfaen" w:hAnsi="Sylfaen"/>
          <w:sz w:val="24"/>
          <w:szCs w:val="24"/>
        </w:rPr>
        <w:tab/>
      </w:r>
      <w:r w:rsidRPr="001F0C86">
        <w:rPr>
          <w:rStyle w:val="Bodytext31Sylfaen9"/>
          <w:i w:val="0"/>
          <w:sz w:val="24"/>
          <w:szCs w:val="24"/>
        </w:rPr>
        <w:t>10</w:t>
      </w:r>
      <w:r w:rsidRPr="001F0C86">
        <w:rPr>
          <w:rStyle w:val="Bodytext285pt"/>
          <w:i w:val="0"/>
          <w:spacing w:val="0"/>
          <w:sz w:val="24"/>
          <w:szCs w:val="24"/>
          <w:vertAlign w:val="superscript"/>
        </w:rPr>
        <w:t>3</w:t>
      </w:r>
      <w:r w:rsidRPr="00B834A2">
        <w:rPr>
          <w:rFonts w:ascii="Sylfaen" w:hAnsi="Sylfaen"/>
          <w:sz w:val="24"/>
          <w:szCs w:val="24"/>
        </w:rPr>
        <w:t>ԳԱՄ կամ ոչ ավելի, քան 10</w:t>
      </w:r>
      <w:r w:rsidRPr="00B834A2">
        <w:rPr>
          <w:rFonts w:ascii="Sylfaen" w:hAnsi="Sylfaen"/>
          <w:sz w:val="24"/>
          <w:szCs w:val="24"/>
          <w:vertAlign w:val="superscript"/>
        </w:rPr>
        <w:t>3</w:t>
      </w:r>
      <w:r w:rsidRPr="00B834A2">
        <w:rPr>
          <w:rFonts w:ascii="Sylfaen" w:hAnsi="Sylfaen"/>
          <w:sz w:val="24"/>
          <w:szCs w:val="24"/>
        </w:rPr>
        <w:t xml:space="preserve"> ԳԱՄ </w:t>
      </w:r>
      <w:r w:rsidR="009217DE">
        <w:rPr>
          <w:rFonts w:ascii="Sylfaen" w:hAnsi="Sylfaen"/>
          <w:sz w:val="24"/>
          <w:szCs w:val="24"/>
        </w:rPr>
        <w:t>-</w:t>
      </w:r>
      <w:r w:rsidRPr="00B834A2">
        <w:rPr>
          <w:rFonts w:ascii="Sylfaen" w:hAnsi="Sylfaen"/>
          <w:sz w:val="24"/>
          <w:szCs w:val="24"/>
        </w:rPr>
        <w:t xml:space="preserve"> առավելագույն թույլատրելի թիվը՝</w:t>
      </w:r>
      <w:r>
        <w:rPr>
          <w:rFonts w:ascii="Sylfaen" w:hAnsi="Sylfaen"/>
          <w:sz w:val="24"/>
          <w:szCs w:val="24"/>
        </w:rPr>
        <w:t xml:space="preserve"> </w:t>
      </w:r>
      <w:r w:rsidRPr="00B834A2">
        <w:rPr>
          <w:rFonts w:ascii="Sylfaen" w:hAnsi="Sylfaen"/>
          <w:sz w:val="24"/>
          <w:szCs w:val="24"/>
        </w:rPr>
        <w:t>2000 ԳԱՄ/գ (մլ).</w:t>
      </w:r>
    </w:p>
    <w:p w14:paraId="78BBC15C" w14:textId="77777777" w:rsidR="00B834A2" w:rsidRPr="001F0C86" w:rsidRDefault="00B834A2" w:rsidP="001F0C86">
      <w:pPr>
        <w:pStyle w:val="Bodytext20"/>
        <w:shd w:val="clear" w:color="auto" w:fill="auto"/>
        <w:spacing w:before="0" w:after="160" w:line="360" w:lineRule="auto"/>
        <w:ind w:firstLine="567"/>
        <w:jc w:val="both"/>
        <w:rPr>
          <w:rFonts w:ascii="Sylfaen" w:hAnsi="Sylfaen" w:cs="Sylfaen"/>
          <w:i/>
          <w:sz w:val="24"/>
          <w:szCs w:val="24"/>
        </w:rPr>
      </w:pPr>
      <w:r w:rsidRPr="00B834A2">
        <w:rPr>
          <w:rStyle w:val="Bodytext31Sylfaen9"/>
          <w:sz w:val="24"/>
          <w:szCs w:val="24"/>
        </w:rPr>
        <w:t>«</w:t>
      </w:r>
      <w:r w:rsidRPr="001F0C86">
        <w:rPr>
          <w:rStyle w:val="Bodytext31Sylfaen9"/>
          <w:i w:val="0"/>
          <w:sz w:val="24"/>
          <w:szCs w:val="24"/>
        </w:rPr>
        <w:t>100 ԳԱՄ/գ (մլ)-ից ոչ ավելի» կամ «200 ԳԱՄ/գ (մլ)-ից ոչ ավելի» տեսքով պահանջների նշումը նշանակում է, որ հայտնաբերվող աէրոբ միկրոօրգանիզմների եւ խմորասնկերի ու բորբոսասնկերի քանակը չպետք է գերազանցի նշված թիվը։</w:t>
      </w:r>
    </w:p>
    <w:p w14:paraId="55F5CEE0" w14:textId="77777777" w:rsidR="00B834A2" w:rsidRPr="001F0C86" w:rsidRDefault="00B834A2" w:rsidP="001F0C86">
      <w:pPr>
        <w:pStyle w:val="Bodytext20"/>
        <w:shd w:val="clear" w:color="auto" w:fill="auto"/>
        <w:spacing w:before="0" w:after="160" w:line="360" w:lineRule="auto"/>
        <w:ind w:firstLine="567"/>
        <w:jc w:val="both"/>
        <w:rPr>
          <w:rFonts w:ascii="Sylfaen" w:hAnsi="Sylfaen" w:cs="Sylfaen"/>
          <w:i/>
          <w:sz w:val="24"/>
          <w:szCs w:val="24"/>
        </w:rPr>
      </w:pPr>
      <w:r w:rsidRPr="001F0C86">
        <w:rPr>
          <w:rStyle w:val="Bodytext31Sylfaen9"/>
          <w:i w:val="0"/>
          <w:sz w:val="24"/>
          <w:szCs w:val="24"/>
        </w:rPr>
        <w:t>Առանձին դեղամիջոցների մանրէաբանական մաքրության մասով որակին ներկայացվող նորմատիվ պահանջները սահմանելիս եւ որակի վերաբերյալ նորմատիվ փաստաթուղթը կազմելիս կարող են կիրառվել ինչպես կատեգորիաների թվային նշագրերը, այնպես էլ մանրէաբանական մաքրության մասով որակին ներկայացվող պահանջների նշումը՝ կիրառման եղանակին համապատասխան։</w:t>
      </w:r>
    </w:p>
    <w:p w14:paraId="520E39DF" w14:textId="77777777" w:rsidR="00B834A2" w:rsidRPr="00B834A2" w:rsidRDefault="00B834A2" w:rsidP="001F0C86">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Դեղապատրաստուկների արտադրության մեջ օգտագործվող դեղագործական բաղադրամասերի (բացառությամբ բուսական դեղագործական բաղադրամասերի) համար աէրոբ միկրոօրգանիզմների ընդհանուր թիվը պետք է կազմի ոչ ավելի, </w:t>
      </w:r>
      <w:r w:rsidRPr="00B834A2">
        <w:rPr>
          <w:rFonts w:ascii="Sylfaen" w:hAnsi="Sylfaen"/>
          <w:sz w:val="24"/>
          <w:szCs w:val="24"/>
        </w:rPr>
        <w:lastRenderedPageBreak/>
        <w:t xml:space="preserve">քան 1 գ (մլ)-ում </w:t>
      </w:r>
      <w:r w:rsidRPr="001F0C86">
        <w:rPr>
          <w:rStyle w:val="Bodytext31Sylfaen9"/>
          <w:i w:val="0"/>
          <w:sz w:val="24"/>
          <w:szCs w:val="24"/>
        </w:rPr>
        <w:t>10</w:t>
      </w:r>
      <w:r w:rsidRPr="001F0C86">
        <w:rPr>
          <w:rStyle w:val="Bodytext285pt"/>
          <w:i w:val="0"/>
          <w:spacing w:val="0"/>
          <w:sz w:val="24"/>
          <w:szCs w:val="24"/>
          <w:vertAlign w:val="superscript"/>
        </w:rPr>
        <w:t>3</w:t>
      </w:r>
      <w:r w:rsidRPr="00B834A2">
        <w:rPr>
          <w:rFonts w:ascii="Sylfaen" w:hAnsi="Sylfaen"/>
          <w:sz w:val="24"/>
          <w:szCs w:val="24"/>
        </w:rPr>
        <w:t xml:space="preserve"> ԳԱՄ, իսկ խմորասնկերի ու բորբոսասնկերի ընդհանուր թիվը՝ ոչ ավելի, քան 1 գ (մլ)-ում </w:t>
      </w:r>
      <w:r w:rsidRPr="001F0C86">
        <w:rPr>
          <w:rStyle w:val="Bodytext31Sylfaen9"/>
          <w:i w:val="0"/>
          <w:sz w:val="24"/>
          <w:szCs w:val="24"/>
        </w:rPr>
        <w:t>10</w:t>
      </w:r>
      <w:r w:rsidRPr="001F0C86">
        <w:rPr>
          <w:rStyle w:val="Bodytext285pt"/>
          <w:i w:val="0"/>
          <w:spacing w:val="0"/>
          <w:sz w:val="24"/>
          <w:szCs w:val="24"/>
          <w:vertAlign w:val="superscript"/>
        </w:rPr>
        <w:t>2</w:t>
      </w:r>
      <w:r w:rsidRPr="00B834A2">
        <w:rPr>
          <w:rFonts w:ascii="Sylfaen" w:hAnsi="Sylfaen"/>
          <w:sz w:val="24"/>
          <w:szCs w:val="24"/>
        </w:rPr>
        <w:t>ԳԱՄ։</w:t>
      </w:r>
    </w:p>
    <w:p w14:paraId="06CEF954" w14:textId="77777777" w:rsidR="00B834A2" w:rsidRPr="001F0C86" w:rsidRDefault="00B834A2" w:rsidP="001F0C86">
      <w:pPr>
        <w:pStyle w:val="Bodytext20"/>
        <w:shd w:val="clear" w:color="auto" w:fill="auto"/>
        <w:spacing w:before="0" w:after="160" w:line="360" w:lineRule="auto"/>
        <w:ind w:firstLine="567"/>
        <w:jc w:val="both"/>
        <w:rPr>
          <w:rStyle w:val="Bodytext31Sylfaen9"/>
          <w:i w:val="0"/>
          <w:sz w:val="24"/>
          <w:szCs w:val="24"/>
        </w:rPr>
      </w:pPr>
      <w:r w:rsidRPr="001F0C86">
        <w:rPr>
          <w:rStyle w:val="Bodytext31Sylfaen9"/>
          <w:i w:val="0"/>
          <w:sz w:val="24"/>
          <w:szCs w:val="24"/>
        </w:rPr>
        <w:t>Ռիսկերի վերլուծության հիման վրա արտադրողը կարող է սահմանել դեղագործական բաղադրամասերի եւ օժանդակ նյութերի մանրէաբանական մաքրության մասով որակի ընդունելիության այլ չափորոշիչներ։ Ընդ որում, հաշվի են առնվում արտադրական գործընթացի եւ այն դեղապատրաստուկի նշանակման առանձնահատկությունները, որի ստացման ժամանակ օգտագործվում է դեղագործական բաղադրամասը, ինչպես նաեւ պահանջվող որակի օժանդակ նյութերի առկայությունը (2.3.1.2-2 աղյուսակ)։</w:t>
      </w:r>
    </w:p>
    <w:p w14:paraId="4D3FD2C6" w14:textId="77777777" w:rsidR="00B834A2" w:rsidRPr="00B834A2" w:rsidRDefault="00B834A2" w:rsidP="00B834A2">
      <w:pPr>
        <w:pStyle w:val="Bodytext20"/>
        <w:shd w:val="clear" w:color="auto" w:fill="auto"/>
        <w:spacing w:before="0" w:after="160" w:line="360" w:lineRule="auto"/>
        <w:ind w:firstLine="567"/>
        <w:rPr>
          <w:rStyle w:val="Bodytext310pt"/>
          <w:sz w:val="24"/>
          <w:szCs w:val="24"/>
        </w:rPr>
      </w:pPr>
    </w:p>
    <w:p w14:paraId="2485C5CE" w14:textId="77777777" w:rsidR="00B834A2" w:rsidRPr="00B834A2" w:rsidRDefault="00B834A2" w:rsidP="001F0C86">
      <w:pPr>
        <w:pStyle w:val="Bodytext20"/>
        <w:shd w:val="clear" w:color="auto" w:fill="auto"/>
        <w:spacing w:before="0" w:after="160" w:line="360" w:lineRule="auto"/>
        <w:ind w:firstLine="567"/>
        <w:jc w:val="both"/>
        <w:rPr>
          <w:rStyle w:val="Bodytext710pt"/>
          <w:rFonts w:ascii="Sylfaen" w:eastAsia="Sylfaen" w:hAnsi="Sylfaen"/>
          <w:i w:val="0"/>
          <w:iCs w:val="0"/>
          <w:sz w:val="24"/>
          <w:szCs w:val="24"/>
        </w:rPr>
      </w:pPr>
      <w:r w:rsidRPr="001F0C86">
        <w:rPr>
          <w:rStyle w:val="Bodytext310pt"/>
          <w:b w:val="0"/>
          <w:i w:val="0"/>
          <w:sz w:val="24"/>
          <w:szCs w:val="24"/>
        </w:rPr>
        <w:t>Աղյուսակ 2.3.1.2-1.՝</w:t>
      </w:r>
      <w:r w:rsidRPr="00B834A2">
        <w:rPr>
          <w:rStyle w:val="Bodytext310pt"/>
          <w:sz w:val="24"/>
          <w:szCs w:val="24"/>
        </w:rPr>
        <w:t xml:space="preserve"> </w:t>
      </w:r>
      <w:r w:rsidRPr="00B834A2">
        <w:rPr>
          <w:rFonts w:ascii="Sylfaen" w:hAnsi="Sylfaen"/>
          <w:i/>
          <w:sz w:val="24"/>
          <w:szCs w:val="24"/>
        </w:rPr>
        <w:t>Դեղապատրաստուկների որակի ընդունելիության չափորոշիչները՝ ըստ մանրէաբանական ցուցանիշների</w:t>
      </w:r>
    </w:p>
    <w:tbl>
      <w:tblPr>
        <w:tblW w:w="9923" w:type="dxa"/>
        <w:tblInd w:w="-274" w:type="dxa"/>
        <w:tblLayout w:type="fixed"/>
        <w:tblCellMar>
          <w:left w:w="10" w:type="dxa"/>
          <w:right w:w="10" w:type="dxa"/>
        </w:tblCellMar>
        <w:tblLook w:val="04A0" w:firstRow="1" w:lastRow="0" w:firstColumn="1" w:lastColumn="0" w:noHBand="0" w:noVBand="1"/>
      </w:tblPr>
      <w:tblGrid>
        <w:gridCol w:w="1418"/>
        <w:gridCol w:w="4536"/>
        <w:gridCol w:w="3969"/>
      </w:tblGrid>
      <w:tr w:rsidR="00B834A2" w:rsidRPr="001F0C86" w14:paraId="29BB4D75" w14:textId="77777777" w:rsidTr="00DA2D5E">
        <w:trPr>
          <w:tblHeader/>
        </w:trPr>
        <w:tc>
          <w:tcPr>
            <w:tcW w:w="1418" w:type="dxa"/>
            <w:tcBorders>
              <w:top w:val="single" w:sz="4" w:space="0" w:color="auto"/>
            </w:tcBorders>
            <w:shd w:val="clear" w:color="auto" w:fill="FFFFFF"/>
            <w:vAlign w:val="bottom"/>
          </w:tcPr>
          <w:p w14:paraId="3B023B70" w14:textId="77777777" w:rsidR="00B834A2" w:rsidRPr="001F0C86" w:rsidRDefault="00B834A2" w:rsidP="001F0C86">
            <w:pPr>
              <w:pStyle w:val="Bodytext20"/>
              <w:shd w:val="clear" w:color="auto" w:fill="auto"/>
              <w:spacing w:before="0" w:line="240" w:lineRule="auto"/>
              <w:rPr>
                <w:rFonts w:ascii="Sylfaen" w:hAnsi="Sylfaen"/>
                <w:sz w:val="20"/>
                <w:szCs w:val="20"/>
              </w:rPr>
            </w:pPr>
            <w:r w:rsidRPr="001F0C86">
              <w:rPr>
                <w:rStyle w:val="Bodytext295pt"/>
                <w:i w:val="0"/>
                <w:sz w:val="20"/>
                <w:szCs w:val="20"/>
              </w:rPr>
              <w:t>Կատեգորիան</w:t>
            </w:r>
          </w:p>
        </w:tc>
        <w:tc>
          <w:tcPr>
            <w:tcW w:w="4536" w:type="dxa"/>
            <w:tcBorders>
              <w:top w:val="single" w:sz="4" w:space="0" w:color="auto"/>
            </w:tcBorders>
            <w:shd w:val="clear" w:color="auto" w:fill="FFFFFF"/>
            <w:vAlign w:val="center"/>
          </w:tcPr>
          <w:p w14:paraId="5FAF1C17" w14:textId="77777777" w:rsidR="00B834A2" w:rsidRPr="001F0C86" w:rsidRDefault="00B834A2" w:rsidP="001F0C86">
            <w:pPr>
              <w:pStyle w:val="Bodytext20"/>
              <w:shd w:val="clear" w:color="auto" w:fill="auto"/>
              <w:spacing w:before="0" w:line="240" w:lineRule="auto"/>
              <w:ind w:left="140"/>
              <w:rPr>
                <w:rFonts w:ascii="Sylfaen" w:hAnsi="Sylfaen"/>
                <w:sz w:val="20"/>
                <w:szCs w:val="20"/>
              </w:rPr>
            </w:pPr>
            <w:r w:rsidRPr="001F0C86">
              <w:rPr>
                <w:rStyle w:val="Bodytext295pt"/>
                <w:i w:val="0"/>
                <w:sz w:val="20"/>
                <w:szCs w:val="20"/>
              </w:rPr>
              <w:t>Կիրառման եղանակը կամ ներմուծման ուղին</w:t>
            </w:r>
          </w:p>
        </w:tc>
        <w:tc>
          <w:tcPr>
            <w:tcW w:w="3969" w:type="dxa"/>
            <w:tcBorders>
              <w:top w:val="single" w:sz="4" w:space="0" w:color="auto"/>
            </w:tcBorders>
            <w:shd w:val="clear" w:color="auto" w:fill="FFFFFF"/>
            <w:vAlign w:val="center"/>
          </w:tcPr>
          <w:p w14:paraId="5BD5877A" w14:textId="77777777" w:rsidR="00B834A2" w:rsidRPr="001F0C86" w:rsidRDefault="00B834A2" w:rsidP="001F0C86">
            <w:pPr>
              <w:pStyle w:val="Bodytext20"/>
              <w:shd w:val="clear" w:color="auto" w:fill="auto"/>
              <w:spacing w:before="0" w:line="240" w:lineRule="auto"/>
              <w:ind w:left="9"/>
              <w:rPr>
                <w:rFonts w:ascii="Sylfaen" w:hAnsi="Sylfaen"/>
                <w:sz w:val="20"/>
                <w:szCs w:val="20"/>
              </w:rPr>
            </w:pPr>
            <w:r w:rsidRPr="001F0C86">
              <w:rPr>
                <w:rStyle w:val="Bodytext295pt"/>
                <w:i w:val="0"/>
                <w:sz w:val="20"/>
                <w:szCs w:val="20"/>
              </w:rPr>
              <w:t>Ընդունելիության չափորոշիչները</w:t>
            </w:r>
          </w:p>
        </w:tc>
      </w:tr>
      <w:tr w:rsidR="00B834A2" w:rsidRPr="001F0C86" w14:paraId="3BBA4448" w14:textId="77777777" w:rsidTr="001636CE">
        <w:tc>
          <w:tcPr>
            <w:tcW w:w="1418" w:type="dxa"/>
            <w:tcBorders>
              <w:top w:val="single" w:sz="8" w:space="0" w:color="auto"/>
            </w:tcBorders>
            <w:shd w:val="clear" w:color="auto" w:fill="FFFFFF"/>
          </w:tcPr>
          <w:p w14:paraId="119737D5" w14:textId="77777777" w:rsidR="00B834A2" w:rsidRPr="001F0C86" w:rsidRDefault="00B834A2" w:rsidP="00B97411">
            <w:pPr>
              <w:pStyle w:val="Bodytext20"/>
              <w:shd w:val="clear" w:color="auto" w:fill="auto"/>
              <w:spacing w:before="0" w:line="240" w:lineRule="auto"/>
              <w:rPr>
                <w:rFonts w:ascii="Sylfaen" w:hAnsi="Sylfaen"/>
                <w:sz w:val="20"/>
                <w:szCs w:val="20"/>
              </w:rPr>
            </w:pPr>
            <w:r w:rsidRPr="001F0C86">
              <w:rPr>
                <w:rStyle w:val="Bodytext295pt"/>
                <w:i w:val="0"/>
                <w:sz w:val="20"/>
                <w:szCs w:val="20"/>
              </w:rPr>
              <w:t>1</w:t>
            </w:r>
          </w:p>
        </w:tc>
        <w:tc>
          <w:tcPr>
            <w:tcW w:w="4536" w:type="dxa"/>
            <w:tcBorders>
              <w:top w:val="single" w:sz="8" w:space="0" w:color="auto"/>
            </w:tcBorders>
            <w:shd w:val="clear" w:color="auto" w:fill="FFFFFF"/>
          </w:tcPr>
          <w:p w14:paraId="71458DF0" w14:textId="77777777" w:rsidR="00B834A2" w:rsidRPr="001F0C86" w:rsidRDefault="00B834A2" w:rsidP="001F0C86">
            <w:pPr>
              <w:pStyle w:val="Bodytext20"/>
              <w:shd w:val="clear" w:color="auto" w:fill="auto"/>
              <w:spacing w:before="0" w:line="240" w:lineRule="auto"/>
              <w:jc w:val="left"/>
              <w:rPr>
                <w:rFonts w:ascii="Sylfaen" w:hAnsi="Sylfaen"/>
                <w:sz w:val="20"/>
                <w:szCs w:val="20"/>
              </w:rPr>
            </w:pPr>
            <w:r w:rsidRPr="001F0C86">
              <w:rPr>
                <w:rFonts w:ascii="Sylfaen" w:hAnsi="Sylfaen"/>
                <w:sz w:val="20"/>
                <w:szCs w:val="20"/>
              </w:rPr>
              <w:t xml:space="preserve">Դեղապատրաստուկները, որոնց նկատմամբ ներկայացվում է պահանջը </w:t>
            </w:r>
            <w:r w:rsidRPr="001F0C86">
              <w:rPr>
                <w:rFonts w:ascii="Sylfaen" w:hAnsi="Sylfaen"/>
                <w:sz w:val="20"/>
                <w:szCs w:val="20"/>
              </w:rPr>
              <w:br/>
            </w:r>
            <w:r w:rsidRPr="00B97411">
              <w:rPr>
                <w:rFonts w:ascii="Sylfaen" w:hAnsi="Sylfaen"/>
                <w:i/>
                <w:sz w:val="20"/>
                <w:szCs w:val="20"/>
              </w:rPr>
              <w:t>Մանրէազերծությունը</w:t>
            </w:r>
          </w:p>
        </w:tc>
        <w:tc>
          <w:tcPr>
            <w:tcW w:w="3969" w:type="dxa"/>
            <w:tcBorders>
              <w:top w:val="single" w:sz="4" w:space="0" w:color="auto"/>
              <w:left w:val="nil"/>
            </w:tcBorders>
            <w:shd w:val="clear" w:color="auto" w:fill="FFFFFF"/>
          </w:tcPr>
          <w:p w14:paraId="14632CCC" w14:textId="77777777" w:rsidR="00B834A2" w:rsidRPr="001F0C86" w:rsidRDefault="00B834A2" w:rsidP="001F0C86">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Պետք է լինեն մանրէազերծ</w:t>
            </w:r>
          </w:p>
        </w:tc>
      </w:tr>
      <w:tr w:rsidR="00B834A2" w:rsidRPr="001F0C86" w14:paraId="52212763" w14:textId="77777777" w:rsidTr="001636CE">
        <w:tc>
          <w:tcPr>
            <w:tcW w:w="1418" w:type="dxa"/>
            <w:shd w:val="clear" w:color="auto" w:fill="FFFFFF"/>
          </w:tcPr>
          <w:p w14:paraId="73DA6481" w14:textId="77777777" w:rsidR="00B834A2" w:rsidRPr="001F0C86" w:rsidRDefault="00B834A2" w:rsidP="00B97411">
            <w:pPr>
              <w:pStyle w:val="Bodytext20"/>
              <w:shd w:val="clear" w:color="auto" w:fill="auto"/>
              <w:spacing w:before="0" w:line="240" w:lineRule="auto"/>
              <w:ind w:right="180"/>
              <w:rPr>
                <w:rFonts w:ascii="Sylfaen" w:hAnsi="Sylfaen"/>
                <w:sz w:val="20"/>
                <w:szCs w:val="20"/>
              </w:rPr>
            </w:pPr>
            <w:r w:rsidRPr="001F0C86">
              <w:rPr>
                <w:rStyle w:val="Bodytext295pt"/>
                <w:i w:val="0"/>
                <w:sz w:val="20"/>
                <w:szCs w:val="20"/>
              </w:rPr>
              <w:t>2</w:t>
            </w:r>
          </w:p>
        </w:tc>
        <w:tc>
          <w:tcPr>
            <w:tcW w:w="4536" w:type="dxa"/>
            <w:tcBorders>
              <w:top w:val="single" w:sz="4" w:space="0" w:color="auto"/>
            </w:tcBorders>
            <w:shd w:val="clear" w:color="auto" w:fill="FFFFFF"/>
          </w:tcPr>
          <w:p w14:paraId="1C4EADB7" w14:textId="77777777" w:rsidR="00B834A2" w:rsidRPr="001F0C86" w:rsidRDefault="00B97411" w:rsidP="00B97411">
            <w:pPr>
              <w:pStyle w:val="Bodytext20"/>
              <w:shd w:val="clear" w:color="auto" w:fill="auto"/>
              <w:tabs>
                <w:tab w:val="left" w:pos="34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Տեղային (բերանի խոռոչի լորձաթաղանթի վրա, քթանցքով, ներմուծում արտաքին լսողական անցուղի եւ այլն) եւ (կամ) արտաքին (չվնասված եւ (կամ) վնասված մաշկային ծածկույթների վրա) կիրառման համար</w:t>
            </w:r>
          </w:p>
          <w:p w14:paraId="116AFAE8" w14:textId="77777777" w:rsidR="00B834A2" w:rsidRPr="001F0C86" w:rsidRDefault="00B834A2" w:rsidP="00B97411">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Բացառությամբ այն դեղապատրաստուկների, որոնք պետք է մանրէազերծ լինեն</w:t>
            </w:r>
          </w:p>
        </w:tc>
        <w:tc>
          <w:tcPr>
            <w:tcW w:w="3969" w:type="dxa"/>
            <w:tcBorders>
              <w:top w:val="single" w:sz="4" w:space="0" w:color="auto"/>
            </w:tcBorders>
            <w:shd w:val="clear" w:color="auto" w:fill="FFFFFF"/>
          </w:tcPr>
          <w:p w14:paraId="50285D50"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Աէրոբ միկրոօրգանիզմների ընդհանուր թիվը՝ 1գ (մլ) պատրաստուկում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3790A765"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1</w:t>
            </w:r>
            <w:r w:rsidR="00B834A2" w:rsidRPr="001F0C86">
              <w:rPr>
                <w:rStyle w:val="Bodytext295pt"/>
                <w:i w:val="0"/>
                <w:sz w:val="20"/>
                <w:szCs w:val="20"/>
              </w:rPr>
              <w:t xml:space="preserve"> ԳԱՄ-ից ոչ ավելի</w:t>
            </w:r>
          </w:p>
          <w:p w14:paraId="4372A5A8"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1գ (մլ) պատրաստուկում Pseudomonas aeruginosa-ի բացակայությունը</w:t>
            </w:r>
          </w:p>
          <w:p w14:paraId="204A0150"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1գ (մլ) պատրաստուկում Staphylococcus aureus-ի բացակայությունը</w:t>
            </w:r>
          </w:p>
        </w:tc>
      </w:tr>
      <w:tr w:rsidR="00B834A2" w:rsidRPr="001F0C86" w14:paraId="38722848" w14:textId="77777777" w:rsidTr="001636CE">
        <w:tc>
          <w:tcPr>
            <w:tcW w:w="1418" w:type="dxa"/>
            <w:tcBorders>
              <w:top w:val="single" w:sz="4" w:space="0" w:color="auto"/>
            </w:tcBorders>
            <w:shd w:val="clear" w:color="auto" w:fill="FFFFFF"/>
          </w:tcPr>
          <w:p w14:paraId="5CF0EC30" w14:textId="77777777" w:rsidR="00B834A2" w:rsidRPr="001F0C86" w:rsidRDefault="00B834A2" w:rsidP="001F0C86">
            <w:pPr>
              <w:spacing w:after="120"/>
              <w:rPr>
                <w:sz w:val="20"/>
                <w:szCs w:val="20"/>
              </w:rPr>
            </w:pPr>
          </w:p>
        </w:tc>
        <w:tc>
          <w:tcPr>
            <w:tcW w:w="4536" w:type="dxa"/>
            <w:tcBorders>
              <w:top w:val="single" w:sz="4" w:space="0" w:color="auto"/>
            </w:tcBorders>
            <w:shd w:val="clear" w:color="auto" w:fill="FFFFFF"/>
          </w:tcPr>
          <w:p w14:paraId="21A1C482" w14:textId="77777777" w:rsidR="00B834A2" w:rsidRPr="001F0C86" w:rsidRDefault="00B97411" w:rsidP="00B97411">
            <w:pPr>
              <w:tabs>
                <w:tab w:val="left" w:pos="345"/>
              </w:tabs>
              <w:spacing w:after="120"/>
              <w:rPr>
                <w:sz w:val="20"/>
                <w:szCs w:val="20"/>
              </w:rPr>
            </w:pPr>
            <w:r w:rsidRPr="00B97411">
              <w:rPr>
                <w:rFonts w:eastAsia="Times New Roman"/>
                <w:color w:val="000000" w:themeColor="text1"/>
                <w:sz w:val="20"/>
                <w:szCs w:val="20"/>
              </w:rPr>
              <w:t>●</w:t>
            </w:r>
            <w:r w:rsidRPr="00A859E3">
              <w:rPr>
                <w:rStyle w:val="Bodytext295pt"/>
                <w:i w:val="0"/>
                <w:sz w:val="20"/>
                <w:szCs w:val="20"/>
              </w:rPr>
              <w:tab/>
            </w:r>
            <w:r w:rsidR="00B834A2" w:rsidRPr="001F0C86">
              <w:rPr>
                <w:rStyle w:val="Bodytext295pt"/>
                <w:i w:val="0"/>
                <w:sz w:val="20"/>
                <w:szCs w:val="20"/>
              </w:rPr>
              <w:t>Վագինալ կիրառման համար Բացառությամբ այն դեղապատրաստուկների, որոնք պետք է մանրէազերծ լինեն</w:t>
            </w:r>
          </w:p>
        </w:tc>
        <w:tc>
          <w:tcPr>
            <w:tcW w:w="3969" w:type="dxa"/>
            <w:tcBorders>
              <w:top w:val="single" w:sz="4" w:space="0" w:color="auto"/>
            </w:tcBorders>
            <w:shd w:val="clear" w:color="auto" w:fill="FFFFFF"/>
            <w:vAlign w:val="bottom"/>
          </w:tcPr>
          <w:p w14:paraId="55FC6540"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Աէրոբ միկրոօրգանիզմների ընդհանուր թիվը՝ 1գ (մլ) պատրաստուկում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4EC520AA"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1</w:t>
            </w:r>
            <w:r w:rsidR="00B834A2" w:rsidRPr="001F0C86">
              <w:rPr>
                <w:rStyle w:val="Bodytext295pt"/>
                <w:i w:val="0"/>
                <w:sz w:val="20"/>
                <w:szCs w:val="20"/>
              </w:rPr>
              <w:t xml:space="preserve"> ԳԱՄ-ից ոչ ավելի</w:t>
            </w:r>
          </w:p>
          <w:p w14:paraId="7B83007B"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1գ (մլ) պատրաստուկում Pseudomonas aeruginosa-ի բացակայությունը</w:t>
            </w:r>
          </w:p>
          <w:p w14:paraId="6BB67002"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1գ (մլ) պատրաստուկում Staphylococcus aureus-ի բացակայությունը</w:t>
            </w:r>
          </w:p>
          <w:p w14:paraId="50F3EA59" w14:textId="77777777" w:rsidR="00B834A2" w:rsidRPr="001F0C86" w:rsidRDefault="00B97411" w:rsidP="00B97411">
            <w:pPr>
              <w:pStyle w:val="Bodytext20"/>
              <w:shd w:val="clear" w:color="auto" w:fill="auto"/>
              <w:tabs>
                <w:tab w:val="left" w:pos="437"/>
              </w:tabs>
              <w:spacing w:before="0" w:line="240" w:lineRule="auto"/>
              <w:jc w:val="left"/>
              <w:rPr>
                <w:rFonts w:ascii="Sylfaen" w:hAnsi="Sylfaen"/>
                <w:sz w:val="20"/>
                <w:szCs w:val="20"/>
              </w:rPr>
            </w:pPr>
            <w:r w:rsidRPr="00B97411">
              <w:rPr>
                <w:rFonts w:ascii="Sylfaen" w:hAnsi="Sylfaen"/>
                <w:color w:val="000000" w:themeColor="text1"/>
                <w:sz w:val="20"/>
                <w:szCs w:val="20"/>
              </w:rPr>
              <w:lastRenderedPageBreak/>
              <w:t>●</w:t>
            </w:r>
            <w:r w:rsidRPr="00B97411">
              <w:rPr>
                <w:rStyle w:val="Bodytext295pt"/>
                <w:i w:val="0"/>
                <w:sz w:val="20"/>
                <w:szCs w:val="20"/>
              </w:rPr>
              <w:tab/>
            </w:r>
            <w:r w:rsidR="00B834A2" w:rsidRPr="001F0C86">
              <w:rPr>
                <w:rStyle w:val="Bodytext295pt"/>
                <w:i w:val="0"/>
                <w:sz w:val="20"/>
                <w:szCs w:val="20"/>
              </w:rPr>
              <w:t>1գ (մլ)-ում Candida albicans-ի բացակայությունը</w:t>
            </w:r>
          </w:p>
        </w:tc>
      </w:tr>
      <w:tr w:rsidR="00B834A2" w:rsidRPr="001F0C86" w14:paraId="7D99D4A6" w14:textId="77777777" w:rsidTr="001636CE">
        <w:tc>
          <w:tcPr>
            <w:tcW w:w="1418" w:type="dxa"/>
            <w:tcBorders>
              <w:top w:val="single" w:sz="4" w:space="0" w:color="auto"/>
            </w:tcBorders>
            <w:shd w:val="clear" w:color="auto" w:fill="FFFFFF"/>
          </w:tcPr>
          <w:p w14:paraId="0E8024BB" w14:textId="77777777" w:rsidR="00B834A2" w:rsidRPr="001F0C86" w:rsidRDefault="00B834A2" w:rsidP="001F0C86">
            <w:pPr>
              <w:spacing w:after="120"/>
              <w:rPr>
                <w:sz w:val="20"/>
                <w:szCs w:val="20"/>
              </w:rPr>
            </w:pPr>
          </w:p>
        </w:tc>
        <w:tc>
          <w:tcPr>
            <w:tcW w:w="4536" w:type="dxa"/>
            <w:tcBorders>
              <w:top w:val="single" w:sz="4" w:space="0" w:color="auto"/>
            </w:tcBorders>
            <w:shd w:val="clear" w:color="auto" w:fill="FFFFFF"/>
          </w:tcPr>
          <w:p w14:paraId="650DD3DA" w14:textId="77777777" w:rsidR="00B834A2" w:rsidRPr="001F0C86" w:rsidRDefault="00B97411" w:rsidP="00B97411">
            <w:pPr>
              <w:pStyle w:val="Bodytext20"/>
              <w:shd w:val="clear" w:color="auto" w:fill="auto"/>
              <w:tabs>
                <w:tab w:val="left" w:pos="415"/>
              </w:tabs>
              <w:spacing w:before="0" w:line="240" w:lineRule="auto"/>
              <w:ind w:left="-11"/>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Ինհալացիոն կիրառման համար Բացառությամբ այն դեղապատրաստուկների, որոնք պետք է մանրէազերծ լինեն</w:t>
            </w:r>
          </w:p>
        </w:tc>
        <w:tc>
          <w:tcPr>
            <w:tcW w:w="3969" w:type="dxa"/>
            <w:tcBorders>
              <w:top w:val="single" w:sz="4" w:space="0" w:color="auto"/>
            </w:tcBorders>
            <w:shd w:val="clear" w:color="auto" w:fill="FFFFFF"/>
          </w:tcPr>
          <w:p w14:paraId="5E853BB1"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Աէրոբ միկրոօրգանիզմների ընդհանուր թիվը՝ 1գ (մլ) պատրաստուկում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384FEBEA"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1</w:t>
            </w:r>
            <w:r w:rsidR="00B834A2" w:rsidRPr="001F0C86">
              <w:rPr>
                <w:rStyle w:val="Bodytext295pt"/>
                <w:i w:val="0"/>
                <w:sz w:val="20"/>
                <w:szCs w:val="20"/>
              </w:rPr>
              <w:t xml:space="preserve"> ԳԱՄ-ից ոչ ավելի</w:t>
            </w:r>
          </w:p>
          <w:p w14:paraId="6D1A3816"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1գ (մլ) պատրաստուկում Pseudomonas aeruginosa-ի բացակայությունը</w:t>
            </w:r>
          </w:p>
          <w:p w14:paraId="21E69A28"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1գ (մլ) պատրաստուկում Staphylococcus aureus-ի բացակայությունը</w:t>
            </w:r>
          </w:p>
          <w:p w14:paraId="26B4B53E"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 գ (մլ) դեղապատրաստուկներում լեղու նկատմամբ կայուն էնտերոբակտերիաների բացակայությունը</w:t>
            </w:r>
          </w:p>
        </w:tc>
      </w:tr>
      <w:tr w:rsidR="00B834A2" w:rsidRPr="001F0C86" w14:paraId="252EF27F" w14:textId="77777777" w:rsidTr="001636CE">
        <w:tc>
          <w:tcPr>
            <w:tcW w:w="1418" w:type="dxa"/>
            <w:tcBorders>
              <w:top w:val="single" w:sz="4" w:space="0" w:color="auto"/>
            </w:tcBorders>
            <w:shd w:val="clear" w:color="auto" w:fill="FFFFFF"/>
          </w:tcPr>
          <w:p w14:paraId="117FEF4D" w14:textId="77777777" w:rsidR="00B834A2" w:rsidRPr="001F0C86" w:rsidRDefault="00B834A2" w:rsidP="001F0C86">
            <w:pPr>
              <w:spacing w:after="120"/>
              <w:rPr>
                <w:sz w:val="20"/>
                <w:szCs w:val="20"/>
              </w:rPr>
            </w:pPr>
          </w:p>
        </w:tc>
        <w:tc>
          <w:tcPr>
            <w:tcW w:w="4536" w:type="dxa"/>
            <w:tcBorders>
              <w:top w:val="single" w:sz="4" w:space="0" w:color="auto"/>
            </w:tcBorders>
            <w:shd w:val="clear" w:color="auto" w:fill="FFFFFF"/>
          </w:tcPr>
          <w:p w14:paraId="740C0E59" w14:textId="77777777" w:rsidR="00B834A2" w:rsidRPr="00B97411" w:rsidRDefault="00B97411" w:rsidP="00B97411">
            <w:pPr>
              <w:tabs>
                <w:tab w:val="left" w:pos="415"/>
              </w:tabs>
              <w:spacing w:after="120"/>
              <w:ind w:left="-11"/>
              <w:rPr>
                <w:rStyle w:val="Bodytext295pt"/>
                <w:sz w:val="20"/>
                <w:szCs w:val="20"/>
              </w:rPr>
            </w:pPr>
            <w:r w:rsidRPr="00B97411">
              <w:rPr>
                <w:rFonts w:eastAsia="Times New Roman"/>
                <w:color w:val="000000" w:themeColor="text1"/>
                <w:sz w:val="20"/>
                <w:szCs w:val="20"/>
              </w:rPr>
              <w:t>●</w:t>
            </w:r>
            <w:r w:rsidRPr="00B97411">
              <w:rPr>
                <w:rFonts w:eastAsia="Times New Roman"/>
                <w:color w:val="000000" w:themeColor="text1"/>
                <w:sz w:val="20"/>
                <w:szCs w:val="20"/>
              </w:rPr>
              <w:tab/>
            </w:r>
            <w:r w:rsidR="00B834A2" w:rsidRPr="001F0C86">
              <w:rPr>
                <w:rStyle w:val="Bodytext295pt"/>
                <w:i w:val="0"/>
                <w:sz w:val="20"/>
                <w:szCs w:val="20"/>
              </w:rPr>
              <w:t>Վերմաշկային սպեղանիներ Բացառությամբ այն դեղապատրաստուկների, որոնք պետք է մանրէազերծ լինեն</w:t>
            </w:r>
          </w:p>
        </w:tc>
        <w:tc>
          <w:tcPr>
            <w:tcW w:w="3969" w:type="dxa"/>
            <w:tcBorders>
              <w:top w:val="single" w:sz="4" w:space="0" w:color="auto"/>
            </w:tcBorders>
            <w:shd w:val="clear" w:color="auto" w:fill="FFFFFF"/>
          </w:tcPr>
          <w:p w14:paraId="0D8F6113" w14:textId="77777777" w:rsidR="00B834A2" w:rsidRPr="001F0C86" w:rsidRDefault="00B834A2" w:rsidP="00B97411">
            <w:pPr>
              <w:pStyle w:val="Bodytext20"/>
              <w:shd w:val="clear" w:color="auto" w:fill="auto"/>
              <w:tabs>
                <w:tab w:val="left" w:pos="415"/>
              </w:tabs>
              <w:spacing w:before="0" w:line="240" w:lineRule="auto"/>
              <w:jc w:val="left"/>
              <w:rPr>
                <w:rFonts w:ascii="Sylfaen" w:hAnsi="Sylfaen"/>
                <w:sz w:val="20"/>
                <w:szCs w:val="20"/>
              </w:rPr>
            </w:pPr>
            <w:r w:rsidRPr="001F0C86">
              <w:rPr>
                <w:rStyle w:val="Bodytext295pt"/>
                <w:i w:val="0"/>
                <w:sz w:val="20"/>
                <w:szCs w:val="20"/>
              </w:rPr>
              <w:t>Աէրոբ միկրոօրգանիզմների ընդհանուր թիվը՝ 1 սպեղանու վրա 10</w:t>
            </w:r>
            <w:r w:rsidRPr="001F0C86">
              <w:rPr>
                <w:rStyle w:val="Bodytext295pt"/>
                <w:i w:val="0"/>
                <w:sz w:val="20"/>
                <w:szCs w:val="20"/>
                <w:vertAlign w:val="superscript"/>
              </w:rPr>
              <w:t>2</w:t>
            </w:r>
            <w:r w:rsidRPr="001F0C86">
              <w:rPr>
                <w:rStyle w:val="Bodytext295pt"/>
                <w:i w:val="0"/>
                <w:sz w:val="20"/>
                <w:szCs w:val="20"/>
              </w:rPr>
              <w:t xml:space="preserve"> ԳԱՄ-ից ոչ ավելի (ներառյալ սոսնձապատ կողմն ու հիմքը) </w:t>
            </w:r>
          </w:p>
          <w:p w14:paraId="508BC961"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 xml:space="preserve"> Խմորասնկերի ու բորբոսասնկերի ընդհանուր թիվը՝ 1 սպեղանու վրա 10</w:t>
            </w:r>
            <w:r w:rsidR="00B834A2" w:rsidRPr="001F0C86">
              <w:rPr>
                <w:rStyle w:val="Bodytext295pt"/>
                <w:i w:val="0"/>
                <w:sz w:val="20"/>
                <w:szCs w:val="20"/>
                <w:vertAlign w:val="superscript"/>
              </w:rPr>
              <w:t>1</w:t>
            </w:r>
            <w:r w:rsidR="00B834A2" w:rsidRPr="001F0C86">
              <w:rPr>
                <w:rStyle w:val="Bodytext295pt"/>
                <w:i w:val="0"/>
                <w:sz w:val="20"/>
                <w:szCs w:val="20"/>
              </w:rPr>
              <w:t xml:space="preserve"> ԳԱՄ-ից ոչ ավելի (ներառյալ սոսնձապատ կողմն ու հիմքը)</w:t>
            </w:r>
          </w:p>
          <w:p w14:paraId="1DB95FEA"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 սպեղանու վրա Pseudomonas aeruginosa-ի բացակայությունը (ներառյալ սոսնձապատ կողմն ու հիմքը)</w:t>
            </w:r>
          </w:p>
          <w:p w14:paraId="6BA14708"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 սպեղանու վրա Staphylococcus aureus-ի բացակայությունը (ներառյալ սոսնձապատ կողմն ու հիմքը)</w:t>
            </w:r>
          </w:p>
        </w:tc>
      </w:tr>
      <w:tr w:rsidR="00B834A2" w:rsidRPr="001F0C86" w14:paraId="4ADC410A" w14:textId="77777777" w:rsidTr="001636CE">
        <w:tc>
          <w:tcPr>
            <w:tcW w:w="1418" w:type="dxa"/>
            <w:tcBorders>
              <w:top w:val="single" w:sz="4" w:space="0" w:color="auto"/>
            </w:tcBorders>
            <w:shd w:val="clear" w:color="auto" w:fill="FFFFFF"/>
          </w:tcPr>
          <w:p w14:paraId="1519BDE4" w14:textId="77777777" w:rsidR="00B834A2" w:rsidRPr="001F0C86" w:rsidRDefault="00B834A2" w:rsidP="00B97411">
            <w:pPr>
              <w:pStyle w:val="Bodytext20"/>
              <w:shd w:val="clear" w:color="auto" w:fill="auto"/>
              <w:spacing w:before="0" w:line="240" w:lineRule="auto"/>
              <w:rPr>
                <w:rFonts w:ascii="Sylfaen" w:hAnsi="Sylfaen"/>
                <w:sz w:val="20"/>
                <w:szCs w:val="20"/>
              </w:rPr>
            </w:pPr>
            <w:r w:rsidRPr="001F0C86">
              <w:rPr>
                <w:rStyle w:val="Bodytext295pt"/>
                <w:i w:val="0"/>
                <w:sz w:val="20"/>
                <w:szCs w:val="20"/>
              </w:rPr>
              <w:t>3Ա</w:t>
            </w:r>
          </w:p>
        </w:tc>
        <w:tc>
          <w:tcPr>
            <w:tcW w:w="4536" w:type="dxa"/>
            <w:tcBorders>
              <w:top w:val="single" w:sz="4" w:space="0" w:color="auto"/>
            </w:tcBorders>
            <w:shd w:val="clear" w:color="auto" w:fill="FFFFFF"/>
          </w:tcPr>
          <w:p w14:paraId="17969FCF" w14:textId="77777777" w:rsidR="00B834A2" w:rsidRPr="00B97411" w:rsidRDefault="00B834A2" w:rsidP="00B97411">
            <w:pPr>
              <w:spacing w:after="120"/>
              <w:ind w:left="-11"/>
              <w:rPr>
                <w:rStyle w:val="Bodytext295pt"/>
                <w:sz w:val="20"/>
                <w:szCs w:val="20"/>
              </w:rPr>
            </w:pPr>
            <w:r w:rsidRPr="001F0C86">
              <w:rPr>
                <w:rStyle w:val="Bodytext295pt"/>
                <w:i w:val="0"/>
                <w:sz w:val="20"/>
                <w:szCs w:val="20"/>
              </w:rPr>
              <w:t xml:space="preserve"> Ներքին ընդունման պինդ (ոչ ջրային) պատրաստուկներ</w:t>
            </w:r>
          </w:p>
        </w:tc>
        <w:tc>
          <w:tcPr>
            <w:tcW w:w="3969" w:type="dxa"/>
            <w:tcBorders>
              <w:top w:val="single" w:sz="4" w:space="0" w:color="auto"/>
            </w:tcBorders>
            <w:shd w:val="clear" w:color="auto" w:fill="FFFFFF"/>
          </w:tcPr>
          <w:p w14:paraId="087D82B9"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Աէրոբ միկրոօրգանիզմների ընդհանուր թիվը՝ 1գ-ում 10</w:t>
            </w:r>
            <w:r w:rsidR="00B834A2" w:rsidRPr="001F0C86">
              <w:rPr>
                <w:rStyle w:val="Bodytext295pt"/>
                <w:i w:val="0"/>
                <w:sz w:val="20"/>
                <w:szCs w:val="20"/>
                <w:vertAlign w:val="superscript"/>
              </w:rPr>
              <w:t>3</w:t>
            </w:r>
            <w:r w:rsidR="00B834A2" w:rsidRPr="001F0C86">
              <w:rPr>
                <w:rStyle w:val="Bodytext295pt"/>
                <w:i w:val="0"/>
                <w:sz w:val="20"/>
                <w:szCs w:val="20"/>
              </w:rPr>
              <w:t xml:space="preserve"> ԳԱՄ-ից ոչ ավելի</w:t>
            </w:r>
          </w:p>
          <w:p w14:paraId="520CA15D"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Խմորասնկերի ու բորբոսասնկերի ընդհանուր թիվը՝ 1գ-ում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4997426E" w14:textId="77777777" w:rsidR="00B834A2" w:rsidRPr="001F0C86" w:rsidRDefault="00B97411" w:rsidP="00B97411">
            <w:pPr>
              <w:pStyle w:val="Bodytext20"/>
              <w:shd w:val="clear" w:color="auto" w:fill="auto"/>
              <w:tabs>
                <w:tab w:val="left" w:pos="41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 գ-ում Escherichia coli-ի բացակայությունը</w:t>
            </w:r>
          </w:p>
        </w:tc>
      </w:tr>
      <w:tr w:rsidR="00B834A2" w:rsidRPr="001F0C86" w14:paraId="04FCEEBB" w14:textId="77777777" w:rsidTr="001636CE">
        <w:tc>
          <w:tcPr>
            <w:tcW w:w="1418" w:type="dxa"/>
            <w:shd w:val="clear" w:color="auto" w:fill="FFFFFF"/>
          </w:tcPr>
          <w:p w14:paraId="7EB7F69E" w14:textId="77777777" w:rsidR="00B834A2" w:rsidRPr="001F0C86" w:rsidRDefault="00B834A2" w:rsidP="001F0C86">
            <w:pPr>
              <w:spacing w:after="120"/>
              <w:rPr>
                <w:sz w:val="20"/>
                <w:szCs w:val="20"/>
              </w:rPr>
            </w:pPr>
          </w:p>
        </w:tc>
        <w:tc>
          <w:tcPr>
            <w:tcW w:w="4536" w:type="dxa"/>
            <w:tcBorders>
              <w:top w:val="single" w:sz="4" w:space="0" w:color="auto"/>
            </w:tcBorders>
            <w:shd w:val="clear" w:color="auto" w:fill="FFFFFF"/>
          </w:tcPr>
          <w:p w14:paraId="727D115E" w14:textId="77777777" w:rsidR="00B834A2" w:rsidRPr="001F0C86" w:rsidRDefault="00B834A2" w:rsidP="00B97411">
            <w:pPr>
              <w:pStyle w:val="Bodytext20"/>
              <w:shd w:val="clear" w:color="auto" w:fill="auto"/>
              <w:spacing w:before="0" w:line="240" w:lineRule="auto"/>
              <w:jc w:val="left"/>
              <w:rPr>
                <w:rFonts w:ascii="Sylfaen" w:hAnsi="Sylfaen"/>
                <w:sz w:val="20"/>
                <w:szCs w:val="20"/>
                <w:lang w:val="en-GB"/>
              </w:rPr>
            </w:pPr>
            <w:r w:rsidRPr="001F0C86">
              <w:rPr>
                <w:rStyle w:val="Bodytext295pt"/>
                <w:i w:val="0"/>
                <w:sz w:val="20"/>
                <w:szCs w:val="20"/>
              </w:rPr>
              <w:t xml:space="preserve">Ներքին ընդունման հեղուկ պատրաստուկներ </w:t>
            </w:r>
          </w:p>
        </w:tc>
        <w:tc>
          <w:tcPr>
            <w:tcW w:w="3969" w:type="dxa"/>
            <w:tcBorders>
              <w:top w:val="single" w:sz="4" w:space="0" w:color="auto"/>
            </w:tcBorders>
            <w:shd w:val="clear" w:color="auto" w:fill="FFFFFF"/>
          </w:tcPr>
          <w:p w14:paraId="43103AA9"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Pr>
                <w:rStyle w:val="Bodytext295pt"/>
                <w:i w:val="0"/>
                <w:sz w:val="20"/>
                <w:szCs w:val="20"/>
                <w:lang w:val="en-US"/>
              </w:rPr>
              <w:tab/>
            </w:r>
            <w:r w:rsidR="00B834A2" w:rsidRPr="001F0C86">
              <w:rPr>
                <w:rStyle w:val="Bodytext295pt"/>
                <w:i w:val="0"/>
                <w:sz w:val="20"/>
                <w:szCs w:val="20"/>
              </w:rPr>
              <w:t>Աէրոբ միկրոօրգանիզմների ընդհանուր թիվը՝ 1գ (մլ)-ում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60A73471"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1</w:t>
            </w:r>
            <w:r w:rsidR="00B834A2" w:rsidRPr="001F0C86">
              <w:rPr>
                <w:rStyle w:val="Bodytext295pt"/>
                <w:i w:val="0"/>
                <w:sz w:val="20"/>
                <w:szCs w:val="20"/>
              </w:rPr>
              <w:t xml:space="preserve"> ԳԱՄ-ից ոչ ավելի</w:t>
            </w:r>
          </w:p>
          <w:p w14:paraId="0993C518"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 xml:space="preserve">1 գ (մլ)-ում Escherichia coli-ի </w:t>
            </w:r>
            <w:r w:rsidR="00B834A2" w:rsidRPr="001F0C86">
              <w:rPr>
                <w:rStyle w:val="Bodytext295pt"/>
                <w:i w:val="0"/>
                <w:sz w:val="20"/>
                <w:szCs w:val="20"/>
              </w:rPr>
              <w:lastRenderedPageBreak/>
              <w:t>բացակայությունը</w:t>
            </w:r>
          </w:p>
        </w:tc>
      </w:tr>
      <w:tr w:rsidR="00B834A2" w:rsidRPr="001F0C86" w14:paraId="53A1064A" w14:textId="77777777" w:rsidTr="001636CE">
        <w:tc>
          <w:tcPr>
            <w:tcW w:w="1418" w:type="dxa"/>
            <w:shd w:val="clear" w:color="auto" w:fill="FFFFFF"/>
          </w:tcPr>
          <w:p w14:paraId="765F3A92" w14:textId="77777777" w:rsidR="00B834A2" w:rsidRPr="001F0C86" w:rsidRDefault="00B834A2" w:rsidP="001F0C86">
            <w:pPr>
              <w:spacing w:after="120"/>
              <w:rPr>
                <w:sz w:val="20"/>
                <w:szCs w:val="20"/>
              </w:rPr>
            </w:pPr>
          </w:p>
        </w:tc>
        <w:tc>
          <w:tcPr>
            <w:tcW w:w="4536" w:type="dxa"/>
            <w:tcBorders>
              <w:top w:val="single" w:sz="4" w:space="0" w:color="auto"/>
            </w:tcBorders>
            <w:shd w:val="clear" w:color="auto" w:fill="FFFFFF"/>
          </w:tcPr>
          <w:p w14:paraId="3E56ED8C" w14:textId="77777777" w:rsidR="00B834A2" w:rsidRPr="001F0C86" w:rsidRDefault="00B834A2" w:rsidP="00B97411">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Ռեկտալ ներմուծման պատրաստուկներ</w:t>
            </w:r>
          </w:p>
        </w:tc>
        <w:tc>
          <w:tcPr>
            <w:tcW w:w="3969" w:type="dxa"/>
            <w:tcBorders>
              <w:top w:val="single" w:sz="4" w:space="0" w:color="auto"/>
            </w:tcBorders>
            <w:shd w:val="clear" w:color="auto" w:fill="FFFFFF"/>
          </w:tcPr>
          <w:p w14:paraId="27E3ED1A"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Աէրոբ միկրոօրգանիզմների ընդհանուր թիվը՝ 1գ (մլ)-ում 10</w:t>
            </w:r>
            <w:r w:rsidR="00B834A2" w:rsidRPr="001F0C86">
              <w:rPr>
                <w:rStyle w:val="Bodytext295pt"/>
                <w:i w:val="0"/>
                <w:sz w:val="20"/>
                <w:szCs w:val="20"/>
                <w:vertAlign w:val="superscript"/>
              </w:rPr>
              <w:t>3</w:t>
            </w:r>
            <w:r w:rsidR="00B834A2" w:rsidRPr="001F0C86">
              <w:rPr>
                <w:rStyle w:val="Bodytext295pt"/>
                <w:i w:val="0"/>
                <w:sz w:val="20"/>
                <w:szCs w:val="20"/>
              </w:rPr>
              <w:t xml:space="preserve"> ԳԱՄ-ից ոչ ավելի</w:t>
            </w:r>
          </w:p>
          <w:p w14:paraId="6E0BBEBB"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tc>
      </w:tr>
      <w:tr w:rsidR="00B834A2" w:rsidRPr="001F0C86" w14:paraId="74352C2F" w14:textId="77777777" w:rsidTr="001636CE">
        <w:tc>
          <w:tcPr>
            <w:tcW w:w="1418" w:type="dxa"/>
            <w:tcBorders>
              <w:top w:val="single" w:sz="4" w:space="0" w:color="auto"/>
            </w:tcBorders>
            <w:shd w:val="clear" w:color="auto" w:fill="FFFFFF"/>
          </w:tcPr>
          <w:p w14:paraId="637B368C" w14:textId="77777777" w:rsidR="00B834A2" w:rsidRPr="001F0C86" w:rsidRDefault="00B834A2" w:rsidP="00B97411">
            <w:pPr>
              <w:pStyle w:val="Bodytext20"/>
              <w:shd w:val="clear" w:color="auto" w:fill="auto"/>
              <w:spacing w:before="0" w:line="240" w:lineRule="auto"/>
              <w:rPr>
                <w:rFonts w:ascii="Sylfaen" w:hAnsi="Sylfaen"/>
                <w:sz w:val="20"/>
                <w:szCs w:val="20"/>
              </w:rPr>
            </w:pPr>
            <w:r w:rsidRPr="001F0C86">
              <w:rPr>
                <w:rStyle w:val="Bodytext295pt"/>
                <w:i w:val="0"/>
                <w:sz w:val="20"/>
                <w:szCs w:val="20"/>
              </w:rPr>
              <w:t>3Բ</w:t>
            </w:r>
          </w:p>
        </w:tc>
        <w:tc>
          <w:tcPr>
            <w:tcW w:w="4536" w:type="dxa"/>
            <w:tcBorders>
              <w:top w:val="single" w:sz="4" w:space="0" w:color="auto"/>
            </w:tcBorders>
            <w:shd w:val="clear" w:color="auto" w:fill="FFFFFF"/>
          </w:tcPr>
          <w:p w14:paraId="08E887C2" w14:textId="77777777" w:rsidR="00B834A2" w:rsidRPr="001F0C86" w:rsidRDefault="00B834A2" w:rsidP="001F0C86">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Ներքին ընդունման համար՝ բնական ծագման հումքից, որի մանրէային աղտոտվածության մակարդակը հնարավոր չէ նվազեցնել նախնական մշակման ընթացքում։</w:t>
            </w:r>
          </w:p>
          <w:p w14:paraId="5BACCA5B" w14:textId="77777777" w:rsidR="00B834A2" w:rsidRPr="001F0C86" w:rsidRDefault="00B834A2" w:rsidP="001F0C86">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Բուսական դեղապատրաստուկների մանրէաբանական մաքրությանը ներկայացվող պահանջները բերված են 2.3.1.4 ընդհանուր դեղագրքային հոդվածում։</w:t>
            </w:r>
          </w:p>
        </w:tc>
        <w:tc>
          <w:tcPr>
            <w:tcW w:w="3969" w:type="dxa"/>
            <w:tcBorders>
              <w:top w:val="single" w:sz="4" w:space="0" w:color="auto"/>
            </w:tcBorders>
            <w:shd w:val="clear" w:color="auto" w:fill="FFFFFF"/>
            <w:vAlign w:val="bottom"/>
          </w:tcPr>
          <w:p w14:paraId="0EDBFDB2"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Fonts w:ascii="Sylfaen" w:hAnsi="Sylfaen"/>
                <w:color w:val="000000" w:themeColor="text1"/>
                <w:sz w:val="20"/>
                <w:szCs w:val="20"/>
              </w:rPr>
              <w:tab/>
            </w:r>
            <w:r w:rsidR="00B834A2" w:rsidRPr="001F0C86">
              <w:rPr>
                <w:rStyle w:val="Bodytext295pt"/>
                <w:i w:val="0"/>
                <w:sz w:val="20"/>
                <w:szCs w:val="20"/>
              </w:rPr>
              <w:t>Աէրոբ միկրոօրգանիզմների ընդհանուր թիվը՝ 1գ (մլ)-ում 10</w:t>
            </w:r>
            <w:r w:rsidR="00B834A2" w:rsidRPr="001F0C86">
              <w:rPr>
                <w:rStyle w:val="Bodytext295pt"/>
                <w:i w:val="0"/>
                <w:sz w:val="20"/>
                <w:szCs w:val="20"/>
                <w:vertAlign w:val="superscript"/>
              </w:rPr>
              <w:t>4</w:t>
            </w:r>
            <w:r w:rsidR="00B834A2" w:rsidRPr="001F0C86">
              <w:rPr>
                <w:rStyle w:val="Bodytext295pt"/>
                <w:i w:val="0"/>
                <w:sz w:val="20"/>
                <w:szCs w:val="20"/>
              </w:rPr>
              <w:t xml:space="preserve"> ԳԱՄ-ից ոչ ավելի</w:t>
            </w:r>
          </w:p>
          <w:p w14:paraId="28A05A13"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2AAC5E86"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A859E3">
              <w:rPr>
                <w:rStyle w:val="Bodytext295pt"/>
                <w:i w:val="0"/>
                <w:sz w:val="20"/>
                <w:szCs w:val="20"/>
              </w:rPr>
              <w:tab/>
            </w:r>
            <w:r w:rsidR="00B834A2" w:rsidRPr="001F0C86">
              <w:rPr>
                <w:rStyle w:val="Bodytext295pt"/>
                <w:i w:val="0"/>
                <w:sz w:val="20"/>
                <w:szCs w:val="20"/>
              </w:rPr>
              <w:t>Լեղու նկատմամբ կայուն էնտերոբակտերիաների ընդհանուր թիվը՝ 1գ (մլ)-ում 10</w:t>
            </w:r>
            <w:r w:rsidR="00B834A2" w:rsidRPr="001F0C86">
              <w:rPr>
                <w:rStyle w:val="Bodytext295pt"/>
                <w:i w:val="0"/>
                <w:sz w:val="20"/>
                <w:szCs w:val="20"/>
                <w:vertAlign w:val="superscript"/>
              </w:rPr>
              <w:t>2</w:t>
            </w:r>
            <w:r w:rsidR="00B834A2" w:rsidRPr="001F0C86">
              <w:rPr>
                <w:rStyle w:val="Bodytext295pt"/>
                <w:i w:val="0"/>
                <w:sz w:val="20"/>
                <w:szCs w:val="20"/>
              </w:rPr>
              <w:t xml:space="preserve"> ԳԱՄ-ից ոչ ավելի</w:t>
            </w:r>
          </w:p>
          <w:p w14:paraId="31B3096E"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 գ (մլ)-ում Escherichia coli-ի բացակայությունը</w:t>
            </w:r>
          </w:p>
          <w:p w14:paraId="3C7D9721"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10 գ (մլ)-ում Salmonella spp. ցեղի բակտերիաների բացակայությունը</w:t>
            </w:r>
          </w:p>
          <w:p w14:paraId="391BA27B"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Style w:val="Bodytext295pt"/>
                <w:i w:val="0"/>
                <w:sz w:val="20"/>
                <w:szCs w:val="20"/>
              </w:rPr>
              <w:tab/>
            </w:r>
            <w:r w:rsidR="00B834A2" w:rsidRPr="001F0C86">
              <w:rPr>
                <w:rStyle w:val="Bodytext295pt"/>
                <w:i w:val="0"/>
                <w:sz w:val="20"/>
                <w:szCs w:val="20"/>
              </w:rPr>
              <w:t>1 գ (մլ)-ում Staphylococcus aureus-ի բացակայությունը</w:t>
            </w:r>
          </w:p>
        </w:tc>
      </w:tr>
      <w:tr w:rsidR="00B834A2" w:rsidRPr="001F0C86" w14:paraId="5513F6B7" w14:textId="77777777" w:rsidTr="001636CE">
        <w:tblPrEx>
          <w:tblLook w:val="0000" w:firstRow="0" w:lastRow="0" w:firstColumn="0" w:lastColumn="0" w:noHBand="0" w:noVBand="0"/>
        </w:tblPrEx>
        <w:tc>
          <w:tcPr>
            <w:tcW w:w="1418" w:type="dxa"/>
            <w:shd w:val="clear" w:color="auto" w:fill="FFFFFF"/>
          </w:tcPr>
          <w:p w14:paraId="36ED0FAB" w14:textId="77777777" w:rsidR="00B834A2" w:rsidRPr="001F0C86" w:rsidRDefault="00B834A2" w:rsidP="001F0C86">
            <w:pPr>
              <w:pStyle w:val="Bodytext20"/>
              <w:shd w:val="clear" w:color="auto" w:fill="auto"/>
              <w:spacing w:before="0" w:line="240" w:lineRule="auto"/>
              <w:ind w:right="200"/>
              <w:jc w:val="right"/>
              <w:rPr>
                <w:rFonts w:ascii="Sylfaen" w:hAnsi="Sylfaen"/>
                <w:sz w:val="20"/>
                <w:szCs w:val="20"/>
              </w:rPr>
            </w:pPr>
            <w:r w:rsidRPr="001F0C86">
              <w:rPr>
                <w:rStyle w:val="Bodytext295pt"/>
                <w:i w:val="0"/>
                <w:sz w:val="20"/>
                <w:szCs w:val="20"/>
              </w:rPr>
              <w:t>3Գ</w:t>
            </w:r>
          </w:p>
        </w:tc>
        <w:tc>
          <w:tcPr>
            <w:tcW w:w="4536" w:type="dxa"/>
            <w:tcBorders>
              <w:bottom w:val="single" w:sz="8" w:space="0" w:color="auto"/>
            </w:tcBorders>
            <w:shd w:val="clear" w:color="auto" w:fill="FFFFFF"/>
          </w:tcPr>
          <w:p w14:paraId="3F7EF20E" w14:textId="77777777" w:rsidR="00B834A2" w:rsidRPr="001F0C86" w:rsidRDefault="00B834A2" w:rsidP="00B97411">
            <w:pPr>
              <w:pStyle w:val="Bodytext20"/>
              <w:shd w:val="clear" w:color="auto" w:fill="auto"/>
              <w:spacing w:before="0" w:line="240" w:lineRule="auto"/>
              <w:jc w:val="left"/>
              <w:rPr>
                <w:rFonts w:ascii="Sylfaen" w:hAnsi="Sylfaen"/>
                <w:sz w:val="20"/>
                <w:szCs w:val="20"/>
              </w:rPr>
            </w:pPr>
            <w:r w:rsidRPr="001F0C86">
              <w:rPr>
                <w:rStyle w:val="Bodytext295pt"/>
                <w:i w:val="0"/>
                <w:sz w:val="20"/>
                <w:szCs w:val="20"/>
              </w:rPr>
              <w:t>Պատրաստի խառնուրդներ՝ անասնաբուժության մեջ կիրառվող բուժական կերերի համար՝ բնական ծագման լցանյութերի օգտագործմամբ, որոնց համար հակամանրէային մշակումը հնարավոր չէ</w:t>
            </w:r>
          </w:p>
        </w:tc>
        <w:tc>
          <w:tcPr>
            <w:tcW w:w="3969" w:type="dxa"/>
            <w:tcBorders>
              <w:bottom w:val="single" w:sz="8" w:space="0" w:color="auto"/>
            </w:tcBorders>
            <w:shd w:val="clear" w:color="auto" w:fill="FFFFFF"/>
          </w:tcPr>
          <w:p w14:paraId="0418E240"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Աէրոբ միկրոօրգանիզմների ընդհանուր թիվը՝ 1գ (մլ)-ում 10</w:t>
            </w:r>
            <w:r w:rsidR="00B834A2" w:rsidRPr="001F0C86">
              <w:rPr>
                <w:rStyle w:val="Bodytext295pt"/>
                <w:i w:val="0"/>
                <w:sz w:val="20"/>
                <w:szCs w:val="20"/>
                <w:vertAlign w:val="superscript"/>
              </w:rPr>
              <w:t>5</w:t>
            </w:r>
            <w:r w:rsidR="00B834A2" w:rsidRPr="001F0C86">
              <w:rPr>
                <w:rStyle w:val="Bodytext295pt"/>
                <w:i w:val="0"/>
                <w:sz w:val="20"/>
                <w:szCs w:val="20"/>
              </w:rPr>
              <w:t xml:space="preserve"> ԳԱՄ-ից ոչ ավելի</w:t>
            </w:r>
          </w:p>
          <w:p w14:paraId="49AC5896"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Խմորասնկերի ու բորբոսասնկերի ընդհանուր թիվը՝ 1գ (մլ)-ում 10</w:t>
            </w:r>
            <w:r w:rsidR="00B834A2" w:rsidRPr="001F0C86">
              <w:rPr>
                <w:rStyle w:val="Bodytext295pt"/>
                <w:i w:val="0"/>
                <w:sz w:val="20"/>
                <w:szCs w:val="20"/>
                <w:vertAlign w:val="superscript"/>
              </w:rPr>
              <w:t>4</w:t>
            </w:r>
            <w:r w:rsidR="00B834A2" w:rsidRPr="001F0C86">
              <w:rPr>
                <w:rStyle w:val="Bodytext295pt"/>
                <w:i w:val="0"/>
                <w:sz w:val="20"/>
                <w:szCs w:val="20"/>
              </w:rPr>
              <w:t xml:space="preserve"> ԳԱՄ-ից ոչ ավելի</w:t>
            </w:r>
          </w:p>
          <w:p w14:paraId="73CF5A31"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Լեղու նկատմամբ կայուն էնտերոբակտերիաների ընդհանուր թիվը՝ 1գ (մլ)-ում 10</w:t>
            </w:r>
            <w:r w:rsidR="00B834A2" w:rsidRPr="001F0C86">
              <w:rPr>
                <w:rStyle w:val="Bodytext295pt"/>
                <w:i w:val="0"/>
                <w:sz w:val="20"/>
                <w:szCs w:val="20"/>
                <w:vertAlign w:val="superscript"/>
              </w:rPr>
              <w:t>4</w:t>
            </w:r>
            <w:r w:rsidR="00B834A2" w:rsidRPr="001F0C86">
              <w:rPr>
                <w:rStyle w:val="Bodytext295pt"/>
                <w:i w:val="0"/>
                <w:sz w:val="20"/>
                <w:szCs w:val="20"/>
              </w:rPr>
              <w:t xml:space="preserve"> ԳԱՄ-ից ոչ ավելի</w:t>
            </w:r>
          </w:p>
          <w:p w14:paraId="74C3F29F" w14:textId="77777777" w:rsidR="00B834A2" w:rsidRPr="001F0C86" w:rsidRDefault="00B97411" w:rsidP="00B97411">
            <w:pPr>
              <w:pStyle w:val="Bodytext20"/>
              <w:shd w:val="clear" w:color="auto" w:fill="auto"/>
              <w:tabs>
                <w:tab w:val="left" w:pos="425"/>
              </w:tabs>
              <w:spacing w:before="0" w:line="240" w:lineRule="auto"/>
              <w:jc w:val="left"/>
              <w:rPr>
                <w:rFonts w:ascii="Sylfaen" w:hAnsi="Sylfaen"/>
                <w:sz w:val="20"/>
                <w:szCs w:val="20"/>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1F0C86">
              <w:rPr>
                <w:rStyle w:val="Bodytext295pt"/>
                <w:i w:val="0"/>
                <w:sz w:val="20"/>
                <w:szCs w:val="20"/>
              </w:rPr>
              <w:t>1 գ (մլ)-ում Escherichia coli-ի բացակայությունը</w:t>
            </w:r>
          </w:p>
          <w:p w14:paraId="1C3FC276" w14:textId="77777777" w:rsidR="00B834A2" w:rsidRPr="001F0C86" w:rsidRDefault="00B834A2" w:rsidP="00B97411">
            <w:pPr>
              <w:pStyle w:val="Bodytext20"/>
              <w:shd w:val="clear" w:color="auto" w:fill="auto"/>
              <w:tabs>
                <w:tab w:val="left" w:pos="425"/>
              </w:tabs>
              <w:spacing w:before="0" w:line="240" w:lineRule="auto"/>
              <w:jc w:val="left"/>
              <w:rPr>
                <w:rFonts w:ascii="Sylfaen" w:hAnsi="Sylfaen"/>
                <w:sz w:val="20"/>
                <w:szCs w:val="20"/>
              </w:rPr>
            </w:pPr>
            <w:r w:rsidRPr="001F0C86">
              <w:rPr>
                <w:rStyle w:val="Bodytext295pt"/>
                <w:i w:val="0"/>
                <w:sz w:val="20"/>
                <w:szCs w:val="20"/>
              </w:rPr>
              <w:t>25 գ (մլ)-ում Salmonella spp. ցեղի բակտերիաների բացակայությունը</w:t>
            </w:r>
          </w:p>
        </w:tc>
      </w:tr>
    </w:tbl>
    <w:p w14:paraId="79ECC01D" w14:textId="77777777" w:rsidR="00B834A2" w:rsidRPr="00A859E3" w:rsidRDefault="00B834A2" w:rsidP="00B834A2">
      <w:pPr>
        <w:spacing w:after="160" w:line="360" w:lineRule="auto"/>
      </w:pPr>
    </w:p>
    <w:p w14:paraId="0A931F7C" w14:textId="77777777" w:rsidR="00DA2D5E" w:rsidRDefault="00DA2D5E">
      <w:pPr>
        <w:rPr>
          <w:rStyle w:val="Bodytext295pt"/>
          <w:i w:val="0"/>
          <w:sz w:val="24"/>
          <w:szCs w:val="24"/>
        </w:rPr>
      </w:pPr>
      <w:r>
        <w:rPr>
          <w:rStyle w:val="Bodytext295pt"/>
          <w:i w:val="0"/>
          <w:sz w:val="24"/>
          <w:szCs w:val="24"/>
        </w:rPr>
        <w:br w:type="page"/>
      </w:r>
    </w:p>
    <w:p w14:paraId="492B90C4" w14:textId="77777777" w:rsidR="00B97411" w:rsidRPr="00A859E3" w:rsidRDefault="00B97411" w:rsidP="00B97411">
      <w:pPr>
        <w:spacing w:after="160" w:line="360" w:lineRule="auto"/>
        <w:ind w:firstLine="567"/>
        <w:jc w:val="both"/>
      </w:pPr>
      <w:r w:rsidRPr="00B97411">
        <w:rPr>
          <w:rStyle w:val="Bodytext295pt"/>
          <w:i w:val="0"/>
          <w:sz w:val="24"/>
          <w:szCs w:val="24"/>
        </w:rPr>
        <w:lastRenderedPageBreak/>
        <w:t>Աղյուսակ 2.3.1.2-2.՝</w:t>
      </w:r>
      <w:r w:rsidRPr="00B834A2">
        <w:rPr>
          <w:rStyle w:val="Bodytext295pt"/>
          <w:sz w:val="24"/>
          <w:szCs w:val="24"/>
        </w:rPr>
        <w:t xml:space="preserve"> </w:t>
      </w:r>
      <w:r w:rsidRPr="00B97411">
        <w:rPr>
          <w:rStyle w:val="Bodytext295pt"/>
          <w:sz w:val="24"/>
          <w:szCs w:val="24"/>
        </w:rPr>
        <w:t>Դեղապատրաստուկների արտադրության համար նախատեսված դեղագործական բաղադրամասերի եւ օժանդակ նյութերի որակի ընդունելիության չափորոշիչներն ըստ մանրէաբանական ցուցանիշների</w:t>
      </w:r>
    </w:p>
    <w:tbl>
      <w:tblPr>
        <w:tblW w:w="9923" w:type="dxa"/>
        <w:tblInd w:w="-274" w:type="dxa"/>
        <w:tblLayout w:type="fixed"/>
        <w:tblCellMar>
          <w:left w:w="10" w:type="dxa"/>
          <w:right w:w="10" w:type="dxa"/>
        </w:tblCellMar>
        <w:tblLook w:val="0000" w:firstRow="0" w:lastRow="0" w:firstColumn="0" w:lastColumn="0" w:noHBand="0" w:noVBand="0"/>
      </w:tblPr>
      <w:tblGrid>
        <w:gridCol w:w="1418"/>
        <w:gridCol w:w="4536"/>
        <w:gridCol w:w="3969"/>
      </w:tblGrid>
      <w:tr w:rsidR="00B834A2" w:rsidRPr="00B97411" w14:paraId="75BF04EC" w14:textId="77777777" w:rsidTr="00DA2D5E">
        <w:trPr>
          <w:tblHeader/>
        </w:trPr>
        <w:tc>
          <w:tcPr>
            <w:tcW w:w="1418" w:type="dxa"/>
            <w:tcBorders>
              <w:top w:val="single" w:sz="4" w:space="0" w:color="auto"/>
            </w:tcBorders>
            <w:shd w:val="clear" w:color="auto" w:fill="FFFFFF"/>
          </w:tcPr>
          <w:p w14:paraId="275D9C4D"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Կատեգորիան</w:t>
            </w:r>
          </w:p>
        </w:tc>
        <w:tc>
          <w:tcPr>
            <w:tcW w:w="4536" w:type="dxa"/>
            <w:tcBorders>
              <w:top w:val="single" w:sz="4" w:space="0" w:color="auto"/>
              <w:bottom w:val="single" w:sz="4" w:space="0" w:color="auto"/>
            </w:tcBorders>
            <w:shd w:val="clear" w:color="auto" w:fill="FFFFFF"/>
            <w:vAlign w:val="center"/>
          </w:tcPr>
          <w:p w14:paraId="4D41FB6E"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 xml:space="preserve">Դեղագործական բաղադրամասերը </w:t>
            </w:r>
            <w:r w:rsidRPr="00B97411">
              <w:rPr>
                <w:rStyle w:val="Bodytext295pt"/>
                <w:i w:val="0"/>
                <w:sz w:val="20"/>
                <w:szCs w:val="24"/>
              </w:rPr>
              <w:br/>
              <w:t>Օժանդակ նյութերը</w:t>
            </w:r>
          </w:p>
        </w:tc>
        <w:tc>
          <w:tcPr>
            <w:tcW w:w="3969" w:type="dxa"/>
            <w:tcBorders>
              <w:top w:val="single" w:sz="4" w:space="0" w:color="auto"/>
              <w:bottom w:val="single" w:sz="4" w:space="0" w:color="auto"/>
            </w:tcBorders>
            <w:shd w:val="clear" w:color="auto" w:fill="FFFFFF"/>
            <w:vAlign w:val="center"/>
          </w:tcPr>
          <w:p w14:paraId="77579368" w14:textId="77777777" w:rsidR="00B834A2" w:rsidRPr="00B97411" w:rsidRDefault="00B834A2" w:rsidP="00B97411">
            <w:pPr>
              <w:pStyle w:val="Bodytext20"/>
              <w:shd w:val="clear" w:color="auto" w:fill="auto"/>
              <w:spacing w:before="0" w:line="240" w:lineRule="auto"/>
              <w:ind w:left="132"/>
              <w:rPr>
                <w:rFonts w:ascii="Sylfaen" w:hAnsi="Sylfaen"/>
                <w:sz w:val="20"/>
                <w:szCs w:val="24"/>
              </w:rPr>
            </w:pPr>
            <w:r w:rsidRPr="00B97411">
              <w:rPr>
                <w:rStyle w:val="Bodytext295pt"/>
                <w:i w:val="0"/>
                <w:sz w:val="20"/>
                <w:szCs w:val="24"/>
              </w:rPr>
              <w:t>Ընդունելիության չափորոշիչները</w:t>
            </w:r>
          </w:p>
        </w:tc>
      </w:tr>
      <w:tr w:rsidR="00B834A2" w:rsidRPr="00B97411" w14:paraId="06B623A5" w14:textId="77777777" w:rsidTr="00B97411">
        <w:tc>
          <w:tcPr>
            <w:tcW w:w="1418" w:type="dxa"/>
            <w:tcBorders>
              <w:top w:val="single" w:sz="4" w:space="0" w:color="auto"/>
            </w:tcBorders>
            <w:shd w:val="clear" w:color="auto" w:fill="FFFFFF"/>
          </w:tcPr>
          <w:p w14:paraId="3C2CD396"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1.2.Ա.</w:t>
            </w:r>
          </w:p>
        </w:tc>
        <w:tc>
          <w:tcPr>
            <w:tcW w:w="4536" w:type="dxa"/>
            <w:tcBorders>
              <w:top w:val="single" w:sz="4" w:space="0" w:color="auto"/>
              <w:bottom w:val="single" w:sz="4" w:space="0" w:color="auto"/>
            </w:tcBorders>
            <w:shd w:val="clear" w:color="auto" w:fill="FFFFFF"/>
          </w:tcPr>
          <w:p w14:paraId="1EBDF317" w14:textId="77777777" w:rsidR="00B834A2" w:rsidRPr="00B97411" w:rsidRDefault="00B834A2" w:rsidP="00B97411">
            <w:pPr>
              <w:pStyle w:val="Bodytext20"/>
              <w:shd w:val="clear" w:color="auto" w:fill="auto"/>
              <w:spacing w:before="0" w:line="240" w:lineRule="auto"/>
              <w:ind w:left="132"/>
              <w:jc w:val="left"/>
              <w:rPr>
                <w:rFonts w:ascii="Sylfaen" w:hAnsi="Sylfaen"/>
                <w:sz w:val="20"/>
                <w:szCs w:val="24"/>
              </w:rPr>
            </w:pPr>
            <w:r w:rsidRPr="00B97411">
              <w:rPr>
                <w:rStyle w:val="Bodytext295pt"/>
                <w:i w:val="0"/>
                <w:sz w:val="20"/>
                <w:szCs w:val="24"/>
              </w:rPr>
              <w:t>Մանրէազերծ դեղապատրաստուկների արտադրության համար նախատեսված դեղագործական բաղադրամասեր եւ օժանդակ նյութեր, որոնք չեն ենթարկվում մանրէազերծման</w:t>
            </w:r>
          </w:p>
        </w:tc>
        <w:tc>
          <w:tcPr>
            <w:tcW w:w="3969" w:type="dxa"/>
            <w:tcBorders>
              <w:top w:val="single" w:sz="4" w:space="0" w:color="auto"/>
              <w:left w:val="nil"/>
            </w:tcBorders>
            <w:shd w:val="clear" w:color="auto" w:fill="FFFFFF"/>
          </w:tcPr>
          <w:p w14:paraId="78238BC6" w14:textId="77777777" w:rsidR="00B834A2" w:rsidRPr="00B97411" w:rsidRDefault="00B834A2" w:rsidP="00B97411">
            <w:pPr>
              <w:pStyle w:val="Bodytext20"/>
              <w:shd w:val="clear" w:color="auto" w:fill="auto"/>
              <w:spacing w:before="0" w:line="240" w:lineRule="auto"/>
              <w:ind w:left="132"/>
              <w:jc w:val="left"/>
              <w:rPr>
                <w:rFonts w:ascii="Sylfaen" w:hAnsi="Sylfaen"/>
                <w:sz w:val="20"/>
                <w:szCs w:val="24"/>
              </w:rPr>
            </w:pPr>
            <w:r w:rsidRPr="00B97411">
              <w:rPr>
                <w:rStyle w:val="Bodytext295pt"/>
                <w:i w:val="0"/>
                <w:sz w:val="20"/>
                <w:szCs w:val="24"/>
              </w:rPr>
              <w:t>Պետք է լինեն մանրէազերծ</w:t>
            </w:r>
          </w:p>
        </w:tc>
      </w:tr>
      <w:tr w:rsidR="00B834A2" w:rsidRPr="00B97411" w14:paraId="4D014D86" w14:textId="77777777" w:rsidTr="00B97411">
        <w:tc>
          <w:tcPr>
            <w:tcW w:w="1418" w:type="dxa"/>
            <w:tcBorders>
              <w:top w:val="single" w:sz="4" w:space="0" w:color="auto"/>
            </w:tcBorders>
            <w:shd w:val="clear" w:color="auto" w:fill="FFFFFF"/>
          </w:tcPr>
          <w:p w14:paraId="14821609"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1.2.Բ.</w:t>
            </w:r>
          </w:p>
        </w:tc>
        <w:tc>
          <w:tcPr>
            <w:tcW w:w="4536" w:type="dxa"/>
            <w:tcBorders>
              <w:top w:val="single" w:sz="4" w:space="0" w:color="auto"/>
            </w:tcBorders>
            <w:shd w:val="clear" w:color="auto" w:fill="FFFFFF"/>
          </w:tcPr>
          <w:p w14:paraId="5D94075F" w14:textId="77777777" w:rsidR="00B834A2" w:rsidRPr="00B97411" w:rsidRDefault="00B834A2" w:rsidP="00B97411">
            <w:pPr>
              <w:pStyle w:val="Bodytext20"/>
              <w:shd w:val="clear" w:color="auto" w:fill="auto"/>
              <w:spacing w:before="0" w:line="240" w:lineRule="auto"/>
              <w:ind w:left="132"/>
              <w:jc w:val="left"/>
              <w:rPr>
                <w:rFonts w:ascii="Sylfaen" w:hAnsi="Sylfaen"/>
                <w:sz w:val="20"/>
                <w:szCs w:val="24"/>
              </w:rPr>
            </w:pPr>
            <w:r w:rsidRPr="00B97411">
              <w:rPr>
                <w:rStyle w:val="Bodytext295pt"/>
                <w:i w:val="0"/>
                <w:sz w:val="20"/>
                <w:szCs w:val="24"/>
              </w:rPr>
              <w:t xml:space="preserve">Դեղագործական բաղադրամասեր եւ օժանդակ նյութեր՝ հետեւյալի արտադրության համար. </w:t>
            </w:r>
          </w:p>
          <w:p w14:paraId="12EBB8E2" w14:textId="77777777" w:rsidR="00B834A2" w:rsidRPr="00B97411" w:rsidRDefault="00B834A2" w:rsidP="00B97411">
            <w:pPr>
              <w:pStyle w:val="Bodytext20"/>
              <w:shd w:val="clear" w:color="auto" w:fill="auto"/>
              <w:tabs>
                <w:tab w:val="left" w:pos="534"/>
              </w:tabs>
              <w:spacing w:before="0" w:line="240" w:lineRule="auto"/>
              <w:ind w:left="132"/>
              <w:jc w:val="left"/>
              <w:rPr>
                <w:rFonts w:ascii="Sylfaen" w:hAnsi="Sylfaen"/>
                <w:sz w:val="20"/>
                <w:szCs w:val="24"/>
              </w:rPr>
            </w:pPr>
            <w:r w:rsidRPr="00B97411">
              <w:rPr>
                <w:rStyle w:val="Bodytext295pt"/>
                <w:i w:val="0"/>
                <w:sz w:val="20"/>
                <w:szCs w:val="24"/>
              </w:rPr>
              <w:t>-</w:t>
            </w:r>
            <w:r w:rsidR="00B97411" w:rsidRPr="00A859E3">
              <w:rPr>
                <w:rStyle w:val="Bodytext295pt"/>
                <w:i w:val="0"/>
                <w:sz w:val="20"/>
                <w:szCs w:val="24"/>
              </w:rPr>
              <w:tab/>
            </w:r>
            <w:r w:rsidRPr="00B97411">
              <w:rPr>
                <w:rStyle w:val="Bodytext295pt"/>
                <w:i w:val="0"/>
                <w:sz w:val="20"/>
                <w:szCs w:val="24"/>
              </w:rPr>
              <w:t>մանրէազերծ դեղապատրաստուկներ, որոնք մանրէազերծման են ենթարկվում փաթեթվածքում.</w:t>
            </w:r>
          </w:p>
          <w:p w14:paraId="782062C1" w14:textId="77777777" w:rsidR="00B834A2" w:rsidRPr="00B97411" w:rsidRDefault="00B97411" w:rsidP="00B97411">
            <w:pPr>
              <w:pStyle w:val="Bodytext20"/>
              <w:shd w:val="clear" w:color="auto" w:fill="auto"/>
              <w:tabs>
                <w:tab w:val="left" w:pos="534"/>
              </w:tabs>
              <w:spacing w:before="0" w:line="240" w:lineRule="auto"/>
              <w:ind w:left="132"/>
              <w:jc w:val="left"/>
              <w:rPr>
                <w:rFonts w:ascii="Sylfaen" w:hAnsi="Sylfaen"/>
                <w:sz w:val="20"/>
                <w:szCs w:val="24"/>
              </w:rPr>
            </w:pPr>
            <w:r>
              <w:rPr>
                <w:rStyle w:val="Bodytext295pt"/>
                <w:i w:val="0"/>
                <w:sz w:val="20"/>
                <w:szCs w:val="24"/>
              </w:rPr>
              <w:t>-</w:t>
            </w:r>
            <w:r w:rsidRPr="00B97411">
              <w:rPr>
                <w:rStyle w:val="Bodytext295pt"/>
                <w:i w:val="0"/>
                <w:sz w:val="20"/>
                <w:szCs w:val="24"/>
              </w:rPr>
              <w:tab/>
            </w:r>
            <w:r w:rsidR="00B834A2" w:rsidRPr="00B97411">
              <w:rPr>
                <w:rStyle w:val="Bodytext295pt"/>
                <w:i w:val="0"/>
                <w:sz w:val="20"/>
                <w:szCs w:val="24"/>
              </w:rPr>
              <w:t>մանրէազերծ դեղապատրաստուկներ, որոնց արտադրության/պատրաստման ժամանակ կիրառվում է մանրէազերծող զտում՝ մանրէազերծությունն ապահովելու համար.</w:t>
            </w:r>
          </w:p>
          <w:p w14:paraId="0D799036" w14:textId="77777777" w:rsidR="00B834A2" w:rsidRPr="00B97411" w:rsidRDefault="00B834A2" w:rsidP="00B97411">
            <w:pPr>
              <w:pStyle w:val="Bodytext20"/>
              <w:shd w:val="clear" w:color="auto" w:fill="auto"/>
              <w:tabs>
                <w:tab w:val="left" w:pos="534"/>
              </w:tabs>
              <w:spacing w:before="0" w:line="240" w:lineRule="auto"/>
              <w:ind w:left="132"/>
              <w:jc w:val="left"/>
              <w:rPr>
                <w:rFonts w:ascii="Sylfaen" w:hAnsi="Sylfaen"/>
                <w:sz w:val="20"/>
                <w:szCs w:val="24"/>
              </w:rPr>
            </w:pPr>
            <w:r w:rsidRPr="00B97411">
              <w:rPr>
                <w:rStyle w:val="Bodytext295pt"/>
                <w:i w:val="0"/>
                <w:sz w:val="20"/>
                <w:szCs w:val="24"/>
              </w:rPr>
              <w:t>-</w:t>
            </w:r>
            <w:r w:rsidR="00B97411" w:rsidRPr="00A859E3">
              <w:rPr>
                <w:rStyle w:val="Bodytext295pt"/>
                <w:i w:val="0"/>
                <w:sz w:val="20"/>
                <w:szCs w:val="24"/>
              </w:rPr>
              <w:tab/>
            </w:r>
            <w:r w:rsidRPr="00B97411">
              <w:rPr>
                <w:rStyle w:val="Bodytext295pt"/>
                <w:i w:val="0"/>
                <w:sz w:val="20"/>
                <w:szCs w:val="24"/>
              </w:rPr>
              <w:t>ոչ մանրէազերծ դեղապատրաստուկներ, որոնք դասվում են 2-րդ կատեգորիային</w:t>
            </w:r>
          </w:p>
        </w:tc>
        <w:tc>
          <w:tcPr>
            <w:tcW w:w="3969" w:type="dxa"/>
            <w:tcBorders>
              <w:top w:val="single" w:sz="4" w:space="0" w:color="auto"/>
            </w:tcBorders>
            <w:shd w:val="clear" w:color="auto" w:fill="FFFFFF"/>
          </w:tcPr>
          <w:p w14:paraId="0B9E121B" w14:textId="77777777" w:rsidR="00B834A2" w:rsidRPr="00B97411" w:rsidRDefault="00B97411" w:rsidP="00B97411">
            <w:pPr>
              <w:pStyle w:val="Bodytext20"/>
              <w:shd w:val="clear" w:color="auto" w:fill="auto"/>
              <w:tabs>
                <w:tab w:val="left" w:pos="481"/>
              </w:tabs>
              <w:spacing w:before="0" w:line="240" w:lineRule="auto"/>
              <w:ind w:left="132"/>
              <w:jc w:val="left"/>
              <w:rPr>
                <w:rFonts w:ascii="Sylfaen" w:hAnsi="Sylfaen"/>
                <w:sz w:val="20"/>
                <w:szCs w:val="24"/>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B97411">
              <w:rPr>
                <w:rStyle w:val="Bodytext295pt"/>
                <w:i w:val="0"/>
                <w:sz w:val="20"/>
                <w:szCs w:val="24"/>
              </w:rPr>
              <w:t>Աէրոբ միկրոօրգանիզմների ընդհանուր թիվը՝ 1գ (մլ)-ում 10</w:t>
            </w:r>
            <w:r w:rsidR="00B834A2" w:rsidRPr="00B97411">
              <w:rPr>
                <w:rStyle w:val="Bodytext295pt"/>
                <w:i w:val="0"/>
                <w:sz w:val="20"/>
                <w:szCs w:val="24"/>
                <w:vertAlign w:val="superscript"/>
              </w:rPr>
              <w:t>2</w:t>
            </w:r>
            <w:r w:rsidR="00B834A2" w:rsidRPr="00B97411">
              <w:rPr>
                <w:rStyle w:val="Bodytext295pt"/>
                <w:i w:val="0"/>
                <w:sz w:val="20"/>
                <w:szCs w:val="24"/>
              </w:rPr>
              <w:t xml:space="preserve"> ԳԱՄ-ից ոչ ավելի</w:t>
            </w:r>
          </w:p>
          <w:p w14:paraId="4A2948E9" w14:textId="77777777" w:rsidR="00B834A2" w:rsidRPr="00B97411" w:rsidRDefault="00B97411" w:rsidP="00B97411">
            <w:pPr>
              <w:pStyle w:val="Bodytext20"/>
              <w:shd w:val="clear" w:color="auto" w:fill="auto"/>
              <w:tabs>
                <w:tab w:val="left" w:pos="481"/>
              </w:tabs>
              <w:spacing w:before="0" w:line="240" w:lineRule="auto"/>
              <w:ind w:left="132"/>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Խմորասնկերի ու բորբոսասնկերի ընդհանուր թիվը՝ 1գ (մլ)-ում 10</w:t>
            </w:r>
            <w:r w:rsidR="00B834A2" w:rsidRPr="00B97411">
              <w:rPr>
                <w:rStyle w:val="Bodytext295pt"/>
                <w:i w:val="0"/>
                <w:sz w:val="20"/>
                <w:szCs w:val="24"/>
                <w:vertAlign w:val="superscript"/>
              </w:rPr>
              <w:t>1</w:t>
            </w:r>
            <w:r w:rsidR="00B834A2" w:rsidRPr="00B97411">
              <w:rPr>
                <w:rStyle w:val="Bodytext295pt"/>
                <w:i w:val="0"/>
                <w:sz w:val="20"/>
                <w:szCs w:val="24"/>
              </w:rPr>
              <w:t xml:space="preserve"> ԳԱՄ-ից ոչ ավելի</w:t>
            </w:r>
          </w:p>
          <w:p w14:paraId="2CDEE7D7" w14:textId="77777777" w:rsidR="00B834A2" w:rsidRPr="00B97411" w:rsidRDefault="00B97411" w:rsidP="00B97411">
            <w:pPr>
              <w:pStyle w:val="Bodytext20"/>
              <w:shd w:val="clear" w:color="auto" w:fill="auto"/>
              <w:tabs>
                <w:tab w:val="left" w:pos="481"/>
              </w:tabs>
              <w:spacing w:before="0" w:line="240" w:lineRule="auto"/>
              <w:ind w:left="132"/>
              <w:jc w:val="left"/>
              <w:rPr>
                <w:rFonts w:ascii="Sylfaen" w:hAnsi="Sylfaen"/>
                <w:sz w:val="20"/>
                <w:szCs w:val="24"/>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B97411">
              <w:rPr>
                <w:rStyle w:val="Bodytext295pt"/>
                <w:i w:val="0"/>
                <w:sz w:val="20"/>
                <w:szCs w:val="24"/>
              </w:rPr>
              <w:t>1 գ (մլ)-ում լեղու նկատմամբ կայուն էնտերոբակտերիաների բացակայությունը</w:t>
            </w:r>
          </w:p>
          <w:p w14:paraId="7E70EABC" w14:textId="77777777" w:rsidR="00B834A2" w:rsidRPr="00B97411" w:rsidRDefault="00B97411" w:rsidP="00B97411">
            <w:pPr>
              <w:pStyle w:val="Bodytext20"/>
              <w:shd w:val="clear" w:color="auto" w:fill="auto"/>
              <w:tabs>
                <w:tab w:val="left" w:pos="481"/>
              </w:tabs>
              <w:spacing w:before="0" w:line="240" w:lineRule="auto"/>
              <w:ind w:left="132"/>
              <w:jc w:val="left"/>
              <w:rPr>
                <w:rFonts w:ascii="Sylfaen" w:hAnsi="Sylfaen"/>
                <w:sz w:val="20"/>
                <w:szCs w:val="24"/>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B97411">
              <w:rPr>
                <w:rStyle w:val="Bodytext295pt"/>
                <w:i w:val="0"/>
                <w:sz w:val="20"/>
                <w:szCs w:val="24"/>
              </w:rPr>
              <w:t>1գ (մլ)-ում Pseudomonas aeruginosa-ի բացակայությունը</w:t>
            </w:r>
          </w:p>
          <w:p w14:paraId="4CEA2103" w14:textId="77777777" w:rsidR="00B834A2" w:rsidRPr="00B97411" w:rsidRDefault="00B97411" w:rsidP="00B97411">
            <w:pPr>
              <w:pStyle w:val="Bodytext20"/>
              <w:shd w:val="clear" w:color="auto" w:fill="auto"/>
              <w:tabs>
                <w:tab w:val="left" w:pos="481"/>
              </w:tabs>
              <w:spacing w:before="0" w:line="240" w:lineRule="auto"/>
              <w:ind w:left="132"/>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1գ (մլ)-ում Staphylococcus aureus-ի բացակայությունը</w:t>
            </w:r>
          </w:p>
        </w:tc>
      </w:tr>
      <w:tr w:rsidR="00B834A2" w:rsidRPr="00B97411" w14:paraId="618EA7E6" w14:textId="77777777" w:rsidTr="00B97411">
        <w:tc>
          <w:tcPr>
            <w:tcW w:w="1418" w:type="dxa"/>
            <w:tcBorders>
              <w:top w:val="single" w:sz="4" w:space="0" w:color="auto"/>
              <w:bottom w:val="single" w:sz="4" w:space="0" w:color="auto"/>
            </w:tcBorders>
            <w:shd w:val="clear" w:color="auto" w:fill="FFFFFF"/>
          </w:tcPr>
          <w:p w14:paraId="4607FAED"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2.2</w:t>
            </w:r>
          </w:p>
        </w:tc>
        <w:tc>
          <w:tcPr>
            <w:tcW w:w="4536" w:type="dxa"/>
            <w:tcBorders>
              <w:top w:val="single" w:sz="4" w:space="0" w:color="auto"/>
              <w:bottom w:val="single" w:sz="4" w:space="0" w:color="auto"/>
            </w:tcBorders>
            <w:shd w:val="clear" w:color="auto" w:fill="FFFFFF"/>
          </w:tcPr>
          <w:p w14:paraId="3B32297E" w14:textId="77777777" w:rsidR="00B834A2" w:rsidRPr="00B97411" w:rsidRDefault="00B834A2" w:rsidP="00B97411">
            <w:pPr>
              <w:pStyle w:val="Bodytext20"/>
              <w:shd w:val="clear" w:color="auto" w:fill="auto"/>
              <w:spacing w:before="0" w:line="240" w:lineRule="auto"/>
              <w:jc w:val="left"/>
              <w:rPr>
                <w:rFonts w:ascii="Sylfaen" w:hAnsi="Sylfaen"/>
                <w:sz w:val="20"/>
                <w:szCs w:val="24"/>
              </w:rPr>
            </w:pPr>
            <w:r w:rsidRPr="00B97411">
              <w:rPr>
                <w:rStyle w:val="Bodytext295pt"/>
                <w:i w:val="0"/>
                <w:sz w:val="20"/>
                <w:szCs w:val="24"/>
              </w:rPr>
              <w:t>Սինթետիկ ծագման դեղագործական բաղադրամասեր եւ օժանդակ նյութեր՝ ոչ մանրէազերծ դեղապատրաստուկների արտադրության համար</w:t>
            </w:r>
          </w:p>
        </w:tc>
        <w:tc>
          <w:tcPr>
            <w:tcW w:w="3969" w:type="dxa"/>
            <w:tcBorders>
              <w:top w:val="single" w:sz="4" w:space="0" w:color="auto"/>
              <w:bottom w:val="single" w:sz="4" w:space="0" w:color="auto"/>
            </w:tcBorders>
            <w:shd w:val="clear" w:color="auto" w:fill="FFFFFF"/>
            <w:vAlign w:val="bottom"/>
          </w:tcPr>
          <w:p w14:paraId="0E6EA6FC"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Աէրոբ միկրոօրգանիզմների ընդհանուր թիվը՝ 1գ (մլ)-ում 10</w:t>
            </w:r>
            <w:r w:rsidR="00B834A2" w:rsidRPr="00B97411">
              <w:rPr>
                <w:rStyle w:val="Bodytext295pt"/>
                <w:i w:val="0"/>
                <w:sz w:val="20"/>
                <w:szCs w:val="24"/>
                <w:vertAlign w:val="superscript"/>
              </w:rPr>
              <w:t>3</w:t>
            </w:r>
            <w:r w:rsidR="00B834A2" w:rsidRPr="00B97411">
              <w:rPr>
                <w:rStyle w:val="Bodytext295pt"/>
                <w:i w:val="0"/>
                <w:sz w:val="20"/>
                <w:szCs w:val="24"/>
              </w:rPr>
              <w:t xml:space="preserve"> ԳԱՄ-ից ոչ ավելի</w:t>
            </w:r>
          </w:p>
          <w:p w14:paraId="4608CDB7"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Խմորասնկերի ու բորբոսասնկերի ընդհանուր թիվը՝ 1գ (մլ)-ում 10</w:t>
            </w:r>
            <w:r w:rsidR="00B834A2" w:rsidRPr="00B97411">
              <w:rPr>
                <w:rStyle w:val="Bodytext295pt"/>
                <w:i w:val="0"/>
                <w:sz w:val="20"/>
                <w:szCs w:val="24"/>
                <w:vertAlign w:val="superscript"/>
              </w:rPr>
              <w:t>2</w:t>
            </w:r>
            <w:r w:rsidR="00B834A2" w:rsidRPr="00B97411">
              <w:rPr>
                <w:rStyle w:val="Bodytext295pt"/>
                <w:i w:val="0"/>
                <w:sz w:val="20"/>
                <w:szCs w:val="24"/>
              </w:rPr>
              <w:t xml:space="preserve"> ԳԱՄ-ից ոչ ավելի</w:t>
            </w:r>
          </w:p>
          <w:p w14:paraId="5AC8B9D9"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B97411">
              <w:rPr>
                <w:rStyle w:val="Bodytext295pt"/>
                <w:i w:val="0"/>
                <w:sz w:val="20"/>
                <w:szCs w:val="24"/>
              </w:rPr>
              <w:t>1 գ (մլ)-ում Escherichia coli-ի բացակայությունը</w:t>
            </w:r>
          </w:p>
        </w:tc>
      </w:tr>
      <w:tr w:rsidR="00B834A2" w:rsidRPr="00B97411" w14:paraId="3092000B" w14:textId="77777777" w:rsidTr="00B97411">
        <w:tc>
          <w:tcPr>
            <w:tcW w:w="1418" w:type="dxa"/>
            <w:tcBorders>
              <w:top w:val="single" w:sz="4" w:space="0" w:color="auto"/>
              <w:bottom w:val="single" w:sz="4" w:space="0" w:color="auto"/>
            </w:tcBorders>
            <w:shd w:val="clear" w:color="auto" w:fill="FFFFFF"/>
          </w:tcPr>
          <w:p w14:paraId="38CC1C3D" w14:textId="77777777" w:rsidR="00B834A2" w:rsidRPr="00B97411" w:rsidRDefault="00B834A2" w:rsidP="00B97411">
            <w:pPr>
              <w:pStyle w:val="Bodytext20"/>
              <w:shd w:val="clear" w:color="auto" w:fill="auto"/>
              <w:spacing w:before="0" w:line="240" w:lineRule="auto"/>
              <w:rPr>
                <w:rFonts w:ascii="Sylfaen" w:hAnsi="Sylfaen"/>
                <w:sz w:val="20"/>
                <w:szCs w:val="24"/>
              </w:rPr>
            </w:pPr>
            <w:r w:rsidRPr="00B97411">
              <w:rPr>
                <w:rStyle w:val="Bodytext295pt"/>
                <w:i w:val="0"/>
                <w:sz w:val="20"/>
                <w:szCs w:val="24"/>
              </w:rPr>
              <w:t>3.2.</w:t>
            </w:r>
          </w:p>
        </w:tc>
        <w:tc>
          <w:tcPr>
            <w:tcW w:w="4536" w:type="dxa"/>
            <w:tcBorders>
              <w:top w:val="single" w:sz="4" w:space="0" w:color="auto"/>
              <w:bottom w:val="single" w:sz="4" w:space="0" w:color="auto"/>
            </w:tcBorders>
            <w:shd w:val="clear" w:color="auto" w:fill="FFFFFF"/>
          </w:tcPr>
          <w:p w14:paraId="09642967" w14:textId="77777777" w:rsidR="00B834A2" w:rsidRPr="00B97411" w:rsidRDefault="00B834A2" w:rsidP="00B97411">
            <w:pPr>
              <w:pStyle w:val="Bodytext20"/>
              <w:shd w:val="clear" w:color="auto" w:fill="auto"/>
              <w:spacing w:before="0" w:line="240" w:lineRule="auto"/>
              <w:jc w:val="left"/>
              <w:rPr>
                <w:rFonts w:ascii="Sylfaen" w:hAnsi="Sylfaen"/>
                <w:sz w:val="20"/>
                <w:szCs w:val="24"/>
              </w:rPr>
            </w:pPr>
            <w:r w:rsidRPr="00B97411">
              <w:rPr>
                <w:rStyle w:val="Bodytext295pt"/>
                <w:i w:val="0"/>
                <w:sz w:val="20"/>
                <w:szCs w:val="24"/>
              </w:rPr>
              <w:t>Բնական ծագման դեղագործական բաղադրամասեր՝ ոչ մանրէազերծ դեղապատրաստուկների արտադրության համար։</w:t>
            </w:r>
          </w:p>
          <w:p w14:paraId="629514B4" w14:textId="77777777" w:rsidR="00B834A2" w:rsidRPr="00B97411" w:rsidRDefault="00B834A2" w:rsidP="00B97411">
            <w:pPr>
              <w:pStyle w:val="Bodytext20"/>
              <w:shd w:val="clear" w:color="auto" w:fill="auto"/>
              <w:spacing w:before="0" w:line="240" w:lineRule="auto"/>
              <w:jc w:val="left"/>
              <w:rPr>
                <w:rFonts w:ascii="Sylfaen" w:hAnsi="Sylfaen"/>
                <w:sz w:val="20"/>
                <w:szCs w:val="24"/>
              </w:rPr>
            </w:pPr>
            <w:r w:rsidRPr="00B97411">
              <w:rPr>
                <w:rStyle w:val="Bodytext295pt"/>
                <w:i w:val="0"/>
                <w:sz w:val="20"/>
                <w:szCs w:val="24"/>
              </w:rPr>
              <w:t>Դեղաբուսական հումքի/բուսական դեղագործական բաղադրամասերի մանրէաբանական մաքրության ընդունելիության չափորոշիչները բերված են 2.3.1.4 ընդհանուր դեղագրքային հոդվածում</w:t>
            </w:r>
          </w:p>
        </w:tc>
        <w:tc>
          <w:tcPr>
            <w:tcW w:w="3969" w:type="dxa"/>
            <w:tcBorders>
              <w:top w:val="single" w:sz="4" w:space="0" w:color="auto"/>
              <w:bottom w:val="single" w:sz="4" w:space="0" w:color="auto"/>
            </w:tcBorders>
            <w:shd w:val="clear" w:color="auto" w:fill="FFFFFF"/>
            <w:vAlign w:val="bottom"/>
          </w:tcPr>
          <w:p w14:paraId="0C4837C1"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Աէրոբ միկրոօրգանիզմների ընդհանուր թիվը՝ 1գ (մլ)-ում 10</w:t>
            </w:r>
            <w:r w:rsidR="00B834A2" w:rsidRPr="00B97411">
              <w:rPr>
                <w:rStyle w:val="Bodytext295pt"/>
                <w:i w:val="0"/>
                <w:sz w:val="20"/>
                <w:szCs w:val="24"/>
                <w:vertAlign w:val="superscript"/>
              </w:rPr>
              <w:t>4</w:t>
            </w:r>
            <w:r w:rsidR="00B834A2" w:rsidRPr="00B97411">
              <w:rPr>
                <w:rStyle w:val="Bodytext295pt"/>
                <w:i w:val="0"/>
                <w:sz w:val="20"/>
                <w:szCs w:val="24"/>
              </w:rPr>
              <w:t xml:space="preserve"> ԳԱՄ-ից ոչ ավելի</w:t>
            </w:r>
          </w:p>
          <w:p w14:paraId="498F8BFA"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A859E3">
              <w:rPr>
                <w:rStyle w:val="Bodytext295pt"/>
                <w:i w:val="0"/>
                <w:sz w:val="20"/>
                <w:szCs w:val="24"/>
              </w:rPr>
              <w:tab/>
            </w:r>
            <w:r w:rsidR="00B834A2" w:rsidRPr="00B97411">
              <w:rPr>
                <w:rStyle w:val="Bodytext295pt"/>
                <w:i w:val="0"/>
                <w:sz w:val="20"/>
                <w:szCs w:val="24"/>
              </w:rPr>
              <w:t>Խմորասնկերի ու բորբոսասնկերի ընդհանուր թիվը՝ 1գ (մլ)-ում 10</w:t>
            </w:r>
            <w:r w:rsidR="00B834A2" w:rsidRPr="00B97411">
              <w:rPr>
                <w:rStyle w:val="Bodytext295pt"/>
                <w:i w:val="0"/>
                <w:sz w:val="20"/>
                <w:szCs w:val="24"/>
                <w:vertAlign w:val="superscript"/>
              </w:rPr>
              <w:t>2</w:t>
            </w:r>
            <w:r w:rsidR="00B834A2" w:rsidRPr="00B97411">
              <w:rPr>
                <w:rStyle w:val="Bodytext295pt"/>
                <w:i w:val="0"/>
                <w:sz w:val="20"/>
                <w:szCs w:val="24"/>
              </w:rPr>
              <w:t xml:space="preserve"> ԳԱՄ-ից ոչ ավելի</w:t>
            </w:r>
          </w:p>
          <w:p w14:paraId="22F9DDBF" w14:textId="77777777" w:rsidR="00B834A2" w:rsidRPr="00B97411" w:rsidRDefault="00B97411"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B97411">
              <w:rPr>
                <w:rFonts w:ascii="Sylfaen" w:hAnsi="Sylfaen"/>
                <w:color w:val="000000" w:themeColor="text1"/>
                <w:sz w:val="20"/>
                <w:szCs w:val="20"/>
              </w:rPr>
              <w:tab/>
            </w:r>
            <w:r w:rsidR="00B834A2" w:rsidRPr="00B97411">
              <w:rPr>
                <w:rStyle w:val="Bodytext295pt"/>
                <w:i w:val="0"/>
                <w:sz w:val="20"/>
                <w:szCs w:val="24"/>
              </w:rPr>
              <w:t>1 գ (մլ)-ում Escherichia coli-ի բացակայությունը</w:t>
            </w:r>
            <w:r w:rsidR="00003446" w:rsidRPr="00003446">
              <w:rPr>
                <w:rStyle w:val="Bodytext295pt"/>
                <w:i w:val="0"/>
                <w:sz w:val="20"/>
                <w:szCs w:val="24"/>
              </w:rPr>
              <w:t xml:space="preserve"> </w:t>
            </w:r>
            <w:r w:rsidR="00B834A2" w:rsidRPr="00B97411">
              <w:rPr>
                <w:rStyle w:val="Bodytext295pt"/>
                <w:i w:val="0"/>
                <w:sz w:val="20"/>
                <w:szCs w:val="24"/>
              </w:rPr>
              <w:t>25 գ (մլ)-ում Salmonella ցեղի բակտերիաների բացակայությունը</w:t>
            </w:r>
          </w:p>
          <w:p w14:paraId="66BCBFC0" w14:textId="77777777" w:rsidR="00B834A2" w:rsidRPr="00B97411" w:rsidRDefault="00003446"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003446">
              <w:rPr>
                <w:rFonts w:ascii="Sylfaen" w:hAnsi="Sylfaen"/>
                <w:color w:val="000000" w:themeColor="text1"/>
                <w:sz w:val="20"/>
                <w:szCs w:val="20"/>
              </w:rPr>
              <w:tab/>
            </w:r>
            <w:r w:rsidR="00B834A2" w:rsidRPr="00B97411">
              <w:rPr>
                <w:rStyle w:val="Bodytext295pt"/>
                <w:i w:val="0"/>
                <w:sz w:val="20"/>
                <w:szCs w:val="24"/>
              </w:rPr>
              <w:t>1գ (մլ)-ում Pseudomonas aeruginosa-ի բացակայությունը</w:t>
            </w:r>
          </w:p>
          <w:p w14:paraId="72152102" w14:textId="77777777" w:rsidR="00B834A2" w:rsidRPr="00B97411" w:rsidRDefault="00003446"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003446">
              <w:rPr>
                <w:rStyle w:val="Bodytext295pt"/>
                <w:i w:val="0"/>
                <w:sz w:val="20"/>
                <w:szCs w:val="24"/>
              </w:rPr>
              <w:tab/>
            </w:r>
            <w:r w:rsidR="00B834A2" w:rsidRPr="00B97411">
              <w:rPr>
                <w:rStyle w:val="Bodytext295pt"/>
                <w:i w:val="0"/>
                <w:sz w:val="20"/>
                <w:szCs w:val="24"/>
              </w:rPr>
              <w:t xml:space="preserve">1գ (մլ)-ում Staphylococcus aureus-ի </w:t>
            </w:r>
            <w:r w:rsidR="00B834A2" w:rsidRPr="00B97411">
              <w:rPr>
                <w:rStyle w:val="Bodytext295pt"/>
                <w:i w:val="0"/>
                <w:sz w:val="20"/>
                <w:szCs w:val="24"/>
              </w:rPr>
              <w:lastRenderedPageBreak/>
              <w:t>բացակայությունը</w:t>
            </w:r>
          </w:p>
          <w:p w14:paraId="2FA03806" w14:textId="77777777" w:rsidR="00B834A2" w:rsidRPr="00B97411" w:rsidRDefault="00003446" w:rsidP="00003446">
            <w:pPr>
              <w:pStyle w:val="Bodytext20"/>
              <w:shd w:val="clear" w:color="auto" w:fill="auto"/>
              <w:tabs>
                <w:tab w:val="left" w:pos="380"/>
              </w:tabs>
              <w:spacing w:before="0" w:line="240" w:lineRule="auto"/>
              <w:jc w:val="left"/>
              <w:rPr>
                <w:rFonts w:ascii="Sylfaen" w:hAnsi="Sylfaen"/>
                <w:sz w:val="20"/>
                <w:szCs w:val="24"/>
              </w:rPr>
            </w:pPr>
            <w:r w:rsidRPr="00B97411">
              <w:rPr>
                <w:rFonts w:ascii="Sylfaen" w:hAnsi="Sylfaen"/>
                <w:color w:val="000000" w:themeColor="text1"/>
                <w:sz w:val="20"/>
                <w:szCs w:val="20"/>
              </w:rPr>
              <w:t>●</w:t>
            </w:r>
            <w:r w:rsidRPr="00003446">
              <w:rPr>
                <w:rStyle w:val="Bodytext295pt"/>
                <w:i w:val="0"/>
                <w:sz w:val="20"/>
                <w:szCs w:val="24"/>
              </w:rPr>
              <w:tab/>
            </w:r>
            <w:r w:rsidR="00B834A2" w:rsidRPr="00B97411">
              <w:rPr>
                <w:rStyle w:val="Bodytext295pt"/>
                <w:i w:val="0"/>
                <w:sz w:val="20"/>
                <w:szCs w:val="24"/>
              </w:rPr>
              <w:t>Լեղու նկատմամբ կայուն էնտերոբակտերիաների ընդհանուր թիվը՝ 1գ (մլ)-ում 10</w:t>
            </w:r>
            <w:r w:rsidR="00B834A2" w:rsidRPr="00B97411">
              <w:rPr>
                <w:rStyle w:val="Bodytext295pt"/>
                <w:i w:val="0"/>
                <w:sz w:val="20"/>
                <w:szCs w:val="24"/>
                <w:vertAlign w:val="superscript"/>
              </w:rPr>
              <w:t>2</w:t>
            </w:r>
            <w:r w:rsidR="00B834A2" w:rsidRPr="00B97411">
              <w:rPr>
                <w:rStyle w:val="Bodytext295pt"/>
                <w:i w:val="0"/>
                <w:sz w:val="20"/>
                <w:szCs w:val="24"/>
              </w:rPr>
              <w:t xml:space="preserve"> ԳԱՄ-ից ոչ ավելի</w:t>
            </w:r>
          </w:p>
        </w:tc>
      </w:tr>
    </w:tbl>
    <w:p w14:paraId="6C1872DF" w14:textId="77777777" w:rsidR="001636CE" w:rsidRDefault="001636CE" w:rsidP="00B834A2">
      <w:pPr>
        <w:pStyle w:val="Bodytext20"/>
        <w:shd w:val="clear" w:color="auto" w:fill="auto"/>
        <w:spacing w:before="0" w:after="160" w:line="360" w:lineRule="auto"/>
        <w:rPr>
          <w:rFonts w:ascii="Sylfaen" w:hAnsi="Sylfaen"/>
          <w:b/>
          <w:sz w:val="24"/>
          <w:szCs w:val="24"/>
        </w:rPr>
      </w:pPr>
    </w:p>
    <w:p w14:paraId="00FBBCCB" w14:textId="77777777" w:rsidR="00B834A2" w:rsidRPr="00003446" w:rsidRDefault="00B834A2" w:rsidP="00B834A2">
      <w:pPr>
        <w:pStyle w:val="Bodytext100"/>
        <w:shd w:val="clear" w:color="auto" w:fill="auto"/>
        <w:spacing w:after="160" w:line="360" w:lineRule="auto"/>
        <w:ind w:firstLine="567"/>
        <w:rPr>
          <w:rFonts w:ascii="Sylfaen" w:hAnsi="Sylfaen"/>
          <w:sz w:val="20"/>
          <w:szCs w:val="24"/>
        </w:rPr>
      </w:pPr>
      <w:r w:rsidRPr="00003446">
        <w:rPr>
          <w:rFonts w:ascii="Sylfaen" w:hAnsi="Sylfaen"/>
          <w:color w:val="000000"/>
          <w:sz w:val="20"/>
          <w:szCs w:val="24"/>
        </w:rPr>
        <w:t>2.3.1.2-1 եւ 2.3.1.2-2 աղյուսակների ծանոթագրություններ.</w:t>
      </w:r>
    </w:p>
    <w:p w14:paraId="54865AE3" w14:textId="77777777" w:rsidR="00B834A2" w:rsidRPr="00003446" w:rsidRDefault="00B834A2" w:rsidP="00003446">
      <w:pPr>
        <w:pStyle w:val="Bodytext100"/>
        <w:shd w:val="clear" w:color="auto" w:fill="auto"/>
        <w:tabs>
          <w:tab w:val="left" w:pos="1134"/>
        </w:tabs>
        <w:spacing w:after="160" w:line="360" w:lineRule="auto"/>
        <w:ind w:right="300" w:firstLine="567"/>
        <w:rPr>
          <w:rFonts w:ascii="Sylfaen" w:hAnsi="Sylfaen"/>
          <w:sz w:val="20"/>
          <w:szCs w:val="24"/>
        </w:rPr>
      </w:pPr>
      <w:r w:rsidRPr="00003446">
        <w:rPr>
          <w:rFonts w:ascii="Sylfaen" w:hAnsi="Sylfaen"/>
          <w:color w:val="000000"/>
          <w:sz w:val="20"/>
          <w:szCs w:val="24"/>
        </w:rPr>
        <w:t>1.</w:t>
      </w:r>
      <w:r w:rsidR="00003446" w:rsidRPr="00A859E3">
        <w:rPr>
          <w:rFonts w:ascii="Sylfaen" w:hAnsi="Sylfaen"/>
          <w:color w:val="000000"/>
          <w:sz w:val="20"/>
          <w:szCs w:val="24"/>
        </w:rPr>
        <w:tab/>
      </w:r>
      <w:r w:rsidRPr="00003446">
        <w:rPr>
          <w:rFonts w:ascii="Sylfaen" w:hAnsi="Sylfaen"/>
          <w:sz w:val="20"/>
          <w:szCs w:val="24"/>
        </w:rPr>
        <w:t>Փորձարկում անցկացնելիս վերոնշյալ ախտածին բակտերիաներից բացի այլ բակտերիաների հայտնաբերման դեպքում համարվում է, որ դեղապատրաստուկների, դեղագործական բաղադրամասերի եւ օժանդակ նյութերի որակը չի համապատասխանում պահանջներին՝ ըստ «Մանրէաբանական մաքրություն» ցուցանիշի։</w:t>
      </w:r>
    </w:p>
    <w:p w14:paraId="41599793" w14:textId="77777777" w:rsidR="00B834A2" w:rsidRPr="00003446" w:rsidRDefault="00B834A2" w:rsidP="00003446">
      <w:pPr>
        <w:pStyle w:val="Bodytext100"/>
        <w:shd w:val="clear" w:color="auto" w:fill="auto"/>
        <w:tabs>
          <w:tab w:val="left" w:pos="1134"/>
        </w:tabs>
        <w:spacing w:after="160" w:line="360" w:lineRule="auto"/>
        <w:ind w:firstLine="567"/>
        <w:rPr>
          <w:rFonts w:ascii="Sylfaen" w:hAnsi="Sylfaen"/>
          <w:sz w:val="20"/>
          <w:szCs w:val="24"/>
        </w:rPr>
      </w:pPr>
      <w:r w:rsidRPr="00003446">
        <w:rPr>
          <w:rFonts w:ascii="Sylfaen" w:hAnsi="Sylfaen"/>
          <w:color w:val="000000"/>
          <w:sz w:val="20"/>
          <w:szCs w:val="24"/>
        </w:rPr>
        <w:t>2.</w:t>
      </w:r>
      <w:r w:rsidR="00003446" w:rsidRPr="00A859E3">
        <w:rPr>
          <w:rFonts w:ascii="Sylfaen" w:hAnsi="Sylfaen"/>
          <w:color w:val="000000"/>
          <w:sz w:val="20"/>
          <w:szCs w:val="24"/>
        </w:rPr>
        <w:tab/>
      </w:r>
      <w:r w:rsidRPr="00003446">
        <w:rPr>
          <w:rFonts w:ascii="Sylfaen" w:hAnsi="Sylfaen"/>
          <w:color w:val="000000"/>
          <w:sz w:val="20"/>
          <w:szCs w:val="24"/>
        </w:rPr>
        <w:t xml:space="preserve">Դեղապատրաստուկի համար կարող են սահմանվել այլ նորմեր՝ պայմանավորված՝ </w:t>
      </w:r>
    </w:p>
    <w:p w14:paraId="2518B0EE" w14:textId="77777777" w:rsidR="00B834A2" w:rsidRPr="00003446" w:rsidRDefault="00B834A2" w:rsidP="00003446">
      <w:pPr>
        <w:pStyle w:val="Bodytext100"/>
        <w:shd w:val="clear" w:color="auto" w:fill="auto"/>
        <w:tabs>
          <w:tab w:val="left" w:pos="1134"/>
        </w:tabs>
        <w:spacing w:after="160" w:line="360" w:lineRule="auto"/>
        <w:ind w:firstLine="567"/>
        <w:rPr>
          <w:rFonts w:ascii="Sylfaen" w:hAnsi="Sylfaen"/>
          <w:sz w:val="20"/>
          <w:szCs w:val="24"/>
        </w:rPr>
      </w:pPr>
      <w:r w:rsidRPr="00003446">
        <w:rPr>
          <w:rFonts w:ascii="Sylfaen" w:hAnsi="Sylfaen"/>
          <w:color w:val="000000"/>
          <w:sz w:val="20"/>
          <w:szCs w:val="24"/>
        </w:rPr>
        <w:t>-</w:t>
      </w:r>
      <w:r w:rsidR="00003446" w:rsidRPr="00A859E3">
        <w:rPr>
          <w:rFonts w:ascii="Sylfaen" w:hAnsi="Sylfaen"/>
          <w:color w:val="000000"/>
          <w:sz w:val="20"/>
          <w:szCs w:val="24"/>
        </w:rPr>
        <w:tab/>
      </w:r>
      <w:r w:rsidRPr="00003446">
        <w:rPr>
          <w:rFonts w:ascii="Sylfaen" w:hAnsi="Sylfaen"/>
          <w:color w:val="000000"/>
          <w:sz w:val="20"/>
          <w:szCs w:val="24"/>
        </w:rPr>
        <w:t>դեղապատրաստուկի կազմից եւ դրա արտադրության տեխնոլոգիական գործընթացի առանձնահատկություններով.</w:t>
      </w:r>
    </w:p>
    <w:p w14:paraId="3F485BB9" w14:textId="77777777" w:rsidR="00B834A2" w:rsidRPr="00003446" w:rsidRDefault="00B834A2" w:rsidP="00003446">
      <w:pPr>
        <w:pStyle w:val="Bodytext100"/>
        <w:shd w:val="clear" w:color="auto" w:fill="auto"/>
        <w:tabs>
          <w:tab w:val="left" w:pos="1134"/>
        </w:tabs>
        <w:spacing w:after="160" w:line="360" w:lineRule="auto"/>
        <w:ind w:right="-1" w:firstLine="567"/>
        <w:rPr>
          <w:rFonts w:ascii="Sylfaen" w:hAnsi="Sylfaen"/>
          <w:sz w:val="20"/>
          <w:szCs w:val="24"/>
        </w:rPr>
      </w:pPr>
      <w:r w:rsidRPr="00003446">
        <w:rPr>
          <w:rFonts w:ascii="Sylfaen" w:hAnsi="Sylfaen"/>
          <w:color w:val="000000"/>
          <w:sz w:val="20"/>
          <w:szCs w:val="24"/>
        </w:rPr>
        <w:t>-</w:t>
      </w:r>
      <w:r w:rsidR="00003446" w:rsidRPr="00A859E3">
        <w:rPr>
          <w:rFonts w:ascii="Sylfaen" w:hAnsi="Sylfaen"/>
          <w:color w:val="000000"/>
          <w:sz w:val="20"/>
          <w:szCs w:val="24"/>
        </w:rPr>
        <w:tab/>
      </w:r>
      <w:r w:rsidRPr="00003446">
        <w:rPr>
          <w:rFonts w:ascii="Sylfaen" w:hAnsi="Sylfaen"/>
          <w:color w:val="000000"/>
          <w:sz w:val="20"/>
          <w:szCs w:val="24"/>
        </w:rPr>
        <w:t xml:space="preserve">դեղապատրաստուկի նշանակությամբ (վտանգավորությունը փոփոխվում է՝ պայմանավորված կիրառման եղանակով կամ ներմուծման ուղով). </w:t>
      </w:r>
    </w:p>
    <w:p w14:paraId="55F3AA10" w14:textId="77777777" w:rsidR="00B834A2" w:rsidRPr="00003446" w:rsidRDefault="00B834A2" w:rsidP="00003446">
      <w:pPr>
        <w:pStyle w:val="Bodytext100"/>
        <w:shd w:val="clear" w:color="auto" w:fill="auto"/>
        <w:tabs>
          <w:tab w:val="left" w:pos="1134"/>
        </w:tabs>
        <w:spacing w:after="160" w:line="360" w:lineRule="auto"/>
        <w:ind w:right="-1" w:firstLine="567"/>
        <w:rPr>
          <w:rFonts w:ascii="Sylfaen" w:hAnsi="Sylfaen"/>
          <w:color w:val="000000"/>
          <w:sz w:val="20"/>
          <w:szCs w:val="24"/>
        </w:rPr>
      </w:pPr>
      <w:r w:rsidRPr="00003446">
        <w:rPr>
          <w:rFonts w:ascii="Sylfaen" w:hAnsi="Sylfaen"/>
          <w:color w:val="000000"/>
          <w:sz w:val="20"/>
          <w:szCs w:val="24"/>
        </w:rPr>
        <w:t>-</w:t>
      </w:r>
      <w:r w:rsidR="00003446" w:rsidRPr="00A859E3">
        <w:rPr>
          <w:rFonts w:ascii="Sylfaen" w:hAnsi="Sylfaen"/>
          <w:color w:val="000000"/>
          <w:sz w:val="20"/>
          <w:szCs w:val="24"/>
        </w:rPr>
        <w:tab/>
      </w:r>
      <w:r w:rsidRPr="00003446">
        <w:rPr>
          <w:rFonts w:ascii="Sylfaen" w:hAnsi="Sylfaen"/>
          <w:color w:val="000000"/>
          <w:sz w:val="20"/>
          <w:szCs w:val="24"/>
        </w:rPr>
        <w:t>ենթադրվող ռեցիպիենտից (վտանգավորությունը փոփոխվում է նորածինների, երեխաների, թուլացած մարդկանց համար)։ Այլ նորմերի սահմանումը պետք է հիմնավորված լինի։</w:t>
      </w:r>
    </w:p>
    <w:p w14:paraId="7FD00A31" w14:textId="77777777" w:rsidR="00B834A2" w:rsidRPr="00B834A2" w:rsidRDefault="00B834A2" w:rsidP="00B834A2">
      <w:pPr>
        <w:pStyle w:val="Bodytext20"/>
        <w:shd w:val="clear" w:color="auto" w:fill="auto"/>
        <w:spacing w:before="0" w:after="160" w:line="360" w:lineRule="auto"/>
        <w:ind w:right="-1"/>
        <w:jc w:val="right"/>
        <w:rPr>
          <w:rFonts w:ascii="Sylfaen" w:hAnsi="Sylfaen"/>
          <w:sz w:val="24"/>
          <w:szCs w:val="24"/>
        </w:rPr>
      </w:pPr>
    </w:p>
    <w:p w14:paraId="6B23E698" w14:textId="77777777" w:rsidR="00B834A2" w:rsidRPr="00A859E3" w:rsidRDefault="00B834A2" w:rsidP="00B834A2">
      <w:pPr>
        <w:pStyle w:val="Bodytext20"/>
        <w:shd w:val="clear" w:color="auto" w:fill="auto"/>
        <w:spacing w:before="0" w:after="160" w:line="360" w:lineRule="auto"/>
        <w:ind w:right="-1"/>
        <w:jc w:val="right"/>
        <w:rPr>
          <w:rStyle w:val="Bodytext29pt"/>
          <w:b/>
          <w:sz w:val="20"/>
          <w:szCs w:val="24"/>
        </w:rPr>
      </w:pPr>
      <w:r w:rsidRPr="00003446">
        <w:rPr>
          <w:rStyle w:val="Bodytext29pt"/>
          <w:b/>
          <w:sz w:val="20"/>
          <w:szCs w:val="24"/>
        </w:rPr>
        <w:t>203100000-2022</w:t>
      </w:r>
    </w:p>
    <w:p w14:paraId="5B524B87" w14:textId="77777777" w:rsidR="00003446" w:rsidRPr="00A859E3" w:rsidRDefault="00003446" w:rsidP="00B834A2">
      <w:pPr>
        <w:pStyle w:val="Bodytext20"/>
        <w:shd w:val="clear" w:color="auto" w:fill="auto"/>
        <w:spacing w:before="0" w:after="160" w:line="360" w:lineRule="auto"/>
        <w:ind w:right="-1"/>
        <w:jc w:val="right"/>
        <w:rPr>
          <w:rStyle w:val="Bodytext29pt"/>
          <w:b/>
          <w:sz w:val="20"/>
          <w:szCs w:val="24"/>
        </w:rPr>
      </w:pPr>
    </w:p>
    <w:p w14:paraId="7F28730C" w14:textId="77777777" w:rsidR="00B834A2" w:rsidRPr="00003446" w:rsidRDefault="00B834A2" w:rsidP="00003446">
      <w:pPr>
        <w:pStyle w:val="Bodytext20"/>
        <w:shd w:val="clear" w:color="auto" w:fill="auto"/>
        <w:tabs>
          <w:tab w:val="left" w:pos="1843"/>
        </w:tabs>
        <w:spacing w:before="0" w:after="160" w:line="360" w:lineRule="auto"/>
        <w:ind w:firstLine="567"/>
        <w:jc w:val="both"/>
        <w:rPr>
          <w:rFonts w:ascii="Sylfaen" w:hAnsi="Sylfaen" w:cs="Sylfaen"/>
          <w:b/>
          <w:sz w:val="24"/>
          <w:szCs w:val="24"/>
        </w:rPr>
      </w:pPr>
      <w:r w:rsidRPr="00003446">
        <w:rPr>
          <w:rStyle w:val="Bodytext29pt"/>
          <w:b/>
          <w:sz w:val="24"/>
          <w:szCs w:val="24"/>
        </w:rPr>
        <w:t>2.3.10.0.</w:t>
      </w:r>
      <w:r w:rsidR="00003446" w:rsidRPr="00A859E3">
        <w:rPr>
          <w:rStyle w:val="Bodytext29pt"/>
          <w:b/>
          <w:sz w:val="24"/>
          <w:szCs w:val="24"/>
        </w:rPr>
        <w:tab/>
      </w:r>
      <w:r w:rsidRPr="00003446">
        <w:rPr>
          <w:rStyle w:val="Bodytext29pt"/>
          <w:b/>
          <w:sz w:val="24"/>
          <w:szCs w:val="24"/>
        </w:rPr>
        <w:t>Տարրերի խառնուկները</w:t>
      </w:r>
    </w:p>
    <w:p w14:paraId="4DD2A0F9"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 xml:space="preserve">Տվյալ ընդհանուր դեղագրքային հոդվածը պարունակում է թունաբանական նշանակություն ունեցող այն տարրերի խառնուկների գնահատման եւ վերահսկման հիմնական սկզբունքներն ու մոտեցումները, որոնք կարող են պարունակվել դեղամիջոցներում։ </w:t>
      </w:r>
    </w:p>
    <w:p w14:paraId="247655FD"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 xml:space="preserve">Քանի որ տարրերի խառնուկները չունեն թերապեւտիկ ազդեցություն, դեղամիջոցներում դրանց պարունակությունը պետք է վերահսկվի եւ չգերազանցի </w:t>
      </w:r>
      <w:r w:rsidRPr="00003446">
        <w:rPr>
          <w:rStyle w:val="Bodytext31Sylfaen9"/>
          <w:i w:val="0"/>
          <w:sz w:val="24"/>
          <w:szCs w:val="24"/>
        </w:rPr>
        <w:lastRenderedPageBreak/>
        <w:t>թույլատրելի սահմանները։ Դեղամիջոցներում տարրերի խառնուկների պարունակությունը սահմանափակելու համար հսկողության ռազմավարությունը պետք է մշակվի ռիսկերի կառավարման սկզբունքների կիրառմամբ։</w:t>
      </w:r>
    </w:p>
    <w:p w14:paraId="6ACD831B"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i/>
          <w:sz w:val="24"/>
          <w:szCs w:val="24"/>
        </w:rPr>
      </w:pPr>
      <w:r w:rsidRPr="00003446">
        <w:rPr>
          <w:rStyle w:val="Bodytext31Sylfaen9"/>
          <w:i w:val="0"/>
          <w:sz w:val="24"/>
          <w:szCs w:val="24"/>
        </w:rPr>
        <w:t>Դեղամիջոցներում հնարավոր տարրերի խառնուկների թունավորության մասին տվյալների գնահատման գործընթացները նկարագրված են Միության «Դեղամիջոցների հետազոտությունների (փորձարկումների) անցկացման պահանջները՝ խառնուկների գնահատման եւ վերահսկման մասով» նորմատիվ փաստաթղթում (Մաս V. Տարրերի խառնուկները)։ Նշված պահանջներում բերվում</w:t>
      </w:r>
      <w:r w:rsidR="00003446" w:rsidRPr="00003446">
        <w:rPr>
          <w:rStyle w:val="Bodytext31Sylfaen9"/>
          <w:i w:val="0"/>
          <w:sz w:val="24"/>
          <w:szCs w:val="24"/>
        </w:rPr>
        <w:t> </w:t>
      </w:r>
      <w:r w:rsidRPr="00003446">
        <w:rPr>
          <w:rStyle w:val="Bodytext31Sylfaen9"/>
          <w:i w:val="0"/>
          <w:sz w:val="24"/>
          <w:szCs w:val="24"/>
        </w:rPr>
        <w:t xml:space="preserve">են ներմուծման տարբեր ուղիների դեպքում տարրերի թույլատրելի օրական ներգործության (ԹՕՆ) արժեքները, ինչպես նաեւ ներկայացվում են դեղապատրաստուկներում եւ (կամ) դրանց բաղադրիչներում (ակտիվ դեղագործական բաղադրամասերում, օժանդակ նյութերում) տարրերի խառնուկների այն կոնցենտրացիաների որոշման մոտեցումները, որոնք կերաշխավորեին, որ ԹՕՆ-ի արժեքներն այդ խառնուկների համար գերազանցված չեն։ </w:t>
      </w:r>
    </w:p>
    <w:p w14:paraId="692B857D" w14:textId="77777777" w:rsidR="00B834A2" w:rsidRPr="00B834A2" w:rsidRDefault="00B834A2" w:rsidP="00B834A2">
      <w:pPr>
        <w:pStyle w:val="Bodytext20"/>
        <w:shd w:val="clear" w:color="auto" w:fill="auto"/>
        <w:spacing w:before="0" w:after="160" w:line="360" w:lineRule="auto"/>
        <w:ind w:firstLine="567"/>
        <w:rPr>
          <w:rStyle w:val="Bodytext31Sylfaen9"/>
          <w:b/>
          <w:sz w:val="24"/>
          <w:szCs w:val="24"/>
        </w:rPr>
      </w:pPr>
    </w:p>
    <w:p w14:paraId="45ACEECA" w14:textId="77777777" w:rsidR="00B834A2" w:rsidRPr="00003446" w:rsidRDefault="00B834A2" w:rsidP="00003446">
      <w:pPr>
        <w:pStyle w:val="Bodytext20"/>
        <w:shd w:val="clear" w:color="auto" w:fill="auto"/>
        <w:spacing w:before="0" w:after="160" w:line="360" w:lineRule="auto"/>
        <w:ind w:firstLine="567"/>
        <w:jc w:val="both"/>
        <w:rPr>
          <w:rStyle w:val="Bodytext31Sylfaen9"/>
          <w:b/>
          <w:i w:val="0"/>
          <w:sz w:val="24"/>
          <w:szCs w:val="24"/>
        </w:rPr>
      </w:pPr>
      <w:r w:rsidRPr="00003446">
        <w:rPr>
          <w:rStyle w:val="Bodytext31Sylfaen9"/>
          <w:b/>
          <w:i w:val="0"/>
          <w:sz w:val="24"/>
          <w:szCs w:val="24"/>
        </w:rPr>
        <w:t>ԿԻՐԱՌՈՒԹՅԱՆ ՈԼՈՐՏԸ</w:t>
      </w:r>
    </w:p>
    <w:p w14:paraId="1651A82E"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Տվյալ ընդհանուր դեղագրքային հոդվածը տարածվում է քիմիական սինթեզի միջոցով ստացված՝ դեղագործական կիրառության բաղադրամասերի եւ դրանցից արտադրված դեղապատրաստուկների վրա։ Բացի այդ, հոդվածի կիրառության ոլորտում ներառվում են մաքրված սպիտակուցներ եւ պոլիպեպտիդներ (այդ թվում՝ ռեկոմբինանտ եւ ոչ ռեկոմբինանտ սպիտակուցներ ու պոլիպեպտիդներ) պարունակող դեղամիջոցները, դրանց ածանցյալներն ու դրանց բաղադրիչ հանդիսացող արգասիքները (օրինակ՝ կոնյուգատները), ինչպես նաեւ սինթետիկ պոլիպեպտիդներ, պոլինուկլեոտիդներ եւ օլիգոսախարիդներ պարունակող դեղամիջոցները։</w:t>
      </w:r>
    </w:p>
    <w:p w14:paraId="55ADBCA9"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 xml:space="preserve">Տվյալ հոդվածի պահանջները չեն տարածվում բուսական դեղամիջոցների, ռադիոդեղագործական դեղապատրաստուկների, պատվաստանյութերի, բջջային </w:t>
      </w:r>
      <w:r w:rsidRPr="00003446">
        <w:rPr>
          <w:rStyle w:val="Bodytext31Sylfaen9"/>
          <w:i w:val="0"/>
          <w:sz w:val="24"/>
          <w:szCs w:val="24"/>
        </w:rPr>
        <w:lastRenderedPageBreak/>
        <w:t>նյութափոխանակության արգասիքների, ԴՆԹ-ի պատրաստուկների, ալերգենների լուծամզվածքների, բջիջների, ամբողջական արյան, արյան բջջային բաղադրիչների կամ արյան ածանցյալների վրա, ներառյալ՝ պլազման եւ պլազմայի ածանցյալները, դիալիզի համար լուծույթները, որոնք նախատեսված չեն համակարգային արյան շրջանառություն ներմուծելու համար, եւ թերապեւտիկ ազդեցություն ունենալու համար դեղամիջոցի կազմում կանխամտածված կերպով ընդգրկված տարրերը, ինչպես նաեւ հյուսվածքային ինժեներիայի մեթոդներով գեների (գենային</w:t>
      </w:r>
      <w:r w:rsidRPr="00B834A2">
        <w:rPr>
          <w:rStyle w:val="Bodytext31Sylfaen9"/>
          <w:sz w:val="24"/>
          <w:szCs w:val="24"/>
        </w:rPr>
        <w:t xml:space="preserve"> </w:t>
      </w:r>
      <w:r w:rsidRPr="00003446">
        <w:rPr>
          <w:rStyle w:val="Bodytext31Sylfaen9"/>
          <w:i w:val="0"/>
          <w:sz w:val="24"/>
          <w:szCs w:val="24"/>
        </w:rPr>
        <w:t>թերապիա), բջիջների (բջջային թերապիա) եւ հյուսվածքների հիման վրա ստացված դեղամիջոցները։ Այդ խմբին են դասվում անասնաբուժական կիրառության դեղամիջոցները եւ այն դեղապատրաստուկները, որոնք ենթակա չեն գրանցման։</w:t>
      </w:r>
    </w:p>
    <w:p w14:paraId="052B71F8"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 xml:space="preserve">Տվյալ հոդվածի կիրառության ոլորտը չի ներառում մշակման ընթացքում կլինիկական հետազոտությունների փուլում գտնվող դեղամիջոցները։ Արդյունաբերական մասշտաբով արտադրության գործընթացը մշակելիս վերոնշյալ սկզբունքներն ու մոտեցումները կարող են կիրառվել այն տարրերի խառնուկների գնահատման համար, որոնք կարող են պարունակվել նոր դեղամիջոցներում։ </w:t>
      </w:r>
    </w:p>
    <w:p w14:paraId="6EBFF103" w14:textId="77777777" w:rsidR="00B834A2" w:rsidRPr="00B834A2" w:rsidRDefault="00B834A2" w:rsidP="00B834A2">
      <w:pPr>
        <w:pStyle w:val="Bodytext20"/>
        <w:shd w:val="clear" w:color="auto" w:fill="auto"/>
        <w:spacing w:before="0" w:after="160" w:line="360" w:lineRule="auto"/>
        <w:ind w:firstLine="567"/>
        <w:rPr>
          <w:rStyle w:val="Bodytext31Sylfaen9"/>
          <w:b/>
          <w:sz w:val="24"/>
          <w:szCs w:val="24"/>
        </w:rPr>
      </w:pPr>
    </w:p>
    <w:p w14:paraId="548DE997" w14:textId="77777777" w:rsidR="00B834A2" w:rsidRPr="00003446" w:rsidRDefault="00B834A2" w:rsidP="00003446">
      <w:pPr>
        <w:pStyle w:val="Bodytext20"/>
        <w:shd w:val="clear" w:color="auto" w:fill="auto"/>
        <w:spacing w:before="0" w:after="160" w:line="360" w:lineRule="auto"/>
        <w:ind w:firstLine="567"/>
        <w:jc w:val="both"/>
        <w:rPr>
          <w:rStyle w:val="Bodytext31Sylfaen9"/>
          <w:b/>
          <w:sz w:val="24"/>
          <w:szCs w:val="24"/>
        </w:rPr>
      </w:pPr>
      <w:r w:rsidRPr="00003446">
        <w:rPr>
          <w:rStyle w:val="Bodytext31Sylfaen9"/>
          <w:b/>
          <w:sz w:val="24"/>
          <w:szCs w:val="24"/>
        </w:rPr>
        <w:t>ԴԵՂԱՄԻՋՈՑՆԵՐՈՒՄ ՏԱՐՐԵՐԻ ԽԱՌՆՈՒԿՆԵՐԻ ՀՆԱՐԱՎՈՐ ԱՂԲՅՈՒՐՆԵՐԸ</w:t>
      </w:r>
    </w:p>
    <w:p w14:paraId="6347161A"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Դեղամիջոցներում տարրերի խառնուկները կարող են առաջանալ տարբեր աղբյուրներից։ Դրանք կարող են լինել՝</w:t>
      </w:r>
    </w:p>
    <w:p w14:paraId="3927D1E4" w14:textId="77777777" w:rsidR="00B834A2" w:rsidRPr="00003446" w:rsidRDefault="00B834A2" w:rsidP="00003446">
      <w:pPr>
        <w:pStyle w:val="Bodytext20"/>
        <w:shd w:val="clear" w:color="auto" w:fill="auto"/>
        <w:tabs>
          <w:tab w:val="left" w:pos="1134"/>
        </w:tabs>
        <w:spacing w:before="0" w:after="160" w:line="360" w:lineRule="auto"/>
        <w:ind w:firstLine="567"/>
        <w:jc w:val="both"/>
        <w:rPr>
          <w:rStyle w:val="Bodytext31Sylfaen9"/>
          <w:i w:val="0"/>
          <w:sz w:val="24"/>
          <w:szCs w:val="24"/>
        </w:rPr>
      </w:pPr>
      <w:r w:rsidRPr="00003446">
        <w:rPr>
          <w:rFonts w:ascii="Sylfaen" w:hAnsi="Sylfaen"/>
          <w:sz w:val="24"/>
          <w:szCs w:val="24"/>
        </w:rPr>
        <w:t>-</w:t>
      </w:r>
      <w:r w:rsidR="00003446" w:rsidRPr="00A859E3">
        <w:rPr>
          <w:rFonts w:ascii="Sylfaen" w:hAnsi="Sylfaen"/>
          <w:sz w:val="24"/>
          <w:szCs w:val="24"/>
        </w:rPr>
        <w:tab/>
      </w:r>
      <w:r w:rsidRPr="00003446">
        <w:rPr>
          <w:rFonts w:ascii="Sylfaen" w:hAnsi="Sylfaen"/>
          <w:sz w:val="24"/>
          <w:szCs w:val="24"/>
        </w:rPr>
        <w:t>տարրերի մնացորդային խառնուկներ, որոնք առաջանում են դեղագործական կիրառության բաղադրամասերի կամ դեղապատրաստուկի այլ բաղադրիչների (օրինակ՝ կատալիզատորներ, ռեակտիվներ) արտադրության ընթացքում դրանք պարունակող նյութերի կանխամտածված օգտագործման արդյունքում.</w:t>
      </w:r>
    </w:p>
    <w:p w14:paraId="47ABE7A0" w14:textId="77777777" w:rsidR="00B834A2" w:rsidRPr="00003446" w:rsidRDefault="00B834A2" w:rsidP="00003446">
      <w:pPr>
        <w:pStyle w:val="Bodytext20"/>
        <w:shd w:val="clear" w:color="auto" w:fill="auto"/>
        <w:tabs>
          <w:tab w:val="left" w:pos="1134"/>
        </w:tabs>
        <w:spacing w:before="0" w:after="160" w:line="360" w:lineRule="auto"/>
        <w:ind w:firstLine="567"/>
        <w:jc w:val="both"/>
        <w:rPr>
          <w:rStyle w:val="Bodytext31Sylfaen9"/>
          <w:i w:val="0"/>
          <w:sz w:val="24"/>
          <w:szCs w:val="24"/>
        </w:rPr>
      </w:pPr>
      <w:r w:rsidRPr="00003446">
        <w:rPr>
          <w:rFonts w:ascii="Sylfaen" w:hAnsi="Sylfaen"/>
          <w:sz w:val="24"/>
          <w:szCs w:val="24"/>
        </w:rPr>
        <w:lastRenderedPageBreak/>
        <w:t>-</w:t>
      </w:r>
      <w:r w:rsidR="00003446" w:rsidRPr="00A859E3">
        <w:rPr>
          <w:rFonts w:ascii="Sylfaen" w:hAnsi="Sylfaen"/>
          <w:sz w:val="24"/>
          <w:szCs w:val="24"/>
        </w:rPr>
        <w:tab/>
      </w:r>
      <w:r w:rsidRPr="00003446">
        <w:rPr>
          <w:rFonts w:ascii="Sylfaen" w:hAnsi="Sylfaen"/>
          <w:sz w:val="24"/>
          <w:szCs w:val="24"/>
        </w:rPr>
        <w:t>տարրերի խառնուկներ, որոնք կանխամտածված կերպով չեն օգտագործվում արտադրության ընթացքում, սակայն պարունակվում են դեղագործական կիրառության բաղադրամասերում, ջրում եւ այլ նյութերում, որոնք կիրառվում են դեղապարաստուկի ստացման համար.</w:t>
      </w:r>
    </w:p>
    <w:p w14:paraId="28E1D020" w14:textId="77777777" w:rsidR="00B834A2" w:rsidRPr="00003446"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003446">
        <w:rPr>
          <w:rFonts w:ascii="Sylfaen" w:hAnsi="Sylfaen"/>
          <w:sz w:val="24"/>
          <w:szCs w:val="24"/>
        </w:rPr>
        <w:t>-</w:t>
      </w:r>
      <w:r w:rsidR="00003446" w:rsidRPr="00A859E3">
        <w:rPr>
          <w:rFonts w:ascii="Sylfaen" w:hAnsi="Sylfaen"/>
          <w:sz w:val="24"/>
          <w:szCs w:val="24"/>
        </w:rPr>
        <w:tab/>
      </w:r>
      <w:r w:rsidRPr="00003446">
        <w:rPr>
          <w:rFonts w:ascii="Sylfaen" w:hAnsi="Sylfaen"/>
          <w:sz w:val="24"/>
          <w:szCs w:val="24"/>
        </w:rPr>
        <w:t>արտադրական սարքավորումների հետ փոխազդեցության արդյունքում դեղագործական կիրառության բաղադրամասեր եւ (կամ) դեղապատրաստուկ ներմուծված տարրերի խառնուկներ.</w:t>
      </w:r>
    </w:p>
    <w:p w14:paraId="79FA1DC9" w14:textId="77777777" w:rsidR="00B834A2" w:rsidRPr="00003446"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003446">
        <w:rPr>
          <w:rFonts w:ascii="Sylfaen" w:hAnsi="Sylfaen"/>
          <w:sz w:val="24"/>
          <w:szCs w:val="24"/>
        </w:rPr>
        <w:t>-</w:t>
      </w:r>
      <w:r w:rsidR="00003446" w:rsidRPr="00A859E3">
        <w:rPr>
          <w:rFonts w:ascii="Sylfaen" w:hAnsi="Sylfaen"/>
          <w:sz w:val="24"/>
          <w:szCs w:val="24"/>
        </w:rPr>
        <w:tab/>
      </w:r>
      <w:r w:rsidRPr="00003446">
        <w:rPr>
          <w:rFonts w:ascii="Sylfaen" w:hAnsi="Sylfaen"/>
          <w:sz w:val="24"/>
          <w:szCs w:val="24"/>
        </w:rPr>
        <w:t>փաթեթավորման նյութերի հետ փոխազդեցության արդյունքում դեղագործական կիրառության բաղադրամասեր եւ (կամ) դեղապատրաստուկ ներմուծված տարրերի խառնուկներ։</w:t>
      </w:r>
    </w:p>
    <w:p w14:paraId="0B5590C6"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Տարրերի խառնուկներով դեղամիջոցի աղտոտումը կարող է տեղի ունենալ ինչպես առանձին աղբյուրի, այնպես էլ թվարկված աղբյուրների համակցության հաշվին։ Տարրերի խառնուկներով դեղամիջոցի ընդհանուր աղտոտման որոշումը</w:t>
      </w:r>
      <w:r w:rsidRPr="00B834A2">
        <w:rPr>
          <w:rStyle w:val="Bodytext31Sylfaen9"/>
          <w:sz w:val="24"/>
          <w:szCs w:val="24"/>
        </w:rPr>
        <w:t xml:space="preserve"> </w:t>
      </w:r>
      <w:r w:rsidRPr="00003446">
        <w:rPr>
          <w:rStyle w:val="Bodytext31Sylfaen9"/>
          <w:i w:val="0"/>
          <w:sz w:val="24"/>
          <w:szCs w:val="24"/>
        </w:rPr>
        <w:t>պետք է հիմնված լինի յուրաքանչյուր աղբյուրից հնարավոր աղտոտման ռիսկերի գնահատման վրա։</w:t>
      </w:r>
    </w:p>
    <w:p w14:paraId="6C9FAD01" w14:textId="77777777" w:rsidR="00B834A2" w:rsidRPr="00B834A2" w:rsidRDefault="00B834A2" w:rsidP="00B834A2">
      <w:pPr>
        <w:pStyle w:val="Bodytext20"/>
        <w:shd w:val="clear" w:color="auto" w:fill="auto"/>
        <w:spacing w:before="0" w:after="160" w:line="360" w:lineRule="auto"/>
        <w:ind w:firstLine="567"/>
        <w:rPr>
          <w:rStyle w:val="Bodytext31Sylfaen9"/>
          <w:sz w:val="24"/>
          <w:szCs w:val="24"/>
        </w:rPr>
      </w:pPr>
    </w:p>
    <w:p w14:paraId="44BCFE97" w14:textId="77777777" w:rsidR="00B834A2" w:rsidRPr="00003446" w:rsidRDefault="00B834A2" w:rsidP="00B834A2">
      <w:pPr>
        <w:pStyle w:val="Bodytext20"/>
        <w:shd w:val="clear" w:color="auto" w:fill="auto"/>
        <w:spacing w:before="0" w:after="160" w:line="360" w:lineRule="auto"/>
        <w:ind w:firstLine="567"/>
        <w:rPr>
          <w:rStyle w:val="Bodytext31Sylfaen9"/>
          <w:b/>
          <w:i w:val="0"/>
          <w:sz w:val="24"/>
          <w:szCs w:val="24"/>
        </w:rPr>
      </w:pPr>
      <w:r w:rsidRPr="00003446">
        <w:rPr>
          <w:rStyle w:val="Bodytext31Sylfaen9"/>
          <w:b/>
          <w:i w:val="0"/>
          <w:sz w:val="24"/>
          <w:szCs w:val="24"/>
        </w:rPr>
        <w:t>ԴԵՂԱՄԻՋՈՑՆԵՐՈՒՄ ՏԱՐՐԵՐԻ ԽԱՌՆՈՒԿՆԵՐԻ ԴԱՍԱԿԱՐԳՈՒՄԸ</w:t>
      </w:r>
    </w:p>
    <w:p w14:paraId="217FD12E"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 xml:space="preserve">Դեղամիջոցներում տարրերի խառնուկների դասակարգումը հիմնված է ռիսկերի գնահատման վրա, որը կապված է ԹՕՆ-ի արժեքներով բնորոշվող դրանց թունավորության եւ դեղապատրաստուկներում առկայության հավանականության հետ։ </w:t>
      </w:r>
    </w:p>
    <w:p w14:paraId="3F88A1E2"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i/>
          <w:sz w:val="24"/>
          <w:szCs w:val="24"/>
        </w:rPr>
      </w:pPr>
      <w:r w:rsidRPr="00003446">
        <w:rPr>
          <w:rStyle w:val="Bodytext31Sylfaen9"/>
          <w:i w:val="0"/>
          <w:sz w:val="24"/>
          <w:szCs w:val="24"/>
        </w:rPr>
        <w:t>Դեղապատրաստուկում տարրերի առկայության հավանականությունը պայմանավորված է մի քանի գործոններով, այդ թվում՝</w:t>
      </w:r>
    </w:p>
    <w:p w14:paraId="77B74293" w14:textId="77777777" w:rsidR="00B834A2" w:rsidRPr="00D35F34" w:rsidRDefault="00B834A2" w:rsidP="00003446">
      <w:pPr>
        <w:pStyle w:val="Bodytext20"/>
        <w:shd w:val="clear" w:color="auto" w:fill="auto"/>
        <w:tabs>
          <w:tab w:val="left" w:pos="1134"/>
        </w:tabs>
        <w:spacing w:before="0" w:after="160" w:line="360" w:lineRule="auto"/>
        <w:ind w:firstLine="567"/>
        <w:jc w:val="both"/>
        <w:rPr>
          <w:rFonts w:ascii="Sylfaen" w:hAnsi="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տեխնոլոգիական գործընթացներում օգտագործման հավանականությամբ.</w:t>
      </w:r>
    </w:p>
    <w:p w14:paraId="4C81FBAF" w14:textId="77777777" w:rsidR="00DA2D5E" w:rsidRPr="00D35F34" w:rsidRDefault="00DA2D5E"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p>
    <w:p w14:paraId="31A15333"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003446" w:rsidRPr="00A859E3">
        <w:rPr>
          <w:rFonts w:ascii="Sylfaen" w:hAnsi="Sylfaen"/>
          <w:sz w:val="24"/>
          <w:szCs w:val="24"/>
        </w:rPr>
        <w:tab/>
      </w:r>
      <w:r w:rsidRPr="00B834A2">
        <w:rPr>
          <w:rFonts w:ascii="Sylfaen" w:hAnsi="Sylfaen"/>
          <w:sz w:val="24"/>
          <w:szCs w:val="24"/>
        </w:rPr>
        <w:t>այն հավանականությամբ, որ տարրը տեխնոլոգիական գործընթացներում օգտագործվող նյութերում տարրերի այլ խառնուկների հետ միասին մեկուսացված խառնուկ է.</w:t>
      </w:r>
    </w:p>
    <w:p w14:paraId="15019137"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 xml:space="preserve">բնության մեջ տարրի տարածվածությամբ </w:t>
      </w:r>
      <w:r>
        <w:rPr>
          <w:rFonts w:ascii="Sylfaen" w:hAnsi="Sylfaen"/>
          <w:sz w:val="24"/>
          <w:szCs w:val="24"/>
        </w:rPr>
        <w:t>եւ</w:t>
      </w:r>
      <w:r w:rsidRPr="00B834A2">
        <w:rPr>
          <w:rFonts w:ascii="Sylfaen" w:hAnsi="Sylfaen"/>
          <w:sz w:val="24"/>
          <w:szCs w:val="24"/>
        </w:rPr>
        <w:t xml:space="preserve"> դրա էկոլոգիական բաշխմամբ:</w:t>
      </w:r>
    </w:p>
    <w:p w14:paraId="782C9B9B"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sz w:val="24"/>
          <w:szCs w:val="24"/>
        </w:rPr>
      </w:pPr>
      <w:r w:rsidRPr="00003446">
        <w:rPr>
          <w:rStyle w:val="Bodytext31Sylfaen9"/>
          <w:i w:val="0"/>
          <w:sz w:val="24"/>
          <w:szCs w:val="24"/>
        </w:rPr>
        <w:t>Տվյալ ընդհանուր դեղագրքային հոդվածում բնության մեջ ցածր տարածվածությամբ եւ էկոլոգիական բաշխմամբ տարր է համարվում կրեմնիումի 10</w:t>
      </w:r>
      <w:r w:rsidRPr="00003446">
        <w:rPr>
          <w:rStyle w:val="Bodytext31Sylfaen9"/>
          <w:i w:val="0"/>
          <w:sz w:val="24"/>
          <w:szCs w:val="24"/>
          <w:vertAlign w:val="superscript"/>
        </w:rPr>
        <w:t>6</w:t>
      </w:r>
      <w:r w:rsidRPr="00003446">
        <w:rPr>
          <w:rStyle w:val="Bodytext31Sylfaen9"/>
          <w:i w:val="0"/>
          <w:sz w:val="24"/>
          <w:szCs w:val="24"/>
        </w:rPr>
        <w:t xml:space="preserve"> ատոմների հաշվով 1 ատոմից ոչ ավելի գրանցված տարածվածությամբ տարրը։ </w:t>
      </w:r>
    </w:p>
    <w:p w14:paraId="625A8517"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sz w:val="24"/>
          <w:szCs w:val="24"/>
        </w:rPr>
      </w:pPr>
      <w:r w:rsidRPr="00003446">
        <w:rPr>
          <w:rStyle w:val="Bodytext31Sylfaen9"/>
          <w:i w:val="0"/>
          <w:sz w:val="24"/>
          <w:szCs w:val="24"/>
        </w:rPr>
        <w:t>ԹՕՆ-ի արժեքից եւ դեղամիջոցներում առկայության հավանականությամբ պայմանավորված՝ տարրերի խառնուկները ներառվում են հետեւյալ դասերից մեկում.</w:t>
      </w:r>
    </w:p>
    <w:p w14:paraId="45B09FE4"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sz w:val="24"/>
          <w:szCs w:val="24"/>
        </w:rPr>
      </w:pPr>
      <w:r w:rsidRPr="00003446">
        <w:rPr>
          <w:rFonts w:ascii="Sylfaen" w:hAnsi="Sylfaen"/>
          <w:b/>
          <w:i/>
          <w:sz w:val="24"/>
          <w:szCs w:val="24"/>
        </w:rPr>
        <w:t>Դաս 1</w:t>
      </w:r>
      <w:r w:rsidRPr="00003446">
        <w:rPr>
          <w:rFonts w:ascii="Sylfaen" w:hAnsi="Sylfaen"/>
          <w:sz w:val="24"/>
          <w:szCs w:val="24"/>
        </w:rPr>
        <w:t>. մարդու համար առավել թունավոր տարրեր, օրինակ՝ Аs, Сd, Hg и Рb։</w:t>
      </w:r>
      <w:r w:rsidRPr="00003446">
        <w:rPr>
          <w:rStyle w:val="Bodytext31Sylfaen9"/>
          <w:i w:val="0"/>
          <w:sz w:val="24"/>
          <w:szCs w:val="24"/>
        </w:rPr>
        <w:t xml:space="preserve"> Դեղապատրաստուկների արտադրության ժամանակ այդպիսի տարրերն ընդհանրապես չեն օգտագործվում կամ օգտագործվում են մեծ զգուշավորությամբ։ Դեղամիջոցներում դրանց առկայությունը սովորաբար կապված է հաճախ կիրառվող նյութերի (օրինակ՝ օժանդակ նյութեր հանդիսացող բնական հանքանյութերի) հետ: Ռիսկերի գնահատման ժամանակ կատարվում է աղտոտման հավանականության մասով ստուգում՝ տարրերի խառնուկների բոլոր</w:t>
      </w:r>
      <w:r w:rsidRPr="00B834A2">
        <w:rPr>
          <w:rStyle w:val="Bodytext31Sylfaen9"/>
          <w:sz w:val="24"/>
          <w:szCs w:val="24"/>
        </w:rPr>
        <w:t xml:space="preserve"> </w:t>
      </w:r>
      <w:r w:rsidRPr="00003446">
        <w:rPr>
          <w:rStyle w:val="Bodytext31Sylfaen9"/>
          <w:i w:val="0"/>
          <w:sz w:val="24"/>
          <w:szCs w:val="24"/>
        </w:rPr>
        <w:t>հնարավոր աղբյուրների եւ ներմուծման բոլոր ուղիների համար։ Ռիսկերի գնահատման արդյունքներով որոշվում են այն բաղադրիչները, որոնց համար կարող է անհրաժեշտ լինել լրացուցիչ հսկողություն՝ տվյալ դասի տարրերի մասով փորձարկումների տեսքով: Այդպիսի փորձարկումները պարտադիր չեն բոլոր բաղադրիչների համար եւ պետք է անցկացվեն միայն այն դեպքում, երբ ռիսկերի գնահատման ժամանակ դրանք համարվում են հսկողության անհրաժեշտ միջոց։</w:t>
      </w:r>
    </w:p>
    <w:p w14:paraId="23F2D42F"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sz w:val="24"/>
          <w:szCs w:val="24"/>
        </w:rPr>
      </w:pPr>
      <w:r w:rsidRPr="00003446">
        <w:rPr>
          <w:rFonts w:ascii="Sylfaen" w:hAnsi="Sylfaen"/>
          <w:b/>
          <w:i/>
          <w:spacing w:val="-4"/>
          <w:sz w:val="24"/>
          <w:szCs w:val="24"/>
        </w:rPr>
        <w:t>Դաս 2</w:t>
      </w:r>
      <w:r w:rsidRPr="00003446">
        <w:rPr>
          <w:rFonts w:ascii="Sylfaen" w:hAnsi="Sylfaen"/>
          <w:spacing w:val="-4"/>
          <w:sz w:val="24"/>
          <w:szCs w:val="24"/>
        </w:rPr>
        <w:t>. տարրեր, որոնց թունավորությունը մարդու համար պայմանավորված է ներմուծման</w:t>
      </w:r>
      <w:r w:rsidRPr="00003446">
        <w:rPr>
          <w:rFonts w:ascii="Sylfaen" w:hAnsi="Sylfaen"/>
          <w:sz w:val="24"/>
          <w:szCs w:val="24"/>
        </w:rPr>
        <w:t xml:space="preserve"> ուղով։</w:t>
      </w:r>
      <w:r w:rsidRPr="00003446">
        <w:rPr>
          <w:rStyle w:val="Bodytext31Sylfaen9"/>
          <w:i w:val="0"/>
          <w:sz w:val="24"/>
          <w:szCs w:val="24"/>
        </w:rPr>
        <w:t xml:space="preserve"> Տվյալ դասի տարրերը բաժանվում են 2А եւ 2В դասերի՝ պայմանավորված դեղամիջոցում դրանց առկայության հարաբերական հավանականությամբ։</w:t>
      </w:r>
    </w:p>
    <w:p w14:paraId="35C2C732" w14:textId="77777777" w:rsidR="00B834A2" w:rsidRPr="00DE4F37"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Fonts w:ascii="Sylfaen" w:hAnsi="Sylfaen"/>
          <w:b/>
          <w:i/>
          <w:sz w:val="24"/>
          <w:szCs w:val="24"/>
        </w:rPr>
        <w:lastRenderedPageBreak/>
        <w:t>Դաս 2А.</w:t>
      </w:r>
      <w:r w:rsidRPr="00003446">
        <w:rPr>
          <w:rFonts w:ascii="Sylfaen" w:hAnsi="Sylfaen"/>
          <w:sz w:val="24"/>
          <w:szCs w:val="24"/>
        </w:rPr>
        <w:t xml:space="preserve"> դեղամիջոցում առկայության հարաբերականորեն բարձր հավանականությամբ տարրեր, օրինակ՝ Со, Ni եւ V։</w:t>
      </w:r>
      <w:r w:rsidRPr="00003446">
        <w:rPr>
          <w:rStyle w:val="Bodytext31Sylfaen9"/>
          <w:i w:val="0"/>
          <w:sz w:val="24"/>
          <w:szCs w:val="24"/>
        </w:rPr>
        <w:t xml:space="preserve"> Այդ տարրերը պահանջում են ռիսկերի գնահատում՝ տարրերի խառնուկների բոլոր հնարավոր աղբյուրների եւ ներմուծման բոլոր ուղիների համար։</w:t>
      </w:r>
    </w:p>
    <w:p w14:paraId="0C60A4E1"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i/>
          <w:sz w:val="24"/>
          <w:szCs w:val="24"/>
        </w:rPr>
      </w:pPr>
      <w:r w:rsidRPr="00003446">
        <w:rPr>
          <w:rFonts w:ascii="Sylfaen" w:hAnsi="Sylfaen"/>
          <w:b/>
          <w:i/>
          <w:sz w:val="24"/>
          <w:szCs w:val="24"/>
        </w:rPr>
        <w:t>Դաս 2В.</w:t>
      </w:r>
      <w:r w:rsidRPr="00003446">
        <w:rPr>
          <w:rFonts w:ascii="Sylfaen" w:hAnsi="Sylfaen"/>
          <w:sz w:val="24"/>
          <w:szCs w:val="24"/>
        </w:rPr>
        <w:t xml:space="preserve"> տարրեր, որոնց առկայության հավանականությունը դեղամիջոցում ցածր է՝ բնության մեջ ցածր տարածվածության եւ այլ նյութերի հետ համատեղ մեկուսացման թույլ կարողության հետեւանքով, օրինակ՝ </w:t>
      </w:r>
      <w:r w:rsidRPr="00003446">
        <w:rPr>
          <w:rStyle w:val="Bodytext31Sylfaen9"/>
          <w:i w:val="0"/>
          <w:sz w:val="24"/>
          <w:szCs w:val="24"/>
        </w:rPr>
        <w:t>Ag, Аu, Ir, Оs, Рd, Рt, Rh, Ru, Sе եւ Т1։ Այդ տարրերը կարող են չներառվել ռիսկերի գնահատման մեջ, եթե դրանք կանխամտածված կերպով չեն կիրառվում ակտիվ դեղագործական</w:t>
      </w:r>
      <w:r w:rsidRPr="00B834A2">
        <w:rPr>
          <w:rStyle w:val="Bodytext31Sylfaen9"/>
          <w:sz w:val="24"/>
          <w:szCs w:val="24"/>
        </w:rPr>
        <w:t xml:space="preserve"> </w:t>
      </w:r>
      <w:r w:rsidRPr="00003446">
        <w:rPr>
          <w:rStyle w:val="Bodytext31Sylfaen9"/>
          <w:i w:val="0"/>
          <w:sz w:val="24"/>
          <w:szCs w:val="24"/>
        </w:rPr>
        <w:t xml:space="preserve">բաղադրամասերի կամ դեղապատրաստուկի այլ բաղադրիչների արտադրության մեջ։ </w:t>
      </w:r>
    </w:p>
    <w:p w14:paraId="72A20BCD"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sz w:val="24"/>
          <w:szCs w:val="24"/>
        </w:rPr>
      </w:pPr>
      <w:r w:rsidRPr="00003446">
        <w:rPr>
          <w:rFonts w:ascii="Sylfaen" w:hAnsi="Sylfaen"/>
          <w:b/>
          <w:i/>
          <w:sz w:val="24"/>
          <w:szCs w:val="24"/>
        </w:rPr>
        <w:t>Դաս 3</w:t>
      </w:r>
      <w:r w:rsidRPr="00B834A2">
        <w:rPr>
          <w:rFonts w:ascii="Sylfaen" w:hAnsi="Sylfaen"/>
          <w:sz w:val="24"/>
          <w:szCs w:val="24"/>
        </w:rPr>
        <w:t>. տարրեր, որոնք ունեն հարաբերականորեն ցածր թունավորություն՝ ներմուծման պերօրալ ուղու դեպքում, օրինակ՝ Ва, Сr, Сu, Li, Мо, Sb եւ Sn։</w:t>
      </w:r>
      <w:r w:rsidRPr="00B834A2">
        <w:rPr>
          <w:rStyle w:val="Bodytext31Sylfaen9"/>
          <w:sz w:val="24"/>
          <w:szCs w:val="24"/>
        </w:rPr>
        <w:t xml:space="preserve"> </w:t>
      </w:r>
      <w:r w:rsidRPr="00B834A2">
        <w:rPr>
          <w:rFonts w:ascii="Sylfaen" w:hAnsi="Sylfaen"/>
          <w:sz w:val="24"/>
          <w:szCs w:val="24"/>
        </w:rPr>
        <w:t>Դրանք բնորոշվում են ԹՕՆ-ի բարձր արժեքներով, որոնք, որպես կանոն, գերազանցում են 500 մկգ/օր-ը։</w:t>
      </w:r>
      <w:r w:rsidRPr="00B834A2">
        <w:rPr>
          <w:rStyle w:val="Bodytext31Sylfaen9"/>
          <w:sz w:val="24"/>
          <w:szCs w:val="24"/>
        </w:rPr>
        <w:t xml:space="preserve"> </w:t>
      </w:r>
      <w:r w:rsidRPr="00003446">
        <w:rPr>
          <w:rStyle w:val="Bodytext31Sylfaen9"/>
          <w:i w:val="0"/>
          <w:sz w:val="24"/>
          <w:szCs w:val="24"/>
        </w:rPr>
        <w:t>Այդ տարրերը կարող են չներառվել ներմուծման պերօրալ ուղու համար ռիսկերի գնահատման մեջ, եթե դրանք կանխամտածված կերպով չեն կիրառվում ակտիվ դեղագործական բաղադրամասերի կամ դեղապատրաստուկի այլ բաղադրիչների արտադրության ընթացքում։ Ներմուծման պարենտերալ եւ</w:t>
      </w:r>
      <w:r w:rsidRPr="00B834A2">
        <w:rPr>
          <w:rStyle w:val="Bodytext31Sylfaen9"/>
          <w:sz w:val="24"/>
          <w:szCs w:val="24"/>
        </w:rPr>
        <w:t xml:space="preserve"> </w:t>
      </w:r>
      <w:r w:rsidRPr="00003446">
        <w:rPr>
          <w:rStyle w:val="Bodytext31Sylfaen9"/>
          <w:i w:val="0"/>
          <w:sz w:val="24"/>
          <w:szCs w:val="24"/>
        </w:rPr>
        <w:t>ինհալացիոն ուղիների դեպքում դեղապատրաստուկում դրանց առկայության հավանականությունը հարկավոր է գնահատել ռիսկերի գնահատում կատարելու ժամանակ։ Բացառություն է այն դեպքը, երբ ներմուծման որոշակի ուղու համար ԹՕՆ-ի արժեքները գերազանցում են 500 մկգ/օր-ը։</w:t>
      </w:r>
    </w:p>
    <w:p w14:paraId="4DAB9CED" w14:textId="77777777" w:rsidR="00B834A2" w:rsidRPr="00DE4F37"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Fonts w:ascii="Sylfaen" w:hAnsi="Sylfaen"/>
          <w:b/>
          <w:sz w:val="24"/>
          <w:szCs w:val="24"/>
        </w:rPr>
        <w:t>Այլ տարրեր.</w:t>
      </w:r>
      <w:r w:rsidRPr="00003446">
        <w:rPr>
          <w:rFonts w:ascii="Sylfaen" w:hAnsi="Sylfaen"/>
          <w:sz w:val="24"/>
          <w:szCs w:val="24"/>
        </w:rPr>
        <w:t xml:space="preserve"> </w:t>
      </w:r>
      <w:r w:rsidRPr="00003446">
        <w:rPr>
          <w:rFonts w:ascii="Sylfaen" w:hAnsi="Sylfaen"/>
          <w:b/>
          <w:sz w:val="24"/>
          <w:szCs w:val="24"/>
        </w:rPr>
        <w:t>ԹՕՆ-ի չորոշված արժեքներով տարրեր՝</w:t>
      </w:r>
      <w:r w:rsidRPr="00003446">
        <w:rPr>
          <w:rFonts w:ascii="Sylfaen" w:hAnsi="Sylfaen"/>
          <w:sz w:val="24"/>
          <w:szCs w:val="24"/>
        </w:rPr>
        <w:t xml:space="preserve"> դրանց ցածր թունավորության հետեւանքով, օրինակ՝ </w:t>
      </w:r>
      <w:r w:rsidRPr="00003446">
        <w:rPr>
          <w:rStyle w:val="Bodytext31Sylfaen9"/>
          <w:i w:val="0"/>
          <w:sz w:val="24"/>
          <w:szCs w:val="24"/>
        </w:rPr>
        <w:t>А1, В, Са, Fe К, Mg, Мn, Nа, W եւ Zn</w:t>
      </w:r>
      <w:r w:rsidRPr="00003446">
        <w:rPr>
          <w:rStyle w:val="Bodytext2Italic"/>
          <w:i w:val="0"/>
          <w:sz w:val="24"/>
          <w:szCs w:val="24"/>
        </w:rPr>
        <w:t>։</w:t>
      </w:r>
      <w:r w:rsidRPr="00003446">
        <w:rPr>
          <w:rStyle w:val="Bodytext31Sylfaen9"/>
          <w:i w:val="0"/>
          <w:sz w:val="24"/>
          <w:szCs w:val="24"/>
        </w:rPr>
        <w:t xml:space="preserve"> Դեղապատրաստուկում առկայության կամ դրա կազմի մեջ ներառման դեպքում այդ տարրերը ներառվում են Միության իրավունքում ընդգրկված այլ նորմատիվ ակտերի կիրառության ոլորտում, որոնք վերաբերում են որոշակի տարրերին (օրինակ՝ Mn եւ Zn՝ լյարդի ֆունկցիայի խախտմամբ պացիենտների համար, А1՝ </w:t>
      </w:r>
      <w:r w:rsidRPr="00003446">
        <w:rPr>
          <w:rStyle w:val="Bodytext31Sylfaen9"/>
          <w:i w:val="0"/>
          <w:sz w:val="24"/>
          <w:szCs w:val="24"/>
        </w:rPr>
        <w:lastRenderedPageBreak/>
        <w:t>երիկամների ֆունկցիայի խախտմամբ պացիենտների համար) կամ դեղապատրաստուկի որակի ասպեկտներին (օրինակ՝ թերապեւտիկ սպիտակուցներում W խառնուկի առկայությունը)։</w:t>
      </w:r>
    </w:p>
    <w:p w14:paraId="4BB007D7" w14:textId="77777777" w:rsidR="00B834A2" w:rsidRPr="00003446" w:rsidRDefault="00B834A2" w:rsidP="00003446">
      <w:pPr>
        <w:pStyle w:val="Bodytext20"/>
        <w:shd w:val="clear" w:color="auto" w:fill="auto"/>
        <w:spacing w:before="0" w:after="160" w:line="360" w:lineRule="auto"/>
        <w:ind w:firstLine="567"/>
        <w:jc w:val="both"/>
        <w:rPr>
          <w:rStyle w:val="Bodytext31Sylfaen9"/>
          <w:i w:val="0"/>
          <w:sz w:val="24"/>
          <w:szCs w:val="24"/>
        </w:rPr>
      </w:pPr>
      <w:r w:rsidRPr="00003446">
        <w:rPr>
          <w:rStyle w:val="Bodytext31Sylfaen9"/>
          <w:i w:val="0"/>
          <w:sz w:val="24"/>
          <w:szCs w:val="24"/>
        </w:rPr>
        <w:t>2.3.10.0-1 աղյուսակում թվարկված են տարբեր դասերի տարրերը, որոնք ենթակա են հաշվառման՝ ռիսկերի գնահատման ժամանակ։</w:t>
      </w:r>
    </w:p>
    <w:p w14:paraId="3B29917B" w14:textId="77777777" w:rsidR="00DA2D5E" w:rsidRPr="00D35F34" w:rsidRDefault="00DA2D5E" w:rsidP="00003446">
      <w:pPr>
        <w:pStyle w:val="Bodytext20"/>
        <w:shd w:val="clear" w:color="auto" w:fill="auto"/>
        <w:spacing w:before="0" w:after="160" w:line="360" w:lineRule="auto"/>
        <w:ind w:firstLine="567"/>
        <w:jc w:val="both"/>
        <w:rPr>
          <w:rStyle w:val="Headerorfooter3NotItalic"/>
          <w:rFonts w:ascii="Sylfaen" w:eastAsia="Sylfaen" w:hAnsi="Sylfaen"/>
          <w:i w:val="0"/>
          <w:sz w:val="24"/>
          <w:szCs w:val="24"/>
        </w:rPr>
      </w:pPr>
    </w:p>
    <w:p w14:paraId="44BEF55F" w14:textId="77777777" w:rsidR="00B834A2" w:rsidRPr="00003446" w:rsidRDefault="00B834A2" w:rsidP="00003446">
      <w:pPr>
        <w:pStyle w:val="Bodytext20"/>
        <w:shd w:val="clear" w:color="auto" w:fill="auto"/>
        <w:spacing w:before="0" w:after="160" w:line="360" w:lineRule="auto"/>
        <w:ind w:firstLine="567"/>
        <w:jc w:val="both"/>
        <w:rPr>
          <w:rStyle w:val="Headerorfooter3"/>
          <w:rFonts w:ascii="Sylfaen" w:eastAsia="Sylfaen" w:hAnsi="Sylfaen"/>
          <w:i w:val="0"/>
          <w:iCs w:val="0"/>
          <w:sz w:val="24"/>
          <w:szCs w:val="24"/>
        </w:rPr>
      </w:pPr>
      <w:r w:rsidRPr="00003446">
        <w:rPr>
          <w:rStyle w:val="Headerorfooter3NotItalic"/>
          <w:rFonts w:ascii="Sylfaen" w:eastAsia="Sylfaen" w:hAnsi="Sylfaen"/>
          <w:i w:val="0"/>
          <w:sz w:val="24"/>
          <w:szCs w:val="24"/>
        </w:rPr>
        <w:t>Աղյուսակ 2.3.10.0-1.</w:t>
      </w:r>
      <w:r w:rsidRPr="00003446">
        <w:rPr>
          <w:rFonts w:ascii="Sylfaen" w:hAnsi="Sylfaen"/>
          <w:i/>
          <w:sz w:val="24"/>
          <w:szCs w:val="24"/>
        </w:rPr>
        <w:t xml:space="preserve"> Ռիսկերի գնահատման ժամանակ հաշվառման ենթակա տարրերը</w:t>
      </w:r>
    </w:p>
    <w:tbl>
      <w:tblPr>
        <w:tblOverlap w:val="never"/>
        <w:tblW w:w="9933" w:type="dxa"/>
        <w:jc w:val="center"/>
        <w:tblLayout w:type="fixed"/>
        <w:tblCellMar>
          <w:left w:w="10" w:type="dxa"/>
          <w:right w:w="10" w:type="dxa"/>
        </w:tblCellMar>
        <w:tblLook w:val="0000" w:firstRow="0" w:lastRow="0" w:firstColumn="0" w:lastColumn="0" w:noHBand="0" w:noVBand="0"/>
      </w:tblPr>
      <w:tblGrid>
        <w:gridCol w:w="1286"/>
        <w:gridCol w:w="1134"/>
        <w:gridCol w:w="2126"/>
        <w:gridCol w:w="1679"/>
        <w:gridCol w:w="1865"/>
        <w:gridCol w:w="1843"/>
      </w:tblGrid>
      <w:tr w:rsidR="00B834A2" w:rsidRPr="00003446" w14:paraId="03018E4A" w14:textId="77777777" w:rsidTr="00DA2D5E">
        <w:trPr>
          <w:tblHeader/>
          <w:jc w:val="center"/>
        </w:trPr>
        <w:tc>
          <w:tcPr>
            <w:tcW w:w="1286" w:type="dxa"/>
            <w:vMerge w:val="restart"/>
            <w:tcBorders>
              <w:top w:val="single" w:sz="4" w:space="0" w:color="auto"/>
            </w:tcBorders>
            <w:shd w:val="clear" w:color="auto" w:fill="FFFFFF"/>
            <w:vAlign w:val="center"/>
          </w:tcPr>
          <w:p w14:paraId="6CD8279C"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Տարրը</w:t>
            </w:r>
          </w:p>
        </w:tc>
        <w:tc>
          <w:tcPr>
            <w:tcW w:w="1134" w:type="dxa"/>
            <w:vMerge w:val="restart"/>
            <w:tcBorders>
              <w:top w:val="single" w:sz="4" w:space="0" w:color="auto"/>
            </w:tcBorders>
            <w:shd w:val="clear" w:color="auto" w:fill="FFFFFF"/>
            <w:vAlign w:val="center"/>
          </w:tcPr>
          <w:p w14:paraId="3B746D4E"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Դասը</w:t>
            </w:r>
          </w:p>
        </w:tc>
        <w:tc>
          <w:tcPr>
            <w:tcW w:w="2126" w:type="dxa"/>
            <w:vMerge w:val="restart"/>
            <w:tcBorders>
              <w:top w:val="single" w:sz="4" w:space="0" w:color="auto"/>
            </w:tcBorders>
            <w:shd w:val="clear" w:color="auto" w:fill="FFFFFF"/>
            <w:vAlign w:val="center"/>
          </w:tcPr>
          <w:p w14:paraId="7C9216E2"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Կանխամտածված օգտագործումը (ներմուծման բոլոր ուղիների համար)</w:t>
            </w:r>
          </w:p>
        </w:tc>
        <w:tc>
          <w:tcPr>
            <w:tcW w:w="5387" w:type="dxa"/>
            <w:gridSpan w:val="3"/>
            <w:tcBorders>
              <w:top w:val="single" w:sz="4" w:space="0" w:color="auto"/>
            </w:tcBorders>
            <w:shd w:val="clear" w:color="auto" w:fill="FFFFFF"/>
            <w:vAlign w:val="center"/>
          </w:tcPr>
          <w:p w14:paraId="0B84DC3C"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Չկանխամտածված օգտագործումը</w:t>
            </w:r>
          </w:p>
        </w:tc>
      </w:tr>
      <w:tr w:rsidR="00B834A2" w:rsidRPr="00003446" w14:paraId="31D375C6" w14:textId="77777777" w:rsidTr="00DA2D5E">
        <w:trPr>
          <w:tblHeader/>
          <w:jc w:val="center"/>
        </w:trPr>
        <w:tc>
          <w:tcPr>
            <w:tcW w:w="1286" w:type="dxa"/>
            <w:vMerge/>
            <w:shd w:val="clear" w:color="auto" w:fill="FFFFFF"/>
          </w:tcPr>
          <w:p w14:paraId="6DBC71F7" w14:textId="77777777" w:rsidR="00B834A2" w:rsidRPr="00003446" w:rsidRDefault="00B834A2" w:rsidP="00003446">
            <w:pPr>
              <w:spacing w:after="120"/>
              <w:rPr>
                <w:sz w:val="20"/>
                <w:szCs w:val="20"/>
              </w:rPr>
            </w:pPr>
          </w:p>
        </w:tc>
        <w:tc>
          <w:tcPr>
            <w:tcW w:w="1134" w:type="dxa"/>
            <w:vMerge/>
            <w:shd w:val="clear" w:color="auto" w:fill="FFFFFF"/>
            <w:vAlign w:val="center"/>
          </w:tcPr>
          <w:p w14:paraId="716CFCB4" w14:textId="77777777" w:rsidR="00B834A2" w:rsidRPr="00003446" w:rsidRDefault="00B834A2" w:rsidP="00003446">
            <w:pPr>
              <w:spacing w:after="120"/>
              <w:jc w:val="center"/>
              <w:rPr>
                <w:sz w:val="20"/>
                <w:szCs w:val="20"/>
              </w:rPr>
            </w:pPr>
          </w:p>
        </w:tc>
        <w:tc>
          <w:tcPr>
            <w:tcW w:w="2126" w:type="dxa"/>
            <w:vMerge/>
            <w:shd w:val="clear" w:color="auto" w:fill="FFFFFF"/>
            <w:vAlign w:val="center"/>
          </w:tcPr>
          <w:p w14:paraId="7D276C6A"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p>
        </w:tc>
        <w:tc>
          <w:tcPr>
            <w:tcW w:w="1679" w:type="dxa"/>
            <w:tcBorders>
              <w:top w:val="single" w:sz="4" w:space="0" w:color="auto"/>
            </w:tcBorders>
            <w:shd w:val="clear" w:color="auto" w:fill="FFFFFF"/>
            <w:vAlign w:val="center"/>
          </w:tcPr>
          <w:p w14:paraId="6C77156B"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ներմուծման պերօրալ ուղի</w:t>
            </w:r>
          </w:p>
        </w:tc>
        <w:tc>
          <w:tcPr>
            <w:tcW w:w="1865" w:type="dxa"/>
            <w:tcBorders>
              <w:top w:val="single" w:sz="4" w:space="0" w:color="auto"/>
            </w:tcBorders>
            <w:shd w:val="clear" w:color="auto" w:fill="FFFFFF"/>
            <w:vAlign w:val="center"/>
          </w:tcPr>
          <w:p w14:paraId="2F7D8DE7"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ներմուծման պարենտերալ ուղի</w:t>
            </w:r>
          </w:p>
        </w:tc>
        <w:tc>
          <w:tcPr>
            <w:tcW w:w="1843" w:type="dxa"/>
            <w:tcBorders>
              <w:top w:val="single" w:sz="4" w:space="0" w:color="auto"/>
            </w:tcBorders>
            <w:shd w:val="clear" w:color="auto" w:fill="FFFFFF"/>
            <w:vAlign w:val="center"/>
          </w:tcPr>
          <w:p w14:paraId="7EB99D46"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ներմուծման ինհալացիոն ուղի</w:t>
            </w:r>
          </w:p>
        </w:tc>
      </w:tr>
      <w:tr w:rsidR="00B834A2" w:rsidRPr="00003446" w14:paraId="773B9B2C" w14:textId="77777777" w:rsidTr="00B834A2">
        <w:trPr>
          <w:jc w:val="center"/>
        </w:trPr>
        <w:tc>
          <w:tcPr>
            <w:tcW w:w="1286" w:type="dxa"/>
            <w:tcBorders>
              <w:top w:val="single" w:sz="4" w:space="0" w:color="auto"/>
            </w:tcBorders>
            <w:shd w:val="clear" w:color="auto" w:fill="FFFFFF"/>
          </w:tcPr>
          <w:p w14:paraId="185A03C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Сd</w:t>
            </w:r>
          </w:p>
        </w:tc>
        <w:tc>
          <w:tcPr>
            <w:tcW w:w="1134" w:type="dxa"/>
            <w:tcBorders>
              <w:top w:val="single" w:sz="4" w:space="0" w:color="auto"/>
            </w:tcBorders>
            <w:shd w:val="clear" w:color="auto" w:fill="FFFFFF"/>
          </w:tcPr>
          <w:p w14:paraId="504F8A6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1</w:t>
            </w:r>
          </w:p>
        </w:tc>
        <w:tc>
          <w:tcPr>
            <w:tcW w:w="2126" w:type="dxa"/>
            <w:tcBorders>
              <w:top w:val="single" w:sz="4" w:space="0" w:color="auto"/>
            </w:tcBorders>
            <w:shd w:val="clear" w:color="auto" w:fill="FFFFFF"/>
          </w:tcPr>
          <w:p w14:paraId="167DC2E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tcBorders>
              <w:top w:val="single" w:sz="4" w:space="0" w:color="auto"/>
            </w:tcBorders>
            <w:shd w:val="clear" w:color="auto" w:fill="FFFFFF"/>
          </w:tcPr>
          <w:p w14:paraId="71ABBD5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tcBorders>
              <w:top w:val="single" w:sz="4" w:space="0" w:color="auto"/>
            </w:tcBorders>
            <w:shd w:val="clear" w:color="auto" w:fill="FFFFFF"/>
          </w:tcPr>
          <w:p w14:paraId="648B71C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tcBorders>
              <w:top w:val="single" w:sz="4" w:space="0" w:color="auto"/>
            </w:tcBorders>
            <w:shd w:val="clear" w:color="auto" w:fill="FFFFFF"/>
          </w:tcPr>
          <w:p w14:paraId="5498713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652667CC" w14:textId="77777777" w:rsidTr="00B834A2">
        <w:trPr>
          <w:jc w:val="center"/>
        </w:trPr>
        <w:tc>
          <w:tcPr>
            <w:tcW w:w="1286" w:type="dxa"/>
            <w:shd w:val="clear" w:color="auto" w:fill="FFFFFF"/>
          </w:tcPr>
          <w:p w14:paraId="44BCEB8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Рb</w:t>
            </w:r>
          </w:p>
        </w:tc>
        <w:tc>
          <w:tcPr>
            <w:tcW w:w="1134" w:type="dxa"/>
            <w:shd w:val="clear" w:color="auto" w:fill="FFFFFF"/>
          </w:tcPr>
          <w:p w14:paraId="1EA4A6B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1</w:t>
            </w:r>
          </w:p>
        </w:tc>
        <w:tc>
          <w:tcPr>
            <w:tcW w:w="2126" w:type="dxa"/>
            <w:shd w:val="clear" w:color="auto" w:fill="FFFFFF"/>
          </w:tcPr>
          <w:p w14:paraId="2D9B5F1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3C9BD53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414E787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7A713C6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21F66CB5" w14:textId="77777777" w:rsidTr="00B834A2">
        <w:trPr>
          <w:jc w:val="center"/>
        </w:trPr>
        <w:tc>
          <w:tcPr>
            <w:tcW w:w="1286" w:type="dxa"/>
            <w:shd w:val="clear" w:color="auto" w:fill="FFFFFF"/>
          </w:tcPr>
          <w:p w14:paraId="0D68E20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Аs</w:t>
            </w:r>
          </w:p>
        </w:tc>
        <w:tc>
          <w:tcPr>
            <w:tcW w:w="1134" w:type="dxa"/>
            <w:shd w:val="clear" w:color="auto" w:fill="FFFFFF"/>
          </w:tcPr>
          <w:p w14:paraId="0BB466D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1</w:t>
            </w:r>
          </w:p>
        </w:tc>
        <w:tc>
          <w:tcPr>
            <w:tcW w:w="2126" w:type="dxa"/>
            <w:shd w:val="clear" w:color="auto" w:fill="FFFFFF"/>
          </w:tcPr>
          <w:p w14:paraId="22D8F07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778EA45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364412B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6C8E163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1EE6B680" w14:textId="77777777" w:rsidTr="00B834A2">
        <w:trPr>
          <w:jc w:val="center"/>
        </w:trPr>
        <w:tc>
          <w:tcPr>
            <w:tcW w:w="1286" w:type="dxa"/>
            <w:shd w:val="clear" w:color="auto" w:fill="FFFFFF"/>
          </w:tcPr>
          <w:p w14:paraId="05B52F0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Hg</w:t>
            </w:r>
          </w:p>
        </w:tc>
        <w:tc>
          <w:tcPr>
            <w:tcW w:w="1134" w:type="dxa"/>
            <w:shd w:val="clear" w:color="auto" w:fill="FFFFFF"/>
          </w:tcPr>
          <w:p w14:paraId="12D8E54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1</w:t>
            </w:r>
          </w:p>
        </w:tc>
        <w:tc>
          <w:tcPr>
            <w:tcW w:w="2126" w:type="dxa"/>
            <w:shd w:val="clear" w:color="auto" w:fill="FFFFFF"/>
          </w:tcPr>
          <w:p w14:paraId="25E072D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2EA275B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298B2F5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5BA332F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18F8FB96" w14:textId="77777777" w:rsidTr="00B834A2">
        <w:trPr>
          <w:jc w:val="center"/>
        </w:trPr>
        <w:tc>
          <w:tcPr>
            <w:tcW w:w="1286" w:type="dxa"/>
            <w:shd w:val="clear" w:color="auto" w:fill="FFFFFF"/>
          </w:tcPr>
          <w:p w14:paraId="13F409A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Со</w:t>
            </w:r>
          </w:p>
        </w:tc>
        <w:tc>
          <w:tcPr>
            <w:tcW w:w="1134" w:type="dxa"/>
            <w:shd w:val="clear" w:color="auto" w:fill="FFFFFF"/>
          </w:tcPr>
          <w:p w14:paraId="1422BAD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2А</w:t>
            </w:r>
          </w:p>
        </w:tc>
        <w:tc>
          <w:tcPr>
            <w:tcW w:w="2126" w:type="dxa"/>
            <w:shd w:val="clear" w:color="auto" w:fill="FFFFFF"/>
          </w:tcPr>
          <w:p w14:paraId="1365761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366EF5A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59D2666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77AF3E6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5691D05C" w14:textId="77777777" w:rsidTr="00B834A2">
        <w:trPr>
          <w:jc w:val="center"/>
        </w:trPr>
        <w:tc>
          <w:tcPr>
            <w:tcW w:w="1286" w:type="dxa"/>
            <w:shd w:val="clear" w:color="auto" w:fill="FFFFFF"/>
          </w:tcPr>
          <w:p w14:paraId="22D8762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V</w:t>
            </w:r>
          </w:p>
        </w:tc>
        <w:tc>
          <w:tcPr>
            <w:tcW w:w="1134" w:type="dxa"/>
            <w:shd w:val="clear" w:color="auto" w:fill="FFFFFF"/>
          </w:tcPr>
          <w:p w14:paraId="65393C4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2А</w:t>
            </w:r>
          </w:p>
        </w:tc>
        <w:tc>
          <w:tcPr>
            <w:tcW w:w="2126" w:type="dxa"/>
            <w:shd w:val="clear" w:color="auto" w:fill="FFFFFF"/>
          </w:tcPr>
          <w:p w14:paraId="5FCB9ED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219A109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2E7AA92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32B7F72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72B36C9A" w14:textId="77777777" w:rsidTr="00B834A2">
        <w:trPr>
          <w:jc w:val="center"/>
        </w:trPr>
        <w:tc>
          <w:tcPr>
            <w:tcW w:w="1286" w:type="dxa"/>
            <w:shd w:val="clear" w:color="auto" w:fill="FFFFFF"/>
          </w:tcPr>
          <w:p w14:paraId="32F34BE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Ni</w:t>
            </w:r>
          </w:p>
        </w:tc>
        <w:tc>
          <w:tcPr>
            <w:tcW w:w="1134" w:type="dxa"/>
            <w:shd w:val="clear" w:color="auto" w:fill="FFFFFF"/>
          </w:tcPr>
          <w:p w14:paraId="3AB4187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2А</w:t>
            </w:r>
          </w:p>
        </w:tc>
        <w:tc>
          <w:tcPr>
            <w:tcW w:w="2126" w:type="dxa"/>
            <w:shd w:val="clear" w:color="auto" w:fill="FFFFFF"/>
          </w:tcPr>
          <w:p w14:paraId="2A1B598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7645A69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65" w:type="dxa"/>
            <w:shd w:val="clear" w:color="auto" w:fill="FFFFFF"/>
          </w:tcPr>
          <w:p w14:paraId="6915E5C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081D9A4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5DE8736E" w14:textId="77777777" w:rsidTr="00B834A2">
        <w:trPr>
          <w:jc w:val="center"/>
        </w:trPr>
        <w:tc>
          <w:tcPr>
            <w:tcW w:w="1286" w:type="dxa"/>
            <w:shd w:val="clear" w:color="auto" w:fill="FFFFFF"/>
          </w:tcPr>
          <w:p w14:paraId="685A4A9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Т1</w:t>
            </w:r>
          </w:p>
        </w:tc>
        <w:tc>
          <w:tcPr>
            <w:tcW w:w="1134" w:type="dxa"/>
            <w:shd w:val="clear" w:color="auto" w:fill="FFFFFF"/>
          </w:tcPr>
          <w:p w14:paraId="6AECDD1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1BEBCCA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4017B73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68DD169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04B9907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6FCDA9BF" w14:textId="77777777" w:rsidTr="00B834A2">
        <w:trPr>
          <w:jc w:val="center"/>
        </w:trPr>
        <w:tc>
          <w:tcPr>
            <w:tcW w:w="1286" w:type="dxa"/>
            <w:shd w:val="clear" w:color="auto" w:fill="FFFFFF"/>
          </w:tcPr>
          <w:p w14:paraId="39A13E5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Аu</w:t>
            </w:r>
          </w:p>
        </w:tc>
        <w:tc>
          <w:tcPr>
            <w:tcW w:w="1134" w:type="dxa"/>
            <w:shd w:val="clear" w:color="auto" w:fill="FFFFFF"/>
          </w:tcPr>
          <w:p w14:paraId="79E27C3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00C3D1D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73564E8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510F123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4A3BB64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38E44E64" w14:textId="77777777" w:rsidTr="00B834A2">
        <w:trPr>
          <w:jc w:val="center"/>
        </w:trPr>
        <w:tc>
          <w:tcPr>
            <w:tcW w:w="1286" w:type="dxa"/>
            <w:shd w:val="clear" w:color="auto" w:fill="FFFFFF"/>
          </w:tcPr>
          <w:p w14:paraId="3FF5F54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Рd</w:t>
            </w:r>
          </w:p>
        </w:tc>
        <w:tc>
          <w:tcPr>
            <w:tcW w:w="1134" w:type="dxa"/>
            <w:shd w:val="clear" w:color="auto" w:fill="FFFFFF"/>
          </w:tcPr>
          <w:p w14:paraId="59D080F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2EF1209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737CCB1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15877FE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0A429F4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1905F482" w14:textId="77777777" w:rsidTr="00B834A2">
        <w:trPr>
          <w:jc w:val="center"/>
        </w:trPr>
        <w:tc>
          <w:tcPr>
            <w:tcW w:w="1286" w:type="dxa"/>
            <w:shd w:val="clear" w:color="auto" w:fill="FFFFFF"/>
          </w:tcPr>
          <w:p w14:paraId="29A01AA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Ir</w:t>
            </w:r>
          </w:p>
        </w:tc>
        <w:tc>
          <w:tcPr>
            <w:tcW w:w="1134" w:type="dxa"/>
            <w:shd w:val="clear" w:color="auto" w:fill="FFFFFF"/>
          </w:tcPr>
          <w:p w14:paraId="7E2A9D8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43EB2F3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307F611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21BBAE5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381BAE9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5E58E990" w14:textId="77777777" w:rsidTr="00B834A2">
        <w:trPr>
          <w:jc w:val="center"/>
        </w:trPr>
        <w:tc>
          <w:tcPr>
            <w:tcW w:w="1286" w:type="dxa"/>
            <w:shd w:val="clear" w:color="auto" w:fill="FFFFFF"/>
          </w:tcPr>
          <w:p w14:paraId="1481D94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Оs</w:t>
            </w:r>
          </w:p>
        </w:tc>
        <w:tc>
          <w:tcPr>
            <w:tcW w:w="1134" w:type="dxa"/>
            <w:shd w:val="clear" w:color="auto" w:fill="FFFFFF"/>
          </w:tcPr>
          <w:p w14:paraId="547A09A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68D2469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65EA8AF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71E1C81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7DC7356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0DD5D92A" w14:textId="77777777" w:rsidTr="00B834A2">
        <w:trPr>
          <w:jc w:val="center"/>
        </w:trPr>
        <w:tc>
          <w:tcPr>
            <w:tcW w:w="1286" w:type="dxa"/>
            <w:shd w:val="clear" w:color="auto" w:fill="FFFFFF"/>
          </w:tcPr>
          <w:p w14:paraId="1405333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Rh</w:t>
            </w:r>
          </w:p>
        </w:tc>
        <w:tc>
          <w:tcPr>
            <w:tcW w:w="1134" w:type="dxa"/>
            <w:shd w:val="clear" w:color="auto" w:fill="FFFFFF"/>
          </w:tcPr>
          <w:p w14:paraId="268AD97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37C66AB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51F82A2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3875B47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1699301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70185680" w14:textId="77777777" w:rsidTr="00B834A2">
        <w:trPr>
          <w:jc w:val="center"/>
        </w:trPr>
        <w:tc>
          <w:tcPr>
            <w:tcW w:w="1286" w:type="dxa"/>
            <w:shd w:val="clear" w:color="auto" w:fill="FFFFFF"/>
          </w:tcPr>
          <w:p w14:paraId="5FF8E3B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Ru</w:t>
            </w:r>
          </w:p>
        </w:tc>
        <w:tc>
          <w:tcPr>
            <w:tcW w:w="1134" w:type="dxa"/>
            <w:shd w:val="clear" w:color="auto" w:fill="FFFFFF"/>
          </w:tcPr>
          <w:p w14:paraId="6A43E96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4A5EB23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2DE6F97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10FD00C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5513B51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390B87D3" w14:textId="77777777" w:rsidTr="00B834A2">
        <w:trPr>
          <w:jc w:val="center"/>
        </w:trPr>
        <w:tc>
          <w:tcPr>
            <w:tcW w:w="1286" w:type="dxa"/>
            <w:shd w:val="clear" w:color="auto" w:fill="FFFFFF"/>
          </w:tcPr>
          <w:p w14:paraId="70BB707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Se</w:t>
            </w:r>
          </w:p>
        </w:tc>
        <w:tc>
          <w:tcPr>
            <w:tcW w:w="1134" w:type="dxa"/>
            <w:shd w:val="clear" w:color="auto" w:fill="FFFFFF"/>
          </w:tcPr>
          <w:p w14:paraId="61D5C0A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604D58A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124FEF0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1F91443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22F2008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5E38D1FC" w14:textId="77777777" w:rsidTr="00B834A2">
        <w:trPr>
          <w:jc w:val="center"/>
        </w:trPr>
        <w:tc>
          <w:tcPr>
            <w:tcW w:w="1286" w:type="dxa"/>
            <w:shd w:val="clear" w:color="auto" w:fill="FFFFFF"/>
          </w:tcPr>
          <w:p w14:paraId="0A666D6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Аg</w:t>
            </w:r>
          </w:p>
        </w:tc>
        <w:tc>
          <w:tcPr>
            <w:tcW w:w="1134" w:type="dxa"/>
            <w:shd w:val="clear" w:color="auto" w:fill="FFFFFF"/>
          </w:tcPr>
          <w:p w14:paraId="167F509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2D43CB0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1CD1D13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38552CB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36A11F4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4C18909C" w14:textId="77777777" w:rsidTr="00B834A2">
        <w:trPr>
          <w:jc w:val="center"/>
        </w:trPr>
        <w:tc>
          <w:tcPr>
            <w:tcW w:w="1286" w:type="dxa"/>
            <w:shd w:val="clear" w:color="auto" w:fill="FFFFFF"/>
          </w:tcPr>
          <w:p w14:paraId="44DC946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Pt</w:t>
            </w:r>
          </w:p>
        </w:tc>
        <w:tc>
          <w:tcPr>
            <w:tcW w:w="1134" w:type="dxa"/>
            <w:shd w:val="clear" w:color="auto" w:fill="FFFFFF"/>
          </w:tcPr>
          <w:p w14:paraId="5D36F84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2В</w:t>
            </w:r>
          </w:p>
        </w:tc>
        <w:tc>
          <w:tcPr>
            <w:tcW w:w="2126" w:type="dxa"/>
            <w:shd w:val="clear" w:color="auto" w:fill="FFFFFF"/>
          </w:tcPr>
          <w:p w14:paraId="20E0B8F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682442B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521FD9F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2AF9CC1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r>
      <w:tr w:rsidR="00B834A2" w:rsidRPr="00003446" w14:paraId="5A3F5B4E" w14:textId="77777777" w:rsidTr="00B834A2">
        <w:trPr>
          <w:jc w:val="center"/>
        </w:trPr>
        <w:tc>
          <w:tcPr>
            <w:tcW w:w="1286" w:type="dxa"/>
            <w:shd w:val="clear" w:color="auto" w:fill="FFFFFF"/>
          </w:tcPr>
          <w:p w14:paraId="6570983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Li</w:t>
            </w:r>
          </w:p>
        </w:tc>
        <w:tc>
          <w:tcPr>
            <w:tcW w:w="1134" w:type="dxa"/>
            <w:shd w:val="clear" w:color="auto" w:fill="FFFFFF"/>
          </w:tcPr>
          <w:p w14:paraId="2B8C9D9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4C86B6B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671C9D4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4FCA0D2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1568382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29A28324" w14:textId="77777777" w:rsidTr="00B834A2">
        <w:trPr>
          <w:jc w:val="center"/>
        </w:trPr>
        <w:tc>
          <w:tcPr>
            <w:tcW w:w="1286" w:type="dxa"/>
            <w:shd w:val="clear" w:color="auto" w:fill="FFFFFF"/>
          </w:tcPr>
          <w:p w14:paraId="4B9E941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Sb</w:t>
            </w:r>
          </w:p>
        </w:tc>
        <w:tc>
          <w:tcPr>
            <w:tcW w:w="1134" w:type="dxa"/>
            <w:shd w:val="clear" w:color="auto" w:fill="FFFFFF"/>
          </w:tcPr>
          <w:p w14:paraId="1DA3ADD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2B4FE9A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33C313B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5DD74258"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26190A0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491252D4" w14:textId="77777777" w:rsidTr="00B834A2">
        <w:trPr>
          <w:jc w:val="center"/>
        </w:trPr>
        <w:tc>
          <w:tcPr>
            <w:tcW w:w="1286" w:type="dxa"/>
            <w:shd w:val="clear" w:color="auto" w:fill="FFFFFF"/>
          </w:tcPr>
          <w:p w14:paraId="5A8DB25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Ва</w:t>
            </w:r>
          </w:p>
        </w:tc>
        <w:tc>
          <w:tcPr>
            <w:tcW w:w="1134" w:type="dxa"/>
            <w:shd w:val="clear" w:color="auto" w:fill="FFFFFF"/>
          </w:tcPr>
          <w:p w14:paraId="08FF077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3ACE875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202A30E1"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0DA1E449"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16BF6F02"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76CFAC0E" w14:textId="77777777" w:rsidTr="00B834A2">
        <w:trPr>
          <w:jc w:val="center"/>
        </w:trPr>
        <w:tc>
          <w:tcPr>
            <w:tcW w:w="1286" w:type="dxa"/>
            <w:shd w:val="clear" w:color="auto" w:fill="FFFFFF"/>
          </w:tcPr>
          <w:p w14:paraId="5F00643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Мо</w:t>
            </w:r>
          </w:p>
        </w:tc>
        <w:tc>
          <w:tcPr>
            <w:tcW w:w="1134" w:type="dxa"/>
            <w:shd w:val="clear" w:color="auto" w:fill="FFFFFF"/>
          </w:tcPr>
          <w:p w14:paraId="2D11334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07E7EA9B"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671FF34E"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4FC5DD9D"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74D3A78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6BE21376" w14:textId="77777777" w:rsidTr="00B834A2">
        <w:trPr>
          <w:jc w:val="center"/>
        </w:trPr>
        <w:tc>
          <w:tcPr>
            <w:tcW w:w="1286" w:type="dxa"/>
            <w:shd w:val="clear" w:color="auto" w:fill="FFFFFF"/>
          </w:tcPr>
          <w:p w14:paraId="18087B37"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Cu</w:t>
            </w:r>
          </w:p>
        </w:tc>
        <w:tc>
          <w:tcPr>
            <w:tcW w:w="1134" w:type="dxa"/>
            <w:shd w:val="clear" w:color="auto" w:fill="FFFFFF"/>
          </w:tcPr>
          <w:p w14:paraId="186BB6A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774A53E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7981595F"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724E81F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843" w:type="dxa"/>
            <w:shd w:val="clear" w:color="auto" w:fill="FFFFFF"/>
          </w:tcPr>
          <w:p w14:paraId="48DD4663"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693BF9EA" w14:textId="77777777" w:rsidTr="00B834A2">
        <w:trPr>
          <w:jc w:val="center"/>
        </w:trPr>
        <w:tc>
          <w:tcPr>
            <w:tcW w:w="1286" w:type="dxa"/>
            <w:shd w:val="clear" w:color="auto" w:fill="FFFFFF"/>
          </w:tcPr>
          <w:p w14:paraId="5B118B5A"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Sn</w:t>
            </w:r>
          </w:p>
        </w:tc>
        <w:tc>
          <w:tcPr>
            <w:tcW w:w="1134" w:type="dxa"/>
            <w:shd w:val="clear" w:color="auto" w:fill="FFFFFF"/>
          </w:tcPr>
          <w:p w14:paraId="4B1BF4B4"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3</w:t>
            </w:r>
          </w:p>
        </w:tc>
        <w:tc>
          <w:tcPr>
            <w:tcW w:w="2126" w:type="dxa"/>
            <w:shd w:val="clear" w:color="auto" w:fill="FFFFFF"/>
          </w:tcPr>
          <w:p w14:paraId="0A8784A5"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c>
          <w:tcPr>
            <w:tcW w:w="1679" w:type="dxa"/>
            <w:shd w:val="clear" w:color="auto" w:fill="FFFFFF"/>
          </w:tcPr>
          <w:p w14:paraId="0BF86CF6"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65" w:type="dxa"/>
            <w:shd w:val="clear" w:color="auto" w:fill="FFFFFF"/>
          </w:tcPr>
          <w:p w14:paraId="5478C3A0"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ոչ</w:t>
            </w:r>
          </w:p>
        </w:tc>
        <w:tc>
          <w:tcPr>
            <w:tcW w:w="1843" w:type="dxa"/>
            <w:shd w:val="clear" w:color="auto" w:fill="FFFFFF"/>
          </w:tcPr>
          <w:p w14:paraId="37F5BC0C" w14:textId="77777777" w:rsidR="00B834A2" w:rsidRPr="00003446" w:rsidRDefault="00B834A2" w:rsidP="00DA2D5E">
            <w:pPr>
              <w:pStyle w:val="Bodytext20"/>
              <w:shd w:val="clear" w:color="auto" w:fill="auto"/>
              <w:spacing w:before="0" w:after="60" w:line="240" w:lineRule="auto"/>
              <w:rPr>
                <w:rFonts w:ascii="Sylfaen" w:hAnsi="Sylfaen" w:cs="Sylfaen"/>
                <w:sz w:val="20"/>
                <w:szCs w:val="20"/>
              </w:rPr>
            </w:pPr>
            <w:r w:rsidRPr="00003446">
              <w:rPr>
                <w:rStyle w:val="Bodytext31Sylfaen9"/>
                <w:i w:val="0"/>
                <w:sz w:val="20"/>
                <w:szCs w:val="20"/>
              </w:rPr>
              <w:t>այո</w:t>
            </w:r>
          </w:p>
        </w:tc>
      </w:tr>
      <w:tr w:rsidR="00B834A2" w:rsidRPr="00003446" w14:paraId="736A3B8A" w14:textId="77777777" w:rsidTr="00B834A2">
        <w:trPr>
          <w:jc w:val="center"/>
        </w:trPr>
        <w:tc>
          <w:tcPr>
            <w:tcW w:w="1286" w:type="dxa"/>
            <w:tcBorders>
              <w:bottom w:val="single" w:sz="4" w:space="0" w:color="auto"/>
            </w:tcBorders>
            <w:shd w:val="clear" w:color="auto" w:fill="FFFFFF"/>
          </w:tcPr>
          <w:p w14:paraId="3CEF72E1"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Cr</w:t>
            </w:r>
          </w:p>
        </w:tc>
        <w:tc>
          <w:tcPr>
            <w:tcW w:w="1134" w:type="dxa"/>
            <w:tcBorders>
              <w:bottom w:val="single" w:sz="4" w:space="0" w:color="auto"/>
            </w:tcBorders>
            <w:shd w:val="clear" w:color="auto" w:fill="FFFFFF"/>
          </w:tcPr>
          <w:p w14:paraId="4916F8A8"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3</w:t>
            </w:r>
          </w:p>
        </w:tc>
        <w:tc>
          <w:tcPr>
            <w:tcW w:w="2126" w:type="dxa"/>
            <w:tcBorders>
              <w:bottom w:val="single" w:sz="4" w:space="0" w:color="auto"/>
            </w:tcBorders>
            <w:shd w:val="clear" w:color="auto" w:fill="FFFFFF"/>
          </w:tcPr>
          <w:p w14:paraId="114E137C"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այո</w:t>
            </w:r>
          </w:p>
        </w:tc>
        <w:tc>
          <w:tcPr>
            <w:tcW w:w="1679" w:type="dxa"/>
            <w:tcBorders>
              <w:bottom w:val="single" w:sz="4" w:space="0" w:color="auto"/>
            </w:tcBorders>
            <w:shd w:val="clear" w:color="auto" w:fill="FFFFFF"/>
          </w:tcPr>
          <w:p w14:paraId="7B4E3656"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ոչ</w:t>
            </w:r>
          </w:p>
        </w:tc>
        <w:tc>
          <w:tcPr>
            <w:tcW w:w="1865" w:type="dxa"/>
            <w:tcBorders>
              <w:bottom w:val="single" w:sz="4" w:space="0" w:color="auto"/>
            </w:tcBorders>
            <w:shd w:val="clear" w:color="auto" w:fill="FFFFFF"/>
          </w:tcPr>
          <w:p w14:paraId="02878D96"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ոչ</w:t>
            </w:r>
          </w:p>
        </w:tc>
        <w:tc>
          <w:tcPr>
            <w:tcW w:w="1843" w:type="dxa"/>
            <w:tcBorders>
              <w:bottom w:val="single" w:sz="4" w:space="0" w:color="auto"/>
            </w:tcBorders>
            <w:shd w:val="clear" w:color="auto" w:fill="FFFFFF"/>
          </w:tcPr>
          <w:p w14:paraId="254F6F36" w14:textId="77777777" w:rsidR="00B834A2" w:rsidRPr="00003446" w:rsidRDefault="00B834A2" w:rsidP="00003446">
            <w:pPr>
              <w:pStyle w:val="Bodytext20"/>
              <w:shd w:val="clear" w:color="auto" w:fill="auto"/>
              <w:spacing w:before="0" w:line="240" w:lineRule="auto"/>
              <w:rPr>
                <w:rFonts w:ascii="Sylfaen" w:hAnsi="Sylfaen" w:cs="Sylfaen"/>
                <w:sz w:val="20"/>
                <w:szCs w:val="20"/>
              </w:rPr>
            </w:pPr>
            <w:r w:rsidRPr="00003446">
              <w:rPr>
                <w:rStyle w:val="Bodytext31Sylfaen9"/>
                <w:i w:val="0"/>
                <w:sz w:val="20"/>
                <w:szCs w:val="20"/>
              </w:rPr>
              <w:t>այո</w:t>
            </w:r>
          </w:p>
        </w:tc>
      </w:tr>
    </w:tbl>
    <w:p w14:paraId="4D7B1491" w14:textId="77777777" w:rsidR="00DA2D5E" w:rsidRDefault="00DA2D5E">
      <w:pPr>
        <w:rPr>
          <w:rFonts w:eastAsia="Times New Roman"/>
        </w:rPr>
      </w:pPr>
      <w:r>
        <w:br w:type="page"/>
      </w:r>
    </w:p>
    <w:p w14:paraId="05D0ED33"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b/>
          <w:i/>
          <w:sz w:val="24"/>
          <w:szCs w:val="24"/>
        </w:rPr>
      </w:pPr>
      <w:r w:rsidRPr="00003446">
        <w:rPr>
          <w:rStyle w:val="Bodytext31Sylfaen9"/>
          <w:b/>
          <w:i w:val="0"/>
          <w:sz w:val="24"/>
          <w:szCs w:val="24"/>
        </w:rPr>
        <w:lastRenderedPageBreak/>
        <w:t>ՏԱՐՐԵՐԻ ԽԱՌՆՈՒԿՆԵՐԻ ԱՆՎՏԱՆԳՈՒԹՅԱՆ ԳՆԱՀԱՏՈՒՄԸ Եւ ԹՕՆ-Ի ՈՐՈՇՈՒՄԸ</w:t>
      </w:r>
    </w:p>
    <w:p w14:paraId="3B286DEF" w14:textId="77777777" w:rsidR="00B834A2" w:rsidRPr="00003446" w:rsidRDefault="00B834A2" w:rsidP="00003446">
      <w:pPr>
        <w:pStyle w:val="Bodytext20"/>
        <w:shd w:val="clear" w:color="auto" w:fill="auto"/>
        <w:spacing w:before="0" w:after="160" w:line="360" w:lineRule="auto"/>
        <w:ind w:firstLine="567"/>
        <w:jc w:val="both"/>
        <w:rPr>
          <w:rFonts w:ascii="Sylfaen" w:hAnsi="Sylfaen" w:cs="Sylfaen"/>
          <w:i/>
          <w:sz w:val="24"/>
          <w:szCs w:val="24"/>
        </w:rPr>
      </w:pPr>
      <w:r w:rsidRPr="00003446">
        <w:rPr>
          <w:rStyle w:val="Bodytext31Sylfaen9"/>
          <w:i w:val="0"/>
          <w:sz w:val="24"/>
          <w:szCs w:val="24"/>
        </w:rPr>
        <w:t>Դեղապատրաստուկներում հնարավոր տարրերի խառնուկների անվտանգության գնահատումը կատարվում է յուրաքանչյուր տարրի ԹՕՆ-ը որոշելու համար։ ԹՕՆ-ի ստացված արժեքները տեղեկատվություն են տրամադրում տարրի առավելագույն թույլատրելի քանակի մասին, որը կարող է պարունակվել օրական ընդունվող դեղապատրաստուկի առավելագույն քանակում։</w:t>
      </w:r>
    </w:p>
    <w:p w14:paraId="190E2A57" w14:textId="77777777" w:rsidR="00B834A2" w:rsidRPr="00003446" w:rsidRDefault="00B834A2" w:rsidP="00003446">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003446">
        <w:rPr>
          <w:rStyle w:val="Bodytext31Sylfaen9"/>
          <w:i w:val="0"/>
          <w:sz w:val="24"/>
          <w:szCs w:val="24"/>
        </w:rPr>
        <w:t>Տարրերի խառնուկների անվտանգության գնահատման եւ ԹՕՆ-ի որոշման ժամանակ դիտարկվում են հետեւյալ գործոնները.</w:t>
      </w:r>
    </w:p>
    <w:p w14:paraId="4F7B0E24"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դեղապատրաստուկում տարրի օքսիդացման հավանական աստիճանը.</w:t>
      </w:r>
    </w:p>
    <w:p w14:paraId="3EDA604F"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 xml:space="preserve">մարդու օրգանիզմի վրա ներգործությունը </w:t>
      </w:r>
      <w:r>
        <w:rPr>
          <w:rFonts w:ascii="Sylfaen" w:hAnsi="Sylfaen"/>
          <w:sz w:val="24"/>
          <w:szCs w:val="24"/>
        </w:rPr>
        <w:t>եւ</w:t>
      </w:r>
      <w:r w:rsidRPr="00B834A2">
        <w:rPr>
          <w:rFonts w:ascii="Sylfaen" w:hAnsi="Sylfaen"/>
          <w:sz w:val="24"/>
          <w:szCs w:val="24"/>
        </w:rPr>
        <w:t xml:space="preserve"> անվտանգության մասին տվյալները, եթե դրանք պարունակում են անհրաժեշտ տեղեկատվություն.</w:t>
      </w:r>
    </w:p>
    <w:p w14:paraId="5AAD7962"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կենդանիների համար առավել ռելեվանտ հետազոտությունը.</w:t>
      </w:r>
    </w:p>
    <w:p w14:paraId="4C1697C4"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դեղապատրաստուկի ներմուծման ուղին.</w:t>
      </w:r>
    </w:p>
    <w:p w14:paraId="19C91B03" w14:textId="77777777" w:rsidR="00B834A2" w:rsidRPr="00B834A2" w:rsidRDefault="00B834A2" w:rsidP="0000344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003446" w:rsidRPr="00A859E3">
        <w:rPr>
          <w:rFonts w:ascii="Sylfaen" w:hAnsi="Sylfaen"/>
          <w:sz w:val="24"/>
          <w:szCs w:val="24"/>
        </w:rPr>
        <w:tab/>
      </w:r>
      <w:r w:rsidRPr="00B834A2">
        <w:rPr>
          <w:rFonts w:ascii="Sylfaen" w:hAnsi="Sylfaen"/>
          <w:sz w:val="24"/>
          <w:szCs w:val="24"/>
        </w:rPr>
        <w:t>ԹՕՆ-ի ռելեվանտ վերջնական արժեքը (արժեքները)։</w:t>
      </w:r>
    </w:p>
    <w:p w14:paraId="531E0FA4" w14:textId="77777777" w:rsidR="00B834A2" w:rsidRPr="00A54897" w:rsidRDefault="00B834A2" w:rsidP="00003446">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Տարրերի խառնուկների անվտանգության գնահատումն ու ԹՕՆ-ի որոշումն իրականացվում են հիմնականում դեղապատրաստուկի ներմուծման պերօրալ, պարենտերալ եւ ինհալացիոն ուղիների համար։</w:t>
      </w:r>
      <w:r w:rsidRPr="00B834A2">
        <w:rPr>
          <w:rStyle w:val="Bodytext31Sylfaen9"/>
          <w:sz w:val="24"/>
          <w:szCs w:val="24"/>
        </w:rPr>
        <w:t xml:space="preserve"> </w:t>
      </w:r>
      <w:r w:rsidRPr="00A54897">
        <w:rPr>
          <w:rStyle w:val="Bodytext31Sylfaen9"/>
          <w:i w:val="0"/>
          <w:sz w:val="24"/>
          <w:szCs w:val="24"/>
        </w:rPr>
        <w:t xml:space="preserve">Որպես սկզբնական արժեք՝ ներմուծման այլ ուղիների համար սովորաբար կիրառվում է ԹՕՆ-ը ներմուծման պերօրալ ուղու դեպքում եւ հետագայում կատարվում է տեղային ռեակցիաների առաջացման հավանականության եւ հնարավորության պարագայում՝ ուղղիչ գործակիցների կիրառման միջոցով ներմուծման ենթադրվող ուղու դեպքում տարրի կենսամատչելիության գնահատում։ Որպես սկզբնական արժեք թույլատրվում է նաեւ ԹՕՆ-ի կիրառումը ներմուծման պարենտերալ կամ ինհալացիոն ուղիների դեպքում, ինչը պահանջում է համապատասխան հիմնավորումներ։ </w:t>
      </w:r>
    </w:p>
    <w:p w14:paraId="434AE058" w14:textId="77777777" w:rsidR="00B834A2" w:rsidRPr="00B834A2" w:rsidRDefault="00B834A2" w:rsidP="00003446">
      <w:pPr>
        <w:pStyle w:val="Bodytext20"/>
        <w:shd w:val="clear" w:color="auto" w:fill="auto"/>
        <w:spacing w:before="0" w:after="160" w:line="360" w:lineRule="auto"/>
        <w:ind w:firstLine="480"/>
        <w:jc w:val="both"/>
        <w:rPr>
          <w:rStyle w:val="Bodytext31Sylfaen9"/>
          <w:sz w:val="24"/>
          <w:szCs w:val="24"/>
        </w:rPr>
      </w:pPr>
      <w:r w:rsidRPr="00B834A2">
        <w:rPr>
          <w:rFonts w:ascii="Sylfaen" w:hAnsi="Sylfaen"/>
          <w:sz w:val="24"/>
          <w:szCs w:val="24"/>
        </w:rPr>
        <w:lastRenderedPageBreak/>
        <w:t xml:space="preserve">Ներմուծման տարբեր ուղիների համար տարրերի խառնուկների ԹՕՆ-ի արժեքները, որոնք որոշվել են անվտանգության մասին առկա տվյալների հիման վրա, բերվում են </w:t>
      </w:r>
      <w:r w:rsidRPr="00B834A2">
        <w:rPr>
          <w:rStyle w:val="Bodytext31Sylfaen9"/>
          <w:sz w:val="24"/>
          <w:szCs w:val="24"/>
        </w:rPr>
        <w:t>2.3.</w:t>
      </w:r>
      <w:r w:rsidRPr="00B834A2">
        <w:rPr>
          <w:rStyle w:val="Bodytext285pt"/>
          <w:spacing w:val="0"/>
          <w:sz w:val="24"/>
          <w:szCs w:val="24"/>
        </w:rPr>
        <w:t>10</w:t>
      </w:r>
      <w:r w:rsidRPr="00B834A2">
        <w:rPr>
          <w:rStyle w:val="Bodytext31Sylfaen9"/>
          <w:sz w:val="24"/>
          <w:szCs w:val="24"/>
        </w:rPr>
        <w:t>.</w:t>
      </w:r>
      <w:r w:rsidRPr="00B834A2">
        <w:rPr>
          <w:rStyle w:val="Bodytext285pt"/>
          <w:spacing w:val="0"/>
          <w:sz w:val="24"/>
          <w:szCs w:val="24"/>
        </w:rPr>
        <w:t>0</w:t>
      </w:r>
      <w:r w:rsidRPr="00B834A2">
        <w:rPr>
          <w:rStyle w:val="Bodytext31Sylfaen9"/>
          <w:sz w:val="24"/>
          <w:szCs w:val="24"/>
        </w:rPr>
        <w:t>-</w:t>
      </w:r>
      <w:r w:rsidRPr="00B834A2">
        <w:rPr>
          <w:rStyle w:val="Bodytext285pt"/>
          <w:spacing w:val="0"/>
          <w:sz w:val="24"/>
          <w:szCs w:val="24"/>
        </w:rPr>
        <w:t xml:space="preserve">2 </w:t>
      </w:r>
      <w:r w:rsidRPr="00B834A2">
        <w:rPr>
          <w:rFonts w:ascii="Sylfaen" w:hAnsi="Sylfaen"/>
          <w:sz w:val="24"/>
          <w:szCs w:val="24"/>
        </w:rPr>
        <w:t xml:space="preserve">աղյուսակում։ </w:t>
      </w:r>
    </w:p>
    <w:p w14:paraId="2A8D5AAD" w14:textId="77777777" w:rsidR="00B834A2" w:rsidRPr="00B834A2" w:rsidRDefault="00B834A2" w:rsidP="00003446">
      <w:pPr>
        <w:pStyle w:val="Bodytext20"/>
        <w:shd w:val="clear" w:color="auto" w:fill="auto"/>
        <w:spacing w:before="0" w:after="160" w:line="360" w:lineRule="auto"/>
        <w:ind w:firstLine="480"/>
        <w:jc w:val="both"/>
        <w:rPr>
          <w:rStyle w:val="Bodytext310pt"/>
          <w:sz w:val="24"/>
          <w:szCs w:val="24"/>
        </w:rPr>
      </w:pPr>
    </w:p>
    <w:p w14:paraId="0BDC5600" w14:textId="77777777" w:rsidR="00B834A2" w:rsidRPr="001636CE" w:rsidRDefault="00B834A2" w:rsidP="00A54897">
      <w:pPr>
        <w:pStyle w:val="Bodytext20"/>
        <w:shd w:val="clear" w:color="auto" w:fill="auto"/>
        <w:spacing w:before="0" w:after="160" w:line="360" w:lineRule="auto"/>
        <w:ind w:firstLine="567"/>
        <w:jc w:val="both"/>
        <w:rPr>
          <w:rStyle w:val="Tablecaption210pt"/>
          <w:rFonts w:ascii="Sylfaen" w:eastAsia="Sylfaen" w:hAnsi="Sylfaen"/>
          <w:i w:val="0"/>
          <w:iCs w:val="0"/>
          <w:sz w:val="24"/>
          <w:szCs w:val="24"/>
        </w:rPr>
      </w:pPr>
      <w:r w:rsidRPr="00A54897">
        <w:rPr>
          <w:rStyle w:val="Bodytext310pt"/>
          <w:b w:val="0"/>
          <w:i w:val="0"/>
          <w:sz w:val="24"/>
          <w:szCs w:val="24"/>
        </w:rPr>
        <w:t>Աղյուսակ 2.3.10.0-2.</w:t>
      </w:r>
      <w:r w:rsidRPr="00A54897">
        <w:t xml:space="preserve"> </w:t>
      </w:r>
      <w:r w:rsidRPr="001636CE">
        <w:rPr>
          <w:rFonts w:ascii="Sylfaen" w:hAnsi="Sylfaen"/>
          <w:i/>
          <w:sz w:val="24"/>
          <w:szCs w:val="24"/>
        </w:rPr>
        <w:t xml:space="preserve">Տարրերի խառնուկների թույլատրելի օրական ներգործությունը (ԹՕՆ)՝ դեղապատրաստուկների համար </w:t>
      </w:r>
    </w:p>
    <w:tbl>
      <w:tblPr>
        <w:tblOverlap w:val="never"/>
        <w:tblW w:w="9498" w:type="dxa"/>
        <w:tblInd w:w="-274" w:type="dxa"/>
        <w:tblLayout w:type="fixed"/>
        <w:tblCellMar>
          <w:left w:w="10" w:type="dxa"/>
          <w:right w:w="10" w:type="dxa"/>
        </w:tblCellMar>
        <w:tblLook w:val="0000" w:firstRow="0" w:lastRow="0" w:firstColumn="0" w:lastColumn="0" w:noHBand="0" w:noVBand="0"/>
      </w:tblPr>
      <w:tblGrid>
        <w:gridCol w:w="1135"/>
        <w:gridCol w:w="1134"/>
        <w:gridCol w:w="2126"/>
        <w:gridCol w:w="2410"/>
        <w:gridCol w:w="2693"/>
      </w:tblGrid>
      <w:tr w:rsidR="00B834A2" w:rsidRPr="00A54897" w14:paraId="74FC229D" w14:textId="77777777" w:rsidTr="00A54897">
        <w:tc>
          <w:tcPr>
            <w:tcW w:w="1135" w:type="dxa"/>
            <w:vMerge w:val="restart"/>
            <w:tcBorders>
              <w:top w:val="single" w:sz="4" w:space="0" w:color="auto"/>
            </w:tcBorders>
            <w:shd w:val="clear" w:color="auto" w:fill="FFFFFF"/>
            <w:vAlign w:val="center"/>
          </w:tcPr>
          <w:p w14:paraId="1EDBE57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Տարրը</w:t>
            </w:r>
          </w:p>
        </w:tc>
        <w:tc>
          <w:tcPr>
            <w:tcW w:w="1134" w:type="dxa"/>
            <w:vMerge w:val="restart"/>
            <w:tcBorders>
              <w:top w:val="single" w:sz="4" w:space="0" w:color="auto"/>
            </w:tcBorders>
            <w:shd w:val="clear" w:color="auto" w:fill="FFFFFF"/>
            <w:vAlign w:val="center"/>
          </w:tcPr>
          <w:p w14:paraId="74FFBBAE"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Դասը</w:t>
            </w:r>
          </w:p>
        </w:tc>
        <w:tc>
          <w:tcPr>
            <w:tcW w:w="7229" w:type="dxa"/>
            <w:gridSpan w:val="3"/>
            <w:tcBorders>
              <w:top w:val="single" w:sz="4" w:space="0" w:color="auto"/>
            </w:tcBorders>
            <w:shd w:val="clear" w:color="auto" w:fill="FFFFFF"/>
            <w:vAlign w:val="center"/>
          </w:tcPr>
          <w:p w14:paraId="11D00929" w14:textId="77777777" w:rsidR="00B834A2" w:rsidRPr="00A54897" w:rsidRDefault="00B834A2" w:rsidP="00A54897">
            <w:pPr>
              <w:pStyle w:val="Bodytext20"/>
              <w:shd w:val="clear" w:color="auto" w:fill="auto"/>
              <w:spacing w:before="0" w:line="240" w:lineRule="auto"/>
              <w:ind w:left="600"/>
              <w:rPr>
                <w:rFonts w:ascii="Sylfaen" w:hAnsi="Sylfaen" w:cs="Sylfaen"/>
                <w:sz w:val="20"/>
                <w:szCs w:val="20"/>
              </w:rPr>
            </w:pPr>
            <w:r w:rsidRPr="00A54897">
              <w:rPr>
                <w:rStyle w:val="Bodytext31Sylfaen9"/>
                <w:i w:val="0"/>
                <w:sz w:val="20"/>
                <w:szCs w:val="20"/>
              </w:rPr>
              <w:t>Թույլատրելի օրական ներգործությունը* (մկգ/օր)</w:t>
            </w:r>
          </w:p>
        </w:tc>
      </w:tr>
      <w:tr w:rsidR="00B834A2" w:rsidRPr="00A54897" w14:paraId="0E56A157" w14:textId="77777777" w:rsidTr="00A54897">
        <w:tc>
          <w:tcPr>
            <w:tcW w:w="1135" w:type="dxa"/>
            <w:vMerge/>
            <w:shd w:val="clear" w:color="auto" w:fill="FFFFFF"/>
            <w:vAlign w:val="center"/>
          </w:tcPr>
          <w:p w14:paraId="07C8CE22" w14:textId="77777777" w:rsidR="00B834A2" w:rsidRPr="00A54897" w:rsidRDefault="00B834A2" w:rsidP="00A54897">
            <w:pPr>
              <w:spacing w:after="120"/>
              <w:jc w:val="center"/>
              <w:rPr>
                <w:sz w:val="20"/>
                <w:szCs w:val="20"/>
              </w:rPr>
            </w:pPr>
          </w:p>
        </w:tc>
        <w:tc>
          <w:tcPr>
            <w:tcW w:w="1134" w:type="dxa"/>
            <w:vMerge/>
            <w:shd w:val="clear" w:color="auto" w:fill="FFFFFF"/>
            <w:vAlign w:val="center"/>
          </w:tcPr>
          <w:p w14:paraId="3D98B3D0" w14:textId="77777777" w:rsidR="00B834A2" w:rsidRPr="00A54897" w:rsidRDefault="00B834A2" w:rsidP="00A54897">
            <w:pPr>
              <w:spacing w:after="120"/>
              <w:ind w:left="160"/>
              <w:jc w:val="center"/>
              <w:rPr>
                <w:sz w:val="20"/>
                <w:szCs w:val="20"/>
              </w:rPr>
            </w:pPr>
          </w:p>
        </w:tc>
        <w:tc>
          <w:tcPr>
            <w:tcW w:w="2126" w:type="dxa"/>
            <w:tcBorders>
              <w:top w:val="single" w:sz="4" w:space="0" w:color="auto"/>
            </w:tcBorders>
            <w:shd w:val="clear" w:color="auto" w:fill="FFFFFF"/>
            <w:vAlign w:val="center"/>
          </w:tcPr>
          <w:p w14:paraId="2636F4A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ներմուծման պերօրալ ուղի</w:t>
            </w:r>
          </w:p>
        </w:tc>
        <w:tc>
          <w:tcPr>
            <w:tcW w:w="2410" w:type="dxa"/>
            <w:tcBorders>
              <w:top w:val="single" w:sz="4" w:space="0" w:color="auto"/>
            </w:tcBorders>
            <w:shd w:val="clear" w:color="auto" w:fill="FFFFFF"/>
            <w:vAlign w:val="center"/>
          </w:tcPr>
          <w:p w14:paraId="2554661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Fonts w:ascii="Sylfaen" w:hAnsi="Sylfaen"/>
                <w:sz w:val="20"/>
                <w:szCs w:val="20"/>
              </w:rPr>
              <w:t>ներմուծման պարենտերալ ուղի</w:t>
            </w:r>
          </w:p>
        </w:tc>
        <w:tc>
          <w:tcPr>
            <w:tcW w:w="2693" w:type="dxa"/>
            <w:tcBorders>
              <w:top w:val="single" w:sz="4" w:space="0" w:color="auto"/>
            </w:tcBorders>
            <w:shd w:val="clear" w:color="auto" w:fill="FFFFFF"/>
            <w:vAlign w:val="center"/>
          </w:tcPr>
          <w:p w14:paraId="31DD356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ներմուծման ինհալացիոն ուղի</w:t>
            </w:r>
          </w:p>
        </w:tc>
      </w:tr>
      <w:tr w:rsidR="00B834A2" w:rsidRPr="00A54897" w14:paraId="63DD5843" w14:textId="77777777" w:rsidTr="00B834A2">
        <w:tc>
          <w:tcPr>
            <w:tcW w:w="1135" w:type="dxa"/>
            <w:tcBorders>
              <w:top w:val="single" w:sz="4" w:space="0" w:color="auto"/>
            </w:tcBorders>
            <w:shd w:val="clear" w:color="auto" w:fill="FFFFFF"/>
          </w:tcPr>
          <w:p w14:paraId="2C782FD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Cd</w:t>
            </w:r>
          </w:p>
        </w:tc>
        <w:tc>
          <w:tcPr>
            <w:tcW w:w="1134" w:type="dxa"/>
            <w:tcBorders>
              <w:top w:val="single" w:sz="4" w:space="0" w:color="auto"/>
            </w:tcBorders>
            <w:shd w:val="clear" w:color="auto" w:fill="FFFFFF"/>
          </w:tcPr>
          <w:p w14:paraId="19CF3B05"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1</w:t>
            </w:r>
          </w:p>
        </w:tc>
        <w:tc>
          <w:tcPr>
            <w:tcW w:w="2126" w:type="dxa"/>
            <w:tcBorders>
              <w:top w:val="single" w:sz="4" w:space="0" w:color="auto"/>
            </w:tcBorders>
            <w:shd w:val="clear" w:color="auto" w:fill="FFFFFF"/>
          </w:tcPr>
          <w:p w14:paraId="3E17FD5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c>
          <w:tcPr>
            <w:tcW w:w="2410" w:type="dxa"/>
            <w:tcBorders>
              <w:top w:val="single" w:sz="4" w:space="0" w:color="auto"/>
            </w:tcBorders>
            <w:shd w:val="clear" w:color="auto" w:fill="FFFFFF"/>
          </w:tcPr>
          <w:p w14:paraId="395EDA3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w:t>
            </w:r>
          </w:p>
        </w:tc>
        <w:tc>
          <w:tcPr>
            <w:tcW w:w="2693" w:type="dxa"/>
            <w:tcBorders>
              <w:top w:val="single" w:sz="4" w:space="0" w:color="auto"/>
            </w:tcBorders>
            <w:shd w:val="clear" w:color="auto" w:fill="FFFFFF"/>
          </w:tcPr>
          <w:p w14:paraId="06E6EB4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w:t>
            </w:r>
          </w:p>
        </w:tc>
      </w:tr>
      <w:tr w:rsidR="00B834A2" w:rsidRPr="00A54897" w14:paraId="6390B2EB" w14:textId="77777777" w:rsidTr="00B834A2">
        <w:tc>
          <w:tcPr>
            <w:tcW w:w="1135" w:type="dxa"/>
            <w:shd w:val="clear" w:color="auto" w:fill="FFFFFF"/>
          </w:tcPr>
          <w:p w14:paraId="3D8FEF2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Pb</w:t>
            </w:r>
          </w:p>
        </w:tc>
        <w:tc>
          <w:tcPr>
            <w:tcW w:w="1134" w:type="dxa"/>
            <w:shd w:val="clear" w:color="auto" w:fill="FFFFFF"/>
          </w:tcPr>
          <w:p w14:paraId="55D5E1AA"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1</w:t>
            </w:r>
          </w:p>
        </w:tc>
        <w:tc>
          <w:tcPr>
            <w:tcW w:w="2126" w:type="dxa"/>
            <w:shd w:val="clear" w:color="auto" w:fill="FFFFFF"/>
          </w:tcPr>
          <w:p w14:paraId="093F095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c>
          <w:tcPr>
            <w:tcW w:w="2410" w:type="dxa"/>
            <w:shd w:val="clear" w:color="auto" w:fill="FFFFFF"/>
          </w:tcPr>
          <w:p w14:paraId="5255BBC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c>
          <w:tcPr>
            <w:tcW w:w="2693" w:type="dxa"/>
            <w:shd w:val="clear" w:color="auto" w:fill="FFFFFF"/>
          </w:tcPr>
          <w:p w14:paraId="3E126A9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r>
      <w:tr w:rsidR="00B834A2" w:rsidRPr="00A54897" w14:paraId="47CECD6B" w14:textId="77777777" w:rsidTr="00B834A2">
        <w:tc>
          <w:tcPr>
            <w:tcW w:w="1135" w:type="dxa"/>
            <w:shd w:val="clear" w:color="auto" w:fill="FFFFFF"/>
          </w:tcPr>
          <w:p w14:paraId="412CCFD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As</w:t>
            </w:r>
          </w:p>
        </w:tc>
        <w:tc>
          <w:tcPr>
            <w:tcW w:w="1134" w:type="dxa"/>
            <w:shd w:val="clear" w:color="auto" w:fill="FFFFFF"/>
          </w:tcPr>
          <w:p w14:paraId="6F2D54B9"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1</w:t>
            </w:r>
          </w:p>
        </w:tc>
        <w:tc>
          <w:tcPr>
            <w:tcW w:w="2126" w:type="dxa"/>
            <w:shd w:val="clear" w:color="auto" w:fill="FFFFFF"/>
          </w:tcPr>
          <w:p w14:paraId="3918283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15</w:t>
            </w:r>
          </w:p>
        </w:tc>
        <w:tc>
          <w:tcPr>
            <w:tcW w:w="2410" w:type="dxa"/>
            <w:shd w:val="clear" w:color="auto" w:fill="FFFFFF"/>
          </w:tcPr>
          <w:p w14:paraId="6ECB3B6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15</w:t>
            </w:r>
          </w:p>
        </w:tc>
        <w:tc>
          <w:tcPr>
            <w:tcW w:w="2693" w:type="dxa"/>
            <w:shd w:val="clear" w:color="auto" w:fill="FFFFFF"/>
          </w:tcPr>
          <w:p w14:paraId="05B33A4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w:t>
            </w:r>
          </w:p>
        </w:tc>
      </w:tr>
      <w:tr w:rsidR="00B834A2" w:rsidRPr="00A54897" w14:paraId="58DEFE95" w14:textId="77777777" w:rsidTr="00B834A2">
        <w:tc>
          <w:tcPr>
            <w:tcW w:w="1135" w:type="dxa"/>
            <w:shd w:val="clear" w:color="auto" w:fill="FFFFFF"/>
          </w:tcPr>
          <w:p w14:paraId="63AB5AB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Hg</w:t>
            </w:r>
          </w:p>
        </w:tc>
        <w:tc>
          <w:tcPr>
            <w:tcW w:w="1134" w:type="dxa"/>
            <w:shd w:val="clear" w:color="auto" w:fill="FFFFFF"/>
          </w:tcPr>
          <w:p w14:paraId="3FC4C878"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1</w:t>
            </w:r>
          </w:p>
        </w:tc>
        <w:tc>
          <w:tcPr>
            <w:tcW w:w="2126" w:type="dxa"/>
            <w:shd w:val="clear" w:color="auto" w:fill="FFFFFF"/>
          </w:tcPr>
          <w:p w14:paraId="7B4B8C3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w:t>
            </w:r>
          </w:p>
        </w:tc>
        <w:tc>
          <w:tcPr>
            <w:tcW w:w="2410" w:type="dxa"/>
            <w:shd w:val="clear" w:color="auto" w:fill="FFFFFF"/>
          </w:tcPr>
          <w:p w14:paraId="1C4E238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2Italic"/>
                <w:i w:val="0"/>
                <w:sz w:val="20"/>
                <w:szCs w:val="20"/>
              </w:rPr>
              <w:t>3</w:t>
            </w:r>
          </w:p>
        </w:tc>
        <w:tc>
          <w:tcPr>
            <w:tcW w:w="2693" w:type="dxa"/>
            <w:shd w:val="clear" w:color="auto" w:fill="FFFFFF"/>
          </w:tcPr>
          <w:p w14:paraId="7CB5788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5D12A8AC" w14:textId="77777777" w:rsidTr="00B834A2">
        <w:tc>
          <w:tcPr>
            <w:tcW w:w="1135" w:type="dxa"/>
            <w:shd w:val="clear" w:color="auto" w:fill="FFFFFF"/>
          </w:tcPr>
          <w:p w14:paraId="7DD9850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Со</w:t>
            </w:r>
          </w:p>
        </w:tc>
        <w:tc>
          <w:tcPr>
            <w:tcW w:w="1134" w:type="dxa"/>
            <w:shd w:val="clear" w:color="auto" w:fill="FFFFFF"/>
          </w:tcPr>
          <w:p w14:paraId="1CD22548" w14:textId="77777777" w:rsidR="00B834A2" w:rsidRPr="00A54897" w:rsidRDefault="00B834A2" w:rsidP="00A54897">
            <w:pPr>
              <w:pStyle w:val="Bodytext20"/>
              <w:shd w:val="clear" w:color="auto" w:fill="auto"/>
              <w:spacing w:before="0" w:line="240" w:lineRule="auto"/>
              <w:ind w:left="273"/>
              <w:rPr>
                <w:rFonts w:ascii="Sylfaen" w:hAnsi="Sylfaen" w:cs="Sylfaen"/>
                <w:sz w:val="20"/>
                <w:szCs w:val="20"/>
              </w:rPr>
            </w:pPr>
            <w:r w:rsidRPr="00A54897">
              <w:rPr>
                <w:rStyle w:val="Bodytext31Sylfaen9"/>
                <w:i w:val="0"/>
                <w:sz w:val="20"/>
                <w:szCs w:val="20"/>
              </w:rPr>
              <w:t>2A</w:t>
            </w:r>
          </w:p>
        </w:tc>
        <w:tc>
          <w:tcPr>
            <w:tcW w:w="2126" w:type="dxa"/>
            <w:shd w:val="clear" w:color="auto" w:fill="FFFFFF"/>
          </w:tcPr>
          <w:p w14:paraId="44ED01D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50</w:t>
            </w:r>
          </w:p>
        </w:tc>
        <w:tc>
          <w:tcPr>
            <w:tcW w:w="2410" w:type="dxa"/>
            <w:shd w:val="clear" w:color="auto" w:fill="FFFFFF"/>
          </w:tcPr>
          <w:p w14:paraId="536B6D6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c>
          <w:tcPr>
            <w:tcW w:w="2693" w:type="dxa"/>
            <w:shd w:val="clear" w:color="auto" w:fill="FFFFFF"/>
          </w:tcPr>
          <w:p w14:paraId="5B51681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w:t>
            </w:r>
          </w:p>
        </w:tc>
      </w:tr>
      <w:tr w:rsidR="00B834A2" w:rsidRPr="00A54897" w14:paraId="2BC1838F" w14:textId="77777777" w:rsidTr="00B834A2">
        <w:tc>
          <w:tcPr>
            <w:tcW w:w="1135" w:type="dxa"/>
            <w:shd w:val="clear" w:color="auto" w:fill="FFFFFF"/>
          </w:tcPr>
          <w:p w14:paraId="2FDDAD6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V</w:t>
            </w:r>
          </w:p>
        </w:tc>
        <w:tc>
          <w:tcPr>
            <w:tcW w:w="1134" w:type="dxa"/>
            <w:shd w:val="clear" w:color="auto" w:fill="FFFFFF"/>
          </w:tcPr>
          <w:p w14:paraId="6652C107" w14:textId="77777777" w:rsidR="00B834A2" w:rsidRPr="00A54897" w:rsidRDefault="00B834A2" w:rsidP="00A54897">
            <w:pPr>
              <w:pStyle w:val="Bodytext20"/>
              <w:shd w:val="clear" w:color="auto" w:fill="auto"/>
              <w:spacing w:before="0" w:line="240" w:lineRule="auto"/>
              <w:ind w:left="273"/>
              <w:rPr>
                <w:rFonts w:ascii="Sylfaen" w:hAnsi="Sylfaen" w:cs="Sylfaen"/>
                <w:sz w:val="20"/>
                <w:szCs w:val="20"/>
              </w:rPr>
            </w:pPr>
            <w:r w:rsidRPr="00A54897">
              <w:rPr>
                <w:rStyle w:val="Bodytext31Sylfaen9"/>
                <w:i w:val="0"/>
                <w:sz w:val="20"/>
                <w:szCs w:val="20"/>
              </w:rPr>
              <w:t>2A</w:t>
            </w:r>
          </w:p>
        </w:tc>
        <w:tc>
          <w:tcPr>
            <w:tcW w:w="2126" w:type="dxa"/>
            <w:shd w:val="clear" w:color="auto" w:fill="FFFFFF"/>
          </w:tcPr>
          <w:p w14:paraId="0FC41D9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71B0AB0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219D548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46DBB639" w14:textId="77777777" w:rsidTr="00B834A2">
        <w:tc>
          <w:tcPr>
            <w:tcW w:w="1135" w:type="dxa"/>
            <w:shd w:val="clear" w:color="auto" w:fill="FFFFFF"/>
          </w:tcPr>
          <w:p w14:paraId="39E0D2B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Ni</w:t>
            </w:r>
          </w:p>
        </w:tc>
        <w:tc>
          <w:tcPr>
            <w:tcW w:w="1134" w:type="dxa"/>
            <w:shd w:val="clear" w:color="auto" w:fill="FFFFFF"/>
          </w:tcPr>
          <w:p w14:paraId="0100F1E1" w14:textId="77777777" w:rsidR="00B834A2" w:rsidRPr="00A54897" w:rsidRDefault="00B834A2" w:rsidP="00A54897">
            <w:pPr>
              <w:pStyle w:val="Bodytext20"/>
              <w:shd w:val="clear" w:color="auto" w:fill="auto"/>
              <w:spacing w:before="0" w:line="240" w:lineRule="auto"/>
              <w:ind w:left="273"/>
              <w:rPr>
                <w:rFonts w:ascii="Sylfaen" w:hAnsi="Sylfaen" w:cs="Sylfaen"/>
                <w:sz w:val="20"/>
                <w:szCs w:val="20"/>
              </w:rPr>
            </w:pPr>
            <w:r w:rsidRPr="00A54897">
              <w:rPr>
                <w:rStyle w:val="Bodytext31Sylfaen9"/>
                <w:i w:val="0"/>
                <w:sz w:val="20"/>
                <w:szCs w:val="20"/>
              </w:rPr>
              <w:t>2A</w:t>
            </w:r>
          </w:p>
        </w:tc>
        <w:tc>
          <w:tcPr>
            <w:tcW w:w="2126" w:type="dxa"/>
            <w:shd w:val="clear" w:color="auto" w:fill="FFFFFF"/>
          </w:tcPr>
          <w:p w14:paraId="1C4C031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200</w:t>
            </w:r>
          </w:p>
        </w:tc>
        <w:tc>
          <w:tcPr>
            <w:tcW w:w="2410" w:type="dxa"/>
            <w:shd w:val="clear" w:color="auto" w:fill="FFFFFF"/>
          </w:tcPr>
          <w:p w14:paraId="2B1EF4E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20</w:t>
            </w:r>
          </w:p>
        </w:tc>
        <w:tc>
          <w:tcPr>
            <w:tcW w:w="2693" w:type="dxa"/>
            <w:shd w:val="clear" w:color="auto" w:fill="FFFFFF"/>
          </w:tcPr>
          <w:p w14:paraId="5DA610B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w:t>
            </w:r>
          </w:p>
        </w:tc>
      </w:tr>
      <w:tr w:rsidR="00B834A2" w:rsidRPr="00A54897" w14:paraId="6618A1D1" w14:textId="77777777" w:rsidTr="00B834A2">
        <w:tc>
          <w:tcPr>
            <w:tcW w:w="1135" w:type="dxa"/>
            <w:shd w:val="clear" w:color="auto" w:fill="FFFFFF"/>
          </w:tcPr>
          <w:p w14:paraId="75EA8F5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T1</w:t>
            </w:r>
          </w:p>
        </w:tc>
        <w:tc>
          <w:tcPr>
            <w:tcW w:w="1134" w:type="dxa"/>
            <w:shd w:val="clear" w:color="auto" w:fill="FFFFFF"/>
          </w:tcPr>
          <w:p w14:paraId="428A906B"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58D3242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8</w:t>
            </w:r>
          </w:p>
        </w:tc>
        <w:tc>
          <w:tcPr>
            <w:tcW w:w="2410" w:type="dxa"/>
            <w:shd w:val="clear" w:color="auto" w:fill="FFFFFF"/>
          </w:tcPr>
          <w:p w14:paraId="371F9AE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8</w:t>
            </w:r>
          </w:p>
        </w:tc>
        <w:tc>
          <w:tcPr>
            <w:tcW w:w="2693" w:type="dxa"/>
            <w:shd w:val="clear" w:color="auto" w:fill="FFFFFF"/>
          </w:tcPr>
          <w:p w14:paraId="52857CF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8</w:t>
            </w:r>
          </w:p>
        </w:tc>
      </w:tr>
      <w:tr w:rsidR="00B834A2" w:rsidRPr="00A54897" w14:paraId="068D4FC1" w14:textId="77777777" w:rsidTr="00B834A2">
        <w:tc>
          <w:tcPr>
            <w:tcW w:w="1135" w:type="dxa"/>
            <w:shd w:val="clear" w:color="auto" w:fill="FFFFFF"/>
          </w:tcPr>
          <w:p w14:paraId="5A04B9B3" w14:textId="77777777" w:rsidR="00B834A2" w:rsidRPr="00A54897" w:rsidRDefault="00B834A2" w:rsidP="00A54897">
            <w:pPr>
              <w:pStyle w:val="Bodytext20"/>
              <w:shd w:val="clear" w:color="auto" w:fill="auto"/>
              <w:spacing w:before="0" w:line="240" w:lineRule="auto"/>
              <w:rPr>
                <w:rFonts w:ascii="Sylfaen" w:hAnsi="Sylfaen" w:cs="Sylfaen"/>
                <w:sz w:val="20"/>
                <w:szCs w:val="20"/>
                <w:lang w:val="en-GB"/>
              </w:rPr>
            </w:pPr>
            <w:r w:rsidRPr="00A54897">
              <w:rPr>
                <w:rStyle w:val="Bodytext31Sylfaen9"/>
                <w:i w:val="0"/>
                <w:sz w:val="20"/>
                <w:szCs w:val="20"/>
              </w:rPr>
              <w:t>A</w:t>
            </w:r>
            <w:r w:rsidRPr="00A54897">
              <w:rPr>
                <w:rStyle w:val="Bodytext31Sylfaen9"/>
                <w:i w:val="0"/>
                <w:sz w:val="20"/>
                <w:szCs w:val="20"/>
                <w:lang w:val="en-GB"/>
              </w:rPr>
              <w:t>u</w:t>
            </w:r>
          </w:p>
        </w:tc>
        <w:tc>
          <w:tcPr>
            <w:tcW w:w="1134" w:type="dxa"/>
            <w:shd w:val="clear" w:color="auto" w:fill="FFFFFF"/>
          </w:tcPr>
          <w:p w14:paraId="0254DBA7"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0C7B3E0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6F08754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693" w:type="dxa"/>
            <w:shd w:val="clear" w:color="auto" w:fill="FFFFFF"/>
          </w:tcPr>
          <w:p w14:paraId="32872B1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11BC3F9E" w14:textId="77777777" w:rsidTr="00B834A2">
        <w:tc>
          <w:tcPr>
            <w:tcW w:w="1135" w:type="dxa"/>
            <w:shd w:val="clear" w:color="auto" w:fill="FFFFFF"/>
          </w:tcPr>
          <w:p w14:paraId="7639414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Pd</w:t>
            </w:r>
          </w:p>
        </w:tc>
        <w:tc>
          <w:tcPr>
            <w:tcW w:w="1134" w:type="dxa"/>
            <w:shd w:val="clear" w:color="auto" w:fill="FFFFFF"/>
          </w:tcPr>
          <w:p w14:paraId="0D8A3A68"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0AEF53C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1A6D519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6EDF90A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373FD4D8" w14:textId="77777777" w:rsidTr="00B834A2">
        <w:tc>
          <w:tcPr>
            <w:tcW w:w="1135" w:type="dxa"/>
            <w:shd w:val="clear" w:color="auto" w:fill="FFFFFF"/>
          </w:tcPr>
          <w:p w14:paraId="7DE13CA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Ir</w:t>
            </w:r>
          </w:p>
        </w:tc>
        <w:tc>
          <w:tcPr>
            <w:tcW w:w="1134" w:type="dxa"/>
            <w:shd w:val="clear" w:color="auto" w:fill="FFFFFF"/>
          </w:tcPr>
          <w:p w14:paraId="44E1C676"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2487826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7DA23B3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53C7E8E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364B1D60" w14:textId="77777777" w:rsidTr="00B834A2">
        <w:tc>
          <w:tcPr>
            <w:tcW w:w="1135" w:type="dxa"/>
            <w:shd w:val="clear" w:color="auto" w:fill="FFFFFF"/>
          </w:tcPr>
          <w:p w14:paraId="26D528E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Os</w:t>
            </w:r>
          </w:p>
        </w:tc>
        <w:tc>
          <w:tcPr>
            <w:tcW w:w="1134" w:type="dxa"/>
            <w:shd w:val="clear" w:color="auto" w:fill="FFFFFF"/>
          </w:tcPr>
          <w:p w14:paraId="5A8EF5DD"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397B183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425CFCA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04546FA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1411C2CD" w14:textId="77777777" w:rsidTr="00B834A2">
        <w:tc>
          <w:tcPr>
            <w:tcW w:w="1135" w:type="dxa"/>
            <w:shd w:val="clear" w:color="auto" w:fill="FFFFFF"/>
          </w:tcPr>
          <w:p w14:paraId="7AB2B3F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Rh</w:t>
            </w:r>
          </w:p>
        </w:tc>
        <w:tc>
          <w:tcPr>
            <w:tcW w:w="1134" w:type="dxa"/>
            <w:shd w:val="clear" w:color="auto" w:fill="FFFFFF"/>
          </w:tcPr>
          <w:p w14:paraId="34AE8DCE"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2782DC8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6253AFF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3F93618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619CD015" w14:textId="77777777" w:rsidTr="00B834A2">
        <w:tc>
          <w:tcPr>
            <w:tcW w:w="1135" w:type="dxa"/>
            <w:shd w:val="clear" w:color="auto" w:fill="FFFFFF"/>
          </w:tcPr>
          <w:p w14:paraId="086AF9E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Ru</w:t>
            </w:r>
          </w:p>
        </w:tc>
        <w:tc>
          <w:tcPr>
            <w:tcW w:w="1134" w:type="dxa"/>
            <w:shd w:val="clear" w:color="auto" w:fill="FFFFFF"/>
          </w:tcPr>
          <w:p w14:paraId="0B010A8D"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41FE869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5C7DE74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651E973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2ACEE6F1" w14:textId="77777777" w:rsidTr="00B834A2">
        <w:tc>
          <w:tcPr>
            <w:tcW w:w="1135" w:type="dxa"/>
            <w:shd w:val="clear" w:color="auto" w:fill="FFFFFF"/>
          </w:tcPr>
          <w:p w14:paraId="57E7960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Se</w:t>
            </w:r>
          </w:p>
        </w:tc>
        <w:tc>
          <w:tcPr>
            <w:tcW w:w="1134" w:type="dxa"/>
            <w:shd w:val="clear" w:color="auto" w:fill="FFFFFF"/>
          </w:tcPr>
          <w:p w14:paraId="6A74B4E2"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1A4C307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150</w:t>
            </w:r>
          </w:p>
        </w:tc>
        <w:tc>
          <w:tcPr>
            <w:tcW w:w="2410" w:type="dxa"/>
            <w:shd w:val="clear" w:color="auto" w:fill="FFFFFF"/>
          </w:tcPr>
          <w:p w14:paraId="77EC5AC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80</w:t>
            </w:r>
          </w:p>
        </w:tc>
        <w:tc>
          <w:tcPr>
            <w:tcW w:w="2693" w:type="dxa"/>
            <w:shd w:val="clear" w:color="auto" w:fill="FFFFFF"/>
          </w:tcPr>
          <w:p w14:paraId="4163C02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130</w:t>
            </w:r>
          </w:p>
        </w:tc>
      </w:tr>
      <w:tr w:rsidR="00B834A2" w:rsidRPr="00A54897" w14:paraId="634FABEB" w14:textId="77777777" w:rsidTr="00B834A2">
        <w:tc>
          <w:tcPr>
            <w:tcW w:w="1135" w:type="dxa"/>
            <w:shd w:val="clear" w:color="auto" w:fill="FFFFFF"/>
          </w:tcPr>
          <w:p w14:paraId="5E7E786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Ag</w:t>
            </w:r>
          </w:p>
        </w:tc>
        <w:tc>
          <w:tcPr>
            <w:tcW w:w="1134" w:type="dxa"/>
            <w:shd w:val="clear" w:color="auto" w:fill="FFFFFF"/>
          </w:tcPr>
          <w:p w14:paraId="34DED560"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63AC8D4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150</w:t>
            </w:r>
          </w:p>
        </w:tc>
        <w:tc>
          <w:tcPr>
            <w:tcW w:w="2410" w:type="dxa"/>
            <w:shd w:val="clear" w:color="auto" w:fill="FFFFFF"/>
          </w:tcPr>
          <w:p w14:paraId="6DB5C37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7118E68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7</w:t>
            </w:r>
          </w:p>
        </w:tc>
      </w:tr>
      <w:tr w:rsidR="00B834A2" w:rsidRPr="00A54897" w14:paraId="7621D290" w14:textId="77777777" w:rsidTr="00B834A2">
        <w:tc>
          <w:tcPr>
            <w:tcW w:w="1135" w:type="dxa"/>
            <w:shd w:val="clear" w:color="auto" w:fill="FFFFFF"/>
          </w:tcPr>
          <w:p w14:paraId="0283341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Pt</w:t>
            </w:r>
          </w:p>
        </w:tc>
        <w:tc>
          <w:tcPr>
            <w:tcW w:w="1134" w:type="dxa"/>
            <w:shd w:val="clear" w:color="auto" w:fill="FFFFFF"/>
          </w:tcPr>
          <w:p w14:paraId="7E72D290"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2B</w:t>
            </w:r>
          </w:p>
        </w:tc>
        <w:tc>
          <w:tcPr>
            <w:tcW w:w="2126" w:type="dxa"/>
            <w:shd w:val="clear" w:color="auto" w:fill="FFFFFF"/>
          </w:tcPr>
          <w:p w14:paraId="1604C79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100</w:t>
            </w:r>
          </w:p>
        </w:tc>
        <w:tc>
          <w:tcPr>
            <w:tcW w:w="2410" w:type="dxa"/>
            <w:shd w:val="clear" w:color="auto" w:fill="FFFFFF"/>
          </w:tcPr>
          <w:p w14:paraId="5069BE3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c>
          <w:tcPr>
            <w:tcW w:w="2693" w:type="dxa"/>
            <w:shd w:val="clear" w:color="auto" w:fill="FFFFFF"/>
          </w:tcPr>
          <w:p w14:paraId="03B29C4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w:t>
            </w:r>
          </w:p>
        </w:tc>
      </w:tr>
      <w:tr w:rsidR="00B834A2" w:rsidRPr="00A54897" w14:paraId="60835984" w14:textId="77777777" w:rsidTr="00B834A2">
        <w:tc>
          <w:tcPr>
            <w:tcW w:w="1135" w:type="dxa"/>
            <w:shd w:val="clear" w:color="auto" w:fill="FFFFFF"/>
          </w:tcPr>
          <w:p w14:paraId="0A97D3C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Li</w:t>
            </w:r>
          </w:p>
        </w:tc>
        <w:tc>
          <w:tcPr>
            <w:tcW w:w="1134" w:type="dxa"/>
            <w:shd w:val="clear" w:color="auto" w:fill="FFFFFF"/>
          </w:tcPr>
          <w:p w14:paraId="7DA5321D"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4580902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550</w:t>
            </w:r>
          </w:p>
        </w:tc>
        <w:tc>
          <w:tcPr>
            <w:tcW w:w="2410" w:type="dxa"/>
            <w:shd w:val="clear" w:color="auto" w:fill="FFFFFF"/>
          </w:tcPr>
          <w:p w14:paraId="7026E75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250</w:t>
            </w:r>
          </w:p>
        </w:tc>
        <w:tc>
          <w:tcPr>
            <w:tcW w:w="2693" w:type="dxa"/>
            <w:shd w:val="clear" w:color="auto" w:fill="FFFFFF"/>
          </w:tcPr>
          <w:p w14:paraId="1F85867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25</w:t>
            </w:r>
          </w:p>
        </w:tc>
      </w:tr>
      <w:tr w:rsidR="00B834A2" w:rsidRPr="00A54897" w14:paraId="65F0A7F6" w14:textId="77777777" w:rsidTr="00B834A2">
        <w:tc>
          <w:tcPr>
            <w:tcW w:w="1135" w:type="dxa"/>
            <w:shd w:val="clear" w:color="auto" w:fill="FFFFFF"/>
          </w:tcPr>
          <w:p w14:paraId="2A0E0D3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Sb</w:t>
            </w:r>
          </w:p>
        </w:tc>
        <w:tc>
          <w:tcPr>
            <w:tcW w:w="1134" w:type="dxa"/>
            <w:shd w:val="clear" w:color="auto" w:fill="FFFFFF"/>
          </w:tcPr>
          <w:p w14:paraId="781D14BF"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0EB1DE9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1,200</w:t>
            </w:r>
          </w:p>
        </w:tc>
        <w:tc>
          <w:tcPr>
            <w:tcW w:w="2410" w:type="dxa"/>
            <w:shd w:val="clear" w:color="auto" w:fill="FFFFFF"/>
          </w:tcPr>
          <w:p w14:paraId="58B4523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90</w:t>
            </w:r>
          </w:p>
        </w:tc>
        <w:tc>
          <w:tcPr>
            <w:tcW w:w="2693" w:type="dxa"/>
            <w:shd w:val="clear" w:color="auto" w:fill="FFFFFF"/>
          </w:tcPr>
          <w:p w14:paraId="18C202C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20</w:t>
            </w:r>
          </w:p>
        </w:tc>
      </w:tr>
      <w:tr w:rsidR="00B834A2" w:rsidRPr="00A54897" w14:paraId="2F55796D" w14:textId="77777777" w:rsidTr="00B834A2">
        <w:tc>
          <w:tcPr>
            <w:tcW w:w="1135" w:type="dxa"/>
            <w:shd w:val="clear" w:color="auto" w:fill="FFFFFF"/>
          </w:tcPr>
          <w:p w14:paraId="5C68804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Ba</w:t>
            </w:r>
          </w:p>
        </w:tc>
        <w:tc>
          <w:tcPr>
            <w:tcW w:w="1134" w:type="dxa"/>
            <w:shd w:val="clear" w:color="auto" w:fill="FFFFFF"/>
          </w:tcPr>
          <w:p w14:paraId="300D0911"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7F21A7A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1,400</w:t>
            </w:r>
          </w:p>
        </w:tc>
        <w:tc>
          <w:tcPr>
            <w:tcW w:w="2410" w:type="dxa"/>
            <w:shd w:val="clear" w:color="auto" w:fill="FFFFFF"/>
          </w:tcPr>
          <w:p w14:paraId="49292FF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700</w:t>
            </w:r>
          </w:p>
        </w:tc>
        <w:tc>
          <w:tcPr>
            <w:tcW w:w="2693" w:type="dxa"/>
            <w:shd w:val="clear" w:color="auto" w:fill="FFFFFF"/>
          </w:tcPr>
          <w:p w14:paraId="4C212A0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300</w:t>
            </w:r>
          </w:p>
        </w:tc>
      </w:tr>
      <w:tr w:rsidR="00B834A2" w:rsidRPr="00A54897" w14:paraId="434A9190" w14:textId="77777777" w:rsidTr="00B834A2">
        <w:tc>
          <w:tcPr>
            <w:tcW w:w="1135" w:type="dxa"/>
            <w:shd w:val="clear" w:color="auto" w:fill="FFFFFF"/>
          </w:tcPr>
          <w:p w14:paraId="7D20173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Mo</w:t>
            </w:r>
          </w:p>
        </w:tc>
        <w:tc>
          <w:tcPr>
            <w:tcW w:w="1134" w:type="dxa"/>
            <w:shd w:val="clear" w:color="auto" w:fill="FFFFFF"/>
          </w:tcPr>
          <w:p w14:paraId="5328C51F"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5E1F0C3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3,000</w:t>
            </w:r>
          </w:p>
        </w:tc>
        <w:tc>
          <w:tcPr>
            <w:tcW w:w="2410" w:type="dxa"/>
            <w:shd w:val="clear" w:color="auto" w:fill="FFFFFF"/>
          </w:tcPr>
          <w:p w14:paraId="68240DD7" w14:textId="77777777" w:rsidR="00B834A2" w:rsidRPr="00A54897" w:rsidRDefault="00B834A2" w:rsidP="00A54897">
            <w:pPr>
              <w:pStyle w:val="Bodytext20"/>
              <w:shd w:val="clear" w:color="auto" w:fill="auto"/>
              <w:spacing w:before="0" w:line="240" w:lineRule="auto"/>
              <w:ind w:left="982"/>
              <w:jc w:val="left"/>
              <w:rPr>
                <w:rFonts w:ascii="Sylfaen" w:hAnsi="Sylfaen" w:cs="Sylfaen"/>
                <w:sz w:val="20"/>
                <w:szCs w:val="20"/>
              </w:rPr>
            </w:pPr>
            <w:r w:rsidRPr="00A54897">
              <w:rPr>
                <w:rStyle w:val="Bodytext31Sylfaen9"/>
                <w:i w:val="0"/>
                <w:sz w:val="20"/>
                <w:szCs w:val="20"/>
              </w:rPr>
              <w:t>1,500</w:t>
            </w:r>
          </w:p>
        </w:tc>
        <w:tc>
          <w:tcPr>
            <w:tcW w:w="2693" w:type="dxa"/>
            <w:shd w:val="clear" w:color="auto" w:fill="FFFFFF"/>
          </w:tcPr>
          <w:p w14:paraId="4A33E0F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10</w:t>
            </w:r>
          </w:p>
        </w:tc>
      </w:tr>
      <w:tr w:rsidR="00B834A2" w:rsidRPr="00A54897" w14:paraId="5AD118A6" w14:textId="77777777" w:rsidTr="00B834A2">
        <w:tc>
          <w:tcPr>
            <w:tcW w:w="1135" w:type="dxa"/>
            <w:shd w:val="clear" w:color="auto" w:fill="FFFFFF"/>
          </w:tcPr>
          <w:p w14:paraId="1EBF2AB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Cu</w:t>
            </w:r>
          </w:p>
        </w:tc>
        <w:tc>
          <w:tcPr>
            <w:tcW w:w="1134" w:type="dxa"/>
            <w:shd w:val="clear" w:color="auto" w:fill="FFFFFF"/>
          </w:tcPr>
          <w:p w14:paraId="26D75DF1"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2F3BB2C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3,000</w:t>
            </w:r>
          </w:p>
        </w:tc>
        <w:tc>
          <w:tcPr>
            <w:tcW w:w="2410" w:type="dxa"/>
            <w:shd w:val="clear" w:color="auto" w:fill="FFFFFF"/>
          </w:tcPr>
          <w:p w14:paraId="2045658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300</w:t>
            </w:r>
          </w:p>
        </w:tc>
        <w:tc>
          <w:tcPr>
            <w:tcW w:w="2693" w:type="dxa"/>
            <w:shd w:val="clear" w:color="auto" w:fill="FFFFFF"/>
          </w:tcPr>
          <w:p w14:paraId="2155274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30</w:t>
            </w:r>
          </w:p>
        </w:tc>
      </w:tr>
      <w:tr w:rsidR="00B834A2" w:rsidRPr="00A54897" w14:paraId="0D9506BA" w14:textId="77777777" w:rsidTr="00B834A2">
        <w:tc>
          <w:tcPr>
            <w:tcW w:w="1135" w:type="dxa"/>
            <w:shd w:val="clear" w:color="auto" w:fill="FFFFFF"/>
          </w:tcPr>
          <w:p w14:paraId="22AB7F2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Sn</w:t>
            </w:r>
          </w:p>
        </w:tc>
        <w:tc>
          <w:tcPr>
            <w:tcW w:w="1134" w:type="dxa"/>
            <w:shd w:val="clear" w:color="auto" w:fill="FFFFFF"/>
          </w:tcPr>
          <w:p w14:paraId="283AF09D"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shd w:val="clear" w:color="auto" w:fill="FFFFFF"/>
          </w:tcPr>
          <w:p w14:paraId="782D75E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6,000</w:t>
            </w:r>
          </w:p>
        </w:tc>
        <w:tc>
          <w:tcPr>
            <w:tcW w:w="2410" w:type="dxa"/>
            <w:shd w:val="clear" w:color="auto" w:fill="FFFFFF"/>
          </w:tcPr>
          <w:p w14:paraId="0310E19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600</w:t>
            </w:r>
          </w:p>
        </w:tc>
        <w:tc>
          <w:tcPr>
            <w:tcW w:w="2693" w:type="dxa"/>
            <w:shd w:val="clear" w:color="auto" w:fill="FFFFFF"/>
          </w:tcPr>
          <w:p w14:paraId="39ABC44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60</w:t>
            </w:r>
          </w:p>
        </w:tc>
      </w:tr>
      <w:tr w:rsidR="00B834A2" w:rsidRPr="00A54897" w14:paraId="27AD1D07" w14:textId="77777777" w:rsidTr="00B834A2">
        <w:tc>
          <w:tcPr>
            <w:tcW w:w="1135" w:type="dxa"/>
            <w:tcBorders>
              <w:bottom w:val="single" w:sz="4" w:space="0" w:color="auto"/>
            </w:tcBorders>
            <w:shd w:val="clear" w:color="auto" w:fill="FFFFFF"/>
          </w:tcPr>
          <w:p w14:paraId="292FC38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Cr</w:t>
            </w:r>
          </w:p>
        </w:tc>
        <w:tc>
          <w:tcPr>
            <w:tcW w:w="1134" w:type="dxa"/>
            <w:tcBorders>
              <w:bottom w:val="single" w:sz="4" w:space="0" w:color="auto"/>
            </w:tcBorders>
            <w:shd w:val="clear" w:color="auto" w:fill="FFFFFF"/>
          </w:tcPr>
          <w:p w14:paraId="286C96C4" w14:textId="77777777" w:rsidR="00B834A2" w:rsidRPr="00A54897" w:rsidRDefault="00B834A2" w:rsidP="00A54897">
            <w:pPr>
              <w:pStyle w:val="Bodytext20"/>
              <w:shd w:val="clear" w:color="auto" w:fill="auto"/>
              <w:spacing w:before="0" w:line="240" w:lineRule="auto"/>
              <w:ind w:left="160"/>
              <w:rPr>
                <w:rFonts w:ascii="Sylfaen" w:hAnsi="Sylfaen" w:cs="Sylfaen"/>
                <w:sz w:val="20"/>
                <w:szCs w:val="20"/>
              </w:rPr>
            </w:pPr>
            <w:r w:rsidRPr="00A54897">
              <w:rPr>
                <w:rStyle w:val="Bodytext31Sylfaen9"/>
                <w:i w:val="0"/>
                <w:sz w:val="20"/>
                <w:szCs w:val="20"/>
              </w:rPr>
              <w:t>3</w:t>
            </w:r>
          </w:p>
        </w:tc>
        <w:tc>
          <w:tcPr>
            <w:tcW w:w="2126" w:type="dxa"/>
            <w:tcBorders>
              <w:bottom w:val="single" w:sz="4" w:space="0" w:color="auto"/>
            </w:tcBorders>
            <w:shd w:val="clear" w:color="auto" w:fill="FFFFFF"/>
          </w:tcPr>
          <w:p w14:paraId="68E0A1AF" w14:textId="77777777" w:rsidR="00B834A2" w:rsidRPr="00A54897" w:rsidRDefault="00B834A2" w:rsidP="00A54897">
            <w:pPr>
              <w:pStyle w:val="Bodytext20"/>
              <w:shd w:val="clear" w:color="auto" w:fill="auto"/>
              <w:spacing w:before="0" w:line="240" w:lineRule="auto"/>
              <w:ind w:left="280"/>
              <w:rPr>
                <w:rFonts w:ascii="Sylfaen" w:hAnsi="Sylfaen" w:cs="Sylfaen"/>
                <w:sz w:val="20"/>
                <w:szCs w:val="20"/>
              </w:rPr>
            </w:pPr>
            <w:r w:rsidRPr="00A54897">
              <w:rPr>
                <w:rStyle w:val="Bodytext31Sylfaen9"/>
                <w:i w:val="0"/>
                <w:sz w:val="20"/>
                <w:szCs w:val="20"/>
              </w:rPr>
              <w:t>11,000</w:t>
            </w:r>
          </w:p>
        </w:tc>
        <w:tc>
          <w:tcPr>
            <w:tcW w:w="2410" w:type="dxa"/>
            <w:tcBorders>
              <w:bottom w:val="single" w:sz="4" w:space="0" w:color="auto"/>
            </w:tcBorders>
            <w:shd w:val="clear" w:color="auto" w:fill="FFFFFF"/>
          </w:tcPr>
          <w:p w14:paraId="0CA7B787" w14:textId="77777777" w:rsidR="00B834A2" w:rsidRPr="00A54897" w:rsidRDefault="00B834A2" w:rsidP="00A54897">
            <w:pPr>
              <w:pStyle w:val="Bodytext20"/>
              <w:shd w:val="clear" w:color="auto" w:fill="auto"/>
              <w:spacing w:before="0" w:line="240" w:lineRule="auto"/>
              <w:ind w:left="320"/>
              <w:rPr>
                <w:rFonts w:ascii="Sylfaen" w:hAnsi="Sylfaen" w:cs="Sylfaen"/>
                <w:sz w:val="20"/>
                <w:szCs w:val="20"/>
              </w:rPr>
            </w:pPr>
            <w:r w:rsidRPr="00A54897">
              <w:rPr>
                <w:rStyle w:val="Bodytext31Sylfaen9"/>
                <w:i w:val="0"/>
                <w:sz w:val="20"/>
                <w:szCs w:val="20"/>
              </w:rPr>
              <w:t>1,100</w:t>
            </w:r>
          </w:p>
        </w:tc>
        <w:tc>
          <w:tcPr>
            <w:tcW w:w="2693" w:type="dxa"/>
            <w:tcBorders>
              <w:bottom w:val="single" w:sz="4" w:space="0" w:color="auto"/>
            </w:tcBorders>
            <w:shd w:val="clear" w:color="auto" w:fill="FFFFFF"/>
          </w:tcPr>
          <w:p w14:paraId="193880A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i w:val="0"/>
                <w:sz w:val="20"/>
                <w:szCs w:val="20"/>
              </w:rPr>
              <w:t>3</w:t>
            </w:r>
          </w:p>
        </w:tc>
      </w:tr>
    </w:tbl>
    <w:p w14:paraId="373F6784" w14:textId="77777777" w:rsidR="00B834A2" w:rsidRPr="00B834A2" w:rsidRDefault="00B834A2" w:rsidP="00B834A2">
      <w:pPr>
        <w:pStyle w:val="Bodytext20"/>
        <w:shd w:val="clear" w:color="auto" w:fill="auto"/>
        <w:spacing w:before="0" w:after="160" w:line="360" w:lineRule="auto"/>
        <w:ind w:firstLine="480"/>
        <w:rPr>
          <w:rStyle w:val="Tablecaption13105pt"/>
          <w:sz w:val="24"/>
          <w:szCs w:val="24"/>
        </w:rPr>
      </w:pPr>
    </w:p>
    <w:p w14:paraId="167301DB" w14:textId="77777777" w:rsidR="00B834A2" w:rsidRPr="00A54897" w:rsidRDefault="00B834A2" w:rsidP="00A54897">
      <w:pPr>
        <w:pStyle w:val="Bodytext20"/>
        <w:shd w:val="clear" w:color="auto" w:fill="auto"/>
        <w:spacing w:before="0" w:after="160" w:line="360" w:lineRule="auto"/>
        <w:ind w:firstLine="567"/>
        <w:jc w:val="both"/>
        <w:rPr>
          <w:rFonts w:ascii="Sylfaen" w:hAnsi="Sylfaen"/>
          <w:sz w:val="20"/>
          <w:szCs w:val="24"/>
        </w:rPr>
      </w:pPr>
      <w:r w:rsidRPr="00A54897">
        <w:rPr>
          <w:rStyle w:val="Tablecaption13105pt"/>
          <w:b/>
          <w:sz w:val="20"/>
          <w:szCs w:val="24"/>
        </w:rPr>
        <w:lastRenderedPageBreak/>
        <w:t xml:space="preserve">Ծանոթագրություն.* </w:t>
      </w:r>
      <w:r w:rsidRPr="00A54897">
        <w:rPr>
          <w:rFonts w:ascii="Sylfaen" w:hAnsi="Sylfaen"/>
          <w:sz w:val="20"/>
          <w:szCs w:val="24"/>
        </w:rPr>
        <w:t>Գործնական կիրառման հարմարության համար 10-ից պակաս ԹՕՆ-ի արժեքներն ունեն մեկ իմաստալից թվանշան եւ կլորացված են մինչեւ մոտակա ամբողջ թիվը։ 10-ից ավելի ԹՕՆ-ի արժեքները սահմանված կարգով կլորացված են մինչեւ մեկ կամ երկու իմաստալից թվանշանները։</w:t>
      </w:r>
    </w:p>
    <w:p w14:paraId="551AEC4C" w14:textId="77777777" w:rsidR="00B834A2" w:rsidRPr="00B834A2" w:rsidRDefault="00B834A2" w:rsidP="00B834A2">
      <w:pPr>
        <w:pStyle w:val="Bodytext20"/>
        <w:shd w:val="clear" w:color="auto" w:fill="auto"/>
        <w:spacing w:before="0" w:after="160" w:line="360" w:lineRule="auto"/>
        <w:ind w:firstLine="480"/>
        <w:rPr>
          <w:rStyle w:val="Bodytext31Sylfaen9"/>
          <w:sz w:val="24"/>
          <w:szCs w:val="24"/>
        </w:rPr>
      </w:pPr>
    </w:p>
    <w:p w14:paraId="04E8133A" w14:textId="77777777" w:rsidR="00B834A2" w:rsidRPr="00A54897" w:rsidRDefault="00B834A2" w:rsidP="00A54897">
      <w:pPr>
        <w:pStyle w:val="Bodytext20"/>
        <w:shd w:val="clear" w:color="auto" w:fill="auto"/>
        <w:spacing w:before="0" w:after="160" w:line="360" w:lineRule="auto"/>
        <w:ind w:firstLine="567"/>
        <w:jc w:val="both"/>
        <w:rPr>
          <w:rStyle w:val="Bodytext31Sylfaen9"/>
          <w:b/>
          <w:i w:val="0"/>
          <w:sz w:val="24"/>
          <w:szCs w:val="24"/>
        </w:rPr>
      </w:pPr>
      <w:r w:rsidRPr="00A54897">
        <w:rPr>
          <w:rStyle w:val="Bodytext31Sylfaen9"/>
          <w:b/>
          <w:i w:val="0"/>
          <w:sz w:val="24"/>
          <w:szCs w:val="24"/>
        </w:rPr>
        <w:t>ԴԵՂԱՄԻՋՈՑՆԵՐՈՒՄ ՏԱՐՐԵՐԻ ԽԱՌՆՈՒԿՆԵՐԻ ՆԿԱՏՄԱՄԲ ՀՍԿՈՂՈՒԹՅՈՒՆԸ</w:t>
      </w:r>
    </w:p>
    <w:p w14:paraId="563655F6" w14:textId="77777777" w:rsidR="00B834A2" w:rsidRPr="00A54897" w:rsidRDefault="00B834A2" w:rsidP="00A54897">
      <w:pPr>
        <w:pStyle w:val="Bodytext20"/>
        <w:shd w:val="clear" w:color="auto" w:fill="auto"/>
        <w:spacing w:before="0" w:after="160" w:line="360" w:lineRule="auto"/>
        <w:ind w:firstLine="567"/>
        <w:jc w:val="both"/>
        <w:rPr>
          <w:rStyle w:val="Bodytext31Sylfaen9"/>
          <w:i w:val="0"/>
          <w:sz w:val="24"/>
          <w:szCs w:val="24"/>
        </w:rPr>
      </w:pPr>
      <w:r w:rsidRPr="00A54897">
        <w:rPr>
          <w:rStyle w:val="Bodytext31Sylfaen9"/>
          <w:i w:val="0"/>
          <w:sz w:val="24"/>
          <w:szCs w:val="24"/>
        </w:rPr>
        <w:t>Տարրերի խառնուկների նկատմամբ հսկողությունը դեղամիջոցների նկատմամբ հսկողության ընդհանուր ռազմավարության մի մասն է, որով ապահովվում է, որ դեղապատրաստուկներում տարրերի խառնուկների պարունակությունը չգերազանցի ԹՕՆ-ի արժեքները։ Հսկողության շեմը գերազանցելու դեպքում ձեռնարկվում են լրացուցիչ միջոցներ, որոնք կարող են ներառել հետեւյալը.</w:t>
      </w:r>
    </w:p>
    <w:p w14:paraId="7D8C998D" w14:textId="77777777" w:rsidR="00B834A2" w:rsidRPr="00B834A2" w:rsidRDefault="00B834A2" w:rsidP="00A54897">
      <w:pPr>
        <w:pStyle w:val="Bodytext20"/>
        <w:shd w:val="clear" w:color="auto" w:fill="auto"/>
        <w:tabs>
          <w:tab w:val="left" w:pos="1134"/>
        </w:tabs>
        <w:spacing w:before="0" w:after="160" w:line="360" w:lineRule="auto"/>
        <w:ind w:firstLine="567"/>
        <w:jc w:val="both"/>
        <w:rPr>
          <w:rStyle w:val="Bodytext31Sylfaen9"/>
          <w:sz w:val="24"/>
          <w:szCs w:val="24"/>
        </w:rPr>
      </w:pPr>
      <w:r w:rsidRPr="00A54897">
        <w:rPr>
          <w:rFonts w:ascii="Sylfaen" w:hAnsi="Sylfaen"/>
          <w:sz w:val="24"/>
          <w:szCs w:val="24"/>
        </w:rPr>
        <w:t>-</w:t>
      </w:r>
      <w:r w:rsidR="00A54897" w:rsidRPr="00A54897">
        <w:rPr>
          <w:rFonts w:ascii="Sylfaen" w:hAnsi="Sylfaen"/>
          <w:sz w:val="24"/>
          <w:szCs w:val="24"/>
        </w:rPr>
        <w:tab/>
      </w:r>
      <w:r w:rsidRPr="00A54897">
        <w:rPr>
          <w:rFonts w:ascii="Sylfaen" w:hAnsi="Sylfaen"/>
          <w:sz w:val="24"/>
          <w:szCs w:val="24"/>
        </w:rPr>
        <w:t>արտադրության գործընթացի փուլերի մոդիֆիկացումը, որը նպաստում</w:t>
      </w:r>
      <w:r w:rsidR="00A54897" w:rsidRPr="00A54897">
        <w:rPr>
          <w:rFonts w:ascii="Sylfaen" w:hAnsi="Sylfaen"/>
          <w:sz w:val="24"/>
          <w:szCs w:val="24"/>
        </w:rPr>
        <w:t> </w:t>
      </w:r>
      <w:r w:rsidRPr="00A54897">
        <w:rPr>
          <w:rFonts w:ascii="Sylfaen" w:hAnsi="Sylfaen"/>
          <w:sz w:val="24"/>
          <w:szCs w:val="24"/>
        </w:rPr>
        <w:t>է</w:t>
      </w:r>
      <w:r w:rsidRPr="00B834A2">
        <w:rPr>
          <w:rFonts w:ascii="Sylfaen" w:hAnsi="Sylfaen"/>
          <w:sz w:val="24"/>
          <w:szCs w:val="24"/>
        </w:rPr>
        <w:t xml:space="preserve"> մաքրման առանձնահատուկ կամ ոչ առանձնահատուկ միջոցառումների միջոցով տարրերի խառնուկների պարունակության նվազմանը մինչեւ հսկողության շեմը չգերազանցող արժեքները.</w:t>
      </w:r>
    </w:p>
    <w:p w14:paraId="15EBB89A" w14:textId="77777777" w:rsidR="00B834A2" w:rsidRPr="00A54897" w:rsidRDefault="00B834A2" w:rsidP="00A54897">
      <w:pPr>
        <w:tabs>
          <w:tab w:val="left" w:pos="1134"/>
        </w:tabs>
        <w:spacing w:after="160" w:line="360" w:lineRule="auto"/>
        <w:ind w:firstLine="567"/>
        <w:jc w:val="both"/>
        <w:rPr>
          <w:rFonts w:eastAsia="Times New Roman" w:cs="Times New Roman"/>
          <w:i/>
          <w:iCs/>
        </w:rPr>
      </w:pPr>
      <w:r w:rsidRPr="00B834A2">
        <w:t>-</w:t>
      </w:r>
      <w:r w:rsidR="00A54897" w:rsidRPr="00A859E3">
        <w:tab/>
      </w:r>
      <w:r w:rsidRPr="00A54897">
        <w:rPr>
          <w:rFonts w:eastAsia="Times New Roman" w:cs="Times New Roman"/>
        </w:rPr>
        <w:t>դեղապատրաստուկում տարրերի խառնուկների պարունակությունը սահմանափակելու (հսկողության շեմից ցածր) նպատակով մշակված ներարտադրական եւ արտադրության մեկնարկին նախորդող հսկողության տեսակների իրականացումը.</w:t>
      </w:r>
    </w:p>
    <w:p w14:paraId="0F15A186" w14:textId="77777777" w:rsidR="00B834A2" w:rsidRPr="00A54897" w:rsidRDefault="00B834A2" w:rsidP="00A54897">
      <w:pPr>
        <w:tabs>
          <w:tab w:val="left" w:pos="1134"/>
        </w:tabs>
        <w:spacing w:after="160" w:line="360" w:lineRule="auto"/>
        <w:ind w:firstLine="567"/>
        <w:jc w:val="both"/>
        <w:rPr>
          <w:rFonts w:eastAsia="Times New Roman" w:cs="Times New Roman"/>
          <w:i/>
          <w:iCs/>
        </w:rPr>
      </w:pPr>
      <w:r w:rsidRPr="00A54897">
        <w:rPr>
          <w:rFonts w:eastAsia="Times New Roman" w:cs="Times New Roman"/>
        </w:rPr>
        <w:t>-</w:t>
      </w:r>
      <w:r w:rsidR="00A54897" w:rsidRPr="00A859E3">
        <w:rPr>
          <w:rFonts w:eastAsia="Times New Roman" w:cs="Times New Roman"/>
        </w:rPr>
        <w:tab/>
      </w:r>
      <w:r w:rsidRPr="00A54897">
        <w:rPr>
          <w:rFonts w:eastAsia="Times New Roman" w:cs="Times New Roman"/>
        </w:rPr>
        <w:t>օժանդակ նյութերի, սինթետիկ միջանկյալ արգասիքների եւ այլնի մասնագրերում տարրերի խառնուկների պարունակության սահմանների որոշումը.</w:t>
      </w:r>
    </w:p>
    <w:p w14:paraId="4BE24049" w14:textId="77777777" w:rsidR="00B834A2" w:rsidRPr="00DE4F37" w:rsidRDefault="00B834A2" w:rsidP="00A54897">
      <w:pPr>
        <w:tabs>
          <w:tab w:val="left" w:pos="1134"/>
        </w:tabs>
        <w:spacing w:after="160" w:line="360" w:lineRule="auto"/>
        <w:ind w:firstLine="567"/>
        <w:jc w:val="both"/>
        <w:rPr>
          <w:rFonts w:eastAsia="Times New Roman" w:cs="Times New Roman"/>
        </w:rPr>
      </w:pPr>
      <w:r w:rsidRPr="00A54897">
        <w:rPr>
          <w:rFonts w:eastAsia="Times New Roman" w:cs="Times New Roman"/>
        </w:rPr>
        <w:t>-</w:t>
      </w:r>
      <w:r w:rsidR="00A54897" w:rsidRPr="00A859E3">
        <w:rPr>
          <w:rFonts w:eastAsia="Times New Roman" w:cs="Times New Roman"/>
        </w:rPr>
        <w:tab/>
      </w:r>
      <w:r w:rsidRPr="00A54897">
        <w:rPr>
          <w:rFonts w:eastAsia="Times New Roman" w:cs="Times New Roman"/>
        </w:rPr>
        <w:t>ակտիվ դեղագործական բաղադրամասի մասնագրում տարրերի խառնուկների պարունակության սահմանների որոշումը.</w:t>
      </w:r>
    </w:p>
    <w:p w14:paraId="41C9099C" w14:textId="77777777" w:rsidR="001636CE" w:rsidRPr="00DE4F37" w:rsidRDefault="001636CE" w:rsidP="00A54897">
      <w:pPr>
        <w:tabs>
          <w:tab w:val="left" w:pos="1134"/>
        </w:tabs>
        <w:spacing w:after="160" w:line="360" w:lineRule="auto"/>
        <w:ind w:firstLine="567"/>
        <w:jc w:val="both"/>
        <w:rPr>
          <w:rFonts w:eastAsia="Times New Roman" w:cs="Times New Roman"/>
          <w:i/>
          <w:iCs/>
        </w:rPr>
      </w:pPr>
    </w:p>
    <w:p w14:paraId="58827E63" w14:textId="77777777" w:rsidR="00B834A2" w:rsidRPr="00B834A2" w:rsidRDefault="00B834A2" w:rsidP="00A54897">
      <w:pPr>
        <w:tabs>
          <w:tab w:val="left" w:pos="1134"/>
        </w:tabs>
        <w:spacing w:after="160" w:line="360" w:lineRule="auto"/>
        <w:ind w:firstLine="567"/>
        <w:jc w:val="both"/>
        <w:rPr>
          <w:rStyle w:val="Bodytext31Sylfaen9"/>
          <w:sz w:val="24"/>
          <w:szCs w:val="24"/>
        </w:rPr>
      </w:pPr>
      <w:r w:rsidRPr="00A54897">
        <w:rPr>
          <w:rFonts w:eastAsia="Times New Roman" w:cs="Times New Roman"/>
        </w:rPr>
        <w:lastRenderedPageBreak/>
        <w:t>-</w:t>
      </w:r>
      <w:r w:rsidR="00A54897" w:rsidRPr="00A859E3">
        <w:rPr>
          <w:rFonts w:eastAsia="Times New Roman" w:cs="Times New Roman"/>
        </w:rPr>
        <w:tab/>
      </w:r>
      <w:r w:rsidRPr="00A54897">
        <w:rPr>
          <w:rFonts w:eastAsia="Times New Roman" w:cs="Times New Roman"/>
        </w:rPr>
        <w:t>դեղապատրաստուկի մասնագրում տարրերի խառնուկների պարունակության</w:t>
      </w:r>
      <w:r w:rsidRPr="00B834A2">
        <w:t xml:space="preserve"> սահմանների որոշումը։</w:t>
      </w:r>
    </w:p>
    <w:p w14:paraId="21377834"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sz w:val="24"/>
          <w:szCs w:val="24"/>
        </w:rPr>
      </w:pPr>
      <w:r w:rsidRPr="00A54897">
        <w:rPr>
          <w:rStyle w:val="Bodytext31Sylfaen9"/>
          <w:i w:val="0"/>
          <w:sz w:val="24"/>
          <w:szCs w:val="24"/>
        </w:rPr>
        <w:t>Եթե դեղապատրաստուկներում տարրերի խառնուկները չեն գերազանցում ԹՕՆ-ը, ապա տեխնոլոգիական գործընթացի հնարավորությունների վրա հիմնված՝ տարրերի խառնուկների պարունակության սահմանների խստացումը կարող է հայտատուի համար պարտադիր չլինել։ Սակայն որոշ դեպքերում կարող</w:t>
      </w:r>
      <w:r w:rsidR="00A54897" w:rsidRPr="00A54897">
        <w:rPr>
          <w:rStyle w:val="Bodytext31Sylfaen9"/>
          <w:i w:val="0"/>
          <w:sz w:val="24"/>
          <w:szCs w:val="24"/>
        </w:rPr>
        <w:t> </w:t>
      </w:r>
      <w:r w:rsidRPr="00A54897">
        <w:rPr>
          <w:rStyle w:val="Bodytext31Sylfaen9"/>
          <w:i w:val="0"/>
          <w:sz w:val="24"/>
          <w:szCs w:val="24"/>
        </w:rPr>
        <w:t>են սահմանվել տարրերի խառնուկների պարունակության ավելի ցածր մակարդակներ, եթե ցույց է տրվել, որ չնայած թունավորության շեմերից ցածր լինելուն՝ դրանց պարունակությունը ներգործում է դեղապատրաստուկի որակական բնութագրերի վրա (օրինակ՝ եթե տարրն արագացնում է ազդող նյութերի դեգրադացումը)։</w:t>
      </w:r>
      <w:r w:rsidRPr="00A54897">
        <w:rPr>
          <w:rStyle w:val="FooterChar"/>
          <w:rFonts w:ascii="Sylfaen" w:hAnsi="Sylfaen"/>
          <w:sz w:val="24"/>
          <w:szCs w:val="24"/>
        </w:rPr>
        <w:t xml:space="preserve"> </w:t>
      </w:r>
      <w:r w:rsidRPr="00A54897">
        <w:rPr>
          <w:rStyle w:val="Bodytext31Sylfaen9"/>
          <w:i w:val="0"/>
          <w:sz w:val="24"/>
          <w:szCs w:val="24"/>
        </w:rPr>
        <w:t>Առանձին դեպքերում թույլատրվում է ԹՕՆ-ի նկատմամբ տարրերի խառնուկների պարունակության ավելի բարձր մակարդակ։ Այդպիսի դեպքերի շարքին կարող է դասվել հետեւյալը.</w:t>
      </w:r>
    </w:p>
    <w:p w14:paraId="680B2D5E"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A54897">
        <w:rPr>
          <w:rStyle w:val="Bodytext31Sylfaen9"/>
          <w:i w:val="0"/>
          <w:sz w:val="24"/>
          <w:szCs w:val="24"/>
        </w:rPr>
        <w:t>-</w:t>
      </w:r>
      <w:r w:rsidR="00A54897" w:rsidRPr="00A859E3">
        <w:rPr>
          <w:rStyle w:val="Bodytext31Sylfaen9"/>
          <w:i w:val="0"/>
          <w:sz w:val="24"/>
          <w:szCs w:val="24"/>
        </w:rPr>
        <w:tab/>
      </w:r>
      <w:r w:rsidRPr="00A54897">
        <w:rPr>
          <w:rStyle w:val="Bodytext31Sylfaen9"/>
          <w:i w:val="0"/>
          <w:sz w:val="24"/>
          <w:szCs w:val="24"/>
        </w:rPr>
        <w:t>դոզավորման ընդմիջվող (ինտերմիտող) ռեժիմը.</w:t>
      </w:r>
    </w:p>
    <w:p w14:paraId="0FD85E1F" w14:textId="77777777" w:rsidR="00B834A2" w:rsidRPr="00B834A2" w:rsidRDefault="00B834A2" w:rsidP="00A54897">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A54897">
        <w:rPr>
          <w:rFonts w:ascii="Sylfaen" w:hAnsi="Sylfaen"/>
          <w:sz w:val="24"/>
          <w:szCs w:val="24"/>
        </w:rPr>
        <w:t>-</w:t>
      </w:r>
      <w:r w:rsidR="00A54897" w:rsidRPr="00A859E3">
        <w:rPr>
          <w:rFonts w:ascii="Sylfaen" w:hAnsi="Sylfaen"/>
          <w:sz w:val="24"/>
          <w:szCs w:val="24"/>
        </w:rPr>
        <w:tab/>
      </w:r>
      <w:r w:rsidRPr="00A54897">
        <w:rPr>
          <w:rFonts w:ascii="Sylfaen" w:hAnsi="Sylfaen"/>
          <w:sz w:val="24"/>
          <w:szCs w:val="24"/>
        </w:rPr>
        <w:t>դեղապատրաստուկի կարճատեւ ընդունումը (օրինակ՝ 30 կամ պակաս</w:t>
      </w:r>
      <w:r w:rsidRPr="00B834A2">
        <w:rPr>
          <w:rFonts w:ascii="Sylfaen" w:hAnsi="Sylfaen"/>
          <w:sz w:val="24"/>
          <w:szCs w:val="24"/>
        </w:rPr>
        <w:t xml:space="preserve"> օրվա ընթացքում).</w:t>
      </w:r>
    </w:p>
    <w:p w14:paraId="7A9F7F1C" w14:textId="77777777" w:rsidR="00B834A2" w:rsidRPr="00A859E3" w:rsidRDefault="00B834A2" w:rsidP="00A54897">
      <w:pPr>
        <w:tabs>
          <w:tab w:val="left" w:pos="1134"/>
        </w:tabs>
        <w:spacing w:after="160" w:line="360" w:lineRule="auto"/>
        <w:ind w:firstLine="567"/>
        <w:jc w:val="both"/>
      </w:pPr>
      <w:r w:rsidRPr="00B834A2">
        <w:t>-</w:t>
      </w:r>
      <w:r w:rsidR="00A54897" w:rsidRPr="00A859E3">
        <w:tab/>
      </w:r>
      <w:r w:rsidRPr="00A54897">
        <w:rPr>
          <w:rFonts w:eastAsia="Times New Roman" w:cs="Times New Roman"/>
        </w:rPr>
        <w:t>դեղապատրաստուկի</w:t>
      </w:r>
      <w:r w:rsidRPr="00B834A2">
        <w:t xml:space="preserve"> կիրառման առանձնահատուկ ցուցումները (օրինակ՝ կյանքի համար վտանգ ներկայացնող հիվանդություններ եւ հազվադեպ հիվանդություններ)։</w:t>
      </w:r>
    </w:p>
    <w:p w14:paraId="53DC49AF" w14:textId="77777777" w:rsidR="00A54897" w:rsidRPr="00A859E3" w:rsidRDefault="00A54897" w:rsidP="00A54897">
      <w:pPr>
        <w:tabs>
          <w:tab w:val="left" w:pos="1134"/>
        </w:tabs>
        <w:spacing w:after="160" w:line="360" w:lineRule="auto"/>
        <w:ind w:firstLine="567"/>
        <w:jc w:val="both"/>
      </w:pPr>
    </w:p>
    <w:p w14:paraId="4503A9CC"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b/>
          <w:i/>
          <w:sz w:val="24"/>
          <w:szCs w:val="24"/>
        </w:rPr>
      </w:pPr>
      <w:r w:rsidRPr="00A54897">
        <w:rPr>
          <w:rStyle w:val="Bodytext31Sylfaen9"/>
          <w:b/>
          <w:i w:val="0"/>
          <w:sz w:val="24"/>
          <w:szCs w:val="24"/>
        </w:rPr>
        <w:t>ՏԱՐՐԵՐԻ ԽԱՌՆՈՒԿՆԵՐԻ ՍԱՀՄԱՆԱՅԻՆ ԹՈՒՅԼԱՏՐԵԼԻ ԿՈՆՑԵՆՏՐԱՑԻԱՅԻ ՍԱՀՄԱՆՈՒՄԸ</w:t>
      </w:r>
    </w:p>
    <w:p w14:paraId="3895CE2D"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sz w:val="24"/>
          <w:szCs w:val="24"/>
        </w:rPr>
      </w:pPr>
      <w:r w:rsidRPr="00A54897">
        <w:rPr>
          <w:rStyle w:val="Bodytext31Sylfaen9"/>
          <w:i w:val="0"/>
          <w:sz w:val="24"/>
          <w:szCs w:val="24"/>
        </w:rPr>
        <w:t>Քանի որ ԹՕՆ-ն արտացոլում է մարդու օրգանիզմի վրա դեղապատրաստուկի ընդհանուր ներգործությունը, դեղապատրաստուկում կամ դրա բաղադրիչներում տարրերի խառնուկների գնահատման համար ԹՕՆ-ի արժեքները կարող են վերածվել դրանց համապատասխանող սահմանային թույլատրելի կոնցենտրացիայի (ՍԹԿ) արժեքների։</w:t>
      </w:r>
    </w:p>
    <w:p w14:paraId="661370BB"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sz w:val="24"/>
          <w:szCs w:val="24"/>
        </w:rPr>
      </w:pPr>
      <w:r w:rsidRPr="00A54897">
        <w:rPr>
          <w:rStyle w:val="Bodytext31Sylfaen9"/>
          <w:i w:val="0"/>
          <w:sz w:val="24"/>
          <w:szCs w:val="24"/>
        </w:rPr>
        <w:lastRenderedPageBreak/>
        <w:t>ՍԹԿ-ի մեծությունն արտացոլում է տարրի առավելագույն թույլատրելի կոնցենտրացիան միկրոգրամներով՝ դեղապատրաստուկի կամ դրա բաղադրիչների մեկ գրամի հաշվարկով։</w:t>
      </w:r>
    </w:p>
    <w:p w14:paraId="12D8B4B7"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sz w:val="24"/>
          <w:szCs w:val="24"/>
        </w:rPr>
      </w:pPr>
      <w:r w:rsidRPr="00A54897">
        <w:rPr>
          <w:rStyle w:val="Bodytext31Sylfaen9"/>
          <w:i w:val="0"/>
          <w:sz w:val="24"/>
          <w:szCs w:val="24"/>
        </w:rPr>
        <w:t xml:space="preserve">Դեղապատրաստուկներում եւ դրանց բաղադրիչներում տարրերի խառնուկների ՍԹԿ-ները կարող են կիրառվել՝ </w:t>
      </w:r>
    </w:p>
    <w:p w14:paraId="1E9990D9"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A54897">
        <w:rPr>
          <w:rFonts w:ascii="Sylfaen" w:hAnsi="Sylfaen"/>
          <w:sz w:val="24"/>
          <w:szCs w:val="24"/>
        </w:rPr>
        <w:t>-</w:t>
      </w:r>
      <w:r w:rsidR="00A54897" w:rsidRPr="00A859E3">
        <w:rPr>
          <w:rFonts w:ascii="Sylfaen" w:hAnsi="Sylfaen"/>
          <w:sz w:val="24"/>
          <w:szCs w:val="24"/>
        </w:rPr>
        <w:tab/>
      </w:r>
      <w:r w:rsidRPr="00A54897">
        <w:rPr>
          <w:rFonts w:ascii="Sylfaen" w:hAnsi="Sylfaen"/>
          <w:sz w:val="24"/>
          <w:szCs w:val="24"/>
        </w:rPr>
        <w:t>որպես ռիսկերի գնահատման գործիք՝ ԹՕՆ-ի նկատմամբ տարրի խառնուկի պարունակության դիտարկվող եւ ենթադրվող մակարդակները համեմատելիս.</w:t>
      </w:r>
    </w:p>
    <w:p w14:paraId="04568970"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A54897">
        <w:rPr>
          <w:rFonts w:ascii="Sylfaen" w:hAnsi="Sylfaen"/>
          <w:sz w:val="24"/>
          <w:szCs w:val="24"/>
        </w:rPr>
        <w:t>-</w:t>
      </w:r>
      <w:r w:rsidR="00A54897" w:rsidRPr="00A859E3">
        <w:rPr>
          <w:rFonts w:ascii="Sylfaen" w:hAnsi="Sylfaen"/>
          <w:sz w:val="24"/>
          <w:szCs w:val="24"/>
        </w:rPr>
        <w:tab/>
      </w:r>
      <w:r w:rsidRPr="00A54897">
        <w:rPr>
          <w:rFonts w:ascii="Sylfaen" w:hAnsi="Sylfaen"/>
          <w:sz w:val="24"/>
          <w:szCs w:val="24"/>
        </w:rPr>
        <w:t>դեղապատրաստուկի արտադրությանը նախորդող փուլերում հումքի մատակարարների կողմից հսկողության ժամանակ՝ ապահովելու համար այն, որ ԹՕՆ-ի արժեքը չգերազանցվի.</w:t>
      </w:r>
    </w:p>
    <w:p w14:paraId="06E32E6F"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A54897">
        <w:rPr>
          <w:rStyle w:val="Bodytext31Sylfaen9"/>
          <w:i w:val="0"/>
          <w:sz w:val="24"/>
          <w:szCs w:val="24"/>
        </w:rPr>
        <w:t>-</w:t>
      </w:r>
      <w:r w:rsidR="00A54897" w:rsidRPr="00A859E3">
        <w:rPr>
          <w:rStyle w:val="Bodytext31Sylfaen9"/>
          <w:i w:val="0"/>
          <w:sz w:val="24"/>
          <w:szCs w:val="24"/>
        </w:rPr>
        <w:tab/>
      </w:r>
      <w:r w:rsidRPr="00A54897">
        <w:rPr>
          <w:rStyle w:val="Bodytext31Sylfaen9"/>
          <w:i w:val="0"/>
          <w:sz w:val="24"/>
          <w:szCs w:val="24"/>
        </w:rPr>
        <w:t>տարրերի խառնուկների կոնցենտրացիաների որոշման համար՝ դրանց ներարտադրական հսկողությունը մշակելիս.</w:t>
      </w:r>
    </w:p>
    <w:p w14:paraId="54791A43"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A54897">
        <w:rPr>
          <w:rStyle w:val="Bodytext31Sylfaen9"/>
          <w:i w:val="0"/>
          <w:sz w:val="24"/>
          <w:szCs w:val="24"/>
        </w:rPr>
        <w:t>-</w:t>
      </w:r>
      <w:r w:rsidR="00A54897" w:rsidRPr="00A859E3">
        <w:rPr>
          <w:rStyle w:val="Bodytext31Sylfaen9"/>
          <w:i w:val="0"/>
          <w:sz w:val="24"/>
          <w:szCs w:val="24"/>
        </w:rPr>
        <w:tab/>
      </w:r>
      <w:r w:rsidRPr="00A54897">
        <w:rPr>
          <w:rStyle w:val="Bodytext31Sylfaen9"/>
          <w:i w:val="0"/>
          <w:sz w:val="24"/>
          <w:szCs w:val="24"/>
        </w:rPr>
        <w:t>տարրերի խառնուկների նկատմամբ հսկողության վերաբերյալ տեղեկությունները կարգավորման մարմիններ ներկայացնելու համար նախատեսված փաստաթղթերում ներառելու համար։</w:t>
      </w:r>
    </w:p>
    <w:p w14:paraId="44F1502F"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i/>
          <w:sz w:val="24"/>
          <w:szCs w:val="24"/>
        </w:rPr>
      </w:pPr>
      <w:r w:rsidRPr="00A54897">
        <w:rPr>
          <w:rStyle w:val="Bodytext31Sylfaen9"/>
          <w:i w:val="0"/>
          <w:sz w:val="24"/>
          <w:szCs w:val="24"/>
        </w:rPr>
        <w:t>Տարրի ՍԹԿ-ի հաշվարկման համար կիրառվում են մի քանի մոտեցումներ, որոնցից յուրաքանչյուրի ընտրությունը հիմնված է օրական ընդունվող դեղապատրաստուկի քանակի մասին տեղեկատվության վրա։</w:t>
      </w:r>
      <w:r w:rsidRPr="00A54897">
        <w:rPr>
          <w:rStyle w:val="FooterChar"/>
          <w:rFonts w:ascii="Sylfaen" w:hAnsi="Sylfaen"/>
          <w:i/>
          <w:sz w:val="24"/>
          <w:szCs w:val="24"/>
        </w:rPr>
        <w:t xml:space="preserve"> </w:t>
      </w:r>
      <w:r w:rsidRPr="00A54897">
        <w:rPr>
          <w:rStyle w:val="Bodytext31Sylfaen9"/>
          <w:i w:val="0"/>
          <w:sz w:val="24"/>
          <w:szCs w:val="24"/>
        </w:rPr>
        <w:t>Դեղապատրաստուկում տարրի (С) ՍԹԿ-ի հաշվարկն իրականցվում է հետեւյալ բանաձեւով.</w:t>
      </w:r>
    </w:p>
    <w:p w14:paraId="789DFEBA" w14:textId="77777777" w:rsidR="00B834A2" w:rsidRPr="00B834A2" w:rsidRDefault="00B834A2" w:rsidP="00A54897">
      <w:pPr>
        <w:pStyle w:val="Bodytext20"/>
        <w:shd w:val="clear" w:color="auto" w:fill="auto"/>
        <w:spacing w:before="0" w:after="160" w:line="360" w:lineRule="auto"/>
        <w:rPr>
          <w:rStyle w:val="Bodytext31Sylfaen9"/>
          <w:sz w:val="24"/>
          <w:szCs w:val="24"/>
        </w:rPr>
      </w:pPr>
      <m:oMath>
        <m:r>
          <w:rPr>
            <w:rStyle w:val="Bodytext31Sylfaen9"/>
            <w:rFonts w:ascii="Cambria Math" w:hAnsi="Cambria Math"/>
            <w:sz w:val="24"/>
            <w:szCs w:val="24"/>
          </w:rPr>
          <m:t>С (մկգ/գ)=</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ԹՕՆ (մկգ/օր)</m:t>
            </m:r>
          </m:num>
          <m:den>
            <m:r>
              <w:rPr>
                <w:rStyle w:val="Bodytext2Italic"/>
                <w:rFonts w:ascii="Cambria Math" w:hAnsi="Cambria Math"/>
                <w:sz w:val="24"/>
                <w:szCs w:val="24"/>
              </w:rPr>
              <m:t>а</m:t>
            </m:r>
            <m:r>
              <w:rPr>
                <w:rStyle w:val="Bodytext31Sylfaen9"/>
                <w:rFonts w:ascii="Cambria Math" w:hAnsi="Cambria Math"/>
                <w:sz w:val="24"/>
                <w:szCs w:val="24"/>
              </w:rPr>
              <m:t xml:space="preserve"> (գ/օր)</m:t>
            </m:r>
          </m:den>
        </m:f>
      </m:oMath>
      <w:r w:rsidRPr="00B834A2">
        <w:rPr>
          <w:rStyle w:val="Bodytext31Sylfaen9"/>
          <w:sz w:val="24"/>
          <w:szCs w:val="24"/>
        </w:rPr>
        <w:t>,</w:t>
      </w:r>
    </w:p>
    <w:p w14:paraId="604215BC" w14:textId="77777777" w:rsidR="00B834A2" w:rsidRPr="00B834A2" w:rsidRDefault="00B834A2" w:rsidP="00A54897">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որտեղ </w:t>
      </w:r>
      <w:r w:rsidRPr="00A54897">
        <w:rPr>
          <w:rFonts w:ascii="Sylfaen" w:hAnsi="Sylfaen"/>
          <w:i/>
          <w:sz w:val="24"/>
          <w:szCs w:val="24"/>
        </w:rPr>
        <w:t>а</w:t>
      </w:r>
      <w:r w:rsidRPr="00B834A2">
        <w:rPr>
          <w:rFonts w:ascii="Sylfaen" w:hAnsi="Sylfaen"/>
          <w:sz w:val="24"/>
          <w:szCs w:val="24"/>
        </w:rPr>
        <w:t>-ն օրական ընդունվող դեղապատրաստուկի քանակն է։</w:t>
      </w:r>
    </w:p>
    <w:p w14:paraId="6248CA5A" w14:textId="77777777" w:rsidR="00B834A2" w:rsidRPr="00DE4F37" w:rsidRDefault="00B834A2" w:rsidP="00A54897">
      <w:pPr>
        <w:pStyle w:val="Bodytext20"/>
        <w:shd w:val="clear" w:color="auto" w:fill="auto"/>
        <w:spacing w:before="0" w:after="160" w:line="360" w:lineRule="auto"/>
        <w:ind w:firstLine="567"/>
        <w:jc w:val="both"/>
        <w:rPr>
          <w:rStyle w:val="Bodytext31Sylfaen9"/>
          <w:i w:val="0"/>
          <w:sz w:val="24"/>
          <w:szCs w:val="24"/>
        </w:rPr>
      </w:pPr>
      <w:r w:rsidRPr="00A54897">
        <w:rPr>
          <w:rStyle w:val="Bodytext31Sylfaen9"/>
          <w:i w:val="0"/>
          <w:sz w:val="24"/>
          <w:szCs w:val="24"/>
        </w:rPr>
        <w:t xml:space="preserve">Օրական ընդունվող դեղապատրաստուկի քանակով պայմանավորված՝ հնարավոր են հետեւյալ մոտեցումները. </w:t>
      </w:r>
    </w:p>
    <w:p w14:paraId="1D87BE9B" w14:textId="77777777" w:rsidR="001636CE" w:rsidRPr="00DE4F37" w:rsidRDefault="001636CE" w:rsidP="00A54897">
      <w:pPr>
        <w:pStyle w:val="Bodytext20"/>
        <w:shd w:val="clear" w:color="auto" w:fill="auto"/>
        <w:spacing w:before="0" w:after="160" w:line="360" w:lineRule="auto"/>
        <w:ind w:firstLine="567"/>
        <w:jc w:val="both"/>
        <w:rPr>
          <w:rFonts w:ascii="Sylfaen" w:hAnsi="Sylfaen" w:cs="Sylfaen"/>
          <w:i/>
          <w:sz w:val="24"/>
          <w:szCs w:val="24"/>
        </w:rPr>
      </w:pPr>
    </w:p>
    <w:p w14:paraId="7BA806F6" w14:textId="77777777" w:rsidR="00B834A2" w:rsidRPr="00B834A2" w:rsidRDefault="00B834A2" w:rsidP="00A54897">
      <w:pPr>
        <w:pStyle w:val="Tablecaption20"/>
        <w:shd w:val="clear" w:color="auto" w:fill="auto"/>
        <w:tabs>
          <w:tab w:val="left" w:pos="1134"/>
        </w:tabs>
        <w:spacing w:before="0" w:after="160" w:line="360" w:lineRule="auto"/>
        <w:ind w:firstLine="567"/>
        <w:rPr>
          <w:rFonts w:ascii="Sylfaen" w:hAnsi="Sylfaen"/>
          <w:sz w:val="24"/>
          <w:szCs w:val="24"/>
        </w:rPr>
      </w:pPr>
      <w:r w:rsidRPr="00B834A2">
        <w:rPr>
          <w:rStyle w:val="Bodytext31Sylfaen9"/>
          <w:sz w:val="24"/>
          <w:szCs w:val="24"/>
        </w:rPr>
        <w:lastRenderedPageBreak/>
        <w:t>-</w:t>
      </w:r>
      <w:r w:rsidR="00A54897" w:rsidRPr="00A54897">
        <w:rPr>
          <w:rStyle w:val="Bodytext31Sylfaen9"/>
          <w:sz w:val="24"/>
          <w:szCs w:val="24"/>
        </w:rPr>
        <w:tab/>
      </w:r>
      <w:r w:rsidRPr="00B834A2">
        <w:rPr>
          <w:rStyle w:val="Bodytext31Sylfaen9"/>
          <w:sz w:val="24"/>
          <w:szCs w:val="24"/>
        </w:rPr>
        <w:t>օրական 10 գ-ից ոչ ավելի քանակությամբ ընդունվող դեղապատրաստուկի յուրաքանչյուր բաղադրիչում տարրի ՍԹԿ-ի հաշվարկ.</w:t>
      </w:r>
      <w:r w:rsidRPr="00B834A2">
        <w:rPr>
          <w:rFonts w:ascii="Sylfaen" w:hAnsi="Sylfaen"/>
          <w:sz w:val="24"/>
          <w:szCs w:val="24"/>
        </w:rPr>
        <w:t xml:space="preserve"> </w:t>
      </w:r>
    </w:p>
    <w:p w14:paraId="78201695" w14:textId="77777777" w:rsidR="00B834A2" w:rsidRPr="00B834A2" w:rsidRDefault="00B834A2" w:rsidP="00B834A2">
      <w:pPr>
        <w:pStyle w:val="Tablecaption20"/>
        <w:shd w:val="clear" w:color="auto" w:fill="auto"/>
        <w:spacing w:before="0" w:after="160" w:line="360" w:lineRule="auto"/>
        <w:ind w:firstLine="567"/>
        <w:rPr>
          <w:rStyle w:val="Bodytext310pt"/>
          <w:sz w:val="24"/>
          <w:szCs w:val="24"/>
        </w:rPr>
      </w:pPr>
    </w:p>
    <w:p w14:paraId="020F3EDB" w14:textId="77777777" w:rsidR="00B834A2" w:rsidRPr="00B834A2" w:rsidRDefault="00B834A2" w:rsidP="00B834A2">
      <w:pPr>
        <w:pStyle w:val="Tablecaption20"/>
        <w:shd w:val="clear" w:color="auto" w:fill="auto"/>
        <w:spacing w:before="0" w:after="160" w:line="360" w:lineRule="auto"/>
        <w:ind w:firstLine="567"/>
        <w:rPr>
          <w:rStyle w:val="Tablecaption210pt"/>
          <w:rFonts w:ascii="Sylfaen" w:eastAsia="Sylfaen" w:hAnsi="Sylfaen"/>
          <w:i/>
          <w:iCs/>
          <w:sz w:val="24"/>
          <w:szCs w:val="24"/>
        </w:rPr>
      </w:pPr>
      <w:r w:rsidRPr="00A54897">
        <w:rPr>
          <w:rStyle w:val="Bodytext310pt"/>
          <w:b w:val="0"/>
          <w:sz w:val="24"/>
          <w:szCs w:val="24"/>
        </w:rPr>
        <w:t>Աղյուսակ 2.3.10.0-3.</w:t>
      </w:r>
      <w:r w:rsidRPr="00B834A2">
        <w:rPr>
          <w:rStyle w:val="Bodytext310pt"/>
          <w:sz w:val="24"/>
          <w:szCs w:val="24"/>
        </w:rPr>
        <w:t xml:space="preserve"> </w:t>
      </w:r>
      <w:r w:rsidRPr="00B834A2">
        <w:rPr>
          <w:rFonts w:ascii="Sylfaen" w:hAnsi="Sylfaen"/>
          <w:sz w:val="24"/>
          <w:szCs w:val="24"/>
        </w:rPr>
        <w:t>Դեղապատրաստուկի առանձին բաղադրիչում տարրերի խառնուկների սահմանային թույլատրելի կոնցենտրացիան (ՍԹԿ)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3"/>
        <w:gridCol w:w="1664"/>
        <w:gridCol w:w="1560"/>
        <w:gridCol w:w="1559"/>
        <w:gridCol w:w="1984"/>
      </w:tblGrid>
      <w:tr w:rsidR="00B834A2" w:rsidRPr="00A54897" w14:paraId="45A04B6F" w14:textId="77777777" w:rsidTr="00A54897">
        <w:trPr>
          <w:jc w:val="center"/>
        </w:trPr>
        <w:tc>
          <w:tcPr>
            <w:tcW w:w="1383" w:type="dxa"/>
            <w:vMerge w:val="restart"/>
            <w:tcBorders>
              <w:top w:val="single" w:sz="4" w:space="0" w:color="auto"/>
            </w:tcBorders>
            <w:shd w:val="clear" w:color="auto" w:fill="FFFFFF"/>
            <w:vAlign w:val="center"/>
          </w:tcPr>
          <w:p w14:paraId="1DEAFA4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Տարրը</w:t>
            </w:r>
          </w:p>
        </w:tc>
        <w:tc>
          <w:tcPr>
            <w:tcW w:w="6767" w:type="dxa"/>
            <w:gridSpan w:val="4"/>
            <w:tcBorders>
              <w:top w:val="single" w:sz="4" w:space="0" w:color="auto"/>
            </w:tcBorders>
            <w:shd w:val="clear" w:color="auto" w:fill="FFFFFF"/>
            <w:vAlign w:val="center"/>
          </w:tcPr>
          <w:p w14:paraId="5A8F46E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Սահմանային թույլատրելի կոնցենտրացիան (մկգ/գ)</w:t>
            </w:r>
          </w:p>
        </w:tc>
      </w:tr>
      <w:tr w:rsidR="00B834A2" w:rsidRPr="00A54897" w14:paraId="45E6A9CA" w14:textId="77777777" w:rsidTr="00A54897">
        <w:trPr>
          <w:jc w:val="center"/>
        </w:trPr>
        <w:tc>
          <w:tcPr>
            <w:tcW w:w="1383" w:type="dxa"/>
            <w:vMerge/>
            <w:shd w:val="clear" w:color="auto" w:fill="FFFFFF"/>
            <w:vAlign w:val="center"/>
          </w:tcPr>
          <w:p w14:paraId="317AC5A8" w14:textId="77777777" w:rsidR="00B834A2" w:rsidRPr="00A54897" w:rsidRDefault="00B834A2" w:rsidP="00A54897">
            <w:pPr>
              <w:spacing w:after="120"/>
              <w:jc w:val="center"/>
              <w:rPr>
                <w:sz w:val="20"/>
                <w:szCs w:val="20"/>
              </w:rPr>
            </w:pPr>
          </w:p>
        </w:tc>
        <w:tc>
          <w:tcPr>
            <w:tcW w:w="1664" w:type="dxa"/>
            <w:shd w:val="clear" w:color="auto" w:fill="FFFFFF"/>
          </w:tcPr>
          <w:p w14:paraId="4DFD79D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Դասը</w:t>
            </w:r>
          </w:p>
        </w:tc>
        <w:tc>
          <w:tcPr>
            <w:tcW w:w="1560" w:type="dxa"/>
            <w:tcBorders>
              <w:top w:val="single" w:sz="4" w:space="0" w:color="auto"/>
            </w:tcBorders>
            <w:shd w:val="clear" w:color="auto" w:fill="FFFFFF"/>
            <w:vAlign w:val="center"/>
          </w:tcPr>
          <w:p w14:paraId="10376B8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ներմուծման պերօրալ ուղի</w:t>
            </w:r>
          </w:p>
        </w:tc>
        <w:tc>
          <w:tcPr>
            <w:tcW w:w="1559" w:type="dxa"/>
            <w:tcBorders>
              <w:top w:val="single" w:sz="4" w:space="0" w:color="auto"/>
            </w:tcBorders>
            <w:shd w:val="clear" w:color="auto" w:fill="FFFFFF"/>
            <w:vAlign w:val="center"/>
          </w:tcPr>
          <w:p w14:paraId="39258FC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ներմուծման պարենտերալ ուղի</w:t>
            </w:r>
          </w:p>
        </w:tc>
        <w:tc>
          <w:tcPr>
            <w:tcW w:w="1984" w:type="dxa"/>
            <w:tcBorders>
              <w:top w:val="single" w:sz="4" w:space="0" w:color="auto"/>
            </w:tcBorders>
            <w:shd w:val="clear" w:color="auto" w:fill="FFFFFF"/>
            <w:vAlign w:val="center"/>
          </w:tcPr>
          <w:p w14:paraId="710AC9A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ներմուծման ինհալացիոն ուղի</w:t>
            </w:r>
          </w:p>
        </w:tc>
      </w:tr>
      <w:tr w:rsidR="00B834A2" w:rsidRPr="00A54897" w14:paraId="4F955CA7" w14:textId="77777777" w:rsidTr="00B834A2">
        <w:trPr>
          <w:jc w:val="center"/>
        </w:trPr>
        <w:tc>
          <w:tcPr>
            <w:tcW w:w="1383" w:type="dxa"/>
            <w:tcBorders>
              <w:top w:val="single" w:sz="4" w:space="0" w:color="auto"/>
            </w:tcBorders>
            <w:shd w:val="clear" w:color="auto" w:fill="FFFFFF"/>
          </w:tcPr>
          <w:p w14:paraId="3D0C851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Cd</w:t>
            </w:r>
          </w:p>
        </w:tc>
        <w:tc>
          <w:tcPr>
            <w:tcW w:w="1664" w:type="dxa"/>
            <w:tcBorders>
              <w:top w:val="single" w:sz="4" w:space="0" w:color="auto"/>
            </w:tcBorders>
            <w:shd w:val="clear" w:color="auto" w:fill="FFFFFF"/>
          </w:tcPr>
          <w:p w14:paraId="245BCED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560" w:type="dxa"/>
            <w:tcBorders>
              <w:top w:val="single" w:sz="4" w:space="0" w:color="auto"/>
            </w:tcBorders>
            <w:shd w:val="clear" w:color="auto" w:fill="FFFFFF"/>
          </w:tcPr>
          <w:p w14:paraId="711A695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c>
          <w:tcPr>
            <w:tcW w:w="1559" w:type="dxa"/>
            <w:tcBorders>
              <w:top w:val="single" w:sz="4" w:space="0" w:color="auto"/>
            </w:tcBorders>
            <w:shd w:val="clear" w:color="auto" w:fill="FFFFFF"/>
          </w:tcPr>
          <w:p w14:paraId="1D471B2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0.2</w:t>
            </w:r>
          </w:p>
        </w:tc>
        <w:tc>
          <w:tcPr>
            <w:tcW w:w="1984" w:type="dxa"/>
            <w:tcBorders>
              <w:top w:val="single" w:sz="4" w:space="0" w:color="auto"/>
            </w:tcBorders>
            <w:shd w:val="clear" w:color="auto" w:fill="FFFFFF"/>
          </w:tcPr>
          <w:p w14:paraId="4BE948A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0.3</w:t>
            </w:r>
          </w:p>
        </w:tc>
      </w:tr>
      <w:tr w:rsidR="00B834A2" w:rsidRPr="00A54897" w14:paraId="6621D449" w14:textId="77777777" w:rsidTr="00B834A2">
        <w:trPr>
          <w:jc w:val="center"/>
        </w:trPr>
        <w:tc>
          <w:tcPr>
            <w:tcW w:w="1383" w:type="dxa"/>
            <w:shd w:val="clear" w:color="auto" w:fill="FFFFFF"/>
          </w:tcPr>
          <w:p w14:paraId="301043A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Pb</w:t>
            </w:r>
          </w:p>
        </w:tc>
        <w:tc>
          <w:tcPr>
            <w:tcW w:w="1664" w:type="dxa"/>
            <w:shd w:val="clear" w:color="auto" w:fill="FFFFFF"/>
          </w:tcPr>
          <w:p w14:paraId="7B00B82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560" w:type="dxa"/>
            <w:shd w:val="clear" w:color="auto" w:fill="FFFFFF"/>
          </w:tcPr>
          <w:p w14:paraId="65A5C9D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c>
          <w:tcPr>
            <w:tcW w:w="1559" w:type="dxa"/>
            <w:shd w:val="clear" w:color="auto" w:fill="FFFFFF"/>
          </w:tcPr>
          <w:p w14:paraId="243D524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c>
          <w:tcPr>
            <w:tcW w:w="1984" w:type="dxa"/>
            <w:shd w:val="clear" w:color="auto" w:fill="FFFFFF"/>
          </w:tcPr>
          <w:p w14:paraId="5F8AAD2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r>
      <w:tr w:rsidR="00B834A2" w:rsidRPr="00A54897" w14:paraId="6B5B527F" w14:textId="77777777" w:rsidTr="00B834A2">
        <w:trPr>
          <w:jc w:val="center"/>
        </w:trPr>
        <w:tc>
          <w:tcPr>
            <w:tcW w:w="1383" w:type="dxa"/>
            <w:shd w:val="clear" w:color="auto" w:fill="FFFFFF"/>
          </w:tcPr>
          <w:p w14:paraId="3AD9DEE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As</w:t>
            </w:r>
          </w:p>
        </w:tc>
        <w:tc>
          <w:tcPr>
            <w:tcW w:w="1664" w:type="dxa"/>
            <w:shd w:val="clear" w:color="auto" w:fill="FFFFFF"/>
          </w:tcPr>
          <w:p w14:paraId="5349B48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560" w:type="dxa"/>
            <w:shd w:val="clear" w:color="auto" w:fill="FFFFFF"/>
          </w:tcPr>
          <w:p w14:paraId="4D9EE8F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1.5</w:t>
            </w:r>
          </w:p>
        </w:tc>
        <w:tc>
          <w:tcPr>
            <w:tcW w:w="1559" w:type="dxa"/>
            <w:shd w:val="clear" w:color="auto" w:fill="FFFFFF"/>
          </w:tcPr>
          <w:p w14:paraId="645B603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1.5</w:t>
            </w:r>
          </w:p>
        </w:tc>
        <w:tc>
          <w:tcPr>
            <w:tcW w:w="1984" w:type="dxa"/>
            <w:shd w:val="clear" w:color="auto" w:fill="FFFFFF"/>
          </w:tcPr>
          <w:p w14:paraId="2086B85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0.2</w:t>
            </w:r>
          </w:p>
        </w:tc>
      </w:tr>
      <w:tr w:rsidR="00B834A2" w:rsidRPr="00A54897" w14:paraId="6AE0DC80" w14:textId="77777777" w:rsidTr="00B834A2">
        <w:trPr>
          <w:jc w:val="center"/>
        </w:trPr>
        <w:tc>
          <w:tcPr>
            <w:tcW w:w="1383" w:type="dxa"/>
            <w:shd w:val="clear" w:color="auto" w:fill="FFFFFF"/>
          </w:tcPr>
          <w:p w14:paraId="2978D15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Hg</w:t>
            </w:r>
          </w:p>
        </w:tc>
        <w:tc>
          <w:tcPr>
            <w:tcW w:w="1664" w:type="dxa"/>
            <w:shd w:val="clear" w:color="auto" w:fill="FFFFFF"/>
          </w:tcPr>
          <w:p w14:paraId="1B04C71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560" w:type="dxa"/>
            <w:shd w:val="clear" w:color="auto" w:fill="FFFFFF"/>
          </w:tcPr>
          <w:p w14:paraId="21574D5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59" w:type="dxa"/>
            <w:shd w:val="clear" w:color="auto" w:fill="FFFFFF"/>
          </w:tcPr>
          <w:p w14:paraId="2D3F107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0.3</w:t>
            </w:r>
          </w:p>
        </w:tc>
        <w:tc>
          <w:tcPr>
            <w:tcW w:w="1984" w:type="dxa"/>
            <w:shd w:val="clear" w:color="auto" w:fill="FFFFFF"/>
          </w:tcPr>
          <w:p w14:paraId="6766B95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77511E6B" w14:textId="77777777" w:rsidTr="00B834A2">
        <w:trPr>
          <w:jc w:val="center"/>
        </w:trPr>
        <w:tc>
          <w:tcPr>
            <w:tcW w:w="1383" w:type="dxa"/>
            <w:shd w:val="clear" w:color="auto" w:fill="FFFFFF"/>
          </w:tcPr>
          <w:p w14:paraId="4F78068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Со</w:t>
            </w:r>
          </w:p>
        </w:tc>
        <w:tc>
          <w:tcPr>
            <w:tcW w:w="1664" w:type="dxa"/>
            <w:shd w:val="clear" w:color="auto" w:fill="FFFFFF"/>
          </w:tcPr>
          <w:p w14:paraId="4AA00000" w14:textId="77777777" w:rsidR="00B834A2" w:rsidRPr="00A54897" w:rsidRDefault="00B834A2" w:rsidP="00A54897">
            <w:pPr>
              <w:pStyle w:val="Bodytext20"/>
              <w:shd w:val="clear" w:color="auto" w:fill="auto"/>
              <w:spacing w:before="0" w:line="240" w:lineRule="auto"/>
              <w:ind w:left="132"/>
              <w:rPr>
                <w:rFonts w:ascii="Sylfaen" w:hAnsi="Sylfaen" w:cs="Sylfaen"/>
                <w:sz w:val="20"/>
                <w:szCs w:val="20"/>
              </w:rPr>
            </w:pPr>
            <w:r w:rsidRPr="00A54897">
              <w:rPr>
                <w:rStyle w:val="Bodytext31Sylfaen9"/>
                <w:sz w:val="20"/>
                <w:szCs w:val="20"/>
              </w:rPr>
              <w:t>2А</w:t>
            </w:r>
          </w:p>
        </w:tc>
        <w:tc>
          <w:tcPr>
            <w:tcW w:w="1560" w:type="dxa"/>
            <w:shd w:val="clear" w:color="auto" w:fill="FFFFFF"/>
          </w:tcPr>
          <w:p w14:paraId="772CE35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5</w:t>
            </w:r>
          </w:p>
        </w:tc>
        <w:tc>
          <w:tcPr>
            <w:tcW w:w="1559" w:type="dxa"/>
            <w:shd w:val="clear" w:color="auto" w:fill="FFFFFF"/>
          </w:tcPr>
          <w:p w14:paraId="101AEE5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c>
          <w:tcPr>
            <w:tcW w:w="1984" w:type="dxa"/>
            <w:shd w:val="clear" w:color="auto" w:fill="FFFFFF"/>
          </w:tcPr>
          <w:p w14:paraId="7436D9D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0.3</w:t>
            </w:r>
          </w:p>
        </w:tc>
      </w:tr>
      <w:tr w:rsidR="00B834A2" w:rsidRPr="00A54897" w14:paraId="3BE09F87" w14:textId="77777777" w:rsidTr="00B834A2">
        <w:trPr>
          <w:jc w:val="center"/>
        </w:trPr>
        <w:tc>
          <w:tcPr>
            <w:tcW w:w="1383" w:type="dxa"/>
            <w:shd w:val="clear" w:color="auto" w:fill="FFFFFF"/>
          </w:tcPr>
          <w:p w14:paraId="7E08E9F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V</w:t>
            </w:r>
          </w:p>
        </w:tc>
        <w:tc>
          <w:tcPr>
            <w:tcW w:w="1664" w:type="dxa"/>
            <w:shd w:val="clear" w:color="auto" w:fill="FFFFFF"/>
          </w:tcPr>
          <w:p w14:paraId="37050672" w14:textId="77777777" w:rsidR="00B834A2" w:rsidRPr="00A54897" w:rsidRDefault="00B834A2" w:rsidP="00A54897">
            <w:pPr>
              <w:pStyle w:val="Bodytext20"/>
              <w:shd w:val="clear" w:color="auto" w:fill="auto"/>
              <w:spacing w:before="0" w:line="240" w:lineRule="auto"/>
              <w:ind w:left="132"/>
              <w:rPr>
                <w:rFonts w:ascii="Sylfaen" w:hAnsi="Sylfaen" w:cs="Sylfaen"/>
                <w:sz w:val="20"/>
                <w:szCs w:val="20"/>
              </w:rPr>
            </w:pPr>
            <w:r w:rsidRPr="00A54897">
              <w:rPr>
                <w:rStyle w:val="Bodytext31Sylfaen9"/>
                <w:sz w:val="20"/>
                <w:szCs w:val="20"/>
              </w:rPr>
              <w:t>2А</w:t>
            </w:r>
          </w:p>
        </w:tc>
        <w:tc>
          <w:tcPr>
            <w:tcW w:w="1560" w:type="dxa"/>
            <w:shd w:val="clear" w:color="auto" w:fill="FFFFFF"/>
          </w:tcPr>
          <w:p w14:paraId="56D5092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45CDBAF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0089A73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3520BD55" w14:textId="77777777" w:rsidTr="00B834A2">
        <w:trPr>
          <w:jc w:val="center"/>
        </w:trPr>
        <w:tc>
          <w:tcPr>
            <w:tcW w:w="1383" w:type="dxa"/>
            <w:shd w:val="clear" w:color="auto" w:fill="FFFFFF"/>
          </w:tcPr>
          <w:p w14:paraId="3354E0E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Ni</w:t>
            </w:r>
          </w:p>
        </w:tc>
        <w:tc>
          <w:tcPr>
            <w:tcW w:w="1664" w:type="dxa"/>
            <w:shd w:val="clear" w:color="auto" w:fill="FFFFFF"/>
          </w:tcPr>
          <w:p w14:paraId="5A43C6B8" w14:textId="77777777" w:rsidR="00B834A2" w:rsidRPr="00A54897" w:rsidRDefault="00B834A2" w:rsidP="00A54897">
            <w:pPr>
              <w:pStyle w:val="Bodytext20"/>
              <w:shd w:val="clear" w:color="auto" w:fill="auto"/>
              <w:spacing w:before="0" w:line="240" w:lineRule="auto"/>
              <w:ind w:left="132"/>
              <w:rPr>
                <w:rFonts w:ascii="Sylfaen" w:hAnsi="Sylfaen" w:cs="Sylfaen"/>
                <w:sz w:val="20"/>
                <w:szCs w:val="20"/>
              </w:rPr>
            </w:pPr>
            <w:r w:rsidRPr="00A54897">
              <w:rPr>
                <w:rStyle w:val="Bodytext31Sylfaen9"/>
                <w:sz w:val="20"/>
                <w:szCs w:val="20"/>
              </w:rPr>
              <w:t>2А</w:t>
            </w:r>
          </w:p>
        </w:tc>
        <w:tc>
          <w:tcPr>
            <w:tcW w:w="1560" w:type="dxa"/>
            <w:shd w:val="clear" w:color="auto" w:fill="FFFFFF"/>
          </w:tcPr>
          <w:p w14:paraId="752B566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20</w:t>
            </w:r>
          </w:p>
        </w:tc>
        <w:tc>
          <w:tcPr>
            <w:tcW w:w="1559" w:type="dxa"/>
            <w:shd w:val="clear" w:color="auto" w:fill="FFFFFF"/>
          </w:tcPr>
          <w:p w14:paraId="1A9EE49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w:t>
            </w:r>
          </w:p>
        </w:tc>
        <w:tc>
          <w:tcPr>
            <w:tcW w:w="1984" w:type="dxa"/>
            <w:shd w:val="clear" w:color="auto" w:fill="FFFFFF"/>
          </w:tcPr>
          <w:p w14:paraId="5CB55F9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0.5</w:t>
            </w:r>
          </w:p>
        </w:tc>
      </w:tr>
      <w:tr w:rsidR="00B834A2" w:rsidRPr="00A54897" w14:paraId="5105A9F3" w14:textId="77777777" w:rsidTr="00B834A2">
        <w:trPr>
          <w:jc w:val="center"/>
        </w:trPr>
        <w:tc>
          <w:tcPr>
            <w:tcW w:w="1383" w:type="dxa"/>
            <w:shd w:val="clear" w:color="auto" w:fill="FFFFFF"/>
          </w:tcPr>
          <w:p w14:paraId="440C366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295pt"/>
                <w:sz w:val="20"/>
                <w:szCs w:val="20"/>
              </w:rPr>
              <w:t>Т1</w:t>
            </w:r>
          </w:p>
        </w:tc>
        <w:tc>
          <w:tcPr>
            <w:tcW w:w="1664" w:type="dxa"/>
            <w:shd w:val="clear" w:color="auto" w:fill="FFFFFF"/>
          </w:tcPr>
          <w:p w14:paraId="2390D78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06AA21E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0.8</w:t>
            </w:r>
          </w:p>
        </w:tc>
        <w:tc>
          <w:tcPr>
            <w:tcW w:w="1559" w:type="dxa"/>
            <w:shd w:val="clear" w:color="auto" w:fill="FFFFFF"/>
          </w:tcPr>
          <w:p w14:paraId="47E3610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0.8</w:t>
            </w:r>
          </w:p>
        </w:tc>
        <w:tc>
          <w:tcPr>
            <w:tcW w:w="1984" w:type="dxa"/>
            <w:shd w:val="clear" w:color="auto" w:fill="FFFFFF"/>
          </w:tcPr>
          <w:p w14:paraId="790F0A2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0.8</w:t>
            </w:r>
          </w:p>
        </w:tc>
      </w:tr>
      <w:tr w:rsidR="00B834A2" w:rsidRPr="00A54897" w14:paraId="2D69536B" w14:textId="77777777" w:rsidTr="00B834A2">
        <w:trPr>
          <w:jc w:val="center"/>
        </w:trPr>
        <w:tc>
          <w:tcPr>
            <w:tcW w:w="1383" w:type="dxa"/>
            <w:shd w:val="clear" w:color="auto" w:fill="FFFFFF"/>
          </w:tcPr>
          <w:p w14:paraId="6155AE3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Аu</w:t>
            </w:r>
          </w:p>
        </w:tc>
        <w:tc>
          <w:tcPr>
            <w:tcW w:w="1664" w:type="dxa"/>
            <w:shd w:val="clear" w:color="auto" w:fill="FFFFFF"/>
          </w:tcPr>
          <w:p w14:paraId="2F092CC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0E079BF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54F846F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984" w:type="dxa"/>
            <w:shd w:val="clear" w:color="auto" w:fill="FFFFFF"/>
          </w:tcPr>
          <w:p w14:paraId="53C7A74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478E3843" w14:textId="77777777" w:rsidTr="00B834A2">
        <w:trPr>
          <w:jc w:val="center"/>
        </w:trPr>
        <w:tc>
          <w:tcPr>
            <w:tcW w:w="1383" w:type="dxa"/>
            <w:shd w:val="clear" w:color="auto" w:fill="FFFFFF"/>
          </w:tcPr>
          <w:p w14:paraId="3CB1F6A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Pd</w:t>
            </w:r>
          </w:p>
        </w:tc>
        <w:tc>
          <w:tcPr>
            <w:tcW w:w="1664" w:type="dxa"/>
            <w:shd w:val="clear" w:color="auto" w:fill="FFFFFF"/>
          </w:tcPr>
          <w:p w14:paraId="12513DA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51B67A8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608808A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5DC0C68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7C092E11" w14:textId="77777777" w:rsidTr="00B834A2">
        <w:trPr>
          <w:jc w:val="center"/>
        </w:trPr>
        <w:tc>
          <w:tcPr>
            <w:tcW w:w="1383" w:type="dxa"/>
            <w:shd w:val="clear" w:color="auto" w:fill="FFFFFF"/>
          </w:tcPr>
          <w:p w14:paraId="361133C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Ir</w:t>
            </w:r>
          </w:p>
        </w:tc>
        <w:tc>
          <w:tcPr>
            <w:tcW w:w="1664" w:type="dxa"/>
            <w:shd w:val="clear" w:color="auto" w:fill="FFFFFF"/>
          </w:tcPr>
          <w:p w14:paraId="4CFC90D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104E6F3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2C0E41C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39FEB8E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295pt"/>
                <w:sz w:val="20"/>
                <w:szCs w:val="20"/>
              </w:rPr>
              <w:t>0.1</w:t>
            </w:r>
          </w:p>
        </w:tc>
      </w:tr>
      <w:tr w:rsidR="00B834A2" w:rsidRPr="00A54897" w14:paraId="155A53D6" w14:textId="77777777" w:rsidTr="00B834A2">
        <w:trPr>
          <w:jc w:val="center"/>
        </w:trPr>
        <w:tc>
          <w:tcPr>
            <w:tcW w:w="1383" w:type="dxa"/>
            <w:shd w:val="clear" w:color="auto" w:fill="FFFFFF"/>
          </w:tcPr>
          <w:p w14:paraId="0739377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Os</w:t>
            </w:r>
          </w:p>
        </w:tc>
        <w:tc>
          <w:tcPr>
            <w:tcW w:w="1664" w:type="dxa"/>
            <w:shd w:val="clear" w:color="auto" w:fill="FFFFFF"/>
          </w:tcPr>
          <w:p w14:paraId="3910A7D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4F04C3D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04DAFBC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5FFA033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3843515E" w14:textId="77777777" w:rsidTr="00B834A2">
        <w:trPr>
          <w:jc w:val="center"/>
        </w:trPr>
        <w:tc>
          <w:tcPr>
            <w:tcW w:w="1383" w:type="dxa"/>
            <w:shd w:val="clear" w:color="auto" w:fill="FFFFFF"/>
          </w:tcPr>
          <w:p w14:paraId="454F001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Rh</w:t>
            </w:r>
          </w:p>
        </w:tc>
        <w:tc>
          <w:tcPr>
            <w:tcW w:w="1664" w:type="dxa"/>
            <w:shd w:val="clear" w:color="auto" w:fill="FFFFFF"/>
          </w:tcPr>
          <w:p w14:paraId="02C2AFC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01DCF9D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156A9E6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364CB83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3DA62C64" w14:textId="77777777" w:rsidTr="00B834A2">
        <w:trPr>
          <w:jc w:val="center"/>
        </w:trPr>
        <w:tc>
          <w:tcPr>
            <w:tcW w:w="1383" w:type="dxa"/>
            <w:shd w:val="clear" w:color="auto" w:fill="FFFFFF"/>
          </w:tcPr>
          <w:p w14:paraId="0995467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Ru</w:t>
            </w:r>
          </w:p>
        </w:tc>
        <w:tc>
          <w:tcPr>
            <w:tcW w:w="1664" w:type="dxa"/>
            <w:shd w:val="clear" w:color="auto" w:fill="FFFFFF"/>
          </w:tcPr>
          <w:p w14:paraId="3EBBEE8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4AB9D76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568A678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16B1CA2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441B325A" w14:textId="77777777" w:rsidTr="00B834A2">
        <w:trPr>
          <w:jc w:val="center"/>
        </w:trPr>
        <w:tc>
          <w:tcPr>
            <w:tcW w:w="1383" w:type="dxa"/>
            <w:shd w:val="clear" w:color="auto" w:fill="FFFFFF"/>
          </w:tcPr>
          <w:p w14:paraId="2B01BE7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Se</w:t>
            </w:r>
          </w:p>
        </w:tc>
        <w:tc>
          <w:tcPr>
            <w:tcW w:w="1664" w:type="dxa"/>
            <w:shd w:val="clear" w:color="auto" w:fill="FFFFFF"/>
          </w:tcPr>
          <w:p w14:paraId="7CF48F4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4D2A866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15</w:t>
            </w:r>
          </w:p>
        </w:tc>
        <w:tc>
          <w:tcPr>
            <w:tcW w:w="1559" w:type="dxa"/>
            <w:shd w:val="clear" w:color="auto" w:fill="FFFFFF"/>
          </w:tcPr>
          <w:p w14:paraId="7372894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8</w:t>
            </w:r>
          </w:p>
        </w:tc>
        <w:tc>
          <w:tcPr>
            <w:tcW w:w="1984" w:type="dxa"/>
            <w:shd w:val="clear" w:color="auto" w:fill="FFFFFF"/>
          </w:tcPr>
          <w:p w14:paraId="0C08AE8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13</w:t>
            </w:r>
          </w:p>
        </w:tc>
      </w:tr>
      <w:tr w:rsidR="00B834A2" w:rsidRPr="00A54897" w14:paraId="3F5DB607" w14:textId="77777777" w:rsidTr="00B834A2">
        <w:trPr>
          <w:jc w:val="center"/>
        </w:trPr>
        <w:tc>
          <w:tcPr>
            <w:tcW w:w="1383" w:type="dxa"/>
            <w:shd w:val="clear" w:color="auto" w:fill="FFFFFF"/>
          </w:tcPr>
          <w:p w14:paraId="626775F8" w14:textId="77777777" w:rsidR="00B834A2" w:rsidRPr="00A54897" w:rsidRDefault="00B834A2" w:rsidP="00A54897">
            <w:pPr>
              <w:pStyle w:val="Bodytext20"/>
              <w:shd w:val="clear" w:color="auto" w:fill="auto"/>
              <w:spacing w:before="0" w:line="240" w:lineRule="auto"/>
              <w:rPr>
                <w:rFonts w:ascii="Sylfaen" w:hAnsi="Sylfaen" w:cs="Sylfaen"/>
                <w:sz w:val="20"/>
                <w:szCs w:val="20"/>
                <w:lang w:val="en-GB"/>
              </w:rPr>
            </w:pPr>
            <w:r w:rsidRPr="00A54897">
              <w:rPr>
                <w:rStyle w:val="Bodytext31Sylfaen9"/>
                <w:sz w:val="20"/>
                <w:szCs w:val="20"/>
              </w:rPr>
              <w:t>A</w:t>
            </w:r>
            <w:r w:rsidRPr="00A54897">
              <w:rPr>
                <w:rStyle w:val="Bodytext31Sylfaen9"/>
                <w:sz w:val="20"/>
                <w:szCs w:val="20"/>
                <w:lang w:val="en-GB"/>
              </w:rPr>
              <w:t>g</w:t>
            </w:r>
          </w:p>
        </w:tc>
        <w:tc>
          <w:tcPr>
            <w:tcW w:w="1664" w:type="dxa"/>
            <w:shd w:val="clear" w:color="auto" w:fill="FFFFFF"/>
          </w:tcPr>
          <w:p w14:paraId="36258BA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596C4AD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15</w:t>
            </w:r>
          </w:p>
        </w:tc>
        <w:tc>
          <w:tcPr>
            <w:tcW w:w="1559" w:type="dxa"/>
            <w:shd w:val="clear" w:color="auto" w:fill="FFFFFF"/>
          </w:tcPr>
          <w:p w14:paraId="2A8099B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2294BE8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0.7</w:t>
            </w:r>
          </w:p>
        </w:tc>
      </w:tr>
      <w:tr w:rsidR="00B834A2" w:rsidRPr="00A54897" w14:paraId="3E2B03E2" w14:textId="77777777" w:rsidTr="00B834A2">
        <w:trPr>
          <w:jc w:val="center"/>
        </w:trPr>
        <w:tc>
          <w:tcPr>
            <w:tcW w:w="1383" w:type="dxa"/>
            <w:shd w:val="clear" w:color="auto" w:fill="FFFFFF"/>
          </w:tcPr>
          <w:p w14:paraId="091D0FD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Pt</w:t>
            </w:r>
          </w:p>
        </w:tc>
        <w:tc>
          <w:tcPr>
            <w:tcW w:w="1664" w:type="dxa"/>
            <w:shd w:val="clear" w:color="auto" w:fill="FFFFFF"/>
          </w:tcPr>
          <w:p w14:paraId="3AF5C17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2В</w:t>
            </w:r>
          </w:p>
        </w:tc>
        <w:tc>
          <w:tcPr>
            <w:tcW w:w="1560" w:type="dxa"/>
            <w:shd w:val="clear" w:color="auto" w:fill="FFFFFF"/>
          </w:tcPr>
          <w:p w14:paraId="010CA11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10</w:t>
            </w:r>
          </w:p>
        </w:tc>
        <w:tc>
          <w:tcPr>
            <w:tcW w:w="1559" w:type="dxa"/>
            <w:shd w:val="clear" w:color="auto" w:fill="FFFFFF"/>
          </w:tcPr>
          <w:p w14:paraId="5C8CD08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c>
          <w:tcPr>
            <w:tcW w:w="1984" w:type="dxa"/>
            <w:shd w:val="clear" w:color="auto" w:fill="FFFFFF"/>
          </w:tcPr>
          <w:p w14:paraId="2129082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0.1</w:t>
            </w:r>
          </w:p>
        </w:tc>
      </w:tr>
      <w:tr w:rsidR="00B834A2" w:rsidRPr="00A54897" w14:paraId="4FB04CB0" w14:textId="77777777" w:rsidTr="00B834A2">
        <w:trPr>
          <w:jc w:val="center"/>
        </w:trPr>
        <w:tc>
          <w:tcPr>
            <w:tcW w:w="1383" w:type="dxa"/>
            <w:shd w:val="clear" w:color="auto" w:fill="FFFFFF"/>
          </w:tcPr>
          <w:p w14:paraId="1340B9A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2Italic"/>
                <w:sz w:val="20"/>
                <w:szCs w:val="20"/>
              </w:rPr>
              <w:t>Li</w:t>
            </w:r>
          </w:p>
        </w:tc>
        <w:tc>
          <w:tcPr>
            <w:tcW w:w="1664" w:type="dxa"/>
            <w:shd w:val="clear" w:color="auto" w:fill="FFFFFF"/>
          </w:tcPr>
          <w:p w14:paraId="351F69F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11307C2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55</w:t>
            </w:r>
          </w:p>
        </w:tc>
        <w:tc>
          <w:tcPr>
            <w:tcW w:w="1559" w:type="dxa"/>
            <w:shd w:val="clear" w:color="auto" w:fill="FFFFFF"/>
          </w:tcPr>
          <w:p w14:paraId="0C1794B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25</w:t>
            </w:r>
          </w:p>
        </w:tc>
        <w:tc>
          <w:tcPr>
            <w:tcW w:w="1984" w:type="dxa"/>
            <w:shd w:val="clear" w:color="auto" w:fill="FFFFFF"/>
          </w:tcPr>
          <w:p w14:paraId="7FB14BA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2.5</w:t>
            </w:r>
          </w:p>
        </w:tc>
      </w:tr>
      <w:tr w:rsidR="00B834A2" w:rsidRPr="00A54897" w14:paraId="7ED6DEE3" w14:textId="77777777" w:rsidTr="00B834A2">
        <w:trPr>
          <w:jc w:val="center"/>
        </w:trPr>
        <w:tc>
          <w:tcPr>
            <w:tcW w:w="1383" w:type="dxa"/>
            <w:shd w:val="clear" w:color="auto" w:fill="FFFFFF"/>
          </w:tcPr>
          <w:p w14:paraId="397AE21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2Italic"/>
                <w:sz w:val="20"/>
                <w:szCs w:val="20"/>
              </w:rPr>
              <w:t>Sb</w:t>
            </w:r>
          </w:p>
        </w:tc>
        <w:tc>
          <w:tcPr>
            <w:tcW w:w="1664" w:type="dxa"/>
            <w:shd w:val="clear" w:color="auto" w:fill="FFFFFF"/>
          </w:tcPr>
          <w:p w14:paraId="3A3F6FC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2EAF2731"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120</w:t>
            </w:r>
          </w:p>
        </w:tc>
        <w:tc>
          <w:tcPr>
            <w:tcW w:w="1559" w:type="dxa"/>
            <w:shd w:val="clear" w:color="auto" w:fill="FFFFFF"/>
          </w:tcPr>
          <w:p w14:paraId="107F41B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9</w:t>
            </w:r>
          </w:p>
        </w:tc>
        <w:tc>
          <w:tcPr>
            <w:tcW w:w="1984" w:type="dxa"/>
            <w:shd w:val="clear" w:color="auto" w:fill="FFFFFF"/>
          </w:tcPr>
          <w:p w14:paraId="7D09DFA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2</w:t>
            </w:r>
          </w:p>
        </w:tc>
      </w:tr>
      <w:tr w:rsidR="00B834A2" w:rsidRPr="00A54897" w14:paraId="42798354" w14:textId="77777777" w:rsidTr="00B834A2">
        <w:trPr>
          <w:jc w:val="center"/>
        </w:trPr>
        <w:tc>
          <w:tcPr>
            <w:tcW w:w="1383" w:type="dxa"/>
            <w:shd w:val="clear" w:color="auto" w:fill="FFFFFF"/>
          </w:tcPr>
          <w:p w14:paraId="1431B22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Ва</w:t>
            </w:r>
          </w:p>
        </w:tc>
        <w:tc>
          <w:tcPr>
            <w:tcW w:w="1664" w:type="dxa"/>
            <w:shd w:val="clear" w:color="auto" w:fill="FFFFFF"/>
          </w:tcPr>
          <w:p w14:paraId="518CA6E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1BED091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140</w:t>
            </w:r>
          </w:p>
        </w:tc>
        <w:tc>
          <w:tcPr>
            <w:tcW w:w="1559" w:type="dxa"/>
            <w:shd w:val="clear" w:color="auto" w:fill="FFFFFF"/>
          </w:tcPr>
          <w:p w14:paraId="6F81E71B"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70</w:t>
            </w:r>
          </w:p>
        </w:tc>
        <w:tc>
          <w:tcPr>
            <w:tcW w:w="1984" w:type="dxa"/>
            <w:shd w:val="clear" w:color="auto" w:fill="FFFFFF"/>
          </w:tcPr>
          <w:p w14:paraId="658BE26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30</w:t>
            </w:r>
          </w:p>
        </w:tc>
      </w:tr>
      <w:tr w:rsidR="00B834A2" w:rsidRPr="00A54897" w14:paraId="3A4E9BCD" w14:textId="77777777" w:rsidTr="00B834A2">
        <w:trPr>
          <w:jc w:val="center"/>
        </w:trPr>
        <w:tc>
          <w:tcPr>
            <w:tcW w:w="1383" w:type="dxa"/>
            <w:shd w:val="clear" w:color="auto" w:fill="FFFFFF"/>
          </w:tcPr>
          <w:p w14:paraId="4AAFF54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Мо</w:t>
            </w:r>
          </w:p>
        </w:tc>
        <w:tc>
          <w:tcPr>
            <w:tcW w:w="1664" w:type="dxa"/>
            <w:shd w:val="clear" w:color="auto" w:fill="FFFFFF"/>
          </w:tcPr>
          <w:p w14:paraId="5B623EE6"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6313D2A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300</w:t>
            </w:r>
          </w:p>
        </w:tc>
        <w:tc>
          <w:tcPr>
            <w:tcW w:w="1559" w:type="dxa"/>
            <w:shd w:val="clear" w:color="auto" w:fill="FFFFFF"/>
          </w:tcPr>
          <w:p w14:paraId="0A85F784"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150</w:t>
            </w:r>
          </w:p>
        </w:tc>
        <w:tc>
          <w:tcPr>
            <w:tcW w:w="1984" w:type="dxa"/>
            <w:shd w:val="clear" w:color="auto" w:fill="FFFFFF"/>
          </w:tcPr>
          <w:p w14:paraId="50752D10"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w:t>
            </w:r>
          </w:p>
        </w:tc>
      </w:tr>
      <w:tr w:rsidR="00B834A2" w:rsidRPr="00A54897" w14:paraId="50FE773F" w14:textId="77777777" w:rsidTr="00B834A2">
        <w:trPr>
          <w:jc w:val="center"/>
        </w:trPr>
        <w:tc>
          <w:tcPr>
            <w:tcW w:w="1383" w:type="dxa"/>
            <w:shd w:val="clear" w:color="auto" w:fill="FFFFFF"/>
          </w:tcPr>
          <w:p w14:paraId="74BBCAE8"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Cu</w:t>
            </w:r>
          </w:p>
        </w:tc>
        <w:tc>
          <w:tcPr>
            <w:tcW w:w="1664" w:type="dxa"/>
            <w:shd w:val="clear" w:color="auto" w:fill="FFFFFF"/>
          </w:tcPr>
          <w:p w14:paraId="63641267"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1122D775"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300</w:t>
            </w:r>
          </w:p>
        </w:tc>
        <w:tc>
          <w:tcPr>
            <w:tcW w:w="1559" w:type="dxa"/>
            <w:shd w:val="clear" w:color="auto" w:fill="FFFFFF"/>
          </w:tcPr>
          <w:p w14:paraId="00B0556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30</w:t>
            </w:r>
          </w:p>
        </w:tc>
        <w:tc>
          <w:tcPr>
            <w:tcW w:w="1984" w:type="dxa"/>
            <w:shd w:val="clear" w:color="auto" w:fill="FFFFFF"/>
          </w:tcPr>
          <w:p w14:paraId="07C94F93"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r>
      <w:tr w:rsidR="00B834A2" w:rsidRPr="00A54897" w14:paraId="23E15A3E" w14:textId="77777777" w:rsidTr="00B834A2">
        <w:trPr>
          <w:jc w:val="center"/>
        </w:trPr>
        <w:tc>
          <w:tcPr>
            <w:tcW w:w="1383" w:type="dxa"/>
            <w:shd w:val="clear" w:color="auto" w:fill="FFFFFF"/>
          </w:tcPr>
          <w:p w14:paraId="4D317DB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Sn</w:t>
            </w:r>
          </w:p>
        </w:tc>
        <w:tc>
          <w:tcPr>
            <w:tcW w:w="1664" w:type="dxa"/>
            <w:shd w:val="clear" w:color="auto" w:fill="FFFFFF"/>
          </w:tcPr>
          <w:p w14:paraId="7EB1E00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shd w:val="clear" w:color="auto" w:fill="FFFFFF"/>
          </w:tcPr>
          <w:p w14:paraId="08ED407F"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600</w:t>
            </w:r>
          </w:p>
        </w:tc>
        <w:tc>
          <w:tcPr>
            <w:tcW w:w="1559" w:type="dxa"/>
            <w:shd w:val="clear" w:color="auto" w:fill="FFFFFF"/>
          </w:tcPr>
          <w:p w14:paraId="10CFFFA9"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60</w:t>
            </w:r>
          </w:p>
        </w:tc>
        <w:tc>
          <w:tcPr>
            <w:tcW w:w="1984" w:type="dxa"/>
            <w:shd w:val="clear" w:color="auto" w:fill="FFFFFF"/>
          </w:tcPr>
          <w:p w14:paraId="168FC0BA"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6</w:t>
            </w:r>
          </w:p>
        </w:tc>
      </w:tr>
      <w:tr w:rsidR="00B834A2" w:rsidRPr="00A54897" w14:paraId="1D51F33F" w14:textId="77777777" w:rsidTr="00B834A2">
        <w:trPr>
          <w:jc w:val="center"/>
        </w:trPr>
        <w:tc>
          <w:tcPr>
            <w:tcW w:w="1383" w:type="dxa"/>
            <w:tcBorders>
              <w:bottom w:val="single" w:sz="4" w:space="0" w:color="auto"/>
            </w:tcBorders>
            <w:shd w:val="clear" w:color="auto" w:fill="FFFFFF"/>
          </w:tcPr>
          <w:p w14:paraId="174FB89E"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Cr</w:t>
            </w:r>
          </w:p>
        </w:tc>
        <w:tc>
          <w:tcPr>
            <w:tcW w:w="1664" w:type="dxa"/>
            <w:tcBorders>
              <w:bottom w:val="single" w:sz="4" w:space="0" w:color="auto"/>
            </w:tcBorders>
            <w:shd w:val="clear" w:color="auto" w:fill="FFFFFF"/>
          </w:tcPr>
          <w:p w14:paraId="686A52C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3</w:t>
            </w:r>
          </w:p>
        </w:tc>
        <w:tc>
          <w:tcPr>
            <w:tcW w:w="1560" w:type="dxa"/>
            <w:tcBorders>
              <w:bottom w:val="single" w:sz="4" w:space="0" w:color="auto"/>
            </w:tcBorders>
            <w:shd w:val="clear" w:color="auto" w:fill="FFFFFF"/>
          </w:tcPr>
          <w:p w14:paraId="51F74E4D"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1,100</w:t>
            </w:r>
          </w:p>
        </w:tc>
        <w:tc>
          <w:tcPr>
            <w:tcW w:w="1559" w:type="dxa"/>
            <w:tcBorders>
              <w:bottom w:val="single" w:sz="4" w:space="0" w:color="auto"/>
            </w:tcBorders>
            <w:shd w:val="clear" w:color="auto" w:fill="FFFFFF"/>
          </w:tcPr>
          <w:p w14:paraId="1783B2EC"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110</w:t>
            </w:r>
          </w:p>
        </w:tc>
        <w:tc>
          <w:tcPr>
            <w:tcW w:w="1984" w:type="dxa"/>
            <w:tcBorders>
              <w:bottom w:val="single" w:sz="4" w:space="0" w:color="auto"/>
            </w:tcBorders>
            <w:shd w:val="clear" w:color="auto" w:fill="FFFFFF"/>
          </w:tcPr>
          <w:p w14:paraId="3273BE22" w14:textId="77777777" w:rsidR="00B834A2" w:rsidRPr="00A54897" w:rsidRDefault="00B834A2" w:rsidP="00A54897">
            <w:pPr>
              <w:pStyle w:val="Bodytext20"/>
              <w:shd w:val="clear" w:color="auto" w:fill="auto"/>
              <w:spacing w:before="0" w:line="240" w:lineRule="auto"/>
              <w:rPr>
                <w:rFonts w:ascii="Sylfaen" w:hAnsi="Sylfaen" w:cs="Sylfaen"/>
                <w:sz w:val="20"/>
                <w:szCs w:val="20"/>
              </w:rPr>
            </w:pPr>
            <w:r w:rsidRPr="00A54897">
              <w:rPr>
                <w:rStyle w:val="Bodytext31Sylfaen9"/>
                <w:sz w:val="20"/>
                <w:szCs w:val="20"/>
              </w:rPr>
              <w:t>0,3</w:t>
            </w:r>
          </w:p>
        </w:tc>
      </w:tr>
    </w:tbl>
    <w:p w14:paraId="6BED8A01" w14:textId="77777777" w:rsidR="00B834A2" w:rsidRPr="00B834A2" w:rsidRDefault="00B834A2" w:rsidP="00B834A2">
      <w:pPr>
        <w:pStyle w:val="Tablecaption20"/>
        <w:shd w:val="clear" w:color="auto" w:fill="auto"/>
        <w:spacing w:before="0" w:after="160" w:line="360" w:lineRule="auto"/>
        <w:rPr>
          <w:rFonts w:ascii="Sylfaen" w:hAnsi="Sylfaen" w:cs="Sylfaen"/>
          <w:sz w:val="24"/>
          <w:szCs w:val="24"/>
        </w:rPr>
      </w:pPr>
    </w:p>
    <w:p w14:paraId="12D44B91" w14:textId="77777777" w:rsidR="00B834A2" w:rsidRPr="00A54897" w:rsidRDefault="00B834A2" w:rsidP="00A54897">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A54897">
        <w:rPr>
          <w:rStyle w:val="Bodytext31Sylfaen9"/>
          <w:i w:val="0"/>
          <w:sz w:val="24"/>
          <w:szCs w:val="24"/>
        </w:rPr>
        <w:lastRenderedPageBreak/>
        <w:t>-</w:t>
      </w:r>
      <w:r w:rsidR="00A54897" w:rsidRPr="00A54897">
        <w:rPr>
          <w:rStyle w:val="Bodytext31Sylfaen9"/>
          <w:i w:val="0"/>
          <w:sz w:val="24"/>
          <w:szCs w:val="24"/>
        </w:rPr>
        <w:tab/>
      </w:r>
      <w:r w:rsidRPr="00A54897">
        <w:rPr>
          <w:rStyle w:val="Bodytext31Sylfaen9"/>
          <w:i w:val="0"/>
          <w:sz w:val="24"/>
          <w:szCs w:val="24"/>
        </w:rPr>
        <w:t>օրական ցանկացած սահմանված քանակությամբ ընդունվող դեղապատրաստուկի յուրաքանչյուր բաղադրիչում տարրի ՍԹԿ-ի հաշվարկ:</w:t>
      </w:r>
    </w:p>
    <w:p w14:paraId="7563AF3F" w14:textId="77777777" w:rsidR="00B834A2" w:rsidRPr="00A54897" w:rsidRDefault="00B834A2" w:rsidP="00A54897">
      <w:pPr>
        <w:pStyle w:val="Bodytext20"/>
        <w:shd w:val="clear" w:color="auto" w:fill="auto"/>
        <w:spacing w:before="0" w:after="160" w:line="360" w:lineRule="auto"/>
        <w:ind w:firstLine="567"/>
        <w:jc w:val="both"/>
        <w:rPr>
          <w:rFonts w:ascii="Sylfaen" w:hAnsi="Sylfaen" w:cs="Sylfaen"/>
          <w:i/>
          <w:sz w:val="24"/>
          <w:szCs w:val="24"/>
        </w:rPr>
      </w:pPr>
      <w:r w:rsidRPr="00A54897">
        <w:rPr>
          <w:rStyle w:val="Bodytext31Sylfaen9"/>
          <w:i w:val="0"/>
          <w:sz w:val="24"/>
          <w:szCs w:val="24"/>
        </w:rPr>
        <w:t>Վերջին մոտեցումը ենթադրում է տարրի ՍԹԿ-ի հաշվարկն ինչպես առանձին-առանձին դեղապատրաստուկի բոլոր բաղադրիչներում, այնպես էլ դրա ցանկացած բաղադրիչում՝ ընտրողաբար։ Դեղապատրաստուկի բաղադրիչների ընտրությունը պետք է հիմնված լինի դեղապատրաստուկի բաղադրիչներում տարրերի խառնուկների բաշխման վերաբերյալ տեղեկությունների վրա (օրինակ՝ առանձին բաղադրիչներում ավելի բարձր կոնցենտրացիաներ)։</w:t>
      </w:r>
    </w:p>
    <w:p w14:paraId="0C46FF39" w14:textId="77777777" w:rsidR="00B834A2" w:rsidRPr="00A54897" w:rsidRDefault="00B834A2" w:rsidP="00A54897">
      <w:pPr>
        <w:pStyle w:val="Bodytext20"/>
        <w:shd w:val="clear" w:color="auto" w:fill="auto"/>
        <w:spacing w:before="0" w:after="160" w:line="360" w:lineRule="auto"/>
        <w:ind w:firstLine="340"/>
        <w:jc w:val="both"/>
        <w:rPr>
          <w:rFonts w:ascii="Sylfaen" w:hAnsi="Sylfaen" w:cs="Sylfaen"/>
          <w:i/>
          <w:sz w:val="24"/>
          <w:szCs w:val="24"/>
        </w:rPr>
      </w:pPr>
      <w:r w:rsidRPr="00A54897">
        <w:rPr>
          <w:rStyle w:val="Bodytext31Sylfaen9"/>
          <w:i w:val="0"/>
          <w:sz w:val="24"/>
          <w:szCs w:val="24"/>
        </w:rPr>
        <w:t>Դեղապատրաստուկի բաղադրիչներում հնարավոր առկա յուրաքանչյուր տարրի համար դեղապատրաստուկում տարրի խառնուկի ենթադրվող առավելագույն զանգվածը կարող է հաշվարկվել յուրաքանչյուր բաղադրիչի զանգվածը յուրաքանչյուր տարրի համար որոշված ՍԹԿ-ով բազմապատկելու եւ բոլոր բաղադրիչների համար ստացված արդյունքները գումարելու միջոցով։ Առավելագույն զանգվածի արժեքը չպետք է գերազանցի տարրի խառնուկի ԹՕՆ-ի արժեքը՝</w:t>
      </w:r>
    </w:p>
    <w:p w14:paraId="1AB9E096" w14:textId="77777777" w:rsidR="00B834A2" w:rsidRPr="00B834A2" w:rsidRDefault="00B834A2" w:rsidP="00A54897">
      <w:pPr>
        <w:pStyle w:val="Bodytext20"/>
        <w:shd w:val="clear" w:color="auto" w:fill="auto"/>
        <w:spacing w:before="0" w:after="160" w:line="360" w:lineRule="auto"/>
        <w:jc w:val="left"/>
        <w:rPr>
          <w:rStyle w:val="Bodytext29pt"/>
          <w:i/>
          <w:sz w:val="24"/>
          <w:szCs w:val="24"/>
        </w:rPr>
      </w:pPr>
      <m:oMathPara>
        <m:oMathParaPr>
          <m:jc m:val="center"/>
        </m:oMathParaPr>
        <m:oMath>
          <m:r>
            <w:rPr>
              <w:rStyle w:val="Bodytext31Sylfaen9"/>
              <w:rFonts w:ascii="Cambria Math" w:hAnsi="Cambria Math"/>
              <w:sz w:val="24"/>
              <w:szCs w:val="24"/>
            </w:rPr>
            <m:t xml:space="preserve">ԹՕՆ (մկգ/օր) </m:t>
          </m:r>
          <m:r>
            <m:rPr>
              <m:sty m:val="p"/>
            </m:rPr>
            <w:rPr>
              <w:rStyle w:val="Bodytext2105pt"/>
              <w:rFonts w:ascii="Cambria Math" w:eastAsia="Sylfaen" w:hAnsi="Cambria Math"/>
              <w:w w:val="100"/>
              <w:sz w:val="24"/>
              <w:szCs w:val="24"/>
            </w:rPr>
            <m:t>≥</m:t>
          </m:r>
          <m:nary>
            <m:naryPr>
              <m:chr m:val="∑"/>
              <m:grow m:val="1"/>
              <m:ctrlPr>
                <w:rPr>
                  <w:rStyle w:val="Bodytext29pt"/>
                  <w:rFonts w:ascii="Cambria Math" w:hAnsi="Cambria Math"/>
                  <w:sz w:val="24"/>
                  <w:szCs w:val="24"/>
                </w:rPr>
              </m:ctrlPr>
            </m:naryPr>
            <m:sub>
              <m:r>
                <w:rPr>
                  <w:rStyle w:val="Bodytext29pt"/>
                  <w:rFonts w:ascii="Cambria Math" w:eastAsia="Cambria Math" w:hAnsi="Cambria Math" w:cs="Cambria Math"/>
                  <w:sz w:val="24"/>
                  <w:szCs w:val="24"/>
                </w:rPr>
                <m:t>k=1</m:t>
              </m:r>
            </m:sub>
            <m:sup>
              <m:r>
                <w:rPr>
                  <w:rStyle w:val="Bodytext29pt"/>
                  <w:rFonts w:ascii="Cambria Math" w:eastAsia="Cambria Math" w:hAnsi="Cambria Math" w:cs="Cambria Math"/>
                  <w:sz w:val="24"/>
                  <w:szCs w:val="24"/>
                </w:rPr>
                <m:t>N</m:t>
              </m:r>
            </m:sup>
            <m:e>
              <m:sSub>
                <m:sSubPr>
                  <m:ctrlPr>
                    <w:rPr>
                      <w:rStyle w:val="Bodytext29pt"/>
                      <w:rFonts w:ascii="Cambria Math" w:hAnsi="Cambria Math"/>
                      <w:sz w:val="24"/>
                      <w:szCs w:val="24"/>
                    </w:rPr>
                  </m:ctrlPr>
                </m:sSubPr>
                <m:e>
                  <m:r>
                    <w:rPr>
                      <w:rStyle w:val="Bodytext29pt"/>
                      <w:rFonts w:ascii="Cambria Math" w:hAnsi="Cambria Math"/>
                      <w:sz w:val="24"/>
                      <w:szCs w:val="24"/>
                    </w:rPr>
                    <m:t>C</m:t>
                  </m:r>
                </m:e>
                <m:sub>
                  <m:r>
                    <w:rPr>
                      <w:rStyle w:val="Bodytext29pt"/>
                      <w:rFonts w:ascii="Cambria Math" w:hAnsi="Cambria Math"/>
                      <w:sz w:val="24"/>
                      <w:szCs w:val="24"/>
                    </w:rPr>
                    <m:t>k</m:t>
                  </m:r>
                </m:sub>
              </m:sSub>
              <m:r>
                <m:rPr>
                  <m:sty m:val="p"/>
                </m:rPr>
                <w:rPr>
                  <w:rStyle w:val="Bodytext29pt"/>
                  <w:rFonts w:ascii="Cambria Math" w:hAnsi="Cambria Math"/>
                  <w:sz w:val="24"/>
                  <w:szCs w:val="24"/>
                </w:rPr>
                <m:t>(</m:t>
              </m:r>
              <m:f>
                <m:fPr>
                  <m:type m:val="lin"/>
                  <m:ctrlPr>
                    <w:rPr>
                      <w:rStyle w:val="Bodytext29pt"/>
                      <w:rFonts w:ascii="Cambria Math" w:hAnsi="Cambria Math"/>
                      <w:i/>
                      <w:sz w:val="24"/>
                      <w:szCs w:val="24"/>
                    </w:rPr>
                  </m:ctrlPr>
                </m:fPr>
                <m:num>
                  <m:r>
                    <w:rPr>
                      <w:rStyle w:val="Bodytext29pt"/>
                      <w:rFonts w:ascii="Cambria Math" w:hAnsi="Cambria Math"/>
                      <w:sz w:val="24"/>
                      <w:szCs w:val="24"/>
                    </w:rPr>
                    <m:t>մկգ</m:t>
                  </m:r>
                </m:num>
                <m:den>
                  <m:r>
                    <w:rPr>
                      <w:rStyle w:val="Bodytext29pt"/>
                      <w:rFonts w:ascii="Cambria Math" w:hAnsi="Cambria Math"/>
                      <w:sz w:val="24"/>
                      <w:szCs w:val="24"/>
                    </w:rPr>
                    <m:t>գ).</m:t>
                  </m:r>
                </m:den>
              </m:f>
            </m:e>
          </m:nary>
          <m:sSub>
            <m:sSubPr>
              <m:ctrlPr>
                <w:rPr>
                  <w:rStyle w:val="Bodytext29pt"/>
                  <w:rFonts w:ascii="Cambria Math" w:hAnsi="Cambria Math"/>
                  <w:sz w:val="24"/>
                  <w:szCs w:val="24"/>
                </w:rPr>
              </m:ctrlPr>
            </m:sSubPr>
            <m:e>
              <m:r>
                <m:rPr>
                  <m:sty m:val="p"/>
                </m:rPr>
                <w:rPr>
                  <w:rStyle w:val="Bodytext29pt"/>
                  <w:rFonts w:ascii="Cambria Math" w:hAnsi="Cambria Math"/>
                  <w:sz w:val="24"/>
                  <w:szCs w:val="24"/>
                </w:rPr>
                <m:t>m</m:t>
              </m:r>
            </m:e>
            <m:sub>
              <m:r>
                <m:rPr>
                  <m:sty m:val="p"/>
                </m:rPr>
                <w:rPr>
                  <w:rStyle w:val="Bodytext29pt"/>
                  <w:rFonts w:ascii="Cambria Math" w:hAnsi="Cambria Math"/>
                  <w:sz w:val="24"/>
                  <w:szCs w:val="24"/>
                </w:rPr>
                <m:t>k</m:t>
              </m:r>
            </m:sub>
          </m:sSub>
          <m:r>
            <m:rPr>
              <m:sty m:val="b"/>
            </m:rPr>
            <w:rPr>
              <w:rStyle w:val="Bodytext29pt"/>
              <w:rFonts w:ascii="Cambria Math" w:hAnsi="Cambria Math"/>
              <w:sz w:val="24"/>
              <w:szCs w:val="24"/>
            </w:rPr>
            <m:t>(գ/օր),</m:t>
          </m:r>
        </m:oMath>
      </m:oMathPara>
    </w:p>
    <w:p w14:paraId="67E99AC7" w14:textId="77777777" w:rsidR="00B834A2" w:rsidRPr="00B834A2" w:rsidRDefault="00B834A2" w:rsidP="006B7DC5">
      <w:pPr>
        <w:pStyle w:val="Bodytext20"/>
        <w:shd w:val="clear" w:color="auto" w:fill="auto"/>
        <w:spacing w:before="0" w:after="160" w:line="336" w:lineRule="auto"/>
        <w:ind w:firstLine="567"/>
        <w:jc w:val="both"/>
        <w:rPr>
          <w:rStyle w:val="Bodytext31Sylfaen9"/>
          <w:sz w:val="24"/>
          <w:szCs w:val="24"/>
        </w:rPr>
      </w:pPr>
      <w:r w:rsidRPr="00B834A2">
        <w:rPr>
          <w:rStyle w:val="Bodytext31Sylfaen9"/>
          <w:sz w:val="24"/>
          <w:szCs w:val="24"/>
        </w:rPr>
        <w:t xml:space="preserve">որտեղ՝ </w:t>
      </w:r>
    </w:p>
    <w:p w14:paraId="07E3BEA8" w14:textId="77777777" w:rsidR="00B834A2" w:rsidRPr="00616416" w:rsidRDefault="00B834A2" w:rsidP="006B7DC5">
      <w:pPr>
        <w:pStyle w:val="Bodytext20"/>
        <w:shd w:val="clear" w:color="auto" w:fill="auto"/>
        <w:spacing w:before="0" w:after="160" w:line="336" w:lineRule="auto"/>
        <w:ind w:firstLine="567"/>
        <w:jc w:val="both"/>
        <w:rPr>
          <w:rStyle w:val="Bodytext31Sylfaen9"/>
          <w:i w:val="0"/>
          <w:sz w:val="24"/>
          <w:szCs w:val="24"/>
        </w:rPr>
      </w:pPr>
      <w:r w:rsidRPr="00B834A2">
        <w:rPr>
          <w:rStyle w:val="Bodytext31Sylfaen9"/>
          <w:sz w:val="24"/>
          <w:szCs w:val="24"/>
        </w:rPr>
        <w:t>k</w:t>
      </w:r>
      <w:r w:rsidRPr="00616416">
        <w:rPr>
          <w:rStyle w:val="Bodytext31Sylfaen9"/>
          <w:i w:val="0"/>
          <w:sz w:val="24"/>
          <w:szCs w:val="24"/>
        </w:rPr>
        <w:t>-ն դեղապատրաստուկում N բաղադրիչներից յուրաքանչյուրի համար ցուցիչն է.</w:t>
      </w:r>
    </w:p>
    <w:p w14:paraId="4715D7E5" w14:textId="77777777" w:rsidR="00B834A2" w:rsidRPr="00B834A2" w:rsidRDefault="00B834A2" w:rsidP="006B7DC5">
      <w:pPr>
        <w:pStyle w:val="Bodytext20"/>
        <w:shd w:val="clear" w:color="auto" w:fill="auto"/>
        <w:spacing w:before="0" w:after="160" w:line="336" w:lineRule="auto"/>
        <w:ind w:firstLine="567"/>
        <w:jc w:val="both"/>
        <w:rPr>
          <w:rFonts w:ascii="Sylfaen" w:hAnsi="Sylfaen" w:cs="Sylfaen"/>
          <w:sz w:val="24"/>
          <w:szCs w:val="24"/>
        </w:rPr>
      </w:pPr>
      <w:r w:rsidRPr="00B834A2">
        <w:rPr>
          <w:rStyle w:val="Bodytext31Sylfaen9"/>
          <w:sz w:val="24"/>
          <w:szCs w:val="24"/>
        </w:rPr>
        <w:t>С</w:t>
      </w:r>
      <w:r w:rsidRPr="00B834A2">
        <w:rPr>
          <w:rStyle w:val="Bodytext2Italic"/>
          <w:sz w:val="24"/>
          <w:szCs w:val="24"/>
        </w:rPr>
        <w:t xml:space="preserve"> </w:t>
      </w:r>
      <w:r w:rsidRPr="00B834A2">
        <w:rPr>
          <w:rStyle w:val="Bodytext2Italic"/>
          <w:sz w:val="24"/>
          <w:szCs w:val="24"/>
          <w:vertAlign w:val="subscript"/>
        </w:rPr>
        <w:t>k</w:t>
      </w:r>
      <w:r w:rsidRPr="00B834A2">
        <w:rPr>
          <w:rFonts w:ascii="Sylfaen" w:hAnsi="Sylfaen"/>
          <w:sz w:val="24"/>
          <w:szCs w:val="24"/>
        </w:rPr>
        <w:t>-ն՝ k բաղադրիչում տարրի խառնուկի ՍԹԿ-ն.</w:t>
      </w:r>
    </w:p>
    <w:p w14:paraId="2C08541E" w14:textId="77777777" w:rsidR="00B834A2" w:rsidRPr="00B834A2" w:rsidRDefault="00B834A2" w:rsidP="006B7DC5">
      <w:pPr>
        <w:pStyle w:val="Bodytext20"/>
        <w:shd w:val="clear" w:color="auto" w:fill="auto"/>
        <w:spacing w:before="0" w:after="160" w:line="336" w:lineRule="auto"/>
        <w:ind w:firstLine="567"/>
        <w:jc w:val="both"/>
        <w:rPr>
          <w:rFonts w:ascii="Sylfaen" w:hAnsi="Sylfaen" w:cs="Sylfaen"/>
          <w:sz w:val="24"/>
          <w:szCs w:val="24"/>
        </w:rPr>
      </w:pPr>
      <w:r w:rsidRPr="00B834A2">
        <w:rPr>
          <w:rFonts w:ascii="Sylfaen" w:hAnsi="Sylfaen"/>
          <w:sz w:val="24"/>
          <w:szCs w:val="24"/>
        </w:rPr>
        <w:t>m</w:t>
      </w:r>
      <w:r w:rsidRPr="00B834A2">
        <w:rPr>
          <w:rStyle w:val="Bodytext31Sylfaen9"/>
          <w:sz w:val="24"/>
          <w:szCs w:val="24"/>
          <w:vertAlign w:val="subscript"/>
        </w:rPr>
        <w:t>k</w:t>
      </w:r>
      <w:r w:rsidRPr="00B834A2">
        <w:rPr>
          <w:rFonts w:ascii="Sylfaen" w:hAnsi="Sylfaen"/>
          <w:sz w:val="24"/>
          <w:szCs w:val="24"/>
        </w:rPr>
        <w:t>-ն՝ к բաղադրիչի զանգվածը՝ օրական ընդունվող դեղապատրաստուկի առավելագույն քանակությամբ։</w:t>
      </w:r>
    </w:p>
    <w:p w14:paraId="568FDA44" w14:textId="77777777" w:rsidR="00B834A2" w:rsidRPr="00DE4F37" w:rsidRDefault="00B834A2" w:rsidP="006B7DC5">
      <w:pPr>
        <w:pStyle w:val="Bodytext20"/>
        <w:shd w:val="clear" w:color="auto" w:fill="auto"/>
        <w:spacing w:before="0" w:after="160" w:line="336" w:lineRule="auto"/>
        <w:ind w:firstLine="567"/>
        <w:jc w:val="both"/>
        <w:rPr>
          <w:rStyle w:val="Bodytext31Sylfaen9"/>
          <w:sz w:val="24"/>
          <w:szCs w:val="24"/>
        </w:rPr>
      </w:pPr>
      <w:r w:rsidRPr="00616416">
        <w:rPr>
          <w:rStyle w:val="Bodytext31Sylfaen9"/>
          <w:i w:val="0"/>
          <w:sz w:val="24"/>
          <w:szCs w:val="24"/>
        </w:rPr>
        <w:t>Բերված արտահայտությունը թույլ է տալիս հաշվարկել դեղապատրաստուկի յուրաքանչյուր բաղադրիչում տարրի յուրաքանչյուր խառնուկի համար ՍԹԿ-ի արժեքը, որ կապահովի ԹՕՆ-ի արժեքին համապատասխանությունը</w:t>
      </w:r>
      <w:r w:rsidRPr="00B834A2">
        <w:rPr>
          <w:rStyle w:val="Bodytext31Sylfaen9"/>
          <w:sz w:val="24"/>
          <w:szCs w:val="24"/>
        </w:rPr>
        <w:t>։</w:t>
      </w:r>
    </w:p>
    <w:p w14:paraId="67B53499" w14:textId="77777777" w:rsidR="001636CE" w:rsidRPr="00DE4F37" w:rsidRDefault="001636CE" w:rsidP="006B7DC5">
      <w:pPr>
        <w:pStyle w:val="Bodytext20"/>
        <w:shd w:val="clear" w:color="auto" w:fill="auto"/>
        <w:spacing w:before="0" w:after="160" w:line="336" w:lineRule="auto"/>
        <w:ind w:firstLine="567"/>
        <w:jc w:val="both"/>
        <w:rPr>
          <w:rFonts w:ascii="Sylfaen" w:hAnsi="Sylfaen" w:cs="Sylfaen"/>
          <w:sz w:val="24"/>
          <w:szCs w:val="24"/>
        </w:rPr>
      </w:pPr>
    </w:p>
    <w:p w14:paraId="2DAFBFE1" w14:textId="77777777" w:rsidR="00B834A2" w:rsidRPr="00B834A2" w:rsidRDefault="00B834A2" w:rsidP="006B7DC5">
      <w:pPr>
        <w:pStyle w:val="Bodytext20"/>
        <w:shd w:val="clear" w:color="auto" w:fill="auto"/>
        <w:spacing w:before="0" w:after="160" w:line="336" w:lineRule="auto"/>
        <w:ind w:firstLine="567"/>
        <w:jc w:val="both"/>
        <w:rPr>
          <w:rFonts w:ascii="Sylfaen" w:hAnsi="Sylfaen" w:cs="Sylfaen"/>
          <w:sz w:val="24"/>
          <w:szCs w:val="24"/>
        </w:rPr>
      </w:pPr>
      <w:r w:rsidRPr="00B834A2">
        <w:rPr>
          <w:rFonts w:ascii="Sylfaen" w:hAnsi="Sylfaen"/>
          <w:sz w:val="24"/>
          <w:szCs w:val="24"/>
        </w:rPr>
        <w:lastRenderedPageBreak/>
        <w:t xml:space="preserve">10 գ-ից ոչ ավելի օրական դեղաչափով դեղապատրաստուկի առանձին բաղադրիչում տարրերի խառնուկների պարունակության գնահատման համար անհրաժեշտ ՍԹԿ-ի արժեքները բերված են 2.3.10.0-3 աղյուսակում։ </w:t>
      </w:r>
    </w:p>
    <w:p w14:paraId="4A60DC9A" w14:textId="77777777" w:rsidR="00B834A2" w:rsidRPr="00616416" w:rsidRDefault="00B834A2" w:rsidP="006B7DC5">
      <w:pPr>
        <w:pStyle w:val="Bodytext20"/>
        <w:shd w:val="clear" w:color="auto" w:fill="auto"/>
        <w:spacing w:before="0" w:after="160" w:line="336" w:lineRule="auto"/>
        <w:ind w:firstLine="567"/>
        <w:jc w:val="both"/>
        <w:rPr>
          <w:rStyle w:val="Bodytext31Sylfaen9"/>
          <w:i w:val="0"/>
          <w:sz w:val="24"/>
          <w:szCs w:val="24"/>
        </w:rPr>
      </w:pPr>
      <w:r w:rsidRPr="00616416">
        <w:rPr>
          <w:rStyle w:val="Bodytext31Sylfaen9"/>
          <w:i w:val="0"/>
          <w:sz w:val="24"/>
          <w:szCs w:val="24"/>
        </w:rPr>
        <w:t xml:space="preserve">Դեղաապատրաստուկում յուրաքանչյուր տարրի կոնցենտրացիան կարելի է նաեւ չափել դեղապատրաստուկի վերլուծության ընթացքում։ Օրական ընդունվող դեղապատրաստուկի առավելագույն քանակության օգտագործման դեպքում հաշվարկվում է դեղապատրաստուկում տարրի խառնուկի առավելագույն թույլատրելի կոնցենտրացիան։ </w:t>
      </w:r>
    </w:p>
    <w:p w14:paraId="00FBCCD3" w14:textId="77777777" w:rsidR="00B834A2" w:rsidRPr="00B834A2" w:rsidRDefault="00B834A2" w:rsidP="00B834A2">
      <w:pPr>
        <w:pStyle w:val="Bodytext20"/>
        <w:shd w:val="clear" w:color="auto" w:fill="auto"/>
        <w:spacing w:before="0" w:after="160" w:line="360" w:lineRule="auto"/>
        <w:ind w:left="440" w:firstLine="567"/>
        <w:rPr>
          <w:rStyle w:val="Bodytext31Sylfaen9"/>
          <w:sz w:val="24"/>
          <w:szCs w:val="24"/>
        </w:rPr>
      </w:pPr>
    </w:p>
    <w:p w14:paraId="56ED7C10" w14:textId="77777777" w:rsidR="00B834A2" w:rsidRPr="00C41622" w:rsidRDefault="00B834A2" w:rsidP="00616416">
      <w:pPr>
        <w:pStyle w:val="Bodytext20"/>
        <w:shd w:val="clear" w:color="auto" w:fill="auto"/>
        <w:spacing w:before="0" w:after="160" w:line="360" w:lineRule="auto"/>
        <w:ind w:firstLine="567"/>
        <w:jc w:val="both"/>
        <w:rPr>
          <w:rStyle w:val="Bodytext31Sylfaen9"/>
          <w:b/>
          <w:i w:val="0"/>
          <w:sz w:val="24"/>
          <w:szCs w:val="24"/>
        </w:rPr>
      </w:pPr>
      <w:r w:rsidRPr="00616416">
        <w:rPr>
          <w:rStyle w:val="Bodytext31Sylfaen9"/>
          <w:b/>
          <w:i w:val="0"/>
          <w:sz w:val="24"/>
          <w:szCs w:val="24"/>
        </w:rPr>
        <w:t>ՏԱՐՐԵՐԻ ԽԱՌՆՈՒԿՆԵՐԻ ՈՐՈՇՄԱՆ ՄԵԹՈԴԻԿԱՆԵՐԸ</w:t>
      </w:r>
    </w:p>
    <w:p w14:paraId="6FBD619B" w14:textId="77777777" w:rsidR="00B834A2" w:rsidRPr="00DE4F37" w:rsidRDefault="00B834A2" w:rsidP="00616416">
      <w:pPr>
        <w:pStyle w:val="Bodytext20"/>
        <w:shd w:val="clear" w:color="auto" w:fill="auto"/>
        <w:spacing w:before="0" w:after="160" w:line="360" w:lineRule="auto"/>
        <w:ind w:firstLine="567"/>
        <w:jc w:val="both"/>
        <w:rPr>
          <w:rStyle w:val="Bodytext31Sylfaen9"/>
          <w:i w:val="0"/>
          <w:sz w:val="24"/>
          <w:szCs w:val="24"/>
        </w:rPr>
      </w:pPr>
      <w:r w:rsidRPr="00616416">
        <w:rPr>
          <w:rFonts w:ascii="Sylfaen" w:hAnsi="Sylfaen"/>
          <w:sz w:val="24"/>
          <w:szCs w:val="24"/>
        </w:rPr>
        <w:t xml:space="preserve">Տարրերի խառնուկների որոշումը հարկավոր է իրականացնել «2.1.4.23. </w:t>
      </w:r>
      <w:r w:rsidRPr="00616416">
        <w:rPr>
          <w:rStyle w:val="Bodytext2Italic"/>
          <w:i w:val="0"/>
          <w:sz w:val="24"/>
          <w:szCs w:val="24"/>
        </w:rPr>
        <w:t>Տարրերի խառնուկների որոշումը»</w:t>
      </w:r>
      <w:r w:rsidRPr="00616416">
        <w:rPr>
          <w:rFonts w:ascii="Sylfaen" w:hAnsi="Sylfaen"/>
          <w:sz w:val="24"/>
          <w:szCs w:val="24"/>
        </w:rPr>
        <w:t xml:space="preserve"> ընդհանուր դեղագրքային հոդվածի պահանջներին համապատասխան։</w:t>
      </w:r>
      <w:r w:rsidRPr="00616416">
        <w:rPr>
          <w:rStyle w:val="Bodytext2Italic"/>
          <w:i w:val="0"/>
          <w:sz w:val="24"/>
          <w:szCs w:val="24"/>
        </w:rPr>
        <w:t xml:space="preserve"> </w:t>
      </w:r>
      <w:r w:rsidRPr="00616416">
        <w:rPr>
          <w:rStyle w:val="Bodytext31Sylfaen9"/>
          <w:i w:val="0"/>
          <w:sz w:val="24"/>
          <w:szCs w:val="24"/>
        </w:rPr>
        <w:t>Այլ հիմնավորման բացակայության դեպքում փորձարկումները պետք է առանձնահատուկ լինեն ռիսկերի գնահատման հիման վրա հսկողության ենթակա տարրի յուրաքանչյուր խառնուկի համար։</w:t>
      </w:r>
    </w:p>
    <w:p w14:paraId="4F565CE9" w14:textId="77777777" w:rsidR="001636CE" w:rsidRPr="00DE4F37" w:rsidRDefault="001636CE" w:rsidP="00616416">
      <w:pPr>
        <w:pStyle w:val="Bodytext20"/>
        <w:shd w:val="clear" w:color="auto" w:fill="auto"/>
        <w:spacing w:before="0" w:after="160" w:line="360" w:lineRule="auto"/>
        <w:ind w:firstLine="567"/>
        <w:jc w:val="both"/>
        <w:rPr>
          <w:rFonts w:ascii="Sylfaen" w:hAnsi="Sylfaen" w:cs="Sylfaen"/>
          <w:sz w:val="24"/>
          <w:szCs w:val="24"/>
        </w:rPr>
      </w:pPr>
    </w:p>
    <w:p w14:paraId="3F373C2C" w14:textId="77777777" w:rsidR="00B834A2" w:rsidRPr="00A859E3" w:rsidRDefault="00B834A2" w:rsidP="00B834A2">
      <w:pPr>
        <w:pStyle w:val="Bodytext20"/>
        <w:shd w:val="clear" w:color="auto" w:fill="auto"/>
        <w:spacing w:before="0" w:after="160" w:line="360" w:lineRule="auto"/>
        <w:ind w:left="3180"/>
        <w:jc w:val="right"/>
        <w:rPr>
          <w:rStyle w:val="Bodytext29pt"/>
          <w:b/>
          <w:sz w:val="20"/>
          <w:szCs w:val="24"/>
        </w:rPr>
      </w:pPr>
      <w:r w:rsidRPr="00616416">
        <w:rPr>
          <w:rStyle w:val="Bodytext29pt"/>
          <w:b/>
          <w:sz w:val="20"/>
          <w:szCs w:val="24"/>
        </w:rPr>
        <w:t>203110000-2022</w:t>
      </w:r>
    </w:p>
    <w:p w14:paraId="450C428B" w14:textId="77777777" w:rsidR="00616416" w:rsidRPr="00A859E3" w:rsidRDefault="00616416" w:rsidP="00B834A2">
      <w:pPr>
        <w:pStyle w:val="Bodytext20"/>
        <w:shd w:val="clear" w:color="auto" w:fill="auto"/>
        <w:spacing w:before="0" w:after="160" w:line="360" w:lineRule="auto"/>
        <w:ind w:left="3180"/>
        <w:jc w:val="right"/>
        <w:rPr>
          <w:rFonts w:ascii="Sylfaen" w:hAnsi="Sylfaen" w:cs="Sylfaen"/>
          <w:sz w:val="24"/>
          <w:szCs w:val="24"/>
        </w:rPr>
      </w:pPr>
    </w:p>
    <w:p w14:paraId="0261B12E" w14:textId="77777777" w:rsidR="00B834A2" w:rsidRPr="00616416" w:rsidRDefault="00B834A2" w:rsidP="00B867ED">
      <w:pPr>
        <w:pStyle w:val="Bodytext20"/>
        <w:shd w:val="clear" w:color="auto" w:fill="auto"/>
        <w:tabs>
          <w:tab w:val="left" w:pos="1701"/>
        </w:tabs>
        <w:spacing w:before="0" w:after="160" w:line="360" w:lineRule="auto"/>
        <w:ind w:firstLine="567"/>
        <w:jc w:val="both"/>
        <w:rPr>
          <w:rFonts w:ascii="Sylfaen" w:hAnsi="Sylfaen" w:cs="Sylfaen"/>
          <w:b/>
          <w:sz w:val="24"/>
          <w:szCs w:val="24"/>
        </w:rPr>
      </w:pPr>
      <w:r w:rsidRPr="00616416">
        <w:rPr>
          <w:rStyle w:val="Bodytext29pt"/>
          <w:b/>
          <w:sz w:val="24"/>
          <w:szCs w:val="24"/>
        </w:rPr>
        <w:t>2.3.11.0.</w:t>
      </w:r>
      <w:r w:rsidR="006B7DC5" w:rsidRPr="00C41622">
        <w:rPr>
          <w:rStyle w:val="Bodytext29pt"/>
          <w:b/>
          <w:sz w:val="24"/>
          <w:szCs w:val="24"/>
        </w:rPr>
        <w:tab/>
      </w:r>
      <w:r w:rsidRPr="00616416">
        <w:rPr>
          <w:rStyle w:val="Bodytext29pt"/>
          <w:b/>
          <w:sz w:val="24"/>
          <w:szCs w:val="24"/>
        </w:rPr>
        <w:t>Ստանդարտ նմուշները</w:t>
      </w:r>
    </w:p>
    <w:p w14:paraId="78D6EDA7"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 xml:space="preserve">Տվյալ ընդհանուր դեղագրքային հոդվածը տարածվում է դեղամիջոցների մշակման եւ որակի հետագա հսկողության ժամանակ օգտագործվող ստանդարտ նմուշների վրա։ </w:t>
      </w:r>
    </w:p>
    <w:p w14:paraId="6868057F"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Ստանդարտ նմուշները հաստատվում են սահմանված կարգով, իսկ հետագա կիրառման համար դրանց պիտանիությունն ստուգվում է ցուցված ծրագրի համաձայն։ Ստանդարտ նմուշի օգտագործման անհրաժեշտությունը նշվում է ընդհանուր եւ մասնավոր դեղագրքային հոդվածներում կամ որակի վերաբերյալ նորմատիվ փաստաթղթերում։</w:t>
      </w:r>
    </w:p>
    <w:p w14:paraId="79A7C435"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lastRenderedPageBreak/>
        <w:t>Եթե դեղագրքային հոդվածում ցուցված է Միության դեղագրքի ստանդարտ նմուշի օգտագործումը, ապա վիճելի դեպքերում միայն դա է համարվում արբիտրաժային ստանդարտ նմուշ։</w:t>
      </w:r>
    </w:p>
    <w:p w14:paraId="341F14C0" w14:textId="77777777" w:rsidR="00B834A2" w:rsidRPr="00B834A2" w:rsidRDefault="00B834A2" w:rsidP="00616416">
      <w:pPr>
        <w:pStyle w:val="Bodytext20"/>
        <w:shd w:val="clear" w:color="auto" w:fill="auto"/>
        <w:spacing w:before="0" w:after="160" w:line="360" w:lineRule="auto"/>
        <w:ind w:firstLine="567"/>
        <w:jc w:val="both"/>
        <w:rPr>
          <w:rStyle w:val="Bodytext31Sylfaen9"/>
          <w:sz w:val="24"/>
          <w:szCs w:val="24"/>
        </w:rPr>
      </w:pPr>
    </w:p>
    <w:p w14:paraId="276BC804" w14:textId="77777777" w:rsidR="00B834A2" w:rsidRPr="00C41622" w:rsidRDefault="00B834A2" w:rsidP="00616416">
      <w:pPr>
        <w:pStyle w:val="Bodytext20"/>
        <w:shd w:val="clear" w:color="auto" w:fill="auto"/>
        <w:spacing w:before="0" w:after="160" w:line="360" w:lineRule="auto"/>
        <w:ind w:firstLine="567"/>
        <w:jc w:val="both"/>
        <w:rPr>
          <w:rStyle w:val="Bodytext31Sylfaen9"/>
          <w:b/>
          <w:i w:val="0"/>
          <w:sz w:val="24"/>
          <w:szCs w:val="24"/>
        </w:rPr>
      </w:pPr>
      <w:r w:rsidRPr="00616416">
        <w:rPr>
          <w:rStyle w:val="Bodytext31Sylfaen9"/>
          <w:b/>
          <w:i w:val="0"/>
          <w:sz w:val="24"/>
          <w:szCs w:val="24"/>
        </w:rPr>
        <w:t>ԵԶՐՈՒՅԹՆԵՐ ԵՎ ՍԱՀՄԱՆՈՒՄՆԵՐ</w:t>
      </w:r>
    </w:p>
    <w:p w14:paraId="6CE5191E" w14:textId="77777777" w:rsidR="00B834A2" w:rsidRPr="00B834A2"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616416">
        <w:rPr>
          <w:rFonts w:ascii="Sylfaen" w:hAnsi="Sylfaen"/>
          <w:i/>
          <w:sz w:val="24"/>
          <w:szCs w:val="24"/>
        </w:rPr>
        <w:t>Կենսաբանական ստանդարտ նմուշ</w:t>
      </w:r>
      <w:r w:rsidRPr="00B834A2">
        <w:rPr>
          <w:rFonts w:ascii="Sylfaen" w:hAnsi="Sylfaen"/>
          <w:sz w:val="24"/>
          <w:szCs w:val="24"/>
        </w:rPr>
        <w:t>՝ ստանդարտ նմուշ, որը, որպես կանոն, կենսաբանական ծագման նյութ է (կամ նյութերի խառնուրդ)՝ նախատեսված որակի վերաբերյալ նորմատիվ փաստաթղթի ցուցումներին համապատասխան օգտագործելու համար։</w:t>
      </w:r>
    </w:p>
    <w:p w14:paraId="2C0181AC" w14:textId="77777777" w:rsidR="00B834A2" w:rsidRPr="00B834A2"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Եվրասիական տնտեսական միության դեղագրքի կենսաբանական ստանդարտ նմուշ՝ Միության դեղագրքի ընդհանուր եւ մասնավոր հոդվածների ցուցումներին համապատասխան կիրառվող կենսաբանական ստանդարտ նմուշ։</w:t>
      </w:r>
      <w:r w:rsidRPr="00B834A2">
        <w:rPr>
          <w:rStyle w:val="Bodytext31Sylfaen9"/>
          <w:sz w:val="24"/>
          <w:szCs w:val="24"/>
        </w:rPr>
        <w:t xml:space="preserve"> </w:t>
      </w:r>
      <w:r w:rsidRPr="00B834A2">
        <w:rPr>
          <w:rFonts w:ascii="Sylfaen" w:hAnsi="Sylfaen"/>
          <w:sz w:val="24"/>
          <w:szCs w:val="24"/>
        </w:rPr>
        <w:t>Միության դեղագրքի կենսաբանական ստանդարտ նմուշները միջազգային միավորներով սերտիֆիկացված (վկայագրված) երկրորդային ստանդարտ նմուշներ կամ առաջնային ստանդարտ նմուշներ են, որոնք կարող են օգտագործվել այլ միավորների, օրինակ՝ վիրուսի տիտրի կամ բակտերիաների քանակի որոշման համար։</w:t>
      </w:r>
    </w:p>
    <w:p w14:paraId="50D85B01"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Երկրորդային ստանդարտ նմուշ՝ առաջնային ստանդարտ նմուշի հետ համեմատման միջոցով որոշված՝ հատկության արժեքով ստանդարտ նմուշ։</w:t>
      </w:r>
    </w:p>
    <w:p w14:paraId="1728260F"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i/>
          <w:sz w:val="24"/>
          <w:szCs w:val="24"/>
        </w:rPr>
        <w:t>Միջազգային ստանդարտ նմուշ</w:t>
      </w:r>
      <w:r w:rsidRPr="00B834A2">
        <w:rPr>
          <w:rFonts w:ascii="Sylfaen" w:hAnsi="Sylfaen"/>
          <w:sz w:val="24"/>
          <w:szCs w:val="24"/>
        </w:rPr>
        <w:t>՝ առաջնային ստանդարտ նմուշ, որով որոշվում է Ակտիվության միջազգային միավորը կամ այլ համապատասխան միավորներ, որոնք թույլ են տալիս ամբողջ աշխարհում միասնական եղանակով արտահայտել կենսաբանական կամ իմունաբանական վերլուծության արդյունքները։</w:t>
      </w:r>
      <w:r w:rsidRPr="00B834A2">
        <w:rPr>
          <w:rStyle w:val="Bodytext31Sylfaen9"/>
          <w:sz w:val="24"/>
          <w:szCs w:val="24"/>
        </w:rPr>
        <w:t xml:space="preserve"> </w:t>
      </w:r>
      <w:r w:rsidRPr="00616416">
        <w:rPr>
          <w:rStyle w:val="Bodytext31Sylfaen9"/>
          <w:i w:val="0"/>
          <w:sz w:val="24"/>
          <w:szCs w:val="24"/>
        </w:rPr>
        <w:t xml:space="preserve">Առողջապահության համաշխարհային կազմակերպությունը սահմանում է միջազգային ստանդարտ նմուշի առաջին խմբաքանակի համար ակտիվության միավորներ՝ անցկացված միջազգային միջլաբորատոր հետազոտությունների հիման վրա։ Ստանդարտ նմուշի հետագա </w:t>
      </w:r>
      <w:r w:rsidRPr="00616416">
        <w:rPr>
          <w:rStyle w:val="Bodytext31Sylfaen9"/>
          <w:i w:val="0"/>
          <w:sz w:val="24"/>
          <w:szCs w:val="24"/>
        </w:rPr>
        <w:lastRenderedPageBreak/>
        <w:t>խմբաքանակների համար միջազգային միավորներով ակտիվությունն անհրաժեշտության դեպքում որոշվում է ստանդարտ նմուշի նախորդ սերիայի հետ համեմատման միջոցով։</w:t>
      </w:r>
    </w:p>
    <w:p w14:paraId="7A48C81D"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Fonts w:ascii="Sylfaen" w:hAnsi="Sylfaen"/>
          <w:sz w:val="24"/>
          <w:szCs w:val="24"/>
        </w:rPr>
        <w:t>Առաջնային ստանդարտ նմուշ՝</w:t>
      </w:r>
      <w:r w:rsidRPr="00B834A2">
        <w:rPr>
          <w:rFonts w:ascii="Sylfaen" w:hAnsi="Sylfaen"/>
          <w:sz w:val="24"/>
          <w:szCs w:val="24"/>
        </w:rPr>
        <w:t xml:space="preserve"> ենթարկվող օգտագործման համար անհրաժեշտ այնպիսի հատկություններ ունեցող ստանդարտ նմուշ, որոնք սահմանվել են առանց առկա ստանդարտ նմուշների հետ համեմատելու</w:t>
      </w:r>
      <w:r w:rsidRPr="00616416">
        <w:rPr>
          <w:rFonts w:ascii="Sylfaen" w:hAnsi="Sylfaen"/>
          <w:i/>
          <w:sz w:val="24"/>
          <w:szCs w:val="24"/>
        </w:rPr>
        <w:t>։</w:t>
      </w:r>
      <w:r w:rsidRPr="00616416">
        <w:rPr>
          <w:rStyle w:val="Bodytext31Sylfaen9"/>
          <w:i w:val="0"/>
          <w:sz w:val="24"/>
          <w:szCs w:val="24"/>
        </w:rPr>
        <w:t xml:space="preserve"> Տվյալ սահմանումը չի վերաբերում միջազգային ստանդարտ նմուշներին։</w:t>
      </w:r>
    </w:p>
    <w:p w14:paraId="5532095A" w14:textId="77777777" w:rsidR="00B834A2" w:rsidRPr="00B834A2"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Բուսական ստանդարտ նմուշ՝ բուսական դեղահումքից ստացված ստանդարտ նմուշ, որը նախատեսված է որակի վերաբերյալ նորմատիվ փաստաթղթի ցուցումներին համապատասխան օգտագործելու համար։</w:t>
      </w:r>
    </w:p>
    <w:p w14:paraId="7B9DB59B" w14:textId="77777777" w:rsidR="00B834A2" w:rsidRPr="00616416"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616416">
        <w:rPr>
          <w:rFonts w:ascii="Sylfaen" w:hAnsi="Sylfaen"/>
          <w:sz w:val="24"/>
          <w:szCs w:val="24"/>
        </w:rPr>
        <w:t>Եվրասիական տնտեսական միության դեղագրքի բուսական ստանդարտ նմուշ՝ Միության դեղագրքի ընդհանուր եւ մասնավոր հոդվածների ցուցումներին համապատասխան կիրառվող բուսական ստանդարտ նմուշ</w:t>
      </w:r>
      <w:r w:rsidRPr="00616416">
        <w:rPr>
          <w:rFonts w:ascii="Sylfaen" w:hAnsi="Sylfaen"/>
          <w:i/>
          <w:sz w:val="24"/>
          <w:szCs w:val="24"/>
        </w:rPr>
        <w:t>։</w:t>
      </w:r>
      <w:r w:rsidRPr="00616416">
        <w:rPr>
          <w:rStyle w:val="Bodytext31Sylfaen9"/>
          <w:i w:val="0"/>
          <w:sz w:val="24"/>
          <w:szCs w:val="24"/>
        </w:rPr>
        <w:t xml:space="preserve"> Այլ ցուցումների բացակայության դեպքում Միության դեղագրքի բուսական ստանդարտ նմուշը առաջնային ստանդարտ նմուշ է՝ ենթադրվող օգտագործման համար։</w:t>
      </w:r>
    </w:p>
    <w:p w14:paraId="6C4CFB6F" w14:textId="77777777" w:rsidR="00B834A2" w:rsidRPr="00616416" w:rsidRDefault="00B834A2" w:rsidP="001636CE">
      <w:pPr>
        <w:pStyle w:val="Bodytext20"/>
        <w:shd w:val="clear" w:color="auto" w:fill="auto"/>
        <w:spacing w:before="0" w:after="160" w:line="336" w:lineRule="auto"/>
        <w:ind w:firstLine="567"/>
        <w:jc w:val="both"/>
        <w:rPr>
          <w:rFonts w:ascii="Sylfaen" w:hAnsi="Sylfaen" w:cs="Sylfaen"/>
          <w:sz w:val="24"/>
          <w:szCs w:val="24"/>
        </w:rPr>
      </w:pPr>
      <w:r w:rsidRPr="00616416">
        <w:rPr>
          <w:rFonts w:ascii="Sylfaen" w:hAnsi="Sylfaen"/>
          <w:sz w:val="24"/>
          <w:szCs w:val="24"/>
        </w:rPr>
        <w:t>Միության դեղագրքի ստանդարտ ԻԿ սպեկտր (ԵԱՏՄԴ ԻԿ)՝ ալիքային թվից (սմ</w:t>
      </w:r>
      <w:r w:rsidRPr="00616416">
        <w:rPr>
          <w:rStyle w:val="Bodytext31Sylfaen9"/>
          <w:sz w:val="24"/>
          <w:szCs w:val="24"/>
          <w:vertAlign w:val="superscript"/>
        </w:rPr>
        <w:t>-1</w:t>
      </w:r>
      <w:r w:rsidRPr="00616416">
        <w:rPr>
          <w:rFonts w:ascii="Sylfaen" w:hAnsi="Sylfaen"/>
          <w:sz w:val="24"/>
          <w:szCs w:val="24"/>
        </w:rPr>
        <w:t>) ԻԿ ճառագայթման թողանցման կախվածության (%) գրաֆիկական պատկեր, որը գրանցված է բաղադրամասի ստանդարտ նմուշի օգտագործմամբ՝ մասնավոր դեղագրքային հոդվածում նշված պայմաններում։</w:t>
      </w:r>
    </w:p>
    <w:p w14:paraId="6056C28A" w14:textId="77777777" w:rsidR="00B834A2" w:rsidRPr="00B834A2" w:rsidRDefault="00B834A2" w:rsidP="001636CE">
      <w:pPr>
        <w:pStyle w:val="Bodytext20"/>
        <w:shd w:val="clear" w:color="auto" w:fill="auto"/>
        <w:spacing w:before="0" w:after="160" w:line="336" w:lineRule="auto"/>
        <w:ind w:firstLine="567"/>
        <w:jc w:val="both"/>
        <w:rPr>
          <w:rFonts w:ascii="Sylfaen" w:hAnsi="Sylfaen" w:cs="Sylfaen"/>
          <w:sz w:val="24"/>
          <w:szCs w:val="24"/>
        </w:rPr>
      </w:pPr>
      <w:r w:rsidRPr="00616416">
        <w:rPr>
          <w:rFonts w:ascii="Sylfaen" w:hAnsi="Sylfaen"/>
          <w:sz w:val="24"/>
          <w:szCs w:val="24"/>
        </w:rPr>
        <w:t>Ստանդարտ նմուշ՝ ենթադրվող նշանակությանը համապատասխան հատկությունների քանակական կամ որակական գնահատման ժամանակ օգտագործվելու համար որոշակի հատկությունների նկատմամբ բավականաչափ</w:t>
      </w:r>
      <w:r w:rsidRPr="00B834A2">
        <w:rPr>
          <w:rFonts w:ascii="Sylfaen" w:hAnsi="Sylfaen"/>
          <w:sz w:val="24"/>
          <w:szCs w:val="24"/>
        </w:rPr>
        <w:t xml:space="preserve"> միատեսակ եւ կայուն նյութ։</w:t>
      </w:r>
    </w:p>
    <w:p w14:paraId="7B7213A7" w14:textId="77777777" w:rsidR="00B834A2" w:rsidRPr="00B834A2" w:rsidRDefault="00B834A2" w:rsidP="001636CE">
      <w:pPr>
        <w:pStyle w:val="Bodytext20"/>
        <w:shd w:val="clear" w:color="auto" w:fill="auto"/>
        <w:spacing w:before="0" w:after="160" w:line="336" w:lineRule="auto"/>
        <w:ind w:firstLine="567"/>
        <w:jc w:val="both"/>
        <w:rPr>
          <w:rFonts w:ascii="Sylfaen" w:hAnsi="Sylfaen" w:cs="Sylfaen"/>
          <w:sz w:val="24"/>
          <w:szCs w:val="24"/>
        </w:rPr>
      </w:pPr>
      <w:r w:rsidRPr="00B834A2">
        <w:rPr>
          <w:rFonts w:ascii="Sylfaen" w:hAnsi="Sylfaen"/>
          <w:sz w:val="24"/>
          <w:szCs w:val="24"/>
        </w:rPr>
        <w:t>Ձեռնարկության ստանդարտ նմուշ՝ դեղապատրաստուկի կամ դեղագործական կիրառության բաղադրամասի որակի հսկողության վերաբերյալ փաստաթղթերի պահանջներին համապատասխան ձեռնարկության ղեկավարի կողմից հաստատված կամ տվյալ ձեռնարկությունում կիրառման համար թույլատրված ստանդարտ նմուշ։</w:t>
      </w:r>
    </w:p>
    <w:p w14:paraId="6268E09B"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lastRenderedPageBreak/>
        <w:t>Եվրասիական տնտեսական միության դեղագրքի ստանդարտ նմուշ (ԵԱՏՄԴ ՍՆ)՝ Միության դեղագրքի դեղագրքային հոդվածների ցուցումներին համապատասխան օգտագործման համար նախատեսված ստանդարտ նմուշ։</w:t>
      </w:r>
      <w:r w:rsidRPr="00B834A2">
        <w:rPr>
          <w:rStyle w:val="Bodytext31Sylfaen9"/>
          <w:sz w:val="24"/>
          <w:szCs w:val="24"/>
        </w:rPr>
        <w:t xml:space="preserve"> </w:t>
      </w:r>
      <w:r w:rsidRPr="00616416">
        <w:rPr>
          <w:rStyle w:val="Bodytext31Sylfaen9"/>
          <w:i w:val="0"/>
          <w:sz w:val="24"/>
          <w:szCs w:val="24"/>
        </w:rPr>
        <w:t>Միության դեղագրքի ստանդարտ նմուշներ են համարվում Միության անդամ պետությունների դեղագրքերի եւ հիմնական այն դեղագրքերի ստանդարտ նմուշները, որոնց հետ ներդաշնակեցված է Միության դեղագիրքը։ ԵԱՏՄԴ ՍՆ-երի ցանկը բերված է Եվրասիական տնտեսական միության կայքում՝ «Միության դեղագիրք» բաժնում։</w:t>
      </w:r>
    </w:p>
    <w:p w14:paraId="6C7D8CB9" w14:textId="77777777" w:rsidR="00B834A2" w:rsidRPr="00B834A2"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Քիմիական ստանդարտ նմուշ՝ ստանդարտ նմուշ, որը, որպես կանոն, քիմիական նյութ է (կամ քիմիական նյութերի խառնուրդ)՝ նախատեսված որակի վերաբերյալ նորմատիվ փաստաթղթի ցուցումներին համապատասխան օգտագործվելու համար։</w:t>
      </w:r>
    </w:p>
    <w:p w14:paraId="278C7D0F"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Եվրասիական տնտեսական միության դեղագրքի քիմիական ստանդարտ նմուշ՝ Միության դեղագրքի ընդհանուր եւ մասնավոր հոդվածների ցուցումներին համապատասխան կիրառվող քիմիական ստանդարտ նմուշ։</w:t>
      </w:r>
      <w:r w:rsidRPr="00B834A2">
        <w:rPr>
          <w:rStyle w:val="Bodytext31Sylfaen9"/>
          <w:sz w:val="24"/>
          <w:szCs w:val="24"/>
        </w:rPr>
        <w:t xml:space="preserve"> </w:t>
      </w:r>
      <w:r w:rsidRPr="00616416">
        <w:rPr>
          <w:rStyle w:val="Bodytext31Sylfaen9"/>
          <w:i w:val="0"/>
          <w:sz w:val="24"/>
          <w:szCs w:val="24"/>
        </w:rPr>
        <w:t>Միության դեղագրքի քիմիական ստանդարտ նմուշները, որպես կանոն, առաջնային ստանդարտ նմուշներ են՝ բացառությամբ միջազգային միավորներով արտահայտված՝ սահմանված արժեքներով ստանդարտ նմուշների (առավելապես հակաբիոտիկներ), որոնք միջազգային ստանդարտ նմուշների առնչությամբ հետագծելի երկրորդային ստանդարտ նմուշներ են։</w:t>
      </w:r>
    </w:p>
    <w:p w14:paraId="53A678FF" w14:textId="77777777" w:rsidR="00B834A2" w:rsidRPr="00B834A2" w:rsidRDefault="00B834A2" w:rsidP="00B834A2">
      <w:pPr>
        <w:pStyle w:val="Bodytext20"/>
        <w:shd w:val="clear" w:color="auto" w:fill="auto"/>
        <w:spacing w:before="0" w:after="160" w:line="360" w:lineRule="auto"/>
        <w:ind w:left="420" w:firstLine="567"/>
        <w:jc w:val="left"/>
        <w:rPr>
          <w:rStyle w:val="Bodytext31Sylfaen9"/>
          <w:sz w:val="24"/>
          <w:szCs w:val="24"/>
        </w:rPr>
      </w:pPr>
    </w:p>
    <w:p w14:paraId="347CB298" w14:textId="77777777" w:rsidR="00B834A2" w:rsidRPr="00C41622" w:rsidRDefault="00B834A2" w:rsidP="00616416">
      <w:pPr>
        <w:pStyle w:val="Bodytext20"/>
        <w:shd w:val="clear" w:color="auto" w:fill="auto"/>
        <w:spacing w:before="0" w:after="160" w:line="360" w:lineRule="auto"/>
        <w:ind w:firstLine="567"/>
        <w:jc w:val="both"/>
        <w:rPr>
          <w:rStyle w:val="Bodytext31Sylfaen9"/>
          <w:b/>
          <w:sz w:val="24"/>
          <w:szCs w:val="24"/>
        </w:rPr>
      </w:pPr>
      <w:r w:rsidRPr="00616416">
        <w:rPr>
          <w:rStyle w:val="Bodytext31Sylfaen9"/>
          <w:b/>
          <w:sz w:val="24"/>
          <w:szCs w:val="24"/>
        </w:rPr>
        <w:t>ՍՏԱՆԴԱՐՏ ՆՄՈՒՇՆԵՐԻ ԴԱՍԱԿԱՐԳՈՒՄԸ</w:t>
      </w:r>
    </w:p>
    <w:p w14:paraId="2EDC3089"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Ստանդարտ նմուշները կարող են դասակարգվել մի շարք հատկանիշների հիման վրա (2.3.11.0-1 աղյուսակ)։</w:t>
      </w:r>
    </w:p>
    <w:p w14:paraId="503EBDE7" w14:textId="77777777" w:rsidR="00B834A2" w:rsidRPr="00B834A2" w:rsidRDefault="00B834A2" w:rsidP="00616416">
      <w:pPr>
        <w:pStyle w:val="Bodytext20"/>
        <w:shd w:val="clear" w:color="auto" w:fill="auto"/>
        <w:tabs>
          <w:tab w:val="left" w:pos="2977"/>
        </w:tabs>
        <w:spacing w:before="0" w:after="160" w:line="360" w:lineRule="auto"/>
        <w:ind w:firstLine="567"/>
        <w:jc w:val="both"/>
        <w:rPr>
          <w:rFonts w:ascii="Sylfaen" w:hAnsi="Sylfaen" w:cs="Sylfaen"/>
          <w:sz w:val="24"/>
          <w:szCs w:val="24"/>
        </w:rPr>
      </w:pPr>
      <w:r w:rsidRPr="00616416">
        <w:rPr>
          <w:rStyle w:val="Bodytext31Sylfaen9"/>
          <w:i w:val="0"/>
          <w:sz w:val="24"/>
          <w:szCs w:val="24"/>
        </w:rPr>
        <w:t>Ստանդարտ նմուշները կարող են մշակվել դեղագործական կիրառության բաղադրամասերի, բաղադրամասի խառնուկներ հանդիսացող նյութերի, բաղադրամասի եւ խառնուկի (խառնուկների) խառնուրդի հիման վրա։</w:t>
      </w:r>
      <w:r w:rsidRPr="00616416">
        <w:rPr>
          <w:rStyle w:val="FooterChar"/>
          <w:rFonts w:ascii="Sylfaen" w:hAnsi="Sylfaen"/>
          <w:i/>
          <w:sz w:val="24"/>
          <w:szCs w:val="24"/>
        </w:rPr>
        <w:t xml:space="preserve"> </w:t>
      </w:r>
      <w:r w:rsidRPr="00616416">
        <w:rPr>
          <w:rFonts w:ascii="Sylfaen" w:hAnsi="Sylfaen"/>
          <w:sz w:val="24"/>
          <w:szCs w:val="24"/>
        </w:rPr>
        <w:lastRenderedPageBreak/>
        <w:t>Դեղագրքային վերլուծության նպատակներով Միության դեղագրքի ստանդարտ ԻԿ սպեկտրները հավասարեցվում են ստանդարտ նմուշներին</w:t>
      </w:r>
      <w:r w:rsidRPr="00616416">
        <w:rPr>
          <w:rFonts w:ascii="Sylfaen" w:hAnsi="Sylfaen"/>
          <w:i/>
          <w:sz w:val="24"/>
          <w:szCs w:val="24"/>
        </w:rPr>
        <w:t xml:space="preserve">։ </w:t>
      </w:r>
      <w:r w:rsidRPr="00616416">
        <w:rPr>
          <w:rStyle w:val="Bodytext31Sylfaen9"/>
          <w:i w:val="0"/>
          <w:sz w:val="24"/>
          <w:szCs w:val="24"/>
        </w:rPr>
        <w:t>Բացի այդ</w:t>
      </w:r>
      <w:r w:rsidRPr="00616416">
        <w:rPr>
          <w:rStyle w:val="Bodytext31Sylfaen9"/>
          <w:rFonts w:cs="Times New Roman"/>
          <w:i w:val="0"/>
          <w:sz w:val="24"/>
          <w:szCs w:val="24"/>
        </w:rPr>
        <w:t>,</w:t>
      </w:r>
      <w:r w:rsidRPr="00616416">
        <w:rPr>
          <w:rStyle w:val="Bodytext31Sylfaen9"/>
          <w:i w:val="0"/>
          <w:sz w:val="24"/>
          <w:szCs w:val="24"/>
        </w:rPr>
        <w:t xml:space="preserve"> կենսաբանական դեղապատրաստուկի համար ստանդարտ նմուշ մշակելու նպատակով կարող է օգտագործվել կլինիկական հետազոտություններում օգտագործված դեղապատրաստուկի սերիայի համար ներկայացուցչական՝ կենսաբանական դեղապատրաստուկի արդյունաբերական սերիան</w:t>
      </w:r>
      <w:r w:rsidRPr="00B834A2">
        <w:rPr>
          <w:rStyle w:val="Bodytext31Sylfaen9"/>
          <w:sz w:val="24"/>
          <w:szCs w:val="24"/>
        </w:rPr>
        <w:t>։</w:t>
      </w:r>
    </w:p>
    <w:p w14:paraId="1208215C" w14:textId="77777777" w:rsidR="00B834A2" w:rsidRPr="00B834A2" w:rsidRDefault="00B834A2" w:rsidP="00B834A2">
      <w:pPr>
        <w:spacing w:after="160" w:line="360" w:lineRule="auto"/>
        <w:rPr>
          <w:rStyle w:val="Headerorfooter3NotItalic"/>
          <w:rFonts w:ascii="Sylfaen" w:eastAsia="Tahoma" w:hAnsi="Sylfaen"/>
          <w:sz w:val="24"/>
          <w:szCs w:val="24"/>
        </w:rPr>
      </w:pPr>
    </w:p>
    <w:p w14:paraId="5CF4831D" w14:textId="77777777" w:rsidR="00B834A2" w:rsidRPr="001636CE" w:rsidRDefault="00B834A2" w:rsidP="00C005F7">
      <w:pPr>
        <w:spacing w:after="160" w:line="360" w:lineRule="auto"/>
        <w:ind w:firstLine="567"/>
      </w:pPr>
      <w:r w:rsidRPr="001636CE">
        <w:rPr>
          <w:rStyle w:val="Headerorfooter3NotItalic"/>
          <w:rFonts w:ascii="Sylfaen" w:eastAsia="Tahoma" w:hAnsi="Sylfaen"/>
          <w:i w:val="0"/>
          <w:sz w:val="24"/>
          <w:szCs w:val="24"/>
        </w:rPr>
        <w:t xml:space="preserve">Աղյուսակ 2.3.11.0-1. </w:t>
      </w:r>
      <w:r w:rsidRPr="001636CE">
        <w:rPr>
          <w:rStyle w:val="Headerorfooter3"/>
          <w:rFonts w:ascii="Sylfaen" w:eastAsia="Tahoma" w:hAnsi="Sylfaen"/>
          <w:sz w:val="24"/>
          <w:szCs w:val="24"/>
        </w:rPr>
        <w:t>Ստանդարտ նմուշների դասակարգումը</w:t>
      </w:r>
    </w:p>
    <w:tbl>
      <w:tblPr>
        <w:tblOverlap w:val="never"/>
        <w:tblW w:w="9428" w:type="dxa"/>
        <w:tblLayout w:type="fixed"/>
        <w:tblCellMar>
          <w:left w:w="10" w:type="dxa"/>
          <w:right w:w="10" w:type="dxa"/>
        </w:tblCellMar>
        <w:tblLook w:val="0000" w:firstRow="0" w:lastRow="0" w:firstColumn="0" w:lastColumn="0" w:noHBand="0" w:noVBand="0"/>
      </w:tblPr>
      <w:tblGrid>
        <w:gridCol w:w="861"/>
        <w:gridCol w:w="3685"/>
        <w:gridCol w:w="4111"/>
        <w:gridCol w:w="771"/>
      </w:tblGrid>
      <w:tr w:rsidR="00B834A2" w:rsidRPr="00616416" w14:paraId="7EABDC93" w14:textId="77777777" w:rsidTr="00616416">
        <w:tc>
          <w:tcPr>
            <w:tcW w:w="861" w:type="dxa"/>
            <w:tcBorders>
              <w:top w:val="single" w:sz="4" w:space="0" w:color="auto"/>
            </w:tcBorders>
            <w:shd w:val="clear" w:color="auto" w:fill="FFFFFF"/>
            <w:vAlign w:val="center"/>
          </w:tcPr>
          <w:p w14:paraId="2B56CE52"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Համարը՝ ը/կ</w:t>
            </w:r>
          </w:p>
        </w:tc>
        <w:tc>
          <w:tcPr>
            <w:tcW w:w="3685" w:type="dxa"/>
            <w:tcBorders>
              <w:top w:val="single" w:sz="4" w:space="0" w:color="auto"/>
            </w:tcBorders>
            <w:shd w:val="clear" w:color="auto" w:fill="FFFFFF"/>
            <w:vAlign w:val="center"/>
          </w:tcPr>
          <w:p w14:paraId="3C35F103"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Դասակարգման հատկանիշը</w:t>
            </w:r>
          </w:p>
        </w:tc>
        <w:tc>
          <w:tcPr>
            <w:tcW w:w="4111" w:type="dxa"/>
            <w:tcBorders>
              <w:top w:val="single" w:sz="4" w:space="0" w:color="auto"/>
            </w:tcBorders>
            <w:shd w:val="clear" w:color="auto" w:fill="FFFFFF"/>
            <w:vAlign w:val="center"/>
          </w:tcPr>
          <w:p w14:paraId="7C6BD607"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Ստանդարտ նմուշի տեսակը</w:t>
            </w:r>
          </w:p>
        </w:tc>
        <w:tc>
          <w:tcPr>
            <w:tcW w:w="771" w:type="dxa"/>
            <w:tcBorders>
              <w:top w:val="single" w:sz="4" w:space="0" w:color="auto"/>
            </w:tcBorders>
            <w:shd w:val="clear" w:color="auto" w:fill="FFFFFF"/>
            <w:vAlign w:val="center"/>
          </w:tcPr>
          <w:p w14:paraId="4FFED7DB" w14:textId="77777777" w:rsidR="00B834A2" w:rsidRPr="00616416" w:rsidRDefault="00B834A2" w:rsidP="00616416">
            <w:pPr>
              <w:spacing w:after="120"/>
              <w:jc w:val="center"/>
              <w:rPr>
                <w:sz w:val="20"/>
                <w:szCs w:val="20"/>
              </w:rPr>
            </w:pPr>
          </w:p>
        </w:tc>
      </w:tr>
      <w:tr w:rsidR="00B834A2" w:rsidRPr="00616416" w14:paraId="540A24AA" w14:textId="77777777" w:rsidTr="00616416">
        <w:tc>
          <w:tcPr>
            <w:tcW w:w="861" w:type="dxa"/>
            <w:tcBorders>
              <w:top w:val="single" w:sz="4" w:space="0" w:color="auto"/>
            </w:tcBorders>
            <w:shd w:val="clear" w:color="auto" w:fill="FFFFFF"/>
            <w:vAlign w:val="center"/>
          </w:tcPr>
          <w:p w14:paraId="2239E273"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1</w:t>
            </w:r>
          </w:p>
        </w:tc>
        <w:tc>
          <w:tcPr>
            <w:tcW w:w="3685" w:type="dxa"/>
            <w:tcBorders>
              <w:top w:val="single" w:sz="4" w:space="0" w:color="auto"/>
            </w:tcBorders>
            <w:shd w:val="clear" w:color="auto" w:fill="FFFFFF"/>
          </w:tcPr>
          <w:p w14:paraId="21B110C0" w14:textId="77777777" w:rsidR="00B834A2" w:rsidRPr="00616416" w:rsidRDefault="00B834A2" w:rsidP="00616416">
            <w:pPr>
              <w:pStyle w:val="Bodytext20"/>
              <w:shd w:val="clear" w:color="auto" w:fill="auto"/>
              <w:spacing w:before="0" w:line="240" w:lineRule="auto"/>
              <w:ind w:left="440"/>
              <w:jc w:val="left"/>
              <w:rPr>
                <w:rFonts w:ascii="Sylfaen" w:hAnsi="Sylfaen" w:cs="Sylfaen"/>
                <w:sz w:val="20"/>
                <w:szCs w:val="20"/>
              </w:rPr>
            </w:pPr>
            <w:r w:rsidRPr="00616416">
              <w:rPr>
                <w:rStyle w:val="Bodytext31Sylfaen9"/>
                <w:sz w:val="20"/>
                <w:szCs w:val="20"/>
              </w:rPr>
              <w:t>Արժեքի որոշման ծրագիրը</w:t>
            </w:r>
          </w:p>
        </w:tc>
        <w:tc>
          <w:tcPr>
            <w:tcW w:w="4111" w:type="dxa"/>
            <w:tcBorders>
              <w:top w:val="single" w:sz="4" w:space="0" w:color="auto"/>
            </w:tcBorders>
            <w:shd w:val="clear" w:color="auto" w:fill="FFFFFF"/>
            <w:vAlign w:val="bottom"/>
          </w:tcPr>
          <w:p w14:paraId="20DC475B"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Առաջնային</w:t>
            </w:r>
          </w:p>
          <w:p w14:paraId="3DAA2AFA"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Երկրորդային</w:t>
            </w:r>
          </w:p>
        </w:tc>
        <w:tc>
          <w:tcPr>
            <w:tcW w:w="771" w:type="dxa"/>
            <w:tcBorders>
              <w:top w:val="single" w:sz="4" w:space="0" w:color="auto"/>
            </w:tcBorders>
            <w:shd w:val="clear" w:color="auto" w:fill="FFFFFF"/>
          </w:tcPr>
          <w:p w14:paraId="443F8625" w14:textId="77777777" w:rsidR="00B834A2" w:rsidRPr="00616416" w:rsidRDefault="00B834A2" w:rsidP="00616416">
            <w:pPr>
              <w:spacing w:after="120"/>
              <w:rPr>
                <w:sz w:val="20"/>
                <w:szCs w:val="20"/>
              </w:rPr>
            </w:pPr>
          </w:p>
        </w:tc>
      </w:tr>
      <w:tr w:rsidR="00B834A2" w:rsidRPr="00616416" w14:paraId="0CEBB07A" w14:textId="77777777" w:rsidTr="00616416">
        <w:tc>
          <w:tcPr>
            <w:tcW w:w="861" w:type="dxa"/>
            <w:tcBorders>
              <w:top w:val="single" w:sz="4" w:space="0" w:color="auto"/>
            </w:tcBorders>
            <w:shd w:val="clear" w:color="auto" w:fill="FFFFFF"/>
          </w:tcPr>
          <w:p w14:paraId="242D64D4"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2</w:t>
            </w:r>
          </w:p>
        </w:tc>
        <w:tc>
          <w:tcPr>
            <w:tcW w:w="3685" w:type="dxa"/>
            <w:tcBorders>
              <w:top w:val="single" w:sz="4" w:space="0" w:color="auto"/>
            </w:tcBorders>
            <w:shd w:val="clear" w:color="auto" w:fill="FFFFFF"/>
          </w:tcPr>
          <w:p w14:paraId="7C81CF09" w14:textId="77777777" w:rsidR="00B834A2" w:rsidRPr="00616416" w:rsidRDefault="00B834A2" w:rsidP="00616416">
            <w:pPr>
              <w:pStyle w:val="Bodytext20"/>
              <w:shd w:val="clear" w:color="auto" w:fill="auto"/>
              <w:spacing w:before="0" w:line="240" w:lineRule="auto"/>
              <w:ind w:left="440"/>
              <w:jc w:val="left"/>
              <w:rPr>
                <w:rFonts w:ascii="Sylfaen" w:hAnsi="Sylfaen" w:cs="Sylfaen"/>
                <w:sz w:val="20"/>
                <w:szCs w:val="20"/>
              </w:rPr>
            </w:pPr>
            <w:r w:rsidRPr="00616416">
              <w:rPr>
                <w:rStyle w:val="Bodytext31Sylfaen9"/>
                <w:sz w:val="20"/>
                <w:szCs w:val="20"/>
              </w:rPr>
              <w:t>Նյութի բնույթը</w:t>
            </w:r>
          </w:p>
        </w:tc>
        <w:tc>
          <w:tcPr>
            <w:tcW w:w="4111" w:type="dxa"/>
            <w:tcBorders>
              <w:top w:val="single" w:sz="4" w:space="0" w:color="auto"/>
            </w:tcBorders>
            <w:shd w:val="clear" w:color="auto" w:fill="FFFFFF"/>
            <w:vAlign w:val="center"/>
          </w:tcPr>
          <w:p w14:paraId="1AF08B0D"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Քիմիական</w:t>
            </w:r>
          </w:p>
          <w:p w14:paraId="19133217"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Կենսաբանական</w:t>
            </w:r>
          </w:p>
          <w:p w14:paraId="107550F5"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Բուսական</w:t>
            </w:r>
          </w:p>
        </w:tc>
        <w:tc>
          <w:tcPr>
            <w:tcW w:w="771" w:type="dxa"/>
            <w:tcBorders>
              <w:top w:val="single" w:sz="4" w:space="0" w:color="auto"/>
            </w:tcBorders>
            <w:shd w:val="clear" w:color="auto" w:fill="FFFFFF"/>
          </w:tcPr>
          <w:p w14:paraId="7FAF8E1B" w14:textId="77777777" w:rsidR="00B834A2" w:rsidRPr="00616416" w:rsidRDefault="00B834A2" w:rsidP="00616416">
            <w:pPr>
              <w:spacing w:after="120"/>
              <w:rPr>
                <w:sz w:val="20"/>
                <w:szCs w:val="20"/>
              </w:rPr>
            </w:pPr>
          </w:p>
        </w:tc>
      </w:tr>
      <w:tr w:rsidR="00B834A2" w:rsidRPr="00616416" w14:paraId="3394C2D0" w14:textId="77777777" w:rsidTr="00616416">
        <w:tc>
          <w:tcPr>
            <w:tcW w:w="861" w:type="dxa"/>
            <w:tcBorders>
              <w:top w:val="single" w:sz="4" w:space="0" w:color="auto"/>
              <w:bottom w:val="single" w:sz="4" w:space="0" w:color="auto"/>
            </w:tcBorders>
            <w:shd w:val="clear" w:color="auto" w:fill="FFFFFF"/>
          </w:tcPr>
          <w:p w14:paraId="48DDE5CD" w14:textId="77777777" w:rsidR="00B834A2" w:rsidRPr="00616416" w:rsidRDefault="00B834A2" w:rsidP="00616416">
            <w:pPr>
              <w:spacing w:after="120"/>
              <w:jc w:val="center"/>
              <w:rPr>
                <w:sz w:val="20"/>
                <w:szCs w:val="20"/>
              </w:rPr>
            </w:pPr>
          </w:p>
        </w:tc>
        <w:tc>
          <w:tcPr>
            <w:tcW w:w="3685" w:type="dxa"/>
            <w:tcBorders>
              <w:top w:val="single" w:sz="4" w:space="0" w:color="auto"/>
              <w:bottom w:val="single" w:sz="4" w:space="0" w:color="auto"/>
            </w:tcBorders>
            <w:shd w:val="clear" w:color="auto" w:fill="FFFFFF"/>
          </w:tcPr>
          <w:p w14:paraId="03C5CD22" w14:textId="77777777" w:rsidR="00B834A2" w:rsidRPr="00616416" w:rsidRDefault="00B834A2" w:rsidP="00616416">
            <w:pPr>
              <w:pStyle w:val="Bodytext20"/>
              <w:shd w:val="clear" w:color="auto" w:fill="auto"/>
              <w:spacing w:before="0" w:line="240" w:lineRule="auto"/>
              <w:ind w:left="440"/>
              <w:jc w:val="left"/>
              <w:rPr>
                <w:rFonts w:ascii="Sylfaen" w:hAnsi="Sylfaen" w:cs="Sylfaen"/>
                <w:sz w:val="20"/>
                <w:szCs w:val="20"/>
              </w:rPr>
            </w:pPr>
            <w:r w:rsidRPr="00616416">
              <w:rPr>
                <w:rStyle w:val="Bodytext31Sylfaen9"/>
                <w:sz w:val="20"/>
                <w:szCs w:val="20"/>
              </w:rPr>
              <w:t>Նշանակությունը</w:t>
            </w:r>
          </w:p>
        </w:tc>
        <w:tc>
          <w:tcPr>
            <w:tcW w:w="4111" w:type="dxa"/>
            <w:tcBorders>
              <w:top w:val="single" w:sz="4" w:space="0" w:color="auto"/>
              <w:bottom w:val="single" w:sz="4" w:space="0" w:color="auto"/>
            </w:tcBorders>
            <w:shd w:val="clear" w:color="auto" w:fill="FFFFFF"/>
            <w:vAlign w:val="bottom"/>
          </w:tcPr>
          <w:p w14:paraId="565B34CB"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Նույնականացումը</w:t>
            </w:r>
          </w:p>
          <w:p w14:paraId="0405265E"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Մաքրությունը</w:t>
            </w:r>
          </w:p>
          <w:p w14:paraId="549D96B9"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 xml:space="preserve">Քանակական որոշումը </w:t>
            </w:r>
            <w:r w:rsidRPr="00616416">
              <w:rPr>
                <w:rStyle w:val="Bodytext31Sylfaen9"/>
                <w:sz w:val="20"/>
                <w:szCs w:val="20"/>
              </w:rPr>
              <w:br/>
              <w:t>Սարքավորումների որակավորումը</w:t>
            </w:r>
          </w:p>
        </w:tc>
        <w:tc>
          <w:tcPr>
            <w:tcW w:w="771" w:type="dxa"/>
            <w:tcBorders>
              <w:top w:val="single" w:sz="4" w:space="0" w:color="auto"/>
            </w:tcBorders>
            <w:shd w:val="clear" w:color="auto" w:fill="FFFFFF"/>
          </w:tcPr>
          <w:p w14:paraId="3CAC2859" w14:textId="77777777" w:rsidR="00B834A2" w:rsidRPr="00616416" w:rsidRDefault="00B834A2" w:rsidP="00616416">
            <w:pPr>
              <w:spacing w:after="120"/>
              <w:rPr>
                <w:sz w:val="20"/>
                <w:szCs w:val="20"/>
              </w:rPr>
            </w:pPr>
          </w:p>
        </w:tc>
      </w:tr>
      <w:tr w:rsidR="00B834A2" w:rsidRPr="00616416" w14:paraId="6446DE06" w14:textId="77777777" w:rsidTr="00616416">
        <w:tc>
          <w:tcPr>
            <w:tcW w:w="861" w:type="dxa"/>
            <w:tcBorders>
              <w:top w:val="single" w:sz="4" w:space="0" w:color="auto"/>
              <w:bottom w:val="single" w:sz="4" w:space="0" w:color="auto"/>
            </w:tcBorders>
            <w:shd w:val="clear" w:color="auto" w:fill="FFFFFF"/>
          </w:tcPr>
          <w:p w14:paraId="6D026F4A" w14:textId="77777777" w:rsidR="00B834A2" w:rsidRPr="00616416" w:rsidRDefault="00B834A2" w:rsidP="00616416">
            <w:pPr>
              <w:pStyle w:val="Bodytext20"/>
              <w:shd w:val="clear" w:color="auto" w:fill="auto"/>
              <w:spacing w:before="0" w:line="240" w:lineRule="auto"/>
              <w:rPr>
                <w:rFonts w:ascii="Sylfaen" w:hAnsi="Sylfaen" w:cs="Sylfaen"/>
                <w:sz w:val="20"/>
                <w:szCs w:val="20"/>
              </w:rPr>
            </w:pPr>
            <w:r w:rsidRPr="00616416">
              <w:rPr>
                <w:rStyle w:val="Bodytext31Sylfaen9"/>
                <w:sz w:val="20"/>
                <w:szCs w:val="20"/>
              </w:rPr>
              <w:t>4</w:t>
            </w:r>
          </w:p>
        </w:tc>
        <w:tc>
          <w:tcPr>
            <w:tcW w:w="3685" w:type="dxa"/>
            <w:tcBorders>
              <w:top w:val="single" w:sz="4" w:space="0" w:color="auto"/>
              <w:bottom w:val="single" w:sz="4" w:space="0" w:color="auto"/>
            </w:tcBorders>
            <w:shd w:val="clear" w:color="auto" w:fill="FFFFFF"/>
          </w:tcPr>
          <w:p w14:paraId="11745FE6" w14:textId="77777777" w:rsidR="00B834A2" w:rsidRPr="00616416" w:rsidRDefault="00B834A2" w:rsidP="00616416">
            <w:pPr>
              <w:pStyle w:val="Bodytext20"/>
              <w:shd w:val="clear" w:color="auto" w:fill="auto"/>
              <w:spacing w:before="0" w:line="240" w:lineRule="auto"/>
              <w:ind w:left="440"/>
              <w:jc w:val="left"/>
              <w:rPr>
                <w:rFonts w:ascii="Sylfaen" w:hAnsi="Sylfaen" w:cs="Sylfaen"/>
                <w:sz w:val="20"/>
                <w:szCs w:val="20"/>
              </w:rPr>
            </w:pPr>
            <w:r w:rsidRPr="00616416">
              <w:rPr>
                <w:rStyle w:val="Bodytext31Sylfaen9"/>
                <w:sz w:val="20"/>
                <w:szCs w:val="20"/>
              </w:rPr>
              <w:t>Ճանաչման մակարդակը</w:t>
            </w:r>
          </w:p>
        </w:tc>
        <w:tc>
          <w:tcPr>
            <w:tcW w:w="4111" w:type="dxa"/>
            <w:tcBorders>
              <w:top w:val="single" w:sz="4" w:space="0" w:color="auto"/>
              <w:bottom w:val="single" w:sz="4" w:space="0" w:color="auto"/>
            </w:tcBorders>
            <w:shd w:val="clear" w:color="auto" w:fill="FFFFFF"/>
            <w:vAlign w:val="bottom"/>
          </w:tcPr>
          <w:p w14:paraId="388FB154"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Միջազգային</w:t>
            </w:r>
          </w:p>
          <w:p w14:paraId="7B92B4E2"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Միջպետական</w:t>
            </w:r>
          </w:p>
          <w:p w14:paraId="46324C58"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Դեղագրքային</w:t>
            </w:r>
          </w:p>
          <w:p w14:paraId="12A7AAC2"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Պետական</w:t>
            </w:r>
          </w:p>
          <w:p w14:paraId="454E7F56" w14:textId="77777777" w:rsidR="00B834A2" w:rsidRPr="00616416" w:rsidRDefault="00B834A2" w:rsidP="00616416">
            <w:pPr>
              <w:pStyle w:val="Bodytext20"/>
              <w:shd w:val="clear" w:color="auto" w:fill="auto"/>
              <w:spacing w:before="0" w:line="240" w:lineRule="auto"/>
              <w:ind w:left="400"/>
              <w:jc w:val="left"/>
              <w:rPr>
                <w:rFonts w:ascii="Sylfaen" w:hAnsi="Sylfaen" w:cs="Sylfaen"/>
                <w:sz w:val="20"/>
                <w:szCs w:val="20"/>
              </w:rPr>
            </w:pPr>
            <w:r w:rsidRPr="00616416">
              <w:rPr>
                <w:rStyle w:val="Bodytext31Sylfaen9"/>
                <w:sz w:val="20"/>
                <w:szCs w:val="20"/>
              </w:rPr>
              <w:t>Ձեռնարկության ստանդարտ նմուշ</w:t>
            </w:r>
          </w:p>
        </w:tc>
        <w:tc>
          <w:tcPr>
            <w:tcW w:w="771" w:type="dxa"/>
            <w:tcBorders>
              <w:top w:val="single" w:sz="4" w:space="0" w:color="auto"/>
            </w:tcBorders>
            <w:shd w:val="clear" w:color="auto" w:fill="FFFFFF"/>
          </w:tcPr>
          <w:p w14:paraId="6F77DC2F" w14:textId="77777777" w:rsidR="00B834A2" w:rsidRPr="00616416" w:rsidRDefault="00B834A2" w:rsidP="00616416">
            <w:pPr>
              <w:spacing w:after="120"/>
              <w:rPr>
                <w:sz w:val="20"/>
                <w:szCs w:val="20"/>
              </w:rPr>
            </w:pPr>
          </w:p>
        </w:tc>
      </w:tr>
    </w:tbl>
    <w:p w14:paraId="0DC07C33" w14:textId="77777777" w:rsidR="00B834A2" w:rsidRPr="00B834A2" w:rsidRDefault="00B834A2" w:rsidP="00B834A2">
      <w:pPr>
        <w:pStyle w:val="Bodytext20"/>
        <w:shd w:val="clear" w:color="auto" w:fill="auto"/>
        <w:spacing w:before="0" w:after="160" w:line="360" w:lineRule="auto"/>
        <w:ind w:left="440"/>
        <w:jc w:val="left"/>
        <w:rPr>
          <w:rStyle w:val="Bodytext31Sylfaen9"/>
          <w:sz w:val="24"/>
          <w:szCs w:val="24"/>
        </w:rPr>
      </w:pPr>
    </w:p>
    <w:p w14:paraId="2C697936" w14:textId="77777777" w:rsidR="00B834A2" w:rsidRPr="00C41622" w:rsidRDefault="00B834A2" w:rsidP="00B834A2">
      <w:pPr>
        <w:pStyle w:val="Bodytext20"/>
        <w:shd w:val="clear" w:color="auto" w:fill="auto"/>
        <w:spacing w:before="0" w:after="160" w:line="360" w:lineRule="auto"/>
        <w:jc w:val="left"/>
        <w:rPr>
          <w:rStyle w:val="Bodytext31Sylfaen9"/>
          <w:b/>
          <w:sz w:val="24"/>
          <w:szCs w:val="24"/>
        </w:rPr>
      </w:pPr>
      <w:r w:rsidRPr="00616416">
        <w:rPr>
          <w:rStyle w:val="Bodytext31Sylfaen9"/>
          <w:b/>
          <w:sz w:val="24"/>
          <w:szCs w:val="24"/>
        </w:rPr>
        <w:t>ՍՏԱՆԴԱՐՏ ՆՄՈՒՇՆԵՐԻ ԱՐՏԱԴՐՈՒԹՅՈՒՆԸ</w:t>
      </w:r>
    </w:p>
    <w:p w14:paraId="655BC76F"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Ստանդարտ նմուշների արտադրությունը պայմանավորված է դրանց բնույթով։</w:t>
      </w:r>
    </w:p>
    <w:p w14:paraId="0CFEDDB8"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 xml:space="preserve">Բոլոր արտադրական գործողություններն իրականացվում են համապատասխան միջպետական ստանդարտների պահանջների համաձայն՝ ստանդարտ նմուշի միատեսակությունը, հետագծելիությունը եւ </w:t>
      </w:r>
      <w:r w:rsidRPr="00616416">
        <w:rPr>
          <w:rStyle w:val="Bodytext31Sylfaen9"/>
          <w:i w:val="0"/>
          <w:sz w:val="24"/>
          <w:szCs w:val="24"/>
        </w:rPr>
        <w:lastRenderedPageBreak/>
        <w:t>պահպանվածությունն ապահովելու նպատակով։ Արտադրական փաստաթղթերը պետք է պարունակեն փաթեթավորման, մակնշման ու պահպանման վերաբերյալ ամբողջական տեղեկատվություն։</w:t>
      </w:r>
    </w:p>
    <w:p w14:paraId="288CA101" w14:textId="77777777" w:rsidR="00B834A2" w:rsidRPr="00B834A2" w:rsidRDefault="00B834A2" w:rsidP="00B834A2">
      <w:pPr>
        <w:pStyle w:val="Bodytext20"/>
        <w:shd w:val="clear" w:color="auto" w:fill="auto"/>
        <w:spacing w:before="0" w:after="160" w:line="360" w:lineRule="auto"/>
        <w:ind w:left="440"/>
        <w:jc w:val="left"/>
        <w:rPr>
          <w:rStyle w:val="Bodytext31Sylfaen9"/>
          <w:sz w:val="24"/>
          <w:szCs w:val="24"/>
        </w:rPr>
      </w:pPr>
    </w:p>
    <w:p w14:paraId="36096FF1" w14:textId="77777777" w:rsidR="00B834A2" w:rsidRPr="00C41622" w:rsidRDefault="00B834A2" w:rsidP="00B867ED">
      <w:pPr>
        <w:pStyle w:val="Bodytext20"/>
        <w:shd w:val="clear" w:color="auto" w:fill="auto"/>
        <w:spacing w:before="0" w:after="160" w:line="360" w:lineRule="auto"/>
        <w:ind w:firstLine="567"/>
        <w:jc w:val="both"/>
        <w:rPr>
          <w:rStyle w:val="Bodytext31Sylfaen9"/>
          <w:b/>
          <w:sz w:val="24"/>
          <w:szCs w:val="24"/>
        </w:rPr>
      </w:pPr>
      <w:r w:rsidRPr="00616416">
        <w:rPr>
          <w:rStyle w:val="Bodytext31Sylfaen9"/>
          <w:b/>
          <w:sz w:val="24"/>
          <w:szCs w:val="24"/>
        </w:rPr>
        <w:t>ՍՏԱՆԴԱՐՏ ՆՄՈՒՇՆԵՐԻ ՀԱՏԿՈՒԹՅՈՒՆՆԵՐԻ ՈՐՈՇՈՒՄԸ</w:t>
      </w:r>
    </w:p>
    <w:p w14:paraId="23183C75" w14:textId="77777777" w:rsidR="00B834A2" w:rsidRPr="00DE4F37" w:rsidRDefault="00B834A2" w:rsidP="00616416">
      <w:pPr>
        <w:pStyle w:val="Bodytext20"/>
        <w:shd w:val="clear" w:color="auto" w:fill="auto"/>
        <w:spacing w:before="0" w:after="160" w:line="360" w:lineRule="auto"/>
        <w:ind w:firstLine="567"/>
        <w:jc w:val="both"/>
        <w:rPr>
          <w:rStyle w:val="Bodytext31Sylfaen9"/>
          <w:i w:val="0"/>
          <w:sz w:val="24"/>
          <w:szCs w:val="24"/>
        </w:rPr>
      </w:pPr>
      <w:r w:rsidRPr="00616416">
        <w:rPr>
          <w:rStyle w:val="Bodytext31Sylfaen9"/>
          <w:i w:val="0"/>
          <w:sz w:val="24"/>
          <w:szCs w:val="24"/>
        </w:rPr>
        <w:t>Տվյալ բաժնում բերված է ստանդարտ նմուշի հատկությունների որոշման ընթացակարգի միայն որոշ առանձնահատկությունները պարզաբանող տեղեկատվություն։</w:t>
      </w:r>
    </w:p>
    <w:p w14:paraId="73D4080D" w14:textId="77777777" w:rsidR="001636CE" w:rsidRPr="00DE4F37" w:rsidRDefault="001636CE" w:rsidP="00616416">
      <w:pPr>
        <w:pStyle w:val="Bodytext20"/>
        <w:shd w:val="clear" w:color="auto" w:fill="auto"/>
        <w:spacing w:before="0" w:after="160" w:line="360" w:lineRule="auto"/>
        <w:ind w:firstLine="567"/>
        <w:jc w:val="both"/>
        <w:rPr>
          <w:rStyle w:val="Bodytext31Sylfaen9"/>
          <w:i w:val="0"/>
          <w:sz w:val="24"/>
          <w:szCs w:val="24"/>
        </w:rPr>
      </w:pPr>
    </w:p>
    <w:p w14:paraId="2845D9BA" w14:textId="77777777" w:rsidR="00B834A2" w:rsidRPr="0061641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616416">
        <w:rPr>
          <w:rStyle w:val="Bodytext2Italic"/>
          <w:sz w:val="24"/>
          <w:szCs w:val="24"/>
        </w:rPr>
        <w:t>1</w:t>
      </w:r>
      <w:r w:rsidR="00920566" w:rsidRPr="00A859E3">
        <w:rPr>
          <w:rStyle w:val="Bodytext2Italic"/>
          <w:sz w:val="24"/>
          <w:szCs w:val="24"/>
        </w:rPr>
        <w:tab/>
      </w:r>
      <w:r w:rsidRPr="00616416">
        <w:rPr>
          <w:rStyle w:val="Bodytext2Italic"/>
          <w:sz w:val="24"/>
          <w:szCs w:val="24"/>
        </w:rPr>
        <w:t>ԱՌԱՋՆԱՅԻՆ ՍՏԱՆԴԱՐՏ ՆՄՈՒՇՆԵՐԸ</w:t>
      </w:r>
    </w:p>
    <w:p w14:paraId="1ABE89EB"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Առաջնային ստանդարտ նմուշներ ստեղծելիս նյութերի հատկությունները որոշելու համար դրանք բնութագրվում են տարբեր վերլուծական մեթոդիկաների կիրառմամբ։</w:t>
      </w:r>
    </w:p>
    <w:p w14:paraId="1ABDAB94" w14:textId="77777777" w:rsidR="00B834A2" w:rsidRPr="00B834A2"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616416">
        <w:rPr>
          <w:rStyle w:val="Bodytext31Sylfaen9"/>
          <w:i w:val="0"/>
          <w:sz w:val="24"/>
          <w:szCs w:val="24"/>
        </w:rPr>
        <w:t>Դեղամիջոցների նկատմամբ հսկողության համար օգտագործվող ստանդարտ</w:t>
      </w:r>
      <w:r w:rsidRPr="00B834A2">
        <w:rPr>
          <w:rStyle w:val="Bodytext31Sylfaen9"/>
          <w:sz w:val="24"/>
          <w:szCs w:val="24"/>
        </w:rPr>
        <w:t xml:space="preserve"> նմուշի առնչությամբ սովորաբար կիրառում են ստորեւ նկարագրված փորձարկումների ծրագրի համապատասխան մասերը։</w:t>
      </w:r>
    </w:p>
    <w:p w14:paraId="796C10DF"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Նյութի նկարագրությունը (կառուցվածքի հաստատումը)՝ համապատասխան քիմիական այնպիսի հատկությունների որոշման միջոցով, ինչպիսիք են կառուցվածքային բանաձեւը, մոլեկուլային բանաձեւը, հարաբերական մոլեկուլային զանգվածը կամ կազմը։</w:t>
      </w:r>
      <w:r w:rsidRPr="00B834A2">
        <w:rPr>
          <w:rStyle w:val="Bodytext31Sylfaen9"/>
          <w:sz w:val="24"/>
          <w:szCs w:val="24"/>
        </w:rPr>
        <w:t xml:space="preserve"> Ընդ որում, կարող են կիրառվել տարբեր մեթոդներ, ներառյալ՝ </w:t>
      </w:r>
    </w:p>
    <w:p w14:paraId="41D03F7C"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միջուկային մագնիսական ռեզոնանսի սպեկտրաչափությունը.</w:t>
      </w:r>
    </w:p>
    <w:p w14:paraId="6D205747"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զանգվածասպեկտրաչափությունը.</w:t>
      </w:r>
    </w:p>
    <w:p w14:paraId="0CC139D4"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սպեկտրալուսաչափությունն ինֆրակարմիր տիրույթում.</w:t>
      </w:r>
    </w:p>
    <w:p w14:paraId="6BD43761"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տարրային վերլուծությունը.</w:t>
      </w:r>
    </w:p>
    <w:p w14:paraId="475D7B60"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w:t>
      </w:r>
      <w:r w:rsidR="00616416" w:rsidRPr="00A859E3">
        <w:rPr>
          <w:rFonts w:ascii="Sylfaen" w:hAnsi="Sylfaen"/>
          <w:sz w:val="24"/>
          <w:szCs w:val="24"/>
        </w:rPr>
        <w:tab/>
      </w:r>
      <w:r w:rsidRPr="00B834A2">
        <w:rPr>
          <w:rFonts w:ascii="Sylfaen" w:hAnsi="Sylfaen"/>
          <w:sz w:val="24"/>
          <w:szCs w:val="24"/>
        </w:rPr>
        <w:t>մաքրության որոշումը.</w:t>
      </w:r>
    </w:p>
    <w:p w14:paraId="6852E485" w14:textId="77777777" w:rsidR="00B834A2" w:rsidRPr="00B834A2"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616416" w:rsidRPr="00A859E3">
        <w:rPr>
          <w:rFonts w:ascii="Sylfaen" w:hAnsi="Sylfaen"/>
          <w:sz w:val="24"/>
          <w:szCs w:val="24"/>
        </w:rPr>
        <w:tab/>
      </w:r>
      <w:r w:rsidRPr="00B834A2">
        <w:rPr>
          <w:rFonts w:ascii="Sylfaen" w:hAnsi="Sylfaen"/>
          <w:sz w:val="24"/>
          <w:szCs w:val="24"/>
        </w:rPr>
        <w:t>բաժանման եւ դետեկտման համապատասխան մեթոդներով հարակից խառնուկների պարունակության որոշումը, եթե կիրառելի է.</w:t>
      </w:r>
    </w:p>
    <w:p w14:paraId="4F15A991" w14:textId="77777777" w:rsidR="00B834A2" w:rsidRPr="00616416" w:rsidRDefault="00B834A2" w:rsidP="00616416">
      <w:pPr>
        <w:tabs>
          <w:tab w:val="left" w:pos="1134"/>
        </w:tabs>
        <w:spacing w:after="160" w:line="360" w:lineRule="auto"/>
        <w:ind w:firstLine="567"/>
        <w:jc w:val="both"/>
        <w:rPr>
          <w:rFonts w:eastAsia="Times New Roman" w:cs="Times New Roman"/>
        </w:rPr>
      </w:pPr>
      <w:r w:rsidRPr="00616416">
        <w:rPr>
          <w:rFonts w:eastAsia="Times New Roman" w:cs="Times New Roman"/>
        </w:rPr>
        <w:t>-</w:t>
      </w:r>
      <w:r w:rsidR="00616416" w:rsidRPr="00A859E3">
        <w:rPr>
          <w:rFonts w:eastAsia="Times New Roman" w:cs="Times New Roman"/>
        </w:rPr>
        <w:tab/>
      </w:r>
      <w:r w:rsidRPr="00616416">
        <w:rPr>
          <w:rFonts w:eastAsia="Times New Roman" w:cs="Times New Roman"/>
        </w:rPr>
        <w:t>ջրի պարունակության որոշումը.</w:t>
      </w:r>
    </w:p>
    <w:p w14:paraId="0D17050F" w14:textId="77777777" w:rsidR="00B834A2" w:rsidRPr="00616416" w:rsidRDefault="00B834A2" w:rsidP="00616416">
      <w:pPr>
        <w:tabs>
          <w:tab w:val="left" w:pos="1134"/>
        </w:tabs>
        <w:spacing w:after="160" w:line="360" w:lineRule="auto"/>
        <w:ind w:firstLine="567"/>
        <w:jc w:val="both"/>
        <w:rPr>
          <w:rFonts w:eastAsia="Times New Roman" w:cs="Times New Roman"/>
        </w:rPr>
      </w:pPr>
      <w:r w:rsidRPr="00616416">
        <w:rPr>
          <w:rFonts w:eastAsia="Times New Roman" w:cs="Times New Roman"/>
        </w:rPr>
        <w:t>-</w:t>
      </w:r>
      <w:r w:rsidR="00616416" w:rsidRPr="00A859E3">
        <w:rPr>
          <w:rFonts w:eastAsia="Times New Roman" w:cs="Times New Roman"/>
        </w:rPr>
        <w:tab/>
      </w:r>
      <w:r w:rsidRPr="00616416">
        <w:rPr>
          <w:rFonts w:eastAsia="Times New Roman" w:cs="Times New Roman"/>
        </w:rPr>
        <w:t>մնացորդային օրգանական լուծիչների պարունակության որոշումը.</w:t>
      </w:r>
    </w:p>
    <w:p w14:paraId="4729BAB5" w14:textId="77777777" w:rsidR="00B834A2" w:rsidRPr="00C41622" w:rsidRDefault="00B834A2" w:rsidP="00616416">
      <w:pPr>
        <w:tabs>
          <w:tab w:val="left" w:pos="1134"/>
        </w:tabs>
        <w:spacing w:after="160" w:line="360" w:lineRule="auto"/>
        <w:ind w:firstLine="567"/>
        <w:jc w:val="both"/>
        <w:rPr>
          <w:rFonts w:eastAsia="Times New Roman" w:cs="Times New Roman"/>
        </w:rPr>
      </w:pPr>
      <w:r w:rsidRPr="00616416">
        <w:rPr>
          <w:rFonts w:eastAsia="Times New Roman" w:cs="Times New Roman"/>
        </w:rPr>
        <w:t>-</w:t>
      </w:r>
      <w:r w:rsidR="00616416" w:rsidRPr="00A859E3">
        <w:rPr>
          <w:rFonts w:eastAsia="Times New Roman" w:cs="Times New Roman"/>
        </w:rPr>
        <w:tab/>
      </w:r>
      <w:r w:rsidRPr="00616416">
        <w:rPr>
          <w:rFonts w:eastAsia="Times New Roman" w:cs="Times New Roman"/>
        </w:rPr>
        <w:t>չորացման ժամանակ զանգվածի կորուստի որոշումը, որը որոշ դեպքերում կարող է փոխարինել ջրի պարունակության եւ օրգանական լուծիչների մնացորդային քանակությունների որոշմանը.</w:t>
      </w:r>
    </w:p>
    <w:p w14:paraId="26EC9CAE" w14:textId="77777777" w:rsidR="00B834A2" w:rsidRPr="00616416" w:rsidRDefault="00B834A2" w:rsidP="00616416">
      <w:pPr>
        <w:tabs>
          <w:tab w:val="left" w:pos="1134"/>
        </w:tabs>
        <w:spacing w:after="160" w:line="360" w:lineRule="auto"/>
        <w:ind w:firstLine="567"/>
        <w:jc w:val="both"/>
        <w:rPr>
          <w:rFonts w:eastAsia="Times New Roman" w:cs="Times New Roman"/>
        </w:rPr>
      </w:pPr>
      <w:r w:rsidRPr="00616416">
        <w:rPr>
          <w:rFonts w:eastAsia="Times New Roman" w:cs="Times New Roman"/>
        </w:rPr>
        <w:t>-</w:t>
      </w:r>
      <w:r w:rsidR="00616416" w:rsidRPr="00A859E3">
        <w:rPr>
          <w:rFonts w:eastAsia="Times New Roman" w:cs="Times New Roman"/>
        </w:rPr>
        <w:tab/>
      </w:r>
      <w:r w:rsidRPr="00616416">
        <w:rPr>
          <w:rFonts w:eastAsia="Times New Roman" w:cs="Times New Roman"/>
        </w:rPr>
        <w:t>ոչ օրգանական խառնուկների որոշումը (օրինակ՝ սուլֆատային մոխիր, ատոմաաբսորբման սպեկտրաչափություն, ինդուկտիվ կապված պլազմայի սպեկտրաչափություն, ռենտգենային ֆլուորեսցենտման սպեկտրաչափություն). որոշման ստացված արդյունքները սովորաբար չեն օգտագործվում հատկության արժեքը որոշելիս՝ բացառությամբ այդ արժեքի վրա զգալի ազդեցության.</w:t>
      </w:r>
    </w:p>
    <w:p w14:paraId="5E437A67" w14:textId="77777777" w:rsidR="00B834A2" w:rsidRPr="00B834A2" w:rsidRDefault="00B834A2" w:rsidP="00616416">
      <w:pPr>
        <w:tabs>
          <w:tab w:val="left" w:pos="1134"/>
        </w:tabs>
        <w:spacing w:after="160" w:line="360" w:lineRule="auto"/>
        <w:ind w:firstLine="567"/>
        <w:jc w:val="both"/>
      </w:pPr>
      <w:r w:rsidRPr="00616416">
        <w:rPr>
          <w:rFonts w:eastAsia="Times New Roman" w:cs="Times New Roman"/>
        </w:rPr>
        <w:t>-</w:t>
      </w:r>
      <w:r w:rsidR="00616416" w:rsidRPr="00A859E3">
        <w:rPr>
          <w:rFonts w:eastAsia="Times New Roman" w:cs="Times New Roman"/>
        </w:rPr>
        <w:tab/>
      </w:r>
      <w:r w:rsidRPr="00616416">
        <w:rPr>
          <w:rFonts w:eastAsia="Times New Roman" w:cs="Times New Roman"/>
        </w:rPr>
        <w:t>մաքրության որոշումը բացարձակ մեթոդով (օրինակ՝ միջուկային</w:t>
      </w:r>
      <w:r w:rsidRPr="00B834A2">
        <w:t xml:space="preserve"> մագնիսական ռեզոնանսի սպեկտրաչափությունը (քանակական վերլուծությունը), դիֆերենցիալ սկանավորող կալորիաչափությունը կամ տիտրումը. այդ որոշումների արդյունքներն օգտագործվում են բաժանման մեթոդների կիրառմամբ ստացված արդյունքները հաստատելու համար. ստացված արդյունքները չեն օգտագործվում հատկության արժեքը որոշելիս։</w:t>
      </w:r>
    </w:p>
    <w:p w14:paraId="5DBBAE4A"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i/>
          <w:sz w:val="24"/>
          <w:szCs w:val="24"/>
        </w:rPr>
      </w:pPr>
      <w:r w:rsidRPr="00616416">
        <w:rPr>
          <w:rStyle w:val="Bodytext31Sylfaen9"/>
          <w:i w:val="0"/>
          <w:sz w:val="24"/>
          <w:szCs w:val="24"/>
        </w:rPr>
        <w:t xml:space="preserve">Առաջնային կենսաբանական ստանդարտ նմուշների հատկությունները որոշելիս կիրառվում են դրանց իսկության եւ առանձնահատուկ ակտիվության որոշման համընդհանուր մեթոդները, ինչպես նաեւ անհրաժեշտության դեպքում՝ դեղապատրաստուկի մշակման ժամանակ ակտիվ (ազդող) նյութի բնութագրման համար կիրառված մեթոդները։ Ընդ որում, կենսաբանական դեղապատրաստուկի համապատասխան սերիաները, որոնք նախընտրելի է վերցնել կլինիկապես գնահատված սերիաներից, պետք է հնարավորության դեպքում ամբողջությամբ բնութագրվեն քիմիական կազմի, մաքրության, կենսաբանական ակտիվության </w:t>
      </w:r>
      <w:r w:rsidRPr="00616416">
        <w:rPr>
          <w:rStyle w:val="Bodytext31Sylfaen9"/>
          <w:i w:val="0"/>
          <w:sz w:val="24"/>
          <w:szCs w:val="24"/>
        </w:rPr>
        <w:lastRenderedPageBreak/>
        <w:t>մասով՝ ամինաթթուների հաջորդականության լիարժեք որոշմամբ, եւ հաստատվեն որպես կենսաբանական ստանդարտ նմուշներ օգտագործվելու համար։</w:t>
      </w:r>
    </w:p>
    <w:p w14:paraId="041A23CE" w14:textId="77777777" w:rsidR="00B834A2" w:rsidRPr="00B834A2" w:rsidRDefault="00B834A2" w:rsidP="00B834A2">
      <w:pPr>
        <w:pStyle w:val="Bodytext20"/>
        <w:shd w:val="clear" w:color="auto" w:fill="auto"/>
        <w:spacing w:before="0" w:after="160" w:line="360" w:lineRule="auto"/>
        <w:ind w:left="540"/>
        <w:jc w:val="left"/>
        <w:rPr>
          <w:rFonts w:ascii="Sylfaen" w:hAnsi="Sylfaen" w:cs="Sylfaen"/>
          <w:i/>
          <w:iCs/>
          <w:sz w:val="24"/>
          <w:szCs w:val="24"/>
        </w:rPr>
      </w:pPr>
    </w:p>
    <w:p w14:paraId="79DC3DEB" w14:textId="77777777" w:rsidR="00B834A2" w:rsidRPr="0061641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616416">
        <w:rPr>
          <w:rFonts w:ascii="Sylfaen" w:hAnsi="Sylfaen"/>
          <w:i/>
          <w:sz w:val="24"/>
          <w:szCs w:val="24"/>
        </w:rPr>
        <w:t>2.</w:t>
      </w:r>
      <w:r w:rsidR="00920566" w:rsidRPr="00A859E3">
        <w:rPr>
          <w:rFonts w:ascii="Sylfaen" w:hAnsi="Sylfaen"/>
          <w:i/>
          <w:sz w:val="24"/>
          <w:szCs w:val="24"/>
        </w:rPr>
        <w:tab/>
      </w:r>
      <w:r w:rsidRPr="00616416">
        <w:rPr>
          <w:rStyle w:val="Bodytext2Italic"/>
          <w:sz w:val="24"/>
          <w:szCs w:val="24"/>
        </w:rPr>
        <w:t>ԵՐԿՐՈՐԴԱՅԻՆ ՍՏԱՆԴԱՐՏ ՆՄՈՒՇԵՐԸ</w:t>
      </w:r>
    </w:p>
    <w:p w14:paraId="11406765" w14:textId="77777777" w:rsidR="00B834A2" w:rsidRPr="00DE4F37" w:rsidRDefault="00B834A2" w:rsidP="00920566">
      <w:pPr>
        <w:pStyle w:val="Bodytext20"/>
        <w:shd w:val="clear" w:color="auto" w:fill="auto"/>
        <w:tabs>
          <w:tab w:val="left" w:pos="1134"/>
        </w:tabs>
        <w:spacing w:before="0" w:after="160" w:line="360" w:lineRule="auto"/>
        <w:ind w:firstLine="567"/>
        <w:jc w:val="both"/>
        <w:rPr>
          <w:rStyle w:val="Bodytext31Sylfaen9"/>
          <w:i w:val="0"/>
          <w:sz w:val="24"/>
          <w:szCs w:val="24"/>
        </w:rPr>
      </w:pPr>
      <w:r w:rsidRPr="00616416">
        <w:rPr>
          <w:rStyle w:val="Bodytext31Sylfaen9"/>
          <w:i w:val="0"/>
          <w:sz w:val="24"/>
          <w:szCs w:val="24"/>
        </w:rPr>
        <w:t>Երկրորդային ստանդարտ նմուշը պետք է ունենա փորձարկման համար կարեւոր նույնպիսի հատկություններ, ինչպիսիք ունի այն առաջնային ստանդարտ նմուշը, որի համար այն պետք է հետագծելի լինի։</w:t>
      </w:r>
    </w:p>
    <w:p w14:paraId="6ECB4D74" w14:textId="77777777" w:rsidR="001636CE" w:rsidRPr="00DE4F37" w:rsidRDefault="001636CE"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p>
    <w:p w14:paraId="08674B16" w14:textId="77777777" w:rsidR="00B834A2" w:rsidRPr="00616416" w:rsidRDefault="00B834A2" w:rsidP="00920566">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616416">
        <w:rPr>
          <w:rFonts w:ascii="Sylfaen" w:hAnsi="Sylfaen"/>
          <w:i/>
          <w:sz w:val="24"/>
          <w:szCs w:val="24"/>
        </w:rPr>
        <w:t>3</w:t>
      </w:r>
      <w:r w:rsidRPr="00616416">
        <w:rPr>
          <w:rFonts w:ascii="Sylfaen" w:hAnsi="Sylfaen"/>
          <w:sz w:val="24"/>
          <w:szCs w:val="24"/>
        </w:rPr>
        <w:t>.</w:t>
      </w:r>
      <w:r w:rsidR="00920566" w:rsidRPr="00A859E3">
        <w:rPr>
          <w:rFonts w:ascii="Sylfaen" w:hAnsi="Sylfaen"/>
          <w:sz w:val="24"/>
          <w:szCs w:val="24"/>
        </w:rPr>
        <w:tab/>
      </w:r>
      <w:r w:rsidRPr="00616416">
        <w:rPr>
          <w:rStyle w:val="Bodytext2Italic"/>
          <w:sz w:val="24"/>
          <w:szCs w:val="24"/>
        </w:rPr>
        <w:t>ՔԻՄԻԱԿԱՆ ՍՏԱՆԴԱՐՏ ՆՄՈՒՇՆԵՐԸ</w:t>
      </w:r>
      <w:r w:rsidRPr="00616416">
        <w:rPr>
          <w:rStyle w:val="Bodytext2Italic"/>
          <w:i w:val="0"/>
          <w:sz w:val="24"/>
          <w:szCs w:val="24"/>
        </w:rPr>
        <w:t xml:space="preserve"> </w:t>
      </w:r>
    </w:p>
    <w:p w14:paraId="7DB84CDA" w14:textId="77777777" w:rsidR="00B834A2" w:rsidRPr="00616416" w:rsidRDefault="00B834A2" w:rsidP="00616416">
      <w:pPr>
        <w:pStyle w:val="Bodytext20"/>
        <w:shd w:val="clear" w:color="auto" w:fill="auto"/>
        <w:spacing w:before="0" w:after="160" w:line="360" w:lineRule="auto"/>
        <w:ind w:firstLine="567"/>
        <w:jc w:val="both"/>
        <w:rPr>
          <w:rStyle w:val="Bodytext31Sylfaen9"/>
          <w:i w:val="0"/>
          <w:sz w:val="24"/>
          <w:szCs w:val="24"/>
        </w:rPr>
      </w:pPr>
      <w:r w:rsidRPr="00616416">
        <w:rPr>
          <w:rStyle w:val="Bodytext31Sylfaen9"/>
          <w:i w:val="0"/>
          <w:sz w:val="24"/>
          <w:szCs w:val="24"/>
        </w:rPr>
        <w:t>Քիմիական ստանդարտ նմուշի հատկությունները որոշելու համար դրա՝ ըստ նշանակության օգտագործման համար պիտանիությունը հաստատող փորձարկումների ծավալը պայմանավորված է տվյալ ստանդարտ նմուշի ենթադրվող կիրառությամբ։</w:t>
      </w:r>
    </w:p>
    <w:p w14:paraId="22693A70" w14:textId="77777777" w:rsidR="00B834A2" w:rsidRPr="00616416" w:rsidRDefault="00616416" w:rsidP="00DA2D5E">
      <w:pPr>
        <w:pStyle w:val="Bodytext20"/>
        <w:shd w:val="clear" w:color="auto" w:fill="auto"/>
        <w:tabs>
          <w:tab w:val="left" w:pos="1134"/>
        </w:tabs>
        <w:spacing w:before="0" w:after="160" w:line="360" w:lineRule="auto"/>
        <w:ind w:firstLine="567"/>
        <w:jc w:val="both"/>
        <w:rPr>
          <w:rFonts w:ascii="Sylfaen" w:hAnsi="Sylfaen" w:cs="Sylfaen"/>
          <w:sz w:val="24"/>
          <w:szCs w:val="24"/>
        </w:rPr>
      </w:pPr>
      <w:r>
        <w:rPr>
          <w:rFonts w:ascii="Sylfaen" w:hAnsi="Sylfaen"/>
          <w:sz w:val="24"/>
          <w:szCs w:val="24"/>
        </w:rPr>
        <w:t>3.1.</w:t>
      </w:r>
      <w:r w:rsidRPr="00616416">
        <w:rPr>
          <w:rFonts w:ascii="Sylfaen" w:hAnsi="Sylfaen"/>
          <w:sz w:val="24"/>
          <w:szCs w:val="24"/>
        </w:rPr>
        <w:tab/>
      </w:r>
      <w:r w:rsidR="00B834A2" w:rsidRPr="00616416">
        <w:rPr>
          <w:rStyle w:val="Bodytext31Sylfaen9"/>
          <w:b/>
          <w:i w:val="0"/>
          <w:sz w:val="24"/>
          <w:szCs w:val="24"/>
        </w:rPr>
        <w:t>Քիմիական ստանդարտ նմուշներ՝ նույնականացման համար։</w:t>
      </w:r>
      <w:r w:rsidR="00B834A2" w:rsidRPr="00616416">
        <w:rPr>
          <w:rStyle w:val="Bodytext31Sylfaen9"/>
          <w:i w:val="0"/>
          <w:sz w:val="24"/>
          <w:szCs w:val="24"/>
        </w:rPr>
        <w:t xml:space="preserve"> Որպես կանոն, դեղագործական կիրառության բաղադրամասի՝ ստանդարտ նմուշի ստեղծման համար ընտրված սերիան պետք է բավարարի մասնավոր դեղագրքային հոդվածի կամ արտադրողի մասնագրի համապատասխան պահանջները։ Թույլատրվում է լիարժեք կառուցվածքային նկարագրությունը կատարել միայն առաջնային ստանդարտ նմուշի առաջին սերիայի համար։</w:t>
      </w:r>
    </w:p>
    <w:p w14:paraId="39F39C40" w14:textId="77777777" w:rsidR="00B834A2" w:rsidRPr="00616416" w:rsidRDefault="00B834A2" w:rsidP="00DA2D5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616416">
        <w:rPr>
          <w:rFonts w:ascii="Sylfaen" w:hAnsi="Sylfaen"/>
          <w:sz w:val="24"/>
          <w:szCs w:val="24"/>
        </w:rPr>
        <w:t>3.2.</w:t>
      </w:r>
      <w:r w:rsidR="00616416" w:rsidRPr="00A859E3">
        <w:rPr>
          <w:rFonts w:ascii="Sylfaen" w:hAnsi="Sylfaen"/>
          <w:b/>
          <w:sz w:val="24"/>
          <w:szCs w:val="24"/>
        </w:rPr>
        <w:tab/>
      </w:r>
      <w:r w:rsidRPr="00616416">
        <w:rPr>
          <w:rStyle w:val="Bodytext31Sylfaen9"/>
          <w:b/>
          <w:i w:val="0"/>
          <w:sz w:val="24"/>
          <w:szCs w:val="24"/>
        </w:rPr>
        <w:t xml:space="preserve">Քիմիական ստանդարտ նմուշներ՝ հարակից խառնուկների մասով փորձարկման համար։ </w:t>
      </w:r>
      <w:r w:rsidRPr="00616416">
        <w:rPr>
          <w:rStyle w:val="Bodytext31Sylfaen9"/>
          <w:i w:val="0"/>
          <w:sz w:val="24"/>
          <w:szCs w:val="24"/>
        </w:rPr>
        <w:t xml:space="preserve">Համապատասխան խառնուկի ստանդարտ նմուշը բնութագրվում է ըստ իսկության եւ մաքրության ցուցանիշների։ </w:t>
      </w:r>
      <w:r w:rsidRPr="00616416">
        <w:rPr>
          <w:rFonts w:ascii="Sylfaen" w:hAnsi="Sylfaen"/>
          <w:sz w:val="24"/>
          <w:szCs w:val="24"/>
        </w:rPr>
        <w:t>Կոնկրետ խառնուկի պարունակության որոշման համար ստանդարտ նմուշի օգտագործման դեպքում նախընտրելի է, որ ստանդարտ նմուշում այդ խառնուկի պարունակությունը կազմի 95,0 %-ից ոչ պակաս. այդ պայմանի կատարման դեպքում արժեքը չի նշվում եւ համարվում է 100,</w:t>
      </w:r>
      <w:r w:rsidRPr="00616416">
        <w:rPr>
          <w:rStyle w:val="Bodytext285pt"/>
          <w:i w:val="0"/>
          <w:spacing w:val="0"/>
          <w:sz w:val="24"/>
          <w:szCs w:val="24"/>
        </w:rPr>
        <w:t>0</w:t>
      </w:r>
      <w:r w:rsidRPr="00616416">
        <w:rPr>
          <w:rStyle w:val="Bodytext31Sylfaen9"/>
          <w:i w:val="0"/>
          <w:sz w:val="24"/>
          <w:szCs w:val="24"/>
        </w:rPr>
        <w:t xml:space="preserve">%-ին հավասար. </w:t>
      </w:r>
      <w:r w:rsidRPr="00616416">
        <w:rPr>
          <w:rFonts w:ascii="Sylfaen" w:hAnsi="Sylfaen"/>
          <w:sz w:val="24"/>
          <w:szCs w:val="24"/>
        </w:rPr>
        <w:t xml:space="preserve">այդպիսի </w:t>
      </w:r>
      <w:r w:rsidRPr="00616416">
        <w:rPr>
          <w:rFonts w:ascii="Sylfaen" w:hAnsi="Sylfaen"/>
          <w:sz w:val="24"/>
          <w:szCs w:val="24"/>
        </w:rPr>
        <w:lastRenderedPageBreak/>
        <w:t>մոտավոր արժեքը թույլատրելի է, քանի որ այն էական ազդեցություն չի ունենալու խառնուկների որոշման վրա։</w:t>
      </w:r>
      <w:r w:rsidRPr="00616416">
        <w:rPr>
          <w:rStyle w:val="Bodytext31Sylfaen9"/>
          <w:i w:val="0"/>
          <w:sz w:val="24"/>
          <w:szCs w:val="24"/>
        </w:rPr>
        <w:t xml:space="preserve"> Եթե նշված նվազագույն պարունակությունը չի կարող ապահովվել, ապա նշվում է ստանդարտ նմուշի համար որոշված արժեքը։</w:t>
      </w:r>
    </w:p>
    <w:p w14:paraId="51BE1A9E" w14:textId="77777777" w:rsidR="00B834A2" w:rsidRPr="00C41622" w:rsidRDefault="00B834A2" w:rsidP="00616416">
      <w:pPr>
        <w:pStyle w:val="Bodytext20"/>
        <w:shd w:val="clear" w:color="auto" w:fill="auto"/>
        <w:spacing w:before="0" w:after="160" w:line="360" w:lineRule="auto"/>
        <w:ind w:firstLine="567"/>
        <w:jc w:val="both"/>
        <w:rPr>
          <w:rStyle w:val="Bodytext31Sylfaen9"/>
          <w:i w:val="0"/>
          <w:sz w:val="24"/>
          <w:szCs w:val="24"/>
        </w:rPr>
      </w:pPr>
      <w:r w:rsidRPr="00616416">
        <w:rPr>
          <w:rStyle w:val="Bodytext31Sylfaen9"/>
          <w:i w:val="0"/>
          <w:sz w:val="24"/>
          <w:szCs w:val="24"/>
        </w:rPr>
        <w:t>Սովորաբար ստանդարտ նմուշն օգտագործվում է նույն թթվային, հիմնային կամ աղային տեսքով, որն ունի դեղագործական կիրառության այն բաղադրամասը, որի որակի հսկողության համար այն օգտագործվում է։ Հակառակ դեպքում մասնավոր դեղագրքային հոդվածում եւ որակի վերաբերյալ նորմատիվ</w:t>
      </w:r>
      <w:r w:rsidRPr="00B834A2">
        <w:rPr>
          <w:rStyle w:val="Bodytext31Sylfaen9"/>
          <w:sz w:val="24"/>
          <w:szCs w:val="24"/>
        </w:rPr>
        <w:t xml:space="preserve"> </w:t>
      </w:r>
      <w:r w:rsidRPr="00616416">
        <w:rPr>
          <w:rStyle w:val="Bodytext31Sylfaen9"/>
          <w:i w:val="0"/>
          <w:sz w:val="24"/>
          <w:szCs w:val="24"/>
        </w:rPr>
        <w:t>փաստաթղթում այլ ցուցումների բացակայության պարագայում կիրառվում է վերահաշվարկի համապատասխան ստեխիոմետրիկ գործակիցը։</w:t>
      </w:r>
    </w:p>
    <w:p w14:paraId="050FF14D" w14:textId="77777777" w:rsidR="00B834A2" w:rsidRPr="00616416" w:rsidRDefault="00B834A2" w:rsidP="00616416">
      <w:pPr>
        <w:pStyle w:val="Bodytext20"/>
        <w:shd w:val="clear" w:color="auto" w:fill="auto"/>
        <w:spacing w:before="0" w:after="160" w:line="360" w:lineRule="auto"/>
        <w:ind w:firstLine="567"/>
        <w:jc w:val="both"/>
        <w:rPr>
          <w:rFonts w:ascii="Sylfaen" w:hAnsi="Sylfaen" w:cs="Sylfaen"/>
          <w:sz w:val="24"/>
          <w:szCs w:val="24"/>
        </w:rPr>
      </w:pPr>
      <w:r w:rsidRPr="00616416">
        <w:rPr>
          <w:rStyle w:val="Bodytext31Sylfaen9"/>
          <w:i w:val="0"/>
          <w:sz w:val="24"/>
          <w:szCs w:val="24"/>
        </w:rPr>
        <w:t>Եթե խառնուկը հասանելի չէ ստանդարտ նմուշ ստանալու համար բավարար քանակությամբ, ապա կիրառվում են հետեւյալ մոտեցումները.</w:t>
      </w:r>
    </w:p>
    <w:p w14:paraId="4FA8B88A" w14:textId="77777777" w:rsidR="00B834A2" w:rsidRPr="00616416"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616416">
        <w:rPr>
          <w:rFonts w:ascii="Sylfaen" w:hAnsi="Sylfaen"/>
          <w:sz w:val="24"/>
          <w:szCs w:val="24"/>
        </w:rPr>
        <w:t>-</w:t>
      </w:r>
      <w:r w:rsidR="00616416" w:rsidRPr="00A859E3">
        <w:rPr>
          <w:rFonts w:ascii="Sylfaen" w:hAnsi="Sylfaen"/>
          <w:sz w:val="24"/>
          <w:szCs w:val="24"/>
        </w:rPr>
        <w:tab/>
      </w:r>
      <w:r w:rsidRPr="00616416">
        <w:rPr>
          <w:rFonts w:ascii="Sylfaen" w:hAnsi="Sylfaen"/>
          <w:sz w:val="24"/>
          <w:szCs w:val="24"/>
        </w:rPr>
        <w:t>հիմնական բաղադրիչի (բաղադրիչների) եւ խառնուկի (խառնուկների) խառնուրդ պարունակող ստանդարտ նմուշի պատրաստում.</w:t>
      </w:r>
    </w:p>
    <w:p w14:paraId="16BC6E5C" w14:textId="77777777" w:rsidR="00B834A2" w:rsidRPr="00616416" w:rsidRDefault="00B834A2" w:rsidP="0061641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616416">
        <w:rPr>
          <w:rFonts w:ascii="Sylfaen" w:hAnsi="Sylfaen"/>
          <w:sz w:val="24"/>
          <w:szCs w:val="24"/>
        </w:rPr>
        <w:t>-</w:t>
      </w:r>
      <w:r w:rsidR="00616416" w:rsidRPr="00A859E3">
        <w:rPr>
          <w:rFonts w:ascii="Sylfaen" w:hAnsi="Sylfaen"/>
          <w:sz w:val="24"/>
          <w:szCs w:val="24"/>
        </w:rPr>
        <w:tab/>
      </w:r>
      <w:r w:rsidRPr="00616416">
        <w:rPr>
          <w:rFonts w:ascii="Sylfaen" w:hAnsi="Sylfaen" w:cs="Sylfaen"/>
          <w:sz w:val="24"/>
          <w:szCs w:val="24"/>
        </w:rPr>
        <w:t>սպեցիֆիկացված</w:t>
      </w:r>
      <w:r w:rsidRPr="00616416">
        <w:rPr>
          <w:rFonts w:ascii="Sylfaen" w:hAnsi="Sylfaen"/>
          <w:sz w:val="24"/>
          <w:szCs w:val="24"/>
        </w:rPr>
        <w:t xml:space="preserve"> </w:t>
      </w:r>
      <w:r w:rsidRPr="00616416">
        <w:rPr>
          <w:rFonts w:ascii="Sylfaen" w:hAnsi="Sylfaen" w:cs="Sylfaen"/>
          <w:sz w:val="24"/>
          <w:szCs w:val="24"/>
        </w:rPr>
        <w:t>խառնուկների</w:t>
      </w:r>
      <w:r w:rsidRPr="00616416">
        <w:rPr>
          <w:rFonts w:ascii="Sylfaen" w:hAnsi="Sylfaen"/>
          <w:sz w:val="24"/>
          <w:szCs w:val="24"/>
        </w:rPr>
        <w:t xml:space="preserve"> </w:t>
      </w:r>
      <w:r w:rsidRPr="00616416">
        <w:rPr>
          <w:rFonts w:ascii="Sylfaen" w:hAnsi="Sylfaen" w:cs="Sylfaen"/>
          <w:sz w:val="24"/>
          <w:szCs w:val="24"/>
        </w:rPr>
        <w:t>խառնուրդ</w:t>
      </w:r>
      <w:r w:rsidRPr="00616416">
        <w:rPr>
          <w:rFonts w:ascii="Sylfaen" w:hAnsi="Sylfaen"/>
          <w:sz w:val="24"/>
          <w:szCs w:val="24"/>
        </w:rPr>
        <w:t xml:space="preserve"> </w:t>
      </w:r>
      <w:r w:rsidRPr="00616416">
        <w:rPr>
          <w:rFonts w:ascii="Sylfaen" w:hAnsi="Sylfaen" w:cs="Sylfaen"/>
          <w:sz w:val="24"/>
          <w:szCs w:val="24"/>
        </w:rPr>
        <w:t>պարունակող</w:t>
      </w:r>
      <w:r w:rsidRPr="00616416">
        <w:rPr>
          <w:rFonts w:ascii="Sylfaen" w:hAnsi="Sylfaen"/>
          <w:sz w:val="24"/>
          <w:szCs w:val="24"/>
        </w:rPr>
        <w:t xml:space="preserve"> </w:t>
      </w:r>
      <w:r w:rsidRPr="00616416">
        <w:rPr>
          <w:rFonts w:ascii="Sylfaen" w:hAnsi="Sylfaen" w:cs="Sylfaen"/>
          <w:sz w:val="24"/>
          <w:szCs w:val="24"/>
        </w:rPr>
        <w:t>ստանդարտ</w:t>
      </w:r>
      <w:r w:rsidRPr="00616416">
        <w:rPr>
          <w:rFonts w:ascii="Sylfaen" w:hAnsi="Sylfaen"/>
          <w:sz w:val="24"/>
          <w:szCs w:val="24"/>
        </w:rPr>
        <w:t xml:space="preserve"> </w:t>
      </w:r>
      <w:r w:rsidRPr="00616416">
        <w:rPr>
          <w:rFonts w:ascii="Sylfaen" w:hAnsi="Sylfaen" w:cs="Sylfaen"/>
          <w:sz w:val="24"/>
          <w:szCs w:val="24"/>
        </w:rPr>
        <w:t>նմուշի</w:t>
      </w:r>
      <w:r w:rsidRPr="00616416">
        <w:rPr>
          <w:rFonts w:ascii="Sylfaen" w:hAnsi="Sylfaen"/>
          <w:sz w:val="24"/>
          <w:szCs w:val="24"/>
        </w:rPr>
        <w:t xml:space="preserve"> </w:t>
      </w:r>
      <w:r w:rsidRPr="00616416">
        <w:rPr>
          <w:rFonts w:ascii="Sylfaen" w:hAnsi="Sylfaen" w:cs="Sylfaen"/>
          <w:sz w:val="24"/>
          <w:szCs w:val="24"/>
        </w:rPr>
        <w:t>պատրաստում։</w:t>
      </w:r>
    </w:p>
    <w:p w14:paraId="55E28C4C" w14:textId="77777777" w:rsidR="00B834A2" w:rsidRPr="00616416" w:rsidRDefault="00B834A2" w:rsidP="00616416">
      <w:pPr>
        <w:pStyle w:val="Bodytext20"/>
        <w:shd w:val="clear" w:color="auto" w:fill="auto"/>
        <w:spacing w:before="0" w:after="160" w:line="360" w:lineRule="auto"/>
        <w:ind w:firstLine="567"/>
        <w:jc w:val="both"/>
        <w:rPr>
          <w:rStyle w:val="Bodytext31Sylfaen9"/>
          <w:i w:val="0"/>
          <w:sz w:val="24"/>
          <w:szCs w:val="24"/>
        </w:rPr>
      </w:pPr>
      <w:r w:rsidRPr="00616416">
        <w:rPr>
          <w:rStyle w:val="Bodytext31Sylfaen9"/>
          <w:i w:val="0"/>
          <w:sz w:val="24"/>
          <w:szCs w:val="24"/>
        </w:rPr>
        <w:t>Եթե այդպիսի խառնուրդն օգտագործվում է նաեւ կոնկրետ խառնուկի պարունակությունը որոշելու համար, ապա ստանդարտ նմուշում խառնուկի քանակական պարունակությունը որոշվում է բաժանման ստանդարտ մեթոդների միջոցով, իսկ ստացված արժեքը ստանդարտ նմուշի որոշված արժեքն է։</w:t>
      </w:r>
    </w:p>
    <w:p w14:paraId="6F2D2762" w14:textId="77777777" w:rsidR="00B834A2" w:rsidRPr="00616416" w:rsidRDefault="00616416" w:rsidP="00616416">
      <w:pPr>
        <w:pStyle w:val="Bodytext20"/>
        <w:shd w:val="clear" w:color="auto" w:fill="auto"/>
        <w:tabs>
          <w:tab w:val="left" w:pos="1134"/>
        </w:tabs>
        <w:spacing w:before="0" w:after="160" w:line="360" w:lineRule="auto"/>
        <w:ind w:firstLine="567"/>
        <w:jc w:val="both"/>
        <w:rPr>
          <w:rFonts w:ascii="Sylfaen" w:hAnsi="Sylfaen" w:cs="Sylfaen"/>
          <w:b/>
          <w:sz w:val="24"/>
          <w:szCs w:val="24"/>
        </w:rPr>
      </w:pPr>
      <w:r>
        <w:rPr>
          <w:rStyle w:val="Bodytext31Sylfaen9"/>
          <w:i w:val="0"/>
          <w:sz w:val="24"/>
          <w:szCs w:val="24"/>
        </w:rPr>
        <w:t>3.3.</w:t>
      </w:r>
      <w:r w:rsidRPr="00616416">
        <w:rPr>
          <w:rStyle w:val="Bodytext31Sylfaen9"/>
          <w:i w:val="0"/>
          <w:sz w:val="24"/>
          <w:szCs w:val="24"/>
        </w:rPr>
        <w:tab/>
      </w:r>
      <w:r w:rsidR="00B834A2" w:rsidRPr="00616416">
        <w:rPr>
          <w:rStyle w:val="Bodytext31Sylfaen9"/>
          <w:b/>
          <w:i w:val="0"/>
          <w:sz w:val="24"/>
          <w:szCs w:val="24"/>
        </w:rPr>
        <w:t>Քիմիական ստանդարտ նմուշներ՝ քանակական որոշման համար</w:t>
      </w:r>
    </w:p>
    <w:p w14:paraId="324CCA65" w14:textId="77777777" w:rsidR="00B834A2" w:rsidRPr="00616416" w:rsidRDefault="00B834A2" w:rsidP="00B320E9">
      <w:pPr>
        <w:pStyle w:val="Bodytext20"/>
        <w:shd w:val="clear" w:color="auto" w:fill="auto"/>
        <w:tabs>
          <w:tab w:val="left" w:pos="1276"/>
        </w:tabs>
        <w:spacing w:before="0" w:after="160" w:line="348" w:lineRule="auto"/>
        <w:ind w:firstLine="567"/>
        <w:jc w:val="both"/>
        <w:rPr>
          <w:rFonts w:ascii="Sylfaen" w:hAnsi="Sylfaen" w:cs="Sylfaen"/>
          <w:sz w:val="24"/>
          <w:szCs w:val="24"/>
        </w:rPr>
      </w:pPr>
      <w:r w:rsidRPr="00616416">
        <w:rPr>
          <w:rFonts w:ascii="Sylfaen" w:hAnsi="Sylfaen"/>
          <w:sz w:val="24"/>
          <w:szCs w:val="24"/>
        </w:rPr>
        <w:t>3.3.1.</w:t>
      </w:r>
      <w:r w:rsidR="00616416" w:rsidRPr="00A859E3">
        <w:rPr>
          <w:rFonts w:ascii="Sylfaen" w:hAnsi="Sylfaen"/>
          <w:sz w:val="24"/>
          <w:szCs w:val="24"/>
        </w:rPr>
        <w:tab/>
      </w:r>
      <w:r w:rsidRPr="00616416">
        <w:rPr>
          <w:rStyle w:val="Bodytext2Italic"/>
          <w:sz w:val="24"/>
          <w:szCs w:val="24"/>
        </w:rPr>
        <w:t xml:space="preserve">Քանակական որոշման քիմիական, ֆիզիկաքիմիական եւ ֆիզիկական մեթոդներ։ </w:t>
      </w:r>
      <w:r w:rsidRPr="00616416">
        <w:rPr>
          <w:rStyle w:val="Bodytext31Sylfaen9"/>
          <w:i w:val="0"/>
          <w:sz w:val="24"/>
          <w:szCs w:val="24"/>
        </w:rPr>
        <w:t>Քանակական որոշման համար ստանդարտ նմուշի փորձարկումների ծավալն ավելի լայն է, քան այլ նշանակության դեպքում։</w:t>
      </w:r>
    </w:p>
    <w:p w14:paraId="46FD5ED4" w14:textId="77777777" w:rsidR="00B834A2" w:rsidRPr="00616416" w:rsidRDefault="00B834A2" w:rsidP="001636CE">
      <w:pPr>
        <w:pStyle w:val="Bodytext20"/>
        <w:shd w:val="clear" w:color="auto" w:fill="auto"/>
        <w:spacing w:before="0" w:after="160" w:line="374" w:lineRule="auto"/>
        <w:ind w:firstLine="567"/>
        <w:jc w:val="both"/>
        <w:rPr>
          <w:rFonts w:ascii="Sylfaen" w:hAnsi="Sylfaen" w:cs="Sylfaen"/>
          <w:sz w:val="24"/>
          <w:szCs w:val="24"/>
        </w:rPr>
      </w:pPr>
      <w:r w:rsidRPr="00616416">
        <w:rPr>
          <w:rStyle w:val="Bodytext31Sylfaen9"/>
          <w:i w:val="0"/>
          <w:sz w:val="24"/>
          <w:szCs w:val="24"/>
        </w:rPr>
        <w:t xml:space="preserve">Որոշված արժեքը, որպես կանոն, հաշվարկվում է՝ ելնելով խառնուկների (հարակից խառնուկների, անօրգանական խառնուկների, ջրի եւ մնացորդային օրգանական լուծիչների) որոշման ժամանակ ստացված արդյունքներից՝ զանգվածների հավասարակշռության սկզբունքի կիրառմամբ։ Կարող են կիրառվել </w:t>
      </w:r>
      <w:r w:rsidRPr="00616416">
        <w:rPr>
          <w:rStyle w:val="Bodytext31Sylfaen9"/>
          <w:i w:val="0"/>
          <w:sz w:val="24"/>
          <w:szCs w:val="24"/>
        </w:rPr>
        <w:lastRenderedPageBreak/>
        <w:t>նաեւ այլ համապատասխան մեթոդներ։ Սահմանված արժեքն ըստ հնարավորության հաստատվում է բացարձակ մեթոդի կիրառման ժամանակ ստացված արդյունքների հետ համեմատելու միջոցով։</w:t>
      </w:r>
    </w:p>
    <w:p w14:paraId="012BD891" w14:textId="77777777" w:rsidR="00B834A2" w:rsidRPr="00616416" w:rsidRDefault="00B834A2" w:rsidP="001636CE">
      <w:pPr>
        <w:pStyle w:val="Bodytext20"/>
        <w:shd w:val="clear" w:color="auto" w:fill="auto"/>
        <w:spacing w:before="0" w:after="160" w:line="374" w:lineRule="auto"/>
        <w:ind w:firstLine="567"/>
        <w:jc w:val="both"/>
        <w:rPr>
          <w:rFonts w:ascii="Sylfaen" w:hAnsi="Sylfaen" w:cs="Sylfaen"/>
          <w:sz w:val="24"/>
          <w:szCs w:val="24"/>
        </w:rPr>
      </w:pPr>
      <w:r w:rsidRPr="00616416">
        <w:rPr>
          <w:rStyle w:val="Bodytext31Sylfaen9"/>
          <w:i w:val="0"/>
          <w:sz w:val="24"/>
          <w:szCs w:val="24"/>
        </w:rPr>
        <w:t>Այլ ցուցումների բացակայության դեպքում փաթեթվածքով մատակարարվող ստանդարտ նմուշի արժեքն առանց լրացուցիչ վերահաշվարկների ընդունվում է «որպես այդպիսին», եւ փաթեթվածքի պարունակությունը օգտագործումից առաջ չորացում չի պահանջում։ Քանակական որոշման ժամանակ օգտագործվող եւ լիոֆիլացման միջոցով ստացված ստանդարտ նմուշների համար նշվում է մաքուր նյութի պարունակությունը միլիգրամներով կամ միջազգային միավորներով՝ մեկ փաթեթվածքի համար։</w:t>
      </w:r>
    </w:p>
    <w:p w14:paraId="0A1FD539" w14:textId="77777777" w:rsidR="00B834A2" w:rsidRPr="00616416" w:rsidRDefault="00B834A2" w:rsidP="001636CE">
      <w:pPr>
        <w:pStyle w:val="Bodytext20"/>
        <w:shd w:val="clear" w:color="auto" w:fill="auto"/>
        <w:tabs>
          <w:tab w:val="left" w:pos="1276"/>
        </w:tabs>
        <w:spacing w:before="0" w:after="160" w:line="374" w:lineRule="auto"/>
        <w:ind w:firstLine="567"/>
        <w:jc w:val="both"/>
        <w:rPr>
          <w:rFonts w:ascii="Sylfaen" w:hAnsi="Sylfaen" w:cs="Sylfaen"/>
          <w:sz w:val="24"/>
          <w:szCs w:val="24"/>
        </w:rPr>
      </w:pPr>
      <w:r w:rsidRPr="00616416">
        <w:rPr>
          <w:rFonts w:ascii="Sylfaen" w:hAnsi="Sylfaen"/>
          <w:sz w:val="24"/>
          <w:szCs w:val="24"/>
        </w:rPr>
        <w:t>3.3.2.</w:t>
      </w:r>
      <w:r w:rsidR="00616416" w:rsidRPr="00A859E3">
        <w:rPr>
          <w:rFonts w:ascii="Sylfaen" w:hAnsi="Sylfaen"/>
          <w:i/>
          <w:sz w:val="24"/>
          <w:szCs w:val="24"/>
        </w:rPr>
        <w:tab/>
      </w:r>
      <w:r w:rsidRPr="00920566">
        <w:rPr>
          <w:rStyle w:val="Bodytext2Italic"/>
          <w:sz w:val="24"/>
          <w:szCs w:val="24"/>
        </w:rPr>
        <w:t>Քանակական որոշման մանրէաբանական մեթոդները</w:t>
      </w:r>
      <w:r w:rsidRPr="00920566">
        <w:rPr>
          <w:rStyle w:val="Bodytext2Italic"/>
          <w:i w:val="0"/>
          <w:sz w:val="24"/>
          <w:szCs w:val="24"/>
        </w:rPr>
        <w:t>։</w:t>
      </w:r>
      <w:r w:rsidRPr="00616416">
        <w:rPr>
          <w:rStyle w:val="Bodytext31Sylfaen9"/>
          <w:i w:val="0"/>
          <w:sz w:val="24"/>
          <w:szCs w:val="24"/>
        </w:rPr>
        <w:t xml:space="preserve"> Ակտիվությունն արտահայտվում է միջազգային միավորներով կամ ազդեցության դեղագրքային միավորներով (միջազգային ստանդարտ նմուշի բացակայության դեպքում)։ Հայտագրած ակտիվությունն ու միջլաբորատոր փորձարկման արդյունքների վստահելի միջակայքերը հաշվարկվում են համընդհանուր վիճակագրական մեթոդիկաների համաձայն։</w:t>
      </w:r>
    </w:p>
    <w:p w14:paraId="02439513" w14:textId="77777777" w:rsidR="00B834A2" w:rsidRPr="00920566" w:rsidRDefault="00B834A2" w:rsidP="001636CE">
      <w:pPr>
        <w:pStyle w:val="Bodytext20"/>
        <w:shd w:val="clear" w:color="auto" w:fill="auto"/>
        <w:tabs>
          <w:tab w:val="left" w:pos="1276"/>
        </w:tabs>
        <w:spacing w:before="0" w:after="160" w:line="374" w:lineRule="auto"/>
        <w:ind w:firstLine="567"/>
        <w:jc w:val="both"/>
        <w:rPr>
          <w:rFonts w:ascii="Sylfaen" w:hAnsi="Sylfaen" w:cs="Sylfaen"/>
          <w:sz w:val="24"/>
          <w:szCs w:val="24"/>
        </w:rPr>
      </w:pPr>
      <w:r w:rsidRPr="00920566">
        <w:rPr>
          <w:rFonts w:ascii="Sylfaen" w:hAnsi="Sylfaen"/>
          <w:sz w:val="24"/>
          <w:szCs w:val="24"/>
        </w:rPr>
        <w:t>3.3.3.</w:t>
      </w:r>
      <w:r w:rsidR="00920566" w:rsidRPr="00A859E3">
        <w:rPr>
          <w:rFonts w:ascii="Sylfaen" w:hAnsi="Sylfaen"/>
          <w:sz w:val="24"/>
          <w:szCs w:val="24"/>
        </w:rPr>
        <w:tab/>
      </w:r>
      <w:r w:rsidRPr="00920566">
        <w:rPr>
          <w:rStyle w:val="Bodytext2Italic"/>
          <w:sz w:val="24"/>
          <w:szCs w:val="24"/>
        </w:rPr>
        <w:t>Բուսական դեղահումքի մեջ եւ դրա հիմքով դեղամիջոցներում բաղադրիչների քանակական որոշումը</w:t>
      </w:r>
      <w:r w:rsidRPr="00920566">
        <w:rPr>
          <w:rStyle w:val="Bodytext2Italic"/>
          <w:i w:val="0"/>
          <w:sz w:val="24"/>
          <w:szCs w:val="24"/>
        </w:rPr>
        <w:t>։</w:t>
      </w:r>
    </w:p>
    <w:p w14:paraId="75BA9CB4" w14:textId="77777777" w:rsidR="00B834A2" w:rsidRPr="00920566" w:rsidRDefault="00B834A2" w:rsidP="00920566">
      <w:pPr>
        <w:pStyle w:val="Bodytext20"/>
        <w:shd w:val="clear" w:color="auto" w:fill="auto"/>
        <w:spacing w:before="0" w:after="160" w:line="360" w:lineRule="auto"/>
        <w:ind w:firstLine="567"/>
        <w:jc w:val="both"/>
        <w:rPr>
          <w:rStyle w:val="Bodytext31Sylfaen9"/>
          <w:i w:val="0"/>
          <w:sz w:val="24"/>
          <w:szCs w:val="24"/>
        </w:rPr>
      </w:pPr>
      <w:r w:rsidRPr="00920566">
        <w:rPr>
          <w:rStyle w:val="Bodytext31Sylfaen9"/>
          <w:i w:val="0"/>
          <w:sz w:val="24"/>
          <w:szCs w:val="24"/>
        </w:rPr>
        <w:t>Հայտնի թերապեւտիկ ակտիվությամբ բաղադրիչները կամ որպես ստանդարտ նմուշներ օգտագործվող մարկերները գնահատվում են ըստ իսկության եւ մաքրության ցուցանիշների. որոշված արժեքը նշվում է՝ անկախ մաքրության աստիճանից։</w:t>
      </w:r>
    </w:p>
    <w:p w14:paraId="131AA0B1"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p>
    <w:p w14:paraId="7F935979"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920566">
        <w:rPr>
          <w:rStyle w:val="Bodytext2Italic"/>
          <w:sz w:val="24"/>
          <w:szCs w:val="24"/>
        </w:rPr>
        <w:t>4.</w:t>
      </w:r>
      <w:r w:rsidR="00920566" w:rsidRPr="00A859E3">
        <w:rPr>
          <w:rStyle w:val="Bodytext2Italic"/>
          <w:sz w:val="24"/>
          <w:szCs w:val="24"/>
        </w:rPr>
        <w:tab/>
      </w:r>
      <w:r w:rsidRPr="00920566">
        <w:rPr>
          <w:rFonts w:ascii="Sylfaen" w:hAnsi="Sylfaen" w:cs="Sylfaen"/>
          <w:i/>
          <w:sz w:val="24"/>
          <w:szCs w:val="24"/>
        </w:rPr>
        <w:t>ԲՈՒՍԱԿԱՆ</w:t>
      </w:r>
      <w:r w:rsidRPr="00920566">
        <w:rPr>
          <w:rFonts w:ascii="Sylfaen" w:hAnsi="Sylfaen"/>
          <w:i/>
          <w:sz w:val="24"/>
          <w:szCs w:val="24"/>
        </w:rPr>
        <w:t xml:space="preserve"> </w:t>
      </w:r>
      <w:r w:rsidRPr="00920566">
        <w:rPr>
          <w:rFonts w:ascii="Sylfaen" w:hAnsi="Sylfaen" w:cs="Sylfaen"/>
          <w:i/>
          <w:sz w:val="24"/>
          <w:szCs w:val="24"/>
        </w:rPr>
        <w:t>ՍՏԱՆԴԱՐՏ</w:t>
      </w:r>
      <w:r w:rsidRPr="00920566">
        <w:rPr>
          <w:rFonts w:ascii="Sylfaen" w:hAnsi="Sylfaen"/>
          <w:i/>
          <w:sz w:val="24"/>
          <w:szCs w:val="24"/>
        </w:rPr>
        <w:t xml:space="preserve"> </w:t>
      </w:r>
      <w:r w:rsidRPr="00920566">
        <w:rPr>
          <w:rFonts w:ascii="Sylfaen" w:hAnsi="Sylfaen" w:cs="Sylfaen"/>
          <w:i/>
          <w:sz w:val="24"/>
          <w:szCs w:val="24"/>
        </w:rPr>
        <w:t>ՆՄՈՒՇՆԵՐԸ</w:t>
      </w:r>
    </w:p>
    <w:p w14:paraId="52DC797B"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 xml:space="preserve">Բուսական ստանդարտ նմուշի հատկությունները որոշելու համար դրա՝ ըստ նշանակության օգտագործման համար պիտանիությունը հաստատող </w:t>
      </w:r>
      <w:r w:rsidRPr="00920566">
        <w:rPr>
          <w:rStyle w:val="Bodytext31Sylfaen9"/>
          <w:i w:val="0"/>
          <w:sz w:val="24"/>
          <w:szCs w:val="24"/>
        </w:rPr>
        <w:lastRenderedPageBreak/>
        <w:t>փորձարկումների ծավալը պայմանավորված է տվյալ ստանդարտ նմուշի ենթադրվող կիրառությամբ։</w:t>
      </w:r>
    </w:p>
    <w:p w14:paraId="6F2D4DB4"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Որպես կանոն, դրանք բնութագրվում են տարբեր մեթոդների կիրառմամբ, եւ օգտագործվում են ստորեւ նկարագրված փորձարկումների ծրագրի համապատասխան մասերը՝</w:t>
      </w:r>
    </w:p>
    <w:p w14:paraId="380AF36B"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նկարագրությունը</w:t>
      </w:r>
      <w:r w:rsidRPr="00920566">
        <w:rPr>
          <w:rFonts w:ascii="Sylfaen" w:hAnsi="Sylfaen"/>
          <w:sz w:val="24"/>
          <w:szCs w:val="24"/>
        </w:rPr>
        <w:t xml:space="preserve"> (</w:t>
      </w:r>
      <w:r w:rsidRPr="00920566">
        <w:rPr>
          <w:rFonts w:ascii="Sylfaen" w:hAnsi="Sylfaen" w:cs="Sylfaen"/>
          <w:sz w:val="24"/>
          <w:szCs w:val="24"/>
        </w:rPr>
        <w:t>արտաքին</w:t>
      </w:r>
      <w:r w:rsidRPr="00920566">
        <w:rPr>
          <w:rFonts w:ascii="Sylfaen" w:hAnsi="Sylfaen"/>
          <w:sz w:val="24"/>
          <w:szCs w:val="24"/>
        </w:rPr>
        <w:t xml:space="preserve"> </w:t>
      </w:r>
      <w:r w:rsidRPr="00920566">
        <w:rPr>
          <w:rFonts w:ascii="Sylfaen" w:hAnsi="Sylfaen" w:cs="Sylfaen"/>
          <w:sz w:val="24"/>
          <w:szCs w:val="24"/>
        </w:rPr>
        <w:t>հատկանիշներն</w:t>
      </w:r>
      <w:r w:rsidRPr="00920566">
        <w:rPr>
          <w:rFonts w:ascii="Sylfaen" w:hAnsi="Sylfaen"/>
          <w:sz w:val="24"/>
          <w:szCs w:val="24"/>
        </w:rPr>
        <w:t xml:space="preserve"> </w:t>
      </w:r>
      <w:r w:rsidRPr="00920566">
        <w:rPr>
          <w:rFonts w:ascii="Sylfaen" w:hAnsi="Sylfaen" w:cs="Sylfaen"/>
          <w:sz w:val="24"/>
          <w:szCs w:val="24"/>
        </w:rPr>
        <w:t>ու</w:t>
      </w:r>
      <w:r w:rsidRPr="00920566">
        <w:rPr>
          <w:rFonts w:ascii="Sylfaen" w:hAnsi="Sylfaen"/>
          <w:sz w:val="24"/>
          <w:szCs w:val="24"/>
        </w:rPr>
        <w:t xml:space="preserve"> </w:t>
      </w:r>
      <w:r w:rsidRPr="00920566">
        <w:rPr>
          <w:rFonts w:ascii="Sylfaen" w:hAnsi="Sylfaen" w:cs="Sylfaen"/>
          <w:sz w:val="24"/>
          <w:szCs w:val="24"/>
        </w:rPr>
        <w:t>մանրադիտակային</w:t>
      </w:r>
      <w:r w:rsidRPr="00920566">
        <w:rPr>
          <w:rFonts w:ascii="Sylfaen" w:hAnsi="Sylfaen"/>
          <w:sz w:val="24"/>
          <w:szCs w:val="24"/>
        </w:rPr>
        <w:t xml:space="preserve"> </w:t>
      </w:r>
      <w:r w:rsidRPr="00920566">
        <w:rPr>
          <w:rFonts w:ascii="Sylfaen" w:hAnsi="Sylfaen" w:cs="Sylfaen"/>
          <w:sz w:val="24"/>
          <w:szCs w:val="24"/>
        </w:rPr>
        <w:t>հետազոտությունների</w:t>
      </w:r>
      <w:r w:rsidRPr="00920566">
        <w:rPr>
          <w:rFonts w:ascii="Sylfaen" w:hAnsi="Sylfaen"/>
          <w:sz w:val="24"/>
          <w:szCs w:val="24"/>
        </w:rPr>
        <w:t xml:space="preserve"> </w:t>
      </w:r>
      <w:r w:rsidRPr="00920566">
        <w:rPr>
          <w:rFonts w:ascii="Sylfaen" w:hAnsi="Sylfaen" w:cs="Sylfaen"/>
          <w:sz w:val="24"/>
          <w:szCs w:val="24"/>
        </w:rPr>
        <w:t>մեթոդները</w:t>
      </w:r>
      <w:r w:rsidRPr="00920566">
        <w:rPr>
          <w:rFonts w:ascii="Sylfaen" w:hAnsi="Sylfaen"/>
          <w:sz w:val="24"/>
          <w:szCs w:val="24"/>
        </w:rPr>
        <w:t>).</w:t>
      </w:r>
    </w:p>
    <w:p w14:paraId="1729219F"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նրբաշերտ</w:t>
      </w:r>
      <w:r w:rsidRPr="00920566">
        <w:rPr>
          <w:rFonts w:ascii="Sylfaen" w:hAnsi="Sylfaen"/>
          <w:sz w:val="24"/>
          <w:szCs w:val="24"/>
        </w:rPr>
        <w:t xml:space="preserve"> </w:t>
      </w:r>
      <w:r w:rsidRPr="00920566">
        <w:rPr>
          <w:rFonts w:ascii="Sylfaen" w:hAnsi="Sylfaen" w:cs="Sylfaen"/>
          <w:sz w:val="24"/>
          <w:szCs w:val="24"/>
        </w:rPr>
        <w:t>քրոմատագրումը</w:t>
      </w:r>
      <w:r w:rsidRPr="00920566">
        <w:rPr>
          <w:rFonts w:ascii="Sylfaen" w:hAnsi="Sylfaen"/>
          <w:sz w:val="24"/>
          <w:szCs w:val="24"/>
        </w:rPr>
        <w:t>.</w:t>
      </w:r>
    </w:p>
    <w:p w14:paraId="1FFB8AC2"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գազային</w:t>
      </w:r>
      <w:r w:rsidRPr="00920566">
        <w:rPr>
          <w:rFonts w:ascii="Sylfaen" w:hAnsi="Sylfaen"/>
          <w:sz w:val="24"/>
          <w:szCs w:val="24"/>
        </w:rPr>
        <w:t xml:space="preserve"> </w:t>
      </w:r>
      <w:r w:rsidRPr="00920566">
        <w:rPr>
          <w:rFonts w:ascii="Sylfaen" w:hAnsi="Sylfaen" w:cs="Sylfaen"/>
          <w:sz w:val="24"/>
          <w:szCs w:val="24"/>
        </w:rPr>
        <w:t>քրոմատագրումը</w:t>
      </w:r>
      <w:r w:rsidRPr="00920566">
        <w:rPr>
          <w:rFonts w:ascii="Sylfaen" w:hAnsi="Sylfaen"/>
          <w:sz w:val="24"/>
          <w:szCs w:val="24"/>
        </w:rPr>
        <w:t>.</w:t>
      </w:r>
    </w:p>
    <w:p w14:paraId="1006FE95"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հեղուկային</w:t>
      </w:r>
      <w:r w:rsidRPr="00920566">
        <w:rPr>
          <w:rFonts w:ascii="Sylfaen" w:hAnsi="Sylfaen"/>
          <w:sz w:val="24"/>
          <w:szCs w:val="24"/>
        </w:rPr>
        <w:t xml:space="preserve"> </w:t>
      </w:r>
      <w:r w:rsidRPr="00920566">
        <w:rPr>
          <w:rFonts w:ascii="Sylfaen" w:hAnsi="Sylfaen" w:cs="Sylfaen"/>
          <w:sz w:val="24"/>
          <w:szCs w:val="24"/>
        </w:rPr>
        <w:t>քրոմատագրումը</w:t>
      </w:r>
      <w:r w:rsidRPr="00920566">
        <w:rPr>
          <w:rFonts w:ascii="Sylfaen" w:hAnsi="Sylfaen"/>
          <w:sz w:val="24"/>
          <w:szCs w:val="24"/>
        </w:rPr>
        <w:t>.</w:t>
      </w:r>
    </w:p>
    <w:p w14:paraId="77616641" w14:textId="77777777" w:rsidR="00B834A2" w:rsidRPr="00920566" w:rsidRDefault="00B834A2" w:rsidP="00920566">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ջրի</w:t>
      </w:r>
      <w:r w:rsidRPr="00920566">
        <w:rPr>
          <w:rFonts w:ascii="Sylfaen" w:hAnsi="Sylfaen"/>
          <w:sz w:val="24"/>
          <w:szCs w:val="24"/>
        </w:rPr>
        <w:t xml:space="preserve"> </w:t>
      </w:r>
      <w:r w:rsidRPr="00920566">
        <w:rPr>
          <w:rFonts w:ascii="Sylfaen" w:hAnsi="Sylfaen" w:cs="Sylfaen"/>
          <w:sz w:val="24"/>
          <w:szCs w:val="24"/>
        </w:rPr>
        <w:t>պարունակության</w:t>
      </w:r>
      <w:r w:rsidRPr="00920566">
        <w:rPr>
          <w:rFonts w:ascii="Sylfaen" w:hAnsi="Sylfaen"/>
          <w:sz w:val="24"/>
          <w:szCs w:val="24"/>
        </w:rPr>
        <w:t xml:space="preserve"> </w:t>
      </w:r>
      <w:r w:rsidRPr="00920566">
        <w:rPr>
          <w:rFonts w:ascii="Sylfaen" w:hAnsi="Sylfaen" w:cs="Sylfaen"/>
          <w:sz w:val="24"/>
          <w:szCs w:val="24"/>
        </w:rPr>
        <w:t>քանակական</w:t>
      </w:r>
      <w:r w:rsidRPr="00920566">
        <w:rPr>
          <w:rFonts w:ascii="Sylfaen" w:hAnsi="Sylfaen"/>
          <w:sz w:val="24"/>
          <w:szCs w:val="24"/>
        </w:rPr>
        <w:t xml:space="preserve"> </w:t>
      </w:r>
      <w:r w:rsidRPr="00920566">
        <w:rPr>
          <w:rFonts w:ascii="Sylfaen" w:hAnsi="Sylfaen" w:cs="Sylfaen"/>
          <w:sz w:val="24"/>
          <w:szCs w:val="24"/>
        </w:rPr>
        <w:t>որոշումը</w:t>
      </w:r>
      <w:r w:rsidRPr="00920566">
        <w:rPr>
          <w:rFonts w:ascii="Sylfaen" w:hAnsi="Sylfaen"/>
          <w:sz w:val="24"/>
          <w:szCs w:val="24"/>
        </w:rPr>
        <w:t>.</w:t>
      </w:r>
    </w:p>
    <w:p w14:paraId="6E9CBA6E" w14:textId="77777777" w:rsidR="00B834A2" w:rsidRPr="00920566" w:rsidRDefault="00B834A2" w:rsidP="00B320E9">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մնացորդային</w:t>
      </w:r>
      <w:r w:rsidRPr="00920566">
        <w:rPr>
          <w:rFonts w:ascii="Sylfaen" w:hAnsi="Sylfaen"/>
          <w:sz w:val="24"/>
          <w:szCs w:val="24"/>
        </w:rPr>
        <w:t xml:space="preserve"> </w:t>
      </w:r>
      <w:r w:rsidRPr="00920566">
        <w:rPr>
          <w:rFonts w:ascii="Sylfaen" w:hAnsi="Sylfaen" w:cs="Sylfaen"/>
          <w:sz w:val="24"/>
          <w:szCs w:val="24"/>
        </w:rPr>
        <w:t>օրգանական</w:t>
      </w:r>
      <w:r w:rsidRPr="00920566">
        <w:rPr>
          <w:rFonts w:ascii="Sylfaen" w:hAnsi="Sylfaen"/>
          <w:sz w:val="24"/>
          <w:szCs w:val="24"/>
        </w:rPr>
        <w:t xml:space="preserve"> </w:t>
      </w:r>
      <w:r w:rsidRPr="00920566">
        <w:rPr>
          <w:rFonts w:ascii="Sylfaen" w:hAnsi="Sylfaen" w:cs="Sylfaen"/>
          <w:sz w:val="24"/>
          <w:szCs w:val="24"/>
        </w:rPr>
        <w:t>լուծիչների</w:t>
      </w:r>
      <w:r w:rsidRPr="00920566">
        <w:rPr>
          <w:rFonts w:ascii="Sylfaen" w:hAnsi="Sylfaen"/>
          <w:sz w:val="24"/>
          <w:szCs w:val="24"/>
        </w:rPr>
        <w:t xml:space="preserve"> </w:t>
      </w:r>
      <w:r w:rsidRPr="00920566">
        <w:rPr>
          <w:rFonts w:ascii="Sylfaen" w:hAnsi="Sylfaen" w:cs="Sylfaen"/>
          <w:sz w:val="24"/>
          <w:szCs w:val="24"/>
        </w:rPr>
        <w:t>պարունակությունը</w:t>
      </w:r>
      <w:r w:rsidRPr="00920566">
        <w:rPr>
          <w:rFonts w:ascii="Sylfaen" w:hAnsi="Sylfaen"/>
          <w:sz w:val="24"/>
          <w:szCs w:val="24"/>
        </w:rPr>
        <w:t>.</w:t>
      </w:r>
    </w:p>
    <w:p w14:paraId="0DA900AE" w14:textId="77777777" w:rsidR="00B834A2" w:rsidRPr="00920566" w:rsidRDefault="00B834A2" w:rsidP="00B320E9">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920566">
        <w:rPr>
          <w:rFonts w:ascii="Sylfaen" w:hAnsi="Sylfaen"/>
          <w:sz w:val="24"/>
          <w:szCs w:val="24"/>
        </w:rPr>
        <w:t>-</w:t>
      </w:r>
      <w:r w:rsidR="00920566" w:rsidRPr="00A859E3">
        <w:rPr>
          <w:rFonts w:ascii="Sylfaen" w:hAnsi="Sylfaen"/>
          <w:sz w:val="24"/>
          <w:szCs w:val="24"/>
        </w:rPr>
        <w:tab/>
      </w:r>
      <w:r w:rsidRPr="00920566">
        <w:rPr>
          <w:rFonts w:ascii="Sylfaen" w:hAnsi="Sylfaen" w:cs="Sylfaen"/>
          <w:sz w:val="24"/>
          <w:szCs w:val="24"/>
        </w:rPr>
        <w:t>զանգվածի</w:t>
      </w:r>
      <w:r w:rsidRPr="00920566">
        <w:rPr>
          <w:rFonts w:ascii="Sylfaen" w:hAnsi="Sylfaen"/>
          <w:sz w:val="24"/>
          <w:szCs w:val="24"/>
        </w:rPr>
        <w:t xml:space="preserve"> </w:t>
      </w:r>
      <w:r w:rsidRPr="00920566">
        <w:rPr>
          <w:rFonts w:ascii="Sylfaen" w:hAnsi="Sylfaen" w:cs="Sylfaen"/>
          <w:sz w:val="24"/>
          <w:szCs w:val="24"/>
        </w:rPr>
        <w:t>կորուստը՝</w:t>
      </w:r>
      <w:r w:rsidRPr="00920566">
        <w:rPr>
          <w:rFonts w:ascii="Sylfaen" w:hAnsi="Sylfaen"/>
          <w:sz w:val="24"/>
          <w:szCs w:val="24"/>
        </w:rPr>
        <w:t xml:space="preserve"> </w:t>
      </w:r>
      <w:r w:rsidRPr="00920566">
        <w:rPr>
          <w:rFonts w:ascii="Sylfaen" w:hAnsi="Sylfaen" w:cs="Sylfaen"/>
          <w:sz w:val="24"/>
          <w:szCs w:val="24"/>
        </w:rPr>
        <w:t>չորացնելիս</w:t>
      </w:r>
      <w:r w:rsidRPr="00920566">
        <w:rPr>
          <w:rFonts w:ascii="Sylfaen" w:hAnsi="Sylfaen"/>
          <w:sz w:val="24"/>
          <w:szCs w:val="24"/>
        </w:rPr>
        <w:t>.</w:t>
      </w:r>
    </w:p>
    <w:p w14:paraId="278BCA49" w14:textId="77777777" w:rsidR="00B834A2" w:rsidRPr="00920566" w:rsidRDefault="00B834A2" w:rsidP="00B320E9">
      <w:pPr>
        <w:tabs>
          <w:tab w:val="left" w:pos="1134"/>
        </w:tabs>
        <w:spacing w:after="160" w:line="348" w:lineRule="auto"/>
        <w:ind w:firstLine="567"/>
        <w:jc w:val="both"/>
        <w:rPr>
          <w:rFonts w:eastAsia="Times New Roman" w:cs="Times New Roman"/>
        </w:rPr>
      </w:pPr>
      <w:r w:rsidRPr="00920566">
        <w:rPr>
          <w:rFonts w:eastAsia="Times New Roman" w:cs="Times New Roman"/>
        </w:rPr>
        <w:t>-</w:t>
      </w:r>
      <w:r w:rsidR="00920566" w:rsidRPr="00A859E3">
        <w:rPr>
          <w:rFonts w:eastAsia="Times New Roman" w:cs="Times New Roman"/>
        </w:rPr>
        <w:tab/>
      </w:r>
      <w:r w:rsidRPr="00920566">
        <w:rPr>
          <w:rFonts w:eastAsia="Times New Roman" w:cs="Times New Roman"/>
        </w:rPr>
        <w:t>խառնուկները.</w:t>
      </w:r>
    </w:p>
    <w:p w14:paraId="38DC1967" w14:textId="77777777" w:rsidR="00B834A2" w:rsidRPr="00B834A2" w:rsidRDefault="00B834A2" w:rsidP="00B320E9">
      <w:pPr>
        <w:tabs>
          <w:tab w:val="left" w:pos="1134"/>
        </w:tabs>
        <w:spacing w:after="160" w:line="348" w:lineRule="auto"/>
        <w:ind w:firstLine="567"/>
        <w:jc w:val="both"/>
      </w:pPr>
      <w:r w:rsidRPr="00B834A2">
        <w:t>-</w:t>
      </w:r>
      <w:r w:rsidR="00920566" w:rsidRPr="00A859E3">
        <w:tab/>
      </w:r>
      <w:r w:rsidRPr="00920566">
        <w:rPr>
          <w:rFonts w:eastAsia="Times New Roman" w:cs="Times New Roman"/>
        </w:rPr>
        <w:t>բաղադրիչների</w:t>
      </w:r>
      <w:r w:rsidRPr="00B834A2">
        <w:t xml:space="preserve"> (օրինակ՝ հայտնի թերապեւտիկ ակտիվությամբ բաղադրիչների, ակտիվ մարկերների, վերլուծական մարկերների) քանակական որոշումը։ </w:t>
      </w:r>
    </w:p>
    <w:p w14:paraId="6EC757D0" w14:textId="77777777" w:rsidR="00B834A2" w:rsidRPr="00920566" w:rsidRDefault="00B834A2" w:rsidP="00B320E9">
      <w:pPr>
        <w:pStyle w:val="Bodytext20"/>
        <w:shd w:val="clear" w:color="auto" w:fill="auto"/>
        <w:spacing w:before="0" w:after="160" w:line="348" w:lineRule="auto"/>
        <w:ind w:firstLine="567"/>
        <w:jc w:val="both"/>
        <w:rPr>
          <w:rStyle w:val="Bodytext31Sylfaen9"/>
          <w:i w:val="0"/>
          <w:sz w:val="24"/>
          <w:szCs w:val="24"/>
        </w:rPr>
      </w:pPr>
      <w:r w:rsidRPr="00920566">
        <w:rPr>
          <w:rStyle w:val="Bodytext31Sylfaen9"/>
          <w:i w:val="0"/>
          <w:sz w:val="24"/>
          <w:szCs w:val="24"/>
        </w:rPr>
        <w:t>Հաշվարկը կատարվում է մաքուր բաղադրիչի կամ բաղադրիչների՝ որոշված արժեք ունեցող համապատասխան նմուշի առնչությամբ։</w:t>
      </w:r>
    </w:p>
    <w:p w14:paraId="7080A6C5" w14:textId="77777777" w:rsidR="00B834A2" w:rsidRPr="00B834A2" w:rsidRDefault="00B834A2" w:rsidP="00B320E9">
      <w:pPr>
        <w:pStyle w:val="Bodytext20"/>
        <w:shd w:val="clear" w:color="auto" w:fill="auto"/>
        <w:spacing w:before="0" w:after="160" w:line="348" w:lineRule="auto"/>
        <w:ind w:firstLine="567"/>
        <w:rPr>
          <w:rFonts w:ascii="Sylfaen" w:hAnsi="Sylfaen" w:cs="Sylfaen"/>
          <w:sz w:val="24"/>
          <w:szCs w:val="24"/>
        </w:rPr>
      </w:pPr>
    </w:p>
    <w:p w14:paraId="128AB61A" w14:textId="77777777" w:rsidR="00B834A2" w:rsidRPr="00B834A2" w:rsidRDefault="00B834A2" w:rsidP="00B320E9">
      <w:pPr>
        <w:pStyle w:val="Bodytext20"/>
        <w:shd w:val="clear" w:color="auto" w:fill="auto"/>
        <w:tabs>
          <w:tab w:val="left" w:pos="1134"/>
        </w:tabs>
        <w:spacing w:before="0" w:after="160" w:line="348" w:lineRule="auto"/>
        <w:ind w:firstLine="567"/>
        <w:jc w:val="both"/>
        <w:rPr>
          <w:rFonts w:ascii="Sylfaen" w:hAnsi="Sylfaen" w:cs="Sylfaen"/>
          <w:sz w:val="24"/>
          <w:szCs w:val="24"/>
        </w:rPr>
      </w:pPr>
      <w:r w:rsidRPr="00B834A2">
        <w:rPr>
          <w:rStyle w:val="Bodytext31Sylfaen9"/>
          <w:sz w:val="24"/>
          <w:szCs w:val="24"/>
        </w:rPr>
        <w:t>5.</w:t>
      </w:r>
      <w:r w:rsidR="00920566" w:rsidRPr="00A859E3">
        <w:rPr>
          <w:rStyle w:val="Bodytext31Sylfaen9"/>
          <w:sz w:val="24"/>
          <w:szCs w:val="24"/>
        </w:rPr>
        <w:tab/>
      </w:r>
      <w:r w:rsidRPr="00920566">
        <w:rPr>
          <w:rFonts w:ascii="Sylfaen" w:hAnsi="Sylfaen" w:cs="Sylfaen"/>
          <w:i/>
          <w:sz w:val="24"/>
          <w:szCs w:val="24"/>
        </w:rPr>
        <w:t>ԿԵՆՍԱԲԱՆԱԿԱՆ</w:t>
      </w:r>
      <w:r w:rsidRPr="00920566">
        <w:rPr>
          <w:rFonts w:ascii="Sylfaen" w:hAnsi="Sylfaen"/>
          <w:i/>
          <w:sz w:val="24"/>
          <w:szCs w:val="24"/>
        </w:rPr>
        <w:t xml:space="preserve"> </w:t>
      </w:r>
      <w:r w:rsidRPr="00920566">
        <w:rPr>
          <w:rFonts w:ascii="Sylfaen" w:hAnsi="Sylfaen" w:cs="Sylfaen"/>
          <w:i/>
          <w:sz w:val="24"/>
          <w:szCs w:val="24"/>
        </w:rPr>
        <w:t>ԴԵՂԱՄԻՋՈՑՆԵՐԻ</w:t>
      </w:r>
      <w:r w:rsidRPr="00920566">
        <w:rPr>
          <w:rFonts w:ascii="Sylfaen" w:hAnsi="Sylfaen"/>
          <w:i/>
          <w:sz w:val="24"/>
          <w:szCs w:val="24"/>
        </w:rPr>
        <w:t xml:space="preserve"> </w:t>
      </w:r>
      <w:r w:rsidRPr="00920566">
        <w:rPr>
          <w:rFonts w:ascii="Sylfaen" w:hAnsi="Sylfaen" w:cs="Sylfaen"/>
          <w:i/>
          <w:sz w:val="24"/>
          <w:szCs w:val="24"/>
        </w:rPr>
        <w:t>ՈՐԱԿԻ</w:t>
      </w:r>
      <w:r w:rsidRPr="00920566">
        <w:rPr>
          <w:rFonts w:ascii="Sylfaen" w:hAnsi="Sylfaen"/>
          <w:i/>
          <w:sz w:val="24"/>
          <w:szCs w:val="24"/>
        </w:rPr>
        <w:t xml:space="preserve"> </w:t>
      </w:r>
      <w:r w:rsidRPr="00920566">
        <w:rPr>
          <w:rFonts w:ascii="Sylfaen" w:hAnsi="Sylfaen" w:cs="Sylfaen"/>
          <w:i/>
          <w:sz w:val="24"/>
          <w:szCs w:val="24"/>
        </w:rPr>
        <w:t>ՀՍԿՈՂՈՒԹՅԱՆ</w:t>
      </w:r>
      <w:r w:rsidRPr="00920566">
        <w:rPr>
          <w:rFonts w:ascii="Sylfaen" w:hAnsi="Sylfaen"/>
          <w:i/>
          <w:sz w:val="24"/>
          <w:szCs w:val="24"/>
        </w:rPr>
        <w:t xml:space="preserve"> </w:t>
      </w:r>
      <w:r w:rsidRPr="00920566">
        <w:rPr>
          <w:rFonts w:ascii="Sylfaen" w:hAnsi="Sylfaen" w:cs="Sylfaen"/>
          <w:i/>
          <w:sz w:val="24"/>
          <w:szCs w:val="24"/>
        </w:rPr>
        <w:t>ՀԱՄԱՐ</w:t>
      </w:r>
      <w:r w:rsidRPr="00920566">
        <w:rPr>
          <w:rFonts w:ascii="Sylfaen" w:hAnsi="Sylfaen"/>
          <w:i/>
          <w:sz w:val="24"/>
          <w:szCs w:val="24"/>
        </w:rPr>
        <w:t xml:space="preserve"> </w:t>
      </w:r>
      <w:r w:rsidRPr="00920566">
        <w:rPr>
          <w:rFonts w:ascii="Sylfaen" w:hAnsi="Sylfaen" w:cs="Sylfaen"/>
          <w:i/>
          <w:sz w:val="24"/>
          <w:szCs w:val="24"/>
        </w:rPr>
        <w:t>ՆԱԽԱՏԵՍՎԱԾ</w:t>
      </w:r>
      <w:r w:rsidRPr="00920566">
        <w:rPr>
          <w:rFonts w:ascii="Sylfaen" w:hAnsi="Sylfaen"/>
          <w:i/>
          <w:sz w:val="24"/>
          <w:szCs w:val="24"/>
        </w:rPr>
        <w:t xml:space="preserve"> </w:t>
      </w:r>
      <w:r w:rsidRPr="00920566">
        <w:rPr>
          <w:rFonts w:ascii="Sylfaen" w:hAnsi="Sylfaen" w:cs="Sylfaen"/>
          <w:i/>
          <w:sz w:val="24"/>
          <w:szCs w:val="24"/>
        </w:rPr>
        <w:t>ԿԵՆՍԱԲԱՆԱԿԱՆ</w:t>
      </w:r>
      <w:r w:rsidRPr="00920566">
        <w:rPr>
          <w:rFonts w:ascii="Sylfaen" w:hAnsi="Sylfaen"/>
          <w:i/>
          <w:sz w:val="24"/>
          <w:szCs w:val="24"/>
        </w:rPr>
        <w:t xml:space="preserve"> </w:t>
      </w:r>
      <w:r w:rsidRPr="00920566">
        <w:rPr>
          <w:rFonts w:ascii="Sylfaen" w:hAnsi="Sylfaen" w:cs="Sylfaen"/>
          <w:i/>
          <w:sz w:val="24"/>
          <w:szCs w:val="24"/>
        </w:rPr>
        <w:t>ՈՒ</w:t>
      </w:r>
      <w:r w:rsidRPr="00920566">
        <w:rPr>
          <w:rFonts w:ascii="Sylfaen" w:hAnsi="Sylfaen"/>
          <w:i/>
          <w:sz w:val="24"/>
          <w:szCs w:val="24"/>
        </w:rPr>
        <w:t xml:space="preserve"> </w:t>
      </w:r>
      <w:r w:rsidRPr="00920566">
        <w:rPr>
          <w:rFonts w:ascii="Sylfaen" w:hAnsi="Sylfaen" w:cs="Sylfaen"/>
          <w:i/>
          <w:sz w:val="24"/>
          <w:szCs w:val="24"/>
        </w:rPr>
        <w:t>ՔԻՄԻԱԿԱՆ</w:t>
      </w:r>
      <w:r w:rsidRPr="00920566">
        <w:rPr>
          <w:rFonts w:ascii="Sylfaen" w:hAnsi="Sylfaen"/>
          <w:i/>
          <w:sz w:val="24"/>
          <w:szCs w:val="24"/>
        </w:rPr>
        <w:t xml:space="preserve"> </w:t>
      </w:r>
      <w:r w:rsidRPr="00920566">
        <w:rPr>
          <w:rFonts w:ascii="Sylfaen" w:hAnsi="Sylfaen" w:cs="Sylfaen"/>
          <w:i/>
          <w:sz w:val="24"/>
          <w:szCs w:val="24"/>
        </w:rPr>
        <w:t>ՍՏԱՆԴԱՐՏ</w:t>
      </w:r>
      <w:r w:rsidRPr="00920566">
        <w:rPr>
          <w:rFonts w:ascii="Sylfaen" w:hAnsi="Sylfaen"/>
          <w:i/>
          <w:sz w:val="24"/>
          <w:szCs w:val="24"/>
        </w:rPr>
        <w:t xml:space="preserve"> </w:t>
      </w:r>
      <w:r w:rsidRPr="00920566">
        <w:rPr>
          <w:rFonts w:ascii="Sylfaen" w:hAnsi="Sylfaen" w:cs="Sylfaen"/>
          <w:i/>
          <w:sz w:val="24"/>
          <w:szCs w:val="24"/>
        </w:rPr>
        <w:t>ՆՄՈՒՇՆԵՐԸ</w:t>
      </w:r>
    </w:p>
    <w:p w14:paraId="6E78B186" w14:textId="77777777" w:rsidR="00B834A2" w:rsidRPr="00920566" w:rsidRDefault="00B834A2" w:rsidP="00B320E9">
      <w:pPr>
        <w:pStyle w:val="Bodytext20"/>
        <w:shd w:val="clear" w:color="auto" w:fill="auto"/>
        <w:spacing w:before="0" w:after="160" w:line="348" w:lineRule="auto"/>
        <w:ind w:firstLine="567"/>
        <w:jc w:val="both"/>
        <w:rPr>
          <w:rStyle w:val="Bodytext31Sylfaen9"/>
          <w:i w:val="0"/>
          <w:sz w:val="24"/>
          <w:szCs w:val="24"/>
        </w:rPr>
      </w:pPr>
      <w:r w:rsidRPr="00920566">
        <w:rPr>
          <w:rStyle w:val="Bodytext31Sylfaen9"/>
          <w:i w:val="0"/>
          <w:sz w:val="24"/>
          <w:szCs w:val="24"/>
        </w:rPr>
        <w:t xml:space="preserve">Կենսաբանական դեղամիջոցների որակի հսկողության համար նախատեսված կենսաբանական ու քիմիական ստանդարտ նմուշը, որպես կանոն, </w:t>
      </w:r>
      <w:r w:rsidRPr="00920566">
        <w:rPr>
          <w:rStyle w:val="Bodytext31Sylfaen9"/>
          <w:i w:val="0"/>
          <w:sz w:val="24"/>
          <w:szCs w:val="24"/>
        </w:rPr>
        <w:lastRenderedPageBreak/>
        <w:t xml:space="preserve">Առողջապահության համաշխարհային կազմակերպության համապատասխան՝ միջազգային ստանդարտ նմուշի համաձայն ստուգաճշտված երկրորդային ստանդարտ նմուշ է, իսկ միջազգային ստանդարտ նմուշի բացակայության դեպքում՝ Միության դեղագրքի ազդեցության միավորներով կամ այլ համապատասխան միավորներով արտահայտված՝ որոշված արժեքով առաջնային ստանդարտ նմուշ։ </w:t>
      </w:r>
    </w:p>
    <w:p w14:paraId="273F56B8"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p>
    <w:p w14:paraId="43EEA031" w14:textId="77777777" w:rsidR="00B834A2" w:rsidRPr="00C41622" w:rsidRDefault="00B834A2" w:rsidP="00920566">
      <w:pPr>
        <w:pStyle w:val="Bodytext20"/>
        <w:shd w:val="clear" w:color="auto" w:fill="auto"/>
        <w:spacing w:before="0" w:after="160" w:line="360" w:lineRule="auto"/>
        <w:ind w:firstLine="567"/>
        <w:jc w:val="both"/>
        <w:rPr>
          <w:rStyle w:val="Bodytext31Sylfaen9"/>
          <w:b/>
          <w:i w:val="0"/>
          <w:sz w:val="24"/>
          <w:szCs w:val="24"/>
        </w:rPr>
      </w:pPr>
      <w:r w:rsidRPr="00920566">
        <w:rPr>
          <w:rStyle w:val="Bodytext31Sylfaen9"/>
          <w:b/>
          <w:i w:val="0"/>
          <w:sz w:val="24"/>
          <w:szCs w:val="24"/>
        </w:rPr>
        <w:t>ՍՏԱՆԴԱՐՏ ՆՄՈՒՇՆԵՐԻ ՄԱԿՆՇՈՒՄԸ</w:t>
      </w:r>
    </w:p>
    <w:p w14:paraId="34845F5A"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Fonts w:ascii="Sylfaen" w:hAnsi="Sylfaen" w:cs="Sylfaen"/>
          <w:sz w:val="24"/>
          <w:szCs w:val="24"/>
        </w:rPr>
        <w:t>Ստանդարտ</w:t>
      </w:r>
      <w:r w:rsidRPr="00920566">
        <w:rPr>
          <w:rFonts w:ascii="Sylfaen" w:hAnsi="Sylfaen"/>
          <w:sz w:val="24"/>
          <w:szCs w:val="24"/>
        </w:rPr>
        <w:t xml:space="preserve"> </w:t>
      </w:r>
      <w:r w:rsidRPr="00920566">
        <w:rPr>
          <w:rFonts w:ascii="Sylfaen" w:hAnsi="Sylfaen" w:cs="Sylfaen"/>
          <w:sz w:val="24"/>
          <w:szCs w:val="24"/>
        </w:rPr>
        <w:t>նմուշով</w:t>
      </w:r>
      <w:r w:rsidRPr="00920566">
        <w:rPr>
          <w:rFonts w:ascii="Sylfaen" w:hAnsi="Sylfaen"/>
          <w:sz w:val="24"/>
          <w:szCs w:val="24"/>
        </w:rPr>
        <w:t xml:space="preserve"> </w:t>
      </w:r>
      <w:r w:rsidRPr="00920566">
        <w:rPr>
          <w:rFonts w:ascii="Sylfaen" w:hAnsi="Sylfaen" w:cs="Sylfaen"/>
          <w:sz w:val="24"/>
          <w:szCs w:val="24"/>
        </w:rPr>
        <w:t>առաջնային</w:t>
      </w:r>
      <w:r w:rsidRPr="00920566">
        <w:rPr>
          <w:rFonts w:ascii="Sylfaen" w:hAnsi="Sylfaen"/>
          <w:sz w:val="24"/>
          <w:szCs w:val="24"/>
        </w:rPr>
        <w:t xml:space="preserve"> </w:t>
      </w:r>
      <w:r w:rsidRPr="00920566">
        <w:rPr>
          <w:rFonts w:ascii="Sylfaen" w:hAnsi="Sylfaen" w:cs="Sylfaen"/>
          <w:sz w:val="24"/>
          <w:szCs w:val="24"/>
        </w:rPr>
        <w:t>փաթեթվածքի</w:t>
      </w:r>
      <w:r w:rsidRPr="00920566">
        <w:rPr>
          <w:rFonts w:ascii="Sylfaen" w:hAnsi="Sylfaen"/>
          <w:sz w:val="24"/>
          <w:szCs w:val="24"/>
        </w:rPr>
        <w:t xml:space="preserve"> </w:t>
      </w:r>
      <w:r w:rsidRPr="00920566">
        <w:rPr>
          <w:rFonts w:ascii="Sylfaen" w:hAnsi="Sylfaen" w:cs="Sylfaen"/>
          <w:sz w:val="24"/>
          <w:szCs w:val="24"/>
        </w:rPr>
        <w:t>պիտակի</w:t>
      </w:r>
      <w:r w:rsidRPr="00920566">
        <w:rPr>
          <w:rFonts w:ascii="Sylfaen" w:hAnsi="Sylfaen"/>
          <w:sz w:val="24"/>
          <w:szCs w:val="24"/>
        </w:rPr>
        <w:t xml:space="preserve"> </w:t>
      </w:r>
      <w:r w:rsidRPr="00920566">
        <w:rPr>
          <w:rFonts w:ascii="Sylfaen" w:hAnsi="Sylfaen" w:cs="Sylfaen"/>
          <w:sz w:val="24"/>
          <w:szCs w:val="24"/>
        </w:rPr>
        <w:t>վրա</w:t>
      </w:r>
      <w:r w:rsidRPr="00920566">
        <w:rPr>
          <w:rFonts w:ascii="Sylfaen" w:hAnsi="Sylfaen"/>
          <w:sz w:val="24"/>
          <w:szCs w:val="24"/>
        </w:rPr>
        <w:t xml:space="preserve"> </w:t>
      </w:r>
      <w:r w:rsidRPr="00920566">
        <w:rPr>
          <w:rFonts w:ascii="Sylfaen" w:hAnsi="Sylfaen" w:cs="Sylfaen"/>
          <w:sz w:val="24"/>
          <w:szCs w:val="24"/>
        </w:rPr>
        <w:t>առնվազն</w:t>
      </w:r>
      <w:r w:rsidRPr="00920566">
        <w:rPr>
          <w:rFonts w:ascii="Sylfaen" w:hAnsi="Sylfaen"/>
          <w:sz w:val="24"/>
          <w:szCs w:val="24"/>
        </w:rPr>
        <w:t xml:space="preserve"> </w:t>
      </w:r>
      <w:r w:rsidRPr="00920566">
        <w:rPr>
          <w:rFonts w:ascii="Sylfaen" w:hAnsi="Sylfaen" w:cs="Sylfaen"/>
          <w:sz w:val="24"/>
          <w:szCs w:val="24"/>
        </w:rPr>
        <w:t>նշվում</w:t>
      </w:r>
      <w:r w:rsidRPr="00920566">
        <w:rPr>
          <w:rFonts w:ascii="Sylfaen" w:hAnsi="Sylfaen"/>
          <w:sz w:val="24"/>
          <w:szCs w:val="24"/>
        </w:rPr>
        <w:t xml:space="preserve"> </w:t>
      </w:r>
      <w:r w:rsidRPr="00920566">
        <w:rPr>
          <w:rFonts w:ascii="Sylfaen" w:hAnsi="Sylfaen" w:cs="Sylfaen"/>
          <w:sz w:val="24"/>
          <w:szCs w:val="24"/>
        </w:rPr>
        <w:t>է</w:t>
      </w:r>
      <w:r w:rsidRPr="00920566">
        <w:rPr>
          <w:rFonts w:ascii="Sylfaen" w:hAnsi="Sylfaen"/>
          <w:sz w:val="24"/>
          <w:szCs w:val="24"/>
        </w:rPr>
        <w:t xml:space="preserve"> </w:t>
      </w:r>
      <w:r w:rsidRPr="00920566">
        <w:rPr>
          <w:rFonts w:ascii="Sylfaen" w:hAnsi="Sylfaen" w:cs="Sylfaen"/>
          <w:sz w:val="24"/>
          <w:szCs w:val="24"/>
        </w:rPr>
        <w:t>արտադրողի</w:t>
      </w:r>
      <w:r w:rsidRPr="00920566">
        <w:rPr>
          <w:rFonts w:ascii="Sylfaen" w:hAnsi="Sylfaen"/>
          <w:sz w:val="24"/>
          <w:szCs w:val="24"/>
        </w:rPr>
        <w:t xml:space="preserve"> </w:t>
      </w:r>
      <w:r w:rsidRPr="00920566">
        <w:rPr>
          <w:rFonts w:ascii="Sylfaen" w:hAnsi="Sylfaen" w:cs="Sylfaen"/>
          <w:sz w:val="24"/>
          <w:szCs w:val="24"/>
        </w:rPr>
        <w:t>անվանումն</w:t>
      </w:r>
      <w:r w:rsidRPr="00920566">
        <w:rPr>
          <w:rFonts w:ascii="Sylfaen" w:hAnsi="Sylfaen"/>
          <w:sz w:val="24"/>
          <w:szCs w:val="24"/>
        </w:rPr>
        <w:t xml:space="preserve"> </w:t>
      </w:r>
      <w:r w:rsidRPr="00920566">
        <w:rPr>
          <w:rFonts w:ascii="Sylfaen" w:hAnsi="Sylfaen" w:cs="Sylfaen"/>
          <w:sz w:val="24"/>
          <w:szCs w:val="24"/>
        </w:rPr>
        <w:t>ու</w:t>
      </w:r>
      <w:r w:rsidRPr="00920566">
        <w:rPr>
          <w:rFonts w:ascii="Sylfaen" w:hAnsi="Sylfaen"/>
          <w:sz w:val="24"/>
          <w:szCs w:val="24"/>
        </w:rPr>
        <w:t xml:space="preserve"> </w:t>
      </w:r>
      <w:r w:rsidRPr="00920566">
        <w:rPr>
          <w:rFonts w:ascii="Sylfaen" w:hAnsi="Sylfaen" w:cs="Sylfaen"/>
          <w:sz w:val="24"/>
          <w:szCs w:val="24"/>
        </w:rPr>
        <w:t>հասցեն</w:t>
      </w:r>
      <w:r w:rsidRPr="00920566">
        <w:rPr>
          <w:rFonts w:ascii="Sylfaen" w:hAnsi="Sylfaen"/>
          <w:sz w:val="24"/>
          <w:szCs w:val="24"/>
        </w:rPr>
        <w:t xml:space="preserve">, </w:t>
      </w:r>
      <w:r w:rsidRPr="00920566">
        <w:rPr>
          <w:rFonts w:ascii="Sylfaen" w:hAnsi="Sylfaen" w:cs="Sylfaen"/>
          <w:sz w:val="24"/>
          <w:szCs w:val="24"/>
        </w:rPr>
        <w:t>ստանդարտ</w:t>
      </w:r>
      <w:r w:rsidRPr="00920566">
        <w:rPr>
          <w:rFonts w:ascii="Sylfaen" w:hAnsi="Sylfaen"/>
          <w:sz w:val="24"/>
          <w:szCs w:val="24"/>
        </w:rPr>
        <w:t xml:space="preserve"> </w:t>
      </w:r>
      <w:r w:rsidRPr="00920566">
        <w:rPr>
          <w:rFonts w:ascii="Sylfaen" w:hAnsi="Sylfaen" w:cs="Sylfaen"/>
          <w:sz w:val="24"/>
          <w:szCs w:val="24"/>
        </w:rPr>
        <w:t>նմուշի</w:t>
      </w:r>
      <w:r w:rsidRPr="00920566">
        <w:rPr>
          <w:rFonts w:ascii="Sylfaen" w:hAnsi="Sylfaen"/>
          <w:sz w:val="24"/>
          <w:szCs w:val="24"/>
        </w:rPr>
        <w:t xml:space="preserve"> </w:t>
      </w:r>
      <w:r w:rsidRPr="00920566">
        <w:rPr>
          <w:rFonts w:ascii="Sylfaen" w:hAnsi="Sylfaen" w:cs="Sylfaen"/>
          <w:sz w:val="24"/>
          <w:szCs w:val="24"/>
        </w:rPr>
        <w:t>անվանումը</w:t>
      </w:r>
      <w:r w:rsidRPr="00920566">
        <w:rPr>
          <w:rFonts w:ascii="Sylfaen" w:hAnsi="Sylfaen"/>
          <w:sz w:val="24"/>
          <w:szCs w:val="24"/>
        </w:rPr>
        <w:t xml:space="preserve">, </w:t>
      </w:r>
      <w:r w:rsidRPr="00920566">
        <w:rPr>
          <w:rFonts w:ascii="Sylfaen" w:hAnsi="Sylfaen" w:cs="Sylfaen"/>
          <w:sz w:val="24"/>
          <w:szCs w:val="24"/>
        </w:rPr>
        <w:t>արտադրողի</w:t>
      </w:r>
      <w:r w:rsidRPr="00920566">
        <w:rPr>
          <w:rFonts w:ascii="Sylfaen" w:hAnsi="Sylfaen"/>
          <w:sz w:val="24"/>
          <w:szCs w:val="24"/>
        </w:rPr>
        <w:t xml:space="preserve"> </w:t>
      </w:r>
      <w:r w:rsidRPr="00920566">
        <w:rPr>
          <w:rFonts w:ascii="Sylfaen" w:hAnsi="Sylfaen" w:cs="Sylfaen"/>
          <w:sz w:val="24"/>
          <w:szCs w:val="24"/>
        </w:rPr>
        <w:t>կողմից</w:t>
      </w:r>
      <w:r w:rsidRPr="00920566">
        <w:rPr>
          <w:rFonts w:ascii="Sylfaen" w:hAnsi="Sylfaen"/>
          <w:sz w:val="24"/>
          <w:szCs w:val="24"/>
        </w:rPr>
        <w:t xml:space="preserve"> </w:t>
      </w:r>
      <w:r w:rsidRPr="00920566">
        <w:rPr>
          <w:rFonts w:ascii="Sylfaen" w:hAnsi="Sylfaen" w:cs="Sylfaen"/>
          <w:sz w:val="24"/>
          <w:szCs w:val="24"/>
        </w:rPr>
        <w:t>տրված</w:t>
      </w:r>
      <w:r w:rsidRPr="00920566">
        <w:rPr>
          <w:rFonts w:ascii="Sylfaen" w:hAnsi="Sylfaen"/>
          <w:sz w:val="24"/>
          <w:szCs w:val="24"/>
        </w:rPr>
        <w:t xml:space="preserve"> </w:t>
      </w:r>
      <w:r w:rsidRPr="00920566">
        <w:rPr>
          <w:rFonts w:ascii="Sylfaen" w:hAnsi="Sylfaen" w:cs="Sylfaen"/>
          <w:sz w:val="24"/>
          <w:szCs w:val="24"/>
        </w:rPr>
        <w:t>ցուցիչը</w:t>
      </w:r>
      <w:r w:rsidRPr="00920566">
        <w:rPr>
          <w:rFonts w:ascii="Sylfaen" w:hAnsi="Sylfaen"/>
          <w:sz w:val="24"/>
          <w:szCs w:val="24"/>
        </w:rPr>
        <w:t xml:space="preserve">, </w:t>
      </w:r>
      <w:r w:rsidRPr="00920566">
        <w:rPr>
          <w:rFonts w:ascii="Sylfaen" w:hAnsi="Sylfaen" w:cs="Sylfaen"/>
          <w:sz w:val="24"/>
          <w:szCs w:val="24"/>
        </w:rPr>
        <w:t>սերիայի</w:t>
      </w:r>
      <w:r w:rsidRPr="00920566">
        <w:rPr>
          <w:rFonts w:ascii="Sylfaen" w:hAnsi="Sylfaen"/>
          <w:sz w:val="24"/>
          <w:szCs w:val="24"/>
        </w:rPr>
        <w:t xml:space="preserve"> (</w:t>
      </w:r>
      <w:r w:rsidRPr="00920566">
        <w:rPr>
          <w:rFonts w:ascii="Sylfaen" w:hAnsi="Sylfaen" w:cs="Sylfaen"/>
          <w:sz w:val="24"/>
          <w:szCs w:val="24"/>
        </w:rPr>
        <w:t>խմբաքանակի</w:t>
      </w:r>
      <w:r w:rsidRPr="00920566">
        <w:rPr>
          <w:rFonts w:ascii="Sylfaen" w:hAnsi="Sylfaen"/>
          <w:sz w:val="24"/>
          <w:szCs w:val="24"/>
        </w:rPr>
        <w:t xml:space="preserve">) </w:t>
      </w:r>
      <w:r w:rsidRPr="00920566">
        <w:rPr>
          <w:rFonts w:ascii="Sylfaen" w:hAnsi="Sylfaen" w:cs="Sylfaen"/>
          <w:sz w:val="24"/>
          <w:szCs w:val="24"/>
        </w:rPr>
        <w:t>համարը</w:t>
      </w:r>
      <w:r w:rsidRPr="00920566">
        <w:rPr>
          <w:rFonts w:ascii="Sylfaen" w:hAnsi="Sylfaen"/>
          <w:sz w:val="24"/>
          <w:szCs w:val="24"/>
        </w:rPr>
        <w:t xml:space="preserve">, </w:t>
      </w:r>
      <w:r w:rsidRPr="00920566">
        <w:rPr>
          <w:rFonts w:ascii="Sylfaen" w:hAnsi="Sylfaen" w:cs="Sylfaen"/>
          <w:sz w:val="24"/>
          <w:szCs w:val="24"/>
        </w:rPr>
        <w:t>փաթեթվածքում</w:t>
      </w:r>
      <w:r w:rsidRPr="00920566">
        <w:rPr>
          <w:rFonts w:ascii="Sylfaen" w:hAnsi="Sylfaen"/>
          <w:sz w:val="24"/>
          <w:szCs w:val="24"/>
        </w:rPr>
        <w:t xml:space="preserve"> </w:t>
      </w:r>
      <w:r w:rsidRPr="00920566">
        <w:rPr>
          <w:rFonts w:ascii="Sylfaen" w:hAnsi="Sylfaen" w:cs="Sylfaen"/>
          <w:sz w:val="24"/>
          <w:szCs w:val="24"/>
        </w:rPr>
        <w:t>ստանդարտ</w:t>
      </w:r>
      <w:r w:rsidRPr="00920566">
        <w:rPr>
          <w:rFonts w:ascii="Sylfaen" w:hAnsi="Sylfaen"/>
          <w:sz w:val="24"/>
          <w:szCs w:val="24"/>
        </w:rPr>
        <w:t xml:space="preserve"> </w:t>
      </w:r>
      <w:r w:rsidRPr="00920566">
        <w:rPr>
          <w:rFonts w:ascii="Sylfaen" w:hAnsi="Sylfaen" w:cs="Sylfaen"/>
          <w:sz w:val="24"/>
          <w:szCs w:val="24"/>
        </w:rPr>
        <w:t>նմուշի</w:t>
      </w:r>
      <w:r w:rsidRPr="00920566">
        <w:rPr>
          <w:rFonts w:ascii="Sylfaen" w:hAnsi="Sylfaen"/>
          <w:sz w:val="24"/>
          <w:szCs w:val="24"/>
        </w:rPr>
        <w:t xml:space="preserve"> </w:t>
      </w:r>
      <w:r w:rsidRPr="00920566">
        <w:rPr>
          <w:rFonts w:ascii="Sylfaen" w:hAnsi="Sylfaen" w:cs="Sylfaen"/>
          <w:sz w:val="24"/>
          <w:szCs w:val="24"/>
        </w:rPr>
        <w:t>քանակը</w:t>
      </w:r>
      <w:r w:rsidRPr="00920566">
        <w:rPr>
          <w:rFonts w:ascii="Sylfaen" w:hAnsi="Sylfaen"/>
          <w:sz w:val="24"/>
          <w:szCs w:val="24"/>
        </w:rPr>
        <w:t xml:space="preserve"> (</w:t>
      </w:r>
      <w:r w:rsidRPr="00920566">
        <w:rPr>
          <w:rFonts w:ascii="Sylfaen" w:hAnsi="Sylfaen" w:cs="Sylfaen"/>
          <w:sz w:val="24"/>
          <w:szCs w:val="24"/>
        </w:rPr>
        <w:t>հնարավորության</w:t>
      </w:r>
      <w:r w:rsidRPr="00920566">
        <w:rPr>
          <w:rFonts w:ascii="Sylfaen" w:hAnsi="Sylfaen"/>
          <w:sz w:val="24"/>
          <w:szCs w:val="24"/>
        </w:rPr>
        <w:t xml:space="preserve"> </w:t>
      </w:r>
      <w:r w:rsidRPr="00920566">
        <w:rPr>
          <w:rFonts w:ascii="Sylfaen" w:hAnsi="Sylfaen" w:cs="Sylfaen"/>
          <w:sz w:val="24"/>
          <w:szCs w:val="24"/>
        </w:rPr>
        <w:t>դեպքում</w:t>
      </w:r>
      <w:r w:rsidRPr="00920566">
        <w:rPr>
          <w:rFonts w:ascii="Sylfaen" w:hAnsi="Sylfaen"/>
          <w:sz w:val="24"/>
          <w:szCs w:val="24"/>
        </w:rPr>
        <w:t xml:space="preserve">), </w:t>
      </w:r>
      <w:r w:rsidRPr="00920566">
        <w:rPr>
          <w:rFonts w:ascii="Sylfaen" w:hAnsi="Sylfaen" w:cs="Sylfaen"/>
          <w:sz w:val="24"/>
          <w:szCs w:val="24"/>
        </w:rPr>
        <w:t>առողջության</w:t>
      </w:r>
      <w:r w:rsidRPr="00920566">
        <w:rPr>
          <w:rFonts w:ascii="Sylfaen" w:hAnsi="Sylfaen"/>
          <w:sz w:val="24"/>
          <w:szCs w:val="24"/>
        </w:rPr>
        <w:t xml:space="preserve"> </w:t>
      </w:r>
      <w:r w:rsidRPr="00920566">
        <w:rPr>
          <w:rFonts w:ascii="Sylfaen" w:hAnsi="Sylfaen" w:cs="Sylfaen"/>
          <w:sz w:val="24"/>
          <w:szCs w:val="24"/>
        </w:rPr>
        <w:t>համար</w:t>
      </w:r>
      <w:r w:rsidRPr="00920566">
        <w:rPr>
          <w:rFonts w:ascii="Sylfaen" w:hAnsi="Sylfaen"/>
          <w:sz w:val="24"/>
          <w:szCs w:val="24"/>
        </w:rPr>
        <w:t xml:space="preserve"> </w:t>
      </w:r>
      <w:r w:rsidRPr="00920566">
        <w:rPr>
          <w:rFonts w:ascii="Sylfaen" w:hAnsi="Sylfaen" w:cs="Sylfaen"/>
          <w:sz w:val="24"/>
          <w:szCs w:val="24"/>
        </w:rPr>
        <w:t>վնասի</w:t>
      </w:r>
      <w:r w:rsidRPr="00920566">
        <w:rPr>
          <w:rFonts w:ascii="Sylfaen" w:hAnsi="Sylfaen"/>
          <w:sz w:val="24"/>
          <w:szCs w:val="24"/>
        </w:rPr>
        <w:t xml:space="preserve"> </w:t>
      </w:r>
      <w:r w:rsidRPr="00920566">
        <w:rPr>
          <w:rFonts w:ascii="Sylfaen" w:hAnsi="Sylfaen" w:cs="Sylfaen"/>
          <w:sz w:val="24"/>
          <w:szCs w:val="24"/>
        </w:rPr>
        <w:t>կամ</w:t>
      </w:r>
      <w:r w:rsidRPr="00920566">
        <w:rPr>
          <w:rFonts w:ascii="Sylfaen" w:hAnsi="Sylfaen"/>
          <w:sz w:val="24"/>
          <w:szCs w:val="24"/>
        </w:rPr>
        <w:t xml:space="preserve"> </w:t>
      </w:r>
      <w:r w:rsidRPr="00920566">
        <w:rPr>
          <w:rFonts w:ascii="Sylfaen" w:hAnsi="Sylfaen" w:cs="Sylfaen"/>
          <w:sz w:val="24"/>
          <w:szCs w:val="24"/>
        </w:rPr>
        <w:t>անվտանգության</w:t>
      </w:r>
      <w:r w:rsidRPr="00920566">
        <w:rPr>
          <w:rFonts w:ascii="Sylfaen" w:hAnsi="Sylfaen"/>
          <w:sz w:val="24"/>
          <w:szCs w:val="24"/>
        </w:rPr>
        <w:t xml:space="preserve"> </w:t>
      </w:r>
      <w:r w:rsidRPr="00920566">
        <w:rPr>
          <w:rFonts w:ascii="Sylfaen" w:hAnsi="Sylfaen" w:cs="Sylfaen"/>
          <w:sz w:val="24"/>
          <w:szCs w:val="24"/>
        </w:rPr>
        <w:t>վերաբերյալ</w:t>
      </w:r>
      <w:r w:rsidRPr="00920566">
        <w:rPr>
          <w:rFonts w:ascii="Sylfaen" w:hAnsi="Sylfaen"/>
          <w:sz w:val="24"/>
          <w:szCs w:val="24"/>
        </w:rPr>
        <w:t xml:space="preserve"> </w:t>
      </w:r>
      <w:r w:rsidRPr="00920566">
        <w:rPr>
          <w:rFonts w:ascii="Sylfaen" w:hAnsi="Sylfaen" w:cs="Sylfaen"/>
          <w:sz w:val="24"/>
          <w:szCs w:val="24"/>
        </w:rPr>
        <w:t>նախազգուշացնող</w:t>
      </w:r>
      <w:r w:rsidRPr="00920566">
        <w:rPr>
          <w:rFonts w:ascii="Sylfaen" w:hAnsi="Sylfaen"/>
          <w:sz w:val="24"/>
          <w:szCs w:val="24"/>
        </w:rPr>
        <w:t xml:space="preserve"> </w:t>
      </w:r>
      <w:r w:rsidRPr="00920566">
        <w:rPr>
          <w:rFonts w:ascii="Sylfaen" w:hAnsi="Sylfaen" w:cs="Sylfaen"/>
          <w:sz w:val="24"/>
          <w:szCs w:val="24"/>
        </w:rPr>
        <w:t>անհրաժեշտ</w:t>
      </w:r>
      <w:r w:rsidRPr="00920566">
        <w:rPr>
          <w:rFonts w:ascii="Sylfaen" w:hAnsi="Sylfaen"/>
          <w:sz w:val="24"/>
          <w:szCs w:val="24"/>
        </w:rPr>
        <w:t xml:space="preserve"> </w:t>
      </w:r>
      <w:r w:rsidRPr="00920566">
        <w:rPr>
          <w:rFonts w:ascii="Sylfaen" w:hAnsi="Sylfaen" w:cs="Sylfaen"/>
          <w:sz w:val="24"/>
          <w:szCs w:val="24"/>
        </w:rPr>
        <w:t>տեղեկատվությունը։</w:t>
      </w:r>
    </w:p>
    <w:p w14:paraId="554ADA95" w14:textId="77777777" w:rsidR="00B834A2" w:rsidRPr="00920566" w:rsidRDefault="00B834A2" w:rsidP="00920566">
      <w:pPr>
        <w:pStyle w:val="Bodytext20"/>
        <w:shd w:val="clear" w:color="auto" w:fill="auto"/>
        <w:spacing w:before="0" w:after="160" w:line="360" w:lineRule="auto"/>
        <w:ind w:firstLine="567"/>
        <w:jc w:val="both"/>
        <w:rPr>
          <w:rStyle w:val="Bodytext31Sylfaen9"/>
          <w:i w:val="0"/>
          <w:sz w:val="24"/>
          <w:szCs w:val="24"/>
        </w:rPr>
      </w:pPr>
      <w:r w:rsidRPr="00920566">
        <w:rPr>
          <w:rStyle w:val="Bodytext31Sylfaen9"/>
          <w:i w:val="0"/>
          <w:sz w:val="24"/>
          <w:szCs w:val="24"/>
        </w:rPr>
        <w:t>Ներկայացվում են նաեւ ստանդարտ նմուշի փաստաթղթերը (սերտիֆիկատը/անձնագիրը եւ կիրառման հրահանգը (առկայության դեպքում), որտեղ նշվում է նմուշի ընդհանուր նկարագրությունը, նշանակությունը</w:t>
      </w:r>
      <w:r w:rsidRPr="00B834A2">
        <w:rPr>
          <w:rStyle w:val="Bodytext31Sylfaen9"/>
          <w:sz w:val="24"/>
          <w:szCs w:val="24"/>
        </w:rPr>
        <w:t xml:space="preserve">, </w:t>
      </w:r>
      <w:r w:rsidRPr="00920566">
        <w:rPr>
          <w:rStyle w:val="Bodytext31Sylfaen9"/>
          <w:i w:val="0"/>
          <w:sz w:val="24"/>
          <w:szCs w:val="24"/>
        </w:rPr>
        <w:t xml:space="preserve">ճիշտ օգտագործման եւ պահպանման համապատասխան պայմանների վերաբերյալ ցուցումները, հատկությունների որոշված արժեքը՝ նշելով անորոշությունը (անհրաժեշտության դեպքում), պիտանիության ժամկետի լրանալու ամսաթիվը)։ </w:t>
      </w:r>
    </w:p>
    <w:p w14:paraId="33B06CA2"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p>
    <w:p w14:paraId="124448EA" w14:textId="77777777" w:rsidR="00B834A2" w:rsidRPr="00C41622" w:rsidRDefault="00B834A2" w:rsidP="00920566">
      <w:pPr>
        <w:pStyle w:val="Bodytext20"/>
        <w:shd w:val="clear" w:color="auto" w:fill="auto"/>
        <w:spacing w:before="0" w:after="160" w:line="360" w:lineRule="auto"/>
        <w:ind w:firstLine="567"/>
        <w:jc w:val="both"/>
        <w:rPr>
          <w:rStyle w:val="Bodytext31Sylfaen9"/>
          <w:b/>
          <w:i w:val="0"/>
          <w:sz w:val="24"/>
          <w:szCs w:val="24"/>
        </w:rPr>
      </w:pPr>
      <w:r w:rsidRPr="00920566">
        <w:rPr>
          <w:rStyle w:val="Bodytext31Sylfaen9"/>
          <w:b/>
          <w:i w:val="0"/>
          <w:sz w:val="24"/>
          <w:szCs w:val="24"/>
        </w:rPr>
        <w:t>ՍՏԱՆԴԱՐՏ ՆՄՈՒՇՆԵՐԻ ՊԱՀՊԱՆՈՒՄՆ ՈՒ ԴԻՍՏՐԻԲՅՈՒՑԻԱՆ</w:t>
      </w:r>
    </w:p>
    <w:p w14:paraId="60ADE61D"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Ստանդարտ նմուշը պետք է պահպանվի եւ փոխադրվի արտադրողի կողմից սահմանված պայմաններում, որոնցով երաշխավորվում է դրա կայունությունը։</w:t>
      </w:r>
    </w:p>
    <w:p w14:paraId="0A61CDB7" w14:textId="77777777" w:rsidR="00B834A2" w:rsidRPr="00920566" w:rsidRDefault="00B834A2" w:rsidP="00920566">
      <w:pPr>
        <w:pStyle w:val="Bodytext20"/>
        <w:shd w:val="clear" w:color="auto" w:fill="auto"/>
        <w:spacing w:before="0" w:after="160" w:line="360" w:lineRule="auto"/>
        <w:ind w:firstLine="567"/>
        <w:jc w:val="both"/>
        <w:rPr>
          <w:rStyle w:val="Bodytext31Sylfaen9"/>
          <w:i w:val="0"/>
          <w:sz w:val="24"/>
          <w:szCs w:val="24"/>
        </w:rPr>
      </w:pPr>
      <w:r w:rsidRPr="00920566">
        <w:rPr>
          <w:rStyle w:val="Bodytext31Sylfaen9"/>
          <w:i w:val="0"/>
          <w:sz w:val="24"/>
          <w:szCs w:val="24"/>
        </w:rPr>
        <w:t xml:space="preserve">Օգտագործվում է համապատասխան տրանսպորտային տարա (փաթեթվածք)՝ փոխադրման ժամանակ վնասելու ռիսկի նվազեցման համար, ինչպես նաեւ որոշակի ջերմաստիճանի պայմաններում ստանդարտ նմուշի </w:t>
      </w:r>
      <w:r w:rsidRPr="00920566">
        <w:rPr>
          <w:rStyle w:val="Bodytext31Sylfaen9"/>
          <w:i w:val="0"/>
          <w:sz w:val="24"/>
          <w:szCs w:val="24"/>
        </w:rPr>
        <w:lastRenderedPageBreak/>
        <w:t xml:space="preserve">պահպանման եւ փոխադրման գործող ուղեցույցներին համապատասխանության համար։ </w:t>
      </w:r>
    </w:p>
    <w:p w14:paraId="651D9D86"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p>
    <w:p w14:paraId="3C3118CA" w14:textId="77777777" w:rsidR="00B834A2" w:rsidRPr="00C41622" w:rsidRDefault="00B834A2" w:rsidP="00920566">
      <w:pPr>
        <w:pStyle w:val="Bodytext20"/>
        <w:shd w:val="clear" w:color="auto" w:fill="auto"/>
        <w:spacing w:before="0" w:after="160" w:line="360" w:lineRule="auto"/>
        <w:ind w:firstLine="567"/>
        <w:jc w:val="both"/>
        <w:rPr>
          <w:rStyle w:val="Bodytext31Sylfaen9"/>
          <w:b/>
          <w:i w:val="0"/>
          <w:sz w:val="24"/>
          <w:szCs w:val="24"/>
        </w:rPr>
      </w:pPr>
      <w:r w:rsidRPr="00920566">
        <w:rPr>
          <w:rStyle w:val="Bodytext31Sylfaen9"/>
          <w:b/>
          <w:i w:val="0"/>
          <w:sz w:val="24"/>
          <w:szCs w:val="24"/>
        </w:rPr>
        <w:t>ՍՏԱՆԴԱՐՏ ՆՄՈՒՇՆԵՐԻ ԿԻՐԱՌՈՒՄԸ</w:t>
      </w:r>
    </w:p>
    <w:p w14:paraId="4290C191"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Ստանդարտ նմուշը պետք է օգտագործողի կողմից ճանաչվի պիտանի՝ ըստ նշանակության կիրառման համար։ Միության դեղագրքի ստանդարտ նմուշը պետք է օգտագործվի համապատասխան դեղագրքային հոդվածներում նկարագրված նպատակներով, եթե այլ բան թույլատրված չէ լիազորված մարմնի կողմից։</w:t>
      </w:r>
    </w:p>
    <w:p w14:paraId="465EBCC1" w14:textId="77777777" w:rsidR="00B834A2" w:rsidRPr="00920566" w:rsidRDefault="00B834A2" w:rsidP="00920566">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Եթե ստանդարտ նմուշը ենթադրվում է օգտագործել այն նպատակներից տարբեր նպատակներով, որոնց համար սահմանվել է դրա հատկության արժեքը, ապա այդ դեպքում դրա պիտանիությունը պետք է ապացուցվի եւ ամբողջությամբ նկարագրված լինի գրանցման դոսյեում։</w:t>
      </w:r>
    </w:p>
    <w:p w14:paraId="3B7C133A"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20566">
        <w:rPr>
          <w:rStyle w:val="Bodytext31Sylfaen9"/>
          <w:i w:val="0"/>
          <w:sz w:val="24"/>
          <w:szCs w:val="24"/>
        </w:rPr>
        <w:t>Որպես կանոն, ստանդարտ նմուշը կշռածրարվում է փաթեթվածքը բացելուց հետո անմիջապես օգտագործելու համար անհրաժեշտ քանակությամբ։ Այլ պայմաններում ստանդարտ նմուշի կիրառման համար պատասխանատվություն է</w:t>
      </w:r>
      <w:r w:rsidRPr="00920566">
        <w:rPr>
          <w:rStyle w:val="Bodytext31Sylfaen9"/>
          <w:sz w:val="24"/>
          <w:szCs w:val="24"/>
        </w:rPr>
        <w:t xml:space="preserve"> </w:t>
      </w:r>
      <w:r w:rsidRPr="009A3F5E">
        <w:rPr>
          <w:rStyle w:val="Bodytext31Sylfaen9"/>
          <w:i w:val="0"/>
          <w:sz w:val="24"/>
          <w:szCs w:val="24"/>
        </w:rPr>
        <w:t>կրում օգտագործողը։ Չբացված գործարանային փաթեթվածքում ստանդարտ նմուշը պիտանի է օգտագործման համար՝ տվյալ ստանդարտ նմուշն արտադրողի սահմանած ժամկետի ընթացքում։</w:t>
      </w:r>
    </w:p>
    <w:p w14:paraId="21FA6D1E"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2Italic"/>
          <w:i w:val="0"/>
          <w:sz w:val="24"/>
          <w:szCs w:val="24"/>
        </w:rPr>
        <w:t>Երկրորդային ստանդարտ նմուշներ։</w:t>
      </w:r>
      <w:r w:rsidRPr="009A3F5E">
        <w:rPr>
          <w:rStyle w:val="Bodytext31Sylfaen9"/>
          <w:i w:val="0"/>
          <w:sz w:val="24"/>
          <w:szCs w:val="24"/>
        </w:rPr>
        <w:t xml:space="preserve"> Երկրորդային ստանդարտ նմուշները, որպես կանոն, մշակվում են առաջնային ստանդարտ նմուշների օգտագործումը կրճատելու համար եւ աշխատանքի ժամանակ կարող են կիրառվել որակի ռուտինային հսկողության համար։ Երկրորդային ստանդարտ նմուշը կարող է օգտագործվել միայն նույն նպատակներով, որոնցով կիրառվում է այն առաջնային ստանդարտ նմուշը, որի համար որոշվել են դրա հատկությունները։</w:t>
      </w:r>
    </w:p>
    <w:p w14:paraId="1F38D198" w14:textId="77777777" w:rsidR="00B834A2" w:rsidRPr="009A3F5E" w:rsidRDefault="00B834A2" w:rsidP="009A3F5E">
      <w:pPr>
        <w:pStyle w:val="Bodytext20"/>
        <w:shd w:val="clear" w:color="auto" w:fill="auto"/>
        <w:spacing w:before="0" w:after="160" w:line="360" w:lineRule="auto"/>
        <w:ind w:firstLine="567"/>
        <w:jc w:val="both"/>
        <w:rPr>
          <w:rStyle w:val="Bodytext31Sylfaen9"/>
          <w:i w:val="0"/>
          <w:sz w:val="24"/>
          <w:szCs w:val="24"/>
        </w:rPr>
      </w:pPr>
      <w:r w:rsidRPr="009A3F5E">
        <w:rPr>
          <w:rFonts w:ascii="Sylfaen" w:hAnsi="Sylfaen"/>
          <w:sz w:val="24"/>
          <w:szCs w:val="24"/>
        </w:rPr>
        <w:t xml:space="preserve">Եվրասիական տնտեսական միության դեղագրքի ստանդարտ ԻԿ սպետրները կարող են կիրառվել դեղագործական կիրառության բաղադրամասերի իսկությունը </w:t>
      </w:r>
      <w:r w:rsidRPr="009A3F5E">
        <w:rPr>
          <w:rFonts w:ascii="Sylfaen" w:hAnsi="Sylfaen"/>
          <w:sz w:val="24"/>
          <w:szCs w:val="24"/>
        </w:rPr>
        <w:lastRenderedPageBreak/>
        <w:t xml:space="preserve">որոշելու համար՝ մասնավոր դեղագրքային հոդվածների ցուցումներին համապատասխան։ </w:t>
      </w:r>
    </w:p>
    <w:p w14:paraId="61CD88D0"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p>
    <w:p w14:paraId="2506702D" w14:textId="77777777" w:rsidR="00B834A2" w:rsidRPr="00C41622" w:rsidRDefault="00B834A2" w:rsidP="009A3F5E">
      <w:pPr>
        <w:pStyle w:val="Bodytext20"/>
        <w:shd w:val="clear" w:color="auto" w:fill="auto"/>
        <w:spacing w:before="0" w:after="160" w:line="360" w:lineRule="auto"/>
        <w:ind w:firstLine="567"/>
        <w:jc w:val="both"/>
        <w:rPr>
          <w:rStyle w:val="Bodytext31Sylfaen9"/>
          <w:b/>
          <w:i w:val="0"/>
          <w:sz w:val="24"/>
          <w:szCs w:val="24"/>
        </w:rPr>
      </w:pPr>
      <w:r w:rsidRPr="009A3F5E">
        <w:rPr>
          <w:rStyle w:val="Bodytext31Sylfaen9"/>
          <w:b/>
          <w:i w:val="0"/>
          <w:sz w:val="24"/>
          <w:szCs w:val="24"/>
        </w:rPr>
        <w:t>ԿՐԿՆԱԿԻ ՀՍԿՈՂՈՒԹՅԱՆ ԾՐԱԳԻՐԸ</w:t>
      </w:r>
    </w:p>
    <w:p w14:paraId="030A354F"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9A3F5E">
        <w:rPr>
          <w:rStyle w:val="Bodytext31Sylfaen9"/>
          <w:i w:val="0"/>
          <w:sz w:val="24"/>
          <w:szCs w:val="24"/>
        </w:rPr>
        <w:t xml:space="preserve">Օգտագործման համար ստանդարտ նմուշների պիտանիությունը հաստատելու համար մշակվում եւ կիրառվում է ստանդարտ նմուշների կայունության մշտադիտարկման ծրագիր՝ հաշվի առնելով հայտնի ֆիզիկաքիմիական հատկություններն ու կայունության վերաբերյալ տվյալները։ Մշտադիտարկման ծրագիրը նախատեսված է համապատասխան վերլուծական մեթոդիկաների կիրառմամբ ստանդարտ նմուշների օգտագործման վրա ազդող որակի ցուցանիշների փոփոխության ցանկացած հատկանիշ վաղ փուլում հայտնաբերելու համար։ Սովորաբար մեթոդիկաներն ընտրվում են ստանդարտ նմուշների ստեղծման ընթացքում օգտագործվածների թվից։ </w:t>
      </w:r>
    </w:p>
    <w:p w14:paraId="39ABCBB3" w14:textId="77777777" w:rsidR="00B834A2" w:rsidRPr="009A3F5E" w:rsidRDefault="00B834A2" w:rsidP="009A3F5E">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Մշտադիտարկման ժամանակահատվածը (պիտանիության ժամկետի երկարաձգում) կարող է ավելացվել այդ հնարավորությունը հիմնավորող՝ բավարար քանակությամբ փորձարարական տվյալների առկայության դեպքո</w:t>
      </w:r>
      <w:r w:rsidRPr="00B834A2">
        <w:rPr>
          <w:rStyle w:val="Bodytext31Sylfaen9"/>
          <w:sz w:val="24"/>
          <w:szCs w:val="24"/>
        </w:rPr>
        <w:t xml:space="preserve">ւմ։ </w:t>
      </w:r>
      <w:r w:rsidRPr="009A3F5E">
        <w:rPr>
          <w:rStyle w:val="Bodytext31Sylfaen9"/>
          <w:i w:val="0"/>
          <w:sz w:val="24"/>
          <w:szCs w:val="24"/>
        </w:rPr>
        <w:t>Շեղումների թույլատրելի չափորոշիչները պետք է նախապես սահմանվեն։ Դրանք գերազանցելու դեպքում անհրաժեշտ է երկրորդ անգամ որոշել ստանդարտ նմուշի սերիայի հատկությունները կամ կատարել սերիայի փոխարինում։</w:t>
      </w:r>
    </w:p>
    <w:p w14:paraId="0EB26E1F" w14:textId="77777777" w:rsidR="00B834A2" w:rsidRPr="00B834A2" w:rsidRDefault="00B834A2" w:rsidP="00B834A2">
      <w:pPr>
        <w:pStyle w:val="Bodytext20"/>
        <w:shd w:val="clear" w:color="auto" w:fill="auto"/>
        <w:spacing w:before="0" w:after="160" w:line="360" w:lineRule="auto"/>
        <w:ind w:firstLine="480"/>
        <w:jc w:val="right"/>
        <w:rPr>
          <w:rStyle w:val="Bodytext29pt"/>
          <w:sz w:val="24"/>
          <w:szCs w:val="24"/>
        </w:rPr>
      </w:pPr>
    </w:p>
    <w:p w14:paraId="6E374871" w14:textId="77777777" w:rsidR="00B834A2" w:rsidRPr="00C41622" w:rsidRDefault="00B834A2" w:rsidP="00B834A2">
      <w:pPr>
        <w:pStyle w:val="Bodytext20"/>
        <w:shd w:val="clear" w:color="auto" w:fill="auto"/>
        <w:spacing w:before="0" w:after="160" w:line="360" w:lineRule="auto"/>
        <w:jc w:val="right"/>
        <w:rPr>
          <w:rStyle w:val="Bodytext29pt"/>
          <w:b/>
          <w:sz w:val="20"/>
          <w:szCs w:val="20"/>
        </w:rPr>
      </w:pPr>
      <w:r w:rsidRPr="009A3F5E">
        <w:rPr>
          <w:rStyle w:val="Bodytext29pt"/>
          <w:b/>
          <w:sz w:val="20"/>
          <w:szCs w:val="20"/>
        </w:rPr>
        <w:t>203120000-2022</w:t>
      </w:r>
    </w:p>
    <w:p w14:paraId="59E30532" w14:textId="77777777" w:rsidR="00B320E9" w:rsidRPr="00C41622" w:rsidRDefault="00B320E9" w:rsidP="00B834A2">
      <w:pPr>
        <w:pStyle w:val="Bodytext20"/>
        <w:shd w:val="clear" w:color="auto" w:fill="auto"/>
        <w:spacing w:before="0" w:after="160" w:line="360" w:lineRule="auto"/>
        <w:jc w:val="right"/>
        <w:rPr>
          <w:rStyle w:val="Bodytext29pt"/>
          <w:b/>
          <w:sz w:val="20"/>
          <w:szCs w:val="20"/>
        </w:rPr>
      </w:pPr>
    </w:p>
    <w:p w14:paraId="754B2999" w14:textId="77777777" w:rsidR="00B834A2" w:rsidRPr="009A3F5E" w:rsidRDefault="00B834A2" w:rsidP="00DA2D5E">
      <w:pPr>
        <w:pStyle w:val="Bodytext20"/>
        <w:shd w:val="clear" w:color="auto" w:fill="auto"/>
        <w:tabs>
          <w:tab w:val="left" w:pos="1701"/>
        </w:tabs>
        <w:spacing w:before="0" w:after="160" w:line="360" w:lineRule="auto"/>
        <w:ind w:firstLine="567"/>
        <w:jc w:val="both"/>
        <w:rPr>
          <w:rStyle w:val="Bodytext29pt"/>
          <w:rFonts w:eastAsia="Tahoma"/>
          <w:b/>
          <w:sz w:val="24"/>
          <w:szCs w:val="24"/>
        </w:rPr>
      </w:pPr>
      <w:r w:rsidRPr="009A3F5E">
        <w:rPr>
          <w:rStyle w:val="Bodytext29pt"/>
          <w:b/>
          <w:sz w:val="24"/>
          <w:szCs w:val="24"/>
        </w:rPr>
        <w:t>2.3.12.0.</w:t>
      </w:r>
      <w:r w:rsidR="009A3F5E" w:rsidRPr="00A859E3">
        <w:rPr>
          <w:rStyle w:val="Bodytext29pt"/>
          <w:b/>
          <w:sz w:val="24"/>
          <w:szCs w:val="24"/>
        </w:rPr>
        <w:tab/>
      </w:r>
      <w:r w:rsidRPr="009A3F5E">
        <w:rPr>
          <w:rStyle w:val="Bodytext29pt"/>
          <w:b/>
          <w:sz w:val="24"/>
          <w:szCs w:val="24"/>
        </w:rPr>
        <w:t>Դեղամիջոցների կենսաբանական փորձարկումների արդյունքների վիճակագրական մշակումը</w:t>
      </w:r>
    </w:p>
    <w:p w14:paraId="5F87DC00"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9A3F5E">
        <w:rPr>
          <w:rStyle w:val="Bodytext31Sylfaen9"/>
          <w:i w:val="0"/>
          <w:sz w:val="24"/>
          <w:szCs w:val="24"/>
        </w:rPr>
        <w:t>Տվյալ ընդհանուր դեղագրքային հոդվածում շարադրված են դեղամիջոցների դեղագրքային կենսաբանական փորձարկումների արդյունքների վիճակագրական մշակման հիմնական մեթոդները։</w:t>
      </w:r>
    </w:p>
    <w:p w14:paraId="7A0FCAEE" w14:textId="77777777" w:rsidR="00B834A2" w:rsidRPr="00DE4F37" w:rsidRDefault="00B834A2" w:rsidP="009A3F5E">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lastRenderedPageBreak/>
        <w:t>Հաշվարկների համար կարելի է օգտագործել էլեկտրոնային աղյուսակներ։ Ընդ որում, հաշվումների ճշգրտության տարբերության հաշվին ստացված արդյունքները կարող են աննշան կերպով տարբերվել հոդվածում ներկայացվածներից։ Հնարավոր է կիրառել հատուկ վալիդացված վիճակագրական, այդ թվում՝ կենսաչափական ծրագրային ապահովում (СоmbiStats, РLА կամ նույնանմանները)։</w:t>
      </w:r>
    </w:p>
    <w:p w14:paraId="4AE911FC" w14:textId="77777777" w:rsidR="001636CE" w:rsidRPr="00DE4F37" w:rsidRDefault="001636CE" w:rsidP="009A3F5E">
      <w:pPr>
        <w:pStyle w:val="Bodytext20"/>
        <w:shd w:val="clear" w:color="auto" w:fill="auto"/>
        <w:spacing w:before="0" w:after="160" w:line="360" w:lineRule="auto"/>
        <w:ind w:firstLine="567"/>
        <w:jc w:val="both"/>
        <w:rPr>
          <w:rStyle w:val="Bodytext31Sylfaen9"/>
          <w:i w:val="0"/>
          <w:sz w:val="24"/>
          <w:szCs w:val="24"/>
        </w:rPr>
      </w:pPr>
    </w:p>
    <w:p w14:paraId="6A63BE65" w14:textId="77777777" w:rsidR="00B834A2" w:rsidRPr="00C41622" w:rsidRDefault="00B834A2" w:rsidP="009A3F5E">
      <w:pPr>
        <w:pStyle w:val="Bodytext20"/>
        <w:shd w:val="clear" w:color="auto" w:fill="auto"/>
        <w:spacing w:before="0" w:after="160" w:line="360" w:lineRule="auto"/>
        <w:ind w:firstLine="567"/>
        <w:jc w:val="both"/>
        <w:rPr>
          <w:rStyle w:val="Bodytext31Sylfaen9"/>
          <w:b/>
          <w:i w:val="0"/>
          <w:sz w:val="24"/>
          <w:szCs w:val="24"/>
        </w:rPr>
      </w:pPr>
      <w:r w:rsidRPr="009A3F5E">
        <w:rPr>
          <w:rStyle w:val="Bodytext31Sylfaen9"/>
          <w:b/>
          <w:i w:val="0"/>
          <w:sz w:val="24"/>
          <w:szCs w:val="24"/>
        </w:rPr>
        <w:t>ՊԱՅՄԱՆԱԿԱՆ ՆՇԱԳՐԵՐԸ</w:t>
      </w:r>
    </w:p>
    <w:p w14:paraId="0F8C1E55" w14:textId="77777777" w:rsidR="00B834A2" w:rsidRPr="009A3F5E" w:rsidRDefault="00B834A2" w:rsidP="009A3F5E">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Կիրառվում են հետեւյալ հիմնական պայմանական նշագրերը.</w:t>
      </w:r>
    </w:p>
    <w:p w14:paraId="0D745D1A"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а՝ գծային ռեգրեսիայի ազատ անդամ.</w:t>
      </w:r>
      <w:r w:rsidRPr="00B834A2">
        <w:rPr>
          <w:rStyle w:val="Bodytext31Sylfaen9"/>
          <w:sz w:val="24"/>
          <w:szCs w:val="24"/>
        </w:rPr>
        <w:t xml:space="preserve"> </w:t>
      </w:r>
    </w:p>
    <w:p w14:paraId="44246717"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b՝ գծային ռեգրեսիայի անկյունային գործակից (դեղաչափից կամ դրա լոգարիթմից թեստ օբյեկտի արձագանքի մեծության կախվածության գծի թեքության անկյան տանգենսը).</w:t>
      </w:r>
    </w:p>
    <w:p w14:paraId="4393C37C"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с՝ աղյուսակում սյունակների թիվը (4.2.3 բաժին).</w:t>
      </w:r>
    </w:p>
    <w:p w14:paraId="16BF35A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d, Δ՝ որոշ մեծությունների տարբերությունը.</w:t>
      </w:r>
    </w:p>
    <w:p w14:paraId="40792333" w14:textId="77777777" w:rsidR="00B834A2" w:rsidRPr="00B834A2" w:rsidRDefault="00B834A2" w:rsidP="009A3F5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A3F5E" w:rsidRPr="00A859E3">
        <w:rPr>
          <w:rFonts w:ascii="Sylfaen" w:hAnsi="Sylfaen"/>
          <w:sz w:val="24"/>
          <w:szCs w:val="24"/>
        </w:rPr>
        <w:tab/>
      </w:r>
      <w:r w:rsidRPr="00B834A2">
        <w:rPr>
          <w:rFonts w:ascii="Sylfaen" w:hAnsi="Sylfaen"/>
          <w:sz w:val="24"/>
          <w:szCs w:val="24"/>
        </w:rPr>
        <w:t>յուրաքանչյուր նմուշի համար դեղաչափերի թիվը՝ բացառությամբ հսկողության (3.2.8 բաժին).</w:t>
      </w:r>
    </w:p>
    <w:p w14:paraId="024840D6" w14:textId="77777777" w:rsidR="00B834A2" w:rsidRPr="00B834A2" w:rsidRDefault="00B834A2" w:rsidP="009A3F5E">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9A3F5E" w:rsidRPr="00A859E3">
        <w:rPr>
          <w:rFonts w:ascii="Sylfaen" w:hAnsi="Sylfaen"/>
          <w:sz w:val="24"/>
          <w:szCs w:val="24"/>
        </w:rPr>
        <w:tab/>
      </w:r>
      <w:r w:rsidRPr="00B834A2">
        <w:rPr>
          <w:rFonts w:ascii="Sylfaen" w:hAnsi="Sylfaen"/>
          <w:sz w:val="24"/>
          <w:szCs w:val="24"/>
        </w:rPr>
        <w:t>«Նմուշ 2»-ի նկատմամբ արձագանքի առկայություն դրսեւորած թեստ օբյեկտների թիվը (4.2.3 բաժին).</w:t>
      </w:r>
    </w:p>
    <w:p w14:paraId="28EBF509"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е՝ բնական լոգարիթմի հիմքը.</w:t>
      </w:r>
    </w:p>
    <w:p w14:paraId="7F2422F3" w14:textId="77777777" w:rsidR="00B834A2" w:rsidRPr="00B834A2" w:rsidRDefault="00DA2D5E"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hAnsi="Sylfaen"/>
          <w:sz w:val="24"/>
          <w:szCs w:val="24"/>
        </w:rPr>
        <w:t>f</w:t>
      </w:r>
      <w:r w:rsidR="00B834A2" w:rsidRPr="00B834A2">
        <w:rPr>
          <w:rFonts w:ascii="Sylfaen" w:hAnsi="Sylfaen"/>
          <w:sz w:val="24"/>
          <w:szCs w:val="24"/>
        </w:rPr>
        <w:t xml:space="preserve">՝ ազատության աստիճանների թիվը. </w:t>
      </w:r>
    </w:p>
    <w:p w14:paraId="285DBC77"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h՝ փորձարկման ժամանակ նմուշների թիվը, ներառյալ` ստանդարտ նմուշը (3.2.8 բաժին).</w:t>
      </w:r>
      <w:r w:rsidRPr="00B834A2">
        <w:rPr>
          <w:rStyle w:val="Bodytext31Sylfaen9"/>
          <w:sz w:val="24"/>
          <w:szCs w:val="24"/>
        </w:rPr>
        <w:t xml:space="preserve"> </w:t>
      </w:r>
    </w:p>
    <w:p w14:paraId="2F13E232"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k՝ փորձարկման ժամանակ նմուշների թիվը (ներառյալ ստանդարտ նմուշը)՝ բազմապատկած փորձարկման ժամանակ դեղաչափերի թվով.</w:t>
      </w:r>
    </w:p>
    <w:p w14:paraId="28D95E26"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lastRenderedPageBreak/>
        <w:t>n՝ խմբում արձագանքների թիվը.</w:t>
      </w:r>
      <w:r>
        <w:rPr>
          <w:rFonts w:ascii="Sylfaen" w:hAnsi="Sylfaen"/>
          <w:sz w:val="24"/>
          <w:szCs w:val="24"/>
        </w:rPr>
        <w:t xml:space="preserve"> </w:t>
      </w:r>
    </w:p>
    <w:p w14:paraId="35FDA44F"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р՝ նշանակալիության մակարդակը.</w:t>
      </w:r>
      <w:r w:rsidRPr="00B834A2">
        <w:rPr>
          <w:rStyle w:val="Bodytext31Sylfaen9"/>
          <w:sz w:val="24"/>
          <w:szCs w:val="24"/>
        </w:rPr>
        <w:t xml:space="preserve"> </w:t>
      </w:r>
    </w:p>
    <w:p w14:paraId="5E952FA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r՝ աղյուսակում տողերի թիվը (4.2.3 բաժին).</w:t>
      </w:r>
      <w:r w:rsidRPr="00B834A2">
        <w:rPr>
          <w:rStyle w:val="Bodytext31Sylfaen9"/>
          <w:sz w:val="24"/>
          <w:szCs w:val="24"/>
        </w:rPr>
        <w:t xml:space="preserve"> </w:t>
      </w:r>
    </w:p>
    <w:p w14:paraId="1C5137E4"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s</w:t>
      </w:r>
      <w:r w:rsidRPr="00B834A2">
        <w:rPr>
          <w:rStyle w:val="Bodytext31Sylfaen9"/>
          <w:sz w:val="24"/>
          <w:szCs w:val="24"/>
          <w:vertAlign w:val="superscript"/>
        </w:rPr>
        <w:t>2</w:t>
      </w:r>
      <w:r w:rsidRPr="00B834A2">
        <w:rPr>
          <w:rStyle w:val="Bodytext29pt"/>
          <w:sz w:val="24"/>
          <w:szCs w:val="24"/>
        </w:rPr>
        <w:t xml:space="preserve"> </w:t>
      </w:r>
      <w:r w:rsidRPr="00B834A2">
        <w:rPr>
          <w:rStyle w:val="Bodytext31Sylfaen9"/>
          <w:sz w:val="24"/>
          <w:szCs w:val="24"/>
        </w:rPr>
        <w:t>(σ</w:t>
      </w:r>
      <w:r w:rsidRPr="00B834A2">
        <w:rPr>
          <w:rStyle w:val="Bodytext31Sylfaen9"/>
          <w:sz w:val="24"/>
          <w:szCs w:val="24"/>
          <w:vertAlign w:val="superscript"/>
        </w:rPr>
        <w:t>2</w:t>
      </w:r>
      <w:r w:rsidRPr="00B834A2">
        <w:rPr>
          <w:rStyle w:val="Bodytext31Sylfaen9"/>
          <w:sz w:val="24"/>
          <w:szCs w:val="24"/>
        </w:rPr>
        <w:t>)</w:t>
      </w:r>
      <w:r w:rsidRPr="00B834A2">
        <w:rPr>
          <w:rFonts w:ascii="Sylfaen" w:hAnsi="Sylfaen"/>
          <w:sz w:val="24"/>
          <w:szCs w:val="24"/>
        </w:rPr>
        <w:t>՝ դիսպերսիան.</w:t>
      </w:r>
    </w:p>
    <w:p w14:paraId="72D9D7BA"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29pt"/>
          <w:i/>
          <w:sz w:val="24"/>
          <w:szCs w:val="24"/>
        </w:rPr>
        <w:t xml:space="preserve">s </w:t>
      </w:r>
      <w:r w:rsidRPr="00B834A2">
        <w:rPr>
          <w:rStyle w:val="Bodytext31Sylfaen9"/>
          <w:sz w:val="24"/>
          <w:szCs w:val="24"/>
        </w:rPr>
        <w:t>(σ)</w:t>
      </w:r>
      <w:r w:rsidRPr="00B834A2">
        <w:rPr>
          <w:rFonts w:ascii="Sylfaen" w:hAnsi="Sylfaen"/>
          <w:sz w:val="24"/>
          <w:szCs w:val="24"/>
        </w:rPr>
        <w:t>՝ միջին քառակուսային շեղումը.</w:t>
      </w:r>
    </w:p>
    <w:p w14:paraId="2A35F9BA"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s</w:t>
      </w:r>
      <w:r w:rsidRPr="00B834A2">
        <w:rPr>
          <w:rStyle w:val="Bodytext29pt"/>
          <w:i/>
          <w:sz w:val="24"/>
          <w:szCs w:val="24"/>
          <w:vertAlign w:val="subscript"/>
        </w:rPr>
        <w:t>1</w:t>
      </w:r>
      <w:r w:rsidRPr="00B834A2">
        <w:rPr>
          <w:rFonts w:ascii="Sylfaen" w:hAnsi="Sylfaen"/>
          <w:sz w:val="24"/>
          <w:szCs w:val="24"/>
        </w:rPr>
        <w:t>, s</w:t>
      </w:r>
      <w:r w:rsidRPr="00B834A2">
        <w:rPr>
          <w:rStyle w:val="Bodytext29pt"/>
          <w:i/>
          <w:sz w:val="24"/>
          <w:szCs w:val="24"/>
          <w:vertAlign w:val="subscript"/>
        </w:rPr>
        <w:t>2</w:t>
      </w:r>
      <w:r w:rsidRPr="00B834A2">
        <w:rPr>
          <w:rFonts w:ascii="Sylfaen" w:hAnsi="Sylfaen"/>
          <w:sz w:val="24"/>
          <w:szCs w:val="24"/>
        </w:rPr>
        <w:t xml:space="preserve"> եւ s</w:t>
      </w:r>
      <w:r w:rsidRPr="00B834A2">
        <w:rPr>
          <w:rStyle w:val="Bodytext29pt"/>
          <w:i/>
          <w:sz w:val="24"/>
          <w:szCs w:val="24"/>
          <w:vertAlign w:val="subscript"/>
        </w:rPr>
        <w:t>3</w:t>
      </w:r>
      <w:r w:rsidRPr="00B834A2">
        <w:rPr>
          <w:rFonts w:ascii="Sylfaen" w:hAnsi="Sylfaen"/>
          <w:sz w:val="24"/>
          <w:szCs w:val="24"/>
        </w:rPr>
        <w:t xml:space="preserve">՝ </w:t>
      </w:r>
      <w:r w:rsidRPr="00B834A2">
        <w:rPr>
          <w:rStyle w:val="Bodytext31Sylfaen9"/>
          <w:sz w:val="24"/>
          <w:szCs w:val="24"/>
          <w:u w:val="single"/>
        </w:rPr>
        <w:t>S</w:t>
      </w:r>
      <w:r w:rsidRPr="00B834A2">
        <w:rPr>
          <w:rFonts w:ascii="Sylfaen" w:hAnsi="Sylfaen"/>
          <w:sz w:val="24"/>
          <w:szCs w:val="24"/>
        </w:rPr>
        <w:t xml:space="preserve"> ստանդարտ նմուշի փոքր, միջին եւ մեծ դեղաչափը.</w:t>
      </w:r>
    </w:p>
    <w:p w14:paraId="73BA117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t՝ Ստյուդենտի չափորոշիչը, t չափորոշիչը (հավելվածի 2-րդ աղյուսակ).</w:t>
      </w:r>
    </w:p>
    <w:p w14:paraId="443DB5B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u՝ 4.10 բաժնում թեստ օբյեկտի արձագանքը.</w:t>
      </w:r>
    </w:p>
    <w:p w14:paraId="0E71D886" w14:textId="77777777" w:rsidR="00B834A2" w:rsidRPr="00B834A2" w:rsidRDefault="00B834A2" w:rsidP="009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rPr>
        <w:t>u</w:t>
      </w:r>
      <w:r w:rsidRPr="00B834A2">
        <w:rPr>
          <w:rStyle w:val="Bodytext29pt"/>
          <w:i/>
          <w:sz w:val="24"/>
          <w:szCs w:val="24"/>
          <w:vertAlign w:val="subscript"/>
        </w:rPr>
        <w:t>1</w:t>
      </w:r>
      <w:r w:rsidRPr="00B834A2">
        <w:rPr>
          <w:rFonts w:ascii="Sylfaen" w:hAnsi="Sylfaen"/>
          <w:sz w:val="24"/>
          <w:szCs w:val="24"/>
        </w:rPr>
        <w:t>,u</w:t>
      </w:r>
      <w:r w:rsidRPr="00B834A2">
        <w:rPr>
          <w:rStyle w:val="Bodytext29pt"/>
          <w:i/>
          <w:sz w:val="24"/>
          <w:szCs w:val="24"/>
          <w:vertAlign w:val="subscript"/>
        </w:rPr>
        <w:t>2</w:t>
      </w:r>
      <w:r w:rsidRPr="00B834A2">
        <w:rPr>
          <w:rFonts w:ascii="Sylfaen" w:hAnsi="Sylfaen"/>
          <w:sz w:val="24"/>
          <w:szCs w:val="24"/>
        </w:rPr>
        <w:t xml:space="preserve"> եւ u</w:t>
      </w:r>
      <w:r w:rsidRPr="00B834A2">
        <w:rPr>
          <w:rStyle w:val="Bodytext29pt"/>
          <w:i/>
          <w:sz w:val="24"/>
          <w:szCs w:val="24"/>
          <w:vertAlign w:val="subscript"/>
        </w:rPr>
        <w:t>3</w:t>
      </w:r>
      <w:r w:rsidRPr="00B834A2">
        <w:rPr>
          <w:rFonts w:ascii="Sylfaen" w:hAnsi="Sylfaen"/>
          <w:sz w:val="24"/>
          <w:szCs w:val="24"/>
        </w:rPr>
        <w:t xml:space="preserve">՝ </w:t>
      </w:r>
      <w:r w:rsidRPr="00B834A2">
        <w:rPr>
          <w:rStyle w:val="Bodytext31Sylfaen9"/>
          <w:sz w:val="24"/>
          <w:szCs w:val="24"/>
          <w:u w:val="single"/>
        </w:rPr>
        <w:t>U</w:t>
      </w:r>
      <w:r w:rsidRPr="00B834A2">
        <w:rPr>
          <w:rFonts w:ascii="Sylfaen" w:hAnsi="Sylfaen"/>
          <w:sz w:val="24"/>
          <w:szCs w:val="24"/>
        </w:rPr>
        <w:t xml:space="preserve"> փորձարկվող նմուշի փոքր, միջին եւ մեծ դեղաչափը.</w:t>
      </w:r>
    </w:p>
    <w:p w14:paraId="408C3D6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x, у՝ թեստ օբյեկտի արձագանքը կամ դեղաչափի լոգարիթմը (3-րդ բաժին).</w:t>
      </w:r>
    </w:p>
    <w:p w14:paraId="5F1BB4FD"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9A3F5E">
        <w:rPr>
          <w:rStyle w:val="Bodytext31Sylfaen9"/>
          <w:rFonts w:hAnsi="Microsoft Sans Serif" w:cs="Microsoft Sans Serif"/>
          <w:sz w:val="24"/>
          <w:szCs w:val="24"/>
        </w:rPr>
        <w:t>ȳ</w:t>
      </w:r>
      <w:r w:rsidRPr="009A3F5E">
        <w:rPr>
          <w:rStyle w:val="Bodytext29pt"/>
          <w:i/>
          <w:sz w:val="24"/>
          <w:szCs w:val="24"/>
        </w:rPr>
        <w:t xml:space="preserve">s </w:t>
      </w:r>
      <w:r w:rsidRPr="009A3F5E">
        <w:rPr>
          <w:rFonts w:ascii="Sylfaen" w:hAnsi="Sylfaen"/>
          <w:sz w:val="24"/>
          <w:szCs w:val="24"/>
        </w:rPr>
        <w:t xml:space="preserve">եւ </w:t>
      </w:r>
      <w:r w:rsidRPr="009A3F5E">
        <w:rPr>
          <w:rStyle w:val="Bodytext31Sylfaen9"/>
          <w:rFonts w:hAnsi="Microsoft Sans Serif" w:cs="Microsoft Sans Serif"/>
          <w:sz w:val="24"/>
          <w:szCs w:val="24"/>
        </w:rPr>
        <w:t>ȳ</w:t>
      </w:r>
      <w:r w:rsidRPr="009A3F5E">
        <w:rPr>
          <w:rStyle w:val="Bodytext29pt"/>
          <w:i/>
          <w:sz w:val="24"/>
          <w:szCs w:val="24"/>
        </w:rPr>
        <w:t>u</w:t>
      </w:r>
      <w:r w:rsidRPr="009A3F5E">
        <w:rPr>
          <w:rFonts w:ascii="Sylfaen" w:hAnsi="Sylfaen"/>
          <w:sz w:val="24"/>
          <w:szCs w:val="24"/>
        </w:rPr>
        <w:t>՝</w:t>
      </w:r>
      <w:r w:rsidRPr="00B834A2">
        <w:rPr>
          <w:rFonts w:ascii="Sylfaen" w:hAnsi="Sylfaen"/>
          <w:sz w:val="24"/>
          <w:szCs w:val="24"/>
        </w:rPr>
        <w:t xml:space="preserve"> ստանդարտ նմուշի եւ փորձարկող նմուշի նկատմամբ միջին արձագանքը.</w:t>
      </w:r>
    </w:p>
    <w:p w14:paraId="44FB2653"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х</w:t>
      </w:r>
      <w:r w:rsidRPr="00B834A2">
        <w:rPr>
          <w:rStyle w:val="Bodytext2Italic"/>
          <w:sz w:val="24"/>
          <w:szCs w:val="24"/>
          <w:vertAlign w:val="superscript"/>
        </w:rPr>
        <w:t xml:space="preserve">2 </w:t>
      </w:r>
      <w:r w:rsidRPr="00B834A2">
        <w:rPr>
          <w:rFonts w:ascii="Sylfaen" w:hAnsi="Sylfaen"/>
          <w:sz w:val="24"/>
          <w:szCs w:val="24"/>
        </w:rPr>
        <w:t>՝ չի-քառակուսու [chi-square] չափորոշչի արժեքը.</w:t>
      </w:r>
    </w:p>
    <w:p w14:paraId="71FA24E0"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А, В, С եւ D՝ արձագանքի առկայություն կամ բացակայություն դրսեւորած թեստ օբյեկտների թիվը (4.2.3 բաժին). </w:t>
      </w:r>
    </w:p>
    <w:p w14:paraId="2465A6B4"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A</w:t>
      </w:r>
      <w:r w:rsidRPr="00B834A2">
        <w:rPr>
          <w:rStyle w:val="Bodytext2Italic"/>
          <w:sz w:val="24"/>
          <w:szCs w:val="24"/>
          <w:vertAlign w:val="subscript"/>
        </w:rPr>
        <w:t>U</w:t>
      </w:r>
      <w:r w:rsidRPr="00B834A2">
        <w:rPr>
          <w:rFonts w:ascii="Sylfaen" w:hAnsi="Sylfaen"/>
          <w:sz w:val="24"/>
          <w:szCs w:val="24"/>
        </w:rPr>
        <w:t>՝ փորձարկվող նմուշի ակնկալվող ակտիվությունը.</w:t>
      </w:r>
    </w:p>
    <w:p w14:paraId="6AB90EA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2Italic"/>
          <w:sz w:val="24"/>
          <w:szCs w:val="24"/>
        </w:rPr>
        <w:t>А</w:t>
      </w:r>
      <w:r w:rsidRPr="00B834A2">
        <w:rPr>
          <w:rStyle w:val="Bodytext2Italic"/>
          <w:sz w:val="24"/>
          <w:szCs w:val="24"/>
          <w:vertAlign w:val="subscript"/>
        </w:rPr>
        <w:t>1</w:t>
      </w:r>
      <w:r w:rsidRPr="00B834A2">
        <w:rPr>
          <w:rStyle w:val="Bodytext31Sylfaen9"/>
          <w:sz w:val="24"/>
          <w:szCs w:val="24"/>
        </w:rPr>
        <w:t xml:space="preserve"> եւ </w:t>
      </w:r>
      <w:r w:rsidRPr="00B834A2">
        <w:rPr>
          <w:rStyle w:val="Bodytext2Italic"/>
          <w:sz w:val="24"/>
          <w:szCs w:val="24"/>
        </w:rPr>
        <w:t>А</w:t>
      </w:r>
      <w:r w:rsidRPr="00B834A2">
        <w:rPr>
          <w:rStyle w:val="Bodytext2Italic"/>
          <w:sz w:val="24"/>
          <w:szCs w:val="24"/>
          <w:vertAlign w:val="subscript"/>
        </w:rPr>
        <w:t>0</w:t>
      </w:r>
      <w:r w:rsidRPr="00B834A2">
        <w:rPr>
          <w:rFonts w:ascii="Sylfaen" w:hAnsi="Sylfaen"/>
          <w:sz w:val="24"/>
          <w:szCs w:val="24"/>
        </w:rPr>
        <w:t>՝ միջին մահացու դեղաչափի հաշվարկման համար գործակիցները (4.2.1 բաժին).</w:t>
      </w:r>
    </w:p>
    <w:p w14:paraId="5873C62D"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В՝ յուրաքանչյուր կենդանու համար 2 օրվա արձագանքների գումարը (3.1.1.4 բաժին).</w:t>
      </w:r>
    </w:p>
    <w:p w14:paraId="6C869E50" w14:textId="77777777" w:rsidR="00B834A2" w:rsidRPr="00B834A2" w:rsidRDefault="00B834A2" w:rsidP="009A3F5E">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9A3F5E" w:rsidRPr="009A3F5E">
        <w:rPr>
          <w:rFonts w:ascii="Sylfaen" w:hAnsi="Sylfaen"/>
          <w:sz w:val="24"/>
          <w:szCs w:val="24"/>
        </w:rPr>
        <w:tab/>
      </w:r>
      <w:r w:rsidRPr="00B834A2">
        <w:rPr>
          <w:rFonts w:ascii="Sylfaen" w:hAnsi="Sylfaen"/>
          <w:sz w:val="24"/>
          <w:szCs w:val="24"/>
        </w:rPr>
        <w:t>ստուգիչ խմբի արձագանքների գումարը (3.2.8 բաժին).</w:t>
      </w:r>
    </w:p>
    <w:p w14:paraId="03744778"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С՝ վստահելի միջակայքի հաշվարկման համար կիրառվող վիճակագրությունը.</w:t>
      </w:r>
    </w:p>
    <w:p w14:paraId="1EE6895B" w14:textId="77777777" w:rsidR="00B834A2" w:rsidRPr="00B834A2" w:rsidRDefault="00B834A2" w:rsidP="009A3F5E">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lastRenderedPageBreak/>
        <w:t>-</w:t>
      </w:r>
      <w:r w:rsidR="009A3F5E" w:rsidRPr="009A3F5E">
        <w:rPr>
          <w:rFonts w:ascii="Sylfaen" w:hAnsi="Sylfaen"/>
          <w:sz w:val="24"/>
          <w:szCs w:val="24"/>
        </w:rPr>
        <w:tab/>
      </w:r>
      <w:r w:rsidRPr="00B834A2">
        <w:rPr>
          <w:rFonts w:ascii="Sylfaen" w:hAnsi="Sylfaen"/>
          <w:sz w:val="24"/>
          <w:szCs w:val="24"/>
        </w:rPr>
        <w:t xml:space="preserve">պատահական բլոկների մեթոդի (3.2.3 բաժին) եւ լատինական քառակուսու (3.2.4 եւ 3.2.5 բաժիններ) մեջ սյունակների գումարը. </w:t>
      </w:r>
    </w:p>
    <w:p w14:paraId="0D303BD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D՝ փորձարկվող պատրաստուկի դեղաչափը (4.2.1 բաժին). </w:t>
      </w:r>
    </w:p>
    <w:p w14:paraId="0E7410B5"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D՝ «Նմուշ 2»-ի ազդեցության դեպքում էֆեկտի առկայություն դրսեւորած թեստ օբյեկտների թիվը (4.2.3 բաժին).</w:t>
      </w:r>
    </w:p>
    <w:p w14:paraId="15B1975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D</w:t>
      </w:r>
      <w:r w:rsidRPr="00B834A2">
        <w:rPr>
          <w:rStyle w:val="Bodytext31Sylfaen9"/>
          <w:sz w:val="24"/>
          <w:szCs w:val="24"/>
          <w:vertAlign w:val="subscript"/>
        </w:rPr>
        <w:t>I</w:t>
      </w:r>
      <w:r w:rsidRPr="00B834A2">
        <w:rPr>
          <w:rFonts w:ascii="Sylfaen" w:hAnsi="Sylfaen"/>
          <w:sz w:val="24"/>
          <w:szCs w:val="24"/>
        </w:rPr>
        <w:t xml:space="preserve"> եւ D</w:t>
      </w:r>
      <w:r w:rsidRPr="00B834A2">
        <w:rPr>
          <w:rStyle w:val="Bodytext31Sylfaen9"/>
          <w:sz w:val="24"/>
          <w:szCs w:val="24"/>
          <w:vertAlign w:val="subscript"/>
        </w:rPr>
        <w:t>u</w:t>
      </w:r>
      <w:r w:rsidRPr="00B834A2">
        <w:rPr>
          <w:rStyle w:val="Bodytext31Sylfaen9"/>
          <w:sz w:val="24"/>
          <w:szCs w:val="24"/>
        </w:rPr>
        <w:t>՝ կրկնակի խաչաձեւման առաջին եւ երկրորդ օրվա ընթացքում արձագանքների գումարը (3.2.6 բաժին).</w:t>
      </w:r>
    </w:p>
    <w:p w14:paraId="5906D4A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Е՝ «Ռեգրեսիա» ցուցանիշի քառակուսիների գումարը (3.2 բաժին).</w:t>
      </w:r>
    </w:p>
    <w:p w14:paraId="76198094" w14:textId="77777777" w:rsidR="00B834A2" w:rsidRPr="00B834A2" w:rsidRDefault="00B834A2" w:rsidP="00B320E9">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B320E9" w:rsidRPr="00B320E9">
        <w:rPr>
          <w:rFonts w:ascii="Sylfaen" w:hAnsi="Sylfaen"/>
          <w:sz w:val="24"/>
          <w:szCs w:val="24"/>
        </w:rPr>
        <w:tab/>
      </w:r>
      <w:r w:rsidRPr="00B834A2">
        <w:rPr>
          <w:rFonts w:ascii="Sylfaen" w:hAnsi="Sylfaen"/>
          <w:sz w:val="24"/>
          <w:szCs w:val="24"/>
        </w:rPr>
        <w:t>խորշում դիտարկումների ակնկալվող թիվը (4.2.3 բաժին).</w:t>
      </w:r>
    </w:p>
    <w:p w14:paraId="4B66B383"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F՝ Ֆիշերի չափորոշչի արժեքը (ավելի մեծ դիսպերսիայի հարաբերությունը ավելի փոքրի նկատմամբ, հավելվածի 3-րդ աղյուսակ). </w:t>
      </w:r>
    </w:p>
    <w:p w14:paraId="3E018B4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G՝ պայմանների համակցությունները (3.2.8 բաժին).</w:t>
      </w:r>
    </w:p>
    <w:p w14:paraId="5C48B85F"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Н՝ դիսպերսիոն վերլուծության համար բազմապատկիչը (3.2.8 բաժին). </w:t>
      </w:r>
    </w:p>
    <w:p w14:paraId="6CD5FA56"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I ՝ դեղաչափերի հարաբերակցության տասնորդական լոգարիթմը.</w:t>
      </w:r>
    </w:p>
    <w:p w14:paraId="67F1AFAC"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b/>
          <w:sz w:val="24"/>
          <w:szCs w:val="24"/>
        </w:rPr>
      </w:pPr>
      <m:oMath>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s</m:t>
            </m:r>
          </m:sub>
        </m:s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U</m:t>
            </m:r>
          </m:sub>
        </m:s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U</m:t>
            </m:r>
          </m:sub>
        </m:sSub>
      </m:oMath>
      <w:r w:rsidR="00B834A2" w:rsidRPr="00B834A2">
        <w:rPr>
          <w:rFonts w:ascii="Sylfaen" w:hAnsi="Sylfaen"/>
          <w:sz w:val="24"/>
          <w:szCs w:val="24"/>
        </w:rPr>
        <w:t xml:space="preserve">՝ դիսպերսիոն վերլուծության ժամանակ </w:t>
      </w:r>
      <w:r w:rsidR="00B834A2" w:rsidRPr="00B834A2">
        <w:rPr>
          <w:rFonts w:ascii="Sylfaen" w:hAnsi="Sylfaen"/>
          <w:i/>
          <w:sz w:val="24"/>
          <w:szCs w:val="24"/>
        </w:rPr>
        <w:t>«Ոչ գծայնություն»</w:t>
      </w:r>
      <w:r w:rsidR="00B834A2" w:rsidRPr="00B834A2">
        <w:rPr>
          <w:rFonts w:ascii="Sylfaen" w:hAnsi="Sylfaen"/>
          <w:sz w:val="24"/>
          <w:szCs w:val="24"/>
        </w:rPr>
        <w:t xml:space="preserve"> ցուցանիշի հաշվարկման համար վիճակագրությունը </w:t>
      </w:r>
      <w:r w:rsidR="00B834A2" w:rsidRPr="00B834A2">
        <w:rPr>
          <w:rStyle w:val="Bodytext31Sylfaen9"/>
          <w:sz w:val="24"/>
          <w:szCs w:val="24"/>
        </w:rPr>
        <w:t>(3.2.8 բաժին).</w:t>
      </w:r>
      <w:r w:rsidR="00B834A2" w:rsidRPr="00B834A2">
        <w:rPr>
          <w:rFonts w:ascii="Sylfaen" w:hAnsi="Sylfaen"/>
          <w:sz w:val="24"/>
          <w:szCs w:val="24"/>
        </w:rPr>
        <w:t xml:space="preserve"> </w:t>
      </w:r>
    </w:p>
    <w:p w14:paraId="3DED5232" w14:textId="77777777" w:rsidR="00B834A2" w:rsidRPr="00B834A2" w:rsidRDefault="00B834A2" w:rsidP="009A3F5E">
      <w:pPr>
        <w:pStyle w:val="Bodytext20"/>
        <w:shd w:val="clear" w:color="auto" w:fill="auto"/>
        <w:spacing w:before="0" w:after="160" w:line="360" w:lineRule="auto"/>
        <w:ind w:firstLine="567"/>
        <w:jc w:val="both"/>
        <w:rPr>
          <w:rStyle w:val="Bodytext29pt"/>
          <w:sz w:val="24"/>
          <w:szCs w:val="24"/>
        </w:rPr>
      </w:pPr>
      <w:r w:rsidRPr="00B834A2">
        <w:rPr>
          <w:rFonts w:ascii="Sylfaen" w:hAnsi="Sylfaen"/>
          <w:sz w:val="24"/>
          <w:szCs w:val="24"/>
        </w:rPr>
        <w:t>K՝ դիսպերսիոն վերլուծության համար ուղղիչ գործակիցը.</w:t>
      </w:r>
    </w:p>
    <w:p w14:paraId="5477138A" w14:textId="77777777" w:rsidR="00B834A2" w:rsidRPr="00B834A2" w:rsidRDefault="00B834A2" w:rsidP="009A3F5E">
      <w:pPr>
        <w:pStyle w:val="Bodytext20"/>
        <w:shd w:val="clear" w:color="auto" w:fill="auto"/>
        <w:spacing w:before="0" w:after="160" w:line="360" w:lineRule="auto"/>
        <w:ind w:firstLine="567"/>
        <w:jc w:val="both"/>
        <w:rPr>
          <w:rStyle w:val="Bodytext29pt"/>
          <w:sz w:val="24"/>
          <w:szCs w:val="24"/>
        </w:rPr>
      </w:pPr>
      <w:r w:rsidRPr="00B834A2">
        <w:rPr>
          <w:rFonts w:ascii="Sylfaen" w:hAnsi="Sylfaen"/>
          <w:sz w:val="24"/>
          <w:szCs w:val="24"/>
        </w:rPr>
        <w:t>L՝ կենսաբանական ակտիվության վերին եւ ստորին վստահելի սահմանի լոգարիթմների տարբերությունը.</w:t>
      </w:r>
    </w:p>
    <w:p w14:paraId="77358AFE" w14:textId="77777777" w:rsidR="00B834A2" w:rsidRPr="00B834A2" w:rsidRDefault="00B834A2" w:rsidP="009A3F5E">
      <w:pPr>
        <w:pStyle w:val="Bodytext20"/>
        <w:shd w:val="clear" w:color="auto" w:fill="auto"/>
        <w:spacing w:before="0" w:after="160" w:line="360" w:lineRule="auto"/>
        <w:ind w:firstLine="567"/>
        <w:jc w:val="both"/>
        <w:rPr>
          <w:rStyle w:val="Bodytext29pt"/>
          <w:sz w:val="24"/>
          <w:szCs w:val="24"/>
        </w:rPr>
      </w:pPr>
      <w:r w:rsidRPr="00B834A2">
        <w:rPr>
          <w:rFonts w:ascii="Sylfaen" w:hAnsi="Sylfaen"/>
          <w:sz w:val="24"/>
          <w:szCs w:val="24"/>
        </w:rPr>
        <w:t>L</w:t>
      </w:r>
      <w:r w:rsidRPr="00B834A2">
        <w:rPr>
          <w:rStyle w:val="Bodytext29pt"/>
          <w:i/>
          <w:sz w:val="24"/>
          <w:szCs w:val="24"/>
          <w:vertAlign w:val="subscript"/>
        </w:rPr>
        <w:t xml:space="preserve">S </w:t>
      </w:r>
      <w:r w:rsidRPr="00B834A2">
        <w:rPr>
          <w:rStyle w:val="Bodytext29pt"/>
          <w:i/>
          <w:sz w:val="24"/>
          <w:szCs w:val="24"/>
        </w:rPr>
        <w:t>եւ</w:t>
      </w:r>
      <w:r w:rsidRPr="00B834A2">
        <w:rPr>
          <w:rStyle w:val="Bodytext29pt"/>
          <w:i/>
          <w:sz w:val="24"/>
          <w:szCs w:val="24"/>
          <w:vertAlign w:val="subscript"/>
        </w:rPr>
        <w:t xml:space="preserve"> </w:t>
      </w:r>
      <w:r w:rsidRPr="00B834A2">
        <w:rPr>
          <w:rFonts w:ascii="Sylfaen" w:hAnsi="Sylfaen"/>
          <w:sz w:val="24"/>
          <w:szCs w:val="24"/>
        </w:rPr>
        <w:t>L</w:t>
      </w:r>
      <w:r w:rsidRPr="00B834A2">
        <w:rPr>
          <w:rStyle w:val="Bodytext29pt"/>
          <w:i/>
          <w:sz w:val="24"/>
          <w:szCs w:val="24"/>
          <w:vertAlign w:val="subscript"/>
        </w:rPr>
        <w:t>U</w:t>
      </w:r>
      <w:r w:rsidRPr="00B834A2">
        <w:rPr>
          <w:rFonts w:ascii="Sylfaen" w:hAnsi="Sylfaen"/>
          <w:sz w:val="24"/>
          <w:szCs w:val="24"/>
        </w:rPr>
        <w:t>՝ ստանդարտ նմուշի եւ փորձարկվող նմուշի գծային կոնտրաստները.</w:t>
      </w:r>
    </w:p>
    <w:p w14:paraId="5C2227C2" w14:textId="77777777" w:rsidR="00B834A2" w:rsidRPr="00B834A2" w:rsidRDefault="00B834A2" w:rsidP="00B320E9">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B320E9" w:rsidRPr="00B320E9">
        <w:rPr>
          <w:rFonts w:ascii="Sylfaen" w:hAnsi="Sylfaen"/>
          <w:sz w:val="24"/>
          <w:szCs w:val="24"/>
        </w:rPr>
        <w:tab/>
      </w:r>
      <w:r w:rsidRPr="00B834A2">
        <w:rPr>
          <w:rFonts w:ascii="Sylfaen" w:hAnsi="Sylfaen"/>
          <w:sz w:val="24"/>
          <w:szCs w:val="24"/>
        </w:rPr>
        <w:t>ստանդարտ նմուշի եւ փորձարկվող նմուշի գծային արտադրյալները (3.2.8 բաժին).</w:t>
      </w:r>
    </w:p>
    <w:p w14:paraId="255C367D" w14:textId="77777777" w:rsidR="00B834A2" w:rsidRPr="00B834A2" w:rsidRDefault="00B834A2" w:rsidP="009A3F5E">
      <w:pPr>
        <w:pStyle w:val="Bodytext20"/>
        <w:shd w:val="clear" w:color="auto" w:fill="auto"/>
        <w:spacing w:before="0" w:after="160" w:line="360" w:lineRule="auto"/>
        <w:ind w:firstLine="567"/>
        <w:jc w:val="both"/>
        <w:rPr>
          <w:rStyle w:val="Bodytext29pt"/>
          <w:sz w:val="24"/>
          <w:szCs w:val="24"/>
        </w:rPr>
      </w:pPr>
      <w:r w:rsidRPr="00B834A2">
        <w:rPr>
          <w:rFonts w:ascii="Sylfaen" w:hAnsi="Sylfaen"/>
          <w:sz w:val="24"/>
          <w:szCs w:val="24"/>
        </w:rPr>
        <w:t>M</w:t>
      </w:r>
      <w:r w:rsidRPr="00B834A2">
        <w:rPr>
          <w:rStyle w:val="Bodytext29pt"/>
          <w:i/>
          <w:sz w:val="24"/>
          <w:szCs w:val="24"/>
          <w:vertAlign w:val="subscript"/>
        </w:rPr>
        <w:t xml:space="preserve">U </w:t>
      </w:r>
      <w:r w:rsidRPr="00B834A2">
        <w:rPr>
          <w:rFonts w:ascii="Sylfaen" w:hAnsi="Sylfaen"/>
          <w:sz w:val="24"/>
          <w:szCs w:val="24"/>
        </w:rPr>
        <w:t>՝ փորձարկվող նմուշի կենսաբանական ակտիվության տասնորդական լոգարիթմը.</w:t>
      </w:r>
    </w:p>
    <w:p w14:paraId="5DA31A4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lastRenderedPageBreak/>
        <w:t>M</w:t>
      </w:r>
      <w:r w:rsidRPr="00B834A2">
        <w:rPr>
          <w:rStyle w:val="Bodytext29pt"/>
          <w:i/>
          <w:sz w:val="24"/>
          <w:szCs w:val="24"/>
          <w:vertAlign w:val="subscript"/>
        </w:rPr>
        <w:t xml:space="preserve">U’ </w:t>
      </w:r>
      <w:r w:rsidRPr="00B834A2">
        <w:rPr>
          <w:rFonts w:ascii="Sylfaen" w:hAnsi="Sylfaen"/>
          <w:sz w:val="24"/>
          <w:szCs w:val="24"/>
        </w:rPr>
        <w:t>՝ մեծությունը, որով փորձարկվող նմուշի գտնված կենսաբանական ակտիվությունը տարբերվում է դրա ակնկալվող կենսաբանական ակտիվությունից (լոգարիթմի տեսքով).</w:t>
      </w:r>
    </w:p>
    <w:p w14:paraId="5534BAFD"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N՝ փորձի ժամանակ արձագանքների ընդհանուր թիվը.</w:t>
      </w:r>
    </w:p>
    <w:p w14:paraId="62F64C88"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О - խորշում դիտարկումների փաստացի թիվը (4.2.3 բաժին).</w:t>
      </w:r>
    </w:p>
    <w:p w14:paraId="1DE2E855"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P՝ վստահելի հավանականությունը.</w:t>
      </w:r>
    </w:p>
    <w:p w14:paraId="24F7C013" w14:textId="77777777" w:rsidR="00B834A2" w:rsidRPr="00B834A2" w:rsidRDefault="00B834A2" w:rsidP="00BF76DA">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BF76DA" w:rsidRPr="00A859E3">
        <w:rPr>
          <w:rFonts w:ascii="Sylfaen" w:hAnsi="Sylfaen"/>
          <w:sz w:val="24"/>
          <w:szCs w:val="24"/>
        </w:rPr>
        <w:tab/>
      </w:r>
      <w:r w:rsidRPr="00B834A2">
        <w:rPr>
          <w:rFonts w:ascii="Sylfaen" w:hAnsi="Sylfaen"/>
          <w:sz w:val="24"/>
          <w:szCs w:val="24"/>
        </w:rPr>
        <w:t>պրոբիտի արժեքը (4.2.1 բաժին).</w:t>
      </w:r>
    </w:p>
    <w:p w14:paraId="4F905F69" w14:textId="77777777" w:rsidR="00B834A2" w:rsidRPr="00B834A2" w:rsidRDefault="00B834A2" w:rsidP="00BF76DA">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BF76DA" w:rsidRPr="00A859E3">
        <w:rPr>
          <w:rFonts w:ascii="Sylfaen" w:hAnsi="Sylfaen"/>
          <w:sz w:val="24"/>
          <w:szCs w:val="24"/>
        </w:rPr>
        <w:tab/>
      </w:r>
      <w:r w:rsidRPr="00B834A2">
        <w:rPr>
          <w:rFonts w:ascii="Sylfaen" w:hAnsi="Sylfaen"/>
          <w:sz w:val="24"/>
          <w:szCs w:val="24"/>
        </w:rPr>
        <w:t>Ֆիշերի բանաձեւով հաշվարկվող վիճակագրությունը (4.2.3 բաժին).</w:t>
      </w:r>
    </w:p>
    <w:p w14:paraId="70A9160F"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Q՝ կոպիտ սխալների հայտնաբերման ստուգիչ չափորոշիչը.</w:t>
      </w:r>
    </w:p>
    <w:p w14:paraId="21C03244"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Q</w:t>
      </w:r>
      <w:r w:rsidRPr="00B834A2">
        <w:rPr>
          <w:rStyle w:val="Bodytext2Italic"/>
          <w:sz w:val="24"/>
          <w:szCs w:val="24"/>
          <w:vertAlign w:val="subscript"/>
        </w:rPr>
        <w:t>s</w:t>
      </w:r>
      <w:r w:rsidRPr="00B834A2">
        <w:rPr>
          <w:rFonts w:ascii="Sylfaen" w:hAnsi="Sylfaen"/>
          <w:sz w:val="24"/>
          <w:szCs w:val="24"/>
        </w:rPr>
        <w:t xml:space="preserve"> եւ Q</w:t>
      </w:r>
      <w:r w:rsidRPr="00B834A2">
        <w:rPr>
          <w:rStyle w:val="Bodytext2Italic"/>
          <w:sz w:val="24"/>
          <w:szCs w:val="24"/>
          <w:vertAlign w:val="subscript"/>
        </w:rPr>
        <w:t>U</w:t>
      </w:r>
      <w:r w:rsidRPr="00B834A2">
        <w:rPr>
          <w:rFonts w:ascii="Sylfaen" w:hAnsi="Sylfaen"/>
          <w:sz w:val="24"/>
          <w:szCs w:val="24"/>
        </w:rPr>
        <w:t>՝ քառուկուսային կոնտրաստը՝ դիսպերսիոն վերլուծության ժամանակ ստանդարտ նմուշի եւ փորձարկվող նմուշի համար.</w:t>
      </w:r>
    </w:p>
    <w:p w14:paraId="6555151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R՝ պատահական բլոկների մեթոդում բլոկների գումարը, լատինական քառակուսու մեթոդում տողերի գումարը (3.1.1.3 բաժին).</w:t>
      </w:r>
    </w:p>
    <w:p w14:paraId="0C16407D" w14:textId="77777777" w:rsidR="00B834A2" w:rsidRPr="00B834A2" w:rsidRDefault="00B834A2" w:rsidP="00BF76DA">
      <w:pPr>
        <w:pStyle w:val="Bodytext20"/>
        <w:shd w:val="clear" w:color="auto" w:fill="auto"/>
        <w:tabs>
          <w:tab w:val="left" w:pos="1134"/>
        </w:tabs>
        <w:spacing w:before="0" w:after="160" w:line="360" w:lineRule="auto"/>
        <w:ind w:firstLine="567"/>
        <w:jc w:val="both"/>
        <w:rPr>
          <w:rStyle w:val="Bodytext31Sylfaen9"/>
          <w:sz w:val="24"/>
          <w:szCs w:val="24"/>
        </w:rPr>
      </w:pPr>
      <w:r w:rsidRPr="00B834A2">
        <w:rPr>
          <w:rFonts w:ascii="Sylfaen" w:hAnsi="Sylfaen"/>
          <w:sz w:val="24"/>
          <w:szCs w:val="24"/>
        </w:rPr>
        <w:t>-</w:t>
      </w:r>
      <w:r w:rsidR="00BF76DA" w:rsidRPr="00BF76DA">
        <w:rPr>
          <w:rFonts w:ascii="Sylfaen" w:hAnsi="Sylfaen"/>
          <w:sz w:val="24"/>
          <w:szCs w:val="24"/>
        </w:rPr>
        <w:tab/>
      </w:r>
      <w:r w:rsidRPr="00B834A2">
        <w:rPr>
          <w:rFonts w:ascii="Sylfaen" w:hAnsi="Sylfaen"/>
          <w:sz w:val="24"/>
          <w:szCs w:val="24"/>
        </w:rPr>
        <w:t>անկյունային գործակիցների հարաբերությունը (3.1.2 բաժին).</w:t>
      </w:r>
    </w:p>
    <w:p w14:paraId="4CB4B2EE"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R</w:t>
      </w:r>
      <w:r w:rsidRPr="00B834A2">
        <w:rPr>
          <w:rStyle w:val="Bodytext2Italic"/>
          <w:sz w:val="24"/>
          <w:szCs w:val="24"/>
          <w:vertAlign w:val="subscript"/>
        </w:rPr>
        <w:t xml:space="preserve">U </w:t>
      </w:r>
      <w:r w:rsidRPr="00B834A2">
        <w:rPr>
          <w:rFonts w:ascii="Sylfaen" w:hAnsi="Sylfaen"/>
          <w:sz w:val="24"/>
          <w:szCs w:val="24"/>
        </w:rPr>
        <w:t>՝ փորձարկվող նմուշի գտնված կենսաբանական</w:t>
      </w:r>
      <w:r>
        <w:rPr>
          <w:rFonts w:ascii="Sylfaen" w:hAnsi="Sylfaen"/>
          <w:sz w:val="24"/>
          <w:szCs w:val="24"/>
        </w:rPr>
        <w:t xml:space="preserve"> </w:t>
      </w:r>
      <w:r w:rsidRPr="00B834A2">
        <w:rPr>
          <w:rFonts w:ascii="Sylfaen" w:hAnsi="Sylfaen"/>
          <w:sz w:val="24"/>
          <w:szCs w:val="24"/>
        </w:rPr>
        <w:t xml:space="preserve">ակտիվությունը </w:t>
      </w:r>
      <w:r w:rsidRPr="00B834A2">
        <w:rPr>
          <w:rStyle w:val="Bodytext31Sylfaen9"/>
          <w:sz w:val="24"/>
          <w:szCs w:val="24"/>
        </w:rPr>
        <w:t>(</w:t>
      </w:r>
      <w:r w:rsidRPr="00B834A2">
        <w:rPr>
          <w:rStyle w:val="Bodytext285pt"/>
          <w:spacing w:val="0"/>
          <w:sz w:val="24"/>
          <w:szCs w:val="24"/>
        </w:rPr>
        <w:t>10</w:t>
      </w:r>
      <w:r w:rsidRPr="00B834A2">
        <w:rPr>
          <w:rStyle w:val="Bodytext285pt"/>
          <w:spacing w:val="0"/>
          <w:sz w:val="24"/>
          <w:szCs w:val="24"/>
          <w:vertAlign w:val="superscript"/>
        </w:rPr>
        <w:t>Mu</w:t>
      </w:r>
      <w:r w:rsidRPr="00B834A2">
        <w:rPr>
          <w:rStyle w:val="Bodytext31Sylfaen9"/>
          <w:sz w:val="24"/>
          <w:szCs w:val="24"/>
        </w:rPr>
        <w:t>).</w:t>
      </w:r>
    </w:p>
    <w:p w14:paraId="4B414527"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u w:val="single"/>
        </w:rPr>
      </w:pPr>
      <w:r w:rsidRPr="00B834A2">
        <w:rPr>
          <w:rFonts w:ascii="Sylfaen" w:hAnsi="Sylfaen"/>
          <w:sz w:val="24"/>
          <w:szCs w:val="24"/>
          <w:u w:val="single"/>
        </w:rPr>
        <w:t>S</w:t>
      </w:r>
      <w:r w:rsidRPr="00B834A2">
        <w:rPr>
          <w:rFonts w:ascii="Sylfaen" w:hAnsi="Sylfaen"/>
          <w:sz w:val="24"/>
          <w:szCs w:val="24"/>
        </w:rPr>
        <w:t>՝ ստանդարտ նմուշը.</w:t>
      </w:r>
    </w:p>
    <w:p w14:paraId="2206CA34"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Fonts w:ascii="Sylfaen" w:hAnsi="Sylfaen"/>
          <w:sz w:val="24"/>
          <w:szCs w:val="24"/>
        </w:rPr>
        <w:t>S՝ ստանդարտ նմուշի նկատմամբ գումարային արձագանքը.</w:t>
      </w:r>
    </w:p>
    <w:p w14:paraId="7987E8FB" w14:textId="77777777" w:rsidR="00B834A2" w:rsidRPr="00B834A2" w:rsidRDefault="00B834A2" w:rsidP="009A3F5E">
      <w:pPr>
        <w:pStyle w:val="Bodytext20"/>
        <w:shd w:val="clear" w:color="auto" w:fill="auto"/>
        <w:spacing w:before="0" w:after="160" w:line="360" w:lineRule="auto"/>
        <w:ind w:firstLine="567"/>
        <w:jc w:val="both"/>
        <w:rPr>
          <w:rStyle w:val="Bodytext285pt"/>
          <w:spacing w:val="0"/>
          <w:sz w:val="24"/>
          <w:szCs w:val="24"/>
          <w:vertAlign w:val="subscript"/>
        </w:rPr>
      </w:pPr>
      <w:r w:rsidRPr="00B834A2">
        <w:rPr>
          <w:rStyle w:val="Bodytext2Italic"/>
          <w:sz w:val="24"/>
          <w:szCs w:val="24"/>
        </w:rPr>
        <w:t>S</w:t>
      </w:r>
      <w:r w:rsidRPr="00B834A2">
        <w:rPr>
          <w:rStyle w:val="Bodytext2Italic"/>
          <w:sz w:val="24"/>
          <w:szCs w:val="24"/>
          <w:vertAlign w:val="subscript"/>
        </w:rPr>
        <w:t>1,</w:t>
      </w:r>
      <w:r w:rsidRPr="00B834A2">
        <w:rPr>
          <w:rStyle w:val="Bodytext31Sylfaen9"/>
          <w:sz w:val="24"/>
          <w:szCs w:val="24"/>
        </w:rPr>
        <w:t xml:space="preserve"> S</w:t>
      </w:r>
      <w:r w:rsidRPr="00B834A2">
        <w:rPr>
          <w:rStyle w:val="Bodytext31Sylfaen9"/>
          <w:sz w:val="24"/>
          <w:szCs w:val="24"/>
          <w:vertAlign w:val="subscript"/>
        </w:rPr>
        <w:t>2</w:t>
      </w:r>
      <w:r w:rsidRPr="00B834A2">
        <w:rPr>
          <w:rStyle w:val="Bodytext31Sylfaen9"/>
          <w:sz w:val="24"/>
          <w:szCs w:val="24"/>
        </w:rPr>
        <w:t xml:space="preserve"> եւ S</w:t>
      </w:r>
      <w:r w:rsidRPr="00B834A2">
        <w:rPr>
          <w:rStyle w:val="Bodytext285pt"/>
          <w:spacing w:val="0"/>
          <w:sz w:val="24"/>
          <w:szCs w:val="24"/>
          <w:vertAlign w:val="subscript"/>
        </w:rPr>
        <w:t xml:space="preserve">3 </w:t>
      </w:r>
      <w:r w:rsidRPr="00B834A2">
        <w:rPr>
          <w:rFonts w:ascii="Sylfaen" w:hAnsi="Sylfaen"/>
          <w:sz w:val="24"/>
          <w:szCs w:val="24"/>
        </w:rPr>
        <w:t xml:space="preserve">՝ </w:t>
      </w:r>
      <w:r w:rsidRPr="00B834A2">
        <w:rPr>
          <w:rStyle w:val="Bodytext31Sylfaen9"/>
          <w:sz w:val="24"/>
          <w:szCs w:val="24"/>
          <w:u w:val="single"/>
        </w:rPr>
        <w:t>S</w:t>
      </w:r>
      <w:r w:rsidRPr="00B834A2">
        <w:rPr>
          <w:rFonts w:ascii="Sylfaen" w:hAnsi="Sylfaen"/>
          <w:sz w:val="24"/>
          <w:szCs w:val="24"/>
        </w:rPr>
        <w:t xml:space="preserve"> ստանդարտ նմուշի փոքր, միջին եւ մեծ դեղաչափի նկատմամբ գումարային արձագանքները.</w:t>
      </w:r>
    </w:p>
    <w:p w14:paraId="6E01D8F2" w14:textId="77777777" w:rsidR="00B834A2" w:rsidRPr="00B834A2" w:rsidRDefault="00B834A2" w:rsidP="009A3F5E">
      <w:pPr>
        <w:pStyle w:val="Bodytext20"/>
        <w:shd w:val="clear" w:color="auto" w:fill="auto"/>
        <w:spacing w:before="0" w:after="160" w:line="360" w:lineRule="auto"/>
        <w:ind w:firstLine="567"/>
        <w:jc w:val="both"/>
        <w:rPr>
          <w:rStyle w:val="Bodytext285pt"/>
          <w:spacing w:val="0"/>
          <w:sz w:val="24"/>
          <w:szCs w:val="24"/>
          <w:u w:val="single"/>
          <w:vertAlign w:val="subscript"/>
        </w:rPr>
      </w:pPr>
      <w:r w:rsidRPr="00B834A2">
        <w:rPr>
          <w:rFonts w:ascii="Sylfaen" w:hAnsi="Sylfaen"/>
          <w:sz w:val="24"/>
          <w:szCs w:val="24"/>
          <w:u w:val="single"/>
        </w:rPr>
        <w:t>U</w:t>
      </w:r>
      <w:r w:rsidRPr="00B834A2">
        <w:rPr>
          <w:rFonts w:ascii="Sylfaen" w:hAnsi="Sylfaen"/>
          <w:sz w:val="24"/>
          <w:szCs w:val="24"/>
        </w:rPr>
        <w:t>՝ փորձարկվող նմուշը.</w:t>
      </w:r>
    </w:p>
    <w:p w14:paraId="57ECAE2E" w14:textId="77777777" w:rsidR="00B834A2" w:rsidRPr="00B834A2" w:rsidRDefault="00B834A2" w:rsidP="009A3F5E">
      <w:pPr>
        <w:pStyle w:val="Bodytext20"/>
        <w:shd w:val="clear" w:color="auto" w:fill="auto"/>
        <w:spacing w:before="0" w:after="160" w:line="360" w:lineRule="auto"/>
        <w:ind w:firstLine="567"/>
        <w:jc w:val="both"/>
        <w:rPr>
          <w:rStyle w:val="Bodytext285pt"/>
          <w:spacing w:val="0"/>
          <w:sz w:val="24"/>
          <w:szCs w:val="24"/>
          <w:vertAlign w:val="subscript"/>
        </w:rPr>
      </w:pPr>
      <w:r w:rsidRPr="00B834A2">
        <w:rPr>
          <w:rFonts w:ascii="Sylfaen" w:hAnsi="Sylfaen"/>
          <w:sz w:val="24"/>
          <w:szCs w:val="24"/>
        </w:rPr>
        <w:t>U՝ փորձարկվող նմուշի նկատմամբ գումարային արձագանքը.</w:t>
      </w:r>
    </w:p>
    <w:p w14:paraId="2DE2F4B4" w14:textId="77777777" w:rsidR="00B834A2" w:rsidRPr="00B834A2" w:rsidRDefault="00B834A2" w:rsidP="009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rPr>
        <w:t>U</w:t>
      </w:r>
      <w:r w:rsidRPr="00B834A2">
        <w:rPr>
          <w:rStyle w:val="Bodytext2Italic"/>
          <w:sz w:val="24"/>
          <w:szCs w:val="24"/>
          <w:vertAlign w:val="subscript"/>
        </w:rPr>
        <w:t>1</w:t>
      </w:r>
      <w:r w:rsidRPr="00B834A2">
        <w:rPr>
          <w:rFonts w:ascii="Sylfaen" w:hAnsi="Sylfaen"/>
          <w:sz w:val="24"/>
          <w:szCs w:val="24"/>
        </w:rPr>
        <w:t>, U</w:t>
      </w:r>
      <w:r w:rsidRPr="00B834A2">
        <w:rPr>
          <w:rStyle w:val="Bodytext2Italic"/>
          <w:sz w:val="24"/>
          <w:szCs w:val="24"/>
          <w:vertAlign w:val="subscript"/>
        </w:rPr>
        <w:t xml:space="preserve">2 </w:t>
      </w:r>
      <w:r w:rsidRPr="00B834A2">
        <w:rPr>
          <w:rFonts w:ascii="Sylfaen" w:hAnsi="Sylfaen"/>
          <w:sz w:val="24"/>
          <w:szCs w:val="24"/>
        </w:rPr>
        <w:t>и U</w:t>
      </w:r>
      <w:r w:rsidRPr="00B834A2">
        <w:rPr>
          <w:rStyle w:val="Bodytext2Italic"/>
          <w:sz w:val="24"/>
          <w:szCs w:val="24"/>
          <w:vertAlign w:val="subscript"/>
        </w:rPr>
        <w:t>3</w:t>
      </w:r>
      <w:r w:rsidRPr="00B834A2">
        <w:rPr>
          <w:rFonts w:ascii="Sylfaen" w:hAnsi="Sylfaen"/>
          <w:sz w:val="24"/>
          <w:szCs w:val="24"/>
        </w:rPr>
        <w:t xml:space="preserve">՝ </w:t>
      </w:r>
      <w:r w:rsidRPr="00B834A2">
        <w:rPr>
          <w:rStyle w:val="Bodytext31Sylfaen9"/>
          <w:sz w:val="24"/>
          <w:szCs w:val="24"/>
          <w:u w:val="single"/>
        </w:rPr>
        <w:t>U</w:t>
      </w:r>
      <w:r w:rsidRPr="00B834A2">
        <w:rPr>
          <w:rFonts w:ascii="Sylfaen" w:hAnsi="Sylfaen"/>
          <w:sz w:val="24"/>
          <w:szCs w:val="24"/>
        </w:rPr>
        <w:t xml:space="preserve"> փորձարկվող նմուշի փոքր, միջին եւ մեծ դեղաչափի նկատմամբ գումարային արձագանքները.</w:t>
      </w:r>
    </w:p>
    <w:p w14:paraId="76D256A2" w14:textId="77777777" w:rsidR="001636CE" w:rsidRPr="00DE4F37" w:rsidRDefault="001636CE" w:rsidP="009A3F5E">
      <w:pPr>
        <w:pStyle w:val="Bodytext20"/>
        <w:shd w:val="clear" w:color="auto" w:fill="auto"/>
        <w:spacing w:before="0" w:after="160" w:line="360" w:lineRule="auto"/>
        <w:ind w:firstLine="567"/>
        <w:jc w:val="both"/>
        <w:rPr>
          <w:rFonts w:ascii="Sylfaen" w:hAnsi="Sylfaen"/>
          <w:sz w:val="24"/>
          <w:szCs w:val="24"/>
        </w:rPr>
      </w:pPr>
    </w:p>
    <w:p w14:paraId="7E527C5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1636CE">
        <w:rPr>
          <w:rFonts w:ascii="Sylfaen" w:hAnsi="Sylfaen"/>
          <w:spacing w:val="4"/>
          <w:sz w:val="24"/>
          <w:szCs w:val="24"/>
        </w:rPr>
        <w:lastRenderedPageBreak/>
        <w:t>W՝ պրոբիտ մեթոդի համար կշռային գործակիցը (4.2.1 բաժին, հավելվածի 4-րդ աղյուսակ</w:t>
      </w:r>
      <w:r w:rsidRPr="00B834A2">
        <w:rPr>
          <w:rFonts w:ascii="Sylfaen" w:hAnsi="Sylfaen"/>
          <w:sz w:val="24"/>
          <w:szCs w:val="24"/>
        </w:rPr>
        <w:t>).</w:t>
      </w:r>
      <w:r>
        <w:rPr>
          <w:rFonts w:ascii="Sylfaen" w:hAnsi="Sylfaen"/>
          <w:sz w:val="24"/>
          <w:szCs w:val="24"/>
        </w:rPr>
        <w:t xml:space="preserve"> </w:t>
      </w:r>
    </w:p>
    <w:p w14:paraId="3D79CAD6" w14:textId="77777777" w:rsidR="00B834A2" w:rsidRPr="00BF76DA" w:rsidRDefault="00B834A2" w:rsidP="00BF76DA">
      <w:pPr>
        <w:pStyle w:val="Bodytext20"/>
        <w:shd w:val="clear" w:color="auto" w:fill="auto"/>
        <w:tabs>
          <w:tab w:val="left" w:pos="1134"/>
        </w:tabs>
        <w:spacing w:before="0" w:after="160" w:line="360" w:lineRule="auto"/>
        <w:ind w:firstLine="567"/>
        <w:jc w:val="both"/>
        <w:rPr>
          <w:rStyle w:val="Bodytext31Sylfaen9"/>
          <w:i w:val="0"/>
          <w:sz w:val="24"/>
          <w:szCs w:val="24"/>
        </w:rPr>
      </w:pPr>
      <w:r w:rsidRPr="00BF76DA">
        <w:rPr>
          <w:rStyle w:val="Bodytext31Sylfaen9"/>
          <w:i w:val="0"/>
          <w:sz w:val="24"/>
          <w:szCs w:val="24"/>
        </w:rPr>
        <w:t>-</w:t>
      </w:r>
      <w:r w:rsidR="00BF76DA" w:rsidRPr="00BF76DA">
        <w:rPr>
          <w:rStyle w:val="Bodytext31Sylfaen9"/>
          <w:i w:val="0"/>
          <w:sz w:val="24"/>
          <w:szCs w:val="24"/>
        </w:rPr>
        <w:tab/>
      </w:r>
      <w:r w:rsidRPr="00BF76DA">
        <w:rPr>
          <w:rStyle w:val="Bodytext31Sylfaen9"/>
          <w:i w:val="0"/>
          <w:sz w:val="24"/>
          <w:szCs w:val="24"/>
        </w:rPr>
        <w:t>անկախ կենսաբանական փորձարկումները միավորելու համար կշռային գործակիցը (5-րդ բաժին).</w:t>
      </w:r>
    </w:p>
    <w:p w14:paraId="04673F80"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V՝ վստահելի սահմանների հաշվարկման համար դիսպերսիայի գործակիցը (3.2.8 բաժին). </w:t>
      </w:r>
    </w:p>
    <w:p w14:paraId="07FBB71E" w14:textId="77777777" w:rsidR="00B834A2" w:rsidRPr="00B834A2" w:rsidRDefault="00B834A2" w:rsidP="009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rPr>
        <w:t xml:space="preserve">ՎՄ (CI)՝ у միջին արժեքի վստահելի միջակայքը, ընդգրկույթը, որտեղ գտնվում է у իրական արժեքը՝ որոշակի մակարդակի հուսալիությամբ կամ վստահությամբ. </w:t>
      </w:r>
    </w:p>
    <w:p w14:paraId="5EACB46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p>
    <w:p w14:paraId="22924164" w14:textId="77777777" w:rsidR="00B834A2" w:rsidRPr="009A3F5E" w:rsidRDefault="00BF76DA" w:rsidP="00BF76DA">
      <w:pPr>
        <w:pStyle w:val="Bodytext20"/>
        <w:numPr>
          <w:ilvl w:val="0"/>
          <w:numId w:val="20"/>
        </w:numPr>
        <w:shd w:val="clear" w:color="auto" w:fill="auto"/>
        <w:tabs>
          <w:tab w:val="left" w:pos="1134"/>
        </w:tabs>
        <w:spacing w:before="0" w:after="160" w:line="360" w:lineRule="auto"/>
        <w:ind w:left="0" w:firstLine="567"/>
        <w:jc w:val="both"/>
        <w:rPr>
          <w:rFonts w:ascii="Sylfaen" w:hAnsi="Sylfaen" w:cs="Sylfaen"/>
          <w:b/>
          <w:sz w:val="24"/>
          <w:szCs w:val="24"/>
        </w:rPr>
      </w:pPr>
      <w:r w:rsidRPr="009A3F5E">
        <w:rPr>
          <w:rFonts w:ascii="Sylfaen" w:hAnsi="Sylfaen"/>
          <w:b/>
          <w:sz w:val="24"/>
          <w:szCs w:val="24"/>
        </w:rPr>
        <w:t xml:space="preserve">ՊԱՏԱՀԱԿԱՆ ԸՆՏՐՈՒԹՅՈՒՆԸ </w:t>
      </w:r>
      <w:r w:rsidRPr="009A3F5E">
        <w:rPr>
          <w:rFonts w:ascii="Sylfaen" w:hAnsi="Sylfaen"/>
          <w:b/>
          <w:sz w:val="24"/>
          <w:szCs w:val="24"/>
          <w:lang w:val="en-GB"/>
        </w:rPr>
        <w:t>(</w:t>
      </w:r>
      <w:r w:rsidRPr="009A3F5E">
        <w:rPr>
          <w:rStyle w:val="Bodytext31Sylfaen9"/>
          <w:i w:val="0"/>
          <w:sz w:val="24"/>
          <w:szCs w:val="24"/>
        </w:rPr>
        <w:t>ՌԱՆԴՈՄԻԶԱՑՈՒՄԸ</w:t>
      </w:r>
      <w:r w:rsidRPr="009A3F5E">
        <w:rPr>
          <w:rStyle w:val="Bodytext31Sylfaen9"/>
          <w:i w:val="0"/>
          <w:sz w:val="24"/>
          <w:szCs w:val="24"/>
          <w:lang w:val="en-GB"/>
        </w:rPr>
        <w:t>)</w:t>
      </w:r>
    </w:p>
    <w:p w14:paraId="5FE36EF8"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Ստանդարտ նմուշի եւ փորձարկվող նմուշի ներմուծումը, թեստ օբյեկտների վրա տարբեր ներգործությունները պետք է իրականացվեն պատահական կարգով։ Խորհուրդ է տրվում կիրառել «խառը» խմբեր, այսինքն՝ միեւնույն նմուշի նույն դեղաչափն ստացող թեստ օբյեկտները պետք է հավասարաչափ բաշխվեն ըստ բջիջների, պլանշետների եւ այլն։ Չխարնուրդված խմբերը թույլատրվում են միայն փորձարկումն անցկացնելու վայրի եւ ժամանակի՝ դրա արդյունքների վրա վիճակագրորեն նշանակալի ազդեցության բացակայության ապացույցների առկայության դեպքում։</w:t>
      </w:r>
    </w:p>
    <w:p w14:paraId="33251189" w14:textId="77777777" w:rsidR="00B834A2" w:rsidRPr="009A3F5E" w:rsidRDefault="00B834A2" w:rsidP="009A3F5E">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Թեստ օբյեկտներն ըստ խմբերի բաշխելը եւ դրանք խմբերից հանելը հարկավոր է կատարել պատահական թվերի մեթոդով՝ դրանց թվաքանակի հավասարեցման դեպքում։ Այդ նպատակով կարող է կիրառվել ծրագրային ապահովումը, օրինակ՝ «ՊԱՏԱՀԱԿԱՆ ՄԻՋԵՎ» [RANDBETWEEN] էլեկտրոնային աղյուսակների գործառույթը (MS Excel, Calc եւ այլն)։</w:t>
      </w:r>
    </w:p>
    <w:p w14:paraId="301E8EC2" w14:textId="77777777" w:rsidR="001636CE" w:rsidRDefault="001636CE">
      <w:pPr>
        <w:rPr>
          <w:rFonts w:eastAsia="Times New Roman"/>
        </w:rPr>
      </w:pPr>
      <w:r>
        <w:br w:type="page"/>
      </w:r>
    </w:p>
    <w:p w14:paraId="1F578816"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b/>
          <w:sz w:val="24"/>
          <w:szCs w:val="24"/>
        </w:rPr>
      </w:pPr>
      <w:r w:rsidRPr="00BF76DA">
        <w:rPr>
          <w:rFonts w:ascii="Sylfaen" w:hAnsi="Sylfaen"/>
          <w:b/>
          <w:sz w:val="24"/>
          <w:szCs w:val="24"/>
        </w:rPr>
        <w:lastRenderedPageBreak/>
        <w:t>2.</w:t>
      </w:r>
      <w:r w:rsidR="00BF76DA" w:rsidRPr="00A859E3">
        <w:rPr>
          <w:rFonts w:ascii="Sylfaen" w:hAnsi="Sylfaen"/>
          <w:b/>
          <w:sz w:val="24"/>
          <w:szCs w:val="24"/>
        </w:rPr>
        <w:tab/>
      </w:r>
      <w:r w:rsidRPr="00BF76DA">
        <w:rPr>
          <w:rStyle w:val="Bodytext31Sylfaen9"/>
          <w:b/>
          <w:i w:val="0"/>
          <w:sz w:val="24"/>
          <w:szCs w:val="24"/>
        </w:rPr>
        <w:t>ԴԵՂԱՄԻՋՈՑԻ ԱԿՏԻՎՈՒԹՅԱՆ ՈՐՈՇՈՒՄԸ ԿԵՆՍԱԲԱՆԱԿԱՆ ՄԵԹՈԴՆԵՐՈՎ</w:t>
      </w:r>
    </w:p>
    <w:p w14:paraId="7C0C8523"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Ֆիզիկական եւ քիմիական ցուցանիշները ոչ միշտ են ամբողջությամբ բնութագրում դեղամիջոցի որակը։ Նման դեպքերում անհրաժեշտ է կենսաբանական մեթոդներով կատարվող ցուցանիշների որոշումը։</w:t>
      </w:r>
    </w:p>
    <w:p w14:paraId="075C850E"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Դեղագրքային կենսաբանական փորձարկումների միջոցով որոշվում է դեղամիջոցների կենսաբանական ակտիվությունը կամ թունավորությունը, ինչպես նաեւ անցանկալի խառնուկները։</w:t>
      </w:r>
    </w:p>
    <w:p w14:paraId="03692EF3" w14:textId="77777777" w:rsidR="00B834A2" w:rsidRPr="009A3F5E"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Եվրասիական տնտեսական հանձնաժողովի խորհրդի 2016 թվականի նոյեմբերի 3-ի թիվ 89 որոշմամբ հաստատված՝ Եվրասիական տնտեսական միության կենսաբանական դեղամիջոցների հետազոտությունների անցկացման կանոնների համաձայն՝ կենսաբանական ակտիվությամբ որոշվում է դեղամիջոցի՝ որոշակի կենսաբանական էֆեկտ առաջացնելու հատուկ կարողությունը կամ հատկությունը։</w:t>
      </w:r>
    </w:p>
    <w:p w14:paraId="753AD0FA"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9A3F5E">
        <w:rPr>
          <w:rStyle w:val="Bodytext31Sylfaen9"/>
          <w:i w:val="0"/>
          <w:sz w:val="24"/>
          <w:szCs w:val="24"/>
        </w:rPr>
        <w:t>Կենսաբանական ակտիվությունը որոշելիս դեպքերի մեծ մասում օգտագործվում է ստանդարտ նմուշը՝ նյութ, որի հետ համեմատության միջոցով իրականացվում է հետազոտվող դեղամիջոցի որակի հսկողությունը (3.2.1 - 3.2.6 բաժին)։ Տվյալ դեպքում ստանդարտ նմուշը պետք է վկայագրված լինի ըստ</w:t>
      </w:r>
      <w:r w:rsidRPr="00B834A2">
        <w:rPr>
          <w:rStyle w:val="Bodytext31Sylfaen9"/>
          <w:sz w:val="24"/>
          <w:szCs w:val="24"/>
        </w:rPr>
        <w:t xml:space="preserve"> </w:t>
      </w:r>
      <w:r w:rsidRPr="00BF76DA">
        <w:rPr>
          <w:rStyle w:val="Bodytext31Sylfaen9"/>
          <w:i w:val="0"/>
          <w:sz w:val="24"/>
          <w:szCs w:val="24"/>
        </w:rPr>
        <w:t>կենսաբանական ակտիվության։</w:t>
      </w:r>
    </w:p>
    <w:p w14:paraId="6C700991"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Ինսուլինի եւ դրա անալոգների պատրաստուկների երկարաձգված ազդեցության առկայության որոշումը հիմնված է միեւնույն սկզբունքի վրա (3.2.7 բաժին)։</w:t>
      </w:r>
    </w:p>
    <w:p w14:paraId="212BFE88" w14:textId="77777777" w:rsidR="001636CE" w:rsidRDefault="00B834A2" w:rsidP="009A3F5E">
      <w:pPr>
        <w:pStyle w:val="Bodytext20"/>
        <w:shd w:val="clear" w:color="auto" w:fill="auto"/>
        <w:spacing w:before="0" w:after="160" w:line="360" w:lineRule="auto"/>
        <w:ind w:firstLine="567"/>
        <w:jc w:val="both"/>
        <w:rPr>
          <w:rStyle w:val="Bodytext31Sylfaen9"/>
          <w:i w:val="0"/>
          <w:sz w:val="24"/>
          <w:szCs w:val="24"/>
        </w:rPr>
      </w:pPr>
      <w:r w:rsidRPr="00BF76DA">
        <w:rPr>
          <w:rStyle w:val="Bodytext31Sylfaen9"/>
          <w:i w:val="0"/>
          <w:sz w:val="24"/>
          <w:szCs w:val="24"/>
        </w:rPr>
        <w:t>Որոշ դեպքերում կենսաբանական ակտիվությունը գնահատվում է առանց ստանդարտ նմուշի կիրառման, օրինակ՝ արդյունավետ դեղաչափերի անուղղակի որոշման դեպքում (4.1 բաժին)։</w:t>
      </w:r>
    </w:p>
    <w:p w14:paraId="2FD06ED0" w14:textId="77777777" w:rsidR="001636CE" w:rsidRDefault="001636CE">
      <w:pPr>
        <w:rPr>
          <w:rStyle w:val="Bodytext31Sylfaen9"/>
          <w:i w:val="0"/>
          <w:sz w:val="24"/>
          <w:szCs w:val="24"/>
        </w:rPr>
      </w:pPr>
      <w:r>
        <w:rPr>
          <w:rStyle w:val="Bodytext31Sylfaen9"/>
          <w:i w:val="0"/>
          <w:sz w:val="24"/>
          <w:szCs w:val="24"/>
        </w:rPr>
        <w:br w:type="page"/>
      </w:r>
    </w:p>
    <w:p w14:paraId="6A37FF5F"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BF76DA">
        <w:rPr>
          <w:rStyle w:val="Bodytext31Sylfaen9"/>
          <w:b/>
          <w:i w:val="0"/>
          <w:sz w:val="24"/>
          <w:szCs w:val="24"/>
        </w:rPr>
        <w:lastRenderedPageBreak/>
        <w:t>2.1.</w:t>
      </w:r>
      <w:r w:rsidR="00BF76DA" w:rsidRPr="00A859E3">
        <w:rPr>
          <w:rStyle w:val="Bodytext31Sylfaen9"/>
          <w:b/>
          <w:i w:val="0"/>
          <w:sz w:val="24"/>
          <w:szCs w:val="24"/>
        </w:rPr>
        <w:tab/>
      </w:r>
      <w:r w:rsidRPr="00BF76DA">
        <w:rPr>
          <w:rStyle w:val="Bodytext31Sylfaen9"/>
          <w:b/>
          <w:i w:val="0"/>
          <w:sz w:val="24"/>
          <w:szCs w:val="24"/>
        </w:rPr>
        <w:t>Խմբերի կազմումը եւ դրանց թվաքանակի հավասարեցումը</w:t>
      </w:r>
    </w:p>
    <w:p w14:paraId="014CC93D"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Խմբեր կազմելիս հարկավոր է ապահովել խմբերի ներսում թեստ օբյեկտների միատեսակությունը (ըստ սեռի, տարիքի, մարմնի զանգվածի, ծագման, պահման պայմանների եւ այլն), ինչպես նաեւ թեստ օբյեկտների օպտիմալ բաշխումն ըստ խմբերի՝ պատահական ընտրության միջոցով (1-ին բաժին)։</w:t>
      </w:r>
      <w:r w:rsidRPr="00B834A2">
        <w:rPr>
          <w:rStyle w:val="Bodytext31Sylfaen9"/>
          <w:sz w:val="24"/>
          <w:szCs w:val="24"/>
        </w:rPr>
        <w:t xml:space="preserve"> </w:t>
      </w:r>
      <w:r w:rsidRPr="00BF76DA">
        <w:rPr>
          <w:rStyle w:val="Bodytext31Sylfaen9"/>
          <w:i w:val="0"/>
          <w:sz w:val="24"/>
          <w:szCs w:val="24"/>
        </w:rPr>
        <w:t>Բացի այդ, հարկավոր</w:t>
      </w:r>
      <w:r w:rsidR="00BF76DA" w:rsidRPr="00BF76DA">
        <w:rPr>
          <w:rStyle w:val="Bodytext31Sylfaen9"/>
          <w:i w:val="0"/>
          <w:sz w:val="24"/>
          <w:szCs w:val="24"/>
        </w:rPr>
        <w:t> </w:t>
      </w:r>
      <w:r w:rsidRPr="00BF76DA">
        <w:rPr>
          <w:rStyle w:val="Bodytext31Sylfaen9"/>
          <w:i w:val="0"/>
          <w:sz w:val="24"/>
          <w:szCs w:val="24"/>
        </w:rPr>
        <w:t>է ձգտել, որ բոլոր խմբերում լինեն միեւնույն թվով թեստ օբյեկտներ։ Դա վիճակագրական վերլուծության մի շարք ընթացակարգերի կիրառելիության պայման է եւ միշտ պարզեցնում է հաշվարկը։</w:t>
      </w:r>
    </w:p>
    <w:p w14:paraId="79D0E7F2"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Եթե որեւէ պատճառով (փորձի սխալ, կենդանու մահ, որը կապված չէ փորձարկման հետ) որոշ խմբերում բացառվել է արդյունքներից մեկը կամ մի քանիսը, ապա կարելի է հավասարեցնել խմբերի թվաքանակը հետեւյալ եղանակներից մեկով.</w:t>
      </w:r>
      <w:r w:rsidR="00696072">
        <w:rPr>
          <w:rStyle w:val="Bodytext31Sylfaen9"/>
          <w:i w:val="0"/>
          <w:sz w:val="24"/>
          <w:szCs w:val="24"/>
        </w:rPr>
        <w:t xml:space="preserve"> </w:t>
      </w:r>
    </w:p>
    <w:p w14:paraId="5E5F375C"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BF76DA">
        <w:rPr>
          <w:rStyle w:val="Bodytext31Sylfaen9"/>
          <w:i w:val="0"/>
          <w:sz w:val="24"/>
          <w:szCs w:val="24"/>
        </w:rPr>
        <w:t>ա)</w:t>
      </w:r>
      <w:r w:rsidR="00BF76DA" w:rsidRPr="00A859E3">
        <w:rPr>
          <w:rStyle w:val="Bodytext31Sylfaen9"/>
          <w:i w:val="0"/>
          <w:sz w:val="24"/>
          <w:szCs w:val="24"/>
        </w:rPr>
        <w:tab/>
      </w:r>
      <w:r w:rsidRPr="00BF76DA">
        <w:rPr>
          <w:rStyle w:val="Bodytext31Sylfaen9"/>
          <w:i w:val="0"/>
          <w:sz w:val="24"/>
          <w:szCs w:val="24"/>
        </w:rPr>
        <w:t>յուրաքանչյուր մեծ խմբից բացառել մեկական արդյունք.</w:t>
      </w:r>
    </w:p>
    <w:p w14:paraId="05DBA0F6"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i/>
          <w:sz w:val="24"/>
          <w:szCs w:val="24"/>
        </w:rPr>
      </w:pPr>
      <w:r w:rsidRPr="00BF76DA">
        <w:rPr>
          <w:rStyle w:val="Bodytext31Sylfaen9"/>
          <w:i w:val="0"/>
          <w:sz w:val="24"/>
          <w:szCs w:val="24"/>
        </w:rPr>
        <w:t>բ)</w:t>
      </w:r>
      <w:r w:rsidR="00BF76DA" w:rsidRPr="00A859E3">
        <w:rPr>
          <w:rStyle w:val="Bodytext31Sylfaen9"/>
          <w:i w:val="0"/>
          <w:sz w:val="24"/>
          <w:szCs w:val="24"/>
        </w:rPr>
        <w:tab/>
      </w:r>
      <w:r w:rsidRPr="00BF76DA">
        <w:rPr>
          <w:rStyle w:val="Bodytext31Sylfaen9"/>
          <w:i w:val="0"/>
          <w:sz w:val="24"/>
          <w:szCs w:val="24"/>
        </w:rPr>
        <w:t xml:space="preserve">յուրաքանչյուր ավելի փոքր խմբին ավելացնել այդ խմբում մնացած արդյունքների միջինին հավասար մեկ արդյունք, սակայն հետագա հաշվարկներում տվյալ խմբին վերաբերող ազատության աստիճանների թիվը պետք է համարվի մեկ միավորով փոքր։ </w:t>
      </w:r>
    </w:p>
    <w:p w14:paraId="55BABD5B"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F76DA">
        <w:rPr>
          <w:rStyle w:val="Bodytext31Sylfaen9"/>
          <w:i w:val="0"/>
          <w:sz w:val="24"/>
          <w:szCs w:val="24"/>
        </w:rPr>
        <w:t>Խմբերում թվաքանակի հավասարեցման եղանակի ընտրությունը հիմնականում պայմանավորված է այն խմբերի թվով, որտեղ բացեր են առաջացել։</w:t>
      </w:r>
      <w:r>
        <w:rPr>
          <w:rStyle w:val="Bodytext31Sylfaen9"/>
          <w:sz w:val="24"/>
          <w:szCs w:val="24"/>
        </w:rPr>
        <w:t xml:space="preserve"> </w:t>
      </w:r>
      <w:r w:rsidRPr="00B834A2">
        <w:rPr>
          <w:rFonts w:ascii="Sylfaen" w:hAnsi="Sylfaen"/>
          <w:sz w:val="24"/>
          <w:szCs w:val="24"/>
        </w:rPr>
        <w:t>Հավասարեցումը պետք է կատարվի պատահական ընտրության կիրառմամբ (1-ին բաժին)։</w:t>
      </w:r>
    </w:p>
    <w:p w14:paraId="77FF2A8A"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Այդ ընթացակարգերը կարելի է կիրառել նաեւ խմբերի թվաքանակի՝ երկու-երեք կամ ավելի միավորով տարբերության դեպքում, սակայն դա միշտ պակաս ցանկալի է, քանի որ նվազեցնում է փորձարկման արդյունքների վերաբերյալ վերջնական եզրահանգումների ճշգրտությունն ու հուսալիությունը։</w:t>
      </w:r>
    </w:p>
    <w:p w14:paraId="130FF236"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Հատուկ ծրագրային ապահովման (СоmbiStats, РLA կան նույնանմանները) օգտագործումը թույլ է տալիս չհավասարեցնել խմբերի թվաքանակը։</w:t>
      </w:r>
    </w:p>
    <w:p w14:paraId="65CBC1AE"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b/>
          <w:sz w:val="24"/>
          <w:szCs w:val="24"/>
        </w:rPr>
      </w:pPr>
      <w:r w:rsidRPr="00BF76DA">
        <w:rPr>
          <w:rStyle w:val="Bodytext31Sylfaen9"/>
          <w:b/>
          <w:i w:val="0"/>
          <w:sz w:val="24"/>
          <w:szCs w:val="24"/>
        </w:rPr>
        <w:lastRenderedPageBreak/>
        <w:t>2.2.</w:t>
      </w:r>
      <w:r w:rsidR="00BF76DA" w:rsidRPr="00A859E3">
        <w:rPr>
          <w:rStyle w:val="Bodytext31Sylfaen9"/>
          <w:b/>
          <w:sz w:val="24"/>
          <w:szCs w:val="24"/>
        </w:rPr>
        <w:tab/>
      </w:r>
      <w:r w:rsidRPr="00BF76DA">
        <w:rPr>
          <w:rFonts w:ascii="Sylfaen" w:hAnsi="Sylfaen"/>
          <w:b/>
          <w:sz w:val="24"/>
          <w:szCs w:val="24"/>
        </w:rPr>
        <w:t>Կոպիտ սխալների հայտնաբերումը եւ ստացված տվյալների սկզբնական մշակումը</w:t>
      </w:r>
    </w:p>
    <w:p w14:paraId="54D215AA" w14:textId="77777777" w:rsidR="00B834A2" w:rsidRPr="00C41622" w:rsidRDefault="00B834A2" w:rsidP="009A3F5E">
      <w:pPr>
        <w:pStyle w:val="Bodytext20"/>
        <w:shd w:val="clear" w:color="auto" w:fill="auto"/>
        <w:spacing w:before="0" w:after="160" w:line="360" w:lineRule="auto"/>
        <w:ind w:firstLine="567"/>
        <w:jc w:val="both"/>
        <w:rPr>
          <w:rFonts w:ascii="Sylfaen" w:hAnsi="Sylfaen"/>
          <w:sz w:val="24"/>
          <w:szCs w:val="24"/>
        </w:rPr>
      </w:pPr>
      <w:r w:rsidRPr="00B834A2">
        <w:rPr>
          <w:rFonts w:ascii="Sylfaen" w:hAnsi="Sylfaen"/>
          <w:sz w:val="24"/>
          <w:szCs w:val="24"/>
        </w:rPr>
        <w:t>Հաճախ դեղամիջոցի կենսաբանական ակտիվությունը բնութագրող՝ թեստ օբյեկտի արձագանքն արտահայտվում է քանակական ձեւով, օրինակ՝ ինսուլինի կենսաբանական ակտիվությունը որոշելիս արյան մեջ գլյուկոզի կոնցենտրացիան, հեպարինի ազդեցության ժամանակ արյան մակարդման ժամանակը եւ այլն։ Այդ դեպքերում առավել հաճախ փորձարկման վերջնական արդյունք է համարվում у միջին արժեքը, իսկ ավելի ճշգրիտ՝ դրա վստահելի միջակայքը (ՎՄ), եթե այլ բան նշված չէ մասնավոր դեղագրքային հոդվածում։</w:t>
      </w:r>
    </w:p>
    <w:p w14:paraId="1A95F25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Երբ ստուգվում է այն, թե արդյոք արձագանքի արժեքն այսպես կոչված «կոպիտ սխալ» չէ, որը հարկավոր է բացառել հետագա հաշվարկներից, կիրառվում</w:t>
      </w:r>
      <w:r w:rsidR="00BF76DA" w:rsidRPr="00BF76DA">
        <w:rPr>
          <w:rFonts w:ascii="Sylfaen" w:hAnsi="Sylfaen"/>
          <w:sz w:val="24"/>
          <w:szCs w:val="24"/>
        </w:rPr>
        <w:t> </w:t>
      </w:r>
      <w:r w:rsidRPr="00B834A2">
        <w:rPr>
          <w:rFonts w:ascii="Sylfaen" w:hAnsi="Sylfaen"/>
          <w:sz w:val="24"/>
          <w:szCs w:val="24"/>
        </w:rPr>
        <w:t xml:space="preserve">է ստուգիչ Q չափորշիչը </w:t>
      </w:r>
      <w:r w:rsidRPr="00B834A2">
        <w:rPr>
          <w:rStyle w:val="Bodytext2Italic"/>
          <w:sz w:val="24"/>
          <w:szCs w:val="24"/>
        </w:rPr>
        <w:t>(n</w:t>
      </w:r>
      <w:r w:rsidRPr="00B834A2">
        <w:rPr>
          <w:rStyle w:val="Bodytext31Sylfaen9"/>
          <w:sz w:val="24"/>
          <w:szCs w:val="24"/>
        </w:rPr>
        <w:t xml:space="preserve"> ≤ </w:t>
      </w:r>
      <w:r w:rsidRPr="00B834A2">
        <w:rPr>
          <w:rStyle w:val="Bodytext285pt"/>
          <w:spacing w:val="0"/>
          <w:sz w:val="24"/>
          <w:szCs w:val="24"/>
        </w:rPr>
        <w:t>10)</w:t>
      </w:r>
      <w:r w:rsidRPr="00B834A2">
        <w:rPr>
          <w:rFonts w:ascii="Sylfaen" w:hAnsi="Sylfaen"/>
          <w:sz w:val="24"/>
          <w:szCs w:val="24"/>
        </w:rPr>
        <w:t>։</w:t>
      </w:r>
      <w:r w:rsidRPr="00B834A2">
        <w:rPr>
          <w:rStyle w:val="Bodytext31Sylfaen9"/>
          <w:sz w:val="24"/>
          <w:szCs w:val="24"/>
        </w:rPr>
        <w:t xml:space="preserve"> </w:t>
      </w:r>
      <w:r w:rsidRPr="00B834A2">
        <w:rPr>
          <w:rFonts w:ascii="Sylfaen" w:hAnsi="Sylfaen"/>
          <w:sz w:val="24"/>
          <w:szCs w:val="24"/>
        </w:rPr>
        <w:t>Արժեքը, որը կարող է դիտարկվել որպես կոպիտ սխալ, նշվում է որպես x</w:t>
      </w:r>
      <w:r w:rsidRPr="00B834A2">
        <w:rPr>
          <w:rStyle w:val="Bodytext31Sylfaen9"/>
          <w:sz w:val="24"/>
          <w:szCs w:val="24"/>
          <w:vertAlign w:val="subscript"/>
        </w:rPr>
        <w:t>1</w:t>
      </w:r>
      <w:r w:rsidRPr="00B834A2">
        <w:rPr>
          <w:rFonts w:ascii="Sylfaen" w:hAnsi="Sylfaen"/>
          <w:sz w:val="24"/>
          <w:szCs w:val="24"/>
        </w:rPr>
        <w:t>, իսկ պատասխանների n-ը կարգավորվում</w:t>
      </w:r>
      <w:r w:rsidR="00BF76DA" w:rsidRPr="00BF76DA">
        <w:rPr>
          <w:rFonts w:ascii="Sylfaen" w:hAnsi="Sylfaen"/>
          <w:sz w:val="24"/>
          <w:szCs w:val="24"/>
        </w:rPr>
        <w:t> </w:t>
      </w:r>
      <w:r w:rsidRPr="00B834A2">
        <w:rPr>
          <w:rFonts w:ascii="Sylfaen" w:hAnsi="Sylfaen"/>
          <w:sz w:val="24"/>
          <w:szCs w:val="24"/>
        </w:rPr>
        <w:t>է ըստ մեծության։</w:t>
      </w:r>
      <w:r w:rsidRPr="00B834A2">
        <w:rPr>
          <w:rStyle w:val="Bodytext31Sylfaen9"/>
          <w:sz w:val="24"/>
          <w:szCs w:val="24"/>
        </w:rPr>
        <w:t xml:space="preserve"> Այնուհետեւ հաշվարկվում է</w:t>
      </w:r>
      <w:r w:rsidRPr="00B834A2">
        <w:rPr>
          <w:rFonts w:ascii="Sylfaen" w:hAnsi="Sylfaen"/>
          <w:sz w:val="24"/>
          <w:szCs w:val="24"/>
        </w:rPr>
        <w:t xml:space="preserve"> </w:t>
      </w:r>
    </w:p>
    <w:p w14:paraId="057F2723" w14:textId="77777777" w:rsidR="00B834A2" w:rsidRPr="00B834A2" w:rsidRDefault="00B834A2" w:rsidP="00BF76DA">
      <w:pPr>
        <w:pStyle w:val="Bodytext20"/>
        <w:shd w:val="clear" w:color="auto" w:fill="auto"/>
        <w:spacing w:before="0" w:after="160" w:line="360" w:lineRule="auto"/>
        <w:ind w:firstLine="567"/>
        <w:rPr>
          <w:rFonts w:ascii="Sylfaen" w:hAnsi="Sylfaen" w:cs="Sylfaen"/>
          <w:sz w:val="24"/>
          <w:szCs w:val="24"/>
        </w:rPr>
      </w:pPr>
      <w:r w:rsidRPr="00B834A2">
        <w:rPr>
          <w:rStyle w:val="Bodytext2Italic"/>
          <w:sz w:val="24"/>
          <w:szCs w:val="24"/>
        </w:rPr>
        <w:t>n</w:t>
      </w:r>
      <w:r w:rsidRPr="00B834A2">
        <w:rPr>
          <w:rStyle w:val="Bodytext31Sylfaen9"/>
          <w:sz w:val="24"/>
          <w:szCs w:val="24"/>
        </w:rPr>
        <w:t xml:space="preserve"> = 3 ...</w:t>
      </w:r>
      <m:oMath>
        <m:r>
          <w:rPr>
            <w:rStyle w:val="Bodytext31Sylfaen9"/>
            <w:rFonts w:ascii="Cambria Math" w:hAnsi="Cambria Math"/>
            <w:sz w:val="24"/>
            <w:szCs w:val="24"/>
          </w:rPr>
          <m:t xml:space="preserve"> 7</m:t>
        </m:r>
      </m:oMath>
      <w:r w:rsidRPr="00B834A2">
        <w:rPr>
          <w:rFonts w:ascii="Sylfaen" w:hAnsi="Sylfaen"/>
          <w:sz w:val="24"/>
          <w:szCs w:val="24"/>
        </w:rPr>
        <w:t>-ի համար</w:t>
      </w:r>
      <w:r>
        <w:rPr>
          <w:rStyle w:val="Bodytext31Sylfaen9"/>
          <w:sz w:val="24"/>
          <w:szCs w:val="24"/>
        </w:rPr>
        <w:t xml:space="preserve"> </w:t>
      </w:r>
      <m:oMath>
        <m:r>
          <w:rPr>
            <w:rStyle w:val="Bodytext31Sylfaen9"/>
            <w:rFonts w:ascii="Cambria Math" w:hAnsi="Cambria Math"/>
            <w:sz w:val="24"/>
            <w:szCs w:val="24"/>
          </w:rPr>
          <m:t>Q=</m:t>
        </m:r>
        <m:f>
          <m:fPr>
            <m:ctrlPr>
              <w:rPr>
                <w:rStyle w:val="Bodytext31Sylfaen9"/>
                <w:rFonts w:ascii="Cambria Math" w:hAnsi="Cambria Math"/>
                <w:i w:val="0"/>
                <w:iCs w:val="0"/>
                <w:sz w:val="24"/>
                <w:szCs w:val="24"/>
              </w:rPr>
            </m:ctrlPr>
          </m:fPr>
          <m:num>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2</m:t>
                    </m:r>
                  </m:sub>
                </m:sSub>
              </m:e>
            </m:d>
          </m:num>
          <m:den>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n</m:t>
                    </m:r>
                  </m:sub>
                </m:sSub>
              </m:e>
            </m:d>
          </m:den>
        </m:f>
      </m:oMath>
      <w:r>
        <w:rPr>
          <w:rStyle w:val="Bodytext31Sylfaen9"/>
          <w:sz w:val="24"/>
          <w:szCs w:val="24"/>
        </w:rPr>
        <w:t xml:space="preserve"> </w:t>
      </w:r>
      <w:r w:rsidRPr="00B834A2">
        <w:rPr>
          <w:rStyle w:val="Bodytext31Sylfaen9"/>
          <w:sz w:val="24"/>
          <w:szCs w:val="24"/>
        </w:rPr>
        <w:t>,</w:t>
      </w:r>
    </w:p>
    <w:p w14:paraId="7A0D2548" w14:textId="77777777" w:rsidR="00B834A2" w:rsidRPr="00B834A2" w:rsidRDefault="00B834A2" w:rsidP="00BF76DA">
      <w:pPr>
        <w:pStyle w:val="Bodytext20"/>
        <w:shd w:val="clear" w:color="auto" w:fill="auto"/>
        <w:spacing w:before="0" w:after="160" w:line="360" w:lineRule="auto"/>
        <w:ind w:firstLine="567"/>
        <w:rPr>
          <w:rFonts w:ascii="Sylfaen" w:hAnsi="Sylfaen" w:cs="Sylfaen"/>
          <w:sz w:val="24"/>
          <w:szCs w:val="24"/>
        </w:rPr>
      </w:pPr>
      <w:r w:rsidRPr="00B834A2">
        <w:rPr>
          <w:rStyle w:val="Bodytext285pt"/>
          <w:spacing w:val="0"/>
          <w:sz w:val="24"/>
          <w:szCs w:val="24"/>
        </w:rPr>
        <w:t>n</w:t>
      </w:r>
      <w:r w:rsidRPr="00B834A2">
        <w:rPr>
          <w:rStyle w:val="Bodytext31Sylfaen9"/>
          <w:sz w:val="24"/>
          <w:szCs w:val="24"/>
        </w:rPr>
        <w:t xml:space="preserve"> = 8 ...</w:t>
      </w:r>
      <m:oMath>
        <m:r>
          <w:rPr>
            <w:rStyle w:val="Bodytext31Sylfaen9"/>
            <w:rFonts w:ascii="Cambria Math" w:hAnsi="Cambria Math"/>
            <w:sz w:val="24"/>
            <w:szCs w:val="24"/>
          </w:rPr>
          <m:t xml:space="preserve"> 10</m:t>
        </m:r>
      </m:oMath>
      <w:r w:rsidRPr="00B834A2">
        <w:rPr>
          <w:rFonts w:ascii="Sylfaen" w:hAnsi="Sylfaen"/>
          <w:sz w:val="24"/>
          <w:szCs w:val="24"/>
        </w:rPr>
        <w:t>-ի համար</w:t>
      </w:r>
      <w:r>
        <w:rPr>
          <w:rStyle w:val="Bodytext31Sylfaen9"/>
          <w:sz w:val="24"/>
          <w:szCs w:val="24"/>
        </w:rPr>
        <w:t xml:space="preserve"> </w:t>
      </w:r>
      <m:oMath>
        <m:r>
          <w:rPr>
            <w:rStyle w:val="Bodytext31Sylfaen9"/>
            <w:rFonts w:ascii="Cambria Math" w:hAnsi="Cambria Math"/>
            <w:sz w:val="24"/>
            <w:szCs w:val="24"/>
          </w:rPr>
          <m:t>Q=</m:t>
        </m:r>
        <m:f>
          <m:fPr>
            <m:ctrlPr>
              <w:rPr>
                <w:rStyle w:val="Bodytext31Sylfaen9"/>
                <w:rFonts w:ascii="Cambria Math" w:hAnsi="Cambria Math"/>
                <w:i w:val="0"/>
                <w:iCs w:val="0"/>
                <w:sz w:val="24"/>
                <w:szCs w:val="24"/>
              </w:rPr>
            </m:ctrlPr>
          </m:fPr>
          <m:num>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2</m:t>
                    </m:r>
                  </m:sub>
                </m:sSub>
              </m:e>
            </m:d>
          </m:num>
          <m:den>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n-1</m:t>
                    </m:r>
                  </m:sub>
                </m:sSub>
              </m:e>
            </m:d>
          </m:den>
        </m:f>
      </m:oMath>
      <w:r w:rsidRPr="00B834A2">
        <w:rPr>
          <w:rStyle w:val="Bodytext31Sylfaen9"/>
          <w:sz w:val="24"/>
          <w:szCs w:val="24"/>
        </w:rPr>
        <w:t>։</w:t>
      </w:r>
    </w:p>
    <w:p w14:paraId="655C248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F76DA">
        <w:rPr>
          <w:rFonts w:ascii="Sylfaen" w:hAnsi="Sylfaen"/>
          <w:i/>
          <w:sz w:val="24"/>
          <w:szCs w:val="24"/>
        </w:rPr>
        <w:t>Q</w:t>
      </w:r>
      <w:r w:rsidRPr="00B834A2">
        <w:rPr>
          <w:rFonts w:ascii="Sylfaen" w:hAnsi="Sylfaen"/>
          <w:sz w:val="24"/>
          <w:szCs w:val="24"/>
        </w:rPr>
        <w:t xml:space="preserve">-ի գտնված արժեքը համեմատվում է աղյուսակային </w:t>
      </w:r>
      <w:r w:rsidRPr="00BF76DA">
        <w:rPr>
          <w:rFonts w:ascii="Sylfaen" w:hAnsi="Sylfaen"/>
          <w:i/>
          <w:sz w:val="24"/>
          <w:szCs w:val="24"/>
        </w:rPr>
        <w:t>Q</w:t>
      </w:r>
      <w:r w:rsidRPr="00B834A2">
        <w:rPr>
          <w:rFonts w:ascii="Sylfaen" w:hAnsi="Sylfaen"/>
          <w:sz w:val="24"/>
          <w:szCs w:val="24"/>
        </w:rPr>
        <w:t>-ի հետ (Р, n)։</w:t>
      </w:r>
      <w:r w:rsidRPr="00B834A2">
        <w:rPr>
          <w:rStyle w:val="Bodytext31Sylfaen9"/>
          <w:sz w:val="24"/>
          <w:szCs w:val="24"/>
        </w:rPr>
        <w:t xml:space="preserve"> x</w:t>
      </w:r>
      <w:r w:rsidRPr="00B834A2">
        <w:rPr>
          <w:rStyle w:val="Bodytext285pt"/>
          <w:i w:val="0"/>
          <w:spacing w:val="0"/>
          <w:sz w:val="24"/>
          <w:szCs w:val="24"/>
          <w:vertAlign w:val="subscript"/>
        </w:rPr>
        <w:t xml:space="preserve">1 </w:t>
      </w:r>
      <w:r w:rsidRPr="00B834A2">
        <w:rPr>
          <w:rFonts w:ascii="Sylfaen" w:hAnsi="Sylfaen"/>
          <w:sz w:val="24"/>
          <w:szCs w:val="24"/>
        </w:rPr>
        <w:t xml:space="preserve">մեծությունը կարող է համարվել կոպիտ սխալ, եթե </w:t>
      </w:r>
      <w:r w:rsidRPr="00B834A2">
        <w:rPr>
          <w:rStyle w:val="Bodytext31Sylfaen9"/>
          <w:sz w:val="24"/>
          <w:szCs w:val="24"/>
        </w:rPr>
        <w:t>Q-ի</w:t>
      </w:r>
      <w:r w:rsidRPr="00B834A2">
        <w:rPr>
          <w:rFonts w:ascii="Sylfaen" w:hAnsi="Sylfaen"/>
          <w:sz w:val="24"/>
          <w:szCs w:val="24"/>
        </w:rPr>
        <w:t xml:space="preserve"> դիտարկվող արժեքը գերազանցում է աղյուսակայինը (հավելվածի 1-ին աղյուսակ)։</w:t>
      </w:r>
    </w:p>
    <w:p w14:paraId="1AF151B1" w14:textId="77777777" w:rsidR="00B834A2" w:rsidRPr="00BF76DA" w:rsidRDefault="00B834A2" w:rsidP="009A3F5E">
      <w:pPr>
        <w:pStyle w:val="Bodytext20"/>
        <w:shd w:val="clear" w:color="auto" w:fill="auto"/>
        <w:spacing w:before="0" w:after="160" w:line="360" w:lineRule="auto"/>
        <w:ind w:firstLine="567"/>
        <w:jc w:val="both"/>
        <w:rPr>
          <w:rStyle w:val="Bodytext31Sylfaen9"/>
          <w:i w:val="0"/>
          <w:sz w:val="24"/>
          <w:szCs w:val="24"/>
        </w:rPr>
      </w:pPr>
      <w:r w:rsidRPr="00BF76DA">
        <w:rPr>
          <w:rStyle w:val="Bodytext31Sylfaen9"/>
          <w:i w:val="0"/>
          <w:sz w:val="24"/>
          <w:szCs w:val="24"/>
        </w:rPr>
        <w:t>Օրինակ՝ էգ առնետների մոտ խորիոնային գոնադոտրոպինի կենսաբանական ակտիվությունը որոշելիս խմբերից մեկում ստացել են հետեւյալ արդյունքները (մգ-ով արգանդի զանգվածի հարաբերությունը գ-ով մարմնի զանգվածի նկատմամբ)՝ 1,769, 2,556, 2,977, 3,123, 3,331, 3,354, 3,447, 3,525, 3,995, 4,382։</w:t>
      </w:r>
    </w:p>
    <w:p w14:paraId="36D7AB33" w14:textId="77777777" w:rsidR="00B834A2" w:rsidRPr="00BF76DA" w:rsidRDefault="00B834A2" w:rsidP="009A3F5E">
      <w:pPr>
        <w:pStyle w:val="Bodytext20"/>
        <w:shd w:val="clear" w:color="auto" w:fill="auto"/>
        <w:spacing w:before="0" w:after="160" w:line="360" w:lineRule="auto"/>
        <w:ind w:firstLine="567"/>
        <w:jc w:val="both"/>
        <w:rPr>
          <w:rStyle w:val="Bodytext285pt"/>
          <w:spacing w:val="0"/>
          <w:sz w:val="24"/>
          <w:szCs w:val="24"/>
        </w:rPr>
      </w:pPr>
      <w:r w:rsidRPr="00BF76DA">
        <w:rPr>
          <w:rStyle w:val="Bodytext31Sylfaen9"/>
          <w:i w:val="0"/>
          <w:sz w:val="24"/>
          <w:szCs w:val="24"/>
        </w:rPr>
        <w:t>1,769 արժեքը որոշակիորեն տարբերվում է մնացած արժեքներից եւ պետք է ստուգվի Q չափորոշչի միջոցով։</w:t>
      </w:r>
      <w:r w:rsidRPr="00BF76DA">
        <w:rPr>
          <w:rStyle w:val="Bodytext31Sylfaen9"/>
          <w:sz w:val="24"/>
          <w:szCs w:val="24"/>
        </w:rPr>
        <w:t xml:space="preserve"> </w:t>
      </w:r>
      <w:r w:rsidRPr="00BF76DA">
        <w:rPr>
          <w:rFonts w:ascii="Sylfaen" w:hAnsi="Sylfaen"/>
          <w:sz w:val="24"/>
          <w:szCs w:val="24"/>
        </w:rPr>
        <w:t xml:space="preserve">Վերոնշյալ բանաձեւի համաձայն՝ </w:t>
      </w:r>
      <w:r w:rsidRPr="00BF76DA">
        <w:rPr>
          <w:rStyle w:val="Bodytext31Sylfaen9"/>
          <w:sz w:val="24"/>
          <w:szCs w:val="24"/>
        </w:rPr>
        <w:t xml:space="preserve">n = </w:t>
      </w:r>
      <w:r w:rsidRPr="00BF76DA">
        <w:rPr>
          <w:rStyle w:val="Bodytext285pt"/>
          <w:spacing w:val="0"/>
          <w:sz w:val="24"/>
          <w:szCs w:val="24"/>
        </w:rPr>
        <w:t>10</w:t>
      </w:r>
      <w:r w:rsidRPr="00BF76DA">
        <w:rPr>
          <w:rFonts w:ascii="Sylfaen" w:hAnsi="Sylfaen"/>
          <w:sz w:val="24"/>
          <w:szCs w:val="24"/>
        </w:rPr>
        <w:t>-ի դեպքում՝</w:t>
      </w:r>
    </w:p>
    <w:p w14:paraId="0ACF8A57" w14:textId="77777777" w:rsidR="00B834A2" w:rsidRPr="00B834A2" w:rsidRDefault="00B834A2" w:rsidP="009A3F5E">
      <w:pPr>
        <w:pStyle w:val="Bodytext20"/>
        <w:shd w:val="clear" w:color="auto" w:fill="auto"/>
        <w:spacing w:before="0" w:after="160" w:line="360" w:lineRule="auto"/>
        <w:ind w:firstLine="567"/>
        <w:jc w:val="both"/>
        <w:rPr>
          <w:rStyle w:val="Bodytext285pt"/>
          <w:i w:val="0"/>
          <w:spacing w:val="0"/>
          <w:sz w:val="24"/>
          <w:szCs w:val="24"/>
          <w:lang w:val="en-GB"/>
        </w:rPr>
      </w:pPr>
      <m:oMathPara>
        <m:oMath>
          <m:r>
            <w:rPr>
              <w:rStyle w:val="Bodytext285pt"/>
              <w:rFonts w:ascii="Cambria Math" w:hAnsi="Cambria Math"/>
              <w:spacing w:val="0"/>
              <w:sz w:val="24"/>
              <w:szCs w:val="24"/>
            </w:rPr>
            <w:lastRenderedPageBreak/>
            <m:t>Q=</m:t>
          </m:r>
          <m:f>
            <m:fPr>
              <m:ctrlPr>
                <w:rPr>
                  <w:rStyle w:val="Bodytext285pt"/>
                  <w:rFonts w:ascii="Cambria Math" w:hAnsi="Cambria Math"/>
                  <w:i w:val="0"/>
                  <w:iCs w:val="0"/>
                  <w:spacing w:val="0"/>
                  <w:sz w:val="24"/>
                  <w:szCs w:val="24"/>
                </w:rPr>
              </m:ctrlPr>
            </m:fPr>
            <m:num>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2</m:t>
                      </m:r>
                    </m:sub>
                  </m:sSub>
                </m:e>
              </m:d>
            </m:num>
            <m:den>
              <m:d>
                <m:dPr>
                  <m:begChr m:val="|"/>
                  <m:endChr m:val="|"/>
                  <m:ctrlPr>
                    <w:rPr>
                      <w:rStyle w:val="Bodytext31Sylfaen9"/>
                      <w:rFonts w:ascii="Cambria Math" w:hAnsi="Cambria Math"/>
                      <w:i w:val="0"/>
                      <w:iCs w:val="0"/>
                      <w:sz w:val="24"/>
                      <w:szCs w:val="24"/>
                    </w:rPr>
                  </m:ctrlPr>
                </m:dPr>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1-</m:t>
                      </m:r>
                    </m:sub>
                  </m:sSub>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x</m:t>
                      </m:r>
                    </m:e>
                    <m:sub>
                      <m:r>
                        <w:rPr>
                          <w:rStyle w:val="Bodytext31Sylfaen9"/>
                          <w:rFonts w:ascii="Cambria Math" w:hAnsi="Cambria Math"/>
                          <w:sz w:val="24"/>
                          <w:szCs w:val="24"/>
                        </w:rPr>
                        <m:t>n-1</m:t>
                      </m:r>
                    </m:sub>
                  </m:sSub>
                </m:e>
              </m:d>
            </m:den>
          </m:f>
          <m:r>
            <w:rPr>
              <w:rStyle w:val="Bodytext285pt"/>
              <w:rFonts w:ascii="Cambria Math" w:hAnsi="Cambria Math"/>
              <w:spacing w:val="0"/>
              <w:sz w:val="24"/>
              <w:szCs w:val="24"/>
            </w:rPr>
            <m:t>=</m:t>
          </m:r>
          <m:f>
            <m:fPr>
              <m:ctrlPr>
                <w:rPr>
                  <w:rStyle w:val="Bodytext285pt"/>
                  <w:rFonts w:ascii="Cambria Math" w:hAnsi="Cambria Math"/>
                  <w:i w:val="0"/>
                  <w:iCs w:val="0"/>
                  <w:spacing w:val="0"/>
                  <w:sz w:val="24"/>
                  <w:szCs w:val="24"/>
                </w:rPr>
              </m:ctrlPr>
            </m:fPr>
            <m:num>
              <m:d>
                <m:dPr>
                  <m:begChr m:val="|"/>
                  <m:endChr m:val="|"/>
                  <m:ctrlPr>
                    <w:rPr>
                      <w:rStyle w:val="Bodytext285pt"/>
                      <w:rFonts w:ascii="Cambria Math" w:hAnsi="Cambria Math"/>
                      <w:i w:val="0"/>
                      <w:iCs w:val="0"/>
                      <w:spacing w:val="0"/>
                      <w:sz w:val="24"/>
                      <w:szCs w:val="24"/>
                    </w:rPr>
                  </m:ctrlPr>
                </m:dPr>
                <m:e>
                  <m:r>
                    <w:rPr>
                      <w:rStyle w:val="Bodytext285pt"/>
                      <w:rFonts w:ascii="Cambria Math" w:hAnsi="Cambria Math"/>
                      <w:spacing w:val="0"/>
                      <w:sz w:val="24"/>
                      <w:szCs w:val="24"/>
                    </w:rPr>
                    <m:t>1,769-2,556</m:t>
                  </m:r>
                </m:e>
              </m:d>
            </m:num>
            <m:den>
              <m:d>
                <m:dPr>
                  <m:begChr m:val="|"/>
                  <m:endChr m:val="|"/>
                  <m:ctrlPr>
                    <w:rPr>
                      <w:rStyle w:val="Bodytext285pt"/>
                      <w:rFonts w:ascii="Cambria Math" w:hAnsi="Cambria Math"/>
                      <w:i w:val="0"/>
                      <w:iCs w:val="0"/>
                      <w:spacing w:val="0"/>
                      <w:sz w:val="24"/>
                      <w:szCs w:val="24"/>
                    </w:rPr>
                  </m:ctrlPr>
                </m:dPr>
                <m:e>
                  <m:r>
                    <w:rPr>
                      <w:rStyle w:val="Bodytext285pt"/>
                      <w:rFonts w:ascii="Cambria Math" w:hAnsi="Cambria Math"/>
                      <w:spacing w:val="0"/>
                      <w:sz w:val="24"/>
                      <w:szCs w:val="24"/>
                    </w:rPr>
                    <m:t>1,769-3,995</m:t>
                  </m:r>
                </m:e>
              </m:d>
            </m:den>
          </m:f>
          <m:r>
            <w:rPr>
              <w:rStyle w:val="Bodytext285pt"/>
              <w:rFonts w:ascii="Cambria Math" w:hAnsi="Cambria Math"/>
              <w:spacing w:val="0"/>
              <w:sz w:val="24"/>
              <w:szCs w:val="24"/>
              <w:lang w:val="en-GB"/>
            </w:rPr>
            <m:t>=0,354:</m:t>
          </m:r>
        </m:oMath>
      </m:oMathPara>
    </w:p>
    <w:p w14:paraId="56FAD1A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Q</w:t>
      </w:r>
      <w:r w:rsidRPr="00B834A2">
        <w:rPr>
          <w:rFonts w:ascii="Sylfaen" w:hAnsi="Sylfaen"/>
          <w:sz w:val="24"/>
          <w:szCs w:val="24"/>
        </w:rPr>
        <w:t xml:space="preserve"> չափորոշչի ստացված արժեքը փոքր է կրիտիկական արժեքից, որը կազմում է 0,48 </w:t>
      </w:r>
      <w:r w:rsidRPr="00B834A2">
        <w:rPr>
          <w:rStyle w:val="Bodytext2Italic"/>
          <w:sz w:val="24"/>
          <w:szCs w:val="24"/>
        </w:rPr>
        <w:t>(Р</w:t>
      </w:r>
      <w:r w:rsidRPr="00B834A2">
        <w:rPr>
          <w:rStyle w:val="Bodytext31Sylfaen9"/>
          <w:sz w:val="24"/>
          <w:szCs w:val="24"/>
        </w:rPr>
        <w:t xml:space="preserve"> = 0,95)։</w:t>
      </w:r>
    </w:p>
    <w:p w14:paraId="6F4A7173"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Հետեւաբար 1,769 արժեքը կոպիտ սխալ չէ։</w:t>
      </w:r>
    </w:p>
    <w:p w14:paraId="15EF2AF0"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Բոլոր տվյալների համար 10 &lt;n &lt; 1000-ի դեպքում, կասկածելի արժեքից բացի, հաշվարկվում է միջին թվաբանական եւ միջին քառակուսային շեղումը։ Կասկածելի արժեքը համարվում է կոպիտ սխալ, եթե այն հեռու է միջինից ավելի, քան 4s-ով։</w:t>
      </w:r>
    </w:p>
    <w:p w14:paraId="134EEADE"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Արդյունքում ստանում են միատեսակ ընտրանք, որի համար հաշվարկվում է </w:t>
      </w:r>
      <w:r w:rsidRPr="00B834A2">
        <w:rPr>
          <w:rFonts w:ascii="Microsoft Sans Serif" w:hAnsi="Microsoft Sans Serif" w:cs="Microsoft Sans Serif"/>
          <w:sz w:val="24"/>
          <w:szCs w:val="24"/>
        </w:rPr>
        <w:t>ȳ</w:t>
      </w:r>
      <w:r w:rsidRPr="00B834A2">
        <w:rPr>
          <w:rFonts w:ascii="Sylfaen" w:hAnsi="Sylfaen" w:cs="Sylfaen"/>
          <w:sz w:val="24"/>
          <w:szCs w:val="24"/>
        </w:rPr>
        <w:t xml:space="preserve"> միջին արձագանքը, s</w:t>
      </w:r>
      <w:r w:rsidRPr="00B834A2">
        <w:rPr>
          <w:rStyle w:val="Bodytext31Sylfaen9"/>
          <w:sz w:val="24"/>
          <w:szCs w:val="24"/>
          <w:vertAlign w:val="superscript"/>
        </w:rPr>
        <w:t xml:space="preserve">2 </w:t>
      </w:r>
      <w:r w:rsidRPr="00B834A2">
        <w:rPr>
          <w:rFonts w:ascii="Sylfaen" w:hAnsi="Sylfaen" w:cs="Sylfaen"/>
          <w:sz w:val="24"/>
          <w:szCs w:val="24"/>
        </w:rPr>
        <w:t xml:space="preserve">արձագանքի </w:t>
      </w:r>
      <w:r w:rsidRPr="00B834A2">
        <w:rPr>
          <w:rFonts w:ascii="Sylfaen" w:hAnsi="Sylfaen"/>
          <w:sz w:val="24"/>
          <w:szCs w:val="24"/>
        </w:rPr>
        <w:t>դիսպերսիան, դրա միջին քառակուսային շեղումը եւ վստահելի միջակայքը։</w:t>
      </w:r>
    </w:p>
    <w:p w14:paraId="55950A88"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Որպես ստացված տվյալների սկզբնական մշակման օրինակ կարող է բերվել ինսուլինի եւ դրա անալոգների երկարաձգված ազդեցության որոշումը (3.2.7 բաժին)։ Ստուգիչ ժամանակային կետում (5,84 ժ) ստանդարտ նմուշն ստացած խմբի կենդանիների արյան մեջ գլյուկոզի կոնցենտրացիան կազմել է ( %-ով) 92,25, 105,24, 98,34, 106,28, 102,99, 89,12, 95,94, 111,68, 98,71։</w:t>
      </w:r>
    </w:p>
    <w:p w14:paraId="51C1F2F9"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Հաշվարկը կատարվում է հետեւյալ բանաձեւերով՝ </w:t>
      </w:r>
      <w:r w:rsidRPr="00B834A2">
        <w:rPr>
          <w:rStyle w:val="Bodytext2Italic"/>
          <w:sz w:val="24"/>
          <w:szCs w:val="24"/>
        </w:rPr>
        <w:t>р</w:t>
      </w:r>
      <w:r w:rsidRPr="00B834A2">
        <w:rPr>
          <w:rStyle w:val="Bodytext31Sylfaen9"/>
          <w:sz w:val="24"/>
          <w:szCs w:val="24"/>
        </w:rPr>
        <w:t xml:space="preserve"> =0,05-ի դեպքում։</w:t>
      </w:r>
    </w:p>
    <w:p w14:paraId="1893260F"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p>
    <w:p w14:paraId="6027BAA1" w14:textId="77777777" w:rsidR="00B834A2" w:rsidRPr="00B834A2" w:rsidRDefault="00B834A2" w:rsidP="00BF76DA">
      <w:pPr>
        <w:pStyle w:val="Bodytext20"/>
        <w:shd w:val="clear" w:color="auto" w:fill="auto"/>
        <w:spacing w:before="0" w:after="160" w:line="360" w:lineRule="auto"/>
        <w:ind w:firstLine="567"/>
        <w:jc w:val="left"/>
        <w:rPr>
          <w:rFonts w:ascii="Sylfaen" w:hAnsi="Sylfaen" w:cs="Sylfaen"/>
          <w:sz w:val="24"/>
          <w:szCs w:val="24"/>
          <w:highlight w:val="yellow"/>
        </w:rPr>
      </w:pPr>
      <w:r w:rsidRPr="00B834A2">
        <w:rPr>
          <w:rStyle w:val="Bodytext31Sylfaen9"/>
          <w:sz w:val="24"/>
          <w:szCs w:val="24"/>
        </w:rPr>
        <w:t xml:space="preserve">Միջին պատասխանը՝ </w:t>
      </w:r>
      <w:r w:rsidRPr="00B834A2">
        <w:rPr>
          <w:rFonts w:ascii="Sylfaen" w:eastAsia="Sylfaen" w:hAnsi="Sylfaen" w:cs="Sylfaen"/>
          <w:noProof/>
          <w:sz w:val="24"/>
          <w:szCs w:val="24"/>
          <w:shd w:val="clear" w:color="auto" w:fill="FFFFFF"/>
          <w:lang w:val="en-US" w:eastAsia="en-US" w:bidi="ar-SA"/>
        </w:rPr>
        <w:drawing>
          <wp:inline distT="0" distB="0" distL="0" distR="0" wp14:anchorId="3EE27914" wp14:editId="114BD8AC">
            <wp:extent cx="1257016" cy="516378"/>
            <wp:effectExtent l="19050" t="0" r="284"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srcRect/>
                    <a:stretch>
                      <a:fillRect/>
                    </a:stretch>
                  </pic:blipFill>
                  <pic:spPr bwMode="auto">
                    <a:xfrm>
                      <a:off x="0" y="0"/>
                      <a:ext cx="1263603" cy="519084"/>
                    </a:xfrm>
                    <a:prstGeom prst="rect">
                      <a:avLst/>
                    </a:prstGeom>
                    <a:noFill/>
                    <a:ln w="9525">
                      <a:noFill/>
                      <a:miter lim="800000"/>
                      <a:headEnd/>
                      <a:tailEnd/>
                    </a:ln>
                  </pic:spPr>
                </pic:pic>
              </a:graphicData>
            </a:graphic>
          </wp:inline>
        </w:drawing>
      </w:r>
    </w:p>
    <w:p w14:paraId="6F2FA0A1" w14:textId="77777777" w:rsidR="00B834A2" w:rsidRPr="00B834A2" w:rsidRDefault="00B834A2" w:rsidP="00BF76DA">
      <w:pPr>
        <w:pStyle w:val="Bodytext20"/>
        <w:shd w:val="clear" w:color="auto" w:fill="auto"/>
        <w:spacing w:before="0" w:after="160" w:line="360" w:lineRule="auto"/>
        <w:ind w:firstLine="567"/>
        <w:jc w:val="left"/>
        <w:rPr>
          <w:rFonts w:ascii="Sylfaen" w:hAnsi="Sylfaen" w:cs="Sylfaen"/>
          <w:sz w:val="24"/>
          <w:szCs w:val="24"/>
          <w:highlight w:val="yellow"/>
        </w:rPr>
      </w:pPr>
      <w:r w:rsidRPr="00B834A2">
        <w:rPr>
          <w:rStyle w:val="Bodytext31Sylfaen9"/>
          <w:sz w:val="24"/>
          <w:szCs w:val="24"/>
        </w:rPr>
        <w:t>Արձագանքի դիսպերսիան՝</w:t>
      </w:r>
      <w:r w:rsidR="00BF76DA" w:rsidRPr="00BF76DA">
        <w:rPr>
          <w:rStyle w:val="Bodytext31Sylfaen9"/>
          <w:sz w:val="24"/>
          <w:szCs w:val="24"/>
        </w:rPr>
        <w:t xml:space="preserve"> </w:t>
      </w:r>
      <w:r w:rsidRPr="00B834A2">
        <w:rPr>
          <w:rFonts w:ascii="Sylfaen" w:hAnsi="Sylfaen" w:cs="Sylfaen"/>
          <w:noProof/>
          <w:sz w:val="24"/>
          <w:szCs w:val="24"/>
          <w:lang w:val="en-US" w:eastAsia="en-US" w:bidi="ar-SA"/>
        </w:rPr>
        <w:drawing>
          <wp:inline distT="0" distB="0" distL="0" distR="0" wp14:anchorId="25C4013F" wp14:editId="6B70A1A7">
            <wp:extent cx="2008599" cy="712369"/>
            <wp:effectExtent l="19050" t="0" r="0" b="0"/>
            <wp:docPr id="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2016974" cy="715339"/>
                    </a:xfrm>
                    <a:prstGeom prst="rect">
                      <a:avLst/>
                    </a:prstGeom>
                    <a:noFill/>
                    <a:ln w="9525">
                      <a:noFill/>
                      <a:miter lim="800000"/>
                      <a:headEnd/>
                      <a:tailEnd/>
                    </a:ln>
                  </pic:spPr>
                </pic:pic>
              </a:graphicData>
            </a:graphic>
          </wp:inline>
        </w:drawing>
      </w:r>
    </w:p>
    <w:p w14:paraId="1132412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p>
    <w:p w14:paraId="4FF9D745"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Միջին քառակուսային շեղումը՝ s = 7,17։</w:t>
      </w:r>
    </w:p>
    <w:p w14:paraId="3EC46010"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lastRenderedPageBreak/>
        <w:t xml:space="preserve">Ազատության աստիճանների թիվը՝ </w:t>
      </w:r>
      <w:r w:rsidRPr="00B834A2">
        <w:rPr>
          <w:rStyle w:val="Bodytext31Sylfaen9"/>
          <w:sz w:val="24"/>
          <w:szCs w:val="24"/>
        </w:rPr>
        <w:t xml:space="preserve">f = </w:t>
      </w:r>
      <w:r w:rsidRPr="00B834A2">
        <w:rPr>
          <w:rStyle w:val="Bodytext2Italic"/>
          <w:sz w:val="24"/>
          <w:szCs w:val="24"/>
        </w:rPr>
        <w:t xml:space="preserve">n </w:t>
      </w:r>
      <w:r w:rsidRPr="00B834A2">
        <w:rPr>
          <w:rStyle w:val="Bodytext31Sylfaen9"/>
          <w:sz w:val="24"/>
          <w:szCs w:val="24"/>
        </w:rPr>
        <w:t xml:space="preserve">-1 = </w:t>
      </w:r>
      <w:r w:rsidRPr="00B834A2">
        <w:rPr>
          <w:rStyle w:val="Bodytext285pt"/>
          <w:i w:val="0"/>
          <w:spacing w:val="0"/>
          <w:sz w:val="24"/>
          <w:szCs w:val="24"/>
        </w:rPr>
        <w:t>8</w:t>
      </w:r>
      <w:r w:rsidRPr="00B834A2">
        <w:rPr>
          <w:rStyle w:val="Bodytext31Sylfaen9"/>
          <w:sz w:val="24"/>
          <w:szCs w:val="24"/>
        </w:rPr>
        <w:t>։</w:t>
      </w:r>
    </w:p>
    <w:p w14:paraId="0EA6122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Ստյուդենտի չափորոշչի կրիտիկական արժեքը՝</w:t>
      </w:r>
      <w:r>
        <w:rPr>
          <w:rFonts w:ascii="Sylfaen" w:hAnsi="Sylfaen"/>
          <w:sz w:val="24"/>
          <w:szCs w:val="24"/>
        </w:rPr>
        <w:t xml:space="preserve"> </w:t>
      </w:r>
      <w:r w:rsidRPr="00B834A2">
        <w:rPr>
          <w:rStyle w:val="Bodytext31Sylfaen9"/>
          <w:sz w:val="24"/>
          <w:szCs w:val="24"/>
        </w:rPr>
        <w:t xml:space="preserve">t (0,05, </w:t>
      </w:r>
      <w:r w:rsidRPr="00B834A2">
        <w:rPr>
          <w:rStyle w:val="Bodytext285pt"/>
          <w:spacing w:val="0"/>
          <w:sz w:val="24"/>
          <w:szCs w:val="24"/>
        </w:rPr>
        <w:t>8</w:t>
      </w:r>
      <w:r w:rsidRPr="00B834A2">
        <w:rPr>
          <w:rStyle w:val="Bodytext31Sylfaen9"/>
          <w:sz w:val="24"/>
          <w:szCs w:val="24"/>
        </w:rPr>
        <w:t>) = 2,31</w:t>
      </w:r>
      <w:r w:rsidRPr="00B834A2">
        <w:rPr>
          <w:rFonts w:ascii="Sylfaen" w:hAnsi="Sylfaen"/>
          <w:sz w:val="24"/>
          <w:szCs w:val="24"/>
        </w:rPr>
        <w:t>(հավելվածի 2-րդ աղյուսակ)։</w:t>
      </w:r>
    </w:p>
    <w:p w14:paraId="1413B29F"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Վստահելի միջակայքի կիսալայնությունը ՝</w:t>
      </w:r>
    </w:p>
    <w:p w14:paraId="52B83DAD" w14:textId="77777777" w:rsidR="00B834A2" w:rsidRPr="00B834A2" w:rsidRDefault="00B834A2" w:rsidP="00BF76DA">
      <w:pPr>
        <w:pStyle w:val="Bodytext20"/>
        <w:shd w:val="clear" w:color="auto" w:fill="auto"/>
        <w:spacing w:before="0" w:after="160" w:line="360" w:lineRule="auto"/>
        <w:ind w:right="1580" w:firstLine="567"/>
        <w:rPr>
          <w:rStyle w:val="Bodytext31Sylfaen9"/>
          <w:sz w:val="24"/>
          <w:szCs w:val="24"/>
        </w:rPr>
      </w:pPr>
      <m:oMath>
        <m:r>
          <w:rPr>
            <w:rStyle w:val="Bodytext31Sylfaen9"/>
            <w:rFonts w:ascii="Cambria Math" w:hAnsi="Cambria Math"/>
            <w:sz w:val="24"/>
            <w:szCs w:val="24"/>
          </w:rPr>
          <m:t>∆</m:t>
        </m:r>
        <m:bar>
          <m:barPr>
            <m:pos m:val="top"/>
            <m:ctrlPr>
              <w:rPr>
                <w:rStyle w:val="Bodytext31Sylfaen9"/>
                <w:rFonts w:ascii="Cambria Math" w:hAnsi="Cambria Math"/>
                <w:i w:val="0"/>
                <w:iCs w:val="0"/>
                <w:sz w:val="24"/>
                <w:szCs w:val="24"/>
              </w:rPr>
            </m:ctrlPr>
          </m:barPr>
          <m:e>
            <m:r>
              <w:rPr>
                <w:rStyle w:val="Bodytext31Sylfaen9"/>
                <w:rFonts w:ascii="Cambria Math" w:hAnsi="Cambria Math"/>
                <w:sz w:val="24"/>
                <w:szCs w:val="24"/>
              </w:rPr>
              <m:t>y</m:t>
            </m:r>
          </m:e>
        </m:bar>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t</m:t>
            </m:r>
            <m:d>
              <m:dPr>
                <m:ctrlPr>
                  <w:rPr>
                    <w:rStyle w:val="Bodytext31Sylfaen9"/>
                    <w:rFonts w:ascii="Cambria Math" w:hAnsi="Cambria Math"/>
                    <w:i w:val="0"/>
                    <w:iCs w:val="0"/>
                    <w:sz w:val="24"/>
                    <w:szCs w:val="24"/>
                  </w:rPr>
                </m:ctrlPr>
              </m:dPr>
              <m:e>
                <m:r>
                  <w:rPr>
                    <w:rStyle w:val="Bodytext31Sylfaen9"/>
                    <w:rFonts w:ascii="Cambria Math" w:hAnsi="Cambria Math"/>
                    <w:sz w:val="24"/>
                    <w:szCs w:val="24"/>
                  </w:rPr>
                  <m:t>0,05, 8</m:t>
                </m:r>
              </m:e>
            </m:d>
            <m:r>
              <w:rPr>
                <w:rStyle w:val="Bodytext31Sylfaen9"/>
                <w:rFonts w:ascii="Cambria Math" w:hAnsi="Cambria Math"/>
                <w:sz w:val="24"/>
                <w:szCs w:val="24"/>
              </w:rPr>
              <m:t>*s</m:t>
            </m:r>
          </m:num>
          <m:den>
            <m:rad>
              <m:radPr>
                <m:degHide m:val="1"/>
                <m:ctrlPr>
                  <w:rPr>
                    <w:rStyle w:val="Bodytext31Sylfaen9"/>
                    <w:rFonts w:ascii="Cambria Math" w:hAnsi="Cambria Math"/>
                    <w:i w:val="0"/>
                    <w:iCs w:val="0"/>
                    <w:sz w:val="24"/>
                    <w:szCs w:val="24"/>
                  </w:rPr>
                </m:ctrlPr>
              </m:radPr>
              <m:deg/>
              <m:e>
                <m:r>
                  <w:rPr>
                    <w:rStyle w:val="Bodytext31Sylfaen9"/>
                    <w:rFonts w:ascii="Cambria Math" w:hAnsi="Cambria Math"/>
                    <w:sz w:val="24"/>
                    <w:szCs w:val="24"/>
                  </w:rPr>
                  <m:t>n</m:t>
                </m:r>
              </m:e>
            </m:rad>
          </m:den>
        </m:f>
        <m:r>
          <w:rPr>
            <w:rStyle w:val="Bodytext31Sylfaen9"/>
            <w:rFonts w:ascii="Cambria Math" w:hAnsi="Cambria Math"/>
            <w:sz w:val="24"/>
            <w:szCs w:val="24"/>
          </w:rPr>
          <m:t>=5,52%</m:t>
        </m:r>
      </m:oMath>
      <w:r w:rsidRPr="00B834A2">
        <w:rPr>
          <w:rStyle w:val="Bodytext31Sylfaen9"/>
          <w:sz w:val="24"/>
          <w:szCs w:val="24"/>
        </w:rPr>
        <w:t>։</w:t>
      </w:r>
    </w:p>
    <w:p w14:paraId="0122ED5E" w14:textId="77777777" w:rsidR="00B834A2" w:rsidRPr="00B834A2" w:rsidRDefault="00000000" w:rsidP="009A3F5E">
      <w:pPr>
        <w:pStyle w:val="Bodytext20"/>
        <w:shd w:val="clear" w:color="auto" w:fill="auto"/>
        <w:spacing w:before="0" w:after="160" w:line="360" w:lineRule="auto"/>
        <w:ind w:right="1580" w:firstLine="567"/>
        <w:jc w:val="both"/>
        <w:rPr>
          <w:rFonts w:ascii="Sylfaen" w:eastAsia="Sylfaen" w:hAnsi="Sylfaen" w:cs="Sylfaen"/>
          <w:sz w:val="24"/>
          <w:szCs w:val="24"/>
        </w:rPr>
      </w:pPr>
      <m:oMathPara>
        <m:oMath>
          <m:bar>
            <m:barPr>
              <m:pos m:val="top"/>
              <m:ctrlPr>
                <w:rPr>
                  <w:rFonts w:ascii="Cambria Math" w:hAnsi="Cambria Math" w:cs="Sylfaen"/>
                  <w:i/>
                  <w:sz w:val="24"/>
                  <w:szCs w:val="24"/>
                </w:rPr>
              </m:ctrlPr>
            </m:barPr>
            <m:e>
              <m:r>
                <w:rPr>
                  <w:rFonts w:ascii="Cambria Math" w:hAnsi="Cambria Math" w:cs="Sylfaen"/>
                  <w:sz w:val="24"/>
                  <w:szCs w:val="24"/>
                </w:rPr>
                <m:t>y</m:t>
              </m:r>
            </m:e>
          </m:bar>
          <m:r>
            <w:rPr>
              <w:rFonts w:ascii="Cambria Math" w:hAnsi="Cambria Math" w:cs="Sylfaen"/>
              <w:sz w:val="24"/>
              <w:szCs w:val="24"/>
            </w:rPr>
            <m:t>±∆</m:t>
          </m:r>
          <m:bar>
            <m:barPr>
              <m:pos m:val="top"/>
              <m:ctrlPr>
                <w:rPr>
                  <w:rFonts w:ascii="Cambria Math" w:hAnsi="Cambria Math" w:cs="Sylfaen"/>
                  <w:i/>
                  <w:sz w:val="24"/>
                  <w:szCs w:val="24"/>
                </w:rPr>
              </m:ctrlPr>
            </m:barPr>
            <m:e>
              <m:r>
                <w:rPr>
                  <w:rFonts w:ascii="Cambria Math" w:hAnsi="Cambria Math" w:cs="Sylfaen"/>
                  <w:sz w:val="24"/>
                  <w:szCs w:val="24"/>
                </w:rPr>
                <m:t>y</m:t>
              </m:r>
            </m:e>
          </m:bar>
          <m:r>
            <w:rPr>
              <w:rFonts w:ascii="Cambria Math" w:hAnsi="Cambria Math" w:cs="Sylfaen"/>
              <w:sz w:val="24"/>
              <w:szCs w:val="24"/>
            </w:rPr>
            <m:t xml:space="preserve">=100,0±5,5%. </m:t>
          </m:r>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min</m:t>
              </m:r>
            </m:sub>
          </m:sSub>
          <m:r>
            <w:rPr>
              <w:rFonts w:ascii="Cambria Math" w:hAnsi="Cambria Math" w:cs="Sylfaen"/>
              <w:sz w:val="24"/>
              <w:szCs w:val="24"/>
            </w:rPr>
            <m:t>=94,5%.</m:t>
          </m:r>
        </m:oMath>
      </m:oMathPara>
    </w:p>
    <w:p w14:paraId="33F8E89F" w14:textId="77777777" w:rsidR="00B834A2" w:rsidRDefault="00000000" w:rsidP="009A3F5E">
      <w:pPr>
        <w:pStyle w:val="Bodytext20"/>
        <w:shd w:val="clear" w:color="auto" w:fill="auto"/>
        <w:spacing w:before="0" w:after="160" w:line="360" w:lineRule="auto"/>
        <w:ind w:right="1580" w:firstLine="567"/>
        <w:jc w:val="both"/>
        <w:rPr>
          <w:rFonts w:ascii="Sylfaen" w:eastAsia="Sylfaen" w:hAnsi="Sylfaen" w:cs="Sylfaen"/>
          <w:i/>
          <w:sz w:val="24"/>
          <w:szCs w:val="24"/>
          <w:lang w:val="en-US"/>
        </w:rPr>
      </w:pPr>
      <m:oMathPara>
        <m:oMath>
          <m:sSub>
            <m:sSubPr>
              <m:ctrlPr>
                <w:rPr>
                  <w:rFonts w:ascii="Cambria Math" w:eastAsia="Sylfaen" w:hAnsi="Cambria Math" w:cs="Sylfaen"/>
                  <w:i/>
                  <w:sz w:val="24"/>
                  <w:szCs w:val="24"/>
                </w:rPr>
              </m:ctrlPr>
            </m:sSubPr>
            <m:e>
              <m:r>
                <w:rPr>
                  <w:rFonts w:ascii="Cambria Math" w:eastAsia="Sylfaen" w:hAnsi="Cambria Math" w:cs="Sylfaen"/>
                  <w:sz w:val="24"/>
                  <w:szCs w:val="24"/>
                </w:rPr>
                <m:t>y</m:t>
              </m:r>
            </m:e>
            <m:sub>
              <m:r>
                <w:rPr>
                  <w:rFonts w:ascii="Cambria Math" w:eastAsia="Sylfaen" w:hAnsi="Cambria Math" w:cs="Sylfaen"/>
                  <w:sz w:val="24"/>
                  <w:szCs w:val="24"/>
                </w:rPr>
                <m:t>max</m:t>
              </m:r>
            </m:sub>
          </m:sSub>
          <m:r>
            <w:rPr>
              <w:rFonts w:ascii="Cambria Math" w:eastAsia="Sylfaen" w:hAnsi="Cambria Math" w:cs="Sylfaen"/>
              <w:sz w:val="24"/>
              <w:szCs w:val="24"/>
            </w:rPr>
            <m:t>=105,5%</m:t>
          </m:r>
          <m:r>
            <w:rPr>
              <w:rFonts w:ascii="Cambria Math" w:eastAsia="Sylfaen" w:hAnsi="Cambria Math" w:cs="Cambria Math"/>
              <w:sz w:val="24"/>
              <w:szCs w:val="24"/>
            </w:rPr>
            <m:t>։</m:t>
          </m:r>
        </m:oMath>
      </m:oMathPara>
    </w:p>
    <w:p w14:paraId="6F00DB73" w14:textId="77777777" w:rsidR="00BF76DA" w:rsidRPr="00BF76DA" w:rsidRDefault="00BF76DA" w:rsidP="009A3F5E">
      <w:pPr>
        <w:pStyle w:val="Bodytext20"/>
        <w:shd w:val="clear" w:color="auto" w:fill="auto"/>
        <w:spacing w:before="0" w:after="160" w:line="360" w:lineRule="auto"/>
        <w:ind w:right="1580" w:firstLine="567"/>
        <w:jc w:val="both"/>
        <w:rPr>
          <w:rFonts w:ascii="Sylfaen" w:eastAsia="Sylfaen" w:hAnsi="Sylfaen" w:cs="Sylfaen"/>
          <w:i/>
          <w:sz w:val="24"/>
          <w:szCs w:val="24"/>
          <w:lang w:val="en-US"/>
        </w:rPr>
      </w:pPr>
    </w:p>
    <w:p w14:paraId="0EEFBF42" w14:textId="77777777" w:rsidR="00B834A2" w:rsidRPr="00BF76DA" w:rsidRDefault="00B834A2" w:rsidP="00BF76DA">
      <w:pPr>
        <w:pStyle w:val="Bodytext20"/>
        <w:shd w:val="clear" w:color="auto" w:fill="auto"/>
        <w:tabs>
          <w:tab w:val="left" w:pos="1134"/>
        </w:tabs>
        <w:spacing w:before="0" w:after="160" w:line="360" w:lineRule="auto"/>
        <w:ind w:firstLine="567"/>
        <w:jc w:val="both"/>
        <w:rPr>
          <w:rFonts w:ascii="Sylfaen" w:hAnsi="Sylfaen" w:cs="Sylfaen"/>
          <w:b/>
          <w:sz w:val="24"/>
          <w:szCs w:val="24"/>
        </w:rPr>
      </w:pPr>
      <w:r w:rsidRPr="00BF76DA">
        <w:rPr>
          <w:rStyle w:val="Bodytext31Sylfaen9"/>
          <w:b/>
          <w:sz w:val="24"/>
          <w:szCs w:val="24"/>
        </w:rPr>
        <w:t>2.3.</w:t>
      </w:r>
      <w:r w:rsidR="00BF76DA">
        <w:rPr>
          <w:rStyle w:val="Bodytext31Sylfaen9"/>
          <w:b/>
          <w:sz w:val="24"/>
          <w:szCs w:val="24"/>
          <w:lang w:val="en-US"/>
        </w:rPr>
        <w:tab/>
      </w:r>
      <w:r w:rsidRPr="00BF76DA">
        <w:rPr>
          <w:rStyle w:val="Bodytext31Sylfaen9"/>
          <w:b/>
          <w:sz w:val="24"/>
          <w:szCs w:val="24"/>
        </w:rPr>
        <w:t>Ընտրանքների համեմատումը</w:t>
      </w:r>
    </w:p>
    <w:p w14:paraId="1E88F536" w14:textId="77777777" w:rsidR="00B834A2" w:rsidRPr="00BF76DA" w:rsidRDefault="00B834A2" w:rsidP="009A3F5E">
      <w:pPr>
        <w:pStyle w:val="Bodytext20"/>
        <w:shd w:val="clear" w:color="auto" w:fill="auto"/>
        <w:spacing w:before="0" w:after="160" w:line="360" w:lineRule="auto"/>
        <w:ind w:firstLine="567"/>
        <w:jc w:val="both"/>
        <w:rPr>
          <w:rStyle w:val="Bodytext53NotItalic"/>
          <w:rFonts w:ascii="Sylfaen" w:eastAsia="Tahoma" w:hAnsi="Sylfaen" w:cs="Sylfaen"/>
          <w:i w:val="0"/>
          <w:sz w:val="24"/>
          <w:szCs w:val="24"/>
        </w:rPr>
      </w:pPr>
      <w:r w:rsidRPr="00BF76DA">
        <w:rPr>
          <w:rStyle w:val="Bodytext31Sylfaen9"/>
          <w:i w:val="0"/>
          <w:sz w:val="24"/>
          <w:szCs w:val="24"/>
        </w:rPr>
        <w:t>Անկախ խմբերի բազմակի համեմատման համար կիրառվում է դիսպերսիոն վերլուծությունը։ Եթե առկա է երկու խումբ, եւ արձագանքների բաշխումը նորմալ</w:t>
      </w:r>
      <w:r w:rsidR="00BF76DA" w:rsidRPr="00BF76DA">
        <w:rPr>
          <w:rStyle w:val="Bodytext31Sylfaen9"/>
          <w:i w:val="0"/>
          <w:sz w:val="24"/>
          <w:szCs w:val="24"/>
        </w:rPr>
        <w:t> </w:t>
      </w:r>
      <w:r w:rsidRPr="00BF76DA">
        <w:rPr>
          <w:rStyle w:val="Bodytext31Sylfaen9"/>
          <w:i w:val="0"/>
          <w:sz w:val="24"/>
          <w:szCs w:val="24"/>
        </w:rPr>
        <w:t>է, ապա դրանց համեմատումը կարող է կատարվել Ստյուդենտի չափորոշչի միջոցով։</w:t>
      </w:r>
      <w:r w:rsidRPr="00BF76DA">
        <w:rPr>
          <w:rStyle w:val="Bodytext53NotItalic"/>
          <w:rFonts w:ascii="Sylfaen" w:hAnsi="Sylfaen"/>
          <w:i w:val="0"/>
          <w:sz w:val="24"/>
          <w:szCs w:val="24"/>
        </w:rPr>
        <w:t xml:space="preserve"> </w:t>
      </w:r>
    </w:p>
    <w:p w14:paraId="0733CEDE" w14:textId="77777777" w:rsidR="00B834A2" w:rsidRPr="00BF76DA" w:rsidRDefault="00B834A2" w:rsidP="00F73206">
      <w:pPr>
        <w:pStyle w:val="Bodytext20"/>
        <w:shd w:val="clear" w:color="auto" w:fill="auto"/>
        <w:tabs>
          <w:tab w:val="left" w:pos="1418"/>
        </w:tabs>
        <w:spacing w:before="0" w:after="160" w:line="360" w:lineRule="auto"/>
        <w:ind w:firstLine="567"/>
        <w:jc w:val="both"/>
        <w:rPr>
          <w:rFonts w:ascii="Sylfaen" w:hAnsi="Sylfaen" w:cs="Sylfaen"/>
          <w:i/>
          <w:sz w:val="24"/>
          <w:szCs w:val="24"/>
        </w:rPr>
      </w:pPr>
      <w:r w:rsidRPr="00BF76DA">
        <w:rPr>
          <w:rStyle w:val="Bodytext2Italic"/>
          <w:i w:val="0"/>
          <w:sz w:val="24"/>
          <w:szCs w:val="24"/>
        </w:rPr>
        <w:t>2.3.1.</w:t>
      </w:r>
      <w:r w:rsidR="00F73206" w:rsidRPr="00A859E3">
        <w:rPr>
          <w:rStyle w:val="Bodytext2Italic"/>
          <w:i w:val="0"/>
          <w:sz w:val="24"/>
          <w:szCs w:val="24"/>
        </w:rPr>
        <w:tab/>
      </w:r>
      <w:r w:rsidRPr="00BF76DA">
        <w:rPr>
          <w:rStyle w:val="Bodytext2Italic"/>
          <w:i w:val="0"/>
          <w:sz w:val="24"/>
          <w:szCs w:val="24"/>
        </w:rPr>
        <w:t xml:space="preserve">Երկու անկախ ընտրանքների միջին արժեքների համեմատումը </w:t>
      </w:r>
    </w:p>
    <w:p w14:paraId="6993E19A" w14:textId="77777777" w:rsidR="00B834A2" w:rsidRPr="00BF76DA" w:rsidRDefault="00B834A2" w:rsidP="00BF76DA">
      <w:pPr>
        <w:pStyle w:val="Title"/>
        <w:pBdr>
          <w:bottom w:val="none" w:sz="0" w:space="0" w:color="auto"/>
        </w:pBdr>
        <w:spacing w:after="160" w:line="360" w:lineRule="auto"/>
        <w:ind w:firstLine="567"/>
        <w:contextualSpacing w:val="0"/>
        <w:jc w:val="both"/>
        <w:rPr>
          <w:rStyle w:val="Bodytext31Sylfaen9"/>
          <w:i w:val="0"/>
          <w:kern w:val="0"/>
          <w:sz w:val="24"/>
          <w:szCs w:val="24"/>
        </w:rPr>
      </w:pPr>
      <w:r w:rsidRPr="00BF76DA">
        <w:rPr>
          <w:rStyle w:val="Bodytext31Sylfaen9"/>
          <w:i w:val="0"/>
          <w:kern w:val="0"/>
          <w:sz w:val="24"/>
          <w:szCs w:val="24"/>
        </w:rPr>
        <w:t>Ստանդարտ նմուշի եւ փորձարկվող նմուշի համեմատումն ըստ քանակական ցուցանիշի միջին արժեքի, որը կիրառվում է որակի որեւէ ցուցանիշի, օրինակ՝ երկարաձգված ազդեցության որոշման համար, կարող է կատարվել</w:t>
      </w:r>
      <w:r w:rsidRPr="00B834A2">
        <w:rPr>
          <w:rStyle w:val="Bodytext31Sylfaen9"/>
          <w:kern w:val="0"/>
          <w:sz w:val="24"/>
          <w:szCs w:val="24"/>
        </w:rPr>
        <w:t xml:space="preserve"> </w:t>
      </w:r>
      <w:r w:rsidRPr="00BF76DA">
        <w:rPr>
          <w:rStyle w:val="Bodytext31Sylfaen9"/>
          <w:i w:val="0"/>
          <w:kern w:val="0"/>
          <w:sz w:val="24"/>
          <w:szCs w:val="24"/>
        </w:rPr>
        <w:t>Ստյուդենտի չափորոշչի միջոցով՝ անկախ ընտրանքների համար՝</w:t>
      </w:r>
    </w:p>
    <w:p w14:paraId="6942D1AB"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դիտ</m:t>
              </m:r>
              <m:r>
                <w:rPr>
                  <w:rFonts w:ascii="Cambria Math" w:hAnsi="Cambria Math" w:cs="Sylfaen"/>
                  <w:sz w:val="24"/>
                  <w:szCs w:val="24"/>
                </w:rPr>
                <m:t>.</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num>
            <m:den>
              <m:rad>
                <m:radPr>
                  <m:degHide m:val="1"/>
                  <m:ctrlPr>
                    <w:rPr>
                      <w:rFonts w:ascii="Cambria Math" w:hAnsi="Cambria Math" w:cs="Sylfaen"/>
                      <w:i/>
                      <w:sz w:val="24"/>
                      <w:szCs w:val="24"/>
                    </w:rPr>
                  </m:ctrlPr>
                </m:radPr>
                <m:deg/>
                <m:e>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1</m:t>
                          </m:r>
                        </m:sub>
                      </m:sSub>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2</m:t>
                          </m:r>
                        </m:sub>
                      </m:sSub>
                    </m:num>
                    <m:den>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2</m:t>
                          </m:r>
                        </m:sub>
                      </m:sSub>
                    </m:den>
                  </m:f>
                </m:e>
              </m:rad>
            </m:den>
          </m:f>
          <m:r>
            <w:rPr>
              <w:rFonts w:ascii="Cambria Math" w:hAnsi="Cambria Math" w:cs="Sylfaen"/>
              <w:sz w:val="24"/>
              <w:szCs w:val="24"/>
            </w:rPr>
            <m:t>*</m:t>
          </m:r>
          <m:rad>
            <m:radPr>
              <m:degHide m:val="1"/>
              <m:ctrlPr>
                <w:rPr>
                  <w:rFonts w:ascii="Cambria Math" w:hAnsi="Cambria Math" w:cs="Sylfaen"/>
                  <w:i/>
                  <w:sz w:val="24"/>
                  <w:szCs w:val="24"/>
                </w:rPr>
              </m:ctrlPr>
            </m:radPr>
            <m:deg/>
            <m:e>
              <m:f>
                <m:fPr>
                  <m:ctrlPr>
                    <w:rPr>
                      <w:rFonts w:ascii="Cambria Math" w:hAnsi="Cambria Math" w:cs="Sylfaen"/>
                      <w:i/>
                      <w:sz w:val="24"/>
                      <w:szCs w:val="24"/>
                    </w:rPr>
                  </m:ctrlPr>
                </m:fPr>
                <m:num>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den>
              </m:f>
              <m:r>
                <w:rPr>
                  <w:rFonts w:ascii="Cambria Math" w:hAnsi="Cambria Math" w:cs="Sylfaen"/>
                  <w:sz w:val="24"/>
                  <w:szCs w:val="24"/>
                </w:rPr>
                <m:t>,</m:t>
              </m:r>
              <m:r>
                <w:rPr>
                  <w:rFonts w:ascii="Sylfaen" w:hAnsi="Sylfaen" w:cs="Sylfaen"/>
                  <w:sz w:val="24"/>
                  <w:szCs w:val="24"/>
                </w:rPr>
                <m:t>որտեղ</m:t>
              </m:r>
              <m:r>
                <w:rPr>
                  <w:rFonts w:ascii="Cambria Math" w:hAnsi="Cambria Math" w:cs="Sylfaen"/>
                  <w:sz w:val="24"/>
                  <w:szCs w:val="24"/>
                </w:rPr>
                <m:t xml:space="preserve"> f=</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i</m:t>
                  </m:r>
                </m:sub>
              </m:sSub>
              <m:r>
                <w:rPr>
                  <w:rFonts w:ascii="Cambria Math" w:hAnsi="Cambria Math" w:cs="Sylfaen"/>
                  <w:sz w:val="24"/>
                  <w:szCs w:val="24"/>
                </w:rPr>
                <m:t>-1.</m:t>
              </m:r>
            </m:e>
          </m:rad>
        </m:oMath>
      </m:oMathPara>
    </w:p>
    <w:p w14:paraId="43728F92"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կրիտիկ</m:t>
            </m:r>
            <m:r>
              <w:rPr>
                <w:rFonts w:ascii="Cambria Math" w:hAnsi="Cambria Math" w:cs="Sylfaen"/>
                <w:sz w:val="24"/>
                <w:szCs w:val="24"/>
              </w:rPr>
              <m:t>.</m:t>
            </m:r>
          </m:sub>
        </m:sSub>
        <m:r>
          <w:rPr>
            <w:rFonts w:ascii="Cambria Math" w:hAnsi="Cambria Math" w:cs="Sylfaen"/>
            <w:sz w:val="24"/>
            <w:szCs w:val="24"/>
          </w:rPr>
          <m:t>=1,958788+2,429953/f+2,189891/</m:t>
        </m:r>
        <m:sSup>
          <m:sSupPr>
            <m:ctrlPr>
              <w:rPr>
                <w:rFonts w:ascii="Cambria Math" w:hAnsi="Cambria Math" w:cs="Sylfaen"/>
                <w:i/>
                <w:sz w:val="24"/>
                <w:szCs w:val="24"/>
              </w:rPr>
            </m:ctrlPr>
          </m:sSupPr>
          <m:e>
            <m:r>
              <w:rPr>
                <w:rFonts w:ascii="Cambria Math" w:hAnsi="Cambria Math" w:cs="Sylfaen"/>
                <w:sz w:val="24"/>
                <w:szCs w:val="24"/>
              </w:rPr>
              <m:t>f</m:t>
            </m:r>
          </m:e>
          <m:sup>
            <m:r>
              <w:rPr>
                <w:rFonts w:ascii="Cambria Math" w:hAnsi="Cambria Math" w:cs="Sylfaen"/>
                <w:sz w:val="24"/>
                <w:szCs w:val="24"/>
              </w:rPr>
              <m:t>2</m:t>
            </m:r>
          </m:sup>
        </m:sSup>
        <m:r>
          <w:rPr>
            <w:rFonts w:ascii="Cambria Math" w:hAnsi="Cambria Math" w:cs="Sylfaen"/>
            <w:sz w:val="24"/>
            <w:szCs w:val="24"/>
          </w:rPr>
          <m:t>+</m:t>
        </m:r>
      </m:oMath>
      <w:r w:rsidR="00B834A2" w:rsidRPr="00B834A2">
        <w:rPr>
          <w:rFonts w:ascii="Sylfaen" w:hAnsi="Sylfaen"/>
          <w:sz w:val="24"/>
          <w:szCs w:val="24"/>
        </w:rPr>
        <w:t>4,630189/</w:t>
      </w:r>
      <m:oMath>
        <m:sSup>
          <m:sSupPr>
            <m:ctrlPr>
              <w:rPr>
                <w:rFonts w:ascii="Cambria Math" w:hAnsi="Cambria Math" w:cs="Sylfaen"/>
                <w:i/>
                <w:sz w:val="24"/>
                <w:szCs w:val="24"/>
              </w:rPr>
            </m:ctrlPr>
          </m:sSupPr>
          <m:e>
            <m:r>
              <w:rPr>
                <w:rFonts w:ascii="Cambria Math" w:hAnsi="Cambria Math" w:cs="Sylfaen"/>
                <w:sz w:val="24"/>
                <w:szCs w:val="24"/>
              </w:rPr>
              <m:t>f</m:t>
            </m:r>
          </m:e>
          <m:sup>
            <m:r>
              <w:rPr>
                <w:rFonts w:ascii="Cambria Math" w:hAnsi="Cambria Math" w:cs="Sylfaen"/>
                <w:sz w:val="24"/>
                <w:szCs w:val="24"/>
              </w:rPr>
              <m:t>3</m:t>
            </m:r>
          </m:sup>
        </m:sSup>
        <m:r>
          <w:rPr>
            <w:rFonts w:ascii="Cambria Math" w:hAnsi="Cambria Math" w:cs="Sylfaen"/>
            <w:sz w:val="24"/>
            <w:szCs w:val="24"/>
          </w:rPr>
          <m:t>+1,398179/</m:t>
        </m:r>
        <m:sSup>
          <m:sSupPr>
            <m:ctrlPr>
              <w:rPr>
                <w:rFonts w:ascii="Cambria Math" w:hAnsi="Cambria Math" w:cs="Sylfaen"/>
                <w:i/>
                <w:sz w:val="24"/>
                <w:szCs w:val="24"/>
              </w:rPr>
            </m:ctrlPr>
          </m:sSupPr>
          <m:e>
            <m:r>
              <w:rPr>
                <w:rFonts w:ascii="Cambria Math" w:hAnsi="Cambria Math" w:cs="Sylfaen"/>
                <w:sz w:val="24"/>
                <w:szCs w:val="24"/>
              </w:rPr>
              <m:t>f</m:t>
            </m:r>
          </m:e>
          <m:sup>
            <m:r>
              <w:rPr>
                <w:rFonts w:ascii="Cambria Math" w:hAnsi="Cambria Math" w:cs="Sylfaen"/>
                <w:sz w:val="24"/>
                <w:szCs w:val="24"/>
              </w:rPr>
              <m:t>9</m:t>
            </m:r>
          </m:sup>
        </m:sSup>
      </m:oMath>
      <w:r w:rsidR="00B834A2" w:rsidRPr="00B834A2">
        <w:rPr>
          <w:rFonts w:ascii="Sylfaen" w:hAnsi="Sylfaen"/>
          <w:sz w:val="24"/>
          <w:szCs w:val="24"/>
        </w:rPr>
        <w:t>,</w:t>
      </w:r>
    </w:p>
    <w:p w14:paraId="1CFAB6F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 xml:space="preserve">եթե </w:t>
      </w:r>
      <m:oMath>
        <m:r>
          <w:rPr>
            <w:rStyle w:val="Bodytext31Sylfaen9"/>
            <w:rFonts w:ascii="Cambria Math" w:hAnsi="Cambria Math"/>
            <w:sz w:val="24"/>
            <w:szCs w:val="24"/>
          </w:rPr>
          <m:t>f=</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n</m:t>
            </m:r>
          </m:e>
          <m:sub>
            <m:r>
              <w:rPr>
                <w:rStyle w:val="Bodytext31Sylfaen9"/>
                <w:rFonts w:ascii="Cambria Math" w:hAnsi="Cambria Math"/>
                <w:sz w:val="24"/>
                <w:szCs w:val="24"/>
              </w:rPr>
              <m:t>1</m:t>
            </m:r>
          </m:sub>
        </m:sSub>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n</m:t>
            </m:r>
          </m:e>
          <m:sub>
            <m:r>
              <w:rPr>
                <w:rStyle w:val="Bodytext31Sylfaen9"/>
                <w:rFonts w:ascii="Cambria Math" w:hAnsi="Cambria Math"/>
                <w:sz w:val="24"/>
                <w:szCs w:val="24"/>
              </w:rPr>
              <m:t>2</m:t>
            </m:r>
          </m:sub>
        </m:sSub>
        <m:r>
          <w:rPr>
            <w:rStyle w:val="Bodytext31Sylfaen9"/>
            <w:rFonts w:ascii="Cambria Math" w:hAnsi="Cambria Math"/>
            <w:sz w:val="24"/>
            <w:szCs w:val="24"/>
          </w:rPr>
          <m:t>-2 եւ p=0,05</m:t>
        </m:r>
      </m:oMath>
      <w:r w:rsidRPr="00B834A2">
        <w:rPr>
          <w:rStyle w:val="Bodytext31Sylfaen9"/>
          <w:sz w:val="24"/>
          <w:szCs w:val="24"/>
        </w:rPr>
        <w:t>։</w:t>
      </w:r>
    </w:p>
    <w:p w14:paraId="594932C3" w14:textId="77777777" w:rsidR="001636CE" w:rsidRDefault="001636CE">
      <w:pPr>
        <w:rPr>
          <w:rStyle w:val="Bodytext31Sylfaen9"/>
          <w:i w:val="0"/>
          <w:sz w:val="24"/>
          <w:szCs w:val="24"/>
        </w:rPr>
      </w:pPr>
      <w:r>
        <w:rPr>
          <w:rStyle w:val="Bodytext31Sylfaen9"/>
          <w:i w:val="0"/>
          <w:sz w:val="24"/>
          <w:szCs w:val="24"/>
        </w:rPr>
        <w:br w:type="page"/>
      </w:r>
    </w:p>
    <w:p w14:paraId="682D3C4D"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lastRenderedPageBreak/>
        <w:t>Որպես օրինակ կարող է բերվել ինսուլինի երկարաձգված ազդեցության որոշման ժամանակ ստացված տվյալների մշակման եզրափակիչ փուլը (3.2.7 բաժին)։</w:t>
      </w:r>
    </w:p>
    <w:p w14:paraId="2A6F5188"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Ստուգիչ ժամանակային կետում փորձարկվող նմուշն ստացած խմբի կենդանիների արյան մեջ գլյուկոզի կոնցենտրացիան կազմել է ( %-ով) 80,75, 64,06, 84,82, 70,88, 86,59, 61,30, 77,37, 67,91, 70,28։</w:t>
      </w:r>
    </w:p>
    <w:p w14:paraId="0B97960B" w14:textId="77777777" w:rsidR="00B834A2" w:rsidRPr="00C4162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Վերոնշյալ բանաձեւերով հաշվարկի արդյունքում ստացվում է՝</w:t>
      </w:r>
      <w:r>
        <w:rPr>
          <w:rStyle w:val="Bodytext31Sylfaen9"/>
          <w:sz w:val="24"/>
          <w:szCs w:val="24"/>
        </w:rPr>
        <w:t xml:space="preserve"> </w:t>
      </w:r>
      <w:r w:rsidRPr="00B834A2">
        <w:rPr>
          <w:rStyle w:val="Bodytext2Italic"/>
          <w:rFonts w:ascii="Microsoft Sans Serif" w:hAnsi="Microsoft Sans Serif" w:cs="Microsoft Sans Serif"/>
          <w:sz w:val="24"/>
          <w:szCs w:val="24"/>
        </w:rPr>
        <w:t>ȳ</w:t>
      </w:r>
      <w:r w:rsidRPr="00B834A2">
        <w:rPr>
          <w:rStyle w:val="Bodytext2Italic"/>
          <w:sz w:val="24"/>
          <w:szCs w:val="24"/>
          <w:vertAlign w:val="subscript"/>
        </w:rPr>
        <w:t>1</w:t>
      </w:r>
      <w:r w:rsidRPr="00B834A2">
        <w:rPr>
          <w:rStyle w:val="Bodytext31Sylfaen9"/>
          <w:sz w:val="24"/>
          <w:szCs w:val="24"/>
        </w:rPr>
        <w:t xml:space="preserve"> =73,77 %, s</w:t>
      </w:r>
      <w:r w:rsidRPr="00B834A2">
        <w:rPr>
          <w:rStyle w:val="Bodytext31Sylfaen9"/>
          <w:sz w:val="24"/>
          <w:szCs w:val="24"/>
          <w:vertAlign w:val="subscript"/>
        </w:rPr>
        <w:t>1</w:t>
      </w:r>
      <w:r w:rsidRPr="00B834A2">
        <w:rPr>
          <w:rStyle w:val="Bodytext285pt"/>
          <w:spacing w:val="0"/>
          <w:sz w:val="24"/>
          <w:szCs w:val="24"/>
          <w:vertAlign w:val="superscript"/>
        </w:rPr>
        <w:t>2</w:t>
      </w:r>
      <w:r w:rsidRPr="00B834A2">
        <w:rPr>
          <w:rStyle w:val="Bodytext31Sylfaen9"/>
          <w:sz w:val="24"/>
          <w:szCs w:val="24"/>
        </w:rPr>
        <w:t xml:space="preserve"> =81,60, s</w:t>
      </w:r>
      <w:r w:rsidRPr="00B834A2">
        <w:rPr>
          <w:rStyle w:val="Bodytext31Sylfaen9"/>
          <w:sz w:val="24"/>
          <w:szCs w:val="24"/>
          <w:vertAlign w:val="subscript"/>
        </w:rPr>
        <w:t>1</w:t>
      </w:r>
      <w:r w:rsidRPr="00B834A2">
        <w:rPr>
          <w:rStyle w:val="Bodytext31Sylfaen9"/>
          <w:sz w:val="24"/>
          <w:szCs w:val="24"/>
        </w:rPr>
        <w:t xml:space="preserve">, =9,03, </w:t>
      </w:r>
      <w:r w:rsidRPr="00B834A2">
        <w:rPr>
          <w:rStyle w:val="Bodytext285pt"/>
          <w:i w:val="0"/>
          <w:spacing w:val="0"/>
          <w:sz w:val="24"/>
          <w:szCs w:val="24"/>
        </w:rPr>
        <w:t>f</w:t>
      </w:r>
      <w:r w:rsidRPr="00B834A2">
        <w:rPr>
          <w:rStyle w:val="Bodytext285pt"/>
          <w:i w:val="0"/>
          <w:spacing w:val="0"/>
          <w:sz w:val="24"/>
          <w:szCs w:val="24"/>
          <w:vertAlign w:val="subscript"/>
        </w:rPr>
        <w:t>1</w:t>
      </w:r>
      <w:r w:rsidRPr="00B834A2">
        <w:rPr>
          <w:rStyle w:val="Bodytext31Sylfaen9"/>
          <w:sz w:val="24"/>
          <w:szCs w:val="24"/>
        </w:rPr>
        <w:t xml:space="preserve"> =</w:t>
      </w:r>
      <w:r w:rsidRPr="00B834A2">
        <w:rPr>
          <w:rStyle w:val="Bodytext285pt"/>
          <w:spacing w:val="0"/>
          <w:sz w:val="24"/>
          <w:szCs w:val="24"/>
        </w:rPr>
        <w:t>8</w:t>
      </w:r>
      <w:r w:rsidRPr="00B834A2">
        <w:rPr>
          <w:rStyle w:val="Bodytext31Sylfaen9"/>
          <w:sz w:val="24"/>
          <w:szCs w:val="24"/>
        </w:rPr>
        <w:t>, f</w:t>
      </w:r>
      <w:r w:rsidRPr="00B834A2">
        <w:rPr>
          <w:rStyle w:val="Bodytext31Sylfaen9"/>
          <w:sz w:val="24"/>
          <w:szCs w:val="24"/>
          <w:vertAlign w:val="subscript"/>
        </w:rPr>
        <w:t>ընդ</w:t>
      </w:r>
      <w:r w:rsidRPr="00B834A2">
        <w:rPr>
          <w:rStyle w:val="Bodytext31Sylfaen9"/>
          <w:sz w:val="24"/>
          <w:szCs w:val="24"/>
        </w:rPr>
        <w:t>. =14, t</w:t>
      </w:r>
      <w:r w:rsidRPr="00B834A2">
        <w:rPr>
          <w:rStyle w:val="Bodytext31Sylfaen9"/>
          <w:sz w:val="24"/>
          <w:szCs w:val="24"/>
          <w:vertAlign w:val="subscript"/>
        </w:rPr>
        <w:t>դիտ</w:t>
      </w:r>
      <w:r w:rsidRPr="00B834A2">
        <w:rPr>
          <w:rStyle w:val="Bodytext31Sylfaen9"/>
          <w:sz w:val="24"/>
          <w:szCs w:val="24"/>
        </w:rPr>
        <w:t>.=6,83, t</w:t>
      </w:r>
      <w:r w:rsidRPr="00B834A2">
        <w:rPr>
          <w:rStyle w:val="Bodytext31Sylfaen9"/>
          <w:sz w:val="24"/>
          <w:szCs w:val="24"/>
          <w:vertAlign w:val="subscript"/>
        </w:rPr>
        <w:t>կրիտիկ</w:t>
      </w:r>
      <w:r w:rsidRPr="00B834A2">
        <w:rPr>
          <w:rStyle w:val="Bodytext31Sylfaen9"/>
          <w:sz w:val="24"/>
          <w:szCs w:val="24"/>
        </w:rPr>
        <w:t>.(0,05, 16) =2,12։ Դրանից կարելի է եզրակացնել, որ պատրաստուկի երկարաձգված ազդեցության առկայության հավանականությունը գերազանցում է 95 %-ը։</w:t>
      </w:r>
    </w:p>
    <w:p w14:paraId="5163C9F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Եթե </w:t>
      </w:r>
      <w:r w:rsidRPr="00B834A2">
        <w:rPr>
          <w:rStyle w:val="Bodytext31Sylfaen9"/>
          <w:sz w:val="24"/>
          <w:szCs w:val="24"/>
        </w:rPr>
        <w:t>s</w:t>
      </w:r>
      <w:r w:rsidRPr="00B834A2">
        <w:rPr>
          <w:rStyle w:val="Bodytext31Sylfaen9"/>
          <w:sz w:val="24"/>
          <w:szCs w:val="24"/>
          <w:vertAlign w:val="subscript"/>
        </w:rPr>
        <w:t>1</w:t>
      </w:r>
      <w:r w:rsidRPr="00B834A2">
        <w:rPr>
          <w:rStyle w:val="Bodytext285pt"/>
          <w:spacing w:val="0"/>
          <w:sz w:val="24"/>
          <w:szCs w:val="24"/>
          <w:vertAlign w:val="superscript"/>
        </w:rPr>
        <w:t>2</w:t>
      </w:r>
      <w:r w:rsidRPr="00B834A2">
        <w:rPr>
          <w:rStyle w:val="Bodytext31Sylfaen9"/>
          <w:sz w:val="24"/>
          <w:szCs w:val="24"/>
        </w:rPr>
        <w:t xml:space="preserve"> / s</w:t>
      </w:r>
      <w:r w:rsidRPr="00B834A2">
        <w:rPr>
          <w:rStyle w:val="Bodytext31Sylfaen9"/>
          <w:sz w:val="24"/>
          <w:szCs w:val="24"/>
          <w:vertAlign w:val="subscript"/>
        </w:rPr>
        <w:t>2</w:t>
      </w:r>
      <w:r w:rsidRPr="00B834A2">
        <w:rPr>
          <w:rStyle w:val="Bodytext31Sylfaen9"/>
          <w:sz w:val="24"/>
          <w:szCs w:val="24"/>
          <w:vertAlign w:val="superscript"/>
        </w:rPr>
        <w:t>2</w:t>
      </w:r>
      <w:r w:rsidRPr="00B834A2">
        <w:rPr>
          <w:rStyle w:val="Bodytext31Sylfaen9"/>
          <w:sz w:val="24"/>
          <w:szCs w:val="24"/>
        </w:rPr>
        <w:t xml:space="preserve"> </w:t>
      </w:r>
      <w:r w:rsidRPr="00B834A2">
        <w:rPr>
          <w:rFonts w:ascii="Sylfaen" w:hAnsi="Sylfaen"/>
          <w:sz w:val="24"/>
          <w:szCs w:val="24"/>
        </w:rPr>
        <w:t>-ը գերազանցում է Ֆիշերի չափորոշչի կրիտիկական արժեքը (հավելվածի 3-րդ աղյուսակ), ապա Ստյուդենտի չափորոշչի դիտարկվող արժեքի հաշվարկման համար հարկավոր է կիրառել հետեւյալ բանաձեւը՝</w:t>
      </w:r>
    </w:p>
    <w:p w14:paraId="7C48A5E7" w14:textId="77777777" w:rsidR="00B834A2" w:rsidRPr="00B834A2" w:rsidRDefault="00000000" w:rsidP="009A3F5E">
      <w:pPr>
        <w:pStyle w:val="Bodytext20"/>
        <w:shd w:val="clear" w:color="auto" w:fill="auto"/>
        <w:spacing w:before="0" w:after="160" w:line="360" w:lineRule="auto"/>
        <w:ind w:firstLine="567"/>
        <w:jc w:val="both"/>
        <w:rPr>
          <w:rStyle w:val="Bodytext31Sylfaen9"/>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դիտ</m:t>
              </m:r>
              <m:r>
                <w:rPr>
                  <w:rFonts w:ascii="Cambria Math" w:hAnsi="Cambria Math" w:cs="Sylfaen"/>
                  <w:sz w:val="24"/>
                  <w:szCs w:val="24"/>
                </w:rPr>
                <m:t>.</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num>
            <m:den>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e>
              </m:rad>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den>
          </m:f>
          <m:r>
            <w:rPr>
              <w:rFonts w:ascii="Cambria Math" w:hAnsi="Cambria Math" w:cs="Sylfaen"/>
              <w:sz w:val="24"/>
              <w:szCs w:val="24"/>
            </w:rPr>
            <m:t>,</m:t>
          </m:r>
        </m:oMath>
      </m:oMathPara>
    </w:p>
    <w:p w14:paraId="0A119B90" w14:textId="77777777" w:rsidR="00B834A2" w:rsidRPr="00B834A2" w:rsidRDefault="00B834A2" w:rsidP="00BF76DA">
      <w:pPr>
        <w:pStyle w:val="Bodytext20"/>
        <w:shd w:val="clear" w:color="auto" w:fill="auto"/>
        <w:spacing w:before="0" w:after="160" w:line="360" w:lineRule="auto"/>
        <w:ind w:right="760" w:firstLine="567"/>
        <w:rPr>
          <w:rFonts w:ascii="Sylfaen" w:hAnsi="Sylfaen" w:cs="Sylfaen"/>
          <w:color w:val="000000" w:themeColor="text1"/>
          <w:sz w:val="24"/>
          <w:szCs w:val="24"/>
        </w:rPr>
      </w:pPr>
      <w:r w:rsidRPr="00B834A2">
        <w:rPr>
          <w:rStyle w:val="Bodytext31Sylfaen9"/>
          <w:color w:val="000000" w:themeColor="text1"/>
          <w:sz w:val="24"/>
          <w:szCs w:val="24"/>
        </w:rPr>
        <w:t xml:space="preserve">եթե </w:t>
      </w:r>
      <m:oMath>
        <m:r>
          <w:rPr>
            <w:rStyle w:val="Bodytext31Sylfaen9"/>
            <w:rFonts w:ascii="Cambria Math" w:hAnsi="Cambria Math"/>
            <w:color w:val="000000" w:themeColor="text1"/>
            <w:sz w:val="24"/>
            <w:szCs w:val="24"/>
          </w:rPr>
          <m:t>f=</m:t>
        </m:r>
        <m:d>
          <m:dPr>
            <m:ctrlPr>
              <w:rPr>
                <w:rStyle w:val="Bodytext31Sylfaen9"/>
                <w:rFonts w:ascii="Cambria Math" w:hAnsi="Cambria Math"/>
                <w:i w:val="0"/>
                <w:iCs w:val="0"/>
                <w:color w:val="000000" w:themeColor="text1"/>
                <w:sz w:val="24"/>
                <w:szCs w:val="24"/>
              </w:rPr>
            </m:ctrlPr>
          </m:dPr>
          <m:e>
            <m:sSub>
              <m:sSubPr>
                <m:ctrlPr>
                  <w:rPr>
                    <w:rStyle w:val="Bodytext31Sylfaen9"/>
                    <w:rFonts w:ascii="Cambria Math" w:hAnsi="Cambria Math"/>
                    <w:i w:val="0"/>
                    <w:iCs w:val="0"/>
                    <w:color w:val="000000" w:themeColor="text1"/>
                    <w:sz w:val="24"/>
                    <w:szCs w:val="24"/>
                  </w:rPr>
                </m:ctrlPr>
              </m:sSubPr>
              <m:e>
                <m:r>
                  <w:rPr>
                    <w:rStyle w:val="Bodytext31Sylfaen9"/>
                    <w:rFonts w:ascii="Cambria Math" w:hAnsi="Cambria Math"/>
                    <w:color w:val="000000" w:themeColor="text1"/>
                    <w:sz w:val="24"/>
                    <w:szCs w:val="24"/>
                  </w:rPr>
                  <m:t>n</m:t>
                </m:r>
              </m:e>
              <m:sub>
                <m:r>
                  <w:rPr>
                    <w:rStyle w:val="Bodytext31Sylfaen9"/>
                    <w:rFonts w:ascii="Cambria Math" w:hAnsi="Cambria Math"/>
                    <w:color w:val="000000" w:themeColor="text1"/>
                    <w:sz w:val="24"/>
                    <w:szCs w:val="24"/>
                  </w:rPr>
                  <m:t>1</m:t>
                </m:r>
              </m:sub>
            </m:sSub>
            <m:r>
              <w:rPr>
                <w:rStyle w:val="Bodytext31Sylfaen9"/>
                <w:rFonts w:ascii="Cambria Math" w:hAnsi="Cambria Math"/>
                <w:color w:val="000000" w:themeColor="text1"/>
                <w:sz w:val="24"/>
                <w:szCs w:val="24"/>
              </w:rPr>
              <m:t>+</m:t>
            </m:r>
            <m:sSub>
              <m:sSubPr>
                <m:ctrlPr>
                  <w:rPr>
                    <w:rStyle w:val="Bodytext31Sylfaen9"/>
                    <w:rFonts w:ascii="Cambria Math" w:hAnsi="Cambria Math"/>
                    <w:i w:val="0"/>
                    <w:iCs w:val="0"/>
                    <w:color w:val="000000" w:themeColor="text1"/>
                    <w:sz w:val="24"/>
                    <w:szCs w:val="24"/>
                  </w:rPr>
                </m:ctrlPr>
              </m:sSubPr>
              <m:e>
                <m:r>
                  <w:rPr>
                    <w:rStyle w:val="Bodytext31Sylfaen9"/>
                    <w:rFonts w:ascii="Cambria Math" w:hAnsi="Cambria Math"/>
                    <w:color w:val="000000" w:themeColor="text1"/>
                    <w:sz w:val="24"/>
                    <w:szCs w:val="24"/>
                  </w:rPr>
                  <m:t>n</m:t>
                </m:r>
              </m:e>
              <m:sub>
                <m:r>
                  <w:rPr>
                    <w:rStyle w:val="Bodytext31Sylfaen9"/>
                    <w:rFonts w:ascii="Cambria Math" w:hAnsi="Cambria Math"/>
                    <w:color w:val="000000" w:themeColor="text1"/>
                    <w:sz w:val="24"/>
                    <w:szCs w:val="24"/>
                  </w:rPr>
                  <m:t>2</m:t>
                </m:r>
              </m:sub>
            </m:sSub>
            <m:r>
              <w:rPr>
                <w:rStyle w:val="Bodytext31Sylfaen9"/>
                <w:rFonts w:ascii="Cambria Math" w:hAnsi="Cambria Math"/>
                <w:color w:val="000000" w:themeColor="text1"/>
                <w:sz w:val="24"/>
                <w:szCs w:val="24"/>
              </w:rPr>
              <m:t>-2</m:t>
            </m:r>
          </m:e>
        </m:d>
        <m:r>
          <w:rPr>
            <w:rStyle w:val="Bodytext31Sylfaen9"/>
            <w:rFonts w:ascii="Cambria Math" w:hAnsi="Cambria Math"/>
            <w:color w:val="000000" w:themeColor="text1"/>
            <w:sz w:val="24"/>
            <w:szCs w:val="24"/>
          </w:rPr>
          <m:t>(0,5+</m:t>
        </m:r>
        <m:f>
          <m:fPr>
            <m:ctrlPr>
              <w:rPr>
                <w:rStyle w:val="Bodytext31Sylfaen9"/>
                <w:rFonts w:ascii="Cambria Math" w:hAnsi="Cambria Math"/>
                <w:i w:val="0"/>
                <w:iCs w:val="0"/>
                <w:color w:val="000000" w:themeColor="text1"/>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num>
          <m:den>
            <m:sSubSup>
              <m:sSubSupPr>
                <m:ctrlPr>
                  <w:rPr>
                    <w:rStyle w:val="Bodytext31Sylfaen9"/>
                    <w:rFonts w:ascii="Cambria Math" w:hAnsi="Cambria Math"/>
                    <w:i w:val="0"/>
                    <w:iCs w:val="0"/>
                    <w:color w:val="000000" w:themeColor="text1"/>
                    <w:sz w:val="24"/>
                    <w:szCs w:val="24"/>
                  </w:rPr>
                </m:ctrlPr>
              </m:sSubSupPr>
              <m:e>
                <m:r>
                  <w:rPr>
                    <w:rStyle w:val="Bodytext31Sylfaen9"/>
                    <w:rFonts w:ascii="Cambria Math" w:hAnsi="Cambria Math"/>
                    <w:color w:val="000000" w:themeColor="text1"/>
                    <w:sz w:val="24"/>
                    <w:szCs w:val="24"/>
                  </w:rPr>
                  <m:t>s</m:t>
                </m:r>
              </m:e>
              <m:sub>
                <m:r>
                  <w:rPr>
                    <w:rStyle w:val="Bodytext31Sylfaen9"/>
                    <w:rFonts w:ascii="Cambria Math" w:hAnsi="Cambria Math"/>
                    <w:color w:val="000000" w:themeColor="text1"/>
                    <w:sz w:val="24"/>
                    <w:szCs w:val="24"/>
                  </w:rPr>
                  <m:t>1</m:t>
                </m:r>
              </m:sub>
              <m:sup>
                <m:r>
                  <w:rPr>
                    <w:rStyle w:val="Bodytext31Sylfaen9"/>
                    <w:rFonts w:ascii="Cambria Math" w:hAnsi="Cambria Math"/>
                    <w:color w:val="000000" w:themeColor="text1"/>
                    <w:sz w:val="24"/>
                    <w:szCs w:val="24"/>
                  </w:rPr>
                  <m:t>4</m:t>
                </m:r>
              </m:sup>
            </m:sSubSup>
            <m:r>
              <w:rPr>
                <w:rStyle w:val="Bodytext31Sylfaen9"/>
                <w:rFonts w:ascii="Cambria Math" w:hAnsi="Cambria Math"/>
                <w:color w:val="000000" w:themeColor="text1"/>
                <w:sz w:val="24"/>
                <w:szCs w:val="24"/>
              </w:rPr>
              <m:t>+</m:t>
            </m:r>
            <m:sSubSup>
              <m:sSubSupPr>
                <m:ctrlPr>
                  <w:rPr>
                    <w:rStyle w:val="Bodytext31Sylfaen9"/>
                    <w:rFonts w:ascii="Cambria Math" w:hAnsi="Cambria Math"/>
                    <w:i w:val="0"/>
                    <w:iCs w:val="0"/>
                    <w:color w:val="000000" w:themeColor="text1"/>
                    <w:sz w:val="24"/>
                    <w:szCs w:val="24"/>
                  </w:rPr>
                </m:ctrlPr>
              </m:sSubSupPr>
              <m:e>
                <m:r>
                  <w:rPr>
                    <w:rStyle w:val="Bodytext31Sylfaen9"/>
                    <w:rFonts w:ascii="Cambria Math" w:hAnsi="Cambria Math"/>
                    <w:color w:val="000000" w:themeColor="text1"/>
                    <w:sz w:val="24"/>
                    <w:szCs w:val="24"/>
                  </w:rPr>
                  <m:t>s</m:t>
                </m:r>
              </m:e>
              <m:sub>
                <m:r>
                  <w:rPr>
                    <w:rStyle w:val="Bodytext31Sylfaen9"/>
                    <w:rFonts w:ascii="Cambria Math" w:hAnsi="Cambria Math"/>
                    <w:color w:val="000000" w:themeColor="text1"/>
                    <w:sz w:val="24"/>
                    <w:szCs w:val="24"/>
                  </w:rPr>
                  <m:t>2</m:t>
                </m:r>
              </m:sub>
              <m:sup>
                <m:r>
                  <w:rPr>
                    <w:rStyle w:val="Bodytext31Sylfaen9"/>
                    <w:rFonts w:ascii="Cambria Math" w:hAnsi="Cambria Math"/>
                    <w:color w:val="000000" w:themeColor="text1"/>
                    <w:sz w:val="24"/>
                    <w:szCs w:val="24"/>
                  </w:rPr>
                  <m:t>4</m:t>
                </m:r>
              </m:sup>
            </m:sSubSup>
          </m:den>
        </m:f>
        <m:r>
          <w:rPr>
            <w:rStyle w:val="Bodytext31Sylfaen9"/>
            <w:rFonts w:ascii="Cambria Math" w:hAnsi="Cambria Math"/>
            <w:color w:val="000000" w:themeColor="text1"/>
            <w:sz w:val="24"/>
            <w:szCs w:val="24"/>
          </w:rPr>
          <m:t>)</m:t>
        </m:r>
      </m:oMath>
      <w:r w:rsidRPr="00B834A2">
        <w:rPr>
          <w:rStyle w:val="Bodytext31Sylfaen9"/>
          <w:color w:val="000000" w:themeColor="text1"/>
          <w:sz w:val="24"/>
          <w:szCs w:val="24"/>
        </w:rPr>
        <w:t>։</w:t>
      </w:r>
    </w:p>
    <w:p w14:paraId="6089948A" w14:textId="77777777" w:rsidR="00B834A2" w:rsidRPr="00BF76DA"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F76DA">
        <w:rPr>
          <w:rStyle w:val="Bodytext31Sylfaen9"/>
          <w:i w:val="0"/>
          <w:sz w:val="24"/>
          <w:szCs w:val="24"/>
        </w:rPr>
        <w:t>Հաշվարկված t</w:t>
      </w:r>
      <w:r w:rsidRPr="00BF76DA">
        <w:rPr>
          <w:rStyle w:val="Bodytext31Sylfaen9"/>
          <w:i w:val="0"/>
          <w:sz w:val="24"/>
          <w:szCs w:val="24"/>
          <w:vertAlign w:val="subscript"/>
        </w:rPr>
        <w:t>դիտ.</w:t>
      </w:r>
      <w:r w:rsidRPr="00BF76DA">
        <w:rPr>
          <w:rStyle w:val="Bodytext31Sylfaen9"/>
          <w:i w:val="0"/>
          <w:sz w:val="24"/>
          <w:szCs w:val="24"/>
        </w:rPr>
        <w:t xml:space="preserve"> արժեքը համեմատվում է t</w:t>
      </w:r>
      <w:r w:rsidRPr="00BF76DA">
        <w:rPr>
          <w:rStyle w:val="Bodytext31Sylfaen9"/>
          <w:i w:val="0"/>
          <w:sz w:val="24"/>
          <w:szCs w:val="24"/>
          <w:vertAlign w:val="subscript"/>
        </w:rPr>
        <w:t>կրիտիկ</w:t>
      </w:r>
      <w:r w:rsidRPr="00BF76DA">
        <w:rPr>
          <w:rStyle w:val="Bodytext31Sylfaen9"/>
          <w:i w:val="0"/>
          <w:sz w:val="24"/>
          <w:szCs w:val="24"/>
        </w:rPr>
        <w:t>.-ի հետ՝ վերոնշյալի համաձայն (f</w:t>
      </w:r>
      <w:r w:rsidRPr="00BF76DA">
        <w:rPr>
          <w:rStyle w:val="Bodytext31Sylfaen9"/>
          <w:i w:val="0"/>
          <w:sz w:val="24"/>
          <w:szCs w:val="24"/>
          <w:vertAlign w:val="subscript"/>
        </w:rPr>
        <w:t xml:space="preserve"> </w:t>
      </w:r>
      <w:r w:rsidRPr="00BF76DA">
        <w:rPr>
          <w:rStyle w:val="Bodytext31Sylfaen9"/>
          <w:i w:val="0"/>
          <w:sz w:val="24"/>
          <w:szCs w:val="24"/>
        </w:rPr>
        <w:t xml:space="preserve">ազատության աստիճանների թիվը կլորացվում է մինչեւ ամբողջ թիվը)։ Ստյուդենտի չափորոշչի կրիտիկական արժեքը կարելի է գտնել նաեւ հավելվածներում (հավելվածի 2-րդ աղյուսակ)։ </w:t>
      </w:r>
    </w:p>
    <w:p w14:paraId="191458F0" w14:textId="77777777" w:rsidR="00B834A2" w:rsidRPr="00DE4F37" w:rsidRDefault="00B834A2" w:rsidP="009A3F5E">
      <w:pPr>
        <w:pStyle w:val="Bodytext20"/>
        <w:shd w:val="clear" w:color="auto" w:fill="auto"/>
        <w:spacing w:before="0" w:after="160" w:line="360" w:lineRule="auto"/>
        <w:ind w:firstLine="567"/>
        <w:jc w:val="both"/>
        <w:rPr>
          <w:rStyle w:val="Bodytext31Sylfaen9"/>
          <w:i w:val="0"/>
          <w:sz w:val="24"/>
          <w:szCs w:val="24"/>
        </w:rPr>
      </w:pPr>
      <w:r w:rsidRPr="00F73206">
        <w:rPr>
          <w:rStyle w:val="Bodytext31Sylfaen9"/>
          <w:i w:val="0"/>
          <w:sz w:val="24"/>
          <w:szCs w:val="24"/>
        </w:rPr>
        <w:t>Կենսաբանական ակտիվությունը համեմատելիս 95% տարբերության հավանականությունը մեծամասամբ համարվում է ընդունելի՝ պայմանավորված մասնավոր դեղագրքային հոդվածում կոնկրետ պատրաստուկի մասով սահմանված պահանջներով։</w:t>
      </w:r>
    </w:p>
    <w:p w14:paraId="3CA4AAC2"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Եթե խմբերում արձագանքների բաշխումը նորմալ չէ, ապա երկու անկախ ընտրանքները համեմատելու համար հարկավոր է կիրառել Ման-Ուիթնիի ոչ պարամետրական չափորոշիչը։</w:t>
      </w:r>
    </w:p>
    <w:p w14:paraId="14379777"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lastRenderedPageBreak/>
        <w:t>Նորմալության նախնական ստուգումը կարող է կատարվել Կոլմոգորովի-Սմիրնովի չափորոշչի, Շապիրո-Ուիլկի W-չափորոշչի կամ ինչն ավելի նախընտրելի է, նորմալ բաշխման կորի վերադրմամբ հիստագրերի կամ նորմալ հավանականային գրաֆիկների միջոցով (աբսցիսների առանցքի վրա՝ դիտարկվող արժեքը, օրդինատների առանցքի վրա՝ ակնկալվող նորմալ արժեքը)։</w:t>
      </w:r>
    </w:p>
    <w:p w14:paraId="33BA728B" w14:textId="77777777" w:rsidR="005B6181" w:rsidRDefault="00B834A2" w:rsidP="009A3F5E">
      <w:pPr>
        <w:pStyle w:val="Bodytext20"/>
        <w:shd w:val="clear" w:color="auto" w:fill="auto"/>
        <w:spacing w:before="0" w:after="160" w:line="360" w:lineRule="auto"/>
        <w:ind w:firstLine="567"/>
        <w:jc w:val="both"/>
        <w:rPr>
          <w:rStyle w:val="Bodytext31Sylfaen9"/>
          <w:i w:val="0"/>
          <w:sz w:val="24"/>
          <w:szCs w:val="24"/>
        </w:rPr>
      </w:pPr>
      <w:r w:rsidRPr="00F73206">
        <w:rPr>
          <w:rStyle w:val="Bodytext31Sylfaen9"/>
          <w:i w:val="0"/>
          <w:sz w:val="24"/>
          <w:szCs w:val="24"/>
        </w:rPr>
        <w:t>Ինչքան կետերն ավելի հավասար են ընկնում ուղիղ գծի վրա, այնքան բաշխումն ավելի մոտ է նորմալին։</w:t>
      </w:r>
    </w:p>
    <w:p w14:paraId="12C90ED3" w14:textId="77777777" w:rsidR="00B834A2" w:rsidRPr="00F73206" w:rsidRDefault="00B834A2" w:rsidP="00F73206">
      <w:pPr>
        <w:pStyle w:val="Bodytext20"/>
        <w:shd w:val="clear" w:color="auto" w:fill="auto"/>
        <w:tabs>
          <w:tab w:val="left" w:pos="1418"/>
        </w:tabs>
        <w:spacing w:before="0" w:after="160" w:line="360" w:lineRule="auto"/>
        <w:ind w:firstLine="567"/>
        <w:jc w:val="both"/>
        <w:rPr>
          <w:rFonts w:ascii="Sylfaen" w:hAnsi="Sylfaen" w:cs="Sylfaen"/>
          <w:sz w:val="24"/>
          <w:szCs w:val="24"/>
        </w:rPr>
      </w:pPr>
      <w:r w:rsidRPr="00F73206">
        <w:rPr>
          <w:rStyle w:val="Bodytext2Italic"/>
          <w:sz w:val="24"/>
          <w:szCs w:val="24"/>
        </w:rPr>
        <w:t>2.3.2.</w:t>
      </w:r>
      <w:r w:rsidR="00F73206" w:rsidRPr="00A859E3">
        <w:rPr>
          <w:rStyle w:val="Bodytext2Italic"/>
          <w:sz w:val="24"/>
          <w:szCs w:val="24"/>
        </w:rPr>
        <w:tab/>
      </w:r>
      <w:r w:rsidRPr="00F73206">
        <w:rPr>
          <w:rStyle w:val="Bodytext2Italic"/>
          <w:sz w:val="24"/>
          <w:szCs w:val="24"/>
        </w:rPr>
        <w:t>Երկու կախյալ ընտրանքների միջին արժեքների համեմատումը</w:t>
      </w:r>
    </w:p>
    <w:p w14:paraId="464A5D57" w14:textId="77777777" w:rsidR="00B834A2" w:rsidRPr="00F73206" w:rsidRDefault="00B834A2" w:rsidP="009A3F5E">
      <w:pPr>
        <w:pStyle w:val="Bodytext20"/>
        <w:shd w:val="clear" w:color="auto" w:fill="auto"/>
        <w:spacing w:before="0" w:after="160" w:line="360" w:lineRule="auto"/>
        <w:ind w:firstLine="567"/>
        <w:jc w:val="both"/>
        <w:rPr>
          <w:rStyle w:val="Bodytext31Sylfaen9"/>
          <w:i w:val="0"/>
          <w:sz w:val="24"/>
          <w:szCs w:val="24"/>
        </w:rPr>
      </w:pPr>
      <w:r w:rsidRPr="00F73206">
        <w:rPr>
          <w:rStyle w:val="Bodytext31Sylfaen9"/>
          <w:i w:val="0"/>
          <w:sz w:val="24"/>
          <w:szCs w:val="24"/>
        </w:rPr>
        <w:t>Երկու նմուշների համեմատման դեպքում խորհուրդ է տրվում օգտագործել մի շարք բավականին միատեսակ (կապակցված) թեստ օբյեկտների զույգեր։ Կապակցված զույգը կարող են կազմել, օրինակ, մեկ աճոնից, միեւնույն սեռի եւ մարմնի մոտ զանգվածներ ունեցող կենդանիները կամ եթե դա թույլատրելի է փորձարկման մեթոդիկայով, առաջին փորձից հետո սկզբնական վիճակի վերականգնումն ապահովող՝ բավարար ընդմիջումներով մեկ թեստ օբյեկտի համար երկու կրկնակի որոշումը։</w:t>
      </w:r>
    </w:p>
    <w:p w14:paraId="2DEB9E49" w14:textId="77777777" w:rsidR="00B834A2" w:rsidRPr="00F73206" w:rsidRDefault="00B834A2" w:rsidP="009A3F5E">
      <w:pPr>
        <w:pStyle w:val="Bodytext20"/>
        <w:shd w:val="clear" w:color="auto" w:fill="auto"/>
        <w:spacing w:before="0" w:after="160" w:line="360" w:lineRule="auto"/>
        <w:ind w:firstLine="567"/>
        <w:jc w:val="both"/>
        <w:rPr>
          <w:rStyle w:val="Bodytext31Sylfaen9"/>
          <w:i w:val="0"/>
          <w:sz w:val="24"/>
          <w:szCs w:val="24"/>
        </w:rPr>
      </w:pPr>
      <w:r w:rsidRPr="00F73206">
        <w:rPr>
          <w:rStyle w:val="Bodytext31Sylfaen9"/>
          <w:i w:val="0"/>
          <w:sz w:val="24"/>
          <w:szCs w:val="24"/>
        </w:rPr>
        <w:t>Այդպիսի դեպքերում կիրառվում է Ստյուդենտի գույգ չափորոշիչը՝ կախյալ ընտրանքների համար։</w:t>
      </w:r>
    </w:p>
    <w:p w14:paraId="43241B87" w14:textId="77777777" w:rsidR="00B834A2" w:rsidRPr="00F73206" w:rsidRDefault="00B834A2" w:rsidP="009A3F5E">
      <w:pPr>
        <w:pStyle w:val="Bodytext20"/>
        <w:shd w:val="clear" w:color="auto" w:fill="auto"/>
        <w:spacing w:before="0" w:after="160" w:line="360" w:lineRule="auto"/>
        <w:ind w:firstLine="567"/>
        <w:jc w:val="both"/>
        <w:rPr>
          <w:rStyle w:val="Bodytext2Italic"/>
          <w:i w:val="0"/>
          <w:sz w:val="24"/>
          <w:szCs w:val="24"/>
          <w:vertAlign w:val="subscript"/>
        </w:rPr>
      </w:pPr>
      <w:r w:rsidRPr="00F73206">
        <w:rPr>
          <w:rFonts w:ascii="Sylfaen" w:hAnsi="Sylfaen"/>
          <w:sz w:val="24"/>
          <w:szCs w:val="24"/>
        </w:rPr>
        <w:t xml:space="preserve">Այդ նպատակով n կապակցված գույգերի կիրառման դեպքում </w:t>
      </w:r>
      <w:r w:rsidRPr="00F73206">
        <w:rPr>
          <w:rStyle w:val="Bodytext31Sylfaen9"/>
          <w:i w:val="0"/>
          <w:sz w:val="24"/>
          <w:szCs w:val="24"/>
        </w:rPr>
        <w:t>y</w:t>
      </w:r>
      <w:r w:rsidRPr="00F73206">
        <w:rPr>
          <w:rStyle w:val="Bodytext31Sylfaen9"/>
          <w:i w:val="0"/>
          <w:sz w:val="24"/>
          <w:szCs w:val="24"/>
          <w:vertAlign w:val="subscript"/>
        </w:rPr>
        <w:t>1,</w:t>
      </w:r>
      <w:r w:rsidRPr="00F73206">
        <w:rPr>
          <w:rStyle w:val="Bodytext31Sylfaen9"/>
          <w:i w:val="0"/>
          <w:sz w:val="24"/>
          <w:szCs w:val="24"/>
        </w:rPr>
        <w:t xml:space="preserve"> </w:t>
      </w:r>
      <w:r w:rsidRPr="00F73206">
        <w:rPr>
          <w:rStyle w:val="Bodytext2Italic"/>
          <w:i w:val="0"/>
          <w:sz w:val="24"/>
          <w:szCs w:val="24"/>
        </w:rPr>
        <w:t>у'</w:t>
      </w:r>
      <w:r w:rsidRPr="00F73206">
        <w:rPr>
          <w:rStyle w:val="Bodytext2Italic"/>
          <w:i w:val="0"/>
          <w:sz w:val="24"/>
          <w:szCs w:val="24"/>
          <w:vertAlign w:val="subscript"/>
        </w:rPr>
        <w:t>1</w:t>
      </w:r>
      <w:r w:rsidRPr="00F73206">
        <w:rPr>
          <w:rStyle w:val="Bodytext2Italic"/>
          <w:i w:val="0"/>
          <w:sz w:val="24"/>
          <w:szCs w:val="24"/>
        </w:rPr>
        <w:t>,</w:t>
      </w:r>
      <w:r w:rsidRPr="00F73206">
        <w:rPr>
          <w:rStyle w:val="Bodytext31Sylfaen9"/>
          <w:i w:val="0"/>
          <w:sz w:val="24"/>
          <w:szCs w:val="24"/>
        </w:rPr>
        <w:t xml:space="preserve"> у</w:t>
      </w:r>
      <w:r w:rsidRPr="00F73206">
        <w:rPr>
          <w:rStyle w:val="Bodytext31Sylfaen9"/>
          <w:i w:val="0"/>
          <w:sz w:val="24"/>
          <w:szCs w:val="24"/>
          <w:vertAlign w:val="subscript"/>
        </w:rPr>
        <w:t>2</w:t>
      </w:r>
      <w:r w:rsidRPr="00F73206">
        <w:rPr>
          <w:rStyle w:val="Bodytext31Sylfaen9"/>
          <w:i w:val="0"/>
          <w:sz w:val="24"/>
          <w:szCs w:val="24"/>
        </w:rPr>
        <w:t>, y</w:t>
      </w:r>
      <w:r w:rsidRPr="00F73206">
        <w:rPr>
          <w:rStyle w:val="Bodytext2Italic"/>
          <w:i w:val="0"/>
          <w:sz w:val="24"/>
          <w:szCs w:val="24"/>
        </w:rPr>
        <w:t>'</w:t>
      </w:r>
      <w:r w:rsidRPr="00F73206">
        <w:rPr>
          <w:rStyle w:val="Bodytext31Sylfaen9"/>
          <w:i w:val="0"/>
          <w:sz w:val="24"/>
          <w:szCs w:val="24"/>
          <w:vertAlign w:val="subscript"/>
        </w:rPr>
        <w:t>2</w:t>
      </w:r>
      <w:r w:rsidRPr="00F73206">
        <w:rPr>
          <w:rStyle w:val="Bodytext2Italic"/>
          <w:i w:val="0"/>
          <w:sz w:val="24"/>
          <w:szCs w:val="24"/>
        </w:rPr>
        <w:t>,</w:t>
      </w:r>
      <w:r w:rsidRPr="00F73206">
        <w:rPr>
          <w:rStyle w:val="Bodytext31Sylfaen9"/>
          <w:i w:val="0"/>
          <w:sz w:val="24"/>
          <w:szCs w:val="24"/>
        </w:rPr>
        <w:t xml:space="preserve"> ... </w:t>
      </w:r>
      <w:r w:rsidRPr="00F73206">
        <w:rPr>
          <w:rFonts w:ascii="Sylfaen" w:hAnsi="Sylfaen"/>
          <w:sz w:val="24"/>
          <w:szCs w:val="24"/>
        </w:rPr>
        <w:t>у</w:t>
      </w:r>
      <w:r w:rsidRPr="00F73206">
        <w:rPr>
          <w:rStyle w:val="Bodytext2Italic"/>
          <w:i w:val="0"/>
          <w:sz w:val="24"/>
          <w:szCs w:val="24"/>
          <w:vertAlign w:val="subscript"/>
        </w:rPr>
        <w:t>n</w:t>
      </w:r>
      <w:r w:rsidRPr="00F73206">
        <w:rPr>
          <w:rFonts w:ascii="Sylfaen" w:hAnsi="Sylfaen"/>
          <w:sz w:val="24"/>
          <w:szCs w:val="24"/>
        </w:rPr>
        <w:t>, у'</w:t>
      </w:r>
      <w:r w:rsidRPr="00F73206">
        <w:rPr>
          <w:rStyle w:val="Bodytext2Italic"/>
          <w:i w:val="0"/>
          <w:sz w:val="24"/>
          <w:szCs w:val="24"/>
          <w:vertAlign w:val="subscript"/>
        </w:rPr>
        <w:t>n</w:t>
      </w:r>
      <w:r w:rsidRPr="00F73206">
        <w:rPr>
          <w:rFonts w:ascii="Sylfaen" w:hAnsi="Sylfaen"/>
          <w:sz w:val="24"/>
          <w:szCs w:val="24"/>
        </w:rPr>
        <w:t xml:space="preserve">-ը կազմում են մի շարք տարբերություններ՝ </w:t>
      </w:r>
      <w:r w:rsidRPr="00F73206">
        <w:rPr>
          <w:rStyle w:val="Bodytext31Sylfaen9"/>
          <w:i w:val="0"/>
          <w:sz w:val="24"/>
          <w:szCs w:val="24"/>
        </w:rPr>
        <w:t>d</w:t>
      </w:r>
      <w:r w:rsidRPr="00F73206">
        <w:rPr>
          <w:rStyle w:val="Bodytext31Sylfaen9"/>
          <w:i w:val="0"/>
          <w:sz w:val="24"/>
          <w:szCs w:val="24"/>
          <w:vertAlign w:val="subscript"/>
        </w:rPr>
        <w:t>1</w:t>
      </w:r>
      <w:r w:rsidRPr="00F73206">
        <w:rPr>
          <w:rStyle w:val="Bodytext2Italic"/>
          <w:i w:val="0"/>
          <w:sz w:val="24"/>
          <w:szCs w:val="24"/>
        </w:rPr>
        <w:t>=у</w:t>
      </w:r>
      <w:r w:rsidRPr="00F73206">
        <w:rPr>
          <w:rStyle w:val="Bodytext2Italic"/>
          <w:i w:val="0"/>
          <w:sz w:val="24"/>
          <w:szCs w:val="24"/>
          <w:vertAlign w:val="subscript"/>
        </w:rPr>
        <w:t>1</w:t>
      </w:r>
      <w:r w:rsidRPr="00F73206">
        <w:rPr>
          <w:rStyle w:val="Bodytext2Italic"/>
          <w:i w:val="0"/>
          <w:sz w:val="24"/>
          <w:szCs w:val="24"/>
        </w:rPr>
        <w:t>- у'</w:t>
      </w:r>
      <w:r w:rsidRPr="00F73206">
        <w:rPr>
          <w:rStyle w:val="Bodytext2Italic"/>
          <w:i w:val="0"/>
          <w:sz w:val="24"/>
          <w:szCs w:val="24"/>
          <w:vertAlign w:val="subscript"/>
        </w:rPr>
        <w:t>1</w:t>
      </w:r>
      <w:r w:rsidRPr="00F73206">
        <w:rPr>
          <w:rStyle w:val="Bodytext2Italic"/>
          <w:i w:val="0"/>
          <w:sz w:val="24"/>
          <w:szCs w:val="24"/>
        </w:rPr>
        <w:t xml:space="preserve">, </w:t>
      </w:r>
      <w:r w:rsidRPr="00F73206">
        <w:rPr>
          <w:rStyle w:val="Bodytext31Sylfaen9"/>
          <w:i w:val="0"/>
          <w:sz w:val="24"/>
          <w:szCs w:val="24"/>
        </w:rPr>
        <w:t>d</w:t>
      </w:r>
      <w:r w:rsidRPr="00F73206">
        <w:rPr>
          <w:rStyle w:val="Bodytext31Sylfaen9"/>
          <w:i w:val="0"/>
          <w:sz w:val="24"/>
          <w:szCs w:val="24"/>
          <w:vertAlign w:val="subscript"/>
        </w:rPr>
        <w:t>2</w:t>
      </w:r>
      <w:r w:rsidRPr="00F73206">
        <w:rPr>
          <w:rStyle w:val="Bodytext2Italic"/>
          <w:i w:val="0"/>
          <w:sz w:val="24"/>
          <w:szCs w:val="24"/>
        </w:rPr>
        <w:t>=у</w:t>
      </w:r>
      <w:r w:rsidRPr="00F73206">
        <w:rPr>
          <w:rStyle w:val="Bodytext2Italic"/>
          <w:i w:val="0"/>
          <w:sz w:val="24"/>
          <w:szCs w:val="24"/>
          <w:vertAlign w:val="subscript"/>
        </w:rPr>
        <w:t>2</w:t>
      </w:r>
      <w:r w:rsidRPr="00F73206">
        <w:rPr>
          <w:rStyle w:val="Bodytext2Italic"/>
          <w:i w:val="0"/>
          <w:sz w:val="24"/>
          <w:szCs w:val="24"/>
        </w:rPr>
        <w:t>- у'</w:t>
      </w:r>
      <w:r w:rsidRPr="00F73206">
        <w:rPr>
          <w:rStyle w:val="Bodytext2Italic"/>
          <w:i w:val="0"/>
          <w:sz w:val="24"/>
          <w:szCs w:val="24"/>
          <w:vertAlign w:val="subscript"/>
        </w:rPr>
        <w:t>2</w:t>
      </w:r>
      <w:r w:rsidRPr="00F73206">
        <w:rPr>
          <w:rStyle w:val="Bodytext2Italic"/>
          <w:i w:val="0"/>
          <w:sz w:val="24"/>
          <w:szCs w:val="24"/>
        </w:rPr>
        <w:t>, ...d</w:t>
      </w:r>
      <w:r w:rsidRPr="00F73206">
        <w:rPr>
          <w:rStyle w:val="Bodytext2Italic"/>
          <w:i w:val="0"/>
          <w:sz w:val="24"/>
          <w:szCs w:val="24"/>
          <w:vertAlign w:val="subscript"/>
        </w:rPr>
        <w:t>n</w:t>
      </w:r>
      <w:r w:rsidRPr="00F73206">
        <w:rPr>
          <w:rStyle w:val="Bodytext2Italic"/>
          <w:i w:val="0"/>
          <w:sz w:val="24"/>
          <w:szCs w:val="24"/>
        </w:rPr>
        <w:t xml:space="preserve"> = у</w:t>
      </w:r>
      <w:r w:rsidRPr="00F73206">
        <w:rPr>
          <w:rStyle w:val="Bodytext2Italic"/>
          <w:i w:val="0"/>
          <w:sz w:val="24"/>
          <w:szCs w:val="24"/>
          <w:vertAlign w:val="subscript"/>
        </w:rPr>
        <w:t>n</w:t>
      </w:r>
      <w:r w:rsidRPr="00F73206">
        <w:rPr>
          <w:rStyle w:val="Bodytext2Italic"/>
          <w:i w:val="0"/>
          <w:sz w:val="24"/>
          <w:szCs w:val="24"/>
        </w:rPr>
        <w:t>-у'</w:t>
      </w:r>
      <w:r w:rsidRPr="00F73206">
        <w:rPr>
          <w:rStyle w:val="Bodytext2Italic"/>
          <w:i w:val="0"/>
          <w:sz w:val="24"/>
          <w:szCs w:val="24"/>
          <w:vertAlign w:val="subscript"/>
        </w:rPr>
        <w:t>n</w:t>
      </w:r>
    </w:p>
    <w:p w14:paraId="5B40EF0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եւ հաշվարկվում է մեծությունը՝ </w:t>
      </w:r>
      <w:r w:rsidRPr="00B834A2">
        <w:rPr>
          <w:rFonts w:ascii="Sylfaen" w:eastAsia="Sylfaen" w:hAnsi="Sylfaen" w:cs="Sylfaen"/>
          <w:noProof/>
          <w:sz w:val="24"/>
          <w:szCs w:val="24"/>
          <w:shd w:val="clear" w:color="auto" w:fill="FFFFFF"/>
          <w:lang w:val="en-US" w:eastAsia="en-US" w:bidi="ar-SA"/>
        </w:rPr>
        <w:drawing>
          <wp:inline distT="0" distB="0" distL="0" distR="0" wp14:anchorId="5AF686B7" wp14:editId="3E9B0ED8">
            <wp:extent cx="767051" cy="593678"/>
            <wp:effectExtent l="19050" t="0" r="0" b="0"/>
            <wp:docPr id="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srcRect/>
                    <a:stretch>
                      <a:fillRect/>
                    </a:stretch>
                  </pic:blipFill>
                  <pic:spPr bwMode="auto">
                    <a:xfrm>
                      <a:off x="0" y="0"/>
                      <a:ext cx="769928" cy="595905"/>
                    </a:xfrm>
                    <a:prstGeom prst="rect">
                      <a:avLst/>
                    </a:prstGeom>
                    <a:noFill/>
                    <a:ln w="9525">
                      <a:noFill/>
                      <a:miter lim="800000"/>
                      <a:headEnd/>
                      <a:tailEnd/>
                    </a:ln>
                  </pic:spPr>
                </pic:pic>
              </a:graphicData>
            </a:graphic>
          </wp:inline>
        </w:drawing>
      </w:r>
      <w:r w:rsidRPr="00B834A2">
        <w:rPr>
          <w:rFonts w:ascii="Sylfaen" w:hAnsi="Sylfaen"/>
          <w:sz w:val="24"/>
          <w:szCs w:val="24"/>
        </w:rPr>
        <w:t>, որտեղ</w:t>
      </w:r>
    </w:p>
    <w:p w14:paraId="651F7380" w14:textId="77777777" w:rsidR="00B834A2" w:rsidRPr="00B834A2" w:rsidRDefault="00B834A2" w:rsidP="00F73206">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5D9551AE" wp14:editId="446B588D">
            <wp:extent cx="1589964" cy="511791"/>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1591673" cy="512341"/>
                    </a:xfrm>
                    <a:prstGeom prst="rect">
                      <a:avLst/>
                    </a:prstGeom>
                    <a:noFill/>
                    <a:ln w="9525">
                      <a:noFill/>
                      <a:miter lim="800000"/>
                      <a:headEnd/>
                      <a:tailEnd/>
                    </a:ln>
                  </pic:spPr>
                </pic:pic>
              </a:graphicData>
            </a:graphic>
          </wp:inline>
        </w:drawing>
      </w:r>
    </w:p>
    <w:p w14:paraId="029EF508" w14:textId="77777777" w:rsidR="00B834A2" w:rsidRPr="00B834A2" w:rsidRDefault="00B834A2" w:rsidP="00F73206">
      <w:pPr>
        <w:pStyle w:val="Bodytext20"/>
        <w:shd w:val="clear" w:color="auto" w:fill="auto"/>
        <w:spacing w:before="0" w:after="160" w:line="360" w:lineRule="auto"/>
        <w:ind w:firstLine="567"/>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6530F8FB" wp14:editId="22CC9445">
            <wp:extent cx="1502675" cy="605057"/>
            <wp:effectExtent l="19050" t="0" r="2275" b="0"/>
            <wp:docPr id="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srcRect/>
                    <a:stretch>
                      <a:fillRect/>
                    </a:stretch>
                  </pic:blipFill>
                  <pic:spPr bwMode="auto">
                    <a:xfrm>
                      <a:off x="0" y="0"/>
                      <a:ext cx="1515606" cy="610264"/>
                    </a:xfrm>
                    <a:prstGeom prst="rect">
                      <a:avLst/>
                    </a:prstGeom>
                    <a:noFill/>
                    <a:ln w="9525">
                      <a:noFill/>
                      <a:miter lim="800000"/>
                      <a:headEnd/>
                      <a:tailEnd/>
                    </a:ln>
                  </pic:spPr>
                </pic:pic>
              </a:graphicData>
            </a:graphic>
          </wp:inline>
        </w:drawing>
      </w:r>
    </w:p>
    <w:p w14:paraId="272AED3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Ստացված t մեծությունը համեմատվում է աղյուսակային t արժեքի հետ</w:t>
      </w:r>
      <w:r>
        <w:rPr>
          <w:rFonts w:ascii="Sylfaen" w:hAnsi="Sylfaen"/>
          <w:sz w:val="24"/>
          <w:szCs w:val="24"/>
        </w:rPr>
        <w:t xml:space="preserve"> </w:t>
      </w:r>
      <w:r w:rsidRPr="00B834A2">
        <w:rPr>
          <w:rStyle w:val="Bodytext31Sylfaen9"/>
          <w:sz w:val="24"/>
          <w:szCs w:val="24"/>
        </w:rPr>
        <w:t>(</w:t>
      </w:r>
      <w:r w:rsidRPr="00B834A2">
        <w:rPr>
          <w:rStyle w:val="Bodytext2Italic"/>
          <w:sz w:val="24"/>
          <w:szCs w:val="24"/>
        </w:rPr>
        <w:t>р, f)</w:t>
      </w:r>
      <w:r w:rsidRPr="00B834A2">
        <w:rPr>
          <w:rFonts w:ascii="Sylfaen" w:hAnsi="Sylfaen"/>
          <w:sz w:val="24"/>
          <w:szCs w:val="24"/>
        </w:rPr>
        <w:t xml:space="preserve">՝ р նշանակալիության ընդունված մակարդակի եւ </w:t>
      </w:r>
      <w:r w:rsidRPr="00B834A2">
        <w:rPr>
          <w:rStyle w:val="Bodytext31Sylfaen9"/>
          <w:sz w:val="24"/>
          <w:szCs w:val="24"/>
        </w:rPr>
        <w:t>f=n-</w:t>
      </w:r>
      <w:r w:rsidRPr="00B834A2">
        <w:rPr>
          <w:rStyle w:val="Bodytext285pt"/>
          <w:i w:val="0"/>
          <w:spacing w:val="0"/>
          <w:sz w:val="24"/>
          <w:szCs w:val="24"/>
        </w:rPr>
        <w:t xml:space="preserve">1 </w:t>
      </w:r>
      <w:r w:rsidRPr="00B834A2">
        <w:rPr>
          <w:rFonts w:ascii="Sylfaen" w:hAnsi="Sylfaen"/>
          <w:sz w:val="24"/>
          <w:szCs w:val="24"/>
        </w:rPr>
        <w:t>ազատության աստիճանների թվի համար։</w:t>
      </w:r>
    </w:p>
    <w:p w14:paraId="34DBA230"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Օրինակ՝ պահանջվում է պարզել, թե արդյոք հեպատոպրոտեկտորի նախնական ներմուծումն ազդում է հեքսենալի ներգործության վրա։ Այդ նպատակով 7 մկների ներորովայնային եղանակով ներմուծում են հեքսենալի լուծույթ՝ 100 մգ/կգ դեղաչափով։ Ստացվել են у</w:t>
      </w:r>
      <w:r w:rsidRPr="00F73206">
        <w:rPr>
          <w:rStyle w:val="Bodytext31Sylfaen9"/>
          <w:i w:val="0"/>
          <w:sz w:val="24"/>
          <w:szCs w:val="24"/>
          <w:vertAlign w:val="subscript"/>
        </w:rPr>
        <w:t>i</w:t>
      </w:r>
      <w:r w:rsidRPr="00F73206">
        <w:rPr>
          <w:rStyle w:val="Bodytext31Sylfaen9"/>
          <w:i w:val="0"/>
          <w:sz w:val="24"/>
          <w:szCs w:val="24"/>
        </w:rPr>
        <w:t xml:space="preserve"> նարկոզի տեւողության հետեւյալ մեծությունները (րոպեներով)՝ 35, 83, 53, 60, 71, 62, 39։ Միջին արժեք կազմել է 57.6</w:t>
      </w:r>
      <w:r w:rsidR="00F73206" w:rsidRPr="00F73206">
        <w:rPr>
          <w:rStyle w:val="Bodytext31Sylfaen9"/>
          <w:i w:val="0"/>
          <w:sz w:val="24"/>
          <w:szCs w:val="24"/>
        </w:rPr>
        <w:t> </w:t>
      </w:r>
      <w:r w:rsidRPr="00F73206">
        <w:rPr>
          <w:rStyle w:val="Bodytext31Sylfaen9"/>
          <w:i w:val="0"/>
          <w:sz w:val="24"/>
          <w:szCs w:val="24"/>
        </w:rPr>
        <w:t>րոպե։</w:t>
      </w:r>
    </w:p>
    <w:p w14:paraId="68E9ED4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7 մկներից կազմված երկրորդ խմբին միեւնույն դեղաչափով հեքսենալ ներմուծելուց 15 րոպե առաջ ներմուծել են (նաեւ</w:t>
      </w:r>
      <w:r>
        <w:rPr>
          <w:rFonts w:ascii="Sylfaen" w:hAnsi="Sylfaen"/>
          <w:sz w:val="24"/>
          <w:szCs w:val="24"/>
        </w:rPr>
        <w:t xml:space="preserve"> </w:t>
      </w:r>
      <w:r w:rsidRPr="00B834A2">
        <w:rPr>
          <w:rFonts w:ascii="Sylfaen" w:hAnsi="Sylfaen"/>
          <w:sz w:val="24"/>
          <w:szCs w:val="24"/>
        </w:rPr>
        <w:t>ներորովայնային եղանակով) հեպատոպրոտեկտոր՝ 150 մգ/կգ դեղաչափով։</w:t>
      </w:r>
    </w:p>
    <w:p w14:paraId="714138A0"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pacing w:val="-4"/>
          <w:sz w:val="24"/>
          <w:szCs w:val="24"/>
        </w:rPr>
        <w:t>Ընդ որում, 1-ին խմբից թիվ 1, 2, ... 7 թեստ օբյեկտները կապակցված են եղել 2-րդ խմբից</w:t>
      </w:r>
      <w:r w:rsidRPr="00F73206">
        <w:rPr>
          <w:rStyle w:val="Bodytext31Sylfaen9"/>
          <w:i w:val="0"/>
          <w:sz w:val="24"/>
          <w:szCs w:val="24"/>
        </w:rPr>
        <w:t xml:space="preserve"> թիվ 3, </w:t>
      </w:r>
      <w:r w:rsidRPr="00F73206">
        <w:rPr>
          <w:rStyle w:val="Bodytext285pt"/>
          <w:i w:val="0"/>
          <w:spacing w:val="0"/>
          <w:sz w:val="24"/>
          <w:szCs w:val="24"/>
        </w:rPr>
        <w:t>1</w:t>
      </w:r>
      <w:r w:rsidRPr="00F73206">
        <w:rPr>
          <w:rStyle w:val="Bodytext31Sylfaen9"/>
          <w:i w:val="0"/>
          <w:sz w:val="24"/>
          <w:szCs w:val="24"/>
        </w:rPr>
        <w:t xml:space="preserve">, 5, 2, </w:t>
      </w:r>
      <w:r w:rsidRPr="00F73206">
        <w:rPr>
          <w:rStyle w:val="Bodytext285pt"/>
          <w:i w:val="0"/>
          <w:spacing w:val="0"/>
          <w:sz w:val="24"/>
          <w:szCs w:val="24"/>
        </w:rPr>
        <w:t>6</w:t>
      </w:r>
      <w:r w:rsidRPr="00F73206">
        <w:rPr>
          <w:rStyle w:val="Bodytext31Sylfaen9"/>
          <w:i w:val="0"/>
          <w:sz w:val="24"/>
          <w:szCs w:val="24"/>
        </w:rPr>
        <w:t>, 4, 7 թեստ օբյեկտների հետ (յուրաքանչյուր զույգի մեջ եղել</w:t>
      </w:r>
      <w:r w:rsidR="00F73206" w:rsidRPr="00F73206">
        <w:rPr>
          <w:rStyle w:val="Bodytext31Sylfaen9"/>
          <w:i w:val="0"/>
          <w:sz w:val="24"/>
          <w:szCs w:val="24"/>
        </w:rPr>
        <w:t> </w:t>
      </w:r>
      <w:r w:rsidRPr="00F73206">
        <w:rPr>
          <w:rStyle w:val="Bodytext31Sylfaen9"/>
          <w:i w:val="0"/>
          <w:sz w:val="24"/>
          <w:szCs w:val="24"/>
        </w:rPr>
        <w:t>են մկներ մեկ աճոնից՝ մարմնի մոտավորապես միեւնույն զանգվածով)։</w:t>
      </w:r>
    </w:p>
    <w:p w14:paraId="6E263EEB"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Նարկոտիկ քնի տեւողությունը կազմել է (րոպեներով)՝ 75, 78, 114, 110, 93, 100, 87։ Միջին արժեք կազմել է 93.9 րոպե։</w:t>
      </w:r>
    </w:p>
    <w:p w14:paraId="4C48B3AF"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2Italic"/>
          <w:i w:val="0"/>
          <w:sz w:val="24"/>
          <w:szCs w:val="24"/>
        </w:rPr>
        <w:t>¯d</w:t>
      </w:r>
      <w:r w:rsidRPr="00F73206">
        <w:rPr>
          <w:rStyle w:val="Bodytext31Sylfaen9"/>
          <w:i w:val="0"/>
          <w:sz w:val="24"/>
          <w:szCs w:val="24"/>
        </w:rPr>
        <w:t xml:space="preserve"> </w:t>
      </w:r>
      <w:r w:rsidRPr="00F73206">
        <w:rPr>
          <w:rStyle w:val="Bodytext27pt"/>
          <w:i w:val="0"/>
          <w:sz w:val="24"/>
          <w:szCs w:val="24"/>
        </w:rPr>
        <w:t xml:space="preserve">=254/7 =36,3, </w:t>
      </w:r>
      <w:r w:rsidRPr="00F73206">
        <w:rPr>
          <w:rStyle w:val="Bodytext2105pt"/>
          <w:rFonts w:ascii="Sylfaen" w:eastAsia="Sylfaen" w:hAnsi="Sylfaen"/>
          <w:i/>
          <w:w w:val="100"/>
          <w:sz w:val="24"/>
          <w:szCs w:val="24"/>
        </w:rPr>
        <w:t>s</w:t>
      </w:r>
      <w:r w:rsidRPr="00F73206">
        <w:rPr>
          <w:rStyle w:val="Bodytext2105pt"/>
          <w:rFonts w:ascii="Sylfaen" w:eastAsia="Sylfaen" w:hAnsi="Sylfaen"/>
          <w:i/>
          <w:w w:val="100"/>
          <w:sz w:val="24"/>
          <w:szCs w:val="24"/>
          <w:vertAlign w:val="subscript"/>
        </w:rPr>
        <w:t>¯d</w:t>
      </w:r>
      <w:r w:rsidRPr="00F73206">
        <w:rPr>
          <w:rStyle w:val="Bodytext2105pt"/>
          <w:rFonts w:ascii="Sylfaen" w:eastAsia="Sylfaen" w:hAnsi="Sylfaen"/>
          <w:i/>
          <w:w w:val="100"/>
          <w:sz w:val="24"/>
          <w:szCs w:val="24"/>
        </w:rPr>
        <w:t xml:space="preserve"> =27,27, </w:t>
      </w:r>
      <w:r w:rsidRPr="00F73206">
        <w:rPr>
          <w:rStyle w:val="Bodytext27pt"/>
          <w:i w:val="0"/>
          <w:sz w:val="24"/>
          <w:szCs w:val="24"/>
        </w:rPr>
        <w:t>t</w:t>
      </w:r>
      <w:r w:rsidRPr="00F73206">
        <w:rPr>
          <w:rStyle w:val="Bodytext27pt"/>
          <w:i w:val="0"/>
          <w:sz w:val="24"/>
          <w:szCs w:val="24"/>
          <w:vertAlign w:val="subscript"/>
        </w:rPr>
        <w:t>դիտ</w:t>
      </w:r>
      <w:r w:rsidRPr="00F73206">
        <w:rPr>
          <w:rStyle w:val="Bodytext27pt"/>
          <w:i w:val="0"/>
          <w:sz w:val="24"/>
          <w:szCs w:val="24"/>
        </w:rPr>
        <w:t xml:space="preserve">. =3,52, </w:t>
      </w:r>
      <w:r w:rsidRPr="00F73206">
        <w:rPr>
          <w:rStyle w:val="Bodytext31Sylfaen9"/>
          <w:i w:val="0"/>
          <w:sz w:val="24"/>
          <w:szCs w:val="24"/>
        </w:rPr>
        <w:t>եթե</w:t>
      </w:r>
      <w:r w:rsidRPr="00F73206">
        <w:rPr>
          <w:rFonts w:ascii="Sylfaen" w:hAnsi="Sylfaen"/>
          <w:i/>
          <w:sz w:val="24"/>
          <w:szCs w:val="24"/>
        </w:rPr>
        <w:t xml:space="preserve"> </w:t>
      </w:r>
      <w:r w:rsidRPr="00F73206">
        <w:rPr>
          <w:rStyle w:val="Bodytext27pt"/>
          <w:i w:val="0"/>
          <w:sz w:val="24"/>
          <w:szCs w:val="24"/>
        </w:rPr>
        <w:t>t</w:t>
      </w:r>
      <w:r w:rsidRPr="00F73206">
        <w:rPr>
          <w:rStyle w:val="Bodytext27pt"/>
          <w:i w:val="0"/>
          <w:sz w:val="24"/>
          <w:szCs w:val="24"/>
          <w:vertAlign w:val="subscript"/>
        </w:rPr>
        <w:t>կրիտիկ.</w:t>
      </w:r>
      <w:r w:rsidRPr="00F73206">
        <w:rPr>
          <w:rStyle w:val="Bodytext27pt"/>
          <w:i w:val="0"/>
          <w:sz w:val="24"/>
          <w:szCs w:val="24"/>
        </w:rPr>
        <w:t>(p=</w:t>
      </w:r>
      <w:r w:rsidRPr="00F73206">
        <w:rPr>
          <w:rStyle w:val="Bodytext31Sylfaen9"/>
          <w:i w:val="0"/>
          <w:sz w:val="24"/>
          <w:szCs w:val="24"/>
        </w:rPr>
        <w:t>0,05,f=</w:t>
      </w:r>
      <w:r w:rsidRPr="00F73206">
        <w:rPr>
          <w:rStyle w:val="Bodytext285pt"/>
          <w:i w:val="0"/>
          <w:spacing w:val="0"/>
          <w:sz w:val="24"/>
          <w:szCs w:val="24"/>
        </w:rPr>
        <w:t>6</w:t>
      </w:r>
      <w:r w:rsidRPr="00F73206">
        <w:rPr>
          <w:rStyle w:val="Bodytext31Sylfaen9"/>
          <w:i w:val="0"/>
          <w:sz w:val="24"/>
          <w:szCs w:val="24"/>
        </w:rPr>
        <w:t xml:space="preserve">)=2,45 </w:t>
      </w:r>
      <w:r w:rsidRPr="00F73206">
        <w:rPr>
          <w:rStyle w:val="Bodytext27pt"/>
          <w:i w:val="0"/>
          <w:sz w:val="24"/>
          <w:szCs w:val="24"/>
        </w:rPr>
        <w:t>եւ t</w:t>
      </w:r>
      <w:r w:rsidRPr="00F73206">
        <w:rPr>
          <w:rStyle w:val="Bodytext27pt"/>
          <w:i w:val="0"/>
          <w:sz w:val="24"/>
          <w:szCs w:val="24"/>
          <w:vertAlign w:val="subscript"/>
        </w:rPr>
        <w:t>կրիտիկ</w:t>
      </w:r>
      <w:r w:rsidRPr="00F73206">
        <w:rPr>
          <w:rStyle w:val="Bodytext27pt"/>
          <w:i w:val="0"/>
          <w:sz w:val="24"/>
          <w:szCs w:val="24"/>
        </w:rPr>
        <w:t xml:space="preserve">.(p = </w:t>
      </w:r>
      <w:r w:rsidRPr="00F73206">
        <w:rPr>
          <w:rStyle w:val="Bodytext31Sylfaen9"/>
          <w:i w:val="0"/>
          <w:sz w:val="24"/>
          <w:szCs w:val="24"/>
        </w:rPr>
        <w:t xml:space="preserve">0,01, f= </w:t>
      </w:r>
      <w:r w:rsidRPr="00F73206">
        <w:rPr>
          <w:rStyle w:val="Bodytext285pt"/>
          <w:i w:val="0"/>
          <w:spacing w:val="0"/>
          <w:sz w:val="24"/>
          <w:szCs w:val="24"/>
        </w:rPr>
        <w:t>6</w:t>
      </w:r>
      <w:r w:rsidRPr="00F73206">
        <w:rPr>
          <w:rStyle w:val="Bodytext31Sylfaen9"/>
          <w:i w:val="0"/>
          <w:sz w:val="24"/>
          <w:szCs w:val="24"/>
        </w:rPr>
        <w:t xml:space="preserve">) = 3,71. </w:t>
      </w:r>
      <w:r w:rsidRPr="00F73206">
        <w:rPr>
          <w:rStyle w:val="Bodytext27pt"/>
          <w:i w:val="0"/>
          <w:sz w:val="24"/>
          <w:szCs w:val="24"/>
        </w:rPr>
        <w:t>t</w:t>
      </w:r>
      <w:r w:rsidRPr="00F73206">
        <w:rPr>
          <w:rStyle w:val="Bodytext27pt"/>
          <w:i w:val="0"/>
          <w:sz w:val="24"/>
          <w:szCs w:val="24"/>
          <w:vertAlign w:val="subscript"/>
        </w:rPr>
        <w:t>կրիտիկ</w:t>
      </w:r>
      <w:r w:rsidRPr="00F73206">
        <w:rPr>
          <w:rStyle w:val="Bodytext27pt"/>
          <w:i w:val="0"/>
          <w:sz w:val="24"/>
          <w:szCs w:val="24"/>
        </w:rPr>
        <w:t xml:space="preserve">.(p = </w:t>
      </w:r>
      <w:r w:rsidRPr="00F73206">
        <w:rPr>
          <w:rStyle w:val="Bodytext31Sylfaen9"/>
          <w:i w:val="0"/>
          <w:sz w:val="24"/>
          <w:szCs w:val="24"/>
        </w:rPr>
        <w:t xml:space="preserve">0,01, f= </w:t>
      </w:r>
      <w:r w:rsidRPr="00F73206">
        <w:rPr>
          <w:rStyle w:val="Bodytext285pt"/>
          <w:i w:val="0"/>
          <w:spacing w:val="0"/>
          <w:sz w:val="24"/>
          <w:szCs w:val="24"/>
        </w:rPr>
        <w:t>6</w:t>
      </w:r>
      <w:r w:rsidRPr="00F73206">
        <w:rPr>
          <w:rStyle w:val="Bodytext31Sylfaen9"/>
          <w:i w:val="0"/>
          <w:sz w:val="24"/>
          <w:szCs w:val="24"/>
        </w:rPr>
        <w:t>) = 5,96։</w:t>
      </w:r>
    </w:p>
    <w:p w14:paraId="1C221339"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 xml:space="preserve">Այսպիսով, կարելի է եզրակացնել, որ նարկոտիկ քնի տեւողության վրա հեպատոպրոտեկտորի ազդեցությունն առկա է 95 % վստահելի հավանականությամբ։ </w:t>
      </w:r>
    </w:p>
    <w:p w14:paraId="62483298"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Եթե խմբերում արձագանքների բաշխումը նորմալ չէ, ապա երկու կախյալ ընտրանքները համեմատելու համար հարկավոր է կիրառել Վիլկինսոնի ոչ պարամետրական չափորոշիչը։</w:t>
      </w:r>
    </w:p>
    <w:p w14:paraId="06C9D69A"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Նորմալության նախնական ստուգումն իրականացնում են 2.3.1 բաժնում նշվածի համաձայն։</w:t>
      </w:r>
    </w:p>
    <w:p w14:paraId="083A7C35" w14:textId="77777777" w:rsidR="00B834A2" w:rsidRPr="00F73206" w:rsidRDefault="00B834A2" w:rsidP="00F73206">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5B6181">
        <w:rPr>
          <w:rStyle w:val="Bodytext31Sylfaen9"/>
          <w:b/>
          <w:i w:val="0"/>
          <w:sz w:val="24"/>
          <w:szCs w:val="24"/>
        </w:rPr>
        <w:lastRenderedPageBreak/>
        <w:t>3.</w:t>
      </w:r>
      <w:r w:rsidR="00F73206" w:rsidRPr="00A859E3">
        <w:rPr>
          <w:rStyle w:val="Bodytext31Sylfaen9"/>
          <w:b/>
          <w:i w:val="0"/>
          <w:sz w:val="24"/>
          <w:szCs w:val="24"/>
        </w:rPr>
        <w:tab/>
      </w:r>
      <w:r w:rsidRPr="00F73206">
        <w:rPr>
          <w:rStyle w:val="Bodytext31Sylfaen9"/>
          <w:b/>
          <w:i w:val="0"/>
          <w:sz w:val="24"/>
          <w:szCs w:val="24"/>
        </w:rPr>
        <w:t>ՔԱՆԱԿԱԿԱՆ ՏԻՊԻ ԱՐՁԱԳԱՆՔՈՎ ԿԵՆՍԱԲԱՆԱԿԱՆ ՓՈՐՁԱՐԿՈՒՄՆԵՐԸ</w:t>
      </w:r>
    </w:p>
    <w:p w14:paraId="46BBC1D0"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F73206">
        <w:rPr>
          <w:rStyle w:val="Bodytext31Sylfaen9"/>
          <w:i w:val="0"/>
          <w:sz w:val="24"/>
          <w:szCs w:val="24"/>
        </w:rPr>
        <w:t>Քանակական տվյալները (արձագանքները) ենթակա են անմիջական չափման կամ հաշվարկման եւ կարող են ընդունել որոշակի ընդգրկույթում ցանկացած արժեք։ Դրանք կարող են լինել կամ շարունակական (օրինակ՝ սարքի միջոցով ստացված), հաշվարկված (օրինակ՝ վահանակ առաջացնող միավորներ) կամ ընդհատուն (օրինակ՝ վերջնական կետի նոսրացման տիտրեր)։</w:t>
      </w:r>
    </w:p>
    <w:p w14:paraId="2C072A1F" w14:textId="77777777" w:rsidR="00B834A2" w:rsidRPr="00DE4F37" w:rsidRDefault="00B834A2" w:rsidP="005B6181">
      <w:pPr>
        <w:pStyle w:val="Bodytext20"/>
        <w:shd w:val="clear" w:color="auto" w:fill="auto"/>
        <w:spacing w:before="0" w:after="160" w:line="374" w:lineRule="auto"/>
        <w:ind w:firstLine="567"/>
        <w:jc w:val="both"/>
        <w:rPr>
          <w:rStyle w:val="Bodytext31Sylfaen9"/>
          <w:i w:val="0"/>
          <w:sz w:val="24"/>
          <w:szCs w:val="24"/>
        </w:rPr>
      </w:pPr>
      <w:r w:rsidRPr="00F73206">
        <w:rPr>
          <w:rStyle w:val="Bodytext31Sylfaen9"/>
          <w:i w:val="0"/>
          <w:sz w:val="24"/>
          <w:szCs w:val="24"/>
        </w:rPr>
        <w:t>Քանակական տվյալների գլխավոր առանձնահատկությունը դրանց հետ ցանկացած հետեւյալ մաթեմատիկական փոխակերպումը կատարելու հնարավորությունն է՝ գումարելը, հանելը, բազմապատկելը, ամբողջ թվի աստիճան բարձրացնելը, քառակուսի արմատ ստանալը (միայն ոչ բացասական արժեքներ ընդունող մեծությունների համար), լոգարիթմելը (միայն դրական մեծություններ) եւ այլն։</w:t>
      </w:r>
    </w:p>
    <w:p w14:paraId="29E7ADC5" w14:textId="77777777" w:rsidR="001636CE" w:rsidRPr="00DE4F37" w:rsidRDefault="001636CE" w:rsidP="005B6181">
      <w:pPr>
        <w:pStyle w:val="Bodytext20"/>
        <w:shd w:val="clear" w:color="auto" w:fill="auto"/>
        <w:spacing w:before="0" w:after="160" w:line="374" w:lineRule="auto"/>
        <w:ind w:firstLine="567"/>
        <w:jc w:val="both"/>
        <w:rPr>
          <w:rFonts w:ascii="Sylfaen" w:hAnsi="Sylfaen" w:cs="Sylfaen"/>
          <w:i/>
          <w:sz w:val="24"/>
          <w:szCs w:val="24"/>
        </w:rPr>
      </w:pPr>
    </w:p>
    <w:p w14:paraId="3802357C" w14:textId="77777777" w:rsidR="00B834A2" w:rsidRPr="00F73206" w:rsidRDefault="00B834A2" w:rsidP="005B6181">
      <w:pPr>
        <w:pStyle w:val="Bodytext20"/>
        <w:shd w:val="clear" w:color="auto" w:fill="auto"/>
        <w:tabs>
          <w:tab w:val="left" w:pos="1134"/>
        </w:tabs>
        <w:spacing w:before="0" w:after="160" w:line="374" w:lineRule="auto"/>
        <w:ind w:firstLine="567"/>
        <w:jc w:val="both"/>
        <w:rPr>
          <w:rFonts w:ascii="Sylfaen" w:hAnsi="Sylfaen" w:cs="Sylfaen"/>
          <w:b/>
          <w:sz w:val="24"/>
          <w:szCs w:val="24"/>
        </w:rPr>
      </w:pPr>
      <w:r w:rsidRPr="00B834A2">
        <w:rPr>
          <w:rFonts w:ascii="Sylfaen" w:hAnsi="Sylfaen"/>
          <w:b/>
          <w:sz w:val="24"/>
          <w:szCs w:val="24"/>
        </w:rPr>
        <w:t>3.1.</w:t>
      </w:r>
      <w:r w:rsidR="00F73206" w:rsidRPr="00A859E3">
        <w:rPr>
          <w:rFonts w:ascii="Sylfaen" w:hAnsi="Sylfaen"/>
          <w:b/>
          <w:sz w:val="24"/>
          <w:szCs w:val="24"/>
        </w:rPr>
        <w:tab/>
      </w:r>
      <w:r w:rsidRPr="00F73206">
        <w:rPr>
          <w:rStyle w:val="Bodytext31Sylfaen9"/>
          <w:b/>
          <w:i w:val="0"/>
          <w:sz w:val="24"/>
          <w:szCs w:val="24"/>
        </w:rPr>
        <w:t>Հաշվարկների ընդհանուր սկզբունքները</w:t>
      </w:r>
    </w:p>
    <w:p w14:paraId="47CAA47F" w14:textId="77777777" w:rsidR="00B834A2" w:rsidRPr="00F73206" w:rsidRDefault="00B834A2" w:rsidP="005B6181">
      <w:pPr>
        <w:pStyle w:val="Bodytext20"/>
        <w:shd w:val="clear" w:color="auto" w:fill="auto"/>
        <w:tabs>
          <w:tab w:val="left" w:pos="1276"/>
        </w:tabs>
        <w:spacing w:before="0" w:after="160" w:line="374" w:lineRule="auto"/>
        <w:ind w:firstLine="567"/>
        <w:jc w:val="both"/>
        <w:rPr>
          <w:rFonts w:ascii="Sylfaen" w:hAnsi="Sylfaen" w:cs="Sylfaen"/>
          <w:i/>
          <w:sz w:val="24"/>
          <w:szCs w:val="24"/>
        </w:rPr>
      </w:pPr>
      <w:r w:rsidRPr="00F73206">
        <w:rPr>
          <w:rFonts w:ascii="Sylfaen" w:hAnsi="Sylfaen"/>
          <w:i/>
          <w:sz w:val="24"/>
          <w:szCs w:val="24"/>
        </w:rPr>
        <w:t>3.1.1.</w:t>
      </w:r>
      <w:r w:rsidR="00F73206" w:rsidRPr="00A859E3">
        <w:rPr>
          <w:rFonts w:ascii="Sylfaen" w:hAnsi="Sylfaen"/>
          <w:i/>
          <w:sz w:val="24"/>
          <w:szCs w:val="24"/>
        </w:rPr>
        <w:tab/>
      </w:r>
      <w:r w:rsidRPr="00F73206">
        <w:rPr>
          <w:rStyle w:val="Bodytext2Italic"/>
          <w:i w:val="0"/>
          <w:sz w:val="24"/>
          <w:szCs w:val="24"/>
        </w:rPr>
        <w:t>Ջուգահեռ ուղիղ գծերի մոդելը</w:t>
      </w:r>
    </w:p>
    <w:p w14:paraId="44157CCB" w14:textId="77777777" w:rsidR="00B834A2" w:rsidRPr="00F73206" w:rsidRDefault="00B834A2" w:rsidP="005B6181">
      <w:pPr>
        <w:pStyle w:val="Bodytext20"/>
        <w:shd w:val="clear" w:color="auto" w:fill="auto"/>
        <w:spacing w:before="0" w:after="160" w:line="374" w:lineRule="auto"/>
        <w:ind w:firstLine="567"/>
        <w:jc w:val="both"/>
        <w:rPr>
          <w:rFonts w:ascii="Sylfaen" w:hAnsi="Sylfaen" w:cs="Sylfaen"/>
          <w:sz w:val="24"/>
          <w:szCs w:val="24"/>
        </w:rPr>
      </w:pPr>
      <w:r w:rsidRPr="00F73206">
        <w:rPr>
          <w:rStyle w:val="Bodytext31Sylfaen9"/>
          <w:i w:val="0"/>
          <w:sz w:val="24"/>
          <w:szCs w:val="24"/>
        </w:rPr>
        <w:t>Կենսաբանական ակտիվությունը որոշելու համար առավել հաճախ կիրառվում է զուգահեռ ուղիղ գծերի մոդելը։ Այն հիմնված է այն հանգամանքի</w:t>
      </w:r>
      <w:r w:rsidRPr="00B834A2">
        <w:rPr>
          <w:rStyle w:val="Bodytext31Sylfaen9"/>
          <w:sz w:val="24"/>
          <w:szCs w:val="24"/>
        </w:rPr>
        <w:t xml:space="preserve"> </w:t>
      </w:r>
      <w:r w:rsidRPr="00F73206">
        <w:rPr>
          <w:rStyle w:val="Bodytext31Sylfaen9"/>
          <w:i w:val="0"/>
          <w:sz w:val="24"/>
          <w:szCs w:val="24"/>
        </w:rPr>
        <w:t>վրա, որ դեպքերի մեծ մասում սովորաբար կիրառվող դեղաչափերի միջակայքում արձագանքը քանակապես արտահայտված լինելու դեպքում գծայնորեն կապված է դեղաչափի լոգարիթմի հետ։ Այդ կապն արտահայտվում է գծային ռեգրեսիայի հավասարությամբ՝</w:t>
      </w:r>
    </w:p>
    <w:p w14:paraId="07615DBA" w14:textId="77777777" w:rsidR="00B834A2" w:rsidRPr="00F73206" w:rsidRDefault="00B834A2" w:rsidP="005B6181">
      <w:pPr>
        <w:pStyle w:val="Bodytext20"/>
        <w:shd w:val="clear" w:color="auto" w:fill="auto"/>
        <w:spacing w:before="0" w:after="160" w:line="374" w:lineRule="auto"/>
        <w:ind w:firstLine="567"/>
        <w:rPr>
          <w:rFonts w:ascii="Sylfaen" w:hAnsi="Sylfaen" w:cs="Sylfaen"/>
          <w:sz w:val="24"/>
          <w:szCs w:val="24"/>
        </w:rPr>
      </w:pPr>
      <w:r w:rsidRPr="00F73206">
        <w:rPr>
          <w:rStyle w:val="Bodytext31Sylfaen9"/>
          <w:i w:val="0"/>
          <w:sz w:val="24"/>
          <w:szCs w:val="24"/>
        </w:rPr>
        <w:t xml:space="preserve">у = </w:t>
      </w:r>
      <w:r w:rsidRPr="00F73206">
        <w:rPr>
          <w:rStyle w:val="Bodytext2Italic"/>
          <w:i w:val="0"/>
          <w:sz w:val="24"/>
          <w:szCs w:val="24"/>
        </w:rPr>
        <w:t>а + b</w:t>
      </w:r>
      <w:r w:rsidRPr="00F73206">
        <w:rPr>
          <w:rStyle w:val="Bodytext2Italic"/>
          <w:i w:val="0"/>
          <w:sz w:val="24"/>
          <w:szCs w:val="24"/>
          <w:vertAlign w:val="subscript"/>
        </w:rPr>
        <w:t>х</w:t>
      </w:r>
      <w:r w:rsidRPr="00F73206">
        <w:rPr>
          <w:rStyle w:val="Bodytext2Italic"/>
          <w:i w:val="0"/>
          <w:sz w:val="24"/>
          <w:szCs w:val="24"/>
        </w:rPr>
        <w:t>,</w:t>
      </w:r>
    </w:p>
    <w:p w14:paraId="3D556437" w14:textId="77777777" w:rsidR="00B834A2" w:rsidRPr="00F73206" w:rsidRDefault="00B834A2" w:rsidP="005B6181">
      <w:pPr>
        <w:pStyle w:val="Bodytext20"/>
        <w:shd w:val="clear" w:color="auto" w:fill="auto"/>
        <w:spacing w:before="0" w:after="160" w:line="374" w:lineRule="auto"/>
        <w:ind w:firstLine="567"/>
        <w:jc w:val="both"/>
        <w:rPr>
          <w:rFonts w:ascii="Sylfaen" w:hAnsi="Sylfaen"/>
          <w:sz w:val="24"/>
          <w:szCs w:val="24"/>
        </w:rPr>
      </w:pPr>
      <w:r w:rsidRPr="00F73206">
        <w:rPr>
          <w:rFonts w:ascii="Sylfaen" w:hAnsi="Sylfaen"/>
          <w:sz w:val="24"/>
          <w:szCs w:val="24"/>
        </w:rPr>
        <w:t xml:space="preserve">որտեղ՝ </w:t>
      </w:r>
    </w:p>
    <w:p w14:paraId="0FF25BF0" w14:textId="77777777" w:rsidR="00B834A2" w:rsidRPr="00F73206" w:rsidRDefault="00B834A2" w:rsidP="005B6181">
      <w:pPr>
        <w:pStyle w:val="Bodytext20"/>
        <w:shd w:val="clear" w:color="auto" w:fill="auto"/>
        <w:spacing w:before="0" w:after="160" w:line="374" w:lineRule="auto"/>
        <w:ind w:firstLine="567"/>
        <w:jc w:val="both"/>
        <w:rPr>
          <w:rFonts w:ascii="Sylfaen" w:hAnsi="Sylfaen" w:cs="Sylfaen"/>
          <w:sz w:val="24"/>
          <w:szCs w:val="24"/>
        </w:rPr>
      </w:pPr>
      <w:r w:rsidRPr="00F73206">
        <w:rPr>
          <w:rFonts w:ascii="Sylfaen" w:hAnsi="Sylfaen"/>
          <w:i/>
          <w:sz w:val="24"/>
          <w:szCs w:val="24"/>
        </w:rPr>
        <w:t>а</w:t>
      </w:r>
      <w:r w:rsidRPr="00F73206">
        <w:rPr>
          <w:rFonts w:ascii="Sylfaen" w:hAnsi="Sylfaen"/>
          <w:sz w:val="24"/>
          <w:szCs w:val="24"/>
        </w:rPr>
        <w:t>-ն գծային ռեգրեսիայի ազատ անդամն է.</w:t>
      </w:r>
    </w:p>
    <w:p w14:paraId="5FBDC460"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F73206">
        <w:rPr>
          <w:rFonts w:ascii="Sylfaen" w:hAnsi="Sylfaen"/>
          <w:i/>
          <w:sz w:val="24"/>
          <w:szCs w:val="24"/>
        </w:rPr>
        <w:lastRenderedPageBreak/>
        <w:t>b</w:t>
      </w:r>
      <w:r w:rsidRPr="00F73206">
        <w:rPr>
          <w:rFonts w:ascii="Sylfaen" w:hAnsi="Sylfaen"/>
          <w:sz w:val="24"/>
          <w:szCs w:val="24"/>
        </w:rPr>
        <w:t>-ն՝ գծային ռեգրեսիայի անկյունային գործակիցը.</w:t>
      </w:r>
    </w:p>
    <w:p w14:paraId="0E238DF0" w14:textId="77777777" w:rsidR="00B834A2" w:rsidRPr="00F73206"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F73206">
        <w:rPr>
          <w:rFonts w:ascii="Sylfaen" w:hAnsi="Sylfaen"/>
          <w:i/>
          <w:sz w:val="24"/>
          <w:szCs w:val="24"/>
        </w:rPr>
        <w:t>х</w:t>
      </w:r>
      <w:r w:rsidRPr="00F73206">
        <w:rPr>
          <w:rFonts w:ascii="Sylfaen" w:hAnsi="Sylfaen"/>
          <w:sz w:val="24"/>
          <w:szCs w:val="24"/>
        </w:rPr>
        <w:t>-ը՝ դեղաչափի լոգարիթմը (տասնորդական կամ բնական)։</w:t>
      </w:r>
    </w:p>
    <w:p w14:paraId="0508FBB8" w14:textId="77777777" w:rsidR="00B834A2" w:rsidRPr="00F73206" w:rsidRDefault="00B834A2" w:rsidP="005B6181">
      <w:pPr>
        <w:pStyle w:val="Bodytext20"/>
        <w:shd w:val="clear" w:color="auto" w:fill="auto"/>
        <w:spacing w:before="0" w:after="160" w:line="336" w:lineRule="auto"/>
        <w:ind w:firstLine="567"/>
        <w:jc w:val="both"/>
        <w:rPr>
          <w:rFonts w:ascii="Sylfaen" w:hAnsi="Sylfaen" w:cs="Sylfaen"/>
          <w:sz w:val="24"/>
          <w:szCs w:val="24"/>
        </w:rPr>
      </w:pPr>
      <w:r w:rsidRPr="00F73206">
        <w:rPr>
          <w:rStyle w:val="Bodytext31Sylfaen9"/>
          <w:i w:val="0"/>
          <w:sz w:val="24"/>
          <w:szCs w:val="24"/>
        </w:rPr>
        <w:t xml:space="preserve">Կենսաբանական ակտիվությունը որոշվում է ստանդարտ նմուշի եւ փորձարկվող նմուշի՝ դեղաչափից կախվածության գծերի համեմատման միջոցով։ </w:t>
      </w:r>
      <w:r w:rsidRPr="00F73206">
        <w:rPr>
          <w:rFonts w:ascii="Sylfaen" w:hAnsi="Sylfaen"/>
          <w:sz w:val="24"/>
          <w:szCs w:val="24"/>
        </w:rPr>
        <w:t xml:space="preserve">Փորձարկվող նմուշի կենսաբանական ակտիվության մեծությունը գրաֆիկորեն կարելի է արտահայտել </w:t>
      </w:r>
      <w:r w:rsidRPr="00F73206">
        <w:rPr>
          <w:rStyle w:val="Bodytext31Sylfaen9"/>
          <w:i w:val="0"/>
          <w:sz w:val="24"/>
          <w:szCs w:val="24"/>
        </w:rPr>
        <w:t>х առանցքի վրա դեղաչափից կախվածության գծերի միջեւ հեռավորության միջոցով (3.1.</w:t>
      </w:r>
      <w:r w:rsidRPr="00F73206">
        <w:rPr>
          <w:rStyle w:val="Bodytext285pt"/>
          <w:i w:val="0"/>
          <w:spacing w:val="0"/>
          <w:sz w:val="24"/>
          <w:szCs w:val="24"/>
        </w:rPr>
        <w:t>1</w:t>
      </w:r>
      <w:r w:rsidRPr="00F73206">
        <w:rPr>
          <w:rStyle w:val="Bodytext31Sylfaen9"/>
          <w:i w:val="0"/>
          <w:sz w:val="24"/>
          <w:szCs w:val="24"/>
        </w:rPr>
        <w:t>-</w:t>
      </w:r>
      <w:r w:rsidRPr="00F73206">
        <w:rPr>
          <w:rStyle w:val="Bodytext285pt"/>
          <w:i w:val="0"/>
          <w:spacing w:val="0"/>
          <w:sz w:val="24"/>
          <w:szCs w:val="24"/>
        </w:rPr>
        <w:t xml:space="preserve">1 </w:t>
      </w:r>
      <w:r w:rsidRPr="00F73206">
        <w:rPr>
          <w:rStyle w:val="Bodytext31Sylfaen9"/>
          <w:i w:val="0"/>
          <w:sz w:val="24"/>
          <w:szCs w:val="24"/>
        </w:rPr>
        <w:t>նկար)։</w:t>
      </w:r>
    </w:p>
    <w:p w14:paraId="44AD78EB" w14:textId="77777777" w:rsidR="00B834A2" w:rsidRPr="00B63C54" w:rsidRDefault="00B834A2" w:rsidP="005B6181">
      <w:pPr>
        <w:pStyle w:val="Bodytext20"/>
        <w:shd w:val="clear" w:color="auto" w:fill="auto"/>
        <w:spacing w:before="0" w:after="160" w:line="336" w:lineRule="auto"/>
        <w:ind w:firstLine="567"/>
        <w:jc w:val="both"/>
        <w:rPr>
          <w:rFonts w:ascii="Sylfaen" w:hAnsi="Sylfaen" w:cs="Sylfaen"/>
          <w:i/>
          <w:sz w:val="24"/>
          <w:szCs w:val="24"/>
        </w:rPr>
      </w:pPr>
      <w:r w:rsidRPr="00B834A2">
        <w:rPr>
          <w:rFonts w:ascii="Sylfaen" w:hAnsi="Sylfaen"/>
          <w:sz w:val="24"/>
          <w:szCs w:val="24"/>
        </w:rPr>
        <w:t>Ռուտինային կենսաբանական փորձարկումներ անցկացնելիս սովորաբար կիրառվում է ստանդարտ նմուշի եւ փորձարկվող նմուշի 2 կամ 3 դեղաչափ, քանի որ մեկ դեղաչափի կիրառումը թույլ չի տալիս հաշվարկել փորձի արդյունքների դիսպերսիան, առանց որի հնարավոր չէ ոչ արդյունքների պիտանիության ստուգումը, ոչ էլ փորձարկվող նմուշի կենսաբանական ակտիվության վստահելի սահմանների հաշվարկումը։</w:t>
      </w:r>
      <w:r w:rsidRPr="00B834A2">
        <w:rPr>
          <w:rStyle w:val="Bodytext31Sylfaen9"/>
          <w:sz w:val="24"/>
          <w:szCs w:val="24"/>
        </w:rPr>
        <w:t xml:space="preserve"> </w:t>
      </w:r>
      <w:r w:rsidRPr="00B63C54">
        <w:rPr>
          <w:rStyle w:val="Bodytext31Sylfaen9"/>
          <w:i w:val="0"/>
          <w:sz w:val="24"/>
          <w:szCs w:val="24"/>
        </w:rPr>
        <w:t>Յուրաքանչյուր դեղաչափ ներմուծվում է թեստ օբյեկտների առանձին խմբին։ Մեկուսացված օրգանի օգտագործման դեպքում բոլոր դեղաչափերը փորձարկվում են մեկ թեստ օբյեկտի համար։ Ստանում են ստանդարտ նմուշի եւ փորձարկվող նմուշի յուրաքանչյուր դեղաչափի նկատմամբ միեւնույն թվով արձագանքներ (այսպես կոչված հավասարակշռված սխեմա)։ Հատուկ կենսաչափական ծրագրային ապահովման (СоmbiStats, РLА կամ նույնանմանները) առկայության դեպքում կարող է կիրառվել ոչ հավասարակշռված սխեման։</w:t>
      </w:r>
    </w:p>
    <w:p w14:paraId="4E049641" w14:textId="77777777" w:rsidR="00B834A2" w:rsidRPr="00B63C54"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63C54">
        <w:rPr>
          <w:rStyle w:val="Bodytext31Sylfaen9"/>
          <w:i w:val="0"/>
          <w:sz w:val="24"/>
          <w:szCs w:val="24"/>
        </w:rPr>
        <w:t xml:space="preserve">Զուգահեռ ուղիղ գծերի մոդելի շրջանակներում առկա են կիրառման մի քանի հիմնական տեսակներ։ </w:t>
      </w:r>
    </w:p>
    <w:p w14:paraId="21050F03" w14:textId="77777777" w:rsidR="00B63C54" w:rsidRPr="00B63C54" w:rsidRDefault="00000000" w:rsidP="009A3F5E">
      <w:pPr>
        <w:pStyle w:val="Picturecaption130"/>
        <w:shd w:val="clear" w:color="auto" w:fill="auto"/>
        <w:spacing w:after="160" w:line="360" w:lineRule="auto"/>
        <w:ind w:firstLine="567"/>
        <w:rPr>
          <w:rFonts w:ascii="Sylfaen" w:hAnsi="Sylfaen"/>
          <w:sz w:val="24"/>
          <w:szCs w:val="24"/>
        </w:rPr>
      </w:pPr>
      <w:r>
        <w:rPr>
          <w:rFonts w:ascii="Sylfaen" w:hAnsi="Sylfaen" w:cs="Sylfaen"/>
          <w:noProof/>
          <w:sz w:val="24"/>
          <w:szCs w:val="24"/>
          <w:lang w:val="en-US" w:eastAsia="en-US" w:bidi="ar-SA"/>
        </w:rPr>
        <w:lastRenderedPageBreak/>
        <w:pict w14:anchorId="1D60E1CD">
          <v:group id="_x0000_s1452" style="position:absolute;left:0;text-align:left;margin-left:26.15pt;margin-top:34pt;width:236.65pt;height:214.4pt;z-index:252032000" coordorigin="1941,2098" coordsize="4733,4288">
            <v:rect id="_x0000_s1274" style="position:absolute;left:5009;top:2098;width:1440;height:557" stroked="f">
              <v:textbox style="mso-next-textbox:#_x0000_s1274">
                <w:txbxContent>
                  <w:p w14:paraId="1653E68E" w14:textId="77777777" w:rsidR="008D6E8B" w:rsidRPr="00146DFE" w:rsidRDefault="008D6E8B" w:rsidP="00B834A2">
                    <w:pPr>
                      <w:jc w:val="center"/>
                      <w:rPr>
                        <w:sz w:val="14"/>
                        <w:szCs w:val="20"/>
                      </w:rPr>
                    </w:pPr>
                    <w:r w:rsidRPr="00F35AAA">
                      <w:rPr>
                        <w:sz w:val="14"/>
                      </w:rPr>
                      <w:t>Ստանդարտ</w:t>
                    </w:r>
                    <w:r>
                      <w:rPr>
                        <w:sz w:val="14"/>
                      </w:rPr>
                      <w:t xml:space="preserve"> նմուշը</w:t>
                    </w:r>
                  </w:p>
                </w:txbxContent>
              </v:textbox>
            </v:rect>
            <v:rect id="_x0000_s1275" style="position:absolute;left:4946;top:2655;width:1440;height:664" stroked="f">
              <v:textbox style="mso-next-textbox:#_x0000_s1275">
                <w:txbxContent>
                  <w:p w14:paraId="1520336F" w14:textId="77777777" w:rsidR="008D6E8B" w:rsidRPr="00146DFE" w:rsidRDefault="008D6E8B" w:rsidP="00B834A2">
                    <w:pPr>
                      <w:jc w:val="center"/>
                      <w:rPr>
                        <w:sz w:val="14"/>
                        <w:szCs w:val="20"/>
                      </w:rPr>
                    </w:pPr>
                    <w:r w:rsidRPr="00F35AAA">
                      <w:rPr>
                        <w:sz w:val="14"/>
                      </w:rPr>
                      <w:t>Փորձարկվող</w:t>
                    </w:r>
                    <w:r>
                      <w:rPr>
                        <w:sz w:val="14"/>
                      </w:rPr>
                      <w:t xml:space="preserve"> նմուշը</w:t>
                    </w:r>
                  </w:p>
                </w:txbxContent>
              </v:textbox>
            </v:rect>
            <v:rect id="_x0000_s1276" style="position:absolute;left:3418;top:5541;width:1716;height:438" stroked="f">
              <v:textbox style="mso-next-textbox:#_x0000_s1276">
                <w:txbxContent>
                  <w:p w14:paraId="3B12571B" w14:textId="77777777" w:rsidR="008D6E8B" w:rsidRPr="00B63C54" w:rsidRDefault="008D6E8B" w:rsidP="00B834A2">
                    <w:pPr>
                      <w:jc w:val="center"/>
                      <w:rPr>
                        <w:sz w:val="12"/>
                        <w:szCs w:val="12"/>
                      </w:rPr>
                    </w:pPr>
                    <w:r w:rsidRPr="00B63C54">
                      <w:rPr>
                        <w:sz w:val="12"/>
                        <w:szCs w:val="12"/>
                      </w:rPr>
                      <w:t xml:space="preserve">Դեղաչափի լոգարիթմը (x) </w:t>
                    </w:r>
                  </w:p>
                </w:txbxContent>
              </v:textbox>
            </v:rect>
            <v:rect id="_x0000_s1277" style="position:absolute;left:2173;top:2762;width:607;height:1564" stroked="f">
              <v:textbox style="layout-flow:vertical;mso-layout-flow-alt:bottom-to-top;mso-next-textbox:#_x0000_s1277">
                <w:txbxContent>
                  <w:p w14:paraId="4818E445" w14:textId="77777777" w:rsidR="008D6E8B" w:rsidRPr="00B63C54" w:rsidRDefault="008D6E8B" w:rsidP="00B834A2">
                    <w:pPr>
                      <w:rPr>
                        <w:sz w:val="16"/>
                        <w:szCs w:val="16"/>
                      </w:rPr>
                    </w:pPr>
                    <w:r w:rsidRPr="00B63C54">
                      <w:rPr>
                        <w:sz w:val="16"/>
                        <w:szCs w:val="16"/>
                      </w:rPr>
                      <w:t>Արձագանքներ (</w:t>
                    </w:r>
                    <w:r w:rsidRPr="00B63C54">
                      <w:rPr>
                        <w:sz w:val="16"/>
                        <w:szCs w:val="16"/>
                        <w:lang w:val="en-GB"/>
                      </w:rPr>
                      <w:t>v)</w:t>
                    </w:r>
                  </w:p>
                </w:txbxContent>
              </v:textbox>
            </v:rect>
            <v:rect id="_x0000_s1451" style="position:absolute;left:1941;top:6048;width:4733;height:338" stroked="f"/>
          </v:group>
        </w:pict>
      </w:r>
      <w:r w:rsidR="00B63C54" w:rsidRPr="00B63C54">
        <w:rPr>
          <w:rFonts w:ascii="Sylfaen" w:hAnsi="Sylfaen" w:cs="Sylfaen"/>
          <w:noProof/>
          <w:sz w:val="24"/>
          <w:szCs w:val="24"/>
          <w:lang w:eastAsia="en-US" w:bidi="ar-SA"/>
        </w:rPr>
        <w:t xml:space="preserve"> </w:t>
      </w:r>
      <w:r w:rsidR="00B834A2" w:rsidRPr="00B834A2">
        <w:rPr>
          <w:rFonts w:ascii="Sylfaen" w:hAnsi="Sylfaen" w:cs="Sylfaen"/>
          <w:noProof/>
          <w:sz w:val="24"/>
          <w:szCs w:val="24"/>
          <w:lang w:val="en-US" w:eastAsia="en-US" w:bidi="ar-SA"/>
        </w:rPr>
        <w:drawing>
          <wp:inline distT="0" distB="0" distL="0" distR="0" wp14:anchorId="28C33AEF" wp14:editId="64B8A4E9">
            <wp:extent cx="2826843" cy="3093057"/>
            <wp:effectExtent l="19050" t="0" r="0" b="0"/>
            <wp:docPr id="232" name="Picture 4"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7"/>
                    <pic:cNvPicPr>
                      <a:picLocks noChangeAspect="1" noChangeArrowheads="1"/>
                    </pic:cNvPicPr>
                  </pic:nvPicPr>
                  <pic:blipFill>
                    <a:blip r:embed="rId57" cstate="print"/>
                    <a:srcRect/>
                    <a:stretch>
                      <a:fillRect/>
                    </a:stretch>
                  </pic:blipFill>
                  <pic:spPr bwMode="auto">
                    <a:xfrm>
                      <a:off x="0" y="0"/>
                      <a:ext cx="2826562" cy="3092750"/>
                    </a:xfrm>
                    <a:prstGeom prst="rect">
                      <a:avLst/>
                    </a:prstGeom>
                    <a:noFill/>
                    <a:ln w="9525">
                      <a:noFill/>
                      <a:miter lim="800000"/>
                      <a:headEnd/>
                      <a:tailEnd/>
                    </a:ln>
                  </pic:spPr>
                </pic:pic>
              </a:graphicData>
            </a:graphic>
          </wp:inline>
        </w:drawing>
      </w:r>
      <w:r w:rsidR="00B834A2" w:rsidRPr="00B834A2">
        <w:rPr>
          <w:rFonts w:ascii="Sylfaen" w:hAnsi="Sylfaen"/>
          <w:sz w:val="24"/>
          <w:szCs w:val="24"/>
        </w:rPr>
        <w:t xml:space="preserve"> </w:t>
      </w:r>
    </w:p>
    <w:p w14:paraId="5A1D9FEF" w14:textId="77777777" w:rsidR="00B834A2" w:rsidRPr="00DE4F37" w:rsidRDefault="00B63C54" w:rsidP="009A3F5E">
      <w:pPr>
        <w:pStyle w:val="Picturecaption130"/>
        <w:shd w:val="clear" w:color="auto" w:fill="auto"/>
        <w:spacing w:after="160" w:line="360" w:lineRule="auto"/>
        <w:ind w:firstLine="567"/>
        <w:rPr>
          <w:rFonts w:ascii="Sylfaen" w:hAnsi="Sylfaen"/>
          <w:szCs w:val="24"/>
        </w:rPr>
      </w:pPr>
      <w:r w:rsidRPr="005B6181">
        <w:rPr>
          <w:rFonts w:ascii="Sylfaen" w:hAnsi="Sylfaen"/>
          <w:i w:val="0"/>
          <w:szCs w:val="24"/>
        </w:rPr>
        <w:t>Նկար 3.1.1-1.</w:t>
      </w:r>
      <w:r w:rsidRPr="00B63C54">
        <w:rPr>
          <w:rFonts w:ascii="Sylfaen" w:hAnsi="Sylfaen"/>
          <w:szCs w:val="24"/>
        </w:rPr>
        <w:t xml:space="preserve"> Զուգահեռ ուղիղ գծերի մոդելը (ստանդարտ </w:t>
      </w:r>
      <w:r w:rsidR="00B834A2" w:rsidRPr="00B63C54">
        <w:rPr>
          <w:rFonts w:ascii="Sylfaen" w:hAnsi="Sylfaen"/>
          <w:szCs w:val="24"/>
        </w:rPr>
        <w:t>նմուշի եւ փորձարկվող նմուշի երեքական դեղաչափեր)</w:t>
      </w:r>
    </w:p>
    <w:p w14:paraId="3D8D765B" w14:textId="77777777" w:rsidR="001636CE" w:rsidRPr="00DE4F37" w:rsidRDefault="001636CE" w:rsidP="009A3F5E">
      <w:pPr>
        <w:pStyle w:val="Picturecaption130"/>
        <w:shd w:val="clear" w:color="auto" w:fill="auto"/>
        <w:spacing w:after="160" w:line="360" w:lineRule="auto"/>
        <w:ind w:firstLine="567"/>
        <w:rPr>
          <w:rFonts w:ascii="Sylfaen" w:hAnsi="Sylfaen" w:cs="Sylfaen"/>
          <w:szCs w:val="24"/>
        </w:rPr>
      </w:pPr>
    </w:p>
    <w:p w14:paraId="7702556D" w14:textId="77777777" w:rsidR="00B834A2" w:rsidRPr="009F6876" w:rsidRDefault="00B834A2" w:rsidP="009F6876">
      <w:pPr>
        <w:pStyle w:val="Bodytext20"/>
        <w:shd w:val="clear" w:color="auto" w:fill="auto"/>
        <w:tabs>
          <w:tab w:val="left" w:pos="1560"/>
        </w:tabs>
        <w:spacing w:before="0" w:after="160" w:line="360" w:lineRule="auto"/>
        <w:ind w:firstLine="567"/>
        <w:jc w:val="both"/>
        <w:rPr>
          <w:rFonts w:ascii="Sylfaen" w:hAnsi="Sylfaen" w:cs="Sylfaen"/>
          <w:b/>
          <w:sz w:val="24"/>
          <w:szCs w:val="24"/>
        </w:rPr>
      </w:pPr>
      <w:r w:rsidRPr="00B834A2">
        <w:rPr>
          <w:rFonts w:ascii="Sylfaen" w:hAnsi="Sylfaen"/>
          <w:b/>
          <w:sz w:val="24"/>
          <w:szCs w:val="24"/>
        </w:rPr>
        <w:t>3.1.1.1.</w:t>
      </w:r>
      <w:r w:rsidR="009F6876" w:rsidRPr="00A859E3">
        <w:rPr>
          <w:rFonts w:ascii="Sylfaen" w:hAnsi="Sylfaen"/>
          <w:b/>
          <w:sz w:val="24"/>
          <w:szCs w:val="24"/>
        </w:rPr>
        <w:tab/>
      </w:r>
      <w:r w:rsidRPr="009F6876">
        <w:rPr>
          <w:rStyle w:val="Bodytext29pt"/>
          <w:b/>
          <w:sz w:val="24"/>
          <w:szCs w:val="24"/>
        </w:rPr>
        <w:t xml:space="preserve">Պատահական ընտրության կիրառումը </w:t>
      </w:r>
    </w:p>
    <w:p w14:paraId="2F9424AB" w14:textId="77777777" w:rsidR="00B834A2" w:rsidRPr="009F6876"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F6876">
        <w:rPr>
          <w:rStyle w:val="Bodytext31Sylfaen9"/>
          <w:i w:val="0"/>
          <w:sz w:val="24"/>
          <w:szCs w:val="24"/>
        </w:rPr>
        <w:t>Առավել ընդհանուր դեպք, երբ դիտարկվում է ստացված տվյալների ամբողջ զանգվածը (3.2.1 եւ 3.2.2 բաժին)։</w:t>
      </w:r>
    </w:p>
    <w:p w14:paraId="614F8784" w14:textId="77777777" w:rsidR="00B834A2" w:rsidRPr="009F6876" w:rsidRDefault="00B834A2" w:rsidP="009F6876">
      <w:pPr>
        <w:pStyle w:val="Bodytext20"/>
        <w:shd w:val="clear" w:color="auto" w:fill="auto"/>
        <w:tabs>
          <w:tab w:val="left" w:pos="1560"/>
        </w:tabs>
        <w:spacing w:before="0" w:after="160" w:line="360" w:lineRule="auto"/>
        <w:ind w:firstLine="567"/>
        <w:jc w:val="both"/>
        <w:rPr>
          <w:rFonts w:ascii="Sylfaen" w:hAnsi="Sylfaen" w:cs="Sylfaen"/>
          <w:b/>
          <w:sz w:val="24"/>
          <w:szCs w:val="24"/>
        </w:rPr>
      </w:pPr>
      <w:r w:rsidRPr="009F6876">
        <w:rPr>
          <w:rFonts w:ascii="Sylfaen" w:hAnsi="Sylfaen"/>
          <w:b/>
          <w:sz w:val="24"/>
          <w:szCs w:val="24"/>
        </w:rPr>
        <w:t>3.1.1.2.</w:t>
      </w:r>
      <w:r w:rsidR="009F6876" w:rsidRPr="00A859E3">
        <w:rPr>
          <w:rFonts w:ascii="Sylfaen" w:hAnsi="Sylfaen"/>
          <w:b/>
          <w:sz w:val="24"/>
          <w:szCs w:val="24"/>
        </w:rPr>
        <w:tab/>
      </w:r>
      <w:r w:rsidRPr="009F6876">
        <w:rPr>
          <w:rStyle w:val="Bodytext29pt"/>
          <w:b/>
          <w:sz w:val="24"/>
          <w:szCs w:val="24"/>
        </w:rPr>
        <w:t>Ռանդոմիզացված (պատահական) բլոկները</w:t>
      </w:r>
    </w:p>
    <w:p w14:paraId="430EB329" w14:textId="77777777" w:rsidR="00B834A2" w:rsidRPr="009F6876"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F6876">
        <w:rPr>
          <w:rStyle w:val="Bodytext31Sylfaen9"/>
          <w:i w:val="0"/>
          <w:sz w:val="24"/>
          <w:szCs w:val="24"/>
        </w:rPr>
        <w:t>Ստանդարտ նմուշի եւ փորձարկվող նմուշի հետազոտվող դեղաչափերի յուրաքանչյուր ամբողջական լրակազմ դիտարկվում է որպես առանձին բլոկ, որը կարող է հանվել ընդհանուր հաշվարկներից, եթե այն վիճակագրորեն նշանակալի կերպով տարբերվում է փորձարկման արդյունքում ստացված մյուս բլոկներից (3.2.3 բաժին)։</w:t>
      </w:r>
    </w:p>
    <w:p w14:paraId="25FC0E6D" w14:textId="77777777" w:rsidR="00B834A2" w:rsidRPr="009F6876" w:rsidRDefault="00B834A2" w:rsidP="009F6876">
      <w:pPr>
        <w:pStyle w:val="Bodytext20"/>
        <w:shd w:val="clear" w:color="auto" w:fill="auto"/>
        <w:tabs>
          <w:tab w:val="left" w:pos="1560"/>
        </w:tabs>
        <w:spacing w:before="0" w:after="160" w:line="360" w:lineRule="auto"/>
        <w:ind w:firstLine="567"/>
        <w:jc w:val="both"/>
        <w:rPr>
          <w:rFonts w:ascii="Sylfaen" w:hAnsi="Sylfaen" w:cs="Sylfaen"/>
          <w:b/>
          <w:sz w:val="24"/>
          <w:szCs w:val="24"/>
        </w:rPr>
      </w:pPr>
      <w:r w:rsidRPr="009F6876">
        <w:rPr>
          <w:rFonts w:ascii="Sylfaen" w:hAnsi="Sylfaen"/>
          <w:b/>
          <w:sz w:val="24"/>
          <w:szCs w:val="24"/>
        </w:rPr>
        <w:t>3.1.1.3.</w:t>
      </w:r>
      <w:r w:rsidR="009F6876" w:rsidRPr="00A859E3">
        <w:rPr>
          <w:rFonts w:ascii="Sylfaen" w:hAnsi="Sylfaen"/>
          <w:b/>
          <w:sz w:val="24"/>
          <w:szCs w:val="24"/>
        </w:rPr>
        <w:tab/>
      </w:r>
      <w:r w:rsidRPr="009F6876">
        <w:rPr>
          <w:rStyle w:val="Bodytext29pt"/>
          <w:b/>
          <w:sz w:val="24"/>
          <w:szCs w:val="24"/>
        </w:rPr>
        <w:t>Լատինական քառակուսին</w:t>
      </w:r>
    </w:p>
    <w:p w14:paraId="51C23FF7" w14:textId="77777777" w:rsidR="00B834A2" w:rsidRPr="009F6876"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9F6876">
        <w:rPr>
          <w:rStyle w:val="Bodytext31Sylfaen9"/>
          <w:i w:val="0"/>
          <w:sz w:val="24"/>
          <w:szCs w:val="24"/>
        </w:rPr>
        <w:t xml:space="preserve">Տողերի թիվը հավասար է փորձարկման ժամանակ օգտագործված </w:t>
      </w:r>
      <w:r w:rsidRPr="009F6876">
        <w:rPr>
          <w:rStyle w:val="Bodytext31Sylfaen9"/>
          <w:i w:val="0"/>
          <w:spacing w:val="-4"/>
          <w:sz w:val="24"/>
          <w:szCs w:val="24"/>
        </w:rPr>
        <w:t xml:space="preserve">դեղաչափերի թվին։ </w:t>
      </w:r>
      <w:r w:rsidRPr="009F6876">
        <w:rPr>
          <w:rFonts w:ascii="Sylfaen" w:hAnsi="Sylfaen"/>
          <w:spacing w:val="-4"/>
          <w:sz w:val="24"/>
          <w:szCs w:val="24"/>
        </w:rPr>
        <w:t xml:space="preserve">Երկու դեղաչափի կիրառման դեպքում օգտագործվում է 4-ը 4-ի քառակուսի, </w:t>
      </w:r>
      <w:r w:rsidRPr="00B834A2">
        <w:rPr>
          <w:rFonts w:ascii="Sylfaen" w:hAnsi="Sylfaen"/>
          <w:sz w:val="24"/>
          <w:szCs w:val="24"/>
        </w:rPr>
        <w:t>իսկ երեք դեղաչափի կիրառման դեպքում՝ 6-ը 6-ի քառակուսի։</w:t>
      </w:r>
      <w:r w:rsidRPr="00B834A2">
        <w:rPr>
          <w:rStyle w:val="Bodytext31Sylfaen9"/>
          <w:sz w:val="24"/>
          <w:szCs w:val="24"/>
        </w:rPr>
        <w:t xml:space="preserve"> </w:t>
      </w:r>
      <w:r w:rsidRPr="009F6876">
        <w:rPr>
          <w:rStyle w:val="Bodytext31Sylfaen9"/>
          <w:i w:val="0"/>
          <w:sz w:val="24"/>
          <w:szCs w:val="24"/>
        </w:rPr>
        <w:t xml:space="preserve">Ընդ որում, կարելի է օգտագործել միեւնույն թեստ օբյեկտը, օրինակ՝ մեկուսացված </w:t>
      </w:r>
      <w:r w:rsidRPr="009F6876">
        <w:rPr>
          <w:rStyle w:val="Bodytext31Sylfaen9"/>
          <w:i w:val="0"/>
          <w:sz w:val="24"/>
          <w:szCs w:val="24"/>
        </w:rPr>
        <w:lastRenderedPageBreak/>
        <w:t>օրգանը։ Դեղաչափերը ներմուծվում են որոշակի հաջորդականությամբ։ Որպես այդպիսի հաջորդականության օրինակ կարող է բերվել այսպես կոչված ցիկլային տեղաշարժը։ Ընդ որում, ստանդարտ նմուշի եւ փորձարկվող նմուշի երկու դեղաչափ օգտագործելիս դեղափերի ներմուծման կարգը հետեւյալն է՝ s</w:t>
      </w:r>
      <w:r w:rsidRPr="009F6876">
        <w:rPr>
          <w:rStyle w:val="Bodytext31Sylfaen9"/>
          <w:i w:val="0"/>
          <w:sz w:val="24"/>
          <w:szCs w:val="24"/>
          <w:vertAlign w:val="subscript"/>
        </w:rPr>
        <w:t>1</w:t>
      </w:r>
      <w:r w:rsidRPr="009F6876">
        <w:rPr>
          <w:rStyle w:val="Bodytext31Sylfaen9"/>
          <w:i w:val="0"/>
          <w:sz w:val="24"/>
          <w:szCs w:val="24"/>
        </w:rPr>
        <w:t>, s</w:t>
      </w:r>
      <w:r w:rsidRPr="009F6876">
        <w:rPr>
          <w:rStyle w:val="Bodytext31Sylfaen9"/>
          <w:i w:val="0"/>
          <w:sz w:val="24"/>
          <w:szCs w:val="24"/>
          <w:vertAlign w:val="subscript"/>
        </w:rPr>
        <w:t>2</w:t>
      </w:r>
      <w:r w:rsidRPr="009F6876">
        <w:rPr>
          <w:rStyle w:val="Bodytext2Italic"/>
          <w:i w:val="0"/>
          <w:sz w:val="24"/>
          <w:szCs w:val="24"/>
        </w:rPr>
        <w:t>, u</w:t>
      </w:r>
      <w:r w:rsidRPr="009F6876">
        <w:rPr>
          <w:rStyle w:val="Bodytext2Italic"/>
          <w:i w:val="0"/>
          <w:sz w:val="24"/>
          <w:szCs w:val="24"/>
          <w:vertAlign w:val="subscript"/>
        </w:rPr>
        <w:t>1</w:t>
      </w:r>
      <w:r w:rsidRPr="009F6876">
        <w:rPr>
          <w:rStyle w:val="Bodytext2Italic"/>
          <w:i w:val="0"/>
          <w:sz w:val="24"/>
          <w:szCs w:val="24"/>
        </w:rPr>
        <w:t>, u</w:t>
      </w:r>
      <w:r w:rsidRPr="009F6876">
        <w:rPr>
          <w:rStyle w:val="Bodytext2Italic"/>
          <w:i w:val="0"/>
          <w:sz w:val="24"/>
          <w:szCs w:val="24"/>
          <w:vertAlign w:val="subscript"/>
        </w:rPr>
        <w:t>2</w:t>
      </w:r>
      <w:r w:rsidRPr="009F6876">
        <w:rPr>
          <w:rStyle w:val="Bodytext2Italic"/>
          <w:i w:val="0"/>
          <w:sz w:val="24"/>
          <w:szCs w:val="24"/>
        </w:rPr>
        <w:t>։</w:t>
      </w:r>
      <w:r w:rsidRPr="009F6876">
        <w:rPr>
          <w:rStyle w:val="Bodytext31Sylfaen9"/>
          <w:i w:val="0"/>
          <w:sz w:val="24"/>
          <w:szCs w:val="24"/>
        </w:rPr>
        <w:t xml:space="preserve"> Յուրաքանչյուր հաջորդ տող սկսվում է այն դեղաչափից, որով ավարտվել է նախորդը, այսինքն՝ յուրաքանչյուր տողի սկզբում դեղաչափերի կարգը տեղաշարժվում է դեպի աջ։ Որոշ դեպքերում դա թույլ է տալիս վերացնել մեկ դեղաչափի հնարավոր ազդեցությունը մյուսի վրա (3.2.4 եւ 3.2.5 բաժին)։</w:t>
      </w:r>
    </w:p>
    <w:p w14:paraId="241CD4CD" w14:textId="77777777" w:rsidR="00B834A2" w:rsidRPr="009F6876" w:rsidRDefault="00B834A2" w:rsidP="009F6876">
      <w:pPr>
        <w:pStyle w:val="Bodytext20"/>
        <w:shd w:val="clear" w:color="auto" w:fill="auto"/>
        <w:tabs>
          <w:tab w:val="left" w:pos="1560"/>
        </w:tabs>
        <w:spacing w:before="0" w:after="160" w:line="360" w:lineRule="auto"/>
        <w:ind w:firstLine="567"/>
        <w:jc w:val="both"/>
        <w:rPr>
          <w:rFonts w:ascii="Sylfaen" w:hAnsi="Sylfaen" w:cs="Sylfaen"/>
          <w:b/>
          <w:sz w:val="24"/>
          <w:szCs w:val="24"/>
        </w:rPr>
      </w:pPr>
      <w:r w:rsidRPr="009F6876">
        <w:rPr>
          <w:rFonts w:ascii="Sylfaen" w:hAnsi="Sylfaen"/>
          <w:b/>
          <w:sz w:val="24"/>
          <w:szCs w:val="24"/>
        </w:rPr>
        <w:t>3.1.1.4.</w:t>
      </w:r>
      <w:r w:rsidR="009F6876" w:rsidRPr="00A859E3">
        <w:rPr>
          <w:rFonts w:ascii="Sylfaen" w:hAnsi="Sylfaen"/>
          <w:b/>
          <w:sz w:val="24"/>
          <w:szCs w:val="24"/>
        </w:rPr>
        <w:tab/>
      </w:r>
      <w:r w:rsidRPr="009F6876">
        <w:rPr>
          <w:rStyle w:val="Bodytext29pt"/>
          <w:b/>
          <w:sz w:val="24"/>
          <w:szCs w:val="24"/>
        </w:rPr>
        <w:t>Կրկնակի խաչաձեւումը</w:t>
      </w:r>
    </w:p>
    <w:p w14:paraId="011C8FCC" w14:textId="77777777" w:rsidR="00B834A2" w:rsidRPr="009F6876"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9F6876">
        <w:rPr>
          <w:rStyle w:val="Bodytext31Sylfaen9"/>
          <w:i w:val="0"/>
          <w:sz w:val="24"/>
          <w:szCs w:val="24"/>
        </w:rPr>
        <w:t>Եթե յուրաքանչյուր թեստ օբյեկտ կարող է փորձի մեջ կիրառվել միայն մեկ անգամ, ապա հետազոտողը ստիպված է գործ ունենալ միայն արդյունքների միջխմբային դիսպերսիայի հետ։ Իսկ եթե յուրաքանչյուր թեստ օբյեկտից կարելի է ստանալ մեկից ավելի արձագանք, ապա ի հայտ է գալիս ներխմբային դեսպերսիան։ Տվյալ դեպքում, եթե այն փոքր է միջխմբային դիսպերսիայից, ապա կարելի է կիրառել կրկնակի խաչաձեւումը։ Դա թույլ է տալիս նվազեցնել արձագանքների բնական փոփոխման բացասական ազդեցությունը եւ բարձրացնել</w:t>
      </w:r>
      <w:r w:rsidRPr="00B834A2">
        <w:rPr>
          <w:rStyle w:val="Bodytext31Sylfaen9"/>
          <w:sz w:val="24"/>
          <w:szCs w:val="24"/>
        </w:rPr>
        <w:t xml:space="preserve"> </w:t>
      </w:r>
      <w:r w:rsidRPr="009F6876">
        <w:rPr>
          <w:rStyle w:val="Bodytext31Sylfaen9"/>
          <w:i w:val="0"/>
          <w:sz w:val="24"/>
          <w:szCs w:val="24"/>
        </w:rPr>
        <w:t xml:space="preserve">արդյունքների ճշգրտությունն ու հավաստիությունը։ Որպես այդպիսի փորձարկման օրինակ կարող է բերվել ճագարների կամ մկների համար ինսուլինի կենսաբանական ակտիվության որոշումը, որը հիմնված է արյան մեջ գլյուկոզի կոնցենտրացիայի նվազման վրա։ Ինսուլինի ներմուծումը կատարվում է հատուկ սխեմայով այնպես, որ կենդանիների 4 խմբերից յուրաքանչյուրը փորձի 2 օրվա ընթացքում տարբեր դեղաչափերով ստանում է ինչպես ստանդարտ նմուշը, այնպես էլ փորձարկվող նմուշը (3.2.6 բաժին)։ </w:t>
      </w:r>
    </w:p>
    <w:p w14:paraId="3FC537FC"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b/>
          <w:sz w:val="24"/>
          <w:szCs w:val="24"/>
        </w:rPr>
      </w:pPr>
      <w:r>
        <w:rPr>
          <w:rFonts w:ascii="Sylfaen" w:hAnsi="Sylfaen" w:cs="Sylfaen"/>
          <w:noProof/>
          <w:sz w:val="24"/>
          <w:szCs w:val="24"/>
          <w:lang w:val="en-US" w:eastAsia="en-US" w:bidi="ar-SA"/>
        </w:rPr>
        <w:lastRenderedPageBreak/>
        <w:pict w14:anchorId="1A9B606E">
          <v:group id="_x0000_s1425" style="position:absolute;left:0;text-align:left;margin-left:234.95pt;margin-top:17.25pt;width:175.7pt;height:17.85pt;z-index:251980800" coordorigin="6117,1763" coordsize="3514,357">
            <v:rect id="_x0000_s1260" style="position:absolute;left:8122;top:1763;width:1509;height:357" stroked="f">
              <v:textbox>
                <w:txbxContent>
                  <w:p w14:paraId="7950A455" w14:textId="77777777" w:rsidR="008D6E8B" w:rsidRPr="0089039A" w:rsidRDefault="008D6E8B" w:rsidP="00B834A2">
                    <w:pPr>
                      <w:rPr>
                        <w:sz w:val="20"/>
                      </w:rPr>
                    </w:pPr>
                    <w:r w:rsidRPr="006510F6">
                      <w:rPr>
                        <w:sz w:val="2"/>
                      </w:rPr>
                      <w:t>◊</w:t>
                    </w:r>
                    <w:r w:rsidRPr="006510F6">
                      <w:rPr>
                        <w:sz w:val="14"/>
                      </w:rPr>
                      <w:t xml:space="preserve">Արձագանքի գիծը </w:t>
                    </w:r>
                  </w:p>
                </w:txbxContent>
              </v:textbox>
            </v:rect>
            <v:rect id="_x0000_s1261" style="position:absolute;left:6117;top:1797;width:922;height:323" stroked="f">
              <v:textbox style="mso-next-textbox:#_x0000_s1261">
                <w:txbxContent>
                  <w:p w14:paraId="6A526A95" w14:textId="77777777" w:rsidR="008D6E8B" w:rsidRPr="006510F6" w:rsidRDefault="008D6E8B" w:rsidP="00B834A2">
                    <w:pPr>
                      <w:rPr>
                        <w:sz w:val="14"/>
                        <w:szCs w:val="8"/>
                      </w:rPr>
                    </w:pPr>
                    <w:r w:rsidRPr="006510F6">
                      <w:rPr>
                        <w:sz w:val="8"/>
                        <w:szCs w:val="8"/>
                      </w:rPr>
                      <w:t>□</w:t>
                    </w:r>
                    <w:r w:rsidRPr="006510F6">
                      <w:rPr>
                        <w:sz w:val="14"/>
                        <w:szCs w:val="8"/>
                      </w:rPr>
                      <w:t xml:space="preserve"> I օր</w:t>
                    </w:r>
                  </w:p>
                </w:txbxContent>
              </v:textbox>
            </v:rect>
            <v:rect id="_x0000_s1262" style="position:absolute;left:7131;top:1797;width:899;height:323" stroked="f">
              <v:textbox>
                <w:txbxContent>
                  <w:p w14:paraId="1A7E992C" w14:textId="77777777" w:rsidR="008D6E8B" w:rsidRPr="0089039A" w:rsidRDefault="008D6E8B" w:rsidP="00B834A2">
                    <w:pPr>
                      <w:rPr>
                        <w:sz w:val="16"/>
                        <w:szCs w:val="16"/>
                      </w:rPr>
                    </w:pPr>
                    <w:r>
                      <w:rPr>
                        <w:sz w:val="16"/>
                      </w:rPr>
                      <w:t>+II օր</w:t>
                    </w:r>
                  </w:p>
                </w:txbxContent>
              </v:textbox>
            </v:rect>
          </v:group>
        </w:pict>
      </w:r>
      <w:r w:rsidR="00B834A2" w:rsidRPr="00B834A2">
        <w:rPr>
          <w:rFonts w:ascii="Sylfaen" w:hAnsi="Sylfaen" w:cs="Sylfaen"/>
          <w:noProof/>
          <w:sz w:val="24"/>
          <w:szCs w:val="24"/>
          <w:lang w:val="en-US" w:eastAsia="en-US" w:bidi="ar-SA"/>
        </w:rPr>
        <w:drawing>
          <wp:inline distT="0" distB="0" distL="0" distR="0" wp14:anchorId="55CF1102" wp14:editId="03CC6AA6">
            <wp:extent cx="5760085" cy="2779838"/>
            <wp:effectExtent l="19050" t="0" r="0" b="0"/>
            <wp:docPr id="233" name="Picture 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8"/>
                    <pic:cNvPicPr>
                      <a:picLocks noChangeAspect="1" noChangeArrowheads="1"/>
                    </pic:cNvPicPr>
                  </pic:nvPicPr>
                  <pic:blipFill>
                    <a:blip r:embed="rId58" cstate="print"/>
                    <a:srcRect/>
                    <a:stretch>
                      <a:fillRect/>
                    </a:stretch>
                  </pic:blipFill>
                  <pic:spPr bwMode="auto">
                    <a:xfrm>
                      <a:off x="0" y="0"/>
                      <a:ext cx="5760085" cy="2779838"/>
                    </a:xfrm>
                    <a:prstGeom prst="rect">
                      <a:avLst/>
                    </a:prstGeom>
                    <a:noFill/>
                    <a:ln w="9525">
                      <a:noFill/>
                      <a:miter lim="800000"/>
                      <a:headEnd/>
                      <a:tailEnd/>
                    </a:ln>
                  </pic:spPr>
                </pic:pic>
              </a:graphicData>
            </a:graphic>
          </wp:inline>
        </w:drawing>
      </w:r>
    </w:p>
    <w:p w14:paraId="0C01A534" w14:textId="77777777" w:rsidR="00B834A2" w:rsidRPr="00366481" w:rsidRDefault="00B834A2" w:rsidP="009A3F5E">
      <w:pPr>
        <w:pStyle w:val="Bodytext70"/>
        <w:shd w:val="clear" w:color="auto" w:fill="auto"/>
        <w:spacing w:after="160" w:line="360" w:lineRule="auto"/>
        <w:ind w:firstLine="567"/>
        <w:rPr>
          <w:rFonts w:ascii="Sylfaen" w:hAnsi="Sylfaen" w:cs="Sylfaen"/>
          <w:sz w:val="20"/>
          <w:szCs w:val="24"/>
        </w:rPr>
      </w:pPr>
      <w:r w:rsidRPr="00366481">
        <w:rPr>
          <w:rStyle w:val="Bodytext310pt"/>
          <w:b w:val="0"/>
          <w:szCs w:val="24"/>
        </w:rPr>
        <w:t>Նկար 3.1.1.4-2.</w:t>
      </w:r>
      <w:r w:rsidRPr="00366481">
        <w:rPr>
          <w:rStyle w:val="Bodytext310pt"/>
          <w:szCs w:val="24"/>
        </w:rPr>
        <w:t xml:space="preserve"> </w:t>
      </w:r>
      <w:r w:rsidRPr="00366481">
        <w:rPr>
          <w:rStyle w:val="Bodytext710pt"/>
          <w:rFonts w:ascii="Sylfaen" w:eastAsia="Sylfaen" w:hAnsi="Sylfaen"/>
          <w:i/>
          <w:szCs w:val="24"/>
        </w:rPr>
        <w:t>Կրկնակի խաչաձեւ կիրառման մոդելը (զուգահեռ գծերի մոդելի մասնավոր դեպք)</w:t>
      </w:r>
    </w:p>
    <w:p w14:paraId="362B74FD" w14:textId="77777777" w:rsidR="00B834A2" w:rsidRPr="00C41622" w:rsidRDefault="00B834A2" w:rsidP="009A3F5E">
      <w:pPr>
        <w:pStyle w:val="Bodytext20"/>
        <w:shd w:val="clear" w:color="auto" w:fill="auto"/>
        <w:spacing w:before="0" w:after="160" w:line="360" w:lineRule="auto"/>
        <w:ind w:firstLine="567"/>
        <w:jc w:val="both"/>
        <w:rPr>
          <w:rFonts w:ascii="Sylfaen" w:hAnsi="Sylfaen"/>
          <w:sz w:val="24"/>
          <w:szCs w:val="24"/>
        </w:rPr>
      </w:pPr>
      <w:r w:rsidRPr="00366481">
        <w:rPr>
          <w:rStyle w:val="Bodytext31Sylfaen9"/>
          <w:i w:val="0"/>
          <w:sz w:val="24"/>
          <w:szCs w:val="24"/>
        </w:rPr>
        <w:t>Այսպիսով, յուրաքանչյուր խումբ ստանում է տարբեր նմուշների երկու տարբեր դեղաչափ։</w:t>
      </w:r>
      <w:r w:rsidRPr="00B834A2">
        <w:rPr>
          <w:rStyle w:val="Bodytext31Sylfaen9"/>
          <w:sz w:val="24"/>
          <w:szCs w:val="24"/>
        </w:rPr>
        <w:t xml:space="preserve"> </w:t>
      </w:r>
      <w:r w:rsidRPr="00B834A2">
        <w:rPr>
          <w:rFonts w:ascii="Sylfaen" w:hAnsi="Sylfaen"/>
          <w:sz w:val="24"/>
          <w:szCs w:val="24"/>
        </w:rPr>
        <w:t>Եթե առաջին օրը խումբը ստացել է ստանդարտ նմուշը, ապա երկրորդ օրը այն ստանում է փորձարկվող նմուշը, եթե փորձարկվող նմուշը, ապա ստանդարտ նմուշը, եթե փոքր դեղաչափը, ապա մեծը, եթե մեծը, ապա փոքրը։</w:t>
      </w:r>
    </w:p>
    <w:p w14:paraId="3C33D11F" w14:textId="77777777" w:rsidR="001636CE" w:rsidRPr="00DE4F37" w:rsidRDefault="001636CE" w:rsidP="009A3F5E">
      <w:pPr>
        <w:pStyle w:val="Bodytext20"/>
        <w:shd w:val="clear" w:color="auto" w:fill="auto"/>
        <w:spacing w:before="0" w:after="160" w:line="360" w:lineRule="auto"/>
        <w:ind w:firstLine="567"/>
        <w:jc w:val="both"/>
        <w:rPr>
          <w:rStyle w:val="Bodytext31Sylfaen9"/>
          <w:i w:val="0"/>
          <w:sz w:val="24"/>
          <w:szCs w:val="24"/>
        </w:rPr>
      </w:pPr>
    </w:p>
    <w:p w14:paraId="2AEA697B"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5B6181">
        <w:rPr>
          <w:rStyle w:val="Bodytext31Sylfaen9"/>
          <w:i w:val="0"/>
          <w:sz w:val="24"/>
          <w:szCs w:val="24"/>
        </w:rPr>
        <w:t>Աղյուսակ 3.1.1.4-1</w:t>
      </w:r>
      <w:r w:rsidRPr="005B6181">
        <w:rPr>
          <w:rStyle w:val="Bodytext31Sylfaen9"/>
          <w:rFonts w:cs="Times New Roman"/>
          <w:i w:val="0"/>
          <w:sz w:val="24"/>
          <w:szCs w:val="24"/>
        </w:rPr>
        <w:t>.</w:t>
      </w:r>
      <w:r w:rsidRPr="005B6181">
        <w:rPr>
          <w:rStyle w:val="Bodytext31Sylfaen9"/>
          <w:i w:val="0"/>
          <w:sz w:val="24"/>
          <w:szCs w:val="24"/>
        </w:rPr>
        <w:t xml:space="preserve"> </w:t>
      </w:r>
      <w:r w:rsidRPr="00B834A2">
        <w:rPr>
          <w:rStyle w:val="Bodytext31Sylfaen9"/>
          <w:sz w:val="24"/>
          <w:szCs w:val="24"/>
        </w:rPr>
        <w:t>Բանաձեւեր՝ կրկնակի խաչաձեւման գրաֆիկը կառուցելու համար</w:t>
      </w:r>
    </w:p>
    <w:tbl>
      <w:tblPr>
        <w:tblW w:w="0" w:type="auto"/>
        <w:tblInd w:w="534" w:type="dxa"/>
        <w:tblBorders>
          <w:top w:val="single" w:sz="4" w:space="0" w:color="auto"/>
          <w:bottom w:val="single" w:sz="4" w:space="0" w:color="auto"/>
        </w:tblBorders>
        <w:tblLook w:val="0000" w:firstRow="0" w:lastRow="0" w:firstColumn="0" w:lastColumn="0" w:noHBand="0" w:noVBand="0"/>
      </w:tblPr>
      <w:tblGrid>
        <w:gridCol w:w="1404"/>
        <w:gridCol w:w="2915"/>
        <w:gridCol w:w="4159"/>
      </w:tblGrid>
      <w:tr w:rsidR="00B834A2" w:rsidRPr="00366481" w14:paraId="137D53C1" w14:textId="77777777" w:rsidTr="00B834A2">
        <w:trPr>
          <w:trHeight w:val="480"/>
        </w:trPr>
        <w:tc>
          <w:tcPr>
            <w:tcW w:w="1404" w:type="dxa"/>
            <w:tcBorders>
              <w:top w:val="single" w:sz="4" w:space="0" w:color="auto"/>
              <w:bottom w:val="nil"/>
              <w:right w:val="nil"/>
            </w:tcBorders>
          </w:tcPr>
          <w:p w14:paraId="7DDD57A4" w14:textId="77777777" w:rsidR="00B834A2" w:rsidRPr="00366481" w:rsidRDefault="00B834A2" w:rsidP="00366481">
            <w:pPr>
              <w:pStyle w:val="Bodytext20"/>
              <w:spacing w:before="0" w:line="240" w:lineRule="auto"/>
              <w:ind w:firstLine="567"/>
              <w:rPr>
                <w:rFonts w:ascii="Sylfaen" w:hAnsi="Sylfaen" w:cs="Sylfaen"/>
                <w:sz w:val="20"/>
                <w:szCs w:val="20"/>
              </w:rPr>
            </w:pPr>
          </w:p>
        </w:tc>
        <w:tc>
          <w:tcPr>
            <w:tcW w:w="2915" w:type="dxa"/>
            <w:tcBorders>
              <w:top w:val="single" w:sz="4" w:space="0" w:color="auto"/>
              <w:left w:val="nil"/>
              <w:bottom w:val="nil"/>
            </w:tcBorders>
          </w:tcPr>
          <w:p w14:paraId="2F78251E" w14:textId="77777777" w:rsidR="00B834A2" w:rsidRPr="00366481" w:rsidRDefault="00B834A2" w:rsidP="00366481">
            <w:pPr>
              <w:pStyle w:val="Bodytext20"/>
              <w:spacing w:before="0" w:line="240" w:lineRule="auto"/>
              <w:ind w:firstLine="567"/>
              <w:rPr>
                <w:rFonts w:ascii="Sylfaen" w:hAnsi="Sylfaen" w:cs="Sylfaen"/>
                <w:i/>
                <w:sz w:val="20"/>
                <w:szCs w:val="20"/>
                <w:highlight w:val="yellow"/>
              </w:rPr>
            </w:pPr>
            <w:r w:rsidRPr="00366481">
              <w:rPr>
                <w:rFonts w:ascii="Sylfaen" w:hAnsi="Sylfaen"/>
                <w:i/>
                <w:sz w:val="20"/>
                <w:szCs w:val="20"/>
              </w:rPr>
              <w:t>x</w:t>
            </w:r>
          </w:p>
        </w:tc>
        <w:tc>
          <w:tcPr>
            <w:tcW w:w="4159" w:type="dxa"/>
          </w:tcPr>
          <w:p w14:paraId="2F34B12A" w14:textId="77777777" w:rsidR="00B834A2" w:rsidRPr="00366481" w:rsidRDefault="00B834A2" w:rsidP="00366481">
            <w:pPr>
              <w:pStyle w:val="Bodytext20"/>
              <w:spacing w:before="0" w:line="240" w:lineRule="auto"/>
              <w:ind w:firstLine="567"/>
              <w:rPr>
                <w:rFonts w:ascii="Sylfaen" w:hAnsi="Sylfaen" w:cs="Sylfaen"/>
                <w:i/>
                <w:sz w:val="20"/>
                <w:szCs w:val="20"/>
                <w:highlight w:val="yellow"/>
              </w:rPr>
            </w:pPr>
            <w:r w:rsidRPr="00366481">
              <w:rPr>
                <w:rFonts w:ascii="Sylfaen" w:hAnsi="Sylfaen"/>
                <w:i/>
                <w:sz w:val="20"/>
                <w:szCs w:val="20"/>
              </w:rPr>
              <w:t>y</w:t>
            </w:r>
          </w:p>
        </w:tc>
      </w:tr>
      <w:tr w:rsidR="00B834A2" w:rsidRPr="00366481" w14:paraId="2DD1CBAB" w14:textId="77777777" w:rsidTr="00B834A2">
        <w:trPr>
          <w:trHeight w:val="369"/>
        </w:trPr>
        <w:tc>
          <w:tcPr>
            <w:tcW w:w="1404" w:type="dxa"/>
            <w:tcBorders>
              <w:top w:val="nil"/>
              <w:bottom w:val="nil"/>
              <w:right w:val="nil"/>
            </w:tcBorders>
          </w:tcPr>
          <w:p w14:paraId="4A02CF21" w14:textId="77777777" w:rsidR="00B834A2" w:rsidRPr="00366481" w:rsidRDefault="00B834A2" w:rsidP="00366481">
            <w:pPr>
              <w:pStyle w:val="Bodytext20"/>
              <w:spacing w:before="0" w:line="240" w:lineRule="auto"/>
              <w:rPr>
                <w:rFonts w:ascii="Sylfaen" w:hAnsi="Sylfaen" w:cs="Sylfaen"/>
                <w:sz w:val="20"/>
                <w:szCs w:val="20"/>
                <w:highlight w:val="yellow"/>
              </w:rPr>
            </w:pPr>
            <w:r w:rsidRPr="00366481">
              <w:rPr>
                <w:rFonts w:ascii="Sylfaen" w:hAnsi="Sylfaen"/>
                <w:sz w:val="20"/>
                <w:szCs w:val="20"/>
              </w:rPr>
              <w:t>I օր</w:t>
            </w:r>
          </w:p>
        </w:tc>
        <w:tc>
          <w:tcPr>
            <w:tcW w:w="2915" w:type="dxa"/>
            <w:tcBorders>
              <w:top w:val="nil"/>
              <w:left w:val="nil"/>
              <w:bottom w:val="nil"/>
            </w:tcBorders>
          </w:tcPr>
          <w:p w14:paraId="68D111C8" w14:textId="77777777" w:rsidR="00B834A2" w:rsidRPr="00366481" w:rsidRDefault="00B834A2" w:rsidP="00366481">
            <w:pPr>
              <w:pStyle w:val="Bodytext20"/>
              <w:spacing w:before="0" w:line="240" w:lineRule="auto"/>
              <w:rPr>
                <w:rFonts w:ascii="Sylfaen" w:hAnsi="Sylfaen" w:cs="Sylfaen"/>
                <w:i/>
                <w:sz w:val="20"/>
                <w:szCs w:val="20"/>
                <w:highlight w:val="yellow"/>
              </w:rPr>
            </w:pPr>
            <w:r w:rsidRPr="00366481">
              <w:rPr>
                <w:rFonts w:ascii="Sylfaen" w:hAnsi="Sylfaen"/>
                <w:i/>
                <w:sz w:val="20"/>
                <w:szCs w:val="20"/>
              </w:rPr>
              <w:t>u</w:t>
            </w:r>
            <w:r w:rsidRPr="00366481">
              <w:rPr>
                <w:rFonts w:ascii="Sylfaen" w:hAnsi="Sylfaen"/>
                <w:i/>
                <w:sz w:val="20"/>
                <w:szCs w:val="20"/>
                <w:vertAlign w:val="subscript"/>
              </w:rPr>
              <w:t>1I</w:t>
            </w:r>
            <w:r w:rsidRPr="00366481">
              <w:rPr>
                <w:rFonts w:ascii="Sylfaen" w:hAnsi="Sylfaen"/>
                <w:i/>
                <w:sz w:val="20"/>
                <w:szCs w:val="20"/>
              </w:rPr>
              <w:t xml:space="preserve"> դեղաչափի Ig - s</w:t>
            </w:r>
            <w:r w:rsidRPr="00366481">
              <w:rPr>
                <w:rFonts w:ascii="Sylfaen" w:hAnsi="Sylfaen"/>
                <w:i/>
                <w:sz w:val="20"/>
                <w:szCs w:val="20"/>
                <w:vertAlign w:val="subscript"/>
              </w:rPr>
              <w:t>2II</w:t>
            </w:r>
            <w:r w:rsidRPr="00366481">
              <w:rPr>
                <w:rFonts w:ascii="Sylfaen" w:hAnsi="Sylfaen"/>
                <w:i/>
                <w:sz w:val="20"/>
                <w:szCs w:val="20"/>
              </w:rPr>
              <w:t xml:space="preserve"> դեղաչափի Ig</w:t>
            </w:r>
          </w:p>
        </w:tc>
        <w:tc>
          <w:tcPr>
            <w:tcW w:w="4159" w:type="dxa"/>
          </w:tcPr>
          <w:p w14:paraId="37A41BF8" w14:textId="77777777" w:rsidR="00B834A2" w:rsidRPr="00366481" w:rsidRDefault="00000000" w:rsidP="00366481">
            <w:pPr>
              <w:pStyle w:val="Bodytext20"/>
              <w:spacing w:before="0" w:line="240" w:lineRule="auto"/>
              <w:rPr>
                <w:rFonts w:ascii="Sylfaen" w:hAnsi="Sylfaen" w:cs="Sylfaen"/>
                <w:sz w:val="20"/>
                <w:szCs w:val="20"/>
                <w:highlight w:val="yellow"/>
              </w:rPr>
            </w:pPr>
            <m:oMathPara>
              <m:oMath>
                <m:f>
                  <m:fPr>
                    <m:ctrlPr>
                      <w:rPr>
                        <w:rFonts w:ascii="Cambria Math" w:hAnsi="Sylfaen" w:cs="Sylfaen"/>
                        <w:i/>
                        <w:sz w:val="20"/>
                        <w:szCs w:val="20"/>
                      </w:rPr>
                    </m:ctrlPr>
                  </m:fPr>
                  <m:num>
                    <m:sSub>
                      <m:sSubPr>
                        <m:ctrlPr>
                          <w:rPr>
                            <w:rFonts w:ascii="Cambria Math" w:hAnsi="Sylfaen" w:cs="Sylfaen"/>
                            <w:i/>
                            <w:sz w:val="20"/>
                            <w:szCs w:val="20"/>
                          </w:rPr>
                        </m:ctrlPr>
                      </m:sSubPr>
                      <m:e>
                        <m:r>
                          <w:rPr>
                            <w:rFonts w:ascii="Cambria Math" w:hAnsi="Cambria Math" w:cs="Sylfaen"/>
                            <w:sz w:val="20"/>
                            <w:szCs w:val="20"/>
                          </w:rPr>
                          <m:t>U</m:t>
                        </m:r>
                      </m:e>
                      <m:sub>
                        <m:r>
                          <w:rPr>
                            <w:rFonts w:ascii="Cambria Math" w:hAnsi="Sylfaen" w:cs="Sylfaen"/>
                            <w:sz w:val="20"/>
                            <w:szCs w:val="20"/>
                          </w:rPr>
                          <m:t>1</m:t>
                        </m:r>
                        <m:r>
                          <w:rPr>
                            <w:rFonts w:ascii="Cambria Math" w:hAnsi="Cambria Math" w:cs="Sylfaen"/>
                            <w:sz w:val="20"/>
                            <w:szCs w:val="20"/>
                          </w:rPr>
                          <m:t>l</m:t>
                        </m:r>
                      </m:sub>
                    </m:sSub>
                    <m:r>
                      <w:rPr>
                        <w:rFonts w:ascii="Sylfaen" w:hAnsi="Sylfaen" w:cs="Sylfaen"/>
                        <w:sz w:val="20"/>
                        <w:szCs w:val="20"/>
                      </w:rPr>
                      <m:t>-</m:t>
                    </m:r>
                    <m:sSub>
                      <m:sSubPr>
                        <m:ctrlPr>
                          <w:rPr>
                            <w:rFonts w:ascii="Cambria Math" w:hAnsi="Sylfaen" w:cs="Sylfaen"/>
                            <w:i/>
                            <w:sz w:val="20"/>
                            <w:szCs w:val="20"/>
                          </w:rPr>
                        </m:ctrlPr>
                      </m:sSubPr>
                      <m:e>
                        <m:r>
                          <w:rPr>
                            <w:rFonts w:ascii="Cambria Math" w:hAnsi="Cambria Math" w:cs="Sylfaen"/>
                            <w:sz w:val="20"/>
                            <w:szCs w:val="20"/>
                          </w:rPr>
                          <m:t>S</m:t>
                        </m:r>
                      </m:e>
                      <m:sub>
                        <m:r>
                          <w:rPr>
                            <w:rFonts w:ascii="Cambria Math" w:hAnsi="Sylfaen" w:cs="Sylfaen"/>
                            <w:sz w:val="20"/>
                            <w:szCs w:val="20"/>
                          </w:rPr>
                          <m:t>2</m:t>
                        </m:r>
                        <m:r>
                          <w:rPr>
                            <w:rFonts w:ascii="Cambria Math" w:hAnsi="Cambria Math" w:cs="Sylfaen"/>
                            <w:sz w:val="20"/>
                            <w:szCs w:val="20"/>
                          </w:rPr>
                          <m:t>II</m:t>
                        </m:r>
                      </m:sub>
                    </m:sSub>
                  </m:num>
                  <m:den>
                    <m:r>
                      <w:rPr>
                        <w:rFonts w:ascii="Cambria Math" w:hAnsi="Sylfaen" w:cs="Sylfaen"/>
                        <w:sz w:val="20"/>
                        <w:szCs w:val="20"/>
                      </w:rPr>
                      <m:t>0,5</m:t>
                    </m:r>
                    <m:r>
                      <w:rPr>
                        <w:rFonts w:ascii="Cambria Math" w:hAnsi="Cambria Math" w:cs="Sylfaen"/>
                        <w:sz w:val="20"/>
                        <w:szCs w:val="20"/>
                      </w:rPr>
                      <m:t>n</m:t>
                    </m:r>
                  </m:den>
                </m:f>
              </m:oMath>
            </m:oMathPara>
          </w:p>
        </w:tc>
      </w:tr>
      <w:tr w:rsidR="00B834A2" w:rsidRPr="00366481" w14:paraId="2EEE121A" w14:textId="77777777" w:rsidTr="00B834A2">
        <w:trPr>
          <w:trHeight w:val="369"/>
        </w:trPr>
        <w:tc>
          <w:tcPr>
            <w:tcW w:w="1404" w:type="dxa"/>
            <w:tcBorders>
              <w:top w:val="nil"/>
              <w:bottom w:val="nil"/>
              <w:right w:val="nil"/>
            </w:tcBorders>
          </w:tcPr>
          <w:p w14:paraId="647F190A" w14:textId="77777777" w:rsidR="00B834A2" w:rsidRPr="00366481" w:rsidRDefault="00B834A2" w:rsidP="00366481">
            <w:pPr>
              <w:pStyle w:val="Bodytext20"/>
              <w:spacing w:before="0" w:line="240" w:lineRule="auto"/>
              <w:rPr>
                <w:rFonts w:ascii="Sylfaen" w:hAnsi="Sylfaen" w:cs="Sylfaen"/>
                <w:sz w:val="20"/>
                <w:szCs w:val="20"/>
                <w:highlight w:val="yellow"/>
              </w:rPr>
            </w:pPr>
          </w:p>
        </w:tc>
        <w:tc>
          <w:tcPr>
            <w:tcW w:w="2915" w:type="dxa"/>
            <w:tcBorders>
              <w:top w:val="nil"/>
              <w:left w:val="nil"/>
              <w:bottom w:val="nil"/>
            </w:tcBorders>
          </w:tcPr>
          <w:p w14:paraId="7AF07E21" w14:textId="77777777" w:rsidR="00B834A2" w:rsidRPr="00366481" w:rsidRDefault="00B834A2" w:rsidP="00366481">
            <w:pPr>
              <w:pStyle w:val="Bodytext20"/>
              <w:spacing w:before="0" w:line="240" w:lineRule="auto"/>
              <w:rPr>
                <w:rFonts w:ascii="Sylfaen" w:hAnsi="Sylfaen" w:cs="Sylfaen"/>
                <w:i/>
                <w:sz w:val="20"/>
                <w:szCs w:val="20"/>
                <w:highlight w:val="yellow"/>
              </w:rPr>
            </w:pPr>
            <w:r w:rsidRPr="00366481">
              <w:rPr>
                <w:rFonts w:ascii="Sylfaen" w:hAnsi="Sylfaen"/>
                <w:i/>
                <w:sz w:val="20"/>
                <w:szCs w:val="20"/>
              </w:rPr>
              <w:t>u</w:t>
            </w:r>
            <w:r w:rsidRPr="00366481">
              <w:rPr>
                <w:rFonts w:ascii="Sylfaen" w:hAnsi="Sylfaen"/>
                <w:i/>
                <w:sz w:val="20"/>
                <w:szCs w:val="20"/>
                <w:vertAlign w:val="subscript"/>
              </w:rPr>
              <w:t>2I</w:t>
            </w:r>
            <w:r w:rsidRPr="00366481">
              <w:rPr>
                <w:rFonts w:ascii="Sylfaen" w:hAnsi="Sylfaen"/>
                <w:i/>
                <w:sz w:val="20"/>
                <w:szCs w:val="20"/>
              </w:rPr>
              <w:t xml:space="preserve"> դեղաչափի Ig - s</w:t>
            </w:r>
            <w:r w:rsidRPr="00366481">
              <w:rPr>
                <w:rFonts w:ascii="Sylfaen" w:hAnsi="Sylfaen"/>
                <w:i/>
                <w:sz w:val="20"/>
                <w:szCs w:val="20"/>
                <w:vertAlign w:val="subscript"/>
              </w:rPr>
              <w:t>1II</w:t>
            </w:r>
            <w:r w:rsidRPr="00366481">
              <w:rPr>
                <w:rFonts w:ascii="Sylfaen" w:hAnsi="Sylfaen"/>
                <w:i/>
                <w:sz w:val="20"/>
                <w:szCs w:val="20"/>
              </w:rPr>
              <w:t xml:space="preserve"> դեղաչափի Ig</w:t>
            </w:r>
          </w:p>
        </w:tc>
        <w:tc>
          <w:tcPr>
            <w:tcW w:w="4159" w:type="dxa"/>
          </w:tcPr>
          <w:p w14:paraId="7723AE99" w14:textId="77777777" w:rsidR="00B834A2" w:rsidRPr="00366481" w:rsidRDefault="00000000" w:rsidP="00366481">
            <w:pPr>
              <w:pStyle w:val="Bodytext20"/>
              <w:spacing w:before="0" w:line="240" w:lineRule="auto"/>
              <w:rPr>
                <w:rFonts w:ascii="Sylfaen" w:hAnsi="Sylfaen" w:cs="Sylfaen"/>
                <w:sz w:val="20"/>
                <w:szCs w:val="20"/>
                <w:highlight w:val="yellow"/>
              </w:rPr>
            </w:pPr>
            <m:oMathPara>
              <m:oMath>
                <m:f>
                  <m:fPr>
                    <m:ctrlPr>
                      <w:rPr>
                        <w:rFonts w:ascii="Cambria Math" w:hAnsi="Sylfaen" w:cs="Sylfaen"/>
                        <w:i/>
                        <w:sz w:val="20"/>
                        <w:szCs w:val="20"/>
                      </w:rPr>
                    </m:ctrlPr>
                  </m:fPr>
                  <m:num>
                    <m:sSub>
                      <m:sSubPr>
                        <m:ctrlPr>
                          <w:rPr>
                            <w:rFonts w:ascii="Cambria Math" w:hAnsi="Sylfaen" w:cs="Sylfaen"/>
                            <w:i/>
                            <w:sz w:val="20"/>
                            <w:szCs w:val="20"/>
                          </w:rPr>
                        </m:ctrlPr>
                      </m:sSubPr>
                      <m:e>
                        <m:r>
                          <w:rPr>
                            <w:rFonts w:ascii="Cambria Math" w:hAnsi="Cambria Math" w:cs="Sylfaen"/>
                            <w:sz w:val="20"/>
                            <w:szCs w:val="20"/>
                          </w:rPr>
                          <m:t>U</m:t>
                        </m:r>
                      </m:e>
                      <m:sub>
                        <m:r>
                          <w:rPr>
                            <w:rFonts w:ascii="Cambria Math" w:hAnsi="Sylfaen" w:cs="Sylfaen"/>
                            <w:sz w:val="20"/>
                            <w:szCs w:val="20"/>
                          </w:rPr>
                          <m:t>2</m:t>
                        </m:r>
                        <m:r>
                          <w:rPr>
                            <w:rFonts w:ascii="Cambria Math" w:hAnsi="Cambria Math" w:cs="Sylfaen"/>
                            <w:sz w:val="20"/>
                            <w:szCs w:val="20"/>
                          </w:rPr>
                          <m:t>l</m:t>
                        </m:r>
                      </m:sub>
                    </m:sSub>
                    <m:r>
                      <w:rPr>
                        <w:rFonts w:ascii="Sylfaen" w:hAnsi="Sylfaen" w:cs="Sylfaen"/>
                        <w:sz w:val="20"/>
                        <w:szCs w:val="20"/>
                      </w:rPr>
                      <m:t>-</m:t>
                    </m:r>
                    <m:sSub>
                      <m:sSubPr>
                        <m:ctrlPr>
                          <w:rPr>
                            <w:rFonts w:ascii="Cambria Math" w:hAnsi="Sylfaen" w:cs="Sylfaen"/>
                            <w:i/>
                            <w:sz w:val="20"/>
                            <w:szCs w:val="20"/>
                          </w:rPr>
                        </m:ctrlPr>
                      </m:sSubPr>
                      <m:e>
                        <m:r>
                          <w:rPr>
                            <w:rFonts w:ascii="Cambria Math" w:hAnsi="Cambria Math" w:cs="Sylfaen"/>
                            <w:sz w:val="20"/>
                            <w:szCs w:val="20"/>
                          </w:rPr>
                          <m:t>S</m:t>
                        </m:r>
                      </m:e>
                      <m:sub>
                        <m:r>
                          <w:rPr>
                            <w:rFonts w:ascii="Cambria Math" w:hAnsi="Sylfaen" w:cs="Sylfaen"/>
                            <w:sz w:val="20"/>
                            <w:szCs w:val="20"/>
                          </w:rPr>
                          <m:t>1</m:t>
                        </m:r>
                        <m:r>
                          <w:rPr>
                            <w:rFonts w:ascii="Cambria Math" w:hAnsi="Cambria Math" w:cs="Sylfaen"/>
                            <w:sz w:val="20"/>
                            <w:szCs w:val="20"/>
                          </w:rPr>
                          <m:t>II</m:t>
                        </m:r>
                      </m:sub>
                    </m:sSub>
                  </m:num>
                  <m:den>
                    <m:r>
                      <w:rPr>
                        <w:rFonts w:ascii="Cambria Math" w:hAnsi="Sylfaen" w:cs="Sylfaen"/>
                        <w:sz w:val="20"/>
                        <w:szCs w:val="20"/>
                      </w:rPr>
                      <m:t>0,5</m:t>
                    </m:r>
                    <m:r>
                      <w:rPr>
                        <w:rFonts w:ascii="Cambria Math" w:hAnsi="Cambria Math" w:cs="Sylfaen"/>
                        <w:sz w:val="20"/>
                        <w:szCs w:val="20"/>
                      </w:rPr>
                      <m:t>n</m:t>
                    </m:r>
                  </m:den>
                </m:f>
              </m:oMath>
            </m:oMathPara>
          </w:p>
        </w:tc>
      </w:tr>
      <w:tr w:rsidR="00B834A2" w:rsidRPr="00366481" w14:paraId="5DD0E9BB" w14:textId="77777777" w:rsidTr="00B834A2">
        <w:trPr>
          <w:trHeight w:val="369"/>
        </w:trPr>
        <w:tc>
          <w:tcPr>
            <w:tcW w:w="1404" w:type="dxa"/>
            <w:tcBorders>
              <w:top w:val="nil"/>
              <w:bottom w:val="nil"/>
              <w:right w:val="nil"/>
            </w:tcBorders>
          </w:tcPr>
          <w:p w14:paraId="7E394649" w14:textId="77777777" w:rsidR="00B834A2" w:rsidRPr="00366481" w:rsidRDefault="00B834A2" w:rsidP="00366481">
            <w:pPr>
              <w:pStyle w:val="Bodytext20"/>
              <w:spacing w:before="0" w:line="240" w:lineRule="auto"/>
              <w:rPr>
                <w:rFonts w:ascii="Sylfaen" w:hAnsi="Sylfaen" w:cs="Sylfaen"/>
                <w:sz w:val="20"/>
                <w:szCs w:val="20"/>
                <w:highlight w:val="yellow"/>
              </w:rPr>
            </w:pPr>
            <w:r w:rsidRPr="00366481">
              <w:rPr>
                <w:rFonts w:ascii="Sylfaen" w:hAnsi="Sylfaen"/>
                <w:sz w:val="20"/>
                <w:szCs w:val="20"/>
              </w:rPr>
              <w:t>II օր</w:t>
            </w:r>
          </w:p>
        </w:tc>
        <w:tc>
          <w:tcPr>
            <w:tcW w:w="2915" w:type="dxa"/>
            <w:tcBorders>
              <w:top w:val="nil"/>
              <w:left w:val="nil"/>
              <w:bottom w:val="nil"/>
            </w:tcBorders>
          </w:tcPr>
          <w:p w14:paraId="764A4C5D" w14:textId="77777777" w:rsidR="00B834A2" w:rsidRPr="00366481" w:rsidRDefault="00B834A2" w:rsidP="00366481">
            <w:pPr>
              <w:pStyle w:val="Bodytext20"/>
              <w:spacing w:before="0" w:line="240" w:lineRule="auto"/>
              <w:rPr>
                <w:rFonts w:ascii="Sylfaen" w:hAnsi="Sylfaen" w:cs="Sylfaen"/>
                <w:i/>
                <w:sz w:val="20"/>
                <w:szCs w:val="20"/>
                <w:highlight w:val="yellow"/>
              </w:rPr>
            </w:pPr>
            <w:r w:rsidRPr="00366481">
              <w:rPr>
                <w:rFonts w:ascii="Sylfaen" w:hAnsi="Sylfaen"/>
                <w:i/>
                <w:sz w:val="20"/>
                <w:szCs w:val="20"/>
              </w:rPr>
              <w:t>u</w:t>
            </w:r>
            <w:r w:rsidRPr="00366481">
              <w:rPr>
                <w:rFonts w:ascii="Sylfaen" w:hAnsi="Sylfaen"/>
                <w:i/>
                <w:sz w:val="20"/>
                <w:szCs w:val="20"/>
                <w:vertAlign w:val="subscript"/>
              </w:rPr>
              <w:t>1I</w:t>
            </w:r>
            <w:r w:rsidRPr="00366481">
              <w:rPr>
                <w:rFonts w:ascii="Sylfaen" w:hAnsi="Sylfaen"/>
                <w:i/>
                <w:sz w:val="20"/>
                <w:szCs w:val="20"/>
              </w:rPr>
              <w:t xml:space="preserve"> դեղաչափի Ig - s</w:t>
            </w:r>
            <w:r w:rsidRPr="00366481">
              <w:rPr>
                <w:rFonts w:ascii="Sylfaen" w:hAnsi="Sylfaen"/>
                <w:i/>
                <w:sz w:val="20"/>
                <w:szCs w:val="20"/>
                <w:vertAlign w:val="subscript"/>
              </w:rPr>
              <w:t>2II</w:t>
            </w:r>
            <w:r w:rsidRPr="00366481">
              <w:rPr>
                <w:rFonts w:ascii="Sylfaen" w:hAnsi="Sylfaen"/>
                <w:i/>
                <w:sz w:val="20"/>
                <w:szCs w:val="20"/>
              </w:rPr>
              <w:t xml:space="preserve"> դեղաչափի Ig</w:t>
            </w:r>
          </w:p>
        </w:tc>
        <w:tc>
          <w:tcPr>
            <w:tcW w:w="4159" w:type="dxa"/>
          </w:tcPr>
          <w:p w14:paraId="1B6070B7" w14:textId="77777777" w:rsidR="00B834A2" w:rsidRPr="00366481" w:rsidRDefault="00000000" w:rsidP="00366481">
            <w:pPr>
              <w:pStyle w:val="Bodytext20"/>
              <w:spacing w:before="0" w:line="240" w:lineRule="auto"/>
              <w:rPr>
                <w:rFonts w:ascii="Sylfaen" w:hAnsi="Sylfaen" w:cs="Sylfaen"/>
                <w:sz w:val="20"/>
                <w:szCs w:val="20"/>
                <w:highlight w:val="yellow"/>
              </w:rPr>
            </w:pPr>
            <m:oMathPara>
              <m:oMath>
                <m:f>
                  <m:fPr>
                    <m:ctrlPr>
                      <w:rPr>
                        <w:rFonts w:ascii="Cambria Math" w:hAnsi="Sylfaen" w:cs="Sylfaen"/>
                        <w:i/>
                        <w:sz w:val="20"/>
                        <w:szCs w:val="20"/>
                      </w:rPr>
                    </m:ctrlPr>
                  </m:fPr>
                  <m:num>
                    <m:sSub>
                      <m:sSubPr>
                        <m:ctrlPr>
                          <w:rPr>
                            <w:rFonts w:ascii="Cambria Math" w:hAnsi="Sylfaen" w:cs="Sylfaen"/>
                            <w:i/>
                            <w:sz w:val="20"/>
                            <w:szCs w:val="20"/>
                          </w:rPr>
                        </m:ctrlPr>
                      </m:sSubPr>
                      <m:e>
                        <m:r>
                          <w:rPr>
                            <w:rFonts w:ascii="Cambria Math" w:hAnsi="Cambria Math" w:cs="Sylfaen"/>
                            <w:sz w:val="20"/>
                            <w:szCs w:val="20"/>
                          </w:rPr>
                          <m:t>U</m:t>
                        </m:r>
                      </m:e>
                      <m:sub>
                        <m:r>
                          <w:rPr>
                            <w:rFonts w:ascii="Cambria Math" w:hAnsi="Sylfaen" w:cs="Sylfaen"/>
                            <w:sz w:val="20"/>
                            <w:szCs w:val="20"/>
                          </w:rPr>
                          <m:t>1</m:t>
                        </m:r>
                        <m:r>
                          <w:rPr>
                            <w:rFonts w:ascii="Cambria Math" w:hAnsi="Cambria Math" w:cs="Sylfaen"/>
                            <w:sz w:val="20"/>
                            <w:szCs w:val="20"/>
                          </w:rPr>
                          <m:t>ll</m:t>
                        </m:r>
                      </m:sub>
                    </m:sSub>
                    <m:r>
                      <w:rPr>
                        <w:rFonts w:ascii="Sylfaen" w:hAnsi="Sylfaen" w:cs="Sylfaen"/>
                        <w:sz w:val="20"/>
                        <w:szCs w:val="20"/>
                      </w:rPr>
                      <m:t>-</m:t>
                    </m:r>
                    <m:sSub>
                      <m:sSubPr>
                        <m:ctrlPr>
                          <w:rPr>
                            <w:rFonts w:ascii="Cambria Math" w:hAnsi="Sylfaen" w:cs="Sylfaen"/>
                            <w:i/>
                            <w:sz w:val="20"/>
                            <w:szCs w:val="20"/>
                          </w:rPr>
                        </m:ctrlPr>
                      </m:sSubPr>
                      <m:e>
                        <m:r>
                          <w:rPr>
                            <w:rFonts w:ascii="Cambria Math" w:hAnsi="Cambria Math" w:cs="Sylfaen"/>
                            <w:sz w:val="20"/>
                            <w:szCs w:val="20"/>
                          </w:rPr>
                          <m:t>S</m:t>
                        </m:r>
                      </m:e>
                      <m:sub>
                        <m:r>
                          <w:rPr>
                            <w:rFonts w:ascii="Cambria Math" w:hAnsi="Sylfaen" w:cs="Sylfaen"/>
                            <w:sz w:val="20"/>
                            <w:szCs w:val="20"/>
                          </w:rPr>
                          <m:t>2</m:t>
                        </m:r>
                        <m:r>
                          <w:rPr>
                            <w:rFonts w:ascii="Cambria Math" w:hAnsi="Cambria Math" w:cs="Sylfaen"/>
                            <w:sz w:val="20"/>
                            <w:szCs w:val="20"/>
                          </w:rPr>
                          <m:t>I</m:t>
                        </m:r>
                      </m:sub>
                    </m:sSub>
                  </m:num>
                  <m:den>
                    <m:r>
                      <w:rPr>
                        <w:rFonts w:ascii="Cambria Math" w:hAnsi="Sylfaen" w:cs="Sylfaen"/>
                        <w:sz w:val="20"/>
                        <w:szCs w:val="20"/>
                      </w:rPr>
                      <m:t>0,5</m:t>
                    </m:r>
                    <m:r>
                      <w:rPr>
                        <w:rFonts w:ascii="Cambria Math" w:hAnsi="Cambria Math" w:cs="Sylfaen"/>
                        <w:sz w:val="20"/>
                        <w:szCs w:val="20"/>
                      </w:rPr>
                      <m:t>n</m:t>
                    </m:r>
                  </m:den>
                </m:f>
              </m:oMath>
            </m:oMathPara>
          </w:p>
        </w:tc>
      </w:tr>
      <w:tr w:rsidR="00B834A2" w:rsidRPr="00366481" w14:paraId="14BB0FA8" w14:textId="77777777" w:rsidTr="00B834A2">
        <w:trPr>
          <w:trHeight w:val="369"/>
        </w:trPr>
        <w:tc>
          <w:tcPr>
            <w:tcW w:w="1404" w:type="dxa"/>
            <w:tcBorders>
              <w:top w:val="nil"/>
              <w:bottom w:val="single" w:sz="4" w:space="0" w:color="auto"/>
              <w:right w:val="nil"/>
            </w:tcBorders>
          </w:tcPr>
          <w:p w14:paraId="32A38F30" w14:textId="77777777" w:rsidR="00B834A2" w:rsidRPr="00366481" w:rsidRDefault="00B834A2" w:rsidP="00366481">
            <w:pPr>
              <w:pStyle w:val="Bodytext20"/>
              <w:spacing w:before="0" w:line="240" w:lineRule="auto"/>
              <w:rPr>
                <w:rFonts w:ascii="Sylfaen" w:hAnsi="Sylfaen" w:cs="Sylfaen"/>
                <w:sz w:val="20"/>
                <w:szCs w:val="20"/>
                <w:highlight w:val="yellow"/>
              </w:rPr>
            </w:pPr>
          </w:p>
        </w:tc>
        <w:tc>
          <w:tcPr>
            <w:tcW w:w="2915" w:type="dxa"/>
            <w:tcBorders>
              <w:top w:val="nil"/>
              <w:left w:val="nil"/>
              <w:bottom w:val="single" w:sz="4" w:space="0" w:color="auto"/>
            </w:tcBorders>
          </w:tcPr>
          <w:p w14:paraId="47B8FFA0" w14:textId="77777777" w:rsidR="00B834A2" w:rsidRPr="00366481" w:rsidRDefault="00B834A2" w:rsidP="00366481">
            <w:pPr>
              <w:pStyle w:val="Bodytext20"/>
              <w:spacing w:before="0" w:line="240" w:lineRule="auto"/>
              <w:rPr>
                <w:rFonts w:ascii="Sylfaen" w:hAnsi="Sylfaen" w:cs="Sylfaen"/>
                <w:i/>
                <w:sz w:val="20"/>
                <w:szCs w:val="20"/>
              </w:rPr>
            </w:pPr>
            <w:r w:rsidRPr="00366481">
              <w:rPr>
                <w:rFonts w:ascii="Sylfaen" w:hAnsi="Sylfaen"/>
                <w:i/>
                <w:sz w:val="20"/>
                <w:szCs w:val="20"/>
              </w:rPr>
              <w:t>u</w:t>
            </w:r>
            <w:r w:rsidRPr="00366481">
              <w:rPr>
                <w:rFonts w:ascii="Sylfaen" w:hAnsi="Sylfaen"/>
                <w:i/>
                <w:sz w:val="20"/>
                <w:szCs w:val="20"/>
                <w:vertAlign w:val="subscript"/>
              </w:rPr>
              <w:t>2I</w:t>
            </w:r>
            <w:r w:rsidRPr="00366481">
              <w:rPr>
                <w:rFonts w:ascii="Sylfaen" w:hAnsi="Sylfaen"/>
                <w:i/>
                <w:sz w:val="20"/>
                <w:szCs w:val="20"/>
              </w:rPr>
              <w:t xml:space="preserve"> դեղաչափի Ig - s</w:t>
            </w:r>
            <w:r w:rsidRPr="00366481">
              <w:rPr>
                <w:rFonts w:ascii="Sylfaen" w:hAnsi="Sylfaen"/>
                <w:i/>
                <w:sz w:val="20"/>
                <w:szCs w:val="20"/>
                <w:vertAlign w:val="subscript"/>
              </w:rPr>
              <w:t>1II</w:t>
            </w:r>
            <w:r w:rsidRPr="00366481">
              <w:rPr>
                <w:rFonts w:ascii="Sylfaen" w:hAnsi="Sylfaen"/>
                <w:i/>
                <w:sz w:val="20"/>
                <w:szCs w:val="20"/>
              </w:rPr>
              <w:t xml:space="preserve"> դեղաչափի Ig</w:t>
            </w:r>
          </w:p>
        </w:tc>
        <w:tc>
          <w:tcPr>
            <w:tcW w:w="4159" w:type="dxa"/>
          </w:tcPr>
          <w:p w14:paraId="1F337924" w14:textId="77777777" w:rsidR="00B834A2" w:rsidRPr="00366481" w:rsidRDefault="00000000" w:rsidP="00366481">
            <w:pPr>
              <w:pStyle w:val="Bodytext20"/>
              <w:spacing w:before="0" w:line="240" w:lineRule="auto"/>
              <w:rPr>
                <w:rFonts w:ascii="Sylfaen" w:hAnsi="Sylfaen" w:cs="Sylfaen"/>
                <w:sz w:val="20"/>
                <w:szCs w:val="20"/>
              </w:rPr>
            </w:pPr>
            <m:oMathPara>
              <m:oMath>
                <m:f>
                  <m:fPr>
                    <m:ctrlPr>
                      <w:rPr>
                        <w:rFonts w:ascii="Cambria Math" w:hAnsi="Sylfaen" w:cs="Sylfaen"/>
                        <w:i/>
                        <w:sz w:val="20"/>
                        <w:szCs w:val="20"/>
                      </w:rPr>
                    </m:ctrlPr>
                  </m:fPr>
                  <m:num>
                    <m:sSub>
                      <m:sSubPr>
                        <m:ctrlPr>
                          <w:rPr>
                            <w:rFonts w:ascii="Cambria Math" w:hAnsi="Sylfaen" w:cs="Sylfaen"/>
                            <w:i/>
                            <w:sz w:val="20"/>
                            <w:szCs w:val="20"/>
                          </w:rPr>
                        </m:ctrlPr>
                      </m:sSubPr>
                      <m:e>
                        <m:r>
                          <w:rPr>
                            <w:rFonts w:ascii="Cambria Math" w:hAnsi="Cambria Math" w:cs="Sylfaen"/>
                            <w:sz w:val="20"/>
                            <w:szCs w:val="20"/>
                          </w:rPr>
                          <m:t>U</m:t>
                        </m:r>
                      </m:e>
                      <m:sub>
                        <m:r>
                          <w:rPr>
                            <w:rFonts w:ascii="Cambria Math" w:hAnsi="Sylfaen" w:cs="Sylfaen"/>
                            <w:sz w:val="20"/>
                            <w:szCs w:val="20"/>
                          </w:rPr>
                          <m:t>2</m:t>
                        </m:r>
                        <m:r>
                          <w:rPr>
                            <w:rFonts w:ascii="Cambria Math" w:hAnsi="Cambria Math" w:cs="Sylfaen"/>
                            <w:sz w:val="20"/>
                            <w:szCs w:val="20"/>
                          </w:rPr>
                          <m:t>ll</m:t>
                        </m:r>
                      </m:sub>
                    </m:sSub>
                    <m:r>
                      <w:rPr>
                        <w:rFonts w:ascii="Sylfaen" w:hAnsi="Sylfaen" w:cs="Sylfaen"/>
                        <w:sz w:val="20"/>
                        <w:szCs w:val="20"/>
                      </w:rPr>
                      <m:t>-</m:t>
                    </m:r>
                    <m:sSub>
                      <m:sSubPr>
                        <m:ctrlPr>
                          <w:rPr>
                            <w:rFonts w:ascii="Cambria Math" w:hAnsi="Sylfaen" w:cs="Sylfaen"/>
                            <w:i/>
                            <w:sz w:val="20"/>
                            <w:szCs w:val="20"/>
                          </w:rPr>
                        </m:ctrlPr>
                      </m:sSubPr>
                      <m:e>
                        <m:r>
                          <w:rPr>
                            <w:rFonts w:ascii="Cambria Math" w:hAnsi="Cambria Math" w:cs="Sylfaen"/>
                            <w:sz w:val="20"/>
                            <w:szCs w:val="20"/>
                          </w:rPr>
                          <m:t>S</m:t>
                        </m:r>
                      </m:e>
                      <m:sub>
                        <m:r>
                          <w:rPr>
                            <w:rFonts w:ascii="Cambria Math" w:hAnsi="Sylfaen" w:cs="Sylfaen"/>
                            <w:sz w:val="20"/>
                            <w:szCs w:val="20"/>
                          </w:rPr>
                          <m:t>1</m:t>
                        </m:r>
                        <m:r>
                          <w:rPr>
                            <w:rFonts w:ascii="Cambria Math" w:hAnsi="Cambria Math" w:cs="Sylfaen"/>
                            <w:sz w:val="20"/>
                            <w:szCs w:val="20"/>
                          </w:rPr>
                          <m:t>I</m:t>
                        </m:r>
                      </m:sub>
                    </m:sSub>
                  </m:num>
                  <m:den>
                    <m:r>
                      <w:rPr>
                        <w:rFonts w:ascii="Cambria Math" w:hAnsi="Sylfaen" w:cs="Sylfaen"/>
                        <w:sz w:val="20"/>
                        <w:szCs w:val="20"/>
                      </w:rPr>
                      <m:t>0,5</m:t>
                    </m:r>
                    <m:r>
                      <w:rPr>
                        <w:rFonts w:ascii="Cambria Math" w:hAnsi="Cambria Math" w:cs="Sylfaen"/>
                        <w:sz w:val="20"/>
                        <w:szCs w:val="20"/>
                      </w:rPr>
                      <m:t>n</m:t>
                    </m:r>
                  </m:den>
                </m:f>
              </m:oMath>
            </m:oMathPara>
          </w:p>
        </w:tc>
      </w:tr>
    </w:tbl>
    <w:p w14:paraId="67544EA2" w14:textId="77777777" w:rsidR="00366481" w:rsidRDefault="00366481" w:rsidP="009A3F5E">
      <w:pPr>
        <w:pStyle w:val="Bodytext20"/>
        <w:shd w:val="clear" w:color="auto" w:fill="auto"/>
        <w:spacing w:before="0" w:after="160" w:line="360" w:lineRule="auto"/>
        <w:ind w:firstLine="567"/>
        <w:jc w:val="both"/>
        <w:rPr>
          <w:rStyle w:val="Bodytext31Sylfaen9"/>
          <w:sz w:val="24"/>
          <w:szCs w:val="24"/>
          <w:lang w:val="en-US"/>
        </w:rPr>
      </w:pPr>
    </w:p>
    <w:p w14:paraId="28599C4E"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 xml:space="preserve">Այդ կապակցությամբ կրկնակի խաչաձեւման գրաֆիկական պատկերը տարբերվում է ոչ խաչաձեւ պլաններից։ Երկու օրերից յուրաքանչյուրի համար </w:t>
      </w:r>
      <w:r w:rsidRPr="00366481">
        <w:rPr>
          <w:rStyle w:val="Bodytext31Sylfaen9"/>
          <w:i w:val="0"/>
          <w:sz w:val="24"/>
          <w:szCs w:val="24"/>
        </w:rPr>
        <w:lastRenderedPageBreak/>
        <w:t xml:space="preserve">կառուցում են ուղիղ գիծ։ Աբսցիսների առանցքի վրա առանձնացնում են դեղաչափերի լոգարիթմների տարբերությունները, իսկ օրդինատների առանցքի վրա՝ դրանց համապատասխանող արձագանքների գումարների տարբերությունները։ Հռոմեական թվանշաններով նշվում են օրերը (З.1.1.4.-1 աղյուսակ, 3.1.1.4.-2 նկար)։ </w:t>
      </w:r>
    </w:p>
    <w:p w14:paraId="10CE350E"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«I օր» եւ «II օր» գծերը կառուցելուց հետո անցկացնում են միջին գիծը (այսպես կոչված արձագանքի գիծը)։ Եթե այն անցնում է կոորդինատների սկզբում, ապա փորձարկվող նմուշի գտնված ակտիվությունը հավասար է 100 %։ Աբսցիսների առանցքի հետ արձագանքի գծի հատման կետի եւ կոորդինատների սկզբի միջեւ ընկած հատվածը փորձարկվող նմուշի ակնկալվող</w:t>
      </w:r>
      <w:r w:rsidRPr="00B834A2">
        <w:rPr>
          <w:rStyle w:val="Bodytext31Sylfaen9"/>
          <w:sz w:val="24"/>
          <w:szCs w:val="24"/>
        </w:rPr>
        <w:t xml:space="preserve"> </w:t>
      </w:r>
      <w:r w:rsidRPr="00366481">
        <w:rPr>
          <w:rStyle w:val="Bodytext31Sylfaen9"/>
          <w:i w:val="0"/>
          <w:sz w:val="24"/>
          <w:szCs w:val="24"/>
        </w:rPr>
        <w:t>եւ գտնված ակտիվության լոգարիթմների միջեւ տարբերությունն է։ 3.1.1.4-2 նկարում պատկերված դեպքում փորձարկվող նմուշի կենսաբանական ակտիվությունը կազմում է ստանդարտ նմուշի կենսաբանական ակտիվության 108,9 %-ը։</w:t>
      </w:r>
    </w:p>
    <w:p w14:paraId="51D60FF5" w14:textId="77777777" w:rsidR="00B834A2" w:rsidRPr="00366481" w:rsidRDefault="00B834A2" w:rsidP="001636CE">
      <w:pPr>
        <w:pStyle w:val="Bodytext20"/>
        <w:shd w:val="clear" w:color="auto" w:fill="auto"/>
        <w:tabs>
          <w:tab w:val="left" w:pos="1276"/>
        </w:tabs>
        <w:spacing w:before="0" w:after="160" w:line="336" w:lineRule="auto"/>
        <w:ind w:firstLine="567"/>
        <w:jc w:val="both"/>
        <w:rPr>
          <w:rFonts w:ascii="Sylfaen" w:hAnsi="Sylfaen" w:cs="Sylfaen"/>
          <w:sz w:val="24"/>
          <w:szCs w:val="24"/>
        </w:rPr>
      </w:pPr>
      <w:r w:rsidRPr="00366481">
        <w:rPr>
          <w:rStyle w:val="Bodytext2Italic"/>
          <w:sz w:val="24"/>
          <w:szCs w:val="24"/>
        </w:rPr>
        <w:t>3.1.2.</w:t>
      </w:r>
      <w:r w:rsidR="00366481" w:rsidRPr="00A859E3">
        <w:rPr>
          <w:rStyle w:val="Bodytext2Italic"/>
          <w:sz w:val="24"/>
          <w:szCs w:val="24"/>
        </w:rPr>
        <w:tab/>
      </w:r>
      <w:r w:rsidRPr="00366481">
        <w:rPr>
          <w:rStyle w:val="Bodytext2Italic"/>
          <w:sz w:val="24"/>
          <w:szCs w:val="24"/>
        </w:rPr>
        <w:t>Անկյունային գործակիցների մոդելը</w:t>
      </w:r>
    </w:p>
    <w:p w14:paraId="1C2F1AD9"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 xml:space="preserve">Տվյալ մոդելը կիրառվում է մանրէաբանական փորձարկումների միջոցով որոշ դեղամիջոցների կենսաբանական ակտիվությունը որոշելու համար։ </w:t>
      </w:r>
    </w:p>
    <w:p w14:paraId="5625BF70" w14:textId="77777777" w:rsidR="00B834A2" w:rsidRPr="00DE4F37" w:rsidRDefault="00B834A2" w:rsidP="001636CE">
      <w:pPr>
        <w:pStyle w:val="Bodytext20"/>
        <w:shd w:val="clear" w:color="auto" w:fill="auto"/>
        <w:spacing w:before="0" w:after="160" w:line="336" w:lineRule="auto"/>
        <w:ind w:firstLine="567"/>
        <w:jc w:val="both"/>
        <w:rPr>
          <w:rStyle w:val="Bodytext31Sylfaen9"/>
          <w:sz w:val="24"/>
          <w:szCs w:val="24"/>
        </w:rPr>
      </w:pPr>
      <w:r w:rsidRPr="00366481">
        <w:rPr>
          <w:rStyle w:val="Bodytext31Sylfaen9"/>
          <w:i w:val="0"/>
          <w:sz w:val="24"/>
          <w:szCs w:val="24"/>
        </w:rPr>
        <w:t>Աբսցիսների առանցքի վրա առանձնացնում են դեղաչափերի արժեքները։ Կոորդինատների առանցքի սկիզբը համապատասխանում է զրոյական դեղաչափին, դեղաչափերի արժեքներն աճում են ձախից դեպի աջ։ Օրդինատների առանցքի վրա առանձնացնում են ստացված արձագանքները։ Զրոյական դեղաչափին համապատասխանող մեկ կետից դուրս եկող երկու գծերը ստանդարտ նմուշի եւ փորձարկվող նմուշի համար հաշվարկված՝ «դեղաչափ-էֆեկտ» կախվածություններն են (3.1.2-3 նկար)։ Ի տարբերություն զուգահեռ ուղիղ գծերի մոդելի՝ դեղաչափերի արժեքները չեն լոգարիթմում։</w:t>
      </w:r>
      <w:r w:rsidRPr="00B834A2">
        <w:rPr>
          <w:rStyle w:val="Bodytext31Sylfaen9"/>
          <w:sz w:val="24"/>
          <w:szCs w:val="24"/>
        </w:rPr>
        <w:t xml:space="preserve"> </w:t>
      </w:r>
      <w:r w:rsidRPr="00B834A2">
        <w:rPr>
          <w:rFonts w:ascii="Sylfaen" w:hAnsi="Sylfaen"/>
          <w:sz w:val="24"/>
          <w:szCs w:val="24"/>
        </w:rPr>
        <w:t>Փորձարկվող նմուշի կենսաբանական ակտիվությունը բնութագրվում է դեղաչափից կախվածության այդ երկու գծերի անկյունային գործակիցների հարաբերակցությամբ`R =</w:t>
      </w:r>
      <w:r>
        <w:rPr>
          <w:rFonts w:ascii="Sylfaen" w:hAnsi="Sylfaen"/>
          <w:sz w:val="24"/>
          <w:szCs w:val="24"/>
        </w:rPr>
        <w:t xml:space="preserve"> </w:t>
      </w:r>
      <m:oMath>
        <m:f>
          <m:fPr>
            <m:ctrlPr>
              <w:rPr>
                <w:rStyle w:val="Bodytext31Sylfaen9"/>
                <w:rFonts w:ascii="Cambria Math" w:hAnsi="Cambria Math"/>
                <w:i w:val="0"/>
                <w:iCs w:val="0"/>
                <w:sz w:val="24"/>
                <w:szCs w:val="24"/>
              </w:rPr>
            </m:ctrlPr>
          </m:fPr>
          <m:num>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b</m:t>
                </m:r>
              </m:e>
              <m:sub>
                <m:r>
                  <w:rPr>
                    <w:rStyle w:val="Bodytext31Sylfaen9"/>
                    <w:rFonts w:ascii="Cambria Math" w:hAnsi="Cambria Math"/>
                    <w:sz w:val="24"/>
                    <w:szCs w:val="24"/>
                  </w:rPr>
                  <m:t>u</m:t>
                </m:r>
              </m:sub>
            </m:sSub>
          </m:num>
          <m:den>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b</m:t>
                </m:r>
              </m:e>
              <m:sub>
                <m:r>
                  <w:rPr>
                    <w:rStyle w:val="Bodytext31Sylfaen9"/>
                    <w:rFonts w:ascii="Cambria Math" w:hAnsi="Cambria Math"/>
                    <w:sz w:val="24"/>
                    <w:szCs w:val="24"/>
                  </w:rPr>
                  <m:t>s</m:t>
                </m:r>
              </m:sub>
            </m:sSub>
            <m:r>
              <m:rPr>
                <m:sty m:val="p"/>
              </m:rPr>
              <w:rPr>
                <w:rFonts w:ascii="Cambria Math" w:hAnsi="Cambria Math" w:cs="Cambria Math"/>
                <w:sz w:val="24"/>
                <w:szCs w:val="24"/>
              </w:rPr>
              <m:t>։</m:t>
            </m:r>
          </m:den>
        </m:f>
      </m:oMath>
      <w:r w:rsidRPr="00B834A2">
        <w:rPr>
          <w:rStyle w:val="Bodytext31Sylfaen9"/>
          <w:sz w:val="24"/>
          <w:szCs w:val="24"/>
        </w:rPr>
        <w:t>:</w:t>
      </w:r>
    </w:p>
    <w:p w14:paraId="012E05E8"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 xml:space="preserve">Ինչպես եւ զուգահեռ գծերի մոդելի դեպքում, կարեւոր է, որ ակնկալվող ակտիվությունը մոտ լինի իրական ակտիվությանը, եւ նախապատրաստված լինեն ստանդարտ նմուշի եւ փորձարկվող նմուշի համարժեք նոսրացումները </w:t>
      </w:r>
      <w:r w:rsidRPr="00366481">
        <w:rPr>
          <w:rStyle w:val="Bodytext31Sylfaen9"/>
          <w:i w:val="0"/>
          <w:sz w:val="24"/>
          <w:szCs w:val="24"/>
        </w:rPr>
        <w:lastRenderedPageBreak/>
        <w:t>(հնարավորության դեպքում)։ Ինչքան ակնկալվող կենսաբանական ակտիվության արժեքը մոտ է գտնված արժեքին, այնքան մոտ կլինեն երկու գծերը։ Եթե փորձարկվող նմուշի անկյունային գործակիցը մեծ է ստանդարտ նմուշի գործակցից, ապա փորձարկվող նմուշի գտնված ակտիվությունը բարձր է ակնկալվող ակտիվությունից, եւ հակառակը։</w:t>
      </w:r>
    </w:p>
    <w:p w14:paraId="5DA53D11"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Կենսաբանական փորձարկում անցկացնելու մեթոդիկայի առաջարկվող պարամետրերը՝</w:t>
      </w:r>
    </w:p>
    <w:p w14:paraId="2724A054" w14:textId="77777777" w:rsidR="00B834A2" w:rsidRPr="00B834A2" w:rsidRDefault="00B834A2" w:rsidP="001636CE">
      <w:pPr>
        <w:pStyle w:val="Bodytext20"/>
        <w:shd w:val="clear" w:color="auto" w:fill="auto"/>
        <w:tabs>
          <w:tab w:val="left" w:pos="1134"/>
        </w:tabs>
        <w:spacing w:before="0" w:after="160" w:line="336" w:lineRule="auto"/>
        <w:ind w:firstLine="567"/>
        <w:jc w:val="both"/>
        <w:rPr>
          <w:rFonts w:ascii="Sylfaen" w:hAnsi="Sylfaen" w:cs="Sylfaen"/>
          <w:sz w:val="24"/>
          <w:szCs w:val="24"/>
        </w:rPr>
      </w:pPr>
      <w:r w:rsidRPr="00B834A2">
        <w:rPr>
          <w:rFonts w:ascii="Sylfaen" w:hAnsi="Sylfaen"/>
          <w:sz w:val="24"/>
          <w:szCs w:val="24"/>
        </w:rPr>
        <w:t>-</w:t>
      </w:r>
      <w:r w:rsidR="00366481" w:rsidRPr="00A859E3">
        <w:rPr>
          <w:rFonts w:ascii="Sylfaen" w:hAnsi="Sylfaen"/>
          <w:sz w:val="24"/>
          <w:szCs w:val="24"/>
        </w:rPr>
        <w:tab/>
      </w:r>
      <w:r w:rsidRPr="00B834A2">
        <w:rPr>
          <w:rFonts w:ascii="Sylfaen" w:hAnsi="Sylfaen"/>
          <w:sz w:val="24"/>
          <w:szCs w:val="24"/>
        </w:rPr>
        <w:t>ստանդարտ նմուշի եւ փորձարկվող պատրաստուկի միեւնույն թվով դեղաչափեր՝ միեւնույն միջակայքերով.</w:t>
      </w:r>
    </w:p>
    <w:p w14:paraId="43276BB7" w14:textId="77777777" w:rsidR="00B834A2" w:rsidRPr="00B834A2" w:rsidRDefault="00B834A2" w:rsidP="001636CE">
      <w:pPr>
        <w:pStyle w:val="Bodytext20"/>
        <w:shd w:val="clear" w:color="auto" w:fill="auto"/>
        <w:tabs>
          <w:tab w:val="left" w:pos="1134"/>
        </w:tabs>
        <w:spacing w:before="0" w:after="160" w:line="336" w:lineRule="auto"/>
        <w:ind w:firstLine="567"/>
        <w:jc w:val="both"/>
        <w:rPr>
          <w:rFonts w:ascii="Sylfaen" w:hAnsi="Sylfaen" w:cs="Sylfaen"/>
          <w:sz w:val="24"/>
          <w:szCs w:val="24"/>
        </w:rPr>
      </w:pPr>
      <w:r w:rsidRPr="00B834A2">
        <w:rPr>
          <w:rFonts w:ascii="Sylfaen" w:hAnsi="Sylfaen"/>
          <w:sz w:val="24"/>
          <w:szCs w:val="24"/>
        </w:rPr>
        <w:t>-</w:t>
      </w:r>
      <w:r w:rsidR="00366481" w:rsidRPr="00A859E3">
        <w:rPr>
          <w:rFonts w:ascii="Sylfaen" w:hAnsi="Sylfaen"/>
          <w:sz w:val="24"/>
          <w:szCs w:val="24"/>
        </w:rPr>
        <w:tab/>
      </w:r>
      <w:r w:rsidRPr="00B834A2">
        <w:rPr>
          <w:rFonts w:ascii="Sylfaen" w:hAnsi="Sylfaen"/>
          <w:sz w:val="24"/>
          <w:szCs w:val="24"/>
        </w:rPr>
        <w:t>լրացուցիչ (ստուգիչ) խմբի հնարավոր առկայություն.</w:t>
      </w:r>
    </w:p>
    <w:p w14:paraId="5A5C23F8" w14:textId="77777777" w:rsidR="00B834A2" w:rsidRPr="00B834A2" w:rsidRDefault="00B834A2" w:rsidP="001636CE">
      <w:pPr>
        <w:pStyle w:val="Bodytext20"/>
        <w:shd w:val="clear" w:color="auto" w:fill="auto"/>
        <w:tabs>
          <w:tab w:val="left" w:pos="1134"/>
        </w:tabs>
        <w:spacing w:before="0" w:after="160" w:line="336" w:lineRule="auto"/>
        <w:ind w:firstLine="567"/>
        <w:jc w:val="both"/>
        <w:rPr>
          <w:rStyle w:val="Bodytext31Sylfaen9"/>
          <w:sz w:val="24"/>
          <w:szCs w:val="24"/>
        </w:rPr>
      </w:pPr>
      <w:r w:rsidRPr="00B834A2">
        <w:rPr>
          <w:rFonts w:ascii="Sylfaen" w:hAnsi="Sylfaen"/>
          <w:sz w:val="24"/>
          <w:szCs w:val="24"/>
        </w:rPr>
        <w:t>-</w:t>
      </w:r>
      <w:r w:rsidR="00366481" w:rsidRPr="00A859E3">
        <w:rPr>
          <w:rFonts w:ascii="Sylfaen" w:hAnsi="Sylfaen"/>
          <w:sz w:val="24"/>
          <w:szCs w:val="24"/>
        </w:rPr>
        <w:tab/>
      </w:r>
      <w:r w:rsidRPr="00B834A2">
        <w:rPr>
          <w:rFonts w:ascii="Sylfaen" w:hAnsi="Sylfaen"/>
          <w:sz w:val="24"/>
          <w:szCs w:val="24"/>
        </w:rPr>
        <w:t>յուրաքանչյուր խմբում միեւնույն թվով թեստ օբյեկտներ։</w:t>
      </w:r>
    </w:p>
    <w:p w14:paraId="1BDCCECB"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Ստացված տվյալների մշակման օրինակը բերված է 3.2.8 բաժնում։</w:t>
      </w:r>
    </w:p>
    <w:p w14:paraId="00F5F23B" w14:textId="77777777" w:rsidR="00B834A2" w:rsidRPr="00366481" w:rsidRDefault="00B834A2" w:rsidP="001636CE">
      <w:pPr>
        <w:pStyle w:val="Bodytext20"/>
        <w:shd w:val="clear" w:color="auto" w:fill="auto"/>
        <w:spacing w:before="0" w:after="160" w:line="336" w:lineRule="auto"/>
        <w:ind w:firstLine="567"/>
        <w:jc w:val="both"/>
        <w:rPr>
          <w:rFonts w:ascii="Sylfaen" w:hAnsi="Sylfaen" w:cs="Sylfaen"/>
          <w:i/>
          <w:sz w:val="24"/>
          <w:szCs w:val="24"/>
        </w:rPr>
      </w:pPr>
      <w:r w:rsidRPr="00366481">
        <w:rPr>
          <w:rStyle w:val="Bodytext31Sylfaen9"/>
          <w:i w:val="0"/>
          <w:sz w:val="24"/>
          <w:szCs w:val="24"/>
        </w:rPr>
        <w:t>Անկյունային գործակիցների մոդելն իրագործվել է հատուկ կենսաչափական ծրագրային ապահովման մեջ (օրինակ՝ СоmbiStats կամ նույնանմանները)։</w:t>
      </w:r>
    </w:p>
    <w:p w14:paraId="765A628D" w14:textId="77777777" w:rsidR="00B834A2" w:rsidRPr="00B834A2" w:rsidRDefault="00000000" w:rsidP="001636CE">
      <w:pPr>
        <w:pStyle w:val="Bodytext20"/>
        <w:shd w:val="clear" w:color="auto" w:fill="auto"/>
        <w:spacing w:before="0" w:after="160" w:line="360" w:lineRule="auto"/>
        <w:rPr>
          <w:rFonts w:ascii="Sylfaen" w:hAnsi="Sylfaen" w:cs="Sylfaen"/>
          <w:b/>
          <w:sz w:val="24"/>
          <w:szCs w:val="24"/>
        </w:rPr>
      </w:pPr>
      <w:r>
        <w:rPr>
          <w:rFonts w:ascii="Sylfaen" w:hAnsi="Sylfaen" w:cs="Sylfaen"/>
          <w:noProof/>
          <w:sz w:val="24"/>
          <w:szCs w:val="24"/>
          <w:lang w:val="en-US" w:eastAsia="en-US" w:bidi="ar-SA"/>
        </w:rPr>
        <w:pict w14:anchorId="54240B84">
          <v:group id="_x0000_s1426" style="position:absolute;left:0;text-align:left;margin-left:12.25pt;margin-top:16.1pt;width:414.55pt;height:202.7pt;z-index:251990016" coordorigin="2076,9971" coordsize="8291,4054">
            <v:rect id="_x0000_s1264" style="position:absolute;left:2076;top:11030;width:438;height:1440" stroked="f">
              <v:textbox style="layout-flow:vertical;mso-layout-flow-alt:bottom-to-top">
                <w:txbxContent>
                  <w:p w14:paraId="39E89D2D" w14:textId="77777777" w:rsidR="008D6E8B" w:rsidRPr="00402CF7" w:rsidRDefault="008D6E8B" w:rsidP="00B834A2">
                    <w:pPr>
                      <w:jc w:val="center"/>
                      <w:rPr>
                        <w:sz w:val="8"/>
                      </w:rPr>
                    </w:pPr>
                    <w:r w:rsidRPr="00B12EDA">
                      <w:rPr>
                        <w:sz w:val="10"/>
                      </w:rPr>
                      <w:t xml:space="preserve">Արձագանք </w:t>
                    </w:r>
                    <w:r>
                      <w:rPr>
                        <w:sz w:val="8"/>
                      </w:rPr>
                      <w:t>(y)</w:t>
                    </w:r>
                  </w:p>
                </w:txbxContent>
              </v:textbox>
            </v:rect>
            <v:rect id="_x0000_s1265" style="position:absolute;left:6737;top:11030;width:463;height:1504" stroked="f">
              <v:textbox style="layout-flow:vertical;mso-layout-flow-alt:bottom-to-top">
                <w:txbxContent>
                  <w:p w14:paraId="316DF32E" w14:textId="77777777" w:rsidR="008D6E8B" w:rsidRPr="00402CF7" w:rsidRDefault="008D6E8B" w:rsidP="00B834A2">
                    <w:pPr>
                      <w:jc w:val="center"/>
                      <w:rPr>
                        <w:sz w:val="10"/>
                      </w:rPr>
                    </w:pPr>
                    <w:r>
                      <w:rPr>
                        <w:sz w:val="10"/>
                      </w:rPr>
                      <w:t>Արձագանք (u)</w:t>
                    </w:r>
                  </w:p>
                </w:txbxContent>
              </v:textbox>
            </v:rect>
            <v:rect id="_x0000_s1266" style="position:absolute;left:4286;top:9971;width:1843;height:564" stroked="f">
              <v:textbox>
                <w:txbxContent>
                  <w:p w14:paraId="23E735D1" w14:textId="77777777" w:rsidR="008D6E8B" w:rsidRPr="00B12EDA" w:rsidRDefault="008D6E8B" w:rsidP="00366481">
                    <w:pPr>
                      <w:jc w:val="center"/>
                      <w:rPr>
                        <w:sz w:val="16"/>
                      </w:rPr>
                    </w:pPr>
                    <w:r w:rsidRPr="00B12EDA">
                      <w:rPr>
                        <w:sz w:val="16"/>
                      </w:rPr>
                      <w:t>Ստանդարտ նմուշ</w:t>
                    </w:r>
                  </w:p>
                </w:txbxContent>
              </v:textbox>
            </v:rect>
            <v:rect id="_x0000_s1267" style="position:absolute;left:7087;top:10775;width:1641;height:564" stroked="f">
              <v:textbox>
                <w:txbxContent>
                  <w:p w14:paraId="731C9115" w14:textId="77777777" w:rsidR="008D6E8B" w:rsidRPr="00B12EDA" w:rsidRDefault="008D6E8B" w:rsidP="00366481">
                    <w:pPr>
                      <w:jc w:val="center"/>
                      <w:rPr>
                        <w:sz w:val="16"/>
                      </w:rPr>
                    </w:pPr>
                    <w:r w:rsidRPr="00B12EDA">
                      <w:rPr>
                        <w:sz w:val="16"/>
                      </w:rPr>
                      <w:t>Ստանդարտ նմուշ</w:t>
                    </w:r>
                  </w:p>
                </w:txbxContent>
              </v:textbox>
            </v:rect>
            <v:rect id="_x0000_s1268" style="position:absolute;left:4286;top:11339;width:1843;height:564" stroked="f">
              <v:textbox>
                <w:txbxContent>
                  <w:p w14:paraId="7D6A8277" w14:textId="77777777" w:rsidR="008D6E8B" w:rsidRPr="00402CF7" w:rsidRDefault="008D6E8B" w:rsidP="00366481">
                    <w:pPr>
                      <w:jc w:val="center"/>
                      <w:rPr>
                        <w:sz w:val="16"/>
                      </w:rPr>
                    </w:pPr>
                    <w:r w:rsidRPr="00B12EDA">
                      <w:rPr>
                        <w:sz w:val="16"/>
                      </w:rPr>
                      <w:t>Փորձարկվող նմուշ</w:t>
                    </w:r>
                  </w:p>
                </w:txbxContent>
              </v:textbox>
            </v:rect>
            <v:rect id="_x0000_s1269" style="position:absolute;left:8927;top:11710;width:1440;height:564" stroked="f">
              <v:textbox>
                <w:txbxContent>
                  <w:p w14:paraId="2346731A" w14:textId="77777777" w:rsidR="008D6E8B" w:rsidRPr="00402CF7" w:rsidRDefault="008D6E8B" w:rsidP="00366481">
                    <w:pPr>
                      <w:jc w:val="center"/>
                      <w:rPr>
                        <w:sz w:val="16"/>
                      </w:rPr>
                    </w:pPr>
                    <w:r w:rsidRPr="00B12EDA">
                      <w:rPr>
                        <w:sz w:val="16"/>
                      </w:rPr>
                      <w:t>Փորձարկվող նմուշ</w:t>
                    </w:r>
                  </w:p>
                </w:txbxContent>
              </v:textbox>
            </v:rect>
            <v:rect id="_x0000_s1270" style="position:absolute;left:2982;top:13645;width:1851;height:380" stroked="f">
              <v:textbox>
                <w:txbxContent>
                  <w:p w14:paraId="6D0983D9" w14:textId="77777777" w:rsidR="008D6E8B" w:rsidRPr="00402CF7" w:rsidRDefault="008D6E8B" w:rsidP="00B834A2">
                    <w:pPr>
                      <w:jc w:val="center"/>
                      <w:rPr>
                        <w:sz w:val="16"/>
                      </w:rPr>
                    </w:pPr>
                    <w:r w:rsidRPr="00B12EDA">
                      <w:rPr>
                        <w:sz w:val="16"/>
                      </w:rPr>
                      <w:t>Դեղաչափ</w:t>
                    </w:r>
                    <w:r>
                      <w:rPr>
                        <w:sz w:val="16"/>
                      </w:rPr>
                      <w:t xml:space="preserve"> (</w:t>
                    </w:r>
                    <w:r>
                      <w:rPr>
                        <w:i/>
                        <w:sz w:val="16"/>
                      </w:rPr>
                      <w:t>x</w:t>
                    </w:r>
                    <w:r>
                      <w:rPr>
                        <w:sz w:val="16"/>
                      </w:rPr>
                      <w:t>)</w:t>
                    </w:r>
                  </w:p>
                </w:txbxContent>
              </v:textbox>
            </v:rect>
            <v:rect id="_x0000_s1271" style="position:absolute;left:7705;top:13645;width:1995;height:380" stroked="f">
              <v:textbox>
                <w:txbxContent>
                  <w:p w14:paraId="17964448" w14:textId="77777777" w:rsidR="008D6E8B" w:rsidRPr="00402CF7" w:rsidRDefault="008D6E8B" w:rsidP="00B834A2">
                    <w:pPr>
                      <w:jc w:val="center"/>
                      <w:rPr>
                        <w:sz w:val="16"/>
                        <w:szCs w:val="16"/>
                      </w:rPr>
                    </w:pPr>
                    <w:r>
                      <w:rPr>
                        <w:sz w:val="16"/>
                      </w:rPr>
                      <w:t>Դեղաչափի լոգարիթմ (x)</w:t>
                    </w:r>
                  </w:p>
                </w:txbxContent>
              </v:textbox>
            </v:rect>
          </v:group>
        </w:pict>
      </w:r>
      <w:r w:rsidR="00B834A2" w:rsidRPr="00B834A2">
        <w:rPr>
          <w:rFonts w:ascii="Sylfaen" w:hAnsi="Sylfaen" w:cs="Sylfaen"/>
          <w:noProof/>
          <w:sz w:val="24"/>
          <w:szCs w:val="24"/>
          <w:lang w:val="en-US" w:eastAsia="en-US" w:bidi="ar-SA"/>
        </w:rPr>
        <w:drawing>
          <wp:inline distT="0" distB="0" distL="0" distR="0" wp14:anchorId="05DA9D0D" wp14:editId="2EC7A3E3">
            <wp:extent cx="5760085" cy="2814636"/>
            <wp:effectExtent l="19050" t="0" r="0" b="0"/>
            <wp:docPr id="234" name="Picture 10"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9"/>
                    <pic:cNvPicPr>
                      <a:picLocks noChangeAspect="1" noChangeArrowheads="1"/>
                    </pic:cNvPicPr>
                  </pic:nvPicPr>
                  <pic:blipFill>
                    <a:blip r:embed="rId59" cstate="print"/>
                    <a:srcRect/>
                    <a:stretch>
                      <a:fillRect/>
                    </a:stretch>
                  </pic:blipFill>
                  <pic:spPr bwMode="auto">
                    <a:xfrm>
                      <a:off x="0" y="0"/>
                      <a:ext cx="5760085" cy="2814636"/>
                    </a:xfrm>
                    <a:prstGeom prst="rect">
                      <a:avLst/>
                    </a:prstGeom>
                    <a:noFill/>
                    <a:ln w="9525">
                      <a:noFill/>
                      <a:miter lim="800000"/>
                      <a:headEnd/>
                      <a:tailEnd/>
                    </a:ln>
                  </pic:spPr>
                </pic:pic>
              </a:graphicData>
            </a:graphic>
          </wp:inline>
        </w:drawing>
      </w:r>
    </w:p>
    <w:tbl>
      <w:tblPr>
        <w:tblW w:w="0" w:type="auto"/>
        <w:tblLook w:val="04A0" w:firstRow="1" w:lastRow="0" w:firstColumn="1" w:lastColumn="0" w:noHBand="0" w:noVBand="1"/>
      </w:tblPr>
      <w:tblGrid>
        <w:gridCol w:w="4643"/>
        <w:gridCol w:w="4644"/>
      </w:tblGrid>
      <w:tr w:rsidR="00B834A2" w:rsidRPr="00B834A2" w14:paraId="7307566D" w14:textId="77777777" w:rsidTr="00B834A2">
        <w:tc>
          <w:tcPr>
            <w:tcW w:w="4643" w:type="dxa"/>
          </w:tcPr>
          <w:p w14:paraId="0483A002" w14:textId="77777777" w:rsidR="00B834A2" w:rsidRPr="00366481" w:rsidRDefault="00B834A2" w:rsidP="00366481">
            <w:pPr>
              <w:pStyle w:val="Bodytext20"/>
              <w:shd w:val="clear" w:color="auto" w:fill="auto"/>
              <w:spacing w:before="0" w:after="160" w:line="360" w:lineRule="auto"/>
              <w:jc w:val="left"/>
              <w:rPr>
                <w:rFonts w:ascii="Sylfaen" w:hAnsi="Sylfaen" w:cs="Sylfaen"/>
                <w:b/>
                <w:sz w:val="20"/>
                <w:szCs w:val="24"/>
              </w:rPr>
            </w:pPr>
            <w:r w:rsidRPr="005B6181">
              <w:rPr>
                <w:rStyle w:val="Bodytext31Sylfaen9"/>
                <w:i w:val="0"/>
                <w:sz w:val="20"/>
                <w:szCs w:val="24"/>
              </w:rPr>
              <w:t>Նկար 3.1.2-3</w:t>
            </w:r>
            <w:r w:rsidRPr="005B6181">
              <w:rPr>
                <w:rStyle w:val="Bodytext31Sylfaen9"/>
                <w:sz w:val="20"/>
                <w:szCs w:val="24"/>
              </w:rPr>
              <w:t>.</w:t>
            </w:r>
            <w:r w:rsidRPr="005B6181">
              <w:rPr>
                <w:rStyle w:val="Bodytext31Sylfaen9"/>
                <w:sz w:val="20"/>
                <w:szCs w:val="24"/>
                <w:lang w:val="en-GB"/>
              </w:rPr>
              <w:t xml:space="preserve">` </w:t>
            </w:r>
            <w:r w:rsidRPr="005B6181">
              <w:rPr>
                <w:rStyle w:val="Picturecaption10pt"/>
                <w:rFonts w:ascii="Sylfaen" w:eastAsia="Sylfaen" w:hAnsi="Sylfaen"/>
                <w:szCs w:val="24"/>
              </w:rPr>
              <w:t>Անկյունային գործակիցների մոդելը</w:t>
            </w:r>
          </w:p>
        </w:tc>
        <w:tc>
          <w:tcPr>
            <w:tcW w:w="4644" w:type="dxa"/>
          </w:tcPr>
          <w:p w14:paraId="489E1137" w14:textId="77777777" w:rsidR="00B834A2" w:rsidRPr="00366481" w:rsidRDefault="00B834A2" w:rsidP="00366481">
            <w:pPr>
              <w:pStyle w:val="Picturecaption0"/>
              <w:shd w:val="clear" w:color="auto" w:fill="auto"/>
              <w:spacing w:after="160" w:line="360" w:lineRule="auto"/>
              <w:jc w:val="left"/>
              <w:rPr>
                <w:rFonts w:ascii="Sylfaen" w:hAnsi="Sylfaen" w:cs="Sylfaen"/>
                <w:sz w:val="20"/>
              </w:rPr>
            </w:pPr>
            <w:r w:rsidRPr="00366481">
              <w:rPr>
                <w:rStyle w:val="Bodytext31Sylfaen9"/>
                <w:sz w:val="20"/>
                <w:szCs w:val="24"/>
              </w:rPr>
              <w:t>Նկար 3.1.3-4.`</w:t>
            </w:r>
            <w:r w:rsidRPr="00366481">
              <w:rPr>
                <w:rFonts w:ascii="Sylfaen" w:hAnsi="Sylfaen"/>
                <w:sz w:val="20"/>
              </w:rPr>
              <w:t xml:space="preserve"> S-աձեւ կորերի վերլուծության չորս պարամետրերի մեթոդը</w:t>
            </w:r>
          </w:p>
        </w:tc>
      </w:tr>
    </w:tbl>
    <w:p w14:paraId="7B8B7F91" w14:textId="77777777" w:rsidR="001636CE" w:rsidRDefault="001636CE" w:rsidP="0048735B">
      <w:pPr>
        <w:pStyle w:val="Bodytext20"/>
        <w:shd w:val="clear" w:color="auto" w:fill="auto"/>
        <w:tabs>
          <w:tab w:val="left" w:pos="1276"/>
        </w:tabs>
        <w:spacing w:before="0" w:after="160" w:line="360" w:lineRule="auto"/>
        <w:ind w:firstLine="567"/>
        <w:jc w:val="both"/>
        <w:rPr>
          <w:rStyle w:val="Bodytext2Italic"/>
          <w:sz w:val="24"/>
          <w:szCs w:val="24"/>
        </w:rPr>
      </w:pPr>
    </w:p>
    <w:p w14:paraId="31A9D423" w14:textId="77777777" w:rsidR="001636CE" w:rsidRDefault="001636CE">
      <w:pPr>
        <w:rPr>
          <w:rStyle w:val="Bodytext2Italic"/>
          <w:sz w:val="24"/>
          <w:szCs w:val="24"/>
        </w:rPr>
      </w:pPr>
      <w:r>
        <w:rPr>
          <w:rStyle w:val="Bodytext2Italic"/>
          <w:sz w:val="24"/>
          <w:szCs w:val="24"/>
        </w:rPr>
        <w:br w:type="page"/>
      </w:r>
    </w:p>
    <w:p w14:paraId="5B3C234C" w14:textId="77777777" w:rsidR="00B834A2" w:rsidRPr="0048735B" w:rsidRDefault="00B834A2" w:rsidP="0048735B">
      <w:pPr>
        <w:pStyle w:val="Bodytext20"/>
        <w:shd w:val="clear" w:color="auto" w:fill="auto"/>
        <w:tabs>
          <w:tab w:val="left" w:pos="1276"/>
        </w:tabs>
        <w:spacing w:before="0" w:after="160" w:line="360" w:lineRule="auto"/>
        <w:ind w:firstLine="567"/>
        <w:jc w:val="both"/>
        <w:rPr>
          <w:rStyle w:val="Bodytext31Sylfaen9"/>
          <w:i w:val="0"/>
          <w:sz w:val="24"/>
          <w:szCs w:val="24"/>
        </w:rPr>
      </w:pPr>
      <w:r w:rsidRPr="00B834A2">
        <w:rPr>
          <w:rStyle w:val="Bodytext2Italic"/>
          <w:sz w:val="24"/>
          <w:szCs w:val="24"/>
        </w:rPr>
        <w:lastRenderedPageBreak/>
        <w:t>3.1.3.</w:t>
      </w:r>
      <w:r w:rsidR="0048735B" w:rsidRPr="00A859E3">
        <w:rPr>
          <w:rStyle w:val="Bodytext2Italic"/>
          <w:sz w:val="24"/>
          <w:szCs w:val="24"/>
        </w:rPr>
        <w:tab/>
      </w:r>
      <w:r w:rsidRPr="0048735B">
        <w:rPr>
          <w:rFonts w:ascii="Sylfaen" w:hAnsi="Sylfaen"/>
          <w:i/>
          <w:sz w:val="24"/>
          <w:szCs w:val="24"/>
        </w:rPr>
        <w:t>Դեղաչափից կախվածության S-աձեւ կորերի վերլուծության չորս պարամետրերի մեթոդը</w:t>
      </w:r>
    </w:p>
    <w:p w14:paraId="2D22F99F"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Տվյալ մեթոդը կիրառվում է իմունակենսաբանական դեղամիջոցների կենսաբանական ակտիվությունը որոշելու համար։</w:t>
      </w:r>
    </w:p>
    <w:p w14:paraId="31CF0887"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 xml:space="preserve">Ինչպես ստանդարտ նմուշի, այնպես էլ փորձարկվող պատրաստուկի՝ դեղաչափից կախվածության կորը բնութագրվում է չորս պարամետրերով՝ </w:t>
      </w:r>
    </w:p>
    <w:p w14:paraId="6E86EC9F" w14:textId="77777777" w:rsidR="00B834A2" w:rsidRPr="00B834A2" w:rsidRDefault="00B834A2" w:rsidP="0048735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48735B" w:rsidRPr="00A859E3">
        <w:rPr>
          <w:rFonts w:ascii="Sylfaen" w:hAnsi="Sylfaen"/>
          <w:sz w:val="24"/>
          <w:szCs w:val="24"/>
        </w:rPr>
        <w:tab/>
      </w:r>
      <w:r w:rsidRPr="00B834A2">
        <w:rPr>
          <w:rFonts w:ascii="Sylfaen" w:hAnsi="Sylfaen"/>
          <w:sz w:val="24"/>
          <w:szCs w:val="24"/>
        </w:rPr>
        <w:t>վերին պլատո (а).</w:t>
      </w:r>
    </w:p>
    <w:p w14:paraId="493077D6" w14:textId="77777777" w:rsidR="00B834A2" w:rsidRPr="00B834A2" w:rsidRDefault="00B834A2" w:rsidP="0048735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48735B" w:rsidRPr="00A859E3">
        <w:rPr>
          <w:rFonts w:ascii="Sylfaen" w:hAnsi="Sylfaen"/>
          <w:sz w:val="24"/>
          <w:szCs w:val="24"/>
        </w:rPr>
        <w:tab/>
      </w:r>
      <w:r w:rsidRPr="00B834A2">
        <w:rPr>
          <w:rFonts w:ascii="Sylfaen" w:hAnsi="Sylfaen"/>
          <w:sz w:val="24"/>
          <w:szCs w:val="24"/>
        </w:rPr>
        <w:t xml:space="preserve">ստորին պլատո </w:t>
      </w:r>
      <w:r w:rsidRPr="00B834A2">
        <w:rPr>
          <w:rStyle w:val="Bodytext31Sylfaen9"/>
          <w:sz w:val="24"/>
          <w:szCs w:val="24"/>
        </w:rPr>
        <w:t>(</w:t>
      </w:r>
      <w:r w:rsidRPr="00B834A2">
        <w:rPr>
          <w:rStyle w:val="Bodytext2105pt"/>
          <w:rFonts w:ascii="Sylfaen" w:eastAsia="Sylfaen" w:hAnsi="Sylfaen"/>
          <w:w w:val="100"/>
          <w:sz w:val="24"/>
          <w:szCs w:val="24"/>
        </w:rPr>
        <w:t>δ</w:t>
      </w:r>
      <w:r w:rsidRPr="00B834A2">
        <w:rPr>
          <w:rStyle w:val="Bodytext31Sylfaen9"/>
          <w:sz w:val="24"/>
          <w:szCs w:val="24"/>
        </w:rPr>
        <w:t>)</w:t>
      </w:r>
      <w:r w:rsidRPr="00B834A2">
        <w:rPr>
          <w:rFonts w:ascii="Sylfaen" w:hAnsi="Sylfaen"/>
          <w:sz w:val="24"/>
          <w:szCs w:val="24"/>
        </w:rPr>
        <w:t>.</w:t>
      </w:r>
    </w:p>
    <w:p w14:paraId="6372321E" w14:textId="77777777" w:rsidR="00B834A2" w:rsidRPr="00B834A2" w:rsidRDefault="00B834A2" w:rsidP="0048735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48735B" w:rsidRPr="00A859E3">
        <w:rPr>
          <w:rFonts w:ascii="Sylfaen" w:hAnsi="Sylfaen"/>
          <w:sz w:val="24"/>
          <w:szCs w:val="24"/>
        </w:rPr>
        <w:tab/>
      </w:r>
      <w:r w:rsidRPr="00B834A2">
        <w:rPr>
          <w:rFonts w:ascii="Sylfaen" w:hAnsi="Sylfaen"/>
          <w:sz w:val="24"/>
          <w:szCs w:val="24"/>
        </w:rPr>
        <w:t xml:space="preserve">անկյունային գործակից </w:t>
      </w:r>
      <w:r w:rsidRPr="00B834A2">
        <w:rPr>
          <w:rStyle w:val="Bodytext31Sylfaen9"/>
          <w:sz w:val="24"/>
          <w:szCs w:val="24"/>
        </w:rPr>
        <w:t>(</w:t>
      </w:r>
      <w:r w:rsidRPr="00B834A2">
        <w:rPr>
          <w:rStyle w:val="Bodytext2105pt"/>
          <w:rFonts w:ascii="Sylfaen" w:eastAsia="Sylfaen" w:hAnsi="Sylfaen"/>
          <w:w w:val="100"/>
          <w:sz w:val="24"/>
          <w:szCs w:val="24"/>
        </w:rPr>
        <w:t>β</w:t>
      </w:r>
      <w:r w:rsidRPr="00B834A2">
        <w:rPr>
          <w:rStyle w:val="Bodytext31Sylfaen9"/>
          <w:sz w:val="24"/>
          <w:szCs w:val="24"/>
        </w:rPr>
        <w:t>)</w:t>
      </w:r>
      <w:r w:rsidRPr="00B834A2">
        <w:rPr>
          <w:rFonts w:ascii="Sylfaen" w:hAnsi="Sylfaen"/>
          <w:sz w:val="24"/>
          <w:szCs w:val="24"/>
        </w:rPr>
        <w:t>.</w:t>
      </w:r>
    </w:p>
    <w:p w14:paraId="2EF99FE3" w14:textId="77777777" w:rsidR="00B834A2" w:rsidRPr="00B834A2" w:rsidRDefault="00B834A2" w:rsidP="0048735B">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B834A2">
        <w:rPr>
          <w:rFonts w:ascii="Sylfaen" w:hAnsi="Sylfaen"/>
          <w:sz w:val="24"/>
          <w:szCs w:val="24"/>
        </w:rPr>
        <w:t>-</w:t>
      </w:r>
      <w:r w:rsidR="0048735B" w:rsidRPr="00A859E3">
        <w:rPr>
          <w:rFonts w:ascii="Sylfaen" w:hAnsi="Sylfaen"/>
          <w:sz w:val="24"/>
          <w:szCs w:val="24"/>
        </w:rPr>
        <w:tab/>
      </w:r>
      <w:r w:rsidRPr="00B834A2">
        <w:rPr>
          <w:rStyle w:val="Bodytext2Italic"/>
          <w:sz w:val="24"/>
          <w:szCs w:val="24"/>
        </w:rPr>
        <w:t>х</w:t>
      </w:r>
      <w:r w:rsidRPr="00B834A2">
        <w:rPr>
          <w:rStyle w:val="Bodytext31Sylfaen9"/>
          <w:sz w:val="24"/>
          <w:szCs w:val="24"/>
        </w:rPr>
        <w:t xml:space="preserve"> (</w:t>
      </w:r>
      <w:r w:rsidRPr="00B834A2">
        <w:rPr>
          <w:rStyle w:val="Bodytext2105pt"/>
          <w:rFonts w:ascii="Sylfaen" w:eastAsia="Sylfaen" w:hAnsi="Sylfaen"/>
          <w:w w:val="100"/>
          <w:sz w:val="24"/>
          <w:szCs w:val="24"/>
        </w:rPr>
        <w:t>γ</w:t>
      </w:r>
      <w:r w:rsidRPr="00B834A2">
        <w:rPr>
          <w:rStyle w:val="Bodytext31Sylfaen9"/>
          <w:sz w:val="24"/>
          <w:szCs w:val="24"/>
        </w:rPr>
        <w:t xml:space="preserve">) </w:t>
      </w:r>
      <w:r w:rsidRPr="00B834A2">
        <w:rPr>
          <w:rFonts w:ascii="Sylfaen" w:hAnsi="Sylfaen"/>
          <w:sz w:val="24"/>
          <w:szCs w:val="24"/>
        </w:rPr>
        <w:t>առանցքի վրա կորերի միջեւ հեռավորությունը։</w:t>
      </w:r>
    </w:p>
    <w:p w14:paraId="39778C06"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х դեղաչափի բնական լոգարիթմից u արձագանքի կախվածությունն արտահայտվում է հետեւյալ բանաձեւով.</w:t>
      </w:r>
    </w:p>
    <w:p w14:paraId="3A43A3BD" w14:textId="77777777" w:rsidR="00B834A2" w:rsidRPr="00B834A2" w:rsidRDefault="00B834A2" w:rsidP="0048735B">
      <w:pPr>
        <w:pStyle w:val="Bodytext20"/>
        <w:shd w:val="clear" w:color="auto" w:fill="auto"/>
        <w:spacing w:before="0" w:after="160" w:line="360" w:lineRule="auto"/>
        <w:ind w:firstLine="567"/>
        <w:rPr>
          <w:rStyle w:val="Bodytext31Sylfaen9"/>
          <w:sz w:val="24"/>
          <w:szCs w:val="24"/>
        </w:rPr>
      </w:pPr>
      <m:oMath>
        <m:r>
          <w:rPr>
            <w:rStyle w:val="Bodytext31Sylfaen9"/>
            <w:rFonts w:ascii="Cambria Math" w:hAnsi="Cambria Math"/>
            <w:sz w:val="24"/>
            <w:szCs w:val="24"/>
          </w:rPr>
          <m:t>u=δ+</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a-δ</m:t>
            </m:r>
          </m:num>
          <m:den>
            <m:r>
              <w:rPr>
                <w:rStyle w:val="Bodytext31Sylfaen9"/>
                <w:rFonts w:ascii="Cambria Math" w:hAnsi="Cambria Math"/>
                <w:sz w:val="24"/>
                <w:szCs w:val="24"/>
              </w:rPr>
              <m:t>1+</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e</m:t>
                </m:r>
              </m:e>
              <m:sup>
                <m:r>
                  <w:rPr>
                    <w:rStyle w:val="Bodytext31Sylfaen9"/>
                    <w:rFonts w:ascii="Cambria Math" w:hAnsi="Cambria Math"/>
                    <w:sz w:val="24"/>
                    <w:szCs w:val="24"/>
                  </w:rPr>
                  <m:t>¯β(x-y)</m:t>
                </m:r>
              </m:sup>
            </m:sSup>
          </m:den>
        </m:f>
      </m:oMath>
      <w:r w:rsidRPr="00B834A2">
        <w:rPr>
          <w:rStyle w:val="Bodytext31Sylfaen9"/>
          <w:sz w:val="24"/>
          <w:szCs w:val="24"/>
        </w:rPr>
        <w:t>:</w:t>
      </w:r>
    </w:p>
    <w:p w14:paraId="4FED502B"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Ստանդարտ նմուշի եւ փորձարկվող նմուշի կորերը կարելի է համեմատել միեւնույն թեքության դեպքում, ինչպես նաեւ վերին եւ ստորին պլատոյի միեւնույն մակարդակի դեպքում</w:t>
      </w:r>
      <w:r w:rsidRPr="00B834A2">
        <w:rPr>
          <w:rStyle w:val="Bodytext31Sylfaen9"/>
          <w:sz w:val="24"/>
          <w:szCs w:val="24"/>
        </w:rPr>
        <w:t xml:space="preserve">։ </w:t>
      </w:r>
      <w:r w:rsidRPr="00B834A2">
        <w:rPr>
          <w:rFonts w:ascii="Sylfaen" w:hAnsi="Sylfaen"/>
          <w:sz w:val="24"/>
          <w:szCs w:val="24"/>
        </w:rPr>
        <w:t>Այսպիսով, կորերը պետք է տարբերվեն միայն γ պարամետրով, որը փորձարկվող նմուշի ակտիվության ցուցանիշ է։</w:t>
      </w:r>
      <w:r w:rsidRPr="00B834A2">
        <w:rPr>
          <w:rStyle w:val="Bodytext31Sylfaen9"/>
          <w:sz w:val="24"/>
          <w:szCs w:val="24"/>
        </w:rPr>
        <w:t xml:space="preserve"> </w:t>
      </w:r>
      <w:r w:rsidRPr="0048735B">
        <w:rPr>
          <w:rStyle w:val="Bodytext31Sylfaen9"/>
          <w:i w:val="0"/>
          <w:sz w:val="24"/>
          <w:szCs w:val="24"/>
        </w:rPr>
        <w:t>Մյուս երեք պարամետրերի հավասարությունն ապացուցվում է ռուտինային փորձարկումների համար մեթոդիկայի վալիդացման ժամանակ։ Տվյալ պարամետրերի հավասարության կրկնակի ստուգումն անհրաժեշտ է միայն փորձարկման պայմանների փոփոխության դեպքում։</w:t>
      </w:r>
    </w:p>
    <w:p w14:paraId="5E295889"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Չորս պարամետրերի մեթոդն իրագործվել է հատուկ կենսաչափական ծրագրային ապահովման մեջ (օրինակ՝ СоmbiStats, РLА կամ նույնանմանները)։</w:t>
      </w:r>
    </w:p>
    <w:p w14:paraId="73367494" w14:textId="77777777" w:rsidR="001636CE" w:rsidRDefault="001636CE">
      <w:pPr>
        <w:rPr>
          <w:rStyle w:val="Bodytext31Sylfaen9"/>
          <w:i w:val="0"/>
          <w:sz w:val="24"/>
          <w:szCs w:val="24"/>
        </w:rPr>
      </w:pPr>
      <w:r>
        <w:rPr>
          <w:rStyle w:val="Bodytext31Sylfaen9"/>
          <w:i w:val="0"/>
          <w:sz w:val="24"/>
          <w:szCs w:val="24"/>
        </w:rPr>
        <w:br w:type="page"/>
      </w:r>
    </w:p>
    <w:p w14:paraId="0B2358CA"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lastRenderedPageBreak/>
        <w:t>Այդպիսի ծրագրային ապահովման բացակայության դեպքում կարելի է ընտրել կորերի գծային հատվածները եւ դրանք համեմատել երեք դեղաչափերի</w:t>
      </w:r>
      <w:r w:rsidRPr="00B834A2">
        <w:rPr>
          <w:rStyle w:val="Bodytext31Sylfaen9"/>
          <w:sz w:val="24"/>
          <w:szCs w:val="24"/>
        </w:rPr>
        <w:t xml:space="preserve"> </w:t>
      </w:r>
      <w:r w:rsidRPr="0048735B">
        <w:rPr>
          <w:rStyle w:val="Bodytext31Sylfaen9"/>
          <w:i w:val="0"/>
          <w:sz w:val="24"/>
          <w:szCs w:val="24"/>
        </w:rPr>
        <w:t>պատահական ընտրության կիրառման մեթոդի միջոցով (3.2.2 բաժին)։</w:t>
      </w:r>
    </w:p>
    <w:p w14:paraId="6611FD25" w14:textId="77777777" w:rsidR="00B834A2" w:rsidRPr="0048735B" w:rsidRDefault="00B834A2" w:rsidP="0048735B">
      <w:pPr>
        <w:pStyle w:val="Bodytext20"/>
        <w:shd w:val="clear" w:color="auto" w:fill="auto"/>
        <w:tabs>
          <w:tab w:val="left" w:pos="1276"/>
        </w:tabs>
        <w:spacing w:before="0" w:after="160" w:line="360" w:lineRule="auto"/>
        <w:ind w:firstLine="567"/>
        <w:jc w:val="both"/>
        <w:rPr>
          <w:rFonts w:ascii="Sylfaen" w:hAnsi="Sylfaen" w:cs="Sylfaen"/>
          <w:sz w:val="24"/>
          <w:szCs w:val="24"/>
        </w:rPr>
      </w:pPr>
      <w:r w:rsidRPr="0048735B">
        <w:rPr>
          <w:rStyle w:val="Bodytext2Italic"/>
          <w:sz w:val="24"/>
          <w:szCs w:val="24"/>
        </w:rPr>
        <w:t>3.1.4.</w:t>
      </w:r>
      <w:r w:rsidR="0048735B" w:rsidRPr="00A859E3">
        <w:rPr>
          <w:rStyle w:val="Bodytext2Italic"/>
          <w:sz w:val="24"/>
          <w:szCs w:val="24"/>
        </w:rPr>
        <w:tab/>
      </w:r>
      <w:r w:rsidRPr="0048735B">
        <w:rPr>
          <w:rStyle w:val="Bodytext2Italic"/>
          <w:sz w:val="24"/>
          <w:szCs w:val="24"/>
        </w:rPr>
        <w:t>Կենսաբանական փորձարկման արդյունքների դիսպերսիոն վերլուծությունը, կենսաբանական ակտիվության, դրա վստահելի սահմանների հաշվարկումը եւ կենսաբանական փորձարկումների արդյունքների միավորումը</w:t>
      </w:r>
    </w:p>
    <w:p w14:paraId="5B296462"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Վիճակագրական մշակման ընթացքում կատարվում է յուրաքանչյուր ռուտինային կենսաբանական փորձարկման արդյունքների դիսպերսիոն վերլուծության սպեցիֆիկ ձեւափոխություն՝ փորձի արդյունքների պիտանիությունը ստուգելու եւ դրա դիսպերսիան հաշվարկելու համար։ Որոշվում են դիսպերսիայի հետեւյալ բաղադրիչները կամ աղբյուրները (ցուցանիշները).</w:t>
      </w:r>
    </w:p>
    <w:p w14:paraId="5DFCEBAD" w14:textId="77777777" w:rsidR="00B834A2" w:rsidRPr="00C41622" w:rsidRDefault="00B834A2" w:rsidP="009A3F5E">
      <w:pPr>
        <w:pStyle w:val="Bodytext20"/>
        <w:shd w:val="clear" w:color="auto" w:fill="auto"/>
        <w:spacing w:before="0" w:after="160" w:line="360" w:lineRule="auto"/>
        <w:ind w:firstLine="567"/>
        <w:jc w:val="both"/>
        <w:rPr>
          <w:rStyle w:val="Bodytext31Sylfaen9"/>
          <w:i w:val="0"/>
          <w:sz w:val="24"/>
          <w:szCs w:val="24"/>
        </w:rPr>
      </w:pPr>
      <w:r w:rsidRPr="0048735B">
        <w:rPr>
          <w:rStyle w:val="Bodytext31Sylfaen9"/>
          <w:i w:val="0"/>
          <w:sz w:val="24"/>
          <w:szCs w:val="24"/>
        </w:rPr>
        <w:t xml:space="preserve">Գծայնություն (ստանդարտ նմուշի եւ փորձարկվող նմուշի առնվազն երեք դեղաչափի օգտագործման դեպքում)։ Դեղաչափից կախվածության «գծայնացման» համար թեստ օբյեկտների արձագանքները </w:t>
      </w:r>
      <w:r w:rsidRPr="0048735B">
        <w:rPr>
          <w:rFonts w:ascii="Sylfaen" w:eastAsiaTheme="minorHAnsi" w:hAnsi="Sylfaen" w:cs="TimesNewRomanCyr"/>
          <w:sz w:val="24"/>
          <w:szCs w:val="24"/>
          <w:lang w:bidi="ar-SA"/>
        </w:rPr>
        <w:t>(</w:t>
      </w:r>
      <w:r w:rsidRPr="0048735B">
        <w:rPr>
          <w:rFonts w:ascii="Sylfaen" w:eastAsiaTheme="minorHAnsi" w:hAnsi="Sylfaen" w:cs="TimesNewRomanCyr-NormalItalic"/>
          <w:iCs/>
          <w:sz w:val="24"/>
          <w:szCs w:val="24"/>
          <w:lang w:bidi="ar-SA"/>
        </w:rPr>
        <w:t>y</w:t>
      </w:r>
      <w:r w:rsidRPr="0048735B">
        <w:rPr>
          <w:rFonts w:ascii="Sylfaen" w:eastAsiaTheme="minorHAnsi" w:hAnsi="Sylfaen" w:cs="TimesNewRomanCyr"/>
          <w:sz w:val="24"/>
          <w:szCs w:val="24"/>
          <w:lang w:bidi="ar-SA"/>
        </w:rPr>
        <w:t>)</w:t>
      </w:r>
      <w:r w:rsidRPr="0048735B">
        <w:rPr>
          <w:rStyle w:val="Bodytext31Sylfaen9"/>
          <w:i w:val="0"/>
          <w:sz w:val="24"/>
          <w:szCs w:val="24"/>
        </w:rPr>
        <w:t xml:space="preserve"> կարելի է ենթարկել տարբեր փոխակերպումների (լոգարիթմելը, քառակուսի արմատ ստանալը, քառակուսի բարձրացնելը եւ այլն).</w:t>
      </w:r>
    </w:p>
    <w:p w14:paraId="4AEA3126"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Ոչ զուգահեռություն.</w:t>
      </w:r>
    </w:p>
    <w:p w14:paraId="156C6ED3"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Դեղաչափից կախվածություն.</w:t>
      </w:r>
    </w:p>
    <w:p w14:paraId="7BE45D54" w14:textId="77777777" w:rsidR="00B834A2" w:rsidRPr="0048735B" w:rsidRDefault="00B834A2" w:rsidP="009A3F5E">
      <w:pPr>
        <w:pStyle w:val="Bodytext20"/>
        <w:shd w:val="clear" w:color="auto" w:fill="auto"/>
        <w:spacing w:before="0" w:after="160" w:line="360" w:lineRule="auto"/>
        <w:ind w:firstLine="567"/>
        <w:jc w:val="both"/>
        <w:rPr>
          <w:rStyle w:val="Bodytext31Sylfaen9"/>
          <w:i w:val="0"/>
          <w:sz w:val="24"/>
          <w:szCs w:val="24"/>
        </w:rPr>
      </w:pPr>
      <w:r w:rsidRPr="0048735B">
        <w:rPr>
          <w:rStyle w:val="Bodytext31Sylfaen9"/>
          <w:i w:val="0"/>
          <w:sz w:val="24"/>
          <w:szCs w:val="24"/>
        </w:rPr>
        <w:t xml:space="preserve">Բլոկներ կամ տողեր (անհրաժեշտության դեպքում). </w:t>
      </w:r>
    </w:p>
    <w:p w14:paraId="02DD6711"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Սյունակներ (անհրաժեշտության դեպքում).</w:t>
      </w:r>
    </w:p>
    <w:p w14:paraId="02C79AEC"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Օրեր × ոչ զուգահեռություն (անհրաժեշտության դեպքում).</w:t>
      </w:r>
    </w:p>
    <w:p w14:paraId="3E8EF580"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Այլ օժանդակ ցուցանիշներ։</w:t>
      </w:r>
    </w:p>
    <w:p w14:paraId="0D6D0EF5"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Fonts w:ascii="Sylfaen" w:hAnsi="Sylfaen"/>
          <w:sz w:val="24"/>
          <w:szCs w:val="24"/>
        </w:rPr>
        <w:t xml:space="preserve">Կիրառումների բոլոր տիպերի համար պարտադիր է «Ոչ զուգահեռություն» ցուցանիշի ոչ նշանակալիությունը </w:t>
      </w:r>
      <w:r w:rsidRPr="0048735B">
        <w:rPr>
          <w:rStyle w:val="Bodytext2Italic"/>
          <w:i w:val="0"/>
          <w:sz w:val="24"/>
          <w:szCs w:val="24"/>
        </w:rPr>
        <w:t>(р</w:t>
      </w:r>
      <w:r w:rsidRPr="0048735B">
        <w:rPr>
          <w:rStyle w:val="Bodytext31Sylfaen9"/>
          <w:i w:val="0"/>
          <w:sz w:val="24"/>
          <w:szCs w:val="24"/>
        </w:rPr>
        <w:t xml:space="preserve"> = 0,05)</w:t>
      </w:r>
      <w:r w:rsidRPr="0048735B">
        <w:rPr>
          <w:rFonts w:ascii="Sylfaen" w:hAnsi="Sylfaen"/>
          <w:sz w:val="24"/>
          <w:szCs w:val="24"/>
        </w:rPr>
        <w:t xml:space="preserve"> եւ դեղաչափից կախվածությունը բնութագրող «Ռեգրեսիա» ցուցանիշի նշանակալիությունը </w:t>
      </w:r>
      <w:r w:rsidRPr="0048735B">
        <w:rPr>
          <w:rStyle w:val="Bodytext2Italic"/>
          <w:i w:val="0"/>
          <w:sz w:val="24"/>
          <w:szCs w:val="24"/>
        </w:rPr>
        <w:t>(р</w:t>
      </w:r>
      <w:r w:rsidRPr="0048735B">
        <w:rPr>
          <w:rStyle w:val="Bodytext31Sylfaen9"/>
          <w:i w:val="0"/>
          <w:sz w:val="24"/>
          <w:szCs w:val="24"/>
        </w:rPr>
        <w:t xml:space="preserve"> = 0,01)</w:t>
      </w:r>
      <w:r w:rsidRPr="0048735B">
        <w:rPr>
          <w:rFonts w:ascii="Sylfaen" w:hAnsi="Sylfaen"/>
          <w:sz w:val="24"/>
          <w:szCs w:val="24"/>
        </w:rPr>
        <w:t>։</w:t>
      </w:r>
    </w:p>
    <w:p w14:paraId="2BE38893" w14:textId="77777777" w:rsidR="001636CE" w:rsidRPr="00DE4F37" w:rsidRDefault="001636CE" w:rsidP="009A3F5E">
      <w:pPr>
        <w:pStyle w:val="Bodytext20"/>
        <w:shd w:val="clear" w:color="auto" w:fill="auto"/>
        <w:spacing w:before="0" w:after="160" w:line="360" w:lineRule="auto"/>
        <w:ind w:firstLine="567"/>
        <w:jc w:val="both"/>
        <w:rPr>
          <w:rStyle w:val="Bodytext31Sylfaen9"/>
          <w:i w:val="0"/>
          <w:sz w:val="24"/>
          <w:szCs w:val="24"/>
        </w:rPr>
      </w:pPr>
    </w:p>
    <w:p w14:paraId="52FB3263"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lastRenderedPageBreak/>
        <w:t>Դիսպերսիոն վերլուծությունը տարբերվում է կրկնակի խաչաձեւման եւ ոչ խաչաձեւ պլանների կիրառման դեպքում։ Որպես փորձի դիսպերսիա կիրառվում է ներխմբային դիսպերսիան։ Այն կիրառվում է ինչպես փորձարկման արդյունքների</w:t>
      </w:r>
      <w:r w:rsidRPr="00B834A2">
        <w:rPr>
          <w:rStyle w:val="Bodytext31Sylfaen9"/>
          <w:sz w:val="24"/>
          <w:szCs w:val="24"/>
        </w:rPr>
        <w:t xml:space="preserve"> </w:t>
      </w:r>
      <w:r w:rsidRPr="0048735B">
        <w:rPr>
          <w:rStyle w:val="Bodytext31Sylfaen9"/>
          <w:i w:val="0"/>
          <w:sz w:val="24"/>
          <w:szCs w:val="24"/>
        </w:rPr>
        <w:t>պիտանիությունն ստուգելու, այնպես էլ փորձարկվող նմուշի կենսաբանական ակտիվության վստահելի սահմանները հաշվարկելու համար։</w:t>
      </w:r>
    </w:p>
    <w:p w14:paraId="09C8E8A5"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 xml:space="preserve">Ընդ որում, առաջին օրվա գծի եւ երկրորդ օրվա գծի զուգահեռությունն արտացոլում է ոչ թե միջխմբային դիսպերսիայով հաշվարկվող «Ոչ զուգահեռություն» ցուցանիշը, այլեւ ներխմբային դիսպերսիայով հաշվարկվող «Օրեր х ոչ զուգահեռություն» ցուցանիշը։ </w:t>
      </w:r>
      <w:r w:rsidRPr="0048735B">
        <w:rPr>
          <w:rStyle w:val="Bodytext31Sylfaen9"/>
          <w:i w:val="0"/>
          <w:sz w:val="24"/>
          <w:szCs w:val="24"/>
        </w:rPr>
        <w:t>Դրանով բնութագրվում է միեւնույն նմուշի միեւնույն դեղաչափի ներմուծման նկատմամբ թեստ օբյեկտների տարբեր խմբերի ռեակցիայի մշտականությունը։</w:t>
      </w:r>
    </w:p>
    <w:p w14:paraId="7B91ABE6"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Այնուհետեւ հաշվարկվում է ստանդարտ նմուշի համեմատ փորձարկվող նմուշի կենսաբանական ակտիվությունը (դրա միջին արժեքն ու վստահելի սահմանները)։</w:t>
      </w:r>
    </w:p>
    <w:p w14:paraId="1E7C8BF8"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 xml:space="preserve">Միեւնույն նմուշի երկու եւ ավելի կենսաբանական փորձարկումների արդյունքների միավորումը կատարվում է «Կենսաբանական ակտիվության անկախ որոշումների արդյունքների միավորումը» 5-րդ բաժնի համաձայն։ </w:t>
      </w:r>
    </w:p>
    <w:p w14:paraId="2B1274D9"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Որպես օրինակներ՝ ստորեւ ներկայացված են քանակական տիպի արձագանքներով փորձարկումների առավել տարածված մեթոդներով փորձարկվող նմուշների կենսաբանական ակտիվության հաշվարկման առաջարկվող ալգորիթմները (3.2 բաժին)։ Հնարավոր է հատուկ կենսաչափական ծրագրային ապահովման (CombiStats, РLА կամ նույնանմանները) կիրառումը։</w:t>
      </w:r>
    </w:p>
    <w:p w14:paraId="7E1974CE" w14:textId="77777777" w:rsidR="00B834A2" w:rsidRPr="0048735B" w:rsidRDefault="00B834A2" w:rsidP="0048735B">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48735B">
        <w:rPr>
          <w:rStyle w:val="Bodytext31Sylfaen9"/>
          <w:b/>
          <w:i w:val="0"/>
          <w:sz w:val="24"/>
          <w:szCs w:val="24"/>
        </w:rPr>
        <w:t>3.2.</w:t>
      </w:r>
      <w:r w:rsidR="0048735B" w:rsidRPr="00A859E3">
        <w:rPr>
          <w:rStyle w:val="Bodytext31Sylfaen9"/>
          <w:b/>
          <w:i w:val="0"/>
          <w:sz w:val="24"/>
          <w:szCs w:val="24"/>
        </w:rPr>
        <w:tab/>
      </w:r>
      <w:r w:rsidRPr="0048735B">
        <w:rPr>
          <w:rStyle w:val="Bodytext31Sylfaen9"/>
          <w:b/>
          <w:i w:val="0"/>
          <w:sz w:val="24"/>
          <w:szCs w:val="24"/>
        </w:rPr>
        <w:t>Քանակական տիպի արձագանքներով կենսաբանական փորձարկումների արդյունքների վիճակագրական մշակման օրինակները</w:t>
      </w:r>
    </w:p>
    <w:p w14:paraId="31A30A15"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 xml:space="preserve">Տվյալ բաժնում ներկայացված են կենսաբանական ակտիվության հաշվարկման ստուգիչ օրինակները, որոնք դասակարգված են ըստ կիրառումների առավել տարածված տիպերի (զուգահեռ ուղիղ գծերի մոդել)։ Բաժնի վերջում </w:t>
      </w:r>
      <w:r w:rsidRPr="0048735B">
        <w:rPr>
          <w:rStyle w:val="Bodytext31Sylfaen9"/>
          <w:i w:val="0"/>
          <w:sz w:val="24"/>
          <w:szCs w:val="24"/>
        </w:rPr>
        <w:lastRenderedPageBreak/>
        <w:t>բերված է Ստյուդենտի չափորոշչի կիրառմամբ ինսուլինի ու դրա անալոգների պատրաստուկների երկարաձգված ազդեցության առկայության ստուգման օրինակ (3.2.7 բաժին)։</w:t>
      </w:r>
    </w:p>
    <w:p w14:paraId="56C69C39" w14:textId="77777777" w:rsidR="00B834A2" w:rsidRPr="0048735B"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Օգտագործման հարմարության համար բոլոր օրինակներում հաշվարկները բերված են ամբողջ ծավալով։</w:t>
      </w:r>
    </w:p>
    <w:p w14:paraId="1C641352" w14:textId="77777777" w:rsidR="00B834A2" w:rsidRPr="00B834A2" w:rsidRDefault="00B834A2" w:rsidP="0048735B">
      <w:pPr>
        <w:pStyle w:val="Bodytext20"/>
        <w:shd w:val="clear" w:color="auto" w:fill="auto"/>
        <w:tabs>
          <w:tab w:val="left" w:pos="1418"/>
        </w:tabs>
        <w:spacing w:before="0" w:after="160" w:line="360" w:lineRule="auto"/>
        <w:ind w:firstLine="567"/>
        <w:jc w:val="both"/>
        <w:rPr>
          <w:rFonts w:ascii="Sylfaen" w:hAnsi="Sylfaen" w:cs="Sylfaen"/>
          <w:sz w:val="24"/>
          <w:szCs w:val="24"/>
        </w:rPr>
      </w:pPr>
      <w:r w:rsidRPr="00B834A2">
        <w:rPr>
          <w:rStyle w:val="Bodytext2Italic"/>
          <w:sz w:val="24"/>
          <w:szCs w:val="24"/>
        </w:rPr>
        <w:t>3.2.1.</w:t>
      </w:r>
      <w:r w:rsidR="0048735B" w:rsidRPr="00A859E3">
        <w:rPr>
          <w:rStyle w:val="Bodytext2Italic"/>
          <w:sz w:val="24"/>
          <w:szCs w:val="24"/>
        </w:rPr>
        <w:tab/>
      </w:r>
      <w:r w:rsidRPr="00B834A2">
        <w:rPr>
          <w:rStyle w:val="Bodytext2Italic"/>
          <w:sz w:val="24"/>
          <w:szCs w:val="24"/>
        </w:rPr>
        <w:t>Երկու դեղաչափի օգտագործմամբ պատահական ընտրության կիրառումը (խորիոնային գոնադոտրոպինի կենսաբանական ակտիվության օրինակով)</w:t>
      </w:r>
    </w:p>
    <w:p w14:paraId="4645F7BF" w14:textId="77777777" w:rsidR="00B834A2" w:rsidRPr="00B834A2" w:rsidRDefault="00B834A2" w:rsidP="009A3F5E">
      <w:pPr>
        <w:pStyle w:val="Bodytext20"/>
        <w:shd w:val="clear" w:color="auto" w:fill="auto"/>
        <w:tabs>
          <w:tab w:val="left" w:pos="5812"/>
        </w:tabs>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Եթե որպես թեստ օբյեկտներ օգտագործվում են էգ առնետները, ապա կենդանու արձագանք է համարվում մգ-ով արգանդի զանգվածի հարաբերությունը գ-ով մարմնի զանգվածի նկատմամբ։ Արուների օգտագործման դեպքում կենդանու </w:t>
      </w:r>
      <w:r w:rsidRPr="005B6181">
        <w:rPr>
          <w:rFonts w:ascii="Sylfaen" w:hAnsi="Sylfaen"/>
          <w:spacing w:val="4"/>
          <w:sz w:val="24"/>
          <w:szCs w:val="24"/>
        </w:rPr>
        <w:t>արձագանքն է մգ-ով լրացուցիչ սեռական գեղձերի զանգվածի հարաբերությունը գ-ով մար</w:t>
      </w:r>
      <w:r w:rsidRPr="00B834A2">
        <w:rPr>
          <w:rFonts w:ascii="Sylfaen" w:hAnsi="Sylfaen"/>
          <w:sz w:val="24"/>
          <w:szCs w:val="24"/>
        </w:rPr>
        <w:t xml:space="preserve">մնի զանգվածի նկատմամբ։ </w:t>
      </w:r>
    </w:p>
    <w:p w14:paraId="053E34C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48735B">
        <w:rPr>
          <w:rStyle w:val="Bodytext31Sylfaen9"/>
          <w:i w:val="0"/>
          <w:sz w:val="24"/>
          <w:szCs w:val="24"/>
        </w:rPr>
        <w:t>Խորիոնային գոնադոտրոպինի ակտիվությունը որոշելու համար օգտագործվել է էգ առնետների 4 խումբ՝ յուրաքանչյուրում տասական առանձնյակ։</w:t>
      </w:r>
      <w:r w:rsidRPr="00B834A2">
        <w:rPr>
          <w:rStyle w:val="Bodytext31Sylfaen9"/>
          <w:sz w:val="24"/>
          <w:szCs w:val="24"/>
        </w:rPr>
        <w:t xml:space="preserve"> </w:t>
      </w:r>
      <w:r w:rsidRPr="00B834A2">
        <w:rPr>
          <w:rFonts w:ascii="Sylfaen" w:hAnsi="Sylfaen"/>
          <w:sz w:val="24"/>
          <w:szCs w:val="24"/>
        </w:rPr>
        <w:t>Փորձարկվող նմուշի եւ ստանդարտ նմուշի յուրաքանչյուր դեղաչափ ներմուծվել է կենդանիների մեկ խմբին (դեղաչափերի հարաբերակցությունը՝ 1։2)։</w:t>
      </w:r>
    </w:p>
    <w:p w14:paraId="3E7A85D6" w14:textId="77777777" w:rsidR="00B834A2" w:rsidRPr="0048735B" w:rsidRDefault="00B834A2" w:rsidP="0048735B">
      <w:pPr>
        <w:pStyle w:val="Bodytext20"/>
        <w:shd w:val="clear" w:color="auto" w:fill="auto"/>
        <w:spacing w:before="0" w:after="160" w:line="360" w:lineRule="auto"/>
        <w:ind w:firstLine="567"/>
        <w:jc w:val="both"/>
        <w:rPr>
          <w:rFonts w:ascii="Sylfaen" w:hAnsi="Sylfaen" w:cs="Sylfaen"/>
          <w:i/>
          <w:sz w:val="24"/>
          <w:szCs w:val="24"/>
        </w:rPr>
      </w:pPr>
      <w:r w:rsidRPr="0048735B">
        <w:rPr>
          <w:rStyle w:val="Bodytext31Sylfaen9"/>
          <w:i w:val="0"/>
          <w:sz w:val="24"/>
          <w:szCs w:val="24"/>
        </w:rPr>
        <w:t>3.2.1.-2 աղյուսակում տրված են ստանդարտ նմուշի երկու դեղաչափի եւ փորձարկվող նմուշի երկու դեղաչափի ներմուծման նկատմամբ էգ առնետների արձագանքները։</w:t>
      </w:r>
    </w:p>
    <w:p w14:paraId="7D6D45A5" w14:textId="77777777" w:rsidR="00B834A2" w:rsidRPr="00B834A2" w:rsidRDefault="00B834A2" w:rsidP="0048735B">
      <w:pPr>
        <w:pStyle w:val="Bodytext20"/>
        <w:shd w:val="clear" w:color="auto" w:fill="auto"/>
        <w:spacing w:before="0" w:after="160" w:line="360" w:lineRule="auto"/>
        <w:ind w:firstLine="567"/>
        <w:jc w:val="both"/>
        <w:rPr>
          <w:rStyle w:val="Bodytext31Sylfaen9"/>
          <w:sz w:val="24"/>
          <w:szCs w:val="24"/>
        </w:rPr>
      </w:pPr>
      <w:r w:rsidRPr="0048735B">
        <w:rPr>
          <w:rStyle w:val="Bodytext31Sylfaen9"/>
          <w:i w:val="0"/>
          <w:sz w:val="24"/>
          <w:szCs w:val="24"/>
        </w:rPr>
        <w:t xml:space="preserve">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 </w:t>
      </w:r>
      <w:r w:rsidRPr="00B834A2">
        <w:rPr>
          <w:rFonts w:ascii="Sylfaen" w:hAnsi="Sylfaen"/>
          <w:sz w:val="24"/>
          <w:szCs w:val="24"/>
        </w:rPr>
        <w:t>Ընդ որում, հաշվարկվում են դիսպերսիաների արժեքները 6 աղբյուրների համար (հավելվածի 4-րդ աղյուսակ)։</w:t>
      </w:r>
    </w:p>
    <w:p w14:paraId="6415C227" w14:textId="77777777" w:rsidR="001636CE" w:rsidRDefault="001636CE">
      <w:pPr>
        <w:rPr>
          <w:rFonts w:eastAsia="Times New Roman" w:cs="Times New Roman"/>
          <w:iCs/>
          <w:color w:val="auto"/>
        </w:rPr>
      </w:pPr>
      <w:r>
        <w:rPr>
          <w:i/>
        </w:rPr>
        <w:br w:type="page"/>
      </w:r>
    </w:p>
    <w:p w14:paraId="31C62BB5" w14:textId="77777777" w:rsidR="00B834A2" w:rsidRPr="001D1D71" w:rsidRDefault="00B834A2" w:rsidP="009A3F5E">
      <w:pPr>
        <w:pStyle w:val="Tablecaption20"/>
        <w:shd w:val="clear" w:color="auto" w:fill="auto"/>
        <w:spacing w:before="0" w:after="160" w:line="360" w:lineRule="auto"/>
        <w:ind w:firstLine="567"/>
        <w:rPr>
          <w:rFonts w:ascii="Sylfaen" w:hAnsi="Sylfaen" w:cs="Sylfaen"/>
          <w:sz w:val="24"/>
          <w:szCs w:val="24"/>
        </w:rPr>
      </w:pPr>
      <w:r w:rsidRPr="001D1D71">
        <w:rPr>
          <w:rFonts w:ascii="Sylfaen" w:hAnsi="Sylfaen"/>
          <w:i w:val="0"/>
          <w:sz w:val="24"/>
          <w:szCs w:val="24"/>
        </w:rPr>
        <w:lastRenderedPageBreak/>
        <w:t xml:space="preserve">Աղյուսակ 3.2.1-2. </w:t>
      </w:r>
      <w:r w:rsidRPr="001D1D71">
        <w:rPr>
          <w:rFonts w:ascii="Sylfaen" w:hAnsi="Sylfaen"/>
          <w:sz w:val="24"/>
          <w:szCs w:val="24"/>
        </w:rPr>
        <w:t>Առնետների արգանդի հարաբերական զանգվածը (երկու դեղաչափի օգտագործմամբ պատահական ընտրության կիրառում՝ խորիոնային գոնադոտրոպինի կենսաբանական ակտիվության օրինակով)</w:t>
      </w:r>
    </w:p>
    <w:tbl>
      <w:tblPr>
        <w:tblOverlap w:val="never"/>
        <w:tblW w:w="5680" w:type="dxa"/>
        <w:jc w:val="center"/>
        <w:tblLayout w:type="fixed"/>
        <w:tblCellMar>
          <w:left w:w="10" w:type="dxa"/>
          <w:right w:w="10" w:type="dxa"/>
        </w:tblCellMar>
        <w:tblLook w:val="0000" w:firstRow="0" w:lastRow="0" w:firstColumn="0" w:lastColumn="0" w:noHBand="0" w:noVBand="0"/>
      </w:tblPr>
      <w:tblGrid>
        <w:gridCol w:w="1157"/>
        <w:gridCol w:w="1133"/>
        <w:gridCol w:w="1548"/>
        <w:gridCol w:w="1842"/>
      </w:tblGrid>
      <w:tr w:rsidR="00B834A2" w:rsidRPr="001D1D71" w14:paraId="43E71F4E" w14:textId="77777777" w:rsidTr="00B834A2">
        <w:trPr>
          <w:jc w:val="center"/>
        </w:trPr>
        <w:tc>
          <w:tcPr>
            <w:tcW w:w="1157" w:type="dxa"/>
            <w:tcBorders>
              <w:top w:val="single" w:sz="4" w:space="0" w:color="auto"/>
            </w:tcBorders>
            <w:shd w:val="clear" w:color="auto" w:fill="FFFFFF"/>
          </w:tcPr>
          <w:p w14:paraId="1A879AEB"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1-ին խումբ</w:t>
            </w:r>
          </w:p>
        </w:tc>
        <w:tc>
          <w:tcPr>
            <w:tcW w:w="1133" w:type="dxa"/>
            <w:tcBorders>
              <w:top w:val="single" w:sz="4" w:space="0" w:color="auto"/>
            </w:tcBorders>
            <w:shd w:val="clear" w:color="auto" w:fill="FFFFFF"/>
          </w:tcPr>
          <w:p w14:paraId="5F4EECE1"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2-րդ խումբ</w:t>
            </w:r>
          </w:p>
        </w:tc>
        <w:tc>
          <w:tcPr>
            <w:tcW w:w="1548" w:type="dxa"/>
            <w:tcBorders>
              <w:top w:val="single" w:sz="4" w:space="0" w:color="auto"/>
            </w:tcBorders>
            <w:shd w:val="clear" w:color="auto" w:fill="FFFFFF"/>
          </w:tcPr>
          <w:p w14:paraId="71E266D3"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3-րդ խումբ</w:t>
            </w:r>
          </w:p>
        </w:tc>
        <w:tc>
          <w:tcPr>
            <w:tcW w:w="1842" w:type="dxa"/>
            <w:tcBorders>
              <w:top w:val="single" w:sz="4" w:space="0" w:color="auto"/>
            </w:tcBorders>
            <w:shd w:val="clear" w:color="auto" w:fill="FFFFFF"/>
          </w:tcPr>
          <w:p w14:paraId="158FACD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4-րդ խումբ</w:t>
            </w:r>
          </w:p>
        </w:tc>
      </w:tr>
      <w:tr w:rsidR="00B834A2" w:rsidRPr="001D1D71" w14:paraId="1D7A1C8B" w14:textId="77777777" w:rsidTr="00B834A2">
        <w:trPr>
          <w:jc w:val="center"/>
        </w:trPr>
        <w:tc>
          <w:tcPr>
            <w:tcW w:w="1157" w:type="dxa"/>
            <w:tcBorders>
              <w:top w:val="single" w:sz="4" w:space="0" w:color="auto"/>
            </w:tcBorders>
            <w:shd w:val="clear" w:color="auto" w:fill="FFFFFF"/>
          </w:tcPr>
          <w:p w14:paraId="14A8D3B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lang w:val="en-GB"/>
              </w:rPr>
              <w:t>s</w:t>
            </w:r>
            <w:r w:rsidRPr="001D1D71">
              <w:rPr>
                <w:rStyle w:val="Bodytext31Sylfaen9"/>
                <w:sz w:val="20"/>
                <w:szCs w:val="20"/>
                <w:vertAlign w:val="subscript"/>
              </w:rPr>
              <w:t>1</w:t>
            </w:r>
          </w:p>
        </w:tc>
        <w:tc>
          <w:tcPr>
            <w:tcW w:w="1133" w:type="dxa"/>
            <w:tcBorders>
              <w:top w:val="single" w:sz="4" w:space="0" w:color="auto"/>
            </w:tcBorders>
            <w:shd w:val="clear" w:color="auto" w:fill="FFFFFF"/>
          </w:tcPr>
          <w:p w14:paraId="2BCE1DC5"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2Italic"/>
                <w:sz w:val="20"/>
                <w:szCs w:val="20"/>
              </w:rPr>
              <w:t>s</w:t>
            </w:r>
            <w:r w:rsidRPr="001D1D71">
              <w:rPr>
                <w:rStyle w:val="Bodytext2Italic"/>
                <w:sz w:val="20"/>
                <w:szCs w:val="20"/>
                <w:vertAlign w:val="subscript"/>
              </w:rPr>
              <w:t>2</w:t>
            </w:r>
          </w:p>
        </w:tc>
        <w:tc>
          <w:tcPr>
            <w:tcW w:w="1548" w:type="dxa"/>
            <w:tcBorders>
              <w:top w:val="single" w:sz="4" w:space="0" w:color="auto"/>
            </w:tcBorders>
            <w:shd w:val="clear" w:color="auto" w:fill="FFFFFF"/>
          </w:tcPr>
          <w:p w14:paraId="1D58DAB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2Italic"/>
                <w:sz w:val="20"/>
                <w:szCs w:val="20"/>
              </w:rPr>
              <w:t>u</w:t>
            </w:r>
            <w:r w:rsidRPr="001D1D71">
              <w:rPr>
                <w:rStyle w:val="Bodytext2Italic"/>
                <w:sz w:val="20"/>
                <w:szCs w:val="20"/>
                <w:vertAlign w:val="subscript"/>
              </w:rPr>
              <w:t>1</w:t>
            </w:r>
          </w:p>
        </w:tc>
        <w:tc>
          <w:tcPr>
            <w:tcW w:w="1842" w:type="dxa"/>
            <w:tcBorders>
              <w:top w:val="single" w:sz="4" w:space="0" w:color="auto"/>
            </w:tcBorders>
            <w:shd w:val="clear" w:color="auto" w:fill="FFFFFF"/>
          </w:tcPr>
          <w:p w14:paraId="74CAA71E"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2Italic"/>
                <w:sz w:val="20"/>
                <w:szCs w:val="20"/>
              </w:rPr>
              <w:t>u</w:t>
            </w:r>
            <w:r w:rsidRPr="001D1D71">
              <w:rPr>
                <w:rStyle w:val="Bodytext2Italic"/>
                <w:sz w:val="20"/>
                <w:szCs w:val="20"/>
                <w:vertAlign w:val="subscript"/>
              </w:rPr>
              <w:t>2</w:t>
            </w:r>
          </w:p>
        </w:tc>
      </w:tr>
      <w:tr w:rsidR="00B834A2" w:rsidRPr="001D1D71" w14:paraId="4F8D3B87" w14:textId="77777777" w:rsidTr="00B834A2">
        <w:trPr>
          <w:jc w:val="center"/>
        </w:trPr>
        <w:tc>
          <w:tcPr>
            <w:tcW w:w="1157" w:type="dxa"/>
            <w:tcBorders>
              <w:top w:val="single" w:sz="4" w:space="0" w:color="auto"/>
            </w:tcBorders>
            <w:shd w:val="clear" w:color="auto" w:fill="FFFFFF"/>
          </w:tcPr>
          <w:p w14:paraId="70A5B0A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0,398</w:t>
            </w:r>
          </w:p>
        </w:tc>
        <w:tc>
          <w:tcPr>
            <w:tcW w:w="1133" w:type="dxa"/>
            <w:tcBorders>
              <w:top w:val="single" w:sz="4" w:space="0" w:color="auto"/>
            </w:tcBorders>
            <w:shd w:val="clear" w:color="auto" w:fill="FFFFFF"/>
          </w:tcPr>
          <w:p w14:paraId="1F77AED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2,233</w:t>
            </w:r>
          </w:p>
        </w:tc>
        <w:tc>
          <w:tcPr>
            <w:tcW w:w="1548" w:type="dxa"/>
            <w:tcBorders>
              <w:top w:val="single" w:sz="4" w:space="0" w:color="auto"/>
            </w:tcBorders>
            <w:shd w:val="clear" w:color="auto" w:fill="FFFFFF"/>
          </w:tcPr>
          <w:p w14:paraId="4D7A7D57"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0,533</w:t>
            </w:r>
          </w:p>
        </w:tc>
        <w:tc>
          <w:tcPr>
            <w:tcW w:w="1842" w:type="dxa"/>
            <w:tcBorders>
              <w:top w:val="single" w:sz="4" w:space="0" w:color="auto"/>
            </w:tcBorders>
            <w:shd w:val="clear" w:color="auto" w:fill="FFFFFF"/>
          </w:tcPr>
          <w:p w14:paraId="6F273E48"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3,447</w:t>
            </w:r>
          </w:p>
        </w:tc>
      </w:tr>
      <w:tr w:rsidR="00B834A2" w:rsidRPr="001D1D71" w14:paraId="2C4F198E" w14:textId="77777777" w:rsidTr="00B834A2">
        <w:trPr>
          <w:jc w:val="center"/>
        </w:trPr>
        <w:tc>
          <w:tcPr>
            <w:tcW w:w="1157" w:type="dxa"/>
            <w:shd w:val="clear" w:color="auto" w:fill="FFFFFF"/>
          </w:tcPr>
          <w:p w14:paraId="78318F1E"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0,443</w:t>
            </w:r>
          </w:p>
        </w:tc>
        <w:tc>
          <w:tcPr>
            <w:tcW w:w="1133" w:type="dxa"/>
            <w:shd w:val="clear" w:color="auto" w:fill="FFFFFF"/>
          </w:tcPr>
          <w:p w14:paraId="204C7360"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2,129</w:t>
            </w:r>
          </w:p>
        </w:tc>
        <w:tc>
          <w:tcPr>
            <w:tcW w:w="1548" w:type="dxa"/>
            <w:shd w:val="clear" w:color="auto" w:fill="FFFFFF"/>
          </w:tcPr>
          <w:p w14:paraId="2FF2FEEB"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0,663</w:t>
            </w:r>
          </w:p>
        </w:tc>
        <w:tc>
          <w:tcPr>
            <w:tcW w:w="1842" w:type="dxa"/>
            <w:shd w:val="clear" w:color="auto" w:fill="FFFFFF"/>
          </w:tcPr>
          <w:p w14:paraId="182A5D6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3,123</w:t>
            </w:r>
          </w:p>
        </w:tc>
      </w:tr>
      <w:tr w:rsidR="00B834A2" w:rsidRPr="001D1D71" w14:paraId="1BE0233B" w14:textId="77777777" w:rsidTr="00B834A2">
        <w:trPr>
          <w:jc w:val="center"/>
        </w:trPr>
        <w:tc>
          <w:tcPr>
            <w:tcW w:w="1157" w:type="dxa"/>
            <w:shd w:val="clear" w:color="auto" w:fill="FFFFFF"/>
          </w:tcPr>
          <w:p w14:paraId="7194393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0,483</w:t>
            </w:r>
          </w:p>
        </w:tc>
        <w:tc>
          <w:tcPr>
            <w:tcW w:w="1133" w:type="dxa"/>
            <w:shd w:val="clear" w:color="auto" w:fill="FFFFFF"/>
          </w:tcPr>
          <w:p w14:paraId="5E63207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2,872</w:t>
            </w:r>
          </w:p>
        </w:tc>
        <w:tc>
          <w:tcPr>
            <w:tcW w:w="1548" w:type="dxa"/>
            <w:shd w:val="clear" w:color="auto" w:fill="FFFFFF"/>
          </w:tcPr>
          <w:p w14:paraId="1BE20F7D"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0,434</w:t>
            </w:r>
          </w:p>
        </w:tc>
        <w:tc>
          <w:tcPr>
            <w:tcW w:w="1842" w:type="dxa"/>
            <w:shd w:val="clear" w:color="auto" w:fill="FFFFFF"/>
          </w:tcPr>
          <w:p w14:paraId="4A78EB1A"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3,354</w:t>
            </w:r>
          </w:p>
        </w:tc>
      </w:tr>
      <w:tr w:rsidR="00B834A2" w:rsidRPr="001D1D71" w14:paraId="0CCA1690" w14:textId="77777777" w:rsidTr="00B834A2">
        <w:trPr>
          <w:jc w:val="center"/>
        </w:trPr>
        <w:tc>
          <w:tcPr>
            <w:tcW w:w="1157" w:type="dxa"/>
            <w:shd w:val="clear" w:color="auto" w:fill="FFFFFF"/>
          </w:tcPr>
          <w:p w14:paraId="00B45FA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0,623</w:t>
            </w:r>
          </w:p>
        </w:tc>
        <w:tc>
          <w:tcPr>
            <w:tcW w:w="1133" w:type="dxa"/>
            <w:shd w:val="clear" w:color="auto" w:fill="FFFFFF"/>
          </w:tcPr>
          <w:p w14:paraId="22C685FA"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2,732</w:t>
            </w:r>
          </w:p>
        </w:tc>
        <w:tc>
          <w:tcPr>
            <w:tcW w:w="1548" w:type="dxa"/>
            <w:shd w:val="clear" w:color="auto" w:fill="FFFFFF"/>
          </w:tcPr>
          <w:p w14:paraId="350E886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0,710</w:t>
            </w:r>
          </w:p>
        </w:tc>
        <w:tc>
          <w:tcPr>
            <w:tcW w:w="1842" w:type="dxa"/>
            <w:shd w:val="clear" w:color="auto" w:fill="FFFFFF"/>
          </w:tcPr>
          <w:p w14:paraId="0993F928"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1,769</w:t>
            </w:r>
          </w:p>
        </w:tc>
      </w:tr>
      <w:tr w:rsidR="00B834A2" w:rsidRPr="001D1D71" w14:paraId="63B1F6F2" w14:textId="77777777" w:rsidTr="00B834A2">
        <w:trPr>
          <w:jc w:val="center"/>
        </w:trPr>
        <w:tc>
          <w:tcPr>
            <w:tcW w:w="1157" w:type="dxa"/>
            <w:shd w:val="clear" w:color="auto" w:fill="FFFFFF"/>
          </w:tcPr>
          <w:p w14:paraId="3FD055C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0,462</w:t>
            </w:r>
          </w:p>
        </w:tc>
        <w:tc>
          <w:tcPr>
            <w:tcW w:w="1133" w:type="dxa"/>
            <w:shd w:val="clear" w:color="auto" w:fill="FFFFFF"/>
          </w:tcPr>
          <w:p w14:paraId="3677DC7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3,043</w:t>
            </w:r>
          </w:p>
        </w:tc>
        <w:tc>
          <w:tcPr>
            <w:tcW w:w="1548" w:type="dxa"/>
            <w:shd w:val="clear" w:color="auto" w:fill="FFFFFF"/>
          </w:tcPr>
          <w:p w14:paraId="2F50CA1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0,637</w:t>
            </w:r>
          </w:p>
        </w:tc>
        <w:tc>
          <w:tcPr>
            <w:tcW w:w="1842" w:type="dxa"/>
            <w:shd w:val="clear" w:color="auto" w:fill="FFFFFF"/>
          </w:tcPr>
          <w:p w14:paraId="4965DBE7"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4,382</w:t>
            </w:r>
          </w:p>
        </w:tc>
      </w:tr>
      <w:tr w:rsidR="00B834A2" w:rsidRPr="001D1D71" w14:paraId="13B86939" w14:textId="77777777" w:rsidTr="00B834A2">
        <w:trPr>
          <w:jc w:val="center"/>
        </w:trPr>
        <w:tc>
          <w:tcPr>
            <w:tcW w:w="1157" w:type="dxa"/>
            <w:shd w:val="clear" w:color="auto" w:fill="FFFFFF"/>
          </w:tcPr>
          <w:p w14:paraId="3D5B8D70"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0,619</w:t>
            </w:r>
          </w:p>
        </w:tc>
        <w:tc>
          <w:tcPr>
            <w:tcW w:w="1133" w:type="dxa"/>
            <w:shd w:val="clear" w:color="auto" w:fill="FFFFFF"/>
          </w:tcPr>
          <w:p w14:paraId="7C4DCE43"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2,717</w:t>
            </w:r>
          </w:p>
        </w:tc>
        <w:tc>
          <w:tcPr>
            <w:tcW w:w="1548" w:type="dxa"/>
            <w:shd w:val="clear" w:color="auto" w:fill="FFFFFF"/>
          </w:tcPr>
          <w:p w14:paraId="4FEED29B"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0,470</w:t>
            </w:r>
          </w:p>
        </w:tc>
        <w:tc>
          <w:tcPr>
            <w:tcW w:w="1842" w:type="dxa"/>
            <w:shd w:val="clear" w:color="auto" w:fill="FFFFFF"/>
          </w:tcPr>
          <w:p w14:paraId="18125E4D"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3,525</w:t>
            </w:r>
          </w:p>
        </w:tc>
      </w:tr>
      <w:tr w:rsidR="00B834A2" w:rsidRPr="001D1D71" w14:paraId="1A049A45" w14:textId="77777777" w:rsidTr="00B834A2">
        <w:trPr>
          <w:jc w:val="center"/>
        </w:trPr>
        <w:tc>
          <w:tcPr>
            <w:tcW w:w="1157" w:type="dxa"/>
            <w:shd w:val="clear" w:color="auto" w:fill="FFFFFF"/>
          </w:tcPr>
          <w:p w14:paraId="24A95A7E"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0,436</w:t>
            </w:r>
          </w:p>
        </w:tc>
        <w:tc>
          <w:tcPr>
            <w:tcW w:w="1133" w:type="dxa"/>
            <w:shd w:val="clear" w:color="auto" w:fill="FFFFFF"/>
          </w:tcPr>
          <w:p w14:paraId="100162C0"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2,939</w:t>
            </w:r>
          </w:p>
        </w:tc>
        <w:tc>
          <w:tcPr>
            <w:tcW w:w="1548" w:type="dxa"/>
            <w:shd w:val="clear" w:color="auto" w:fill="FFFFFF"/>
          </w:tcPr>
          <w:p w14:paraId="2036247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0,650</w:t>
            </w:r>
          </w:p>
        </w:tc>
        <w:tc>
          <w:tcPr>
            <w:tcW w:w="1842" w:type="dxa"/>
            <w:shd w:val="clear" w:color="auto" w:fill="FFFFFF"/>
          </w:tcPr>
          <w:p w14:paraId="58218BF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3,331</w:t>
            </w:r>
          </w:p>
        </w:tc>
      </w:tr>
      <w:tr w:rsidR="00B834A2" w:rsidRPr="001D1D71" w14:paraId="0564037B" w14:textId="77777777" w:rsidTr="00B834A2">
        <w:trPr>
          <w:jc w:val="center"/>
        </w:trPr>
        <w:tc>
          <w:tcPr>
            <w:tcW w:w="1157" w:type="dxa"/>
            <w:shd w:val="clear" w:color="auto" w:fill="FFFFFF"/>
          </w:tcPr>
          <w:p w14:paraId="3D9EFA5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0,495</w:t>
            </w:r>
          </w:p>
        </w:tc>
        <w:tc>
          <w:tcPr>
            <w:tcW w:w="1133" w:type="dxa"/>
            <w:shd w:val="clear" w:color="auto" w:fill="FFFFFF"/>
          </w:tcPr>
          <w:p w14:paraId="16F7D5E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1,785</w:t>
            </w:r>
          </w:p>
        </w:tc>
        <w:tc>
          <w:tcPr>
            <w:tcW w:w="1548" w:type="dxa"/>
            <w:shd w:val="clear" w:color="auto" w:fill="FFFFFF"/>
          </w:tcPr>
          <w:p w14:paraId="3CD6762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0,600</w:t>
            </w:r>
          </w:p>
        </w:tc>
        <w:tc>
          <w:tcPr>
            <w:tcW w:w="1842" w:type="dxa"/>
            <w:shd w:val="clear" w:color="auto" w:fill="FFFFFF"/>
          </w:tcPr>
          <w:p w14:paraId="0A80AC70"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3,995</w:t>
            </w:r>
          </w:p>
        </w:tc>
      </w:tr>
      <w:tr w:rsidR="00B834A2" w:rsidRPr="001D1D71" w14:paraId="500502E9" w14:textId="77777777" w:rsidTr="00B834A2">
        <w:trPr>
          <w:jc w:val="center"/>
        </w:trPr>
        <w:tc>
          <w:tcPr>
            <w:tcW w:w="1157" w:type="dxa"/>
            <w:shd w:val="clear" w:color="auto" w:fill="FFFFFF"/>
          </w:tcPr>
          <w:p w14:paraId="68E6416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0,568</w:t>
            </w:r>
          </w:p>
        </w:tc>
        <w:tc>
          <w:tcPr>
            <w:tcW w:w="1133" w:type="dxa"/>
            <w:shd w:val="clear" w:color="auto" w:fill="FFFFFF"/>
          </w:tcPr>
          <w:p w14:paraId="6467DD57"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3,474</w:t>
            </w:r>
          </w:p>
        </w:tc>
        <w:tc>
          <w:tcPr>
            <w:tcW w:w="1548" w:type="dxa"/>
            <w:shd w:val="clear" w:color="auto" w:fill="FFFFFF"/>
          </w:tcPr>
          <w:p w14:paraId="7FA3330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0,820</w:t>
            </w:r>
          </w:p>
        </w:tc>
        <w:tc>
          <w:tcPr>
            <w:tcW w:w="1842" w:type="dxa"/>
            <w:shd w:val="clear" w:color="auto" w:fill="FFFFFF"/>
          </w:tcPr>
          <w:p w14:paraId="32E9D7B5"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2,977</w:t>
            </w:r>
          </w:p>
        </w:tc>
      </w:tr>
      <w:tr w:rsidR="00B834A2" w:rsidRPr="001D1D71" w14:paraId="748061B1" w14:textId="77777777" w:rsidTr="00B834A2">
        <w:trPr>
          <w:jc w:val="center"/>
        </w:trPr>
        <w:tc>
          <w:tcPr>
            <w:tcW w:w="1157" w:type="dxa"/>
            <w:tcBorders>
              <w:bottom w:val="single" w:sz="4" w:space="0" w:color="auto"/>
            </w:tcBorders>
            <w:shd w:val="clear" w:color="auto" w:fill="FFFFFF"/>
          </w:tcPr>
          <w:p w14:paraId="6B4D7B69"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0,593</w:t>
            </w:r>
          </w:p>
        </w:tc>
        <w:tc>
          <w:tcPr>
            <w:tcW w:w="1133" w:type="dxa"/>
            <w:tcBorders>
              <w:bottom w:val="single" w:sz="4" w:space="0" w:color="auto"/>
            </w:tcBorders>
            <w:shd w:val="clear" w:color="auto" w:fill="FFFFFF"/>
          </w:tcPr>
          <w:p w14:paraId="1684520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3,120</w:t>
            </w:r>
          </w:p>
        </w:tc>
        <w:tc>
          <w:tcPr>
            <w:tcW w:w="1548" w:type="dxa"/>
            <w:tcBorders>
              <w:bottom w:val="single" w:sz="4" w:space="0" w:color="auto"/>
            </w:tcBorders>
            <w:shd w:val="clear" w:color="auto" w:fill="FFFFFF"/>
          </w:tcPr>
          <w:p w14:paraId="6D4B72CA"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0,512</w:t>
            </w:r>
          </w:p>
        </w:tc>
        <w:tc>
          <w:tcPr>
            <w:tcW w:w="1842" w:type="dxa"/>
            <w:tcBorders>
              <w:bottom w:val="single" w:sz="4" w:space="0" w:color="auto"/>
            </w:tcBorders>
            <w:shd w:val="clear" w:color="auto" w:fill="FFFFFF"/>
          </w:tcPr>
          <w:p w14:paraId="027F9B95"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2,556</w:t>
            </w:r>
          </w:p>
        </w:tc>
      </w:tr>
    </w:tbl>
    <w:p w14:paraId="7C30B6D7" w14:textId="77777777" w:rsidR="00B834A2" w:rsidRPr="00B834A2" w:rsidRDefault="00B834A2" w:rsidP="001D1D71">
      <w:pPr>
        <w:pStyle w:val="Bodytext20"/>
        <w:shd w:val="clear" w:color="auto" w:fill="auto"/>
        <w:spacing w:before="0" w:after="160" w:line="360" w:lineRule="auto"/>
        <w:jc w:val="both"/>
        <w:rPr>
          <w:rStyle w:val="Bodytext31Sylfaen9"/>
          <w:sz w:val="24"/>
          <w:szCs w:val="24"/>
        </w:rPr>
      </w:pPr>
    </w:p>
    <w:p w14:paraId="73E34A77" w14:textId="77777777" w:rsidR="00B834A2" w:rsidRPr="001D1D71"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1D1D71">
        <w:rPr>
          <w:rStyle w:val="Bodytext31Sylfaen9"/>
          <w:i w:val="0"/>
          <w:sz w:val="24"/>
          <w:szCs w:val="24"/>
        </w:rPr>
        <w:t>Այդ նպատակով 3.2.1-2 եւ 3.2.1-3 աղյուսակում ներկայացված տվյալների, ինչպես նաեւ ուղղիչ գործակցի հիման վրա հաշվարկվում են դիսպերսիայի աղբյուրների քառակուսիների գումարները։</w:t>
      </w:r>
    </w:p>
    <w:p w14:paraId="71ACBAE0" w14:textId="77777777" w:rsidR="00B834A2" w:rsidRPr="001D1D71" w:rsidRDefault="00B834A2" w:rsidP="009A3F5E">
      <w:pPr>
        <w:pStyle w:val="Bodytext20"/>
        <w:shd w:val="clear" w:color="auto" w:fill="auto"/>
        <w:spacing w:before="0" w:after="160" w:line="360" w:lineRule="auto"/>
        <w:ind w:firstLine="567"/>
        <w:jc w:val="both"/>
        <w:rPr>
          <w:rStyle w:val="Bodytext31Sylfaen9"/>
          <w:i w:val="0"/>
          <w:sz w:val="24"/>
          <w:szCs w:val="24"/>
        </w:rPr>
      </w:pPr>
      <w:r w:rsidRPr="001D1D71">
        <w:rPr>
          <w:rStyle w:val="Bodytext31Sylfaen9"/>
          <w:i w:val="0"/>
          <w:sz w:val="24"/>
          <w:szCs w:val="24"/>
        </w:rPr>
        <w:t>Ուղղիչ գործակից</w:t>
      </w:r>
      <w:r w:rsidRPr="001D1D71">
        <w:rPr>
          <w:rStyle w:val="Bodytext31Sylfaen9"/>
          <w:i w:val="0"/>
          <w:sz w:val="24"/>
          <w:szCs w:val="24"/>
          <w:lang w:val="en-GB"/>
        </w:rPr>
        <w:t>ը`</w:t>
      </w:r>
      <w:r w:rsidRPr="001D1D71">
        <w:rPr>
          <w:rStyle w:val="Bodytext31Sylfaen9"/>
          <w:i w:val="0"/>
          <w:sz w:val="24"/>
          <w:szCs w:val="24"/>
        </w:rPr>
        <w:t xml:space="preserve"> </w:t>
      </w:r>
    </w:p>
    <w:p w14:paraId="0A8A2920"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m:oMathPara>
        <m:oMath>
          <m:r>
            <w:rPr>
              <w:rStyle w:val="Bodytext31Sylfaen9"/>
              <w:rFonts w:ascii="Cambria Math" w:hAnsi="Cambria Math"/>
              <w:sz w:val="24"/>
              <w:szCs w:val="24"/>
            </w:rPr>
            <m:t>K=</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m:t>
              </m:r>
              <m:nary>
                <m:naryPr>
                  <m:chr m:val="∑"/>
                  <m:limLoc m:val="undOvr"/>
                  <m:subHide m:val="1"/>
                  <m:supHide m:val="1"/>
                  <m:ctrlPr>
                    <w:rPr>
                      <w:rStyle w:val="Bodytext31Sylfaen9"/>
                      <w:rFonts w:ascii="Cambria Math" w:hAnsi="Cambria Math"/>
                      <w:i w:val="0"/>
                      <w:iCs w:val="0"/>
                      <w:sz w:val="24"/>
                      <w:szCs w:val="24"/>
                    </w:rPr>
                  </m:ctrlPr>
                </m:naryPr>
                <m:sub/>
                <m:sup/>
                <m:e>
                  <m:r>
                    <w:rPr>
                      <w:rStyle w:val="Bodytext31Sylfaen9"/>
                      <w:rFonts w:ascii="Cambria Math" w:hAnsi="Cambria Math"/>
                      <w:sz w:val="24"/>
                      <w:szCs w:val="24"/>
                    </w:rPr>
                    <m:t>y</m:t>
                  </m:r>
                </m:e>
              </m:nary>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m:t>
                  </m:r>
                </m:e>
                <m:sup>
                  <m:r>
                    <w:rPr>
                      <w:rStyle w:val="Bodytext31Sylfaen9"/>
                      <w:rFonts w:ascii="Cambria Math" w:hAnsi="Cambria Math"/>
                      <w:sz w:val="24"/>
                      <w:szCs w:val="24"/>
                    </w:rPr>
                    <m:t>2</m:t>
                  </m:r>
                </m:sup>
              </m:sSup>
            </m:num>
            <m:den>
              <m:r>
                <w:rPr>
                  <w:rStyle w:val="Bodytext31Sylfaen9"/>
                  <w:rFonts w:ascii="Cambria Math" w:hAnsi="Cambria Math"/>
                  <w:sz w:val="24"/>
                  <w:szCs w:val="24"/>
                </w:rPr>
                <m:t xml:space="preserve"> N</m:t>
              </m:r>
            </m:den>
          </m:f>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70,</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65</m:t>
                  </m:r>
                </m:e>
                <m:sup>
                  <m:r>
                    <w:rPr>
                      <w:rStyle w:val="Bodytext31Sylfaen9"/>
                      <w:rFonts w:ascii="Cambria Math" w:hAnsi="Cambria Math"/>
                      <w:sz w:val="24"/>
                      <w:szCs w:val="24"/>
                    </w:rPr>
                    <m:t>2</m:t>
                  </m:r>
                </m:sup>
              </m:sSup>
            </m:num>
            <m:den>
              <m:r>
                <w:rPr>
                  <w:rStyle w:val="Bodytext31Sylfaen9"/>
                  <w:rFonts w:ascii="Cambria Math" w:hAnsi="Cambria Math"/>
                  <w:sz w:val="24"/>
                  <w:szCs w:val="24"/>
                </w:rPr>
                <m:t>40</m:t>
              </m:r>
            </m:den>
          </m:f>
          <m:r>
            <w:rPr>
              <w:rStyle w:val="Bodytext31Sylfaen9"/>
              <w:rFonts w:ascii="Cambria Math" w:hAnsi="Cambria Math"/>
              <w:sz w:val="24"/>
              <w:szCs w:val="24"/>
            </w:rPr>
            <m:t>=124,8.</m:t>
          </m:r>
        </m:oMath>
      </m:oMathPara>
    </w:p>
    <w:p w14:paraId="71586CF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Պատրաստուկներ</w:t>
      </w:r>
      <w:r w:rsidRPr="00B834A2">
        <w:rPr>
          <w:rStyle w:val="Bodytext31Sylfaen9"/>
          <w:sz w:val="24"/>
          <w:szCs w:val="24"/>
        </w:rPr>
        <w:t xml:space="preserve"> </w:t>
      </w:r>
      <m:oMath>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S</m:t>
                </m:r>
              </m:e>
              <m:sup>
                <m:r>
                  <w:rPr>
                    <w:rStyle w:val="Bodytext31Sylfaen9"/>
                    <w:rFonts w:ascii="Cambria Math" w:hAnsi="Cambria Math"/>
                    <w:sz w:val="24"/>
                    <w:szCs w:val="24"/>
                  </w:rPr>
                  <m:t>2</m:t>
                </m:r>
              </m:sup>
            </m:sSup>
            <m:r>
              <w:rPr>
                <w:rStyle w:val="Bodytext31Sylfaen9"/>
                <w:rFonts w:ascii="Cambria Math" w:hAnsi="Cambria Math"/>
                <w:sz w:val="24"/>
                <w:szCs w:val="24"/>
              </w:rPr>
              <m:t>+</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U</m:t>
                </m:r>
              </m:e>
              <m:sup>
                <m:r>
                  <w:rPr>
                    <w:rStyle w:val="Bodytext31Sylfaen9"/>
                    <w:rFonts w:ascii="Cambria Math" w:hAnsi="Cambria Math"/>
                    <w:sz w:val="24"/>
                    <w:szCs w:val="24"/>
                  </w:rPr>
                  <m:t>2</m:t>
                </m:r>
              </m:sup>
            </m:sSup>
          </m:num>
          <m:den>
            <m:r>
              <w:rPr>
                <w:rStyle w:val="Bodytext31Sylfaen9"/>
                <w:rFonts w:ascii="Cambria Math" w:hAnsi="Cambria Math"/>
                <w:sz w:val="24"/>
                <w:szCs w:val="24"/>
              </w:rPr>
              <m:t>2n</m:t>
            </m:r>
          </m:den>
        </m:f>
        <m:r>
          <w:rPr>
            <w:rStyle w:val="Bodytext31Sylfaen9"/>
            <w:rFonts w:ascii="Cambria Math" w:hAnsi="Cambria Math"/>
            <w:sz w:val="24"/>
            <w:szCs w:val="24"/>
          </w:rPr>
          <m:t>-K=</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32,1</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6</m:t>
                </m:r>
              </m:e>
              <m:sup>
                <m:r>
                  <w:rPr>
                    <w:rStyle w:val="Bodytext31Sylfaen9"/>
                    <w:rFonts w:ascii="Cambria Math" w:hAnsi="Cambria Math"/>
                    <w:sz w:val="24"/>
                    <w:szCs w:val="24"/>
                  </w:rPr>
                  <m:t>2</m:t>
                </m:r>
              </m:sup>
            </m:sSup>
            <m:r>
              <w:rPr>
                <w:rStyle w:val="Bodytext31Sylfaen9"/>
                <w:rFonts w:ascii="Cambria Math" w:hAnsi="Cambria Math"/>
                <w:sz w:val="24"/>
                <w:szCs w:val="24"/>
              </w:rPr>
              <m:t>+38,4</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9</m:t>
                </m:r>
              </m:e>
              <m:sup>
                <m:r>
                  <w:rPr>
                    <w:rStyle w:val="Bodytext31Sylfaen9"/>
                    <w:rFonts w:ascii="Cambria Math" w:hAnsi="Cambria Math"/>
                    <w:sz w:val="24"/>
                    <w:szCs w:val="24"/>
                  </w:rPr>
                  <m:t>2</m:t>
                </m:r>
              </m:sup>
            </m:sSup>
          </m:num>
          <m:den>
            <m:r>
              <w:rPr>
                <w:rStyle w:val="Bodytext31Sylfaen9"/>
                <w:rFonts w:ascii="Cambria Math" w:hAnsi="Cambria Math"/>
                <w:sz w:val="24"/>
                <w:szCs w:val="24"/>
              </w:rPr>
              <m:t>20</m:t>
            </m:r>
          </m:den>
        </m:f>
        <m:r>
          <w:rPr>
            <w:rStyle w:val="Bodytext31Sylfaen9"/>
            <w:rFonts w:ascii="Cambria Math" w:hAnsi="Cambria Math"/>
            <w:sz w:val="24"/>
            <w:szCs w:val="24"/>
          </w:rPr>
          <m:t>-124,8=0,99</m:t>
        </m:r>
      </m:oMath>
      <w:r w:rsidRPr="00B834A2">
        <w:rPr>
          <w:rStyle w:val="Bodytext31Sylfaen9"/>
          <w:sz w:val="24"/>
          <w:szCs w:val="24"/>
        </w:rPr>
        <w:t>.</w:t>
      </w:r>
    </w:p>
    <w:p w14:paraId="68583BD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Ռեգրեսիա</w:t>
      </w:r>
      <w:r w:rsidRPr="00B834A2">
        <w:rPr>
          <w:rStyle w:val="Bodytext31Sylfaen9"/>
          <w:sz w:val="24"/>
          <w:szCs w:val="24"/>
        </w:rPr>
        <w:t xml:space="preserve"> </w:t>
      </w:r>
      <m:oMath>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L</m:t>
                </m:r>
              </m:e>
              <m:sub>
                <m:r>
                  <w:rPr>
                    <w:rStyle w:val="Bodytext31Sylfaen9"/>
                    <w:rFonts w:ascii="Cambria Math" w:hAnsi="Cambria Math"/>
                    <w:sz w:val="24"/>
                    <w:szCs w:val="24"/>
                  </w:rPr>
                  <m:t>s</m:t>
                </m:r>
              </m:sub>
            </m:sSub>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L</m:t>
                </m:r>
              </m:e>
              <m:sub>
                <m:r>
                  <w:rPr>
                    <w:rStyle w:val="Bodytext31Sylfaen9"/>
                    <w:rFonts w:ascii="Cambria Math" w:hAnsi="Cambria Math"/>
                    <w:sz w:val="24"/>
                    <w:szCs w:val="24"/>
                  </w:rPr>
                  <m:t>U</m:t>
                </m:r>
              </m:sub>
            </m:sSub>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m:t>
                </m:r>
              </m:e>
              <m:sup>
                <m:r>
                  <w:rPr>
                    <w:rStyle w:val="Bodytext31Sylfaen9"/>
                    <w:rFonts w:ascii="Cambria Math" w:hAnsi="Cambria Math"/>
                    <w:sz w:val="24"/>
                    <w:szCs w:val="24"/>
                  </w:rPr>
                  <m:t>2</m:t>
                </m:r>
              </m:sup>
            </m:sSup>
          </m:num>
          <m:den>
            <m:r>
              <w:rPr>
                <w:rStyle w:val="Bodytext31Sylfaen9"/>
                <w:rFonts w:ascii="Cambria Math" w:hAnsi="Cambria Math"/>
                <w:sz w:val="24"/>
                <w:szCs w:val="24"/>
              </w:rPr>
              <m:t>4n</m:t>
            </m:r>
          </m:den>
        </m:f>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48,3</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5</m:t>
                </m:r>
              </m:e>
              <m:sup>
                <m:r>
                  <w:rPr>
                    <w:rStyle w:val="Bodytext31Sylfaen9"/>
                    <w:rFonts w:ascii="Cambria Math" w:hAnsi="Cambria Math"/>
                    <w:sz w:val="24"/>
                    <w:szCs w:val="24"/>
                  </w:rPr>
                  <m:t>2</m:t>
                </m:r>
              </m:sup>
            </m:sSup>
          </m:num>
          <m:den>
            <m:r>
              <w:rPr>
                <w:rStyle w:val="Bodytext31Sylfaen9"/>
                <w:rFonts w:ascii="Cambria Math" w:hAnsi="Cambria Math"/>
                <w:sz w:val="24"/>
                <w:szCs w:val="24"/>
              </w:rPr>
              <m:t>40</m:t>
            </m:r>
          </m:den>
        </m:f>
        <m:r>
          <w:rPr>
            <w:rStyle w:val="Bodytext31Sylfaen9"/>
            <w:rFonts w:ascii="Cambria Math" w:hAnsi="Cambria Math"/>
            <w:sz w:val="24"/>
            <w:szCs w:val="24"/>
          </w:rPr>
          <m:t>=58,44=E</m:t>
        </m:r>
      </m:oMath>
      <w:r w:rsidRPr="00B834A2">
        <w:rPr>
          <w:rStyle w:val="Bodytext31Sylfaen9"/>
          <w:sz w:val="24"/>
          <w:szCs w:val="24"/>
        </w:rPr>
        <w:t>.</w:t>
      </w:r>
    </w:p>
    <w:p w14:paraId="1BFD2663"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highlight w:val="yellow"/>
        </w:rPr>
      </w:pPr>
      <m:oMathPara>
        <m:oMath>
          <m:r>
            <m:rPr>
              <m:sty m:val="p"/>
            </m:rPr>
            <w:rPr>
              <w:rFonts w:ascii="Sylfaen" w:hAnsi="Sylfaen" w:cs="Sylfaen"/>
              <w:sz w:val="24"/>
              <w:szCs w:val="24"/>
            </w:rPr>
            <m:t>Ոչ</m:t>
          </m:r>
          <m:r>
            <m:rPr>
              <m:sty m:val="p"/>
            </m:rPr>
            <w:rPr>
              <w:rFonts w:ascii="Cambria Math" w:hAnsi="Cambria Math" w:cs="Cambria Math"/>
              <w:sz w:val="24"/>
              <w:szCs w:val="24"/>
            </w:rPr>
            <m:t xml:space="preserve"> </m:t>
          </m:r>
          <m:r>
            <m:rPr>
              <m:sty m:val="p"/>
            </m:rPr>
            <w:rPr>
              <w:rFonts w:ascii="Sylfaen" w:hAnsi="Sylfaen" w:cs="Sylfaen"/>
              <w:sz w:val="24"/>
              <w:szCs w:val="24"/>
            </w:rPr>
            <m:t>զուգահեռություն</m:t>
          </m:r>
          <m:r>
            <w:rPr>
              <w:rStyle w:val="Bodytext2Italic"/>
              <w:rFonts w:ascii="Cambria Math" w:hAnsi="Cambria Math"/>
              <w:sz w:val="24"/>
              <w:szCs w:val="24"/>
            </w:rPr>
            <m:t>=</m:t>
          </m:r>
          <m:f>
            <m:fPr>
              <m:ctrlPr>
                <w:rPr>
                  <w:rStyle w:val="Bodytext31Sylfaen9"/>
                  <w:rFonts w:ascii="Cambria Math" w:hAnsi="Cambria Math"/>
                  <w:i w:val="0"/>
                  <w:iCs w:val="0"/>
                  <w:sz w:val="24"/>
                  <w:szCs w:val="24"/>
                </w:rPr>
              </m:ctrlPr>
            </m:fPr>
            <m:num>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L</m:t>
                  </m:r>
                </m:e>
                <m:sub>
                  <m:r>
                    <w:rPr>
                      <w:rStyle w:val="Bodytext31Sylfaen9"/>
                      <w:rFonts w:ascii="Cambria Math" w:hAnsi="Cambria Math"/>
                      <w:sz w:val="24"/>
                      <w:szCs w:val="24"/>
                    </w:rPr>
                    <m:t>s</m:t>
                  </m:r>
                </m:sub>
                <m:sup>
                  <m:r>
                    <w:rPr>
                      <w:rStyle w:val="Bodytext31Sylfaen9"/>
                      <w:rFonts w:ascii="Cambria Math" w:hAnsi="Cambria Math"/>
                      <w:sz w:val="24"/>
                      <w:szCs w:val="24"/>
                    </w:rPr>
                    <m:t>2</m:t>
                  </m:r>
                </m:sup>
              </m:sSubSup>
              <m:r>
                <w:rPr>
                  <w:rStyle w:val="Bodytext31Sylfaen9"/>
                  <w:rFonts w:ascii="Cambria Math" w:hAnsi="Cambria Math"/>
                  <w:sz w:val="24"/>
                  <w:szCs w:val="24"/>
                </w:rPr>
                <m:t>+</m:t>
              </m:r>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L</m:t>
                  </m:r>
                </m:e>
                <m:sub>
                  <m:r>
                    <w:rPr>
                      <w:rStyle w:val="Bodytext31Sylfaen9"/>
                      <w:rFonts w:ascii="Cambria Math" w:hAnsi="Cambria Math"/>
                      <w:sz w:val="24"/>
                      <w:szCs w:val="24"/>
                    </w:rPr>
                    <m:t>U</m:t>
                  </m:r>
                </m:sub>
                <m:sup>
                  <m:r>
                    <w:rPr>
                      <w:rStyle w:val="Bodytext31Sylfaen9"/>
                      <w:rFonts w:ascii="Cambria Math" w:hAnsi="Cambria Math"/>
                      <w:sz w:val="24"/>
                      <w:szCs w:val="24"/>
                    </w:rPr>
                    <m:t>2</m:t>
                  </m:r>
                </m:sup>
              </m:sSubSup>
            </m:num>
            <m:den>
              <m:r>
                <w:rPr>
                  <w:rStyle w:val="Bodytext31Sylfaen9"/>
                  <w:rFonts w:ascii="Cambria Math" w:hAnsi="Cambria Math"/>
                  <w:sz w:val="24"/>
                  <w:szCs w:val="24"/>
                </w:rPr>
                <m:t>2n</m:t>
              </m:r>
            </m:den>
          </m:f>
          <m:r>
            <w:rPr>
              <w:rStyle w:val="Bodytext31Sylfaen9"/>
              <w:rFonts w:ascii="Cambria Math" w:hAnsi="Cambria Math"/>
              <w:sz w:val="24"/>
              <w:szCs w:val="24"/>
            </w:rPr>
            <m:t>-E=</m:t>
          </m:r>
          <m:f>
            <m:fPr>
              <m:ctrlPr>
                <w:rPr>
                  <w:rStyle w:val="Bodytext31Sylfaen9"/>
                  <w:rFonts w:ascii="Cambria Math" w:hAnsi="Cambria Math"/>
                  <w:i w:val="0"/>
                  <w:iCs w:val="0"/>
                  <w:sz w:val="24"/>
                  <w:szCs w:val="24"/>
                </w:rPr>
              </m:ctrlPr>
            </m:fPr>
            <m:num>
              <m:r>
                <w:rPr>
                  <w:rStyle w:val="Bodytext31Sylfaen9"/>
                  <w:rFonts w:ascii="Cambria Math" w:hAnsi="Cambria Math"/>
                  <w:sz w:val="24"/>
                  <w:szCs w:val="24"/>
                </w:rPr>
                <m:t>21,9</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2</m:t>
                  </m:r>
                </m:e>
                <m:sup>
                  <m:r>
                    <w:rPr>
                      <w:rStyle w:val="Bodytext31Sylfaen9"/>
                      <w:rFonts w:ascii="Cambria Math" w:hAnsi="Cambria Math"/>
                      <w:sz w:val="24"/>
                      <w:szCs w:val="24"/>
                    </w:rPr>
                    <m:t>2</m:t>
                  </m:r>
                </m:sup>
              </m:sSup>
              <m:r>
                <w:rPr>
                  <w:rStyle w:val="Bodytext31Sylfaen9"/>
                  <w:rFonts w:ascii="Cambria Math" w:hAnsi="Cambria Math"/>
                  <w:sz w:val="24"/>
                  <w:szCs w:val="24"/>
                </w:rPr>
                <m:t>+26,4</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3</m:t>
                  </m:r>
                </m:e>
                <m:sup>
                  <m:r>
                    <w:rPr>
                      <w:rStyle w:val="Bodytext31Sylfaen9"/>
                      <w:rFonts w:ascii="Cambria Math" w:hAnsi="Cambria Math"/>
                      <w:sz w:val="24"/>
                      <w:szCs w:val="24"/>
                    </w:rPr>
                    <m:t>2</m:t>
                  </m:r>
                </m:sup>
              </m:sSup>
            </m:num>
            <m:den>
              <m:r>
                <w:rPr>
                  <w:rStyle w:val="Bodytext31Sylfaen9"/>
                  <w:rFonts w:ascii="Cambria Math" w:hAnsi="Cambria Math"/>
                  <w:sz w:val="24"/>
                  <w:szCs w:val="24"/>
                </w:rPr>
                <m:t>20</m:t>
              </m:r>
            </m:den>
          </m:f>
          <m:r>
            <w:rPr>
              <w:rStyle w:val="Bodytext31Sylfaen9"/>
              <w:rFonts w:ascii="Cambria Math" w:hAnsi="Cambria Math"/>
              <w:sz w:val="24"/>
              <w:szCs w:val="24"/>
            </w:rPr>
            <m:t>-58,44=0,51.</m:t>
          </m:r>
        </m:oMath>
      </m:oMathPara>
    </w:p>
    <w:p w14:paraId="59B67808"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B834A2">
        <w:rPr>
          <w:rStyle w:val="Bodytext2Italic"/>
          <w:sz w:val="24"/>
          <w:szCs w:val="24"/>
        </w:rPr>
        <w:t xml:space="preserve">Կիրառումներ </w:t>
      </w:r>
      <m:oMath>
        <m:r>
          <w:rPr>
            <w:rStyle w:val="Bodytext2Italic"/>
            <w:rFonts w:ascii="Cambria Math" w:hAnsi="Cambria Math"/>
            <w:sz w:val="24"/>
            <w:szCs w:val="24"/>
          </w:rPr>
          <m:t>=</m:t>
        </m:r>
        <m:f>
          <m:fPr>
            <m:ctrlPr>
              <w:rPr>
                <w:rStyle w:val="Bodytext2Italic"/>
                <w:rFonts w:ascii="Cambria Math" w:hAnsi="Cambria Math"/>
                <w:i w:val="0"/>
                <w:iCs w:val="0"/>
                <w:sz w:val="24"/>
                <w:szCs w:val="24"/>
              </w:rPr>
            </m:ctrlPr>
          </m:fPr>
          <m:num>
            <m:sSubSup>
              <m:sSubSupPr>
                <m:ctrlPr>
                  <w:rPr>
                    <w:rStyle w:val="Bodytext2Italic"/>
                    <w:rFonts w:ascii="Cambria Math" w:hAnsi="Cambria Math"/>
                    <w:i w:val="0"/>
                    <w:iCs w:val="0"/>
                    <w:sz w:val="24"/>
                    <w:szCs w:val="24"/>
                  </w:rPr>
                </m:ctrlPr>
              </m:sSubSupPr>
              <m:e>
                <m:r>
                  <w:rPr>
                    <w:rStyle w:val="Bodytext2Italic"/>
                    <w:rFonts w:ascii="Cambria Math" w:hAnsi="Cambria Math"/>
                    <w:sz w:val="24"/>
                    <w:szCs w:val="24"/>
                  </w:rPr>
                  <m:t>S</m:t>
                </m:r>
              </m:e>
              <m:sub>
                <m:r>
                  <w:rPr>
                    <w:rStyle w:val="Bodytext2Italic"/>
                    <w:rFonts w:ascii="Cambria Math" w:hAnsi="Cambria Math"/>
                    <w:sz w:val="24"/>
                    <w:szCs w:val="24"/>
                  </w:rPr>
                  <m:t>1</m:t>
                </m:r>
              </m:sub>
              <m:sup>
                <m:r>
                  <w:rPr>
                    <w:rStyle w:val="Bodytext2Italic"/>
                    <w:rFonts w:ascii="Cambria Math" w:hAnsi="Cambria Math"/>
                    <w:sz w:val="24"/>
                    <w:szCs w:val="24"/>
                  </w:rPr>
                  <m:t>2</m:t>
                </m:r>
              </m:sup>
            </m:sSubSup>
            <m:r>
              <w:rPr>
                <w:rStyle w:val="Bodytext2Italic"/>
                <w:rFonts w:ascii="Cambria Math" w:hAnsi="Cambria Math"/>
                <w:sz w:val="24"/>
                <w:szCs w:val="24"/>
              </w:rPr>
              <m:t>+</m:t>
            </m:r>
            <m:sSubSup>
              <m:sSubSupPr>
                <m:ctrlPr>
                  <w:rPr>
                    <w:rStyle w:val="Bodytext2Italic"/>
                    <w:rFonts w:ascii="Cambria Math" w:hAnsi="Cambria Math"/>
                    <w:i w:val="0"/>
                    <w:iCs w:val="0"/>
                    <w:sz w:val="24"/>
                    <w:szCs w:val="24"/>
                  </w:rPr>
                </m:ctrlPr>
              </m:sSubSupPr>
              <m:e>
                <m:r>
                  <w:rPr>
                    <w:rStyle w:val="Bodytext2Italic"/>
                    <w:rFonts w:ascii="Cambria Math" w:hAnsi="Cambria Math"/>
                    <w:sz w:val="24"/>
                    <w:szCs w:val="24"/>
                  </w:rPr>
                  <m:t>S</m:t>
                </m:r>
              </m:e>
              <m:sub>
                <m:r>
                  <w:rPr>
                    <w:rStyle w:val="Bodytext2Italic"/>
                    <w:rFonts w:ascii="Cambria Math" w:hAnsi="Cambria Math"/>
                    <w:sz w:val="24"/>
                    <w:szCs w:val="24"/>
                  </w:rPr>
                  <m:t>2</m:t>
                </m:r>
              </m:sub>
              <m:sup>
                <m:r>
                  <w:rPr>
                    <w:rStyle w:val="Bodytext2Italic"/>
                    <w:rFonts w:ascii="Cambria Math" w:hAnsi="Cambria Math"/>
                    <w:sz w:val="24"/>
                    <w:szCs w:val="24"/>
                  </w:rPr>
                  <m:t>2</m:t>
                </m:r>
              </m:sup>
            </m:sSubSup>
            <m:r>
              <w:rPr>
                <w:rStyle w:val="Bodytext2Italic"/>
                <w:rFonts w:ascii="Cambria Math" w:hAnsi="Cambria Math"/>
                <w:sz w:val="24"/>
                <w:szCs w:val="24"/>
              </w:rPr>
              <m:t>+</m:t>
            </m:r>
            <m:sSubSup>
              <m:sSubSupPr>
                <m:ctrlPr>
                  <w:rPr>
                    <w:rStyle w:val="Bodytext2Italic"/>
                    <w:rFonts w:ascii="Cambria Math" w:hAnsi="Cambria Math"/>
                    <w:i w:val="0"/>
                    <w:iCs w:val="0"/>
                    <w:sz w:val="24"/>
                    <w:szCs w:val="24"/>
                  </w:rPr>
                </m:ctrlPr>
              </m:sSubSupPr>
              <m:e>
                <m:r>
                  <w:rPr>
                    <w:rStyle w:val="Bodytext2Italic"/>
                    <w:rFonts w:ascii="Cambria Math" w:hAnsi="Cambria Math"/>
                    <w:sz w:val="24"/>
                    <w:szCs w:val="24"/>
                  </w:rPr>
                  <m:t>U</m:t>
                </m:r>
              </m:e>
              <m:sub>
                <m:r>
                  <w:rPr>
                    <w:rStyle w:val="Bodytext2Italic"/>
                    <w:rFonts w:ascii="Cambria Math" w:hAnsi="Cambria Math"/>
                    <w:sz w:val="24"/>
                    <w:szCs w:val="24"/>
                  </w:rPr>
                  <m:t>1</m:t>
                </m:r>
              </m:sub>
              <m:sup>
                <m:r>
                  <w:rPr>
                    <w:rStyle w:val="Bodytext2Italic"/>
                    <w:rFonts w:ascii="Cambria Math" w:hAnsi="Cambria Math"/>
                    <w:sz w:val="24"/>
                    <w:szCs w:val="24"/>
                  </w:rPr>
                  <m:t>2</m:t>
                </m:r>
              </m:sup>
            </m:sSubSup>
            <m:r>
              <w:rPr>
                <w:rStyle w:val="Bodytext2Italic"/>
                <w:rFonts w:ascii="Cambria Math" w:hAnsi="Cambria Math"/>
                <w:sz w:val="24"/>
                <w:szCs w:val="24"/>
              </w:rPr>
              <m:t>+</m:t>
            </m:r>
            <m:sSubSup>
              <m:sSubSupPr>
                <m:ctrlPr>
                  <w:rPr>
                    <w:rStyle w:val="Bodytext2Italic"/>
                    <w:rFonts w:ascii="Cambria Math" w:hAnsi="Cambria Math"/>
                    <w:i w:val="0"/>
                    <w:iCs w:val="0"/>
                    <w:sz w:val="24"/>
                    <w:szCs w:val="24"/>
                  </w:rPr>
                </m:ctrlPr>
              </m:sSubSupPr>
              <m:e>
                <m:r>
                  <w:rPr>
                    <w:rStyle w:val="Bodytext2Italic"/>
                    <w:rFonts w:ascii="Cambria Math" w:hAnsi="Cambria Math"/>
                    <w:sz w:val="24"/>
                    <w:szCs w:val="24"/>
                  </w:rPr>
                  <m:t>U</m:t>
                </m:r>
              </m:e>
              <m:sub>
                <m:r>
                  <w:rPr>
                    <w:rStyle w:val="Bodytext2Italic"/>
                    <w:rFonts w:ascii="Cambria Math" w:hAnsi="Cambria Math"/>
                    <w:sz w:val="24"/>
                    <w:szCs w:val="24"/>
                  </w:rPr>
                  <m:t>2</m:t>
                </m:r>
              </m:sub>
              <m:sup>
                <m:r>
                  <w:rPr>
                    <w:rStyle w:val="Bodytext2Italic"/>
                    <w:rFonts w:ascii="Cambria Math" w:hAnsi="Cambria Math"/>
                    <w:sz w:val="24"/>
                    <w:szCs w:val="24"/>
                  </w:rPr>
                  <m:t>2</m:t>
                </m:r>
              </m:sup>
            </m:sSubSup>
          </m:num>
          <m:den>
            <m:r>
              <w:rPr>
                <w:rStyle w:val="Bodytext2Italic"/>
                <w:rFonts w:ascii="Cambria Math" w:hAnsi="Cambria Math"/>
                <w:sz w:val="24"/>
                <w:szCs w:val="24"/>
              </w:rPr>
              <m:t>n</m:t>
            </m:r>
          </m:den>
        </m:f>
        <m:r>
          <w:rPr>
            <w:rStyle w:val="Bodytext2Italic"/>
            <w:rFonts w:ascii="Cambria Math" w:hAnsi="Cambria Math"/>
            <w:sz w:val="24"/>
            <w:szCs w:val="24"/>
          </w:rPr>
          <m:t>-K=</m:t>
        </m:r>
        <m:f>
          <m:fPr>
            <m:ctrlPr>
              <w:rPr>
                <w:rStyle w:val="Bodytext2Italic"/>
                <w:rFonts w:ascii="Cambria Math" w:hAnsi="Cambria Math"/>
                <w:i w:val="0"/>
                <w:iCs w:val="0"/>
                <w:sz w:val="24"/>
                <w:szCs w:val="24"/>
              </w:rPr>
            </m:ctrlPr>
          </m:fPr>
          <m:num>
            <m:r>
              <w:rPr>
                <w:rStyle w:val="Bodytext2Italic"/>
                <w:rFonts w:ascii="Cambria Math" w:hAnsi="Cambria Math"/>
                <w:sz w:val="24"/>
                <w:szCs w:val="24"/>
              </w:rPr>
              <m:t>5,1</m:t>
            </m:r>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2</m:t>
                </m:r>
              </m:e>
              <m:sup>
                <m:r>
                  <w:rPr>
                    <w:rStyle w:val="Bodytext2Italic"/>
                    <w:rFonts w:ascii="Cambria Math" w:hAnsi="Cambria Math"/>
                    <w:sz w:val="24"/>
                    <w:szCs w:val="24"/>
                  </w:rPr>
                  <m:t>2</m:t>
                </m:r>
              </m:sup>
            </m:sSup>
            <m:r>
              <w:rPr>
                <w:rStyle w:val="Bodytext2Italic"/>
                <w:rFonts w:ascii="Cambria Math" w:hAnsi="Cambria Math"/>
                <w:sz w:val="24"/>
                <w:szCs w:val="24"/>
              </w:rPr>
              <m:t>+27,0</m:t>
            </m:r>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4</m:t>
                </m:r>
              </m:e>
              <m:sup>
                <m:r>
                  <w:rPr>
                    <w:rStyle w:val="Bodytext2Italic"/>
                    <w:rFonts w:ascii="Cambria Math" w:hAnsi="Cambria Math"/>
                    <w:sz w:val="24"/>
                    <w:szCs w:val="24"/>
                  </w:rPr>
                  <m:t>2</m:t>
                </m:r>
              </m:sup>
            </m:sSup>
            <m:r>
              <w:rPr>
                <w:rStyle w:val="Bodytext2Italic"/>
                <w:rFonts w:ascii="Cambria Math" w:hAnsi="Cambria Math"/>
                <w:sz w:val="24"/>
                <w:szCs w:val="24"/>
              </w:rPr>
              <m:t>+6,0</m:t>
            </m:r>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3</m:t>
                </m:r>
              </m:e>
              <m:sup>
                <m:r>
                  <w:rPr>
                    <w:rStyle w:val="Bodytext2Italic"/>
                    <w:rFonts w:ascii="Cambria Math" w:hAnsi="Cambria Math"/>
                    <w:sz w:val="24"/>
                    <w:szCs w:val="24"/>
                  </w:rPr>
                  <m:t>2</m:t>
                </m:r>
              </m:sup>
            </m:sSup>
            <m:r>
              <w:rPr>
                <w:rStyle w:val="Bodytext2Italic"/>
                <w:rFonts w:ascii="Cambria Math" w:hAnsi="Cambria Math"/>
                <w:sz w:val="24"/>
                <w:szCs w:val="24"/>
              </w:rPr>
              <m:t>+32,4</m:t>
            </m:r>
            <m:sSup>
              <m:sSupPr>
                <m:ctrlPr>
                  <w:rPr>
                    <w:rStyle w:val="Bodytext2Italic"/>
                    <w:rFonts w:ascii="Cambria Math" w:hAnsi="Cambria Math"/>
                    <w:i w:val="0"/>
                    <w:iCs w:val="0"/>
                    <w:sz w:val="24"/>
                    <w:szCs w:val="24"/>
                  </w:rPr>
                </m:ctrlPr>
              </m:sSupPr>
              <m:e>
                <m:r>
                  <w:rPr>
                    <w:rStyle w:val="Bodytext2Italic"/>
                    <w:rFonts w:ascii="Cambria Math" w:hAnsi="Cambria Math"/>
                    <w:sz w:val="24"/>
                    <w:szCs w:val="24"/>
                  </w:rPr>
                  <m:t>6</m:t>
                </m:r>
              </m:e>
              <m:sup>
                <m:r>
                  <w:rPr>
                    <w:rStyle w:val="Bodytext2Italic"/>
                    <w:rFonts w:ascii="Cambria Math" w:hAnsi="Cambria Math"/>
                    <w:sz w:val="24"/>
                    <w:szCs w:val="24"/>
                  </w:rPr>
                  <m:t>2</m:t>
                </m:r>
              </m:sup>
            </m:sSup>
          </m:num>
          <m:den>
            <m:r>
              <w:rPr>
                <w:rStyle w:val="Bodytext2Italic"/>
                <w:rFonts w:ascii="Cambria Math" w:hAnsi="Cambria Math"/>
                <w:sz w:val="24"/>
                <w:szCs w:val="24"/>
              </w:rPr>
              <m:t>10</m:t>
            </m:r>
          </m:den>
        </m:f>
        <m:r>
          <w:rPr>
            <w:rStyle w:val="Bodytext2Italic"/>
            <w:rFonts w:ascii="Cambria Math" w:hAnsi="Cambria Math"/>
            <w:sz w:val="24"/>
            <w:szCs w:val="24"/>
          </w:rPr>
          <m:t>-124,8=59,94.</m:t>
        </m:r>
      </m:oMath>
    </w:p>
    <w:p w14:paraId="4827C377" w14:textId="77777777" w:rsidR="00B834A2" w:rsidRPr="001D1D71"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1D1D71">
        <w:rPr>
          <w:rFonts w:ascii="Sylfaen" w:hAnsi="Sylfaen"/>
          <w:i/>
          <w:sz w:val="24"/>
          <w:szCs w:val="24"/>
        </w:rPr>
        <w:t xml:space="preserve">Արդյունք = </w:t>
      </w:r>
      <m:oMath>
        <m:nary>
          <m:naryPr>
            <m:chr m:val="∑"/>
            <m:limLoc m:val="undOvr"/>
            <m:subHide m:val="1"/>
            <m:supHide m:val="1"/>
            <m:ctrlPr>
              <w:rPr>
                <w:rStyle w:val="Bodytext31Sylfaen9"/>
                <w:rFonts w:ascii="Cambria Math" w:hAnsi="Cambria Math"/>
                <w:i w:val="0"/>
                <w:iCs w:val="0"/>
                <w:sz w:val="24"/>
                <w:szCs w:val="24"/>
              </w:rPr>
            </m:ctrlPr>
          </m:naryPr>
          <m:sub/>
          <m:sup/>
          <m:e>
            <m:r>
              <w:rPr>
                <w:rStyle w:val="Bodytext31Sylfaen9"/>
                <w:rFonts w:ascii="Cambria Math" w:hAnsi="Cambria Math"/>
                <w:sz w:val="24"/>
                <w:szCs w:val="24"/>
              </w:rPr>
              <m:t>(</m:t>
            </m:r>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y</m:t>
                </m:r>
              </m:e>
              <m:sup>
                <m:r>
                  <w:rPr>
                    <w:rStyle w:val="Bodytext31Sylfaen9"/>
                    <w:rFonts w:ascii="Cambria Math" w:hAnsi="Cambria Math"/>
                    <w:sz w:val="24"/>
                    <w:szCs w:val="24"/>
                  </w:rPr>
                  <m:t>2</m:t>
                </m:r>
              </m:sup>
            </m:sSup>
            <m:r>
              <w:rPr>
                <w:rStyle w:val="Bodytext31Sylfaen9"/>
                <w:rFonts w:ascii="Cambria Math" w:hAnsi="Cambria Math"/>
                <w:sz w:val="24"/>
                <w:szCs w:val="24"/>
              </w:rPr>
              <m:t>)</m:t>
            </m:r>
          </m:e>
        </m:nary>
        <m:r>
          <w:rPr>
            <w:rStyle w:val="Bodytext31Sylfaen9"/>
            <w:rFonts w:ascii="Cambria Math" w:hAnsi="Cambria Math"/>
            <w:sz w:val="24"/>
            <w:szCs w:val="24"/>
          </w:rPr>
          <m:t>-K=192,03-124,8=67,23.</m:t>
        </m:r>
      </m:oMath>
    </w:p>
    <w:p w14:paraId="38829009" w14:textId="77777777" w:rsidR="00B834A2" w:rsidRPr="001D1D71"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1D1D71">
        <w:rPr>
          <w:rFonts w:ascii="Sylfaen" w:hAnsi="Sylfaen"/>
          <w:i/>
          <w:sz w:val="24"/>
          <w:szCs w:val="24"/>
        </w:rPr>
        <w:lastRenderedPageBreak/>
        <w:t>Շեղում = արդյունք - կիրառումներ = 67.23-59,94 = 7,29։</w:t>
      </w:r>
    </w:p>
    <w:p w14:paraId="03DC8104"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1D1D71">
        <w:rPr>
          <w:rStyle w:val="Bodytext31Sylfaen9"/>
          <w:i w:val="0"/>
          <w:sz w:val="24"/>
          <w:szCs w:val="24"/>
        </w:rPr>
        <w:t xml:space="preserve">Դիսպերսիաների տարբերությունների նշանակալիությունը ստուգվում է Ֆիշերի չափորոշչի միջոցով։ </w:t>
      </w:r>
      <w:r w:rsidRPr="00B834A2">
        <w:rPr>
          <w:rFonts w:ascii="Sylfaen" w:hAnsi="Sylfaen"/>
          <w:sz w:val="24"/>
          <w:szCs w:val="24"/>
        </w:rPr>
        <w:t>«Ռեգրեսիա» եւ «Ոչ զուգահեռություն» ցուցանիշների համար պահանջների կատարումը պարտադիր է։</w:t>
      </w:r>
      <w:r w:rsidRPr="00B834A2">
        <w:rPr>
          <w:rStyle w:val="Bodytext31Sylfaen9"/>
          <w:sz w:val="24"/>
          <w:szCs w:val="24"/>
        </w:rPr>
        <w:t xml:space="preserve"> </w:t>
      </w:r>
      <w:r w:rsidRPr="00B834A2">
        <w:rPr>
          <w:rFonts w:ascii="Sylfaen" w:hAnsi="Sylfaen"/>
          <w:sz w:val="24"/>
          <w:szCs w:val="24"/>
        </w:rPr>
        <w:t>Այդ պահանջները կայանում են նրանում, որ «Ռեգրեսիա»-ի համար Ֆիշերի չափորոշչի դիտարկվող արժեքը պետք</w:t>
      </w:r>
      <w:r w:rsidR="001D1D71" w:rsidRPr="001D1D71">
        <w:rPr>
          <w:rFonts w:ascii="Sylfaen" w:hAnsi="Sylfaen"/>
          <w:sz w:val="24"/>
          <w:szCs w:val="24"/>
        </w:rPr>
        <w:t> </w:t>
      </w:r>
      <w:r w:rsidRPr="00B834A2">
        <w:rPr>
          <w:rFonts w:ascii="Sylfaen" w:hAnsi="Sylfaen"/>
          <w:sz w:val="24"/>
          <w:szCs w:val="24"/>
        </w:rPr>
        <w:t xml:space="preserve">է մեծ լինի կրիտիկական արժեքից </w:t>
      </w:r>
      <w:r w:rsidRPr="00B834A2">
        <w:rPr>
          <w:rStyle w:val="Bodytext2Italic"/>
          <w:sz w:val="24"/>
          <w:szCs w:val="24"/>
        </w:rPr>
        <w:t>(р</w:t>
      </w:r>
      <w:r w:rsidRPr="00B834A2">
        <w:rPr>
          <w:rStyle w:val="Bodytext31Sylfaen9"/>
          <w:sz w:val="24"/>
          <w:szCs w:val="24"/>
        </w:rPr>
        <w:t xml:space="preserve"> = 0,01), </w:t>
      </w:r>
      <w:r w:rsidRPr="00B834A2">
        <w:rPr>
          <w:rFonts w:ascii="Sylfaen" w:hAnsi="Sylfaen"/>
          <w:sz w:val="24"/>
          <w:szCs w:val="24"/>
        </w:rPr>
        <w:t>իսկ «Ոչ զուգահեռության» համար՝ կրիտիկական արժեքից փոքր</w:t>
      </w:r>
      <w:r>
        <w:rPr>
          <w:rFonts w:ascii="Sylfaen" w:hAnsi="Sylfaen"/>
          <w:sz w:val="24"/>
          <w:szCs w:val="24"/>
        </w:rPr>
        <w:t xml:space="preserve"> </w:t>
      </w:r>
      <w:r w:rsidRPr="00B834A2">
        <w:rPr>
          <w:rStyle w:val="Bodytext2Italic"/>
          <w:sz w:val="24"/>
          <w:szCs w:val="24"/>
        </w:rPr>
        <w:t>(р</w:t>
      </w:r>
      <w:r w:rsidRPr="00B834A2">
        <w:rPr>
          <w:rStyle w:val="Bodytext31Sylfaen9"/>
          <w:sz w:val="24"/>
          <w:szCs w:val="24"/>
        </w:rPr>
        <w:t xml:space="preserve"> = 0,05)։</w:t>
      </w:r>
    </w:p>
    <w:p w14:paraId="3D4E1E77" w14:textId="77777777" w:rsidR="00B834A2" w:rsidRPr="001D1D71" w:rsidRDefault="00B834A2" w:rsidP="009A3F5E">
      <w:pPr>
        <w:pStyle w:val="Bodytext20"/>
        <w:shd w:val="clear" w:color="auto" w:fill="auto"/>
        <w:spacing w:before="0" w:after="160" w:line="360" w:lineRule="auto"/>
        <w:ind w:firstLine="567"/>
        <w:jc w:val="both"/>
        <w:rPr>
          <w:rStyle w:val="Bodytext31Sylfaen9"/>
          <w:spacing w:val="4"/>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w:t>
      </w:r>
      <w:r w:rsidRPr="00B834A2">
        <w:rPr>
          <w:rFonts w:ascii="Sylfaen" w:hAnsi="Sylfaen"/>
          <w:sz w:val="24"/>
          <w:szCs w:val="24"/>
        </w:rPr>
        <w:t xml:space="preserve">Ստացված արդյունքները համեմատվում են Ֆիշերի չափորոշչի աղյուսակային կրիտիկական արժեքների </w:t>
      </w:r>
      <w:r w:rsidRPr="001D1D71">
        <w:rPr>
          <w:rFonts w:ascii="Sylfaen" w:hAnsi="Sylfaen"/>
          <w:spacing w:val="4"/>
          <w:sz w:val="24"/>
          <w:szCs w:val="24"/>
        </w:rPr>
        <w:t>հետ (հավելվածի 3-րդ աղյուսակ)։</w:t>
      </w:r>
      <w:r w:rsidRPr="001D1D71">
        <w:rPr>
          <w:rStyle w:val="Bodytext31Sylfaen9"/>
          <w:spacing w:val="4"/>
          <w:sz w:val="24"/>
          <w:szCs w:val="24"/>
        </w:rPr>
        <w:t xml:space="preserve"> </w:t>
      </w:r>
      <w:r w:rsidRPr="001D1D71">
        <w:rPr>
          <w:rFonts w:ascii="Sylfaen" w:hAnsi="Sylfaen"/>
          <w:spacing w:val="4"/>
          <w:sz w:val="24"/>
          <w:szCs w:val="24"/>
        </w:rPr>
        <w:t xml:space="preserve">Ազատության աստիճանների թիվը` </w:t>
      </w:r>
      <w:r w:rsidRPr="001D1D71">
        <w:rPr>
          <w:rFonts w:ascii="Sylfaen" w:eastAsiaTheme="minorHAnsi" w:hAnsi="Sylfaen" w:cs="TimesNewRomanCyr-NormalItalic"/>
          <w:i/>
          <w:iCs/>
          <w:spacing w:val="4"/>
          <w:sz w:val="24"/>
          <w:szCs w:val="24"/>
          <w:lang w:bidi="ar-SA"/>
        </w:rPr>
        <w:t>f</w:t>
      </w:r>
      <w:r w:rsidRPr="001D1D71">
        <w:rPr>
          <w:rFonts w:ascii="Sylfaen" w:eastAsiaTheme="minorHAnsi" w:hAnsi="Sylfaen" w:cs="TimesNewRomanCyr"/>
          <w:spacing w:val="4"/>
          <w:sz w:val="24"/>
          <w:szCs w:val="24"/>
          <w:lang w:bidi="ar-SA"/>
        </w:rPr>
        <w:t>1</w:t>
      </w:r>
      <w:r w:rsidRPr="001D1D71">
        <w:rPr>
          <w:rFonts w:ascii="Sylfaen" w:hAnsi="Sylfaen"/>
          <w:spacing w:val="4"/>
          <w:sz w:val="24"/>
          <w:szCs w:val="24"/>
        </w:rPr>
        <w:t xml:space="preserve"> </w:t>
      </w:r>
      <w:r w:rsidRPr="001D1D71">
        <w:rPr>
          <w:rStyle w:val="Bodytext31Sylfaen9"/>
          <w:spacing w:val="4"/>
          <w:sz w:val="24"/>
          <w:szCs w:val="24"/>
        </w:rPr>
        <w:t xml:space="preserve">= 1, </w:t>
      </w:r>
      <w:r w:rsidRPr="001D1D71">
        <w:rPr>
          <w:rStyle w:val="Bodytext2Italic"/>
          <w:spacing w:val="4"/>
          <w:sz w:val="24"/>
          <w:szCs w:val="24"/>
        </w:rPr>
        <w:t xml:space="preserve">իսկ </w:t>
      </w:r>
      <w:r w:rsidRPr="001D1D71">
        <w:rPr>
          <w:rFonts w:ascii="Sylfaen" w:eastAsiaTheme="minorHAnsi" w:hAnsi="Sylfaen" w:cs="TimesNewRomanCyr-NormalItalic"/>
          <w:i/>
          <w:iCs/>
          <w:spacing w:val="4"/>
          <w:sz w:val="24"/>
          <w:szCs w:val="24"/>
          <w:lang w:bidi="ar-SA"/>
        </w:rPr>
        <w:t>f</w:t>
      </w:r>
      <w:r w:rsidRPr="001D1D71">
        <w:rPr>
          <w:rFonts w:ascii="Sylfaen" w:eastAsiaTheme="minorHAnsi" w:hAnsi="Sylfaen" w:cs="TimesNewRomanCyr"/>
          <w:spacing w:val="4"/>
          <w:sz w:val="24"/>
          <w:szCs w:val="24"/>
          <w:lang w:bidi="ar-SA"/>
        </w:rPr>
        <w:t>2</w:t>
      </w:r>
      <w:r w:rsidRPr="001D1D71">
        <w:rPr>
          <w:rStyle w:val="Bodytext2Italic"/>
          <w:spacing w:val="4"/>
          <w:sz w:val="24"/>
          <w:szCs w:val="24"/>
        </w:rPr>
        <w:t xml:space="preserve"> =</w:t>
      </w:r>
      <w:r w:rsidRPr="001D1D71">
        <w:rPr>
          <w:rStyle w:val="Bodytext31Sylfaen9"/>
          <w:spacing w:val="4"/>
          <w:sz w:val="24"/>
          <w:szCs w:val="24"/>
        </w:rPr>
        <w:t xml:space="preserve"> 36։</w:t>
      </w:r>
    </w:p>
    <w:p w14:paraId="78F394EB" w14:textId="77777777" w:rsidR="00DA2D5E" w:rsidRPr="00D35F34" w:rsidRDefault="00DA2D5E" w:rsidP="009A3F5E">
      <w:pPr>
        <w:pStyle w:val="Bodytext20"/>
        <w:shd w:val="clear" w:color="auto" w:fill="auto"/>
        <w:spacing w:before="0" w:after="160" w:line="360" w:lineRule="auto"/>
        <w:ind w:firstLine="567"/>
        <w:jc w:val="both"/>
        <w:rPr>
          <w:rStyle w:val="Bodytext310pt"/>
          <w:b w:val="0"/>
          <w:i w:val="0"/>
          <w:sz w:val="24"/>
          <w:szCs w:val="24"/>
        </w:rPr>
      </w:pPr>
    </w:p>
    <w:p w14:paraId="33A4E578"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1D1D71">
        <w:rPr>
          <w:rStyle w:val="Bodytext310pt"/>
          <w:b w:val="0"/>
          <w:i w:val="0"/>
          <w:sz w:val="24"/>
          <w:szCs w:val="24"/>
        </w:rPr>
        <w:t>Աղյուսակ 3.2.1-3.</w:t>
      </w:r>
      <w:r w:rsidRPr="00B834A2">
        <w:rPr>
          <w:rStyle w:val="Bodytext310pt"/>
          <w:sz w:val="24"/>
          <w:szCs w:val="24"/>
        </w:rPr>
        <w:t xml:space="preserve"> </w:t>
      </w:r>
      <w:r w:rsidRPr="00B834A2">
        <w:rPr>
          <w:rFonts w:ascii="Sylfaen" w:hAnsi="Sylfaen"/>
          <w:i/>
          <w:sz w:val="24"/>
          <w:szCs w:val="24"/>
        </w:rPr>
        <w:t>Արձագանքների գումարներն ու կոնտրաստները (երկու դեղաչափի օգտագործմամբ պատահական ընտրության կիրառում՝ խորիոնային գոնադոտրոպինի կենսաբանական ակտիվության օրինակով)</w:t>
      </w:r>
    </w:p>
    <w:tbl>
      <w:tblPr>
        <w:tblOverlap w:val="never"/>
        <w:tblW w:w="9427" w:type="dxa"/>
        <w:tblLayout w:type="fixed"/>
        <w:tblCellMar>
          <w:left w:w="10" w:type="dxa"/>
          <w:right w:w="10" w:type="dxa"/>
        </w:tblCellMar>
        <w:tblLook w:val="0000" w:firstRow="0" w:lastRow="0" w:firstColumn="0" w:lastColumn="0" w:noHBand="0" w:noVBand="0"/>
      </w:tblPr>
      <w:tblGrid>
        <w:gridCol w:w="2275"/>
        <w:gridCol w:w="2438"/>
        <w:gridCol w:w="2554"/>
        <w:gridCol w:w="1795"/>
        <w:gridCol w:w="365"/>
      </w:tblGrid>
      <w:tr w:rsidR="00B834A2" w:rsidRPr="001D1D71" w14:paraId="45CC9C09" w14:textId="77777777" w:rsidTr="00B834A2">
        <w:tc>
          <w:tcPr>
            <w:tcW w:w="2275" w:type="dxa"/>
            <w:tcBorders>
              <w:top w:val="single" w:sz="4" w:space="0" w:color="auto"/>
            </w:tcBorders>
            <w:shd w:val="clear" w:color="auto" w:fill="FFFFFF"/>
          </w:tcPr>
          <w:p w14:paraId="58040E39" w14:textId="77777777" w:rsidR="00B834A2" w:rsidRPr="001D1D71" w:rsidRDefault="00B834A2" w:rsidP="001D1D71">
            <w:pPr>
              <w:spacing w:after="120"/>
              <w:jc w:val="center"/>
              <w:rPr>
                <w:sz w:val="20"/>
                <w:szCs w:val="20"/>
              </w:rPr>
            </w:pPr>
          </w:p>
        </w:tc>
        <w:tc>
          <w:tcPr>
            <w:tcW w:w="2438" w:type="dxa"/>
            <w:tcBorders>
              <w:top w:val="single" w:sz="4" w:space="0" w:color="auto"/>
            </w:tcBorders>
            <w:shd w:val="clear" w:color="auto" w:fill="FFFFFF"/>
          </w:tcPr>
          <w:p w14:paraId="2EA2948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u w:val="single"/>
              </w:rPr>
              <w:t>S</w:t>
            </w:r>
            <w:r w:rsidRPr="001D1D71">
              <w:rPr>
                <w:rStyle w:val="Bodytext31Sylfaen9"/>
                <w:sz w:val="20"/>
                <w:szCs w:val="20"/>
              </w:rPr>
              <w:t xml:space="preserve"> ստանդարտ նմուշը</w:t>
            </w:r>
          </w:p>
        </w:tc>
        <w:tc>
          <w:tcPr>
            <w:tcW w:w="2554" w:type="dxa"/>
            <w:tcBorders>
              <w:top w:val="single" w:sz="4" w:space="0" w:color="auto"/>
            </w:tcBorders>
            <w:shd w:val="clear" w:color="auto" w:fill="FFFFFF"/>
          </w:tcPr>
          <w:p w14:paraId="2E2991A8"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Fonts w:ascii="Sylfaen" w:hAnsi="Sylfaen"/>
                <w:sz w:val="20"/>
                <w:szCs w:val="20"/>
                <w:u w:val="single"/>
                <w:lang w:val="en-GB"/>
              </w:rPr>
              <w:t>U</w:t>
            </w:r>
            <w:r w:rsidRPr="001D1D71">
              <w:rPr>
                <w:rFonts w:ascii="Sylfaen" w:hAnsi="Sylfaen"/>
                <w:sz w:val="20"/>
                <w:szCs w:val="20"/>
                <w:lang w:val="en-GB"/>
              </w:rPr>
              <w:t xml:space="preserve"> </w:t>
            </w:r>
            <w:r w:rsidRPr="001D1D71">
              <w:rPr>
                <w:rFonts w:ascii="Sylfaen" w:hAnsi="Sylfaen"/>
                <w:sz w:val="20"/>
                <w:szCs w:val="20"/>
              </w:rPr>
              <w:t>փորձարկվող նմուշը</w:t>
            </w:r>
          </w:p>
        </w:tc>
        <w:tc>
          <w:tcPr>
            <w:tcW w:w="1795" w:type="dxa"/>
            <w:tcBorders>
              <w:top w:val="single" w:sz="4" w:space="0" w:color="auto"/>
            </w:tcBorders>
            <w:shd w:val="clear" w:color="auto" w:fill="FFFFFF"/>
          </w:tcPr>
          <w:p w14:paraId="0BC5A8DC"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Գումարը</w:t>
            </w:r>
          </w:p>
        </w:tc>
        <w:tc>
          <w:tcPr>
            <w:tcW w:w="365" w:type="dxa"/>
            <w:tcBorders>
              <w:top w:val="single" w:sz="4" w:space="0" w:color="auto"/>
            </w:tcBorders>
            <w:shd w:val="clear" w:color="auto" w:fill="FFFFFF"/>
          </w:tcPr>
          <w:p w14:paraId="38EBB6B2" w14:textId="77777777" w:rsidR="00B834A2" w:rsidRPr="001D1D71" w:rsidRDefault="00B834A2" w:rsidP="001D1D71">
            <w:pPr>
              <w:spacing w:after="120"/>
              <w:ind w:firstLine="567"/>
              <w:jc w:val="both"/>
              <w:rPr>
                <w:sz w:val="20"/>
                <w:szCs w:val="20"/>
              </w:rPr>
            </w:pPr>
          </w:p>
        </w:tc>
      </w:tr>
      <w:tr w:rsidR="00B834A2" w:rsidRPr="001D1D71" w14:paraId="31541777" w14:textId="77777777" w:rsidTr="00B834A2">
        <w:tc>
          <w:tcPr>
            <w:tcW w:w="2275" w:type="dxa"/>
            <w:tcBorders>
              <w:top w:val="single" w:sz="4" w:space="0" w:color="auto"/>
            </w:tcBorders>
            <w:shd w:val="clear" w:color="auto" w:fill="FFFFFF"/>
          </w:tcPr>
          <w:p w14:paraId="558AE92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Փոքր դեղաչափը</w:t>
            </w:r>
          </w:p>
        </w:tc>
        <w:tc>
          <w:tcPr>
            <w:tcW w:w="2438" w:type="dxa"/>
            <w:tcBorders>
              <w:top w:val="single" w:sz="4" w:space="0" w:color="auto"/>
            </w:tcBorders>
            <w:shd w:val="clear" w:color="auto" w:fill="FFFFFF"/>
          </w:tcPr>
          <w:p w14:paraId="4D1F3583" w14:textId="77777777" w:rsidR="00B834A2" w:rsidRPr="001D1D71" w:rsidRDefault="00000000" w:rsidP="001D1D71">
            <w:pPr>
              <w:pStyle w:val="Bodytext20"/>
              <w:shd w:val="clear" w:color="auto" w:fill="auto"/>
              <w:spacing w:before="0" w:line="240" w:lineRule="auto"/>
              <w:rPr>
                <w:rFonts w:ascii="Sylfaen" w:hAnsi="Sylfaen" w:cs="Sylfaen"/>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S</m:t>
                    </m:r>
                  </m:e>
                  <m:sub>
                    <m:r>
                      <w:rPr>
                        <w:rStyle w:val="Bodytext31Sylfaen9"/>
                        <w:rFonts w:ascii="Cambria Math" w:hAnsi="Cambria Math"/>
                        <w:sz w:val="20"/>
                        <w:szCs w:val="20"/>
                      </w:rPr>
                      <m:t>1</m:t>
                    </m:r>
                  </m:sub>
                </m:sSub>
                <m:r>
                  <w:rPr>
                    <w:rStyle w:val="Bodytext31Sylfaen9"/>
                    <w:rFonts w:ascii="Cambria Math" w:hAnsi="Cambria Math"/>
                    <w:sz w:val="20"/>
                    <w:szCs w:val="20"/>
                  </w:rPr>
                  <m:t>=5,12</m:t>
                </m:r>
              </m:oMath>
            </m:oMathPara>
          </w:p>
        </w:tc>
        <w:tc>
          <w:tcPr>
            <w:tcW w:w="2554" w:type="dxa"/>
            <w:tcBorders>
              <w:top w:val="single" w:sz="4" w:space="0" w:color="auto"/>
            </w:tcBorders>
            <w:shd w:val="clear" w:color="auto" w:fill="FFFFFF"/>
          </w:tcPr>
          <w:p w14:paraId="4154D335" w14:textId="77777777" w:rsidR="00B834A2" w:rsidRPr="001D1D71" w:rsidRDefault="00000000" w:rsidP="001D1D71">
            <w:pPr>
              <w:pStyle w:val="Bodytext20"/>
              <w:shd w:val="clear" w:color="auto" w:fill="auto"/>
              <w:spacing w:before="0" w:line="240" w:lineRule="auto"/>
              <w:rPr>
                <w:rFonts w:ascii="Sylfaen" w:hAnsi="Sylfaen" w:cs="Sylfaen"/>
                <w:i/>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U</m:t>
                    </m:r>
                  </m:e>
                  <m:sub>
                    <m:r>
                      <w:rPr>
                        <w:rStyle w:val="Bodytext31Sylfaen9"/>
                        <w:rFonts w:ascii="Cambria Math" w:hAnsi="Cambria Math"/>
                        <w:sz w:val="20"/>
                        <w:szCs w:val="20"/>
                      </w:rPr>
                      <m:t>1</m:t>
                    </m:r>
                  </m:sub>
                </m:sSub>
                <m:r>
                  <w:rPr>
                    <w:rStyle w:val="Bodytext31Sylfaen9"/>
                    <w:rFonts w:ascii="Cambria Math" w:hAnsi="Cambria Math"/>
                    <w:sz w:val="20"/>
                    <w:szCs w:val="20"/>
                  </w:rPr>
                  <m:t>=6,03</m:t>
                </m:r>
              </m:oMath>
            </m:oMathPara>
          </w:p>
        </w:tc>
        <w:tc>
          <w:tcPr>
            <w:tcW w:w="1795" w:type="dxa"/>
            <w:tcBorders>
              <w:top w:val="single" w:sz="4" w:space="0" w:color="auto"/>
            </w:tcBorders>
            <w:shd w:val="clear" w:color="auto" w:fill="FFFFFF"/>
          </w:tcPr>
          <w:p w14:paraId="6E377251" w14:textId="77777777" w:rsidR="00B834A2" w:rsidRPr="001D1D71" w:rsidRDefault="00B834A2" w:rsidP="001D1D71">
            <w:pPr>
              <w:spacing w:after="120"/>
              <w:jc w:val="center"/>
              <w:rPr>
                <w:sz w:val="20"/>
                <w:szCs w:val="20"/>
              </w:rPr>
            </w:pPr>
          </w:p>
        </w:tc>
        <w:tc>
          <w:tcPr>
            <w:tcW w:w="365" w:type="dxa"/>
            <w:tcBorders>
              <w:top w:val="single" w:sz="4" w:space="0" w:color="auto"/>
            </w:tcBorders>
            <w:shd w:val="clear" w:color="auto" w:fill="FFFFFF"/>
          </w:tcPr>
          <w:p w14:paraId="60297400" w14:textId="77777777" w:rsidR="00B834A2" w:rsidRPr="001D1D71" w:rsidRDefault="00B834A2" w:rsidP="001D1D71">
            <w:pPr>
              <w:spacing w:after="120"/>
              <w:ind w:firstLine="567"/>
              <w:jc w:val="both"/>
              <w:rPr>
                <w:sz w:val="20"/>
                <w:szCs w:val="20"/>
              </w:rPr>
            </w:pPr>
          </w:p>
        </w:tc>
      </w:tr>
      <w:tr w:rsidR="00B834A2" w:rsidRPr="001D1D71" w14:paraId="0A689D65" w14:textId="77777777" w:rsidTr="00B834A2">
        <w:tc>
          <w:tcPr>
            <w:tcW w:w="2275" w:type="dxa"/>
            <w:shd w:val="clear" w:color="auto" w:fill="FFFFFF"/>
          </w:tcPr>
          <w:p w14:paraId="0215068D"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Մեծ դեղաչափը</w:t>
            </w:r>
          </w:p>
        </w:tc>
        <w:tc>
          <w:tcPr>
            <w:tcW w:w="2438" w:type="dxa"/>
            <w:shd w:val="clear" w:color="auto" w:fill="FFFFFF"/>
          </w:tcPr>
          <w:p w14:paraId="7BA90C49" w14:textId="77777777" w:rsidR="00B834A2" w:rsidRPr="001D1D71" w:rsidRDefault="00000000" w:rsidP="001D1D71">
            <w:pPr>
              <w:pStyle w:val="Bodytext20"/>
              <w:shd w:val="clear" w:color="auto" w:fill="auto"/>
              <w:spacing w:before="0" w:line="240" w:lineRule="auto"/>
              <w:rPr>
                <w:rFonts w:ascii="Sylfaen" w:hAnsi="Sylfaen" w:cs="Sylfaen"/>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S</m:t>
                    </m:r>
                  </m:e>
                  <m:sub>
                    <m:r>
                      <w:rPr>
                        <w:rStyle w:val="Bodytext31Sylfaen9"/>
                        <w:rFonts w:ascii="Cambria Math" w:hAnsi="Cambria Math"/>
                        <w:sz w:val="20"/>
                        <w:szCs w:val="20"/>
                      </w:rPr>
                      <m:t>2</m:t>
                    </m:r>
                  </m:sub>
                </m:sSub>
                <m:r>
                  <w:rPr>
                    <w:rStyle w:val="Bodytext31Sylfaen9"/>
                    <w:rFonts w:ascii="Cambria Math" w:hAnsi="Cambria Math"/>
                    <w:sz w:val="20"/>
                    <w:szCs w:val="20"/>
                  </w:rPr>
                  <m:t>=27,04</m:t>
                </m:r>
              </m:oMath>
            </m:oMathPara>
          </w:p>
        </w:tc>
        <w:tc>
          <w:tcPr>
            <w:tcW w:w="2554" w:type="dxa"/>
            <w:shd w:val="clear" w:color="auto" w:fill="FFFFFF"/>
          </w:tcPr>
          <w:p w14:paraId="1F494E26" w14:textId="77777777" w:rsidR="00B834A2" w:rsidRPr="001D1D71" w:rsidRDefault="00000000" w:rsidP="001D1D71">
            <w:pPr>
              <w:pStyle w:val="Bodytext20"/>
              <w:shd w:val="clear" w:color="auto" w:fill="auto"/>
              <w:spacing w:before="0" w:line="240" w:lineRule="auto"/>
              <w:rPr>
                <w:rFonts w:ascii="Sylfaen" w:hAnsi="Sylfaen" w:cs="Sylfaen"/>
                <w:i/>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U</m:t>
                    </m:r>
                  </m:e>
                  <m:sub>
                    <m:r>
                      <w:rPr>
                        <w:rStyle w:val="Bodytext31Sylfaen9"/>
                        <w:rFonts w:ascii="Cambria Math" w:hAnsi="Cambria Math"/>
                        <w:sz w:val="20"/>
                        <w:szCs w:val="20"/>
                      </w:rPr>
                      <m:t>2</m:t>
                    </m:r>
                  </m:sub>
                </m:sSub>
                <m:r>
                  <w:rPr>
                    <w:rStyle w:val="Bodytext31Sylfaen9"/>
                    <w:rFonts w:ascii="Cambria Math" w:hAnsi="Cambria Math"/>
                    <w:sz w:val="20"/>
                    <w:szCs w:val="20"/>
                  </w:rPr>
                  <m:t>=32,46</m:t>
                </m:r>
              </m:oMath>
            </m:oMathPara>
          </w:p>
        </w:tc>
        <w:tc>
          <w:tcPr>
            <w:tcW w:w="1795" w:type="dxa"/>
            <w:shd w:val="clear" w:color="auto" w:fill="FFFFFF"/>
          </w:tcPr>
          <w:p w14:paraId="5A47DB80" w14:textId="77777777" w:rsidR="00B834A2" w:rsidRPr="001D1D71" w:rsidRDefault="00B834A2" w:rsidP="001D1D71">
            <w:pPr>
              <w:spacing w:after="120"/>
              <w:jc w:val="center"/>
              <w:rPr>
                <w:sz w:val="20"/>
                <w:szCs w:val="20"/>
              </w:rPr>
            </w:pPr>
          </w:p>
        </w:tc>
        <w:tc>
          <w:tcPr>
            <w:tcW w:w="365" w:type="dxa"/>
            <w:shd w:val="clear" w:color="auto" w:fill="FFFFFF"/>
          </w:tcPr>
          <w:p w14:paraId="11BC9339" w14:textId="77777777" w:rsidR="00B834A2" w:rsidRPr="001D1D71" w:rsidRDefault="00B834A2" w:rsidP="001D1D71">
            <w:pPr>
              <w:spacing w:after="120"/>
              <w:ind w:firstLine="567"/>
              <w:jc w:val="both"/>
              <w:rPr>
                <w:sz w:val="20"/>
                <w:szCs w:val="20"/>
              </w:rPr>
            </w:pPr>
          </w:p>
        </w:tc>
      </w:tr>
      <w:tr w:rsidR="00B834A2" w:rsidRPr="001D1D71" w14:paraId="7B3E49C5" w14:textId="77777777" w:rsidTr="00B834A2">
        <w:tc>
          <w:tcPr>
            <w:tcW w:w="2275" w:type="dxa"/>
            <w:shd w:val="clear" w:color="auto" w:fill="FFFFFF"/>
          </w:tcPr>
          <w:p w14:paraId="6A6ADB3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Գումարը</w:t>
            </w:r>
          </w:p>
        </w:tc>
        <w:tc>
          <w:tcPr>
            <w:tcW w:w="2438" w:type="dxa"/>
            <w:shd w:val="clear" w:color="auto" w:fill="FFFFFF"/>
          </w:tcPr>
          <w:p w14:paraId="2067ED2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S=32,16</w:t>
            </w:r>
          </w:p>
        </w:tc>
        <w:tc>
          <w:tcPr>
            <w:tcW w:w="2554" w:type="dxa"/>
            <w:shd w:val="clear" w:color="auto" w:fill="FFFFFF"/>
          </w:tcPr>
          <w:p w14:paraId="4E01986E"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2Italic"/>
                <w:sz w:val="20"/>
                <w:szCs w:val="20"/>
              </w:rPr>
              <w:t>U=38,49</w:t>
            </w:r>
          </w:p>
        </w:tc>
        <w:tc>
          <w:tcPr>
            <w:tcW w:w="1795" w:type="dxa"/>
            <w:shd w:val="clear" w:color="auto" w:fill="FFFFFF"/>
          </w:tcPr>
          <w:p w14:paraId="2E4194B2" w14:textId="77777777" w:rsidR="00B834A2" w:rsidRPr="001D1D71" w:rsidRDefault="00000000" w:rsidP="001D1D71">
            <w:pPr>
              <w:pStyle w:val="Bodytext20"/>
              <w:shd w:val="clear" w:color="auto" w:fill="auto"/>
              <w:spacing w:before="0" w:line="240" w:lineRule="auto"/>
              <w:rPr>
                <w:rFonts w:ascii="Sylfaen" w:hAnsi="Sylfaen" w:cs="Sylfaen"/>
                <w:sz w:val="20"/>
                <w:szCs w:val="20"/>
              </w:rPr>
            </w:pPr>
            <m:oMathPara>
              <m:oMath>
                <m:nary>
                  <m:naryPr>
                    <m:chr m:val="∑"/>
                    <m:limLoc m:val="undOvr"/>
                    <m:subHide m:val="1"/>
                    <m:supHide m:val="1"/>
                    <m:ctrlPr>
                      <w:rPr>
                        <w:rStyle w:val="Bodytext31Sylfaen9"/>
                        <w:rFonts w:ascii="Cambria Math" w:hAnsi="Cambria Math"/>
                        <w:i w:val="0"/>
                        <w:iCs w:val="0"/>
                        <w:sz w:val="20"/>
                        <w:szCs w:val="20"/>
                      </w:rPr>
                    </m:ctrlPr>
                  </m:naryPr>
                  <m:sub/>
                  <m:sup/>
                  <m:e>
                    <m:r>
                      <w:rPr>
                        <w:rStyle w:val="Bodytext31Sylfaen9"/>
                        <w:rFonts w:ascii="Cambria Math" w:hAnsi="Cambria Math"/>
                        <w:sz w:val="20"/>
                        <w:szCs w:val="20"/>
                      </w:rPr>
                      <m:t>y</m:t>
                    </m:r>
                  </m:e>
                </m:nary>
                <m:r>
                  <w:rPr>
                    <w:rStyle w:val="Bodytext31Sylfaen9"/>
                    <w:rFonts w:ascii="Cambria Math" w:hAnsi="Cambria Math"/>
                    <w:sz w:val="20"/>
                    <w:szCs w:val="20"/>
                  </w:rPr>
                  <m:t>=70,65</m:t>
                </m:r>
              </m:oMath>
            </m:oMathPara>
          </w:p>
        </w:tc>
        <w:tc>
          <w:tcPr>
            <w:tcW w:w="365" w:type="dxa"/>
            <w:shd w:val="clear" w:color="auto" w:fill="FFFFFF"/>
          </w:tcPr>
          <w:p w14:paraId="24F23740" w14:textId="77777777" w:rsidR="00B834A2" w:rsidRPr="001D1D71" w:rsidRDefault="00B834A2" w:rsidP="001D1D71">
            <w:pPr>
              <w:spacing w:after="120"/>
              <w:ind w:firstLine="567"/>
              <w:jc w:val="both"/>
              <w:rPr>
                <w:sz w:val="20"/>
                <w:szCs w:val="20"/>
              </w:rPr>
            </w:pPr>
          </w:p>
        </w:tc>
      </w:tr>
      <w:tr w:rsidR="00B834A2" w:rsidRPr="001D1D71" w14:paraId="121E5389" w14:textId="77777777" w:rsidTr="00B834A2">
        <w:tc>
          <w:tcPr>
            <w:tcW w:w="2275" w:type="dxa"/>
            <w:tcBorders>
              <w:bottom w:val="single" w:sz="4" w:space="0" w:color="auto"/>
            </w:tcBorders>
            <w:shd w:val="clear" w:color="auto" w:fill="FFFFFF"/>
          </w:tcPr>
          <w:p w14:paraId="1FA0FB43"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Գծային կոնտրաստը</w:t>
            </w:r>
          </w:p>
        </w:tc>
        <w:tc>
          <w:tcPr>
            <w:tcW w:w="2438" w:type="dxa"/>
            <w:tcBorders>
              <w:bottom w:val="single" w:sz="4" w:space="0" w:color="auto"/>
            </w:tcBorders>
            <w:shd w:val="clear" w:color="auto" w:fill="FFFFFF"/>
          </w:tcPr>
          <w:p w14:paraId="7DD3F401" w14:textId="77777777" w:rsidR="00B834A2" w:rsidRPr="001D1D71" w:rsidRDefault="00000000" w:rsidP="001D1D71">
            <w:pPr>
              <w:pStyle w:val="Bodytext20"/>
              <w:shd w:val="clear" w:color="auto" w:fill="auto"/>
              <w:spacing w:before="0" w:line="240" w:lineRule="auto"/>
              <w:rPr>
                <w:rFonts w:ascii="Sylfaen" w:hAnsi="Sylfaen" w:cs="Sylfaen"/>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L</m:t>
                    </m:r>
                  </m:e>
                  <m:sub>
                    <m:r>
                      <w:rPr>
                        <w:rStyle w:val="Bodytext31Sylfaen9"/>
                        <w:rFonts w:ascii="Cambria Math" w:hAnsi="Cambria Math"/>
                        <w:sz w:val="20"/>
                        <w:szCs w:val="20"/>
                      </w:rPr>
                      <m:t>s</m:t>
                    </m:r>
                  </m:sub>
                </m:sSub>
                <m:r>
                  <w:rPr>
                    <w:rStyle w:val="Bodytext31Sylfaen9"/>
                    <w:rFonts w:ascii="Cambria Math" w:hAnsi="Cambria Math"/>
                    <w:sz w:val="20"/>
                    <w:szCs w:val="20"/>
                  </w:rPr>
                  <m:t>=</m:t>
                </m:r>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S</m:t>
                    </m:r>
                  </m:e>
                  <m:sub>
                    <m:r>
                      <w:rPr>
                        <w:rStyle w:val="Bodytext31Sylfaen9"/>
                        <w:rFonts w:ascii="Cambria Math" w:hAnsi="Cambria Math"/>
                        <w:sz w:val="20"/>
                        <w:szCs w:val="20"/>
                      </w:rPr>
                      <m:t>2</m:t>
                    </m:r>
                  </m:sub>
                </m:sSub>
                <m:r>
                  <w:rPr>
                    <w:rStyle w:val="Bodytext31Sylfaen9"/>
                    <w:rFonts w:ascii="Cambria Math" w:hAnsi="Cambria Math"/>
                    <w:sz w:val="20"/>
                    <w:szCs w:val="20"/>
                  </w:rPr>
                  <m:t>-</m:t>
                </m:r>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S</m:t>
                    </m:r>
                  </m:e>
                  <m:sub>
                    <m:r>
                      <w:rPr>
                        <w:rStyle w:val="Bodytext31Sylfaen9"/>
                        <w:rFonts w:ascii="Cambria Math" w:hAnsi="Cambria Math"/>
                        <w:sz w:val="20"/>
                        <w:szCs w:val="20"/>
                      </w:rPr>
                      <m:t>1</m:t>
                    </m:r>
                  </m:sub>
                </m:sSub>
                <m:r>
                  <w:rPr>
                    <w:rStyle w:val="Bodytext31Sylfaen9"/>
                    <w:rFonts w:ascii="Cambria Math" w:hAnsi="Cambria Math"/>
                    <w:sz w:val="20"/>
                    <w:szCs w:val="20"/>
                  </w:rPr>
                  <m:t>=21,92</m:t>
                </m:r>
              </m:oMath>
            </m:oMathPara>
          </w:p>
        </w:tc>
        <w:tc>
          <w:tcPr>
            <w:tcW w:w="2554" w:type="dxa"/>
            <w:tcBorders>
              <w:bottom w:val="single" w:sz="4" w:space="0" w:color="auto"/>
            </w:tcBorders>
            <w:shd w:val="clear" w:color="auto" w:fill="FFFFFF"/>
          </w:tcPr>
          <w:p w14:paraId="4744D32F" w14:textId="77777777" w:rsidR="00B834A2" w:rsidRPr="001D1D71" w:rsidRDefault="00000000" w:rsidP="001D1D71">
            <w:pPr>
              <w:pStyle w:val="Bodytext20"/>
              <w:shd w:val="clear" w:color="auto" w:fill="auto"/>
              <w:spacing w:before="0" w:line="240" w:lineRule="auto"/>
              <w:rPr>
                <w:rFonts w:ascii="Sylfaen" w:hAnsi="Sylfaen" w:cs="Sylfaen"/>
                <w:i/>
                <w:sz w:val="20"/>
                <w:szCs w:val="20"/>
              </w:rPr>
            </w:pPr>
            <m:oMathPara>
              <m:oMath>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L</m:t>
                    </m:r>
                  </m:e>
                  <m:sub>
                    <m:r>
                      <w:rPr>
                        <w:rStyle w:val="Bodytext31Sylfaen9"/>
                        <w:rFonts w:ascii="Cambria Math" w:hAnsi="Cambria Math"/>
                        <w:sz w:val="20"/>
                        <w:szCs w:val="20"/>
                      </w:rPr>
                      <m:t>U</m:t>
                    </m:r>
                  </m:sub>
                </m:sSub>
                <m:r>
                  <w:rPr>
                    <w:rStyle w:val="Bodytext31Sylfaen9"/>
                    <w:rFonts w:ascii="Cambria Math" w:hAnsi="Cambria Math"/>
                    <w:sz w:val="20"/>
                    <w:szCs w:val="20"/>
                  </w:rPr>
                  <m:t>=</m:t>
                </m:r>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U</m:t>
                    </m:r>
                  </m:e>
                  <m:sub>
                    <m:r>
                      <w:rPr>
                        <w:rStyle w:val="Bodytext31Sylfaen9"/>
                        <w:rFonts w:ascii="Cambria Math" w:hAnsi="Cambria Math"/>
                        <w:sz w:val="20"/>
                        <w:szCs w:val="20"/>
                      </w:rPr>
                      <m:t>2</m:t>
                    </m:r>
                  </m:sub>
                </m:sSub>
                <m:r>
                  <w:rPr>
                    <w:rStyle w:val="Bodytext31Sylfaen9"/>
                    <w:rFonts w:ascii="Cambria Math" w:hAnsi="Cambria Math"/>
                    <w:sz w:val="20"/>
                    <w:szCs w:val="20"/>
                  </w:rPr>
                  <m:t>-</m:t>
                </m:r>
                <m:sSub>
                  <m:sSubPr>
                    <m:ctrlPr>
                      <w:rPr>
                        <w:rStyle w:val="Bodytext31Sylfaen9"/>
                        <w:rFonts w:ascii="Cambria Math" w:hAnsi="Cambria Math"/>
                        <w:i w:val="0"/>
                        <w:iCs w:val="0"/>
                        <w:sz w:val="20"/>
                        <w:szCs w:val="20"/>
                      </w:rPr>
                    </m:ctrlPr>
                  </m:sSubPr>
                  <m:e>
                    <m:r>
                      <w:rPr>
                        <w:rStyle w:val="Bodytext31Sylfaen9"/>
                        <w:rFonts w:ascii="Cambria Math" w:hAnsi="Cambria Math"/>
                        <w:sz w:val="20"/>
                        <w:szCs w:val="20"/>
                      </w:rPr>
                      <m:t>U</m:t>
                    </m:r>
                  </m:e>
                  <m:sub>
                    <m:r>
                      <w:rPr>
                        <w:rStyle w:val="Bodytext31Sylfaen9"/>
                        <w:rFonts w:ascii="Cambria Math" w:hAnsi="Cambria Math"/>
                        <w:sz w:val="20"/>
                        <w:szCs w:val="20"/>
                      </w:rPr>
                      <m:t>1</m:t>
                    </m:r>
                  </m:sub>
                </m:sSub>
                <m:r>
                  <w:rPr>
                    <w:rStyle w:val="Bodytext31Sylfaen9"/>
                    <w:rFonts w:ascii="Cambria Math" w:hAnsi="Cambria Math"/>
                    <w:sz w:val="20"/>
                    <w:szCs w:val="20"/>
                  </w:rPr>
                  <m:t>=26,43</m:t>
                </m:r>
              </m:oMath>
            </m:oMathPara>
          </w:p>
        </w:tc>
        <w:tc>
          <w:tcPr>
            <w:tcW w:w="1795" w:type="dxa"/>
            <w:tcBorders>
              <w:bottom w:val="single" w:sz="4" w:space="0" w:color="auto"/>
            </w:tcBorders>
            <w:shd w:val="clear" w:color="auto" w:fill="FFFFFF"/>
          </w:tcPr>
          <w:p w14:paraId="36667FA0" w14:textId="77777777" w:rsidR="00B834A2" w:rsidRPr="001D1D71" w:rsidRDefault="00000000" w:rsidP="001D1D71">
            <w:pPr>
              <w:pStyle w:val="Bodytext20"/>
              <w:shd w:val="clear" w:color="auto" w:fill="auto"/>
              <w:spacing w:before="0" w:line="240" w:lineRule="auto"/>
              <w:rPr>
                <w:rFonts w:ascii="Sylfaen" w:hAnsi="Sylfaen" w:cs="Sylfaen"/>
                <w:i/>
                <w:sz w:val="20"/>
                <w:szCs w:val="20"/>
              </w:rPr>
            </w:pPr>
            <m:oMathPara>
              <m:oMath>
                <m:nary>
                  <m:naryPr>
                    <m:chr m:val="∑"/>
                    <m:limLoc m:val="undOvr"/>
                    <m:subHide m:val="1"/>
                    <m:supHide m:val="1"/>
                    <m:ctrlPr>
                      <w:rPr>
                        <w:rStyle w:val="Bodytext31Sylfaen9"/>
                        <w:rFonts w:ascii="Cambria Math" w:hAnsi="Cambria Math"/>
                        <w:i w:val="0"/>
                        <w:iCs w:val="0"/>
                        <w:sz w:val="20"/>
                        <w:szCs w:val="20"/>
                      </w:rPr>
                    </m:ctrlPr>
                  </m:naryPr>
                  <m:sub/>
                  <m:sup/>
                  <m:e>
                    <m:r>
                      <w:rPr>
                        <w:rStyle w:val="Bodytext31Sylfaen9"/>
                        <w:rFonts w:ascii="Cambria Math" w:hAnsi="Cambria Math"/>
                        <w:sz w:val="20"/>
                        <w:szCs w:val="20"/>
                      </w:rPr>
                      <m:t>L</m:t>
                    </m:r>
                  </m:e>
                </m:nary>
                <m:r>
                  <w:rPr>
                    <w:rStyle w:val="Bodytext31Sylfaen9"/>
                    <w:rFonts w:ascii="Cambria Math" w:hAnsi="Cambria Math"/>
                    <w:sz w:val="20"/>
                    <w:szCs w:val="20"/>
                  </w:rPr>
                  <m:t>=48,35</m:t>
                </m:r>
              </m:oMath>
            </m:oMathPara>
          </w:p>
        </w:tc>
        <w:tc>
          <w:tcPr>
            <w:tcW w:w="365" w:type="dxa"/>
            <w:tcBorders>
              <w:bottom w:val="single" w:sz="4" w:space="0" w:color="auto"/>
            </w:tcBorders>
            <w:shd w:val="clear" w:color="auto" w:fill="FFFFFF"/>
          </w:tcPr>
          <w:p w14:paraId="153AF6E4" w14:textId="77777777" w:rsidR="00B834A2" w:rsidRPr="001D1D71" w:rsidRDefault="00B834A2" w:rsidP="001D1D71">
            <w:pPr>
              <w:spacing w:after="120"/>
              <w:ind w:firstLine="567"/>
              <w:jc w:val="both"/>
              <w:rPr>
                <w:sz w:val="20"/>
                <w:szCs w:val="20"/>
              </w:rPr>
            </w:pPr>
          </w:p>
        </w:tc>
      </w:tr>
    </w:tbl>
    <w:p w14:paraId="307765EB" w14:textId="77777777" w:rsidR="00DA2D5E" w:rsidRDefault="00DA2D5E" w:rsidP="009A3F5E">
      <w:pPr>
        <w:pStyle w:val="Tablecaption140"/>
        <w:shd w:val="clear" w:color="auto" w:fill="auto"/>
        <w:spacing w:after="160" w:line="360" w:lineRule="auto"/>
        <w:ind w:firstLine="567"/>
        <w:jc w:val="both"/>
        <w:rPr>
          <w:rStyle w:val="Tablecaption14NotItalic"/>
          <w:rFonts w:ascii="Sylfaen" w:eastAsia="Sylfaen" w:hAnsi="Sylfaen"/>
          <w:sz w:val="24"/>
          <w:szCs w:val="24"/>
          <w:lang w:val="en-US"/>
        </w:rPr>
      </w:pPr>
    </w:p>
    <w:p w14:paraId="6F8DB638" w14:textId="77777777" w:rsidR="00DA2D5E" w:rsidRDefault="00DA2D5E">
      <w:pPr>
        <w:rPr>
          <w:rStyle w:val="Tablecaption14NotItalic"/>
          <w:rFonts w:ascii="Sylfaen" w:eastAsia="Sylfaen" w:hAnsi="Sylfaen"/>
          <w:i w:val="0"/>
          <w:iCs w:val="0"/>
          <w:sz w:val="24"/>
          <w:szCs w:val="24"/>
          <w:lang w:val="en-US"/>
        </w:rPr>
      </w:pPr>
      <w:r>
        <w:rPr>
          <w:rStyle w:val="Tablecaption14NotItalic"/>
          <w:rFonts w:ascii="Sylfaen" w:eastAsia="Sylfaen" w:hAnsi="Sylfaen"/>
          <w:sz w:val="24"/>
          <w:szCs w:val="24"/>
          <w:lang w:val="en-US"/>
        </w:rPr>
        <w:br w:type="page"/>
      </w:r>
    </w:p>
    <w:p w14:paraId="2A9477FC" w14:textId="77777777" w:rsidR="00B834A2" w:rsidRPr="00B834A2" w:rsidRDefault="00B834A2" w:rsidP="009A3F5E">
      <w:pPr>
        <w:pStyle w:val="Tablecaption140"/>
        <w:shd w:val="clear" w:color="auto" w:fill="auto"/>
        <w:spacing w:after="160" w:line="360" w:lineRule="auto"/>
        <w:ind w:firstLine="567"/>
        <w:jc w:val="both"/>
        <w:rPr>
          <w:rFonts w:ascii="Sylfaen" w:hAnsi="Sylfaen" w:cs="Sylfaen"/>
          <w:sz w:val="24"/>
          <w:szCs w:val="24"/>
        </w:rPr>
      </w:pPr>
      <w:r w:rsidRPr="00B834A2">
        <w:rPr>
          <w:rStyle w:val="Tablecaption14NotItalic"/>
          <w:rFonts w:ascii="Sylfaen" w:eastAsia="Sylfaen" w:hAnsi="Sylfaen"/>
          <w:sz w:val="24"/>
          <w:szCs w:val="24"/>
        </w:rPr>
        <w:lastRenderedPageBreak/>
        <w:t xml:space="preserve">Աղյուսակ 3.2.1-4. </w:t>
      </w:r>
      <w:r w:rsidRPr="00B834A2">
        <w:rPr>
          <w:rFonts w:ascii="Sylfaen" w:hAnsi="Sylfaen"/>
          <w:sz w:val="24"/>
          <w:szCs w:val="24"/>
        </w:rPr>
        <w:t>Դիսպերսիոն վերլուծության ամփոփիչ աղյուսակը (երկու դեղաչափի օգտագործմամբ պատահական ընտրության կիրառում՝ խորիոնային գոնադոտրոպինի կենսաբանական ակտիվության օրինակով)</w:t>
      </w:r>
    </w:p>
    <w:tbl>
      <w:tblPr>
        <w:tblOverlap w:val="never"/>
        <w:tblW w:w="9791" w:type="dxa"/>
        <w:tblLayout w:type="fixed"/>
        <w:tblCellMar>
          <w:left w:w="10" w:type="dxa"/>
          <w:right w:w="10" w:type="dxa"/>
        </w:tblCellMar>
        <w:tblLook w:val="0000" w:firstRow="0" w:lastRow="0" w:firstColumn="0" w:lastColumn="0" w:noHBand="0" w:noVBand="0"/>
      </w:tblPr>
      <w:tblGrid>
        <w:gridCol w:w="1838"/>
        <w:gridCol w:w="2328"/>
        <w:gridCol w:w="974"/>
        <w:gridCol w:w="1608"/>
        <w:gridCol w:w="1344"/>
        <w:gridCol w:w="1699"/>
      </w:tblGrid>
      <w:tr w:rsidR="001D1D71" w:rsidRPr="001D1D71" w14:paraId="47D35F99" w14:textId="77777777" w:rsidTr="001D1D71">
        <w:tc>
          <w:tcPr>
            <w:tcW w:w="1838" w:type="dxa"/>
            <w:vMerge w:val="restart"/>
            <w:tcBorders>
              <w:top w:val="single" w:sz="4" w:space="0" w:color="auto"/>
            </w:tcBorders>
            <w:shd w:val="clear" w:color="auto" w:fill="FFFFFF"/>
            <w:vAlign w:val="center"/>
          </w:tcPr>
          <w:p w14:paraId="1CCBB8EB"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Դիսպերսիայի աղբյուրը (ցուցանիշ)</w:t>
            </w:r>
          </w:p>
        </w:tc>
        <w:tc>
          <w:tcPr>
            <w:tcW w:w="2328" w:type="dxa"/>
            <w:vMerge w:val="restart"/>
            <w:tcBorders>
              <w:top w:val="single" w:sz="4" w:space="0" w:color="auto"/>
            </w:tcBorders>
            <w:shd w:val="clear" w:color="auto" w:fill="FFFFFF"/>
            <w:vAlign w:val="center"/>
          </w:tcPr>
          <w:p w14:paraId="4E81D5F4"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Fonts w:ascii="Sylfaen" w:hAnsi="Sylfaen"/>
                <w:sz w:val="20"/>
                <w:szCs w:val="20"/>
              </w:rPr>
              <w:t xml:space="preserve">Ազատության աստիճանների թիվը </w:t>
            </w:r>
            <w:r w:rsidRPr="001D1D71">
              <w:rPr>
                <w:rStyle w:val="Bodytext31Sylfaen9"/>
                <w:sz w:val="20"/>
                <w:szCs w:val="20"/>
              </w:rPr>
              <w:t>(f</w:t>
            </w:r>
            <w:r w:rsidRPr="001D1D71">
              <w:rPr>
                <w:rStyle w:val="Bodytext2Italic"/>
                <w:sz w:val="20"/>
                <w:szCs w:val="20"/>
              </w:rPr>
              <w:t>)</w:t>
            </w:r>
          </w:p>
        </w:tc>
        <w:tc>
          <w:tcPr>
            <w:tcW w:w="974" w:type="dxa"/>
            <w:vMerge w:val="restart"/>
            <w:tcBorders>
              <w:top w:val="single" w:sz="4" w:space="0" w:color="auto"/>
            </w:tcBorders>
            <w:shd w:val="clear" w:color="auto" w:fill="FFFFFF"/>
            <w:vAlign w:val="center"/>
          </w:tcPr>
          <w:p w14:paraId="65F9CF86"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Քառակուսիների գումարը</w:t>
            </w:r>
          </w:p>
        </w:tc>
        <w:tc>
          <w:tcPr>
            <w:tcW w:w="1608" w:type="dxa"/>
            <w:tcBorders>
              <w:top w:val="single" w:sz="4" w:space="0" w:color="auto"/>
            </w:tcBorders>
            <w:shd w:val="clear" w:color="auto" w:fill="FFFFFF"/>
            <w:vAlign w:val="center"/>
          </w:tcPr>
          <w:p w14:paraId="3B9B385F"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Միջին քառակուսին [Քառակուսիների գումարը]</w:t>
            </w:r>
          </w:p>
        </w:tc>
        <w:tc>
          <w:tcPr>
            <w:tcW w:w="1344" w:type="dxa"/>
            <w:vMerge w:val="restart"/>
            <w:tcBorders>
              <w:top w:val="single" w:sz="4" w:space="0" w:color="auto"/>
            </w:tcBorders>
            <w:shd w:val="clear" w:color="auto" w:fill="FFFFFF"/>
            <w:vAlign w:val="center"/>
          </w:tcPr>
          <w:p w14:paraId="4CCE758B"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Ֆիշերի չափորոշչի դիտարկվող արժեքը</w:t>
            </w:r>
          </w:p>
          <w:p w14:paraId="278037F4"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F</w:t>
            </w:r>
            <w:r w:rsidRPr="001D1D71">
              <w:rPr>
                <w:rStyle w:val="Bodytext31Sylfaen9"/>
                <w:sz w:val="20"/>
                <w:szCs w:val="20"/>
                <w:vertAlign w:val="subscript"/>
              </w:rPr>
              <w:t>դիտ.</w:t>
            </w:r>
          </w:p>
        </w:tc>
        <w:tc>
          <w:tcPr>
            <w:tcW w:w="1699" w:type="dxa"/>
            <w:vMerge w:val="restart"/>
            <w:tcBorders>
              <w:top w:val="single" w:sz="4" w:space="0" w:color="auto"/>
            </w:tcBorders>
            <w:shd w:val="clear" w:color="auto" w:fill="FFFFFF"/>
            <w:vAlign w:val="center"/>
          </w:tcPr>
          <w:p w14:paraId="7CEF590A"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Ֆիշերի չափորոշչի կրիտիկական արժեքը</w:t>
            </w:r>
            <w:r w:rsidRPr="001D1D71">
              <w:rPr>
                <w:rStyle w:val="Bodytext31Sylfaen9"/>
                <w:sz w:val="20"/>
                <w:szCs w:val="20"/>
              </w:rPr>
              <w:br/>
              <w:t>F</w:t>
            </w:r>
            <w:r w:rsidRPr="001D1D71">
              <w:rPr>
                <w:rStyle w:val="Bodytext31Sylfaen9"/>
                <w:sz w:val="20"/>
                <w:szCs w:val="20"/>
                <w:vertAlign w:val="subscript"/>
              </w:rPr>
              <w:t>կրիտիկ.</w:t>
            </w:r>
          </w:p>
          <w:p w14:paraId="0537C6D4"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p>
        </w:tc>
      </w:tr>
      <w:tr w:rsidR="001D1D71" w:rsidRPr="001D1D71" w14:paraId="6E4652D0" w14:textId="77777777" w:rsidTr="00B834A2">
        <w:tc>
          <w:tcPr>
            <w:tcW w:w="1838" w:type="dxa"/>
            <w:vMerge/>
            <w:shd w:val="clear" w:color="auto" w:fill="FFFFFF"/>
          </w:tcPr>
          <w:p w14:paraId="13074D59" w14:textId="77777777" w:rsidR="001D1D71" w:rsidRPr="001D1D71" w:rsidRDefault="001D1D71" w:rsidP="001D1D71">
            <w:pPr>
              <w:spacing w:after="120"/>
              <w:jc w:val="center"/>
              <w:rPr>
                <w:sz w:val="20"/>
                <w:szCs w:val="20"/>
              </w:rPr>
            </w:pPr>
          </w:p>
        </w:tc>
        <w:tc>
          <w:tcPr>
            <w:tcW w:w="2328" w:type="dxa"/>
            <w:vMerge/>
            <w:shd w:val="clear" w:color="auto" w:fill="FFFFFF"/>
          </w:tcPr>
          <w:p w14:paraId="1A2EFDDD" w14:textId="77777777" w:rsidR="001D1D71" w:rsidRPr="001D1D71" w:rsidRDefault="001D1D71" w:rsidP="001D1D71">
            <w:pPr>
              <w:spacing w:after="120"/>
              <w:jc w:val="center"/>
              <w:rPr>
                <w:sz w:val="20"/>
                <w:szCs w:val="20"/>
              </w:rPr>
            </w:pPr>
          </w:p>
        </w:tc>
        <w:tc>
          <w:tcPr>
            <w:tcW w:w="974" w:type="dxa"/>
            <w:vMerge/>
            <w:shd w:val="clear" w:color="auto" w:fill="FFFFFF"/>
          </w:tcPr>
          <w:p w14:paraId="17CDD969" w14:textId="77777777" w:rsidR="001D1D71" w:rsidRPr="001D1D71" w:rsidRDefault="001D1D71" w:rsidP="001D1D71">
            <w:pPr>
              <w:pStyle w:val="Bodytext20"/>
              <w:shd w:val="clear" w:color="auto" w:fill="auto"/>
              <w:spacing w:before="0" w:line="240" w:lineRule="auto"/>
              <w:rPr>
                <w:rFonts w:ascii="Sylfaen" w:hAnsi="Sylfaen" w:cs="Sylfaen"/>
                <w:sz w:val="20"/>
                <w:szCs w:val="20"/>
              </w:rPr>
            </w:pPr>
          </w:p>
        </w:tc>
        <w:tc>
          <w:tcPr>
            <w:tcW w:w="1608" w:type="dxa"/>
            <w:tcBorders>
              <w:top w:val="single" w:sz="4" w:space="0" w:color="auto"/>
            </w:tcBorders>
            <w:shd w:val="clear" w:color="auto" w:fill="FFFFFF"/>
          </w:tcPr>
          <w:p w14:paraId="4F1A479E" w14:textId="77777777" w:rsidR="001D1D71" w:rsidRPr="001D1D71" w:rsidRDefault="001D1D71" w:rsidP="001D1D71">
            <w:pPr>
              <w:pStyle w:val="Bodytext20"/>
              <w:shd w:val="clear" w:color="auto" w:fill="auto"/>
              <w:spacing w:before="0" w:line="240" w:lineRule="auto"/>
              <w:rPr>
                <w:rFonts w:ascii="Sylfaen" w:hAnsi="Sylfaen" w:cs="Sylfaen"/>
                <w:sz w:val="20"/>
                <w:szCs w:val="20"/>
                <w:lang w:val="en-GB"/>
              </w:rPr>
            </w:pPr>
            <w:r w:rsidRPr="001D1D71">
              <w:rPr>
                <w:rStyle w:val="Bodytext29pt"/>
                <w:sz w:val="20"/>
                <w:szCs w:val="20"/>
                <w:lang w:val="en-GB"/>
              </w:rPr>
              <w:t>f</w:t>
            </w:r>
          </w:p>
        </w:tc>
        <w:tc>
          <w:tcPr>
            <w:tcW w:w="1344" w:type="dxa"/>
            <w:vMerge/>
            <w:shd w:val="clear" w:color="auto" w:fill="FFFFFF"/>
          </w:tcPr>
          <w:p w14:paraId="3E3A5443" w14:textId="77777777" w:rsidR="001D1D71" w:rsidRPr="001D1D71" w:rsidRDefault="001D1D71" w:rsidP="001D1D71">
            <w:pPr>
              <w:spacing w:after="120"/>
              <w:jc w:val="center"/>
              <w:rPr>
                <w:sz w:val="20"/>
                <w:szCs w:val="20"/>
              </w:rPr>
            </w:pPr>
          </w:p>
        </w:tc>
        <w:tc>
          <w:tcPr>
            <w:tcW w:w="1699" w:type="dxa"/>
            <w:vMerge/>
            <w:shd w:val="clear" w:color="auto" w:fill="FFFFFF"/>
          </w:tcPr>
          <w:p w14:paraId="5EBF5C57" w14:textId="77777777" w:rsidR="001D1D71" w:rsidRPr="001D1D71" w:rsidRDefault="001D1D71" w:rsidP="001D1D71">
            <w:pPr>
              <w:spacing w:after="120"/>
              <w:jc w:val="center"/>
              <w:rPr>
                <w:sz w:val="20"/>
                <w:szCs w:val="20"/>
              </w:rPr>
            </w:pPr>
          </w:p>
        </w:tc>
      </w:tr>
      <w:tr w:rsidR="00B834A2" w:rsidRPr="001D1D71" w14:paraId="0D608835" w14:textId="77777777" w:rsidTr="001D1D71">
        <w:tc>
          <w:tcPr>
            <w:tcW w:w="1838" w:type="dxa"/>
            <w:tcBorders>
              <w:top w:val="single" w:sz="4" w:space="0" w:color="auto"/>
            </w:tcBorders>
            <w:shd w:val="clear" w:color="auto" w:fill="FFFFFF"/>
          </w:tcPr>
          <w:p w14:paraId="1AE3F445"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Պատրաստուկներ</w:t>
            </w:r>
          </w:p>
        </w:tc>
        <w:tc>
          <w:tcPr>
            <w:tcW w:w="2328" w:type="dxa"/>
            <w:tcBorders>
              <w:top w:val="single" w:sz="4" w:space="0" w:color="auto"/>
            </w:tcBorders>
            <w:shd w:val="clear" w:color="auto" w:fill="FFFFFF"/>
          </w:tcPr>
          <w:p w14:paraId="361EB48A"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w:t>
            </w:r>
          </w:p>
        </w:tc>
        <w:tc>
          <w:tcPr>
            <w:tcW w:w="974" w:type="dxa"/>
            <w:tcBorders>
              <w:top w:val="single" w:sz="4" w:space="0" w:color="auto"/>
            </w:tcBorders>
            <w:shd w:val="clear" w:color="auto" w:fill="FFFFFF"/>
          </w:tcPr>
          <w:p w14:paraId="5300D1D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0,99</w:t>
            </w:r>
          </w:p>
        </w:tc>
        <w:tc>
          <w:tcPr>
            <w:tcW w:w="1608" w:type="dxa"/>
            <w:tcBorders>
              <w:top w:val="single" w:sz="4" w:space="0" w:color="auto"/>
            </w:tcBorders>
            <w:shd w:val="clear" w:color="auto" w:fill="FFFFFF"/>
          </w:tcPr>
          <w:p w14:paraId="617E4E43"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0,99</w:t>
            </w:r>
          </w:p>
        </w:tc>
        <w:tc>
          <w:tcPr>
            <w:tcW w:w="1344" w:type="dxa"/>
            <w:tcBorders>
              <w:top w:val="single" w:sz="4" w:space="0" w:color="auto"/>
            </w:tcBorders>
            <w:shd w:val="clear" w:color="auto" w:fill="FFFFFF"/>
          </w:tcPr>
          <w:p w14:paraId="458D4C89" w14:textId="77777777" w:rsidR="00B834A2" w:rsidRPr="001D1D71" w:rsidRDefault="00B834A2" w:rsidP="001D1D71">
            <w:pPr>
              <w:spacing w:after="120"/>
              <w:jc w:val="center"/>
              <w:rPr>
                <w:sz w:val="20"/>
                <w:szCs w:val="20"/>
              </w:rPr>
            </w:pPr>
          </w:p>
        </w:tc>
        <w:tc>
          <w:tcPr>
            <w:tcW w:w="1699" w:type="dxa"/>
            <w:tcBorders>
              <w:top w:val="single" w:sz="4" w:space="0" w:color="auto"/>
            </w:tcBorders>
            <w:shd w:val="clear" w:color="auto" w:fill="FFFFFF"/>
          </w:tcPr>
          <w:p w14:paraId="58BE08B2" w14:textId="77777777" w:rsidR="00B834A2" w:rsidRPr="001D1D71" w:rsidRDefault="00B834A2" w:rsidP="001D1D71">
            <w:pPr>
              <w:spacing w:after="120"/>
              <w:jc w:val="center"/>
              <w:rPr>
                <w:sz w:val="20"/>
                <w:szCs w:val="20"/>
              </w:rPr>
            </w:pPr>
          </w:p>
        </w:tc>
      </w:tr>
      <w:tr w:rsidR="00B834A2" w:rsidRPr="001D1D71" w14:paraId="0D00918C" w14:textId="77777777" w:rsidTr="001D1D71">
        <w:tc>
          <w:tcPr>
            <w:tcW w:w="1838" w:type="dxa"/>
            <w:shd w:val="clear" w:color="auto" w:fill="FFFFFF"/>
          </w:tcPr>
          <w:p w14:paraId="4B56102D"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Ռեգրեսիա</w:t>
            </w:r>
          </w:p>
        </w:tc>
        <w:tc>
          <w:tcPr>
            <w:tcW w:w="2328" w:type="dxa"/>
            <w:shd w:val="clear" w:color="auto" w:fill="FFFFFF"/>
          </w:tcPr>
          <w:p w14:paraId="3FB76DA8"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w:t>
            </w:r>
          </w:p>
        </w:tc>
        <w:tc>
          <w:tcPr>
            <w:tcW w:w="974" w:type="dxa"/>
            <w:shd w:val="clear" w:color="auto" w:fill="FFFFFF"/>
          </w:tcPr>
          <w:p w14:paraId="7AF6A1AA"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58,44</w:t>
            </w:r>
          </w:p>
        </w:tc>
        <w:tc>
          <w:tcPr>
            <w:tcW w:w="1608" w:type="dxa"/>
            <w:shd w:val="clear" w:color="auto" w:fill="FFFFFF"/>
          </w:tcPr>
          <w:p w14:paraId="62A4FC94"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58,44</w:t>
            </w:r>
          </w:p>
        </w:tc>
        <w:tc>
          <w:tcPr>
            <w:tcW w:w="1344" w:type="dxa"/>
            <w:shd w:val="clear" w:color="auto" w:fill="FFFFFF"/>
          </w:tcPr>
          <w:p w14:paraId="6E7AA37D"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292,2</w:t>
            </w:r>
          </w:p>
        </w:tc>
        <w:tc>
          <w:tcPr>
            <w:tcW w:w="1699" w:type="dxa"/>
            <w:shd w:val="clear" w:color="auto" w:fill="FFFFFF"/>
          </w:tcPr>
          <w:p w14:paraId="71DED790"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&gt;7,40 (p = 0,01)</w:t>
            </w:r>
          </w:p>
        </w:tc>
      </w:tr>
      <w:tr w:rsidR="00B834A2" w:rsidRPr="001D1D71" w14:paraId="39BEDE26" w14:textId="77777777" w:rsidTr="001D1D71">
        <w:tc>
          <w:tcPr>
            <w:tcW w:w="1838" w:type="dxa"/>
            <w:shd w:val="clear" w:color="auto" w:fill="FFFFFF"/>
          </w:tcPr>
          <w:p w14:paraId="69DC606E"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Ոչ զուգահեռություն</w:t>
            </w:r>
          </w:p>
        </w:tc>
        <w:tc>
          <w:tcPr>
            <w:tcW w:w="2328" w:type="dxa"/>
            <w:shd w:val="clear" w:color="auto" w:fill="FFFFFF"/>
          </w:tcPr>
          <w:p w14:paraId="466C3B1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w:t>
            </w:r>
          </w:p>
        </w:tc>
        <w:tc>
          <w:tcPr>
            <w:tcW w:w="974" w:type="dxa"/>
            <w:shd w:val="clear" w:color="auto" w:fill="FFFFFF"/>
          </w:tcPr>
          <w:p w14:paraId="4124E1F6"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0,51</w:t>
            </w:r>
          </w:p>
        </w:tc>
        <w:tc>
          <w:tcPr>
            <w:tcW w:w="1608" w:type="dxa"/>
            <w:shd w:val="clear" w:color="auto" w:fill="FFFFFF"/>
          </w:tcPr>
          <w:p w14:paraId="3EFD8211"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0,51</w:t>
            </w:r>
          </w:p>
        </w:tc>
        <w:tc>
          <w:tcPr>
            <w:tcW w:w="1344" w:type="dxa"/>
            <w:shd w:val="clear" w:color="auto" w:fill="FFFFFF"/>
          </w:tcPr>
          <w:p w14:paraId="1E73AF01"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2,55</w:t>
            </w:r>
          </w:p>
        </w:tc>
        <w:tc>
          <w:tcPr>
            <w:tcW w:w="1699" w:type="dxa"/>
            <w:shd w:val="clear" w:color="auto" w:fill="FFFFFF"/>
          </w:tcPr>
          <w:p w14:paraId="570D7142"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 xml:space="preserve">&lt;4,11 </w:t>
            </w:r>
            <w:r w:rsidRPr="001D1D71">
              <w:rPr>
                <w:rStyle w:val="Bodytext2Italic"/>
                <w:sz w:val="20"/>
                <w:szCs w:val="20"/>
              </w:rPr>
              <w:t>(р</w:t>
            </w:r>
            <w:r w:rsidRPr="001D1D71">
              <w:rPr>
                <w:rStyle w:val="Bodytext31Sylfaen9"/>
                <w:sz w:val="20"/>
                <w:szCs w:val="20"/>
              </w:rPr>
              <w:t xml:space="preserve"> = 0,05)</w:t>
            </w:r>
          </w:p>
        </w:tc>
      </w:tr>
      <w:tr w:rsidR="00B834A2" w:rsidRPr="001D1D71" w14:paraId="7E7995B5" w14:textId="77777777" w:rsidTr="001D1D71">
        <w:tc>
          <w:tcPr>
            <w:tcW w:w="1838" w:type="dxa"/>
            <w:shd w:val="clear" w:color="auto" w:fill="FFFFFF"/>
          </w:tcPr>
          <w:p w14:paraId="6A5D243B"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Կիրառումներ</w:t>
            </w:r>
          </w:p>
        </w:tc>
        <w:tc>
          <w:tcPr>
            <w:tcW w:w="2328" w:type="dxa"/>
            <w:shd w:val="clear" w:color="auto" w:fill="FFFFFF"/>
          </w:tcPr>
          <w:p w14:paraId="1243CFC4" w14:textId="77777777" w:rsidR="00B834A2" w:rsidRPr="001D1D71" w:rsidRDefault="00B834A2" w:rsidP="001D1D71">
            <w:pPr>
              <w:pStyle w:val="Bodytext20"/>
              <w:shd w:val="clear" w:color="auto" w:fill="auto"/>
              <w:spacing w:before="0" w:line="240" w:lineRule="auto"/>
              <w:ind w:firstLine="567"/>
              <w:jc w:val="both"/>
              <w:rPr>
                <w:rFonts w:ascii="Sylfaen" w:hAnsi="Sylfaen" w:cs="Sylfaen"/>
                <w:sz w:val="20"/>
                <w:szCs w:val="20"/>
              </w:rPr>
            </w:pPr>
            <w:r w:rsidRPr="001D1D71">
              <w:rPr>
                <w:rStyle w:val="Bodytext2Italic"/>
                <w:sz w:val="20"/>
                <w:szCs w:val="20"/>
              </w:rPr>
              <w:t>к-</w:t>
            </w:r>
            <w:r w:rsidRPr="001D1D71">
              <w:rPr>
                <w:rStyle w:val="Bodytext31Sylfaen9"/>
                <w:sz w:val="20"/>
                <w:szCs w:val="20"/>
              </w:rPr>
              <w:t xml:space="preserve">1 = 4 </w:t>
            </w:r>
            <w:r w:rsidR="009217DE" w:rsidRPr="001D1D71">
              <w:rPr>
                <w:rStyle w:val="Bodytext31Sylfaen9"/>
                <w:sz w:val="20"/>
                <w:szCs w:val="20"/>
              </w:rPr>
              <w:t>-</w:t>
            </w:r>
            <w:r w:rsidRPr="001D1D71">
              <w:rPr>
                <w:rStyle w:val="Bodytext31Sylfaen9"/>
                <w:sz w:val="20"/>
                <w:szCs w:val="20"/>
              </w:rPr>
              <w:t xml:space="preserve">1 = 3 = </w:t>
            </w:r>
            <w:r w:rsidRPr="001D1D71">
              <w:rPr>
                <w:rFonts w:ascii="Sylfaen" w:eastAsiaTheme="minorHAnsi" w:hAnsi="Sylfaen" w:cs="TimesNewRomanCyr-NormalItalic"/>
                <w:i/>
                <w:iCs/>
                <w:sz w:val="20"/>
                <w:szCs w:val="20"/>
                <w:lang w:val="en-GB" w:bidi="ar-SA"/>
              </w:rPr>
              <w:t>fn</w:t>
            </w:r>
            <w:r w:rsidRPr="001D1D71">
              <w:rPr>
                <w:rFonts w:ascii="Sylfaen" w:eastAsiaTheme="minorHAnsi" w:hAnsi="Sylfaen" w:cs="TimesNewRomanCyr"/>
                <w:sz w:val="20"/>
                <w:szCs w:val="20"/>
                <w:lang w:val="en-GB" w:bidi="ar-SA"/>
              </w:rPr>
              <w:t>.</w:t>
            </w:r>
          </w:p>
        </w:tc>
        <w:tc>
          <w:tcPr>
            <w:tcW w:w="974" w:type="dxa"/>
            <w:shd w:val="clear" w:color="auto" w:fill="FFFFFF"/>
          </w:tcPr>
          <w:p w14:paraId="4E864DFF"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59,94</w:t>
            </w:r>
          </w:p>
        </w:tc>
        <w:tc>
          <w:tcPr>
            <w:tcW w:w="1608" w:type="dxa"/>
            <w:shd w:val="clear" w:color="auto" w:fill="FFFFFF"/>
          </w:tcPr>
          <w:p w14:paraId="116B0788"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19,98</w:t>
            </w:r>
          </w:p>
        </w:tc>
        <w:tc>
          <w:tcPr>
            <w:tcW w:w="1344" w:type="dxa"/>
            <w:shd w:val="clear" w:color="auto" w:fill="FFFFFF"/>
          </w:tcPr>
          <w:p w14:paraId="520CA25B" w14:textId="77777777" w:rsidR="00B834A2" w:rsidRPr="001D1D71" w:rsidRDefault="00B834A2" w:rsidP="001D1D71">
            <w:pPr>
              <w:spacing w:after="120"/>
              <w:jc w:val="center"/>
              <w:rPr>
                <w:sz w:val="20"/>
                <w:szCs w:val="20"/>
              </w:rPr>
            </w:pPr>
          </w:p>
        </w:tc>
        <w:tc>
          <w:tcPr>
            <w:tcW w:w="1699" w:type="dxa"/>
            <w:shd w:val="clear" w:color="auto" w:fill="FFFFFF"/>
          </w:tcPr>
          <w:p w14:paraId="49BD4E81" w14:textId="77777777" w:rsidR="00B834A2" w:rsidRPr="001D1D71" w:rsidRDefault="00B834A2" w:rsidP="001D1D71">
            <w:pPr>
              <w:spacing w:after="120"/>
              <w:jc w:val="center"/>
              <w:rPr>
                <w:sz w:val="20"/>
                <w:szCs w:val="20"/>
              </w:rPr>
            </w:pPr>
          </w:p>
        </w:tc>
      </w:tr>
      <w:tr w:rsidR="00B834A2" w:rsidRPr="001D1D71" w14:paraId="2D6E9E84" w14:textId="77777777" w:rsidTr="001D1D71">
        <w:tc>
          <w:tcPr>
            <w:tcW w:w="1838" w:type="dxa"/>
            <w:shd w:val="clear" w:color="auto" w:fill="FFFFFF"/>
          </w:tcPr>
          <w:p w14:paraId="197141B5"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Շեղում</w:t>
            </w:r>
          </w:p>
        </w:tc>
        <w:tc>
          <w:tcPr>
            <w:tcW w:w="2328" w:type="dxa"/>
            <w:shd w:val="clear" w:color="auto" w:fill="FFFFFF"/>
          </w:tcPr>
          <w:p w14:paraId="28F28776" w14:textId="77777777" w:rsidR="00B834A2" w:rsidRPr="001D1D71" w:rsidRDefault="00B834A2" w:rsidP="001D1D71">
            <w:pPr>
              <w:pStyle w:val="Bodytext20"/>
              <w:shd w:val="clear" w:color="auto" w:fill="auto"/>
              <w:spacing w:before="0" w:line="240" w:lineRule="auto"/>
              <w:ind w:firstLine="567"/>
              <w:jc w:val="both"/>
              <w:rPr>
                <w:rFonts w:ascii="Sylfaen" w:hAnsi="Sylfaen" w:cs="Sylfaen"/>
                <w:sz w:val="20"/>
                <w:szCs w:val="20"/>
              </w:rPr>
            </w:pPr>
            <w:r w:rsidRPr="001D1D71">
              <w:rPr>
                <w:rFonts w:ascii="Sylfaen" w:eastAsiaTheme="minorHAnsi" w:hAnsi="Sylfaen" w:cs="TimesNewRomanCyr-NormalItalic"/>
                <w:i/>
                <w:iCs/>
                <w:sz w:val="20"/>
                <w:szCs w:val="20"/>
                <w:lang w:val="en-GB" w:bidi="ar-SA"/>
              </w:rPr>
              <w:t>N</w:t>
            </w:r>
            <w:r w:rsidR="001D1D71" w:rsidRPr="001D1D71">
              <w:rPr>
                <w:rFonts w:ascii="Sylfaen" w:eastAsiaTheme="minorHAnsi" w:hAnsi="Sylfaen" w:cs="Symbol"/>
                <w:i/>
                <w:sz w:val="20"/>
                <w:szCs w:val="20"/>
                <w:lang w:val="en-US" w:bidi="ar-SA"/>
              </w:rPr>
              <w:t>-</w:t>
            </w:r>
            <w:r w:rsidRPr="001D1D71">
              <w:rPr>
                <w:rFonts w:ascii="Sylfaen" w:eastAsiaTheme="minorHAnsi" w:hAnsi="Sylfaen" w:cs="TimesNewRomanCyr"/>
                <w:i/>
                <w:sz w:val="20"/>
                <w:szCs w:val="20"/>
                <w:lang w:val="en-GB" w:bidi="ar-SA"/>
              </w:rPr>
              <w:t>1</w:t>
            </w:r>
            <w:r w:rsidR="001D1D71" w:rsidRPr="001D1D71">
              <w:rPr>
                <w:rFonts w:ascii="Sylfaen" w:eastAsiaTheme="minorHAnsi" w:hAnsi="Sylfaen" w:cs="Symbol"/>
                <w:i/>
                <w:sz w:val="20"/>
                <w:szCs w:val="20"/>
                <w:lang w:val="en-US" w:bidi="ar-SA"/>
              </w:rPr>
              <w:t>-</w:t>
            </w:r>
            <w:proofErr w:type="spellStart"/>
            <w:r w:rsidRPr="001D1D71">
              <w:rPr>
                <w:rFonts w:ascii="Sylfaen" w:eastAsiaTheme="minorHAnsi" w:hAnsi="Sylfaen" w:cs="TimesNewRomanCyr-NormalItalic"/>
                <w:i/>
                <w:iCs/>
                <w:sz w:val="20"/>
                <w:szCs w:val="20"/>
                <w:lang w:val="en-GB" w:bidi="ar-SA"/>
              </w:rPr>
              <w:t>f</w:t>
            </w:r>
            <w:r w:rsidRPr="001D1D71">
              <w:rPr>
                <w:rFonts w:ascii="Sylfaen" w:eastAsiaTheme="minorHAnsi" w:hAnsi="Sylfaen" w:cs="TimesNewRomanCyr-NormalItalic"/>
                <w:i/>
                <w:iCs/>
                <w:sz w:val="20"/>
                <w:szCs w:val="20"/>
                <w:vertAlign w:val="subscript"/>
                <w:lang w:val="en-GB" w:bidi="ar-SA"/>
              </w:rPr>
              <w:t>n</w:t>
            </w:r>
            <w:proofErr w:type="spellEnd"/>
            <w:r w:rsidR="001D1D71">
              <w:rPr>
                <w:rFonts w:ascii="Sylfaen" w:eastAsiaTheme="minorHAnsi" w:hAnsi="Sylfaen" w:cs="Symbol"/>
                <w:i/>
                <w:sz w:val="20"/>
                <w:szCs w:val="20"/>
                <w:lang w:val="en-US" w:bidi="ar-SA"/>
              </w:rPr>
              <w:t>-</w:t>
            </w:r>
            <w:r w:rsidRPr="001D1D71">
              <w:rPr>
                <w:rFonts w:ascii="Sylfaen" w:eastAsiaTheme="minorHAnsi" w:hAnsi="Sylfaen" w:cs="TimesNewRomanCyr-NormalItalic"/>
                <w:i/>
                <w:iCs/>
                <w:sz w:val="20"/>
                <w:szCs w:val="20"/>
                <w:lang w:val="en-GB" w:bidi="ar-SA"/>
              </w:rPr>
              <w:t>m</w:t>
            </w:r>
            <w:r w:rsidRPr="001D1D71">
              <w:rPr>
                <w:rStyle w:val="Bodytext2Italic"/>
                <w:i w:val="0"/>
                <w:sz w:val="20"/>
                <w:szCs w:val="20"/>
              </w:rPr>
              <w:t>=</w:t>
            </w:r>
            <w:r w:rsidRPr="001D1D71">
              <w:rPr>
                <w:rStyle w:val="Bodytext31Sylfaen9"/>
                <w:i w:val="0"/>
                <w:sz w:val="20"/>
                <w:szCs w:val="20"/>
              </w:rPr>
              <w:t xml:space="preserve"> </w:t>
            </w:r>
            <w:r w:rsidRPr="001D1D71">
              <w:rPr>
                <w:rStyle w:val="Bodytext31Sylfaen9"/>
                <w:sz w:val="20"/>
                <w:szCs w:val="20"/>
              </w:rPr>
              <w:t>39-3 = 36</w:t>
            </w:r>
          </w:p>
        </w:tc>
        <w:tc>
          <w:tcPr>
            <w:tcW w:w="974" w:type="dxa"/>
            <w:shd w:val="clear" w:color="auto" w:fill="FFFFFF"/>
          </w:tcPr>
          <w:p w14:paraId="7B437103"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7,29</w:t>
            </w:r>
          </w:p>
        </w:tc>
        <w:tc>
          <w:tcPr>
            <w:tcW w:w="1608" w:type="dxa"/>
            <w:shd w:val="clear" w:color="auto" w:fill="FFFFFF"/>
          </w:tcPr>
          <w:p w14:paraId="6553744D"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0,20</w:t>
            </w:r>
          </w:p>
        </w:tc>
        <w:tc>
          <w:tcPr>
            <w:tcW w:w="1344" w:type="dxa"/>
            <w:shd w:val="clear" w:color="auto" w:fill="FFFFFF"/>
          </w:tcPr>
          <w:p w14:paraId="4DA1A3AF" w14:textId="77777777" w:rsidR="00B834A2" w:rsidRPr="001D1D71" w:rsidRDefault="00B834A2" w:rsidP="001D1D71">
            <w:pPr>
              <w:spacing w:after="120"/>
              <w:jc w:val="center"/>
              <w:rPr>
                <w:sz w:val="20"/>
                <w:szCs w:val="20"/>
              </w:rPr>
            </w:pPr>
          </w:p>
        </w:tc>
        <w:tc>
          <w:tcPr>
            <w:tcW w:w="1699" w:type="dxa"/>
            <w:shd w:val="clear" w:color="auto" w:fill="FFFFFF"/>
          </w:tcPr>
          <w:p w14:paraId="4D115820" w14:textId="77777777" w:rsidR="00B834A2" w:rsidRPr="001D1D71" w:rsidRDefault="00B834A2" w:rsidP="001D1D71">
            <w:pPr>
              <w:spacing w:after="120"/>
              <w:jc w:val="center"/>
              <w:rPr>
                <w:sz w:val="20"/>
                <w:szCs w:val="20"/>
              </w:rPr>
            </w:pPr>
          </w:p>
        </w:tc>
      </w:tr>
      <w:tr w:rsidR="00B834A2" w:rsidRPr="001D1D71" w14:paraId="5A674286" w14:textId="77777777" w:rsidTr="001D1D71">
        <w:tc>
          <w:tcPr>
            <w:tcW w:w="1838" w:type="dxa"/>
            <w:tcBorders>
              <w:top w:val="single" w:sz="4" w:space="0" w:color="auto"/>
              <w:bottom w:val="single" w:sz="4" w:space="0" w:color="auto"/>
            </w:tcBorders>
            <w:shd w:val="clear" w:color="auto" w:fill="FFFFFF"/>
          </w:tcPr>
          <w:p w14:paraId="07C3EE18" w14:textId="77777777" w:rsidR="00B834A2" w:rsidRPr="001D1D71" w:rsidRDefault="00B834A2" w:rsidP="001D1D71">
            <w:pPr>
              <w:pStyle w:val="Bodytext20"/>
              <w:shd w:val="clear" w:color="auto" w:fill="auto"/>
              <w:spacing w:before="0" w:line="240" w:lineRule="auto"/>
              <w:jc w:val="left"/>
              <w:rPr>
                <w:rFonts w:ascii="Sylfaen" w:hAnsi="Sylfaen" w:cs="Sylfaen"/>
                <w:sz w:val="20"/>
                <w:szCs w:val="20"/>
              </w:rPr>
            </w:pPr>
            <w:r w:rsidRPr="001D1D71">
              <w:rPr>
                <w:rStyle w:val="Bodytext2Italic"/>
                <w:sz w:val="20"/>
                <w:szCs w:val="20"/>
              </w:rPr>
              <w:t>Արդյունք</w:t>
            </w:r>
          </w:p>
        </w:tc>
        <w:tc>
          <w:tcPr>
            <w:tcW w:w="2328" w:type="dxa"/>
            <w:tcBorders>
              <w:top w:val="single" w:sz="4" w:space="0" w:color="auto"/>
              <w:bottom w:val="single" w:sz="4" w:space="0" w:color="auto"/>
            </w:tcBorders>
            <w:shd w:val="clear" w:color="auto" w:fill="FFFFFF"/>
          </w:tcPr>
          <w:p w14:paraId="0291D4C8" w14:textId="77777777" w:rsidR="00B834A2" w:rsidRPr="001D1D71" w:rsidRDefault="00B834A2" w:rsidP="001D1D71">
            <w:pPr>
              <w:pStyle w:val="Bodytext20"/>
              <w:shd w:val="clear" w:color="auto" w:fill="auto"/>
              <w:spacing w:before="0" w:line="240" w:lineRule="auto"/>
              <w:ind w:firstLine="567"/>
              <w:jc w:val="both"/>
              <w:rPr>
                <w:rFonts w:ascii="Sylfaen" w:hAnsi="Sylfaen" w:cs="Sylfaen"/>
                <w:sz w:val="20"/>
                <w:szCs w:val="20"/>
              </w:rPr>
            </w:pPr>
            <w:r w:rsidRPr="001D1D71">
              <w:rPr>
                <w:rStyle w:val="Bodytext31Sylfaen9"/>
                <w:sz w:val="20"/>
                <w:szCs w:val="20"/>
                <w:lang w:val="en-GB"/>
              </w:rPr>
              <w:t>N</w:t>
            </w:r>
            <w:r w:rsidRPr="001D1D71">
              <w:rPr>
                <w:rStyle w:val="Bodytext31Sylfaen9"/>
                <w:sz w:val="20"/>
                <w:szCs w:val="20"/>
              </w:rPr>
              <w:t>-1-</w:t>
            </w:r>
            <w:r w:rsidRPr="001D1D71">
              <w:rPr>
                <w:rStyle w:val="Bodytext31Sylfaen9"/>
                <w:sz w:val="20"/>
                <w:szCs w:val="20"/>
                <w:lang w:val="en-GB"/>
              </w:rPr>
              <w:t>m</w:t>
            </w:r>
            <w:r w:rsidRPr="001D1D71">
              <w:rPr>
                <w:rStyle w:val="Bodytext31Sylfaen9"/>
                <w:sz w:val="20"/>
                <w:szCs w:val="20"/>
              </w:rPr>
              <w:t xml:space="preserve"> = 39</w:t>
            </w:r>
          </w:p>
        </w:tc>
        <w:tc>
          <w:tcPr>
            <w:tcW w:w="974" w:type="dxa"/>
            <w:tcBorders>
              <w:top w:val="single" w:sz="4" w:space="0" w:color="auto"/>
              <w:bottom w:val="single" w:sz="4" w:space="0" w:color="auto"/>
            </w:tcBorders>
            <w:shd w:val="clear" w:color="auto" w:fill="FFFFFF"/>
          </w:tcPr>
          <w:p w14:paraId="2F9CA9C4" w14:textId="77777777" w:rsidR="00B834A2" w:rsidRPr="001D1D71" w:rsidRDefault="00B834A2" w:rsidP="001D1D71">
            <w:pPr>
              <w:pStyle w:val="Bodytext20"/>
              <w:shd w:val="clear" w:color="auto" w:fill="auto"/>
              <w:spacing w:before="0" w:line="240" w:lineRule="auto"/>
              <w:rPr>
                <w:rFonts w:ascii="Sylfaen" w:hAnsi="Sylfaen" w:cs="Sylfaen"/>
                <w:sz w:val="20"/>
                <w:szCs w:val="20"/>
              </w:rPr>
            </w:pPr>
            <w:r w:rsidRPr="001D1D71">
              <w:rPr>
                <w:rStyle w:val="Bodytext31Sylfaen9"/>
                <w:sz w:val="20"/>
                <w:szCs w:val="20"/>
              </w:rPr>
              <w:t>67,23</w:t>
            </w:r>
          </w:p>
        </w:tc>
        <w:tc>
          <w:tcPr>
            <w:tcW w:w="1608" w:type="dxa"/>
            <w:tcBorders>
              <w:top w:val="single" w:sz="4" w:space="0" w:color="auto"/>
              <w:bottom w:val="single" w:sz="4" w:space="0" w:color="auto"/>
            </w:tcBorders>
            <w:shd w:val="clear" w:color="auto" w:fill="FFFFFF"/>
          </w:tcPr>
          <w:p w14:paraId="28298505" w14:textId="77777777" w:rsidR="00B834A2" w:rsidRPr="001D1D71" w:rsidRDefault="00B834A2" w:rsidP="001D1D71">
            <w:pPr>
              <w:spacing w:after="120"/>
              <w:jc w:val="center"/>
              <w:rPr>
                <w:sz w:val="20"/>
                <w:szCs w:val="20"/>
              </w:rPr>
            </w:pPr>
          </w:p>
        </w:tc>
        <w:tc>
          <w:tcPr>
            <w:tcW w:w="1344" w:type="dxa"/>
            <w:tcBorders>
              <w:top w:val="single" w:sz="4" w:space="0" w:color="auto"/>
              <w:bottom w:val="single" w:sz="4" w:space="0" w:color="auto"/>
            </w:tcBorders>
            <w:shd w:val="clear" w:color="auto" w:fill="FFFFFF"/>
          </w:tcPr>
          <w:p w14:paraId="5BE0DFDD" w14:textId="77777777" w:rsidR="00B834A2" w:rsidRPr="001D1D71" w:rsidRDefault="00B834A2" w:rsidP="001D1D71">
            <w:pPr>
              <w:spacing w:after="120"/>
              <w:jc w:val="center"/>
              <w:rPr>
                <w:sz w:val="20"/>
                <w:szCs w:val="20"/>
              </w:rPr>
            </w:pPr>
          </w:p>
        </w:tc>
        <w:tc>
          <w:tcPr>
            <w:tcW w:w="1699" w:type="dxa"/>
            <w:tcBorders>
              <w:top w:val="single" w:sz="4" w:space="0" w:color="auto"/>
              <w:bottom w:val="single" w:sz="4" w:space="0" w:color="auto"/>
            </w:tcBorders>
            <w:shd w:val="clear" w:color="auto" w:fill="FFFFFF"/>
          </w:tcPr>
          <w:p w14:paraId="5CF91353" w14:textId="77777777" w:rsidR="00B834A2" w:rsidRPr="001D1D71" w:rsidRDefault="00B834A2" w:rsidP="001D1D71">
            <w:pPr>
              <w:spacing w:after="120"/>
              <w:jc w:val="center"/>
              <w:rPr>
                <w:sz w:val="20"/>
                <w:szCs w:val="20"/>
              </w:rPr>
            </w:pPr>
          </w:p>
        </w:tc>
      </w:tr>
    </w:tbl>
    <w:p w14:paraId="466FF3AF" w14:textId="77777777" w:rsidR="001D1D71" w:rsidRDefault="001D1D71" w:rsidP="009A3F5E">
      <w:pPr>
        <w:pStyle w:val="Tablecaption130"/>
        <w:shd w:val="clear" w:color="auto" w:fill="auto"/>
        <w:spacing w:after="160" w:line="360" w:lineRule="auto"/>
        <w:ind w:firstLine="567"/>
        <w:rPr>
          <w:rStyle w:val="Bodytext285pt"/>
          <w:spacing w:val="0"/>
          <w:sz w:val="24"/>
          <w:szCs w:val="24"/>
          <w:lang w:val="en-US"/>
        </w:rPr>
      </w:pPr>
    </w:p>
    <w:p w14:paraId="4FE454B8" w14:textId="77777777" w:rsidR="00B834A2" w:rsidRPr="00A859E3" w:rsidRDefault="001D1D71" w:rsidP="009A3F5E">
      <w:pPr>
        <w:pStyle w:val="Tablecaption130"/>
        <w:shd w:val="clear" w:color="auto" w:fill="auto"/>
        <w:spacing w:after="160" w:line="360" w:lineRule="auto"/>
        <w:ind w:firstLine="567"/>
        <w:rPr>
          <w:sz w:val="24"/>
          <w:szCs w:val="24"/>
        </w:rPr>
      </w:pPr>
      <w:r w:rsidRPr="001D1D71">
        <w:rPr>
          <w:i/>
          <w:sz w:val="24"/>
          <w:szCs w:val="24"/>
          <w:lang w:val="en-US"/>
        </w:rPr>
        <w:t>n</w:t>
      </w:r>
      <w:r>
        <w:rPr>
          <w:i/>
          <w:sz w:val="24"/>
          <w:szCs w:val="24"/>
          <w:lang w:val="en-US"/>
        </w:rPr>
        <w:t xml:space="preserve"> </w:t>
      </w:r>
      <w:r w:rsidR="00B834A2" w:rsidRPr="00B834A2">
        <w:rPr>
          <w:rStyle w:val="Bodytext285pt"/>
          <w:spacing w:val="0"/>
          <w:sz w:val="24"/>
          <w:szCs w:val="24"/>
        </w:rPr>
        <w:t>=</w:t>
      </w:r>
      <w:r>
        <w:rPr>
          <w:rStyle w:val="Bodytext285pt"/>
          <w:spacing w:val="0"/>
          <w:sz w:val="24"/>
          <w:szCs w:val="24"/>
          <w:lang w:val="en-US"/>
        </w:rPr>
        <w:t xml:space="preserve"> </w:t>
      </w:r>
      <w:r w:rsidR="00B834A2" w:rsidRPr="00B834A2">
        <w:rPr>
          <w:sz w:val="24"/>
          <w:szCs w:val="24"/>
        </w:rPr>
        <w:t xml:space="preserve">10 (խմբում արձագանքների թիվը). N = 40 (փորձի ժամանակ արձագանքների ընդհանուր թիվը). </w:t>
      </w:r>
      <w:r w:rsidR="00B834A2" w:rsidRPr="00B834A2">
        <w:rPr>
          <w:rStyle w:val="Bodytext285pt"/>
          <w:spacing w:val="0"/>
          <w:sz w:val="24"/>
          <w:szCs w:val="24"/>
        </w:rPr>
        <w:t>m =</w:t>
      </w:r>
      <w:r w:rsidR="00B834A2" w:rsidRPr="00B834A2">
        <w:rPr>
          <w:sz w:val="24"/>
          <w:szCs w:val="24"/>
        </w:rPr>
        <w:t xml:space="preserve"> 0 (կորսված եւ փոխարինված արժեքների թիվը):</w:t>
      </w:r>
      <w:r w:rsidRPr="00A859E3">
        <w:rPr>
          <w:sz w:val="24"/>
          <w:szCs w:val="24"/>
        </w:rPr>
        <w:t xml:space="preserve"> </w:t>
      </w:r>
    </w:p>
    <w:p w14:paraId="0592F003"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1D1D71">
        <w:rPr>
          <w:rStyle w:val="Bodytext31Sylfaen9"/>
          <w:i w:val="0"/>
          <w:sz w:val="24"/>
          <w:szCs w:val="24"/>
        </w:rPr>
        <w:t xml:space="preserve">Դիսպերսիոն վերլուծությունը ցույց է տվել փորձի արդյունքների պիտանիությունը՝ </w:t>
      </w:r>
      <w:r w:rsidRPr="00B834A2">
        <w:rPr>
          <w:rFonts w:ascii="Sylfaen" w:hAnsi="Sylfaen"/>
          <w:sz w:val="24"/>
          <w:szCs w:val="24"/>
        </w:rPr>
        <w:t>դեղաչափից կախվածության վիճակագրական նշանակալիությունը («Ռեգրեսիա») եւ ռեգրեսիայի երկու գծերի զուգահեռությունը («Ոչ զուգահեռություն»)։</w:t>
      </w:r>
    </w:p>
    <w:p w14:paraId="710E5C68" w14:textId="77777777" w:rsidR="00B834A2" w:rsidRPr="001D1D71" w:rsidRDefault="00B834A2" w:rsidP="009A3F5E">
      <w:pPr>
        <w:pStyle w:val="Bodytext20"/>
        <w:shd w:val="clear" w:color="auto" w:fill="auto"/>
        <w:spacing w:before="0" w:after="160" w:line="360" w:lineRule="auto"/>
        <w:ind w:firstLine="567"/>
        <w:jc w:val="both"/>
        <w:rPr>
          <w:rFonts w:ascii="Sylfaen" w:hAnsi="Sylfaen" w:cs="Sylfaen"/>
          <w:i/>
          <w:sz w:val="24"/>
          <w:szCs w:val="24"/>
          <w:u w:val="single"/>
        </w:rPr>
      </w:pPr>
      <w:r w:rsidRPr="001D1D71">
        <w:rPr>
          <w:rStyle w:val="Bodytext31Sylfaen9"/>
          <w:i w:val="0"/>
          <w:sz w:val="24"/>
          <w:szCs w:val="24"/>
          <w:u w:val="single"/>
        </w:rPr>
        <w:t>Կենսաբանական ակտիվության եւ դրա վստահելի սահմանների հաշվարկումը</w:t>
      </w:r>
    </w:p>
    <w:p w14:paraId="4EFC0042"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Դեղաչափերի հարաբերակցությունը հավասար է 2, հետեւաբար</w:t>
      </w:r>
    </w:p>
    <w:p w14:paraId="34A2D532"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cs="Sylfaen"/>
          <w:noProof/>
          <w:sz w:val="24"/>
          <w:szCs w:val="24"/>
          <w:lang w:val="en-US" w:eastAsia="en-US" w:bidi="ar-SA"/>
        </w:rPr>
        <w:lastRenderedPageBreak/>
        <w:drawing>
          <wp:inline distT="0" distB="0" distL="0" distR="0" wp14:anchorId="3BE6FCBA" wp14:editId="277A4D6E">
            <wp:extent cx="3257550" cy="3183443"/>
            <wp:effectExtent l="19050" t="0" r="0" b="0"/>
            <wp:docPr id="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3259762" cy="3185604"/>
                    </a:xfrm>
                    <a:prstGeom prst="rect">
                      <a:avLst/>
                    </a:prstGeom>
                    <a:noFill/>
                    <a:ln w="9525">
                      <a:noFill/>
                      <a:miter lim="800000"/>
                      <a:headEnd/>
                      <a:tailEnd/>
                    </a:ln>
                  </pic:spPr>
                </pic:pic>
              </a:graphicData>
            </a:graphic>
          </wp:inline>
        </w:drawing>
      </w:r>
    </w:p>
    <w:p w14:paraId="65D9A43F" w14:textId="77777777" w:rsidR="00B834A2" w:rsidRPr="00B834A2" w:rsidRDefault="00B834A2" w:rsidP="00EC3F6C">
      <w:pPr>
        <w:pStyle w:val="Bodytext20"/>
        <w:shd w:val="clear" w:color="auto" w:fill="auto"/>
        <w:spacing w:before="0" w:after="160" w:line="360" w:lineRule="auto"/>
        <w:ind w:firstLine="567"/>
        <w:rPr>
          <w:rStyle w:val="Bodytext31Sylfaen9"/>
          <w:sz w:val="24"/>
          <w:szCs w:val="24"/>
        </w:rPr>
      </w:pPr>
      <w:r w:rsidRPr="00B834A2">
        <w:rPr>
          <w:rStyle w:val="Bodytext31Sylfaen9"/>
          <w:sz w:val="24"/>
          <w:szCs w:val="24"/>
        </w:rPr>
        <w:t>Կենսաբանական ակտիվությունը</w:t>
      </w:r>
      <w:r w:rsidRPr="00B834A2">
        <w:rPr>
          <w:rStyle w:val="Bodytext31Sylfaen9"/>
          <w:sz w:val="24"/>
          <w:szCs w:val="24"/>
          <w:lang w:val="en-GB"/>
        </w:rPr>
        <w:t>`</w:t>
      </w:r>
    </w:p>
    <w:p w14:paraId="697EF0DB" w14:textId="77777777" w:rsidR="00B834A2" w:rsidRPr="00B834A2" w:rsidRDefault="00B834A2" w:rsidP="00EC3F6C">
      <w:pPr>
        <w:pStyle w:val="Bodytext20"/>
        <w:shd w:val="clear" w:color="auto" w:fill="auto"/>
        <w:spacing w:before="0" w:after="160" w:line="360" w:lineRule="auto"/>
        <w:ind w:firstLine="567"/>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19F930FB" wp14:editId="07D8D39F">
            <wp:extent cx="2904259" cy="774984"/>
            <wp:effectExtent l="19050" t="0" r="0" b="0"/>
            <wp:docPr id="2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2914844" cy="777808"/>
                    </a:xfrm>
                    <a:prstGeom prst="rect">
                      <a:avLst/>
                    </a:prstGeom>
                    <a:noFill/>
                    <a:ln w="9525">
                      <a:noFill/>
                      <a:miter lim="800000"/>
                      <a:headEnd/>
                      <a:tailEnd/>
                    </a:ln>
                  </pic:spPr>
                </pic:pic>
              </a:graphicData>
            </a:graphic>
          </wp:inline>
        </w:drawing>
      </w:r>
    </w:p>
    <w:p w14:paraId="45EAF7F2" w14:textId="77777777" w:rsidR="00B834A2" w:rsidRPr="00EC3F6C" w:rsidRDefault="00B834A2" w:rsidP="009A3F5E">
      <w:pPr>
        <w:pStyle w:val="Bodytext20"/>
        <w:shd w:val="clear" w:color="auto" w:fill="auto"/>
        <w:spacing w:before="0" w:after="160" w:line="360" w:lineRule="auto"/>
        <w:ind w:firstLine="567"/>
        <w:jc w:val="both"/>
        <w:rPr>
          <w:rStyle w:val="Bodytext31Sylfaen9"/>
          <w:i w:val="0"/>
          <w:sz w:val="24"/>
          <w:szCs w:val="24"/>
        </w:rPr>
      </w:pPr>
      <w:r w:rsidRPr="00EC3F6C">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6236D874" w14:textId="77777777" w:rsidR="00B834A2" w:rsidRPr="00B834A2" w:rsidRDefault="00B834A2" w:rsidP="00EC3F6C">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243B2459" wp14:editId="0BEE3CE8">
            <wp:extent cx="2059131" cy="519245"/>
            <wp:effectExtent l="19050" t="0" r="0" b="0"/>
            <wp:docPr id="2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srcRect/>
                    <a:stretch>
                      <a:fillRect/>
                    </a:stretch>
                  </pic:blipFill>
                  <pic:spPr bwMode="auto">
                    <a:xfrm>
                      <a:off x="0" y="0"/>
                      <a:ext cx="2059771" cy="519406"/>
                    </a:xfrm>
                    <a:prstGeom prst="rect">
                      <a:avLst/>
                    </a:prstGeom>
                    <a:noFill/>
                    <a:ln w="9525">
                      <a:noFill/>
                      <a:miter lim="800000"/>
                      <a:headEnd/>
                      <a:tailEnd/>
                    </a:ln>
                  </pic:spPr>
                </pic:pic>
              </a:graphicData>
            </a:graphic>
          </wp:inline>
        </w:drawing>
      </w:r>
    </w:p>
    <w:p w14:paraId="6D1AB64D"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EC3F6C">
        <w:rPr>
          <w:rStyle w:val="Bodytext31Sylfaen9"/>
          <w:i w:val="0"/>
          <w:sz w:val="24"/>
          <w:szCs w:val="24"/>
        </w:rPr>
        <w:t xml:space="preserve">Փորձարկվող նմուշի կենսաբանական ակտիվության լոգարիթմական վստահելի սահմանները կազմում են 0,0036 եւ 0,0755։ </w:t>
      </w:r>
      <w:r w:rsidRPr="00B834A2">
        <w:rPr>
          <w:rFonts w:ascii="Sylfaen" w:hAnsi="Sylfaen"/>
          <w:sz w:val="24"/>
          <w:szCs w:val="24"/>
        </w:rPr>
        <w:t xml:space="preserve">Վերին եւ ստորին վստահելի սահմանը կազմում է </w:t>
      </w:r>
      <w:r w:rsidRPr="00B834A2">
        <w:rPr>
          <w:rStyle w:val="Bodytext31Sylfaen9"/>
          <w:sz w:val="24"/>
          <w:szCs w:val="24"/>
        </w:rPr>
        <w:t xml:space="preserve">10 </w:t>
      </w:r>
      <w:r w:rsidRPr="00B834A2">
        <w:rPr>
          <w:rStyle w:val="Bodytext31Sylfaen9"/>
          <w:sz w:val="24"/>
          <w:szCs w:val="24"/>
          <w:vertAlign w:val="superscript"/>
        </w:rPr>
        <w:t>IgA</w:t>
      </w:r>
      <w:r w:rsidRPr="00B834A2">
        <w:rPr>
          <w:rStyle w:val="Bodytext31Sylfaen9"/>
          <w:sz w:val="24"/>
          <w:szCs w:val="24"/>
          <w:vertAlign w:val="subscript"/>
        </w:rPr>
        <w:t>U</w:t>
      </w:r>
      <w:r w:rsidRPr="00B834A2">
        <w:rPr>
          <w:rStyle w:val="Bodytext31Sylfaen9"/>
          <w:sz w:val="24"/>
          <w:szCs w:val="24"/>
          <w:vertAlign w:val="superscript"/>
        </w:rPr>
        <w:t>+0,0036</w:t>
      </w:r>
      <w:r w:rsidRPr="00B834A2">
        <w:rPr>
          <w:rStyle w:val="Bodytext31Sylfaen9"/>
          <w:sz w:val="24"/>
          <w:szCs w:val="24"/>
        </w:rPr>
        <w:t xml:space="preserve"> եւ 10 </w:t>
      </w:r>
      <w:r w:rsidRPr="00B834A2">
        <w:rPr>
          <w:rStyle w:val="Bodytext31Sylfaen9"/>
          <w:sz w:val="24"/>
          <w:szCs w:val="24"/>
          <w:vertAlign w:val="superscript"/>
        </w:rPr>
        <w:t>IgA</w:t>
      </w:r>
      <w:r w:rsidRPr="00B834A2">
        <w:rPr>
          <w:rStyle w:val="Bodytext31Sylfaen9"/>
          <w:sz w:val="24"/>
          <w:szCs w:val="24"/>
          <w:vertAlign w:val="subscript"/>
        </w:rPr>
        <w:t>U</w:t>
      </w:r>
      <w:r w:rsidRPr="00B834A2">
        <w:rPr>
          <w:rStyle w:val="Bodytext31Sylfaen9"/>
          <w:sz w:val="24"/>
          <w:szCs w:val="24"/>
          <w:vertAlign w:val="superscript"/>
        </w:rPr>
        <w:t>+0,0755</w:t>
      </w:r>
      <w:r w:rsidRPr="00B834A2">
        <w:rPr>
          <w:rFonts w:ascii="Sylfaen" w:hAnsi="Sylfaen"/>
          <w:sz w:val="24"/>
          <w:szCs w:val="24"/>
        </w:rPr>
        <w:t>, այսինքն՝ համապատասխանաբար 1008,3 ՄՄ/սրվակ եւ 1189,9 ՄՄ/սրվակ։</w:t>
      </w:r>
    </w:p>
    <w:p w14:paraId="34D091D9" w14:textId="77777777" w:rsidR="00B834A2" w:rsidRPr="00C41622" w:rsidRDefault="00B834A2" w:rsidP="00EC3F6C">
      <w:pPr>
        <w:pStyle w:val="Bodytext20"/>
        <w:shd w:val="clear" w:color="auto" w:fill="auto"/>
        <w:tabs>
          <w:tab w:val="left" w:pos="1276"/>
        </w:tabs>
        <w:spacing w:before="0" w:after="160" w:line="360" w:lineRule="auto"/>
        <w:ind w:firstLine="567"/>
        <w:jc w:val="both"/>
        <w:rPr>
          <w:rStyle w:val="Bodytext2Italic"/>
          <w:sz w:val="24"/>
          <w:szCs w:val="24"/>
        </w:rPr>
      </w:pPr>
      <w:r w:rsidRPr="00B834A2">
        <w:rPr>
          <w:rStyle w:val="Bodytext2Italic"/>
          <w:sz w:val="24"/>
          <w:szCs w:val="24"/>
        </w:rPr>
        <w:t>3.2.2.</w:t>
      </w:r>
      <w:r w:rsidR="00EC3F6C" w:rsidRPr="00A859E3">
        <w:rPr>
          <w:rStyle w:val="Bodytext2Italic"/>
          <w:sz w:val="24"/>
          <w:szCs w:val="24"/>
        </w:rPr>
        <w:tab/>
      </w:r>
      <w:r w:rsidRPr="00B834A2">
        <w:rPr>
          <w:rStyle w:val="Bodytext2Italic"/>
          <w:sz w:val="24"/>
          <w:szCs w:val="24"/>
        </w:rPr>
        <w:t>Երեք դեղաչափի օգտագործմամբ պատահական ընտրության կիրառումը (խորիոնային գոնադոտրոպինի կենսաբանական ակտիվության օրինակով)</w:t>
      </w:r>
    </w:p>
    <w:p w14:paraId="4077FEA2" w14:textId="77777777" w:rsidR="005B6181" w:rsidRPr="00C41622" w:rsidRDefault="005B6181" w:rsidP="00EC3F6C">
      <w:pPr>
        <w:pStyle w:val="Bodytext20"/>
        <w:shd w:val="clear" w:color="auto" w:fill="auto"/>
        <w:tabs>
          <w:tab w:val="left" w:pos="1276"/>
        </w:tabs>
        <w:spacing w:before="0" w:after="160" w:line="360" w:lineRule="auto"/>
        <w:ind w:firstLine="567"/>
        <w:jc w:val="both"/>
        <w:rPr>
          <w:rFonts w:ascii="Sylfaen" w:hAnsi="Sylfaen" w:cs="Sylfaen"/>
          <w:sz w:val="24"/>
          <w:szCs w:val="24"/>
        </w:rPr>
      </w:pPr>
    </w:p>
    <w:p w14:paraId="56706DA8" w14:textId="77777777" w:rsidR="00B834A2" w:rsidRPr="00EC3F6C"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EC3F6C">
        <w:rPr>
          <w:rStyle w:val="Bodytext31Sylfaen9"/>
          <w:i w:val="0"/>
          <w:sz w:val="24"/>
          <w:szCs w:val="24"/>
        </w:rPr>
        <w:lastRenderedPageBreak/>
        <w:t xml:space="preserve">Եթե որպես թեստ օբյեկտներ օգտագործվում են էգ առնետները, ապա կենդանու արձագանք է համարվում մգ-ով արգանդի զանգվածի հարաբերությունը գ-ով մարմնի զանգվածի նկատմամբ։ Արուների օգտագործման դեպքում կենդանու </w:t>
      </w:r>
      <w:r w:rsidRPr="00BB522E">
        <w:rPr>
          <w:rStyle w:val="Bodytext31Sylfaen9"/>
          <w:i w:val="0"/>
          <w:spacing w:val="4"/>
          <w:sz w:val="24"/>
          <w:szCs w:val="24"/>
        </w:rPr>
        <w:t>արձագանքն է մգ-ով լրացուցիչ սեռական գեղձերի զանգվածի հարաբերությունը գ-ով մարմնի</w:t>
      </w:r>
      <w:r w:rsidRPr="00EC3F6C">
        <w:rPr>
          <w:rStyle w:val="Bodytext31Sylfaen9"/>
          <w:i w:val="0"/>
          <w:sz w:val="24"/>
          <w:szCs w:val="24"/>
        </w:rPr>
        <w:t xml:space="preserve"> զանգվածի նկատմամբ։</w:t>
      </w:r>
    </w:p>
    <w:p w14:paraId="322BB9F2"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Խորիոնային գոնադոտրոպինի ակտիվությունը որոշելու համար օգտագործվել է էգ առնետների 6 խումբ՝ յուրաքանչյուրում տասական առանձնյակ։</w:t>
      </w:r>
      <w:r w:rsidRPr="00B834A2">
        <w:rPr>
          <w:rStyle w:val="Bodytext31Sylfaen9"/>
          <w:sz w:val="24"/>
          <w:szCs w:val="24"/>
        </w:rPr>
        <w:t xml:space="preserve"> </w:t>
      </w:r>
      <w:r w:rsidRPr="00B834A2">
        <w:rPr>
          <w:rFonts w:ascii="Sylfaen" w:hAnsi="Sylfaen"/>
          <w:sz w:val="24"/>
          <w:szCs w:val="24"/>
        </w:rPr>
        <w:t>Փորձարկվող նմուշի եւ ստանդարտ նմուշի յուրաքանչյուր դեղաչափ ներմուծվել է կենդանիների մեկ խմբին (դեղաչափերի հարաբերակցությունը՝ 1։2)։</w:t>
      </w:r>
    </w:p>
    <w:p w14:paraId="528952AD"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3.2.2.-5 աղյուսակում տրված են ստանդարտ նմուշի երեք դեղաչափի եւ փորձարկվող նմուշի երեք դեղաչափի ներմուծման նկատմամբ էգ առնետների արձագանքները։</w:t>
      </w:r>
    </w:p>
    <w:p w14:paraId="7935A7E9"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p>
    <w:p w14:paraId="1A779985"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EC3F6C">
        <w:rPr>
          <w:rStyle w:val="Bodytext310pt"/>
          <w:b w:val="0"/>
          <w:sz w:val="24"/>
          <w:szCs w:val="24"/>
        </w:rPr>
        <w:t>Աղյուսակ 3.2.2-5.</w:t>
      </w:r>
      <w:r w:rsidRPr="00B834A2">
        <w:rPr>
          <w:rStyle w:val="Bodytext310pt"/>
          <w:sz w:val="24"/>
          <w:szCs w:val="24"/>
        </w:rPr>
        <w:t xml:space="preserve"> </w:t>
      </w:r>
      <w:r w:rsidRPr="00B834A2">
        <w:rPr>
          <w:rFonts w:ascii="Sylfaen" w:hAnsi="Sylfaen"/>
          <w:sz w:val="24"/>
          <w:szCs w:val="24"/>
        </w:rPr>
        <w:t>Առնետների արգանդի հարաբերական զանգվածը (երեք դեղաչափի օգտագործմամբ պատահական ընտրության կիրառում՝ խորիոնային գոնադոտրոպինի կենսաբանական ակտիվության օրինակով)</w:t>
      </w:r>
    </w:p>
    <w:tbl>
      <w:tblPr>
        <w:tblOverlap w:val="never"/>
        <w:tblW w:w="0" w:type="auto"/>
        <w:tblLayout w:type="fixed"/>
        <w:tblCellMar>
          <w:left w:w="10" w:type="dxa"/>
          <w:right w:w="10" w:type="dxa"/>
        </w:tblCellMar>
        <w:tblLook w:val="0000" w:firstRow="0" w:lastRow="0" w:firstColumn="0" w:lastColumn="0" w:noHBand="0" w:noVBand="0"/>
      </w:tblPr>
      <w:tblGrid>
        <w:gridCol w:w="1135"/>
        <w:gridCol w:w="1134"/>
        <w:gridCol w:w="1134"/>
        <w:gridCol w:w="1276"/>
        <w:gridCol w:w="1417"/>
        <w:gridCol w:w="1276"/>
      </w:tblGrid>
      <w:tr w:rsidR="00B834A2" w:rsidRPr="00EC3F6C" w14:paraId="05BF372E" w14:textId="77777777" w:rsidTr="00B834A2">
        <w:trPr>
          <w:trHeight w:val="633"/>
        </w:trPr>
        <w:tc>
          <w:tcPr>
            <w:tcW w:w="1135" w:type="dxa"/>
            <w:tcBorders>
              <w:top w:val="single" w:sz="4" w:space="0" w:color="auto"/>
              <w:bottom w:val="single" w:sz="4" w:space="0" w:color="auto"/>
            </w:tcBorders>
            <w:shd w:val="clear" w:color="auto" w:fill="FFFFFF"/>
          </w:tcPr>
          <w:p w14:paraId="7949512A" w14:textId="77777777" w:rsidR="00B834A2" w:rsidRPr="00EC3F6C" w:rsidRDefault="00B834A2" w:rsidP="00EC3F6C">
            <w:pPr>
              <w:pStyle w:val="Bodytext20"/>
              <w:spacing w:before="0" w:line="240" w:lineRule="auto"/>
              <w:rPr>
                <w:rStyle w:val="Bodytext31Sylfaen9"/>
                <w:sz w:val="20"/>
                <w:szCs w:val="20"/>
              </w:rPr>
            </w:pPr>
            <w:r w:rsidRPr="00EC3F6C">
              <w:rPr>
                <w:rStyle w:val="Bodytext31Sylfaen9"/>
                <w:sz w:val="20"/>
                <w:szCs w:val="20"/>
              </w:rPr>
              <w:t>1-ին խումբ</w:t>
            </w:r>
          </w:p>
        </w:tc>
        <w:tc>
          <w:tcPr>
            <w:tcW w:w="1134" w:type="dxa"/>
            <w:tcBorders>
              <w:top w:val="single" w:sz="4" w:space="0" w:color="auto"/>
              <w:bottom w:val="single" w:sz="4" w:space="0" w:color="auto"/>
            </w:tcBorders>
            <w:shd w:val="clear" w:color="auto" w:fill="FFFFFF"/>
          </w:tcPr>
          <w:p w14:paraId="0CBBADE6" w14:textId="77777777" w:rsidR="00B834A2" w:rsidRPr="00EC3F6C" w:rsidRDefault="00B834A2" w:rsidP="00EC3F6C">
            <w:pPr>
              <w:pStyle w:val="Bodytext20"/>
              <w:spacing w:before="0" w:line="240" w:lineRule="auto"/>
              <w:rPr>
                <w:rStyle w:val="Bodytext31Sylfaen9"/>
                <w:sz w:val="20"/>
                <w:szCs w:val="20"/>
              </w:rPr>
            </w:pPr>
            <w:r w:rsidRPr="00EC3F6C">
              <w:rPr>
                <w:rStyle w:val="Bodytext31Sylfaen9"/>
                <w:sz w:val="20"/>
                <w:szCs w:val="20"/>
              </w:rPr>
              <w:t>2-րդ խումբ</w:t>
            </w:r>
          </w:p>
        </w:tc>
        <w:tc>
          <w:tcPr>
            <w:tcW w:w="1134" w:type="dxa"/>
            <w:tcBorders>
              <w:top w:val="single" w:sz="4" w:space="0" w:color="auto"/>
              <w:bottom w:val="single" w:sz="4" w:space="0" w:color="auto"/>
            </w:tcBorders>
            <w:shd w:val="clear" w:color="auto" w:fill="FFFFFF"/>
          </w:tcPr>
          <w:p w14:paraId="170B0AED" w14:textId="77777777" w:rsidR="00B834A2" w:rsidRPr="00EC3F6C" w:rsidRDefault="00B834A2" w:rsidP="00EC3F6C">
            <w:pPr>
              <w:pStyle w:val="Bodytext20"/>
              <w:spacing w:before="0" w:line="240" w:lineRule="auto"/>
              <w:rPr>
                <w:rStyle w:val="Bodytext31Sylfaen9"/>
                <w:sz w:val="20"/>
                <w:szCs w:val="20"/>
              </w:rPr>
            </w:pPr>
            <w:r w:rsidRPr="00EC3F6C">
              <w:rPr>
                <w:rStyle w:val="Bodytext31Sylfaen9"/>
                <w:sz w:val="20"/>
                <w:szCs w:val="20"/>
              </w:rPr>
              <w:t>3-րդ խումբ</w:t>
            </w:r>
          </w:p>
        </w:tc>
        <w:tc>
          <w:tcPr>
            <w:tcW w:w="1276" w:type="dxa"/>
            <w:tcBorders>
              <w:top w:val="single" w:sz="4" w:space="0" w:color="auto"/>
              <w:bottom w:val="single" w:sz="4" w:space="0" w:color="auto"/>
            </w:tcBorders>
            <w:shd w:val="clear" w:color="auto" w:fill="FFFFFF"/>
          </w:tcPr>
          <w:p w14:paraId="1DAEECAF" w14:textId="77777777" w:rsidR="00B834A2" w:rsidRPr="00EC3F6C" w:rsidRDefault="00B834A2" w:rsidP="00EC3F6C">
            <w:pPr>
              <w:pStyle w:val="Bodytext20"/>
              <w:spacing w:before="0" w:line="240" w:lineRule="auto"/>
              <w:rPr>
                <w:rStyle w:val="Bodytext31Sylfaen9"/>
                <w:sz w:val="20"/>
                <w:szCs w:val="20"/>
              </w:rPr>
            </w:pPr>
            <w:r w:rsidRPr="00EC3F6C">
              <w:rPr>
                <w:rStyle w:val="Bodytext31Sylfaen9"/>
                <w:sz w:val="20"/>
                <w:szCs w:val="20"/>
              </w:rPr>
              <w:t>4-րդ խումբ</w:t>
            </w:r>
          </w:p>
        </w:tc>
        <w:tc>
          <w:tcPr>
            <w:tcW w:w="1417" w:type="dxa"/>
            <w:tcBorders>
              <w:top w:val="single" w:sz="4" w:space="0" w:color="auto"/>
              <w:bottom w:val="single" w:sz="4" w:space="0" w:color="auto"/>
            </w:tcBorders>
            <w:shd w:val="clear" w:color="auto" w:fill="FFFFFF"/>
          </w:tcPr>
          <w:p w14:paraId="5ABAAD18" w14:textId="77777777" w:rsidR="00B834A2" w:rsidRPr="00EC3F6C" w:rsidRDefault="00B834A2" w:rsidP="00EC3F6C">
            <w:pPr>
              <w:pStyle w:val="Bodytext20"/>
              <w:spacing w:before="0" w:line="240" w:lineRule="auto"/>
              <w:rPr>
                <w:rFonts w:ascii="Sylfaen" w:hAnsi="Sylfaen" w:cs="Sylfaen"/>
                <w:sz w:val="20"/>
                <w:szCs w:val="20"/>
              </w:rPr>
            </w:pPr>
            <w:r w:rsidRPr="00EC3F6C">
              <w:rPr>
                <w:rStyle w:val="Bodytext31Sylfaen9"/>
                <w:sz w:val="20"/>
                <w:szCs w:val="20"/>
              </w:rPr>
              <w:t>5-րդ խումբ</w:t>
            </w:r>
          </w:p>
        </w:tc>
        <w:tc>
          <w:tcPr>
            <w:tcW w:w="1276" w:type="dxa"/>
            <w:tcBorders>
              <w:top w:val="single" w:sz="4" w:space="0" w:color="auto"/>
              <w:bottom w:val="single" w:sz="4" w:space="0" w:color="auto"/>
            </w:tcBorders>
            <w:shd w:val="clear" w:color="auto" w:fill="FFFFFF"/>
          </w:tcPr>
          <w:p w14:paraId="468F6269"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6-րդ խումբ</w:t>
            </w:r>
          </w:p>
        </w:tc>
      </w:tr>
      <w:tr w:rsidR="00B834A2" w:rsidRPr="00EC3F6C" w14:paraId="524EB9B2" w14:textId="77777777" w:rsidTr="00B834A2">
        <w:trPr>
          <w:trHeight w:val="391"/>
        </w:trPr>
        <w:tc>
          <w:tcPr>
            <w:tcW w:w="1135" w:type="dxa"/>
            <w:tcBorders>
              <w:top w:val="single" w:sz="4" w:space="0" w:color="auto"/>
              <w:bottom w:val="single" w:sz="4" w:space="0" w:color="auto"/>
            </w:tcBorders>
            <w:shd w:val="clear" w:color="auto" w:fill="FFFFFF"/>
          </w:tcPr>
          <w:p w14:paraId="13B49BCE"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S</w:t>
            </w:r>
            <w:r w:rsidRPr="00EC3F6C">
              <w:rPr>
                <w:rStyle w:val="Bodytext31Sylfaen9"/>
                <w:sz w:val="20"/>
                <w:szCs w:val="20"/>
                <w:vertAlign w:val="subscript"/>
              </w:rPr>
              <w:t>1</w:t>
            </w:r>
          </w:p>
        </w:tc>
        <w:tc>
          <w:tcPr>
            <w:tcW w:w="1134" w:type="dxa"/>
            <w:tcBorders>
              <w:top w:val="single" w:sz="4" w:space="0" w:color="auto"/>
              <w:bottom w:val="single" w:sz="4" w:space="0" w:color="auto"/>
            </w:tcBorders>
            <w:shd w:val="clear" w:color="auto" w:fill="FFFFFF"/>
          </w:tcPr>
          <w:p w14:paraId="12C9FB3D"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S</w:t>
            </w:r>
            <w:r w:rsidRPr="00EC3F6C">
              <w:rPr>
                <w:rStyle w:val="Bodytext31Sylfaen9"/>
                <w:sz w:val="20"/>
                <w:szCs w:val="20"/>
                <w:vertAlign w:val="subscript"/>
              </w:rPr>
              <w:t>2</w:t>
            </w:r>
          </w:p>
        </w:tc>
        <w:tc>
          <w:tcPr>
            <w:tcW w:w="1134" w:type="dxa"/>
            <w:tcBorders>
              <w:top w:val="single" w:sz="4" w:space="0" w:color="auto"/>
              <w:bottom w:val="single" w:sz="4" w:space="0" w:color="auto"/>
            </w:tcBorders>
            <w:shd w:val="clear" w:color="auto" w:fill="FFFFFF"/>
          </w:tcPr>
          <w:p w14:paraId="69B81EFC"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Sз</w:t>
            </w:r>
          </w:p>
        </w:tc>
        <w:tc>
          <w:tcPr>
            <w:tcW w:w="1276" w:type="dxa"/>
            <w:tcBorders>
              <w:top w:val="single" w:sz="4" w:space="0" w:color="auto"/>
              <w:bottom w:val="single" w:sz="4" w:space="0" w:color="auto"/>
            </w:tcBorders>
            <w:shd w:val="clear" w:color="auto" w:fill="FFFFFF"/>
          </w:tcPr>
          <w:p w14:paraId="5789A2DB"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u</w:t>
            </w:r>
            <w:r w:rsidRPr="00EC3F6C">
              <w:rPr>
                <w:rStyle w:val="Bodytext31Sylfaen9"/>
                <w:sz w:val="20"/>
                <w:szCs w:val="20"/>
                <w:vertAlign w:val="subscript"/>
              </w:rPr>
              <w:t>1</w:t>
            </w:r>
          </w:p>
        </w:tc>
        <w:tc>
          <w:tcPr>
            <w:tcW w:w="1417" w:type="dxa"/>
            <w:tcBorders>
              <w:top w:val="single" w:sz="4" w:space="0" w:color="auto"/>
              <w:bottom w:val="single" w:sz="4" w:space="0" w:color="auto"/>
            </w:tcBorders>
            <w:shd w:val="clear" w:color="auto" w:fill="FFFFFF"/>
          </w:tcPr>
          <w:p w14:paraId="56398852"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u</w:t>
            </w:r>
            <w:r w:rsidRPr="00EC3F6C">
              <w:rPr>
                <w:rStyle w:val="Bodytext31Sylfaen9"/>
                <w:sz w:val="20"/>
                <w:szCs w:val="20"/>
                <w:vertAlign w:val="subscript"/>
              </w:rPr>
              <w:t>2</w:t>
            </w:r>
          </w:p>
        </w:tc>
        <w:tc>
          <w:tcPr>
            <w:tcW w:w="1276" w:type="dxa"/>
            <w:tcBorders>
              <w:top w:val="single" w:sz="4" w:space="0" w:color="auto"/>
              <w:bottom w:val="single" w:sz="4" w:space="0" w:color="auto"/>
            </w:tcBorders>
            <w:shd w:val="clear" w:color="auto" w:fill="FFFFFF"/>
          </w:tcPr>
          <w:p w14:paraId="782F86AE"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u</w:t>
            </w:r>
            <w:r w:rsidRPr="00EC3F6C">
              <w:rPr>
                <w:rStyle w:val="Bodytext31Sylfaen9"/>
                <w:sz w:val="20"/>
                <w:szCs w:val="20"/>
                <w:vertAlign w:val="subscript"/>
              </w:rPr>
              <w:t>3</w:t>
            </w:r>
          </w:p>
        </w:tc>
      </w:tr>
      <w:tr w:rsidR="00B834A2" w:rsidRPr="00EC3F6C" w14:paraId="63C72E05" w14:textId="77777777" w:rsidTr="00B834A2">
        <w:trPr>
          <w:trHeight w:val="588"/>
        </w:trPr>
        <w:tc>
          <w:tcPr>
            <w:tcW w:w="1135" w:type="dxa"/>
            <w:tcBorders>
              <w:top w:val="single" w:sz="4" w:space="0" w:color="auto"/>
              <w:bottom w:val="single" w:sz="4" w:space="0" w:color="auto"/>
            </w:tcBorders>
            <w:shd w:val="clear" w:color="auto" w:fill="FFFFFF"/>
          </w:tcPr>
          <w:p w14:paraId="3136BE80"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0,398</w:t>
            </w:r>
          </w:p>
        </w:tc>
        <w:tc>
          <w:tcPr>
            <w:tcW w:w="1134" w:type="dxa"/>
            <w:tcBorders>
              <w:top w:val="single" w:sz="4" w:space="0" w:color="auto"/>
              <w:bottom w:val="single" w:sz="4" w:space="0" w:color="auto"/>
            </w:tcBorders>
            <w:shd w:val="clear" w:color="auto" w:fill="FFFFFF"/>
          </w:tcPr>
          <w:p w14:paraId="1C37105D"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1,583</w:t>
            </w:r>
          </w:p>
        </w:tc>
        <w:tc>
          <w:tcPr>
            <w:tcW w:w="1134" w:type="dxa"/>
            <w:tcBorders>
              <w:top w:val="single" w:sz="4" w:space="0" w:color="auto"/>
              <w:bottom w:val="single" w:sz="4" w:space="0" w:color="auto"/>
            </w:tcBorders>
            <w:shd w:val="clear" w:color="auto" w:fill="FFFFFF"/>
          </w:tcPr>
          <w:p w14:paraId="077B8DCA"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2,233</w:t>
            </w:r>
          </w:p>
        </w:tc>
        <w:tc>
          <w:tcPr>
            <w:tcW w:w="1276" w:type="dxa"/>
            <w:tcBorders>
              <w:top w:val="single" w:sz="4" w:space="0" w:color="auto"/>
              <w:bottom w:val="single" w:sz="4" w:space="0" w:color="auto"/>
            </w:tcBorders>
            <w:shd w:val="clear" w:color="auto" w:fill="FFFFFF"/>
          </w:tcPr>
          <w:p w14:paraId="29FB353B" w14:textId="77777777" w:rsidR="00B834A2" w:rsidRPr="00EC3F6C" w:rsidRDefault="00B834A2" w:rsidP="00EC3F6C">
            <w:pPr>
              <w:pStyle w:val="Bodytext20"/>
              <w:shd w:val="clear" w:color="auto" w:fill="auto"/>
              <w:spacing w:before="0" w:line="240" w:lineRule="auto"/>
              <w:rPr>
                <w:rStyle w:val="Bodytext31Sylfaen9"/>
                <w:i w:val="0"/>
                <w:iCs w:val="0"/>
                <w:sz w:val="20"/>
                <w:szCs w:val="20"/>
              </w:rPr>
            </w:pPr>
            <w:r w:rsidRPr="00EC3F6C">
              <w:rPr>
                <w:rStyle w:val="Bodytext31Sylfaen9"/>
                <w:sz w:val="20"/>
                <w:szCs w:val="20"/>
              </w:rPr>
              <w:t>0,533</w:t>
            </w:r>
          </w:p>
        </w:tc>
        <w:tc>
          <w:tcPr>
            <w:tcW w:w="1417" w:type="dxa"/>
            <w:tcBorders>
              <w:top w:val="single" w:sz="4" w:space="0" w:color="auto"/>
              <w:bottom w:val="single" w:sz="4" w:space="0" w:color="auto"/>
            </w:tcBorders>
            <w:shd w:val="clear" w:color="auto" w:fill="FFFFFF"/>
          </w:tcPr>
          <w:p w14:paraId="2535F0C7" w14:textId="77777777" w:rsidR="00B834A2" w:rsidRPr="00EC3F6C" w:rsidRDefault="00B834A2" w:rsidP="00EC3F6C">
            <w:pPr>
              <w:pStyle w:val="Bodytext20"/>
              <w:shd w:val="clear" w:color="auto" w:fill="auto"/>
              <w:spacing w:before="0" w:line="240" w:lineRule="auto"/>
              <w:rPr>
                <w:rStyle w:val="Bodytext31Sylfaen9"/>
                <w:i w:val="0"/>
                <w:iCs w:val="0"/>
                <w:sz w:val="20"/>
                <w:szCs w:val="20"/>
              </w:rPr>
            </w:pPr>
            <w:r w:rsidRPr="00EC3F6C">
              <w:rPr>
                <w:rStyle w:val="Bodytext31Sylfaen9"/>
                <w:sz w:val="20"/>
                <w:szCs w:val="20"/>
              </w:rPr>
              <w:t>1,655</w:t>
            </w:r>
          </w:p>
        </w:tc>
        <w:tc>
          <w:tcPr>
            <w:tcW w:w="1276" w:type="dxa"/>
            <w:tcBorders>
              <w:top w:val="single" w:sz="4" w:space="0" w:color="auto"/>
              <w:bottom w:val="single" w:sz="4" w:space="0" w:color="auto"/>
            </w:tcBorders>
            <w:shd w:val="clear" w:color="auto" w:fill="FFFFFF"/>
          </w:tcPr>
          <w:p w14:paraId="2162BBB1" w14:textId="77777777" w:rsidR="00B834A2" w:rsidRPr="00EC3F6C" w:rsidRDefault="00B834A2" w:rsidP="00EC3F6C">
            <w:pPr>
              <w:pStyle w:val="Bodytext20"/>
              <w:shd w:val="clear" w:color="auto" w:fill="auto"/>
              <w:spacing w:before="0" w:line="240" w:lineRule="auto"/>
              <w:rPr>
                <w:rStyle w:val="Bodytext31Sylfaen9"/>
                <w:sz w:val="20"/>
                <w:szCs w:val="20"/>
              </w:rPr>
            </w:pPr>
            <w:r w:rsidRPr="00EC3F6C">
              <w:rPr>
                <w:rStyle w:val="Bodytext31Sylfaen9"/>
                <w:sz w:val="20"/>
                <w:szCs w:val="20"/>
              </w:rPr>
              <w:t>3,447</w:t>
            </w:r>
          </w:p>
        </w:tc>
      </w:tr>
      <w:tr w:rsidR="00B834A2" w:rsidRPr="00EC3F6C" w14:paraId="4E460EB7" w14:textId="77777777" w:rsidTr="00B834A2">
        <w:tc>
          <w:tcPr>
            <w:tcW w:w="1135" w:type="dxa"/>
            <w:tcBorders>
              <w:top w:val="single" w:sz="4" w:space="0" w:color="auto"/>
            </w:tcBorders>
            <w:shd w:val="clear" w:color="auto" w:fill="FFFFFF"/>
            <w:vAlign w:val="bottom"/>
          </w:tcPr>
          <w:p w14:paraId="6B3D62E9"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0,443</w:t>
            </w:r>
          </w:p>
        </w:tc>
        <w:tc>
          <w:tcPr>
            <w:tcW w:w="1134" w:type="dxa"/>
            <w:tcBorders>
              <w:top w:val="single" w:sz="4" w:space="0" w:color="auto"/>
            </w:tcBorders>
            <w:shd w:val="clear" w:color="auto" w:fill="FFFFFF"/>
            <w:vAlign w:val="bottom"/>
          </w:tcPr>
          <w:p w14:paraId="2D087078"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0,780</w:t>
            </w:r>
          </w:p>
        </w:tc>
        <w:tc>
          <w:tcPr>
            <w:tcW w:w="1134" w:type="dxa"/>
            <w:tcBorders>
              <w:top w:val="single" w:sz="4" w:space="0" w:color="auto"/>
            </w:tcBorders>
            <w:shd w:val="clear" w:color="auto" w:fill="FFFFFF"/>
            <w:vAlign w:val="bottom"/>
          </w:tcPr>
          <w:p w14:paraId="37CF6DC2"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2,129</w:t>
            </w:r>
          </w:p>
        </w:tc>
        <w:tc>
          <w:tcPr>
            <w:tcW w:w="1276" w:type="dxa"/>
            <w:tcBorders>
              <w:top w:val="single" w:sz="4" w:space="0" w:color="auto"/>
            </w:tcBorders>
            <w:shd w:val="clear" w:color="auto" w:fill="FFFFFF"/>
            <w:vAlign w:val="bottom"/>
          </w:tcPr>
          <w:p w14:paraId="2BB26DD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0,663</w:t>
            </w:r>
          </w:p>
        </w:tc>
        <w:tc>
          <w:tcPr>
            <w:tcW w:w="1417" w:type="dxa"/>
            <w:tcBorders>
              <w:top w:val="single" w:sz="4" w:space="0" w:color="auto"/>
            </w:tcBorders>
            <w:shd w:val="clear" w:color="auto" w:fill="FFFFFF"/>
            <w:vAlign w:val="bottom"/>
          </w:tcPr>
          <w:p w14:paraId="772D8E93"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0,935</w:t>
            </w:r>
          </w:p>
        </w:tc>
        <w:tc>
          <w:tcPr>
            <w:tcW w:w="1276" w:type="dxa"/>
            <w:tcBorders>
              <w:top w:val="single" w:sz="4" w:space="0" w:color="auto"/>
            </w:tcBorders>
            <w:shd w:val="clear" w:color="auto" w:fill="FFFFFF"/>
            <w:vAlign w:val="bottom"/>
          </w:tcPr>
          <w:p w14:paraId="29C38EB2"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3,123</w:t>
            </w:r>
          </w:p>
        </w:tc>
      </w:tr>
      <w:tr w:rsidR="00B834A2" w:rsidRPr="00EC3F6C" w14:paraId="6558E081" w14:textId="77777777" w:rsidTr="00B834A2">
        <w:tc>
          <w:tcPr>
            <w:tcW w:w="1135" w:type="dxa"/>
            <w:shd w:val="clear" w:color="auto" w:fill="FFFFFF"/>
            <w:vAlign w:val="bottom"/>
          </w:tcPr>
          <w:p w14:paraId="70AF6A54"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0,483</w:t>
            </w:r>
          </w:p>
        </w:tc>
        <w:tc>
          <w:tcPr>
            <w:tcW w:w="1134" w:type="dxa"/>
            <w:shd w:val="clear" w:color="auto" w:fill="FFFFFF"/>
            <w:vAlign w:val="bottom"/>
          </w:tcPr>
          <w:p w14:paraId="148F0F48"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2,380</w:t>
            </w:r>
          </w:p>
        </w:tc>
        <w:tc>
          <w:tcPr>
            <w:tcW w:w="1134" w:type="dxa"/>
            <w:shd w:val="clear" w:color="auto" w:fill="FFFFFF"/>
            <w:vAlign w:val="bottom"/>
          </w:tcPr>
          <w:p w14:paraId="4F49ECE3"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2,872</w:t>
            </w:r>
          </w:p>
        </w:tc>
        <w:tc>
          <w:tcPr>
            <w:tcW w:w="1276" w:type="dxa"/>
            <w:shd w:val="clear" w:color="auto" w:fill="FFFFFF"/>
            <w:vAlign w:val="bottom"/>
          </w:tcPr>
          <w:p w14:paraId="62118EF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0,434</w:t>
            </w:r>
          </w:p>
        </w:tc>
        <w:tc>
          <w:tcPr>
            <w:tcW w:w="1417" w:type="dxa"/>
            <w:shd w:val="clear" w:color="auto" w:fill="FFFFFF"/>
            <w:vAlign w:val="bottom"/>
          </w:tcPr>
          <w:p w14:paraId="56A76789"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1,973</w:t>
            </w:r>
          </w:p>
        </w:tc>
        <w:tc>
          <w:tcPr>
            <w:tcW w:w="1276" w:type="dxa"/>
            <w:shd w:val="clear" w:color="auto" w:fill="FFFFFF"/>
            <w:vAlign w:val="bottom"/>
          </w:tcPr>
          <w:p w14:paraId="6F3BD4A0"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3,354</w:t>
            </w:r>
          </w:p>
        </w:tc>
      </w:tr>
      <w:tr w:rsidR="00B834A2" w:rsidRPr="00EC3F6C" w14:paraId="076EDF0F" w14:textId="77777777" w:rsidTr="00B834A2">
        <w:tc>
          <w:tcPr>
            <w:tcW w:w="1135" w:type="dxa"/>
            <w:shd w:val="clear" w:color="auto" w:fill="FFFFFF"/>
            <w:vAlign w:val="bottom"/>
          </w:tcPr>
          <w:p w14:paraId="1DA9A1B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0,623</w:t>
            </w:r>
          </w:p>
        </w:tc>
        <w:tc>
          <w:tcPr>
            <w:tcW w:w="1134" w:type="dxa"/>
            <w:shd w:val="clear" w:color="auto" w:fill="FFFFFF"/>
            <w:vAlign w:val="bottom"/>
          </w:tcPr>
          <w:p w14:paraId="0FAE8038"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0,984</w:t>
            </w:r>
          </w:p>
        </w:tc>
        <w:tc>
          <w:tcPr>
            <w:tcW w:w="1134" w:type="dxa"/>
            <w:shd w:val="clear" w:color="auto" w:fill="FFFFFF"/>
            <w:vAlign w:val="bottom"/>
          </w:tcPr>
          <w:p w14:paraId="34798C6E"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2,732</w:t>
            </w:r>
          </w:p>
        </w:tc>
        <w:tc>
          <w:tcPr>
            <w:tcW w:w="1276" w:type="dxa"/>
            <w:shd w:val="clear" w:color="auto" w:fill="FFFFFF"/>
            <w:vAlign w:val="bottom"/>
          </w:tcPr>
          <w:p w14:paraId="360D389F"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0,71</w:t>
            </w:r>
          </w:p>
        </w:tc>
        <w:tc>
          <w:tcPr>
            <w:tcW w:w="1417" w:type="dxa"/>
            <w:shd w:val="clear" w:color="auto" w:fill="FFFFFF"/>
            <w:vAlign w:val="bottom"/>
          </w:tcPr>
          <w:p w14:paraId="3441EB60"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2,199</w:t>
            </w:r>
          </w:p>
        </w:tc>
        <w:tc>
          <w:tcPr>
            <w:tcW w:w="1276" w:type="dxa"/>
            <w:shd w:val="clear" w:color="auto" w:fill="FFFFFF"/>
            <w:vAlign w:val="bottom"/>
          </w:tcPr>
          <w:p w14:paraId="5FEFA3E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1,769</w:t>
            </w:r>
          </w:p>
        </w:tc>
      </w:tr>
      <w:tr w:rsidR="00B834A2" w:rsidRPr="00EC3F6C" w14:paraId="1A4AF27B" w14:textId="77777777" w:rsidTr="00B834A2">
        <w:tc>
          <w:tcPr>
            <w:tcW w:w="1135" w:type="dxa"/>
            <w:shd w:val="clear" w:color="auto" w:fill="FFFFFF"/>
            <w:vAlign w:val="bottom"/>
          </w:tcPr>
          <w:p w14:paraId="437000A4"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0,462</w:t>
            </w:r>
          </w:p>
        </w:tc>
        <w:tc>
          <w:tcPr>
            <w:tcW w:w="1134" w:type="dxa"/>
            <w:shd w:val="clear" w:color="auto" w:fill="FFFFFF"/>
            <w:vAlign w:val="bottom"/>
          </w:tcPr>
          <w:p w14:paraId="3AD56447"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1,265</w:t>
            </w:r>
          </w:p>
        </w:tc>
        <w:tc>
          <w:tcPr>
            <w:tcW w:w="1134" w:type="dxa"/>
            <w:shd w:val="clear" w:color="auto" w:fill="FFFFFF"/>
            <w:vAlign w:val="bottom"/>
          </w:tcPr>
          <w:p w14:paraId="2774C353"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3,043</w:t>
            </w:r>
          </w:p>
        </w:tc>
        <w:tc>
          <w:tcPr>
            <w:tcW w:w="1276" w:type="dxa"/>
            <w:shd w:val="clear" w:color="auto" w:fill="FFFFFF"/>
            <w:vAlign w:val="bottom"/>
          </w:tcPr>
          <w:p w14:paraId="4575FE3A"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0,637</w:t>
            </w:r>
          </w:p>
        </w:tc>
        <w:tc>
          <w:tcPr>
            <w:tcW w:w="1417" w:type="dxa"/>
            <w:shd w:val="clear" w:color="auto" w:fill="FFFFFF"/>
            <w:vAlign w:val="bottom"/>
          </w:tcPr>
          <w:p w14:paraId="5AA6BDF4"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0,886</w:t>
            </w:r>
          </w:p>
        </w:tc>
        <w:tc>
          <w:tcPr>
            <w:tcW w:w="1276" w:type="dxa"/>
            <w:shd w:val="clear" w:color="auto" w:fill="FFFFFF"/>
            <w:vAlign w:val="bottom"/>
          </w:tcPr>
          <w:p w14:paraId="49D20D09"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4,382</w:t>
            </w:r>
          </w:p>
        </w:tc>
      </w:tr>
      <w:tr w:rsidR="00B834A2" w:rsidRPr="00EC3F6C" w14:paraId="17269A2B" w14:textId="77777777" w:rsidTr="00B834A2">
        <w:tc>
          <w:tcPr>
            <w:tcW w:w="1135" w:type="dxa"/>
            <w:shd w:val="clear" w:color="auto" w:fill="FFFFFF"/>
            <w:vAlign w:val="bottom"/>
          </w:tcPr>
          <w:p w14:paraId="484514DA"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0,619</w:t>
            </w:r>
          </w:p>
        </w:tc>
        <w:tc>
          <w:tcPr>
            <w:tcW w:w="1134" w:type="dxa"/>
            <w:shd w:val="clear" w:color="auto" w:fill="FFFFFF"/>
            <w:vAlign w:val="bottom"/>
          </w:tcPr>
          <w:p w14:paraId="1D3DC39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1,568</w:t>
            </w:r>
          </w:p>
        </w:tc>
        <w:tc>
          <w:tcPr>
            <w:tcW w:w="1134" w:type="dxa"/>
            <w:shd w:val="clear" w:color="auto" w:fill="FFFFFF"/>
            <w:vAlign w:val="bottom"/>
          </w:tcPr>
          <w:p w14:paraId="6584596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2,717</w:t>
            </w:r>
          </w:p>
        </w:tc>
        <w:tc>
          <w:tcPr>
            <w:tcW w:w="1276" w:type="dxa"/>
            <w:shd w:val="clear" w:color="auto" w:fill="FFFFFF"/>
            <w:vAlign w:val="bottom"/>
          </w:tcPr>
          <w:p w14:paraId="2165D7E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0,47</w:t>
            </w:r>
          </w:p>
        </w:tc>
        <w:tc>
          <w:tcPr>
            <w:tcW w:w="1417" w:type="dxa"/>
            <w:shd w:val="clear" w:color="auto" w:fill="FFFFFF"/>
            <w:vAlign w:val="bottom"/>
          </w:tcPr>
          <w:p w14:paraId="5B1951F9"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1,097</w:t>
            </w:r>
          </w:p>
        </w:tc>
        <w:tc>
          <w:tcPr>
            <w:tcW w:w="1276" w:type="dxa"/>
            <w:shd w:val="clear" w:color="auto" w:fill="FFFFFF"/>
            <w:vAlign w:val="bottom"/>
          </w:tcPr>
          <w:p w14:paraId="756AA41B"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3,525</w:t>
            </w:r>
          </w:p>
        </w:tc>
      </w:tr>
      <w:tr w:rsidR="00B834A2" w:rsidRPr="00EC3F6C" w14:paraId="444A4ACE" w14:textId="77777777" w:rsidTr="00B834A2">
        <w:tc>
          <w:tcPr>
            <w:tcW w:w="1135" w:type="dxa"/>
            <w:shd w:val="clear" w:color="auto" w:fill="FFFFFF"/>
            <w:vAlign w:val="bottom"/>
          </w:tcPr>
          <w:p w14:paraId="3EF52EE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0,436</w:t>
            </w:r>
          </w:p>
        </w:tc>
        <w:tc>
          <w:tcPr>
            <w:tcW w:w="1134" w:type="dxa"/>
            <w:shd w:val="clear" w:color="auto" w:fill="FFFFFF"/>
            <w:vAlign w:val="bottom"/>
          </w:tcPr>
          <w:p w14:paraId="5F1602A0"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1,167</w:t>
            </w:r>
          </w:p>
        </w:tc>
        <w:tc>
          <w:tcPr>
            <w:tcW w:w="1134" w:type="dxa"/>
            <w:shd w:val="clear" w:color="auto" w:fill="FFFFFF"/>
            <w:vAlign w:val="bottom"/>
          </w:tcPr>
          <w:p w14:paraId="6A6FADBB"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2,939</w:t>
            </w:r>
          </w:p>
        </w:tc>
        <w:tc>
          <w:tcPr>
            <w:tcW w:w="1276" w:type="dxa"/>
            <w:shd w:val="clear" w:color="auto" w:fill="FFFFFF"/>
            <w:vAlign w:val="bottom"/>
          </w:tcPr>
          <w:p w14:paraId="5968D79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0,65</w:t>
            </w:r>
          </w:p>
        </w:tc>
        <w:tc>
          <w:tcPr>
            <w:tcW w:w="1417" w:type="dxa"/>
            <w:shd w:val="clear" w:color="auto" w:fill="FFFFFF"/>
            <w:vAlign w:val="bottom"/>
          </w:tcPr>
          <w:p w14:paraId="2622C073"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2,447</w:t>
            </w:r>
          </w:p>
        </w:tc>
        <w:tc>
          <w:tcPr>
            <w:tcW w:w="1276" w:type="dxa"/>
            <w:shd w:val="clear" w:color="auto" w:fill="FFFFFF"/>
            <w:vAlign w:val="bottom"/>
          </w:tcPr>
          <w:p w14:paraId="1E3DCF66"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3,331</w:t>
            </w:r>
          </w:p>
        </w:tc>
      </w:tr>
      <w:tr w:rsidR="00B834A2" w:rsidRPr="00EC3F6C" w14:paraId="259BC2F1" w14:textId="77777777" w:rsidTr="00B834A2">
        <w:tc>
          <w:tcPr>
            <w:tcW w:w="1135" w:type="dxa"/>
            <w:shd w:val="clear" w:color="auto" w:fill="FFFFFF"/>
            <w:vAlign w:val="bottom"/>
          </w:tcPr>
          <w:p w14:paraId="71249700"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0,495</w:t>
            </w:r>
          </w:p>
        </w:tc>
        <w:tc>
          <w:tcPr>
            <w:tcW w:w="1134" w:type="dxa"/>
            <w:shd w:val="clear" w:color="auto" w:fill="FFFFFF"/>
            <w:vAlign w:val="bottom"/>
          </w:tcPr>
          <w:p w14:paraId="23C1D6DC"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1,743</w:t>
            </w:r>
          </w:p>
        </w:tc>
        <w:tc>
          <w:tcPr>
            <w:tcW w:w="1134" w:type="dxa"/>
            <w:shd w:val="clear" w:color="auto" w:fill="FFFFFF"/>
            <w:vAlign w:val="bottom"/>
          </w:tcPr>
          <w:p w14:paraId="5E5C7323"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1,785</w:t>
            </w:r>
          </w:p>
        </w:tc>
        <w:tc>
          <w:tcPr>
            <w:tcW w:w="1276" w:type="dxa"/>
            <w:shd w:val="clear" w:color="auto" w:fill="FFFFFF"/>
            <w:vAlign w:val="bottom"/>
          </w:tcPr>
          <w:p w14:paraId="1BB9EEEB"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0,600</w:t>
            </w:r>
          </w:p>
        </w:tc>
        <w:tc>
          <w:tcPr>
            <w:tcW w:w="1417" w:type="dxa"/>
            <w:shd w:val="clear" w:color="auto" w:fill="FFFFFF"/>
            <w:vAlign w:val="bottom"/>
          </w:tcPr>
          <w:p w14:paraId="470F61BF"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1,941</w:t>
            </w:r>
          </w:p>
        </w:tc>
        <w:tc>
          <w:tcPr>
            <w:tcW w:w="1276" w:type="dxa"/>
            <w:shd w:val="clear" w:color="auto" w:fill="FFFFFF"/>
            <w:vAlign w:val="bottom"/>
          </w:tcPr>
          <w:p w14:paraId="3425B4F4"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3,995</w:t>
            </w:r>
          </w:p>
        </w:tc>
      </w:tr>
      <w:tr w:rsidR="00B834A2" w:rsidRPr="00EC3F6C" w14:paraId="0BF308C6" w14:textId="77777777" w:rsidTr="00B834A2">
        <w:tc>
          <w:tcPr>
            <w:tcW w:w="1135" w:type="dxa"/>
            <w:shd w:val="clear" w:color="auto" w:fill="FFFFFF"/>
            <w:vAlign w:val="bottom"/>
          </w:tcPr>
          <w:p w14:paraId="63926A45"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0,568</w:t>
            </w:r>
          </w:p>
        </w:tc>
        <w:tc>
          <w:tcPr>
            <w:tcW w:w="1134" w:type="dxa"/>
            <w:shd w:val="clear" w:color="auto" w:fill="FFFFFF"/>
            <w:vAlign w:val="bottom"/>
          </w:tcPr>
          <w:p w14:paraId="0303C74A"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1,375</w:t>
            </w:r>
          </w:p>
        </w:tc>
        <w:tc>
          <w:tcPr>
            <w:tcW w:w="1134" w:type="dxa"/>
            <w:shd w:val="clear" w:color="auto" w:fill="FFFFFF"/>
            <w:vAlign w:val="bottom"/>
          </w:tcPr>
          <w:p w14:paraId="43011CC7"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3,474</w:t>
            </w:r>
          </w:p>
        </w:tc>
        <w:tc>
          <w:tcPr>
            <w:tcW w:w="1276" w:type="dxa"/>
            <w:shd w:val="clear" w:color="auto" w:fill="FFFFFF"/>
            <w:vAlign w:val="bottom"/>
          </w:tcPr>
          <w:p w14:paraId="1CB9CF4C"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0,820</w:t>
            </w:r>
          </w:p>
        </w:tc>
        <w:tc>
          <w:tcPr>
            <w:tcW w:w="1417" w:type="dxa"/>
            <w:shd w:val="clear" w:color="auto" w:fill="FFFFFF"/>
            <w:vAlign w:val="bottom"/>
          </w:tcPr>
          <w:p w14:paraId="1F52484A"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1,151</w:t>
            </w:r>
          </w:p>
        </w:tc>
        <w:tc>
          <w:tcPr>
            <w:tcW w:w="1276" w:type="dxa"/>
            <w:shd w:val="clear" w:color="auto" w:fill="FFFFFF"/>
            <w:vAlign w:val="bottom"/>
          </w:tcPr>
          <w:p w14:paraId="32AC02C5"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2,977</w:t>
            </w:r>
          </w:p>
        </w:tc>
      </w:tr>
      <w:tr w:rsidR="00B834A2" w:rsidRPr="00EC3F6C" w14:paraId="0C66CFE7" w14:textId="77777777" w:rsidTr="00B834A2">
        <w:tc>
          <w:tcPr>
            <w:tcW w:w="1135" w:type="dxa"/>
            <w:tcBorders>
              <w:bottom w:val="single" w:sz="4" w:space="0" w:color="auto"/>
            </w:tcBorders>
            <w:shd w:val="clear" w:color="auto" w:fill="FFFFFF"/>
            <w:vAlign w:val="bottom"/>
          </w:tcPr>
          <w:p w14:paraId="05A4592B"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0,593</w:t>
            </w:r>
          </w:p>
        </w:tc>
        <w:tc>
          <w:tcPr>
            <w:tcW w:w="1134" w:type="dxa"/>
            <w:tcBorders>
              <w:bottom w:val="single" w:sz="4" w:space="0" w:color="auto"/>
            </w:tcBorders>
            <w:shd w:val="clear" w:color="auto" w:fill="FFFFFF"/>
            <w:vAlign w:val="bottom"/>
          </w:tcPr>
          <w:p w14:paraId="0CFD73CE"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1,375</w:t>
            </w:r>
          </w:p>
        </w:tc>
        <w:tc>
          <w:tcPr>
            <w:tcW w:w="1134" w:type="dxa"/>
            <w:tcBorders>
              <w:bottom w:val="single" w:sz="4" w:space="0" w:color="auto"/>
            </w:tcBorders>
            <w:shd w:val="clear" w:color="auto" w:fill="FFFFFF"/>
            <w:vAlign w:val="bottom"/>
          </w:tcPr>
          <w:p w14:paraId="72506D9D"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3,120</w:t>
            </w:r>
          </w:p>
        </w:tc>
        <w:tc>
          <w:tcPr>
            <w:tcW w:w="1276" w:type="dxa"/>
            <w:tcBorders>
              <w:bottom w:val="single" w:sz="4" w:space="0" w:color="auto"/>
            </w:tcBorders>
            <w:shd w:val="clear" w:color="auto" w:fill="FFFFFF"/>
            <w:vAlign w:val="bottom"/>
          </w:tcPr>
          <w:p w14:paraId="128A20B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0,512</w:t>
            </w:r>
          </w:p>
        </w:tc>
        <w:tc>
          <w:tcPr>
            <w:tcW w:w="1417" w:type="dxa"/>
            <w:tcBorders>
              <w:bottom w:val="single" w:sz="4" w:space="0" w:color="auto"/>
            </w:tcBorders>
            <w:shd w:val="clear" w:color="auto" w:fill="FFFFFF"/>
            <w:vAlign w:val="bottom"/>
          </w:tcPr>
          <w:p w14:paraId="5814D521"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2,804</w:t>
            </w:r>
          </w:p>
        </w:tc>
        <w:tc>
          <w:tcPr>
            <w:tcW w:w="1276" w:type="dxa"/>
            <w:tcBorders>
              <w:bottom w:val="single" w:sz="4" w:space="0" w:color="auto"/>
            </w:tcBorders>
            <w:shd w:val="clear" w:color="auto" w:fill="FFFFFF"/>
            <w:vAlign w:val="bottom"/>
          </w:tcPr>
          <w:p w14:paraId="324140FC" w14:textId="77777777" w:rsidR="00B834A2" w:rsidRPr="00EC3F6C" w:rsidRDefault="00B834A2" w:rsidP="00EC3F6C">
            <w:pPr>
              <w:pStyle w:val="Bodytext20"/>
              <w:shd w:val="clear" w:color="auto" w:fill="auto"/>
              <w:spacing w:before="0" w:line="240" w:lineRule="auto"/>
              <w:rPr>
                <w:rFonts w:ascii="Sylfaen" w:hAnsi="Sylfaen" w:cs="Sylfaen"/>
                <w:sz w:val="20"/>
                <w:szCs w:val="20"/>
              </w:rPr>
            </w:pPr>
            <w:r w:rsidRPr="00EC3F6C">
              <w:rPr>
                <w:rStyle w:val="Bodytext31Sylfaen9"/>
                <w:sz w:val="20"/>
                <w:szCs w:val="20"/>
              </w:rPr>
              <w:t>2,556</w:t>
            </w:r>
          </w:p>
        </w:tc>
      </w:tr>
    </w:tbl>
    <w:p w14:paraId="5F4287E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1665024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w:t>
      </w:r>
      <w:r w:rsidRPr="00B834A2">
        <w:rPr>
          <w:rStyle w:val="Bodytext31Sylfaen9"/>
          <w:sz w:val="24"/>
          <w:szCs w:val="24"/>
        </w:rPr>
        <w:t xml:space="preserve"> Ընդ որում, դիսպերսիաների արժեքները հաշվարկվում են 8 աղբյուրի համար (3.2.2-7 ամփոփիչ աղյուսակ)։</w:t>
      </w:r>
    </w:p>
    <w:p w14:paraId="3C158209" w14:textId="77777777" w:rsidR="00B834A2" w:rsidRPr="00EC3F6C"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EC3F6C">
        <w:rPr>
          <w:rStyle w:val="Bodytext31Sylfaen9"/>
          <w:i w:val="0"/>
          <w:sz w:val="24"/>
          <w:szCs w:val="24"/>
        </w:rPr>
        <w:t>Այդ նպատակով 3.2.2-5 եւ 3.2.2.-6 աղյուսակում ներկայացված տվյալների, ինչպես նաեւ ուղղիչ գործակցի հիման վրա հաշվարկվում են դիսպերսիայի աղբյուրների քառակուսիների գումարները։</w:t>
      </w:r>
    </w:p>
    <w:p w14:paraId="202A731B" w14:textId="77777777" w:rsidR="00B834A2" w:rsidRPr="00EC3F6C" w:rsidRDefault="00B834A2" w:rsidP="009A3F5E">
      <w:pPr>
        <w:pStyle w:val="Bodytext20"/>
        <w:shd w:val="clear" w:color="auto" w:fill="auto"/>
        <w:spacing w:before="0" w:after="160" w:line="360" w:lineRule="auto"/>
        <w:ind w:firstLine="567"/>
        <w:jc w:val="both"/>
        <w:rPr>
          <w:rStyle w:val="Bodytext31Sylfaen9"/>
          <w:i w:val="0"/>
          <w:sz w:val="24"/>
          <w:szCs w:val="24"/>
          <w:lang w:val="en-GB"/>
        </w:rPr>
      </w:pPr>
      <w:r w:rsidRPr="00EC3F6C">
        <w:rPr>
          <w:rStyle w:val="Bodytext31Sylfaen9"/>
          <w:i w:val="0"/>
          <w:sz w:val="24"/>
          <w:szCs w:val="24"/>
        </w:rPr>
        <w:t>Ուղղիչ գործակիցը՝</w:t>
      </w:r>
    </w:p>
    <w:p w14:paraId="178E9280" w14:textId="77777777" w:rsidR="00B834A2" w:rsidRDefault="00000000" w:rsidP="009A3F5E">
      <w:pPr>
        <w:pStyle w:val="Bodytext20"/>
        <w:shd w:val="clear" w:color="auto" w:fill="auto"/>
        <w:spacing w:before="0" w:after="160" w:line="360" w:lineRule="auto"/>
        <w:ind w:firstLine="567"/>
        <w:jc w:val="both"/>
        <w:rPr>
          <w:rStyle w:val="Bodytext31Sylfaen9"/>
          <w:sz w:val="24"/>
          <w:szCs w:val="24"/>
          <w:lang w:val="en-US"/>
        </w:rPr>
      </w:pPr>
      <w:r>
        <w:rPr>
          <w:rFonts w:ascii="Sylfaen" w:eastAsia="Sylfaen" w:hAnsi="Sylfaen" w:cs="Sylfaen"/>
          <w:noProof/>
          <w:sz w:val="24"/>
          <w:szCs w:val="24"/>
          <w:lang w:val="en-US" w:eastAsia="en-US" w:bidi="ar-SA"/>
        </w:rPr>
        <w:pict w14:anchorId="4DA34A33">
          <v:group id="_x0000_s1427" style="position:absolute;left:0;text-align:left;margin-left:-8pt;margin-top:41.65pt;width:139.3pt;height:97.55pt;z-index:251735552" coordorigin="1258,12744" coordsize="2786,1951">
            <v:rect id="_x0000_s1370" style="position:absolute;left:1403;top:12744;width:2641;height:583" stroked="f">
              <v:textbox>
                <w:txbxContent>
                  <w:p w14:paraId="24D492B3" w14:textId="77777777" w:rsidR="008D6E8B" w:rsidRPr="00585F13" w:rsidRDefault="008D6E8B" w:rsidP="00B834A2">
                    <w:pPr>
                      <w:rPr>
                        <w:sz w:val="20"/>
                        <w:szCs w:val="20"/>
                      </w:rPr>
                    </w:pPr>
                    <w:r w:rsidRPr="00BC6E6E">
                      <w:rPr>
                        <w:sz w:val="20"/>
                        <w:szCs w:val="20"/>
                      </w:rPr>
                      <w:t>Դեղապատրաստուկներ</w:t>
                    </w:r>
                  </w:p>
                </w:txbxContent>
              </v:textbox>
            </v:rect>
            <v:rect id="_x0000_s1371" style="position:absolute;left:1258;top:14150;width:1875;height:545" stroked="f">
              <v:textbox>
                <w:txbxContent>
                  <w:p w14:paraId="2382C353" w14:textId="77777777" w:rsidR="008D6E8B" w:rsidRPr="00585F13" w:rsidRDefault="008D6E8B" w:rsidP="00B834A2">
                    <w:pPr>
                      <w:rPr>
                        <w:sz w:val="20"/>
                        <w:szCs w:val="20"/>
                      </w:rPr>
                    </w:pPr>
                    <w:r w:rsidRPr="00BC6E6E">
                      <w:rPr>
                        <w:sz w:val="20"/>
                        <w:szCs w:val="20"/>
                      </w:rPr>
                      <w:t>Ռեգրեսիա</w:t>
                    </w:r>
                  </w:p>
                </w:txbxContent>
              </v:textbox>
            </v:rect>
          </v:group>
        </w:pict>
      </w:r>
      <w:r w:rsidR="00EC3F6C" w:rsidRPr="00B834A2">
        <w:rPr>
          <w:rFonts w:ascii="Sylfaen" w:eastAsia="Sylfaen" w:hAnsi="Sylfaen" w:cs="Sylfaen"/>
          <w:noProof/>
          <w:sz w:val="24"/>
          <w:szCs w:val="24"/>
          <w:shd w:val="clear" w:color="auto" w:fill="FFFFFF"/>
          <w:lang w:val="en-US" w:eastAsia="en-US" w:bidi="ar-SA"/>
        </w:rPr>
        <w:drawing>
          <wp:inline distT="0" distB="0" distL="0" distR="0" wp14:anchorId="0C627008" wp14:editId="37708CCB">
            <wp:extent cx="2955375" cy="1883121"/>
            <wp:effectExtent l="19050" t="0" r="0" b="0"/>
            <wp:docPr id="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srcRect/>
                    <a:stretch>
                      <a:fillRect/>
                    </a:stretch>
                  </pic:blipFill>
                  <pic:spPr bwMode="auto">
                    <a:xfrm>
                      <a:off x="0" y="0"/>
                      <a:ext cx="2957461" cy="1884450"/>
                    </a:xfrm>
                    <a:prstGeom prst="rect">
                      <a:avLst/>
                    </a:prstGeom>
                    <a:noFill/>
                    <a:ln w="9525">
                      <a:noFill/>
                      <a:miter lim="800000"/>
                      <a:headEnd/>
                      <a:tailEnd/>
                    </a:ln>
                  </pic:spPr>
                </pic:pic>
              </a:graphicData>
            </a:graphic>
          </wp:inline>
        </w:drawing>
      </w:r>
    </w:p>
    <w:p w14:paraId="5396FB1C" w14:textId="77777777" w:rsidR="005B6181" w:rsidRPr="005B6181" w:rsidRDefault="005B6181" w:rsidP="009A3F5E">
      <w:pPr>
        <w:pStyle w:val="Bodytext20"/>
        <w:shd w:val="clear" w:color="auto" w:fill="auto"/>
        <w:spacing w:before="0" w:after="160" w:line="360" w:lineRule="auto"/>
        <w:ind w:firstLine="567"/>
        <w:jc w:val="both"/>
        <w:rPr>
          <w:rStyle w:val="Bodytext31Sylfaen9"/>
          <w:sz w:val="24"/>
          <w:szCs w:val="24"/>
          <w:lang w:val="en-US"/>
        </w:rPr>
      </w:pPr>
    </w:p>
    <w:p w14:paraId="622C4D5E" w14:textId="77777777" w:rsidR="00B834A2" w:rsidRPr="00B834A2" w:rsidRDefault="00000000" w:rsidP="009A3F5E">
      <w:pPr>
        <w:pStyle w:val="Bodytext20"/>
        <w:shd w:val="clear" w:color="auto" w:fill="auto"/>
        <w:spacing w:before="0" w:after="160" w:line="360" w:lineRule="auto"/>
        <w:ind w:firstLine="567"/>
        <w:jc w:val="both"/>
        <w:rPr>
          <w:rStyle w:val="Bodytext2Italic"/>
          <w:sz w:val="24"/>
          <w:szCs w:val="24"/>
        </w:rPr>
      </w:pPr>
      <w:r>
        <w:rPr>
          <w:rFonts w:ascii="Sylfaen" w:hAnsi="Sylfaen" w:cs="Sylfaen"/>
          <w:noProof/>
          <w:sz w:val="24"/>
          <w:szCs w:val="24"/>
          <w:lang w:val="en-US" w:eastAsia="en-US" w:bidi="ar-SA"/>
        </w:rPr>
        <w:lastRenderedPageBreak/>
        <w:pict w14:anchorId="73D60FD3">
          <v:group id="_x0000_s1428" style="position:absolute;left:0;text-align:left;margin-left:-2.65pt;margin-top:6.25pt;width:255.9pt;height:348.65pt;z-index:251739904" coordorigin="1365,1543" coordsize="5118,6973">
            <v:rect id="_x0000_s1372" style="position:absolute;left:2434;top:1543;width:2335;height:578" stroked="f">
              <v:textbox>
                <w:txbxContent>
                  <w:p w14:paraId="19AFE66B" w14:textId="77777777" w:rsidR="008D6E8B" w:rsidRPr="00ED546E" w:rsidRDefault="008D6E8B" w:rsidP="00B834A2">
                    <w:pPr>
                      <w:rPr>
                        <w:sz w:val="20"/>
                        <w:szCs w:val="20"/>
                      </w:rPr>
                    </w:pPr>
                    <w:r w:rsidRPr="00BC6E6E">
                      <w:rPr>
                        <w:sz w:val="20"/>
                        <w:szCs w:val="20"/>
                      </w:rPr>
                      <w:t>Ոչ զուգահեռություն</w:t>
                    </w:r>
                  </w:p>
                </w:txbxContent>
              </v:textbox>
            </v:rect>
            <v:rect id="_x0000_s1373" style="position:absolute;left:1590;top:2903;width:2461;height:531" stroked="f">
              <v:textbox>
                <w:txbxContent>
                  <w:p w14:paraId="5BF9F761" w14:textId="77777777" w:rsidR="008D6E8B" w:rsidRPr="00EC3F6C" w:rsidRDefault="008D6E8B" w:rsidP="00B834A2">
                    <w:pPr>
                      <w:rPr>
                        <w:sz w:val="20"/>
                      </w:rPr>
                    </w:pPr>
                    <w:r w:rsidRPr="00EC3F6C">
                      <w:rPr>
                        <w:sz w:val="20"/>
                      </w:rPr>
                      <w:t>Քառակուսիություն</w:t>
                    </w:r>
                  </w:p>
                </w:txbxContent>
              </v:textbox>
            </v:rect>
            <v:rect id="_x0000_s1374" style="position:absolute;left:1365;top:3844;width:3944;height:562" stroked="f">
              <v:textbox>
                <w:txbxContent>
                  <w:p w14:paraId="134F548A" w14:textId="77777777" w:rsidR="008D6E8B" w:rsidRPr="00ED546E" w:rsidRDefault="008D6E8B" w:rsidP="00B834A2">
                    <w:pPr>
                      <w:rPr>
                        <w:sz w:val="20"/>
                        <w:szCs w:val="20"/>
                      </w:rPr>
                    </w:pPr>
                    <w:r w:rsidRPr="00BC6E6E">
                      <w:rPr>
                        <w:sz w:val="20"/>
                        <w:szCs w:val="20"/>
                      </w:rPr>
                      <w:t>Քառակուսիության տարբերություն</w:t>
                    </w:r>
                  </w:p>
                </w:txbxContent>
              </v:textbox>
            </v:rect>
            <v:rect id="_x0000_s1375" style="position:absolute;left:2055;top:4570;width:2359;height:498" stroked="f">
              <v:textbox>
                <w:txbxContent>
                  <w:p w14:paraId="5358C7ED" w14:textId="77777777" w:rsidR="008D6E8B" w:rsidRDefault="008D6E8B" w:rsidP="00B834A2">
                    <w:r w:rsidRPr="00BC6E6E">
                      <w:rPr>
                        <w:sz w:val="20"/>
                        <w:szCs w:val="20"/>
                      </w:rPr>
                      <w:t>Քառակուսիություն</w:t>
                    </w:r>
                  </w:p>
                </w:txbxContent>
              </v:textbox>
            </v:rect>
            <v:rect id="_x0000_s1376" style="position:absolute;left:3592;top:5068;width:2136;height:539" stroked="f">
              <v:textbox>
                <w:txbxContent>
                  <w:p w14:paraId="1F6C02A3" w14:textId="77777777" w:rsidR="008D6E8B" w:rsidRPr="009513CF" w:rsidRDefault="008D6E8B" w:rsidP="00B834A2">
                    <w:pPr>
                      <w:rPr>
                        <w:sz w:val="20"/>
                        <w:szCs w:val="20"/>
                      </w:rPr>
                    </w:pPr>
                    <w:r w:rsidRPr="00BC6E6E">
                      <w:rPr>
                        <w:sz w:val="20"/>
                        <w:szCs w:val="20"/>
                      </w:rPr>
                      <w:t>Քառակուսիություն</w:t>
                    </w:r>
                  </w:p>
                </w:txbxContent>
              </v:textbox>
            </v:rect>
            <v:rect id="_x0000_s1377" style="position:absolute;left:1440;top:7613;width:1377;height:452" stroked="f">
              <v:textbox>
                <w:txbxContent>
                  <w:p w14:paraId="62A87E97" w14:textId="77777777" w:rsidR="008D6E8B" w:rsidRPr="00585F13" w:rsidRDefault="008D6E8B" w:rsidP="00B834A2">
                    <w:pPr>
                      <w:rPr>
                        <w:sz w:val="20"/>
                        <w:szCs w:val="20"/>
                      </w:rPr>
                    </w:pPr>
                    <w:r w:rsidRPr="00BC6E6E">
                      <w:rPr>
                        <w:sz w:val="20"/>
                        <w:szCs w:val="20"/>
                      </w:rPr>
                      <w:t>Արդյունք</w:t>
                    </w:r>
                  </w:p>
                </w:txbxContent>
              </v:textbox>
            </v:rect>
            <v:rect id="_x0000_s1378" style="position:absolute;left:2542;top:8065;width:3941;height:451" stroked="f">
              <v:textbox>
                <w:txbxContent>
                  <w:p w14:paraId="1B8B5AE7" w14:textId="77777777" w:rsidR="008D6E8B" w:rsidRPr="00585F13" w:rsidRDefault="008D6E8B" w:rsidP="00B834A2">
                    <w:pPr>
                      <w:rPr>
                        <w:sz w:val="20"/>
                        <w:szCs w:val="20"/>
                      </w:rPr>
                    </w:pPr>
                    <w:r w:rsidRPr="00BC6E6E">
                      <w:rPr>
                        <w:sz w:val="20"/>
                        <w:szCs w:val="20"/>
                      </w:rPr>
                      <w:t xml:space="preserve">Շեղում </w:t>
                    </w:r>
                    <w:r>
                      <w:rPr>
                        <w:sz w:val="20"/>
                        <w:szCs w:val="20"/>
                        <w:lang w:val="en-US"/>
                      </w:rPr>
                      <w:t>-</w:t>
                    </w:r>
                    <w:r w:rsidRPr="00BC6E6E">
                      <w:rPr>
                        <w:sz w:val="20"/>
                        <w:szCs w:val="20"/>
                      </w:rPr>
                      <w:t xml:space="preserve"> արդյունք - կիրառումներ</w:t>
                    </w:r>
                  </w:p>
                </w:txbxContent>
              </v:textbox>
            </v:rect>
          </v:group>
        </w:pict>
      </w:r>
      <w:r w:rsidR="00B834A2" w:rsidRPr="00B834A2">
        <w:rPr>
          <w:rFonts w:ascii="Sylfaen" w:hAnsi="Sylfaen" w:cs="Sylfaen"/>
          <w:noProof/>
          <w:sz w:val="24"/>
          <w:szCs w:val="24"/>
          <w:shd w:val="clear" w:color="auto" w:fill="FFFFFF"/>
          <w:lang w:val="en-US" w:eastAsia="en-US" w:bidi="ar-SA"/>
        </w:rPr>
        <w:drawing>
          <wp:inline distT="0" distB="0" distL="0" distR="0" wp14:anchorId="762A07D0" wp14:editId="457AA1A3">
            <wp:extent cx="3516121" cy="4689764"/>
            <wp:effectExtent l="19050" t="0" r="8129" b="0"/>
            <wp:docPr id="2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a:stretch>
                      <a:fillRect/>
                    </a:stretch>
                  </pic:blipFill>
                  <pic:spPr bwMode="auto">
                    <a:xfrm>
                      <a:off x="0" y="0"/>
                      <a:ext cx="3515804" cy="4689341"/>
                    </a:xfrm>
                    <a:prstGeom prst="rect">
                      <a:avLst/>
                    </a:prstGeom>
                    <a:noFill/>
                    <a:ln w="9525">
                      <a:noFill/>
                      <a:miter lim="800000"/>
                      <a:headEnd/>
                      <a:tailEnd/>
                    </a:ln>
                  </pic:spPr>
                </pic:pic>
              </a:graphicData>
            </a:graphic>
          </wp:inline>
        </w:drawing>
      </w:r>
    </w:p>
    <w:p w14:paraId="58A0F413"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EA5644">
        <w:rPr>
          <w:rStyle w:val="Bodytext31Sylfaen9"/>
          <w:i w:val="0"/>
          <w:sz w:val="24"/>
          <w:szCs w:val="24"/>
        </w:rPr>
        <w:t>Դիսպերսիաների տարբերությունների նշանակալիությունը ստուգվում է Ֆիշերի չափորոշչի միջոցով</w:t>
      </w:r>
      <w:r w:rsidRPr="00B834A2">
        <w:rPr>
          <w:rStyle w:val="Bodytext31Sylfaen9"/>
          <w:sz w:val="24"/>
          <w:szCs w:val="24"/>
        </w:rPr>
        <w:t xml:space="preserve">։ </w:t>
      </w:r>
      <w:r w:rsidRPr="00B834A2">
        <w:rPr>
          <w:rFonts w:ascii="Sylfaen" w:hAnsi="Sylfaen"/>
          <w:sz w:val="24"/>
          <w:szCs w:val="24"/>
        </w:rPr>
        <w:t>«Ռեգրեսիա», «Ոչ զուգահեռություն» «Քառակուսիություն» եւ «Քառակուսիության տարբերություն» ցուցանիշների համար պահանջների կատարումը պարտադիր է։</w:t>
      </w:r>
      <w:r w:rsidRPr="00B834A2">
        <w:rPr>
          <w:rStyle w:val="Bodytext31Sylfaen9"/>
          <w:sz w:val="24"/>
          <w:szCs w:val="24"/>
        </w:rPr>
        <w:t xml:space="preserve"> </w:t>
      </w:r>
      <w:r w:rsidRPr="00B834A2">
        <w:rPr>
          <w:rFonts w:ascii="Sylfaen" w:hAnsi="Sylfaen"/>
          <w:sz w:val="24"/>
          <w:szCs w:val="24"/>
        </w:rPr>
        <w:t xml:space="preserve">«Ռեգրեսիա»-ի համար Ֆիշերի չափորոշչի դիտարկվող արժեքը պետք է մեծ լինի կրիտիկական արժեքից </w:t>
      </w:r>
      <w:r w:rsidRPr="00B834A2">
        <w:rPr>
          <w:rStyle w:val="Bodytext2Italic"/>
          <w:sz w:val="24"/>
          <w:szCs w:val="24"/>
        </w:rPr>
        <w:t>(р</w:t>
      </w:r>
      <w:r w:rsidRPr="00B834A2">
        <w:rPr>
          <w:rStyle w:val="Bodytext31Sylfaen9"/>
          <w:sz w:val="24"/>
          <w:szCs w:val="24"/>
        </w:rPr>
        <w:t xml:space="preserve"> = </w:t>
      </w:r>
      <w:r w:rsidRPr="00B834A2">
        <w:rPr>
          <w:rStyle w:val="Bodytext285pt"/>
          <w:spacing w:val="0"/>
          <w:sz w:val="24"/>
          <w:szCs w:val="24"/>
        </w:rPr>
        <w:t>0</w:t>
      </w:r>
      <w:r w:rsidRPr="00B834A2">
        <w:rPr>
          <w:rStyle w:val="Bodytext31Sylfaen9"/>
          <w:sz w:val="24"/>
          <w:szCs w:val="24"/>
        </w:rPr>
        <w:t>,</w:t>
      </w:r>
      <w:r w:rsidRPr="00B834A2">
        <w:rPr>
          <w:rStyle w:val="Bodytext285pt"/>
          <w:spacing w:val="0"/>
          <w:sz w:val="24"/>
          <w:szCs w:val="24"/>
        </w:rPr>
        <w:t>01</w:t>
      </w:r>
      <w:r w:rsidRPr="00B834A2">
        <w:rPr>
          <w:rStyle w:val="Bodytext31Sylfaen9"/>
          <w:sz w:val="24"/>
          <w:szCs w:val="24"/>
        </w:rPr>
        <w:t xml:space="preserve">), իսկ մյուս ցուցանիշների համար՝ կրիտիկական արժեքից փոքր </w:t>
      </w:r>
      <w:r w:rsidRPr="00B834A2">
        <w:rPr>
          <w:rStyle w:val="Bodytext2Italic"/>
          <w:sz w:val="24"/>
          <w:szCs w:val="24"/>
        </w:rPr>
        <w:t>(р =</w:t>
      </w:r>
      <w:r w:rsidRPr="00B834A2">
        <w:rPr>
          <w:rStyle w:val="Bodytext31Sylfaen9"/>
          <w:sz w:val="24"/>
          <w:szCs w:val="24"/>
        </w:rPr>
        <w:t xml:space="preserve"> 0,05)։</w:t>
      </w:r>
    </w:p>
    <w:p w14:paraId="31C07071" w14:textId="77777777" w:rsidR="00B834A2" w:rsidRPr="00C41622" w:rsidRDefault="00B834A2" w:rsidP="009A3F5E">
      <w:pPr>
        <w:pStyle w:val="Bodytext20"/>
        <w:shd w:val="clear" w:color="auto" w:fill="auto"/>
        <w:spacing w:before="0" w:after="160" w:line="360" w:lineRule="auto"/>
        <w:ind w:firstLine="567"/>
        <w:jc w:val="both"/>
        <w:rPr>
          <w:rStyle w:val="Bodytext31Sylfaen9"/>
          <w:spacing w:val="4"/>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Ստացված արդյունքները համեմատվում են Ֆիշերի չափորոշչի աղյուսակային կրիտիկական արժեքների </w:t>
      </w:r>
      <w:r w:rsidRPr="00EA5644">
        <w:rPr>
          <w:rStyle w:val="Bodytext31Sylfaen9"/>
          <w:spacing w:val="4"/>
          <w:sz w:val="24"/>
          <w:szCs w:val="24"/>
        </w:rPr>
        <w:t xml:space="preserve">հետ (հավելվածի 3-րդ աղյուսակ)։ </w:t>
      </w:r>
      <w:r w:rsidRPr="00EA5644">
        <w:rPr>
          <w:rFonts w:ascii="Sylfaen" w:hAnsi="Sylfaen"/>
          <w:spacing w:val="4"/>
          <w:sz w:val="24"/>
          <w:szCs w:val="24"/>
        </w:rPr>
        <w:t xml:space="preserve">Ազատության աստիճանների թիվը՝ </w:t>
      </w:r>
      <w:r w:rsidRPr="00EA5644">
        <w:rPr>
          <w:rStyle w:val="Bodytext31Sylfaen9"/>
          <w:spacing w:val="4"/>
          <w:sz w:val="24"/>
          <w:szCs w:val="24"/>
        </w:rPr>
        <w:t>ƒ</w:t>
      </w:r>
      <w:r w:rsidRPr="00EA5644">
        <w:rPr>
          <w:rStyle w:val="Bodytext31Sylfaen9"/>
          <w:spacing w:val="4"/>
          <w:sz w:val="24"/>
          <w:szCs w:val="24"/>
          <w:vertAlign w:val="subscript"/>
        </w:rPr>
        <w:t>1</w:t>
      </w:r>
      <w:r w:rsidRPr="00EA5644">
        <w:rPr>
          <w:rStyle w:val="Bodytext31Sylfaen9"/>
          <w:spacing w:val="4"/>
          <w:sz w:val="24"/>
          <w:szCs w:val="24"/>
        </w:rPr>
        <w:t xml:space="preserve"> = 1, իսկ ƒ</w:t>
      </w:r>
      <w:r w:rsidRPr="00EA5644">
        <w:rPr>
          <w:rStyle w:val="Bodytext285pt"/>
          <w:spacing w:val="4"/>
          <w:sz w:val="24"/>
          <w:szCs w:val="24"/>
          <w:vertAlign w:val="subscript"/>
        </w:rPr>
        <w:t>2</w:t>
      </w:r>
      <w:r w:rsidRPr="00EA5644">
        <w:rPr>
          <w:rStyle w:val="Bodytext31Sylfaen9"/>
          <w:spacing w:val="4"/>
          <w:sz w:val="24"/>
          <w:szCs w:val="24"/>
        </w:rPr>
        <w:t xml:space="preserve"> = 54։</w:t>
      </w:r>
    </w:p>
    <w:p w14:paraId="3EA67C56" w14:textId="77777777" w:rsidR="005B6181" w:rsidRPr="00C41622" w:rsidRDefault="005B6181" w:rsidP="009A3F5E">
      <w:pPr>
        <w:pStyle w:val="Bodytext20"/>
        <w:shd w:val="clear" w:color="auto" w:fill="auto"/>
        <w:spacing w:before="0" w:after="160" w:line="360" w:lineRule="auto"/>
        <w:ind w:firstLine="567"/>
        <w:jc w:val="both"/>
        <w:rPr>
          <w:rStyle w:val="Bodytext31Sylfaen9"/>
          <w:spacing w:val="4"/>
          <w:sz w:val="24"/>
          <w:szCs w:val="24"/>
        </w:rPr>
      </w:pPr>
    </w:p>
    <w:p w14:paraId="13FCCE8E"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EA5644">
        <w:rPr>
          <w:rStyle w:val="Bodytext310pt"/>
          <w:b w:val="0"/>
          <w:sz w:val="24"/>
          <w:szCs w:val="24"/>
        </w:rPr>
        <w:lastRenderedPageBreak/>
        <w:t>Աղյուսակ 3.2.2-6.</w:t>
      </w:r>
      <w:r w:rsidRPr="00EA5644">
        <w:t xml:space="preserve"> </w:t>
      </w:r>
      <w:r w:rsidRPr="00B834A2">
        <w:rPr>
          <w:rFonts w:ascii="Sylfaen" w:hAnsi="Sylfaen"/>
          <w:sz w:val="24"/>
          <w:szCs w:val="24"/>
        </w:rPr>
        <w:t>Արձագանքների գումարներն ու կոնտրաստները (երեք դեղաչափի օգտագործմամբ պատահական ընտրության կիրառում՝ խորիոնային գոնադոտրոպինի կենսաբանական ակտիվության օրինակով)</w:t>
      </w:r>
    </w:p>
    <w:tbl>
      <w:tblPr>
        <w:tblOverlap w:val="never"/>
        <w:tblW w:w="9427" w:type="dxa"/>
        <w:tblLayout w:type="fixed"/>
        <w:tblCellMar>
          <w:left w:w="10" w:type="dxa"/>
          <w:right w:w="10" w:type="dxa"/>
        </w:tblCellMar>
        <w:tblLook w:val="0000" w:firstRow="0" w:lastRow="0" w:firstColumn="0" w:lastColumn="0" w:noHBand="0" w:noVBand="0"/>
      </w:tblPr>
      <w:tblGrid>
        <w:gridCol w:w="2278"/>
        <w:gridCol w:w="2552"/>
        <w:gridCol w:w="2835"/>
        <w:gridCol w:w="1762"/>
      </w:tblGrid>
      <w:tr w:rsidR="00B834A2" w:rsidRPr="00EA5644" w14:paraId="287C9D9E" w14:textId="77777777" w:rsidTr="00B834A2">
        <w:tc>
          <w:tcPr>
            <w:tcW w:w="2278" w:type="dxa"/>
            <w:tcBorders>
              <w:top w:val="single" w:sz="4" w:space="0" w:color="auto"/>
            </w:tcBorders>
            <w:shd w:val="clear" w:color="auto" w:fill="FFFFFF"/>
          </w:tcPr>
          <w:p w14:paraId="648CD2DC" w14:textId="77777777" w:rsidR="00B834A2" w:rsidRPr="00EA5644" w:rsidRDefault="00B834A2" w:rsidP="00EA5644">
            <w:pPr>
              <w:spacing w:after="120"/>
              <w:jc w:val="both"/>
              <w:rPr>
                <w:sz w:val="20"/>
                <w:szCs w:val="20"/>
              </w:rPr>
            </w:pPr>
          </w:p>
        </w:tc>
        <w:tc>
          <w:tcPr>
            <w:tcW w:w="2552" w:type="dxa"/>
            <w:tcBorders>
              <w:top w:val="single" w:sz="4" w:space="0" w:color="auto"/>
            </w:tcBorders>
            <w:shd w:val="clear" w:color="auto" w:fill="FFFFFF"/>
          </w:tcPr>
          <w:p w14:paraId="09822162"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u w:val="single"/>
              </w:rPr>
              <w:t>S</w:t>
            </w:r>
            <w:r w:rsidRPr="00EA5644">
              <w:rPr>
                <w:rStyle w:val="Bodytext31Sylfaen9"/>
                <w:sz w:val="20"/>
                <w:szCs w:val="20"/>
              </w:rPr>
              <w:t xml:space="preserve"> ստանդարտ նմուշը</w:t>
            </w:r>
          </w:p>
        </w:tc>
        <w:tc>
          <w:tcPr>
            <w:tcW w:w="2835" w:type="dxa"/>
            <w:tcBorders>
              <w:top w:val="single" w:sz="4" w:space="0" w:color="auto"/>
            </w:tcBorders>
            <w:shd w:val="clear" w:color="auto" w:fill="FFFFFF"/>
          </w:tcPr>
          <w:p w14:paraId="60476FD0"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Fonts w:ascii="Sylfaen" w:hAnsi="Sylfaen"/>
                <w:sz w:val="20"/>
                <w:szCs w:val="20"/>
                <w:u w:val="single"/>
              </w:rPr>
              <w:t>U</w:t>
            </w:r>
            <w:r w:rsidRPr="00EA5644">
              <w:rPr>
                <w:rFonts w:ascii="Sylfaen" w:hAnsi="Sylfaen"/>
                <w:sz w:val="20"/>
                <w:szCs w:val="20"/>
              </w:rPr>
              <w:t xml:space="preserve"> փորձարկվող նմուշը</w:t>
            </w:r>
          </w:p>
        </w:tc>
        <w:tc>
          <w:tcPr>
            <w:tcW w:w="1762" w:type="dxa"/>
            <w:tcBorders>
              <w:top w:val="single" w:sz="4" w:space="0" w:color="auto"/>
            </w:tcBorders>
            <w:shd w:val="clear" w:color="auto" w:fill="FFFFFF"/>
          </w:tcPr>
          <w:p w14:paraId="2F9955C8" w14:textId="77777777" w:rsidR="00B834A2" w:rsidRPr="00EA5644" w:rsidRDefault="00B834A2" w:rsidP="00EA5644">
            <w:pPr>
              <w:spacing w:after="120"/>
              <w:jc w:val="both"/>
              <w:rPr>
                <w:sz w:val="20"/>
                <w:szCs w:val="20"/>
              </w:rPr>
            </w:pPr>
            <w:r w:rsidRPr="00EA5644">
              <w:rPr>
                <w:rStyle w:val="Bodytext31Sylfaen9"/>
                <w:sz w:val="20"/>
                <w:szCs w:val="20"/>
              </w:rPr>
              <w:t>Գումարը</w:t>
            </w:r>
          </w:p>
        </w:tc>
      </w:tr>
      <w:tr w:rsidR="00B834A2" w:rsidRPr="00EA5644" w14:paraId="174D14E7" w14:textId="77777777" w:rsidTr="00B834A2">
        <w:tc>
          <w:tcPr>
            <w:tcW w:w="2278" w:type="dxa"/>
            <w:tcBorders>
              <w:top w:val="single" w:sz="4" w:space="0" w:color="auto"/>
            </w:tcBorders>
            <w:shd w:val="clear" w:color="auto" w:fill="FFFFFF"/>
          </w:tcPr>
          <w:p w14:paraId="4FB78692"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Փոքր դեղաչափը</w:t>
            </w:r>
          </w:p>
        </w:tc>
        <w:tc>
          <w:tcPr>
            <w:tcW w:w="2552" w:type="dxa"/>
            <w:tcBorders>
              <w:top w:val="single" w:sz="4" w:space="0" w:color="auto"/>
            </w:tcBorders>
            <w:shd w:val="clear" w:color="auto" w:fill="FFFFFF"/>
          </w:tcPr>
          <w:p w14:paraId="4EB27684"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S</w:t>
            </w:r>
            <w:r w:rsidRPr="00EA5644">
              <w:rPr>
                <w:rStyle w:val="Bodytext31Sylfaen9"/>
                <w:sz w:val="20"/>
                <w:szCs w:val="20"/>
                <w:vertAlign w:val="subscript"/>
              </w:rPr>
              <w:t>1</w:t>
            </w:r>
            <w:r w:rsidRPr="00EA5644">
              <w:rPr>
                <w:rStyle w:val="Bodytext31Sylfaen9"/>
                <w:sz w:val="20"/>
                <w:szCs w:val="20"/>
              </w:rPr>
              <w:t xml:space="preserve"> = 5,12</w:t>
            </w:r>
          </w:p>
        </w:tc>
        <w:tc>
          <w:tcPr>
            <w:tcW w:w="2835" w:type="dxa"/>
            <w:tcBorders>
              <w:top w:val="single" w:sz="4" w:space="0" w:color="auto"/>
            </w:tcBorders>
            <w:shd w:val="clear" w:color="auto" w:fill="FFFFFF"/>
          </w:tcPr>
          <w:p w14:paraId="2F7979E0"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U</w:t>
            </w:r>
            <w:r w:rsidRPr="00EA5644">
              <w:rPr>
                <w:rStyle w:val="Bodytext2Italic"/>
                <w:sz w:val="20"/>
                <w:szCs w:val="20"/>
                <w:vertAlign w:val="subscript"/>
              </w:rPr>
              <w:t>1</w:t>
            </w:r>
            <w:r w:rsidRPr="00EA5644">
              <w:rPr>
                <w:rStyle w:val="Bodytext31Sylfaen9"/>
                <w:sz w:val="20"/>
                <w:szCs w:val="20"/>
              </w:rPr>
              <w:t xml:space="preserve"> = 6,03</w:t>
            </w:r>
          </w:p>
        </w:tc>
        <w:tc>
          <w:tcPr>
            <w:tcW w:w="1762" w:type="dxa"/>
            <w:tcBorders>
              <w:top w:val="single" w:sz="4" w:space="0" w:color="auto"/>
            </w:tcBorders>
            <w:shd w:val="clear" w:color="auto" w:fill="FFFFFF"/>
          </w:tcPr>
          <w:p w14:paraId="62454AA2" w14:textId="77777777" w:rsidR="00B834A2" w:rsidRPr="00EA5644" w:rsidRDefault="00B834A2" w:rsidP="00EA5644">
            <w:pPr>
              <w:spacing w:after="120"/>
              <w:jc w:val="both"/>
              <w:rPr>
                <w:sz w:val="20"/>
                <w:szCs w:val="20"/>
              </w:rPr>
            </w:pPr>
          </w:p>
        </w:tc>
      </w:tr>
      <w:tr w:rsidR="00B834A2" w:rsidRPr="00EA5644" w14:paraId="7F73696D" w14:textId="77777777" w:rsidTr="00B834A2">
        <w:tc>
          <w:tcPr>
            <w:tcW w:w="2278" w:type="dxa"/>
            <w:shd w:val="clear" w:color="auto" w:fill="FFFFFF"/>
          </w:tcPr>
          <w:p w14:paraId="0327928D"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Միջին դեղաչափը</w:t>
            </w:r>
          </w:p>
        </w:tc>
        <w:tc>
          <w:tcPr>
            <w:tcW w:w="2552" w:type="dxa"/>
            <w:shd w:val="clear" w:color="auto" w:fill="FFFFFF"/>
          </w:tcPr>
          <w:p w14:paraId="202DDA48"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S</w:t>
            </w:r>
            <w:r w:rsidRPr="00EA5644">
              <w:rPr>
                <w:rStyle w:val="Bodytext31Sylfaen9"/>
                <w:sz w:val="20"/>
                <w:szCs w:val="20"/>
                <w:vertAlign w:val="subscript"/>
              </w:rPr>
              <w:t>2</w:t>
            </w:r>
            <w:r w:rsidRPr="00EA5644">
              <w:rPr>
                <w:rStyle w:val="Bodytext31Sylfaen9"/>
                <w:sz w:val="20"/>
                <w:szCs w:val="20"/>
              </w:rPr>
              <w:t xml:space="preserve"> = 14,22</w:t>
            </w:r>
          </w:p>
        </w:tc>
        <w:tc>
          <w:tcPr>
            <w:tcW w:w="2835" w:type="dxa"/>
            <w:shd w:val="clear" w:color="auto" w:fill="FFFFFF"/>
          </w:tcPr>
          <w:p w14:paraId="1A1BB256"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U</w:t>
            </w:r>
            <w:r w:rsidRPr="00EA5644">
              <w:rPr>
                <w:rStyle w:val="Bodytext2Italic"/>
                <w:sz w:val="20"/>
                <w:szCs w:val="20"/>
                <w:vertAlign w:val="subscript"/>
              </w:rPr>
              <w:t>2</w:t>
            </w:r>
            <w:r w:rsidRPr="00EA5644">
              <w:rPr>
                <w:rStyle w:val="Bodytext31Sylfaen9"/>
                <w:sz w:val="20"/>
                <w:szCs w:val="20"/>
              </w:rPr>
              <w:t xml:space="preserve"> = 17,09</w:t>
            </w:r>
          </w:p>
        </w:tc>
        <w:tc>
          <w:tcPr>
            <w:tcW w:w="1762" w:type="dxa"/>
            <w:shd w:val="clear" w:color="auto" w:fill="FFFFFF"/>
          </w:tcPr>
          <w:p w14:paraId="33953DDF" w14:textId="77777777" w:rsidR="00B834A2" w:rsidRPr="00EA5644" w:rsidRDefault="00B834A2" w:rsidP="00EA5644">
            <w:pPr>
              <w:spacing w:after="120"/>
              <w:jc w:val="both"/>
              <w:rPr>
                <w:sz w:val="20"/>
                <w:szCs w:val="20"/>
              </w:rPr>
            </w:pPr>
          </w:p>
        </w:tc>
      </w:tr>
      <w:tr w:rsidR="00B834A2" w:rsidRPr="00EA5644" w14:paraId="77D1644A" w14:textId="77777777" w:rsidTr="00B834A2">
        <w:tc>
          <w:tcPr>
            <w:tcW w:w="2278" w:type="dxa"/>
            <w:shd w:val="clear" w:color="auto" w:fill="FFFFFF"/>
          </w:tcPr>
          <w:p w14:paraId="09A07D80"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Մեծ դեղաչափը</w:t>
            </w:r>
          </w:p>
        </w:tc>
        <w:tc>
          <w:tcPr>
            <w:tcW w:w="2552" w:type="dxa"/>
            <w:shd w:val="clear" w:color="auto" w:fill="FFFFFF"/>
          </w:tcPr>
          <w:p w14:paraId="6CFB5790"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S</w:t>
            </w:r>
            <w:r w:rsidRPr="00EA5644">
              <w:rPr>
                <w:rStyle w:val="Bodytext31Sylfaen9"/>
                <w:sz w:val="20"/>
                <w:szCs w:val="20"/>
                <w:vertAlign w:val="subscript"/>
              </w:rPr>
              <w:t>3</w:t>
            </w:r>
            <w:r w:rsidRPr="00EA5644">
              <w:rPr>
                <w:rStyle w:val="Bodytext31Sylfaen9"/>
                <w:sz w:val="20"/>
                <w:szCs w:val="20"/>
              </w:rPr>
              <w:t xml:space="preserve"> = 27,04</w:t>
            </w:r>
          </w:p>
        </w:tc>
        <w:tc>
          <w:tcPr>
            <w:tcW w:w="2835" w:type="dxa"/>
            <w:shd w:val="clear" w:color="auto" w:fill="FFFFFF"/>
          </w:tcPr>
          <w:p w14:paraId="015B14C5"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U</w:t>
            </w:r>
            <w:r w:rsidRPr="00EA5644">
              <w:rPr>
                <w:rStyle w:val="Bodytext2Italic"/>
                <w:sz w:val="20"/>
                <w:szCs w:val="20"/>
                <w:vertAlign w:val="subscript"/>
              </w:rPr>
              <w:t>3</w:t>
            </w:r>
            <w:r w:rsidRPr="00EA5644">
              <w:rPr>
                <w:rStyle w:val="Bodytext31Sylfaen9"/>
                <w:sz w:val="20"/>
                <w:szCs w:val="20"/>
              </w:rPr>
              <w:t xml:space="preserve"> = 32,46</w:t>
            </w:r>
          </w:p>
        </w:tc>
        <w:tc>
          <w:tcPr>
            <w:tcW w:w="1762" w:type="dxa"/>
            <w:shd w:val="clear" w:color="auto" w:fill="FFFFFF"/>
          </w:tcPr>
          <w:p w14:paraId="1E387AF2" w14:textId="77777777" w:rsidR="00B834A2" w:rsidRPr="00EA5644" w:rsidRDefault="00B834A2" w:rsidP="00EA5644">
            <w:pPr>
              <w:spacing w:after="120"/>
              <w:jc w:val="both"/>
              <w:rPr>
                <w:sz w:val="20"/>
                <w:szCs w:val="20"/>
              </w:rPr>
            </w:pPr>
          </w:p>
        </w:tc>
      </w:tr>
      <w:tr w:rsidR="00B834A2" w:rsidRPr="00EA5644" w14:paraId="07C5C572" w14:textId="77777777" w:rsidTr="00B834A2">
        <w:tc>
          <w:tcPr>
            <w:tcW w:w="2278" w:type="dxa"/>
            <w:shd w:val="clear" w:color="auto" w:fill="FFFFFF"/>
          </w:tcPr>
          <w:p w14:paraId="37015013"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Գումարը</w:t>
            </w:r>
          </w:p>
        </w:tc>
        <w:tc>
          <w:tcPr>
            <w:tcW w:w="2552" w:type="dxa"/>
            <w:shd w:val="clear" w:color="auto" w:fill="FFFFFF"/>
          </w:tcPr>
          <w:p w14:paraId="4869BB66"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S=46,38</w:t>
            </w:r>
          </w:p>
        </w:tc>
        <w:tc>
          <w:tcPr>
            <w:tcW w:w="2835" w:type="dxa"/>
            <w:shd w:val="clear" w:color="auto" w:fill="FFFFFF"/>
          </w:tcPr>
          <w:p w14:paraId="1B47115F"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U= 55,58</w:t>
            </w:r>
          </w:p>
        </w:tc>
        <w:tc>
          <w:tcPr>
            <w:tcW w:w="1762" w:type="dxa"/>
            <w:shd w:val="clear" w:color="auto" w:fill="FFFFFF"/>
          </w:tcPr>
          <w:p w14:paraId="107230C6" w14:textId="77777777" w:rsidR="00B834A2" w:rsidRPr="00EA5644" w:rsidRDefault="00B834A2" w:rsidP="00EA5644">
            <w:pPr>
              <w:spacing w:after="120"/>
              <w:jc w:val="both"/>
              <w:rPr>
                <w:sz w:val="20"/>
                <w:szCs w:val="20"/>
              </w:rPr>
            </w:pPr>
            <w:r w:rsidRPr="00EA5644">
              <w:rPr>
                <w:rStyle w:val="Bodytext31Sylfaen9"/>
                <w:sz w:val="20"/>
                <w:szCs w:val="20"/>
              </w:rPr>
              <w:t>Σy=101,96</w:t>
            </w:r>
          </w:p>
        </w:tc>
      </w:tr>
      <w:tr w:rsidR="00B834A2" w:rsidRPr="00EA5644" w14:paraId="175F759A" w14:textId="77777777" w:rsidTr="00B834A2">
        <w:tc>
          <w:tcPr>
            <w:tcW w:w="2278" w:type="dxa"/>
            <w:shd w:val="clear" w:color="auto" w:fill="FFFFFF"/>
          </w:tcPr>
          <w:p w14:paraId="49344BA7"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Գծային կոնտրաստը</w:t>
            </w:r>
          </w:p>
        </w:tc>
        <w:tc>
          <w:tcPr>
            <w:tcW w:w="2552" w:type="dxa"/>
            <w:shd w:val="clear" w:color="auto" w:fill="FFFFFF"/>
          </w:tcPr>
          <w:p w14:paraId="76472A12"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L</w:t>
            </w:r>
            <w:r w:rsidRPr="00EA5644">
              <w:rPr>
                <w:rStyle w:val="Bodytext31Sylfaen9"/>
                <w:sz w:val="20"/>
                <w:szCs w:val="20"/>
                <w:vertAlign w:val="subscript"/>
              </w:rPr>
              <w:t>s</w:t>
            </w:r>
            <w:r w:rsidRPr="00EA5644">
              <w:rPr>
                <w:rStyle w:val="Bodytext31Sylfaen9"/>
                <w:sz w:val="20"/>
                <w:szCs w:val="20"/>
              </w:rPr>
              <w:t>=S</w:t>
            </w:r>
            <w:r w:rsidRPr="00EA5644">
              <w:rPr>
                <w:rStyle w:val="Bodytext31Sylfaen9"/>
                <w:sz w:val="20"/>
                <w:szCs w:val="20"/>
                <w:vertAlign w:val="subscript"/>
              </w:rPr>
              <w:t>3</w:t>
            </w:r>
            <w:r w:rsidRPr="00EA5644">
              <w:rPr>
                <w:rStyle w:val="Bodytext31Sylfaen9"/>
                <w:sz w:val="20"/>
                <w:szCs w:val="20"/>
              </w:rPr>
              <w:t xml:space="preserve"> </w:t>
            </w:r>
            <w:r w:rsidR="002E52D1" w:rsidRPr="00EA5644">
              <w:rPr>
                <w:rStyle w:val="Bodytext31Sylfaen9"/>
                <w:sz w:val="20"/>
                <w:szCs w:val="20"/>
              </w:rPr>
              <w:t>-</w:t>
            </w:r>
            <w:r w:rsidRPr="00EA5644">
              <w:rPr>
                <w:rStyle w:val="Bodytext31Sylfaen9"/>
                <w:sz w:val="20"/>
                <w:szCs w:val="20"/>
              </w:rPr>
              <w:t xml:space="preserve"> S</w:t>
            </w:r>
            <w:r w:rsidRPr="00EA5644">
              <w:rPr>
                <w:rStyle w:val="Bodytext31Sylfaen9"/>
                <w:sz w:val="20"/>
                <w:szCs w:val="20"/>
                <w:vertAlign w:val="subscript"/>
              </w:rPr>
              <w:t>1</w:t>
            </w:r>
            <w:r w:rsidRPr="00EA5644">
              <w:rPr>
                <w:rStyle w:val="Bodytext31Sylfaen9"/>
                <w:sz w:val="20"/>
                <w:szCs w:val="20"/>
              </w:rPr>
              <w:t xml:space="preserve"> = 21,92</w:t>
            </w:r>
          </w:p>
        </w:tc>
        <w:tc>
          <w:tcPr>
            <w:tcW w:w="2835" w:type="dxa"/>
            <w:shd w:val="clear" w:color="auto" w:fill="FFFFFF"/>
          </w:tcPr>
          <w:p w14:paraId="2325DDAA"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L</w:t>
            </w:r>
            <w:r w:rsidRPr="00EA5644">
              <w:rPr>
                <w:rStyle w:val="Bodytext31Sylfaen9"/>
                <w:sz w:val="20"/>
                <w:szCs w:val="20"/>
                <w:vertAlign w:val="subscript"/>
              </w:rPr>
              <w:t>U</w:t>
            </w:r>
            <w:r w:rsidRPr="00EA5644">
              <w:rPr>
                <w:rStyle w:val="Bodytext31Sylfaen9"/>
                <w:sz w:val="20"/>
                <w:szCs w:val="20"/>
              </w:rPr>
              <w:t xml:space="preserve"> = U</w:t>
            </w:r>
            <w:r w:rsidRPr="00EA5644">
              <w:rPr>
                <w:rStyle w:val="Bodytext31Sylfaen9"/>
                <w:sz w:val="20"/>
                <w:szCs w:val="20"/>
                <w:vertAlign w:val="subscript"/>
              </w:rPr>
              <w:t>3</w:t>
            </w:r>
            <w:r w:rsidRPr="00EA5644">
              <w:rPr>
                <w:rStyle w:val="Bodytext31Sylfaen9"/>
                <w:sz w:val="20"/>
                <w:szCs w:val="20"/>
              </w:rPr>
              <w:t>- U</w:t>
            </w:r>
            <w:r w:rsidRPr="00EA5644">
              <w:rPr>
                <w:rStyle w:val="Bodytext31Sylfaen9"/>
                <w:sz w:val="20"/>
                <w:szCs w:val="20"/>
                <w:vertAlign w:val="subscript"/>
                <w:lang w:val="en-GB"/>
              </w:rPr>
              <w:t>1</w:t>
            </w:r>
            <w:r w:rsidRPr="00EA5644">
              <w:rPr>
                <w:rStyle w:val="Bodytext31Sylfaen9"/>
                <w:sz w:val="20"/>
                <w:szCs w:val="20"/>
              </w:rPr>
              <w:t>=26,43</w:t>
            </w:r>
          </w:p>
        </w:tc>
        <w:tc>
          <w:tcPr>
            <w:tcW w:w="1762" w:type="dxa"/>
            <w:shd w:val="clear" w:color="auto" w:fill="FFFFFF"/>
          </w:tcPr>
          <w:p w14:paraId="7EB59699" w14:textId="77777777" w:rsidR="00B834A2" w:rsidRPr="00EA5644" w:rsidRDefault="00B834A2" w:rsidP="00EA5644">
            <w:pPr>
              <w:spacing w:after="120"/>
              <w:jc w:val="both"/>
              <w:rPr>
                <w:sz w:val="20"/>
                <w:szCs w:val="20"/>
              </w:rPr>
            </w:pPr>
            <w:r w:rsidRPr="00EA5644">
              <w:rPr>
                <w:rStyle w:val="Bodytext31Sylfaen9"/>
                <w:sz w:val="20"/>
                <w:szCs w:val="20"/>
              </w:rPr>
              <w:t>ΣL = 48,35</w:t>
            </w:r>
          </w:p>
        </w:tc>
      </w:tr>
      <w:tr w:rsidR="00B834A2" w:rsidRPr="00EA5644" w14:paraId="790E4591" w14:textId="77777777" w:rsidTr="00B834A2">
        <w:tc>
          <w:tcPr>
            <w:tcW w:w="2278" w:type="dxa"/>
            <w:tcBorders>
              <w:bottom w:val="single" w:sz="4" w:space="0" w:color="auto"/>
            </w:tcBorders>
            <w:shd w:val="clear" w:color="auto" w:fill="FFFFFF"/>
          </w:tcPr>
          <w:p w14:paraId="442F5EE6"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Քառակուսային կոնտրաստը</w:t>
            </w:r>
          </w:p>
        </w:tc>
        <w:tc>
          <w:tcPr>
            <w:tcW w:w="2552" w:type="dxa"/>
            <w:tcBorders>
              <w:bottom w:val="single" w:sz="4" w:space="0" w:color="auto"/>
            </w:tcBorders>
            <w:shd w:val="clear" w:color="auto" w:fill="FFFFFF"/>
          </w:tcPr>
          <w:p w14:paraId="6858821B"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31Sylfaen9"/>
                <w:sz w:val="20"/>
                <w:szCs w:val="20"/>
              </w:rPr>
              <w:t>Qs=S</w:t>
            </w:r>
            <w:r w:rsidRPr="00EA5644">
              <w:rPr>
                <w:rStyle w:val="Bodytext31Sylfaen9"/>
                <w:sz w:val="20"/>
                <w:szCs w:val="20"/>
                <w:vertAlign w:val="subscript"/>
              </w:rPr>
              <w:t>1</w:t>
            </w:r>
            <w:r w:rsidRPr="00EA5644">
              <w:rPr>
                <w:rStyle w:val="Bodytext31Sylfaen9"/>
                <w:sz w:val="20"/>
                <w:szCs w:val="20"/>
              </w:rPr>
              <w:t>-2S</w:t>
            </w:r>
            <w:r w:rsidRPr="00EA5644">
              <w:rPr>
                <w:rStyle w:val="Bodytext31Sylfaen9"/>
                <w:sz w:val="20"/>
                <w:szCs w:val="20"/>
                <w:vertAlign w:val="subscript"/>
              </w:rPr>
              <w:t>2</w:t>
            </w:r>
            <w:r w:rsidRPr="00EA5644">
              <w:rPr>
                <w:rStyle w:val="Bodytext31Sylfaen9"/>
                <w:sz w:val="20"/>
                <w:szCs w:val="20"/>
              </w:rPr>
              <w:t xml:space="preserve"> +S</w:t>
            </w:r>
            <w:r w:rsidRPr="00EA5644">
              <w:rPr>
                <w:rStyle w:val="Bodytext31Sylfaen9"/>
                <w:sz w:val="20"/>
                <w:szCs w:val="20"/>
                <w:vertAlign w:val="subscript"/>
              </w:rPr>
              <w:t>3</w:t>
            </w:r>
            <w:r w:rsidRPr="00EA5644">
              <w:rPr>
                <w:rStyle w:val="Bodytext31Sylfaen9"/>
                <w:sz w:val="20"/>
                <w:szCs w:val="20"/>
              </w:rPr>
              <w:t>=3,72</w:t>
            </w:r>
          </w:p>
        </w:tc>
        <w:tc>
          <w:tcPr>
            <w:tcW w:w="2835" w:type="dxa"/>
            <w:tcBorders>
              <w:bottom w:val="single" w:sz="4" w:space="0" w:color="auto"/>
            </w:tcBorders>
            <w:shd w:val="clear" w:color="auto" w:fill="FFFFFF"/>
          </w:tcPr>
          <w:p w14:paraId="26843CDF"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Q</w:t>
            </w:r>
            <w:r w:rsidRPr="00EA5644">
              <w:rPr>
                <w:rStyle w:val="Bodytext2Italic"/>
                <w:sz w:val="20"/>
                <w:szCs w:val="20"/>
                <w:vertAlign w:val="subscript"/>
              </w:rPr>
              <w:t>U</w:t>
            </w:r>
            <w:r w:rsidRPr="00EA5644">
              <w:rPr>
                <w:rStyle w:val="Bodytext2Italic"/>
                <w:sz w:val="20"/>
                <w:szCs w:val="20"/>
              </w:rPr>
              <w:t xml:space="preserve"> = U</w:t>
            </w:r>
            <w:r w:rsidRPr="00EA5644">
              <w:rPr>
                <w:rStyle w:val="Bodytext2Italic"/>
                <w:sz w:val="20"/>
                <w:szCs w:val="20"/>
                <w:vertAlign w:val="subscript"/>
              </w:rPr>
              <w:t>1</w:t>
            </w:r>
            <w:r w:rsidRPr="00EA5644">
              <w:rPr>
                <w:rStyle w:val="Bodytext2Italic"/>
                <w:sz w:val="20"/>
                <w:szCs w:val="20"/>
              </w:rPr>
              <w:t xml:space="preserve"> -2U</w:t>
            </w:r>
            <w:r w:rsidRPr="00EA5644">
              <w:rPr>
                <w:rStyle w:val="Bodytext2Italic"/>
                <w:sz w:val="20"/>
                <w:szCs w:val="20"/>
                <w:vertAlign w:val="subscript"/>
              </w:rPr>
              <w:t>2</w:t>
            </w:r>
            <w:r w:rsidRPr="00EA5644">
              <w:rPr>
                <w:rStyle w:val="Bodytext2Italic"/>
                <w:sz w:val="20"/>
                <w:szCs w:val="20"/>
              </w:rPr>
              <w:t xml:space="preserve"> + U</w:t>
            </w:r>
            <w:r w:rsidRPr="00EA5644">
              <w:rPr>
                <w:rStyle w:val="Bodytext2Italic"/>
                <w:sz w:val="20"/>
                <w:szCs w:val="20"/>
                <w:vertAlign w:val="subscript"/>
              </w:rPr>
              <w:t>3</w:t>
            </w:r>
            <w:r w:rsidRPr="00EA5644">
              <w:rPr>
                <w:rStyle w:val="Bodytext31Sylfaen9"/>
                <w:sz w:val="20"/>
                <w:szCs w:val="20"/>
              </w:rPr>
              <w:t xml:space="preserve"> =4,31</w:t>
            </w:r>
          </w:p>
        </w:tc>
        <w:tc>
          <w:tcPr>
            <w:tcW w:w="1762" w:type="dxa"/>
            <w:tcBorders>
              <w:bottom w:val="single" w:sz="4" w:space="0" w:color="auto"/>
            </w:tcBorders>
            <w:shd w:val="clear" w:color="auto" w:fill="FFFFFF"/>
          </w:tcPr>
          <w:p w14:paraId="3A20028A" w14:textId="77777777" w:rsidR="00B834A2" w:rsidRPr="00EA5644" w:rsidRDefault="00B834A2" w:rsidP="00EA5644">
            <w:pPr>
              <w:spacing w:after="120"/>
              <w:jc w:val="both"/>
              <w:rPr>
                <w:sz w:val="20"/>
                <w:szCs w:val="20"/>
              </w:rPr>
            </w:pPr>
            <w:r w:rsidRPr="00EA5644">
              <w:rPr>
                <w:rStyle w:val="Bodytext31Sylfaen9"/>
                <w:sz w:val="20"/>
                <w:szCs w:val="20"/>
              </w:rPr>
              <w:t>Σ</w:t>
            </w:r>
            <w:r w:rsidRPr="00EA5644">
              <w:rPr>
                <w:rStyle w:val="Bodytext31Sylfaen9"/>
                <w:sz w:val="20"/>
                <w:szCs w:val="20"/>
                <w:lang w:val="en-GB"/>
              </w:rPr>
              <w:t>Q</w:t>
            </w:r>
            <w:r w:rsidRPr="00EA5644">
              <w:rPr>
                <w:rStyle w:val="Bodytext31Sylfaen9"/>
                <w:sz w:val="20"/>
                <w:szCs w:val="20"/>
              </w:rPr>
              <w:t>= 8,03</w:t>
            </w:r>
          </w:p>
        </w:tc>
      </w:tr>
    </w:tbl>
    <w:p w14:paraId="338FB8EC"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2BB60948" w14:textId="77777777" w:rsidR="00B834A2" w:rsidRPr="00B834A2" w:rsidRDefault="00B834A2" w:rsidP="009A3F5E">
      <w:pPr>
        <w:pStyle w:val="Tablecaption140"/>
        <w:shd w:val="clear" w:color="auto" w:fill="auto"/>
        <w:spacing w:after="160" w:line="360" w:lineRule="auto"/>
        <w:ind w:firstLine="567"/>
        <w:jc w:val="both"/>
        <w:rPr>
          <w:rFonts w:ascii="Sylfaen" w:hAnsi="Sylfaen" w:cs="Sylfaen"/>
          <w:sz w:val="24"/>
          <w:szCs w:val="24"/>
        </w:rPr>
      </w:pPr>
      <w:r w:rsidRPr="00B834A2">
        <w:rPr>
          <w:rStyle w:val="Tablecaption14NotItalic"/>
          <w:rFonts w:ascii="Sylfaen" w:eastAsia="Sylfaen" w:hAnsi="Sylfaen"/>
          <w:sz w:val="24"/>
          <w:szCs w:val="24"/>
        </w:rPr>
        <w:t xml:space="preserve">Աղյուսակ 3.2.2-7. </w:t>
      </w:r>
      <w:r w:rsidRPr="00B834A2">
        <w:rPr>
          <w:rFonts w:ascii="Sylfaen" w:hAnsi="Sylfaen"/>
          <w:sz w:val="24"/>
          <w:szCs w:val="24"/>
        </w:rPr>
        <w:t>Դիսպերսիոն վերլուծության ամփոփիչ աղյուսակ (երեք դեղաչափի օգտագործմամբ պատահական ընտրության կիրառում՝ խորիոնային գոնադոտրոպինի կենսաբանական ակտիվության օրինակով)</w:t>
      </w:r>
    </w:p>
    <w:tbl>
      <w:tblPr>
        <w:tblOverlap w:val="never"/>
        <w:tblW w:w="9933" w:type="dxa"/>
        <w:tblLayout w:type="fixed"/>
        <w:tblCellMar>
          <w:left w:w="10" w:type="dxa"/>
          <w:right w:w="10" w:type="dxa"/>
        </w:tblCellMar>
        <w:tblLook w:val="0000" w:firstRow="0" w:lastRow="0" w:firstColumn="0" w:lastColumn="0" w:noHBand="0" w:noVBand="0"/>
      </w:tblPr>
      <w:tblGrid>
        <w:gridCol w:w="1800"/>
        <w:gridCol w:w="2179"/>
        <w:gridCol w:w="1162"/>
        <w:gridCol w:w="1584"/>
        <w:gridCol w:w="1330"/>
        <w:gridCol w:w="1878"/>
      </w:tblGrid>
      <w:tr w:rsidR="00B834A2" w:rsidRPr="00EA5644" w14:paraId="3CDA772E" w14:textId="77777777" w:rsidTr="00B834A2">
        <w:trPr>
          <w:cantSplit/>
        </w:trPr>
        <w:tc>
          <w:tcPr>
            <w:tcW w:w="1800" w:type="dxa"/>
            <w:tcBorders>
              <w:top w:val="single" w:sz="4" w:space="0" w:color="auto"/>
            </w:tcBorders>
            <w:shd w:val="clear" w:color="auto" w:fill="FFFFFF"/>
          </w:tcPr>
          <w:p w14:paraId="018ED6F1"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Դիսպերսիայի աղբյուրը (ցուցանիշ)</w:t>
            </w:r>
          </w:p>
        </w:tc>
        <w:tc>
          <w:tcPr>
            <w:tcW w:w="2179" w:type="dxa"/>
            <w:tcBorders>
              <w:top w:val="single" w:sz="4" w:space="0" w:color="auto"/>
            </w:tcBorders>
            <w:shd w:val="clear" w:color="auto" w:fill="FFFFFF"/>
          </w:tcPr>
          <w:p w14:paraId="5FD88F79"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Ազատության աստիճանների թիվը (f)</w:t>
            </w:r>
          </w:p>
        </w:tc>
        <w:tc>
          <w:tcPr>
            <w:tcW w:w="1162" w:type="dxa"/>
            <w:tcBorders>
              <w:top w:val="single" w:sz="4" w:space="0" w:color="auto"/>
            </w:tcBorders>
            <w:shd w:val="clear" w:color="auto" w:fill="FFFFFF"/>
          </w:tcPr>
          <w:p w14:paraId="12051071"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Fonts w:ascii="Sylfaen" w:hAnsi="Sylfaen"/>
                <w:sz w:val="20"/>
                <w:szCs w:val="20"/>
              </w:rPr>
              <w:t>Քառակուսիների գումարը</w:t>
            </w:r>
          </w:p>
        </w:tc>
        <w:tc>
          <w:tcPr>
            <w:tcW w:w="1584" w:type="dxa"/>
            <w:tcBorders>
              <w:top w:val="single" w:sz="4" w:space="0" w:color="auto"/>
            </w:tcBorders>
            <w:shd w:val="clear" w:color="auto" w:fill="FFFFFF"/>
          </w:tcPr>
          <w:p w14:paraId="67548B2D" w14:textId="77777777" w:rsidR="00B834A2" w:rsidRPr="00EA5644" w:rsidRDefault="00000000" w:rsidP="00EA5644">
            <w:pPr>
              <w:pStyle w:val="Bodytext20"/>
              <w:shd w:val="clear" w:color="auto" w:fill="auto"/>
              <w:spacing w:before="0" w:line="240" w:lineRule="auto"/>
              <w:rPr>
                <w:rFonts w:ascii="Sylfaen" w:hAnsi="Sylfaen" w:cs="Sylfaen"/>
                <w:sz w:val="20"/>
                <w:szCs w:val="20"/>
              </w:rPr>
            </w:pPr>
            <w:r>
              <w:rPr>
                <w:rFonts w:ascii="Sylfaen" w:eastAsia="Sylfaen" w:hAnsi="Sylfaen" w:cs="Sylfaen"/>
                <w:noProof/>
                <w:sz w:val="20"/>
                <w:szCs w:val="20"/>
              </w:rPr>
              <w:pict w14:anchorId="0C97B36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78" type="#_x0000_t185" style="position:absolute;left:0;text-align:left;margin-left:.35pt;margin-top:24.35pt;width:76.3pt;height:46.7pt;z-index:251705344;mso-position-horizontal-relative:text;mso-position-vertical-relative:text"/>
              </w:pict>
            </w:r>
            <w:r w:rsidR="00B834A2" w:rsidRPr="00EA5644">
              <w:rPr>
                <w:rFonts w:ascii="Sylfaen" w:hAnsi="Sylfaen"/>
                <w:sz w:val="20"/>
                <w:szCs w:val="20"/>
              </w:rPr>
              <w:t>Միջին քառակուսին</w:t>
            </w:r>
          </w:p>
          <w:p w14:paraId="316C2C2B" w14:textId="77777777" w:rsidR="00B834A2" w:rsidRPr="00EA5644" w:rsidRDefault="00B834A2" w:rsidP="00EA5644">
            <w:pPr>
              <w:pStyle w:val="Bodytext20"/>
              <w:shd w:val="clear" w:color="auto" w:fill="auto"/>
              <w:spacing w:before="0" w:line="240" w:lineRule="auto"/>
              <w:rPr>
                <w:rStyle w:val="Bodytext31Sylfaen9"/>
                <w:sz w:val="20"/>
                <w:szCs w:val="20"/>
                <w:u w:val="single"/>
              </w:rPr>
            </w:pPr>
            <w:r w:rsidRPr="00EA5644">
              <w:rPr>
                <w:rStyle w:val="Bodytext31Sylfaen9"/>
                <w:sz w:val="20"/>
                <w:szCs w:val="20"/>
                <w:u w:val="single"/>
              </w:rPr>
              <w:t>Քառակուսիների գումարը</w:t>
            </w:r>
          </w:p>
          <w:p w14:paraId="1DE739E7" w14:textId="77777777" w:rsidR="00B834A2" w:rsidRPr="00EA5644" w:rsidRDefault="00B834A2" w:rsidP="00EA5644">
            <w:pPr>
              <w:pStyle w:val="Bodytext20"/>
              <w:shd w:val="clear" w:color="auto" w:fill="auto"/>
              <w:spacing w:before="0" w:line="240" w:lineRule="auto"/>
              <w:rPr>
                <w:rFonts w:ascii="Sylfaen" w:hAnsi="Sylfaen" w:cs="Sylfaen"/>
                <w:i/>
                <w:sz w:val="20"/>
                <w:szCs w:val="20"/>
              </w:rPr>
            </w:pPr>
            <w:r w:rsidRPr="00EA5644">
              <w:rPr>
                <w:rFonts w:ascii="Sylfaen" w:hAnsi="Sylfaen"/>
                <w:i/>
                <w:sz w:val="20"/>
                <w:szCs w:val="20"/>
              </w:rPr>
              <w:t>ƒ</w:t>
            </w:r>
          </w:p>
        </w:tc>
        <w:tc>
          <w:tcPr>
            <w:tcW w:w="1330" w:type="dxa"/>
            <w:tcBorders>
              <w:top w:val="single" w:sz="4" w:space="0" w:color="auto"/>
            </w:tcBorders>
            <w:shd w:val="clear" w:color="auto" w:fill="FFFFFF"/>
          </w:tcPr>
          <w:p w14:paraId="4AA502F2"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Ֆիշերի չափորոշչի դիտարկվող արժեքը՝</w:t>
            </w:r>
          </w:p>
          <w:p w14:paraId="376EE850"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F</w:t>
            </w:r>
            <w:r w:rsidRPr="00EA5644">
              <w:rPr>
                <w:rStyle w:val="Bodytext31Sylfaen9"/>
                <w:sz w:val="20"/>
                <w:szCs w:val="20"/>
                <w:vertAlign w:val="subscript"/>
              </w:rPr>
              <w:t>դիտ.</w:t>
            </w:r>
          </w:p>
        </w:tc>
        <w:tc>
          <w:tcPr>
            <w:tcW w:w="1878" w:type="dxa"/>
            <w:tcBorders>
              <w:top w:val="single" w:sz="4" w:space="0" w:color="auto"/>
            </w:tcBorders>
            <w:shd w:val="clear" w:color="auto" w:fill="FFFFFF"/>
          </w:tcPr>
          <w:p w14:paraId="34D31C35"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Ֆիշերի չափորոշչի կրիտիկական արժեքը՝</w:t>
            </w:r>
          </w:p>
          <w:p w14:paraId="21EDDA3F" w14:textId="77777777" w:rsidR="00B834A2" w:rsidRPr="00EA5644" w:rsidRDefault="00B834A2" w:rsidP="00EA5644">
            <w:pPr>
              <w:pStyle w:val="Bodytext20"/>
              <w:shd w:val="clear" w:color="auto" w:fill="auto"/>
              <w:spacing w:before="0" w:line="240" w:lineRule="auto"/>
              <w:rPr>
                <w:rFonts w:ascii="Sylfaen" w:hAnsi="Sylfaen" w:cs="Sylfaen"/>
                <w:sz w:val="20"/>
                <w:szCs w:val="20"/>
              </w:rPr>
            </w:pPr>
            <w:r w:rsidRPr="00EA5644">
              <w:rPr>
                <w:rStyle w:val="Bodytext31Sylfaen9"/>
                <w:sz w:val="20"/>
                <w:szCs w:val="20"/>
              </w:rPr>
              <w:t>F</w:t>
            </w:r>
            <w:r w:rsidRPr="00EA5644">
              <w:rPr>
                <w:rStyle w:val="Bodytext31Sylfaen9"/>
                <w:sz w:val="20"/>
                <w:szCs w:val="20"/>
                <w:vertAlign w:val="subscript"/>
              </w:rPr>
              <w:t>կրիտիկ</w:t>
            </w:r>
            <w:r w:rsidRPr="00EA5644">
              <w:rPr>
                <w:rStyle w:val="Bodytext31Sylfaen9"/>
                <w:sz w:val="20"/>
                <w:szCs w:val="20"/>
              </w:rPr>
              <w:t>.</w:t>
            </w:r>
          </w:p>
        </w:tc>
      </w:tr>
      <w:tr w:rsidR="00B834A2" w:rsidRPr="00EA5644" w14:paraId="38D1D25B" w14:textId="77777777" w:rsidTr="00B834A2">
        <w:trPr>
          <w:cantSplit/>
        </w:trPr>
        <w:tc>
          <w:tcPr>
            <w:tcW w:w="1800" w:type="dxa"/>
            <w:tcBorders>
              <w:top w:val="single" w:sz="4" w:space="0" w:color="auto"/>
            </w:tcBorders>
            <w:shd w:val="clear" w:color="auto" w:fill="FFFFFF"/>
          </w:tcPr>
          <w:p w14:paraId="241B06D0"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Պատրաստուկներ</w:t>
            </w:r>
          </w:p>
        </w:tc>
        <w:tc>
          <w:tcPr>
            <w:tcW w:w="2179" w:type="dxa"/>
            <w:tcBorders>
              <w:top w:val="single" w:sz="4" w:space="0" w:color="auto"/>
            </w:tcBorders>
            <w:shd w:val="clear" w:color="auto" w:fill="FFFFFF"/>
          </w:tcPr>
          <w:p w14:paraId="3BE13101"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w:t>
            </w:r>
          </w:p>
        </w:tc>
        <w:tc>
          <w:tcPr>
            <w:tcW w:w="1162" w:type="dxa"/>
            <w:tcBorders>
              <w:top w:val="single" w:sz="4" w:space="0" w:color="auto"/>
            </w:tcBorders>
            <w:shd w:val="clear" w:color="auto" w:fill="FFFFFF"/>
          </w:tcPr>
          <w:p w14:paraId="4921CC3A"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1,41</w:t>
            </w:r>
          </w:p>
        </w:tc>
        <w:tc>
          <w:tcPr>
            <w:tcW w:w="1584" w:type="dxa"/>
            <w:tcBorders>
              <w:top w:val="single" w:sz="4" w:space="0" w:color="auto"/>
            </w:tcBorders>
            <w:shd w:val="clear" w:color="auto" w:fill="FFFFFF"/>
          </w:tcPr>
          <w:p w14:paraId="30A4B73F"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1,41</w:t>
            </w:r>
          </w:p>
        </w:tc>
        <w:tc>
          <w:tcPr>
            <w:tcW w:w="1330" w:type="dxa"/>
            <w:tcBorders>
              <w:top w:val="single" w:sz="4" w:space="0" w:color="auto"/>
            </w:tcBorders>
            <w:shd w:val="clear" w:color="auto" w:fill="FFFFFF"/>
          </w:tcPr>
          <w:p w14:paraId="3A16AE20" w14:textId="77777777" w:rsidR="00B834A2" w:rsidRPr="00EA5644" w:rsidRDefault="00B834A2" w:rsidP="005B6181">
            <w:pPr>
              <w:spacing w:after="120"/>
              <w:jc w:val="center"/>
              <w:rPr>
                <w:sz w:val="20"/>
                <w:szCs w:val="20"/>
              </w:rPr>
            </w:pPr>
          </w:p>
        </w:tc>
        <w:tc>
          <w:tcPr>
            <w:tcW w:w="1878" w:type="dxa"/>
            <w:tcBorders>
              <w:top w:val="single" w:sz="4" w:space="0" w:color="auto"/>
            </w:tcBorders>
            <w:shd w:val="clear" w:color="auto" w:fill="FFFFFF"/>
          </w:tcPr>
          <w:p w14:paraId="1322CAFC" w14:textId="77777777" w:rsidR="00B834A2" w:rsidRPr="00EA5644" w:rsidRDefault="00B834A2" w:rsidP="005B6181">
            <w:pPr>
              <w:spacing w:after="120"/>
              <w:jc w:val="center"/>
              <w:rPr>
                <w:sz w:val="20"/>
                <w:szCs w:val="20"/>
              </w:rPr>
            </w:pPr>
          </w:p>
        </w:tc>
      </w:tr>
      <w:tr w:rsidR="00B834A2" w:rsidRPr="00EA5644" w14:paraId="6DEB6D43" w14:textId="77777777" w:rsidTr="00B834A2">
        <w:trPr>
          <w:cantSplit/>
        </w:trPr>
        <w:tc>
          <w:tcPr>
            <w:tcW w:w="1800" w:type="dxa"/>
            <w:shd w:val="clear" w:color="auto" w:fill="FFFFFF"/>
          </w:tcPr>
          <w:p w14:paraId="647FB85C"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Ռեգրեսիա</w:t>
            </w:r>
          </w:p>
        </w:tc>
        <w:tc>
          <w:tcPr>
            <w:tcW w:w="2179" w:type="dxa"/>
            <w:shd w:val="clear" w:color="auto" w:fill="FFFFFF"/>
          </w:tcPr>
          <w:p w14:paraId="12D09052"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w:t>
            </w:r>
          </w:p>
        </w:tc>
        <w:tc>
          <w:tcPr>
            <w:tcW w:w="1162" w:type="dxa"/>
            <w:shd w:val="clear" w:color="auto" w:fill="FFFFFF"/>
          </w:tcPr>
          <w:p w14:paraId="663D46AB"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58,44</w:t>
            </w:r>
          </w:p>
        </w:tc>
        <w:tc>
          <w:tcPr>
            <w:tcW w:w="1584" w:type="dxa"/>
            <w:shd w:val="clear" w:color="auto" w:fill="FFFFFF"/>
          </w:tcPr>
          <w:p w14:paraId="57CD06C1"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58,44</w:t>
            </w:r>
          </w:p>
        </w:tc>
        <w:tc>
          <w:tcPr>
            <w:tcW w:w="1330" w:type="dxa"/>
            <w:shd w:val="clear" w:color="auto" w:fill="FFFFFF"/>
          </w:tcPr>
          <w:p w14:paraId="6F8904E2"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243,5</w:t>
            </w:r>
          </w:p>
        </w:tc>
        <w:tc>
          <w:tcPr>
            <w:tcW w:w="1878" w:type="dxa"/>
            <w:shd w:val="clear" w:color="auto" w:fill="FFFFFF"/>
          </w:tcPr>
          <w:p w14:paraId="768D4C15"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&gt;7,13</w:t>
            </w:r>
          </w:p>
          <w:p w14:paraId="25ACB6BE"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(p= 0,01)</w:t>
            </w:r>
          </w:p>
        </w:tc>
      </w:tr>
      <w:tr w:rsidR="00B834A2" w:rsidRPr="00EA5644" w14:paraId="51974E39" w14:textId="77777777" w:rsidTr="00B834A2">
        <w:trPr>
          <w:cantSplit/>
        </w:trPr>
        <w:tc>
          <w:tcPr>
            <w:tcW w:w="1800" w:type="dxa"/>
            <w:shd w:val="clear" w:color="auto" w:fill="FFFFFF"/>
          </w:tcPr>
          <w:p w14:paraId="7BCBA629"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Ոչ զուգահեռություն</w:t>
            </w:r>
          </w:p>
        </w:tc>
        <w:tc>
          <w:tcPr>
            <w:tcW w:w="2179" w:type="dxa"/>
            <w:shd w:val="clear" w:color="auto" w:fill="FFFFFF"/>
          </w:tcPr>
          <w:p w14:paraId="4EB278CA"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w:t>
            </w:r>
          </w:p>
        </w:tc>
        <w:tc>
          <w:tcPr>
            <w:tcW w:w="1162" w:type="dxa"/>
            <w:shd w:val="clear" w:color="auto" w:fill="FFFFFF"/>
          </w:tcPr>
          <w:p w14:paraId="2FD0CE00"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0,51</w:t>
            </w:r>
          </w:p>
        </w:tc>
        <w:tc>
          <w:tcPr>
            <w:tcW w:w="1584" w:type="dxa"/>
            <w:shd w:val="clear" w:color="auto" w:fill="FFFFFF"/>
          </w:tcPr>
          <w:p w14:paraId="787BB010"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0,51</w:t>
            </w:r>
          </w:p>
        </w:tc>
        <w:tc>
          <w:tcPr>
            <w:tcW w:w="1330" w:type="dxa"/>
            <w:shd w:val="clear" w:color="auto" w:fill="FFFFFF"/>
          </w:tcPr>
          <w:p w14:paraId="3C1E3C64"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2,13</w:t>
            </w:r>
          </w:p>
        </w:tc>
        <w:tc>
          <w:tcPr>
            <w:tcW w:w="1878" w:type="dxa"/>
            <w:shd w:val="clear" w:color="auto" w:fill="FFFFFF"/>
          </w:tcPr>
          <w:p w14:paraId="6EFF956D"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&lt;4,02</w:t>
            </w:r>
          </w:p>
          <w:p w14:paraId="5E147347"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(p= 0,05)</w:t>
            </w:r>
          </w:p>
        </w:tc>
      </w:tr>
      <w:tr w:rsidR="00B834A2" w:rsidRPr="00EA5644" w14:paraId="7A701E64" w14:textId="77777777" w:rsidTr="00B834A2">
        <w:trPr>
          <w:cantSplit/>
        </w:trPr>
        <w:tc>
          <w:tcPr>
            <w:tcW w:w="1800" w:type="dxa"/>
            <w:shd w:val="clear" w:color="auto" w:fill="FFFFFF"/>
          </w:tcPr>
          <w:p w14:paraId="34A0BBF9"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Քառակուսիություն</w:t>
            </w:r>
          </w:p>
        </w:tc>
        <w:tc>
          <w:tcPr>
            <w:tcW w:w="2179" w:type="dxa"/>
            <w:shd w:val="clear" w:color="auto" w:fill="FFFFFF"/>
          </w:tcPr>
          <w:p w14:paraId="1557FC14"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w:t>
            </w:r>
          </w:p>
        </w:tc>
        <w:tc>
          <w:tcPr>
            <w:tcW w:w="1162" w:type="dxa"/>
            <w:shd w:val="clear" w:color="auto" w:fill="FFFFFF"/>
          </w:tcPr>
          <w:p w14:paraId="6B6E3CB7"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0,54</w:t>
            </w:r>
          </w:p>
        </w:tc>
        <w:tc>
          <w:tcPr>
            <w:tcW w:w="1584" w:type="dxa"/>
            <w:shd w:val="clear" w:color="auto" w:fill="FFFFFF"/>
          </w:tcPr>
          <w:p w14:paraId="7F1C342F"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0,54</w:t>
            </w:r>
          </w:p>
        </w:tc>
        <w:tc>
          <w:tcPr>
            <w:tcW w:w="1330" w:type="dxa"/>
            <w:shd w:val="clear" w:color="auto" w:fill="FFFFFF"/>
          </w:tcPr>
          <w:p w14:paraId="780AEB14"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2,25</w:t>
            </w:r>
          </w:p>
        </w:tc>
        <w:tc>
          <w:tcPr>
            <w:tcW w:w="1878" w:type="dxa"/>
            <w:shd w:val="clear" w:color="auto" w:fill="FFFFFF"/>
          </w:tcPr>
          <w:p w14:paraId="55E94FC8"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&lt;4,02</w:t>
            </w:r>
          </w:p>
          <w:p w14:paraId="72A68CB0"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p = 0,05)</w:t>
            </w:r>
          </w:p>
        </w:tc>
      </w:tr>
      <w:tr w:rsidR="00B834A2" w:rsidRPr="00EA5644" w14:paraId="2F099346" w14:textId="77777777" w:rsidTr="00B834A2">
        <w:trPr>
          <w:cantSplit/>
        </w:trPr>
        <w:tc>
          <w:tcPr>
            <w:tcW w:w="1800" w:type="dxa"/>
            <w:shd w:val="clear" w:color="auto" w:fill="FFFFFF"/>
          </w:tcPr>
          <w:p w14:paraId="3A4AD63E" w14:textId="77777777" w:rsidR="00B834A2" w:rsidRPr="00EA5644" w:rsidRDefault="00B834A2" w:rsidP="00EA5644">
            <w:pPr>
              <w:pStyle w:val="Bodytext20"/>
              <w:shd w:val="clear" w:color="auto" w:fill="auto"/>
              <w:spacing w:before="0" w:line="240" w:lineRule="auto"/>
              <w:jc w:val="both"/>
              <w:rPr>
                <w:rStyle w:val="Bodytext2Italic"/>
                <w:sz w:val="20"/>
                <w:szCs w:val="20"/>
              </w:rPr>
            </w:pPr>
            <w:r w:rsidRPr="00EA5644">
              <w:rPr>
                <w:rFonts w:ascii="Sylfaen" w:hAnsi="Sylfaen"/>
                <w:i/>
                <w:sz w:val="20"/>
                <w:szCs w:val="20"/>
              </w:rPr>
              <w:t>Քառակուսիության տարբերություն</w:t>
            </w:r>
          </w:p>
        </w:tc>
        <w:tc>
          <w:tcPr>
            <w:tcW w:w="2179" w:type="dxa"/>
            <w:shd w:val="clear" w:color="auto" w:fill="FFFFFF"/>
          </w:tcPr>
          <w:p w14:paraId="6409E25C"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w:t>
            </w:r>
          </w:p>
        </w:tc>
        <w:tc>
          <w:tcPr>
            <w:tcW w:w="1162" w:type="dxa"/>
            <w:shd w:val="clear" w:color="auto" w:fill="FFFFFF"/>
          </w:tcPr>
          <w:p w14:paraId="6A3DDB74"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0,0002</w:t>
            </w:r>
          </w:p>
        </w:tc>
        <w:tc>
          <w:tcPr>
            <w:tcW w:w="1584" w:type="dxa"/>
            <w:shd w:val="clear" w:color="auto" w:fill="FFFFFF"/>
          </w:tcPr>
          <w:p w14:paraId="6218F0E4"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0,0002</w:t>
            </w:r>
          </w:p>
        </w:tc>
        <w:tc>
          <w:tcPr>
            <w:tcW w:w="1330" w:type="dxa"/>
            <w:shd w:val="clear" w:color="auto" w:fill="FFFFFF"/>
          </w:tcPr>
          <w:p w14:paraId="71DE4F6A"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0,0008</w:t>
            </w:r>
          </w:p>
        </w:tc>
        <w:tc>
          <w:tcPr>
            <w:tcW w:w="1878" w:type="dxa"/>
            <w:shd w:val="clear" w:color="auto" w:fill="FFFFFF"/>
          </w:tcPr>
          <w:p w14:paraId="7899879F"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&lt;4,02</w:t>
            </w:r>
          </w:p>
          <w:p w14:paraId="34F4D12E"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(p = 0,05)</w:t>
            </w:r>
          </w:p>
        </w:tc>
      </w:tr>
      <w:tr w:rsidR="00B834A2" w:rsidRPr="00EA5644" w14:paraId="0D5AA7A2" w14:textId="77777777" w:rsidTr="00EA5644">
        <w:trPr>
          <w:cantSplit/>
        </w:trPr>
        <w:tc>
          <w:tcPr>
            <w:tcW w:w="1800" w:type="dxa"/>
            <w:shd w:val="clear" w:color="auto" w:fill="FFFFFF"/>
          </w:tcPr>
          <w:p w14:paraId="1D63BBCC" w14:textId="77777777" w:rsidR="00B834A2" w:rsidRPr="00EA5644" w:rsidRDefault="00B834A2" w:rsidP="00EA5644">
            <w:pPr>
              <w:pStyle w:val="Bodytext20"/>
              <w:shd w:val="clear" w:color="auto" w:fill="auto"/>
              <w:spacing w:before="0" w:line="240" w:lineRule="auto"/>
              <w:jc w:val="both"/>
              <w:rPr>
                <w:rStyle w:val="Bodytext2Italic"/>
                <w:sz w:val="20"/>
                <w:szCs w:val="20"/>
              </w:rPr>
            </w:pPr>
            <w:r w:rsidRPr="00EA5644">
              <w:rPr>
                <w:rStyle w:val="Bodytext2Italic"/>
                <w:sz w:val="20"/>
                <w:szCs w:val="20"/>
              </w:rPr>
              <w:t>Կիրառումներ</w:t>
            </w:r>
          </w:p>
        </w:tc>
        <w:tc>
          <w:tcPr>
            <w:tcW w:w="2179" w:type="dxa"/>
            <w:shd w:val="clear" w:color="auto" w:fill="FFFFFF"/>
          </w:tcPr>
          <w:p w14:paraId="16285302"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k-1=6-1=5=f</w:t>
            </w:r>
            <w:r w:rsidRPr="00EA5644">
              <w:rPr>
                <w:rStyle w:val="Bodytext31Sylfaen9"/>
                <w:sz w:val="20"/>
                <w:szCs w:val="20"/>
                <w:vertAlign w:val="subscript"/>
              </w:rPr>
              <w:t>n</w:t>
            </w:r>
          </w:p>
        </w:tc>
        <w:tc>
          <w:tcPr>
            <w:tcW w:w="1162" w:type="dxa"/>
            <w:shd w:val="clear" w:color="auto" w:fill="FFFFFF"/>
          </w:tcPr>
          <w:p w14:paraId="24053BA9"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60,09</w:t>
            </w:r>
          </w:p>
        </w:tc>
        <w:tc>
          <w:tcPr>
            <w:tcW w:w="1584" w:type="dxa"/>
            <w:shd w:val="clear" w:color="auto" w:fill="FFFFFF"/>
          </w:tcPr>
          <w:p w14:paraId="77CE8441" w14:textId="77777777" w:rsidR="00B834A2" w:rsidRPr="00EA5644" w:rsidRDefault="00B834A2" w:rsidP="005B6181">
            <w:pPr>
              <w:pStyle w:val="Bodytext20"/>
              <w:shd w:val="clear" w:color="auto" w:fill="auto"/>
              <w:spacing w:before="0" w:line="240" w:lineRule="auto"/>
              <w:rPr>
                <w:rStyle w:val="Bodytext31Sylfaen9"/>
                <w:sz w:val="20"/>
                <w:szCs w:val="20"/>
              </w:rPr>
            </w:pPr>
            <w:r w:rsidRPr="00EA5644">
              <w:rPr>
                <w:rStyle w:val="Bodytext31Sylfaen9"/>
                <w:sz w:val="20"/>
                <w:szCs w:val="20"/>
              </w:rPr>
              <w:t>12,18</w:t>
            </w:r>
          </w:p>
        </w:tc>
        <w:tc>
          <w:tcPr>
            <w:tcW w:w="1330" w:type="dxa"/>
            <w:shd w:val="clear" w:color="auto" w:fill="FFFFFF"/>
          </w:tcPr>
          <w:p w14:paraId="48B4A4DA" w14:textId="77777777" w:rsidR="00B834A2" w:rsidRPr="00EA5644" w:rsidRDefault="00B834A2" w:rsidP="005B6181">
            <w:pPr>
              <w:pStyle w:val="Bodytext20"/>
              <w:shd w:val="clear" w:color="auto" w:fill="auto"/>
              <w:spacing w:before="0" w:line="240" w:lineRule="auto"/>
              <w:rPr>
                <w:rStyle w:val="Bodytext31Sylfaen9"/>
                <w:sz w:val="20"/>
                <w:szCs w:val="20"/>
              </w:rPr>
            </w:pPr>
          </w:p>
        </w:tc>
        <w:tc>
          <w:tcPr>
            <w:tcW w:w="1878" w:type="dxa"/>
            <w:shd w:val="clear" w:color="auto" w:fill="FFFFFF"/>
          </w:tcPr>
          <w:p w14:paraId="5525271F" w14:textId="77777777" w:rsidR="00B834A2" w:rsidRPr="00EA5644" w:rsidRDefault="00B834A2" w:rsidP="005B6181">
            <w:pPr>
              <w:pStyle w:val="Bodytext20"/>
              <w:shd w:val="clear" w:color="auto" w:fill="auto"/>
              <w:spacing w:before="0" w:line="240" w:lineRule="auto"/>
              <w:rPr>
                <w:rStyle w:val="Bodytext31Sylfaen9"/>
                <w:sz w:val="20"/>
                <w:szCs w:val="20"/>
              </w:rPr>
            </w:pPr>
          </w:p>
        </w:tc>
      </w:tr>
      <w:tr w:rsidR="00B834A2" w:rsidRPr="00EA5644" w14:paraId="686B972B" w14:textId="77777777" w:rsidTr="00EA5644">
        <w:trPr>
          <w:cantSplit/>
        </w:trPr>
        <w:tc>
          <w:tcPr>
            <w:tcW w:w="1800" w:type="dxa"/>
            <w:shd w:val="clear" w:color="auto" w:fill="FFFFFF"/>
          </w:tcPr>
          <w:p w14:paraId="69DD9D62"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Շեղում</w:t>
            </w:r>
          </w:p>
        </w:tc>
        <w:tc>
          <w:tcPr>
            <w:tcW w:w="2179" w:type="dxa"/>
            <w:shd w:val="clear" w:color="auto" w:fill="FFFFFF"/>
          </w:tcPr>
          <w:p w14:paraId="75EBA6E5"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N-1-f</w:t>
            </w:r>
            <w:r w:rsidRPr="00EA5644">
              <w:rPr>
                <w:rStyle w:val="Bodytext31Sylfaen9"/>
                <w:sz w:val="20"/>
                <w:szCs w:val="20"/>
                <w:vertAlign w:val="subscript"/>
              </w:rPr>
              <w:t>n</w:t>
            </w:r>
            <w:r w:rsidRPr="00EA5644">
              <w:rPr>
                <w:rStyle w:val="Bodytext31Sylfaen9"/>
                <w:sz w:val="20"/>
                <w:szCs w:val="20"/>
              </w:rPr>
              <w:t xml:space="preserve"> </w:t>
            </w:r>
            <w:r w:rsidRPr="00EA5644">
              <w:rPr>
                <w:rStyle w:val="Bodytext2Italic"/>
                <w:sz w:val="20"/>
                <w:szCs w:val="20"/>
              </w:rPr>
              <w:t>-m</w:t>
            </w:r>
            <w:r w:rsidRPr="00EA5644">
              <w:rPr>
                <w:rStyle w:val="Bodytext31Sylfaen9"/>
                <w:sz w:val="20"/>
                <w:szCs w:val="20"/>
              </w:rPr>
              <w:t xml:space="preserve"> = 59-5 = 54</w:t>
            </w:r>
          </w:p>
        </w:tc>
        <w:tc>
          <w:tcPr>
            <w:tcW w:w="1162" w:type="dxa"/>
            <w:shd w:val="clear" w:color="auto" w:fill="FFFFFF"/>
          </w:tcPr>
          <w:p w14:paraId="6C6E876A"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13,14</w:t>
            </w:r>
          </w:p>
        </w:tc>
        <w:tc>
          <w:tcPr>
            <w:tcW w:w="1584" w:type="dxa"/>
            <w:shd w:val="clear" w:color="auto" w:fill="FFFFFF"/>
          </w:tcPr>
          <w:p w14:paraId="674DE0D2"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0,24</w:t>
            </w:r>
          </w:p>
        </w:tc>
        <w:tc>
          <w:tcPr>
            <w:tcW w:w="1330" w:type="dxa"/>
            <w:shd w:val="clear" w:color="auto" w:fill="FFFFFF"/>
          </w:tcPr>
          <w:p w14:paraId="31B6C71C" w14:textId="77777777" w:rsidR="00B834A2" w:rsidRPr="00EA5644" w:rsidRDefault="00B834A2" w:rsidP="005B6181">
            <w:pPr>
              <w:spacing w:after="120"/>
              <w:jc w:val="center"/>
              <w:rPr>
                <w:sz w:val="20"/>
                <w:szCs w:val="20"/>
              </w:rPr>
            </w:pPr>
          </w:p>
        </w:tc>
        <w:tc>
          <w:tcPr>
            <w:tcW w:w="1878" w:type="dxa"/>
            <w:shd w:val="clear" w:color="auto" w:fill="FFFFFF"/>
          </w:tcPr>
          <w:p w14:paraId="4C014973" w14:textId="77777777" w:rsidR="00B834A2" w:rsidRPr="00EA5644" w:rsidRDefault="00B834A2" w:rsidP="005B6181">
            <w:pPr>
              <w:spacing w:after="120"/>
              <w:jc w:val="center"/>
              <w:rPr>
                <w:sz w:val="20"/>
                <w:szCs w:val="20"/>
              </w:rPr>
            </w:pPr>
          </w:p>
        </w:tc>
      </w:tr>
      <w:tr w:rsidR="00B834A2" w:rsidRPr="00EA5644" w14:paraId="34309A06" w14:textId="77777777" w:rsidTr="00B834A2">
        <w:trPr>
          <w:cantSplit/>
        </w:trPr>
        <w:tc>
          <w:tcPr>
            <w:tcW w:w="1800" w:type="dxa"/>
            <w:tcBorders>
              <w:bottom w:val="single" w:sz="4" w:space="0" w:color="auto"/>
            </w:tcBorders>
            <w:shd w:val="clear" w:color="auto" w:fill="FFFFFF"/>
          </w:tcPr>
          <w:p w14:paraId="02933706" w14:textId="77777777" w:rsidR="00B834A2" w:rsidRPr="00EA5644" w:rsidRDefault="00B834A2" w:rsidP="00EA5644">
            <w:pPr>
              <w:pStyle w:val="Bodytext20"/>
              <w:shd w:val="clear" w:color="auto" w:fill="auto"/>
              <w:spacing w:before="0" w:line="240" w:lineRule="auto"/>
              <w:jc w:val="both"/>
              <w:rPr>
                <w:rFonts w:ascii="Sylfaen" w:hAnsi="Sylfaen" w:cs="Sylfaen"/>
                <w:sz w:val="20"/>
                <w:szCs w:val="20"/>
              </w:rPr>
            </w:pPr>
            <w:r w:rsidRPr="00EA5644">
              <w:rPr>
                <w:rStyle w:val="Bodytext2Italic"/>
                <w:sz w:val="20"/>
                <w:szCs w:val="20"/>
              </w:rPr>
              <w:t>Արդյունք</w:t>
            </w:r>
          </w:p>
        </w:tc>
        <w:tc>
          <w:tcPr>
            <w:tcW w:w="2179" w:type="dxa"/>
            <w:tcBorders>
              <w:bottom w:val="single" w:sz="4" w:space="0" w:color="auto"/>
            </w:tcBorders>
            <w:shd w:val="clear" w:color="auto" w:fill="FFFFFF"/>
          </w:tcPr>
          <w:p w14:paraId="64B291F5"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N-1- m = 59</w:t>
            </w:r>
          </w:p>
        </w:tc>
        <w:tc>
          <w:tcPr>
            <w:tcW w:w="1162" w:type="dxa"/>
            <w:tcBorders>
              <w:bottom w:val="single" w:sz="4" w:space="0" w:color="auto"/>
            </w:tcBorders>
            <w:shd w:val="clear" w:color="auto" w:fill="FFFFFF"/>
          </w:tcPr>
          <w:p w14:paraId="3196475D" w14:textId="77777777" w:rsidR="00B834A2" w:rsidRPr="00EA5644" w:rsidRDefault="00B834A2" w:rsidP="005B6181">
            <w:pPr>
              <w:pStyle w:val="Bodytext20"/>
              <w:shd w:val="clear" w:color="auto" w:fill="auto"/>
              <w:spacing w:before="0" w:line="240" w:lineRule="auto"/>
              <w:rPr>
                <w:rFonts w:ascii="Sylfaen" w:hAnsi="Sylfaen" w:cs="Sylfaen"/>
                <w:sz w:val="20"/>
                <w:szCs w:val="20"/>
              </w:rPr>
            </w:pPr>
            <w:r w:rsidRPr="00EA5644">
              <w:rPr>
                <w:rStyle w:val="Bodytext31Sylfaen9"/>
                <w:sz w:val="20"/>
                <w:szCs w:val="20"/>
              </w:rPr>
              <w:t>74,04</w:t>
            </w:r>
          </w:p>
        </w:tc>
        <w:tc>
          <w:tcPr>
            <w:tcW w:w="1584" w:type="dxa"/>
            <w:tcBorders>
              <w:bottom w:val="single" w:sz="4" w:space="0" w:color="auto"/>
            </w:tcBorders>
            <w:shd w:val="clear" w:color="auto" w:fill="FFFFFF"/>
          </w:tcPr>
          <w:p w14:paraId="6D3C7FB7" w14:textId="77777777" w:rsidR="00B834A2" w:rsidRPr="00EA5644" w:rsidRDefault="00B834A2" w:rsidP="005B6181">
            <w:pPr>
              <w:spacing w:after="120"/>
              <w:jc w:val="center"/>
              <w:rPr>
                <w:sz w:val="20"/>
                <w:szCs w:val="20"/>
              </w:rPr>
            </w:pPr>
          </w:p>
        </w:tc>
        <w:tc>
          <w:tcPr>
            <w:tcW w:w="1330" w:type="dxa"/>
            <w:tcBorders>
              <w:bottom w:val="single" w:sz="4" w:space="0" w:color="auto"/>
            </w:tcBorders>
            <w:shd w:val="clear" w:color="auto" w:fill="FFFFFF"/>
          </w:tcPr>
          <w:p w14:paraId="44FC93E1" w14:textId="77777777" w:rsidR="00B834A2" w:rsidRPr="00EA5644" w:rsidRDefault="00B834A2" w:rsidP="00EA5644">
            <w:pPr>
              <w:spacing w:after="120"/>
              <w:jc w:val="both"/>
              <w:rPr>
                <w:sz w:val="20"/>
                <w:szCs w:val="20"/>
              </w:rPr>
            </w:pPr>
          </w:p>
        </w:tc>
        <w:tc>
          <w:tcPr>
            <w:tcW w:w="1878" w:type="dxa"/>
            <w:tcBorders>
              <w:bottom w:val="single" w:sz="4" w:space="0" w:color="auto"/>
            </w:tcBorders>
            <w:shd w:val="clear" w:color="auto" w:fill="FFFFFF"/>
          </w:tcPr>
          <w:p w14:paraId="28C1F715" w14:textId="77777777" w:rsidR="00B834A2" w:rsidRPr="00EA5644" w:rsidRDefault="00B834A2" w:rsidP="00EA5644">
            <w:pPr>
              <w:spacing w:after="120"/>
              <w:jc w:val="both"/>
              <w:rPr>
                <w:sz w:val="20"/>
                <w:szCs w:val="20"/>
              </w:rPr>
            </w:pPr>
          </w:p>
        </w:tc>
      </w:tr>
    </w:tbl>
    <w:p w14:paraId="4791B743" w14:textId="77777777" w:rsidR="00EA5644" w:rsidRDefault="00EA5644" w:rsidP="009A3F5E">
      <w:pPr>
        <w:pStyle w:val="Bodytext20"/>
        <w:shd w:val="clear" w:color="auto" w:fill="auto"/>
        <w:spacing w:before="0" w:after="160" w:line="360" w:lineRule="auto"/>
        <w:ind w:firstLine="567"/>
        <w:jc w:val="both"/>
        <w:rPr>
          <w:rStyle w:val="Bodytext31Sylfaen9"/>
          <w:sz w:val="24"/>
          <w:szCs w:val="24"/>
          <w:lang w:val="en-US"/>
        </w:rPr>
      </w:pPr>
    </w:p>
    <w:p w14:paraId="3C307270"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lastRenderedPageBreak/>
        <w:t xml:space="preserve">n=10 </w:t>
      </w:r>
      <w:r w:rsidRPr="00B834A2">
        <w:rPr>
          <w:rFonts w:ascii="Sylfaen" w:hAnsi="Sylfaen"/>
          <w:sz w:val="24"/>
          <w:szCs w:val="24"/>
        </w:rPr>
        <w:t xml:space="preserve">(խմբում արձագանքների թիվը). </w:t>
      </w:r>
      <w:r w:rsidRPr="00B834A2">
        <w:rPr>
          <w:rStyle w:val="Bodytext31Sylfaen9"/>
          <w:sz w:val="24"/>
          <w:szCs w:val="24"/>
        </w:rPr>
        <w:t>N=60</w:t>
      </w:r>
      <w:r w:rsidRPr="00B834A2">
        <w:rPr>
          <w:rFonts w:ascii="Sylfaen" w:hAnsi="Sylfaen"/>
          <w:sz w:val="24"/>
          <w:szCs w:val="24"/>
        </w:rPr>
        <w:t xml:space="preserve"> (փորձի ժամանակ արձագանքների ընդհանուր թիվը). </w:t>
      </w:r>
      <w:r w:rsidRPr="00B834A2">
        <w:rPr>
          <w:rStyle w:val="Bodytext31Sylfaen9"/>
          <w:sz w:val="24"/>
          <w:szCs w:val="24"/>
        </w:rPr>
        <w:t>m</w:t>
      </w:r>
      <w:r w:rsidRPr="00B834A2">
        <w:rPr>
          <w:rFonts w:ascii="Sylfaen" w:hAnsi="Sylfaen"/>
          <w:sz w:val="24"/>
          <w:szCs w:val="24"/>
        </w:rPr>
        <w:t>=0 (կորսված եւ փոխարինված արժեքների թիվը)։</w:t>
      </w:r>
    </w:p>
    <w:p w14:paraId="29A2F826"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 xml:space="preserve">Դիսպերսիոն վերլուծությունը ցույց է տվել փորձի արդյունքների պիտանիությունը՝ </w:t>
      </w:r>
      <w:r w:rsidRPr="00B834A2">
        <w:rPr>
          <w:rFonts w:ascii="Sylfaen" w:hAnsi="Sylfaen"/>
          <w:sz w:val="24"/>
          <w:szCs w:val="24"/>
        </w:rPr>
        <w:t>դեղաչափից կախվածության վիճակագրական նշանակալիությունը (</w:t>
      </w:r>
      <w:r w:rsidRPr="00B834A2">
        <w:rPr>
          <w:rFonts w:ascii="Sylfaen" w:hAnsi="Sylfaen"/>
          <w:i/>
          <w:sz w:val="24"/>
          <w:szCs w:val="24"/>
        </w:rPr>
        <w:t>«Ռեգրեսիա»</w:t>
      </w:r>
      <w:r w:rsidRPr="00B834A2">
        <w:rPr>
          <w:rFonts w:ascii="Sylfaen" w:hAnsi="Sylfaen"/>
          <w:sz w:val="24"/>
          <w:szCs w:val="24"/>
        </w:rPr>
        <w:t>)</w:t>
      </w:r>
      <w:r w:rsidRPr="00B834A2">
        <w:rPr>
          <w:rFonts w:ascii="Sylfaen" w:hAnsi="Sylfaen"/>
          <w:i/>
          <w:sz w:val="24"/>
          <w:szCs w:val="24"/>
        </w:rPr>
        <w:t>,</w:t>
      </w:r>
      <w:r w:rsidRPr="00B834A2">
        <w:rPr>
          <w:rFonts w:ascii="Sylfaen" w:hAnsi="Sylfaen"/>
          <w:sz w:val="24"/>
          <w:szCs w:val="24"/>
        </w:rPr>
        <w:t xml:space="preserve"> ռեգրեսիայի երկու գծերի զուգահեռությունն ու գծայնությունը </w:t>
      </w:r>
      <w:r w:rsidRPr="00B834A2">
        <w:rPr>
          <w:rFonts w:ascii="Sylfaen" w:hAnsi="Sylfaen"/>
          <w:i/>
          <w:sz w:val="24"/>
          <w:szCs w:val="24"/>
        </w:rPr>
        <w:t>(«Ոչ զուգահեռություն», «Քառակուսիություն» եւ «Քառակուսիության տարբերություն»</w:t>
      </w:r>
      <w:r w:rsidRPr="00B834A2">
        <w:rPr>
          <w:rFonts w:ascii="Sylfaen" w:hAnsi="Sylfaen"/>
          <w:sz w:val="24"/>
          <w:szCs w:val="24"/>
        </w:rPr>
        <w:t>)։</w:t>
      </w:r>
    </w:p>
    <w:p w14:paraId="6C168BE4"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u w:val="single"/>
        </w:rPr>
      </w:pPr>
      <w:r w:rsidRPr="00B834A2">
        <w:rPr>
          <w:rStyle w:val="Bodytext31Sylfaen9"/>
          <w:sz w:val="24"/>
          <w:szCs w:val="24"/>
          <w:u w:val="single"/>
        </w:rPr>
        <w:t>Կենսաբանական ակտիվության եւ դրա վստահելի սահմանների հաշվարկումը</w:t>
      </w:r>
    </w:p>
    <w:p w14:paraId="38018B9C"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Դեղաչափերի հարաբերակցությունը հավասար է 2, հետեւաբար I = Ig 2,0 = 0,3010.</w:t>
      </w:r>
    </w:p>
    <w:p w14:paraId="2E55BB29" w14:textId="77777777" w:rsidR="00B834A2" w:rsidRPr="00B834A2" w:rsidRDefault="00B834A2" w:rsidP="003159ED">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32CAFB78" wp14:editId="301DFE24">
            <wp:extent cx="3519054" cy="2615351"/>
            <wp:effectExtent l="19050" t="0" r="5196" b="0"/>
            <wp:docPr id="2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srcRect/>
                    <a:stretch>
                      <a:fillRect/>
                    </a:stretch>
                  </pic:blipFill>
                  <pic:spPr bwMode="auto">
                    <a:xfrm>
                      <a:off x="0" y="0"/>
                      <a:ext cx="3520148" cy="2616164"/>
                    </a:xfrm>
                    <a:prstGeom prst="rect">
                      <a:avLst/>
                    </a:prstGeom>
                    <a:noFill/>
                    <a:ln w="9525">
                      <a:noFill/>
                      <a:miter lim="800000"/>
                      <a:headEnd/>
                      <a:tailEnd/>
                    </a:ln>
                  </pic:spPr>
                </pic:pic>
              </a:graphicData>
            </a:graphic>
          </wp:inline>
        </w:drawing>
      </w:r>
    </w:p>
    <w:p w14:paraId="29F9E56B"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Ակնկալվող ակտիվությունը՝ </w:t>
      </w:r>
      <w:r w:rsidRPr="00B834A2">
        <w:rPr>
          <w:rStyle w:val="Bodytext2Italic"/>
          <w:sz w:val="24"/>
          <w:szCs w:val="24"/>
        </w:rPr>
        <w:t>А</w:t>
      </w:r>
      <w:r w:rsidRPr="00B834A2">
        <w:rPr>
          <w:rStyle w:val="Bodytext2Italic"/>
          <w:sz w:val="24"/>
          <w:szCs w:val="24"/>
          <w:vertAlign w:val="subscript"/>
        </w:rPr>
        <w:t>U</w:t>
      </w:r>
      <w:r w:rsidRPr="00B834A2">
        <w:rPr>
          <w:rStyle w:val="Bodytext2Italic"/>
          <w:sz w:val="24"/>
          <w:szCs w:val="24"/>
        </w:rPr>
        <w:t xml:space="preserve"> =1</w:t>
      </w:r>
      <w:r w:rsidRPr="00B834A2">
        <w:rPr>
          <w:rStyle w:val="Bodytext31Sylfaen9"/>
          <w:sz w:val="24"/>
          <w:szCs w:val="24"/>
        </w:rPr>
        <w:t xml:space="preserve"> 000 ՄՄ/սրվակ։</w:t>
      </w:r>
    </w:p>
    <w:p w14:paraId="72E30552" w14:textId="77777777" w:rsidR="00B834A2" w:rsidRPr="00B834A2" w:rsidRDefault="00B834A2" w:rsidP="003159ED">
      <w:pPr>
        <w:pStyle w:val="Bodytext20"/>
        <w:shd w:val="clear" w:color="auto" w:fill="auto"/>
        <w:spacing w:before="0" w:after="160" w:line="360" w:lineRule="auto"/>
        <w:ind w:firstLine="567"/>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09AB72DD" wp14:editId="11623C37">
            <wp:extent cx="1837459" cy="255225"/>
            <wp:effectExtent l="19050" t="0" r="0" b="0"/>
            <wp:docPr id="2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srcRect/>
                    <a:stretch>
                      <a:fillRect/>
                    </a:stretch>
                  </pic:blipFill>
                  <pic:spPr bwMode="auto">
                    <a:xfrm>
                      <a:off x="0" y="0"/>
                      <a:ext cx="1838920" cy="255428"/>
                    </a:xfrm>
                    <a:prstGeom prst="rect">
                      <a:avLst/>
                    </a:prstGeom>
                    <a:noFill/>
                    <a:ln w="9525">
                      <a:noFill/>
                      <a:miter lim="800000"/>
                      <a:headEnd/>
                      <a:tailEnd/>
                    </a:ln>
                  </pic:spPr>
                </pic:pic>
              </a:graphicData>
            </a:graphic>
          </wp:inline>
        </w:drawing>
      </w:r>
    </w:p>
    <w:p w14:paraId="0A5017A0" w14:textId="77777777" w:rsidR="00B834A2" w:rsidRPr="003159ED" w:rsidRDefault="00B834A2" w:rsidP="009A3F5E">
      <w:pPr>
        <w:pStyle w:val="Bodytext20"/>
        <w:shd w:val="clear" w:color="auto" w:fill="auto"/>
        <w:spacing w:before="0" w:after="160" w:line="360" w:lineRule="auto"/>
        <w:ind w:firstLine="567"/>
        <w:jc w:val="both"/>
        <w:rPr>
          <w:rStyle w:val="Bodytext31Sylfaen9"/>
          <w:i w:val="0"/>
          <w:sz w:val="24"/>
          <w:szCs w:val="24"/>
        </w:rPr>
      </w:pPr>
      <w:r w:rsidRPr="003159ED">
        <w:rPr>
          <w:rStyle w:val="Bodytext31Sylfaen9"/>
          <w:i w:val="0"/>
          <w:sz w:val="24"/>
          <w:szCs w:val="24"/>
        </w:rPr>
        <w:t xml:space="preserve">Կենսաբանական ակտիվությունը` </w:t>
      </w:r>
    </w:p>
    <w:p w14:paraId="3DA6F9EA" w14:textId="77777777" w:rsidR="00B834A2" w:rsidRPr="00B834A2" w:rsidRDefault="00B834A2" w:rsidP="003159ED">
      <w:pPr>
        <w:pStyle w:val="Bodytext20"/>
        <w:shd w:val="clear" w:color="auto" w:fill="auto"/>
        <w:spacing w:before="0" w:after="160" w:line="360" w:lineRule="auto"/>
        <w:ind w:firstLine="567"/>
        <w:rPr>
          <w:rStyle w:val="Bodytext31Sylfaen9"/>
          <w:sz w:val="24"/>
          <w:szCs w:val="24"/>
        </w:rPr>
      </w:pPr>
      <w:r w:rsidRPr="00B834A2">
        <w:rPr>
          <w:rFonts w:ascii="Sylfaen" w:hAnsi="Sylfaen"/>
          <w:noProof/>
          <w:sz w:val="24"/>
          <w:szCs w:val="24"/>
          <w:shd w:val="clear" w:color="auto" w:fill="FFFFFF"/>
        </w:rPr>
        <w:t>R</w:t>
      </w:r>
      <w:r w:rsidRPr="00B834A2">
        <w:rPr>
          <w:rFonts w:ascii="Sylfaen" w:hAnsi="Sylfaen"/>
          <w:noProof/>
          <w:sz w:val="24"/>
          <w:szCs w:val="24"/>
          <w:shd w:val="clear" w:color="auto" w:fill="FFFFFF"/>
          <w:vertAlign w:val="subscript"/>
        </w:rPr>
        <w:t>U</w:t>
      </w:r>
      <w:r w:rsidRPr="00B834A2">
        <w:rPr>
          <w:rFonts w:ascii="Sylfaen" w:hAnsi="Sylfaen"/>
          <w:noProof/>
          <w:sz w:val="24"/>
          <w:szCs w:val="24"/>
          <w:shd w:val="clear" w:color="auto" w:fill="FFFFFF"/>
        </w:rPr>
        <w:t>=10</w:t>
      </w:r>
      <w:r w:rsidRPr="00B834A2">
        <w:rPr>
          <w:rFonts w:ascii="Sylfaen" w:hAnsi="Sylfaen"/>
          <w:noProof/>
          <w:sz w:val="24"/>
          <w:szCs w:val="24"/>
          <w:shd w:val="clear" w:color="auto" w:fill="FFFFFF"/>
          <w:vertAlign w:val="superscript"/>
        </w:rPr>
        <w:t>3,075</w:t>
      </w:r>
      <w:r w:rsidRPr="00B834A2">
        <w:rPr>
          <w:rFonts w:ascii="Sylfaen" w:hAnsi="Sylfaen"/>
          <w:noProof/>
          <w:sz w:val="24"/>
          <w:szCs w:val="24"/>
          <w:shd w:val="clear" w:color="auto" w:fill="FFFFFF"/>
        </w:rPr>
        <w:t>=1188,50ՄՄ/սրվակ.</w:t>
      </w:r>
    </w:p>
    <w:p w14:paraId="49CE66F7" w14:textId="77777777" w:rsidR="00B834A2" w:rsidRPr="00B834A2" w:rsidRDefault="00B834A2" w:rsidP="003159ED">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lastRenderedPageBreak/>
        <w:drawing>
          <wp:inline distT="0" distB="0" distL="0" distR="0" wp14:anchorId="00ACB8BD" wp14:editId="7D37EB52">
            <wp:extent cx="2833255" cy="602775"/>
            <wp:effectExtent l="19050" t="0" r="5195" b="0"/>
            <wp:docPr id="24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srcRect/>
                    <a:stretch>
                      <a:fillRect/>
                    </a:stretch>
                  </pic:blipFill>
                  <pic:spPr bwMode="auto">
                    <a:xfrm>
                      <a:off x="0" y="0"/>
                      <a:ext cx="2834135" cy="602962"/>
                    </a:xfrm>
                    <a:prstGeom prst="rect">
                      <a:avLst/>
                    </a:prstGeom>
                    <a:noFill/>
                    <a:ln w="9525">
                      <a:noFill/>
                      <a:miter lim="800000"/>
                      <a:headEnd/>
                      <a:tailEnd/>
                    </a:ln>
                  </pic:spPr>
                </pic:pic>
              </a:graphicData>
            </a:graphic>
          </wp:inline>
        </w:drawing>
      </w:r>
    </w:p>
    <w:p w14:paraId="0E50ED39" w14:textId="77777777" w:rsidR="00B834A2" w:rsidRPr="003159ED" w:rsidRDefault="00B834A2" w:rsidP="009A3F5E">
      <w:pPr>
        <w:pStyle w:val="Bodytext20"/>
        <w:shd w:val="clear" w:color="auto" w:fill="auto"/>
        <w:spacing w:before="0" w:after="160" w:line="360" w:lineRule="auto"/>
        <w:ind w:firstLine="567"/>
        <w:jc w:val="both"/>
        <w:rPr>
          <w:rStyle w:val="Bodytext31Sylfaen9"/>
          <w:i w:val="0"/>
          <w:sz w:val="24"/>
          <w:szCs w:val="24"/>
        </w:rPr>
      </w:pPr>
      <w:r w:rsidRPr="003159ED">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51A94EDD" w14:textId="77777777" w:rsidR="00B834A2" w:rsidRPr="00B834A2" w:rsidRDefault="00B834A2" w:rsidP="003159ED">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654B9FA0" wp14:editId="2137A5A7">
            <wp:extent cx="2696440" cy="854978"/>
            <wp:effectExtent l="19050" t="0" r="8660" b="0"/>
            <wp:docPr id="2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srcRect/>
                    <a:stretch>
                      <a:fillRect/>
                    </a:stretch>
                  </pic:blipFill>
                  <pic:spPr bwMode="auto">
                    <a:xfrm>
                      <a:off x="0" y="0"/>
                      <a:ext cx="2695813" cy="854779"/>
                    </a:xfrm>
                    <a:prstGeom prst="rect">
                      <a:avLst/>
                    </a:prstGeom>
                    <a:noFill/>
                    <a:ln w="9525">
                      <a:noFill/>
                      <a:miter lim="800000"/>
                      <a:headEnd/>
                      <a:tailEnd/>
                    </a:ln>
                  </pic:spPr>
                </pic:pic>
              </a:graphicData>
            </a:graphic>
          </wp:inline>
        </w:drawing>
      </w:r>
    </w:p>
    <w:p w14:paraId="67436619" w14:textId="77777777" w:rsidR="00B834A2" w:rsidRPr="003159ED"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3159ED">
        <w:rPr>
          <w:rStyle w:val="Bodytext31Sylfaen9"/>
          <w:i w:val="0"/>
          <w:sz w:val="24"/>
          <w:szCs w:val="24"/>
        </w:rPr>
        <w:t xml:space="preserve">Փորձարկվող նմուշի կենսաբանական ակտիվության լոգարիթմական վստահելի սահմանները կազմում են 0,0114 եւ 0,1411։ </w:t>
      </w:r>
      <w:r w:rsidRPr="003159ED">
        <w:rPr>
          <w:rFonts w:ascii="Sylfaen" w:hAnsi="Sylfaen"/>
          <w:sz w:val="24"/>
          <w:szCs w:val="24"/>
        </w:rPr>
        <w:t xml:space="preserve">Ստորին եւ վերին վստահելի սահմանը կազմում է </w:t>
      </w:r>
      <w:r w:rsidRPr="003159ED">
        <w:rPr>
          <w:rStyle w:val="Bodytext31Sylfaen9"/>
          <w:i w:val="0"/>
          <w:sz w:val="24"/>
          <w:szCs w:val="24"/>
        </w:rPr>
        <w:t>10</w:t>
      </w:r>
      <w:r w:rsidRPr="003159ED">
        <w:rPr>
          <w:rStyle w:val="Bodytext31Sylfaen9"/>
          <w:i w:val="0"/>
          <w:sz w:val="24"/>
          <w:szCs w:val="24"/>
          <w:vertAlign w:val="superscript"/>
        </w:rPr>
        <w:t>lgA</w:t>
      </w:r>
      <w:r w:rsidRPr="003159ED">
        <w:rPr>
          <w:rStyle w:val="Bodytext31Sylfaen9"/>
          <w:i w:val="0"/>
          <w:sz w:val="24"/>
          <w:szCs w:val="24"/>
          <w:vertAlign w:val="subscript"/>
        </w:rPr>
        <w:t>U</w:t>
      </w:r>
      <w:r w:rsidRPr="003159ED">
        <w:rPr>
          <w:rStyle w:val="Bodytext31Sylfaen9"/>
          <w:i w:val="0"/>
          <w:sz w:val="24"/>
          <w:szCs w:val="24"/>
          <w:vertAlign w:val="superscript"/>
        </w:rPr>
        <w:t>+0,0114</w:t>
      </w:r>
      <w:r w:rsidRPr="003159ED">
        <w:rPr>
          <w:rStyle w:val="Bodytext31Sylfaen9"/>
          <w:i w:val="0"/>
          <w:sz w:val="24"/>
          <w:szCs w:val="24"/>
        </w:rPr>
        <w:t xml:space="preserve"> եւ </w:t>
      </w:r>
      <w:r w:rsidRPr="003159ED">
        <w:rPr>
          <w:rStyle w:val="Bodytext285pt"/>
          <w:i w:val="0"/>
          <w:spacing w:val="0"/>
          <w:sz w:val="24"/>
          <w:szCs w:val="24"/>
        </w:rPr>
        <w:t>10</w:t>
      </w:r>
      <w:r w:rsidRPr="003159ED">
        <w:rPr>
          <w:rStyle w:val="Bodytext31Sylfaen9"/>
          <w:i w:val="0"/>
          <w:sz w:val="24"/>
          <w:szCs w:val="24"/>
          <w:vertAlign w:val="superscript"/>
        </w:rPr>
        <w:t xml:space="preserve"> lgA</w:t>
      </w:r>
      <w:r w:rsidRPr="003159ED">
        <w:rPr>
          <w:rStyle w:val="Bodytext31Sylfaen9"/>
          <w:i w:val="0"/>
          <w:sz w:val="24"/>
          <w:szCs w:val="24"/>
          <w:vertAlign w:val="subscript"/>
        </w:rPr>
        <w:t>U</w:t>
      </w:r>
      <w:r w:rsidRPr="003159ED">
        <w:rPr>
          <w:rStyle w:val="Bodytext31Sylfaen9"/>
          <w:i w:val="0"/>
          <w:sz w:val="24"/>
          <w:szCs w:val="24"/>
          <w:vertAlign w:val="superscript"/>
        </w:rPr>
        <w:t>+0,1411</w:t>
      </w:r>
      <w:r w:rsidRPr="003159ED">
        <w:rPr>
          <w:rFonts w:ascii="Sylfaen" w:hAnsi="Sylfaen"/>
          <w:sz w:val="24"/>
          <w:szCs w:val="24"/>
        </w:rPr>
        <w:t xml:space="preserve">, այսինքն՝ համապատասխանաբար </w:t>
      </w:r>
      <w:r w:rsidRPr="003159ED">
        <w:rPr>
          <w:rStyle w:val="Bodytext31Sylfaen9"/>
          <w:i w:val="0"/>
          <w:sz w:val="24"/>
          <w:szCs w:val="24"/>
        </w:rPr>
        <w:t>1026,6 ՄՄ/սրվակ</w:t>
      </w:r>
      <w:r w:rsidRPr="003159ED">
        <w:rPr>
          <w:rFonts w:ascii="Sylfaen" w:hAnsi="Sylfaen"/>
          <w:sz w:val="24"/>
          <w:szCs w:val="24"/>
        </w:rPr>
        <w:t xml:space="preserve"> </w:t>
      </w:r>
      <w:r w:rsidRPr="003159ED">
        <w:rPr>
          <w:rStyle w:val="Bodytext31Sylfaen9"/>
          <w:i w:val="0"/>
          <w:sz w:val="24"/>
          <w:szCs w:val="24"/>
        </w:rPr>
        <w:t xml:space="preserve">եւ 1383,9 ՄՄ/սրվակ։ </w:t>
      </w:r>
    </w:p>
    <w:p w14:paraId="1FB0C9EA" w14:textId="77777777" w:rsidR="00B834A2" w:rsidRPr="003159ED" w:rsidRDefault="00B834A2" w:rsidP="003159ED">
      <w:pPr>
        <w:pStyle w:val="Bodytext20"/>
        <w:shd w:val="clear" w:color="auto" w:fill="auto"/>
        <w:tabs>
          <w:tab w:val="left" w:pos="1418"/>
        </w:tabs>
        <w:spacing w:before="0" w:after="160" w:line="360" w:lineRule="auto"/>
        <w:ind w:firstLine="567"/>
        <w:jc w:val="both"/>
        <w:rPr>
          <w:rFonts w:ascii="Sylfaen" w:hAnsi="Sylfaen" w:cs="Sylfaen"/>
          <w:sz w:val="24"/>
          <w:szCs w:val="24"/>
        </w:rPr>
      </w:pPr>
      <w:r w:rsidRPr="003159ED">
        <w:rPr>
          <w:rStyle w:val="Bodytext2Italic"/>
          <w:sz w:val="24"/>
          <w:szCs w:val="24"/>
        </w:rPr>
        <w:t>3.2.3.</w:t>
      </w:r>
      <w:r w:rsidR="003159ED" w:rsidRPr="00A859E3">
        <w:rPr>
          <w:rStyle w:val="Bodytext2Italic"/>
          <w:sz w:val="24"/>
          <w:szCs w:val="24"/>
        </w:rPr>
        <w:tab/>
      </w:r>
      <w:r w:rsidRPr="003159ED">
        <w:rPr>
          <w:rStyle w:val="Bodytext2Italic"/>
          <w:sz w:val="24"/>
          <w:szCs w:val="24"/>
        </w:rPr>
        <w:t>Երկու դեղաչափի օգտագործմամբ պատահական բլոկների մեթոդ (աքաղաղի համար օքսիտոցինի կենսաբանական ատիվության օրինակով)</w:t>
      </w:r>
    </w:p>
    <w:p w14:paraId="5C3EE102" w14:textId="77777777" w:rsidR="00B834A2" w:rsidRPr="003159ED"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3159ED">
        <w:rPr>
          <w:rStyle w:val="Bodytext31Sylfaen9"/>
          <w:i w:val="0"/>
          <w:sz w:val="24"/>
          <w:szCs w:val="24"/>
        </w:rPr>
        <w:t>Աքաղաղին որպես թեստ օբյեկտ օգտագործելիս արձագանքը զարկերակային ճնշման անկման մեծությունն է (մմ.սնդ.ս.)՝ օքսիտոցինի ստանդարտ նմուշի երկու դեղաչափի եւ փորձարկվող նմուշի երկու դեղաչափի ներմուծման դեպքում։</w:t>
      </w:r>
    </w:p>
    <w:p w14:paraId="734B031C" w14:textId="77777777" w:rsidR="00B834A2" w:rsidRPr="003159ED"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3159ED">
        <w:rPr>
          <w:rStyle w:val="Bodytext31Sylfaen9"/>
          <w:i w:val="0"/>
          <w:sz w:val="24"/>
          <w:szCs w:val="24"/>
        </w:rPr>
        <w:t>Աքաղաղին ներմուծել են օքսիտոցինի ստանդարտ նմուշի երկուական դեղաչափ եւ փորձարկվող նմուշի երկու դեղաչափ (դեղաչափերի հարաբերակցությունը՝ 1։2)։ Դեղաչափերի ներմուծման կարգն ու թեստ օբյեկտի արձագանքները բերված են 3.2.3-8 աղյուսակում։</w:t>
      </w:r>
    </w:p>
    <w:p w14:paraId="1FC32CE7" w14:textId="77777777" w:rsidR="00B834A2" w:rsidRPr="00C41622" w:rsidRDefault="00B834A2" w:rsidP="009A3F5E">
      <w:pPr>
        <w:pStyle w:val="Tablecaption20"/>
        <w:shd w:val="clear" w:color="auto" w:fill="auto"/>
        <w:spacing w:before="0" w:after="160" w:line="360" w:lineRule="auto"/>
        <w:ind w:firstLine="567"/>
        <w:rPr>
          <w:rFonts w:ascii="Sylfaen" w:hAnsi="Sylfaen"/>
          <w:sz w:val="24"/>
          <w:szCs w:val="24"/>
        </w:rPr>
      </w:pPr>
      <w:r w:rsidRPr="003159ED">
        <w:rPr>
          <w:rStyle w:val="Bodytext310pt"/>
          <w:b w:val="0"/>
          <w:sz w:val="24"/>
          <w:szCs w:val="24"/>
        </w:rPr>
        <w:t>Աղյուսակ 3.2.3-8.</w:t>
      </w:r>
      <w:r w:rsidRPr="003159ED">
        <w:rPr>
          <w:rStyle w:val="Bodytext310pt"/>
          <w:sz w:val="24"/>
          <w:szCs w:val="24"/>
        </w:rPr>
        <w:t xml:space="preserve"> </w:t>
      </w:r>
      <w:r w:rsidRPr="003159ED">
        <w:rPr>
          <w:rFonts w:ascii="Sylfaen" w:hAnsi="Sylfaen"/>
          <w:i w:val="0"/>
          <w:sz w:val="24"/>
          <w:szCs w:val="24"/>
        </w:rPr>
        <w:t>Դեղաչափերի ներմուծման կարգը եւ օքսիտոցինի</w:t>
      </w:r>
      <w:r w:rsidRPr="00B834A2">
        <w:rPr>
          <w:rFonts w:ascii="Sylfaen" w:hAnsi="Sylfaen"/>
          <w:sz w:val="24"/>
          <w:szCs w:val="24"/>
        </w:rPr>
        <w:t xml:space="preserve"> ստանդարտ նմուշի եւ փորձարկվող նմուշի ներմուծման նկատմամբ աքաղաղի արձագանքները (երկու դեղաչափի օգտագործմամբ պատահական բլոկների մեթոդ)</w:t>
      </w:r>
    </w:p>
    <w:p w14:paraId="1D9E6AC5" w14:textId="77777777" w:rsidR="005B6181" w:rsidRPr="00C41622" w:rsidRDefault="005B6181">
      <w:pPr>
        <w:rPr>
          <w:rFonts w:eastAsia="Times New Roman" w:cs="Times New Roman"/>
          <w:i/>
          <w:iCs/>
          <w:color w:val="auto"/>
        </w:rPr>
      </w:pPr>
      <w:r w:rsidRPr="00C41622">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734"/>
        <w:gridCol w:w="816"/>
        <w:gridCol w:w="763"/>
        <w:gridCol w:w="710"/>
        <w:gridCol w:w="1226"/>
      </w:tblGrid>
      <w:tr w:rsidR="00B834A2" w:rsidRPr="003159ED" w14:paraId="71553B49" w14:textId="77777777" w:rsidTr="003159ED">
        <w:trPr>
          <w:jc w:val="center"/>
        </w:trPr>
        <w:tc>
          <w:tcPr>
            <w:tcW w:w="581" w:type="dxa"/>
            <w:tcBorders>
              <w:top w:val="single" w:sz="4" w:space="0" w:color="auto"/>
            </w:tcBorders>
            <w:shd w:val="clear" w:color="auto" w:fill="FFFFFF"/>
          </w:tcPr>
          <w:p w14:paraId="6172BAAA" w14:textId="77777777" w:rsidR="00B834A2" w:rsidRPr="003159ED" w:rsidRDefault="00B834A2" w:rsidP="003159ED">
            <w:pPr>
              <w:spacing w:after="120"/>
              <w:jc w:val="center"/>
              <w:rPr>
                <w:sz w:val="20"/>
                <w:szCs w:val="20"/>
              </w:rPr>
            </w:pPr>
          </w:p>
        </w:tc>
        <w:tc>
          <w:tcPr>
            <w:tcW w:w="734" w:type="dxa"/>
            <w:tcBorders>
              <w:top w:val="single" w:sz="4" w:space="0" w:color="auto"/>
            </w:tcBorders>
            <w:shd w:val="clear" w:color="auto" w:fill="FFFFFF"/>
          </w:tcPr>
          <w:p w14:paraId="09700751" w14:textId="77777777" w:rsidR="00B834A2" w:rsidRPr="003159ED" w:rsidRDefault="00B834A2" w:rsidP="003159ED">
            <w:pPr>
              <w:pStyle w:val="Bodytext20"/>
              <w:shd w:val="clear" w:color="auto" w:fill="auto"/>
              <w:spacing w:before="0" w:line="240" w:lineRule="auto"/>
              <w:rPr>
                <w:rFonts w:ascii="Sylfaen" w:hAnsi="Sylfaen" w:cs="Sylfaen"/>
                <w:sz w:val="20"/>
                <w:szCs w:val="20"/>
                <w:lang w:val="en-GB"/>
              </w:rPr>
            </w:pPr>
            <w:r w:rsidRPr="003159ED">
              <w:rPr>
                <w:rStyle w:val="Bodytext31Sylfaen9"/>
                <w:i w:val="0"/>
                <w:sz w:val="20"/>
                <w:szCs w:val="20"/>
                <w:lang w:val="en-GB"/>
              </w:rPr>
              <w:t>s</w:t>
            </w:r>
            <w:r w:rsidRPr="003159ED">
              <w:rPr>
                <w:rStyle w:val="Bodytext31Sylfaen9"/>
                <w:i w:val="0"/>
                <w:sz w:val="20"/>
                <w:szCs w:val="20"/>
                <w:vertAlign w:val="subscript"/>
                <w:lang w:val="en-GB"/>
              </w:rPr>
              <w:t>1</w:t>
            </w:r>
          </w:p>
        </w:tc>
        <w:tc>
          <w:tcPr>
            <w:tcW w:w="816" w:type="dxa"/>
            <w:tcBorders>
              <w:top w:val="single" w:sz="4" w:space="0" w:color="auto"/>
            </w:tcBorders>
            <w:shd w:val="clear" w:color="auto" w:fill="FFFFFF"/>
          </w:tcPr>
          <w:p w14:paraId="29D5760F"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i w:val="0"/>
                <w:sz w:val="20"/>
                <w:szCs w:val="20"/>
                <w:lang w:val="en-GB"/>
              </w:rPr>
              <w:t>s</w:t>
            </w:r>
            <w:r w:rsidRPr="003159ED">
              <w:rPr>
                <w:rStyle w:val="Bodytext31Sylfaen9"/>
                <w:i w:val="0"/>
                <w:sz w:val="20"/>
                <w:szCs w:val="20"/>
                <w:vertAlign w:val="subscript"/>
              </w:rPr>
              <w:t>2</w:t>
            </w:r>
          </w:p>
        </w:tc>
        <w:tc>
          <w:tcPr>
            <w:tcW w:w="763" w:type="dxa"/>
            <w:tcBorders>
              <w:top w:val="single" w:sz="4" w:space="0" w:color="auto"/>
            </w:tcBorders>
            <w:shd w:val="clear" w:color="auto" w:fill="FFFFFF"/>
          </w:tcPr>
          <w:p w14:paraId="7D1EE9CC"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2Italic"/>
                <w:i w:val="0"/>
                <w:sz w:val="20"/>
                <w:szCs w:val="20"/>
              </w:rPr>
              <w:t>u</w:t>
            </w:r>
            <w:r w:rsidRPr="003159ED">
              <w:rPr>
                <w:rStyle w:val="Bodytext2Italic"/>
                <w:i w:val="0"/>
                <w:sz w:val="20"/>
                <w:szCs w:val="20"/>
                <w:vertAlign w:val="subscript"/>
              </w:rPr>
              <w:t>1</w:t>
            </w:r>
          </w:p>
        </w:tc>
        <w:tc>
          <w:tcPr>
            <w:tcW w:w="710" w:type="dxa"/>
            <w:tcBorders>
              <w:top w:val="single" w:sz="4" w:space="0" w:color="auto"/>
            </w:tcBorders>
            <w:shd w:val="clear" w:color="auto" w:fill="FFFFFF"/>
          </w:tcPr>
          <w:p w14:paraId="25FC3AD6"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2Italic"/>
                <w:i w:val="0"/>
                <w:sz w:val="20"/>
                <w:szCs w:val="20"/>
              </w:rPr>
              <w:t>u</w:t>
            </w:r>
            <w:r w:rsidRPr="003159ED">
              <w:rPr>
                <w:rStyle w:val="Bodytext2Italic"/>
                <w:i w:val="0"/>
                <w:sz w:val="20"/>
                <w:szCs w:val="20"/>
                <w:vertAlign w:val="subscript"/>
                <w:lang w:val="en-GB"/>
              </w:rPr>
              <w:t>2</w:t>
            </w:r>
          </w:p>
        </w:tc>
        <w:tc>
          <w:tcPr>
            <w:tcW w:w="1226" w:type="dxa"/>
            <w:tcBorders>
              <w:top w:val="single" w:sz="4" w:space="0" w:color="auto"/>
            </w:tcBorders>
            <w:shd w:val="clear" w:color="auto" w:fill="FFFFFF"/>
          </w:tcPr>
          <w:p w14:paraId="5869E3CE"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i w:val="0"/>
                <w:sz w:val="20"/>
                <w:szCs w:val="20"/>
              </w:rPr>
              <w:t>Բլոկներ (R)</w:t>
            </w:r>
          </w:p>
        </w:tc>
      </w:tr>
      <w:tr w:rsidR="00B834A2" w:rsidRPr="003159ED" w14:paraId="41AC635F" w14:textId="77777777" w:rsidTr="003159ED">
        <w:trPr>
          <w:jc w:val="center"/>
        </w:trPr>
        <w:tc>
          <w:tcPr>
            <w:tcW w:w="581" w:type="dxa"/>
            <w:tcBorders>
              <w:top w:val="single" w:sz="4" w:space="0" w:color="auto"/>
            </w:tcBorders>
            <w:shd w:val="clear" w:color="auto" w:fill="FFFFFF"/>
          </w:tcPr>
          <w:p w14:paraId="6DD05D79"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w:t>
            </w:r>
          </w:p>
        </w:tc>
        <w:tc>
          <w:tcPr>
            <w:tcW w:w="734" w:type="dxa"/>
            <w:tcBorders>
              <w:top w:val="single" w:sz="4" w:space="0" w:color="auto"/>
            </w:tcBorders>
            <w:shd w:val="clear" w:color="auto" w:fill="FFFFFF"/>
          </w:tcPr>
          <w:p w14:paraId="6D9ED1D5"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12</w:t>
            </w:r>
          </w:p>
        </w:tc>
        <w:tc>
          <w:tcPr>
            <w:tcW w:w="816" w:type="dxa"/>
            <w:tcBorders>
              <w:top w:val="single" w:sz="4" w:space="0" w:color="auto"/>
            </w:tcBorders>
            <w:shd w:val="clear" w:color="auto" w:fill="FFFFFF"/>
          </w:tcPr>
          <w:p w14:paraId="00E4C15C"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20</w:t>
            </w:r>
          </w:p>
        </w:tc>
        <w:tc>
          <w:tcPr>
            <w:tcW w:w="763" w:type="dxa"/>
            <w:tcBorders>
              <w:top w:val="single" w:sz="4" w:space="0" w:color="auto"/>
            </w:tcBorders>
            <w:shd w:val="clear" w:color="auto" w:fill="FFFFFF"/>
          </w:tcPr>
          <w:p w14:paraId="62DA85F7"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14</w:t>
            </w:r>
          </w:p>
        </w:tc>
        <w:tc>
          <w:tcPr>
            <w:tcW w:w="710" w:type="dxa"/>
            <w:tcBorders>
              <w:top w:val="single" w:sz="4" w:space="0" w:color="auto"/>
            </w:tcBorders>
            <w:shd w:val="clear" w:color="auto" w:fill="FFFFFF"/>
          </w:tcPr>
          <w:p w14:paraId="745240A0" w14:textId="77777777" w:rsidR="00B834A2" w:rsidRPr="003159ED" w:rsidRDefault="00B834A2" w:rsidP="003159ED">
            <w:pPr>
              <w:pStyle w:val="Bodytext20"/>
              <w:shd w:val="clear" w:color="auto" w:fill="auto"/>
              <w:spacing w:before="0" w:line="240" w:lineRule="auto"/>
              <w:ind w:right="180"/>
              <w:rPr>
                <w:rFonts w:ascii="Sylfaen" w:hAnsi="Sylfaen" w:cs="Sylfaen"/>
                <w:i/>
                <w:sz w:val="20"/>
                <w:szCs w:val="20"/>
              </w:rPr>
            </w:pPr>
            <w:r w:rsidRPr="003159ED">
              <w:rPr>
                <w:rStyle w:val="Bodytext31Sylfaen9"/>
                <w:i w:val="0"/>
                <w:sz w:val="20"/>
                <w:szCs w:val="20"/>
              </w:rPr>
              <w:t>20</w:t>
            </w:r>
          </w:p>
        </w:tc>
        <w:tc>
          <w:tcPr>
            <w:tcW w:w="1226" w:type="dxa"/>
            <w:tcBorders>
              <w:top w:val="single" w:sz="4" w:space="0" w:color="auto"/>
            </w:tcBorders>
            <w:shd w:val="clear" w:color="auto" w:fill="FFFFFF"/>
          </w:tcPr>
          <w:p w14:paraId="12863503"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66</w:t>
            </w:r>
          </w:p>
        </w:tc>
      </w:tr>
      <w:tr w:rsidR="00B834A2" w:rsidRPr="003159ED" w14:paraId="0722575A" w14:textId="77777777" w:rsidTr="003159ED">
        <w:trPr>
          <w:jc w:val="center"/>
        </w:trPr>
        <w:tc>
          <w:tcPr>
            <w:tcW w:w="581" w:type="dxa"/>
            <w:shd w:val="clear" w:color="auto" w:fill="FFFFFF"/>
          </w:tcPr>
          <w:p w14:paraId="0D6CFE98"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2.</w:t>
            </w:r>
          </w:p>
        </w:tc>
        <w:tc>
          <w:tcPr>
            <w:tcW w:w="734" w:type="dxa"/>
            <w:shd w:val="clear" w:color="auto" w:fill="FFFFFF"/>
          </w:tcPr>
          <w:p w14:paraId="296FC0D9"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15</w:t>
            </w:r>
          </w:p>
        </w:tc>
        <w:tc>
          <w:tcPr>
            <w:tcW w:w="816" w:type="dxa"/>
            <w:shd w:val="clear" w:color="auto" w:fill="FFFFFF"/>
          </w:tcPr>
          <w:p w14:paraId="3F45FE14"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23</w:t>
            </w:r>
          </w:p>
        </w:tc>
        <w:tc>
          <w:tcPr>
            <w:tcW w:w="763" w:type="dxa"/>
            <w:shd w:val="clear" w:color="auto" w:fill="FFFFFF"/>
          </w:tcPr>
          <w:p w14:paraId="7B311669" w14:textId="77777777" w:rsidR="00B834A2" w:rsidRPr="003159ED" w:rsidRDefault="00B834A2" w:rsidP="003159ED">
            <w:pPr>
              <w:pStyle w:val="Bodytext20"/>
              <w:shd w:val="clear" w:color="auto" w:fill="auto"/>
              <w:spacing w:before="0" w:line="240" w:lineRule="auto"/>
              <w:ind w:right="280"/>
              <w:rPr>
                <w:rFonts w:ascii="Sylfaen" w:hAnsi="Sylfaen" w:cs="Sylfaen"/>
                <w:i/>
                <w:sz w:val="20"/>
                <w:szCs w:val="20"/>
              </w:rPr>
            </w:pPr>
            <w:r w:rsidRPr="003159ED">
              <w:rPr>
                <w:rStyle w:val="Bodytext31Sylfaen9"/>
                <w:i w:val="0"/>
                <w:sz w:val="20"/>
                <w:szCs w:val="20"/>
              </w:rPr>
              <w:t>16</w:t>
            </w:r>
          </w:p>
        </w:tc>
        <w:tc>
          <w:tcPr>
            <w:tcW w:w="710" w:type="dxa"/>
            <w:shd w:val="clear" w:color="auto" w:fill="FFFFFF"/>
          </w:tcPr>
          <w:p w14:paraId="2535AF7C" w14:textId="77777777" w:rsidR="00B834A2" w:rsidRPr="003159ED" w:rsidRDefault="00B834A2" w:rsidP="003159ED">
            <w:pPr>
              <w:pStyle w:val="Bodytext20"/>
              <w:shd w:val="clear" w:color="auto" w:fill="auto"/>
              <w:spacing w:before="0" w:line="240" w:lineRule="auto"/>
              <w:ind w:right="180"/>
              <w:rPr>
                <w:rFonts w:ascii="Sylfaen" w:hAnsi="Sylfaen" w:cs="Sylfaen"/>
                <w:i/>
                <w:sz w:val="20"/>
                <w:szCs w:val="20"/>
              </w:rPr>
            </w:pPr>
            <w:r w:rsidRPr="003159ED">
              <w:rPr>
                <w:rStyle w:val="Bodytext31Sylfaen9"/>
                <w:i w:val="0"/>
                <w:sz w:val="20"/>
                <w:szCs w:val="20"/>
              </w:rPr>
              <w:t>22</w:t>
            </w:r>
          </w:p>
        </w:tc>
        <w:tc>
          <w:tcPr>
            <w:tcW w:w="1226" w:type="dxa"/>
            <w:shd w:val="clear" w:color="auto" w:fill="FFFFFF"/>
          </w:tcPr>
          <w:p w14:paraId="1799ECE9"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76</w:t>
            </w:r>
          </w:p>
        </w:tc>
      </w:tr>
      <w:tr w:rsidR="00B834A2" w:rsidRPr="003159ED" w14:paraId="36CD24CB" w14:textId="77777777" w:rsidTr="003159ED">
        <w:trPr>
          <w:jc w:val="center"/>
        </w:trPr>
        <w:tc>
          <w:tcPr>
            <w:tcW w:w="581" w:type="dxa"/>
            <w:shd w:val="clear" w:color="auto" w:fill="FFFFFF"/>
          </w:tcPr>
          <w:p w14:paraId="4B7DCDB8"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3.</w:t>
            </w:r>
          </w:p>
        </w:tc>
        <w:tc>
          <w:tcPr>
            <w:tcW w:w="734" w:type="dxa"/>
            <w:shd w:val="clear" w:color="auto" w:fill="FFFFFF"/>
          </w:tcPr>
          <w:p w14:paraId="3449E443"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15</w:t>
            </w:r>
          </w:p>
        </w:tc>
        <w:tc>
          <w:tcPr>
            <w:tcW w:w="816" w:type="dxa"/>
            <w:shd w:val="clear" w:color="auto" w:fill="FFFFFF"/>
          </w:tcPr>
          <w:p w14:paraId="11C69EB5"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20</w:t>
            </w:r>
          </w:p>
        </w:tc>
        <w:tc>
          <w:tcPr>
            <w:tcW w:w="763" w:type="dxa"/>
            <w:shd w:val="clear" w:color="auto" w:fill="FFFFFF"/>
          </w:tcPr>
          <w:p w14:paraId="0BC33A5B"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14</w:t>
            </w:r>
          </w:p>
        </w:tc>
        <w:tc>
          <w:tcPr>
            <w:tcW w:w="710" w:type="dxa"/>
            <w:shd w:val="clear" w:color="auto" w:fill="FFFFFF"/>
          </w:tcPr>
          <w:p w14:paraId="5BA27C2A" w14:textId="77777777" w:rsidR="00B834A2" w:rsidRPr="003159ED" w:rsidRDefault="00B834A2" w:rsidP="003159ED">
            <w:pPr>
              <w:pStyle w:val="Bodytext20"/>
              <w:shd w:val="clear" w:color="auto" w:fill="auto"/>
              <w:spacing w:before="0" w:line="240" w:lineRule="auto"/>
              <w:ind w:right="180"/>
              <w:rPr>
                <w:rFonts w:ascii="Sylfaen" w:hAnsi="Sylfaen" w:cs="Sylfaen"/>
                <w:i/>
                <w:sz w:val="20"/>
                <w:szCs w:val="20"/>
              </w:rPr>
            </w:pPr>
            <w:r w:rsidRPr="003159ED">
              <w:rPr>
                <w:rStyle w:val="Bodytext31Sylfaen9"/>
                <w:i w:val="0"/>
                <w:sz w:val="20"/>
                <w:szCs w:val="20"/>
              </w:rPr>
              <w:t>23</w:t>
            </w:r>
          </w:p>
        </w:tc>
        <w:tc>
          <w:tcPr>
            <w:tcW w:w="1226" w:type="dxa"/>
            <w:shd w:val="clear" w:color="auto" w:fill="FFFFFF"/>
          </w:tcPr>
          <w:p w14:paraId="03823F90"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72</w:t>
            </w:r>
          </w:p>
        </w:tc>
      </w:tr>
      <w:tr w:rsidR="00B834A2" w:rsidRPr="003159ED" w14:paraId="79B3D3A5" w14:textId="77777777" w:rsidTr="003159ED">
        <w:trPr>
          <w:jc w:val="center"/>
        </w:trPr>
        <w:tc>
          <w:tcPr>
            <w:tcW w:w="581" w:type="dxa"/>
            <w:tcBorders>
              <w:bottom w:val="single" w:sz="4" w:space="0" w:color="auto"/>
            </w:tcBorders>
            <w:shd w:val="clear" w:color="auto" w:fill="FFFFFF"/>
          </w:tcPr>
          <w:p w14:paraId="77096366"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4.</w:t>
            </w:r>
          </w:p>
        </w:tc>
        <w:tc>
          <w:tcPr>
            <w:tcW w:w="734" w:type="dxa"/>
            <w:tcBorders>
              <w:bottom w:val="single" w:sz="4" w:space="0" w:color="auto"/>
            </w:tcBorders>
            <w:shd w:val="clear" w:color="auto" w:fill="FFFFFF"/>
          </w:tcPr>
          <w:p w14:paraId="3E373039"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15</w:t>
            </w:r>
          </w:p>
        </w:tc>
        <w:tc>
          <w:tcPr>
            <w:tcW w:w="816" w:type="dxa"/>
            <w:tcBorders>
              <w:bottom w:val="single" w:sz="4" w:space="0" w:color="auto"/>
            </w:tcBorders>
            <w:shd w:val="clear" w:color="auto" w:fill="FFFFFF"/>
          </w:tcPr>
          <w:p w14:paraId="6641D166"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20</w:t>
            </w:r>
          </w:p>
        </w:tc>
        <w:tc>
          <w:tcPr>
            <w:tcW w:w="763" w:type="dxa"/>
            <w:tcBorders>
              <w:bottom w:val="single" w:sz="4" w:space="0" w:color="auto"/>
            </w:tcBorders>
            <w:shd w:val="clear" w:color="auto" w:fill="FFFFFF"/>
          </w:tcPr>
          <w:p w14:paraId="060B15F7"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14</w:t>
            </w:r>
          </w:p>
        </w:tc>
        <w:tc>
          <w:tcPr>
            <w:tcW w:w="710" w:type="dxa"/>
            <w:tcBorders>
              <w:bottom w:val="single" w:sz="4" w:space="0" w:color="auto"/>
            </w:tcBorders>
            <w:shd w:val="clear" w:color="auto" w:fill="FFFFFF"/>
          </w:tcPr>
          <w:p w14:paraId="72566B63" w14:textId="77777777" w:rsidR="00B834A2" w:rsidRPr="003159ED" w:rsidRDefault="00B834A2" w:rsidP="003159ED">
            <w:pPr>
              <w:pStyle w:val="Bodytext20"/>
              <w:shd w:val="clear" w:color="auto" w:fill="auto"/>
              <w:spacing w:before="0" w:line="240" w:lineRule="auto"/>
              <w:ind w:right="180"/>
              <w:rPr>
                <w:rFonts w:ascii="Sylfaen" w:hAnsi="Sylfaen" w:cs="Sylfaen"/>
                <w:i/>
                <w:sz w:val="20"/>
                <w:szCs w:val="20"/>
              </w:rPr>
            </w:pPr>
            <w:r w:rsidRPr="003159ED">
              <w:rPr>
                <w:rStyle w:val="Bodytext31Sylfaen9"/>
                <w:i w:val="0"/>
                <w:sz w:val="20"/>
                <w:szCs w:val="20"/>
              </w:rPr>
              <w:t>24</w:t>
            </w:r>
          </w:p>
        </w:tc>
        <w:tc>
          <w:tcPr>
            <w:tcW w:w="1226" w:type="dxa"/>
            <w:tcBorders>
              <w:bottom w:val="single" w:sz="4" w:space="0" w:color="auto"/>
            </w:tcBorders>
            <w:shd w:val="clear" w:color="auto" w:fill="FFFFFF"/>
          </w:tcPr>
          <w:p w14:paraId="786299D1"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Style w:val="Bodytext31Sylfaen9"/>
                <w:i w:val="0"/>
                <w:sz w:val="20"/>
                <w:szCs w:val="20"/>
              </w:rPr>
              <w:t>73</w:t>
            </w:r>
          </w:p>
        </w:tc>
      </w:tr>
    </w:tbl>
    <w:p w14:paraId="02CB505D"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4CD6B728"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3159ED">
        <w:rPr>
          <w:rStyle w:val="Bodytext310pt"/>
          <w:b w:val="0"/>
          <w:sz w:val="24"/>
          <w:szCs w:val="24"/>
        </w:rPr>
        <w:t>Աղյուսակ 3.2.3-9</w:t>
      </w:r>
      <w:r w:rsidRPr="00B834A2">
        <w:rPr>
          <w:rStyle w:val="Bodytext310pt"/>
          <w:sz w:val="24"/>
          <w:szCs w:val="24"/>
        </w:rPr>
        <w:t xml:space="preserve">. </w:t>
      </w:r>
      <w:r w:rsidRPr="00B834A2">
        <w:rPr>
          <w:rFonts w:ascii="Sylfaen" w:hAnsi="Sylfaen"/>
          <w:sz w:val="24"/>
          <w:szCs w:val="24"/>
        </w:rPr>
        <w:t>Արձագանքների գումարներն ու կոնտրաստները (երկու դեղաչափի օգտագործմամբ պատահական բլոկների մեթոդ)</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98"/>
        <w:gridCol w:w="1524"/>
        <w:gridCol w:w="2656"/>
        <w:gridCol w:w="1630"/>
      </w:tblGrid>
      <w:tr w:rsidR="00B834A2" w:rsidRPr="003159ED" w14:paraId="2F98E36B" w14:textId="77777777" w:rsidTr="006E3F41">
        <w:trPr>
          <w:cantSplit/>
          <w:jc w:val="center"/>
        </w:trPr>
        <w:tc>
          <w:tcPr>
            <w:tcW w:w="2198" w:type="dxa"/>
            <w:tcBorders>
              <w:top w:val="single" w:sz="8" w:space="0" w:color="auto"/>
            </w:tcBorders>
            <w:shd w:val="clear" w:color="auto" w:fill="FFFFFF"/>
          </w:tcPr>
          <w:p w14:paraId="643D5C4A" w14:textId="77777777" w:rsidR="00B834A2" w:rsidRPr="003159ED" w:rsidRDefault="00B834A2" w:rsidP="003159ED">
            <w:pPr>
              <w:spacing w:after="120"/>
              <w:jc w:val="center"/>
              <w:rPr>
                <w:sz w:val="20"/>
                <w:szCs w:val="20"/>
              </w:rPr>
            </w:pPr>
          </w:p>
        </w:tc>
        <w:tc>
          <w:tcPr>
            <w:tcW w:w="1524" w:type="dxa"/>
            <w:tcBorders>
              <w:top w:val="single" w:sz="8" w:space="0" w:color="auto"/>
            </w:tcBorders>
            <w:shd w:val="clear" w:color="auto" w:fill="FFFFFF"/>
          </w:tcPr>
          <w:p w14:paraId="210A5CCD"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u w:val="single"/>
              </w:rPr>
              <w:t>S</w:t>
            </w:r>
            <w:r w:rsidRPr="003159ED">
              <w:rPr>
                <w:rStyle w:val="Bodytext31Sylfaen9"/>
                <w:sz w:val="20"/>
                <w:szCs w:val="20"/>
              </w:rPr>
              <w:t xml:space="preserve"> ստանդարտ նմուշը</w:t>
            </w:r>
          </w:p>
        </w:tc>
        <w:tc>
          <w:tcPr>
            <w:tcW w:w="2656" w:type="dxa"/>
            <w:tcBorders>
              <w:top w:val="single" w:sz="8" w:space="0" w:color="auto"/>
            </w:tcBorders>
            <w:shd w:val="clear" w:color="auto" w:fill="FFFFFF"/>
          </w:tcPr>
          <w:p w14:paraId="2596D6C0"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Fonts w:ascii="Sylfaen" w:hAnsi="Sylfaen"/>
                <w:sz w:val="20"/>
                <w:szCs w:val="20"/>
                <w:u w:val="single"/>
              </w:rPr>
              <w:t>U</w:t>
            </w:r>
            <w:r w:rsidRPr="003159ED">
              <w:rPr>
                <w:rFonts w:ascii="Sylfaen" w:hAnsi="Sylfaen"/>
                <w:sz w:val="20"/>
                <w:szCs w:val="20"/>
              </w:rPr>
              <w:t xml:space="preserve"> փորձարկվող նմուշը</w:t>
            </w:r>
          </w:p>
        </w:tc>
        <w:tc>
          <w:tcPr>
            <w:tcW w:w="1630" w:type="dxa"/>
            <w:tcBorders>
              <w:top w:val="single" w:sz="8" w:space="0" w:color="auto"/>
            </w:tcBorders>
            <w:shd w:val="clear" w:color="auto" w:fill="FFFFFF"/>
          </w:tcPr>
          <w:p w14:paraId="26B95905"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rPr>
              <w:t>Գումարը</w:t>
            </w:r>
          </w:p>
        </w:tc>
      </w:tr>
      <w:tr w:rsidR="00B834A2" w:rsidRPr="003159ED" w14:paraId="2F791292" w14:textId="77777777" w:rsidTr="006E3F41">
        <w:trPr>
          <w:cantSplit/>
          <w:jc w:val="center"/>
        </w:trPr>
        <w:tc>
          <w:tcPr>
            <w:tcW w:w="2198" w:type="dxa"/>
            <w:shd w:val="clear" w:color="auto" w:fill="FFFFFF"/>
          </w:tcPr>
          <w:p w14:paraId="1759481B" w14:textId="77777777" w:rsidR="00B834A2" w:rsidRPr="003159ED" w:rsidRDefault="00B834A2" w:rsidP="003159ED">
            <w:pPr>
              <w:pStyle w:val="Bodytext20"/>
              <w:spacing w:before="0" w:line="240" w:lineRule="auto"/>
              <w:rPr>
                <w:rFonts w:ascii="Sylfaen" w:hAnsi="Sylfaen" w:cs="Sylfaen"/>
                <w:sz w:val="20"/>
                <w:szCs w:val="20"/>
              </w:rPr>
            </w:pPr>
            <w:r w:rsidRPr="003159ED">
              <w:rPr>
                <w:rStyle w:val="Bodytext31Sylfaen9"/>
                <w:sz w:val="20"/>
                <w:szCs w:val="20"/>
              </w:rPr>
              <w:t>Փոքր դեղՓոքր դեղաչափ</w:t>
            </w:r>
            <w:r w:rsidRPr="003159ED">
              <w:rPr>
                <w:rStyle w:val="Bodytext31Sylfaen9"/>
                <w:sz w:val="20"/>
                <w:szCs w:val="20"/>
                <w:lang w:val="en-GB"/>
              </w:rPr>
              <w:t>ը</w:t>
            </w:r>
          </w:p>
        </w:tc>
        <w:tc>
          <w:tcPr>
            <w:tcW w:w="1524" w:type="dxa"/>
            <w:shd w:val="clear" w:color="auto" w:fill="FFFFFF"/>
          </w:tcPr>
          <w:p w14:paraId="572FEB2E" w14:textId="77777777" w:rsidR="00B834A2" w:rsidRPr="003159ED" w:rsidRDefault="00B834A2" w:rsidP="003159ED">
            <w:pPr>
              <w:pStyle w:val="Bodytext20"/>
              <w:shd w:val="clear" w:color="auto" w:fill="auto"/>
              <w:spacing w:before="0" w:line="240" w:lineRule="auto"/>
              <w:rPr>
                <w:rFonts w:ascii="Sylfaen" w:hAnsi="Sylfaen" w:cs="Sylfaen"/>
                <w:i/>
                <w:sz w:val="20"/>
                <w:szCs w:val="20"/>
              </w:rPr>
            </w:pPr>
            <w:r w:rsidRPr="003159ED">
              <w:rPr>
                <w:rFonts w:ascii="Sylfaen" w:hAnsi="Sylfaen"/>
                <w:i/>
                <w:sz w:val="20"/>
                <w:szCs w:val="20"/>
              </w:rPr>
              <w:t>S</w:t>
            </w:r>
            <w:r w:rsidRPr="003159ED">
              <w:rPr>
                <w:rFonts w:ascii="Sylfaen" w:hAnsi="Sylfaen"/>
                <w:i/>
                <w:sz w:val="20"/>
                <w:szCs w:val="20"/>
                <w:vertAlign w:val="subscript"/>
              </w:rPr>
              <w:t>1</w:t>
            </w:r>
            <w:r w:rsidRPr="003159ED">
              <w:rPr>
                <w:rFonts w:ascii="Sylfaen" w:hAnsi="Sylfaen"/>
                <w:i/>
                <w:sz w:val="20"/>
                <w:szCs w:val="20"/>
              </w:rPr>
              <w:t>=57</w:t>
            </w:r>
          </w:p>
        </w:tc>
        <w:tc>
          <w:tcPr>
            <w:tcW w:w="2656" w:type="dxa"/>
            <w:shd w:val="clear" w:color="auto" w:fill="FFFFFF"/>
          </w:tcPr>
          <w:p w14:paraId="645E2677"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2Italic"/>
                <w:sz w:val="20"/>
                <w:szCs w:val="20"/>
              </w:rPr>
              <w:t>U</w:t>
            </w:r>
            <w:r w:rsidRPr="003159ED">
              <w:rPr>
                <w:rStyle w:val="Bodytext2Italic"/>
                <w:sz w:val="20"/>
                <w:szCs w:val="20"/>
                <w:vertAlign w:val="subscript"/>
              </w:rPr>
              <w:t>1</w:t>
            </w:r>
            <w:r w:rsidRPr="003159ED">
              <w:rPr>
                <w:rStyle w:val="Bodytext31Sylfaen9"/>
                <w:sz w:val="20"/>
                <w:szCs w:val="20"/>
              </w:rPr>
              <w:t>= 58</w:t>
            </w:r>
          </w:p>
        </w:tc>
        <w:tc>
          <w:tcPr>
            <w:tcW w:w="1630" w:type="dxa"/>
            <w:shd w:val="clear" w:color="auto" w:fill="FFFFFF"/>
          </w:tcPr>
          <w:p w14:paraId="0AF68C82" w14:textId="77777777" w:rsidR="00B834A2" w:rsidRPr="003159ED" w:rsidRDefault="00B834A2" w:rsidP="003159ED">
            <w:pPr>
              <w:spacing w:after="120"/>
              <w:jc w:val="center"/>
              <w:rPr>
                <w:sz w:val="20"/>
                <w:szCs w:val="20"/>
              </w:rPr>
            </w:pPr>
          </w:p>
        </w:tc>
      </w:tr>
      <w:tr w:rsidR="00B834A2" w:rsidRPr="003159ED" w14:paraId="60907ED2" w14:textId="77777777" w:rsidTr="006E3F41">
        <w:trPr>
          <w:cantSplit/>
          <w:jc w:val="center"/>
        </w:trPr>
        <w:tc>
          <w:tcPr>
            <w:tcW w:w="2198" w:type="dxa"/>
            <w:shd w:val="clear" w:color="auto" w:fill="FFFFFF"/>
          </w:tcPr>
          <w:p w14:paraId="52CA3F7C" w14:textId="77777777" w:rsidR="00B834A2" w:rsidRPr="003159ED" w:rsidRDefault="00B834A2" w:rsidP="003159ED">
            <w:pPr>
              <w:pStyle w:val="Bodytext20"/>
              <w:spacing w:before="0" w:line="240" w:lineRule="auto"/>
              <w:rPr>
                <w:rStyle w:val="Bodytext31Sylfaen9"/>
                <w:sz w:val="20"/>
                <w:szCs w:val="20"/>
              </w:rPr>
            </w:pPr>
            <w:r w:rsidRPr="00DA2D5E">
              <w:rPr>
                <w:rFonts w:ascii="Sylfaen" w:hAnsi="Sylfaen"/>
                <w:sz w:val="20"/>
                <w:szCs w:val="20"/>
              </w:rPr>
              <w:t xml:space="preserve">Մեծ </w:t>
            </w:r>
            <w:r w:rsidRPr="003159ED">
              <w:rPr>
                <w:rFonts w:ascii="Sylfaen" w:hAnsi="Sylfaen"/>
                <w:sz w:val="20"/>
                <w:szCs w:val="20"/>
              </w:rPr>
              <w:br/>
              <w:t>Մեծ դեղաչափը</w:t>
            </w:r>
          </w:p>
        </w:tc>
        <w:tc>
          <w:tcPr>
            <w:tcW w:w="1524" w:type="dxa"/>
            <w:shd w:val="clear" w:color="auto" w:fill="FFFFFF"/>
          </w:tcPr>
          <w:p w14:paraId="33F246B9" w14:textId="77777777" w:rsidR="00B834A2" w:rsidRPr="003159ED" w:rsidRDefault="00B834A2" w:rsidP="003159ED">
            <w:pPr>
              <w:pStyle w:val="Bodytext20"/>
              <w:spacing w:before="0" w:line="240" w:lineRule="auto"/>
              <w:rPr>
                <w:rFonts w:ascii="Sylfaen" w:hAnsi="Sylfaen" w:cs="Sylfaen"/>
                <w:sz w:val="20"/>
                <w:szCs w:val="20"/>
              </w:rPr>
            </w:pPr>
            <w:r w:rsidRPr="003159ED">
              <w:rPr>
                <w:rFonts w:ascii="Sylfaen" w:hAnsi="Sylfaen"/>
                <w:i/>
                <w:sz w:val="20"/>
                <w:szCs w:val="20"/>
              </w:rPr>
              <w:t>S</w:t>
            </w:r>
            <w:r w:rsidRPr="003159ED">
              <w:rPr>
                <w:rFonts w:ascii="Sylfaen" w:hAnsi="Sylfaen"/>
                <w:i/>
                <w:sz w:val="20"/>
                <w:szCs w:val="20"/>
                <w:vertAlign w:val="subscript"/>
              </w:rPr>
              <w:t>2</w:t>
            </w:r>
            <w:r w:rsidRPr="003159ED">
              <w:rPr>
                <w:rFonts w:ascii="Sylfaen" w:hAnsi="Sylfaen"/>
                <w:i/>
                <w:sz w:val="20"/>
                <w:szCs w:val="20"/>
              </w:rPr>
              <w:t>=83</w:t>
            </w:r>
          </w:p>
        </w:tc>
        <w:tc>
          <w:tcPr>
            <w:tcW w:w="2656" w:type="dxa"/>
            <w:shd w:val="clear" w:color="auto" w:fill="FFFFFF"/>
          </w:tcPr>
          <w:p w14:paraId="708FF667" w14:textId="77777777" w:rsidR="00B834A2" w:rsidRPr="003159ED" w:rsidRDefault="00B834A2" w:rsidP="003159ED">
            <w:pPr>
              <w:pStyle w:val="Bodytext20"/>
              <w:spacing w:before="0" w:line="240" w:lineRule="auto"/>
              <w:rPr>
                <w:rStyle w:val="Bodytext2Italic"/>
                <w:sz w:val="20"/>
                <w:szCs w:val="20"/>
              </w:rPr>
            </w:pPr>
            <w:r w:rsidRPr="003159ED">
              <w:rPr>
                <w:rStyle w:val="Bodytext2Italic"/>
                <w:sz w:val="20"/>
                <w:szCs w:val="20"/>
              </w:rPr>
              <w:t>U</w:t>
            </w:r>
            <w:r w:rsidRPr="003159ED">
              <w:rPr>
                <w:rStyle w:val="Bodytext2Italic"/>
                <w:sz w:val="20"/>
                <w:szCs w:val="20"/>
                <w:vertAlign w:val="subscript"/>
              </w:rPr>
              <w:t>2</w:t>
            </w:r>
            <w:r w:rsidRPr="003159ED">
              <w:rPr>
                <w:rStyle w:val="Bodytext31Sylfaen9"/>
                <w:sz w:val="20"/>
                <w:szCs w:val="20"/>
              </w:rPr>
              <w:t xml:space="preserve"> = 89</w:t>
            </w:r>
          </w:p>
        </w:tc>
        <w:tc>
          <w:tcPr>
            <w:tcW w:w="1630" w:type="dxa"/>
            <w:shd w:val="clear" w:color="auto" w:fill="FFFFFF"/>
          </w:tcPr>
          <w:p w14:paraId="5DECCD65" w14:textId="77777777" w:rsidR="00B834A2" w:rsidRPr="003159ED" w:rsidRDefault="00B834A2" w:rsidP="003159ED">
            <w:pPr>
              <w:spacing w:after="120"/>
              <w:jc w:val="center"/>
              <w:rPr>
                <w:sz w:val="20"/>
                <w:szCs w:val="20"/>
              </w:rPr>
            </w:pPr>
          </w:p>
        </w:tc>
      </w:tr>
      <w:tr w:rsidR="00B834A2" w:rsidRPr="003159ED" w14:paraId="55610C62" w14:textId="77777777" w:rsidTr="006E3F41">
        <w:trPr>
          <w:cantSplit/>
          <w:jc w:val="center"/>
        </w:trPr>
        <w:tc>
          <w:tcPr>
            <w:tcW w:w="2198" w:type="dxa"/>
            <w:shd w:val="clear" w:color="auto" w:fill="FFFFFF"/>
          </w:tcPr>
          <w:p w14:paraId="225E240B"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rPr>
              <w:t>Գումարը</w:t>
            </w:r>
          </w:p>
        </w:tc>
        <w:tc>
          <w:tcPr>
            <w:tcW w:w="1524" w:type="dxa"/>
            <w:shd w:val="clear" w:color="auto" w:fill="FFFFFF"/>
          </w:tcPr>
          <w:p w14:paraId="1099871A"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rPr>
              <w:t>S=140</w:t>
            </w:r>
          </w:p>
        </w:tc>
        <w:tc>
          <w:tcPr>
            <w:tcW w:w="2656" w:type="dxa"/>
            <w:shd w:val="clear" w:color="auto" w:fill="FFFFFF"/>
          </w:tcPr>
          <w:p w14:paraId="6CE0A066"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Fonts w:ascii="Sylfaen" w:hAnsi="Sylfaen"/>
                <w:sz w:val="20"/>
                <w:szCs w:val="20"/>
              </w:rPr>
              <w:t>U= 147</w:t>
            </w:r>
          </w:p>
        </w:tc>
        <w:tc>
          <w:tcPr>
            <w:tcW w:w="1630" w:type="dxa"/>
            <w:shd w:val="clear" w:color="auto" w:fill="FFFFFF"/>
          </w:tcPr>
          <w:p w14:paraId="00764C7D"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rPr>
              <w:t>Σy= 287</w:t>
            </w:r>
          </w:p>
        </w:tc>
      </w:tr>
      <w:tr w:rsidR="00B834A2" w:rsidRPr="003159ED" w14:paraId="5614E64F" w14:textId="77777777" w:rsidTr="006E3F41">
        <w:trPr>
          <w:cantSplit/>
          <w:jc w:val="center"/>
        </w:trPr>
        <w:tc>
          <w:tcPr>
            <w:tcW w:w="2198" w:type="dxa"/>
            <w:tcBorders>
              <w:bottom w:val="single" w:sz="4" w:space="0" w:color="auto"/>
            </w:tcBorders>
            <w:shd w:val="clear" w:color="auto" w:fill="FFFFFF"/>
          </w:tcPr>
          <w:p w14:paraId="0724F58E"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Fonts w:ascii="Sylfaen" w:hAnsi="Sylfaen"/>
                <w:sz w:val="20"/>
                <w:szCs w:val="20"/>
              </w:rPr>
              <w:t>Գծային կոնտրաստը</w:t>
            </w:r>
          </w:p>
        </w:tc>
        <w:tc>
          <w:tcPr>
            <w:tcW w:w="1524" w:type="dxa"/>
            <w:tcBorders>
              <w:bottom w:val="single" w:sz="4" w:space="0" w:color="auto"/>
            </w:tcBorders>
            <w:shd w:val="clear" w:color="auto" w:fill="FFFFFF"/>
          </w:tcPr>
          <w:p w14:paraId="2FED0162"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2Italic"/>
                <w:sz w:val="20"/>
                <w:szCs w:val="20"/>
              </w:rPr>
              <w:t>L=26</w:t>
            </w:r>
          </w:p>
        </w:tc>
        <w:tc>
          <w:tcPr>
            <w:tcW w:w="2656" w:type="dxa"/>
            <w:tcBorders>
              <w:bottom w:val="single" w:sz="4" w:space="0" w:color="auto"/>
            </w:tcBorders>
            <w:shd w:val="clear" w:color="auto" w:fill="FFFFFF"/>
          </w:tcPr>
          <w:p w14:paraId="325ADA4E" w14:textId="77777777" w:rsidR="00B834A2" w:rsidRPr="003159ED" w:rsidRDefault="00B834A2" w:rsidP="003159ED">
            <w:pPr>
              <w:spacing w:after="120"/>
              <w:jc w:val="center"/>
              <w:rPr>
                <w:sz w:val="20"/>
                <w:szCs w:val="20"/>
              </w:rPr>
            </w:pPr>
            <w:r w:rsidRPr="003159ED">
              <w:rPr>
                <w:sz w:val="20"/>
                <w:szCs w:val="20"/>
              </w:rPr>
              <w:t>L</w:t>
            </w:r>
            <w:r w:rsidRPr="003159ED">
              <w:rPr>
                <w:sz w:val="20"/>
                <w:szCs w:val="20"/>
                <w:vertAlign w:val="subscript"/>
              </w:rPr>
              <w:t>U</w:t>
            </w:r>
            <w:r w:rsidRPr="003159ED">
              <w:rPr>
                <w:sz w:val="20"/>
                <w:szCs w:val="20"/>
              </w:rPr>
              <w:t>=31</w:t>
            </w:r>
          </w:p>
        </w:tc>
        <w:tc>
          <w:tcPr>
            <w:tcW w:w="1630" w:type="dxa"/>
            <w:tcBorders>
              <w:bottom w:val="single" w:sz="4" w:space="0" w:color="auto"/>
            </w:tcBorders>
            <w:shd w:val="clear" w:color="auto" w:fill="FFFFFF"/>
          </w:tcPr>
          <w:p w14:paraId="6275A3AC" w14:textId="77777777" w:rsidR="00B834A2" w:rsidRPr="003159ED" w:rsidRDefault="00B834A2" w:rsidP="003159ED">
            <w:pPr>
              <w:pStyle w:val="Bodytext20"/>
              <w:shd w:val="clear" w:color="auto" w:fill="auto"/>
              <w:spacing w:before="0" w:line="240" w:lineRule="auto"/>
              <w:rPr>
                <w:rFonts w:ascii="Sylfaen" w:hAnsi="Sylfaen" w:cs="Sylfaen"/>
                <w:sz w:val="20"/>
                <w:szCs w:val="20"/>
              </w:rPr>
            </w:pPr>
            <w:r w:rsidRPr="003159ED">
              <w:rPr>
                <w:rStyle w:val="Bodytext31Sylfaen9"/>
                <w:sz w:val="20"/>
                <w:szCs w:val="20"/>
              </w:rPr>
              <w:t>ΣL = 57</w:t>
            </w:r>
          </w:p>
        </w:tc>
      </w:tr>
    </w:tbl>
    <w:p w14:paraId="7AD442F5" w14:textId="77777777" w:rsidR="00076955" w:rsidRDefault="00076955" w:rsidP="009A3F5E">
      <w:pPr>
        <w:pStyle w:val="Bodytext20"/>
        <w:shd w:val="clear" w:color="auto" w:fill="auto"/>
        <w:spacing w:before="0" w:after="160" w:line="360" w:lineRule="auto"/>
        <w:ind w:firstLine="567"/>
        <w:jc w:val="both"/>
        <w:rPr>
          <w:rStyle w:val="Bodytext31Sylfaen9"/>
          <w:sz w:val="24"/>
          <w:szCs w:val="24"/>
          <w:lang w:val="en-US"/>
        </w:rPr>
      </w:pPr>
    </w:p>
    <w:p w14:paraId="3C199E2D" w14:textId="77777777" w:rsidR="00B834A2" w:rsidRPr="00076955"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076955">
        <w:rPr>
          <w:rStyle w:val="Bodytext31Sylfaen9"/>
          <w:i w:val="0"/>
          <w:sz w:val="24"/>
          <w:szCs w:val="24"/>
        </w:rPr>
        <w:t>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 Ընդ որում, դիսպերսիաների արժեքները հաշվարկվում են 7 աղբյուրի համար (3.2.2-10 ամփոփիչ աղյուսակ)։</w:t>
      </w:r>
    </w:p>
    <w:p w14:paraId="3DD5F0DA" w14:textId="77777777" w:rsidR="00B834A2" w:rsidRPr="00076955" w:rsidRDefault="00B834A2" w:rsidP="009A3F5E">
      <w:pPr>
        <w:pStyle w:val="Bodytext20"/>
        <w:shd w:val="clear" w:color="auto" w:fill="auto"/>
        <w:spacing w:before="0" w:after="160" w:line="360" w:lineRule="auto"/>
        <w:ind w:firstLine="567"/>
        <w:jc w:val="both"/>
        <w:rPr>
          <w:rStyle w:val="Bodytext31Sylfaen9"/>
          <w:i w:val="0"/>
          <w:sz w:val="24"/>
          <w:szCs w:val="24"/>
        </w:rPr>
      </w:pPr>
      <w:r w:rsidRPr="00076955">
        <w:rPr>
          <w:rStyle w:val="Bodytext31Sylfaen9"/>
          <w:i w:val="0"/>
          <w:sz w:val="24"/>
          <w:szCs w:val="24"/>
        </w:rPr>
        <w:t>Այդ նպատակով 3.2.3-8 եւ 3.2.3-9 աղյուսակներում ներկայացված տվյալների, ինչպես նաեւ ուղղիչ գործակցի հիման վրա հաշվարկվում են դիսպերսիայի աղբյուրների քառակուսիների գումարները։</w:t>
      </w:r>
    </w:p>
    <w:p w14:paraId="5385A021" w14:textId="77777777" w:rsidR="00B834A2" w:rsidRPr="00076955" w:rsidRDefault="00B834A2" w:rsidP="009A3F5E">
      <w:pPr>
        <w:pStyle w:val="Bodytext20"/>
        <w:shd w:val="clear" w:color="auto" w:fill="auto"/>
        <w:spacing w:before="0" w:after="160" w:line="360" w:lineRule="auto"/>
        <w:ind w:firstLine="567"/>
        <w:jc w:val="both"/>
        <w:rPr>
          <w:rStyle w:val="Bodytext31Sylfaen9"/>
          <w:i w:val="0"/>
          <w:sz w:val="24"/>
          <w:szCs w:val="24"/>
        </w:rPr>
      </w:pPr>
      <w:r w:rsidRPr="00076955">
        <w:rPr>
          <w:rStyle w:val="Bodytext31Sylfaen9"/>
          <w:i w:val="0"/>
          <w:sz w:val="24"/>
          <w:szCs w:val="24"/>
        </w:rPr>
        <w:t>Ուղղիչ գործակիցը՝</w:t>
      </w:r>
    </w:p>
    <w:p w14:paraId="485CF006"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p>
    <w:p w14:paraId="3070EE72"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eastAsia="Sylfaen" w:hAnsi="Sylfaen" w:cs="Sylfaen"/>
          <w:noProof/>
          <w:sz w:val="24"/>
          <w:szCs w:val="24"/>
          <w:lang w:val="en-US" w:eastAsia="en-US" w:bidi="ar-SA"/>
        </w:rPr>
        <w:lastRenderedPageBreak/>
        <w:pict w14:anchorId="6EDABA0D">
          <v:group id="_x0000_s1429" style="position:absolute;left:0;text-align:left;margin-left:31.8pt;margin-top:50.15pt;width:133.8pt;height:349.25pt;z-index:251997184" coordorigin="2054,2421" coordsize="2676,6985">
            <v:rect id="_x0000_s1280" style="position:absolute;left:2817;top:2421;width:1516;height:387" stroked="f">
              <v:textbox>
                <w:txbxContent>
                  <w:p w14:paraId="2C5E66A3" w14:textId="77777777" w:rsidR="008D6E8B" w:rsidRPr="00AE551C" w:rsidRDefault="008D6E8B" w:rsidP="00B834A2">
                    <w:pPr>
                      <w:jc w:val="center"/>
                      <w:rPr>
                        <w:sz w:val="20"/>
                      </w:rPr>
                    </w:pPr>
                    <w:r w:rsidRPr="007831B9">
                      <w:rPr>
                        <w:i/>
                        <w:sz w:val="14"/>
                      </w:rPr>
                      <w:t>Պատրաստու</w:t>
                    </w:r>
                    <w:r w:rsidRPr="007831B9">
                      <w:rPr>
                        <w:i/>
                        <w:sz w:val="12"/>
                      </w:rPr>
                      <w:t>կներ</w:t>
                    </w:r>
                  </w:p>
                </w:txbxContent>
              </v:textbox>
            </v:rect>
            <v:rect id="_x0000_s1281" style="position:absolute;left:2054;top:3829;width:1440;height:398" stroked="f">
              <v:textbox>
                <w:txbxContent>
                  <w:p w14:paraId="1E932E29" w14:textId="77777777" w:rsidR="008D6E8B" w:rsidRPr="00BB522E" w:rsidRDefault="008D6E8B" w:rsidP="00B834A2">
                    <w:pPr>
                      <w:rPr>
                        <w:sz w:val="18"/>
                        <w:szCs w:val="18"/>
                      </w:rPr>
                    </w:pPr>
                    <w:r w:rsidRPr="00BB522E">
                      <w:rPr>
                        <w:i/>
                        <w:sz w:val="18"/>
                        <w:szCs w:val="18"/>
                      </w:rPr>
                      <w:t>Ռեգրեսիա</w:t>
                    </w:r>
                  </w:p>
                </w:txbxContent>
              </v:textbox>
            </v:rect>
            <v:rect id="_x0000_s1282" style="position:absolute;left:2613;top:4667;width:2117;height:377" stroked="f">
              <v:textbox>
                <w:txbxContent>
                  <w:p w14:paraId="3CC47EF0" w14:textId="77777777" w:rsidR="008D6E8B" w:rsidRPr="00AE551C" w:rsidRDefault="008D6E8B" w:rsidP="00B834A2">
                    <w:pPr>
                      <w:rPr>
                        <w:sz w:val="20"/>
                        <w:szCs w:val="16"/>
                      </w:rPr>
                    </w:pPr>
                    <w:r w:rsidRPr="00485A9F">
                      <w:rPr>
                        <w:i/>
                        <w:sz w:val="14"/>
                      </w:rPr>
                      <w:t xml:space="preserve">Ոչ </w:t>
                    </w:r>
                    <w:r w:rsidRPr="00485A9F">
                      <w:rPr>
                        <w:i/>
                        <w:sz w:val="16"/>
                      </w:rPr>
                      <w:t>զուգահեռություն</w:t>
                    </w:r>
                  </w:p>
                </w:txbxContent>
              </v:textbox>
            </v:rect>
            <v:rect id="_x0000_s1283" style="position:absolute;left:2420;top:6085;width:1440;height:398" stroked="f">
              <v:textbox>
                <w:txbxContent>
                  <w:p w14:paraId="046775DB" w14:textId="77777777" w:rsidR="008D6E8B" w:rsidRPr="00AE551C" w:rsidRDefault="008D6E8B" w:rsidP="00B834A2">
                    <w:pPr>
                      <w:rPr>
                        <w:sz w:val="20"/>
                        <w:szCs w:val="16"/>
                      </w:rPr>
                    </w:pPr>
                    <w:r w:rsidRPr="00485A9F">
                      <w:rPr>
                        <w:i/>
                        <w:sz w:val="16"/>
                      </w:rPr>
                      <w:t>Կիրառումներ</w:t>
                    </w:r>
                  </w:p>
                </w:txbxContent>
              </v:textbox>
            </v:rect>
            <v:rect id="_x0000_s1284" style="position:absolute;left:2710;top:7708;width:881;height:398" stroked="f">
              <v:textbox>
                <w:txbxContent>
                  <w:p w14:paraId="5F10CC02" w14:textId="77777777" w:rsidR="008D6E8B" w:rsidRPr="00AE551C" w:rsidRDefault="008D6E8B" w:rsidP="00B834A2">
                    <w:pPr>
                      <w:rPr>
                        <w:i/>
                        <w:sz w:val="20"/>
                        <w:szCs w:val="16"/>
                      </w:rPr>
                    </w:pPr>
                    <w:r w:rsidRPr="00485A9F">
                      <w:rPr>
                        <w:i/>
                        <w:sz w:val="14"/>
                      </w:rPr>
                      <w:t>Բլոկն</w:t>
                    </w:r>
                    <w:r w:rsidRPr="00485A9F">
                      <w:rPr>
                        <w:i/>
                        <w:sz w:val="16"/>
                      </w:rPr>
                      <w:t>եր</w:t>
                    </w:r>
                  </w:p>
                </w:txbxContent>
              </v:textbox>
            </v:rect>
            <v:rect id="_x0000_s1285" style="position:absolute;left:2187;top:9008;width:760;height:398" stroked="f">
              <v:textbox>
                <w:txbxContent>
                  <w:p w14:paraId="22C3B60E" w14:textId="77777777" w:rsidR="008D6E8B" w:rsidRPr="00696072" w:rsidRDefault="008D6E8B" w:rsidP="00B834A2">
                    <w:pPr>
                      <w:rPr>
                        <w:sz w:val="12"/>
                        <w:szCs w:val="12"/>
                      </w:rPr>
                    </w:pPr>
                    <w:r w:rsidRPr="00696072">
                      <w:rPr>
                        <w:i/>
                        <w:sz w:val="12"/>
                        <w:szCs w:val="12"/>
                      </w:rPr>
                      <w:t>Արդյունք</w:t>
                    </w:r>
                  </w:p>
                </w:txbxContent>
              </v:textbox>
            </v:rect>
          </v:group>
        </w:pict>
      </w:r>
      <w:r w:rsidR="00B834A2" w:rsidRPr="00B834A2">
        <w:rPr>
          <w:rFonts w:ascii="Sylfaen" w:hAnsi="Sylfaen" w:cs="Sylfaen"/>
          <w:noProof/>
          <w:sz w:val="24"/>
          <w:szCs w:val="24"/>
          <w:lang w:val="en-US" w:eastAsia="en-US" w:bidi="ar-SA"/>
        </w:rPr>
        <w:drawing>
          <wp:inline distT="0" distB="0" distL="0" distR="0" wp14:anchorId="58208260" wp14:editId="72368E3D">
            <wp:extent cx="3482124" cy="5077691"/>
            <wp:effectExtent l="19050" t="0" r="4026" b="0"/>
            <wp:docPr id="2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cstate="print"/>
                    <a:srcRect/>
                    <a:stretch>
                      <a:fillRect/>
                    </a:stretch>
                  </pic:blipFill>
                  <pic:spPr bwMode="auto">
                    <a:xfrm>
                      <a:off x="0" y="0"/>
                      <a:ext cx="3483206" cy="5079269"/>
                    </a:xfrm>
                    <a:prstGeom prst="rect">
                      <a:avLst/>
                    </a:prstGeom>
                    <a:noFill/>
                    <a:ln w="9525">
                      <a:noFill/>
                      <a:miter lim="800000"/>
                      <a:headEnd/>
                      <a:tailEnd/>
                    </a:ln>
                  </pic:spPr>
                </pic:pic>
              </a:graphicData>
            </a:graphic>
          </wp:inline>
        </w:drawing>
      </w:r>
    </w:p>
    <w:p w14:paraId="77786433"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Շեղում = արդյունք - կիրառումներ - բլոկներ = </w:t>
      </w:r>
      <w:r w:rsidRPr="00B834A2">
        <w:rPr>
          <w:rStyle w:val="Bodytext31Sylfaen9"/>
          <w:sz w:val="24"/>
          <w:szCs w:val="24"/>
        </w:rPr>
        <w:t>232,94 - 207,69 - 13,19 = 12,06։</w:t>
      </w:r>
    </w:p>
    <w:p w14:paraId="60A90218" w14:textId="77777777" w:rsidR="00BB522E" w:rsidRPr="00DE4F37" w:rsidRDefault="00BB522E" w:rsidP="009A3F5E">
      <w:pPr>
        <w:pStyle w:val="Tablecaption20"/>
        <w:shd w:val="clear" w:color="auto" w:fill="auto"/>
        <w:spacing w:before="0" w:after="160" w:line="360" w:lineRule="auto"/>
        <w:ind w:firstLine="567"/>
        <w:rPr>
          <w:rStyle w:val="Bodytext310pt"/>
          <w:b w:val="0"/>
          <w:sz w:val="24"/>
          <w:szCs w:val="24"/>
        </w:rPr>
      </w:pPr>
    </w:p>
    <w:p w14:paraId="4EC23F70"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076955">
        <w:rPr>
          <w:rStyle w:val="Bodytext310pt"/>
          <w:b w:val="0"/>
          <w:sz w:val="24"/>
          <w:szCs w:val="24"/>
        </w:rPr>
        <w:t>Աղյուսակ 3.2.3-10.</w:t>
      </w:r>
      <w:r w:rsidRPr="00B834A2">
        <w:rPr>
          <w:rStyle w:val="Bodytext310pt"/>
          <w:sz w:val="24"/>
          <w:szCs w:val="24"/>
        </w:rPr>
        <w:t xml:space="preserve"> </w:t>
      </w:r>
      <w:r w:rsidRPr="00B834A2">
        <w:rPr>
          <w:rFonts w:ascii="Sylfaen" w:hAnsi="Sylfaen"/>
          <w:sz w:val="24"/>
          <w:szCs w:val="24"/>
        </w:rPr>
        <w:t>Դիսպերսիոն վերլուծության ամփոփիչ աղյուսակը (երկու դեղաչափի օգտագործմամբ պատահական բլոկների մեթոդ)</w:t>
      </w:r>
    </w:p>
    <w:tbl>
      <w:tblPr>
        <w:tblOverlap w:val="never"/>
        <w:tblW w:w="9427" w:type="dxa"/>
        <w:jc w:val="center"/>
        <w:tblLayout w:type="fixed"/>
        <w:tblCellMar>
          <w:left w:w="10" w:type="dxa"/>
          <w:right w:w="10" w:type="dxa"/>
        </w:tblCellMar>
        <w:tblLook w:val="0000" w:firstRow="0" w:lastRow="0" w:firstColumn="0" w:lastColumn="0" w:noHBand="0" w:noVBand="0"/>
      </w:tblPr>
      <w:tblGrid>
        <w:gridCol w:w="1824"/>
        <w:gridCol w:w="1756"/>
        <w:gridCol w:w="1276"/>
        <w:gridCol w:w="1643"/>
        <w:gridCol w:w="1339"/>
        <w:gridCol w:w="1589"/>
      </w:tblGrid>
      <w:tr w:rsidR="00B834A2" w:rsidRPr="00076955" w14:paraId="15EAA76A" w14:textId="77777777" w:rsidTr="00B834A2">
        <w:trPr>
          <w:cantSplit/>
          <w:jc w:val="center"/>
        </w:trPr>
        <w:tc>
          <w:tcPr>
            <w:tcW w:w="1824" w:type="dxa"/>
            <w:tcBorders>
              <w:top w:val="single" w:sz="4" w:space="0" w:color="auto"/>
            </w:tcBorders>
            <w:shd w:val="clear" w:color="auto" w:fill="FFFFFF"/>
          </w:tcPr>
          <w:p w14:paraId="0D089B09"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Դիսպերսիայի աղբյուրը (ցուցանիշ)</w:t>
            </w:r>
          </w:p>
        </w:tc>
        <w:tc>
          <w:tcPr>
            <w:tcW w:w="1756" w:type="dxa"/>
            <w:tcBorders>
              <w:top w:val="single" w:sz="4" w:space="0" w:color="auto"/>
            </w:tcBorders>
            <w:shd w:val="clear" w:color="auto" w:fill="FFFFFF"/>
          </w:tcPr>
          <w:p w14:paraId="1E30589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Fonts w:ascii="Sylfaen" w:hAnsi="Sylfaen"/>
                <w:sz w:val="20"/>
                <w:szCs w:val="20"/>
              </w:rPr>
              <w:t xml:space="preserve">Ազատության աստիճանների թիվը </w:t>
            </w:r>
            <w:r w:rsidRPr="00076955">
              <w:rPr>
                <w:rStyle w:val="Bodytext31Sylfaen9"/>
                <w:sz w:val="20"/>
                <w:szCs w:val="20"/>
              </w:rPr>
              <w:t>(f</w:t>
            </w:r>
            <w:r w:rsidRPr="00076955">
              <w:rPr>
                <w:rStyle w:val="Bodytext2Italic"/>
                <w:sz w:val="20"/>
                <w:szCs w:val="20"/>
              </w:rPr>
              <w:t>)</w:t>
            </w:r>
          </w:p>
        </w:tc>
        <w:tc>
          <w:tcPr>
            <w:tcW w:w="1276" w:type="dxa"/>
            <w:tcBorders>
              <w:top w:val="single" w:sz="4" w:space="0" w:color="auto"/>
            </w:tcBorders>
            <w:shd w:val="clear" w:color="auto" w:fill="FFFFFF"/>
          </w:tcPr>
          <w:p w14:paraId="3FC3C57E"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Քառակուսիների</w:t>
            </w:r>
            <w:r w:rsidR="00076955">
              <w:rPr>
                <w:rStyle w:val="Bodytext31Sylfaen9"/>
                <w:sz w:val="20"/>
                <w:szCs w:val="20"/>
                <w:lang w:val="en-US"/>
              </w:rPr>
              <w:t xml:space="preserve"> </w:t>
            </w:r>
            <w:r w:rsidRPr="00076955">
              <w:rPr>
                <w:rStyle w:val="Bodytext31Sylfaen9"/>
                <w:sz w:val="20"/>
                <w:szCs w:val="20"/>
              </w:rPr>
              <w:t>գումարը</w:t>
            </w:r>
          </w:p>
        </w:tc>
        <w:tc>
          <w:tcPr>
            <w:tcW w:w="1643" w:type="dxa"/>
            <w:tcBorders>
              <w:top w:val="single" w:sz="4" w:space="0" w:color="auto"/>
              <w:left w:val="single" w:sz="4" w:space="0" w:color="auto"/>
            </w:tcBorders>
            <w:shd w:val="clear" w:color="auto" w:fill="FFFFFF"/>
          </w:tcPr>
          <w:p w14:paraId="547C396E" w14:textId="77777777" w:rsidR="00B834A2" w:rsidRPr="00076955" w:rsidRDefault="00000000" w:rsidP="00076955">
            <w:pPr>
              <w:pStyle w:val="Bodytext20"/>
              <w:shd w:val="clear" w:color="auto" w:fill="auto"/>
              <w:spacing w:before="0" w:line="240" w:lineRule="auto"/>
              <w:ind w:firstLine="26"/>
              <w:rPr>
                <w:rStyle w:val="Bodytext31Sylfaen9"/>
                <w:sz w:val="20"/>
                <w:szCs w:val="20"/>
                <w:u w:val="single"/>
              </w:rPr>
            </w:pPr>
            <w:r>
              <w:rPr>
                <w:rFonts w:ascii="Sylfaen" w:eastAsia="Sylfaen" w:hAnsi="Sylfaen" w:cs="Sylfaen"/>
                <w:noProof/>
                <w:sz w:val="20"/>
                <w:szCs w:val="20"/>
              </w:rPr>
              <w:pict w14:anchorId="31FBB38C">
                <v:shape id="_x0000_s1286" type="#_x0000_t185" style="position:absolute;left:0;text-align:left;margin-left:1pt;margin-top:13.45pt;width:77.9pt;height:41.35pt;z-index:251707392;mso-position-horizontal-relative:text;mso-position-vertical-relative:text"/>
              </w:pict>
            </w:r>
            <w:r w:rsidR="00B834A2" w:rsidRPr="00076955">
              <w:rPr>
                <w:rFonts w:ascii="Sylfaen" w:hAnsi="Sylfaen"/>
                <w:sz w:val="20"/>
                <w:szCs w:val="20"/>
              </w:rPr>
              <w:t>Միջին քառակուսին</w:t>
            </w:r>
            <w:r w:rsidR="00B834A2" w:rsidRPr="00076955">
              <w:rPr>
                <w:rFonts w:ascii="Sylfaen" w:hAnsi="Sylfaen"/>
                <w:sz w:val="20"/>
                <w:szCs w:val="20"/>
              </w:rPr>
              <w:br/>
            </w:r>
            <w:r w:rsidR="00B834A2" w:rsidRPr="00076955">
              <w:rPr>
                <w:rFonts w:ascii="Sylfaen" w:hAnsi="Sylfaen"/>
                <w:sz w:val="20"/>
                <w:szCs w:val="20"/>
                <w:u w:val="single"/>
              </w:rPr>
              <w:t>Քառակուսիների գումարը</w:t>
            </w:r>
          </w:p>
          <w:p w14:paraId="3CB415D1"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sz w:val="20"/>
                <w:szCs w:val="20"/>
              </w:rPr>
              <w:t>ƒ</w:t>
            </w:r>
          </w:p>
        </w:tc>
        <w:tc>
          <w:tcPr>
            <w:tcW w:w="1339" w:type="dxa"/>
            <w:tcBorders>
              <w:top w:val="single" w:sz="4" w:space="0" w:color="auto"/>
            </w:tcBorders>
            <w:shd w:val="clear" w:color="auto" w:fill="FFFFFF"/>
          </w:tcPr>
          <w:p w14:paraId="63B5B92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Ֆիշերի չափորոշչի դիտարկվող արժեքը՝ F</w:t>
            </w:r>
            <w:r w:rsidRPr="00076955">
              <w:rPr>
                <w:rStyle w:val="Bodytext31Sylfaen9"/>
                <w:sz w:val="20"/>
                <w:szCs w:val="20"/>
                <w:vertAlign w:val="subscript"/>
              </w:rPr>
              <w:t>դիտ.</w:t>
            </w:r>
          </w:p>
        </w:tc>
        <w:tc>
          <w:tcPr>
            <w:tcW w:w="1589" w:type="dxa"/>
            <w:tcBorders>
              <w:top w:val="single" w:sz="4" w:space="0" w:color="auto"/>
            </w:tcBorders>
            <w:shd w:val="clear" w:color="auto" w:fill="FFFFFF"/>
          </w:tcPr>
          <w:p w14:paraId="4D8C2EC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Ֆիշերի չափորոշչի կրիտիկական արժեքը՝ F</w:t>
            </w:r>
            <w:r w:rsidRPr="00076955">
              <w:rPr>
                <w:rStyle w:val="Bodytext31Sylfaen9"/>
                <w:sz w:val="20"/>
                <w:szCs w:val="20"/>
                <w:vertAlign w:val="subscript"/>
              </w:rPr>
              <w:t>կրիտիկ.</w:t>
            </w:r>
          </w:p>
        </w:tc>
      </w:tr>
      <w:tr w:rsidR="00B834A2" w:rsidRPr="00076955" w14:paraId="1FF06BD3" w14:textId="77777777" w:rsidTr="00B834A2">
        <w:trPr>
          <w:cantSplit/>
          <w:jc w:val="center"/>
        </w:trPr>
        <w:tc>
          <w:tcPr>
            <w:tcW w:w="1824" w:type="dxa"/>
            <w:tcBorders>
              <w:top w:val="single" w:sz="4" w:space="0" w:color="auto"/>
            </w:tcBorders>
            <w:shd w:val="clear" w:color="auto" w:fill="FFFFFF"/>
          </w:tcPr>
          <w:p w14:paraId="6625464D"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Պատրաստուկներ</w:t>
            </w:r>
          </w:p>
        </w:tc>
        <w:tc>
          <w:tcPr>
            <w:tcW w:w="1756" w:type="dxa"/>
            <w:tcBorders>
              <w:top w:val="single" w:sz="4" w:space="0" w:color="auto"/>
            </w:tcBorders>
            <w:shd w:val="clear" w:color="auto" w:fill="FFFFFF"/>
          </w:tcPr>
          <w:p w14:paraId="3F06EC09"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1</w:t>
            </w:r>
          </w:p>
        </w:tc>
        <w:tc>
          <w:tcPr>
            <w:tcW w:w="1276" w:type="dxa"/>
            <w:tcBorders>
              <w:top w:val="single" w:sz="4" w:space="0" w:color="auto"/>
            </w:tcBorders>
            <w:shd w:val="clear" w:color="auto" w:fill="FFFFFF"/>
          </w:tcPr>
          <w:p w14:paraId="0799FCF9"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3,065</w:t>
            </w:r>
          </w:p>
        </w:tc>
        <w:tc>
          <w:tcPr>
            <w:tcW w:w="1643" w:type="dxa"/>
            <w:tcBorders>
              <w:top w:val="single" w:sz="4" w:space="0" w:color="auto"/>
            </w:tcBorders>
            <w:shd w:val="clear" w:color="auto" w:fill="FFFFFF"/>
          </w:tcPr>
          <w:p w14:paraId="398A9EEB"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3,065</w:t>
            </w:r>
          </w:p>
        </w:tc>
        <w:tc>
          <w:tcPr>
            <w:tcW w:w="1339" w:type="dxa"/>
            <w:tcBorders>
              <w:top w:val="single" w:sz="4" w:space="0" w:color="auto"/>
            </w:tcBorders>
            <w:shd w:val="clear" w:color="auto" w:fill="FFFFFF"/>
          </w:tcPr>
          <w:p w14:paraId="15FF7BA2" w14:textId="77777777" w:rsidR="00B834A2" w:rsidRPr="00076955" w:rsidRDefault="00B834A2" w:rsidP="00076955">
            <w:pPr>
              <w:spacing w:after="120"/>
              <w:ind w:firstLine="26"/>
              <w:jc w:val="center"/>
              <w:rPr>
                <w:sz w:val="20"/>
                <w:szCs w:val="20"/>
              </w:rPr>
            </w:pPr>
          </w:p>
        </w:tc>
        <w:tc>
          <w:tcPr>
            <w:tcW w:w="1589" w:type="dxa"/>
            <w:tcBorders>
              <w:top w:val="single" w:sz="4" w:space="0" w:color="auto"/>
            </w:tcBorders>
            <w:shd w:val="clear" w:color="auto" w:fill="FFFFFF"/>
          </w:tcPr>
          <w:p w14:paraId="0536BCAA" w14:textId="77777777" w:rsidR="00B834A2" w:rsidRPr="00076955" w:rsidRDefault="00B834A2" w:rsidP="00076955">
            <w:pPr>
              <w:spacing w:after="120"/>
              <w:ind w:firstLine="26"/>
              <w:jc w:val="center"/>
              <w:rPr>
                <w:sz w:val="20"/>
                <w:szCs w:val="20"/>
              </w:rPr>
            </w:pPr>
          </w:p>
        </w:tc>
      </w:tr>
      <w:tr w:rsidR="00B834A2" w:rsidRPr="00076955" w14:paraId="6F6A0A4B" w14:textId="77777777" w:rsidTr="00B834A2">
        <w:trPr>
          <w:cantSplit/>
          <w:jc w:val="center"/>
        </w:trPr>
        <w:tc>
          <w:tcPr>
            <w:tcW w:w="1824" w:type="dxa"/>
            <w:shd w:val="clear" w:color="auto" w:fill="FFFFFF"/>
          </w:tcPr>
          <w:p w14:paraId="65653B9E"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Ռեգրեսիա</w:t>
            </w:r>
          </w:p>
        </w:tc>
        <w:tc>
          <w:tcPr>
            <w:tcW w:w="1756" w:type="dxa"/>
            <w:shd w:val="clear" w:color="auto" w:fill="FFFFFF"/>
          </w:tcPr>
          <w:p w14:paraId="77ACFE8D"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w:t>
            </w:r>
          </w:p>
        </w:tc>
        <w:tc>
          <w:tcPr>
            <w:tcW w:w="1276" w:type="dxa"/>
            <w:shd w:val="clear" w:color="auto" w:fill="FFFFFF"/>
          </w:tcPr>
          <w:p w14:paraId="42AE657A"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203,06</w:t>
            </w:r>
          </w:p>
        </w:tc>
        <w:tc>
          <w:tcPr>
            <w:tcW w:w="1643" w:type="dxa"/>
            <w:shd w:val="clear" w:color="auto" w:fill="FFFFFF"/>
          </w:tcPr>
          <w:p w14:paraId="3777D5B5"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203,06</w:t>
            </w:r>
          </w:p>
        </w:tc>
        <w:tc>
          <w:tcPr>
            <w:tcW w:w="1339" w:type="dxa"/>
            <w:shd w:val="clear" w:color="auto" w:fill="FFFFFF"/>
          </w:tcPr>
          <w:p w14:paraId="0B4E592C"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151,54</w:t>
            </w:r>
          </w:p>
        </w:tc>
        <w:tc>
          <w:tcPr>
            <w:tcW w:w="1589" w:type="dxa"/>
            <w:shd w:val="clear" w:color="auto" w:fill="FFFFFF"/>
          </w:tcPr>
          <w:p w14:paraId="57BFAD59"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 xml:space="preserve">&gt;10,56 </w:t>
            </w:r>
            <w:r w:rsidRPr="00076955">
              <w:rPr>
                <w:rStyle w:val="Bodytext2Italic"/>
                <w:i w:val="0"/>
                <w:sz w:val="20"/>
                <w:szCs w:val="20"/>
              </w:rPr>
              <w:t>(р</w:t>
            </w:r>
            <w:r w:rsidRPr="00076955">
              <w:rPr>
                <w:rStyle w:val="Bodytext31Sylfaen9"/>
                <w:i w:val="0"/>
                <w:sz w:val="20"/>
                <w:szCs w:val="20"/>
              </w:rPr>
              <w:t xml:space="preserve"> = 0,01)</w:t>
            </w:r>
          </w:p>
        </w:tc>
      </w:tr>
      <w:tr w:rsidR="00B834A2" w:rsidRPr="00076955" w14:paraId="06CEA683" w14:textId="77777777" w:rsidTr="00B834A2">
        <w:trPr>
          <w:cantSplit/>
          <w:jc w:val="center"/>
        </w:trPr>
        <w:tc>
          <w:tcPr>
            <w:tcW w:w="1824" w:type="dxa"/>
            <w:shd w:val="clear" w:color="auto" w:fill="FFFFFF"/>
          </w:tcPr>
          <w:p w14:paraId="5219CCB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Ոչ զուգահեռություն</w:t>
            </w:r>
          </w:p>
        </w:tc>
        <w:tc>
          <w:tcPr>
            <w:tcW w:w="1756" w:type="dxa"/>
            <w:shd w:val="clear" w:color="auto" w:fill="FFFFFF"/>
          </w:tcPr>
          <w:p w14:paraId="42CF70DB"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w:t>
            </w:r>
          </w:p>
        </w:tc>
        <w:tc>
          <w:tcPr>
            <w:tcW w:w="1276" w:type="dxa"/>
            <w:shd w:val="clear" w:color="auto" w:fill="FFFFFF"/>
          </w:tcPr>
          <w:p w14:paraId="2B295C60"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1,565</w:t>
            </w:r>
          </w:p>
        </w:tc>
        <w:tc>
          <w:tcPr>
            <w:tcW w:w="1643" w:type="dxa"/>
            <w:shd w:val="clear" w:color="auto" w:fill="FFFFFF"/>
          </w:tcPr>
          <w:p w14:paraId="6CC9880B"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1,565</w:t>
            </w:r>
          </w:p>
        </w:tc>
        <w:tc>
          <w:tcPr>
            <w:tcW w:w="1339" w:type="dxa"/>
            <w:shd w:val="clear" w:color="auto" w:fill="FFFFFF"/>
          </w:tcPr>
          <w:p w14:paraId="0A74FE8B"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1,17</w:t>
            </w:r>
          </w:p>
        </w:tc>
        <w:tc>
          <w:tcPr>
            <w:tcW w:w="1589" w:type="dxa"/>
            <w:shd w:val="clear" w:color="auto" w:fill="FFFFFF"/>
          </w:tcPr>
          <w:p w14:paraId="4555C761"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 xml:space="preserve">&lt;5,12 </w:t>
            </w:r>
            <w:r w:rsidRPr="00076955">
              <w:rPr>
                <w:rStyle w:val="Bodytext2Italic"/>
                <w:i w:val="0"/>
                <w:sz w:val="20"/>
                <w:szCs w:val="20"/>
              </w:rPr>
              <w:t>(р</w:t>
            </w:r>
            <w:r w:rsidRPr="00076955">
              <w:rPr>
                <w:rStyle w:val="Bodytext31Sylfaen9"/>
                <w:i w:val="0"/>
                <w:sz w:val="20"/>
                <w:szCs w:val="20"/>
              </w:rPr>
              <w:t xml:space="preserve"> = 0,05)</w:t>
            </w:r>
          </w:p>
        </w:tc>
      </w:tr>
      <w:tr w:rsidR="00B834A2" w:rsidRPr="00076955" w14:paraId="516D67D0" w14:textId="77777777" w:rsidTr="00B834A2">
        <w:trPr>
          <w:cantSplit/>
          <w:jc w:val="center"/>
        </w:trPr>
        <w:tc>
          <w:tcPr>
            <w:tcW w:w="1824" w:type="dxa"/>
            <w:shd w:val="clear" w:color="auto" w:fill="FFFFFF"/>
          </w:tcPr>
          <w:p w14:paraId="40D6B400"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lastRenderedPageBreak/>
              <w:t>Կիրառումներ</w:t>
            </w:r>
          </w:p>
        </w:tc>
        <w:tc>
          <w:tcPr>
            <w:tcW w:w="1756" w:type="dxa"/>
            <w:shd w:val="clear" w:color="auto" w:fill="FFFFFF"/>
          </w:tcPr>
          <w:p w14:paraId="07C437A0"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Fonts w:ascii="Sylfaen" w:hAnsi="Sylfaen"/>
                <w:sz w:val="20"/>
                <w:szCs w:val="20"/>
              </w:rPr>
              <w:t>k-1=4-1=3=</w:t>
            </w:r>
            <w:r w:rsidRPr="00076955">
              <w:rPr>
                <w:rStyle w:val="Bodytext31Sylfaen9"/>
                <w:i w:val="0"/>
                <w:sz w:val="20"/>
                <w:szCs w:val="20"/>
              </w:rPr>
              <w:t xml:space="preserve"> ƒ</w:t>
            </w:r>
            <w:r w:rsidRPr="00076955">
              <w:rPr>
                <w:rStyle w:val="Bodytext31Sylfaen9"/>
                <w:i w:val="0"/>
                <w:sz w:val="20"/>
                <w:szCs w:val="20"/>
                <w:vertAlign w:val="subscript"/>
              </w:rPr>
              <w:t>n</w:t>
            </w:r>
          </w:p>
        </w:tc>
        <w:tc>
          <w:tcPr>
            <w:tcW w:w="1276" w:type="dxa"/>
            <w:shd w:val="clear" w:color="auto" w:fill="FFFFFF"/>
          </w:tcPr>
          <w:p w14:paraId="0D969D84"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207,69</w:t>
            </w:r>
          </w:p>
        </w:tc>
        <w:tc>
          <w:tcPr>
            <w:tcW w:w="1643" w:type="dxa"/>
            <w:shd w:val="clear" w:color="auto" w:fill="FFFFFF"/>
          </w:tcPr>
          <w:p w14:paraId="662580C1"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69,23</w:t>
            </w:r>
          </w:p>
        </w:tc>
        <w:tc>
          <w:tcPr>
            <w:tcW w:w="1339" w:type="dxa"/>
            <w:shd w:val="clear" w:color="auto" w:fill="FFFFFF"/>
          </w:tcPr>
          <w:p w14:paraId="47C967F8" w14:textId="77777777" w:rsidR="00B834A2" w:rsidRPr="00076955" w:rsidRDefault="00B834A2" w:rsidP="00076955">
            <w:pPr>
              <w:spacing w:after="120"/>
              <w:ind w:firstLine="26"/>
              <w:jc w:val="center"/>
              <w:rPr>
                <w:sz w:val="20"/>
                <w:szCs w:val="20"/>
              </w:rPr>
            </w:pPr>
          </w:p>
        </w:tc>
        <w:tc>
          <w:tcPr>
            <w:tcW w:w="1589" w:type="dxa"/>
            <w:shd w:val="clear" w:color="auto" w:fill="FFFFFF"/>
          </w:tcPr>
          <w:p w14:paraId="14A6789A" w14:textId="77777777" w:rsidR="00B834A2" w:rsidRPr="00076955" w:rsidRDefault="00B834A2" w:rsidP="00076955">
            <w:pPr>
              <w:spacing w:after="120"/>
              <w:ind w:firstLine="26"/>
              <w:jc w:val="center"/>
              <w:rPr>
                <w:sz w:val="20"/>
                <w:szCs w:val="20"/>
              </w:rPr>
            </w:pPr>
          </w:p>
        </w:tc>
      </w:tr>
      <w:tr w:rsidR="00B834A2" w:rsidRPr="00076955" w14:paraId="27D7D42C" w14:textId="77777777" w:rsidTr="00B834A2">
        <w:trPr>
          <w:cantSplit/>
          <w:trHeight w:val="1134"/>
          <w:jc w:val="center"/>
        </w:trPr>
        <w:tc>
          <w:tcPr>
            <w:tcW w:w="1824" w:type="dxa"/>
            <w:shd w:val="clear" w:color="auto" w:fill="FFFFFF"/>
          </w:tcPr>
          <w:p w14:paraId="6D34756B"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Բլոկներ</w:t>
            </w:r>
          </w:p>
        </w:tc>
        <w:tc>
          <w:tcPr>
            <w:tcW w:w="1756" w:type="dxa"/>
            <w:shd w:val="clear" w:color="auto" w:fill="FFFFFF"/>
          </w:tcPr>
          <w:p w14:paraId="1089886E"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n-1=3= ƒ</w:t>
            </w:r>
            <w:r w:rsidRPr="00076955">
              <w:rPr>
                <w:rStyle w:val="Bodytext31Sylfaen9"/>
                <w:i w:val="0"/>
                <w:sz w:val="20"/>
                <w:szCs w:val="20"/>
                <w:vertAlign w:val="subscript"/>
              </w:rPr>
              <w:t>δ</w:t>
            </w:r>
          </w:p>
        </w:tc>
        <w:tc>
          <w:tcPr>
            <w:tcW w:w="1276" w:type="dxa"/>
            <w:shd w:val="clear" w:color="auto" w:fill="FFFFFF"/>
          </w:tcPr>
          <w:p w14:paraId="07438F80"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13,19</w:t>
            </w:r>
          </w:p>
        </w:tc>
        <w:tc>
          <w:tcPr>
            <w:tcW w:w="1643" w:type="dxa"/>
            <w:shd w:val="clear" w:color="auto" w:fill="FFFFFF"/>
          </w:tcPr>
          <w:p w14:paraId="45E4C311"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4,40</w:t>
            </w:r>
          </w:p>
        </w:tc>
        <w:tc>
          <w:tcPr>
            <w:tcW w:w="1339" w:type="dxa"/>
            <w:shd w:val="clear" w:color="auto" w:fill="FFFFFF"/>
          </w:tcPr>
          <w:p w14:paraId="741C4B66"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3,28</w:t>
            </w:r>
          </w:p>
        </w:tc>
        <w:tc>
          <w:tcPr>
            <w:tcW w:w="1589" w:type="dxa"/>
            <w:shd w:val="clear" w:color="auto" w:fill="FFFFFF"/>
          </w:tcPr>
          <w:p w14:paraId="7C857B4B" w14:textId="77777777" w:rsidR="00B834A2" w:rsidRPr="00076955" w:rsidRDefault="00B834A2" w:rsidP="00076955">
            <w:pPr>
              <w:pStyle w:val="Bodytext20"/>
              <w:shd w:val="clear" w:color="auto" w:fill="auto"/>
              <w:spacing w:before="0" w:line="240" w:lineRule="auto"/>
              <w:ind w:firstLine="26"/>
              <w:rPr>
                <w:rFonts w:ascii="Sylfaen" w:hAnsi="Sylfaen" w:cs="Sylfaen"/>
                <w:i/>
                <w:sz w:val="20"/>
                <w:szCs w:val="20"/>
              </w:rPr>
            </w:pPr>
            <w:r w:rsidRPr="00076955">
              <w:rPr>
                <w:rStyle w:val="Bodytext31Sylfaen9"/>
                <w:i w:val="0"/>
                <w:sz w:val="20"/>
                <w:szCs w:val="20"/>
              </w:rPr>
              <w:t xml:space="preserve">&lt;6,99 </w:t>
            </w:r>
            <w:r w:rsidRPr="00076955">
              <w:rPr>
                <w:rStyle w:val="Bodytext2Italic"/>
                <w:i w:val="0"/>
                <w:sz w:val="20"/>
                <w:szCs w:val="20"/>
              </w:rPr>
              <w:t xml:space="preserve">(р </w:t>
            </w:r>
            <w:r w:rsidRPr="00076955">
              <w:rPr>
                <w:rStyle w:val="Bodytext31Sylfaen9"/>
                <w:i w:val="0"/>
                <w:sz w:val="20"/>
                <w:szCs w:val="20"/>
              </w:rPr>
              <w:t>=0,01)</w:t>
            </w:r>
          </w:p>
        </w:tc>
      </w:tr>
      <w:tr w:rsidR="00B834A2" w:rsidRPr="00076955" w14:paraId="605BF4E8" w14:textId="77777777" w:rsidTr="00B834A2">
        <w:trPr>
          <w:cantSplit/>
          <w:jc w:val="center"/>
        </w:trPr>
        <w:tc>
          <w:tcPr>
            <w:tcW w:w="1824" w:type="dxa"/>
            <w:shd w:val="clear" w:color="auto" w:fill="FFFFFF"/>
          </w:tcPr>
          <w:p w14:paraId="1DF3736E"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Շեղում</w:t>
            </w:r>
          </w:p>
        </w:tc>
        <w:tc>
          <w:tcPr>
            <w:tcW w:w="1756" w:type="dxa"/>
            <w:shd w:val="clear" w:color="auto" w:fill="FFFFFF"/>
          </w:tcPr>
          <w:p w14:paraId="1F9FF57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i w:val="0"/>
                <w:sz w:val="20"/>
                <w:szCs w:val="20"/>
              </w:rPr>
              <w:t>N-1-</w:t>
            </w:r>
            <w:r w:rsidRPr="00076955">
              <w:rPr>
                <w:rStyle w:val="Bodytext31Sylfaen9"/>
                <w:i w:val="0"/>
                <w:sz w:val="20"/>
                <w:szCs w:val="20"/>
              </w:rPr>
              <w:t xml:space="preserve"> ƒ</w:t>
            </w:r>
            <w:r w:rsidRPr="00076955">
              <w:rPr>
                <w:rStyle w:val="Bodytext31Sylfaen9"/>
                <w:i w:val="0"/>
                <w:sz w:val="20"/>
                <w:szCs w:val="20"/>
                <w:vertAlign w:val="subscript"/>
              </w:rPr>
              <w:t>n-</w:t>
            </w:r>
            <w:r w:rsidRPr="00076955">
              <w:rPr>
                <w:rStyle w:val="Bodytext31Sylfaen9"/>
                <w:i w:val="0"/>
                <w:sz w:val="20"/>
                <w:szCs w:val="20"/>
              </w:rPr>
              <w:t>-ƒ</w:t>
            </w:r>
            <w:r w:rsidRPr="00076955">
              <w:rPr>
                <w:rStyle w:val="Bodytext31Sylfaen9"/>
                <w:i w:val="0"/>
                <w:sz w:val="20"/>
                <w:szCs w:val="20"/>
                <w:vertAlign w:val="subscript"/>
              </w:rPr>
              <w:t xml:space="preserve">δ </w:t>
            </w:r>
            <w:r w:rsidR="002E52D1" w:rsidRPr="00076955">
              <w:rPr>
                <w:rFonts w:ascii="Sylfaen" w:hAnsi="Sylfaen"/>
                <w:sz w:val="20"/>
                <w:szCs w:val="20"/>
              </w:rPr>
              <w:t>-</w:t>
            </w:r>
            <w:r w:rsidRPr="00076955">
              <w:rPr>
                <w:rFonts w:ascii="Sylfaen" w:hAnsi="Sylfaen"/>
                <w:sz w:val="20"/>
                <w:szCs w:val="20"/>
              </w:rPr>
              <w:t>m=9</w:t>
            </w:r>
          </w:p>
        </w:tc>
        <w:tc>
          <w:tcPr>
            <w:tcW w:w="1276" w:type="dxa"/>
            <w:shd w:val="clear" w:color="auto" w:fill="FFFFFF"/>
          </w:tcPr>
          <w:p w14:paraId="56989A0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12,06</w:t>
            </w:r>
          </w:p>
        </w:tc>
        <w:tc>
          <w:tcPr>
            <w:tcW w:w="1643" w:type="dxa"/>
            <w:shd w:val="clear" w:color="auto" w:fill="FFFFFF"/>
          </w:tcPr>
          <w:p w14:paraId="375A5A3C"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1,34</w:t>
            </w:r>
          </w:p>
        </w:tc>
        <w:tc>
          <w:tcPr>
            <w:tcW w:w="1339" w:type="dxa"/>
            <w:shd w:val="clear" w:color="auto" w:fill="FFFFFF"/>
          </w:tcPr>
          <w:p w14:paraId="20447927" w14:textId="77777777" w:rsidR="00B834A2" w:rsidRPr="00076955" w:rsidRDefault="00B834A2" w:rsidP="00076955">
            <w:pPr>
              <w:spacing w:after="120"/>
              <w:ind w:firstLine="26"/>
              <w:jc w:val="center"/>
              <w:rPr>
                <w:sz w:val="20"/>
                <w:szCs w:val="20"/>
              </w:rPr>
            </w:pPr>
          </w:p>
        </w:tc>
        <w:tc>
          <w:tcPr>
            <w:tcW w:w="1589" w:type="dxa"/>
            <w:shd w:val="clear" w:color="auto" w:fill="FFFFFF"/>
          </w:tcPr>
          <w:p w14:paraId="7DE8A056" w14:textId="77777777" w:rsidR="00B834A2" w:rsidRPr="00076955" w:rsidRDefault="00B834A2" w:rsidP="00076955">
            <w:pPr>
              <w:spacing w:after="120"/>
              <w:ind w:firstLine="26"/>
              <w:jc w:val="center"/>
              <w:rPr>
                <w:sz w:val="20"/>
                <w:szCs w:val="20"/>
              </w:rPr>
            </w:pPr>
          </w:p>
        </w:tc>
      </w:tr>
      <w:tr w:rsidR="00B834A2" w:rsidRPr="00076955" w14:paraId="3AC058D5" w14:textId="77777777" w:rsidTr="00076955">
        <w:trPr>
          <w:cantSplit/>
          <w:trHeight w:val="327"/>
          <w:jc w:val="center"/>
        </w:trPr>
        <w:tc>
          <w:tcPr>
            <w:tcW w:w="1824" w:type="dxa"/>
            <w:tcBorders>
              <w:bottom w:val="single" w:sz="4" w:space="0" w:color="auto"/>
            </w:tcBorders>
            <w:shd w:val="clear" w:color="auto" w:fill="FFFFFF"/>
          </w:tcPr>
          <w:p w14:paraId="42CF5740"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Արդյունք</w:t>
            </w:r>
          </w:p>
        </w:tc>
        <w:tc>
          <w:tcPr>
            <w:tcW w:w="1756" w:type="dxa"/>
            <w:tcBorders>
              <w:bottom w:val="single" w:sz="4" w:space="0" w:color="auto"/>
            </w:tcBorders>
            <w:shd w:val="clear" w:color="auto" w:fill="FFFFFF"/>
          </w:tcPr>
          <w:p w14:paraId="27530C7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i w:val="0"/>
                <w:sz w:val="20"/>
                <w:szCs w:val="20"/>
              </w:rPr>
              <w:t>N-1-m=15</w:t>
            </w:r>
          </w:p>
        </w:tc>
        <w:tc>
          <w:tcPr>
            <w:tcW w:w="1276" w:type="dxa"/>
            <w:tcBorders>
              <w:bottom w:val="single" w:sz="4" w:space="0" w:color="auto"/>
            </w:tcBorders>
            <w:shd w:val="clear" w:color="auto" w:fill="FFFFFF"/>
          </w:tcPr>
          <w:p w14:paraId="3811FF6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232,94</w:t>
            </w:r>
          </w:p>
        </w:tc>
        <w:tc>
          <w:tcPr>
            <w:tcW w:w="1643" w:type="dxa"/>
            <w:tcBorders>
              <w:bottom w:val="single" w:sz="4" w:space="0" w:color="auto"/>
            </w:tcBorders>
            <w:shd w:val="clear" w:color="auto" w:fill="FFFFFF"/>
          </w:tcPr>
          <w:p w14:paraId="257F1763"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i w:val="0"/>
                <w:sz w:val="20"/>
                <w:szCs w:val="20"/>
              </w:rPr>
              <w:t>15,53</w:t>
            </w:r>
          </w:p>
        </w:tc>
        <w:tc>
          <w:tcPr>
            <w:tcW w:w="1339" w:type="dxa"/>
            <w:tcBorders>
              <w:bottom w:val="single" w:sz="4" w:space="0" w:color="auto"/>
            </w:tcBorders>
            <w:shd w:val="clear" w:color="auto" w:fill="FFFFFF"/>
          </w:tcPr>
          <w:p w14:paraId="17B10111" w14:textId="77777777" w:rsidR="00B834A2" w:rsidRPr="00076955" w:rsidRDefault="00B834A2" w:rsidP="00076955">
            <w:pPr>
              <w:spacing w:after="120"/>
              <w:ind w:firstLine="26"/>
              <w:jc w:val="center"/>
              <w:rPr>
                <w:sz w:val="20"/>
                <w:szCs w:val="20"/>
              </w:rPr>
            </w:pPr>
          </w:p>
        </w:tc>
        <w:tc>
          <w:tcPr>
            <w:tcW w:w="1589" w:type="dxa"/>
            <w:tcBorders>
              <w:bottom w:val="single" w:sz="4" w:space="0" w:color="auto"/>
            </w:tcBorders>
            <w:shd w:val="clear" w:color="auto" w:fill="FFFFFF"/>
          </w:tcPr>
          <w:p w14:paraId="7C82A351" w14:textId="77777777" w:rsidR="00B834A2" w:rsidRPr="00076955" w:rsidRDefault="00B834A2" w:rsidP="00076955">
            <w:pPr>
              <w:spacing w:after="120"/>
              <w:ind w:firstLine="26"/>
              <w:jc w:val="center"/>
              <w:rPr>
                <w:sz w:val="20"/>
                <w:szCs w:val="20"/>
              </w:rPr>
            </w:pPr>
          </w:p>
        </w:tc>
      </w:tr>
    </w:tbl>
    <w:p w14:paraId="001CA758" w14:textId="77777777" w:rsidR="00076955" w:rsidRDefault="00076955" w:rsidP="009A3F5E">
      <w:pPr>
        <w:pStyle w:val="Headerorfooter40"/>
        <w:shd w:val="clear" w:color="auto" w:fill="auto"/>
        <w:spacing w:after="160" w:line="360" w:lineRule="auto"/>
        <w:ind w:firstLine="567"/>
        <w:jc w:val="both"/>
        <w:rPr>
          <w:rStyle w:val="Headerorfooter4Italic"/>
          <w:rFonts w:ascii="Sylfaen" w:hAnsi="Sylfaen"/>
          <w:sz w:val="24"/>
          <w:szCs w:val="24"/>
          <w:lang w:val="en-US"/>
        </w:rPr>
      </w:pPr>
    </w:p>
    <w:p w14:paraId="664C84C7" w14:textId="77777777" w:rsidR="00B834A2" w:rsidRPr="00B834A2" w:rsidRDefault="00B834A2" w:rsidP="009A3F5E">
      <w:pPr>
        <w:pStyle w:val="Headerorfooter40"/>
        <w:shd w:val="clear" w:color="auto" w:fill="auto"/>
        <w:spacing w:after="160" w:line="360" w:lineRule="auto"/>
        <w:ind w:firstLine="567"/>
        <w:jc w:val="both"/>
        <w:rPr>
          <w:rFonts w:ascii="Sylfaen" w:hAnsi="Sylfaen" w:cs="Sylfaen"/>
          <w:sz w:val="24"/>
          <w:szCs w:val="24"/>
        </w:rPr>
      </w:pPr>
      <w:r w:rsidRPr="00B834A2">
        <w:rPr>
          <w:rStyle w:val="Headerorfooter4Italic"/>
          <w:rFonts w:ascii="Sylfaen" w:hAnsi="Sylfaen"/>
          <w:sz w:val="24"/>
          <w:szCs w:val="24"/>
        </w:rPr>
        <w:t xml:space="preserve">n = 4 </w:t>
      </w:r>
      <w:r w:rsidRPr="00B834A2">
        <w:rPr>
          <w:rFonts w:ascii="Sylfaen" w:hAnsi="Sylfaen"/>
          <w:sz w:val="24"/>
          <w:szCs w:val="24"/>
        </w:rPr>
        <w:t>(դեղաչափի նկատմամբ արձագանքների թիվը). N</w:t>
      </w:r>
      <w:r w:rsidRPr="00B834A2">
        <w:rPr>
          <w:rStyle w:val="Headerorfooter4Italic"/>
          <w:rFonts w:ascii="Sylfaen" w:hAnsi="Sylfaen"/>
          <w:sz w:val="24"/>
          <w:szCs w:val="24"/>
        </w:rPr>
        <w:t xml:space="preserve"> =</w:t>
      </w:r>
      <w:r w:rsidRPr="00B834A2">
        <w:rPr>
          <w:rFonts w:ascii="Sylfaen" w:hAnsi="Sylfaen"/>
          <w:sz w:val="24"/>
          <w:szCs w:val="24"/>
        </w:rPr>
        <w:t xml:space="preserve"> 16 (փորձի ժամանակ արձագանքների ընդհանուր թիվը).</w:t>
      </w:r>
      <w:r>
        <w:rPr>
          <w:rFonts w:ascii="Sylfaen" w:hAnsi="Sylfaen"/>
          <w:sz w:val="24"/>
          <w:szCs w:val="24"/>
        </w:rPr>
        <w:t xml:space="preserve"> </w:t>
      </w:r>
      <w:r w:rsidRPr="00B834A2">
        <w:rPr>
          <w:rStyle w:val="Headerorfooter4Italic"/>
          <w:rFonts w:ascii="Sylfaen" w:hAnsi="Sylfaen"/>
          <w:sz w:val="24"/>
          <w:szCs w:val="24"/>
        </w:rPr>
        <w:t>m</w:t>
      </w:r>
      <w:r w:rsidRPr="00B834A2">
        <w:rPr>
          <w:rFonts w:ascii="Sylfaen" w:hAnsi="Sylfaen"/>
          <w:sz w:val="24"/>
          <w:szCs w:val="24"/>
        </w:rPr>
        <w:t xml:space="preserve"> = 0 (կորսված եւ փոխարինված արժեքների թիվը)։</w:t>
      </w:r>
    </w:p>
    <w:p w14:paraId="208EADC6"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076955">
        <w:rPr>
          <w:rStyle w:val="Bodytext31Sylfaen9"/>
          <w:i w:val="0"/>
          <w:sz w:val="24"/>
          <w:szCs w:val="24"/>
        </w:rPr>
        <w:t xml:space="preserve">Դիսպերսիաների տարբերությունների նշանակալիությունը ստուգվում է Ֆիշերի չափորոշչի միջոցով։ </w:t>
      </w:r>
      <w:r w:rsidRPr="00076955">
        <w:rPr>
          <w:rFonts w:ascii="Sylfaen" w:hAnsi="Sylfaen"/>
          <w:i/>
          <w:sz w:val="24"/>
          <w:szCs w:val="24"/>
        </w:rPr>
        <w:t>«</w:t>
      </w:r>
      <w:r w:rsidRPr="00B834A2">
        <w:rPr>
          <w:rFonts w:ascii="Sylfaen" w:hAnsi="Sylfaen"/>
          <w:sz w:val="24"/>
          <w:szCs w:val="24"/>
        </w:rPr>
        <w:t>Ռեգրեսիա», «Ոչ զուգահեռություն» եւ «Բլոկներ» ցուցանիշների համար պահանջների կատարումը պարտադիր է։</w:t>
      </w:r>
      <w:r w:rsidRPr="00B834A2">
        <w:rPr>
          <w:rStyle w:val="Bodytext31Sylfaen9"/>
          <w:sz w:val="24"/>
          <w:szCs w:val="24"/>
        </w:rPr>
        <w:t xml:space="preserve"> </w:t>
      </w:r>
      <w:r w:rsidRPr="00B834A2">
        <w:rPr>
          <w:rFonts w:ascii="Sylfaen" w:hAnsi="Sylfaen"/>
          <w:sz w:val="24"/>
          <w:szCs w:val="24"/>
        </w:rPr>
        <w:t xml:space="preserve">«Ռեգրեսիա»-ի համար Ֆիշերի չափորոշչի դիտարկվող արժեքը պետք է մեծ լինի կրիտիկական արժեքից </w:t>
      </w:r>
      <w:r w:rsidRPr="00B834A2">
        <w:rPr>
          <w:rStyle w:val="Bodytext2Italic"/>
          <w:sz w:val="24"/>
          <w:szCs w:val="24"/>
        </w:rPr>
        <w:t>(р</w:t>
      </w:r>
      <w:r w:rsidRPr="00B834A2">
        <w:rPr>
          <w:rStyle w:val="Bodytext31Sylfaen9"/>
          <w:sz w:val="24"/>
          <w:szCs w:val="24"/>
        </w:rPr>
        <w:t xml:space="preserve"> = 0,01)</w:t>
      </w:r>
      <w:r w:rsidRPr="00B834A2">
        <w:rPr>
          <w:rFonts w:ascii="Sylfaen" w:hAnsi="Sylfaen"/>
          <w:sz w:val="24"/>
          <w:szCs w:val="24"/>
        </w:rPr>
        <w:t xml:space="preserve">, իսկ «Ոչ զուգահեռության» եւ «Բլոկներ»-ի համար՝ կրիտիկական արժեքից փոքր </w:t>
      </w:r>
      <w:r w:rsidRPr="00B834A2">
        <w:rPr>
          <w:rStyle w:val="Bodytext2Italic"/>
          <w:sz w:val="24"/>
          <w:szCs w:val="24"/>
        </w:rPr>
        <w:t>(համապատասխանաբար р =</w:t>
      </w:r>
      <w:r w:rsidRPr="00B834A2">
        <w:rPr>
          <w:rStyle w:val="Bodytext31Sylfaen9"/>
          <w:sz w:val="24"/>
          <w:szCs w:val="24"/>
        </w:rPr>
        <w:t xml:space="preserve"> 0,05 եւ p</w:t>
      </w:r>
      <w:r w:rsidRPr="00B834A2">
        <w:rPr>
          <w:rStyle w:val="Bodytext2Italic"/>
          <w:sz w:val="24"/>
          <w:szCs w:val="24"/>
        </w:rPr>
        <w:t xml:space="preserve"> =</w:t>
      </w:r>
      <w:r w:rsidRPr="00B834A2">
        <w:rPr>
          <w:rStyle w:val="Bodytext31Sylfaen9"/>
          <w:sz w:val="24"/>
          <w:szCs w:val="24"/>
        </w:rPr>
        <w:t xml:space="preserve"> 0,01)</w:t>
      </w:r>
      <w:r w:rsidRPr="00B834A2">
        <w:rPr>
          <w:rFonts w:ascii="Sylfaen" w:hAnsi="Sylfaen"/>
          <w:sz w:val="24"/>
          <w:szCs w:val="24"/>
        </w:rPr>
        <w:t>։</w:t>
      </w:r>
      <w:r w:rsidRPr="00B834A2">
        <w:rPr>
          <w:rStyle w:val="Bodytext31Sylfaen9"/>
          <w:sz w:val="24"/>
          <w:szCs w:val="24"/>
        </w:rPr>
        <w:t xml:space="preserve"> </w:t>
      </w: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Ստացված արդյունքները համեմատվում են </w:t>
      </w:r>
      <w:r w:rsidRPr="00696072">
        <w:rPr>
          <w:rStyle w:val="Bodytext31Sylfaen9"/>
          <w:spacing w:val="4"/>
          <w:sz w:val="24"/>
          <w:szCs w:val="24"/>
        </w:rPr>
        <w:t>Ֆիշերի չափորոշչի աղյուսակային կրիտիկական արժեքների հետ (հավելվածի 3-րդ աղյուսակ</w:t>
      </w:r>
      <w:r w:rsidRPr="00B834A2">
        <w:rPr>
          <w:rStyle w:val="Bodytext31Sylfaen9"/>
          <w:sz w:val="24"/>
          <w:szCs w:val="24"/>
        </w:rPr>
        <w:t xml:space="preserve">)։ </w:t>
      </w:r>
      <w:r w:rsidRPr="00B834A2">
        <w:rPr>
          <w:rFonts w:ascii="Sylfaen" w:hAnsi="Sylfaen"/>
          <w:sz w:val="24"/>
          <w:szCs w:val="24"/>
        </w:rPr>
        <w:t xml:space="preserve">Ազատության աստիճանների թիվը՝ </w:t>
      </w:r>
      <w:r w:rsidRPr="00B834A2">
        <w:rPr>
          <w:rStyle w:val="Bodytext31Sylfaen9"/>
          <w:sz w:val="24"/>
          <w:szCs w:val="24"/>
        </w:rPr>
        <w:t>ƒ</w:t>
      </w:r>
      <w:r w:rsidRPr="00B834A2">
        <w:rPr>
          <w:rStyle w:val="Bodytext31Sylfaen9"/>
          <w:sz w:val="24"/>
          <w:szCs w:val="24"/>
          <w:vertAlign w:val="subscript"/>
        </w:rPr>
        <w:t>1</w:t>
      </w:r>
      <w:r w:rsidRPr="00B834A2">
        <w:rPr>
          <w:rStyle w:val="Bodytext31Sylfaen9"/>
          <w:sz w:val="24"/>
          <w:szCs w:val="24"/>
        </w:rPr>
        <w:t>=1</w:t>
      </w:r>
      <w:r>
        <w:rPr>
          <w:rStyle w:val="Bodytext31Sylfaen9"/>
          <w:sz w:val="24"/>
          <w:szCs w:val="24"/>
        </w:rPr>
        <w:t xml:space="preserve"> </w:t>
      </w:r>
      <w:r w:rsidRPr="00B834A2">
        <w:rPr>
          <w:rFonts w:ascii="Sylfaen" w:hAnsi="Sylfaen"/>
          <w:sz w:val="24"/>
          <w:szCs w:val="24"/>
        </w:rPr>
        <w:t xml:space="preserve">կամ 3, իսկ </w:t>
      </w:r>
      <w:r w:rsidRPr="00B834A2">
        <w:rPr>
          <w:rStyle w:val="Bodytext31Sylfaen9"/>
          <w:sz w:val="24"/>
          <w:szCs w:val="24"/>
        </w:rPr>
        <w:t>ƒ</w:t>
      </w:r>
      <w:r w:rsidRPr="00B834A2">
        <w:rPr>
          <w:rStyle w:val="Bodytext31Sylfaen9"/>
          <w:sz w:val="24"/>
          <w:szCs w:val="24"/>
          <w:vertAlign w:val="subscript"/>
        </w:rPr>
        <w:t>2</w:t>
      </w:r>
      <w:r w:rsidRPr="00B834A2">
        <w:rPr>
          <w:rStyle w:val="Bodytext31Sylfaen9"/>
          <w:sz w:val="24"/>
          <w:szCs w:val="24"/>
        </w:rPr>
        <w:t xml:space="preserve"> = 9։</w:t>
      </w:r>
    </w:p>
    <w:p w14:paraId="1CAD40E0"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076955">
        <w:rPr>
          <w:rStyle w:val="Bodytext31Sylfaen9"/>
          <w:i w:val="0"/>
          <w:sz w:val="24"/>
          <w:szCs w:val="24"/>
        </w:rPr>
        <w:t>Դիսպերսիոն վերլուծությունը ցույց է տվել փորձի արդյունքների պիտանիությունը</w:t>
      </w:r>
      <w:r w:rsidRPr="00B834A2">
        <w:rPr>
          <w:rStyle w:val="Bodytext31Sylfaen9"/>
          <w:sz w:val="24"/>
          <w:szCs w:val="24"/>
        </w:rPr>
        <w:t xml:space="preserve">՝ </w:t>
      </w:r>
      <w:r w:rsidRPr="00B834A2">
        <w:rPr>
          <w:rFonts w:ascii="Sylfaen" w:hAnsi="Sylfaen"/>
          <w:sz w:val="24"/>
          <w:szCs w:val="24"/>
        </w:rPr>
        <w:t>դեղաչափից կախվածության վիճակագրական նշանակալիությունը («Ռեգրեսիա»), ռեգրեսիայի երկու գծերի զուգահեռությունը («Ոչ զուգահեռություն») եւ բլոկների միջեւ վիճակագրորեն նշանակալի տարբերությունների բացակայությունը («Բլոկներ»)։</w:t>
      </w:r>
    </w:p>
    <w:p w14:paraId="3D9E90D7"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u w:val="single"/>
        </w:rPr>
      </w:pPr>
      <w:r w:rsidRPr="00B834A2">
        <w:rPr>
          <w:rStyle w:val="Bodytext31Sylfaen9"/>
          <w:sz w:val="24"/>
          <w:szCs w:val="24"/>
          <w:u w:val="single"/>
        </w:rPr>
        <w:t>Կենսաբանական ակտիվության եւ դրա վստահելի սահմանների հաշվարկումը</w:t>
      </w:r>
    </w:p>
    <w:p w14:paraId="07275C2E"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Դեղաչափերի հարաբերակցությունը հավասար է 2, հետեւաբար </w:t>
      </w:r>
      <w:r w:rsidRPr="00B834A2">
        <w:rPr>
          <w:rStyle w:val="Bodytext31Sylfaen9"/>
          <w:sz w:val="24"/>
          <w:szCs w:val="24"/>
        </w:rPr>
        <w:t>I = Ig</w:t>
      </w:r>
      <w:r w:rsidRPr="00B834A2">
        <w:rPr>
          <w:rStyle w:val="Bodytext285pt"/>
          <w:spacing w:val="0"/>
          <w:sz w:val="24"/>
          <w:szCs w:val="24"/>
        </w:rPr>
        <w:t>2,0</w:t>
      </w:r>
      <w:r w:rsidRPr="00B834A2">
        <w:rPr>
          <w:rStyle w:val="Bodytext31Sylfaen9"/>
          <w:sz w:val="24"/>
          <w:szCs w:val="24"/>
        </w:rPr>
        <w:t xml:space="preserve"> = </w:t>
      </w:r>
      <w:r w:rsidRPr="00B834A2">
        <w:rPr>
          <w:rFonts w:ascii="Sylfaen" w:hAnsi="Sylfaen"/>
          <w:sz w:val="24"/>
          <w:szCs w:val="24"/>
        </w:rPr>
        <w:t>0,3010.</w:t>
      </w:r>
    </w:p>
    <w:p w14:paraId="0C07FC8C" w14:textId="77777777" w:rsidR="00B834A2" w:rsidRPr="00B834A2" w:rsidRDefault="00000000" w:rsidP="00076955">
      <w:pPr>
        <w:pStyle w:val="Bodytext20"/>
        <w:shd w:val="clear" w:color="auto" w:fill="auto"/>
        <w:spacing w:before="0" w:after="160" w:line="360" w:lineRule="auto"/>
        <w:ind w:firstLine="567"/>
        <w:rPr>
          <w:rStyle w:val="Bodytext31Sylfaen9"/>
          <w:sz w:val="24"/>
          <w:szCs w:val="24"/>
        </w:rPr>
      </w:pPr>
      <w:r>
        <w:rPr>
          <w:rFonts w:ascii="Sylfaen" w:eastAsia="Sylfaen" w:hAnsi="Sylfaen" w:cs="Sylfaen"/>
          <w:noProof/>
          <w:sz w:val="24"/>
          <w:szCs w:val="24"/>
        </w:rPr>
        <w:lastRenderedPageBreak/>
        <w:pict w14:anchorId="2023BF3A">
          <v:group id="_x0000_s1287" style="position:absolute;left:0;text-align:left;margin-left:126.7pt;margin-top:28.9pt;width:222.4pt;height:223.7pt;z-index:251708416" coordorigin="3955,1999" coordsize="4448,4474">
            <v:rect id="_x0000_s1288" style="position:absolute;left:3955;top:1999;width:741;height:480" stroked="f">
              <v:textbox style="mso-next-textbox:#_x0000_s1288">
                <w:txbxContent>
                  <w:p w14:paraId="376D49FB" w14:textId="77777777" w:rsidR="008D6E8B" w:rsidRPr="00076955" w:rsidRDefault="008D6E8B" w:rsidP="00B834A2">
                    <w:pPr>
                      <w:jc w:val="center"/>
                      <w:rPr>
                        <w:sz w:val="16"/>
                        <w:szCs w:val="16"/>
                      </w:rPr>
                    </w:pPr>
                    <w:r w:rsidRPr="00076955">
                      <w:rPr>
                        <w:sz w:val="16"/>
                        <w:szCs w:val="16"/>
                      </w:rPr>
                      <w:t>եթե</w:t>
                    </w:r>
                  </w:p>
                </w:txbxContent>
              </v:textbox>
            </v:rect>
            <v:rect id="_x0000_s1289" style="position:absolute;left:4395;top:4804;width:2483;height:397" stroked="f">
              <v:textbox style="mso-next-textbox:#_x0000_s1289">
                <w:txbxContent>
                  <w:p w14:paraId="2521FF75" w14:textId="77777777" w:rsidR="008D6E8B" w:rsidRPr="007C4DB4" w:rsidRDefault="008D6E8B" w:rsidP="00B834A2">
                    <w:pPr>
                      <w:jc w:val="center"/>
                      <w:rPr>
                        <w:sz w:val="22"/>
                      </w:rPr>
                    </w:pPr>
                    <w:r w:rsidRPr="007C4DB4">
                      <w:rPr>
                        <w:sz w:val="14"/>
                      </w:rPr>
                      <w:t>Ակնկալվող</w:t>
                    </w:r>
                    <w:r w:rsidRPr="007C4DB4">
                      <w:rPr>
                        <w:sz w:val="6"/>
                      </w:rPr>
                      <w:t xml:space="preserve"> </w:t>
                    </w:r>
                    <w:r w:rsidRPr="007C4DB4">
                      <w:rPr>
                        <w:sz w:val="14"/>
                      </w:rPr>
                      <w:t>ակտիվությունը</w:t>
                    </w:r>
                  </w:p>
                </w:txbxContent>
              </v:textbox>
            </v:rect>
            <v:rect id="_x0000_s1290" style="position:absolute;left:5084;top:5642;width:2869;height:376" stroked="f">
              <v:textbox style="mso-next-textbox:#_x0000_s1290">
                <w:txbxContent>
                  <w:p w14:paraId="75D27E9C" w14:textId="77777777" w:rsidR="008D6E8B" w:rsidRPr="00EC51CB" w:rsidRDefault="008D6E8B" w:rsidP="00B834A2">
                    <w:pPr>
                      <w:jc w:val="center"/>
                      <w:rPr>
                        <w:sz w:val="20"/>
                      </w:rPr>
                    </w:pPr>
                    <w:r w:rsidRPr="00852397">
                      <w:rPr>
                        <w:sz w:val="14"/>
                      </w:rPr>
                      <w:t>Կենսաբանական ակտիվությունը</w:t>
                    </w:r>
                  </w:p>
                </w:txbxContent>
              </v:textbox>
            </v:rect>
            <v:rect id="_x0000_s1291" style="position:absolute;left:6964;top:6093;width:828;height:380" stroked="f">
              <v:textbox style="mso-next-textbox:#_x0000_s1291">
                <w:txbxContent>
                  <w:p w14:paraId="46219174" w14:textId="77777777" w:rsidR="008D6E8B" w:rsidRPr="00BF5243" w:rsidRDefault="008D6E8B" w:rsidP="00B834A2">
                    <w:pPr>
                      <w:jc w:val="center"/>
                      <w:rPr>
                        <w:sz w:val="16"/>
                      </w:rPr>
                    </w:pPr>
                    <w:r w:rsidRPr="00BF5243">
                      <w:rPr>
                        <w:sz w:val="16"/>
                      </w:rPr>
                      <w:t>ՄՄ/մլ</w:t>
                    </w:r>
                  </w:p>
                </w:txbxContent>
              </v:textbox>
            </v:rect>
            <v:rect id="_x0000_s1292" style="position:absolute;left:7430;top:4825;width:973;height:376" stroked="f">
              <v:textbox style="mso-next-textbox:#_x0000_s1292">
                <w:txbxContent>
                  <w:p w14:paraId="797D152C" w14:textId="77777777" w:rsidR="008D6E8B" w:rsidRPr="00076955" w:rsidRDefault="008D6E8B" w:rsidP="00B834A2">
                    <w:pPr>
                      <w:jc w:val="center"/>
                      <w:rPr>
                        <w:sz w:val="16"/>
                      </w:rPr>
                    </w:pPr>
                    <w:r w:rsidRPr="00076955">
                      <w:rPr>
                        <w:sz w:val="16"/>
                      </w:rPr>
                      <w:t>ՄՄ/մլ</w:t>
                    </w:r>
                  </w:p>
                </w:txbxContent>
              </v:textbox>
            </v:rect>
          </v:group>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166BE4D9" wp14:editId="443704F7">
            <wp:extent cx="2869622" cy="3572811"/>
            <wp:effectExtent l="19050" t="0" r="6928" b="0"/>
            <wp:docPr id="24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srcRect/>
                    <a:stretch>
                      <a:fillRect/>
                    </a:stretch>
                  </pic:blipFill>
                  <pic:spPr bwMode="auto">
                    <a:xfrm>
                      <a:off x="0" y="0"/>
                      <a:ext cx="2872485" cy="3576375"/>
                    </a:xfrm>
                    <a:prstGeom prst="rect">
                      <a:avLst/>
                    </a:prstGeom>
                    <a:noFill/>
                    <a:ln w="9525">
                      <a:noFill/>
                      <a:miter lim="800000"/>
                      <a:headEnd/>
                      <a:tailEnd/>
                    </a:ln>
                  </pic:spPr>
                </pic:pic>
              </a:graphicData>
            </a:graphic>
          </wp:inline>
        </w:drawing>
      </w:r>
    </w:p>
    <w:p w14:paraId="2970444D" w14:textId="77777777" w:rsidR="00B834A2" w:rsidRPr="00076955" w:rsidRDefault="00B834A2" w:rsidP="009A3F5E">
      <w:pPr>
        <w:pStyle w:val="Bodytext20"/>
        <w:shd w:val="clear" w:color="auto" w:fill="auto"/>
        <w:spacing w:before="0" w:after="160" w:line="360" w:lineRule="auto"/>
        <w:ind w:firstLine="567"/>
        <w:jc w:val="both"/>
        <w:rPr>
          <w:rStyle w:val="Bodytext31Sylfaen9"/>
          <w:i w:val="0"/>
          <w:sz w:val="24"/>
          <w:szCs w:val="24"/>
        </w:rPr>
      </w:pPr>
      <w:r w:rsidRPr="00076955">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52F915B6" w14:textId="77777777" w:rsidR="00B834A2" w:rsidRPr="00B834A2" w:rsidRDefault="00B834A2" w:rsidP="00076955">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0DC6510C" wp14:editId="0C20009F">
            <wp:extent cx="3084368" cy="654000"/>
            <wp:effectExtent l="19050" t="0" r="1732" b="0"/>
            <wp:docPr id="24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1" cstate="print"/>
                    <a:srcRect/>
                    <a:stretch>
                      <a:fillRect/>
                    </a:stretch>
                  </pic:blipFill>
                  <pic:spPr bwMode="auto">
                    <a:xfrm>
                      <a:off x="0" y="0"/>
                      <a:ext cx="3089807" cy="655153"/>
                    </a:xfrm>
                    <a:prstGeom prst="rect">
                      <a:avLst/>
                    </a:prstGeom>
                    <a:noFill/>
                    <a:ln w="9525">
                      <a:noFill/>
                      <a:miter lim="800000"/>
                      <a:headEnd/>
                      <a:tailEnd/>
                    </a:ln>
                  </pic:spPr>
                </pic:pic>
              </a:graphicData>
            </a:graphic>
          </wp:inline>
        </w:drawing>
      </w:r>
    </w:p>
    <w:p w14:paraId="38C2DBD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076955">
        <w:rPr>
          <w:rStyle w:val="Bodytext31Sylfaen9"/>
          <w:i w:val="0"/>
          <w:sz w:val="24"/>
          <w:szCs w:val="24"/>
        </w:rPr>
        <w:t>Փորձարկվող նմուշի կենսաբանական ակտիվության լոգարիթմական վստահելի սահմանները կազմում են -0,0185 եւ 0,0950։</w:t>
      </w:r>
      <w:r w:rsidRPr="00B834A2">
        <w:rPr>
          <w:rStyle w:val="Bodytext31Sylfaen9"/>
          <w:sz w:val="24"/>
          <w:szCs w:val="24"/>
        </w:rPr>
        <w:t xml:space="preserve"> </w:t>
      </w:r>
      <w:r w:rsidRPr="00B834A2">
        <w:rPr>
          <w:rFonts w:ascii="Sylfaen" w:hAnsi="Sylfaen"/>
          <w:sz w:val="24"/>
          <w:szCs w:val="24"/>
        </w:rPr>
        <w:t>Ստորին եւ վերին վստահելի սահմանը կազմում է 10</w:t>
      </w:r>
      <w:r w:rsidRPr="00B834A2">
        <w:rPr>
          <w:rStyle w:val="Bodytext31Sylfaen9"/>
          <w:sz w:val="24"/>
          <w:szCs w:val="24"/>
          <w:vertAlign w:val="superscript"/>
        </w:rPr>
        <w:t>lgAU+(-0,0185)</w:t>
      </w:r>
      <w:r w:rsidRPr="00B834A2">
        <w:rPr>
          <w:rFonts w:ascii="Sylfaen" w:hAnsi="Sylfaen"/>
          <w:sz w:val="24"/>
          <w:szCs w:val="24"/>
        </w:rPr>
        <w:t xml:space="preserve"> եւ 10</w:t>
      </w:r>
      <w:r w:rsidRPr="00B834A2">
        <w:rPr>
          <w:rStyle w:val="Bodytext31Sylfaen9"/>
          <w:sz w:val="24"/>
          <w:szCs w:val="24"/>
          <w:vertAlign w:val="superscript"/>
        </w:rPr>
        <w:t>lgAU+0,0950</w:t>
      </w:r>
      <w:r w:rsidRPr="00B834A2">
        <w:rPr>
          <w:rFonts w:ascii="Sylfaen" w:hAnsi="Sylfaen"/>
          <w:sz w:val="24"/>
          <w:szCs w:val="24"/>
        </w:rPr>
        <w:t>, այսինքն՝ համապատասխանաբար 4,79 ՄՄ/մլ եւ 6,22 ՄՄ/մլ։</w:t>
      </w:r>
    </w:p>
    <w:p w14:paraId="26793A40" w14:textId="77777777" w:rsidR="00B834A2" w:rsidRPr="00B834A2" w:rsidRDefault="00B834A2" w:rsidP="00076955">
      <w:pPr>
        <w:pStyle w:val="Bodytext20"/>
        <w:shd w:val="clear" w:color="auto" w:fill="auto"/>
        <w:tabs>
          <w:tab w:val="left" w:pos="1418"/>
        </w:tabs>
        <w:spacing w:before="0" w:after="160" w:line="360" w:lineRule="auto"/>
        <w:ind w:firstLine="567"/>
        <w:jc w:val="both"/>
        <w:rPr>
          <w:rFonts w:ascii="Sylfaen" w:hAnsi="Sylfaen" w:cs="Sylfaen"/>
          <w:sz w:val="24"/>
          <w:szCs w:val="24"/>
        </w:rPr>
      </w:pPr>
      <w:r w:rsidRPr="00B834A2">
        <w:rPr>
          <w:rStyle w:val="Bodytext2Italic"/>
          <w:sz w:val="24"/>
          <w:szCs w:val="24"/>
        </w:rPr>
        <w:t>3.2.4.</w:t>
      </w:r>
      <w:r w:rsidR="00076955" w:rsidRPr="00A859E3">
        <w:rPr>
          <w:rStyle w:val="Bodytext2Italic"/>
          <w:sz w:val="24"/>
          <w:szCs w:val="24"/>
        </w:rPr>
        <w:tab/>
      </w:r>
      <w:r w:rsidRPr="00B834A2">
        <w:rPr>
          <w:rStyle w:val="Bodytext2Italic"/>
          <w:sz w:val="24"/>
          <w:szCs w:val="24"/>
        </w:rPr>
        <w:t>Երկդեղաչափ լատինական քառակուսի (մեկուսացված օրգանում օքսիտոցինի կենսաբանական ակտիվության օրինակով)</w:t>
      </w:r>
    </w:p>
    <w:p w14:paraId="13BC6CFD" w14:textId="77777777" w:rsidR="00B834A2" w:rsidRPr="00076955"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076955">
        <w:rPr>
          <w:rStyle w:val="Bodytext31Sylfaen9"/>
          <w:i w:val="0"/>
          <w:sz w:val="24"/>
          <w:szCs w:val="24"/>
        </w:rPr>
        <w:t xml:space="preserve">Սննդային լուծույթով ջերմապահպանող փոքր վաննայի մեջ տեղադրված՝ առնետի արգանդի մեկուսացված եղջյուրը որպես թեստ օբյեկտ օգտագործելիս։ Մեկուսացված օրգանի արձագանքներն են օքսիտոցինի ստանդարտ նմուշի երկու կոնցենտրացիաների եւ փորձարկվող նմուշի երկու կոնցենտրացիաների՝ հավասար ծավալներով ներմուծելուց հետո իզոտոնային կծկումների </w:t>
      </w:r>
      <w:r w:rsidRPr="00076955">
        <w:rPr>
          <w:rStyle w:val="Bodytext31Sylfaen9"/>
          <w:i w:val="0"/>
          <w:sz w:val="24"/>
          <w:szCs w:val="24"/>
        </w:rPr>
        <w:lastRenderedPageBreak/>
        <w:t>մեծությունները։ Կծկումները գրանցվում են գրանցող սարքվածքի գրիչի տեղափոխման ամպլիտուդի տեսքով կամ համակարգչայնացված սարքի դեպքում</w:t>
      </w:r>
      <w:r w:rsidRPr="00B834A2">
        <w:rPr>
          <w:rStyle w:val="Bodytext31Sylfaen9"/>
          <w:sz w:val="24"/>
          <w:szCs w:val="24"/>
        </w:rPr>
        <w:t xml:space="preserve"> </w:t>
      </w:r>
      <w:r w:rsidRPr="00076955">
        <w:rPr>
          <w:rStyle w:val="Bodytext31Sylfaen9"/>
          <w:i w:val="0"/>
          <w:sz w:val="24"/>
          <w:szCs w:val="24"/>
        </w:rPr>
        <w:t>ավտոմատ կերպով գրանցվում են ծրագրային ապահովման միջոցով։ Ստանդարտ նմուշի եւ փորձարկվող նմուշի ներմուծման կարգը բերված է 3.2.4-11 աղյուսակում։</w:t>
      </w:r>
    </w:p>
    <w:p w14:paraId="3EADE12E"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076955">
        <w:rPr>
          <w:rStyle w:val="Bodytext31Sylfaen9"/>
          <w:i w:val="0"/>
          <w:sz w:val="24"/>
          <w:szCs w:val="24"/>
        </w:rPr>
        <w:t>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w:t>
      </w:r>
      <w:r w:rsidRPr="00B834A2">
        <w:rPr>
          <w:rStyle w:val="Bodytext31Sylfaen9"/>
          <w:sz w:val="24"/>
          <w:szCs w:val="24"/>
        </w:rPr>
        <w:t xml:space="preserve">։ </w:t>
      </w:r>
      <w:r w:rsidRPr="00B834A2">
        <w:rPr>
          <w:rFonts w:ascii="Sylfaen" w:hAnsi="Sylfaen"/>
          <w:sz w:val="24"/>
          <w:szCs w:val="24"/>
        </w:rPr>
        <w:t>Ընդ որում, դիսպերսիաների արժեքները հաշվարկվում են 8 աղբյուրի համար (3.2.2-14 ամփոփիչ աղյուսակ)։</w:t>
      </w:r>
    </w:p>
    <w:p w14:paraId="2FA46F30"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Այդ նպատակով 3.2.3-12 եւ 3.2.4-13 աղյուսակներում ներկայացված տվյալների, ինչպես նաեւ ուղղիչ գործակցի հիման վրա հաշվարկվում են դիսպերսիայի աղբյուրների քառակուսիների գումարները։</w:t>
      </w:r>
    </w:p>
    <w:p w14:paraId="524A573C" w14:textId="77777777" w:rsidR="00B834A2" w:rsidRPr="00B834A2" w:rsidRDefault="00B834A2" w:rsidP="00076955">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42C47D46" wp14:editId="0706B209">
            <wp:extent cx="2292927" cy="550807"/>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cstate="print"/>
                    <a:srcRect/>
                    <a:stretch>
                      <a:fillRect/>
                    </a:stretch>
                  </pic:blipFill>
                  <pic:spPr bwMode="auto">
                    <a:xfrm>
                      <a:off x="0" y="0"/>
                      <a:ext cx="2293640" cy="550978"/>
                    </a:xfrm>
                    <a:prstGeom prst="rect">
                      <a:avLst/>
                    </a:prstGeom>
                    <a:noFill/>
                    <a:ln w="9525">
                      <a:noFill/>
                      <a:miter lim="800000"/>
                      <a:headEnd/>
                      <a:tailEnd/>
                    </a:ln>
                  </pic:spPr>
                </pic:pic>
              </a:graphicData>
            </a:graphic>
          </wp:inline>
        </w:drawing>
      </w:r>
    </w:p>
    <w:p w14:paraId="090167A0"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B834A2">
        <w:rPr>
          <w:rFonts w:ascii="Sylfaen" w:hAnsi="Sylfaen"/>
          <w:sz w:val="24"/>
          <w:szCs w:val="24"/>
        </w:rPr>
        <w:t>Աղյուսակ</w:t>
      </w:r>
      <w:r>
        <w:rPr>
          <w:rFonts w:ascii="Sylfaen" w:hAnsi="Sylfaen"/>
          <w:sz w:val="24"/>
          <w:szCs w:val="24"/>
        </w:rPr>
        <w:t xml:space="preserve"> </w:t>
      </w:r>
      <w:r w:rsidRPr="00B834A2">
        <w:rPr>
          <w:rFonts w:ascii="Sylfaen" w:hAnsi="Sylfaen"/>
          <w:sz w:val="24"/>
          <w:szCs w:val="24"/>
        </w:rPr>
        <w:t>3.2.4-11. Օքսիտոցինի ստանդարտ նմուշի եւ փորձարկվող նմուշի դեղաչափերը փոքր վաննայի մեջ ներմուծելու կարգը (երկդեղաչափ լատինական քառակուսու սխեմա)</w:t>
      </w:r>
      <w:r>
        <w:rPr>
          <w:rFonts w:ascii="Sylfaen" w:hAnsi="Sylfaen"/>
          <w:sz w:val="24"/>
          <w:szCs w:val="24"/>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931"/>
        <w:gridCol w:w="912"/>
        <w:gridCol w:w="898"/>
        <w:gridCol w:w="874"/>
        <w:gridCol w:w="984"/>
      </w:tblGrid>
      <w:tr w:rsidR="00B834A2" w:rsidRPr="00076955" w14:paraId="7FE05374" w14:textId="77777777" w:rsidTr="00B834A2">
        <w:trPr>
          <w:jc w:val="center"/>
        </w:trPr>
        <w:tc>
          <w:tcPr>
            <w:tcW w:w="931" w:type="dxa"/>
            <w:tcBorders>
              <w:top w:val="single" w:sz="4" w:space="0" w:color="auto"/>
            </w:tcBorders>
            <w:shd w:val="clear" w:color="auto" w:fill="FFFFFF"/>
          </w:tcPr>
          <w:p w14:paraId="15F11BE7"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1.</w:t>
            </w:r>
          </w:p>
        </w:tc>
        <w:tc>
          <w:tcPr>
            <w:tcW w:w="912" w:type="dxa"/>
            <w:tcBorders>
              <w:top w:val="single" w:sz="4" w:space="0" w:color="auto"/>
            </w:tcBorders>
            <w:shd w:val="clear" w:color="auto" w:fill="FFFFFF"/>
          </w:tcPr>
          <w:p w14:paraId="5DC817ED"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1</w:t>
            </w:r>
          </w:p>
        </w:tc>
        <w:tc>
          <w:tcPr>
            <w:tcW w:w="898" w:type="dxa"/>
            <w:tcBorders>
              <w:top w:val="single" w:sz="4" w:space="0" w:color="auto"/>
            </w:tcBorders>
            <w:shd w:val="clear" w:color="auto" w:fill="FFFFFF"/>
          </w:tcPr>
          <w:p w14:paraId="604AC2FA"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s</w:t>
            </w:r>
            <w:r w:rsidRPr="00076955">
              <w:rPr>
                <w:rStyle w:val="Bodytext2Italic"/>
                <w:sz w:val="20"/>
                <w:szCs w:val="20"/>
                <w:vertAlign w:val="subscript"/>
              </w:rPr>
              <w:t>2</w:t>
            </w:r>
          </w:p>
        </w:tc>
        <w:tc>
          <w:tcPr>
            <w:tcW w:w="874" w:type="dxa"/>
            <w:tcBorders>
              <w:top w:val="single" w:sz="4" w:space="0" w:color="auto"/>
            </w:tcBorders>
            <w:shd w:val="clear" w:color="auto" w:fill="FFFFFF"/>
          </w:tcPr>
          <w:p w14:paraId="2F26CF88"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1</w:t>
            </w:r>
          </w:p>
        </w:tc>
        <w:tc>
          <w:tcPr>
            <w:tcW w:w="984" w:type="dxa"/>
            <w:tcBorders>
              <w:top w:val="single" w:sz="4" w:space="0" w:color="auto"/>
            </w:tcBorders>
            <w:shd w:val="clear" w:color="auto" w:fill="FFFFFF"/>
          </w:tcPr>
          <w:p w14:paraId="7EF45EA8"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2</w:t>
            </w:r>
          </w:p>
        </w:tc>
      </w:tr>
      <w:tr w:rsidR="00B834A2" w:rsidRPr="00076955" w14:paraId="5FC05AAE" w14:textId="77777777" w:rsidTr="00B834A2">
        <w:trPr>
          <w:jc w:val="center"/>
        </w:trPr>
        <w:tc>
          <w:tcPr>
            <w:tcW w:w="931" w:type="dxa"/>
            <w:shd w:val="clear" w:color="auto" w:fill="FFFFFF"/>
          </w:tcPr>
          <w:p w14:paraId="5BEE963B"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2.</w:t>
            </w:r>
          </w:p>
        </w:tc>
        <w:tc>
          <w:tcPr>
            <w:tcW w:w="912" w:type="dxa"/>
            <w:shd w:val="clear" w:color="auto" w:fill="FFFFFF"/>
          </w:tcPr>
          <w:p w14:paraId="6B063078"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u</w:t>
            </w:r>
            <w:r w:rsidRPr="00076955">
              <w:rPr>
                <w:rStyle w:val="Bodytext31Sylfaen9"/>
                <w:sz w:val="20"/>
                <w:szCs w:val="20"/>
                <w:vertAlign w:val="subscript"/>
              </w:rPr>
              <w:t>2</w:t>
            </w:r>
          </w:p>
        </w:tc>
        <w:tc>
          <w:tcPr>
            <w:tcW w:w="898" w:type="dxa"/>
            <w:shd w:val="clear" w:color="auto" w:fill="FFFFFF"/>
          </w:tcPr>
          <w:p w14:paraId="677E6008"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1</w:t>
            </w:r>
          </w:p>
        </w:tc>
        <w:tc>
          <w:tcPr>
            <w:tcW w:w="874" w:type="dxa"/>
            <w:shd w:val="clear" w:color="auto" w:fill="FFFFFF"/>
          </w:tcPr>
          <w:p w14:paraId="7636F73B"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2</w:t>
            </w:r>
          </w:p>
        </w:tc>
        <w:tc>
          <w:tcPr>
            <w:tcW w:w="984" w:type="dxa"/>
            <w:shd w:val="clear" w:color="auto" w:fill="FFFFFF"/>
          </w:tcPr>
          <w:p w14:paraId="35B79AF4"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1</w:t>
            </w:r>
          </w:p>
        </w:tc>
      </w:tr>
      <w:tr w:rsidR="00B834A2" w:rsidRPr="00076955" w14:paraId="5A014CC0" w14:textId="77777777" w:rsidTr="00B834A2">
        <w:trPr>
          <w:jc w:val="center"/>
        </w:trPr>
        <w:tc>
          <w:tcPr>
            <w:tcW w:w="931" w:type="dxa"/>
            <w:shd w:val="clear" w:color="auto" w:fill="FFFFFF"/>
          </w:tcPr>
          <w:p w14:paraId="7163AF75" w14:textId="77777777" w:rsidR="00B834A2" w:rsidRPr="00076955" w:rsidRDefault="00B834A2" w:rsidP="00076955">
            <w:pPr>
              <w:spacing w:after="120"/>
              <w:jc w:val="center"/>
              <w:rPr>
                <w:sz w:val="20"/>
                <w:szCs w:val="20"/>
              </w:rPr>
            </w:pPr>
            <w:r w:rsidRPr="00076955">
              <w:rPr>
                <w:sz w:val="20"/>
                <w:szCs w:val="20"/>
              </w:rPr>
              <w:t>3.</w:t>
            </w:r>
          </w:p>
        </w:tc>
        <w:tc>
          <w:tcPr>
            <w:tcW w:w="912" w:type="dxa"/>
            <w:shd w:val="clear" w:color="auto" w:fill="FFFFFF"/>
          </w:tcPr>
          <w:p w14:paraId="184F0B13"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1</w:t>
            </w:r>
          </w:p>
        </w:tc>
        <w:tc>
          <w:tcPr>
            <w:tcW w:w="898" w:type="dxa"/>
            <w:shd w:val="clear" w:color="auto" w:fill="FFFFFF"/>
          </w:tcPr>
          <w:p w14:paraId="2B689D36"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2</w:t>
            </w:r>
          </w:p>
        </w:tc>
        <w:tc>
          <w:tcPr>
            <w:tcW w:w="874" w:type="dxa"/>
            <w:shd w:val="clear" w:color="auto" w:fill="FFFFFF"/>
          </w:tcPr>
          <w:p w14:paraId="6763FB21"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1</w:t>
            </w:r>
          </w:p>
        </w:tc>
        <w:tc>
          <w:tcPr>
            <w:tcW w:w="984" w:type="dxa"/>
            <w:shd w:val="clear" w:color="auto" w:fill="FFFFFF"/>
          </w:tcPr>
          <w:p w14:paraId="01A60B04"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2</w:t>
            </w:r>
          </w:p>
        </w:tc>
      </w:tr>
      <w:tr w:rsidR="00B834A2" w:rsidRPr="00076955" w14:paraId="4FE5659B" w14:textId="77777777" w:rsidTr="00B834A2">
        <w:trPr>
          <w:jc w:val="center"/>
        </w:trPr>
        <w:tc>
          <w:tcPr>
            <w:tcW w:w="931" w:type="dxa"/>
            <w:tcBorders>
              <w:bottom w:val="single" w:sz="4" w:space="0" w:color="auto"/>
            </w:tcBorders>
            <w:shd w:val="clear" w:color="auto" w:fill="FFFFFF"/>
          </w:tcPr>
          <w:p w14:paraId="7EEA59B5"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4.</w:t>
            </w:r>
          </w:p>
        </w:tc>
        <w:tc>
          <w:tcPr>
            <w:tcW w:w="912" w:type="dxa"/>
            <w:tcBorders>
              <w:bottom w:val="single" w:sz="4" w:space="0" w:color="auto"/>
            </w:tcBorders>
            <w:shd w:val="clear" w:color="auto" w:fill="FFFFFF"/>
          </w:tcPr>
          <w:p w14:paraId="7F807900"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2</w:t>
            </w:r>
          </w:p>
        </w:tc>
        <w:tc>
          <w:tcPr>
            <w:tcW w:w="898" w:type="dxa"/>
            <w:tcBorders>
              <w:bottom w:val="single" w:sz="4" w:space="0" w:color="auto"/>
            </w:tcBorders>
            <w:shd w:val="clear" w:color="auto" w:fill="FFFFFF"/>
          </w:tcPr>
          <w:p w14:paraId="7EAEE5C3"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1</w:t>
            </w:r>
          </w:p>
        </w:tc>
        <w:tc>
          <w:tcPr>
            <w:tcW w:w="874" w:type="dxa"/>
            <w:tcBorders>
              <w:bottom w:val="single" w:sz="4" w:space="0" w:color="auto"/>
            </w:tcBorders>
            <w:shd w:val="clear" w:color="auto" w:fill="FFFFFF"/>
          </w:tcPr>
          <w:p w14:paraId="16B17848"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2Italic"/>
                <w:sz w:val="20"/>
                <w:szCs w:val="20"/>
              </w:rPr>
              <w:t>u</w:t>
            </w:r>
            <w:r w:rsidRPr="00076955">
              <w:rPr>
                <w:rStyle w:val="Bodytext2Italic"/>
                <w:sz w:val="20"/>
                <w:szCs w:val="20"/>
                <w:vertAlign w:val="subscript"/>
              </w:rPr>
              <w:t>2</w:t>
            </w:r>
          </w:p>
        </w:tc>
        <w:tc>
          <w:tcPr>
            <w:tcW w:w="984" w:type="dxa"/>
            <w:tcBorders>
              <w:bottom w:val="single" w:sz="4" w:space="0" w:color="auto"/>
            </w:tcBorders>
            <w:shd w:val="clear" w:color="auto" w:fill="FFFFFF"/>
          </w:tcPr>
          <w:p w14:paraId="3160212C" w14:textId="77777777" w:rsidR="00B834A2" w:rsidRPr="00076955" w:rsidRDefault="00B834A2" w:rsidP="00076955">
            <w:pPr>
              <w:pStyle w:val="Bodytext20"/>
              <w:shd w:val="clear" w:color="auto" w:fill="auto"/>
              <w:spacing w:before="0" w:line="240" w:lineRule="auto"/>
              <w:rPr>
                <w:rFonts w:ascii="Sylfaen" w:hAnsi="Sylfaen" w:cs="Sylfaen"/>
                <w:sz w:val="20"/>
                <w:szCs w:val="20"/>
              </w:rPr>
            </w:pPr>
            <w:r w:rsidRPr="00076955">
              <w:rPr>
                <w:rStyle w:val="Bodytext31Sylfaen9"/>
                <w:sz w:val="20"/>
                <w:szCs w:val="20"/>
              </w:rPr>
              <w:t>s</w:t>
            </w:r>
            <w:r w:rsidRPr="00076955">
              <w:rPr>
                <w:rStyle w:val="Bodytext31Sylfaen9"/>
                <w:sz w:val="20"/>
                <w:szCs w:val="20"/>
                <w:vertAlign w:val="subscript"/>
              </w:rPr>
              <w:t>1</w:t>
            </w:r>
          </w:p>
        </w:tc>
      </w:tr>
    </w:tbl>
    <w:p w14:paraId="2E77D63C"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466276FD" w14:textId="77777777" w:rsidR="00B834A2" w:rsidRPr="00B834A2" w:rsidRDefault="00B834A2" w:rsidP="009A3F5E">
      <w:pPr>
        <w:pStyle w:val="Tablecaption140"/>
        <w:shd w:val="clear" w:color="auto" w:fill="auto"/>
        <w:spacing w:after="160" w:line="360" w:lineRule="auto"/>
        <w:ind w:firstLine="567"/>
        <w:jc w:val="both"/>
        <w:rPr>
          <w:rFonts w:ascii="Sylfaen" w:hAnsi="Sylfaen" w:cs="Sylfaen"/>
          <w:sz w:val="24"/>
          <w:szCs w:val="24"/>
        </w:rPr>
      </w:pPr>
      <w:r w:rsidRPr="00B834A2">
        <w:rPr>
          <w:rStyle w:val="Tablecaption14NotItalic"/>
          <w:rFonts w:ascii="Sylfaen" w:eastAsia="Sylfaen" w:hAnsi="Sylfaen"/>
          <w:sz w:val="24"/>
          <w:szCs w:val="24"/>
        </w:rPr>
        <w:t xml:space="preserve">Աղյուսակ 3.2.4-12. </w:t>
      </w:r>
      <w:r w:rsidRPr="00B834A2">
        <w:rPr>
          <w:rFonts w:ascii="Sylfaen" w:hAnsi="Sylfaen"/>
          <w:sz w:val="24"/>
          <w:szCs w:val="24"/>
        </w:rPr>
        <w:t>Օքսիտոցինի ստանդարտ նմուշի եւ փորձարկվող նմուշի ներմուծման նկատմամբ մեկուսացված օրգանի (սմ) արձագանքները (երկդեղաչափ լատինական քառակուսու սխեման)</w:t>
      </w:r>
    </w:p>
    <w:tbl>
      <w:tblPr>
        <w:tblOverlap w:val="never"/>
        <w:tblW w:w="9426" w:type="dxa"/>
        <w:jc w:val="center"/>
        <w:tblLayout w:type="fixed"/>
        <w:tblCellMar>
          <w:left w:w="10" w:type="dxa"/>
          <w:right w:w="10" w:type="dxa"/>
        </w:tblCellMar>
        <w:tblLook w:val="0000" w:firstRow="0" w:lastRow="0" w:firstColumn="0" w:lastColumn="0" w:noHBand="0" w:noVBand="0"/>
      </w:tblPr>
      <w:tblGrid>
        <w:gridCol w:w="1944"/>
        <w:gridCol w:w="902"/>
        <w:gridCol w:w="1056"/>
        <w:gridCol w:w="1104"/>
        <w:gridCol w:w="1142"/>
        <w:gridCol w:w="2110"/>
        <w:gridCol w:w="1168"/>
      </w:tblGrid>
      <w:tr w:rsidR="00B834A2" w:rsidRPr="00076955" w14:paraId="69382EE1" w14:textId="77777777" w:rsidTr="006E3F41">
        <w:trPr>
          <w:tblHeader/>
          <w:jc w:val="center"/>
        </w:trPr>
        <w:tc>
          <w:tcPr>
            <w:tcW w:w="1944" w:type="dxa"/>
            <w:tcBorders>
              <w:top w:val="single" w:sz="4" w:space="0" w:color="auto"/>
            </w:tcBorders>
            <w:shd w:val="clear" w:color="auto" w:fill="FFFFFF"/>
            <w:vAlign w:val="bottom"/>
          </w:tcPr>
          <w:p w14:paraId="4A7BB4C8"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Տողը</w:t>
            </w:r>
          </w:p>
        </w:tc>
        <w:tc>
          <w:tcPr>
            <w:tcW w:w="902" w:type="dxa"/>
            <w:tcBorders>
              <w:top w:val="single" w:sz="4" w:space="0" w:color="auto"/>
            </w:tcBorders>
            <w:shd w:val="clear" w:color="auto" w:fill="FFFFFF"/>
          </w:tcPr>
          <w:p w14:paraId="06D33394" w14:textId="77777777" w:rsidR="00B834A2" w:rsidRPr="00076955" w:rsidRDefault="00B834A2" w:rsidP="00076955">
            <w:pPr>
              <w:spacing w:after="120"/>
              <w:ind w:firstLine="26"/>
              <w:jc w:val="center"/>
              <w:rPr>
                <w:sz w:val="20"/>
                <w:szCs w:val="20"/>
              </w:rPr>
            </w:pPr>
          </w:p>
        </w:tc>
        <w:tc>
          <w:tcPr>
            <w:tcW w:w="2160" w:type="dxa"/>
            <w:gridSpan w:val="2"/>
            <w:tcBorders>
              <w:top w:val="single" w:sz="4" w:space="0" w:color="auto"/>
            </w:tcBorders>
            <w:shd w:val="clear" w:color="auto" w:fill="FFFFFF"/>
            <w:vAlign w:val="bottom"/>
          </w:tcPr>
          <w:p w14:paraId="6F6E5CD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Սյունակները</w:t>
            </w:r>
          </w:p>
        </w:tc>
        <w:tc>
          <w:tcPr>
            <w:tcW w:w="1142" w:type="dxa"/>
            <w:tcBorders>
              <w:top w:val="single" w:sz="4" w:space="0" w:color="auto"/>
            </w:tcBorders>
            <w:shd w:val="clear" w:color="auto" w:fill="FFFFFF"/>
          </w:tcPr>
          <w:p w14:paraId="77ECF7DA" w14:textId="77777777" w:rsidR="00B834A2" w:rsidRPr="00076955" w:rsidRDefault="00B834A2" w:rsidP="00076955">
            <w:pPr>
              <w:spacing w:after="120"/>
              <w:ind w:firstLine="26"/>
              <w:jc w:val="center"/>
              <w:rPr>
                <w:sz w:val="20"/>
                <w:szCs w:val="20"/>
              </w:rPr>
            </w:pPr>
          </w:p>
        </w:tc>
        <w:tc>
          <w:tcPr>
            <w:tcW w:w="2110" w:type="dxa"/>
            <w:tcBorders>
              <w:top w:val="single" w:sz="4" w:space="0" w:color="auto"/>
            </w:tcBorders>
            <w:shd w:val="clear" w:color="auto" w:fill="FFFFFF"/>
            <w:vAlign w:val="bottom"/>
          </w:tcPr>
          <w:p w14:paraId="58ED4C5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Fonts w:ascii="Sylfaen" w:hAnsi="Sylfaen"/>
                <w:sz w:val="20"/>
                <w:szCs w:val="20"/>
              </w:rPr>
              <w:t>Տողերի գումարը (R)</w:t>
            </w:r>
          </w:p>
        </w:tc>
        <w:tc>
          <w:tcPr>
            <w:tcW w:w="1168" w:type="dxa"/>
            <w:tcBorders>
              <w:top w:val="single" w:sz="4" w:space="0" w:color="auto"/>
            </w:tcBorders>
            <w:shd w:val="clear" w:color="auto" w:fill="FFFFFF"/>
            <w:vAlign w:val="bottom"/>
          </w:tcPr>
          <w:p w14:paraId="2295D5CF"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R</w:t>
            </w:r>
            <w:r w:rsidRPr="00076955">
              <w:rPr>
                <w:rStyle w:val="Bodytext2Italic"/>
                <w:sz w:val="20"/>
                <w:szCs w:val="20"/>
                <w:vertAlign w:val="superscript"/>
              </w:rPr>
              <w:t>2</w:t>
            </w:r>
          </w:p>
        </w:tc>
      </w:tr>
      <w:tr w:rsidR="00B834A2" w:rsidRPr="00076955" w14:paraId="3ED3EB03" w14:textId="77777777" w:rsidTr="00076955">
        <w:trPr>
          <w:jc w:val="center"/>
        </w:trPr>
        <w:tc>
          <w:tcPr>
            <w:tcW w:w="1944" w:type="dxa"/>
            <w:tcBorders>
              <w:top w:val="single" w:sz="4" w:space="0" w:color="auto"/>
            </w:tcBorders>
            <w:shd w:val="clear" w:color="auto" w:fill="FFFFFF"/>
            <w:vAlign w:val="bottom"/>
          </w:tcPr>
          <w:p w14:paraId="2B6B4EEC"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w:t>
            </w:r>
          </w:p>
        </w:tc>
        <w:tc>
          <w:tcPr>
            <w:tcW w:w="902" w:type="dxa"/>
            <w:tcBorders>
              <w:top w:val="single" w:sz="4" w:space="0" w:color="auto"/>
            </w:tcBorders>
            <w:shd w:val="clear" w:color="auto" w:fill="FFFFFF"/>
            <w:vAlign w:val="bottom"/>
          </w:tcPr>
          <w:p w14:paraId="4EBF7DC3"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6,50</w:t>
            </w:r>
          </w:p>
        </w:tc>
        <w:tc>
          <w:tcPr>
            <w:tcW w:w="1056" w:type="dxa"/>
            <w:tcBorders>
              <w:top w:val="single" w:sz="4" w:space="0" w:color="auto"/>
            </w:tcBorders>
            <w:shd w:val="clear" w:color="auto" w:fill="FFFFFF"/>
            <w:vAlign w:val="bottom"/>
          </w:tcPr>
          <w:p w14:paraId="23488D5D"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12,45</w:t>
            </w:r>
          </w:p>
        </w:tc>
        <w:tc>
          <w:tcPr>
            <w:tcW w:w="1104" w:type="dxa"/>
            <w:tcBorders>
              <w:top w:val="single" w:sz="4" w:space="0" w:color="auto"/>
            </w:tcBorders>
            <w:shd w:val="clear" w:color="auto" w:fill="FFFFFF"/>
            <w:vAlign w:val="bottom"/>
          </w:tcPr>
          <w:p w14:paraId="3163F55D"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9,75</w:t>
            </w:r>
          </w:p>
        </w:tc>
        <w:tc>
          <w:tcPr>
            <w:tcW w:w="1142" w:type="dxa"/>
            <w:tcBorders>
              <w:top w:val="single" w:sz="4" w:space="0" w:color="auto"/>
            </w:tcBorders>
            <w:shd w:val="clear" w:color="auto" w:fill="FFFFFF"/>
            <w:vAlign w:val="bottom"/>
          </w:tcPr>
          <w:p w14:paraId="62C8BCB0"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12,5</w:t>
            </w:r>
          </w:p>
        </w:tc>
        <w:tc>
          <w:tcPr>
            <w:tcW w:w="2110" w:type="dxa"/>
            <w:tcBorders>
              <w:top w:val="single" w:sz="4" w:space="0" w:color="auto"/>
            </w:tcBorders>
            <w:shd w:val="clear" w:color="auto" w:fill="FFFFFF"/>
          </w:tcPr>
          <w:p w14:paraId="49FB85D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R</w:t>
            </w:r>
            <w:r w:rsidRPr="00076955">
              <w:rPr>
                <w:rStyle w:val="Bodytext31Sylfaen9"/>
                <w:sz w:val="20"/>
                <w:szCs w:val="20"/>
                <w:vertAlign w:val="subscript"/>
              </w:rPr>
              <w:t>1</w:t>
            </w:r>
            <w:r w:rsidRPr="00076955">
              <w:rPr>
                <w:rStyle w:val="Bodytext31Sylfaen9"/>
                <w:sz w:val="20"/>
                <w:szCs w:val="20"/>
              </w:rPr>
              <w:t>= 41,20</w:t>
            </w:r>
          </w:p>
        </w:tc>
        <w:tc>
          <w:tcPr>
            <w:tcW w:w="1168" w:type="dxa"/>
            <w:tcBorders>
              <w:top w:val="single" w:sz="4" w:space="0" w:color="auto"/>
            </w:tcBorders>
            <w:shd w:val="clear" w:color="auto" w:fill="FFFFFF"/>
            <w:vAlign w:val="bottom"/>
          </w:tcPr>
          <w:p w14:paraId="514AD4D6"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1697,44</w:t>
            </w:r>
          </w:p>
        </w:tc>
      </w:tr>
      <w:tr w:rsidR="00B834A2" w:rsidRPr="00076955" w14:paraId="4B246777" w14:textId="77777777" w:rsidTr="00076955">
        <w:trPr>
          <w:jc w:val="center"/>
        </w:trPr>
        <w:tc>
          <w:tcPr>
            <w:tcW w:w="1944" w:type="dxa"/>
            <w:shd w:val="clear" w:color="auto" w:fill="FFFFFF"/>
            <w:vAlign w:val="bottom"/>
          </w:tcPr>
          <w:p w14:paraId="62EBA0B0"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2.</w:t>
            </w:r>
          </w:p>
        </w:tc>
        <w:tc>
          <w:tcPr>
            <w:tcW w:w="902" w:type="dxa"/>
            <w:shd w:val="clear" w:color="auto" w:fill="FFFFFF"/>
            <w:vAlign w:val="bottom"/>
          </w:tcPr>
          <w:p w14:paraId="04806E89"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12,20</w:t>
            </w:r>
          </w:p>
        </w:tc>
        <w:tc>
          <w:tcPr>
            <w:tcW w:w="1056" w:type="dxa"/>
            <w:shd w:val="clear" w:color="auto" w:fill="FFFFFF"/>
            <w:vAlign w:val="bottom"/>
          </w:tcPr>
          <w:p w14:paraId="4E1D3524"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5,35</w:t>
            </w:r>
          </w:p>
        </w:tc>
        <w:tc>
          <w:tcPr>
            <w:tcW w:w="1104" w:type="dxa"/>
            <w:shd w:val="clear" w:color="auto" w:fill="FFFFFF"/>
            <w:vAlign w:val="bottom"/>
          </w:tcPr>
          <w:p w14:paraId="518C88D5"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12,70</w:t>
            </w:r>
          </w:p>
        </w:tc>
        <w:tc>
          <w:tcPr>
            <w:tcW w:w="1142" w:type="dxa"/>
            <w:shd w:val="clear" w:color="auto" w:fill="FFFFFF"/>
            <w:vAlign w:val="bottom"/>
          </w:tcPr>
          <w:p w14:paraId="176A3CA8"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6,10</w:t>
            </w:r>
          </w:p>
        </w:tc>
        <w:tc>
          <w:tcPr>
            <w:tcW w:w="2110" w:type="dxa"/>
            <w:shd w:val="clear" w:color="auto" w:fill="FFFFFF"/>
            <w:vAlign w:val="bottom"/>
          </w:tcPr>
          <w:p w14:paraId="61A5B45F"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R</w:t>
            </w:r>
            <w:r w:rsidRPr="00076955">
              <w:rPr>
                <w:rStyle w:val="Bodytext31Sylfaen9"/>
                <w:sz w:val="20"/>
                <w:szCs w:val="20"/>
                <w:vertAlign w:val="subscript"/>
              </w:rPr>
              <w:t>2</w:t>
            </w:r>
            <w:r w:rsidRPr="00076955">
              <w:rPr>
                <w:rStyle w:val="Bodytext31Sylfaen9"/>
                <w:sz w:val="20"/>
                <w:szCs w:val="20"/>
              </w:rPr>
              <w:t xml:space="preserve"> =36,35</w:t>
            </w:r>
          </w:p>
        </w:tc>
        <w:tc>
          <w:tcPr>
            <w:tcW w:w="1168" w:type="dxa"/>
            <w:shd w:val="clear" w:color="auto" w:fill="FFFFFF"/>
            <w:vAlign w:val="bottom"/>
          </w:tcPr>
          <w:p w14:paraId="2D059B5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1321,32</w:t>
            </w:r>
          </w:p>
        </w:tc>
      </w:tr>
      <w:tr w:rsidR="00B834A2" w:rsidRPr="00076955" w14:paraId="1B95F3CE" w14:textId="77777777" w:rsidTr="00076955">
        <w:trPr>
          <w:jc w:val="center"/>
        </w:trPr>
        <w:tc>
          <w:tcPr>
            <w:tcW w:w="1944" w:type="dxa"/>
            <w:shd w:val="clear" w:color="auto" w:fill="FFFFFF"/>
            <w:vAlign w:val="bottom"/>
          </w:tcPr>
          <w:p w14:paraId="4EA20F6E"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lastRenderedPageBreak/>
              <w:t>3.</w:t>
            </w:r>
          </w:p>
        </w:tc>
        <w:tc>
          <w:tcPr>
            <w:tcW w:w="902" w:type="dxa"/>
            <w:shd w:val="clear" w:color="auto" w:fill="FFFFFF"/>
            <w:vAlign w:val="bottom"/>
          </w:tcPr>
          <w:p w14:paraId="3A36C893"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6,40</w:t>
            </w:r>
          </w:p>
        </w:tc>
        <w:tc>
          <w:tcPr>
            <w:tcW w:w="1056" w:type="dxa"/>
            <w:shd w:val="clear" w:color="auto" w:fill="FFFFFF"/>
            <w:vAlign w:val="bottom"/>
          </w:tcPr>
          <w:p w14:paraId="62B99288"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12,30</w:t>
            </w:r>
          </w:p>
        </w:tc>
        <w:tc>
          <w:tcPr>
            <w:tcW w:w="1104" w:type="dxa"/>
            <w:shd w:val="clear" w:color="auto" w:fill="FFFFFF"/>
            <w:vAlign w:val="bottom"/>
          </w:tcPr>
          <w:p w14:paraId="0437512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5,25</w:t>
            </w:r>
          </w:p>
        </w:tc>
        <w:tc>
          <w:tcPr>
            <w:tcW w:w="1142" w:type="dxa"/>
            <w:shd w:val="clear" w:color="auto" w:fill="FFFFFF"/>
            <w:vAlign w:val="bottom"/>
          </w:tcPr>
          <w:p w14:paraId="59315EFF"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12,85</w:t>
            </w:r>
          </w:p>
        </w:tc>
        <w:tc>
          <w:tcPr>
            <w:tcW w:w="2110" w:type="dxa"/>
            <w:shd w:val="clear" w:color="auto" w:fill="FFFFFF"/>
            <w:vAlign w:val="bottom"/>
          </w:tcPr>
          <w:p w14:paraId="561632F4"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R</w:t>
            </w:r>
            <w:r w:rsidRPr="00076955">
              <w:rPr>
                <w:rStyle w:val="Bodytext31Sylfaen9"/>
                <w:sz w:val="20"/>
                <w:szCs w:val="20"/>
                <w:vertAlign w:val="subscript"/>
              </w:rPr>
              <w:t>3</w:t>
            </w:r>
            <w:r w:rsidRPr="00076955">
              <w:rPr>
                <w:rStyle w:val="Bodytext31Sylfaen9"/>
                <w:sz w:val="20"/>
                <w:szCs w:val="20"/>
              </w:rPr>
              <w:t xml:space="preserve"> =36,80</w:t>
            </w:r>
          </w:p>
        </w:tc>
        <w:tc>
          <w:tcPr>
            <w:tcW w:w="1168" w:type="dxa"/>
            <w:shd w:val="clear" w:color="auto" w:fill="FFFFFF"/>
            <w:vAlign w:val="bottom"/>
          </w:tcPr>
          <w:p w14:paraId="2CAD9E1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1354,24</w:t>
            </w:r>
          </w:p>
        </w:tc>
      </w:tr>
      <w:tr w:rsidR="00B834A2" w:rsidRPr="00076955" w14:paraId="1D781997" w14:textId="77777777" w:rsidTr="00076955">
        <w:trPr>
          <w:jc w:val="center"/>
        </w:trPr>
        <w:tc>
          <w:tcPr>
            <w:tcW w:w="1944" w:type="dxa"/>
            <w:shd w:val="clear" w:color="auto" w:fill="FFFFFF"/>
            <w:vAlign w:val="bottom"/>
          </w:tcPr>
          <w:p w14:paraId="62B6E273"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4.</w:t>
            </w:r>
          </w:p>
        </w:tc>
        <w:tc>
          <w:tcPr>
            <w:tcW w:w="902" w:type="dxa"/>
            <w:shd w:val="clear" w:color="auto" w:fill="FFFFFF"/>
            <w:vAlign w:val="bottom"/>
          </w:tcPr>
          <w:p w14:paraId="1D1A53F6"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12,80</w:t>
            </w:r>
          </w:p>
        </w:tc>
        <w:tc>
          <w:tcPr>
            <w:tcW w:w="1056" w:type="dxa"/>
            <w:shd w:val="clear" w:color="auto" w:fill="FFFFFF"/>
            <w:vAlign w:val="bottom"/>
          </w:tcPr>
          <w:p w14:paraId="1613B35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5,70</w:t>
            </w:r>
          </w:p>
        </w:tc>
        <w:tc>
          <w:tcPr>
            <w:tcW w:w="1104" w:type="dxa"/>
            <w:shd w:val="clear" w:color="auto" w:fill="FFFFFF"/>
            <w:vAlign w:val="bottom"/>
          </w:tcPr>
          <w:p w14:paraId="0CD432E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11,55</w:t>
            </w:r>
          </w:p>
        </w:tc>
        <w:tc>
          <w:tcPr>
            <w:tcW w:w="1142" w:type="dxa"/>
            <w:shd w:val="clear" w:color="auto" w:fill="FFFFFF"/>
            <w:vAlign w:val="bottom"/>
          </w:tcPr>
          <w:p w14:paraId="43B18C0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4,30</w:t>
            </w:r>
          </w:p>
        </w:tc>
        <w:tc>
          <w:tcPr>
            <w:tcW w:w="2110" w:type="dxa"/>
            <w:shd w:val="clear" w:color="auto" w:fill="FFFFFF"/>
          </w:tcPr>
          <w:p w14:paraId="0D55C6A8"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R</w:t>
            </w:r>
            <w:r w:rsidRPr="00076955">
              <w:rPr>
                <w:rStyle w:val="Bodytext31Sylfaen9"/>
                <w:sz w:val="20"/>
                <w:szCs w:val="20"/>
                <w:vertAlign w:val="subscript"/>
              </w:rPr>
              <w:t>4</w:t>
            </w:r>
            <w:r w:rsidRPr="00076955">
              <w:rPr>
                <w:rStyle w:val="Bodytext31Sylfaen9"/>
                <w:sz w:val="20"/>
                <w:szCs w:val="20"/>
              </w:rPr>
              <w:t>= 34,35</w:t>
            </w:r>
          </w:p>
        </w:tc>
        <w:tc>
          <w:tcPr>
            <w:tcW w:w="1168" w:type="dxa"/>
            <w:shd w:val="clear" w:color="auto" w:fill="FFFFFF"/>
            <w:vAlign w:val="bottom"/>
          </w:tcPr>
          <w:p w14:paraId="2EB2D3E7"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1179,92</w:t>
            </w:r>
          </w:p>
        </w:tc>
      </w:tr>
      <w:tr w:rsidR="00B834A2" w:rsidRPr="00076955" w14:paraId="6EF1F35F" w14:textId="77777777" w:rsidTr="00076955">
        <w:trPr>
          <w:jc w:val="center"/>
        </w:trPr>
        <w:tc>
          <w:tcPr>
            <w:tcW w:w="1944" w:type="dxa"/>
            <w:shd w:val="clear" w:color="auto" w:fill="FFFFFF"/>
            <w:vAlign w:val="bottom"/>
          </w:tcPr>
          <w:p w14:paraId="237A7313"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Սյունակների գումարը (С)</w:t>
            </w:r>
          </w:p>
        </w:tc>
        <w:tc>
          <w:tcPr>
            <w:tcW w:w="902" w:type="dxa"/>
            <w:shd w:val="clear" w:color="auto" w:fill="FFFFFF"/>
            <w:vAlign w:val="bottom"/>
          </w:tcPr>
          <w:p w14:paraId="2B9D62BD"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37,90</w:t>
            </w:r>
          </w:p>
        </w:tc>
        <w:tc>
          <w:tcPr>
            <w:tcW w:w="1056" w:type="dxa"/>
            <w:shd w:val="clear" w:color="auto" w:fill="FFFFFF"/>
            <w:vAlign w:val="bottom"/>
          </w:tcPr>
          <w:p w14:paraId="4FE1C766"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35,80</w:t>
            </w:r>
          </w:p>
        </w:tc>
        <w:tc>
          <w:tcPr>
            <w:tcW w:w="1104" w:type="dxa"/>
            <w:shd w:val="clear" w:color="auto" w:fill="FFFFFF"/>
            <w:vAlign w:val="bottom"/>
          </w:tcPr>
          <w:p w14:paraId="23AB6C9F"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39,25</w:t>
            </w:r>
          </w:p>
        </w:tc>
        <w:tc>
          <w:tcPr>
            <w:tcW w:w="1142" w:type="dxa"/>
            <w:shd w:val="clear" w:color="auto" w:fill="FFFFFF"/>
            <w:vAlign w:val="bottom"/>
          </w:tcPr>
          <w:p w14:paraId="0272DE11"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35,75</w:t>
            </w:r>
          </w:p>
        </w:tc>
        <w:tc>
          <w:tcPr>
            <w:tcW w:w="2110" w:type="dxa"/>
            <w:shd w:val="clear" w:color="auto" w:fill="FFFFFF"/>
          </w:tcPr>
          <w:p w14:paraId="0BBDDE89" w14:textId="77777777" w:rsidR="00B834A2" w:rsidRPr="00076955" w:rsidRDefault="00B834A2" w:rsidP="00076955">
            <w:pPr>
              <w:spacing w:after="120"/>
              <w:ind w:firstLine="26"/>
              <w:jc w:val="center"/>
              <w:rPr>
                <w:sz w:val="20"/>
                <w:szCs w:val="20"/>
              </w:rPr>
            </w:pPr>
          </w:p>
        </w:tc>
        <w:tc>
          <w:tcPr>
            <w:tcW w:w="1168" w:type="dxa"/>
            <w:shd w:val="clear" w:color="auto" w:fill="FFFFFF"/>
            <w:vAlign w:val="bottom"/>
          </w:tcPr>
          <w:p w14:paraId="0E0EF5A2"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2Italic"/>
                <w:sz w:val="20"/>
                <w:szCs w:val="20"/>
              </w:rPr>
              <w:t>ΣR</w:t>
            </w:r>
            <w:r w:rsidRPr="00076955">
              <w:rPr>
                <w:rStyle w:val="Bodytext2Italic"/>
                <w:sz w:val="20"/>
                <w:szCs w:val="20"/>
                <w:vertAlign w:val="superscript"/>
              </w:rPr>
              <w:t>2</w:t>
            </w:r>
            <w:r w:rsidRPr="00076955">
              <w:rPr>
                <w:rStyle w:val="Bodytext31Sylfaen9"/>
                <w:sz w:val="20"/>
                <w:szCs w:val="20"/>
              </w:rPr>
              <w:t>=5552,925</w:t>
            </w:r>
          </w:p>
        </w:tc>
      </w:tr>
      <w:tr w:rsidR="00B834A2" w:rsidRPr="00076955" w14:paraId="6FE79CA8" w14:textId="77777777" w:rsidTr="00B834A2">
        <w:trPr>
          <w:jc w:val="center"/>
        </w:trPr>
        <w:tc>
          <w:tcPr>
            <w:tcW w:w="1944" w:type="dxa"/>
            <w:tcBorders>
              <w:top w:val="single" w:sz="4" w:space="0" w:color="auto"/>
              <w:bottom w:val="single" w:sz="4" w:space="0" w:color="auto"/>
            </w:tcBorders>
            <w:shd w:val="clear" w:color="auto" w:fill="FFFFFF"/>
          </w:tcPr>
          <w:p w14:paraId="531288EC"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С</w:t>
            </w:r>
            <w:r w:rsidRPr="00076955">
              <w:rPr>
                <w:rStyle w:val="Bodytext31Sylfaen9"/>
                <w:sz w:val="20"/>
                <w:szCs w:val="20"/>
                <w:vertAlign w:val="superscript"/>
              </w:rPr>
              <w:t>2</w:t>
            </w:r>
          </w:p>
        </w:tc>
        <w:tc>
          <w:tcPr>
            <w:tcW w:w="902" w:type="dxa"/>
            <w:tcBorders>
              <w:top w:val="single" w:sz="4" w:space="0" w:color="auto"/>
              <w:bottom w:val="single" w:sz="4" w:space="0" w:color="auto"/>
            </w:tcBorders>
            <w:shd w:val="clear" w:color="auto" w:fill="FFFFFF"/>
          </w:tcPr>
          <w:p w14:paraId="091B9C48"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1436,41</w:t>
            </w:r>
          </w:p>
        </w:tc>
        <w:tc>
          <w:tcPr>
            <w:tcW w:w="1056" w:type="dxa"/>
            <w:tcBorders>
              <w:top w:val="single" w:sz="4" w:space="0" w:color="auto"/>
              <w:bottom w:val="single" w:sz="4" w:space="0" w:color="auto"/>
            </w:tcBorders>
            <w:shd w:val="clear" w:color="auto" w:fill="FFFFFF"/>
          </w:tcPr>
          <w:p w14:paraId="034721C5"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1281,64</w:t>
            </w:r>
          </w:p>
        </w:tc>
        <w:tc>
          <w:tcPr>
            <w:tcW w:w="1104" w:type="dxa"/>
            <w:tcBorders>
              <w:top w:val="single" w:sz="4" w:space="0" w:color="auto"/>
              <w:bottom w:val="single" w:sz="4" w:space="0" w:color="auto"/>
            </w:tcBorders>
            <w:shd w:val="clear" w:color="auto" w:fill="FFFFFF"/>
          </w:tcPr>
          <w:p w14:paraId="5AE72B1A"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1540,56</w:t>
            </w:r>
          </w:p>
        </w:tc>
        <w:tc>
          <w:tcPr>
            <w:tcW w:w="1142" w:type="dxa"/>
            <w:tcBorders>
              <w:top w:val="single" w:sz="4" w:space="0" w:color="auto"/>
              <w:bottom w:val="single" w:sz="4" w:space="0" w:color="auto"/>
            </w:tcBorders>
            <w:shd w:val="clear" w:color="auto" w:fill="FFFFFF"/>
          </w:tcPr>
          <w:p w14:paraId="716D688D"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1278,063</w:t>
            </w:r>
          </w:p>
        </w:tc>
        <w:tc>
          <w:tcPr>
            <w:tcW w:w="3278" w:type="dxa"/>
            <w:gridSpan w:val="2"/>
            <w:tcBorders>
              <w:top w:val="single" w:sz="4" w:space="0" w:color="auto"/>
              <w:bottom w:val="single" w:sz="4" w:space="0" w:color="auto"/>
            </w:tcBorders>
            <w:shd w:val="clear" w:color="auto" w:fill="FFFFFF"/>
          </w:tcPr>
          <w:p w14:paraId="0D50CD7B" w14:textId="77777777" w:rsidR="00B834A2" w:rsidRPr="00076955" w:rsidRDefault="00B834A2" w:rsidP="00076955">
            <w:pPr>
              <w:pStyle w:val="Bodytext20"/>
              <w:shd w:val="clear" w:color="auto" w:fill="auto"/>
              <w:spacing w:before="0" w:line="240" w:lineRule="auto"/>
              <w:ind w:firstLine="26"/>
              <w:rPr>
                <w:rFonts w:ascii="Sylfaen" w:hAnsi="Sylfaen" w:cs="Sylfaen"/>
                <w:sz w:val="20"/>
                <w:szCs w:val="20"/>
              </w:rPr>
            </w:pPr>
            <w:r w:rsidRPr="00076955">
              <w:rPr>
                <w:rStyle w:val="Bodytext31Sylfaen9"/>
                <w:sz w:val="20"/>
                <w:szCs w:val="20"/>
              </w:rPr>
              <w:t>ΣC</w:t>
            </w:r>
            <w:r w:rsidRPr="00076955">
              <w:rPr>
                <w:rStyle w:val="Bodytext31Sylfaen9"/>
                <w:sz w:val="20"/>
                <w:szCs w:val="20"/>
                <w:vertAlign w:val="superscript"/>
              </w:rPr>
              <w:t>2</w:t>
            </w:r>
            <w:r w:rsidRPr="00076955">
              <w:rPr>
                <w:rStyle w:val="Bodytext31Sylfaen9"/>
                <w:sz w:val="20"/>
                <w:szCs w:val="20"/>
              </w:rPr>
              <w:t>=5536, ,675</w:t>
            </w:r>
          </w:p>
        </w:tc>
      </w:tr>
    </w:tbl>
    <w:p w14:paraId="2371C2F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5E51EB07" w14:textId="77777777" w:rsidR="00B834A2" w:rsidRDefault="00B834A2" w:rsidP="009A3F5E">
      <w:pPr>
        <w:pStyle w:val="Tablecaption20"/>
        <w:shd w:val="clear" w:color="auto" w:fill="auto"/>
        <w:spacing w:before="0" w:after="160" w:line="360" w:lineRule="auto"/>
        <w:ind w:firstLine="567"/>
        <w:rPr>
          <w:rFonts w:ascii="Sylfaen" w:hAnsi="Sylfaen"/>
          <w:sz w:val="24"/>
          <w:szCs w:val="24"/>
        </w:rPr>
      </w:pPr>
      <w:r w:rsidRPr="00076955">
        <w:rPr>
          <w:rStyle w:val="Bodytext310pt"/>
          <w:b w:val="0"/>
          <w:sz w:val="24"/>
          <w:szCs w:val="24"/>
        </w:rPr>
        <w:t>Աղյուսակ 3.2.4-13</w:t>
      </w:r>
      <w:r w:rsidRPr="00B834A2">
        <w:rPr>
          <w:rStyle w:val="Bodytext310pt"/>
          <w:sz w:val="24"/>
          <w:szCs w:val="24"/>
        </w:rPr>
        <w:t xml:space="preserve">. </w:t>
      </w:r>
      <w:r w:rsidRPr="00B834A2">
        <w:rPr>
          <w:rFonts w:ascii="Sylfaen" w:hAnsi="Sylfaen"/>
          <w:sz w:val="24"/>
          <w:szCs w:val="24"/>
        </w:rPr>
        <w:t>Արձագանքների գումարներն ու կոնտրաստները (երկդեղաչափ լատինական քառակուսու սխեման)</w:t>
      </w:r>
    </w:p>
    <w:tbl>
      <w:tblPr>
        <w:tblW w:w="0" w:type="auto"/>
        <w:jc w:val="center"/>
        <w:tblLayout w:type="fixed"/>
        <w:tblCellMar>
          <w:left w:w="10" w:type="dxa"/>
          <w:right w:w="10" w:type="dxa"/>
        </w:tblCellMar>
        <w:tblLook w:val="0000" w:firstRow="0" w:lastRow="0" w:firstColumn="0" w:lastColumn="0" w:noHBand="0" w:noVBand="0"/>
      </w:tblPr>
      <w:tblGrid>
        <w:gridCol w:w="2277"/>
        <w:gridCol w:w="2410"/>
        <w:gridCol w:w="2837"/>
        <w:gridCol w:w="2129"/>
      </w:tblGrid>
      <w:tr w:rsidR="00B834A2" w:rsidRPr="00076955" w14:paraId="1457970C" w14:textId="77777777" w:rsidTr="00696072">
        <w:trPr>
          <w:trHeight w:val="777"/>
          <w:jc w:val="center"/>
        </w:trPr>
        <w:tc>
          <w:tcPr>
            <w:tcW w:w="2277" w:type="dxa"/>
            <w:tcBorders>
              <w:top w:val="single" w:sz="4" w:space="0" w:color="auto"/>
              <w:bottom w:val="single" w:sz="4" w:space="0" w:color="auto"/>
            </w:tcBorders>
            <w:shd w:val="clear" w:color="auto" w:fill="auto"/>
            <w:vAlign w:val="center"/>
          </w:tcPr>
          <w:p w14:paraId="07B24F34" w14:textId="77777777" w:rsidR="00B834A2" w:rsidRPr="00076955" w:rsidRDefault="00B834A2" w:rsidP="00076955">
            <w:pPr>
              <w:pStyle w:val="Bodytext20"/>
              <w:shd w:val="clear" w:color="auto" w:fill="auto"/>
              <w:spacing w:before="0" w:line="240" w:lineRule="auto"/>
              <w:ind w:hanging="2"/>
              <w:rPr>
                <w:rStyle w:val="Bodytext285pt"/>
                <w:spacing w:val="0"/>
                <w:sz w:val="20"/>
                <w:szCs w:val="20"/>
              </w:rPr>
            </w:pPr>
          </w:p>
        </w:tc>
        <w:tc>
          <w:tcPr>
            <w:tcW w:w="2410" w:type="dxa"/>
            <w:tcBorders>
              <w:top w:val="single" w:sz="4" w:space="0" w:color="auto"/>
            </w:tcBorders>
            <w:shd w:val="clear" w:color="auto" w:fill="FFFFFF"/>
            <w:vAlign w:val="center"/>
          </w:tcPr>
          <w:p w14:paraId="5E952155" w14:textId="77777777" w:rsidR="00B834A2" w:rsidRPr="00076955" w:rsidRDefault="00B834A2" w:rsidP="00076955">
            <w:pPr>
              <w:pStyle w:val="Tablecaption20"/>
              <w:shd w:val="clear" w:color="auto" w:fill="auto"/>
              <w:spacing w:before="0" w:after="160" w:line="360" w:lineRule="auto"/>
              <w:ind w:hanging="2"/>
              <w:jc w:val="center"/>
              <w:rPr>
                <w:rFonts w:ascii="Sylfaen" w:hAnsi="Sylfaen" w:cs="Sylfaen"/>
                <w:sz w:val="20"/>
                <w:szCs w:val="20"/>
                <w:highlight w:val="yellow"/>
              </w:rPr>
            </w:pPr>
            <w:r w:rsidRPr="00076955">
              <w:rPr>
                <w:rStyle w:val="Bodytext285pt"/>
                <w:spacing w:val="0"/>
                <w:sz w:val="20"/>
                <w:szCs w:val="20"/>
              </w:rPr>
              <w:t xml:space="preserve">S </w:t>
            </w:r>
            <w:r w:rsidR="00076955" w:rsidRPr="00076955">
              <w:rPr>
                <w:rFonts w:ascii="Sylfaen" w:hAnsi="Sylfaen"/>
                <w:sz w:val="20"/>
                <w:szCs w:val="24"/>
              </w:rPr>
              <w:t>Ստանդարդ նմուշ</w:t>
            </w:r>
          </w:p>
        </w:tc>
        <w:tc>
          <w:tcPr>
            <w:tcW w:w="2837" w:type="dxa"/>
            <w:tcBorders>
              <w:top w:val="single" w:sz="4" w:space="0" w:color="auto"/>
            </w:tcBorders>
            <w:shd w:val="clear" w:color="auto" w:fill="FFFFFF"/>
            <w:vAlign w:val="center"/>
          </w:tcPr>
          <w:p w14:paraId="1A2C9080" w14:textId="77777777" w:rsidR="00B834A2" w:rsidRPr="00076955" w:rsidRDefault="00B834A2" w:rsidP="00076955">
            <w:pPr>
              <w:pStyle w:val="Bodytext20"/>
              <w:shd w:val="clear" w:color="auto" w:fill="auto"/>
              <w:spacing w:before="0" w:line="240" w:lineRule="auto"/>
              <w:ind w:hanging="2"/>
              <w:rPr>
                <w:rFonts w:ascii="Sylfaen" w:hAnsi="Sylfaen" w:cs="Sylfaen"/>
                <w:sz w:val="20"/>
                <w:szCs w:val="20"/>
                <w:highlight w:val="yellow"/>
              </w:rPr>
            </w:pPr>
            <w:r w:rsidRPr="00076955">
              <w:rPr>
                <w:rFonts w:ascii="Sylfaen" w:hAnsi="Sylfaen"/>
                <w:sz w:val="20"/>
                <w:szCs w:val="20"/>
              </w:rPr>
              <w:t>U փորձարկվող նմուշը</w:t>
            </w:r>
          </w:p>
        </w:tc>
        <w:tc>
          <w:tcPr>
            <w:tcW w:w="2129" w:type="dxa"/>
            <w:tcBorders>
              <w:top w:val="single" w:sz="4" w:space="0" w:color="auto"/>
            </w:tcBorders>
            <w:shd w:val="clear" w:color="auto" w:fill="FFFFFF"/>
            <w:vAlign w:val="center"/>
          </w:tcPr>
          <w:p w14:paraId="3AB03114" w14:textId="77777777" w:rsidR="00B834A2" w:rsidRPr="00076955" w:rsidRDefault="00076955" w:rsidP="00076955">
            <w:pPr>
              <w:pStyle w:val="Tablecaption20"/>
              <w:shd w:val="clear" w:color="auto" w:fill="auto"/>
              <w:spacing w:before="0" w:after="160" w:line="360" w:lineRule="auto"/>
              <w:ind w:firstLine="567"/>
              <w:rPr>
                <w:rFonts w:ascii="Sylfaen" w:hAnsi="Sylfaen" w:cs="Sylfaen"/>
                <w:sz w:val="20"/>
                <w:szCs w:val="20"/>
                <w:highlight w:val="yellow"/>
              </w:rPr>
            </w:pPr>
            <w:r w:rsidRPr="00076955">
              <w:rPr>
                <w:rFonts w:ascii="Sylfaen" w:hAnsi="Sylfaen"/>
                <w:sz w:val="20"/>
                <w:szCs w:val="24"/>
              </w:rPr>
              <w:t>Գումար</w:t>
            </w:r>
          </w:p>
        </w:tc>
      </w:tr>
      <w:tr w:rsidR="00B834A2" w:rsidRPr="00076955" w14:paraId="798C07CE" w14:textId="77777777" w:rsidTr="00696072">
        <w:trPr>
          <w:jc w:val="center"/>
        </w:trPr>
        <w:tc>
          <w:tcPr>
            <w:tcW w:w="2277" w:type="dxa"/>
            <w:tcBorders>
              <w:top w:val="single" w:sz="4" w:space="0" w:color="auto"/>
            </w:tcBorders>
            <w:shd w:val="clear" w:color="auto" w:fill="auto"/>
          </w:tcPr>
          <w:p w14:paraId="7F4A6579" w14:textId="77777777" w:rsidR="00B834A2" w:rsidRPr="00076955" w:rsidRDefault="00B834A2" w:rsidP="00076955">
            <w:pPr>
              <w:pStyle w:val="Bodytext20"/>
              <w:shd w:val="clear" w:color="auto" w:fill="auto"/>
              <w:spacing w:before="0" w:line="240" w:lineRule="auto"/>
              <w:ind w:hanging="2"/>
              <w:jc w:val="both"/>
              <w:rPr>
                <w:rStyle w:val="Bodytext31Sylfaen9"/>
                <w:sz w:val="20"/>
                <w:szCs w:val="20"/>
              </w:rPr>
            </w:pPr>
            <w:r w:rsidRPr="00076955">
              <w:rPr>
                <w:rStyle w:val="Bodytext31Sylfaen9"/>
                <w:sz w:val="20"/>
                <w:szCs w:val="20"/>
              </w:rPr>
              <w:t>Փոքր դեղաչափը</w:t>
            </w:r>
          </w:p>
        </w:tc>
        <w:tc>
          <w:tcPr>
            <w:tcW w:w="2410" w:type="dxa"/>
            <w:tcBorders>
              <w:top w:val="single" w:sz="4" w:space="0" w:color="auto"/>
              <w:left w:val="nil"/>
            </w:tcBorders>
            <w:shd w:val="clear" w:color="auto" w:fill="FFFFFF"/>
            <w:vAlign w:val="bottom"/>
          </w:tcPr>
          <w:p w14:paraId="6423C30C" w14:textId="77777777" w:rsidR="00B834A2" w:rsidRPr="00076955" w:rsidRDefault="00B834A2" w:rsidP="00076955">
            <w:pPr>
              <w:pStyle w:val="Bodytext20"/>
              <w:shd w:val="clear" w:color="auto" w:fill="auto"/>
              <w:spacing w:before="0" w:line="240" w:lineRule="auto"/>
              <w:ind w:hanging="2"/>
              <w:rPr>
                <w:rFonts w:ascii="Sylfaen" w:hAnsi="Sylfaen" w:cs="Sylfaen"/>
                <w:sz w:val="20"/>
                <w:szCs w:val="20"/>
                <w:highlight w:val="yellow"/>
              </w:rPr>
            </w:pPr>
            <w:r w:rsidRPr="00076955">
              <w:rPr>
                <w:rFonts w:ascii="Sylfaen" w:hAnsi="Sylfaen"/>
                <w:sz w:val="20"/>
                <w:szCs w:val="20"/>
              </w:rPr>
              <w:t>S</w:t>
            </w:r>
            <w:r w:rsidRPr="00076955">
              <w:rPr>
                <w:rStyle w:val="Bodytext285pt"/>
                <w:spacing w:val="0"/>
                <w:sz w:val="20"/>
                <w:szCs w:val="20"/>
                <w:vertAlign w:val="subscript"/>
              </w:rPr>
              <w:t>1</w:t>
            </w:r>
            <w:r w:rsidRPr="00076955">
              <w:rPr>
                <w:rFonts w:ascii="Sylfaen" w:hAnsi="Sylfaen"/>
                <w:sz w:val="20"/>
                <w:szCs w:val="20"/>
              </w:rPr>
              <w:t>=21,40</w:t>
            </w:r>
          </w:p>
        </w:tc>
        <w:tc>
          <w:tcPr>
            <w:tcW w:w="2837" w:type="dxa"/>
            <w:tcBorders>
              <w:top w:val="single" w:sz="4" w:space="0" w:color="auto"/>
            </w:tcBorders>
            <w:shd w:val="clear" w:color="auto" w:fill="FFFFFF"/>
            <w:vAlign w:val="bottom"/>
          </w:tcPr>
          <w:p w14:paraId="4AFE995F" w14:textId="77777777" w:rsidR="00B834A2" w:rsidRPr="00076955" w:rsidRDefault="00B834A2" w:rsidP="00076955">
            <w:pPr>
              <w:pStyle w:val="Bodytext20"/>
              <w:shd w:val="clear" w:color="auto" w:fill="auto"/>
              <w:spacing w:before="0" w:line="240" w:lineRule="auto"/>
              <w:ind w:hanging="2"/>
              <w:rPr>
                <w:rFonts w:ascii="Sylfaen" w:hAnsi="Sylfaen" w:cs="Sylfaen"/>
                <w:sz w:val="20"/>
                <w:szCs w:val="20"/>
                <w:highlight w:val="yellow"/>
              </w:rPr>
            </w:pPr>
            <w:r w:rsidRPr="00076955">
              <w:rPr>
                <w:rStyle w:val="Bodytext31Sylfaen9"/>
                <w:sz w:val="20"/>
                <w:szCs w:val="20"/>
              </w:rPr>
              <w:t>U</w:t>
            </w:r>
            <w:r w:rsidRPr="00076955">
              <w:rPr>
                <w:rStyle w:val="Bodytext31Sylfaen9"/>
                <w:sz w:val="20"/>
                <w:szCs w:val="20"/>
                <w:vertAlign w:val="subscript"/>
              </w:rPr>
              <w:t>1</w:t>
            </w:r>
            <w:r w:rsidRPr="00076955">
              <w:rPr>
                <w:rStyle w:val="Bodytext285pt"/>
                <w:spacing w:val="0"/>
                <w:sz w:val="20"/>
                <w:szCs w:val="20"/>
              </w:rPr>
              <w:t xml:space="preserve">= </w:t>
            </w:r>
            <w:r w:rsidRPr="00076955">
              <w:rPr>
                <w:rStyle w:val="Bodytext31Sylfaen9"/>
                <w:sz w:val="20"/>
                <w:szCs w:val="20"/>
              </w:rPr>
              <w:t>27,95</w:t>
            </w:r>
          </w:p>
        </w:tc>
        <w:tc>
          <w:tcPr>
            <w:tcW w:w="2129" w:type="dxa"/>
            <w:tcBorders>
              <w:top w:val="single" w:sz="4" w:space="0" w:color="auto"/>
            </w:tcBorders>
            <w:shd w:val="clear" w:color="auto" w:fill="FFFFFF"/>
            <w:vAlign w:val="bottom"/>
          </w:tcPr>
          <w:p w14:paraId="244EAE93" w14:textId="77777777" w:rsidR="00B834A2" w:rsidRPr="00076955" w:rsidRDefault="00B834A2" w:rsidP="00076955">
            <w:pPr>
              <w:spacing w:after="120"/>
              <w:ind w:hanging="2"/>
              <w:jc w:val="center"/>
              <w:rPr>
                <w:sz w:val="20"/>
                <w:szCs w:val="20"/>
                <w:highlight w:val="yellow"/>
              </w:rPr>
            </w:pPr>
          </w:p>
        </w:tc>
      </w:tr>
      <w:tr w:rsidR="00B834A2" w:rsidRPr="00076955" w14:paraId="0CF941AF" w14:textId="77777777" w:rsidTr="00696072">
        <w:trPr>
          <w:trHeight w:val="383"/>
          <w:jc w:val="center"/>
        </w:trPr>
        <w:tc>
          <w:tcPr>
            <w:tcW w:w="2277" w:type="dxa"/>
            <w:shd w:val="clear" w:color="auto" w:fill="auto"/>
          </w:tcPr>
          <w:p w14:paraId="0C1451D7" w14:textId="77777777" w:rsidR="00B834A2" w:rsidRPr="00076955" w:rsidRDefault="00B834A2" w:rsidP="00076955">
            <w:pPr>
              <w:pStyle w:val="Bodytext20"/>
              <w:spacing w:before="0" w:line="240" w:lineRule="auto"/>
              <w:ind w:right="123" w:hanging="2"/>
              <w:jc w:val="both"/>
              <w:rPr>
                <w:rStyle w:val="Bodytext31Sylfaen9"/>
                <w:sz w:val="20"/>
                <w:szCs w:val="20"/>
              </w:rPr>
            </w:pPr>
            <w:r w:rsidRPr="00076955">
              <w:rPr>
                <w:rStyle w:val="Bodytext31Sylfaen9"/>
                <w:sz w:val="20"/>
                <w:szCs w:val="20"/>
              </w:rPr>
              <w:t>Մեծ դեղաչափը</w:t>
            </w:r>
          </w:p>
        </w:tc>
        <w:tc>
          <w:tcPr>
            <w:tcW w:w="2410" w:type="dxa"/>
            <w:tcBorders>
              <w:left w:val="nil"/>
            </w:tcBorders>
            <w:shd w:val="clear" w:color="auto" w:fill="FFFFFF"/>
            <w:vAlign w:val="bottom"/>
          </w:tcPr>
          <w:p w14:paraId="02945D15" w14:textId="77777777" w:rsidR="00B834A2" w:rsidRPr="00076955" w:rsidRDefault="00B834A2" w:rsidP="00076955">
            <w:pPr>
              <w:pStyle w:val="Bodytext20"/>
              <w:shd w:val="clear" w:color="auto" w:fill="auto"/>
              <w:spacing w:before="0" w:line="240" w:lineRule="auto"/>
              <w:ind w:right="123" w:hanging="2"/>
              <w:rPr>
                <w:rFonts w:ascii="Sylfaen" w:hAnsi="Sylfaen" w:cs="Sylfaen"/>
                <w:sz w:val="20"/>
                <w:szCs w:val="20"/>
                <w:highlight w:val="yellow"/>
              </w:rPr>
            </w:pPr>
            <w:r w:rsidRPr="00076955">
              <w:rPr>
                <w:rFonts w:ascii="Sylfaen" w:hAnsi="Sylfaen"/>
                <w:sz w:val="20"/>
                <w:szCs w:val="20"/>
              </w:rPr>
              <w:t>S</w:t>
            </w:r>
            <w:r w:rsidRPr="00076955">
              <w:rPr>
                <w:rStyle w:val="Bodytext31Sylfaen9"/>
                <w:sz w:val="20"/>
                <w:szCs w:val="20"/>
                <w:vertAlign w:val="subscript"/>
              </w:rPr>
              <w:t>2</w:t>
            </w:r>
            <w:r w:rsidRPr="00076955">
              <w:rPr>
                <w:rFonts w:ascii="Sylfaen" w:hAnsi="Sylfaen"/>
                <w:sz w:val="20"/>
                <w:szCs w:val="20"/>
              </w:rPr>
              <w:t>=50,80</w:t>
            </w:r>
          </w:p>
        </w:tc>
        <w:tc>
          <w:tcPr>
            <w:tcW w:w="2837" w:type="dxa"/>
            <w:shd w:val="clear" w:color="auto" w:fill="FFFFFF"/>
            <w:vAlign w:val="center"/>
          </w:tcPr>
          <w:p w14:paraId="10C3960B" w14:textId="77777777" w:rsidR="00B834A2" w:rsidRPr="00076955" w:rsidRDefault="00B834A2" w:rsidP="00076955">
            <w:pPr>
              <w:pStyle w:val="Bodytext20"/>
              <w:shd w:val="clear" w:color="auto" w:fill="auto"/>
              <w:spacing w:before="0" w:line="240" w:lineRule="auto"/>
              <w:ind w:hanging="2"/>
              <w:rPr>
                <w:rFonts w:ascii="Sylfaen" w:hAnsi="Sylfaen" w:cs="Sylfaen"/>
                <w:sz w:val="20"/>
                <w:szCs w:val="20"/>
                <w:highlight w:val="yellow"/>
              </w:rPr>
            </w:pPr>
            <w:r w:rsidRPr="00076955">
              <w:rPr>
                <w:rStyle w:val="Bodytext31Sylfaen9"/>
                <w:sz w:val="20"/>
                <w:szCs w:val="20"/>
              </w:rPr>
              <w:t>U</w:t>
            </w:r>
            <w:r w:rsidRPr="00076955">
              <w:rPr>
                <w:rStyle w:val="Bodytext31Sylfaen9"/>
                <w:sz w:val="20"/>
                <w:szCs w:val="20"/>
                <w:vertAlign w:val="subscript"/>
              </w:rPr>
              <w:t>2</w:t>
            </w:r>
            <w:r w:rsidRPr="00076955">
              <w:rPr>
                <w:rStyle w:val="Bodytext285pt"/>
                <w:spacing w:val="0"/>
                <w:sz w:val="20"/>
                <w:szCs w:val="20"/>
              </w:rPr>
              <w:t xml:space="preserve">= </w:t>
            </w:r>
            <w:r w:rsidRPr="00076955">
              <w:rPr>
                <w:rStyle w:val="Bodytext31Sylfaen9"/>
                <w:sz w:val="20"/>
                <w:szCs w:val="20"/>
              </w:rPr>
              <w:t>48,55</w:t>
            </w:r>
          </w:p>
        </w:tc>
        <w:tc>
          <w:tcPr>
            <w:tcW w:w="2129" w:type="dxa"/>
            <w:shd w:val="clear" w:color="auto" w:fill="FFFFFF"/>
            <w:vAlign w:val="bottom"/>
          </w:tcPr>
          <w:p w14:paraId="3A5FEC4E" w14:textId="77777777" w:rsidR="00B834A2" w:rsidRPr="00076955" w:rsidRDefault="00B834A2" w:rsidP="00076955">
            <w:pPr>
              <w:pStyle w:val="Bodytext20"/>
              <w:spacing w:before="0" w:line="240" w:lineRule="auto"/>
              <w:ind w:hanging="2"/>
              <w:rPr>
                <w:rFonts w:ascii="Sylfaen" w:hAnsi="Sylfaen" w:cs="Sylfaen"/>
                <w:sz w:val="20"/>
                <w:szCs w:val="20"/>
              </w:rPr>
            </w:pPr>
          </w:p>
        </w:tc>
      </w:tr>
      <w:tr w:rsidR="00B834A2" w:rsidRPr="00076955" w14:paraId="17494A49" w14:textId="77777777" w:rsidTr="00696072">
        <w:trPr>
          <w:trHeight w:val="570"/>
          <w:jc w:val="center"/>
        </w:trPr>
        <w:tc>
          <w:tcPr>
            <w:tcW w:w="2277" w:type="dxa"/>
            <w:shd w:val="clear" w:color="auto" w:fill="auto"/>
            <w:vAlign w:val="center"/>
          </w:tcPr>
          <w:p w14:paraId="515985C7" w14:textId="77777777" w:rsidR="00B834A2" w:rsidRPr="00076955" w:rsidRDefault="00B834A2" w:rsidP="00076955">
            <w:pPr>
              <w:pStyle w:val="Bodytext20"/>
              <w:shd w:val="clear" w:color="auto" w:fill="auto"/>
              <w:spacing w:before="0" w:line="240" w:lineRule="auto"/>
              <w:ind w:right="123" w:hanging="2"/>
              <w:jc w:val="left"/>
              <w:rPr>
                <w:rStyle w:val="Bodytext31Sylfaen9"/>
                <w:sz w:val="20"/>
                <w:szCs w:val="20"/>
              </w:rPr>
            </w:pPr>
            <w:r w:rsidRPr="00076955">
              <w:rPr>
                <w:rStyle w:val="Bodytext31Sylfaen9"/>
                <w:sz w:val="20"/>
                <w:szCs w:val="20"/>
              </w:rPr>
              <w:t>Գումարը</w:t>
            </w:r>
          </w:p>
        </w:tc>
        <w:tc>
          <w:tcPr>
            <w:tcW w:w="2410" w:type="dxa"/>
            <w:tcBorders>
              <w:left w:val="nil"/>
            </w:tcBorders>
            <w:shd w:val="clear" w:color="auto" w:fill="FFFFFF"/>
            <w:vAlign w:val="center"/>
          </w:tcPr>
          <w:p w14:paraId="726E0DC3" w14:textId="77777777" w:rsidR="00B834A2" w:rsidRPr="00076955" w:rsidRDefault="00B834A2" w:rsidP="00076955">
            <w:pPr>
              <w:pStyle w:val="Bodytext20"/>
              <w:spacing w:before="0" w:line="240" w:lineRule="auto"/>
              <w:ind w:right="123" w:hanging="2"/>
              <w:rPr>
                <w:rStyle w:val="Bodytext31Sylfaen9"/>
                <w:sz w:val="20"/>
                <w:szCs w:val="20"/>
              </w:rPr>
            </w:pPr>
            <w:r w:rsidRPr="00076955">
              <w:rPr>
                <w:rStyle w:val="Bodytext31Sylfaen9"/>
                <w:sz w:val="20"/>
                <w:szCs w:val="20"/>
              </w:rPr>
              <w:t xml:space="preserve">S </w:t>
            </w:r>
            <w:r w:rsidRPr="00076955">
              <w:rPr>
                <w:rStyle w:val="Bodytext285pt"/>
                <w:spacing w:val="0"/>
                <w:sz w:val="20"/>
                <w:szCs w:val="20"/>
              </w:rPr>
              <w:t xml:space="preserve">= </w:t>
            </w:r>
            <w:r w:rsidRPr="00076955">
              <w:rPr>
                <w:rStyle w:val="Bodytext31Sylfaen9"/>
                <w:sz w:val="20"/>
                <w:szCs w:val="20"/>
              </w:rPr>
              <w:t>72,20</w:t>
            </w:r>
          </w:p>
        </w:tc>
        <w:tc>
          <w:tcPr>
            <w:tcW w:w="2837" w:type="dxa"/>
            <w:shd w:val="clear" w:color="auto" w:fill="FFFFFF"/>
            <w:vAlign w:val="center"/>
          </w:tcPr>
          <w:p w14:paraId="0312F651" w14:textId="77777777" w:rsidR="00B834A2" w:rsidRPr="00076955" w:rsidRDefault="00B834A2" w:rsidP="00076955">
            <w:pPr>
              <w:pStyle w:val="Bodytext20"/>
              <w:spacing w:before="0" w:line="240" w:lineRule="auto"/>
              <w:ind w:hanging="2"/>
              <w:rPr>
                <w:rStyle w:val="Bodytext31Sylfaen9"/>
                <w:sz w:val="20"/>
                <w:szCs w:val="20"/>
              </w:rPr>
            </w:pPr>
            <w:r w:rsidRPr="00076955">
              <w:rPr>
                <w:rStyle w:val="Bodytext31Sylfaen9"/>
                <w:sz w:val="20"/>
                <w:szCs w:val="20"/>
              </w:rPr>
              <w:t>U</w:t>
            </w:r>
            <w:r w:rsidRPr="00076955">
              <w:rPr>
                <w:rStyle w:val="Bodytext285pt"/>
                <w:spacing w:val="0"/>
                <w:sz w:val="20"/>
                <w:szCs w:val="20"/>
              </w:rPr>
              <w:t xml:space="preserve"> </w:t>
            </w:r>
            <w:r w:rsidRPr="00076955">
              <w:rPr>
                <w:rStyle w:val="Bodytext31Sylfaen9"/>
                <w:sz w:val="20"/>
                <w:szCs w:val="20"/>
              </w:rPr>
              <w:t>=76,5</w:t>
            </w:r>
          </w:p>
        </w:tc>
        <w:tc>
          <w:tcPr>
            <w:tcW w:w="2129" w:type="dxa"/>
            <w:shd w:val="clear" w:color="auto" w:fill="FFFFFF"/>
            <w:vAlign w:val="center"/>
          </w:tcPr>
          <w:p w14:paraId="09803A4D" w14:textId="77777777" w:rsidR="00B834A2" w:rsidRPr="00076955" w:rsidRDefault="00B834A2" w:rsidP="00076955">
            <w:pPr>
              <w:pStyle w:val="Bodytext20"/>
              <w:spacing w:before="0" w:line="240" w:lineRule="auto"/>
              <w:ind w:hanging="2"/>
              <w:rPr>
                <w:rStyle w:val="Bodytext31Sylfaen9"/>
                <w:sz w:val="20"/>
                <w:szCs w:val="20"/>
              </w:rPr>
            </w:pPr>
            <w:r w:rsidRPr="00076955">
              <w:rPr>
                <w:rStyle w:val="Bodytext285pt"/>
                <w:spacing w:val="0"/>
                <w:sz w:val="20"/>
                <w:szCs w:val="20"/>
              </w:rPr>
              <w:t>Σy=148,70</w:t>
            </w:r>
          </w:p>
        </w:tc>
      </w:tr>
      <w:tr w:rsidR="00B834A2" w:rsidRPr="00076955" w14:paraId="0BC7D843" w14:textId="77777777" w:rsidTr="00696072">
        <w:trPr>
          <w:jc w:val="center"/>
        </w:trPr>
        <w:tc>
          <w:tcPr>
            <w:tcW w:w="2277" w:type="dxa"/>
            <w:shd w:val="clear" w:color="auto" w:fill="auto"/>
            <w:vAlign w:val="center"/>
          </w:tcPr>
          <w:p w14:paraId="71B3805D" w14:textId="77777777" w:rsidR="00B834A2" w:rsidRPr="00076955" w:rsidRDefault="00B834A2" w:rsidP="00076955">
            <w:pPr>
              <w:pStyle w:val="Bodytext20"/>
              <w:spacing w:before="0" w:line="240" w:lineRule="auto"/>
              <w:ind w:right="123" w:hanging="2"/>
              <w:jc w:val="left"/>
              <w:rPr>
                <w:rStyle w:val="Bodytext31Sylfaen9"/>
                <w:sz w:val="20"/>
                <w:szCs w:val="20"/>
              </w:rPr>
            </w:pPr>
            <w:r w:rsidRPr="00076955">
              <w:rPr>
                <w:rStyle w:val="Bodytext31Sylfaen9"/>
                <w:sz w:val="20"/>
                <w:szCs w:val="20"/>
              </w:rPr>
              <w:t>Գծային կոնտրաստը</w:t>
            </w:r>
          </w:p>
        </w:tc>
        <w:tc>
          <w:tcPr>
            <w:tcW w:w="2410" w:type="dxa"/>
            <w:tcBorders>
              <w:left w:val="nil"/>
            </w:tcBorders>
            <w:shd w:val="clear" w:color="auto" w:fill="FFFFFF"/>
            <w:vAlign w:val="center"/>
          </w:tcPr>
          <w:p w14:paraId="0E506709" w14:textId="77777777" w:rsidR="00B834A2" w:rsidRPr="00076955" w:rsidRDefault="00B834A2" w:rsidP="00076955">
            <w:pPr>
              <w:pStyle w:val="Bodytext20"/>
              <w:shd w:val="clear" w:color="auto" w:fill="auto"/>
              <w:spacing w:before="0" w:line="240" w:lineRule="auto"/>
              <w:ind w:hanging="2"/>
              <w:rPr>
                <w:rFonts w:ascii="Sylfaen" w:hAnsi="Sylfaen" w:cs="Sylfaen"/>
                <w:sz w:val="20"/>
                <w:szCs w:val="20"/>
              </w:rPr>
            </w:pPr>
            <w:r w:rsidRPr="00076955">
              <w:rPr>
                <w:rStyle w:val="Bodytext285pt"/>
                <w:spacing w:val="0"/>
                <w:sz w:val="20"/>
                <w:szCs w:val="20"/>
              </w:rPr>
              <w:t>L</w:t>
            </w:r>
            <w:r w:rsidRPr="00076955">
              <w:rPr>
                <w:rStyle w:val="Bodytext285pt"/>
                <w:spacing w:val="0"/>
                <w:sz w:val="20"/>
                <w:szCs w:val="20"/>
                <w:vertAlign w:val="subscript"/>
              </w:rPr>
              <w:t>s</w:t>
            </w:r>
            <w:r w:rsidRPr="00076955">
              <w:rPr>
                <w:rStyle w:val="Bodytext31Sylfaen9"/>
                <w:sz w:val="20"/>
                <w:szCs w:val="20"/>
                <w:vertAlign w:val="superscript"/>
              </w:rPr>
              <w:t>=</w:t>
            </w:r>
            <w:r w:rsidRPr="00076955">
              <w:rPr>
                <w:rStyle w:val="Bodytext31Sylfaen9"/>
                <w:sz w:val="20"/>
                <w:szCs w:val="20"/>
              </w:rPr>
              <w:t>29,40</w:t>
            </w:r>
          </w:p>
        </w:tc>
        <w:tc>
          <w:tcPr>
            <w:tcW w:w="2837" w:type="dxa"/>
            <w:shd w:val="clear" w:color="auto" w:fill="FFFFFF"/>
            <w:vAlign w:val="center"/>
          </w:tcPr>
          <w:p w14:paraId="3D8D8E13" w14:textId="77777777" w:rsidR="00B834A2" w:rsidRPr="00076955" w:rsidRDefault="00B834A2" w:rsidP="00076955">
            <w:pPr>
              <w:pStyle w:val="Bodytext20"/>
              <w:shd w:val="clear" w:color="auto" w:fill="auto"/>
              <w:spacing w:before="0" w:line="240" w:lineRule="auto"/>
              <w:ind w:hanging="2"/>
              <w:rPr>
                <w:rFonts w:ascii="Sylfaen" w:eastAsia="Sylfaen" w:hAnsi="Sylfaen" w:cs="Sylfaen"/>
                <w:sz w:val="20"/>
                <w:szCs w:val="20"/>
                <w:shd w:val="clear" w:color="auto" w:fill="FFFFFF"/>
              </w:rPr>
            </w:pPr>
            <w:r w:rsidRPr="00076955">
              <w:rPr>
                <w:rStyle w:val="Bodytext31Sylfaen9"/>
                <w:sz w:val="20"/>
                <w:szCs w:val="20"/>
              </w:rPr>
              <w:t>L</w:t>
            </w:r>
            <w:r w:rsidRPr="00076955">
              <w:rPr>
                <w:rStyle w:val="Bodytext31Sylfaen9"/>
                <w:sz w:val="20"/>
                <w:szCs w:val="20"/>
                <w:vertAlign w:val="subscript"/>
              </w:rPr>
              <w:t>U</w:t>
            </w:r>
            <w:r w:rsidRPr="00076955">
              <w:rPr>
                <w:rStyle w:val="Bodytext285pt"/>
                <w:spacing w:val="0"/>
                <w:sz w:val="20"/>
                <w:szCs w:val="20"/>
              </w:rPr>
              <w:t xml:space="preserve"> </w:t>
            </w:r>
            <w:r w:rsidRPr="00076955">
              <w:rPr>
                <w:rStyle w:val="Bodytext31Sylfaen9"/>
                <w:sz w:val="20"/>
                <w:szCs w:val="20"/>
              </w:rPr>
              <w:t>= 20,6</w:t>
            </w:r>
          </w:p>
        </w:tc>
        <w:tc>
          <w:tcPr>
            <w:tcW w:w="2129" w:type="dxa"/>
            <w:shd w:val="clear" w:color="auto" w:fill="FFFFFF"/>
            <w:vAlign w:val="center"/>
          </w:tcPr>
          <w:p w14:paraId="7A904584" w14:textId="77777777" w:rsidR="00B834A2" w:rsidRPr="00076955" w:rsidRDefault="00B834A2" w:rsidP="00076955">
            <w:pPr>
              <w:spacing w:after="120"/>
              <w:ind w:hanging="2"/>
              <w:jc w:val="center"/>
              <w:rPr>
                <w:sz w:val="20"/>
                <w:szCs w:val="20"/>
              </w:rPr>
            </w:pPr>
            <w:r w:rsidRPr="00076955">
              <w:rPr>
                <w:rStyle w:val="Bodytext285pt"/>
                <w:rFonts w:eastAsia="Tahoma"/>
                <w:spacing w:val="0"/>
                <w:sz w:val="20"/>
                <w:szCs w:val="20"/>
              </w:rPr>
              <w:t>ΣL=50,00</w:t>
            </w:r>
          </w:p>
        </w:tc>
      </w:tr>
    </w:tbl>
    <w:p w14:paraId="0CC026D5"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429E7E77" w14:textId="77777777" w:rsidR="00B834A2" w:rsidRPr="00B834A2" w:rsidRDefault="00000000" w:rsidP="009A3F5E">
      <w:pPr>
        <w:pStyle w:val="Tablecaption20"/>
        <w:shd w:val="clear" w:color="auto" w:fill="auto"/>
        <w:spacing w:before="0" w:after="160" w:line="360" w:lineRule="auto"/>
        <w:ind w:firstLine="567"/>
        <w:rPr>
          <w:rStyle w:val="Bodytext310pt"/>
          <w:sz w:val="24"/>
          <w:szCs w:val="24"/>
        </w:rPr>
      </w:pPr>
      <w:r>
        <w:rPr>
          <w:rFonts w:ascii="Sylfaen" w:hAnsi="Sylfaen"/>
          <w:i w:val="0"/>
          <w:iCs w:val="0"/>
          <w:noProof/>
          <w:color w:val="000000"/>
          <w:sz w:val="24"/>
          <w:szCs w:val="24"/>
        </w:rPr>
        <w:pict w14:anchorId="26E8C150">
          <v:rect id="_x0000_s1293" style="position:absolute;left:0;text-align:left;margin-left:32.4pt;margin-top:7.35pt;width:72.05pt;height:18.3pt;z-index:251709440" stroked="f">
            <v:textbox>
              <w:txbxContent>
                <w:p w14:paraId="3E1FF34A" w14:textId="77777777" w:rsidR="008D6E8B" w:rsidRPr="00232478" w:rsidRDefault="008D6E8B" w:rsidP="00B834A2">
                  <w:pPr>
                    <w:jc w:val="center"/>
                    <w:rPr>
                      <w:sz w:val="16"/>
                    </w:rPr>
                  </w:pPr>
                  <w:r w:rsidRPr="001120D7">
                    <w:rPr>
                      <w:sz w:val="10"/>
                    </w:rPr>
                    <w:t>Պատրաստուկները</w:t>
                  </w:r>
                </w:p>
              </w:txbxContent>
            </v:textbox>
          </v:rect>
        </w:pict>
      </w:r>
      <w:r w:rsidR="00B834A2" w:rsidRPr="00B834A2">
        <w:rPr>
          <w:rFonts w:ascii="Sylfaen" w:hAnsi="Sylfaen"/>
          <w:i w:val="0"/>
          <w:iCs w:val="0"/>
          <w:noProof/>
          <w:color w:val="000000"/>
          <w:sz w:val="24"/>
          <w:szCs w:val="24"/>
          <w:lang w:val="en-US" w:eastAsia="en-US" w:bidi="ar-SA"/>
        </w:rPr>
        <w:drawing>
          <wp:inline distT="0" distB="0" distL="0" distR="0" wp14:anchorId="4A4CDCD3" wp14:editId="01C05E6D">
            <wp:extent cx="1962150" cy="917131"/>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3" cstate="print"/>
                    <a:srcRect/>
                    <a:stretch>
                      <a:fillRect/>
                    </a:stretch>
                  </pic:blipFill>
                  <pic:spPr bwMode="auto">
                    <a:xfrm>
                      <a:off x="0" y="0"/>
                      <a:ext cx="1962844" cy="917456"/>
                    </a:xfrm>
                    <a:prstGeom prst="rect">
                      <a:avLst/>
                    </a:prstGeom>
                    <a:noFill/>
                    <a:ln w="9525">
                      <a:noFill/>
                      <a:miter lim="800000"/>
                      <a:headEnd/>
                      <a:tailEnd/>
                    </a:ln>
                  </pic:spPr>
                </pic:pic>
              </a:graphicData>
            </a:graphic>
          </wp:inline>
        </w:drawing>
      </w:r>
    </w:p>
    <w:p w14:paraId="556660D6" w14:textId="77777777" w:rsidR="00B834A2" w:rsidRPr="00B834A2" w:rsidRDefault="00B834A2" w:rsidP="009A3F5E">
      <w:pPr>
        <w:pStyle w:val="Tablecaption20"/>
        <w:shd w:val="clear" w:color="auto" w:fill="auto"/>
        <w:spacing w:before="0" w:after="160" w:line="360" w:lineRule="auto"/>
        <w:ind w:firstLine="567"/>
        <w:rPr>
          <w:rStyle w:val="Bodytext310pt"/>
          <w:sz w:val="24"/>
          <w:szCs w:val="24"/>
        </w:rPr>
      </w:pPr>
    </w:p>
    <w:p w14:paraId="539DE821"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076955">
        <w:rPr>
          <w:rStyle w:val="Bodytext310pt"/>
          <w:b w:val="0"/>
          <w:sz w:val="24"/>
          <w:szCs w:val="24"/>
        </w:rPr>
        <w:t>Աղյուսակ 3.2.4-14.</w:t>
      </w:r>
      <w:r w:rsidRPr="00B834A2">
        <w:rPr>
          <w:rStyle w:val="Bodytext310pt"/>
          <w:sz w:val="24"/>
          <w:szCs w:val="24"/>
        </w:rPr>
        <w:t xml:space="preserve"> </w:t>
      </w:r>
      <w:r w:rsidRPr="00B834A2">
        <w:rPr>
          <w:rFonts w:ascii="Sylfaen" w:hAnsi="Sylfaen"/>
          <w:sz w:val="24"/>
          <w:szCs w:val="24"/>
        </w:rPr>
        <w:t>Դիսպերսիոն վերլուծության ամփոփիչ աղյուսակ (երկդեղաչափ լատինական քառակուսի)</w:t>
      </w:r>
    </w:p>
    <w:tbl>
      <w:tblPr>
        <w:tblOverlap w:val="never"/>
        <w:tblW w:w="10632" w:type="dxa"/>
        <w:tblInd w:w="-416" w:type="dxa"/>
        <w:tblLayout w:type="fixed"/>
        <w:tblCellMar>
          <w:left w:w="10" w:type="dxa"/>
          <w:right w:w="10" w:type="dxa"/>
        </w:tblCellMar>
        <w:tblLook w:val="0000" w:firstRow="0" w:lastRow="0" w:firstColumn="0" w:lastColumn="0" w:noHBand="0" w:noVBand="0"/>
      </w:tblPr>
      <w:tblGrid>
        <w:gridCol w:w="1986"/>
        <w:gridCol w:w="2126"/>
        <w:gridCol w:w="1594"/>
        <w:gridCol w:w="1570"/>
        <w:gridCol w:w="1514"/>
        <w:gridCol w:w="1842"/>
      </w:tblGrid>
      <w:tr w:rsidR="00B834A2" w:rsidRPr="00076955" w14:paraId="5C56B885" w14:textId="77777777" w:rsidTr="00184198">
        <w:trPr>
          <w:cantSplit/>
          <w:trHeight w:val="1567"/>
          <w:tblHeader/>
        </w:trPr>
        <w:tc>
          <w:tcPr>
            <w:tcW w:w="1986" w:type="dxa"/>
            <w:tcBorders>
              <w:top w:val="single" w:sz="4" w:space="0" w:color="auto"/>
            </w:tcBorders>
            <w:shd w:val="clear" w:color="auto" w:fill="FFFFFF"/>
            <w:vAlign w:val="center"/>
          </w:tcPr>
          <w:p w14:paraId="6BDF1386" w14:textId="77777777" w:rsidR="00B834A2" w:rsidRPr="00076955" w:rsidRDefault="00B834A2" w:rsidP="00184198">
            <w:pPr>
              <w:pStyle w:val="Bodytext20"/>
              <w:shd w:val="clear" w:color="auto" w:fill="auto"/>
              <w:spacing w:before="0" w:line="240" w:lineRule="auto"/>
              <w:ind w:hanging="11"/>
              <w:rPr>
                <w:rFonts w:ascii="Sylfaen" w:hAnsi="Sylfaen" w:cs="Sylfaen"/>
                <w:sz w:val="20"/>
                <w:szCs w:val="20"/>
              </w:rPr>
            </w:pPr>
            <w:r w:rsidRPr="00076955">
              <w:rPr>
                <w:rStyle w:val="Bodytext31Sylfaen9"/>
                <w:sz w:val="20"/>
                <w:szCs w:val="20"/>
              </w:rPr>
              <w:t>Դիսպերսիայի աղբյուրը (ցուցանիշ)</w:t>
            </w:r>
          </w:p>
        </w:tc>
        <w:tc>
          <w:tcPr>
            <w:tcW w:w="2126" w:type="dxa"/>
            <w:tcBorders>
              <w:top w:val="single" w:sz="4" w:space="0" w:color="auto"/>
            </w:tcBorders>
            <w:shd w:val="clear" w:color="auto" w:fill="FFFFFF"/>
            <w:vAlign w:val="center"/>
          </w:tcPr>
          <w:p w14:paraId="67FCFE34"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Ազատության աստիճանների թիվը (f)</w:t>
            </w:r>
          </w:p>
        </w:tc>
        <w:tc>
          <w:tcPr>
            <w:tcW w:w="1594" w:type="dxa"/>
            <w:tcBorders>
              <w:top w:val="single" w:sz="4" w:space="0" w:color="auto"/>
            </w:tcBorders>
            <w:shd w:val="clear" w:color="auto" w:fill="FFFFFF"/>
            <w:vAlign w:val="center"/>
          </w:tcPr>
          <w:p w14:paraId="6FB0FAE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Քառակուսիների գումարը</w:t>
            </w:r>
          </w:p>
        </w:tc>
        <w:tc>
          <w:tcPr>
            <w:tcW w:w="1570" w:type="dxa"/>
            <w:tcBorders>
              <w:top w:val="single" w:sz="4" w:space="0" w:color="auto"/>
            </w:tcBorders>
            <w:shd w:val="clear" w:color="auto" w:fill="FFFFFF"/>
            <w:vAlign w:val="center"/>
          </w:tcPr>
          <w:p w14:paraId="7396BDAB" w14:textId="77777777" w:rsidR="00B834A2" w:rsidRPr="00076955" w:rsidRDefault="00000000" w:rsidP="00696072">
            <w:pPr>
              <w:pStyle w:val="Bodytext20"/>
              <w:shd w:val="clear" w:color="auto" w:fill="auto"/>
              <w:spacing w:before="0" w:line="240" w:lineRule="auto"/>
              <w:ind w:hanging="10"/>
              <w:rPr>
                <w:rStyle w:val="Bodytext31Sylfaen9"/>
                <w:sz w:val="20"/>
                <w:szCs w:val="20"/>
                <w:u w:val="single"/>
              </w:rPr>
            </w:pPr>
            <w:r>
              <w:rPr>
                <w:rFonts w:ascii="Sylfaen" w:eastAsia="Sylfaen" w:hAnsi="Sylfaen" w:cs="Sylfaen"/>
                <w:noProof/>
                <w:sz w:val="20"/>
                <w:szCs w:val="20"/>
              </w:rPr>
              <w:pict w14:anchorId="4BF331EC">
                <v:shape id="_x0000_s1294" type="#_x0000_t185" style="position:absolute;left:0;text-align:left;margin-left:.4pt;margin-top:13.95pt;width:76.3pt;height:25.8pt;z-index:251710464;mso-position-horizontal-relative:text;mso-position-vertical-relative:text"/>
              </w:pict>
            </w:r>
            <w:r w:rsidR="00B834A2" w:rsidRPr="00076955">
              <w:rPr>
                <w:rFonts w:ascii="Sylfaen" w:hAnsi="Sylfaen"/>
                <w:sz w:val="20"/>
                <w:szCs w:val="20"/>
              </w:rPr>
              <w:t>Միջին քառակուսին [</w:t>
            </w:r>
            <w:r w:rsidR="00B834A2" w:rsidRPr="00076955">
              <w:rPr>
                <w:rFonts w:ascii="Sylfaen" w:hAnsi="Sylfaen"/>
                <w:sz w:val="20"/>
                <w:szCs w:val="20"/>
                <w:u w:val="single"/>
              </w:rPr>
              <w:t>Քառակուսիների գումարը</w:t>
            </w:r>
            <w:r w:rsidR="00B834A2" w:rsidRPr="00076955">
              <w:rPr>
                <w:rFonts w:ascii="Sylfaen" w:hAnsi="Sylfaen"/>
                <w:sz w:val="20"/>
                <w:szCs w:val="20"/>
              </w:rPr>
              <w:t>]</w:t>
            </w:r>
          </w:p>
          <w:p w14:paraId="78F7413A"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ƒ</w:t>
            </w:r>
          </w:p>
        </w:tc>
        <w:tc>
          <w:tcPr>
            <w:tcW w:w="1514" w:type="dxa"/>
            <w:tcBorders>
              <w:top w:val="single" w:sz="4" w:space="0" w:color="auto"/>
            </w:tcBorders>
            <w:shd w:val="clear" w:color="auto" w:fill="FFFFFF"/>
            <w:vAlign w:val="center"/>
          </w:tcPr>
          <w:p w14:paraId="408E54DE"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Ֆիշերի չափորոշչի դիտարկվող արժեքը՝</w:t>
            </w:r>
          </w:p>
          <w:p w14:paraId="2F5A99CC"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F</w:t>
            </w:r>
            <w:r w:rsidRPr="00076955">
              <w:rPr>
                <w:rStyle w:val="Bodytext31Sylfaen9"/>
                <w:sz w:val="20"/>
                <w:szCs w:val="20"/>
                <w:vertAlign w:val="subscript"/>
              </w:rPr>
              <w:t>դիտ.</w:t>
            </w:r>
          </w:p>
        </w:tc>
        <w:tc>
          <w:tcPr>
            <w:tcW w:w="1842" w:type="dxa"/>
            <w:tcBorders>
              <w:top w:val="single" w:sz="4" w:space="0" w:color="auto"/>
            </w:tcBorders>
            <w:shd w:val="clear" w:color="auto" w:fill="FFFFFF"/>
            <w:vAlign w:val="center"/>
          </w:tcPr>
          <w:p w14:paraId="41CAF616"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Ֆիշերի չափորոշչի կրիտիկական արժեքը՝</w:t>
            </w:r>
          </w:p>
          <w:p w14:paraId="224F6EB4"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F</w:t>
            </w:r>
            <w:r w:rsidRPr="00076955">
              <w:rPr>
                <w:rStyle w:val="Bodytext31Sylfaen9"/>
                <w:sz w:val="20"/>
                <w:szCs w:val="20"/>
                <w:vertAlign w:val="subscript"/>
              </w:rPr>
              <w:t>կրիտիկ</w:t>
            </w:r>
            <w:r w:rsidRPr="00076955">
              <w:rPr>
                <w:rStyle w:val="Bodytext31Sylfaen9"/>
                <w:sz w:val="20"/>
                <w:szCs w:val="20"/>
              </w:rPr>
              <w:t>.</w:t>
            </w:r>
          </w:p>
        </w:tc>
      </w:tr>
      <w:tr w:rsidR="00B834A2" w:rsidRPr="00076955" w14:paraId="63032243" w14:textId="77777777" w:rsidTr="00B834A2">
        <w:trPr>
          <w:cantSplit/>
        </w:trPr>
        <w:tc>
          <w:tcPr>
            <w:tcW w:w="1986" w:type="dxa"/>
            <w:tcBorders>
              <w:top w:val="single" w:sz="4" w:space="0" w:color="auto"/>
            </w:tcBorders>
            <w:shd w:val="clear" w:color="auto" w:fill="FFFFFF"/>
            <w:vAlign w:val="center"/>
          </w:tcPr>
          <w:p w14:paraId="05F1AAF3" w14:textId="77777777" w:rsidR="00B834A2" w:rsidRPr="00076955" w:rsidRDefault="00B834A2" w:rsidP="00696072">
            <w:pPr>
              <w:pStyle w:val="Bodytext20"/>
              <w:shd w:val="clear" w:color="auto" w:fill="auto"/>
              <w:spacing w:before="0" w:line="240" w:lineRule="auto"/>
              <w:ind w:hanging="10"/>
              <w:jc w:val="both"/>
              <w:rPr>
                <w:rFonts w:ascii="Sylfaen" w:hAnsi="Sylfaen" w:cs="Sylfaen"/>
                <w:sz w:val="20"/>
                <w:szCs w:val="20"/>
              </w:rPr>
            </w:pPr>
            <w:r w:rsidRPr="00076955">
              <w:rPr>
                <w:rStyle w:val="Bodytext2Italic"/>
                <w:sz w:val="20"/>
                <w:szCs w:val="20"/>
              </w:rPr>
              <w:t>Պատրաստուկներ</w:t>
            </w:r>
          </w:p>
        </w:tc>
        <w:tc>
          <w:tcPr>
            <w:tcW w:w="2126" w:type="dxa"/>
            <w:tcBorders>
              <w:top w:val="single" w:sz="4" w:space="0" w:color="auto"/>
            </w:tcBorders>
            <w:shd w:val="clear" w:color="auto" w:fill="FFFFFF"/>
            <w:vAlign w:val="center"/>
          </w:tcPr>
          <w:p w14:paraId="2337DD95"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w:t>
            </w:r>
          </w:p>
        </w:tc>
        <w:tc>
          <w:tcPr>
            <w:tcW w:w="1594" w:type="dxa"/>
            <w:tcBorders>
              <w:top w:val="single" w:sz="4" w:space="0" w:color="auto"/>
            </w:tcBorders>
            <w:shd w:val="clear" w:color="auto" w:fill="FFFFFF"/>
            <w:vAlign w:val="center"/>
          </w:tcPr>
          <w:p w14:paraId="313C648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1,156</w:t>
            </w:r>
          </w:p>
        </w:tc>
        <w:tc>
          <w:tcPr>
            <w:tcW w:w="1570" w:type="dxa"/>
            <w:tcBorders>
              <w:top w:val="single" w:sz="4" w:space="0" w:color="auto"/>
            </w:tcBorders>
            <w:shd w:val="clear" w:color="auto" w:fill="FFFFFF"/>
            <w:vAlign w:val="center"/>
          </w:tcPr>
          <w:p w14:paraId="74E9B994"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1,156</w:t>
            </w:r>
          </w:p>
        </w:tc>
        <w:tc>
          <w:tcPr>
            <w:tcW w:w="1514" w:type="dxa"/>
            <w:tcBorders>
              <w:top w:val="single" w:sz="4" w:space="0" w:color="auto"/>
            </w:tcBorders>
            <w:shd w:val="clear" w:color="auto" w:fill="FFFFFF"/>
          </w:tcPr>
          <w:p w14:paraId="45814C7D" w14:textId="77777777" w:rsidR="00B834A2" w:rsidRPr="00076955" w:rsidRDefault="00B834A2" w:rsidP="00696072">
            <w:pPr>
              <w:spacing w:after="120"/>
              <w:ind w:hanging="10"/>
              <w:jc w:val="center"/>
              <w:rPr>
                <w:sz w:val="20"/>
                <w:szCs w:val="20"/>
              </w:rPr>
            </w:pPr>
          </w:p>
        </w:tc>
        <w:tc>
          <w:tcPr>
            <w:tcW w:w="1842" w:type="dxa"/>
            <w:tcBorders>
              <w:top w:val="single" w:sz="4" w:space="0" w:color="auto"/>
            </w:tcBorders>
            <w:shd w:val="clear" w:color="auto" w:fill="FFFFFF"/>
          </w:tcPr>
          <w:p w14:paraId="0C603CA4" w14:textId="77777777" w:rsidR="00B834A2" w:rsidRPr="00076955" w:rsidRDefault="00B834A2" w:rsidP="00696072">
            <w:pPr>
              <w:spacing w:after="120"/>
              <w:ind w:hanging="10"/>
              <w:jc w:val="center"/>
              <w:rPr>
                <w:sz w:val="20"/>
                <w:szCs w:val="20"/>
              </w:rPr>
            </w:pPr>
          </w:p>
        </w:tc>
      </w:tr>
      <w:tr w:rsidR="00B834A2" w:rsidRPr="00076955" w14:paraId="6E95C943" w14:textId="77777777" w:rsidTr="00B834A2">
        <w:trPr>
          <w:cantSplit/>
        </w:trPr>
        <w:tc>
          <w:tcPr>
            <w:tcW w:w="1986" w:type="dxa"/>
            <w:shd w:val="clear" w:color="auto" w:fill="FFFFFF"/>
          </w:tcPr>
          <w:p w14:paraId="0A465782" w14:textId="77777777" w:rsidR="00B834A2" w:rsidRPr="00076955" w:rsidRDefault="00B834A2" w:rsidP="00696072">
            <w:pPr>
              <w:pStyle w:val="Bodytext20"/>
              <w:shd w:val="clear" w:color="auto" w:fill="auto"/>
              <w:spacing w:before="0" w:line="240" w:lineRule="auto"/>
              <w:ind w:hanging="10"/>
              <w:jc w:val="both"/>
              <w:rPr>
                <w:rFonts w:ascii="Sylfaen" w:hAnsi="Sylfaen" w:cs="Sylfaen"/>
                <w:sz w:val="20"/>
                <w:szCs w:val="20"/>
              </w:rPr>
            </w:pPr>
            <w:r w:rsidRPr="00076955">
              <w:rPr>
                <w:rStyle w:val="Bodytext2Italic"/>
                <w:sz w:val="20"/>
                <w:szCs w:val="20"/>
              </w:rPr>
              <w:t>Ռեգրեսիա</w:t>
            </w:r>
          </w:p>
        </w:tc>
        <w:tc>
          <w:tcPr>
            <w:tcW w:w="2126" w:type="dxa"/>
            <w:shd w:val="clear" w:color="auto" w:fill="FFFFFF"/>
            <w:vAlign w:val="center"/>
          </w:tcPr>
          <w:p w14:paraId="4797D0AC"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w:t>
            </w:r>
          </w:p>
        </w:tc>
        <w:tc>
          <w:tcPr>
            <w:tcW w:w="1594" w:type="dxa"/>
            <w:shd w:val="clear" w:color="auto" w:fill="FFFFFF"/>
          </w:tcPr>
          <w:p w14:paraId="262D240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156,25</w:t>
            </w:r>
          </w:p>
        </w:tc>
        <w:tc>
          <w:tcPr>
            <w:tcW w:w="1570" w:type="dxa"/>
            <w:shd w:val="clear" w:color="auto" w:fill="FFFFFF"/>
          </w:tcPr>
          <w:p w14:paraId="2CCC470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156,25</w:t>
            </w:r>
          </w:p>
        </w:tc>
        <w:tc>
          <w:tcPr>
            <w:tcW w:w="1514" w:type="dxa"/>
            <w:shd w:val="clear" w:color="auto" w:fill="FFFFFF"/>
          </w:tcPr>
          <w:p w14:paraId="33CDEEF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186,75</w:t>
            </w:r>
          </w:p>
        </w:tc>
        <w:tc>
          <w:tcPr>
            <w:tcW w:w="1842" w:type="dxa"/>
            <w:shd w:val="clear" w:color="auto" w:fill="FFFFFF"/>
            <w:vAlign w:val="bottom"/>
          </w:tcPr>
          <w:p w14:paraId="7E55A3F7"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&gt;13,75</w:t>
            </w:r>
          </w:p>
          <w:p w14:paraId="36802EF2"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w:t>
            </w:r>
            <w:r w:rsidRPr="00076955">
              <w:rPr>
                <w:rStyle w:val="Bodytext31Sylfaen9"/>
                <w:sz w:val="20"/>
                <w:szCs w:val="20"/>
                <w:lang w:val="en-GB"/>
              </w:rPr>
              <w:t>p</w:t>
            </w:r>
            <w:r w:rsidRPr="00076955">
              <w:rPr>
                <w:rStyle w:val="Bodytext31Sylfaen9"/>
                <w:sz w:val="20"/>
                <w:szCs w:val="20"/>
              </w:rPr>
              <w:t>=0,01)</w:t>
            </w:r>
          </w:p>
        </w:tc>
      </w:tr>
      <w:tr w:rsidR="00B834A2" w:rsidRPr="00076955" w14:paraId="05649D6C" w14:textId="77777777" w:rsidTr="00B834A2">
        <w:trPr>
          <w:cantSplit/>
        </w:trPr>
        <w:tc>
          <w:tcPr>
            <w:tcW w:w="1986" w:type="dxa"/>
            <w:shd w:val="clear" w:color="auto" w:fill="FFFFFF"/>
          </w:tcPr>
          <w:p w14:paraId="0356F6E5" w14:textId="77777777" w:rsidR="00B834A2" w:rsidRPr="00076955" w:rsidRDefault="00B834A2" w:rsidP="00696072">
            <w:pPr>
              <w:pStyle w:val="Bodytext20"/>
              <w:shd w:val="clear" w:color="auto" w:fill="auto"/>
              <w:spacing w:before="0" w:line="240" w:lineRule="auto"/>
              <w:ind w:hanging="10"/>
              <w:jc w:val="both"/>
              <w:rPr>
                <w:rFonts w:ascii="Sylfaen" w:hAnsi="Sylfaen" w:cs="Sylfaen"/>
                <w:sz w:val="20"/>
                <w:szCs w:val="20"/>
              </w:rPr>
            </w:pPr>
            <w:r w:rsidRPr="00076955">
              <w:rPr>
                <w:rStyle w:val="Bodytext2Italic"/>
                <w:sz w:val="20"/>
                <w:szCs w:val="20"/>
              </w:rPr>
              <w:lastRenderedPageBreak/>
              <w:t>Ոչ զուգահեռություն</w:t>
            </w:r>
          </w:p>
        </w:tc>
        <w:tc>
          <w:tcPr>
            <w:tcW w:w="2126" w:type="dxa"/>
            <w:shd w:val="clear" w:color="auto" w:fill="FFFFFF"/>
            <w:vAlign w:val="center"/>
          </w:tcPr>
          <w:p w14:paraId="3A4A63DE"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1</w:t>
            </w:r>
          </w:p>
        </w:tc>
        <w:tc>
          <w:tcPr>
            <w:tcW w:w="1594" w:type="dxa"/>
            <w:shd w:val="clear" w:color="auto" w:fill="FFFFFF"/>
          </w:tcPr>
          <w:p w14:paraId="52E609B9"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4,84</w:t>
            </w:r>
          </w:p>
        </w:tc>
        <w:tc>
          <w:tcPr>
            <w:tcW w:w="1570" w:type="dxa"/>
            <w:shd w:val="clear" w:color="auto" w:fill="FFFFFF"/>
          </w:tcPr>
          <w:p w14:paraId="5E0FE262"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4,84</w:t>
            </w:r>
          </w:p>
        </w:tc>
        <w:tc>
          <w:tcPr>
            <w:tcW w:w="1514" w:type="dxa"/>
            <w:shd w:val="clear" w:color="auto" w:fill="FFFFFF"/>
          </w:tcPr>
          <w:p w14:paraId="226CC430"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31Sylfaen9"/>
                <w:sz w:val="20"/>
                <w:szCs w:val="20"/>
              </w:rPr>
              <w:t>5,78</w:t>
            </w:r>
          </w:p>
        </w:tc>
        <w:tc>
          <w:tcPr>
            <w:tcW w:w="1842" w:type="dxa"/>
            <w:shd w:val="clear" w:color="auto" w:fill="FFFFFF"/>
            <w:vAlign w:val="bottom"/>
          </w:tcPr>
          <w:p w14:paraId="41AF1F35" w14:textId="77777777" w:rsidR="00B834A2" w:rsidRPr="00076955" w:rsidRDefault="00B834A2" w:rsidP="00696072">
            <w:pPr>
              <w:pStyle w:val="Bodytext20"/>
              <w:shd w:val="clear" w:color="auto" w:fill="auto"/>
              <w:spacing w:before="0" w:line="240" w:lineRule="auto"/>
              <w:ind w:hanging="10"/>
              <w:rPr>
                <w:rStyle w:val="Bodytext31Sylfaen9"/>
                <w:sz w:val="20"/>
                <w:szCs w:val="20"/>
              </w:rPr>
            </w:pPr>
            <w:r w:rsidRPr="00076955">
              <w:rPr>
                <w:rStyle w:val="Bodytext31Sylfaen9"/>
                <w:sz w:val="20"/>
                <w:szCs w:val="20"/>
              </w:rPr>
              <w:t>&lt;5,99</w:t>
            </w:r>
          </w:p>
          <w:p w14:paraId="764D0FD0" w14:textId="77777777" w:rsidR="00B834A2" w:rsidRPr="00076955" w:rsidRDefault="00B834A2" w:rsidP="00696072">
            <w:pPr>
              <w:pStyle w:val="Bodytext20"/>
              <w:shd w:val="clear" w:color="auto" w:fill="auto"/>
              <w:spacing w:before="0" w:line="240" w:lineRule="auto"/>
              <w:ind w:hanging="10"/>
              <w:rPr>
                <w:rFonts w:ascii="Sylfaen" w:hAnsi="Sylfaen" w:cs="Sylfaen"/>
                <w:sz w:val="20"/>
                <w:szCs w:val="20"/>
              </w:rPr>
            </w:pPr>
            <w:r w:rsidRPr="00076955">
              <w:rPr>
                <w:rStyle w:val="Bodytext2Italic"/>
                <w:sz w:val="20"/>
                <w:szCs w:val="20"/>
              </w:rPr>
              <w:t>(р</w:t>
            </w:r>
            <w:r w:rsidRPr="00076955">
              <w:rPr>
                <w:rStyle w:val="Bodytext31Sylfaen9"/>
                <w:sz w:val="20"/>
                <w:szCs w:val="20"/>
              </w:rPr>
              <w:t xml:space="preserve"> = 0,05)</w:t>
            </w:r>
          </w:p>
        </w:tc>
      </w:tr>
      <w:tr w:rsidR="00B834A2" w:rsidRPr="00076955" w14:paraId="522A4706" w14:textId="77777777" w:rsidTr="00B834A2">
        <w:trPr>
          <w:cantSplit/>
          <w:trHeight w:val="1134"/>
        </w:trPr>
        <w:tc>
          <w:tcPr>
            <w:tcW w:w="1986" w:type="dxa"/>
            <w:shd w:val="clear" w:color="auto" w:fill="FFFFFF"/>
          </w:tcPr>
          <w:p w14:paraId="7FF7D946" w14:textId="77777777" w:rsidR="00B834A2" w:rsidRPr="00076955" w:rsidRDefault="00B834A2" w:rsidP="00696072">
            <w:pPr>
              <w:pStyle w:val="Bodytext20"/>
              <w:shd w:val="clear" w:color="auto" w:fill="auto"/>
              <w:spacing w:before="0" w:line="240" w:lineRule="auto"/>
              <w:jc w:val="left"/>
              <w:rPr>
                <w:rFonts w:ascii="Sylfaen" w:hAnsi="Sylfaen" w:cs="Sylfaen"/>
                <w:sz w:val="20"/>
                <w:szCs w:val="20"/>
              </w:rPr>
            </w:pPr>
            <w:r w:rsidRPr="00076955">
              <w:rPr>
                <w:rStyle w:val="Bodytext2Italic"/>
                <w:sz w:val="20"/>
                <w:szCs w:val="20"/>
              </w:rPr>
              <w:t>Կիրառումներ</w:t>
            </w:r>
          </w:p>
        </w:tc>
        <w:tc>
          <w:tcPr>
            <w:tcW w:w="2126" w:type="dxa"/>
            <w:shd w:val="clear" w:color="auto" w:fill="FFFFFF"/>
          </w:tcPr>
          <w:p w14:paraId="6257569A" w14:textId="77777777" w:rsidR="00B834A2" w:rsidRPr="00076955" w:rsidRDefault="00B834A2" w:rsidP="00696072">
            <w:pPr>
              <w:pStyle w:val="Bodytext20"/>
              <w:shd w:val="clear" w:color="auto" w:fill="auto"/>
              <w:spacing w:before="0" w:line="240" w:lineRule="auto"/>
              <w:rPr>
                <w:rFonts w:ascii="Sylfaen" w:hAnsi="Sylfaen" w:cs="Sylfaen"/>
                <w:i/>
                <w:sz w:val="20"/>
                <w:szCs w:val="20"/>
              </w:rPr>
            </w:pPr>
            <w:r w:rsidRPr="00076955">
              <w:rPr>
                <w:rFonts w:ascii="Sylfaen" w:hAnsi="Sylfaen"/>
                <w:sz w:val="20"/>
                <w:szCs w:val="20"/>
              </w:rPr>
              <w:t>k-1=4-1=3=</w:t>
            </w:r>
            <w:r w:rsidRPr="00076955">
              <w:rPr>
                <w:rStyle w:val="Bodytext31Sylfaen9"/>
                <w:sz w:val="20"/>
                <w:szCs w:val="20"/>
              </w:rPr>
              <w:t xml:space="preserve"> ƒ</w:t>
            </w:r>
            <w:r w:rsidRPr="00076955">
              <w:rPr>
                <w:rStyle w:val="Bodytext31Sylfaen9"/>
                <w:sz w:val="20"/>
                <w:szCs w:val="20"/>
                <w:vertAlign w:val="subscript"/>
              </w:rPr>
              <w:t>կ.</w:t>
            </w:r>
          </w:p>
        </w:tc>
        <w:tc>
          <w:tcPr>
            <w:tcW w:w="1594" w:type="dxa"/>
            <w:shd w:val="clear" w:color="auto" w:fill="FFFFFF"/>
          </w:tcPr>
          <w:p w14:paraId="4BA23BAB"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162,246</w:t>
            </w:r>
          </w:p>
        </w:tc>
        <w:tc>
          <w:tcPr>
            <w:tcW w:w="1570" w:type="dxa"/>
            <w:shd w:val="clear" w:color="auto" w:fill="FFFFFF"/>
          </w:tcPr>
          <w:p w14:paraId="29D7F447"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54,082</w:t>
            </w:r>
          </w:p>
        </w:tc>
        <w:tc>
          <w:tcPr>
            <w:tcW w:w="1514" w:type="dxa"/>
            <w:shd w:val="clear" w:color="auto" w:fill="FFFFFF"/>
          </w:tcPr>
          <w:p w14:paraId="5CC30382" w14:textId="77777777" w:rsidR="00B834A2" w:rsidRPr="00076955" w:rsidRDefault="00B834A2" w:rsidP="00696072">
            <w:pPr>
              <w:spacing w:after="120"/>
              <w:jc w:val="center"/>
              <w:rPr>
                <w:sz w:val="20"/>
                <w:szCs w:val="20"/>
              </w:rPr>
            </w:pPr>
          </w:p>
        </w:tc>
        <w:tc>
          <w:tcPr>
            <w:tcW w:w="1842" w:type="dxa"/>
            <w:shd w:val="clear" w:color="auto" w:fill="FFFFFF"/>
          </w:tcPr>
          <w:p w14:paraId="406A8983" w14:textId="77777777" w:rsidR="00B834A2" w:rsidRPr="00076955" w:rsidRDefault="00B834A2" w:rsidP="00696072">
            <w:pPr>
              <w:spacing w:after="120"/>
              <w:jc w:val="center"/>
              <w:rPr>
                <w:sz w:val="20"/>
                <w:szCs w:val="20"/>
              </w:rPr>
            </w:pPr>
          </w:p>
        </w:tc>
      </w:tr>
      <w:tr w:rsidR="00B834A2" w:rsidRPr="00076955" w14:paraId="592717D0" w14:textId="77777777" w:rsidTr="00B834A2">
        <w:trPr>
          <w:cantSplit/>
        </w:trPr>
        <w:tc>
          <w:tcPr>
            <w:tcW w:w="1986" w:type="dxa"/>
            <w:shd w:val="clear" w:color="auto" w:fill="FFFFFF"/>
          </w:tcPr>
          <w:p w14:paraId="3AF38241" w14:textId="77777777" w:rsidR="00B834A2" w:rsidRPr="00076955" w:rsidRDefault="00B834A2" w:rsidP="00696072">
            <w:pPr>
              <w:pStyle w:val="Bodytext20"/>
              <w:shd w:val="clear" w:color="auto" w:fill="auto"/>
              <w:spacing w:before="0" w:line="240" w:lineRule="auto"/>
              <w:jc w:val="left"/>
              <w:rPr>
                <w:rFonts w:ascii="Sylfaen" w:hAnsi="Sylfaen" w:cs="Sylfaen"/>
                <w:sz w:val="20"/>
                <w:szCs w:val="20"/>
              </w:rPr>
            </w:pPr>
            <w:r w:rsidRPr="00076955">
              <w:rPr>
                <w:rStyle w:val="Bodytext2Italic"/>
                <w:sz w:val="20"/>
                <w:szCs w:val="20"/>
              </w:rPr>
              <w:t>Տողեր</w:t>
            </w:r>
          </w:p>
        </w:tc>
        <w:tc>
          <w:tcPr>
            <w:tcW w:w="2126" w:type="dxa"/>
            <w:shd w:val="clear" w:color="auto" w:fill="FFFFFF"/>
          </w:tcPr>
          <w:p w14:paraId="2AD8BF9F"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2Italic"/>
                <w:sz w:val="20"/>
                <w:szCs w:val="20"/>
              </w:rPr>
              <w:t>n-1=3=</w:t>
            </w:r>
            <w:r w:rsidRPr="00076955">
              <w:rPr>
                <w:rStyle w:val="Bodytext31Sylfaen9"/>
                <w:sz w:val="20"/>
                <w:szCs w:val="20"/>
              </w:rPr>
              <w:t>ƒ</w:t>
            </w:r>
            <w:r w:rsidRPr="00076955">
              <w:rPr>
                <w:rStyle w:val="Bodytext31Sylfaen9"/>
                <w:sz w:val="20"/>
                <w:szCs w:val="20"/>
                <w:vertAlign w:val="subscript"/>
              </w:rPr>
              <w:t>տող.</w:t>
            </w:r>
          </w:p>
        </w:tc>
        <w:tc>
          <w:tcPr>
            <w:tcW w:w="1594" w:type="dxa"/>
            <w:shd w:val="clear" w:color="auto" w:fill="FFFFFF"/>
          </w:tcPr>
          <w:p w14:paraId="583BFF97"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6,25</w:t>
            </w:r>
          </w:p>
        </w:tc>
        <w:tc>
          <w:tcPr>
            <w:tcW w:w="1570" w:type="dxa"/>
            <w:shd w:val="clear" w:color="auto" w:fill="FFFFFF"/>
          </w:tcPr>
          <w:p w14:paraId="10C932FA"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2,083</w:t>
            </w:r>
          </w:p>
        </w:tc>
        <w:tc>
          <w:tcPr>
            <w:tcW w:w="1514" w:type="dxa"/>
            <w:shd w:val="clear" w:color="auto" w:fill="FFFFFF"/>
          </w:tcPr>
          <w:p w14:paraId="11B5629C"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2,49</w:t>
            </w:r>
          </w:p>
        </w:tc>
        <w:tc>
          <w:tcPr>
            <w:tcW w:w="1842" w:type="dxa"/>
            <w:shd w:val="clear" w:color="auto" w:fill="FFFFFF"/>
          </w:tcPr>
          <w:p w14:paraId="7694C094" w14:textId="77777777" w:rsidR="00B834A2" w:rsidRPr="00076955" w:rsidRDefault="00B834A2" w:rsidP="00696072">
            <w:pPr>
              <w:pStyle w:val="Bodytext20"/>
              <w:shd w:val="clear" w:color="auto" w:fill="auto"/>
              <w:spacing w:before="0" w:line="240" w:lineRule="auto"/>
              <w:rPr>
                <w:rStyle w:val="Bodytext31Sylfaen9"/>
                <w:sz w:val="20"/>
                <w:szCs w:val="20"/>
              </w:rPr>
            </w:pPr>
            <w:r w:rsidRPr="00076955">
              <w:rPr>
                <w:rStyle w:val="Bodytext31Sylfaen9"/>
                <w:sz w:val="20"/>
                <w:szCs w:val="20"/>
              </w:rPr>
              <w:t>&lt;9,78</w:t>
            </w:r>
          </w:p>
          <w:p w14:paraId="43ACD9AA"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(р = 0,01)</w:t>
            </w:r>
          </w:p>
        </w:tc>
      </w:tr>
      <w:tr w:rsidR="00B834A2" w:rsidRPr="00076955" w14:paraId="6020A223" w14:textId="77777777" w:rsidTr="00B834A2">
        <w:trPr>
          <w:cantSplit/>
        </w:trPr>
        <w:tc>
          <w:tcPr>
            <w:tcW w:w="1986" w:type="dxa"/>
            <w:shd w:val="clear" w:color="auto" w:fill="FFFFFF"/>
          </w:tcPr>
          <w:p w14:paraId="4BC96439" w14:textId="77777777" w:rsidR="00B834A2" w:rsidRPr="00076955" w:rsidRDefault="00B834A2" w:rsidP="00696072">
            <w:pPr>
              <w:pStyle w:val="Bodytext20"/>
              <w:shd w:val="clear" w:color="auto" w:fill="auto"/>
              <w:spacing w:before="0" w:line="240" w:lineRule="auto"/>
              <w:jc w:val="left"/>
              <w:rPr>
                <w:rFonts w:ascii="Sylfaen" w:hAnsi="Sylfaen" w:cs="Sylfaen"/>
                <w:sz w:val="20"/>
                <w:szCs w:val="20"/>
              </w:rPr>
            </w:pPr>
            <w:r w:rsidRPr="00076955">
              <w:rPr>
                <w:rStyle w:val="Bodytext2Italic"/>
                <w:sz w:val="20"/>
                <w:szCs w:val="20"/>
              </w:rPr>
              <w:t>Սյունակներ</w:t>
            </w:r>
          </w:p>
        </w:tc>
        <w:tc>
          <w:tcPr>
            <w:tcW w:w="2126" w:type="dxa"/>
            <w:shd w:val="clear" w:color="auto" w:fill="FFFFFF"/>
          </w:tcPr>
          <w:p w14:paraId="0816BA7F"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2Italic"/>
                <w:sz w:val="20"/>
                <w:szCs w:val="20"/>
              </w:rPr>
              <w:t>n-1=3=</w:t>
            </w:r>
            <w:r w:rsidRPr="00076955">
              <w:rPr>
                <w:rStyle w:val="Bodytext31Sylfaen9"/>
                <w:sz w:val="20"/>
                <w:szCs w:val="20"/>
              </w:rPr>
              <w:t>ƒ</w:t>
            </w:r>
            <w:r w:rsidRPr="00076955">
              <w:rPr>
                <w:rStyle w:val="Bodytext31Sylfaen9"/>
                <w:sz w:val="20"/>
                <w:szCs w:val="20"/>
                <w:vertAlign w:val="subscript"/>
              </w:rPr>
              <w:t>սյուն.</w:t>
            </w:r>
          </w:p>
        </w:tc>
        <w:tc>
          <w:tcPr>
            <w:tcW w:w="1594" w:type="dxa"/>
            <w:shd w:val="clear" w:color="auto" w:fill="FFFFFF"/>
          </w:tcPr>
          <w:p w14:paraId="6AFD612B"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2,19</w:t>
            </w:r>
          </w:p>
        </w:tc>
        <w:tc>
          <w:tcPr>
            <w:tcW w:w="1570" w:type="dxa"/>
            <w:shd w:val="clear" w:color="auto" w:fill="FFFFFF"/>
          </w:tcPr>
          <w:p w14:paraId="15858FF5"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0,73</w:t>
            </w:r>
          </w:p>
        </w:tc>
        <w:tc>
          <w:tcPr>
            <w:tcW w:w="1514" w:type="dxa"/>
            <w:shd w:val="clear" w:color="auto" w:fill="FFFFFF"/>
          </w:tcPr>
          <w:p w14:paraId="3FF05BAF"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0,872</w:t>
            </w:r>
          </w:p>
        </w:tc>
        <w:tc>
          <w:tcPr>
            <w:tcW w:w="1842" w:type="dxa"/>
            <w:shd w:val="clear" w:color="auto" w:fill="FFFFFF"/>
          </w:tcPr>
          <w:p w14:paraId="02FA0C77" w14:textId="77777777" w:rsidR="00B834A2" w:rsidRPr="00076955" w:rsidRDefault="00B834A2" w:rsidP="00696072">
            <w:pPr>
              <w:pStyle w:val="Bodytext20"/>
              <w:shd w:val="clear" w:color="auto" w:fill="auto"/>
              <w:spacing w:before="0" w:line="240" w:lineRule="auto"/>
              <w:rPr>
                <w:rStyle w:val="Bodytext31Sylfaen9"/>
                <w:sz w:val="20"/>
                <w:szCs w:val="20"/>
              </w:rPr>
            </w:pPr>
            <w:r w:rsidRPr="00076955">
              <w:rPr>
                <w:rStyle w:val="Bodytext31Sylfaen9"/>
                <w:sz w:val="20"/>
                <w:szCs w:val="20"/>
              </w:rPr>
              <w:t>&lt;9,78</w:t>
            </w:r>
          </w:p>
          <w:p w14:paraId="4DBCD412"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(р = 0,01)</w:t>
            </w:r>
          </w:p>
        </w:tc>
      </w:tr>
      <w:tr w:rsidR="00B834A2" w:rsidRPr="00076955" w14:paraId="0855E474" w14:textId="77777777" w:rsidTr="00B834A2">
        <w:trPr>
          <w:cantSplit/>
        </w:trPr>
        <w:tc>
          <w:tcPr>
            <w:tcW w:w="1986" w:type="dxa"/>
            <w:shd w:val="clear" w:color="auto" w:fill="FFFFFF"/>
          </w:tcPr>
          <w:p w14:paraId="5EF90343" w14:textId="77777777" w:rsidR="00B834A2" w:rsidRPr="00076955" w:rsidRDefault="00B834A2" w:rsidP="00696072">
            <w:pPr>
              <w:pStyle w:val="Bodytext20"/>
              <w:shd w:val="clear" w:color="auto" w:fill="auto"/>
              <w:spacing w:before="0" w:line="240" w:lineRule="auto"/>
              <w:jc w:val="left"/>
              <w:rPr>
                <w:rFonts w:ascii="Sylfaen" w:hAnsi="Sylfaen" w:cs="Sylfaen"/>
                <w:sz w:val="20"/>
                <w:szCs w:val="20"/>
              </w:rPr>
            </w:pPr>
            <w:r w:rsidRPr="00076955">
              <w:rPr>
                <w:rStyle w:val="Bodytext2Italic"/>
                <w:sz w:val="20"/>
                <w:szCs w:val="20"/>
              </w:rPr>
              <w:t>Շեղում</w:t>
            </w:r>
          </w:p>
        </w:tc>
        <w:tc>
          <w:tcPr>
            <w:tcW w:w="2126" w:type="dxa"/>
            <w:shd w:val="clear" w:color="auto" w:fill="FFFFFF"/>
          </w:tcPr>
          <w:p w14:paraId="11FF066C"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2Italic"/>
                <w:sz w:val="20"/>
                <w:szCs w:val="20"/>
              </w:rPr>
              <w:t xml:space="preserve">N -1- </w:t>
            </w:r>
            <w:r w:rsidRPr="00076955">
              <w:rPr>
                <w:rStyle w:val="Bodytext31Sylfaen9"/>
                <w:sz w:val="20"/>
                <w:szCs w:val="20"/>
              </w:rPr>
              <w:t>ƒ</w:t>
            </w:r>
            <w:r w:rsidRPr="00076955">
              <w:rPr>
                <w:rStyle w:val="Bodytext31Sylfaen9"/>
                <w:sz w:val="20"/>
                <w:szCs w:val="20"/>
                <w:vertAlign w:val="subscript"/>
              </w:rPr>
              <w:t xml:space="preserve">կ. </w:t>
            </w:r>
            <w:r w:rsidRPr="00076955">
              <w:rPr>
                <w:rStyle w:val="Bodytext31Sylfaen9"/>
                <w:sz w:val="20"/>
                <w:szCs w:val="20"/>
              </w:rPr>
              <w:t>-ƒ</w:t>
            </w:r>
            <w:r w:rsidRPr="00076955">
              <w:rPr>
                <w:rStyle w:val="Bodytext31Sylfaen9"/>
                <w:sz w:val="20"/>
                <w:szCs w:val="20"/>
                <w:vertAlign w:val="subscript"/>
              </w:rPr>
              <w:t>տող.</w:t>
            </w:r>
            <w:r w:rsidRPr="00076955">
              <w:rPr>
                <w:rStyle w:val="Bodytext31Sylfaen9"/>
                <w:sz w:val="20"/>
                <w:szCs w:val="20"/>
              </w:rPr>
              <w:t>- ƒ</w:t>
            </w:r>
            <w:r w:rsidRPr="00076955">
              <w:rPr>
                <w:rStyle w:val="Bodytext31Sylfaen9"/>
                <w:sz w:val="20"/>
                <w:szCs w:val="20"/>
                <w:vertAlign w:val="subscript"/>
              </w:rPr>
              <w:t>սյուն.-</w:t>
            </w:r>
            <w:r w:rsidRPr="00076955">
              <w:rPr>
                <w:rStyle w:val="Bodytext31Sylfaen9"/>
                <w:sz w:val="20"/>
                <w:szCs w:val="20"/>
              </w:rPr>
              <w:t>m=6</w:t>
            </w:r>
          </w:p>
        </w:tc>
        <w:tc>
          <w:tcPr>
            <w:tcW w:w="1594" w:type="dxa"/>
            <w:shd w:val="clear" w:color="auto" w:fill="FFFFFF"/>
          </w:tcPr>
          <w:p w14:paraId="7FA611FB"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5,02</w:t>
            </w:r>
          </w:p>
        </w:tc>
        <w:tc>
          <w:tcPr>
            <w:tcW w:w="1570" w:type="dxa"/>
            <w:shd w:val="clear" w:color="auto" w:fill="FFFFFF"/>
          </w:tcPr>
          <w:p w14:paraId="210CC598"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0,837</w:t>
            </w:r>
          </w:p>
        </w:tc>
        <w:tc>
          <w:tcPr>
            <w:tcW w:w="1514" w:type="dxa"/>
            <w:shd w:val="clear" w:color="auto" w:fill="FFFFFF"/>
          </w:tcPr>
          <w:p w14:paraId="020511FE" w14:textId="77777777" w:rsidR="00B834A2" w:rsidRPr="00076955" w:rsidRDefault="00B834A2" w:rsidP="00696072">
            <w:pPr>
              <w:spacing w:after="120"/>
              <w:jc w:val="center"/>
              <w:rPr>
                <w:sz w:val="20"/>
                <w:szCs w:val="20"/>
              </w:rPr>
            </w:pPr>
          </w:p>
        </w:tc>
        <w:tc>
          <w:tcPr>
            <w:tcW w:w="1842" w:type="dxa"/>
            <w:shd w:val="clear" w:color="auto" w:fill="FFFFFF"/>
          </w:tcPr>
          <w:p w14:paraId="178FF27A" w14:textId="77777777" w:rsidR="00B834A2" w:rsidRPr="00076955" w:rsidRDefault="00B834A2" w:rsidP="00696072">
            <w:pPr>
              <w:spacing w:after="120"/>
              <w:jc w:val="center"/>
              <w:rPr>
                <w:sz w:val="20"/>
                <w:szCs w:val="20"/>
              </w:rPr>
            </w:pPr>
          </w:p>
        </w:tc>
      </w:tr>
      <w:tr w:rsidR="00B834A2" w:rsidRPr="00076955" w14:paraId="72FA9225" w14:textId="77777777" w:rsidTr="00696072">
        <w:trPr>
          <w:cantSplit/>
          <w:trHeight w:val="774"/>
        </w:trPr>
        <w:tc>
          <w:tcPr>
            <w:tcW w:w="1986" w:type="dxa"/>
            <w:tcBorders>
              <w:bottom w:val="single" w:sz="4" w:space="0" w:color="auto"/>
            </w:tcBorders>
            <w:shd w:val="clear" w:color="auto" w:fill="FFFFFF"/>
            <w:vAlign w:val="center"/>
          </w:tcPr>
          <w:p w14:paraId="6229EE1C" w14:textId="77777777" w:rsidR="00B834A2" w:rsidRPr="00076955" w:rsidRDefault="00B834A2" w:rsidP="00696072">
            <w:pPr>
              <w:pStyle w:val="Bodytext20"/>
              <w:shd w:val="clear" w:color="auto" w:fill="auto"/>
              <w:spacing w:before="0" w:line="240" w:lineRule="auto"/>
              <w:jc w:val="left"/>
              <w:rPr>
                <w:rFonts w:ascii="Sylfaen" w:hAnsi="Sylfaen" w:cs="Sylfaen"/>
                <w:sz w:val="20"/>
                <w:szCs w:val="20"/>
              </w:rPr>
            </w:pPr>
            <w:r w:rsidRPr="00076955">
              <w:rPr>
                <w:rStyle w:val="Bodytext2Italic"/>
                <w:sz w:val="20"/>
                <w:szCs w:val="20"/>
              </w:rPr>
              <w:t>Արդյունք</w:t>
            </w:r>
          </w:p>
        </w:tc>
        <w:tc>
          <w:tcPr>
            <w:tcW w:w="2126" w:type="dxa"/>
            <w:tcBorders>
              <w:bottom w:val="single" w:sz="4" w:space="0" w:color="auto"/>
            </w:tcBorders>
            <w:shd w:val="clear" w:color="auto" w:fill="FFFFFF"/>
          </w:tcPr>
          <w:p w14:paraId="7DA09C4F"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2Italic"/>
                <w:sz w:val="20"/>
                <w:szCs w:val="20"/>
              </w:rPr>
              <w:t>N -1-m=15</w:t>
            </w:r>
          </w:p>
        </w:tc>
        <w:tc>
          <w:tcPr>
            <w:tcW w:w="1594" w:type="dxa"/>
            <w:tcBorders>
              <w:bottom w:val="single" w:sz="4" w:space="0" w:color="auto"/>
            </w:tcBorders>
            <w:shd w:val="clear" w:color="auto" w:fill="FFFFFF"/>
            <w:vAlign w:val="center"/>
          </w:tcPr>
          <w:p w14:paraId="1599715F"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175,705</w:t>
            </w:r>
          </w:p>
        </w:tc>
        <w:tc>
          <w:tcPr>
            <w:tcW w:w="1570" w:type="dxa"/>
            <w:tcBorders>
              <w:bottom w:val="single" w:sz="4" w:space="0" w:color="auto"/>
            </w:tcBorders>
            <w:shd w:val="clear" w:color="auto" w:fill="FFFFFF"/>
            <w:vAlign w:val="center"/>
          </w:tcPr>
          <w:p w14:paraId="3A9F07ED" w14:textId="77777777" w:rsidR="00B834A2" w:rsidRPr="00076955" w:rsidRDefault="00B834A2" w:rsidP="00696072">
            <w:pPr>
              <w:pStyle w:val="Bodytext20"/>
              <w:shd w:val="clear" w:color="auto" w:fill="auto"/>
              <w:spacing w:before="0" w:line="240" w:lineRule="auto"/>
              <w:rPr>
                <w:rFonts w:ascii="Sylfaen" w:hAnsi="Sylfaen" w:cs="Sylfaen"/>
                <w:sz w:val="20"/>
                <w:szCs w:val="20"/>
              </w:rPr>
            </w:pPr>
            <w:r w:rsidRPr="00076955">
              <w:rPr>
                <w:rStyle w:val="Bodytext31Sylfaen9"/>
                <w:sz w:val="20"/>
                <w:szCs w:val="20"/>
              </w:rPr>
              <w:t>11,71</w:t>
            </w:r>
          </w:p>
        </w:tc>
        <w:tc>
          <w:tcPr>
            <w:tcW w:w="1514" w:type="dxa"/>
            <w:tcBorders>
              <w:bottom w:val="single" w:sz="4" w:space="0" w:color="auto"/>
            </w:tcBorders>
            <w:shd w:val="clear" w:color="auto" w:fill="FFFFFF"/>
          </w:tcPr>
          <w:p w14:paraId="01FFF4B4" w14:textId="77777777" w:rsidR="00B834A2" w:rsidRPr="00076955" w:rsidRDefault="00B834A2" w:rsidP="00696072">
            <w:pPr>
              <w:spacing w:after="120"/>
              <w:jc w:val="center"/>
              <w:rPr>
                <w:sz w:val="20"/>
                <w:szCs w:val="20"/>
              </w:rPr>
            </w:pPr>
          </w:p>
        </w:tc>
        <w:tc>
          <w:tcPr>
            <w:tcW w:w="1842" w:type="dxa"/>
            <w:tcBorders>
              <w:bottom w:val="single" w:sz="4" w:space="0" w:color="auto"/>
            </w:tcBorders>
            <w:shd w:val="clear" w:color="auto" w:fill="FFFFFF"/>
          </w:tcPr>
          <w:p w14:paraId="535B5C8E" w14:textId="77777777" w:rsidR="00B834A2" w:rsidRPr="00076955" w:rsidRDefault="00B834A2" w:rsidP="00696072">
            <w:pPr>
              <w:spacing w:after="120"/>
              <w:jc w:val="center"/>
              <w:rPr>
                <w:sz w:val="20"/>
                <w:szCs w:val="20"/>
              </w:rPr>
            </w:pPr>
          </w:p>
        </w:tc>
      </w:tr>
    </w:tbl>
    <w:p w14:paraId="11C58F21" w14:textId="77777777" w:rsidR="003D450F" w:rsidRDefault="003D450F" w:rsidP="009A3F5E">
      <w:pPr>
        <w:pStyle w:val="Headerorfooter40"/>
        <w:shd w:val="clear" w:color="auto" w:fill="auto"/>
        <w:spacing w:after="160" w:line="360" w:lineRule="auto"/>
        <w:ind w:firstLine="567"/>
        <w:jc w:val="both"/>
        <w:rPr>
          <w:rFonts w:ascii="Sylfaen" w:hAnsi="Sylfaen"/>
          <w:i/>
          <w:sz w:val="24"/>
          <w:szCs w:val="24"/>
        </w:rPr>
      </w:pPr>
    </w:p>
    <w:p w14:paraId="631097DD" w14:textId="77777777" w:rsidR="00B834A2" w:rsidRPr="00B834A2" w:rsidRDefault="00B834A2" w:rsidP="009A3F5E">
      <w:pPr>
        <w:pStyle w:val="Headerorfooter4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n</w:t>
      </w:r>
      <w:r w:rsidRPr="00B834A2">
        <w:rPr>
          <w:rFonts w:ascii="Sylfaen" w:hAnsi="Sylfaen"/>
          <w:sz w:val="24"/>
          <w:szCs w:val="24"/>
        </w:rPr>
        <w:t xml:space="preserve">=4 (դեղաչափի նկատմամբ արձագանքների թիվը). </w:t>
      </w:r>
      <w:r w:rsidRPr="00B834A2">
        <w:rPr>
          <w:rFonts w:ascii="Sylfaen" w:hAnsi="Sylfaen"/>
          <w:i/>
          <w:sz w:val="24"/>
          <w:szCs w:val="24"/>
        </w:rPr>
        <w:t>N=16</w:t>
      </w:r>
      <w:r w:rsidRPr="00B834A2">
        <w:rPr>
          <w:rFonts w:ascii="Sylfaen" w:hAnsi="Sylfaen"/>
          <w:sz w:val="24"/>
          <w:szCs w:val="24"/>
        </w:rPr>
        <w:t xml:space="preserve"> (փորձի ժամանակ արձագանքների ընդհանուր թիվը). </w:t>
      </w:r>
      <w:r w:rsidRPr="00B834A2">
        <w:rPr>
          <w:rStyle w:val="Headerorfooter4Italic"/>
          <w:rFonts w:ascii="Sylfaen" w:hAnsi="Sylfaen"/>
          <w:sz w:val="24"/>
          <w:szCs w:val="24"/>
        </w:rPr>
        <w:t>m</w:t>
      </w:r>
      <w:r w:rsidRPr="00B834A2">
        <w:rPr>
          <w:rFonts w:ascii="Sylfaen" w:hAnsi="Sylfaen"/>
          <w:sz w:val="24"/>
          <w:szCs w:val="24"/>
        </w:rPr>
        <w:t>=0 (կորսված եւ փոխարինված արժեքների թիվը)։</w:t>
      </w:r>
    </w:p>
    <w:p w14:paraId="0E9EDFF1" w14:textId="77777777" w:rsidR="00B834A2" w:rsidRPr="00B834A2" w:rsidRDefault="00000000" w:rsidP="009A3F5E">
      <w:pPr>
        <w:pStyle w:val="Headerorfooter40"/>
        <w:shd w:val="clear" w:color="auto" w:fill="auto"/>
        <w:spacing w:after="160" w:line="360" w:lineRule="auto"/>
        <w:ind w:firstLine="567"/>
        <w:jc w:val="both"/>
        <w:rPr>
          <w:rStyle w:val="Bodytext31Sylfaen9"/>
          <w:rFonts w:eastAsia="Times New Roman"/>
          <w:color w:val="auto"/>
          <w:sz w:val="24"/>
          <w:szCs w:val="24"/>
          <w:shd w:val="clear" w:color="auto" w:fill="auto"/>
        </w:rPr>
      </w:pPr>
      <w:r>
        <w:rPr>
          <w:rFonts w:ascii="Sylfaen" w:hAnsi="Sylfaen" w:cs="Sylfaen"/>
          <w:noProof/>
          <w:sz w:val="24"/>
          <w:szCs w:val="24"/>
        </w:rPr>
        <w:pict w14:anchorId="4BCEF8A9">
          <v:group id="_x0000_s1295" style="position:absolute;left:0;text-align:left;margin-left:24.35pt;margin-top:4.3pt;width:136.95pt;height:226.75pt;z-index:251711488" coordorigin="3471,1504" coordsize="2739,4535">
            <v:rect id="_x0000_s1296" style="position:absolute;left:3471;top:1504;width:1440;height:451" stroked="f">
              <v:textbox>
                <w:txbxContent>
                  <w:p w14:paraId="29D532F1" w14:textId="77777777" w:rsidR="008D6E8B" w:rsidRPr="007C41CC" w:rsidRDefault="008D6E8B" w:rsidP="00B834A2">
                    <w:pPr>
                      <w:rPr>
                        <w:sz w:val="20"/>
                      </w:rPr>
                    </w:pPr>
                    <w:r>
                      <w:rPr>
                        <w:i/>
                        <w:sz w:val="20"/>
                      </w:rPr>
                      <w:t>Ռեգրեսիա</w:t>
                    </w:r>
                  </w:p>
                </w:txbxContent>
              </v:textbox>
            </v:rect>
            <v:rect id="_x0000_s1297" style="position:absolute;left:4161;top:2418;width:2049;height:440" stroked="f">
              <v:textbox>
                <w:txbxContent>
                  <w:p w14:paraId="4BF2159B" w14:textId="77777777" w:rsidR="008D6E8B" w:rsidRPr="007C41CC" w:rsidRDefault="008D6E8B" w:rsidP="00B834A2">
                    <w:pPr>
                      <w:rPr>
                        <w:sz w:val="20"/>
                      </w:rPr>
                    </w:pPr>
                    <w:r w:rsidRPr="000C6958">
                      <w:rPr>
                        <w:i/>
                        <w:sz w:val="16"/>
                      </w:rPr>
                      <w:t>Ոչ զուգահեռություն</w:t>
                    </w:r>
                  </w:p>
                </w:txbxContent>
              </v:textbox>
            </v:rect>
            <v:rect id="_x0000_s1298" style="position:absolute;left:3668;top:3858;width:1752;height:451" stroked="f">
              <v:textbox>
                <w:txbxContent>
                  <w:p w14:paraId="568E51ED" w14:textId="77777777" w:rsidR="008D6E8B" w:rsidRPr="007C41CC" w:rsidRDefault="008D6E8B" w:rsidP="00B834A2">
                    <w:pPr>
                      <w:rPr>
                        <w:sz w:val="20"/>
                      </w:rPr>
                    </w:pPr>
                    <w:r>
                      <w:rPr>
                        <w:rStyle w:val="Bodytext2Italic"/>
                        <w:rFonts w:eastAsia="Tahoma"/>
                      </w:rPr>
                      <w:t>Կիրառումներ</w:t>
                    </w:r>
                  </w:p>
                </w:txbxContent>
              </v:textbox>
            </v:rect>
            <v:rect id="_x0000_s1299" style="position:absolute;left:3668;top:5588;width:1493;height:451" stroked="f">
              <v:textbox>
                <w:txbxContent>
                  <w:p w14:paraId="2106E042" w14:textId="77777777" w:rsidR="008D6E8B" w:rsidRPr="007C41CC" w:rsidRDefault="008D6E8B" w:rsidP="00B834A2">
                    <w:pPr>
                      <w:jc w:val="center"/>
                      <w:rPr>
                        <w:sz w:val="16"/>
                      </w:rPr>
                    </w:pPr>
                    <w:r>
                      <w:rPr>
                        <w:rStyle w:val="Bodytext2Italic"/>
                        <w:rFonts w:eastAsia="Tahoma"/>
                      </w:rPr>
                      <w:t>Տողեր</w:t>
                    </w:r>
                  </w:p>
                </w:txbxContent>
              </v:textbox>
            </v:rect>
          </v:group>
        </w:pict>
      </w:r>
      <w:r w:rsidR="00B834A2" w:rsidRPr="00B834A2">
        <w:rPr>
          <w:rFonts w:ascii="Sylfaen" w:hAnsi="Sylfaen" w:cs="Sylfaen"/>
          <w:noProof/>
          <w:sz w:val="24"/>
          <w:szCs w:val="24"/>
          <w:lang w:val="en-US" w:eastAsia="en-US" w:bidi="ar-SA"/>
        </w:rPr>
        <w:drawing>
          <wp:inline distT="0" distB="0" distL="0" distR="0" wp14:anchorId="5E2658A3" wp14:editId="00235EFA">
            <wp:extent cx="2873626" cy="3398194"/>
            <wp:effectExtent l="19050" t="0" r="2924"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cstate="print"/>
                    <a:srcRect/>
                    <a:stretch>
                      <a:fillRect/>
                    </a:stretch>
                  </pic:blipFill>
                  <pic:spPr bwMode="auto">
                    <a:xfrm>
                      <a:off x="0" y="0"/>
                      <a:ext cx="2874069" cy="3398718"/>
                    </a:xfrm>
                    <a:prstGeom prst="rect">
                      <a:avLst/>
                    </a:prstGeom>
                    <a:noFill/>
                    <a:ln w="9525">
                      <a:noFill/>
                      <a:miter lim="800000"/>
                      <a:headEnd/>
                      <a:tailEnd/>
                    </a:ln>
                  </pic:spPr>
                </pic:pic>
              </a:graphicData>
            </a:graphic>
          </wp:inline>
        </w:drawing>
      </w:r>
    </w:p>
    <w:p w14:paraId="0001CE30" w14:textId="77777777" w:rsidR="00B834A2" w:rsidRPr="00B834A2" w:rsidRDefault="00000000" w:rsidP="009A3F5E">
      <w:pPr>
        <w:pStyle w:val="Bodytext20"/>
        <w:shd w:val="clear" w:color="auto" w:fill="auto"/>
        <w:spacing w:before="0" w:after="160" w:line="360" w:lineRule="auto"/>
        <w:ind w:firstLine="567"/>
        <w:jc w:val="both"/>
        <w:rPr>
          <w:rStyle w:val="Bodytext31Sylfaen9"/>
          <w:sz w:val="24"/>
          <w:szCs w:val="24"/>
        </w:rPr>
      </w:pPr>
      <w:r>
        <w:rPr>
          <w:rFonts w:ascii="Sylfaen" w:hAnsi="Sylfaen" w:cs="Sylfaen"/>
          <w:noProof/>
          <w:color w:val="auto"/>
          <w:sz w:val="24"/>
          <w:szCs w:val="24"/>
        </w:rPr>
        <w:lastRenderedPageBreak/>
        <w:pict w14:anchorId="67FF56AA">
          <v:group id="_x0000_s1300" style="position:absolute;left:0;text-align:left;margin-left:-.6pt;margin-top:6.25pt;width:109.45pt;height:76.8pt;z-index:251712512" coordorigin="3291,6942" coordsize="2189,1536">
            <v:rect id="_x0000_s1301" style="position:absolute;left:4040;top:6942;width:1440;height:397" stroked="f">
              <v:textbox>
                <w:txbxContent>
                  <w:p w14:paraId="6F8B62E9" w14:textId="77777777" w:rsidR="008D6E8B" w:rsidRPr="00386069" w:rsidRDefault="008D6E8B" w:rsidP="00B834A2">
                    <w:pPr>
                      <w:jc w:val="center"/>
                      <w:rPr>
                        <w:i/>
                        <w:sz w:val="20"/>
                      </w:rPr>
                    </w:pPr>
                    <w:r>
                      <w:rPr>
                        <w:i/>
                        <w:sz w:val="20"/>
                      </w:rPr>
                      <w:t>Սյունակները</w:t>
                    </w:r>
                  </w:p>
                </w:txbxContent>
              </v:textbox>
            </v:rect>
            <v:rect id="_x0000_s1302" style="position:absolute;left:3291;top:8081;width:1440;height:397" stroked="f">
              <v:textbox>
                <w:txbxContent>
                  <w:p w14:paraId="32B68399" w14:textId="77777777" w:rsidR="008D6E8B" w:rsidRPr="00386069" w:rsidRDefault="008D6E8B" w:rsidP="00B834A2">
                    <w:pPr>
                      <w:jc w:val="center"/>
                      <w:rPr>
                        <w:i/>
                        <w:sz w:val="20"/>
                      </w:rPr>
                    </w:pPr>
                    <w:r>
                      <w:rPr>
                        <w:i/>
                        <w:sz w:val="20"/>
                      </w:rPr>
                      <w:t>Արդյունք</w:t>
                    </w:r>
                  </w:p>
                </w:txbxContent>
              </v:textbox>
            </v:rect>
          </v:group>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49AC9A4A" wp14:editId="7DA7EBA3">
            <wp:extent cx="2747845" cy="1015246"/>
            <wp:effectExtent l="19050" t="0" r="0" b="0"/>
            <wp:docPr id="24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cstate="print"/>
                    <a:srcRect/>
                    <a:stretch>
                      <a:fillRect/>
                    </a:stretch>
                  </pic:blipFill>
                  <pic:spPr bwMode="auto">
                    <a:xfrm>
                      <a:off x="0" y="0"/>
                      <a:ext cx="2749788" cy="1015964"/>
                    </a:xfrm>
                    <a:prstGeom prst="rect">
                      <a:avLst/>
                    </a:prstGeom>
                    <a:noFill/>
                    <a:ln w="9525">
                      <a:noFill/>
                      <a:miter lim="800000"/>
                      <a:headEnd/>
                      <a:tailEnd/>
                    </a:ln>
                  </pic:spPr>
                </pic:pic>
              </a:graphicData>
            </a:graphic>
          </wp:inline>
        </w:drawing>
      </w:r>
    </w:p>
    <w:p w14:paraId="604FAC4D" w14:textId="77777777" w:rsidR="00B834A2" w:rsidRPr="00B834A2" w:rsidRDefault="00B834A2" w:rsidP="009A3F5E">
      <w:pPr>
        <w:pStyle w:val="Bodytext20"/>
        <w:shd w:val="clear" w:color="auto" w:fill="auto"/>
        <w:spacing w:before="0" w:after="160" w:line="360" w:lineRule="auto"/>
        <w:ind w:firstLine="567"/>
        <w:jc w:val="both"/>
        <w:rPr>
          <w:rStyle w:val="Bodytext31Sylfaen9"/>
          <w:i w:val="0"/>
          <w:sz w:val="24"/>
          <w:szCs w:val="24"/>
        </w:rPr>
      </w:pPr>
      <w:r w:rsidRPr="00B834A2">
        <w:rPr>
          <w:rStyle w:val="Bodytext31Sylfaen9"/>
          <w:sz w:val="24"/>
          <w:szCs w:val="24"/>
        </w:rPr>
        <w:t>Շեղում = արդյունք - կիրառումներ - տողեր -սյունակներ = 175,705-162,246-6,25-2,19=5,02։</w:t>
      </w:r>
    </w:p>
    <w:p w14:paraId="6B91EDE6"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3D450F">
        <w:rPr>
          <w:rStyle w:val="Bodytext31Sylfaen9"/>
          <w:i w:val="0"/>
          <w:sz w:val="24"/>
          <w:szCs w:val="24"/>
        </w:rPr>
        <w:t xml:space="preserve">Դիսպերսիաների տարբերությունների նշանակալիությունը ստուգվում է Ֆիշերի չափորոշչի միջոցով։ </w:t>
      </w:r>
      <w:r w:rsidRPr="00B834A2">
        <w:rPr>
          <w:rFonts w:ascii="Sylfaen" w:hAnsi="Sylfaen"/>
          <w:sz w:val="24"/>
          <w:szCs w:val="24"/>
        </w:rPr>
        <w:t>«Ռեգրեսիա», «Ոչ զուգահեռություն», «Տողեր» եւ «Սյունակներ» ցուցանիշների համար պահանջների կատարումը պարտադիր է։</w:t>
      </w:r>
      <w:r w:rsidRPr="00B834A2">
        <w:rPr>
          <w:rStyle w:val="Bodytext31Sylfaen9"/>
          <w:sz w:val="24"/>
          <w:szCs w:val="24"/>
        </w:rPr>
        <w:t xml:space="preserve"> </w:t>
      </w:r>
      <w:r w:rsidRPr="00B834A2">
        <w:rPr>
          <w:rFonts w:ascii="Sylfaen" w:hAnsi="Sylfaen"/>
          <w:sz w:val="24"/>
          <w:szCs w:val="24"/>
        </w:rPr>
        <w:t xml:space="preserve">«Ռեգրեսիա»-ի համար Ֆիշերի չափորոշչի դիտարկվող արժեքը պետք է մեծ լինի կրիտիկական արժեքից </w:t>
      </w:r>
      <w:r w:rsidRPr="00B834A2">
        <w:rPr>
          <w:rStyle w:val="Bodytext2Italic"/>
          <w:sz w:val="24"/>
          <w:szCs w:val="24"/>
        </w:rPr>
        <w:t>(р</w:t>
      </w:r>
      <w:r w:rsidRPr="00B834A2">
        <w:rPr>
          <w:rStyle w:val="Bodytext31Sylfaen9"/>
          <w:sz w:val="24"/>
          <w:szCs w:val="24"/>
        </w:rPr>
        <w:t xml:space="preserve"> = 0,01),</w:t>
      </w:r>
      <w:r w:rsidRPr="00B834A2">
        <w:rPr>
          <w:rFonts w:ascii="Sylfaen" w:hAnsi="Sylfaen"/>
          <w:sz w:val="24"/>
          <w:szCs w:val="24"/>
        </w:rPr>
        <w:t xml:space="preserve"> իսկ «Ոչ զուգահեռություն» </w:t>
      </w:r>
      <w:r w:rsidRPr="00B834A2">
        <w:rPr>
          <w:rStyle w:val="Bodytext2Italic"/>
          <w:sz w:val="24"/>
          <w:szCs w:val="24"/>
        </w:rPr>
        <w:t>(р =</w:t>
      </w:r>
      <w:r w:rsidRPr="00B834A2">
        <w:rPr>
          <w:rStyle w:val="Bodytext31Sylfaen9"/>
          <w:sz w:val="24"/>
          <w:szCs w:val="24"/>
        </w:rPr>
        <w:t xml:space="preserve"> 0,05), </w:t>
      </w:r>
      <w:r w:rsidRPr="00B834A2">
        <w:rPr>
          <w:rFonts w:ascii="Sylfaen" w:hAnsi="Sylfaen"/>
          <w:sz w:val="24"/>
          <w:szCs w:val="24"/>
        </w:rPr>
        <w:t xml:space="preserve">«Տողեր» </w:t>
      </w:r>
      <w:r w:rsidRPr="00B834A2">
        <w:rPr>
          <w:rStyle w:val="Bodytext2Italic"/>
          <w:sz w:val="24"/>
          <w:szCs w:val="24"/>
        </w:rPr>
        <w:t>(р</w:t>
      </w:r>
      <w:r w:rsidRPr="00B834A2">
        <w:rPr>
          <w:rStyle w:val="Bodytext31Sylfaen9"/>
          <w:sz w:val="24"/>
          <w:szCs w:val="24"/>
        </w:rPr>
        <w:t xml:space="preserve"> = 0,01), </w:t>
      </w:r>
      <w:r w:rsidRPr="00B834A2">
        <w:rPr>
          <w:rFonts w:ascii="Sylfaen" w:hAnsi="Sylfaen"/>
          <w:sz w:val="24"/>
          <w:szCs w:val="24"/>
        </w:rPr>
        <w:t>«Սյունակներ»</w:t>
      </w:r>
      <w:r w:rsidRPr="00B834A2">
        <w:rPr>
          <w:rStyle w:val="Bodytext2Italic"/>
          <w:sz w:val="24"/>
          <w:szCs w:val="24"/>
        </w:rPr>
        <w:t>(р</w:t>
      </w:r>
      <w:r w:rsidRPr="00B834A2">
        <w:rPr>
          <w:rStyle w:val="Bodytext31Sylfaen9"/>
          <w:sz w:val="24"/>
          <w:szCs w:val="24"/>
        </w:rPr>
        <w:t xml:space="preserve"> =</w:t>
      </w:r>
      <w:r w:rsidRPr="00B834A2">
        <w:rPr>
          <w:rStyle w:val="Bodytext285pt"/>
          <w:spacing w:val="0"/>
          <w:sz w:val="24"/>
          <w:szCs w:val="24"/>
        </w:rPr>
        <w:t>0,01</w:t>
      </w:r>
      <w:r w:rsidRPr="00B834A2">
        <w:rPr>
          <w:rStyle w:val="Bodytext31Sylfaen9"/>
          <w:sz w:val="24"/>
          <w:szCs w:val="24"/>
        </w:rPr>
        <w:t xml:space="preserve">) </w:t>
      </w:r>
      <w:r w:rsidRPr="00B834A2">
        <w:rPr>
          <w:rFonts w:ascii="Sylfaen" w:hAnsi="Sylfaen"/>
          <w:sz w:val="24"/>
          <w:szCs w:val="24"/>
        </w:rPr>
        <w:t>ցուցանիշի համար՝ կրիտիկական արժեքից փոքր։</w:t>
      </w:r>
      <w:r w:rsidRPr="00B834A2">
        <w:rPr>
          <w:rStyle w:val="Bodytext31Sylfaen9"/>
          <w:sz w:val="24"/>
          <w:szCs w:val="24"/>
        </w:rPr>
        <w:t xml:space="preserve"> </w:t>
      </w:r>
      <w:r w:rsidRPr="00B834A2">
        <w:rPr>
          <w:rFonts w:ascii="Sylfaen" w:hAnsi="Sylfaen"/>
          <w:sz w:val="24"/>
          <w:szCs w:val="24"/>
        </w:rPr>
        <w:t>«Ռեգրեսիա» ցուցանիշով բնութագրվում է դեղաչափից կախվածությունը, «Ոչ զուգահեռություն» ցուցանիշով՝ ռեգրեսիայի երկու գծերի զուգահեռությունը, իսկ «Տողեր» եւ «Սյունակներ» ցուցանիշներով՝ ամբողջ փորձի ընթացքում մեկուսացված օրգանի արձագանքների հավասարակշռվածությունը։</w:t>
      </w:r>
    </w:p>
    <w:p w14:paraId="586075C8"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Ստացված արդյունքները համեմատվում են Ֆիշերի չափորոշչի աղյուսակային կրիտիկական արժեքների հետ (հավելվածի 3-րդ աղյուսակ)։ </w:t>
      </w:r>
      <w:r w:rsidRPr="00B834A2">
        <w:rPr>
          <w:rFonts w:ascii="Sylfaen" w:hAnsi="Sylfaen"/>
          <w:sz w:val="24"/>
          <w:szCs w:val="24"/>
        </w:rPr>
        <w:t xml:space="preserve">Ազատության աստիճանների թիվը՝ </w:t>
      </w:r>
      <w:r w:rsidRPr="00B834A2">
        <w:rPr>
          <w:rStyle w:val="Bodytext31Sylfaen9"/>
          <w:sz w:val="24"/>
          <w:szCs w:val="24"/>
        </w:rPr>
        <w:t>ƒ</w:t>
      </w:r>
      <w:r w:rsidRPr="00B834A2">
        <w:rPr>
          <w:rStyle w:val="Bodytext31Sylfaen9"/>
          <w:sz w:val="24"/>
          <w:szCs w:val="24"/>
          <w:vertAlign w:val="subscript"/>
        </w:rPr>
        <w:t>1</w:t>
      </w:r>
      <w:r w:rsidRPr="00B834A2">
        <w:rPr>
          <w:rFonts w:ascii="Sylfaen" w:hAnsi="Sylfaen"/>
          <w:sz w:val="24"/>
          <w:szCs w:val="24"/>
        </w:rPr>
        <w:t xml:space="preserve">= 1 կամ 3, իսկ </w:t>
      </w:r>
      <w:r w:rsidRPr="00B834A2">
        <w:rPr>
          <w:rStyle w:val="Bodytext31Sylfaen9"/>
          <w:sz w:val="24"/>
          <w:szCs w:val="24"/>
        </w:rPr>
        <w:t>ƒ</w:t>
      </w:r>
      <w:r w:rsidRPr="00B834A2">
        <w:rPr>
          <w:rStyle w:val="Bodytext285pt"/>
          <w:spacing w:val="0"/>
          <w:sz w:val="24"/>
          <w:szCs w:val="24"/>
          <w:vertAlign w:val="subscript"/>
        </w:rPr>
        <w:t xml:space="preserve"> 2</w:t>
      </w:r>
      <w:r w:rsidRPr="00B834A2">
        <w:rPr>
          <w:rStyle w:val="Bodytext31Sylfaen9"/>
          <w:sz w:val="24"/>
          <w:szCs w:val="24"/>
        </w:rPr>
        <w:t xml:space="preserve"> = </w:t>
      </w:r>
      <w:r w:rsidRPr="00B834A2">
        <w:rPr>
          <w:rStyle w:val="Bodytext285pt"/>
          <w:spacing w:val="0"/>
          <w:sz w:val="24"/>
          <w:szCs w:val="24"/>
        </w:rPr>
        <w:t>6։</w:t>
      </w:r>
    </w:p>
    <w:p w14:paraId="079362C9" w14:textId="77777777" w:rsidR="00B834A2" w:rsidRPr="00D35F34" w:rsidRDefault="00B834A2" w:rsidP="009A3F5E">
      <w:pPr>
        <w:pStyle w:val="Bodytext20"/>
        <w:shd w:val="clear" w:color="auto" w:fill="auto"/>
        <w:spacing w:before="0" w:after="160" w:line="360" w:lineRule="auto"/>
        <w:ind w:firstLine="567"/>
        <w:jc w:val="both"/>
        <w:rPr>
          <w:rFonts w:ascii="Sylfaen" w:hAnsi="Sylfaen"/>
          <w:sz w:val="24"/>
          <w:szCs w:val="24"/>
        </w:rPr>
      </w:pPr>
      <w:r w:rsidRPr="00B834A2">
        <w:rPr>
          <w:rStyle w:val="Bodytext31Sylfaen9"/>
          <w:sz w:val="24"/>
          <w:szCs w:val="24"/>
        </w:rPr>
        <w:t xml:space="preserve">Դիսպերսիոն վերլուծությունը ցույց է տվել փորձի արդյունքների պիտանիությունը՝ </w:t>
      </w:r>
      <w:r w:rsidRPr="00B834A2">
        <w:rPr>
          <w:rFonts w:ascii="Sylfaen" w:hAnsi="Sylfaen"/>
          <w:sz w:val="24"/>
          <w:szCs w:val="24"/>
        </w:rPr>
        <w:t>դեղաչափից կախվածության վիճակագրական նշանակալիությունը («Ռեգրեսիա»), ռեգրեսիայի երկու գծերի զուգահեռությունը («Ոչ զուգահեռություն») եւ տողերի ու սյունակների միջեւ վիճակագրորեն նշանակալի տարբերությունների բացակայությունը (տե՛ս համանուն ցուցանիշները)։</w:t>
      </w:r>
    </w:p>
    <w:p w14:paraId="3C41666D" w14:textId="77777777" w:rsidR="00184198" w:rsidRPr="00D35F34" w:rsidRDefault="00184198" w:rsidP="009A3F5E">
      <w:pPr>
        <w:pStyle w:val="Bodytext20"/>
        <w:shd w:val="clear" w:color="auto" w:fill="auto"/>
        <w:spacing w:before="0" w:after="160" w:line="360" w:lineRule="auto"/>
        <w:ind w:firstLine="567"/>
        <w:jc w:val="both"/>
        <w:rPr>
          <w:rFonts w:ascii="Sylfaen" w:hAnsi="Sylfaen" w:cs="Sylfaen"/>
          <w:sz w:val="24"/>
          <w:szCs w:val="24"/>
        </w:rPr>
      </w:pPr>
    </w:p>
    <w:p w14:paraId="34034049" w14:textId="77777777" w:rsidR="00B834A2" w:rsidRPr="003D450F"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3D450F">
        <w:rPr>
          <w:rStyle w:val="Bodytext31Sylfaen9"/>
          <w:i w:val="0"/>
          <w:sz w:val="24"/>
          <w:szCs w:val="24"/>
        </w:rPr>
        <w:lastRenderedPageBreak/>
        <w:t>Կենսաբանական ակտիվության եւ դրա վստահելի սահմանների հաշվարկումը</w:t>
      </w:r>
    </w:p>
    <w:p w14:paraId="7BC5FE7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Դեղաչափերի հարաբերակցությունը հավասար է 2, հետեւաբար I = Ig2,0 = 0,3010.</w:t>
      </w:r>
    </w:p>
    <w:p w14:paraId="75BF31A7" w14:textId="77777777" w:rsidR="00B834A2" w:rsidRPr="00B834A2" w:rsidRDefault="00000000" w:rsidP="003D450F">
      <w:pPr>
        <w:pStyle w:val="Bodytext20"/>
        <w:shd w:val="clear" w:color="auto" w:fill="auto"/>
        <w:spacing w:before="0" w:after="160" w:line="360" w:lineRule="auto"/>
        <w:ind w:firstLine="567"/>
        <w:rPr>
          <w:rStyle w:val="Bodytext31Sylfaen9"/>
          <w:sz w:val="24"/>
          <w:szCs w:val="24"/>
        </w:rPr>
      </w:pPr>
      <w:r>
        <w:rPr>
          <w:rFonts w:ascii="Sylfaen" w:eastAsia="Sylfaen" w:hAnsi="Sylfaen" w:cs="Sylfaen"/>
          <w:noProof/>
          <w:sz w:val="24"/>
          <w:szCs w:val="24"/>
        </w:rPr>
        <w:pict w14:anchorId="2E07B57E">
          <v:rect id="_x0000_s1303" style="position:absolute;left:0;text-align:left;margin-left:167.6pt;margin-top:31.15pt;width:41.35pt;height:20.4pt;z-index:251713536" stroked="f">
            <v:textbox>
              <w:txbxContent>
                <w:p w14:paraId="1009B0AF" w14:textId="77777777" w:rsidR="008D6E8B" w:rsidRPr="00386069" w:rsidRDefault="008D6E8B" w:rsidP="00B834A2">
                  <w:pPr>
                    <w:jc w:val="center"/>
                    <w:rPr>
                      <w:sz w:val="20"/>
                    </w:rPr>
                  </w:pPr>
                  <w:r w:rsidRPr="005034B6">
                    <w:rPr>
                      <w:sz w:val="20"/>
                    </w:rPr>
                    <w:t>եթե</w:t>
                  </w:r>
                </w:p>
              </w:txbxContent>
            </v:textbox>
          </v:rect>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78CA5E30" wp14:editId="068C5938">
            <wp:extent cx="3229638" cy="1773382"/>
            <wp:effectExtent l="19050" t="0" r="8862"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cstate="print"/>
                    <a:srcRect/>
                    <a:stretch>
                      <a:fillRect/>
                    </a:stretch>
                  </pic:blipFill>
                  <pic:spPr bwMode="auto">
                    <a:xfrm>
                      <a:off x="0" y="0"/>
                      <a:ext cx="3229619" cy="1773372"/>
                    </a:xfrm>
                    <a:prstGeom prst="rect">
                      <a:avLst/>
                    </a:prstGeom>
                    <a:noFill/>
                    <a:ln w="9525">
                      <a:noFill/>
                      <a:miter lim="800000"/>
                      <a:headEnd/>
                      <a:tailEnd/>
                    </a:ln>
                  </pic:spPr>
                </pic:pic>
              </a:graphicData>
            </a:graphic>
          </wp:inline>
        </w:drawing>
      </w:r>
    </w:p>
    <w:p w14:paraId="42E0D691" w14:textId="77777777" w:rsidR="00B834A2" w:rsidRPr="00B834A2" w:rsidRDefault="00B834A2" w:rsidP="003D450F">
      <w:pPr>
        <w:pStyle w:val="Bodytext20"/>
        <w:shd w:val="clear" w:color="auto" w:fill="auto"/>
        <w:spacing w:before="0" w:after="160" w:line="360" w:lineRule="auto"/>
        <w:ind w:firstLine="567"/>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51475D89" wp14:editId="39DC2058">
            <wp:extent cx="2069019" cy="995847"/>
            <wp:effectExtent l="19050" t="0" r="7431"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7" cstate="print"/>
                    <a:srcRect/>
                    <a:stretch>
                      <a:fillRect/>
                    </a:stretch>
                  </pic:blipFill>
                  <pic:spPr bwMode="auto">
                    <a:xfrm>
                      <a:off x="0" y="0"/>
                      <a:ext cx="2068253" cy="995478"/>
                    </a:xfrm>
                    <a:prstGeom prst="rect">
                      <a:avLst/>
                    </a:prstGeom>
                    <a:noFill/>
                    <a:ln w="9525">
                      <a:noFill/>
                      <a:miter lim="800000"/>
                      <a:headEnd/>
                      <a:tailEnd/>
                    </a:ln>
                  </pic:spPr>
                </pic:pic>
              </a:graphicData>
            </a:graphic>
          </wp:inline>
        </w:drawing>
      </w:r>
    </w:p>
    <w:p w14:paraId="46945F1A"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Ակնկալվող ակտիվությունը՝ </w:t>
      </w:r>
      <w:r w:rsidRPr="00B834A2">
        <w:rPr>
          <w:rStyle w:val="Bodytext2Italic"/>
          <w:sz w:val="24"/>
          <w:szCs w:val="24"/>
        </w:rPr>
        <w:t>А</w:t>
      </w:r>
      <w:r w:rsidRPr="00B834A2">
        <w:rPr>
          <w:rStyle w:val="Bodytext2Italic"/>
          <w:sz w:val="24"/>
          <w:szCs w:val="24"/>
          <w:vertAlign w:val="subscript"/>
        </w:rPr>
        <w:t>U</w:t>
      </w:r>
      <w:r w:rsidRPr="00B834A2">
        <w:rPr>
          <w:rStyle w:val="Bodytext2Italic"/>
          <w:sz w:val="24"/>
          <w:szCs w:val="24"/>
        </w:rPr>
        <w:t xml:space="preserve"> =</w:t>
      </w:r>
      <w:r w:rsidRPr="00B834A2">
        <w:rPr>
          <w:rStyle w:val="Bodytext31Sylfaen9"/>
          <w:sz w:val="24"/>
          <w:szCs w:val="24"/>
        </w:rPr>
        <w:t xml:space="preserve"> 5ՄՄ/մլ </w:t>
      </w:r>
      <w:r w:rsidRPr="00B834A2">
        <w:rPr>
          <w:rStyle w:val="Bodytext2Italic"/>
          <w:sz w:val="24"/>
          <w:szCs w:val="24"/>
        </w:rPr>
        <w:t>М</w:t>
      </w:r>
      <w:r w:rsidRPr="00B834A2">
        <w:rPr>
          <w:rStyle w:val="Bodytext2Italic"/>
          <w:sz w:val="24"/>
          <w:szCs w:val="24"/>
          <w:vertAlign w:val="subscript"/>
        </w:rPr>
        <w:t>U</w:t>
      </w:r>
      <w:r w:rsidRPr="00B834A2">
        <w:rPr>
          <w:rStyle w:val="Bodytext2Italic"/>
          <w:sz w:val="24"/>
          <w:szCs w:val="24"/>
        </w:rPr>
        <w:t xml:space="preserve"> =М'</w:t>
      </w:r>
      <w:r w:rsidRPr="00B834A2">
        <w:rPr>
          <w:rStyle w:val="Bodytext2Italic"/>
          <w:sz w:val="24"/>
          <w:szCs w:val="24"/>
          <w:vertAlign w:val="subscript"/>
        </w:rPr>
        <w:t>U</w:t>
      </w:r>
      <w:r w:rsidRPr="00B834A2">
        <w:rPr>
          <w:rStyle w:val="Bodytext2Italic"/>
          <w:sz w:val="24"/>
          <w:szCs w:val="24"/>
        </w:rPr>
        <w:t xml:space="preserve"> + lgA</w:t>
      </w:r>
      <w:r w:rsidRPr="00B834A2">
        <w:rPr>
          <w:rStyle w:val="Bodytext2Italic"/>
          <w:sz w:val="24"/>
          <w:szCs w:val="24"/>
          <w:vertAlign w:val="subscript"/>
        </w:rPr>
        <w:t>U</w:t>
      </w:r>
      <w:r w:rsidRPr="00B834A2">
        <w:rPr>
          <w:rStyle w:val="Bodytext31Sylfaen9"/>
          <w:sz w:val="24"/>
          <w:szCs w:val="24"/>
        </w:rPr>
        <w:t>=0,725.</w:t>
      </w:r>
    </w:p>
    <w:p w14:paraId="45114DE6" w14:textId="77777777" w:rsidR="00B834A2" w:rsidRPr="00B834A2" w:rsidRDefault="00B834A2" w:rsidP="003D450F">
      <w:pPr>
        <w:pStyle w:val="Bodytext20"/>
        <w:shd w:val="clear" w:color="auto" w:fill="auto"/>
        <w:spacing w:before="0" w:after="160" w:line="360" w:lineRule="auto"/>
        <w:ind w:firstLine="567"/>
        <w:rPr>
          <w:rStyle w:val="Bodytext31Sylfaen9"/>
          <w:sz w:val="24"/>
          <w:szCs w:val="24"/>
        </w:rPr>
      </w:pPr>
      <w:r w:rsidRPr="00B834A2">
        <w:rPr>
          <w:rFonts w:ascii="Sylfaen" w:hAnsi="Sylfaen" w:cs="Sylfaen"/>
          <w:noProof/>
          <w:sz w:val="24"/>
          <w:szCs w:val="24"/>
          <w:lang w:val="en-US" w:eastAsia="en-US" w:bidi="ar-SA"/>
        </w:rPr>
        <w:drawing>
          <wp:inline distT="0" distB="0" distL="0" distR="0" wp14:anchorId="4CD1A610" wp14:editId="21DC8257">
            <wp:extent cx="2363932" cy="292941"/>
            <wp:effectExtent l="19050" t="0" r="0" b="0"/>
            <wp:docPr id="5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8" cstate="print"/>
                    <a:srcRect/>
                    <a:stretch>
                      <a:fillRect/>
                    </a:stretch>
                  </pic:blipFill>
                  <pic:spPr bwMode="auto">
                    <a:xfrm>
                      <a:off x="0" y="0"/>
                      <a:ext cx="2364127" cy="292965"/>
                    </a:xfrm>
                    <a:prstGeom prst="rect">
                      <a:avLst/>
                    </a:prstGeom>
                    <a:noFill/>
                    <a:ln w="9525">
                      <a:noFill/>
                      <a:miter lim="800000"/>
                      <a:headEnd/>
                      <a:tailEnd/>
                    </a:ln>
                  </pic:spPr>
                </pic:pic>
              </a:graphicData>
            </a:graphic>
          </wp:inline>
        </w:drawing>
      </w:r>
    </w:p>
    <w:p w14:paraId="43E6482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 xml:space="preserve">Կենսաբանական ակտիվությունը՝ </w:t>
      </w:r>
    </w:p>
    <w:p w14:paraId="746A9A3D" w14:textId="77777777" w:rsidR="00B834A2" w:rsidRPr="00B834A2" w:rsidRDefault="00000000" w:rsidP="009A3F5E">
      <w:pPr>
        <w:pStyle w:val="Bodytext20"/>
        <w:shd w:val="clear" w:color="auto" w:fill="auto"/>
        <w:spacing w:before="0" w:after="160" w:line="360" w:lineRule="auto"/>
        <w:ind w:firstLine="567"/>
        <w:jc w:val="both"/>
        <w:rPr>
          <w:rStyle w:val="Bodytext31Sylfaen9"/>
          <w:sz w:val="24"/>
          <w:szCs w:val="24"/>
        </w:rPr>
      </w:pPr>
      <w:r>
        <w:rPr>
          <w:rFonts w:ascii="Sylfaen" w:eastAsia="Sylfaen" w:hAnsi="Sylfaen" w:cs="Sylfaen"/>
          <w:noProof/>
          <w:sz w:val="24"/>
          <w:szCs w:val="24"/>
        </w:rPr>
        <w:pict w14:anchorId="238104DF">
          <v:rect id="_x0000_s1304" style="position:absolute;left:0;text-align:left;margin-left:139.45pt;margin-top:29.5pt;width:41.35pt;height:16.65pt;z-index:251714560" stroked="f">
            <v:textbox style="mso-next-textbox:#_x0000_s1304">
              <w:txbxContent>
                <w:p w14:paraId="4C1D4237" w14:textId="77777777" w:rsidR="008D6E8B" w:rsidRPr="000F711E" w:rsidRDefault="008D6E8B" w:rsidP="00B834A2">
                  <w:pPr>
                    <w:jc w:val="center"/>
                    <w:rPr>
                      <w:sz w:val="16"/>
                      <w:szCs w:val="16"/>
                    </w:rPr>
                  </w:pPr>
                  <w:r>
                    <w:rPr>
                      <w:sz w:val="16"/>
                    </w:rPr>
                    <w:t>ՄՄ/մլ</w:t>
                  </w:r>
                </w:p>
              </w:txbxContent>
            </v:textbox>
          </v:rect>
        </w:pict>
      </w:r>
    </w:p>
    <w:p w14:paraId="38AC1E7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27A49A82" wp14:editId="70C8293E">
            <wp:extent cx="2294660" cy="537883"/>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9" cstate="print"/>
                    <a:srcRect/>
                    <a:stretch>
                      <a:fillRect/>
                    </a:stretch>
                  </pic:blipFill>
                  <pic:spPr bwMode="auto">
                    <a:xfrm>
                      <a:off x="0" y="0"/>
                      <a:ext cx="2295373" cy="538050"/>
                    </a:xfrm>
                    <a:prstGeom prst="rect">
                      <a:avLst/>
                    </a:prstGeom>
                    <a:noFill/>
                    <a:ln w="9525">
                      <a:noFill/>
                      <a:miter lim="800000"/>
                      <a:headEnd/>
                      <a:tailEnd/>
                    </a:ln>
                  </pic:spPr>
                </pic:pic>
              </a:graphicData>
            </a:graphic>
          </wp:inline>
        </w:drawing>
      </w:r>
    </w:p>
    <w:p w14:paraId="3E193191" w14:textId="77777777" w:rsidR="00B834A2" w:rsidRPr="003D450F" w:rsidRDefault="00B834A2" w:rsidP="009A3F5E">
      <w:pPr>
        <w:pStyle w:val="Bodytext20"/>
        <w:shd w:val="clear" w:color="auto" w:fill="auto"/>
        <w:spacing w:before="0" w:after="160" w:line="360" w:lineRule="auto"/>
        <w:ind w:firstLine="567"/>
        <w:jc w:val="both"/>
        <w:rPr>
          <w:rStyle w:val="Bodytext31Sylfaen9"/>
          <w:i w:val="0"/>
          <w:sz w:val="24"/>
          <w:szCs w:val="24"/>
        </w:rPr>
      </w:pPr>
      <w:r w:rsidRPr="003D450F">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678F50F4" w14:textId="77777777" w:rsidR="00B834A2" w:rsidRPr="00B834A2" w:rsidRDefault="00B834A2" w:rsidP="003D450F">
      <w:pPr>
        <w:pStyle w:val="Bodytext20"/>
        <w:shd w:val="clear" w:color="auto" w:fill="auto"/>
        <w:spacing w:before="0" w:after="160" w:line="360" w:lineRule="auto"/>
        <w:ind w:firstLine="567"/>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49E31C52" wp14:editId="28C245BD">
            <wp:extent cx="3741420" cy="802191"/>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cstate="print"/>
                    <a:srcRect/>
                    <a:stretch>
                      <a:fillRect/>
                    </a:stretch>
                  </pic:blipFill>
                  <pic:spPr bwMode="auto">
                    <a:xfrm>
                      <a:off x="0" y="0"/>
                      <a:ext cx="3743483" cy="802633"/>
                    </a:xfrm>
                    <a:prstGeom prst="rect">
                      <a:avLst/>
                    </a:prstGeom>
                    <a:noFill/>
                    <a:ln w="9525">
                      <a:noFill/>
                      <a:miter lim="800000"/>
                      <a:headEnd/>
                      <a:tailEnd/>
                    </a:ln>
                  </pic:spPr>
                </pic:pic>
              </a:graphicData>
            </a:graphic>
          </wp:inline>
        </w:drawing>
      </w:r>
    </w:p>
    <w:p w14:paraId="00219336" w14:textId="77777777" w:rsidR="00B834A2" w:rsidRPr="00C41622" w:rsidRDefault="00B834A2" w:rsidP="009A3F5E">
      <w:pPr>
        <w:pStyle w:val="Bodytext20"/>
        <w:shd w:val="clear" w:color="auto" w:fill="auto"/>
        <w:spacing w:before="0" w:after="160" w:line="360" w:lineRule="auto"/>
        <w:ind w:firstLine="567"/>
        <w:jc w:val="both"/>
        <w:rPr>
          <w:rFonts w:ascii="Sylfaen" w:hAnsi="Sylfaen"/>
          <w:sz w:val="24"/>
          <w:szCs w:val="24"/>
        </w:rPr>
      </w:pPr>
      <w:r w:rsidRPr="003D450F">
        <w:rPr>
          <w:rStyle w:val="Bodytext31Sylfaen9"/>
          <w:i w:val="0"/>
          <w:sz w:val="24"/>
          <w:szCs w:val="24"/>
        </w:rPr>
        <w:lastRenderedPageBreak/>
        <w:t xml:space="preserve">Փորձարկվող նմուշի կենսաբանական ակտիվության լոգարիթմական վստահելի սահմանները կազմում են -0,0281 եւ 0,0816։ </w:t>
      </w:r>
      <w:r w:rsidRPr="00B834A2">
        <w:rPr>
          <w:rFonts w:ascii="Sylfaen" w:hAnsi="Sylfaen"/>
          <w:sz w:val="24"/>
          <w:szCs w:val="24"/>
        </w:rPr>
        <w:t xml:space="preserve">Վերին եւ ստորին վստահելի սահմանը կազմում է </w:t>
      </w:r>
      <w:r w:rsidRPr="00B834A2">
        <w:rPr>
          <w:rStyle w:val="Bodytext31Sylfaen9"/>
          <w:sz w:val="24"/>
          <w:szCs w:val="24"/>
        </w:rPr>
        <w:t>10</w:t>
      </w:r>
      <w:r w:rsidRPr="00B834A2">
        <w:rPr>
          <w:rStyle w:val="Bodytext31Sylfaen9"/>
          <w:sz w:val="24"/>
          <w:szCs w:val="24"/>
          <w:vertAlign w:val="superscript"/>
        </w:rPr>
        <w:t xml:space="preserve"> IgA</w:t>
      </w:r>
      <w:r w:rsidRPr="00B834A2">
        <w:rPr>
          <w:rStyle w:val="Bodytext31Sylfaen9"/>
          <w:sz w:val="24"/>
          <w:szCs w:val="24"/>
          <w:vertAlign w:val="subscript"/>
        </w:rPr>
        <w:t>U</w:t>
      </w:r>
      <w:r w:rsidRPr="00B834A2">
        <w:rPr>
          <w:rStyle w:val="Bodytext31Sylfaen9"/>
          <w:sz w:val="24"/>
          <w:szCs w:val="24"/>
          <w:vertAlign w:val="superscript"/>
        </w:rPr>
        <w:t xml:space="preserve">+(-0,0281) </w:t>
      </w:r>
      <w:r w:rsidRPr="00B834A2">
        <w:rPr>
          <w:rStyle w:val="Bodytext31Sylfaen9"/>
          <w:sz w:val="24"/>
          <w:szCs w:val="24"/>
        </w:rPr>
        <w:t>եւ 10</w:t>
      </w:r>
      <w:r w:rsidRPr="00B834A2">
        <w:rPr>
          <w:rStyle w:val="Bodytext31Sylfaen9"/>
          <w:sz w:val="24"/>
          <w:szCs w:val="24"/>
          <w:vertAlign w:val="superscript"/>
        </w:rPr>
        <w:t xml:space="preserve"> IgA</w:t>
      </w:r>
      <w:r w:rsidRPr="00B834A2">
        <w:rPr>
          <w:rStyle w:val="Bodytext31Sylfaen9"/>
          <w:sz w:val="24"/>
          <w:szCs w:val="24"/>
          <w:vertAlign w:val="subscript"/>
        </w:rPr>
        <w:t>U</w:t>
      </w:r>
      <w:r w:rsidRPr="00B834A2">
        <w:rPr>
          <w:rStyle w:val="Bodytext31Sylfaen9"/>
          <w:sz w:val="24"/>
          <w:szCs w:val="24"/>
          <w:vertAlign w:val="superscript"/>
        </w:rPr>
        <w:t>+0,0816</w:t>
      </w:r>
      <w:r w:rsidRPr="00B834A2">
        <w:rPr>
          <w:rStyle w:val="Bodytext31Sylfaen9"/>
          <w:sz w:val="24"/>
          <w:szCs w:val="24"/>
        </w:rPr>
        <w:t xml:space="preserve">, </w:t>
      </w:r>
      <w:r w:rsidRPr="00B834A2">
        <w:rPr>
          <w:rFonts w:ascii="Sylfaen" w:hAnsi="Sylfaen"/>
          <w:sz w:val="24"/>
          <w:szCs w:val="24"/>
        </w:rPr>
        <w:t>այսինքն՝ համապատասխանաբար 4,69 ՄՄ/մլ եւ 6,03 ՄՄ/մլ։</w:t>
      </w:r>
    </w:p>
    <w:p w14:paraId="231927AE" w14:textId="77777777" w:rsidR="00B834A2" w:rsidRPr="00B834A2" w:rsidRDefault="00B834A2" w:rsidP="003D450F">
      <w:pPr>
        <w:pStyle w:val="Bodytext20"/>
        <w:shd w:val="clear" w:color="auto" w:fill="auto"/>
        <w:tabs>
          <w:tab w:val="left" w:pos="1276"/>
        </w:tabs>
        <w:spacing w:before="0" w:after="160" w:line="360" w:lineRule="auto"/>
        <w:ind w:firstLine="567"/>
        <w:jc w:val="both"/>
        <w:rPr>
          <w:rFonts w:ascii="Sylfaen" w:hAnsi="Sylfaen" w:cs="Sylfaen"/>
          <w:sz w:val="24"/>
          <w:szCs w:val="24"/>
        </w:rPr>
      </w:pPr>
      <w:r w:rsidRPr="00B834A2">
        <w:rPr>
          <w:rStyle w:val="Bodytext2Italic"/>
          <w:sz w:val="24"/>
          <w:szCs w:val="24"/>
        </w:rPr>
        <w:t>3.2.5.</w:t>
      </w:r>
      <w:r w:rsidR="003D450F">
        <w:rPr>
          <w:rStyle w:val="Bodytext2Italic"/>
          <w:sz w:val="24"/>
          <w:szCs w:val="24"/>
        </w:rPr>
        <w:tab/>
      </w:r>
      <w:r w:rsidRPr="00B834A2">
        <w:rPr>
          <w:rStyle w:val="Bodytext2Italic"/>
          <w:sz w:val="24"/>
          <w:szCs w:val="24"/>
        </w:rPr>
        <w:t xml:space="preserve">Եռադեղաչափ լատինական քառակուսի (Պետրիի թասերում ագարի մեջ դիֆուզիայի մեթոդով հակաբիոտիկների կենսաբանական ակտիվության օրինակով) </w:t>
      </w:r>
    </w:p>
    <w:p w14:paraId="1714065F" w14:textId="77777777" w:rsidR="00B834A2" w:rsidRPr="003D450F"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3D450F">
        <w:rPr>
          <w:rStyle w:val="Bodytext31Sylfaen9"/>
          <w:i w:val="0"/>
          <w:sz w:val="24"/>
          <w:szCs w:val="24"/>
        </w:rPr>
        <w:t>Հակաբիոտիկի կենսաբանական ակտիվությունը որոշվել է ըստ միկրոօրգանիզմների աճի ճնշման գոտիների։ Պետրիի յուրաքանչյուր թասի մեջ ներմուծել են ստանդարտ նմուշի երեքական լուծույթ եւ փորձարկվող նմուշի 3 լուծույթ։ Կոնցենտրացիաների հարաբերակցությունը՝ 1։1.5։ Որպես արձագանք ընդունվել է միկրոօրգանիզմների աճի ճնշման գոտու տրամագիծը՝ մմ-ով։ Փոսիկների կամ գլանների մեջ լուծույթների ներմուծման հաջորդականությունը բերված է 3.2.5-15 աղյուսակում։</w:t>
      </w:r>
    </w:p>
    <w:p w14:paraId="7645294C" w14:textId="77777777" w:rsidR="00B834A2" w:rsidRPr="003D450F"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3D450F">
        <w:rPr>
          <w:rStyle w:val="Bodytext31Sylfaen9"/>
          <w:i w:val="0"/>
          <w:sz w:val="24"/>
          <w:szCs w:val="24"/>
        </w:rPr>
        <w:t xml:space="preserve">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 </w:t>
      </w:r>
      <w:r w:rsidRPr="003D450F">
        <w:rPr>
          <w:rFonts w:ascii="Sylfaen" w:hAnsi="Sylfaen"/>
          <w:i/>
          <w:sz w:val="24"/>
          <w:szCs w:val="24"/>
        </w:rPr>
        <w:t>Ընդ որում, դիսպերսիաների արժեքները հաշվարկվում են 10 աղբյուրի համար (3.2.5-18 ամփոփիչ աղյուսակ)։</w:t>
      </w:r>
    </w:p>
    <w:p w14:paraId="564E510E" w14:textId="77777777" w:rsidR="00B834A2" w:rsidRPr="003D450F" w:rsidRDefault="00B834A2" w:rsidP="009A3F5E">
      <w:pPr>
        <w:pStyle w:val="Bodytext20"/>
        <w:shd w:val="clear" w:color="auto" w:fill="auto"/>
        <w:spacing w:before="0" w:after="160" w:line="360" w:lineRule="auto"/>
        <w:ind w:firstLine="567"/>
        <w:jc w:val="both"/>
        <w:rPr>
          <w:rStyle w:val="Bodytext31Sylfaen9"/>
          <w:i w:val="0"/>
          <w:sz w:val="24"/>
          <w:szCs w:val="24"/>
        </w:rPr>
      </w:pPr>
      <w:r w:rsidRPr="003D450F">
        <w:rPr>
          <w:rStyle w:val="Bodytext31Sylfaen9"/>
          <w:i w:val="0"/>
          <w:sz w:val="24"/>
          <w:szCs w:val="24"/>
        </w:rPr>
        <w:t>Այդ նպատակով 3.2.3-16 եւ 3.2.5-17 աղյուսակներում ներկայացված տվյալների, ինչպես նաեւ ուղղիչ գործակցի հիման վրա հաշվարկվում են դիսպերսիայի աղբյուրների քառակուսիների գումարները։</w:t>
      </w:r>
    </w:p>
    <w:p w14:paraId="15885716" w14:textId="77777777" w:rsidR="00184198" w:rsidRDefault="00184198">
      <w:pPr>
        <w:rPr>
          <w:rStyle w:val="Tablecaption14NotItalic"/>
          <w:rFonts w:ascii="Sylfaen" w:eastAsia="Sylfaen" w:hAnsi="Sylfaen"/>
          <w:i w:val="0"/>
          <w:iCs w:val="0"/>
          <w:sz w:val="24"/>
          <w:szCs w:val="24"/>
        </w:rPr>
      </w:pPr>
      <w:r>
        <w:rPr>
          <w:rStyle w:val="Tablecaption14NotItalic"/>
          <w:rFonts w:ascii="Sylfaen" w:eastAsia="Sylfaen" w:hAnsi="Sylfaen"/>
          <w:sz w:val="24"/>
          <w:szCs w:val="24"/>
        </w:rPr>
        <w:br w:type="page"/>
      </w:r>
    </w:p>
    <w:p w14:paraId="2A81A808" w14:textId="77777777" w:rsidR="00B834A2" w:rsidRPr="00B834A2" w:rsidRDefault="00B834A2" w:rsidP="009A3F5E">
      <w:pPr>
        <w:pStyle w:val="Tablecaption140"/>
        <w:shd w:val="clear" w:color="auto" w:fill="auto"/>
        <w:spacing w:after="160" w:line="360" w:lineRule="auto"/>
        <w:ind w:firstLine="567"/>
        <w:jc w:val="both"/>
        <w:rPr>
          <w:rFonts w:ascii="Sylfaen" w:hAnsi="Sylfaen" w:cs="Sylfaen"/>
          <w:sz w:val="24"/>
          <w:szCs w:val="24"/>
        </w:rPr>
      </w:pPr>
      <w:r w:rsidRPr="00B834A2">
        <w:rPr>
          <w:rStyle w:val="Tablecaption14NotItalic"/>
          <w:rFonts w:ascii="Sylfaen" w:eastAsia="Sylfaen" w:hAnsi="Sylfaen"/>
          <w:sz w:val="24"/>
          <w:szCs w:val="24"/>
        </w:rPr>
        <w:lastRenderedPageBreak/>
        <w:t>Աղյուսակ 3.2.5-15.</w:t>
      </w:r>
      <w:r>
        <w:rPr>
          <w:rStyle w:val="Tablecaption14NotItalic"/>
          <w:rFonts w:ascii="Sylfaen" w:eastAsia="Sylfaen" w:hAnsi="Sylfaen"/>
          <w:sz w:val="24"/>
          <w:szCs w:val="24"/>
        </w:rPr>
        <w:t xml:space="preserve"> </w:t>
      </w:r>
      <w:r w:rsidRPr="00B834A2">
        <w:rPr>
          <w:rFonts w:ascii="Sylfaen" w:hAnsi="Sylfaen"/>
          <w:sz w:val="24"/>
          <w:szCs w:val="24"/>
        </w:rPr>
        <w:t>Պետրիի թասերի մեջ հակաբիոտիկի ստանդարտ նմուշի եւ փորձարկվող պատրաստուկի լուծույթների ներմուծման կարգը (եռադեղաչափ լատինական քառակուսու սխեման)</w:t>
      </w:r>
    </w:p>
    <w:tbl>
      <w:tblPr>
        <w:tblOverlap w:val="never"/>
        <w:tblW w:w="9422" w:type="dxa"/>
        <w:tblLayout w:type="fixed"/>
        <w:tblCellMar>
          <w:left w:w="10" w:type="dxa"/>
          <w:right w:w="10" w:type="dxa"/>
        </w:tblCellMar>
        <w:tblLook w:val="0000" w:firstRow="0" w:lastRow="0" w:firstColumn="0" w:lastColumn="0" w:noHBand="0" w:noVBand="0"/>
      </w:tblPr>
      <w:tblGrid>
        <w:gridCol w:w="1742"/>
        <w:gridCol w:w="946"/>
        <w:gridCol w:w="1243"/>
        <w:gridCol w:w="1430"/>
        <w:gridCol w:w="1440"/>
        <w:gridCol w:w="1234"/>
        <w:gridCol w:w="1387"/>
      </w:tblGrid>
      <w:tr w:rsidR="003D450F" w:rsidRPr="003D450F" w14:paraId="5E9E7488" w14:textId="77777777" w:rsidTr="000A3750">
        <w:tc>
          <w:tcPr>
            <w:tcW w:w="1742" w:type="dxa"/>
            <w:tcBorders>
              <w:top w:val="single" w:sz="4" w:space="0" w:color="auto"/>
            </w:tcBorders>
            <w:shd w:val="clear" w:color="auto" w:fill="FFFFFF"/>
          </w:tcPr>
          <w:p w14:paraId="4B1807DB" w14:textId="77777777" w:rsidR="003D450F" w:rsidRPr="003D450F" w:rsidRDefault="003D450F" w:rsidP="003D450F">
            <w:pPr>
              <w:spacing w:after="120"/>
              <w:jc w:val="center"/>
              <w:rPr>
                <w:sz w:val="20"/>
                <w:szCs w:val="20"/>
              </w:rPr>
            </w:pPr>
            <w:r w:rsidRPr="003D450F">
              <w:rPr>
                <w:rStyle w:val="Bodytext31Sylfaen9"/>
                <w:sz w:val="20"/>
                <w:szCs w:val="20"/>
              </w:rPr>
              <w:t>Թաս №</w:t>
            </w:r>
          </w:p>
        </w:tc>
        <w:tc>
          <w:tcPr>
            <w:tcW w:w="946" w:type="dxa"/>
            <w:tcBorders>
              <w:top w:val="single" w:sz="4" w:space="0" w:color="auto"/>
            </w:tcBorders>
            <w:shd w:val="clear" w:color="auto" w:fill="FFFFFF"/>
          </w:tcPr>
          <w:p w14:paraId="73F24B4D" w14:textId="77777777" w:rsidR="003D450F" w:rsidRPr="003D450F" w:rsidRDefault="003D450F" w:rsidP="003D450F">
            <w:pPr>
              <w:spacing w:after="120"/>
              <w:jc w:val="center"/>
              <w:rPr>
                <w:sz w:val="20"/>
                <w:szCs w:val="20"/>
              </w:rPr>
            </w:pPr>
          </w:p>
        </w:tc>
        <w:tc>
          <w:tcPr>
            <w:tcW w:w="1243" w:type="dxa"/>
            <w:tcBorders>
              <w:top w:val="single" w:sz="4" w:space="0" w:color="auto"/>
            </w:tcBorders>
            <w:shd w:val="clear" w:color="auto" w:fill="FFFFFF"/>
          </w:tcPr>
          <w:p w14:paraId="313FB4A5" w14:textId="77777777" w:rsidR="003D450F" w:rsidRPr="003D450F" w:rsidRDefault="003D450F" w:rsidP="003D450F">
            <w:pPr>
              <w:spacing w:after="120"/>
              <w:jc w:val="center"/>
              <w:rPr>
                <w:sz w:val="20"/>
                <w:szCs w:val="20"/>
              </w:rPr>
            </w:pPr>
          </w:p>
        </w:tc>
        <w:tc>
          <w:tcPr>
            <w:tcW w:w="2870" w:type="dxa"/>
            <w:gridSpan w:val="2"/>
            <w:tcBorders>
              <w:top w:val="single" w:sz="4" w:space="0" w:color="auto"/>
            </w:tcBorders>
            <w:shd w:val="clear" w:color="auto" w:fill="FFFFFF"/>
          </w:tcPr>
          <w:p w14:paraId="7401F887"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Լուծույթների կոնցենտրացիաները</w:t>
            </w:r>
          </w:p>
        </w:tc>
        <w:tc>
          <w:tcPr>
            <w:tcW w:w="1234" w:type="dxa"/>
            <w:tcBorders>
              <w:top w:val="single" w:sz="4" w:space="0" w:color="auto"/>
            </w:tcBorders>
            <w:shd w:val="clear" w:color="auto" w:fill="FFFFFF"/>
          </w:tcPr>
          <w:p w14:paraId="0AA8440A" w14:textId="77777777" w:rsidR="003D450F" w:rsidRPr="003D450F" w:rsidRDefault="003D450F" w:rsidP="003D450F">
            <w:pPr>
              <w:spacing w:after="120"/>
              <w:jc w:val="center"/>
              <w:rPr>
                <w:sz w:val="20"/>
                <w:szCs w:val="20"/>
              </w:rPr>
            </w:pPr>
          </w:p>
        </w:tc>
        <w:tc>
          <w:tcPr>
            <w:tcW w:w="1387" w:type="dxa"/>
            <w:tcBorders>
              <w:top w:val="single" w:sz="4" w:space="0" w:color="auto"/>
            </w:tcBorders>
            <w:shd w:val="clear" w:color="auto" w:fill="FFFFFF"/>
          </w:tcPr>
          <w:p w14:paraId="7446E3CF" w14:textId="77777777" w:rsidR="003D450F" w:rsidRPr="003D450F" w:rsidRDefault="003D450F" w:rsidP="003D450F">
            <w:pPr>
              <w:spacing w:after="120"/>
              <w:jc w:val="center"/>
              <w:rPr>
                <w:sz w:val="20"/>
                <w:szCs w:val="20"/>
              </w:rPr>
            </w:pPr>
          </w:p>
        </w:tc>
      </w:tr>
      <w:tr w:rsidR="003D450F" w:rsidRPr="003D450F" w14:paraId="0A4E882B" w14:textId="77777777" w:rsidTr="000A3750">
        <w:tc>
          <w:tcPr>
            <w:tcW w:w="1742" w:type="dxa"/>
            <w:tcBorders>
              <w:top w:val="single" w:sz="4" w:space="0" w:color="auto"/>
            </w:tcBorders>
            <w:shd w:val="clear" w:color="auto" w:fill="FFFFFF"/>
          </w:tcPr>
          <w:p w14:paraId="7FE97AD1" w14:textId="77777777" w:rsidR="003D450F" w:rsidRPr="003D450F" w:rsidRDefault="003D450F" w:rsidP="003D450F">
            <w:pPr>
              <w:spacing w:after="120"/>
              <w:ind w:firstLine="567"/>
              <w:jc w:val="both"/>
              <w:rPr>
                <w:sz w:val="20"/>
                <w:szCs w:val="20"/>
              </w:rPr>
            </w:pPr>
            <w:r w:rsidRPr="003D450F">
              <w:rPr>
                <w:rStyle w:val="Bodytext31Sylfaen9"/>
                <w:sz w:val="20"/>
                <w:szCs w:val="20"/>
              </w:rPr>
              <w:t>1.</w:t>
            </w:r>
          </w:p>
        </w:tc>
        <w:tc>
          <w:tcPr>
            <w:tcW w:w="946" w:type="dxa"/>
            <w:tcBorders>
              <w:top w:val="single" w:sz="4" w:space="0" w:color="auto"/>
            </w:tcBorders>
            <w:shd w:val="clear" w:color="auto" w:fill="FFFFFF"/>
          </w:tcPr>
          <w:p w14:paraId="3B1995F8"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p>
        </w:tc>
        <w:tc>
          <w:tcPr>
            <w:tcW w:w="1243" w:type="dxa"/>
            <w:tcBorders>
              <w:top w:val="single" w:sz="4" w:space="0" w:color="auto"/>
            </w:tcBorders>
            <w:shd w:val="clear" w:color="auto" w:fill="FFFFFF"/>
          </w:tcPr>
          <w:p w14:paraId="5F9B1040"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s</w:t>
            </w:r>
            <w:r w:rsidRPr="003D450F">
              <w:rPr>
                <w:rStyle w:val="Bodytext2Italic"/>
                <w:sz w:val="20"/>
                <w:szCs w:val="20"/>
                <w:vertAlign w:val="subscript"/>
              </w:rPr>
              <w:t>2</w:t>
            </w:r>
          </w:p>
        </w:tc>
        <w:tc>
          <w:tcPr>
            <w:tcW w:w="1430" w:type="dxa"/>
            <w:tcBorders>
              <w:top w:val="single" w:sz="4" w:space="0" w:color="auto"/>
            </w:tcBorders>
            <w:shd w:val="clear" w:color="auto" w:fill="FFFFFF"/>
          </w:tcPr>
          <w:p w14:paraId="5ACB5A30"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3</w:t>
            </w:r>
          </w:p>
        </w:tc>
        <w:tc>
          <w:tcPr>
            <w:tcW w:w="1440" w:type="dxa"/>
            <w:tcBorders>
              <w:top w:val="single" w:sz="4" w:space="0" w:color="auto"/>
            </w:tcBorders>
            <w:shd w:val="clear" w:color="auto" w:fill="FFFFFF"/>
          </w:tcPr>
          <w:p w14:paraId="464FD5B4"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p>
        </w:tc>
        <w:tc>
          <w:tcPr>
            <w:tcW w:w="1234" w:type="dxa"/>
            <w:tcBorders>
              <w:top w:val="single" w:sz="4" w:space="0" w:color="auto"/>
            </w:tcBorders>
            <w:shd w:val="clear" w:color="auto" w:fill="FFFFFF"/>
          </w:tcPr>
          <w:p w14:paraId="7FC6344D"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u</w:t>
            </w:r>
            <w:r w:rsidRPr="003D450F">
              <w:rPr>
                <w:rStyle w:val="Bodytext2Italic"/>
                <w:sz w:val="20"/>
                <w:szCs w:val="20"/>
                <w:vertAlign w:val="subscript"/>
              </w:rPr>
              <w:t>2</w:t>
            </w:r>
          </w:p>
        </w:tc>
        <w:tc>
          <w:tcPr>
            <w:tcW w:w="1387" w:type="dxa"/>
            <w:tcBorders>
              <w:top w:val="single" w:sz="4" w:space="0" w:color="auto"/>
            </w:tcBorders>
            <w:shd w:val="clear" w:color="auto" w:fill="FFFFFF"/>
          </w:tcPr>
          <w:p w14:paraId="71D16CF9" w14:textId="77777777" w:rsidR="003D450F" w:rsidRPr="003D450F" w:rsidRDefault="003D450F" w:rsidP="003D450F">
            <w:pPr>
              <w:spacing w:after="120"/>
              <w:ind w:firstLine="567"/>
              <w:jc w:val="both"/>
              <w:rPr>
                <w:szCs w:val="20"/>
              </w:rPr>
            </w:pPr>
            <w:r w:rsidRPr="003D450F">
              <w:rPr>
                <w:rStyle w:val="Bodytext2Italic"/>
                <w:sz w:val="20"/>
                <w:szCs w:val="20"/>
              </w:rPr>
              <w:t>u</w:t>
            </w:r>
            <w:r w:rsidRPr="003D450F">
              <w:rPr>
                <w:rStyle w:val="Bodytext2Italic"/>
                <w:sz w:val="20"/>
                <w:szCs w:val="20"/>
                <w:vertAlign w:val="subscript"/>
              </w:rPr>
              <w:t>3</w:t>
            </w:r>
          </w:p>
        </w:tc>
      </w:tr>
      <w:tr w:rsidR="003D450F" w:rsidRPr="003D450F" w14:paraId="19593A53" w14:textId="77777777" w:rsidTr="000A3750">
        <w:tc>
          <w:tcPr>
            <w:tcW w:w="1742" w:type="dxa"/>
            <w:shd w:val="clear" w:color="auto" w:fill="FFFFFF"/>
          </w:tcPr>
          <w:p w14:paraId="01CA88E8" w14:textId="77777777" w:rsidR="003D450F" w:rsidRPr="003D450F" w:rsidRDefault="003D450F" w:rsidP="003D450F">
            <w:pPr>
              <w:spacing w:after="120"/>
              <w:ind w:firstLine="567"/>
              <w:jc w:val="both"/>
              <w:rPr>
                <w:sz w:val="20"/>
                <w:szCs w:val="20"/>
              </w:rPr>
            </w:pPr>
            <w:r w:rsidRPr="003D450F">
              <w:rPr>
                <w:rStyle w:val="Bodytext31Sylfaen9"/>
                <w:sz w:val="20"/>
                <w:szCs w:val="20"/>
              </w:rPr>
              <w:t>2.</w:t>
            </w:r>
          </w:p>
        </w:tc>
        <w:tc>
          <w:tcPr>
            <w:tcW w:w="946" w:type="dxa"/>
            <w:shd w:val="clear" w:color="auto" w:fill="FFFFFF"/>
          </w:tcPr>
          <w:p w14:paraId="51F2D0FF"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3</w:t>
            </w:r>
          </w:p>
        </w:tc>
        <w:tc>
          <w:tcPr>
            <w:tcW w:w="1243" w:type="dxa"/>
            <w:shd w:val="clear" w:color="auto" w:fill="FFFFFF"/>
          </w:tcPr>
          <w:p w14:paraId="6B48A0A0"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p>
        </w:tc>
        <w:tc>
          <w:tcPr>
            <w:tcW w:w="1430" w:type="dxa"/>
            <w:shd w:val="clear" w:color="auto" w:fill="FFFFFF"/>
          </w:tcPr>
          <w:p w14:paraId="5C4710BC"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2</w:t>
            </w:r>
          </w:p>
        </w:tc>
        <w:tc>
          <w:tcPr>
            <w:tcW w:w="1440" w:type="dxa"/>
            <w:shd w:val="clear" w:color="auto" w:fill="FFFFFF"/>
          </w:tcPr>
          <w:p w14:paraId="2D59EAD1"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s</w:t>
            </w:r>
            <w:r w:rsidRPr="003D450F">
              <w:rPr>
                <w:rStyle w:val="Bodytext2Italic"/>
                <w:sz w:val="20"/>
                <w:szCs w:val="20"/>
                <w:vertAlign w:val="subscript"/>
              </w:rPr>
              <w:t>3</w:t>
            </w:r>
          </w:p>
        </w:tc>
        <w:tc>
          <w:tcPr>
            <w:tcW w:w="1234" w:type="dxa"/>
            <w:shd w:val="clear" w:color="auto" w:fill="FFFFFF"/>
          </w:tcPr>
          <w:p w14:paraId="6D922AB1"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p>
        </w:tc>
        <w:tc>
          <w:tcPr>
            <w:tcW w:w="1387" w:type="dxa"/>
            <w:shd w:val="clear" w:color="auto" w:fill="FFFFFF"/>
          </w:tcPr>
          <w:p w14:paraId="1B7CAF2E" w14:textId="77777777" w:rsidR="003D450F" w:rsidRPr="003D450F" w:rsidRDefault="003D450F" w:rsidP="003D450F">
            <w:pPr>
              <w:spacing w:after="120"/>
              <w:ind w:firstLine="567"/>
              <w:jc w:val="both"/>
              <w:rPr>
                <w:sz w:val="20"/>
                <w:szCs w:val="20"/>
              </w:rPr>
            </w:pPr>
            <w:r w:rsidRPr="003D450F">
              <w:rPr>
                <w:rStyle w:val="Bodytext2Italic"/>
                <w:sz w:val="20"/>
                <w:szCs w:val="20"/>
              </w:rPr>
              <w:t>u</w:t>
            </w:r>
            <w:r w:rsidRPr="003D450F">
              <w:rPr>
                <w:rStyle w:val="Bodytext2Italic"/>
                <w:sz w:val="20"/>
                <w:szCs w:val="20"/>
                <w:vertAlign w:val="subscript"/>
              </w:rPr>
              <w:t>2</w:t>
            </w:r>
          </w:p>
        </w:tc>
      </w:tr>
      <w:tr w:rsidR="003D450F" w:rsidRPr="003D450F" w14:paraId="1A225ABD" w14:textId="77777777" w:rsidTr="000A3750">
        <w:tc>
          <w:tcPr>
            <w:tcW w:w="1742" w:type="dxa"/>
            <w:shd w:val="clear" w:color="auto" w:fill="FFFFFF"/>
          </w:tcPr>
          <w:p w14:paraId="0F1F47FD" w14:textId="77777777" w:rsidR="003D450F" w:rsidRPr="003D450F" w:rsidRDefault="003D450F" w:rsidP="003D450F">
            <w:pPr>
              <w:spacing w:after="120"/>
              <w:ind w:firstLine="567"/>
              <w:jc w:val="both"/>
              <w:rPr>
                <w:sz w:val="20"/>
                <w:szCs w:val="20"/>
              </w:rPr>
            </w:pPr>
            <w:r w:rsidRPr="003D450F">
              <w:rPr>
                <w:rStyle w:val="Bodytext31Sylfaen9"/>
                <w:sz w:val="20"/>
                <w:szCs w:val="20"/>
              </w:rPr>
              <w:t>3.</w:t>
            </w:r>
          </w:p>
        </w:tc>
        <w:tc>
          <w:tcPr>
            <w:tcW w:w="946" w:type="dxa"/>
            <w:shd w:val="clear" w:color="auto" w:fill="FFFFFF"/>
          </w:tcPr>
          <w:p w14:paraId="3E19737A"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u</w:t>
            </w:r>
            <w:r w:rsidRPr="003D450F">
              <w:rPr>
                <w:rStyle w:val="Bodytext31Sylfaen9"/>
                <w:sz w:val="20"/>
                <w:szCs w:val="20"/>
                <w:vertAlign w:val="subscript"/>
              </w:rPr>
              <w:t>2</w:t>
            </w:r>
          </w:p>
        </w:tc>
        <w:tc>
          <w:tcPr>
            <w:tcW w:w="1243" w:type="dxa"/>
            <w:shd w:val="clear" w:color="auto" w:fill="FFFFFF"/>
          </w:tcPr>
          <w:p w14:paraId="716FDC7E"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u</w:t>
            </w:r>
            <w:r w:rsidRPr="003D450F">
              <w:rPr>
                <w:rStyle w:val="Bodytext2Italic"/>
                <w:sz w:val="20"/>
                <w:szCs w:val="20"/>
                <w:vertAlign w:val="subscript"/>
              </w:rPr>
              <w:t>3</w:t>
            </w:r>
          </w:p>
        </w:tc>
        <w:tc>
          <w:tcPr>
            <w:tcW w:w="1430" w:type="dxa"/>
            <w:shd w:val="clear" w:color="auto" w:fill="FFFFFF"/>
          </w:tcPr>
          <w:p w14:paraId="6B6AD16C"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p>
        </w:tc>
        <w:tc>
          <w:tcPr>
            <w:tcW w:w="1440" w:type="dxa"/>
            <w:shd w:val="clear" w:color="auto" w:fill="FFFFFF"/>
          </w:tcPr>
          <w:p w14:paraId="7BF0FB9D"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s</w:t>
            </w:r>
            <w:r w:rsidRPr="003D450F">
              <w:rPr>
                <w:rStyle w:val="Bodytext2Italic"/>
                <w:sz w:val="20"/>
                <w:szCs w:val="20"/>
                <w:vertAlign w:val="subscript"/>
              </w:rPr>
              <w:t>2</w:t>
            </w:r>
          </w:p>
        </w:tc>
        <w:tc>
          <w:tcPr>
            <w:tcW w:w="1234" w:type="dxa"/>
            <w:shd w:val="clear" w:color="auto" w:fill="FFFFFF"/>
          </w:tcPr>
          <w:p w14:paraId="66F1BF14"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3</w:t>
            </w:r>
          </w:p>
        </w:tc>
        <w:tc>
          <w:tcPr>
            <w:tcW w:w="1387" w:type="dxa"/>
            <w:shd w:val="clear" w:color="auto" w:fill="FFFFFF"/>
          </w:tcPr>
          <w:p w14:paraId="633C44A5" w14:textId="77777777" w:rsidR="003D450F" w:rsidRPr="003D450F" w:rsidRDefault="003D450F" w:rsidP="003D450F">
            <w:pPr>
              <w:spacing w:after="120"/>
              <w:ind w:firstLine="567"/>
              <w:jc w:val="both"/>
              <w:rPr>
                <w:sz w:val="20"/>
                <w:szCs w:val="20"/>
              </w:rPr>
            </w:pPr>
            <w:r w:rsidRPr="003D450F">
              <w:rPr>
                <w:rStyle w:val="Bodytext2Italic"/>
                <w:sz w:val="20"/>
                <w:szCs w:val="20"/>
              </w:rPr>
              <w:t>u</w:t>
            </w:r>
            <w:r w:rsidRPr="003D450F">
              <w:rPr>
                <w:rStyle w:val="Bodytext2Italic"/>
                <w:sz w:val="20"/>
                <w:szCs w:val="20"/>
                <w:vertAlign w:val="subscript"/>
              </w:rPr>
              <w:t>1</w:t>
            </w:r>
          </w:p>
        </w:tc>
      </w:tr>
      <w:tr w:rsidR="003D450F" w:rsidRPr="003D450F" w14:paraId="78C82DF2" w14:textId="77777777" w:rsidTr="000A3750">
        <w:tc>
          <w:tcPr>
            <w:tcW w:w="1742" w:type="dxa"/>
            <w:shd w:val="clear" w:color="auto" w:fill="FFFFFF"/>
          </w:tcPr>
          <w:p w14:paraId="32FFD49C" w14:textId="77777777" w:rsidR="003D450F" w:rsidRPr="003D450F" w:rsidRDefault="003D450F" w:rsidP="003D450F">
            <w:pPr>
              <w:spacing w:after="120"/>
              <w:ind w:firstLine="567"/>
              <w:jc w:val="both"/>
              <w:rPr>
                <w:sz w:val="20"/>
                <w:szCs w:val="20"/>
              </w:rPr>
            </w:pPr>
            <w:r w:rsidRPr="003D450F">
              <w:rPr>
                <w:rStyle w:val="Bodytext31Sylfaen9"/>
                <w:sz w:val="20"/>
                <w:szCs w:val="20"/>
              </w:rPr>
              <w:t>4.</w:t>
            </w:r>
          </w:p>
        </w:tc>
        <w:tc>
          <w:tcPr>
            <w:tcW w:w="946" w:type="dxa"/>
            <w:shd w:val="clear" w:color="auto" w:fill="FFFFFF"/>
          </w:tcPr>
          <w:p w14:paraId="1B8C373F"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p>
        </w:tc>
        <w:tc>
          <w:tcPr>
            <w:tcW w:w="1243" w:type="dxa"/>
            <w:shd w:val="clear" w:color="auto" w:fill="FFFFFF"/>
          </w:tcPr>
          <w:p w14:paraId="6D3025CE" w14:textId="77777777" w:rsidR="003D450F" w:rsidRPr="003D450F" w:rsidRDefault="003D450F" w:rsidP="003D450F">
            <w:pPr>
              <w:pStyle w:val="Bodytext20"/>
              <w:shd w:val="clear" w:color="auto" w:fill="auto"/>
              <w:spacing w:before="0" w:line="240" w:lineRule="auto"/>
              <w:rPr>
                <w:rFonts w:ascii="Sylfaen" w:hAnsi="Sylfaen" w:cs="Sylfaen"/>
                <w:i/>
                <w:sz w:val="20"/>
                <w:szCs w:val="20"/>
              </w:rPr>
            </w:pPr>
            <w:r w:rsidRPr="003D450F">
              <w:rPr>
                <w:rStyle w:val="Bodytext31Sylfaen9"/>
                <w:sz w:val="20"/>
                <w:szCs w:val="20"/>
              </w:rPr>
              <w:t>u</w:t>
            </w:r>
            <w:r w:rsidRPr="003D450F">
              <w:rPr>
                <w:rStyle w:val="Bodytext2Italic"/>
                <w:sz w:val="20"/>
                <w:szCs w:val="20"/>
                <w:vertAlign w:val="subscript"/>
              </w:rPr>
              <w:t>2</w:t>
            </w:r>
          </w:p>
        </w:tc>
        <w:tc>
          <w:tcPr>
            <w:tcW w:w="1430" w:type="dxa"/>
            <w:shd w:val="clear" w:color="auto" w:fill="FFFFFF"/>
          </w:tcPr>
          <w:p w14:paraId="6B273955"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u</w:t>
            </w:r>
            <w:r w:rsidRPr="003D450F">
              <w:rPr>
                <w:rStyle w:val="Bodytext2Italic"/>
                <w:sz w:val="20"/>
                <w:szCs w:val="20"/>
                <w:vertAlign w:val="subscript"/>
              </w:rPr>
              <w:t>3</w:t>
            </w:r>
          </w:p>
        </w:tc>
        <w:tc>
          <w:tcPr>
            <w:tcW w:w="1440" w:type="dxa"/>
            <w:shd w:val="clear" w:color="auto" w:fill="FFFFFF"/>
          </w:tcPr>
          <w:p w14:paraId="5ACF687D"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p>
        </w:tc>
        <w:tc>
          <w:tcPr>
            <w:tcW w:w="1234" w:type="dxa"/>
            <w:shd w:val="clear" w:color="auto" w:fill="FFFFFF"/>
          </w:tcPr>
          <w:p w14:paraId="61E871ED"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2</w:t>
            </w:r>
          </w:p>
        </w:tc>
        <w:tc>
          <w:tcPr>
            <w:tcW w:w="1387" w:type="dxa"/>
            <w:shd w:val="clear" w:color="auto" w:fill="FFFFFF"/>
          </w:tcPr>
          <w:p w14:paraId="2D678E3B" w14:textId="77777777" w:rsidR="003D450F" w:rsidRPr="003D450F" w:rsidRDefault="003D450F" w:rsidP="003D450F">
            <w:pPr>
              <w:spacing w:after="120"/>
              <w:ind w:firstLine="567"/>
              <w:jc w:val="both"/>
              <w:rPr>
                <w:sz w:val="20"/>
                <w:szCs w:val="20"/>
              </w:rPr>
            </w:pPr>
            <w:r w:rsidRPr="003D450F">
              <w:rPr>
                <w:rStyle w:val="Bodytext31Sylfaen9"/>
                <w:sz w:val="20"/>
                <w:szCs w:val="20"/>
              </w:rPr>
              <w:t>s</w:t>
            </w:r>
            <w:r w:rsidRPr="003D450F">
              <w:rPr>
                <w:rStyle w:val="Bodytext31Sylfaen9"/>
                <w:sz w:val="20"/>
                <w:szCs w:val="20"/>
                <w:vertAlign w:val="subscript"/>
              </w:rPr>
              <w:t>3</w:t>
            </w:r>
          </w:p>
        </w:tc>
      </w:tr>
      <w:tr w:rsidR="003D450F" w:rsidRPr="003D450F" w14:paraId="0412EE86" w14:textId="77777777" w:rsidTr="000A3750">
        <w:tc>
          <w:tcPr>
            <w:tcW w:w="1742" w:type="dxa"/>
            <w:shd w:val="clear" w:color="auto" w:fill="FFFFFF"/>
          </w:tcPr>
          <w:p w14:paraId="329785D1" w14:textId="77777777" w:rsidR="003D450F" w:rsidRPr="003D450F" w:rsidRDefault="003D450F" w:rsidP="003D450F">
            <w:pPr>
              <w:spacing w:after="120"/>
              <w:ind w:firstLine="567"/>
              <w:jc w:val="both"/>
              <w:rPr>
                <w:sz w:val="20"/>
                <w:szCs w:val="20"/>
              </w:rPr>
            </w:pPr>
            <w:r w:rsidRPr="003D450F">
              <w:rPr>
                <w:rStyle w:val="Bodytext31Sylfaen9"/>
                <w:sz w:val="20"/>
                <w:szCs w:val="20"/>
              </w:rPr>
              <w:t>5.</w:t>
            </w:r>
          </w:p>
        </w:tc>
        <w:tc>
          <w:tcPr>
            <w:tcW w:w="946" w:type="dxa"/>
            <w:shd w:val="clear" w:color="auto" w:fill="FFFFFF"/>
          </w:tcPr>
          <w:p w14:paraId="79F561CA"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3</w:t>
            </w:r>
          </w:p>
        </w:tc>
        <w:tc>
          <w:tcPr>
            <w:tcW w:w="1243" w:type="dxa"/>
            <w:shd w:val="clear" w:color="auto" w:fill="FFFFFF"/>
          </w:tcPr>
          <w:p w14:paraId="55B56B6E"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p>
        </w:tc>
        <w:tc>
          <w:tcPr>
            <w:tcW w:w="1430" w:type="dxa"/>
            <w:shd w:val="clear" w:color="auto" w:fill="FFFFFF"/>
          </w:tcPr>
          <w:p w14:paraId="2BE74E47"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u</w:t>
            </w:r>
            <w:r w:rsidRPr="003D450F">
              <w:rPr>
                <w:rStyle w:val="Bodytext2Italic"/>
                <w:sz w:val="20"/>
                <w:szCs w:val="20"/>
                <w:vertAlign w:val="subscript"/>
              </w:rPr>
              <w:t>2</w:t>
            </w:r>
          </w:p>
        </w:tc>
        <w:tc>
          <w:tcPr>
            <w:tcW w:w="1440" w:type="dxa"/>
            <w:shd w:val="clear" w:color="auto" w:fill="FFFFFF"/>
          </w:tcPr>
          <w:p w14:paraId="63B2C22C" w14:textId="77777777" w:rsidR="003D450F" w:rsidRPr="003D450F" w:rsidRDefault="003D450F" w:rsidP="003D450F">
            <w:pPr>
              <w:spacing w:after="120"/>
              <w:jc w:val="center"/>
              <w:rPr>
                <w:sz w:val="20"/>
                <w:szCs w:val="20"/>
              </w:rPr>
            </w:pPr>
            <w:r w:rsidRPr="003D450F">
              <w:rPr>
                <w:rStyle w:val="Bodytext31Sylfaen9"/>
                <w:sz w:val="20"/>
                <w:szCs w:val="20"/>
              </w:rPr>
              <w:t>u</w:t>
            </w:r>
            <w:r w:rsidRPr="003D450F">
              <w:rPr>
                <w:rStyle w:val="Bodytext2Italic"/>
                <w:rFonts w:eastAsia="Tahoma"/>
                <w:sz w:val="20"/>
                <w:szCs w:val="20"/>
                <w:vertAlign w:val="subscript"/>
              </w:rPr>
              <w:t>3</w:t>
            </w:r>
          </w:p>
        </w:tc>
        <w:tc>
          <w:tcPr>
            <w:tcW w:w="1234" w:type="dxa"/>
            <w:shd w:val="clear" w:color="auto" w:fill="FFFFFF"/>
          </w:tcPr>
          <w:p w14:paraId="5BCFFDA8"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p>
        </w:tc>
        <w:tc>
          <w:tcPr>
            <w:tcW w:w="1387" w:type="dxa"/>
            <w:shd w:val="clear" w:color="auto" w:fill="FFFFFF"/>
          </w:tcPr>
          <w:p w14:paraId="5542F08B" w14:textId="77777777" w:rsidR="003D450F" w:rsidRPr="003D450F" w:rsidRDefault="003D450F" w:rsidP="003D450F">
            <w:pPr>
              <w:spacing w:after="120"/>
              <w:ind w:firstLine="567"/>
              <w:jc w:val="both"/>
              <w:rPr>
                <w:sz w:val="20"/>
                <w:szCs w:val="20"/>
              </w:rPr>
            </w:pPr>
            <w:r w:rsidRPr="003D450F">
              <w:rPr>
                <w:rStyle w:val="Bodytext31Sylfaen9"/>
                <w:sz w:val="20"/>
                <w:szCs w:val="20"/>
              </w:rPr>
              <w:t>s</w:t>
            </w:r>
            <w:r w:rsidRPr="003D450F">
              <w:rPr>
                <w:rStyle w:val="Bodytext31Sylfaen9"/>
                <w:sz w:val="20"/>
                <w:szCs w:val="20"/>
                <w:vertAlign w:val="subscript"/>
              </w:rPr>
              <w:t>2</w:t>
            </w:r>
          </w:p>
        </w:tc>
      </w:tr>
      <w:tr w:rsidR="003D450F" w:rsidRPr="003D450F" w14:paraId="2DC90CD8" w14:textId="77777777" w:rsidTr="000A3750">
        <w:tc>
          <w:tcPr>
            <w:tcW w:w="1742" w:type="dxa"/>
            <w:tcBorders>
              <w:bottom w:val="single" w:sz="4" w:space="0" w:color="auto"/>
            </w:tcBorders>
            <w:shd w:val="clear" w:color="auto" w:fill="FFFFFF"/>
          </w:tcPr>
          <w:p w14:paraId="65553EFA" w14:textId="77777777" w:rsidR="003D450F" w:rsidRPr="003D450F" w:rsidRDefault="003D450F" w:rsidP="003D450F">
            <w:pPr>
              <w:spacing w:after="120"/>
              <w:ind w:firstLine="567"/>
              <w:jc w:val="both"/>
              <w:rPr>
                <w:sz w:val="20"/>
                <w:szCs w:val="20"/>
              </w:rPr>
            </w:pPr>
            <w:r w:rsidRPr="003D450F">
              <w:rPr>
                <w:rStyle w:val="Bodytext31Sylfaen9"/>
                <w:sz w:val="20"/>
                <w:szCs w:val="20"/>
              </w:rPr>
              <w:t>6.</w:t>
            </w:r>
          </w:p>
        </w:tc>
        <w:tc>
          <w:tcPr>
            <w:tcW w:w="946" w:type="dxa"/>
            <w:tcBorders>
              <w:bottom w:val="single" w:sz="4" w:space="0" w:color="auto"/>
            </w:tcBorders>
            <w:shd w:val="clear" w:color="auto" w:fill="FFFFFF"/>
          </w:tcPr>
          <w:p w14:paraId="125DF4C9"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s</w:t>
            </w:r>
            <w:r w:rsidRPr="003D450F">
              <w:rPr>
                <w:rStyle w:val="Bodytext2Italic"/>
                <w:sz w:val="20"/>
                <w:szCs w:val="20"/>
                <w:vertAlign w:val="subscript"/>
              </w:rPr>
              <w:t>2</w:t>
            </w:r>
          </w:p>
        </w:tc>
        <w:tc>
          <w:tcPr>
            <w:tcW w:w="1243" w:type="dxa"/>
            <w:tcBorders>
              <w:bottom w:val="single" w:sz="4" w:space="0" w:color="auto"/>
            </w:tcBorders>
            <w:shd w:val="clear" w:color="auto" w:fill="FFFFFF"/>
          </w:tcPr>
          <w:p w14:paraId="39846F14"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s</w:t>
            </w:r>
            <w:r w:rsidRPr="003D450F">
              <w:rPr>
                <w:rStyle w:val="Bodytext2Italic"/>
                <w:sz w:val="20"/>
                <w:szCs w:val="20"/>
                <w:vertAlign w:val="subscript"/>
              </w:rPr>
              <w:t>3</w:t>
            </w:r>
          </w:p>
        </w:tc>
        <w:tc>
          <w:tcPr>
            <w:tcW w:w="1430" w:type="dxa"/>
            <w:tcBorders>
              <w:bottom w:val="single" w:sz="4" w:space="0" w:color="auto"/>
            </w:tcBorders>
            <w:shd w:val="clear" w:color="auto" w:fill="FFFFFF"/>
          </w:tcPr>
          <w:p w14:paraId="28A6249D"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p>
        </w:tc>
        <w:tc>
          <w:tcPr>
            <w:tcW w:w="1440" w:type="dxa"/>
            <w:tcBorders>
              <w:bottom w:val="single" w:sz="4" w:space="0" w:color="auto"/>
            </w:tcBorders>
            <w:shd w:val="clear" w:color="auto" w:fill="FFFFFF"/>
          </w:tcPr>
          <w:p w14:paraId="08D7666B"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2</w:t>
            </w:r>
          </w:p>
        </w:tc>
        <w:tc>
          <w:tcPr>
            <w:tcW w:w="1234" w:type="dxa"/>
            <w:tcBorders>
              <w:bottom w:val="single" w:sz="4" w:space="0" w:color="auto"/>
            </w:tcBorders>
            <w:shd w:val="clear" w:color="auto" w:fill="FFFFFF"/>
          </w:tcPr>
          <w:p w14:paraId="4A80C002" w14:textId="77777777" w:rsidR="003D450F" w:rsidRPr="003D450F" w:rsidRDefault="003D450F"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3</w:t>
            </w:r>
          </w:p>
        </w:tc>
        <w:tc>
          <w:tcPr>
            <w:tcW w:w="1387" w:type="dxa"/>
            <w:tcBorders>
              <w:bottom w:val="single" w:sz="4" w:space="0" w:color="auto"/>
            </w:tcBorders>
            <w:shd w:val="clear" w:color="auto" w:fill="FFFFFF"/>
          </w:tcPr>
          <w:p w14:paraId="4852DBDA" w14:textId="77777777" w:rsidR="003D450F" w:rsidRPr="003D450F" w:rsidRDefault="003D450F" w:rsidP="003D450F">
            <w:pPr>
              <w:spacing w:after="120"/>
              <w:ind w:firstLine="567"/>
              <w:jc w:val="both"/>
              <w:rPr>
                <w:sz w:val="20"/>
                <w:szCs w:val="20"/>
              </w:rPr>
            </w:pPr>
            <w:r w:rsidRPr="003D450F">
              <w:rPr>
                <w:rStyle w:val="Bodytext31Sylfaen9"/>
                <w:sz w:val="20"/>
                <w:szCs w:val="20"/>
              </w:rPr>
              <w:t>s</w:t>
            </w:r>
            <w:r w:rsidRPr="003D450F">
              <w:rPr>
                <w:rStyle w:val="Bodytext31Sylfaen9"/>
                <w:sz w:val="20"/>
                <w:szCs w:val="20"/>
                <w:vertAlign w:val="subscript"/>
              </w:rPr>
              <w:t>1</w:t>
            </w:r>
          </w:p>
        </w:tc>
      </w:tr>
    </w:tbl>
    <w:p w14:paraId="14FE7B5C" w14:textId="77777777" w:rsidR="00184198" w:rsidRDefault="00184198" w:rsidP="009A3F5E">
      <w:pPr>
        <w:pStyle w:val="Tablecaption20"/>
        <w:shd w:val="clear" w:color="auto" w:fill="auto"/>
        <w:spacing w:before="0" w:after="160" w:line="360" w:lineRule="auto"/>
        <w:ind w:firstLine="567"/>
        <w:rPr>
          <w:rStyle w:val="Bodytext310pt"/>
          <w:b w:val="0"/>
          <w:sz w:val="24"/>
          <w:szCs w:val="24"/>
          <w:lang w:val="en-US"/>
        </w:rPr>
      </w:pPr>
    </w:p>
    <w:p w14:paraId="01CF3771"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696072">
        <w:rPr>
          <w:rStyle w:val="Bodytext310pt"/>
          <w:b w:val="0"/>
          <w:sz w:val="24"/>
          <w:szCs w:val="24"/>
        </w:rPr>
        <w:t>Աղյուսակ 3.2.5-16.</w:t>
      </w:r>
      <w:r w:rsidRPr="00B834A2">
        <w:rPr>
          <w:rStyle w:val="Bodytext310pt"/>
          <w:sz w:val="24"/>
          <w:szCs w:val="24"/>
        </w:rPr>
        <w:t xml:space="preserve"> </w:t>
      </w:r>
      <w:r w:rsidRPr="00B834A2">
        <w:rPr>
          <w:rFonts w:ascii="Sylfaen" w:hAnsi="Sylfaen"/>
          <w:sz w:val="24"/>
          <w:szCs w:val="24"/>
        </w:rPr>
        <w:t>Միկրոօրգանիզմների աճի ճնշման գոտու տրամագիծը (եռադեղաչափ լատինական քառակուսի, Պետրիի թասերում ագարի մեջ դիֆուզիայի մեթոդով հակաբիոտիկների կենսաբանական ակտիվության որոշում)</w:t>
      </w:r>
    </w:p>
    <w:tbl>
      <w:tblPr>
        <w:tblOverlap w:val="never"/>
        <w:tblW w:w="9422" w:type="dxa"/>
        <w:tblLayout w:type="fixed"/>
        <w:tblCellMar>
          <w:left w:w="10" w:type="dxa"/>
          <w:right w:w="10" w:type="dxa"/>
        </w:tblCellMar>
        <w:tblLook w:val="0000" w:firstRow="0" w:lastRow="0" w:firstColumn="0" w:lastColumn="0" w:noHBand="0" w:noVBand="0"/>
      </w:tblPr>
      <w:tblGrid>
        <w:gridCol w:w="1296"/>
        <w:gridCol w:w="864"/>
        <w:gridCol w:w="840"/>
        <w:gridCol w:w="845"/>
        <w:gridCol w:w="840"/>
        <w:gridCol w:w="763"/>
        <w:gridCol w:w="86"/>
        <w:gridCol w:w="826"/>
        <w:gridCol w:w="1507"/>
        <w:gridCol w:w="1555"/>
      </w:tblGrid>
      <w:tr w:rsidR="00B834A2" w:rsidRPr="003D450F" w14:paraId="7C9823C7" w14:textId="77777777" w:rsidTr="00B834A2">
        <w:tc>
          <w:tcPr>
            <w:tcW w:w="1296" w:type="dxa"/>
            <w:tcBorders>
              <w:top w:val="single" w:sz="4" w:space="0" w:color="auto"/>
            </w:tcBorders>
            <w:shd w:val="clear" w:color="auto" w:fill="FFFFFF"/>
          </w:tcPr>
          <w:p w14:paraId="058E9450"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Տողը</w:t>
            </w:r>
          </w:p>
        </w:tc>
        <w:tc>
          <w:tcPr>
            <w:tcW w:w="864" w:type="dxa"/>
            <w:tcBorders>
              <w:top w:val="single" w:sz="4" w:space="0" w:color="auto"/>
            </w:tcBorders>
            <w:shd w:val="clear" w:color="auto" w:fill="FFFFFF"/>
          </w:tcPr>
          <w:p w14:paraId="49DC85A0" w14:textId="77777777" w:rsidR="00B834A2" w:rsidRPr="003D450F" w:rsidRDefault="00B834A2" w:rsidP="003D450F">
            <w:pPr>
              <w:spacing w:after="120"/>
              <w:jc w:val="center"/>
              <w:rPr>
                <w:sz w:val="20"/>
                <w:szCs w:val="20"/>
              </w:rPr>
            </w:pPr>
          </w:p>
        </w:tc>
        <w:tc>
          <w:tcPr>
            <w:tcW w:w="840" w:type="dxa"/>
            <w:tcBorders>
              <w:top w:val="single" w:sz="4" w:space="0" w:color="auto"/>
            </w:tcBorders>
            <w:shd w:val="clear" w:color="auto" w:fill="FFFFFF"/>
          </w:tcPr>
          <w:p w14:paraId="2BFF1D50" w14:textId="77777777" w:rsidR="00B834A2" w:rsidRPr="003D450F" w:rsidRDefault="00B834A2" w:rsidP="003D450F">
            <w:pPr>
              <w:spacing w:after="120"/>
              <w:jc w:val="center"/>
              <w:rPr>
                <w:sz w:val="20"/>
                <w:szCs w:val="20"/>
              </w:rPr>
            </w:pPr>
          </w:p>
        </w:tc>
        <w:tc>
          <w:tcPr>
            <w:tcW w:w="1685" w:type="dxa"/>
            <w:gridSpan w:val="2"/>
            <w:tcBorders>
              <w:top w:val="single" w:sz="4" w:space="0" w:color="auto"/>
            </w:tcBorders>
            <w:shd w:val="clear" w:color="auto" w:fill="FFFFFF"/>
          </w:tcPr>
          <w:p w14:paraId="75145A94"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Սյունակները</w:t>
            </w:r>
          </w:p>
        </w:tc>
        <w:tc>
          <w:tcPr>
            <w:tcW w:w="763" w:type="dxa"/>
            <w:tcBorders>
              <w:top w:val="single" w:sz="4" w:space="0" w:color="auto"/>
            </w:tcBorders>
            <w:shd w:val="clear" w:color="auto" w:fill="FFFFFF"/>
          </w:tcPr>
          <w:p w14:paraId="28E3DBC6" w14:textId="77777777" w:rsidR="00B834A2" w:rsidRPr="003D450F" w:rsidRDefault="00B834A2" w:rsidP="003D450F">
            <w:pPr>
              <w:spacing w:after="120"/>
              <w:jc w:val="center"/>
              <w:rPr>
                <w:sz w:val="20"/>
                <w:szCs w:val="20"/>
              </w:rPr>
            </w:pPr>
          </w:p>
        </w:tc>
        <w:tc>
          <w:tcPr>
            <w:tcW w:w="912" w:type="dxa"/>
            <w:gridSpan w:val="2"/>
            <w:tcBorders>
              <w:top w:val="single" w:sz="4" w:space="0" w:color="auto"/>
            </w:tcBorders>
            <w:shd w:val="clear" w:color="auto" w:fill="FFFFFF"/>
          </w:tcPr>
          <w:p w14:paraId="48730615" w14:textId="77777777" w:rsidR="00B834A2" w:rsidRPr="003D450F" w:rsidRDefault="00B834A2" w:rsidP="003D450F">
            <w:pPr>
              <w:spacing w:after="120"/>
              <w:jc w:val="center"/>
              <w:rPr>
                <w:sz w:val="20"/>
                <w:szCs w:val="20"/>
              </w:rPr>
            </w:pPr>
          </w:p>
        </w:tc>
        <w:tc>
          <w:tcPr>
            <w:tcW w:w="1507" w:type="dxa"/>
            <w:tcBorders>
              <w:top w:val="single" w:sz="4" w:space="0" w:color="auto"/>
            </w:tcBorders>
            <w:shd w:val="clear" w:color="auto" w:fill="FFFFFF"/>
          </w:tcPr>
          <w:p w14:paraId="7FBD349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Fonts w:ascii="Sylfaen" w:hAnsi="Sylfaen"/>
                <w:sz w:val="20"/>
                <w:szCs w:val="20"/>
              </w:rPr>
              <w:t>Տողերի գումարը (R)</w:t>
            </w:r>
          </w:p>
        </w:tc>
        <w:tc>
          <w:tcPr>
            <w:tcW w:w="1555" w:type="dxa"/>
            <w:tcBorders>
              <w:top w:val="single" w:sz="4" w:space="0" w:color="auto"/>
            </w:tcBorders>
            <w:shd w:val="clear" w:color="auto" w:fill="FFFFFF"/>
          </w:tcPr>
          <w:p w14:paraId="189739F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perscript"/>
              </w:rPr>
              <w:t>2</w:t>
            </w:r>
          </w:p>
        </w:tc>
      </w:tr>
      <w:tr w:rsidR="00B834A2" w:rsidRPr="003D450F" w14:paraId="4966798B" w14:textId="77777777" w:rsidTr="00B834A2">
        <w:tc>
          <w:tcPr>
            <w:tcW w:w="1296" w:type="dxa"/>
            <w:tcBorders>
              <w:top w:val="single" w:sz="4" w:space="0" w:color="auto"/>
            </w:tcBorders>
            <w:shd w:val="clear" w:color="auto" w:fill="FFFFFF"/>
          </w:tcPr>
          <w:p w14:paraId="73A18213"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w:t>
            </w:r>
          </w:p>
        </w:tc>
        <w:tc>
          <w:tcPr>
            <w:tcW w:w="864" w:type="dxa"/>
            <w:tcBorders>
              <w:top w:val="single" w:sz="4" w:space="0" w:color="auto"/>
            </w:tcBorders>
            <w:shd w:val="clear" w:color="auto" w:fill="FFFFFF"/>
          </w:tcPr>
          <w:p w14:paraId="16080B9D"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16,4</w:t>
            </w:r>
          </w:p>
        </w:tc>
        <w:tc>
          <w:tcPr>
            <w:tcW w:w="840" w:type="dxa"/>
            <w:tcBorders>
              <w:top w:val="single" w:sz="4" w:space="0" w:color="auto"/>
            </w:tcBorders>
            <w:shd w:val="clear" w:color="auto" w:fill="FFFFFF"/>
          </w:tcPr>
          <w:p w14:paraId="4DB2517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17,6</w:t>
            </w:r>
          </w:p>
        </w:tc>
        <w:tc>
          <w:tcPr>
            <w:tcW w:w="845" w:type="dxa"/>
            <w:tcBorders>
              <w:top w:val="single" w:sz="4" w:space="0" w:color="auto"/>
            </w:tcBorders>
            <w:shd w:val="clear" w:color="auto" w:fill="FFFFFF"/>
          </w:tcPr>
          <w:p w14:paraId="4CECFEE0"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18,2</w:t>
            </w:r>
          </w:p>
        </w:tc>
        <w:tc>
          <w:tcPr>
            <w:tcW w:w="840" w:type="dxa"/>
            <w:tcBorders>
              <w:top w:val="single" w:sz="4" w:space="0" w:color="auto"/>
            </w:tcBorders>
            <w:shd w:val="clear" w:color="auto" w:fill="FFFFFF"/>
          </w:tcPr>
          <w:p w14:paraId="3AFAC8B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16,2</w:t>
            </w:r>
          </w:p>
        </w:tc>
        <w:tc>
          <w:tcPr>
            <w:tcW w:w="763" w:type="dxa"/>
            <w:tcBorders>
              <w:top w:val="single" w:sz="4" w:space="0" w:color="auto"/>
            </w:tcBorders>
            <w:shd w:val="clear" w:color="auto" w:fill="FFFFFF"/>
          </w:tcPr>
          <w:p w14:paraId="41F3F40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17,2</w:t>
            </w:r>
          </w:p>
        </w:tc>
        <w:tc>
          <w:tcPr>
            <w:tcW w:w="912" w:type="dxa"/>
            <w:gridSpan w:val="2"/>
            <w:tcBorders>
              <w:top w:val="single" w:sz="4" w:space="0" w:color="auto"/>
            </w:tcBorders>
            <w:shd w:val="clear" w:color="auto" w:fill="FFFFFF"/>
          </w:tcPr>
          <w:p w14:paraId="46E62DB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18,4</w:t>
            </w:r>
          </w:p>
        </w:tc>
        <w:tc>
          <w:tcPr>
            <w:tcW w:w="1507" w:type="dxa"/>
            <w:tcBorders>
              <w:top w:val="single" w:sz="4" w:space="0" w:color="auto"/>
            </w:tcBorders>
            <w:shd w:val="clear" w:color="auto" w:fill="FFFFFF"/>
          </w:tcPr>
          <w:p w14:paraId="07750959"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1</w:t>
            </w:r>
            <w:r w:rsidRPr="003D450F">
              <w:rPr>
                <w:rStyle w:val="Bodytext2Italic"/>
                <w:i w:val="0"/>
                <w:sz w:val="20"/>
                <w:szCs w:val="20"/>
              </w:rPr>
              <w:t xml:space="preserve"> =</w:t>
            </w:r>
            <w:r w:rsidRPr="003D450F">
              <w:rPr>
                <w:rStyle w:val="Bodytext31Sylfaen9"/>
                <w:i w:val="0"/>
                <w:sz w:val="20"/>
                <w:szCs w:val="20"/>
              </w:rPr>
              <w:t xml:space="preserve"> 104,0</w:t>
            </w:r>
          </w:p>
        </w:tc>
        <w:tc>
          <w:tcPr>
            <w:tcW w:w="1555" w:type="dxa"/>
            <w:tcBorders>
              <w:top w:val="single" w:sz="4" w:space="0" w:color="auto"/>
            </w:tcBorders>
            <w:shd w:val="clear" w:color="auto" w:fill="FFFFFF"/>
          </w:tcPr>
          <w:p w14:paraId="2FF4477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10816,00</w:t>
            </w:r>
          </w:p>
        </w:tc>
      </w:tr>
      <w:tr w:rsidR="00B834A2" w:rsidRPr="003D450F" w14:paraId="19F25D06" w14:textId="77777777" w:rsidTr="00B834A2">
        <w:tc>
          <w:tcPr>
            <w:tcW w:w="1296" w:type="dxa"/>
            <w:shd w:val="clear" w:color="auto" w:fill="FFFFFF"/>
          </w:tcPr>
          <w:p w14:paraId="7B51B71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2.</w:t>
            </w:r>
          </w:p>
        </w:tc>
        <w:tc>
          <w:tcPr>
            <w:tcW w:w="864" w:type="dxa"/>
            <w:shd w:val="clear" w:color="auto" w:fill="FFFFFF"/>
          </w:tcPr>
          <w:p w14:paraId="08EAC9C7"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17,8</w:t>
            </w:r>
          </w:p>
        </w:tc>
        <w:tc>
          <w:tcPr>
            <w:tcW w:w="840" w:type="dxa"/>
            <w:shd w:val="clear" w:color="auto" w:fill="FFFFFF"/>
          </w:tcPr>
          <w:p w14:paraId="324B7CA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16,4</w:t>
            </w:r>
          </w:p>
        </w:tc>
        <w:tc>
          <w:tcPr>
            <w:tcW w:w="845" w:type="dxa"/>
            <w:shd w:val="clear" w:color="auto" w:fill="FFFFFF"/>
          </w:tcPr>
          <w:p w14:paraId="14FB118E"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17,4</w:t>
            </w:r>
          </w:p>
        </w:tc>
        <w:tc>
          <w:tcPr>
            <w:tcW w:w="840" w:type="dxa"/>
            <w:shd w:val="clear" w:color="auto" w:fill="FFFFFF"/>
          </w:tcPr>
          <w:p w14:paraId="7EDD2F1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18,2</w:t>
            </w:r>
          </w:p>
        </w:tc>
        <w:tc>
          <w:tcPr>
            <w:tcW w:w="763" w:type="dxa"/>
            <w:shd w:val="clear" w:color="auto" w:fill="FFFFFF"/>
          </w:tcPr>
          <w:p w14:paraId="0664F35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16,0</w:t>
            </w:r>
          </w:p>
        </w:tc>
        <w:tc>
          <w:tcPr>
            <w:tcW w:w="912" w:type="dxa"/>
            <w:gridSpan w:val="2"/>
            <w:shd w:val="clear" w:color="auto" w:fill="FFFFFF"/>
          </w:tcPr>
          <w:p w14:paraId="69D7B328"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17,2</w:t>
            </w:r>
          </w:p>
        </w:tc>
        <w:tc>
          <w:tcPr>
            <w:tcW w:w="1507" w:type="dxa"/>
            <w:shd w:val="clear" w:color="auto" w:fill="FFFFFF"/>
          </w:tcPr>
          <w:p w14:paraId="1300F6F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2</w:t>
            </w:r>
            <w:r w:rsidRPr="003D450F">
              <w:rPr>
                <w:rStyle w:val="Bodytext2Italic"/>
                <w:i w:val="0"/>
                <w:sz w:val="20"/>
                <w:szCs w:val="20"/>
              </w:rPr>
              <w:t xml:space="preserve"> =</w:t>
            </w:r>
            <w:r w:rsidRPr="003D450F">
              <w:rPr>
                <w:rStyle w:val="Bodytext31Sylfaen9"/>
                <w:i w:val="0"/>
                <w:sz w:val="20"/>
                <w:szCs w:val="20"/>
              </w:rPr>
              <w:t xml:space="preserve"> 103,0</w:t>
            </w:r>
          </w:p>
        </w:tc>
        <w:tc>
          <w:tcPr>
            <w:tcW w:w="1555" w:type="dxa"/>
            <w:shd w:val="clear" w:color="auto" w:fill="FFFFFF"/>
          </w:tcPr>
          <w:p w14:paraId="270F8873"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10609,00</w:t>
            </w:r>
          </w:p>
        </w:tc>
      </w:tr>
      <w:tr w:rsidR="00B834A2" w:rsidRPr="003D450F" w14:paraId="329C6538" w14:textId="77777777" w:rsidTr="00B834A2">
        <w:tc>
          <w:tcPr>
            <w:tcW w:w="1296" w:type="dxa"/>
            <w:shd w:val="clear" w:color="auto" w:fill="FFFFFF"/>
          </w:tcPr>
          <w:p w14:paraId="01E7805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3.</w:t>
            </w:r>
          </w:p>
        </w:tc>
        <w:tc>
          <w:tcPr>
            <w:tcW w:w="864" w:type="dxa"/>
            <w:shd w:val="clear" w:color="auto" w:fill="FFFFFF"/>
          </w:tcPr>
          <w:p w14:paraId="2932E57E"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17,0</w:t>
            </w:r>
          </w:p>
        </w:tc>
        <w:tc>
          <w:tcPr>
            <w:tcW w:w="840" w:type="dxa"/>
            <w:shd w:val="clear" w:color="auto" w:fill="FFFFFF"/>
          </w:tcPr>
          <w:p w14:paraId="209AD77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18,4</w:t>
            </w:r>
          </w:p>
        </w:tc>
        <w:tc>
          <w:tcPr>
            <w:tcW w:w="845" w:type="dxa"/>
            <w:shd w:val="clear" w:color="auto" w:fill="FFFFFF"/>
          </w:tcPr>
          <w:p w14:paraId="6F49902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16,6</w:t>
            </w:r>
          </w:p>
        </w:tc>
        <w:tc>
          <w:tcPr>
            <w:tcW w:w="840" w:type="dxa"/>
            <w:shd w:val="clear" w:color="auto" w:fill="FFFFFF"/>
          </w:tcPr>
          <w:p w14:paraId="742D104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17,2</w:t>
            </w:r>
          </w:p>
        </w:tc>
        <w:tc>
          <w:tcPr>
            <w:tcW w:w="763" w:type="dxa"/>
            <w:shd w:val="clear" w:color="auto" w:fill="FFFFFF"/>
          </w:tcPr>
          <w:p w14:paraId="7FD62611"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18,8</w:t>
            </w:r>
          </w:p>
        </w:tc>
        <w:tc>
          <w:tcPr>
            <w:tcW w:w="912" w:type="dxa"/>
            <w:gridSpan w:val="2"/>
            <w:shd w:val="clear" w:color="auto" w:fill="FFFFFF"/>
          </w:tcPr>
          <w:p w14:paraId="557F55E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15,4</w:t>
            </w:r>
          </w:p>
        </w:tc>
        <w:tc>
          <w:tcPr>
            <w:tcW w:w="1507" w:type="dxa"/>
            <w:shd w:val="clear" w:color="auto" w:fill="FFFFFF"/>
          </w:tcPr>
          <w:p w14:paraId="110E94B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3</w:t>
            </w:r>
            <w:r w:rsidRPr="003D450F">
              <w:rPr>
                <w:rStyle w:val="Bodytext2Italic"/>
                <w:i w:val="0"/>
                <w:sz w:val="20"/>
                <w:szCs w:val="20"/>
              </w:rPr>
              <w:t xml:space="preserve"> =</w:t>
            </w:r>
            <w:r w:rsidRPr="003D450F">
              <w:rPr>
                <w:rStyle w:val="Bodytext31Sylfaen9"/>
                <w:i w:val="0"/>
                <w:sz w:val="20"/>
                <w:szCs w:val="20"/>
              </w:rPr>
              <w:t xml:space="preserve"> 103,4</w:t>
            </w:r>
          </w:p>
        </w:tc>
        <w:tc>
          <w:tcPr>
            <w:tcW w:w="1555" w:type="dxa"/>
            <w:shd w:val="clear" w:color="auto" w:fill="FFFFFF"/>
          </w:tcPr>
          <w:p w14:paraId="776D2E76"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10691,56</w:t>
            </w:r>
          </w:p>
        </w:tc>
      </w:tr>
      <w:tr w:rsidR="00B834A2" w:rsidRPr="003D450F" w14:paraId="65AB53B4" w14:textId="77777777" w:rsidTr="00B834A2">
        <w:tc>
          <w:tcPr>
            <w:tcW w:w="1296" w:type="dxa"/>
            <w:shd w:val="clear" w:color="auto" w:fill="FFFFFF"/>
          </w:tcPr>
          <w:p w14:paraId="34E3F50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4.</w:t>
            </w:r>
          </w:p>
        </w:tc>
        <w:tc>
          <w:tcPr>
            <w:tcW w:w="864" w:type="dxa"/>
            <w:shd w:val="clear" w:color="auto" w:fill="FFFFFF"/>
          </w:tcPr>
          <w:p w14:paraId="283BE5A9"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16,4</w:t>
            </w:r>
          </w:p>
        </w:tc>
        <w:tc>
          <w:tcPr>
            <w:tcW w:w="840" w:type="dxa"/>
            <w:shd w:val="clear" w:color="auto" w:fill="FFFFFF"/>
          </w:tcPr>
          <w:p w14:paraId="1CE64F40"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16,6</w:t>
            </w:r>
          </w:p>
        </w:tc>
        <w:tc>
          <w:tcPr>
            <w:tcW w:w="845" w:type="dxa"/>
            <w:shd w:val="clear" w:color="auto" w:fill="FFFFFF"/>
          </w:tcPr>
          <w:p w14:paraId="4A7B0F5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18,0</w:t>
            </w:r>
          </w:p>
        </w:tc>
        <w:tc>
          <w:tcPr>
            <w:tcW w:w="840" w:type="dxa"/>
            <w:shd w:val="clear" w:color="auto" w:fill="FFFFFF"/>
          </w:tcPr>
          <w:p w14:paraId="6E081BD9"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16,0</w:t>
            </w:r>
          </w:p>
        </w:tc>
        <w:tc>
          <w:tcPr>
            <w:tcW w:w="763" w:type="dxa"/>
            <w:shd w:val="clear" w:color="auto" w:fill="FFFFFF"/>
          </w:tcPr>
          <w:p w14:paraId="48214A38"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17,6</w:t>
            </w:r>
          </w:p>
        </w:tc>
        <w:tc>
          <w:tcPr>
            <w:tcW w:w="912" w:type="dxa"/>
            <w:gridSpan w:val="2"/>
            <w:shd w:val="clear" w:color="auto" w:fill="FFFFFF"/>
          </w:tcPr>
          <w:p w14:paraId="40291FE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18,0</w:t>
            </w:r>
          </w:p>
        </w:tc>
        <w:tc>
          <w:tcPr>
            <w:tcW w:w="1507" w:type="dxa"/>
            <w:shd w:val="clear" w:color="auto" w:fill="FFFFFF"/>
          </w:tcPr>
          <w:p w14:paraId="04B8FD44"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4</w:t>
            </w:r>
            <w:r w:rsidRPr="003D450F">
              <w:rPr>
                <w:rStyle w:val="Bodytext2Italic"/>
                <w:i w:val="0"/>
                <w:sz w:val="20"/>
                <w:szCs w:val="20"/>
              </w:rPr>
              <w:t xml:space="preserve"> =</w:t>
            </w:r>
            <w:r w:rsidRPr="003D450F">
              <w:rPr>
                <w:rStyle w:val="Bodytext31Sylfaen9"/>
                <w:i w:val="0"/>
                <w:sz w:val="20"/>
                <w:szCs w:val="20"/>
              </w:rPr>
              <w:t xml:space="preserve"> 102,6</w:t>
            </w:r>
          </w:p>
        </w:tc>
        <w:tc>
          <w:tcPr>
            <w:tcW w:w="1555" w:type="dxa"/>
            <w:shd w:val="clear" w:color="auto" w:fill="FFFFFF"/>
          </w:tcPr>
          <w:p w14:paraId="47D8DD3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10526,76</w:t>
            </w:r>
          </w:p>
        </w:tc>
      </w:tr>
      <w:tr w:rsidR="00B834A2" w:rsidRPr="003D450F" w14:paraId="218AD8D1" w14:textId="77777777" w:rsidTr="00B834A2">
        <w:tc>
          <w:tcPr>
            <w:tcW w:w="1296" w:type="dxa"/>
            <w:shd w:val="clear" w:color="auto" w:fill="FFFFFF"/>
          </w:tcPr>
          <w:p w14:paraId="78B7209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5.</w:t>
            </w:r>
          </w:p>
        </w:tc>
        <w:tc>
          <w:tcPr>
            <w:tcW w:w="864" w:type="dxa"/>
            <w:shd w:val="clear" w:color="auto" w:fill="FFFFFF"/>
          </w:tcPr>
          <w:p w14:paraId="246A38E5"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18,2</w:t>
            </w:r>
          </w:p>
        </w:tc>
        <w:tc>
          <w:tcPr>
            <w:tcW w:w="840" w:type="dxa"/>
            <w:shd w:val="clear" w:color="auto" w:fill="FFFFFF"/>
          </w:tcPr>
          <w:p w14:paraId="1A155C5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16,0</w:t>
            </w:r>
          </w:p>
        </w:tc>
        <w:tc>
          <w:tcPr>
            <w:tcW w:w="845" w:type="dxa"/>
            <w:shd w:val="clear" w:color="auto" w:fill="FFFFFF"/>
          </w:tcPr>
          <w:p w14:paraId="40855E4F"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17,4</w:t>
            </w:r>
          </w:p>
        </w:tc>
        <w:tc>
          <w:tcPr>
            <w:tcW w:w="840" w:type="dxa"/>
            <w:shd w:val="clear" w:color="auto" w:fill="FFFFFF"/>
          </w:tcPr>
          <w:p w14:paraId="577FE69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18,6</w:t>
            </w:r>
          </w:p>
        </w:tc>
        <w:tc>
          <w:tcPr>
            <w:tcW w:w="763" w:type="dxa"/>
            <w:shd w:val="clear" w:color="auto" w:fill="FFFFFF"/>
          </w:tcPr>
          <w:p w14:paraId="60BD6221"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16,2</w:t>
            </w:r>
          </w:p>
        </w:tc>
        <w:tc>
          <w:tcPr>
            <w:tcW w:w="912" w:type="dxa"/>
            <w:gridSpan w:val="2"/>
            <w:shd w:val="clear" w:color="auto" w:fill="FFFFFF"/>
          </w:tcPr>
          <w:p w14:paraId="5C6A65D3"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17,4</w:t>
            </w:r>
          </w:p>
        </w:tc>
        <w:tc>
          <w:tcPr>
            <w:tcW w:w="1507" w:type="dxa"/>
            <w:shd w:val="clear" w:color="auto" w:fill="FFFFFF"/>
          </w:tcPr>
          <w:p w14:paraId="78D147A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5</w:t>
            </w:r>
            <w:r w:rsidRPr="003D450F">
              <w:rPr>
                <w:rStyle w:val="Bodytext2Italic"/>
                <w:i w:val="0"/>
                <w:sz w:val="20"/>
                <w:szCs w:val="20"/>
              </w:rPr>
              <w:t xml:space="preserve"> =</w:t>
            </w:r>
            <w:r w:rsidRPr="003D450F">
              <w:rPr>
                <w:rStyle w:val="Bodytext31Sylfaen9"/>
                <w:i w:val="0"/>
                <w:sz w:val="20"/>
                <w:szCs w:val="20"/>
              </w:rPr>
              <w:t xml:space="preserve"> 103,8</w:t>
            </w:r>
          </w:p>
        </w:tc>
        <w:tc>
          <w:tcPr>
            <w:tcW w:w="1555" w:type="dxa"/>
            <w:shd w:val="clear" w:color="auto" w:fill="FFFFFF"/>
          </w:tcPr>
          <w:p w14:paraId="0FB8045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10774,44</w:t>
            </w:r>
          </w:p>
        </w:tc>
      </w:tr>
      <w:tr w:rsidR="00B834A2" w:rsidRPr="003D450F" w14:paraId="4BEDCCF0" w14:textId="77777777" w:rsidTr="00B834A2">
        <w:tc>
          <w:tcPr>
            <w:tcW w:w="1296" w:type="dxa"/>
            <w:shd w:val="clear" w:color="auto" w:fill="FFFFFF"/>
          </w:tcPr>
          <w:p w14:paraId="66AC9CA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6.</w:t>
            </w:r>
          </w:p>
        </w:tc>
        <w:tc>
          <w:tcPr>
            <w:tcW w:w="864" w:type="dxa"/>
            <w:shd w:val="clear" w:color="auto" w:fill="FFFFFF"/>
          </w:tcPr>
          <w:p w14:paraId="0702542A" w14:textId="77777777" w:rsidR="00B834A2" w:rsidRPr="003D450F" w:rsidRDefault="00B834A2" w:rsidP="003D450F">
            <w:pPr>
              <w:pStyle w:val="Bodytext20"/>
              <w:shd w:val="clear" w:color="auto" w:fill="auto"/>
              <w:spacing w:before="0" w:line="240" w:lineRule="auto"/>
              <w:ind w:right="260"/>
              <w:rPr>
                <w:rFonts w:ascii="Sylfaen" w:hAnsi="Sylfaen" w:cs="Sylfaen"/>
                <w:sz w:val="20"/>
                <w:szCs w:val="20"/>
              </w:rPr>
            </w:pPr>
            <w:r w:rsidRPr="003D450F">
              <w:rPr>
                <w:rStyle w:val="Bodytext31Sylfaen9"/>
                <w:i w:val="0"/>
                <w:sz w:val="20"/>
                <w:szCs w:val="20"/>
              </w:rPr>
              <w:t>17,4</w:t>
            </w:r>
          </w:p>
        </w:tc>
        <w:tc>
          <w:tcPr>
            <w:tcW w:w="840" w:type="dxa"/>
            <w:shd w:val="clear" w:color="auto" w:fill="FFFFFF"/>
          </w:tcPr>
          <w:p w14:paraId="7F638A26"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18,4</w:t>
            </w:r>
          </w:p>
        </w:tc>
        <w:tc>
          <w:tcPr>
            <w:tcW w:w="845" w:type="dxa"/>
            <w:shd w:val="clear" w:color="auto" w:fill="FFFFFF"/>
          </w:tcPr>
          <w:p w14:paraId="28B7CB2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16,2</w:t>
            </w:r>
          </w:p>
        </w:tc>
        <w:tc>
          <w:tcPr>
            <w:tcW w:w="840" w:type="dxa"/>
            <w:shd w:val="clear" w:color="auto" w:fill="FFFFFF"/>
          </w:tcPr>
          <w:p w14:paraId="2DF9F1BC"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17,4</w:t>
            </w:r>
          </w:p>
        </w:tc>
        <w:tc>
          <w:tcPr>
            <w:tcW w:w="763" w:type="dxa"/>
            <w:shd w:val="clear" w:color="auto" w:fill="FFFFFF"/>
          </w:tcPr>
          <w:p w14:paraId="68BB8D3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18,0</w:t>
            </w:r>
          </w:p>
        </w:tc>
        <w:tc>
          <w:tcPr>
            <w:tcW w:w="912" w:type="dxa"/>
            <w:gridSpan w:val="2"/>
            <w:shd w:val="clear" w:color="auto" w:fill="FFFFFF"/>
          </w:tcPr>
          <w:p w14:paraId="7E25619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16,0</w:t>
            </w:r>
          </w:p>
        </w:tc>
        <w:tc>
          <w:tcPr>
            <w:tcW w:w="1507" w:type="dxa"/>
            <w:shd w:val="clear" w:color="auto" w:fill="FFFFFF"/>
          </w:tcPr>
          <w:p w14:paraId="7B1E3CF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R</w:t>
            </w:r>
            <w:r w:rsidRPr="003D450F">
              <w:rPr>
                <w:rStyle w:val="Bodytext2Italic"/>
                <w:i w:val="0"/>
                <w:sz w:val="20"/>
                <w:szCs w:val="20"/>
                <w:vertAlign w:val="subscript"/>
              </w:rPr>
              <w:t>6</w:t>
            </w:r>
            <w:r w:rsidRPr="003D450F">
              <w:rPr>
                <w:rStyle w:val="Bodytext2Italic"/>
                <w:i w:val="0"/>
                <w:sz w:val="20"/>
                <w:szCs w:val="20"/>
              </w:rPr>
              <w:t xml:space="preserve"> =</w:t>
            </w:r>
            <w:r w:rsidRPr="003D450F">
              <w:rPr>
                <w:rStyle w:val="Bodytext31Sylfaen9"/>
                <w:i w:val="0"/>
                <w:sz w:val="20"/>
                <w:szCs w:val="20"/>
              </w:rPr>
              <w:t xml:space="preserve"> 103,4</w:t>
            </w:r>
          </w:p>
        </w:tc>
        <w:tc>
          <w:tcPr>
            <w:tcW w:w="1555" w:type="dxa"/>
            <w:shd w:val="clear" w:color="auto" w:fill="FFFFFF"/>
          </w:tcPr>
          <w:p w14:paraId="5216B36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10691,56</w:t>
            </w:r>
          </w:p>
        </w:tc>
      </w:tr>
      <w:tr w:rsidR="00B834A2" w:rsidRPr="003D450F" w14:paraId="322A1320" w14:textId="77777777" w:rsidTr="00B834A2">
        <w:tc>
          <w:tcPr>
            <w:tcW w:w="1296" w:type="dxa"/>
            <w:shd w:val="clear" w:color="auto" w:fill="FFFFFF"/>
          </w:tcPr>
          <w:p w14:paraId="7CDBEE7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Սյունակների գումարը (С)</w:t>
            </w:r>
          </w:p>
        </w:tc>
        <w:tc>
          <w:tcPr>
            <w:tcW w:w="864" w:type="dxa"/>
            <w:shd w:val="clear" w:color="auto" w:fill="FFFFFF"/>
          </w:tcPr>
          <w:p w14:paraId="1C5794C3"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103,2</w:t>
            </w:r>
          </w:p>
        </w:tc>
        <w:tc>
          <w:tcPr>
            <w:tcW w:w="840" w:type="dxa"/>
            <w:shd w:val="clear" w:color="auto" w:fill="FFFFFF"/>
          </w:tcPr>
          <w:p w14:paraId="66F2AE5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103,4</w:t>
            </w:r>
          </w:p>
        </w:tc>
        <w:tc>
          <w:tcPr>
            <w:tcW w:w="845" w:type="dxa"/>
            <w:shd w:val="clear" w:color="auto" w:fill="FFFFFF"/>
          </w:tcPr>
          <w:p w14:paraId="0718287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103,8</w:t>
            </w:r>
          </w:p>
        </w:tc>
        <w:tc>
          <w:tcPr>
            <w:tcW w:w="840" w:type="dxa"/>
            <w:shd w:val="clear" w:color="auto" w:fill="FFFFFF"/>
          </w:tcPr>
          <w:p w14:paraId="44D50850"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103,6</w:t>
            </w:r>
          </w:p>
        </w:tc>
        <w:tc>
          <w:tcPr>
            <w:tcW w:w="849" w:type="dxa"/>
            <w:gridSpan w:val="2"/>
            <w:shd w:val="clear" w:color="auto" w:fill="FFFFFF"/>
          </w:tcPr>
          <w:p w14:paraId="3BACCFE9"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103,8</w:t>
            </w:r>
          </w:p>
        </w:tc>
        <w:tc>
          <w:tcPr>
            <w:tcW w:w="826" w:type="dxa"/>
            <w:shd w:val="clear" w:color="auto" w:fill="FFFFFF"/>
          </w:tcPr>
          <w:p w14:paraId="6FB0F83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102,4</w:t>
            </w:r>
          </w:p>
        </w:tc>
        <w:tc>
          <w:tcPr>
            <w:tcW w:w="1507" w:type="dxa"/>
            <w:shd w:val="clear" w:color="auto" w:fill="FFFFFF"/>
          </w:tcPr>
          <w:p w14:paraId="732FE06C" w14:textId="77777777" w:rsidR="00B834A2" w:rsidRPr="003D450F" w:rsidRDefault="00B834A2" w:rsidP="003D450F">
            <w:pPr>
              <w:pStyle w:val="Bodytext20"/>
              <w:spacing w:before="0" w:line="240" w:lineRule="auto"/>
              <w:rPr>
                <w:rFonts w:ascii="Sylfaen" w:hAnsi="Sylfaen" w:cs="Sylfaen"/>
                <w:sz w:val="20"/>
                <w:szCs w:val="20"/>
              </w:rPr>
            </w:pPr>
          </w:p>
        </w:tc>
        <w:tc>
          <w:tcPr>
            <w:tcW w:w="1555" w:type="dxa"/>
            <w:shd w:val="clear" w:color="auto" w:fill="FFFFFF"/>
          </w:tcPr>
          <w:p w14:paraId="0EC18C2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ΣR</w:t>
            </w:r>
            <w:r w:rsidRPr="003D450F">
              <w:rPr>
                <w:rStyle w:val="Bodytext2Italic"/>
                <w:i w:val="0"/>
                <w:sz w:val="20"/>
                <w:szCs w:val="20"/>
                <w:vertAlign w:val="superscript"/>
              </w:rPr>
              <w:t>2</w:t>
            </w:r>
            <w:r w:rsidRPr="003D450F">
              <w:rPr>
                <w:rStyle w:val="Bodytext31Sylfaen9"/>
                <w:i w:val="0"/>
                <w:sz w:val="20"/>
                <w:szCs w:val="20"/>
              </w:rPr>
              <w:t>=64109,32</w:t>
            </w:r>
          </w:p>
        </w:tc>
      </w:tr>
      <w:tr w:rsidR="00B834A2" w:rsidRPr="003D450F" w14:paraId="73213DBB" w14:textId="77777777" w:rsidTr="00B834A2">
        <w:tc>
          <w:tcPr>
            <w:tcW w:w="1296" w:type="dxa"/>
            <w:tcBorders>
              <w:bottom w:val="single" w:sz="4" w:space="0" w:color="auto"/>
            </w:tcBorders>
            <w:shd w:val="clear" w:color="auto" w:fill="FFFFFF"/>
          </w:tcPr>
          <w:p w14:paraId="132C887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С</w:t>
            </w:r>
            <w:r w:rsidRPr="003D450F">
              <w:rPr>
                <w:rStyle w:val="Bodytext31Sylfaen9"/>
                <w:i w:val="0"/>
                <w:sz w:val="20"/>
                <w:szCs w:val="20"/>
                <w:vertAlign w:val="superscript"/>
              </w:rPr>
              <w:t>2</w:t>
            </w:r>
          </w:p>
        </w:tc>
        <w:tc>
          <w:tcPr>
            <w:tcW w:w="864" w:type="dxa"/>
            <w:tcBorders>
              <w:bottom w:val="single" w:sz="4" w:space="0" w:color="auto"/>
            </w:tcBorders>
            <w:shd w:val="clear" w:color="auto" w:fill="FFFFFF"/>
          </w:tcPr>
          <w:p w14:paraId="2E7D29C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10650,24</w:t>
            </w:r>
          </w:p>
        </w:tc>
        <w:tc>
          <w:tcPr>
            <w:tcW w:w="840" w:type="dxa"/>
            <w:tcBorders>
              <w:bottom w:val="single" w:sz="4" w:space="0" w:color="auto"/>
            </w:tcBorders>
            <w:shd w:val="clear" w:color="auto" w:fill="FFFFFF"/>
          </w:tcPr>
          <w:p w14:paraId="12B7C51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10691,56</w:t>
            </w:r>
          </w:p>
        </w:tc>
        <w:tc>
          <w:tcPr>
            <w:tcW w:w="845" w:type="dxa"/>
            <w:tcBorders>
              <w:bottom w:val="single" w:sz="4" w:space="0" w:color="auto"/>
            </w:tcBorders>
            <w:shd w:val="clear" w:color="auto" w:fill="FFFFFF"/>
          </w:tcPr>
          <w:p w14:paraId="2F11572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10774,44</w:t>
            </w:r>
          </w:p>
        </w:tc>
        <w:tc>
          <w:tcPr>
            <w:tcW w:w="840" w:type="dxa"/>
            <w:tcBorders>
              <w:bottom w:val="single" w:sz="4" w:space="0" w:color="auto"/>
            </w:tcBorders>
            <w:shd w:val="clear" w:color="auto" w:fill="FFFFFF"/>
          </w:tcPr>
          <w:p w14:paraId="474A464B"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10732,96</w:t>
            </w:r>
          </w:p>
        </w:tc>
        <w:tc>
          <w:tcPr>
            <w:tcW w:w="849" w:type="dxa"/>
            <w:gridSpan w:val="2"/>
            <w:tcBorders>
              <w:bottom w:val="single" w:sz="4" w:space="0" w:color="auto"/>
            </w:tcBorders>
            <w:shd w:val="clear" w:color="auto" w:fill="FFFFFF"/>
          </w:tcPr>
          <w:p w14:paraId="07778923"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10774,44</w:t>
            </w:r>
          </w:p>
        </w:tc>
        <w:tc>
          <w:tcPr>
            <w:tcW w:w="826" w:type="dxa"/>
            <w:tcBorders>
              <w:left w:val="nil"/>
              <w:bottom w:val="single" w:sz="4" w:space="0" w:color="auto"/>
            </w:tcBorders>
            <w:shd w:val="clear" w:color="auto" w:fill="FFFFFF"/>
          </w:tcPr>
          <w:p w14:paraId="0FD4A7A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i w:val="0"/>
                <w:sz w:val="20"/>
                <w:szCs w:val="20"/>
              </w:rPr>
              <w:t>10485,76</w:t>
            </w:r>
          </w:p>
        </w:tc>
        <w:tc>
          <w:tcPr>
            <w:tcW w:w="1507" w:type="dxa"/>
            <w:tcBorders>
              <w:bottom w:val="single" w:sz="4" w:space="0" w:color="auto"/>
            </w:tcBorders>
            <w:shd w:val="clear" w:color="auto" w:fill="FFFFFF"/>
          </w:tcPr>
          <w:p w14:paraId="6C319F3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i w:val="0"/>
                <w:sz w:val="20"/>
                <w:szCs w:val="20"/>
              </w:rPr>
              <w:t>ΣС</w:t>
            </w:r>
            <w:r w:rsidRPr="003D450F">
              <w:rPr>
                <w:rStyle w:val="Bodytext31Sylfaen9"/>
                <w:i w:val="0"/>
                <w:sz w:val="20"/>
                <w:szCs w:val="20"/>
                <w:vertAlign w:val="superscript"/>
              </w:rPr>
              <w:t>2</w:t>
            </w:r>
            <w:r w:rsidRPr="003D450F">
              <w:rPr>
                <w:rStyle w:val="Bodytext31Sylfaen9"/>
                <w:i w:val="0"/>
                <w:sz w:val="20"/>
                <w:szCs w:val="20"/>
              </w:rPr>
              <w:t xml:space="preserve"> =64109,40</w:t>
            </w:r>
          </w:p>
        </w:tc>
        <w:tc>
          <w:tcPr>
            <w:tcW w:w="1555" w:type="dxa"/>
            <w:tcBorders>
              <w:bottom w:val="single" w:sz="4" w:space="0" w:color="auto"/>
            </w:tcBorders>
            <w:shd w:val="clear" w:color="auto" w:fill="FFFFFF"/>
          </w:tcPr>
          <w:p w14:paraId="46B6EFFB" w14:textId="77777777" w:rsidR="00B834A2" w:rsidRPr="003D450F" w:rsidRDefault="00B834A2" w:rsidP="003D450F">
            <w:pPr>
              <w:spacing w:after="120"/>
              <w:jc w:val="center"/>
              <w:rPr>
                <w:sz w:val="20"/>
                <w:szCs w:val="20"/>
              </w:rPr>
            </w:pPr>
          </w:p>
        </w:tc>
      </w:tr>
    </w:tbl>
    <w:p w14:paraId="5D4A2F0F"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01FC43AC" w14:textId="77777777" w:rsidR="00184198" w:rsidRDefault="00184198">
      <w:pPr>
        <w:rPr>
          <w:rStyle w:val="Bodytext310pt"/>
          <w:b w:val="0"/>
          <w:i w:val="0"/>
          <w:iCs w:val="0"/>
          <w:sz w:val="24"/>
          <w:szCs w:val="24"/>
        </w:rPr>
      </w:pPr>
      <w:r>
        <w:rPr>
          <w:rStyle w:val="Bodytext310pt"/>
          <w:b w:val="0"/>
          <w:sz w:val="24"/>
          <w:szCs w:val="24"/>
        </w:rPr>
        <w:br w:type="page"/>
      </w:r>
    </w:p>
    <w:p w14:paraId="45BCBC34" w14:textId="77777777" w:rsidR="00B834A2" w:rsidRPr="00B834A2" w:rsidRDefault="00B834A2" w:rsidP="009A3F5E">
      <w:pPr>
        <w:pStyle w:val="Tablecaption20"/>
        <w:shd w:val="clear" w:color="auto" w:fill="auto"/>
        <w:spacing w:before="0" w:after="160" w:line="360" w:lineRule="auto"/>
        <w:ind w:firstLine="567"/>
        <w:rPr>
          <w:rFonts w:ascii="Sylfaen" w:hAnsi="Sylfaen" w:cs="Sylfaen"/>
          <w:sz w:val="24"/>
          <w:szCs w:val="24"/>
        </w:rPr>
      </w:pPr>
      <w:r w:rsidRPr="00696072">
        <w:rPr>
          <w:rStyle w:val="Bodytext310pt"/>
          <w:b w:val="0"/>
          <w:sz w:val="24"/>
          <w:szCs w:val="24"/>
        </w:rPr>
        <w:lastRenderedPageBreak/>
        <w:t>Աղյուսակ 3.2.5-17.</w:t>
      </w:r>
      <w:r w:rsidRPr="00B834A2">
        <w:rPr>
          <w:rStyle w:val="Bodytext310pt"/>
          <w:sz w:val="24"/>
          <w:szCs w:val="24"/>
        </w:rPr>
        <w:t xml:space="preserve"> </w:t>
      </w:r>
      <w:r w:rsidRPr="00B834A2">
        <w:rPr>
          <w:rFonts w:ascii="Sylfaen" w:hAnsi="Sylfaen"/>
          <w:sz w:val="24"/>
          <w:szCs w:val="24"/>
        </w:rPr>
        <w:t>Արձագանքների գումարներն ու կոնտրաստները (եռադեղաչափ լատինական քառակուսի,Պետրիի թասերում ագարի մեջ դիֆուզիայի մեթոդով հակաբիոտիկների կենսաբանական ակտիվության որոշում)</w:t>
      </w:r>
    </w:p>
    <w:tbl>
      <w:tblPr>
        <w:tblOverlap w:val="never"/>
        <w:tblW w:w="9427" w:type="dxa"/>
        <w:tblLayout w:type="fixed"/>
        <w:tblCellMar>
          <w:left w:w="10" w:type="dxa"/>
          <w:right w:w="10" w:type="dxa"/>
        </w:tblCellMar>
        <w:tblLook w:val="0000" w:firstRow="0" w:lastRow="0" w:firstColumn="0" w:lastColumn="0" w:noHBand="0" w:noVBand="0"/>
      </w:tblPr>
      <w:tblGrid>
        <w:gridCol w:w="2558"/>
        <w:gridCol w:w="2285"/>
        <w:gridCol w:w="2314"/>
        <w:gridCol w:w="2270"/>
      </w:tblGrid>
      <w:tr w:rsidR="00B834A2" w:rsidRPr="003D450F" w14:paraId="1FF643CE" w14:textId="77777777" w:rsidTr="00B834A2">
        <w:tc>
          <w:tcPr>
            <w:tcW w:w="2558" w:type="dxa"/>
            <w:tcBorders>
              <w:top w:val="single" w:sz="4" w:space="0" w:color="auto"/>
            </w:tcBorders>
            <w:shd w:val="clear" w:color="auto" w:fill="FFFFFF"/>
          </w:tcPr>
          <w:p w14:paraId="748D02DD" w14:textId="77777777" w:rsidR="00B834A2" w:rsidRPr="003D450F" w:rsidRDefault="00B834A2" w:rsidP="003D450F">
            <w:pPr>
              <w:spacing w:after="120"/>
              <w:jc w:val="center"/>
              <w:rPr>
                <w:sz w:val="20"/>
                <w:szCs w:val="20"/>
              </w:rPr>
            </w:pPr>
          </w:p>
        </w:tc>
        <w:tc>
          <w:tcPr>
            <w:tcW w:w="2285" w:type="dxa"/>
            <w:tcBorders>
              <w:top w:val="single" w:sz="4" w:space="0" w:color="auto"/>
            </w:tcBorders>
            <w:shd w:val="clear" w:color="auto" w:fill="FFFFFF"/>
          </w:tcPr>
          <w:p w14:paraId="60B3BF4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u w:val="single"/>
              </w:rPr>
              <w:t>S</w:t>
            </w:r>
            <w:r w:rsidRPr="003D450F">
              <w:rPr>
                <w:rStyle w:val="Bodytext31Sylfaen9"/>
                <w:sz w:val="20"/>
                <w:szCs w:val="20"/>
              </w:rPr>
              <w:t xml:space="preserve"> ստանդարտ նմուշը</w:t>
            </w:r>
          </w:p>
        </w:tc>
        <w:tc>
          <w:tcPr>
            <w:tcW w:w="2314" w:type="dxa"/>
            <w:tcBorders>
              <w:top w:val="single" w:sz="4" w:space="0" w:color="auto"/>
            </w:tcBorders>
            <w:shd w:val="clear" w:color="auto" w:fill="FFFFFF"/>
          </w:tcPr>
          <w:p w14:paraId="6ABF309C"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Fonts w:ascii="Sylfaen" w:hAnsi="Sylfaen"/>
                <w:sz w:val="20"/>
                <w:szCs w:val="20"/>
                <w:u w:val="single"/>
                <w:lang w:val="en-GB"/>
              </w:rPr>
              <w:t>U</w:t>
            </w:r>
            <w:r w:rsidRPr="003D450F">
              <w:rPr>
                <w:rFonts w:ascii="Sylfaen" w:hAnsi="Sylfaen"/>
                <w:sz w:val="20"/>
                <w:szCs w:val="20"/>
              </w:rPr>
              <w:t xml:space="preserve"> փորձարկվող նմուշը</w:t>
            </w:r>
          </w:p>
        </w:tc>
        <w:tc>
          <w:tcPr>
            <w:tcW w:w="2270" w:type="dxa"/>
            <w:tcBorders>
              <w:top w:val="single" w:sz="4" w:space="0" w:color="auto"/>
            </w:tcBorders>
            <w:shd w:val="clear" w:color="auto" w:fill="FFFFFF"/>
          </w:tcPr>
          <w:p w14:paraId="43B8B4A0"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Գումարը</w:t>
            </w:r>
          </w:p>
        </w:tc>
      </w:tr>
      <w:tr w:rsidR="00B834A2" w:rsidRPr="003D450F" w14:paraId="356673E4" w14:textId="77777777" w:rsidTr="00B834A2">
        <w:tc>
          <w:tcPr>
            <w:tcW w:w="2558" w:type="dxa"/>
            <w:tcBorders>
              <w:top w:val="single" w:sz="4" w:space="0" w:color="auto"/>
            </w:tcBorders>
            <w:shd w:val="clear" w:color="auto" w:fill="FFFFFF"/>
          </w:tcPr>
          <w:p w14:paraId="4593FBF8"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Փոքր դեղաչափը</w:t>
            </w:r>
          </w:p>
        </w:tc>
        <w:tc>
          <w:tcPr>
            <w:tcW w:w="2285" w:type="dxa"/>
            <w:tcBorders>
              <w:top w:val="single" w:sz="4" w:space="0" w:color="auto"/>
            </w:tcBorders>
            <w:shd w:val="clear" w:color="auto" w:fill="FFFFFF"/>
          </w:tcPr>
          <w:p w14:paraId="59363388"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1</w:t>
            </w:r>
            <w:r w:rsidRPr="003D450F">
              <w:rPr>
                <w:rStyle w:val="Bodytext31Sylfaen9"/>
                <w:sz w:val="20"/>
                <w:szCs w:val="20"/>
              </w:rPr>
              <w:t xml:space="preserve"> = 97,6</w:t>
            </w:r>
          </w:p>
        </w:tc>
        <w:tc>
          <w:tcPr>
            <w:tcW w:w="2314" w:type="dxa"/>
            <w:tcBorders>
              <w:top w:val="single" w:sz="4" w:space="0" w:color="auto"/>
            </w:tcBorders>
            <w:shd w:val="clear" w:color="auto" w:fill="FFFFFF"/>
          </w:tcPr>
          <w:p w14:paraId="0F63CB77"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1</w:t>
            </w:r>
            <w:r w:rsidRPr="003D450F">
              <w:rPr>
                <w:rStyle w:val="Bodytext31Sylfaen9"/>
                <w:sz w:val="20"/>
                <w:szCs w:val="20"/>
              </w:rPr>
              <w:t>= 96,2</w:t>
            </w:r>
          </w:p>
        </w:tc>
        <w:tc>
          <w:tcPr>
            <w:tcW w:w="2270" w:type="dxa"/>
            <w:tcBorders>
              <w:top w:val="single" w:sz="4" w:space="0" w:color="auto"/>
            </w:tcBorders>
            <w:shd w:val="clear" w:color="auto" w:fill="FFFFFF"/>
          </w:tcPr>
          <w:p w14:paraId="02814CA8" w14:textId="77777777" w:rsidR="00B834A2" w:rsidRPr="003D450F" w:rsidRDefault="00B834A2" w:rsidP="003D450F">
            <w:pPr>
              <w:spacing w:after="120"/>
              <w:jc w:val="center"/>
              <w:rPr>
                <w:sz w:val="20"/>
                <w:szCs w:val="20"/>
              </w:rPr>
            </w:pPr>
          </w:p>
        </w:tc>
      </w:tr>
      <w:tr w:rsidR="00B834A2" w:rsidRPr="003D450F" w14:paraId="219CD15E" w14:textId="77777777" w:rsidTr="00B834A2">
        <w:tc>
          <w:tcPr>
            <w:tcW w:w="2558" w:type="dxa"/>
            <w:shd w:val="clear" w:color="auto" w:fill="FFFFFF"/>
          </w:tcPr>
          <w:p w14:paraId="3678C7C6"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Միջին դեղաչափը</w:t>
            </w:r>
          </w:p>
        </w:tc>
        <w:tc>
          <w:tcPr>
            <w:tcW w:w="2285" w:type="dxa"/>
            <w:shd w:val="clear" w:color="auto" w:fill="FFFFFF"/>
          </w:tcPr>
          <w:p w14:paraId="5294CE8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2</w:t>
            </w:r>
            <w:r w:rsidRPr="003D450F">
              <w:rPr>
                <w:rStyle w:val="Bodytext31Sylfaen9"/>
                <w:sz w:val="20"/>
                <w:szCs w:val="20"/>
              </w:rPr>
              <w:t xml:space="preserve"> = 104,6</w:t>
            </w:r>
          </w:p>
        </w:tc>
        <w:tc>
          <w:tcPr>
            <w:tcW w:w="2314" w:type="dxa"/>
            <w:shd w:val="clear" w:color="auto" w:fill="FFFFFF"/>
          </w:tcPr>
          <w:p w14:paraId="31C3AB1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2</w:t>
            </w:r>
            <w:r w:rsidRPr="003D450F">
              <w:rPr>
                <w:rStyle w:val="Bodytext31Sylfaen9"/>
                <w:sz w:val="20"/>
                <w:szCs w:val="20"/>
              </w:rPr>
              <w:t>= 102,8</w:t>
            </w:r>
          </w:p>
        </w:tc>
        <w:tc>
          <w:tcPr>
            <w:tcW w:w="2270" w:type="dxa"/>
            <w:shd w:val="clear" w:color="auto" w:fill="FFFFFF"/>
          </w:tcPr>
          <w:p w14:paraId="3A887FD5" w14:textId="77777777" w:rsidR="00B834A2" w:rsidRPr="003D450F" w:rsidRDefault="00B834A2" w:rsidP="003D450F">
            <w:pPr>
              <w:spacing w:after="120"/>
              <w:jc w:val="center"/>
              <w:rPr>
                <w:sz w:val="20"/>
                <w:szCs w:val="20"/>
              </w:rPr>
            </w:pPr>
          </w:p>
        </w:tc>
      </w:tr>
      <w:tr w:rsidR="00B834A2" w:rsidRPr="003D450F" w14:paraId="02625A63" w14:textId="77777777" w:rsidTr="00B834A2">
        <w:tc>
          <w:tcPr>
            <w:tcW w:w="2558" w:type="dxa"/>
            <w:shd w:val="clear" w:color="auto" w:fill="FFFFFF"/>
          </w:tcPr>
          <w:p w14:paraId="1818C576"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Մեծ դեղաչափը</w:t>
            </w:r>
          </w:p>
        </w:tc>
        <w:tc>
          <w:tcPr>
            <w:tcW w:w="2285" w:type="dxa"/>
            <w:shd w:val="clear" w:color="auto" w:fill="FFFFFF"/>
          </w:tcPr>
          <w:p w14:paraId="095C1032"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w:t>
            </w:r>
            <w:r w:rsidRPr="003D450F">
              <w:rPr>
                <w:rStyle w:val="Bodytext31Sylfaen9"/>
                <w:sz w:val="20"/>
                <w:szCs w:val="20"/>
                <w:vertAlign w:val="subscript"/>
              </w:rPr>
              <w:t>3</w:t>
            </w:r>
            <w:r w:rsidRPr="003D450F">
              <w:rPr>
                <w:rStyle w:val="Bodytext31Sylfaen9"/>
                <w:sz w:val="20"/>
                <w:szCs w:val="20"/>
              </w:rPr>
              <w:t xml:space="preserve"> = 109,8</w:t>
            </w:r>
          </w:p>
        </w:tc>
        <w:tc>
          <w:tcPr>
            <w:tcW w:w="2314" w:type="dxa"/>
            <w:shd w:val="clear" w:color="auto" w:fill="FFFFFF"/>
          </w:tcPr>
          <w:p w14:paraId="2BE5F6DA"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U</w:t>
            </w:r>
            <w:r w:rsidRPr="003D450F">
              <w:rPr>
                <w:rStyle w:val="Bodytext2Italic"/>
                <w:sz w:val="20"/>
                <w:szCs w:val="20"/>
                <w:vertAlign w:val="subscript"/>
              </w:rPr>
              <w:t>3</w:t>
            </w:r>
            <w:r w:rsidRPr="003D450F">
              <w:rPr>
                <w:rStyle w:val="Bodytext31Sylfaen9"/>
                <w:sz w:val="20"/>
                <w:szCs w:val="20"/>
              </w:rPr>
              <w:t>= 109,2</w:t>
            </w:r>
          </w:p>
        </w:tc>
        <w:tc>
          <w:tcPr>
            <w:tcW w:w="2270" w:type="dxa"/>
            <w:shd w:val="clear" w:color="auto" w:fill="FFFFFF"/>
          </w:tcPr>
          <w:p w14:paraId="303BD4E0" w14:textId="77777777" w:rsidR="00B834A2" w:rsidRPr="003D450F" w:rsidRDefault="00B834A2" w:rsidP="003D450F">
            <w:pPr>
              <w:spacing w:after="120"/>
              <w:jc w:val="center"/>
              <w:rPr>
                <w:sz w:val="20"/>
                <w:szCs w:val="20"/>
              </w:rPr>
            </w:pPr>
          </w:p>
        </w:tc>
      </w:tr>
      <w:tr w:rsidR="00B834A2" w:rsidRPr="003D450F" w14:paraId="09EFA35F" w14:textId="77777777" w:rsidTr="00B834A2">
        <w:tc>
          <w:tcPr>
            <w:tcW w:w="2558" w:type="dxa"/>
            <w:shd w:val="clear" w:color="auto" w:fill="FFFFFF"/>
          </w:tcPr>
          <w:p w14:paraId="1232469C"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Գումարը</w:t>
            </w:r>
          </w:p>
        </w:tc>
        <w:tc>
          <w:tcPr>
            <w:tcW w:w="2285" w:type="dxa"/>
            <w:shd w:val="clear" w:color="auto" w:fill="FFFFFF"/>
          </w:tcPr>
          <w:p w14:paraId="2DCB7C75"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S = 312,0</w:t>
            </w:r>
          </w:p>
        </w:tc>
        <w:tc>
          <w:tcPr>
            <w:tcW w:w="2314" w:type="dxa"/>
            <w:shd w:val="clear" w:color="auto" w:fill="FFFFFF"/>
          </w:tcPr>
          <w:p w14:paraId="72725E4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Fonts w:ascii="Sylfaen" w:hAnsi="Sylfaen"/>
                <w:sz w:val="20"/>
                <w:szCs w:val="20"/>
              </w:rPr>
              <w:t>U= 308,2</w:t>
            </w:r>
          </w:p>
        </w:tc>
        <w:tc>
          <w:tcPr>
            <w:tcW w:w="2270" w:type="dxa"/>
            <w:shd w:val="clear" w:color="auto" w:fill="FFFFFF"/>
          </w:tcPr>
          <w:p w14:paraId="2898D351"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2Italic"/>
                <w:sz w:val="20"/>
                <w:szCs w:val="20"/>
              </w:rPr>
              <w:t>Σу = S+ U</w:t>
            </w:r>
            <w:r w:rsidRPr="003D450F">
              <w:rPr>
                <w:rStyle w:val="Bodytext31Sylfaen9"/>
                <w:sz w:val="20"/>
                <w:szCs w:val="20"/>
              </w:rPr>
              <w:t xml:space="preserve"> =620,2</w:t>
            </w:r>
          </w:p>
        </w:tc>
      </w:tr>
      <w:tr w:rsidR="00B834A2" w:rsidRPr="003D450F" w14:paraId="1245D515" w14:textId="77777777" w:rsidTr="00B834A2">
        <w:tc>
          <w:tcPr>
            <w:tcW w:w="2558" w:type="dxa"/>
            <w:shd w:val="clear" w:color="auto" w:fill="FFFFFF"/>
          </w:tcPr>
          <w:p w14:paraId="495B17ED"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Գծային կոնտրաստը</w:t>
            </w:r>
          </w:p>
        </w:tc>
        <w:tc>
          <w:tcPr>
            <w:tcW w:w="2285" w:type="dxa"/>
            <w:shd w:val="clear" w:color="auto" w:fill="FFFFFF"/>
          </w:tcPr>
          <w:p w14:paraId="46B1C394"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L</w:t>
            </w:r>
            <w:r w:rsidRPr="003D450F">
              <w:rPr>
                <w:rStyle w:val="Bodytext31Sylfaen9"/>
                <w:sz w:val="20"/>
                <w:szCs w:val="20"/>
                <w:vertAlign w:val="subscript"/>
              </w:rPr>
              <w:t>s</w:t>
            </w:r>
            <w:r w:rsidRPr="003D450F">
              <w:rPr>
                <w:rStyle w:val="Bodytext31Sylfaen9"/>
                <w:sz w:val="20"/>
                <w:szCs w:val="20"/>
              </w:rPr>
              <w:t>=12,2</w:t>
            </w:r>
          </w:p>
        </w:tc>
        <w:tc>
          <w:tcPr>
            <w:tcW w:w="2314" w:type="dxa"/>
            <w:shd w:val="clear" w:color="auto" w:fill="FFFFFF"/>
          </w:tcPr>
          <w:p w14:paraId="2CA8CE7F"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L</w:t>
            </w:r>
            <w:r w:rsidRPr="003D450F">
              <w:rPr>
                <w:rStyle w:val="Bodytext31Sylfaen9"/>
                <w:sz w:val="20"/>
                <w:szCs w:val="20"/>
                <w:vertAlign w:val="subscript"/>
              </w:rPr>
              <w:t>U</w:t>
            </w:r>
            <w:r w:rsidRPr="003D450F">
              <w:rPr>
                <w:rStyle w:val="Bodytext31Sylfaen9"/>
                <w:sz w:val="20"/>
                <w:szCs w:val="20"/>
              </w:rPr>
              <w:t xml:space="preserve"> = 13,0</w:t>
            </w:r>
          </w:p>
        </w:tc>
        <w:tc>
          <w:tcPr>
            <w:tcW w:w="2270" w:type="dxa"/>
            <w:shd w:val="clear" w:color="auto" w:fill="FFFFFF"/>
          </w:tcPr>
          <w:p w14:paraId="6306ADC9"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L</w:t>
            </w:r>
            <w:r w:rsidRPr="003D450F">
              <w:rPr>
                <w:rStyle w:val="Bodytext31Sylfaen9"/>
                <w:sz w:val="20"/>
                <w:szCs w:val="20"/>
                <w:vertAlign w:val="subscript"/>
              </w:rPr>
              <w:t>S</w:t>
            </w:r>
            <w:r w:rsidRPr="003D450F">
              <w:rPr>
                <w:rStyle w:val="Bodytext31Sylfaen9"/>
                <w:sz w:val="20"/>
                <w:szCs w:val="20"/>
              </w:rPr>
              <w:t>+L</w:t>
            </w:r>
            <w:r w:rsidRPr="003D450F">
              <w:rPr>
                <w:rStyle w:val="Bodytext31Sylfaen9"/>
                <w:sz w:val="20"/>
                <w:szCs w:val="20"/>
                <w:vertAlign w:val="subscript"/>
              </w:rPr>
              <w:t>U</w:t>
            </w:r>
            <w:r w:rsidRPr="003D450F">
              <w:rPr>
                <w:rStyle w:val="Bodytext31Sylfaen9"/>
                <w:sz w:val="20"/>
                <w:szCs w:val="20"/>
              </w:rPr>
              <w:t xml:space="preserve"> = 25,2</w:t>
            </w:r>
          </w:p>
        </w:tc>
      </w:tr>
      <w:tr w:rsidR="00B834A2" w:rsidRPr="003D450F" w14:paraId="36D20AA8" w14:textId="77777777" w:rsidTr="00B834A2">
        <w:tc>
          <w:tcPr>
            <w:tcW w:w="2558" w:type="dxa"/>
            <w:tcBorders>
              <w:bottom w:val="single" w:sz="4" w:space="0" w:color="auto"/>
            </w:tcBorders>
            <w:shd w:val="clear" w:color="auto" w:fill="FFFFFF"/>
          </w:tcPr>
          <w:p w14:paraId="1C0C5109" w14:textId="77777777" w:rsidR="00B834A2" w:rsidRPr="003D450F" w:rsidRDefault="00B834A2" w:rsidP="003D450F">
            <w:pPr>
              <w:pStyle w:val="Bodytext20"/>
              <w:shd w:val="clear" w:color="auto" w:fill="auto"/>
              <w:spacing w:before="0" w:line="240" w:lineRule="auto"/>
              <w:jc w:val="left"/>
              <w:rPr>
                <w:rFonts w:ascii="Sylfaen" w:hAnsi="Sylfaen" w:cs="Sylfaen"/>
                <w:sz w:val="20"/>
                <w:szCs w:val="20"/>
              </w:rPr>
            </w:pPr>
            <w:r w:rsidRPr="003D450F">
              <w:rPr>
                <w:rStyle w:val="Bodytext31Sylfaen9"/>
                <w:sz w:val="20"/>
                <w:szCs w:val="20"/>
              </w:rPr>
              <w:t>Քառակուսային կոնտրաստը</w:t>
            </w:r>
          </w:p>
        </w:tc>
        <w:tc>
          <w:tcPr>
            <w:tcW w:w="2285" w:type="dxa"/>
            <w:tcBorders>
              <w:bottom w:val="single" w:sz="4" w:space="0" w:color="auto"/>
            </w:tcBorders>
            <w:shd w:val="clear" w:color="auto" w:fill="FFFFFF"/>
          </w:tcPr>
          <w:p w14:paraId="1F8D87E9"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Q</w:t>
            </w:r>
            <w:r w:rsidRPr="003D450F">
              <w:rPr>
                <w:rStyle w:val="Bodytext31Sylfaen9"/>
                <w:sz w:val="20"/>
                <w:szCs w:val="20"/>
                <w:vertAlign w:val="subscript"/>
              </w:rPr>
              <w:t xml:space="preserve">S </w:t>
            </w:r>
            <w:r w:rsidRPr="003D450F">
              <w:rPr>
                <w:rStyle w:val="Bodytext31Sylfaen9"/>
                <w:sz w:val="20"/>
                <w:szCs w:val="20"/>
              </w:rPr>
              <w:t>=-1,8</w:t>
            </w:r>
          </w:p>
        </w:tc>
        <w:tc>
          <w:tcPr>
            <w:tcW w:w="2314" w:type="dxa"/>
            <w:tcBorders>
              <w:bottom w:val="single" w:sz="4" w:space="0" w:color="auto"/>
            </w:tcBorders>
            <w:shd w:val="clear" w:color="auto" w:fill="FFFFFF"/>
          </w:tcPr>
          <w:p w14:paraId="13A3AD9E"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Q</w:t>
            </w:r>
            <w:r w:rsidRPr="003D450F">
              <w:rPr>
                <w:rStyle w:val="Bodytext31Sylfaen9"/>
                <w:sz w:val="20"/>
                <w:szCs w:val="20"/>
                <w:vertAlign w:val="subscript"/>
              </w:rPr>
              <w:t>U</w:t>
            </w:r>
            <w:r w:rsidRPr="003D450F">
              <w:rPr>
                <w:rStyle w:val="Bodytext31Sylfaen9"/>
                <w:sz w:val="20"/>
                <w:szCs w:val="20"/>
              </w:rPr>
              <w:t xml:space="preserve"> =-0,2</w:t>
            </w:r>
          </w:p>
        </w:tc>
        <w:tc>
          <w:tcPr>
            <w:tcW w:w="2270" w:type="dxa"/>
            <w:tcBorders>
              <w:bottom w:val="single" w:sz="4" w:space="0" w:color="auto"/>
            </w:tcBorders>
            <w:shd w:val="clear" w:color="auto" w:fill="FFFFFF"/>
          </w:tcPr>
          <w:p w14:paraId="0948542D" w14:textId="77777777" w:rsidR="00B834A2" w:rsidRPr="003D450F" w:rsidRDefault="00B834A2" w:rsidP="003D450F">
            <w:pPr>
              <w:pStyle w:val="Bodytext20"/>
              <w:shd w:val="clear" w:color="auto" w:fill="auto"/>
              <w:spacing w:before="0" w:line="240" w:lineRule="auto"/>
              <w:rPr>
                <w:rFonts w:ascii="Sylfaen" w:hAnsi="Sylfaen" w:cs="Sylfaen"/>
                <w:sz w:val="20"/>
                <w:szCs w:val="20"/>
              </w:rPr>
            </w:pPr>
            <w:r w:rsidRPr="003D450F">
              <w:rPr>
                <w:rStyle w:val="Bodytext31Sylfaen9"/>
                <w:sz w:val="20"/>
                <w:szCs w:val="20"/>
              </w:rPr>
              <w:t>Q</w:t>
            </w:r>
            <w:r w:rsidRPr="003D450F">
              <w:rPr>
                <w:rStyle w:val="Bodytext31Sylfaen9"/>
                <w:sz w:val="20"/>
                <w:szCs w:val="20"/>
                <w:vertAlign w:val="subscript"/>
              </w:rPr>
              <w:t>S</w:t>
            </w:r>
            <w:r w:rsidRPr="003D450F">
              <w:rPr>
                <w:rStyle w:val="Bodytext31Sylfaen9"/>
                <w:sz w:val="20"/>
                <w:szCs w:val="20"/>
              </w:rPr>
              <w:t>+Q</w:t>
            </w:r>
            <w:r w:rsidRPr="003D450F">
              <w:rPr>
                <w:rStyle w:val="Bodytext31Sylfaen9"/>
                <w:sz w:val="20"/>
                <w:szCs w:val="20"/>
                <w:vertAlign w:val="subscript"/>
              </w:rPr>
              <w:t>U</w:t>
            </w:r>
            <w:r w:rsidRPr="003D450F">
              <w:rPr>
                <w:rStyle w:val="Bodytext31Sylfaen9"/>
                <w:sz w:val="20"/>
                <w:szCs w:val="20"/>
              </w:rPr>
              <w:t>=-2,0</w:t>
            </w:r>
          </w:p>
        </w:tc>
      </w:tr>
    </w:tbl>
    <w:p w14:paraId="32EF8D5F" w14:textId="77777777" w:rsidR="00B834A2" w:rsidRPr="00B834A2" w:rsidRDefault="00B834A2" w:rsidP="009A3F5E">
      <w:pPr>
        <w:spacing w:after="160" w:line="360" w:lineRule="auto"/>
        <w:ind w:firstLine="567"/>
        <w:jc w:val="both"/>
      </w:pPr>
    </w:p>
    <w:p w14:paraId="2B0F5426"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noProof/>
          <w:lang w:val="en-US" w:eastAsia="en-US" w:bidi="ar-SA"/>
        </w:rPr>
        <w:pict w14:anchorId="3FFA363B">
          <v:group id="_x0000_s1431" style="position:absolute;left:0;text-align:left;margin-left:15.75pt;margin-top:-.45pt;width:182.65pt;height:344.6pt;z-index:252000768" coordorigin="1733,1409" coordsize="3653,6892">
            <v:rect id="_x0000_s1306" style="position:absolute;left:2205;top:1409;width:3181;height:429" stroked="f">
              <v:textbox style="mso-next-textbox:#_x0000_s1306">
                <w:txbxContent>
                  <w:p w14:paraId="2F934436" w14:textId="77777777" w:rsidR="008D6E8B" w:rsidRPr="00DD2204" w:rsidRDefault="008D6E8B" w:rsidP="00B834A2">
                    <w:pPr>
                      <w:jc w:val="center"/>
                      <w:rPr>
                        <w:sz w:val="16"/>
                      </w:rPr>
                    </w:pPr>
                    <w:r>
                      <w:rPr>
                        <w:rStyle w:val="Bodytext31Sylfaen9"/>
                        <w:sz w:val="16"/>
                      </w:rPr>
                      <w:t>Ուղղիչ գործակիցը՝</w:t>
                    </w:r>
                  </w:p>
                </w:txbxContent>
              </v:textbox>
            </v:rect>
            <v:rect id="_x0000_s1307" style="position:absolute;left:1733;top:7811;width:3083;height:490" stroked="f">
              <v:textbox style="mso-next-textbox:#_x0000_s1307">
                <w:txbxContent>
                  <w:p w14:paraId="59F3121A" w14:textId="77777777" w:rsidR="008D6E8B" w:rsidRPr="00CB602A" w:rsidRDefault="008D6E8B" w:rsidP="00B834A2">
                    <w:pPr>
                      <w:jc w:val="center"/>
                      <w:rPr>
                        <w:sz w:val="16"/>
                        <w:szCs w:val="16"/>
                      </w:rPr>
                    </w:pPr>
                    <w:r w:rsidRPr="00CB602A">
                      <w:rPr>
                        <w:rStyle w:val="Bodytext31Sylfaen9"/>
                        <w:sz w:val="16"/>
                        <w:szCs w:val="16"/>
                      </w:rPr>
                      <w:t>Քառակուսիության տարբերություն</w:t>
                    </w:r>
                  </w:p>
                </w:txbxContent>
              </v:textbox>
            </v:rect>
            <v:rect id="_x0000_s1308" style="position:absolute;left:2280;top:6539;width:2023;height:355" stroked="f">
              <v:textbox style="mso-next-textbox:#_x0000_s1308">
                <w:txbxContent>
                  <w:p w14:paraId="708491DA" w14:textId="77777777" w:rsidR="008D6E8B" w:rsidRPr="00DD2204" w:rsidRDefault="008D6E8B" w:rsidP="00B834A2">
                    <w:pPr>
                      <w:jc w:val="center"/>
                      <w:rPr>
                        <w:sz w:val="16"/>
                      </w:rPr>
                    </w:pPr>
                    <w:r>
                      <w:rPr>
                        <w:rStyle w:val="Bodytext31Sylfaen9"/>
                        <w:sz w:val="16"/>
                      </w:rPr>
                      <w:t>Քառակուսիություն</w:t>
                    </w:r>
                  </w:p>
                </w:txbxContent>
              </v:textbox>
            </v:rect>
            <v:rect id="_x0000_s1309" style="position:absolute;left:2205;top:5126;width:2220;height:492" stroked="f">
              <v:textbox style="mso-next-textbox:#_x0000_s1309">
                <w:txbxContent>
                  <w:p w14:paraId="23FC63A2" w14:textId="77777777" w:rsidR="008D6E8B" w:rsidRPr="00DD2204" w:rsidRDefault="008D6E8B" w:rsidP="00B834A2">
                    <w:pPr>
                      <w:jc w:val="center"/>
                      <w:rPr>
                        <w:sz w:val="16"/>
                      </w:rPr>
                    </w:pPr>
                    <w:r>
                      <w:rPr>
                        <w:rStyle w:val="Bodytext31Sylfaen9"/>
                        <w:sz w:val="16"/>
                      </w:rPr>
                      <w:t>Ոչ զուգահեռություն</w:t>
                    </w:r>
                  </w:p>
                </w:txbxContent>
              </v:textbox>
            </v:rect>
            <v:rect id="_x0000_s1310" style="position:absolute;left:1733;top:4153;width:1192;height:351" stroked="f">
              <v:textbox style="mso-next-textbox:#_x0000_s1310">
                <w:txbxContent>
                  <w:p w14:paraId="6CC75CEE" w14:textId="77777777" w:rsidR="008D6E8B" w:rsidRPr="00DD2204" w:rsidRDefault="008D6E8B" w:rsidP="00B834A2">
                    <w:pPr>
                      <w:jc w:val="center"/>
                      <w:rPr>
                        <w:sz w:val="16"/>
                      </w:rPr>
                    </w:pPr>
                    <w:r>
                      <w:rPr>
                        <w:rStyle w:val="Bodytext31Sylfaen9"/>
                        <w:sz w:val="16"/>
                      </w:rPr>
                      <w:t>Ռեգրեսիա</w:t>
                    </w:r>
                  </w:p>
                </w:txbxContent>
              </v:textbox>
            </v:rect>
            <v:rect id="_x0000_s1311" style="position:absolute;left:1860;top:2766;width:1818;height:345" stroked="f">
              <v:textbox style="mso-next-textbox:#_x0000_s1311">
                <w:txbxContent>
                  <w:p w14:paraId="6C41DA71" w14:textId="77777777" w:rsidR="008D6E8B" w:rsidRPr="003D450F" w:rsidRDefault="008D6E8B" w:rsidP="00B834A2">
                    <w:pPr>
                      <w:jc w:val="center"/>
                      <w:rPr>
                        <w:sz w:val="16"/>
                        <w:szCs w:val="16"/>
                      </w:rPr>
                    </w:pPr>
                    <w:r w:rsidRPr="003D450F">
                      <w:rPr>
                        <w:rStyle w:val="Bodytext31Sylfaen9"/>
                        <w:sz w:val="16"/>
                        <w:szCs w:val="16"/>
                      </w:rPr>
                      <w:t>Պատրաստուկները</w:t>
                    </w:r>
                  </w:p>
                </w:txbxContent>
              </v:textbox>
            </v:rect>
          </v:group>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7CFF55B7" wp14:editId="6A8836FA">
            <wp:extent cx="2506882" cy="2073895"/>
            <wp:effectExtent l="19050" t="0" r="7718"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1" cstate="print"/>
                    <a:srcRect/>
                    <a:stretch>
                      <a:fillRect/>
                    </a:stretch>
                  </pic:blipFill>
                  <pic:spPr bwMode="auto">
                    <a:xfrm>
                      <a:off x="0" y="0"/>
                      <a:ext cx="2508307" cy="2075074"/>
                    </a:xfrm>
                    <a:prstGeom prst="rect">
                      <a:avLst/>
                    </a:prstGeom>
                    <a:noFill/>
                    <a:ln w="9525">
                      <a:noFill/>
                      <a:miter lim="800000"/>
                      <a:headEnd/>
                      <a:tailEnd/>
                    </a:ln>
                  </pic:spPr>
                </pic:pic>
              </a:graphicData>
            </a:graphic>
          </wp:inline>
        </w:drawing>
      </w:r>
    </w:p>
    <w:p w14:paraId="061BF918" w14:textId="77777777" w:rsidR="00B834A2" w:rsidRPr="00B834A2" w:rsidRDefault="00B834A2" w:rsidP="009A3F5E">
      <w:pPr>
        <w:spacing w:after="160" w:line="360" w:lineRule="auto"/>
        <w:ind w:firstLine="567"/>
        <w:jc w:val="both"/>
      </w:pPr>
      <w:r w:rsidRPr="00B834A2">
        <w:rPr>
          <w:noProof/>
          <w:shd w:val="clear" w:color="auto" w:fill="FFFFFF"/>
          <w:lang w:val="en-US" w:eastAsia="en-US" w:bidi="ar-SA"/>
        </w:rPr>
        <w:drawing>
          <wp:inline distT="0" distB="0" distL="0" distR="0" wp14:anchorId="06B20B70" wp14:editId="776D6967">
            <wp:extent cx="2910840" cy="2214718"/>
            <wp:effectExtent l="19050" t="0" r="381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2" cstate="print"/>
                    <a:srcRect/>
                    <a:stretch>
                      <a:fillRect/>
                    </a:stretch>
                  </pic:blipFill>
                  <pic:spPr bwMode="auto">
                    <a:xfrm>
                      <a:off x="0" y="0"/>
                      <a:ext cx="2912445" cy="2215939"/>
                    </a:xfrm>
                    <a:prstGeom prst="rect">
                      <a:avLst/>
                    </a:prstGeom>
                    <a:noFill/>
                    <a:ln w="9525">
                      <a:noFill/>
                      <a:miter lim="800000"/>
                      <a:headEnd/>
                      <a:tailEnd/>
                    </a:ln>
                  </pic:spPr>
                </pic:pic>
              </a:graphicData>
            </a:graphic>
          </wp:inline>
        </w:drawing>
      </w:r>
    </w:p>
    <w:p w14:paraId="7A2FC589"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eastAsia="Sylfaen" w:hAnsi="Sylfaen" w:cs="Sylfaen"/>
          <w:noProof/>
          <w:sz w:val="24"/>
          <w:szCs w:val="24"/>
          <w:lang w:val="en-US" w:eastAsia="en-US" w:bidi="ar-SA"/>
        </w:rPr>
        <w:lastRenderedPageBreak/>
        <w:pict w14:anchorId="3B718A95">
          <v:group id="_x0000_s1432" style="position:absolute;left:0;text-align:left;margin-left:1.85pt;margin-top:4.35pt;width:168.05pt;height:165.2pt;z-index:252006400" coordorigin="1455,8895" coordsize="3361,3304">
            <v:rect id="_x0000_s1379" style="position:absolute;left:1455;top:11554;width:3361;height:645" stroked="f">
              <v:textbox>
                <w:txbxContent>
                  <w:p w14:paraId="285EC039" w14:textId="77777777" w:rsidR="008D6E8B" w:rsidRPr="008D4A4D" w:rsidRDefault="008D6E8B" w:rsidP="00CB602A">
                    <w:pPr>
                      <w:jc w:val="center"/>
                      <w:rPr>
                        <w:sz w:val="18"/>
                        <w:szCs w:val="18"/>
                      </w:rPr>
                    </w:pPr>
                    <w:r w:rsidRPr="00BC6E6E">
                      <w:rPr>
                        <w:sz w:val="18"/>
                        <w:szCs w:val="18"/>
                      </w:rPr>
                      <w:t>Քառակուսիության տարբերություն</w:t>
                    </w:r>
                  </w:p>
                </w:txbxContent>
              </v:textbox>
            </v:rect>
            <v:rect id="_x0000_s1313" style="position:absolute;left:2055;top:8895;width:2248;height:420" stroked="f">
              <v:textbox>
                <w:txbxContent>
                  <w:p w14:paraId="03AA8EA2" w14:textId="77777777" w:rsidR="008D6E8B" w:rsidRPr="00DD2204" w:rsidRDefault="008D6E8B" w:rsidP="00B834A2">
                    <w:pPr>
                      <w:jc w:val="center"/>
                      <w:rPr>
                        <w:sz w:val="16"/>
                      </w:rPr>
                    </w:pPr>
                    <w:r>
                      <w:rPr>
                        <w:rStyle w:val="Bodytext31Sylfaen9"/>
                        <w:sz w:val="16"/>
                      </w:rPr>
                      <w:t>Ոչ զուգահեռություն</w:t>
                    </w:r>
                  </w:p>
                </w:txbxContent>
              </v:textbox>
            </v:rect>
            <v:rect id="_x0000_s1314" style="position:absolute;left:2280;top:10290;width:2023;height:355" stroked="f">
              <v:textbox style="mso-next-textbox:#_x0000_s1314">
                <w:txbxContent>
                  <w:p w14:paraId="30A62C3C" w14:textId="77777777" w:rsidR="008D6E8B" w:rsidRPr="00DD2204" w:rsidRDefault="008D6E8B" w:rsidP="00B834A2">
                    <w:pPr>
                      <w:jc w:val="center"/>
                      <w:rPr>
                        <w:sz w:val="16"/>
                      </w:rPr>
                    </w:pPr>
                    <w:r>
                      <w:rPr>
                        <w:rStyle w:val="Bodytext31Sylfaen9"/>
                        <w:sz w:val="16"/>
                      </w:rPr>
                      <w:t>Քառակուսիություն</w:t>
                    </w:r>
                  </w:p>
                </w:txbxContent>
              </v:textbox>
            </v:rect>
          </v:group>
        </w:pict>
      </w:r>
      <w:r w:rsidR="00B834A2" w:rsidRPr="00B834A2">
        <w:rPr>
          <w:rFonts w:ascii="Sylfaen" w:hAnsi="Sylfaen" w:cs="Sylfaen"/>
          <w:noProof/>
          <w:sz w:val="24"/>
          <w:szCs w:val="24"/>
          <w:lang w:val="en-US" w:eastAsia="en-US" w:bidi="ar-SA"/>
        </w:rPr>
        <w:drawing>
          <wp:inline distT="0" distB="0" distL="0" distR="0" wp14:anchorId="0DDE3AD7" wp14:editId="2184133D">
            <wp:extent cx="2910840" cy="2214718"/>
            <wp:effectExtent l="19050" t="0" r="3810" b="0"/>
            <wp:docPr id="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2" cstate="print"/>
                    <a:srcRect/>
                    <a:stretch>
                      <a:fillRect/>
                    </a:stretch>
                  </pic:blipFill>
                  <pic:spPr bwMode="auto">
                    <a:xfrm>
                      <a:off x="0" y="0"/>
                      <a:ext cx="2912445" cy="2215939"/>
                    </a:xfrm>
                    <a:prstGeom prst="rect">
                      <a:avLst/>
                    </a:prstGeom>
                    <a:noFill/>
                    <a:ln w="9525">
                      <a:noFill/>
                      <a:miter lim="800000"/>
                      <a:headEnd/>
                      <a:tailEnd/>
                    </a:ln>
                  </pic:spPr>
                </pic:pic>
              </a:graphicData>
            </a:graphic>
          </wp:inline>
        </w:drawing>
      </w:r>
      <w:r w:rsidR="00B834A2" w:rsidRPr="00B834A2">
        <w:rPr>
          <w:rFonts w:ascii="Sylfaen" w:hAnsi="Sylfaen" w:cs="Sylfaen"/>
          <w:noProof/>
          <w:sz w:val="24"/>
          <w:szCs w:val="24"/>
          <w:lang w:val="en-US" w:eastAsia="en-US" w:bidi="ar-SA"/>
        </w:rPr>
        <w:drawing>
          <wp:inline distT="0" distB="0" distL="0" distR="0" wp14:anchorId="62E2C96C" wp14:editId="31563244">
            <wp:extent cx="3218319" cy="4191000"/>
            <wp:effectExtent l="19050" t="0" r="1131"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3220094" cy="4193311"/>
                    </a:xfrm>
                    <a:prstGeom prst="rect">
                      <a:avLst/>
                    </a:prstGeom>
                    <a:noFill/>
                    <a:ln w="9525">
                      <a:noFill/>
                      <a:miter lim="800000"/>
                      <a:headEnd/>
                      <a:tailEnd/>
                    </a:ln>
                  </pic:spPr>
                </pic:pic>
              </a:graphicData>
            </a:graphic>
          </wp:inline>
        </w:drawing>
      </w:r>
    </w:p>
    <w:p w14:paraId="15BA2557" w14:textId="77777777" w:rsidR="00B834A2" w:rsidRPr="00C41622" w:rsidRDefault="00000000" w:rsidP="009A3F5E">
      <w:pPr>
        <w:pStyle w:val="Bodytext20"/>
        <w:shd w:val="clear" w:color="auto" w:fill="auto"/>
        <w:spacing w:before="0" w:after="160" w:line="360" w:lineRule="auto"/>
        <w:ind w:firstLine="567"/>
        <w:jc w:val="both"/>
        <w:rPr>
          <w:rFonts w:ascii="Sylfaen" w:hAnsi="Sylfaen"/>
          <w:sz w:val="24"/>
          <w:szCs w:val="24"/>
        </w:rPr>
      </w:pPr>
      <w:r>
        <w:rPr>
          <w:rFonts w:ascii="Sylfaen" w:eastAsia="Sylfaen" w:hAnsi="Sylfaen" w:cs="Sylfaen"/>
          <w:noProof/>
          <w:sz w:val="24"/>
          <w:szCs w:val="24"/>
          <w:lang w:val="en-US" w:eastAsia="en-US" w:bidi="ar-SA"/>
        </w:rPr>
        <w:pict w14:anchorId="52D3221C">
          <v:group id="_x0000_s1434" style="position:absolute;left:0;text-align:left;margin-left:-23.35pt;margin-top:-309.55pt;width:262.2pt;height:299.2pt;z-index:252013568" coordorigin="951,2145" coordsize="5244,5984">
            <v:rect id="_x0000_s1316" style="position:absolute;left:1832;top:5178;width:1801;height:432" stroked="f">
              <v:textbox style="mso-next-textbox:#_x0000_s1316">
                <w:txbxContent>
                  <w:p w14:paraId="62DF1DCF" w14:textId="77777777" w:rsidR="008D6E8B" w:rsidRPr="00DD2204" w:rsidRDefault="008D6E8B" w:rsidP="00B834A2">
                    <w:pPr>
                      <w:jc w:val="center"/>
                      <w:rPr>
                        <w:sz w:val="16"/>
                      </w:rPr>
                    </w:pPr>
                    <w:r>
                      <w:rPr>
                        <w:rStyle w:val="Bodytext31Sylfaen9"/>
                        <w:sz w:val="16"/>
                      </w:rPr>
                      <w:t>Սյունակները</w:t>
                    </w:r>
                  </w:p>
                </w:txbxContent>
              </v:textbox>
            </v:rect>
            <v:rect id="_x0000_s1317" style="position:absolute;left:1753;top:3789;width:1801;height:387" stroked="f">
              <v:textbox style="mso-next-textbox:#_x0000_s1317">
                <w:txbxContent>
                  <w:p w14:paraId="7EA5A024" w14:textId="77777777" w:rsidR="008D6E8B" w:rsidRPr="003C6AEA" w:rsidRDefault="008D6E8B" w:rsidP="00B834A2">
                    <w:pPr>
                      <w:jc w:val="center"/>
                      <w:rPr>
                        <w:sz w:val="20"/>
                        <w:szCs w:val="20"/>
                      </w:rPr>
                    </w:pPr>
                    <w:r w:rsidRPr="003C6AEA">
                      <w:rPr>
                        <w:rStyle w:val="Bodytext31Sylfaen9"/>
                        <w:sz w:val="20"/>
                        <w:szCs w:val="20"/>
                      </w:rPr>
                      <w:t>Տողերը</w:t>
                    </w:r>
                  </w:p>
                </w:txbxContent>
              </v:textbox>
            </v:rect>
            <v:rect id="_x0000_s1318" style="position:absolute;left:951;top:2145;width:1801;height:555" stroked="f">
              <v:textbox style="mso-next-textbox:#_x0000_s1318">
                <w:txbxContent>
                  <w:p w14:paraId="401A8D7E" w14:textId="77777777" w:rsidR="008D6E8B" w:rsidRPr="003C6AEA" w:rsidRDefault="008D6E8B" w:rsidP="00B834A2">
                    <w:pPr>
                      <w:jc w:val="center"/>
                      <w:rPr>
                        <w:sz w:val="18"/>
                        <w:szCs w:val="18"/>
                      </w:rPr>
                    </w:pPr>
                    <w:r w:rsidRPr="003C6AEA">
                      <w:rPr>
                        <w:rStyle w:val="Bodytext31Sylfaen9"/>
                        <w:sz w:val="18"/>
                        <w:szCs w:val="18"/>
                      </w:rPr>
                      <w:t>Կիրառումներ</w:t>
                    </w:r>
                  </w:p>
                </w:txbxContent>
              </v:textbox>
            </v:rect>
            <v:rect id="_x0000_s1320" style="position:absolute;left:1380;top:6270;width:1981;height:392" stroked="f">
              <v:textbox style="mso-next-textbox:#_x0000_s1320">
                <w:txbxContent>
                  <w:p w14:paraId="4EC08CCD" w14:textId="77777777" w:rsidR="008D6E8B" w:rsidRPr="00DD2204" w:rsidRDefault="008D6E8B" w:rsidP="00B834A2">
                    <w:pPr>
                      <w:jc w:val="center"/>
                      <w:rPr>
                        <w:sz w:val="16"/>
                      </w:rPr>
                    </w:pPr>
                    <w:r>
                      <w:rPr>
                        <w:rStyle w:val="Bodytext31Sylfaen9"/>
                        <w:sz w:val="16"/>
                      </w:rPr>
                      <w:t>Արդյունք</w:t>
                    </w:r>
                  </w:p>
                </w:txbxContent>
              </v:textbox>
            </v:rect>
            <v:rect id="_x0000_s1321" style="position:absolute;left:1155;top:7066;width:5040;height:1063" stroked="f">
              <v:textbox style="mso-next-textbox:#_x0000_s1321">
                <w:txbxContent>
                  <w:p w14:paraId="60D8339B" w14:textId="77777777" w:rsidR="008D6E8B" w:rsidRPr="000F291A" w:rsidRDefault="008D6E8B" w:rsidP="00B834A2">
                    <w:pPr>
                      <w:jc w:val="center"/>
                      <w:rPr>
                        <w:sz w:val="16"/>
                      </w:rPr>
                    </w:pPr>
                    <w:r>
                      <w:rPr>
                        <w:rStyle w:val="Bodytext31Sylfaen9"/>
                        <w:sz w:val="16"/>
                      </w:rPr>
                      <w:t>Շեղում = արդյունք - կիրառումներ - տողեր -սյունակներ = 29,2922-26,9789-0,2189-0,2322 = 1,8622։</w:t>
                    </w:r>
                  </w:p>
                </w:txbxContent>
              </v:textbox>
            </v:rect>
          </v:group>
        </w:pict>
      </w:r>
      <w:r w:rsidR="00B834A2" w:rsidRPr="000F5A26">
        <w:rPr>
          <w:rStyle w:val="Bodytext31Sylfaen9"/>
          <w:sz w:val="24"/>
          <w:szCs w:val="24"/>
        </w:rPr>
        <w:t>Դիսպերսիաների տարբերությունների նշանակալիությունը ստուգվում է Ֆիշերի չափորոշչի միջոցով։</w:t>
      </w:r>
      <w:r w:rsidR="00B834A2" w:rsidRPr="00BB0C64">
        <w:rPr>
          <w:rFonts w:ascii="Sylfaen" w:hAnsi="Sylfaen"/>
          <w:sz w:val="24"/>
          <w:szCs w:val="24"/>
        </w:rPr>
        <w:t xml:space="preserve"> </w:t>
      </w:r>
      <w:r w:rsidR="00B834A2" w:rsidRPr="00B834A2">
        <w:rPr>
          <w:rFonts w:ascii="Sylfaen" w:hAnsi="Sylfaen"/>
          <w:sz w:val="24"/>
          <w:szCs w:val="24"/>
        </w:rPr>
        <w:t>«Ռեգրեսիա», «Ոչ զուգահեռություն», «Քառակուսիություն», «Քառակուսիության տարբերություն», «Տողեր» եւ «Սյունակներ» ցուցանիշների համար պահանջների կատարումը պարտադիր է։</w:t>
      </w:r>
      <w:r w:rsidR="00B834A2" w:rsidRPr="00B834A2">
        <w:rPr>
          <w:rStyle w:val="Bodytext31Sylfaen9"/>
          <w:sz w:val="24"/>
          <w:szCs w:val="24"/>
        </w:rPr>
        <w:t xml:space="preserve"> </w:t>
      </w:r>
      <w:r w:rsidR="00B834A2" w:rsidRPr="00B834A2">
        <w:rPr>
          <w:rFonts w:ascii="Sylfaen" w:hAnsi="Sylfaen"/>
          <w:sz w:val="24"/>
          <w:szCs w:val="24"/>
        </w:rPr>
        <w:t xml:space="preserve">«Ռեգրեսիա»-ի համար Ֆիշերի չափորոշչի դիտարկվող արժեքը պետք է մեծ լինի կրիտիկական արժեքից </w:t>
      </w:r>
      <w:r w:rsidR="00B834A2" w:rsidRPr="00B834A2">
        <w:rPr>
          <w:rStyle w:val="Bodytext2Italic"/>
          <w:sz w:val="24"/>
          <w:szCs w:val="24"/>
        </w:rPr>
        <w:t>(р</w:t>
      </w:r>
      <w:r w:rsidR="00B834A2" w:rsidRPr="00B834A2">
        <w:rPr>
          <w:rStyle w:val="Bodytext31Sylfaen9"/>
          <w:sz w:val="24"/>
          <w:szCs w:val="24"/>
        </w:rPr>
        <w:t xml:space="preserve"> = 0,01)</w:t>
      </w:r>
      <w:r w:rsidR="00B834A2" w:rsidRPr="00B834A2">
        <w:rPr>
          <w:rFonts w:ascii="Sylfaen" w:hAnsi="Sylfaen"/>
          <w:sz w:val="24"/>
          <w:szCs w:val="24"/>
        </w:rPr>
        <w:t xml:space="preserve">, իսկ «Ոչ զուգահեռություն» </w:t>
      </w:r>
      <w:r w:rsidR="00B834A2" w:rsidRPr="00B834A2">
        <w:rPr>
          <w:rStyle w:val="Bodytext2Italic"/>
          <w:sz w:val="24"/>
          <w:szCs w:val="24"/>
        </w:rPr>
        <w:t xml:space="preserve">(р = 0,05), </w:t>
      </w:r>
      <w:r w:rsidR="00B834A2" w:rsidRPr="00B834A2">
        <w:rPr>
          <w:rFonts w:ascii="Sylfaen" w:hAnsi="Sylfaen"/>
          <w:sz w:val="24"/>
          <w:szCs w:val="24"/>
        </w:rPr>
        <w:t xml:space="preserve">«Տողեր» </w:t>
      </w:r>
      <w:r w:rsidR="00B834A2" w:rsidRPr="00B834A2">
        <w:rPr>
          <w:rStyle w:val="Bodytext2Italic"/>
          <w:sz w:val="24"/>
          <w:szCs w:val="24"/>
        </w:rPr>
        <w:t>(р</w:t>
      </w:r>
      <w:r w:rsidR="00B834A2" w:rsidRPr="00B834A2">
        <w:rPr>
          <w:rStyle w:val="Bodytext31Sylfaen9"/>
          <w:sz w:val="24"/>
          <w:szCs w:val="24"/>
        </w:rPr>
        <w:t xml:space="preserve"> = 0,01) եւ </w:t>
      </w:r>
      <w:r w:rsidR="00B834A2" w:rsidRPr="00B834A2">
        <w:rPr>
          <w:rFonts w:ascii="Sylfaen" w:hAnsi="Sylfaen"/>
          <w:sz w:val="24"/>
          <w:szCs w:val="24"/>
        </w:rPr>
        <w:t xml:space="preserve">«Սյունակներ» </w:t>
      </w:r>
      <w:r w:rsidR="00B834A2" w:rsidRPr="00B834A2">
        <w:rPr>
          <w:rStyle w:val="Bodytext2Italic"/>
          <w:sz w:val="24"/>
          <w:szCs w:val="24"/>
        </w:rPr>
        <w:t>(р</w:t>
      </w:r>
      <w:r w:rsidR="00B834A2" w:rsidRPr="00B834A2">
        <w:rPr>
          <w:rStyle w:val="Bodytext31Sylfaen9"/>
          <w:sz w:val="24"/>
          <w:szCs w:val="24"/>
        </w:rPr>
        <w:t xml:space="preserve"> =</w:t>
      </w:r>
      <w:r w:rsidR="00B834A2" w:rsidRPr="00B834A2">
        <w:rPr>
          <w:rStyle w:val="Bodytext2Italic"/>
          <w:sz w:val="24"/>
          <w:szCs w:val="24"/>
        </w:rPr>
        <w:t>0,01</w:t>
      </w:r>
      <w:r w:rsidR="00B834A2" w:rsidRPr="00B834A2">
        <w:rPr>
          <w:rStyle w:val="Bodytext31Sylfaen9"/>
          <w:sz w:val="24"/>
          <w:szCs w:val="24"/>
        </w:rPr>
        <w:t xml:space="preserve">) </w:t>
      </w:r>
      <w:r w:rsidR="00B834A2" w:rsidRPr="00B834A2">
        <w:rPr>
          <w:rFonts w:ascii="Sylfaen" w:hAnsi="Sylfaen"/>
          <w:sz w:val="24"/>
          <w:szCs w:val="24"/>
        </w:rPr>
        <w:t xml:space="preserve">ցուցանիշների համար՝ կրիտիկական արժեքից </w:t>
      </w:r>
      <w:r w:rsidR="00B834A2" w:rsidRPr="00B834A2">
        <w:rPr>
          <w:rFonts w:ascii="Sylfaen" w:hAnsi="Sylfaen"/>
          <w:sz w:val="24"/>
          <w:szCs w:val="24"/>
        </w:rPr>
        <w:lastRenderedPageBreak/>
        <w:t>փոքր։</w:t>
      </w:r>
      <w:r w:rsidR="00B834A2" w:rsidRPr="00B834A2">
        <w:rPr>
          <w:rStyle w:val="Bodytext31Sylfaen9"/>
          <w:sz w:val="24"/>
          <w:szCs w:val="24"/>
        </w:rPr>
        <w:t xml:space="preserve"> </w:t>
      </w:r>
      <w:r w:rsidR="00B834A2" w:rsidRPr="00B834A2">
        <w:rPr>
          <w:rFonts w:ascii="Sylfaen" w:hAnsi="Sylfaen"/>
          <w:sz w:val="24"/>
          <w:szCs w:val="24"/>
        </w:rPr>
        <w:t>«Ռեգրեսիա» ցուցանիշով բնութագրվում է դեղաչափից կախվածությունը, «Ոչ զուգահեռություն» ցուցանիշով՝ ռեգրեսիայի երկու գծերի զուգահեռությունը, «Քառակուսիություն» եւ «Քառակուսիության տարբերություն» ցուցանիշներով՝ դեղաչափից կախվածության գծայնությունը, իսկ «Տողեր» եւ «Սյունակներ» ցուցանիշներով՝ ամբողջ փորձի ընթացքում արձագանքների հավասարակշռվածությունը։</w:t>
      </w:r>
    </w:p>
    <w:p w14:paraId="213724CB"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Ստացված արդյունքները համեմատվում են Ֆիշերի չափորոշչի աղյուսակային կրիտիկական արժեքների հետ (հավելվածի 3-րդ աղյուսակ)։ </w:t>
      </w:r>
      <w:r w:rsidRPr="00B834A2">
        <w:rPr>
          <w:rFonts w:ascii="Sylfaen" w:hAnsi="Sylfaen"/>
          <w:sz w:val="24"/>
          <w:szCs w:val="24"/>
        </w:rPr>
        <w:t xml:space="preserve">Ազատության աստիճանների թիվը՝ </w:t>
      </w:r>
      <w:r w:rsidRPr="00B834A2">
        <w:rPr>
          <w:rStyle w:val="Bodytext31Sylfaen9"/>
          <w:sz w:val="24"/>
          <w:szCs w:val="24"/>
        </w:rPr>
        <w:t>ƒ</w:t>
      </w:r>
      <w:r w:rsidRPr="00B834A2">
        <w:rPr>
          <w:rStyle w:val="Bodytext31Sylfaen9"/>
          <w:sz w:val="24"/>
          <w:szCs w:val="24"/>
          <w:vertAlign w:val="subscript"/>
        </w:rPr>
        <w:t>1</w:t>
      </w:r>
      <w:r w:rsidRPr="00B834A2">
        <w:rPr>
          <w:rFonts w:ascii="Sylfaen" w:hAnsi="Sylfaen"/>
          <w:sz w:val="24"/>
          <w:szCs w:val="24"/>
        </w:rPr>
        <w:t xml:space="preserve">= 1 կամ 5, իսկ </w:t>
      </w:r>
      <w:r w:rsidRPr="00B834A2">
        <w:rPr>
          <w:rStyle w:val="Bodytext31Sylfaen9"/>
          <w:sz w:val="24"/>
          <w:szCs w:val="24"/>
        </w:rPr>
        <w:t>ƒ</w:t>
      </w:r>
      <w:r w:rsidRPr="00B834A2">
        <w:rPr>
          <w:rStyle w:val="Bodytext285pt"/>
          <w:spacing w:val="0"/>
          <w:sz w:val="24"/>
          <w:szCs w:val="24"/>
          <w:vertAlign w:val="subscript"/>
        </w:rPr>
        <w:t xml:space="preserve"> 2</w:t>
      </w:r>
      <w:r w:rsidRPr="00B834A2">
        <w:rPr>
          <w:rStyle w:val="Bodytext31Sylfaen9"/>
          <w:sz w:val="24"/>
          <w:szCs w:val="24"/>
        </w:rPr>
        <w:t xml:space="preserve"> = </w:t>
      </w:r>
      <w:r w:rsidRPr="00B834A2">
        <w:rPr>
          <w:rStyle w:val="Bodytext285pt"/>
          <w:spacing w:val="0"/>
          <w:sz w:val="24"/>
          <w:szCs w:val="24"/>
        </w:rPr>
        <w:t>20</w:t>
      </w:r>
      <w:r w:rsidRPr="00B834A2">
        <w:rPr>
          <w:rFonts w:ascii="Sylfaen" w:hAnsi="Sylfaen"/>
          <w:sz w:val="24"/>
          <w:szCs w:val="24"/>
        </w:rPr>
        <w:t>։</w:t>
      </w:r>
    </w:p>
    <w:p w14:paraId="5B8B3D56"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 xml:space="preserve">Դիսպերսիոն վերլուծությունը ցույց է տվել փորձի արդյունքների պիտանիությունը՝ </w:t>
      </w:r>
      <w:r w:rsidRPr="00B834A2">
        <w:rPr>
          <w:rFonts w:ascii="Sylfaen" w:hAnsi="Sylfaen"/>
          <w:sz w:val="24"/>
          <w:szCs w:val="24"/>
        </w:rPr>
        <w:t>դեղաչափից կախվածության վիճակագրական նշանակալիությունը («Ռեգրեսիա»), ռեգրեսիայի երկու գծերի զուգահեռությունը («Ոչ զուգահեռություն»), դեղաչափից կախվածության գծայնությունը («Քառակուսիություն» եւ «Քառակուսիության տարբերություն») եւ տողերի ու սյունակների միջեւ վիճակագրորեն նշանակալի տարբերությունների բացակայությունը (տե՛ս համանուն ցուցանիշները)։</w:t>
      </w:r>
    </w:p>
    <w:p w14:paraId="07BCF1EC" w14:textId="77777777" w:rsidR="00184198" w:rsidRPr="00D35F34" w:rsidRDefault="00184198" w:rsidP="009A3F5E">
      <w:pPr>
        <w:pStyle w:val="Bodytext20"/>
        <w:shd w:val="clear" w:color="auto" w:fill="auto"/>
        <w:spacing w:before="0" w:after="160" w:line="360" w:lineRule="auto"/>
        <w:ind w:firstLine="567"/>
        <w:jc w:val="both"/>
        <w:rPr>
          <w:rStyle w:val="Bodytext31Sylfaen9"/>
          <w:sz w:val="24"/>
          <w:szCs w:val="24"/>
        </w:rPr>
      </w:pPr>
    </w:p>
    <w:p w14:paraId="7699B0DD"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Աղյուսակ 3.2.5-18. Դիսպերսիոն վերլուծության ամփոփիչ աղյուսակ (եռադեղաչափ լատինական քառակուսի, Պետրիի թասերում ագարի մեջ դիֆուզիայի մեթոդով հակաբիոտիկների կենսաբանական ակտիվության որոշում)</w:t>
      </w:r>
    </w:p>
    <w:tbl>
      <w:tblPr>
        <w:tblOverlap w:val="never"/>
        <w:tblW w:w="10632" w:type="dxa"/>
        <w:jc w:val="center"/>
        <w:tblLayout w:type="fixed"/>
        <w:tblCellMar>
          <w:left w:w="10" w:type="dxa"/>
          <w:right w:w="10" w:type="dxa"/>
        </w:tblCellMar>
        <w:tblLook w:val="0000" w:firstRow="0" w:lastRow="0" w:firstColumn="0" w:lastColumn="0" w:noHBand="0" w:noVBand="0"/>
      </w:tblPr>
      <w:tblGrid>
        <w:gridCol w:w="1986"/>
        <w:gridCol w:w="2126"/>
        <w:gridCol w:w="1594"/>
        <w:gridCol w:w="1570"/>
        <w:gridCol w:w="1514"/>
        <w:gridCol w:w="1842"/>
      </w:tblGrid>
      <w:tr w:rsidR="00B834A2" w:rsidRPr="000F5A26" w14:paraId="13DE364D" w14:textId="77777777" w:rsidTr="00184198">
        <w:trPr>
          <w:cantSplit/>
          <w:trHeight w:val="1567"/>
          <w:tblHeader/>
          <w:jc w:val="center"/>
        </w:trPr>
        <w:tc>
          <w:tcPr>
            <w:tcW w:w="1986" w:type="dxa"/>
            <w:tcBorders>
              <w:top w:val="single" w:sz="4" w:space="0" w:color="auto"/>
            </w:tcBorders>
            <w:shd w:val="clear" w:color="auto" w:fill="FFFFFF"/>
            <w:vAlign w:val="center"/>
          </w:tcPr>
          <w:p w14:paraId="01230F17"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Դիսպերսիայի աղբյուրը (ցուցանիշ)</w:t>
            </w:r>
          </w:p>
        </w:tc>
        <w:tc>
          <w:tcPr>
            <w:tcW w:w="2126" w:type="dxa"/>
            <w:tcBorders>
              <w:top w:val="single" w:sz="4" w:space="0" w:color="auto"/>
            </w:tcBorders>
            <w:shd w:val="clear" w:color="auto" w:fill="FFFFFF"/>
            <w:vAlign w:val="center"/>
          </w:tcPr>
          <w:p w14:paraId="3906A220"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Ազատության աստիճանների թիվը (f)</w:t>
            </w:r>
          </w:p>
        </w:tc>
        <w:tc>
          <w:tcPr>
            <w:tcW w:w="1594" w:type="dxa"/>
            <w:tcBorders>
              <w:top w:val="single" w:sz="4" w:space="0" w:color="auto"/>
            </w:tcBorders>
            <w:shd w:val="clear" w:color="auto" w:fill="FFFFFF"/>
            <w:vAlign w:val="center"/>
          </w:tcPr>
          <w:p w14:paraId="4E866504"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Քառակուսիների գումարը</w:t>
            </w:r>
          </w:p>
        </w:tc>
        <w:tc>
          <w:tcPr>
            <w:tcW w:w="1570" w:type="dxa"/>
            <w:tcBorders>
              <w:top w:val="single" w:sz="4" w:space="0" w:color="auto"/>
            </w:tcBorders>
            <w:shd w:val="clear" w:color="auto" w:fill="FFFFFF"/>
            <w:vAlign w:val="center"/>
          </w:tcPr>
          <w:p w14:paraId="14DE2305" w14:textId="77777777" w:rsidR="00B834A2" w:rsidRPr="000F5A26" w:rsidRDefault="00000000" w:rsidP="000F5A26">
            <w:pPr>
              <w:pStyle w:val="Bodytext20"/>
              <w:shd w:val="clear" w:color="auto" w:fill="auto"/>
              <w:spacing w:before="0" w:line="240" w:lineRule="auto"/>
              <w:rPr>
                <w:rStyle w:val="Bodytext31Sylfaen9"/>
                <w:sz w:val="20"/>
                <w:szCs w:val="20"/>
                <w:u w:val="single"/>
              </w:rPr>
            </w:pPr>
            <w:r>
              <w:rPr>
                <w:rFonts w:ascii="Sylfaen" w:eastAsia="Sylfaen" w:hAnsi="Sylfaen" w:cs="Sylfaen"/>
                <w:noProof/>
                <w:sz w:val="20"/>
                <w:szCs w:val="20"/>
              </w:rPr>
              <w:pict w14:anchorId="08D069FC">
                <v:shape id="_x0000_s1322" type="#_x0000_t185" style="position:absolute;left:0;text-align:left;margin-left:.4pt;margin-top:13.95pt;width:76.3pt;height:25.8pt;z-index:251718656;mso-position-horizontal-relative:text;mso-position-vertical-relative:text"/>
              </w:pict>
            </w:r>
            <w:r w:rsidR="00B834A2" w:rsidRPr="000F5A26">
              <w:rPr>
                <w:rFonts w:ascii="Sylfaen" w:hAnsi="Sylfaen"/>
                <w:sz w:val="20"/>
                <w:szCs w:val="20"/>
              </w:rPr>
              <w:t xml:space="preserve">Միջին քառակուսին </w:t>
            </w:r>
            <w:r w:rsidR="00B834A2" w:rsidRPr="000F5A26">
              <w:rPr>
                <w:rFonts w:ascii="Sylfaen" w:hAnsi="Sylfaen"/>
                <w:sz w:val="20"/>
                <w:szCs w:val="20"/>
                <w:u w:val="single"/>
              </w:rPr>
              <w:t>Քառակուսիների գումարը</w:t>
            </w:r>
          </w:p>
          <w:p w14:paraId="28F2451E"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ƒ</w:t>
            </w:r>
          </w:p>
        </w:tc>
        <w:tc>
          <w:tcPr>
            <w:tcW w:w="1514" w:type="dxa"/>
            <w:tcBorders>
              <w:top w:val="single" w:sz="4" w:space="0" w:color="auto"/>
            </w:tcBorders>
            <w:shd w:val="clear" w:color="auto" w:fill="FFFFFF"/>
            <w:vAlign w:val="center"/>
          </w:tcPr>
          <w:p w14:paraId="7152629E"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Ֆիշերի չափորոշչի դիտարկվող արժեքը</w:t>
            </w:r>
          </w:p>
          <w:p w14:paraId="009E359F"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F</w:t>
            </w:r>
            <w:r w:rsidRPr="000F5A26">
              <w:rPr>
                <w:rStyle w:val="Bodytext31Sylfaen9"/>
                <w:sz w:val="20"/>
                <w:szCs w:val="20"/>
                <w:vertAlign w:val="subscript"/>
              </w:rPr>
              <w:t>դիտ.</w:t>
            </w:r>
          </w:p>
        </w:tc>
        <w:tc>
          <w:tcPr>
            <w:tcW w:w="1842" w:type="dxa"/>
            <w:tcBorders>
              <w:top w:val="single" w:sz="4" w:space="0" w:color="auto"/>
            </w:tcBorders>
            <w:shd w:val="clear" w:color="auto" w:fill="FFFFFF"/>
            <w:vAlign w:val="center"/>
          </w:tcPr>
          <w:p w14:paraId="507BCFBB"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Ֆիշերի չափորոշչի կրիտիկական արժեքը</w:t>
            </w:r>
          </w:p>
          <w:p w14:paraId="38DD10E7"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F</w:t>
            </w:r>
            <w:r w:rsidRPr="000F5A26">
              <w:rPr>
                <w:rStyle w:val="Bodytext31Sylfaen9"/>
                <w:sz w:val="20"/>
                <w:szCs w:val="20"/>
                <w:vertAlign w:val="subscript"/>
              </w:rPr>
              <w:t>կրիտիկ</w:t>
            </w:r>
            <w:r w:rsidRPr="000F5A26">
              <w:rPr>
                <w:rStyle w:val="Bodytext31Sylfaen9"/>
                <w:sz w:val="20"/>
                <w:szCs w:val="20"/>
              </w:rPr>
              <w:t>.</w:t>
            </w:r>
          </w:p>
        </w:tc>
      </w:tr>
      <w:tr w:rsidR="00B834A2" w:rsidRPr="000F5A26" w14:paraId="3858DB71" w14:textId="77777777" w:rsidTr="000F5A26">
        <w:trPr>
          <w:cantSplit/>
          <w:jc w:val="center"/>
        </w:trPr>
        <w:tc>
          <w:tcPr>
            <w:tcW w:w="1986" w:type="dxa"/>
            <w:tcBorders>
              <w:top w:val="single" w:sz="4" w:space="0" w:color="auto"/>
            </w:tcBorders>
            <w:shd w:val="clear" w:color="auto" w:fill="FFFFFF"/>
            <w:vAlign w:val="center"/>
          </w:tcPr>
          <w:p w14:paraId="4ED5ED48"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2Italic"/>
                <w:sz w:val="20"/>
                <w:szCs w:val="20"/>
              </w:rPr>
              <w:t>Պատրաստուկներ</w:t>
            </w:r>
          </w:p>
        </w:tc>
        <w:tc>
          <w:tcPr>
            <w:tcW w:w="2126" w:type="dxa"/>
            <w:tcBorders>
              <w:top w:val="single" w:sz="4" w:space="0" w:color="auto"/>
            </w:tcBorders>
            <w:shd w:val="clear" w:color="auto" w:fill="FFFFFF"/>
            <w:vAlign w:val="center"/>
          </w:tcPr>
          <w:p w14:paraId="7FFCBDAB"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1</w:t>
            </w:r>
          </w:p>
        </w:tc>
        <w:tc>
          <w:tcPr>
            <w:tcW w:w="1594" w:type="dxa"/>
            <w:tcBorders>
              <w:top w:val="single" w:sz="4" w:space="0" w:color="auto"/>
            </w:tcBorders>
            <w:shd w:val="clear" w:color="auto" w:fill="FFFFFF"/>
            <w:vAlign w:val="center"/>
          </w:tcPr>
          <w:p w14:paraId="1E053326"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0,401</w:t>
            </w:r>
          </w:p>
        </w:tc>
        <w:tc>
          <w:tcPr>
            <w:tcW w:w="1570" w:type="dxa"/>
            <w:tcBorders>
              <w:top w:val="single" w:sz="4" w:space="0" w:color="auto"/>
            </w:tcBorders>
            <w:shd w:val="clear" w:color="auto" w:fill="FFFFFF"/>
            <w:vAlign w:val="center"/>
          </w:tcPr>
          <w:p w14:paraId="4887ED2E"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0,401</w:t>
            </w:r>
          </w:p>
        </w:tc>
        <w:tc>
          <w:tcPr>
            <w:tcW w:w="1514" w:type="dxa"/>
            <w:tcBorders>
              <w:top w:val="single" w:sz="4" w:space="0" w:color="auto"/>
            </w:tcBorders>
            <w:shd w:val="clear" w:color="auto" w:fill="FFFFFF"/>
          </w:tcPr>
          <w:p w14:paraId="21A2D647" w14:textId="77777777" w:rsidR="00B834A2" w:rsidRPr="000F5A26" w:rsidRDefault="00B834A2" w:rsidP="000F5A26">
            <w:pPr>
              <w:spacing w:after="120"/>
              <w:jc w:val="center"/>
              <w:rPr>
                <w:sz w:val="20"/>
                <w:szCs w:val="20"/>
              </w:rPr>
            </w:pPr>
            <w:r w:rsidRPr="000F5A26">
              <w:rPr>
                <w:sz w:val="20"/>
                <w:szCs w:val="20"/>
              </w:rPr>
              <w:t>4,307</w:t>
            </w:r>
          </w:p>
        </w:tc>
        <w:tc>
          <w:tcPr>
            <w:tcW w:w="1842" w:type="dxa"/>
            <w:tcBorders>
              <w:top w:val="single" w:sz="4" w:space="0" w:color="auto"/>
            </w:tcBorders>
            <w:shd w:val="clear" w:color="auto" w:fill="FFFFFF"/>
          </w:tcPr>
          <w:p w14:paraId="7F033017" w14:textId="77777777" w:rsidR="00B834A2" w:rsidRPr="000F5A26" w:rsidRDefault="00B834A2" w:rsidP="000F5A26">
            <w:pPr>
              <w:spacing w:after="120"/>
              <w:jc w:val="center"/>
              <w:rPr>
                <w:sz w:val="20"/>
                <w:szCs w:val="20"/>
              </w:rPr>
            </w:pPr>
          </w:p>
        </w:tc>
      </w:tr>
      <w:tr w:rsidR="00B834A2" w:rsidRPr="000F5A26" w14:paraId="559E0B74" w14:textId="77777777" w:rsidTr="000F5A26">
        <w:trPr>
          <w:cantSplit/>
          <w:jc w:val="center"/>
        </w:trPr>
        <w:tc>
          <w:tcPr>
            <w:tcW w:w="1986" w:type="dxa"/>
            <w:shd w:val="clear" w:color="auto" w:fill="FFFFFF"/>
          </w:tcPr>
          <w:p w14:paraId="43E745E8"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2Italic"/>
                <w:sz w:val="20"/>
                <w:szCs w:val="20"/>
              </w:rPr>
              <w:t>Ռեգրեսիա</w:t>
            </w:r>
          </w:p>
        </w:tc>
        <w:tc>
          <w:tcPr>
            <w:tcW w:w="2126" w:type="dxa"/>
            <w:shd w:val="clear" w:color="auto" w:fill="FFFFFF"/>
            <w:vAlign w:val="center"/>
          </w:tcPr>
          <w:p w14:paraId="1A71B68A"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1</w:t>
            </w:r>
          </w:p>
        </w:tc>
        <w:tc>
          <w:tcPr>
            <w:tcW w:w="1594" w:type="dxa"/>
            <w:shd w:val="clear" w:color="auto" w:fill="FFFFFF"/>
          </w:tcPr>
          <w:p w14:paraId="17749D22"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26,46</w:t>
            </w:r>
          </w:p>
        </w:tc>
        <w:tc>
          <w:tcPr>
            <w:tcW w:w="1570" w:type="dxa"/>
            <w:shd w:val="clear" w:color="auto" w:fill="FFFFFF"/>
          </w:tcPr>
          <w:p w14:paraId="6FBCE263"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26,46</w:t>
            </w:r>
          </w:p>
        </w:tc>
        <w:tc>
          <w:tcPr>
            <w:tcW w:w="1514" w:type="dxa"/>
            <w:shd w:val="clear" w:color="auto" w:fill="FFFFFF"/>
          </w:tcPr>
          <w:p w14:paraId="3C45E348"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284,18</w:t>
            </w:r>
          </w:p>
        </w:tc>
        <w:tc>
          <w:tcPr>
            <w:tcW w:w="1842" w:type="dxa"/>
            <w:shd w:val="clear" w:color="auto" w:fill="FFFFFF"/>
            <w:vAlign w:val="bottom"/>
          </w:tcPr>
          <w:p w14:paraId="602D099C"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&gt;8,1</w:t>
            </w:r>
          </w:p>
          <w:p w14:paraId="3AD69850"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w:t>
            </w:r>
            <w:r w:rsidRPr="000F5A26">
              <w:rPr>
                <w:rStyle w:val="Bodytext2Italic"/>
                <w:sz w:val="20"/>
                <w:szCs w:val="20"/>
              </w:rPr>
              <w:t>р</w:t>
            </w:r>
            <w:r w:rsidRPr="000F5A26">
              <w:rPr>
                <w:rStyle w:val="Bodytext31Sylfaen9"/>
                <w:sz w:val="20"/>
                <w:szCs w:val="20"/>
              </w:rPr>
              <w:t xml:space="preserve"> =0,01)</w:t>
            </w:r>
          </w:p>
        </w:tc>
      </w:tr>
      <w:tr w:rsidR="00B834A2" w:rsidRPr="000F5A26" w14:paraId="28197D2E" w14:textId="77777777" w:rsidTr="000F5A26">
        <w:trPr>
          <w:cantSplit/>
          <w:jc w:val="center"/>
        </w:trPr>
        <w:tc>
          <w:tcPr>
            <w:tcW w:w="1986" w:type="dxa"/>
            <w:shd w:val="clear" w:color="auto" w:fill="FFFFFF"/>
          </w:tcPr>
          <w:p w14:paraId="2B2A4B8A"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2Italic"/>
                <w:sz w:val="20"/>
                <w:szCs w:val="20"/>
              </w:rPr>
              <w:lastRenderedPageBreak/>
              <w:t>Ոչ զուգահեռություն</w:t>
            </w:r>
          </w:p>
        </w:tc>
        <w:tc>
          <w:tcPr>
            <w:tcW w:w="2126" w:type="dxa"/>
            <w:shd w:val="clear" w:color="auto" w:fill="FFFFFF"/>
            <w:vAlign w:val="center"/>
          </w:tcPr>
          <w:p w14:paraId="10A0C447"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1</w:t>
            </w:r>
          </w:p>
        </w:tc>
        <w:tc>
          <w:tcPr>
            <w:tcW w:w="1594" w:type="dxa"/>
            <w:shd w:val="clear" w:color="auto" w:fill="FFFFFF"/>
          </w:tcPr>
          <w:p w14:paraId="029694CA"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0,027</w:t>
            </w:r>
          </w:p>
        </w:tc>
        <w:tc>
          <w:tcPr>
            <w:tcW w:w="1570" w:type="dxa"/>
            <w:shd w:val="clear" w:color="auto" w:fill="FFFFFF"/>
          </w:tcPr>
          <w:p w14:paraId="65D6B750"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0,027</w:t>
            </w:r>
          </w:p>
        </w:tc>
        <w:tc>
          <w:tcPr>
            <w:tcW w:w="1514" w:type="dxa"/>
            <w:shd w:val="clear" w:color="auto" w:fill="FFFFFF"/>
          </w:tcPr>
          <w:p w14:paraId="79435F2A"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0,290</w:t>
            </w:r>
          </w:p>
        </w:tc>
        <w:tc>
          <w:tcPr>
            <w:tcW w:w="1842" w:type="dxa"/>
            <w:shd w:val="clear" w:color="auto" w:fill="FFFFFF"/>
            <w:vAlign w:val="bottom"/>
          </w:tcPr>
          <w:p w14:paraId="28A6BCB4"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&lt;4,35</w:t>
            </w:r>
          </w:p>
          <w:p w14:paraId="1FA21557"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2Italic"/>
                <w:sz w:val="20"/>
                <w:szCs w:val="20"/>
              </w:rPr>
              <w:t>(р</w:t>
            </w:r>
            <w:r w:rsidRPr="000F5A26">
              <w:rPr>
                <w:rStyle w:val="Bodytext31Sylfaen9"/>
                <w:sz w:val="20"/>
                <w:szCs w:val="20"/>
              </w:rPr>
              <w:t xml:space="preserve"> = 0,05)</w:t>
            </w:r>
          </w:p>
        </w:tc>
      </w:tr>
      <w:tr w:rsidR="00B834A2" w:rsidRPr="000F5A26" w14:paraId="52E70519" w14:textId="77777777" w:rsidTr="000F5A26">
        <w:trPr>
          <w:cantSplit/>
          <w:jc w:val="center"/>
        </w:trPr>
        <w:tc>
          <w:tcPr>
            <w:tcW w:w="1986" w:type="dxa"/>
            <w:shd w:val="clear" w:color="auto" w:fill="FFFFFF"/>
          </w:tcPr>
          <w:p w14:paraId="74E407A1" w14:textId="77777777" w:rsidR="00B834A2" w:rsidRPr="000F5A26" w:rsidRDefault="00B834A2" w:rsidP="000F5A26">
            <w:pPr>
              <w:pStyle w:val="Bodytext20"/>
              <w:shd w:val="clear" w:color="auto" w:fill="auto"/>
              <w:spacing w:before="0" w:line="240" w:lineRule="auto"/>
              <w:rPr>
                <w:rStyle w:val="Bodytext2Italic"/>
                <w:sz w:val="20"/>
                <w:szCs w:val="20"/>
              </w:rPr>
            </w:pPr>
            <w:r w:rsidRPr="000F5A26">
              <w:rPr>
                <w:rStyle w:val="Bodytext2Italic"/>
                <w:sz w:val="20"/>
                <w:szCs w:val="20"/>
              </w:rPr>
              <w:t>Քառակուսիություն</w:t>
            </w:r>
          </w:p>
        </w:tc>
        <w:tc>
          <w:tcPr>
            <w:tcW w:w="2126" w:type="dxa"/>
            <w:shd w:val="clear" w:color="auto" w:fill="FFFFFF"/>
            <w:vAlign w:val="center"/>
          </w:tcPr>
          <w:p w14:paraId="6B0594FC"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1</w:t>
            </w:r>
          </w:p>
        </w:tc>
        <w:tc>
          <w:tcPr>
            <w:tcW w:w="1594" w:type="dxa"/>
            <w:shd w:val="clear" w:color="auto" w:fill="FFFFFF"/>
          </w:tcPr>
          <w:p w14:paraId="50317E28"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0,055</w:t>
            </w:r>
          </w:p>
        </w:tc>
        <w:tc>
          <w:tcPr>
            <w:tcW w:w="1570" w:type="dxa"/>
            <w:shd w:val="clear" w:color="auto" w:fill="FFFFFF"/>
          </w:tcPr>
          <w:p w14:paraId="15C1B30E"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0,055</w:t>
            </w:r>
          </w:p>
        </w:tc>
        <w:tc>
          <w:tcPr>
            <w:tcW w:w="1514" w:type="dxa"/>
            <w:shd w:val="clear" w:color="auto" w:fill="FFFFFF"/>
          </w:tcPr>
          <w:p w14:paraId="42FED07D"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0,591</w:t>
            </w:r>
          </w:p>
        </w:tc>
        <w:tc>
          <w:tcPr>
            <w:tcW w:w="1842" w:type="dxa"/>
            <w:shd w:val="clear" w:color="auto" w:fill="FFFFFF"/>
            <w:vAlign w:val="bottom"/>
          </w:tcPr>
          <w:p w14:paraId="44913249"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&lt;4,35</w:t>
            </w:r>
          </w:p>
          <w:p w14:paraId="1143036C"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2Italic"/>
                <w:sz w:val="20"/>
                <w:szCs w:val="20"/>
              </w:rPr>
              <w:t>(р</w:t>
            </w:r>
            <w:r w:rsidRPr="000F5A26">
              <w:rPr>
                <w:rStyle w:val="Bodytext31Sylfaen9"/>
                <w:sz w:val="20"/>
                <w:szCs w:val="20"/>
              </w:rPr>
              <w:t xml:space="preserve"> = 0,05)</w:t>
            </w:r>
          </w:p>
        </w:tc>
      </w:tr>
      <w:tr w:rsidR="00B834A2" w:rsidRPr="000F5A26" w14:paraId="456DD128" w14:textId="77777777" w:rsidTr="000F5A26">
        <w:trPr>
          <w:cantSplit/>
          <w:jc w:val="center"/>
        </w:trPr>
        <w:tc>
          <w:tcPr>
            <w:tcW w:w="1986" w:type="dxa"/>
            <w:shd w:val="clear" w:color="auto" w:fill="FFFFFF"/>
          </w:tcPr>
          <w:p w14:paraId="03BB7923" w14:textId="77777777" w:rsidR="00B834A2" w:rsidRPr="000F5A26" w:rsidRDefault="00B834A2" w:rsidP="000F5A26">
            <w:pPr>
              <w:pStyle w:val="Bodytext20"/>
              <w:shd w:val="clear" w:color="auto" w:fill="auto"/>
              <w:spacing w:before="0" w:line="240" w:lineRule="auto"/>
              <w:rPr>
                <w:rStyle w:val="Bodytext2Italic"/>
                <w:sz w:val="20"/>
                <w:szCs w:val="20"/>
              </w:rPr>
            </w:pPr>
            <w:r w:rsidRPr="000F5A26">
              <w:rPr>
                <w:rStyle w:val="Bodytext2Italic"/>
                <w:sz w:val="20"/>
                <w:szCs w:val="20"/>
              </w:rPr>
              <w:t>Քառակուսիության տարբերություն</w:t>
            </w:r>
          </w:p>
        </w:tc>
        <w:tc>
          <w:tcPr>
            <w:tcW w:w="2126" w:type="dxa"/>
            <w:shd w:val="clear" w:color="auto" w:fill="FFFFFF"/>
            <w:vAlign w:val="center"/>
          </w:tcPr>
          <w:p w14:paraId="4A22DA27"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1</w:t>
            </w:r>
          </w:p>
        </w:tc>
        <w:tc>
          <w:tcPr>
            <w:tcW w:w="1594" w:type="dxa"/>
            <w:shd w:val="clear" w:color="auto" w:fill="FFFFFF"/>
          </w:tcPr>
          <w:p w14:paraId="3617EAFA"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0,0361</w:t>
            </w:r>
          </w:p>
        </w:tc>
        <w:tc>
          <w:tcPr>
            <w:tcW w:w="1570" w:type="dxa"/>
            <w:shd w:val="clear" w:color="auto" w:fill="FFFFFF"/>
          </w:tcPr>
          <w:p w14:paraId="4E9E465F"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0,0361</w:t>
            </w:r>
          </w:p>
        </w:tc>
        <w:tc>
          <w:tcPr>
            <w:tcW w:w="1514" w:type="dxa"/>
            <w:shd w:val="clear" w:color="auto" w:fill="FFFFFF"/>
          </w:tcPr>
          <w:p w14:paraId="28FE8447"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0,3877</w:t>
            </w:r>
          </w:p>
        </w:tc>
        <w:tc>
          <w:tcPr>
            <w:tcW w:w="1842" w:type="dxa"/>
            <w:shd w:val="clear" w:color="auto" w:fill="FFFFFF"/>
            <w:vAlign w:val="bottom"/>
          </w:tcPr>
          <w:p w14:paraId="4725627F"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31Sylfaen9"/>
                <w:sz w:val="20"/>
                <w:szCs w:val="20"/>
              </w:rPr>
              <w:t>&lt;4,35</w:t>
            </w:r>
          </w:p>
          <w:p w14:paraId="00407FA7" w14:textId="77777777" w:rsidR="00B834A2" w:rsidRPr="000F5A26" w:rsidRDefault="00B834A2" w:rsidP="000F5A26">
            <w:pPr>
              <w:pStyle w:val="Bodytext20"/>
              <w:shd w:val="clear" w:color="auto" w:fill="auto"/>
              <w:spacing w:before="0" w:line="240" w:lineRule="auto"/>
              <w:rPr>
                <w:rStyle w:val="Bodytext31Sylfaen9"/>
                <w:sz w:val="20"/>
                <w:szCs w:val="20"/>
              </w:rPr>
            </w:pPr>
            <w:r w:rsidRPr="000F5A26">
              <w:rPr>
                <w:rStyle w:val="Bodytext2Italic"/>
                <w:sz w:val="20"/>
                <w:szCs w:val="20"/>
              </w:rPr>
              <w:t>(р</w:t>
            </w:r>
            <w:r w:rsidRPr="000F5A26">
              <w:rPr>
                <w:rStyle w:val="Bodytext31Sylfaen9"/>
                <w:sz w:val="20"/>
                <w:szCs w:val="20"/>
              </w:rPr>
              <w:t xml:space="preserve"> = 0,05)</w:t>
            </w:r>
          </w:p>
        </w:tc>
      </w:tr>
      <w:tr w:rsidR="00B834A2" w:rsidRPr="000F5A26" w14:paraId="43DE40AC" w14:textId="77777777" w:rsidTr="000F5A26">
        <w:trPr>
          <w:cantSplit/>
          <w:trHeight w:val="1134"/>
          <w:jc w:val="center"/>
        </w:trPr>
        <w:tc>
          <w:tcPr>
            <w:tcW w:w="1986" w:type="dxa"/>
            <w:shd w:val="clear" w:color="auto" w:fill="FFFFFF"/>
          </w:tcPr>
          <w:p w14:paraId="20FDBACF"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2Italic"/>
                <w:sz w:val="20"/>
                <w:szCs w:val="20"/>
              </w:rPr>
              <w:t>Կիրառումներ</w:t>
            </w:r>
          </w:p>
        </w:tc>
        <w:tc>
          <w:tcPr>
            <w:tcW w:w="2126" w:type="dxa"/>
            <w:shd w:val="clear" w:color="auto" w:fill="FFFFFF"/>
          </w:tcPr>
          <w:p w14:paraId="40F45FCE" w14:textId="77777777" w:rsidR="00B834A2" w:rsidRPr="000F5A26" w:rsidRDefault="00B834A2" w:rsidP="000F5A26">
            <w:pPr>
              <w:pStyle w:val="Bodytext20"/>
              <w:shd w:val="clear" w:color="auto" w:fill="auto"/>
              <w:spacing w:before="0" w:line="240" w:lineRule="auto"/>
              <w:rPr>
                <w:rFonts w:ascii="Sylfaen" w:hAnsi="Sylfaen" w:cs="Sylfaen"/>
                <w:i/>
                <w:sz w:val="20"/>
                <w:szCs w:val="20"/>
              </w:rPr>
            </w:pPr>
            <w:r w:rsidRPr="000F5A26">
              <w:rPr>
                <w:rFonts w:ascii="Sylfaen" w:hAnsi="Sylfaen"/>
                <w:i/>
                <w:sz w:val="20"/>
                <w:szCs w:val="20"/>
              </w:rPr>
              <w:t>k-1=6-1=5=</w:t>
            </w:r>
            <w:r w:rsidRPr="000F5A26">
              <w:rPr>
                <w:rStyle w:val="Bodytext31Sylfaen9"/>
                <w:sz w:val="20"/>
                <w:szCs w:val="20"/>
              </w:rPr>
              <w:t xml:space="preserve"> ƒ</w:t>
            </w:r>
            <w:r w:rsidRPr="000F5A26">
              <w:rPr>
                <w:rStyle w:val="Bodytext31Sylfaen9"/>
                <w:sz w:val="20"/>
                <w:szCs w:val="20"/>
                <w:vertAlign w:val="subscript"/>
              </w:rPr>
              <w:t>կ.</w:t>
            </w:r>
          </w:p>
        </w:tc>
        <w:tc>
          <w:tcPr>
            <w:tcW w:w="1594" w:type="dxa"/>
            <w:shd w:val="clear" w:color="auto" w:fill="FFFFFF"/>
          </w:tcPr>
          <w:p w14:paraId="7A0C3C0C"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26,9789</w:t>
            </w:r>
          </w:p>
        </w:tc>
        <w:tc>
          <w:tcPr>
            <w:tcW w:w="1570" w:type="dxa"/>
            <w:shd w:val="clear" w:color="auto" w:fill="FFFFFF"/>
          </w:tcPr>
          <w:p w14:paraId="42688CE0" w14:textId="77777777" w:rsidR="00B834A2" w:rsidRPr="000F5A26" w:rsidRDefault="00B834A2" w:rsidP="000F5A26">
            <w:pPr>
              <w:pStyle w:val="Bodytext20"/>
              <w:shd w:val="clear" w:color="auto" w:fill="auto"/>
              <w:spacing w:before="0" w:line="240" w:lineRule="auto"/>
              <w:rPr>
                <w:rFonts w:ascii="Sylfaen" w:hAnsi="Sylfaen" w:cs="Sylfaen"/>
                <w:sz w:val="20"/>
                <w:szCs w:val="20"/>
              </w:rPr>
            </w:pPr>
            <w:r w:rsidRPr="000F5A26">
              <w:rPr>
                <w:rStyle w:val="Bodytext31Sylfaen9"/>
                <w:sz w:val="20"/>
                <w:szCs w:val="20"/>
              </w:rPr>
              <w:t>5,39578</w:t>
            </w:r>
          </w:p>
        </w:tc>
        <w:tc>
          <w:tcPr>
            <w:tcW w:w="1514" w:type="dxa"/>
            <w:shd w:val="clear" w:color="auto" w:fill="FFFFFF"/>
          </w:tcPr>
          <w:p w14:paraId="3FF1323C" w14:textId="77777777" w:rsidR="00B834A2" w:rsidRPr="000F5A26" w:rsidRDefault="00B834A2" w:rsidP="000F5A26">
            <w:pPr>
              <w:spacing w:after="120"/>
              <w:jc w:val="center"/>
              <w:rPr>
                <w:sz w:val="20"/>
                <w:szCs w:val="20"/>
              </w:rPr>
            </w:pPr>
          </w:p>
        </w:tc>
        <w:tc>
          <w:tcPr>
            <w:tcW w:w="1842" w:type="dxa"/>
            <w:shd w:val="clear" w:color="auto" w:fill="FFFFFF"/>
          </w:tcPr>
          <w:p w14:paraId="2320FEDE" w14:textId="77777777" w:rsidR="00B834A2" w:rsidRPr="000F5A26" w:rsidRDefault="00B834A2" w:rsidP="000F5A26">
            <w:pPr>
              <w:spacing w:after="120"/>
              <w:jc w:val="center"/>
              <w:rPr>
                <w:sz w:val="20"/>
                <w:szCs w:val="20"/>
              </w:rPr>
            </w:pPr>
          </w:p>
        </w:tc>
      </w:tr>
      <w:tr w:rsidR="00B834A2" w:rsidRPr="000F5A26" w14:paraId="59FDABF4" w14:textId="77777777" w:rsidTr="000F5A26">
        <w:trPr>
          <w:cantSplit/>
          <w:jc w:val="center"/>
        </w:trPr>
        <w:tc>
          <w:tcPr>
            <w:tcW w:w="1986" w:type="dxa"/>
            <w:shd w:val="clear" w:color="auto" w:fill="FFFFFF"/>
          </w:tcPr>
          <w:p w14:paraId="4063DEE6"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Տողեր</w:t>
            </w:r>
          </w:p>
        </w:tc>
        <w:tc>
          <w:tcPr>
            <w:tcW w:w="2126" w:type="dxa"/>
            <w:shd w:val="clear" w:color="auto" w:fill="FFFFFF"/>
          </w:tcPr>
          <w:p w14:paraId="526B0448"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n-1=5=</w:t>
            </w:r>
            <w:r w:rsidRPr="000F5A26">
              <w:rPr>
                <w:rStyle w:val="Bodytext31Sylfaen9"/>
                <w:sz w:val="20"/>
                <w:szCs w:val="20"/>
              </w:rPr>
              <w:t>ƒ</w:t>
            </w:r>
            <w:r w:rsidRPr="000F5A26">
              <w:rPr>
                <w:rStyle w:val="Bodytext31Sylfaen9"/>
                <w:sz w:val="20"/>
                <w:szCs w:val="20"/>
                <w:vertAlign w:val="subscript"/>
              </w:rPr>
              <w:t>տող.</w:t>
            </w:r>
          </w:p>
        </w:tc>
        <w:tc>
          <w:tcPr>
            <w:tcW w:w="1594" w:type="dxa"/>
            <w:shd w:val="clear" w:color="auto" w:fill="FFFFFF"/>
          </w:tcPr>
          <w:p w14:paraId="6E90191E"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0,2189</w:t>
            </w:r>
          </w:p>
        </w:tc>
        <w:tc>
          <w:tcPr>
            <w:tcW w:w="1570" w:type="dxa"/>
            <w:shd w:val="clear" w:color="auto" w:fill="FFFFFF"/>
          </w:tcPr>
          <w:p w14:paraId="2920815F"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0,04378</w:t>
            </w:r>
          </w:p>
        </w:tc>
        <w:tc>
          <w:tcPr>
            <w:tcW w:w="1514" w:type="dxa"/>
            <w:shd w:val="clear" w:color="auto" w:fill="FFFFFF"/>
          </w:tcPr>
          <w:p w14:paraId="5F0FDB86"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0,4702</w:t>
            </w:r>
          </w:p>
        </w:tc>
        <w:tc>
          <w:tcPr>
            <w:tcW w:w="1842" w:type="dxa"/>
            <w:shd w:val="clear" w:color="auto" w:fill="FFFFFF"/>
          </w:tcPr>
          <w:p w14:paraId="7E657E7D" w14:textId="77777777" w:rsidR="00B834A2" w:rsidRPr="000F5A26" w:rsidRDefault="00B834A2" w:rsidP="000F5A26">
            <w:pPr>
              <w:pStyle w:val="Bodytext20"/>
              <w:shd w:val="clear" w:color="auto" w:fill="auto"/>
              <w:spacing w:before="0" w:line="240" w:lineRule="auto"/>
              <w:ind w:firstLine="62"/>
              <w:rPr>
                <w:rStyle w:val="Bodytext31Sylfaen9"/>
                <w:sz w:val="20"/>
                <w:szCs w:val="20"/>
              </w:rPr>
            </w:pPr>
            <w:r w:rsidRPr="000F5A26">
              <w:rPr>
                <w:rStyle w:val="Bodytext31Sylfaen9"/>
                <w:sz w:val="20"/>
                <w:szCs w:val="20"/>
              </w:rPr>
              <w:t>&lt;4,1</w:t>
            </w:r>
          </w:p>
          <w:p w14:paraId="16B2874F"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(р = 0,01)</w:t>
            </w:r>
          </w:p>
        </w:tc>
      </w:tr>
      <w:tr w:rsidR="00B834A2" w:rsidRPr="000F5A26" w14:paraId="71061D0F" w14:textId="77777777" w:rsidTr="000F5A26">
        <w:trPr>
          <w:cantSplit/>
          <w:jc w:val="center"/>
        </w:trPr>
        <w:tc>
          <w:tcPr>
            <w:tcW w:w="1986" w:type="dxa"/>
            <w:shd w:val="clear" w:color="auto" w:fill="FFFFFF"/>
          </w:tcPr>
          <w:p w14:paraId="73BA89B4"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Սյունակներ</w:t>
            </w:r>
          </w:p>
        </w:tc>
        <w:tc>
          <w:tcPr>
            <w:tcW w:w="2126" w:type="dxa"/>
            <w:shd w:val="clear" w:color="auto" w:fill="FFFFFF"/>
          </w:tcPr>
          <w:p w14:paraId="5641A4F7"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n-1=5=</w:t>
            </w:r>
            <w:r w:rsidRPr="000F5A26">
              <w:rPr>
                <w:rStyle w:val="Bodytext31Sylfaen9"/>
                <w:sz w:val="20"/>
                <w:szCs w:val="20"/>
              </w:rPr>
              <w:t>ƒ</w:t>
            </w:r>
            <w:r w:rsidRPr="000F5A26">
              <w:rPr>
                <w:rStyle w:val="Bodytext31Sylfaen9"/>
                <w:sz w:val="20"/>
                <w:szCs w:val="20"/>
                <w:vertAlign w:val="subscript"/>
              </w:rPr>
              <w:t>սյուն.</w:t>
            </w:r>
          </w:p>
        </w:tc>
        <w:tc>
          <w:tcPr>
            <w:tcW w:w="1594" w:type="dxa"/>
            <w:shd w:val="clear" w:color="auto" w:fill="FFFFFF"/>
          </w:tcPr>
          <w:p w14:paraId="2F628B32"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0,2322</w:t>
            </w:r>
          </w:p>
        </w:tc>
        <w:tc>
          <w:tcPr>
            <w:tcW w:w="1570" w:type="dxa"/>
            <w:shd w:val="clear" w:color="auto" w:fill="FFFFFF"/>
          </w:tcPr>
          <w:p w14:paraId="7282D37B"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0,04644</w:t>
            </w:r>
          </w:p>
        </w:tc>
        <w:tc>
          <w:tcPr>
            <w:tcW w:w="1514" w:type="dxa"/>
            <w:shd w:val="clear" w:color="auto" w:fill="FFFFFF"/>
          </w:tcPr>
          <w:p w14:paraId="1FF7F91E"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0,4988</w:t>
            </w:r>
          </w:p>
        </w:tc>
        <w:tc>
          <w:tcPr>
            <w:tcW w:w="1842" w:type="dxa"/>
            <w:shd w:val="clear" w:color="auto" w:fill="FFFFFF"/>
          </w:tcPr>
          <w:p w14:paraId="071CA8E0" w14:textId="77777777" w:rsidR="00B834A2" w:rsidRPr="000F5A26" w:rsidRDefault="00B834A2" w:rsidP="000F5A26">
            <w:pPr>
              <w:pStyle w:val="Bodytext20"/>
              <w:shd w:val="clear" w:color="auto" w:fill="auto"/>
              <w:spacing w:before="0" w:line="240" w:lineRule="auto"/>
              <w:ind w:firstLine="62"/>
              <w:rPr>
                <w:rStyle w:val="Bodytext31Sylfaen9"/>
                <w:sz w:val="20"/>
                <w:szCs w:val="20"/>
              </w:rPr>
            </w:pPr>
            <w:r w:rsidRPr="000F5A26">
              <w:rPr>
                <w:rStyle w:val="Bodytext31Sylfaen9"/>
                <w:sz w:val="20"/>
                <w:szCs w:val="20"/>
              </w:rPr>
              <w:t>&lt;4,1</w:t>
            </w:r>
          </w:p>
          <w:p w14:paraId="71875CF5"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(р = 0,01)</w:t>
            </w:r>
          </w:p>
        </w:tc>
      </w:tr>
      <w:tr w:rsidR="00B834A2" w:rsidRPr="000F5A26" w14:paraId="54440B1E" w14:textId="77777777" w:rsidTr="000F5A26">
        <w:trPr>
          <w:cantSplit/>
          <w:jc w:val="center"/>
        </w:trPr>
        <w:tc>
          <w:tcPr>
            <w:tcW w:w="1986" w:type="dxa"/>
            <w:shd w:val="clear" w:color="auto" w:fill="FFFFFF"/>
          </w:tcPr>
          <w:p w14:paraId="1295C49C"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Շեղում</w:t>
            </w:r>
          </w:p>
        </w:tc>
        <w:tc>
          <w:tcPr>
            <w:tcW w:w="2126" w:type="dxa"/>
            <w:shd w:val="clear" w:color="auto" w:fill="FFFFFF"/>
          </w:tcPr>
          <w:p w14:paraId="16A44767"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 xml:space="preserve">N -1- </w:t>
            </w:r>
            <w:r w:rsidRPr="000F5A26">
              <w:rPr>
                <w:rStyle w:val="Bodytext31Sylfaen9"/>
                <w:sz w:val="20"/>
                <w:szCs w:val="20"/>
              </w:rPr>
              <w:t>ƒ</w:t>
            </w:r>
            <w:r w:rsidRPr="000F5A26">
              <w:rPr>
                <w:rStyle w:val="Bodytext31Sylfaen9"/>
                <w:sz w:val="20"/>
                <w:szCs w:val="20"/>
                <w:vertAlign w:val="subscript"/>
              </w:rPr>
              <w:t xml:space="preserve">կ. </w:t>
            </w:r>
            <w:r w:rsidRPr="000F5A26">
              <w:rPr>
                <w:rStyle w:val="Bodytext31Sylfaen9"/>
                <w:sz w:val="20"/>
                <w:szCs w:val="20"/>
              </w:rPr>
              <w:t>-ƒ</w:t>
            </w:r>
            <w:r w:rsidRPr="000F5A26">
              <w:rPr>
                <w:rStyle w:val="Bodytext31Sylfaen9"/>
                <w:sz w:val="20"/>
                <w:szCs w:val="20"/>
                <w:vertAlign w:val="subscript"/>
              </w:rPr>
              <w:t>տող.</w:t>
            </w:r>
            <w:r w:rsidRPr="000F5A26">
              <w:rPr>
                <w:rStyle w:val="Bodytext31Sylfaen9"/>
                <w:sz w:val="20"/>
                <w:szCs w:val="20"/>
              </w:rPr>
              <w:t>- ƒ</w:t>
            </w:r>
            <w:r w:rsidRPr="000F5A26">
              <w:rPr>
                <w:rStyle w:val="Bodytext31Sylfaen9"/>
                <w:sz w:val="20"/>
                <w:szCs w:val="20"/>
                <w:vertAlign w:val="subscript"/>
              </w:rPr>
              <w:t>սյուն.-</w:t>
            </w:r>
            <w:r w:rsidRPr="000F5A26">
              <w:rPr>
                <w:rStyle w:val="Bodytext31Sylfaen9"/>
                <w:sz w:val="20"/>
                <w:szCs w:val="20"/>
              </w:rPr>
              <w:t>m=20</w:t>
            </w:r>
          </w:p>
        </w:tc>
        <w:tc>
          <w:tcPr>
            <w:tcW w:w="1594" w:type="dxa"/>
            <w:shd w:val="clear" w:color="auto" w:fill="FFFFFF"/>
          </w:tcPr>
          <w:p w14:paraId="3753ECC5"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1,8622</w:t>
            </w:r>
          </w:p>
        </w:tc>
        <w:tc>
          <w:tcPr>
            <w:tcW w:w="1570" w:type="dxa"/>
            <w:shd w:val="clear" w:color="auto" w:fill="FFFFFF"/>
          </w:tcPr>
          <w:p w14:paraId="29AF1DCE"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Fonts w:ascii="Sylfaen" w:eastAsiaTheme="minorHAnsi" w:hAnsi="Sylfaen" w:cs="TimesNewRomanCyr"/>
                <w:sz w:val="20"/>
                <w:szCs w:val="20"/>
                <w:lang w:val="en-GB" w:bidi="ar-SA"/>
              </w:rPr>
              <w:t xml:space="preserve">0,09311 </w:t>
            </w:r>
            <w:r w:rsidRPr="000F5A26">
              <w:rPr>
                <w:rFonts w:ascii="Sylfaen" w:eastAsiaTheme="minorHAnsi" w:hAnsi="Sylfaen" w:cs="Symbol"/>
                <w:sz w:val="20"/>
                <w:szCs w:val="20"/>
                <w:lang w:val="en-GB" w:bidi="ar-SA"/>
              </w:rPr>
              <w:t></w:t>
            </w:r>
            <w:r w:rsidRPr="000F5A26">
              <w:rPr>
                <w:rFonts w:ascii="Sylfaen" w:eastAsiaTheme="minorHAnsi" w:hAnsi="Sylfaen" w:cs="Symbol"/>
                <w:sz w:val="20"/>
                <w:szCs w:val="20"/>
                <w:lang w:val="en-GB" w:bidi="ar-SA"/>
              </w:rPr>
              <w:t></w:t>
            </w:r>
            <w:r w:rsidRPr="000F5A26">
              <w:rPr>
                <w:rFonts w:ascii="Sylfaen" w:eastAsiaTheme="minorHAnsi" w:hAnsi="Sylfaen" w:cs="TimesNewRomanCyr-NormalItalic"/>
                <w:i/>
                <w:iCs/>
                <w:sz w:val="20"/>
                <w:szCs w:val="20"/>
                <w:lang w:val="en-GB" w:bidi="ar-SA"/>
              </w:rPr>
              <w:t>s</w:t>
            </w:r>
            <w:r w:rsidRPr="000F5A26">
              <w:rPr>
                <w:rFonts w:ascii="Sylfaen" w:eastAsiaTheme="minorHAnsi" w:hAnsi="Sylfaen" w:cs="TimesNewRomanCyr"/>
                <w:sz w:val="20"/>
                <w:szCs w:val="20"/>
                <w:vertAlign w:val="superscript"/>
                <w:lang w:val="en-GB" w:bidi="ar-SA"/>
              </w:rPr>
              <w:t>2</w:t>
            </w:r>
          </w:p>
        </w:tc>
        <w:tc>
          <w:tcPr>
            <w:tcW w:w="1514" w:type="dxa"/>
            <w:shd w:val="clear" w:color="auto" w:fill="FFFFFF"/>
          </w:tcPr>
          <w:p w14:paraId="3E173251" w14:textId="77777777" w:rsidR="00B834A2" w:rsidRPr="000F5A26" w:rsidRDefault="00B834A2" w:rsidP="000F5A26">
            <w:pPr>
              <w:spacing w:after="120"/>
              <w:ind w:firstLine="62"/>
              <w:jc w:val="center"/>
              <w:rPr>
                <w:sz w:val="20"/>
                <w:szCs w:val="20"/>
              </w:rPr>
            </w:pPr>
          </w:p>
        </w:tc>
        <w:tc>
          <w:tcPr>
            <w:tcW w:w="1842" w:type="dxa"/>
            <w:shd w:val="clear" w:color="auto" w:fill="FFFFFF"/>
          </w:tcPr>
          <w:p w14:paraId="1AF21609" w14:textId="77777777" w:rsidR="00B834A2" w:rsidRPr="000F5A26" w:rsidRDefault="00B834A2" w:rsidP="000F5A26">
            <w:pPr>
              <w:spacing w:after="120"/>
              <w:ind w:firstLine="62"/>
              <w:jc w:val="center"/>
              <w:rPr>
                <w:sz w:val="20"/>
                <w:szCs w:val="20"/>
              </w:rPr>
            </w:pPr>
          </w:p>
        </w:tc>
      </w:tr>
      <w:tr w:rsidR="00B834A2" w:rsidRPr="000F5A26" w14:paraId="30A460B1" w14:textId="77777777" w:rsidTr="000F5A26">
        <w:trPr>
          <w:cantSplit/>
          <w:trHeight w:val="507"/>
          <w:jc w:val="center"/>
        </w:trPr>
        <w:tc>
          <w:tcPr>
            <w:tcW w:w="1986" w:type="dxa"/>
            <w:tcBorders>
              <w:bottom w:val="single" w:sz="4" w:space="0" w:color="auto"/>
            </w:tcBorders>
            <w:shd w:val="clear" w:color="auto" w:fill="FFFFFF"/>
          </w:tcPr>
          <w:p w14:paraId="516B7269"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Արդյունք</w:t>
            </w:r>
          </w:p>
        </w:tc>
        <w:tc>
          <w:tcPr>
            <w:tcW w:w="2126" w:type="dxa"/>
            <w:tcBorders>
              <w:bottom w:val="single" w:sz="4" w:space="0" w:color="auto"/>
            </w:tcBorders>
            <w:shd w:val="clear" w:color="auto" w:fill="FFFFFF"/>
          </w:tcPr>
          <w:p w14:paraId="2211114B"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2Italic"/>
                <w:sz w:val="20"/>
                <w:szCs w:val="20"/>
              </w:rPr>
              <w:t>N -1-m=35</w:t>
            </w:r>
          </w:p>
        </w:tc>
        <w:tc>
          <w:tcPr>
            <w:tcW w:w="1594" w:type="dxa"/>
            <w:tcBorders>
              <w:bottom w:val="single" w:sz="4" w:space="0" w:color="auto"/>
            </w:tcBorders>
            <w:shd w:val="clear" w:color="auto" w:fill="FFFFFF"/>
          </w:tcPr>
          <w:p w14:paraId="03D13A59"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29,2922</w:t>
            </w:r>
          </w:p>
        </w:tc>
        <w:tc>
          <w:tcPr>
            <w:tcW w:w="1570" w:type="dxa"/>
            <w:tcBorders>
              <w:bottom w:val="single" w:sz="4" w:space="0" w:color="auto"/>
            </w:tcBorders>
            <w:shd w:val="clear" w:color="auto" w:fill="FFFFFF"/>
          </w:tcPr>
          <w:p w14:paraId="0CB8227B" w14:textId="77777777" w:rsidR="00B834A2" w:rsidRPr="000F5A26" w:rsidRDefault="00B834A2" w:rsidP="000F5A26">
            <w:pPr>
              <w:pStyle w:val="Bodytext20"/>
              <w:shd w:val="clear" w:color="auto" w:fill="auto"/>
              <w:spacing w:before="0" w:line="240" w:lineRule="auto"/>
              <w:ind w:firstLine="62"/>
              <w:rPr>
                <w:rFonts w:ascii="Sylfaen" w:hAnsi="Sylfaen" w:cs="Sylfaen"/>
                <w:sz w:val="20"/>
                <w:szCs w:val="20"/>
              </w:rPr>
            </w:pPr>
            <w:r w:rsidRPr="000F5A26">
              <w:rPr>
                <w:rStyle w:val="Bodytext31Sylfaen9"/>
                <w:sz w:val="20"/>
                <w:szCs w:val="20"/>
              </w:rPr>
              <w:t>0,83692</w:t>
            </w:r>
          </w:p>
        </w:tc>
        <w:tc>
          <w:tcPr>
            <w:tcW w:w="1514" w:type="dxa"/>
            <w:tcBorders>
              <w:bottom w:val="single" w:sz="4" w:space="0" w:color="auto"/>
            </w:tcBorders>
            <w:shd w:val="clear" w:color="auto" w:fill="FFFFFF"/>
          </w:tcPr>
          <w:p w14:paraId="0F0F7A5D" w14:textId="77777777" w:rsidR="00B834A2" w:rsidRPr="000F5A26" w:rsidRDefault="00B834A2" w:rsidP="000F5A26">
            <w:pPr>
              <w:spacing w:after="120"/>
              <w:ind w:firstLine="62"/>
              <w:jc w:val="center"/>
              <w:rPr>
                <w:sz w:val="20"/>
                <w:szCs w:val="20"/>
              </w:rPr>
            </w:pPr>
          </w:p>
        </w:tc>
        <w:tc>
          <w:tcPr>
            <w:tcW w:w="1842" w:type="dxa"/>
            <w:tcBorders>
              <w:bottom w:val="single" w:sz="4" w:space="0" w:color="auto"/>
            </w:tcBorders>
            <w:shd w:val="clear" w:color="auto" w:fill="FFFFFF"/>
          </w:tcPr>
          <w:p w14:paraId="5FD605AB" w14:textId="77777777" w:rsidR="00B834A2" w:rsidRPr="000F5A26" w:rsidRDefault="00B834A2" w:rsidP="000F5A26">
            <w:pPr>
              <w:spacing w:after="120"/>
              <w:ind w:firstLine="62"/>
              <w:jc w:val="center"/>
              <w:rPr>
                <w:sz w:val="20"/>
                <w:szCs w:val="20"/>
              </w:rPr>
            </w:pPr>
          </w:p>
        </w:tc>
      </w:tr>
    </w:tbl>
    <w:p w14:paraId="2D1E2B89" w14:textId="77777777" w:rsidR="000F5A26" w:rsidRDefault="000F5A26" w:rsidP="009A3F5E">
      <w:pPr>
        <w:pStyle w:val="Bodytext20"/>
        <w:shd w:val="clear" w:color="auto" w:fill="auto"/>
        <w:spacing w:before="0" w:after="160" w:line="360" w:lineRule="auto"/>
        <w:ind w:firstLine="567"/>
        <w:jc w:val="both"/>
        <w:rPr>
          <w:rStyle w:val="Bodytext31Sylfaen9"/>
          <w:sz w:val="24"/>
          <w:szCs w:val="24"/>
        </w:rPr>
      </w:pPr>
    </w:p>
    <w:p w14:paraId="7978FA50"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n</w:t>
      </w:r>
      <w:r w:rsidRPr="00B834A2">
        <w:rPr>
          <w:rFonts w:ascii="Sylfaen" w:hAnsi="Sylfaen"/>
          <w:sz w:val="24"/>
          <w:szCs w:val="24"/>
        </w:rPr>
        <w:t xml:space="preserve">=6 (դեղաչափի նկատմամբ արձագանքների թիվը). </w:t>
      </w:r>
      <w:r w:rsidRPr="00B834A2">
        <w:rPr>
          <w:rFonts w:ascii="Sylfaen" w:hAnsi="Sylfaen"/>
          <w:i/>
          <w:sz w:val="24"/>
          <w:szCs w:val="24"/>
        </w:rPr>
        <w:t>N=36</w:t>
      </w:r>
      <w:r w:rsidRPr="00B834A2">
        <w:rPr>
          <w:rFonts w:ascii="Sylfaen" w:hAnsi="Sylfaen"/>
          <w:sz w:val="24"/>
          <w:szCs w:val="24"/>
        </w:rPr>
        <w:t xml:space="preserve"> (փորձի ժամանակ արձագանքների ընդհանուր թիվը). </w:t>
      </w:r>
      <w:r w:rsidRPr="00B834A2">
        <w:rPr>
          <w:rStyle w:val="Headerorfooter4Italic"/>
          <w:rFonts w:ascii="Sylfaen" w:hAnsi="Sylfaen"/>
          <w:sz w:val="24"/>
          <w:szCs w:val="24"/>
        </w:rPr>
        <w:t>m</w:t>
      </w:r>
      <w:r w:rsidRPr="00B834A2">
        <w:rPr>
          <w:rFonts w:ascii="Sylfaen" w:hAnsi="Sylfaen"/>
          <w:sz w:val="24"/>
          <w:szCs w:val="24"/>
        </w:rPr>
        <w:t>=0 (կորսված եւ փոխարինված արժեքների թիվը)։</w:t>
      </w:r>
    </w:p>
    <w:p w14:paraId="3127BD35"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u w:val="single"/>
        </w:rPr>
      </w:pPr>
      <w:r w:rsidRPr="00B834A2">
        <w:rPr>
          <w:rStyle w:val="Bodytext31Sylfaen9"/>
          <w:sz w:val="24"/>
          <w:szCs w:val="24"/>
          <w:u w:val="single"/>
        </w:rPr>
        <w:t>Կենսաբանական ակտիվության եւ դրա վստահելի սահմանների հաշվարկումը</w:t>
      </w:r>
    </w:p>
    <w:p w14:paraId="5C9274B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Կոնցետրացիաների հարաբերակցությունը հավասար է 1,5, հետեւաբար I = Ig1,5 = 0,1761.</w:t>
      </w:r>
    </w:p>
    <w:p w14:paraId="79938D5A"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b/>
          <w:sz w:val="24"/>
          <w:szCs w:val="24"/>
        </w:rPr>
      </w:pPr>
    </w:p>
    <w:p w14:paraId="2CA2BAD8"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b/>
          <w:sz w:val="24"/>
          <w:szCs w:val="24"/>
        </w:rPr>
      </w:pPr>
      <w:r>
        <w:rPr>
          <w:rFonts w:ascii="Sylfaen" w:hAnsi="Sylfaen" w:cs="Sylfaen"/>
          <w:b/>
          <w:noProof/>
          <w:sz w:val="24"/>
          <w:szCs w:val="24"/>
        </w:rPr>
        <w:lastRenderedPageBreak/>
        <w:pict w14:anchorId="3E7EABE8">
          <v:rect id="_x0000_s1323" style="position:absolute;left:0;text-align:left;margin-left:30.35pt;margin-top:23.9pt;width:30.1pt;height:23.15pt;z-index:251719680" stroked="f">
            <v:textbox>
              <w:txbxContent>
                <w:p w14:paraId="0883DBD9" w14:textId="77777777" w:rsidR="008D6E8B" w:rsidRPr="001A4D67" w:rsidRDefault="008D6E8B" w:rsidP="00B834A2">
                  <w:pPr>
                    <w:rPr>
                      <w:sz w:val="16"/>
                      <w:szCs w:val="16"/>
                    </w:rPr>
                  </w:pPr>
                  <w:r w:rsidRPr="001E4CCD">
                    <w:rPr>
                      <w:sz w:val="16"/>
                    </w:rPr>
                    <w:t>եթե</w:t>
                  </w:r>
                </w:p>
              </w:txbxContent>
            </v:textbox>
          </v:rect>
        </w:pict>
      </w:r>
      <w:r w:rsidR="00B834A2" w:rsidRPr="00B834A2">
        <w:rPr>
          <w:rFonts w:ascii="Sylfaen" w:hAnsi="Sylfaen" w:cs="Sylfaen"/>
          <w:b/>
          <w:noProof/>
          <w:sz w:val="24"/>
          <w:szCs w:val="24"/>
          <w:lang w:val="en-US" w:eastAsia="en-US" w:bidi="ar-SA"/>
        </w:rPr>
        <w:drawing>
          <wp:inline distT="0" distB="0" distL="0" distR="0" wp14:anchorId="1C95C870" wp14:editId="39372C68">
            <wp:extent cx="2487930" cy="2040829"/>
            <wp:effectExtent l="1905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cstate="print"/>
                    <a:srcRect/>
                    <a:stretch>
                      <a:fillRect/>
                    </a:stretch>
                  </pic:blipFill>
                  <pic:spPr bwMode="auto">
                    <a:xfrm>
                      <a:off x="0" y="0"/>
                      <a:ext cx="2489302" cy="2041955"/>
                    </a:xfrm>
                    <a:prstGeom prst="rect">
                      <a:avLst/>
                    </a:prstGeom>
                    <a:noFill/>
                    <a:ln w="9525">
                      <a:noFill/>
                      <a:miter lim="800000"/>
                      <a:headEnd/>
                      <a:tailEnd/>
                    </a:ln>
                  </pic:spPr>
                </pic:pic>
              </a:graphicData>
            </a:graphic>
          </wp:inline>
        </w:drawing>
      </w:r>
    </w:p>
    <w:p w14:paraId="79E6C1C3"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Ակնկալվող ակտիվությունը` </w:t>
      </w:r>
      <w:r w:rsidRPr="00B834A2">
        <w:rPr>
          <w:rStyle w:val="Bodytext2Italic"/>
          <w:sz w:val="24"/>
          <w:szCs w:val="24"/>
        </w:rPr>
        <w:t>А</w:t>
      </w:r>
      <w:r w:rsidRPr="00B834A2">
        <w:rPr>
          <w:rStyle w:val="Bodytext2Italic"/>
          <w:sz w:val="24"/>
          <w:szCs w:val="24"/>
          <w:vertAlign w:val="subscript"/>
        </w:rPr>
        <w:t>U</w:t>
      </w:r>
      <w:r w:rsidRPr="00B834A2">
        <w:rPr>
          <w:rStyle w:val="Bodytext31Sylfaen9"/>
          <w:sz w:val="24"/>
          <w:szCs w:val="24"/>
        </w:rPr>
        <w:t xml:space="preserve"> =1000ՄՄ/մգ.</w:t>
      </w:r>
    </w:p>
    <w:p w14:paraId="24A4591E" w14:textId="77777777" w:rsidR="00B834A2" w:rsidRPr="00B834A2" w:rsidRDefault="00B834A2" w:rsidP="009A3F5E">
      <w:pPr>
        <w:pStyle w:val="Bodytext20"/>
        <w:shd w:val="clear" w:color="auto" w:fill="auto"/>
        <w:spacing w:before="0" w:after="160" w:line="360" w:lineRule="auto"/>
        <w:ind w:firstLine="567"/>
        <w:jc w:val="both"/>
        <w:rPr>
          <w:rStyle w:val="Bodytext2Italic"/>
          <w:sz w:val="24"/>
          <w:szCs w:val="24"/>
        </w:rPr>
      </w:pPr>
      <w:r w:rsidRPr="00B834A2">
        <w:rPr>
          <w:rStyle w:val="Bodytext2Italic"/>
          <w:sz w:val="24"/>
          <w:szCs w:val="24"/>
        </w:rPr>
        <w:t>М</w:t>
      </w:r>
      <w:r w:rsidRPr="00B834A2">
        <w:rPr>
          <w:rStyle w:val="Bodytext2Italic"/>
          <w:sz w:val="24"/>
          <w:szCs w:val="24"/>
          <w:vertAlign w:val="subscript"/>
        </w:rPr>
        <w:t>U</w:t>
      </w:r>
      <w:r w:rsidRPr="00B834A2">
        <w:rPr>
          <w:rStyle w:val="Bodytext2Italic"/>
          <w:sz w:val="24"/>
          <w:szCs w:val="24"/>
        </w:rPr>
        <w:t xml:space="preserve"> = М'</w:t>
      </w:r>
      <w:r w:rsidRPr="00B834A2">
        <w:rPr>
          <w:rStyle w:val="Bodytext2Italic"/>
          <w:sz w:val="24"/>
          <w:szCs w:val="24"/>
          <w:vertAlign w:val="subscript"/>
        </w:rPr>
        <w:t>U</w:t>
      </w:r>
      <w:r w:rsidRPr="00B834A2">
        <w:rPr>
          <w:rStyle w:val="Bodytext31Sylfaen9"/>
          <w:sz w:val="24"/>
          <w:szCs w:val="24"/>
        </w:rPr>
        <w:t>+Ig</w:t>
      </w:r>
      <w:r w:rsidRPr="00B834A2">
        <w:rPr>
          <w:rStyle w:val="Bodytext2Italic"/>
          <w:sz w:val="24"/>
          <w:szCs w:val="24"/>
        </w:rPr>
        <w:t>А</w:t>
      </w:r>
      <w:r w:rsidRPr="00B834A2">
        <w:rPr>
          <w:rStyle w:val="Bodytext2Italic"/>
          <w:sz w:val="24"/>
          <w:szCs w:val="24"/>
          <w:vertAlign w:val="subscript"/>
        </w:rPr>
        <w:t>U</w:t>
      </w:r>
      <w:r w:rsidRPr="00B834A2">
        <w:rPr>
          <w:rStyle w:val="Bodytext2Italic"/>
          <w:sz w:val="24"/>
          <w:szCs w:val="24"/>
        </w:rPr>
        <w:t xml:space="preserve"> =2,9646.</w:t>
      </w:r>
    </w:p>
    <w:p w14:paraId="4FFB905D"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Կենսաբանական ակտիվությունը`</w:t>
      </w:r>
    </w:p>
    <w:p w14:paraId="00DE3008"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eastAsia="Sylfaen" w:hAnsi="Sylfaen" w:cs="Sylfaen"/>
          <w:noProof/>
          <w:sz w:val="24"/>
          <w:szCs w:val="24"/>
        </w:rPr>
        <w:pict w14:anchorId="14AF62B5">
          <v:rect id="_x0000_s1324" style="position:absolute;left:0;text-align:left;margin-left:185.45pt;margin-top:-1.15pt;width:65.55pt;height:15.6pt;z-index:251720704" stroked="f">
            <v:textbox>
              <w:txbxContent>
                <w:p w14:paraId="1F22C6D4" w14:textId="77777777" w:rsidR="008D6E8B" w:rsidRPr="000F5A26" w:rsidRDefault="008D6E8B" w:rsidP="00B834A2">
                  <w:pPr>
                    <w:jc w:val="center"/>
                    <w:rPr>
                      <w:sz w:val="14"/>
                      <w:szCs w:val="14"/>
                    </w:rPr>
                  </w:pPr>
                  <w:r w:rsidRPr="000F5A26">
                    <w:rPr>
                      <w:rStyle w:val="Bodytext31Sylfaen9"/>
                      <w:sz w:val="14"/>
                      <w:szCs w:val="14"/>
                    </w:rPr>
                    <w:t>ՄՄ/մգ.</w:t>
                  </w:r>
                </w:p>
              </w:txbxContent>
            </v:textbox>
          </v:rect>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276A73D3" wp14:editId="39EA36BA">
            <wp:extent cx="2659380" cy="642645"/>
            <wp:effectExtent l="1905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cstate="print"/>
                    <a:srcRect/>
                    <a:stretch>
                      <a:fillRect/>
                    </a:stretch>
                  </pic:blipFill>
                  <pic:spPr bwMode="auto">
                    <a:xfrm>
                      <a:off x="0" y="0"/>
                      <a:ext cx="2660847" cy="642999"/>
                    </a:xfrm>
                    <a:prstGeom prst="rect">
                      <a:avLst/>
                    </a:prstGeom>
                    <a:noFill/>
                    <a:ln w="9525">
                      <a:noFill/>
                      <a:miter lim="800000"/>
                      <a:headEnd/>
                      <a:tailEnd/>
                    </a:ln>
                  </pic:spPr>
                </pic:pic>
              </a:graphicData>
            </a:graphic>
          </wp:inline>
        </w:drawing>
      </w:r>
    </w:p>
    <w:p w14:paraId="66E55A20" w14:textId="77777777" w:rsidR="00B834A2" w:rsidRPr="000F5A26" w:rsidRDefault="00B834A2" w:rsidP="009A3F5E">
      <w:pPr>
        <w:pStyle w:val="Bodytext20"/>
        <w:shd w:val="clear" w:color="auto" w:fill="auto"/>
        <w:spacing w:before="0" w:after="160" w:line="360" w:lineRule="auto"/>
        <w:ind w:firstLine="567"/>
        <w:jc w:val="both"/>
        <w:rPr>
          <w:rStyle w:val="Bodytext31Sylfaen9"/>
          <w:i w:val="0"/>
          <w:sz w:val="24"/>
          <w:szCs w:val="24"/>
        </w:rPr>
      </w:pPr>
      <w:r w:rsidRPr="000F5A26">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07BF78D0"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69424593" wp14:editId="2E740799">
            <wp:extent cx="2448305" cy="827130"/>
            <wp:effectExtent l="19050" t="0" r="914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6" cstate="print"/>
                    <a:srcRect/>
                    <a:stretch>
                      <a:fillRect/>
                    </a:stretch>
                  </pic:blipFill>
                  <pic:spPr bwMode="auto">
                    <a:xfrm>
                      <a:off x="0" y="0"/>
                      <a:ext cx="2451927" cy="828354"/>
                    </a:xfrm>
                    <a:prstGeom prst="rect">
                      <a:avLst/>
                    </a:prstGeom>
                    <a:noFill/>
                    <a:ln w="9525">
                      <a:noFill/>
                      <a:miter lim="800000"/>
                      <a:headEnd/>
                      <a:tailEnd/>
                    </a:ln>
                  </pic:spPr>
                </pic:pic>
              </a:graphicData>
            </a:graphic>
          </wp:inline>
        </w:drawing>
      </w:r>
    </w:p>
    <w:p w14:paraId="578A73D1" w14:textId="77777777" w:rsidR="00B834A2" w:rsidRPr="000F5A26" w:rsidRDefault="00B834A2" w:rsidP="009A3F5E">
      <w:pPr>
        <w:pStyle w:val="Bodytext20"/>
        <w:shd w:val="clear" w:color="auto" w:fill="auto"/>
        <w:spacing w:before="0" w:after="160" w:line="360" w:lineRule="auto"/>
        <w:ind w:firstLine="567"/>
        <w:jc w:val="both"/>
        <w:rPr>
          <w:rStyle w:val="Bodytext31Sylfaen9"/>
          <w:i w:val="0"/>
          <w:sz w:val="24"/>
          <w:szCs w:val="24"/>
        </w:rPr>
      </w:pPr>
      <w:r w:rsidRPr="000F5A26">
        <w:rPr>
          <w:rStyle w:val="Bodytext31Sylfaen9"/>
          <w:i w:val="0"/>
          <w:sz w:val="24"/>
          <w:szCs w:val="24"/>
        </w:rPr>
        <w:t xml:space="preserve">Փորձարկվող նմուշի կենսաբանական ակտիվության լոգարիթմական վստահելի սահմանները կազմում են -0,08610 եւ 0,01325։ Վերին եւ ստորին վստահելի սահմանը կազմում է 10 </w:t>
      </w:r>
      <w:r w:rsidRPr="000F5A26">
        <w:rPr>
          <w:rStyle w:val="Bodytext31Sylfaen9"/>
          <w:i w:val="0"/>
          <w:sz w:val="24"/>
          <w:szCs w:val="24"/>
          <w:vertAlign w:val="superscript"/>
        </w:rPr>
        <w:t>IgA</w:t>
      </w:r>
      <w:r w:rsidRPr="000F5A26">
        <w:rPr>
          <w:rStyle w:val="Bodytext31Sylfaen9"/>
          <w:i w:val="0"/>
          <w:sz w:val="24"/>
          <w:szCs w:val="24"/>
          <w:vertAlign w:val="subscript"/>
        </w:rPr>
        <w:t>U</w:t>
      </w:r>
      <w:r w:rsidRPr="000F5A26">
        <w:rPr>
          <w:rStyle w:val="Bodytext31Sylfaen9"/>
          <w:i w:val="0"/>
          <w:sz w:val="24"/>
          <w:szCs w:val="24"/>
          <w:vertAlign w:val="superscript"/>
        </w:rPr>
        <w:t>+(-0,08610)</w:t>
      </w:r>
      <w:r w:rsidRPr="000F5A26">
        <w:rPr>
          <w:rStyle w:val="Bodytext31Sylfaen9"/>
          <w:i w:val="0"/>
          <w:sz w:val="24"/>
          <w:szCs w:val="24"/>
          <w:vertAlign w:val="subscript"/>
        </w:rPr>
        <w:t xml:space="preserve"> </w:t>
      </w:r>
      <w:r w:rsidRPr="000F5A26">
        <w:rPr>
          <w:rStyle w:val="Bodytext31Sylfaen9"/>
          <w:i w:val="0"/>
          <w:sz w:val="24"/>
          <w:szCs w:val="24"/>
        </w:rPr>
        <w:t xml:space="preserve">եւ 10 </w:t>
      </w:r>
      <w:r w:rsidRPr="000F5A26">
        <w:rPr>
          <w:rStyle w:val="Bodytext31Sylfaen9"/>
          <w:i w:val="0"/>
          <w:sz w:val="24"/>
          <w:szCs w:val="24"/>
          <w:vertAlign w:val="superscript"/>
        </w:rPr>
        <w:t>IgA</w:t>
      </w:r>
      <w:r w:rsidRPr="000F5A26">
        <w:rPr>
          <w:rStyle w:val="Bodytext31Sylfaen9"/>
          <w:i w:val="0"/>
          <w:sz w:val="24"/>
          <w:szCs w:val="24"/>
          <w:vertAlign w:val="subscript"/>
        </w:rPr>
        <w:t>U</w:t>
      </w:r>
      <w:r w:rsidRPr="000F5A26">
        <w:rPr>
          <w:rStyle w:val="Bodytext31Sylfaen9"/>
          <w:i w:val="0"/>
          <w:sz w:val="24"/>
          <w:szCs w:val="24"/>
          <w:vertAlign w:val="superscript"/>
        </w:rPr>
        <w:t>+0,01325</w:t>
      </w:r>
      <w:r w:rsidRPr="000F5A26">
        <w:rPr>
          <w:rStyle w:val="Bodytext31Sylfaen9"/>
          <w:i w:val="0"/>
          <w:sz w:val="24"/>
          <w:szCs w:val="24"/>
        </w:rPr>
        <w:t>, այսինքն՝ համապատասխանաբար 820,09 ՄՄ/մգ եւ 1030,97 ՄՄ/մգ։</w:t>
      </w:r>
    </w:p>
    <w:p w14:paraId="7589F1DD"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p>
    <w:p w14:paraId="48109C6D" w14:textId="77777777" w:rsidR="00B834A2" w:rsidRPr="00696072" w:rsidRDefault="00B834A2" w:rsidP="009A3F5E">
      <w:pPr>
        <w:pStyle w:val="Bodytext20"/>
        <w:shd w:val="clear" w:color="auto" w:fill="auto"/>
        <w:spacing w:before="0" w:after="160" w:line="360" w:lineRule="auto"/>
        <w:ind w:firstLine="567"/>
        <w:jc w:val="both"/>
        <w:rPr>
          <w:rStyle w:val="Tablecaption210pt"/>
          <w:rFonts w:ascii="Sylfaen" w:eastAsia="Sylfaen" w:hAnsi="Sylfaen"/>
          <w:i w:val="0"/>
          <w:iCs w:val="0"/>
          <w:sz w:val="24"/>
          <w:szCs w:val="24"/>
        </w:rPr>
      </w:pPr>
      <w:r w:rsidRPr="00696072">
        <w:rPr>
          <w:rStyle w:val="Bodytext310pt"/>
          <w:b w:val="0"/>
          <w:i w:val="0"/>
          <w:sz w:val="24"/>
          <w:szCs w:val="24"/>
        </w:rPr>
        <w:t>Աղյուսակ 3.2.6-19.</w:t>
      </w:r>
      <w:r>
        <w:rPr>
          <w:rStyle w:val="Bodytext310pt"/>
          <w:sz w:val="24"/>
          <w:szCs w:val="24"/>
          <w:lang w:val="en-US"/>
        </w:rPr>
        <w:t xml:space="preserve"> </w:t>
      </w:r>
      <w:r w:rsidRPr="00696072">
        <w:rPr>
          <w:rFonts w:ascii="Sylfaen" w:hAnsi="Sylfaen"/>
          <w:i/>
          <w:sz w:val="24"/>
          <w:szCs w:val="24"/>
        </w:rPr>
        <w:t>Կրկնակի խաչաձեւման սխեման</w:t>
      </w:r>
    </w:p>
    <w:tbl>
      <w:tblPr>
        <w:tblOverlap w:val="never"/>
        <w:tblW w:w="9427" w:type="dxa"/>
        <w:tblLayout w:type="fixed"/>
        <w:tblCellMar>
          <w:left w:w="10" w:type="dxa"/>
          <w:right w:w="10" w:type="dxa"/>
        </w:tblCellMar>
        <w:tblLook w:val="0000" w:firstRow="0" w:lastRow="0" w:firstColumn="0" w:lastColumn="0" w:noHBand="0" w:noVBand="0"/>
      </w:tblPr>
      <w:tblGrid>
        <w:gridCol w:w="2784"/>
        <w:gridCol w:w="1560"/>
        <w:gridCol w:w="1685"/>
        <w:gridCol w:w="1675"/>
        <w:gridCol w:w="1723"/>
      </w:tblGrid>
      <w:tr w:rsidR="000A3750" w:rsidRPr="000A3750" w14:paraId="623BFE38" w14:textId="77777777" w:rsidTr="000A3750">
        <w:tc>
          <w:tcPr>
            <w:tcW w:w="2784" w:type="dxa"/>
            <w:tcBorders>
              <w:top w:val="single" w:sz="4" w:space="0" w:color="auto"/>
            </w:tcBorders>
            <w:shd w:val="clear" w:color="auto" w:fill="FFFFFF"/>
          </w:tcPr>
          <w:p w14:paraId="404DE63A" w14:textId="77777777" w:rsidR="000A3750" w:rsidRPr="000A3750" w:rsidRDefault="000A3750" w:rsidP="000A3750">
            <w:pPr>
              <w:spacing w:after="120"/>
              <w:jc w:val="center"/>
              <w:rPr>
                <w:sz w:val="20"/>
                <w:szCs w:val="20"/>
              </w:rPr>
            </w:pPr>
          </w:p>
        </w:tc>
        <w:tc>
          <w:tcPr>
            <w:tcW w:w="1560" w:type="dxa"/>
            <w:tcBorders>
              <w:top w:val="single" w:sz="4" w:space="0" w:color="auto"/>
            </w:tcBorders>
            <w:shd w:val="clear" w:color="auto" w:fill="FFFFFF"/>
          </w:tcPr>
          <w:p w14:paraId="078616BD"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ԽՈՒՄԲ 1</w:t>
            </w:r>
          </w:p>
        </w:tc>
        <w:tc>
          <w:tcPr>
            <w:tcW w:w="1685" w:type="dxa"/>
            <w:tcBorders>
              <w:top w:val="single" w:sz="4" w:space="0" w:color="auto"/>
            </w:tcBorders>
            <w:shd w:val="clear" w:color="auto" w:fill="FFFFFF"/>
          </w:tcPr>
          <w:p w14:paraId="3E231811"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ԽՈՒՄԲ 2</w:t>
            </w:r>
          </w:p>
        </w:tc>
        <w:tc>
          <w:tcPr>
            <w:tcW w:w="1675" w:type="dxa"/>
            <w:tcBorders>
              <w:top w:val="single" w:sz="4" w:space="0" w:color="auto"/>
            </w:tcBorders>
            <w:shd w:val="clear" w:color="auto" w:fill="FFFFFF"/>
          </w:tcPr>
          <w:p w14:paraId="635F21FC"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ԽՈՒՄԲ 3</w:t>
            </w:r>
          </w:p>
        </w:tc>
        <w:tc>
          <w:tcPr>
            <w:tcW w:w="1723" w:type="dxa"/>
            <w:tcBorders>
              <w:top w:val="single" w:sz="4" w:space="0" w:color="auto"/>
            </w:tcBorders>
            <w:shd w:val="clear" w:color="auto" w:fill="FFFFFF"/>
          </w:tcPr>
          <w:p w14:paraId="53A7AA45" w14:textId="77777777" w:rsidR="000A3750" w:rsidRPr="000A3750" w:rsidRDefault="000A3750" w:rsidP="000A3750">
            <w:pPr>
              <w:spacing w:after="120"/>
              <w:jc w:val="center"/>
              <w:rPr>
                <w:sz w:val="20"/>
                <w:szCs w:val="20"/>
                <w:highlight w:val="yellow"/>
              </w:rPr>
            </w:pPr>
            <w:r w:rsidRPr="000A3750">
              <w:rPr>
                <w:rStyle w:val="Bodytext2Italic"/>
                <w:sz w:val="20"/>
                <w:szCs w:val="20"/>
              </w:rPr>
              <w:t>ԽՈՒՄԲ 4</w:t>
            </w:r>
          </w:p>
        </w:tc>
      </w:tr>
      <w:tr w:rsidR="000A3750" w:rsidRPr="000A3750" w14:paraId="24CF984D" w14:textId="77777777" w:rsidTr="000A3750">
        <w:tc>
          <w:tcPr>
            <w:tcW w:w="2784" w:type="dxa"/>
            <w:tcBorders>
              <w:top w:val="single" w:sz="4" w:space="0" w:color="auto"/>
            </w:tcBorders>
            <w:shd w:val="clear" w:color="auto" w:fill="FFFFFF"/>
          </w:tcPr>
          <w:p w14:paraId="32948C6D"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I ԿԻՐԱՌՈՒՄ (I օր)</w:t>
            </w:r>
          </w:p>
        </w:tc>
        <w:tc>
          <w:tcPr>
            <w:tcW w:w="1560" w:type="dxa"/>
            <w:tcBorders>
              <w:top w:val="single" w:sz="4" w:space="0" w:color="auto"/>
            </w:tcBorders>
            <w:shd w:val="clear" w:color="auto" w:fill="FFFFFF"/>
          </w:tcPr>
          <w:p w14:paraId="07DC0286" w14:textId="77777777" w:rsidR="000A3750" w:rsidRPr="000A3750" w:rsidRDefault="000A3750" w:rsidP="000A3750">
            <w:pPr>
              <w:spacing w:after="120"/>
              <w:jc w:val="center"/>
              <w:rPr>
                <w:sz w:val="20"/>
                <w:szCs w:val="20"/>
              </w:rPr>
            </w:pPr>
            <w:r w:rsidRPr="000A3750">
              <w:rPr>
                <w:sz w:val="20"/>
                <w:szCs w:val="20"/>
              </w:rPr>
              <w:t>s</w:t>
            </w:r>
            <w:r w:rsidRPr="000A3750">
              <w:rPr>
                <w:sz w:val="20"/>
                <w:szCs w:val="20"/>
                <w:vertAlign w:val="subscript"/>
              </w:rPr>
              <w:t>1</w:t>
            </w:r>
          </w:p>
        </w:tc>
        <w:tc>
          <w:tcPr>
            <w:tcW w:w="1685" w:type="dxa"/>
            <w:tcBorders>
              <w:top w:val="single" w:sz="4" w:space="0" w:color="auto"/>
            </w:tcBorders>
            <w:shd w:val="clear" w:color="auto" w:fill="FFFFFF"/>
          </w:tcPr>
          <w:p w14:paraId="1E5988C0" w14:textId="77777777" w:rsidR="000A3750" w:rsidRPr="000A3750" w:rsidRDefault="000A3750" w:rsidP="000A3750">
            <w:pPr>
              <w:pStyle w:val="Bodytext20"/>
              <w:shd w:val="clear" w:color="auto" w:fill="auto"/>
              <w:spacing w:before="0" w:line="240" w:lineRule="auto"/>
              <w:rPr>
                <w:rFonts w:ascii="Sylfaen" w:hAnsi="Sylfaen" w:cs="Sylfaen"/>
                <w:sz w:val="20"/>
                <w:szCs w:val="20"/>
              </w:rPr>
            </w:pPr>
            <w:r w:rsidRPr="000A3750">
              <w:rPr>
                <w:rStyle w:val="Bodytext31Sylfaen9"/>
                <w:sz w:val="20"/>
                <w:szCs w:val="20"/>
              </w:rPr>
              <w:t>s</w:t>
            </w:r>
            <w:r w:rsidRPr="000A3750">
              <w:rPr>
                <w:rStyle w:val="Bodytext31Sylfaen9"/>
                <w:sz w:val="20"/>
                <w:szCs w:val="20"/>
                <w:vertAlign w:val="subscript"/>
              </w:rPr>
              <w:t>2</w:t>
            </w:r>
          </w:p>
        </w:tc>
        <w:tc>
          <w:tcPr>
            <w:tcW w:w="1675" w:type="dxa"/>
            <w:tcBorders>
              <w:top w:val="single" w:sz="4" w:space="0" w:color="auto"/>
            </w:tcBorders>
            <w:shd w:val="clear" w:color="auto" w:fill="FFFFFF"/>
          </w:tcPr>
          <w:p w14:paraId="6BDFFED2"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u</w:t>
            </w:r>
            <w:r w:rsidRPr="000A3750">
              <w:rPr>
                <w:rStyle w:val="Bodytext2Italic"/>
                <w:sz w:val="20"/>
                <w:szCs w:val="20"/>
                <w:vertAlign w:val="subscript"/>
              </w:rPr>
              <w:t>1</w:t>
            </w:r>
          </w:p>
        </w:tc>
        <w:tc>
          <w:tcPr>
            <w:tcW w:w="1723" w:type="dxa"/>
            <w:tcBorders>
              <w:top w:val="single" w:sz="4" w:space="0" w:color="auto"/>
            </w:tcBorders>
            <w:shd w:val="clear" w:color="auto" w:fill="FFFFFF"/>
          </w:tcPr>
          <w:p w14:paraId="0B3FACA9" w14:textId="77777777" w:rsidR="000A3750" w:rsidRPr="000A3750" w:rsidRDefault="000A3750" w:rsidP="000A3750">
            <w:pPr>
              <w:spacing w:after="120"/>
              <w:jc w:val="center"/>
              <w:rPr>
                <w:sz w:val="20"/>
                <w:szCs w:val="20"/>
                <w:highlight w:val="yellow"/>
              </w:rPr>
            </w:pPr>
            <w:r w:rsidRPr="000A3750">
              <w:rPr>
                <w:rStyle w:val="Bodytext2Italic"/>
                <w:sz w:val="20"/>
                <w:szCs w:val="20"/>
              </w:rPr>
              <w:t>u</w:t>
            </w:r>
            <w:r w:rsidRPr="000A3750">
              <w:rPr>
                <w:rStyle w:val="Bodytext2Italic"/>
                <w:sz w:val="20"/>
                <w:szCs w:val="20"/>
                <w:vertAlign w:val="subscript"/>
              </w:rPr>
              <w:t>2</w:t>
            </w:r>
          </w:p>
        </w:tc>
      </w:tr>
      <w:tr w:rsidR="000A3750" w:rsidRPr="000A3750" w14:paraId="1175AC33" w14:textId="77777777" w:rsidTr="000A3750">
        <w:tc>
          <w:tcPr>
            <w:tcW w:w="2784" w:type="dxa"/>
            <w:tcBorders>
              <w:bottom w:val="single" w:sz="4" w:space="0" w:color="auto"/>
            </w:tcBorders>
            <w:shd w:val="clear" w:color="auto" w:fill="FFFFFF"/>
          </w:tcPr>
          <w:p w14:paraId="4B1291B2"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II ԿԻՐԱՌՈՒՄ (II օր)</w:t>
            </w:r>
          </w:p>
        </w:tc>
        <w:tc>
          <w:tcPr>
            <w:tcW w:w="1560" w:type="dxa"/>
            <w:tcBorders>
              <w:bottom w:val="single" w:sz="4" w:space="0" w:color="auto"/>
            </w:tcBorders>
            <w:shd w:val="clear" w:color="auto" w:fill="FFFFFF"/>
          </w:tcPr>
          <w:p w14:paraId="226C3DB2"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u</w:t>
            </w:r>
            <w:r w:rsidRPr="000A3750">
              <w:rPr>
                <w:rStyle w:val="Bodytext2Italic"/>
                <w:sz w:val="20"/>
                <w:szCs w:val="20"/>
                <w:vertAlign w:val="subscript"/>
              </w:rPr>
              <w:t>2</w:t>
            </w:r>
          </w:p>
        </w:tc>
        <w:tc>
          <w:tcPr>
            <w:tcW w:w="1685" w:type="dxa"/>
            <w:tcBorders>
              <w:bottom w:val="single" w:sz="4" w:space="0" w:color="auto"/>
            </w:tcBorders>
            <w:shd w:val="clear" w:color="auto" w:fill="FFFFFF"/>
          </w:tcPr>
          <w:p w14:paraId="2D879BF3"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2Italic"/>
                <w:sz w:val="20"/>
                <w:szCs w:val="20"/>
              </w:rPr>
              <w:t>u</w:t>
            </w:r>
            <w:r w:rsidRPr="000A3750">
              <w:rPr>
                <w:rStyle w:val="Bodytext2Italic"/>
                <w:sz w:val="20"/>
                <w:szCs w:val="20"/>
                <w:vertAlign w:val="subscript"/>
              </w:rPr>
              <w:t>1</w:t>
            </w:r>
          </w:p>
        </w:tc>
        <w:tc>
          <w:tcPr>
            <w:tcW w:w="1675" w:type="dxa"/>
            <w:tcBorders>
              <w:bottom w:val="single" w:sz="4" w:space="0" w:color="auto"/>
            </w:tcBorders>
            <w:shd w:val="clear" w:color="auto" w:fill="FFFFFF"/>
          </w:tcPr>
          <w:p w14:paraId="46767B4A" w14:textId="77777777" w:rsidR="000A3750" w:rsidRPr="000A3750" w:rsidRDefault="000A3750" w:rsidP="000A3750">
            <w:pPr>
              <w:pStyle w:val="Bodytext20"/>
              <w:shd w:val="clear" w:color="auto" w:fill="auto"/>
              <w:spacing w:before="0" w:line="240" w:lineRule="auto"/>
              <w:rPr>
                <w:rFonts w:ascii="Sylfaen" w:hAnsi="Sylfaen" w:cs="Sylfaen"/>
                <w:sz w:val="20"/>
                <w:szCs w:val="20"/>
                <w:highlight w:val="yellow"/>
              </w:rPr>
            </w:pPr>
            <w:r w:rsidRPr="000A3750">
              <w:rPr>
                <w:rStyle w:val="Bodytext31Sylfaen9"/>
                <w:sz w:val="20"/>
                <w:szCs w:val="20"/>
              </w:rPr>
              <w:t>s</w:t>
            </w:r>
            <w:r w:rsidRPr="000A3750">
              <w:rPr>
                <w:rStyle w:val="Bodytext31Sylfaen9"/>
                <w:sz w:val="20"/>
                <w:szCs w:val="20"/>
                <w:vertAlign w:val="subscript"/>
              </w:rPr>
              <w:t>2</w:t>
            </w:r>
          </w:p>
        </w:tc>
        <w:tc>
          <w:tcPr>
            <w:tcW w:w="1723" w:type="dxa"/>
            <w:tcBorders>
              <w:bottom w:val="single" w:sz="4" w:space="0" w:color="auto"/>
            </w:tcBorders>
            <w:shd w:val="clear" w:color="auto" w:fill="FFFFFF"/>
          </w:tcPr>
          <w:p w14:paraId="4A64A0B2" w14:textId="77777777" w:rsidR="000A3750" w:rsidRPr="000A3750" w:rsidRDefault="000A3750" w:rsidP="000A3750">
            <w:pPr>
              <w:spacing w:after="120"/>
              <w:jc w:val="center"/>
              <w:rPr>
                <w:sz w:val="20"/>
                <w:szCs w:val="20"/>
              </w:rPr>
            </w:pPr>
            <w:r w:rsidRPr="000A3750">
              <w:rPr>
                <w:rStyle w:val="Bodytext31Sylfaen9"/>
                <w:sz w:val="20"/>
                <w:szCs w:val="20"/>
              </w:rPr>
              <w:t>s</w:t>
            </w:r>
            <w:r w:rsidRPr="000A3750">
              <w:rPr>
                <w:rStyle w:val="Bodytext31Sylfaen9"/>
                <w:sz w:val="20"/>
                <w:szCs w:val="20"/>
                <w:vertAlign w:val="subscript"/>
              </w:rPr>
              <w:t>1</w:t>
            </w:r>
          </w:p>
        </w:tc>
      </w:tr>
    </w:tbl>
    <w:p w14:paraId="6A5BEAB4" w14:textId="77777777" w:rsidR="00B834A2" w:rsidRPr="00B834A2" w:rsidRDefault="00B834A2" w:rsidP="002E48EF">
      <w:pPr>
        <w:pStyle w:val="Bodytext20"/>
        <w:shd w:val="clear" w:color="auto" w:fill="auto"/>
        <w:tabs>
          <w:tab w:val="left" w:pos="1276"/>
        </w:tabs>
        <w:spacing w:before="0" w:after="160" w:line="360" w:lineRule="auto"/>
        <w:ind w:firstLine="567"/>
        <w:jc w:val="both"/>
        <w:rPr>
          <w:rStyle w:val="Bodytext2Italic"/>
          <w:i w:val="0"/>
          <w:sz w:val="24"/>
          <w:szCs w:val="24"/>
        </w:rPr>
      </w:pPr>
      <w:r w:rsidRPr="00B834A2">
        <w:rPr>
          <w:rStyle w:val="Bodytext2Italic"/>
          <w:sz w:val="24"/>
          <w:szCs w:val="24"/>
        </w:rPr>
        <w:lastRenderedPageBreak/>
        <w:t>3.2.6.</w:t>
      </w:r>
      <w:r w:rsidR="002E48EF">
        <w:rPr>
          <w:rStyle w:val="Bodytext2Italic"/>
          <w:sz w:val="24"/>
          <w:szCs w:val="24"/>
        </w:rPr>
        <w:tab/>
      </w:r>
      <w:r w:rsidRPr="00B834A2">
        <w:rPr>
          <w:rFonts w:ascii="Sylfaen" w:hAnsi="Sylfaen"/>
          <w:i/>
          <w:sz w:val="24"/>
          <w:szCs w:val="24"/>
        </w:rPr>
        <w:t>Կրկնակի խաչաձեւում (Ա եւ Գ մեթոդով ինսուլինի կենսաբանական ակտիվության օրինակով)</w:t>
      </w:r>
    </w:p>
    <w:p w14:paraId="6347F4D9" w14:textId="77777777" w:rsidR="00B834A2" w:rsidRPr="002E48EF" w:rsidRDefault="00B834A2" w:rsidP="00184198">
      <w:pPr>
        <w:pStyle w:val="Bodytext20"/>
        <w:shd w:val="clear" w:color="auto" w:fill="auto"/>
        <w:spacing w:before="0" w:after="160" w:line="346" w:lineRule="auto"/>
        <w:ind w:firstLine="567"/>
        <w:jc w:val="both"/>
        <w:rPr>
          <w:rFonts w:ascii="Sylfaen" w:hAnsi="Sylfaen" w:cs="Sylfaen"/>
          <w:i/>
          <w:sz w:val="24"/>
          <w:szCs w:val="24"/>
        </w:rPr>
      </w:pPr>
      <w:r w:rsidRPr="002E48EF">
        <w:rPr>
          <w:rStyle w:val="Bodytext31Sylfaen9"/>
          <w:i w:val="0"/>
          <w:sz w:val="24"/>
          <w:szCs w:val="24"/>
        </w:rPr>
        <w:t>Ինսուլինի կենսաբանական ակտիվությունը որոշվում է ըստ դրա հիպոգլիկեմիկ ազդեցության։</w:t>
      </w:r>
    </w:p>
    <w:p w14:paraId="5A891387" w14:textId="77777777" w:rsidR="00B834A2" w:rsidRPr="002E48EF" w:rsidRDefault="00B834A2" w:rsidP="00184198">
      <w:pPr>
        <w:pStyle w:val="Bodytext20"/>
        <w:shd w:val="clear" w:color="auto" w:fill="auto"/>
        <w:spacing w:before="0" w:after="160" w:line="346" w:lineRule="auto"/>
        <w:ind w:firstLine="567"/>
        <w:jc w:val="both"/>
        <w:rPr>
          <w:rStyle w:val="Bodytext31Sylfaen9"/>
          <w:i w:val="0"/>
          <w:sz w:val="24"/>
          <w:szCs w:val="24"/>
        </w:rPr>
      </w:pPr>
      <w:r w:rsidRPr="002E48EF">
        <w:rPr>
          <w:rStyle w:val="Bodytext31Sylfaen9"/>
          <w:i w:val="0"/>
          <w:sz w:val="24"/>
          <w:szCs w:val="24"/>
        </w:rPr>
        <w:t xml:space="preserve">Կենդանու արձագանք (у) է համարվում՝ </w:t>
      </w:r>
    </w:p>
    <w:p w14:paraId="57BF150F" w14:textId="77777777" w:rsidR="00B834A2" w:rsidRPr="00B834A2" w:rsidRDefault="00B834A2" w:rsidP="00184198">
      <w:pPr>
        <w:pStyle w:val="Bodytext20"/>
        <w:shd w:val="clear" w:color="auto" w:fill="auto"/>
        <w:tabs>
          <w:tab w:val="left" w:pos="1134"/>
        </w:tabs>
        <w:spacing w:before="0" w:after="160" w:line="346" w:lineRule="auto"/>
        <w:ind w:firstLine="567"/>
        <w:jc w:val="both"/>
        <w:rPr>
          <w:rStyle w:val="Bodytext31Sylfaen9"/>
          <w:sz w:val="24"/>
          <w:szCs w:val="24"/>
        </w:rPr>
      </w:pPr>
      <w:r w:rsidRPr="00B834A2">
        <w:rPr>
          <w:rFonts w:ascii="Sylfaen" w:hAnsi="Sylfaen"/>
          <w:sz w:val="24"/>
          <w:szCs w:val="24"/>
        </w:rPr>
        <w:t>-</w:t>
      </w:r>
      <w:r w:rsidR="002E48EF">
        <w:rPr>
          <w:rFonts w:ascii="Sylfaen" w:hAnsi="Sylfaen"/>
          <w:sz w:val="24"/>
          <w:szCs w:val="24"/>
        </w:rPr>
        <w:tab/>
      </w:r>
      <w:r w:rsidRPr="00B834A2">
        <w:rPr>
          <w:rFonts w:ascii="Sylfaen" w:hAnsi="Sylfaen"/>
          <w:sz w:val="24"/>
          <w:szCs w:val="24"/>
        </w:rPr>
        <w:t>ճագարի համար՝</w:t>
      </w:r>
    </w:p>
    <w:p w14:paraId="5897B352" w14:textId="77777777" w:rsidR="00B834A2" w:rsidRPr="00B834A2" w:rsidRDefault="00B834A2" w:rsidP="00184198">
      <w:pPr>
        <w:pStyle w:val="Bodytext20"/>
        <w:shd w:val="clear" w:color="auto" w:fill="auto"/>
        <w:tabs>
          <w:tab w:val="left" w:pos="1134"/>
        </w:tabs>
        <w:spacing w:before="0" w:after="160" w:line="346" w:lineRule="auto"/>
        <w:ind w:firstLine="567"/>
        <w:jc w:val="both"/>
        <w:rPr>
          <w:rStyle w:val="Bodytext31Sylfaen9"/>
          <w:sz w:val="24"/>
          <w:szCs w:val="24"/>
        </w:rPr>
      </w:pPr>
      <w:r w:rsidRPr="00B834A2">
        <w:rPr>
          <w:rFonts w:ascii="Sylfaen" w:hAnsi="Sylfaen"/>
          <w:sz w:val="24"/>
          <w:szCs w:val="24"/>
        </w:rPr>
        <w:t>1)</w:t>
      </w:r>
      <w:r w:rsidR="002E48EF">
        <w:rPr>
          <w:rFonts w:ascii="Sylfaen" w:hAnsi="Sylfaen"/>
          <w:sz w:val="24"/>
          <w:szCs w:val="24"/>
        </w:rPr>
        <w:tab/>
      </w:r>
      <w:r w:rsidRPr="00B834A2">
        <w:rPr>
          <w:rFonts w:ascii="Sylfaen" w:hAnsi="Sylfaen"/>
          <w:sz w:val="24"/>
          <w:szCs w:val="24"/>
        </w:rPr>
        <w:t>ինսուլինի ենթամաշկային ներարկումից հետո 1 եւ 2,5 ժամ հետո արյան մեջ գլյուկոզի երկու կոնցենտրացիաների գումարը (ականջի եզրային երակից արյուն վերցնելը, թույլատրվում է + 5 րոպեի սխալանքը),</w:t>
      </w:r>
    </w:p>
    <w:p w14:paraId="4EC72695" w14:textId="77777777" w:rsidR="00B834A2" w:rsidRPr="00B834A2" w:rsidRDefault="00B834A2" w:rsidP="00184198">
      <w:pPr>
        <w:pStyle w:val="Bodytext20"/>
        <w:shd w:val="clear" w:color="auto" w:fill="auto"/>
        <w:spacing w:before="0" w:after="160" w:line="346" w:lineRule="auto"/>
        <w:ind w:firstLine="567"/>
        <w:jc w:val="both"/>
        <w:rPr>
          <w:rStyle w:val="Bodytext31Sylfaen9"/>
          <w:sz w:val="24"/>
          <w:szCs w:val="24"/>
        </w:rPr>
      </w:pPr>
      <w:r w:rsidRPr="00B834A2">
        <w:rPr>
          <w:rStyle w:val="Bodytext31Sylfaen9"/>
          <w:sz w:val="24"/>
          <w:szCs w:val="24"/>
        </w:rPr>
        <w:t>կամ</w:t>
      </w:r>
    </w:p>
    <w:p w14:paraId="491FFB25" w14:textId="77777777" w:rsidR="00B834A2" w:rsidRPr="00B834A2" w:rsidRDefault="00B834A2" w:rsidP="00184198">
      <w:pPr>
        <w:pStyle w:val="Bodytext20"/>
        <w:shd w:val="clear" w:color="auto" w:fill="auto"/>
        <w:tabs>
          <w:tab w:val="left" w:pos="1134"/>
        </w:tabs>
        <w:spacing w:before="0" w:after="160" w:line="346" w:lineRule="auto"/>
        <w:ind w:firstLine="567"/>
        <w:jc w:val="both"/>
        <w:rPr>
          <w:rFonts w:ascii="Sylfaen" w:hAnsi="Sylfaen" w:cs="Sylfaen"/>
          <w:sz w:val="24"/>
          <w:szCs w:val="24"/>
        </w:rPr>
      </w:pPr>
      <w:r w:rsidRPr="00B834A2">
        <w:rPr>
          <w:rFonts w:ascii="Sylfaen" w:hAnsi="Sylfaen"/>
          <w:sz w:val="24"/>
          <w:szCs w:val="24"/>
        </w:rPr>
        <w:t>2)</w:t>
      </w:r>
      <w:r w:rsidR="002E48EF">
        <w:rPr>
          <w:rFonts w:ascii="Sylfaen" w:hAnsi="Sylfaen"/>
          <w:sz w:val="24"/>
          <w:szCs w:val="24"/>
        </w:rPr>
        <w:tab/>
      </w:r>
      <w:r w:rsidRPr="00B834A2">
        <w:rPr>
          <w:rFonts w:ascii="Sylfaen" w:hAnsi="Sylfaen"/>
          <w:sz w:val="24"/>
          <w:szCs w:val="24"/>
        </w:rPr>
        <w:t>այն միջին մեծությունը, որով նվազում է արյան մեջ գլյուկոզի կոնցենտրացիան ինսուլինի ենթամաշկային ներմուծումից 1 եւ 2,5 ժամ հետո, որն արտահայտված է սկզբնական մեծության նկատմամբ տոկոսներով (ականջի եզրային երակից արյուն վերցնելը, թույլատրվում է ± 5 րոպեի սխալանքը).</w:t>
      </w:r>
    </w:p>
    <w:p w14:paraId="6AF28C30" w14:textId="77777777" w:rsidR="00B834A2" w:rsidRPr="00B834A2" w:rsidRDefault="00B834A2" w:rsidP="00184198">
      <w:pPr>
        <w:pStyle w:val="Bodytext20"/>
        <w:shd w:val="clear" w:color="auto" w:fill="auto"/>
        <w:tabs>
          <w:tab w:val="left" w:pos="1134"/>
        </w:tabs>
        <w:spacing w:before="0" w:after="160" w:line="346" w:lineRule="auto"/>
        <w:ind w:firstLine="567"/>
        <w:jc w:val="both"/>
        <w:rPr>
          <w:rFonts w:ascii="Sylfaen" w:hAnsi="Sylfaen" w:cs="Sylfaen"/>
          <w:sz w:val="24"/>
          <w:szCs w:val="24"/>
        </w:rPr>
      </w:pPr>
      <w:r w:rsidRPr="00B834A2">
        <w:rPr>
          <w:rFonts w:ascii="Sylfaen" w:hAnsi="Sylfaen"/>
          <w:sz w:val="24"/>
          <w:szCs w:val="24"/>
        </w:rPr>
        <w:t>-</w:t>
      </w:r>
      <w:r w:rsidR="002E48EF">
        <w:rPr>
          <w:rFonts w:ascii="Sylfaen" w:hAnsi="Sylfaen"/>
          <w:sz w:val="24"/>
          <w:szCs w:val="24"/>
        </w:rPr>
        <w:tab/>
      </w:r>
      <w:r w:rsidRPr="00B834A2">
        <w:rPr>
          <w:rFonts w:ascii="Sylfaen" w:hAnsi="Sylfaen"/>
          <w:sz w:val="24"/>
          <w:szCs w:val="24"/>
        </w:rPr>
        <w:t xml:space="preserve">մկան համար՝ ենթամաշկային ներարկումից 40 րոպե հետո արյան մեջ գլյուկոզի կոնցենտրացիան (ակնակապիճային ծոցից արյուն վերցնելը)։ </w:t>
      </w:r>
    </w:p>
    <w:p w14:paraId="75F8EDCB" w14:textId="77777777" w:rsidR="00B834A2" w:rsidRPr="002E48EF" w:rsidRDefault="00B834A2" w:rsidP="00184198">
      <w:pPr>
        <w:pStyle w:val="Bodytext20"/>
        <w:shd w:val="clear" w:color="auto" w:fill="auto"/>
        <w:spacing w:before="0" w:after="160" w:line="346" w:lineRule="auto"/>
        <w:ind w:firstLine="567"/>
        <w:jc w:val="both"/>
        <w:rPr>
          <w:rFonts w:ascii="Sylfaen" w:hAnsi="Sylfaen" w:cs="Sylfaen"/>
          <w:i/>
          <w:sz w:val="24"/>
          <w:szCs w:val="24"/>
        </w:rPr>
      </w:pPr>
      <w:r w:rsidRPr="002E48EF">
        <w:rPr>
          <w:rStyle w:val="Bodytext31Sylfaen9"/>
          <w:i w:val="0"/>
          <w:sz w:val="24"/>
          <w:szCs w:val="24"/>
        </w:rPr>
        <w:t>Երկու դեպքում հաշվարկների սխեման միեւնույնն է։</w:t>
      </w:r>
    </w:p>
    <w:p w14:paraId="69C7755C" w14:textId="77777777" w:rsidR="00B834A2" w:rsidRPr="002E48EF" w:rsidRDefault="00B834A2" w:rsidP="00184198">
      <w:pPr>
        <w:pStyle w:val="Bodytext20"/>
        <w:shd w:val="clear" w:color="auto" w:fill="auto"/>
        <w:spacing w:before="0" w:after="160" w:line="346" w:lineRule="auto"/>
        <w:ind w:firstLine="567"/>
        <w:jc w:val="both"/>
        <w:rPr>
          <w:rStyle w:val="Bodytext31Sylfaen9"/>
          <w:i w:val="0"/>
          <w:sz w:val="24"/>
          <w:szCs w:val="24"/>
        </w:rPr>
      </w:pPr>
      <w:r w:rsidRPr="002E48EF">
        <w:rPr>
          <w:rStyle w:val="Bodytext31Sylfaen9"/>
          <w:i w:val="0"/>
          <w:sz w:val="24"/>
          <w:szCs w:val="24"/>
        </w:rPr>
        <w:t>Ստորեւ ներկայացված է սպիտակ մկների 4 խմբի համար (խմբում 12-ական առանձնյակներ) կրկնակի խաչաձեւման արդյունքների մշակման օրինակը։ 3.2.6-20 աղյուսակում բերված են ինսուլինի ստանդարտ նմուշի երկու դեղաչափի եւ փորձարկվող նմուշի երկու դեղաչափի ներմուծման նկատմամբ կենդանիների արձագանքները։</w:t>
      </w:r>
    </w:p>
    <w:p w14:paraId="23EE4AED" w14:textId="77777777" w:rsidR="00B834A2" w:rsidRPr="00B834A2" w:rsidRDefault="00B834A2" w:rsidP="00184198">
      <w:pPr>
        <w:pStyle w:val="Bodytext20"/>
        <w:shd w:val="clear" w:color="auto" w:fill="auto"/>
        <w:spacing w:before="0" w:after="160" w:line="346" w:lineRule="auto"/>
        <w:ind w:firstLine="567"/>
        <w:jc w:val="both"/>
        <w:rPr>
          <w:rStyle w:val="Bodytext31Sylfaen9"/>
          <w:sz w:val="24"/>
          <w:szCs w:val="24"/>
        </w:rPr>
      </w:pPr>
      <w:r w:rsidRPr="002E48EF">
        <w:rPr>
          <w:rStyle w:val="Bodytext31Sylfaen9"/>
          <w:i w:val="0"/>
          <w:sz w:val="24"/>
          <w:szCs w:val="24"/>
        </w:rPr>
        <w:t>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w:t>
      </w:r>
      <w:r w:rsidRPr="00B834A2">
        <w:rPr>
          <w:rStyle w:val="Bodytext31Sylfaen9"/>
          <w:sz w:val="24"/>
          <w:szCs w:val="24"/>
        </w:rPr>
        <w:t xml:space="preserve"> </w:t>
      </w:r>
      <w:r w:rsidRPr="00B834A2">
        <w:rPr>
          <w:rFonts w:ascii="Sylfaen" w:hAnsi="Sylfaen"/>
          <w:sz w:val="24"/>
          <w:szCs w:val="24"/>
        </w:rPr>
        <w:t>Ընդ որում, դիսպերսիաների արժեքները հաշվարկվում են 11 աղբյուրի համար (3.2.6-22 ամփոփիչ աղյուսակ)։</w:t>
      </w:r>
    </w:p>
    <w:p w14:paraId="07BD2D49"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lastRenderedPageBreak/>
        <w:t>Այդ նպատակով 3.2.6-20 եւ 3.2.6-21 աղյուսակում ներկայացված տվյալների, ինչպես նաեւ ուղղիչ գործակցի հիման վրա հաշվարկվում են դիսպերսիայի աղբյուրների քառակուսիների գումարները։</w:t>
      </w:r>
    </w:p>
    <w:p w14:paraId="7F7EEC0F" w14:textId="77777777" w:rsidR="00B834A2" w:rsidRPr="002E48EF" w:rsidRDefault="00B834A2" w:rsidP="009A3F5E">
      <w:pPr>
        <w:pStyle w:val="Bodytext20"/>
        <w:shd w:val="clear" w:color="auto" w:fill="auto"/>
        <w:spacing w:before="0" w:after="160" w:line="360" w:lineRule="auto"/>
        <w:ind w:firstLine="567"/>
        <w:jc w:val="both"/>
        <w:rPr>
          <w:rFonts w:ascii="Sylfaen" w:hAnsi="Sylfaen" w:cs="Sylfaen"/>
          <w:i/>
          <w:sz w:val="24"/>
          <w:szCs w:val="24"/>
        </w:rPr>
      </w:pPr>
      <w:r w:rsidRPr="002E48EF">
        <w:rPr>
          <w:rStyle w:val="Bodytext31Sylfaen9"/>
          <w:i w:val="0"/>
          <w:sz w:val="24"/>
          <w:szCs w:val="24"/>
        </w:rPr>
        <w:t>Ուղղիչ գործակիցը՝</w:t>
      </w:r>
    </w:p>
    <w:p w14:paraId="4332F189" w14:textId="77777777" w:rsidR="00B834A2" w:rsidRPr="00B834A2" w:rsidRDefault="00B834A2" w:rsidP="009A3F5E">
      <w:pPr>
        <w:pStyle w:val="Bodytext20"/>
        <w:shd w:val="clear" w:color="auto" w:fill="auto"/>
        <w:spacing w:before="0" w:after="160" w:line="360" w:lineRule="auto"/>
        <w:ind w:firstLine="567"/>
        <w:jc w:val="both"/>
        <w:rPr>
          <w:rStyle w:val="Bodytext310pt"/>
          <w:sz w:val="24"/>
          <w:szCs w:val="24"/>
        </w:rPr>
      </w:pPr>
      <w:r w:rsidRPr="00B834A2">
        <w:rPr>
          <w:rFonts w:ascii="Sylfaen" w:eastAsia="Sylfaen" w:hAnsi="Sylfaen" w:cs="Sylfaen"/>
          <w:noProof/>
          <w:sz w:val="24"/>
          <w:szCs w:val="24"/>
          <w:shd w:val="clear" w:color="auto" w:fill="FFFFFF"/>
          <w:vertAlign w:val="subscript"/>
          <w:lang w:val="en-US" w:eastAsia="en-US" w:bidi="ar-SA"/>
        </w:rPr>
        <w:drawing>
          <wp:inline distT="0" distB="0" distL="0" distR="0" wp14:anchorId="34544157" wp14:editId="1F5B6865">
            <wp:extent cx="1934179" cy="500108"/>
            <wp:effectExtent l="19050" t="0" r="8921"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7" cstate="print"/>
                    <a:srcRect/>
                    <a:stretch>
                      <a:fillRect/>
                    </a:stretch>
                  </pic:blipFill>
                  <pic:spPr bwMode="auto">
                    <a:xfrm>
                      <a:off x="0" y="0"/>
                      <a:ext cx="1940984" cy="501867"/>
                    </a:xfrm>
                    <a:prstGeom prst="rect">
                      <a:avLst/>
                    </a:prstGeom>
                    <a:noFill/>
                    <a:ln w="9525">
                      <a:noFill/>
                      <a:miter lim="800000"/>
                      <a:headEnd/>
                      <a:tailEnd/>
                    </a:ln>
                  </pic:spPr>
                </pic:pic>
              </a:graphicData>
            </a:graphic>
          </wp:inline>
        </w:drawing>
      </w:r>
    </w:p>
    <w:p w14:paraId="1468F8CD" w14:textId="77777777" w:rsidR="00184198" w:rsidRDefault="00184198" w:rsidP="009A3F5E">
      <w:pPr>
        <w:pStyle w:val="Bodytext20"/>
        <w:shd w:val="clear" w:color="auto" w:fill="auto"/>
        <w:spacing w:before="0" w:after="160" w:line="360" w:lineRule="auto"/>
        <w:ind w:firstLine="567"/>
        <w:jc w:val="both"/>
        <w:rPr>
          <w:rStyle w:val="Bodytext310pt"/>
          <w:b w:val="0"/>
          <w:i w:val="0"/>
          <w:sz w:val="24"/>
          <w:szCs w:val="24"/>
          <w:lang w:val="en-US"/>
        </w:rPr>
      </w:pPr>
    </w:p>
    <w:p w14:paraId="1A1D96C2" w14:textId="77777777" w:rsidR="00B834A2" w:rsidRPr="00B834A2" w:rsidRDefault="00B834A2" w:rsidP="009A3F5E">
      <w:pPr>
        <w:pStyle w:val="Bodytext20"/>
        <w:shd w:val="clear" w:color="auto" w:fill="auto"/>
        <w:spacing w:before="0" w:after="160" w:line="360" w:lineRule="auto"/>
        <w:ind w:firstLine="567"/>
        <w:jc w:val="both"/>
        <w:rPr>
          <w:rStyle w:val="Tablecaption210pt"/>
          <w:rFonts w:ascii="Sylfaen" w:eastAsia="Sylfaen" w:hAnsi="Sylfaen"/>
          <w:i w:val="0"/>
          <w:iCs w:val="0"/>
          <w:sz w:val="24"/>
          <w:szCs w:val="24"/>
        </w:rPr>
      </w:pPr>
      <w:r w:rsidRPr="002E48EF">
        <w:rPr>
          <w:rStyle w:val="Bodytext310pt"/>
          <w:b w:val="0"/>
          <w:i w:val="0"/>
          <w:sz w:val="24"/>
          <w:szCs w:val="24"/>
        </w:rPr>
        <w:t>Աղյուսակ 3.2.6-19</w:t>
      </w:r>
      <w:r w:rsidRPr="002E48EF">
        <w:rPr>
          <w:rStyle w:val="Bodytext310pt"/>
          <w:b w:val="0"/>
          <w:sz w:val="24"/>
          <w:szCs w:val="24"/>
        </w:rPr>
        <w:t>.</w:t>
      </w:r>
      <w:r w:rsidRPr="002E48EF">
        <w:t xml:space="preserve"> </w:t>
      </w:r>
      <w:r w:rsidRPr="002E48EF">
        <w:rPr>
          <w:rFonts w:ascii="Sylfaen" w:hAnsi="Sylfaen"/>
          <w:i/>
          <w:sz w:val="24"/>
          <w:szCs w:val="24"/>
        </w:rPr>
        <w:t>Կրկնակի խաչաձեւման սխեման</w:t>
      </w:r>
    </w:p>
    <w:tbl>
      <w:tblPr>
        <w:tblOverlap w:val="never"/>
        <w:tblW w:w="9985" w:type="dxa"/>
        <w:tblInd w:w="-557" w:type="dxa"/>
        <w:tblLayout w:type="fixed"/>
        <w:tblCellMar>
          <w:left w:w="10" w:type="dxa"/>
          <w:right w:w="10" w:type="dxa"/>
        </w:tblCellMar>
        <w:tblLook w:val="0000" w:firstRow="0" w:lastRow="0" w:firstColumn="0" w:lastColumn="0" w:noHBand="0" w:noVBand="0"/>
      </w:tblPr>
      <w:tblGrid>
        <w:gridCol w:w="3341"/>
        <w:gridCol w:w="1560"/>
        <w:gridCol w:w="1685"/>
        <w:gridCol w:w="1675"/>
        <w:gridCol w:w="1724"/>
      </w:tblGrid>
      <w:tr w:rsidR="002E48EF" w:rsidRPr="002E48EF" w14:paraId="00C82BA4" w14:textId="77777777" w:rsidTr="00F3715C">
        <w:tc>
          <w:tcPr>
            <w:tcW w:w="3341" w:type="dxa"/>
            <w:tcBorders>
              <w:top w:val="single" w:sz="4" w:space="0" w:color="auto"/>
            </w:tcBorders>
            <w:shd w:val="clear" w:color="auto" w:fill="FFFFFF"/>
          </w:tcPr>
          <w:p w14:paraId="7C2D527C" w14:textId="77777777" w:rsidR="002E48EF" w:rsidRPr="002E48EF" w:rsidRDefault="002E48EF" w:rsidP="00696072">
            <w:pPr>
              <w:spacing w:after="120"/>
              <w:ind w:hanging="11"/>
              <w:jc w:val="center"/>
              <w:rPr>
                <w:sz w:val="20"/>
                <w:szCs w:val="20"/>
              </w:rPr>
            </w:pPr>
          </w:p>
        </w:tc>
        <w:tc>
          <w:tcPr>
            <w:tcW w:w="1560" w:type="dxa"/>
            <w:tcBorders>
              <w:top w:val="single" w:sz="4" w:space="0" w:color="auto"/>
            </w:tcBorders>
            <w:shd w:val="clear" w:color="auto" w:fill="FFFFFF"/>
          </w:tcPr>
          <w:p w14:paraId="71C26038"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ԽՈՒՄԲ 1</w:t>
            </w:r>
          </w:p>
        </w:tc>
        <w:tc>
          <w:tcPr>
            <w:tcW w:w="1685" w:type="dxa"/>
            <w:tcBorders>
              <w:top w:val="single" w:sz="4" w:space="0" w:color="auto"/>
            </w:tcBorders>
            <w:shd w:val="clear" w:color="auto" w:fill="FFFFFF"/>
          </w:tcPr>
          <w:p w14:paraId="48F24A3E"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ԽՈՒՄԲ 2</w:t>
            </w:r>
          </w:p>
        </w:tc>
        <w:tc>
          <w:tcPr>
            <w:tcW w:w="1675" w:type="dxa"/>
            <w:tcBorders>
              <w:top w:val="single" w:sz="4" w:space="0" w:color="auto"/>
            </w:tcBorders>
            <w:shd w:val="clear" w:color="auto" w:fill="FFFFFF"/>
          </w:tcPr>
          <w:p w14:paraId="1216F6C8"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ԽՈՒՄԲ 3</w:t>
            </w:r>
          </w:p>
        </w:tc>
        <w:tc>
          <w:tcPr>
            <w:tcW w:w="1724" w:type="dxa"/>
            <w:tcBorders>
              <w:top w:val="single" w:sz="4" w:space="0" w:color="auto"/>
            </w:tcBorders>
            <w:shd w:val="clear" w:color="auto" w:fill="FFFFFF"/>
          </w:tcPr>
          <w:p w14:paraId="16060A5C" w14:textId="77777777" w:rsidR="002E48EF" w:rsidRPr="002E48EF" w:rsidRDefault="002E48EF" w:rsidP="00696072">
            <w:pPr>
              <w:spacing w:after="120"/>
              <w:ind w:hanging="11"/>
              <w:jc w:val="center"/>
              <w:rPr>
                <w:sz w:val="20"/>
                <w:szCs w:val="20"/>
              </w:rPr>
            </w:pPr>
            <w:r w:rsidRPr="002E48EF">
              <w:rPr>
                <w:rStyle w:val="Bodytext2Italic"/>
                <w:sz w:val="20"/>
                <w:szCs w:val="20"/>
              </w:rPr>
              <w:t>ԽՈՒՄԲ 4</w:t>
            </w:r>
          </w:p>
        </w:tc>
      </w:tr>
      <w:tr w:rsidR="002E48EF" w:rsidRPr="002E48EF" w14:paraId="5B23D308" w14:textId="77777777" w:rsidTr="00F3715C">
        <w:tc>
          <w:tcPr>
            <w:tcW w:w="3341" w:type="dxa"/>
            <w:tcBorders>
              <w:top w:val="single" w:sz="4" w:space="0" w:color="auto"/>
            </w:tcBorders>
            <w:shd w:val="clear" w:color="auto" w:fill="FFFFFF"/>
          </w:tcPr>
          <w:p w14:paraId="1A3ED93E" w14:textId="77777777" w:rsidR="002E48EF" w:rsidRPr="002E48EF" w:rsidRDefault="002E48EF" w:rsidP="00696072">
            <w:pPr>
              <w:pStyle w:val="Bodytext20"/>
              <w:shd w:val="clear" w:color="auto" w:fill="auto"/>
              <w:spacing w:before="0" w:line="240" w:lineRule="auto"/>
              <w:ind w:hanging="11"/>
              <w:jc w:val="left"/>
              <w:rPr>
                <w:rFonts w:ascii="Sylfaen" w:hAnsi="Sylfaen" w:cs="Sylfaen"/>
                <w:sz w:val="20"/>
                <w:szCs w:val="20"/>
              </w:rPr>
            </w:pPr>
            <w:r w:rsidRPr="002E48EF">
              <w:rPr>
                <w:rStyle w:val="Bodytext2Italic"/>
                <w:sz w:val="20"/>
                <w:szCs w:val="20"/>
              </w:rPr>
              <w:t>I ԿԻՐԱՌՈՒՄ (I օր)</w:t>
            </w:r>
          </w:p>
        </w:tc>
        <w:tc>
          <w:tcPr>
            <w:tcW w:w="1560" w:type="dxa"/>
            <w:tcBorders>
              <w:top w:val="single" w:sz="4" w:space="0" w:color="auto"/>
            </w:tcBorders>
            <w:shd w:val="clear" w:color="auto" w:fill="FFFFFF"/>
          </w:tcPr>
          <w:p w14:paraId="7820EEDF" w14:textId="77777777" w:rsidR="002E48EF" w:rsidRPr="002E48EF" w:rsidRDefault="002E48EF" w:rsidP="00696072">
            <w:pPr>
              <w:spacing w:after="120"/>
              <w:ind w:hanging="11"/>
              <w:jc w:val="center"/>
              <w:rPr>
                <w:sz w:val="20"/>
                <w:szCs w:val="20"/>
              </w:rPr>
            </w:pPr>
            <w:r w:rsidRPr="002E48EF">
              <w:rPr>
                <w:rStyle w:val="Bodytext31Sylfaen9"/>
                <w:sz w:val="20"/>
                <w:szCs w:val="20"/>
              </w:rPr>
              <w:t>s</w:t>
            </w:r>
            <w:r w:rsidRPr="002E48EF">
              <w:rPr>
                <w:rStyle w:val="Bodytext31Sylfaen9"/>
                <w:sz w:val="20"/>
                <w:szCs w:val="20"/>
                <w:vertAlign w:val="subscript"/>
              </w:rPr>
              <w:t>1</w:t>
            </w:r>
          </w:p>
        </w:tc>
        <w:tc>
          <w:tcPr>
            <w:tcW w:w="1685" w:type="dxa"/>
            <w:tcBorders>
              <w:top w:val="single" w:sz="4" w:space="0" w:color="auto"/>
            </w:tcBorders>
            <w:shd w:val="clear" w:color="auto" w:fill="FFFFFF"/>
          </w:tcPr>
          <w:p w14:paraId="2278D411"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31Sylfaen9"/>
                <w:sz w:val="20"/>
                <w:szCs w:val="20"/>
              </w:rPr>
              <w:t>s</w:t>
            </w:r>
            <w:r w:rsidRPr="002E48EF">
              <w:rPr>
                <w:rStyle w:val="Bodytext31Sylfaen9"/>
                <w:sz w:val="20"/>
                <w:szCs w:val="20"/>
                <w:vertAlign w:val="subscript"/>
              </w:rPr>
              <w:t>2</w:t>
            </w:r>
          </w:p>
        </w:tc>
        <w:tc>
          <w:tcPr>
            <w:tcW w:w="1675" w:type="dxa"/>
            <w:tcBorders>
              <w:top w:val="single" w:sz="4" w:space="0" w:color="auto"/>
            </w:tcBorders>
            <w:shd w:val="clear" w:color="auto" w:fill="FFFFFF"/>
          </w:tcPr>
          <w:p w14:paraId="106C5364"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1</w:t>
            </w:r>
          </w:p>
        </w:tc>
        <w:tc>
          <w:tcPr>
            <w:tcW w:w="1724" w:type="dxa"/>
            <w:tcBorders>
              <w:top w:val="single" w:sz="4" w:space="0" w:color="auto"/>
            </w:tcBorders>
            <w:shd w:val="clear" w:color="auto" w:fill="FFFFFF"/>
          </w:tcPr>
          <w:p w14:paraId="26C7D42F" w14:textId="77777777" w:rsidR="002E48EF" w:rsidRPr="002E48EF" w:rsidRDefault="002E48EF" w:rsidP="00696072">
            <w:pPr>
              <w:spacing w:after="120"/>
              <w:ind w:hanging="11"/>
              <w:jc w:val="center"/>
              <w:rPr>
                <w:sz w:val="20"/>
                <w:szCs w:val="20"/>
              </w:rPr>
            </w:pPr>
            <w:r w:rsidRPr="002E48EF">
              <w:rPr>
                <w:rStyle w:val="Bodytext2Italic"/>
                <w:sz w:val="20"/>
                <w:szCs w:val="20"/>
              </w:rPr>
              <w:t>u</w:t>
            </w:r>
            <w:r w:rsidRPr="002E48EF">
              <w:rPr>
                <w:rStyle w:val="Bodytext2Italic"/>
                <w:sz w:val="20"/>
                <w:szCs w:val="20"/>
                <w:vertAlign w:val="subscript"/>
              </w:rPr>
              <w:t>2</w:t>
            </w:r>
          </w:p>
        </w:tc>
      </w:tr>
      <w:tr w:rsidR="002E48EF" w:rsidRPr="002E48EF" w14:paraId="5579BA25" w14:textId="77777777" w:rsidTr="00F3715C">
        <w:tc>
          <w:tcPr>
            <w:tcW w:w="3341" w:type="dxa"/>
            <w:tcBorders>
              <w:bottom w:val="single" w:sz="4" w:space="0" w:color="auto"/>
            </w:tcBorders>
            <w:shd w:val="clear" w:color="auto" w:fill="FFFFFF"/>
          </w:tcPr>
          <w:p w14:paraId="0863D072" w14:textId="77777777" w:rsidR="002E48EF" w:rsidRPr="002E48EF" w:rsidRDefault="002E48EF" w:rsidP="00696072">
            <w:pPr>
              <w:pStyle w:val="Bodytext20"/>
              <w:shd w:val="clear" w:color="auto" w:fill="auto"/>
              <w:spacing w:before="0" w:line="240" w:lineRule="auto"/>
              <w:ind w:hanging="11"/>
              <w:jc w:val="left"/>
              <w:rPr>
                <w:rFonts w:ascii="Sylfaen" w:hAnsi="Sylfaen" w:cs="Sylfaen"/>
                <w:sz w:val="20"/>
                <w:szCs w:val="20"/>
              </w:rPr>
            </w:pPr>
            <w:r w:rsidRPr="002E48EF">
              <w:rPr>
                <w:rStyle w:val="Bodytext2Italic"/>
                <w:sz w:val="20"/>
                <w:szCs w:val="20"/>
              </w:rPr>
              <w:t>II ԿԻՐԱՌՈՒՄ (II օր)</w:t>
            </w:r>
          </w:p>
        </w:tc>
        <w:tc>
          <w:tcPr>
            <w:tcW w:w="1560" w:type="dxa"/>
            <w:tcBorders>
              <w:bottom w:val="single" w:sz="4" w:space="0" w:color="auto"/>
            </w:tcBorders>
            <w:shd w:val="clear" w:color="auto" w:fill="FFFFFF"/>
          </w:tcPr>
          <w:p w14:paraId="78406686"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2</w:t>
            </w:r>
          </w:p>
        </w:tc>
        <w:tc>
          <w:tcPr>
            <w:tcW w:w="1685" w:type="dxa"/>
            <w:tcBorders>
              <w:bottom w:val="single" w:sz="4" w:space="0" w:color="auto"/>
            </w:tcBorders>
            <w:shd w:val="clear" w:color="auto" w:fill="FFFFFF"/>
          </w:tcPr>
          <w:p w14:paraId="59AA1CF6"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1</w:t>
            </w:r>
          </w:p>
        </w:tc>
        <w:tc>
          <w:tcPr>
            <w:tcW w:w="1675" w:type="dxa"/>
            <w:tcBorders>
              <w:bottom w:val="single" w:sz="4" w:space="0" w:color="auto"/>
            </w:tcBorders>
            <w:shd w:val="clear" w:color="auto" w:fill="FFFFFF"/>
          </w:tcPr>
          <w:p w14:paraId="6E25F3FD" w14:textId="77777777" w:rsidR="002E48EF" w:rsidRPr="002E48EF" w:rsidRDefault="002E48EF" w:rsidP="00696072">
            <w:pPr>
              <w:pStyle w:val="Bodytext20"/>
              <w:shd w:val="clear" w:color="auto" w:fill="auto"/>
              <w:spacing w:before="0" w:line="240" w:lineRule="auto"/>
              <w:ind w:hanging="11"/>
              <w:rPr>
                <w:rFonts w:ascii="Sylfaen" w:hAnsi="Sylfaen" w:cs="Sylfaen"/>
                <w:sz w:val="20"/>
                <w:szCs w:val="20"/>
              </w:rPr>
            </w:pPr>
            <w:r w:rsidRPr="002E48EF">
              <w:rPr>
                <w:rStyle w:val="Bodytext31Sylfaen9"/>
                <w:sz w:val="20"/>
                <w:szCs w:val="20"/>
              </w:rPr>
              <w:t>s</w:t>
            </w:r>
            <w:r w:rsidRPr="002E48EF">
              <w:rPr>
                <w:rStyle w:val="Bodytext31Sylfaen9"/>
                <w:sz w:val="20"/>
                <w:szCs w:val="20"/>
                <w:vertAlign w:val="subscript"/>
              </w:rPr>
              <w:t>2</w:t>
            </w:r>
          </w:p>
        </w:tc>
        <w:tc>
          <w:tcPr>
            <w:tcW w:w="1724" w:type="dxa"/>
            <w:tcBorders>
              <w:bottom w:val="single" w:sz="4" w:space="0" w:color="auto"/>
            </w:tcBorders>
            <w:shd w:val="clear" w:color="auto" w:fill="FFFFFF"/>
          </w:tcPr>
          <w:p w14:paraId="410E1CF5" w14:textId="77777777" w:rsidR="002E48EF" w:rsidRPr="002E48EF" w:rsidRDefault="002E48EF" w:rsidP="00696072">
            <w:pPr>
              <w:spacing w:after="120"/>
              <w:ind w:hanging="11"/>
              <w:jc w:val="center"/>
              <w:rPr>
                <w:sz w:val="20"/>
                <w:szCs w:val="20"/>
              </w:rPr>
            </w:pPr>
            <w:r w:rsidRPr="002E48EF">
              <w:rPr>
                <w:rStyle w:val="Bodytext31Sylfaen9"/>
                <w:sz w:val="20"/>
                <w:szCs w:val="20"/>
              </w:rPr>
              <w:t>s</w:t>
            </w:r>
            <w:r w:rsidRPr="002E48EF">
              <w:rPr>
                <w:rStyle w:val="Bodytext31Sylfaen9"/>
                <w:sz w:val="20"/>
                <w:szCs w:val="20"/>
                <w:vertAlign w:val="subscript"/>
              </w:rPr>
              <w:t>1</w:t>
            </w:r>
          </w:p>
        </w:tc>
      </w:tr>
    </w:tbl>
    <w:p w14:paraId="39E700CC" w14:textId="77777777" w:rsidR="00B834A2" w:rsidRDefault="00B834A2" w:rsidP="009A3F5E">
      <w:pPr>
        <w:spacing w:after="160" w:line="360" w:lineRule="auto"/>
        <w:ind w:firstLine="567"/>
        <w:jc w:val="both"/>
      </w:pPr>
    </w:p>
    <w:p w14:paraId="6E166667" w14:textId="77777777" w:rsidR="002E48EF" w:rsidRPr="002E48EF" w:rsidRDefault="002E48EF" w:rsidP="009A3F5E">
      <w:pPr>
        <w:spacing w:after="160" w:line="360" w:lineRule="auto"/>
        <w:ind w:firstLine="567"/>
        <w:jc w:val="both"/>
        <w:rPr>
          <w:i/>
        </w:rPr>
      </w:pPr>
      <w:r w:rsidRPr="002E48EF">
        <w:rPr>
          <w:rStyle w:val="Bodytext31Sylfaen9"/>
          <w:i w:val="0"/>
          <w:sz w:val="24"/>
          <w:szCs w:val="24"/>
        </w:rPr>
        <w:t>Աղյուսակ 3.2.6-20.</w:t>
      </w:r>
      <w:r w:rsidRPr="00B834A2">
        <w:rPr>
          <w:rStyle w:val="Bodytext31Sylfaen9"/>
          <w:sz w:val="24"/>
          <w:szCs w:val="24"/>
        </w:rPr>
        <w:t xml:space="preserve"> </w:t>
      </w:r>
      <w:r w:rsidRPr="002E48EF">
        <w:rPr>
          <w:i/>
        </w:rPr>
        <w:t>Կրկնակի խաչաձեւման սխեմայով ինսուլինի ներարկման նկատմամբ մկների արձագանքները (ներմուծումից 40 րոպե հետո կենդանիների արյան մեջ գլյուկոզի կոնցենտրացիան (մգ%))</w:t>
      </w:r>
    </w:p>
    <w:tbl>
      <w:tblPr>
        <w:tblOverlap w:val="never"/>
        <w:tblW w:w="9677" w:type="dxa"/>
        <w:jc w:val="center"/>
        <w:tblLayout w:type="fixed"/>
        <w:tblCellMar>
          <w:left w:w="10" w:type="dxa"/>
          <w:right w:w="10" w:type="dxa"/>
        </w:tblCellMar>
        <w:tblLook w:val="0000" w:firstRow="0" w:lastRow="0" w:firstColumn="0" w:lastColumn="0" w:noHBand="0" w:noVBand="0"/>
      </w:tblPr>
      <w:tblGrid>
        <w:gridCol w:w="816"/>
        <w:gridCol w:w="754"/>
        <w:gridCol w:w="992"/>
        <w:gridCol w:w="709"/>
        <w:gridCol w:w="708"/>
        <w:gridCol w:w="851"/>
        <w:gridCol w:w="700"/>
        <w:gridCol w:w="696"/>
        <w:gridCol w:w="1014"/>
        <w:gridCol w:w="608"/>
        <w:gridCol w:w="667"/>
        <w:gridCol w:w="1162"/>
      </w:tblGrid>
      <w:tr w:rsidR="00B834A2" w:rsidRPr="002E48EF" w14:paraId="52456BC8" w14:textId="77777777" w:rsidTr="00184198">
        <w:trPr>
          <w:tblHeader/>
          <w:jc w:val="center"/>
        </w:trPr>
        <w:tc>
          <w:tcPr>
            <w:tcW w:w="2562" w:type="dxa"/>
            <w:gridSpan w:val="3"/>
            <w:tcBorders>
              <w:top w:val="single" w:sz="4" w:space="0" w:color="auto"/>
            </w:tcBorders>
            <w:shd w:val="clear" w:color="auto" w:fill="FFFFFF"/>
          </w:tcPr>
          <w:p w14:paraId="6C636484" w14:textId="77777777" w:rsidR="00B834A2" w:rsidRPr="002E48EF" w:rsidRDefault="00B834A2" w:rsidP="002E48EF">
            <w:pPr>
              <w:spacing w:after="120"/>
              <w:ind w:firstLine="27"/>
              <w:jc w:val="center"/>
              <w:rPr>
                <w:sz w:val="20"/>
                <w:szCs w:val="20"/>
              </w:rPr>
            </w:pPr>
            <w:r w:rsidRPr="002E48EF">
              <w:rPr>
                <w:rStyle w:val="Bodytext31Sylfaen9"/>
                <w:sz w:val="20"/>
                <w:szCs w:val="20"/>
              </w:rPr>
              <w:t>1-ին խումբ</w:t>
            </w:r>
          </w:p>
        </w:tc>
        <w:tc>
          <w:tcPr>
            <w:tcW w:w="2268" w:type="dxa"/>
            <w:gridSpan w:val="3"/>
            <w:tcBorders>
              <w:top w:val="single" w:sz="4" w:space="0" w:color="auto"/>
            </w:tcBorders>
            <w:shd w:val="clear" w:color="auto" w:fill="FFFFFF"/>
          </w:tcPr>
          <w:p w14:paraId="3C1419C2" w14:textId="77777777" w:rsidR="00B834A2" w:rsidRPr="002E48EF" w:rsidRDefault="00B834A2" w:rsidP="002E48EF">
            <w:pPr>
              <w:spacing w:after="120"/>
              <w:ind w:firstLine="27"/>
              <w:jc w:val="center"/>
              <w:rPr>
                <w:sz w:val="20"/>
                <w:szCs w:val="20"/>
              </w:rPr>
            </w:pPr>
            <w:r w:rsidRPr="002E48EF">
              <w:rPr>
                <w:rStyle w:val="Bodytext31Sylfaen9"/>
                <w:sz w:val="20"/>
                <w:szCs w:val="20"/>
              </w:rPr>
              <w:t>2-րդ խումբ</w:t>
            </w:r>
          </w:p>
        </w:tc>
        <w:tc>
          <w:tcPr>
            <w:tcW w:w="2410" w:type="dxa"/>
            <w:gridSpan w:val="3"/>
            <w:tcBorders>
              <w:top w:val="single" w:sz="4" w:space="0" w:color="auto"/>
            </w:tcBorders>
            <w:shd w:val="clear" w:color="auto" w:fill="FFFFFF"/>
          </w:tcPr>
          <w:p w14:paraId="6A2D006A" w14:textId="77777777" w:rsidR="00B834A2" w:rsidRPr="002E48EF" w:rsidRDefault="00B834A2" w:rsidP="002E48EF">
            <w:pPr>
              <w:spacing w:after="120"/>
              <w:ind w:firstLine="27"/>
              <w:jc w:val="center"/>
              <w:rPr>
                <w:sz w:val="20"/>
                <w:szCs w:val="20"/>
              </w:rPr>
            </w:pPr>
            <w:r w:rsidRPr="002E48EF">
              <w:rPr>
                <w:rStyle w:val="Bodytext31Sylfaen9"/>
                <w:sz w:val="20"/>
                <w:szCs w:val="20"/>
              </w:rPr>
              <w:t>3-րդ խումբ</w:t>
            </w:r>
          </w:p>
        </w:tc>
        <w:tc>
          <w:tcPr>
            <w:tcW w:w="2437" w:type="dxa"/>
            <w:gridSpan w:val="3"/>
            <w:tcBorders>
              <w:top w:val="single" w:sz="4" w:space="0" w:color="auto"/>
            </w:tcBorders>
            <w:shd w:val="clear" w:color="auto" w:fill="FFFFFF"/>
          </w:tcPr>
          <w:p w14:paraId="5B75D3A6" w14:textId="77777777" w:rsidR="00B834A2" w:rsidRPr="002E48EF" w:rsidRDefault="00B834A2" w:rsidP="002E48EF">
            <w:pPr>
              <w:spacing w:after="120"/>
              <w:ind w:firstLine="27"/>
              <w:jc w:val="center"/>
              <w:rPr>
                <w:sz w:val="20"/>
                <w:szCs w:val="20"/>
              </w:rPr>
            </w:pPr>
            <w:r w:rsidRPr="002E48EF">
              <w:rPr>
                <w:rStyle w:val="Bodytext31Sylfaen9"/>
                <w:sz w:val="20"/>
                <w:szCs w:val="20"/>
              </w:rPr>
              <w:t>4-րդ խումբ</w:t>
            </w:r>
          </w:p>
        </w:tc>
      </w:tr>
      <w:tr w:rsidR="00B834A2" w:rsidRPr="002E48EF" w14:paraId="34EF2740" w14:textId="77777777" w:rsidTr="00184198">
        <w:trPr>
          <w:tblHeader/>
          <w:jc w:val="center"/>
        </w:trPr>
        <w:tc>
          <w:tcPr>
            <w:tcW w:w="1570" w:type="dxa"/>
            <w:gridSpan w:val="2"/>
            <w:tcBorders>
              <w:top w:val="single" w:sz="4" w:space="0" w:color="auto"/>
            </w:tcBorders>
            <w:shd w:val="clear" w:color="auto" w:fill="FFFFFF"/>
            <w:vAlign w:val="center"/>
          </w:tcPr>
          <w:p w14:paraId="4C44C7C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y</w:t>
            </w:r>
          </w:p>
        </w:tc>
        <w:tc>
          <w:tcPr>
            <w:tcW w:w="992" w:type="dxa"/>
            <w:vMerge w:val="restart"/>
            <w:tcBorders>
              <w:top w:val="single" w:sz="4" w:space="0" w:color="auto"/>
            </w:tcBorders>
            <w:shd w:val="clear" w:color="auto" w:fill="FFFFFF"/>
            <w:vAlign w:val="center"/>
          </w:tcPr>
          <w:p w14:paraId="05AFE06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Fonts w:ascii="Sylfaen" w:hAnsi="Sylfaen"/>
                <w:sz w:val="20"/>
                <w:szCs w:val="20"/>
              </w:rPr>
              <w:t>Գումարը՝ 2 օրվա համար (Գ)</w:t>
            </w:r>
          </w:p>
        </w:tc>
        <w:tc>
          <w:tcPr>
            <w:tcW w:w="1417" w:type="dxa"/>
            <w:gridSpan w:val="2"/>
            <w:tcBorders>
              <w:top w:val="single" w:sz="4" w:space="0" w:color="auto"/>
            </w:tcBorders>
            <w:shd w:val="clear" w:color="auto" w:fill="FFFFFF"/>
            <w:vAlign w:val="center"/>
          </w:tcPr>
          <w:p w14:paraId="4740861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y</w:t>
            </w:r>
          </w:p>
        </w:tc>
        <w:tc>
          <w:tcPr>
            <w:tcW w:w="851" w:type="dxa"/>
            <w:vMerge w:val="restart"/>
            <w:tcBorders>
              <w:top w:val="single" w:sz="4" w:space="0" w:color="auto"/>
            </w:tcBorders>
            <w:shd w:val="clear" w:color="auto" w:fill="FFFFFF"/>
          </w:tcPr>
          <w:p w14:paraId="1165F74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Fonts w:ascii="Sylfaen" w:hAnsi="Sylfaen"/>
                <w:sz w:val="20"/>
                <w:szCs w:val="20"/>
              </w:rPr>
              <w:t>Գումարը՝ 2 օրվա համար (Գ)</w:t>
            </w:r>
          </w:p>
        </w:tc>
        <w:tc>
          <w:tcPr>
            <w:tcW w:w="1396" w:type="dxa"/>
            <w:gridSpan w:val="2"/>
            <w:tcBorders>
              <w:top w:val="single" w:sz="4" w:space="0" w:color="auto"/>
            </w:tcBorders>
            <w:shd w:val="clear" w:color="auto" w:fill="FFFFFF"/>
            <w:vAlign w:val="center"/>
          </w:tcPr>
          <w:p w14:paraId="0FCD2CFA" w14:textId="77777777" w:rsidR="00B834A2" w:rsidRPr="002E48EF" w:rsidRDefault="00B834A2" w:rsidP="002E48EF">
            <w:pPr>
              <w:spacing w:after="120"/>
              <w:ind w:firstLine="27"/>
              <w:jc w:val="center"/>
              <w:rPr>
                <w:sz w:val="20"/>
                <w:szCs w:val="20"/>
              </w:rPr>
            </w:pPr>
            <w:r w:rsidRPr="002E48EF">
              <w:rPr>
                <w:rStyle w:val="Bodytext31Sylfaen9"/>
                <w:sz w:val="20"/>
                <w:szCs w:val="20"/>
              </w:rPr>
              <w:t>y</w:t>
            </w:r>
          </w:p>
        </w:tc>
        <w:tc>
          <w:tcPr>
            <w:tcW w:w="1014" w:type="dxa"/>
            <w:vMerge w:val="restart"/>
            <w:tcBorders>
              <w:top w:val="single" w:sz="4" w:space="0" w:color="auto"/>
            </w:tcBorders>
            <w:shd w:val="clear" w:color="auto" w:fill="FFFFFF"/>
          </w:tcPr>
          <w:p w14:paraId="4D432AC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Fonts w:ascii="Sylfaen" w:hAnsi="Sylfaen"/>
                <w:sz w:val="20"/>
                <w:szCs w:val="20"/>
              </w:rPr>
              <w:t>Գումարը՝ 2 օրվա համար (Գ)</w:t>
            </w:r>
          </w:p>
        </w:tc>
        <w:tc>
          <w:tcPr>
            <w:tcW w:w="1275" w:type="dxa"/>
            <w:gridSpan w:val="2"/>
            <w:tcBorders>
              <w:top w:val="single" w:sz="4" w:space="0" w:color="auto"/>
            </w:tcBorders>
            <w:shd w:val="clear" w:color="auto" w:fill="FFFFFF"/>
            <w:vAlign w:val="center"/>
          </w:tcPr>
          <w:p w14:paraId="24CD7B86" w14:textId="77777777" w:rsidR="00B834A2" w:rsidRPr="002E48EF" w:rsidRDefault="00B834A2" w:rsidP="002E48EF">
            <w:pPr>
              <w:pStyle w:val="Bodytext20"/>
              <w:shd w:val="clear" w:color="auto" w:fill="auto"/>
              <w:spacing w:before="0" w:line="240" w:lineRule="auto"/>
              <w:ind w:firstLine="27"/>
              <w:rPr>
                <w:rFonts w:ascii="Sylfaen" w:hAnsi="Sylfaen" w:cs="Sylfaen"/>
                <w:i/>
                <w:sz w:val="20"/>
                <w:szCs w:val="20"/>
              </w:rPr>
            </w:pPr>
            <w:r w:rsidRPr="002E48EF">
              <w:rPr>
                <w:rStyle w:val="Bodytext31Sylfaen9"/>
                <w:sz w:val="20"/>
                <w:szCs w:val="20"/>
              </w:rPr>
              <w:t>y</w:t>
            </w:r>
          </w:p>
        </w:tc>
        <w:tc>
          <w:tcPr>
            <w:tcW w:w="1162" w:type="dxa"/>
            <w:vMerge w:val="restart"/>
            <w:tcBorders>
              <w:top w:val="single" w:sz="4" w:space="0" w:color="auto"/>
            </w:tcBorders>
            <w:shd w:val="clear" w:color="auto" w:fill="FFFFFF"/>
          </w:tcPr>
          <w:p w14:paraId="7A088BF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Գումարը՝ 2 օրվա համար (Գ)</w:t>
            </w:r>
          </w:p>
        </w:tc>
      </w:tr>
      <w:tr w:rsidR="00B834A2" w:rsidRPr="002E48EF" w14:paraId="147132E8" w14:textId="77777777" w:rsidTr="00184198">
        <w:trPr>
          <w:tblHeader/>
          <w:jc w:val="center"/>
        </w:trPr>
        <w:tc>
          <w:tcPr>
            <w:tcW w:w="816" w:type="dxa"/>
            <w:tcBorders>
              <w:top w:val="single" w:sz="4" w:space="0" w:color="auto"/>
            </w:tcBorders>
            <w:shd w:val="clear" w:color="auto" w:fill="FFFFFF"/>
          </w:tcPr>
          <w:p w14:paraId="55C1A0E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s</w:t>
            </w:r>
            <w:r w:rsidRPr="002E48EF">
              <w:rPr>
                <w:rStyle w:val="Bodytext31Sylfaen9"/>
                <w:sz w:val="20"/>
                <w:szCs w:val="20"/>
                <w:vertAlign w:val="subscript"/>
              </w:rPr>
              <w:t>1</w:t>
            </w:r>
          </w:p>
        </w:tc>
        <w:tc>
          <w:tcPr>
            <w:tcW w:w="754" w:type="dxa"/>
            <w:tcBorders>
              <w:top w:val="single" w:sz="4" w:space="0" w:color="auto"/>
            </w:tcBorders>
            <w:shd w:val="clear" w:color="auto" w:fill="FFFFFF"/>
          </w:tcPr>
          <w:p w14:paraId="0045E7C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2</w:t>
            </w:r>
          </w:p>
        </w:tc>
        <w:tc>
          <w:tcPr>
            <w:tcW w:w="992" w:type="dxa"/>
            <w:vMerge/>
            <w:tcBorders>
              <w:bottom w:val="single" w:sz="4" w:space="0" w:color="auto"/>
            </w:tcBorders>
            <w:shd w:val="clear" w:color="auto" w:fill="FFFFFF"/>
          </w:tcPr>
          <w:p w14:paraId="14D88EF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p>
        </w:tc>
        <w:tc>
          <w:tcPr>
            <w:tcW w:w="709" w:type="dxa"/>
            <w:tcBorders>
              <w:top w:val="single" w:sz="4" w:space="0" w:color="auto"/>
            </w:tcBorders>
            <w:shd w:val="clear" w:color="auto" w:fill="FFFFFF"/>
          </w:tcPr>
          <w:p w14:paraId="52F04D0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2Italic"/>
                <w:sz w:val="20"/>
                <w:szCs w:val="20"/>
              </w:rPr>
              <w:t>s</w:t>
            </w:r>
            <w:r w:rsidRPr="002E48EF">
              <w:rPr>
                <w:rStyle w:val="Bodytext2Italic"/>
                <w:sz w:val="20"/>
                <w:szCs w:val="20"/>
                <w:vertAlign w:val="subscript"/>
              </w:rPr>
              <w:t>2</w:t>
            </w:r>
          </w:p>
        </w:tc>
        <w:tc>
          <w:tcPr>
            <w:tcW w:w="708" w:type="dxa"/>
            <w:tcBorders>
              <w:top w:val="single" w:sz="4" w:space="0" w:color="auto"/>
            </w:tcBorders>
            <w:shd w:val="clear" w:color="auto" w:fill="FFFFFF"/>
          </w:tcPr>
          <w:p w14:paraId="67C7E475" w14:textId="77777777" w:rsidR="00B834A2" w:rsidRPr="002E48EF" w:rsidRDefault="00B834A2" w:rsidP="002E48EF">
            <w:pPr>
              <w:spacing w:after="120"/>
              <w:ind w:firstLine="27"/>
              <w:jc w:val="center"/>
              <w:rPr>
                <w:sz w:val="20"/>
                <w:szCs w:val="20"/>
              </w:rPr>
            </w:pPr>
            <w:r w:rsidRPr="002E48EF">
              <w:rPr>
                <w:rStyle w:val="Bodytext2Italic"/>
                <w:rFonts w:eastAsia="Tahoma"/>
                <w:sz w:val="20"/>
                <w:szCs w:val="20"/>
              </w:rPr>
              <w:t>u</w:t>
            </w:r>
            <w:r w:rsidRPr="002E48EF">
              <w:rPr>
                <w:rStyle w:val="Bodytext2Italic"/>
                <w:rFonts w:eastAsia="Tahoma"/>
                <w:sz w:val="20"/>
                <w:szCs w:val="20"/>
                <w:vertAlign w:val="subscript"/>
              </w:rPr>
              <w:t>1</w:t>
            </w:r>
          </w:p>
        </w:tc>
        <w:tc>
          <w:tcPr>
            <w:tcW w:w="851" w:type="dxa"/>
            <w:vMerge/>
            <w:shd w:val="clear" w:color="auto" w:fill="FFFFFF"/>
          </w:tcPr>
          <w:p w14:paraId="7A944387" w14:textId="77777777" w:rsidR="00B834A2" w:rsidRPr="002E48EF" w:rsidRDefault="00B834A2" w:rsidP="002E48EF">
            <w:pPr>
              <w:pStyle w:val="Bodytext20"/>
              <w:spacing w:before="0" w:line="240" w:lineRule="auto"/>
              <w:ind w:firstLine="27"/>
              <w:rPr>
                <w:rFonts w:ascii="Sylfaen" w:hAnsi="Sylfaen" w:cs="Sylfaen"/>
                <w:sz w:val="20"/>
                <w:szCs w:val="20"/>
              </w:rPr>
            </w:pPr>
          </w:p>
        </w:tc>
        <w:tc>
          <w:tcPr>
            <w:tcW w:w="700" w:type="dxa"/>
            <w:tcBorders>
              <w:top w:val="single" w:sz="4" w:space="0" w:color="auto"/>
            </w:tcBorders>
            <w:shd w:val="clear" w:color="auto" w:fill="FFFFFF"/>
          </w:tcPr>
          <w:p w14:paraId="24EF88E2" w14:textId="77777777" w:rsidR="00B834A2" w:rsidRPr="002E48EF" w:rsidRDefault="00B834A2" w:rsidP="002E48EF">
            <w:pPr>
              <w:spacing w:after="120"/>
              <w:ind w:firstLine="27"/>
              <w:jc w:val="center"/>
              <w:rPr>
                <w:sz w:val="20"/>
                <w:szCs w:val="20"/>
              </w:rPr>
            </w:pPr>
            <w:r w:rsidRPr="002E48EF">
              <w:rPr>
                <w:rStyle w:val="Bodytext2Italic"/>
                <w:rFonts w:eastAsia="Tahoma"/>
                <w:sz w:val="20"/>
                <w:szCs w:val="20"/>
              </w:rPr>
              <w:t>u</w:t>
            </w:r>
            <w:r w:rsidRPr="002E48EF">
              <w:rPr>
                <w:rStyle w:val="Bodytext2Italic"/>
                <w:rFonts w:eastAsia="Tahoma"/>
                <w:sz w:val="20"/>
                <w:szCs w:val="20"/>
                <w:vertAlign w:val="subscript"/>
              </w:rPr>
              <w:t>1</w:t>
            </w:r>
          </w:p>
        </w:tc>
        <w:tc>
          <w:tcPr>
            <w:tcW w:w="696" w:type="dxa"/>
            <w:tcBorders>
              <w:top w:val="single" w:sz="4" w:space="0" w:color="auto"/>
            </w:tcBorders>
            <w:shd w:val="clear" w:color="auto" w:fill="FFFFFF"/>
          </w:tcPr>
          <w:p w14:paraId="1462FCE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2Italic"/>
                <w:sz w:val="20"/>
                <w:szCs w:val="20"/>
              </w:rPr>
              <w:t>s</w:t>
            </w:r>
            <w:r w:rsidRPr="002E48EF">
              <w:rPr>
                <w:rStyle w:val="Bodytext2Italic"/>
                <w:sz w:val="20"/>
                <w:szCs w:val="20"/>
                <w:vertAlign w:val="subscript"/>
              </w:rPr>
              <w:t>2</w:t>
            </w:r>
          </w:p>
        </w:tc>
        <w:tc>
          <w:tcPr>
            <w:tcW w:w="1014" w:type="dxa"/>
            <w:vMerge/>
            <w:shd w:val="clear" w:color="auto" w:fill="FFFFFF"/>
          </w:tcPr>
          <w:p w14:paraId="348BEEC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p>
        </w:tc>
        <w:tc>
          <w:tcPr>
            <w:tcW w:w="608" w:type="dxa"/>
            <w:tcBorders>
              <w:top w:val="single" w:sz="4" w:space="0" w:color="auto"/>
            </w:tcBorders>
            <w:shd w:val="clear" w:color="auto" w:fill="FFFFFF"/>
          </w:tcPr>
          <w:p w14:paraId="7752F943"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2</w:t>
            </w:r>
          </w:p>
        </w:tc>
        <w:tc>
          <w:tcPr>
            <w:tcW w:w="667" w:type="dxa"/>
            <w:tcBorders>
              <w:top w:val="single" w:sz="4" w:space="0" w:color="auto"/>
            </w:tcBorders>
            <w:shd w:val="clear" w:color="auto" w:fill="FFFFFF"/>
          </w:tcPr>
          <w:p w14:paraId="4531846A" w14:textId="77777777" w:rsidR="00B834A2" w:rsidRPr="002E48EF" w:rsidRDefault="00B834A2" w:rsidP="002E48EF">
            <w:pPr>
              <w:spacing w:after="120"/>
              <w:ind w:firstLine="27"/>
              <w:jc w:val="center"/>
              <w:rPr>
                <w:sz w:val="20"/>
                <w:szCs w:val="20"/>
              </w:rPr>
            </w:pPr>
            <w:r w:rsidRPr="002E48EF">
              <w:rPr>
                <w:sz w:val="20"/>
                <w:szCs w:val="20"/>
              </w:rPr>
              <w:t>s</w:t>
            </w:r>
            <w:r w:rsidRPr="002E48EF">
              <w:rPr>
                <w:sz w:val="20"/>
                <w:szCs w:val="20"/>
                <w:vertAlign w:val="subscript"/>
              </w:rPr>
              <w:t>1</w:t>
            </w:r>
          </w:p>
        </w:tc>
        <w:tc>
          <w:tcPr>
            <w:tcW w:w="1162" w:type="dxa"/>
            <w:vMerge/>
            <w:shd w:val="clear" w:color="auto" w:fill="FFFFFF"/>
          </w:tcPr>
          <w:p w14:paraId="17B1A0C4" w14:textId="77777777" w:rsidR="00B834A2" w:rsidRPr="002E48EF" w:rsidRDefault="00B834A2" w:rsidP="002E48EF">
            <w:pPr>
              <w:spacing w:after="120"/>
              <w:ind w:firstLine="27"/>
              <w:jc w:val="center"/>
              <w:rPr>
                <w:sz w:val="20"/>
                <w:szCs w:val="20"/>
              </w:rPr>
            </w:pPr>
          </w:p>
        </w:tc>
      </w:tr>
      <w:tr w:rsidR="00B834A2" w:rsidRPr="002E48EF" w14:paraId="5EDAD35D" w14:textId="77777777" w:rsidTr="00184198">
        <w:trPr>
          <w:jc w:val="center"/>
        </w:trPr>
        <w:tc>
          <w:tcPr>
            <w:tcW w:w="816" w:type="dxa"/>
            <w:tcBorders>
              <w:top w:val="single" w:sz="4" w:space="0" w:color="auto"/>
            </w:tcBorders>
            <w:shd w:val="clear" w:color="auto" w:fill="FFFFFF"/>
          </w:tcPr>
          <w:p w14:paraId="55BAAE7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125</w:t>
            </w:r>
          </w:p>
        </w:tc>
        <w:tc>
          <w:tcPr>
            <w:tcW w:w="754" w:type="dxa"/>
            <w:tcBorders>
              <w:top w:val="single" w:sz="4" w:space="0" w:color="auto"/>
            </w:tcBorders>
            <w:shd w:val="clear" w:color="auto" w:fill="FFFFFF"/>
          </w:tcPr>
          <w:p w14:paraId="75C50B2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84</w:t>
            </w:r>
          </w:p>
        </w:tc>
        <w:tc>
          <w:tcPr>
            <w:tcW w:w="992" w:type="dxa"/>
            <w:tcBorders>
              <w:top w:val="single" w:sz="4" w:space="0" w:color="auto"/>
            </w:tcBorders>
            <w:shd w:val="clear" w:color="auto" w:fill="FFFFFF"/>
          </w:tcPr>
          <w:p w14:paraId="234A199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209</w:t>
            </w:r>
          </w:p>
        </w:tc>
        <w:tc>
          <w:tcPr>
            <w:tcW w:w="709" w:type="dxa"/>
            <w:tcBorders>
              <w:top w:val="single" w:sz="4" w:space="0" w:color="auto"/>
            </w:tcBorders>
            <w:shd w:val="clear" w:color="auto" w:fill="FFFFFF"/>
          </w:tcPr>
          <w:p w14:paraId="6CC536E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81</w:t>
            </w:r>
          </w:p>
        </w:tc>
        <w:tc>
          <w:tcPr>
            <w:tcW w:w="708" w:type="dxa"/>
            <w:tcBorders>
              <w:top w:val="single" w:sz="4" w:space="0" w:color="auto"/>
            </w:tcBorders>
            <w:shd w:val="clear" w:color="auto" w:fill="FFFFFF"/>
          </w:tcPr>
          <w:p w14:paraId="64D950A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78</w:t>
            </w:r>
          </w:p>
        </w:tc>
        <w:tc>
          <w:tcPr>
            <w:tcW w:w="851" w:type="dxa"/>
            <w:tcBorders>
              <w:top w:val="single" w:sz="4" w:space="0" w:color="auto"/>
            </w:tcBorders>
            <w:shd w:val="clear" w:color="auto" w:fill="FFFFFF"/>
          </w:tcPr>
          <w:p w14:paraId="7FF905B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159</w:t>
            </w:r>
          </w:p>
        </w:tc>
        <w:tc>
          <w:tcPr>
            <w:tcW w:w="700" w:type="dxa"/>
            <w:tcBorders>
              <w:top w:val="single" w:sz="4" w:space="0" w:color="auto"/>
            </w:tcBorders>
            <w:shd w:val="clear" w:color="auto" w:fill="FFFFFF"/>
          </w:tcPr>
          <w:p w14:paraId="0F5E1E6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120</w:t>
            </w:r>
          </w:p>
        </w:tc>
        <w:tc>
          <w:tcPr>
            <w:tcW w:w="696" w:type="dxa"/>
            <w:tcBorders>
              <w:top w:val="single" w:sz="4" w:space="0" w:color="auto"/>
            </w:tcBorders>
            <w:shd w:val="clear" w:color="auto" w:fill="FFFFFF"/>
          </w:tcPr>
          <w:p w14:paraId="28C0D08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82</w:t>
            </w:r>
          </w:p>
        </w:tc>
        <w:tc>
          <w:tcPr>
            <w:tcW w:w="1014" w:type="dxa"/>
            <w:tcBorders>
              <w:top w:val="single" w:sz="4" w:space="0" w:color="auto"/>
            </w:tcBorders>
            <w:shd w:val="clear" w:color="auto" w:fill="FFFFFF"/>
          </w:tcPr>
          <w:p w14:paraId="080D6C1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202</w:t>
            </w:r>
          </w:p>
        </w:tc>
        <w:tc>
          <w:tcPr>
            <w:tcW w:w="608" w:type="dxa"/>
            <w:tcBorders>
              <w:top w:val="single" w:sz="4" w:space="0" w:color="auto"/>
            </w:tcBorders>
            <w:shd w:val="clear" w:color="auto" w:fill="FFFFFF"/>
          </w:tcPr>
          <w:p w14:paraId="05F98BE6"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89</w:t>
            </w:r>
          </w:p>
        </w:tc>
        <w:tc>
          <w:tcPr>
            <w:tcW w:w="667" w:type="dxa"/>
            <w:tcBorders>
              <w:top w:val="single" w:sz="4" w:space="0" w:color="auto"/>
            </w:tcBorders>
            <w:shd w:val="clear" w:color="auto" w:fill="FFFFFF"/>
          </w:tcPr>
          <w:p w14:paraId="5178B79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84</w:t>
            </w:r>
          </w:p>
        </w:tc>
        <w:tc>
          <w:tcPr>
            <w:tcW w:w="1162" w:type="dxa"/>
            <w:tcBorders>
              <w:top w:val="single" w:sz="4" w:space="0" w:color="auto"/>
            </w:tcBorders>
            <w:shd w:val="clear" w:color="auto" w:fill="FFFFFF"/>
          </w:tcPr>
          <w:p w14:paraId="1F280F2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173</w:t>
            </w:r>
          </w:p>
        </w:tc>
      </w:tr>
      <w:tr w:rsidR="00B834A2" w:rsidRPr="002E48EF" w14:paraId="0A389014" w14:textId="77777777" w:rsidTr="00184198">
        <w:trPr>
          <w:jc w:val="center"/>
        </w:trPr>
        <w:tc>
          <w:tcPr>
            <w:tcW w:w="816" w:type="dxa"/>
            <w:shd w:val="clear" w:color="auto" w:fill="FFFFFF"/>
          </w:tcPr>
          <w:p w14:paraId="0BEB827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76</w:t>
            </w:r>
          </w:p>
        </w:tc>
        <w:tc>
          <w:tcPr>
            <w:tcW w:w="754" w:type="dxa"/>
            <w:shd w:val="clear" w:color="auto" w:fill="FFFFFF"/>
          </w:tcPr>
          <w:p w14:paraId="64F89D0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61</w:t>
            </w:r>
          </w:p>
        </w:tc>
        <w:tc>
          <w:tcPr>
            <w:tcW w:w="992" w:type="dxa"/>
            <w:shd w:val="clear" w:color="auto" w:fill="FFFFFF"/>
          </w:tcPr>
          <w:p w14:paraId="30AC8C7A"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137</w:t>
            </w:r>
          </w:p>
        </w:tc>
        <w:tc>
          <w:tcPr>
            <w:tcW w:w="709" w:type="dxa"/>
            <w:shd w:val="clear" w:color="auto" w:fill="FFFFFF"/>
          </w:tcPr>
          <w:p w14:paraId="6695FEFB"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87</w:t>
            </w:r>
          </w:p>
        </w:tc>
        <w:tc>
          <w:tcPr>
            <w:tcW w:w="708" w:type="dxa"/>
            <w:shd w:val="clear" w:color="auto" w:fill="FFFFFF"/>
          </w:tcPr>
          <w:p w14:paraId="2363DB2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90</w:t>
            </w:r>
          </w:p>
        </w:tc>
        <w:tc>
          <w:tcPr>
            <w:tcW w:w="851" w:type="dxa"/>
            <w:shd w:val="clear" w:color="auto" w:fill="FFFFFF"/>
          </w:tcPr>
          <w:p w14:paraId="48DAECD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177</w:t>
            </w:r>
          </w:p>
        </w:tc>
        <w:tc>
          <w:tcPr>
            <w:tcW w:w="700" w:type="dxa"/>
            <w:shd w:val="clear" w:color="auto" w:fill="FFFFFF"/>
          </w:tcPr>
          <w:p w14:paraId="11BDACA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89</w:t>
            </w:r>
          </w:p>
        </w:tc>
        <w:tc>
          <w:tcPr>
            <w:tcW w:w="696" w:type="dxa"/>
            <w:shd w:val="clear" w:color="auto" w:fill="FFFFFF"/>
          </w:tcPr>
          <w:p w14:paraId="34948E3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72</w:t>
            </w:r>
          </w:p>
        </w:tc>
        <w:tc>
          <w:tcPr>
            <w:tcW w:w="1014" w:type="dxa"/>
            <w:shd w:val="clear" w:color="auto" w:fill="FFFFFF"/>
          </w:tcPr>
          <w:p w14:paraId="42213CE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161</w:t>
            </w:r>
          </w:p>
        </w:tc>
        <w:tc>
          <w:tcPr>
            <w:tcW w:w="608" w:type="dxa"/>
            <w:shd w:val="clear" w:color="auto" w:fill="FFFFFF"/>
          </w:tcPr>
          <w:p w14:paraId="102B6BF4"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78</w:t>
            </w:r>
          </w:p>
        </w:tc>
        <w:tc>
          <w:tcPr>
            <w:tcW w:w="667" w:type="dxa"/>
            <w:shd w:val="clear" w:color="auto" w:fill="FFFFFF"/>
          </w:tcPr>
          <w:p w14:paraId="6CD91BE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106</w:t>
            </w:r>
          </w:p>
        </w:tc>
        <w:tc>
          <w:tcPr>
            <w:tcW w:w="1162" w:type="dxa"/>
            <w:shd w:val="clear" w:color="auto" w:fill="FFFFFF"/>
          </w:tcPr>
          <w:p w14:paraId="601113F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184</w:t>
            </w:r>
          </w:p>
        </w:tc>
      </w:tr>
      <w:tr w:rsidR="00B834A2" w:rsidRPr="002E48EF" w14:paraId="0883ACC0" w14:textId="77777777" w:rsidTr="00184198">
        <w:trPr>
          <w:jc w:val="center"/>
        </w:trPr>
        <w:tc>
          <w:tcPr>
            <w:tcW w:w="816" w:type="dxa"/>
            <w:shd w:val="clear" w:color="auto" w:fill="FFFFFF"/>
          </w:tcPr>
          <w:p w14:paraId="36FC077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91</w:t>
            </w:r>
          </w:p>
        </w:tc>
        <w:tc>
          <w:tcPr>
            <w:tcW w:w="754" w:type="dxa"/>
            <w:shd w:val="clear" w:color="auto" w:fill="FFFFFF"/>
          </w:tcPr>
          <w:p w14:paraId="7DB71C8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65</w:t>
            </w:r>
          </w:p>
        </w:tc>
        <w:tc>
          <w:tcPr>
            <w:tcW w:w="992" w:type="dxa"/>
            <w:shd w:val="clear" w:color="auto" w:fill="FFFFFF"/>
          </w:tcPr>
          <w:p w14:paraId="74CF092A"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156</w:t>
            </w:r>
          </w:p>
        </w:tc>
        <w:tc>
          <w:tcPr>
            <w:tcW w:w="709" w:type="dxa"/>
            <w:shd w:val="clear" w:color="auto" w:fill="FFFFFF"/>
          </w:tcPr>
          <w:p w14:paraId="459F7616"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78</w:t>
            </w:r>
          </w:p>
        </w:tc>
        <w:tc>
          <w:tcPr>
            <w:tcW w:w="708" w:type="dxa"/>
            <w:shd w:val="clear" w:color="auto" w:fill="FFFFFF"/>
          </w:tcPr>
          <w:p w14:paraId="1181FE2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113</w:t>
            </w:r>
          </w:p>
        </w:tc>
        <w:tc>
          <w:tcPr>
            <w:tcW w:w="851" w:type="dxa"/>
            <w:shd w:val="clear" w:color="auto" w:fill="FFFFFF"/>
          </w:tcPr>
          <w:p w14:paraId="42FF5DE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191</w:t>
            </w:r>
          </w:p>
        </w:tc>
        <w:tc>
          <w:tcPr>
            <w:tcW w:w="700" w:type="dxa"/>
            <w:shd w:val="clear" w:color="auto" w:fill="FFFFFF"/>
          </w:tcPr>
          <w:p w14:paraId="59C1606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104</w:t>
            </w:r>
          </w:p>
        </w:tc>
        <w:tc>
          <w:tcPr>
            <w:tcW w:w="696" w:type="dxa"/>
            <w:shd w:val="clear" w:color="auto" w:fill="FFFFFF"/>
          </w:tcPr>
          <w:p w14:paraId="6A9CE75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87</w:t>
            </w:r>
          </w:p>
        </w:tc>
        <w:tc>
          <w:tcPr>
            <w:tcW w:w="1014" w:type="dxa"/>
            <w:shd w:val="clear" w:color="auto" w:fill="FFFFFF"/>
          </w:tcPr>
          <w:p w14:paraId="2064328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191</w:t>
            </w:r>
          </w:p>
        </w:tc>
        <w:tc>
          <w:tcPr>
            <w:tcW w:w="608" w:type="dxa"/>
            <w:shd w:val="clear" w:color="auto" w:fill="FFFFFF"/>
          </w:tcPr>
          <w:p w14:paraId="3EF4104F"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72</w:t>
            </w:r>
          </w:p>
        </w:tc>
        <w:tc>
          <w:tcPr>
            <w:tcW w:w="667" w:type="dxa"/>
            <w:shd w:val="clear" w:color="auto" w:fill="FFFFFF"/>
          </w:tcPr>
          <w:p w14:paraId="34226C4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74</w:t>
            </w:r>
          </w:p>
        </w:tc>
        <w:tc>
          <w:tcPr>
            <w:tcW w:w="1162" w:type="dxa"/>
            <w:shd w:val="clear" w:color="auto" w:fill="FFFFFF"/>
          </w:tcPr>
          <w:p w14:paraId="27A1E2B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146</w:t>
            </w:r>
          </w:p>
        </w:tc>
      </w:tr>
      <w:tr w:rsidR="00B834A2" w:rsidRPr="002E48EF" w14:paraId="737FEB45" w14:textId="77777777" w:rsidTr="00184198">
        <w:trPr>
          <w:jc w:val="center"/>
        </w:trPr>
        <w:tc>
          <w:tcPr>
            <w:tcW w:w="816" w:type="dxa"/>
            <w:shd w:val="clear" w:color="auto" w:fill="FFFFFF"/>
          </w:tcPr>
          <w:p w14:paraId="3E86F78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76</w:t>
            </w:r>
          </w:p>
        </w:tc>
        <w:tc>
          <w:tcPr>
            <w:tcW w:w="754" w:type="dxa"/>
            <w:shd w:val="clear" w:color="auto" w:fill="FFFFFF"/>
          </w:tcPr>
          <w:p w14:paraId="5AD39FB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81</w:t>
            </w:r>
          </w:p>
        </w:tc>
        <w:tc>
          <w:tcPr>
            <w:tcW w:w="992" w:type="dxa"/>
            <w:shd w:val="clear" w:color="auto" w:fill="FFFFFF"/>
          </w:tcPr>
          <w:p w14:paraId="03A3BC0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157</w:t>
            </w:r>
          </w:p>
        </w:tc>
        <w:tc>
          <w:tcPr>
            <w:tcW w:w="709" w:type="dxa"/>
            <w:shd w:val="clear" w:color="auto" w:fill="FFFFFF"/>
          </w:tcPr>
          <w:p w14:paraId="3B710C0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74</w:t>
            </w:r>
          </w:p>
        </w:tc>
        <w:tc>
          <w:tcPr>
            <w:tcW w:w="708" w:type="dxa"/>
            <w:shd w:val="clear" w:color="auto" w:fill="FFFFFF"/>
          </w:tcPr>
          <w:p w14:paraId="7AE6ED7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105</w:t>
            </w:r>
          </w:p>
        </w:tc>
        <w:tc>
          <w:tcPr>
            <w:tcW w:w="851" w:type="dxa"/>
            <w:shd w:val="clear" w:color="auto" w:fill="FFFFFF"/>
          </w:tcPr>
          <w:p w14:paraId="0831ADC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179</w:t>
            </w:r>
          </w:p>
        </w:tc>
        <w:tc>
          <w:tcPr>
            <w:tcW w:w="700" w:type="dxa"/>
            <w:shd w:val="clear" w:color="auto" w:fill="FFFFFF"/>
          </w:tcPr>
          <w:p w14:paraId="74E55FC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129</w:t>
            </w:r>
          </w:p>
        </w:tc>
        <w:tc>
          <w:tcPr>
            <w:tcW w:w="696" w:type="dxa"/>
            <w:shd w:val="clear" w:color="auto" w:fill="FFFFFF"/>
          </w:tcPr>
          <w:p w14:paraId="1E9801A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61</w:t>
            </w:r>
          </w:p>
        </w:tc>
        <w:tc>
          <w:tcPr>
            <w:tcW w:w="1014" w:type="dxa"/>
            <w:shd w:val="clear" w:color="auto" w:fill="FFFFFF"/>
          </w:tcPr>
          <w:p w14:paraId="48842B8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190</w:t>
            </w:r>
          </w:p>
        </w:tc>
        <w:tc>
          <w:tcPr>
            <w:tcW w:w="608" w:type="dxa"/>
            <w:shd w:val="clear" w:color="auto" w:fill="FFFFFF"/>
          </w:tcPr>
          <w:p w14:paraId="118694F1"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66</w:t>
            </w:r>
          </w:p>
        </w:tc>
        <w:tc>
          <w:tcPr>
            <w:tcW w:w="667" w:type="dxa"/>
            <w:shd w:val="clear" w:color="auto" w:fill="FFFFFF"/>
          </w:tcPr>
          <w:p w14:paraId="730C8C2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132</w:t>
            </w:r>
          </w:p>
        </w:tc>
        <w:tc>
          <w:tcPr>
            <w:tcW w:w="1162" w:type="dxa"/>
            <w:shd w:val="clear" w:color="auto" w:fill="FFFFFF"/>
          </w:tcPr>
          <w:p w14:paraId="436ACE7A"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198</w:t>
            </w:r>
          </w:p>
        </w:tc>
      </w:tr>
      <w:tr w:rsidR="00B834A2" w:rsidRPr="002E48EF" w14:paraId="205337FC" w14:textId="77777777" w:rsidTr="00184198">
        <w:trPr>
          <w:jc w:val="center"/>
        </w:trPr>
        <w:tc>
          <w:tcPr>
            <w:tcW w:w="816" w:type="dxa"/>
            <w:shd w:val="clear" w:color="auto" w:fill="FFFFFF"/>
          </w:tcPr>
          <w:p w14:paraId="0D71A4D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90</w:t>
            </w:r>
          </w:p>
        </w:tc>
        <w:tc>
          <w:tcPr>
            <w:tcW w:w="754" w:type="dxa"/>
            <w:shd w:val="clear" w:color="auto" w:fill="FFFFFF"/>
          </w:tcPr>
          <w:p w14:paraId="5BCC850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71</w:t>
            </w:r>
          </w:p>
        </w:tc>
        <w:tc>
          <w:tcPr>
            <w:tcW w:w="992" w:type="dxa"/>
            <w:shd w:val="clear" w:color="auto" w:fill="FFFFFF"/>
          </w:tcPr>
          <w:p w14:paraId="5017F94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161</w:t>
            </w:r>
          </w:p>
        </w:tc>
        <w:tc>
          <w:tcPr>
            <w:tcW w:w="709" w:type="dxa"/>
            <w:shd w:val="clear" w:color="auto" w:fill="FFFFFF"/>
          </w:tcPr>
          <w:p w14:paraId="42C2877C"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80</w:t>
            </w:r>
          </w:p>
        </w:tc>
        <w:tc>
          <w:tcPr>
            <w:tcW w:w="708" w:type="dxa"/>
            <w:shd w:val="clear" w:color="auto" w:fill="FFFFFF"/>
          </w:tcPr>
          <w:p w14:paraId="3BD47B7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85</w:t>
            </w:r>
          </w:p>
        </w:tc>
        <w:tc>
          <w:tcPr>
            <w:tcW w:w="851" w:type="dxa"/>
            <w:shd w:val="clear" w:color="auto" w:fill="FFFFFF"/>
          </w:tcPr>
          <w:p w14:paraId="6191286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165</w:t>
            </w:r>
          </w:p>
        </w:tc>
        <w:tc>
          <w:tcPr>
            <w:tcW w:w="700" w:type="dxa"/>
            <w:shd w:val="clear" w:color="auto" w:fill="FFFFFF"/>
          </w:tcPr>
          <w:p w14:paraId="18C886D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87</w:t>
            </w:r>
          </w:p>
        </w:tc>
        <w:tc>
          <w:tcPr>
            <w:tcW w:w="696" w:type="dxa"/>
            <w:shd w:val="clear" w:color="auto" w:fill="FFFFFF"/>
          </w:tcPr>
          <w:p w14:paraId="5FE8894A"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76</w:t>
            </w:r>
          </w:p>
        </w:tc>
        <w:tc>
          <w:tcPr>
            <w:tcW w:w="1014" w:type="dxa"/>
            <w:shd w:val="clear" w:color="auto" w:fill="FFFFFF"/>
          </w:tcPr>
          <w:p w14:paraId="76E7D0C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163</w:t>
            </w:r>
          </w:p>
        </w:tc>
        <w:tc>
          <w:tcPr>
            <w:tcW w:w="608" w:type="dxa"/>
            <w:shd w:val="clear" w:color="auto" w:fill="FFFFFF"/>
          </w:tcPr>
          <w:p w14:paraId="3640FD31"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54</w:t>
            </w:r>
          </w:p>
        </w:tc>
        <w:tc>
          <w:tcPr>
            <w:tcW w:w="667" w:type="dxa"/>
            <w:shd w:val="clear" w:color="auto" w:fill="FFFFFF"/>
          </w:tcPr>
          <w:p w14:paraId="763E22B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87</w:t>
            </w:r>
          </w:p>
        </w:tc>
        <w:tc>
          <w:tcPr>
            <w:tcW w:w="1162" w:type="dxa"/>
            <w:shd w:val="clear" w:color="auto" w:fill="FFFFFF"/>
          </w:tcPr>
          <w:p w14:paraId="48C7494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141</w:t>
            </w:r>
          </w:p>
        </w:tc>
      </w:tr>
      <w:tr w:rsidR="00B834A2" w:rsidRPr="002E48EF" w14:paraId="2C7F1229" w14:textId="77777777" w:rsidTr="00184198">
        <w:trPr>
          <w:jc w:val="center"/>
        </w:trPr>
        <w:tc>
          <w:tcPr>
            <w:tcW w:w="816" w:type="dxa"/>
            <w:shd w:val="clear" w:color="auto" w:fill="FFFFFF"/>
          </w:tcPr>
          <w:p w14:paraId="3397767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112</w:t>
            </w:r>
          </w:p>
        </w:tc>
        <w:tc>
          <w:tcPr>
            <w:tcW w:w="754" w:type="dxa"/>
            <w:shd w:val="clear" w:color="auto" w:fill="FFFFFF"/>
          </w:tcPr>
          <w:p w14:paraId="54A7BA3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60</w:t>
            </w:r>
          </w:p>
        </w:tc>
        <w:tc>
          <w:tcPr>
            <w:tcW w:w="992" w:type="dxa"/>
            <w:shd w:val="clear" w:color="auto" w:fill="FFFFFF"/>
          </w:tcPr>
          <w:p w14:paraId="419FE92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172</w:t>
            </w:r>
          </w:p>
        </w:tc>
        <w:tc>
          <w:tcPr>
            <w:tcW w:w="709" w:type="dxa"/>
            <w:shd w:val="clear" w:color="auto" w:fill="FFFFFF"/>
          </w:tcPr>
          <w:p w14:paraId="2EBFA1AF"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72</w:t>
            </w:r>
          </w:p>
        </w:tc>
        <w:tc>
          <w:tcPr>
            <w:tcW w:w="708" w:type="dxa"/>
            <w:shd w:val="clear" w:color="auto" w:fill="FFFFFF"/>
          </w:tcPr>
          <w:p w14:paraId="08AA725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69</w:t>
            </w:r>
          </w:p>
        </w:tc>
        <w:tc>
          <w:tcPr>
            <w:tcW w:w="851" w:type="dxa"/>
            <w:shd w:val="clear" w:color="auto" w:fill="FFFFFF"/>
          </w:tcPr>
          <w:p w14:paraId="0DF2580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141</w:t>
            </w:r>
          </w:p>
        </w:tc>
        <w:tc>
          <w:tcPr>
            <w:tcW w:w="700" w:type="dxa"/>
            <w:shd w:val="clear" w:color="auto" w:fill="FFFFFF"/>
          </w:tcPr>
          <w:p w14:paraId="252853F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102</w:t>
            </w:r>
          </w:p>
        </w:tc>
        <w:tc>
          <w:tcPr>
            <w:tcW w:w="696" w:type="dxa"/>
            <w:shd w:val="clear" w:color="auto" w:fill="FFFFFF"/>
          </w:tcPr>
          <w:p w14:paraId="17293C5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73</w:t>
            </w:r>
          </w:p>
        </w:tc>
        <w:tc>
          <w:tcPr>
            <w:tcW w:w="1014" w:type="dxa"/>
            <w:shd w:val="clear" w:color="auto" w:fill="FFFFFF"/>
          </w:tcPr>
          <w:p w14:paraId="23FD804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175</w:t>
            </w:r>
          </w:p>
        </w:tc>
        <w:tc>
          <w:tcPr>
            <w:tcW w:w="608" w:type="dxa"/>
            <w:shd w:val="clear" w:color="auto" w:fill="FFFFFF"/>
          </w:tcPr>
          <w:p w14:paraId="4F2EB1A7"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60</w:t>
            </w:r>
          </w:p>
        </w:tc>
        <w:tc>
          <w:tcPr>
            <w:tcW w:w="667" w:type="dxa"/>
            <w:shd w:val="clear" w:color="auto" w:fill="FFFFFF"/>
          </w:tcPr>
          <w:p w14:paraId="4D6244A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88</w:t>
            </w:r>
          </w:p>
        </w:tc>
        <w:tc>
          <w:tcPr>
            <w:tcW w:w="1162" w:type="dxa"/>
            <w:shd w:val="clear" w:color="auto" w:fill="FFFFFF"/>
          </w:tcPr>
          <w:p w14:paraId="4DF0DDF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148</w:t>
            </w:r>
          </w:p>
        </w:tc>
      </w:tr>
      <w:tr w:rsidR="00B834A2" w:rsidRPr="002E48EF" w14:paraId="345D47C5" w14:textId="77777777" w:rsidTr="00184198">
        <w:trPr>
          <w:jc w:val="center"/>
        </w:trPr>
        <w:tc>
          <w:tcPr>
            <w:tcW w:w="816" w:type="dxa"/>
            <w:shd w:val="clear" w:color="auto" w:fill="FFFFFF"/>
          </w:tcPr>
          <w:p w14:paraId="21E87DC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102</w:t>
            </w:r>
          </w:p>
        </w:tc>
        <w:tc>
          <w:tcPr>
            <w:tcW w:w="754" w:type="dxa"/>
            <w:shd w:val="clear" w:color="auto" w:fill="FFFFFF"/>
          </w:tcPr>
          <w:p w14:paraId="6F2EB8D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74</w:t>
            </w:r>
          </w:p>
        </w:tc>
        <w:tc>
          <w:tcPr>
            <w:tcW w:w="992" w:type="dxa"/>
            <w:shd w:val="clear" w:color="auto" w:fill="FFFFFF"/>
          </w:tcPr>
          <w:p w14:paraId="6E76507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176</w:t>
            </w:r>
          </w:p>
        </w:tc>
        <w:tc>
          <w:tcPr>
            <w:tcW w:w="709" w:type="dxa"/>
            <w:shd w:val="clear" w:color="auto" w:fill="FFFFFF"/>
          </w:tcPr>
          <w:p w14:paraId="4BF909B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71</w:t>
            </w:r>
          </w:p>
        </w:tc>
        <w:tc>
          <w:tcPr>
            <w:tcW w:w="708" w:type="dxa"/>
            <w:shd w:val="clear" w:color="auto" w:fill="FFFFFF"/>
          </w:tcPr>
          <w:p w14:paraId="2BF7A04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121</w:t>
            </w:r>
          </w:p>
        </w:tc>
        <w:tc>
          <w:tcPr>
            <w:tcW w:w="851" w:type="dxa"/>
            <w:shd w:val="clear" w:color="auto" w:fill="FFFFFF"/>
          </w:tcPr>
          <w:p w14:paraId="55CBBC7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192</w:t>
            </w:r>
          </w:p>
        </w:tc>
        <w:tc>
          <w:tcPr>
            <w:tcW w:w="700" w:type="dxa"/>
            <w:shd w:val="clear" w:color="auto" w:fill="FFFFFF"/>
          </w:tcPr>
          <w:p w14:paraId="040A462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80</w:t>
            </w:r>
          </w:p>
        </w:tc>
        <w:tc>
          <w:tcPr>
            <w:tcW w:w="696" w:type="dxa"/>
            <w:shd w:val="clear" w:color="auto" w:fill="FFFFFF"/>
          </w:tcPr>
          <w:p w14:paraId="1931F1A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53</w:t>
            </w:r>
          </w:p>
        </w:tc>
        <w:tc>
          <w:tcPr>
            <w:tcW w:w="1014" w:type="dxa"/>
            <w:shd w:val="clear" w:color="auto" w:fill="FFFFFF"/>
          </w:tcPr>
          <w:p w14:paraId="2C0F6E7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133</w:t>
            </w:r>
          </w:p>
        </w:tc>
        <w:tc>
          <w:tcPr>
            <w:tcW w:w="608" w:type="dxa"/>
            <w:shd w:val="clear" w:color="auto" w:fill="FFFFFF"/>
          </w:tcPr>
          <w:p w14:paraId="670D1E1F"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87</w:t>
            </w:r>
          </w:p>
        </w:tc>
        <w:tc>
          <w:tcPr>
            <w:tcW w:w="667" w:type="dxa"/>
            <w:shd w:val="clear" w:color="auto" w:fill="FFFFFF"/>
          </w:tcPr>
          <w:p w14:paraId="7D497E2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99</w:t>
            </w:r>
          </w:p>
        </w:tc>
        <w:tc>
          <w:tcPr>
            <w:tcW w:w="1162" w:type="dxa"/>
            <w:shd w:val="clear" w:color="auto" w:fill="FFFFFF"/>
          </w:tcPr>
          <w:p w14:paraId="07787CE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186</w:t>
            </w:r>
          </w:p>
        </w:tc>
      </w:tr>
      <w:tr w:rsidR="00B834A2" w:rsidRPr="002E48EF" w14:paraId="1DA31AF5" w14:textId="77777777" w:rsidTr="00184198">
        <w:trPr>
          <w:jc w:val="center"/>
        </w:trPr>
        <w:tc>
          <w:tcPr>
            <w:tcW w:w="816" w:type="dxa"/>
            <w:shd w:val="clear" w:color="auto" w:fill="FFFFFF"/>
          </w:tcPr>
          <w:p w14:paraId="799728D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64</w:t>
            </w:r>
          </w:p>
        </w:tc>
        <w:tc>
          <w:tcPr>
            <w:tcW w:w="754" w:type="dxa"/>
            <w:shd w:val="clear" w:color="auto" w:fill="FFFFFF"/>
          </w:tcPr>
          <w:p w14:paraId="37064C2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48</w:t>
            </w:r>
          </w:p>
        </w:tc>
        <w:tc>
          <w:tcPr>
            <w:tcW w:w="992" w:type="dxa"/>
            <w:shd w:val="clear" w:color="auto" w:fill="FFFFFF"/>
          </w:tcPr>
          <w:p w14:paraId="07A4F0E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112</w:t>
            </w:r>
          </w:p>
        </w:tc>
        <w:tc>
          <w:tcPr>
            <w:tcW w:w="709" w:type="dxa"/>
            <w:shd w:val="clear" w:color="auto" w:fill="FFFFFF"/>
          </w:tcPr>
          <w:p w14:paraId="5DBA9B3E"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79</w:t>
            </w:r>
          </w:p>
        </w:tc>
        <w:tc>
          <w:tcPr>
            <w:tcW w:w="708" w:type="dxa"/>
            <w:shd w:val="clear" w:color="auto" w:fill="FFFFFF"/>
          </w:tcPr>
          <w:p w14:paraId="5AE284B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128</w:t>
            </w:r>
          </w:p>
        </w:tc>
        <w:tc>
          <w:tcPr>
            <w:tcW w:w="851" w:type="dxa"/>
            <w:shd w:val="clear" w:color="auto" w:fill="FFFFFF"/>
          </w:tcPr>
          <w:p w14:paraId="3F0B6A7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207</w:t>
            </w:r>
          </w:p>
        </w:tc>
        <w:tc>
          <w:tcPr>
            <w:tcW w:w="700" w:type="dxa"/>
            <w:shd w:val="clear" w:color="auto" w:fill="FFFFFF"/>
          </w:tcPr>
          <w:p w14:paraId="33FFC08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123</w:t>
            </w:r>
          </w:p>
        </w:tc>
        <w:tc>
          <w:tcPr>
            <w:tcW w:w="696" w:type="dxa"/>
            <w:shd w:val="clear" w:color="auto" w:fill="FFFFFF"/>
          </w:tcPr>
          <w:p w14:paraId="7589D37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86</w:t>
            </w:r>
          </w:p>
        </w:tc>
        <w:tc>
          <w:tcPr>
            <w:tcW w:w="1014" w:type="dxa"/>
            <w:shd w:val="clear" w:color="auto" w:fill="FFFFFF"/>
          </w:tcPr>
          <w:p w14:paraId="4382163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209</w:t>
            </w:r>
          </w:p>
        </w:tc>
        <w:tc>
          <w:tcPr>
            <w:tcW w:w="608" w:type="dxa"/>
            <w:shd w:val="clear" w:color="auto" w:fill="FFFFFF"/>
          </w:tcPr>
          <w:p w14:paraId="709BB078"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67</w:t>
            </w:r>
          </w:p>
        </w:tc>
        <w:tc>
          <w:tcPr>
            <w:tcW w:w="667" w:type="dxa"/>
            <w:shd w:val="clear" w:color="auto" w:fill="FFFFFF"/>
          </w:tcPr>
          <w:p w14:paraId="1FCDE00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100</w:t>
            </w:r>
          </w:p>
        </w:tc>
        <w:tc>
          <w:tcPr>
            <w:tcW w:w="1162" w:type="dxa"/>
            <w:shd w:val="clear" w:color="auto" w:fill="FFFFFF"/>
          </w:tcPr>
          <w:p w14:paraId="3818773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167</w:t>
            </w:r>
          </w:p>
        </w:tc>
      </w:tr>
      <w:tr w:rsidR="00B834A2" w:rsidRPr="002E48EF" w14:paraId="6ABE2385" w14:textId="77777777" w:rsidTr="00184198">
        <w:trPr>
          <w:jc w:val="center"/>
        </w:trPr>
        <w:tc>
          <w:tcPr>
            <w:tcW w:w="816" w:type="dxa"/>
            <w:shd w:val="clear" w:color="auto" w:fill="FFFFFF"/>
          </w:tcPr>
          <w:p w14:paraId="154DDA8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120</w:t>
            </w:r>
          </w:p>
        </w:tc>
        <w:tc>
          <w:tcPr>
            <w:tcW w:w="754" w:type="dxa"/>
            <w:shd w:val="clear" w:color="auto" w:fill="FFFFFF"/>
          </w:tcPr>
          <w:p w14:paraId="66C56FB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67</w:t>
            </w:r>
          </w:p>
        </w:tc>
        <w:tc>
          <w:tcPr>
            <w:tcW w:w="992" w:type="dxa"/>
            <w:shd w:val="clear" w:color="auto" w:fill="FFFFFF"/>
          </w:tcPr>
          <w:p w14:paraId="3F5BB74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187</w:t>
            </w:r>
          </w:p>
        </w:tc>
        <w:tc>
          <w:tcPr>
            <w:tcW w:w="709" w:type="dxa"/>
            <w:shd w:val="clear" w:color="auto" w:fill="FFFFFF"/>
          </w:tcPr>
          <w:p w14:paraId="3C937CB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73</w:t>
            </w:r>
          </w:p>
        </w:tc>
        <w:tc>
          <w:tcPr>
            <w:tcW w:w="708" w:type="dxa"/>
            <w:shd w:val="clear" w:color="auto" w:fill="FFFFFF"/>
          </w:tcPr>
          <w:p w14:paraId="0124EC8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101</w:t>
            </w:r>
          </w:p>
        </w:tc>
        <w:tc>
          <w:tcPr>
            <w:tcW w:w="851" w:type="dxa"/>
            <w:shd w:val="clear" w:color="auto" w:fill="FFFFFF"/>
          </w:tcPr>
          <w:p w14:paraId="00929B5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174</w:t>
            </w:r>
          </w:p>
        </w:tc>
        <w:tc>
          <w:tcPr>
            <w:tcW w:w="700" w:type="dxa"/>
            <w:shd w:val="clear" w:color="auto" w:fill="FFFFFF"/>
          </w:tcPr>
          <w:p w14:paraId="135CFC3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126</w:t>
            </w:r>
          </w:p>
        </w:tc>
        <w:tc>
          <w:tcPr>
            <w:tcW w:w="696" w:type="dxa"/>
            <w:shd w:val="clear" w:color="auto" w:fill="FFFFFF"/>
          </w:tcPr>
          <w:p w14:paraId="7145B3F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80</w:t>
            </w:r>
          </w:p>
        </w:tc>
        <w:tc>
          <w:tcPr>
            <w:tcW w:w="1014" w:type="dxa"/>
            <w:shd w:val="clear" w:color="auto" w:fill="FFFFFF"/>
          </w:tcPr>
          <w:p w14:paraId="1A17042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206</w:t>
            </w:r>
          </w:p>
        </w:tc>
        <w:tc>
          <w:tcPr>
            <w:tcW w:w="608" w:type="dxa"/>
            <w:shd w:val="clear" w:color="auto" w:fill="FFFFFF"/>
          </w:tcPr>
          <w:p w14:paraId="00084656"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73</w:t>
            </w:r>
          </w:p>
        </w:tc>
        <w:tc>
          <w:tcPr>
            <w:tcW w:w="667" w:type="dxa"/>
            <w:shd w:val="clear" w:color="auto" w:fill="FFFFFF"/>
          </w:tcPr>
          <w:p w14:paraId="587EFAC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95</w:t>
            </w:r>
          </w:p>
        </w:tc>
        <w:tc>
          <w:tcPr>
            <w:tcW w:w="1162" w:type="dxa"/>
            <w:shd w:val="clear" w:color="auto" w:fill="FFFFFF"/>
          </w:tcPr>
          <w:p w14:paraId="1A6689B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168</w:t>
            </w:r>
          </w:p>
        </w:tc>
      </w:tr>
      <w:tr w:rsidR="00B834A2" w:rsidRPr="002E48EF" w14:paraId="621BA662" w14:textId="77777777" w:rsidTr="00184198">
        <w:trPr>
          <w:jc w:val="center"/>
        </w:trPr>
        <w:tc>
          <w:tcPr>
            <w:tcW w:w="816" w:type="dxa"/>
            <w:shd w:val="clear" w:color="auto" w:fill="FFFFFF"/>
          </w:tcPr>
          <w:p w14:paraId="1B6590B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82</w:t>
            </w:r>
          </w:p>
        </w:tc>
        <w:tc>
          <w:tcPr>
            <w:tcW w:w="754" w:type="dxa"/>
            <w:shd w:val="clear" w:color="auto" w:fill="FFFFFF"/>
          </w:tcPr>
          <w:p w14:paraId="226C94F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57</w:t>
            </w:r>
          </w:p>
        </w:tc>
        <w:tc>
          <w:tcPr>
            <w:tcW w:w="992" w:type="dxa"/>
            <w:shd w:val="clear" w:color="auto" w:fill="FFFFFF"/>
          </w:tcPr>
          <w:p w14:paraId="3A9AB5B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139</w:t>
            </w:r>
          </w:p>
        </w:tc>
        <w:tc>
          <w:tcPr>
            <w:tcW w:w="709" w:type="dxa"/>
            <w:shd w:val="clear" w:color="auto" w:fill="FFFFFF"/>
          </w:tcPr>
          <w:p w14:paraId="5C3946D4"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98</w:t>
            </w:r>
          </w:p>
        </w:tc>
        <w:tc>
          <w:tcPr>
            <w:tcW w:w="708" w:type="dxa"/>
            <w:shd w:val="clear" w:color="auto" w:fill="FFFFFF"/>
          </w:tcPr>
          <w:p w14:paraId="1C5F12B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78</w:t>
            </w:r>
          </w:p>
        </w:tc>
        <w:tc>
          <w:tcPr>
            <w:tcW w:w="851" w:type="dxa"/>
            <w:shd w:val="clear" w:color="auto" w:fill="FFFFFF"/>
          </w:tcPr>
          <w:p w14:paraId="065D352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176</w:t>
            </w:r>
          </w:p>
        </w:tc>
        <w:tc>
          <w:tcPr>
            <w:tcW w:w="700" w:type="dxa"/>
            <w:shd w:val="clear" w:color="auto" w:fill="FFFFFF"/>
          </w:tcPr>
          <w:p w14:paraId="40CC974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91</w:t>
            </w:r>
          </w:p>
        </w:tc>
        <w:tc>
          <w:tcPr>
            <w:tcW w:w="696" w:type="dxa"/>
            <w:shd w:val="clear" w:color="auto" w:fill="FFFFFF"/>
          </w:tcPr>
          <w:p w14:paraId="03D503B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42</w:t>
            </w:r>
          </w:p>
        </w:tc>
        <w:tc>
          <w:tcPr>
            <w:tcW w:w="1014" w:type="dxa"/>
            <w:shd w:val="clear" w:color="auto" w:fill="FFFFFF"/>
          </w:tcPr>
          <w:p w14:paraId="1DFB894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133</w:t>
            </w:r>
          </w:p>
        </w:tc>
        <w:tc>
          <w:tcPr>
            <w:tcW w:w="608" w:type="dxa"/>
            <w:shd w:val="clear" w:color="auto" w:fill="FFFFFF"/>
          </w:tcPr>
          <w:p w14:paraId="55CE1274"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72</w:t>
            </w:r>
          </w:p>
        </w:tc>
        <w:tc>
          <w:tcPr>
            <w:tcW w:w="667" w:type="dxa"/>
            <w:shd w:val="clear" w:color="auto" w:fill="FFFFFF"/>
          </w:tcPr>
          <w:p w14:paraId="5DA6C5AE"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97</w:t>
            </w:r>
          </w:p>
        </w:tc>
        <w:tc>
          <w:tcPr>
            <w:tcW w:w="1162" w:type="dxa"/>
            <w:shd w:val="clear" w:color="auto" w:fill="FFFFFF"/>
          </w:tcPr>
          <w:p w14:paraId="61FA805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169</w:t>
            </w:r>
          </w:p>
        </w:tc>
      </w:tr>
      <w:tr w:rsidR="00B834A2" w:rsidRPr="002E48EF" w14:paraId="01C8148F" w14:textId="77777777" w:rsidTr="00184198">
        <w:trPr>
          <w:jc w:val="center"/>
        </w:trPr>
        <w:tc>
          <w:tcPr>
            <w:tcW w:w="816" w:type="dxa"/>
            <w:shd w:val="clear" w:color="auto" w:fill="FFFFFF"/>
          </w:tcPr>
          <w:p w14:paraId="59CAF0B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lastRenderedPageBreak/>
              <w:t>68</w:t>
            </w:r>
          </w:p>
        </w:tc>
        <w:tc>
          <w:tcPr>
            <w:tcW w:w="754" w:type="dxa"/>
            <w:shd w:val="clear" w:color="auto" w:fill="FFFFFF"/>
          </w:tcPr>
          <w:p w14:paraId="59809023"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40</w:t>
            </w:r>
          </w:p>
        </w:tc>
        <w:tc>
          <w:tcPr>
            <w:tcW w:w="992" w:type="dxa"/>
            <w:shd w:val="clear" w:color="auto" w:fill="FFFFFF"/>
          </w:tcPr>
          <w:p w14:paraId="342686C0"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108</w:t>
            </w:r>
          </w:p>
        </w:tc>
        <w:tc>
          <w:tcPr>
            <w:tcW w:w="709" w:type="dxa"/>
            <w:shd w:val="clear" w:color="auto" w:fill="FFFFFF"/>
          </w:tcPr>
          <w:p w14:paraId="450C4D24"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86</w:t>
            </w:r>
          </w:p>
        </w:tc>
        <w:tc>
          <w:tcPr>
            <w:tcW w:w="708" w:type="dxa"/>
            <w:shd w:val="clear" w:color="auto" w:fill="FFFFFF"/>
          </w:tcPr>
          <w:p w14:paraId="03F82C4F"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71</w:t>
            </w:r>
          </w:p>
        </w:tc>
        <w:tc>
          <w:tcPr>
            <w:tcW w:w="851" w:type="dxa"/>
            <w:shd w:val="clear" w:color="auto" w:fill="FFFFFF"/>
          </w:tcPr>
          <w:p w14:paraId="62C8781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157</w:t>
            </w:r>
          </w:p>
        </w:tc>
        <w:tc>
          <w:tcPr>
            <w:tcW w:w="700" w:type="dxa"/>
            <w:shd w:val="clear" w:color="auto" w:fill="FFFFFF"/>
          </w:tcPr>
          <w:p w14:paraId="3FB3D655"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90</w:t>
            </w:r>
          </w:p>
        </w:tc>
        <w:tc>
          <w:tcPr>
            <w:tcW w:w="696" w:type="dxa"/>
            <w:shd w:val="clear" w:color="auto" w:fill="FFFFFF"/>
          </w:tcPr>
          <w:p w14:paraId="71325BC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73</w:t>
            </w:r>
          </w:p>
        </w:tc>
        <w:tc>
          <w:tcPr>
            <w:tcW w:w="1014" w:type="dxa"/>
            <w:shd w:val="clear" w:color="auto" w:fill="FFFFFF"/>
          </w:tcPr>
          <w:p w14:paraId="33F71C5C"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163</w:t>
            </w:r>
          </w:p>
        </w:tc>
        <w:tc>
          <w:tcPr>
            <w:tcW w:w="608" w:type="dxa"/>
            <w:shd w:val="clear" w:color="auto" w:fill="FFFFFF"/>
          </w:tcPr>
          <w:p w14:paraId="2A07CB11"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79</w:t>
            </w:r>
          </w:p>
        </w:tc>
        <w:tc>
          <w:tcPr>
            <w:tcW w:w="667" w:type="dxa"/>
            <w:shd w:val="clear" w:color="auto" w:fill="FFFFFF"/>
          </w:tcPr>
          <w:p w14:paraId="08061642"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119</w:t>
            </w:r>
          </w:p>
        </w:tc>
        <w:tc>
          <w:tcPr>
            <w:tcW w:w="1162" w:type="dxa"/>
            <w:shd w:val="clear" w:color="auto" w:fill="FFFFFF"/>
          </w:tcPr>
          <w:p w14:paraId="6C90959A"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198</w:t>
            </w:r>
          </w:p>
        </w:tc>
      </w:tr>
      <w:tr w:rsidR="00B834A2" w:rsidRPr="002E48EF" w14:paraId="645C029B" w14:textId="77777777" w:rsidTr="00184198">
        <w:trPr>
          <w:jc w:val="center"/>
        </w:trPr>
        <w:tc>
          <w:tcPr>
            <w:tcW w:w="816" w:type="dxa"/>
            <w:tcBorders>
              <w:bottom w:val="single" w:sz="4" w:space="0" w:color="auto"/>
            </w:tcBorders>
            <w:shd w:val="clear" w:color="auto" w:fill="FFFFFF"/>
          </w:tcPr>
          <w:p w14:paraId="73C95CB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83</w:t>
            </w:r>
          </w:p>
        </w:tc>
        <w:tc>
          <w:tcPr>
            <w:tcW w:w="754" w:type="dxa"/>
            <w:tcBorders>
              <w:bottom w:val="single" w:sz="4" w:space="0" w:color="auto"/>
            </w:tcBorders>
            <w:shd w:val="clear" w:color="auto" w:fill="FFFFFF"/>
          </w:tcPr>
          <w:p w14:paraId="0EF76747"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75</w:t>
            </w:r>
          </w:p>
        </w:tc>
        <w:tc>
          <w:tcPr>
            <w:tcW w:w="992" w:type="dxa"/>
            <w:tcBorders>
              <w:bottom w:val="single" w:sz="4" w:space="0" w:color="auto"/>
            </w:tcBorders>
            <w:shd w:val="clear" w:color="auto" w:fill="FFFFFF"/>
          </w:tcPr>
          <w:p w14:paraId="4441C43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158</w:t>
            </w:r>
          </w:p>
        </w:tc>
        <w:tc>
          <w:tcPr>
            <w:tcW w:w="709" w:type="dxa"/>
            <w:tcBorders>
              <w:bottom w:val="single" w:sz="4" w:space="0" w:color="auto"/>
            </w:tcBorders>
            <w:shd w:val="clear" w:color="auto" w:fill="FFFFFF"/>
          </w:tcPr>
          <w:p w14:paraId="2A115F61" w14:textId="77777777" w:rsidR="00B834A2" w:rsidRPr="002E48EF" w:rsidRDefault="00B834A2" w:rsidP="002E48EF">
            <w:pPr>
              <w:pStyle w:val="Bodytext20"/>
              <w:shd w:val="clear" w:color="auto" w:fill="auto"/>
              <w:spacing w:before="0" w:line="240" w:lineRule="auto"/>
              <w:ind w:right="280" w:firstLine="27"/>
              <w:rPr>
                <w:rFonts w:ascii="Sylfaen" w:hAnsi="Sylfaen" w:cs="Sylfaen"/>
                <w:sz w:val="20"/>
                <w:szCs w:val="20"/>
              </w:rPr>
            </w:pPr>
            <w:r w:rsidRPr="002E48EF">
              <w:rPr>
                <w:rStyle w:val="Bodytext31Sylfaen9"/>
                <w:sz w:val="20"/>
                <w:szCs w:val="20"/>
              </w:rPr>
              <w:t>65</w:t>
            </w:r>
          </w:p>
        </w:tc>
        <w:tc>
          <w:tcPr>
            <w:tcW w:w="708" w:type="dxa"/>
            <w:tcBorders>
              <w:bottom w:val="single" w:sz="4" w:space="0" w:color="auto"/>
            </w:tcBorders>
            <w:shd w:val="clear" w:color="auto" w:fill="FFFFFF"/>
          </w:tcPr>
          <w:p w14:paraId="7784C734"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57</w:t>
            </w:r>
          </w:p>
        </w:tc>
        <w:tc>
          <w:tcPr>
            <w:tcW w:w="851" w:type="dxa"/>
            <w:tcBorders>
              <w:bottom w:val="single" w:sz="4" w:space="0" w:color="auto"/>
            </w:tcBorders>
            <w:shd w:val="clear" w:color="auto" w:fill="FFFFFF"/>
          </w:tcPr>
          <w:p w14:paraId="3BDB1438"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122</w:t>
            </w:r>
          </w:p>
        </w:tc>
        <w:tc>
          <w:tcPr>
            <w:tcW w:w="700" w:type="dxa"/>
            <w:tcBorders>
              <w:bottom w:val="single" w:sz="4" w:space="0" w:color="auto"/>
            </w:tcBorders>
            <w:shd w:val="clear" w:color="auto" w:fill="FFFFFF"/>
          </w:tcPr>
          <w:p w14:paraId="5EA38BC6"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107</w:t>
            </w:r>
          </w:p>
        </w:tc>
        <w:tc>
          <w:tcPr>
            <w:tcW w:w="696" w:type="dxa"/>
            <w:tcBorders>
              <w:bottom w:val="single" w:sz="4" w:space="0" w:color="auto"/>
            </w:tcBorders>
            <w:shd w:val="clear" w:color="auto" w:fill="FFFFFF"/>
          </w:tcPr>
          <w:p w14:paraId="43360631"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86</w:t>
            </w:r>
          </w:p>
        </w:tc>
        <w:tc>
          <w:tcPr>
            <w:tcW w:w="1014" w:type="dxa"/>
            <w:tcBorders>
              <w:bottom w:val="single" w:sz="4" w:space="0" w:color="auto"/>
            </w:tcBorders>
            <w:shd w:val="clear" w:color="auto" w:fill="FFFFFF"/>
          </w:tcPr>
          <w:p w14:paraId="0A9868C9"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193</w:t>
            </w:r>
          </w:p>
        </w:tc>
        <w:tc>
          <w:tcPr>
            <w:tcW w:w="608" w:type="dxa"/>
            <w:tcBorders>
              <w:bottom w:val="single" w:sz="4" w:space="0" w:color="auto"/>
            </w:tcBorders>
            <w:shd w:val="clear" w:color="auto" w:fill="FFFFFF"/>
          </w:tcPr>
          <w:p w14:paraId="13F8987A" w14:textId="77777777" w:rsidR="00B834A2" w:rsidRPr="002E48EF" w:rsidRDefault="00B834A2" w:rsidP="002E48EF">
            <w:pPr>
              <w:pStyle w:val="Bodytext20"/>
              <w:shd w:val="clear" w:color="auto" w:fill="auto"/>
              <w:spacing w:before="0" w:line="240" w:lineRule="auto"/>
              <w:ind w:right="31" w:firstLine="27"/>
              <w:rPr>
                <w:rFonts w:ascii="Sylfaen" w:hAnsi="Sylfaen" w:cs="Sylfaen"/>
                <w:sz w:val="20"/>
                <w:szCs w:val="20"/>
              </w:rPr>
            </w:pPr>
            <w:r w:rsidRPr="002E48EF">
              <w:rPr>
                <w:rStyle w:val="Bodytext31Sylfaen9"/>
                <w:sz w:val="20"/>
                <w:szCs w:val="20"/>
              </w:rPr>
              <w:t>74</w:t>
            </w:r>
          </w:p>
        </w:tc>
        <w:tc>
          <w:tcPr>
            <w:tcW w:w="667" w:type="dxa"/>
            <w:tcBorders>
              <w:bottom w:val="single" w:sz="4" w:space="0" w:color="auto"/>
            </w:tcBorders>
            <w:shd w:val="clear" w:color="auto" w:fill="FFFFFF"/>
          </w:tcPr>
          <w:p w14:paraId="42FE2F4D"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113</w:t>
            </w:r>
          </w:p>
        </w:tc>
        <w:tc>
          <w:tcPr>
            <w:tcW w:w="1162" w:type="dxa"/>
            <w:tcBorders>
              <w:bottom w:val="single" w:sz="4" w:space="0" w:color="auto"/>
            </w:tcBorders>
            <w:shd w:val="clear" w:color="auto" w:fill="FFFFFF"/>
          </w:tcPr>
          <w:p w14:paraId="2C69728B" w14:textId="77777777" w:rsidR="00B834A2" w:rsidRPr="002E48EF" w:rsidRDefault="00B834A2" w:rsidP="002E48EF">
            <w:pPr>
              <w:pStyle w:val="Bodytext20"/>
              <w:shd w:val="clear" w:color="auto" w:fill="auto"/>
              <w:spacing w:before="0" w:line="240" w:lineRule="auto"/>
              <w:ind w:firstLine="27"/>
              <w:rPr>
                <w:rFonts w:ascii="Sylfaen" w:hAnsi="Sylfaen" w:cs="Sylfaen"/>
                <w:sz w:val="20"/>
                <w:szCs w:val="20"/>
              </w:rPr>
            </w:pPr>
            <w:r w:rsidRPr="002E48EF">
              <w:rPr>
                <w:rStyle w:val="Bodytext31Sylfaen9"/>
                <w:sz w:val="20"/>
                <w:szCs w:val="20"/>
              </w:rPr>
              <w:t>187</w:t>
            </w:r>
          </w:p>
        </w:tc>
      </w:tr>
    </w:tbl>
    <w:p w14:paraId="38DCD26B" w14:textId="77777777" w:rsidR="00B834A2" w:rsidRDefault="00B834A2" w:rsidP="009A3F5E">
      <w:pPr>
        <w:spacing w:after="160" w:line="360" w:lineRule="auto"/>
        <w:ind w:firstLine="567"/>
        <w:jc w:val="both"/>
      </w:pPr>
    </w:p>
    <w:p w14:paraId="0A81321C" w14:textId="77777777" w:rsidR="002E48EF" w:rsidRPr="002E48EF" w:rsidRDefault="002E48EF" w:rsidP="009A3F5E">
      <w:pPr>
        <w:spacing w:after="160" w:line="360" w:lineRule="auto"/>
        <w:ind w:firstLine="567"/>
        <w:jc w:val="both"/>
        <w:rPr>
          <w:i/>
        </w:rPr>
      </w:pPr>
      <w:r w:rsidRPr="002E48EF">
        <w:rPr>
          <w:rStyle w:val="Bodytext31Sylfaen9"/>
          <w:i w:val="0"/>
          <w:sz w:val="24"/>
          <w:szCs w:val="24"/>
        </w:rPr>
        <w:t>Աղյուսակ 3.2.6-21</w:t>
      </w:r>
      <w:r w:rsidRPr="00B834A2">
        <w:rPr>
          <w:rStyle w:val="Bodytext31Sylfaen9"/>
          <w:sz w:val="24"/>
          <w:szCs w:val="24"/>
        </w:rPr>
        <w:t xml:space="preserve">. </w:t>
      </w:r>
      <w:r w:rsidRPr="002E48EF">
        <w:rPr>
          <w:i/>
        </w:rPr>
        <w:t>Արձագանքների գումարներն ու կոնտրաստները (մկների համար կրկնակի խաչաձեւումը)</w:t>
      </w:r>
    </w:p>
    <w:tbl>
      <w:tblPr>
        <w:tblOverlap w:val="never"/>
        <w:tblW w:w="9428" w:type="dxa"/>
        <w:jc w:val="center"/>
        <w:tblLayout w:type="fixed"/>
        <w:tblCellMar>
          <w:left w:w="10" w:type="dxa"/>
          <w:right w:w="10" w:type="dxa"/>
        </w:tblCellMar>
        <w:tblLook w:val="0000" w:firstRow="0" w:lastRow="0" w:firstColumn="0" w:lastColumn="0" w:noHBand="0" w:noVBand="0"/>
      </w:tblPr>
      <w:tblGrid>
        <w:gridCol w:w="2477"/>
        <w:gridCol w:w="2237"/>
        <w:gridCol w:w="2707"/>
        <w:gridCol w:w="2007"/>
      </w:tblGrid>
      <w:tr w:rsidR="00B834A2" w:rsidRPr="002E48EF" w14:paraId="6A3ED2C2" w14:textId="77777777" w:rsidTr="00B834A2">
        <w:trPr>
          <w:cantSplit/>
          <w:jc w:val="center"/>
        </w:trPr>
        <w:tc>
          <w:tcPr>
            <w:tcW w:w="2477" w:type="dxa"/>
            <w:tcBorders>
              <w:top w:val="single" w:sz="4" w:space="0" w:color="auto"/>
            </w:tcBorders>
            <w:shd w:val="clear" w:color="auto" w:fill="FFFFFF"/>
          </w:tcPr>
          <w:p w14:paraId="196C0A7B" w14:textId="77777777" w:rsidR="00B834A2" w:rsidRPr="002E48EF" w:rsidRDefault="00B834A2" w:rsidP="00696072">
            <w:pPr>
              <w:spacing w:after="120"/>
              <w:jc w:val="center"/>
              <w:rPr>
                <w:sz w:val="20"/>
                <w:szCs w:val="20"/>
              </w:rPr>
            </w:pPr>
          </w:p>
        </w:tc>
        <w:tc>
          <w:tcPr>
            <w:tcW w:w="2237" w:type="dxa"/>
            <w:tcBorders>
              <w:top w:val="single" w:sz="4" w:space="0" w:color="auto"/>
            </w:tcBorders>
            <w:shd w:val="clear" w:color="auto" w:fill="FFFFFF"/>
          </w:tcPr>
          <w:p w14:paraId="60DACDE6"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85pt"/>
                <w:spacing w:val="0"/>
                <w:sz w:val="20"/>
                <w:szCs w:val="20"/>
                <w:u w:val="single"/>
              </w:rPr>
              <w:t>S</w:t>
            </w:r>
            <w:r w:rsidRPr="002E48EF">
              <w:rPr>
                <w:rStyle w:val="Bodytext285pt"/>
                <w:spacing w:val="0"/>
                <w:sz w:val="20"/>
                <w:szCs w:val="20"/>
              </w:rPr>
              <w:t xml:space="preserve"> ստանդարտ նմուշը</w:t>
            </w:r>
          </w:p>
        </w:tc>
        <w:tc>
          <w:tcPr>
            <w:tcW w:w="2707" w:type="dxa"/>
            <w:tcBorders>
              <w:top w:val="single" w:sz="4" w:space="0" w:color="auto"/>
            </w:tcBorders>
            <w:shd w:val="clear" w:color="auto" w:fill="FFFFFF"/>
          </w:tcPr>
          <w:p w14:paraId="4519D9C1"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85pt"/>
                <w:spacing w:val="0"/>
                <w:sz w:val="20"/>
                <w:szCs w:val="20"/>
                <w:u w:val="single"/>
              </w:rPr>
              <w:t>U</w:t>
            </w:r>
            <w:r w:rsidRPr="002E48EF">
              <w:rPr>
                <w:rStyle w:val="Bodytext285pt"/>
                <w:spacing w:val="0"/>
                <w:sz w:val="20"/>
                <w:szCs w:val="20"/>
              </w:rPr>
              <w:t xml:space="preserve"> փորձարկվող նմուշը</w:t>
            </w:r>
          </w:p>
        </w:tc>
        <w:tc>
          <w:tcPr>
            <w:tcW w:w="2007" w:type="dxa"/>
            <w:tcBorders>
              <w:top w:val="single" w:sz="4" w:space="0" w:color="auto"/>
            </w:tcBorders>
            <w:shd w:val="clear" w:color="auto" w:fill="FFFFFF"/>
          </w:tcPr>
          <w:p w14:paraId="0BC39BDB" w14:textId="77777777" w:rsidR="00B834A2" w:rsidRPr="002E48EF" w:rsidRDefault="00B834A2" w:rsidP="00696072">
            <w:pPr>
              <w:spacing w:after="120"/>
              <w:jc w:val="center"/>
              <w:rPr>
                <w:sz w:val="20"/>
                <w:szCs w:val="20"/>
              </w:rPr>
            </w:pPr>
            <w:r w:rsidRPr="002E48EF">
              <w:rPr>
                <w:rStyle w:val="Bodytext285pt"/>
                <w:rFonts w:eastAsia="Tahoma"/>
                <w:spacing w:val="0"/>
                <w:sz w:val="20"/>
                <w:szCs w:val="20"/>
              </w:rPr>
              <w:t>Գումարը</w:t>
            </w:r>
          </w:p>
        </w:tc>
      </w:tr>
      <w:tr w:rsidR="00B834A2" w:rsidRPr="002E48EF" w14:paraId="75906C13" w14:textId="77777777" w:rsidTr="00B834A2">
        <w:trPr>
          <w:cantSplit/>
          <w:jc w:val="center"/>
        </w:trPr>
        <w:tc>
          <w:tcPr>
            <w:tcW w:w="2477" w:type="dxa"/>
            <w:shd w:val="clear" w:color="auto" w:fill="FFFFFF"/>
          </w:tcPr>
          <w:p w14:paraId="07285125" w14:textId="77777777" w:rsidR="00B834A2" w:rsidRPr="002E48EF" w:rsidRDefault="00B834A2" w:rsidP="00696072">
            <w:pPr>
              <w:pStyle w:val="Bodytext20"/>
              <w:shd w:val="clear" w:color="auto" w:fill="auto"/>
              <w:spacing w:before="0" w:line="240" w:lineRule="auto"/>
              <w:ind w:left="27"/>
              <w:jc w:val="left"/>
              <w:rPr>
                <w:rFonts w:ascii="Sylfaen" w:hAnsi="Sylfaen" w:cs="Sylfaen"/>
                <w:sz w:val="20"/>
                <w:szCs w:val="20"/>
              </w:rPr>
            </w:pPr>
            <w:r w:rsidRPr="002E48EF">
              <w:rPr>
                <w:rStyle w:val="Bodytext31Sylfaen9"/>
                <w:sz w:val="20"/>
                <w:szCs w:val="20"/>
              </w:rPr>
              <w:t>I օր</w:t>
            </w:r>
          </w:p>
        </w:tc>
        <w:tc>
          <w:tcPr>
            <w:tcW w:w="2237" w:type="dxa"/>
            <w:shd w:val="clear" w:color="auto" w:fill="FFFFFF"/>
          </w:tcPr>
          <w:p w14:paraId="30BDA4CD" w14:textId="77777777" w:rsidR="00B834A2" w:rsidRPr="002E48EF" w:rsidRDefault="00B834A2" w:rsidP="00696072">
            <w:pPr>
              <w:spacing w:after="120"/>
              <w:jc w:val="center"/>
              <w:rPr>
                <w:sz w:val="20"/>
                <w:szCs w:val="20"/>
              </w:rPr>
            </w:pPr>
          </w:p>
        </w:tc>
        <w:tc>
          <w:tcPr>
            <w:tcW w:w="2707" w:type="dxa"/>
            <w:shd w:val="clear" w:color="auto" w:fill="FFFFFF"/>
          </w:tcPr>
          <w:p w14:paraId="76681453" w14:textId="77777777" w:rsidR="00B834A2" w:rsidRPr="002E48EF" w:rsidRDefault="00B834A2" w:rsidP="00696072">
            <w:pPr>
              <w:spacing w:after="120"/>
              <w:jc w:val="center"/>
              <w:rPr>
                <w:sz w:val="20"/>
                <w:szCs w:val="20"/>
              </w:rPr>
            </w:pPr>
          </w:p>
        </w:tc>
        <w:tc>
          <w:tcPr>
            <w:tcW w:w="2007" w:type="dxa"/>
            <w:shd w:val="clear" w:color="auto" w:fill="FFFFFF"/>
          </w:tcPr>
          <w:p w14:paraId="11E0BBC7" w14:textId="77777777" w:rsidR="00B834A2" w:rsidRPr="002E48EF" w:rsidRDefault="00B834A2" w:rsidP="00696072">
            <w:pPr>
              <w:spacing w:after="120"/>
              <w:jc w:val="center"/>
              <w:rPr>
                <w:sz w:val="20"/>
                <w:szCs w:val="20"/>
              </w:rPr>
            </w:pPr>
          </w:p>
        </w:tc>
      </w:tr>
      <w:tr w:rsidR="00B834A2" w:rsidRPr="002E48EF" w14:paraId="65010AB7" w14:textId="77777777" w:rsidTr="00B834A2">
        <w:trPr>
          <w:cantSplit/>
          <w:jc w:val="center"/>
        </w:trPr>
        <w:tc>
          <w:tcPr>
            <w:tcW w:w="2477" w:type="dxa"/>
            <w:shd w:val="clear" w:color="auto" w:fill="FFFFFF"/>
          </w:tcPr>
          <w:p w14:paraId="408F0A3E"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Փոքր դեղաչափը</w:t>
            </w:r>
          </w:p>
        </w:tc>
        <w:tc>
          <w:tcPr>
            <w:tcW w:w="2237" w:type="dxa"/>
            <w:shd w:val="clear" w:color="auto" w:fill="FFFFFF"/>
          </w:tcPr>
          <w:p w14:paraId="4A88B162" w14:textId="77777777" w:rsidR="00B834A2" w:rsidRPr="002E48EF" w:rsidRDefault="00B834A2" w:rsidP="00696072">
            <w:pPr>
              <w:pStyle w:val="Bodytext20"/>
              <w:shd w:val="clear" w:color="auto" w:fill="auto"/>
              <w:spacing w:before="0" w:line="240" w:lineRule="auto"/>
              <w:ind w:right="780"/>
              <w:rPr>
                <w:rFonts w:ascii="Sylfaen" w:hAnsi="Sylfaen" w:cs="Sylfaen"/>
                <w:i/>
                <w:sz w:val="20"/>
                <w:szCs w:val="20"/>
              </w:rPr>
            </w:pPr>
            <w:r w:rsidRPr="002E48EF">
              <w:rPr>
                <w:rStyle w:val="Bodytext285pt"/>
                <w:i w:val="0"/>
                <w:spacing w:val="0"/>
                <w:sz w:val="20"/>
                <w:szCs w:val="20"/>
              </w:rPr>
              <w:t>S</w:t>
            </w:r>
            <w:r w:rsidRPr="002E48EF">
              <w:rPr>
                <w:rStyle w:val="Bodytext285pt"/>
                <w:i w:val="0"/>
                <w:spacing w:val="0"/>
                <w:sz w:val="20"/>
                <w:szCs w:val="20"/>
                <w:vertAlign w:val="subscript"/>
              </w:rPr>
              <w:t>1I</w:t>
            </w:r>
            <w:r w:rsidRPr="002E48EF">
              <w:rPr>
                <w:rStyle w:val="Bodytext31Sylfaen9"/>
                <w:sz w:val="20"/>
                <w:szCs w:val="20"/>
              </w:rPr>
              <w:t xml:space="preserve"> </w:t>
            </w:r>
            <w:r w:rsidRPr="002E48EF">
              <w:rPr>
                <w:rStyle w:val="Bodytext285pt"/>
                <w:i w:val="0"/>
                <w:spacing w:val="0"/>
                <w:sz w:val="20"/>
                <w:szCs w:val="20"/>
              </w:rPr>
              <w:t>=</w:t>
            </w:r>
            <w:r w:rsidRPr="002E48EF">
              <w:rPr>
                <w:rStyle w:val="Bodytext31Sylfaen9"/>
                <w:sz w:val="20"/>
                <w:szCs w:val="20"/>
              </w:rPr>
              <w:t>1089</w:t>
            </w:r>
          </w:p>
        </w:tc>
        <w:tc>
          <w:tcPr>
            <w:tcW w:w="2707" w:type="dxa"/>
            <w:shd w:val="clear" w:color="auto" w:fill="FFFFFF"/>
          </w:tcPr>
          <w:p w14:paraId="7909D3AA"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1I</w:t>
            </w:r>
            <w:r w:rsidRPr="002E48EF">
              <w:rPr>
                <w:rStyle w:val="Bodytext31Sylfaen9"/>
                <w:sz w:val="20"/>
                <w:szCs w:val="20"/>
              </w:rPr>
              <w:t xml:space="preserve"> </w:t>
            </w:r>
            <w:r w:rsidRPr="002E48EF">
              <w:rPr>
                <w:rStyle w:val="Bodytext285pt"/>
                <w:spacing w:val="0"/>
                <w:sz w:val="20"/>
                <w:szCs w:val="20"/>
              </w:rPr>
              <w:t>=</w:t>
            </w:r>
            <w:r w:rsidRPr="002E48EF">
              <w:rPr>
                <w:rStyle w:val="Bodytext31Sylfaen9"/>
                <w:sz w:val="20"/>
                <w:szCs w:val="20"/>
              </w:rPr>
              <w:t>1248</w:t>
            </w:r>
          </w:p>
        </w:tc>
        <w:tc>
          <w:tcPr>
            <w:tcW w:w="2007" w:type="dxa"/>
            <w:shd w:val="clear" w:color="auto" w:fill="FFFFFF"/>
          </w:tcPr>
          <w:p w14:paraId="090A2383" w14:textId="77777777" w:rsidR="00B834A2" w:rsidRPr="002E48EF" w:rsidRDefault="00B834A2" w:rsidP="00696072">
            <w:pPr>
              <w:spacing w:after="120"/>
              <w:jc w:val="center"/>
              <w:rPr>
                <w:sz w:val="20"/>
                <w:szCs w:val="20"/>
              </w:rPr>
            </w:pPr>
          </w:p>
        </w:tc>
      </w:tr>
      <w:tr w:rsidR="00B834A2" w:rsidRPr="002E48EF" w14:paraId="7FD7322F" w14:textId="77777777" w:rsidTr="00B834A2">
        <w:trPr>
          <w:cantSplit/>
          <w:trHeight w:val="369"/>
          <w:jc w:val="center"/>
        </w:trPr>
        <w:tc>
          <w:tcPr>
            <w:tcW w:w="2477" w:type="dxa"/>
            <w:shd w:val="clear" w:color="auto" w:fill="FFFFFF"/>
          </w:tcPr>
          <w:p w14:paraId="7404FC2C"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Մեծ դեղաչափը</w:t>
            </w:r>
          </w:p>
        </w:tc>
        <w:tc>
          <w:tcPr>
            <w:tcW w:w="2237" w:type="dxa"/>
            <w:shd w:val="clear" w:color="auto" w:fill="FFFFFF"/>
          </w:tcPr>
          <w:p w14:paraId="7E4B2130"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S</w:t>
            </w:r>
            <w:r w:rsidRPr="002E48EF">
              <w:rPr>
                <w:rStyle w:val="Bodytext2Italic"/>
                <w:sz w:val="20"/>
                <w:szCs w:val="20"/>
                <w:vertAlign w:val="subscript"/>
              </w:rPr>
              <w:t xml:space="preserve">2I </w:t>
            </w:r>
            <w:r w:rsidRPr="002E48EF">
              <w:rPr>
                <w:rStyle w:val="Bodytext285pt"/>
                <w:spacing w:val="0"/>
                <w:sz w:val="20"/>
                <w:szCs w:val="20"/>
              </w:rPr>
              <w:t xml:space="preserve">= </w:t>
            </w:r>
            <w:r w:rsidRPr="002E48EF">
              <w:rPr>
                <w:rStyle w:val="Bodytext31Sylfaen9"/>
                <w:sz w:val="20"/>
                <w:szCs w:val="20"/>
              </w:rPr>
              <w:t>944</w:t>
            </w:r>
          </w:p>
        </w:tc>
        <w:tc>
          <w:tcPr>
            <w:tcW w:w="2707" w:type="dxa"/>
            <w:shd w:val="clear" w:color="auto" w:fill="FFFFFF"/>
          </w:tcPr>
          <w:p w14:paraId="23451C5C"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 xml:space="preserve">2I </w:t>
            </w:r>
            <w:r w:rsidRPr="002E48EF">
              <w:rPr>
                <w:rStyle w:val="Bodytext2Italic"/>
                <w:sz w:val="20"/>
                <w:szCs w:val="20"/>
              </w:rPr>
              <w:t>=871</w:t>
            </w:r>
          </w:p>
        </w:tc>
        <w:tc>
          <w:tcPr>
            <w:tcW w:w="2007" w:type="dxa"/>
            <w:shd w:val="clear" w:color="auto" w:fill="FFFFFF"/>
          </w:tcPr>
          <w:p w14:paraId="2D5DBAE2" w14:textId="77777777" w:rsidR="00B834A2" w:rsidRPr="002E48EF" w:rsidRDefault="00B834A2" w:rsidP="00696072">
            <w:pPr>
              <w:spacing w:after="120"/>
              <w:jc w:val="center"/>
              <w:rPr>
                <w:sz w:val="20"/>
                <w:szCs w:val="20"/>
              </w:rPr>
            </w:pPr>
          </w:p>
        </w:tc>
      </w:tr>
      <w:tr w:rsidR="00B834A2" w:rsidRPr="002E48EF" w14:paraId="0FBB25BE" w14:textId="77777777" w:rsidTr="00B834A2">
        <w:trPr>
          <w:cantSplit/>
          <w:jc w:val="center"/>
        </w:trPr>
        <w:tc>
          <w:tcPr>
            <w:tcW w:w="2477" w:type="dxa"/>
            <w:shd w:val="clear" w:color="auto" w:fill="FFFFFF"/>
          </w:tcPr>
          <w:p w14:paraId="7DAD3D37"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Գումարը</w:t>
            </w:r>
          </w:p>
        </w:tc>
        <w:tc>
          <w:tcPr>
            <w:tcW w:w="2237" w:type="dxa"/>
            <w:shd w:val="clear" w:color="auto" w:fill="FFFFFF"/>
          </w:tcPr>
          <w:p w14:paraId="7A1268D4"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S</w:t>
            </w:r>
            <w:r w:rsidRPr="002E48EF">
              <w:rPr>
                <w:rStyle w:val="Bodytext31Sylfaen9"/>
                <w:sz w:val="20"/>
                <w:szCs w:val="20"/>
                <w:vertAlign w:val="subscript"/>
              </w:rPr>
              <w:t xml:space="preserve">I </w:t>
            </w:r>
            <w:r w:rsidRPr="002E48EF">
              <w:rPr>
                <w:rStyle w:val="Bodytext285pt"/>
                <w:i w:val="0"/>
                <w:spacing w:val="0"/>
                <w:sz w:val="20"/>
                <w:szCs w:val="20"/>
              </w:rPr>
              <w:t xml:space="preserve">= </w:t>
            </w:r>
            <w:r w:rsidRPr="002E48EF">
              <w:rPr>
                <w:rStyle w:val="Bodytext31Sylfaen9"/>
                <w:sz w:val="20"/>
                <w:szCs w:val="20"/>
              </w:rPr>
              <w:t>2033</w:t>
            </w:r>
          </w:p>
        </w:tc>
        <w:tc>
          <w:tcPr>
            <w:tcW w:w="2707" w:type="dxa"/>
            <w:shd w:val="clear" w:color="auto" w:fill="FFFFFF"/>
          </w:tcPr>
          <w:p w14:paraId="2F4C84FA"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1</w:t>
            </w:r>
            <w:r w:rsidRPr="002E48EF">
              <w:rPr>
                <w:rStyle w:val="Bodytext31Sylfaen9"/>
                <w:sz w:val="20"/>
                <w:szCs w:val="20"/>
              </w:rPr>
              <w:t xml:space="preserve"> </w:t>
            </w:r>
            <w:r w:rsidRPr="002E48EF">
              <w:rPr>
                <w:rStyle w:val="Bodytext285pt"/>
                <w:spacing w:val="0"/>
                <w:sz w:val="20"/>
                <w:szCs w:val="20"/>
              </w:rPr>
              <w:t xml:space="preserve">= </w:t>
            </w:r>
            <w:r w:rsidRPr="002E48EF">
              <w:rPr>
                <w:rStyle w:val="Bodytext31Sylfaen9"/>
                <w:sz w:val="20"/>
                <w:szCs w:val="20"/>
              </w:rPr>
              <w:t>2119</w:t>
            </w:r>
          </w:p>
        </w:tc>
        <w:tc>
          <w:tcPr>
            <w:tcW w:w="2007" w:type="dxa"/>
            <w:shd w:val="clear" w:color="auto" w:fill="FFFFFF"/>
          </w:tcPr>
          <w:p w14:paraId="25963D51" w14:textId="77777777" w:rsidR="00B834A2" w:rsidRPr="002E48EF" w:rsidRDefault="00B834A2" w:rsidP="00696072">
            <w:pPr>
              <w:spacing w:after="120"/>
              <w:jc w:val="center"/>
              <w:rPr>
                <w:i/>
                <w:sz w:val="20"/>
                <w:szCs w:val="20"/>
              </w:rPr>
            </w:pPr>
            <w:r w:rsidRPr="002E48EF">
              <w:rPr>
                <w:rStyle w:val="Bodytext31Sylfaen9"/>
                <w:sz w:val="20"/>
                <w:szCs w:val="20"/>
              </w:rPr>
              <w:t>D</w:t>
            </w:r>
            <w:r w:rsidRPr="002E48EF">
              <w:rPr>
                <w:rStyle w:val="Bodytext31Sylfaen9"/>
                <w:sz w:val="20"/>
                <w:szCs w:val="20"/>
                <w:vertAlign w:val="subscript"/>
              </w:rPr>
              <w:t xml:space="preserve">I </w:t>
            </w:r>
            <w:r w:rsidRPr="002E48EF">
              <w:rPr>
                <w:rStyle w:val="Bodytext285pt"/>
                <w:rFonts w:eastAsia="Tahoma"/>
                <w:i w:val="0"/>
                <w:spacing w:val="0"/>
                <w:sz w:val="20"/>
                <w:szCs w:val="20"/>
              </w:rPr>
              <w:t xml:space="preserve">= </w:t>
            </w:r>
            <w:r w:rsidRPr="002E48EF">
              <w:rPr>
                <w:rStyle w:val="Bodytext31Sylfaen9"/>
                <w:sz w:val="20"/>
                <w:szCs w:val="20"/>
              </w:rPr>
              <w:t>4152</w:t>
            </w:r>
          </w:p>
        </w:tc>
      </w:tr>
      <w:tr w:rsidR="00B834A2" w:rsidRPr="002E48EF" w14:paraId="29247D9D" w14:textId="77777777" w:rsidTr="00B834A2">
        <w:trPr>
          <w:cantSplit/>
          <w:jc w:val="center"/>
        </w:trPr>
        <w:tc>
          <w:tcPr>
            <w:tcW w:w="2477" w:type="dxa"/>
            <w:shd w:val="clear" w:color="auto" w:fill="FFFFFF"/>
          </w:tcPr>
          <w:p w14:paraId="19A3B148" w14:textId="77777777" w:rsidR="00B834A2" w:rsidRPr="002E48EF" w:rsidRDefault="00B834A2" w:rsidP="00696072">
            <w:pPr>
              <w:pStyle w:val="Bodytext20"/>
              <w:shd w:val="clear" w:color="auto" w:fill="auto"/>
              <w:spacing w:before="0" w:line="240" w:lineRule="auto"/>
              <w:ind w:left="27"/>
              <w:jc w:val="left"/>
              <w:rPr>
                <w:rFonts w:ascii="Sylfaen" w:hAnsi="Sylfaen" w:cs="Sylfaen"/>
                <w:sz w:val="20"/>
                <w:szCs w:val="20"/>
              </w:rPr>
            </w:pPr>
            <w:r w:rsidRPr="002E48EF">
              <w:rPr>
                <w:rStyle w:val="Bodytext31Sylfaen9"/>
                <w:sz w:val="20"/>
                <w:szCs w:val="20"/>
              </w:rPr>
              <w:t>II օր</w:t>
            </w:r>
          </w:p>
        </w:tc>
        <w:tc>
          <w:tcPr>
            <w:tcW w:w="2237" w:type="dxa"/>
            <w:shd w:val="clear" w:color="auto" w:fill="FFFFFF"/>
          </w:tcPr>
          <w:p w14:paraId="37D4E708" w14:textId="77777777" w:rsidR="00B834A2" w:rsidRPr="002E48EF" w:rsidRDefault="00B834A2" w:rsidP="00696072">
            <w:pPr>
              <w:spacing w:after="120"/>
              <w:jc w:val="center"/>
              <w:rPr>
                <w:i/>
                <w:sz w:val="20"/>
                <w:szCs w:val="20"/>
              </w:rPr>
            </w:pPr>
          </w:p>
        </w:tc>
        <w:tc>
          <w:tcPr>
            <w:tcW w:w="2707" w:type="dxa"/>
            <w:shd w:val="clear" w:color="auto" w:fill="FFFFFF"/>
          </w:tcPr>
          <w:p w14:paraId="7DAFE981" w14:textId="77777777" w:rsidR="00B834A2" w:rsidRPr="002E48EF" w:rsidRDefault="00B834A2" w:rsidP="00696072">
            <w:pPr>
              <w:spacing w:after="120"/>
              <w:jc w:val="center"/>
              <w:rPr>
                <w:i/>
                <w:sz w:val="20"/>
                <w:szCs w:val="20"/>
              </w:rPr>
            </w:pPr>
          </w:p>
        </w:tc>
        <w:tc>
          <w:tcPr>
            <w:tcW w:w="2007" w:type="dxa"/>
            <w:shd w:val="clear" w:color="auto" w:fill="FFFFFF"/>
          </w:tcPr>
          <w:p w14:paraId="609E04A1" w14:textId="77777777" w:rsidR="00B834A2" w:rsidRPr="002E48EF" w:rsidRDefault="00B834A2" w:rsidP="00696072">
            <w:pPr>
              <w:spacing w:after="120"/>
              <w:jc w:val="center"/>
              <w:rPr>
                <w:i/>
                <w:sz w:val="20"/>
                <w:szCs w:val="20"/>
              </w:rPr>
            </w:pPr>
          </w:p>
        </w:tc>
      </w:tr>
      <w:tr w:rsidR="00B834A2" w:rsidRPr="002E48EF" w14:paraId="25F78394" w14:textId="77777777" w:rsidTr="00B834A2">
        <w:trPr>
          <w:cantSplit/>
          <w:jc w:val="center"/>
        </w:trPr>
        <w:tc>
          <w:tcPr>
            <w:tcW w:w="2477" w:type="dxa"/>
            <w:shd w:val="clear" w:color="auto" w:fill="FFFFFF"/>
          </w:tcPr>
          <w:p w14:paraId="77F3C3CD"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Փոքր դեղաչափը</w:t>
            </w:r>
          </w:p>
        </w:tc>
        <w:tc>
          <w:tcPr>
            <w:tcW w:w="2237" w:type="dxa"/>
            <w:shd w:val="clear" w:color="auto" w:fill="FFFFFF"/>
          </w:tcPr>
          <w:p w14:paraId="5DAB9285"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S</w:t>
            </w:r>
            <w:r w:rsidRPr="002E48EF">
              <w:rPr>
                <w:rStyle w:val="Bodytext31Sylfaen9"/>
                <w:sz w:val="20"/>
                <w:szCs w:val="20"/>
                <w:vertAlign w:val="subscript"/>
              </w:rPr>
              <w:t>1II</w:t>
            </w:r>
            <w:r w:rsidRPr="002E48EF">
              <w:rPr>
                <w:rStyle w:val="Bodytext31Sylfaen9"/>
                <w:sz w:val="20"/>
                <w:szCs w:val="20"/>
              </w:rPr>
              <w:t>= 1194</w:t>
            </w:r>
          </w:p>
        </w:tc>
        <w:tc>
          <w:tcPr>
            <w:tcW w:w="2707" w:type="dxa"/>
            <w:shd w:val="clear" w:color="auto" w:fill="FFFFFF"/>
          </w:tcPr>
          <w:p w14:paraId="1A20ECAF"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1II</w:t>
            </w:r>
            <w:r w:rsidRPr="002E48EF">
              <w:rPr>
                <w:rStyle w:val="Bodytext31Sylfaen9"/>
                <w:sz w:val="20"/>
                <w:szCs w:val="20"/>
              </w:rPr>
              <w:t xml:space="preserve"> = 1096</w:t>
            </w:r>
          </w:p>
        </w:tc>
        <w:tc>
          <w:tcPr>
            <w:tcW w:w="2007" w:type="dxa"/>
            <w:shd w:val="clear" w:color="auto" w:fill="FFFFFF"/>
          </w:tcPr>
          <w:p w14:paraId="7C24AC6B" w14:textId="77777777" w:rsidR="00B834A2" w:rsidRPr="002E48EF" w:rsidRDefault="00B834A2" w:rsidP="00696072">
            <w:pPr>
              <w:spacing w:after="120"/>
              <w:jc w:val="center"/>
              <w:rPr>
                <w:i/>
                <w:sz w:val="20"/>
                <w:szCs w:val="20"/>
              </w:rPr>
            </w:pPr>
          </w:p>
        </w:tc>
      </w:tr>
      <w:tr w:rsidR="00B834A2" w:rsidRPr="002E48EF" w14:paraId="6DCC98B4" w14:textId="77777777" w:rsidTr="00B834A2">
        <w:trPr>
          <w:cantSplit/>
          <w:trHeight w:val="393"/>
          <w:jc w:val="center"/>
        </w:trPr>
        <w:tc>
          <w:tcPr>
            <w:tcW w:w="2477" w:type="dxa"/>
            <w:shd w:val="clear" w:color="auto" w:fill="FFFFFF"/>
          </w:tcPr>
          <w:p w14:paraId="237F7E3D"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Մեծ դեղաչափը</w:t>
            </w:r>
          </w:p>
        </w:tc>
        <w:tc>
          <w:tcPr>
            <w:tcW w:w="2237" w:type="dxa"/>
            <w:shd w:val="clear" w:color="auto" w:fill="FFFFFF"/>
            <w:vAlign w:val="center"/>
          </w:tcPr>
          <w:p w14:paraId="6D1AA9D9"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S</w:t>
            </w:r>
            <w:r w:rsidRPr="002E48EF">
              <w:rPr>
                <w:rStyle w:val="Bodytext31Sylfaen9"/>
                <w:sz w:val="20"/>
                <w:szCs w:val="20"/>
                <w:vertAlign w:val="subscript"/>
              </w:rPr>
              <w:t>2II</w:t>
            </w:r>
            <w:r w:rsidRPr="002E48EF">
              <w:rPr>
                <w:rStyle w:val="Bodytext31Sylfaen9"/>
                <w:sz w:val="20"/>
                <w:szCs w:val="20"/>
              </w:rPr>
              <w:t>=871</w:t>
            </w:r>
          </w:p>
        </w:tc>
        <w:tc>
          <w:tcPr>
            <w:tcW w:w="2707" w:type="dxa"/>
            <w:shd w:val="clear" w:color="auto" w:fill="FFFFFF"/>
          </w:tcPr>
          <w:p w14:paraId="32F2D2CF"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2Italic"/>
                <w:sz w:val="20"/>
                <w:szCs w:val="20"/>
              </w:rPr>
              <w:t>U</w:t>
            </w:r>
            <w:r w:rsidRPr="002E48EF">
              <w:rPr>
                <w:rStyle w:val="Bodytext2Italic"/>
                <w:sz w:val="20"/>
                <w:szCs w:val="20"/>
                <w:vertAlign w:val="subscript"/>
              </w:rPr>
              <w:t>2II</w:t>
            </w:r>
            <w:r w:rsidRPr="002E48EF">
              <w:rPr>
                <w:rStyle w:val="Bodytext285pt"/>
                <w:spacing w:val="0"/>
                <w:sz w:val="20"/>
                <w:szCs w:val="20"/>
              </w:rPr>
              <w:t xml:space="preserve"> = </w:t>
            </w:r>
            <w:r w:rsidRPr="002E48EF">
              <w:rPr>
                <w:rStyle w:val="Bodytext31Sylfaen9"/>
                <w:sz w:val="20"/>
                <w:szCs w:val="20"/>
              </w:rPr>
              <w:t>783</w:t>
            </w:r>
          </w:p>
        </w:tc>
        <w:tc>
          <w:tcPr>
            <w:tcW w:w="2007" w:type="dxa"/>
            <w:shd w:val="clear" w:color="auto" w:fill="FFFFFF"/>
          </w:tcPr>
          <w:p w14:paraId="288E151C" w14:textId="77777777" w:rsidR="00B834A2" w:rsidRPr="002E48EF" w:rsidRDefault="00B834A2" w:rsidP="00696072">
            <w:pPr>
              <w:spacing w:after="120"/>
              <w:jc w:val="center"/>
              <w:rPr>
                <w:i/>
                <w:sz w:val="20"/>
                <w:szCs w:val="20"/>
              </w:rPr>
            </w:pPr>
          </w:p>
        </w:tc>
      </w:tr>
      <w:tr w:rsidR="00B834A2" w:rsidRPr="002E48EF" w14:paraId="0CFBD158" w14:textId="77777777" w:rsidTr="00B834A2">
        <w:trPr>
          <w:cantSplit/>
          <w:jc w:val="center"/>
        </w:trPr>
        <w:tc>
          <w:tcPr>
            <w:tcW w:w="2477" w:type="dxa"/>
            <w:shd w:val="clear" w:color="auto" w:fill="FFFFFF"/>
          </w:tcPr>
          <w:p w14:paraId="5D0B20CF"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Գումարը</w:t>
            </w:r>
          </w:p>
        </w:tc>
        <w:tc>
          <w:tcPr>
            <w:tcW w:w="2237" w:type="dxa"/>
            <w:shd w:val="clear" w:color="auto" w:fill="FFFFFF"/>
          </w:tcPr>
          <w:p w14:paraId="0EF682F0"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S</w:t>
            </w:r>
            <w:r w:rsidRPr="002E48EF">
              <w:rPr>
                <w:rStyle w:val="Bodytext31Sylfaen9"/>
                <w:sz w:val="20"/>
                <w:szCs w:val="20"/>
                <w:vertAlign w:val="subscript"/>
              </w:rPr>
              <w:t>II</w:t>
            </w:r>
            <w:r w:rsidRPr="002E48EF">
              <w:rPr>
                <w:rStyle w:val="Bodytext31Sylfaen9"/>
                <w:sz w:val="20"/>
                <w:szCs w:val="20"/>
              </w:rPr>
              <w:t xml:space="preserve"> </w:t>
            </w:r>
            <w:r w:rsidRPr="002E48EF">
              <w:rPr>
                <w:rStyle w:val="Bodytext285pt"/>
                <w:i w:val="0"/>
                <w:spacing w:val="0"/>
                <w:sz w:val="20"/>
                <w:szCs w:val="20"/>
              </w:rPr>
              <w:t xml:space="preserve">= </w:t>
            </w:r>
            <w:r w:rsidRPr="002E48EF">
              <w:rPr>
                <w:rStyle w:val="Bodytext31Sylfaen9"/>
                <w:sz w:val="20"/>
                <w:szCs w:val="20"/>
              </w:rPr>
              <w:t>2065</w:t>
            </w:r>
          </w:p>
        </w:tc>
        <w:tc>
          <w:tcPr>
            <w:tcW w:w="2707" w:type="dxa"/>
            <w:shd w:val="clear" w:color="auto" w:fill="FFFFFF"/>
          </w:tcPr>
          <w:p w14:paraId="2209ED95"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U</w:t>
            </w:r>
            <w:r w:rsidRPr="002E48EF">
              <w:rPr>
                <w:rStyle w:val="Bodytext2Italic"/>
                <w:sz w:val="20"/>
                <w:szCs w:val="20"/>
                <w:vertAlign w:val="subscript"/>
              </w:rPr>
              <w:t>II</w:t>
            </w:r>
            <w:r w:rsidRPr="002E48EF">
              <w:rPr>
                <w:rStyle w:val="Bodytext285pt"/>
                <w:spacing w:val="0"/>
                <w:sz w:val="20"/>
                <w:szCs w:val="20"/>
              </w:rPr>
              <w:t xml:space="preserve"> = </w:t>
            </w:r>
            <w:r w:rsidRPr="002E48EF">
              <w:rPr>
                <w:rStyle w:val="Bodytext31Sylfaen9"/>
                <w:sz w:val="20"/>
                <w:szCs w:val="20"/>
              </w:rPr>
              <w:t>1879</w:t>
            </w:r>
          </w:p>
        </w:tc>
        <w:tc>
          <w:tcPr>
            <w:tcW w:w="2007" w:type="dxa"/>
            <w:shd w:val="clear" w:color="auto" w:fill="FFFFFF"/>
          </w:tcPr>
          <w:p w14:paraId="71EC300A" w14:textId="77777777" w:rsidR="00B834A2" w:rsidRPr="002E48EF" w:rsidRDefault="00B834A2" w:rsidP="00696072">
            <w:pPr>
              <w:spacing w:after="120"/>
              <w:jc w:val="center"/>
              <w:rPr>
                <w:i/>
                <w:sz w:val="20"/>
                <w:szCs w:val="20"/>
              </w:rPr>
            </w:pPr>
            <w:r w:rsidRPr="002E48EF">
              <w:rPr>
                <w:rStyle w:val="Bodytext31Sylfaen9"/>
                <w:sz w:val="20"/>
                <w:szCs w:val="20"/>
              </w:rPr>
              <w:t>D</w:t>
            </w:r>
            <w:r w:rsidRPr="002E48EF">
              <w:rPr>
                <w:rStyle w:val="Bodytext31Sylfaen9"/>
                <w:sz w:val="20"/>
                <w:szCs w:val="20"/>
                <w:vertAlign w:val="subscript"/>
              </w:rPr>
              <w:t>II</w:t>
            </w:r>
            <w:r w:rsidRPr="002E48EF">
              <w:rPr>
                <w:rStyle w:val="Bodytext31Sylfaen9"/>
                <w:sz w:val="20"/>
                <w:szCs w:val="20"/>
              </w:rPr>
              <w:t xml:space="preserve"> </w:t>
            </w:r>
            <w:r w:rsidRPr="002E48EF">
              <w:rPr>
                <w:rStyle w:val="Bodytext285pt"/>
                <w:rFonts w:eastAsia="Tahoma"/>
                <w:i w:val="0"/>
                <w:spacing w:val="0"/>
                <w:sz w:val="20"/>
                <w:szCs w:val="20"/>
              </w:rPr>
              <w:t xml:space="preserve">= </w:t>
            </w:r>
            <w:r w:rsidRPr="002E48EF">
              <w:rPr>
                <w:rStyle w:val="Bodytext31Sylfaen9"/>
                <w:sz w:val="20"/>
                <w:szCs w:val="20"/>
              </w:rPr>
              <w:t>3944</w:t>
            </w:r>
          </w:p>
        </w:tc>
      </w:tr>
      <w:tr w:rsidR="00B834A2" w:rsidRPr="002E48EF" w14:paraId="2599C734" w14:textId="77777777" w:rsidTr="00B834A2">
        <w:trPr>
          <w:cantSplit/>
          <w:jc w:val="center"/>
        </w:trPr>
        <w:tc>
          <w:tcPr>
            <w:tcW w:w="2477" w:type="dxa"/>
            <w:shd w:val="clear" w:color="auto" w:fill="FFFFFF"/>
          </w:tcPr>
          <w:p w14:paraId="339ACB0D" w14:textId="77777777" w:rsidR="00B834A2" w:rsidRPr="002E48EF" w:rsidRDefault="00B834A2" w:rsidP="00696072">
            <w:pPr>
              <w:pStyle w:val="Bodytext20"/>
              <w:shd w:val="clear" w:color="auto" w:fill="auto"/>
              <w:spacing w:before="0" w:line="240" w:lineRule="auto"/>
              <w:ind w:left="27"/>
              <w:jc w:val="left"/>
              <w:rPr>
                <w:rFonts w:ascii="Sylfaen" w:hAnsi="Sylfaen" w:cs="Sylfaen"/>
                <w:sz w:val="20"/>
                <w:szCs w:val="20"/>
              </w:rPr>
            </w:pPr>
            <w:r w:rsidRPr="002E48EF">
              <w:rPr>
                <w:rStyle w:val="Bodytext31Sylfaen9"/>
                <w:sz w:val="20"/>
                <w:szCs w:val="20"/>
              </w:rPr>
              <w:t>Արձագանքների գումարը՝ 2 օրվա համար</w:t>
            </w:r>
          </w:p>
        </w:tc>
        <w:tc>
          <w:tcPr>
            <w:tcW w:w="2237" w:type="dxa"/>
            <w:shd w:val="clear" w:color="auto" w:fill="FFFFFF"/>
          </w:tcPr>
          <w:p w14:paraId="546C8065"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 xml:space="preserve">S </w:t>
            </w:r>
            <w:r w:rsidRPr="002E48EF">
              <w:rPr>
                <w:rStyle w:val="Bodytext285pt"/>
                <w:i w:val="0"/>
                <w:spacing w:val="0"/>
                <w:sz w:val="20"/>
                <w:szCs w:val="20"/>
              </w:rPr>
              <w:t xml:space="preserve">= </w:t>
            </w:r>
            <w:r w:rsidRPr="002E48EF">
              <w:rPr>
                <w:rStyle w:val="Bodytext31Sylfaen9"/>
                <w:sz w:val="20"/>
                <w:szCs w:val="20"/>
              </w:rPr>
              <w:t>4098</w:t>
            </w:r>
          </w:p>
        </w:tc>
        <w:tc>
          <w:tcPr>
            <w:tcW w:w="2707" w:type="dxa"/>
            <w:shd w:val="clear" w:color="auto" w:fill="FFFFFF"/>
          </w:tcPr>
          <w:p w14:paraId="61869841"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U= 3998</w:t>
            </w:r>
          </w:p>
        </w:tc>
        <w:tc>
          <w:tcPr>
            <w:tcW w:w="2007" w:type="dxa"/>
            <w:shd w:val="clear" w:color="auto" w:fill="FFFFFF"/>
          </w:tcPr>
          <w:p w14:paraId="038BCF3B" w14:textId="77777777" w:rsidR="00B834A2" w:rsidRPr="002E48EF" w:rsidRDefault="00B834A2" w:rsidP="00696072">
            <w:pPr>
              <w:spacing w:after="120"/>
              <w:jc w:val="center"/>
              <w:rPr>
                <w:i/>
                <w:sz w:val="20"/>
                <w:szCs w:val="20"/>
              </w:rPr>
            </w:pPr>
            <w:r w:rsidRPr="002E48EF">
              <w:rPr>
                <w:rStyle w:val="Bodytext31Sylfaen9"/>
                <w:sz w:val="20"/>
                <w:szCs w:val="20"/>
              </w:rPr>
              <w:t>Σy=8096</w:t>
            </w:r>
          </w:p>
        </w:tc>
      </w:tr>
      <w:tr w:rsidR="00B834A2" w:rsidRPr="002E48EF" w14:paraId="630E4A1C" w14:textId="77777777" w:rsidTr="00B834A2">
        <w:trPr>
          <w:cantSplit/>
          <w:jc w:val="center"/>
        </w:trPr>
        <w:tc>
          <w:tcPr>
            <w:tcW w:w="2477" w:type="dxa"/>
            <w:shd w:val="clear" w:color="auto" w:fill="FFFFFF"/>
          </w:tcPr>
          <w:p w14:paraId="177BD548" w14:textId="77777777" w:rsidR="00B834A2" w:rsidRPr="002E48EF" w:rsidRDefault="00B834A2" w:rsidP="00696072">
            <w:pPr>
              <w:pStyle w:val="Bodytext20"/>
              <w:shd w:val="clear" w:color="auto" w:fill="auto"/>
              <w:spacing w:before="0" w:line="240" w:lineRule="auto"/>
              <w:ind w:left="27"/>
              <w:jc w:val="left"/>
              <w:rPr>
                <w:rFonts w:ascii="Sylfaen" w:hAnsi="Sylfaen" w:cs="Sylfaen"/>
                <w:sz w:val="20"/>
                <w:szCs w:val="20"/>
              </w:rPr>
            </w:pPr>
            <w:r w:rsidRPr="002E48EF">
              <w:rPr>
                <w:rStyle w:val="Bodytext31Sylfaen9"/>
                <w:sz w:val="20"/>
                <w:szCs w:val="20"/>
              </w:rPr>
              <w:t>Գծային կոնտրաստները</w:t>
            </w:r>
          </w:p>
        </w:tc>
        <w:tc>
          <w:tcPr>
            <w:tcW w:w="2237" w:type="dxa"/>
            <w:shd w:val="clear" w:color="auto" w:fill="FFFFFF"/>
          </w:tcPr>
          <w:p w14:paraId="04B1F843" w14:textId="77777777" w:rsidR="00B834A2" w:rsidRPr="002E48EF" w:rsidRDefault="00B834A2" w:rsidP="00696072">
            <w:pPr>
              <w:spacing w:after="120"/>
              <w:jc w:val="center"/>
              <w:rPr>
                <w:i/>
                <w:sz w:val="20"/>
                <w:szCs w:val="20"/>
              </w:rPr>
            </w:pPr>
          </w:p>
        </w:tc>
        <w:tc>
          <w:tcPr>
            <w:tcW w:w="2707" w:type="dxa"/>
            <w:shd w:val="clear" w:color="auto" w:fill="FFFFFF"/>
          </w:tcPr>
          <w:p w14:paraId="3A8DD24B" w14:textId="77777777" w:rsidR="00B834A2" w:rsidRPr="002E48EF" w:rsidRDefault="00B834A2" w:rsidP="00696072">
            <w:pPr>
              <w:spacing w:after="120"/>
              <w:jc w:val="center"/>
              <w:rPr>
                <w:i/>
                <w:sz w:val="20"/>
                <w:szCs w:val="20"/>
              </w:rPr>
            </w:pPr>
          </w:p>
        </w:tc>
        <w:tc>
          <w:tcPr>
            <w:tcW w:w="2007" w:type="dxa"/>
            <w:shd w:val="clear" w:color="auto" w:fill="FFFFFF"/>
          </w:tcPr>
          <w:p w14:paraId="6DC96AAC" w14:textId="77777777" w:rsidR="00B834A2" w:rsidRPr="002E48EF" w:rsidRDefault="00B834A2" w:rsidP="00696072">
            <w:pPr>
              <w:spacing w:after="120"/>
              <w:jc w:val="center"/>
              <w:rPr>
                <w:i/>
                <w:sz w:val="20"/>
                <w:szCs w:val="20"/>
              </w:rPr>
            </w:pPr>
          </w:p>
        </w:tc>
      </w:tr>
      <w:tr w:rsidR="00B834A2" w:rsidRPr="002E48EF" w14:paraId="136F3CE9" w14:textId="77777777" w:rsidTr="00B834A2">
        <w:trPr>
          <w:cantSplit/>
          <w:jc w:val="center"/>
        </w:trPr>
        <w:tc>
          <w:tcPr>
            <w:tcW w:w="2477" w:type="dxa"/>
            <w:shd w:val="clear" w:color="auto" w:fill="FFFFFF"/>
          </w:tcPr>
          <w:p w14:paraId="363DF74E"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I օր</w:t>
            </w:r>
          </w:p>
        </w:tc>
        <w:tc>
          <w:tcPr>
            <w:tcW w:w="2237" w:type="dxa"/>
            <w:shd w:val="clear" w:color="auto" w:fill="FFFFFF"/>
          </w:tcPr>
          <w:p w14:paraId="02452ABB"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285pt"/>
                <w:i w:val="0"/>
                <w:spacing w:val="0"/>
                <w:sz w:val="20"/>
                <w:szCs w:val="20"/>
              </w:rPr>
              <w:t>L</w:t>
            </w:r>
            <w:r w:rsidRPr="002E48EF">
              <w:rPr>
                <w:rStyle w:val="Bodytext285pt"/>
                <w:i w:val="0"/>
                <w:spacing w:val="0"/>
                <w:sz w:val="20"/>
                <w:szCs w:val="20"/>
                <w:vertAlign w:val="subscript"/>
              </w:rPr>
              <w:t>SI</w:t>
            </w:r>
            <w:r w:rsidRPr="002E48EF">
              <w:rPr>
                <w:rStyle w:val="Bodytext285pt"/>
                <w:i w:val="0"/>
                <w:spacing w:val="0"/>
                <w:sz w:val="20"/>
                <w:szCs w:val="20"/>
              </w:rPr>
              <w:t xml:space="preserve"> = </w:t>
            </w:r>
            <w:r w:rsidRPr="002E48EF">
              <w:rPr>
                <w:rStyle w:val="Bodytext31Sylfaen9"/>
                <w:sz w:val="20"/>
                <w:szCs w:val="20"/>
              </w:rPr>
              <w:t>-145</w:t>
            </w:r>
          </w:p>
        </w:tc>
        <w:tc>
          <w:tcPr>
            <w:tcW w:w="2707" w:type="dxa"/>
            <w:shd w:val="clear" w:color="auto" w:fill="FFFFFF"/>
          </w:tcPr>
          <w:p w14:paraId="3284EEAC"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L</w:t>
            </w:r>
            <w:r w:rsidRPr="002E48EF">
              <w:rPr>
                <w:rStyle w:val="Bodytext2Italic"/>
                <w:sz w:val="20"/>
                <w:szCs w:val="20"/>
                <w:vertAlign w:val="subscript"/>
              </w:rPr>
              <w:t xml:space="preserve">U1 </w:t>
            </w:r>
            <w:r w:rsidRPr="002E48EF">
              <w:rPr>
                <w:rStyle w:val="Bodytext31Sylfaen9"/>
                <w:sz w:val="20"/>
                <w:szCs w:val="20"/>
              </w:rPr>
              <w:t>=-377</w:t>
            </w:r>
          </w:p>
        </w:tc>
        <w:tc>
          <w:tcPr>
            <w:tcW w:w="2007" w:type="dxa"/>
            <w:shd w:val="clear" w:color="auto" w:fill="FFFFFF"/>
          </w:tcPr>
          <w:p w14:paraId="30C512CE" w14:textId="77777777" w:rsidR="00B834A2" w:rsidRPr="002E48EF" w:rsidRDefault="00B834A2" w:rsidP="00696072">
            <w:pPr>
              <w:spacing w:after="120"/>
              <w:jc w:val="center"/>
              <w:rPr>
                <w:i/>
                <w:sz w:val="20"/>
                <w:szCs w:val="20"/>
              </w:rPr>
            </w:pPr>
            <w:r w:rsidRPr="002E48EF">
              <w:rPr>
                <w:rStyle w:val="Bodytext285pt"/>
                <w:rFonts w:eastAsia="Tahoma"/>
                <w:i w:val="0"/>
                <w:spacing w:val="0"/>
                <w:sz w:val="20"/>
                <w:szCs w:val="20"/>
              </w:rPr>
              <w:t>L</w:t>
            </w:r>
            <w:r w:rsidRPr="002E48EF">
              <w:rPr>
                <w:rStyle w:val="Bodytext285pt"/>
                <w:rFonts w:eastAsia="Tahoma"/>
                <w:i w:val="0"/>
                <w:spacing w:val="0"/>
                <w:sz w:val="20"/>
                <w:szCs w:val="20"/>
                <w:vertAlign w:val="subscript"/>
              </w:rPr>
              <w:t>I</w:t>
            </w:r>
            <w:r w:rsidRPr="002E48EF">
              <w:rPr>
                <w:rStyle w:val="Bodytext285pt"/>
                <w:rFonts w:eastAsia="Tahoma"/>
                <w:i w:val="0"/>
                <w:spacing w:val="0"/>
                <w:sz w:val="20"/>
                <w:szCs w:val="20"/>
              </w:rPr>
              <w:t xml:space="preserve"> = -</w:t>
            </w:r>
            <w:r w:rsidRPr="002E48EF">
              <w:rPr>
                <w:rStyle w:val="Bodytext31Sylfaen9"/>
                <w:sz w:val="20"/>
                <w:szCs w:val="20"/>
              </w:rPr>
              <w:t>522</w:t>
            </w:r>
          </w:p>
        </w:tc>
      </w:tr>
      <w:tr w:rsidR="00B834A2" w:rsidRPr="002E48EF" w14:paraId="08279B5F" w14:textId="77777777" w:rsidTr="00B834A2">
        <w:trPr>
          <w:cantSplit/>
          <w:jc w:val="center"/>
        </w:trPr>
        <w:tc>
          <w:tcPr>
            <w:tcW w:w="2477" w:type="dxa"/>
            <w:shd w:val="clear" w:color="auto" w:fill="FFFFFF"/>
          </w:tcPr>
          <w:p w14:paraId="2D80627B"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II օր</w:t>
            </w:r>
          </w:p>
        </w:tc>
        <w:tc>
          <w:tcPr>
            <w:tcW w:w="2237" w:type="dxa"/>
            <w:shd w:val="clear" w:color="auto" w:fill="FFFFFF"/>
          </w:tcPr>
          <w:p w14:paraId="314EC620"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285pt"/>
                <w:i w:val="0"/>
                <w:spacing w:val="0"/>
                <w:sz w:val="20"/>
                <w:szCs w:val="20"/>
              </w:rPr>
              <w:t>L</w:t>
            </w:r>
            <w:r w:rsidRPr="002E48EF">
              <w:rPr>
                <w:rStyle w:val="Bodytext285pt"/>
                <w:i w:val="0"/>
                <w:spacing w:val="0"/>
                <w:sz w:val="20"/>
                <w:szCs w:val="20"/>
                <w:vertAlign w:val="subscript"/>
              </w:rPr>
              <w:t>SI</w:t>
            </w:r>
            <w:r w:rsidRPr="002E48EF">
              <w:rPr>
                <w:rStyle w:val="Bodytext31Sylfaen9"/>
                <w:sz w:val="20"/>
                <w:szCs w:val="20"/>
                <w:vertAlign w:val="subscript"/>
              </w:rPr>
              <w:t>I</w:t>
            </w:r>
            <w:r w:rsidRPr="002E48EF">
              <w:rPr>
                <w:rStyle w:val="Bodytext31Sylfaen9"/>
                <w:sz w:val="20"/>
                <w:szCs w:val="20"/>
              </w:rPr>
              <w:t xml:space="preserve"> = -323</w:t>
            </w:r>
          </w:p>
        </w:tc>
        <w:tc>
          <w:tcPr>
            <w:tcW w:w="2707" w:type="dxa"/>
            <w:shd w:val="clear" w:color="auto" w:fill="FFFFFF"/>
          </w:tcPr>
          <w:p w14:paraId="3613915E" w14:textId="77777777" w:rsidR="00B834A2" w:rsidRPr="002E48EF" w:rsidRDefault="00B834A2" w:rsidP="00696072">
            <w:pPr>
              <w:pStyle w:val="Bodytext20"/>
              <w:shd w:val="clear" w:color="auto" w:fill="auto"/>
              <w:spacing w:before="0" w:line="240" w:lineRule="auto"/>
              <w:rPr>
                <w:rFonts w:ascii="Sylfaen" w:hAnsi="Sylfaen" w:cs="Sylfaen"/>
                <w:sz w:val="20"/>
                <w:szCs w:val="20"/>
              </w:rPr>
            </w:pPr>
            <w:r w:rsidRPr="002E48EF">
              <w:rPr>
                <w:rStyle w:val="Bodytext2Italic"/>
                <w:sz w:val="20"/>
                <w:szCs w:val="20"/>
              </w:rPr>
              <w:t>L</w:t>
            </w:r>
            <w:r w:rsidRPr="002E48EF">
              <w:rPr>
                <w:rStyle w:val="Bodytext2Italic"/>
                <w:sz w:val="20"/>
                <w:szCs w:val="20"/>
                <w:vertAlign w:val="subscript"/>
              </w:rPr>
              <w:t xml:space="preserve">UII </w:t>
            </w:r>
            <w:r w:rsidRPr="002E48EF">
              <w:rPr>
                <w:rStyle w:val="Bodytext285pt"/>
                <w:spacing w:val="0"/>
                <w:sz w:val="20"/>
                <w:szCs w:val="20"/>
              </w:rPr>
              <w:t xml:space="preserve">= </w:t>
            </w:r>
            <w:r w:rsidRPr="002E48EF">
              <w:rPr>
                <w:rStyle w:val="Bodytext31Sylfaen9"/>
                <w:sz w:val="20"/>
                <w:szCs w:val="20"/>
              </w:rPr>
              <w:t>-313</w:t>
            </w:r>
          </w:p>
        </w:tc>
        <w:tc>
          <w:tcPr>
            <w:tcW w:w="2007" w:type="dxa"/>
            <w:shd w:val="clear" w:color="auto" w:fill="FFFFFF"/>
          </w:tcPr>
          <w:p w14:paraId="27BC9186" w14:textId="77777777" w:rsidR="00B834A2" w:rsidRPr="002E48EF" w:rsidRDefault="00B834A2" w:rsidP="00696072">
            <w:pPr>
              <w:spacing w:after="120"/>
              <w:jc w:val="center"/>
              <w:rPr>
                <w:i/>
                <w:sz w:val="20"/>
                <w:szCs w:val="20"/>
              </w:rPr>
            </w:pPr>
            <w:r w:rsidRPr="002E48EF">
              <w:rPr>
                <w:rStyle w:val="Bodytext285pt"/>
                <w:rFonts w:eastAsia="Tahoma"/>
                <w:i w:val="0"/>
                <w:spacing w:val="0"/>
                <w:sz w:val="20"/>
                <w:szCs w:val="20"/>
              </w:rPr>
              <w:t>L</w:t>
            </w:r>
            <w:r w:rsidRPr="002E48EF">
              <w:rPr>
                <w:rStyle w:val="Bodytext285pt"/>
                <w:rFonts w:eastAsia="Tahoma"/>
                <w:i w:val="0"/>
                <w:spacing w:val="0"/>
                <w:sz w:val="20"/>
                <w:szCs w:val="20"/>
                <w:vertAlign w:val="subscript"/>
              </w:rPr>
              <w:t>II</w:t>
            </w:r>
            <w:r w:rsidRPr="002E48EF">
              <w:rPr>
                <w:rStyle w:val="Bodytext285pt"/>
                <w:rFonts w:eastAsia="Tahoma"/>
                <w:i w:val="0"/>
                <w:spacing w:val="0"/>
                <w:sz w:val="20"/>
                <w:szCs w:val="20"/>
              </w:rPr>
              <w:t xml:space="preserve"> =-</w:t>
            </w:r>
            <w:r w:rsidRPr="002E48EF">
              <w:rPr>
                <w:rStyle w:val="Bodytext31Sylfaen9"/>
                <w:sz w:val="20"/>
                <w:szCs w:val="20"/>
              </w:rPr>
              <w:t xml:space="preserve"> ֊636</w:t>
            </w:r>
          </w:p>
        </w:tc>
      </w:tr>
      <w:tr w:rsidR="00B834A2" w:rsidRPr="002E48EF" w14:paraId="571C7F36" w14:textId="77777777" w:rsidTr="00B834A2">
        <w:trPr>
          <w:cantSplit/>
          <w:jc w:val="center"/>
        </w:trPr>
        <w:tc>
          <w:tcPr>
            <w:tcW w:w="2477" w:type="dxa"/>
            <w:tcBorders>
              <w:bottom w:val="single" w:sz="4" w:space="0" w:color="auto"/>
            </w:tcBorders>
            <w:shd w:val="clear" w:color="auto" w:fill="FFFFFF"/>
          </w:tcPr>
          <w:p w14:paraId="72804F3E" w14:textId="77777777" w:rsidR="00B834A2" w:rsidRPr="002E48EF" w:rsidRDefault="00B834A2" w:rsidP="00696072">
            <w:pPr>
              <w:pStyle w:val="Bodytext20"/>
              <w:shd w:val="clear" w:color="auto" w:fill="auto"/>
              <w:spacing w:before="0" w:line="240" w:lineRule="auto"/>
              <w:ind w:left="453"/>
              <w:jc w:val="left"/>
              <w:rPr>
                <w:rFonts w:ascii="Sylfaen" w:hAnsi="Sylfaen" w:cs="Sylfaen"/>
                <w:sz w:val="20"/>
                <w:szCs w:val="20"/>
              </w:rPr>
            </w:pPr>
            <w:r w:rsidRPr="002E48EF">
              <w:rPr>
                <w:rStyle w:val="Bodytext31Sylfaen9"/>
                <w:sz w:val="20"/>
                <w:szCs w:val="20"/>
              </w:rPr>
              <w:t>Գումարը</w:t>
            </w:r>
          </w:p>
        </w:tc>
        <w:tc>
          <w:tcPr>
            <w:tcW w:w="2237" w:type="dxa"/>
            <w:tcBorders>
              <w:bottom w:val="single" w:sz="4" w:space="0" w:color="auto"/>
            </w:tcBorders>
            <w:shd w:val="clear" w:color="auto" w:fill="FFFFFF"/>
          </w:tcPr>
          <w:p w14:paraId="3F6D0585"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285pt"/>
                <w:i w:val="0"/>
                <w:spacing w:val="0"/>
                <w:sz w:val="20"/>
                <w:szCs w:val="20"/>
              </w:rPr>
              <w:t>L</w:t>
            </w:r>
            <w:r w:rsidRPr="002E48EF">
              <w:rPr>
                <w:rStyle w:val="Bodytext285pt"/>
                <w:i w:val="0"/>
                <w:spacing w:val="0"/>
                <w:sz w:val="20"/>
                <w:szCs w:val="20"/>
                <w:vertAlign w:val="subscript"/>
              </w:rPr>
              <w:t>S</w:t>
            </w:r>
            <w:r w:rsidRPr="002E48EF">
              <w:rPr>
                <w:rStyle w:val="Bodytext285pt"/>
                <w:i w:val="0"/>
                <w:spacing w:val="0"/>
                <w:sz w:val="20"/>
                <w:szCs w:val="20"/>
              </w:rPr>
              <w:t xml:space="preserve"> = </w:t>
            </w:r>
            <w:r w:rsidRPr="002E48EF">
              <w:rPr>
                <w:rStyle w:val="Bodytext31Sylfaen9"/>
                <w:sz w:val="20"/>
                <w:szCs w:val="20"/>
              </w:rPr>
              <w:t>- 468</w:t>
            </w:r>
          </w:p>
        </w:tc>
        <w:tc>
          <w:tcPr>
            <w:tcW w:w="2707" w:type="dxa"/>
            <w:tcBorders>
              <w:bottom w:val="single" w:sz="4" w:space="0" w:color="auto"/>
            </w:tcBorders>
            <w:shd w:val="clear" w:color="auto" w:fill="FFFFFF"/>
          </w:tcPr>
          <w:p w14:paraId="54798CDE" w14:textId="77777777" w:rsidR="00B834A2" w:rsidRPr="002E48EF" w:rsidRDefault="00B834A2" w:rsidP="00696072">
            <w:pPr>
              <w:pStyle w:val="Bodytext20"/>
              <w:shd w:val="clear" w:color="auto" w:fill="auto"/>
              <w:spacing w:before="0" w:line="240" w:lineRule="auto"/>
              <w:rPr>
                <w:rFonts w:ascii="Sylfaen" w:hAnsi="Sylfaen" w:cs="Sylfaen"/>
                <w:i/>
                <w:sz w:val="20"/>
                <w:szCs w:val="20"/>
              </w:rPr>
            </w:pPr>
            <w:r w:rsidRPr="002E48EF">
              <w:rPr>
                <w:rStyle w:val="Bodytext31Sylfaen9"/>
                <w:sz w:val="20"/>
                <w:szCs w:val="20"/>
              </w:rPr>
              <w:t>L</w:t>
            </w:r>
            <w:r w:rsidRPr="002E48EF">
              <w:rPr>
                <w:rStyle w:val="Bodytext31Sylfaen9"/>
                <w:sz w:val="20"/>
                <w:szCs w:val="20"/>
                <w:vertAlign w:val="subscript"/>
              </w:rPr>
              <w:t>U</w:t>
            </w:r>
            <w:r w:rsidRPr="002E48EF">
              <w:rPr>
                <w:rStyle w:val="Bodytext285pt"/>
                <w:i w:val="0"/>
                <w:spacing w:val="0"/>
                <w:sz w:val="20"/>
                <w:szCs w:val="20"/>
              </w:rPr>
              <w:t>=</w:t>
            </w:r>
            <w:r w:rsidRPr="002E48EF">
              <w:rPr>
                <w:rStyle w:val="Bodytext31Sylfaen9"/>
                <w:sz w:val="20"/>
                <w:szCs w:val="20"/>
              </w:rPr>
              <w:t>-690</w:t>
            </w:r>
          </w:p>
        </w:tc>
        <w:tc>
          <w:tcPr>
            <w:tcW w:w="2007" w:type="dxa"/>
            <w:tcBorders>
              <w:bottom w:val="single" w:sz="4" w:space="0" w:color="auto"/>
            </w:tcBorders>
            <w:shd w:val="clear" w:color="auto" w:fill="FFFFFF"/>
          </w:tcPr>
          <w:p w14:paraId="561DFA69" w14:textId="77777777" w:rsidR="00B834A2" w:rsidRPr="002E48EF" w:rsidRDefault="00B834A2" w:rsidP="00696072">
            <w:pPr>
              <w:spacing w:after="120"/>
              <w:jc w:val="center"/>
              <w:rPr>
                <w:i/>
                <w:sz w:val="20"/>
                <w:szCs w:val="20"/>
              </w:rPr>
            </w:pPr>
            <w:r w:rsidRPr="002E48EF">
              <w:rPr>
                <w:rStyle w:val="Bodytext31Sylfaen9"/>
                <w:sz w:val="20"/>
                <w:szCs w:val="20"/>
              </w:rPr>
              <w:t>ΣL</w:t>
            </w:r>
            <w:r w:rsidRPr="002E48EF">
              <w:rPr>
                <w:rStyle w:val="Bodytext285pt"/>
                <w:rFonts w:eastAsia="Tahoma"/>
                <w:i w:val="0"/>
                <w:spacing w:val="0"/>
                <w:sz w:val="20"/>
                <w:szCs w:val="20"/>
              </w:rPr>
              <w:t xml:space="preserve">= </w:t>
            </w:r>
            <w:r w:rsidRPr="002E48EF">
              <w:rPr>
                <w:rStyle w:val="Bodytext31Sylfaen9"/>
                <w:sz w:val="20"/>
                <w:szCs w:val="20"/>
              </w:rPr>
              <w:t>-1158</w:t>
            </w:r>
          </w:p>
        </w:tc>
      </w:tr>
    </w:tbl>
    <w:p w14:paraId="7B491820" w14:textId="77777777" w:rsidR="00B834A2" w:rsidRPr="00B834A2" w:rsidRDefault="00000000" w:rsidP="009A3F5E">
      <w:pPr>
        <w:spacing w:after="160" w:line="360" w:lineRule="auto"/>
        <w:ind w:firstLine="567"/>
        <w:jc w:val="both"/>
      </w:pPr>
      <w:r>
        <w:rPr>
          <w:noProof/>
          <w:lang w:val="en-US" w:eastAsia="en-US" w:bidi="ar-SA"/>
        </w:rPr>
        <w:pict w14:anchorId="10C0B09A">
          <v:group id="_x0000_s1453" style="position:absolute;left:0;text-align:left;margin-left:28.6pt;margin-top:2.35pt;width:115.85pt;height:98.45pt;z-index:252036096;mso-position-horizontal-relative:text;mso-position-vertical-relative:text" coordorigin="1990,11495" coordsize="2317,1969">
            <v:rect id="_x0000_s1326" style="position:absolute;left:3426;top:11495;width:881;height:292" stroked="f">
              <v:textbox style="mso-next-textbox:#_x0000_s1326">
                <w:txbxContent>
                  <w:p w14:paraId="6FD73BCF" w14:textId="77777777" w:rsidR="008D6E8B" w:rsidRPr="001F5ACA" w:rsidRDefault="008D6E8B" w:rsidP="00B834A2">
                    <w:pPr>
                      <w:jc w:val="center"/>
                      <w:rPr>
                        <w:sz w:val="14"/>
                        <w:szCs w:val="16"/>
                        <w:lang w:val="en-GB"/>
                      </w:rPr>
                    </w:pPr>
                    <w:r w:rsidRPr="001F5ACA">
                      <w:rPr>
                        <w:sz w:val="10"/>
                      </w:rPr>
                      <w:t>Արդյունք</w:t>
                    </w:r>
                    <w:r w:rsidRPr="001F5ACA">
                      <w:rPr>
                        <w:sz w:val="10"/>
                        <w:lang w:val="ru-RU"/>
                      </w:rPr>
                      <w:t xml:space="preserve"> </w:t>
                    </w:r>
                    <w:r w:rsidRPr="001F5ACA">
                      <w:rPr>
                        <w:sz w:val="10"/>
                        <w:lang w:val="en-GB"/>
                      </w:rPr>
                      <w:t>=</w:t>
                    </w:r>
                  </w:p>
                </w:txbxContent>
              </v:textbox>
            </v:rect>
            <v:rect id="_x0000_s1327" style="position:absolute;left:1990;top:12207;width:881;height:376" stroked="f">
              <v:textbox style="mso-next-textbox:#_x0000_s1327">
                <w:txbxContent>
                  <w:p w14:paraId="3CD4D711" w14:textId="77777777" w:rsidR="008D6E8B" w:rsidRPr="009450B3" w:rsidRDefault="008D6E8B" w:rsidP="00B834A2">
                    <w:pPr>
                      <w:jc w:val="center"/>
                      <w:rPr>
                        <w:sz w:val="16"/>
                        <w:szCs w:val="16"/>
                      </w:rPr>
                    </w:pPr>
                    <w:r w:rsidRPr="00DE6666">
                      <w:rPr>
                        <w:sz w:val="12"/>
                      </w:rPr>
                      <w:t>Բլոկներ</w:t>
                    </w:r>
                  </w:p>
                </w:txbxContent>
              </v:textbox>
            </v:rect>
            <v:rect id="_x0000_s1328" style="position:absolute;left:2072;top:13088;width:1168;height:376" stroked="f">
              <v:textbox style="mso-next-textbox:#_x0000_s1328">
                <w:txbxContent>
                  <w:p w14:paraId="072B6D6E" w14:textId="77777777" w:rsidR="008D6E8B" w:rsidRPr="00DE6666" w:rsidRDefault="008D6E8B" w:rsidP="00B834A2">
                    <w:pPr>
                      <w:jc w:val="center"/>
                      <w:rPr>
                        <w:sz w:val="10"/>
                        <w:szCs w:val="16"/>
                      </w:rPr>
                    </w:pPr>
                    <w:r w:rsidRPr="00DE6666">
                      <w:rPr>
                        <w:sz w:val="10"/>
                      </w:rPr>
                      <w:t>Պատրաստուկներ</w:t>
                    </w:r>
                  </w:p>
                </w:txbxContent>
              </v:textbox>
            </v:rect>
          </v:group>
        </w:pict>
      </w:r>
      <w:r w:rsidR="00B834A2" w:rsidRPr="00B834A2">
        <w:rPr>
          <w:noProof/>
          <w:lang w:val="en-US" w:eastAsia="en-US" w:bidi="ar-SA"/>
        </w:rPr>
        <w:drawing>
          <wp:inline distT="0" distB="0" distL="0" distR="0" wp14:anchorId="4B43C97A" wp14:editId="02953CBE">
            <wp:extent cx="2443368" cy="1401014"/>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cstate="print"/>
                    <a:srcRect/>
                    <a:stretch>
                      <a:fillRect/>
                    </a:stretch>
                  </pic:blipFill>
                  <pic:spPr bwMode="auto">
                    <a:xfrm>
                      <a:off x="0" y="0"/>
                      <a:ext cx="2443368" cy="1401014"/>
                    </a:xfrm>
                    <a:prstGeom prst="rect">
                      <a:avLst/>
                    </a:prstGeom>
                    <a:noFill/>
                    <a:ln w="9525">
                      <a:noFill/>
                      <a:miter lim="800000"/>
                      <a:headEnd/>
                      <a:tailEnd/>
                    </a:ln>
                  </pic:spPr>
                </pic:pic>
              </a:graphicData>
            </a:graphic>
          </wp:inline>
        </w:drawing>
      </w:r>
    </w:p>
    <w:p w14:paraId="3E2F77D7"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p>
    <w:p w14:paraId="3E154274"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hAnsi="Sylfaen" w:cs="Sylfaen"/>
          <w:noProof/>
          <w:sz w:val="24"/>
          <w:szCs w:val="24"/>
          <w:lang w:val="en-US" w:eastAsia="en-US" w:bidi="ar-SA"/>
        </w:rPr>
        <w:lastRenderedPageBreak/>
        <w:pict w14:anchorId="3247FC52">
          <v:group id="_x0000_s1435" style="position:absolute;left:0;text-align:left;margin-left:-1.15pt;margin-top:12.45pt;width:124.5pt;height:73.05pt;z-index:252015104" coordorigin="1395,11336" coordsize="2490,1461">
            <v:rect id="_x0000_s1330" style="position:absolute;left:1395;top:11336;width:1168;height:376" stroked="f">
              <v:textbox style="mso-next-textbox:#_x0000_s1330">
                <w:txbxContent>
                  <w:p w14:paraId="4F85085D" w14:textId="77777777" w:rsidR="008D6E8B" w:rsidRPr="009450B3" w:rsidRDefault="008D6E8B" w:rsidP="00B834A2">
                    <w:pPr>
                      <w:jc w:val="center"/>
                      <w:rPr>
                        <w:sz w:val="16"/>
                        <w:szCs w:val="16"/>
                      </w:rPr>
                    </w:pPr>
                    <w:r>
                      <w:rPr>
                        <w:sz w:val="16"/>
                      </w:rPr>
                      <w:t>Օրեր</w:t>
                    </w:r>
                  </w:p>
                </w:txbxContent>
              </v:textbox>
            </v:rect>
            <v:rect id="_x0000_s1331" style="position:absolute;left:2717;top:12421;width:1168;height:376" stroked="f">
              <v:textbox style="mso-next-textbox:#_x0000_s1331">
                <w:txbxContent>
                  <w:p w14:paraId="0E589E8C" w14:textId="77777777" w:rsidR="008D6E8B" w:rsidRPr="009450B3" w:rsidRDefault="008D6E8B" w:rsidP="00B834A2">
                    <w:pPr>
                      <w:jc w:val="center"/>
                      <w:rPr>
                        <w:sz w:val="16"/>
                        <w:szCs w:val="16"/>
                      </w:rPr>
                    </w:pPr>
                    <w:r>
                      <w:rPr>
                        <w:sz w:val="16"/>
                      </w:rPr>
                      <w:t>Ռեգրեսիա</w:t>
                    </w:r>
                  </w:p>
                </w:txbxContent>
              </v:textbox>
            </v:rect>
          </v:group>
        </w:pict>
      </w:r>
      <w:r w:rsidR="00B834A2" w:rsidRPr="00B834A2">
        <w:rPr>
          <w:rFonts w:ascii="Sylfaen" w:hAnsi="Sylfaen" w:cs="Sylfaen"/>
          <w:noProof/>
          <w:sz w:val="24"/>
          <w:szCs w:val="24"/>
          <w:shd w:val="clear" w:color="auto" w:fill="FFFFFF"/>
          <w:lang w:val="en-US" w:eastAsia="en-US" w:bidi="ar-SA"/>
        </w:rPr>
        <w:drawing>
          <wp:inline distT="0" distB="0" distL="0" distR="0" wp14:anchorId="0EA7B195" wp14:editId="525458CD">
            <wp:extent cx="2720340" cy="1719692"/>
            <wp:effectExtent l="19050" t="0" r="381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9" cstate="print"/>
                    <a:srcRect/>
                    <a:stretch>
                      <a:fillRect/>
                    </a:stretch>
                  </pic:blipFill>
                  <pic:spPr bwMode="auto">
                    <a:xfrm>
                      <a:off x="0" y="0"/>
                      <a:ext cx="2721840" cy="1720640"/>
                    </a:xfrm>
                    <a:prstGeom prst="rect">
                      <a:avLst/>
                    </a:prstGeom>
                    <a:noFill/>
                    <a:ln w="9525">
                      <a:noFill/>
                      <a:miter lim="800000"/>
                      <a:headEnd/>
                      <a:tailEnd/>
                    </a:ln>
                  </pic:spPr>
                </pic:pic>
              </a:graphicData>
            </a:graphic>
          </wp:inline>
        </w:drawing>
      </w:r>
    </w:p>
    <w:p w14:paraId="50A343B1"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p>
    <w:p w14:paraId="2268B831" w14:textId="77777777" w:rsidR="00B834A2" w:rsidRPr="00B834A2" w:rsidRDefault="00000000" w:rsidP="009A3F5E">
      <w:pPr>
        <w:pStyle w:val="Bodytext20"/>
        <w:shd w:val="clear" w:color="auto" w:fill="auto"/>
        <w:spacing w:before="0" w:after="160" w:line="360" w:lineRule="auto"/>
        <w:ind w:firstLine="567"/>
        <w:jc w:val="both"/>
        <w:rPr>
          <w:rFonts w:ascii="Sylfaen" w:hAnsi="Sylfaen" w:cs="Sylfaen"/>
          <w:sz w:val="24"/>
          <w:szCs w:val="24"/>
        </w:rPr>
      </w:pPr>
      <w:r>
        <w:rPr>
          <w:rFonts w:ascii="Sylfaen" w:hAnsi="Sylfaen" w:cs="Sylfaen"/>
          <w:noProof/>
          <w:sz w:val="24"/>
          <w:szCs w:val="24"/>
          <w:lang w:val="en-US" w:eastAsia="en-US" w:bidi="ar-SA"/>
        </w:rPr>
        <w:pict w14:anchorId="08DF88BE">
          <v:group id="_x0000_s1511" style="position:absolute;left:0;text-align:left;margin-left:36.4pt;margin-top:7.85pt;width:220.75pt;height:209.9pt;z-index:252135424" coordorigin="2146,5235" coordsize="4415,4198">
            <v:group id="_x0000_s1441" style="position:absolute;left:2146;top:5235;width:3691;height:4198" coordorigin="2146,1575" coordsize="3691,4198">
              <v:group id="_x0000_s1436" style="position:absolute;left:2146;top:1575;width:2665;height:1861" coordorigin="2146,1575" coordsize="2665,1861">
                <v:rect id="_x0000_s1332" style="position:absolute;left:2146;top:1575;width:2665;height:376" stroked="f">
                  <v:textbox style="mso-next-textbox:#_x0000_s1332">
                    <w:txbxContent>
                      <w:p w14:paraId="096F4CE4" w14:textId="77777777" w:rsidR="008D6E8B" w:rsidRPr="009450B3" w:rsidRDefault="008D6E8B" w:rsidP="00B834A2">
                        <w:pPr>
                          <w:jc w:val="center"/>
                          <w:rPr>
                            <w:sz w:val="16"/>
                            <w:szCs w:val="16"/>
                          </w:rPr>
                        </w:pPr>
                        <w:r>
                          <w:rPr>
                            <w:sz w:val="16"/>
                          </w:rPr>
                          <w:t>Ոչ զուգահեռություն</w:t>
                        </w:r>
                      </w:p>
                    </w:txbxContent>
                  </v:textbox>
                </v:rect>
                <v:rect id="_x0000_s1333" style="position:absolute;left:2892;top:3060;width:1739;height:376" stroked="f">
                  <v:textbox style="mso-next-textbox:#_x0000_s1333">
                    <w:txbxContent>
                      <w:p w14:paraId="3791D402" w14:textId="77777777" w:rsidR="008D6E8B" w:rsidRPr="009450B3" w:rsidRDefault="008D6E8B" w:rsidP="00B834A2">
                        <w:pPr>
                          <w:jc w:val="center"/>
                          <w:rPr>
                            <w:sz w:val="16"/>
                            <w:szCs w:val="16"/>
                          </w:rPr>
                        </w:pPr>
                        <w:r w:rsidRPr="00BC6E6E">
                          <w:rPr>
                            <w:sz w:val="16"/>
                          </w:rPr>
                          <w:t>Օրեր</w:t>
                        </w:r>
                        <w:r w:rsidRPr="00C9769F">
                          <w:rPr>
                            <w:sz w:val="16"/>
                          </w:rPr>
                          <w:t>∙</w:t>
                        </w:r>
                        <w:r w:rsidRPr="00BC6E6E">
                          <w:rPr>
                            <w:sz w:val="16"/>
                          </w:rPr>
                          <w:t>ռեգրեսիա</w:t>
                        </w:r>
                      </w:p>
                    </w:txbxContent>
                  </v:textbox>
                </v:rect>
              </v:group>
              <v:rect id="_x0000_s1334" style="position:absolute;left:3347;top:4466;width:2490;height:376" stroked="f">
                <v:textbox style="mso-next-textbox:#_x0000_s1334">
                  <w:txbxContent>
                    <w:p w14:paraId="597F8F1F" w14:textId="77777777" w:rsidR="008D6E8B" w:rsidRPr="009450B3" w:rsidRDefault="008D6E8B" w:rsidP="00B834A2">
                      <w:pPr>
                        <w:jc w:val="center"/>
                        <w:rPr>
                          <w:sz w:val="16"/>
                          <w:szCs w:val="16"/>
                        </w:rPr>
                      </w:pPr>
                      <w:r>
                        <w:rPr>
                          <w:sz w:val="16"/>
                        </w:rPr>
                        <w:t>Օրեր</w:t>
                      </w:r>
                      <w:r>
                        <w:rPr>
                          <w:sz w:val="16"/>
                          <w:lang w:val="en-GB"/>
                        </w:rPr>
                        <w:t xml:space="preserve"> </w:t>
                      </w:r>
                      <w:r>
                        <w:rPr>
                          <w:sz w:val="16"/>
                        </w:rPr>
                        <w:t>ոչ զուգահեռություն</w:t>
                      </w:r>
                    </w:p>
                  </w:txbxContent>
                </v:textbox>
              </v:rect>
              <v:rect id="_x0000_s1335" style="position:absolute;left:2453;top:5397;width:2178;height:376" stroked="f">
                <v:textbox style="mso-next-textbox:#_x0000_s1335">
                  <w:txbxContent>
                    <w:p w14:paraId="2FA37738" w14:textId="77777777" w:rsidR="008D6E8B" w:rsidRPr="009450B3" w:rsidRDefault="008D6E8B" w:rsidP="00B834A2">
                      <w:pPr>
                        <w:jc w:val="center"/>
                        <w:rPr>
                          <w:sz w:val="16"/>
                          <w:szCs w:val="16"/>
                        </w:rPr>
                      </w:pPr>
                      <w:r>
                        <w:rPr>
                          <w:sz w:val="16"/>
                        </w:rPr>
                        <w:t>ոչ զուգահեռություն</w:t>
                      </w:r>
                    </w:p>
                  </w:txbxContent>
                </v:textbox>
              </v:rect>
            </v:group>
            <v:rect id="_x0000_s1510" style="position:absolute;left:4746;top:9057;width:1815;height:376" stroked="f">
              <v:textbox>
                <w:txbxContent>
                  <w:p w14:paraId="738147CD" w14:textId="77777777" w:rsidR="00B5542D" w:rsidRPr="00B5542D" w:rsidRDefault="00B5542D" w:rsidP="00B5542D">
                    <w:pPr>
                      <w:jc w:val="center"/>
                      <w:rPr>
                        <w:sz w:val="14"/>
                        <w:szCs w:val="16"/>
                        <w:lang w:val="en-GB"/>
                      </w:rPr>
                    </w:pPr>
                    <w:r w:rsidRPr="00B5542D">
                      <w:rPr>
                        <w:sz w:val="14"/>
                        <w:lang w:val="en-GB"/>
                      </w:rPr>
                      <w:t>(</w:t>
                    </w:r>
                    <w:r w:rsidRPr="00B5542D">
                      <w:rPr>
                        <w:sz w:val="14"/>
                      </w:rPr>
                      <w:t>օրեր∙ռեգրեսիա</w:t>
                    </w:r>
                    <w:r w:rsidRPr="00B5542D">
                      <w:rPr>
                        <w:sz w:val="14"/>
                        <w:lang w:val="en-GB"/>
                      </w:rPr>
                      <w:t>)</w:t>
                    </w:r>
                  </w:p>
                </w:txbxContent>
              </v:textbox>
            </v:rect>
          </v:group>
        </w:pict>
      </w:r>
      <w:r>
        <w:rPr>
          <w:rFonts w:ascii="Sylfaen" w:hAnsi="Sylfaen" w:cs="Sylfaen"/>
          <w:noProof/>
          <w:sz w:val="24"/>
          <w:szCs w:val="24"/>
          <w:lang w:val="en-US" w:eastAsia="en-US" w:bidi="ar-SA"/>
        </w:rPr>
        <w:pict w14:anchorId="028D9374">
          <v:group id="_x0000_s1450" style="position:absolute;left:0;text-align:left;margin-left:10.1pt;margin-top:284.5pt;width:203.35pt;height:41.35pt;z-index:252025856" coordorigin="1298,17636" coordsize="4067,827">
            <v:rect id="_x0000_s1336" style="position:absolute;left:2717;top:18087;width:2648;height:376" stroked="f">
              <v:textbox style="mso-next-textbox:#_x0000_s1336">
                <w:txbxContent>
                  <w:p w14:paraId="11A35CD7" w14:textId="77777777" w:rsidR="008D6E8B" w:rsidRPr="009450B3" w:rsidRDefault="008D6E8B" w:rsidP="00B834A2">
                    <w:pPr>
                      <w:jc w:val="center"/>
                      <w:rPr>
                        <w:sz w:val="16"/>
                        <w:szCs w:val="16"/>
                      </w:rPr>
                    </w:pPr>
                    <w:r w:rsidRPr="00F634DB">
                      <w:rPr>
                        <w:sz w:val="16"/>
                      </w:rPr>
                      <w:t>K-օրեր - զուգահեռություն</w:t>
                    </w:r>
                  </w:p>
                </w:txbxContent>
              </v:textbox>
            </v:rect>
            <v:rect id="_x0000_s1337" style="position:absolute;left:1298;top:17636;width:2490;height:376" stroked="f">
              <v:textbox style="mso-next-textbox:#_x0000_s1337">
                <w:txbxContent>
                  <w:p w14:paraId="3E96D484" w14:textId="77777777" w:rsidR="008D6E8B" w:rsidRPr="009450B3" w:rsidRDefault="008D6E8B" w:rsidP="00B834A2">
                    <w:pPr>
                      <w:jc w:val="center"/>
                      <w:rPr>
                        <w:sz w:val="16"/>
                        <w:szCs w:val="16"/>
                      </w:rPr>
                    </w:pPr>
                    <w:r>
                      <w:rPr>
                        <w:sz w:val="16"/>
                      </w:rPr>
                      <w:t>Օրեր պատրաստուկներ</w:t>
                    </w:r>
                  </w:p>
                </w:txbxContent>
              </v:textbox>
            </v:rect>
          </v:group>
        </w:pict>
      </w:r>
      <w:r w:rsidR="00B834A2" w:rsidRPr="00B834A2">
        <w:rPr>
          <w:rFonts w:ascii="Sylfaen" w:hAnsi="Sylfaen" w:cs="Sylfaen"/>
          <w:noProof/>
          <w:sz w:val="24"/>
          <w:szCs w:val="24"/>
          <w:lang w:val="en-US" w:eastAsia="en-US" w:bidi="ar-SA"/>
        </w:rPr>
        <w:drawing>
          <wp:inline distT="0" distB="0" distL="0" distR="0" wp14:anchorId="0C5E85FC" wp14:editId="2146DAE9">
            <wp:extent cx="3240223" cy="4831080"/>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0" cstate="print"/>
                    <a:srcRect/>
                    <a:stretch>
                      <a:fillRect/>
                    </a:stretch>
                  </pic:blipFill>
                  <pic:spPr bwMode="auto">
                    <a:xfrm>
                      <a:off x="0" y="0"/>
                      <a:ext cx="3242010" cy="4833745"/>
                    </a:xfrm>
                    <a:prstGeom prst="rect">
                      <a:avLst/>
                    </a:prstGeom>
                    <a:noFill/>
                    <a:ln w="9525">
                      <a:noFill/>
                      <a:miter lim="800000"/>
                      <a:headEnd/>
                      <a:tailEnd/>
                    </a:ln>
                  </pic:spPr>
                </pic:pic>
              </a:graphicData>
            </a:graphic>
          </wp:inline>
        </w:drawing>
      </w:r>
      <w:r w:rsidR="00B834A2" w:rsidRPr="00B834A2">
        <w:rPr>
          <w:rFonts w:ascii="Sylfaen" w:hAnsi="Sylfaen" w:cs="Sylfaen"/>
          <w:noProof/>
          <w:sz w:val="24"/>
          <w:szCs w:val="24"/>
          <w:lang w:val="en-US" w:eastAsia="en-US" w:bidi="ar-SA"/>
        </w:rPr>
        <w:lastRenderedPageBreak/>
        <w:drawing>
          <wp:inline distT="0" distB="0" distL="0" distR="0" wp14:anchorId="3648D642" wp14:editId="2350605B">
            <wp:extent cx="3240223" cy="4831080"/>
            <wp:effectExtent l="19050" t="0" r="0" b="0"/>
            <wp:docPr id="10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0" cstate="print"/>
                    <a:srcRect/>
                    <a:stretch>
                      <a:fillRect/>
                    </a:stretch>
                  </pic:blipFill>
                  <pic:spPr bwMode="auto">
                    <a:xfrm>
                      <a:off x="0" y="0"/>
                      <a:ext cx="3242010" cy="4833745"/>
                    </a:xfrm>
                    <a:prstGeom prst="rect">
                      <a:avLst/>
                    </a:prstGeom>
                    <a:noFill/>
                    <a:ln w="9525">
                      <a:noFill/>
                      <a:miter lim="800000"/>
                      <a:headEnd/>
                      <a:tailEnd/>
                    </a:ln>
                  </pic:spPr>
                </pic:pic>
              </a:graphicData>
            </a:graphic>
          </wp:inline>
        </w:drawing>
      </w:r>
    </w:p>
    <w:p w14:paraId="266EEFF1" w14:textId="77777777" w:rsidR="00B834A2" w:rsidRPr="00B834A2" w:rsidRDefault="00000000" w:rsidP="009A3F5E">
      <w:pPr>
        <w:pStyle w:val="Bodytext20"/>
        <w:shd w:val="clear" w:color="auto" w:fill="auto"/>
        <w:spacing w:before="0" w:after="160" w:line="360" w:lineRule="auto"/>
        <w:ind w:firstLine="567"/>
        <w:jc w:val="both"/>
        <w:rPr>
          <w:rStyle w:val="Bodytext53NotItalic"/>
          <w:rFonts w:ascii="Sylfaen" w:eastAsia="Tahoma" w:hAnsi="Sylfaen" w:cs="Sylfaen"/>
          <w:sz w:val="24"/>
          <w:szCs w:val="24"/>
        </w:rPr>
      </w:pPr>
      <w:r>
        <w:rPr>
          <w:rFonts w:ascii="Sylfaen" w:hAnsi="Sylfaen" w:cs="Sylfaen"/>
          <w:noProof/>
          <w:sz w:val="24"/>
          <w:szCs w:val="24"/>
        </w:rPr>
        <w:pict w14:anchorId="5D8D5208">
          <v:group id="_x0000_s1338" style="position:absolute;left:0;text-align:left;margin-left:-13.4pt;margin-top:-388.45pt;width:243.05pt;height:316.5pt;z-index:251723776" coordorigin="3070,1590" coordsize="4861,6330">
            <v:rect id="_x0000_s1339" style="position:absolute;left:3070;top:7082;width:2490;height:376" stroked="f">
              <v:textbox style="mso-next-textbox:#_x0000_s1339">
                <w:txbxContent>
                  <w:p w14:paraId="779D1CC5" w14:textId="77777777" w:rsidR="008D6E8B" w:rsidRPr="009450B3" w:rsidRDefault="008D6E8B" w:rsidP="00B834A2">
                    <w:pPr>
                      <w:jc w:val="center"/>
                      <w:rPr>
                        <w:sz w:val="16"/>
                        <w:szCs w:val="16"/>
                      </w:rPr>
                    </w:pPr>
                    <w:r>
                      <w:rPr>
                        <w:sz w:val="16"/>
                      </w:rPr>
                      <w:t>Օրեր պատրաստուկներ</w:t>
                    </w:r>
                  </w:p>
                </w:txbxContent>
              </v:textbox>
            </v:rect>
            <v:rect id="_x0000_s1340" style="position:absolute;left:4671;top:4417;width:2490;height:376" stroked="f">
              <v:textbox style="mso-next-textbox:#_x0000_s1340">
                <w:txbxContent>
                  <w:p w14:paraId="14E04A36" w14:textId="77777777" w:rsidR="008D6E8B" w:rsidRPr="009450B3" w:rsidRDefault="008D6E8B" w:rsidP="00B834A2">
                    <w:pPr>
                      <w:jc w:val="center"/>
                      <w:rPr>
                        <w:sz w:val="16"/>
                        <w:szCs w:val="16"/>
                      </w:rPr>
                    </w:pPr>
                    <w:r>
                      <w:rPr>
                        <w:sz w:val="16"/>
                      </w:rPr>
                      <w:t>Օրեր ոչ զուգահեռություն</w:t>
                    </w:r>
                  </w:p>
                </w:txbxContent>
              </v:textbox>
            </v:rect>
            <v:rect id="_x0000_s1341" style="position:absolute;left:3521;top:3106;width:2490;height:376" stroked="f">
              <v:textbox style="mso-next-textbox:#_x0000_s1341">
                <w:txbxContent>
                  <w:p w14:paraId="398D571B" w14:textId="77777777" w:rsidR="008D6E8B" w:rsidRPr="009450B3" w:rsidRDefault="008D6E8B" w:rsidP="00B834A2">
                    <w:pPr>
                      <w:jc w:val="center"/>
                      <w:rPr>
                        <w:sz w:val="16"/>
                        <w:szCs w:val="16"/>
                      </w:rPr>
                    </w:pPr>
                    <w:r>
                      <w:rPr>
                        <w:sz w:val="16"/>
                      </w:rPr>
                      <w:t>Օրեր∙ռեգրեսիա</w:t>
                    </w:r>
                  </w:p>
                </w:txbxContent>
              </v:textbox>
            </v:rect>
            <v:rect id="_x0000_s1342" style="position:absolute;left:3715;top:1590;width:2490;height:376" stroked="f">
              <v:textbox style="mso-next-textbox:#_x0000_s1342">
                <w:txbxContent>
                  <w:p w14:paraId="633F0033" w14:textId="77777777" w:rsidR="008D6E8B" w:rsidRPr="009450B3" w:rsidRDefault="008D6E8B" w:rsidP="00B834A2">
                    <w:pPr>
                      <w:jc w:val="center"/>
                      <w:rPr>
                        <w:sz w:val="16"/>
                        <w:szCs w:val="16"/>
                      </w:rPr>
                    </w:pPr>
                    <w:r>
                      <w:rPr>
                        <w:sz w:val="16"/>
                      </w:rPr>
                      <w:t>Ոչ զուգահեռություն</w:t>
                    </w:r>
                  </w:p>
                </w:txbxContent>
              </v:textbox>
            </v:rect>
            <v:rect id="_x0000_s1343" style="position:absolute;left:3521;top:5438;width:2490;height:376" stroked="f">
              <v:textbox style="mso-next-textbox:#_x0000_s1343">
                <w:txbxContent>
                  <w:p w14:paraId="7057F889" w14:textId="77777777" w:rsidR="008D6E8B" w:rsidRPr="009450B3" w:rsidRDefault="008D6E8B" w:rsidP="00B834A2">
                    <w:pPr>
                      <w:jc w:val="center"/>
                      <w:rPr>
                        <w:sz w:val="16"/>
                        <w:szCs w:val="16"/>
                      </w:rPr>
                    </w:pPr>
                    <w:r>
                      <w:rPr>
                        <w:sz w:val="16"/>
                      </w:rPr>
                      <w:t>ոչ զուգահեռություն</w:t>
                    </w:r>
                  </w:p>
                </w:txbxContent>
              </v:textbox>
            </v:rect>
            <v:rect id="_x0000_s1344" style="position:absolute;left:6147;top:5438;width:1784;height:376" stroked="f">
              <v:textbox style="mso-next-textbox:#_x0000_s1344">
                <w:txbxContent>
                  <w:p w14:paraId="1E074DFB" w14:textId="77777777" w:rsidR="008D6E8B" w:rsidRPr="00DE6666" w:rsidRDefault="008D6E8B" w:rsidP="00B834A2">
                    <w:pPr>
                      <w:jc w:val="center"/>
                      <w:rPr>
                        <w:sz w:val="16"/>
                        <w:szCs w:val="16"/>
                        <w:lang w:val="en-GB"/>
                      </w:rPr>
                    </w:pPr>
                    <w:r>
                      <w:rPr>
                        <w:sz w:val="16"/>
                        <w:lang w:val="en-GB"/>
                      </w:rPr>
                      <w:t>(</w:t>
                    </w:r>
                    <w:r>
                      <w:rPr>
                        <w:sz w:val="16"/>
                      </w:rPr>
                      <w:t>օրեր</w:t>
                    </w:r>
                    <w:r>
                      <w:rPr>
                        <w:sz w:val="16"/>
                        <w:lang w:val="en-GB"/>
                      </w:rPr>
                      <w:t xml:space="preserve"> </w:t>
                    </w:r>
                    <w:r>
                      <w:rPr>
                        <w:sz w:val="16"/>
                      </w:rPr>
                      <w:t>ռեգրեսիա</w:t>
                    </w:r>
                    <w:r>
                      <w:rPr>
                        <w:sz w:val="16"/>
                        <w:lang w:val="en-GB"/>
                      </w:rPr>
                      <w:t>)</w:t>
                    </w:r>
                  </w:p>
                </w:txbxContent>
              </v:textbox>
            </v:rect>
            <v:rect id="_x0000_s1345" style="position:absolute;left:4513;top:7544;width:2648;height:376" stroked="f">
              <v:textbox style="mso-next-textbox:#_x0000_s1345">
                <w:txbxContent>
                  <w:p w14:paraId="623483C9" w14:textId="77777777" w:rsidR="008D6E8B" w:rsidRPr="00DE6666" w:rsidRDefault="008D6E8B" w:rsidP="00B834A2">
                    <w:pPr>
                      <w:jc w:val="center"/>
                      <w:rPr>
                        <w:sz w:val="16"/>
                        <w:szCs w:val="16"/>
                      </w:rPr>
                    </w:pPr>
                    <w:r>
                      <w:rPr>
                        <w:sz w:val="16"/>
                      </w:rPr>
                      <w:t>K-օրեր – պատրաստուկներ</w:t>
                    </w:r>
                  </w:p>
                </w:txbxContent>
              </v:textbox>
            </v:rect>
          </v:group>
        </w:pict>
      </w:r>
      <w:r w:rsidR="00B834A2" w:rsidRPr="00B834A2">
        <w:rPr>
          <w:rFonts w:ascii="Sylfaen" w:hAnsi="Sylfaen"/>
          <w:sz w:val="24"/>
          <w:szCs w:val="24"/>
        </w:rPr>
        <w:t>Շեղում (1) =</w:t>
      </w:r>
      <w:r w:rsidR="00B834A2">
        <w:rPr>
          <w:rFonts w:ascii="Sylfaen" w:hAnsi="Sylfaen"/>
          <w:sz w:val="24"/>
          <w:szCs w:val="24"/>
        </w:rPr>
        <w:t xml:space="preserve"> </w:t>
      </w:r>
      <w:r w:rsidR="00B834A2" w:rsidRPr="00B834A2">
        <w:rPr>
          <w:rFonts w:ascii="Sylfaen" w:hAnsi="Sylfaen"/>
          <w:sz w:val="24"/>
          <w:szCs w:val="24"/>
        </w:rPr>
        <w:t>բլոկներ - ոչ զուգահեռություն -</w:t>
      </w:r>
      <w:r w:rsidR="00B5542D">
        <w:rPr>
          <w:rFonts w:ascii="Sylfaen" w:hAnsi="Sylfaen"/>
          <w:sz w:val="24"/>
          <w:szCs w:val="24"/>
        </w:rPr>
        <w:t xml:space="preserve"> (օրեր∙պատրաստուկներ) - (օրեր∙</w:t>
      </w:r>
      <w:r w:rsidR="00B834A2" w:rsidRPr="00B834A2">
        <w:rPr>
          <w:rFonts w:ascii="Sylfaen" w:hAnsi="Sylfaen"/>
          <w:sz w:val="24"/>
          <w:szCs w:val="24"/>
        </w:rPr>
        <w:t xml:space="preserve">ռեգրեսիա) = 13547,91. </w:t>
      </w:r>
    </w:p>
    <w:p w14:paraId="08F7B69D"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Շեղում (2) - արդյունք - բլոկներ </w:t>
      </w:r>
      <w:r w:rsidR="002E52D1">
        <w:rPr>
          <w:rFonts w:ascii="Sylfaen" w:hAnsi="Sylfaen"/>
          <w:sz w:val="24"/>
          <w:szCs w:val="24"/>
        </w:rPr>
        <w:t>-</w:t>
      </w:r>
      <w:r w:rsidRPr="00B834A2">
        <w:rPr>
          <w:rFonts w:ascii="Sylfaen" w:hAnsi="Sylfaen"/>
          <w:sz w:val="24"/>
          <w:szCs w:val="24"/>
        </w:rPr>
        <w:t xml:space="preserve"> պատրաստուկներ -</w:t>
      </w:r>
      <w:r w:rsidRPr="00B834A2">
        <w:rPr>
          <w:rStyle w:val="Bodytext2Italic"/>
          <w:sz w:val="24"/>
          <w:szCs w:val="24"/>
        </w:rPr>
        <w:t xml:space="preserve"> </w:t>
      </w:r>
      <w:r w:rsidR="00F634DB">
        <w:rPr>
          <w:rFonts w:ascii="Sylfaen" w:hAnsi="Sylfaen"/>
          <w:sz w:val="24"/>
          <w:szCs w:val="24"/>
        </w:rPr>
        <w:t xml:space="preserve">ռեգրեսիա - օրեր - (օրեր </w:t>
      </w:r>
      <w:r w:rsidRPr="00B834A2">
        <w:rPr>
          <w:rFonts w:ascii="Sylfaen" w:hAnsi="Sylfaen"/>
          <w:sz w:val="24"/>
          <w:szCs w:val="24"/>
        </w:rPr>
        <w:t>ոչ զուգահեռություն) = 8398,75։</w:t>
      </w:r>
    </w:p>
    <w:p w14:paraId="22255225" w14:textId="77777777" w:rsidR="00B834A2" w:rsidRPr="00B834A2" w:rsidRDefault="00B834A2" w:rsidP="009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 xml:space="preserve">Դիսպերսիաների տարբերությունների նշանակալիությունը ստուգվում է Ֆիշերի չափորոշչի միջոցով։ </w:t>
      </w:r>
      <w:r w:rsidR="008805CA">
        <w:rPr>
          <w:rFonts w:ascii="Sylfaen" w:hAnsi="Sylfaen"/>
          <w:sz w:val="24"/>
          <w:szCs w:val="24"/>
        </w:rPr>
        <w:t>«Ռեգրեսիա» եւ «Օրեր</w:t>
      </w:r>
      <w:r w:rsidRPr="00B834A2">
        <w:rPr>
          <w:rFonts w:ascii="Sylfaen" w:hAnsi="Sylfaen"/>
          <w:sz w:val="24"/>
          <w:szCs w:val="24"/>
        </w:rPr>
        <w:t xml:space="preserve"> ոչ զուգահեռություն» ցուցանիշների համար պահանջների կատարումը պարտադիր է։</w:t>
      </w:r>
      <w:r w:rsidRPr="00B834A2">
        <w:rPr>
          <w:rStyle w:val="Bodytext2Italic"/>
          <w:sz w:val="24"/>
          <w:szCs w:val="24"/>
        </w:rPr>
        <w:t xml:space="preserve"> </w:t>
      </w:r>
      <w:r w:rsidRPr="00B834A2">
        <w:rPr>
          <w:rFonts w:ascii="Sylfaen" w:hAnsi="Sylfaen"/>
          <w:sz w:val="24"/>
          <w:szCs w:val="24"/>
        </w:rPr>
        <w:t>«Ռեգրեսիա» ցուցանիշով բնութագրվում է դեղաչափից կախվածությունը, իսկ «Օրեր. ոչ զուգահեռություն» ցուցանիշով՝ առաջին եւ երկրորդ օրը դեղաչափից կախվածության գծերի թեքության անկյունների համաձայնեցվածությունը բնութագրող խմբային կայունության ցուցանիշը։</w:t>
      </w:r>
      <w:r w:rsidRPr="00B834A2">
        <w:rPr>
          <w:rStyle w:val="Bodytext31Sylfaen9"/>
          <w:sz w:val="24"/>
          <w:szCs w:val="24"/>
        </w:rPr>
        <w:t xml:space="preserve"> </w:t>
      </w:r>
      <w:r w:rsidRPr="00B834A2">
        <w:rPr>
          <w:rFonts w:ascii="Sylfaen" w:hAnsi="Sylfaen"/>
          <w:sz w:val="24"/>
          <w:szCs w:val="24"/>
        </w:rPr>
        <w:t xml:space="preserve">«Ռեգրեսիա» ցուցանիշի համար Ֆիշերի չափորոշչի դիտարկվող արժեքը պետք է մեծ լինի կրիտիկական արժեքից </w:t>
      </w:r>
      <w:r w:rsidRPr="00B834A2">
        <w:rPr>
          <w:rStyle w:val="Bodytext2Italic"/>
          <w:sz w:val="24"/>
          <w:szCs w:val="24"/>
        </w:rPr>
        <w:lastRenderedPageBreak/>
        <w:t>(р =</w:t>
      </w:r>
      <w:r w:rsidRPr="00B834A2">
        <w:rPr>
          <w:rStyle w:val="Bodytext31Sylfaen9"/>
          <w:sz w:val="24"/>
          <w:szCs w:val="24"/>
        </w:rPr>
        <w:t xml:space="preserve"> 0,01), </w:t>
      </w:r>
      <w:r w:rsidRPr="00B834A2">
        <w:rPr>
          <w:rFonts w:ascii="Sylfaen" w:hAnsi="Sylfaen"/>
          <w:sz w:val="24"/>
          <w:szCs w:val="24"/>
        </w:rPr>
        <w:t xml:space="preserve">իսկ «Օրեր ∙ ոչ զուգահեռություն» ցուցանիշի համար՝ կրիտիկական արժեքից փոքր </w:t>
      </w:r>
      <w:r w:rsidRPr="00B834A2">
        <w:rPr>
          <w:rStyle w:val="Bodytext2Italic"/>
          <w:sz w:val="24"/>
          <w:szCs w:val="24"/>
        </w:rPr>
        <w:t>(р</w:t>
      </w:r>
      <w:r w:rsidRPr="00B834A2">
        <w:rPr>
          <w:rStyle w:val="Bodytext31Sylfaen9"/>
          <w:sz w:val="24"/>
          <w:szCs w:val="24"/>
        </w:rPr>
        <w:t xml:space="preserve"> = 0,05)։</w:t>
      </w:r>
    </w:p>
    <w:p w14:paraId="0CCD164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 ը գտնելու համար «Ոչ զուգահե</w:t>
      </w:r>
      <w:r w:rsidR="008805CA">
        <w:rPr>
          <w:rFonts w:ascii="Sylfaen" w:hAnsi="Sylfaen"/>
          <w:sz w:val="24"/>
          <w:szCs w:val="24"/>
        </w:rPr>
        <w:t xml:space="preserve">ռություն», «Օրեր </w:t>
      </w:r>
      <w:r w:rsidR="00953845">
        <w:rPr>
          <w:rFonts w:ascii="Sylfaen" w:hAnsi="Sylfaen"/>
          <w:sz w:val="24"/>
          <w:szCs w:val="24"/>
        </w:rPr>
        <w:t xml:space="preserve">պատրաստուկներ» եւ «Օրեր </w:t>
      </w:r>
      <w:r w:rsidRPr="00B834A2">
        <w:rPr>
          <w:rFonts w:ascii="Sylfaen" w:hAnsi="Sylfaen"/>
          <w:sz w:val="24"/>
          <w:szCs w:val="24"/>
        </w:rPr>
        <w:t>ռեգրեսիա» ցուցանիշների միջին քառակուսիները բաժանում են «Շեղում» (1) ցուցանիշի միջին քառակուսիով, իսկ մյուս բոլորը՝ «Շեղման» (2) միջին քառակուսիով։</w:t>
      </w:r>
      <w:r w:rsidRPr="00B834A2">
        <w:rPr>
          <w:rStyle w:val="Bodytext2Italic"/>
          <w:sz w:val="24"/>
          <w:szCs w:val="24"/>
        </w:rPr>
        <w:t xml:space="preserve"> </w:t>
      </w:r>
      <w:r w:rsidRPr="00B834A2">
        <w:rPr>
          <w:rStyle w:val="Bodytext31Sylfaen9"/>
          <w:sz w:val="24"/>
          <w:szCs w:val="24"/>
        </w:rPr>
        <w:t xml:space="preserve">Ստացված արդյունքները համեմատվում են Ֆիշերի չափորոշչի աղյուսակային կրիտիկական արժեքների հետ (հավելվածի 2-րդ աղյուսակ)։ </w:t>
      </w:r>
      <w:r w:rsidRPr="00B834A2">
        <w:rPr>
          <w:rFonts w:ascii="Sylfaen" w:hAnsi="Sylfaen"/>
          <w:sz w:val="24"/>
          <w:szCs w:val="24"/>
        </w:rPr>
        <w:t xml:space="preserve">Ազատության աստիճանների թիվը՝ </w:t>
      </w:r>
      <w:r w:rsidRPr="00B834A2">
        <w:rPr>
          <w:rStyle w:val="Bodytext31Sylfaen9"/>
          <w:sz w:val="24"/>
          <w:szCs w:val="24"/>
        </w:rPr>
        <w:t>ƒ</w:t>
      </w:r>
      <w:r w:rsidRPr="00B834A2">
        <w:rPr>
          <w:rStyle w:val="Bodytext2Italic"/>
          <w:sz w:val="24"/>
          <w:szCs w:val="24"/>
          <w:vertAlign w:val="subscript"/>
        </w:rPr>
        <w:t>1</w:t>
      </w:r>
      <w:r w:rsidRPr="00B834A2">
        <w:rPr>
          <w:rStyle w:val="Bodytext2Italic"/>
          <w:sz w:val="24"/>
          <w:szCs w:val="24"/>
        </w:rPr>
        <w:t xml:space="preserve"> = 1, իսկ </w:t>
      </w:r>
      <w:r w:rsidRPr="00B834A2">
        <w:rPr>
          <w:rStyle w:val="Bodytext31Sylfaen9"/>
          <w:sz w:val="24"/>
          <w:szCs w:val="24"/>
        </w:rPr>
        <w:t>ƒ</w:t>
      </w:r>
      <w:r w:rsidRPr="00B834A2">
        <w:rPr>
          <w:rStyle w:val="Bodytext2Italic"/>
          <w:sz w:val="24"/>
          <w:szCs w:val="24"/>
          <w:vertAlign w:val="subscript"/>
        </w:rPr>
        <w:t>2</w:t>
      </w:r>
      <w:r w:rsidRPr="00B834A2">
        <w:rPr>
          <w:rStyle w:val="Bodytext31Sylfaen9"/>
          <w:sz w:val="24"/>
          <w:szCs w:val="24"/>
        </w:rPr>
        <w:t xml:space="preserve"> = 44։</w:t>
      </w:r>
    </w:p>
    <w:p w14:paraId="32DB9A06" w14:textId="77777777" w:rsidR="00B834A2" w:rsidRPr="00B834A2" w:rsidRDefault="00B834A2" w:rsidP="009A3F5E">
      <w:pPr>
        <w:pStyle w:val="Tablecaption20"/>
        <w:shd w:val="clear" w:color="auto" w:fill="auto"/>
        <w:spacing w:before="0" w:after="160" w:line="360" w:lineRule="auto"/>
        <w:ind w:firstLine="567"/>
        <w:rPr>
          <w:rStyle w:val="Bodytext310pt"/>
          <w:sz w:val="24"/>
          <w:szCs w:val="24"/>
        </w:rPr>
      </w:pPr>
    </w:p>
    <w:p w14:paraId="2DB0ACED" w14:textId="77777777" w:rsidR="00B834A2" w:rsidRPr="00B834A2" w:rsidRDefault="00B834A2" w:rsidP="009A3F5E">
      <w:pPr>
        <w:pStyle w:val="Tablecaption20"/>
        <w:shd w:val="clear" w:color="auto" w:fill="auto"/>
        <w:spacing w:before="0" w:after="160" w:line="360" w:lineRule="auto"/>
        <w:ind w:firstLine="567"/>
        <w:rPr>
          <w:rFonts w:ascii="Sylfaen" w:hAnsi="Sylfaen" w:cs="Sylfaen"/>
          <w:i w:val="0"/>
          <w:sz w:val="24"/>
          <w:szCs w:val="24"/>
        </w:rPr>
      </w:pPr>
      <w:r w:rsidRPr="00953845">
        <w:rPr>
          <w:rStyle w:val="Bodytext310pt"/>
          <w:b w:val="0"/>
          <w:sz w:val="24"/>
          <w:szCs w:val="24"/>
        </w:rPr>
        <w:t>Աղյուսակ 3.2.6-22.</w:t>
      </w:r>
      <w:r w:rsidRPr="00B834A2">
        <w:rPr>
          <w:rStyle w:val="Bodytext310pt"/>
          <w:sz w:val="24"/>
          <w:szCs w:val="24"/>
        </w:rPr>
        <w:t xml:space="preserve"> </w:t>
      </w:r>
      <w:r w:rsidRPr="00B834A2">
        <w:rPr>
          <w:rFonts w:ascii="Sylfaen" w:hAnsi="Sylfaen"/>
          <w:sz w:val="24"/>
          <w:szCs w:val="24"/>
        </w:rPr>
        <w:t>Դիսպերսիոն վերլուծության ամփոփիչ աղյուսակը (մկների համար կրկնակի խաչաձեւում)</w:t>
      </w:r>
    </w:p>
    <w:tbl>
      <w:tblPr>
        <w:tblOverlap w:val="never"/>
        <w:tblW w:w="10206" w:type="dxa"/>
        <w:tblInd w:w="-557" w:type="dxa"/>
        <w:tblLayout w:type="fixed"/>
        <w:tblCellMar>
          <w:left w:w="10" w:type="dxa"/>
          <w:right w:w="10" w:type="dxa"/>
        </w:tblCellMar>
        <w:tblLook w:val="0000" w:firstRow="0" w:lastRow="0" w:firstColumn="0" w:lastColumn="0" w:noHBand="0" w:noVBand="0"/>
      </w:tblPr>
      <w:tblGrid>
        <w:gridCol w:w="2602"/>
        <w:gridCol w:w="1793"/>
        <w:gridCol w:w="1134"/>
        <w:gridCol w:w="1701"/>
        <w:gridCol w:w="1417"/>
        <w:gridCol w:w="1559"/>
      </w:tblGrid>
      <w:tr w:rsidR="00B834A2" w:rsidRPr="00953845" w14:paraId="7D1B9443" w14:textId="77777777" w:rsidTr="008805CA">
        <w:trPr>
          <w:cantSplit/>
        </w:trPr>
        <w:tc>
          <w:tcPr>
            <w:tcW w:w="2602" w:type="dxa"/>
            <w:tcBorders>
              <w:top w:val="single" w:sz="4" w:space="0" w:color="auto"/>
            </w:tcBorders>
            <w:shd w:val="clear" w:color="auto" w:fill="FFFFFF"/>
          </w:tcPr>
          <w:p w14:paraId="6DE6C448"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Դիսպերսիայի աղբյուրը (ցուցանիշ)</w:t>
            </w:r>
          </w:p>
        </w:tc>
        <w:tc>
          <w:tcPr>
            <w:tcW w:w="1793" w:type="dxa"/>
            <w:tcBorders>
              <w:top w:val="single" w:sz="4" w:space="0" w:color="auto"/>
            </w:tcBorders>
            <w:shd w:val="clear" w:color="auto" w:fill="FFFFFF"/>
          </w:tcPr>
          <w:p w14:paraId="4904E33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Ազատության աստիճանների թիվը (f)</w:t>
            </w:r>
          </w:p>
        </w:tc>
        <w:tc>
          <w:tcPr>
            <w:tcW w:w="1134" w:type="dxa"/>
            <w:tcBorders>
              <w:top w:val="single" w:sz="4" w:space="0" w:color="auto"/>
            </w:tcBorders>
            <w:shd w:val="clear" w:color="auto" w:fill="FFFFFF"/>
          </w:tcPr>
          <w:p w14:paraId="5B8E4FF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Fonts w:ascii="Sylfaen" w:hAnsi="Sylfaen"/>
                <w:sz w:val="20"/>
                <w:szCs w:val="20"/>
              </w:rPr>
              <w:t>Քառակուսիների գումարը</w:t>
            </w:r>
          </w:p>
        </w:tc>
        <w:tc>
          <w:tcPr>
            <w:tcW w:w="1701" w:type="dxa"/>
            <w:tcBorders>
              <w:top w:val="single" w:sz="4" w:space="0" w:color="auto"/>
            </w:tcBorders>
            <w:shd w:val="clear" w:color="auto" w:fill="FFFFFF"/>
          </w:tcPr>
          <w:p w14:paraId="7D9F528E" w14:textId="77777777" w:rsidR="00B834A2" w:rsidRPr="00953845" w:rsidRDefault="00000000" w:rsidP="00953845">
            <w:pPr>
              <w:pStyle w:val="Bodytext20"/>
              <w:shd w:val="clear" w:color="auto" w:fill="auto"/>
              <w:spacing w:before="0" w:line="240" w:lineRule="auto"/>
              <w:ind w:hanging="10"/>
              <w:rPr>
                <w:rStyle w:val="Bodytext31Sylfaen9"/>
                <w:sz w:val="20"/>
                <w:szCs w:val="20"/>
                <w:u w:val="single"/>
              </w:rPr>
            </w:pPr>
            <w:r>
              <w:rPr>
                <w:rFonts w:ascii="Sylfaen" w:eastAsia="Sylfaen" w:hAnsi="Sylfaen" w:cs="Sylfaen"/>
                <w:noProof/>
                <w:sz w:val="20"/>
                <w:szCs w:val="20"/>
              </w:rPr>
              <w:pict w14:anchorId="1190E7FB">
                <v:shape id="_x0000_s1346" type="#_x0000_t185" style="position:absolute;left:0;text-align:left;margin-left:.4pt;margin-top:13.95pt;width:76.3pt;height:25.8pt;z-index:251724800;mso-position-horizontal-relative:text;mso-position-vertical-relative:text"/>
              </w:pict>
            </w:r>
            <w:r w:rsidR="00B834A2" w:rsidRPr="00953845">
              <w:rPr>
                <w:rFonts w:ascii="Sylfaen" w:hAnsi="Sylfaen"/>
                <w:sz w:val="20"/>
                <w:szCs w:val="20"/>
              </w:rPr>
              <w:t xml:space="preserve">Միջին քառակուսին </w:t>
            </w:r>
            <w:r w:rsidR="00B834A2" w:rsidRPr="00953845">
              <w:rPr>
                <w:rFonts w:ascii="Sylfaen" w:hAnsi="Sylfaen"/>
                <w:sz w:val="20"/>
                <w:szCs w:val="20"/>
                <w:u w:val="single"/>
              </w:rPr>
              <w:t>Քառակուսիների գումարը</w:t>
            </w:r>
          </w:p>
          <w:p w14:paraId="642F13E2"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ƒ</w:t>
            </w:r>
          </w:p>
        </w:tc>
        <w:tc>
          <w:tcPr>
            <w:tcW w:w="1417" w:type="dxa"/>
            <w:tcBorders>
              <w:top w:val="single" w:sz="4" w:space="0" w:color="auto"/>
            </w:tcBorders>
            <w:shd w:val="clear" w:color="auto" w:fill="FFFFFF"/>
          </w:tcPr>
          <w:p w14:paraId="7D1AC081"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Ֆիշերի չափորոշչի դիտարկվող արժեքը՝ F</w:t>
            </w:r>
            <w:r w:rsidRPr="00953845">
              <w:rPr>
                <w:rStyle w:val="Bodytext31Sylfaen9"/>
                <w:sz w:val="20"/>
                <w:szCs w:val="20"/>
                <w:vertAlign w:val="subscript"/>
              </w:rPr>
              <w:t>դիտ.</w:t>
            </w:r>
          </w:p>
        </w:tc>
        <w:tc>
          <w:tcPr>
            <w:tcW w:w="1559" w:type="dxa"/>
            <w:tcBorders>
              <w:top w:val="single" w:sz="4" w:space="0" w:color="auto"/>
            </w:tcBorders>
            <w:shd w:val="clear" w:color="auto" w:fill="FFFFFF"/>
          </w:tcPr>
          <w:p w14:paraId="06581B4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Ֆիշերի չափորոշչի կրիտիկական արժեքը՝ F</w:t>
            </w:r>
            <w:r w:rsidRPr="00953845">
              <w:rPr>
                <w:rStyle w:val="Bodytext31Sylfaen9"/>
                <w:sz w:val="20"/>
                <w:szCs w:val="20"/>
                <w:vertAlign w:val="subscript"/>
              </w:rPr>
              <w:t>կրիտիկ.</w:t>
            </w:r>
          </w:p>
        </w:tc>
      </w:tr>
      <w:tr w:rsidR="00B834A2" w:rsidRPr="00953845" w14:paraId="2C29BCFF" w14:textId="77777777" w:rsidTr="008805CA">
        <w:trPr>
          <w:cantSplit/>
        </w:trPr>
        <w:tc>
          <w:tcPr>
            <w:tcW w:w="2602" w:type="dxa"/>
            <w:tcBorders>
              <w:top w:val="single" w:sz="4" w:space="0" w:color="auto"/>
            </w:tcBorders>
            <w:shd w:val="clear" w:color="auto" w:fill="FFFFFF"/>
          </w:tcPr>
          <w:p w14:paraId="2613B8E4"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Ոչ զուգահեռություն</w:t>
            </w:r>
          </w:p>
        </w:tc>
        <w:tc>
          <w:tcPr>
            <w:tcW w:w="1793" w:type="dxa"/>
            <w:tcBorders>
              <w:top w:val="single" w:sz="4" w:space="0" w:color="auto"/>
            </w:tcBorders>
            <w:shd w:val="clear" w:color="auto" w:fill="FFFFFF"/>
          </w:tcPr>
          <w:p w14:paraId="5DA8C1B1"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tcBorders>
              <w:top w:val="single" w:sz="4" w:space="0" w:color="auto"/>
            </w:tcBorders>
            <w:shd w:val="clear" w:color="auto" w:fill="FFFFFF"/>
          </w:tcPr>
          <w:p w14:paraId="2E1B8C5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513,37</w:t>
            </w:r>
          </w:p>
        </w:tc>
        <w:tc>
          <w:tcPr>
            <w:tcW w:w="1701" w:type="dxa"/>
            <w:tcBorders>
              <w:top w:val="single" w:sz="4" w:space="0" w:color="auto"/>
            </w:tcBorders>
            <w:shd w:val="clear" w:color="auto" w:fill="FFFFFF"/>
          </w:tcPr>
          <w:p w14:paraId="71E4257E"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513,37</w:t>
            </w:r>
          </w:p>
        </w:tc>
        <w:tc>
          <w:tcPr>
            <w:tcW w:w="1417" w:type="dxa"/>
            <w:tcBorders>
              <w:top w:val="single" w:sz="4" w:space="0" w:color="auto"/>
            </w:tcBorders>
            <w:shd w:val="clear" w:color="auto" w:fill="FFFFFF"/>
          </w:tcPr>
          <w:p w14:paraId="587F59F1"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1,67</w:t>
            </w:r>
          </w:p>
        </w:tc>
        <w:tc>
          <w:tcPr>
            <w:tcW w:w="1559" w:type="dxa"/>
            <w:tcBorders>
              <w:top w:val="single" w:sz="4" w:space="0" w:color="auto"/>
            </w:tcBorders>
            <w:shd w:val="clear" w:color="auto" w:fill="FFFFFF"/>
          </w:tcPr>
          <w:p w14:paraId="28AA6677"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w:t>
            </w:r>
            <w:r w:rsidRPr="00953845">
              <w:rPr>
                <w:rStyle w:val="Bodytext31Sylfaen9"/>
                <w:sz w:val="20"/>
                <w:szCs w:val="20"/>
              </w:rPr>
              <w:t xml:space="preserve"> = 0,05)</w:t>
            </w:r>
          </w:p>
        </w:tc>
      </w:tr>
      <w:tr w:rsidR="00B834A2" w:rsidRPr="00953845" w14:paraId="573264BD" w14:textId="77777777" w:rsidTr="008805CA">
        <w:trPr>
          <w:cantSplit/>
        </w:trPr>
        <w:tc>
          <w:tcPr>
            <w:tcW w:w="2602" w:type="dxa"/>
            <w:shd w:val="clear" w:color="auto" w:fill="FFFFFF"/>
          </w:tcPr>
          <w:p w14:paraId="58444D57"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Օրեր</w:t>
            </w:r>
            <w:r w:rsidR="008805CA" w:rsidRPr="00953845">
              <w:rPr>
                <w:rStyle w:val="Bodytext2Italic"/>
                <w:sz w:val="20"/>
                <w:szCs w:val="20"/>
              </w:rPr>
              <w:t xml:space="preserve"> ∙</w:t>
            </w:r>
            <w:r w:rsidRPr="00953845">
              <w:rPr>
                <w:rStyle w:val="Bodytext2Italic"/>
                <w:sz w:val="20"/>
                <w:szCs w:val="20"/>
              </w:rPr>
              <w:t>պատրաստուկներ</w:t>
            </w:r>
          </w:p>
        </w:tc>
        <w:tc>
          <w:tcPr>
            <w:tcW w:w="1793" w:type="dxa"/>
            <w:shd w:val="clear" w:color="auto" w:fill="FFFFFF"/>
          </w:tcPr>
          <w:p w14:paraId="4F57E01E"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793DACBF"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770,68</w:t>
            </w:r>
          </w:p>
        </w:tc>
        <w:tc>
          <w:tcPr>
            <w:tcW w:w="1701" w:type="dxa"/>
            <w:shd w:val="clear" w:color="auto" w:fill="FFFFFF"/>
          </w:tcPr>
          <w:p w14:paraId="4E191106"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770,68</w:t>
            </w:r>
          </w:p>
        </w:tc>
        <w:tc>
          <w:tcPr>
            <w:tcW w:w="1417" w:type="dxa"/>
            <w:shd w:val="clear" w:color="auto" w:fill="FFFFFF"/>
          </w:tcPr>
          <w:p w14:paraId="32AEF3E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2,50</w:t>
            </w:r>
          </w:p>
        </w:tc>
        <w:tc>
          <w:tcPr>
            <w:tcW w:w="1559" w:type="dxa"/>
            <w:shd w:val="clear" w:color="auto" w:fill="FFFFFF"/>
          </w:tcPr>
          <w:p w14:paraId="7CD01E96"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w:t>
            </w:r>
            <w:r w:rsidRPr="00953845">
              <w:rPr>
                <w:rStyle w:val="Bodytext31Sylfaen9"/>
                <w:sz w:val="20"/>
                <w:szCs w:val="20"/>
              </w:rPr>
              <w:t xml:space="preserve"> = 0,05)</w:t>
            </w:r>
          </w:p>
        </w:tc>
      </w:tr>
      <w:tr w:rsidR="00B834A2" w:rsidRPr="00953845" w14:paraId="384C4403" w14:textId="77777777" w:rsidTr="008805CA">
        <w:trPr>
          <w:cantSplit/>
        </w:trPr>
        <w:tc>
          <w:tcPr>
            <w:tcW w:w="2602" w:type="dxa"/>
            <w:shd w:val="clear" w:color="auto" w:fill="FFFFFF"/>
          </w:tcPr>
          <w:p w14:paraId="434F976D"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Օրեր ռեգրեսիա</w:t>
            </w:r>
          </w:p>
        </w:tc>
        <w:tc>
          <w:tcPr>
            <w:tcW w:w="1793" w:type="dxa"/>
            <w:shd w:val="clear" w:color="auto" w:fill="FFFFFF"/>
          </w:tcPr>
          <w:p w14:paraId="5F711899" w14:textId="77777777" w:rsidR="00B834A2" w:rsidRPr="00953845" w:rsidRDefault="00B834A2" w:rsidP="00953845">
            <w:pPr>
              <w:pStyle w:val="Bodytext20"/>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10C983E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135,37</w:t>
            </w:r>
          </w:p>
        </w:tc>
        <w:tc>
          <w:tcPr>
            <w:tcW w:w="1701" w:type="dxa"/>
            <w:shd w:val="clear" w:color="auto" w:fill="FFFFFF"/>
          </w:tcPr>
          <w:p w14:paraId="1DD69C26"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135,37</w:t>
            </w:r>
          </w:p>
        </w:tc>
        <w:tc>
          <w:tcPr>
            <w:tcW w:w="1417" w:type="dxa"/>
            <w:shd w:val="clear" w:color="auto" w:fill="FFFFFF"/>
          </w:tcPr>
          <w:p w14:paraId="4D31261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0,44</w:t>
            </w:r>
          </w:p>
        </w:tc>
        <w:tc>
          <w:tcPr>
            <w:tcW w:w="1559" w:type="dxa"/>
            <w:shd w:val="clear" w:color="auto" w:fill="FFFFFF"/>
          </w:tcPr>
          <w:p w14:paraId="718FE4DF"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w:t>
            </w:r>
            <w:r w:rsidRPr="00953845">
              <w:rPr>
                <w:rStyle w:val="Bodytext31Sylfaen9"/>
                <w:sz w:val="20"/>
                <w:szCs w:val="20"/>
              </w:rPr>
              <w:t xml:space="preserve"> = 0,05)</w:t>
            </w:r>
          </w:p>
        </w:tc>
      </w:tr>
      <w:tr w:rsidR="00B834A2" w:rsidRPr="00953845" w14:paraId="29335127" w14:textId="77777777" w:rsidTr="008805CA">
        <w:trPr>
          <w:cantSplit/>
        </w:trPr>
        <w:tc>
          <w:tcPr>
            <w:tcW w:w="2602" w:type="dxa"/>
            <w:shd w:val="clear" w:color="auto" w:fill="FFFFFF"/>
          </w:tcPr>
          <w:p w14:paraId="60D9EA73"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Fonts w:ascii="Sylfaen" w:hAnsi="Sylfaen"/>
                <w:sz w:val="20"/>
                <w:szCs w:val="20"/>
              </w:rPr>
              <w:t>Շեղում (1)</w:t>
            </w:r>
          </w:p>
        </w:tc>
        <w:tc>
          <w:tcPr>
            <w:tcW w:w="1793" w:type="dxa"/>
            <w:shd w:val="clear" w:color="auto" w:fill="FFFFFF"/>
          </w:tcPr>
          <w:p w14:paraId="230422EF" w14:textId="77777777" w:rsidR="00B834A2" w:rsidRPr="00953845" w:rsidRDefault="00000000" w:rsidP="00953845">
            <w:pPr>
              <w:pStyle w:val="Bodytext20"/>
              <w:shd w:val="clear" w:color="auto" w:fill="auto"/>
              <w:spacing w:before="0" w:line="240" w:lineRule="auto"/>
              <w:ind w:hanging="10"/>
              <w:rPr>
                <w:rFonts w:ascii="Sylfaen" w:hAnsi="Sylfaen" w:cs="Sylfaen"/>
                <w:sz w:val="20"/>
                <w:szCs w:val="20"/>
              </w:rPr>
            </w:pPr>
            <m:oMathPara>
              <m:oMath>
                <m:f>
                  <m:fPr>
                    <m:ctrlPr>
                      <w:rPr>
                        <w:rFonts w:ascii="Cambria Math" w:hAnsi="Cambria Math" w:cs="Sylfaen"/>
                        <w:i/>
                        <w:sz w:val="20"/>
                        <w:szCs w:val="20"/>
                      </w:rPr>
                    </m:ctrlPr>
                  </m:fPr>
                  <m:num>
                    <m:r>
                      <w:rPr>
                        <w:rFonts w:ascii="Cambria Math" w:hAnsi="Cambria Math" w:cs="Sylfaen"/>
                        <w:sz w:val="20"/>
                        <w:szCs w:val="20"/>
                      </w:rPr>
                      <m:t>N</m:t>
                    </m:r>
                  </m:num>
                  <m:den>
                    <m:r>
                      <w:rPr>
                        <w:rFonts w:ascii="Cambria Math" w:hAnsi="Cambria Math" w:cs="Sylfaen"/>
                        <w:sz w:val="20"/>
                        <w:szCs w:val="20"/>
                      </w:rPr>
                      <m:t>2</m:t>
                    </m:r>
                  </m:den>
                </m:f>
                <m:r>
                  <w:rPr>
                    <w:rFonts w:ascii="Cambria Math" w:hAnsi="Cambria Math" w:cs="Sylfaen"/>
                    <w:sz w:val="20"/>
                    <w:szCs w:val="20"/>
                  </w:rPr>
                  <m:t>-4-m=44</m:t>
                </m:r>
              </m:oMath>
            </m:oMathPara>
          </w:p>
        </w:tc>
        <w:tc>
          <w:tcPr>
            <w:tcW w:w="1134" w:type="dxa"/>
            <w:shd w:val="clear" w:color="auto" w:fill="FFFFFF"/>
          </w:tcPr>
          <w:p w14:paraId="70BCE68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13547,91</w:t>
            </w:r>
          </w:p>
        </w:tc>
        <w:tc>
          <w:tcPr>
            <w:tcW w:w="1701" w:type="dxa"/>
            <w:shd w:val="clear" w:color="auto" w:fill="FFFFFF"/>
          </w:tcPr>
          <w:p w14:paraId="19E5336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307,91</w:t>
            </w:r>
          </w:p>
        </w:tc>
        <w:tc>
          <w:tcPr>
            <w:tcW w:w="1417" w:type="dxa"/>
            <w:shd w:val="clear" w:color="auto" w:fill="FFFFFF"/>
          </w:tcPr>
          <w:p w14:paraId="08F2704F" w14:textId="77777777" w:rsidR="00B834A2" w:rsidRPr="00953845" w:rsidRDefault="00B834A2" w:rsidP="00953845">
            <w:pPr>
              <w:spacing w:after="120"/>
              <w:ind w:hanging="10"/>
              <w:jc w:val="center"/>
              <w:rPr>
                <w:sz w:val="20"/>
                <w:szCs w:val="20"/>
              </w:rPr>
            </w:pPr>
          </w:p>
        </w:tc>
        <w:tc>
          <w:tcPr>
            <w:tcW w:w="1559" w:type="dxa"/>
            <w:shd w:val="clear" w:color="auto" w:fill="FFFFFF"/>
          </w:tcPr>
          <w:p w14:paraId="57CB3168" w14:textId="77777777" w:rsidR="00B834A2" w:rsidRPr="00953845" w:rsidRDefault="00B834A2" w:rsidP="00953845">
            <w:pPr>
              <w:spacing w:after="120"/>
              <w:ind w:hanging="10"/>
              <w:jc w:val="center"/>
              <w:rPr>
                <w:sz w:val="20"/>
                <w:szCs w:val="20"/>
              </w:rPr>
            </w:pPr>
          </w:p>
        </w:tc>
      </w:tr>
      <w:tr w:rsidR="00B834A2" w:rsidRPr="00953845" w14:paraId="28204C62" w14:textId="77777777" w:rsidTr="008805CA">
        <w:trPr>
          <w:cantSplit/>
        </w:trPr>
        <w:tc>
          <w:tcPr>
            <w:tcW w:w="2602" w:type="dxa"/>
            <w:shd w:val="clear" w:color="auto" w:fill="FFFFFF"/>
          </w:tcPr>
          <w:p w14:paraId="30BD0E00"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Բլոկներ</w:t>
            </w:r>
          </w:p>
        </w:tc>
        <w:tc>
          <w:tcPr>
            <w:tcW w:w="1793" w:type="dxa"/>
            <w:shd w:val="clear" w:color="auto" w:fill="FFFFFF"/>
          </w:tcPr>
          <w:p w14:paraId="5FCEDEC1"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2n - 1 ֊= 47</w:t>
            </w:r>
          </w:p>
        </w:tc>
        <w:tc>
          <w:tcPr>
            <w:tcW w:w="1134" w:type="dxa"/>
            <w:shd w:val="clear" w:color="auto" w:fill="FFFFFF"/>
          </w:tcPr>
          <w:p w14:paraId="1E447A44"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14967,33</w:t>
            </w:r>
          </w:p>
        </w:tc>
        <w:tc>
          <w:tcPr>
            <w:tcW w:w="1701" w:type="dxa"/>
            <w:shd w:val="clear" w:color="auto" w:fill="FFFFFF"/>
          </w:tcPr>
          <w:p w14:paraId="4413489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318,45</w:t>
            </w:r>
          </w:p>
        </w:tc>
        <w:tc>
          <w:tcPr>
            <w:tcW w:w="1417" w:type="dxa"/>
            <w:shd w:val="clear" w:color="auto" w:fill="FFFFFF"/>
          </w:tcPr>
          <w:p w14:paraId="32D57492" w14:textId="77777777" w:rsidR="00B834A2" w:rsidRPr="00953845" w:rsidRDefault="00B834A2" w:rsidP="00953845">
            <w:pPr>
              <w:spacing w:after="120"/>
              <w:ind w:hanging="10"/>
              <w:jc w:val="center"/>
              <w:rPr>
                <w:sz w:val="20"/>
                <w:szCs w:val="20"/>
              </w:rPr>
            </w:pPr>
          </w:p>
        </w:tc>
        <w:tc>
          <w:tcPr>
            <w:tcW w:w="1559" w:type="dxa"/>
            <w:shd w:val="clear" w:color="auto" w:fill="FFFFFF"/>
          </w:tcPr>
          <w:p w14:paraId="41E5CE18" w14:textId="77777777" w:rsidR="00B834A2" w:rsidRPr="00953845" w:rsidRDefault="00B834A2" w:rsidP="00953845">
            <w:pPr>
              <w:spacing w:after="120"/>
              <w:ind w:hanging="10"/>
              <w:jc w:val="center"/>
              <w:rPr>
                <w:sz w:val="20"/>
                <w:szCs w:val="20"/>
              </w:rPr>
            </w:pPr>
          </w:p>
        </w:tc>
      </w:tr>
      <w:tr w:rsidR="00B834A2" w:rsidRPr="00953845" w14:paraId="3F57412B" w14:textId="77777777" w:rsidTr="008805CA">
        <w:trPr>
          <w:cantSplit/>
        </w:trPr>
        <w:tc>
          <w:tcPr>
            <w:tcW w:w="2602" w:type="dxa"/>
            <w:shd w:val="clear" w:color="auto" w:fill="FFFFFF"/>
          </w:tcPr>
          <w:p w14:paraId="7A1F0106"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Պատրաստուկներ</w:t>
            </w:r>
          </w:p>
        </w:tc>
        <w:tc>
          <w:tcPr>
            <w:tcW w:w="1793" w:type="dxa"/>
            <w:shd w:val="clear" w:color="auto" w:fill="FFFFFF"/>
          </w:tcPr>
          <w:p w14:paraId="12773094"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018F58BD"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104,16</w:t>
            </w:r>
          </w:p>
        </w:tc>
        <w:tc>
          <w:tcPr>
            <w:tcW w:w="1701" w:type="dxa"/>
            <w:shd w:val="clear" w:color="auto" w:fill="FFFFFF"/>
          </w:tcPr>
          <w:p w14:paraId="734BFC43"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104,16</w:t>
            </w:r>
          </w:p>
        </w:tc>
        <w:tc>
          <w:tcPr>
            <w:tcW w:w="1417" w:type="dxa"/>
            <w:shd w:val="clear" w:color="auto" w:fill="FFFFFF"/>
          </w:tcPr>
          <w:p w14:paraId="4519799F"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0,55</w:t>
            </w:r>
          </w:p>
        </w:tc>
        <w:tc>
          <w:tcPr>
            <w:tcW w:w="1559" w:type="dxa"/>
            <w:shd w:val="clear" w:color="auto" w:fill="FFFFFF"/>
          </w:tcPr>
          <w:p w14:paraId="7D5BA1B3"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 -</w:t>
            </w:r>
            <w:r w:rsidRPr="00953845">
              <w:rPr>
                <w:rStyle w:val="Bodytext31Sylfaen9"/>
                <w:sz w:val="20"/>
                <w:szCs w:val="20"/>
              </w:rPr>
              <w:t xml:space="preserve"> 0,05)</w:t>
            </w:r>
          </w:p>
        </w:tc>
      </w:tr>
      <w:tr w:rsidR="00B834A2" w:rsidRPr="00953845" w14:paraId="06CC4BFB" w14:textId="77777777" w:rsidTr="008805CA">
        <w:trPr>
          <w:cantSplit/>
        </w:trPr>
        <w:tc>
          <w:tcPr>
            <w:tcW w:w="2602" w:type="dxa"/>
            <w:shd w:val="clear" w:color="auto" w:fill="FFFFFF"/>
          </w:tcPr>
          <w:p w14:paraId="116BF341"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Ռեգրեսիա</w:t>
            </w:r>
          </w:p>
        </w:tc>
        <w:tc>
          <w:tcPr>
            <w:tcW w:w="1793" w:type="dxa"/>
            <w:shd w:val="clear" w:color="auto" w:fill="FFFFFF"/>
          </w:tcPr>
          <w:p w14:paraId="755FB5E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73D2BFC6"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13968,38</w:t>
            </w:r>
          </w:p>
        </w:tc>
        <w:tc>
          <w:tcPr>
            <w:tcW w:w="1701" w:type="dxa"/>
            <w:shd w:val="clear" w:color="auto" w:fill="FFFFFF"/>
          </w:tcPr>
          <w:p w14:paraId="7714132D"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13968,38</w:t>
            </w:r>
          </w:p>
        </w:tc>
        <w:tc>
          <w:tcPr>
            <w:tcW w:w="1417" w:type="dxa"/>
            <w:shd w:val="clear" w:color="auto" w:fill="FFFFFF"/>
          </w:tcPr>
          <w:p w14:paraId="5830961D"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73,18</w:t>
            </w:r>
          </w:p>
        </w:tc>
        <w:tc>
          <w:tcPr>
            <w:tcW w:w="1559" w:type="dxa"/>
            <w:shd w:val="clear" w:color="auto" w:fill="FFFFFF"/>
          </w:tcPr>
          <w:p w14:paraId="5AFBBE9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&gt;7,24 </w:t>
            </w:r>
            <w:r w:rsidRPr="00953845">
              <w:rPr>
                <w:rStyle w:val="Bodytext2Italic"/>
                <w:sz w:val="20"/>
                <w:szCs w:val="20"/>
              </w:rPr>
              <w:t>(р =</w:t>
            </w:r>
            <w:r w:rsidRPr="00953845">
              <w:rPr>
                <w:rStyle w:val="Bodytext31Sylfaen9"/>
                <w:sz w:val="20"/>
                <w:szCs w:val="20"/>
              </w:rPr>
              <w:t xml:space="preserve"> 0,01)</w:t>
            </w:r>
          </w:p>
        </w:tc>
      </w:tr>
      <w:tr w:rsidR="00B834A2" w:rsidRPr="00953845" w14:paraId="097B1E43" w14:textId="77777777" w:rsidTr="008805CA">
        <w:trPr>
          <w:cantSplit/>
        </w:trPr>
        <w:tc>
          <w:tcPr>
            <w:tcW w:w="2602" w:type="dxa"/>
            <w:shd w:val="clear" w:color="auto" w:fill="FFFFFF"/>
          </w:tcPr>
          <w:p w14:paraId="668B7F79"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Օրեր</w:t>
            </w:r>
          </w:p>
        </w:tc>
        <w:tc>
          <w:tcPr>
            <w:tcW w:w="1793" w:type="dxa"/>
            <w:shd w:val="clear" w:color="auto" w:fill="FFFFFF"/>
          </w:tcPr>
          <w:p w14:paraId="10A63401"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5325C52E"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450,66</w:t>
            </w:r>
          </w:p>
        </w:tc>
        <w:tc>
          <w:tcPr>
            <w:tcW w:w="1701" w:type="dxa"/>
            <w:shd w:val="clear" w:color="auto" w:fill="FFFFFF"/>
          </w:tcPr>
          <w:p w14:paraId="6B0A661A"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450,66</w:t>
            </w:r>
          </w:p>
        </w:tc>
        <w:tc>
          <w:tcPr>
            <w:tcW w:w="1417" w:type="dxa"/>
            <w:shd w:val="clear" w:color="auto" w:fill="FFFFFF"/>
          </w:tcPr>
          <w:p w14:paraId="08FBDEF9"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2,36</w:t>
            </w:r>
          </w:p>
        </w:tc>
        <w:tc>
          <w:tcPr>
            <w:tcW w:w="1559" w:type="dxa"/>
            <w:shd w:val="clear" w:color="auto" w:fill="FFFFFF"/>
          </w:tcPr>
          <w:p w14:paraId="41A59CBF"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 -</w:t>
            </w:r>
            <w:r w:rsidRPr="00953845">
              <w:rPr>
                <w:rStyle w:val="Bodytext31Sylfaen9"/>
                <w:sz w:val="20"/>
                <w:szCs w:val="20"/>
              </w:rPr>
              <w:t xml:space="preserve"> 0,05)</w:t>
            </w:r>
          </w:p>
        </w:tc>
      </w:tr>
      <w:tr w:rsidR="00B834A2" w:rsidRPr="00953845" w14:paraId="20622319" w14:textId="77777777" w:rsidTr="008805CA">
        <w:trPr>
          <w:cantSplit/>
        </w:trPr>
        <w:tc>
          <w:tcPr>
            <w:tcW w:w="2602" w:type="dxa"/>
            <w:shd w:val="clear" w:color="auto" w:fill="FFFFFF"/>
          </w:tcPr>
          <w:p w14:paraId="53449FC5" w14:textId="77777777" w:rsidR="00B834A2" w:rsidRPr="00953845" w:rsidRDefault="00B834A2" w:rsidP="00953845">
            <w:pPr>
              <w:pStyle w:val="Bodytext20"/>
              <w:shd w:val="clear" w:color="auto" w:fill="auto"/>
              <w:spacing w:before="0" w:line="240" w:lineRule="auto"/>
              <w:ind w:hanging="10"/>
              <w:jc w:val="both"/>
              <w:rPr>
                <w:rFonts w:ascii="Sylfaen" w:hAnsi="Sylfaen" w:cs="Sylfaen"/>
                <w:sz w:val="20"/>
                <w:szCs w:val="20"/>
              </w:rPr>
            </w:pPr>
            <w:r w:rsidRPr="00953845">
              <w:rPr>
                <w:rStyle w:val="Bodytext2Italic"/>
                <w:sz w:val="20"/>
                <w:szCs w:val="20"/>
              </w:rPr>
              <w:t>Օրեր ∙ ոչ զուգահեռություն</w:t>
            </w:r>
          </w:p>
        </w:tc>
        <w:tc>
          <w:tcPr>
            <w:tcW w:w="1793" w:type="dxa"/>
            <w:shd w:val="clear" w:color="auto" w:fill="FFFFFF"/>
          </w:tcPr>
          <w:p w14:paraId="0AB22196"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w:t>
            </w:r>
          </w:p>
        </w:tc>
        <w:tc>
          <w:tcPr>
            <w:tcW w:w="1134" w:type="dxa"/>
            <w:shd w:val="clear" w:color="auto" w:fill="FFFFFF"/>
          </w:tcPr>
          <w:p w14:paraId="6EBF22E0"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610,05</w:t>
            </w:r>
          </w:p>
        </w:tc>
        <w:tc>
          <w:tcPr>
            <w:tcW w:w="1701" w:type="dxa"/>
            <w:shd w:val="clear" w:color="auto" w:fill="FFFFFF"/>
          </w:tcPr>
          <w:p w14:paraId="35A9CBBC"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610,05</w:t>
            </w:r>
          </w:p>
        </w:tc>
        <w:tc>
          <w:tcPr>
            <w:tcW w:w="1417" w:type="dxa"/>
            <w:shd w:val="clear" w:color="auto" w:fill="FFFFFF"/>
          </w:tcPr>
          <w:p w14:paraId="4DF9B58D"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3,20</w:t>
            </w:r>
          </w:p>
        </w:tc>
        <w:tc>
          <w:tcPr>
            <w:tcW w:w="1559" w:type="dxa"/>
            <w:shd w:val="clear" w:color="auto" w:fill="FFFFFF"/>
          </w:tcPr>
          <w:p w14:paraId="7FB6BC48"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 xml:space="preserve">&lt;4,06 </w:t>
            </w:r>
            <w:r w:rsidRPr="00953845">
              <w:rPr>
                <w:rStyle w:val="Bodytext2Italic"/>
                <w:sz w:val="20"/>
                <w:szCs w:val="20"/>
              </w:rPr>
              <w:t>(р</w:t>
            </w:r>
            <w:r w:rsidRPr="00953845">
              <w:rPr>
                <w:rStyle w:val="Bodytext31Sylfaen9"/>
                <w:sz w:val="20"/>
                <w:szCs w:val="20"/>
              </w:rPr>
              <w:t xml:space="preserve"> = 0,05)</w:t>
            </w:r>
          </w:p>
        </w:tc>
      </w:tr>
      <w:tr w:rsidR="00B834A2" w:rsidRPr="00953845" w14:paraId="67D51CD2" w14:textId="77777777" w:rsidTr="008805CA">
        <w:trPr>
          <w:cantSplit/>
          <w:trHeight w:val="742"/>
        </w:trPr>
        <w:tc>
          <w:tcPr>
            <w:tcW w:w="2602" w:type="dxa"/>
            <w:shd w:val="clear" w:color="auto" w:fill="FFFFFF"/>
          </w:tcPr>
          <w:p w14:paraId="6FE9432E" w14:textId="77777777" w:rsidR="00B834A2" w:rsidRPr="00953845" w:rsidRDefault="00B834A2" w:rsidP="00953845">
            <w:pPr>
              <w:pStyle w:val="Bodytext20"/>
              <w:shd w:val="clear" w:color="auto" w:fill="auto"/>
              <w:spacing w:before="0" w:line="240" w:lineRule="auto"/>
              <w:ind w:firstLine="567"/>
              <w:jc w:val="both"/>
              <w:rPr>
                <w:rFonts w:ascii="Sylfaen" w:hAnsi="Sylfaen" w:cs="Sylfaen"/>
                <w:sz w:val="20"/>
                <w:szCs w:val="20"/>
              </w:rPr>
            </w:pPr>
            <w:r w:rsidRPr="00953845">
              <w:rPr>
                <w:rFonts w:ascii="Sylfaen" w:hAnsi="Sylfaen"/>
                <w:sz w:val="20"/>
                <w:szCs w:val="20"/>
              </w:rPr>
              <w:t>Շեղում (2)</w:t>
            </w:r>
          </w:p>
          <w:p w14:paraId="62C33864" w14:textId="77777777" w:rsidR="00B834A2" w:rsidRPr="00953845" w:rsidRDefault="00B834A2" w:rsidP="00953845">
            <w:pPr>
              <w:pStyle w:val="Bodytext20"/>
              <w:spacing w:before="0" w:line="240" w:lineRule="auto"/>
              <w:ind w:firstLine="567"/>
              <w:jc w:val="both"/>
              <w:rPr>
                <w:rFonts w:ascii="Sylfaen" w:hAnsi="Sylfaen" w:cs="Sylfaen"/>
                <w:sz w:val="20"/>
                <w:szCs w:val="20"/>
              </w:rPr>
            </w:pPr>
            <w:r w:rsidRPr="00953845">
              <w:rPr>
                <w:rStyle w:val="Bodytext31Sylfaen9"/>
                <w:sz w:val="20"/>
                <w:szCs w:val="20"/>
              </w:rPr>
              <w:t>(փորձի դիսպերսիա)</w:t>
            </w:r>
          </w:p>
        </w:tc>
        <w:tc>
          <w:tcPr>
            <w:tcW w:w="1793" w:type="dxa"/>
            <w:shd w:val="clear" w:color="auto" w:fill="FFFFFF"/>
          </w:tcPr>
          <w:p w14:paraId="765737C1" w14:textId="77777777" w:rsidR="00B834A2" w:rsidRPr="00953845" w:rsidRDefault="00000000" w:rsidP="00953845">
            <w:pPr>
              <w:pStyle w:val="Bodytext20"/>
              <w:shd w:val="clear" w:color="auto" w:fill="auto"/>
              <w:spacing w:before="0" w:line="240" w:lineRule="auto"/>
              <w:ind w:firstLine="567"/>
              <w:rPr>
                <w:rFonts w:ascii="Sylfaen" w:hAnsi="Sylfaen" w:cs="Sylfaen"/>
                <w:sz w:val="20"/>
                <w:szCs w:val="20"/>
              </w:rPr>
            </w:pPr>
            <m:oMathPara>
              <m:oMath>
                <m:f>
                  <m:fPr>
                    <m:ctrlPr>
                      <w:rPr>
                        <w:rFonts w:ascii="Cambria Math" w:hAnsi="Cambria Math" w:cs="Sylfaen"/>
                        <w:i/>
                        <w:sz w:val="20"/>
                        <w:szCs w:val="20"/>
                      </w:rPr>
                    </m:ctrlPr>
                  </m:fPr>
                  <m:num>
                    <m:r>
                      <w:rPr>
                        <w:rFonts w:ascii="Cambria Math" w:hAnsi="Cambria Math" w:cs="Sylfaen"/>
                        <w:sz w:val="20"/>
                        <w:szCs w:val="20"/>
                      </w:rPr>
                      <m:t>N</m:t>
                    </m:r>
                  </m:num>
                  <m:den>
                    <m:r>
                      <w:rPr>
                        <w:rFonts w:ascii="Cambria Math" w:hAnsi="Cambria Math" w:cs="Sylfaen"/>
                        <w:sz w:val="20"/>
                        <w:szCs w:val="20"/>
                      </w:rPr>
                      <m:t>2</m:t>
                    </m:r>
                  </m:den>
                </m:f>
                <m:r>
                  <w:rPr>
                    <w:rFonts w:ascii="Cambria Math" w:hAnsi="Cambria Math" w:cs="Sylfaen"/>
                    <w:sz w:val="20"/>
                    <w:szCs w:val="20"/>
                  </w:rPr>
                  <m:t>-4-m=44</m:t>
                </m:r>
              </m:oMath>
            </m:oMathPara>
          </w:p>
          <w:p w14:paraId="0B02E8BE" w14:textId="77777777" w:rsidR="00B834A2" w:rsidRPr="00953845" w:rsidRDefault="00B834A2" w:rsidP="00953845">
            <w:pPr>
              <w:pStyle w:val="Bodytext20"/>
              <w:spacing w:before="0" w:line="240" w:lineRule="auto"/>
              <w:ind w:firstLine="567"/>
              <w:rPr>
                <w:rFonts w:ascii="Sylfaen" w:hAnsi="Sylfaen" w:cs="Sylfaen"/>
                <w:sz w:val="20"/>
                <w:szCs w:val="20"/>
              </w:rPr>
            </w:pPr>
          </w:p>
        </w:tc>
        <w:tc>
          <w:tcPr>
            <w:tcW w:w="1134" w:type="dxa"/>
            <w:shd w:val="clear" w:color="auto" w:fill="FFFFFF"/>
          </w:tcPr>
          <w:p w14:paraId="09A77DCB"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8398,75</w:t>
            </w:r>
          </w:p>
        </w:tc>
        <w:tc>
          <w:tcPr>
            <w:tcW w:w="1701" w:type="dxa"/>
            <w:shd w:val="clear" w:color="auto" w:fill="FFFFFF"/>
          </w:tcPr>
          <w:p w14:paraId="79919422"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190,88</w:t>
            </w:r>
          </w:p>
        </w:tc>
        <w:tc>
          <w:tcPr>
            <w:tcW w:w="1417" w:type="dxa"/>
            <w:shd w:val="clear" w:color="auto" w:fill="FFFFFF"/>
          </w:tcPr>
          <w:p w14:paraId="60ECCFD0" w14:textId="77777777" w:rsidR="00B834A2" w:rsidRPr="00953845" w:rsidRDefault="00B834A2" w:rsidP="00953845">
            <w:pPr>
              <w:spacing w:after="120"/>
              <w:ind w:hanging="10"/>
              <w:jc w:val="center"/>
              <w:rPr>
                <w:sz w:val="20"/>
                <w:szCs w:val="20"/>
              </w:rPr>
            </w:pPr>
          </w:p>
        </w:tc>
        <w:tc>
          <w:tcPr>
            <w:tcW w:w="1559" w:type="dxa"/>
            <w:shd w:val="clear" w:color="auto" w:fill="FFFFFF"/>
          </w:tcPr>
          <w:p w14:paraId="77ED5B51" w14:textId="77777777" w:rsidR="00B834A2" w:rsidRPr="00953845" w:rsidRDefault="00B834A2" w:rsidP="00953845">
            <w:pPr>
              <w:spacing w:after="120"/>
              <w:ind w:hanging="10"/>
              <w:jc w:val="center"/>
              <w:rPr>
                <w:sz w:val="20"/>
                <w:szCs w:val="20"/>
              </w:rPr>
            </w:pPr>
          </w:p>
        </w:tc>
      </w:tr>
      <w:tr w:rsidR="00B834A2" w:rsidRPr="00953845" w14:paraId="5989F582" w14:textId="77777777" w:rsidTr="008805CA">
        <w:trPr>
          <w:cantSplit/>
          <w:trHeight w:val="1134"/>
        </w:trPr>
        <w:tc>
          <w:tcPr>
            <w:tcW w:w="2602" w:type="dxa"/>
            <w:tcBorders>
              <w:bottom w:val="single" w:sz="4" w:space="0" w:color="auto"/>
            </w:tcBorders>
            <w:shd w:val="clear" w:color="auto" w:fill="FFFFFF"/>
          </w:tcPr>
          <w:p w14:paraId="75BFA1CA" w14:textId="77777777" w:rsidR="00B834A2" w:rsidRPr="00953845" w:rsidRDefault="00B834A2" w:rsidP="00953845">
            <w:pPr>
              <w:pStyle w:val="Bodytext20"/>
              <w:shd w:val="clear" w:color="auto" w:fill="auto"/>
              <w:spacing w:before="0" w:line="240" w:lineRule="auto"/>
              <w:ind w:firstLine="567"/>
              <w:jc w:val="both"/>
              <w:rPr>
                <w:rFonts w:ascii="Sylfaen" w:hAnsi="Sylfaen" w:cs="Sylfaen"/>
                <w:sz w:val="20"/>
                <w:szCs w:val="20"/>
              </w:rPr>
            </w:pPr>
            <w:r w:rsidRPr="00953845">
              <w:rPr>
                <w:rStyle w:val="Bodytext2Italic"/>
                <w:sz w:val="20"/>
                <w:szCs w:val="20"/>
              </w:rPr>
              <w:t>Արդյունք</w:t>
            </w:r>
          </w:p>
        </w:tc>
        <w:tc>
          <w:tcPr>
            <w:tcW w:w="1793" w:type="dxa"/>
            <w:tcBorders>
              <w:bottom w:val="single" w:sz="4" w:space="0" w:color="auto"/>
            </w:tcBorders>
            <w:shd w:val="clear" w:color="auto" w:fill="FFFFFF"/>
          </w:tcPr>
          <w:p w14:paraId="53AECC1A" w14:textId="77777777" w:rsidR="00B834A2" w:rsidRPr="00953845" w:rsidRDefault="00B834A2" w:rsidP="00953845">
            <w:pPr>
              <w:pStyle w:val="Bodytext20"/>
              <w:shd w:val="clear" w:color="auto" w:fill="auto"/>
              <w:spacing w:before="0" w:line="240" w:lineRule="auto"/>
              <w:rPr>
                <w:rFonts w:ascii="Sylfaen" w:hAnsi="Sylfaen" w:cs="Sylfaen"/>
                <w:i/>
                <w:sz w:val="20"/>
                <w:szCs w:val="20"/>
              </w:rPr>
            </w:pPr>
            <w:r w:rsidRPr="00953845">
              <w:rPr>
                <w:rStyle w:val="Bodytext31Sylfaen9"/>
                <w:sz w:val="20"/>
                <w:szCs w:val="20"/>
              </w:rPr>
              <w:t>N-1-m=95</w:t>
            </w:r>
          </w:p>
        </w:tc>
        <w:tc>
          <w:tcPr>
            <w:tcW w:w="1134" w:type="dxa"/>
            <w:tcBorders>
              <w:bottom w:val="single" w:sz="4" w:space="0" w:color="auto"/>
            </w:tcBorders>
            <w:shd w:val="clear" w:color="auto" w:fill="FFFFFF"/>
          </w:tcPr>
          <w:p w14:paraId="73D8D5E3" w14:textId="77777777" w:rsidR="00B834A2" w:rsidRPr="00953845" w:rsidRDefault="00B834A2" w:rsidP="00953845">
            <w:pPr>
              <w:pStyle w:val="Bodytext20"/>
              <w:shd w:val="clear" w:color="auto" w:fill="auto"/>
              <w:spacing w:before="0" w:line="240" w:lineRule="auto"/>
              <w:ind w:hanging="10"/>
              <w:rPr>
                <w:rFonts w:ascii="Sylfaen" w:hAnsi="Sylfaen" w:cs="Sylfaen"/>
                <w:sz w:val="20"/>
                <w:szCs w:val="20"/>
              </w:rPr>
            </w:pPr>
            <w:r w:rsidRPr="00953845">
              <w:rPr>
                <w:rStyle w:val="Bodytext31Sylfaen9"/>
                <w:sz w:val="20"/>
                <w:szCs w:val="20"/>
              </w:rPr>
              <w:t>38499,33</w:t>
            </w:r>
          </w:p>
        </w:tc>
        <w:tc>
          <w:tcPr>
            <w:tcW w:w="1701" w:type="dxa"/>
            <w:tcBorders>
              <w:bottom w:val="single" w:sz="4" w:space="0" w:color="auto"/>
            </w:tcBorders>
            <w:shd w:val="clear" w:color="auto" w:fill="FFFFFF"/>
          </w:tcPr>
          <w:p w14:paraId="60925A80" w14:textId="77777777" w:rsidR="00B834A2" w:rsidRPr="00953845" w:rsidRDefault="00B834A2" w:rsidP="00953845">
            <w:pPr>
              <w:spacing w:after="120"/>
              <w:ind w:hanging="10"/>
              <w:jc w:val="center"/>
              <w:rPr>
                <w:sz w:val="20"/>
                <w:szCs w:val="20"/>
              </w:rPr>
            </w:pPr>
          </w:p>
        </w:tc>
        <w:tc>
          <w:tcPr>
            <w:tcW w:w="1417" w:type="dxa"/>
            <w:tcBorders>
              <w:bottom w:val="single" w:sz="4" w:space="0" w:color="auto"/>
            </w:tcBorders>
            <w:shd w:val="clear" w:color="auto" w:fill="FFFFFF"/>
          </w:tcPr>
          <w:p w14:paraId="69A6D636" w14:textId="77777777" w:rsidR="00B834A2" w:rsidRPr="00953845" w:rsidRDefault="00B834A2" w:rsidP="00953845">
            <w:pPr>
              <w:spacing w:after="120"/>
              <w:ind w:hanging="10"/>
              <w:jc w:val="center"/>
              <w:rPr>
                <w:sz w:val="20"/>
                <w:szCs w:val="20"/>
              </w:rPr>
            </w:pPr>
          </w:p>
        </w:tc>
        <w:tc>
          <w:tcPr>
            <w:tcW w:w="1559" w:type="dxa"/>
            <w:tcBorders>
              <w:bottom w:val="single" w:sz="4" w:space="0" w:color="auto"/>
            </w:tcBorders>
            <w:shd w:val="clear" w:color="auto" w:fill="FFFFFF"/>
          </w:tcPr>
          <w:p w14:paraId="4074BD2B" w14:textId="77777777" w:rsidR="00B834A2" w:rsidRPr="00953845" w:rsidRDefault="00B834A2" w:rsidP="00953845">
            <w:pPr>
              <w:spacing w:after="120"/>
              <w:ind w:hanging="10"/>
              <w:jc w:val="center"/>
              <w:rPr>
                <w:sz w:val="20"/>
                <w:szCs w:val="20"/>
              </w:rPr>
            </w:pPr>
          </w:p>
        </w:tc>
      </w:tr>
    </w:tbl>
    <w:p w14:paraId="1C9C62BB" w14:textId="77777777" w:rsidR="008805CA" w:rsidRDefault="008805CA" w:rsidP="009A3F5E">
      <w:pPr>
        <w:pStyle w:val="Headerorfooter40"/>
        <w:shd w:val="clear" w:color="auto" w:fill="auto"/>
        <w:spacing w:after="160" w:line="360" w:lineRule="auto"/>
        <w:ind w:firstLine="567"/>
        <w:jc w:val="both"/>
        <w:rPr>
          <w:rStyle w:val="Headerorfooter4Italic"/>
          <w:rFonts w:ascii="Sylfaen" w:hAnsi="Sylfaen"/>
          <w:sz w:val="24"/>
          <w:szCs w:val="24"/>
          <w:lang w:val="en-US"/>
        </w:rPr>
      </w:pPr>
    </w:p>
    <w:p w14:paraId="368465FE" w14:textId="77777777" w:rsidR="00B834A2" w:rsidRPr="00B834A2" w:rsidRDefault="00B834A2" w:rsidP="009A3F5E">
      <w:pPr>
        <w:pStyle w:val="Headerorfooter40"/>
        <w:shd w:val="clear" w:color="auto" w:fill="auto"/>
        <w:spacing w:after="160" w:line="360" w:lineRule="auto"/>
        <w:ind w:firstLine="567"/>
        <w:jc w:val="both"/>
        <w:rPr>
          <w:rFonts w:ascii="Sylfaen" w:hAnsi="Sylfaen" w:cs="Sylfaen"/>
          <w:sz w:val="24"/>
          <w:szCs w:val="24"/>
        </w:rPr>
      </w:pPr>
      <w:r w:rsidRPr="00953845">
        <w:rPr>
          <w:rStyle w:val="Headerorfooter4Italic"/>
          <w:rFonts w:ascii="Sylfaen" w:hAnsi="Sylfaen"/>
          <w:i w:val="0"/>
          <w:sz w:val="24"/>
          <w:szCs w:val="24"/>
        </w:rPr>
        <w:lastRenderedPageBreak/>
        <w:t>N</w:t>
      </w:r>
      <w:r w:rsidR="00953845">
        <w:rPr>
          <w:rStyle w:val="Headerorfooter4Italic"/>
          <w:rFonts w:ascii="Sylfaen" w:hAnsi="Sylfaen"/>
          <w:i w:val="0"/>
          <w:sz w:val="24"/>
          <w:szCs w:val="24"/>
        </w:rPr>
        <w:t xml:space="preserve"> </w:t>
      </w:r>
      <w:r w:rsidRPr="00B834A2">
        <w:rPr>
          <w:rStyle w:val="Headerorfooter4Italic"/>
          <w:rFonts w:ascii="Sylfaen" w:hAnsi="Sylfaen"/>
          <w:sz w:val="24"/>
          <w:szCs w:val="24"/>
        </w:rPr>
        <w:t>=</w:t>
      </w:r>
      <w:r w:rsidR="00953845">
        <w:rPr>
          <w:rStyle w:val="Headerorfooter4Italic"/>
          <w:rFonts w:ascii="Sylfaen" w:hAnsi="Sylfaen"/>
          <w:sz w:val="24"/>
          <w:szCs w:val="24"/>
        </w:rPr>
        <w:t xml:space="preserve"> </w:t>
      </w:r>
      <w:r w:rsidRPr="00953845">
        <w:rPr>
          <w:rStyle w:val="Headerorfooter4Italic"/>
          <w:rFonts w:ascii="Sylfaen" w:hAnsi="Sylfaen"/>
          <w:i w:val="0"/>
          <w:sz w:val="24"/>
          <w:szCs w:val="24"/>
        </w:rPr>
        <w:t>9</w:t>
      </w:r>
      <w:r w:rsidRPr="00B834A2">
        <w:rPr>
          <w:rFonts w:ascii="Sylfaen" w:hAnsi="Sylfaen"/>
          <w:sz w:val="24"/>
          <w:szCs w:val="24"/>
        </w:rPr>
        <w:t xml:space="preserve">6 (փորձի ժամանակ արձագանքների ընդհանուր թիվը). </w:t>
      </w:r>
      <w:r w:rsidRPr="00B834A2">
        <w:rPr>
          <w:rStyle w:val="Headerorfooter4Italic"/>
          <w:rFonts w:ascii="Sylfaen" w:hAnsi="Sylfaen"/>
          <w:sz w:val="24"/>
          <w:szCs w:val="24"/>
        </w:rPr>
        <w:t xml:space="preserve">n=24 </w:t>
      </w:r>
      <w:r w:rsidRPr="00B834A2">
        <w:rPr>
          <w:rFonts w:ascii="Sylfaen" w:hAnsi="Sylfaen"/>
          <w:sz w:val="24"/>
          <w:szCs w:val="24"/>
        </w:rPr>
        <w:t xml:space="preserve">(խմբում արձագանքների թիվը). </w:t>
      </w:r>
      <w:r w:rsidRPr="00B834A2">
        <w:rPr>
          <w:rStyle w:val="Headerorfooter4Italic"/>
          <w:rFonts w:ascii="Sylfaen" w:hAnsi="Sylfaen"/>
          <w:sz w:val="24"/>
          <w:szCs w:val="24"/>
        </w:rPr>
        <w:t>m</w:t>
      </w:r>
      <w:r w:rsidRPr="00B834A2">
        <w:rPr>
          <w:rFonts w:ascii="Sylfaen" w:hAnsi="Sylfaen"/>
          <w:sz w:val="24"/>
          <w:szCs w:val="24"/>
        </w:rPr>
        <w:t>=0 (կորսված եւ փոխարինված արժեքների թիվը)։</w:t>
      </w:r>
    </w:p>
    <w:p w14:paraId="104994BF" w14:textId="77777777" w:rsidR="00B834A2" w:rsidRPr="00B834A2" w:rsidRDefault="00B834A2" w:rsidP="009A3F5E">
      <w:pPr>
        <w:pStyle w:val="Bodytext20"/>
        <w:shd w:val="clear" w:color="auto" w:fill="auto"/>
        <w:spacing w:before="0" w:after="160" w:line="360" w:lineRule="auto"/>
        <w:ind w:firstLine="567"/>
        <w:jc w:val="both"/>
        <w:rPr>
          <w:rFonts w:ascii="Sylfaen" w:hAnsi="Sylfaen"/>
          <w:sz w:val="24"/>
          <w:szCs w:val="24"/>
        </w:rPr>
      </w:pPr>
      <w:r w:rsidRPr="00B834A2">
        <w:rPr>
          <w:rStyle w:val="Bodytext31Sylfaen9"/>
          <w:sz w:val="24"/>
          <w:szCs w:val="24"/>
          <w:u w:val="single"/>
        </w:rPr>
        <w:t>Կենսաբանական ակտիվության եւ դրա վստահելի սահմանների հաշվարկումը</w:t>
      </w:r>
      <w:r w:rsidRPr="00B834A2">
        <w:rPr>
          <w:rFonts w:ascii="Sylfaen" w:hAnsi="Sylfaen"/>
          <w:sz w:val="24"/>
          <w:szCs w:val="24"/>
        </w:rPr>
        <w:t xml:space="preserve"> </w:t>
      </w:r>
    </w:p>
    <w:p w14:paraId="71DC2432" w14:textId="77777777" w:rsidR="00B834A2" w:rsidRPr="00B834A2" w:rsidRDefault="00B834A2" w:rsidP="009A3F5E">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Դեղաչափերի հարաբերակցությունը հավասար է 2,667, հետեւաբար </w:t>
      </w:r>
      <w:r w:rsidRPr="00B834A2">
        <w:rPr>
          <w:rStyle w:val="Bodytext31Sylfaen9"/>
          <w:sz w:val="24"/>
          <w:szCs w:val="24"/>
        </w:rPr>
        <w:t>I</w:t>
      </w:r>
      <w:r w:rsidRPr="00B834A2">
        <w:rPr>
          <w:rFonts w:ascii="Sylfaen" w:hAnsi="Sylfaen"/>
          <w:sz w:val="24"/>
          <w:szCs w:val="24"/>
        </w:rPr>
        <w:t>=lg2,667=0,4260.</w:t>
      </w:r>
    </w:p>
    <w:p w14:paraId="256596F0" w14:textId="77777777" w:rsidR="00B834A2" w:rsidRPr="00B834A2" w:rsidRDefault="00B834A2" w:rsidP="00B834A2">
      <w:pPr>
        <w:pStyle w:val="Bodytext20"/>
        <w:shd w:val="clear" w:color="auto" w:fill="auto"/>
        <w:spacing w:before="0" w:after="160" w:line="360" w:lineRule="auto"/>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7F20514F" wp14:editId="15DC4EB2">
            <wp:extent cx="2581662" cy="2590800"/>
            <wp:effectExtent l="19050" t="0" r="9138"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1" cstate="print"/>
                    <a:srcRect/>
                    <a:stretch>
                      <a:fillRect/>
                    </a:stretch>
                  </pic:blipFill>
                  <pic:spPr bwMode="auto">
                    <a:xfrm>
                      <a:off x="0" y="0"/>
                      <a:ext cx="2580474" cy="2589607"/>
                    </a:xfrm>
                    <a:prstGeom prst="rect">
                      <a:avLst/>
                    </a:prstGeom>
                    <a:noFill/>
                    <a:ln w="9525">
                      <a:noFill/>
                      <a:miter lim="800000"/>
                      <a:headEnd/>
                      <a:tailEnd/>
                    </a:ln>
                  </pic:spPr>
                </pic:pic>
              </a:graphicData>
            </a:graphic>
          </wp:inline>
        </w:drawing>
      </w:r>
    </w:p>
    <w:p w14:paraId="455C49EE" w14:textId="77777777" w:rsidR="00B834A2" w:rsidRPr="00953845" w:rsidRDefault="00B834A2" w:rsidP="008805CA">
      <w:pPr>
        <w:pStyle w:val="Bodytext20"/>
        <w:shd w:val="clear" w:color="auto" w:fill="auto"/>
        <w:spacing w:before="0" w:after="160" w:line="360" w:lineRule="auto"/>
        <w:ind w:firstLine="567"/>
        <w:jc w:val="both"/>
        <w:rPr>
          <w:rStyle w:val="Bodytext31Sylfaen9"/>
          <w:i w:val="0"/>
          <w:sz w:val="24"/>
          <w:szCs w:val="24"/>
        </w:rPr>
      </w:pPr>
      <w:r w:rsidRPr="00953845">
        <w:rPr>
          <w:rStyle w:val="Bodytext31Sylfaen9"/>
          <w:i w:val="0"/>
          <w:sz w:val="24"/>
          <w:szCs w:val="24"/>
        </w:rPr>
        <w:t>Կենսաբանական ակտիվությունը</w:t>
      </w:r>
    </w:p>
    <w:p w14:paraId="008D1A03" w14:textId="77777777" w:rsidR="00B834A2" w:rsidRPr="00B834A2" w:rsidRDefault="00B834A2" w:rsidP="008805CA">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R</w:t>
      </w:r>
      <w:r w:rsidRPr="00B834A2">
        <w:rPr>
          <w:rStyle w:val="Bodytext31Sylfaen9"/>
          <w:sz w:val="24"/>
          <w:szCs w:val="24"/>
          <w:vertAlign w:val="subscript"/>
        </w:rPr>
        <w:t xml:space="preserve">U </w:t>
      </w:r>
      <w:r w:rsidRPr="00B834A2">
        <w:rPr>
          <w:rStyle w:val="Bodytext31Sylfaen9"/>
          <w:sz w:val="24"/>
          <w:szCs w:val="24"/>
        </w:rPr>
        <w:t>=10</w:t>
      </w:r>
      <w:r w:rsidRPr="00B834A2">
        <w:rPr>
          <w:rStyle w:val="Bodytext31Sylfaen9"/>
          <w:sz w:val="24"/>
          <w:szCs w:val="24"/>
          <w:vertAlign w:val="superscript"/>
        </w:rPr>
        <w:t>2,0369</w:t>
      </w:r>
      <w:r w:rsidRPr="00B834A2">
        <w:rPr>
          <w:rStyle w:val="Bodytext31Sylfaen9"/>
          <w:sz w:val="24"/>
          <w:szCs w:val="24"/>
        </w:rPr>
        <w:t xml:space="preserve"> =</w:t>
      </w:r>
      <w:r w:rsidRPr="00B834A2">
        <w:rPr>
          <w:rStyle w:val="Bodytext31Sylfaen9"/>
          <w:sz w:val="24"/>
          <w:szCs w:val="24"/>
          <w:vertAlign w:val="superscript"/>
        </w:rPr>
        <w:t xml:space="preserve"> </w:t>
      </w:r>
      <w:r w:rsidRPr="00B834A2">
        <w:rPr>
          <w:rStyle w:val="Bodytext31Sylfaen9"/>
          <w:sz w:val="24"/>
          <w:szCs w:val="24"/>
        </w:rPr>
        <w:t>108,87 ՄՄ/մլ</w:t>
      </w:r>
    </w:p>
    <w:p w14:paraId="402BA3CE" w14:textId="77777777" w:rsidR="00B834A2" w:rsidRPr="00B834A2" w:rsidRDefault="00B834A2" w:rsidP="008805CA">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C=E/(E-s</w:t>
      </w:r>
      <w:r w:rsidRPr="00B834A2">
        <w:rPr>
          <w:rStyle w:val="Bodytext31Sylfaen9"/>
          <w:sz w:val="24"/>
          <w:szCs w:val="24"/>
          <w:vertAlign w:val="superscript"/>
        </w:rPr>
        <w:t>2</w:t>
      </w:r>
      <w:r w:rsidRPr="00B834A2">
        <w:rPr>
          <w:rStyle w:val="Bodytext31Sylfaen9"/>
          <w:sz w:val="24"/>
          <w:szCs w:val="24"/>
        </w:rPr>
        <w:t>t</w:t>
      </w:r>
      <w:r w:rsidRPr="00B834A2">
        <w:rPr>
          <w:rStyle w:val="Bodytext31Sylfaen9"/>
          <w:sz w:val="24"/>
          <w:szCs w:val="24"/>
          <w:vertAlign w:val="superscript"/>
        </w:rPr>
        <w:t>2</w:t>
      </w:r>
      <w:r w:rsidRPr="00B834A2">
        <w:rPr>
          <w:rStyle w:val="Bodytext31Sylfaen9"/>
          <w:sz w:val="24"/>
          <w:szCs w:val="24"/>
        </w:rPr>
        <w:t>)=13968,38/(13968,38-190,88∙2,02</w:t>
      </w:r>
      <w:r w:rsidRPr="00B834A2">
        <w:rPr>
          <w:rStyle w:val="Bodytext31Sylfaen9"/>
          <w:sz w:val="24"/>
          <w:szCs w:val="24"/>
          <w:vertAlign w:val="superscript"/>
        </w:rPr>
        <w:t>2</w:t>
      </w:r>
      <w:r w:rsidRPr="00B834A2">
        <w:rPr>
          <w:rStyle w:val="Bodytext31Sylfaen9"/>
          <w:sz w:val="24"/>
          <w:szCs w:val="24"/>
        </w:rPr>
        <w:t>)=1,0591։</w:t>
      </w:r>
    </w:p>
    <w:p w14:paraId="6537F0F3" w14:textId="77777777" w:rsidR="00B834A2" w:rsidRPr="00953845" w:rsidRDefault="00B834A2" w:rsidP="008805CA">
      <w:pPr>
        <w:pStyle w:val="Bodytext20"/>
        <w:shd w:val="clear" w:color="auto" w:fill="auto"/>
        <w:spacing w:before="0" w:after="160" w:line="360" w:lineRule="auto"/>
        <w:ind w:firstLine="567"/>
        <w:jc w:val="both"/>
        <w:rPr>
          <w:rStyle w:val="Bodytext31Sylfaen9"/>
          <w:i w:val="0"/>
          <w:sz w:val="24"/>
          <w:szCs w:val="24"/>
        </w:rPr>
      </w:pPr>
      <w:r w:rsidRPr="00953845">
        <w:rPr>
          <w:rStyle w:val="Bodytext31Sylfaen9"/>
          <w:i w:val="0"/>
          <w:sz w:val="24"/>
          <w:szCs w:val="24"/>
        </w:rPr>
        <w:t>Փորձարկվող նմուշի կենսաբանական ակտիվության լոգարիթմական վստահելի սահմանները հաշվարկվում են հետեւյալ բանաձեւով.</w:t>
      </w:r>
    </w:p>
    <w:p w14:paraId="2E237AC9" w14:textId="77777777" w:rsidR="00B834A2" w:rsidRPr="00B834A2" w:rsidRDefault="00B834A2" w:rsidP="00B834A2">
      <w:pPr>
        <w:pStyle w:val="Bodytext20"/>
        <w:shd w:val="clear" w:color="auto" w:fill="auto"/>
        <w:spacing w:before="0" w:after="160" w:line="360" w:lineRule="auto"/>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3FC3B40B" wp14:editId="51DED85F">
            <wp:extent cx="2970531" cy="810145"/>
            <wp:effectExtent l="19050" t="0" r="1269"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2" cstate="print"/>
                    <a:srcRect/>
                    <a:stretch>
                      <a:fillRect/>
                    </a:stretch>
                  </pic:blipFill>
                  <pic:spPr bwMode="auto">
                    <a:xfrm>
                      <a:off x="0" y="0"/>
                      <a:ext cx="2972825" cy="810771"/>
                    </a:xfrm>
                    <a:prstGeom prst="rect">
                      <a:avLst/>
                    </a:prstGeom>
                    <a:noFill/>
                    <a:ln w="9525">
                      <a:noFill/>
                      <a:miter lim="800000"/>
                      <a:headEnd/>
                      <a:tailEnd/>
                    </a:ln>
                  </pic:spPr>
                </pic:pic>
              </a:graphicData>
            </a:graphic>
          </wp:inline>
        </w:drawing>
      </w:r>
    </w:p>
    <w:p w14:paraId="222A4910" w14:textId="77777777" w:rsidR="00B834A2" w:rsidRPr="00DE4F37"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Փորձարկվող նմուշի կենսաբանական ակտիվության լոգարիթմական վստահելի սահմանները կազմում են 1,9351 եւ 2,1431։</w:t>
      </w:r>
    </w:p>
    <w:p w14:paraId="4B41AEB2" w14:textId="77777777" w:rsidR="00C00D13" w:rsidRPr="00DE4F37" w:rsidRDefault="00C00D13" w:rsidP="0081595A">
      <w:pPr>
        <w:pStyle w:val="Bodytext20"/>
        <w:shd w:val="clear" w:color="auto" w:fill="auto"/>
        <w:spacing w:before="0" w:after="160" w:line="360" w:lineRule="auto"/>
        <w:ind w:firstLine="567"/>
        <w:jc w:val="both"/>
        <w:rPr>
          <w:rStyle w:val="Bodytext31Sylfaen9"/>
          <w:i w:val="0"/>
          <w:sz w:val="24"/>
          <w:szCs w:val="24"/>
        </w:rPr>
      </w:pPr>
    </w:p>
    <w:p w14:paraId="31D7D23C"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pacing w:val="-4"/>
          <w:sz w:val="24"/>
          <w:szCs w:val="24"/>
        </w:rPr>
        <w:lastRenderedPageBreak/>
        <w:t>Այսպիսով՝ փորձարկվող նմուշի կենսաբանական ակտիվությունը հավասար է 108,9 ՄՄ/մլ։ Դրա վստահելի սահմանները կազմում են 10</w:t>
      </w:r>
      <w:r w:rsidRPr="009A3F5E">
        <w:rPr>
          <w:rStyle w:val="Bodytext31Sylfaen9"/>
          <w:i w:val="0"/>
          <w:spacing w:val="-4"/>
          <w:sz w:val="24"/>
          <w:szCs w:val="24"/>
          <w:vertAlign w:val="superscript"/>
        </w:rPr>
        <w:t>1,9351</w:t>
      </w:r>
      <w:r w:rsidRPr="009A3F5E">
        <w:rPr>
          <w:rStyle w:val="Bodytext31Sylfaen9"/>
          <w:i w:val="0"/>
          <w:spacing w:val="-4"/>
          <w:sz w:val="24"/>
          <w:szCs w:val="24"/>
        </w:rPr>
        <w:t>-10</w:t>
      </w:r>
      <w:r w:rsidRPr="009A3F5E">
        <w:rPr>
          <w:rStyle w:val="Bodytext31Sylfaen9"/>
          <w:i w:val="0"/>
          <w:spacing w:val="-4"/>
          <w:sz w:val="24"/>
          <w:szCs w:val="24"/>
          <w:vertAlign w:val="superscript"/>
        </w:rPr>
        <w:t>2,1431</w:t>
      </w:r>
      <w:r w:rsidRPr="009A3F5E">
        <w:rPr>
          <w:rStyle w:val="Bodytext31Sylfaen9"/>
          <w:i w:val="0"/>
          <w:spacing w:val="-4"/>
          <w:sz w:val="24"/>
          <w:szCs w:val="24"/>
        </w:rPr>
        <w:t>, այսինքն՝ 86,1-139,0 ՄՄ/մլ</w:t>
      </w:r>
      <w:r w:rsidRPr="009A3F5E">
        <w:rPr>
          <w:rStyle w:val="Bodytext31Sylfaen9"/>
          <w:i w:val="0"/>
          <w:sz w:val="24"/>
          <w:szCs w:val="24"/>
        </w:rPr>
        <w:t>։</w:t>
      </w:r>
    </w:p>
    <w:p w14:paraId="3FA90D08" w14:textId="77777777" w:rsidR="00B834A2" w:rsidRPr="009A3F5E" w:rsidRDefault="00B834A2" w:rsidP="008805CA">
      <w:pPr>
        <w:pStyle w:val="Bodytext20"/>
        <w:shd w:val="clear" w:color="auto" w:fill="auto"/>
        <w:tabs>
          <w:tab w:val="left" w:pos="1276"/>
        </w:tabs>
        <w:spacing w:before="0" w:after="160" w:line="360" w:lineRule="auto"/>
        <w:ind w:firstLine="567"/>
        <w:jc w:val="both"/>
        <w:rPr>
          <w:rFonts w:ascii="Sylfaen" w:hAnsi="Sylfaen" w:cs="Sylfaen"/>
          <w:sz w:val="24"/>
          <w:szCs w:val="24"/>
        </w:rPr>
      </w:pPr>
      <w:r w:rsidRPr="009A3F5E">
        <w:rPr>
          <w:rStyle w:val="Bodytext2Italic"/>
          <w:i w:val="0"/>
          <w:sz w:val="24"/>
          <w:szCs w:val="24"/>
        </w:rPr>
        <w:t>3.2.7.</w:t>
      </w:r>
      <w:r w:rsidR="008805CA" w:rsidRPr="009A3F5E">
        <w:rPr>
          <w:rStyle w:val="Bodytext2Italic"/>
          <w:i w:val="0"/>
          <w:sz w:val="24"/>
          <w:szCs w:val="24"/>
        </w:rPr>
        <w:tab/>
      </w:r>
      <w:r w:rsidRPr="009A3F5E">
        <w:rPr>
          <w:rFonts w:ascii="Sylfaen" w:hAnsi="Sylfaen"/>
          <w:sz w:val="24"/>
          <w:szCs w:val="24"/>
        </w:rPr>
        <w:t>Ստյուդենտի չափորոշչի կիրառմամբ ինսուլինի եւ դրա անալոգների դեղապատրաստուկների երկարաձգված ազդեցության մասով փորձարկման արդյունքների մշակումը</w:t>
      </w:r>
    </w:p>
    <w:p w14:paraId="5365BF73"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 xml:space="preserve">Ինսուլինի եւ դրա անալոգների պատրաստուկների երկարաձգված ազդեցությունը որոշվում է ենթամաշկային ներարկումից հետո մարդու ինսուլինի ստանդարտ նմուշի լուծույթի ազդեցության հետ դրանց հիպոգլիկեմիկ ազդեցությունը համեմատելու միջոցով։ Որպես թեստ օբյեկտներ օգտագործվում են ճագարները, իսկ որպես աձագանք՝ ներմուծումից 1,0, 1,5, 3,5 եւ 6,0 ժամ հետո </w:t>
      </w:r>
      <w:r w:rsidRPr="00953845">
        <w:rPr>
          <w:rStyle w:val="Bodytext31Sylfaen9"/>
          <w:i w:val="0"/>
          <w:spacing w:val="4"/>
          <w:sz w:val="24"/>
          <w:szCs w:val="24"/>
        </w:rPr>
        <w:t>կենդանիների արյան մեջ գլյուկոզի կենցենտրացիան (սկզբնական մակարդակի %-ով)։</w:t>
      </w:r>
      <w:r w:rsidRPr="009A3F5E">
        <w:rPr>
          <w:rStyle w:val="Bodytext31Sylfaen9"/>
          <w:i w:val="0"/>
          <w:sz w:val="24"/>
          <w:szCs w:val="24"/>
        </w:rPr>
        <w:t xml:space="preserve"> 3.2.7-23 աղյուսակում բերված են 9-ական առանձնյակից կազմված՝ ճագարների երկու խմբի արյան մեջ գլյուկոզի կոնցենտրացիաները՝ ինսուլինի ստանդարտ նմուշի եւ փորձարկվող նմուշի միեւնույն դեղաչափի ներմուծումից առաջ եւ հետո (ականջի եզրային երակից արյուն վերցնելը)։</w:t>
      </w:r>
    </w:p>
    <w:p w14:paraId="016E8CED" w14:textId="77777777" w:rsidR="00B834A2" w:rsidRPr="009A3F5E" w:rsidRDefault="00B834A2" w:rsidP="0081595A">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Յուրաքանչյուր ժամանակային կետում յուրաքանչյուր ճագարի համար հաշվարկվում է արյան մեջ գլյուկոզի անհատական հարաբերական կոնցենտրացիան՝ տվյալ կենդանու սկզբնական մակարդակի տոկոսներով։</w:t>
      </w:r>
    </w:p>
    <w:p w14:paraId="09211407" w14:textId="77777777" w:rsidR="00B834A2" w:rsidRPr="009A3F5E" w:rsidRDefault="00B834A2" w:rsidP="0081595A">
      <w:pPr>
        <w:pStyle w:val="Bodytext20"/>
        <w:shd w:val="clear" w:color="auto" w:fill="auto"/>
        <w:tabs>
          <w:tab w:val="left" w:pos="1134"/>
        </w:tabs>
        <w:spacing w:before="0" w:after="160" w:line="360" w:lineRule="auto"/>
        <w:ind w:firstLine="567"/>
        <w:jc w:val="both"/>
        <w:rPr>
          <w:rStyle w:val="Bodytext31Sylfaen9"/>
          <w:i w:val="0"/>
          <w:sz w:val="24"/>
          <w:szCs w:val="24"/>
        </w:rPr>
      </w:pPr>
      <w:r w:rsidRPr="009A3F5E">
        <w:rPr>
          <w:rFonts w:ascii="Sylfaen" w:hAnsi="Sylfaen"/>
          <w:sz w:val="24"/>
          <w:szCs w:val="24"/>
        </w:rPr>
        <w:t xml:space="preserve">Քանի որ 6 ժամվա ընթացքում ստանդարտ նմուշի լուծույթ ստացած ճագարների արյան մեջ գլյուկոզի միջին հարաբերական կոնցենտրացիան հասել է 103,7 %-ի, ապա ստուգիչ կետ է համարվում այն ժամանակը, երբ այն հասել է </w:t>
      </w:r>
      <w:r w:rsidRPr="009A3F5E">
        <w:rPr>
          <w:rStyle w:val="Bodytext285pt"/>
          <w:i w:val="0"/>
          <w:spacing w:val="0"/>
          <w:sz w:val="24"/>
          <w:szCs w:val="24"/>
        </w:rPr>
        <w:t>100</w:t>
      </w:r>
      <w:r w:rsidR="0081595A" w:rsidRPr="009A3F5E">
        <w:rPr>
          <w:rStyle w:val="Bodytext31Sylfaen9"/>
          <w:i w:val="0"/>
          <w:sz w:val="24"/>
          <w:szCs w:val="24"/>
        </w:rPr>
        <w:t> </w:t>
      </w:r>
      <w:r w:rsidRPr="009A3F5E">
        <w:rPr>
          <w:rStyle w:val="Bodytext31Sylfaen9"/>
          <w:i w:val="0"/>
          <w:sz w:val="24"/>
          <w:szCs w:val="24"/>
        </w:rPr>
        <w:t>%-ի (4,5 եւ 6 ժ.-ի միջեւ)։</w:t>
      </w:r>
    </w:p>
    <w:p w14:paraId="5509FF4C" w14:textId="77777777" w:rsidR="00B834A2" w:rsidRPr="009A3F5E" w:rsidRDefault="00B834A2" w:rsidP="0081595A">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A3F5E">
        <w:rPr>
          <w:rFonts w:ascii="Sylfaen" w:hAnsi="Sylfaen"/>
          <w:sz w:val="24"/>
          <w:szCs w:val="24"/>
        </w:rPr>
        <w:t>1.</w:t>
      </w:r>
      <w:r w:rsidR="0081595A" w:rsidRPr="009A3F5E">
        <w:rPr>
          <w:rFonts w:ascii="Sylfaen" w:hAnsi="Sylfaen"/>
          <w:sz w:val="24"/>
          <w:szCs w:val="24"/>
        </w:rPr>
        <w:tab/>
      </w:r>
      <w:r w:rsidRPr="009A3F5E">
        <w:rPr>
          <w:rStyle w:val="Bodytext31Sylfaen9"/>
          <w:i w:val="0"/>
          <w:sz w:val="24"/>
          <w:szCs w:val="24"/>
        </w:rPr>
        <w:t>Ստուգիչ ժամանակային կետի հաշվարկումը.</w:t>
      </w:r>
    </w:p>
    <w:p w14:paraId="7B93F922" w14:textId="77777777" w:rsidR="00B834A2" w:rsidRPr="009A3F5E" w:rsidRDefault="00B834A2" w:rsidP="0081595A">
      <w:pPr>
        <w:pStyle w:val="Bodytext20"/>
        <w:shd w:val="clear" w:color="auto" w:fill="auto"/>
        <w:tabs>
          <w:tab w:val="left" w:pos="1134"/>
        </w:tabs>
        <w:spacing w:before="0" w:after="160" w:line="360" w:lineRule="auto"/>
        <w:ind w:firstLine="567"/>
        <w:jc w:val="both"/>
        <w:rPr>
          <w:rStyle w:val="Bodytext31Sylfaen9"/>
          <w:i w:val="0"/>
          <w:sz w:val="24"/>
          <w:szCs w:val="24"/>
        </w:rPr>
      </w:pPr>
      <w:r w:rsidRPr="009A3F5E">
        <w:rPr>
          <w:rFonts w:ascii="Sylfaen" w:hAnsi="Sylfaen"/>
          <w:sz w:val="24"/>
          <w:szCs w:val="24"/>
        </w:rPr>
        <w:t>1.1.</w:t>
      </w:r>
      <w:r w:rsidR="0081595A" w:rsidRPr="009A3F5E">
        <w:rPr>
          <w:rFonts w:ascii="Sylfaen" w:hAnsi="Sylfaen"/>
          <w:sz w:val="24"/>
          <w:szCs w:val="24"/>
        </w:rPr>
        <w:tab/>
      </w:r>
      <w:r w:rsidRPr="009A3F5E">
        <w:rPr>
          <w:rStyle w:val="Bodytext31Sylfaen9"/>
          <w:i w:val="0"/>
          <w:sz w:val="24"/>
          <w:szCs w:val="24"/>
        </w:rPr>
        <w:t xml:space="preserve">Ստանդարտ նմուշ ստացած ճագարների արյան մեջ հաշվարկվում է արյան մեջ գլյուկոզի միջին հարաբերական կոնցենտրացիայի փոփոխությունը փորձի ավարտական փուլում։ Այդ նպատակով հաշվարկվում է ստանդարտ </w:t>
      </w:r>
      <w:r w:rsidRPr="009A3F5E">
        <w:rPr>
          <w:rStyle w:val="Bodytext31Sylfaen9"/>
          <w:i w:val="0"/>
          <w:sz w:val="24"/>
          <w:szCs w:val="24"/>
        </w:rPr>
        <w:lastRenderedPageBreak/>
        <w:t>նմուշի լուծույթ ստացած կենդանիների խմբի արյան մեջ գլյուկոզի հարաբերական կոնցենտրացիայի միջին արժեքների միջեւ տարբերությունը՝ ներմուծումից 6,0 եւ 4,5 ժամ հետո՝</w:t>
      </w:r>
    </w:p>
    <w:p w14:paraId="76C992DF" w14:textId="77777777" w:rsidR="00B834A2" w:rsidRPr="009A3F5E" w:rsidRDefault="00B834A2" w:rsidP="0081595A">
      <w:pPr>
        <w:pStyle w:val="Bodytext20"/>
        <w:shd w:val="clear" w:color="auto" w:fill="auto"/>
        <w:spacing w:before="0" w:after="160" w:line="360" w:lineRule="auto"/>
        <w:rPr>
          <w:rStyle w:val="Bodytext31Sylfaen9"/>
          <w:i w:val="0"/>
          <w:sz w:val="24"/>
          <w:szCs w:val="24"/>
        </w:rPr>
      </w:pPr>
      <w:r w:rsidRPr="009A3F5E">
        <w:rPr>
          <w:rStyle w:val="Bodytext31Sylfaen9"/>
          <w:i w:val="0"/>
          <w:sz w:val="24"/>
          <w:szCs w:val="24"/>
        </w:rPr>
        <w:t>103,67-69,82 =33,85 (%)։</w:t>
      </w:r>
    </w:p>
    <w:p w14:paraId="2E14693A" w14:textId="77777777" w:rsidR="00B834A2" w:rsidRPr="009A3F5E" w:rsidRDefault="00B834A2" w:rsidP="0081595A">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A3F5E">
        <w:rPr>
          <w:rFonts w:ascii="Sylfaen" w:hAnsi="Sylfaen"/>
          <w:sz w:val="24"/>
          <w:szCs w:val="24"/>
        </w:rPr>
        <w:t>1.2.</w:t>
      </w:r>
      <w:r w:rsidR="0081595A" w:rsidRPr="009A3F5E">
        <w:rPr>
          <w:rFonts w:ascii="Sylfaen" w:hAnsi="Sylfaen"/>
          <w:sz w:val="24"/>
          <w:szCs w:val="24"/>
        </w:rPr>
        <w:tab/>
      </w:r>
      <w:r w:rsidRPr="009A3F5E">
        <w:rPr>
          <w:rStyle w:val="Bodytext31Sylfaen9"/>
          <w:i w:val="0"/>
          <w:sz w:val="24"/>
          <w:szCs w:val="24"/>
        </w:rPr>
        <w:t>Ներմուծումից 4,5 ժամ հետո գլյուկոզի միջին սկզբնական մակարդակի եւ միջին կոնցենտրացիայի միջեւ տարբերությունը՝</w:t>
      </w:r>
    </w:p>
    <w:p w14:paraId="6015A56B" w14:textId="77777777" w:rsidR="00B834A2" w:rsidRPr="009A3F5E" w:rsidRDefault="00B834A2" w:rsidP="0081595A">
      <w:pPr>
        <w:pStyle w:val="Bodytext20"/>
        <w:shd w:val="clear" w:color="auto" w:fill="auto"/>
        <w:spacing w:before="0" w:after="160" w:line="360" w:lineRule="auto"/>
        <w:ind w:firstLine="567"/>
        <w:rPr>
          <w:rFonts w:ascii="Sylfaen" w:hAnsi="Sylfaen" w:cs="Sylfaen"/>
          <w:sz w:val="24"/>
          <w:szCs w:val="24"/>
        </w:rPr>
      </w:pPr>
      <w:r w:rsidRPr="009A3F5E">
        <w:rPr>
          <w:rStyle w:val="Bodytext31Sylfaen9"/>
          <w:i w:val="0"/>
          <w:sz w:val="24"/>
          <w:szCs w:val="24"/>
        </w:rPr>
        <w:t>100,00 - 69,82 = 30,18 (%)։</w:t>
      </w:r>
    </w:p>
    <w:p w14:paraId="3977E16C" w14:textId="77777777" w:rsidR="00B834A2" w:rsidRPr="009A3F5E" w:rsidRDefault="00B834A2" w:rsidP="0081595A">
      <w:pPr>
        <w:pStyle w:val="Bodytext20"/>
        <w:shd w:val="clear" w:color="auto" w:fill="auto"/>
        <w:tabs>
          <w:tab w:val="left" w:pos="1134"/>
        </w:tabs>
        <w:spacing w:before="0" w:after="160" w:line="360" w:lineRule="auto"/>
        <w:ind w:firstLine="567"/>
        <w:jc w:val="both"/>
        <w:rPr>
          <w:rStyle w:val="Bodytext31Sylfaen9"/>
          <w:i w:val="0"/>
          <w:sz w:val="24"/>
          <w:szCs w:val="24"/>
        </w:rPr>
      </w:pPr>
      <w:r w:rsidRPr="009A3F5E">
        <w:rPr>
          <w:rFonts w:ascii="Sylfaen" w:hAnsi="Sylfaen"/>
          <w:sz w:val="24"/>
          <w:szCs w:val="24"/>
        </w:rPr>
        <w:t>1.3.</w:t>
      </w:r>
      <w:r w:rsidR="0081595A" w:rsidRPr="009A3F5E">
        <w:rPr>
          <w:rFonts w:ascii="Sylfaen" w:hAnsi="Sylfaen"/>
          <w:sz w:val="24"/>
          <w:szCs w:val="24"/>
        </w:rPr>
        <w:tab/>
      </w:r>
      <w:r w:rsidRPr="009A3F5E">
        <w:rPr>
          <w:rStyle w:val="Bodytext31Sylfaen9"/>
          <w:i w:val="0"/>
          <w:sz w:val="24"/>
          <w:szCs w:val="24"/>
        </w:rPr>
        <w:t>Կազմվում է հետեւյալ համամասնությունը.</w:t>
      </w:r>
    </w:p>
    <w:p w14:paraId="470FC71F"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Fonts w:ascii="Sylfaen" w:hAnsi="Sylfaen" w:cs="Sylfaen"/>
          <w:noProof/>
          <w:sz w:val="24"/>
          <w:szCs w:val="24"/>
          <w:lang w:val="en-US" w:eastAsia="en-US" w:bidi="ar-SA"/>
        </w:rPr>
        <w:drawing>
          <wp:inline distT="0" distB="0" distL="0" distR="0" wp14:anchorId="6D1F8E33" wp14:editId="6E9F24A0">
            <wp:extent cx="2547353" cy="594767"/>
            <wp:effectExtent l="19050" t="0" r="5347"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3" cstate="print"/>
                    <a:srcRect/>
                    <a:stretch>
                      <a:fillRect/>
                    </a:stretch>
                  </pic:blipFill>
                  <pic:spPr bwMode="auto">
                    <a:xfrm>
                      <a:off x="0" y="0"/>
                      <a:ext cx="2554512" cy="596438"/>
                    </a:xfrm>
                    <a:prstGeom prst="rect">
                      <a:avLst/>
                    </a:prstGeom>
                    <a:noFill/>
                    <a:ln w="9525">
                      <a:noFill/>
                      <a:miter lim="800000"/>
                      <a:headEnd/>
                      <a:tailEnd/>
                    </a:ln>
                  </pic:spPr>
                </pic:pic>
              </a:graphicData>
            </a:graphic>
          </wp:inline>
        </w:drawing>
      </w:r>
    </w:p>
    <w:p w14:paraId="4356D6C4" w14:textId="77777777" w:rsidR="00B834A2" w:rsidRPr="009A3F5E" w:rsidRDefault="00B834A2" w:rsidP="0081595A">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անցել է 4,5 ժամից մինչեւ ստուգիչ կետը։</w:t>
      </w:r>
    </w:p>
    <w:p w14:paraId="7579E342" w14:textId="77777777" w:rsidR="00B834A2" w:rsidRPr="009A3F5E" w:rsidRDefault="00B834A2" w:rsidP="0081595A">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A3F5E">
        <w:rPr>
          <w:rFonts w:ascii="Sylfaen" w:hAnsi="Sylfaen"/>
          <w:sz w:val="24"/>
          <w:szCs w:val="24"/>
        </w:rPr>
        <w:t>1.4.</w:t>
      </w:r>
      <w:r w:rsidR="0081595A" w:rsidRPr="009A3F5E">
        <w:rPr>
          <w:rFonts w:ascii="Sylfaen" w:hAnsi="Sylfaen"/>
          <w:sz w:val="24"/>
          <w:szCs w:val="24"/>
        </w:rPr>
        <w:tab/>
      </w:r>
      <w:r w:rsidRPr="009A3F5E">
        <w:rPr>
          <w:rStyle w:val="Bodytext31Sylfaen9"/>
          <w:i w:val="0"/>
          <w:sz w:val="24"/>
          <w:szCs w:val="24"/>
        </w:rPr>
        <w:t>Ստուգիչ ժամանակային կետը հավասար է՝</w:t>
      </w:r>
    </w:p>
    <w:p w14:paraId="601054CF" w14:textId="77777777" w:rsidR="00B834A2" w:rsidRPr="009A3F5E" w:rsidRDefault="00B834A2" w:rsidP="00B834A2">
      <w:pPr>
        <w:pStyle w:val="Bodytext20"/>
        <w:shd w:val="clear" w:color="auto" w:fill="auto"/>
        <w:spacing w:before="0" w:after="160" w:line="360" w:lineRule="auto"/>
        <w:ind w:firstLine="567"/>
        <w:rPr>
          <w:rFonts w:ascii="Sylfaen" w:hAnsi="Sylfaen" w:cs="Sylfaen"/>
          <w:sz w:val="24"/>
          <w:szCs w:val="24"/>
        </w:rPr>
      </w:pPr>
      <w:r w:rsidRPr="009A3F5E">
        <w:rPr>
          <w:rFonts w:ascii="Sylfaen" w:hAnsi="Sylfaen"/>
          <w:sz w:val="24"/>
          <w:szCs w:val="24"/>
        </w:rPr>
        <w:t xml:space="preserve">4.50 </w:t>
      </w:r>
      <w:r w:rsidRPr="009A3F5E">
        <w:rPr>
          <w:rStyle w:val="Bodytext31Sylfaen9"/>
          <w:i w:val="0"/>
          <w:sz w:val="24"/>
          <w:szCs w:val="24"/>
        </w:rPr>
        <w:t xml:space="preserve">+ 1,34 = 5,84 </w:t>
      </w:r>
      <w:r w:rsidRPr="009A3F5E">
        <w:rPr>
          <w:rFonts w:ascii="Sylfaen" w:hAnsi="Sylfaen"/>
          <w:sz w:val="24"/>
          <w:szCs w:val="24"/>
        </w:rPr>
        <w:t>(ժ)։</w:t>
      </w:r>
    </w:p>
    <w:p w14:paraId="6D927086" w14:textId="77777777" w:rsidR="00B834A2" w:rsidRPr="009A3F5E" w:rsidRDefault="00B834A2" w:rsidP="0081595A">
      <w:pPr>
        <w:pStyle w:val="Bodytext20"/>
        <w:shd w:val="clear" w:color="auto" w:fill="auto"/>
        <w:tabs>
          <w:tab w:val="left" w:pos="1134"/>
        </w:tabs>
        <w:spacing w:before="0" w:after="160" w:line="360" w:lineRule="auto"/>
        <w:ind w:firstLine="567"/>
        <w:jc w:val="both"/>
        <w:rPr>
          <w:rStyle w:val="Bodytext31Sylfaen9"/>
          <w:i w:val="0"/>
          <w:sz w:val="24"/>
          <w:szCs w:val="24"/>
        </w:rPr>
      </w:pPr>
      <w:r w:rsidRPr="009A3F5E">
        <w:rPr>
          <w:rFonts w:ascii="Sylfaen" w:hAnsi="Sylfaen"/>
          <w:sz w:val="24"/>
          <w:szCs w:val="24"/>
        </w:rPr>
        <w:t>2.</w:t>
      </w:r>
      <w:r w:rsidR="0081595A" w:rsidRPr="009A3F5E">
        <w:rPr>
          <w:rFonts w:ascii="Sylfaen" w:hAnsi="Sylfaen"/>
          <w:sz w:val="24"/>
          <w:szCs w:val="24"/>
        </w:rPr>
        <w:tab/>
      </w:r>
      <w:r w:rsidRPr="009A3F5E">
        <w:rPr>
          <w:rStyle w:val="Bodytext31Sylfaen9"/>
          <w:i w:val="0"/>
          <w:sz w:val="24"/>
          <w:szCs w:val="24"/>
        </w:rPr>
        <w:t xml:space="preserve">Յուրաքանչյուր կենդանու համար ստուգիչ ժամանակային կետում հաշվարկվում է արյան մեջ գլյուկոզի հարաբերական կոնցենտրացիան։ </w:t>
      </w:r>
      <w:r w:rsidRPr="009A3F5E">
        <w:rPr>
          <w:rFonts w:ascii="Sylfaen" w:hAnsi="Sylfaen"/>
          <w:sz w:val="24"/>
          <w:szCs w:val="24"/>
        </w:rPr>
        <w:t xml:space="preserve">Օրինակ՝ առաջին խմբում թիվ 1 ճագարի համար՝ </w:t>
      </w:r>
    </w:p>
    <w:p w14:paraId="25F3B107" w14:textId="77777777" w:rsidR="00B834A2" w:rsidRPr="009A3F5E" w:rsidRDefault="00B834A2" w:rsidP="0081595A">
      <w:pPr>
        <w:pStyle w:val="Bodytext20"/>
        <w:shd w:val="clear" w:color="auto" w:fill="auto"/>
        <w:tabs>
          <w:tab w:val="left" w:pos="1134"/>
        </w:tabs>
        <w:spacing w:before="0" w:after="160" w:line="360" w:lineRule="auto"/>
        <w:ind w:firstLine="567"/>
        <w:jc w:val="both"/>
        <w:rPr>
          <w:rFonts w:ascii="Sylfaen" w:hAnsi="Sylfaen" w:cs="Sylfaen"/>
          <w:sz w:val="24"/>
          <w:szCs w:val="24"/>
        </w:rPr>
      </w:pPr>
      <w:r w:rsidRPr="009A3F5E">
        <w:rPr>
          <w:rStyle w:val="Bodytext31Sylfaen9"/>
          <w:i w:val="0"/>
          <w:sz w:val="24"/>
          <w:szCs w:val="24"/>
        </w:rPr>
        <w:t>2.1.</w:t>
      </w:r>
      <w:r w:rsidR="0081595A" w:rsidRPr="009A3F5E">
        <w:rPr>
          <w:rStyle w:val="Bodytext31Sylfaen9"/>
          <w:i w:val="0"/>
          <w:sz w:val="24"/>
          <w:szCs w:val="24"/>
        </w:rPr>
        <w:tab/>
      </w:r>
      <w:r w:rsidRPr="009A3F5E">
        <w:rPr>
          <w:rStyle w:val="Bodytext31Sylfaen9"/>
          <w:i w:val="0"/>
          <w:sz w:val="24"/>
          <w:szCs w:val="24"/>
        </w:rPr>
        <w:t xml:space="preserve">96,64 - 55,46 = 41,18 (%) 1,5 ժամվա ընթացքում՝ 4,5-ից մինչեւ </w:t>
      </w:r>
      <w:r w:rsidRPr="009A3F5E">
        <w:rPr>
          <w:rStyle w:val="Bodytext285pt"/>
          <w:i w:val="0"/>
          <w:spacing w:val="0"/>
          <w:sz w:val="24"/>
          <w:szCs w:val="24"/>
        </w:rPr>
        <w:t>6</w:t>
      </w:r>
      <w:r w:rsidRPr="009A3F5E">
        <w:rPr>
          <w:rStyle w:val="Bodytext31Sylfaen9"/>
          <w:i w:val="0"/>
          <w:sz w:val="24"/>
          <w:szCs w:val="24"/>
        </w:rPr>
        <w:t xml:space="preserve"> ժամ։</w:t>
      </w:r>
    </w:p>
    <w:p w14:paraId="10DB2633" w14:textId="77777777" w:rsidR="00B834A2" w:rsidRPr="009A3F5E" w:rsidRDefault="00B834A2" w:rsidP="0081595A">
      <w:pPr>
        <w:pStyle w:val="Bodytext20"/>
        <w:shd w:val="clear" w:color="auto" w:fill="auto"/>
        <w:spacing w:before="0" w:after="160" w:line="360" w:lineRule="auto"/>
        <w:ind w:firstLine="567"/>
        <w:jc w:val="both"/>
        <w:rPr>
          <w:rFonts w:ascii="Sylfaen" w:hAnsi="Sylfaen" w:cs="Sylfaen"/>
          <w:sz w:val="24"/>
          <w:szCs w:val="24"/>
        </w:rPr>
      </w:pPr>
      <w:r w:rsidRPr="009A3F5E">
        <w:rPr>
          <w:rFonts w:ascii="Sylfaen" w:hAnsi="Sylfaen"/>
          <w:sz w:val="24"/>
          <w:szCs w:val="24"/>
        </w:rPr>
        <w:t xml:space="preserve">Հետեւաբար 4.50 ժամից մինչեւ 5,84 ժամ ստուգիչ ժամանակային կետն ընկած ժամանակահատվածում տվյալ կենդանու արյան մեջ գլյուկոզի կոնցենտրացիան աճել է </w:t>
      </w:r>
    </w:p>
    <w:p w14:paraId="42551F09" w14:textId="77777777" w:rsidR="00B834A2" w:rsidRPr="009A3F5E" w:rsidRDefault="00B834A2" w:rsidP="0081595A">
      <w:pPr>
        <w:pStyle w:val="Bodytext20"/>
        <w:shd w:val="clear" w:color="auto" w:fill="auto"/>
        <w:spacing w:before="0" w:after="160" w:line="360" w:lineRule="auto"/>
        <w:rPr>
          <w:rStyle w:val="Bodytext31Sylfaen9"/>
          <w:i w:val="0"/>
          <w:sz w:val="24"/>
          <w:szCs w:val="24"/>
        </w:rPr>
      </w:pPr>
      <w:r w:rsidRPr="009A3F5E">
        <w:rPr>
          <w:rFonts w:ascii="Sylfaen" w:eastAsia="Sylfaen" w:hAnsi="Sylfaen" w:cs="Sylfaen"/>
          <w:noProof/>
          <w:sz w:val="24"/>
          <w:szCs w:val="24"/>
          <w:shd w:val="clear" w:color="auto" w:fill="FFFFFF"/>
          <w:lang w:val="en-US" w:eastAsia="en-US" w:bidi="ar-SA"/>
        </w:rPr>
        <w:drawing>
          <wp:inline distT="0" distB="0" distL="0" distR="0" wp14:anchorId="6A4CEFC1" wp14:editId="2496B308">
            <wp:extent cx="1315739" cy="402806"/>
            <wp:effectExtent l="19050" t="0" r="0" b="0"/>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1326321" cy="406046"/>
                    </a:xfrm>
                    <a:prstGeom prst="rect">
                      <a:avLst/>
                    </a:prstGeom>
                    <a:noFill/>
                    <a:ln w="9525">
                      <a:noFill/>
                      <a:miter lim="800000"/>
                      <a:headEnd/>
                      <a:tailEnd/>
                    </a:ln>
                  </pic:spPr>
                </pic:pic>
              </a:graphicData>
            </a:graphic>
          </wp:inline>
        </w:drawing>
      </w:r>
    </w:p>
    <w:p w14:paraId="56947210" w14:textId="77777777" w:rsidR="00B834A2" w:rsidRPr="00DE4F37" w:rsidRDefault="00B834A2" w:rsidP="0081595A">
      <w:pPr>
        <w:pStyle w:val="Bodytext20"/>
        <w:shd w:val="clear" w:color="auto" w:fill="auto"/>
        <w:tabs>
          <w:tab w:val="left" w:pos="1134"/>
        </w:tabs>
        <w:spacing w:before="0" w:after="160" w:line="360" w:lineRule="auto"/>
        <w:ind w:firstLine="567"/>
        <w:jc w:val="both"/>
        <w:rPr>
          <w:rFonts w:ascii="Sylfaen" w:hAnsi="Sylfaen"/>
          <w:sz w:val="24"/>
          <w:szCs w:val="24"/>
        </w:rPr>
      </w:pPr>
      <w:r w:rsidRPr="009A3F5E">
        <w:rPr>
          <w:rStyle w:val="Bodytext31Sylfaen9"/>
          <w:i w:val="0"/>
          <w:sz w:val="24"/>
          <w:szCs w:val="24"/>
        </w:rPr>
        <w:t>2.2.</w:t>
      </w:r>
      <w:r w:rsidR="0081595A" w:rsidRPr="009A3F5E">
        <w:rPr>
          <w:rStyle w:val="Bodytext31Sylfaen9"/>
          <w:i w:val="0"/>
          <w:sz w:val="24"/>
          <w:szCs w:val="24"/>
        </w:rPr>
        <w:tab/>
      </w:r>
      <w:r w:rsidRPr="009A3F5E">
        <w:rPr>
          <w:rFonts w:ascii="Sylfaen" w:hAnsi="Sylfaen"/>
          <w:sz w:val="24"/>
          <w:szCs w:val="24"/>
        </w:rPr>
        <w:t>Այդ պատճառով թիվ 1 ճագարի արյան մեջ գլյուկոզի կոնցենտրացիան ստուգիչ ժամանակային կետում կազմել է 55,46 + 36,79 = 92,25 (%)։</w:t>
      </w:r>
    </w:p>
    <w:p w14:paraId="17E8A8D5" w14:textId="77777777" w:rsidR="00C00D13" w:rsidRPr="00DE4F37" w:rsidRDefault="00C00D13" w:rsidP="0081595A">
      <w:pPr>
        <w:pStyle w:val="Bodytext20"/>
        <w:shd w:val="clear" w:color="auto" w:fill="auto"/>
        <w:tabs>
          <w:tab w:val="left" w:pos="1134"/>
        </w:tabs>
        <w:spacing w:before="0" w:after="160" w:line="360" w:lineRule="auto"/>
        <w:ind w:firstLine="567"/>
        <w:jc w:val="both"/>
        <w:rPr>
          <w:rFonts w:ascii="Sylfaen" w:hAnsi="Sylfaen" w:cs="Sylfaen"/>
          <w:sz w:val="24"/>
          <w:szCs w:val="24"/>
        </w:rPr>
      </w:pPr>
    </w:p>
    <w:p w14:paraId="53A19EC3"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lastRenderedPageBreak/>
        <w:t>Նույն հաշվարկները կատարվում են նաեւ մյուս կենդանիների համար։ Ստացված արդյունքները գրանցվում են 3.2.7-25 աղյուսակում։</w:t>
      </w:r>
    </w:p>
    <w:p w14:paraId="7A547F32"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Երկու խմբերում դիսպերսիաների հավասարությունը ստուգելու համար ավելի մեծ դիսպերսիան բաժանում են ավելի փոքրով՝ s</w:t>
      </w:r>
      <w:r w:rsidRPr="009A3F5E">
        <w:rPr>
          <w:rStyle w:val="Bodytext31Sylfaen9"/>
          <w:i w:val="0"/>
          <w:sz w:val="24"/>
          <w:szCs w:val="24"/>
          <w:vertAlign w:val="superscript"/>
        </w:rPr>
        <w:t>2</w:t>
      </w:r>
      <w:r w:rsidRPr="009A3F5E">
        <w:rPr>
          <w:rStyle w:val="Bodytext31Sylfaen9"/>
          <w:i w:val="0"/>
          <w:sz w:val="24"/>
          <w:szCs w:val="24"/>
          <w:vertAlign w:val="subscript"/>
        </w:rPr>
        <w:t>1</w:t>
      </w:r>
      <w:r w:rsidRPr="009A3F5E">
        <w:rPr>
          <w:rStyle w:val="Bodytext31Sylfaen9"/>
          <w:i w:val="0"/>
          <w:sz w:val="24"/>
          <w:szCs w:val="24"/>
        </w:rPr>
        <w:t>/</w:t>
      </w:r>
      <w:r w:rsidRPr="009A3F5E">
        <w:rPr>
          <w:rStyle w:val="Bodytext285pt"/>
          <w:i w:val="0"/>
          <w:spacing w:val="0"/>
          <w:sz w:val="24"/>
          <w:szCs w:val="24"/>
        </w:rPr>
        <w:t>s</w:t>
      </w:r>
      <w:r w:rsidRPr="009A3F5E">
        <w:rPr>
          <w:rStyle w:val="Bodytext31Sylfaen9"/>
          <w:i w:val="0"/>
          <w:sz w:val="24"/>
          <w:szCs w:val="24"/>
          <w:vertAlign w:val="superscript"/>
        </w:rPr>
        <w:t>2</w:t>
      </w:r>
      <w:r w:rsidRPr="009A3F5E">
        <w:rPr>
          <w:rStyle w:val="Bodytext31Sylfaen9"/>
          <w:i w:val="0"/>
          <w:sz w:val="24"/>
          <w:szCs w:val="24"/>
          <w:vertAlign w:val="subscript"/>
        </w:rPr>
        <w:t>2</w:t>
      </w:r>
      <w:r w:rsidRPr="009A3F5E">
        <w:rPr>
          <w:rStyle w:val="Bodytext31Sylfaen9"/>
          <w:i w:val="0"/>
          <w:sz w:val="24"/>
          <w:szCs w:val="24"/>
        </w:rPr>
        <w:t xml:space="preserve"> = 81,599/51,446 ≈ 1,59, ինչը փոքր է Ֆիշերի չափորոշչի կրիտիկական արժեքից՝ ƒ</w:t>
      </w:r>
      <w:r w:rsidRPr="009A3F5E">
        <w:rPr>
          <w:rStyle w:val="Bodytext31Sylfaen9"/>
          <w:i w:val="0"/>
          <w:sz w:val="24"/>
          <w:szCs w:val="24"/>
          <w:vertAlign w:val="subscript"/>
        </w:rPr>
        <w:t>1</w:t>
      </w:r>
      <w:r w:rsidRPr="009A3F5E">
        <w:rPr>
          <w:rStyle w:val="Bodytext285pt"/>
          <w:i w:val="0"/>
          <w:spacing w:val="0"/>
          <w:sz w:val="24"/>
          <w:szCs w:val="24"/>
        </w:rPr>
        <w:t>=</w:t>
      </w:r>
      <w:r w:rsidRPr="009A3F5E">
        <w:rPr>
          <w:rStyle w:val="Bodytext31Sylfaen9"/>
          <w:i w:val="0"/>
          <w:sz w:val="24"/>
          <w:szCs w:val="24"/>
        </w:rPr>
        <w:t>ƒ</w:t>
      </w:r>
      <w:r w:rsidRPr="009A3F5E">
        <w:rPr>
          <w:rStyle w:val="Bodytext285pt"/>
          <w:i w:val="0"/>
          <w:spacing w:val="0"/>
          <w:sz w:val="24"/>
          <w:szCs w:val="24"/>
          <w:vertAlign w:val="subscript"/>
        </w:rPr>
        <w:t>2</w:t>
      </w:r>
      <w:r w:rsidRPr="009A3F5E">
        <w:rPr>
          <w:rStyle w:val="Bodytext285pt"/>
          <w:i w:val="0"/>
          <w:spacing w:val="0"/>
          <w:sz w:val="24"/>
          <w:szCs w:val="24"/>
        </w:rPr>
        <w:t>=8</w:t>
      </w:r>
      <w:r w:rsidRPr="009A3F5E">
        <w:rPr>
          <w:rStyle w:val="Bodytext31Sylfaen9"/>
          <w:i w:val="0"/>
          <w:sz w:val="24"/>
          <w:szCs w:val="24"/>
        </w:rPr>
        <w:t xml:space="preserve"> </w:t>
      </w:r>
      <w:r w:rsidRPr="009A3F5E">
        <w:rPr>
          <w:rStyle w:val="Bodytext2Italic"/>
          <w:i w:val="0"/>
          <w:sz w:val="24"/>
          <w:szCs w:val="24"/>
        </w:rPr>
        <w:t>р=</w:t>
      </w:r>
      <w:r w:rsidRPr="009A3F5E">
        <w:rPr>
          <w:rStyle w:val="Bodytext31Sylfaen9"/>
          <w:i w:val="0"/>
          <w:sz w:val="24"/>
          <w:szCs w:val="24"/>
        </w:rPr>
        <w:t>0,05</w:t>
      </w:r>
      <w:r w:rsidRPr="009A3F5E">
        <w:rPr>
          <w:rFonts w:ascii="Sylfaen" w:hAnsi="Sylfaen"/>
          <w:sz w:val="24"/>
          <w:szCs w:val="24"/>
        </w:rPr>
        <w:t>-ի համար, որը հավասար է 3,44 (հավելվածի 3-րդ աղյուսակ)։</w:t>
      </w:r>
      <w:r w:rsidRPr="009A3F5E">
        <w:rPr>
          <w:rStyle w:val="Bodytext31Sylfaen9"/>
          <w:i w:val="0"/>
          <w:sz w:val="24"/>
          <w:szCs w:val="24"/>
        </w:rPr>
        <w:t xml:space="preserve"> Դա նշանակում է, որ երկու դիսպերսիաների տարբերությունը վիճակագրորեն հավաստի չէ։ </w:t>
      </w:r>
      <w:r w:rsidRPr="009A3F5E">
        <w:rPr>
          <w:rFonts w:ascii="Sylfaen" w:hAnsi="Sylfaen"/>
          <w:sz w:val="24"/>
          <w:szCs w:val="24"/>
        </w:rPr>
        <w:t>Այդ պատճառով Ստյուդենտի չափորոշչի միջոցով կատարվում է կենդանիների 2 խմբի արյան մեջ գլյուկոզի հարաբերական կոնցենտրացիայի երկու միջին արժեքների համեմատումը՝ հետեւյալ բանաձեւով.</w:t>
      </w:r>
    </w:p>
    <w:p w14:paraId="16A091A2" w14:textId="77777777" w:rsidR="00F634DB" w:rsidRPr="00903268" w:rsidRDefault="00F634DB" w:rsidP="0081595A">
      <w:pPr>
        <w:pStyle w:val="Tablecaption20"/>
        <w:shd w:val="clear" w:color="auto" w:fill="auto"/>
        <w:spacing w:before="0" w:after="160" w:line="360" w:lineRule="auto"/>
        <w:ind w:firstLine="567"/>
        <w:rPr>
          <w:rStyle w:val="Bodytext310pt"/>
          <w:b w:val="0"/>
          <w:sz w:val="24"/>
          <w:szCs w:val="24"/>
        </w:rPr>
      </w:pPr>
    </w:p>
    <w:p w14:paraId="28FFC00E" w14:textId="77777777" w:rsidR="00B834A2" w:rsidRPr="009A3F5E" w:rsidRDefault="00B834A2" w:rsidP="0081595A">
      <w:pPr>
        <w:pStyle w:val="Tablecaption20"/>
        <w:shd w:val="clear" w:color="auto" w:fill="auto"/>
        <w:spacing w:before="0" w:after="160" w:line="360" w:lineRule="auto"/>
        <w:ind w:firstLine="567"/>
        <w:rPr>
          <w:rStyle w:val="Bodytext310pt"/>
          <w:sz w:val="24"/>
          <w:szCs w:val="24"/>
        </w:rPr>
      </w:pPr>
      <w:r w:rsidRPr="0023645A">
        <w:rPr>
          <w:rStyle w:val="Bodytext310pt"/>
          <w:b w:val="0"/>
          <w:sz w:val="24"/>
          <w:szCs w:val="24"/>
        </w:rPr>
        <w:t>Աղյուսակ 3.2.7-23.</w:t>
      </w:r>
      <w:r w:rsidRPr="009A3F5E">
        <w:rPr>
          <w:rStyle w:val="Bodytext310pt"/>
          <w:sz w:val="24"/>
          <w:szCs w:val="24"/>
        </w:rPr>
        <w:t xml:space="preserve"> </w:t>
      </w:r>
      <w:r w:rsidRPr="009A3F5E">
        <w:rPr>
          <w:rFonts w:ascii="Sylfaen" w:hAnsi="Sylfaen"/>
          <w:i w:val="0"/>
          <w:sz w:val="24"/>
          <w:szCs w:val="24"/>
        </w:rPr>
        <w:t>Արձագանքները (ճագարների արյան մեջ գլյուկոզի կոնցենտրացիան՝ մգ%-ով)՝ ինսուլինի ստանդարտ նմուշի եւ փորձարկվող նմուշի ներմուծումից առաջ եւ հետո</w:t>
      </w:r>
      <w:r w:rsidR="0081595A" w:rsidRPr="009A3F5E">
        <w:rPr>
          <w:rFonts w:ascii="Sylfaen" w:hAnsi="Sylfaen"/>
          <w:i w:val="0"/>
          <w:sz w:val="24"/>
          <w:szCs w:val="24"/>
        </w:rPr>
        <w:t xml:space="preserve"> </w:t>
      </w:r>
      <w:r w:rsidRPr="009A3F5E">
        <w:rPr>
          <w:rFonts w:ascii="Sylfaen" w:hAnsi="Sylfaen"/>
          <w:i w:val="0"/>
          <w:sz w:val="24"/>
          <w:szCs w:val="24"/>
          <w:u w:val="single"/>
        </w:rPr>
        <w:t xml:space="preserve">S </w:t>
      </w:r>
      <w:r w:rsidRPr="009A3F5E">
        <w:rPr>
          <w:rFonts w:ascii="Sylfaen" w:hAnsi="Sylfaen"/>
          <w:i w:val="0"/>
          <w:sz w:val="24"/>
          <w:szCs w:val="24"/>
        </w:rPr>
        <w:t>ստանդարտ նմուշը</w:t>
      </w:r>
    </w:p>
    <w:tbl>
      <w:tblPr>
        <w:tblOverlap w:val="never"/>
        <w:tblW w:w="9422" w:type="dxa"/>
        <w:tblLayout w:type="fixed"/>
        <w:tblCellMar>
          <w:left w:w="10" w:type="dxa"/>
          <w:right w:w="10" w:type="dxa"/>
        </w:tblCellMar>
        <w:tblLook w:val="0000" w:firstRow="0" w:lastRow="0" w:firstColumn="0" w:lastColumn="0" w:noHBand="0" w:noVBand="0"/>
      </w:tblPr>
      <w:tblGrid>
        <w:gridCol w:w="2338"/>
        <w:gridCol w:w="1123"/>
        <w:gridCol w:w="1253"/>
        <w:gridCol w:w="1397"/>
        <w:gridCol w:w="931"/>
        <w:gridCol w:w="1166"/>
        <w:gridCol w:w="1214"/>
      </w:tblGrid>
      <w:tr w:rsidR="00B834A2" w:rsidRPr="009A3F5E" w14:paraId="7880833A" w14:textId="77777777" w:rsidTr="00B834A2">
        <w:tc>
          <w:tcPr>
            <w:tcW w:w="2338" w:type="dxa"/>
            <w:vMerge w:val="restart"/>
            <w:tcBorders>
              <w:top w:val="single" w:sz="4" w:space="0" w:color="auto"/>
            </w:tcBorders>
            <w:shd w:val="clear" w:color="auto" w:fill="FFFFFF"/>
            <w:vAlign w:val="center"/>
          </w:tcPr>
          <w:p w14:paraId="7677A88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Համարը՝ ը/կ</w:t>
            </w:r>
          </w:p>
        </w:tc>
        <w:tc>
          <w:tcPr>
            <w:tcW w:w="7084" w:type="dxa"/>
            <w:gridSpan w:val="6"/>
            <w:tcBorders>
              <w:top w:val="single" w:sz="4" w:space="0" w:color="auto"/>
            </w:tcBorders>
            <w:shd w:val="clear" w:color="auto" w:fill="FFFFFF"/>
          </w:tcPr>
          <w:p w14:paraId="678871B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Ժամանակը, ժ</w:t>
            </w:r>
          </w:p>
        </w:tc>
      </w:tr>
      <w:tr w:rsidR="00B834A2" w:rsidRPr="009A3F5E" w14:paraId="4EEE9A9C" w14:textId="77777777" w:rsidTr="00B834A2">
        <w:tc>
          <w:tcPr>
            <w:tcW w:w="2338" w:type="dxa"/>
            <w:vMerge/>
            <w:tcBorders>
              <w:bottom w:val="nil"/>
            </w:tcBorders>
            <w:shd w:val="clear" w:color="auto" w:fill="FFFFFF"/>
          </w:tcPr>
          <w:p w14:paraId="753735EA" w14:textId="77777777" w:rsidR="00B834A2" w:rsidRPr="009A3F5E" w:rsidRDefault="00B834A2" w:rsidP="0081595A">
            <w:pPr>
              <w:spacing w:after="120"/>
              <w:rPr>
                <w:sz w:val="20"/>
                <w:szCs w:val="20"/>
              </w:rPr>
            </w:pPr>
          </w:p>
        </w:tc>
        <w:tc>
          <w:tcPr>
            <w:tcW w:w="1123" w:type="dxa"/>
            <w:tcBorders>
              <w:top w:val="single" w:sz="4" w:space="0" w:color="auto"/>
              <w:bottom w:val="nil"/>
            </w:tcBorders>
            <w:shd w:val="clear" w:color="auto" w:fill="FFFFFF"/>
          </w:tcPr>
          <w:p w14:paraId="621C36E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253" w:type="dxa"/>
            <w:tcBorders>
              <w:top w:val="single" w:sz="4" w:space="0" w:color="auto"/>
              <w:bottom w:val="nil"/>
            </w:tcBorders>
            <w:shd w:val="clear" w:color="auto" w:fill="FFFFFF"/>
          </w:tcPr>
          <w:p w14:paraId="6F74627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1,5</w:t>
            </w:r>
          </w:p>
        </w:tc>
        <w:tc>
          <w:tcPr>
            <w:tcW w:w="1397" w:type="dxa"/>
            <w:tcBorders>
              <w:top w:val="single" w:sz="4" w:space="0" w:color="auto"/>
              <w:bottom w:val="nil"/>
            </w:tcBorders>
            <w:shd w:val="clear" w:color="auto" w:fill="FFFFFF"/>
          </w:tcPr>
          <w:p w14:paraId="5EF146F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931" w:type="dxa"/>
            <w:tcBorders>
              <w:top w:val="single" w:sz="4" w:space="0" w:color="auto"/>
              <w:bottom w:val="nil"/>
            </w:tcBorders>
            <w:shd w:val="clear" w:color="auto" w:fill="FFFFFF"/>
          </w:tcPr>
          <w:p w14:paraId="693B66E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1166" w:type="dxa"/>
            <w:tcBorders>
              <w:top w:val="single" w:sz="4" w:space="0" w:color="auto"/>
              <w:bottom w:val="nil"/>
            </w:tcBorders>
            <w:shd w:val="clear" w:color="auto" w:fill="FFFFFF"/>
          </w:tcPr>
          <w:p w14:paraId="26E6FC6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214" w:type="dxa"/>
            <w:tcBorders>
              <w:top w:val="single" w:sz="4" w:space="0" w:color="auto"/>
              <w:bottom w:val="nil"/>
            </w:tcBorders>
            <w:shd w:val="clear" w:color="auto" w:fill="FFFFFF"/>
          </w:tcPr>
          <w:p w14:paraId="066E4235" w14:textId="77777777" w:rsidR="00B834A2" w:rsidRPr="009A3F5E" w:rsidRDefault="00B834A2" w:rsidP="0081595A">
            <w:pPr>
              <w:spacing w:after="120"/>
              <w:rPr>
                <w:sz w:val="20"/>
                <w:szCs w:val="20"/>
              </w:rPr>
            </w:pPr>
          </w:p>
        </w:tc>
      </w:tr>
      <w:tr w:rsidR="00B834A2" w:rsidRPr="009A3F5E" w14:paraId="001DC0E5" w14:textId="77777777" w:rsidTr="00B834A2">
        <w:tc>
          <w:tcPr>
            <w:tcW w:w="2338" w:type="dxa"/>
            <w:tcBorders>
              <w:top w:val="single" w:sz="4" w:space="0" w:color="auto"/>
            </w:tcBorders>
            <w:shd w:val="clear" w:color="auto" w:fill="FFFFFF"/>
          </w:tcPr>
          <w:p w14:paraId="32AE24B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295pt"/>
                <w:i w:val="0"/>
                <w:sz w:val="20"/>
                <w:szCs w:val="20"/>
              </w:rPr>
              <w:t>1</w:t>
            </w:r>
            <w:r w:rsidRPr="009A3F5E">
              <w:rPr>
                <w:rStyle w:val="Bodytext31Sylfaen16"/>
                <w:i w:val="0"/>
                <w:sz w:val="20"/>
                <w:szCs w:val="20"/>
              </w:rPr>
              <w:t>.</w:t>
            </w:r>
          </w:p>
        </w:tc>
        <w:tc>
          <w:tcPr>
            <w:tcW w:w="1123" w:type="dxa"/>
            <w:tcBorders>
              <w:top w:val="single" w:sz="4" w:space="0" w:color="auto"/>
            </w:tcBorders>
            <w:shd w:val="clear" w:color="auto" w:fill="FFFFFF"/>
          </w:tcPr>
          <w:p w14:paraId="5DC37CB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119</w:t>
            </w:r>
          </w:p>
        </w:tc>
        <w:tc>
          <w:tcPr>
            <w:tcW w:w="1253" w:type="dxa"/>
            <w:tcBorders>
              <w:top w:val="single" w:sz="4" w:space="0" w:color="auto"/>
            </w:tcBorders>
            <w:shd w:val="clear" w:color="auto" w:fill="FFFFFF"/>
          </w:tcPr>
          <w:p w14:paraId="2F94321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30</w:t>
            </w:r>
          </w:p>
        </w:tc>
        <w:tc>
          <w:tcPr>
            <w:tcW w:w="1397" w:type="dxa"/>
            <w:tcBorders>
              <w:top w:val="single" w:sz="4" w:space="0" w:color="auto"/>
            </w:tcBorders>
            <w:shd w:val="clear" w:color="auto" w:fill="FFFFFF"/>
          </w:tcPr>
          <w:p w14:paraId="6352DD1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33</w:t>
            </w:r>
          </w:p>
        </w:tc>
        <w:tc>
          <w:tcPr>
            <w:tcW w:w="931" w:type="dxa"/>
            <w:tcBorders>
              <w:top w:val="single" w:sz="4" w:space="0" w:color="auto"/>
            </w:tcBorders>
            <w:shd w:val="clear" w:color="auto" w:fill="FFFFFF"/>
          </w:tcPr>
          <w:p w14:paraId="7CF7DC4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66</w:t>
            </w:r>
          </w:p>
        </w:tc>
        <w:tc>
          <w:tcPr>
            <w:tcW w:w="1166" w:type="dxa"/>
            <w:tcBorders>
              <w:top w:val="single" w:sz="4" w:space="0" w:color="auto"/>
            </w:tcBorders>
            <w:shd w:val="clear" w:color="auto" w:fill="FFFFFF"/>
          </w:tcPr>
          <w:p w14:paraId="4BCA300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115</w:t>
            </w:r>
          </w:p>
        </w:tc>
        <w:tc>
          <w:tcPr>
            <w:tcW w:w="1214" w:type="dxa"/>
            <w:tcBorders>
              <w:top w:val="single" w:sz="4" w:space="0" w:color="auto"/>
            </w:tcBorders>
            <w:shd w:val="clear" w:color="auto" w:fill="FFFFFF"/>
          </w:tcPr>
          <w:p w14:paraId="26A0C120" w14:textId="77777777" w:rsidR="00B834A2" w:rsidRPr="009A3F5E" w:rsidRDefault="00B834A2" w:rsidP="0081595A">
            <w:pPr>
              <w:spacing w:after="120"/>
              <w:rPr>
                <w:sz w:val="20"/>
                <w:szCs w:val="20"/>
              </w:rPr>
            </w:pPr>
          </w:p>
        </w:tc>
      </w:tr>
      <w:tr w:rsidR="00B834A2" w:rsidRPr="009A3F5E" w14:paraId="5DD772A9" w14:textId="77777777" w:rsidTr="00B834A2">
        <w:tc>
          <w:tcPr>
            <w:tcW w:w="2338" w:type="dxa"/>
            <w:shd w:val="clear" w:color="auto" w:fill="FFFFFF"/>
          </w:tcPr>
          <w:p w14:paraId="107DC39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w:t>
            </w:r>
          </w:p>
        </w:tc>
        <w:tc>
          <w:tcPr>
            <w:tcW w:w="1123" w:type="dxa"/>
            <w:shd w:val="clear" w:color="auto" w:fill="FFFFFF"/>
          </w:tcPr>
          <w:p w14:paraId="43C6679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84</w:t>
            </w:r>
          </w:p>
        </w:tc>
        <w:tc>
          <w:tcPr>
            <w:tcW w:w="1253" w:type="dxa"/>
            <w:shd w:val="clear" w:color="auto" w:fill="FFFFFF"/>
          </w:tcPr>
          <w:p w14:paraId="2D817A0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19</w:t>
            </w:r>
          </w:p>
        </w:tc>
        <w:tc>
          <w:tcPr>
            <w:tcW w:w="1397" w:type="dxa"/>
            <w:shd w:val="clear" w:color="auto" w:fill="FFFFFF"/>
          </w:tcPr>
          <w:p w14:paraId="5B33775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w:t>
            </w:r>
          </w:p>
        </w:tc>
        <w:tc>
          <w:tcPr>
            <w:tcW w:w="931" w:type="dxa"/>
            <w:shd w:val="clear" w:color="auto" w:fill="FFFFFF"/>
          </w:tcPr>
          <w:p w14:paraId="60756CA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75</w:t>
            </w:r>
          </w:p>
        </w:tc>
        <w:tc>
          <w:tcPr>
            <w:tcW w:w="1166" w:type="dxa"/>
            <w:shd w:val="clear" w:color="auto" w:fill="FFFFFF"/>
          </w:tcPr>
          <w:p w14:paraId="13D59FF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90</w:t>
            </w:r>
          </w:p>
        </w:tc>
        <w:tc>
          <w:tcPr>
            <w:tcW w:w="1214" w:type="dxa"/>
            <w:shd w:val="clear" w:color="auto" w:fill="FFFFFF"/>
          </w:tcPr>
          <w:p w14:paraId="05670FD8" w14:textId="77777777" w:rsidR="00B834A2" w:rsidRPr="009A3F5E" w:rsidRDefault="00B834A2" w:rsidP="0081595A">
            <w:pPr>
              <w:spacing w:after="120"/>
              <w:rPr>
                <w:sz w:val="20"/>
                <w:szCs w:val="20"/>
              </w:rPr>
            </w:pPr>
          </w:p>
        </w:tc>
      </w:tr>
      <w:tr w:rsidR="00B834A2" w:rsidRPr="009A3F5E" w14:paraId="185889F4" w14:textId="77777777" w:rsidTr="00B834A2">
        <w:tc>
          <w:tcPr>
            <w:tcW w:w="2338" w:type="dxa"/>
            <w:shd w:val="clear" w:color="auto" w:fill="FFFFFF"/>
          </w:tcPr>
          <w:p w14:paraId="2D56A92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123" w:type="dxa"/>
            <w:shd w:val="clear" w:color="auto" w:fill="FFFFFF"/>
          </w:tcPr>
          <w:p w14:paraId="70A3AB8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85</w:t>
            </w:r>
          </w:p>
        </w:tc>
        <w:tc>
          <w:tcPr>
            <w:tcW w:w="1253" w:type="dxa"/>
            <w:shd w:val="clear" w:color="auto" w:fill="FFFFFF"/>
          </w:tcPr>
          <w:p w14:paraId="51F972D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32</w:t>
            </w:r>
          </w:p>
        </w:tc>
        <w:tc>
          <w:tcPr>
            <w:tcW w:w="1397" w:type="dxa"/>
            <w:shd w:val="clear" w:color="auto" w:fill="FFFFFF"/>
          </w:tcPr>
          <w:p w14:paraId="69B7F03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37</w:t>
            </w:r>
          </w:p>
        </w:tc>
        <w:tc>
          <w:tcPr>
            <w:tcW w:w="931" w:type="dxa"/>
            <w:shd w:val="clear" w:color="auto" w:fill="FFFFFF"/>
          </w:tcPr>
          <w:p w14:paraId="5087FBD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55</w:t>
            </w:r>
          </w:p>
        </w:tc>
        <w:tc>
          <w:tcPr>
            <w:tcW w:w="1166" w:type="dxa"/>
            <w:shd w:val="clear" w:color="auto" w:fill="FFFFFF"/>
          </w:tcPr>
          <w:p w14:paraId="0BD67E3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87</w:t>
            </w:r>
          </w:p>
        </w:tc>
        <w:tc>
          <w:tcPr>
            <w:tcW w:w="1214" w:type="dxa"/>
            <w:shd w:val="clear" w:color="auto" w:fill="FFFFFF"/>
          </w:tcPr>
          <w:p w14:paraId="3EB3F205" w14:textId="77777777" w:rsidR="00B834A2" w:rsidRPr="009A3F5E" w:rsidRDefault="00B834A2" w:rsidP="0081595A">
            <w:pPr>
              <w:spacing w:after="120"/>
              <w:rPr>
                <w:sz w:val="20"/>
                <w:szCs w:val="20"/>
              </w:rPr>
            </w:pPr>
          </w:p>
        </w:tc>
      </w:tr>
      <w:tr w:rsidR="00B834A2" w:rsidRPr="009A3F5E" w14:paraId="0BFB084E" w14:textId="77777777" w:rsidTr="00B834A2">
        <w:tc>
          <w:tcPr>
            <w:tcW w:w="2338" w:type="dxa"/>
            <w:shd w:val="clear" w:color="auto" w:fill="FFFFFF"/>
          </w:tcPr>
          <w:p w14:paraId="17B10AD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w:t>
            </w:r>
          </w:p>
        </w:tc>
        <w:tc>
          <w:tcPr>
            <w:tcW w:w="1123" w:type="dxa"/>
            <w:shd w:val="clear" w:color="auto" w:fill="FFFFFF"/>
          </w:tcPr>
          <w:p w14:paraId="7DF9B29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73</w:t>
            </w:r>
          </w:p>
        </w:tc>
        <w:tc>
          <w:tcPr>
            <w:tcW w:w="1253" w:type="dxa"/>
            <w:shd w:val="clear" w:color="auto" w:fill="FFFFFF"/>
          </w:tcPr>
          <w:p w14:paraId="6F455EE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w:t>
            </w:r>
          </w:p>
        </w:tc>
        <w:tc>
          <w:tcPr>
            <w:tcW w:w="1397" w:type="dxa"/>
            <w:shd w:val="clear" w:color="auto" w:fill="FFFFFF"/>
          </w:tcPr>
          <w:p w14:paraId="53570DD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w:t>
            </w:r>
          </w:p>
        </w:tc>
        <w:tc>
          <w:tcPr>
            <w:tcW w:w="931" w:type="dxa"/>
            <w:shd w:val="clear" w:color="auto" w:fill="FFFFFF"/>
          </w:tcPr>
          <w:p w14:paraId="4DBB2BC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49</w:t>
            </w:r>
          </w:p>
        </w:tc>
        <w:tc>
          <w:tcPr>
            <w:tcW w:w="1166" w:type="dxa"/>
            <w:shd w:val="clear" w:color="auto" w:fill="FFFFFF"/>
          </w:tcPr>
          <w:p w14:paraId="208A508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81</w:t>
            </w:r>
          </w:p>
        </w:tc>
        <w:tc>
          <w:tcPr>
            <w:tcW w:w="1214" w:type="dxa"/>
            <w:shd w:val="clear" w:color="auto" w:fill="FFFFFF"/>
          </w:tcPr>
          <w:p w14:paraId="753EF99E" w14:textId="77777777" w:rsidR="00B834A2" w:rsidRPr="009A3F5E" w:rsidRDefault="00B834A2" w:rsidP="0081595A">
            <w:pPr>
              <w:spacing w:after="120"/>
              <w:rPr>
                <w:sz w:val="20"/>
                <w:szCs w:val="20"/>
              </w:rPr>
            </w:pPr>
          </w:p>
        </w:tc>
      </w:tr>
      <w:tr w:rsidR="00B834A2" w:rsidRPr="009A3F5E" w14:paraId="109ECE22" w14:textId="77777777" w:rsidTr="00B834A2">
        <w:tc>
          <w:tcPr>
            <w:tcW w:w="2338" w:type="dxa"/>
            <w:shd w:val="clear" w:color="auto" w:fill="FFFFFF"/>
          </w:tcPr>
          <w:p w14:paraId="387A4D0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w:t>
            </w:r>
          </w:p>
        </w:tc>
        <w:tc>
          <w:tcPr>
            <w:tcW w:w="1123" w:type="dxa"/>
            <w:shd w:val="clear" w:color="auto" w:fill="FFFFFF"/>
          </w:tcPr>
          <w:p w14:paraId="46E93A2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91</w:t>
            </w:r>
          </w:p>
        </w:tc>
        <w:tc>
          <w:tcPr>
            <w:tcW w:w="1253" w:type="dxa"/>
            <w:shd w:val="clear" w:color="auto" w:fill="FFFFFF"/>
          </w:tcPr>
          <w:p w14:paraId="7C69416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24</w:t>
            </w:r>
          </w:p>
        </w:tc>
        <w:tc>
          <w:tcPr>
            <w:tcW w:w="1397" w:type="dxa"/>
            <w:shd w:val="clear" w:color="auto" w:fill="FFFFFF"/>
          </w:tcPr>
          <w:p w14:paraId="6D0039E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71</w:t>
            </w:r>
          </w:p>
        </w:tc>
        <w:tc>
          <w:tcPr>
            <w:tcW w:w="931" w:type="dxa"/>
            <w:shd w:val="clear" w:color="auto" w:fill="FFFFFF"/>
          </w:tcPr>
          <w:p w14:paraId="3CBA596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83</w:t>
            </w:r>
          </w:p>
        </w:tc>
        <w:tc>
          <w:tcPr>
            <w:tcW w:w="1166" w:type="dxa"/>
            <w:shd w:val="clear" w:color="auto" w:fill="FFFFFF"/>
          </w:tcPr>
          <w:p w14:paraId="5405132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95</w:t>
            </w:r>
          </w:p>
        </w:tc>
        <w:tc>
          <w:tcPr>
            <w:tcW w:w="1214" w:type="dxa"/>
            <w:shd w:val="clear" w:color="auto" w:fill="FFFFFF"/>
          </w:tcPr>
          <w:p w14:paraId="61BC51E6" w14:textId="77777777" w:rsidR="00B834A2" w:rsidRPr="009A3F5E" w:rsidRDefault="00B834A2" w:rsidP="0081595A">
            <w:pPr>
              <w:spacing w:after="120"/>
              <w:rPr>
                <w:sz w:val="20"/>
                <w:szCs w:val="20"/>
              </w:rPr>
            </w:pPr>
          </w:p>
        </w:tc>
      </w:tr>
      <w:tr w:rsidR="00B834A2" w:rsidRPr="009A3F5E" w14:paraId="3AD73B7D" w14:textId="77777777" w:rsidTr="00B834A2">
        <w:tc>
          <w:tcPr>
            <w:tcW w:w="2338" w:type="dxa"/>
            <w:shd w:val="clear" w:color="auto" w:fill="FFFFFF"/>
          </w:tcPr>
          <w:p w14:paraId="37569F3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123" w:type="dxa"/>
            <w:shd w:val="clear" w:color="auto" w:fill="FFFFFF"/>
          </w:tcPr>
          <w:p w14:paraId="1126783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82</w:t>
            </w:r>
          </w:p>
        </w:tc>
        <w:tc>
          <w:tcPr>
            <w:tcW w:w="1253" w:type="dxa"/>
            <w:shd w:val="clear" w:color="auto" w:fill="FFFFFF"/>
          </w:tcPr>
          <w:p w14:paraId="0BDEA62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48</w:t>
            </w:r>
          </w:p>
        </w:tc>
        <w:tc>
          <w:tcPr>
            <w:tcW w:w="1397" w:type="dxa"/>
            <w:shd w:val="clear" w:color="auto" w:fill="FFFFFF"/>
          </w:tcPr>
          <w:p w14:paraId="77990DA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48</w:t>
            </w:r>
          </w:p>
        </w:tc>
        <w:tc>
          <w:tcPr>
            <w:tcW w:w="931" w:type="dxa"/>
            <w:shd w:val="clear" w:color="auto" w:fill="FFFFFF"/>
          </w:tcPr>
          <w:p w14:paraId="45AD46D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57</w:t>
            </w:r>
          </w:p>
        </w:tc>
        <w:tc>
          <w:tcPr>
            <w:tcW w:w="1166" w:type="dxa"/>
            <w:shd w:val="clear" w:color="auto" w:fill="FFFFFF"/>
          </w:tcPr>
          <w:p w14:paraId="2384508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75</w:t>
            </w:r>
          </w:p>
        </w:tc>
        <w:tc>
          <w:tcPr>
            <w:tcW w:w="1214" w:type="dxa"/>
            <w:shd w:val="clear" w:color="auto" w:fill="FFFFFF"/>
          </w:tcPr>
          <w:p w14:paraId="2612D08B" w14:textId="77777777" w:rsidR="00B834A2" w:rsidRPr="009A3F5E" w:rsidRDefault="00B834A2" w:rsidP="0081595A">
            <w:pPr>
              <w:spacing w:after="120"/>
              <w:rPr>
                <w:sz w:val="20"/>
                <w:szCs w:val="20"/>
              </w:rPr>
            </w:pPr>
          </w:p>
        </w:tc>
      </w:tr>
      <w:tr w:rsidR="00B834A2" w:rsidRPr="009A3F5E" w14:paraId="4C83AF2C" w14:textId="77777777" w:rsidTr="00B834A2">
        <w:tc>
          <w:tcPr>
            <w:tcW w:w="2338" w:type="dxa"/>
            <w:shd w:val="clear" w:color="auto" w:fill="FFFFFF"/>
          </w:tcPr>
          <w:p w14:paraId="6E11FFD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w:t>
            </w:r>
          </w:p>
        </w:tc>
        <w:tc>
          <w:tcPr>
            <w:tcW w:w="1123" w:type="dxa"/>
            <w:shd w:val="clear" w:color="auto" w:fill="FFFFFF"/>
          </w:tcPr>
          <w:p w14:paraId="4390448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91</w:t>
            </w:r>
          </w:p>
        </w:tc>
        <w:tc>
          <w:tcPr>
            <w:tcW w:w="1253" w:type="dxa"/>
            <w:shd w:val="clear" w:color="auto" w:fill="FFFFFF"/>
          </w:tcPr>
          <w:p w14:paraId="10A2BBA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21</w:t>
            </w:r>
          </w:p>
        </w:tc>
        <w:tc>
          <w:tcPr>
            <w:tcW w:w="1397" w:type="dxa"/>
            <w:shd w:val="clear" w:color="auto" w:fill="FFFFFF"/>
          </w:tcPr>
          <w:p w14:paraId="4E05B4C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w:t>
            </w:r>
          </w:p>
        </w:tc>
        <w:tc>
          <w:tcPr>
            <w:tcW w:w="931" w:type="dxa"/>
            <w:shd w:val="clear" w:color="auto" w:fill="FFFFFF"/>
          </w:tcPr>
          <w:p w14:paraId="4BF44E1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48</w:t>
            </w:r>
          </w:p>
        </w:tc>
        <w:tc>
          <w:tcPr>
            <w:tcW w:w="1166" w:type="dxa"/>
            <w:shd w:val="clear" w:color="auto" w:fill="FFFFFF"/>
          </w:tcPr>
          <w:p w14:paraId="7663C8F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92</w:t>
            </w:r>
          </w:p>
        </w:tc>
        <w:tc>
          <w:tcPr>
            <w:tcW w:w="1214" w:type="dxa"/>
            <w:shd w:val="clear" w:color="auto" w:fill="FFFFFF"/>
          </w:tcPr>
          <w:p w14:paraId="6D2200C0" w14:textId="77777777" w:rsidR="00B834A2" w:rsidRPr="009A3F5E" w:rsidRDefault="00B834A2" w:rsidP="0081595A">
            <w:pPr>
              <w:spacing w:after="120"/>
              <w:rPr>
                <w:sz w:val="20"/>
                <w:szCs w:val="20"/>
              </w:rPr>
            </w:pPr>
          </w:p>
        </w:tc>
      </w:tr>
      <w:tr w:rsidR="00B834A2" w:rsidRPr="009A3F5E" w14:paraId="074F7314" w14:textId="77777777" w:rsidTr="00B834A2">
        <w:tc>
          <w:tcPr>
            <w:tcW w:w="2338" w:type="dxa"/>
            <w:shd w:val="clear" w:color="auto" w:fill="FFFFFF"/>
          </w:tcPr>
          <w:p w14:paraId="72E41AB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123" w:type="dxa"/>
            <w:shd w:val="clear" w:color="auto" w:fill="FFFFFF"/>
          </w:tcPr>
          <w:p w14:paraId="33E13E9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95</w:t>
            </w:r>
          </w:p>
        </w:tc>
        <w:tc>
          <w:tcPr>
            <w:tcW w:w="1253" w:type="dxa"/>
            <w:shd w:val="clear" w:color="auto" w:fill="FFFFFF"/>
          </w:tcPr>
          <w:p w14:paraId="6329E5C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44</w:t>
            </w:r>
          </w:p>
        </w:tc>
        <w:tc>
          <w:tcPr>
            <w:tcW w:w="1397" w:type="dxa"/>
            <w:shd w:val="clear" w:color="auto" w:fill="FFFFFF"/>
          </w:tcPr>
          <w:p w14:paraId="596066A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w:t>
            </w:r>
          </w:p>
        </w:tc>
        <w:tc>
          <w:tcPr>
            <w:tcW w:w="931" w:type="dxa"/>
            <w:shd w:val="clear" w:color="auto" w:fill="FFFFFF"/>
          </w:tcPr>
          <w:p w14:paraId="624F9F7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65</w:t>
            </w:r>
          </w:p>
        </w:tc>
        <w:tc>
          <w:tcPr>
            <w:tcW w:w="1166" w:type="dxa"/>
            <w:shd w:val="clear" w:color="auto" w:fill="FFFFFF"/>
          </w:tcPr>
          <w:p w14:paraId="23A6516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111</w:t>
            </w:r>
          </w:p>
        </w:tc>
        <w:tc>
          <w:tcPr>
            <w:tcW w:w="1214" w:type="dxa"/>
            <w:shd w:val="clear" w:color="auto" w:fill="FFFFFF"/>
          </w:tcPr>
          <w:p w14:paraId="3E8ECCB1" w14:textId="77777777" w:rsidR="00B834A2" w:rsidRPr="009A3F5E" w:rsidRDefault="00B834A2" w:rsidP="0081595A">
            <w:pPr>
              <w:spacing w:after="120"/>
              <w:rPr>
                <w:sz w:val="20"/>
                <w:szCs w:val="20"/>
              </w:rPr>
            </w:pPr>
          </w:p>
        </w:tc>
      </w:tr>
      <w:tr w:rsidR="00B834A2" w:rsidRPr="009A3F5E" w14:paraId="1F0270E6" w14:textId="77777777" w:rsidTr="00B834A2">
        <w:tc>
          <w:tcPr>
            <w:tcW w:w="2338" w:type="dxa"/>
            <w:shd w:val="clear" w:color="auto" w:fill="FFFFFF"/>
          </w:tcPr>
          <w:p w14:paraId="0DFE726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123" w:type="dxa"/>
            <w:shd w:val="clear" w:color="auto" w:fill="FFFFFF"/>
          </w:tcPr>
          <w:p w14:paraId="75778C5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93</w:t>
            </w:r>
          </w:p>
        </w:tc>
        <w:tc>
          <w:tcPr>
            <w:tcW w:w="1253" w:type="dxa"/>
            <w:shd w:val="clear" w:color="auto" w:fill="FFFFFF"/>
          </w:tcPr>
          <w:p w14:paraId="0650DFC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25</w:t>
            </w:r>
          </w:p>
        </w:tc>
        <w:tc>
          <w:tcPr>
            <w:tcW w:w="1397" w:type="dxa"/>
            <w:shd w:val="clear" w:color="auto" w:fill="FFFFFF"/>
          </w:tcPr>
          <w:p w14:paraId="67A5588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20</w:t>
            </w:r>
          </w:p>
        </w:tc>
        <w:tc>
          <w:tcPr>
            <w:tcW w:w="931" w:type="dxa"/>
            <w:shd w:val="clear" w:color="auto" w:fill="FFFFFF"/>
          </w:tcPr>
          <w:p w14:paraId="4D41928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65</w:t>
            </w:r>
          </w:p>
        </w:tc>
        <w:tc>
          <w:tcPr>
            <w:tcW w:w="1166" w:type="dxa"/>
            <w:shd w:val="clear" w:color="auto" w:fill="FFFFFF"/>
          </w:tcPr>
          <w:p w14:paraId="679EFEF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95</w:t>
            </w:r>
          </w:p>
        </w:tc>
        <w:tc>
          <w:tcPr>
            <w:tcW w:w="1214" w:type="dxa"/>
            <w:shd w:val="clear" w:color="auto" w:fill="FFFFFF"/>
          </w:tcPr>
          <w:p w14:paraId="59A80CD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Գումարը</w:t>
            </w:r>
          </w:p>
        </w:tc>
      </w:tr>
      <w:tr w:rsidR="00B834A2" w:rsidRPr="009A3F5E" w14:paraId="0FF55EEB" w14:textId="77777777" w:rsidTr="00B834A2">
        <w:tc>
          <w:tcPr>
            <w:tcW w:w="2338" w:type="dxa"/>
            <w:shd w:val="clear" w:color="auto" w:fill="FFFFFF"/>
          </w:tcPr>
          <w:p w14:paraId="3BB1EFA3"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 մգ%</w:t>
            </w:r>
          </w:p>
        </w:tc>
        <w:tc>
          <w:tcPr>
            <w:tcW w:w="1123" w:type="dxa"/>
            <w:shd w:val="clear" w:color="auto" w:fill="FFFFFF"/>
          </w:tcPr>
          <w:p w14:paraId="3443100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90,33</w:t>
            </w:r>
          </w:p>
        </w:tc>
        <w:tc>
          <w:tcPr>
            <w:tcW w:w="1253" w:type="dxa"/>
            <w:shd w:val="clear" w:color="auto" w:fill="FFFFFF"/>
          </w:tcPr>
          <w:p w14:paraId="0BCA2E1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31,78</w:t>
            </w:r>
          </w:p>
        </w:tc>
        <w:tc>
          <w:tcPr>
            <w:tcW w:w="1397" w:type="dxa"/>
            <w:shd w:val="clear" w:color="auto" w:fill="FFFFFF"/>
          </w:tcPr>
          <w:p w14:paraId="6656EA8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41,67</w:t>
            </w:r>
          </w:p>
        </w:tc>
        <w:tc>
          <w:tcPr>
            <w:tcW w:w="931" w:type="dxa"/>
            <w:shd w:val="clear" w:color="auto" w:fill="FFFFFF"/>
          </w:tcPr>
          <w:p w14:paraId="2F6FB2B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62,56</w:t>
            </w:r>
          </w:p>
        </w:tc>
        <w:tc>
          <w:tcPr>
            <w:tcW w:w="1166" w:type="dxa"/>
            <w:shd w:val="clear" w:color="auto" w:fill="FFFFFF"/>
          </w:tcPr>
          <w:p w14:paraId="6B277AA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93,44</w:t>
            </w:r>
          </w:p>
        </w:tc>
        <w:tc>
          <w:tcPr>
            <w:tcW w:w="1214" w:type="dxa"/>
            <w:shd w:val="clear" w:color="auto" w:fill="FFFFFF"/>
          </w:tcPr>
          <w:p w14:paraId="649A568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319,78</w:t>
            </w:r>
          </w:p>
        </w:tc>
      </w:tr>
      <w:tr w:rsidR="00B834A2" w:rsidRPr="009A3F5E" w14:paraId="7B7A8A7A" w14:textId="77777777" w:rsidTr="00B834A2">
        <w:tc>
          <w:tcPr>
            <w:tcW w:w="2338" w:type="dxa"/>
            <w:shd w:val="clear" w:color="auto" w:fill="FFFFFF"/>
          </w:tcPr>
          <w:p w14:paraId="53471EDC"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 %</w:t>
            </w:r>
          </w:p>
        </w:tc>
        <w:tc>
          <w:tcPr>
            <w:tcW w:w="1123" w:type="dxa"/>
            <w:shd w:val="clear" w:color="auto" w:fill="FFFFFF"/>
          </w:tcPr>
          <w:p w14:paraId="6A77AE5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253" w:type="dxa"/>
            <w:shd w:val="clear" w:color="auto" w:fill="FFFFFF"/>
          </w:tcPr>
          <w:p w14:paraId="0C6755C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35,18</w:t>
            </w:r>
          </w:p>
        </w:tc>
        <w:tc>
          <w:tcPr>
            <w:tcW w:w="1397" w:type="dxa"/>
            <w:shd w:val="clear" w:color="auto" w:fill="FFFFFF"/>
          </w:tcPr>
          <w:p w14:paraId="7353ADC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46,13</w:t>
            </w:r>
          </w:p>
        </w:tc>
        <w:tc>
          <w:tcPr>
            <w:tcW w:w="931" w:type="dxa"/>
            <w:shd w:val="clear" w:color="auto" w:fill="FFFFFF"/>
          </w:tcPr>
          <w:p w14:paraId="6C3DB0D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69,26</w:t>
            </w:r>
          </w:p>
        </w:tc>
        <w:tc>
          <w:tcPr>
            <w:tcW w:w="1166" w:type="dxa"/>
            <w:shd w:val="clear" w:color="auto" w:fill="FFFFFF"/>
          </w:tcPr>
          <w:p w14:paraId="15B6C98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103,44</w:t>
            </w:r>
          </w:p>
        </w:tc>
        <w:tc>
          <w:tcPr>
            <w:tcW w:w="1214" w:type="dxa"/>
            <w:shd w:val="clear" w:color="auto" w:fill="FFFFFF"/>
          </w:tcPr>
          <w:p w14:paraId="205F1A2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2Italic"/>
                <w:i w:val="0"/>
                <w:sz w:val="20"/>
                <w:szCs w:val="20"/>
              </w:rPr>
              <w:t>n =</w:t>
            </w:r>
            <w:r w:rsidRPr="009A3F5E">
              <w:rPr>
                <w:rStyle w:val="Bodytext31Sylfaen9"/>
                <w:i w:val="0"/>
                <w:sz w:val="20"/>
                <w:szCs w:val="20"/>
              </w:rPr>
              <w:t xml:space="preserve"> 9</w:t>
            </w:r>
          </w:p>
        </w:tc>
      </w:tr>
      <w:tr w:rsidR="00B834A2" w:rsidRPr="009A3F5E" w14:paraId="3B199216" w14:textId="77777777" w:rsidTr="00B834A2">
        <w:tc>
          <w:tcPr>
            <w:tcW w:w="2338" w:type="dxa"/>
            <w:shd w:val="clear" w:color="auto" w:fill="FFFFFF"/>
          </w:tcPr>
          <w:p w14:paraId="271F5B64"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 նվազումը, %</w:t>
            </w:r>
          </w:p>
        </w:tc>
        <w:tc>
          <w:tcPr>
            <w:tcW w:w="1123" w:type="dxa"/>
            <w:shd w:val="clear" w:color="auto" w:fill="FFFFFF"/>
          </w:tcPr>
          <w:p w14:paraId="7901C28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64,82</w:t>
            </w:r>
          </w:p>
        </w:tc>
        <w:tc>
          <w:tcPr>
            <w:tcW w:w="1253" w:type="dxa"/>
            <w:shd w:val="clear" w:color="auto" w:fill="FFFFFF"/>
          </w:tcPr>
          <w:p w14:paraId="5391700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53,87</w:t>
            </w:r>
          </w:p>
        </w:tc>
        <w:tc>
          <w:tcPr>
            <w:tcW w:w="1397" w:type="dxa"/>
            <w:shd w:val="clear" w:color="auto" w:fill="FFFFFF"/>
          </w:tcPr>
          <w:p w14:paraId="0D84212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30,74</w:t>
            </w:r>
          </w:p>
        </w:tc>
        <w:tc>
          <w:tcPr>
            <w:tcW w:w="931" w:type="dxa"/>
            <w:shd w:val="clear" w:color="auto" w:fill="FFFFFF"/>
          </w:tcPr>
          <w:p w14:paraId="20F88FC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-3,44</w:t>
            </w:r>
          </w:p>
        </w:tc>
        <w:tc>
          <w:tcPr>
            <w:tcW w:w="1166" w:type="dxa"/>
            <w:shd w:val="clear" w:color="auto" w:fill="FFFFFF"/>
          </w:tcPr>
          <w:p w14:paraId="7AB00753" w14:textId="77777777" w:rsidR="00B834A2" w:rsidRPr="009A3F5E" w:rsidRDefault="00B834A2" w:rsidP="0081595A">
            <w:pPr>
              <w:spacing w:after="120"/>
              <w:rPr>
                <w:sz w:val="20"/>
                <w:szCs w:val="20"/>
              </w:rPr>
            </w:pPr>
          </w:p>
        </w:tc>
        <w:tc>
          <w:tcPr>
            <w:tcW w:w="1214" w:type="dxa"/>
            <w:shd w:val="clear" w:color="auto" w:fill="FFFFFF"/>
          </w:tcPr>
          <w:p w14:paraId="4E15F309" w14:textId="77777777" w:rsidR="00B834A2" w:rsidRPr="009A3F5E" w:rsidRDefault="00B834A2" w:rsidP="0081595A">
            <w:pPr>
              <w:spacing w:after="120"/>
              <w:rPr>
                <w:sz w:val="20"/>
                <w:szCs w:val="20"/>
              </w:rPr>
            </w:pPr>
          </w:p>
        </w:tc>
      </w:tr>
    </w:tbl>
    <w:p w14:paraId="5F062C75" w14:textId="77777777" w:rsidR="00C00D13" w:rsidRDefault="00C00D13" w:rsidP="00B834A2">
      <w:pPr>
        <w:spacing w:after="160" w:line="360" w:lineRule="auto"/>
      </w:pPr>
    </w:p>
    <w:p w14:paraId="0AE475E0" w14:textId="77777777" w:rsidR="00C00D13" w:rsidRDefault="00C00D13">
      <w:r>
        <w:br w:type="page"/>
      </w:r>
    </w:p>
    <w:tbl>
      <w:tblPr>
        <w:tblOverlap w:val="never"/>
        <w:tblW w:w="9422" w:type="dxa"/>
        <w:tblLayout w:type="fixed"/>
        <w:tblCellMar>
          <w:left w:w="10" w:type="dxa"/>
          <w:right w:w="10" w:type="dxa"/>
        </w:tblCellMar>
        <w:tblLook w:val="0000" w:firstRow="0" w:lastRow="0" w:firstColumn="0" w:lastColumn="0" w:noHBand="0" w:noVBand="0"/>
      </w:tblPr>
      <w:tblGrid>
        <w:gridCol w:w="2338"/>
        <w:gridCol w:w="1123"/>
        <w:gridCol w:w="1253"/>
        <w:gridCol w:w="1397"/>
        <w:gridCol w:w="931"/>
        <w:gridCol w:w="1166"/>
        <w:gridCol w:w="1214"/>
      </w:tblGrid>
      <w:tr w:rsidR="00B834A2" w:rsidRPr="009A3F5E" w14:paraId="5ACF79A2" w14:textId="77777777" w:rsidTr="00B834A2">
        <w:tc>
          <w:tcPr>
            <w:tcW w:w="9422" w:type="dxa"/>
            <w:gridSpan w:val="7"/>
            <w:shd w:val="clear" w:color="auto" w:fill="FFFFFF"/>
          </w:tcPr>
          <w:p w14:paraId="798ABF07" w14:textId="77777777" w:rsidR="00B834A2" w:rsidRPr="009A3F5E" w:rsidRDefault="00B834A2" w:rsidP="0081595A">
            <w:pPr>
              <w:spacing w:after="120"/>
              <w:jc w:val="center"/>
              <w:rPr>
                <w:b/>
                <w:sz w:val="20"/>
                <w:szCs w:val="20"/>
              </w:rPr>
            </w:pPr>
            <w:r w:rsidRPr="009A3F5E">
              <w:rPr>
                <w:rStyle w:val="Bodytext295pt"/>
                <w:rFonts w:eastAsia="Tahoma"/>
                <w:b/>
                <w:i w:val="0"/>
                <w:sz w:val="20"/>
                <w:szCs w:val="20"/>
                <w:u w:val="single"/>
              </w:rPr>
              <w:lastRenderedPageBreak/>
              <w:t>U</w:t>
            </w:r>
            <w:r w:rsidRPr="009A3F5E">
              <w:rPr>
                <w:rStyle w:val="Bodytext295pt"/>
                <w:rFonts w:eastAsia="Tahoma"/>
                <w:b/>
                <w:i w:val="0"/>
                <w:sz w:val="20"/>
                <w:szCs w:val="20"/>
              </w:rPr>
              <w:t xml:space="preserve"> փորձարկվող նմուշը</w:t>
            </w:r>
          </w:p>
        </w:tc>
      </w:tr>
      <w:tr w:rsidR="00B834A2" w:rsidRPr="009A3F5E" w14:paraId="5B9466FC" w14:textId="77777777" w:rsidTr="00B834A2">
        <w:tc>
          <w:tcPr>
            <w:tcW w:w="2338" w:type="dxa"/>
            <w:vMerge w:val="restart"/>
            <w:tcBorders>
              <w:top w:val="single" w:sz="4" w:space="0" w:color="auto"/>
            </w:tcBorders>
            <w:shd w:val="clear" w:color="auto" w:fill="FFFFFF"/>
          </w:tcPr>
          <w:p w14:paraId="647A331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Համարը՝ ը/կ</w:t>
            </w:r>
          </w:p>
        </w:tc>
        <w:tc>
          <w:tcPr>
            <w:tcW w:w="7084" w:type="dxa"/>
            <w:gridSpan w:val="6"/>
            <w:tcBorders>
              <w:top w:val="single" w:sz="4" w:space="0" w:color="auto"/>
            </w:tcBorders>
            <w:shd w:val="clear" w:color="auto" w:fill="FFFFFF"/>
          </w:tcPr>
          <w:p w14:paraId="3F05C64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Ժամանակը, ժ</w:t>
            </w:r>
          </w:p>
        </w:tc>
      </w:tr>
      <w:tr w:rsidR="00B834A2" w:rsidRPr="009A3F5E" w14:paraId="64057DD7" w14:textId="77777777" w:rsidTr="00B834A2">
        <w:tc>
          <w:tcPr>
            <w:tcW w:w="2338" w:type="dxa"/>
            <w:vMerge/>
            <w:tcBorders>
              <w:bottom w:val="nil"/>
            </w:tcBorders>
            <w:shd w:val="clear" w:color="auto" w:fill="FFFFFF"/>
          </w:tcPr>
          <w:p w14:paraId="673FBF8A" w14:textId="77777777" w:rsidR="00B834A2" w:rsidRPr="009A3F5E" w:rsidRDefault="00B834A2" w:rsidP="0081595A">
            <w:pPr>
              <w:spacing w:after="120"/>
              <w:rPr>
                <w:sz w:val="20"/>
                <w:szCs w:val="20"/>
              </w:rPr>
            </w:pPr>
          </w:p>
        </w:tc>
        <w:tc>
          <w:tcPr>
            <w:tcW w:w="1123" w:type="dxa"/>
            <w:tcBorders>
              <w:top w:val="single" w:sz="4" w:space="0" w:color="auto"/>
              <w:bottom w:val="nil"/>
            </w:tcBorders>
            <w:shd w:val="clear" w:color="auto" w:fill="FFFFFF"/>
          </w:tcPr>
          <w:p w14:paraId="13A403D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253" w:type="dxa"/>
            <w:tcBorders>
              <w:top w:val="single" w:sz="4" w:space="0" w:color="auto"/>
              <w:bottom w:val="nil"/>
            </w:tcBorders>
            <w:shd w:val="clear" w:color="auto" w:fill="FFFFFF"/>
          </w:tcPr>
          <w:p w14:paraId="1634793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1,5</w:t>
            </w:r>
          </w:p>
        </w:tc>
        <w:tc>
          <w:tcPr>
            <w:tcW w:w="1397" w:type="dxa"/>
            <w:tcBorders>
              <w:top w:val="single" w:sz="4" w:space="0" w:color="auto"/>
              <w:bottom w:val="nil"/>
            </w:tcBorders>
            <w:shd w:val="clear" w:color="auto" w:fill="FFFFFF"/>
          </w:tcPr>
          <w:p w14:paraId="761A331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931" w:type="dxa"/>
            <w:tcBorders>
              <w:top w:val="single" w:sz="4" w:space="0" w:color="auto"/>
              <w:bottom w:val="nil"/>
            </w:tcBorders>
            <w:shd w:val="clear" w:color="auto" w:fill="FFFFFF"/>
          </w:tcPr>
          <w:p w14:paraId="66265DC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1166" w:type="dxa"/>
            <w:tcBorders>
              <w:top w:val="single" w:sz="4" w:space="0" w:color="auto"/>
              <w:bottom w:val="nil"/>
            </w:tcBorders>
            <w:shd w:val="clear" w:color="auto" w:fill="FFFFFF"/>
          </w:tcPr>
          <w:p w14:paraId="68E8A17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214" w:type="dxa"/>
            <w:tcBorders>
              <w:top w:val="single" w:sz="4" w:space="0" w:color="auto"/>
              <w:bottom w:val="nil"/>
            </w:tcBorders>
            <w:shd w:val="clear" w:color="auto" w:fill="FFFFFF"/>
          </w:tcPr>
          <w:p w14:paraId="3F881E76" w14:textId="77777777" w:rsidR="00B834A2" w:rsidRPr="009A3F5E" w:rsidRDefault="00B834A2" w:rsidP="0081595A">
            <w:pPr>
              <w:spacing w:after="120"/>
              <w:rPr>
                <w:sz w:val="20"/>
                <w:szCs w:val="20"/>
              </w:rPr>
            </w:pPr>
          </w:p>
        </w:tc>
      </w:tr>
      <w:tr w:rsidR="00B834A2" w:rsidRPr="009A3F5E" w14:paraId="0C186F6C" w14:textId="77777777" w:rsidTr="00B834A2">
        <w:tc>
          <w:tcPr>
            <w:tcW w:w="2338" w:type="dxa"/>
            <w:tcBorders>
              <w:top w:val="single" w:sz="4" w:space="0" w:color="auto"/>
            </w:tcBorders>
            <w:shd w:val="clear" w:color="auto" w:fill="FFFFFF"/>
          </w:tcPr>
          <w:p w14:paraId="41B98D4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295pt"/>
                <w:i w:val="0"/>
                <w:sz w:val="20"/>
                <w:szCs w:val="20"/>
              </w:rPr>
              <w:t>1</w:t>
            </w:r>
            <w:r w:rsidRPr="009A3F5E">
              <w:rPr>
                <w:rStyle w:val="Bodytext31Sylfaen16"/>
                <w:i w:val="0"/>
                <w:sz w:val="20"/>
                <w:szCs w:val="20"/>
              </w:rPr>
              <w:t>.</w:t>
            </w:r>
          </w:p>
        </w:tc>
        <w:tc>
          <w:tcPr>
            <w:tcW w:w="1123" w:type="dxa"/>
            <w:tcBorders>
              <w:top w:val="single" w:sz="4" w:space="0" w:color="auto"/>
            </w:tcBorders>
            <w:shd w:val="clear" w:color="auto" w:fill="FFFFFF"/>
          </w:tcPr>
          <w:p w14:paraId="066EA7E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89</w:t>
            </w:r>
          </w:p>
        </w:tc>
        <w:tc>
          <w:tcPr>
            <w:tcW w:w="1253" w:type="dxa"/>
            <w:tcBorders>
              <w:top w:val="single" w:sz="4" w:space="0" w:color="auto"/>
            </w:tcBorders>
            <w:shd w:val="clear" w:color="auto" w:fill="FFFFFF"/>
          </w:tcPr>
          <w:p w14:paraId="5E2C161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41</w:t>
            </w:r>
          </w:p>
        </w:tc>
        <w:tc>
          <w:tcPr>
            <w:tcW w:w="1397" w:type="dxa"/>
            <w:tcBorders>
              <w:top w:val="single" w:sz="4" w:space="0" w:color="auto"/>
            </w:tcBorders>
            <w:shd w:val="clear" w:color="auto" w:fill="FFFFFF"/>
          </w:tcPr>
          <w:p w14:paraId="5C58740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48</w:t>
            </w:r>
          </w:p>
        </w:tc>
        <w:tc>
          <w:tcPr>
            <w:tcW w:w="931" w:type="dxa"/>
            <w:tcBorders>
              <w:top w:val="single" w:sz="4" w:space="0" w:color="auto"/>
            </w:tcBorders>
            <w:shd w:val="clear" w:color="auto" w:fill="FFFFFF"/>
          </w:tcPr>
          <w:p w14:paraId="486729A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54</w:t>
            </w:r>
          </w:p>
        </w:tc>
        <w:tc>
          <w:tcPr>
            <w:tcW w:w="1166" w:type="dxa"/>
            <w:tcBorders>
              <w:top w:val="single" w:sz="4" w:space="0" w:color="auto"/>
            </w:tcBorders>
            <w:shd w:val="clear" w:color="auto" w:fill="FFFFFF"/>
          </w:tcPr>
          <w:p w14:paraId="38B6871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74</w:t>
            </w:r>
          </w:p>
        </w:tc>
        <w:tc>
          <w:tcPr>
            <w:tcW w:w="1214" w:type="dxa"/>
            <w:tcBorders>
              <w:top w:val="single" w:sz="4" w:space="0" w:color="auto"/>
            </w:tcBorders>
            <w:shd w:val="clear" w:color="auto" w:fill="FFFFFF"/>
          </w:tcPr>
          <w:p w14:paraId="4D6A8FB8" w14:textId="77777777" w:rsidR="00B834A2" w:rsidRPr="009A3F5E" w:rsidRDefault="00B834A2" w:rsidP="0081595A">
            <w:pPr>
              <w:spacing w:after="120"/>
              <w:rPr>
                <w:sz w:val="20"/>
                <w:szCs w:val="20"/>
              </w:rPr>
            </w:pPr>
          </w:p>
        </w:tc>
      </w:tr>
      <w:tr w:rsidR="00B834A2" w:rsidRPr="009A3F5E" w14:paraId="0B261B08" w14:textId="77777777" w:rsidTr="00B834A2">
        <w:tc>
          <w:tcPr>
            <w:tcW w:w="2338" w:type="dxa"/>
            <w:shd w:val="clear" w:color="auto" w:fill="FFFFFF"/>
          </w:tcPr>
          <w:p w14:paraId="2077331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w:t>
            </w:r>
          </w:p>
        </w:tc>
        <w:tc>
          <w:tcPr>
            <w:tcW w:w="1123" w:type="dxa"/>
            <w:shd w:val="clear" w:color="auto" w:fill="FFFFFF"/>
          </w:tcPr>
          <w:p w14:paraId="17EFBD5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102</w:t>
            </w:r>
          </w:p>
        </w:tc>
        <w:tc>
          <w:tcPr>
            <w:tcW w:w="1253" w:type="dxa"/>
            <w:shd w:val="clear" w:color="auto" w:fill="FFFFFF"/>
          </w:tcPr>
          <w:p w14:paraId="633E9C9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w:t>
            </w:r>
          </w:p>
        </w:tc>
        <w:tc>
          <w:tcPr>
            <w:tcW w:w="1397" w:type="dxa"/>
            <w:shd w:val="clear" w:color="auto" w:fill="FFFFFF"/>
          </w:tcPr>
          <w:p w14:paraId="740A810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41</w:t>
            </w:r>
          </w:p>
        </w:tc>
        <w:tc>
          <w:tcPr>
            <w:tcW w:w="931" w:type="dxa"/>
            <w:shd w:val="clear" w:color="auto" w:fill="FFFFFF"/>
          </w:tcPr>
          <w:p w14:paraId="5205F05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w:t>
            </w:r>
          </w:p>
        </w:tc>
        <w:tc>
          <w:tcPr>
            <w:tcW w:w="1166" w:type="dxa"/>
            <w:shd w:val="clear" w:color="auto" w:fill="FFFFFF"/>
          </w:tcPr>
          <w:p w14:paraId="48E330C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68</w:t>
            </w:r>
          </w:p>
        </w:tc>
        <w:tc>
          <w:tcPr>
            <w:tcW w:w="1214" w:type="dxa"/>
            <w:shd w:val="clear" w:color="auto" w:fill="FFFFFF"/>
          </w:tcPr>
          <w:p w14:paraId="4ED2E19D" w14:textId="77777777" w:rsidR="00B834A2" w:rsidRPr="009A3F5E" w:rsidRDefault="00B834A2" w:rsidP="0081595A">
            <w:pPr>
              <w:spacing w:after="120"/>
              <w:rPr>
                <w:sz w:val="20"/>
                <w:szCs w:val="20"/>
              </w:rPr>
            </w:pPr>
          </w:p>
        </w:tc>
      </w:tr>
      <w:tr w:rsidR="00B834A2" w:rsidRPr="009A3F5E" w14:paraId="029AC243" w14:textId="77777777" w:rsidTr="00B834A2">
        <w:tc>
          <w:tcPr>
            <w:tcW w:w="2338" w:type="dxa"/>
            <w:shd w:val="clear" w:color="auto" w:fill="FFFFFF"/>
          </w:tcPr>
          <w:p w14:paraId="4FE7B0F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123" w:type="dxa"/>
            <w:shd w:val="clear" w:color="auto" w:fill="FFFFFF"/>
          </w:tcPr>
          <w:p w14:paraId="067CA9E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83</w:t>
            </w:r>
          </w:p>
        </w:tc>
        <w:tc>
          <w:tcPr>
            <w:tcW w:w="1253" w:type="dxa"/>
            <w:shd w:val="clear" w:color="auto" w:fill="FFFFFF"/>
          </w:tcPr>
          <w:p w14:paraId="778EE94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w:t>
            </w:r>
          </w:p>
        </w:tc>
        <w:tc>
          <w:tcPr>
            <w:tcW w:w="1397" w:type="dxa"/>
            <w:shd w:val="clear" w:color="auto" w:fill="FFFFFF"/>
          </w:tcPr>
          <w:p w14:paraId="4097DA8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931" w:type="dxa"/>
            <w:shd w:val="clear" w:color="auto" w:fill="FFFFFF"/>
          </w:tcPr>
          <w:p w14:paraId="1CA82F0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57</w:t>
            </w:r>
          </w:p>
        </w:tc>
        <w:tc>
          <w:tcPr>
            <w:tcW w:w="1166" w:type="dxa"/>
            <w:shd w:val="clear" w:color="auto" w:fill="FFFFFF"/>
          </w:tcPr>
          <w:p w14:paraId="7B204D1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72</w:t>
            </w:r>
          </w:p>
        </w:tc>
        <w:tc>
          <w:tcPr>
            <w:tcW w:w="1214" w:type="dxa"/>
            <w:shd w:val="clear" w:color="auto" w:fill="FFFFFF"/>
          </w:tcPr>
          <w:p w14:paraId="213B7F99" w14:textId="77777777" w:rsidR="00B834A2" w:rsidRPr="009A3F5E" w:rsidRDefault="00B834A2" w:rsidP="0081595A">
            <w:pPr>
              <w:spacing w:after="120"/>
              <w:rPr>
                <w:sz w:val="20"/>
                <w:szCs w:val="20"/>
              </w:rPr>
            </w:pPr>
          </w:p>
        </w:tc>
      </w:tr>
      <w:tr w:rsidR="00B834A2" w:rsidRPr="009A3F5E" w14:paraId="5F6751EF" w14:textId="77777777" w:rsidTr="00B834A2">
        <w:tc>
          <w:tcPr>
            <w:tcW w:w="2338" w:type="dxa"/>
            <w:shd w:val="clear" w:color="auto" w:fill="FFFFFF"/>
          </w:tcPr>
          <w:p w14:paraId="061B483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w:t>
            </w:r>
          </w:p>
        </w:tc>
        <w:tc>
          <w:tcPr>
            <w:tcW w:w="1123" w:type="dxa"/>
            <w:shd w:val="clear" w:color="auto" w:fill="FFFFFF"/>
          </w:tcPr>
          <w:p w14:paraId="5FAEA24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82</w:t>
            </w:r>
          </w:p>
        </w:tc>
        <w:tc>
          <w:tcPr>
            <w:tcW w:w="1253" w:type="dxa"/>
            <w:shd w:val="clear" w:color="auto" w:fill="FFFFFF"/>
          </w:tcPr>
          <w:p w14:paraId="49945A0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w:t>
            </w:r>
          </w:p>
        </w:tc>
        <w:tc>
          <w:tcPr>
            <w:tcW w:w="1397" w:type="dxa"/>
            <w:shd w:val="clear" w:color="auto" w:fill="FFFFFF"/>
          </w:tcPr>
          <w:p w14:paraId="5B4E535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20</w:t>
            </w:r>
          </w:p>
        </w:tc>
        <w:tc>
          <w:tcPr>
            <w:tcW w:w="931" w:type="dxa"/>
            <w:shd w:val="clear" w:color="auto" w:fill="FFFFFF"/>
          </w:tcPr>
          <w:p w14:paraId="66E1506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34</w:t>
            </w:r>
          </w:p>
        </w:tc>
        <w:tc>
          <w:tcPr>
            <w:tcW w:w="1166" w:type="dxa"/>
            <w:shd w:val="clear" w:color="auto" w:fill="FFFFFF"/>
          </w:tcPr>
          <w:p w14:paraId="6CD5968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61</w:t>
            </w:r>
          </w:p>
        </w:tc>
        <w:tc>
          <w:tcPr>
            <w:tcW w:w="1214" w:type="dxa"/>
            <w:shd w:val="clear" w:color="auto" w:fill="FFFFFF"/>
          </w:tcPr>
          <w:p w14:paraId="58FC3AC4" w14:textId="77777777" w:rsidR="00B834A2" w:rsidRPr="009A3F5E" w:rsidRDefault="00B834A2" w:rsidP="0081595A">
            <w:pPr>
              <w:spacing w:after="120"/>
              <w:rPr>
                <w:sz w:val="20"/>
                <w:szCs w:val="20"/>
              </w:rPr>
            </w:pPr>
          </w:p>
        </w:tc>
      </w:tr>
      <w:tr w:rsidR="00B834A2" w:rsidRPr="009A3F5E" w14:paraId="45D423F2" w14:textId="77777777" w:rsidTr="00B834A2">
        <w:tc>
          <w:tcPr>
            <w:tcW w:w="2338" w:type="dxa"/>
            <w:shd w:val="clear" w:color="auto" w:fill="FFFFFF"/>
          </w:tcPr>
          <w:p w14:paraId="19BF2AC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w:t>
            </w:r>
          </w:p>
        </w:tc>
        <w:tc>
          <w:tcPr>
            <w:tcW w:w="1123" w:type="dxa"/>
            <w:shd w:val="clear" w:color="auto" w:fill="FFFFFF"/>
          </w:tcPr>
          <w:p w14:paraId="55D8A57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94</w:t>
            </w:r>
          </w:p>
        </w:tc>
        <w:tc>
          <w:tcPr>
            <w:tcW w:w="1253" w:type="dxa"/>
            <w:shd w:val="clear" w:color="auto" w:fill="FFFFFF"/>
          </w:tcPr>
          <w:p w14:paraId="73501D7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62</w:t>
            </w:r>
          </w:p>
        </w:tc>
        <w:tc>
          <w:tcPr>
            <w:tcW w:w="1397" w:type="dxa"/>
            <w:shd w:val="clear" w:color="auto" w:fill="FFFFFF"/>
          </w:tcPr>
          <w:p w14:paraId="638765A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56</w:t>
            </w:r>
          </w:p>
        </w:tc>
        <w:tc>
          <w:tcPr>
            <w:tcW w:w="931" w:type="dxa"/>
            <w:shd w:val="clear" w:color="auto" w:fill="FFFFFF"/>
          </w:tcPr>
          <w:p w14:paraId="5C528DA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93</w:t>
            </w:r>
          </w:p>
        </w:tc>
        <w:tc>
          <w:tcPr>
            <w:tcW w:w="1166" w:type="dxa"/>
            <w:shd w:val="clear" w:color="auto" w:fill="FFFFFF"/>
          </w:tcPr>
          <w:p w14:paraId="66113A6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80</w:t>
            </w:r>
          </w:p>
        </w:tc>
        <w:tc>
          <w:tcPr>
            <w:tcW w:w="1214" w:type="dxa"/>
            <w:shd w:val="clear" w:color="auto" w:fill="FFFFFF"/>
          </w:tcPr>
          <w:p w14:paraId="3DFA4920" w14:textId="77777777" w:rsidR="00B834A2" w:rsidRPr="009A3F5E" w:rsidRDefault="00B834A2" w:rsidP="0081595A">
            <w:pPr>
              <w:spacing w:after="120"/>
              <w:rPr>
                <w:sz w:val="20"/>
                <w:szCs w:val="20"/>
              </w:rPr>
            </w:pPr>
          </w:p>
        </w:tc>
      </w:tr>
      <w:tr w:rsidR="00B834A2" w:rsidRPr="009A3F5E" w14:paraId="402DB88F" w14:textId="77777777" w:rsidTr="00B834A2">
        <w:tc>
          <w:tcPr>
            <w:tcW w:w="2338" w:type="dxa"/>
            <w:shd w:val="clear" w:color="auto" w:fill="FFFFFF"/>
          </w:tcPr>
          <w:p w14:paraId="7673D42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123" w:type="dxa"/>
            <w:shd w:val="clear" w:color="auto" w:fill="FFFFFF"/>
          </w:tcPr>
          <w:p w14:paraId="549EC2D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79</w:t>
            </w:r>
          </w:p>
        </w:tc>
        <w:tc>
          <w:tcPr>
            <w:tcW w:w="1253" w:type="dxa"/>
            <w:shd w:val="clear" w:color="auto" w:fill="FFFFFF"/>
          </w:tcPr>
          <w:p w14:paraId="69A4C66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w:t>
            </w:r>
          </w:p>
        </w:tc>
        <w:tc>
          <w:tcPr>
            <w:tcW w:w="1397" w:type="dxa"/>
            <w:shd w:val="clear" w:color="auto" w:fill="FFFFFF"/>
          </w:tcPr>
          <w:p w14:paraId="715D697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41</w:t>
            </w:r>
          </w:p>
        </w:tc>
        <w:tc>
          <w:tcPr>
            <w:tcW w:w="931" w:type="dxa"/>
            <w:shd w:val="clear" w:color="auto" w:fill="FFFFFF"/>
          </w:tcPr>
          <w:p w14:paraId="27A4C01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52</w:t>
            </w:r>
          </w:p>
        </w:tc>
        <w:tc>
          <w:tcPr>
            <w:tcW w:w="1166" w:type="dxa"/>
            <w:shd w:val="clear" w:color="auto" w:fill="FFFFFF"/>
          </w:tcPr>
          <w:p w14:paraId="766A30E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48</w:t>
            </w:r>
          </w:p>
        </w:tc>
        <w:tc>
          <w:tcPr>
            <w:tcW w:w="1214" w:type="dxa"/>
            <w:shd w:val="clear" w:color="auto" w:fill="FFFFFF"/>
          </w:tcPr>
          <w:p w14:paraId="62E32C77" w14:textId="77777777" w:rsidR="00B834A2" w:rsidRPr="009A3F5E" w:rsidRDefault="00B834A2" w:rsidP="0081595A">
            <w:pPr>
              <w:spacing w:after="120"/>
              <w:rPr>
                <w:sz w:val="20"/>
                <w:szCs w:val="20"/>
              </w:rPr>
            </w:pPr>
          </w:p>
        </w:tc>
      </w:tr>
      <w:tr w:rsidR="00B834A2" w:rsidRPr="009A3F5E" w14:paraId="1EFA6E8F" w14:textId="77777777" w:rsidTr="00B834A2">
        <w:tc>
          <w:tcPr>
            <w:tcW w:w="2338" w:type="dxa"/>
            <w:shd w:val="clear" w:color="auto" w:fill="FFFFFF"/>
          </w:tcPr>
          <w:p w14:paraId="350E0BE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w:t>
            </w:r>
          </w:p>
        </w:tc>
        <w:tc>
          <w:tcPr>
            <w:tcW w:w="1123" w:type="dxa"/>
            <w:shd w:val="clear" w:color="auto" w:fill="FFFFFF"/>
          </w:tcPr>
          <w:p w14:paraId="76EC9C5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97</w:t>
            </w:r>
          </w:p>
        </w:tc>
        <w:tc>
          <w:tcPr>
            <w:tcW w:w="1253" w:type="dxa"/>
            <w:shd w:val="clear" w:color="auto" w:fill="FFFFFF"/>
          </w:tcPr>
          <w:p w14:paraId="6E36077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19</w:t>
            </w:r>
          </w:p>
        </w:tc>
        <w:tc>
          <w:tcPr>
            <w:tcW w:w="1397" w:type="dxa"/>
            <w:shd w:val="clear" w:color="auto" w:fill="FFFFFF"/>
          </w:tcPr>
          <w:p w14:paraId="29C8A4D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34</w:t>
            </w:r>
          </w:p>
        </w:tc>
        <w:tc>
          <w:tcPr>
            <w:tcW w:w="931" w:type="dxa"/>
            <w:shd w:val="clear" w:color="auto" w:fill="FFFFFF"/>
          </w:tcPr>
          <w:p w14:paraId="116797E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42</w:t>
            </w:r>
          </w:p>
        </w:tc>
        <w:tc>
          <w:tcPr>
            <w:tcW w:w="1166" w:type="dxa"/>
            <w:shd w:val="clear" w:color="auto" w:fill="FFFFFF"/>
          </w:tcPr>
          <w:p w14:paraId="4E3B58A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79</w:t>
            </w:r>
          </w:p>
        </w:tc>
        <w:tc>
          <w:tcPr>
            <w:tcW w:w="1214" w:type="dxa"/>
            <w:shd w:val="clear" w:color="auto" w:fill="FFFFFF"/>
          </w:tcPr>
          <w:p w14:paraId="55C5C3EE" w14:textId="77777777" w:rsidR="00B834A2" w:rsidRPr="009A3F5E" w:rsidRDefault="00B834A2" w:rsidP="0081595A">
            <w:pPr>
              <w:spacing w:after="120"/>
              <w:rPr>
                <w:sz w:val="20"/>
                <w:szCs w:val="20"/>
              </w:rPr>
            </w:pPr>
          </w:p>
        </w:tc>
      </w:tr>
      <w:tr w:rsidR="00B834A2" w:rsidRPr="009A3F5E" w14:paraId="2C8ED9F8" w14:textId="77777777" w:rsidTr="00B834A2">
        <w:tc>
          <w:tcPr>
            <w:tcW w:w="2338" w:type="dxa"/>
            <w:shd w:val="clear" w:color="auto" w:fill="FFFFFF"/>
          </w:tcPr>
          <w:p w14:paraId="0870296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123" w:type="dxa"/>
            <w:shd w:val="clear" w:color="auto" w:fill="FFFFFF"/>
          </w:tcPr>
          <w:p w14:paraId="51F1633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110</w:t>
            </w:r>
          </w:p>
        </w:tc>
        <w:tc>
          <w:tcPr>
            <w:tcW w:w="1253" w:type="dxa"/>
            <w:shd w:val="clear" w:color="auto" w:fill="FFFFFF"/>
          </w:tcPr>
          <w:p w14:paraId="3478B03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w:t>
            </w:r>
          </w:p>
        </w:tc>
        <w:tc>
          <w:tcPr>
            <w:tcW w:w="1397" w:type="dxa"/>
            <w:shd w:val="clear" w:color="auto" w:fill="FFFFFF"/>
          </w:tcPr>
          <w:p w14:paraId="150D096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44</w:t>
            </w:r>
          </w:p>
        </w:tc>
        <w:tc>
          <w:tcPr>
            <w:tcW w:w="931" w:type="dxa"/>
            <w:shd w:val="clear" w:color="auto" w:fill="FFFFFF"/>
          </w:tcPr>
          <w:p w14:paraId="302E323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89</w:t>
            </w:r>
          </w:p>
        </w:tc>
        <w:tc>
          <w:tcPr>
            <w:tcW w:w="1166" w:type="dxa"/>
            <w:shd w:val="clear" w:color="auto" w:fill="FFFFFF"/>
          </w:tcPr>
          <w:p w14:paraId="774A6A7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73</w:t>
            </w:r>
          </w:p>
        </w:tc>
        <w:tc>
          <w:tcPr>
            <w:tcW w:w="1214" w:type="dxa"/>
            <w:shd w:val="clear" w:color="auto" w:fill="FFFFFF"/>
          </w:tcPr>
          <w:p w14:paraId="7CE306F5" w14:textId="77777777" w:rsidR="00B834A2" w:rsidRPr="009A3F5E" w:rsidRDefault="00B834A2" w:rsidP="0081595A">
            <w:pPr>
              <w:spacing w:after="120"/>
              <w:rPr>
                <w:sz w:val="20"/>
                <w:szCs w:val="20"/>
              </w:rPr>
            </w:pPr>
          </w:p>
        </w:tc>
      </w:tr>
      <w:tr w:rsidR="00B834A2" w:rsidRPr="009A3F5E" w14:paraId="245BAA02" w14:textId="77777777" w:rsidTr="00B834A2">
        <w:tc>
          <w:tcPr>
            <w:tcW w:w="2338" w:type="dxa"/>
            <w:shd w:val="clear" w:color="auto" w:fill="FFFFFF"/>
          </w:tcPr>
          <w:p w14:paraId="7F4CC76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123" w:type="dxa"/>
            <w:shd w:val="clear" w:color="auto" w:fill="FFFFFF"/>
          </w:tcPr>
          <w:p w14:paraId="3F8A78C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62</w:t>
            </w:r>
          </w:p>
        </w:tc>
        <w:tc>
          <w:tcPr>
            <w:tcW w:w="1253" w:type="dxa"/>
            <w:shd w:val="clear" w:color="auto" w:fill="FFFFFF"/>
          </w:tcPr>
          <w:p w14:paraId="3E47891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35</w:t>
            </w:r>
          </w:p>
        </w:tc>
        <w:tc>
          <w:tcPr>
            <w:tcW w:w="1397" w:type="dxa"/>
            <w:shd w:val="clear" w:color="auto" w:fill="FFFFFF"/>
          </w:tcPr>
          <w:p w14:paraId="5963E0D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w:t>
            </w:r>
          </w:p>
        </w:tc>
        <w:tc>
          <w:tcPr>
            <w:tcW w:w="931" w:type="dxa"/>
            <w:shd w:val="clear" w:color="auto" w:fill="FFFFFF"/>
          </w:tcPr>
          <w:p w14:paraId="67B4B67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w:t>
            </w:r>
          </w:p>
        </w:tc>
        <w:tc>
          <w:tcPr>
            <w:tcW w:w="1166" w:type="dxa"/>
            <w:shd w:val="clear" w:color="auto" w:fill="FFFFFF"/>
          </w:tcPr>
          <w:p w14:paraId="1AC9262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44</w:t>
            </w:r>
          </w:p>
        </w:tc>
        <w:tc>
          <w:tcPr>
            <w:tcW w:w="1214" w:type="dxa"/>
            <w:shd w:val="clear" w:color="auto" w:fill="FFFFFF"/>
          </w:tcPr>
          <w:p w14:paraId="31C9C37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Գումարը</w:t>
            </w:r>
          </w:p>
        </w:tc>
      </w:tr>
      <w:tr w:rsidR="00B834A2" w:rsidRPr="009A3F5E" w14:paraId="09018CAD" w14:textId="77777777" w:rsidTr="00B834A2">
        <w:tc>
          <w:tcPr>
            <w:tcW w:w="2338" w:type="dxa"/>
            <w:shd w:val="clear" w:color="auto" w:fill="FFFFFF"/>
          </w:tcPr>
          <w:p w14:paraId="6B95CE0A"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 մգ%</w:t>
            </w:r>
          </w:p>
        </w:tc>
        <w:tc>
          <w:tcPr>
            <w:tcW w:w="1123" w:type="dxa"/>
            <w:shd w:val="clear" w:color="auto" w:fill="FFFFFF"/>
          </w:tcPr>
          <w:p w14:paraId="6D0E422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88,67</w:t>
            </w:r>
          </w:p>
        </w:tc>
        <w:tc>
          <w:tcPr>
            <w:tcW w:w="1253" w:type="dxa"/>
            <w:shd w:val="clear" w:color="auto" w:fill="FFFFFF"/>
          </w:tcPr>
          <w:p w14:paraId="570BC66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40,33</w:t>
            </w:r>
          </w:p>
        </w:tc>
        <w:tc>
          <w:tcPr>
            <w:tcW w:w="1397" w:type="dxa"/>
            <w:shd w:val="clear" w:color="auto" w:fill="FFFFFF"/>
          </w:tcPr>
          <w:p w14:paraId="79C826B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40,56</w:t>
            </w:r>
          </w:p>
        </w:tc>
        <w:tc>
          <w:tcPr>
            <w:tcW w:w="931" w:type="dxa"/>
            <w:shd w:val="clear" w:color="auto" w:fill="FFFFFF"/>
          </w:tcPr>
          <w:p w14:paraId="0E82935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56,00</w:t>
            </w:r>
          </w:p>
        </w:tc>
        <w:tc>
          <w:tcPr>
            <w:tcW w:w="1166" w:type="dxa"/>
            <w:shd w:val="clear" w:color="auto" w:fill="FFFFFF"/>
          </w:tcPr>
          <w:p w14:paraId="425AA46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61.44</w:t>
            </w:r>
          </w:p>
        </w:tc>
        <w:tc>
          <w:tcPr>
            <w:tcW w:w="1214" w:type="dxa"/>
            <w:shd w:val="clear" w:color="auto" w:fill="FFFFFF"/>
          </w:tcPr>
          <w:p w14:paraId="2A61E7A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287,00</w:t>
            </w:r>
          </w:p>
        </w:tc>
      </w:tr>
      <w:tr w:rsidR="00B834A2" w:rsidRPr="009A3F5E" w14:paraId="18F49423" w14:textId="77777777" w:rsidTr="00B834A2">
        <w:tc>
          <w:tcPr>
            <w:tcW w:w="2338" w:type="dxa"/>
            <w:shd w:val="clear" w:color="auto" w:fill="FFFFFF"/>
          </w:tcPr>
          <w:p w14:paraId="1B7E7E80"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 %</w:t>
            </w:r>
          </w:p>
        </w:tc>
        <w:tc>
          <w:tcPr>
            <w:tcW w:w="1123" w:type="dxa"/>
            <w:shd w:val="clear" w:color="auto" w:fill="FFFFFF"/>
          </w:tcPr>
          <w:p w14:paraId="5EC7AA1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253" w:type="dxa"/>
            <w:shd w:val="clear" w:color="auto" w:fill="FFFFFF"/>
          </w:tcPr>
          <w:p w14:paraId="2CD46FD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45,48</w:t>
            </w:r>
          </w:p>
        </w:tc>
        <w:tc>
          <w:tcPr>
            <w:tcW w:w="1397" w:type="dxa"/>
            <w:shd w:val="clear" w:color="auto" w:fill="FFFFFF"/>
          </w:tcPr>
          <w:p w14:paraId="6CD4971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45,74</w:t>
            </w:r>
          </w:p>
        </w:tc>
        <w:tc>
          <w:tcPr>
            <w:tcW w:w="931" w:type="dxa"/>
            <w:shd w:val="clear" w:color="auto" w:fill="FFFFFF"/>
          </w:tcPr>
          <w:p w14:paraId="32B5992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63,16</w:t>
            </w:r>
          </w:p>
        </w:tc>
        <w:tc>
          <w:tcPr>
            <w:tcW w:w="1166" w:type="dxa"/>
            <w:shd w:val="clear" w:color="auto" w:fill="FFFFFF"/>
          </w:tcPr>
          <w:p w14:paraId="7BC1962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69.29</w:t>
            </w:r>
          </w:p>
        </w:tc>
        <w:tc>
          <w:tcPr>
            <w:tcW w:w="1214" w:type="dxa"/>
            <w:shd w:val="clear" w:color="auto" w:fill="FFFFFF"/>
          </w:tcPr>
          <w:p w14:paraId="4CA960D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2Italic"/>
                <w:i w:val="0"/>
                <w:sz w:val="20"/>
                <w:szCs w:val="20"/>
              </w:rPr>
              <w:t>n</w:t>
            </w:r>
            <w:r w:rsidRPr="009A3F5E">
              <w:rPr>
                <w:rStyle w:val="Bodytext31Sylfaen9"/>
                <w:i w:val="0"/>
                <w:sz w:val="20"/>
                <w:szCs w:val="20"/>
              </w:rPr>
              <w:t xml:space="preserve"> = 9</w:t>
            </w:r>
          </w:p>
        </w:tc>
      </w:tr>
      <w:tr w:rsidR="00B834A2" w:rsidRPr="009A3F5E" w14:paraId="596F85A5" w14:textId="77777777" w:rsidTr="00B834A2">
        <w:tc>
          <w:tcPr>
            <w:tcW w:w="2338" w:type="dxa"/>
            <w:tcBorders>
              <w:bottom w:val="single" w:sz="4" w:space="0" w:color="auto"/>
            </w:tcBorders>
            <w:shd w:val="clear" w:color="auto" w:fill="FFFFFF"/>
          </w:tcPr>
          <w:p w14:paraId="79E3C480"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 նվազումը, %</w:t>
            </w:r>
          </w:p>
        </w:tc>
        <w:tc>
          <w:tcPr>
            <w:tcW w:w="1123" w:type="dxa"/>
            <w:tcBorders>
              <w:bottom w:val="single" w:sz="4" w:space="0" w:color="auto"/>
            </w:tcBorders>
            <w:shd w:val="clear" w:color="auto" w:fill="FFFFFF"/>
          </w:tcPr>
          <w:p w14:paraId="31F64EC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54,52</w:t>
            </w:r>
          </w:p>
        </w:tc>
        <w:tc>
          <w:tcPr>
            <w:tcW w:w="1253" w:type="dxa"/>
            <w:tcBorders>
              <w:bottom w:val="single" w:sz="4" w:space="0" w:color="auto"/>
            </w:tcBorders>
            <w:shd w:val="clear" w:color="auto" w:fill="FFFFFF"/>
          </w:tcPr>
          <w:p w14:paraId="5138C78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54,26</w:t>
            </w:r>
          </w:p>
        </w:tc>
        <w:tc>
          <w:tcPr>
            <w:tcW w:w="1397" w:type="dxa"/>
            <w:tcBorders>
              <w:bottom w:val="single" w:sz="4" w:space="0" w:color="auto"/>
            </w:tcBorders>
            <w:shd w:val="clear" w:color="auto" w:fill="FFFFFF"/>
          </w:tcPr>
          <w:p w14:paraId="0A4BC92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36,84</w:t>
            </w:r>
          </w:p>
        </w:tc>
        <w:tc>
          <w:tcPr>
            <w:tcW w:w="931" w:type="dxa"/>
            <w:tcBorders>
              <w:bottom w:val="single" w:sz="4" w:space="0" w:color="auto"/>
            </w:tcBorders>
            <w:shd w:val="clear" w:color="auto" w:fill="FFFFFF"/>
          </w:tcPr>
          <w:p w14:paraId="1870DD1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30,71</w:t>
            </w:r>
          </w:p>
        </w:tc>
        <w:tc>
          <w:tcPr>
            <w:tcW w:w="1166" w:type="dxa"/>
            <w:tcBorders>
              <w:bottom w:val="single" w:sz="4" w:space="0" w:color="auto"/>
            </w:tcBorders>
            <w:shd w:val="clear" w:color="auto" w:fill="FFFFFF"/>
          </w:tcPr>
          <w:p w14:paraId="3CDDD7B4" w14:textId="77777777" w:rsidR="00B834A2" w:rsidRPr="009A3F5E" w:rsidRDefault="00B834A2" w:rsidP="0081595A">
            <w:pPr>
              <w:spacing w:after="120"/>
              <w:rPr>
                <w:sz w:val="20"/>
                <w:szCs w:val="20"/>
              </w:rPr>
            </w:pPr>
          </w:p>
        </w:tc>
        <w:tc>
          <w:tcPr>
            <w:tcW w:w="1214" w:type="dxa"/>
            <w:tcBorders>
              <w:bottom w:val="single" w:sz="4" w:space="0" w:color="auto"/>
            </w:tcBorders>
            <w:shd w:val="clear" w:color="auto" w:fill="FFFFFF"/>
          </w:tcPr>
          <w:p w14:paraId="25A8D7E7" w14:textId="77777777" w:rsidR="00B834A2" w:rsidRPr="009A3F5E" w:rsidRDefault="00B834A2" w:rsidP="0081595A">
            <w:pPr>
              <w:spacing w:after="120"/>
              <w:rPr>
                <w:sz w:val="20"/>
                <w:szCs w:val="20"/>
              </w:rPr>
            </w:pPr>
          </w:p>
        </w:tc>
      </w:tr>
    </w:tbl>
    <w:p w14:paraId="2666E4C8" w14:textId="77777777" w:rsidR="00B834A2" w:rsidRPr="009A3F5E" w:rsidRDefault="00B834A2" w:rsidP="00B834A2">
      <w:pPr>
        <w:spacing w:after="160" w:line="360" w:lineRule="auto"/>
      </w:pPr>
    </w:p>
    <w:p w14:paraId="54639E54" w14:textId="77777777" w:rsidR="00B834A2" w:rsidRPr="009A3F5E" w:rsidRDefault="00000000" w:rsidP="00B834A2">
      <w:pPr>
        <w:spacing w:after="160" w:line="360" w:lineRule="auto"/>
        <w:jc w:val="center"/>
      </w:pPr>
      <w:r>
        <w:rPr>
          <w:noProof/>
          <w:lang w:val="en-US" w:eastAsia="en-US" w:bidi="ar-SA"/>
        </w:rPr>
        <w:pict w14:anchorId="445EED4F">
          <v:group id="_x0000_s1433" style="position:absolute;left:0;text-align:left;margin-left:74.4pt;margin-top:8.2pt;width:88.25pt;height:115.75pt;z-index:251957760" coordorigin="2906,11192" coordsize="1765,2315">
            <v:rect id="_x0000_s1348" style="position:absolute;left:3792;top:11192;width:879;height:491" stroked="f">
              <v:textbox style="mso-next-textbox:#_x0000_s1348">
                <w:txbxContent>
                  <w:p w14:paraId="78A56FEB" w14:textId="77777777" w:rsidR="008D6E8B" w:rsidRPr="0081595A" w:rsidRDefault="008D6E8B" w:rsidP="00B834A2">
                    <w:pPr>
                      <w:rPr>
                        <w:sz w:val="16"/>
                        <w:szCs w:val="20"/>
                      </w:rPr>
                    </w:pPr>
                    <w:r w:rsidRPr="0081595A">
                      <w:rPr>
                        <w:sz w:val="16"/>
                      </w:rPr>
                      <w:t>t</w:t>
                    </w:r>
                    <w:r w:rsidRPr="0081595A">
                      <w:rPr>
                        <w:sz w:val="20"/>
                        <w:vertAlign w:val="subscript"/>
                      </w:rPr>
                      <w:t>տիդ.</w:t>
                    </w:r>
                  </w:p>
                </w:txbxContent>
              </v:textbox>
            </v:rect>
            <v:rect id="_x0000_s1349" style="position:absolute;left:3247;top:13046;width:1003;height:461" stroked="f">
              <v:textbox style="mso-next-textbox:#_x0000_s1349">
                <w:txbxContent>
                  <w:p w14:paraId="4E8E9ED8" w14:textId="77777777" w:rsidR="008D6E8B" w:rsidRPr="0081595A" w:rsidRDefault="008D6E8B" w:rsidP="00B834A2">
                    <w:pPr>
                      <w:rPr>
                        <w:sz w:val="16"/>
                        <w:szCs w:val="16"/>
                      </w:rPr>
                    </w:pPr>
                    <w:r w:rsidRPr="0081595A">
                      <w:rPr>
                        <w:i/>
                        <w:sz w:val="16"/>
                        <w:szCs w:val="16"/>
                      </w:rPr>
                      <w:t>t</w:t>
                    </w:r>
                    <w:r w:rsidRPr="0081595A">
                      <w:rPr>
                        <w:sz w:val="16"/>
                        <w:szCs w:val="16"/>
                        <w:vertAlign w:val="subscript"/>
                      </w:rPr>
                      <w:t>կրիտիկ.</w:t>
                    </w:r>
                  </w:p>
                </w:txbxContent>
              </v:textbox>
            </v:rect>
            <v:rect id="_x0000_s1350" style="position:absolute;left:2906;top:12570;width:1001;height:376" stroked="f">
              <v:textbox style="mso-next-textbox:#_x0000_s1350">
                <w:txbxContent>
                  <w:p w14:paraId="0A6D9A46" w14:textId="77777777" w:rsidR="008D6E8B" w:rsidRPr="0081595A" w:rsidRDefault="008D6E8B" w:rsidP="00B834A2">
                    <w:pPr>
                      <w:rPr>
                        <w:i/>
                        <w:sz w:val="20"/>
                        <w:szCs w:val="20"/>
                      </w:rPr>
                    </w:pPr>
                    <w:r w:rsidRPr="0081595A">
                      <w:rPr>
                        <w:i/>
                        <w:sz w:val="12"/>
                        <w:szCs w:val="16"/>
                      </w:rPr>
                      <w:t>որտեղ՝</w:t>
                    </w:r>
                  </w:p>
                </w:txbxContent>
              </v:textbox>
            </v:rect>
          </v:group>
        </w:pict>
      </w:r>
      <w:r w:rsidR="00B834A2" w:rsidRPr="009A3F5E">
        <w:rPr>
          <w:noProof/>
          <w:lang w:val="en-US" w:eastAsia="en-US" w:bidi="ar-SA"/>
        </w:rPr>
        <w:drawing>
          <wp:inline distT="0" distB="0" distL="0" distR="0" wp14:anchorId="08C2BA68" wp14:editId="3175DEEE">
            <wp:extent cx="2638652" cy="769103"/>
            <wp:effectExtent l="19050" t="0" r="9298"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5" cstate="print"/>
                    <a:srcRect/>
                    <a:stretch>
                      <a:fillRect/>
                    </a:stretch>
                  </pic:blipFill>
                  <pic:spPr bwMode="auto">
                    <a:xfrm>
                      <a:off x="0" y="0"/>
                      <a:ext cx="2642626" cy="770261"/>
                    </a:xfrm>
                    <a:prstGeom prst="rect">
                      <a:avLst/>
                    </a:prstGeom>
                    <a:noFill/>
                    <a:ln w="9525">
                      <a:noFill/>
                      <a:miter lim="800000"/>
                      <a:headEnd/>
                      <a:tailEnd/>
                    </a:ln>
                  </pic:spPr>
                </pic:pic>
              </a:graphicData>
            </a:graphic>
          </wp:inline>
        </w:drawing>
      </w:r>
    </w:p>
    <w:p w14:paraId="0CBDD5E9" w14:textId="77777777" w:rsidR="00B834A2" w:rsidRPr="009A3F5E" w:rsidRDefault="00B834A2" w:rsidP="00B834A2">
      <w:pPr>
        <w:pStyle w:val="Tablecaption20"/>
        <w:shd w:val="clear" w:color="auto" w:fill="auto"/>
        <w:spacing w:before="0" w:after="160" w:line="360" w:lineRule="auto"/>
        <w:jc w:val="center"/>
        <w:rPr>
          <w:rStyle w:val="Bodytext310pt"/>
          <w:sz w:val="24"/>
          <w:szCs w:val="24"/>
        </w:rPr>
      </w:pPr>
      <w:r w:rsidRPr="009A3F5E">
        <w:rPr>
          <w:rFonts w:ascii="Sylfaen" w:hAnsi="Sylfaen"/>
          <w:i w:val="0"/>
          <w:iCs w:val="0"/>
          <w:noProof/>
          <w:color w:val="000000"/>
          <w:sz w:val="24"/>
          <w:szCs w:val="24"/>
          <w:lang w:val="en-US" w:eastAsia="en-US" w:bidi="ar-SA"/>
        </w:rPr>
        <w:drawing>
          <wp:inline distT="0" distB="0" distL="0" distR="0" wp14:anchorId="11F61E51" wp14:editId="29F5B257">
            <wp:extent cx="3280090" cy="683028"/>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6" cstate="print"/>
                    <a:srcRect/>
                    <a:stretch>
                      <a:fillRect/>
                    </a:stretch>
                  </pic:blipFill>
                  <pic:spPr bwMode="auto">
                    <a:xfrm>
                      <a:off x="0" y="0"/>
                      <a:ext cx="3288611" cy="684802"/>
                    </a:xfrm>
                    <a:prstGeom prst="rect">
                      <a:avLst/>
                    </a:prstGeom>
                    <a:noFill/>
                    <a:ln w="9525">
                      <a:noFill/>
                      <a:miter lim="800000"/>
                      <a:headEnd/>
                      <a:tailEnd/>
                    </a:ln>
                  </pic:spPr>
                </pic:pic>
              </a:graphicData>
            </a:graphic>
          </wp:inline>
        </w:drawing>
      </w:r>
    </w:p>
    <w:p w14:paraId="69C3F381" w14:textId="77777777" w:rsidR="00F634DB" w:rsidRDefault="00F634DB" w:rsidP="0081595A">
      <w:pPr>
        <w:pStyle w:val="Tablecaption20"/>
        <w:shd w:val="clear" w:color="auto" w:fill="auto"/>
        <w:spacing w:before="0" w:after="160" w:line="360" w:lineRule="auto"/>
        <w:ind w:firstLine="567"/>
        <w:rPr>
          <w:rStyle w:val="Bodytext310pt"/>
          <w:b w:val="0"/>
          <w:sz w:val="24"/>
          <w:szCs w:val="24"/>
          <w:lang w:val="en-US"/>
        </w:rPr>
      </w:pPr>
    </w:p>
    <w:p w14:paraId="1D618DFB" w14:textId="77777777" w:rsidR="0023645A" w:rsidRDefault="00B834A2" w:rsidP="0081595A">
      <w:pPr>
        <w:pStyle w:val="Tablecaption20"/>
        <w:shd w:val="clear" w:color="auto" w:fill="auto"/>
        <w:spacing w:before="0" w:after="160" w:line="360" w:lineRule="auto"/>
        <w:ind w:firstLine="567"/>
        <w:rPr>
          <w:rStyle w:val="Tablecaption210pt"/>
          <w:rFonts w:ascii="Sylfaen" w:eastAsia="Sylfaen" w:hAnsi="Sylfaen"/>
          <w:sz w:val="24"/>
          <w:szCs w:val="24"/>
        </w:rPr>
      </w:pPr>
      <w:r w:rsidRPr="0023645A">
        <w:rPr>
          <w:rStyle w:val="Bodytext310pt"/>
          <w:b w:val="0"/>
          <w:sz w:val="24"/>
          <w:szCs w:val="24"/>
        </w:rPr>
        <w:t>Աղյուսակ 3.2.7-24</w:t>
      </w:r>
      <w:r w:rsidRPr="009A3F5E">
        <w:rPr>
          <w:rStyle w:val="Bodytext310pt"/>
          <w:sz w:val="24"/>
          <w:szCs w:val="24"/>
        </w:rPr>
        <w:t xml:space="preserve">. </w:t>
      </w:r>
      <w:r w:rsidRPr="009A3F5E">
        <w:rPr>
          <w:rStyle w:val="Tablecaption210pt"/>
          <w:rFonts w:ascii="Sylfaen" w:eastAsia="Sylfaen" w:hAnsi="Sylfaen"/>
          <w:sz w:val="24"/>
          <w:szCs w:val="24"/>
        </w:rPr>
        <w:t>Ճագարների արյան մեջ գլյուկոզի կոնցենտրացիան՝ սկզբնական մակարդակի % -ով</w:t>
      </w:r>
      <w:r w:rsidR="0081595A" w:rsidRPr="009A3F5E">
        <w:rPr>
          <w:rStyle w:val="Tablecaption210pt"/>
          <w:rFonts w:ascii="Sylfaen" w:eastAsia="Sylfaen" w:hAnsi="Sylfaen"/>
          <w:sz w:val="24"/>
          <w:szCs w:val="24"/>
        </w:rPr>
        <w:t xml:space="preserve"> </w:t>
      </w:r>
    </w:p>
    <w:p w14:paraId="4290A229" w14:textId="77777777" w:rsidR="00B834A2" w:rsidRPr="009A3F5E" w:rsidRDefault="00B834A2" w:rsidP="0023645A">
      <w:pPr>
        <w:pStyle w:val="Tablecaption20"/>
        <w:shd w:val="clear" w:color="auto" w:fill="auto"/>
        <w:spacing w:before="0" w:after="160" w:line="360" w:lineRule="auto"/>
        <w:jc w:val="center"/>
        <w:rPr>
          <w:b/>
          <w:i w:val="0"/>
        </w:rPr>
      </w:pPr>
      <w:r w:rsidRPr="009A3F5E">
        <w:rPr>
          <w:b/>
          <w:i w:val="0"/>
          <w:u w:val="single"/>
        </w:rPr>
        <w:t>S</w:t>
      </w:r>
      <w:r w:rsidRPr="009A3F5E">
        <w:rPr>
          <w:b/>
          <w:i w:val="0"/>
        </w:rPr>
        <w:t xml:space="preserve"> </w:t>
      </w:r>
      <w:r w:rsidRPr="009A3F5E">
        <w:rPr>
          <w:rFonts w:ascii="Sylfaen" w:hAnsi="Sylfaen" w:cs="Sylfaen"/>
          <w:b/>
          <w:i w:val="0"/>
        </w:rPr>
        <w:t>ստանդարտ</w:t>
      </w:r>
      <w:r w:rsidRPr="009A3F5E">
        <w:rPr>
          <w:b/>
          <w:i w:val="0"/>
        </w:rPr>
        <w:t xml:space="preserve"> </w:t>
      </w:r>
      <w:r w:rsidRPr="009A3F5E">
        <w:rPr>
          <w:rFonts w:ascii="Sylfaen" w:hAnsi="Sylfaen" w:cs="Sylfaen"/>
          <w:b/>
          <w:i w:val="0"/>
        </w:rPr>
        <w:t>նմուշը</w:t>
      </w:r>
    </w:p>
    <w:tbl>
      <w:tblPr>
        <w:tblOverlap w:val="never"/>
        <w:tblW w:w="9427" w:type="dxa"/>
        <w:jc w:val="center"/>
        <w:tblLayout w:type="fixed"/>
        <w:tblCellMar>
          <w:left w:w="10" w:type="dxa"/>
          <w:right w:w="10" w:type="dxa"/>
        </w:tblCellMar>
        <w:tblLook w:val="0000" w:firstRow="0" w:lastRow="0" w:firstColumn="0" w:lastColumn="0" w:noHBand="0" w:noVBand="0"/>
      </w:tblPr>
      <w:tblGrid>
        <w:gridCol w:w="1579"/>
        <w:gridCol w:w="1570"/>
        <w:gridCol w:w="1531"/>
        <w:gridCol w:w="1627"/>
        <w:gridCol w:w="1526"/>
        <w:gridCol w:w="1594"/>
      </w:tblGrid>
      <w:tr w:rsidR="00B834A2" w:rsidRPr="009A3F5E" w14:paraId="30CF60FF" w14:textId="77777777" w:rsidTr="00F634DB">
        <w:trPr>
          <w:tblHeader/>
          <w:jc w:val="center"/>
        </w:trPr>
        <w:tc>
          <w:tcPr>
            <w:tcW w:w="1579" w:type="dxa"/>
            <w:vMerge w:val="restart"/>
            <w:tcBorders>
              <w:top w:val="single" w:sz="4" w:space="0" w:color="auto"/>
            </w:tcBorders>
            <w:shd w:val="clear" w:color="auto" w:fill="FFFFFF"/>
          </w:tcPr>
          <w:p w14:paraId="41A9DFC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Համարը՝ ը/կ</w:t>
            </w:r>
          </w:p>
        </w:tc>
        <w:tc>
          <w:tcPr>
            <w:tcW w:w="1570" w:type="dxa"/>
            <w:tcBorders>
              <w:top w:val="single" w:sz="4" w:space="0" w:color="auto"/>
            </w:tcBorders>
            <w:shd w:val="clear" w:color="auto" w:fill="FFFFFF"/>
          </w:tcPr>
          <w:p w14:paraId="2CFAA9D0" w14:textId="77777777" w:rsidR="00B834A2" w:rsidRPr="009A3F5E" w:rsidRDefault="00B834A2" w:rsidP="0081595A">
            <w:pPr>
              <w:spacing w:after="120"/>
              <w:rPr>
                <w:sz w:val="20"/>
                <w:szCs w:val="20"/>
              </w:rPr>
            </w:pPr>
          </w:p>
        </w:tc>
        <w:tc>
          <w:tcPr>
            <w:tcW w:w="1531" w:type="dxa"/>
            <w:tcBorders>
              <w:top w:val="single" w:sz="4" w:space="0" w:color="auto"/>
            </w:tcBorders>
            <w:shd w:val="clear" w:color="auto" w:fill="FFFFFF"/>
          </w:tcPr>
          <w:p w14:paraId="27516635" w14:textId="77777777" w:rsidR="00B834A2" w:rsidRPr="009A3F5E" w:rsidRDefault="00B834A2" w:rsidP="0081595A">
            <w:pPr>
              <w:spacing w:after="120"/>
              <w:rPr>
                <w:sz w:val="20"/>
                <w:szCs w:val="20"/>
              </w:rPr>
            </w:pPr>
          </w:p>
        </w:tc>
        <w:tc>
          <w:tcPr>
            <w:tcW w:w="1627" w:type="dxa"/>
            <w:tcBorders>
              <w:top w:val="single" w:sz="4" w:space="0" w:color="auto"/>
            </w:tcBorders>
            <w:shd w:val="clear" w:color="auto" w:fill="FFFFFF"/>
          </w:tcPr>
          <w:p w14:paraId="78CACA5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Ժամանակը, ժ</w:t>
            </w:r>
          </w:p>
        </w:tc>
        <w:tc>
          <w:tcPr>
            <w:tcW w:w="1526" w:type="dxa"/>
            <w:tcBorders>
              <w:top w:val="single" w:sz="4" w:space="0" w:color="auto"/>
            </w:tcBorders>
            <w:shd w:val="clear" w:color="auto" w:fill="FFFFFF"/>
          </w:tcPr>
          <w:p w14:paraId="16C0F8DF" w14:textId="77777777" w:rsidR="00B834A2" w:rsidRPr="009A3F5E" w:rsidRDefault="00B834A2" w:rsidP="0081595A">
            <w:pPr>
              <w:spacing w:after="120"/>
              <w:rPr>
                <w:sz w:val="20"/>
                <w:szCs w:val="20"/>
              </w:rPr>
            </w:pPr>
          </w:p>
        </w:tc>
        <w:tc>
          <w:tcPr>
            <w:tcW w:w="1594" w:type="dxa"/>
            <w:tcBorders>
              <w:top w:val="single" w:sz="4" w:space="0" w:color="auto"/>
            </w:tcBorders>
            <w:shd w:val="clear" w:color="auto" w:fill="FFFFFF"/>
          </w:tcPr>
          <w:p w14:paraId="04183C56" w14:textId="77777777" w:rsidR="00B834A2" w:rsidRPr="009A3F5E" w:rsidRDefault="00B834A2" w:rsidP="0081595A">
            <w:pPr>
              <w:spacing w:after="120"/>
              <w:rPr>
                <w:sz w:val="20"/>
                <w:szCs w:val="20"/>
              </w:rPr>
            </w:pPr>
          </w:p>
        </w:tc>
      </w:tr>
      <w:tr w:rsidR="00B834A2" w:rsidRPr="009A3F5E" w14:paraId="71B9517B" w14:textId="77777777" w:rsidTr="00F634DB">
        <w:trPr>
          <w:tblHeader/>
          <w:jc w:val="center"/>
        </w:trPr>
        <w:tc>
          <w:tcPr>
            <w:tcW w:w="1579" w:type="dxa"/>
            <w:vMerge/>
            <w:shd w:val="clear" w:color="auto" w:fill="FFFFFF"/>
          </w:tcPr>
          <w:p w14:paraId="1EC8E17E" w14:textId="77777777" w:rsidR="00B834A2" w:rsidRPr="009A3F5E" w:rsidRDefault="00B834A2" w:rsidP="0081595A">
            <w:pPr>
              <w:spacing w:after="120"/>
              <w:rPr>
                <w:sz w:val="20"/>
                <w:szCs w:val="20"/>
              </w:rPr>
            </w:pPr>
          </w:p>
        </w:tc>
        <w:tc>
          <w:tcPr>
            <w:tcW w:w="1570" w:type="dxa"/>
            <w:tcBorders>
              <w:top w:val="single" w:sz="4" w:space="0" w:color="auto"/>
            </w:tcBorders>
            <w:shd w:val="clear" w:color="auto" w:fill="FFFFFF"/>
          </w:tcPr>
          <w:p w14:paraId="1B7F63D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531" w:type="dxa"/>
            <w:tcBorders>
              <w:top w:val="single" w:sz="4" w:space="0" w:color="auto"/>
            </w:tcBorders>
            <w:shd w:val="clear" w:color="auto" w:fill="FFFFFF"/>
          </w:tcPr>
          <w:p w14:paraId="0126B48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1,5</w:t>
            </w:r>
          </w:p>
        </w:tc>
        <w:tc>
          <w:tcPr>
            <w:tcW w:w="1627" w:type="dxa"/>
            <w:tcBorders>
              <w:top w:val="single" w:sz="4" w:space="0" w:color="auto"/>
            </w:tcBorders>
            <w:shd w:val="clear" w:color="auto" w:fill="FFFFFF"/>
          </w:tcPr>
          <w:p w14:paraId="44E8956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526" w:type="dxa"/>
            <w:tcBorders>
              <w:top w:val="single" w:sz="4" w:space="0" w:color="auto"/>
            </w:tcBorders>
            <w:shd w:val="clear" w:color="auto" w:fill="FFFFFF"/>
          </w:tcPr>
          <w:p w14:paraId="29B9768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1594" w:type="dxa"/>
            <w:tcBorders>
              <w:top w:val="single" w:sz="4" w:space="0" w:color="auto"/>
            </w:tcBorders>
            <w:shd w:val="clear" w:color="auto" w:fill="FFFFFF"/>
          </w:tcPr>
          <w:p w14:paraId="4B03F42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r>
      <w:tr w:rsidR="00B834A2" w:rsidRPr="009A3F5E" w14:paraId="54E34E37" w14:textId="77777777" w:rsidTr="00B834A2">
        <w:trPr>
          <w:jc w:val="center"/>
        </w:trPr>
        <w:tc>
          <w:tcPr>
            <w:tcW w:w="1579" w:type="dxa"/>
            <w:tcBorders>
              <w:top w:val="single" w:sz="4" w:space="0" w:color="auto"/>
            </w:tcBorders>
            <w:shd w:val="clear" w:color="auto" w:fill="FFFFFF"/>
          </w:tcPr>
          <w:p w14:paraId="6D77BE1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w:t>
            </w:r>
          </w:p>
        </w:tc>
        <w:tc>
          <w:tcPr>
            <w:tcW w:w="1570" w:type="dxa"/>
            <w:tcBorders>
              <w:top w:val="single" w:sz="4" w:space="0" w:color="auto"/>
            </w:tcBorders>
            <w:shd w:val="clear" w:color="auto" w:fill="FFFFFF"/>
          </w:tcPr>
          <w:p w14:paraId="25C358A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tcBorders>
              <w:top w:val="single" w:sz="4" w:space="0" w:color="auto"/>
            </w:tcBorders>
            <w:shd w:val="clear" w:color="auto" w:fill="FFFFFF"/>
          </w:tcPr>
          <w:p w14:paraId="522E089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25,21</w:t>
            </w:r>
          </w:p>
        </w:tc>
        <w:tc>
          <w:tcPr>
            <w:tcW w:w="1627" w:type="dxa"/>
            <w:tcBorders>
              <w:top w:val="single" w:sz="4" w:space="0" w:color="auto"/>
            </w:tcBorders>
            <w:shd w:val="clear" w:color="auto" w:fill="FFFFFF"/>
          </w:tcPr>
          <w:p w14:paraId="4B0B781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27,73</w:t>
            </w:r>
          </w:p>
        </w:tc>
        <w:tc>
          <w:tcPr>
            <w:tcW w:w="1526" w:type="dxa"/>
            <w:tcBorders>
              <w:top w:val="single" w:sz="4" w:space="0" w:color="auto"/>
            </w:tcBorders>
            <w:shd w:val="clear" w:color="auto" w:fill="FFFFFF"/>
          </w:tcPr>
          <w:p w14:paraId="120B0D4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55,46</w:t>
            </w:r>
          </w:p>
        </w:tc>
        <w:tc>
          <w:tcPr>
            <w:tcW w:w="1594" w:type="dxa"/>
            <w:tcBorders>
              <w:top w:val="single" w:sz="4" w:space="0" w:color="auto"/>
            </w:tcBorders>
            <w:shd w:val="clear" w:color="auto" w:fill="FFFFFF"/>
          </w:tcPr>
          <w:p w14:paraId="4D085CF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96,64</w:t>
            </w:r>
          </w:p>
        </w:tc>
      </w:tr>
      <w:tr w:rsidR="00B834A2" w:rsidRPr="009A3F5E" w14:paraId="4D1525B0" w14:textId="77777777" w:rsidTr="00B834A2">
        <w:trPr>
          <w:jc w:val="center"/>
        </w:trPr>
        <w:tc>
          <w:tcPr>
            <w:tcW w:w="1579" w:type="dxa"/>
            <w:shd w:val="clear" w:color="auto" w:fill="FFFFFF"/>
          </w:tcPr>
          <w:p w14:paraId="2F3C6FB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w:t>
            </w:r>
          </w:p>
        </w:tc>
        <w:tc>
          <w:tcPr>
            <w:tcW w:w="1570" w:type="dxa"/>
            <w:shd w:val="clear" w:color="auto" w:fill="FFFFFF"/>
          </w:tcPr>
          <w:p w14:paraId="3C95BFB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57E9280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22,62</w:t>
            </w:r>
          </w:p>
        </w:tc>
        <w:tc>
          <w:tcPr>
            <w:tcW w:w="1627" w:type="dxa"/>
            <w:shd w:val="clear" w:color="auto" w:fill="FFFFFF"/>
          </w:tcPr>
          <w:p w14:paraId="26B145C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51,19</w:t>
            </w:r>
          </w:p>
        </w:tc>
        <w:tc>
          <w:tcPr>
            <w:tcW w:w="1526" w:type="dxa"/>
            <w:shd w:val="clear" w:color="auto" w:fill="FFFFFF"/>
          </w:tcPr>
          <w:p w14:paraId="79CE7D5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89,29</w:t>
            </w:r>
          </w:p>
        </w:tc>
        <w:tc>
          <w:tcPr>
            <w:tcW w:w="1594" w:type="dxa"/>
            <w:shd w:val="clear" w:color="auto" w:fill="FFFFFF"/>
          </w:tcPr>
          <w:p w14:paraId="01AC611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107,14</w:t>
            </w:r>
          </w:p>
        </w:tc>
      </w:tr>
      <w:tr w:rsidR="00B834A2" w:rsidRPr="009A3F5E" w14:paraId="3AE8E2AF" w14:textId="77777777" w:rsidTr="00B834A2">
        <w:trPr>
          <w:jc w:val="center"/>
        </w:trPr>
        <w:tc>
          <w:tcPr>
            <w:tcW w:w="1579" w:type="dxa"/>
            <w:shd w:val="clear" w:color="auto" w:fill="FFFFFF"/>
          </w:tcPr>
          <w:p w14:paraId="3F53C09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570" w:type="dxa"/>
            <w:shd w:val="clear" w:color="auto" w:fill="FFFFFF"/>
          </w:tcPr>
          <w:p w14:paraId="0B0FF75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7E90649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37,65</w:t>
            </w:r>
          </w:p>
        </w:tc>
        <w:tc>
          <w:tcPr>
            <w:tcW w:w="1627" w:type="dxa"/>
            <w:shd w:val="clear" w:color="auto" w:fill="FFFFFF"/>
          </w:tcPr>
          <w:p w14:paraId="047030E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43,53</w:t>
            </w:r>
          </w:p>
        </w:tc>
        <w:tc>
          <w:tcPr>
            <w:tcW w:w="1526" w:type="dxa"/>
            <w:shd w:val="clear" w:color="auto" w:fill="FFFFFF"/>
          </w:tcPr>
          <w:p w14:paraId="5F11CAF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64,71</w:t>
            </w:r>
          </w:p>
        </w:tc>
        <w:tc>
          <w:tcPr>
            <w:tcW w:w="1594" w:type="dxa"/>
            <w:shd w:val="clear" w:color="auto" w:fill="FFFFFF"/>
          </w:tcPr>
          <w:p w14:paraId="48A3470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102,35</w:t>
            </w:r>
          </w:p>
        </w:tc>
      </w:tr>
      <w:tr w:rsidR="00B834A2" w:rsidRPr="009A3F5E" w14:paraId="4F0E6FD9" w14:textId="77777777" w:rsidTr="00B834A2">
        <w:trPr>
          <w:jc w:val="center"/>
        </w:trPr>
        <w:tc>
          <w:tcPr>
            <w:tcW w:w="1579" w:type="dxa"/>
            <w:shd w:val="clear" w:color="auto" w:fill="FFFFFF"/>
          </w:tcPr>
          <w:p w14:paraId="134D392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w:t>
            </w:r>
          </w:p>
        </w:tc>
        <w:tc>
          <w:tcPr>
            <w:tcW w:w="1570" w:type="dxa"/>
            <w:shd w:val="clear" w:color="auto" w:fill="FFFFFF"/>
          </w:tcPr>
          <w:p w14:paraId="149758E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0D3967F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58,9</w:t>
            </w:r>
          </w:p>
        </w:tc>
        <w:tc>
          <w:tcPr>
            <w:tcW w:w="1627" w:type="dxa"/>
            <w:shd w:val="clear" w:color="auto" w:fill="FFFFFF"/>
          </w:tcPr>
          <w:p w14:paraId="6E551E8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54,79</w:t>
            </w:r>
          </w:p>
        </w:tc>
        <w:tc>
          <w:tcPr>
            <w:tcW w:w="1526" w:type="dxa"/>
            <w:shd w:val="clear" w:color="auto" w:fill="FFFFFF"/>
          </w:tcPr>
          <w:p w14:paraId="52801D2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67,12</w:t>
            </w:r>
          </w:p>
        </w:tc>
        <w:tc>
          <w:tcPr>
            <w:tcW w:w="1594" w:type="dxa"/>
            <w:shd w:val="clear" w:color="auto" w:fill="FFFFFF"/>
          </w:tcPr>
          <w:p w14:paraId="17EBE07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110,96</w:t>
            </w:r>
          </w:p>
        </w:tc>
      </w:tr>
      <w:tr w:rsidR="00B834A2" w:rsidRPr="009A3F5E" w14:paraId="55B49249" w14:textId="77777777" w:rsidTr="00B834A2">
        <w:trPr>
          <w:jc w:val="center"/>
        </w:trPr>
        <w:tc>
          <w:tcPr>
            <w:tcW w:w="1579" w:type="dxa"/>
            <w:shd w:val="clear" w:color="auto" w:fill="FFFFFF"/>
          </w:tcPr>
          <w:p w14:paraId="77E5AA0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lastRenderedPageBreak/>
              <w:t>5.</w:t>
            </w:r>
          </w:p>
        </w:tc>
        <w:tc>
          <w:tcPr>
            <w:tcW w:w="1570" w:type="dxa"/>
            <w:shd w:val="clear" w:color="auto" w:fill="FFFFFF"/>
          </w:tcPr>
          <w:p w14:paraId="40B8B25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089ED81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26,37</w:t>
            </w:r>
          </w:p>
        </w:tc>
        <w:tc>
          <w:tcPr>
            <w:tcW w:w="1627" w:type="dxa"/>
            <w:shd w:val="clear" w:color="auto" w:fill="FFFFFF"/>
          </w:tcPr>
          <w:p w14:paraId="50D41F4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78,02</w:t>
            </w:r>
          </w:p>
        </w:tc>
        <w:tc>
          <w:tcPr>
            <w:tcW w:w="1526" w:type="dxa"/>
            <w:shd w:val="clear" w:color="auto" w:fill="FFFFFF"/>
          </w:tcPr>
          <w:p w14:paraId="74C0C07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91,21</w:t>
            </w:r>
          </w:p>
        </w:tc>
        <w:tc>
          <w:tcPr>
            <w:tcW w:w="1594" w:type="dxa"/>
            <w:shd w:val="clear" w:color="auto" w:fill="FFFFFF"/>
          </w:tcPr>
          <w:p w14:paraId="21A518C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104,4</w:t>
            </w:r>
          </w:p>
        </w:tc>
      </w:tr>
      <w:tr w:rsidR="00B834A2" w:rsidRPr="009A3F5E" w14:paraId="2F12C70B" w14:textId="77777777" w:rsidTr="00B834A2">
        <w:trPr>
          <w:jc w:val="center"/>
        </w:trPr>
        <w:tc>
          <w:tcPr>
            <w:tcW w:w="1579" w:type="dxa"/>
            <w:shd w:val="clear" w:color="auto" w:fill="FFFFFF"/>
          </w:tcPr>
          <w:p w14:paraId="0B5CEE5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570" w:type="dxa"/>
            <w:shd w:val="clear" w:color="auto" w:fill="FFFFFF"/>
          </w:tcPr>
          <w:p w14:paraId="0731123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0094BD2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58,54</w:t>
            </w:r>
          </w:p>
        </w:tc>
        <w:tc>
          <w:tcPr>
            <w:tcW w:w="1627" w:type="dxa"/>
            <w:shd w:val="clear" w:color="auto" w:fill="FFFFFF"/>
          </w:tcPr>
          <w:p w14:paraId="6529F7C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58,54</w:t>
            </w:r>
          </w:p>
        </w:tc>
        <w:tc>
          <w:tcPr>
            <w:tcW w:w="1526" w:type="dxa"/>
            <w:shd w:val="clear" w:color="auto" w:fill="FFFFFF"/>
          </w:tcPr>
          <w:p w14:paraId="16129ED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69,51</w:t>
            </w:r>
          </w:p>
        </w:tc>
        <w:tc>
          <w:tcPr>
            <w:tcW w:w="1594" w:type="dxa"/>
            <w:shd w:val="clear" w:color="auto" w:fill="FFFFFF"/>
          </w:tcPr>
          <w:p w14:paraId="6364DA2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91,46</w:t>
            </w:r>
          </w:p>
        </w:tc>
      </w:tr>
      <w:tr w:rsidR="00B834A2" w:rsidRPr="009A3F5E" w14:paraId="00EE0BF2" w14:textId="77777777" w:rsidTr="00B834A2">
        <w:trPr>
          <w:jc w:val="center"/>
        </w:trPr>
        <w:tc>
          <w:tcPr>
            <w:tcW w:w="1579" w:type="dxa"/>
            <w:shd w:val="clear" w:color="auto" w:fill="FFFFFF"/>
          </w:tcPr>
          <w:p w14:paraId="7E6AAA8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w:t>
            </w:r>
          </w:p>
        </w:tc>
        <w:tc>
          <w:tcPr>
            <w:tcW w:w="1570" w:type="dxa"/>
            <w:shd w:val="clear" w:color="auto" w:fill="FFFFFF"/>
          </w:tcPr>
          <w:p w14:paraId="5D1D5D2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4A8B861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23,08</w:t>
            </w:r>
          </w:p>
        </w:tc>
        <w:tc>
          <w:tcPr>
            <w:tcW w:w="1627" w:type="dxa"/>
            <w:shd w:val="clear" w:color="auto" w:fill="FFFFFF"/>
          </w:tcPr>
          <w:p w14:paraId="65A43A4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39,56</w:t>
            </w:r>
          </w:p>
        </w:tc>
        <w:tc>
          <w:tcPr>
            <w:tcW w:w="1526" w:type="dxa"/>
            <w:shd w:val="clear" w:color="auto" w:fill="FFFFFF"/>
          </w:tcPr>
          <w:p w14:paraId="685BD34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52,75</w:t>
            </w:r>
          </w:p>
        </w:tc>
        <w:tc>
          <w:tcPr>
            <w:tcW w:w="1594" w:type="dxa"/>
            <w:shd w:val="clear" w:color="auto" w:fill="FFFFFF"/>
          </w:tcPr>
          <w:p w14:paraId="25C490A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101,1</w:t>
            </w:r>
          </w:p>
        </w:tc>
      </w:tr>
      <w:tr w:rsidR="00B834A2" w:rsidRPr="009A3F5E" w14:paraId="64FDAB41" w14:textId="77777777" w:rsidTr="00B834A2">
        <w:trPr>
          <w:jc w:val="center"/>
        </w:trPr>
        <w:tc>
          <w:tcPr>
            <w:tcW w:w="1579" w:type="dxa"/>
            <w:shd w:val="clear" w:color="auto" w:fill="FFFFFF"/>
          </w:tcPr>
          <w:p w14:paraId="474CFC0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70" w:type="dxa"/>
            <w:shd w:val="clear" w:color="auto" w:fill="FFFFFF"/>
          </w:tcPr>
          <w:p w14:paraId="6F6CC24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3A66E6A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46,32</w:t>
            </w:r>
          </w:p>
        </w:tc>
        <w:tc>
          <w:tcPr>
            <w:tcW w:w="1627" w:type="dxa"/>
            <w:shd w:val="clear" w:color="auto" w:fill="FFFFFF"/>
          </w:tcPr>
          <w:p w14:paraId="18AB770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49,47</w:t>
            </w:r>
          </w:p>
        </w:tc>
        <w:tc>
          <w:tcPr>
            <w:tcW w:w="1526" w:type="dxa"/>
            <w:shd w:val="clear" w:color="auto" w:fill="FFFFFF"/>
          </w:tcPr>
          <w:p w14:paraId="0502F42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68,42</w:t>
            </w:r>
          </w:p>
        </w:tc>
        <w:tc>
          <w:tcPr>
            <w:tcW w:w="1594" w:type="dxa"/>
            <w:shd w:val="clear" w:color="auto" w:fill="FFFFFF"/>
          </w:tcPr>
          <w:p w14:paraId="5D5D727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116,84</w:t>
            </w:r>
          </w:p>
        </w:tc>
      </w:tr>
      <w:tr w:rsidR="00B834A2" w:rsidRPr="009A3F5E" w14:paraId="3832F710" w14:textId="77777777" w:rsidTr="00B834A2">
        <w:trPr>
          <w:jc w:val="center"/>
        </w:trPr>
        <w:tc>
          <w:tcPr>
            <w:tcW w:w="1579" w:type="dxa"/>
            <w:shd w:val="clear" w:color="auto" w:fill="FFFFFF"/>
          </w:tcPr>
          <w:p w14:paraId="729FBCE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70" w:type="dxa"/>
            <w:shd w:val="clear" w:color="auto" w:fill="FFFFFF"/>
          </w:tcPr>
          <w:p w14:paraId="751E86B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2F22048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26,88</w:t>
            </w:r>
          </w:p>
        </w:tc>
        <w:tc>
          <w:tcPr>
            <w:tcW w:w="1627" w:type="dxa"/>
            <w:shd w:val="clear" w:color="auto" w:fill="FFFFFF"/>
          </w:tcPr>
          <w:p w14:paraId="47155D6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21,51</w:t>
            </w:r>
          </w:p>
        </w:tc>
        <w:tc>
          <w:tcPr>
            <w:tcW w:w="1526" w:type="dxa"/>
            <w:shd w:val="clear" w:color="auto" w:fill="FFFFFF"/>
          </w:tcPr>
          <w:p w14:paraId="19AC290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69,89</w:t>
            </w:r>
          </w:p>
        </w:tc>
        <w:tc>
          <w:tcPr>
            <w:tcW w:w="1594" w:type="dxa"/>
            <w:shd w:val="clear" w:color="auto" w:fill="FFFFFF"/>
          </w:tcPr>
          <w:p w14:paraId="7CADF23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102,15</w:t>
            </w:r>
          </w:p>
        </w:tc>
      </w:tr>
      <w:tr w:rsidR="00B834A2" w:rsidRPr="009A3F5E" w14:paraId="1B03FAF4" w14:textId="77777777" w:rsidTr="00B834A2">
        <w:trPr>
          <w:jc w:val="center"/>
        </w:trPr>
        <w:tc>
          <w:tcPr>
            <w:tcW w:w="1579" w:type="dxa"/>
            <w:shd w:val="clear" w:color="auto" w:fill="FFFFFF"/>
          </w:tcPr>
          <w:p w14:paraId="163CDFAE"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w:t>
            </w:r>
          </w:p>
        </w:tc>
        <w:tc>
          <w:tcPr>
            <w:tcW w:w="1570" w:type="dxa"/>
            <w:shd w:val="clear" w:color="auto" w:fill="FFFFFF"/>
          </w:tcPr>
          <w:p w14:paraId="385DD8E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0356BC5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36,17</w:t>
            </w:r>
          </w:p>
        </w:tc>
        <w:tc>
          <w:tcPr>
            <w:tcW w:w="1627" w:type="dxa"/>
            <w:shd w:val="clear" w:color="auto" w:fill="FFFFFF"/>
          </w:tcPr>
          <w:p w14:paraId="3184CFD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47,15</w:t>
            </w:r>
          </w:p>
        </w:tc>
        <w:tc>
          <w:tcPr>
            <w:tcW w:w="1526" w:type="dxa"/>
            <w:shd w:val="clear" w:color="auto" w:fill="FFFFFF"/>
          </w:tcPr>
          <w:p w14:paraId="4F27453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69,82</w:t>
            </w:r>
          </w:p>
        </w:tc>
        <w:tc>
          <w:tcPr>
            <w:tcW w:w="1594" w:type="dxa"/>
            <w:shd w:val="clear" w:color="auto" w:fill="FFFFFF"/>
          </w:tcPr>
          <w:p w14:paraId="30968F4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103,67</w:t>
            </w:r>
          </w:p>
        </w:tc>
      </w:tr>
      <w:tr w:rsidR="00B834A2" w:rsidRPr="009A3F5E" w14:paraId="1ED3D733" w14:textId="77777777" w:rsidTr="00B834A2">
        <w:trPr>
          <w:jc w:val="center"/>
        </w:trPr>
        <w:tc>
          <w:tcPr>
            <w:tcW w:w="1579" w:type="dxa"/>
            <w:shd w:val="clear" w:color="auto" w:fill="FFFFFF"/>
          </w:tcPr>
          <w:p w14:paraId="02BF19CB"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n</w:t>
            </w:r>
          </w:p>
        </w:tc>
        <w:tc>
          <w:tcPr>
            <w:tcW w:w="1570" w:type="dxa"/>
            <w:shd w:val="clear" w:color="auto" w:fill="FFFFFF"/>
          </w:tcPr>
          <w:p w14:paraId="784D283B" w14:textId="77777777" w:rsidR="00B834A2" w:rsidRPr="009A3F5E" w:rsidRDefault="00B834A2" w:rsidP="0081595A">
            <w:pPr>
              <w:spacing w:after="120"/>
              <w:rPr>
                <w:sz w:val="20"/>
                <w:szCs w:val="20"/>
              </w:rPr>
            </w:pPr>
          </w:p>
        </w:tc>
        <w:tc>
          <w:tcPr>
            <w:tcW w:w="1531" w:type="dxa"/>
            <w:shd w:val="clear" w:color="auto" w:fill="FFFFFF"/>
          </w:tcPr>
          <w:p w14:paraId="430D551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627" w:type="dxa"/>
            <w:shd w:val="clear" w:color="auto" w:fill="FFFFFF"/>
          </w:tcPr>
          <w:p w14:paraId="71858B3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26" w:type="dxa"/>
            <w:shd w:val="clear" w:color="auto" w:fill="FFFFFF"/>
          </w:tcPr>
          <w:p w14:paraId="2B3A007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94" w:type="dxa"/>
            <w:shd w:val="clear" w:color="auto" w:fill="FFFFFF"/>
          </w:tcPr>
          <w:p w14:paraId="6B2FAB8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r>
      <w:tr w:rsidR="00B834A2" w:rsidRPr="009A3F5E" w14:paraId="48CA37CA" w14:textId="77777777" w:rsidTr="00B834A2">
        <w:trPr>
          <w:jc w:val="center"/>
        </w:trPr>
        <w:tc>
          <w:tcPr>
            <w:tcW w:w="1579" w:type="dxa"/>
            <w:shd w:val="clear" w:color="auto" w:fill="FFFFFF"/>
          </w:tcPr>
          <w:p w14:paraId="3FF376E6"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ƒ</w:t>
            </w:r>
          </w:p>
        </w:tc>
        <w:tc>
          <w:tcPr>
            <w:tcW w:w="1570" w:type="dxa"/>
            <w:shd w:val="clear" w:color="auto" w:fill="FFFFFF"/>
          </w:tcPr>
          <w:p w14:paraId="7A25384F" w14:textId="77777777" w:rsidR="00B834A2" w:rsidRPr="009A3F5E" w:rsidRDefault="00B834A2" w:rsidP="0081595A">
            <w:pPr>
              <w:spacing w:after="120"/>
              <w:rPr>
                <w:sz w:val="20"/>
                <w:szCs w:val="20"/>
              </w:rPr>
            </w:pPr>
          </w:p>
        </w:tc>
        <w:tc>
          <w:tcPr>
            <w:tcW w:w="1531" w:type="dxa"/>
            <w:shd w:val="clear" w:color="auto" w:fill="FFFFFF"/>
          </w:tcPr>
          <w:p w14:paraId="00EE17F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627" w:type="dxa"/>
            <w:shd w:val="clear" w:color="auto" w:fill="FFFFFF"/>
          </w:tcPr>
          <w:p w14:paraId="491A8D3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26" w:type="dxa"/>
            <w:shd w:val="clear" w:color="auto" w:fill="FFFFFF"/>
          </w:tcPr>
          <w:p w14:paraId="1AA9389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94" w:type="dxa"/>
            <w:shd w:val="clear" w:color="auto" w:fill="FFFFFF"/>
          </w:tcPr>
          <w:p w14:paraId="68EC356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r>
      <w:tr w:rsidR="00B834A2" w:rsidRPr="009A3F5E" w14:paraId="48F34CCD" w14:textId="77777777" w:rsidTr="00B834A2">
        <w:trPr>
          <w:jc w:val="center"/>
        </w:trPr>
        <w:tc>
          <w:tcPr>
            <w:tcW w:w="1579" w:type="dxa"/>
            <w:shd w:val="clear" w:color="auto" w:fill="FFFFFF"/>
          </w:tcPr>
          <w:p w14:paraId="10CB2C22" w14:textId="77777777" w:rsidR="00B834A2" w:rsidRPr="009A3F5E" w:rsidRDefault="00B834A2" w:rsidP="0081595A">
            <w:pPr>
              <w:spacing w:after="120"/>
              <w:rPr>
                <w:sz w:val="20"/>
                <w:szCs w:val="20"/>
              </w:rPr>
            </w:pPr>
            <w:r w:rsidRPr="009A3F5E">
              <w:rPr>
                <w:sz w:val="20"/>
                <w:szCs w:val="20"/>
              </w:rPr>
              <w:t>s</w:t>
            </w:r>
          </w:p>
        </w:tc>
        <w:tc>
          <w:tcPr>
            <w:tcW w:w="1570" w:type="dxa"/>
            <w:shd w:val="clear" w:color="auto" w:fill="FFFFFF"/>
          </w:tcPr>
          <w:p w14:paraId="5D68CF78" w14:textId="77777777" w:rsidR="00B834A2" w:rsidRPr="009A3F5E" w:rsidRDefault="00B834A2" w:rsidP="0081595A">
            <w:pPr>
              <w:spacing w:after="120"/>
              <w:rPr>
                <w:sz w:val="20"/>
                <w:szCs w:val="20"/>
              </w:rPr>
            </w:pPr>
          </w:p>
        </w:tc>
        <w:tc>
          <w:tcPr>
            <w:tcW w:w="1531" w:type="dxa"/>
            <w:shd w:val="clear" w:color="auto" w:fill="FFFFFF"/>
          </w:tcPr>
          <w:p w14:paraId="18EC148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14,915</w:t>
            </w:r>
          </w:p>
        </w:tc>
        <w:tc>
          <w:tcPr>
            <w:tcW w:w="1627" w:type="dxa"/>
            <w:shd w:val="clear" w:color="auto" w:fill="FFFFFF"/>
          </w:tcPr>
          <w:p w14:paraId="33DB272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16,838</w:t>
            </w:r>
          </w:p>
        </w:tc>
        <w:tc>
          <w:tcPr>
            <w:tcW w:w="1526" w:type="dxa"/>
            <w:shd w:val="clear" w:color="auto" w:fill="FFFFFF"/>
          </w:tcPr>
          <w:p w14:paraId="797AB76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13,085</w:t>
            </w:r>
          </w:p>
        </w:tc>
        <w:tc>
          <w:tcPr>
            <w:tcW w:w="1594" w:type="dxa"/>
            <w:shd w:val="clear" w:color="auto" w:fill="FFFFFF"/>
          </w:tcPr>
          <w:p w14:paraId="73DB8E6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7,486</w:t>
            </w:r>
          </w:p>
        </w:tc>
      </w:tr>
      <w:tr w:rsidR="00B834A2" w:rsidRPr="009A3F5E" w14:paraId="225F096D" w14:textId="77777777" w:rsidTr="00B834A2">
        <w:trPr>
          <w:jc w:val="center"/>
        </w:trPr>
        <w:tc>
          <w:tcPr>
            <w:tcW w:w="1579" w:type="dxa"/>
            <w:shd w:val="clear" w:color="auto" w:fill="FFFFFF"/>
          </w:tcPr>
          <w:p w14:paraId="38D63BA6"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t</w:t>
            </w:r>
          </w:p>
        </w:tc>
        <w:tc>
          <w:tcPr>
            <w:tcW w:w="1570" w:type="dxa"/>
            <w:shd w:val="clear" w:color="auto" w:fill="FFFFFF"/>
          </w:tcPr>
          <w:p w14:paraId="0DBB2DB8" w14:textId="77777777" w:rsidR="00B834A2" w:rsidRPr="009A3F5E" w:rsidRDefault="00B834A2" w:rsidP="0081595A">
            <w:pPr>
              <w:spacing w:after="120"/>
              <w:rPr>
                <w:sz w:val="20"/>
                <w:szCs w:val="20"/>
              </w:rPr>
            </w:pPr>
          </w:p>
        </w:tc>
        <w:tc>
          <w:tcPr>
            <w:tcW w:w="1531" w:type="dxa"/>
            <w:shd w:val="clear" w:color="auto" w:fill="FFFFFF"/>
          </w:tcPr>
          <w:p w14:paraId="60D59A3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627" w:type="dxa"/>
            <w:shd w:val="clear" w:color="auto" w:fill="FFFFFF"/>
          </w:tcPr>
          <w:p w14:paraId="7D8A674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526" w:type="dxa"/>
            <w:shd w:val="clear" w:color="auto" w:fill="FFFFFF"/>
          </w:tcPr>
          <w:p w14:paraId="41A80DB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594" w:type="dxa"/>
            <w:shd w:val="clear" w:color="auto" w:fill="FFFFFF"/>
          </w:tcPr>
          <w:p w14:paraId="67221A7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r>
      <w:tr w:rsidR="00B834A2" w:rsidRPr="009A3F5E" w14:paraId="5FBF1C6D" w14:textId="77777777" w:rsidTr="00B834A2">
        <w:trPr>
          <w:jc w:val="center"/>
        </w:trPr>
        <w:tc>
          <w:tcPr>
            <w:tcW w:w="1579" w:type="dxa"/>
            <w:shd w:val="clear" w:color="auto" w:fill="FFFFFF"/>
          </w:tcPr>
          <w:p w14:paraId="32F9502C"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Δх ,р</w:t>
            </w:r>
            <w:r w:rsidRPr="009A3F5E">
              <w:rPr>
                <w:rStyle w:val="Bodytext31Sylfaen9"/>
                <w:i w:val="0"/>
                <w:sz w:val="20"/>
                <w:szCs w:val="20"/>
              </w:rPr>
              <w:t xml:space="preserve"> = 0,05</w:t>
            </w:r>
          </w:p>
        </w:tc>
        <w:tc>
          <w:tcPr>
            <w:tcW w:w="1570" w:type="dxa"/>
            <w:shd w:val="clear" w:color="auto" w:fill="FFFFFF"/>
          </w:tcPr>
          <w:p w14:paraId="21857CF5" w14:textId="77777777" w:rsidR="00B834A2" w:rsidRPr="009A3F5E" w:rsidRDefault="00B834A2" w:rsidP="0081595A">
            <w:pPr>
              <w:spacing w:after="120"/>
              <w:rPr>
                <w:sz w:val="20"/>
                <w:szCs w:val="20"/>
              </w:rPr>
            </w:pPr>
          </w:p>
        </w:tc>
        <w:tc>
          <w:tcPr>
            <w:tcW w:w="1531" w:type="dxa"/>
            <w:shd w:val="clear" w:color="auto" w:fill="FFFFFF"/>
          </w:tcPr>
          <w:p w14:paraId="191775B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11,46</w:t>
            </w:r>
          </w:p>
        </w:tc>
        <w:tc>
          <w:tcPr>
            <w:tcW w:w="1627" w:type="dxa"/>
            <w:shd w:val="clear" w:color="auto" w:fill="FFFFFF"/>
          </w:tcPr>
          <w:p w14:paraId="340C5FA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12,94</w:t>
            </w:r>
          </w:p>
        </w:tc>
        <w:tc>
          <w:tcPr>
            <w:tcW w:w="1526" w:type="dxa"/>
            <w:shd w:val="clear" w:color="auto" w:fill="FFFFFF"/>
          </w:tcPr>
          <w:p w14:paraId="59BE3F8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10,06</w:t>
            </w:r>
          </w:p>
        </w:tc>
        <w:tc>
          <w:tcPr>
            <w:tcW w:w="1594" w:type="dxa"/>
            <w:shd w:val="clear" w:color="auto" w:fill="FFFFFF"/>
          </w:tcPr>
          <w:p w14:paraId="729881F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5,75</w:t>
            </w:r>
          </w:p>
        </w:tc>
      </w:tr>
    </w:tbl>
    <w:p w14:paraId="41B25BE3" w14:textId="77777777" w:rsidR="00B834A2" w:rsidRPr="009A3F5E" w:rsidRDefault="00B834A2" w:rsidP="00B834A2">
      <w:pPr>
        <w:spacing w:after="160" w:line="360" w:lineRule="auto"/>
      </w:pPr>
    </w:p>
    <w:tbl>
      <w:tblPr>
        <w:tblOverlap w:val="never"/>
        <w:tblW w:w="9427" w:type="dxa"/>
        <w:jc w:val="center"/>
        <w:tblLayout w:type="fixed"/>
        <w:tblCellMar>
          <w:left w:w="10" w:type="dxa"/>
          <w:right w:w="10" w:type="dxa"/>
        </w:tblCellMar>
        <w:tblLook w:val="0000" w:firstRow="0" w:lastRow="0" w:firstColumn="0" w:lastColumn="0" w:noHBand="0" w:noVBand="0"/>
      </w:tblPr>
      <w:tblGrid>
        <w:gridCol w:w="1579"/>
        <w:gridCol w:w="1570"/>
        <w:gridCol w:w="1531"/>
        <w:gridCol w:w="1627"/>
        <w:gridCol w:w="1526"/>
        <w:gridCol w:w="1594"/>
      </w:tblGrid>
      <w:tr w:rsidR="00B834A2" w:rsidRPr="009A3F5E" w14:paraId="2781C750" w14:textId="77777777" w:rsidTr="00B834A2">
        <w:trPr>
          <w:jc w:val="center"/>
        </w:trPr>
        <w:tc>
          <w:tcPr>
            <w:tcW w:w="1579" w:type="dxa"/>
            <w:shd w:val="clear" w:color="auto" w:fill="FFFFFF"/>
          </w:tcPr>
          <w:p w14:paraId="727BE895" w14:textId="77777777" w:rsidR="00B834A2" w:rsidRPr="009A3F5E" w:rsidRDefault="00B834A2" w:rsidP="0081595A">
            <w:pPr>
              <w:spacing w:after="120"/>
              <w:rPr>
                <w:sz w:val="20"/>
                <w:szCs w:val="20"/>
              </w:rPr>
            </w:pPr>
          </w:p>
        </w:tc>
        <w:tc>
          <w:tcPr>
            <w:tcW w:w="1570" w:type="dxa"/>
            <w:shd w:val="clear" w:color="auto" w:fill="FFFFFF"/>
          </w:tcPr>
          <w:p w14:paraId="16968328" w14:textId="77777777" w:rsidR="00B834A2" w:rsidRPr="009A3F5E" w:rsidRDefault="00B834A2" w:rsidP="0081595A">
            <w:pPr>
              <w:spacing w:after="120"/>
              <w:rPr>
                <w:sz w:val="20"/>
                <w:szCs w:val="20"/>
              </w:rPr>
            </w:pPr>
          </w:p>
        </w:tc>
        <w:tc>
          <w:tcPr>
            <w:tcW w:w="3158" w:type="dxa"/>
            <w:gridSpan w:val="2"/>
            <w:shd w:val="clear" w:color="auto" w:fill="FFFFFF"/>
          </w:tcPr>
          <w:p w14:paraId="27326615" w14:textId="77777777" w:rsidR="00B834A2" w:rsidRPr="009A3F5E" w:rsidRDefault="00B834A2" w:rsidP="0081595A">
            <w:pPr>
              <w:pStyle w:val="Bodytext20"/>
              <w:shd w:val="clear" w:color="auto" w:fill="auto"/>
              <w:spacing w:before="0" w:line="240" w:lineRule="auto"/>
              <w:rPr>
                <w:rFonts w:ascii="Sylfaen" w:hAnsi="Sylfaen" w:cs="Sylfaen"/>
                <w:b/>
                <w:sz w:val="20"/>
                <w:szCs w:val="20"/>
              </w:rPr>
            </w:pPr>
            <w:r w:rsidRPr="009A3F5E">
              <w:rPr>
                <w:rStyle w:val="Bodytext295pt"/>
                <w:b/>
                <w:i w:val="0"/>
                <w:sz w:val="20"/>
                <w:szCs w:val="20"/>
                <w:u w:val="single"/>
              </w:rPr>
              <w:t>U</w:t>
            </w:r>
            <w:r w:rsidRPr="009A3F5E">
              <w:rPr>
                <w:rStyle w:val="Bodytext295pt"/>
                <w:b/>
                <w:i w:val="0"/>
                <w:sz w:val="20"/>
                <w:szCs w:val="20"/>
              </w:rPr>
              <w:t xml:space="preserve"> փորձարկվող նմուշը</w:t>
            </w:r>
          </w:p>
        </w:tc>
        <w:tc>
          <w:tcPr>
            <w:tcW w:w="1526" w:type="dxa"/>
            <w:shd w:val="clear" w:color="auto" w:fill="FFFFFF"/>
          </w:tcPr>
          <w:p w14:paraId="5382F138" w14:textId="77777777" w:rsidR="00B834A2" w:rsidRPr="009A3F5E" w:rsidRDefault="00B834A2" w:rsidP="0081595A">
            <w:pPr>
              <w:spacing w:after="120"/>
              <w:rPr>
                <w:sz w:val="20"/>
                <w:szCs w:val="20"/>
              </w:rPr>
            </w:pPr>
          </w:p>
        </w:tc>
        <w:tc>
          <w:tcPr>
            <w:tcW w:w="1594" w:type="dxa"/>
            <w:shd w:val="clear" w:color="auto" w:fill="FFFFFF"/>
          </w:tcPr>
          <w:p w14:paraId="616CD705" w14:textId="77777777" w:rsidR="00B834A2" w:rsidRPr="009A3F5E" w:rsidRDefault="00B834A2" w:rsidP="0081595A">
            <w:pPr>
              <w:spacing w:after="120"/>
              <w:rPr>
                <w:sz w:val="20"/>
                <w:szCs w:val="20"/>
              </w:rPr>
            </w:pPr>
          </w:p>
        </w:tc>
      </w:tr>
      <w:tr w:rsidR="00B834A2" w:rsidRPr="009A3F5E" w14:paraId="4E25C322" w14:textId="77777777" w:rsidTr="00B834A2">
        <w:trPr>
          <w:jc w:val="center"/>
        </w:trPr>
        <w:tc>
          <w:tcPr>
            <w:tcW w:w="1579" w:type="dxa"/>
            <w:vMerge w:val="restart"/>
            <w:tcBorders>
              <w:top w:val="single" w:sz="4" w:space="0" w:color="auto"/>
            </w:tcBorders>
            <w:shd w:val="clear" w:color="auto" w:fill="FFFFFF"/>
          </w:tcPr>
          <w:p w14:paraId="38C8228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Համարը՝ ը/կ</w:t>
            </w:r>
          </w:p>
        </w:tc>
        <w:tc>
          <w:tcPr>
            <w:tcW w:w="1570" w:type="dxa"/>
            <w:tcBorders>
              <w:top w:val="single" w:sz="4" w:space="0" w:color="auto"/>
            </w:tcBorders>
            <w:shd w:val="clear" w:color="auto" w:fill="FFFFFF"/>
          </w:tcPr>
          <w:p w14:paraId="70E06B8D" w14:textId="77777777" w:rsidR="00B834A2" w:rsidRPr="009A3F5E" w:rsidRDefault="00B834A2" w:rsidP="0081595A">
            <w:pPr>
              <w:spacing w:after="120"/>
              <w:rPr>
                <w:sz w:val="20"/>
                <w:szCs w:val="20"/>
              </w:rPr>
            </w:pPr>
          </w:p>
        </w:tc>
        <w:tc>
          <w:tcPr>
            <w:tcW w:w="1531" w:type="dxa"/>
            <w:tcBorders>
              <w:top w:val="single" w:sz="4" w:space="0" w:color="auto"/>
            </w:tcBorders>
            <w:shd w:val="clear" w:color="auto" w:fill="FFFFFF"/>
          </w:tcPr>
          <w:p w14:paraId="6C8B055E" w14:textId="77777777" w:rsidR="00B834A2" w:rsidRPr="009A3F5E" w:rsidRDefault="00B834A2" w:rsidP="0081595A">
            <w:pPr>
              <w:spacing w:after="120"/>
              <w:rPr>
                <w:sz w:val="20"/>
                <w:szCs w:val="20"/>
              </w:rPr>
            </w:pPr>
          </w:p>
        </w:tc>
        <w:tc>
          <w:tcPr>
            <w:tcW w:w="1627" w:type="dxa"/>
            <w:tcBorders>
              <w:top w:val="single" w:sz="4" w:space="0" w:color="auto"/>
            </w:tcBorders>
            <w:shd w:val="clear" w:color="auto" w:fill="FFFFFF"/>
          </w:tcPr>
          <w:p w14:paraId="2C59DEC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Ժամանակը, ժ</w:t>
            </w:r>
          </w:p>
        </w:tc>
        <w:tc>
          <w:tcPr>
            <w:tcW w:w="1526" w:type="dxa"/>
            <w:tcBorders>
              <w:top w:val="single" w:sz="4" w:space="0" w:color="auto"/>
            </w:tcBorders>
            <w:shd w:val="clear" w:color="auto" w:fill="FFFFFF"/>
          </w:tcPr>
          <w:p w14:paraId="0EC58830" w14:textId="77777777" w:rsidR="00B834A2" w:rsidRPr="009A3F5E" w:rsidRDefault="00B834A2" w:rsidP="0081595A">
            <w:pPr>
              <w:spacing w:after="120"/>
              <w:rPr>
                <w:sz w:val="20"/>
                <w:szCs w:val="20"/>
              </w:rPr>
            </w:pPr>
          </w:p>
        </w:tc>
        <w:tc>
          <w:tcPr>
            <w:tcW w:w="1594" w:type="dxa"/>
            <w:tcBorders>
              <w:top w:val="single" w:sz="4" w:space="0" w:color="auto"/>
            </w:tcBorders>
            <w:shd w:val="clear" w:color="auto" w:fill="FFFFFF"/>
          </w:tcPr>
          <w:p w14:paraId="4B065CDF" w14:textId="77777777" w:rsidR="00B834A2" w:rsidRPr="009A3F5E" w:rsidRDefault="00B834A2" w:rsidP="0081595A">
            <w:pPr>
              <w:spacing w:after="120"/>
              <w:rPr>
                <w:sz w:val="20"/>
                <w:szCs w:val="20"/>
              </w:rPr>
            </w:pPr>
          </w:p>
        </w:tc>
      </w:tr>
      <w:tr w:rsidR="00B834A2" w:rsidRPr="009A3F5E" w14:paraId="34D23091" w14:textId="77777777" w:rsidTr="00B834A2">
        <w:trPr>
          <w:jc w:val="center"/>
        </w:trPr>
        <w:tc>
          <w:tcPr>
            <w:tcW w:w="1579" w:type="dxa"/>
            <w:vMerge/>
            <w:shd w:val="clear" w:color="auto" w:fill="FFFFFF"/>
          </w:tcPr>
          <w:p w14:paraId="19BBCD50" w14:textId="77777777" w:rsidR="00B834A2" w:rsidRPr="009A3F5E" w:rsidRDefault="00B834A2" w:rsidP="0081595A">
            <w:pPr>
              <w:spacing w:after="120"/>
              <w:rPr>
                <w:sz w:val="20"/>
                <w:szCs w:val="20"/>
              </w:rPr>
            </w:pPr>
          </w:p>
        </w:tc>
        <w:tc>
          <w:tcPr>
            <w:tcW w:w="1570" w:type="dxa"/>
            <w:tcBorders>
              <w:top w:val="single" w:sz="4" w:space="0" w:color="auto"/>
            </w:tcBorders>
            <w:shd w:val="clear" w:color="auto" w:fill="FFFFFF"/>
          </w:tcPr>
          <w:p w14:paraId="54C0475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531" w:type="dxa"/>
            <w:tcBorders>
              <w:top w:val="single" w:sz="4" w:space="0" w:color="auto"/>
            </w:tcBorders>
            <w:shd w:val="clear" w:color="auto" w:fill="FFFFFF"/>
          </w:tcPr>
          <w:p w14:paraId="6F7E715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1,5</w:t>
            </w:r>
          </w:p>
        </w:tc>
        <w:tc>
          <w:tcPr>
            <w:tcW w:w="1627" w:type="dxa"/>
            <w:tcBorders>
              <w:top w:val="single" w:sz="4" w:space="0" w:color="auto"/>
            </w:tcBorders>
            <w:shd w:val="clear" w:color="auto" w:fill="FFFFFF"/>
          </w:tcPr>
          <w:p w14:paraId="60CEACB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526" w:type="dxa"/>
            <w:tcBorders>
              <w:top w:val="single" w:sz="4" w:space="0" w:color="auto"/>
            </w:tcBorders>
            <w:shd w:val="clear" w:color="auto" w:fill="FFFFFF"/>
          </w:tcPr>
          <w:p w14:paraId="73C48C1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1594" w:type="dxa"/>
            <w:tcBorders>
              <w:top w:val="single" w:sz="4" w:space="0" w:color="auto"/>
            </w:tcBorders>
            <w:shd w:val="clear" w:color="auto" w:fill="FFFFFF"/>
          </w:tcPr>
          <w:p w14:paraId="563E731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r>
      <w:tr w:rsidR="00B834A2" w:rsidRPr="009A3F5E" w14:paraId="14B9CFBC" w14:textId="77777777" w:rsidTr="00B834A2">
        <w:trPr>
          <w:jc w:val="center"/>
        </w:trPr>
        <w:tc>
          <w:tcPr>
            <w:tcW w:w="1579" w:type="dxa"/>
            <w:tcBorders>
              <w:top w:val="single" w:sz="4" w:space="0" w:color="auto"/>
            </w:tcBorders>
            <w:shd w:val="clear" w:color="auto" w:fill="FFFFFF"/>
          </w:tcPr>
          <w:p w14:paraId="7E9E042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w:t>
            </w:r>
          </w:p>
        </w:tc>
        <w:tc>
          <w:tcPr>
            <w:tcW w:w="1570" w:type="dxa"/>
            <w:tcBorders>
              <w:top w:val="single" w:sz="4" w:space="0" w:color="auto"/>
            </w:tcBorders>
            <w:shd w:val="clear" w:color="auto" w:fill="FFFFFF"/>
          </w:tcPr>
          <w:p w14:paraId="0F11AE4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tcBorders>
              <w:top w:val="single" w:sz="4" w:space="0" w:color="auto"/>
            </w:tcBorders>
            <w:shd w:val="clear" w:color="auto" w:fill="FFFFFF"/>
          </w:tcPr>
          <w:p w14:paraId="34577B2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46,07</w:t>
            </w:r>
          </w:p>
        </w:tc>
        <w:tc>
          <w:tcPr>
            <w:tcW w:w="1627" w:type="dxa"/>
            <w:tcBorders>
              <w:top w:val="single" w:sz="4" w:space="0" w:color="auto"/>
            </w:tcBorders>
            <w:shd w:val="clear" w:color="auto" w:fill="FFFFFF"/>
          </w:tcPr>
          <w:p w14:paraId="1B1BC10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53,93</w:t>
            </w:r>
          </w:p>
        </w:tc>
        <w:tc>
          <w:tcPr>
            <w:tcW w:w="1526" w:type="dxa"/>
            <w:tcBorders>
              <w:top w:val="single" w:sz="4" w:space="0" w:color="auto"/>
            </w:tcBorders>
            <w:shd w:val="clear" w:color="auto" w:fill="FFFFFF"/>
          </w:tcPr>
          <w:p w14:paraId="12C94F8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60,67</w:t>
            </w:r>
          </w:p>
        </w:tc>
        <w:tc>
          <w:tcPr>
            <w:tcW w:w="1594" w:type="dxa"/>
            <w:tcBorders>
              <w:top w:val="single" w:sz="4" w:space="0" w:color="auto"/>
            </w:tcBorders>
            <w:shd w:val="clear" w:color="auto" w:fill="FFFFFF"/>
          </w:tcPr>
          <w:p w14:paraId="4FFC14E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83,15</w:t>
            </w:r>
          </w:p>
        </w:tc>
      </w:tr>
      <w:tr w:rsidR="00B834A2" w:rsidRPr="009A3F5E" w14:paraId="0BE94EF4" w14:textId="77777777" w:rsidTr="00B834A2">
        <w:trPr>
          <w:jc w:val="center"/>
        </w:trPr>
        <w:tc>
          <w:tcPr>
            <w:tcW w:w="1579" w:type="dxa"/>
            <w:shd w:val="clear" w:color="auto" w:fill="FFFFFF"/>
          </w:tcPr>
          <w:p w14:paraId="37632A8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w:t>
            </w:r>
          </w:p>
        </w:tc>
        <w:tc>
          <w:tcPr>
            <w:tcW w:w="1570" w:type="dxa"/>
            <w:shd w:val="clear" w:color="auto" w:fill="FFFFFF"/>
          </w:tcPr>
          <w:p w14:paraId="72633E9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646597A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35,29</w:t>
            </w:r>
          </w:p>
        </w:tc>
        <w:tc>
          <w:tcPr>
            <w:tcW w:w="1627" w:type="dxa"/>
            <w:shd w:val="clear" w:color="auto" w:fill="FFFFFF"/>
          </w:tcPr>
          <w:p w14:paraId="287899E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40,2</w:t>
            </w:r>
          </w:p>
        </w:tc>
        <w:tc>
          <w:tcPr>
            <w:tcW w:w="1526" w:type="dxa"/>
            <w:shd w:val="clear" w:color="auto" w:fill="FFFFFF"/>
          </w:tcPr>
          <w:p w14:paraId="35B4BC0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42,16</w:t>
            </w:r>
          </w:p>
        </w:tc>
        <w:tc>
          <w:tcPr>
            <w:tcW w:w="1594" w:type="dxa"/>
            <w:shd w:val="clear" w:color="auto" w:fill="FFFFFF"/>
          </w:tcPr>
          <w:p w14:paraId="719F6B6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66,67</w:t>
            </w:r>
          </w:p>
        </w:tc>
      </w:tr>
      <w:tr w:rsidR="00B834A2" w:rsidRPr="009A3F5E" w14:paraId="5B3E6341" w14:textId="77777777" w:rsidTr="00B834A2">
        <w:trPr>
          <w:jc w:val="center"/>
        </w:trPr>
        <w:tc>
          <w:tcPr>
            <w:tcW w:w="1579" w:type="dxa"/>
            <w:shd w:val="clear" w:color="auto" w:fill="FFFFFF"/>
          </w:tcPr>
          <w:p w14:paraId="1086A10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w:t>
            </w:r>
          </w:p>
        </w:tc>
        <w:tc>
          <w:tcPr>
            <w:tcW w:w="1570" w:type="dxa"/>
            <w:shd w:val="clear" w:color="auto" w:fill="FFFFFF"/>
          </w:tcPr>
          <w:p w14:paraId="17DBB6A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62FBC25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43,37</w:t>
            </w:r>
          </w:p>
        </w:tc>
        <w:tc>
          <w:tcPr>
            <w:tcW w:w="1627" w:type="dxa"/>
            <w:shd w:val="clear" w:color="auto" w:fill="FFFFFF"/>
          </w:tcPr>
          <w:p w14:paraId="6F5C80D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54,22</w:t>
            </w:r>
          </w:p>
        </w:tc>
        <w:tc>
          <w:tcPr>
            <w:tcW w:w="1526" w:type="dxa"/>
            <w:shd w:val="clear" w:color="auto" w:fill="FFFFFF"/>
          </w:tcPr>
          <w:p w14:paraId="4AC7992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68,67</w:t>
            </w:r>
          </w:p>
        </w:tc>
        <w:tc>
          <w:tcPr>
            <w:tcW w:w="1594" w:type="dxa"/>
            <w:shd w:val="clear" w:color="auto" w:fill="FFFFFF"/>
          </w:tcPr>
          <w:p w14:paraId="664AB63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86,75</w:t>
            </w:r>
          </w:p>
        </w:tc>
      </w:tr>
      <w:tr w:rsidR="00B834A2" w:rsidRPr="009A3F5E" w14:paraId="3474AF36" w14:textId="77777777" w:rsidTr="00B834A2">
        <w:trPr>
          <w:jc w:val="center"/>
        </w:trPr>
        <w:tc>
          <w:tcPr>
            <w:tcW w:w="1579" w:type="dxa"/>
            <w:shd w:val="clear" w:color="auto" w:fill="FFFFFF"/>
          </w:tcPr>
          <w:p w14:paraId="0372A2B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w:t>
            </w:r>
          </w:p>
        </w:tc>
        <w:tc>
          <w:tcPr>
            <w:tcW w:w="1570" w:type="dxa"/>
            <w:shd w:val="clear" w:color="auto" w:fill="FFFFFF"/>
          </w:tcPr>
          <w:p w14:paraId="5FD7E6E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78C1B86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57,32</w:t>
            </w:r>
          </w:p>
        </w:tc>
        <w:tc>
          <w:tcPr>
            <w:tcW w:w="1627" w:type="dxa"/>
            <w:shd w:val="clear" w:color="auto" w:fill="FFFFFF"/>
          </w:tcPr>
          <w:p w14:paraId="3ACD3A9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24,39</w:t>
            </w:r>
          </w:p>
        </w:tc>
        <w:tc>
          <w:tcPr>
            <w:tcW w:w="1526" w:type="dxa"/>
            <w:shd w:val="clear" w:color="auto" w:fill="FFFFFF"/>
          </w:tcPr>
          <w:p w14:paraId="6E4E6D2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41,46</w:t>
            </w:r>
          </w:p>
        </w:tc>
        <w:tc>
          <w:tcPr>
            <w:tcW w:w="1594" w:type="dxa"/>
            <w:shd w:val="clear" w:color="auto" w:fill="FFFFFF"/>
          </w:tcPr>
          <w:p w14:paraId="51BF56E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74,39</w:t>
            </w:r>
          </w:p>
        </w:tc>
      </w:tr>
      <w:tr w:rsidR="00B834A2" w:rsidRPr="009A3F5E" w14:paraId="110D3957" w14:textId="77777777" w:rsidTr="00B834A2">
        <w:trPr>
          <w:jc w:val="center"/>
        </w:trPr>
        <w:tc>
          <w:tcPr>
            <w:tcW w:w="1579" w:type="dxa"/>
            <w:shd w:val="clear" w:color="auto" w:fill="FFFFFF"/>
          </w:tcPr>
          <w:p w14:paraId="7B726A4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w:t>
            </w:r>
          </w:p>
        </w:tc>
        <w:tc>
          <w:tcPr>
            <w:tcW w:w="1570" w:type="dxa"/>
            <w:shd w:val="clear" w:color="auto" w:fill="FFFFFF"/>
          </w:tcPr>
          <w:p w14:paraId="6F651B4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14D591F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65,96</w:t>
            </w:r>
          </w:p>
        </w:tc>
        <w:tc>
          <w:tcPr>
            <w:tcW w:w="1627" w:type="dxa"/>
            <w:shd w:val="clear" w:color="auto" w:fill="FFFFFF"/>
          </w:tcPr>
          <w:p w14:paraId="604DC31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59,57</w:t>
            </w:r>
          </w:p>
        </w:tc>
        <w:tc>
          <w:tcPr>
            <w:tcW w:w="1526" w:type="dxa"/>
            <w:shd w:val="clear" w:color="auto" w:fill="FFFFFF"/>
          </w:tcPr>
          <w:p w14:paraId="2241333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98,94</w:t>
            </w:r>
          </w:p>
        </w:tc>
        <w:tc>
          <w:tcPr>
            <w:tcW w:w="1594" w:type="dxa"/>
            <w:shd w:val="clear" w:color="auto" w:fill="FFFFFF"/>
          </w:tcPr>
          <w:p w14:paraId="3A56051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85,11</w:t>
            </w:r>
          </w:p>
        </w:tc>
      </w:tr>
      <w:tr w:rsidR="00B834A2" w:rsidRPr="009A3F5E" w14:paraId="027B7751" w14:textId="77777777" w:rsidTr="00B834A2">
        <w:trPr>
          <w:jc w:val="center"/>
        </w:trPr>
        <w:tc>
          <w:tcPr>
            <w:tcW w:w="1579" w:type="dxa"/>
            <w:shd w:val="clear" w:color="auto" w:fill="FFFFFF"/>
          </w:tcPr>
          <w:p w14:paraId="435D821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w:t>
            </w:r>
          </w:p>
        </w:tc>
        <w:tc>
          <w:tcPr>
            <w:tcW w:w="1570" w:type="dxa"/>
            <w:shd w:val="clear" w:color="auto" w:fill="FFFFFF"/>
          </w:tcPr>
          <w:p w14:paraId="7555859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6CF424F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50,63</w:t>
            </w:r>
          </w:p>
        </w:tc>
        <w:tc>
          <w:tcPr>
            <w:tcW w:w="1627" w:type="dxa"/>
            <w:shd w:val="clear" w:color="auto" w:fill="FFFFFF"/>
          </w:tcPr>
          <w:p w14:paraId="6D3AE97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51,9</w:t>
            </w:r>
          </w:p>
        </w:tc>
        <w:tc>
          <w:tcPr>
            <w:tcW w:w="1526" w:type="dxa"/>
            <w:shd w:val="clear" w:color="auto" w:fill="FFFFFF"/>
          </w:tcPr>
          <w:p w14:paraId="081BCDC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65,82</w:t>
            </w:r>
          </w:p>
        </w:tc>
        <w:tc>
          <w:tcPr>
            <w:tcW w:w="1594" w:type="dxa"/>
            <w:shd w:val="clear" w:color="auto" w:fill="FFFFFF"/>
          </w:tcPr>
          <w:p w14:paraId="2DB1364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60,76</w:t>
            </w:r>
          </w:p>
        </w:tc>
      </w:tr>
      <w:tr w:rsidR="00B834A2" w:rsidRPr="009A3F5E" w14:paraId="7D85CB80" w14:textId="77777777" w:rsidTr="00B834A2">
        <w:trPr>
          <w:jc w:val="center"/>
        </w:trPr>
        <w:tc>
          <w:tcPr>
            <w:tcW w:w="1579" w:type="dxa"/>
            <w:shd w:val="clear" w:color="auto" w:fill="FFFFFF"/>
          </w:tcPr>
          <w:p w14:paraId="559D232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w:t>
            </w:r>
          </w:p>
        </w:tc>
        <w:tc>
          <w:tcPr>
            <w:tcW w:w="1570" w:type="dxa"/>
            <w:shd w:val="clear" w:color="auto" w:fill="FFFFFF"/>
          </w:tcPr>
          <w:p w14:paraId="0859BED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75FB601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19,59</w:t>
            </w:r>
          </w:p>
        </w:tc>
        <w:tc>
          <w:tcPr>
            <w:tcW w:w="1627" w:type="dxa"/>
            <w:shd w:val="clear" w:color="auto" w:fill="FFFFFF"/>
          </w:tcPr>
          <w:p w14:paraId="47A2940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35,05</w:t>
            </w:r>
          </w:p>
        </w:tc>
        <w:tc>
          <w:tcPr>
            <w:tcW w:w="1526" w:type="dxa"/>
            <w:shd w:val="clear" w:color="auto" w:fill="FFFFFF"/>
          </w:tcPr>
          <w:p w14:paraId="431658A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43,3</w:t>
            </w:r>
          </w:p>
        </w:tc>
        <w:tc>
          <w:tcPr>
            <w:tcW w:w="1594" w:type="dxa"/>
            <w:shd w:val="clear" w:color="auto" w:fill="FFFFFF"/>
          </w:tcPr>
          <w:p w14:paraId="4B54567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81,44</w:t>
            </w:r>
          </w:p>
        </w:tc>
      </w:tr>
      <w:tr w:rsidR="00B834A2" w:rsidRPr="009A3F5E" w14:paraId="58E412BA" w14:textId="77777777" w:rsidTr="00B834A2">
        <w:trPr>
          <w:jc w:val="center"/>
        </w:trPr>
        <w:tc>
          <w:tcPr>
            <w:tcW w:w="1579" w:type="dxa"/>
            <w:shd w:val="clear" w:color="auto" w:fill="FFFFFF"/>
          </w:tcPr>
          <w:p w14:paraId="10DCD72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70" w:type="dxa"/>
            <w:shd w:val="clear" w:color="auto" w:fill="FFFFFF"/>
          </w:tcPr>
          <w:p w14:paraId="0336AB2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635051D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42,73</w:t>
            </w:r>
          </w:p>
        </w:tc>
        <w:tc>
          <w:tcPr>
            <w:tcW w:w="1627" w:type="dxa"/>
            <w:shd w:val="clear" w:color="auto" w:fill="FFFFFF"/>
          </w:tcPr>
          <w:p w14:paraId="1B6106D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40</w:t>
            </w:r>
          </w:p>
        </w:tc>
        <w:tc>
          <w:tcPr>
            <w:tcW w:w="1526" w:type="dxa"/>
            <w:shd w:val="clear" w:color="auto" w:fill="FFFFFF"/>
          </w:tcPr>
          <w:p w14:paraId="745147F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80,91</w:t>
            </w:r>
          </w:p>
        </w:tc>
        <w:tc>
          <w:tcPr>
            <w:tcW w:w="1594" w:type="dxa"/>
            <w:shd w:val="clear" w:color="auto" w:fill="FFFFFF"/>
          </w:tcPr>
          <w:p w14:paraId="6D43B0D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66,36</w:t>
            </w:r>
          </w:p>
        </w:tc>
      </w:tr>
      <w:tr w:rsidR="00B834A2" w:rsidRPr="009A3F5E" w14:paraId="650A132F" w14:textId="77777777" w:rsidTr="00B834A2">
        <w:trPr>
          <w:jc w:val="center"/>
        </w:trPr>
        <w:tc>
          <w:tcPr>
            <w:tcW w:w="1579" w:type="dxa"/>
            <w:shd w:val="clear" w:color="auto" w:fill="FFFFFF"/>
          </w:tcPr>
          <w:p w14:paraId="40AF55B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70" w:type="dxa"/>
            <w:shd w:val="clear" w:color="auto" w:fill="FFFFFF"/>
          </w:tcPr>
          <w:p w14:paraId="21774543"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77A8ECA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56,45</w:t>
            </w:r>
          </w:p>
        </w:tc>
        <w:tc>
          <w:tcPr>
            <w:tcW w:w="1627" w:type="dxa"/>
            <w:shd w:val="clear" w:color="auto" w:fill="FFFFFF"/>
          </w:tcPr>
          <w:p w14:paraId="268B062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58,06</w:t>
            </w:r>
          </w:p>
        </w:tc>
        <w:tc>
          <w:tcPr>
            <w:tcW w:w="1526" w:type="dxa"/>
            <w:shd w:val="clear" w:color="auto" w:fill="FFFFFF"/>
          </w:tcPr>
          <w:p w14:paraId="3E76DC7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64,52</w:t>
            </w:r>
          </w:p>
        </w:tc>
        <w:tc>
          <w:tcPr>
            <w:tcW w:w="1594" w:type="dxa"/>
            <w:shd w:val="clear" w:color="auto" w:fill="FFFFFF"/>
          </w:tcPr>
          <w:p w14:paraId="70F43E6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70,97</w:t>
            </w:r>
          </w:p>
        </w:tc>
      </w:tr>
      <w:tr w:rsidR="00B834A2" w:rsidRPr="009A3F5E" w14:paraId="342BD6FC" w14:textId="77777777" w:rsidTr="00B834A2">
        <w:trPr>
          <w:jc w:val="center"/>
        </w:trPr>
        <w:tc>
          <w:tcPr>
            <w:tcW w:w="1579" w:type="dxa"/>
            <w:shd w:val="clear" w:color="auto" w:fill="FFFFFF"/>
          </w:tcPr>
          <w:p w14:paraId="4E8EED55"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w:t>
            </w:r>
          </w:p>
        </w:tc>
        <w:tc>
          <w:tcPr>
            <w:tcW w:w="1570" w:type="dxa"/>
            <w:shd w:val="clear" w:color="auto" w:fill="FFFFFF"/>
          </w:tcPr>
          <w:p w14:paraId="5C33A80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100,00</w:t>
            </w:r>
          </w:p>
        </w:tc>
        <w:tc>
          <w:tcPr>
            <w:tcW w:w="1531" w:type="dxa"/>
            <w:shd w:val="clear" w:color="auto" w:fill="FFFFFF"/>
          </w:tcPr>
          <w:p w14:paraId="44C0E4D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46,38</w:t>
            </w:r>
          </w:p>
        </w:tc>
        <w:tc>
          <w:tcPr>
            <w:tcW w:w="1627" w:type="dxa"/>
            <w:shd w:val="clear" w:color="auto" w:fill="FFFFFF"/>
          </w:tcPr>
          <w:p w14:paraId="3717C19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46,37</w:t>
            </w:r>
          </w:p>
        </w:tc>
        <w:tc>
          <w:tcPr>
            <w:tcW w:w="1526" w:type="dxa"/>
            <w:shd w:val="clear" w:color="auto" w:fill="FFFFFF"/>
          </w:tcPr>
          <w:p w14:paraId="256B255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62,94</w:t>
            </w:r>
          </w:p>
        </w:tc>
        <w:tc>
          <w:tcPr>
            <w:tcW w:w="1594" w:type="dxa"/>
            <w:shd w:val="clear" w:color="auto" w:fill="FFFFFF"/>
          </w:tcPr>
          <w:p w14:paraId="1A8324E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75,06</w:t>
            </w:r>
          </w:p>
        </w:tc>
      </w:tr>
      <w:tr w:rsidR="00B834A2" w:rsidRPr="009A3F5E" w14:paraId="661DB11D" w14:textId="77777777" w:rsidTr="00B834A2">
        <w:trPr>
          <w:jc w:val="center"/>
        </w:trPr>
        <w:tc>
          <w:tcPr>
            <w:tcW w:w="1579" w:type="dxa"/>
            <w:shd w:val="clear" w:color="auto" w:fill="FFFFFF"/>
          </w:tcPr>
          <w:p w14:paraId="10E3614F"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n</w:t>
            </w:r>
          </w:p>
        </w:tc>
        <w:tc>
          <w:tcPr>
            <w:tcW w:w="1570" w:type="dxa"/>
            <w:shd w:val="clear" w:color="auto" w:fill="FFFFFF"/>
          </w:tcPr>
          <w:p w14:paraId="7E18CC6B" w14:textId="77777777" w:rsidR="00B834A2" w:rsidRPr="009A3F5E" w:rsidRDefault="00B834A2" w:rsidP="0081595A">
            <w:pPr>
              <w:spacing w:after="120"/>
              <w:rPr>
                <w:sz w:val="20"/>
                <w:szCs w:val="20"/>
              </w:rPr>
            </w:pPr>
          </w:p>
        </w:tc>
        <w:tc>
          <w:tcPr>
            <w:tcW w:w="1531" w:type="dxa"/>
            <w:shd w:val="clear" w:color="auto" w:fill="FFFFFF"/>
          </w:tcPr>
          <w:p w14:paraId="186711F8"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627" w:type="dxa"/>
            <w:shd w:val="clear" w:color="auto" w:fill="FFFFFF"/>
          </w:tcPr>
          <w:p w14:paraId="45291C8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26" w:type="dxa"/>
            <w:shd w:val="clear" w:color="auto" w:fill="FFFFFF"/>
          </w:tcPr>
          <w:p w14:paraId="553935A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c>
          <w:tcPr>
            <w:tcW w:w="1594" w:type="dxa"/>
            <w:shd w:val="clear" w:color="auto" w:fill="FFFFFF"/>
          </w:tcPr>
          <w:p w14:paraId="0ECCE945"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w:t>
            </w:r>
          </w:p>
        </w:tc>
      </w:tr>
      <w:tr w:rsidR="00B834A2" w:rsidRPr="009A3F5E" w14:paraId="1454A832" w14:textId="77777777" w:rsidTr="00B834A2">
        <w:trPr>
          <w:jc w:val="center"/>
        </w:trPr>
        <w:tc>
          <w:tcPr>
            <w:tcW w:w="1579" w:type="dxa"/>
            <w:shd w:val="clear" w:color="auto" w:fill="FFFFFF"/>
          </w:tcPr>
          <w:p w14:paraId="1C209674"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ƒ</w:t>
            </w:r>
          </w:p>
        </w:tc>
        <w:tc>
          <w:tcPr>
            <w:tcW w:w="1570" w:type="dxa"/>
            <w:shd w:val="clear" w:color="auto" w:fill="FFFFFF"/>
          </w:tcPr>
          <w:p w14:paraId="2938AFB7" w14:textId="77777777" w:rsidR="00B834A2" w:rsidRPr="009A3F5E" w:rsidRDefault="00B834A2" w:rsidP="0081595A">
            <w:pPr>
              <w:spacing w:after="120"/>
              <w:rPr>
                <w:sz w:val="20"/>
                <w:szCs w:val="20"/>
              </w:rPr>
            </w:pPr>
          </w:p>
        </w:tc>
        <w:tc>
          <w:tcPr>
            <w:tcW w:w="1531" w:type="dxa"/>
            <w:shd w:val="clear" w:color="auto" w:fill="FFFFFF"/>
          </w:tcPr>
          <w:p w14:paraId="7EB9D59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627" w:type="dxa"/>
            <w:shd w:val="clear" w:color="auto" w:fill="FFFFFF"/>
          </w:tcPr>
          <w:p w14:paraId="3A4336EE"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26" w:type="dxa"/>
            <w:shd w:val="clear" w:color="auto" w:fill="FFFFFF"/>
          </w:tcPr>
          <w:p w14:paraId="3F9F09B9"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c>
          <w:tcPr>
            <w:tcW w:w="1594" w:type="dxa"/>
            <w:shd w:val="clear" w:color="auto" w:fill="FFFFFF"/>
          </w:tcPr>
          <w:p w14:paraId="5344E010"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8</w:t>
            </w:r>
          </w:p>
        </w:tc>
      </w:tr>
      <w:tr w:rsidR="00B834A2" w:rsidRPr="009A3F5E" w14:paraId="21A0D06A" w14:textId="77777777" w:rsidTr="00B834A2">
        <w:trPr>
          <w:jc w:val="center"/>
        </w:trPr>
        <w:tc>
          <w:tcPr>
            <w:tcW w:w="1579" w:type="dxa"/>
            <w:shd w:val="clear" w:color="auto" w:fill="FFFFFF"/>
          </w:tcPr>
          <w:p w14:paraId="0EC54C9A" w14:textId="77777777" w:rsidR="00B834A2" w:rsidRPr="009A3F5E" w:rsidRDefault="00B834A2" w:rsidP="0081595A">
            <w:pPr>
              <w:spacing w:after="120"/>
              <w:rPr>
                <w:sz w:val="20"/>
                <w:szCs w:val="20"/>
              </w:rPr>
            </w:pPr>
            <w:r w:rsidRPr="009A3F5E">
              <w:rPr>
                <w:sz w:val="20"/>
                <w:szCs w:val="20"/>
              </w:rPr>
              <w:t>s</w:t>
            </w:r>
          </w:p>
        </w:tc>
        <w:tc>
          <w:tcPr>
            <w:tcW w:w="1570" w:type="dxa"/>
            <w:shd w:val="clear" w:color="auto" w:fill="FFFFFF"/>
          </w:tcPr>
          <w:p w14:paraId="42185988" w14:textId="77777777" w:rsidR="00B834A2" w:rsidRPr="009A3F5E" w:rsidRDefault="00B834A2" w:rsidP="0081595A">
            <w:pPr>
              <w:spacing w:after="120"/>
              <w:rPr>
                <w:sz w:val="20"/>
                <w:szCs w:val="20"/>
              </w:rPr>
            </w:pPr>
          </w:p>
        </w:tc>
        <w:tc>
          <w:tcPr>
            <w:tcW w:w="1531" w:type="dxa"/>
            <w:shd w:val="clear" w:color="auto" w:fill="FFFFFF"/>
          </w:tcPr>
          <w:p w14:paraId="3B2F88F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13,628</w:t>
            </w:r>
          </w:p>
        </w:tc>
        <w:tc>
          <w:tcPr>
            <w:tcW w:w="1627" w:type="dxa"/>
            <w:shd w:val="clear" w:color="auto" w:fill="FFFFFF"/>
          </w:tcPr>
          <w:p w14:paraId="29A6BF1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11,99</w:t>
            </w:r>
          </w:p>
        </w:tc>
        <w:tc>
          <w:tcPr>
            <w:tcW w:w="1526" w:type="dxa"/>
            <w:shd w:val="clear" w:color="auto" w:fill="FFFFFF"/>
          </w:tcPr>
          <w:p w14:paraId="7CFE31F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19,192</w:t>
            </w:r>
          </w:p>
        </w:tc>
        <w:tc>
          <w:tcPr>
            <w:tcW w:w="1594" w:type="dxa"/>
            <w:shd w:val="clear" w:color="auto" w:fill="FFFFFF"/>
          </w:tcPr>
          <w:p w14:paraId="3ECEE12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9,431</w:t>
            </w:r>
          </w:p>
        </w:tc>
      </w:tr>
      <w:tr w:rsidR="00B834A2" w:rsidRPr="009A3F5E" w14:paraId="1CF506AE" w14:textId="77777777" w:rsidTr="00B834A2">
        <w:trPr>
          <w:jc w:val="center"/>
        </w:trPr>
        <w:tc>
          <w:tcPr>
            <w:tcW w:w="1579" w:type="dxa"/>
            <w:shd w:val="clear" w:color="auto" w:fill="FFFFFF"/>
          </w:tcPr>
          <w:p w14:paraId="31684947"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t</w:t>
            </w:r>
          </w:p>
        </w:tc>
        <w:tc>
          <w:tcPr>
            <w:tcW w:w="1570" w:type="dxa"/>
            <w:shd w:val="clear" w:color="auto" w:fill="FFFFFF"/>
          </w:tcPr>
          <w:p w14:paraId="08CFE94F" w14:textId="77777777" w:rsidR="00B834A2" w:rsidRPr="009A3F5E" w:rsidRDefault="00B834A2" w:rsidP="0081595A">
            <w:pPr>
              <w:spacing w:after="120"/>
              <w:rPr>
                <w:sz w:val="20"/>
                <w:szCs w:val="20"/>
              </w:rPr>
            </w:pPr>
          </w:p>
        </w:tc>
        <w:tc>
          <w:tcPr>
            <w:tcW w:w="1531" w:type="dxa"/>
            <w:shd w:val="clear" w:color="auto" w:fill="FFFFFF"/>
          </w:tcPr>
          <w:p w14:paraId="2B363E3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627" w:type="dxa"/>
            <w:shd w:val="clear" w:color="auto" w:fill="FFFFFF"/>
          </w:tcPr>
          <w:p w14:paraId="5AFE690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526" w:type="dxa"/>
            <w:shd w:val="clear" w:color="auto" w:fill="FFFFFF"/>
          </w:tcPr>
          <w:p w14:paraId="6D0FF43A"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c>
          <w:tcPr>
            <w:tcW w:w="1594" w:type="dxa"/>
            <w:shd w:val="clear" w:color="auto" w:fill="FFFFFF"/>
          </w:tcPr>
          <w:p w14:paraId="1819483D"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2,306</w:t>
            </w:r>
          </w:p>
        </w:tc>
      </w:tr>
      <w:tr w:rsidR="00B834A2" w:rsidRPr="009A3F5E" w14:paraId="57CEC8EB" w14:textId="77777777" w:rsidTr="00B834A2">
        <w:trPr>
          <w:jc w:val="center"/>
        </w:trPr>
        <w:tc>
          <w:tcPr>
            <w:tcW w:w="1579" w:type="dxa"/>
            <w:tcBorders>
              <w:bottom w:val="single" w:sz="4" w:space="0" w:color="auto"/>
            </w:tcBorders>
            <w:shd w:val="clear" w:color="auto" w:fill="FFFFFF"/>
          </w:tcPr>
          <w:p w14:paraId="7F0E15BA"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2Italic"/>
                <w:i w:val="0"/>
                <w:sz w:val="20"/>
                <w:szCs w:val="20"/>
              </w:rPr>
              <w:t>Δх,р</w:t>
            </w:r>
            <w:r w:rsidRPr="009A3F5E">
              <w:rPr>
                <w:rStyle w:val="Bodytext31Sylfaen9"/>
                <w:i w:val="0"/>
                <w:sz w:val="20"/>
                <w:szCs w:val="20"/>
              </w:rPr>
              <w:t xml:space="preserve"> = 0,05</w:t>
            </w:r>
          </w:p>
        </w:tc>
        <w:tc>
          <w:tcPr>
            <w:tcW w:w="1570" w:type="dxa"/>
            <w:tcBorders>
              <w:bottom w:val="single" w:sz="4" w:space="0" w:color="auto"/>
            </w:tcBorders>
            <w:shd w:val="clear" w:color="auto" w:fill="FFFFFF"/>
          </w:tcPr>
          <w:p w14:paraId="5A647C93" w14:textId="77777777" w:rsidR="00B834A2" w:rsidRPr="009A3F5E" w:rsidRDefault="00B834A2" w:rsidP="0081595A">
            <w:pPr>
              <w:spacing w:after="120"/>
              <w:rPr>
                <w:sz w:val="20"/>
                <w:szCs w:val="20"/>
              </w:rPr>
            </w:pPr>
          </w:p>
        </w:tc>
        <w:tc>
          <w:tcPr>
            <w:tcW w:w="1531" w:type="dxa"/>
            <w:tcBorders>
              <w:bottom w:val="single" w:sz="4" w:space="0" w:color="auto"/>
            </w:tcBorders>
            <w:shd w:val="clear" w:color="auto" w:fill="FFFFFF"/>
          </w:tcPr>
          <w:p w14:paraId="5C0C04E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10,48</w:t>
            </w:r>
          </w:p>
        </w:tc>
        <w:tc>
          <w:tcPr>
            <w:tcW w:w="1627" w:type="dxa"/>
            <w:tcBorders>
              <w:bottom w:val="single" w:sz="4" w:space="0" w:color="auto"/>
            </w:tcBorders>
            <w:shd w:val="clear" w:color="auto" w:fill="FFFFFF"/>
          </w:tcPr>
          <w:p w14:paraId="54258C5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9,22</w:t>
            </w:r>
          </w:p>
        </w:tc>
        <w:tc>
          <w:tcPr>
            <w:tcW w:w="1526" w:type="dxa"/>
            <w:tcBorders>
              <w:bottom w:val="single" w:sz="4" w:space="0" w:color="auto"/>
            </w:tcBorders>
            <w:shd w:val="clear" w:color="auto" w:fill="FFFFFF"/>
          </w:tcPr>
          <w:p w14:paraId="3F854E01"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14,75</w:t>
            </w:r>
          </w:p>
        </w:tc>
        <w:tc>
          <w:tcPr>
            <w:tcW w:w="1594" w:type="dxa"/>
            <w:tcBorders>
              <w:bottom w:val="single" w:sz="4" w:space="0" w:color="auto"/>
            </w:tcBorders>
            <w:shd w:val="clear" w:color="auto" w:fill="FFFFFF"/>
          </w:tcPr>
          <w:p w14:paraId="780E4DE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6,16</w:t>
            </w:r>
          </w:p>
        </w:tc>
      </w:tr>
    </w:tbl>
    <w:p w14:paraId="32FEB5EA" w14:textId="77777777" w:rsidR="00543A2E" w:rsidRDefault="00543A2E" w:rsidP="00B834A2">
      <w:pPr>
        <w:pStyle w:val="Bodytext20"/>
        <w:shd w:val="clear" w:color="auto" w:fill="auto"/>
        <w:spacing w:before="0" w:after="160" w:line="360" w:lineRule="auto"/>
        <w:ind w:firstLine="460"/>
        <w:rPr>
          <w:rStyle w:val="Bodytext31Sylfaen9"/>
          <w:i w:val="0"/>
          <w:sz w:val="24"/>
          <w:szCs w:val="24"/>
        </w:rPr>
      </w:pPr>
    </w:p>
    <w:p w14:paraId="7095A3FA" w14:textId="77777777" w:rsidR="00543A2E" w:rsidRDefault="00543A2E">
      <w:pPr>
        <w:rPr>
          <w:rStyle w:val="Bodytext31Sylfaen9"/>
          <w:i w:val="0"/>
          <w:sz w:val="24"/>
          <w:szCs w:val="24"/>
        </w:rPr>
      </w:pPr>
      <w:r>
        <w:rPr>
          <w:rStyle w:val="Bodytext31Sylfaen9"/>
          <w:i w:val="0"/>
          <w:sz w:val="24"/>
          <w:szCs w:val="24"/>
        </w:rPr>
        <w:br w:type="page"/>
      </w:r>
    </w:p>
    <w:p w14:paraId="37C0A315" w14:textId="77777777" w:rsidR="00B834A2" w:rsidRPr="00C00D13" w:rsidRDefault="00B834A2" w:rsidP="00B834A2">
      <w:pPr>
        <w:spacing w:after="160" w:line="360" w:lineRule="auto"/>
      </w:pPr>
      <w:r w:rsidRPr="009A3F5E">
        <w:rPr>
          <w:rStyle w:val="Headerorfooter3NotItalic"/>
          <w:rFonts w:ascii="Sylfaen" w:eastAsia="Tahoma" w:hAnsi="Sylfaen"/>
          <w:i w:val="0"/>
          <w:sz w:val="24"/>
          <w:szCs w:val="24"/>
        </w:rPr>
        <w:lastRenderedPageBreak/>
        <w:t xml:space="preserve">Աղյուսակ 3.2.7-25. </w:t>
      </w:r>
      <w:r w:rsidRPr="00C00D13">
        <w:rPr>
          <w:rStyle w:val="Headerorfooter3"/>
          <w:rFonts w:ascii="Sylfaen" w:eastAsia="Tahoma" w:hAnsi="Sylfaen"/>
          <w:sz w:val="24"/>
          <w:szCs w:val="24"/>
        </w:rPr>
        <w:t>Երկարաձգված ազդեցության որոշման արդյունքները (%)</w:t>
      </w:r>
    </w:p>
    <w:tbl>
      <w:tblPr>
        <w:tblOverlap w:val="never"/>
        <w:tblW w:w="9422" w:type="dxa"/>
        <w:jc w:val="center"/>
        <w:tblLayout w:type="fixed"/>
        <w:tblCellMar>
          <w:left w:w="10" w:type="dxa"/>
          <w:right w:w="10" w:type="dxa"/>
        </w:tblCellMar>
        <w:tblLook w:val="0000" w:firstRow="0" w:lastRow="0" w:firstColumn="0" w:lastColumn="0" w:noHBand="0" w:noVBand="0"/>
      </w:tblPr>
      <w:tblGrid>
        <w:gridCol w:w="1171"/>
        <w:gridCol w:w="1066"/>
        <w:gridCol w:w="1128"/>
        <w:gridCol w:w="1489"/>
        <w:gridCol w:w="1134"/>
        <w:gridCol w:w="1174"/>
        <w:gridCol w:w="952"/>
        <w:gridCol w:w="1308"/>
      </w:tblGrid>
      <w:tr w:rsidR="00B834A2" w:rsidRPr="009A3F5E" w14:paraId="60FDFD14" w14:textId="77777777" w:rsidTr="00B834A2">
        <w:trPr>
          <w:jc w:val="center"/>
        </w:trPr>
        <w:tc>
          <w:tcPr>
            <w:tcW w:w="1171" w:type="dxa"/>
            <w:tcBorders>
              <w:top w:val="single" w:sz="4" w:space="0" w:color="auto"/>
            </w:tcBorders>
            <w:shd w:val="clear" w:color="auto" w:fill="FFFFFF"/>
          </w:tcPr>
          <w:p w14:paraId="743D40CE" w14:textId="77777777" w:rsidR="00B834A2" w:rsidRPr="009A3F5E" w:rsidRDefault="00B834A2" w:rsidP="0081595A">
            <w:pPr>
              <w:spacing w:after="120"/>
              <w:rPr>
                <w:sz w:val="20"/>
                <w:szCs w:val="20"/>
              </w:rPr>
            </w:pPr>
          </w:p>
        </w:tc>
        <w:tc>
          <w:tcPr>
            <w:tcW w:w="3683" w:type="dxa"/>
            <w:gridSpan w:val="3"/>
            <w:tcBorders>
              <w:top w:val="single" w:sz="4" w:space="0" w:color="auto"/>
            </w:tcBorders>
            <w:shd w:val="clear" w:color="auto" w:fill="FFFFFF"/>
          </w:tcPr>
          <w:p w14:paraId="6CEC196B" w14:textId="77777777" w:rsidR="00B834A2" w:rsidRPr="009A3F5E" w:rsidRDefault="00B834A2" w:rsidP="0081595A">
            <w:pPr>
              <w:pStyle w:val="Bodytext20"/>
              <w:shd w:val="clear" w:color="auto" w:fill="auto"/>
              <w:spacing w:before="0" w:line="240" w:lineRule="auto"/>
              <w:ind w:left="300"/>
              <w:jc w:val="left"/>
              <w:rPr>
                <w:rFonts w:ascii="Sylfaen" w:hAnsi="Sylfaen" w:cs="Sylfaen"/>
                <w:sz w:val="20"/>
                <w:szCs w:val="20"/>
              </w:rPr>
            </w:pPr>
            <w:r w:rsidRPr="009A3F5E">
              <w:rPr>
                <w:rStyle w:val="Bodytext31Sylfaen9"/>
                <w:i w:val="0"/>
                <w:sz w:val="20"/>
                <w:szCs w:val="20"/>
              </w:rPr>
              <w:t>Ստանդարտ նմուշը (</w:t>
            </w:r>
            <w:r w:rsidRPr="009A3F5E">
              <w:rPr>
                <w:rStyle w:val="Bodytext31Sylfaen9"/>
                <w:i w:val="0"/>
                <w:sz w:val="20"/>
                <w:szCs w:val="20"/>
                <w:u w:val="single"/>
              </w:rPr>
              <w:t>S</w:t>
            </w:r>
            <w:r w:rsidRPr="009A3F5E">
              <w:rPr>
                <w:rStyle w:val="Bodytext31Sylfaen9"/>
                <w:i w:val="0"/>
                <w:sz w:val="20"/>
                <w:szCs w:val="20"/>
              </w:rPr>
              <w:t>)</w:t>
            </w:r>
          </w:p>
        </w:tc>
        <w:tc>
          <w:tcPr>
            <w:tcW w:w="1134" w:type="dxa"/>
            <w:tcBorders>
              <w:top w:val="single" w:sz="4" w:space="0" w:color="auto"/>
            </w:tcBorders>
            <w:shd w:val="clear" w:color="auto" w:fill="FFFFFF"/>
          </w:tcPr>
          <w:p w14:paraId="3897FE01" w14:textId="77777777" w:rsidR="00B834A2" w:rsidRPr="009A3F5E" w:rsidRDefault="00B834A2" w:rsidP="0081595A">
            <w:pPr>
              <w:spacing w:after="120"/>
              <w:rPr>
                <w:sz w:val="20"/>
                <w:szCs w:val="20"/>
              </w:rPr>
            </w:pPr>
          </w:p>
        </w:tc>
        <w:tc>
          <w:tcPr>
            <w:tcW w:w="2126" w:type="dxa"/>
            <w:gridSpan w:val="2"/>
            <w:tcBorders>
              <w:top w:val="single" w:sz="4" w:space="0" w:color="auto"/>
            </w:tcBorders>
            <w:shd w:val="clear" w:color="auto" w:fill="FFFFFF"/>
          </w:tcPr>
          <w:p w14:paraId="39F84800" w14:textId="77777777" w:rsidR="00B834A2" w:rsidRPr="009A3F5E" w:rsidRDefault="00B834A2" w:rsidP="0081595A">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Փորձարկվող նմուշը (</w:t>
            </w:r>
            <w:r w:rsidRPr="009A3F5E">
              <w:rPr>
                <w:rStyle w:val="Bodytext31Sylfaen9"/>
                <w:i w:val="0"/>
                <w:sz w:val="20"/>
                <w:szCs w:val="20"/>
                <w:u w:val="single"/>
              </w:rPr>
              <w:t>U</w:t>
            </w:r>
            <w:r w:rsidRPr="009A3F5E">
              <w:rPr>
                <w:rStyle w:val="Bodytext31Sylfaen9"/>
                <w:i w:val="0"/>
                <w:sz w:val="20"/>
                <w:szCs w:val="20"/>
              </w:rPr>
              <w:t>)</w:t>
            </w:r>
          </w:p>
        </w:tc>
        <w:tc>
          <w:tcPr>
            <w:tcW w:w="1308" w:type="dxa"/>
            <w:tcBorders>
              <w:top w:val="single" w:sz="4" w:space="0" w:color="auto"/>
            </w:tcBorders>
            <w:shd w:val="clear" w:color="auto" w:fill="FFFFFF"/>
          </w:tcPr>
          <w:p w14:paraId="04EF0776" w14:textId="77777777" w:rsidR="00B834A2" w:rsidRPr="009A3F5E" w:rsidRDefault="00B834A2" w:rsidP="0081595A">
            <w:pPr>
              <w:spacing w:after="120"/>
              <w:rPr>
                <w:sz w:val="20"/>
                <w:szCs w:val="20"/>
              </w:rPr>
            </w:pPr>
          </w:p>
        </w:tc>
      </w:tr>
      <w:tr w:rsidR="00B834A2" w:rsidRPr="009A3F5E" w14:paraId="255442C4" w14:textId="77777777" w:rsidTr="00B834A2">
        <w:trPr>
          <w:jc w:val="center"/>
        </w:trPr>
        <w:tc>
          <w:tcPr>
            <w:tcW w:w="1171" w:type="dxa"/>
            <w:tcBorders>
              <w:top w:val="single" w:sz="4" w:space="0" w:color="auto"/>
            </w:tcBorders>
            <w:shd w:val="clear" w:color="auto" w:fill="FFFFFF"/>
          </w:tcPr>
          <w:p w14:paraId="0AE2BF7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066" w:type="dxa"/>
            <w:tcBorders>
              <w:top w:val="single" w:sz="4" w:space="0" w:color="auto"/>
            </w:tcBorders>
            <w:shd w:val="clear" w:color="auto" w:fill="FFFFFF"/>
          </w:tcPr>
          <w:p w14:paraId="37D8BC02"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 ժամ</w:t>
            </w:r>
          </w:p>
        </w:tc>
        <w:tc>
          <w:tcPr>
            <w:tcW w:w="1128" w:type="dxa"/>
            <w:tcBorders>
              <w:top w:val="single" w:sz="4" w:space="0" w:color="auto"/>
            </w:tcBorders>
            <w:shd w:val="clear" w:color="auto" w:fill="FFFFFF"/>
          </w:tcPr>
          <w:p w14:paraId="10B168E7"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 ժամ</w:t>
            </w:r>
          </w:p>
        </w:tc>
        <w:tc>
          <w:tcPr>
            <w:tcW w:w="1489" w:type="dxa"/>
            <w:tcBorders>
              <w:top w:val="single" w:sz="4" w:space="0" w:color="auto"/>
            </w:tcBorders>
            <w:shd w:val="clear" w:color="auto" w:fill="FFFFFF"/>
          </w:tcPr>
          <w:p w14:paraId="01122709" w14:textId="77777777" w:rsidR="00B834A2" w:rsidRPr="009A3F5E" w:rsidRDefault="00B834A2" w:rsidP="0081595A">
            <w:pPr>
              <w:pStyle w:val="Bodytext20"/>
              <w:shd w:val="clear" w:color="auto" w:fill="auto"/>
              <w:spacing w:before="0" w:line="240" w:lineRule="auto"/>
              <w:ind w:left="260"/>
              <w:jc w:val="left"/>
              <w:rPr>
                <w:rFonts w:ascii="Sylfaen" w:hAnsi="Sylfaen" w:cs="Sylfaen"/>
                <w:sz w:val="20"/>
                <w:szCs w:val="20"/>
              </w:rPr>
            </w:pPr>
            <w:r w:rsidRPr="009A3F5E">
              <w:rPr>
                <w:rStyle w:val="Bodytext31Sylfaen9"/>
                <w:i w:val="0"/>
                <w:sz w:val="20"/>
                <w:szCs w:val="20"/>
              </w:rPr>
              <w:t>Ստուգիչ կետը՝ 5,84 ժամ</w:t>
            </w:r>
          </w:p>
        </w:tc>
        <w:tc>
          <w:tcPr>
            <w:tcW w:w="1134" w:type="dxa"/>
            <w:tcBorders>
              <w:top w:val="single" w:sz="4" w:space="0" w:color="auto"/>
            </w:tcBorders>
            <w:shd w:val="clear" w:color="auto" w:fill="FFFFFF"/>
          </w:tcPr>
          <w:p w14:paraId="307031D4"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0</w:t>
            </w:r>
          </w:p>
        </w:tc>
        <w:tc>
          <w:tcPr>
            <w:tcW w:w="1174" w:type="dxa"/>
            <w:tcBorders>
              <w:top w:val="single" w:sz="4" w:space="0" w:color="auto"/>
            </w:tcBorders>
            <w:shd w:val="clear" w:color="auto" w:fill="FFFFFF"/>
          </w:tcPr>
          <w:p w14:paraId="5B345646"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4,5</w:t>
            </w:r>
          </w:p>
        </w:tc>
        <w:tc>
          <w:tcPr>
            <w:tcW w:w="952" w:type="dxa"/>
            <w:tcBorders>
              <w:top w:val="single" w:sz="4" w:space="0" w:color="auto"/>
            </w:tcBorders>
            <w:shd w:val="clear" w:color="auto" w:fill="FFFFFF"/>
          </w:tcPr>
          <w:p w14:paraId="01DEB2FB"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 ժամ</w:t>
            </w:r>
          </w:p>
        </w:tc>
        <w:tc>
          <w:tcPr>
            <w:tcW w:w="1308" w:type="dxa"/>
            <w:tcBorders>
              <w:top w:val="single" w:sz="4" w:space="0" w:color="auto"/>
            </w:tcBorders>
            <w:shd w:val="clear" w:color="auto" w:fill="FFFFFF"/>
          </w:tcPr>
          <w:p w14:paraId="5785066C"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Ստուգիչ կետը՝ 5,84 ժամ</w:t>
            </w:r>
          </w:p>
        </w:tc>
      </w:tr>
      <w:tr w:rsidR="00B834A2" w:rsidRPr="009A3F5E" w14:paraId="29BFF1F5" w14:textId="77777777" w:rsidTr="00B834A2">
        <w:trPr>
          <w:jc w:val="center"/>
        </w:trPr>
        <w:tc>
          <w:tcPr>
            <w:tcW w:w="1171" w:type="dxa"/>
            <w:tcBorders>
              <w:top w:val="single" w:sz="4" w:space="0" w:color="auto"/>
            </w:tcBorders>
            <w:shd w:val="clear" w:color="auto" w:fill="FFFFFF"/>
          </w:tcPr>
          <w:p w14:paraId="2C92286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tcBorders>
              <w:top w:val="single" w:sz="4" w:space="0" w:color="auto"/>
            </w:tcBorders>
            <w:shd w:val="clear" w:color="auto" w:fill="FFFFFF"/>
          </w:tcPr>
          <w:p w14:paraId="7E24D10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55,46</w:t>
            </w:r>
          </w:p>
        </w:tc>
        <w:tc>
          <w:tcPr>
            <w:tcW w:w="1128" w:type="dxa"/>
            <w:tcBorders>
              <w:top w:val="single" w:sz="4" w:space="0" w:color="auto"/>
            </w:tcBorders>
            <w:shd w:val="clear" w:color="auto" w:fill="FFFFFF"/>
          </w:tcPr>
          <w:p w14:paraId="6574030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96,64</w:t>
            </w:r>
          </w:p>
        </w:tc>
        <w:tc>
          <w:tcPr>
            <w:tcW w:w="1489" w:type="dxa"/>
            <w:tcBorders>
              <w:top w:val="single" w:sz="4" w:space="0" w:color="auto"/>
            </w:tcBorders>
            <w:shd w:val="clear" w:color="auto" w:fill="FFFFFF"/>
          </w:tcPr>
          <w:p w14:paraId="2EA5561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92,25</w:t>
            </w:r>
          </w:p>
        </w:tc>
        <w:tc>
          <w:tcPr>
            <w:tcW w:w="1134" w:type="dxa"/>
            <w:tcBorders>
              <w:top w:val="single" w:sz="4" w:space="0" w:color="auto"/>
            </w:tcBorders>
            <w:shd w:val="clear" w:color="auto" w:fill="FFFFFF"/>
          </w:tcPr>
          <w:p w14:paraId="17E4D12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tcBorders>
              <w:top w:val="single" w:sz="4" w:space="0" w:color="auto"/>
            </w:tcBorders>
            <w:shd w:val="clear" w:color="auto" w:fill="FFFFFF"/>
          </w:tcPr>
          <w:p w14:paraId="4038975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60,67</w:t>
            </w:r>
          </w:p>
        </w:tc>
        <w:tc>
          <w:tcPr>
            <w:tcW w:w="952" w:type="dxa"/>
            <w:tcBorders>
              <w:top w:val="single" w:sz="4" w:space="0" w:color="auto"/>
            </w:tcBorders>
            <w:shd w:val="clear" w:color="auto" w:fill="FFFFFF"/>
          </w:tcPr>
          <w:p w14:paraId="5613AE9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83,15</w:t>
            </w:r>
          </w:p>
        </w:tc>
        <w:tc>
          <w:tcPr>
            <w:tcW w:w="1308" w:type="dxa"/>
            <w:tcBorders>
              <w:top w:val="single" w:sz="4" w:space="0" w:color="auto"/>
            </w:tcBorders>
            <w:shd w:val="clear" w:color="auto" w:fill="FFFFFF"/>
          </w:tcPr>
          <w:p w14:paraId="4C1DAE9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80,75</w:t>
            </w:r>
          </w:p>
        </w:tc>
      </w:tr>
      <w:tr w:rsidR="00B834A2" w:rsidRPr="009A3F5E" w14:paraId="600CFA1B" w14:textId="77777777" w:rsidTr="00B834A2">
        <w:trPr>
          <w:jc w:val="center"/>
        </w:trPr>
        <w:tc>
          <w:tcPr>
            <w:tcW w:w="1171" w:type="dxa"/>
            <w:shd w:val="clear" w:color="auto" w:fill="FFFFFF"/>
          </w:tcPr>
          <w:p w14:paraId="43B21DB1"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2329F96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89,29</w:t>
            </w:r>
          </w:p>
        </w:tc>
        <w:tc>
          <w:tcPr>
            <w:tcW w:w="1128" w:type="dxa"/>
            <w:shd w:val="clear" w:color="auto" w:fill="FFFFFF"/>
          </w:tcPr>
          <w:p w14:paraId="1C519FB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107,14</w:t>
            </w:r>
          </w:p>
        </w:tc>
        <w:tc>
          <w:tcPr>
            <w:tcW w:w="1489" w:type="dxa"/>
            <w:shd w:val="clear" w:color="auto" w:fill="FFFFFF"/>
          </w:tcPr>
          <w:p w14:paraId="0267F06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105,24</w:t>
            </w:r>
          </w:p>
        </w:tc>
        <w:tc>
          <w:tcPr>
            <w:tcW w:w="1134" w:type="dxa"/>
            <w:shd w:val="clear" w:color="auto" w:fill="FFFFFF"/>
          </w:tcPr>
          <w:p w14:paraId="687EE54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672FB02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42,16</w:t>
            </w:r>
          </w:p>
        </w:tc>
        <w:tc>
          <w:tcPr>
            <w:tcW w:w="952" w:type="dxa"/>
            <w:shd w:val="clear" w:color="auto" w:fill="FFFFFF"/>
          </w:tcPr>
          <w:p w14:paraId="2B86090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66,67</w:t>
            </w:r>
          </w:p>
        </w:tc>
        <w:tc>
          <w:tcPr>
            <w:tcW w:w="1308" w:type="dxa"/>
            <w:shd w:val="clear" w:color="auto" w:fill="FFFFFF"/>
          </w:tcPr>
          <w:p w14:paraId="5015669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64,06</w:t>
            </w:r>
          </w:p>
        </w:tc>
      </w:tr>
      <w:tr w:rsidR="00B834A2" w:rsidRPr="009A3F5E" w14:paraId="566F362F" w14:textId="77777777" w:rsidTr="00B834A2">
        <w:trPr>
          <w:jc w:val="center"/>
        </w:trPr>
        <w:tc>
          <w:tcPr>
            <w:tcW w:w="1171" w:type="dxa"/>
            <w:shd w:val="clear" w:color="auto" w:fill="FFFFFF"/>
          </w:tcPr>
          <w:p w14:paraId="6CE3BC71"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77C124B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64,71</w:t>
            </w:r>
          </w:p>
        </w:tc>
        <w:tc>
          <w:tcPr>
            <w:tcW w:w="1128" w:type="dxa"/>
            <w:shd w:val="clear" w:color="auto" w:fill="FFFFFF"/>
          </w:tcPr>
          <w:p w14:paraId="47A9C55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102,35</w:t>
            </w:r>
          </w:p>
        </w:tc>
        <w:tc>
          <w:tcPr>
            <w:tcW w:w="1489" w:type="dxa"/>
            <w:shd w:val="clear" w:color="auto" w:fill="FFFFFF"/>
          </w:tcPr>
          <w:p w14:paraId="57054EA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98,34</w:t>
            </w:r>
          </w:p>
        </w:tc>
        <w:tc>
          <w:tcPr>
            <w:tcW w:w="1134" w:type="dxa"/>
            <w:shd w:val="clear" w:color="auto" w:fill="FFFFFF"/>
          </w:tcPr>
          <w:p w14:paraId="01A6927E"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6E4EA5F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68,67</w:t>
            </w:r>
          </w:p>
        </w:tc>
        <w:tc>
          <w:tcPr>
            <w:tcW w:w="952" w:type="dxa"/>
            <w:shd w:val="clear" w:color="auto" w:fill="FFFFFF"/>
          </w:tcPr>
          <w:p w14:paraId="5A42E04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86,75</w:t>
            </w:r>
          </w:p>
        </w:tc>
        <w:tc>
          <w:tcPr>
            <w:tcW w:w="1308" w:type="dxa"/>
            <w:shd w:val="clear" w:color="auto" w:fill="FFFFFF"/>
          </w:tcPr>
          <w:p w14:paraId="52A31BD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84,82</w:t>
            </w:r>
          </w:p>
        </w:tc>
      </w:tr>
      <w:tr w:rsidR="00B834A2" w:rsidRPr="009A3F5E" w14:paraId="5BC7DBA8" w14:textId="77777777" w:rsidTr="00B834A2">
        <w:trPr>
          <w:jc w:val="center"/>
        </w:trPr>
        <w:tc>
          <w:tcPr>
            <w:tcW w:w="1171" w:type="dxa"/>
            <w:shd w:val="clear" w:color="auto" w:fill="FFFFFF"/>
          </w:tcPr>
          <w:p w14:paraId="037E7C5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2674281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67,12</w:t>
            </w:r>
          </w:p>
        </w:tc>
        <w:tc>
          <w:tcPr>
            <w:tcW w:w="1128" w:type="dxa"/>
            <w:shd w:val="clear" w:color="auto" w:fill="FFFFFF"/>
          </w:tcPr>
          <w:p w14:paraId="5131B23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110,96</w:t>
            </w:r>
          </w:p>
        </w:tc>
        <w:tc>
          <w:tcPr>
            <w:tcW w:w="1489" w:type="dxa"/>
            <w:shd w:val="clear" w:color="auto" w:fill="FFFFFF"/>
          </w:tcPr>
          <w:p w14:paraId="7A8F085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106,28</w:t>
            </w:r>
          </w:p>
        </w:tc>
        <w:tc>
          <w:tcPr>
            <w:tcW w:w="1134" w:type="dxa"/>
            <w:shd w:val="clear" w:color="auto" w:fill="FFFFFF"/>
          </w:tcPr>
          <w:p w14:paraId="5C3F4D4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0383FFF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41,46</w:t>
            </w:r>
          </w:p>
        </w:tc>
        <w:tc>
          <w:tcPr>
            <w:tcW w:w="952" w:type="dxa"/>
            <w:shd w:val="clear" w:color="auto" w:fill="FFFFFF"/>
          </w:tcPr>
          <w:p w14:paraId="79FEC35F"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74,39</w:t>
            </w:r>
          </w:p>
        </w:tc>
        <w:tc>
          <w:tcPr>
            <w:tcW w:w="1308" w:type="dxa"/>
            <w:shd w:val="clear" w:color="auto" w:fill="FFFFFF"/>
          </w:tcPr>
          <w:p w14:paraId="3D9A194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70,88</w:t>
            </w:r>
          </w:p>
        </w:tc>
      </w:tr>
      <w:tr w:rsidR="00B834A2" w:rsidRPr="009A3F5E" w14:paraId="5FE79CD3" w14:textId="77777777" w:rsidTr="00B834A2">
        <w:trPr>
          <w:jc w:val="center"/>
        </w:trPr>
        <w:tc>
          <w:tcPr>
            <w:tcW w:w="1171" w:type="dxa"/>
            <w:shd w:val="clear" w:color="auto" w:fill="FFFFFF"/>
          </w:tcPr>
          <w:p w14:paraId="1D429E5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1FC12F1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91,21</w:t>
            </w:r>
          </w:p>
        </w:tc>
        <w:tc>
          <w:tcPr>
            <w:tcW w:w="1128" w:type="dxa"/>
            <w:shd w:val="clear" w:color="auto" w:fill="FFFFFF"/>
          </w:tcPr>
          <w:p w14:paraId="5137999C"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104,4</w:t>
            </w:r>
          </w:p>
        </w:tc>
        <w:tc>
          <w:tcPr>
            <w:tcW w:w="1489" w:type="dxa"/>
            <w:shd w:val="clear" w:color="auto" w:fill="FFFFFF"/>
          </w:tcPr>
          <w:p w14:paraId="5D0CC7DE"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102,99</w:t>
            </w:r>
          </w:p>
        </w:tc>
        <w:tc>
          <w:tcPr>
            <w:tcW w:w="1134" w:type="dxa"/>
            <w:shd w:val="clear" w:color="auto" w:fill="FFFFFF"/>
          </w:tcPr>
          <w:p w14:paraId="4E5C737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4BC600E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98,94</w:t>
            </w:r>
          </w:p>
        </w:tc>
        <w:tc>
          <w:tcPr>
            <w:tcW w:w="952" w:type="dxa"/>
            <w:shd w:val="clear" w:color="auto" w:fill="FFFFFF"/>
          </w:tcPr>
          <w:p w14:paraId="061CAC7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36,17</w:t>
            </w:r>
          </w:p>
        </w:tc>
        <w:tc>
          <w:tcPr>
            <w:tcW w:w="1308" w:type="dxa"/>
            <w:shd w:val="clear" w:color="auto" w:fill="FFFFFF"/>
          </w:tcPr>
          <w:p w14:paraId="15119E0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86,59</w:t>
            </w:r>
          </w:p>
        </w:tc>
      </w:tr>
      <w:tr w:rsidR="00B834A2" w:rsidRPr="009A3F5E" w14:paraId="7F7C366B" w14:textId="77777777" w:rsidTr="00B834A2">
        <w:trPr>
          <w:jc w:val="center"/>
        </w:trPr>
        <w:tc>
          <w:tcPr>
            <w:tcW w:w="1171" w:type="dxa"/>
            <w:shd w:val="clear" w:color="auto" w:fill="FFFFFF"/>
          </w:tcPr>
          <w:p w14:paraId="53782C4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4447B9FF"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69,51</w:t>
            </w:r>
          </w:p>
        </w:tc>
        <w:tc>
          <w:tcPr>
            <w:tcW w:w="1128" w:type="dxa"/>
            <w:shd w:val="clear" w:color="auto" w:fill="FFFFFF"/>
          </w:tcPr>
          <w:p w14:paraId="0EB73E7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91,46</w:t>
            </w:r>
          </w:p>
        </w:tc>
        <w:tc>
          <w:tcPr>
            <w:tcW w:w="1489" w:type="dxa"/>
            <w:shd w:val="clear" w:color="auto" w:fill="FFFFFF"/>
          </w:tcPr>
          <w:p w14:paraId="26E2F72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89,12</w:t>
            </w:r>
          </w:p>
        </w:tc>
        <w:tc>
          <w:tcPr>
            <w:tcW w:w="1134" w:type="dxa"/>
            <w:shd w:val="clear" w:color="auto" w:fill="FFFFFF"/>
          </w:tcPr>
          <w:p w14:paraId="6C3049F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139173E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65,82</w:t>
            </w:r>
          </w:p>
        </w:tc>
        <w:tc>
          <w:tcPr>
            <w:tcW w:w="952" w:type="dxa"/>
            <w:shd w:val="clear" w:color="auto" w:fill="FFFFFF"/>
          </w:tcPr>
          <w:p w14:paraId="4E1908C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60,76</w:t>
            </w:r>
          </w:p>
        </w:tc>
        <w:tc>
          <w:tcPr>
            <w:tcW w:w="1308" w:type="dxa"/>
            <w:shd w:val="clear" w:color="auto" w:fill="FFFFFF"/>
          </w:tcPr>
          <w:p w14:paraId="31720D7D"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61,30</w:t>
            </w:r>
          </w:p>
        </w:tc>
      </w:tr>
      <w:tr w:rsidR="00B834A2" w:rsidRPr="009A3F5E" w14:paraId="7DFE8ABE" w14:textId="77777777" w:rsidTr="00B834A2">
        <w:trPr>
          <w:jc w:val="center"/>
        </w:trPr>
        <w:tc>
          <w:tcPr>
            <w:tcW w:w="1171" w:type="dxa"/>
            <w:shd w:val="clear" w:color="auto" w:fill="FFFFFF"/>
          </w:tcPr>
          <w:p w14:paraId="5B40A80C"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5A7BB3E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52,75</w:t>
            </w:r>
          </w:p>
        </w:tc>
        <w:tc>
          <w:tcPr>
            <w:tcW w:w="1128" w:type="dxa"/>
            <w:shd w:val="clear" w:color="auto" w:fill="FFFFFF"/>
          </w:tcPr>
          <w:p w14:paraId="56B1225F"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101,1</w:t>
            </w:r>
          </w:p>
        </w:tc>
        <w:tc>
          <w:tcPr>
            <w:tcW w:w="1489" w:type="dxa"/>
            <w:shd w:val="clear" w:color="auto" w:fill="FFFFFF"/>
          </w:tcPr>
          <w:p w14:paraId="6480699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95,94</w:t>
            </w:r>
          </w:p>
        </w:tc>
        <w:tc>
          <w:tcPr>
            <w:tcW w:w="1134" w:type="dxa"/>
            <w:shd w:val="clear" w:color="auto" w:fill="FFFFFF"/>
          </w:tcPr>
          <w:p w14:paraId="2D604A0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6203FB6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43,3</w:t>
            </w:r>
          </w:p>
        </w:tc>
        <w:tc>
          <w:tcPr>
            <w:tcW w:w="952" w:type="dxa"/>
            <w:shd w:val="clear" w:color="auto" w:fill="FFFFFF"/>
          </w:tcPr>
          <w:p w14:paraId="4DCF8B1C"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81,44</w:t>
            </w:r>
          </w:p>
        </w:tc>
        <w:tc>
          <w:tcPr>
            <w:tcW w:w="1308" w:type="dxa"/>
            <w:shd w:val="clear" w:color="auto" w:fill="FFFFFF"/>
          </w:tcPr>
          <w:p w14:paraId="2E1886F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77,37</w:t>
            </w:r>
          </w:p>
        </w:tc>
      </w:tr>
      <w:tr w:rsidR="00B834A2" w:rsidRPr="009A3F5E" w14:paraId="5D1034F3" w14:textId="77777777" w:rsidTr="00B834A2">
        <w:trPr>
          <w:jc w:val="center"/>
        </w:trPr>
        <w:tc>
          <w:tcPr>
            <w:tcW w:w="1171" w:type="dxa"/>
            <w:shd w:val="clear" w:color="auto" w:fill="FFFFFF"/>
          </w:tcPr>
          <w:p w14:paraId="291D9323"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6EA25FC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68,42</w:t>
            </w:r>
          </w:p>
        </w:tc>
        <w:tc>
          <w:tcPr>
            <w:tcW w:w="1128" w:type="dxa"/>
            <w:shd w:val="clear" w:color="auto" w:fill="FFFFFF"/>
          </w:tcPr>
          <w:p w14:paraId="6641731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116,84</w:t>
            </w:r>
          </w:p>
        </w:tc>
        <w:tc>
          <w:tcPr>
            <w:tcW w:w="1489" w:type="dxa"/>
            <w:shd w:val="clear" w:color="auto" w:fill="FFFFFF"/>
          </w:tcPr>
          <w:p w14:paraId="77E927DF"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111,68</w:t>
            </w:r>
          </w:p>
        </w:tc>
        <w:tc>
          <w:tcPr>
            <w:tcW w:w="1134" w:type="dxa"/>
            <w:shd w:val="clear" w:color="auto" w:fill="FFFFFF"/>
          </w:tcPr>
          <w:p w14:paraId="46AB932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3F38B31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80,91</w:t>
            </w:r>
          </w:p>
        </w:tc>
        <w:tc>
          <w:tcPr>
            <w:tcW w:w="952" w:type="dxa"/>
            <w:shd w:val="clear" w:color="auto" w:fill="FFFFFF"/>
          </w:tcPr>
          <w:p w14:paraId="7D3BE34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66,36</w:t>
            </w:r>
          </w:p>
        </w:tc>
        <w:tc>
          <w:tcPr>
            <w:tcW w:w="1308" w:type="dxa"/>
            <w:shd w:val="clear" w:color="auto" w:fill="FFFFFF"/>
          </w:tcPr>
          <w:p w14:paraId="7D8B1E2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67,91</w:t>
            </w:r>
          </w:p>
        </w:tc>
      </w:tr>
      <w:tr w:rsidR="00B834A2" w:rsidRPr="009A3F5E" w14:paraId="606196D4" w14:textId="77777777" w:rsidTr="00B834A2">
        <w:trPr>
          <w:jc w:val="center"/>
        </w:trPr>
        <w:tc>
          <w:tcPr>
            <w:tcW w:w="1171" w:type="dxa"/>
            <w:shd w:val="clear" w:color="auto" w:fill="FFFFFF"/>
          </w:tcPr>
          <w:p w14:paraId="51CC4171"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066" w:type="dxa"/>
            <w:shd w:val="clear" w:color="auto" w:fill="FFFFFF"/>
          </w:tcPr>
          <w:p w14:paraId="23F76CDC"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69,89</w:t>
            </w:r>
          </w:p>
        </w:tc>
        <w:tc>
          <w:tcPr>
            <w:tcW w:w="1128" w:type="dxa"/>
            <w:shd w:val="clear" w:color="auto" w:fill="FFFFFF"/>
          </w:tcPr>
          <w:p w14:paraId="6618017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102,15</w:t>
            </w:r>
          </w:p>
        </w:tc>
        <w:tc>
          <w:tcPr>
            <w:tcW w:w="1489" w:type="dxa"/>
            <w:shd w:val="clear" w:color="auto" w:fill="FFFFFF"/>
          </w:tcPr>
          <w:p w14:paraId="41FD58B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98,71</w:t>
            </w:r>
          </w:p>
        </w:tc>
        <w:tc>
          <w:tcPr>
            <w:tcW w:w="1134" w:type="dxa"/>
            <w:shd w:val="clear" w:color="auto" w:fill="FFFFFF"/>
          </w:tcPr>
          <w:p w14:paraId="2F417BE9"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100,00</w:t>
            </w:r>
          </w:p>
        </w:tc>
        <w:tc>
          <w:tcPr>
            <w:tcW w:w="1174" w:type="dxa"/>
            <w:shd w:val="clear" w:color="auto" w:fill="FFFFFF"/>
          </w:tcPr>
          <w:p w14:paraId="7E3B772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64,52</w:t>
            </w:r>
          </w:p>
        </w:tc>
        <w:tc>
          <w:tcPr>
            <w:tcW w:w="952" w:type="dxa"/>
            <w:shd w:val="clear" w:color="auto" w:fill="FFFFFF"/>
          </w:tcPr>
          <w:p w14:paraId="4A570762"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70,97</w:t>
            </w:r>
          </w:p>
        </w:tc>
        <w:tc>
          <w:tcPr>
            <w:tcW w:w="1308" w:type="dxa"/>
            <w:shd w:val="clear" w:color="auto" w:fill="FFFFFF"/>
          </w:tcPr>
          <w:p w14:paraId="07C309F4"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31Sylfaen9"/>
                <w:i w:val="0"/>
                <w:sz w:val="20"/>
                <w:szCs w:val="20"/>
              </w:rPr>
              <w:t>70,28</w:t>
            </w:r>
          </w:p>
        </w:tc>
      </w:tr>
      <w:tr w:rsidR="00B834A2" w:rsidRPr="009A3F5E" w14:paraId="32142332" w14:textId="77777777" w:rsidTr="00B834A2">
        <w:trPr>
          <w:jc w:val="center"/>
        </w:trPr>
        <w:tc>
          <w:tcPr>
            <w:tcW w:w="1171" w:type="dxa"/>
            <w:shd w:val="clear" w:color="auto" w:fill="FFFFFF"/>
          </w:tcPr>
          <w:p w14:paraId="1AE41DE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100,00</w:t>
            </w:r>
          </w:p>
        </w:tc>
        <w:tc>
          <w:tcPr>
            <w:tcW w:w="1066" w:type="dxa"/>
            <w:shd w:val="clear" w:color="auto" w:fill="FFFFFF"/>
          </w:tcPr>
          <w:p w14:paraId="3C5C0D6C"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69,82</w:t>
            </w:r>
          </w:p>
        </w:tc>
        <w:tc>
          <w:tcPr>
            <w:tcW w:w="1128" w:type="dxa"/>
            <w:shd w:val="clear" w:color="auto" w:fill="FFFFFF"/>
          </w:tcPr>
          <w:p w14:paraId="327BAE4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103,67</w:t>
            </w:r>
          </w:p>
        </w:tc>
        <w:tc>
          <w:tcPr>
            <w:tcW w:w="1489" w:type="dxa"/>
            <w:shd w:val="clear" w:color="auto" w:fill="FFFFFF"/>
          </w:tcPr>
          <w:p w14:paraId="4DDA46B7"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100,06 ≈ 100,0</w:t>
            </w:r>
          </w:p>
        </w:tc>
        <w:tc>
          <w:tcPr>
            <w:tcW w:w="1134" w:type="dxa"/>
            <w:shd w:val="clear" w:color="auto" w:fill="FFFFFF"/>
          </w:tcPr>
          <w:p w14:paraId="49D7C1A8"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100,00</w:t>
            </w:r>
          </w:p>
        </w:tc>
        <w:tc>
          <w:tcPr>
            <w:tcW w:w="1174" w:type="dxa"/>
            <w:shd w:val="clear" w:color="auto" w:fill="FFFFFF"/>
          </w:tcPr>
          <w:p w14:paraId="752D2870"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62,94</w:t>
            </w:r>
          </w:p>
        </w:tc>
        <w:tc>
          <w:tcPr>
            <w:tcW w:w="952" w:type="dxa"/>
            <w:shd w:val="clear" w:color="auto" w:fill="FFFFFF"/>
          </w:tcPr>
          <w:p w14:paraId="60754BCB"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69,63</w:t>
            </w:r>
          </w:p>
        </w:tc>
        <w:tc>
          <w:tcPr>
            <w:tcW w:w="1308" w:type="dxa"/>
            <w:shd w:val="clear" w:color="auto" w:fill="FFFFFF"/>
          </w:tcPr>
          <w:p w14:paraId="0EE9955F" w14:textId="77777777" w:rsidR="00B834A2" w:rsidRPr="009A3F5E" w:rsidRDefault="00B834A2" w:rsidP="00543A2E">
            <w:pPr>
              <w:pStyle w:val="Bodytext20"/>
              <w:shd w:val="clear" w:color="auto" w:fill="auto"/>
              <w:spacing w:before="0" w:after="60" w:line="240" w:lineRule="auto"/>
              <w:rPr>
                <w:rFonts w:ascii="Sylfaen" w:hAnsi="Sylfaen" w:cs="Sylfaen"/>
                <w:sz w:val="20"/>
                <w:szCs w:val="20"/>
              </w:rPr>
            </w:pPr>
            <w:r w:rsidRPr="009A3F5E">
              <w:rPr>
                <w:rStyle w:val="Bodytext29pt"/>
                <w:sz w:val="20"/>
                <w:szCs w:val="20"/>
              </w:rPr>
              <w:t>73,77</w:t>
            </w:r>
          </w:p>
        </w:tc>
      </w:tr>
      <w:tr w:rsidR="00B834A2" w:rsidRPr="009A3F5E" w14:paraId="4D117241" w14:textId="77777777" w:rsidTr="00B834A2">
        <w:trPr>
          <w:jc w:val="center"/>
        </w:trPr>
        <w:tc>
          <w:tcPr>
            <w:tcW w:w="1171" w:type="dxa"/>
            <w:tcBorders>
              <w:bottom w:val="single" w:sz="4" w:space="0" w:color="auto"/>
            </w:tcBorders>
            <w:shd w:val="clear" w:color="auto" w:fill="FFFFFF"/>
          </w:tcPr>
          <w:p w14:paraId="49970C28" w14:textId="77777777" w:rsidR="00B834A2" w:rsidRPr="009A3F5E" w:rsidRDefault="00B834A2" w:rsidP="0081595A">
            <w:pPr>
              <w:spacing w:after="120"/>
              <w:rPr>
                <w:sz w:val="20"/>
                <w:szCs w:val="20"/>
              </w:rPr>
            </w:pPr>
          </w:p>
        </w:tc>
        <w:tc>
          <w:tcPr>
            <w:tcW w:w="1066" w:type="dxa"/>
            <w:tcBorders>
              <w:bottom w:val="single" w:sz="4" w:space="0" w:color="auto"/>
            </w:tcBorders>
            <w:shd w:val="clear" w:color="auto" w:fill="FFFFFF"/>
          </w:tcPr>
          <w:p w14:paraId="42BA2FF3" w14:textId="77777777" w:rsidR="00B834A2" w:rsidRPr="009A3F5E" w:rsidRDefault="00B834A2" w:rsidP="0081595A">
            <w:pPr>
              <w:spacing w:after="120"/>
              <w:rPr>
                <w:sz w:val="20"/>
                <w:szCs w:val="20"/>
              </w:rPr>
            </w:pPr>
          </w:p>
        </w:tc>
        <w:tc>
          <w:tcPr>
            <w:tcW w:w="1128" w:type="dxa"/>
            <w:tcBorders>
              <w:bottom w:val="single" w:sz="4" w:space="0" w:color="auto"/>
            </w:tcBorders>
            <w:shd w:val="clear" w:color="auto" w:fill="FFFFFF"/>
          </w:tcPr>
          <w:p w14:paraId="7BCE59CF" w14:textId="77777777" w:rsidR="00B834A2" w:rsidRPr="009A3F5E" w:rsidRDefault="00B834A2" w:rsidP="0081595A">
            <w:pPr>
              <w:spacing w:after="120"/>
              <w:rPr>
                <w:sz w:val="20"/>
                <w:szCs w:val="20"/>
              </w:rPr>
            </w:pPr>
          </w:p>
        </w:tc>
        <w:tc>
          <w:tcPr>
            <w:tcW w:w="1489" w:type="dxa"/>
            <w:tcBorders>
              <w:bottom w:val="single" w:sz="4" w:space="0" w:color="auto"/>
            </w:tcBorders>
            <w:shd w:val="clear" w:color="auto" w:fill="FFFFFF"/>
          </w:tcPr>
          <w:p w14:paraId="365866EA" w14:textId="77777777" w:rsidR="00B834A2" w:rsidRPr="009A3F5E" w:rsidRDefault="00B834A2" w:rsidP="0081595A">
            <w:pPr>
              <w:pStyle w:val="Bodytext20"/>
              <w:shd w:val="clear" w:color="auto" w:fill="auto"/>
              <w:spacing w:before="0" w:line="240" w:lineRule="auto"/>
              <w:ind w:left="260"/>
              <w:rPr>
                <w:rFonts w:ascii="Sylfaen" w:hAnsi="Sylfaen" w:cs="Sylfaen"/>
                <w:sz w:val="20"/>
                <w:szCs w:val="20"/>
              </w:rPr>
            </w:pPr>
            <w:r w:rsidRPr="009A3F5E">
              <w:rPr>
                <w:rStyle w:val="Bodytext31Sylfaen9"/>
                <w:i w:val="0"/>
                <w:sz w:val="20"/>
                <w:szCs w:val="20"/>
              </w:rPr>
              <w:t>s</w:t>
            </w:r>
            <w:r w:rsidRPr="009A3F5E">
              <w:rPr>
                <w:rStyle w:val="Bodytext31Sylfaen9"/>
                <w:i w:val="0"/>
                <w:sz w:val="20"/>
                <w:szCs w:val="20"/>
                <w:vertAlign w:val="superscript"/>
              </w:rPr>
              <w:t>2</w:t>
            </w:r>
            <w:r w:rsidRPr="009A3F5E">
              <w:rPr>
                <w:rStyle w:val="Bodytext31Sylfaen9"/>
                <w:i w:val="0"/>
                <w:sz w:val="20"/>
                <w:szCs w:val="20"/>
              </w:rPr>
              <w:t xml:space="preserve"> =51,446</w:t>
            </w:r>
          </w:p>
        </w:tc>
        <w:tc>
          <w:tcPr>
            <w:tcW w:w="1134" w:type="dxa"/>
            <w:tcBorders>
              <w:bottom w:val="single" w:sz="4" w:space="0" w:color="auto"/>
            </w:tcBorders>
            <w:shd w:val="clear" w:color="auto" w:fill="FFFFFF"/>
          </w:tcPr>
          <w:p w14:paraId="7870FDA4" w14:textId="77777777" w:rsidR="00B834A2" w:rsidRPr="009A3F5E" w:rsidRDefault="00B834A2" w:rsidP="0081595A">
            <w:pPr>
              <w:spacing w:after="120"/>
              <w:rPr>
                <w:sz w:val="20"/>
                <w:szCs w:val="20"/>
              </w:rPr>
            </w:pPr>
          </w:p>
        </w:tc>
        <w:tc>
          <w:tcPr>
            <w:tcW w:w="1174" w:type="dxa"/>
            <w:tcBorders>
              <w:bottom w:val="single" w:sz="4" w:space="0" w:color="auto"/>
            </w:tcBorders>
            <w:shd w:val="clear" w:color="auto" w:fill="FFFFFF"/>
          </w:tcPr>
          <w:p w14:paraId="21BF663B" w14:textId="77777777" w:rsidR="00B834A2" w:rsidRPr="009A3F5E" w:rsidRDefault="00B834A2" w:rsidP="0081595A">
            <w:pPr>
              <w:spacing w:after="120"/>
              <w:rPr>
                <w:sz w:val="20"/>
                <w:szCs w:val="20"/>
              </w:rPr>
            </w:pPr>
          </w:p>
        </w:tc>
        <w:tc>
          <w:tcPr>
            <w:tcW w:w="952" w:type="dxa"/>
            <w:tcBorders>
              <w:bottom w:val="single" w:sz="4" w:space="0" w:color="auto"/>
            </w:tcBorders>
            <w:shd w:val="clear" w:color="auto" w:fill="FFFFFF"/>
          </w:tcPr>
          <w:p w14:paraId="46C19D68" w14:textId="77777777" w:rsidR="00B834A2" w:rsidRPr="009A3F5E" w:rsidRDefault="00B834A2" w:rsidP="0081595A">
            <w:pPr>
              <w:spacing w:after="120"/>
              <w:rPr>
                <w:sz w:val="20"/>
                <w:szCs w:val="20"/>
              </w:rPr>
            </w:pPr>
          </w:p>
        </w:tc>
        <w:tc>
          <w:tcPr>
            <w:tcW w:w="1308" w:type="dxa"/>
            <w:tcBorders>
              <w:bottom w:val="single" w:sz="4" w:space="0" w:color="auto"/>
            </w:tcBorders>
            <w:shd w:val="clear" w:color="auto" w:fill="FFFFFF"/>
          </w:tcPr>
          <w:p w14:paraId="0CC06C8F" w14:textId="77777777" w:rsidR="00B834A2" w:rsidRPr="009A3F5E" w:rsidRDefault="00B834A2" w:rsidP="0081595A">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s</w:t>
            </w:r>
            <w:r w:rsidRPr="009A3F5E">
              <w:rPr>
                <w:rStyle w:val="Bodytext31Sylfaen9"/>
                <w:i w:val="0"/>
                <w:sz w:val="20"/>
                <w:szCs w:val="20"/>
                <w:vertAlign w:val="superscript"/>
              </w:rPr>
              <w:t>2</w:t>
            </w:r>
            <w:r w:rsidRPr="009A3F5E">
              <w:rPr>
                <w:rStyle w:val="Bodytext31Sylfaen9"/>
                <w:i w:val="0"/>
                <w:sz w:val="20"/>
                <w:szCs w:val="20"/>
              </w:rPr>
              <w:t xml:space="preserve"> =81,599</w:t>
            </w:r>
          </w:p>
        </w:tc>
      </w:tr>
    </w:tbl>
    <w:p w14:paraId="31590C51" w14:textId="77777777" w:rsidR="00B834A2" w:rsidRPr="009A3F5E" w:rsidRDefault="00B834A2" w:rsidP="00B834A2">
      <w:pPr>
        <w:pStyle w:val="Bodytext20"/>
        <w:shd w:val="clear" w:color="auto" w:fill="auto"/>
        <w:spacing w:before="0" w:after="160" w:line="360" w:lineRule="auto"/>
        <w:ind w:firstLine="460"/>
        <w:rPr>
          <w:rStyle w:val="Bodytext31Sylfaen9"/>
          <w:i w:val="0"/>
          <w:sz w:val="24"/>
          <w:szCs w:val="24"/>
        </w:rPr>
      </w:pPr>
    </w:p>
    <w:p w14:paraId="403A5E0F" w14:textId="77777777" w:rsidR="00B834A2" w:rsidRPr="009A3F5E" w:rsidRDefault="00000000" w:rsidP="00B834A2">
      <w:pPr>
        <w:pStyle w:val="Bodytext20"/>
        <w:shd w:val="clear" w:color="auto" w:fill="auto"/>
        <w:spacing w:before="0" w:after="160" w:line="360" w:lineRule="auto"/>
        <w:ind w:firstLine="460"/>
        <w:rPr>
          <w:rStyle w:val="Bodytext31Sylfaen9"/>
          <w:i w:val="0"/>
          <w:sz w:val="24"/>
          <w:szCs w:val="24"/>
        </w:rPr>
      </w:pPr>
      <w:r>
        <w:rPr>
          <w:rFonts w:ascii="Sylfaen" w:hAnsi="Sylfaen" w:cs="Sylfaen"/>
          <w:noProof/>
          <w:color w:val="auto"/>
          <w:sz w:val="24"/>
          <w:szCs w:val="24"/>
        </w:rPr>
        <w:pict w14:anchorId="51C76DD3">
          <v:group id="_x0000_s1351" style="position:absolute;left:0;text-align:left;margin-left:120.15pt;margin-top:11.35pt;width:169.8pt;height:171.4pt;z-index:251726848" coordorigin="1795,1645" coordsize="3396,3428">
            <v:rect id="_x0000_s1352" style="position:absolute;left:1795;top:1645;width:709;height:3073" stroked="f">
              <v:textbox style="layout-flow:vertical;mso-layout-flow-alt:bottom-to-top">
                <w:txbxContent>
                  <w:p w14:paraId="63BE387D" w14:textId="77777777" w:rsidR="008D6E8B" w:rsidRPr="0075520A" w:rsidRDefault="008D6E8B" w:rsidP="00B834A2">
                    <w:pPr>
                      <w:jc w:val="center"/>
                      <w:rPr>
                        <w:b/>
                        <w:sz w:val="16"/>
                        <w:szCs w:val="16"/>
                      </w:rPr>
                    </w:pPr>
                    <w:r>
                      <w:rPr>
                        <w:b/>
                        <w:sz w:val="16"/>
                      </w:rPr>
                      <w:t xml:space="preserve">Արյան մեջ գլյուկոզի միջին կոնցենտրացիան, % </w:t>
                    </w:r>
                  </w:p>
                </w:txbxContent>
              </v:textbox>
            </v:rect>
            <v:rect id="_x0000_s1353" style="position:absolute;left:3418;top:4654;width:1773;height:419" stroked="f">
              <v:textbox>
                <w:txbxContent>
                  <w:p w14:paraId="2DD27CC0" w14:textId="77777777" w:rsidR="008D6E8B" w:rsidRPr="0081595A" w:rsidRDefault="008D6E8B" w:rsidP="00B834A2">
                    <w:pPr>
                      <w:jc w:val="center"/>
                      <w:rPr>
                        <w:sz w:val="16"/>
                        <w:szCs w:val="20"/>
                      </w:rPr>
                    </w:pPr>
                    <w:r w:rsidRPr="0081595A">
                      <w:rPr>
                        <w:sz w:val="16"/>
                      </w:rPr>
                      <w:t>Ժամանակը, ժ</w:t>
                    </w:r>
                  </w:p>
                </w:txbxContent>
              </v:textbox>
            </v:rect>
          </v:group>
        </w:pict>
      </w:r>
      <w:r w:rsidR="00B834A2" w:rsidRPr="009A3F5E">
        <w:rPr>
          <w:rFonts w:ascii="Sylfaen" w:hAnsi="Sylfaen" w:cs="Sylfaen"/>
          <w:noProof/>
          <w:sz w:val="24"/>
          <w:szCs w:val="24"/>
          <w:lang w:val="en-US" w:eastAsia="en-US" w:bidi="ar-SA"/>
        </w:rPr>
        <w:drawing>
          <wp:inline distT="0" distB="0" distL="0" distR="0" wp14:anchorId="6ACD16A9" wp14:editId="58EB3785">
            <wp:extent cx="2862580" cy="2337435"/>
            <wp:effectExtent l="19050" t="0" r="0" b="0"/>
            <wp:docPr id="249" name="Picture 13"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20"/>
                    <pic:cNvPicPr>
                      <a:picLocks noChangeAspect="1" noChangeArrowheads="1"/>
                    </pic:cNvPicPr>
                  </pic:nvPicPr>
                  <pic:blipFill>
                    <a:blip r:embed="rId97" cstate="print"/>
                    <a:srcRect/>
                    <a:stretch>
                      <a:fillRect/>
                    </a:stretch>
                  </pic:blipFill>
                  <pic:spPr bwMode="auto">
                    <a:xfrm>
                      <a:off x="0" y="0"/>
                      <a:ext cx="2862580" cy="2337435"/>
                    </a:xfrm>
                    <a:prstGeom prst="rect">
                      <a:avLst/>
                    </a:prstGeom>
                    <a:noFill/>
                    <a:ln w="9525">
                      <a:noFill/>
                      <a:miter lim="800000"/>
                      <a:headEnd/>
                      <a:tailEnd/>
                    </a:ln>
                  </pic:spPr>
                </pic:pic>
              </a:graphicData>
            </a:graphic>
          </wp:inline>
        </w:drawing>
      </w:r>
    </w:p>
    <w:p w14:paraId="1A374F1A" w14:textId="77777777" w:rsidR="00B834A2" w:rsidRPr="00C00D13" w:rsidRDefault="00B834A2" w:rsidP="00B834A2">
      <w:pPr>
        <w:pStyle w:val="Picturecaption130"/>
        <w:shd w:val="clear" w:color="auto" w:fill="auto"/>
        <w:spacing w:after="160" w:line="360" w:lineRule="auto"/>
        <w:ind w:firstLine="567"/>
        <w:rPr>
          <w:rFonts w:ascii="Sylfaen" w:hAnsi="Sylfaen" w:cs="Sylfaen"/>
          <w:szCs w:val="24"/>
        </w:rPr>
      </w:pPr>
      <w:r w:rsidRPr="009A3F5E">
        <w:rPr>
          <w:rFonts w:ascii="Sylfaen" w:hAnsi="Sylfaen"/>
          <w:i w:val="0"/>
          <w:szCs w:val="24"/>
        </w:rPr>
        <w:t xml:space="preserve">Նկար 3.2.7-5. </w:t>
      </w:r>
      <w:r w:rsidRPr="00C00D13">
        <w:rPr>
          <w:rFonts w:ascii="Sylfaen" w:hAnsi="Sylfaen"/>
          <w:szCs w:val="24"/>
        </w:rPr>
        <w:t>Ճագարների հիպոգլիկեմիկ կորերը՝ սկզբանական մակարդակի %-ով (երկարաձգված ազդեցության որոշում)</w:t>
      </w:r>
    </w:p>
    <w:p w14:paraId="56E25044" w14:textId="77777777" w:rsidR="00B834A2" w:rsidRPr="00DE4F37"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Դա վկայում է այն մասին, որ ստուգիչ ժամանակում (5,84 ժ) փորձարկվող նմուշ ստացած ճագարների արյան մեջ գլյուկոզի միջին հարաբերական կոնցենտրացիան հավաստիորեն ցածր է եղել ստանդարտ նմուշի լուծույթ ստացած կենդանիների արյան մեջ այդ կոնցենտրացիայից, ինչը վկայում է փորձարկվող նմուշի երկարաձգված ազդեցության առկայության մասին։</w:t>
      </w:r>
    </w:p>
    <w:p w14:paraId="432E26E8"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lastRenderedPageBreak/>
        <w:t>Փորձի արդյունքները գրաֆիկական տեսքով բերված են 3.2.7-5 նկարում։</w:t>
      </w:r>
    </w:p>
    <w:p w14:paraId="5C9762D4" w14:textId="77777777" w:rsidR="00B834A2" w:rsidRPr="009A3F5E" w:rsidRDefault="00B834A2" w:rsidP="0081595A">
      <w:pPr>
        <w:pStyle w:val="Bodytext20"/>
        <w:shd w:val="clear" w:color="auto" w:fill="auto"/>
        <w:spacing w:before="0" w:after="160" w:line="360" w:lineRule="auto"/>
        <w:ind w:firstLine="567"/>
        <w:jc w:val="both"/>
        <w:rPr>
          <w:rStyle w:val="Bodytext31Sylfaen9"/>
          <w:i w:val="0"/>
          <w:sz w:val="24"/>
          <w:szCs w:val="24"/>
        </w:rPr>
      </w:pPr>
      <w:r w:rsidRPr="009A3F5E">
        <w:rPr>
          <w:rStyle w:val="Bodytext29pt"/>
          <w:sz w:val="24"/>
          <w:szCs w:val="24"/>
        </w:rPr>
        <w:t xml:space="preserve">Ծանոթագրություն։ </w:t>
      </w:r>
      <w:r w:rsidRPr="009A3F5E">
        <w:rPr>
          <w:rFonts w:ascii="Sylfaen" w:hAnsi="Sylfaen"/>
          <w:sz w:val="24"/>
          <w:szCs w:val="24"/>
        </w:rPr>
        <w:t xml:space="preserve">Եթե </w:t>
      </w:r>
      <w:r w:rsidRPr="009A3F5E">
        <w:rPr>
          <w:rStyle w:val="Bodytext285pt"/>
          <w:i w:val="0"/>
          <w:spacing w:val="0"/>
          <w:sz w:val="24"/>
          <w:szCs w:val="24"/>
        </w:rPr>
        <w:t>s</w:t>
      </w:r>
      <w:r w:rsidRPr="009A3F5E">
        <w:rPr>
          <w:rStyle w:val="Bodytext31Sylfaen9"/>
          <w:i w:val="0"/>
          <w:sz w:val="24"/>
          <w:szCs w:val="24"/>
          <w:vertAlign w:val="subscript"/>
        </w:rPr>
        <w:t>1</w:t>
      </w:r>
      <w:r w:rsidRPr="009A3F5E">
        <w:rPr>
          <w:rStyle w:val="Bodytext31Sylfaen9"/>
          <w:i w:val="0"/>
          <w:sz w:val="24"/>
          <w:szCs w:val="24"/>
          <w:vertAlign w:val="superscript"/>
        </w:rPr>
        <w:t>2</w:t>
      </w:r>
      <w:r w:rsidRPr="009A3F5E">
        <w:rPr>
          <w:rStyle w:val="Bodytext29pt"/>
          <w:sz w:val="24"/>
          <w:szCs w:val="24"/>
        </w:rPr>
        <w:t xml:space="preserve"> /s</w:t>
      </w:r>
      <w:r w:rsidRPr="009A3F5E">
        <w:rPr>
          <w:rStyle w:val="Bodytext285pt"/>
          <w:i w:val="0"/>
          <w:spacing w:val="0"/>
          <w:sz w:val="24"/>
          <w:szCs w:val="24"/>
          <w:vertAlign w:val="subscript"/>
        </w:rPr>
        <w:t>2</w:t>
      </w:r>
      <w:r w:rsidRPr="009A3F5E">
        <w:rPr>
          <w:rStyle w:val="Bodytext285pt"/>
          <w:i w:val="0"/>
          <w:spacing w:val="0"/>
          <w:sz w:val="24"/>
          <w:szCs w:val="24"/>
          <w:vertAlign w:val="superscript"/>
        </w:rPr>
        <w:t>2</w:t>
      </w:r>
      <w:r w:rsidRPr="009A3F5E">
        <w:rPr>
          <w:rFonts w:ascii="Sylfaen" w:hAnsi="Sylfaen"/>
          <w:sz w:val="24"/>
          <w:szCs w:val="24"/>
        </w:rPr>
        <w:t>-ը գերազանցում է Ֆիշերի չափորոշչի կրիտիկական արժեքը, ապա Ստյուդենտի չափորոշչի դիտարկվող արժեքի հաշվարկման համար հարկավոր է կիրառել հետեւյալ բանաձեւը.</w:t>
      </w:r>
    </w:p>
    <w:p w14:paraId="36B742F9" w14:textId="77777777" w:rsidR="00B834A2" w:rsidRPr="009A3F5E" w:rsidRDefault="00000000" w:rsidP="00B834A2">
      <w:pPr>
        <w:pStyle w:val="Bodytext20"/>
        <w:shd w:val="clear" w:color="auto" w:fill="auto"/>
        <w:spacing w:before="0" w:after="160" w:line="360" w:lineRule="auto"/>
        <w:ind w:firstLine="460"/>
        <w:rPr>
          <w:rStyle w:val="Bodytext31Sylfaen9"/>
          <w:i w:val="0"/>
          <w:sz w:val="24"/>
          <w:szCs w:val="24"/>
        </w:rPr>
      </w:pPr>
      <w:r>
        <w:rPr>
          <w:rFonts w:ascii="Sylfaen" w:eastAsia="Sylfaen" w:hAnsi="Sylfaen" w:cs="Sylfaen"/>
          <w:noProof/>
          <w:sz w:val="24"/>
          <w:szCs w:val="24"/>
        </w:rPr>
        <w:pict w14:anchorId="52BDD955">
          <v:group id="_x0000_s1354" style="position:absolute;left:0;text-align:left;margin-left:147.4pt;margin-top:5.5pt;width:66.65pt;height:52.15pt;z-index:251727872" coordorigin="4384,10531" coordsize="1333,1043">
            <v:rect id="_x0000_s1355" style="position:absolute;left:4965;top:10531;width:752;height:387" stroked="f">
              <v:textbox style="mso-next-textbox:#_x0000_s1355">
                <w:txbxContent>
                  <w:p w14:paraId="08E565F7" w14:textId="77777777" w:rsidR="008D6E8B" w:rsidRPr="00BB05AC" w:rsidRDefault="008D6E8B" w:rsidP="00B834A2">
                    <w:pPr>
                      <w:rPr>
                        <w:sz w:val="12"/>
                      </w:rPr>
                    </w:pPr>
                    <w:r w:rsidRPr="00BB05AC">
                      <w:rPr>
                        <w:i/>
                        <w:sz w:val="8"/>
                      </w:rPr>
                      <w:t>t</w:t>
                    </w:r>
                    <w:r w:rsidRPr="00BB05AC">
                      <w:rPr>
                        <w:sz w:val="16"/>
                        <w:vertAlign w:val="subscript"/>
                      </w:rPr>
                      <w:t>դի</w:t>
                    </w:r>
                    <w:r w:rsidRPr="00BB05AC">
                      <w:rPr>
                        <w:sz w:val="20"/>
                        <w:vertAlign w:val="subscript"/>
                      </w:rPr>
                      <w:t>տ.</w:t>
                    </w:r>
                  </w:p>
                  <w:p w14:paraId="638566B5" w14:textId="77777777" w:rsidR="008D6E8B" w:rsidRDefault="008D6E8B" w:rsidP="00B834A2"/>
                </w:txbxContent>
              </v:textbox>
            </v:rect>
            <v:rect id="_x0000_s1356" style="position:absolute;left:4384;top:11187;width:752;height:387" stroked="f">
              <v:textbox style="mso-next-textbox:#_x0000_s1356">
                <w:txbxContent>
                  <w:p w14:paraId="228D39AD" w14:textId="77777777" w:rsidR="008D6E8B" w:rsidRPr="004412E9" w:rsidRDefault="008D6E8B" w:rsidP="00B834A2">
                    <w:pPr>
                      <w:rPr>
                        <w:sz w:val="16"/>
                      </w:rPr>
                    </w:pPr>
                    <w:r w:rsidRPr="00BB05AC">
                      <w:rPr>
                        <w:sz w:val="16"/>
                      </w:rPr>
                      <w:t>եթե</w:t>
                    </w:r>
                  </w:p>
                </w:txbxContent>
              </v:textbox>
            </v:rect>
          </v:group>
        </w:pict>
      </w:r>
      <w:r w:rsidR="00B834A2" w:rsidRPr="009A3F5E">
        <w:rPr>
          <w:rFonts w:ascii="Sylfaen" w:eastAsia="Sylfaen" w:hAnsi="Sylfaen" w:cs="Sylfaen"/>
          <w:noProof/>
          <w:sz w:val="24"/>
          <w:szCs w:val="24"/>
          <w:shd w:val="clear" w:color="auto" w:fill="FFFFFF"/>
          <w:lang w:val="en-US" w:eastAsia="en-US" w:bidi="ar-SA"/>
        </w:rPr>
        <w:drawing>
          <wp:inline distT="0" distB="0" distL="0" distR="0" wp14:anchorId="584780EC" wp14:editId="4A29BEEB">
            <wp:extent cx="2423160" cy="910657"/>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8" cstate="print"/>
                    <a:srcRect/>
                    <a:stretch>
                      <a:fillRect/>
                    </a:stretch>
                  </pic:blipFill>
                  <pic:spPr bwMode="auto">
                    <a:xfrm>
                      <a:off x="0" y="0"/>
                      <a:ext cx="2424496" cy="911159"/>
                    </a:xfrm>
                    <a:prstGeom prst="rect">
                      <a:avLst/>
                    </a:prstGeom>
                    <a:noFill/>
                    <a:ln w="9525">
                      <a:noFill/>
                      <a:miter lim="800000"/>
                      <a:headEnd/>
                      <a:tailEnd/>
                    </a:ln>
                  </pic:spPr>
                </pic:pic>
              </a:graphicData>
            </a:graphic>
          </wp:inline>
        </w:drawing>
      </w:r>
    </w:p>
    <w:p w14:paraId="2F9109C6"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Fonts w:ascii="Sylfaen" w:hAnsi="Sylfaen"/>
          <w:sz w:val="24"/>
          <w:szCs w:val="24"/>
        </w:rPr>
        <w:t>Հաշվարկված t</w:t>
      </w:r>
      <w:r w:rsidRPr="009A3F5E">
        <w:rPr>
          <w:rStyle w:val="Bodytext31Sylfaen9"/>
          <w:i w:val="0"/>
          <w:sz w:val="24"/>
          <w:szCs w:val="24"/>
          <w:vertAlign w:val="subscript"/>
        </w:rPr>
        <w:t xml:space="preserve">դիտ. </w:t>
      </w:r>
      <w:r w:rsidRPr="009A3F5E">
        <w:rPr>
          <w:rStyle w:val="Bodytext31Sylfaen9"/>
          <w:i w:val="0"/>
          <w:sz w:val="24"/>
          <w:szCs w:val="24"/>
        </w:rPr>
        <w:t>արժեքը համեմատվում է t</w:t>
      </w:r>
      <w:r w:rsidRPr="009A3F5E">
        <w:rPr>
          <w:rFonts w:ascii="Sylfaen" w:hAnsi="Sylfaen"/>
          <w:sz w:val="24"/>
          <w:szCs w:val="24"/>
          <w:vertAlign w:val="subscript"/>
        </w:rPr>
        <w:t>կրիտիկ.</w:t>
      </w:r>
      <w:r w:rsidRPr="009A3F5E">
        <w:rPr>
          <w:rStyle w:val="Bodytext31Sylfaen9"/>
          <w:i w:val="0"/>
          <w:sz w:val="24"/>
          <w:szCs w:val="24"/>
        </w:rPr>
        <w:t xml:space="preserve">-ի հետ՝ վերոնշյալի համաձայն (f ազատության աստիճանների թիվը կլորացվում է մինչեւ ամբողջ թիվը)։ Ստյուդենտի չափորոշչի կրիտիկական արժեքը կարելի է գտնել նաեւ հավելվածներում (հավելվածի 2-րդ աղյուսակ)։ Ավելի մանրամասն տե՛ս «Երկու անկախ ընտրանքների միջին արժեքների համեմատումը» 1.3.1 բաժինը։ </w:t>
      </w:r>
    </w:p>
    <w:p w14:paraId="6A30B70F"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Եթե խմբերում արձագանքների բաշխումը նորմալ չէ, ապա երկու անկախ ընտրանքները համեմատելու համար հարկավոր է կիրառել Ման-Ուիթնիի ոչ պարամետրական չափորոշիչը։ Նորմալության նախնական ստուգումն իրականացվում է 2.3.1 բաժնում նկարագրվածի համաձայն։</w:t>
      </w:r>
    </w:p>
    <w:p w14:paraId="69EBBB40" w14:textId="77777777" w:rsidR="00B834A2" w:rsidRPr="009A3F5E" w:rsidRDefault="00B834A2" w:rsidP="0023645A">
      <w:pPr>
        <w:pStyle w:val="Bodytext20"/>
        <w:shd w:val="clear" w:color="auto" w:fill="auto"/>
        <w:tabs>
          <w:tab w:val="left" w:pos="1276"/>
        </w:tabs>
        <w:spacing w:before="0" w:after="160" w:line="360" w:lineRule="auto"/>
        <w:ind w:firstLine="567"/>
        <w:jc w:val="both"/>
        <w:rPr>
          <w:rFonts w:ascii="Sylfaen" w:hAnsi="Sylfaen" w:cs="Sylfaen"/>
          <w:sz w:val="24"/>
          <w:szCs w:val="24"/>
        </w:rPr>
      </w:pPr>
      <w:r w:rsidRPr="009A3F5E">
        <w:rPr>
          <w:rStyle w:val="Bodytext2Italic"/>
          <w:i w:val="0"/>
          <w:sz w:val="24"/>
          <w:szCs w:val="24"/>
        </w:rPr>
        <w:t>3.2.8</w:t>
      </w:r>
      <w:r w:rsidR="0023645A">
        <w:rPr>
          <w:rStyle w:val="Bodytext2Italic"/>
          <w:i w:val="0"/>
          <w:sz w:val="24"/>
          <w:szCs w:val="24"/>
        </w:rPr>
        <w:tab/>
      </w:r>
      <w:r w:rsidRPr="009A3F5E">
        <w:rPr>
          <w:rStyle w:val="Bodytext2Italic"/>
          <w:i w:val="0"/>
          <w:sz w:val="24"/>
          <w:szCs w:val="24"/>
        </w:rPr>
        <w:t>Անկյունային գործակիցների մոդելը (գրիպի դեմ պատվաստանյութի կենսաբանական ակտիվության օրինակով)</w:t>
      </w:r>
    </w:p>
    <w:p w14:paraId="137B694F"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Գրիպի դեմ երկու պատվաստանյութերում հեմագլյուտինինի հակածինի պարունակությունը որոշվել է շառավղային իմունային դիֆուզիայի մեթոդով։ Երկու պատվաստանյութերի պիտակների վրա նշվել է մեկ դեղաչափի համար 15 մկգ հեմագլյուտինինի ակտիվությունը, որը համապատասխանում է 30 մկգ հեմագլյուտինին/մլ պարունակությանը։ Ստանդարտ նմուշն ունեցել է 30 մկգ հեմագլյուտինին/մլ որոշված ակտիվություն։</w:t>
      </w:r>
    </w:p>
    <w:p w14:paraId="0083B420" w14:textId="77777777" w:rsidR="00B834A2" w:rsidRPr="009A3F5E" w:rsidRDefault="00B834A2" w:rsidP="001A3F5E">
      <w:pPr>
        <w:pStyle w:val="Bodytext20"/>
        <w:shd w:val="clear" w:color="auto" w:fill="auto"/>
        <w:spacing w:before="0" w:after="160" w:line="360" w:lineRule="auto"/>
        <w:ind w:firstLine="567"/>
        <w:jc w:val="both"/>
        <w:rPr>
          <w:rStyle w:val="Bodytext31Sylfaen9"/>
          <w:i w:val="0"/>
          <w:sz w:val="24"/>
          <w:szCs w:val="24"/>
        </w:rPr>
      </w:pPr>
      <w:r w:rsidRPr="009A3F5E">
        <w:rPr>
          <w:rFonts w:ascii="Sylfaen" w:hAnsi="Sylfaen"/>
          <w:sz w:val="24"/>
          <w:szCs w:val="24"/>
        </w:rPr>
        <w:t xml:space="preserve">Ուսումնասիրվել են ստանդարտ նմուշի եւ փորձարկվող պատրաստուկի 4 կոնցետրացիաներ, որոնք հաշվարկվել են՝ ելնելով կենսաբանական ակտիվության ակնկալվող եւ պիտակի վրա նշված արժեքներից. յուրաքանչյուր դեպքում </w:t>
      </w:r>
      <w:r w:rsidRPr="009A3F5E">
        <w:rPr>
          <w:rFonts w:ascii="Sylfaen" w:hAnsi="Sylfaen"/>
          <w:sz w:val="24"/>
          <w:szCs w:val="24"/>
        </w:rPr>
        <w:lastRenderedPageBreak/>
        <w:t>կրկնությունների թիվը հավասար է 2։</w:t>
      </w:r>
      <w:r w:rsidRPr="009A3F5E">
        <w:rPr>
          <w:rStyle w:val="Bodytext31Sylfaen9"/>
          <w:i w:val="0"/>
          <w:sz w:val="24"/>
          <w:szCs w:val="24"/>
        </w:rPr>
        <w:t xml:space="preserve"> Ստուգիչ խումբ չի օգտագործվել։ Ներքին եւ արտաքին ռեագենտների միջեւ հավասարակշռության հաստատումից հետո չափվել է նստվածքի օղակային գոտիների մակերեսը։ Արդյունքները բերված են 3.2.8-26 աղյուսակում։</w:t>
      </w:r>
    </w:p>
    <w:p w14:paraId="57A1DA7C" w14:textId="77777777" w:rsidR="00B834A2" w:rsidRPr="005D2C6D" w:rsidRDefault="00B834A2" w:rsidP="00B834A2">
      <w:pPr>
        <w:pStyle w:val="Tablecaption140"/>
        <w:shd w:val="clear" w:color="auto" w:fill="auto"/>
        <w:spacing w:after="160" w:line="360" w:lineRule="auto"/>
        <w:ind w:firstLine="567"/>
        <w:jc w:val="both"/>
        <w:rPr>
          <w:rFonts w:ascii="Sylfaen" w:hAnsi="Sylfaen" w:cs="Sylfaen"/>
          <w:sz w:val="24"/>
          <w:szCs w:val="24"/>
        </w:rPr>
      </w:pPr>
      <w:r w:rsidRPr="009A3F5E">
        <w:rPr>
          <w:rStyle w:val="Tablecaption14NotItalic"/>
          <w:rFonts w:ascii="Sylfaen" w:eastAsia="Sylfaen" w:hAnsi="Sylfaen"/>
          <w:sz w:val="24"/>
          <w:szCs w:val="24"/>
        </w:rPr>
        <w:t xml:space="preserve">Աղյուսակ 3.2.8-26. </w:t>
      </w:r>
      <w:r w:rsidRPr="005D2C6D">
        <w:rPr>
          <w:rFonts w:ascii="Sylfaen" w:hAnsi="Sylfaen"/>
          <w:sz w:val="24"/>
          <w:szCs w:val="24"/>
        </w:rPr>
        <w:t>Նստվածքի օղակային գոտիների մակերեսը (գրիպի դեմ պատվաստանյութի կենսաբանական ակտիվության որոշումը, անկյունային գործակիցների մոդելը)</w:t>
      </w:r>
    </w:p>
    <w:tbl>
      <w:tblPr>
        <w:tblOverlap w:val="never"/>
        <w:tblW w:w="9533" w:type="dxa"/>
        <w:jc w:val="center"/>
        <w:tblLayout w:type="fixed"/>
        <w:tblCellMar>
          <w:left w:w="10" w:type="dxa"/>
          <w:right w:w="10" w:type="dxa"/>
        </w:tblCellMar>
        <w:tblLook w:val="0000" w:firstRow="0" w:lastRow="0" w:firstColumn="0" w:lastColumn="0" w:noHBand="0" w:noVBand="0"/>
      </w:tblPr>
      <w:tblGrid>
        <w:gridCol w:w="1791"/>
        <w:gridCol w:w="903"/>
        <w:gridCol w:w="1156"/>
        <w:gridCol w:w="941"/>
        <w:gridCol w:w="950"/>
        <w:gridCol w:w="864"/>
        <w:gridCol w:w="1013"/>
        <w:gridCol w:w="941"/>
        <w:gridCol w:w="974"/>
      </w:tblGrid>
      <w:tr w:rsidR="00B834A2" w:rsidRPr="009A3F5E" w14:paraId="355BAC99" w14:textId="77777777" w:rsidTr="00B834A2">
        <w:trPr>
          <w:trHeight w:val="645"/>
          <w:jc w:val="center"/>
        </w:trPr>
        <w:tc>
          <w:tcPr>
            <w:tcW w:w="1791" w:type="dxa"/>
            <w:tcBorders>
              <w:top w:val="single" w:sz="4" w:space="0" w:color="auto"/>
            </w:tcBorders>
            <w:shd w:val="clear" w:color="auto" w:fill="FFFFFF"/>
            <w:vAlign w:val="bottom"/>
          </w:tcPr>
          <w:p w14:paraId="77479CFD" w14:textId="77777777" w:rsidR="00B834A2" w:rsidRPr="009A3F5E" w:rsidRDefault="00B834A2" w:rsidP="001A3F5E">
            <w:pPr>
              <w:pStyle w:val="Bodytext20"/>
              <w:spacing w:before="0" w:line="240" w:lineRule="auto"/>
              <w:rPr>
                <w:rFonts w:ascii="Sylfaen" w:hAnsi="Sylfaen" w:cs="Sylfaen"/>
                <w:sz w:val="20"/>
                <w:szCs w:val="20"/>
              </w:rPr>
            </w:pPr>
          </w:p>
        </w:tc>
        <w:tc>
          <w:tcPr>
            <w:tcW w:w="903" w:type="dxa"/>
            <w:tcBorders>
              <w:top w:val="single" w:sz="4" w:space="0" w:color="auto"/>
              <w:bottom w:val="single" w:sz="4" w:space="0" w:color="auto"/>
            </w:tcBorders>
            <w:shd w:val="clear" w:color="auto" w:fill="FFFFFF"/>
            <w:vAlign w:val="bottom"/>
          </w:tcPr>
          <w:p w14:paraId="115E8854" w14:textId="77777777" w:rsidR="00B834A2" w:rsidRPr="009A3F5E" w:rsidRDefault="00B834A2" w:rsidP="001A3F5E">
            <w:pPr>
              <w:pStyle w:val="Bodytext20"/>
              <w:spacing w:before="0" w:line="240" w:lineRule="auto"/>
              <w:rPr>
                <w:rFonts w:ascii="Sylfaen" w:hAnsi="Sylfaen" w:cs="Sylfaen"/>
                <w:sz w:val="20"/>
                <w:szCs w:val="20"/>
              </w:rPr>
            </w:pPr>
            <w:r w:rsidRPr="009A3F5E">
              <w:rPr>
                <w:rStyle w:val="Bodytext31Sylfaen9"/>
                <w:i w:val="0"/>
                <w:sz w:val="20"/>
                <w:szCs w:val="20"/>
              </w:rPr>
              <w:t>1-</w:t>
            </w:r>
            <w:proofErr w:type="spellStart"/>
            <w:r w:rsidRPr="009A3F5E">
              <w:rPr>
                <w:rStyle w:val="Bodytext31Sylfaen9"/>
                <w:i w:val="0"/>
                <w:sz w:val="20"/>
                <w:szCs w:val="20"/>
                <w:lang w:val="en-GB"/>
              </w:rPr>
              <w:t>ին</w:t>
            </w:r>
            <w:proofErr w:type="spellEnd"/>
            <w:r w:rsidRPr="009A3F5E">
              <w:rPr>
                <w:rStyle w:val="Bodytext31Sylfaen9"/>
                <w:i w:val="0"/>
                <w:sz w:val="20"/>
                <w:szCs w:val="20"/>
              </w:rPr>
              <w:t xml:space="preserve"> խումբ</w:t>
            </w:r>
          </w:p>
        </w:tc>
        <w:tc>
          <w:tcPr>
            <w:tcW w:w="1156" w:type="dxa"/>
            <w:tcBorders>
              <w:top w:val="single" w:sz="4" w:space="0" w:color="auto"/>
              <w:bottom w:val="single" w:sz="4" w:space="0" w:color="auto"/>
            </w:tcBorders>
            <w:shd w:val="clear" w:color="auto" w:fill="FFFFFF"/>
            <w:vAlign w:val="bottom"/>
          </w:tcPr>
          <w:p w14:paraId="72A0C013"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2-րդ խումբ</w:t>
            </w:r>
          </w:p>
        </w:tc>
        <w:tc>
          <w:tcPr>
            <w:tcW w:w="941" w:type="dxa"/>
            <w:tcBorders>
              <w:top w:val="single" w:sz="4" w:space="0" w:color="auto"/>
              <w:bottom w:val="single" w:sz="4" w:space="0" w:color="auto"/>
            </w:tcBorders>
            <w:shd w:val="clear" w:color="auto" w:fill="FFFFFF"/>
            <w:vAlign w:val="bottom"/>
          </w:tcPr>
          <w:p w14:paraId="1BF596A2" w14:textId="77777777" w:rsidR="00B834A2" w:rsidRPr="009A3F5E" w:rsidRDefault="00B834A2" w:rsidP="001A3F5E">
            <w:pPr>
              <w:pStyle w:val="Bodytext20"/>
              <w:spacing w:before="0" w:line="240" w:lineRule="auto"/>
              <w:ind w:left="57"/>
              <w:rPr>
                <w:rFonts w:ascii="Sylfaen" w:hAnsi="Sylfaen" w:cs="Sylfaen"/>
                <w:sz w:val="20"/>
                <w:szCs w:val="20"/>
              </w:rPr>
            </w:pPr>
            <w:r w:rsidRPr="009A3F5E">
              <w:rPr>
                <w:rStyle w:val="Bodytext31Sylfaen9"/>
                <w:i w:val="0"/>
                <w:sz w:val="20"/>
                <w:szCs w:val="20"/>
              </w:rPr>
              <w:t>3-րդ խումբ</w:t>
            </w:r>
          </w:p>
        </w:tc>
        <w:tc>
          <w:tcPr>
            <w:tcW w:w="950" w:type="dxa"/>
            <w:tcBorders>
              <w:top w:val="single" w:sz="4" w:space="0" w:color="auto"/>
              <w:bottom w:val="single" w:sz="4" w:space="0" w:color="auto"/>
            </w:tcBorders>
            <w:shd w:val="clear" w:color="auto" w:fill="FFFFFF"/>
            <w:vAlign w:val="bottom"/>
          </w:tcPr>
          <w:p w14:paraId="37A096E6"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4-րդ խումբ</w:t>
            </w:r>
          </w:p>
        </w:tc>
        <w:tc>
          <w:tcPr>
            <w:tcW w:w="864" w:type="dxa"/>
            <w:tcBorders>
              <w:top w:val="single" w:sz="4" w:space="0" w:color="auto"/>
              <w:bottom w:val="single" w:sz="4" w:space="0" w:color="auto"/>
            </w:tcBorders>
            <w:shd w:val="clear" w:color="auto" w:fill="FFFFFF"/>
            <w:vAlign w:val="bottom"/>
          </w:tcPr>
          <w:p w14:paraId="26C9CB6D" w14:textId="77777777" w:rsidR="00B834A2" w:rsidRPr="009A3F5E" w:rsidRDefault="00B834A2" w:rsidP="001A3F5E">
            <w:pPr>
              <w:pStyle w:val="Bodytext20"/>
              <w:spacing w:before="0" w:line="240" w:lineRule="auto"/>
              <w:ind w:firstLine="9"/>
              <w:rPr>
                <w:rFonts w:ascii="Sylfaen" w:hAnsi="Sylfaen" w:cs="Sylfaen"/>
                <w:sz w:val="20"/>
                <w:szCs w:val="20"/>
              </w:rPr>
            </w:pPr>
            <w:r w:rsidRPr="009A3F5E">
              <w:rPr>
                <w:rStyle w:val="Bodytext31Sylfaen9"/>
                <w:i w:val="0"/>
                <w:sz w:val="20"/>
                <w:szCs w:val="20"/>
              </w:rPr>
              <w:t>5-րդ խումբ</w:t>
            </w:r>
          </w:p>
        </w:tc>
        <w:tc>
          <w:tcPr>
            <w:tcW w:w="1013" w:type="dxa"/>
            <w:tcBorders>
              <w:top w:val="single" w:sz="4" w:space="0" w:color="auto"/>
              <w:bottom w:val="single" w:sz="4" w:space="0" w:color="auto"/>
            </w:tcBorders>
            <w:shd w:val="clear" w:color="auto" w:fill="FFFFFF"/>
            <w:vAlign w:val="bottom"/>
          </w:tcPr>
          <w:p w14:paraId="268DCE38" w14:textId="77777777" w:rsidR="00B834A2" w:rsidRPr="009A3F5E" w:rsidRDefault="00B834A2" w:rsidP="001A3F5E">
            <w:pPr>
              <w:pStyle w:val="Bodytext20"/>
              <w:spacing w:before="0" w:line="240" w:lineRule="auto"/>
              <w:rPr>
                <w:rFonts w:ascii="Sylfaen" w:hAnsi="Sylfaen" w:cs="Sylfaen"/>
                <w:sz w:val="20"/>
                <w:szCs w:val="20"/>
              </w:rPr>
            </w:pPr>
            <w:r w:rsidRPr="009A3F5E">
              <w:rPr>
                <w:rStyle w:val="Bodytext31Sylfaen9"/>
                <w:i w:val="0"/>
                <w:sz w:val="20"/>
                <w:szCs w:val="20"/>
              </w:rPr>
              <w:t>6-րդ խումբ</w:t>
            </w:r>
          </w:p>
        </w:tc>
        <w:tc>
          <w:tcPr>
            <w:tcW w:w="941" w:type="dxa"/>
            <w:tcBorders>
              <w:top w:val="single" w:sz="4" w:space="0" w:color="auto"/>
              <w:bottom w:val="single" w:sz="4" w:space="0" w:color="auto"/>
            </w:tcBorders>
            <w:shd w:val="clear" w:color="auto" w:fill="FFFFFF"/>
            <w:vAlign w:val="bottom"/>
          </w:tcPr>
          <w:p w14:paraId="292D07F9" w14:textId="77777777" w:rsidR="00B834A2" w:rsidRPr="009A3F5E" w:rsidRDefault="00B834A2" w:rsidP="001A3F5E">
            <w:pPr>
              <w:pStyle w:val="Bodytext20"/>
              <w:spacing w:before="0" w:line="240" w:lineRule="auto"/>
              <w:rPr>
                <w:rFonts w:ascii="Sylfaen" w:hAnsi="Sylfaen" w:cs="Sylfaen"/>
                <w:sz w:val="20"/>
                <w:szCs w:val="20"/>
              </w:rPr>
            </w:pPr>
            <w:r w:rsidRPr="009A3F5E">
              <w:rPr>
                <w:rStyle w:val="Bodytext31Sylfaen9"/>
                <w:i w:val="0"/>
                <w:sz w:val="20"/>
                <w:szCs w:val="20"/>
              </w:rPr>
              <w:t>7-րդ խումբ</w:t>
            </w:r>
          </w:p>
        </w:tc>
        <w:tc>
          <w:tcPr>
            <w:tcW w:w="974" w:type="dxa"/>
            <w:tcBorders>
              <w:top w:val="single" w:sz="4" w:space="0" w:color="auto"/>
              <w:bottom w:val="single" w:sz="4" w:space="0" w:color="auto"/>
            </w:tcBorders>
            <w:shd w:val="clear" w:color="auto" w:fill="FFFFFF"/>
            <w:vAlign w:val="bottom"/>
          </w:tcPr>
          <w:p w14:paraId="3F9795D4" w14:textId="77777777" w:rsidR="00B834A2" w:rsidRPr="009A3F5E" w:rsidRDefault="00B834A2" w:rsidP="001A3F5E">
            <w:pPr>
              <w:pStyle w:val="Bodytext20"/>
              <w:spacing w:before="0" w:line="240" w:lineRule="auto"/>
              <w:rPr>
                <w:rFonts w:ascii="Sylfaen" w:hAnsi="Sylfaen" w:cs="Sylfaen"/>
                <w:sz w:val="20"/>
                <w:szCs w:val="20"/>
              </w:rPr>
            </w:pPr>
            <w:r w:rsidRPr="009A3F5E">
              <w:rPr>
                <w:rStyle w:val="Bodytext31Sylfaen9"/>
                <w:i w:val="0"/>
                <w:sz w:val="20"/>
                <w:szCs w:val="20"/>
              </w:rPr>
              <w:t>8-րդ խումբ</w:t>
            </w:r>
          </w:p>
        </w:tc>
      </w:tr>
      <w:tr w:rsidR="00B834A2" w:rsidRPr="009A3F5E" w14:paraId="36D43C77" w14:textId="77777777" w:rsidTr="00B834A2">
        <w:trPr>
          <w:trHeight w:val="763"/>
          <w:jc w:val="center"/>
        </w:trPr>
        <w:tc>
          <w:tcPr>
            <w:tcW w:w="1791" w:type="dxa"/>
            <w:tcBorders>
              <w:bottom w:val="single" w:sz="4" w:space="0" w:color="auto"/>
            </w:tcBorders>
            <w:shd w:val="clear" w:color="auto" w:fill="FFFFFF"/>
            <w:vAlign w:val="bottom"/>
          </w:tcPr>
          <w:p w14:paraId="18F94778" w14:textId="77777777" w:rsidR="00B834A2" w:rsidRPr="009A3F5E" w:rsidRDefault="00B834A2" w:rsidP="001A3F5E">
            <w:pPr>
              <w:pStyle w:val="Bodytext20"/>
              <w:shd w:val="clear" w:color="auto" w:fill="auto"/>
              <w:spacing w:before="0" w:line="240" w:lineRule="auto"/>
              <w:jc w:val="right"/>
              <w:rPr>
                <w:rFonts w:ascii="Sylfaen" w:hAnsi="Sylfaen" w:cs="Sylfaen"/>
                <w:sz w:val="20"/>
                <w:szCs w:val="20"/>
              </w:rPr>
            </w:pPr>
          </w:p>
          <w:p w14:paraId="2E3790ED" w14:textId="77777777" w:rsidR="00B834A2" w:rsidRPr="009A3F5E" w:rsidRDefault="00B834A2" w:rsidP="001A3F5E">
            <w:pPr>
              <w:pStyle w:val="Bodytext20"/>
              <w:shd w:val="clear" w:color="auto" w:fill="auto"/>
              <w:spacing w:before="0" w:line="240" w:lineRule="auto"/>
              <w:ind w:right="340"/>
              <w:jc w:val="right"/>
              <w:rPr>
                <w:rStyle w:val="Bodytext31Sylfaen9"/>
                <w:i w:val="0"/>
                <w:sz w:val="20"/>
                <w:szCs w:val="20"/>
              </w:rPr>
            </w:pPr>
          </w:p>
        </w:tc>
        <w:tc>
          <w:tcPr>
            <w:tcW w:w="903" w:type="dxa"/>
            <w:tcBorders>
              <w:top w:val="single" w:sz="4" w:space="0" w:color="auto"/>
              <w:left w:val="nil"/>
              <w:bottom w:val="single" w:sz="4" w:space="0" w:color="auto"/>
            </w:tcBorders>
            <w:shd w:val="clear" w:color="auto" w:fill="FFFFFF"/>
          </w:tcPr>
          <w:p w14:paraId="24BF8EC5" w14:textId="77777777" w:rsidR="00B834A2" w:rsidRPr="009A3F5E" w:rsidRDefault="00B834A2" w:rsidP="001A3F5E">
            <w:pPr>
              <w:pStyle w:val="Bodytext20"/>
              <w:shd w:val="clear" w:color="auto" w:fill="auto"/>
              <w:spacing w:before="0" w:line="240" w:lineRule="auto"/>
              <w:ind w:right="340"/>
              <w:rPr>
                <w:rStyle w:val="Bodytext31Sylfaen9"/>
                <w:i w:val="0"/>
                <w:sz w:val="20"/>
                <w:szCs w:val="20"/>
              </w:rPr>
            </w:pPr>
            <w:r w:rsidRPr="009A3F5E">
              <w:rPr>
                <w:rStyle w:val="Bodytext31Sylfaen9"/>
                <w:i w:val="0"/>
                <w:sz w:val="20"/>
                <w:szCs w:val="20"/>
              </w:rPr>
              <w:t>s</w:t>
            </w:r>
            <w:r w:rsidRPr="009A3F5E">
              <w:rPr>
                <w:rStyle w:val="Bodytext31Sylfaen9"/>
                <w:i w:val="0"/>
                <w:sz w:val="20"/>
                <w:szCs w:val="20"/>
                <w:vertAlign w:val="subscript"/>
              </w:rPr>
              <w:t>1</w:t>
            </w:r>
          </w:p>
        </w:tc>
        <w:tc>
          <w:tcPr>
            <w:tcW w:w="1156" w:type="dxa"/>
            <w:tcBorders>
              <w:top w:val="single" w:sz="4" w:space="0" w:color="auto"/>
              <w:bottom w:val="single" w:sz="4" w:space="0" w:color="auto"/>
            </w:tcBorders>
            <w:shd w:val="clear" w:color="auto" w:fill="FFFFFF"/>
          </w:tcPr>
          <w:p w14:paraId="63D4D7A8" w14:textId="77777777" w:rsidR="00B834A2" w:rsidRPr="009A3F5E" w:rsidRDefault="00B834A2" w:rsidP="001A3F5E">
            <w:pPr>
              <w:pStyle w:val="Bodytext20"/>
              <w:spacing w:before="0" w:line="240" w:lineRule="auto"/>
              <w:ind w:hanging="1038"/>
              <w:rPr>
                <w:rStyle w:val="Bodytext31Sylfaen9"/>
                <w:i w:val="0"/>
                <w:sz w:val="20"/>
                <w:szCs w:val="20"/>
              </w:rPr>
            </w:pPr>
            <w:r w:rsidRPr="009A3F5E">
              <w:rPr>
                <w:rStyle w:val="Bodytext31Sylfaen9"/>
                <w:i w:val="0"/>
                <w:sz w:val="20"/>
                <w:szCs w:val="20"/>
              </w:rPr>
              <w:t>s</w:t>
            </w:r>
            <w:r w:rsidRPr="009A3F5E">
              <w:rPr>
                <w:rStyle w:val="Bodytext31Sylfaen9"/>
                <w:i w:val="0"/>
                <w:sz w:val="20"/>
                <w:szCs w:val="20"/>
                <w:vertAlign w:val="subscript"/>
              </w:rPr>
              <w:t>2</w:t>
            </w:r>
          </w:p>
        </w:tc>
        <w:tc>
          <w:tcPr>
            <w:tcW w:w="941" w:type="dxa"/>
            <w:tcBorders>
              <w:top w:val="single" w:sz="4" w:space="0" w:color="auto"/>
              <w:bottom w:val="single" w:sz="4" w:space="0" w:color="auto"/>
            </w:tcBorders>
            <w:shd w:val="clear" w:color="auto" w:fill="FFFFFF"/>
          </w:tcPr>
          <w:p w14:paraId="77623BCB"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s</w:t>
            </w:r>
            <w:r w:rsidRPr="009A3F5E">
              <w:rPr>
                <w:rStyle w:val="Bodytext31Sylfaen9"/>
                <w:i w:val="0"/>
                <w:sz w:val="20"/>
                <w:szCs w:val="20"/>
                <w:vertAlign w:val="subscript"/>
              </w:rPr>
              <w:t>3</w:t>
            </w:r>
          </w:p>
        </w:tc>
        <w:tc>
          <w:tcPr>
            <w:tcW w:w="950" w:type="dxa"/>
            <w:tcBorders>
              <w:top w:val="single" w:sz="4" w:space="0" w:color="auto"/>
              <w:bottom w:val="single" w:sz="4" w:space="0" w:color="auto"/>
            </w:tcBorders>
            <w:shd w:val="clear" w:color="auto" w:fill="FFFFFF"/>
          </w:tcPr>
          <w:p w14:paraId="0E9CCCF1" w14:textId="77777777" w:rsidR="00B834A2" w:rsidRPr="009A3F5E" w:rsidRDefault="00B834A2" w:rsidP="001A3F5E">
            <w:pPr>
              <w:pStyle w:val="Bodytext20"/>
              <w:spacing w:before="0" w:line="240" w:lineRule="auto"/>
              <w:rPr>
                <w:rStyle w:val="Bodytext31Sylfaen9"/>
                <w:i w:val="0"/>
                <w:sz w:val="20"/>
                <w:szCs w:val="20"/>
              </w:rPr>
            </w:pPr>
            <w:r w:rsidRPr="009A3F5E">
              <w:rPr>
                <w:rStyle w:val="Bodytext31Sylfaen9"/>
                <w:i w:val="0"/>
                <w:sz w:val="20"/>
                <w:szCs w:val="20"/>
              </w:rPr>
              <w:t>s</w:t>
            </w:r>
            <w:r w:rsidRPr="009A3F5E">
              <w:rPr>
                <w:rStyle w:val="Bodytext31Sylfaen9"/>
                <w:i w:val="0"/>
                <w:sz w:val="20"/>
                <w:szCs w:val="20"/>
                <w:vertAlign w:val="subscript"/>
              </w:rPr>
              <w:t>4</w:t>
            </w:r>
          </w:p>
        </w:tc>
        <w:tc>
          <w:tcPr>
            <w:tcW w:w="864" w:type="dxa"/>
            <w:tcBorders>
              <w:top w:val="single" w:sz="4" w:space="0" w:color="auto"/>
              <w:bottom w:val="single" w:sz="4" w:space="0" w:color="auto"/>
            </w:tcBorders>
            <w:shd w:val="clear" w:color="auto" w:fill="FFFFFF"/>
          </w:tcPr>
          <w:p w14:paraId="306EE622" w14:textId="77777777" w:rsidR="00B834A2" w:rsidRPr="009A3F5E" w:rsidRDefault="00B834A2" w:rsidP="001A3F5E">
            <w:pPr>
              <w:pStyle w:val="Bodytext20"/>
              <w:spacing w:before="0" w:line="240" w:lineRule="auto"/>
              <w:ind w:left="9"/>
              <w:rPr>
                <w:rStyle w:val="Bodytext31Sylfaen9"/>
                <w:i w:val="0"/>
                <w:sz w:val="20"/>
                <w:szCs w:val="20"/>
              </w:rPr>
            </w:pPr>
            <w:r w:rsidRPr="009A3F5E">
              <w:rPr>
                <w:rStyle w:val="Bodytext31Sylfaen9"/>
                <w:i w:val="0"/>
                <w:sz w:val="20"/>
                <w:szCs w:val="20"/>
              </w:rPr>
              <w:t>u</w:t>
            </w:r>
            <w:r w:rsidRPr="009A3F5E">
              <w:rPr>
                <w:rStyle w:val="Bodytext31Sylfaen9"/>
                <w:i w:val="0"/>
                <w:sz w:val="20"/>
                <w:szCs w:val="20"/>
                <w:vertAlign w:val="subscript"/>
              </w:rPr>
              <w:t>1</w:t>
            </w:r>
          </w:p>
        </w:tc>
        <w:tc>
          <w:tcPr>
            <w:tcW w:w="1013" w:type="dxa"/>
            <w:tcBorders>
              <w:top w:val="single" w:sz="4" w:space="0" w:color="auto"/>
              <w:bottom w:val="single" w:sz="4" w:space="0" w:color="auto"/>
            </w:tcBorders>
            <w:shd w:val="clear" w:color="auto" w:fill="FFFFFF"/>
          </w:tcPr>
          <w:p w14:paraId="297F831D" w14:textId="77777777" w:rsidR="00B834A2" w:rsidRPr="009A3F5E" w:rsidRDefault="00B834A2" w:rsidP="001A3F5E">
            <w:pPr>
              <w:pStyle w:val="Bodytext20"/>
              <w:spacing w:before="0" w:line="240" w:lineRule="auto"/>
              <w:rPr>
                <w:rStyle w:val="Bodytext31Sylfaen9"/>
                <w:i w:val="0"/>
                <w:sz w:val="20"/>
                <w:szCs w:val="20"/>
              </w:rPr>
            </w:pPr>
            <w:r w:rsidRPr="009A3F5E">
              <w:rPr>
                <w:rStyle w:val="Bodytext2Italic"/>
                <w:i w:val="0"/>
                <w:sz w:val="20"/>
                <w:szCs w:val="20"/>
              </w:rPr>
              <w:t>u</w:t>
            </w:r>
            <w:r w:rsidRPr="009A3F5E">
              <w:rPr>
                <w:rStyle w:val="Bodytext2Italic"/>
                <w:i w:val="0"/>
                <w:sz w:val="20"/>
                <w:szCs w:val="20"/>
                <w:vertAlign w:val="subscript"/>
              </w:rPr>
              <w:t>2</w:t>
            </w:r>
          </w:p>
        </w:tc>
        <w:tc>
          <w:tcPr>
            <w:tcW w:w="941" w:type="dxa"/>
            <w:tcBorders>
              <w:top w:val="single" w:sz="4" w:space="0" w:color="auto"/>
              <w:bottom w:val="single" w:sz="4" w:space="0" w:color="auto"/>
            </w:tcBorders>
            <w:shd w:val="clear" w:color="auto" w:fill="FFFFFF"/>
          </w:tcPr>
          <w:p w14:paraId="1BD5C46E" w14:textId="77777777" w:rsidR="00B834A2" w:rsidRPr="009A3F5E" w:rsidRDefault="00B834A2" w:rsidP="001A3F5E">
            <w:pPr>
              <w:pStyle w:val="Bodytext20"/>
              <w:spacing w:before="0" w:line="240" w:lineRule="auto"/>
              <w:ind w:left="-26"/>
              <w:rPr>
                <w:rStyle w:val="Bodytext31Sylfaen9"/>
                <w:i w:val="0"/>
                <w:sz w:val="20"/>
                <w:szCs w:val="20"/>
              </w:rPr>
            </w:pPr>
            <w:r w:rsidRPr="009A3F5E">
              <w:rPr>
                <w:rStyle w:val="Bodytext2Italic"/>
                <w:i w:val="0"/>
                <w:sz w:val="20"/>
                <w:szCs w:val="20"/>
              </w:rPr>
              <w:t>u</w:t>
            </w:r>
            <w:r w:rsidRPr="009A3F5E">
              <w:rPr>
                <w:rStyle w:val="Bodytext2Italic"/>
                <w:i w:val="0"/>
                <w:sz w:val="20"/>
                <w:szCs w:val="20"/>
                <w:vertAlign w:val="subscript"/>
              </w:rPr>
              <w:t>3</w:t>
            </w:r>
          </w:p>
        </w:tc>
        <w:tc>
          <w:tcPr>
            <w:tcW w:w="974" w:type="dxa"/>
            <w:tcBorders>
              <w:top w:val="single" w:sz="4" w:space="0" w:color="auto"/>
              <w:bottom w:val="single" w:sz="4" w:space="0" w:color="auto"/>
            </w:tcBorders>
            <w:shd w:val="clear" w:color="auto" w:fill="FFFFFF"/>
          </w:tcPr>
          <w:p w14:paraId="72DD8214" w14:textId="77777777" w:rsidR="00B834A2" w:rsidRPr="009A3F5E" w:rsidRDefault="00B834A2" w:rsidP="001A3F5E">
            <w:pPr>
              <w:pStyle w:val="Bodytext20"/>
              <w:spacing w:before="0" w:line="240" w:lineRule="auto"/>
              <w:rPr>
                <w:rStyle w:val="Bodytext31Sylfaen9"/>
                <w:i w:val="0"/>
                <w:sz w:val="20"/>
                <w:szCs w:val="20"/>
              </w:rPr>
            </w:pPr>
            <w:r w:rsidRPr="009A3F5E">
              <w:rPr>
                <w:rStyle w:val="Bodytext31Sylfaen9"/>
                <w:i w:val="0"/>
                <w:sz w:val="20"/>
                <w:szCs w:val="20"/>
              </w:rPr>
              <w:t>u</w:t>
            </w:r>
            <w:r w:rsidRPr="009A3F5E">
              <w:rPr>
                <w:rStyle w:val="Bodytext31Sylfaen9"/>
                <w:i w:val="0"/>
                <w:sz w:val="20"/>
                <w:szCs w:val="20"/>
                <w:vertAlign w:val="subscript"/>
              </w:rPr>
              <w:t>4</w:t>
            </w:r>
          </w:p>
        </w:tc>
      </w:tr>
      <w:tr w:rsidR="00B834A2" w:rsidRPr="009A3F5E" w14:paraId="5A8B306C" w14:textId="77777777" w:rsidTr="00B834A2">
        <w:trPr>
          <w:jc w:val="center"/>
        </w:trPr>
        <w:tc>
          <w:tcPr>
            <w:tcW w:w="1791" w:type="dxa"/>
            <w:tcBorders>
              <w:top w:val="single" w:sz="4" w:space="0" w:color="auto"/>
            </w:tcBorders>
            <w:shd w:val="clear" w:color="auto" w:fill="FFFFFF"/>
          </w:tcPr>
          <w:p w14:paraId="07207D2C" w14:textId="77777777" w:rsidR="00B834A2" w:rsidRPr="009A3F5E" w:rsidRDefault="00B834A2" w:rsidP="001A3F5E">
            <w:pPr>
              <w:spacing w:after="120"/>
              <w:rPr>
                <w:sz w:val="20"/>
                <w:szCs w:val="20"/>
              </w:rPr>
            </w:pPr>
            <w:r w:rsidRPr="009A3F5E">
              <w:rPr>
                <w:sz w:val="20"/>
                <w:szCs w:val="20"/>
              </w:rPr>
              <w:t>y</w:t>
            </w:r>
          </w:p>
        </w:tc>
        <w:tc>
          <w:tcPr>
            <w:tcW w:w="903" w:type="dxa"/>
            <w:tcBorders>
              <w:top w:val="single" w:sz="4" w:space="0" w:color="auto"/>
            </w:tcBorders>
            <w:shd w:val="clear" w:color="auto" w:fill="FFFFFF"/>
            <w:vAlign w:val="center"/>
          </w:tcPr>
          <w:p w14:paraId="046EAF98" w14:textId="77777777" w:rsidR="00B834A2" w:rsidRPr="009A3F5E" w:rsidRDefault="00B834A2" w:rsidP="001A3F5E">
            <w:pPr>
              <w:pStyle w:val="Bodytext20"/>
              <w:shd w:val="clear" w:color="auto" w:fill="auto"/>
              <w:spacing w:before="0" w:line="240" w:lineRule="auto"/>
              <w:ind w:left="-154"/>
              <w:rPr>
                <w:rFonts w:ascii="Sylfaen" w:hAnsi="Sylfaen" w:cs="Sylfaen"/>
                <w:sz w:val="20"/>
                <w:szCs w:val="20"/>
              </w:rPr>
            </w:pPr>
            <w:r w:rsidRPr="009A3F5E">
              <w:rPr>
                <w:rStyle w:val="Bodytext31Sylfaen9"/>
                <w:i w:val="0"/>
                <w:sz w:val="20"/>
                <w:szCs w:val="20"/>
              </w:rPr>
              <w:t>18</w:t>
            </w:r>
          </w:p>
        </w:tc>
        <w:tc>
          <w:tcPr>
            <w:tcW w:w="1156" w:type="dxa"/>
            <w:tcBorders>
              <w:top w:val="single" w:sz="4" w:space="0" w:color="auto"/>
            </w:tcBorders>
            <w:shd w:val="clear" w:color="auto" w:fill="FFFFFF"/>
            <w:vAlign w:val="center"/>
          </w:tcPr>
          <w:p w14:paraId="25530CF2"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22,8</w:t>
            </w:r>
          </w:p>
        </w:tc>
        <w:tc>
          <w:tcPr>
            <w:tcW w:w="941" w:type="dxa"/>
            <w:tcBorders>
              <w:top w:val="single" w:sz="4" w:space="0" w:color="auto"/>
            </w:tcBorders>
            <w:shd w:val="clear" w:color="auto" w:fill="FFFFFF"/>
            <w:vAlign w:val="center"/>
          </w:tcPr>
          <w:p w14:paraId="7E2478A0"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30,4</w:t>
            </w:r>
          </w:p>
        </w:tc>
        <w:tc>
          <w:tcPr>
            <w:tcW w:w="950" w:type="dxa"/>
            <w:tcBorders>
              <w:top w:val="single" w:sz="4" w:space="0" w:color="auto"/>
            </w:tcBorders>
            <w:shd w:val="clear" w:color="auto" w:fill="FFFFFF"/>
            <w:vAlign w:val="center"/>
          </w:tcPr>
          <w:p w14:paraId="583494B9"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35,7</w:t>
            </w:r>
          </w:p>
        </w:tc>
        <w:tc>
          <w:tcPr>
            <w:tcW w:w="864" w:type="dxa"/>
            <w:tcBorders>
              <w:top w:val="single" w:sz="4" w:space="0" w:color="auto"/>
            </w:tcBorders>
            <w:shd w:val="clear" w:color="auto" w:fill="FFFFFF"/>
            <w:vAlign w:val="center"/>
          </w:tcPr>
          <w:p w14:paraId="743A6E1F"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15,1</w:t>
            </w:r>
          </w:p>
        </w:tc>
        <w:tc>
          <w:tcPr>
            <w:tcW w:w="1013" w:type="dxa"/>
            <w:tcBorders>
              <w:top w:val="single" w:sz="4" w:space="0" w:color="auto"/>
            </w:tcBorders>
            <w:shd w:val="clear" w:color="auto" w:fill="FFFFFF"/>
            <w:vAlign w:val="center"/>
          </w:tcPr>
          <w:p w14:paraId="009F9134"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23,1</w:t>
            </w:r>
          </w:p>
        </w:tc>
        <w:tc>
          <w:tcPr>
            <w:tcW w:w="941" w:type="dxa"/>
            <w:tcBorders>
              <w:top w:val="single" w:sz="4" w:space="0" w:color="auto"/>
            </w:tcBorders>
            <w:shd w:val="clear" w:color="auto" w:fill="FFFFFF"/>
            <w:vAlign w:val="center"/>
          </w:tcPr>
          <w:p w14:paraId="049227C6"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28,9</w:t>
            </w:r>
          </w:p>
        </w:tc>
        <w:tc>
          <w:tcPr>
            <w:tcW w:w="974" w:type="dxa"/>
            <w:tcBorders>
              <w:top w:val="single" w:sz="4" w:space="0" w:color="auto"/>
            </w:tcBorders>
            <w:shd w:val="clear" w:color="auto" w:fill="FFFFFF"/>
            <w:vAlign w:val="center"/>
          </w:tcPr>
          <w:p w14:paraId="760C8D07"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34,4</w:t>
            </w:r>
          </w:p>
        </w:tc>
      </w:tr>
      <w:tr w:rsidR="00B834A2" w:rsidRPr="009A3F5E" w14:paraId="0480CFE6" w14:textId="77777777" w:rsidTr="00B834A2">
        <w:trPr>
          <w:jc w:val="center"/>
        </w:trPr>
        <w:tc>
          <w:tcPr>
            <w:tcW w:w="1791" w:type="dxa"/>
            <w:shd w:val="clear" w:color="auto" w:fill="FFFFFF"/>
          </w:tcPr>
          <w:p w14:paraId="28CD88F6" w14:textId="77777777" w:rsidR="00B834A2" w:rsidRPr="009A3F5E" w:rsidRDefault="00B834A2" w:rsidP="001A3F5E">
            <w:pPr>
              <w:spacing w:after="120"/>
              <w:rPr>
                <w:sz w:val="20"/>
                <w:szCs w:val="20"/>
              </w:rPr>
            </w:pPr>
          </w:p>
        </w:tc>
        <w:tc>
          <w:tcPr>
            <w:tcW w:w="903" w:type="dxa"/>
            <w:shd w:val="clear" w:color="auto" w:fill="FFFFFF"/>
            <w:vAlign w:val="center"/>
          </w:tcPr>
          <w:p w14:paraId="700C0428" w14:textId="77777777" w:rsidR="00B834A2" w:rsidRPr="009A3F5E" w:rsidRDefault="00B834A2" w:rsidP="001A3F5E">
            <w:pPr>
              <w:pStyle w:val="Bodytext20"/>
              <w:shd w:val="clear" w:color="auto" w:fill="auto"/>
              <w:spacing w:before="0" w:line="240" w:lineRule="auto"/>
              <w:ind w:left="-154"/>
              <w:rPr>
                <w:rStyle w:val="Bodytext31Sylfaen9"/>
                <w:i w:val="0"/>
                <w:sz w:val="20"/>
                <w:szCs w:val="20"/>
              </w:rPr>
            </w:pPr>
            <w:r w:rsidRPr="009A3F5E">
              <w:rPr>
                <w:rStyle w:val="Bodytext31Sylfaen9"/>
                <w:i w:val="0"/>
                <w:sz w:val="20"/>
                <w:szCs w:val="20"/>
              </w:rPr>
              <w:t>18</w:t>
            </w:r>
          </w:p>
        </w:tc>
        <w:tc>
          <w:tcPr>
            <w:tcW w:w="1156" w:type="dxa"/>
            <w:shd w:val="clear" w:color="auto" w:fill="FFFFFF"/>
            <w:vAlign w:val="center"/>
          </w:tcPr>
          <w:p w14:paraId="1808549D"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24,5</w:t>
            </w:r>
          </w:p>
        </w:tc>
        <w:tc>
          <w:tcPr>
            <w:tcW w:w="941" w:type="dxa"/>
            <w:shd w:val="clear" w:color="auto" w:fill="FFFFFF"/>
            <w:vAlign w:val="center"/>
          </w:tcPr>
          <w:p w14:paraId="12A2DC09"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30,4</w:t>
            </w:r>
          </w:p>
        </w:tc>
        <w:tc>
          <w:tcPr>
            <w:tcW w:w="950" w:type="dxa"/>
            <w:shd w:val="clear" w:color="auto" w:fill="FFFFFF"/>
            <w:vAlign w:val="center"/>
          </w:tcPr>
          <w:p w14:paraId="0CE00650"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36,6</w:t>
            </w:r>
          </w:p>
        </w:tc>
        <w:tc>
          <w:tcPr>
            <w:tcW w:w="864" w:type="dxa"/>
            <w:shd w:val="clear" w:color="auto" w:fill="FFFFFF"/>
            <w:vAlign w:val="center"/>
          </w:tcPr>
          <w:p w14:paraId="095ED1A7"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16,8</w:t>
            </w:r>
          </w:p>
        </w:tc>
        <w:tc>
          <w:tcPr>
            <w:tcW w:w="1013" w:type="dxa"/>
            <w:shd w:val="clear" w:color="auto" w:fill="FFFFFF"/>
            <w:vAlign w:val="center"/>
          </w:tcPr>
          <w:p w14:paraId="159DBC0D"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24,2</w:t>
            </w:r>
          </w:p>
        </w:tc>
        <w:tc>
          <w:tcPr>
            <w:tcW w:w="941" w:type="dxa"/>
            <w:shd w:val="clear" w:color="auto" w:fill="FFFFFF"/>
            <w:vAlign w:val="center"/>
          </w:tcPr>
          <w:p w14:paraId="5F440408"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27,4</w:t>
            </w:r>
          </w:p>
        </w:tc>
        <w:tc>
          <w:tcPr>
            <w:tcW w:w="974" w:type="dxa"/>
            <w:shd w:val="clear" w:color="auto" w:fill="FFFFFF"/>
            <w:vAlign w:val="center"/>
          </w:tcPr>
          <w:p w14:paraId="4F5B816B" w14:textId="77777777" w:rsidR="00B834A2" w:rsidRPr="009A3F5E" w:rsidRDefault="00B834A2" w:rsidP="001A3F5E">
            <w:pPr>
              <w:pStyle w:val="Bodytext20"/>
              <w:shd w:val="clear" w:color="auto" w:fill="auto"/>
              <w:spacing w:before="0" w:line="240" w:lineRule="auto"/>
              <w:rPr>
                <w:rStyle w:val="Bodytext31Sylfaen9"/>
                <w:i w:val="0"/>
                <w:sz w:val="20"/>
                <w:szCs w:val="20"/>
              </w:rPr>
            </w:pPr>
            <w:r w:rsidRPr="009A3F5E">
              <w:rPr>
                <w:rStyle w:val="Bodytext31Sylfaen9"/>
                <w:i w:val="0"/>
                <w:sz w:val="20"/>
                <w:szCs w:val="20"/>
              </w:rPr>
              <w:t>37,8</w:t>
            </w:r>
          </w:p>
        </w:tc>
      </w:tr>
      <w:tr w:rsidR="00B834A2" w:rsidRPr="009A3F5E" w14:paraId="6CCEC7CF" w14:textId="77777777" w:rsidTr="00B834A2">
        <w:trPr>
          <w:jc w:val="center"/>
        </w:trPr>
        <w:tc>
          <w:tcPr>
            <w:tcW w:w="1791" w:type="dxa"/>
            <w:shd w:val="clear" w:color="auto" w:fill="FFFFFF"/>
          </w:tcPr>
          <w:p w14:paraId="5CB45EDA" w14:textId="77777777" w:rsidR="00B834A2" w:rsidRPr="009A3F5E" w:rsidRDefault="00B834A2" w:rsidP="001A3F5E">
            <w:pPr>
              <w:spacing w:after="120"/>
              <w:rPr>
                <w:sz w:val="20"/>
                <w:szCs w:val="20"/>
              </w:rPr>
            </w:pPr>
          </w:p>
        </w:tc>
        <w:tc>
          <w:tcPr>
            <w:tcW w:w="903" w:type="dxa"/>
            <w:shd w:val="clear" w:color="auto" w:fill="FFFFFF"/>
            <w:vAlign w:val="center"/>
          </w:tcPr>
          <w:p w14:paraId="0EA7C929" w14:textId="77777777" w:rsidR="00B834A2" w:rsidRPr="009A3F5E" w:rsidRDefault="00B834A2" w:rsidP="001A3F5E">
            <w:pPr>
              <w:pStyle w:val="Bodytext20"/>
              <w:shd w:val="clear" w:color="auto" w:fill="auto"/>
              <w:spacing w:before="0" w:line="240" w:lineRule="auto"/>
              <w:ind w:left="-154"/>
              <w:rPr>
                <w:rStyle w:val="Bodytext31Sylfaen9"/>
                <w:i w:val="0"/>
                <w:sz w:val="20"/>
                <w:szCs w:val="20"/>
              </w:rPr>
            </w:pPr>
          </w:p>
        </w:tc>
        <w:tc>
          <w:tcPr>
            <w:tcW w:w="1156" w:type="dxa"/>
            <w:shd w:val="clear" w:color="auto" w:fill="FFFFFF"/>
            <w:vAlign w:val="center"/>
          </w:tcPr>
          <w:p w14:paraId="55DCD5F4"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941" w:type="dxa"/>
            <w:shd w:val="clear" w:color="auto" w:fill="FFFFFF"/>
            <w:vAlign w:val="center"/>
          </w:tcPr>
          <w:p w14:paraId="1408C3FD"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950" w:type="dxa"/>
            <w:shd w:val="clear" w:color="auto" w:fill="FFFFFF"/>
            <w:vAlign w:val="center"/>
          </w:tcPr>
          <w:p w14:paraId="2F538C4A"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864" w:type="dxa"/>
            <w:shd w:val="clear" w:color="auto" w:fill="FFFFFF"/>
            <w:vAlign w:val="center"/>
          </w:tcPr>
          <w:p w14:paraId="3339C262"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1013" w:type="dxa"/>
            <w:shd w:val="clear" w:color="auto" w:fill="FFFFFF"/>
            <w:vAlign w:val="center"/>
          </w:tcPr>
          <w:p w14:paraId="49E2F8BA"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941" w:type="dxa"/>
            <w:shd w:val="clear" w:color="auto" w:fill="FFFFFF"/>
            <w:vAlign w:val="center"/>
          </w:tcPr>
          <w:p w14:paraId="236CCA38"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c>
          <w:tcPr>
            <w:tcW w:w="974" w:type="dxa"/>
            <w:shd w:val="clear" w:color="auto" w:fill="FFFFFF"/>
            <w:vAlign w:val="center"/>
          </w:tcPr>
          <w:p w14:paraId="1F96873C" w14:textId="77777777" w:rsidR="00B834A2" w:rsidRPr="009A3F5E" w:rsidRDefault="00B834A2" w:rsidP="001A3F5E">
            <w:pPr>
              <w:pStyle w:val="Bodytext20"/>
              <w:shd w:val="clear" w:color="auto" w:fill="auto"/>
              <w:spacing w:before="0" w:line="240" w:lineRule="auto"/>
              <w:rPr>
                <w:rStyle w:val="Bodytext31Sylfaen9"/>
                <w:i w:val="0"/>
                <w:sz w:val="20"/>
                <w:szCs w:val="20"/>
              </w:rPr>
            </w:pPr>
          </w:p>
        </w:tc>
      </w:tr>
      <w:tr w:rsidR="00B834A2" w:rsidRPr="009A3F5E" w14:paraId="6AFEDA67" w14:textId="77777777" w:rsidTr="00B834A2">
        <w:trPr>
          <w:jc w:val="center"/>
        </w:trPr>
        <w:tc>
          <w:tcPr>
            <w:tcW w:w="1791" w:type="dxa"/>
            <w:shd w:val="clear" w:color="auto" w:fill="FFFFFF"/>
            <w:vAlign w:val="bottom"/>
          </w:tcPr>
          <w:p w14:paraId="53D4472F"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Միջինը</w:t>
            </w:r>
          </w:p>
        </w:tc>
        <w:tc>
          <w:tcPr>
            <w:tcW w:w="903" w:type="dxa"/>
            <w:shd w:val="clear" w:color="auto" w:fill="FFFFFF"/>
            <w:vAlign w:val="bottom"/>
          </w:tcPr>
          <w:p w14:paraId="11BBC100" w14:textId="77777777" w:rsidR="00B834A2" w:rsidRPr="009A3F5E" w:rsidRDefault="00B834A2" w:rsidP="001A3F5E">
            <w:pPr>
              <w:pStyle w:val="Bodytext20"/>
              <w:shd w:val="clear" w:color="auto" w:fill="auto"/>
              <w:spacing w:before="0" w:line="240" w:lineRule="auto"/>
              <w:ind w:left="-154"/>
              <w:rPr>
                <w:rFonts w:ascii="Sylfaen" w:hAnsi="Sylfaen" w:cs="Sylfaen"/>
                <w:sz w:val="20"/>
                <w:szCs w:val="20"/>
              </w:rPr>
            </w:pPr>
            <w:r w:rsidRPr="009A3F5E">
              <w:rPr>
                <w:rStyle w:val="Bodytext31Sylfaen9"/>
                <w:i w:val="0"/>
                <w:sz w:val="20"/>
                <w:szCs w:val="20"/>
              </w:rPr>
              <w:t>18</w:t>
            </w:r>
          </w:p>
        </w:tc>
        <w:tc>
          <w:tcPr>
            <w:tcW w:w="1156" w:type="dxa"/>
            <w:shd w:val="clear" w:color="auto" w:fill="FFFFFF"/>
            <w:vAlign w:val="bottom"/>
          </w:tcPr>
          <w:p w14:paraId="6AE7D831"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23,65</w:t>
            </w:r>
          </w:p>
        </w:tc>
        <w:tc>
          <w:tcPr>
            <w:tcW w:w="941" w:type="dxa"/>
            <w:shd w:val="clear" w:color="auto" w:fill="FFFFFF"/>
            <w:vAlign w:val="bottom"/>
          </w:tcPr>
          <w:p w14:paraId="5B5DBCAC"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30,4</w:t>
            </w:r>
          </w:p>
        </w:tc>
        <w:tc>
          <w:tcPr>
            <w:tcW w:w="950" w:type="dxa"/>
            <w:shd w:val="clear" w:color="auto" w:fill="FFFFFF"/>
            <w:vAlign w:val="bottom"/>
          </w:tcPr>
          <w:p w14:paraId="361BE97A" w14:textId="77777777" w:rsidR="00B834A2" w:rsidRPr="009A3F5E" w:rsidRDefault="00B834A2" w:rsidP="001A3F5E">
            <w:pPr>
              <w:pStyle w:val="Bodytext20"/>
              <w:shd w:val="clear" w:color="auto" w:fill="auto"/>
              <w:spacing w:before="0" w:line="240" w:lineRule="auto"/>
              <w:ind w:left="300"/>
              <w:jc w:val="left"/>
              <w:rPr>
                <w:rFonts w:ascii="Sylfaen" w:hAnsi="Sylfaen" w:cs="Sylfaen"/>
                <w:sz w:val="20"/>
                <w:szCs w:val="20"/>
              </w:rPr>
            </w:pPr>
            <w:r w:rsidRPr="009A3F5E">
              <w:rPr>
                <w:rStyle w:val="Bodytext31Sylfaen9"/>
                <w:i w:val="0"/>
                <w:sz w:val="20"/>
                <w:szCs w:val="20"/>
              </w:rPr>
              <w:t>36,15</w:t>
            </w:r>
          </w:p>
        </w:tc>
        <w:tc>
          <w:tcPr>
            <w:tcW w:w="864" w:type="dxa"/>
            <w:shd w:val="clear" w:color="auto" w:fill="FFFFFF"/>
            <w:vAlign w:val="bottom"/>
          </w:tcPr>
          <w:p w14:paraId="67D8C2BD" w14:textId="77777777" w:rsidR="00B834A2" w:rsidRPr="009A3F5E" w:rsidRDefault="00B834A2" w:rsidP="001A3F5E">
            <w:pPr>
              <w:pStyle w:val="Bodytext20"/>
              <w:shd w:val="clear" w:color="auto" w:fill="auto"/>
              <w:spacing w:before="0" w:line="240" w:lineRule="auto"/>
              <w:ind w:left="300"/>
              <w:jc w:val="left"/>
              <w:rPr>
                <w:rFonts w:ascii="Sylfaen" w:hAnsi="Sylfaen" w:cs="Sylfaen"/>
                <w:sz w:val="20"/>
                <w:szCs w:val="20"/>
              </w:rPr>
            </w:pPr>
            <w:r w:rsidRPr="009A3F5E">
              <w:rPr>
                <w:rStyle w:val="Bodytext31Sylfaen9"/>
                <w:i w:val="0"/>
                <w:sz w:val="20"/>
                <w:szCs w:val="20"/>
              </w:rPr>
              <w:t>15,95</w:t>
            </w:r>
          </w:p>
        </w:tc>
        <w:tc>
          <w:tcPr>
            <w:tcW w:w="1013" w:type="dxa"/>
            <w:shd w:val="clear" w:color="auto" w:fill="FFFFFF"/>
            <w:vAlign w:val="bottom"/>
          </w:tcPr>
          <w:p w14:paraId="01B3A933"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23,65</w:t>
            </w:r>
          </w:p>
        </w:tc>
        <w:tc>
          <w:tcPr>
            <w:tcW w:w="941" w:type="dxa"/>
            <w:shd w:val="clear" w:color="auto" w:fill="FFFFFF"/>
            <w:vAlign w:val="bottom"/>
          </w:tcPr>
          <w:p w14:paraId="646EC984" w14:textId="77777777" w:rsidR="00B834A2" w:rsidRPr="009A3F5E" w:rsidRDefault="00B834A2" w:rsidP="001A3F5E">
            <w:pPr>
              <w:pStyle w:val="Bodytext20"/>
              <w:shd w:val="clear" w:color="auto" w:fill="auto"/>
              <w:spacing w:before="0" w:line="240" w:lineRule="auto"/>
              <w:ind w:left="280"/>
              <w:jc w:val="left"/>
              <w:rPr>
                <w:rFonts w:ascii="Sylfaen" w:hAnsi="Sylfaen" w:cs="Sylfaen"/>
                <w:sz w:val="20"/>
                <w:szCs w:val="20"/>
              </w:rPr>
            </w:pPr>
            <w:r w:rsidRPr="009A3F5E">
              <w:rPr>
                <w:rStyle w:val="Bodytext31Sylfaen9"/>
                <w:i w:val="0"/>
                <w:sz w:val="20"/>
                <w:szCs w:val="20"/>
              </w:rPr>
              <w:t>28,15</w:t>
            </w:r>
          </w:p>
        </w:tc>
        <w:tc>
          <w:tcPr>
            <w:tcW w:w="974" w:type="dxa"/>
            <w:shd w:val="clear" w:color="auto" w:fill="FFFFFF"/>
            <w:vAlign w:val="bottom"/>
          </w:tcPr>
          <w:p w14:paraId="0935AB72"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36,1</w:t>
            </w:r>
          </w:p>
        </w:tc>
      </w:tr>
      <w:tr w:rsidR="00B834A2" w:rsidRPr="009A3F5E" w14:paraId="77768A26" w14:textId="77777777" w:rsidTr="00B834A2">
        <w:trPr>
          <w:jc w:val="center"/>
        </w:trPr>
        <w:tc>
          <w:tcPr>
            <w:tcW w:w="1791" w:type="dxa"/>
            <w:shd w:val="clear" w:color="auto" w:fill="FFFFFF"/>
          </w:tcPr>
          <w:p w14:paraId="4E0D7EC7"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Սյունակների գումարը (С)</w:t>
            </w:r>
          </w:p>
        </w:tc>
        <w:tc>
          <w:tcPr>
            <w:tcW w:w="903" w:type="dxa"/>
            <w:shd w:val="clear" w:color="auto" w:fill="FFFFFF"/>
          </w:tcPr>
          <w:p w14:paraId="76C57EB8" w14:textId="77777777" w:rsidR="00B834A2" w:rsidRPr="009A3F5E" w:rsidRDefault="00B834A2" w:rsidP="001A3F5E">
            <w:pPr>
              <w:pStyle w:val="Bodytext20"/>
              <w:shd w:val="clear" w:color="auto" w:fill="auto"/>
              <w:spacing w:before="0" w:line="240" w:lineRule="auto"/>
              <w:ind w:left="-154"/>
              <w:rPr>
                <w:rFonts w:ascii="Sylfaen" w:hAnsi="Sylfaen" w:cs="Sylfaen"/>
                <w:sz w:val="20"/>
                <w:szCs w:val="20"/>
              </w:rPr>
            </w:pPr>
            <w:r w:rsidRPr="009A3F5E">
              <w:rPr>
                <w:rStyle w:val="Bodytext31Sylfaen9"/>
                <w:i w:val="0"/>
                <w:sz w:val="20"/>
                <w:szCs w:val="20"/>
              </w:rPr>
              <w:t>36</w:t>
            </w:r>
          </w:p>
        </w:tc>
        <w:tc>
          <w:tcPr>
            <w:tcW w:w="1156" w:type="dxa"/>
            <w:shd w:val="clear" w:color="auto" w:fill="FFFFFF"/>
          </w:tcPr>
          <w:p w14:paraId="119B3E4D"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47,3</w:t>
            </w:r>
          </w:p>
        </w:tc>
        <w:tc>
          <w:tcPr>
            <w:tcW w:w="941" w:type="dxa"/>
            <w:shd w:val="clear" w:color="auto" w:fill="FFFFFF"/>
            <w:vAlign w:val="bottom"/>
          </w:tcPr>
          <w:p w14:paraId="0BB1C15B"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60,8</w:t>
            </w:r>
          </w:p>
        </w:tc>
        <w:tc>
          <w:tcPr>
            <w:tcW w:w="950" w:type="dxa"/>
            <w:shd w:val="clear" w:color="auto" w:fill="FFFFFF"/>
          </w:tcPr>
          <w:p w14:paraId="3D536812"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72,3</w:t>
            </w:r>
          </w:p>
        </w:tc>
        <w:tc>
          <w:tcPr>
            <w:tcW w:w="864" w:type="dxa"/>
            <w:shd w:val="clear" w:color="auto" w:fill="FFFFFF"/>
          </w:tcPr>
          <w:p w14:paraId="43CC543A"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31,9</w:t>
            </w:r>
          </w:p>
        </w:tc>
        <w:tc>
          <w:tcPr>
            <w:tcW w:w="1013" w:type="dxa"/>
            <w:shd w:val="clear" w:color="auto" w:fill="FFFFFF"/>
          </w:tcPr>
          <w:p w14:paraId="10C81F2C"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47,3</w:t>
            </w:r>
          </w:p>
        </w:tc>
        <w:tc>
          <w:tcPr>
            <w:tcW w:w="941" w:type="dxa"/>
            <w:shd w:val="clear" w:color="auto" w:fill="FFFFFF"/>
          </w:tcPr>
          <w:p w14:paraId="68609640"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56,3</w:t>
            </w:r>
          </w:p>
        </w:tc>
        <w:tc>
          <w:tcPr>
            <w:tcW w:w="974" w:type="dxa"/>
            <w:shd w:val="clear" w:color="auto" w:fill="FFFFFF"/>
          </w:tcPr>
          <w:p w14:paraId="5C710916" w14:textId="77777777" w:rsidR="00B834A2" w:rsidRPr="009A3F5E" w:rsidRDefault="00B834A2" w:rsidP="001A3F5E">
            <w:pPr>
              <w:pStyle w:val="Bodytext20"/>
              <w:shd w:val="clear" w:color="auto" w:fill="auto"/>
              <w:spacing w:before="0" w:line="240" w:lineRule="auto"/>
              <w:rPr>
                <w:rFonts w:ascii="Sylfaen" w:hAnsi="Sylfaen" w:cs="Sylfaen"/>
                <w:sz w:val="20"/>
                <w:szCs w:val="20"/>
              </w:rPr>
            </w:pPr>
            <w:r w:rsidRPr="009A3F5E">
              <w:rPr>
                <w:rStyle w:val="Bodytext31Sylfaen9"/>
                <w:i w:val="0"/>
                <w:sz w:val="20"/>
                <w:szCs w:val="20"/>
              </w:rPr>
              <w:t>72,2</w:t>
            </w:r>
          </w:p>
        </w:tc>
      </w:tr>
      <w:tr w:rsidR="00B834A2" w:rsidRPr="009A3F5E" w14:paraId="6D162013" w14:textId="77777777" w:rsidTr="00B834A2">
        <w:trPr>
          <w:jc w:val="center"/>
        </w:trPr>
        <w:tc>
          <w:tcPr>
            <w:tcW w:w="1791" w:type="dxa"/>
            <w:tcBorders>
              <w:bottom w:val="single" w:sz="4" w:space="0" w:color="auto"/>
            </w:tcBorders>
            <w:shd w:val="clear" w:color="auto" w:fill="FFFFFF"/>
          </w:tcPr>
          <w:p w14:paraId="199EC8FF"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0"/>
              </w:rPr>
            </w:pPr>
            <w:r w:rsidRPr="009A3F5E">
              <w:rPr>
                <w:rStyle w:val="Bodytext31Sylfaen9"/>
                <w:i w:val="0"/>
                <w:sz w:val="20"/>
                <w:szCs w:val="20"/>
              </w:rPr>
              <w:t>С</w:t>
            </w:r>
            <w:r w:rsidRPr="009A3F5E">
              <w:rPr>
                <w:rStyle w:val="Bodytext31Sylfaen9"/>
                <w:i w:val="0"/>
                <w:sz w:val="20"/>
                <w:szCs w:val="20"/>
                <w:vertAlign w:val="superscript"/>
              </w:rPr>
              <w:t>2</w:t>
            </w:r>
          </w:p>
        </w:tc>
        <w:tc>
          <w:tcPr>
            <w:tcW w:w="903" w:type="dxa"/>
            <w:tcBorders>
              <w:bottom w:val="single" w:sz="4" w:space="0" w:color="auto"/>
            </w:tcBorders>
            <w:shd w:val="clear" w:color="auto" w:fill="FFFFFF"/>
          </w:tcPr>
          <w:p w14:paraId="7B919568" w14:textId="77777777" w:rsidR="00B834A2" w:rsidRPr="009A3F5E" w:rsidRDefault="00B834A2" w:rsidP="001A3F5E">
            <w:pPr>
              <w:pStyle w:val="Bodytext20"/>
              <w:shd w:val="clear" w:color="auto" w:fill="auto"/>
              <w:spacing w:before="0" w:line="240" w:lineRule="auto"/>
              <w:ind w:left="-154"/>
              <w:rPr>
                <w:rFonts w:ascii="Sylfaen" w:hAnsi="Sylfaen" w:cs="Sylfaen"/>
                <w:sz w:val="20"/>
                <w:szCs w:val="20"/>
              </w:rPr>
            </w:pPr>
            <w:r w:rsidRPr="009A3F5E">
              <w:rPr>
                <w:rStyle w:val="Bodytext31Sylfaen9"/>
                <w:i w:val="0"/>
                <w:sz w:val="20"/>
                <w:szCs w:val="20"/>
              </w:rPr>
              <w:t>1296</w:t>
            </w:r>
          </w:p>
        </w:tc>
        <w:tc>
          <w:tcPr>
            <w:tcW w:w="1156" w:type="dxa"/>
            <w:tcBorders>
              <w:bottom w:val="single" w:sz="4" w:space="0" w:color="auto"/>
            </w:tcBorders>
            <w:shd w:val="clear" w:color="auto" w:fill="FFFFFF"/>
          </w:tcPr>
          <w:p w14:paraId="1B1DAE85" w14:textId="77777777" w:rsidR="00B834A2" w:rsidRPr="009A3F5E" w:rsidRDefault="00B834A2" w:rsidP="001A3F5E">
            <w:pPr>
              <w:pStyle w:val="Bodytext20"/>
              <w:shd w:val="clear" w:color="auto" w:fill="auto"/>
              <w:spacing w:before="0" w:line="240" w:lineRule="auto"/>
              <w:ind w:left="220"/>
              <w:jc w:val="left"/>
              <w:rPr>
                <w:rFonts w:ascii="Sylfaen" w:hAnsi="Sylfaen" w:cs="Sylfaen"/>
                <w:sz w:val="20"/>
                <w:szCs w:val="20"/>
              </w:rPr>
            </w:pPr>
            <w:r w:rsidRPr="009A3F5E">
              <w:rPr>
                <w:rStyle w:val="Bodytext31Sylfaen9"/>
                <w:i w:val="0"/>
                <w:sz w:val="20"/>
                <w:szCs w:val="20"/>
              </w:rPr>
              <w:t>2237,29</w:t>
            </w:r>
          </w:p>
        </w:tc>
        <w:tc>
          <w:tcPr>
            <w:tcW w:w="941" w:type="dxa"/>
            <w:tcBorders>
              <w:bottom w:val="single" w:sz="4" w:space="0" w:color="auto"/>
            </w:tcBorders>
            <w:shd w:val="clear" w:color="auto" w:fill="FFFFFF"/>
          </w:tcPr>
          <w:p w14:paraId="5CBCE1FB"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0"/>
              </w:rPr>
            </w:pPr>
            <w:r w:rsidRPr="009A3F5E">
              <w:rPr>
                <w:rStyle w:val="Bodytext31Sylfaen9"/>
                <w:i w:val="0"/>
                <w:sz w:val="20"/>
                <w:szCs w:val="20"/>
              </w:rPr>
              <w:t>3696,64</w:t>
            </w:r>
          </w:p>
        </w:tc>
        <w:tc>
          <w:tcPr>
            <w:tcW w:w="950" w:type="dxa"/>
            <w:tcBorders>
              <w:bottom w:val="single" w:sz="4" w:space="0" w:color="auto"/>
            </w:tcBorders>
            <w:shd w:val="clear" w:color="auto" w:fill="FFFFFF"/>
          </w:tcPr>
          <w:p w14:paraId="553646D4"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0"/>
              </w:rPr>
            </w:pPr>
            <w:r w:rsidRPr="009A3F5E">
              <w:rPr>
                <w:rStyle w:val="Bodytext31Sylfaen9"/>
                <w:i w:val="0"/>
                <w:sz w:val="20"/>
                <w:szCs w:val="20"/>
              </w:rPr>
              <w:t>5227,29</w:t>
            </w:r>
          </w:p>
        </w:tc>
        <w:tc>
          <w:tcPr>
            <w:tcW w:w="864" w:type="dxa"/>
            <w:tcBorders>
              <w:bottom w:val="single" w:sz="4" w:space="0" w:color="auto"/>
            </w:tcBorders>
            <w:shd w:val="clear" w:color="auto" w:fill="FFFFFF"/>
          </w:tcPr>
          <w:p w14:paraId="1E481B65"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0"/>
              </w:rPr>
            </w:pPr>
            <w:r w:rsidRPr="009A3F5E">
              <w:rPr>
                <w:rStyle w:val="Bodytext31Sylfaen9"/>
                <w:i w:val="0"/>
                <w:sz w:val="20"/>
                <w:szCs w:val="20"/>
              </w:rPr>
              <w:t>1017,61</w:t>
            </w:r>
          </w:p>
        </w:tc>
        <w:tc>
          <w:tcPr>
            <w:tcW w:w="1013" w:type="dxa"/>
            <w:tcBorders>
              <w:bottom w:val="single" w:sz="4" w:space="0" w:color="auto"/>
            </w:tcBorders>
            <w:shd w:val="clear" w:color="auto" w:fill="FFFFFF"/>
          </w:tcPr>
          <w:p w14:paraId="4F4FA624" w14:textId="77777777" w:rsidR="00B834A2" w:rsidRPr="009A3F5E" w:rsidRDefault="00B834A2" w:rsidP="001A3F5E">
            <w:pPr>
              <w:pStyle w:val="Bodytext20"/>
              <w:shd w:val="clear" w:color="auto" w:fill="auto"/>
              <w:spacing w:before="0" w:line="240" w:lineRule="auto"/>
              <w:ind w:left="220"/>
              <w:jc w:val="left"/>
              <w:rPr>
                <w:rFonts w:ascii="Sylfaen" w:hAnsi="Sylfaen" w:cs="Sylfaen"/>
                <w:sz w:val="20"/>
                <w:szCs w:val="20"/>
              </w:rPr>
            </w:pPr>
            <w:r w:rsidRPr="009A3F5E">
              <w:rPr>
                <w:rStyle w:val="Bodytext31Sylfaen9"/>
                <w:i w:val="0"/>
                <w:sz w:val="20"/>
                <w:szCs w:val="20"/>
              </w:rPr>
              <w:t>2237,29</w:t>
            </w:r>
          </w:p>
        </w:tc>
        <w:tc>
          <w:tcPr>
            <w:tcW w:w="941" w:type="dxa"/>
            <w:tcBorders>
              <w:bottom w:val="single" w:sz="4" w:space="0" w:color="auto"/>
            </w:tcBorders>
            <w:shd w:val="clear" w:color="auto" w:fill="FFFFFF"/>
          </w:tcPr>
          <w:p w14:paraId="3DA5929D"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0"/>
              </w:rPr>
            </w:pPr>
            <w:r w:rsidRPr="009A3F5E">
              <w:rPr>
                <w:rStyle w:val="Bodytext31Sylfaen9"/>
                <w:i w:val="0"/>
                <w:sz w:val="20"/>
                <w:szCs w:val="20"/>
              </w:rPr>
              <w:t>3169,69</w:t>
            </w:r>
          </w:p>
        </w:tc>
        <w:tc>
          <w:tcPr>
            <w:tcW w:w="974" w:type="dxa"/>
            <w:tcBorders>
              <w:bottom w:val="single" w:sz="4" w:space="0" w:color="auto"/>
            </w:tcBorders>
            <w:shd w:val="clear" w:color="auto" w:fill="FFFFFF"/>
          </w:tcPr>
          <w:p w14:paraId="13F65B38"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0"/>
              </w:rPr>
            </w:pPr>
            <w:r w:rsidRPr="009A3F5E">
              <w:rPr>
                <w:rStyle w:val="Bodytext31Sylfaen9"/>
                <w:i w:val="0"/>
                <w:sz w:val="20"/>
                <w:szCs w:val="20"/>
              </w:rPr>
              <w:t>5212,84</w:t>
            </w:r>
          </w:p>
        </w:tc>
      </w:tr>
    </w:tbl>
    <w:p w14:paraId="04D9639B" w14:textId="77777777" w:rsidR="00B834A2" w:rsidRPr="009A3F5E" w:rsidRDefault="00B834A2" w:rsidP="00B834A2">
      <w:pPr>
        <w:spacing w:after="160" w:line="360" w:lineRule="auto"/>
      </w:pPr>
    </w:p>
    <w:tbl>
      <w:tblPr>
        <w:tblOverlap w:val="never"/>
        <w:tblW w:w="0" w:type="auto"/>
        <w:tblInd w:w="-214" w:type="dxa"/>
        <w:tblLayout w:type="fixed"/>
        <w:tblCellMar>
          <w:left w:w="10" w:type="dxa"/>
          <w:right w:w="10" w:type="dxa"/>
        </w:tblCellMar>
        <w:tblLook w:val="0000" w:firstRow="0" w:lastRow="0" w:firstColumn="0" w:lastColumn="0" w:noHBand="0" w:noVBand="0"/>
      </w:tblPr>
      <w:tblGrid>
        <w:gridCol w:w="1778"/>
        <w:gridCol w:w="998"/>
        <w:gridCol w:w="1074"/>
        <w:gridCol w:w="1052"/>
        <w:gridCol w:w="851"/>
        <w:gridCol w:w="1848"/>
      </w:tblGrid>
      <w:tr w:rsidR="00B834A2" w:rsidRPr="009A3F5E" w14:paraId="195FE4E5" w14:textId="77777777" w:rsidTr="001A3F5E">
        <w:trPr>
          <w:trHeight w:val="290"/>
        </w:trPr>
        <w:tc>
          <w:tcPr>
            <w:tcW w:w="1778" w:type="dxa"/>
            <w:tcBorders>
              <w:top w:val="single" w:sz="4" w:space="0" w:color="auto"/>
            </w:tcBorders>
            <w:shd w:val="clear" w:color="auto" w:fill="FFFFFF"/>
            <w:vAlign w:val="bottom"/>
          </w:tcPr>
          <w:p w14:paraId="22CED799" w14:textId="77777777" w:rsidR="00B834A2" w:rsidRPr="009A3F5E" w:rsidRDefault="00B834A2" w:rsidP="001A3F5E">
            <w:pPr>
              <w:pStyle w:val="Bodytext20"/>
              <w:spacing w:before="0" w:line="240" w:lineRule="auto"/>
              <w:rPr>
                <w:rFonts w:ascii="Sylfaen" w:hAnsi="Sylfaen" w:cs="Sylfaen"/>
                <w:sz w:val="20"/>
                <w:szCs w:val="24"/>
              </w:rPr>
            </w:pPr>
          </w:p>
        </w:tc>
        <w:tc>
          <w:tcPr>
            <w:tcW w:w="998" w:type="dxa"/>
            <w:tcBorders>
              <w:top w:val="single" w:sz="4" w:space="0" w:color="auto"/>
              <w:bottom w:val="single" w:sz="4" w:space="0" w:color="auto"/>
            </w:tcBorders>
            <w:shd w:val="clear" w:color="auto" w:fill="FFFFFF"/>
            <w:vAlign w:val="bottom"/>
          </w:tcPr>
          <w:p w14:paraId="7431DB73" w14:textId="77777777" w:rsidR="00B834A2" w:rsidRPr="009A3F5E" w:rsidRDefault="00B834A2" w:rsidP="001A3F5E">
            <w:pPr>
              <w:pStyle w:val="Bodytext20"/>
              <w:spacing w:before="0" w:line="240" w:lineRule="auto"/>
              <w:rPr>
                <w:rFonts w:ascii="Sylfaen" w:hAnsi="Sylfaen" w:cs="Sylfaen"/>
                <w:sz w:val="20"/>
                <w:szCs w:val="24"/>
              </w:rPr>
            </w:pPr>
            <w:r w:rsidRPr="009A3F5E">
              <w:rPr>
                <w:rStyle w:val="Bodytext31Sylfaen9"/>
                <w:i w:val="0"/>
                <w:sz w:val="20"/>
                <w:szCs w:val="24"/>
              </w:rPr>
              <w:t>9-րդ խումբ</w:t>
            </w:r>
          </w:p>
        </w:tc>
        <w:tc>
          <w:tcPr>
            <w:tcW w:w="1074" w:type="dxa"/>
            <w:tcBorders>
              <w:top w:val="single" w:sz="4" w:space="0" w:color="auto"/>
              <w:bottom w:val="single" w:sz="4" w:space="0" w:color="auto"/>
            </w:tcBorders>
            <w:shd w:val="clear" w:color="auto" w:fill="FFFFFF"/>
            <w:vAlign w:val="bottom"/>
          </w:tcPr>
          <w:p w14:paraId="37BCC6EF" w14:textId="77777777" w:rsidR="00B834A2" w:rsidRPr="009A3F5E" w:rsidRDefault="00B834A2" w:rsidP="001A3F5E">
            <w:pPr>
              <w:pStyle w:val="Bodytext20"/>
              <w:spacing w:before="0" w:line="240" w:lineRule="auto"/>
              <w:rPr>
                <w:rFonts w:ascii="Sylfaen" w:hAnsi="Sylfaen" w:cs="Sylfaen"/>
                <w:sz w:val="20"/>
                <w:szCs w:val="24"/>
              </w:rPr>
            </w:pPr>
            <w:r w:rsidRPr="009A3F5E">
              <w:rPr>
                <w:rStyle w:val="Bodytext31Sylfaen9"/>
                <w:i w:val="0"/>
                <w:sz w:val="20"/>
                <w:szCs w:val="24"/>
              </w:rPr>
              <w:t>10-րդ խումբ</w:t>
            </w:r>
          </w:p>
        </w:tc>
        <w:tc>
          <w:tcPr>
            <w:tcW w:w="1052" w:type="dxa"/>
            <w:tcBorders>
              <w:top w:val="single" w:sz="4" w:space="0" w:color="auto"/>
              <w:bottom w:val="single" w:sz="4" w:space="0" w:color="auto"/>
            </w:tcBorders>
            <w:shd w:val="clear" w:color="auto" w:fill="FFFFFF"/>
            <w:vAlign w:val="bottom"/>
          </w:tcPr>
          <w:p w14:paraId="602897EA" w14:textId="77777777" w:rsidR="00B834A2" w:rsidRPr="009A3F5E" w:rsidRDefault="00B834A2" w:rsidP="001A3F5E">
            <w:pPr>
              <w:pStyle w:val="Bodytext20"/>
              <w:spacing w:before="0" w:line="240" w:lineRule="auto"/>
              <w:rPr>
                <w:rFonts w:ascii="Sylfaen" w:hAnsi="Sylfaen" w:cs="Sylfaen"/>
                <w:sz w:val="20"/>
                <w:szCs w:val="24"/>
              </w:rPr>
            </w:pPr>
            <w:r w:rsidRPr="009A3F5E">
              <w:rPr>
                <w:rStyle w:val="Bodytext31Sylfaen9"/>
                <w:i w:val="0"/>
                <w:sz w:val="20"/>
                <w:szCs w:val="24"/>
              </w:rPr>
              <w:t>11-րդ խումբ</w:t>
            </w:r>
          </w:p>
        </w:tc>
        <w:tc>
          <w:tcPr>
            <w:tcW w:w="851" w:type="dxa"/>
            <w:tcBorders>
              <w:top w:val="single" w:sz="4" w:space="0" w:color="auto"/>
              <w:bottom w:val="single" w:sz="4" w:space="0" w:color="auto"/>
            </w:tcBorders>
            <w:shd w:val="clear" w:color="auto" w:fill="FFFFFF"/>
            <w:vAlign w:val="bottom"/>
          </w:tcPr>
          <w:p w14:paraId="1058C4BA" w14:textId="77777777" w:rsidR="00B834A2" w:rsidRPr="009A3F5E" w:rsidRDefault="00B834A2" w:rsidP="001A3F5E">
            <w:pPr>
              <w:pStyle w:val="Bodytext20"/>
              <w:spacing w:before="0" w:line="240" w:lineRule="auto"/>
              <w:rPr>
                <w:rFonts w:ascii="Sylfaen" w:hAnsi="Sylfaen" w:cs="Sylfaen"/>
                <w:sz w:val="20"/>
                <w:szCs w:val="24"/>
              </w:rPr>
            </w:pPr>
            <w:r w:rsidRPr="009A3F5E">
              <w:rPr>
                <w:rStyle w:val="Bodytext31Sylfaen9"/>
                <w:i w:val="0"/>
                <w:sz w:val="20"/>
                <w:szCs w:val="24"/>
              </w:rPr>
              <w:t>12-րդ խումբ</w:t>
            </w:r>
          </w:p>
        </w:tc>
        <w:tc>
          <w:tcPr>
            <w:tcW w:w="1848" w:type="dxa"/>
            <w:tcBorders>
              <w:top w:val="single" w:sz="4" w:space="0" w:color="auto"/>
              <w:bottom w:val="single" w:sz="4" w:space="0" w:color="auto"/>
            </w:tcBorders>
            <w:shd w:val="clear" w:color="auto" w:fill="FFFFFF"/>
          </w:tcPr>
          <w:p w14:paraId="387FC972" w14:textId="77777777" w:rsidR="00B834A2" w:rsidRPr="009A3F5E" w:rsidRDefault="00B834A2" w:rsidP="001A3F5E">
            <w:pPr>
              <w:pStyle w:val="Bodytext20"/>
              <w:shd w:val="clear" w:color="auto" w:fill="auto"/>
              <w:spacing w:before="0" w:line="240" w:lineRule="auto"/>
              <w:ind w:left="-16"/>
              <w:rPr>
                <w:rFonts w:ascii="Sylfaen" w:hAnsi="Sylfaen" w:cs="Sylfaen"/>
                <w:sz w:val="20"/>
                <w:szCs w:val="24"/>
              </w:rPr>
            </w:pPr>
            <w:r w:rsidRPr="009A3F5E">
              <w:rPr>
                <w:rStyle w:val="Bodytext31Sylfaen9"/>
                <w:i w:val="0"/>
                <w:sz w:val="20"/>
                <w:szCs w:val="24"/>
              </w:rPr>
              <w:t>Գումարը</w:t>
            </w:r>
          </w:p>
        </w:tc>
      </w:tr>
      <w:tr w:rsidR="00B834A2" w:rsidRPr="009A3F5E" w14:paraId="7921CC80" w14:textId="77777777" w:rsidTr="001A3F5E">
        <w:trPr>
          <w:trHeight w:val="312"/>
        </w:trPr>
        <w:tc>
          <w:tcPr>
            <w:tcW w:w="1778" w:type="dxa"/>
            <w:tcBorders>
              <w:bottom w:val="single" w:sz="4" w:space="0" w:color="auto"/>
            </w:tcBorders>
            <w:shd w:val="clear" w:color="auto" w:fill="FFFFFF"/>
            <w:vAlign w:val="bottom"/>
          </w:tcPr>
          <w:p w14:paraId="0EDCEDCD" w14:textId="77777777" w:rsidR="00B834A2" w:rsidRPr="009A3F5E" w:rsidRDefault="00B834A2" w:rsidP="001A3F5E">
            <w:pPr>
              <w:pStyle w:val="Bodytext20"/>
              <w:spacing w:before="0" w:line="240" w:lineRule="auto"/>
              <w:rPr>
                <w:rStyle w:val="Bodytext31Sylfaen9"/>
                <w:i w:val="0"/>
                <w:sz w:val="20"/>
                <w:szCs w:val="24"/>
              </w:rPr>
            </w:pPr>
          </w:p>
        </w:tc>
        <w:tc>
          <w:tcPr>
            <w:tcW w:w="998" w:type="dxa"/>
            <w:tcBorders>
              <w:top w:val="single" w:sz="4" w:space="0" w:color="auto"/>
              <w:bottom w:val="single" w:sz="4" w:space="0" w:color="auto"/>
            </w:tcBorders>
            <w:shd w:val="clear" w:color="auto" w:fill="FFFFFF"/>
          </w:tcPr>
          <w:p w14:paraId="4C9B8553" w14:textId="77777777" w:rsidR="00B834A2" w:rsidRPr="009A3F5E" w:rsidRDefault="00B834A2" w:rsidP="001A3F5E">
            <w:pPr>
              <w:pStyle w:val="Bodytext20"/>
              <w:spacing w:before="0" w:line="240" w:lineRule="auto"/>
              <w:rPr>
                <w:rStyle w:val="Bodytext31Sylfaen9"/>
                <w:i w:val="0"/>
                <w:sz w:val="20"/>
                <w:szCs w:val="24"/>
              </w:rPr>
            </w:pPr>
            <w:r w:rsidRPr="009A3F5E">
              <w:rPr>
                <w:rStyle w:val="Bodytext2Italic"/>
                <w:i w:val="0"/>
                <w:sz w:val="20"/>
                <w:szCs w:val="24"/>
              </w:rPr>
              <w:t>u'</w:t>
            </w:r>
            <w:r w:rsidRPr="009A3F5E">
              <w:rPr>
                <w:rStyle w:val="Bodytext2Italic"/>
                <w:i w:val="0"/>
                <w:sz w:val="20"/>
                <w:szCs w:val="24"/>
                <w:vertAlign w:val="subscript"/>
              </w:rPr>
              <w:t>1</w:t>
            </w:r>
          </w:p>
        </w:tc>
        <w:tc>
          <w:tcPr>
            <w:tcW w:w="1074" w:type="dxa"/>
            <w:tcBorders>
              <w:top w:val="single" w:sz="4" w:space="0" w:color="auto"/>
              <w:bottom w:val="single" w:sz="4" w:space="0" w:color="auto"/>
            </w:tcBorders>
            <w:shd w:val="clear" w:color="auto" w:fill="FFFFFF"/>
          </w:tcPr>
          <w:p w14:paraId="05568F4E" w14:textId="77777777" w:rsidR="00B834A2" w:rsidRPr="009A3F5E" w:rsidRDefault="00B834A2" w:rsidP="001A3F5E">
            <w:pPr>
              <w:pStyle w:val="Bodytext20"/>
              <w:spacing w:before="0" w:line="240" w:lineRule="auto"/>
              <w:rPr>
                <w:rStyle w:val="Bodytext31Sylfaen9"/>
                <w:i w:val="0"/>
                <w:sz w:val="20"/>
                <w:szCs w:val="24"/>
              </w:rPr>
            </w:pPr>
            <w:r w:rsidRPr="009A3F5E">
              <w:rPr>
                <w:rStyle w:val="Bodytext2Italic"/>
                <w:i w:val="0"/>
                <w:sz w:val="20"/>
                <w:szCs w:val="24"/>
              </w:rPr>
              <w:t>u'</w:t>
            </w:r>
            <w:r w:rsidRPr="009A3F5E">
              <w:rPr>
                <w:rStyle w:val="Bodytext2Italic"/>
                <w:i w:val="0"/>
                <w:sz w:val="20"/>
                <w:szCs w:val="24"/>
                <w:vertAlign w:val="subscript"/>
              </w:rPr>
              <w:t>2</w:t>
            </w:r>
          </w:p>
        </w:tc>
        <w:tc>
          <w:tcPr>
            <w:tcW w:w="1052" w:type="dxa"/>
            <w:tcBorders>
              <w:top w:val="single" w:sz="4" w:space="0" w:color="auto"/>
              <w:bottom w:val="single" w:sz="4" w:space="0" w:color="auto"/>
            </w:tcBorders>
            <w:shd w:val="clear" w:color="auto" w:fill="FFFFFF"/>
          </w:tcPr>
          <w:p w14:paraId="64C4681E" w14:textId="77777777" w:rsidR="00B834A2" w:rsidRPr="009A3F5E" w:rsidRDefault="00B834A2" w:rsidP="001A3F5E">
            <w:pPr>
              <w:pStyle w:val="Bodytext20"/>
              <w:spacing w:before="0" w:line="240" w:lineRule="auto"/>
              <w:rPr>
                <w:rStyle w:val="Bodytext31Sylfaen9"/>
                <w:i w:val="0"/>
                <w:sz w:val="20"/>
                <w:szCs w:val="24"/>
              </w:rPr>
            </w:pPr>
            <w:r w:rsidRPr="009A3F5E">
              <w:rPr>
                <w:rStyle w:val="Bodytext2Italic"/>
                <w:i w:val="0"/>
                <w:sz w:val="20"/>
                <w:szCs w:val="24"/>
              </w:rPr>
              <w:t>u'</w:t>
            </w:r>
            <w:r w:rsidRPr="009A3F5E">
              <w:rPr>
                <w:rStyle w:val="Bodytext2Italic"/>
                <w:i w:val="0"/>
                <w:sz w:val="20"/>
                <w:szCs w:val="24"/>
                <w:vertAlign w:val="subscript"/>
              </w:rPr>
              <w:t>3</w:t>
            </w:r>
          </w:p>
        </w:tc>
        <w:tc>
          <w:tcPr>
            <w:tcW w:w="851" w:type="dxa"/>
            <w:tcBorders>
              <w:top w:val="single" w:sz="4" w:space="0" w:color="auto"/>
              <w:bottom w:val="single" w:sz="4" w:space="0" w:color="auto"/>
            </w:tcBorders>
            <w:shd w:val="clear" w:color="auto" w:fill="FFFFFF"/>
          </w:tcPr>
          <w:p w14:paraId="5DDB3D5C" w14:textId="77777777" w:rsidR="00B834A2" w:rsidRPr="009A3F5E" w:rsidRDefault="00B834A2" w:rsidP="001A3F5E">
            <w:pPr>
              <w:pStyle w:val="Bodytext20"/>
              <w:shd w:val="clear" w:color="auto" w:fill="auto"/>
              <w:spacing w:before="0" w:line="240" w:lineRule="auto"/>
              <w:rPr>
                <w:rStyle w:val="Bodytext31Sylfaen9"/>
                <w:i w:val="0"/>
                <w:sz w:val="20"/>
                <w:szCs w:val="24"/>
              </w:rPr>
            </w:pPr>
            <w:r w:rsidRPr="009A3F5E">
              <w:rPr>
                <w:rStyle w:val="Bodytext31Sylfaen9"/>
                <w:i w:val="0"/>
                <w:sz w:val="20"/>
                <w:szCs w:val="24"/>
              </w:rPr>
              <w:t>u'</w:t>
            </w:r>
            <w:r w:rsidRPr="009A3F5E">
              <w:rPr>
                <w:rStyle w:val="Bodytext31Sylfaen9"/>
                <w:i w:val="0"/>
                <w:sz w:val="20"/>
                <w:szCs w:val="24"/>
                <w:vertAlign w:val="subscript"/>
              </w:rPr>
              <w:t>4</w:t>
            </w:r>
          </w:p>
        </w:tc>
        <w:tc>
          <w:tcPr>
            <w:tcW w:w="1848" w:type="dxa"/>
            <w:tcBorders>
              <w:top w:val="single" w:sz="4" w:space="0" w:color="auto"/>
              <w:bottom w:val="single" w:sz="4" w:space="0" w:color="auto"/>
            </w:tcBorders>
            <w:shd w:val="clear" w:color="auto" w:fill="FFFFFF"/>
          </w:tcPr>
          <w:p w14:paraId="3ECDD2EE" w14:textId="77777777" w:rsidR="00B834A2" w:rsidRPr="009A3F5E" w:rsidRDefault="00B834A2" w:rsidP="001A3F5E">
            <w:pPr>
              <w:pStyle w:val="Bodytext20"/>
              <w:spacing w:before="0" w:line="240" w:lineRule="auto"/>
              <w:rPr>
                <w:rStyle w:val="Bodytext31Sylfaen9"/>
                <w:i w:val="0"/>
                <w:sz w:val="20"/>
                <w:szCs w:val="24"/>
              </w:rPr>
            </w:pPr>
          </w:p>
        </w:tc>
      </w:tr>
      <w:tr w:rsidR="00B834A2" w:rsidRPr="009A3F5E" w14:paraId="301336AE" w14:textId="77777777" w:rsidTr="001A3F5E">
        <w:trPr>
          <w:trHeight w:val="363"/>
        </w:trPr>
        <w:tc>
          <w:tcPr>
            <w:tcW w:w="1778" w:type="dxa"/>
            <w:tcBorders>
              <w:top w:val="single" w:sz="4" w:space="0" w:color="auto"/>
            </w:tcBorders>
            <w:shd w:val="clear" w:color="auto" w:fill="FFFFFF"/>
          </w:tcPr>
          <w:p w14:paraId="20AF34C0" w14:textId="77777777" w:rsidR="00B834A2" w:rsidRPr="009A3F5E" w:rsidRDefault="00B834A2" w:rsidP="001A3F5E">
            <w:pPr>
              <w:pStyle w:val="Bodytext20"/>
              <w:spacing w:before="0" w:line="240" w:lineRule="auto"/>
              <w:jc w:val="left"/>
              <w:rPr>
                <w:rStyle w:val="Bodytext2Italic"/>
                <w:i w:val="0"/>
                <w:sz w:val="20"/>
                <w:szCs w:val="24"/>
              </w:rPr>
            </w:pPr>
            <w:r w:rsidRPr="009A3F5E">
              <w:rPr>
                <w:rFonts w:ascii="Sylfaen" w:hAnsi="Sylfaen"/>
                <w:sz w:val="20"/>
                <w:szCs w:val="24"/>
              </w:rPr>
              <w:t>y</w:t>
            </w:r>
          </w:p>
        </w:tc>
        <w:tc>
          <w:tcPr>
            <w:tcW w:w="998" w:type="dxa"/>
            <w:tcBorders>
              <w:top w:val="single" w:sz="4" w:space="0" w:color="auto"/>
            </w:tcBorders>
            <w:shd w:val="clear" w:color="auto" w:fill="FFFFFF"/>
          </w:tcPr>
          <w:p w14:paraId="7C87731A" w14:textId="77777777" w:rsidR="00B834A2" w:rsidRPr="009A3F5E" w:rsidRDefault="00B834A2" w:rsidP="001A3F5E">
            <w:pPr>
              <w:pStyle w:val="Bodytext20"/>
              <w:spacing w:before="0" w:line="240" w:lineRule="auto"/>
              <w:rPr>
                <w:rStyle w:val="Bodytext31Sylfaen9"/>
                <w:i w:val="0"/>
                <w:sz w:val="20"/>
                <w:szCs w:val="24"/>
              </w:rPr>
            </w:pPr>
            <w:r w:rsidRPr="009A3F5E">
              <w:rPr>
                <w:rStyle w:val="Bodytext31Sylfaen9"/>
                <w:i w:val="0"/>
                <w:sz w:val="20"/>
                <w:szCs w:val="24"/>
              </w:rPr>
              <w:t>15,4</w:t>
            </w:r>
          </w:p>
        </w:tc>
        <w:tc>
          <w:tcPr>
            <w:tcW w:w="1074" w:type="dxa"/>
            <w:tcBorders>
              <w:top w:val="single" w:sz="4" w:space="0" w:color="auto"/>
            </w:tcBorders>
            <w:shd w:val="clear" w:color="auto" w:fill="FFFFFF"/>
          </w:tcPr>
          <w:p w14:paraId="7357A5FA"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20,2</w:t>
            </w:r>
          </w:p>
        </w:tc>
        <w:tc>
          <w:tcPr>
            <w:tcW w:w="1052" w:type="dxa"/>
            <w:tcBorders>
              <w:top w:val="single" w:sz="4" w:space="0" w:color="auto"/>
            </w:tcBorders>
            <w:shd w:val="clear" w:color="auto" w:fill="FFFFFF"/>
          </w:tcPr>
          <w:p w14:paraId="048759A4" w14:textId="77777777" w:rsidR="00B834A2" w:rsidRPr="009A3F5E" w:rsidRDefault="00B834A2" w:rsidP="001A3F5E">
            <w:pPr>
              <w:pStyle w:val="Bodytext20"/>
              <w:spacing w:before="0" w:line="240" w:lineRule="auto"/>
              <w:rPr>
                <w:rFonts w:ascii="Sylfaen" w:hAnsi="Sylfaen"/>
                <w:sz w:val="20"/>
                <w:szCs w:val="24"/>
              </w:rPr>
            </w:pPr>
            <w:r w:rsidRPr="009A3F5E">
              <w:rPr>
                <w:rStyle w:val="Bodytext31Sylfaen9"/>
                <w:i w:val="0"/>
                <w:sz w:val="20"/>
                <w:szCs w:val="24"/>
              </w:rPr>
              <w:t>24,2</w:t>
            </w:r>
          </w:p>
        </w:tc>
        <w:tc>
          <w:tcPr>
            <w:tcW w:w="851" w:type="dxa"/>
            <w:tcBorders>
              <w:top w:val="single" w:sz="4" w:space="0" w:color="auto"/>
            </w:tcBorders>
            <w:shd w:val="clear" w:color="auto" w:fill="FFFFFF"/>
          </w:tcPr>
          <w:p w14:paraId="578698C2" w14:textId="77777777" w:rsidR="00B834A2" w:rsidRPr="009A3F5E" w:rsidRDefault="00B834A2" w:rsidP="001A3F5E">
            <w:pPr>
              <w:pStyle w:val="Bodytext20"/>
              <w:spacing w:before="0" w:line="240" w:lineRule="auto"/>
              <w:rPr>
                <w:rStyle w:val="Bodytext31Sylfaen9"/>
                <w:i w:val="0"/>
                <w:sz w:val="20"/>
                <w:szCs w:val="24"/>
              </w:rPr>
            </w:pPr>
            <w:r w:rsidRPr="009A3F5E">
              <w:rPr>
                <w:rStyle w:val="Bodytext31Sylfaen9"/>
                <w:i w:val="0"/>
                <w:sz w:val="20"/>
                <w:szCs w:val="24"/>
              </w:rPr>
              <w:t>27,4</w:t>
            </w:r>
          </w:p>
        </w:tc>
        <w:tc>
          <w:tcPr>
            <w:tcW w:w="1848" w:type="dxa"/>
            <w:tcBorders>
              <w:top w:val="single" w:sz="4" w:space="0" w:color="auto"/>
            </w:tcBorders>
            <w:shd w:val="clear" w:color="auto" w:fill="FFFFFF"/>
          </w:tcPr>
          <w:p w14:paraId="619F1C72" w14:textId="77777777" w:rsidR="00B834A2" w:rsidRPr="009A3F5E" w:rsidRDefault="00B834A2" w:rsidP="001A3F5E">
            <w:pPr>
              <w:pStyle w:val="Bodytext20"/>
              <w:spacing w:before="0" w:line="240" w:lineRule="auto"/>
              <w:ind w:left="17"/>
              <w:rPr>
                <w:rStyle w:val="Bodytext31Sylfaen9"/>
                <w:i w:val="0"/>
                <w:sz w:val="20"/>
                <w:szCs w:val="24"/>
              </w:rPr>
            </w:pPr>
          </w:p>
        </w:tc>
      </w:tr>
      <w:tr w:rsidR="00B834A2" w:rsidRPr="009A3F5E" w14:paraId="0307440F" w14:textId="77777777" w:rsidTr="001A3F5E">
        <w:tc>
          <w:tcPr>
            <w:tcW w:w="1778" w:type="dxa"/>
            <w:shd w:val="clear" w:color="auto" w:fill="FFFFFF"/>
          </w:tcPr>
          <w:p w14:paraId="6C256EF3" w14:textId="77777777" w:rsidR="00B834A2" w:rsidRPr="009A3F5E" w:rsidRDefault="00B834A2" w:rsidP="001A3F5E">
            <w:pPr>
              <w:spacing w:after="120"/>
              <w:rPr>
                <w:sz w:val="20"/>
              </w:rPr>
            </w:pPr>
          </w:p>
        </w:tc>
        <w:tc>
          <w:tcPr>
            <w:tcW w:w="998" w:type="dxa"/>
            <w:shd w:val="clear" w:color="auto" w:fill="FFFFFF"/>
            <w:vAlign w:val="bottom"/>
          </w:tcPr>
          <w:p w14:paraId="731E53E4" w14:textId="77777777" w:rsidR="00B834A2" w:rsidRPr="009A3F5E" w:rsidRDefault="00B834A2" w:rsidP="001A3F5E">
            <w:pPr>
              <w:pStyle w:val="Bodytext20"/>
              <w:shd w:val="clear" w:color="auto" w:fill="auto"/>
              <w:spacing w:before="0" w:line="240" w:lineRule="auto"/>
              <w:ind w:left="220"/>
              <w:jc w:val="left"/>
              <w:rPr>
                <w:rFonts w:ascii="Sylfaen" w:hAnsi="Sylfaen" w:cs="Sylfaen"/>
                <w:sz w:val="20"/>
                <w:szCs w:val="24"/>
              </w:rPr>
            </w:pPr>
            <w:r w:rsidRPr="009A3F5E">
              <w:rPr>
                <w:rStyle w:val="Bodytext31Sylfaen9"/>
                <w:i w:val="0"/>
                <w:sz w:val="20"/>
                <w:szCs w:val="24"/>
              </w:rPr>
              <w:t>15,7</w:t>
            </w:r>
          </w:p>
        </w:tc>
        <w:tc>
          <w:tcPr>
            <w:tcW w:w="1074" w:type="dxa"/>
            <w:shd w:val="clear" w:color="auto" w:fill="FFFFFF"/>
            <w:vAlign w:val="bottom"/>
          </w:tcPr>
          <w:p w14:paraId="6D853628"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18,6</w:t>
            </w:r>
          </w:p>
        </w:tc>
        <w:tc>
          <w:tcPr>
            <w:tcW w:w="1052" w:type="dxa"/>
            <w:shd w:val="clear" w:color="auto" w:fill="FFFFFF"/>
            <w:vAlign w:val="bottom"/>
          </w:tcPr>
          <w:p w14:paraId="2A7B7EC4"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23,1</w:t>
            </w:r>
          </w:p>
        </w:tc>
        <w:tc>
          <w:tcPr>
            <w:tcW w:w="851" w:type="dxa"/>
            <w:shd w:val="clear" w:color="auto" w:fill="FFFFFF"/>
            <w:vAlign w:val="bottom"/>
          </w:tcPr>
          <w:p w14:paraId="5EBADDC6"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27</w:t>
            </w:r>
          </w:p>
        </w:tc>
        <w:tc>
          <w:tcPr>
            <w:tcW w:w="1848" w:type="dxa"/>
            <w:shd w:val="clear" w:color="auto" w:fill="FFFFFF"/>
          </w:tcPr>
          <w:p w14:paraId="41DAD417" w14:textId="77777777" w:rsidR="00B834A2" w:rsidRPr="009A3F5E" w:rsidRDefault="00B834A2" w:rsidP="001A3F5E">
            <w:pPr>
              <w:pStyle w:val="Bodytext20"/>
              <w:spacing w:before="0" w:line="240" w:lineRule="auto"/>
              <w:rPr>
                <w:rFonts w:ascii="Sylfaen" w:hAnsi="Sylfaen" w:cs="Sylfaen"/>
                <w:sz w:val="20"/>
                <w:szCs w:val="24"/>
              </w:rPr>
            </w:pPr>
          </w:p>
        </w:tc>
      </w:tr>
      <w:tr w:rsidR="00B834A2" w:rsidRPr="009A3F5E" w14:paraId="6940083E" w14:textId="77777777" w:rsidTr="001A3F5E">
        <w:tc>
          <w:tcPr>
            <w:tcW w:w="1778" w:type="dxa"/>
            <w:shd w:val="clear" w:color="auto" w:fill="FFFFFF"/>
          </w:tcPr>
          <w:p w14:paraId="48CAB4C9"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4"/>
              </w:rPr>
            </w:pPr>
            <w:r w:rsidRPr="009A3F5E">
              <w:rPr>
                <w:rStyle w:val="Bodytext31Sylfaen9"/>
                <w:i w:val="0"/>
                <w:sz w:val="20"/>
                <w:szCs w:val="24"/>
              </w:rPr>
              <w:t>Միջինը</w:t>
            </w:r>
          </w:p>
        </w:tc>
        <w:tc>
          <w:tcPr>
            <w:tcW w:w="998" w:type="dxa"/>
            <w:shd w:val="clear" w:color="auto" w:fill="FFFFFF"/>
          </w:tcPr>
          <w:p w14:paraId="23866BD9" w14:textId="77777777" w:rsidR="00B834A2" w:rsidRPr="009A3F5E" w:rsidRDefault="00B834A2" w:rsidP="001A3F5E">
            <w:pPr>
              <w:pStyle w:val="Bodytext20"/>
              <w:shd w:val="clear" w:color="auto" w:fill="auto"/>
              <w:spacing w:before="0" w:line="240" w:lineRule="auto"/>
              <w:ind w:left="220"/>
              <w:rPr>
                <w:rFonts w:ascii="Sylfaen" w:hAnsi="Sylfaen" w:cs="Sylfaen"/>
                <w:sz w:val="20"/>
                <w:szCs w:val="24"/>
              </w:rPr>
            </w:pPr>
            <w:r w:rsidRPr="009A3F5E">
              <w:rPr>
                <w:rStyle w:val="Bodytext31Sylfaen9"/>
                <w:i w:val="0"/>
                <w:sz w:val="20"/>
                <w:szCs w:val="24"/>
              </w:rPr>
              <w:t>15,55</w:t>
            </w:r>
          </w:p>
        </w:tc>
        <w:tc>
          <w:tcPr>
            <w:tcW w:w="1074" w:type="dxa"/>
            <w:shd w:val="clear" w:color="auto" w:fill="FFFFFF"/>
          </w:tcPr>
          <w:p w14:paraId="76E432BA"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19,4</w:t>
            </w:r>
          </w:p>
        </w:tc>
        <w:tc>
          <w:tcPr>
            <w:tcW w:w="1052" w:type="dxa"/>
            <w:shd w:val="clear" w:color="auto" w:fill="FFFFFF"/>
          </w:tcPr>
          <w:p w14:paraId="2B7B140A" w14:textId="77777777" w:rsidR="00B834A2" w:rsidRPr="009A3F5E" w:rsidRDefault="00B834A2" w:rsidP="001A3F5E">
            <w:pPr>
              <w:pStyle w:val="Bodytext20"/>
              <w:shd w:val="clear" w:color="auto" w:fill="auto"/>
              <w:spacing w:before="0" w:line="240" w:lineRule="auto"/>
              <w:ind w:left="300"/>
              <w:rPr>
                <w:rFonts w:ascii="Sylfaen" w:hAnsi="Sylfaen" w:cs="Sylfaen"/>
                <w:sz w:val="20"/>
                <w:szCs w:val="24"/>
              </w:rPr>
            </w:pPr>
            <w:r w:rsidRPr="009A3F5E">
              <w:rPr>
                <w:rStyle w:val="Bodytext31Sylfaen9"/>
                <w:i w:val="0"/>
                <w:sz w:val="20"/>
                <w:szCs w:val="24"/>
              </w:rPr>
              <w:t>23,65</w:t>
            </w:r>
          </w:p>
        </w:tc>
        <w:tc>
          <w:tcPr>
            <w:tcW w:w="851" w:type="dxa"/>
            <w:shd w:val="clear" w:color="auto" w:fill="FFFFFF"/>
          </w:tcPr>
          <w:p w14:paraId="2BBC90E3"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27,2</w:t>
            </w:r>
          </w:p>
        </w:tc>
        <w:tc>
          <w:tcPr>
            <w:tcW w:w="1848" w:type="dxa"/>
            <w:shd w:val="clear" w:color="auto" w:fill="FFFFFF"/>
          </w:tcPr>
          <w:p w14:paraId="7C0F125A" w14:textId="77777777" w:rsidR="00B834A2" w:rsidRPr="009A3F5E" w:rsidRDefault="00B834A2" w:rsidP="001A3F5E">
            <w:pPr>
              <w:pStyle w:val="Bodytext20"/>
              <w:spacing w:before="0" w:line="240" w:lineRule="auto"/>
              <w:rPr>
                <w:rFonts w:ascii="Sylfaen" w:hAnsi="Sylfaen" w:cs="Sylfaen"/>
                <w:sz w:val="20"/>
                <w:szCs w:val="24"/>
              </w:rPr>
            </w:pPr>
          </w:p>
        </w:tc>
      </w:tr>
      <w:tr w:rsidR="00B834A2" w:rsidRPr="009A3F5E" w14:paraId="4980A10B" w14:textId="77777777" w:rsidTr="001A3F5E">
        <w:tc>
          <w:tcPr>
            <w:tcW w:w="1778" w:type="dxa"/>
            <w:shd w:val="clear" w:color="auto" w:fill="FFFFFF"/>
          </w:tcPr>
          <w:p w14:paraId="588934F9"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4"/>
              </w:rPr>
            </w:pPr>
            <w:r w:rsidRPr="009A3F5E">
              <w:rPr>
                <w:rStyle w:val="Bodytext31Sylfaen9"/>
                <w:i w:val="0"/>
                <w:sz w:val="20"/>
                <w:szCs w:val="24"/>
              </w:rPr>
              <w:t>Սյունակների գումարը (С)</w:t>
            </w:r>
          </w:p>
        </w:tc>
        <w:tc>
          <w:tcPr>
            <w:tcW w:w="998" w:type="dxa"/>
            <w:shd w:val="clear" w:color="auto" w:fill="FFFFFF"/>
          </w:tcPr>
          <w:p w14:paraId="22C2175D" w14:textId="77777777" w:rsidR="00B834A2" w:rsidRPr="009A3F5E" w:rsidRDefault="00B834A2" w:rsidP="001A3F5E">
            <w:pPr>
              <w:pStyle w:val="Bodytext20"/>
              <w:shd w:val="clear" w:color="auto" w:fill="auto"/>
              <w:spacing w:before="0" w:line="240" w:lineRule="auto"/>
              <w:ind w:left="220"/>
              <w:jc w:val="left"/>
              <w:rPr>
                <w:rFonts w:ascii="Sylfaen" w:hAnsi="Sylfaen" w:cs="Sylfaen"/>
                <w:sz w:val="20"/>
                <w:szCs w:val="24"/>
              </w:rPr>
            </w:pPr>
            <w:r w:rsidRPr="009A3F5E">
              <w:rPr>
                <w:rStyle w:val="Bodytext31Sylfaen9"/>
                <w:i w:val="0"/>
                <w:sz w:val="20"/>
                <w:szCs w:val="24"/>
              </w:rPr>
              <w:t>31,1</w:t>
            </w:r>
          </w:p>
        </w:tc>
        <w:tc>
          <w:tcPr>
            <w:tcW w:w="1074" w:type="dxa"/>
            <w:shd w:val="clear" w:color="auto" w:fill="FFFFFF"/>
          </w:tcPr>
          <w:p w14:paraId="0B071BA3"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38,8</w:t>
            </w:r>
          </w:p>
        </w:tc>
        <w:tc>
          <w:tcPr>
            <w:tcW w:w="1052" w:type="dxa"/>
            <w:shd w:val="clear" w:color="auto" w:fill="FFFFFF"/>
          </w:tcPr>
          <w:p w14:paraId="2ABBEF51"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47,3</w:t>
            </w:r>
          </w:p>
        </w:tc>
        <w:tc>
          <w:tcPr>
            <w:tcW w:w="851" w:type="dxa"/>
            <w:shd w:val="clear" w:color="auto" w:fill="FFFFFF"/>
          </w:tcPr>
          <w:p w14:paraId="06D8CBA0" w14:textId="77777777" w:rsidR="00B834A2" w:rsidRPr="009A3F5E" w:rsidRDefault="00B834A2" w:rsidP="001A3F5E">
            <w:pPr>
              <w:pStyle w:val="Bodytext20"/>
              <w:shd w:val="clear" w:color="auto" w:fill="auto"/>
              <w:spacing w:before="0" w:line="240" w:lineRule="auto"/>
              <w:rPr>
                <w:rFonts w:ascii="Sylfaen" w:hAnsi="Sylfaen" w:cs="Sylfaen"/>
                <w:sz w:val="20"/>
                <w:szCs w:val="24"/>
              </w:rPr>
            </w:pPr>
            <w:r w:rsidRPr="009A3F5E">
              <w:rPr>
                <w:rStyle w:val="Bodytext31Sylfaen9"/>
                <w:i w:val="0"/>
                <w:sz w:val="20"/>
                <w:szCs w:val="24"/>
              </w:rPr>
              <w:t>54,4</w:t>
            </w:r>
          </w:p>
        </w:tc>
        <w:tc>
          <w:tcPr>
            <w:tcW w:w="1848" w:type="dxa"/>
            <w:shd w:val="clear" w:color="auto" w:fill="FFFFFF"/>
          </w:tcPr>
          <w:p w14:paraId="46085A65" w14:textId="77777777" w:rsidR="00B834A2" w:rsidRPr="009A3F5E" w:rsidRDefault="00B834A2" w:rsidP="001A3F5E">
            <w:pPr>
              <w:spacing w:after="120"/>
              <w:jc w:val="center"/>
              <w:rPr>
                <w:sz w:val="20"/>
              </w:rPr>
            </w:pPr>
            <w:r w:rsidRPr="009A3F5E">
              <w:rPr>
                <w:sz w:val="20"/>
              </w:rPr>
              <w:t>ΣC=595,7</w:t>
            </w:r>
          </w:p>
        </w:tc>
      </w:tr>
      <w:tr w:rsidR="00B834A2" w:rsidRPr="009A3F5E" w14:paraId="5C54E067" w14:textId="77777777" w:rsidTr="001A3F5E">
        <w:tc>
          <w:tcPr>
            <w:tcW w:w="1778" w:type="dxa"/>
            <w:shd w:val="clear" w:color="auto" w:fill="FFFFFF"/>
          </w:tcPr>
          <w:p w14:paraId="66AF005B"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4"/>
              </w:rPr>
            </w:pPr>
            <w:r w:rsidRPr="009A3F5E">
              <w:rPr>
                <w:rStyle w:val="Bodytext31Sylfaen9"/>
                <w:i w:val="0"/>
                <w:sz w:val="20"/>
                <w:szCs w:val="24"/>
              </w:rPr>
              <w:t>С</w:t>
            </w:r>
            <w:r w:rsidRPr="009A3F5E">
              <w:rPr>
                <w:rStyle w:val="Bodytext31Sylfaen9"/>
                <w:i w:val="0"/>
                <w:sz w:val="20"/>
                <w:szCs w:val="24"/>
                <w:vertAlign w:val="superscript"/>
              </w:rPr>
              <w:t>2</w:t>
            </w:r>
          </w:p>
        </w:tc>
        <w:tc>
          <w:tcPr>
            <w:tcW w:w="998" w:type="dxa"/>
            <w:shd w:val="clear" w:color="auto" w:fill="FFFFFF"/>
          </w:tcPr>
          <w:p w14:paraId="62AD8955"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4"/>
              </w:rPr>
            </w:pPr>
            <w:r w:rsidRPr="009A3F5E">
              <w:rPr>
                <w:rStyle w:val="Bodytext31Sylfaen9"/>
                <w:i w:val="0"/>
                <w:sz w:val="20"/>
                <w:szCs w:val="24"/>
              </w:rPr>
              <w:t>967,21</w:t>
            </w:r>
          </w:p>
        </w:tc>
        <w:tc>
          <w:tcPr>
            <w:tcW w:w="1074" w:type="dxa"/>
            <w:shd w:val="clear" w:color="auto" w:fill="FFFFFF"/>
          </w:tcPr>
          <w:p w14:paraId="367A7FC2" w14:textId="77777777" w:rsidR="00B834A2" w:rsidRPr="009A3F5E" w:rsidRDefault="00B834A2" w:rsidP="001A3F5E">
            <w:pPr>
              <w:pStyle w:val="Bodytext20"/>
              <w:shd w:val="clear" w:color="auto" w:fill="auto"/>
              <w:spacing w:before="0" w:line="240" w:lineRule="auto"/>
              <w:ind w:left="160"/>
              <w:jc w:val="left"/>
              <w:rPr>
                <w:rFonts w:ascii="Sylfaen" w:hAnsi="Sylfaen" w:cs="Sylfaen"/>
                <w:sz w:val="20"/>
                <w:szCs w:val="24"/>
              </w:rPr>
            </w:pPr>
            <w:r w:rsidRPr="009A3F5E">
              <w:rPr>
                <w:rStyle w:val="Bodytext31Sylfaen9"/>
                <w:i w:val="0"/>
                <w:sz w:val="20"/>
                <w:szCs w:val="24"/>
              </w:rPr>
              <w:t>1505,44</w:t>
            </w:r>
          </w:p>
        </w:tc>
        <w:tc>
          <w:tcPr>
            <w:tcW w:w="1052" w:type="dxa"/>
            <w:shd w:val="clear" w:color="auto" w:fill="FFFFFF"/>
          </w:tcPr>
          <w:p w14:paraId="14841550" w14:textId="77777777" w:rsidR="00B834A2" w:rsidRPr="009A3F5E" w:rsidRDefault="00B834A2" w:rsidP="001A3F5E">
            <w:pPr>
              <w:pStyle w:val="Bodytext20"/>
              <w:shd w:val="clear" w:color="auto" w:fill="auto"/>
              <w:spacing w:before="0" w:line="240" w:lineRule="auto"/>
              <w:ind w:left="140"/>
              <w:jc w:val="left"/>
              <w:rPr>
                <w:rFonts w:ascii="Sylfaen" w:hAnsi="Sylfaen" w:cs="Sylfaen"/>
                <w:sz w:val="20"/>
                <w:szCs w:val="24"/>
              </w:rPr>
            </w:pPr>
            <w:r w:rsidRPr="009A3F5E">
              <w:rPr>
                <w:rStyle w:val="Bodytext31Sylfaen9"/>
                <w:i w:val="0"/>
                <w:sz w:val="20"/>
                <w:szCs w:val="24"/>
              </w:rPr>
              <w:t>2237,29</w:t>
            </w:r>
          </w:p>
        </w:tc>
        <w:tc>
          <w:tcPr>
            <w:tcW w:w="851" w:type="dxa"/>
            <w:shd w:val="clear" w:color="auto" w:fill="FFFFFF"/>
          </w:tcPr>
          <w:p w14:paraId="2A325DC1" w14:textId="77777777" w:rsidR="00B834A2" w:rsidRPr="009A3F5E" w:rsidRDefault="00B834A2" w:rsidP="001A3F5E">
            <w:pPr>
              <w:pStyle w:val="Bodytext20"/>
              <w:shd w:val="clear" w:color="auto" w:fill="auto"/>
              <w:spacing w:before="0" w:line="240" w:lineRule="auto"/>
              <w:jc w:val="left"/>
              <w:rPr>
                <w:rFonts w:ascii="Sylfaen" w:hAnsi="Sylfaen" w:cs="Sylfaen"/>
                <w:sz w:val="20"/>
                <w:szCs w:val="24"/>
              </w:rPr>
            </w:pPr>
            <w:r w:rsidRPr="009A3F5E">
              <w:rPr>
                <w:rStyle w:val="Bodytext31Sylfaen9"/>
                <w:i w:val="0"/>
                <w:sz w:val="20"/>
                <w:szCs w:val="24"/>
              </w:rPr>
              <w:t>2959,36</w:t>
            </w:r>
          </w:p>
        </w:tc>
        <w:tc>
          <w:tcPr>
            <w:tcW w:w="1848" w:type="dxa"/>
            <w:shd w:val="clear" w:color="auto" w:fill="FFFFFF"/>
          </w:tcPr>
          <w:p w14:paraId="694377B9" w14:textId="77777777" w:rsidR="00B834A2" w:rsidRPr="009A3F5E" w:rsidRDefault="00B834A2" w:rsidP="001A3F5E">
            <w:pPr>
              <w:pStyle w:val="Bodytext20"/>
              <w:shd w:val="clear" w:color="auto" w:fill="auto"/>
              <w:spacing w:before="0" w:line="240" w:lineRule="auto"/>
              <w:ind w:left="17"/>
              <w:rPr>
                <w:rFonts w:ascii="Sylfaen" w:hAnsi="Sylfaen" w:cs="Sylfaen"/>
                <w:sz w:val="20"/>
                <w:szCs w:val="24"/>
              </w:rPr>
            </w:pPr>
            <w:r w:rsidRPr="009A3F5E">
              <w:rPr>
                <w:rFonts w:ascii="Sylfaen" w:hAnsi="Sylfaen"/>
                <w:sz w:val="20"/>
                <w:szCs w:val="24"/>
              </w:rPr>
              <w:t>ΣC</w:t>
            </w:r>
            <w:r w:rsidRPr="009A3F5E">
              <w:rPr>
                <w:rFonts w:ascii="Sylfaen" w:hAnsi="Sylfaen"/>
                <w:sz w:val="20"/>
                <w:szCs w:val="24"/>
                <w:vertAlign w:val="superscript"/>
              </w:rPr>
              <w:t>2</w:t>
            </w:r>
            <w:r w:rsidRPr="009A3F5E">
              <w:rPr>
                <w:rStyle w:val="Bodytext31Sylfaen9"/>
                <w:i w:val="0"/>
                <w:sz w:val="20"/>
                <w:szCs w:val="24"/>
              </w:rPr>
              <w:t xml:space="preserve"> = 31763,95</w:t>
            </w:r>
          </w:p>
        </w:tc>
      </w:tr>
    </w:tbl>
    <w:p w14:paraId="3F31B459" w14:textId="77777777" w:rsidR="001A3F5E" w:rsidRPr="009A3F5E" w:rsidRDefault="001A3F5E" w:rsidP="001A3F5E">
      <w:pPr>
        <w:spacing w:after="160" w:line="360" w:lineRule="auto"/>
        <w:ind w:right="-1" w:firstLine="567"/>
        <w:jc w:val="both"/>
        <w:rPr>
          <w:rStyle w:val="Bodytext285pt"/>
          <w:rFonts w:eastAsia="Tahoma"/>
          <w:i w:val="0"/>
          <w:spacing w:val="0"/>
          <w:sz w:val="24"/>
          <w:szCs w:val="24"/>
          <w:lang w:val="en-US"/>
        </w:rPr>
      </w:pPr>
    </w:p>
    <w:p w14:paraId="70E08781" w14:textId="77777777" w:rsidR="00B834A2" w:rsidRPr="009A3F5E" w:rsidRDefault="00B834A2" w:rsidP="001A3F5E">
      <w:pPr>
        <w:spacing w:after="160" w:line="360" w:lineRule="auto"/>
        <w:ind w:right="-1" w:firstLine="567"/>
        <w:jc w:val="both"/>
      </w:pPr>
      <w:r w:rsidRPr="009A3F5E">
        <w:rPr>
          <w:rStyle w:val="Bodytext285pt"/>
          <w:rFonts w:eastAsia="Tahoma"/>
          <w:i w:val="0"/>
          <w:spacing w:val="0"/>
          <w:sz w:val="24"/>
          <w:szCs w:val="24"/>
        </w:rPr>
        <w:t>n</w:t>
      </w:r>
      <w:r w:rsidRPr="009A3F5E">
        <w:rPr>
          <w:rStyle w:val="Bodytext240"/>
          <w:sz w:val="24"/>
          <w:szCs w:val="24"/>
        </w:rPr>
        <w:t xml:space="preserve"> = 2 </w:t>
      </w:r>
      <w:r w:rsidRPr="009A3F5E">
        <w:t xml:space="preserve">(խմբում արձագանքների թիվը). N=22 (փորձի ժամանակ արձագանքների ընդհանուր թիվը). </w:t>
      </w:r>
      <w:r w:rsidRPr="009A3F5E">
        <w:rPr>
          <w:rStyle w:val="Bodytext240"/>
          <w:sz w:val="24"/>
          <w:szCs w:val="24"/>
        </w:rPr>
        <w:t>d</w:t>
      </w:r>
      <w:r w:rsidRPr="009A3F5E">
        <w:t xml:space="preserve"> </w:t>
      </w:r>
      <w:r w:rsidRPr="009A3F5E">
        <w:rPr>
          <w:rStyle w:val="Bodytext240"/>
          <w:sz w:val="24"/>
          <w:szCs w:val="24"/>
        </w:rPr>
        <w:t>= 4</w:t>
      </w:r>
      <w:r w:rsidRPr="009A3F5E">
        <w:t xml:space="preserve"> (յուրաքանչյուր նմուշի համար դեղաչափերի թիվը). </w:t>
      </w:r>
      <w:r w:rsidRPr="009A3F5E">
        <w:rPr>
          <w:rStyle w:val="Bodytext240"/>
          <w:sz w:val="24"/>
          <w:szCs w:val="24"/>
        </w:rPr>
        <w:t>h = 3</w:t>
      </w:r>
      <w:r w:rsidRPr="009A3F5E">
        <w:t xml:space="preserve"> (փորձարկման ժամանակ նմուշների թիվը՝ ներառյալ ստանդարտ նմուշը). </w:t>
      </w:r>
      <w:r w:rsidRPr="009A3F5E">
        <w:rPr>
          <w:rStyle w:val="Bodytext285pt"/>
          <w:rFonts w:eastAsia="Tahoma"/>
          <w:i w:val="0"/>
          <w:spacing w:val="0"/>
          <w:sz w:val="24"/>
          <w:szCs w:val="24"/>
        </w:rPr>
        <w:t>m</w:t>
      </w:r>
      <w:r w:rsidRPr="009A3F5E">
        <w:rPr>
          <w:rStyle w:val="Bodytext240"/>
          <w:sz w:val="24"/>
          <w:szCs w:val="24"/>
        </w:rPr>
        <w:t xml:space="preserve"> = 0 </w:t>
      </w:r>
      <w:r w:rsidRPr="009A3F5E">
        <w:t>(կորսված եւ փոխարինված արժեքների թիվը)։</w:t>
      </w:r>
    </w:p>
    <w:p w14:paraId="70BB6382"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lastRenderedPageBreak/>
        <w:t>Արձագանքների գումարները</w:t>
      </w:r>
    </w:p>
    <w:p w14:paraId="5FE577F9"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Style w:val="Bodytext31Sylfaen9"/>
          <w:i w:val="0"/>
          <w:sz w:val="24"/>
          <w:szCs w:val="24"/>
        </w:rPr>
        <w:t>Р</w:t>
      </w:r>
      <w:r w:rsidRPr="009A3F5E">
        <w:rPr>
          <w:rStyle w:val="Bodytext31Sylfaen9"/>
          <w:i w:val="0"/>
          <w:sz w:val="24"/>
          <w:szCs w:val="24"/>
          <w:vertAlign w:val="subscript"/>
        </w:rPr>
        <w:t>S</w:t>
      </w:r>
      <w:r w:rsidRPr="009A3F5E">
        <w:rPr>
          <w:rStyle w:val="Bodytext31Sylfaen9"/>
          <w:i w:val="0"/>
          <w:sz w:val="24"/>
          <w:szCs w:val="24"/>
        </w:rPr>
        <w:t xml:space="preserve"> =S</w:t>
      </w:r>
      <w:r w:rsidRPr="009A3F5E">
        <w:rPr>
          <w:rStyle w:val="Bodytext31Sylfaen9"/>
          <w:i w:val="0"/>
          <w:sz w:val="24"/>
          <w:szCs w:val="24"/>
          <w:vertAlign w:val="subscript"/>
        </w:rPr>
        <w:t>1</w:t>
      </w:r>
      <w:r w:rsidRPr="009A3F5E">
        <w:rPr>
          <w:rStyle w:val="Bodytext31Sylfaen9"/>
          <w:i w:val="0"/>
          <w:sz w:val="24"/>
          <w:szCs w:val="24"/>
        </w:rPr>
        <w:t xml:space="preserve"> + S</w:t>
      </w:r>
      <w:r w:rsidRPr="009A3F5E">
        <w:rPr>
          <w:rStyle w:val="Bodytext285pt"/>
          <w:i w:val="0"/>
          <w:spacing w:val="0"/>
          <w:sz w:val="24"/>
          <w:szCs w:val="24"/>
          <w:vertAlign w:val="subscript"/>
        </w:rPr>
        <w:t>2</w:t>
      </w:r>
      <w:r w:rsidRPr="009A3F5E">
        <w:rPr>
          <w:rStyle w:val="Bodytext31Sylfaen9"/>
          <w:i w:val="0"/>
          <w:sz w:val="24"/>
          <w:szCs w:val="24"/>
        </w:rPr>
        <w:t xml:space="preserve"> + S</w:t>
      </w:r>
      <w:r w:rsidRPr="009A3F5E">
        <w:rPr>
          <w:rStyle w:val="Bodytext285pt"/>
          <w:i w:val="0"/>
          <w:spacing w:val="0"/>
          <w:sz w:val="24"/>
          <w:szCs w:val="24"/>
          <w:vertAlign w:val="subscript"/>
        </w:rPr>
        <w:t>3</w:t>
      </w:r>
      <w:r w:rsidRPr="009A3F5E">
        <w:rPr>
          <w:rStyle w:val="Bodytext31Sylfaen9"/>
          <w:i w:val="0"/>
          <w:sz w:val="24"/>
          <w:szCs w:val="24"/>
        </w:rPr>
        <w:t xml:space="preserve"> + S</w:t>
      </w:r>
      <w:r w:rsidRPr="009A3F5E">
        <w:rPr>
          <w:rStyle w:val="Bodytext285pt"/>
          <w:i w:val="0"/>
          <w:spacing w:val="0"/>
          <w:sz w:val="24"/>
          <w:szCs w:val="24"/>
          <w:vertAlign w:val="subscript"/>
        </w:rPr>
        <w:t>4</w:t>
      </w:r>
      <w:r w:rsidRPr="009A3F5E">
        <w:rPr>
          <w:rStyle w:val="Bodytext31Sylfaen9"/>
          <w:i w:val="0"/>
          <w:sz w:val="24"/>
          <w:szCs w:val="24"/>
        </w:rPr>
        <w:t xml:space="preserve"> =108,2.</w:t>
      </w:r>
    </w:p>
    <w:p w14:paraId="01386E24"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Style w:val="Bodytext2Italic"/>
          <w:i w:val="0"/>
          <w:sz w:val="24"/>
          <w:szCs w:val="24"/>
        </w:rPr>
        <w:t>Р</w:t>
      </w:r>
      <w:r w:rsidRPr="009A3F5E">
        <w:rPr>
          <w:rStyle w:val="Bodytext2Italic"/>
          <w:i w:val="0"/>
          <w:sz w:val="24"/>
          <w:szCs w:val="24"/>
          <w:vertAlign w:val="subscript"/>
        </w:rPr>
        <w:t>U</w:t>
      </w:r>
      <w:r w:rsidRPr="009A3F5E">
        <w:rPr>
          <w:rStyle w:val="Bodytext2Italic"/>
          <w:i w:val="0"/>
          <w:sz w:val="24"/>
          <w:szCs w:val="24"/>
        </w:rPr>
        <w:t xml:space="preserve"> =U</w:t>
      </w:r>
      <w:r w:rsidRPr="009A3F5E">
        <w:rPr>
          <w:rStyle w:val="Bodytext285pt"/>
          <w:i w:val="0"/>
          <w:spacing w:val="0"/>
          <w:sz w:val="24"/>
          <w:szCs w:val="24"/>
          <w:vertAlign w:val="subscript"/>
        </w:rPr>
        <w:t>1</w:t>
      </w:r>
      <w:r w:rsidRPr="009A3F5E">
        <w:rPr>
          <w:rStyle w:val="Bodytext31Sylfaen9"/>
          <w:i w:val="0"/>
          <w:sz w:val="24"/>
          <w:szCs w:val="24"/>
        </w:rPr>
        <w:t xml:space="preserve"> +U</w:t>
      </w:r>
      <w:r w:rsidRPr="009A3F5E">
        <w:rPr>
          <w:rStyle w:val="Bodytext31Sylfaen9"/>
          <w:i w:val="0"/>
          <w:sz w:val="24"/>
          <w:szCs w:val="24"/>
          <w:vertAlign w:val="subscript"/>
        </w:rPr>
        <w:t>2</w:t>
      </w:r>
      <w:r w:rsidRPr="009A3F5E">
        <w:rPr>
          <w:rStyle w:val="Bodytext31Sylfaen9"/>
          <w:i w:val="0"/>
          <w:sz w:val="24"/>
          <w:szCs w:val="24"/>
        </w:rPr>
        <w:t xml:space="preserve"> +U</w:t>
      </w:r>
      <w:r w:rsidRPr="009A3F5E">
        <w:rPr>
          <w:rStyle w:val="Bodytext31Sylfaen9"/>
          <w:i w:val="0"/>
          <w:sz w:val="24"/>
          <w:szCs w:val="24"/>
          <w:vertAlign w:val="subscript"/>
        </w:rPr>
        <w:t>3</w:t>
      </w:r>
      <w:r w:rsidRPr="009A3F5E">
        <w:rPr>
          <w:rStyle w:val="Bodytext31Sylfaen9"/>
          <w:i w:val="0"/>
          <w:sz w:val="24"/>
          <w:szCs w:val="24"/>
        </w:rPr>
        <w:t xml:space="preserve"> </w:t>
      </w:r>
      <w:r w:rsidRPr="009A3F5E">
        <w:rPr>
          <w:rStyle w:val="Bodytext2Italic"/>
          <w:i w:val="0"/>
          <w:sz w:val="24"/>
          <w:szCs w:val="24"/>
        </w:rPr>
        <w:t>+U</w:t>
      </w:r>
      <w:r w:rsidRPr="009A3F5E">
        <w:rPr>
          <w:rStyle w:val="Bodytext2Italic"/>
          <w:i w:val="0"/>
          <w:sz w:val="24"/>
          <w:szCs w:val="24"/>
          <w:vertAlign w:val="subscript"/>
        </w:rPr>
        <w:t>4</w:t>
      </w:r>
      <w:r w:rsidRPr="009A3F5E">
        <w:rPr>
          <w:rStyle w:val="Bodytext31Sylfaen9"/>
          <w:i w:val="0"/>
          <w:sz w:val="24"/>
          <w:szCs w:val="24"/>
        </w:rPr>
        <w:t xml:space="preserve"> =103,85.</w:t>
      </w:r>
    </w:p>
    <w:p w14:paraId="6CE61705"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Style w:val="Bodytext31Sylfaen9"/>
          <w:i w:val="0"/>
          <w:sz w:val="24"/>
          <w:szCs w:val="24"/>
        </w:rPr>
        <w:t>Р</w:t>
      </w:r>
      <w:r w:rsidRPr="009A3F5E">
        <w:rPr>
          <w:rStyle w:val="Bodytext31Sylfaen9"/>
          <w:i w:val="0"/>
          <w:sz w:val="24"/>
          <w:szCs w:val="24"/>
          <w:vertAlign w:val="subscript"/>
        </w:rPr>
        <w:t>U'</w:t>
      </w:r>
      <w:r w:rsidRPr="009A3F5E">
        <w:rPr>
          <w:rStyle w:val="Bodytext31Sylfaen9"/>
          <w:i w:val="0"/>
          <w:sz w:val="24"/>
          <w:szCs w:val="24"/>
        </w:rPr>
        <w:t>=U'</w:t>
      </w:r>
      <w:r w:rsidRPr="009A3F5E">
        <w:rPr>
          <w:rStyle w:val="Bodytext31Sylfaen9"/>
          <w:i w:val="0"/>
          <w:sz w:val="24"/>
          <w:szCs w:val="24"/>
          <w:vertAlign w:val="subscript"/>
        </w:rPr>
        <w:t>1</w:t>
      </w:r>
      <w:r w:rsidRPr="009A3F5E">
        <w:rPr>
          <w:rStyle w:val="Bodytext31Sylfaen9"/>
          <w:i w:val="0"/>
          <w:sz w:val="24"/>
          <w:szCs w:val="24"/>
        </w:rPr>
        <w:t xml:space="preserve"> +U'</w:t>
      </w:r>
      <w:r w:rsidRPr="009A3F5E">
        <w:rPr>
          <w:rStyle w:val="Bodytext31Sylfaen9"/>
          <w:i w:val="0"/>
          <w:sz w:val="24"/>
          <w:szCs w:val="24"/>
          <w:vertAlign w:val="subscript"/>
        </w:rPr>
        <w:t>2</w:t>
      </w:r>
      <w:r w:rsidRPr="009A3F5E">
        <w:rPr>
          <w:rStyle w:val="Bodytext31Sylfaen9"/>
          <w:i w:val="0"/>
          <w:sz w:val="24"/>
          <w:szCs w:val="24"/>
        </w:rPr>
        <w:t xml:space="preserve"> +U'</w:t>
      </w:r>
      <w:r w:rsidRPr="009A3F5E">
        <w:rPr>
          <w:rStyle w:val="Bodytext31Sylfaen9"/>
          <w:i w:val="0"/>
          <w:sz w:val="24"/>
          <w:szCs w:val="24"/>
          <w:vertAlign w:val="subscript"/>
        </w:rPr>
        <w:t>3</w:t>
      </w:r>
      <w:r w:rsidRPr="009A3F5E">
        <w:rPr>
          <w:rStyle w:val="Bodytext31Sylfaen9"/>
          <w:i w:val="0"/>
          <w:sz w:val="24"/>
          <w:szCs w:val="24"/>
        </w:rPr>
        <w:t xml:space="preserve"> +U'</w:t>
      </w:r>
      <w:r w:rsidRPr="009A3F5E">
        <w:rPr>
          <w:rStyle w:val="Bodytext31Sylfaen9"/>
          <w:i w:val="0"/>
          <w:sz w:val="24"/>
          <w:szCs w:val="24"/>
          <w:vertAlign w:val="subscript"/>
        </w:rPr>
        <w:t>4</w:t>
      </w:r>
      <w:r w:rsidRPr="009A3F5E">
        <w:rPr>
          <w:rStyle w:val="Bodytext31Sylfaen9"/>
          <w:i w:val="0"/>
          <w:sz w:val="24"/>
          <w:szCs w:val="24"/>
        </w:rPr>
        <w:t xml:space="preserve"> =85,8։</w:t>
      </w:r>
    </w:p>
    <w:p w14:paraId="520E00A5"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Style w:val="Bodytext31Sylfaen9"/>
          <w:i w:val="0"/>
          <w:sz w:val="24"/>
          <w:szCs w:val="24"/>
        </w:rPr>
        <w:t xml:space="preserve">Գծային արտադրյալները </w:t>
      </w:r>
    </w:p>
    <w:p w14:paraId="7E3B999F" w14:textId="77777777" w:rsidR="00B834A2" w:rsidRPr="009A3F5E" w:rsidRDefault="00B834A2" w:rsidP="00B834A2">
      <w:pPr>
        <w:pStyle w:val="Bodytext20"/>
        <w:shd w:val="clear" w:color="auto" w:fill="auto"/>
        <w:spacing w:before="0" w:after="160" w:line="360" w:lineRule="auto"/>
        <w:rPr>
          <w:rStyle w:val="Bodytext31Sylfaen9"/>
          <w:i w:val="0"/>
          <w:sz w:val="24"/>
          <w:szCs w:val="24"/>
        </w:rPr>
      </w:pPr>
      <w:r w:rsidRPr="009A3F5E">
        <w:rPr>
          <w:rStyle w:val="Bodytext31Sylfaen9"/>
          <w:i w:val="0"/>
          <w:sz w:val="24"/>
          <w:szCs w:val="24"/>
        </w:rPr>
        <w:t>L</w:t>
      </w:r>
      <w:r w:rsidRPr="009A3F5E">
        <w:rPr>
          <w:rStyle w:val="Bodytext31Sylfaen9"/>
          <w:i w:val="0"/>
          <w:sz w:val="24"/>
          <w:szCs w:val="24"/>
          <w:vertAlign w:val="subscript"/>
        </w:rPr>
        <w:t>s</w:t>
      </w:r>
      <w:r w:rsidRPr="009A3F5E">
        <w:rPr>
          <w:rStyle w:val="Bodytext31Sylfaen9"/>
          <w:i w:val="0"/>
          <w:sz w:val="24"/>
          <w:szCs w:val="24"/>
        </w:rPr>
        <w:t xml:space="preserve"> =1S</w:t>
      </w:r>
      <w:r w:rsidRPr="009A3F5E">
        <w:rPr>
          <w:rStyle w:val="Bodytext31Sylfaen9"/>
          <w:i w:val="0"/>
          <w:sz w:val="24"/>
          <w:szCs w:val="24"/>
          <w:vertAlign w:val="subscript"/>
        </w:rPr>
        <w:t>1</w:t>
      </w:r>
      <w:r w:rsidRPr="009A3F5E">
        <w:rPr>
          <w:rStyle w:val="Bodytext31Sylfaen9"/>
          <w:i w:val="0"/>
          <w:sz w:val="24"/>
          <w:szCs w:val="24"/>
        </w:rPr>
        <w:t xml:space="preserve"> +2S</w:t>
      </w:r>
      <w:r w:rsidRPr="009A3F5E">
        <w:rPr>
          <w:rStyle w:val="Bodytext285pt"/>
          <w:i w:val="0"/>
          <w:spacing w:val="0"/>
          <w:sz w:val="24"/>
          <w:szCs w:val="24"/>
          <w:vertAlign w:val="subscript"/>
        </w:rPr>
        <w:t>2</w:t>
      </w:r>
      <w:r w:rsidRPr="009A3F5E">
        <w:rPr>
          <w:rStyle w:val="Bodytext31Sylfaen9"/>
          <w:i w:val="0"/>
          <w:sz w:val="24"/>
          <w:szCs w:val="24"/>
        </w:rPr>
        <w:t xml:space="preserve"> +ЗS</w:t>
      </w:r>
      <w:r w:rsidRPr="009A3F5E">
        <w:rPr>
          <w:rStyle w:val="Bodytext285pt"/>
          <w:i w:val="0"/>
          <w:spacing w:val="0"/>
          <w:sz w:val="24"/>
          <w:szCs w:val="24"/>
          <w:vertAlign w:val="subscript"/>
        </w:rPr>
        <w:t>3</w:t>
      </w:r>
      <w:r w:rsidRPr="009A3F5E">
        <w:rPr>
          <w:rStyle w:val="Bodytext31Sylfaen9"/>
          <w:i w:val="0"/>
          <w:sz w:val="24"/>
          <w:szCs w:val="24"/>
        </w:rPr>
        <w:t xml:space="preserve"> +4S </w:t>
      </w:r>
      <w:r w:rsidRPr="009A3F5E">
        <w:rPr>
          <w:rStyle w:val="Bodytext285pt"/>
          <w:i w:val="0"/>
          <w:spacing w:val="0"/>
          <w:sz w:val="24"/>
          <w:szCs w:val="24"/>
          <w:vertAlign w:val="subscript"/>
        </w:rPr>
        <w:t>4</w:t>
      </w:r>
      <w:r w:rsidRPr="009A3F5E">
        <w:rPr>
          <w:rStyle w:val="Bodytext31Sylfaen9"/>
          <w:i w:val="0"/>
          <w:sz w:val="24"/>
          <w:szCs w:val="24"/>
        </w:rPr>
        <w:t xml:space="preserve"> =301,1.</w:t>
      </w:r>
    </w:p>
    <w:p w14:paraId="4F81673D"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Style w:val="Bodytext31Sylfaen9"/>
          <w:i w:val="0"/>
          <w:sz w:val="24"/>
          <w:szCs w:val="24"/>
        </w:rPr>
        <w:t>L</w:t>
      </w:r>
      <w:r w:rsidRPr="009A3F5E">
        <w:rPr>
          <w:rStyle w:val="Bodytext31Sylfaen9"/>
          <w:i w:val="0"/>
          <w:sz w:val="24"/>
          <w:szCs w:val="24"/>
          <w:vertAlign w:val="subscript"/>
        </w:rPr>
        <w:t>U</w:t>
      </w:r>
      <w:r w:rsidRPr="009A3F5E">
        <w:rPr>
          <w:rStyle w:val="Bodytext31Sylfaen9"/>
          <w:i w:val="0"/>
          <w:sz w:val="24"/>
          <w:szCs w:val="24"/>
        </w:rPr>
        <w:t xml:space="preserve"> = 1U</w:t>
      </w:r>
      <w:r w:rsidRPr="009A3F5E">
        <w:rPr>
          <w:rStyle w:val="Bodytext31Sylfaen9"/>
          <w:i w:val="0"/>
          <w:sz w:val="24"/>
          <w:szCs w:val="24"/>
          <w:vertAlign w:val="subscript"/>
        </w:rPr>
        <w:t>1</w:t>
      </w:r>
      <w:r w:rsidRPr="009A3F5E">
        <w:rPr>
          <w:rStyle w:val="Bodytext31Sylfaen9"/>
          <w:i w:val="0"/>
          <w:sz w:val="24"/>
          <w:szCs w:val="24"/>
        </w:rPr>
        <w:t xml:space="preserve"> + 2U</w:t>
      </w:r>
      <w:r w:rsidRPr="009A3F5E">
        <w:rPr>
          <w:rStyle w:val="Bodytext2Italic"/>
          <w:i w:val="0"/>
          <w:sz w:val="24"/>
          <w:szCs w:val="24"/>
          <w:vertAlign w:val="subscript"/>
        </w:rPr>
        <w:t xml:space="preserve"> 2</w:t>
      </w:r>
      <w:r w:rsidRPr="009A3F5E">
        <w:rPr>
          <w:rStyle w:val="Bodytext31Sylfaen9"/>
          <w:i w:val="0"/>
          <w:sz w:val="24"/>
          <w:szCs w:val="24"/>
          <w:vertAlign w:val="subscript"/>
        </w:rPr>
        <w:t xml:space="preserve"> </w:t>
      </w:r>
      <w:r w:rsidRPr="009A3F5E">
        <w:rPr>
          <w:rStyle w:val="Bodytext31Sylfaen9"/>
          <w:i w:val="0"/>
          <w:sz w:val="24"/>
          <w:szCs w:val="24"/>
        </w:rPr>
        <w:t>+ 2U</w:t>
      </w:r>
      <w:r w:rsidRPr="009A3F5E">
        <w:rPr>
          <w:rStyle w:val="Bodytext31Sylfaen9"/>
          <w:i w:val="0"/>
          <w:sz w:val="24"/>
          <w:szCs w:val="24"/>
          <w:vertAlign w:val="subscript"/>
        </w:rPr>
        <w:t>з</w:t>
      </w:r>
      <w:r w:rsidRPr="009A3F5E">
        <w:rPr>
          <w:rStyle w:val="Bodytext31Sylfaen9"/>
          <w:i w:val="0"/>
          <w:sz w:val="24"/>
          <w:szCs w:val="24"/>
        </w:rPr>
        <w:t xml:space="preserve"> + 4U</w:t>
      </w:r>
      <w:r w:rsidRPr="009A3F5E">
        <w:rPr>
          <w:rStyle w:val="Bodytext285pt"/>
          <w:i w:val="0"/>
          <w:spacing w:val="0"/>
          <w:sz w:val="24"/>
          <w:szCs w:val="24"/>
          <w:vertAlign w:val="subscript"/>
        </w:rPr>
        <w:t>4</w:t>
      </w:r>
      <w:r w:rsidRPr="009A3F5E">
        <w:rPr>
          <w:rStyle w:val="Bodytext31Sylfaen9"/>
          <w:i w:val="0"/>
          <w:sz w:val="24"/>
          <w:szCs w:val="24"/>
        </w:rPr>
        <w:t xml:space="preserve"> = 292,1.</w:t>
      </w:r>
    </w:p>
    <w:p w14:paraId="32628061"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r w:rsidRPr="009A3F5E">
        <w:rPr>
          <w:rStyle w:val="Bodytext2Italic"/>
          <w:i w:val="0"/>
          <w:sz w:val="24"/>
          <w:szCs w:val="24"/>
        </w:rPr>
        <w:t>L</w:t>
      </w:r>
      <w:r w:rsidRPr="009A3F5E">
        <w:rPr>
          <w:rStyle w:val="Bodytext2Italic"/>
          <w:i w:val="0"/>
          <w:sz w:val="24"/>
          <w:szCs w:val="24"/>
          <w:vertAlign w:val="subscript"/>
        </w:rPr>
        <w:t>U'</w:t>
      </w:r>
      <w:r w:rsidRPr="009A3F5E">
        <w:rPr>
          <w:rStyle w:val="Bodytext2Italic"/>
          <w:i w:val="0"/>
          <w:sz w:val="24"/>
          <w:szCs w:val="24"/>
        </w:rPr>
        <w:t>=1U'</w:t>
      </w:r>
      <w:r w:rsidRPr="009A3F5E">
        <w:rPr>
          <w:rStyle w:val="Bodytext2Italic"/>
          <w:i w:val="0"/>
          <w:sz w:val="24"/>
          <w:szCs w:val="24"/>
          <w:vertAlign w:val="subscript"/>
        </w:rPr>
        <w:t>1</w:t>
      </w:r>
      <w:r w:rsidRPr="009A3F5E">
        <w:rPr>
          <w:rStyle w:val="Bodytext2Italic"/>
          <w:i w:val="0"/>
          <w:sz w:val="24"/>
          <w:szCs w:val="24"/>
        </w:rPr>
        <w:t xml:space="preserve"> +2U'</w:t>
      </w:r>
      <w:r w:rsidRPr="009A3F5E">
        <w:rPr>
          <w:rStyle w:val="Bodytext2Italic"/>
          <w:i w:val="0"/>
          <w:sz w:val="24"/>
          <w:szCs w:val="24"/>
          <w:vertAlign w:val="subscript"/>
        </w:rPr>
        <w:t>2</w:t>
      </w:r>
      <w:r w:rsidRPr="009A3F5E">
        <w:rPr>
          <w:rStyle w:val="Bodytext31Sylfaen9"/>
          <w:i w:val="0"/>
          <w:sz w:val="24"/>
          <w:szCs w:val="24"/>
        </w:rPr>
        <w:t xml:space="preserve"> +3U' +4U'</w:t>
      </w:r>
      <w:r w:rsidRPr="009A3F5E">
        <w:rPr>
          <w:rStyle w:val="Bodytext31Sylfaen9"/>
          <w:i w:val="0"/>
          <w:sz w:val="24"/>
          <w:szCs w:val="24"/>
          <w:vertAlign w:val="subscript"/>
        </w:rPr>
        <w:t>4</w:t>
      </w:r>
      <w:r w:rsidRPr="009A3F5E">
        <w:rPr>
          <w:rStyle w:val="Bodytext31Sylfaen9"/>
          <w:i w:val="0"/>
          <w:sz w:val="24"/>
          <w:szCs w:val="24"/>
        </w:rPr>
        <w:t xml:space="preserve"> =234,1։</w:t>
      </w:r>
    </w:p>
    <w:p w14:paraId="07E3CE53" w14:textId="77777777" w:rsidR="00B834A2" w:rsidRPr="009A3F5E" w:rsidRDefault="00B834A2" w:rsidP="001A3F5E">
      <w:pPr>
        <w:pStyle w:val="Bodytext20"/>
        <w:shd w:val="clear" w:color="auto" w:fill="auto"/>
        <w:spacing w:before="0" w:after="160" w:line="360" w:lineRule="auto"/>
        <w:ind w:firstLine="567"/>
        <w:jc w:val="both"/>
        <w:rPr>
          <w:rStyle w:val="Bodytext31Sylfaen9"/>
          <w:i w:val="0"/>
          <w:sz w:val="24"/>
          <w:szCs w:val="24"/>
        </w:rPr>
      </w:pPr>
      <w:r w:rsidRPr="009A3F5E">
        <w:rPr>
          <w:rStyle w:val="Bodytext31Sylfaen9"/>
          <w:i w:val="0"/>
          <w:sz w:val="24"/>
          <w:szCs w:val="24"/>
        </w:rPr>
        <w:t>Ազատ գործակիցները</w:t>
      </w:r>
    </w:p>
    <w:p w14:paraId="496F0BC3" w14:textId="77777777" w:rsidR="00B834A2" w:rsidRPr="009A3F5E" w:rsidRDefault="00B834A2" w:rsidP="0023645A">
      <w:pPr>
        <w:pStyle w:val="Bodytext20"/>
        <w:shd w:val="clear" w:color="auto" w:fill="auto"/>
        <w:spacing w:before="0" w:after="160" w:line="360" w:lineRule="auto"/>
        <w:ind w:left="420"/>
        <w:rPr>
          <w:rStyle w:val="Bodytext31Sylfaen9"/>
          <w:i w:val="0"/>
          <w:sz w:val="24"/>
          <w:szCs w:val="24"/>
        </w:rPr>
      </w:pPr>
      <w:r w:rsidRPr="009A3F5E">
        <w:rPr>
          <w:rFonts w:ascii="Sylfaen" w:eastAsia="Sylfaen" w:hAnsi="Sylfaen" w:cs="Sylfaen"/>
          <w:noProof/>
          <w:sz w:val="24"/>
          <w:szCs w:val="24"/>
          <w:shd w:val="clear" w:color="auto" w:fill="FFFFFF"/>
          <w:lang w:val="en-US" w:eastAsia="en-US" w:bidi="ar-SA"/>
        </w:rPr>
        <w:drawing>
          <wp:inline distT="0" distB="0" distL="0" distR="0" wp14:anchorId="3E8E0767" wp14:editId="69BEBF93">
            <wp:extent cx="2476500" cy="945316"/>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9" cstate="print"/>
                    <a:srcRect/>
                    <a:stretch>
                      <a:fillRect/>
                    </a:stretch>
                  </pic:blipFill>
                  <pic:spPr bwMode="auto">
                    <a:xfrm>
                      <a:off x="0" y="0"/>
                      <a:ext cx="2477866" cy="945837"/>
                    </a:xfrm>
                    <a:prstGeom prst="rect">
                      <a:avLst/>
                    </a:prstGeom>
                    <a:noFill/>
                    <a:ln w="9525">
                      <a:noFill/>
                      <a:miter lim="800000"/>
                      <a:headEnd/>
                      <a:tailEnd/>
                    </a:ln>
                  </pic:spPr>
                </pic:pic>
              </a:graphicData>
            </a:graphic>
          </wp:inline>
        </w:drawing>
      </w:r>
    </w:p>
    <w:p w14:paraId="442307DD" w14:textId="77777777" w:rsidR="00B834A2" w:rsidRPr="009A3F5E" w:rsidRDefault="00B834A2" w:rsidP="00B834A2">
      <w:pPr>
        <w:pStyle w:val="Bodytext20"/>
        <w:shd w:val="clear" w:color="auto" w:fill="auto"/>
        <w:spacing w:before="0" w:after="160" w:line="360" w:lineRule="auto"/>
        <w:ind w:left="420"/>
        <w:jc w:val="left"/>
        <w:rPr>
          <w:rFonts w:ascii="Sylfaen" w:hAnsi="Sylfaen" w:cs="Sylfaen"/>
          <w:sz w:val="24"/>
          <w:szCs w:val="24"/>
        </w:rPr>
      </w:pPr>
      <w:r w:rsidRPr="009A3F5E">
        <w:rPr>
          <w:rStyle w:val="Bodytext31Sylfaen9"/>
          <w:i w:val="0"/>
          <w:sz w:val="24"/>
          <w:szCs w:val="24"/>
        </w:rPr>
        <w:t>Անկյունային գործակիցները</w:t>
      </w:r>
    </w:p>
    <w:p w14:paraId="0EF182D4" w14:textId="77777777" w:rsidR="00B834A2" w:rsidRPr="009A3F5E" w:rsidRDefault="00B834A2" w:rsidP="00B834A2">
      <w:pPr>
        <w:pStyle w:val="Bodytext20"/>
        <w:shd w:val="clear" w:color="auto" w:fill="auto"/>
        <w:spacing w:before="0" w:after="160" w:line="360" w:lineRule="auto"/>
        <w:rPr>
          <w:rStyle w:val="Bodytext31Sylfaen9"/>
          <w:i w:val="0"/>
          <w:sz w:val="24"/>
          <w:szCs w:val="24"/>
        </w:rPr>
      </w:pPr>
      <w:r w:rsidRPr="009A3F5E">
        <w:rPr>
          <w:rFonts w:ascii="Sylfaen" w:hAnsi="Sylfaen" w:cs="Sylfaen"/>
          <w:noProof/>
          <w:sz w:val="24"/>
          <w:szCs w:val="24"/>
          <w:shd w:val="clear" w:color="auto" w:fill="FFFFFF"/>
          <w:lang w:val="en-US" w:eastAsia="en-US" w:bidi="ar-SA"/>
        </w:rPr>
        <w:drawing>
          <wp:inline distT="0" distB="0" distL="0" distR="0" wp14:anchorId="55C85D57" wp14:editId="02B1C4E0">
            <wp:extent cx="1859280" cy="750319"/>
            <wp:effectExtent l="1905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0" cstate="print"/>
                    <a:srcRect/>
                    <a:stretch>
                      <a:fillRect/>
                    </a:stretch>
                  </pic:blipFill>
                  <pic:spPr bwMode="auto">
                    <a:xfrm>
                      <a:off x="0" y="0"/>
                      <a:ext cx="1860305" cy="750733"/>
                    </a:xfrm>
                    <a:prstGeom prst="rect">
                      <a:avLst/>
                    </a:prstGeom>
                    <a:noFill/>
                    <a:ln w="9525">
                      <a:noFill/>
                      <a:miter lim="800000"/>
                      <a:headEnd/>
                      <a:tailEnd/>
                    </a:ln>
                  </pic:spPr>
                </pic:pic>
              </a:graphicData>
            </a:graphic>
          </wp:inline>
        </w:drawing>
      </w:r>
    </w:p>
    <w:p w14:paraId="6234B4D0" w14:textId="77777777" w:rsidR="00B834A2" w:rsidRPr="009A3F5E" w:rsidRDefault="00000000" w:rsidP="00B834A2">
      <w:pPr>
        <w:pStyle w:val="Bodytext20"/>
        <w:shd w:val="clear" w:color="auto" w:fill="auto"/>
        <w:spacing w:before="0" w:after="160" w:line="360" w:lineRule="auto"/>
        <w:rPr>
          <w:rFonts w:ascii="Sylfaen" w:hAnsi="Sylfaen" w:cs="Sylfaen"/>
          <w:sz w:val="24"/>
          <w:szCs w:val="24"/>
        </w:rPr>
      </w:pPr>
      <w:r>
        <w:rPr>
          <w:rFonts w:ascii="Sylfaen" w:hAnsi="Sylfaen" w:cs="Sylfaen"/>
          <w:noProof/>
          <w:color w:val="auto"/>
          <w:sz w:val="24"/>
          <w:szCs w:val="24"/>
          <w:lang w:val="en-US" w:eastAsia="en-US" w:bidi="ar-SA"/>
        </w:rPr>
        <w:lastRenderedPageBreak/>
        <w:pict w14:anchorId="78DA78EC">
          <v:group id="_x0000_s1408" style="position:absolute;left:0;text-align:left;margin-left:83.8pt;margin-top:-5.8pt;width:148.65pt;height:101.45pt;z-index:251955200" coordorigin="3232,2742" coordsize="2973,2029">
            <v:rect id="_x0000_s1358" style="position:absolute;left:3938;top:2742;width:2267;height:473" stroked="f">
              <v:textbox style="mso-next-textbox:#_x0000_s1358">
                <w:txbxContent>
                  <w:p w14:paraId="21BAE197" w14:textId="77777777" w:rsidR="008D6E8B" w:rsidRPr="001A3F5E" w:rsidRDefault="008D6E8B" w:rsidP="00B834A2">
                    <w:pPr>
                      <w:jc w:val="center"/>
                      <w:rPr>
                        <w:sz w:val="12"/>
                        <w:szCs w:val="14"/>
                      </w:rPr>
                    </w:pPr>
                    <w:r w:rsidRPr="001A3F5E">
                      <w:rPr>
                        <w:sz w:val="12"/>
                        <w:szCs w:val="14"/>
                      </w:rPr>
                      <w:t>Պայմանների համակցություննները</w:t>
                    </w:r>
                  </w:p>
                </w:txbxContent>
              </v:textbox>
            </v:rect>
            <v:rect id="_x0000_s1359" style="position:absolute;left:3232;top:4370;width:2250;height:401" stroked="f">
              <v:textbox style="mso-next-textbox:#_x0000_s1359">
                <w:txbxContent>
                  <w:p w14:paraId="0A6F4256" w14:textId="77777777" w:rsidR="008D6E8B" w:rsidRPr="001A3F5E" w:rsidRDefault="008D6E8B" w:rsidP="00B834A2">
                    <w:pPr>
                      <w:jc w:val="center"/>
                      <w:rPr>
                        <w:sz w:val="16"/>
                      </w:rPr>
                    </w:pPr>
                    <w:r w:rsidRPr="001A3F5E">
                      <w:rPr>
                        <w:sz w:val="16"/>
                      </w:rPr>
                      <w:t>Ոչ գծայնությունը</w:t>
                    </w:r>
                  </w:p>
                </w:txbxContent>
              </v:textbox>
            </v:rect>
          </v:group>
        </w:pict>
      </w:r>
      <w:r w:rsidR="00B834A2" w:rsidRPr="009A3F5E">
        <w:rPr>
          <w:rFonts w:ascii="Sylfaen" w:hAnsi="Sylfaen" w:cs="Sylfaen"/>
          <w:noProof/>
          <w:sz w:val="24"/>
          <w:szCs w:val="24"/>
          <w:lang w:val="en-US" w:eastAsia="en-US" w:bidi="ar-SA"/>
        </w:rPr>
        <w:drawing>
          <wp:inline distT="0" distB="0" distL="0" distR="0" wp14:anchorId="705DF4BD" wp14:editId="5F82E2EE">
            <wp:extent cx="2568239" cy="3893820"/>
            <wp:effectExtent l="19050" t="0" r="3511" b="0"/>
            <wp:docPr id="2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1" cstate="print"/>
                    <a:srcRect/>
                    <a:stretch>
                      <a:fillRect/>
                    </a:stretch>
                  </pic:blipFill>
                  <pic:spPr bwMode="auto">
                    <a:xfrm>
                      <a:off x="0" y="0"/>
                      <a:ext cx="2569655" cy="3895967"/>
                    </a:xfrm>
                    <a:prstGeom prst="rect">
                      <a:avLst/>
                    </a:prstGeom>
                    <a:noFill/>
                    <a:ln w="9525">
                      <a:noFill/>
                      <a:miter lim="800000"/>
                      <a:headEnd/>
                      <a:tailEnd/>
                    </a:ln>
                  </pic:spPr>
                </pic:pic>
              </a:graphicData>
            </a:graphic>
          </wp:inline>
        </w:drawing>
      </w:r>
    </w:p>
    <w:p w14:paraId="1B097970" w14:textId="77777777" w:rsidR="00B834A2" w:rsidRPr="009A3F5E"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9A3F5E">
        <w:rPr>
          <w:rFonts w:ascii="Sylfaen" w:hAnsi="Sylfaen"/>
          <w:sz w:val="24"/>
          <w:szCs w:val="24"/>
        </w:rPr>
        <w:t>Փոփոխման աղբյուրների վիճակագրական նշանակալիությունը, արդյունքների պիտանիությունը ստուգելու եւ փորձի դիսպերսիան հաշվարկելու համար կատարվում է ստացված տվյալների դիսպերսիոն վերլուծություն։</w:t>
      </w:r>
      <w:r w:rsidRPr="009A3F5E">
        <w:rPr>
          <w:rStyle w:val="Bodytext31Sylfaen9"/>
          <w:i w:val="0"/>
          <w:sz w:val="24"/>
          <w:szCs w:val="24"/>
        </w:rPr>
        <w:t xml:space="preserve"> </w:t>
      </w:r>
      <w:r w:rsidRPr="009A3F5E">
        <w:rPr>
          <w:rFonts w:ascii="Sylfaen" w:hAnsi="Sylfaen"/>
          <w:sz w:val="24"/>
          <w:szCs w:val="24"/>
        </w:rPr>
        <w:t>Ընդ որում, դիսպերսիաների արժեքները հաշվարկվում են 6 աղբյուրի համար (3.2.8-27 աղյուսակ)։</w:t>
      </w:r>
    </w:p>
    <w:p w14:paraId="55848A6A" w14:textId="77777777" w:rsidR="00B834A2" w:rsidRPr="009A3F5E" w:rsidRDefault="00B834A2" w:rsidP="00B834A2">
      <w:pPr>
        <w:pStyle w:val="Bodytext20"/>
        <w:shd w:val="clear" w:color="auto" w:fill="auto"/>
        <w:spacing w:before="0" w:after="160" w:line="360" w:lineRule="auto"/>
        <w:rPr>
          <w:rFonts w:ascii="Sylfaen" w:hAnsi="Sylfaen" w:cs="Sylfaen"/>
          <w:sz w:val="24"/>
          <w:szCs w:val="24"/>
        </w:rPr>
      </w:pPr>
    </w:p>
    <w:p w14:paraId="58BEDE58" w14:textId="77777777" w:rsidR="00B834A2" w:rsidRPr="005D2C6D" w:rsidRDefault="00B834A2" w:rsidP="00B834A2">
      <w:pPr>
        <w:pStyle w:val="Tablecaption140"/>
        <w:shd w:val="clear" w:color="auto" w:fill="auto"/>
        <w:spacing w:after="160" w:line="360" w:lineRule="auto"/>
        <w:ind w:firstLine="567"/>
        <w:jc w:val="both"/>
        <w:rPr>
          <w:rFonts w:ascii="Sylfaen" w:hAnsi="Sylfaen" w:cs="Sylfaen"/>
          <w:sz w:val="24"/>
          <w:szCs w:val="24"/>
        </w:rPr>
      </w:pPr>
      <w:r w:rsidRPr="009A3F5E">
        <w:rPr>
          <w:rStyle w:val="Tablecaption14NotItalic"/>
          <w:rFonts w:ascii="Sylfaen" w:eastAsia="Sylfaen" w:hAnsi="Sylfaen"/>
          <w:sz w:val="24"/>
          <w:szCs w:val="24"/>
        </w:rPr>
        <w:t xml:space="preserve">Աղյուսակ 3.2.8-27. </w:t>
      </w:r>
      <w:r w:rsidRPr="005D2C6D">
        <w:rPr>
          <w:rFonts w:ascii="Sylfaen" w:hAnsi="Sylfaen"/>
          <w:sz w:val="24"/>
          <w:szCs w:val="24"/>
        </w:rPr>
        <w:t>Դիսպերսիոն վերլուծության ամփոփիչ աղյուսակը (գրիպի դեմ պատվաստանյութի կենսաբանական ակտիվության որոշումը, անկյունային գործակիցների մոդելը)</w:t>
      </w:r>
    </w:p>
    <w:tbl>
      <w:tblPr>
        <w:tblOverlap w:val="never"/>
        <w:tblW w:w="10242" w:type="dxa"/>
        <w:tblInd w:w="-814" w:type="dxa"/>
        <w:tblLayout w:type="fixed"/>
        <w:tblCellMar>
          <w:left w:w="10" w:type="dxa"/>
          <w:right w:w="10" w:type="dxa"/>
        </w:tblCellMar>
        <w:tblLook w:val="0000" w:firstRow="0" w:lastRow="0" w:firstColumn="0" w:lastColumn="0" w:noHBand="0" w:noVBand="0"/>
      </w:tblPr>
      <w:tblGrid>
        <w:gridCol w:w="2004"/>
        <w:gridCol w:w="2126"/>
        <w:gridCol w:w="1559"/>
        <w:gridCol w:w="1850"/>
        <w:gridCol w:w="1365"/>
        <w:gridCol w:w="1338"/>
      </w:tblGrid>
      <w:tr w:rsidR="00B834A2" w:rsidRPr="001A3F5E" w14:paraId="5DA39244" w14:textId="77777777" w:rsidTr="00B834A2">
        <w:tc>
          <w:tcPr>
            <w:tcW w:w="2004" w:type="dxa"/>
            <w:tcBorders>
              <w:top w:val="single" w:sz="4" w:space="0" w:color="auto"/>
            </w:tcBorders>
            <w:shd w:val="clear" w:color="auto" w:fill="FFFFFF"/>
          </w:tcPr>
          <w:p w14:paraId="2D64CE01"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Դիսպերսիայի աղբյուրը (ցուցանիշ)</w:t>
            </w:r>
          </w:p>
        </w:tc>
        <w:tc>
          <w:tcPr>
            <w:tcW w:w="2126" w:type="dxa"/>
            <w:tcBorders>
              <w:top w:val="single" w:sz="4" w:space="0" w:color="auto"/>
            </w:tcBorders>
            <w:shd w:val="clear" w:color="auto" w:fill="FFFFFF"/>
          </w:tcPr>
          <w:p w14:paraId="0F3FD5C2"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Fonts w:ascii="Sylfaen" w:hAnsi="Sylfaen"/>
                <w:sz w:val="20"/>
                <w:szCs w:val="20"/>
              </w:rPr>
              <w:t>Ազատության աստիճանների թիվը (f)</w:t>
            </w:r>
          </w:p>
        </w:tc>
        <w:tc>
          <w:tcPr>
            <w:tcW w:w="1559" w:type="dxa"/>
            <w:tcBorders>
              <w:top w:val="single" w:sz="4" w:space="0" w:color="auto"/>
            </w:tcBorders>
            <w:shd w:val="clear" w:color="auto" w:fill="FFFFFF"/>
          </w:tcPr>
          <w:p w14:paraId="1EF81B57" w14:textId="77777777" w:rsidR="00B834A2" w:rsidRPr="001A3F5E" w:rsidRDefault="00B834A2" w:rsidP="001A3F5E">
            <w:pPr>
              <w:pStyle w:val="Bodytext20"/>
              <w:shd w:val="clear" w:color="auto" w:fill="auto"/>
              <w:spacing w:before="0" w:line="240" w:lineRule="auto"/>
              <w:ind w:left="240"/>
              <w:rPr>
                <w:rFonts w:ascii="Sylfaen" w:hAnsi="Sylfaen" w:cs="Sylfaen"/>
                <w:sz w:val="20"/>
                <w:szCs w:val="20"/>
              </w:rPr>
            </w:pPr>
            <w:r w:rsidRPr="001A3F5E">
              <w:rPr>
                <w:rFonts w:ascii="Sylfaen" w:hAnsi="Sylfaen"/>
                <w:sz w:val="20"/>
                <w:szCs w:val="20"/>
              </w:rPr>
              <w:t>Քառակուսիների գումարը</w:t>
            </w:r>
          </w:p>
        </w:tc>
        <w:tc>
          <w:tcPr>
            <w:tcW w:w="1850" w:type="dxa"/>
            <w:tcBorders>
              <w:top w:val="single" w:sz="4" w:space="0" w:color="auto"/>
            </w:tcBorders>
            <w:shd w:val="clear" w:color="auto" w:fill="FFFFFF"/>
          </w:tcPr>
          <w:p w14:paraId="2F3DA45C" w14:textId="77777777" w:rsidR="00B834A2" w:rsidRPr="001A3F5E" w:rsidRDefault="00000000" w:rsidP="001A3F5E">
            <w:pPr>
              <w:pStyle w:val="Bodytext20"/>
              <w:shd w:val="clear" w:color="auto" w:fill="auto"/>
              <w:spacing w:before="0" w:line="240" w:lineRule="auto"/>
              <w:rPr>
                <w:rStyle w:val="Bodytext31Sylfaen9"/>
                <w:sz w:val="20"/>
                <w:szCs w:val="20"/>
                <w:u w:val="single"/>
              </w:rPr>
            </w:pPr>
            <w:r>
              <w:rPr>
                <w:rFonts w:ascii="Sylfaen" w:eastAsia="Sylfaen" w:hAnsi="Sylfaen" w:cs="Sylfaen"/>
                <w:noProof/>
                <w:sz w:val="20"/>
                <w:szCs w:val="20"/>
              </w:rPr>
              <w:pict w14:anchorId="3B48B06F">
                <v:shape id="_x0000_s1360" type="#_x0000_t185" style="position:absolute;left:0;text-align:left;margin-left:2.3pt;margin-top:13.2pt;width:88.1pt;height:29.55pt;z-index:251729920;mso-position-horizontal-relative:text;mso-position-vertical-relative:text"/>
              </w:pict>
            </w:r>
            <w:r w:rsidR="00B834A2" w:rsidRPr="001A3F5E">
              <w:rPr>
                <w:rFonts w:ascii="Sylfaen" w:hAnsi="Sylfaen"/>
                <w:sz w:val="20"/>
                <w:szCs w:val="20"/>
              </w:rPr>
              <w:t xml:space="preserve">Միջին քառակուսին </w:t>
            </w:r>
            <w:r w:rsidR="00B834A2" w:rsidRPr="001A3F5E">
              <w:rPr>
                <w:rFonts w:ascii="Sylfaen" w:hAnsi="Sylfaen"/>
                <w:sz w:val="20"/>
                <w:szCs w:val="20"/>
                <w:u w:val="single"/>
              </w:rPr>
              <w:t>Քառակուսիների գումարը</w:t>
            </w:r>
          </w:p>
          <w:p w14:paraId="6AD72966"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2Italic"/>
                <w:sz w:val="20"/>
                <w:szCs w:val="20"/>
              </w:rPr>
              <w:t>ƒ</w:t>
            </w:r>
          </w:p>
        </w:tc>
        <w:tc>
          <w:tcPr>
            <w:tcW w:w="1365" w:type="dxa"/>
            <w:tcBorders>
              <w:top w:val="single" w:sz="4" w:space="0" w:color="auto"/>
            </w:tcBorders>
            <w:shd w:val="clear" w:color="auto" w:fill="FFFFFF"/>
          </w:tcPr>
          <w:p w14:paraId="5B5C0EF0"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Fonts w:ascii="Sylfaen" w:hAnsi="Sylfaen"/>
                <w:sz w:val="20"/>
                <w:szCs w:val="20"/>
              </w:rPr>
              <w:t>Ֆիշերի չափորոշչի դիտարկվող արժեքը՝ F</w:t>
            </w:r>
            <w:r w:rsidRPr="001A3F5E">
              <w:rPr>
                <w:rFonts w:ascii="Sylfaen" w:hAnsi="Sylfaen"/>
                <w:sz w:val="20"/>
                <w:szCs w:val="20"/>
                <w:vertAlign w:val="subscript"/>
              </w:rPr>
              <w:t>դիտ.</w:t>
            </w:r>
          </w:p>
        </w:tc>
        <w:tc>
          <w:tcPr>
            <w:tcW w:w="1338" w:type="dxa"/>
            <w:tcBorders>
              <w:top w:val="single" w:sz="4" w:space="0" w:color="auto"/>
            </w:tcBorders>
            <w:shd w:val="clear" w:color="auto" w:fill="FFFFFF"/>
          </w:tcPr>
          <w:p w14:paraId="75B5E1C7"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Fonts w:ascii="Sylfaen" w:hAnsi="Sylfaen"/>
                <w:sz w:val="20"/>
                <w:szCs w:val="20"/>
              </w:rPr>
              <w:t>Ֆիշերի չափորոշչի կրիտիկական արժեքը՝ F</w:t>
            </w:r>
            <w:r w:rsidRPr="001A3F5E">
              <w:rPr>
                <w:rFonts w:ascii="Sylfaen" w:hAnsi="Sylfaen"/>
                <w:sz w:val="20"/>
                <w:szCs w:val="20"/>
                <w:vertAlign w:val="subscript"/>
              </w:rPr>
              <w:t>կրիտիկ.</w:t>
            </w:r>
          </w:p>
        </w:tc>
      </w:tr>
      <w:tr w:rsidR="00B834A2" w:rsidRPr="001A3F5E" w14:paraId="0AD5CBB6" w14:textId="77777777" w:rsidTr="00B834A2">
        <w:tc>
          <w:tcPr>
            <w:tcW w:w="2004" w:type="dxa"/>
            <w:tcBorders>
              <w:top w:val="single" w:sz="4" w:space="0" w:color="auto"/>
            </w:tcBorders>
            <w:shd w:val="clear" w:color="auto" w:fill="FFFFFF"/>
          </w:tcPr>
          <w:p w14:paraId="672F2805"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t>Ռեգրեսիա</w:t>
            </w:r>
          </w:p>
        </w:tc>
        <w:tc>
          <w:tcPr>
            <w:tcW w:w="2126" w:type="dxa"/>
            <w:tcBorders>
              <w:top w:val="single" w:sz="4" w:space="0" w:color="auto"/>
            </w:tcBorders>
            <w:shd w:val="clear" w:color="auto" w:fill="FFFFFF"/>
          </w:tcPr>
          <w:p w14:paraId="171F488C"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2Italic"/>
                <w:sz w:val="20"/>
                <w:szCs w:val="20"/>
              </w:rPr>
              <w:t>h =3</w:t>
            </w:r>
          </w:p>
        </w:tc>
        <w:tc>
          <w:tcPr>
            <w:tcW w:w="1559" w:type="dxa"/>
            <w:tcBorders>
              <w:top w:val="single" w:sz="4" w:space="0" w:color="auto"/>
            </w:tcBorders>
            <w:shd w:val="clear" w:color="auto" w:fill="FFFFFF"/>
          </w:tcPr>
          <w:p w14:paraId="262ED896"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1087,6</w:t>
            </w:r>
          </w:p>
        </w:tc>
        <w:tc>
          <w:tcPr>
            <w:tcW w:w="1850" w:type="dxa"/>
            <w:tcBorders>
              <w:top w:val="single" w:sz="4" w:space="0" w:color="auto"/>
            </w:tcBorders>
            <w:shd w:val="clear" w:color="auto" w:fill="FFFFFF"/>
          </w:tcPr>
          <w:p w14:paraId="6E37AF08"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362,5</w:t>
            </w:r>
          </w:p>
        </w:tc>
        <w:tc>
          <w:tcPr>
            <w:tcW w:w="1365" w:type="dxa"/>
            <w:tcBorders>
              <w:top w:val="single" w:sz="4" w:space="0" w:color="auto"/>
            </w:tcBorders>
            <w:shd w:val="clear" w:color="auto" w:fill="FFFFFF"/>
          </w:tcPr>
          <w:p w14:paraId="6942BD1D"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339,4</w:t>
            </w:r>
          </w:p>
        </w:tc>
        <w:tc>
          <w:tcPr>
            <w:tcW w:w="1338" w:type="dxa"/>
            <w:tcBorders>
              <w:top w:val="single" w:sz="4" w:space="0" w:color="auto"/>
            </w:tcBorders>
            <w:shd w:val="clear" w:color="auto" w:fill="FFFFFF"/>
          </w:tcPr>
          <w:p w14:paraId="405E0170" w14:textId="77777777" w:rsidR="00B834A2" w:rsidRPr="001A3F5E" w:rsidRDefault="00B834A2" w:rsidP="001A3F5E">
            <w:pPr>
              <w:pStyle w:val="Bodytext20"/>
              <w:shd w:val="clear" w:color="auto" w:fill="auto"/>
              <w:spacing w:before="0" w:line="240" w:lineRule="auto"/>
              <w:rPr>
                <w:rFonts w:ascii="Sylfaen" w:hAnsi="Sylfaen"/>
                <w:sz w:val="20"/>
                <w:szCs w:val="20"/>
              </w:rPr>
            </w:pPr>
            <w:r w:rsidRPr="001A3F5E">
              <w:rPr>
                <w:rStyle w:val="Bodytext31Sylfaen9"/>
                <w:sz w:val="20"/>
                <w:szCs w:val="20"/>
              </w:rPr>
              <w:t>&gt;5,15</w:t>
            </w:r>
          </w:p>
          <w:p w14:paraId="716A01D9"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(р = 0,01)</w:t>
            </w:r>
          </w:p>
        </w:tc>
      </w:tr>
      <w:tr w:rsidR="00B834A2" w:rsidRPr="001A3F5E" w14:paraId="4531BB8D" w14:textId="77777777" w:rsidTr="00B834A2">
        <w:tc>
          <w:tcPr>
            <w:tcW w:w="2004" w:type="dxa"/>
            <w:shd w:val="clear" w:color="auto" w:fill="FFFFFF"/>
          </w:tcPr>
          <w:p w14:paraId="46F4AB8E"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t>Հատման կետ</w:t>
            </w:r>
          </w:p>
        </w:tc>
        <w:tc>
          <w:tcPr>
            <w:tcW w:w="2126" w:type="dxa"/>
            <w:shd w:val="clear" w:color="auto" w:fill="FFFFFF"/>
          </w:tcPr>
          <w:p w14:paraId="33664765" w14:textId="77777777" w:rsidR="00B834A2" w:rsidRPr="001A3F5E" w:rsidRDefault="00B834A2" w:rsidP="001A3F5E">
            <w:pPr>
              <w:pStyle w:val="Bodytext20"/>
              <w:shd w:val="clear" w:color="auto" w:fill="auto"/>
              <w:spacing w:before="0" w:line="240" w:lineRule="auto"/>
              <w:rPr>
                <w:rFonts w:ascii="Sylfaen" w:hAnsi="Sylfaen" w:cs="Sylfaen"/>
                <w:i/>
                <w:sz w:val="20"/>
                <w:szCs w:val="20"/>
              </w:rPr>
            </w:pPr>
            <w:r w:rsidRPr="001A3F5E">
              <w:rPr>
                <w:rStyle w:val="Bodytext31Sylfaen9"/>
                <w:sz w:val="20"/>
                <w:szCs w:val="20"/>
              </w:rPr>
              <w:t>h-1 = 2</w:t>
            </w:r>
          </w:p>
        </w:tc>
        <w:tc>
          <w:tcPr>
            <w:tcW w:w="1559" w:type="dxa"/>
            <w:shd w:val="clear" w:color="auto" w:fill="FFFFFF"/>
          </w:tcPr>
          <w:p w14:paraId="75CDBB3D"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3,474</w:t>
            </w:r>
          </w:p>
        </w:tc>
        <w:tc>
          <w:tcPr>
            <w:tcW w:w="1850" w:type="dxa"/>
            <w:shd w:val="clear" w:color="auto" w:fill="FFFFFF"/>
          </w:tcPr>
          <w:p w14:paraId="70951349"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1,737</w:t>
            </w:r>
          </w:p>
        </w:tc>
        <w:tc>
          <w:tcPr>
            <w:tcW w:w="1365" w:type="dxa"/>
            <w:shd w:val="clear" w:color="auto" w:fill="FFFFFF"/>
          </w:tcPr>
          <w:p w14:paraId="2211C8BD"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1,626</w:t>
            </w:r>
          </w:p>
        </w:tc>
        <w:tc>
          <w:tcPr>
            <w:tcW w:w="1338" w:type="dxa"/>
            <w:shd w:val="clear" w:color="auto" w:fill="FFFFFF"/>
          </w:tcPr>
          <w:p w14:paraId="1F4EBFD2" w14:textId="77777777" w:rsidR="00B834A2" w:rsidRPr="001A3F5E" w:rsidRDefault="00B834A2" w:rsidP="001A3F5E">
            <w:pPr>
              <w:pStyle w:val="Bodytext20"/>
              <w:shd w:val="clear" w:color="auto" w:fill="auto"/>
              <w:spacing w:before="0" w:line="240" w:lineRule="auto"/>
              <w:rPr>
                <w:rStyle w:val="Bodytext31Sylfaen9"/>
                <w:sz w:val="20"/>
                <w:szCs w:val="20"/>
              </w:rPr>
            </w:pPr>
            <w:r w:rsidRPr="001A3F5E">
              <w:rPr>
                <w:rStyle w:val="Bodytext31Sylfaen9"/>
                <w:sz w:val="20"/>
                <w:szCs w:val="20"/>
              </w:rPr>
              <w:t>&lt;4,07</w:t>
            </w:r>
          </w:p>
          <w:p w14:paraId="2B21A7DE"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2Italic"/>
                <w:sz w:val="20"/>
                <w:szCs w:val="20"/>
              </w:rPr>
              <w:lastRenderedPageBreak/>
              <w:t>(p</w:t>
            </w:r>
            <w:r w:rsidRPr="001A3F5E">
              <w:rPr>
                <w:rStyle w:val="Bodytext31Sylfaen9"/>
                <w:sz w:val="20"/>
                <w:szCs w:val="20"/>
              </w:rPr>
              <w:t xml:space="preserve"> = 0,05)</w:t>
            </w:r>
          </w:p>
        </w:tc>
      </w:tr>
      <w:tr w:rsidR="00B834A2" w:rsidRPr="001A3F5E" w14:paraId="7051FDA4" w14:textId="77777777" w:rsidTr="00B834A2">
        <w:tc>
          <w:tcPr>
            <w:tcW w:w="2004" w:type="dxa"/>
            <w:shd w:val="clear" w:color="auto" w:fill="FFFFFF"/>
          </w:tcPr>
          <w:p w14:paraId="1FF4EA24"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lastRenderedPageBreak/>
              <w:t>Ոչ գծայնություն</w:t>
            </w:r>
          </w:p>
        </w:tc>
        <w:tc>
          <w:tcPr>
            <w:tcW w:w="2126" w:type="dxa"/>
            <w:shd w:val="clear" w:color="auto" w:fill="FFFFFF"/>
          </w:tcPr>
          <w:p w14:paraId="11C7195C" w14:textId="77777777" w:rsidR="00B834A2" w:rsidRPr="001A3F5E" w:rsidRDefault="00B834A2" w:rsidP="001A3F5E">
            <w:pPr>
              <w:pStyle w:val="Bodytext20"/>
              <w:shd w:val="clear" w:color="auto" w:fill="auto"/>
              <w:spacing w:before="0" w:line="240" w:lineRule="auto"/>
              <w:rPr>
                <w:rFonts w:ascii="Sylfaen" w:hAnsi="Sylfaen" w:cs="Sylfaen"/>
                <w:i/>
                <w:sz w:val="20"/>
                <w:szCs w:val="20"/>
              </w:rPr>
            </w:pPr>
            <w:r w:rsidRPr="001A3F5E">
              <w:rPr>
                <w:rStyle w:val="Bodytext31Sylfaen9"/>
                <w:sz w:val="20"/>
                <w:szCs w:val="20"/>
              </w:rPr>
              <w:t>h(d-2) = 3(4-2) = 6</w:t>
            </w:r>
          </w:p>
        </w:tc>
        <w:tc>
          <w:tcPr>
            <w:tcW w:w="1559" w:type="dxa"/>
            <w:shd w:val="clear" w:color="auto" w:fill="FFFFFF"/>
          </w:tcPr>
          <w:p w14:paraId="1E248D54"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5,090</w:t>
            </w:r>
          </w:p>
        </w:tc>
        <w:tc>
          <w:tcPr>
            <w:tcW w:w="1850" w:type="dxa"/>
            <w:shd w:val="clear" w:color="auto" w:fill="FFFFFF"/>
          </w:tcPr>
          <w:p w14:paraId="7B4E9E1D"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0,848</w:t>
            </w:r>
          </w:p>
        </w:tc>
        <w:tc>
          <w:tcPr>
            <w:tcW w:w="1365" w:type="dxa"/>
            <w:shd w:val="clear" w:color="auto" w:fill="FFFFFF"/>
          </w:tcPr>
          <w:p w14:paraId="1214AD22"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0,794</w:t>
            </w:r>
          </w:p>
        </w:tc>
        <w:tc>
          <w:tcPr>
            <w:tcW w:w="1338" w:type="dxa"/>
            <w:shd w:val="clear" w:color="auto" w:fill="FFFFFF"/>
          </w:tcPr>
          <w:p w14:paraId="3E42A8B9" w14:textId="77777777" w:rsidR="00B834A2" w:rsidRPr="001A3F5E" w:rsidRDefault="00B834A2" w:rsidP="001A3F5E">
            <w:pPr>
              <w:pStyle w:val="Bodytext20"/>
              <w:shd w:val="clear" w:color="auto" w:fill="auto"/>
              <w:spacing w:before="0" w:line="240" w:lineRule="auto"/>
              <w:rPr>
                <w:rStyle w:val="Bodytext31Sylfaen9"/>
                <w:sz w:val="20"/>
                <w:szCs w:val="20"/>
              </w:rPr>
            </w:pPr>
            <w:r w:rsidRPr="001A3F5E">
              <w:rPr>
                <w:rStyle w:val="Bodytext31Sylfaen9"/>
                <w:sz w:val="20"/>
                <w:szCs w:val="20"/>
              </w:rPr>
              <w:t>&lt;3,0</w:t>
            </w:r>
          </w:p>
          <w:p w14:paraId="1E4FA3F7"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2Italic"/>
                <w:sz w:val="20"/>
                <w:szCs w:val="20"/>
              </w:rPr>
              <w:t>(р</w:t>
            </w:r>
            <w:r w:rsidRPr="001A3F5E">
              <w:rPr>
                <w:rStyle w:val="Bodytext31Sylfaen9"/>
                <w:sz w:val="20"/>
                <w:szCs w:val="20"/>
              </w:rPr>
              <w:t xml:space="preserve"> = 0,05)</w:t>
            </w:r>
          </w:p>
        </w:tc>
      </w:tr>
      <w:tr w:rsidR="00B834A2" w:rsidRPr="001A3F5E" w14:paraId="0ED724A0" w14:textId="77777777" w:rsidTr="00B834A2">
        <w:tc>
          <w:tcPr>
            <w:tcW w:w="2004" w:type="dxa"/>
            <w:shd w:val="clear" w:color="auto" w:fill="FFFFFF"/>
          </w:tcPr>
          <w:p w14:paraId="147C5E4A"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t>Կիրառումներ</w:t>
            </w:r>
          </w:p>
        </w:tc>
        <w:tc>
          <w:tcPr>
            <w:tcW w:w="2126" w:type="dxa"/>
            <w:shd w:val="clear" w:color="auto" w:fill="FFFFFF"/>
          </w:tcPr>
          <w:p w14:paraId="0239EAF8"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hd-1 = 3.4-1 = 11</w:t>
            </w:r>
          </w:p>
        </w:tc>
        <w:tc>
          <w:tcPr>
            <w:tcW w:w="1559" w:type="dxa"/>
            <w:shd w:val="clear" w:color="auto" w:fill="FFFFFF"/>
          </w:tcPr>
          <w:p w14:paraId="02F7D469"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1096,2</w:t>
            </w:r>
          </w:p>
        </w:tc>
        <w:tc>
          <w:tcPr>
            <w:tcW w:w="1850" w:type="dxa"/>
            <w:shd w:val="clear" w:color="auto" w:fill="FFFFFF"/>
          </w:tcPr>
          <w:p w14:paraId="789C68FB" w14:textId="77777777" w:rsidR="00B834A2" w:rsidRPr="001A3F5E" w:rsidRDefault="00B834A2" w:rsidP="001A3F5E">
            <w:pPr>
              <w:spacing w:after="120"/>
              <w:rPr>
                <w:sz w:val="20"/>
                <w:szCs w:val="20"/>
              </w:rPr>
            </w:pPr>
          </w:p>
        </w:tc>
        <w:tc>
          <w:tcPr>
            <w:tcW w:w="1365" w:type="dxa"/>
            <w:shd w:val="clear" w:color="auto" w:fill="FFFFFF"/>
          </w:tcPr>
          <w:p w14:paraId="237455CC" w14:textId="77777777" w:rsidR="00B834A2" w:rsidRPr="001A3F5E" w:rsidRDefault="00B834A2" w:rsidP="001A3F5E">
            <w:pPr>
              <w:spacing w:after="120"/>
              <w:rPr>
                <w:sz w:val="20"/>
                <w:szCs w:val="20"/>
              </w:rPr>
            </w:pPr>
          </w:p>
        </w:tc>
        <w:tc>
          <w:tcPr>
            <w:tcW w:w="1338" w:type="dxa"/>
            <w:shd w:val="clear" w:color="auto" w:fill="FFFFFF"/>
          </w:tcPr>
          <w:p w14:paraId="410C459B" w14:textId="77777777" w:rsidR="00B834A2" w:rsidRPr="001A3F5E" w:rsidRDefault="00B834A2" w:rsidP="001A3F5E">
            <w:pPr>
              <w:spacing w:after="120"/>
              <w:rPr>
                <w:sz w:val="20"/>
                <w:szCs w:val="20"/>
              </w:rPr>
            </w:pPr>
          </w:p>
        </w:tc>
      </w:tr>
      <w:tr w:rsidR="00B834A2" w:rsidRPr="001A3F5E" w14:paraId="1EE0E7CD" w14:textId="77777777" w:rsidTr="00B834A2">
        <w:tc>
          <w:tcPr>
            <w:tcW w:w="2004" w:type="dxa"/>
            <w:shd w:val="clear" w:color="auto" w:fill="FFFFFF"/>
          </w:tcPr>
          <w:p w14:paraId="6EA4D561"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t>Շեղում</w:t>
            </w:r>
          </w:p>
        </w:tc>
        <w:tc>
          <w:tcPr>
            <w:tcW w:w="2126" w:type="dxa"/>
            <w:shd w:val="clear" w:color="auto" w:fill="FFFFFF"/>
          </w:tcPr>
          <w:p w14:paraId="449AE07A"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31Sylfaen9"/>
                <w:sz w:val="20"/>
                <w:szCs w:val="20"/>
              </w:rPr>
              <w:t>hd(n-1) = 3.4.(2-1) = 12</w:t>
            </w:r>
          </w:p>
        </w:tc>
        <w:tc>
          <w:tcPr>
            <w:tcW w:w="1559" w:type="dxa"/>
            <w:shd w:val="clear" w:color="auto" w:fill="FFFFFF"/>
          </w:tcPr>
          <w:p w14:paraId="04A27414"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12,8</w:t>
            </w:r>
          </w:p>
        </w:tc>
        <w:tc>
          <w:tcPr>
            <w:tcW w:w="1850" w:type="dxa"/>
            <w:shd w:val="clear" w:color="auto" w:fill="FFFFFF"/>
          </w:tcPr>
          <w:p w14:paraId="674BC8E1"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1,068</w:t>
            </w:r>
          </w:p>
        </w:tc>
        <w:tc>
          <w:tcPr>
            <w:tcW w:w="1365" w:type="dxa"/>
            <w:shd w:val="clear" w:color="auto" w:fill="FFFFFF"/>
          </w:tcPr>
          <w:p w14:paraId="6166409E" w14:textId="77777777" w:rsidR="00B834A2" w:rsidRPr="001A3F5E" w:rsidRDefault="00B834A2" w:rsidP="001A3F5E">
            <w:pPr>
              <w:spacing w:after="120"/>
              <w:rPr>
                <w:sz w:val="20"/>
                <w:szCs w:val="20"/>
              </w:rPr>
            </w:pPr>
          </w:p>
        </w:tc>
        <w:tc>
          <w:tcPr>
            <w:tcW w:w="1338" w:type="dxa"/>
            <w:shd w:val="clear" w:color="auto" w:fill="FFFFFF"/>
          </w:tcPr>
          <w:p w14:paraId="2AC9E848" w14:textId="77777777" w:rsidR="00B834A2" w:rsidRPr="001A3F5E" w:rsidRDefault="00B834A2" w:rsidP="001A3F5E">
            <w:pPr>
              <w:spacing w:after="120"/>
              <w:rPr>
                <w:sz w:val="20"/>
                <w:szCs w:val="20"/>
              </w:rPr>
            </w:pPr>
          </w:p>
        </w:tc>
      </w:tr>
      <w:tr w:rsidR="00B834A2" w:rsidRPr="001A3F5E" w14:paraId="364966B5" w14:textId="77777777" w:rsidTr="00B834A2">
        <w:tc>
          <w:tcPr>
            <w:tcW w:w="2004" w:type="dxa"/>
            <w:tcBorders>
              <w:bottom w:val="single" w:sz="4" w:space="0" w:color="auto"/>
            </w:tcBorders>
            <w:shd w:val="clear" w:color="auto" w:fill="FFFFFF"/>
          </w:tcPr>
          <w:p w14:paraId="35296E8D" w14:textId="77777777" w:rsidR="00B834A2" w:rsidRPr="001A3F5E" w:rsidRDefault="00B834A2" w:rsidP="001A3F5E">
            <w:pPr>
              <w:pStyle w:val="Bodytext20"/>
              <w:shd w:val="clear" w:color="auto" w:fill="auto"/>
              <w:spacing w:before="0" w:line="240" w:lineRule="auto"/>
              <w:jc w:val="left"/>
              <w:rPr>
                <w:rFonts w:ascii="Sylfaen" w:hAnsi="Sylfaen" w:cs="Sylfaen"/>
                <w:sz w:val="20"/>
                <w:szCs w:val="20"/>
              </w:rPr>
            </w:pPr>
            <w:r w:rsidRPr="001A3F5E">
              <w:rPr>
                <w:rStyle w:val="Bodytext2Italic"/>
                <w:sz w:val="20"/>
                <w:szCs w:val="20"/>
              </w:rPr>
              <w:t>Արդյունք</w:t>
            </w:r>
          </w:p>
        </w:tc>
        <w:tc>
          <w:tcPr>
            <w:tcW w:w="2126" w:type="dxa"/>
            <w:tcBorders>
              <w:bottom w:val="single" w:sz="4" w:space="0" w:color="auto"/>
            </w:tcBorders>
            <w:shd w:val="clear" w:color="auto" w:fill="FFFFFF"/>
          </w:tcPr>
          <w:p w14:paraId="1182F137"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2Italic"/>
                <w:sz w:val="20"/>
                <w:szCs w:val="20"/>
              </w:rPr>
              <w:t>nhd</w:t>
            </w:r>
            <w:r w:rsidRPr="001A3F5E">
              <w:rPr>
                <w:rStyle w:val="Bodytext31Sylfaen9"/>
                <w:sz w:val="20"/>
                <w:szCs w:val="20"/>
              </w:rPr>
              <w:t xml:space="preserve"> - 1-m = 23</w:t>
            </w:r>
          </w:p>
        </w:tc>
        <w:tc>
          <w:tcPr>
            <w:tcW w:w="1559" w:type="dxa"/>
            <w:tcBorders>
              <w:bottom w:val="single" w:sz="4" w:space="0" w:color="auto"/>
            </w:tcBorders>
            <w:shd w:val="clear" w:color="auto" w:fill="FFFFFF"/>
          </w:tcPr>
          <w:p w14:paraId="676C8439" w14:textId="77777777" w:rsidR="00B834A2" w:rsidRPr="001A3F5E" w:rsidRDefault="00B834A2" w:rsidP="001A3F5E">
            <w:pPr>
              <w:pStyle w:val="Bodytext20"/>
              <w:shd w:val="clear" w:color="auto" w:fill="auto"/>
              <w:spacing w:before="0" w:line="240" w:lineRule="auto"/>
              <w:rPr>
                <w:rFonts w:ascii="Sylfaen" w:hAnsi="Sylfaen" w:cs="Sylfaen"/>
                <w:sz w:val="20"/>
                <w:szCs w:val="20"/>
              </w:rPr>
            </w:pPr>
            <w:r w:rsidRPr="001A3F5E">
              <w:rPr>
                <w:rStyle w:val="Bodytext31Sylfaen9"/>
                <w:sz w:val="20"/>
                <w:szCs w:val="20"/>
              </w:rPr>
              <w:t>1096,2</w:t>
            </w:r>
          </w:p>
        </w:tc>
        <w:tc>
          <w:tcPr>
            <w:tcW w:w="1850" w:type="dxa"/>
            <w:tcBorders>
              <w:bottom w:val="single" w:sz="4" w:space="0" w:color="auto"/>
            </w:tcBorders>
            <w:shd w:val="clear" w:color="auto" w:fill="FFFFFF"/>
          </w:tcPr>
          <w:p w14:paraId="49197638" w14:textId="77777777" w:rsidR="00B834A2" w:rsidRPr="001A3F5E" w:rsidRDefault="00B834A2" w:rsidP="001A3F5E">
            <w:pPr>
              <w:spacing w:after="120"/>
              <w:rPr>
                <w:sz w:val="20"/>
                <w:szCs w:val="20"/>
              </w:rPr>
            </w:pPr>
          </w:p>
        </w:tc>
        <w:tc>
          <w:tcPr>
            <w:tcW w:w="1365" w:type="dxa"/>
            <w:tcBorders>
              <w:bottom w:val="single" w:sz="4" w:space="0" w:color="auto"/>
            </w:tcBorders>
            <w:shd w:val="clear" w:color="auto" w:fill="FFFFFF"/>
          </w:tcPr>
          <w:p w14:paraId="70D91151" w14:textId="77777777" w:rsidR="00B834A2" w:rsidRPr="001A3F5E" w:rsidRDefault="00B834A2" w:rsidP="001A3F5E">
            <w:pPr>
              <w:spacing w:after="120"/>
              <w:rPr>
                <w:sz w:val="20"/>
                <w:szCs w:val="20"/>
              </w:rPr>
            </w:pPr>
          </w:p>
        </w:tc>
        <w:tc>
          <w:tcPr>
            <w:tcW w:w="1338" w:type="dxa"/>
            <w:tcBorders>
              <w:bottom w:val="single" w:sz="4" w:space="0" w:color="auto"/>
            </w:tcBorders>
            <w:shd w:val="clear" w:color="auto" w:fill="FFFFFF"/>
          </w:tcPr>
          <w:p w14:paraId="527A3B7F" w14:textId="77777777" w:rsidR="00B834A2" w:rsidRPr="001A3F5E" w:rsidRDefault="00B834A2" w:rsidP="001A3F5E">
            <w:pPr>
              <w:spacing w:after="120"/>
              <w:rPr>
                <w:sz w:val="20"/>
                <w:szCs w:val="20"/>
              </w:rPr>
            </w:pPr>
          </w:p>
        </w:tc>
      </w:tr>
    </w:tbl>
    <w:p w14:paraId="38F5F2FD" w14:textId="77777777" w:rsidR="00B834A2" w:rsidRPr="00B834A2" w:rsidRDefault="00B834A2" w:rsidP="00B834A2">
      <w:pPr>
        <w:pStyle w:val="Bodytext20"/>
        <w:shd w:val="clear" w:color="auto" w:fill="auto"/>
        <w:spacing w:before="0" w:after="160" w:line="360" w:lineRule="auto"/>
        <w:rPr>
          <w:rFonts w:ascii="Sylfaen" w:hAnsi="Sylfaen" w:cs="Sylfaen"/>
          <w:sz w:val="24"/>
          <w:szCs w:val="24"/>
        </w:rPr>
      </w:pPr>
    </w:p>
    <w:p w14:paraId="4E77A774"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Style w:val="Bodytext2Italic"/>
          <w:sz w:val="24"/>
          <w:szCs w:val="24"/>
        </w:rPr>
        <w:t>Հատման կետ = H</w:t>
      </w:r>
      <w:r w:rsidRPr="00B834A2">
        <w:rPr>
          <w:rStyle w:val="Bodytext2Italic"/>
          <w:sz w:val="24"/>
          <w:szCs w:val="24"/>
          <w:vertAlign w:val="subscript"/>
        </w:rPr>
        <w:t>I</w:t>
      </w:r>
      <w:r w:rsidRPr="00B834A2">
        <w:rPr>
          <w:rStyle w:val="Bodytext2Italic"/>
          <w:sz w:val="24"/>
          <w:szCs w:val="24"/>
        </w:rPr>
        <w:t>((a</w:t>
      </w:r>
      <w:r w:rsidRPr="00B834A2">
        <w:rPr>
          <w:rStyle w:val="Bodytext2Italic"/>
          <w:sz w:val="24"/>
          <w:szCs w:val="24"/>
          <w:vertAlign w:val="superscript"/>
        </w:rPr>
        <w:t>2</w:t>
      </w:r>
      <w:r w:rsidRPr="00B834A2">
        <w:rPr>
          <w:rStyle w:val="Bodytext2Italic"/>
          <w:sz w:val="24"/>
          <w:szCs w:val="24"/>
          <w:vertAlign w:val="subscript"/>
        </w:rPr>
        <w:t>S</w:t>
      </w:r>
      <w:r w:rsidRPr="00B834A2">
        <w:rPr>
          <w:rStyle w:val="Bodytext2Italic"/>
          <w:sz w:val="24"/>
          <w:szCs w:val="24"/>
        </w:rPr>
        <w:t xml:space="preserve"> + a</w:t>
      </w:r>
      <w:r w:rsidRPr="00B834A2">
        <w:rPr>
          <w:rStyle w:val="Bodytext2Italic"/>
          <w:sz w:val="24"/>
          <w:szCs w:val="24"/>
          <w:vertAlign w:val="superscript"/>
        </w:rPr>
        <w:t>2</w:t>
      </w:r>
      <w:r w:rsidRPr="00B834A2">
        <w:rPr>
          <w:rStyle w:val="Bodytext2Italic"/>
          <w:sz w:val="24"/>
          <w:szCs w:val="24"/>
          <w:vertAlign w:val="subscript"/>
        </w:rPr>
        <w:t>U</w:t>
      </w:r>
      <w:r w:rsidRPr="00B834A2">
        <w:rPr>
          <w:rStyle w:val="Bodytext2Italic"/>
          <w:sz w:val="24"/>
          <w:szCs w:val="24"/>
        </w:rPr>
        <w:t xml:space="preserve"> +a</w:t>
      </w:r>
      <w:r w:rsidRPr="00B834A2">
        <w:rPr>
          <w:rStyle w:val="Bodytext2Italic"/>
          <w:sz w:val="24"/>
          <w:szCs w:val="24"/>
          <w:vertAlign w:val="superscript"/>
        </w:rPr>
        <w:t>2</w:t>
      </w:r>
      <w:r w:rsidRPr="00B834A2">
        <w:rPr>
          <w:rStyle w:val="Bodytext2Italic"/>
          <w:sz w:val="24"/>
          <w:szCs w:val="24"/>
          <w:vertAlign w:val="subscript"/>
        </w:rPr>
        <w:t>U</w:t>
      </w:r>
      <w:r w:rsidRPr="00B834A2">
        <w:rPr>
          <w:rStyle w:val="Bodytext2Italic"/>
          <w:sz w:val="24"/>
          <w:szCs w:val="24"/>
        </w:rPr>
        <w:t xml:space="preserve">) </w:t>
      </w:r>
      <w:r w:rsidR="002E52D1">
        <w:rPr>
          <w:rStyle w:val="Bodytext2Italic"/>
          <w:sz w:val="24"/>
          <w:szCs w:val="24"/>
        </w:rPr>
        <w:t>-</w:t>
      </w:r>
      <w:r w:rsidRPr="00B834A2">
        <w:rPr>
          <w:rStyle w:val="Bodytext2Italic"/>
          <w:sz w:val="24"/>
          <w:szCs w:val="24"/>
        </w:rPr>
        <w:t xml:space="preserve"> h(d</w:t>
      </w:r>
      <w:r w:rsidRPr="00B834A2">
        <w:rPr>
          <w:rStyle w:val="Bodytext2Italic"/>
          <w:sz w:val="24"/>
          <w:szCs w:val="24"/>
          <w:vertAlign w:val="superscript"/>
        </w:rPr>
        <w:t>2</w:t>
      </w:r>
      <w:r w:rsidRPr="00B834A2">
        <w:rPr>
          <w:rStyle w:val="Bodytext2Italic"/>
          <w:sz w:val="24"/>
          <w:szCs w:val="24"/>
        </w:rPr>
        <w:t>-d)a</w:t>
      </w:r>
      <w:r w:rsidRPr="00B834A2">
        <w:rPr>
          <w:rStyle w:val="Bodytext2Italic"/>
          <w:sz w:val="24"/>
          <w:szCs w:val="24"/>
          <w:vertAlign w:val="superscript"/>
        </w:rPr>
        <w:t>2</w:t>
      </w:r>
      <w:r w:rsidRPr="00B834A2">
        <w:rPr>
          <w:rStyle w:val="Bodytext2Italic"/>
          <w:sz w:val="24"/>
          <w:szCs w:val="24"/>
        </w:rPr>
        <w:t>) = 3,474.</w:t>
      </w:r>
    </w:p>
    <w:p w14:paraId="5F5FFB49"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Style w:val="Bodytext2Italic"/>
          <w:sz w:val="24"/>
          <w:szCs w:val="24"/>
        </w:rPr>
        <w:t>Ոչ գծայնություն = n(J</w:t>
      </w:r>
      <w:r w:rsidRPr="00B834A2">
        <w:rPr>
          <w:rStyle w:val="Bodytext2Italic"/>
          <w:sz w:val="24"/>
          <w:szCs w:val="24"/>
          <w:vertAlign w:val="subscript"/>
        </w:rPr>
        <w:t>S</w:t>
      </w:r>
      <w:r w:rsidRPr="00B834A2">
        <w:rPr>
          <w:rStyle w:val="Bodytext2Italic"/>
          <w:sz w:val="24"/>
          <w:szCs w:val="24"/>
        </w:rPr>
        <w:t xml:space="preserve"> +J</w:t>
      </w:r>
      <w:r w:rsidRPr="00B834A2">
        <w:rPr>
          <w:rStyle w:val="Bodytext2Italic"/>
          <w:sz w:val="24"/>
          <w:szCs w:val="24"/>
          <w:vertAlign w:val="subscript"/>
        </w:rPr>
        <w:t>U</w:t>
      </w:r>
      <w:r w:rsidRPr="00B834A2">
        <w:rPr>
          <w:rStyle w:val="Bodytext2Italic"/>
          <w:sz w:val="24"/>
          <w:szCs w:val="24"/>
        </w:rPr>
        <w:t xml:space="preserve"> + J</w:t>
      </w:r>
      <w:r w:rsidRPr="00B834A2">
        <w:rPr>
          <w:rStyle w:val="Bodytext2Italic"/>
          <w:sz w:val="24"/>
          <w:szCs w:val="24"/>
          <w:vertAlign w:val="subscript"/>
        </w:rPr>
        <w:t>U’</w:t>
      </w:r>
      <w:r w:rsidRPr="00B834A2">
        <w:rPr>
          <w:rStyle w:val="Bodytext2Italic"/>
          <w:sz w:val="24"/>
          <w:szCs w:val="24"/>
        </w:rPr>
        <w:t>) = 5,090.</w:t>
      </w:r>
    </w:p>
    <w:p w14:paraId="0037F9D0" w14:textId="77777777" w:rsidR="00B834A2" w:rsidRPr="00B834A2" w:rsidRDefault="00B834A2" w:rsidP="00B834A2">
      <w:pPr>
        <w:pStyle w:val="Bodytext20"/>
        <w:shd w:val="clear" w:color="auto" w:fill="auto"/>
        <w:spacing w:before="0" w:after="160" w:line="360" w:lineRule="auto"/>
        <w:ind w:firstLine="567"/>
        <w:rPr>
          <w:rStyle w:val="Bodytext2Italic"/>
          <w:sz w:val="24"/>
          <w:szCs w:val="24"/>
        </w:rPr>
      </w:pPr>
      <w:r w:rsidRPr="00B834A2">
        <w:rPr>
          <w:rStyle w:val="Bodytext2Italic"/>
          <w:sz w:val="24"/>
          <w:szCs w:val="24"/>
        </w:rPr>
        <w:t xml:space="preserve">Կիրառումներ= </w:t>
      </w:r>
      <w:r w:rsidRPr="00B834A2">
        <w:rPr>
          <w:rFonts w:ascii="Sylfaen" w:hAnsi="Sylfaen" w:cs="Sylfaen"/>
          <w:i/>
          <w:iCs/>
          <w:noProof/>
          <w:sz w:val="24"/>
          <w:szCs w:val="24"/>
          <w:shd w:val="clear" w:color="auto" w:fill="FFFFFF"/>
          <w:lang w:val="en-US" w:eastAsia="en-US" w:bidi="ar-SA"/>
        </w:rPr>
        <w:drawing>
          <wp:inline distT="0" distB="0" distL="0" distR="0" wp14:anchorId="6EA56258" wp14:editId="59BAC9DF">
            <wp:extent cx="1482204" cy="342957"/>
            <wp:effectExtent l="19050" t="0" r="3696"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cstate="print"/>
                    <a:srcRect/>
                    <a:stretch>
                      <a:fillRect/>
                    </a:stretch>
                  </pic:blipFill>
                  <pic:spPr bwMode="auto">
                    <a:xfrm>
                      <a:off x="0" y="0"/>
                      <a:ext cx="1499568" cy="346975"/>
                    </a:xfrm>
                    <a:prstGeom prst="rect">
                      <a:avLst/>
                    </a:prstGeom>
                    <a:noFill/>
                    <a:ln w="9525">
                      <a:noFill/>
                      <a:miter lim="800000"/>
                      <a:headEnd/>
                      <a:tailEnd/>
                    </a:ln>
                  </pic:spPr>
                </pic:pic>
              </a:graphicData>
            </a:graphic>
          </wp:inline>
        </w:drawing>
      </w:r>
    </w:p>
    <w:p w14:paraId="7E774F50"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Style w:val="Bodytext2Italic"/>
          <w:sz w:val="24"/>
          <w:szCs w:val="24"/>
        </w:rPr>
        <w:t>Ռեգրեսիա = կիրառումներ - հատման կետ - ոչ գծայնություն = 1096,2-3,474 -5,090 =1087,6.</w:t>
      </w:r>
    </w:p>
    <w:p w14:paraId="422ABD74" w14:textId="77777777" w:rsidR="00B834A2" w:rsidRPr="00B834A2" w:rsidRDefault="00B834A2" w:rsidP="00B834A2">
      <w:pPr>
        <w:pStyle w:val="Bodytext20"/>
        <w:shd w:val="clear" w:color="auto" w:fill="auto"/>
        <w:spacing w:before="0" w:after="160" w:line="360" w:lineRule="auto"/>
        <w:ind w:firstLine="567"/>
        <w:rPr>
          <w:rStyle w:val="Bodytext2Italic"/>
          <w:rFonts w:cs="Calibri"/>
          <w:sz w:val="24"/>
          <w:szCs w:val="24"/>
        </w:rPr>
      </w:pPr>
      <w:r w:rsidRPr="00B834A2">
        <w:rPr>
          <w:rFonts w:ascii="Sylfaen" w:hAnsi="Sylfaen"/>
          <w:sz w:val="24"/>
          <w:szCs w:val="24"/>
        </w:rPr>
        <w:t xml:space="preserve">Արդյունք </w:t>
      </w:r>
      <w:r w:rsidRPr="00B834A2">
        <w:rPr>
          <w:rStyle w:val="Bodytext2Italic"/>
          <w:sz w:val="24"/>
          <w:szCs w:val="24"/>
        </w:rPr>
        <w:t>= Σ(y</w:t>
      </w:r>
      <w:r w:rsidRPr="00B834A2">
        <w:rPr>
          <w:rStyle w:val="Bodytext2Italic"/>
          <w:sz w:val="24"/>
          <w:szCs w:val="24"/>
          <w:vertAlign w:val="superscript"/>
        </w:rPr>
        <w:t>2</w:t>
      </w:r>
      <w:r w:rsidRPr="00B834A2">
        <w:rPr>
          <w:rStyle w:val="Bodytext2Italic"/>
          <w:sz w:val="24"/>
          <w:szCs w:val="24"/>
        </w:rPr>
        <w:t>) = 1109,0.</w:t>
      </w:r>
      <w:r w:rsidRPr="00B834A2">
        <w:rPr>
          <w:rFonts w:ascii="Sylfaen" w:hAnsi="Sylfaen"/>
          <w:sz w:val="24"/>
          <w:szCs w:val="24"/>
        </w:rPr>
        <w:t xml:space="preserve"> </w:t>
      </w:r>
    </w:p>
    <w:p w14:paraId="7CB2EA12"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rPr>
        <w:t>Շեղում = արդյունք - կիրառումներ =1109,0-1096,2=12,8։</w:t>
      </w:r>
    </w:p>
    <w:p w14:paraId="76CABA0F"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 xml:space="preserve">Դիսպերսիաների տարբերությունների նշանակալիությունը ստուգվում է Ֆիշերի չափորոշչի միջոցով։ </w:t>
      </w:r>
      <w:r w:rsidRPr="00B834A2">
        <w:rPr>
          <w:rFonts w:ascii="Sylfaen" w:hAnsi="Sylfaen"/>
          <w:sz w:val="24"/>
          <w:szCs w:val="24"/>
        </w:rPr>
        <w:t>«Ռեգրեսիա», «Հատման կետ» եւ «Ոչ գծայնություն» ցուցանիշների համար պահանջների կատարումը պարտադիր է։</w:t>
      </w:r>
      <w:r w:rsidRPr="00B834A2">
        <w:rPr>
          <w:rStyle w:val="Bodytext31Sylfaen9"/>
          <w:sz w:val="24"/>
          <w:szCs w:val="24"/>
        </w:rPr>
        <w:t xml:space="preserve"> </w:t>
      </w:r>
      <w:r w:rsidRPr="00B834A2">
        <w:rPr>
          <w:rFonts w:ascii="Sylfaen" w:hAnsi="Sylfaen"/>
          <w:sz w:val="24"/>
          <w:szCs w:val="24"/>
        </w:rPr>
        <w:t xml:space="preserve">Այդ պահանջները կայանում են նրանում, որ «Ռեգրեսիա»-ի համար Ֆիշերի չափորոշչի դիտարկվող արժեքը պետք է մեծ լինի կրիտիկական արժեքից </w:t>
      </w:r>
      <w:r w:rsidRPr="00B834A2">
        <w:rPr>
          <w:rStyle w:val="Bodytext2Italic"/>
          <w:sz w:val="24"/>
          <w:szCs w:val="24"/>
        </w:rPr>
        <w:t>(р</w:t>
      </w:r>
      <w:r w:rsidRPr="00B834A2">
        <w:rPr>
          <w:rStyle w:val="Bodytext31Sylfaen9"/>
          <w:sz w:val="24"/>
          <w:szCs w:val="24"/>
        </w:rPr>
        <w:t xml:space="preserve"> = 0,01), </w:t>
      </w:r>
      <w:r w:rsidRPr="00B834A2">
        <w:rPr>
          <w:rFonts w:ascii="Sylfaen" w:hAnsi="Sylfaen"/>
          <w:sz w:val="24"/>
          <w:szCs w:val="24"/>
        </w:rPr>
        <w:t>իսկ «Հատման կետ»-ի եւ «Ոչ գծայնության» համար՝ կրիտիկական արժեքից փոքր</w:t>
      </w:r>
      <w:r>
        <w:rPr>
          <w:rFonts w:ascii="Sylfaen" w:hAnsi="Sylfaen"/>
          <w:sz w:val="24"/>
          <w:szCs w:val="24"/>
        </w:rPr>
        <w:t xml:space="preserve"> </w:t>
      </w:r>
      <w:r w:rsidRPr="00B834A2">
        <w:rPr>
          <w:rStyle w:val="Bodytext2Italic"/>
          <w:sz w:val="24"/>
          <w:szCs w:val="24"/>
        </w:rPr>
        <w:t>(р</w:t>
      </w:r>
      <w:r w:rsidRPr="00B834A2">
        <w:rPr>
          <w:rStyle w:val="Bodytext31Sylfaen9"/>
          <w:sz w:val="24"/>
          <w:szCs w:val="24"/>
        </w:rPr>
        <w:t xml:space="preserve"> = 0,05)։</w:t>
      </w:r>
    </w:p>
    <w:p w14:paraId="5A50C5A9" w14:textId="77777777" w:rsidR="00B834A2" w:rsidRPr="00B834A2" w:rsidRDefault="00B834A2" w:rsidP="001A3F5E">
      <w:pPr>
        <w:pStyle w:val="Bodytext20"/>
        <w:shd w:val="clear" w:color="auto" w:fill="auto"/>
        <w:spacing w:before="0" w:after="160" w:line="360" w:lineRule="auto"/>
        <w:ind w:firstLine="340"/>
        <w:jc w:val="both"/>
        <w:rPr>
          <w:rFonts w:ascii="Sylfaen" w:hAnsi="Sylfaen" w:cs="Sylfaen"/>
          <w:sz w:val="24"/>
          <w:szCs w:val="24"/>
        </w:rPr>
      </w:pPr>
      <w:r w:rsidRPr="00B834A2">
        <w:rPr>
          <w:rFonts w:ascii="Sylfaen" w:hAnsi="Sylfaen"/>
          <w:sz w:val="24"/>
          <w:szCs w:val="24"/>
        </w:rPr>
        <w:t>F</w:t>
      </w:r>
      <w:r w:rsidRPr="00B834A2">
        <w:rPr>
          <w:rFonts w:ascii="Sylfaen" w:hAnsi="Sylfaen"/>
          <w:sz w:val="24"/>
          <w:szCs w:val="24"/>
          <w:vertAlign w:val="subscript"/>
        </w:rPr>
        <w:t>դիտ</w:t>
      </w:r>
      <w:r w:rsidRPr="00B834A2">
        <w:rPr>
          <w:rFonts w:ascii="Sylfaen" w:hAnsi="Sylfaen"/>
          <w:sz w:val="24"/>
          <w:szCs w:val="24"/>
        </w:rPr>
        <w:t>-ը գտնելու համար ցուցանիշների միջին քառակուսիները բաժանվում են «Շեղում» ցուցանիշի միջին քառակուսիով։</w:t>
      </w:r>
      <w:r w:rsidRPr="00B834A2">
        <w:rPr>
          <w:rStyle w:val="Bodytext31Sylfaen9"/>
          <w:sz w:val="24"/>
          <w:szCs w:val="24"/>
        </w:rPr>
        <w:t xml:space="preserve"> Ստացված արդյունքները համեմատվում են Ֆիշերի չափորոշչի աղյուսակային կրիտիկական արժեքների հետ (հավելվածի 3-րդ աղյուսակ)։ </w:t>
      </w:r>
      <w:r w:rsidRPr="00B834A2">
        <w:rPr>
          <w:rFonts w:ascii="Sylfaen" w:hAnsi="Sylfaen"/>
          <w:sz w:val="24"/>
          <w:szCs w:val="24"/>
        </w:rPr>
        <w:t xml:space="preserve">Ազատության աստիճանների թիվը՝ </w:t>
      </w:r>
      <w:r w:rsidRPr="00B834A2">
        <w:rPr>
          <w:rStyle w:val="Bodytext31Sylfaen9"/>
          <w:sz w:val="24"/>
          <w:szCs w:val="24"/>
        </w:rPr>
        <w:t>ƒ</w:t>
      </w:r>
      <w:r w:rsidRPr="00B834A2">
        <w:rPr>
          <w:rStyle w:val="Bodytext31Sylfaen9"/>
          <w:sz w:val="24"/>
          <w:szCs w:val="24"/>
          <w:vertAlign w:val="subscript"/>
        </w:rPr>
        <w:t>1</w:t>
      </w:r>
      <w:r w:rsidRPr="00B834A2">
        <w:rPr>
          <w:rStyle w:val="Bodytext31Sylfaen9"/>
          <w:sz w:val="24"/>
          <w:szCs w:val="24"/>
        </w:rPr>
        <w:t xml:space="preserve">= համապատասխանաբար 3, 2 եւ </w:t>
      </w:r>
      <w:r w:rsidRPr="00B834A2">
        <w:rPr>
          <w:rStyle w:val="Bodytext285pt"/>
          <w:spacing w:val="0"/>
          <w:sz w:val="24"/>
          <w:szCs w:val="24"/>
        </w:rPr>
        <w:t xml:space="preserve">6, իսկ </w:t>
      </w:r>
      <w:r w:rsidRPr="00B834A2">
        <w:rPr>
          <w:rStyle w:val="Bodytext31Sylfaen9"/>
          <w:sz w:val="24"/>
          <w:szCs w:val="24"/>
        </w:rPr>
        <w:t>ƒ</w:t>
      </w:r>
      <w:r w:rsidRPr="00B834A2">
        <w:rPr>
          <w:rStyle w:val="Bodytext2Italic"/>
          <w:sz w:val="24"/>
          <w:szCs w:val="24"/>
          <w:vertAlign w:val="subscript"/>
        </w:rPr>
        <w:t>2</w:t>
      </w:r>
      <w:r w:rsidRPr="00B834A2">
        <w:rPr>
          <w:rStyle w:val="Bodytext2Italic"/>
          <w:sz w:val="24"/>
          <w:szCs w:val="24"/>
        </w:rPr>
        <w:t>=</w:t>
      </w:r>
      <w:r w:rsidRPr="00B834A2">
        <w:rPr>
          <w:rStyle w:val="Bodytext31Sylfaen9"/>
          <w:sz w:val="24"/>
          <w:szCs w:val="24"/>
        </w:rPr>
        <w:t xml:space="preserve"> 36</w:t>
      </w:r>
      <w:r w:rsidRPr="00B834A2">
        <w:rPr>
          <w:rStyle w:val="Bodytext285pt"/>
          <w:spacing w:val="0"/>
          <w:sz w:val="24"/>
          <w:szCs w:val="24"/>
        </w:rPr>
        <w:t>։</w:t>
      </w:r>
    </w:p>
    <w:p w14:paraId="67BBDA1B" w14:textId="77777777" w:rsidR="00B834A2" w:rsidRPr="00B834A2" w:rsidRDefault="00B834A2" w:rsidP="001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Դիսպերսիոն վերլուծությունը ցույց է տվել փորձի արդյունքների պիտանիությունը՝</w:t>
      </w:r>
    </w:p>
    <w:p w14:paraId="2CAB255C" w14:textId="77777777" w:rsidR="00B834A2" w:rsidRPr="00B834A2" w:rsidRDefault="00B834A2" w:rsidP="001A3F5E">
      <w:pPr>
        <w:pStyle w:val="Bodytext20"/>
        <w:shd w:val="clear" w:color="auto" w:fill="auto"/>
        <w:spacing w:before="0" w:after="160" w:line="360" w:lineRule="auto"/>
        <w:ind w:firstLine="340"/>
        <w:jc w:val="both"/>
        <w:rPr>
          <w:rFonts w:ascii="Sylfaen" w:hAnsi="Sylfaen" w:cs="Sylfaen"/>
          <w:sz w:val="24"/>
          <w:szCs w:val="24"/>
          <w:u w:val="single"/>
        </w:rPr>
      </w:pPr>
      <w:r w:rsidRPr="00B834A2">
        <w:rPr>
          <w:rStyle w:val="Bodytext31Sylfaen9"/>
          <w:sz w:val="24"/>
          <w:szCs w:val="24"/>
          <w:u w:val="single"/>
        </w:rPr>
        <w:lastRenderedPageBreak/>
        <w:t>Կենսաբանական ակտիվության եւ դրա վստահելի սահմանների հաշվարկումը</w:t>
      </w:r>
    </w:p>
    <w:p w14:paraId="3CC5154F" w14:textId="77777777" w:rsidR="00B834A2" w:rsidRPr="00B834A2" w:rsidRDefault="00B834A2" w:rsidP="00B834A2">
      <w:pPr>
        <w:pStyle w:val="Bodytext20"/>
        <w:shd w:val="clear" w:color="auto" w:fill="auto"/>
        <w:spacing w:before="0" w:after="160" w:line="360" w:lineRule="auto"/>
        <w:ind w:left="720" w:hanging="380"/>
        <w:rPr>
          <w:rFonts w:ascii="Sylfaen" w:hAnsi="Sylfaen" w:cs="Sylfaen"/>
          <w:sz w:val="24"/>
          <w:szCs w:val="24"/>
        </w:rPr>
      </w:pPr>
      <w:r w:rsidRPr="00B834A2">
        <w:rPr>
          <w:rStyle w:val="Bodytext2Italic"/>
          <w:sz w:val="24"/>
          <w:szCs w:val="24"/>
        </w:rPr>
        <w:t>t</w:t>
      </w:r>
      <w:r w:rsidRPr="00B834A2">
        <w:rPr>
          <w:rStyle w:val="Bodytext31Sylfaen9"/>
          <w:sz w:val="24"/>
          <w:szCs w:val="24"/>
        </w:rPr>
        <w:t xml:space="preserve"> =2,179</w:t>
      </w:r>
      <w:r w:rsidRPr="00B834A2">
        <w:rPr>
          <w:rFonts w:ascii="Sylfaen" w:hAnsi="Sylfaen"/>
          <w:sz w:val="24"/>
          <w:szCs w:val="24"/>
        </w:rPr>
        <w:t>՝</w:t>
      </w:r>
      <w:r>
        <w:rPr>
          <w:rFonts w:ascii="Sylfaen" w:hAnsi="Sylfaen"/>
          <w:sz w:val="24"/>
          <w:szCs w:val="24"/>
        </w:rPr>
        <w:t xml:space="preserve"> </w:t>
      </w:r>
      <w:r w:rsidRPr="00B834A2">
        <w:rPr>
          <w:rStyle w:val="Bodytext31Sylfaen9"/>
          <w:sz w:val="24"/>
          <w:szCs w:val="24"/>
        </w:rPr>
        <w:t>ƒ</w:t>
      </w:r>
      <w:r w:rsidRPr="00B834A2">
        <w:rPr>
          <w:rFonts w:ascii="Sylfaen" w:hAnsi="Sylfaen"/>
          <w:sz w:val="24"/>
          <w:szCs w:val="24"/>
        </w:rPr>
        <w:t xml:space="preserve"> =12-ի եւ </w:t>
      </w:r>
      <w:r w:rsidRPr="00B834A2">
        <w:rPr>
          <w:rStyle w:val="Bodytext31Sylfaen9"/>
          <w:sz w:val="24"/>
          <w:szCs w:val="24"/>
        </w:rPr>
        <w:t>p</w:t>
      </w:r>
      <w:r w:rsidRPr="00B834A2">
        <w:rPr>
          <w:rFonts w:ascii="Sylfaen" w:hAnsi="Sylfaen"/>
          <w:sz w:val="24"/>
          <w:szCs w:val="24"/>
        </w:rPr>
        <w:t xml:space="preserve"> = 0,05-ի դեպքում.</w:t>
      </w:r>
    </w:p>
    <w:p w14:paraId="6FCF5E33"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u w:val="single"/>
        </w:rPr>
        <w:t>S</w:t>
      </w:r>
      <w:r w:rsidRPr="00B834A2">
        <w:rPr>
          <w:rFonts w:ascii="Sylfaen" w:hAnsi="Sylfaen"/>
          <w:sz w:val="24"/>
          <w:szCs w:val="24"/>
        </w:rPr>
        <w:t xml:space="preserve"> ստանդարտ նմուշի անկյունային գործակիցը՝</w:t>
      </w:r>
    </w:p>
    <w:p w14:paraId="015DB6F4" w14:textId="77777777" w:rsidR="00B834A2" w:rsidRPr="00B834A2" w:rsidRDefault="00B834A2" w:rsidP="00B834A2">
      <w:pPr>
        <w:pStyle w:val="Bodytext20"/>
        <w:shd w:val="clear" w:color="auto" w:fill="auto"/>
        <w:spacing w:before="0" w:after="160" w:line="360" w:lineRule="auto"/>
        <w:ind w:left="720" w:hanging="380"/>
        <w:rPr>
          <w:rStyle w:val="Bodytext2Italic"/>
          <w:sz w:val="24"/>
          <w:szCs w:val="24"/>
        </w:rPr>
      </w:pPr>
      <w:r w:rsidRPr="00B834A2">
        <w:rPr>
          <w:rFonts w:ascii="Sylfaen" w:hAnsi="Sylfaen" w:cs="Sylfaen"/>
          <w:noProof/>
          <w:sz w:val="24"/>
          <w:szCs w:val="24"/>
          <w:shd w:val="clear" w:color="auto" w:fill="FFFFFF"/>
          <w:lang w:val="en-US" w:eastAsia="en-US" w:bidi="ar-SA"/>
        </w:rPr>
        <w:drawing>
          <wp:inline distT="0" distB="0" distL="0" distR="0" wp14:anchorId="6DDF4C3F" wp14:editId="2A7CFDBB">
            <wp:extent cx="2720340" cy="1152316"/>
            <wp:effectExtent l="19050" t="0" r="381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3" cstate="print"/>
                    <a:srcRect/>
                    <a:stretch>
                      <a:fillRect/>
                    </a:stretch>
                  </pic:blipFill>
                  <pic:spPr bwMode="auto">
                    <a:xfrm>
                      <a:off x="0" y="0"/>
                      <a:ext cx="2722165" cy="1153089"/>
                    </a:xfrm>
                    <a:prstGeom prst="rect">
                      <a:avLst/>
                    </a:prstGeom>
                    <a:noFill/>
                    <a:ln w="9525">
                      <a:noFill/>
                      <a:miter lim="800000"/>
                      <a:headEnd/>
                      <a:tailEnd/>
                    </a:ln>
                  </pic:spPr>
                </pic:pic>
              </a:graphicData>
            </a:graphic>
          </wp:inline>
        </w:drawing>
      </w:r>
    </w:p>
    <w:p w14:paraId="03405BD4" w14:textId="77777777" w:rsidR="00B834A2" w:rsidRPr="00B834A2" w:rsidRDefault="00B834A2" w:rsidP="001A3F5E">
      <w:pPr>
        <w:pStyle w:val="Bodytext20"/>
        <w:shd w:val="clear" w:color="auto" w:fill="auto"/>
        <w:spacing w:before="0" w:after="160" w:line="360" w:lineRule="auto"/>
        <w:ind w:firstLine="567"/>
        <w:jc w:val="both"/>
        <w:rPr>
          <w:rStyle w:val="Bodytext2Italic"/>
          <w:sz w:val="24"/>
          <w:szCs w:val="24"/>
        </w:rPr>
      </w:pPr>
      <w:r w:rsidRPr="00B834A2">
        <w:rPr>
          <w:rFonts w:ascii="Sylfaen" w:hAnsi="Sylfaen"/>
          <w:sz w:val="24"/>
          <w:szCs w:val="24"/>
          <w:u w:val="single"/>
        </w:rPr>
        <w:t>U</w:t>
      </w:r>
      <w:r w:rsidRPr="00B834A2">
        <w:rPr>
          <w:rFonts w:ascii="Sylfaen" w:hAnsi="Sylfaen"/>
          <w:sz w:val="24"/>
          <w:szCs w:val="24"/>
        </w:rPr>
        <w:t xml:space="preserve"> փորձարկվող նմուշի անկյունային գործակիցը՝</w:t>
      </w:r>
    </w:p>
    <w:p w14:paraId="570F756F" w14:textId="77777777" w:rsidR="00B834A2" w:rsidRPr="00B834A2" w:rsidRDefault="00B834A2" w:rsidP="00B834A2">
      <w:pPr>
        <w:pStyle w:val="Bodytext20"/>
        <w:shd w:val="clear" w:color="auto" w:fill="auto"/>
        <w:spacing w:before="0" w:after="160" w:line="360" w:lineRule="auto"/>
        <w:ind w:left="720" w:hanging="380"/>
        <w:rPr>
          <w:rFonts w:ascii="Sylfaen" w:hAnsi="Sylfaen" w:cs="Sylfaen"/>
          <w:sz w:val="24"/>
          <w:szCs w:val="24"/>
        </w:rPr>
      </w:pPr>
      <w:r w:rsidRPr="00B834A2">
        <w:rPr>
          <w:rFonts w:ascii="Sylfaen" w:hAnsi="Sylfaen" w:cs="Sylfaen"/>
          <w:noProof/>
          <w:sz w:val="24"/>
          <w:szCs w:val="24"/>
          <w:shd w:val="clear" w:color="auto" w:fill="FFFFFF"/>
          <w:lang w:val="en-US" w:eastAsia="en-US" w:bidi="ar-SA"/>
        </w:rPr>
        <w:drawing>
          <wp:inline distT="0" distB="0" distL="0" distR="0" wp14:anchorId="181EB7B1" wp14:editId="6D79C316">
            <wp:extent cx="2415540" cy="992362"/>
            <wp:effectExtent l="19050" t="0" r="381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4" cstate="print"/>
                    <a:srcRect/>
                    <a:stretch>
                      <a:fillRect/>
                    </a:stretch>
                  </pic:blipFill>
                  <pic:spPr bwMode="auto">
                    <a:xfrm>
                      <a:off x="0" y="0"/>
                      <a:ext cx="2416872" cy="992909"/>
                    </a:xfrm>
                    <a:prstGeom prst="rect">
                      <a:avLst/>
                    </a:prstGeom>
                    <a:noFill/>
                    <a:ln w="9525">
                      <a:noFill/>
                      <a:miter lim="800000"/>
                      <a:headEnd/>
                      <a:tailEnd/>
                    </a:ln>
                  </pic:spPr>
                </pic:pic>
              </a:graphicData>
            </a:graphic>
          </wp:inline>
        </w:drawing>
      </w:r>
    </w:p>
    <w:p w14:paraId="0719091E" w14:textId="77777777" w:rsidR="00B834A2" w:rsidRPr="00B834A2" w:rsidRDefault="00B834A2" w:rsidP="001A3F5E">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u w:val="single"/>
        </w:rPr>
        <w:t>U′</w:t>
      </w:r>
      <w:r w:rsidRPr="00B834A2">
        <w:rPr>
          <w:rStyle w:val="Bodytext31Sylfaen9"/>
          <w:sz w:val="24"/>
          <w:szCs w:val="24"/>
        </w:rPr>
        <w:t xml:space="preserve"> փորձարկվող նմուշի անկյունային գործակիցը՝</w:t>
      </w:r>
    </w:p>
    <w:p w14:paraId="667F6A56" w14:textId="77777777" w:rsidR="00B834A2" w:rsidRPr="00B834A2" w:rsidRDefault="00B834A2" w:rsidP="00B834A2">
      <w:pPr>
        <w:pStyle w:val="Bodytext20"/>
        <w:shd w:val="clear" w:color="auto" w:fill="auto"/>
        <w:spacing w:before="0" w:after="160" w:line="360" w:lineRule="auto"/>
        <w:ind w:left="720" w:hanging="380"/>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733E0F43" wp14:editId="2EDC6950">
            <wp:extent cx="2606040" cy="1050425"/>
            <wp:effectExtent l="19050" t="0" r="381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05" cstate="print"/>
                    <a:srcRect/>
                    <a:stretch>
                      <a:fillRect/>
                    </a:stretch>
                  </pic:blipFill>
                  <pic:spPr bwMode="auto">
                    <a:xfrm>
                      <a:off x="0" y="0"/>
                      <a:ext cx="2607477" cy="1051004"/>
                    </a:xfrm>
                    <a:prstGeom prst="rect">
                      <a:avLst/>
                    </a:prstGeom>
                    <a:noFill/>
                    <a:ln w="9525">
                      <a:noFill/>
                      <a:miter lim="800000"/>
                      <a:headEnd/>
                      <a:tailEnd/>
                    </a:ln>
                  </pic:spPr>
                </pic:pic>
              </a:graphicData>
            </a:graphic>
          </wp:inline>
        </w:drawing>
      </w:r>
    </w:p>
    <w:p w14:paraId="411F460D"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Ակտիվությունների հարաբերակցությունները՝</w:t>
      </w:r>
    </w:p>
    <w:p w14:paraId="67CF2E45" w14:textId="77777777" w:rsidR="00B834A2" w:rsidRPr="00B834A2" w:rsidRDefault="00B834A2" w:rsidP="00B834A2">
      <w:pPr>
        <w:pStyle w:val="Bodytext20"/>
        <w:shd w:val="clear" w:color="auto" w:fill="auto"/>
        <w:spacing w:before="0" w:after="160" w:line="360" w:lineRule="auto"/>
        <w:ind w:left="1840" w:hanging="800"/>
        <w:rPr>
          <w:rFonts w:ascii="Sylfaen" w:hAnsi="Sylfaen" w:cs="Sylfaen"/>
          <w:sz w:val="24"/>
          <w:szCs w:val="24"/>
        </w:rPr>
      </w:pPr>
      <w:r w:rsidRPr="00B834A2">
        <w:rPr>
          <w:rStyle w:val="Bodytext2Italic"/>
          <w:sz w:val="24"/>
          <w:szCs w:val="24"/>
        </w:rPr>
        <w:t>R'</w:t>
      </w:r>
      <w:r w:rsidRPr="00B834A2">
        <w:rPr>
          <w:rStyle w:val="Bodytext2Italic"/>
          <w:sz w:val="24"/>
          <w:szCs w:val="24"/>
          <w:vertAlign w:val="subscript"/>
        </w:rPr>
        <w:t>U</w:t>
      </w:r>
      <w:r w:rsidRPr="00B834A2">
        <w:rPr>
          <w:rStyle w:val="Bodytext31Sylfaen9"/>
          <w:sz w:val="24"/>
          <w:szCs w:val="24"/>
        </w:rPr>
        <w:t xml:space="preserve"> = 6,057/6,357 = 0,953</w:t>
      </w:r>
      <w:r w:rsidRPr="00B834A2">
        <w:rPr>
          <w:rFonts w:ascii="Sylfaen" w:hAnsi="Sylfaen"/>
          <w:sz w:val="24"/>
          <w:szCs w:val="24"/>
        </w:rPr>
        <w:t>.</w:t>
      </w:r>
    </w:p>
    <w:p w14:paraId="122F0D32" w14:textId="77777777" w:rsidR="00B834A2" w:rsidRPr="00B834A2" w:rsidRDefault="00B834A2" w:rsidP="00B834A2">
      <w:pPr>
        <w:pStyle w:val="Bodytext20"/>
        <w:shd w:val="clear" w:color="auto" w:fill="auto"/>
        <w:spacing w:before="0" w:after="160" w:line="360" w:lineRule="auto"/>
        <w:ind w:left="1840" w:hanging="800"/>
        <w:rPr>
          <w:rFonts w:ascii="Sylfaen" w:hAnsi="Sylfaen" w:cs="Sylfaen"/>
          <w:sz w:val="24"/>
          <w:szCs w:val="24"/>
        </w:rPr>
      </w:pPr>
      <w:r w:rsidRPr="00B834A2">
        <w:rPr>
          <w:rStyle w:val="Bodytext2Italic"/>
          <w:sz w:val="24"/>
          <w:szCs w:val="24"/>
        </w:rPr>
        <w:t>R'</w:t>
      </w:r>
      <w:r w:rsidRPr="00B834A2">
        <w:rPr>
          <w:rStyle w:val="Bodytext2Italic"/>
          <w:sz w:val="24"/>
          <w:szCs w:val="24"/>
          <w:vertAlign w:val="subscript"/>
        </w:rPr>
        <w:t>U'</w:t>
      </w:r>
      <w:r w:rsidRPr="00B834A2">
        <w:rPr>
          <w:rStyle w:val="Bodytext31Sylfaen9"/>
          <w:sz w:val="24"/>
          <w:szCs w:val="24"/>
        </w:rPr>
        <w:t xml:space="preserve"> = 4,123/6,357 = 0,649։</w:t>
      </w:r>
    </w:p>
    <w:p w14:paraId="321A01DE"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Վստահելի սահմանների հաշվարկման համար դիսպերսիայի գործակիցները`</w:t>
      </w:r>
    </w:p>
    <w:p w14:paraId="2AC67F29" w14:textId="77777777" w:rsidR="00B834A2" w:rsidRPr="00B834A2" w:rsidRDefault="00B834A2" w:rsidP="00B834A2">
      <w:pPr>
        <w:pStyle w:val="Bodytext20"/>
        <w:shd w:val="clear" w:color="auto" w:fill="auto"/>
        <w:spacing w:before="0" w:after="160" w:line="360" w:lineRule="auto"/>
        <w:ind w:firstLine="460"/>
        <w:rPr>
          <w:rFonts w:ascii="Sylfaen" w:hAnsi="Sylfaen" w:cs="Sylfaen"/>
          <w:sz w:val="24"/>
          <w:szCs w:val="24"/>
        </w:rPr>
      </w:pPr>
      <w:r w:rsidRPr="00B834A2">
        <w:rPr>
          <w:rFonts w:ascii="Sylfaen" w:hAnsi="Sylfaen" w:cs="Sylfaen"/>
          <w:noProof/>
          <w:sz w:val="24"/>
          <w:szCs w:val="24"/>
          <w:shd w:val="clear" w:color="auto" w:fill="FFFFFF"/>
          <w:lang w:val="en-US" w:eastAsia="en-US" w:bidi="ar-SA"/>
        </w:rPr>
        <w:drawing>
          <wp:inline distT="0" distB="0" distL="0" distR="0" wp14:anchorId="58C0F229" wp14:editId="7D16EF66">
            <wp:extent cx="2807522" cy="1037562"/>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6" cstate="print"/>
                    <a:srcRect/>
                    <a:stretch>
                      <a:fillRect/>
                    </a:stretch>
                  </pic:blipFill>
                  <pic:spPr bwMode="auto">
                    <a:xfrm>
                      <a:off x="0" y="0"/>
                      <a:ext cx="2811150" cy="1038903"/>
                    </a:xfrm>
                    <a:prstGeom prst="rect">
                      <a:avLst/>
                    </a:prstGeom>
                    <a:noFill/>
                    <a:ln w="9525">
                      <a:noFill/>
                      <a:miter lim="800000"/>
                      <a:headEnd/>
                      <a:tailEnd/>
                    </a:ln>
                  </pic:spPr>
                </pic:pic>
              </a:graphicData>
            </a:graphic>
          </wp:inline>
        </w:drawing>
      </w:r>
    </w:p>
    <w:p w14:paraId="1C0915BF" w14:textId="77777777" w:rsidR="00B834A2" w:rsidRPr="00B834A2" w:rsidRDefault="00B834A2" w:rsidP="00B834A2">
      <w:pPr>
        <w:pStyle w:val="Bodytext20"/>
        <w:shd w:val="clear" w:color="auto" w:fill="auto"/>
        <w:spacing w:before="0" w:after="160" w:line="360" w:lineRule="auto"/>
        <w:ind w:firstLine="460"/>
        <w:rPr>
          <w:rFonts w:ascii="Sylfaen" w:hAnsi="Sylfaen" w:cs="Sylfaen"/>
          <w:sz w:val="24"/>
          <w:szCs w:val="24"/>
        </w:rPr>
      </w:pPr>
      <w:r w:rsidRPr="00B834A2">
        <w:rPr>
          <w:rFonts w:ascii="Sylfaen" w:hAnsi="Sylfaen" w:cs="Sylfaen"/>
          <w:noProof/>
          <w:sz w:val="24"/>
          <w:szCs w:val="24"/>
          <w:lang w:val="en-US" w:eastAsia="en-US" w:bidi="ar-SA"/>
        </w:rPr>
        <w:lastRenderedPageBreak/>
        <w:drawing>
          <wp:inline distT="0" distB="0" distL="0" distR="0" wp14:anchorId="73EB1A75" wp14:editId="1D62E4D4">
            <wp:extent cx="2628900" cy="1279531"/>
            <wp:effectExtent l="1905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7" cstate="print"/>
                    <a:srcRect/>
                    <a:stretch>
                      <a:fillRect/>
                    </a:stretch>
                  </pic:blipFill>
                  <pic:spPr bwMode="auto">
                    <a:xfrm>
                      <a:off x="0" y="0"/>
                      <a:ext cx="2630350" cy="1280237"/>
                    </a:xfrm>
                    <a:prstGeom prst="rect">
                      <a:avLst/>
                    </a:prstGeom>
                    <a:noFill/>
                    <a:ln w="9525">
                      <a:noFill/>
                      <a:miter lim="800000"/>
                      <a:headEnd/>
                      <a:tailEnd/>
                    </a:ln>
                  </pic:spPr>
                </pic:pic>
              </a:graphicData>
            </a:graphic>
          </wp:inline>
        </w:drawing>
      </w:r>
    </w:p>
    <w:p w14:paraId="23940FAA" w14:textId="77777777" w:rsidR="00B834A2" w:rsidRPr="00B834A2" w:rsidRDefault="00B834A2" w:rsidP="00B834A2">
      <w:pPr>
        <w:pStyle w:val="Bodytext20"/>
        <w:shd w:val="clear" w:color="auto" w:fill="auto"/>
        <w:spacing w:before="0" w:after="160" w:line="360" w:lineRule="auto"/>
        <w:ind w:firstLine="460"/>
        <w:rPr>
          <w:rFonts w:ascii="Sylfaen" w:hAnsi="Sylfaen" w:cs="Sylfaen"/>
          <w:sz w:val="24"/>
          <w:szCs w:val="24"/>
        </w:rPr>
      </w:pPr>
    </w:p>
    <w:p w14:paraId="0229A6FB"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Փորձարկվող նմուշի կենսաբանական ակտի</w:t>
      </w:r>
      <w:r w:rsidRPr="00B834A2">
        <w:rPr>
          <w:rFonts w:ascii="Sylfaen" w:hAnsi="Sylfaen"/>
          <w:sz w:val="24"/>
          <w:szCs w:val="24"/>
        </w:rPr>
        <w:softHyphen/>
        <w:t>վության վստահելի սահմանները հաշվարկվում են հետեւյալ բանաձեւով.</w:t>
      </w:r>
    </w:p>
    <w:p w14:paraId="12F7A3D5" w14:textId="77777777" w:rsidR="00B834A2" w:rsidRPr="00B834A2" w:rsidRDefault="00000000" w:rsidP="00B834A2">
      <w:pPr>
        <w:pStyle w:val="Bodytext20"/>
        <w:shd w:val="clear" w:color="auto" w:fill="auto"/>
        <w:spacing w:before="0" w:after="160" w:line="360" w:lineRule="auto"/>
        <w:ind w:firstLine="460"/>
        <w:rPr>
          <w:rFonts w:ascii="Sylfaen" w:hAnsi="Sylfaen" w:cs="Sylfaen"/>
          <w:sz w:val="24"/>
          <w:szCs w:val="24"/>
        </w:rPr>
      </w:pPr>
      <w:r>
        <w:rPr>
          <w:rFonts w:ascii="Sylfaen" w:hAnsi="Sylfaen" w:cs="Sylfaen"/>
          <w:noProof/>
          <w:sz w:val="24"/>
          <w:szCs w:val="24"/>
          <w:lang w:val="en-US" w:eastAsia="en-US" w:bidi="ar-SA"/>
        </w:rPr>
        <w:pict w14:anchorId="75F16943">
          <v:group id="_x0000_s1407" style="position:absolute;left:0;text-align:left;margin-left:121.3pt;margin-top:27.4pt;width:98.95pt;height:83.85pt;z-index:251952128" coordorigin="3844,1966" coordsize="1979,1677">
            <v:rect id="_x0000_s1362" style="position:absolute;left:3844;top:1966;width:1878;height:430" stroked="f">
              <v:textbox>
                <w:txbxContent>
                  <w:p w14:paraId="530911CD" w14:textId="77777777" w:rsidR="008D6E8B" w:rsidRPr="00821B56" w:rsidRDefault="008D6E8B" w:rsidP="00B834A2">
                    <w:pPr>
                      <w:rPr>
                        <w:sz w:val="20"/>
                      </w:rPr>
                    </w:pPr>
                    <w:r>
                      <w:rPr>
                        <w:sz w:val="12"/>
                        <w:lang w:val="en-GB"/>
                      </w:rPr>
                      <w:t>U ն</w:t>
                    </w:r>
                    <w:r w:rsidRPr="00F225B0">
                      <w:rPr>
                        <w:sz w:val="12"/>
                      </w:rPr>
                      <w:t xml:space="preserve">մուշի համար </w:t>
                    </w:r>
                  </w:p>
                </w:txbxContent>
              </v:textbox>
            </v:rect>
            <v:rect id="_x0000_s1363" style="position:absolute;left:3844;top:3213;width:1979;height:430" stroked="f">
              <v:textbox>
                <w:txbxContent>
                  <w:p w14:paraId="02BA6375" w14:textId="77777777" w:rsidR="008D6E8B" w:rsidRPr="00821B56" w:rsidRDefault="008D6E8B" w:rsidP="00B834A2">
                    <w:pPr>
                      <w:rPr>
                        <w:sz w:val="20"/>
                      </w:rPr>
                    </w:pPr>
                    <w:r>
                      <w:rPr>
                        <w:sz w:val="12"/>
                        <w:lang w:val="en-GB"/>
                      </w:rPr>
                      <w:t>U′</w:t>
                    </w:r>
                    <w:r>
                      <w:rPr>
                        <w:sz w:val="12"/>
                      </w:rPr>
                      <w:t xml:space="preserve"> ն</w:t>
                    </w:r>
                    <w:r w:rsidRPr="00F225B0">
                      <w:rPr>
                        <w:sz w:val="12"/>
                      </w:rPr>
                      <w:t xml:space="preserve">մուշի </w:t>
                    </w:r>
                    <w:r w:rsidRPr="00F225B0">
                      <w:rPr>
                        <w:sz w:val="14"/>
                      </w:rPr>
                      <w:t>համար</w:t>
                    </w:r>
                    <w:r>
                      <w:rPr>
                        <w:sz w:val="20"/>
                      </w:rPr>
                      <w:t xml:space="preserve"> </w:t>
                    </w:r>
                  </w:p>
                </w:txbxContent>
              </v:textbox>
            </v:rect>
          </v:group>
        </w:pict>
      </w:r>
      <w:r w:rsidR="00B834A2" w:rsidRPr="00B834A2">
        <w:rPr>
          <w:rFonts w:ascii="Sylfaen" w:hAnsi="Sylfaen" w:cs="Sylfaen"/>
          <w:noProof/>
          <w:sz w:val="24"/>
          <w:szCs w:val="24"/>
          <w:lang w:val="en-US" w:eastAsia="en-US" w:bidi="ar-SA"/>
        </w:rPr>
        <w:drawing>
          <wp:inline distT="0" distB="0" distL="0" distR="0" wp14:anchorId="49601DC9" wp14:editId="076377F9">
            <wp:extent cx="3281724" cy="1903400"/>
            <wp:effectExtent l="1905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8" cstate="print"/>
                    <a:srcRect/>
                    <a:stretch>
                      <a:fillRect/>
                    </a:stretch>
                  </pic:blipFill>
                  <pic:spPr bwMode="auto">
                    <a:xfrm>
                      <a:off x="0" y="0"/>
                      <a:ext cx="3284958" cy="1905276"/>
                    </a:xfrm>
                    <a:prstGeom prst="rect">
                      <a:avLst/>
                    </a:prstGeom>
                    <a:noFill/>
                    <a:ln w="9525">
                      <a:noFill/>
                      <a:miter lim="800000"/>
                      <a:headEnd/>
                      <a:tailEnd/>
                    </a:ln>
                  </pic:spPr>
                </pic:pic>
              </a:graphicData>
            </a:graphic>
          </wp:inline>
        </w:drawing>
      </w:r>
    </w:p>
    <w:p w14:paraId="4154E225" w14:textId="77777777" w:rsidR="00B834A2" w:rsidRPr="00B834A2" w:rsidRDefault="00B834A2" w:rsidP="00B834A2">
      <w:pPr>
        <w:spacing w:after="160" w:line="360" w:lineRule="auto"/>
        <w:ind w:firstLine="567"/>
        <w:jc w:val="both"/>
        <w:rPr>
          <w:rFonts w:eastAsia="Times New Roman" w:cs="Times New Roman"/>
          <w:color w:val="auto"/>
        </w:rPr>
      </w:pPr>
      <w:r w:rsidRPr="00B834A2">
        <w:t>1 մլ պատվաստանյու</w:t>
      </w:r>
      <w:r w:rsidRPr="00B834A2">
        <w:softHyphen/>
        <w:t>թում հեմգլյուտինինի պարունակությունը որոշվում է ակտիվ</w:t>
      </w:r>
      <w:r w:rsidRPr="00B834A2">
        <w:softHyphen/>
        <w:t>ությունների ու վստահելի միջակայքերի հարաբերակցությունը 30 մկգ/մլ ակն</w:t>
      </w:r>
      <w:r w:rsidRPr="00B834A2">
        <w:softHyphen/>
        <w:t>կալվող ակտիվությամբ բազմապատկելու միջոցով։ Արդյունքները բերված են 3.2.8-28 աղյուսակում։</w:t>
      </w:r>
    </w:p>
    <w:p w14:paraId="70748605" w14:textId="77777777" w:rsidR="00B834A2" w:rsidRPr="00B834A2" w:rsidRDefault="00B834A2" w:rsidP="00B834A2">
      <w:pPr>
        <w:spacing w:after="160" w:line="360" w:lineRule="auto"/>
        <w:ind w:firstLine="567"/>
        <w:jc w:val="both"/>
      </w:pPr>
      <w:r w:rsidRPr="00B834A2">
        <w:rPr>
          <w:b/>
        </w:rPr>
        <w:t>Ծանոթագրություն։</w:t>
      </w:r>
      <w:r w:rsidRPr="00B834A2">
        <w:t xml:space="preserve"> Ս</w:t>
      </w:r>
      <w:r w:rsidR="00F634DB" w:rsidRPr="00F634DB">
        <w:t>-</w:t>
      </w:r>
      <w:r w:rsidRPr="00B834A2">
        <w:t>տուգիչ խումբ օգտագործելիս (</w:t>
      </w:r>
      <w:r w:rsidRPr="00B834A2">
        <w:rPr>
          <w:i/>
        </w:rPr>
        <w:t>«(hd)</w:t>
      </w:r>
      <w:r w:rsidRPr="00B834A2">
        <w:t xml:space="preserve"> 11» սխեմա) առկա</w:t>
      </w:r>
      <w:r w:rsidR="0023645A">
        <w:t> </w:t>
      </w:r>
      <w:r w:rsidRPr="00B834A2">
        <w:t>են հետեւյալ տարբերությունները։</w:t>
      </w:r>
    </w:p>
    <w:p w14:paraId="41467330" w14:textId="77777777" w:rsidR="00B834A2" w:rsidRPr="00B834A2" w:rsidRDefault="00B834A2" w:rsidP="00F634DB">
      <w:pPr>
        <w:spacing w:after="160" w:line="360" w:lineRule="auto"/>
        <w:ind w:firstLine="567"/>
        <w:jc w:val="both"/>
        <w:rPr>
          <w:rFonts w:eastAsia="Times New Roman" w:cs="Times New Roman"/>
          <w:color w:val="auto"/>
          <w:u w:val="single"/>
        </w:rPr>
      </w:pPr>
      <w:r w:rsidRPr="00B834A2">
        <w:rPr>
          <w:u w:val="single"/>
        </w:rPr>
        <w:t>Դիսպերսիոն վերլուծությունը</w:t>
      </w:r>
    </w:p>
    <w:p w14:paraId="46BDDE91" w14:textId="77777777" w:rsidR="00B834A2" w:rsidRPr="00B834A2" w:rsidRDefault="00B834A2" w:rsidP="001A3F5E">
      <w:pPr>
        <w:spacing w:after="160" w:line="360" w:lineRule="auto"/>
        <w:ind w:firstLine="567"/>
        <w:jc w:val="both"/>
        <w:rPr>
          <w:rFonts w:eastAsia="Times New Roman" w:cs="Times New Roman"/>
          <w:color w:val="auto"/>
        </w:rPr>
      </w:pPr>
      <w:r w:rsidRPr="00B834A2">
        <w:rPr>
          <w:rFonts w:eastAsia="Times New Roman" w:cs="Times New Roman"/>
          <w:noProof/>
          <w:color w:val="auto"/>
          <w:lang w:val="en-US" w:eastAsia="en-US" w:bidi="ar-SA"/>
        </w:rPr>
        <w:drawing>
          <wp:inline distT="0" distB="0" distL="0" distR="0" wp14:anchorId="0DFE37AB" wp14:editId="6CAA550A">
            <wp:extent cx="2030730" cy="442517"/>
            <wp:effectExtent l="19050" t="0" r="762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09" cstate="print"/>
                    <a:srcRect/>
                    <a:stretch>
                      <a:fillRect/>
                    </a:stretch>
                  </pic:blipFill>
                  <pic:spPr bwMode="auto">
                    <a:xfrm>
                      <a:off x="0" y="0"/>
                      <a:ext cx="2030730" cy="442517"/>
                    </a:xfrm>
                    <a:prstGeom prst="rect">
                      <a:avLst/>
                    </a:prstGeom>
                    <a:noFill/>
                    <a:ln w="9525">
                      <a:noFill/>
                      <a:miter lim="800000"/>
                      <a:headEnd/>
                      <a:tailEnd/>
                    </a:ln>
                  </pic:spPr>
                </pic:pic>
              </a:graphicData>
            </a:graphic>
          </wp:inline>
        </w:drawing>
      </w:r>
    </w:p>
    <w:p w14:paraId="7D102A41" w14:textId="77777777" w:rsidR="00B834A2" w:rsidRPr="00B834A2" w:rsidRDefault="00B834A2" w:rsidP="0023645A">
      <w:pPr>
        <w:tabs>
          <w:tab w:val="left" w:pos="1134"/>
        </w:tabs>
        <w:spacing w:after="160" w:line="360" w:lineRule="auto"/>
        <w:ind w:firstLine="567"/>
        <w:jc w:val="both"/>
        <w:rPr>
          <w:rFonts w:eastAsia="Times New Roman"/>
        </w:rPr>
      </w:pPr>
      <w:r w:rsidRPr="00B834A2">
        <w:t>2)</w:t>
      </w:r>
      <w:r w:rsidR="001A3F5E" w:rsidRPr="001A3F5E">
        <w:tab/>
      </w:r>
      <w:r w:rsidRPr="00B834A2">
        <w:t>Դիսպերսիոն վերլուծության ամփոփիչ աղյուսակում ի հայտ է գալիս փոփոխման լրացուցիչ աղբյուր՝ «</w:t>
      </w:r>
      <w:r w:rsidRPr="00B834A2">
        <w:rPr>
          <w:i/>
        </w:rPr>
        <w:t>Հսկողություն</w:t>
      </w:r>
      <w:r w:rsidRPr="00B834A2">
        <w:t>» («</w:t>
      </w:r>
      <w:r w:rsidRPr="00B834A2">
        <w:rPr>
          <w:i/>
        </w:rPr>
        <w:t>Ռեգրեսիա</w:t>
      </w:r>
      <w:r w:rsidRPr="00B834A2">
        <w:t>»-ից հետո)։</w:t>
      </w:r>
    </w:p>
    <w:p w14:paraId="7031E7B0" w14:textId="77777777" w:rsidR="00B834A2" w:rsidRPr="00B834A2" w:rsidRDefault="00B834A2" w:rsidP="00B834A2">
      <w:pPr>
        <w:spacing w:after="160" w:line="360" w:lineRule="auto"/>
        <w:rPr>
          <w:rFonts w:eastAsia="Times New Roman" w:cs="Times New Roman"/>
          <w:color w:val="auto"/>
        </w:rPr>
      </w:pPr>
      <w:r w:rsidRPr="00B834A2">
        <w:rPr>
          <w:i/>
        </w:rPr>
        <w:t>Հսկողություն</w:t>
      </w:r>
      <w:r w:rsidRPr="00B834A2">
        <w:t xml:space="preserve"> =Н</w:t>
      </w:r>
      <w:r w:rsidRPr="00B834A2">
        <w:rPr>
          <w:i/>
          <w:vertAlign w:val="subscript"/>
        </w:rPr>
        <w:t>в</w:t>
      </w:r>
      <w:r w:rsidRPr="00B834A2">
        <w:t>(В - а)</w:t>
      </w:r>
      <w:r w:rsidRPr="00B834A2">
        <w:rPr>
          <w:i/>
          <w:vertAlign w:val="superscript"/>
        </w:rPr>
        <w:t>2</w:t>
      </w:r>
      <w:r w:rsidRPr="00B834A2">
        <w:t xml:space="preserve">, եթե </w:t>
      </w:r>
      <w:r w:rsidRPr="00B834A2">
        <w:rPr>
          <w:i/>
        </w:rPr>
        <w:t>ƒ</w:t>
      </w:r>
      <w:r w:rsidRPr="00B834A2">
        <w:t>= 1։</w:t>
      </w:r>
    </w:p>
    <w:p w14:paraId="45923051" w14:textId="77777777" w:rsidR="00B834A2" w:rsidRPr="00B834A2" w:rsidRDefault="00B834A2" w:rsidP="001A3F5E">
      <w:pPr>
        <w:tabs>
          <w:tab w:val="left" w:pos="1134"/>
        </w:tabs>
        <w:spacing w:after="160" w:line="360" w:lineRule="auto"/>
        <w:ind w:firstLine="567"/>
        <w:jc w:val="both"/>
        <w:rPr>
          <w:rFonts w:eastAsia="Times New Roman" w:cs="Constantia"/>
          <w:i/>
          <w:iCs/>
        </w:rPr>
      </w:pPr>
      <w:r w:rsidRPr="00B834A2">
        <w:lastRenderedPageBreak/>
        <w:t>3)</w:t>
      </w:r>
      <w:r w:rsidR="001A3F5E" w:rsidRPr="001A3F5E">
        <w:tab/>
      </w:r>
      <w:r w:rsidRPr="00B834A2">
        <w:rPr>
          <w:i/>
        </w:rPr>
        <w:t>Կիրառումներ</w:t>
      </w:r>
      <w:r w:rsidRPr="00B834A2">
        <w:t xml:space="preserve"> = n(В</w:t>
      </w:r>
      <w:r w:rsidRPr="00B834A2">
        <w:rPr>
          <w:i/>
          <w:vertAlign w:val="superscript"/>
        </w:rPr>
        <w:t>2</w:t>
      </w:r>
      <w:r w:rsidRPr="00B834A2">
        <w:t xml:space="preserve"> +G</w:t>
      </w:r>
      <w:r w:rsidRPr="00B834A2">
        <w:rPr>
          <w:i/>
          <w:vertAlign w:val="subscript"/>
        </w:rPr>
        <w:t>S</w:t>
      </w:r>
      <w:r w:rsidRPr="00B834A2">
        <w:t xml:space="preserve"> +G</w:t>
      </w:r>
      <w:r w:rsidRPr="00B834A2">
        <w:rPr>
          <w:i/>
          <w:vertAlign w:val="subscript"/>
        </w:rPr>
        <w:t>U</w:t>
      </w:r>
      <w:r w:rsidRPr="00B834A2">
        <w:t xml:space="preserve"> +...)-К, եթե </w:t>
      </w:r>
      <w:r w:rsidRPr="00B834A2">
        <w:rPr>
          <w:i/>
        </w:rPr>
        <w:t>ƒ</w:t>
      </w:r>
      <w:r w:rsidRPr="00B834A2">
        <w:t>=</w:t>
      </w:r>
      <w:r w:rsidRPr="00B834A2">
        <w:rPr>
          <w:i/>
        </w:rPr>
        <w:t>hd։</w:t>
      </w:r>
    </w:p>
    <w:p w14:paraId="14546420" w14:textId="77777777" w:rsidR="00B834A2" w:rsidRPr="00B834A2" w:rsidRDefault="00B834A2" w:rsidP="001A3F5E">
      <w:pPr>
        <w:tabs>
          <w:tab w:val="left" w:pos="1134"/>
        </w:tabs>
        <w:spacing w:after="160" w:line="360" w:lineRule="auto"/>
        <w:ind w:firstLine="567"/>
        <w:jc w:val="both"/>
        <w:rPr>
          <w:rFonts w:eastAsia="Times New Roman" w:cs="Constantia"/>
          <w:i/>
          <w:iCs/>
        </w:rPr>
      </w:pPr>
      <w:r w:rsidRPr="00B834A2">
        <w:t>4)</w:t>
      </w:r>
      <w:r w:rsidR="001A3F5E" w:rsidRPr="001A3F5E">
        <w:rPr>
          <w:i/>
        </w:rPr>
        <w:tab/>
      </w:r>
      <w:r w:rsidRPr="00B834A2">
        <w:rPr>
          <w:i/>
        </w:rPr>
        <w:t>Ռեգրեսիա = կիրառումներ - հսկողություն - հատման կետ - ոչ գծայնություն։</w:t>
      </w:r>
    </w:p>
    <w:p w14:paraId="0491EB28" w14:textId="77777777" w:rsidR="00B834A2" w:rsidRPr="00B834A2" w:rsidRDefault="00B834A2" w:rsidP="001A3F5E">
      <w:pPr>
        <w:tabs>
          <w:tab w:val="left" w:pos="1134"/>
        </w:tabs>
        <w:spacing w:after="160" w:line="360" w:lineRule="auto"/>
        <w:ind w:firstLine="567"/>
        <w:jc w:val="both"/>
        <w:rPr>
          <w:rFonts w:eastAsia="Times New Roman" w:cs="Times New Roman"/>
          <w:i/>
          <w:iCs/>
        </w:rPr>
      </w:pPr>
      <w:r w:rsidRPr="00B834A2">
        <w:rPr>
          <w:i/>
        </w:rPr>
        <w:t xml:space="preserve"> </w:t>
      </w:r>
      <w:r w:rsidRPr="00B834A2">
        <w:rPr>
          <w:rFonts w:eastAsia="Times New Roman" w:cs="Times New Roman"/>
          <w:i/>
          <w:iCs/>
          <w:noProof/>
          <w:lang w:val="en-US" w:eastAsia="en-US" w:bidi="ar-SA"/>
        </w:rPr>
        <w:drawing>
          <wp:inline distT="0" distB="0" distL="0" distR="0" wp14:anchorId="5D8D4A21" wp14:editId="1061CA9A">
            <wp:extent cx="1402080" cy="466496"/>
            <wp:effectExtent l="19050" t="0" r="762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0" cstate="print"/>
                    <a:srcRect/>
                    <a:stretch>
                      <a:fillRect/>
                    </a:stretch>
                  </pic:blipFill>
                  <pic:spPr bwMode="auto">
                    <a:xfrm>
                      <a:off x="0" y="0"/>
                      <a:ext cx="1403377" cy="466928"/>
                    </a:xfrm>
                    <a:prstGeom prst="rect">
                      <a:avLst/>
                    </a:prstGeom>
                    <a:noFill/>
                    <a:ln w="9525">
                      <a:noFill/>
                      <a:miter lim="800000"/>
                      <a:headEnd/>
                      <a:tailEnd/>
                    </a:ln>
                  </pic:spPr>
                </pic:pic>
              </a:graphicData>
            </a:graphic>
          </wp:inline>
        </w:drawing>
      </w:r>
    </w:p>
    <w:p w14:paraId="6CF7149A" w14:textId="77777777" w:rsidR="00B834A2" w:rsidRPr="00B834A2" w:rsidRDefault="00B834A2" w:rsidP="001A3F5E">
      <w:pPr>
        <w:spacing w:after="160" w:line="360" w:lineRule="auto"/>
        <w:ind w:firstLine="567"/>
        <w:jc w:val="both"/>
        <w:rPr>
          <w:rFonts w:eastAsia="Times New Roman" w:cs="Times New Roman"/>
          <w:i/>
          <w:iCs/>
        </w:rPr>
      </w:pPr>
      <w:r w:rsidRPr="00B834A2">
        <w:rPr>
          <w:rFonts w:eastAsia="Times New Roman" w:cs="Times New Roman"/>
          <w:i/>
          <w:iCs/>
          <w:noProof/>
          <w:lang w:val="en-US" w:eastAsia="en-US" w:bidi="ar-SA"/>
        </w:rPr>
        <w:drawing>
          <wp:inline distT="0" distB="0" distL="0" distR="0" wp14:anchorId="12A63E08" wp14:editId="0EA66258">
            <wp:extent cx="1669902" cy="373380"/>
            <wp:effectExtent l="19050" t="0" r="6498"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1" cstate="print"/>
                    <a:srcRect/>
                    <a:stretch>
                      <a:fillRect/>
                    </a:stretch>
                  </pic:blipFill>
                  <pic:spPr bwMode="auto">
                    <a:xfrm>
                      <a:off x="0" y="0"/>
                      <a:ext cx="1669902" cy="373380"/>
                    </a:xfrm>
                    <a:prstGeom prst="rect">
                      <a:avLst/>
                    </a:prstGeom>
                    <a:noFill/>
                    <a:ln w="9525">
                      <a:noFill/>
                      <a:miter lim="800000"/>
                      <a:headEnd/>
                      <a:tailEnd/>
                    </a:ln>
                  </pic:spPr>
                </pic:pic>
              </a:graphicData>
            </a:graphic>
          </wp:inline>
        </w:drawing>
      </w:r>
    </w:p>
    <w:p w14:paraId="5DDE4530" w14:textId="77777777" w:rsidR="00B834A2" w:rsidRPr="00B834A2" w:rsidRDefault="00B834A2" w:rsidP="001A3F5E">
      <w:pPr>
        <w:tabs>
          <w:tab w:val="left" w:pos="1134"/>
        </w:tabs>
        <w:spacing w:after="160" w:line="360" w:lineRule="auto"/>
        <w:ind w:firstLine="567"/>
        <w:jc w:val="both"/>
        <w:rPr>
          <w:rFonts w:eastAsia="Times New Roman"/>
        </w:rPr>
      </w:pPr>
      <w:r w:rsidRPr="00B834A2">
        <w:t>7)</w:t>
      </w:r>
      <w:r w:rsidR="001A3F5E" w:rsidRPr="001A3F5E">
        <w:tab/>
      </w:r>
      <w:r w:rsidRPr="00B834A2">
        <w:t>«</w:t>
      </w:r>
      <w:r w:rsidRPr="00B834A2">
        <w:rPr>
          <w:i/>
        </w:rPr>
        <w:t>Շեղում</w:t>
      </w:r>
      <w:r w:rsidRPr="00B834A2">
        <w:t xml:space="preserve">» ցուցանիշի համար ազատության աստիճանների թիվը հավասար է </w:t>
      </w:r>
      <w:r w:rsidRPr="00B834A2">
        <w:rPr>
          <w:i/>
        </w:rPr>
        <w:t>(hd</w:t>
      </w:r>
      <w:r w:rsidRPr="00B834A2">
        <w:t xml:space="preserve"> + 1)(</w:t>
      </w:r>
      <w:r w:rsidRPr="00B834A2">
        <w:rPr>
          <w:i/>
        </w:rPr>
        <w:t>n</w:t>
      </w:r>
      <w:r w:rsidRPr="00B834A2">
        <w:t xml:space="preserve"> -1)։</w:t>
      </w:r>
    </w:p>
    <w:p w14:paraId="33113C59" w14:textId="77777777" w:rsidR="00B834A2" w:rsidRPr="00B834A2" w:rsidRDefault="00B834A2" w:rsidP="001A3F5E">
      <w:pPr>
        <w:tabs>
          <w:tab w:val="left" w:pos="1134"/>
        </w:tabs>
        <w:spacing w:after="160" w:line="360" w:lineRule="auto"/>
        <w:ind w:firstLine="567"/>
        <w:jc w:val="both"/>
        <w:rPr>
          <w:rFonts w:eastAsia="Times New Roman"/>
        </w:rPr>
      </w:pPr>
      <w:r w:rsidRPr="00B834A2">
        <w:t>8)</w:t>
      </w:r>
      <w:r w:rsidR="001A3F5E" w:rsidRPr="001A3F5E">
        <w:tab/>
      </w:r>
      <w:r w:rsidRPr="00B834A2">
        <w:t>«</w:t>
      </w:r>
      <w:r w:rsidRPr="00B834A2">
        <w:rPr>
          <w:i/>
        </w:rPr>
        <w:t>Արդյունք</w:t>
      </w:r>
      <w:r w:rsidRPr="00B834A2">
        <w:t xml:space="preserve">» ցուցանիշի համար ազատության աստիճանների թիվը հավասար է </w:t>
      </w:r>
      <w:r w:rsidRPr="00B834A2">
        <w:rPr>
          <w:i/>
        </w:rPr>
        <w:t>nhd</w:t>
      </w:r>
      <w:r w:rsidRPr="00B834A2">
        <w:t xml:space="preserve"> + </w:t>
      </w:r>
      <w:r w:rsidRPr="00B834A2">
        <w:rPr>
          <w:i/>
        </w:rPr>
        <w:t>n -</w:t>
      </w:r>
      <w:r w:rsidRPr="00B834A2">
        <w:t>1։</w:t>
      </w:r>
    </w:p>
    <w:p w14:paraId="3744EA1D" w14:textId="77777777" w:rsidR="00B834A2" w:rsidRPr="00B834A2" w:rsidRDefault="00B834A2" w:rsidP="001A3F5E">
      <w:pPr>
        <w:spacing w:after="160" w:line="360" w:lineRule="auto"/>
        <w:ind w:firstLine="567"/>
        <w:jc w:val="both"/>
        <w:rPr>
          <w:rFonts w:eastAsia="Times New Roman" w:cs="Times New Roman"/>
          <w:color w:val="auto"/>
        </w:rPr>
      </w:pPr>
      <w:r w:rsidRPr="00B834A2">
        <w:rPr>
          <w:u w:val="single"/>
        </w:rPr>
        <w:t>Կենսաբանական ակտիվության եւ դրա վստահելի սահմանների հաշվարկումը</w:t>
      </w:r>
    </w:p>
    <w:p w14:paraId="69D634D2" w14:textId="77777777" w:rsidR="00B834A2" w:rsidRPr="00B834A2" w:rsidRDefault="00B834A2" w:rsidP="001A3F5E">
      <w:pPr>
        <w:pStyle w:val="Bodytext20"/>
        <w:shd w:val="clear" w:color="auto" w:fill="auto"/>
        <w:spacing w:before="0" w:after="160" w:line="360" w:lineRule="auto"/>
        <w:ind w:firstLine="460"/>
        <w:rPr>
          <w:rFonts w:ascii="Sylfaen" w:hAnsi="Sylfaen" w:cs="Sylfaen"/>
          <w:b/>
          <w:sz w:val="24"/>
          <w:szCs w:val="24"/>
          <w:u w:val="single"/>
        </w:rPr>
      </w:pPr>
      <w:r w:rsidRPr="00B834A2">
        <w:rPr>
          <w:rFonts w:ascii="Sylfaen" w:hAnsi="Sylfaen" w:cs="Sylfaen"/>
          <w:b/>
          <w:noProof/>
          <w:sz w:val="24"/>
          <w:szCs w:val="24"/>
          <w:u w:val="single"/>
          <w:lang w:val="en-US" w:eastAsia="en-US" w:bidi="ar-SA"/>
        </w:rPr>
        <w:drawing>
          <wp:inline distT="0" distB="0" distL="0" distR="0" wp14:anchorId="20178E9B" wp14:editId="42C69278">
            <wp:extent cx="2202180" cy="1409133"/>
            <wp:effectExtent l="19050" t="0" r="762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12" cstate="print"/>
                    <a:srcRect/>
                    <a:stretch>
                      <a:fillRect/>
                    </a:stretch>
                  </pic:blipFill>
                  <pic:spPr bwMode="auto">
                    <a:xfrm>
                      <a:off x="0" y="0"/>
                      <a:ext cx="2206393" cy="1411829"/>
                    </a:xfrm>
                    <a:prstGeom prst="rect">
                      <a:avLst/>
                    </a:prstGeom>
                    <a:noFill/>
                    <a:ln w="9525">
                      <a:noFill/>
                      <a:miter lim="800000"/>
                      <a:headEnd/>
                      <a:tailEnd/>
                    </a:ln>
                  </pic:spPr>
                </pic:pic>
              </a:graphicData>
            </a:graphic>
          </wp:inline>
        </w:drawing>
      </w:r>
    </w:p>
    <w:p w14:paraId="59B557C5" w14:textId="77777777" w:rsidR="00B834A2" w:rsidRPr="00B834A2" w:rsidRDefault="00B834A2" w:rsidP="00B834A2">
      <w:pPr>
        <w:spacing w:after="160" w:line="360" w:lineRule="auto"/>
        <w:rPr>
          <w:rFonts w:eastAsia="Times New Roman"/>
        </w:rPr>
      </w:pPr>
    </w:p>
    <w:p w14:paraId="1CF50798" w14:textId="77777777" w:rsidR="00B834A2" w:rsidRPr="00B834A2" w:rsidRDefault="00B834A2" w:rsidP="00B834A2">
      <w:pPr>
        <w:spacing w:after="160" w:line="360" w:lineRule="auto"/>
        <w:ind w:firstLine="567"/>
        <w:jc w:val="both"/>
        <w:rPr>
          <w:rFonts w:eastAsia="Times New Roman" w:cs="Times New Roman"/>
          <w:color w:val="auto"/>
        </w:rPr>
      </w:pPr>
      <w:r w:rsidRPr="00B834A2">
        <w:t xml:space="preserve">Աղյուսակ 3.2.8-28. </w:t>
      </w:r>
      <w:r w:rsidRPr="00B834A2">
        <w:rPr>
          <w:i/>
        </w:rPr>
        <w:t>Պատվաստանյութերում հեմագլյուտինինի ստացված պարունակությունը (մկգ/դեղաչափ)</w:t>
      </w:r>
    </w:p>
    <w:tbl>
      <w:tblPr>
        <w:tblW w:w="0" w:type="auto"/>
        <w:jc w:val="center"/>
        <w:tblLayout w:type="fixed"/>
        <w:tblCellMar>
          <w:left w:w="0" w:type="dxa"/>
          <w:right w:w="0" w:type="dxa"/>
        </w:tblCellMar>
        <w:tblLook w:val="0000" w:firstRow="0" w:lastRow="0" w:firstColumn="0" w:lastColumn="0" w:noHBand="0" w:noVBand="0"/>
      </w:tblPr>
      <w:tblGrid>
        <w:gridCol w:w="1341"/>
        <w:gridCol w:w="2410"/>
        <w:gridCol w:w="1417"/>
        <w:gridCol w:w="2898"/>
      </w:tblGrid>
      <w:tr w:rsidR="00B834A2" w:rsidRPr="001A3F5E" w14:paraId="635090B5" w14:textId="77777777" w:rsidTr="00B834A2">
        <w:trPr>
          <w:jc w:val="center"/>
        </w:trPr>
        <w:tc>
          <w:tcPr>
            <w:tcW w:w="1341" w:type="dxa"/>
            <w:tcBorders>
              <w:top w:val="single" w:sz="4" w:space="0" w:color="auto"/>
              <w:left w:val="nil"/>
              <w:bottom w:val="nil"/>
              <w:right w:val="nil"/>
            </w:tcBorders>
            <w:shd w:val="clear" w:color="auto" w:fill="FFFFFF"/>
          </w:tcPr>
          <w:p w14:paraId="7F3122B0" w14:textId="77777777" w:rsidR="00B834A2" w:rsidRPr="001A3F5E" w:rsidRDefault="00B834A2" w:rsidP="00B834A2">
            <w:pPr>
              <w:spacing w:after="160" w:line="360" w:lineRule="auto"/>
              <w:rPr>
                <w:rFonts w:eastAsia="Times New Roman" w:cs="Times New Roman"/>
                <w:color w:val="auto"/>
                <w:sz w:val="20"/>
              </w:rPr>
            </w:pPr>
          </w:p>
        </w:tc>
        <w:tc>
          <w:tcPr>
            <w:tcW w:w="2410" w:type="dxa"/>
            <w:tcBorders>
              <w:top w:val="single" w:sz="4" w:space="0" w:color="auto"/>
              <w:left w:val="nil"/>
              <w:bottom w:val="nil"/>
              <w:right w:val="nil"/>
            </w:tcBorders>
            <w:shd w:val="clear" w:color="auto" w:fill="FFFFFF"/>
            <w:vAlign w:val="center"/>
          </w:tcPr>
          <w:p w14:paraId="1B0CBD4A"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 xml:space="preserve">Ստորին վստահելի սահմանը </w:t>
            </w:r>
          </w:p>
        </w:tc>
        <w:tc>
          <w:tcPr>
            <w:tcW w:w="1417" w:type="dxa"/>
            <w:tcBorders>
              <w:top w:val="single" w:sz="4" w:space="0" w:color="auto"/>
              <w:left w:val="nil"/>
              <w:bottom w:val="nil"/>
              <w:right w:val="nil"/>
            </w:tcBorders>
            <w:shd w:val="clear" w:color="auto" w:fill="FFFFFF"/>
            <w:vAlign w:val="center"/>
          </w:tcPr>
          <w:p w14:paraId="52C68364"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Որոշված արժեքը</w:t>
            </w:r>
          </w:p>
        </w:tc>
        <w:tc>
          <w:tcPr>
            <w:tcW w:w="2898" w:type="dxa"/>
            <w:tcBorders>
              <w:top w:val="single" w:sz="4" w:space="0" w:color="auto"/>
              <w:left w:val="nil"/>
              <w:bottom w:val="nil"/>
              <w:right w:val="nil"/>
            </w:tcBorders>
            <w:shd w:val="clear" w:color="auto" w:fill="FFFFFF"/>
            <w:vAlign w:val="center"/>
          </w:tcPr>
          <w:p w14:paraId="24AB866C"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Վերին վստահելի սահմանը</w:t>
            </w:r>
          </w:p>
        </w:tc>
      </w:tr>
      <w:tr w:rsidR="00B834A2" w:rsidRPr="001A3F5E" w14:paraId="0AEB9580" w14:textId="77777777" w:rsidTr="00B834A2">
        <w:trPr>
          <w:jc w:val="center"/>
        </w:trPr>
        <w:tc>
          <w:tcPr>
            <w:tcW w:w="1341" w:type="dxa"/>
            <w:tcBorders>
              <w:top w:val="single" w:sz="4" w:space="0" w:color="auto"/>
              <w:left w:val="nil"/>
              <w:bottom w:val="nil"/>
              <w:right w:val="nil"/>
            </w:tcBorders>
            <w:shd w:val="clear" w:color="auto" w:fill="FFFFFF"/>
          </w:tcPr>
          <w:p w14:paraId="24CC67CA" w14:textId="77777777" w:rsidR="00B834A2" w:rsidRPr="001A3F5E" w:rsidRDefault="00B834A2" w:rsidP="00A84AF4">
            <w:pPr>
              <w:spacing w:after="160" w:line="360" w:lineRule="auto"/>
              <w:jc w:val="center"/>
              <w:rPr>
                <w:rFonts w:eastAsia="Times New Roman" w:cs="Times New Roman"/>
                <w:color w:val="auto"/>
                <w:sz w:val="20"/>
              </w:rPr>
            </w:pPr>
            <w:r w:rsidRPr="001A3F5E">
              <w:rPr>
                <w:i/>
                <w:sz w:val="20"/>
                <w:u w:val="single"/>
              </w:rPr>
              <w:t>U</w:t>
            </w:r>
            <w:r w:rsidRPr="001A3F5E">
              <w:rPr>
                <w:sz w:val="20"/>
              </w:rPr>
              <w:t xml:space="preserve"> նմուշը</w:t>
            </w:r>
          </w:p>
        </w:tc>
        <w:tc>
          <w:tcPr>
            <w:tcW w:w="2410" w:type="dxa"/>
            <w:tcBorders>
              <w:top w:val="single" w:sz="4" w:space="0" w:color="auto"/>
              <w:left w:val="nil"/>
              <w:bottom w:val="nil"/>
              <w:right w:val="nil"/>
            </w:tcBorders>
            <w:shd w:val="clear" w:color="auto" w:fill="FFFFFF"/>
          </w:tcPr>
          <w:p w14:paraId="50B689C6"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13,4</w:t>
            </w:r>
          </w:p>
        </w:tc>
        <w:tc>
          <w:tcPr>
            <w:tcW w:w="1417" w:type="dxa"/>
            <w:tcBorders>
              <w:top w:val="single" w:sz="4" w:space="0" w:color="auto"/>
              <w:left w:val="nil"/>
              <w:bottom w:val="nil"/>
              <w:right w:val="nil"/>
            </w:tcBorders>
            <w:shd w:val="clear" w:color="auto" w:fill="FFFFFF"/>
          </w:tcPr>
          <w:p w14:paraId="05D03F29"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14,3</w:t>
            </w:r>
          </w:p>
        </w:tc>
        <w:tc>
          <w:tcPr>
            <w:tcW w:w="2898" w:type="dxa"/>
            <w:tcBorders>
              <w:top w:val="single" w:sz="4" w:space="0" w:color="auto"/>
              <w:left w:val="nil"/>
              <w:bottom w:val="nil"/>
              <w:right w:val="nil"/>
            </w:tcBorders>
            <w:shd w:val="clear" w:color="auto" w:fill="FFFFFF"/>
          </w:tcPr>
          <w:p w14:paraId="2113AD49"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15,3</w:t>
            </w:r>
          </w:p>
        </w:tc>
      </w:tr>
      <w:tr w:rsidR="00B834A2" w:rsidRPr="001A3F5E" w14:paraId="181B677D" w14:textId="77777777" w:rsidTr="00B834A2">
        <w:trPr>
          <w:jc w:val="center"/>
        </w:trPr>
        <w:tc>
          <w:tcPr>
            <w:tcW w:w="1341" w:type="dxa"/>
            <w:tcBorders>
              <w:top w:val="nil"/>
              <w:left w:val="nil"/>
              <w:bottom w:val="nil"/>
              <w:right w:val="nil"/>
            </w:tcBorders>
            <w:shd w:val="clear" w:color="auto" w:fill="FFFFFF"/>
          </w:tcPr>
          <w:p w14:paraId="0AD30A06" w14:textId="77777777" w:rsidR="00B834A2" w:rsidRPr="001A3F5E" w:rsidRDefault="00B834A2" w:rsidP="00A84AF4">
            <w:pPr>
              <w:spacing w:after="160" w:line="360" w:lineRule="auto"/>
              <w:jc w:val="center"/>
              <w:rPr>
                <w:rFonts w:eastAsia="Times New Roman" w:cs="Times New Roman"/>
                <w:color w:val="auto"/>
                <w:sz w:val="20"/>
              </w:rPr>
            </w:pPr>
            <w:r w:rsidRPr="001A3F5E">
              <w:rPr>
                <w:i/>
                <w:sz w:val="20"/>
                <w:u w:val="single"/>
              </w:rPr>
              <w:t>U′</w:t>
            </w:r>
            <w:r w:rsidRPr="001A3F5E">
              <w:rPr>
                <w:sz w:val="20"/>
              </w:rPr>
              <w:t xml:space="preserve"> նմուշը</w:t>
            </w:r>
          </w:p>
        </w:tc>
        <w:tc>
          <w:tcPr>
            <w:tcW w:w="2410" w:type="dxa"/>
            <w:tcBorders>
              <w:top w:val="nil"/>
              <w:left w:val="nil"/>
              <w:bottom w:val="nil"/>
              <w:right w:val="nil"/>
            </w:tcBorders>
            <w:shd w:val="clear" w:color="auto" w:fill="FFFFFF"/>
          </w:tcPr>
          <w:p w14:paraId="5D343656"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8,9</w:t>
            </w:r>
          </w:p>
        </w:tc>
        <w:tc>
          <w:tcPr>
            <w:tcW w:w="1417" w:type="dxa"/>
            <w:tcBorders>
              <w:top w:val="nil"/>
              <w:left w:val="nil"/>
              <w:bottom w:val="nil"/>
              <w:right w:val="nil"/>
            </w:tcBorders>
            <w:shd w:val="clear" w:color="auto" w:fill="FFFFFF"/>
          </w:tcPr>
          <w:p w14:paraId="371556E3"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9,7</w:t>
            </w:r>
          </w:p>
        </w:tc>
        <w:tc>
          <w:tcPr>
            <w:tcW w:w="2898" w:type="dxa"/>
            <w:tcBorders>
              <w:top w:val="nil"/>
              <w:left w:val="nil"/>
              <w:bottom w:val="nil"/>
              <w:right w:val="nil"/>
            </w:tcBorders>
            <w:shd w:val="clear" w:color="auto" w:fill="FFFFFF"/>
            <w:vAlign w:val="center"/>
          </w:tcPr>
          <w:p w14:paraId="48B30D8B" w14:textId="77777777" w:rsidR="00B834A2" w:rsidRPr="001A3F5E" w:rsidRDefault="00B834A2" w:rsidP="00B834A2">
            <w:pPr>
              <w:spacing w:after="160" w:line="360" w:lineRule="auto"/>
              <w:jc w:val="center"/>
              <w:rPr>
                <w:rFonts w:eastAsia="Times New Roman" w:cs="Times New Roman"/>
                <w:color w:val="auto"/>
                <w:sz w:val="20"/>
              </w:rPr>
            </w:pPr>
            <w:r w:rsidRPr="001A3F5E">
              <w:rPr>
                <w:sz w:val="20"/>
              </w:rPr>
              <w:t>10,6</w:t>
            </w:r>
          </w:p>
        </w:tc>
      </w:tr>
    </w:tbl>
    <w:p w14:paraId="6E5DDFA7" w14:textId="77777777" w:rsidR="00B834A2" w:rsidRPr="00B834A2" w:rsidRDefault="00B834A2" w:rsidP="00B834A2">
      <w:pPr>
        <w:spacing w:after="160" w:line="360" w:lineRule="auto"/>
        <w:rPr>
          <w:rFonts w:eastAsia="Times New Roman"/>
          <w:b/>
          <w:bCs/>
          <w:i/>
          <w:iCs/>
        </w:rPr>
      </w:pPr>
    </w:p>
    <w:p w14:paraId="225A012E" w14:textId="77777777" w:rsidR="00B834A2" w:rsidRPr="00B834A2" w:rsidRDefault="00B834A2" w:rsidP="001A3F5E">
      <w:pPr>
        <w:pStyle w:val="Bodytext20"/>
        <w:shd w:val="clear" w:color="auto" w:fill="auto"/>
        <w:tabs>
          <w:tab w:val="left" w:pos="1134"/>
        </w:tabs>
        <w:spacing w:before="0" w:after="160" w:line="360" w:lineRule="auto"/>
        <w:ind w:firstLine="567"/>
        <w:jc w:val="both"/>
        <w:rPr>
          <w:rFonts w:ascii="Sylfaen" w:hAnsi="Sylfaen" w:cs="Sylfaen"/>
          <w:b/>
          <w:sz w:val="24"/>
          <w:szCs w:val="24"/>
        </w:rPr>
      </w:pPr>
      <w:r w:rsidRPr="0023645A">
        <w:rPr>
          <w:rStyle w:val="Bodytext31Sylfaen9"/>
          <w:b/>
          <w:i w:val="0"/>
          <w:sz w:val="24"/>
          <w:szCs w:val="24"/>
        </w:rPr>
        <w:lastRenderedPageBreak/>
        <w:t>4.</w:t>
      </w:r>
      <w:r w:rsidR="001A3F5E" w:rsidRPr="001A3F5E">
        <w:rPr>
          <w:rStyle w:val="Bodytext31Sylfaen9"/>
          <w:sz w:val="24"/>
          <w:szCs w:val="24"/>
        </w:rPr>
        <w:tab/>
      </w:r>
      <w:r w:rsidRPr="00B834A2">
        <w:rPr>
          <w:rFonts w:ascii="Sylfaen" w:hAnsi="Sylfaen"/>
          <w:b/>
          <w:sz w:val="24"/>
          <w:szCs w:val="24"/>
        </w:rPr>
        <w:t>ՈՐԱԿԱԿԱՆ (ԱՅԼԸՆՏՐԱՆՔԱՅԻՆ) ՏԻՊԻ ԱՐՁԱԳԱՆՔՆԵՐՈՎ ԿԵՆՍԱԲԱՆԱԿԱՆ ՓՈՐՁԱՐԿՈՒՄՆԵՐԸ</w:t>
      </w:r>
    </w:p>
    <w:p w14:paraId="71EC10C2" w14:textId="77777777" w:rsidR="00B834A2" w:rsidRPr="0023645A" w:rsidRDefault="00B834A2" w:rsidP="001A3F5E">
      <w:pPr>
        <w:pStyle w:val="Bodytext20"/>
        <w:shd w:val="clear" w:color="auto" w:fill="auto"/>
        <w:spacing w:before="0" w:after="160" w:line="360" w:lineRule="auto"/>
        <w:ind w:firstLine="567"/>
        <w:jc w:val="both"/>
        <w:rPr>
          <w:rStyle w:val="Bodytext31Sylfaen9"/>
          <w:i w:val="0"/>
          <w:sz w:val="24"/>
          <w:szCs w:val="24"/>
        </w:rPr>
      </w:pPr>
      <w:r w:rsidRPr="0023645A">
        <w:rPr>
          <w:rStyle w:val="Bodytext31Sylfaen9"/>
          <w:i w:val="0"/>
          <w:sz w:val="24"/>
          <w:szCs w:val="24"/>
        </w:rPr>
        <w:t>Որակական արձագանքները չեն ենթարկվում անմիջական չափման եւ ենթակա են հաշվառման՝ ուսումնասիրվող խմբի առանձին անդամների մոտ դրանց հատկությունների առկայության մասով։</w:t>
      </w:r>
    </w:p>
    <w:p w14:paraId="084BD485" w14:textId="77777777" w:rsidR="00B834A2" w:rsidRPr="0023645A" w:rsidRDefault="00B834A2" w:rsidP="001A3F5E">
      <w:pPr>
        <w:pStyle w:val="Bodytext20"/>
        <w:shd w:val="clear" w:color="auto" w:fill="auto"/>
        <w:spacing w:before="0" w:after="160" w:line="360" w:lineRule="auto"/>
        <w:ind w:firstLine="567"/>
        <w:jc w:val="both"/>
        <w:rPr>
          <w:rStyle w:val="Bodytext31Sylfaen9"/>
          <w:i w:val="0"/>
          <w:sz w:val="24"/>
          <w:szCs w:val="24"/>
        </w:rPr>
      </w:pPr>
      <w:r w:rsidRPr="0023645A">
        <w:rPr>
          <w:rStyle w:val="Bodytext31Sylfaen9"/>
          <w:i w:val="0"/>
          <w:sz w:val="24"/>
          <w:szCs w:val="24"/>
        </w:rPr>
        <w:t>Որակական տվյալները բաժանվում են անվանական եւ հերթական տվյալների։ Որակական տվյալների մասնավոր դեպքեր են դիխոտոմիկ (այլընտրանքային) տվյալները, օրինակ՝ «ամեն ինչ կամ ոչինչ», «կյանք կամ մահ»՝</w:t>
      </w:r>
      <w:r w:rsidRPr="00B834A2">
        <w:rPr>
          <w:rStyle w:val="Bodytext31Sylfaen9"/>
          <w:sz w:val="24"/>
          <w:szCs w:val="24"/>
        </w:rPr>
        <w:t xml:space="preserve"> </w:t>
      </w:r>
      <w:r w:rsidRPr="0023645A">
        <w:rPr>
          <w:rStyle w:val="Bodytext31Sylfaen9"/>
          <w:i w:val="0"/>
          <w:sz w:val="24"/>
          <w:szCs w:val="24"/>
        </w:rPr>
        <w:t xml:space="preserve">միջին մահացու դեղաչափի որոշման մոդելում։ </w:t>
      </w:r>
    </w:p>
    <w:p w14:paraId="6024B779" w14:textId="77777777" w:rsidR="00B834A2" w:rsidRPr="0023645A" w:rsidRDefault="00B834A2" w:rsidP="001A3F5E">
      <w:pPr>
        <w:pStyle w:val="Bodytext20"/>
        <w:shd w:val="clear" w:color="auto" w:fill="auto"/>
        <w:spacing w:before="0" w:after="160" w:line="360" w:lineRule="auto"/>
        <w:ind w:firstLine="567"/>
        <w:jc w:val="both"/>
        <w:rPr>
          <w:rStyle w:val="Bodytext31Sylfaen9"/>
          <w:i w:val="0"/>
          <w:sz w:val="24"/>
          <w:szCs w:val="24"/>
        </w:rPr>
      </w:pPr>
      <w:r w:rsidRPr="0023645A">
        <w:rPr>
          <w:rStyle w:val="Bodytext31Sylfaen9"/>
          <w:i w:val="0"/>
          <w:sz w:val="24"/>
          <w:szCs w:val="24"/>
        </w:rPr>
        <w:t>Որակական տիպի արձագանքներով փորձարկումների ժամանակ դրանց մեկնաբանման արդյունքը առավել հաճախ ոչ թե թվային արժեքներն են, այլեւ հատկանիշի առկայությունը կամ բացակայությունը։</w:t>
      </w:r>
    </w:p>
    <w:p w14:paraId="7B9F8FE5" w14:textId="77777777" w:rsidR="00B834A2" w:rsidRPr="0023645A" w:rsidRDefault="00B834A2" w:rsidP="001A3F5E">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23645A">
        <w:rPr>
          <w:rStyle w:val="Bodytext31Sylfaen9"/>
          <w:b/>
          <w:i w:val="0"/>
          <w:sz w:val="24"/>
          <w:szCs w:val="24"/>
        </w:rPr>
        <w:t>4.1.</w:t>
      </w:r>
      <w:r w:rsidR="001A3F5E" w:rsidRPr="0023645A">
        <w:rPr>
          <w:rStyle w:val="Bodytext31Sylfaen9"/>
          <w:b/>
          <w:i w:val="0"/>
          <w:sz w:val="24"/>
          <w:szCs w:val="24"/>
        </w:rPr>
        <w:tab/>
      </w:r>
      <w:r w:rsidRPr="0023645A">
        <w:rPr>
          <w:rStyle w:val="Bodytext31Sylfaen9"/>
          <w:b/>
          <w:i w:val="0"/>
          <w:sz w:val="24"/>
          <w:szCs w:val="24"/>
        </w:rPr>
        <w:t>Արդյունավետ դեղաչափերի անուղղակի որոշման ժամանակ փորձարկվող նմուշի կենսաբանական ակտիվության գնահատումը (ED 50-ի գնահատումը՝ պրոբիտ մեթոդի կիրառմամբ)</w:t>
      </w:r>
    </w:p>
    <w:p w14:paraId="33603675" w14:textId="77777777" w:rsidR="00B834A2" w:rsidRPr="0023645A"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23645A">
        <w:rPr>
          <w:rStyle w:val="Bodytext31Sylfaen9"/>
          <w:i w:val="0"/>
          <w:sz w:val="24"/>
          <w:szCs w:val="24"/>
        </w:rPr>
        <w:t xml:space="preserve">Առավել հաճախ արդյունավետ (շեմային) դեղաչափի ուղղակի որոշումն առանձին կենդանու համար հնարավոր չէ, եւ այդ դեպքում յուրաքանչյուր փորձի ժամանակ փորձարկվող նմուշի ակտիվության քանակական բնութագիր է համարվում արձագանք տված թեստ օբյեկտների մասնաբաժինը (տոկոսը)։ Դեղաչափից այդ մասնաբաժնի կախվածությունը միշտ ունի S-աձեւ ոչ համաչափ կորի տեսք, որը սովորաբար դառնում է առավել կամ պակաս համաչափ՝ դեղաչափերը դրանց լոգարիթմներով փոխարինելու դեպքում։ </w:t>
      </w:r>
      <w:r w:rsidRPr="0023645A">
        <w:rPr>
          <w:rFonts w:ascii="Sylfaen" w:hAnsi="Sylfaen"/>
          <w:sz w:val="24"/>
          <w:szCs w:val="24"/>
        </w:rPr>
        <w:t>Առավել հաճախ, ընդհանուր առմամբ, փորձարկվող նմուշի կենսաբանական ակտիվությունը բնութագրող ցուցանիշ է համարվում թեստ օբյեկտների 50%-ի մոտ էֆեկտ</w:t>
      </w:r>
      <w:r w:rsidR="0023645A">
        <w:rPr>
          <w:rFonts w:ascii="Sylfaen" w:hAnsi="Sylfaen"/>
          <w:sz w:val="24"/>
          <w:szCs w:val="24"/>
        </w:rPr>
        <w:t> </w:t>
      </w:r>
      <w:r w:rsidRPr="0023645A">
        <w:rPr>
          <w:rFonts w:ascii="Sylfaen" w:hAnsi="Sylfaen"/>
          <w:sz w:val="24"/>
          <w:szCs w:val="24"/>
        </w:rPr>
        <w:t xml:space="preserve">առաջացնող դեղաչափը. այն կոչվում է 50-տոկոսանոց արդյունավետ դեղաչափ եւ </w:t>
      </w:r>
      <w:r w:rsidRPr="0023645A">
        <w:rPr>
          <w:rFonts w:ascii="Sylfaen" w:hAnsi="Sylfaen"/>
          <w:spacing w:val="4"/>
          <w:sz w:val="24"/>
          <w:szCs w:val="24"/>
        </w:rPr>
        <w:t xml:space="preserve">նշվում է որպես ED </w:t>
      </w:r>
      <w:r w:rsidRPr="0023645A">
        <w:rPr>
          <w:rStyle w:val="Bodytext285pt"/>
          <w:i w:val="0"/>
          <w:spacing w:val="4"/>
          <w:sz w:val="24"/>
          <w:szCs w:val="24"/>
          <w:vertAlign w:val="subscript"/>
        </w:rPr>
        <w:t xml:space="preserve">50 </w:t>
      </w:r>
      <w:r w:rsidRPr="0023645A">
        <w:rPr>
          <w:rFonts w:ascii="Sylfaen" w:hAnsi="Sylfaen"/>
          <w:spacing w:val="4"/>
          <w:sz w:val="24"/>
          <w:szCs w:val="24"/>
        </w:rPr>
        <w:t>(մասնավորապես տոքսինների համար կիրառվում է 50-տոկոսանոց</w:t>
      </w:r>
      <w:r w:rsidRPr="0023645A">
        <w:rPr>
          <w:rFonts w:ascii="Sylfaen" w:hAnsi="Sylfaen"/>
          <w:sz w:val="24"/>
          <w:szCs w:val="24"/>
        </w:rPr>
        <w:t xml:space="preserve"> (միջին) մահացու դեղաչափը՝ LD</w:t>
      </w:r>
      <w:r w:rsidRPr="0023645A">
        <w:rPr>
          <w:rStyle w:val="Bodytext31Sylfaen9"/>
          <w:i w:val="0"/>
          <w:sz w:val="24"/>
          <w:szCs w:val="24"/>
          <w:vertAlign w:val="subscript"/>
        </w:rPr>
        <w:t>50</w:t>
      </w:r>
      <w:r w:rsidRPr="0023645A">
        <w:rPr>
          <w:rFonts w:ascii="Sylfaen" w:hAnsi="Sylfaen"/>
          <w:sz w:val="24"/>
          <w:szCs w:val="24"/>
        </w:rPr>
        <w:t>, ՄԴ</w:t>
      </w:r>
      <w:r w:rsidRPr="0023645A">
        <w:rPr>
          <w:rStyle w:val="Bodytext31Sylfaen9"/>
          <w:i w:val="0"/>
          <w:sz w:val="24"/>
          <w:szCs w:val="24"/>
          <w:vertAlign w:val="subscript"/>
        </w:rPr>
        <w:t>50</w:t>
      </w:r>
      <w:r w:rsidRPr="0023645A">
        <w:rPr>
          <w:rFonts w:ascii="Sylfaen" w:hAnsi="Sylfaen"/>
          <w:sz w:val="24"/>
          <w:szCs w:val="24"/>
        </w:rPr>
        <w:t>)։</w:t>
      </w:r>
    </w:p>
    <w:p w14:paraId="0D16007F"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23645A">
        <w:rPr>
          <w:rStyle w:val="Bodytext31Sylfaen9"/>
          <w:i w:val="0"/>
          <w:sz w:val="24"/>
          <w:szCs w:val="24"/>
        </w:rPr>
        <w:lastRenderedPageBreak/>
        <w:t>ED</w:t>
      </w:r>
      <w:r w:rsidRPr="0023645A">
        <w:rPr>
          <w:rStyle w:val="Bodytext285pt"/>
          <w:i w:val="0"/>
          <w:spacing w:val="0"/>
          <w:sz w:val="24"/>
          <w:szCs w:val="24"/>
          <w:vertAlign w:val="subscript"/>
        </w:rPr>
        <w:t>50</w:t>
      </w:r>
      <w:r w:rsidRPr="0023645A">
        <w:rPr>
          <w:rFonts w:ascii="Sylfaen" w:hAnsi="Sylfaen"/>
          <w:sz w:val="24"/>
          <w:szCs w:val="24"/>
        </w:rPr>
        <w:t>-ը գտնելու համար հարկավոր է փորձարկումներ անցկացնել թեստ օբյեկտների մի քանի (առնվազն 3) խմբերի հետ (որպես կանոն՝ յուրաքանչյուր խմբում առնվազն 6 թեստ օբյեկտ)՝ տարբեր դեղաչափերի դեպքում։</w:t>
      </w:r>
      <w:r w:rsidRPr="0023645A">
        <w:rPr>
          <w:rStyle w:val="Bodytext31Sylfaen9"/>
          <w:i w:val="0"/>
          <w:sz w:val="24"/>
          <w:szCs w:val="24"/>
        </w:rPr>
        <w:t xml:space="preserve"> Օգտագործվող դեղաչափերի միջակայքով պետք է ապահովվի առկա արձագանքների բավականին լայն ընդգրկույթ (մոտավորապես՝ 20 %-ից մինչեւ 80 %)։ </w:t>
      </w:r>
      <w:r w:rsidRPr="0023645A">
        <w:rPr>
          <w:rFonts w:ascii="Sylfaen" w:hAnsi="Sylfaen"/>
          <w:sz w:val="24"/>
          <w:szCs w:val="24"/>
        </w:rPr>
        <w:t>D</w:t>
      </w:r>
      <w:r w:rsidRPr="0023645A">
        <w:rPr>
          <w:rStyle w:val="Bodytext2Italic"/>
          <w:i w:val="0"/>
          <w:sz w:val="24"/>
          <w:szCs w:val="24"/>
          <w:vertAlign w:val="subscript"/>
        </w:rPr>
        <w:t>i,</w:t>
      </w:r>
      <w:r w:rsidRPr="0023645A">
        <w:rPr>
          <w:rFonts w:ascii="Sylfaen" w:hAnsi="Sylfaen"/>
          <w:sz w:val="24"/>
          <w:szCs w:val="24"/>
        </w:rPr>
        <w:t xml:space="preserve"> դեղաչափերից յուրաքանչյուրի համար արձագանքների առկայության р</w:t>
      </w:r>
      <w:r w:rsidRPr="0023645A">
        <w:rPr>
          <w:rStyle w:val="Bodytext2Italic"/>
          <w:i w:val="0"/>
          <w:sz w:val="24"/>
          <w:szCs w:val="24"/>
          <w:vertAlign w:val="subscript"/>
        </w:rPr>
        <w:t>i</w:t>
      </w:r>
      <w:r w:rsidRPr="0023645A">
        <w:rPr>
          <w:rFonts w:ascii="Sylfaen" w:hAnsi="Sylfaen"/>
          <w:sz w:val="24"/>
          <w:szCs w:val="24"/>
        </w:rPr>
        <w:t xml:space="preserve"> տոկոսները ստանալու համար դրանք փոխարինվում են այսպես կոչված у</w:t>
      </w:r>
      <w:r w:rsidRPr="0023645A">
        <w:rPr>
          <w:rStyle w:val="Bodytext31Sylfaen9"/>
          <w:i w:val="0"/>
          <w:sz w:val="24"/>
          <w:szCs w:val="24"/>
          <w:vertAlign w:val="subscript"/>
        </w:rPr>
        <w:t>i</w:t>
      </w:r>
      <w:r w:rsidRPr="0023645A">
        <w:rPr>
          <w:rFonts w:ascii="Sylfaen" w:hAnsi="Sylfaen"/>
          <w:sz w:val="24"/>
          <w:szCs w:val="24"/>
        </w:rPr>
        <w:t xml:space="preserve"> պրոբիտներով՝ հավելվածների V աղյուսակի համաձայն։</w:t>
      </w:r>
      <w:r w:rsidRPr="0023645A">
        <w:rPr>
          <w:rStyle w:val="Bodytext31Sylfaen9"/>
          <w:i w:val="0"/>
          <w:sz w:val="24"/>
          <w:szCs w:val="24"/>
        </w:rPr>
        <w:t xml:space="preserve"> </w:t>
      </w:r>
      <w:r w:rsidRPr="0023645A">
        <w:rPr>
          <w:rFonts w:ascii="Sylfaen" w:hAnsi="Sylfaen"/>
          <w:sz w:val="24"/>
          <w:szCs w:val="24"/>
        </w:rPr>
        <w:t>Այդ փոխարինման իմաստն այն է, որ у</w:t>
      </w:r>
      <w:r w:rsidRPr="0023645A">
        <w:rPr>
          <w:rStyle w:val="Bodytext31Sylfaen9"/>
          <w:i w:val="0"/>
          <w:sz w:val="24"/>
          <w:szCs w:val="24"/>
          <w:vertAlign w:val="subscript"/>
        </w:rPr>
        <w:t>i</w:t>
      </w:r>
      <w:r w:rsidRPr="0023645A">
        <w:rPr>
          <w:rFonts w:ascii="Sylfaen" w:hAnsi="Sylfaen"/>
          <w:sz w:val="24"/>
          <w:szCs w:val="24"/>
        </w:rPr>
        <w:t xml:space="preserve"> պրոբիտների եւ </w:t>
      </w:r>
      <w:r w:rsidRPr="0023645A">
        <w:rPr>
          <w:rStyle w:val="Bodytext2Italic"/>
          <w:i w:val="0"/>
          <w:sz w:val="24"/>
          <w:szCs w:val="24"/>
        </w:rPr>
        <w:t>х</w:t>
      </w:r>
      <w:r w:rsidRPr="0023645A">
        <w:rPr>
          <w:rStyle w:val="Bodytext2Italic"/>
          <w:i w:val="0"/>
          <w:sz w:val="24"/>
          <w:szCs w:val="24"/>
          <w:vertAlign w:val="subscript"/>
        </w:rPr>
        <w:t>i</w:t>
      </w:r>
      <w:r w:rsidRPr="0023645A">
        <w:rPr>
          <w:rStyle w:val="Bodytext2Italic"/>
          <w:i w:val="0"/>
          <w:sz w:val="24"/>
          <w:szCs w:val="24"/>
        </w:rPr>
        <w:t>,</w:t>
      </w:r>
      <w:r w:rsidRPr="0023645A">
        <w:rPr>
          <w:rStyle w:val="Bodytext31Sylfaen9"/>
          <w:i w:val="0"/>
          <w:sz w:val="24"/>
          <w:szCs w:val="24"/>
        </w:rPr>
        <w:t xml:space="preserve"> = lgD</w:t>
      </w:r>
      <w:r w:rsidRPr="0023645A">
        <w:rPr>
          <w:rStyle w:val="Bodytext31Sylfaen9"/>
          <w:i w:val="0"/>
          <w:sz w:val="24"/>
          <w:szCs w:val="24"/>
          <w:vertAlign w:val="subscript"/>
        </w:rPr>
        <w:t>i</w:t>
      </w:r>
      <w:r w:rsidRPr="0023645A">
        <w:rPr>
          <w:rFonts w:ascii="Sylfaen" w:hAnsi="Sylfaen"/>
          <w:sz w:val="24"/>
          <w:szCs w:val="24"/>
        </w:rPr>
        <w:t xml:space="preserve"> կամ </w:t>
      </w:r>
      <w:r w:rsidRPr="0023645A">
        <w:rPr>
          <w:rStyle w:val="Bodytext2Italic"/>
          <w:i w:val="0"/>
          <w:sz w:val="24"/>
          <w:szCs w:val="24"/>
        </w:rPr>
        <w:t>х</w:t>
      </w:r>
      <w:r w:rsidRPr="0023645A">
        <w:rPr>
          <w:rStyle w:val="Bodytext2Italic"/>
          <w:i w:val="0"/>
          <w:sz w:val="24"/>
          <w:szCs w:val="24"/>
          <w:vertAlign w:val="subscript"/>
        </w:rPr>
        <w:t>i</w:t>
      </w:r>
      <w:r w:rsidRPr="0023645A">
        <w:rPr>
          <w:rStyle w:val="Bodytext2Italic"/>
          <w:i w:val="0"/>
          <w:sz w:val="24"/>
          <w:szCs w:val="24"/>
        </w:rPr>
        <w:t>, =</w:t>
      </w:r>
      <w:r w:rsidRPr="0023645A">
        <w:rPr>
          <w:rStyle w:val="Bodytext31Sylfaen9"/>
          <w:i w:val="0"/>
          <w:sz w:val="24"/>
          <w:szCs w:val="24"/>
        </w:rPr>
        <w:t xml:space="preserve"> lnD</w:t>
      </w:r>
      <w:r w:rsidRPr="0023645A">
        <w:rPr>
          <w:rStyle w:val="Bodytext31Sylfaen9"/>
          <w:i w:val="0"/>
          <w:sz w:val="24"/>
          <w:szCs w:val="24"/>
          <w:vertAlign w:val="subscript"/>
        </w:rPr>
        <w:t>i</w:t>
      </w:r>
      <w:r w:rsidRPr="0023645A">
        <w:rPr>
          <w:rFonts w:ascii="Sylfaen" w:hAnsi="Sylfaen"/>
          <w:sz w:val="24"/>
          <w:szCs w:val="24"/>
        </w:rPr>
        <w:t xml:space="preserve"> դեղաչափերի</w:t>
      </w:r>
      <w:r w:rsidRPr="00B834A2">
        <w:rPr>
          <w:rFonts w:ascii="Sylfaen" w:hAnsi="Sylfaen"/>
          <w:sz w:val="24"/>
          <w:szCs w:val="24"/>
        </w:rPr>
        <w:t xml:space="preserve"> լոգարիթմների միջեւ կախվածությունը սովորաբար մոտ է գծայինին։</w:t>
      </w:r>
      <w:r w:rsidRPr="00B834A2">
        <w:rPr>
          <w:rStyle w:val="Bodytext31Sylfaen9"/>
          <w:sz w:val="24"/>
          <w:szCs w:val="24"/>
        </w:rPr>
        <w:t xml:space="preserve"> </w:t>
      </w:r>
      <w:r w:rsidRPr="00B834A2">
        <w:rPr>
          <w:rFonts w:ascii="Sylfaen" w:hAnsi="Sylfaen"/>
          <w:sz w:val="24"/>
          <w:szCs w:val="24"/>
        </w:rPr>
        <w:t>Այդպիսի մոտ լինելն ավել լավ է պահպանվում այնքանով, որքանով р</w:t>
      </w:r>
      <w:r w:rsidRPr="00B834A2">
        <w:rPr>
          <w:rStyle w:val="Bodytext2Italic"/>
          <w:sz w:val="24"/>
          <w:szCs w:val="24"/>
          <w:vertAlign w:val="subscript"/>
        </w:rPr>
        <w:t xml:space="preserve">i </w:t>
      </w:r>
      <w:r w:rsidRPr="00B834A2">
        <w:rPr>
          <w:rStyle w:val="Bodytext2Italic"/>
          <w:sz w:val="24"/>
          <w:szCs w:val="24"/>
        </w:rPr>
        <w:t>արժեքը մոտ է</w:t>
      </w:r>
      <w:r>
        <w:rPr>
          <w:rStyle w:val="Bodytext2Italic"/>
          <w:sz w:val="24"/>
          <w:szCs w:val="24"/>
          <w:vertAlign w:val="subscript"/>
        </w:rPr>
        <w:t xml:space="preserve"> </w:t>
      </w:r>
      <w:r w:rsidRPr="00B834A2">
        <w:rPr>
          <w:rFonts w:ascii="Sylfaen" w:hAnsi="Sylfaen"/>
          <w:sz w:val="24"/>
          <w:szCs w:val="24"/>
        </w:rPr>
        <w:t>50%-ին, ինչի պատճառով խմբերից յուրաքանչյուրի համար սահմանվում է W</w:t>
      </w:r>
      <w:r w:rsidRPr="00B834A2">
        <w:rPr>
          <w:rStyle w:val="Bodytext2Italic"/>
          <w:sz w:val="24"/>
          <w:szCs w:val="24"/>
          <w:vertAlign w:val="subscript"/>
        </w:rPr>
        <w:t>i</w:t>
      </w:r>
      <w:r w:rsidRPr="00B834A2">
        <w:rPr>
          <w:rFonts w:ascii="Sylfaen" w:hAnsi="Sylfaen"/>
          <w:sz w:val="24"/>
          <w:szCs w:val="24"/>
        </w:rPr>
        <w:t xml:space="preserve"> կշռային գործակիցը, որը կախված է р</w:t>
      </w:r>
      <w:r w:rsidRPr="00B834A2">
        <w:rPr>
          <w:rStyle w:val="Bodytext2Italic"/>
          <w:sz w:val="24"/>
          <w:szCs w:val="24"/>
          <w:vertAlign w:val="subscript"/>
        </w:rPr>
        <w:t>i</w:t>
      </w:r>
      <w:r w:rsidRPr="00B834A2">
        <w:rPr>
          <w:rFonts w:ascii="Sylfaen" w:hAnsi="Sylfaen"/>
          <w:sz w:val="24"/>
          <w:szCs w:val="24"/>
        </w:rPr>
        <w:t>-ից. W</w:t>
      </w:r>
      <w:r w:rsidRPr="00B834A2">
        <w:rPr>
          <w:rStyle w:val="Bodytext2Italic"/>
          <w:sz w:val="24"/>
          <w:szCs w:val="24"/>
          <w:vertAlign w:val="subscript"/>
        </w:rPr>
        <w:t>i</w:t>
      </w:r>
      <w:r w:rsidRPr="00B834A2">
        <w:rPr>
          <w:rFonts w:ascii="Sylfaen" w:hAnsi="Sylfaen"/>
          <w:sz w:val="24"/>
          <w:szCs w:val="24"/>
        </w:rPr>
        <w:t xml:space="preserve"> արժեքները բերված են հավելվածների VI աղյուսակում։</w:t>
      </w:r>
    </w:p>
    <w:p w14:paraId="201DC162" w14:textId="77777777" w:rsidR="00B834A2" w:rsidRPr="0023645A" w:rsidRDefault="00B834A2" w:rsidP="001A3F5E">
      <w:pPr>
        <w:pStyle w:val="Bodytext20"/>
        <w:shd w:val="clear" w:color="auto" w:fill="auto"/>
        <w:spacing w:before="0" w:after="160" w:line="360" w:lineRule="auto"/>
        <w:ind w:firstLine="567"/>
        <w:jc w:val="both"/>
        <w:rPr>
          <w:rFonts w:ascii="Sylfaen" w:hAnsi="Sylfaen" w:cs="Sylfaen"/>
          <w:i/>
          <w:sz w:val="24"/>
          <w:szCs w:val="24"/>
        </w:rPr>
      </w:pPr>
      <w:r w:rsidRPr="0023645A">
        <w:rPr>
          <w:rStyle w:val="Bodytext31Sylfaen9"/>
          <w:i w:val="0"/>
          <w:sz w:val="24"/>
          <w:szCs w:val="24"/>
        </w:rPr>
        <w:t>Որպես օրինակներ ստորեւ ներկայացված են որակական արձագանքի վրա հիմնված կենսաբանական փորձարկումների արդյունքների վիճակագրական մշակման առաջարկվող ալգորիթմները (ՄԴ</w:t>
      </w:r>
      <w:r w:rsidRPr="0023645A">
        <w:rPr>
          <w:rStyle w:val="Bodytext31Sylfaen9"/>
          <w:i w:val="0"/>
          <w:sz w:val="24"/>
          <w:szCs w:val="24"/>
          <w:vertAlign w:val="subscript"/>
        </w:rPr>
        <w:t>50</w:t>
      </w:r>
      <w:r w:rsidRPr="0023645A">
        <w:rPr>
          <w:rStyle w:val="Bodytext31Sylfaen9"/>
          <w:i w:val="0"/>
          <w:sz w:val="24"/>
          <w:szCs w:val="24"/>
        </w:rPr>
        <w:t xml:space="preserve"> -ի որոշում, դրա արժեքների համեմատում, ինչպես նաեւ 2 х 2 աղյուսակներ)։ Հնարավոր է կիրառել կենսաչափական ծրագրային ապահովում, այդ թվում՝ հատուկ ծրագրային ապահովում (CombiStats, PLA կամ նույնանմանները)։</w:t>
      </w:r>
    </w:p>
    <w:p w14:paraId="30909DC0" w14:textId="77777777" w:rsidR="00B834A2" w:rsidRPr="0023645A" w:rsidRDefault="00B834A2" w:rsidP="0023645A">
      <w:pPr>
        <w:pStyle w:val="Bodytext20"/>
        <w:shd w:val="clear" w:color="auto" w:fill="auto"/>
        <w:tabs>
          <w:tab w:val="left" w:pos="1276"/>
        </w:tabs>
        <w:spacing w:before="0" w:after="160" w:line="360" w:lineRule="auto"/>
        <w:ind w:firstLine="567"/>
        <w:jc w:val="both"/>
        <w:rPr>
          <w:rFonts w:ascii="Sylfaen" w:hAnsi="Sylfaen" w:cs="Sylfaen"/>
          <w:b/>
          <w:i/>
          <w:sz w:val="24"/>
          <w:szCs w:val="24"/>
        </w:rPr>
      </w:pPr>
      <w:r w:rsidRPr="0023645A">
        <w:rPr>
          <w:rStyle w:val="Bodytext31Sylfaen9"/>
          <w:b/>
          <w:i w:val="0"/>
          <w:sz w:val="24"/>
          <w:szCs w:val="24"/>
        </w:rPr>
        <w:t>4.2.</w:t>
      </w:r>
      <w:r w:rsidR="001A3F5E" w:rsidRPr="0023645A">
        <w:rPr>
          <w:rStyle w:val="Bodytext31Sylfaen9"/>
          <w:b/>
          <w:i w:val="0"/>
          <w:sz w:val="24"/>
          <w:szCs w:val="24"/>
        </w:rPr>
        <w:tab/>
      </w:r>
      <w:r w:rsidRPr="0023645A">
        <w:rPr>
          <w:rStyle w:val="Bodytext31Sylfaen9"/>
          <w:b/>
          <w:i w:val="0"/>
          <w:sz w:val="24"/>
          <w:szCs w:val="24"/>
        </w:rPr>
        <w:t>Որակական տիպի արձագանքներով կենսաբանական փորձարկումների արդյունքների վիճակագրական մշակման օրինակները</w:t>
      </w:r>
    </w:p>
    <w:p w14:paraId="37009DBA" w14:textId="77777777" w:rsidR="00B834A2" w:rsidRPr="0023645A" w:rsidRDefault="00B834A2" w:rsidP="0023645A">
      <w:pPr>
        <w:pStyle w:val="Bodytext20"/>
        <w:shd w:val="clear" w:color="auto" w:fill="auto"/>
        <w:tabs>
          <w:tab w:val="left" w:pos="1418"/>
        </w:tabs>
        <w:spacing w:before="0" w:after="160" w:line="360" w:lineRule="auto"/>
        <w:ind w:firstLine="567"/>
        <w:jc w:val="both"/>
        <w:rPr>
          <w:rFonts w:ascii="Sylfaen" w:hAnsi="Sylfaen" w:cs="Sylfaen"/>
          <w:sz w:val="24"/>
          <w:szCs w:val="24"/>
        </w:rPr>
      </w:pPr>
      <w:r w:rsidRPr="0023645A">
        <w:rPr>
          <w:rStyle w:val="Bodytext2Italic"/>
          <w:sz w:val="24"/>
          <w:szCs w:val="24"/>
        </w:rPr>
        <w:t>4.2.1.</w:t>
      </w:r>
      <w:r w:rsidR="0023645A" w:rsidRPr="0023645A">
        <w:rPr>
          <w:rStyle w:val="Bodytext2Italic"/>
          <w:sz w:val="24"/>
          <w:szCs w:val="24"/>
        </w:rPr>
        <w:tab/>
      </w:r>
      <w:r w:rsidRPr="0023645A">
        <w:rPr>
          <w:rStyle w:val="Bodytext2Italic"/>
          <w:sz w:val="24"/>
          <w:szCs w:val="24"/>
        </w:rPr>
        <w:t>Միջին մահացու դեղաչափի (ՄԴ</w:t>
      </w:r>
      <w:r w:rsidRPr="0023645A">
        <w:rPr>
          <w:rStyle w:val="Bodytext2Italic"/>
          <w:sz w:val="24"/>
          <w:szCs w:val="24"/>
          <w:vertAlign w:val="subscript"/>
        </w:rPr>
        <w:t>50</w:t>
      </w:r>
      <w:r w:rsidRPr="0023645A">
        <w:rPr>
          <w:rStyle w:val="Bodytext2Italic"/>
          <w:sz w:val="24"/>
          <w:szCs w:val="24"/>
        </w:rPr>
        <w:t>) որոշումը</w:t>
      </w:r>
    </w:p>
    <w:p w14:paraId="2DAFAD48"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ՄԴ</w:t>
      </w:r>
      <w:r w:rsidRPr="00B834A2">
        <w:rPr>
          <w:rStyle w:val="Bodytext2Italic"/>
          <w:sz w:val="24"/>
          <w:szCs w:val="24"/>
          <w:vertAlign w:val="subscript"/>
        </w:rPr>
        <w:t>50</w:t>
      </w:r>
      <w:r w:rsidRPr="00B834A2">
        <w:rPr>
          <w:rStyle w:val="Bodytext31Sylfaen9"/>
          <w:sz w:val="24"/>
          <w:szCs w:val="24"/>
        </w:rPr>
        <w:t xml:space="preserve">-ն այն դեղաչափն է, որի դեպքում մահանում է կենդանիների կեսը։ </w:t>
      </w:r>
      <w:r w:rsidRPr="00B834A2">
        <w:rPr>
          <w:rFonts w:ascii="Sylfaen" w:hAnsi="Sylfaen"/>
          <w:sz w:val="24"/>
          <w:szCs w:val="24"/>
        </w:rPr>
        <w:t>Փորձի ժամանակ վերցրել են սպիտակ մկների 4 խումբ՝ յուրաքանչյուրում 6-ական կենդանիներ։</w:t>
      </w:r>
      <w:r w:rsidRPr="00B834A2">
        <w:rPr>
          <w:rStyle w:val="Bodytext31Sylfaen9"/>
          <w:sz w:val="24"/>
          <w:szCs w:val="24"/>
        </w:rPr>
        <w:t xml:space="preserve"> Խմբերում կենդանիների հավասար թիվը եւ դեղաչափերի հավասար միջակայքը ցանկալի է, սակայն պարտադիր չէ։ 4.2.1-29 աղյուսակում բերված են օձի թույնի չորս դեղաչափի ներմուծման նկատմամբ կենդանիների </w:t>
      </w:r>
      <w:r w:rsidRPr="00B834A2">
        <w:rPr>
          <w:rStyle w:val="Bodytext31Sylfaen9"/>
          <w:sz w:val="24"/>
          <w:szCs w:val="24"/>
        </w:rPr>
        <w:lastRenderedPageBreak/>
        <w:t>արձագանքները, ինչպես նաեւ համապատասխան պրոբիտներն ու կշռային գործակիցները (հավելվածի 5-7-րդ աղյուսակներ)։</w:t>
      </w:r>
    </w:p>
    <w:p w14:paraId="47976C49" w14:textId="77777777" w:rsidR="00B834A2" w:rsidRPr="00B834A2" w:rsidRDefault="00B834A2" w:rsidP="00B834A2">
      <w:pPr>
        <w:pStyle w:val="Bodytext20"/>
        <w:shd w:val="clear" w:color="auto" w:fill="auto"/>
        <w:spacing w:before="0" w:after="160" w:line="360" w:lineRule="auto"/>
        <w:ind w:firstLine="320"/>
        <w:rPr>
          <w:rStyle w:val="Bodytext31Sylfaen9"/>
          <w:sz w:val="24"/>
          <w:szCs w:val="24"/>
        </w:rPr>
      </w:pPr>
      <w:r w:rsidRPr="00B834A2">
        <w:rPr>
          <w:rStyle w:val="Bodytext31Sylfaen9"/>
          <w:sz w:val="24"/>
          <w:szCs w:val="24"/>
        </w:rPr>
        <w:t>Հաշվարկվում</w:t>
      </w:r>
      <w:r>
        <w:rPr>
          <w:rStyle w:val="Bodytext31Sylfaen9"/>
          <w:sz w:val="24"/>
          <w:szCs w:val="24"/>
        </w:rPr>
        <w:t xml:space="preserve"> </w:t>
      </w:r>
      <w:r w:rsidRPr="00B834A2">
        <w:rPr>
          <w:rStyle w:val="Bodytext31Sylfaen9"/>
          <w:sz w:val="24"/>
          <w:szCs w:val="24"/>
        </w:rPr>
        <w:t>է ՄԴ</w:t>
      </w:r>
      <w:r w:rsidRPr="00B834A2">
        <w:rPr>
          <w:rStyle w:val="Bodytext31Sylfaen9"/>
          <w:sz w:val="24"/>
          <w:szCs w:val="24"/>
          <w:vertAlign w:val="subscript"/>
        </w:rPr>
        <w:t>50</w:t>
      </w:r>
      <w:r w:rsidRPr="00B834A2">
        <w:rPr>
          <w:rStyle w:val="Bodytext31Sylfaen9"/>
          <w:sz w:val="24"/>
          <w:szCs w:val="24"/>
        </w:rPr>
        <w:t>-ը՝</w:t>
      </w:r>
    </w:p>
    <w:p w14:paraId="17221127" w14:textId="77777777" w:rsidR="00B834A2" w:rsidRPr="00B834A2" w:rsidRDefault="00B834A2" w:rsidP="00B834A2">
      <w:pPr>
        <w:pStyle w:val="Bodytext20"/>
        <w:shd w:val="clear" w:color="auto" w:fill="auto"/>
        <w:spacing w:before="0" w:after="160" w:line="360" w:lineRule="auto"/>
        <w:ind w:firstLine="320"/>
        <w:rPr>
          <w:rStyle w:val="Bodytext31Sylfaen9"/>
          <w:sz w:val="24"/>
          <w:szCs w:val="24"/>
        </w:rPr>
      </w:pPr>
      <w:r w:rsidRPr="00B834A2">
        <w:rPr>
          <w:rFonts w:ascii="Sylfaen" w:eastAsia="Sylfaen" w:hAnsi="Sylfaen" w:cs="Sylfaen"/>
          <w:noProof/>
          <w:sz w:val="24"/>
          <w:szCs w:val="24"/>
          <w:shd w:val="clear" w:color="auto" w:fill="FFFFFF"/>
          <w:lang w:val="en-US" w:eastAsia="en-US" w:bidi="ar-SA"/>
        </w:rPr>
        <w:drawing>
          <wp:inline distT="0" distB="0" distL="0" distR="0" wp14:anchorId="56EDEE58" wp14:editId="00DD7D44">
            <wp:extent cx="2659380" cy="3047649"/>
            <wp:effectExtent l="19050" t="0" r="762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13" cstate="print"/>
                    <a:srcRect/>
                    <a:stretch>
                      <a:fillRect/>
                    </a:stretch>
                  </pic:blipFill>
                  <pic:spPr bwMode="auto">
                    <a:xfrm>
                      <a:off x="0" y="0"/>
                      <a:ext cx="2660847" cy="3049330"/>
                    </a:xfrm>
                    <a:prstGeom prst="rect">
                      <a:avLst/>
                    </a:prstGeom>
                    <a:noFill/>
                    <a:ln w="9525">
                      <a:noFill/>
                      <a:miter lim="800000"/>
                      <a:headEnd/>
                      <a:tailEnd/>
                    </a:ln>
                  </pic:spPr>
                </pic:pic>
              </a:graphicData>
            </a:graphic>
          </wp:inline>
        </w:drawing>
      </w:r>
    </w:p>
    <w:p w14:paraId="10F8B679"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n</w:t>
      </w:r>
      <w:r w:rsidRPr="00B834A2">
        <w:rPr>
          <w:rStyle w:val="Bodytext31Sylfaen9"/>
          <w:sz w:val="24"/>
          <w:szCs w:val="24"/>
        </w:rPr>
        <w:t xml:space="preserve"> = </w:t>
      </w:r>
      <w:r w:rsidRPr="00B834A2">
        <w:rPr>
          <w:rStyle w:val="Bodytext285pt"/>
          <w:spacing w:val="0"/>
          <w:sz w:val="24"/>
          <w:szCs w:val="24"/>
        </w:rPr>
        <w:t xml:space="preserve">12 </w:t>
      </w:r>
      <w:r w:rsidRPr="00B834A2">
        <w:rPr>
          <w:rFonts w:ascii="Sylfaen" w:hAnsi="Sylfaen"/>
          <w:sz w:val="24"/>
          <w:szCs w:val="24"/>
        </w:rPr>
        <w:t>(այն խմբերում կենդանիների ընդհանուր թիվը, որոնցում դիտվել է 6,66-ից 93,33 % էֆեկտ)։</w:t>
      </w:r>
      <w:r w:rsidRPr="00B834A2">
        <w:rPr>
          <w:rStyle w:val="Bodytext31Sylfaen9"/>
          <w:sz w:val="24"/>
          <w:szCs w:val="24"/>
        </w:rPr>
        <w:t xml:space="preserve"> Տվյալ դեպքում այդ տեսական միջակայքում ընդգրկվում են 3,75 մգ/կգ եւ 5,00 մգ/կգ ստացած խմբերը։</w:t>
      </w:r>
    </w:p>
    <w:p w14:paraId="307D075D" w14:textId="77777777" w:rsidR="00B834A2" w:rsidRPr="00B834A2" w:rsidRDefault="00B834A2" w:rsidP="001A3F5E">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Ազատության աստիճանների թիվը՝</w:t>
      </w:r>
      <w:r w:rsidRPr="00B834A2">
        <w:rPr>
          <w:rStyle w:val="Bodytext31Sylfaen9"/>
          <w:sz w:val="24"/>
          <w:szCs w:val="24"/>
        </w:rPr>
        <w:t>ƒ =</w:t>
      </w:r>
      <w:r w:rsidRPr="00B834A2">
        <w:rPr>
          <w:rStyle w:val="Bodytext2Italic"/>
          <w:sz w:val="24"/>
          <w:szCs w:val="24"/>
        </w:rPr>
        <w:t xml:space="preserve"> n-</w:t>
      </w:r>
      <w:r w:rsidRPr="00B834A2">
        <w:rPr>
          <w:rStyle w:val="Bodytext31Sylfaen9"/>
          <w:sz w:val="24"/>
          <w:szCs w:val="24"/>
        </w:rPr>
        <w:t>1=11.</w:t>
      </w:r>
      <w:r w:rsidRPr="00B834A2">
        <w:rPr>
          <w:rFonts w:ascii="Sylfaen" w:hAnsi="Sylfaen"/>
          <w:sz w:val="24"/>
          <w:szCs w:val="24"/>
        </w:rPr>
        <w:t xml:space="preserve"> </w:t>
      </w:r>
    </w:p>
    <w:p w14:paraId="47905898" w14:textId="77777777" w:rsidR="00B834A2" w:rsidRPr="001A3F5E" w:rsidRDefault="00000000" w:rsidP="00B834A2">
      <w:pPr>
        <w:pStyle w:val="Bodytext20"/>
        <w:shd w:val="clear" w:color="auto" w:fill="auto"/>
        <w:spacing w:before="0" w:after="160" w:line="360" w:lineRule="auto"/>
        <w:rPr>
          <w:rFonts w:ascii="Sylfaen" w:hAnsi="Sylfaen" w:cs="Sylfaen"/>
          <w:spacing w:val="-4"/>
          <w:sz w:val="24"/>
          <w:szCs w:val="24"/>
        </w:rPr>
      </w:pPr>
      <w:r>
        <w:rPr>
          <w:rFonts w:ascii="Sylfaen" w:hAnsi="Sylfaen" w:cs="Sylfaen"/>
          <w:noProof/>
          <w:spacing w:val="-4"/>
          <w:sz w:val="24"/>
          <w:szCs w:val="24"/>
          <w:lang w:val="en-US" w:eastAsia="en-US" w:bidi="ar-SA"/>
        </w:rPr>
        <w:pict w14:anchorId="4C1B3E45">
          <v:group id="_x0000_s1463" style="position:absolute;left:0;text-align:left;margin-left:168.25pt;margin-top:27.1pt;width:167.6pt;height:92.7pt;z-index:251744640" coordorigin="4783,11036" coordsize="3352,1854">
            <v:group id="_x0000_s1364" style="position:absolute;left:6920;top:11191;width:1215;height:1699" coordorigin="6920,10950" coordsize="1215,1699">
              <v:rect id="_x0000_s1365" style="position:absolute;left:6920;top:10950;width:1215;height:409" stroked="f">
                <v:textbox>
                  <w:txbxContent>
                    <w:p w14:paraId="0CAC8C64" w14:textId="77777777" w:rsidR="008D6E8B" w:rsidRPr="00C22007" w:rsidRDefault="008D6E8B" w:rsidP="00B834A2">
                      <w:pPr>
                        <w:rPr>
                          <w:sz w:val="20"/>
                          <w:szCs w:val="20"/>
                        </w:rPr>
                      </w:pPr>
                      <w:r>
                        <w:rPr>
                          <w:sz w:val="20"/>
                        </w:rPr>
                        <w:t>(մգ/կգ)</w:t>
                      </w:r>
                    </w:p>
                  </w:txbxContent>
                </v:textbox>
              </v:rect>
              <v:rect id="_x0000_s1366" style="position:absolute;left:6920;top:12240;width:1215;height:409" stroked="f">
                <v:textbox>
                  <w:txbxContent>
                    <w:p w14:paraId="59F07C2E" w14:textId="77777777" w:rsidR="008D6E8B" w:rsidRPr="00C22007" w:rsidRDefault="008D6E8B" w:rsidP="00B834A2">
                      <w:pPr>
                        <w:rPr>
                          <w:sz w:val="20"/>
                          <w:szCs w:val="20"/>
                        </w:rPr>
                      </w:pPr>
                      <w:r>
                        <w:rPr>
                          <w:sz w:val="20"/>
                        </w:rPr>
                        <w:t>(մգ/կգ)</w:t>
                      </w:r>
                    </w:p>
                  </w:txbxContent>
                </v:textbox>
              </v:rect>
              <v:rect id="_x0000_s1367" style="position:absolute;left:6920;top:11574;width:1215;height:409" stroked="f">
                <v:textbox>
                  <w:txbxContent>
                    <w:p w14:paraId="0FD632C1" w14:textId="77777777" w:rsidR="008D6E8B" w:rsidRPr="00C22007" w:rsidRDefault="008D6E8B" w:rsidP="00B834A2">
                      <w:pPr>
                        <w:rPr>
                          <w:sz w:val="20"/>
                          <w:szCs w:val="20"/>
                        </w:rPr>
                      </w:pPr>
                      <w:r>
                        <w:rPr>
                          <w:sz w:val="20"/>
                        </w:rPr>
                        <w:t>(մգ/կգ)</w:t>
                      </w:r>
                    </w:p>
                  </w:txbxContent>
                </v:textbox>
              </v:rect>
            </v:group>
            <v:rect id="_x0000_s1380" style="position:absolute;left:4947;top:11036;width:656;height:485" stroked="f">
              <v:textbox>
                <w:txbxContent>
                  <w:p w14:paraId="0A96CDA1" w14:textId="77777777" w:rsidR="008D6E8B" w:rsidRPr="001A3F5E" w:rsidRDefault="008D6E8B" w:rsidP="00B834A2">
                    <w:pPr>
                      <w:rPr>
                        <w:i/>
                        <w:sz w:val="16"/>
                        <w:szCs w:val="16"/>
                      </w:rPr>
                    </w:pPr>
                    <w:r w:rsidRPr="001A3F5E">
                      <w:rPr>
                        <w:rStyle w:val="Bodytext31Sylfaen9"/>
                        <w:i w:val="0"/>
                        <w:sz w:val="16"/>
                        <w:szCs w:val="16"/>
                      </w:rPr>
                      <w:t>ՄԴ</w:t>
                    </w:r>
                    <w:r w:rsidRPr="001A3F5E">
                      <w:rPr>
                        <w:rStyle w:val="Bodytext31Sylfaen9"/>
                        <w:i w:val="0"/>
                        <w:sz w:val="16"/>
                        <w:szCs w:val="16"/>
                        <w:vertAlign w:val="subscript"/>
                      </w:rPr>
                      <w:t>50</w:t>
                    </w:r>
                  </w:p>
                </w:txbxContent>
              </v:textbox>
            </v:rect>
            <v:rect id="_x0000_s1381" style="position:absolute;left:4783;top:11815;width:820;height:368" stroked="f">
              <v:textbox>
                <w:txbxContent>
                  <w:p w14:paraId="08B2A540" w14:textId="77777777" w:rsidR="008D6E8B" w:rsidRPr="001A3F5E" w:rsidRDefault="008D6E8B" w:rsidP="00B834A2">
                    <w:pPr>
                      <w:rPr>
                        <w:i/>
                        <w:sz w:val="16"/>
                        <w:szCs w:val="16"/>
                        <w:lang w:val="en-US"/>
                      </w:rPr>
                    </w:pPr>
                    <w:r w:rsidRPr="001A3F5E">
                      <w:rPr>
                        <w:rStyle w:val="Bodytext31Sylfaen9"/>
                        <w:i w:val="0"/>
                        <w:sz w:val="16"/>
                        <w:szCs w:val="16"/>
                      </w:rPr>
                      <w:t>ՄԴ</w:t>
                    </w:r>
                    <w:r w:rsidRPr="001A3F5E">
                      <w:rPr>
                        <w:rStyle w:val="Bodytext31Sylfaen9"/>
                        <w:i w:val="0"/>
                        <w:sz w:val="16"/>
                        <w:szCs w:val="16"/>
                        <w:vertAlign w:val="subscript"/>
                      </w:rPr>
                      <w:t>50</w:t>
                    </w:r>
                  </w:p>
                </w:txbxContent>
              </v:textbox>
            </v:rect>
            <v:rect id="_x0000_s1382" style="position:absolute;left:4826;top:12481;width:777;height:409" stroked="f">
              <v:textbox>
                <w:txbxContent>
                  <w:p w14:paraId="13B1277D" w14:textId="77777777" w:rsidR="008D6E8B" w:rsidRPr="001A3F5E" w:rsidRDefault="008D6E8B" w:rsidP="00B834A2">
                    <w:pPr>
                      <w:rPr>
                        <w:i/>
                        <w:sz w:val="16"/>
                        <w:szCs w:val="16"/>
                        <w:lang w:val="en-US"/>
                      </w:rPr>
                    </w:pPr>
                    <w:r w:rsidRPr="001A3F5E">
                      <w:rPr>
                        <w:rStyle w:val="Bodytext31Sylfaen9"/>
                        <w:i w:val="0"/>
                        <w:sz w:val="16"/>
                        <w:szCs w:val="16"/>
                      </w:rPr>
                      <w:t>ՄԴ</w:t>
                    </w:r>
                    <w:r w:rsidRPr="001A3F5E">
                      <w:rPr>
                        <w:rStyle w:val="Bodytext31Sylfaen9"/>
                        <w:i w:val="0"/>
                        <w:sz w:val="16"/>
                        <w:szCs w:val="16"/>
                        <w:vertAlign w:val="subscript"/>
                      </w:rPr>
                      <w:t>50</w:t>
                    </w:r>
                  </w:p>
                </w:txbxContent>
              </v:textbox>
            </v:rect>
          </v:group>
        </w:pict>
      </w:r>
      <w:r w:rsidR="00B834A2" w:rsidRPr="001A3F5E">
        <w:rPr>
          <w:rStyle w:val="Bodytext285pt"/>
          <w:i w:val="0"/>
          <w:spacing w:val="-4"/>
          <w:sz w:val="24"/>
          <w:szCs w:val="24"/>
        </w:rPr>
        <w:t>t</w:t>
      </w:r>
      <w:r w:rsidR="00B834A2" w:rsidRPr="001A3F5E">
        <w:rPr>
          <w:rStyle w:val="Bodytext31Sylfaen9"/>
          <w:spacing w:val="-4"/>
          <w:sz w:val="24"/>
          <w:szCs w:val="24"/>
        </w:rPr>
        <w:t xml:space="preserve"> = 1,958788 +2,429953 / ƒ +2,189891/ ƒ</w:t>
      </w:r>
      <w:r w:rsidR="00B834A2" w:rsidRPr="001A3F5E">
        <w:rPr>
          <w:rStyle w:val="Bodytext31Sylfaen9"/>
          <w:spacing w:val="-4"/>
          <w:sz w:val="24"/>
          <w:szCs w:val="24"/>
          <w:vertAlign w:val="superscript"/>
        </w:rPr>
        <w:t xml:space="preserve"> 2</w:t>
      </w:r>
      <w:r w:rsidR="00B834A2" w:rsidRPr="001A3F5E">
        <w:rPr>
          <w:rStyle w:val="Bodytext31Sylfaen9"/>
          <w:spacing w:val="-4"/>
          <w:sz w:val="24"/>
          <w:szCs w:val="24"/>
        </w:rPr>
        <w:t xml:space="preserve"> +4,630189/ ƒ</w:t>
      </w:r>
      <w:r w:rsidR="00B834A2" w:rsidRPr="001A3F5E">
        <w:rPr>
          <w:rStyle w:val="Bodytext31Sylfaen9"/>
          <w:spacing w:val="-4"/>
          <w:sz w:val="24"/>
          <w:szCs w:val="24"/>
          <w:vertAlign w:val="superscript"/>
        </w:rPr>
        <w:t xml:space="preserve"> 3</w:t>
      </w:r>
      <w:r w:rsidR="00B834A2" w:rsidRPr="001A3F5E">
        <w:rPr>
          <w:rStyle w:val="Bodytext31Sylfaen9"/>
          <w:spacing w:val="-4"/>
          <w:sz w:val="24"/>
          <w:szCs w:val="24"/>
        </w:rPr>
        <w:t xml:space="preserve"> +1398179</w:t>
      </w:r>
      <w:r w:rsidR="00B834A2" w:rsidRPr="001A3F5E">
        <w:rPr>
          <w:rStyle w:val="Bodytext285pt"/>
          <w:spacing w:val="-4"/>
          <w:sz w:val="24"/>
          <w:szCs w:val="24"/>
        </w:rPr>
        <w:t xml:space="preserve">/ </w:t>
      </w:r>
      <w:r w:rsidR="00B834A2" w:rsidRPr="001A3F5E">
        <w:rPr>
          <w:rStyle w:val="Bodytext31Sylfaen9"/>
          <w:spacing w:val="-4"/>
          <w:sz w:val="24"/>
          <w:szCs w:val="24"/>
        </w:rPr>
        <w:t>ƒ</w:t>
      </w:r>
      <w:r w:rsidR="00B834A2" w:rsidRPr="001A3F5E">
        <w:rPr>
          <w:rStyle w:val="Bodytext285pt"/>
          <w:spacing w:val="-4"/>
          <w:sz w:val="24"/>
          <w:szCs w:val="24"/>
          <w:vertAlign w:val="superscript"/>
        </w:rPr>
        <w:t xml:space="preserve"> 9</w:t>
      </w:r>
      <w:r w:rsidR="00B834A2" w:rsidRPr="001A3F5E">
        <w:rPr>
          <w:rStyle w:val="Bodytext31Sylfaen9"/>
          <w:spacing w:val="-4"/>
          <w:sz w:val="24"/>
          <w:szCs w:val="24"/>
        </w:rPr>
        <w:t xml:space="preserve"> ≈ 2,201 (р= 0,05; ƒ = 11).</w:t>
      </w:r>
    </w:p>
    <w:p w14:paraId="07A3A8F2" w14:textId="77777777" w:rsidR="00B834A2" w:rsidRPr="00B834A2" w:rsidRDefault="00B834A2" w:rsidP="00B834A2">
      <w:pPr>
        <w:pStyle w:val="Bodytext20"/>
        <w:shd w:val="clear" w:color="auto" w:fill="auto"/>
        <w:spacing w:before="0" w:after="160" w:line="360" w:lineRule="auto"/>
        <w:ind w:left="1080"/>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4C30A91F" wp14:editId="01D4D738">
            <wp:extent cx="1907570" cy="1250233"/>
            <wp:effectExtent l="19050" t="0" r="0" b="0"/>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cstate="print"/>
                    <a:srcRect/>
                    <a:stretch>
                      <a:fillRect/>
                    </a:stretch>
                  </pic:blipFill>
                  <pic:spPr bwMode="auto">
                    <a:xfrm>
                      <a:off x="0" y="0"/>
                      <a:ext cx="1908373" cy="1250759"/>
                    </a:xfrm>
                    <a:prstGeom prst="rect">
                      <a:avLst/>
                    </a:prstGeom>
                    <a:noFill/>
                    <a:ln w="9525">
                      <a:noFill/>
                      <a:miter lim="800000"/>
                      <a:headEnd/>
                      <a:tailEnd/>
                    </a:ln>
                  </pic:spPr>
                </pic:pic>
              </a:graphicData>
            </a:graphic>
          </wp:inline>
        </w:drawing>
      </w:r>
    </w:p>
    <w:p w14:paraId="2C950AB5" w14:textId="77777777" w:rsidR="00184198" w:rsidRDefault="00184198">
      <w:pPr>
        <w:rPr>
          <w:rStyle w:val="Bodytext2Italic"/>
          <w:sz w:val="24"/>
          <w:szCs w:val="24"/>
        </w:rPr>
      </w:pPr>
      <w:r>
        <w:rPr>
          <w:rStyle w:val="Bodytext2Italic"/>
          <w:sz w:val="24"/>
          <w:szCs w:val="24"/>
        </w:rPr>
        <w:br w:type="page"/>
      </w:r>
    </w:p>
    <w:p w14:paraId="6CC87D78" w14:textId="77777777" w:rsidR="00B834A2" w:rsidRPr="00B834A2" w:rsidRDefault="00B834A2" w:rsidP="00B834A2">
      <w:pPr>
        <w:pStyle w:val="Tablecaption20"/>
        <w:shd w:val="clear" w:color="auto" w:fill="auto"/>
        <w:spacing w:before="0" w:after="160" w:line="360" w:lineRule="auto"/>
        <w:ind w:firstLine="567"/>
        <w:jc w:val="left"/>
        <w:rPr>
          <w:rFonts w:ascii="Sylfaen" w:hAnsi="Sylfaen" w:cs="Sylfaen"/>
          <w:sz w:val="24"/>
          <w:szCs w:val="24"/>
        </w:rPr>
      </w:pPr>
      <w:r w:rsidRPr="0023645A">
        <w:rPr>
          <w:rStyle w:val="Bodytext310pt"/>
          <w:b w:val="0"/>
          <w:sz w:val="24"/>
          <w:szCs w:val="24"/>
        </w:rPr>
        <w:lastRenderedPageBreak/>
        <w:t>Աղյուսակ 4.2.1-29.</w:t>
      </w:r>
      <w:r>
        <w:rPr>
          <w:rStyle w:val="Bodytext310pt"/>
          <w:sz w:val="24"/>
          <w:szCs w:val="24"/>
        </w:rPr>
        <w:t xml:space="preserve"> </w:t>
      </w:r>
      <w:r w:rsidRPr="00B834A2">
        <w:rPr>
          <w:rFonts w:ascii="Sylfaen" w:hAnsi="Sylfaen"/>
          <w:sz w:val="24"/>
          <w:szCs w:val="24"/>
        </w:rPr>
        <w:t>Փորձի արդյունքների հաշվառումը (օձի թույն)</w:t>
      </w:r>
    </w:p>
    <w:tbl>
      <w:tblPr>
        <w:tblOverlap w:val="never"/>
        <w:tblW w:w="10004" w:type="dxa"/>
        <w:tblLayout w:type="fixed"/>
        <w:tblCellMar>
          <w:left w:w="10" w:type="dxa"/>
          <w:right w:w="10" w:type="dxa"/>
        </w:tblCellMar>
        <w:tblLook w:val="0000" w:firstRow="0" w:lastRow="0" w:firstColumn="0" w:lastColumn="0" w:noHBand="0" w:noVBand="0"/>
      </w:tblPr>
      <w:tblGrid>
        <w:gridCol w:w="1891"/>
        <w:gridCol w:w="1637"/>
        <w:gridCol w:w="1474"/>
        <w:gridCol w:w="2026"/>
        <w:gridCol w:w="1142"/>
        <w:gridCol w:w="1834"/>
      </w:tblGrid>
      <w:tr w:rsidR="00B834A2" w:rsidRPr="001A3F5E" w14:paraId="73CB4DC9" w14:textId="77777777" w:rsidTr="0023645A">
        <w:tc>
          <w:tcPr>
            <w:tcW w:w="1891" w:type="dxa"/>
            <w:tcBorders>
              <w:top w:val="single" w:sz="8" w:space="0" w:color="auto"/>
              <w:bottom w:val="single" w:sz="4" w:space="0" w:color="auto"/>
            </w:tcBorders>
            <w:shd w:val="clear" w:color="auto" w:fill="FFFFFF"/>
            <w:vAlign w:val="center"/>
          </w:tcPr>
          <w:p w14:paraId="62825BE1"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Fonts w:ascii="Sylfaen" w:hAnsi="Sylfaen"/>
                <w:sz w:val="20"/>
                <w:szCs w:val="24"/>
              </w:rPr>
              <w:t>Դեղաչափը, մգ/կգ (D)</w:t>
            </w:r>
          </w:p>
        </w:tc>
        <w:tc>
          <w:tcPr>
            <w:tcW w:w="1637" w:type="dxa"/>
            <w:tcBorders>
              <w:top w:val="single" w:sz="8" w:space="0" w:color="auto"/>
              <w:bottom w:val="single" w:sz="4" w:space="0" w:color="auto"/>
            </w:tcBorders>
            <w:shd w:val="clear" w:color="auto" w:fill="FFFFFF"/>
            <w:vAlign w:val="center"/>
          </w:tcPr>
          <w:p w14:paraId="3E0BA72C"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Style w:val="Bodytext31Sylfaen9"/>
                <w:sz w:val="20"/>
                <w:szCs w:val="24"/>
              </w:rPr>
              <w:t>Խմբում մահացած կենդանիների թիվը</w:t>
            </w:r>
          </w:p>
        </w:tc>
        <w:tc>
          <w:tcPr>
            <w:tcW w:w="1474" w:type="dxa"/>
            <w:tcBorders>
              <w:top w:val="single" w:sz="8" w:space="0" w:color="auto"/>
              <w:bottom w:val="single" w:sz="4" w:space="0" w:color="auto"/>
            </w:tcBorders>
            <w:shd w:val="clear" w:color="auto" w:fill="FFFFFF"/>
            <w:vAlign w:val="center"/>
          </w:tcPr>
          <w:p w14:paraId="6019140E"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Style w:val="Bodytext31Sylfaen9"/>
                <w:sz w:val="20"/>
                <w:szCs w:val="24"/>
              </w:rPr>
              <w:t>Խմբում կենդանիների թիվը</w:t>
            </w:r>
          </w:p>
        </w:tc>
        <w:tc>
          <w:tcPr>
            <w:tcW w:w="2026" w:type="dxa"/>
            <w:tcBorders>
              <w:top w:val="single" w:sz="8" w:space="0" w:color="auto"/>
              <w:bottom w:val="single" w:sz="4" w:space="0" w:color="auto"/>
            </w:tcBorders>
            <w:shd w:val="clear" w:color="auto" w:fill="FFFFFF"/>
            <w:vAlign w:val="center"/>
          </w:tcPr>
          <w:p w14:paraId="3D234B75"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Style w:val="Bodytext31Sylfaen9"/>
                <w:sz w:val="20"/>
                <w:szCs w:val="24"/>
              </w:rPr>
              <w:t>Խմբում մահացած կենդանիների %</w:t>
            </w:r>
          </w:p>
        </w:tc>
        <w:tc>
          <w:tcPr>
            <w:tcW w:w="1142" w:type="dxa"/>
            <w:tcBorders>
              <w:top w:val="single" w:sz="8" w:space="0" w:color="auto"/>
              <w:bottom w:val="single" w:sz="4" w:space="0" w:color="auto"/>
            </w:tcBorders>
            <w:shd w:val="clear" w:color="auto" w:fill="FFFFFF"/>
            <w:vAlign w:val="center"/>
          </w:tcPr>
          <w:p w14:paraId="0E129056"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Fonts w:ascii="Sylfaen" w:hAnsi="Sylfaen"/>
                <w:sz w:val="20"/>
                <w:szCs w:val="24"/>
              </w:rPr>
              <w:t>Պրոբիտը (Р)</w:t>
            </w:r>
          </w:p>
        </w:tc>
        <w:tc>
          <w:tcPr>
            <w:tcW w:w="1834" w:type="dxa"/>
            <w:tcBorders>
              <w:top w:val="single" w:sz="8" w:space="0" w:color="auto"/>
              <w:bottom w:val="single" w:sz="4" w:space="0" w:color="auto"/>
            </w:tcBorders>
            <w:shd w:val="clear" w:color="auto" w:fill="FFFFFF"/>
            <w:vAlign w:val="center"/>
          </w:tcPr>
          <w:p w14:paraId="7937FBFF" w14:textId="77777777" w:rsidR="00B834A2" w:rsidRPr="001A3F5E" w:rsidRDefault="00B834A2" w:rsidP="0023645A">
            <w:pPr>
              <w:pStyle w:val="Bodytext20"/>
              <w:shd w:val="clear" w:color="auto" w:fill="auto"/>
              <w:spacing w:before="0" w:line="240" w:lineRule="auto"/>
              <w:rPr>
                <w:rFonts w:ascii="Sylfaen" w:hAnsi="Sylfaen" w:cs="Sylfaen"/>
                <w:sz w:val="20"/>
                <w:szCs w:val="24"/>
              </w:rPr>
            </w:pPr>
            <w:r w:rsidRPr="001A3F5E">
              <w:rPr>
                <w:rFonts w:ascii="Sylfaen" w:hAnsi="Sylfaen"/>
                <w:sz w:val="20"/>
                <w:szCs w:val="24"/>
              </w:rPr>
              <w:t xml:space="preserve">Կշռային գործակիցը </w:t>
            </w:r>
            <w:r w:rsidRPr="001A3F5E">
              <w:rPr>
                <w:rStyle w:val="Bodytext31Sylfaen9"/>
                <w:sz w:val="20"/>
                <w:szCs w:val="24"/>
              </w:rPr>
              <w:t>(</w:t>
            </w:r>
            <w:r w:rsidRPr="001A3F5E">
              <w:rPr>
                <w:rStyle w:val="Bodytext2Italic"/>
                <w:sz w:val="20"/>
                <w:szCs w:val="24"/>
              </w:rPr>
              <w:t>W)</w:t>
            </w:r>
          </w:p>
        </w:tc>
      </w:tr>
      <w:tr w:rsidR="00B834A2" w:rsidRPr="001A3F5E" w14:paraId="1874CFF2" w14:textId="77777777" w:rsidTr="0023645A">
        <w:tc>
          <w:tcPr>
            <w:tcW w:w="1891" w:type="dxa"/>
            <w:tcBorders>
              <w:top w:val="single" w:sz="4" w:space="0" w:color="auto"/>
            </w:tcBorders>
            <w:shd w:val="clear" w:color="auto" w:fill="FFFFFF"/>
            <w:vAlign w:val="center"/>
          </w:tcPr>
          <w:p w14:paraId="59740471" w14:textId="77777777" w:rsidR="00B834A2" w:rsidRPr="001A3F5E" w:rsidRDefault="00B834A2" w:rsidP="001A3F5E">
            <w:pPr>
              <w:pStyle w:val="Bodytext20"/>
              <w:shd w:val="clear" w:color="auto" w:fill="auto"/>
              <w:spacing w:before="0" w:line="240" w:lineRule="auto"/>
              <w:ind w:left="1060"/>
              <w:jc w:val="left"/>
              <w:rPr>
                <w:rFonts w:ascii="Sylfaen" w:hAnsi="Sylfaen" w:cs="Sylfaen"/>
                <w:sz w:val="20"/>
                <w:szCs w:val="24"/>
              </w:rPr>
            </w:pPr>
            <w:r w:rsidRPr="001A3F5E">
              <w:rPr>
                <w:rStyle w:val="Bodytext31Sylfaen9"/>
                <w:sz w:val="20"/>
                <w:szCs w:val="24"/>
              </w:rPr>
              <w:t>2,50</w:t>
            </w:r>
          </w:p>
        </w:tc>
        <w:tc>
          <w:tcPr>
            <w:tcW w:w="1637" w:type="dxa"/>
            <w:tcBorders>
              <w:top w:val="single" w:sz="4" w:space="0" w:color="auto"/>
            </w:tcBorders>
            <w:shd w:val="clear" w:color="auto" w:fill="FFFFFF"/>
            <w:vAlign w:val="bottom"/>
          </w:tcPr>
          <w:p w14:paraId="52DB3698"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0</w:t>
            </w:r>
          </w:p>
        </w:tc>
        <w:tc>
          <w:tcPr>
            <w:tcW w:w="1474" w:type="dxa"/>
            <w:tcBorders>
              <w:top w:val="single" w:sz="4" w:space="0" w:color="auto"/>
            </w:tcBorders>
            <w:shd w:val="clear" w:color="auto" w:fill="FFFFFF"/>
            <w:vAlign w:val="bottom"/>
          </w:tcPr>
          <w:p w14:paraId="3ECA535D"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w:t>
            </w:r>
          </w:p>
        </w:tc>
        <w:tc>
          <w:tcPr>
            <w:tcW w:w="2026" w:type="dxa"/>
            <w:tcBorders>
              <w:top w:val="single" w:sz="4" w:space="0" w:color="auto"/>
            </w:tcBorders>
            <w:shd w:val="clear" w:color="auto" w:fill="FFFFFF"/>
            <w:vAlign w:val="bottom"/>
          </w:tcPr>
          <w:p w14:paraId="72ECF112"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0</w:t>
            </w:r>
          </w:p>
        </w:tc>
        <w:tc>
          <w:tcPr>
            <w:tcW w:w="1142" w:type="dxa"/>
            <w:tcBorders>
              <w:top w:val="single" w:sz="4" w:space="0" w:color="auto"/>
            </w:tcBorders>
            <w:shd w:val="clear" w:color="auto" w:fill="FFFFFF"/>
            <w:vAlign w:val="center"/>
          </w:tcPr>
          <w:p w14:paraId="06E93B06"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3,27</w:t>
            </w:r>
          </w:p>
        </w:tc>
        <w:tc>
          <w:tcPr>
            <w:tcW w:w="1834" w:type="dxa"/>
            <w:tcBorders>
              <w:top w:val="single" w:sz="4" w:space="0" w:color="auto"/>
            </w:tcBorders>
            <w:shd w:val="clear" w:color="auto" w:fill="FFFFFF"/>
            <w:vAlign w:val="center"/>
          </w:tcPr>
          <w:p w14:paraId="3C8A15D8"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1,54</w:t>
            </w:r>
          </w:p>
        </w:tc>
      </w:tr>
      <w:tr w:rsidR="00B834A2" w:rsidRPr="001A3F5E" w14:paraId="126DF280" w14:textId="77777777" w:rsidTr="00B834A2">
        <w:tc>
          <w:tcPr>
            <w:tcW w:w="1891" w:type="dxa"/>
            <w:shd w:val="clear" w:color="auto" w:fill="FFFFFF"/>
            <w:vAlign w:val="bottom"/>
          </w:tcPr>
          <w:p w14:paraId="545A2D89" w14:textId="77777777" w:rsidR="00B834A2" w:rsidRPr="001A3F5E" w:rsidRDefault="00B834A2" w:rsidP="001A3F5E">
            <w:pPr>
              <w:pStyle w:val="Bodytext20"/>
              <w:shd w:val="clear" w:color="auto" w:fill="auto"/>
              <w:spacing w:before="0" w:line="240" w:lineRule="auto"/>
              <w:ind w:left="1060"/>
              <w:jc w:val="left"/>
              <w:rPr>
                <w:rFonts w:ascii="Sylfaen" w:hAnsi="Sylfaen" w:cs="Sylfaen"/>
                <w:sz w:val="20"/>
                <w:szCs w:val="24"/>
              </w:rPr>
            </w:pPr>
            <w:r w:rsidRPr="001A3F5E">
              <w:rPr>
                <w:rStyle w:val="Bodytext31Sylfaen9"/>
                <w:sz w:val="20"/>
                <w:szCs w:val="24"/>
              </w:rPr>
              <w:t>3,75</w:t>
            </w:r>
          </w:p>
        </w:tc>
        <w:tc>
          <w:tcPr>
            <w:tcW w:w="1637" w:type="dxa"/>
            <w:shd w:val="clear" w:color="auto" w:fill="FFFFFF"/>
            <w:vAlign w:val="bottom"/>
          </w:tcPr>
          <w:p w14:paraId="2291CA92"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3</w:t>
            </w:r>
          </w:p>
        </w:tc>
        <w:tc>
          <w:tcPr>
            <w:tcW w:w="1474" w:type="dxa"/>
            <w:shd w:val="clear" w:color="auto" w:fill="FFFFFF"/>
            <w:vAlign w:val="bottom"/>
          </w:tcPr>
          <w:p w14:paraId="4E1508CC"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w:t>
            </w:r>
          </w:p>
        </w:tc>
        <w:tc>
          <w:tcPr>
            <w:tcW w:w="2026" w:type="dxa"/>
            <w:shd w:val="clear" w:color="auto" w:fill="FFFFFF"/>
            <w:vAlign w:val="bottom"/>
          </w:tcPr>
          <w:p w14:paraId="17FF5812"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50</w:t>
            </w:r>
          </w:p>
        </w:tc>
        <w:tc>
          <w:tcPr>
            <w:tcW w:w="1142" w:type="dxa"/>
            <w:shd w:val="clear" w:color="auto" w:fill="FFFFFF"/>
            <w:vAlign w:val="bottom"/>
          </w:tcPr>
          <w:p w14:paraId="39E27BD6"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5,00</w:t>
            </w:r>
          </w:p>
        </w:tc>
        <w:tc>
          <w:tcPr>
            <w:tcW w:w="1834" w:type="dxa"/>
            <w:shd w:val="clear" w:color="auto" w:fill="FFFFFF"/>
            <w:vAlign w:val="bottom"/>
          </w:tcPr>
          <w:p w14:paraId="40B59DA7"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5,00</w:t>
            </w:r>
          </w:p>
        </w:tc>
      </w:tr>
      <w:tr w:rsidR="00B834A2" w:rsidRPr="001A3F5E" w14:paraId="0A5C81D9" w14:textId="77777777" w:rsidTr="00B834A2">
        <w:tc>
          <w:tcPr>
            <w:tcW w:w="1891" w:type="dxa"/>
            <w:shd w:val="clear" w:color="auto" w:fill="FFFFFF"/>
            <w:vAlign w:val="bottom"/>
          </w:tcPr>
          <w:p w14:paraId="1EFCE262" w14:textId="77777777" w:rsidR="00B834A2" w:rsidRPr="001A3F5E" w:rsidRDefault="00B834A2" w:rsidP="001A3F5E">
            <w:pPr>
              <w:pStyle w:val="Bodytext20"/>
              <w:shd w:val="clear" w:color="auto" w:fill="auto"/>
              <w:spacing w:before="0" w:line="240" w:lineRule="auto"/>
              <w:ind w:left="1060"/>
              <w:jc w:val="left"/>
              <w:rPr>
                <w:rFonts w:ascii="Sylfaen" w:hAnsi="Sylfaen" w:cs="Sylfaen"/>
                <w:sz w:val="20"/>
                <w:szCs w:val="24"/>
              </w:rPr>
            </w:pPr>
            <w:r w:rsidRPr="001A3F5E">
              <w:rPr>
                <w:rStyle w:val="Bodytext31Sylfaen9"/>
                <w:sz w:val="20"/>
                <w:szCs w:val="24"/>
              </w:rPr>
              <w:t>5,00</w:t>
            </w:r>
          </w:p>
        </w:tc>
        <w:tc>
          <w:tcPr>
            <w:tcW w:w="1637" w:type="dxa"/>
            <w:shd w:val="clear" w:color="auto" w:fill="FFFFFF"/>
            <w:vAlign w:val="bottom"/>
          </w:tcPr>
          <w:p w14:paraId="668580D2"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5</w:t>
            </w:r>
          </w:p>
        </w:tc>
        <w:tc>
          <w:tcPr>
            <w:tcW w:w="1474" w:type="dxa"/>
            <w:shd w:val="clear" w:color="auto" w:fill="FFFFFF"/>
            <w:vAlign w:val="bottom"/>
          </w:tcPr>
          <w:p w14:paraId="2AABF379"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w:t>
            </w:r>
          </w:p>
        </w:tc>
        <w:tc>
          <w:tcPr>
            <w:tcW w:w="2026" w:type="dxa"/>
            <w:shd w:val="clear" w:color="auto" w:fill="FFFFFF"/>
            <w:vAlign w:val="bottom"/>
          </w:tcPr>
          <w:p w14:paraId="21A8341D"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83,3</w:t>
            </w:r>
          </w:p>
        </w:tc>
        <w:tc>
          <w:tcPr>
            <w:tcW w:w="1142" w:type="dxa"/>
            <w:shd w:val="clear" w:color="auto" w:fill="FFFFFF"/>
            <w:vAlign w:val="bottom"/>
          </w:tcPr>
          <w:p w14:paraId="4CE3F721"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5,962</w:t>
            </w:r>
          </w:p>
        </w:tc>
        <w:tc>
          <w:tcPr>
            <w:tcW w:w="1834" w:type="dxa"/>
            <w:shd w:val="clear" w:color="auto" w:fill="FFFFFF"/>
            <w:vAlign w:val="bottom"/>
          </w:tcPr>
          <w:p w14:paraId="608C8879"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3,576</w:t>
            </w:r>
          </w:p>
        </w:tc>
      </w:tr>
      <w:tr w:rsidR="00B834A2" w:rsidRPr="001A3F5E" w14:paraId="528E59CB" w14:textId="77777777" w:rsidTr="00B834A2">
        <w:tc>
          <w:tcPr>
            <w:tcW w:w="1891" w:type="dxa"/>
            <w:tcBorders>
              <w:bottom w:val="single" w:sz="4" w:space="0" w:color="auto"/>
            </w:tcBorders>
            <w:shd w:val="clear" w:color="auto" w:fill="FFFFFF"/>
          </w:tcPr>
          <w:p w14:paraId="19EE06ED" w14:textId="77777777" w:rsidR="00B834A2" w:rsidRPr="001A3F5E" w:rsidRDefault="00B834A2" w:rsidP="001A3F5E">
            <w:pPr>
              <w:pStyle w:val="Bodytext20"/>
              <w:shd w:val="clear" w:color="auto" w:fill="auto"/>
              <w:spacing w:before="0" w:line="240" w:lineRule="auto"/>
              <w:ind w:left="1060"/>
              <w:jc w:val="left"/>
              <w:rPr>
                <w:rFonts w:ascii="Sylfaen" w:hAnsi="Sylfaen" w:cs="Sylfaen"/>
                <w:sz w:val="20"/>
                <w:szCs w:val="24"/>
              </w:rPr>
            </w:pPr>
            <w:r w:rsidRPr="001A3F5E">
              <w:rPr>
                <w:rStyle w:val="Bodytext31Sylfaen9"/>
                <w:sz w:val="20"/>
                <w:szCs w:val="24"/>
              </w:rPr>
              <w:t>6,25</w:t>
            </w:r>
          </w:p>
        </w:tc>
        <w:tc>
          <w:tcPr>
            <w:tcW w:w="1637" w:type="dxa"/>
            <w:tcBorders>
              <w:bottom w:val="single" w:sz="4" w:space="0" w:color="auto"/>
            </w:tcBorders>
            <w:shd w:val="clear" w:color="auto" w:fill="FFFFFF"/>
            <w:vAlign w:val="center"/>
          </w:tcPr>
          <w:p w14:paraId="5B8C6233"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w:t>
            </w:r>
          </w:p>
        </w:tc>
        <w:tc>
          <w:tcPr>
            <w:tcW w:w="1474" w:type="dxa"/>
            <w:tcBorders>
              <w:bottom w:val="single" w:sz="4" w:space="0" w:color="auto"/>
            </w:tcBorders>
            <w:shd w:val="clear" w:color="auto" w:fill="FFFFFF"/>
            <w:vAlign w:val="center"/>
          </w:tcPr>
          <w:p w14:paraId="33A02FE5"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w:t>
            </w:r>
          </w:p>
        </w:tc>
        <w:tc>
          <w:tcPr>
            <w:tcW w:w="2026" w:type="dxa"/>
            <w:tcBorders>
              <w:bottom w:val="single" w:sz="4" w:space="0" w:color="auto"/>
            </w:tcBorders>
            <w:shd w:val="clear" w:color="auto" w:fill="FFFFFF"/>
            <w:vAlign w:val="center"/>
          </w:tcPr>
          <w:p w14:paraId="235A3737"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100</w:t>
            </w:r>
          </w:p>
        </w:tc>
        <w:tc>
          <w:tcPr>
            <w:tcW w:w="1142" w:type="dxa"/>
            <w:tcBorders>
              <w:bottom w:val="single" w:sz="4" w:space="0" w:color="auto"/>
            </w:tcBorders>
            <w:shd w:val="clear" w:color="auto" w:fill="FFFFFF"/>
            <w:vAlign w:val="bottom"/>
          </w:tcPr>
          <w:p w14:paraId="5704F658"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6,73</w:t>
            </w:r>
          </w:p>
          <w:p w14:paraId="746B851A" w14:textId="77777777" w:rsidR="00B834A2" w:rsidRPr="001A3F5E" w:rsidRDefault="00B834A2" w:rsidP="001A3F5E">
            <w:pPr>
              <w:pStyle w:val="Bodytext20"/>
              <w:shd w:val="clear" w:color="auto" w:fill="auto"/>
              <w:spacing w:before="0" w:line="240" w:lineRule="auto"/>
              <w:ind w:left="380"/>
              <w:jc w:val="left"/>
              <w:rPr>
                <w:rFonts w:ascii="Sylfaen" w:hAnsi="Sylfaen" w:cs="Sylfaen"/>
                <w:sz w:val="20"/>
                <w:szCs w:val="24"/>
              </w:rPr>
            </w:pPr>
            <w:r w:rsidRPr="001A3F5E">
              <w:rPr>
                <w:rStyle w:val="Bodytext29pt"/>
                <w:sz w:val="20"/>
                <w:szCs w:val="24"/>
              </w:rPr>
              <w:t>∑</w:t>
            </w:r>
          </w:p>
        </w:tc>
        <w:tc>
          <w:tcPr>
            <w:tcW w:w="1834" w:type="dxa"/>
            <w:tcBorders>
              <w:bottom w:val="single" w:sz="4" w:space="0" w:color="auto"/>
            </w:tcBorders>
            <w:shd w:val="clear" w:color="auto" w:fill="FFFFFF"/>
            <w:vAlign w:val="bottom"/>
          </w:tcPr>
          <w:p w14:paraId="5BDE2F4E"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1,54</w:t>
            </w:r>
          </w:p>
          <w:p w14:paraId="75C99CB9"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31Sylfaen9"/>
                <w:sz w:val="20"/>
                <w:szCs w:val="24"/>
              </w:rPr>
              <w:t>11,656</w:t>
            </w:r>
          </w:p>
        </w:tc>
      </w:tr>
    </w:tbl>
    <w:p w14:paraId="3A17B2DD"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u w:val="single"/>
        </w:rPr>
      </w:pPr>
    </w:p>
    <w:p w14:paraId="3A359443" w14:textId="77777777" w:rsidR="00B834A2" w:rsidRPr="00B834A2" w:rsidRDefault="00B834A2" w:rsidP="00B834A2">
      <w:pPr>
        <w:pStyle w:val="Tablecaption110"/>
        <w:shd w:val="clear" w:color="auto" w:fill="auto"/>
        <w:spacing w:after="160" w:line="360" w:lineRule="auto"/>
        <w:ind w:firstLine="567"/>
        <w:rPr>
          <w:rFonts w:ascii="Sylfaen" w:hAnsi="Sylfaen" w:cs="Sylfaen"/>
          <w:sz w:val="24"/>
          <w:szCs w:val="24"/>
        </w:rPr>
      </w:pPr>
      <w:r w:rsidRPr="00B834A2">
        <w:rPr>
          <w:rFonts w:ascii="Sylfaen" w:hAnsi="Sylfaen"/>
          <w:sz w:val="24"/>
          <w:szCs w:val="24"/>
        </w:rPr>
        <w:t>Աղյուսակ</w:t>
      </w:r>
      <w:r>
        <w:rPr>
          <w:rFonts w:ascii="Sylfaen" w:hAnsi="Sylfaen"/>
          <w:sz w:val="24"/>
          <w:szCs w:val="24"/>
        </w:rPr>
        <w:t xml:space="preserve"> </w:t>
      </w:r>
      <w:r w:rsidRPr="00B834A2">
        <w:rPr>
          <w:rFonts w:ascii="Sylfaen" w:hAnsi="Sylfaen"/>
          <w:sz w:val="24"/>
          <w:szCs w:val="24"/>
        </w:rPr>
        <w:t>4.2.1-30.՝Փորձի արդյունքների փոխակերպումը (պրոբիտ մեթոդ)</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1156"/>
        <w:gridCol w:w="922"/>
        <w:gridCol w:w="1324"/>
      </w:tblGrid>
      <w:tr w:rsidR="00B834A2" w:rsidRPr="001A3F5E" w14:paraId="23EC32F1" w14:textId="77777777" w:rsidTr="00B834A2">
        <w:trPr>
          <w:jc w:val="center"/>
        </w:trPr>
        <w:tc>
          <w:tcPr>
            <w:tcW w:w="1570" w:type="dxa"/>
            <w:tcBorders>
              <w:top w:val="single" w:sz="4" w:space="0" w:color="auto"/>
            </w:tcBorders>
            <w:shd w:val="clear" w:color="auto" w:fill="FFFFFF"/>
          </w:tcPr>
          <w:p w14:paraId="3485AF39" w14:textId="77777777" w:rsidR="00B834A2" w:rsidRPr="001A3F5E" w:rsidRDefault="00B834A2" w:rsidP="001A3F5E">
            <w:pPr>
              <w:pStyle w:val="Bodytext20"/>
              <w:shd w:val="clear" w:color="auto" w:fill="auto"/>
              <w:spacing w:before="0" w:line="240" w:lineRule="auto"/>
              <w:ind w:right="240"/>
              <w:rPr>
                <w:rFonts w:ascii="Sylfaen" w:hAnsi="Sylfaen" w:cs="Sylfaen"/>
                <w:sz w:val="20"/>
                <w:szCs w:val="24"/>
              </w:rPr>
            </w:pPr>
            <w:r w:rsidRPr="001A3F5E">
              <w:rPr>
                <w:rStyle w:val="Bodytext2Italic"/>
                <w:sz w:val="20"/>
                <w:szCs w:val="24"/>
              </w:rPr>
              <w:t>DW</w:t>
            </w:r>
          </w:p>
        </w:tc>
        <w:tc>
          <w:tcPr>
            <w:tcW w:w="1156" w:type="dxa"/>
            <w:tcBorders>
              <w:top w:val="single" w:sz="4" w:space="0" w:color="auto"/>
            </w:tcBorders>
            <w:shd w:val="clear" w:color="auto" w:fill="FFFFFF"/>
          </w:tcPr>
          <w:p w14:paraId="079FF23B"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2Italic"/>
                <w:sz w:val="20"/>
                <w:szCs w:val="24"/>
              </w:rPr>
              <w:t>PW</w:t>
            </w:r>
          </w:p>
        </w:tc>
        <w:tc>
          <w:tcPr>
            <w:tcW w:w="922" w:type="dxa"/>
            <w:tcBorders>
              <w:top w:val="single" w:sz="4" w:space="0" w:color="auto"/>
            </w:tcBorders>
            <w:shd w:val="clear" w:color="auto" w:fill="FFFFFF"/>
          </w:tcPr>
          <w:p w14:paraId="1E1C70B7"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2Italic"/>
                <w:sz w:val="20"/>
                <w:szCs w:val="24"/>
              </w:rPr>
              <w:t>D</w:t>
            </w:r>
            <w:r w:rsidRPr="001A3F5E">
              <w:rPr>
                <w:rStyle w:val="Bodytext2Italic"/>
                <w:sz w:val="20"/>
                <w:szCs w:val="24"/>
                <w:vertAlign w:val="superscript"/>
              </w:rPr>
              <w:t>2</w:t>
            </w:r>
            <w:r w:rsidRPr="001A3F5E">
              <w:rPr>
                <w:rStyle w:val="Bodytext2Italic"/>
                <w:sz w:val="20"/>
                <w:szCs w:val="24"/>
              </w:rPr>
              <w:t xml:space="preserve"> W</w:t>
            </w:r>
          </w:p>
        </w:tc>
        <w:tc>
          <w:tcPr>
            <w:tcW w:w="1324" w:type="dxa"/>
            <w:tcBorders>
              <w:top w:val="single" w:sz="4" w:space="0" w:color="auto"/>
            </w:tcBorders>
            <w:shd w:val="clear" w:color="auto" w:fill="FFFFFF"/>
          </w:tcPr>
          <w:p w14:paraId="441CE78F" w14:textId="77777777" w:rsidR="00B834A2" w:rsidRPr="001A3F5E" w:rsidRDefault="00B834A2" w:rsidP="001A3F5E">
            <w:pPr>
              <w:pStyle w:val="Bodytext20"/>
              <w:shd w:val="clear" w:color="auto" w:fill="auto"/>
              <w:spacing w:before="0" w:line="240" w:lineRule="auto"/>
              <w:rPr>
                <w:rFonts w:ascii="Sylfaen" w:hAnsi="Sylfaen" w:cs="Sylfaen"/>
                <w:sz w:val="20"/>
                <w:szCs w:val="24"/>
              </w:rPr>
            </w:pPr>
            <w:r w:rsidRPr="001A3F5E">
              <w:rPr>
                <w:rStyle w:val="Bodytext2Italic"/>
                <w:sz w:val="20"/>
                <w:szCs w:val="24"/>
              </w:rPr>
              <w:t>PWD</w:t>
            </w:r>
          </w:p>
        </w:tc>
      </w:tr>
      <w:tr w:rsidR="00B834A2" w:rsidRPr="001A3F5E" w14:paraId="746BD7E6" w14:textId="77777777" w:rsidTr="00B834A2">
        <w:trPr>
          <w:jc w:val="center"/>
        </w:trPr>
        <w:tc>
          <w:tcPr>
            <w:tcW w:w="1570" w:type="dxa"/>
            <w:tcBorders>
              <w:top w:val="single" w:sz="4" w:space="0" w:color="auto"/>
            </w:tcBorders>
            <w:shd w:val="clear" w:color="auto" w:fill="FFFFFF"/>
          </w:tcPr>
          <w:p w14:paraId="376B00CC" w14:textId="77777777" w:rsidR="00B834A2" w:rsidRPr="001A3F5E" w:rsidRDefault="00B834A2" w:rsidP="001A3F5E">
            <w:pPr>
              <w:pStyle w:val="Bodytext20"/>
              <w:shd w:val="clear" w:color="auto" w:fill="auto"/>
              <w:spacing w:before="0" w:line="240" w:lineRule="auto"/>
              <w:ind w:right="240"/>
              <w:rPr>
                <w:rFonts w:ascii="Sylfaen" w:hAnsi="Sylfaen" w:cs="Sylfaen"/>
                <w:sz w:val="20"/>
                <w:szCs w:val="24"/>
              </w:rPr>
            </w:pPr>
            <w:r w:rsidRPr="001A3F5E">
              <w:rPr>
                <w:rStyle w:val="Bodytext31Sylfaen9"/>
                <w:sz w:val="20"/>
                <w:szCs w:val="24"/>
              </w:rPr>
              <w:t>3,850</w:t>
            </w:r>
          </w:p>
        </w:tc>
        <w:tc>
          <w:tcPr>
            <w:tcW w:w="1156" w:type="dxa"/>
            <w:tcBorders>
              <w:top w:val="single" w:sz="4" w:space="0" w:color="auto"/>
            </w:tcBorders>
            <w:shd w:val="clear" w:color="auto" w:fill="FFFFFF"/>
          </w:tcPr>
          <w:p w14:paraId="1F0A6342" w14:textId="77777777" w:rsidR="00B834A2" w:rsidRPr="001A3F5E" w:rsidRDefault="00B834A2" w:rsidP="001A3F5E">
            <w:pPr>
              <w:pStyle w:val="Bodytext20"/>
              <w:shd w:val="clear" w:color="auto" w:fill="auto"/>
              <w:spacing w:before="0" w:line="240" w:lineRule="auto"/>
              <w:ind w:left="200"/>
              <w:rPr>
                <w:rFonts w:ascii="Sylfaen" w:hAnsi="Sylfaen" w:cs="Sylfaen"/>
                <w:sz w:val="20"/>
                <w:szCs w:val="24"/>
              </w:rPr>
            </w:pPr>
            <w:r w:rsidRPr="001A3F5E">
              <w:rPr>
                <w:rStyle w:val="Bodytext31Sylfaen9"/>
                <w:sz w:val="20"/>
                <w:szCs w:val="24"/>
              </w:rPr>
              <w:t>5,036</w:t>
            </w:r>
          </w:p>
        </w:tc>
        <w:tc>
          <w:tcPr>
            <w:tcW w:w="922" w:type="dxa"/>
            <w:tcBorders>
              <w:top w:val="single" w:sz="4" w:space="0" w:color="auto"/>
            </w:tcBorders>
            <w:shd w:val="clear" w:color="auto" w:fill="FFFFFF"/>
          </w:tcPr>
          <w:p w14:paraId="6C8EA9F3" w14:textId="77777777" w:rsidR="00B834A2" w:rsidRPr="001A3F5E" w:rsidRDefault="00B834A2" w:rsidP="001A3F5E">
            <w:pPr>
              <w:pStyle w:val="Bodytext20"/>
              <w:shd w:val="clear" w:color="auto" w:fill="auto"/>
              <w:spacing w:before="0" w:line="240" w:lineRule="auto"/>
              <w:ind w:left="240"/>
              <w:rPr>
                <w:rFonts w:ascii="Sylfaen" w:hAnsi="Sylfaen" w:cs="Sylfaen"/>
                <w:sz w:val="20"/>
                <w:szCs w:val="24"/>
              </w:rPr>
            </w:pPr>
            <w:r w:rsidRPr="001A3F5E">
              <w:rPr>
                <w:rStyle w:val="Bodytext31Sylfaen9"/>
                <w:sz w:val="20"/>
                <w:szCs w:val="24"/>
              </w:rPr>
              <w:t>9,625</w:t>
            </w:r>
          </w:p>
        </w:tc>
        <w:tc>
          <w:tcPr>
            <w:tcW w:w="1324" w:type="dxa"/>
            <w:tcBorders>
              <w:top w:val="single" w:sz="4" w:space="0" w:color="auto"/>
            </w:tcBorders>
            <w:shd w:val="clear" w:color="auto" w:fill="FFFFFF"/>
          </w:tcPr>
          <w:p w14:paraId="381ABA5A" w14:textId="77777777" w:rsidR="00B834A2" w:rsidRPr="001A3F5E" w:rsidRDefault="00B834A2" w:rsidP="001A3F5E">
            <w:pPr>
              <w:pStyle w:val="Bodytext20"/>
              <w:shd w:val="clear" w:color="auto" w:fill="auto"/>
              <w:spacing w:before="0" w:line="240" w:lineRule="auto"/>
              <w:ind w:left="180"/>
              <w:rPr>
                <w:rFonts w:ascii="Sylfaen" w:hAnsi="Sylfaen" w:cs="Sylfaen"/>
                <w:sz w:val="20"/>
                <w:szCs w:val="24"/>
              </w:rPr>
            </w:pPr>
            <w:r w:rsidRPr="001A3F5E">
              <w:rPr>
                <w:rStyle w:val="Bodytext31Sylfaen9"/>
                <w:sz w:val="20"/>
                <w:szCs w:val="24"/>
              </w:rPr>
              <w:t>12,590</w:t>
            </w:r>
          </w:p>
        </w:tc>
      </w:tr>
      <w:tr w:rsidR="00B834A2" w:rsidRPr="001A3F5E" w14:paraId="717C9258" w14:textId="77777777" w:rsidTr="00B834A2">
        <w:trPr>
          <w:jc w:val="center"/>
        </w:trPr>
        <w:tc>
          <w:tcPr>
            <w:tcW w:w="1570" w:type="dxa"/>
            <w:shd w:val="clear" w:color="auto" w:fill="FFFFFF"/>
          </w:tcPr>
          <w:p w14:paraId="68467E26" w14:textId="77777777" w:rsidR="00B834A2" w:rsidRPr="001A3F5E" w:rsidRDefault="00B834A2" w:rsidP="001A3F5E">
            <w:pPr>
              <w:pStyle w:val="Bodytext20"/>
              <w:shd w:val="clear" w:color="auto" w:fill="auto"/>
              <w:spacing w:before="0" w:line="240" w:lineRule="auto"/>
              <w:ind w:right="180"/>
              <w:rPr>
                <w:rFonts w:ascii="Sylfaen" w:hAnsi="Sylfaen" w:cs="Sylfaen"/>
                <w:sz w:val="20"/>
                <w:szCs w:val="24"/>
              </w:rPr>
            </w:pPr>
            <w:r w:rsidRPr="001A3F5E">
              <w:rPr>
                <w:rStyle w:val="Bodytext31Sylfaen9"/>
                <w:sz w:val="20"/>
                <w:szCs w:val="24"/>
              </w:rPr>
              <w:t>18,750</w:t>
            </w:r>
          </w:p>
        </w:tc>
        <w:tc>
          <w:tcPr>
            <w:tcW w:w="1156" w:type="dxa"/>
            <w:shd w:val="clear" w:color="auto" w:fill="FFFFFF"/>
          </w:tcPr>
          <w:p w14:paraId="736271B6" w14:textId="77777777" w:rsidR="00B834A2" w:rsidRPr="001A3F5E" w:rsidRDefault="00B834A2" w:rsidP="001A3F5E">
            <w:pPr>
              <w:pStyle w:val="Bodytext20"/>
              <w:shd w:val="clear" w:color="auto" w:fill="auto"/>
              <w:spacing w:before="0" w:line="240" w:lineRule="auto"/>
              <w:ind w:left="200"/>
              <w:rPr>
                <w:rFonts w:ascii="Sylfaen" w:hAnsi="Sylfaen" w:cs="Sylfaen"/>
                <w:sz w:val="20"/>
                <w:szCs w:val="24"/>
              </w:rPr>
            </w:pPr>
            <w:r w:rsidRPr="001A3F5E">
              <w:rPr>
                <w:rStyle w:val="Bodytext31Sylfaen9"/>
                <w:sz w:val="20"/>
                <w:szCs w:val="24"/>
              </w:rPr>
              <w:t>25,000</w:t>
            </w:r>
          </w:p>
        </w:tc>
        <w:tc>
          <w:tcPr>
            <w:tcW w:w="922" w:type="dxa"/>
            <w:shd w:val="clear" w:color="auto" w:fill="FFFFFF"/>
          </w:tcPr>
          <w:p w14:paraId="22B14144" w14:textId="77777777" w:rsidR="00B834A2" w:rsidRPr="001A3F5E" w:rsidRDefault="00B834A2" w:rsidP="001A3F5E">
            <w:pPr>
              <w:pStyle w:val="Bodytext20"/>
              <w:shd w:val="clear" w:color="auto" w:fill="auto"/>
              <w:spacing w:before="0" w:line="240" w:lineRule="auto"/>
              <w:ind w:left="240"/>
              <w:rPr>
                <w:rFonts w:ascii="Sylfaen" w:hAnsi="Sylfaen" w:cs="Sylfaen"/>
                <w:sz w:val="20"/>
                <w:szCs w:val="24"/>
              </w:rPr>
            </w:pPr>
            <w:r w:rsidRPr="001A3F5E">
              <w:rPr>
                <w:rStyle w:val="Bodytext31Sylfaen9"/>
                <w:sz w:val="20"/>
                <w:szCs w:val="24"/>
              </w:rPr>
              <w:t>70,313</w:t>
            </w:r>
          </w:p>
        </w:tc>
        <w:tc>
          <w:tcPr>
            <w:tcW w:w="1324" w:type="dxa"/>
            <w:shd w:val="clear" w:color="auto" w:fill="FFFFFF"/>
          </w:tcPr>
          <w:p w14:paraId="052181C8" w14:textId="77777777" w:rsidR="00B834A2" w:rsidRPr="001A3F5E" w:rsidRDefault="00B834A2" w:rsidP="001A3F5E">
            <w:pPr>
              <w:pStyle w:val="Bodytext20"/>
              <w:shd w:val="clear" w:color="auto" w:fill="auto"/>
              <w:spacing w:before="0" w:line="240" w:lineRule="auto"/>
              <w:ind w:left="180"/>
              <w:rPr>
                <w:rFonts w:ascii="Sylfaen" w:hAnsi="Sylfaen" w:cs="Sylfaen"/>
                <w:sz w:val="20"/>
                <w:szCs w:val="24"/>
              </w:rPr>
            </w:pPr>
            <w:r w:rsidRPr="001A3F5E">
              <w:rPr>
                <w:rStyle w:val="Bodytext31Sylfaen9"/>
                <w:sz w:val="20"/>
                <w:szCs w:val="24"/>
              </w:rPr>
              <w:t>93,750</w:t>
            </w:r>
          </w:p>
        </w:tc>
      </w:tr>
      <w:tr w:rsidR="00B834A2" w:rsidRPr="001A3F5E" w14:paraId="05E6572E" w14:textId="77777777" w:rsidTr="00B834A2">
        <w:trPr>
          <w:jc w:val="center"/>
        </w:trPr>
        <w:tc>
          <w:tcPr>
            <w:tcW w:w="1570" w:type="dxa"/>
            <w:shd w:val="clear" w:color="auto" w:fill="FFFFFF"/>
          </w:tcPr>
          <w:p w14:paraId="53073F1E" w14:textId="77777777" w:rsidR="00B834A2" w:rsidRPr="001A3F5E" w:rsidRDefault="00B834A2" w:rsidP="001A3F5E">
            <w:pPr>
              <w:pStyle w:val="Bodytext20"/>
              <w:shd w:val="clear" w:color="auto" w:fill="auto"/>
              <w:spacing w:before="0" w:line="240" w:lineRule="auto"/>
              <w:ind w:right="180"/>
              <w:rPr>
                <w:rFonts w:ascii="Sylfaen" w:hAnsi="Sylfaen" w:cs="Sylfaen"/>
                <w:sz w:val="20"/>
                <w:szCs w:val="24"/>
              </w:rPr>
            </w:pPr>
            <w:r w:rsidRPr="001A3F5E">
              <w:rPr>
                <w:rStyle w:val="Bodytext31Sylfaen9"/>
                <w:sz w:val="20"/>
                <w:szCs w:val="24"/>
              </w:rPr>
              <w:t>17,880</w:t>
            </w:r>
          </w:p>
        </w:tc>
        <w:tc>
          <w:tcPr>
            <w:tcW w:w="1156" w:type="dxa"/>
            <w:shd w:val="clear" w:color="auto" w:fill="FFFFFF"/>
          </w:tcPr>
          <w:p w14:paraId="580D3332" w14:textId="77777777" w:rsidR="00B834A2" w:rsidRPr="001A3F5E" w:rsidRDefault="00B834A2" w:rsidP="001A3F5E">
            <w:pPr>
              <w:pStyle w:val="Bodytext20"/>
              <w:shd w:val="clear" w:color="auto" w:fill="auto"/>
              <w:spacing w:before="0" w:line="240" w:lineRule="auto"/>
              <w:ind w:left="200"/>
              <w:rPr>
                <w:rFonts w:ascii="Sylfaen" w:hAnsi="Sylfaen" w:cs="Sylfaen"/>
                <w:sz w:val="20"/>
                <w:szCs w:val="24"/>
              </w:rPr>
            </w:pPr>
            <w:r w:rsidRPr="001A3F5E">
              <w:rPr>
                <w:rStyle w:val="Bodytext31Sylfaen9"/>
                <w:sz w:val="20"/>
                <w:szCs w:val="24"/>
              </w:rPr>
              <w:t>21,320</w:t>
            </w:r>
          </w:p>
        </w:tc>
        <w:tc>
          <w:tcPr>
            <w:tcW w:w="922" w:type="dxa"/>
            <w:shd w:val="clear" w:color="auto" w:fill="FFFFFF"/>
          </w:tcPr>
          <w:p w14:paraId="0D71E214" w14:textId="77777777" w:rsidR="00B834A2" w:rsidRPr="001A3F5E" w:rsidRDefault="00B834A2" w:rsidP="001A3F5E">
            <w:pPr>
              <w:pStyle w:val="Bodytext20"/>
              <w:shd w:val="clear" w:color="auto" w:fill="auto"/>
              <w:spacing w:before="0" w:line="240" w:lineRule="auto"/>
              <w:ind w:left="240"/>
              <w:rPr>
                <w:rFonts w:ascii="Sylfaen" w:hAnsi="Sylfaen" w:cs="Sylfaen"/>
                <w:sz w:val="20"/>
                <w:szCs w:val="24"/>
              </w:rPr>
            </w:pPr>
            <w:r w:rsidRPr="001A3F5E">
              <w:rPr>
                <w:rStyle w:val="Bodytext31Sylfaen9"/>
                <w:sz w:val="20"/>
                <w:szCs w:val="24"/>
              </w:rPr>
              <w:t>89,400</w:t>
            </w:r>
          </w:p>
        </w:tc>
        <w:tc>
          <w:tcPr>
            <w:tcW w:w="1324" w:type="dxa"/>
            <w:shd w:val="clear" w:color="auto" w:fill="FFFFFF"/>
          </w:tcPr>
          <w:p w14:paraId="64FAD5BB" w14:textId="77777777" w:rsidR="00B834A2" w:rsidRPr="001A3F5E" w:rsidRDefault="00B834A2" w:rsidP="001A3F5E">
            <w:pPr>
              <w:pStyle w:val="Bodytext20"/>
              <w:shd w:val="clear" w:color="auto" w:fill="auto"/>
              <w:spacing w:before="0" w:line="240" w:lineRule="auto"/>
              <w:ind w:left="180"/>
              <w:rPr>
                <w:rFonts w:ascii="Sylfaen" w:hAnsi="Sylfaen" w:cs="Sylfaen"/>
                <w:sz w:val="20"/>
                <w:szCs w:val="24"/>
              </w:rPr>
            </w:pPr>
            <w:r w:rsidRPr="001A3F5E">
              <w:rPr>
                <w:rStyle w:val="Bodytext31Sylfaen9"/>
                <w:sz w:val="20"/>
                <w:szCs w:val="24"/>
              </w:rPr>
              <w:t>106,601</w:t>
            </w:r>
          </w:p>
        </w:tc>
      </w:tr>
      <w:tr w:rsidR="00B834A2" w:rsidRPr="001A3F5E" w14:paraId="471E5935" w14:textId="77777777" w:rsidTr="00B834A2">
        <w:trPr>
          <w:jc w:val="center"/>
        </w:trPr>
        <w:tc>
          <w:tcPr>
            <w:tcW w:w="1570" w:type="dxa"/>
            <w:shd w:val="clear" w:color="auto" w:fill="FFFFFF"/>
          </w:tcPr>
          <w:p w14:paraId="70AB36EE" w14:textId="77777777" w:rsidR="00B834A2" w:rsidRPr="001A3F5E" w:rsidRDefault="00B834A2" w:rsidP="001A3F5E">
            <w:pPr>
              <w:pStyle w:val="Bodytext20"/>
              <w:shd w:val="clear" w:color="auto" w:fill="auto"/>
              <w:spacing w:before="0" w:line="240" w:lineRule="auto"/>
              <w:ind w:right="240"/>
              <w:rPr>
                <w:rFonts w:ascii="Sylfaen" w:hAnsi="Sylfaen" w:cs="Sylfaen"/>
                <w:sz w:val="20"/>
                <w:szCs w:val="24"/>
              </w:rPr>
            </w:pPr>
            <w:r w:rsidRPr="001A3F5E">
              <w:rPr>
                <w:rStyle w:val="Bodytext31Sylfaen9"/>
                <w:sz w:val="20"/>
                <w:szCs w:val="24"/>
              </w:rPr>
              <w:t>9,625</w:t>
            </w:r>
          </w:p>
        </w:tc>
        <w:tc>
          <w:tcPr>
            <w:tcW w:w="1156" w:type="dxa"/>
            <w:shd w:val="clear" w:color="auto" w:fill="FFFFFF"/>
          </w:tcPr>
          <w:p w14:paraId="736743A4" w14:textId="77777777" w:rsidR="00B834A2" w:rsidRPr="001A3F5E" w:rsidRDefault="00B834A2" w:rsidP="001A3F5E">
            <w:pPr>
              <w:pStyle w:val="Bodytext20"/>
              <w:shd w:val="clear" w:color="auto" w:fill="auto"/>
              <w:spacing w:before="0" w:line="240" w:lineRule="auto"/>
              <w:ind w:left="200"/>
              <w:rPr>
                <w:rFonts w:ascii="Sylfaen" w:hAnsi="Sylfaen" w:cs="Sylfaen"/>
                <w:sz w:val="20"/>
                <w:szCs w:val="24"/>
              </w:rPr>
            </w:pPr>
            <w:r w:rsidRPr="001A3F5E">
              <w:rPr>
                <w:rStyle w:val="Bodytext31Sylfaen9"/>
                <w:sz w:val="20"/>
                <w:szCs w:val="24"/>
              </w:rPr>
              <w:t>10,364</w:t>
            </w:r>
          </w:p>
        </w:tc>
        <w:tc>
          <w:tcPr>
            <w:tcW w:w="922" w:type="dxa"/>
            <w:shd w:val="clear" w:color="auto" w:fill="FFFFFF"/>
          </w:tcPr>
          <w:p w14:paraId="5B9ADC18" w14:textId="77777777" w:rsidR="00B834A2" w:rsidRPr="001A3F5E" w:rsidRDefault="00B834A2" w:rsidP="001A3F5E">
            <w:pPr>
              <w:pStyle w:val="Bodytext20"/>
              <w:shd w:val="clear" w:color="auto" w:fill="auto"/>
              <w:spacing w:before="0" w:line="240" w:lineRule="auto"/>
              <w:ind w:left="240"/>
              <w:rPr>
                <w:rFonts w:ascii="Sylfaen" w:hAnsi="Sylfaen" w:cs="Sylfaen"/>
                <w:sz w:val="20"/>
                <w:szCs w:val="24"/>
              </w:rPr>
            </w:pPr>
            <w:r w:rsidRPr="001A3F5E">
              <w:rPr>
                <w:rStyle w:val="Bodytext31Sylfaen9"/>
                <w:sz w:val="20"/>
                <w:szCs w:val="24"/>
              </w:rPr>
              <w:t>60,156</w:t>
            </w:r>
          </w:p>
        </w:tc>
        <w:tc>
          <w:tcPr>
            <w:tcW w:w="1324" w:type="dxa"/>
            <w:shd w:val="clear" w:color="auto" w:fill="FFFFFF"/>
          </w:tcPr>
          <w:p w14:paraId="5EFA65C0" w14:textId="77777777" w:rsidR="00B834A2" w:rsidRPr="001A3F5E" w:rsidRDefault="00B834A2" w:rsidP="001A3F5E">
            <w:pPr>
              <w:pStyle w:val="Bodytext20"/>
              <w:shd w:val="clear" w:color="auto" w:fill="auto"/>
              <w:spacing w:before="0" w:line="240" w:lineRule="auto"/>
              <w:ind w:left="180"/>
              <w:rPr>
                <w:rFonts w:ascii="Sylfaen" w:hAnsi="Sylfaen" w:cs="Sylfaen"/>
                <w:sz w:val="20"/>
                <w:szCs w:val="24"/>
              </w:rPr>
            </w:pPr>
            <w:r w:rsidRPr="001A3F5E">
              <w:rPr>
                <w:rStyle w:val="Bodytext31Sylfaen9"/>
                <w:sz w:val="20"/>
                <w:szCs w:val="24"/>
              </w:rPr>
              <w:t>64,776</w:t>
            </w:r>
          </w:p>
        </w:tc>
      </w:tr>
      <w:tr w:rsidR="00B834A2" w:rsidRPr="001A3F5E" w14:paraId="1B2D830A" w14:textId="77777777" w:rsidTr="00B834A2">
        <w:trPr>
          <w:jc w:val="center"/>
        </w:trPr>
        <w:tc>
          <w:tcPr>
            <w:tcW w:w="1570" w:type="dxa"/>
            <w:tcBorders>
              <w:bottom w:val="single" w:sz="4" w:space="0" w:color="auto"/>
            </w:tcBorders>
            <w:shd w:val="clear" w:color="auto" w:fill="FFFFFF"/>
          </w:tcPr>
          <w:p w14:paraId="725113A7" w14:textId="77777777" w:rsidR="00B834A2" w:rsidRPr="001A3F5E" w:rsidRDefault="00B834A2" w:rsidP="001A3F5E">
            <w:pPr>
              <w:pStyle w:val="Bodytext20"/>
              <w:shd w:val="clear" w:color="auto" w:fill="auto"/>
              <w:spacing w:before="0" w:line="240" w:lineRule="auto"/>
              <w:ind w:right="180"/>
              <w:rPr>
                <w:rFonts w:ascii="Sylfaen" w:hAnsi="Sylfaen" w:cs="Sylfaen"/>
                <w:sz w:val="20"/>
                <w:szCs w:val="24"/>
              </w:rPr>
            </w:pPr>
            <w:r w:rsidRPr="001A3F5E">
              <w:rPr>
                <w:rStyle w:val="Bodytext31Sylfaen9"/>
                <w:sz w:val="20"/>
                <w:szCs w:val="24"/>
              </w:rPr>
              <w:t>∑ 50,105</w:t>
            </w:r>
          </w:p>
        </w:tc>
        <w:tc>
          <w:tcPr>
            <w:tcW w:w="1156" w:type="dxa"/>
            <w:tcBorders>
              <w:bottom w:val="single" w:sz="4" w:space="0" w:color="auto"/>
            </w:tcBorders>
            <w:shd w:val="clear" w:color="auto" w:fill="FFFFFF"/>
          </w:tcPr>
          <w:p w14:paraId="2B6BDFDC" w14:textId="77777777" w:rsidR="00B834A2" w:rsidRPr="001A3F5E" w:rsidRDefault="00B834A2" w:rsidP="001A3F5E">
            <w:pPr>
              <w:pStyle w:val="Bodytext20"/>
              <w:shd w:val="clear" w:color="auto" w:fill="auto"/>
              <w:spacing w:before="0" w:line="240" w:lineRule="auto"/>
              <w:ind w:left="200"/>
              <w:rPr>
                <w:rFonts w:ascii="Sylfaen" w:hAnsi="Sylfaen" w:cs="Sylfaen"/>
                <w:sz w:val="20"/>
                <w:szCs w:val="24"/>
              </w:rPr>
            </w:pPr>
            <w:r w:rsidRPr="001A3F5E">
              <w:rPr>
                <w:rStyle w:val="Bodytext31Sylfaen9"/>
                <w:sz w:val="20"/>
                <w:szCs w:val="24"/>
              </w:rPr>
              <w:t>61,720</w:t>
            </w:r>
          </w:p>
        </w:tc>
        <w:tc>
          <w:tcPr>
            <w:tcW w:w="922" w:type="dxa"/>
            <w:tcBorders>
              <w:bottom w:val="single" w:sz="4" w:space="0" w:color="auto"/>
            </w:tcBorders>
            <w:shd w:val="clear" w:color="auto" w:fill="FFFFFF"/>
          </w:tcPr>
          <w:p w14:paraId="6477CDDE" w14:textId="77777777" w:rsidR="00B834A2" w:rsidRPr="001A3F5E" w:rsidRDefault="00B834A2" w:rsidP="001A3F5E">
            <w:pPr>
              <w:pStyle w:val="Bodytext20"/>
              <w:shd w:val="clear" w:color="auto" w:fill="auto"/>
              <w:spacing w:before="0" w:line="240" w:lineRule="auto"/>
              <w:ind w:left="140"/>
              <w:rPr>
                <w:rFonts w:ascii="Sylfaen" w:hAnsi="Sylfaen" w:cs="Sylfaen"/>
                <w:sz w:val="20"/>
                <w:szCs w:val="24"/>
              </w:rPr>
            </w:pPr>
            <w:r w:rsidRPr="001A3F5E">
              <w:rPr>
                <w:rStyle w:val="Bodytext31Sylfaen9"/>
                <w:sz w:val="20"/>
                <w:szCs w:val="24"/>
              </w:rPr>
              <w:t>229,494</w:t>
            </w:r>
          </w:p>
        </w:tc>
        <w:tc>
          <w:tcPr>
            <w:tcW w:w="1324" w:type="dxa"/>
            <w:tcBorders>
              <w:bottom w:val="single" w:sz="4" w:space="0" w:color="auto"/>
            </w:tcBorders>
            <w:shd w:val="clear" w:color="auto" w:fill="FFFFFF"/>
          </w:tcPr>
          <w:p w14:paraId="63219A68" w14:textId="77777777" w:rsidR="00B834A2" w:rsidRPr="001A3F5E" w:rsidRDefault="00B834A2" w:rsidP="001A3F5E">
            <w:pPr>
              <w:pStyle w:val="Bodytext20"/>
              <w:shd w:val="clear" w:color="auto" w:fill="auto"/>
              <w:spacing w:before="0" w:line="240" w:lineRule="auto"/>
              <w:ind w:left="180"/>
              <w:rPr>
                <w:rFonts w:ascii="Sylfaen" w:hAnsi="Sylfaen" w:cs="Sylfaen"/>
                <w:sz w:val="20"/>
                <w:szCs w:val="24"/>
              </w:rPr>
            </w:pPr>
            <w:r w:rsidRPr="001A3F5E">
              <w:rPr>
                <w:rStyle w:val="Bodytext31Sylfaen9"/>
                <w:sz w:val="20"/>
                <w:szCs w:val="24"/>
              </w:rPr>
              <w:t>277,717</w:t>
            </w:r>
          </w:p>
        </w:tc>
      </w:tr>
    </w:tbl>
    <w:p w14:paraId="3C08E8C1" w14:textId="77777777" w:rsidR="00B834A2" w:rsidRPr="00B834A2" w:rsidRDefault="00B834A2" w:rsidP="00B834A2">
      <w:pPr>
        <w:spacing w:after="160" w:line="360" w:lineRule="auto"/>
      </w:pPr>
      <w:r w:rsidRPr="00B834A2">
        <w:rPr>
          <w:rStyle w:val="Bodytext31Sylfaen9"/>
          <w:sz w:val="24"/>
          <w:szCs w:val="24"/>
        </w:rPr>
        <w:t xml:space="preserve"> </w:t>
      </w:r>
    </w:p>
    <w:p w14:paraId="3CD610F3" w14:textId="77777777" w:rsidR="00B834A2" w:rsidRPr="00B834A2" w:rsidRDefault="00000000" w:rsidP="00B834A2">
      <w:pPr>
        <w:pStyle w:val="Bodytext20"/>
        <w:shd w:val="clear" w:color="auto" w:fill="auto"/>
        <w:spacing w:before="0" w:after="160" w:line="360" w:lineRule="auto"/>
        <w:ind w:firstLine="567"/>
        <w:rPr>
          <w:rFonts w:ascii="Sylfaen" w:hAnsi="Sylfaen" w:cs="Sylfaen"/>
          <w:b/>
          <w:sz w:val="24"/>
          <w:szCs w:val="24"/>
          <w:u w:val="single"/>
        </w:rPr>
      </w:pPr>
      <w:r>
        <w:rPr>
          <w:noProof/>
        </w:rPr>
        <w:pict w14:anchorId="5D51215C">
          <v:rect id="_x0000_s1272" style="position:absolute;left:0;text-align:left;margin-left:298.95pt;margin-top:18pt;width:54pt;height:24.75pt;z-index:251703296" stroked="f">
            <v:textbox>
              <w:txbxContent>
                <w:p w14:paraId="78D62AE0" w14:textId="77777777" w:rsidR="008D6E8B" w:rsidRPr="00120AF1" w:rsidRDefault="008D6E8B" w:rsidP="00B834A2">
                  <w:r>
                    <w:t>(մգ/կգ)</w:t>
                  </w:r>
                </w:p>
              </w:txbxContent>
            </v:textbox>
          </v:rect>
        </w:pict>
      </w:r>
      <w:r>
        <w:rPr>
          <w:rFonts w:ascii="Sylfaen" w:eastAsia="Sylfaen" w:hAnsi="Sylfaen" w:cs="Sylfaen"/>
          <w:noProof/>
          <w:sz w:val="24"/>
          <w:szCs w:val="24"/>
          <w:lang w:val="en-US" w:eastAsia="en-US" w:bidi="ar-SA"/>
        </w:rPr>
        <w:pict w14:anchorId="0C79B21A">
          <v:group id="_x0000_s1405" style="position:absolute;left:0;text-align:left;margin-left:137.1pt;margin-top:18pt;width:92.3pt;height:59.6pt;z-index:251749376" coordorigin="4160,1778" coordsize="1846,1192">
            <v:rect id="_x0000_s1383" style="position:absolute;left:4160;top:1778;width:869;height:414" stroked="f">
              <v:textbox>
                <w:txbxContent>
                  <w:p w14:paraId="366F3584" w14:textId="77777777" w:rsidR="008D6E8B" w:rsidRDefault="008D6E8B" w:rsidP="00B834A2">
                    <w:r w:rsidRPr="00A77A16">
                      <w:rPr>
                        <w:rStyle w:val="Bodytext31Sylfaen9"/>
                        <w:sz w:val="16"/>
                        <w:szCs w:val="16"/>
                      </w:rPr>
                      <w:t>Մ</w:t>
                    </w:r>
                    <w:r>
                      <w:rPr>
                        <w:rStyle w:val="Bodytext31Sylfaen9"/>
                        <w:sz w:val="16"/>
                        <w:szCs w:val="16"/>
                      </w:rPr>
                      <w:t>Դ</w:t>
                    </w:r>
                    <w:r>
                      <w:rPr>
                        <w:rStyle w:val="Bodytext31Sylfaen9"/>
                        <w:sz w:val="16"/>
                        <w:szCs w:val="16"/>
                        <w:vertAlign w:val="subscript"/>
                      </w:rPr>
                      <w:t>1</w:t>
                    </w:r>
                    <w:r w:rsidRPr="00E81C3B">
                      <w:rPr>
                        <w:rStyle w:val="Bodytext31Sylfaen9"/>
                        <w:sz w:val="16"/>
                        <w:szCs w:val="16"/>
                        <w:vertAlign w:val="subscript"/>
                      </w:rPr>
                      <w:t>0</w:t>
                    </w:r>
                  </w:p>
                </w:txbxContent>
              </v:textbox>
            </v:rect>
            <v:rect id="_x0000_s1384" style="position:absolute;left:4359;top:2466;width:670;height:470" stroked="f">
              <v:textbox>
                <w:txbxContent>
                  <w:p w14:paraId="2E3E0FDD" w14:textId="77777777" w:rsidR="008D6E8B" w:rsidRDefault="008D6E8B" w:rsidP="00B834A2">
                    <w:r w:rsidRPr="00A77A16">
                      <w:rPr>
                        <w:rStyle w:val="Bodytext31Sylfaen9"/>
                        <w:sz w:val="16"/>
                        <w:szCs w:val="16"/>
                      </w:rPr>
                      <w:t>Մ</w:t>
                    </w:r>
                    <w:r>
                      <w:rPr>
                        <w:rStyle w:val="Bodytext31Sylfaen9"/>
                        <w:sz w:val="16"/>
                        <w:szCs w:val="16"/>
                      </w:rPr>
                      <w:t>Դ</w:t>
                    </w:r>
                    <w:r>
                      <w:rPr>
                        <w:rStyle w:val="Bodytext31Sylfaen9"/>
                        <w:sz w:val="16"/>
                        <w:szCs w:val="16"/>
                        <w:vertAlign w:val="subscript"/>
                      </w:rPr>
                      <w:t>84</w:t>
                    </w:r>
                  </w:p>
                </w:txbxContent>
              </v:textbox>
            </v:rect>
            <v:rect id="_x0000_s1385" style="position:absolute;left:5222;top:2542;width:784;height:428" stroked="f">
              <v:textbox>
                <w:txbxContent>
                  <w:p w14:paraId="1A4E0B3F" w14:textId="77777777" w:rsidR="008D6E8B" w:rsidRDefault="008D6E8B" w:rsidP="00B834A2">
                    <w:r w:rsidRPr="00A77A16">
                      <w:rPr>
                        <w:rStyle w:val="Bodytext31Sylfaen9"/>
                        <w:sz w:val="16"/>
                        <w:szCs w:val="16"/>
                      </w:rPr>
                      <w:t>Մ</w:t>
                    </w:r>
                    <w:r>
                      <w:rPr>
                        <w:rStyle w:val="Bodytext31Sylfaen9"/>
                        <w:sz w:val="16"/>
                        <w:szCs w:val="16"/>
                      </w:rPr>
                      <w:t>Դ</w:t>
                    </w:r>
                    <w:r w:rsidRPr="00BC6E6E">
                      <w:rPr>
                        <w:rStyle w:val="Bodytext31Sylfaen9"/>
                        <w:sz w:val="16"/>
                        <w:szCs w:val="16"/>
                        <w:vertAlign w:val="subscript"/>
                      </w:rPr>
                      <w:t>16</w:t>
                    </w:r>
                  </w:p>
                </w:txbxContent>
              </v:textbox>
            </v:rect>
          </v:group>
        </w:pict>
      </w:r>
      <w:r w:rsidR="00B834A2" w:rsidRPr="00B834A2">
        <w:rPr>
          <w:rFonts w:ascii="Sylfaen" w:eastAsia="Sylfaen" w:hAnsi="Sylfaen" w:cs="Sylfaen"/>
          <w:noProof/>
          <w:sz w:val="24"/>
          <w:szCs w:val="24"/>
          <w:shd w:val="clear" w:color="auto" w:fill="FFFFFF"/>
          <w:lang w:val="en-US" w:eastAsia="en-US" w:bidi="ar-SA"/>
        </w:rPr>
        <w:drawing>
          <wp:inline distT="0" distB="0" distL="0" distR="0" wp14:anchorId="33B2343C" wp14:editId="568AC2C1">
            <wp:extent cx="3678936" cy="1363832"/>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15" cstate="print"/>
                    <a:srcRect/>
                    <a:stretch>
                      <a:fillRect/>
                    </a:stretch>
                  </pic:blipFill>
                  <pic:spPr bwMode="auto">
                    <a:xfrm>
                      <a:off x="0" y="0"/>
                      <a:ext cx="3681940" cy="1364946"/>
                    </a:xfrm>
                    <a:prstGeom prst="rect">
                      <a:avLst/>
                    </a:prstGeom>
                    <a:noFill/>
                    <a:ln w="9525">
                      <a:noFill/>
                      <a:miter lim="800000"/>
                      <a:headEnd/>
                      <a:tailEnd/>
                    </a:ln>
                  </pic:spPr>
                </pic:pic>
              </a:graphicData>
            </a:graphic>
          </wp:inline>
        </w:drawing>
      </w:r>
    </w:p>
    <w:p w14:paraId="7B551623" w14:textId="77777777" w:rsidR="00B834A2" w:rsidRPr="00B834A2" w:rsidRDefault="00B834A2" w:rsidP="00A84AF4">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 xml:space="preserve">Ստորին վստահելի սահմանը </w:t>
      </w:r>
      <w:r w:rsidRPr="00B834A2">
        <w:rPr>
          <w:rStyle w:val="Bodytext2Italic"/>
          <w:sz w:val="24"/>
          <w:szCs w:val="24"/>
        </w:rPr>
        <w:t>(р =</w:t>
      </w:r>
      <w:r w:rsidRPr="00B834A2">
        <w:rPr>
          <w:rStyle w:val="Bodytext31Sylfaen9"/>
          <w:sz w:val="24"/>
          <w:szCs w:val="24"/>
        </w:rPr>
        <w:t xml:space="preserve"> 0,05) = ՄԴ</w:t>
      </w:r>
      <w:r w:rsidRPr="00B834A2">
        <w:rPr>
          <w:rStyle w:val="Bodytext31Sylfaen9"/>
          <w:sz w:val="24"/>
          <w:szCs w:val="24"/>
          <w:vertAlign w:val="subscript"/>
        </w:rPr>
        <w:t>50</w:t>
      </w:r>
      <w:r w:rsidRPr="00B834A2">
        <w:rPr>
          <w:rStyle w:val="Bodytext31Sylfaen9"/>
          <w:sz w:val="24"/>
          <w:szCs w:val="24"/>
        </w:rPr>
        <w:t xml:space="preserve"> </w:t>
      </w:r>
      <w:r w:rsidRPr="00B834A2">
        <w:rPr>
          <w:rStyle w:val="Bodytext285pt"/>
          <w:i w:val="0"/>
          <w:spacing w:val="0"/>
          <w:sz w:val="24"/>
          <w:szCs w:val="24"/>
        </w:rPr>
        <w:t>-st</w:t>
      </w:r>
      <w:r w:rsidRPr="00B834A2">
        <w:rPr>
          <w:rStyle w:val="Bodytext31Sylfaen9"/>
          <w:sz w:val="24"/>
          <w:szCs w:val="24"/>
        </w:rPr>
        <w:t xml:space="preserve"> = 3,962 - 0,464 ∙ </w:t>
      </w:r>
      <w:r w:rsidRPr="00B834A2">
        <w:rPr>
          <w:rStyle w:val="Bodytext285pt"/>
          <w:i w:val="0"/>
          <w:spacing w:val="0"/>
          <w:sz w:val="24"/>
          <w:szCs w:val="24"/>
        </w:rPr>
        <w:t>2,201</w:t>
      </w:r>
      <w:r w:rsidRPr="00B834A2">
        <w:rPr>
          <w:rStyle w:val="Bodytext31Sylfaen9"/>
          <w:sz w:val="24"/>
          <w:szCs w:val="24"/>
        </w:rPr>
        <w:t xml:space="preserve"> = 2,941.</w:t>
      </w:r>
    </w:p>
    <w:p w14:paraId="0A3F3115" w14:textId="77777777" w:rsidR="00B834A2" w:rsidRPr="00B834A2" w:rsidRDefault="00B834A2" w:rsidP="00A84AF4">
      <w:pPr>
        <w:pStyle w:val="Bodytext20"/>
        <w:shd w:val="clear" w:color="auto" w:fill="auto"/>
        <w:spacing w:before="0" w:after="160" w:line="360" w:lineRule="auto"/>
        <w:ind w:firstLine="567"/>
        <w:jc w:val="both"/>
        <w:rPr>
          <w:rFonts w:ascii="Sylfaen" w:hAnsi="Sylfaen" w:cs="Sylfaen"/>
          <w:i/>
          <w:sz w:val="24"/>
          <w:szCs w:val="24"/>
        </w:rPr>
      </w:pPr>
      <w:r w:rsidRPr="00B834A2">
        <w:rPr>
          <w:rFonts w:ascii="Sylfaen" w:hAnsi="Sylfaen"/>
          <w:sz w:val="24"/>
          <w:szCs w:val="24"/>
        </w:rPr>
        <w:t xml:space="preserve">Վերին վստահելի սահմանը </w:t>
      </w:r>
      <w:r w:rsidRPr="00B834A2">
        <w:rPr>
          <w:rStyle w:val="Bodytext2Italic"/>
          <w:sz w:val="24"/>
          <w:szCs w:val="24"/>
        </w:rPr>
        <w:t>(р</w:t>
      </w:r>
      <w:r w:rsidRPr="00B834A2">
        <w:rPr>
          <w:rStyle w:val="Bodytext31Sylfaen9"/>
          <w:sz w:val="24"/>
          <w:szCs w:val="24"/>
        </w:rPr>
        <w:t xml:space="preserve"> = 0,05)= ՄԴ</w:t>
      </w:r>
      <w:r w:rsidRPr="00B834A2">
        <w:rPr>
          <w:rStyle w:val="Bodytext285pt"/>
          <w:i w:val="0"/>
          <w:spacing w:val="0"/>
          <w:sz w:val="24"/>
          <w:szCs w:val="24"/>
          <w:vertAlign w:val="subscript"/>
        </w:rPr>
        <w:t>50</w:t>
      </w:r>
      <w:r w:rsidRPr="00B834A2">
        <w:rPr>
          <w:rStyle w:val="Bodytext31Sylfaen9"/>
          <w:sz w:val="24"/>
          <w:szCs w:val="24"/>
        </w:rPr>
        <w:t xml:space="preserve"> </w:t>
      </w:r>
      <w:r w:rsidRPr="00B834A2">
        <w:rPr>
          <w:rStyle w:val="Bodytext2Italic"/>
          <w:sz w:val="24"/>
          <w:szCs w:val="24"/>
        </w:rPr>
        <w:t>+</w:t>
      </w:r>
      <w:r w:rsidRPr="00B834A2">
        <w:rPr>
          <w:rStyle w:val="Bodytext285pt"/>
          <w:i w:val="0"/>
          <w:spacing w:val="0"/>
          <w:sz w:val="24"/>
          <w:szCs w:val="24"/>
        </w:rPr>
        <w:t xml:space="preserve"> st</w:t>
      </w:r>
      <w:r w:rsidRPr="00B834A2">
        <w:rPr>
          <w:rStyle w:val="Bodytext2Italic"/>
          <w:sz w:val="24"/>
          <w:szCs w:val="24"/>
        </w:rPr>
        <w:t xml:space="preserve"> =</w:t>
      </w:r>
      <w:r w:rsidRPr="00B834A2">
        <w:rPr>
          <w:rStyle w:val="Bodytext31Sylfaen9"/>
          <w:sz w:val="24"/>
          <w:szCs w:val="24"/>
        </w:rPr>
        <w:t xml:space="preserve"> 3,962 - 0,464 .2,201 = 4,983։</w:t>
      </w:r>
    </w:p>
    <w:p w14:paraId="354AA98D" w14:textId="77777777" w:rsidR="00184198" w:rsidRDefault="00184198">
      <w:pPr>
        <w:rPr>
          <w:rStyle w:val="Bodytext2Italic"/>
          <w:sz w:val="24"/>
          <w:szCs w:val="24"/>
        </w:rPr>
      </w:pPr>
      <w:r>
        <w:rPr>
          <w:rStyle w:val="Bodytext2Italic"/>
          <w:sz w:val="24"/>
          <w:szCs w:val="24"/>
        </w:rPr>
        <w:br w:type="page"/>
      </w:r>
    </w:p>
    <w:p w14:paraId="0C576589" w14:textId="77777777" w:rsidR="00B834A2" w:rsidRPr="00B834A2" w:rsidRDefault="00B834A2" w:rsidP="0023645A">
      <w:pPr>
        <w:pStyle w:val="Bodytext20"/>
        <w:shd w:val="clear" w:color="auto" w:fill="auto"/>
        <w:tabs>
          <w:tab w:val="left" w:pos="1276"/>
        </w:tabs>
        <w:spacing w:before="0" w:after="160" w:line="360" w:lineRule="auto"/>
        <w:ind w:firstLine="567"/>
        <w:jc w:val="left"/>
        <w:rPr>
          <w:rFonts w:ascii="Sylfaen" w:hAnsi="Sylfaen" w:cs="Sylfaen"/>
          <w:sz w:val="24"/>
          <w:szCs w:val="24"/>
        </w:rPr>
      </w:pPr>
      <w:r w:rsidRPr="00B834A2">
        <w:rPr>
          <w:rStyle w:val="Bodytext2Italic"/>
          <w:sz w:val="24"/>
          <w:szCs w:val="24"/>
        </w:rPr>
        <w:lastRenderedPageBreak/>
        <w:t>4.2.2.</w:t>
      </w:r>
      <w:r w:rsidR="0023645A">
        <w:rPr>
          <w:rStyle w:val="Bodytext2Italic"/>
          <w:sz w:val="24"/>
          <w:szCs w:val="24"/>
        </w:rPr>
        <w:tab/>
      </w:r>
      <w:r w:rsidRPr="00B834A2">
        <w:rPr>
          <w:rStyle w:val="Bodytext2Italic"/>
          <w:sz w:val="24"/>
          <w:szCs w:val="24"/>
        </w:rPr>
        <w:t>Երկու փորձարկվող նմուշի ՄԴ</w:t>
      </w:r>
      <w:r w:rsidRPr="00B834A2">
        <w:rPr>
          <w:rStyle w:val="Bodytext2Italic"/>
          <w:sz w:val="24"/>
          <w:szCs w:val="24"/>
          <w:vertAlign w:val="subscript"/>
        </w:rPr>
        <w:t>50</w:t>
      </w:r>
      <w:r w:rsidRPr="00B834A2">
        <w:rPr>
          <w:rStyle w:val="Bodytext2Italic"/>
          <w:sz w:val="24"/>
          <w:szCs w:val="24"/>
        </w:rPr>
        <w:t>-ի համեմատումը</w:t>
      </w:r>
    </w:p>
    <w:tbl>
      <w:tblPr>
        <w:tblW w:w="0" w:type="auto"/>
        <w:jc w:val="center"/>
        <w:tblLook w:val="04A0" w:firstRow="1" w:lastRow="0" w:firstColumn="1" w:lastColumn="0" w:noHBand="0" w:noVBand="1"/>
      </w:tblPr>
      <w:tblGrid>
        <w:gridCol w:w="4643"/>
        <w:gridCol w:w="4644"/>
      </w:tblGrid>
      <w:tr w:rsidR="00B834A2" w:rsidRPr="0023645A" w14:paraId="34E17AB7" w14:textId="77777777" w:rsidTr="00B834A2">
        <w:trPr>
          <w:jc w:val="center"/>
        </w:trPr>
        <w:tc>
          <w:tcPr>
            <w:tcW w:w="4643" w:type="dxa"/>
            <w:tcBorders>
              <w:top w:val="single" w:sz="4" w:space="0" w:color="auto"/>
              <w:bottom w:val="single" w:sz="4" w:space="0" w:color="auto"/>
            </w:tcBorders>
          </w:tcPr>
          <w:p w14:paraId="0FDEEE0C" w14:textId="77777777" w:rsidR="00B834A2" w:rsidRPr="0023645A" w:rsidRDefault="00B834A2" w:rsidP="0023645A">
            <w:pPr>
              <w:pStyle w:val="Bodytext20"/>
              <w:shd w:val="clear" w:color="auto" w:fill="auto"/>
              <w:spacing w:before="0" w:line="240" w:lineRule="auto"/>
              <w:rPr>
                <w:rStyle w:val="Bodytext31Sylfaen9"/>
                <w:b/>
                <w:bCs/>
                <w:i w:val="0"/>
                <w:sz w:val="20"/>
                <w:szCs w:val="20"/>
              </w:rPr>
            </w:pPr>
            <w:r w:rsidRPr="0023645A">
              <w:rPr>
                <w:rStyle w:val="Bodytext31Sylfaen9"/>
                <w:b/>
                <w:i w:val="0"/>
                <w:sz w:val="20"/>
                <w:szCs w:val="20"/>
              </w:rPr>
              <w:t>1-ին փորձարկվող նմուշը</w:t>
            </w:r>
          </w:p>
        </w:tc>
        <w:tc>
          <w:tcPr>
            <w:tcW w:w="4644" w:type="dxa"/>
            <w:tcBorders>
              <w:top w:val="single" w:sz="4" w:space="0" w:color="auto"/>
              <w:bottom w:val="single" w:sz="4" w:space="0" w:color="auto"/>
            </w:tcBorders>
          </w:tcPr>
          <w:p w14:paraId="765EFB74" w14:textId="77777777" w:rsidR="00B834A2" w:rsidRPr="0023645A" w:rsidRDefault="00B834A2" w:rsidP="0023645A">
            <w:pPr>
              <w:pStyle w:val="Bodytext20"/>
              <w:shd w:val="clear" w:color="auto" w:fill="auto"/>
              <w:spacing w:before="0" w:line="240" w:lineRule="auto"/>
              <w:rPr>
                <w:rStyle w:val="Bodytext31Sylfaen9"/>
                <w:b/>
                <w:bCs/>
                <w:i w:val="0"/>
                <w:sz w:val="20"/>
                <w:szCs w:val="20"/>
              </w:rPr>
            </w:pPr>
            <w:r w:rsidRPr="0023645A">
              <w:rPr>
                <w:rStyle w:val="Bodytext31Sylfaen9"/>
                <w:b/>
                <w:i w:val="0"/>
                <w:sz w:val="20"/>
                <w:szCs w:val="20"/>
              </w:rPr>
              <w:t>2-րդ փորձարկվող նմուշը</w:t>
            </w:r>
          </w:p>
        </w:tc>
      </w:tr>
      <w:tr w:rsidR="00B834A2" w:rsidRPr="0023645A" w14:paraId="0DE99EFA" w14:textId="77777777" w:rsidTr="00B834A2">
        <w:trPr>
          <w:jc w:val="center"/>
        </w:trPr>
        <w:tc>
          <w:tcPr>
            <w:tcW w:w="4643" w:type="dxa"/>
            <w:tcBorders>
              <w:top w:val="single" w:sz="4" w:space="0" w:color="auto"/>
            </w:tcBorders>
          </w:tcPr>
          <w:p w14:paraId="492D95C6" w14:textId="77777777" w:rsidR="00B834A2" w:rsidRPr="0023645A" w:rsidRDefault="00B834A2" w:rsidP="0023645A">
            <w:pPr>
              <w:pStyle w:val="Bodytext20"/>
              <w:shd w:val="clear" w:color="auto" w:fill="auto"/>
              <w:spacing w:before="0" w:line="240" w:lineRule="auto"/>
              <w:rPr>
                <w:rStyle w:val="Bodytext31Sylfaen9"/>
                <w:b/>
                <w:bCs/>
                <w:sz w:val="20"/>
                <w:szCs w:val="20"/>
              </w:rPr>
            </w:pPr>
            <w:r w:rsidRPr="0023645A">
              <w:rPr>
                <w:rFonts w:ascii="Sylfaen" w:hAnsi="Sylfaen"/>
                <w:sz w:val="20"/>
                <w:szCs w:val="20"/>
              </w:rPr>
              <w:t>ՄԴ</w:t>
            </w:r>
            <w:r w:rsidRPr="0023645A">
              <w:rPr>
                <w:rStyle w:val="Bodytext285pt"/>
                <w:spacing w:val="0"/>
                <w:sz w:val="20"/>
                <w:szCs w:val="20"/>
                <w:vertAlign w:val="subscript"/>
              </w:rPr>
              <w:t>50</w:t>
            </w:r>
            <w:r w:rsidRPr="0023645A">
              <w:rPr>
                <w:rFonts w:ascii="Sylfaen" w:hAnsi="Sylfaen"/>
                <w:sz w:val="20"/>
                <w:szCs w:val="20"/>
              </w:rPr>
              <w:t xml:space="preserve"> = 3,962մգ/կգ</w:t>
            </w:r>
          </w:p>
        </w:tc>
        <w:tc>
          <w:tcPr>
            <w:tcW w:w="4644" w:type="dxa"/>
            <w:tcBorders>
              <w:top w:val="single" w:sz="4" w:space="0" w:color="auto"/>
            </w:tcBorders>
          </w:tcPr>
          <w:p w14:paraId="74D797DB" w14:textId="77777777" w:rsidR="00B834A2" w:rsidRPr="0023645A" w:rsidRDefault="00B834A2" w:rsidP="0023645A">
            <w:pPr>
              <w:pStyle w:val="Bodytext20"/>
              <w:shd w:val="clear" w:color="auto" w:fill="auto"/>
              <w:spacing w:before="0" w:line="240" w:lineRule="auto"/>
              <w:rPr>
                <w:rStyle w:val="Bodytext31Sylfaen9"/>
                <w:b/>
                <w:bCs/>
                <w:sz w:val="20"/>
                <w:szCs w:val="20"/>
              </w:rPr>
            </w:pPr>
            <w:r w:rsidRPr="0023645A">
              <w:rPr>
                <w:rFonts w:ascii="Sylfaen" w:hAnsi="Sylfaen"/>
                <w:sz w:val="20"/>
                <w:szCs w:val="20"/>
              </w:rPr>
              <w:t>ՄԴ</w:t>
            </w:r>
            <w:r w:rsidRPr="0023645A">
              <w:rPr>
                <w:rStyle w:val="Bodytext285pt"/>
                <w:spacing w:val="0"/>
                <w:sz w:val="20"/>
                <w:szCs w:val="20"/>
                <w:vertAlign w:val="subscript"/>
              </w:rPr>
              <w:t>50</w:t>
            </w:r>
            <w:r w:rsidRPr="0023645A">
              <w:rPr>
                <w:rFonts w:ascii="Sylfaen" w:hAnsi="Sylfaen"/>
                <w:sz w:val="20"/>
                <w:szCs w:val="20"/>
              </w:rPr>
              <w:t xml:space="preserve"> = 2,632 մգ/կգ</w:t>
            </w:r>
          </w:p>
        </w:tc>
      </w:tr>
      <w:tr w:rsidR="00B834A2" w:rsidRPr="0023645A" w14:paraId="323F62A6" w14:textId="77777777" w:rsidTr="00B834A2">
        <w:trPr>
          <w:jc w:val="center"/>
        </w:trPr>
        <w:tc>
          <w:tcPr>
            <w:tcW w:w="4643" w:type="dxa"/>
          </w:tcPr>
          <w:p w14:paraId="56849E62"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Վստահելի սահմանները</w:t>
            </w:r>
          </w:p>
          <w:p w14:paraId="38BCECF8"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2,941-4,983 մգ/կգ</w:t>
            </w:r>
          </w:p>
          <w:p w14:paraId="42DBB7FE" w14:textId="77777777" w:rsidR="00B834A2" w:rsidRPr="0023645A" w:rsidRDefault="00B834A2" w:rsidP="0023645A">
            <w:pPr>
              <w:pStyle w:val="Bodytext20"/>
              <w:shd w:val="clear" w:color="auto" w:fill="auto"/>
              <w:spacing w:before="0" w:line="240" w:lineRule="auto"/>
              <w:rPr>
                <w:rStyle w:val="Bodytext31Sylfaen9"/>
                <w:rFonts w:cs="Calibri"/>
                <w:sz w:val="20"/>
                <w:szCs w:val="20"/>
              </w:rPr>
            </w:pPr>
            <w:r w:rsidRPr="0023645A">
              <w:rPr>
                <w:rStyle w:val="Bodytext2Italic"/>
                <w:sz w:val="20"/>
                <w:szCs w:val="20"/>
              </w:rPr>
              <w:t>n</w:t>
            </w:r>
            <w:r w:rsidRPr="0023645A">
              <w:rPr>
                <w:rStyle w:val="Bodytext31Sylfaen9"/>
                <w:sz w:val="20"/>
                <w:szCs w:val="20"/>
              </w:rPr>
              <w:t xml:space="preserve"> = 12, ƒ = 11, p = 0,05</w:t>
            </w:r>
          </w:p>
          <w:p w14:paraId="022E5335"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s = 0,464</w:t>
            </w:r>
          </w:p>
        </w:tc>
        <w:tc>
          <w:tcPr>
            <w:tcW w:w="4644" w:type="dxa"/>
          </w:tcPr>
          <w:p w14:paraId="463ADA1E"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Վստահելի սահմանները</w:t>
            </w:r>
          </w:p>
          <w:p w14:paraId="5ACE7DC7"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2,034-3,230 մգ/կգ</w:t>
            </w:r>
          </w:p>
          <w:p w14:paraId="3EBC13B5" w14:textId="77777777" w:rsidR="00B834A2" w:rsidRPr="0023645A" w:rsidRDefault="00B834A2" w:rsidP="0023645A">
            <w:pPr>
              <w:pStyle w:val="Bodytext20"/>
              <w:shd w:val="clear" w:color="auto" w:fill="auto"/>
              <w:spacing w:before="0" w:line="240" w:lineRule="auto"/>
              <w:rPr>
                <w:rStyle w:val="Bodytext31Sylfaen9"/>
                <w:rFonts w:cs="Calibri"/>
                <w:sz w:val="20"/>
                <w:szCs w:val="20"/>
              </w:rPr>
            </w:pPr>
            <w:r w:rsidRPr="0023645A">
              <w:rPr>
                <w:rStyle w:val="Bodytext2Italic"/>
                <w:sz w:val="20"/>
                <w:szCs w:val="20"/>
              </w:rPr>
              <w:t>n</w:t>
            </w:r>
            <w:r w:rsidRPr="0023645A">
              <w:rPr>
                <w:rStyle w:val="Bodytext31Sylfaen9"/>
                <w:sz w:val="20"/>
                <w:szCs w:val="20"/>
              </w:rPr>
              <w:t xml:space="preserve"> = 24, ƒ = 23, p = 0,05</w:t>
            </w:r>
          </w:p>
          <w:p w14:paraId="504CED7B" w14:textId="77777777" w:rsidR="00B834A2" w:rsidRPr="0023645A" w:rsidRDefault="00B834A2" w:rsidP="0023645A">
            <w:pPr>
              <w:pStyle w:val="Bodytext20"/>
              <w:shd w:val="clear" w:color="auto" w:fill="auto"/>
              <w:spacing w:before="0" w:line="240" w:lineRule="auto"/>
              <w:rPr>
                <w:rStyle w:val="Bodytext31Sylfaen9"/>
                <w:sz w:val="20"/>
                <w:szCs w:val="20"/>
              </w:rPr>
            </w:pPr>
            <w:r w:rsidRPr="0023645A">
              <w:rPr>
                <w:rStyle w:val="Bodytext31Sylfaen9"/>
                <w:sz w:val="20"/>
                <w:szCs w:val="20"/>
              </w:rPr>
              <w:t>s = 0,289</w:t>
            </w:r>
          </w:p>
        </w:tc>
      </w:tr>
      <w:tr w:rsidR="00B834A2" w:rsidRPr="0023645A" w14:paraId="2A72F986" w14:textId="77777777" w:rsidTr="00B834A2">
        <w:trPr>
          <w:jc w:val="center"/>
        </w:trPr>
        <w:tc>
          <w:tcPr>
            <w:tcW w:w="9287" w:type="dxa"/>
            <w:gridSpan w:val="2"/>
          </w:tcPr>
          <w:p w14:paraId="44B84169" w14:textId="77777777" w:rsidR="00B834A2" w:rsidRPr="0023645A" w:rsidRDefault="00B834A2" w:rsidP="0023645A">
            <w:pPr>
              <w:pStyle w:val="Bodytext20"/>
              <w:shd w:val="clear" w:color="auto" w:fill="auto"/>
              <w:spacing w:before="0" w:line="240" w:lineRule="auto"/>
              <w:rPr>
                <w:rStyle w:val="Bodytext31Sylfaen9"/>
                <w:rFonts w:cs="Calibri"/>
                <w:i w:val="0"/>
                <w:sz w:val="20"/>
                <w:szCs w:val="20"/>
              </w:rPr>
            </w:pPr>
            <w:r w:rsidRPr="0023645A">
              <w:rPr>
                <w:rStyle w:val="Bodytext31Sylfaen9"/>
                <w:sz w:val="20"/>
                <w:szCs w:val="20"/>
              </w:rPr>
              <w:t>ƒ = n</w:t>
            </w:r>
            <w:r w:rsidRPr="0023645A">
              <w:rPr>
                <w:rStyle w:val="Bodytext31Sylfaen9"/>
                <w:sz w:val="20"/>
                <w:szCs w:val="20"/>
                <w:vertAlign w:val="subscript"/>
              </w:rPr>
              <w:t>1</w:t>
            </w:r>
            <w:r w:rsidRPr="0023645A">
              <w:rPr>
                <w:rStyle w:val="Bodytext31Sylfaen9"/>
                <w:sz w:val="20"/>
                <w:szCs w:val="20"/>
              </w:rPr>
              <w:t xml:space="preserve"> +n</w:t>
            </w:r>
            <w:r w:rsidRPr="0023645A">
              <w:rPr>
                <w:rStyle w:val="Bodytext31Sylfaen9"/>
                <w:sz w:val="20"/>
                <w:szCs w:val="20"/>
                <w:vertAlign w:val="subscript"/>
              </w:rPr>
              <w:t>2</w:t>
            </w:r>
            <w:r w:rsidRPr="0023645A">
              <w:rPr>
                <w:rStyle w:val="Bodytext31Sylfaen9"/>
                <w:sz w:val="20"/>
                <w:szCs w:val="20"/>
              </w:rPr>
              <w:t>-2 = 12+24-2= 34</w:t>
            </w:r>
          </w:p>
          <w:p w14:paraId="6BB24171" w14:textId="77777777" w:rsidR="00B834A2" w:rsidRPr="0023645A" w:rsidRDefault="00000000" w:rsidP="0023645A">
            <w:pPr>
              <w:pStyle w:val="Bodytext20"/>
              <w:shd w:val="clear" w:color="auto" w:fill="auto"/>
              <w:spacing w:before="0" w:line="240" w:lineRule="auto"/>
              <w:rPr>
                <w:rStyle w:val="Bodytext31Sylfaen9"/>
                <w:rFonts w:cs="Calibri"/>
                <w:i w:val="0"/>
                <w:sz w:val="20"/>
                <w:szCs w:val="20"/>
              </w:rPr>
            </w:pPr>
            <w:r>
              <w:rPr>
                <w:rFonts w:ascii="Sylfaen" w:eastAsia="Sylfaen" w:hAnsi="Sylfaen" w:cs="Calibri"/>
                <w:i/>
                <w:noProof/>
                <w:sz w:val="20"/>
                <w:szCs w:val="20"/>
                <w:lang w:val="en-US" w:eastAsia="en-US" w:bidi="ar-SA"/>
              </w:rPr>
              <w:pict w14:anchorId="245E419A">
                <v:group id="_x0000_s1406" style="position:absolute;left:0;text-align:left;margin-left:134.45pt;margin-top:.1pt;width:76.5pt;height:15.65pt;z-index:251754496" coordorigin="4107,10881" coordsize="1530,313">
                  <v:rect id="_x0000_s1386" style="position:absolute;left:4107;top:10881;width:827;height:313" stroked="f">
                    <v:textbox>
                      <w:txbxContent>
                        <w:p w14:paraId="35C9999F" w14:textId="77777777" w:rsidR="008D6E8B" w:rsidRPr="00D16259" w:rsidRDefault="008D6E8B" w:rsidP="00B834A2">
                          <w:pPr>
                            <w:rPr>
                              <w:sz w:val="16"/>
                              <w:szCs w:val="20"/>
                              <w:vertAlign w:val="subscript"/>
                              <w:lang w:val="en-GB"/>
                            </w:rPr>
                          </w:pPr>
                          <w:r w:rsidRPr="00D16259">
                            <w:rPr>
                              <w:sz w:val="16"/>
                              <w:szCs w:val="20"/>
                            </w:rPr>
                            <w:t>ՄԴ</w:t>
                          </w:r>
                          <w:r w:rsidRPr="00D16259">
                            <w:rPr>
                              <w:sz w:val="16"/>
                              <w:szCs w:val="20"/>
                              <w:vertAlign w:val="subscript"/>
                            </w:rPr>
                            <w:t>50</w:t>
                          </w:r>
                          <w:r w:rsidRPr="00D16259">
                            <w:rPr>
                              <w:sz w:val="16"/>
                              <w:szCs w:val="20"/>
                              <w:vertAlign w:val="subscript"/>
                              <w:lang w:val="en-GB"/>
                            </w:rPr>
                            <w:t>(1)</w:t>
                          </w:r>
                        </w:p>
                      </w:txbxContent>
                    </v:textbox>
                  </v:rect>
                  <v:rect id="_x0000_s1387" style="position:absolute;left:4808;top:10881;width:829;height:313" stroked="f">
                    <v:textbox>
                      <w:txbxContent>
                        <w:p w14:paraId="2120C298" w14:textId="77777777" w:rsidR="008D6E8B" w:rsidRPr="00D16259" w:rsidRDefault="008D6E8B" w:rsidP="00B834A2">
                          <w:pPr>
                            <w:rPr>
                              <w:sz w:val="16"/>
                              <w:szCs w:val="20"/>
                              <w:vertAlign w:val="subscript"/>
                              <w:lang w:val="en-GB"/>
                            </w:rPr>
                          </w:pPr>
                          <w:r w:rsidRPr="00D16259">
                            <w:rPr>
                              <w:sz w:val="16"/>
                              <w:szCs w:val="20"/>
                            </w:rPr>
                            <w:t>ՄԴ</w:t>
                          </w:r>
                          <w:r w:rsidRPr="00D16259">
                            <w:rPr>
                              <w:sz w:val="16"/>
                              <w:szCs w:val="20"/>
                              <w:vertAlign w:val="subscript"/>
                            </w:rPr>
                            <w:t>50</w:t>
                          </w:r>
                          <w:r w:rsidRPr="00D16259">
                            <w:rPr>
                              <w:sz w:val="16"/>
                              <w:szCs w:val="20"/>
                              <w:vertAlign w:val="subscript"/>
                              <w:lang w:val="en-GB"/>
                            </w:rPr>
                            <w:t>(2)</w:t>
                          </w:r>
                        </w:p>
                      </w:txbxContent>
                    </v:textbox>
                  </v:rect>
                </v:group>
              </w:pict>
            </w:r>
            <w:r w:rsidR="00B834A2" w:rsidRPr="0023645A">
              <w:rPr>
                <w:rFonts w:ascii="Sylfaen" w:eastAsia="Sylfaen" w:hAnsi="Sylfaen" w:cs="Calibri"/>
                <w:i/>
                <w:noProof/>
                <w:sz w:val="20"/>
                <w:szCs w:val="20"/>
                <w:shd w:val="clear" w:color="auto" w:fill="FFFFFF"/>
                <w:lang w:val="en-US" w:eastAsia="en-US" w:bidi="ar-SA"/>
              </w:rPr>
              <w:drawing>
                <wp:inline distT="0" distB="0" distL="0" distR="0" wp14:anchorId="4F078277" wp14:editId="6E25010B">
                  <wp:extent cx="3480180" cy="792539"/>
                  <wp:effectExtent l="19050" t="0" r="5970" b="0"/>
                  <wp:docPr id="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cstate="print"/>
                          <a:srcRect/>
                          <a:stretch>
                            <a:fillRect/>
                          </a:stretch>
                        </pic:blipFill>
                        <pic:spPr bwMode="auto">
                          <a:xfrm>
                            <a:off x="0" y="0"/>
                            <a:ext cx="3485753" cy="793808"/>
                          </a:xfrm>
                          <a:prstGeom prst="rect">
                            <a:avLst/>
                          </a:prstGeom>
                          <a:noFill/>
                          <a:ln w="9525">
                            <a:noFill/>
                            <a:miter lim="800000"/>
                            <a:headEnd/>
                            <a:tailEnd/>
                          </a:ln>
                        </pic:spPr>
                      </pic:pic>
                    </a:graphicData>
                  </a:graphic>
                </wp:inline>
              </w:drawing>
            </w:r>
          </w:p>
          <w:p w14:paraId="30858643" w14:textId="77777777" w:rsidR="00B834A2" w:rsidRPr="0023645A" w:rsidRDefault="00B834A2" w:rsidP="0023645A">
            <w:pPr>
              <w:pStyle w:val="Bodytext20"/>
              <w:shd w:val="clear" w:color="auto" w:fill="auto"/>
              <w:spacing w:before="0" w:line="240" w:lineRule="auto"/>
              <w:rPr>
                <w:rStyle w:val="Bodytext31Sylfaen9"/>
                <w:i w:val="0"/>
                <w:sz w:val="20"/>
                <w:szCs w:val="20"/>
              </w:rPr>
            </w:pPr>
            <w:r w:rsidRPr="0023645A">
              <w:rPr>
                <w:rStyle w:val="Bodytext31Sylfaen9"/>
                <w:sz w:val="20"/>
                <w:szCs w:val="20"/>
              </w:rPr>
              <w:t>Տարբերությունը՝ d=|ՄԴ</w:t>
            </w:r>
            <w:r w:rsidRPr="0023645A">
              <w:rPr>
                <w:rStyle w:val="Bodytext31Sylfaen9"/>
                <w:sz w:val="20"/>
                <w:szCs w:val="20"/>
                <w:vertAlign w:val="subscript"/>
              </w:rPr>
              <w:t>502</w:t>
            </w:r>
            <w:r w:rsidRPr="0023645A">
              <w:rPr>
                <w:rStyle w:val="Bodytext31Sylfaen9"/>
                <w:sz w:val="20"/>
                <w:szCs w:val="20"/>
              </w:rPr>
              <w:t>- ՄԴ</w:t>
            </w:r>
            <w:r w:rsidRPr="0023645A">
              <w:rPr>
                <w:rStyle w:val="Bodytext31Sylfaen9"/>
                <w:sz w:val="20"/>
                <w:szCs w:val="20"/>
                <w:vertAlign w:val="subscript"/>
              </w:rPr>
              <w:t>501</w:t>
            </w:r>
            <w:r w:rsidRPr="0023645A">
              <w:rPr>
                <w:rStyle w:val="Bodytext31Sylfaen9"/>
                <w:sz w:val="20"/>
                <w:szCs w:val="20"/>
              </w:rPr>
              <w:t>|=1,330 (մգ/կգ)</w:t>
            </w:r>
          </w:p>
          <w:p w14:paraId="0D7C75B6" w14:textId="77777777" w:rsidR="00B834A2" w:rsidRPr="0023645A" w:rsidRDefault="00B834A2" w:rsidP="0023645A">
            <w:pPr>
              <w:pStyle w:val="Bodytext20"/>
              <w:shd w:val="clear" w:color="auto" w:fill="auto"/>
              <w:spacing w:before="0" w:line="240" w:lineRule="auto"/>
              <w:rPr>
                <w:rStyle w:val="Bodytext2Italic"/>
                <w:sz w:val="20"/>
                <w:szCs w:val="20"/>
              </w:rPr>
            </w:pPr>
            <w:r w:rsidRPr="0023645A">
              <w:rPr>
                <w:rStyle w:val="Bodytext31Sylfaen9"/>
                <w:sz w:val="20"/>
                <w:szCs w:val="20"/>
              </w:rPr>
              <w:t xml:space="preserve">Այդ տարբերության ստանդարտ շեղումը </w:t>
            </w:r>
          </w:p>
          <w:p w14:paraId="7ABC7186" w14:textId="77777777" w:rsidR="00B834A2" w:rsidRPr="0023645A" w:rsidRDefault="00B834A2" w:rsidP="0023645A">
            <w:pPr>
              <w:pStyle w:val="Bodytext20"/>
              <w:shd w:val="clear" w:color="auto" w:fill="auto"/>
              <w:spacing w:before="0" w:line="240" w:lineRule="auto"/>
              <w:rPr>
                <w:rStyle w:val="Bodytext31Sylfaen9"/>
                <w:i w:val="0"/>
                <w:sz w:val="20"/>
                <w:szCs w:val="20"/>
              </w:rPr>
            </w:pPr>
            <w:r w:rsidRPr="0023645A">
              <w:rPr>
                <w:rFonts w:ascii="Sylfaen" w:eastAsia="Sylfaen" w:hAnsi="Sylfaen" w:cs="Sylfaen"/>
                <w:i/>
                <w:noProof/>
                <w:sz w:val="20"/>
                <w:szCs w:val="20"/>
                <w:shd w:val="clear" w:color="auto" w:fill="FFFFFF"/>
                <w:lang w:val="en-US" w:eastAsia="en-US" w:bidi="ar-SA"/>
              </w:rPr>
              <w:drawing>
                <wp:inline distT="0" distB="0" distL="0" distR="0" wp14:anchorId="1CA5FFD4" wp14:editId="2754332C">
                  <wp:extent cx="2972037" cy="366344"/>
                  <wp:effectExtent l="19050" t="0" r="0" b="0"/>
                  <wp:docPr id="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cstate="print"/>
                          <a:srcRect/>
                          <a:stretch>
                            <a:fillRect/>
                          </a:stretch>
                        </pic:blipFill>
                        <pic:spPr bwMode="auto">
                          <a:xfrm>
                            <a:off x="0" y="0"/>
                            <a:ext cx="2975375" cy="366755"/>
                          </a:xfrm>
                          <a:prstGeom prst="rect">
                            <a:avLst/>
                          </a:prstGeom>
                          <a:noFill/>
                          <a:ln w="9525">
                            <a:noFill/>
                            <a:miter lim="800000"/>
                            <a:headEnd/>
                            <a:tailEnd/>
                          </a:ln>
                        </pic:spPr>
                      </pic:pic>
                    </a:graphicData>
                  </a:graphic>
                </wp:inline>
              </w:drawing>
            </w:r>
          </w:p>
          <w:p w14:paraId="2A5C1A8A" w14:textId="77777777" w:rsidR="00B834A2" w:rsidRPr="0023645A" w:rsidRDefault="00B834A2" w:rsidP="0023645A">
            <w:pPr>
              <w:pStyle w:val="Bodytext20"/>
              <w:shd w:val="clear" w:color="auto" w:fill="auto"/>
              <w:spacing w:before="0" w:line="240" w:lineRule="auto"/>
              <w:rPr>
                <w:rStyle w:val="Bodytext31Sylfaen9"/>
                <w:i w:val="0"/>
                <w:sz w:val="20"/>
                <w:szCs w:val="20"/>
              </w:rPr>
            </w:pPr>
            <w:r w:rsidRPr="0023645A">
              <w:rPr>
                <w:rFonts w:ascii="Sylfaen" w:hAnsi="Sylfaen"/>
                <w:sz w:val="20"/>
                <w:szCs w:val="20"/>
              </w:rPr>
              <w:t>t = 2,0346, եթե ƒ=n</w:t>
            </w:r>
            <w:r w:rsidRPr="0023645A">
              <w:rPr>
                <w:rFonts w:ascii="Sylfaen" w:hAnsi="Sylfaen"/>
                <w:sz w:val="20"/>
                <w:szCs w:val="20"/>
                <w:vertAlign w:val="subscript"/>
              </w:rPr>
              <w:t>1</w:t>
            </w:r>
            <w:r w:rsidRPr="0023645A">
              <w:rPr>
                <w:rFonts w:ascii="Sylfaen" w:hAnsi="Sylfaen"/>
                <w:sz w:val="20"/>
                <w:szCs w:val="20"/>
              </w:rPr>
              <w:t xml:space="preserve"> +n</w:t>
            </w:r>
            <w:r w:rsidRPr="0023645A">
              <w:rPr>
                <w:rFonts w:ascii="Sylfaen" w:hAnsi="Sylfaen"/>
                <w:sz w:val="20"/>
                <w:szCs w:val="20"/>
                <w:vertAlign w:val="subscript"/>
              </w:rPr>
              <w:t>2</w:t>
            </w:r>
            <w:r w:rsidRPr="0023645A">
              <w:rPr>
                <w:rFonts w:ascii="Sylfaen" w:hAnsi="Sylfaen"/>
                <w:sz w:val="20"/>
                <w:szCs w:val="20"/>
              </w:rPr>
              <w:t xml:space="preserve">-2=34 եւ p =0,05, հետեւաբար տարբերության ստորին վստահելի սահմանը հավասար է </w:t>
            </w:r>
            <w:r w:rsidRPr="0023645A">
              <w:rPr>
                <w:rStyle w:val="Bodytext31Sylfaen9"/>
                <w:sz w:val="20"/>
                <w:szCs w:val="20"/>
              </w:rPr>
              <w:t>d - ts</w:t>
            </w:r>
            <w:r w:rsidRPr="0023645A">
              <w:rPr>
                <w:rStyle w:val="Bodytext31Sylfaen9"/>
                <w:sz w:val="20"/>
                <w:szCs w:val="20"/>
                <w:vertAlign w:val="subscript"/>
              </w:rPr>
              <w:t xml:space="preserve">d </w:t>
            </w:r>
            <w:r w:rsidRPr="0023645A">
              <w:rPr>
                <w:rStyle w:val="Bodytext31Sylfaen9"/>
                <w:sz w:val="20"/>
                <w:szCs w:val="20"/>
              </w:rPr>
              <w:t xml:space="preserve">= 1,330 </w:t>
            </w:r>
            <w:r w:rsidR="002E52D1" w:rsidRPr="0023645A">
              <w:rPr>
                <w:rStyle w:val="Bodytext31Sylfaen9"/>
                <w:sz w:val="20"/>
                <w:szCs w:val="20"/>
              </w:rPr>
              <w:t>-</w:t>
            </w:r>
            <w:r w:rsidRPr="0023645A">
              <w:rPr>
                <w:rStyle w:val="Bodytext31Sylfaen9"/>
                <w:sz w:val="20"/>
                <w:szCs w:val="20"/>
              </w:rPr>
              <w:t xml:space="preserve"> 2, 0346 ∙ 0,547 = 0,217, իսկ վերին վստահելի սահմանը հավասար է d-ts</w:t>
            </w:r>
            <w:r w:rsidRPr="0023645A">
              <w:rPr>
                <w:rStyle w:val="Bodytext31Sylfaen9"/>
                <w:sz w:val="20"/>
                <w:szCs w:val="20"/>
                <w:vertAlign w:val="subscript"/>
              </w:rPr>
              <w:t xml:space="preserve">d </w:t>
            </w:r>
            <w:r w:rsidRPr="0023645A">
              <w:rPr>
                <w:rStyle w:val="Bodytext31Sylfaen9"/>
                <w:sz w:val="20"/>
                <w:szCs w:val="20"/>
              </w:rPr>
              <w:t>=</w:t>
            </w:r>
            <w:r w:rsidRPr="0023645A">
              <w:rPr>
                <w:rStyle w:val="Bodytext31Sylfaen9"/>
                <w:sz w:val="20"/>
                <w:szCs w:val="20"/>
                <w:vertAlign w:val="subscript"/>
              </w:rPr>
              <w:t xml:space="preserve"> </w:t>
            </w:r>
            <w:r w:rsidRPr="0023645A">
              <w:rPr>
                <w:rStyle w:val="Bodytext31Sylfaen9"/>
                <w:sz w:val="20"/>
                <w:szCs w:val="20"/>
              </w:rPr>
              <w:t>2,443 (մգ/կգ)։</w:t>
            </w:r>
          </w:p>
        </w:tc>
      </w:tr>
    </w:tbl>
    <w:p w14:paraId="17DB57E8" w14:textId="77777777" w:rsidR="00B834A2" w:rsidRPr="00B834A2" w:rsidRDefault="00B834A2" w:rsidP="00184198">
      <w:pPr>
        <w:pStyle w:val="Bodytext20"/>
        <w:shd w:val="clear" w:color="auto" w:fill="auto"/>
        <w:spacing w:before="0" w:after="160" w:line="341" w:lineRule="auto"/>
        <w:jc w:val="left"/>
        <w:rPr>
          <w:rFonts w:ascii="Sylfaen" w:hAnsi="Sylfaen" w:cs="Sylfaen"/>
          <w:sz w:val="24"/>
          <w:szCs w:val="24"/>
        </w:rPr>
      </w:pPr>
    </w:p>
    <w:p w14:paraId="54C82B08" w14:textId="77777777" w:rsidR="00B834A2" w:rsidRPr="00B834A2" w:rsidRDefault="00B834A2" w:rsidP="00184198">
      <w:pPr>
        <w:pStyle w:val="Bodytext20"/>
        <w:shd w:val="clear" w:color="auto" w:fill="auto"/>
        <w:spacing w:before="0" w:after="160" w:line="341" w:lineRule="auto"/>
        <w:ind w:firstLine="567"/>
        <w:jc w:val="both"/>
        <w:rPr>
          <w:rStyle w:val="Bodytext31Sylfaen9"/>
          <w:sz w:val="24"/>
          <w:szCs w:val="24"/>
        </w:rPr>
      </w:pPr>
      <w:r w:rsidRPr="00B834A2">
        <w:rPr>
          <w:rStyle w:val="Bodytext31Sylfaen9"/>
          <w:sz w:val="24"/>
          <w:szCs w:val="24"/>
        </w:rPr>
        <w:t>Այն բանից, որ t</w:t>
      </w:r>
      <w:r w:rsidRPr="00B834A2">
        <w:rPr>
          <w:rStyle w:val="Bodytext31Sylfaen9"/>
          <w:sz w:val="24"/>
          <w:szCs w:val="24"/>
          <w:vertAlign w:val="subscript"/>
        </w:rPr>
        <w:t>դիտ.</w:t>
      </w:r>
      <w:r w:rsidRPr="00B834A2">
        <w:rPr>
          <w:rStyle w:val="Bodytext31Sylfaen9"/>
          <w:sz w:val="24"/>
          <w:szCs w:val="24"/>
        </w:rPr>
        <w:t xml:space="preserve"> &gt; t</w:t>
      </w:r>
      <w:r w:rsidRPr="00B834A2">
        <w:rPr>
          <w:rStyle w:val="Bodytext31Sylfaen9"/>
          <w:sz w:val="24"/>
          <w:szCs w:val="24"/>
          <w:vertAlign w:val="subscript"/>
        </w:rPr>
        <w:t>կրիտիկ.,</w:t>
      </w:r>
      <w:r>
        <w:rPr>
          <w:rStyle w:val="Bodytext31Sylfaen9"/>
          <w:sz w:val="24"/>
          <w:szCs w:val="24"/>
        </w:rPr>
        <w:t xml:space="preserve"> </w:t>
      </w:r>
      <w:r w:rsidRPr="00B834A2">
        <w:rPr>
          <w:rFonts w:ascii="Sylfaen" w:hAnsi="Sylfaen"/>
          <w:sz w:val="24"/>
          <w:szCs w:val="24"/>
        </w:rPr>
        <w:t xml:space="preserve">եւ </w:t>
      </w:r>
      <w:r w:rsidRPr="00B834A2">
        <w:rPr>
          <w:rStyle w:val="Bodytext31Sylfaen9"/>
          <w:sz w:val="24"/>
          <w:szCs w:val="24"/>
        </w:rPr>
        <w:t>d</w:t>
      </w:r>
      <w:r w:rsidRPr="00B834A2">
        <w:rPr>
          <w:rFonts w:ascii="Sylfaen" w:hAnsi="Sylfaen"/>
          <w:sz w:val="24"/>
          <w:szCs w:val="24"/>
        </w:rPr>
        <w:t xml:space="preserve"> վստահելի սահմանները դրական մեծություններ են, հետեւում է, որ 1-ին փորձարկվող նմուշի եւ 2-րդ փորձարկվող նմուշի ՄԴ</w:t>
      </w:r>
      <w:r w:rsidRPr="00B834A2">
        <w:rPr>
          <w:rFonts w:ascii="Sylfaen" w:hAnsi="Sylfaen"/>
          <w:sz w:val="24"/>
          <w:szCs w:val="24"/>
          <w:vertAlign w:val="subscript"/>
        </w:rPr>
        <w:t>50</w:t>
      </w:r>
      <w:r w:rsidRPr="00B834A2">
        <w:rPr>
          <w:rFonts w:ascii="Sylfaen" w:hAnsi="Sylfaen"/>
          <w:sz w:val="24"/>
          <w:szCs w:val="24"/>
        </w:rPr>
        <w:t>-ները վիճակագրորեն նշանակալի կերպով տարբերվում են</w:t>
      </w:r>
      <w:r>
        <w:rPr>
          <w:rFonts w:ascii="Sylfaen" w:hAnsi="Sylfaen"/>
          <w:sz w:val="24"/>
          <w:szCs w:val="24"/>
        </w:rPr>
        <w:t xml:space="preserve"> </w:t>
      </w:r>
      <w:r w:rsidRPr="00B834A2">
        <w:rPr>
          <w:rStyle w:val="Bodytext2Italic"/>
          <w:sz w:val="24"/>
          <w:szCs w:val="24"/>
        </w:rPr>
        <w:t>(р</w:t>
      </w:r>
      <w:r w:rsidRPr="00B834A2">
        <w:rPr>
          <w:rStyle w:val="Bodytext31Sylfaen9"/>
          <w:sz w:val="24"/>
          <w:szCs w:val="24"/>
        </w:rPr>
        <w:t xml:space="preserve"> = 0,05)</w:t>
      </w:r>
      <w:r w:rsidRPr="00B834A2">
        <w:rPr>
          <w:rFonts w:ascii="Sylfaen" w:hAnsi="Sylfaen"/>
          <w:sz w:val="24"/>
          <w:szCs w:val="24"/>
        </w:rPr>
        <w:t>։</w:t>
      </w:r>
    </w:p>
    <w:p w14:paraId="1E27C440" w14:textId="77777777" w:rsidR="00B834A2" w:rsidRPr="00B834A2" w:rsidRDefault="00B834A2" w:rsidP="00184198">
      <w:pPr>
        <w:pStyle w:val="Bodytext20"/>
        <w:shd w:val="clear" w:color="auto" w:fill="auto"/>
        <w:tabs>
          <w:tab w:val="left" w:pos="1418"/>
        </w:tabs>
        <w:spacing w:before="0" w:after="160" w:line="341" w:lineRule="auto"/>
        <w:ind w:firstLine="567"/>
        <w:jc w:val="both"/>
        <w:rPr>
          <w:rStyle w:val="Bodytext2Italic"/>
          <w:sz w:val="24"/>
          <w:szCs w:val="24"/>
        </w:rPr>
      </w:pPr>
      <w:r w:rsidRPr="00B834A2">
        <w:rPr>
          <w:rStyle w:val="Bodytext2Italic"/>
          <w:sz w:val="24"/>
          <w:szCs w:val="24"/>
        </w:rPr>
        <w:t>4.2.3.</w:t>
      </w:r>
      <w:r w:rsidR="001A3F5E" w:rsidRPr="002E52D1">
        <w:rPr>
          <w:rStyle w:val="Bodytext2Italic"/>
          <w:sz w:val="24"/>
          <w:szCs w:val="24"/>
        </w:rPr>
        <w:tab/>
      </w:r>
      <w:r w:rsidRPr="00B834A2">
        <w:rPr>
          <w:rStyle w:val="Bodytext2Italic"/>
          <w:sz w:val="24"/>
          <w:szCs w:val="24"/>
        </w:rPr>
        <w:t xml:space="preserve">Երկու նմուշների համեմատումն ըստ որակական հատկանիշների (2x2 աղյուսակներ) </w:t>
      </w:r>
    </w:p>
    <w:p w14:paraId="76A085C4" w14:textId="77777777" w:rsidR="00B834A2" w:rsidRPr="0023645A" w:rsidRDefault="00B834A2" w:rsidP="00184198">
      <w:pPr>
        <w:pStyle w:val="Bodytext20"/>
        <w:shd w:val="clear" w:color="auto" w:fill="auto"/>
        <w:spacing w:before="0" w:after="160" w:line="341" w:lineRule="auto"/>
        <w:ind w:firstLine="567"/>
        <w:jc w:val="both"/>
        <w:rPr>
          <w:rFonts w:ascii="Sylfaen" w:hAnsi="Sylfaen" w:cs="Sylfaen"/>
          <w:i/>
          <w:sz w:val="24"/>
          <w:szCs w:val="24"/>
        </w:rPr>
      </w:pPr>
      <w:r w:rsidRPr="0023645A">
        <w:rPr>
          <w:rStyle w:val="Bodytext31Sylfaen9"/>
          <w:i w:val="0"/>
          <w:sz w:val="24"/>
          <w:szCs w:val="24"/>
        </w:rPr>
        <w:t>Երկու նմուշներն ըստ որակական հատկանիշների, օրինակ՝ էֆեկտի առկայության կամ բացակայության, համեմատելիս կարելի է կիրառել չի-քառակուսու չափորոշիչը։ Տվյալ չափորոշչի միջոցով կարելի է նաեւ գնահատել թեստ օբյեկտների ռեակցիայի վիճակագրական նշանակալիությունը՝ դեղամիջոցը կիրառելիս եւ առանց դրա ներգործության։</w:t>
      </w:r>
    </w:p>
    <w:p w14:paraId="0738AB17" w14:textId="77777777" w:rsidR="00B834A2" w:rsidRPr="0023645A" w:rsidRDefault="00B834A2" w:rsidP="00184198">
      <w:pPr>
        <w:pStyle w:val="Bodytext20"/>
        <w:shd w:val="clear" w:color="auto" w:fill="auto"/>
        <w:spacing w:before="0" w:after="160" w:line="341" w:lineRule="auto"/>
        <w:ind w:firstLine="567"/>
        <w:jc w:val="both"/>
        <w:rPr>
          <w:rFonts w:ascii="Sylfaen" w:hAnsi="Sylfaen" w:cs="Sylfaen"/>
          <w:i/>
          <w:sz w:val="24"/>
          <w:szCs w:val="24"/>
        </w:rPr>
      </w:pPr>
      <w:r w:rsidRPr="0023645A">
        <w:rPr>
          <w:rStyle w:val="Bodytext31Sylfaen9"/>
          <w:i w:val="0"/>
          <w:sz w:val="24"/>
          <w:szCs w:val="24"/>
        </w:rPr>
        <w:t>Տվյալ մեթոդը կիրառելի է միայն երկու անկախ ընտրանքների համեմատման համար եւ պիտանի չէ «առաջ եւ հետո» դիտարկումների համեմատման համար։ Կազմվում է հետեւյալ աղյուսակը.</w:t>
      </w:r>
    </w:p>
    <w:p w14:paraId="240840A3" w14:textId="77777777" w:rsidR="00B834A2" w:rsidRPr="0023645A" w:rsidRDefault="00B834A2" w:rsidP="00D16259">
      <w:pPr>
        <w:pStyle w:val="Bodytext20"/>
        <w:shd w:val="clear" w:color="auto" w:fill="auto"/>
        <w:spacing w:before="0" w:after="160" w:line="360" w:lineRule="auto"/>
        <w:ind w:firstLine="567"/>
        <w:jc w:val="both"/>
        <w:rPr>
          <w:rStyle w:val="Bodytext2Italic"/>
          <w:i w:val="0"/>
          <w:sz w:val="24"/>
          <w:szCs w:val="24"/>
        </w:rPr>
      </w:pPr>
      <w:r w:rsidRPr="0023645A">
        <w:rPr>
          <w:rStyle w:val="Bodytext31Sylfaen9"/>
          <w:i w:val="0"/>
          <w:sz w:val="24"/>
          <w:szCs w:val="24"/>
        </w:rPr>
        <w:lastRenderedPageBreak/>
        <w:t>Աղյուսակ 4.2.3-31</w:t>
      </w:r>
      <w:r w:rsidRPr="00B834A2">
        <w:rPr>
          <w:rStyle w:val="Bodytext31Sylfaen9"/>
          <w:sz w:val="24"/>
          <w:szCs w:val="24"/>
        </w:rPr>
        <w:t xml:space="preserve">. </w:t>
      </w:r>
      <w:r w:rsidRPr="0023645A">
        <w:rPr>
          <w:rFonts w:ascii="Sylfaen" w:hAnsi="Sylfaen"/>
          <w:i/>
          <w:sz w:val="24"/>
          <w:szCs w:val="24"/>
        </w:rPr>
        <w:t>Երկու անկախ ընտրանքների՝ ըստ որակական հատկանիշների համեմատման սխեման (դիտարկումների փաստացի թիվը)</w:t>
      </w:r>
    </w:p>
    <w:tbl>
      <w:tblPr>
        <w:tblW w:w="0" w:type="auto"/>
        <w:tblLook w:val="04A0" w:firstRow="1" w:lastRow="0" w:firstColumn="1" w:lastColumn="0" w:noHBand="0" w:noVBand="1"/>
      </w:tblPr>
      <w:tblGrid>
        <w:gridCol w:w="2321"/>
        <w:gridCol w:w="2322"/>
        <w:gridCol w:w="2322"/>
        <w:gridCol w:w="2322"/>
      </w:tblGrid>
      <w:tr w:rsidR="00B834A2" w:rsidRPr="00D16259" w14:paraId="413DE154" w14:textId="77777777" w:rsidTr="00B834A2">
        <w:tc>
          <w:tcPr>
            <w:tcW w:w="2321" w:type="dxa"/>
            <w:tcBorders>
              <w:top w:val="single" w:sz="4" w:space="0" w:color="auto"/>
              <w:bottom w:val="single" w:sz="4" w:space="0" w:color="auto"/>
            </w:tcBorders>
          </w:tcPr>
          <w:p w14:paraId="6BA4784A" w14:textId="77777777" w:rsidR="00B834A2" w:rsidRPr="00D16259" w:rsidRDefault="00B834A2" w:rsidP="0023645A">
            <w:pPr>
              <w:pStyle w:val="Bodytext20"/>
              <w:shd w:val="clear" w:color="auto" w:fill="auto"/>
              <w:spacing w:before="0" w:line="240" w:lineRule="auto"/>
              <w:rPr>
                <w:rStyle w:val="Bodytext2Italic"/>
                <w:i w:val="0"/>
                <w:sz w:val="20"/>
                <w:szCs w:val="24"/>
              </w:rPr>
            </w:pPr>
          </w:p>
        </w:tc>
        <w:tc>
          <w:tcPr>
            <w:tcW w:w="2322" w:type="dxa"/>
            <w:tcBorders>
              <w:top w:val="single" w:sz="4" w:space="0" w:color="auto"/>
              <w:bottom w:val="single" w:sz="4" w:space="0" w:color="auto"/>
            </w:tcBorders>
          </w:tcPr>
          <w:p w14:paraId="1FA7AF3D"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w:t>
            </w:r>
          </w:p>
        </w:tc>
        <w:tc>
          <w:tcPr>
            <w:tcW w:w="2322" w:type="dxa"/>
            <w:tcBorders>
              <w:top w:val="single" w:sz="4" w:space="0" w:color="auto"/>
              <w:bottom w:val="single" w:sz="4" w:space="0" w:color="auto"/>
            </w:tcBorders>
          </w:tcPr>
          <w:p w14:paraId="7EFA707A"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w:t>
            </w:r>
          </w:p>
        </w:tc>
        <w:tc>
          <w:tcPr>
            <w:tcW w:w="2322" w:type="dxa"/>
            <w:tcBorders>
              <w:top w:val="single" w:sz="4" w:space="0" w:color="auto"/>
              <w:bottom w:val="single" w:sz="4" w:space="0" w:color="auto"/>
            </w:tcBorders>
          </w:tcPr>
          <w:p w14:paraId="68B9F6CC"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Գումարը</w:t>
            </w:r>
          </w:p>
        </w:tc>
      </w:tr>
      <w:tr w:rsidR="00B834A2" w:rsidRPr="00D16259" w14:paraId="44F3338A" w14:textId="77777777" w:rsidTr="00B834A2">
        <w:tc>
          <w:tcPr>
            <w:tcW w:w="2321" w:type="dxa"/>
            <w:tcBorders>
              <w:top w:val="single" w:sz="4" w:space="0" w:color="auto"/>
            </w:tcBorders>
          </w:tcPr>
          <w:p w14:paraId="7DFA1899"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1-ին նմուշը</w:t>
            </w:r>
          </w:p>
        </w:tc>
        <w:tc>
          <w:tcPr>
            <w:tcW w:w="2322" w:type="dxa"/>
            <w:tcBorders>
              <w:top w:val="single" w:sz="4" w:space="0" w:color="auto"/>
            </w:tcBorders>
          </w:tcPr>
          <w:p w14:paraId="7E8E918D"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A</w:t>
            </w:r>
          </w:p>
        </w:tc>
        <w:tc>
          <w:tcPr>
            <w:tcW w:w="2322" w:type="dxa"/>
            <w:tcBorders>
              <w:top w:val="single" w:sz="4" w:space="0" w:color="auto"/>
            </w:tcBorders>
          </w:tcPr>
          <w:p w14:paraId="3E72C4AF"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B</w:t>
            </w:r>
          </w:p>
        </w:tc>
        <w:tc>
          <w:tcPr>
            <w:tcW w:w="2322" w:type="dxa"/>
            <w:tcBorders>
              <w:top w:val="single" w:sz="4" w:space="0" w:color="auto"/>
            </w:tcBorders>
          </w:tcPr>
          <w:p w14:paraId="53F04E28"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A+B</w:t>
            </w:r>
          </w:p>
        </w:tc>
      </w:tr>
      <w:tr w:rsidR="00B834A2" w:rsidRPr="00D16259" w14:paraId="6FADAF7F" w14:textId="77777777" w:rsidTr="00B834A2">
        <w:tc>
          <w:tcPr>
            <w:tcW w:w="2321" w:type="dxa"/>
          </w:tcPr>
          <w:p w14:paraId="410D1B43"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2-րդ նմուշը</w:t>
            </w:r>
          </w:p>
        </w:tc>
        <w:tc>
          <w:tcPr>
            <w:tcW w:w="2322" w:type="dxa"/>
          </w:tcPr>
          <w:p w14:paraId="2EDBA2EC"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C</w:t>
            </w:r>
          </w:p>
        </w:tc>
        <w:tc>
          <w:tcPr>
            <w:tcW w:w="2322" w:type="dxa"/>
          </w:tcPr>
          <w:p w14:paraId="3B05F972"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D</w:t>
            </w:r>
          </w:p>
        </w:tc>
        <w:tc>
          <w:tcPr>
            <w:tcW w:w="2322" w:type="dxa"/>
          </w:tcPr>
          <w:p w14:paraId="6F3F6FB7"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C+D</w:t>
            </w:r>
          </w:p>
        </w:tc>
      </w:tr>
      <w:tr w:rsidR="00B834A2" w:rsidRPr="00D16259" w14:paraId="73D80BAF" w14:textId="77777777" w:rsidTr="00B834A2">
        <w:tc>
          <w:tcPr>
            <w:tcW w:w="2321" w:type="dxa"/>
            <w:tcBorders>
              <w:bottom w:val="single" w:sz="4" w:space="0" w:color="auto"/>
            </w:tcBorders>
          </w:tcPr>
          <w:p w14:paraId="75328A41"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Գումարը</w:t>
            </w:r>
          </w:p>
        </w:tc>
        <w:tc>
          <w:tcPr>
            <w:tcW w:w="2322" w:type="dxa"/>
            <w:tcBorders>
              <w:bottom w:val="single" w:sz="4" w:space="0" w:color="auto"/>
            </w:tcBorders>
          </w:tcPr>
          <w:p w14:paraId="2EEEC7D7"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A+C</w:t>
            </w:r>
          </w:p>
        </w:tc>
        <w:tc>
          <w:tcPr>
            <w:tcW w:w="2322" w:type="dxa"/>
            <w:tcBorders>
              <w:bottom w:val="single" w:sz="4" w:space="0" w:color="auto"/>
            </w:tcBorders>
          </w:tcPr>
          <w:p w14:paraId="1975500F"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B+D</w:t>
            </w:r>
          </w:p>
        </w:tc>
        <w:tc>
          <w:tcPr>
            <w:tcW w:w="2322" w:type="dxa"/>
            <w:tcBorders>
              <w:bottom w:val="single" w:sz="4" w:space="0" w:color="auto"/>
            </w:tcBorders>
          </w:tcPr>
          <w:p w14:paraId="448D17D4" w14:textId="77777777" w:rsidR="00B834A2" w:rsidRPr="00D16259" w:rsidRDefault="00B834A2" w:rsidP="0023645A">
            <w:pPr>
              <w:pStyle w:val="Bodytext20"/>
              <w:shd w:val="clear" w:color="auto" w:fill="auto"/>
              <w:spacing w:before="0" w:line="240" w:lineRule="auto"/>
              <w:rPr>
                <w:rStyle w:val="Bodytext2Italic"/>
                <w:i w:val="0"/>
                <w:sz w:val="20"/>
                <w:szCs w:val="24"/>
              </w:rPr>
            </w:pPr>
            <w:r w:rsidRPr="00D16259">
              <w:rPr>
                <w:rStyle w:val="Bodytext2Italic"/>
                <w:sz w:val="20"/>
                <w:szCs w:val="24"/>
              </w:rPr>
              <w:t>A+B+C+D = N</w:t>
            </w:r>
          </w:p>
        </w:tc>
      </w:tr>
    </w:tbl>
    <w:p w14:paraId="42453973" w14:textId="77777777" w:rsidR="00B834A2" w:rsidRPr="00B834A2" w:rsidRDefault="00B834A2" w:rsidP="00B834A2">
      <w:pPr>
        <w:pStyle w:val="Bodytext20"/>
        <w:shd w:val="clear" w:color="auto" w:fill="auto"/>
        <w:spacing w:before="0" w:after="160" w:line="360" w:lineRule="auto"/>
        <w:rPr>
          <w:rStyle w:val="Bodytext2Italic"/>
          <w:sz w:val="24"/>
          <w:szCs w:val="24"/>
        </w:rPr>
      </w:pPr>
    </w:p>
    <w:p w14:paraId="74B9DACC"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Style w:val="Bodytext2Italic"/>
          <w:sz w:val="24"/>
          <w:szCs w:val="24"/>
        </w:rPr>
        <w:t>А, В, С</w:t>
      </w:r>
      <w:r w:rsidRPr="00B834A2">
        <w:rPr>
          <w:rStyle w:val="Bodytext31Sylfaen9"/>
          <w:sz w:val="24"/>
          <w:szCs w:val="24"/>
        </w:rPr>
        <w:t xml:space="preserve"> եւ D՝ էֆեկտի առկայություն (+)</w:t>
      </w:r>
      <w:r>
        <w:rPr>
          <w:rStyle w:val="Bodytext31Sylfaen9"/>
          <w:sz w:val="24"/>
          <w:szCs w:val="24"/>
        </w:rPr>
        <w:t xml:space="preserve"> </w:t>
      </w:r>
      <w:r w:rsidRPr="00B834A2">
        <w:rPr>
          <w:rStyle w:val="Bodytext31Sylfaen9"/>
          <w:sz w:val="24"/>
          <w:szCs w:val="24"/>
        </w:rPr>
        <w:t>կամ բացակայություն (-) դրսեւորած թեստ օբյեկտների թիվը։</w:t>
      </w:r>
    </w:p>
    <w:p w14:paraId="190BC523" w14:textId="77777777" w:rsidR="00B834A2" w:rsidRPr="00B834A2" w:rsidRDefault="00B834A2" w:rsidP="00D16259">
      <w:pPr>
        <w:pStyle w:val="Bodytext20"/>
        <w:shd w:val="clear" w:color="auto" w:fill="auto"/>
        <w:spacing w:before="0" w:after="160" w:line="360" w:lineRule="auto"/>
        <w:ind w:firstLine="567"/>
        <w:jc w:val="both"/>
        <w:rPr>
          <w:rStyle w:val="Bodytext31Sylfaen9"/>
          <w:sz w:val="24"/>
          <w:szCs w:val="24"/>
        </w:rPr>
      </w:pPr>
      <w:r w:rsidRPr="00B834A2">
        <w:rPr>
          <w:rStyle w:val="Bodytext31Sylfaen9"/>
          <w:sz w:val="24"/>
          <w:szCs w:val="24"/>
        </w:rPr>
        <w:t>Հաշվարկվում է դիտարկումների ակնկալվող թիվը։</w:t>
      </w:r>
    </w:p>
    <w:p w14:paraId="7396A175" w14:textId="77777777" w:rsidR="00B834A2" w:rsidRPr="00B834A2" w:rsidRDefault="00B834A2" w:rsidP="00D16259">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Չի-քառակուսու չափորոշչի դիտարկվող արժեքը հաշվարկվում է հետեւյալ բանաձեւով.</w:t>
      </w:r>
    </w:p>
    <w:p w14:paraId="74BD0C39" w14:textId="77777777" w:rsidR="00B834A2" w:rsidRPr="00B834A2" w:rsidRDefault="00000000" w:rsidP="00B834A2">
      <w:pPr>
        <w:pStyle w:val="Bodytext20"/>
        <w:shd w:val="clear" w:color="auto" w:fill="auto"/>
        <w:spacing w:before="0" w:after="160" w:line="360" w:lineRule="auto"/>
        <w:ind w:firstLine="567"/>
        <w:rPr>
          <w:rFonts w:ascii="Sylfaen" w:hAnsi="Sylfaen" w:cs="Sylfaen"/>
          <w:sz w:val="24"/>
          <w:szCs w:val="24"/>
        </w:rPr>
      </w:pPr>
      <w:r>
        <w:rPr>
          <w:rFonts w:ascii="Sylfaen" w:hAnsi="Sylfaen" w:cs="Sylfaen"/>
          <w:noProof/>
          <w:sz w:val="24"/>
          <w:szCs w:val="24"/>
        </w:rPr>
        <w:pict w14:anchorId="643BD994">
          <v:rect id="_x0000_s1368" style="position:absolute;left:0;text-align:left;margin-left:188.6pt;margin-top:22.85pt;width:32.8pt;height:19.95pt;z-index:251732992" stroked="f">
            <v:textbox>
              <w:txbxContent>
                <w:p w14:paraId="2DBCA3F2" w14:textId="77777777" w:rsidR="008D6E8B" w:rsidRPr="00891B48" w:rsidRDefault="008D6E8B" w:rsidP="00B834A2">
                  <w:pPr>
                    <w:rPr>
                      <w:sz w:val="12"/>
                    </w:rPr>
                  </w:pPr>
                  <w:r>
                    <w:rPr>
                      <w:sz w:val="12"/>
                    </w:rPr>
                    <w:t>դիտ.</w:t>
                  </w:r>
                </w:p>
              </w:txbxContent>
            </v:textbox>
          </v:rect>
        </w:pict>
      </w:r>
      <w:r w:rsidR="00B834A2" w:rsidRPr="00B834A2">
        <w:rPr>
          <w:rFonts w:ascii="Sylfaen" w:hAnsi="Sylfaen" w:cs="Sylfaen"/>
          <w:noProof/>
          <w:sz w:val="24"/>
          <w:szCs w:val="24"/>
          <w:lang w:val="en-US" w:eastAsia="en-US" w:bidi="ar-SA"/>
        </w:rPr>
        <w:drawing>
          <wp:inline distT="0" distB="0" distL="0" distR="0" wp14:anchorId="6716DE40" wp14:editId="73593522">
            <wp:extent cx="1639153" cy="502670"/>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print"/>
                    <a:srcRect/>
                    <a:stretch>
                      <a:fillRect/>
                    </a:stretch>
                  </pic:blipFill>
                  <pic:spPr bwMode="auto">
                    <a:xfrm>
                      <a:off x="0" y="0"/>
                      <a:ext cx="1641931" cy="503522"/>
                    </a:xfrm>
                    <a:prstGeom prst="rect">
                      <a:avLst/>
                    </a:prstGeom>
                    <a:noFill/>
                    <a:ln w="9525">
                      <a:noFill/>
                      <a:miter lim="800000"/>
                      <a:headEnd/>
                      <a:tailEnd/>
                    </a:ln>
                  </pic:spPr>
                </pic:pic>
              </a:graphicData>
            </a:graphic>
          </wp:inline>
        </w:drawing>
      </w:r>
    </w:p>
    <w:p w14:paraId="138AD754" w14:textId="77777777" w:rsidR="00B834A2" w:rsidRPr="00B834A2" w:rsidRDefault="00B834A2" w:rsidP="00B834A2">
      <w:pPr>
        <w:pStyle w:val="Bodytext20"/>
        <w:shd w:val="clear" w:color="auto" w:fill="auto"/>
        <w:spacing w:before="0" w:after="160" w:line="360" w:lineRule="auto"/>
        <w:ind w:firstLine="567"/>
        <w:rPr>
          <w:rFonts w:ascii="Sylfaen" w:hAnsi="Sylfaen"/>
          <w:sz w:val="24"/>
          <w:szCs w:val="24"/>
        </w:rPr>
      </w:pPr>
      <w:r w:rsidRPr="00B834A2">
        <w:rPr>
          <w:rFonts w:ascii="Sylfaen" w:hAnsi="Sylfaen"/>
          <w:sz w:val="24"/>
          <w:szCs w:val="24"/>
        </w:rPr>
        <w:t xml:space="preserve">որտեղ` </w:t>
      </w:r>
    </w:p>
    <w:p w14:paraId="5073654A"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color w:val="000000" w:themeColor="text1"/>
          <w:sz w:val="24"/>
          <w:szCs w:val="24"/>
        </w:rPr>
      </w:pPr>
      <w:r w:rsidRPr="00B834A2">
        <w:rPr>
          <w:rFonts w:ascii="Sylfaen" w:hAnsi="Sylfaen"/>
          <w:sz w:val="24"/>
          <w:szCs w:val="24"/>
        </w:rPr>
        <w:t>О-ն խորշում դիտարկումների փաստացի թիվն է.</w:t>
      </w:r>
    </w:p>
    <w:p w14:paraId="7601B56D" w14:textId="77777777" w:rsidR="00B834A2" w:rsidRPr="00B834A2" w:rsidRDefault="00B834A2" w:rsidP="00D16259">
      <w:pPr>
        <w:pStyle w:val="Bodytext20"/>
        <w:shd w:val="clear" w:color="auto" w:fill="auto"/>
        <w:spacing w:before="0" w:after="160" w:line="360" w:lineRule="auto"/>
        <w:ind w:firstLine="567"/>
        <w:jc w:val="both"/>
        <w:rPr>
          <w:rStyle w:val="Bodytext31Sylfaen9"/>
          <w:rFonts w:eastAsia="Times New Roman"/>
          <w:color w:val="000000" w:themeColor="text1"/>
          <w:sz w:val="24"/>
          <w:szCs w:val="24"/>
          <w:shd w:val="clear" w:color="auto" w:fill="auto"/>
        </w:rPr>
      </w:pPr>
      <w:r w:rsidRPr="00B834A2">
        <w:rPr>
          <w:rFonts w:ascii="Sylfaen" w:hAnsi="Sylfaen"/>
          <w:sz w:val="24"/>
          <w:szCs w:val="24"/>
        </w:rPr>
        <w:t>Е-ն՝ խորշում դիտարկումների ակնկալվող թիվը։</w:t>
      </w:r>
    </w:p>
    <w:p w14:paraId="3A9A05DE" w14:textId="77777777" w:rsidR="00B834A2" w:rsidRPr="00B834A2" w:rsidRDefault="00B834A2" w:rsidP="00B834A2">
      <w:pPr>
        <w:pStyle w:val="Tablecaption110"/>
        <w:shd w:val="clear" w:color="auto" w:fill="auto"/>
        <w:spacing w:after="160" w:line="360" w:lineRule="auto"/>
        <w:ind w:right="560" w:firstLine="567"/>
        <w:rPr>
          <w:rFonts w:ascii="Sylfaen" w:hAnsi="Sylfaen" w:cs="Sylfaen"/>
          <w:sz w:val="24"/>
          <w:szCs w:val="24"/>
        </w:rPr>
      </w:pPr>
      <w:r w:rsidRPr="00B834A2">
        <w:rPr>
          <w:rStyle w:val="Bodytext31Sylfaen9"/>
          <w:color w:val="000000" w:themeColor="text1"/>
          <w:sz w:val="24"/>
          <w:szCs w:val="24"/>
        </w:rPr>
        <w:t xml:space="preserve">Աղյուսակ 4.2.3-32. </w:t>
      </w:r>
      <w:r w:rsidRPr="00B834A2">
        <w:rPr>
          <w:rFonts w:ascii="Sylfaen" w:hAnsi="Sylfaen"/>
          <w:sz w:val="24"/>
          <w:szCs w:val="24"/>
        </w:rPr>
        <w:t>Երկու անկախ ընտրանքների՝ ըստ որակական հատկանիշների համեմատման սխեման (դիտարկումների ակնկալվող թիվը)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4"/>
        <w:gridCol w:w="2693"/>
        <w:gridCol w:w="2592"/>
        <w:gridCol w:w="1699"/>
      </w:tblGrid>
      <w:tr w:rsidR="00B834A2" w:rsidRPr="00D16259" w14:paraId="6F71634D" w14:textId="77777777" w:rsidTr="00B834A2">
        <w:trPr>
          <w:jc w:val="center"/>
        </w:trPr>
        <w:tc>
          <w:tcPr>
            <w:tcW w:w="1954" w:type="dxa"/>
            <w:tcBorders>
              <w:top w:val="single" w:sz="4" w:space="0" w:color="auto"/>
            </w:tcBorders>
            <w:shd w:val="clear" w:color="auto" w:fill="FFFFFF"/>
          </w:tcPr>
          <w:p w14:paraId="41DFE573" w14:textId="77777777" w:rsidR="00B834A2" w:rsidRPr="00D16259" w:rsidRDefault="00B834A2" w:rsidP="00D16259">
            <w:pPr>
              <w:spacing w:after="120"/>
              <w:rPr>
                <w:sz w:val="20"/>
              </w:rPr>
            </w:pPr>
          </w:p>
        </w:tc>
        <w:tc>
          <w:tcPr>
            <w:tcW w:w="2693" w:type="dxa"/>
            <w:tcBorders>
              <w:top w:val="single" w:sz="4" w:space="0" w:color="auto"/>
            </w:tcBorders>
            <w:shd w:val="clear" w:color="auto" w:fill="FFFFFF"/>
            <w:vAlign w:val="center"/>
          </w:tcPr>
          <w:p w14:paraId="45723169" w14:textId="77777777" w:rsidR="00B834A2" w:rsidRPr="00D16259" w:rsidRDefault="00B834A2" w:rsidP="00D16259">
            <w:pPr>
              <w:pStyle w:val="Bodytext20"/>
              <w:shd w:val="clear" w:color="auto" w:fill="auto"/>
              <w:spacing w:before="0" w:line="240" w:lineRule="auto"/>
              <w:ind w:left="1520"/>
              <w:jc w:val="left"/>
              <w:rPr>
                <w:rFonts w:ascii="Sylfaen" w:hAnsi="Sylfaen" w:cs="Sylfaen"/>
                <w:sz w:val="20"/>
                <w:szCs w:val="24"/>
              </w:rPr>
            </w:pPr>
            <w:r w:rsidRPr="00D16259">
              <w:rPr>
                <w:rStyle w:val="Bodytext31Sylfaen9"/>
                <w:sz w:val="20"/>
                <w:szCs w:val="24"/>
              </w:rPr>
              <w:t>-</w:t>
            </w:r>
          </w:p>
        </w:tc>
        <w:tc>
          <w:tcPr>
            <w:tcW w:w="2592" w:type="dxa"/>
            <w:tcBorders>
              <w:top w:val="single" w:sz="4" w:space="0" w:color="auto"/>
            </w:tcBorders>
            <w:shd w:val="clear" w:color="auto" w:fill="FFFFFF"/>
            <w:vAlign w:val="center"/>
          </w:tcPr>
          <w:p w14:paraId="48DE71AB"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w:t>
            </w:r>
          </w:p>
        </w:tc>
        <w:tc>
          <w:tcPr>
            <w:tcW w:w="1699" w:type="dxa"/>
            <w:tcBorders>
              <w:top w:val="single" w:sz="4" w:space="0" w:color="auto"/>
            </w:tcBorders>
            <w:shd w:val="clear" w:color="auto" w:fill="FFFFFF"/>
            <w:vAlign w:val="bottom"/>
          </w:tcPr>
          <w:p w14:paraId="18BB95E0"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Գումարը</w:t>
            </w:r>
          </w:p>
        </w:tc>
      </w:tr>
      <w:tr w:rsidR="00B834A2" w:rsidRPr="00D16259" w14:paraId="623A8E24" w14:textId="77777777" w:rsidTr="00B834A2">
        <w:trPr>
          <w:jc w:val="center"/>
        </w:trPr>
        <w:tc>
          <w:tcPr>
            <w:tcW w:w="1954" w:type="dxa"/>
            <w:tcBorders>
              <w:top w:val="single" w:sz="4" w:space="0" w:color="auto"/>
            </w:tcBorders>
            <w:shd w:val="clear" w:color="auto" w:fill="FFFFFF"/>
            <w:vAlign w:val="bottom"/>
          </w:tcPr>
          <w:p w14:paraId="6BFB7243"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1-ին նմուշը</w:t>
            </w:r>
          </w:p>
        </w:tc>
        <w:tc>
          <w:tcPr>
            <w:tcW w:w="2693" w:type="dxa"/>
            <w:tcBorders>
              <w:top w:val="single" w:sz="4" w:space="0" w:color="auto"/>
            </w:tcBorders>
            <w:shd w:val="clear" w:color="auto" w:fill="FFFFFF"/>
            <w:vAlign w:val="bottom"/>
          </w:tcPr>
          <w:p w14:paraId="285B66C2" w14:textId="77777777" w:rsidR="00B834A2" w:rsidRPr="00D16259" w:rsidRDefault="00B834A2" w:rsidP="00D16259">
            <w:pPr>
              <w:pStyle w:val="Bodytext20"/>
              <w:shd w:val="clear" w:color="auto" w:fill="auto"/>
              <w:spacing w:before="0" w:line="240" w:lineRule="auto"/>
              <w:ind w:left="980"/>
              <w:jc w:val="left"/>
              <w:rPr>
                <w:rFonts w:ascii="Sylfaen" w:hAnsi="Sylfaen" w:cs="Sylfaen"/>
                <w:sz w:val="20"/>
                <w:szCs w:val="24"/>
                <w:u w:val="single"/>
              </w:rPr>
            </w:pPr>
            <w:r w:rsidRPr="00D16259">
              <w:rPr>
                <w:rStyle w:val="Bodytext2Italic"/>
                <w:sz w:val="20"/>
                <w:szCs w:val="24"/>
                <w:u w:val="single"/>
              </w:rPr>
              <w:t>(А+В)(А+С)</w:t>
            </w:r>
          </w:p>
          <w:p w14:paraId="5581E20A" w14:textId="77777777" w:rsidR="00B834A2" w:rsidRPr="00D16259" w:rsidRDefault="00B834A2" w:rsidP="00D16259">
            <w:pPr>
              <w:pStyle w:val="Bodytext20"/>
              <w:shd w:val="clear" w:color="auto" w:fill="auto"/>
              <w:spacing w:before="0" w:line="240" w:lineRule="auto"/>
              <w:ind w:left="1520"/>
              <w:jc w:val="left"/>
              <w:rPr>
                <w:rFonts w:ascii="Sylfaen" w:hAnsi="Sylfaen" w:cs="Sylfaen"/>
                <w:sz w:val="20"/>
                <w:szCs w:val="24"/>
              </w:rPr>
            </w:pPr>
            <w:r w:rsidRPr="00D16259">
              <w:rPr>
                <w:rStyle w:val="Bodytext2Italic"/>
                <w:sz w:val="20"/>
                <w:szCs w:val="24"/>
              </w:rPr>
              <w:t>N</w:t>
            </w:r>
          </w:p>
        </w:tc>
        <w:tc>
          <w:tcPr>
            <w:tcW w:w="2592" w:type="dxa"/>
            <w:tcBorders>
              <w:top w:val="single" w:sz="4" w:space="0" w:color="auto"/>
            </w:tcBorders>
            <w:shd w:val="clear" w:color="auto" w:fill="FFFFFF"/>
            <w:vAlign w:val="bottom"/>
          </w:tcPr>
          <w:p w14:paraId="72C970FF" w14:textId="77777777" w:rsidR="00B834A2" w:rsidRPr="00D16259" w:rsidRDefault="00B834A2" w:rsidP="00D16259">
            <w:pPr>
              <w:pStyle w:val="Bodytext20"/>
              <w:shd w:val="clear" w:color="auto" w:fill="auto"/>
              <w:spacing w:before="0" w:line="240" w:lineRule="auto"/>
              <w:rPr>
                <w:rFonts w:ascii="Sylfaen" w:hAnsi="Sylfaen" w:cs="Sylfaen"/>
                <w:sz w:val="20"/>
                <w:szCs w:val="24"/>
                <w:u w:val="single"/>
              </w:rPr>
            </w:pPr>
            <w:r w:rsidRPr="00D16259">
              <w:rPr>
                <w:rStyle w:val="Bodytext2Italic"/>
                <w:sz w:val="20"/>
                <w:szCs w:val="24"/>
                <w:u w:val="single"/>
              </w:rPr>
              <w:t>(А+В)(В+D)</w:t>
            </w:r>
          </w:p>
          <w:p w14:paraId="3500DEE6"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N</w:t>
            </w:r>
          </w:p>
        </w:tc>
        <w:tc>
          <w:tcPr>
            <w:tcW w:w="1699" w:type="dxa"/>
            <w:tcBorders>
              <w:top w:val="single" w:sz="4" w:space="0" w:color="auto"/>
            </w:tcBorders>
            <w:shd w:val="clear" w:color="auto" w:fill="FFFFFF"/>
            <w:vAlign w:val="center"/>
          </w:tcPr>
          <w:p w14:paraId="7D73E58F"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А</w:t>
            </w:r>
            <w:r w:rsidRPr="00D16259">
              <w:rPr>
                <w:rStyle w:val="Bodytext2Italic"/>
                <w:sz w:val="20"/>
                <w:szCs w:val="24"/>
              </w:rPr>
              <w:t>+В</w:t>
            </w:r>
          </w:p>
        </w:tc>
      </w:tr>
      <w:tr w:rsidR="00B834A2" w:rsidRPr="00D16259" w14:paraId="5403EE00" w14:textId="77777777" w:rsidTr="00B834A2">
        <w:trPr>
          <w:jc w:val="center"/>
        </w:trPr>
        <w:tc>
          <w:tcPr>
            <w:tcW w:w="1954" w:type="dxa"/>
            <w:shd w:val="clear" w:color="auto" w:fill="FFFFFF"/>
            <w:vAlign w:val="center"/>
          </w:tcPr>
          <w:p w14:paraId="7B6BEA32"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2-րդ նմուշը</w:t>
            </w:r>
          </w:p>
        </w:tc>
        <w:tc>
          <w:tcPr>
            <w:tcW w:w="2693" w:type="dxa"/>
            <w:shd w:val="clear" w:color="auto" w:fill="FFFFFF"/>
          </w:tcPr>
          <w:p w14:paraId="76046850" w14:textId="77777777" w:rsidR="00B834A2" w:rsidRPr="00D16259" w:rsidRDefault="00B834A2" w:rsidP="00D16259">
            <w:pPr>
              <w:pStyle w:val="Bodytext20"/>
              <w:shd w:val="clear" w:color="auto" w:fill="auto"/>
              <w:spacing w:before="0" w:line="240" w:lineRule="auto"/>
              <w:ind w:left="980"/>
              <w:jc w:val="left"/>
              <w:rPr>
                <w:rFonts w:ascii="Sylfaen" w:hAnsi="Sylfaen" w:cs="Sylfaen"/>
                <w:sz w:val="20"/>
                <w:szCs w:val="24"/>
                <w:u w:val="single"/>
              </w:rPr>
            </w:pPr>
            <w:r w:rsidRPr="00D16259">
              <w:rPr>
                <w:rStyle w:val="Bodytext2Italic"/>
                <w:sz w:val="20"/>
                <w:szCs w:val="24"/>
                <w:u w:val="single"/>
              </w:rPr>
              <w:t>(С+D)(А+С</w:t>
            </w:r>
            <w:r w:rsidRPr="00D16259">
              <w:rPr>
                <w:rStyle w:val="Bodytext31Sylfaen9"/>
                <w:sz w:val="20"/>
                <w:szCs w:val="24"/>
                <w:u w:val="single"/>
              </w:rPr>
              <w:t>)</w:t>
            </w:r>
          </w:p>
          <w:p w14:paraId="2222B17C" w14:textId="77777777" w:rsidR="00B834A2" w:rsidRPr="00D16259" w:rsidRDefault="00B834A2" w:rsidP="00D16259">
            <w:pPr>
              <w:pStyle w:val="Bodytext20"/>
              <w:shd w:val="clear" w:color="auto" w:fill="auto"/>
              <w:spacing w:before="0" w:line="240" w:lineRule="auto"/>
              <w:ind w:left="1520"/>
              <w:jc w:val="left"/>
              <w:rPr>
                <w:rFonts w:ascii="Sylfaen" w:hAnsi="Sylfaen" w:cs="Sylfaen"/>
                <w:sz w:val="20"/>
                <w:szCs w:val="24"/>
              </w:rPr>
            </w:pPr>
            <w:r w:rsidRPr="00D16259">
              <w:rPr>
                <w:rStyle w:val="Bodytext2Italic"/>
                <w:sz w:val="20"/>
                <w:szCs w:val="24"/>
              </w:rPr>
              <w:t>N</w:t>
            </w:r>
          </w:p>
        </w:tc>
        <w:tc>
          <w:tcPr>
            <w:tcW w:w="2592" w:type="dxa"/>
            <w:shd w:val="clear" w:color="auto" w:fill="FFFFFF"/>
          </w:tcPr>
          <w:p w14:paraId="27FFB598" w14:textId="77777777" w:rsidR="00B834A2" w:rsidRPr="00D16259" w:rsidRDefault="00B834A2" w:rsidP="00D16259">
            <w:pPr>
              <w:pStyle w:val="Bodytext20"/>
              <w:shd w:val="clear" w:color="auto" w:fill="auto"/>
              <w:spacing w:before="0" w:line="240" w:lineRule="auto"/>
              <w:rPr>
                <w:rStyle w:val="Bodytext31Sylfaen9"/>
                <w:sz w:val="20"/>
                <w:szCs w:val="24"/>
                <w:u w:val="single"/>
              </w:rPr>
            </w:pPr>
            <w:r w:rsidRPr="00D16259">
              <w:rPr>
                <w:rStyle w:val="Bodytext31Sylfaen9"/>
                <w:sz w:val="20"/>
                <w:szCs w:val="24"/>
                <w:u w:val="single"/>
              </w:rPr>
              <w:t>(С+D)(B+D)</w:t>
            </w:r>
          </w:p>
          <w:p w14:paraId="17E65001"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N</w:t>
            </w:r>
          </w:p>
        </w:tc>
        <w:tc>
          <w:tcPr>
            <w:tcW w:w="1699" w:type="dxa"/>
            <w:shd w:val="clear" w:color="auto" w:fill="FFFFFF"/>
            <w:vAlign w:val="center"/>
          </w:tcPr>
          <w:p w14:paraId="7997EA49"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С+О</w:t>
            </w:r>
          </w:p>
        </w:tc>
      </w:tr>
      <w:tr w:rsidR="00B834A2" w:rsidRPr="00D16259" w14:paraId="2CD70F2B" w14:textId="77777777" w:rsidTr="00B834A2">
        <w:trPr>
          <w:jc w:val="center"/>
        </w:trPr>
        <w:tc>
          <w:tcPr>
            <w:tcW w:w="1954" w:type="dxa"/>
            <w:tcBorders>
              <w:bottom w:val="single" w:sz="4" w:space="0" w:color="auto"/>
            </w:tcBorders>
            <w:shd w:val="clear" w:color="auto" w:fill="FFFFFF"/>
            <w:vAlign w:val="center"/>
          </w:tcPr>
          <w:p w14:paraId="35CE5D07"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Գումարը</w:t>
            </w:r>
          </w:p>
        </w:tc>
        <w:tc>
          <w:tcPr>
            <w:tcW w:w="2693" w:type="dxa"/>
            <w:tcBorders>
              <w:bottom w:val="single" w:sz="4" w:space="0" w:color="auto"/>
            </w:tcBorders>
            <w:shd w:val="clear" w:color="auto" w:fill="FFFFFF"/>
            <w:vAlign w:val="center"/>
          </w:tcPr>
          <w:p w14:paraId="48D3A604" w14:textId="77777777" w:rsidR="00B834A2" w:rsidRPr="00D16259" w:rsidRDefault="00B834A2" w:rsidP="00D16259">
            <w:pPr>
              <w:pStyle w:val="Bodytext20"/>
              <w:shd w:val="clear" w:color="auto" w:fill="auto"/>
              <w:spacing w:before="0" w:line="240" w:lineRule="auto"/>
              <w:ind w:left="1340"/>
              <w:jc w:val="left"/>
              <w:rPr>
                <w:rFonts w:ascii="Sylfaen" w:hAnsi="Sylfaen" w:cs="Sylfaen"/>
                <w:sz w:val="20"/>
                <w:szCs w:val="24"/>
              </w:rPr>
            </w:pPr>
            <w:r w:rsidRPr="00D16259">
              <w:rPr>
                <w:rStyle w:val="Bodytext2Italic"/>
                <w:sz w:val="20"/>
                <w:szCs w:val="24"/>
              </w:rPr>
              <w:t>А+С</w:t>
            </w:r>
          </w:p>
        </w:tc>
        <w:tc>
          <w:tcPr>
            <w:tcW w:w="2592" w:type="dxa"/>
            <w:tcBorders>
              <w:bottom w:val="single" w:sz="4" w:space="0" w:color="auto"/>
            </w:tcBorders>
            <w:shd w:val="clear" w:color="auto" w:fill="FFFFFF"/>
            <w:vAlign w:val="center"/>
          </w:tcPr>
          <w:p w14:paraId="7A94C470"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В+D</w:t>
            </w:r>
          </w:p>
        </w:tc>
        <w:tc>
          <w:tcPr>
            <w:tcW w:w="1699" w:type="dxa"/>
            <w:tcBorders>
              <w:bottom w:val="single" w:sz="4" w:space="0" w:color="auto"/>
            </w:tcBorders>
            <w:shd w:val="clear" w:color="auto" w:fill="FFFFFF"/>
            <w:vAlign w:val="center"/>
          </w:tcPr>
          <w:p w14:paraId="3840E67D"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N</w:t>
            </w:r>
          </w:p>
        </w:tc>
      </w:tr>
    </w:tbl>
    <w:p w14:paraId="516DC295" w14:textId="77777777" w:rsidR="00184198" w:rsidRDefault="00184198" w:rsidP="00B834A2">
      <w:pPr>
        <w:pStyle w:val="Bodytext20"/>
        <w:shd w:val="clear" w:color="auto" w:fill="auto"/>
        <w:spacing w:before="0" w:after="160" w:line="360" w:lineRule="auto"/>
        <w:ind w:firstLine="567"/>
        <w:rPr>
          <w:rFonts w:ascii="Sylfaen" w:hAnsi="Sylfaen" w:cs="Sylfaen"/>
          <w:b/>
          <w:sz w:val="24"/>
          <w:szCs w:val="24"/>
          <w:u w:val="single"/>
        </w:rPr>
      </w:pPr>
    </w:p>
    <w:p w14:paraId="7ACE9F6C" w14:textId="77777777" w:rsidR="00184198" w:rsidRDefault="00184198">
      <w:pPr>
        <w:rPr>
          <w:rFonts w:eastAsia="Times New Roman"/>
          <w:b/>
          <w:u w:val="single"/>
        </w:rPr>
      </w:pPr>
      <w:r>
        <w:rPr>
          <w:b/>
          <w:u w:val="single"/>
        </w:rPr>
        <w:br w:type="page"/>
      </w:r>
    </w:p>
    <w:p w14:paraId="63C6F582" w14:textId="77777777" w:rsidR="00B834A2" w:rsidRPr="00B834A2" w:rsidRDefault="00B834A2" w:rsidP="00B834A2">
      <w:pPr>
        <w:pStyle w:val="Tablecaption110"/>
        <w:shd w:val="clear" w:color="auto" w:fill="auto"/>
        <w:spacing w:after="160" w:line="360" w:lineRule="auto"/>
        <w:ind w:firstLine="567"/>
        <w:rPr>
          <w:rFonts w:ascii="Sylfaen" w:hAnsi="Sylfaen" w:cs="Sylfaen"/>
          <w:sz w:val="24"/>
          <w:szCs w:val="24"/>
        </w:rPr>
      </w:pPr>
      <w:r w:rsidRPr="00B834A2">
        <w:rPr>
          <w:rFonts w:ascii="Sylfaen" w:hAnsi="Sylfaen"/>
          <w:sz w:val="24"/>
          <w:szCs w:val="24"/>
        </w:rPr>
        <w:lastRenderedPageBreak/>
        <w:t>Աղյուսակ 4.2.3-33. «1-ին նմուշի» եւ «2-րդ նմուշի» ազդեցության համեմատումը (դիտարկումների փաստացի թիվը)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5"/>
        <w:gridCol w:w="2674"/>
        <w:gridCol w:w="2603"/>
        <w:gridCol w:w="1688"/>
      </w:tblGrid>
      <w:tr w:rsidR="00B834A2" w:rsidRPr="00D16259" w14:paraId="27155DDC" w14:textId="77777777" w:rsidTr="00B834A2">
        <w:trPr>
          <w:jc w:val="center"/>
        </w:trPr>
        <w:tc>
          <w:tcPr>
            <w:tcW w:w="1955" w:type="dxa"/>
            <w:tcBorders>
              <w:top w:val="single" w:sz="4" w:space="0" w:color="auto"/>
            </w:tcBorders>
            <w:shd w:val="clear" w:color="auto" w:fill="FFFFFF"/>
          </w:tcPr>
          <w:p w14:paraId="62C55F0E" w14:textId="77777777" w:rsidR="00B834A2" w:rsidRPr="00D16259" w:rsidRDefault="00B834A2" w:rsidP="0023645A">
            <w:pPr>
              <w:spacing w:after="120"/>
              <w:rPr>
                <w:sz w:val="20"/>
              </w:rPr>
            </w:pPr>
          </w:p>
        </w:tc>
        <w:tc>
          <w:tcPr>
            <w:tcW w:w="2674" w:type="dxa"/>
            <w:tcBorders>
              <w:top w:val="single" w:sz="4" w:space="0" w:color="auto"/>
            </w:tcBorders>
            <w:shd w:val="clear" w:color="auto" w:fill="FFFFFF"/>
            <w:vAlign w:val="center"/>
          </w:tcPr>
          <w:p w14:paraId="48DC8C54" w14:textId="77777777" w:rsidR="00B834A2" w:rsidRPr="00D16259" w:rsidRDefault="00B834A2" w:rsidP="0023645A">
            <w:pPr>
              <w:pStyle w:val="Bodytext20"/>
              <w:shd w:val="clear" w:color="auto" w:fill="auto"/>
              <w:spacing w:before="0" w:line="240" w:lineRule="auto"/>
              <w:ind w:left="360"/>
              <w:rPr>
                <w:rFonts w:ascii="Sylfaen" w:hAnsi="Sylfaen" w:cs="Sylfaen"/>
                <w:sz w:val="20"/>
                <w:szCs w:val="24"/>
              </w:rPr>
            </w:pPr>
            <w:r w:rsidRPr="00D16259">
              <w:rPr>
                <w:rFonts w:ascii="Sylfaen" w:hAnsi="Sylfaen"/>
                <w:sz w:val="20"/>
                <w:szCs w:val="24"/>
              </w:rPr>
              <w:t>-</w:t>
            </w:r>
          </w:p>
        </w:tc>
        <w:tc>
          <w:tcPr>
            <w:tcW w:w="2603" w:type="dxa"/>
            <w:tcBorders>
              <w:top w:val="single" w:sz="4" w:space="0" w:color="auto"/>
            </w:tcBorders>
            <w:shd w:val="clear" w:color="auto" w:fill="FFFFFF"/>
            <w:vAlign w:val="center"/>
          </w:tcPr>
          <w:p w14:paraId="5000501A"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w:t>
            </w:r>
          </w:p>
        </w:tc>
        <w:tc>
          <w:tcPr>
            <w:tcW w:w="1688" w:type="dxa"/>
            <w:tcBorders>
              <w:top w:val="single" w:sz="4" w:space="0" w:color="auto"/>
            </w:tcBorders>
            <w:shd w:val="clear" w:color="auto" w:fill="FFFFFF"/>
            <w:vAlign w:val="bottom"/>
          </w:tcPr>
          <w:p w14:paraId="370DCA44"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Գումարը</w:t>
            </w:r>
          </w:p>
        </w:tc>
      </w:tr>
      <w:tr w:rsidR="00B834A2" w:rsidRPr="00D16259" w14:paraId="595CB5EA" w14:textId="77777777" w:rsidTr="00B834A2">
        <w:trPr>
          <w:jc w:val="center"/>
        </w:trPr>
        <w:tc>
          <w:tcPr>
            <w:tcW w:w="1955" w:type="dxa"/>
            <w:tcBorders>
              <w:top w:val="single" w:sz="4" w:space="0" w:color="auto"/>
            </w:tcBorders>
            <w:shd w:val="clear" w:color="auto" w:fill="FFFFFF"/>
          </w:tcPr>
          <w:p w14:paraId="79BE7B83" w14:textId="77777777" w:rsidR="00B834A2" w:rsidRPr="00D16259" w:rsidRDefault="00B834A2" w:rsidP="0023645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1-ին նմուշը</w:t>
            </w:r>
          </w:p>
        </w:tc>
        <w:tc>
          <w:tcPr>
            <w:tcW w:w="2674" w:type="dxa"/>
            <w:tcBorders>
              <w:top w:val="single" w:sz="4" w:space="0" w:color="auto"/>
            </w:tcBorders>
            <w:shd w:val="clear" w:color="auto" w:fill="FFFFFF"/>
          </w:tcPr>
          <w:p w14:paraId="1B955271"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42</w:t>
            </w:r>
          </w:p>
        </w:tc>
        <w:tc>
          <w:tcPr>
            <w:tcW w:w="2603" w:type="dxa"/>
            <w:tcBorders>
              <w:top w:val="single" w:sz="4" w:space="0" w:color="auto"/>
            </w:tcBorders>
            <w:shd w:val="clear" w:color="auto" w:fill="FFFFFF"/>
          </w:tcPr>
          <w:p w14:paraId="4A888AA6"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33</w:t>
            </w:r>
          </w:p>
        </w:tc>
        <w:tc>
          <w:tcPr>
            <w:tcW w:w="1688" w:type="dxa"/>
            <w:tcBorders>
              <w:top w:val="single" w:sz="4" w:space="0" w:color="auto"/>
            </w:tcBorders>
            <w:shd w:val="clear" w:color="auto" w:fill="FFFFFF"/>
          </w:tcPr>
          <w:p w14:paraId="733BD4B9"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75</w:t>
            </w:r>
          </w:p>
        </w:tc>
      </w:tr>
      <w:tr w:rsidR="00B834A2" w:rsidRPr="00D16259" w14:paraId="585D1FEF" w14:textId="77777777" w:rsidTr="00B834A2">
        <w:trPr>
          <w:jc w:val="center"/>
        </w:trPr>
        <w:tc>
          <w:tcPr>
            <w:tcW w:w="1955" w:type="dxa"/>
            <w:shd w:val="clear" w:color="auto" w:fill="FFFFFF"/>
          </w:tcPr>
          <w:p w14:paraId="54BBC3D3" w14:textId="77777777" w:rsidR="00B834A2" w:rsidRPr="00D16259" w:rsidRDefault="00B834A2" w:rsidP="0023645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2-րդ նմուշը</w:t>
            </w:r>
          </w:p>
        </w:tc>
        <w:tc>
          <w:tcPr>
            <w:tcW w:w="2674" w:type="dxa"/>
            <w:shd w:val="clear" w:color="auto" w:fill="FFFFFF"/>
            <w:vAlign w:val="center"/>
          </w:tcPr>
          <w:p w14:paraId="42544C1F"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28</w:t>
            </w:r>
          </w:p>
        </w:tc>
        <w:tc>
          <w:tcPr>
            <w:tcW w:w="2603" w:type="dxa"/>
            <w:shd w:val="clear" w:color="auto" w:fill="FFFFFF"/>
          </w:tcPr>
          <w:p w14:paraId="36F90C44"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47</w:t>
            </w:r>
          </w:p>
        </w:tc>
        <w:tc>
          <w:tcPr>
            <w:tcW w:w="1688" w:type="dxa"/>
            <w:shd w:val="clear" w:color="auto" w:fill="FFFFFF"/>
          </w:tcPr>
          <w:p w14:paraId="0B585FBA"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75</w:t>
            </w:r>
          </w:p>
        </w:tc>
      </w:tr>
      <w:tr w:rsidR="00B834A2" w:rsidRPr="00D16259" w14:paraId="649CADC3" w14:textId="77777777" w:rsidTr="00B834A2">
        <w:trPr>
          <w:jc w:val="center"/>
        </w:trPr>
        <w:tc>
          <w:tcPr>
            <w:tcW w:w="1955" w:type="dxa"/>
            <w:tcBorders>
              <w:bottom w:val="single" w:sz="4" w:space="0" w:color="auto"/>
            </w:tcBorders>
            <w:shd w:val="clear" w:color="auto" w:fill="FFFFFF"/>
          </w:tcPr>
          <w:p w14:paraId="079F0AF7" w14:textId="77777777" w:rsidR="00B834A2" w:rsidRPr="00D16259" w:rsidRDefault="00B834A2" w:rsidP="0023645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Գումարը</w:t>
            </w:r>
          </w:p>
        </w:tc>
        <w:tc>
          <w:tcPr>
            <w:tcW w:w="2674" w:type="dxa"/>
            <w:tcBorders>
              <w:bottom w:val="single" w:sz="4" w:space="0" w:color="auto"/>
            </w:tcBorders>
            <w:shd w:val="clear" w:color="auto" w:fill="FFFFFF"/>
          </w:tcPr>
          <w:p w14:paraId="7B7451DC"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70</w:t>
            </w:r>
          </w:p>
        </w:tc>
        <w:tc>
          <w:tcPr>
            <w:tcW w:w="2603" w:type="dxa"/>
            <w:tcBorders>
              <w:bottom w:val="single" w:sz="4" w:space="0" w:color="auto"/>
            </w:tcBorders>
            <w:shd w:val="clear" w:color="auto" w:fill="FFFFFF"/>
            <w:vAlign w:val="center"/>
          </w:tcPr>
          <w:p w14:paraId="3875649A"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80</w:t>
            </w:r>
          </w:p>
        </w:tc>
        <w:tc>
          <w:tcPr>
            <w:tcW w:w="1688" w:type="dxa"/>
            <w:tcBorders>
              <w:bottom w:val="single" w:sz="4" w:space="0" w:color="auto"/>
            </w:tcBorders>
            <w:shd w:val="clear" w:color="auto" w:fill="FFFFFF"/>
          </w:tcPr>
          <w:p w14:paraId="0AA12F35" w14:textId="77777777" w:rsidR="00B834A2" w:rsidRPr="00D16259" w:rsidRDefault="00B834A2" w:rsidP="0023645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150</w:t>
            </w:r>
          </w:p>
        </w:tc>
      </w:tr>
    </w:tbl>
    <w:p w14:paraId="69C303CE"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u w:val="single"/>
        </w:rPr>
      </w:pPr>
    </w:p>
    <w:p w14:paraId="7975DA3D"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 xml:space="preserve">2x2 աղյուսակների համար ազատության աստիճանների թիվը հավասար է՝ </w:t>
      </w:r>
    </w:p>
    <w:p w14:paraId="39423F49" w14:textId="77777777" w:rsidR="00B834A2" w:rsidRPr="00B834A2" w:rsidRDefault="00B834A2" w:rsidP="00B834A2">
      <w:pPr>
        <w:pStyle w:val="Bodytext20"/>
        <w:shd w:val="clear" w:color="auto" w:fill="auto"/>
        <w:spacing w:before="0" w:after="160" w:line="360" w:lineRule="auto"/>
        <w:rPr>
          <w:rFonts w:ascii="Sylfaen" w:hAnsi="Sylfaen" w:cs="Sylfaen"/>
          <w:i/>
          <w:sz w:val="24"/>
          <w:szCs w:val="24"/>
        </w:rPr>
      </w:pPr>
      <w:r w:rsidRPr="00B834A2">
        <w:rPr>
          <w:rStyle w:val="Bodytext31Sylfaen9"/>
          <w:sz w:val="24"/>
          <w:szCs w:val="24"/>
        </w:rPr>
        <w:t>ƒ=(r-</w:t>
      </w:r>
      <w:r w:rsidRPr="00B834A2">
        <w:rPr>
          <w:rStyle w:val="Bodytext285pt"/>
          <w:i w:val="0"/>
          <w:spacing w:val="0"/>
          <w:sz w:val="24"/>
          <w:szCs w:val="24"/>
        </w:rPr>
        <w:t>1</w:t>
      </w:r>
      <w:r w:rsidRPr="00B834A2">
        <w:rPr>
          <w:rStyle w:val="Bodytext31Sylfaen9"/>
          <w:sz w:val="24"/>
          <w:szCs w:val="24"/>
        </w:rPr>
        <w:t>)(с-</w:t>
      </w:r>
      <w:r w:rsidRPr="00B834A2">
        <w:rPr>
          <w:rStyle w:val="Bodytext285pt"/>
          <w:i w:val="0"/>
          <w:spacing w:val="0"/>
          <w:sz w:val="24"/>
          <w:szCs w:val="24"/>
        </w:rPr>
        <w:t>1</w:t>
      </w:r>
      <w:r w:rsidRPr="00B834A2">
        <w:rPr>
          <w:rStyle w:val="Bodytext31Sylfaen9"/>
          <w:sz w:val="24"/>
          <w:szCs w:val="24"/>
        </w:rPr>
        <w:t>) = (</w:t>
      </w:r>
      <w:r w:rsidRPr="00B834A2">
        <w:rPr>
          <w:rStyle w:val="Bodytext285pt"/>
          <w:i w:val="0"/>
          <w:spacing w:val="0"/>
          <w:sz w:val="24"/>
          <w:szCs w:val="24"/>
        </w:rPr>
        <w:t>2</w:t>
      </w:r>
      <w:r w:rsidRPr="00B834A2">
        <w:rPr>
          <w:rStyle w:val="Bodytext31Sylfaen9"/>
          <w:sz w:val="24"/>
          <w:szCs w:val="24"/>
        </w:rPr>
        <w:t>-</w:t>
      </w:r>
      <w:r w:rsidRPr="00B834A2">
        <w:rPr>
          <w:rStyle w:val="Bodytext285pt"/>
          <w:i w:val="0"/>
          <w:spacing w:val="0"/>
          <w:sz w:val="24"/>
          <w:szCs w:val="24"/>
        </w:rPr>
        <w:t>1</w:t>
      </w:r>
      <w:r w:rsidRPr="00B834A2">
        <w:rPr>
          <w:rStyle w:val="Bodytext31Sylfaen9"/>
          <w:sz w:val="24"/>
          <w:szCs w:val="24"/>
        </w:rPr>
        <w:t>)(</w:t>
      </w:r>
      <w:r w:rsidRPr="00B834A2">
        <w:rPr>
          <w:rStyle w:val="Bodytext285pt"/>
          <w:i w:val="0"/>
          <w:spacing w:val="0"/>
          <w:sz w:val="24"/>
          <w:szCs w:val="24"/>
        </w:rPr>
        <w:t>2</w:t>
      </w:r>
      <w:r w:rsidRPr="00B834A2">
        <w:rPr>
          <w:rStyle w:val="Bodytext31Sylfaen9"/>
          <w:sz w:val="24"/>
          <w:szCs w:val="24"/>
        </w:rPr>
        <w:t>-</w:t>
      </w:r>
      <w:r w:rsidRPr="00B834A2">
        <w:rPr>
          <w:rStyle w:val="Bodytext285pt"/>
          <w:i w:val="0"/>
          <w:spacing w:val="0"/>
          <w:sz w:val="24"/>
          <w:szCs w:val="24"/>
        </w:rPr>
        <w:t>1</w:t>
      </w:r>
      <w:r w:rsidRPr="00B834A2">
        <w:rPr>
          <w:rStyle w:val="Bodytext31Sylfaen9"/>
          <w:sz w:val="24"/>
          <w:szCs w:val="24"/>
        </w:rPr>
        <w:t>) = 1,</w:t>
      </w:r>
    </w:p>
    <w:p w14:paraId="3D82A75D" w14:textId="77777777" w:rsidR="00B834A2" w:rsidRPr="00B834A2" w:rsidRDefault="00B834A2" w:rsidP="00B834A2">
      <w:pPr>
        <w:pStyle w:val="Bodytext20"/>
        <w:shd w:val="clear" w:color="auto" w:fill="auto"/>
        <w:spacing w:before="0" w:after="160" w:line="360" w:lineRule="auto"/>
        <w:ind w:firstLine="567"/>
        <w:jc w:val="left"/>
        <w:rPr>
          <w:rStyle w:val="Bodytext31Sylfaen9"/>
          <w:sz w:val="24"/>
          <w:szCs w:val="24"/>
        </w:rPr>
      </w:pPr>
      <w:r w:rsidRPr="00B834A2">
        <w:rPr>
          <w:rStyle w:val="Bodytext31Sylfaen9"/>
          <w:sz w:val="24"/>
          <w:szCs w:val="24"/>
        </w:rPr>
        <w:t>որտեղ`</w:t>
      </w:r>
    </w:p>
    <w:p w14:paraId="585B7E70"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r-ը տողերի թիվն է</w:t>
      </w:r>
    </w:p>
    <w:p w14:paraId="490E7EDB"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с-ն՝ սյունակների թիվը։</w:t>
      </w:r>
    </w:p>
    <w:p w14:paraId="4C256E2D"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Հետեւաբար չի-քառակուսու չափորոշչի կրիտիկական արժեքները՝ </w:t>
      </w:r>
      <w:r w:rsidRPr="00B834A2">
        <w:rPr>
          <w:rStyle w:val="Bodytext31Sylfaen9"/>
          <w:sz w:val="24"/>
          <w:szCs w:val="24"/>
        </w:rPr>
        <w:t>χ</w:t>
      </w:r>
      <w:r w:rsidRPr="00B834A2">
        <w:rPr>
          <w:rStyle w:val="Bodytext285pt"/>
          <w:spacing w:val="0"/>
          <w:sz w:val="24"/>
          <w:szCs w:val="24"/>
          <w:vertAlign w:val="superscript"/>
        </w:rPr>
        <w:t>2</w:t>
      </w:r>
      <w:r w:rsidRPr="00B834A2">
        <w:rPr>
          <w:rFonts w:ascii="Sylfaen" w:hAnsi="Sylfaen"/>
          <w:sz w:val="24"/>
          <w:szCs w:val="24"/>
          <w:vertAlign w:val="subscript"/>
        </w:rPr>
        <w:t>կրիտիկ.</w:t>
      </w:r>
      <w:r w:rsidRPr="00B834A2">
        <w:rPr>
          <w:rStyle w:val="Bodytext31Sylfaen9"/>
          <w:sz w:val="24"/>
          <w:szCs w:val="24"/>
        </w:rPr>
        <w:t xml:space="preserve"> = 3,84 </w:t>
      </w:r>
      <w:r w:rsidRPr="00B834A2">
        <w:rPr>
          <w:rStyle w:val="Bodytext2Italic"/>
          <w:sz w:val="24"/>
          <w:szCs w:val="24"/>
        </w:rPr>
        <w:t>(р =</w:t>
      </w:r>
      <w:r w:rsidRPr="00B834A2">
        <w:rPr>
          <w:rStyle w:val="Bodytext31Sylfaen9"/>
          <w:sz w:val="24"/>
          <w:szCs w:val="24"/>
        </w:rPr>
        <w:t xml:space="preserve"> 0,05). χ</w:t>
      </w:r>
      <w:r w:rsidRPr="00B834A2">
        <w:rPr>
          <w:rStyle w:val="Bodytext285pt"/>
          <w:spacing w:val="0"/>
          <w:sz w:val="24"/>
          <w:szCs w:val="24"/>
          <w:vertAlign w:val="superscript"/>
        </w:rPr>
        <w:t>2</w:t>
      </w:r>
      <w:r w:rsidRPr="00B834A2">
        <w:rPr>
          <w:rStyle w:val="Bodytext31Sylfaen9"/>
          <w:sz w:val="24"/>
          <w:szCs w:val="24"/>
          <w:vertAlign w:val="subscript"/>
        </w:rPr>
        <w:t>կրիտիկ.</w:t>
      </w:r>
      <w:r w:rsidRPr="00B834A2">
        <w:rPr>
          <w:rStyle w:val="Bodytext31Sylfaen9"/>
          <w:sz w:val="24"/>
          <w:szCs w:val="24"/>
        </w:rPr>
        <w:t xml:space="preserve"> = 6,63 </w:t>
      </w:r>
      <w:r w:rsidRPr="00B834A2">
        <w:rPr>
          <w:rStyle w:val="Bodytext2Italic"/>
          <w:sz w:val="24"/>
          <w:szCs w:val="24"/>
        </w:rPr>
        <w:t>(р =</w:t>
      </w:r>
      <w:r w:rsidRPr="00B834A2">
        <w:rPr>
          <w:rStyle w:val="Bodytext31Sylfaen9"/>
          <w:sz w:val="24"/>
          <w:szCs w:val="24"/>
        </w:rPr>
        <w:t xml:space="preserve"> 0,01). χ</w:t>
      </w:r>
      <w:r w:rsidRPr="00B834A2">
        <w:rPr>
          <w:rStyle w:val="Bodytext285pt"/>
          <w:spacing w:val="0"/>
          <w:sz w:val="24"/>
          <w:szCs w:val="24"/>
          <w:vertAlign w:val="superscript"/>
        </w:rPr>
        <w:t>2</w:t>
      </w:r>
      <w:r w:rsidRPr="00B834A2">
        <w:rPr>
          <w:rStyle w:val="Bodytext31Sylfaen9"/>
          <w:sz w:val="24"/>
          <w:szCs w:val="24"/>
          <w:vertAlign w:val="subscript"/>
        </w:rPr>
        <w:t>կրիտիկ.</w:t>
      </w:r>
      <w:r w:rsidRPr="00B834A2">
        <w:rPr>
          <w:rStyle w:val="Bodytext31Sylfaen9"/>
          <w:sz w:val="24"/>
          <w:szCs w:val="24"/>
        </w:rPr>
        <w:t xml:space="preserve"> = 10,83 </w:t>
      </w:r>
      <w:r w:rsidRPr="00B834A2">
        <w:rPr>
          <w:rStyle w:val="Bodytext2Italic"/>
          <w:sz w:val="24"/>
          <w:szCs w:val="24"/>
        </w:rPr>
        <w:t>(р</w:t>
      </w:r>
      <w:r w:rsidRPr="00B834A2">
        <w:rPr>
          <w:rStyle w:val="Bodytext31Sylfaen9"/>
          <w:sz w:val="24"/>
          <w:szCs w:val="24"/>
        </w:rPr>
        <w:t xml:space="preserve"> = </w:t>
      </w:r>
      <w:r w:rsidRPr="00B834A2">
        <w:rPr>
          <w:rStyle w:val="Bodytext285pt"/>
          <w:spacing w:val="0"/>
          <w:sz w:val="24"/>
          <w:szCs w:val="24"/>
        </w:rPr>
        <w:t>0</w:t>
      </w:r>
      <w:r w:rsidRPr="00B834A2">
        <w:rPr>
          <w:rStyle w:val="Bodytext31Sylfaen9"/>
          <w:sz w:val="24"/>
          <w:szCs w:val="24"/>
        </w:rPr>
        <w:t>,</w:t>
      </w:r>
      <w:r w:rsidRPr="00B834A2">
        <w:rPr>
          <w:rStyle w:val="Bodytext285pt"/>
          <w:spacing w:val="0"/>
          <w:sz w:val="24"/>
          <w:szCs w:val="24"/>
        </w:rPr>
        <w:t>001</w:t>
      </w:r>
      <w:r w:rsidRPr="00B834A2">
        <w:rPr>
          <w:rStyle w:val="Bodytext31Sylfaen9"/>
          <w:sz w:val="24"/>
          <w:szCs w:val="24"/>
        </w:rPr>
        <w:t>) հաստատուններ են։</w:t>
      </w:r>
    </w:p>
    <w:p w14:paraId="53008D49"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Style w:val="Bodytext31Sylfaen9"/>
          <w:sz w:val="24"/>
          <w:szCs w:val="24"/>
        </w:rPr>
        <w:t>Օրինակ՝ հիվանդության դեպքերի հաճախականության վրա պատրաստուկների ազդեցության գնահատման համար կենդանիներին սկզբում ներմուծել են համեմատվող փորձարկվող նմուշները, իսկ այնուհետեւ վարակել են հիվանդության հարուցչով։ «1-ին նմուշի» ներմուծումից հետո հիվանդացել են 75 կենդանիներից 33-ը, իսկ «2-րդ նմուշի» ներմուծումից հետո՝ 75-ից 47-ը։</w:t>
      </w:r>
    </w:p>
    <w:p w14:paraId="57391AA9"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Այդ արժեքը գերազանցում է կրիտիկական արժեքը՝ </w:t>
      </w:r>
      <w:r w:rsidRPr="00B834A2">
        <w:rPr>
          <w:rStyle w:val="Bodytext31Sylfaen9"/>
          <w:sz w:val="24"/>
          <w:szCs w:val="24"/>
        </w:rPr>
        <w:t>χ</w:t>
      </w:r>
      <w:r w:rsidRPr="00B834A2">
        <w:rPr>
          <w:rStyle w:val="Bodytext285pt"/>
          <w:spacing w:val="0"/>
          <w:sz w:val="24"/>
          <w:szCs w:val="24"/>
          <w:vertAlign w:val="superscript"/>
        </w:rPr>
        <w:t>2</w:t>
      </w:r>
      <w:r w:rsidRPr="00B834A2">
        <w:rPr>
          <w:rStyle w:val="Bodytext31Sylfaen9"/>
          <w:sz w:val="24"/>
          <w:szCs w:val="24"/>
          <w:vertAlign w:val="subscript"/>
        </w:rPr>
        <w:t xml:space="preserve"> </w:t>
      </w:r>
      <w:r w:rsidRPr="00B834A2">
        <w:rPr>
          <w:rStyle w:val="Bodytext31Sylfaen9"/>
          <w:sz w:val="24"/>
          <w:szCs w:val="24"/>
        </w:rPr>
        <w:t xml:space="preserve">= 3,84 </w:t>
      </w:r>
      <w:r w:rsidRPr="00B834A2">
        <w:rPr>
          <w:rStyle w:val="Bodytext2Italic"/>
          <w:sz w:val="24"/>
          <w:szCs w:val="24"/>
        </w:rPr>
        <w:t>(р =</w:t>
      </w:r>
      <w:r w:rsidRPr="00B834A2">
        <w:rPr>
          <w:rStyle w:val="Bodytext31Sylfaen9"/>
          <w:sz w:val="24"/>
          <w:szCs w:val="24"/>
        </w:rPr>
        <w:t xml:space="preserve"> 0,05. ƒ = 1)։ </w:t>
      </w:r>
      <w:r w:rsidRPr="00B834A2">
        <w:rPr>
          <w:rFonts w:ascii="Sylfaen" w:hAnsi="Sylfaen"/>
          <w:sz w:val="24"/>
          <w:szCs w:val="24"/>
        </w:rPr>
        <w:t xml:space="preserve">Հետեւաբար «1-ին նմուշի» կիրառումը նվազեցնում է հիվանդացության հաճախականությունը </w:t>
      </w:r>
      <w:r w:rsidRPr="00B834A2">
        <w:rPr>
          <w:rStyle w:val="Bodytext2Italic"/>
          <w:sz w:val="24"/>
          <w:szCs w:val="24"/>
        </w:rPr>
        <w:t>(р =</w:t>
      </w:r>
      <w:r w:rsidRPr="00B834A2">
        <w:rPr>
          <w:rStyle w:val="Bodytext31Sylfaen9"/>
          <w:sz w:val="24"/>
          <w:szCs w:val="24"/>
        </w:rPr>
        <w:t xml:space="preserve"> 0,05)։</w:t>
      </w:r>
    </w:p>
    <w:p w14:paraId="44C0A9E0" w14:textId="77777777" w:rsidR="00B834A2" w:rsidRPr="00B834A2" w:rsidRDefault="00B834A2" w:rsidP="00D16259">
      <w:pPr>
        <w:pStyle w:val="Bodytext20"/>
        <w:shd w:val="clear" w:color="auto" w:fill="auto"/>
        <w:spacing w:before="0" w:after="160" w:line="360" w:lineRule="auto"/>
        <w:ind w:firstLine="460"/>
        <w:jc w:val="both"/>
        <w:rPr>
          <w:rFonts w:ascii="Sylfaen" w:hAnsi="Sylfaen" w:cs="Sylfaen"/>
          <w:sz w:val="24"/>
          <w:szCs w:val="24"/>
        </w:rPr>
      </w:pPr>
      <w:r w:rsidRPr="00B834A2">
        <w:rPr>
          <w:rFonts w:ascii="Sylfaen" w:hAnsi="Sylfaen"/>
          <w:sz w:val="24"/>
          <w:szCs w:val="24"/>
        </w:rPr>
        <w:t xml:space="preserve">Եթե ակնկալվող երեւույթի թիվը փոքր է 10-ից թեկուզ մեկ խորշում, ապա </w:t>
      </w:r>
      <w:r w:rsidRPr="00B834A2">
        <w:rPr>
          <w:rStyle w:val="Bodytext285pt"/>
          <w:spacing w:val="0"/>
          <w:sz w:val="24"/>
          <w:szCs w:val="24"/>
        </w:rPr>
        <w:t>2</w:t>
      </w:r>
      <w:r w:rsidRPr="00B834A2">
        <w:rPr>
          <w:rStyle w:val="Bodytext31Sylfaen9"/>
          <w:sz w:val="24"/>
          <w:szCs w:val="24"/>
        </w:rPr>
        <w:t>x</w:t>
      </w:r>
      <w:r w:rsidRPr="00B834A2">
        <w:rPr>
          <w:rStyle w:val="Bodytext285pt"/>
          <w:spacing w:val="0"/>
          <w:sz w:val="24"/>
          <w:szCs w:val="24"/>
        </w:rPr>
        <w:t xml:space="preserve">2 </w:t>
      </w:r>
      <w:r w:rsidRPr="00B834A2">
        <w:rPr>
          <w:rFonts w:ascii="Sylfaen" w:hAnsi="Sylfaen"/>
          <w:sz w:val="24"/>
          <w:szCs w:val="24"/>
        </w:rPr>
        <w:t>աղյուսակների վերլուծության ժամանակ անհրաժեշտ է հաշվարկել չի-քառակուսու չափորոշիչը՝ «շարունակականության մասով ուղղմամբ» (այսպես կոչված՝ Յեթսի ուղղմամբ)։</w:t>
      </w:r>
      <w:r w:rsidRPr="00B834A2">
        <w:rPr>
          <w:rStyle w:val="Bodytext31Sylfaen9"/>
          <w:sz w:val="24"/>
          <w:szCs w:val="24"/>
        </w:rPr>
        <w:t xml:space="preserve"> Այն նվազեցնում է չի-քառակուսու շուրանակական բաշխման եւ ընդհանուր ընտրանքային բաշխման միջեւ առկա տարբերությամբ </w:t>
      </w:r>
      <w:r w:rsidRPr="00B834A2">
        <w:rPr>
          <w:rStyle w:val="Bodytext31Sylfaen9"/>
          <w:sz w:val="24"/>
          <w:szCs w:val="24"/>
        </w:rPr>
        <w:lastRenderedPageBreak/>
        <w:t>պայմանավորված սխալանքը։ Տվյալ ուղղումը նվազեցնում է առաջին տեսակի սխալի հավանականությունը, այսինքն՝ տարբերությունների հայտնաբերումն այնտեղ, որտեղ դրանք չկան։ Այն կայանում է յուրաքանչյուր խորշում դիտարկումների փաստացի եւ ակնկալվող թվի միջեւ տարբերության բացարձակ արժեքից 0,5 հանելու մեջ։</w:t>
      </w:r>
    </w:p>
    <w:p w14:paraId="2E41C01B" w14:textId="77777777" w:rsidR="00B834A2" w:rsidRPr="00B834A2" w:rsidRDefault="00000000" w:rsidP="00B834A2">
      <w:pPr>
        <w:pStyle w:val="Bodytext20"/>
        <w:shd w:val="clear" w:color="auto" w:fill="auto"/>
        <w:spacing w:before="0" w:after="160" w:line="360" w:lineRule="auto"/>
        <w:ind w:firstLine="460"/>
        <w:rPr>
          <w:rStyle w:val="Bodytext285pt"/>
          <w:spacing w:val="0"/>
          <w:sz w:val="24"/>
          <w:szCs w:val="24"/>
        </w:rPr>
      </w:pPr>
      <w:r>
        <w:rPr>
          <w:rFonts w:ascii="Sylfaen" w:hAnsi="Sylfaen" w:cs="Sylfaen"/>
          <w:noProof/>
          <w:sz w:val="24"/>
          <w:szCs w:val="24"/>
        </w:rPr>
        <w:pict w14:anchorId="40584B2B">
          <v:rect id="_x0000_s1369" style="position:absolute;left:0;text-align:left;margin-left:165.55pt;margin-top:18.5pt;width:30.9pt;height:16.65pt;z-index:251734016" stroked="f">
            <v:textbox>
              <w:txbxContent>
                <w:p w14:paraId="0F49BE3B" w14:textId="77777777" w:rsidR="008D6E8B" w:rsidRPr="00D16259" w:rsidRDefault="008D6E8B" w:rsidP="00B834A2">
                  <w:pPr>
                    <w:rPr>
                      <w:sz w:val="12"/>
                      <w:lang w:val="en-US"/>
                    </w:rPr>
                  </w:pPr>
                  <w:r w:rsidRPr="00D16259">
                    <w:rPr>
                      <w:sz w:val="12"/>
                    </w:rPr>
                    <w:t>դիտ</w:t>
                  </w:r>
                </w:p>
              </w:txbxContent>
            </v:textbox>
          </v:rect>
        </w:pict>
      </w:r>
      <w:r w:rsidR="00B834A2" w:rsidRPr="00B834A2">
        <w:rPr>
          <w:rFonts w:ascii="Sylfaen" w:hAnsi="Sylfaen" w:cs="Sylfaen"/>
          <w:noProof/>
          <w:sz w:val="24"/>
          <w:szCs w:val="24"/>
          <w:shd w:val="clear" w:color="auto" w:fill="FFFFFF"/>
          <w:lang w:val="en-US" w:eastAsia="en-US" w:bidi="ar-SA"/>
        </w:rPr>
        <w:drawing>
          <wp:inline distT="0" distB="0" distL="0" distR="0" wp14:anchorId="1648872B" wp14:editId="7776283A">
            <wp:extent cx="2287099" cy="402609"/>
            <wp:effectExtent l="19050" t="0" r="0" b="0"/>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srcRect/>
                    <a:stretch>
                      <a:fillRect/>
                    </a:stretch>
                  </pic:blipFill>
                  <pic:spPr bwMode="auto">
                    <a:xfrm>
                      <a:off x="0" y="0"/>
                      <a:ext cx="2294367" cy="403888"/>
                    </a:xfrm>
                    <a:prstGeom prst="rect">
                      <a:avLst/>
                    </a:prstGeom>
                    <a:noFill/>
                    <a:ln w="9525">
                      <a:noFill/>
                      <a:miter lim="800000"/>
                      <a:headEnd/>
                      <a:tailEnd/>
                    </a:ln>
                  </pic:spPr>
                </pic:pic>
              </a:graphicData>
            </a:graphic>
          </wp:inline>
        </w:drawing>
      </w:r>
    </w:p>
    <w:p w14:paraId="2B739B75" w14:textId="77777777" w:rsidR="00B834A2" w:rsidRPr="00B834A2" w:rsidRDefault="00B834A2" w:rsidP="00B834A2">
      <w:pPr>
        <w:pStyle w:val="Bodytext20"/>
        <w:shd w:val="clear" w:color="auto" w:fill="auto"/>
        <w:spacing w:before="0" w:after="160" w:line="360" w:lineRule="auto"/>
        <w:ind w:firstLine="567"/>
        <w:rPr>
          <w:rStyle w:val="Bodytext31Sylfaen9"/>
          <w:sz w:val="24"/>
          <w:szCs w:val="24"/>
        </w:rPr>
      </w:pPr>
      <w:r w:rsidRPr="00B834A2">
        <w:rPr>
          <w:rFonts w:ascii="Sylfaen" w:hAnsi="Sylfaen"/>
          <w:sz w:val="24"/>
          <w:szCs w:val="24"/>
        </w:rPr>
        <w:t xml:space="preserve">Եթե </w:t>
      </w:r>
      <w:r w:rsidRPr="00B834A2">
        <w:rPr>
          <w:rStyle w:val="Bodytext2Italic"/>
          <w:sz w:val="24"/>
          <w:szCs w:val="24"/>
        </w:rPr>
        <w:t>А, В, С</w:t>
      </w:r>
      <w:r w:rsidRPr="00B834A2">
        <w:rPr>
          <w:rStyle w:val="Bodytext31Sylfaen9"/>
          <w:sz w:val="24"/>
          <w:szCs w:val="24"/>
        </w:rPr>
        <w:t xml:space="preserve"> կամ D </w:t>
      </w:r>
      <w:r w:rsidRPr="00B834A2">
        <w:rPr>
          <w:rFonts w:ascii="Sylfaen" w:hAnsi="Sylfaen"/>
          <w:sz w:val="24"/>
          <w:szCs w:val="24"/>
        </w:rPr>
        <w:t>արժեքը փոքր է 5-ից, ապա չի-քառակուսու չափորոշիչը պետք չէ կիրառել։</w:t>
      </w:r>
      <w:r w:rsidRPr="00B834A2">
        <w:rPr>
          <w:rStyle w:val="Bodytext31Sylfaen9"/>
          <w:sz w:val="24"/>
          <w:szCs w:val="24"/>
        </w:rPr>
        <w:t xml:space="preserve"> Այդպիսի դեպքերում կիրառվում է Ֆիշերի ճշգրիտ չափորոշիչը՝</w:t>
      </w:r>
    </w:p>
    <w:p w14:paraId="0D1FB491" w14:textId="77777777" w:rsidR="00B834A2" w:rsidRPr="00B834A2" w:rsidRDefault="00B834A2" w:rsidP="00B834A2">
      <w:pPr>
        <w:pStyle w:val="Bodytext20"/>
        <w:shd w:val="clear" w:color="auto" w:fill="auto"/>
        <w:spacing w:before="0" w:after="160" w:line="360" w:lineRule="auto"/>
        <w:ind w:firstLine="567"/>
        <w:rPr>
          <w:rFonts w:ascii="Sylfaen" w:hAnsi="Sylfaen" w:cs="Sylfaen"/>
          <w:sz w:val="24"/>
          <w:szCs w:val="24"/>
        </w:rPr>
      </w:pPr>
      <w:r w:rsidRPr="00B834A2">
        <w:rPr>
          <w:rFonts w:ascii="Sylfaen" w:hAnsi="Sylfaen" w:cs="Sylfaen"/>
          <w:noProof/>
          <w:sz w:val="24"/>
          <w:szCs w:val="24"/>
          <w:lang w:val="en-US" w:eastAsia="en-US" w:bidi="ar-SA"/>
        </w:rPr>
        <w:drawing>
          <wp:inline distT="0" distB="0" distL="0" distR="0" wp14:anchorId="0AF22E56" wp14:editId="07E85710">
            <wp:extent cx="2647228" cy="423080"/>
            <wp:effectExtent l="19050" t="0" r="722"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srcRect/>
                    <a:stretch>
                      <a:fillRect/>
                    </a:stretch>
                  </pic:blipFill>
                  <pic:spPr bwMode="auto">
                    <a:xfrm>
                      <a:off x="0" y="0"/>
                      <a:ext cx="2661452" cy="425353"/>
                    </a:xfrm>
                    <a:prstGeom prst="rect">
                      <a:avLst/>
                    </a:prstGeom>
                    <a:noFill/>
                    <a:ln w="9525">
                      <a:noFill/>
                      <a:miter lim="800000"/>
                      <a:headEnd/>
                      <a:tailEnd/>
                    </a:ln>
                  </pic:spPr>
                </pic:pic>
              </a:graphicData>
            </a:graphic>
          </wp:inline>
        </w:drawing>
      </w:r>
    </w:p>
    <w:p w14:paraId="145EE915" w14:textId="77777777" w:rsidR="00184198" w:rsidRDefault="00184198" w:rsidP="00B834A2">
      <w:pPr>
        <w:pStyle w:val="Tablecaption110"/>
        <w:shd w:val="clear" w:color="auto" w:fill="auto"/>
        <w:spacing w:after="160" w:line="360" w:lineRule="auto"/>
        <w:ind w:firstLine="567"/>
        <w:rPr>
          <w:rStyle w:val="Bodytext31Sylfaen9"/>
          <w:sz w:val="24"/>
          <w:szCs w:val="24"/>
          <w:lang w:val="en-US"/>
        </w:rPr>
      </w:pPr>
    </w:p>
    <w:p w14:paraId="18208C45" w14:textId="77777777" w:rsidR="00B834A2" w:rsidRPr="00B834A2" w:rsidRDefault="00B834A2" w:rsidP="00B834A2">
      <w:pPr>
        <w:pStyle w:val="Tablecaption110"/>
        <w:shd w:val="clear" w:color="auto" w:fill="auto"/>
        <w:spacing w:after="160" w:line="360" w:lineRule="auto"/>
        <w:ind w:firstLine="567"/>
        <w:rPr>
          <w:rFonts w:ascii="Sylfaen" w:hAnsi="Sylfaen" w:cs="Sylfaen"/>
          <w:sz w:val="24"/>
          <w:szCs w:val="24"/>
        </w:rPr>
      </w:pPr>
      <w:r w:rsidRPr="00B834A2">
        <w:rPr>
          <w:rStyle w:val="Bodytext31Sylfaen9"/>
          <w:sz w:val="24"/>
          <w:szCs w:val="24"/>
        </w:rPr>
        <w:t xml:space="preserve">Աղյուսակ 4.2.3-34. </w:t>
      </w:r>
      <w:r w:rsidRPr="00B834A2">
        <w:rPr>
          <w:rFonts w:ascii="Sylfaen" w:hAnsi="Sylfaen"/>
          <w:sz w:val="24"/>
          <w:szCs w:val="24"/>
        </w:rPr>
        <w:t>«1-ին նմուշի» եւ «2-րդ նմուշի» ազդեցության համեմատումը (դիտարկումների ակնկալվող թիվը)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55"/>
        <w:gridCol w:w="2674"/>
        <w:gridCol w:w="2603"/>
        <w:gridCol w:w="1688"/>
      </w:tblGrid>
      <w:tr w:rsidR="00B834A2" w:rsidRPr="00D16259" w14:paraId="14E5ED52" w14:textId="77777777" w:rsidTr="00B834A2">
        <w:trPr>
          <w:jc w:val="center"/>
        </w:trPr>
        <w:tc>
          <w:tcPr>
            <w:tcW w:w="1955" w:type="dxa"/>
            <w:tcBorders>
              <w:top w:val="single" w:sz="4" w:space="0" w:color="auto"/>
            </w:tcBorders>
            <w:shd w:val="clear" w:color="auto" w:fill="FFFFFF"/>
          </w:tcPr>
          <w:p w14:paraId="33B1EB0A" w14:textId="77777777" w:rsidR="00B834A2" w:rsidRPr="00D16259" w:rsidRDefault="00B834A2" w:rsidP="003813BA">
            <w:pPr>
              <w:spacing w:after="120"/>
              <w:rPr>
                <w:sz w:val="20"/>
              </w:rPr>
            </w:pPr>
          </w:p>
        </w:tc>
        <w:tc>
          <w:tcPr>
            <w:tcW w:w="2674" w:type="dxa"/>
            <w:tcBorders>
              <w:top w:val="single" w:sz="4" w:space="0" w:color="auto"/>
            </w:tcBorders>
            <w:shd w:val="clear" w:color="auto" w:fill="FFFFFF"/>
            <w:vAlign w:val="center"/>
          </w:tcPr>
          <w:p w14:paraId="4B92AC68" w14:textId="77777777" w:rsidR="00B834A2" w:rsidRPr="00D16259" w:rsidRDefault="00B834A2" w:rsidP="003813BA">
            <w:pPr>
              <w:pStyle w:val="Bodytext20"/>
              <w:shd w:val="clear" w:color="auto" w:fill="auto"/>
              <w:spacing w:before="0" w:line="240" w:lineRule="auto"/>
              <w:ind w:left="360"/>
              <w:rPr>
                <w:rFonts w:ascii="Sylfaen" w:hAnsi="Sylfaen" w:cs="Sylfaen"/>
                <w:sz w:val="20"/>
                <w:szCs w:val="24"/>
              </w:rPr>
            </w:pPr>
            <w:r w:rsidRPr="00D16259">
              <w:rPr>
                <w:rFonts w:ascii="Sylfaen" w:hAnsi="Sylfaen"/>
                <w:sz w:val="20"/>
                <w:szCs w:val="24"/>
              </w:rPr>
              <w:t>-</w:t>
            </w:r>
          </w:p>
        </w:tc>
        <w:tc>
          <w:tcPr>
            <w:tcW w:w="2603" w:type="dxa"/>
            <w:tcBorders>
              <w:top w:val="single" w:sz="4" w:space="0" w:color="auto"/>
            </w:tcBorders>
            <w:shd w:val="clear" w:color="auto" w:fill="FFFFFF"/>
            <w:vAlign w:val="center"/>
          </w:tcPr>
          <w:p w14:paraId="54ED0073"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w:t>
            </w:r>
          </w:p>
        </w:tc>
        <w:tc>
          <w:tcPr>
            <w:tcW w:w="1688" w:type="dxa"/>
            <w:tcBorders>
              <w:top w:val="single" w:sz="4" w:space="0" w:color="auto"/>
            </w:tcBorders>
            <w:shd w:val="clear" w:color="auto" w:fill="FFFFFF"/>
            <w:vAlign w:val="bottom"/>
          </w:tcPr>
          <w:p w14:paraId="2337207C"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Գումարը</w:t>
            </w:r>
          </w:p>
        </w:tc>
      </w:tr>
      <w:tr w:rsidR="00B834A2" w:rsidRPr="00D16259" w14:paraId="379B5B13" w14:textId="77777777" w:rsidTr="00B834A2">
        <w:trPr>
          <w:jc w:val="center"/>
        </w:trPr>
        <w:tc>
          <w:tcPr>
            <w:tcW w:w="1955" w:type="dxa"/>
            <w:tcBorders>
              <w:top w:val="single" w:sz="4" w:space="0" w:color="auto"/>
            </w:tcBorders>
            <w:shd w:val="clear" w:color="auto" w:fill="FFFFFF"/>
          </w:tcPr>
          <w:p w14:paraId="53CE2613" w14:textId="77777777" w:rsidR="00B834A2" w:rsidRPr="00D16259" w:rsidRDefault="00B834A2" w:rsidP="003813B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1-ին նմուշը</w:t>
            </w:r>
          </w:p>
        </w:tc>
        <w:tc>
          <w:tcPr>
            <w:tcW w:w="2674" w:type="dxa"/>
            <w:tcBorders>
              <w:top w:val="single" w:sz="4" w:space="0" w:color="auto"/>
            </w:tcBorders>
            <w:shd w:val="clear" w:color="auto" w:fill="FFFFFF"/>
          </w:tcPr>
          <w:p w14:paraId="26978517" w14:textId="77777777" w:rsidR="00B834A2" w:rsidRPr="00D16259" w:rsidRDefault="00D16259" w:rsidP="003813BA">
            <w:pPr>
              <w:pStyle w:val="Bodytext20"/>
              <w:shd w:val="clear" w:color="auto" w:fill="auto"/>
              <w:spacing w:before="0" w:line="240" w:lineRule="auto"/>
              <w:rPr>
                <w:rFonts w:ascii="Sylfaen" w:hAnsi="Sylfaen" w:cs="Sylfaen"/>
                <w:sz w:val="20"/>
                <w:szCs w:val="24"/>
              </w:rPr>
            </w:pPr>
            <w:r>
              <w:rPr>
                <w:rStyle w:val="Bodytext31Sylfaen9"/>
                <w:sz w:val="20"/>
                <w:szCs w:val="24"/>
              </w:rPr>
              <w:t>75</w:t>
            </w:r>
            <w:r w:rsidR="00B834A2" w:rsidRPr="00D16259">
              <w:rPr>
                <w:rStyle w:val="Bodytext31Sylfaen9"/>
                <w:sz w:val="20"/>
                <w:szCs w:val="24"/>
              </w:rPr>
              <w:t>∙70/150 = 35</w:t>
            </w:r>
          </w:p>
        </w:tc>
        <w:tc>
          <w:tcPr>
            <w:tcW w:w="2603" w:type="dxa"/>
            <w:tcBorders>
              <w:top w:val="single" w:sz="4" w:space="0" w:color="auto"/>
            </w:tcBorders>
            <w:shd w:val="clear" w:color="auto" w:fill="FFFFFF"/>
          </w:tcPr>
          <w:p w14:paraId="1DD98332"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75 ∙ 80/150 = 40</w:t>
            </w:r>
          </w:p>
        </w:tc>
        <w:tc>
          <w:tcPr>
            <w:tcW w:w="1688" w:type="dxa"/>
            <w:tcBorders>
              <w:top w:val="single" w:sz="4" w:space="0" w:color="auto"/>
            </w:tcBorders>
            <w:shd w:val="clear" w:color="auto" w:fill="FFFFFF"/>
          </w:tcPr>
          <w:p w14:paraId="3C8AE5B6"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75</w:t>
            </w:r>
          </w:p>
        </w:tc>
      </w:tr>
      <w:tr w:rsidR="00B834A2" w:rsidRPr="00D16259" w14:paraId="510D27A7" w14:textId="77777777" w:rsidTr="00B834A2">
        <w:trPr>
          <w:jc w:val="center"/>
        </w:trPr>
        <w:tc>
          <w:tcPr>
            <w:tcW w:w="1955" w:type="dxa"/>
            <w:shd w:val="clear" w:color="auto" w:fill="FFFFFF"/>
          </w:tcPr>
          <w:p w14:paraId="5E01A737" w14:textId="77777777" w:rsidR="00B834A2" w:rsidRPr="00D16259" w:rsidRDefault="00B834A2" w:rsidP="003813B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2-րդ նմուշը</w:t>
            </w:r>
          </w:p>
        </w:tc>
        <w:tc>
          <w:tcPr>
            <w:tcW w:w="2674" w:type="dxa"/>
            <w:shd w:val="clear" w:color="auto" w:fill="FFFFFF"/>
          </w:tcPr>
          <w:p w14:paraId="0078D57B" w14:textId="77777777" w:rsidR="00B834A2" w:rsidRPr="00D16259" w:rsidRDefault="00D16259" w:rsidP="003813BA">
            <w:pPr>
              <w:pStyle w:val="Bodytext20"/>
              <w:shd w:val="clear" w:color="auto" w:fill="auto"/>
              <w:spacing w:before="0" w:line="240" w:lineRule="auto"/>
              <w:rPr>
                <w:rFonts w:ascii="Sylfaen" w:hAnsi="Sylfaen" w:cs="Sylfaen"/>
                <w:sz w:val="20"/>
                <w:szCs w:val="24"/>
              </w:rPr>
            </w:pPr>
            <w:r>
              <w:rPr>
                <w:rStyle w:val="Bodytext31Sylfaen9"/>
                <w:sz w:val="20"/>
                <w:szCs w:val="24"/>
              </w:rPr>
              <w:t>75</w:t>
            </w:r>
            <w:r w:rsidR="00B834A2" w:rsidRPr="00D16259">
              <w:rPr>
                <w:rStyle w:val="Bodytext31Sylfaen9"/>
                <w:sz w:val="20"/>
                <w:szCs w:val="24"/>
              </w:rPr>
              <w:t xml:space="preserve"> 70/150 = 35</w:t>
            </w:r>
          </w:p>
        </w:tc>
        <w:tc>
          <w:tcPr>
            <w:tcW w:w="2603" w:type="dxa"/>
            <w:shd w:val="clear" w:color="auto" w:fill="FFFFFF"/>
          </w:tcPr>
          <w:p w14:paraId="36A283C2" w14:textId="77777777" w:rsidR="00B834A2" w:rsidRPr="00D16259" w:rsidRDefault="00D16259" w:rsidP="003813BA">
            <w:pPr>
              <w:pStyle w:val="Bodytext20"/>
              <w:shd w:val="clear" w:color="auto" w:fill="auto"/>
              <w:spacing w:before="0" w:line="240" w:lineRule="auto"/>
              <w:rPr>
                <w:rFonts w:ascii="Sylfaen" w:hAnsi="Sylfaen" w:cs="Sylfaen"/>
                <w:sz w:val="20"/>
                <w:szCs w:val="24"/>
              </w:rPr>
            </w:pPr>
            <w:r>
              <w:rPr>
                <w:rStyle w:val="Bodytext31Sylfaen9"/>
                <w:sz w:val="20"/>
                <w:szCs w:val="24"/>
              </w:rPr>
              <w:t>75</w:t>
            </w:r>
            <w:r w:rsidR="00B834A2" w:rsidRPr="00D16259">
              <w:rPr>
                <w:rStyle w:val="Bodytext31Sylfaen9"/>
                <w:sz w:val="20"/>
                <w:szCs w:val="24"/>
              </w:rPr>
              <w:t xml:space="preserve"> 80/150 = 40</w:t>
            </w:r>
          </w:p>
        </w:tc>
        <w:tc>
          <w:tcPr>
            <w:tcW w:w="1688" w:type="dxa"/>
            <w:shd w:val="clear" w:color="auto" w:fill="FFFFFF"/>
          </w:tcPr>
          <w:p w14:paraId="13A58C89"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75</w:t>
            </w:r>
          </w:p>
        </w:tc>
      </w:tr>
      <w:tr w:rsidR="00B834A2" w:rsidRPr="00D16259" w14:paraId="409336FD" w14:textId="77777777" w:rsidTr="00B834A2">
        <w:trPr>
          <w:jc w:val="center"/>
        </w:trPr>
        <w:tc>
          <w:tcPr>
            <w:tcW w:w="1955" w:type="dxa"/>
            <w:tcBorders>
              <w:bottom w:val="single" w:sz="4" w:space="0" w:color="auto"/>
            </w:tcBorders>
            <w:shd w:val="clear" w:color="auto" w:fill="FFFFFF"/>
          </w:tcPr>
          <w:p w14:paraId="00B7213E" w14:textId="77777777" w:rsidR="00B834A2" w:rsidRPr="00D16259" w:rsidRDefault="00B834A2" w:rsidP="003813BA">
            <w:pPr>
              <w:pStyle w:val="Bodytext20"/>
              <w:shd w:val="clear" w:color="auto" w:fill="auto"/>
              <w:spacing w:before="0" w:line="240" w:lineRule="auto"/>
              <w:jc w:val="left"/>
              <w:rPr>
                <w:rFonts w:ascii="Sylfaen" w:hAnsi="Sylfaen" w:cs="Sylfaen"/>
                <w:sz w:val="20"/>
                <w:szCs w:val="24"/>
              </w:rPr>
            </w:pPr>
            <w:r w:rsidRPr="00D16259">
              <w:rPr>
                <w:rStyle w:val="Bodytext31Sylfaen9"/>
                <w:sz w:val="20"/>
                <w:szCs w:val="24"/>
              </w:rPr>
              <w:t>Գումարը</w:t>
            </w:r>
          </w:p>
        </w:tc>
        <w:tc>
          <w:tcPr>
            <w:tcW w:w="2674" w:type="dxa"/>
            <w:tcBorders>
              <w:bottom w:val="single" w:sz="4" w:space="0" w:color="auto"/>
            </w:tcBorders>
            <w:shd w:val="clear" w:color="auto" w:fill="FFFFFF"/>
          </w:tcPr>
          <w:p w14:paraId="0C82E666"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70</w:t>
            </w:r>
          </w:p>
        </w:tc>
        <w:tc>
          <w:tcPr>
            <w:tcW w:w="2603" w:type="dxa"/>
            <w:tcBorders>
              <w:bottom w:val="single" w:sz="4" w:space="0" w:color="auto"/>
            </w:tcBorders>
            <w:shd w:val="clear" w:color="auto" w:fill="FFFFFF"/>
            <w:vAlign w:val="center"/>
          </w:tcPr>
          <w:p w14:paraId="14CD843E"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80</w:t>
            </w:r>
          </w:p>
        </w:tc>
        <w:tc>
          <w:tcPr>
            <w:tcW w:w="1688" w:type="dxa"/>
            <w:tcBorders>
              <w:bottom w:val="single" w:sz="4" w:space="0" w:color="auto"/>
            </w:tcBorders>
            <w:shd w:val="clear" w:color="auto" w:fill="FFFFFF"/>
          </w:tcPr>
          <w:p w14:paraId="2B56EB72" w14:textId="77777777" w:rsidR="00B834A2" w:rsidRPr="00D16259" w:rsidRDefault="00B834A2" w:rsidP="003813BA">
            <w:pPr>
              <w:pStyle w:val="Bodytext20"/>
              <w:shd w:val="clear" w:color="auto" w:fill="auto"/>
              <w:spacing w:before="0" w:line="240" w:lineRule="auto"/>
              <w:rPr>
                <w:rFonts w:ascii="Sylfaen" w:hAnsi="Sylfaen" w:cs="Sylfaen"/>
                <w:sz w:val="20"/>
                <w:szCs w:val="24"/>
              </w:rPr>
            </w:pPr>
            <w:r w:rsidRPr="00D16259">
              <w:rPr>
                <w:rStyle w:val="Bodytext31Sylfaen9"/>
                <w:sz w:val="20"/>
                <w:szCs w:val="24"/>
              </w:rPr>
              <w:t>150</w:t>
            </w:r>
          </w:p>
        </w:tc>
      </w:tr>
    </w:tbl>
    <w:p w14:paraId="6AB15D70" w14:textId="77777777" w:rsidR="00B834A2" w:rsidRPr="00B834A2" w:rsidRDefault="00B834A2" w:rsidP="00B834A2">
      <w:pPr>
        <w:pStyle w:val="Bodytext20"/>
        <w:shd w:val="clear" w:color="auto" w:fill="auto"/>
        <w:spacing w:before="0" w:after="160" w:line="360" w:lineRule="auto"/>
        <w:rPr>
          <w:rFonts w:ascii="Sylfaen" w:hAnsi="Sylfaen" w:cs="Sylfaen"/>
          <w:b/>
          <w:sz w:val="24"/>
          <w:szCs w:val="24"/>
          <w:u w:val="single"/>
        </w:rPr>
      </w:pPr>
    </w:p>
    <w:p w14:paraId="315A8BD2" w14:textId="77777777" w:rsidR="00B834A2" w:rsidRPr="00B834A2" w:rsidRDefault="00B834A2" w:rsidP="00B834A2">
      <w:pPr>
        <w:pStyle w:val="Bodytext20"/>
        <w:shd w:val="clear" w:color="auto" w:fill="auto"/>
        <w:spacing w:before="0" w:after="160" w:line="360" w:lineRule="auto"/>
        <w:rPr>
          <w:rFonts w:ascii="Sylfaen" w:hAnsi="Sylfaen" w:cs="Sylfaen"/>
          <w:sz w:val="24"/>
          <w:szCs w:val="24"/>
        </w:rPr>
      </w:pPr>
      <w:r w:rsidRPr="00B834A2">
        <w:rPr>
          <w:rStyle w:val="Bodytext31Sylfaen9"/>
          <w:sz w:val="24"/>
          <w:szCs w:val="24"/>
        </w:rPr>
        <w:t>χ</w:t>
      </w:r>
      <w:r w:rsidRPr="00B834A2">
        <w:rPr>
          <w:rStyle w:val="Bodytext285pt"/>
          <w:spacing w:val="0"/>
          <w:sz w:val="24"/>
          <w:szCs w:val="24"/>
          <w:vertAlign w:val="superscript"/>
        </w:rPr>
        <w:t>2</w:t>
      </w:r>
      <w:r w:rsidRPr="00B834A2">
        <w:rPr>
          <w:rStyle w:val="Bodytext31Sylfaen9"/>
          <w:sz w:val="24"/>
          <w:szCs w:val="24"/>
          <w:vertAlign w:val="subscript"/>
        </w:rPr>
        <w:t>դիտ.</w:t>
      </w:r>
      <w:r w:rsidRPr="00B834A2">
        <w:rPr>
          <w:rStyle w:val="Bodytext31Sylfaen9"/>
          <w:sz w:val="24"/>
          <w:szCs w:val="24"/>
        </w:rPr>
        <w:t xml:space="preserve"> = (42-֊35)</w:t>
      </w:r>
      <w:r w:rsidRPr="00B834A2">
        <w:rPr>
          <w:rStyle w:val="Bodytext31Sylfaen9"/>
          <w:sz w:val="24"/>
          <w:szCs w:val="24"/>
          <w:vertAlign w:val="superscript"/>
        </w:rPr>
        <w:t>2</w:t>
      </w:r>
      <w:r w:rsidRPr="00B834A2">
        <w:rPr>
          <w:rStyle w:val="Bodytext31Sylfaen9"/>
          <w:sz w:val="24"/>
          <w:szCs w:val="24"/>
        </w:rPr>
        <w:t>/35 + (28-35)</w:t>
      </w:r>
      <w:r w:rsidRPr="00B834A2">
        <w:rPr>
          <w:rStyle w:val="Bodytext31Sylfaen9"/>
          <w:sz w:val="24"/>
          <w:szCs w:val="24"/>
          <w:vertAlign w:val="superscript"/>
        </w:rPr>
        <w:t>2</w:t>
      </w:r>
      <w:r w:rsidRPr="00B834A2">
        <w:rPr>
          <w:rStyle w:val="Bodytext31Sylfaen9"/>
          <w:sz w:val="24"/>
          <w:szCs w:val="24"/>
        </w:rPr>
        <w:t>/35+(33-40)</w:t>
      </w:r>
      <w:r w:rsidRPr="00B834A2">
        <w:rPr>
          <w:rStyle w:val="Bodytext31Sylfaen9"/>
          <w:sz w:val="24"/>
          <w:szCs w:val="24"/>
          <w:vertAlign w:val="superscript"/>
        </w:rPr>
        <w:t>2</w:t>
      </w:r>
      <w:r w:rsidRPr="00B834A2">
        <w:rPr>
          <w:rStyle w:val="Bodytext31Sylfaen9"/>
          <w:sz w:val="24"/>
          <w:szCs w:val="24"/>
        </w:rPr>
        <w:t>/40+(47-40)</w:t>
      </w:r>
      <w:r w:rsidRPr="00B834A2">
        <w:rPr>
          <w:rStyle w:val="Bodytext31Sylfaen9"/>
          <w:sz w:val="24"/>
          <w:szCs w:val="24"/>
          <w:vertAlign w:val="superscript"/>
        </w:rPr>
        <w:t>2</w:t>
      </w:r>
      <w:r w:rsidRPr="00B834A2">
        <w:rPr>
          <w:rStyle w:val="Bodytext31Sylfaen9"/>
          <w:sz w:val="24"/>
          <w:szCs w:val="24"/>
        </w:rPr>
        <w:t>/40 = 5,25։</w:t>
      </w:r>
    </w:p>
    <w:p w14:paraId="79B2D3F9" w14:textId="77777777" w:rsidR="00B834A2" w:rsidRPr="00B834A2" w:rsidRDefault="00B834A2" w:rsidP="00D16259">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Ստացված Р արժեքը համեմատվում է նշանակալիության ընդունված կրիտիկական մակարդակի հետ (սովորաբար 0,05, 0,01 կամ 0,001)։ Եթե չափորոշչի ստացված արժեքը դրանից փոքր է, ապա վիճակագրորեն նշանակալի տարբերության բացակայության մասին զրոյական վարկածը մերժվում է, իսկ հակառակ դեպքում՝ ընդունվում։</w:t>
      </w:r>
    </w:p>
    <w:p w14:paraId="5C7AEBBF" w14:textId="77777777" w:rsidR="00184198" w:rsidRDefault="00184198">
      <w:pPr>
        <w:rPr>
          <w:rFonts w:eastAsia="Times New Roman"/>
        </w:rPr>
      </w:pPr>
      <w:r>
        <w:br w:type="page"/>
      </w:r>
    </w:p>
    <w:p w14:paraId="72B2D4A0" w14:textId="77777777" w:rsidR="00B834A2" w:rsidRPr="003813BA" w:rsidRDefault="00B834A2" w:rsidP="00D16259">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3813BA">
        <w:rPr>
          <w:rStyle w:val="Bodytext31Sylfaen9"/>
          <w:b/>
          <w:i w:val="0"/>
          <w:sz w:val="24"/>
          <w:szCs w:val="24"/>
        </w:rPr>
        <w:lastRenderedPageBreak/>
        <w:t>5.</w:t>
      </w:r>
      <w:r w:rsidR="00D16259" w:rsidRPr="003813BA">
        <w:rPr>
          <w:rStyle w:val="Bodytext31Sylfaen9"/>
          <w:b/>
          <w:i w:val="0"/>
          <w:sz w:val="24"/>
          <w:szCs w:val="24"/>
        </w:rPr>
        <w:tab/>
      </w:r>
      <w:r w:rsidRPr="003813BA">
        <w:rPr>
          <w:rStyle w:val="Bodytext31Sylfaen9"/>
          <w:b/>
          <w:i w:val="0"/>
          <w:sz w:val="24"/>
          <w:szCs w:val="24"/>
        </w:rPr>
        <w:t>ԿԵՆՍԱԲԱՆԱԿԱՆ ԱԿՏԻՎՈՒԹՅԱՆ ԱՆԿԱԽ ՈՐՈՇՈՒՄՆԵՐԻ ԱՐԴՅՈՒՆՔՆԵՐԻ ՄԻԱՎՈՐՈՒՄԸ</w:t>
      </w:r>
    </w:p>
    <w:p w14:paraId="519400F3"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i/>
          <w:sz w:val="24"/>
          <w:szCs w:val="24"/>
        </w:rPr>
      </w:pPr>
      <w:r w:rsidRPr="003813BA">
        <w:rPr>
          <w:rStyle w:val="Bodytext31Sylfaen9"/>
          <w:i w:val="0"/>
          <w:sz w:val="24"/>
          <w:szCs w:val="24"/>
        </w:rPr>
        <w:t>Միեւնույն փորձարկվող նմուշի կենսաբանական ակտիվության n որոշումների արդյունքները միավորելու անհրաժեշտության դեպքում կիրառվում</w:t>
      </w:r>
      <w:r w:rsidR="003813BA" w:rsidRPr="003813BA">
        <w:rPr>
          <w:rFonts w:ascii="Sylfaen" w:eastAsia="Sylfaen" w:hAnsi="Sylfaen"/>
          <w:sz w:val="20"/>
          <w:szCs w:val="20"/>
        </w:rPr>
        <w:t> </w:t>
      </w:r>
      <w:r w:rsidRPr="003813BA">
        <w:rPr>
          <w:rStyle w:val="Bodytext31Sylfaen9"/>
          <w:i w:val="0"/>
          <w:sz w:val="24"/>
          <w:szCs w:val="24"/>
        </w:rPr>
        <w:t>են հետեւյալ եղանակները։</w:t>
      </w:r>
    </w:p>
    <w:p w14:paraId="35F549D0"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Style w:val="Bodytext31Sylfaen9"/>
          <w:i w:val="0"/>
          <w:sz w:val="24"/>
          <w:szCs w:val="24"/>
        </w:rPr>
        <w:t>Եթե տվյալները ստացվել են զուգահեռ ուղիղ գծերի մոդելի վրա հիմնված մեթոդների (3.1, 4.1-4.7 բաժիններ) կամ պրոբիտ վերլուծության (5.1 բաժին) միջոցով, ապա ակտիվության ստացված արժեքները միավորելուց առաջ անհրաժեշտ է ներկայացնել լոգարիթմի տեսքով։ Անկյունային գործակիցների մոդելի (3.2 բաժին) կիրառման դեպքում ստացված ակտիվության արժեքները միավորվում են առանց փոխակերպումների</w:t>
      </w:r>
      <w:r w:rsidRPr="00B834A2">
        <w:rPr>
          <w:rStyle w:val="Bodytext31Sylfaen9"/>
          <w:sz w:val="24"/>
          <w:szCs w:val="24"/>
        </w:rPr>
        <w:t xml:space="preserve">։ </w:t>
      </w:r>
      <w:r w:rsidRPr="00B834A2">
        <w:rPr>
          <w:rFonts w:ascii="Sylfaen" w:hAnsi="Sylfaen"/>
          <w:sz w:val="24"/>
          <w:szCs w:val="24"/>
        </w:rPr>
        <w:t>Քանի որ զուգահեռ ուղիղ գծերի մոդելն անկյունային գործակիցների մոդելից ավելի հաճախ է օգտագործվում, տվյալ բաժնում կիրառվում է М պայմանանշանը, որով նշվում է կենսաբանական ակտիվության լոգարիթմը։</w:t>
      </w:r>
      <w:r w:rsidRPr="00B834A2">
        <w:rPr>
          <w:rStyle w:val="Bodytext31Sylfaen9"/>
          <w:sz w:val="24"/>
          <w:szCs w:val="24"/>
        </w:rPr>
        <w:t xml:space="preserve"> </w:t>
      </w:r>
      <w:r w:rsidRPr="00B834A2">
        <w:rPr>
          <w:rFonts w:ascii="Sylfaen" w:hAnsi="Sylfaen"/>
          <w:sz w:val="24"/>
          <w:szCs w:val="24"/>
        </w:rPr>
        <w:t>М-ի փոխարեն անկյունային գործակիցների մոդելի օգտագործման դեպքում հարկավոր է տեղադրել անկյունային գործակիցների հարաբերությունները՝</w:t>
      </w:r>
      <w:r w:rsidRPr="00B834A2">
        <w:rPr>
          <w:rStyle w:val="Bodytext31Sylfaen9"/>
          <w:sz w:val="24"/>
          <w:szCs w:val="24"/>
        </w:rPr>
        <w:t xml:space="preserve"> </w:t>
      </w:r>
      <m:oMath>
        <m:r>
          <w:rPr>
            <w:rFonts w:ascii="Cambria Math" w:hAnsi="Cambria Math" w:cs="Sylfaen"/>
            <w:sz w:val="24"/>
            <w:szCs w:val="24"/>
          </w:rPr>
          <m:t>R=</m:t>
        </m:r>
        <m:f>
          <m:fPr>
            <m:ctrlPr>
              <w:rPr>
                <w:rStyle w:val="Bodytext31Sylfaen9"/>
                <w:rFonts w:ascii="Cambria Math" w:hAnsi="Cambria Math"/>
                <w:i w:val="0"/>
                <w:iCs w:val="0"/>
                <w:sz w:val="24"/>
                <w:szCs w:val="24"/>
              </w:rPr>
            </m:ctrlPr>
          </m:fPr>
          <m:num>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b</m:t>
                </m:r>
              </m:e>
              <m:sub>
                <m:r>
                  <w:rPr>
                    <w:rStyle w:val="Bodytext31Sylfaen9"/>
                    <w:rFonts w:ascii="Cambria Math" w:hAnsi="Cambria Math"/>
                    <w:sz w:val="24"/>
                    <w:szCs w:val="24"/>
                  </w:rPr>
                  <m:t>U</m:t>
                </m:r>
              </m:sub>
            </m:sSub>
          </m:num>
          <m:den>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b</m:t>
                </m:r>
              </m:e>
              <m:sub>
                <m:r>
                  <w:rPr>
                    <w:rStyle w:val="Bodytext31Sylfaen9"/>
                    <w:rFonts w:ascii="Cambria Math" w:hAnsi="Cambria Math"/>
                    <w:sz w:val="24"/>
                    <w:szCs w:val="24"/>
                  </w:rPr>
                  <m:t>S</m:t>
                </m:r>
              </m:sub>
            </m:sSub>
          </m:den>
        </m:f>
      </m:oMath>
      <w:r w:rsidRPr="00B834A2">
        <w:rPr>
          <w:rStyle w:val="Bodytext31Sylfaen9"/>
          <w:sz w:val="24"/>
          <w:szCs w:val="24"/>
        </w:rPr>
        <w:t>։</w:t>
      </w:r>
    </w:p>
    <w:p w14:paraId="1E1D7ABE" w14:textId="77777777" w:rsidR="00B834A2" w:rsidRPr="003813BA" w:rsidRDefault="00B834A2" w:rsidP="00D16259">
      <w:pPr>
        <w:pStyle w:val="Bodytext20"/>
        <w:shd w:val="clear" w:color="auto" w:fill="auto"/>
        <w:tabs>
          <w:tab w:val="left" w:pos="1134"/>
        </w:tabs>
        <w:spacing w:before="0" w:after="160" w:line="360" w:lineRule="auto"/>
        <w:ind w:firstLine="567"/>
        <w:jc w:val="both"/>
        <w:rPr>
          <w:rFonts w:ascii="Sylfaen" w:hAnsi="Sylfaen" w:cs="Sylfaen"/>
          <w:b/>
          <w:i/>
          <w:sz w:val="24"/>
          <w:szCs w:val="24"/>
        </w:rPr>
      </w:pPr>
      <w:r w:rsidRPr="003813BA">
        <w:rPr>
          <w:rStyle w:val="Bodytext31Sylfaen9"/>
          <w:b/>
          <w:i w:val="0"/>
          <w:sz w:val="24"/>
          <w:szCs w:val="24"/>
        </w:rPr>
        <w:t>5.1.</w:t>
      </w:r>
      <w:r w:rsidR="00D16259" w:rsidRPr="003813BA">
        <w:rPr>
          <w:rStyle w:val="Bodytext31Sylfaen9"/>
          <w:b/>
          <w:i w:val="0"/>
          <w:sz w:val="24"/>
          <w:szCs w:val="24"/>
        </w:rPr>
        <w:tab/>
      </w:r>
      <w:r w:rsidRPr="003813BA">
        <w:rPr>
          <w:rStyle w:val="Bodytext31Sylfaen9"/>
          <w:b/>
          <w:i w:val="0"/>
          <w:sz w:val="24"/>
          <w:szCs w:val="24"/>
        </w:rPr>
        <w:t>Կշռված միջինը</w:t>
      </w:r>
    </w:p>
    <w:p w14:paraId="6BFA9E1E"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Style w:val="Bodytext31Sylfaen9"/>
          <w:i w:val="0"/>
          <w:sz w:val="24"/>
          <w:szCs w:val="24"/>
        </w:rPr>
        <w:t>Տվյալ մեթոդը կարող է կիրառվել հետեւյալ պայմանները կատարելու դեպքում.</w:t>
      </w:r>
    </w:p>
    <w:p w14:paraId="0890CF9A"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Style w:val="Bodytext31Sylfaen9"/>
          <w:i w:val="0"/>
          <w:sz w:val="24"/>
          <w:szCs w:val="24"/>
        </w:rPr>
        <w:t>միավորվող փորձարկումների անկախությունը.</w:t>
      </w:r>
    </w:p>
    <w:p w14:paraId="3678ED3C" w14:textId="77777777" w:rsidR="00B834A2" w:rsidRPr="003813BA" w:rsidRDefault="00B834A2" w:rsidP="00D16259">
      <w:pPr>
        <w:pStyle w:val="Bodytext20"/>
        <w:shd w:val="clear" w:color="auto" w:fill="auto"/>
        <w:spacing w:before="0" w:after="160" w:line="360" w:lineRule="auto"/>
        <w:ind w:firstLine="567"/>
        <w:rPr>
          <w:rStyle w:val="Bodytext31Sylfaen9"/>
          <w:i w:val="0"/>
          <w:sz w:val="24"/>
          <w:szCs w:val="24"/>
        </w:rPr>
      </w:pPr>
      <w:r w:rsidRPr="003813BA">
        <w:rPr>
          <w:rStyle w:val="Bodytext31Sylfaen9"/>
          <w:i w:val="0"/>
          <w:sz w:val="24"/>
          <w:szCs w:val="24"/>
        </w:rPr>
        <w:t>С արժեքը &lt; 1,1.</w:t>
      </w:r>
    </w:p>
    <w:p w14:paraId="5831E9AB"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Fonts w:ascii="Sylfaen" w:hAnsi="Sylfaen"/>
          <w:sz w:val="24"/>
          <w:szCs w:val="24"/>
        </w:rPr>
        <w:t>փորձերի դիսպերսիաների համար ազատության աստիճանների թիվը («Շեղում» կամ «Շեղում 2» ցուցանիշը)՝ 6-ից ոչ պակաս, սակայն ցանկալի է 15-ից ավելի.</w:t>
      </w:r>
    </w:p>
    <w:p w14:paraId="0DDE1AEB"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Style w:val="Bodytext31Sylfaen9"/>
          <w:i w:val="0"/>
          <w:sz w:val="24"/>
          <w:szCs w:val="24"/>
        </w:rPr>
        <w:t>միավորվող արդյունքների միատեսակությունը (5.1.2 բաժին)։</w:t>
      </w:r>
    </w:p>
    <w:p w14:paraId="1CBB5C06" w14:textId="77777777" w:rsidR="00B834A2" w:rsidRPr="003813BA" w:rsidRDefault="00B834A2" w:rsidP="00B834A2">
      <w:pPr>
        <w:pStyle w:val="Bodytext20"/>
        <w:shd w:val="clear" w:color="auto" w:fill="auto"/>
        <w:spacing w:before="0" w:after="160" w:line="360" w:lineRule="auto"/>
        <w:ind w:left="380" w:firstLine="567"/>
        <w:jc w:val="left"/>
        <w:rPr>
          <w:rStyle w:val="Bodytext2Italic"/>
          <w:i w:val="0"/>
          <w:sz w:val="24"/>
          <w:szCs w:val="24"/>
        </w:rPr>
      </w:pPr>
    </w:p>
    <w:p w14:paraId="5AC623ED"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3813BA">
        <w:rPr>
          <w:rStyle w:val="Bodytext2Italic"/>
          <w:sz w:val="24"/>
          <w:szCs w:val="24"/>
        </w:rPr>
        <w:lastRenderedPageBreak/>
        <w:t>5.1.1.</w:t>
      </w:r>
      <w:r w:rsidR="00D16259" w:rsidRPr="003813BA">
        <w:rPr>
          <w:rStyle w:val="Bodytext2Italic"/>
          <w:sz w:val="24"/>
          <w:szCs w:val="24"/>
        </w:rPr>
        <w:tab/>
      </w:r>
      <w:r w:rsidRPr="003813BA">
        <w:rPr>
          <w:rStyle w:val="Bodytext2Italic"/>
          <w:sz w:val="24"/>
          <w:szCs w:val="24"/>
        </w:rPr>
        <w:t xml:space="preserve">Կշռային գործակիցը եւ միջին կշռված կենսաբանական ակտիվությունը </w:t>
      </w:r>
    </w:p>
    <w:p w14:paraId="7E5D1B74" w14:textId="77777777" w:rsidR="00B834A2" w:rsidRPr="003813BA" w:rsidRDefault="00B834A2" w:rsidP="00D16259">
      <w:pPr>
        <w:pStyle w:val="Bodytext20"/>
        <w:shd w:val="clear" w:color="auto" w:fill="auto"/>
        <w:spacing w:before="0" w:after="160" w:line="360" w:lineRule="auto"/>
        <w:ind w:firstLine="567"/>
        <w:jc w:val="both"/>
        <w:rPr>
          <w:rStyle w:val="Bodytext31Sylfaen9"/>
          <w:i w:val="0"/>
          <w:sz w:val="24"/>
          <w:szCs w:val="24"/>
        </w:rPr>
      </w:pPr>
      <w:r w:rsidRPr="003813BA">
        <w:rPr>
          <w:rStyle w:val="Bodytext31Sylfaen9"/>
          <w:i w:val="0"/>
          <w:sz w:val="24"/>
          <w:szCs w:val="24"/>
        </w:rPr>
        <w:t>Եթե միավորվող բոլոր կենսաբանական փորձարկումների դեպքում հիմնվում</w:t>
      </w:r>
      <w:r w:rsidR="003813BA">
        <w:rPr>
          <w:rStyle w:val="Bodytext31Sylfaen9"/>
          <w:i w:val="0"/>
          <w:sz w:val="24"/>
          <w:szCs w:val="24"/>
        </w:rPr>
        <w:t> </w:t>
      </w:r>
      <w:r w:rsidRPr="003813BA">
        <w:rPr>
          <w:rStyle w:val="Bodytext31Sylfaen9"/>
          <w:i w:val="0"/>
          <w:sz w:val="24"/>
          <w:szCs w:val="24"/>
        </w:rPr>
        <w:t>են փորձարկվող նմուշի ակնկալվող ակտիվության միեւնույն արժեքի վրա, ապա յուրաքանչյուր փորձի համար հաշվարկվում է կշռային գործակիցը՝</w:t>
      </w:r>
    </w:p>
    <w:p w14:paraId="54F3219B" w14:textId="77777777" w:rsidR="00B834A2" w:rsidRPr="00B834A2" w:rsidRDefault="00B834A2" w:rsidP="00B834A2">
      <w:pPr>
        <w:pStyle w:val="Bodytext20"/>
        <w:shd w:val="clear" w:color="auto" w:fill="auto"/>
        <w:spacing w:before="0" w:after="160" w:line="360" w:lineRule="auto"/>
        <w:rPr>
          <w:rStyle w:val="Bodytext31Sylfaen9"/>
          <w:sz w:val="24"/>
          <w:szCs w:val="24"/>
        </w:rPr>
      </w:pPr>
      <m:oMath>
        <m:r>
          <w:rPr>
            <w:rStyle w:val="Bodytext31Sylfaen9"/>
            <w:rFonts w:ascii="Cambria Math" w:hAnsi="Cambria Math"/>
            <w:sz w:val="24"/>
            <w:szCs w:val="24"/>
          </w:rPr>
          <m:t>W=</m:t>
        </m:r>
        <m:f>
          <m:fPr>
            <m:ctrlPr>
              <w:rPr>
                <w:rStyle w:val="Bodytext31Sylfaen9"/>
                <w:rFonts w:ascii="Cambria Math" w:hAnsi="Cambria Math"/>
                <w:i w:val="0"/>
                <w:iCs w:val="0"/>
                <w:sz w:val="24"/>
                <w:szCs w:val="24"/>
              </w:rPr>
            </m:ctrlPr>
          </m:fPr>
          <m:num>
            <m:sSubSup>
              <m:sSubSupPr>
                <m:ctrlPr>
                  <w:rPr>
                    <w:rStyle w:val="Bodytext31Sylfaen9"/>
                    <w:rFonts w:ascii="Cambria Math" w:hAnsi="Cambria Math"/>
                    <w:i w:val="0"/>
                    <w:iCs w:val="0"/>
                    <w:sz w:val="24"/>
                    <w:szCs w:val="24"/>
                  </w:rPr>
                </m:ctrlPr>
              </m:sSubSupPr>
              <m:e>
                <m:r>
                  <w:rPr>
                    <w:rStyle w:val="Bodytext31Sylfaen9"/>
                    <w:rFonts w:ascii="Cambria Math" w:hAnsi="Cambria Math"/>
                    <w:sz w:val="24"/>
                    <w:szCs w:val="24"/>
                  </w:rPr>
                  <m:t>4</m:t>
                </m:r>
              </m:e>
              <m:sub>
                <m:r>
                  <w:rPr>
                    <w:rStyle w:val="Bodytext31Sylfaen9"/>
                    <w:rFonts w:ascii="Cambria Math" w:hAnsi="Cambria Math"/>
                    <w:sz w:val="24"/>
                    <w:szCs w:val="24"/>
                  </w:rPr>
                  <m:t>t</m:t>
                </m:r>
              </m:sub>
              <m:sup>
                <m:r>
                  <w:rPr>
                    <w:rStyle w:val="Bodytext31Sylfaen9"/>
                    <w:rFonts w:ascii="Cambria Math" w:hAnsi="Cambria Math"/>
                    <w:sz w:val="24"/>
                    <w:szCs w:val="24"/>
                  </w:rPr>
                  <m:t>2</m:t>
                </m:r>
              </m:sup>
            </m:sSubSup>
          </m:num>
          <m:den>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L</m:t>
                </m:r>
              </m:e>
              <m:sup>
                <m:r>
                  <w:rPr>
                    <w:rStyle w:val="Bodytext31Sylfaen9"/>
                    <w:rFonts w:ascii="Cambria Math" w:hAnsi="Cambria Math"/>
                    <w:sz w:val="24"/>
                    <w:szCs w:val="24"/>
                  </w:rPr>
                  <m:t>2</m:t>
                </m:r>
              </m:sup>
            </m:sSup>
          </m:den>
        </m:f>
      </m:oMath>
      <w:r w:rsidRPr="00B834A2">
        <w:rPr>
          <w:rStyle w:val="Bodytext31Sylfaen9"/>
          <w:sz w:val="24"/>
          <w:szCs w:val="24"/>
        </w:rPr>
        <w:t>,</w:t>
      </w:r>
    </w:p>
    <w:p w14:paraId="0E5D29E1"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i/>
          <w:sz w:val="24"/>
          <w:szCs w:val="24"/>
        </w:rPr>
      </w:pPr>
      <w:r w:rsidRPr="003813BA">
        <w:rPr>
          <w:rStyle w:val="Bodytext31Sylfaen9"/>
          <w:i w:val="0"/>
          <w:sz w:val="24"/>
          <w:szCs w:val="24"/>
        </w:rPr>
        <w:t>որտեղ L-ը կենսաբանական ակտիվության վերին եւ ստորին վստահելի սահմանի լոգարիթմների տարբերությունն է։</w:t>
      </w:r>
    </w:p>
    <w:p w14:paraId="271C45CD" w14:textId="77777777" w:rsidR="00B834A2" w:rsidRPr="003813BA" w:rsidRDefault="00B834A2" w:rsidP="00D16259">
      <w:pPr>
        <w:pStyle w:val="Bodytext20"/>
        <w:shd w:val="clear" w:color="auto" w:fill="auto"/>
        <w:spacing w:before="0" w:after="160" w:line="360" w:lineRule="auto"/>
        <w:ind w:firstLine="567"/>
        <w:jc w:val="both"/>
        <w:rPr>
          <w:rStyle w:val="Bodytext31Sylfaen9"/>
          <w:i w:val="0"/>
          <w:spacing w:val="-4"/>
          <w:sz w:val="24"/>
          <w:szCs w:val="24"/>
        </w:rPr>
      </w:pPr>
      <w:r w:rsidRPr="003813BA">
        <w:rPr>
          <w:rStyle w:val="Bodytext31Sylfaen9"/>
          <w:i w:val="0"/>
          <w:spacing w:val="-4"/>
          <w:sz w:val="24"/>
          <w:szCs w:val="24"/>
        </w:rPr>
        <w:t>Միջին կշռված լոգարիթմական կենսաբանական ակտիվությունը հավասար է՝</w:t>
      </w:r>
    </w:p>
    <w:p w14:paraId="02AE91A2" w14:textId="77777777" w:rsidR="00B834A2" w:rsidRPr="00B834A2" w:rsidRDefault="00000000" w:rsidP="00B834A2">
      <w:pPr>
        <w:pStyle w:val="Bodytext20"/>
        <w:shd w:val="clear" w:color="auto" w:fill="auto"/>
        <w:spacing w:before="0" w:after="160" w:line="360" w:lineRule="auto"/>
        <w:ind w:firstLine="567"/>
        <w:rPr>
          <w:rStyle w:val="Bodytext31Sylfaen9"/>
          <w:sz w:val="24"/>
          <w:szCs w:val="24"/>
        </w:rPr>
      </w:pPr>
      <m:oMath>
        <m:bar>
          <m:barPr>
            <m:pos m:val="top"/>
            <m:ctrlPr>
              <w:rPr>
                <w:rStyle w:val="Bodytext31Sylfaen9"/>
                <w:rFonts w:ascii="Cambria Math" w:hAnsi="Cambria Math"/>
                <w:i w:val="0"/>
                <w:iCs w:val="0"/>
                <w:sz w:val="24"/>
                <w:szCs w:val="24"/>
              </w:rPr>
            </m:ctrlPr>
          </m:barPr>
          <m:e>
            <m:r>
              <w:rPr>
                <w:rStyle w:val="Bodytext31Sylfaen9"/>
                <w:rFonts w:ascii="Cambria Math" w:hAnsi="Cambria Math"/>
                <w:sz w:val="24"/>
                <w:szCs w:val="24"/>
              </w:rPr>
              <m:t>M</m:t>
            </m:r>
          </m:e>
        </m:bar>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nary>
              <m:naryPr>
                <m:chr m:val="∑"/>
                <m:limLoc m:val="undOvr"/>
                <m:supHide m:val="1"/>
                <m:ctrlPr>
                  <w:rPr>
                    <w:rStyle w:val="Bodytext31Sylfaen9"/>
                    <w:rFonts w:ascii="Cambria Math" w:hAnsi="Cambria Math"/>
                    <w:i w:val="0"/>
                    <w:iCs w:val="0"/>
                    <w:sz w:val="24"/>
                    <w:szCs w:val="24"/>
                  </w:rPr>
                </m:ctrlPr>
              </m:naryPr>
              <m:sub>
                <m:r>
                  <w:rPr>
                    <w:rStyle w:val="Bodytext31Sylfaen9"/>
                    <w:rFonts w:ascii="Cambria Math" w:hAnsi="Cambria Math"/>
                    <w:sz w:val="24"/>
                    <w:szCs w:val="24"/>
                  </w:rPr>
                  <m:t>n</m:t>
                </m:r>
              </m:sub>
              <m:sup/>
              <m:e>
                <m:r>
                  <w:rPr>
                    <w:rStyle w:val="Bodytext31Sylfaen9"/>
                    <w:rFonts w:ascii="Cambria Math" w:hAnsi="Cambria Math"/>
                    <w:sz w:val="24"/>
                    <w:szCs w:val="24"/>
                  </w:rPr>
                  <m:t>W</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M</m:t>
                    </m:r>
                  </m:e>
                  <m:sub>
                    <m:r>
                      <w:rPr>
                        <w:rStyle w:val="Bodytext31Sylfaen9"/>
                        <w:rFonts w:ascii="Cambria Math" w:hAnsi="Cambria Math"/>
                        <w:sz w:val="24"/>
                        <w:szCs w:val="24"/>
                      </w:rPr>
                      <m:t>U</m:t>
                    </m:r>
                  </m:sub>
                </m:sSub>
              </m:e>
            </m:nary>
          </m:num>
          <m:den>
            <m:nary>
              <m:naryPr>
                <m:chr m:val="∑"/>
                <m:limLoc m:val="undOvr"/>
                <m:supHide m:val="1"/>
                <m:ctrlPr>
                  <w:rPr>
                    <w:rStyle w:val="Bodytext31Sylfaen9"/>
                    <w:rFonts w:ascii="Cambria Math" w:hAnsi="Cambria Math"/>
                    <w:i w:val="0"/>
                    <w:iCs w:val="0"/>
                    <w:sz w:val="24"/>
                    <w:szCs w:val="24"/>
                  </w:rPr>
                </m:ctrlPr>
              </m:naryPr>
              <m:sub>
                <m:r>
                  <w:rPr>
                    <w:rStyle w:val="Bodytext31Sylfaen9"/>
                    <w:rFonts w:ascii="Cambria Math" w:hAnsi="Cambria Math"/>
                    <w:sz w:val="24"/>
                    <w:szCs w:val="24"/>
                  </w:rPr>
                  <m:t>n</m:t>
                </m:r>
              </m:sub>
              <m:sup/>
              <m:e>
                <m:r>
                  <w:rPr>
                    <w:rStyle w:val="Bodytext31Sylfaen9"/>
                    <w:rFonts w:ascii="Cambria Math" w:hAnsi="Cambria Math"/>
                    <w:sz w:val="24"/>
                    <w:szCs w:val="24"/>
                  </w:rPr>
                  <m:t>W</m:t>
                </m:r>
              </m:e>
            </m:nary>
          </m:den>
        </m:f>
      </m:oMath>
      <w:r w:rsidR="00B834A2" w:rsidRPr="00B834A2">
        <w:rPr>
          <w:rStyle w:val="Bodytext31Sylfaen9"/>
          <w:sz w:val="24"/>
          <w:szCs w:val="24"/>
        </w:rPr>
        <w:t>։</w:t>
      </w:r>
    </w:p>
    <w:p w14:paraId="7E15A440"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 xml:space="preserve">Միավորված կենսաբանական ակտիվության միջին արժեքը </w:t>
      </w:r>
      <w:r w:rsidRPr="00B834A2">
        <w:rPr>
          <w:rStyle w:val="Bodytext31Sylfaen9"/>
          <w:sz w:val="24"/>
          <w:szCs w:val="24"/>
        </w:rPr>
        <w:t xml:space="preserve">= </w:t>
      </w:r>
      <w:r w:rsidRPr="00B834A2">
        <w:rPr>
          <w:rStyle w:val="Bodytext285pt"/>
          <w:spacing w:val="0"/>
          <w:sz w:val="24"/>
          <w:szCs w:val="24"/>
        </w:rPr>
        <w:t>10</w:t>
      </w:r>
      <w:r w:rsidRPr="00B834A2">
        <w:rPr>
          <w:rStyle w:val="Bodytext31Sylfaen9"/>
          <w:sz w:val="24"/>
          <w:szCs w:val="24"/>
          <w:vertAlign w:val="superscript"/>
        </w:rPr>
        <w:t>M</w:t>
      </w:r>
      <w:r w:rsidRPr="00B834A2">
        <w:rPr>
          <w:rStyle w:val="Bodytext31Sylfaen9"/>
          <w:sz w:val="24"/>
          <w:szCs w:val="24"/>
        </w:rPr>
        <w:t>։</w:t>
      </w:r>
    </w:p>
    <w:p w14:paraId="1F4B387F" w14:textId="77777777" w:rsidR="00B834A2" w:rsidRPr="003813BA" w:rsidRDefault="00B834A2" w:rsidP="00D16259">
      <w:pPr>
        <w:pStyle w:val="Bodytext20"/>
        <w:spacing w:before="0" w:after="160" w:line="360" w:lineRule="auto"/>
        <w:ind w:firstLine="567"/>
        <w:jc w:val="both"/>
        <w:rPr>
          <w:rStyle w:val="Bodytext31Sylfaen9"/>
          <w:i w:val="0"/>
          <w:sz w:val="24"/>
          <w:szCs w:val="24"/>
        </w:rPr>
      </w:pPr>
      <w:r w:rsidRPr="003813BA">
        <w:rPr>
          <w:rStyle w:val="Bodytext31Sylfaen9"/>
          <w:i w:val="0"/>
          <w:sz w:val="24"/>
          <w:szCs w:val="24"/>
        </w:rPr>
        <w:t>S</w:t>
      </w:r>
      <w:r w:rsidRPr="003813BA">
        <w:rPr>
          <w:rStyle w:val="Bodytext31Sylfaen9"/>
          <w:i w:val="0"/>
          <w:sz w:val="24"/>
          <w:szCs w:val="24"/>
          <w:vertAlign w:val="subscript"/>
        </w:rPr>
        <w:t>M</w:t>
      </w:r>
      <w:r w:rsidRPr="003813BA">
        <w:rPr>
          <w:rStyle w:val="Bodytext31Sylfaen9"/>
          <w:i w:val="0"/>
          <w:sz w:val="24"/>
          <w:szCs w:val="24"/>
        </w:rPr>
        <w:t xml:space="preserve"> միջին կենսաբանական ակտիվության ստանդարտ շեղումը հակադարձ համեմատական է միավորվող կենսաբանական փորձարկումների կշռային գործակիցների գումարին՝</w:t>
      </w:r>
    </w:p>
    <w:p w14:paraId="23C31351" w14:textId="77777777" w:rsidR="00B834A2" w:rsidRPr="00B834A2" w:rsidRDefault="00B834A2" w:rsidP="00B834A2">
      <w:pPr>
        <w:spacing w:after="160" w:line="360" w:lineRule="auto"/>
        <w:jc w:val="center"/>
        <w:rPr>
          <w:rStyle w:val="Bodytext31Sylfaen9"/>
          <w:color w:val="000000" w:themeColor="text1"/>
          <w:sz w:val="24"/>
          <w:szCs w:val="24"/>
        </w:rPr>
      </w:pPr>
      <w:r w:rsidRPr="00B834A2">
        <w:rPr>
          <w:rStyle w:val="Bodytext31Sylfaen9"/>
          <w:noProof/>
          <w:color w:val="000000" w:themeColor="text1"/>
          <w:sz w:val="24"/>
          <w:szCs w:val="24"/>
          <w:lang w:val="en-US" w:eastAsia="en-US" w:bidi="ar-SA"/>
        </w:rPr>
        <w:drawing>
          <wp:inline distT="0" distB="0" distL="0" distR="0" wp14:anchorId="7760AEAA" wp14:editId="5319B641">
            <wp:extent cx="1170516" cy="758029"/>
            <wp:effectExtent l="19050" t="0" r="0" b="0"/>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print"/>
                    <a:srcRect/>
                    <a:stretch>
                      <a:fillRect/>
                    </a:stretch>
                  </pic:blipFill>
                  <pic:spPr bwMode="auto">
                    <a:xfrm>
                      <a:off x="0" y="0"/>
                      <a:ext cx="1173590" cy="760020"/>
                    </a:xfrm>
                    <a:prstGeom prst="rect">
                      <a:avLst/>
                    </a:prstGeom>
                    <a:noFill/>
                    <a:ln w="9525">
                      <a:noFill/>
                      <a:miter lim="800000"/>
                      <a:headEnd/>
                      <a:tailEnd/>
                    </a:ln>
                  </pic:spPr>
                </pic:pic>
              </a:graphicData>
            </a:graphic>
          </wp:inline>
        </w:drawing>
      </w:r>
    </w:p>
    <w:p w14:paraId="0DC8C03A" w14:textId="77777777" w:rsidR="00B834A2" w:rsidRPr="00B834A2" w:rsidRDefault="00B834A2" w:rsidP="00D16259">
      <w:pPr>
        <w:pStyle w:val="Bodytext20"/>
        <w:shd w:val="clear" w:color="auto" w:fill="auto"/>
        <w:spacing w:before="0" w:after="160" w:line="360" w:lineRule="auto"/>
        <w:ind w:firstLine="567"/>
        <w:jc w:val="both"/>
        <w:rPr>
          <w:rStyle w:val="Bodytext31Sylfaen9"/>
          <w:sz w:val="24"/>
          <w:szCs w:val="24"/>
        </w:rPr>
      </w:pPr>
      <w:r w:rsidRPr="00B834A2">
        <w:rPr>
          <w:rFonts w:ascii="Sylfaen" w:hAnsi="Sylfaen"/>
          <w:sz w:val="24"/>
          <w:szCs w:val="24"/>
        </w:rPr>
        <w:t xml:space="preserve">Միավորված ակտիվության վստահելի սահմանները կազմում են </w:t>
      </w:r>
      <w:r w:rsidRPr="00B834A2">
        <w:rPr>
          <w:rStyle w:val="Bodytext285pt"/>
          <w:color w:val="000000" w:themeColor="text1"/>
          <w:spacing w:val="0"/>
          <w:sz w:val="24"/>
          <w:szCs w:val="24"/>
        </w:rPr>
        <w:t>10</w:t>
      </w:r>
      <w:r w:rsidRPr="00B834A2">
        <w:rPr>
          <w:rStyle w:val="Bodytext285pt"/>
          <w:color w:val="000000" w:themeColor="text1"/>
          <w:spacing w:val="0"/>
          <w:sz w:val="24"/>
          <w:szCs w:val="24"/>
          <w:vertAlign w:val="superscript"/>
        </w:rPr>
        <w:t>M</w:t>
      </w:r>
      <w:r w:rsidRPr="00B834A2">
        <w:rPr>
          <w:rStyle w:val="Bodytext2Italic"/>
          <w:color w:val="000000" w:themeColor="text1"/>
          <w:sz w:val="24"/>
          <w:szCs w:val="24"/>
          <w:vertAlign w:val="superscript"/>
        </w:rPr>
        <w:t>±t.S</w:t>
      </w:r>
      <w:r w:rsidRPr="00B834A2">
        <w:rPr>
          <w:rStyle w:val="Bodytext2Italic"/>
          <w:color w:val="000000" w:themeColor="text1"/>
          <w:sz w:val="24"/>
          <w:szCs w:val="24"/>
          <w:vertAlign w:val="subscript"/>
        </w:rPr>
        <w:t>M</w:t>
      </w:r>
      <w:r w:rsidRPr="00B834A2">
        <w:rPr>
          <w:rStyle w:val="Bodytext31Sylfaen9"/>
          <w:color w:val="000000" w:themeColor="text1"/>
          <w:sz w:val="24"/>
          <w:szCs w:val="24"/>
        </w:rPr>
        <w:t xml:space="preserve">, որտեղ </w:t>
      </w:r>
      <w:r w:rsidRPr="00B834A2">
        <w:rPr>
          <w:rStyle w:val="Bodytext2Italic"/>
          <w:color w:val="000000" w:themeColor="text1"/>
          <w:sz w:val="24"/>
          <w:szCs w:val="24"/>
        </w:rPr>
        <w:t xml:space="preserve">t=t (p, ƒ), եւ ընդ որում, Ստյուդենտի չափորոշչի տվյալ արժեքի համար ƒ ազատության աստիճանների թիվը հավասար է միավորվող կենսաբանական փորձարկումների «Շեղում» ցուցանիշների ազատության աստիճանների գումարին </w:t>
      </w:r>
      <w:r w:rsidRPr="00B834A2">
        <w:rPr>
          <w:rStyle w:val="Bodytext2Italic"/>
          <w:sz w:val="24"/>
          <w:szCs w:val="24"/>
        </w:rPr>
        <w:t>(р =</w:t>
      </w:r>
      <w:r w:rsidRPr="00B834A2">
        <w:rPr>
          <w:rStyle w:val="Bodytext31Sylfaen9"/>
          <w:sz w:val="24"/>
          <w:szCs w:val="24"/>
        </w:rPr>
        <w:t xml:space="preserve"> 0,05)։</w:t>
      </w:r>
      <w:r w:rsidRPr="00B834A2">
        <w:rPr>
          <w:rStyle w:val="Bodytext2Italic"/>
          <w:color w:val="000000" w:themeColor="text1"/>
          <w:sz w:val="24"/>
          <w:szCs w:val="24"/>
        </w:rPr>
        <w:t xml:space="preserve"> </w:t>
      </w:r>
    </w:p>
    <w:p w14:paraId="69833494" w14:textId="77777777" w:rsidR="00184198" w:rsidRDefault="00184198">
      <w:pPr>
        <w:rPr>
          <w:rStyle w:val="Bodytext31Sylfaen9"/>
          <w:sz w:val="24"/>
          <w:szCs w:val="24"/>
        </w:rPr>
      </w:pPr>
      <w:r>
        <w:rPr>
          <w:rStyle w:val="Bodytext31Sylfaen9"/>
          <w:sz w:val="24"/>
          <w:szCs w:val="24"/>
        </w:rPr>
        <w:br w:type="page"/>
      </w:r>
    </w:p>
    <w:p w14:paraId="698504DA" w14:textId="77777777" w:rsidR="00B834A2" w:rsidRPr="00B834A2" w:rsidRDefault="00B834A2" w:rsidP="00D16259">
      <w:pPr>
        <w:pStyle w:val="Bodytext20"/>
        <w:shd w:val="clear" w:color="auto" w:fill="auto"/>
        <w:tabs>
          <w:tab w:val="left" w:pos="1276"/>
        </w:tabs>
        <w:spacing w:before="0" w:after="160" w:line="360" w:lineRule="auto"/>
        <w:ind w:firstLine="567"/>
        <w:jc w:val="both"/>
        <w:rPr>
          <w:rFonts w:ascii="Sylfaen" w:hAnsi="Sylfaen" w:cs="Sylfaen"/>
          <w:sz w:val="24"/>
          <w:szCs w:val="24"/>
        </w:rPr>
      </w:pPr>
      <w:r w:rsidRPr="00B834A2">
        <w:rPr>
          <w:rStyle w:val="Bodytext2Italic"/>
          <w:sz w:val="24"/>
          <w:szCs w:val="24"/>
        </w:rPr>
        <w:lastRenderedPageBreak/>
        <w:t>5.1.2.</w:t>
      </w:r>
      <w:r w:rsidR="00D16259" w:rsidRPr="002E52D1">
        <w:rPr>
          <w:rStyle w:val="Bodytext2Italic"/>
          <w:sz w:val="24"/>
          <w:szCs w:val="24"/>
        </w:rPr>
        <w:tab/>
      </w:r>
      <w:r w:rsidRPr="003813BA">
        <w:rPr>
          <w:rFonts w:ascii="Sylfaen" w:hAnsi="Sylfaen"/>
          <w:i/>
          <w:sz w:val="24"/>
          <w:szCs w:val="24"/>
        </w:rPr>
        <w:t>Միավորվող արդյունքների միատեսակությունը</w:t>
      </w:r>
    </w:p>
    <w:p w14:paraId="2F181F66" w14:textId="77777777" w:rsidR="00B834A2" w:rsidRPr="00B834A2" w:rsidRDefault="00B834A2" w:rsidP="00D16259">
      <w:pPr>
        <w:pStyle w:val="Bodytext20"/>
        <w:spacing w:before="0" w:after="160" w:line="360" w:lineRule="auto"/>
        <w:ind w:firstLine="567"/>
        <w:jc w:val="both"/>
        <w:rPr>
          <w:rFonts w:ascii="Sylfaen" w:hAnsi="Sylfaen" w:cs="Sylfaen"/>
          <w:sz w:val="24"/>
          <w:szCs w:val="24"/>
        </w:rPr>
      </w:pPr>
      <w:r w:rsidRPr="00B834A2">
        <w:rPr>
          <w:rFonts w:ascii="Sylfaen" w:hAnsi="Sylfaen"/>
          <w:sz w:val="24"/>
          <w:szCs w:val="24"/>
        </w:rPr>
        <w:t>Ստացված արդյունքների միատեսակությունը ստուգվում է չի-քառակուսու չափորոշչի միջոցով</w:t>
      </w:r>
      <w:r>
        <w:rPr>
          <w:rFonts w:ascii="Sylfaen" w:hAnsi="Sylfaen"/>
          <w:sz w:val="24"/>
          <w:szCs w:val="24"/>
        </w:rPr>
        <w:t xml:space="preserve"> </w:t>
      </w:r>
      <w:r w:rsidRPr="00B834A2">
        <w:rPr>
          <w:rStyle w:val="Bodytext31Sylfaen9"/>
          <w:sz w:val="24"/>
          <w:szCs w:val="24"/>
        </w:rPr>
        <w:t>(р = 0,05)՝</w:t>
      </w:r>
    </w:p>
    <w:p w14:paraId="4B795DBA" w14:textId="77777777" w:rsidR="00B834A2" w:rsidRPr="00B834A2" w:rsidRDefault="00000000" w:rsidP="00B834A2">
      <w:pPr>
        <w:pStyle w:val="Bodytext20"/>
        <w:shd w:val="clear" w:color="auto" w:fill="auto"/>
        <w:spacing w:before="0" w:after="160" w:line="360" w:lineRule="auto"/>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x</m:t>
              </m:r>
            </m:e>
            <m:sub>
              <m:r>
                <w:rPr>
                  <w:rFonts w:ascii="Sylfaen" w:hAnsi="Sylfaen" w:cs="Sylfaen"/>
                  <w:sz w:val="24"/>
                  <w:szCs w:val="24"/>
                </w:rPr>
                <m:t>դիտ</m:t>
              </m:r>
              <m:r>
                <w:rPr>
                  <w:rFonts w:ascii="Cambria Math" w:hAnsi="Cambria Math" w:cs="Sylfaen"/>
                  <w:sz w:val="24"/>
                  <w:szCs w:val="24"/>
                </w:rPr>
                <m:t>.</m:t>
              </m:r>
            </m:sub>
            <m:sup>
              <m:r>
                <w:rPr>
                  <w:rFonts w:ascii="Cambria Math" w:hAnsi="Cambria Math" w:cs="Sylfaen"/>
                  <w:sz w:val="24"/>
                  <w:szCs w:val="24"/>
                </w:rPr>
                <m:t>2</m:t>
              </m:r>
            </m:sup>
          </m:sSubSup>
          <m:r>
            <w:rPr>
              <w:rFonts w:ascii="Cambria Math" w:hAnsi="Cambria Math" w:cs="Sylfaen"/>
              <w:sz w:val="24"/>
              <w:szCs w:val="24"/>
            </w:rPr>
            <m:t>=</m:t>
          </m:r>
          <m:nary>
            <m:naryPr>
              <m:chr m:val="∑"/>
              <m:limLoc m:val="undOvr"/>
              <m:supHide m:val="1"/>
              <m:ctrlPr>
                <w:rPr>
                  <w:rFonts w:ascii="Cambria Math" w:hAnsi="Cambria Math" w:cs="Sylfaen"/>
                  <w:i/>
                  <w:sz w:val="24"/>
                  <w:szCs w:val="24"/>
                </w:rPr>
              </m:ctrlPr>
            </m:naryPr>
            <m:sub>
              <m:r>
                <w:rPr>
                  <w:rFonts w:ascii="Cambria Math" w:hAnsi="Cambria Math" w:cs="Sylfaen"/>
                  <w:sz w:val="24"/>
                  <w:szCs w:val="24"/>
                </w:rPr>
                <m:t>n</m:t>
              </m:r>
            </m:sub>
            <m:sup/>
            <m:e>
              <m:r>
                <w:rPr>
                  <w:rFonts w:ascii="Cambria Math" w:hAnsi="Cambria Math" w:cs="Sylfaen"/>
                  <w:sz w:val="24"/>
                  <w:szCs w:val="24"/>
                </w:rPr>
                <m:t>W(</m:t>
              </m:r>
              <m:sSub>
                <m:sSubPr>
                  <m:ctrlPr>
                    <w:rPr>
                      <w:rFonts w:ascii="Cambria Math" w:hAnsi="Cambria Math" w:cs="Sylfaen"/>
                      <w:i/>
                      <w:sz w:val="24"/>
                      <w:szCs w:val="24"/>
                    </w:rPr>
                  </m:ctrlPr>
                </m:sSubPr>
                <m:e>
                  <m:r>
                    <w:rPr>
                      <w:rFonts w:ascii="Cambria Math" w:hAnsi="Cambria Math" w:cs="Sylfaen"/>
                      <w:sz w:val="24"/>
                      <w:szCs w:val="24"/>
                    </w:rPr>
                    <m:t>M</m:t>
                  </m:r>
                </m:e>
                <m:sub>
                  <m:r>
                    <w:rPr>
                      <w:rFonts w:ascii="Cambria Math" w:hAnsi="Cambria Math" w:cs="Sylfaen"/>
                      <w:sz w:val="24"/>
                      <w:szCs w:val="24"/>
                    </w:rPr>
                    <m:t>U</m:t>
                  </m:r>
                </m:sub>
              </m:sSub>
              <m:r>
                <w:rPr>
                  <w:rFonts w:ascii="Cambria Math" w:hAnsi="Cambria Math" w:cs="Sylfaen"/>
                  <w:sz w:val="24"/>
                  <w:szCs w:val="24"/>
                </w:rPr>
                <m:t>-¯M</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r>
            <w:rPr>
              <w:rFonts w:ascii="Cambria Math" w:hAnsi="Cambria Math" w:cs="Sylfaen"/>
              <w:sz w:val="24"/>
              <w:szCs w:val="24"/>
            </w:rPr>
            <m:t>,</m:t>
          </m:r>
        </m:oMath>
      </m:oMathPara>
    </w:p>
    <w:p w14:paraId="0A0D81F7" w14:textId="77777777" w:rsidR="00B834A2" w:rsidRPr="00B834A2" w:rsidRDefault="00000000" w:rsidP="00B834A2">
      <w:pPr>
        <w:pStyle w:val="Bodytext20"/>
        <w:shd w:val="clear" w:color="auto" w:fill="auto"/>
        <w:spacing w:before="0" w:after="160" w:line="360" w:lineRule="auto"/>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x</m:t>
              </m:r>
            </m:e>
            <m:sub>
              <m:r>
                <w:rPr>
                  <w:rFonts w:ascii="Sylfaen" w:hAnsi="Sylfaen" w:cs="Sylfaen"/>
                  <w:sz w:val="24"/>
                  <w:szCs w:val="24"/>
                </w:rPr>
                <m:t>կրիտիկ</m:t>
              </m:r>
              <m:r>
                <w:rPr>
                  <w:rFonts w:ascii="Cambria Math" w:hAnsi="Cambria Math" w:cs="Sylfaen"/>
                  <w:sz w:val="24"/>
                  <w:szCs w:val="24"/>
                </w:rPr>
                <m:t>.</m:t>
              </m:r>
            </m:sub>
            <m:sup>
              <m:r>
                <w:rPr>
                  <w:rFonts w:ascii="Cambria Math" w:hAnsi="Cambria Math" w:cs="Sylfaen"/>
                  <w:sz w:val="24"/>
                  <w:szCs w:val="24"/>
                </w:rPr>
                <m:t>2</m:t>
              </m:r>
            </m:sup>
          </m:sSubSup>
          <m:r>
            <w:rPr>
              <w:rFonts w:ascii="Cambria Math" w:hAnsi="Cambria Math" w:cs="Sylfaen"/>
              <w:sz w:val="24"/>
              <w:szCs w:val="24"/>
            </w:rPr>
            <m:t>=0,1726</m:t>
          </m:r>
          <m:r>
            <w:rPr>
              <w:rFonts w:ascii="Cambria Math" w:hAnsi="Cambria Math" w:cs="Sylfaen"/>
              <w:sz w:val="24"/>
              <w:szCs w:val="24"/>
              <w:lang w:val="en-GB"/>
            </w:rPr>
            <m:t>n</m:t>
          </m:r>
          <m:r>
            <w:rPr>
              <w:rFonts w:ascii="Cambria Math" w:hAnsi="Cambria Math" w:cs="Sylfaen"/>
              <w:sz w:val="24"/>
              <w:szCs w:val="24"/>
            </w:rPr>
            <m:t>+0,9569f=2,7115</m:t>
          </m:r>
          <m:rad>
            <m:radPr>
              <m:degHide m:val="1"/>
              <m:ctrlPr>
                <w:rPr>
                  <w:rFonts w:ascii="Cambria Math" w:hAnsi="Cambria Math" w:cs="Sylfaen"/>
                  <w:i/>
                  <w:sz w:val="24"/>
                  <w:szCs w:val="24"/>
                </w:rPr>
              </m:ctrlPr>
            </m:radPr>
            <m:deg/>
            <m:e>
              <m:r>
                <w:rPr>
                  <w:rFonts w:ascii="Cambria Math" w:hAnsi="Cambria Math" w:cs="Sylfaen"/>
                  <w:sz w:val="24"/>
                  <w:szCs w:val="24"/>
                </w:rPr>
                <m:t>f,</m:t>
              </m:r>
            </m:e>
          </m:rad>
        </m:oMath>
      </m:oMathPara>
    </w:p>
    <w:p w14:paraId="433F8898" w14:textId="77777777" w:rsidR="00B834A2" w:rsidRPr="00B834A2" w:rsidRDefault="00B834A2" w:rsidP="00B834A2">
      <w:pPr>
        <w:pStyle w:val="Bodytext20"/>
        <w:shd w:val="clear" w:color="auto" w:fill="auto"/>
        <w:spacing w:before="0" w:after="160" w:line="360" w:lineRule="auto"/>
        <w:rPr>
          <w:rFonts w:ascii="Sylfaen" w:hAnsi="Sylfaen" w:cs="Sylfaen"/>
          <w:sz w:val="24"/>
          <w:szCs w:val="24"/>
        </w:rPr>
      </w:pPr>
      <w:r w:rsidRPr="00B834A2">
        <w:rPr>
          <w:rFonts w:ascii="Sylfaen" w:hAnsi="Sylfaen"/>
          <w:sz w:val="24"/>
          <w:szCs w:val="24"/>
        </w:rPr>
        <w:t xml:space="preserve">որտեղ՝ </w:t>
      </w:r>
      <w:r w:rsidRPr="00B834A2">
        <w:rPr>
          <w:rStyle w:val="Bodytext2Italic"/>
          <w:color w:val="000000" w:themeColor="text1"/>
          <w:sz w:val="24"/>
          <w:szCs w:val="24"/>
        </w:rPr>
        <w:t>ƒ</w:t>
      </w:r>
      <w:r w:rsidRPr="00B834A2">
        <w:rPr>
          <w:rStyle w:val="Bodytext31Sylfaen9"/>
          <w:sz w:val="24"/>
          <w:szCs w:val="24"/>
        </w:rPr>
        <w:t xml:space="preserve"> = n-1, 1&lt;</w:t>
      </w:r>
      <w:r w:rsidRPr="00B834A2">
        <w:rPr>
          <w:rStyle w:val="Bodytext2Italic"/>
          <w:color w:val="000000" w:themeColor="text1"/>
          <w:sz w:val="24"/>
          <w:szCs w:val="24"/>
        </w:rPr>
        <w:t xml:space="preserve"> ƒ</w:t>
      </w:r>
      <w:r w:rsidRPr="00B834A2">
        <w:rPr>
          <w:rStyle w:val="Bodytext31Sylfaen9"/>
          <w:sz w:val="24"/>
          <w:szCs w:val="24"/>
        </w:rPr>
        <w:t xml:space="preserve"> &lt;30 եւ p=0,05։</w:t>
      </w:r>
    </w:p>
    <w:p w14:paraId="7767FAF8" w14:textId="77777777" w:rsidR="00B834A2" w:rsidRPr="003813BA" w:rsidRDefault="00B834A2" w:rsidP="00D16259">
      <w:pPr>
        <w:pStyle w:val="Bodytext20"/>
        <w:shd w:val="clear" w:color="auto" w:fill="auto"/>
        <w:spacing w:before="0" w:after="160" w:line="360" w:lineRule="auto"/>
        <w:ind w:firstLine="567"/>
        <w:jc w:val="both"/>
        <w:rPr>
          <w:rFonts w:ascii="Sylfaen" w:hAnsi="Sylfaen" w:cs="Sylfaen"/>
          <w:i/>
          <w:sz w:val="24"/>
          <w:szCs w:val="24"/>
        </w:rPr>
      </w:pPr>
      <w:r w:rsidRPr="003813BA">
        <w:rPr>
          <w:rStyle w:val="Bodytext31Sylfaen9"/>
          <w:i w:val="0"/>
          <w:sz w:val="24"/>
          <w:szCs w:val="24"/>
        </w:rPr>
        <w:t>Չի-քառակուսու չափորոշչի կրիտիկական արժեքները կարելի է գտնել նաեւ հավելվածներում (4-րդ աղյուսակ)։</w:t>
      </w:r>
    </w:p>
    <w:p w14:paraId="6B13EE6F" w14:textId="77777777" w:rsidR="00B834A2" w:rsidRPr="003813BA" w:rsidRDefault="00B834A2" w:rsidP="00D16259">
      <w:pPr>
        <w:pStyle w:val="Bodytext20"/>
        <w:shd w:val="clear" w:color="auto" w:fill="auto"/>
        <w:spacing w:before="0" w:after="160" w:line="360" w:lineRule="auto"/>
        <w:ind w:firstLine="567"/>
        <w:jc w:val="both"/>
        <w:rPr>
          <w:rStyle w:val="Bodytext31Sylfaen9"/>
          <w:i w:val="0"/>
          <w:sz w:val="24"/>
          <w:szCs w:val="24"/>
        </w:rPr>
      </w:pPr>
      <w:r w:rsidRPr="003813BA">
        <w:rPr>
          <w:rStyle w:val="Bodytext31Sylfaen9"/>
          <w:i w:val="0"/>
          <w:sz w:val="24"/>
          <w:szCs w:val="24"/>
        </w:rPr>
        <w:t xml:space="preserve">Չի-քառակուսու չափորոշչի դիտարկվող արժեքը </w:t>
      </w:r>
      <w:r w:rsidRPr="003813BA">
        <w:rPr>
          <w:rStyle w:val="Bodytext2Italic"/>
          <w:i w:val="0"/>
          <w:sz w:val="24"/>
          <w:szCs w:val="24"/>
        </w:rPr>
        <w:t>(χ</w:t>
      </w:r>
      <w:r w:rsidRPr="003813BA">
        <w:rPr>
          <w:rStyle w:val="Bodytext2Italic"/>
          <w:i w:val="0"/>
          <w:sz w:val="24"/>
          <w:szCs w:val="24"/>
          <w:vertAlign w:val="superscript"/>
        </w:rPr>
        <w:t>2</w:t>
      </w:r>
      <w:r w:rsidRPr="003813BA">
        <w:rPr>
          <w:rStyle w:val="Bodytext2Italic"/>
          <w:i w:val="0"/>
          <w:sz w:val="24"/>
          <w:szCs w:val="24"/>
        </w:rPr>
        <w:t xml:space="preserve">) </w:t>
      </w:r>
      <w:r w:rsidRPr="003813BA">
        <w:rPr>
          <w:rStyle w:val="Bodytext31Sylfaen9"/>
          <w:i w:val="0"/>
          <w:sz w:val="24"/>
          <w:szCs w:val="24"/>
        </w:rPr>
        <w:t>պետք է փոքր լինի կրիտիկականից։ Հակառակ դեպքում որոշակի պայմաններում կարող է կիրառվել</w:t>
      </w:r>
      <w:r w:rsidRPr="00B834A2">
        <w:rPr>
          <w:rStyle w:val="Bodytext31Sylfaen9"/>
          <w:sz w:val="24"/>
          <w:szCs w:val="24"/>
        </w:rPr>
        <w:t xml:space="preserve"> </w:t>
      </w:r>
      <w:r w:rsidRPr="003813BA">
        <w:rPr>
          <w:rStyle w:val="Bodytext31Sylfaen9"/>
          <w:i w:val="0"/>
          <w:sz w:val="24"/>
          <w:szCs w:val="24"/>
        </w:rPr>
        <w:t xml:space="preserve">այսպես կոչված կիսակշռված միջինը (տե՛ս համապատասխան ծրագրային ապահովման ուղեցույցը)։ </w:t>
      </w:r>
    </w:p>
    <w:p w14:paraId="76AEF95A" w14:textId="77777777" w:rsidR="00B834A2" w:rsidRPr="003813BA" w:rsidRDefault="00B834A2" w:rsidP="00D16259">
      <w:pPr>
        <w:tabs>
          <w:tab w:val="left" w:pos="1134"/>
        </w:tabs>
        <w:spacing w:after="160" w:line="360" w:lineRule="auto"/>
        <w:ind w:firstLine="567"/>
        <w:jc w:val="both"/>
        <w:rPr>
          <w:b/>
        </w:rPr>
      </w:pPr>
      <w:r w:rsidRPr="003813BA">
        <w:rPr>
          <w:rStyle w:val="Bodytext31Sylfaen9"/>
          <w:b/>
          <w:sz w:val="24"/>
          <w:szCs w:val="24"/>
        </w:rPr>
        <w:t>5.2.</w:t>
      </w:r>
      <w:r w:rsidR="00D16259" w:rsidRPr="003813BA">
        <w:rPr>
          <w:rStyle w:val="Bodytext31Sylfaen9"/>
          <w:b/>
          <w:sz w:val="24"/>
          <w:szCs w:val="24"/>
        </w:rPr>
        <w:tab/>
      </w:r>
      <w:r w:rsidRPr="003813BA">
        <w:rPr>
          <w:rStyle w:val="Bodytext31Sylfaen9"/>
          <w:b/>
          <w:sz w:val="24"/>
          <w:szCs w:val="24"/>
        </w:rPr>
        <w:t>Չկշռված միջինը</w:t>
      </w:r>
    </w:p>
    <w:p w14:paraId="31A0FA97" w14:textId="77777777" w:rsidR="00B834A2" w:rsidRPr="00B834A2" w:rsidRDefault="00B834A2" w:rsidP="00D16259">
      <w:pPr>
        <w:pStyle w:val="Bodytext20"/>
        <w:shd w:val="clear" w:color="auto" w:fill="auto"/>
        <w:spacing w:before="0" w:after="160" w:line="360" w:lineRule="auto"/>
        <w:ind w:firstLine="567"/>
        <w:jc w:val="both"/>
        <w:rPr>
          <w:rFonts w:ascii="Sylfaen" w:hAnsi="Sylfaen" w:cs="Sylfaen"/>
          <w:sz w:val="24"/>
          <w:szCs w:val="24"/>
        </w:rPr>
      </w:pPr>
      <w:r w:rsidRPr="00B834A2">
        <w:rPr>
          <w:rFonts w:ascii="Sylfaen" w:hAnsi="Sylfaen"/>
          <w:sz w:val="24"/>
          <w:szCs w:val="24"/>
        </w:rPr>
        <w:t>Այն դեպքերում, երբ կշռված միջինի հաշվարկը հնարավոր չէ, օրինակ՝ միավորվող փորձերում А</w:t>
      </w:r>
      <w:r w:rsidRPr="00B834A2">
        <w:rPr>
          <w:rStyle w:val="Bodytext31Sylfaen9"/>
          <w:sz w:val="24"/>
          <w:szCs w:val="24"/>
          <w:vertAlign w:val="subscript"/>
        </w:rPr>
        <w:t>U</w:t>
      </w:r>
      <w:r w:rsidRPr="00B834A2">
        <w:rPr>
          <w:rFonts w:ascii="Sylfaen" w:hAnsi="Sylfaen"/>
          <w:sz w:val="24"/>
          <w:szCs w:val="24"/>
        </w:rPr>
        <w:t xml:space="preserve"> ակնկալվող ակտիվության տարբեր արժեքի դեպքում, կիրառվում է չկշռված միջինը՝ փորձերի միջեւ (առնվազն 6 փորձ) դիսպերսիայի վրա հիմնված վստահելի սահմաններով։</w:t>
      </w:r>
    </w:p>
    <w:p w14:paraId="07BA474E" w14:textId="77777777" w:rsidR="00B834A2" w:rsidRPr="00B834A2" w:rsidRDefault="00000000" w:rsidP="00B834A2">
      <w:pPr>
        <w:pStyle w:val="Bodytext20"/>
        <w:shd w:val="clear" w:color="auto" w:fill="auto"/>
        <w:spacing w:before="0" w:after="160" w:line="360" w:lineRule="auto"/>
        <w:ind w:firstLine="567"/>
        <w:rPr>
          <w:rStyle w:val="Bodytext31Sylfaen9"/>
          <w:sz w:val="24"/>
          <w:szCs w:val="24"/>
        </w:rPr>
      </w:pPr>
      <m:oMathPara>
        <m:oMath>
          <m:bar>
            <m:barPr>
              <m:pos m:val="top"/>
              <m:ctrlPr>
                <w:rPr>
                  <w:rStyle w:val="Bodytext31Sylfaen9"/>
                  <w:rFonts w:ascii="Cambria Math" w:hAnsi="Cambria Math"/>
                  <w:i w:val="0"/>
                  <w:iCs w:val="0"/>
                  <w:sz w:val="24"/>
                  <w:szCs w:val="24"/>
                </w:rPr>
              </m:ctrlPr>
            </m:barPr>
            <m:e>
              <m:r>
                <w:rPr>
                  <w:rStyle w:val="Bodytext31Sylfaen9"/>
                  <w:rFonts w:ascii="Cambria Math" w:hAnsi="Cambria Math"/>
                  <w:sz w:val="24"/>
                  <w:szCs w:val="24"/>
                </w:rPr>
                <m:t>M</m:t>
              </m:r>
            </m:e>
          </m:bar>
          <m:r>
            <w:rPr>
              <w:rStyle w:val="Bodytext31Sylfaen9"/>
              <w:rFonts w:ascii="Cambria Math" w:hAnsi="Cambria Math"/>
              <w:sz w:val="24"/>
              <w:szCs w:val="24"/>
            </w:rPr>
            <m:t>=</m:t>
          </m:r>
          <m:f>
            <m:fPr>
              <m:ctrlPr>
                <w:rPr>
                  <w:rStyle w:val="Bodytext31Sylfaen9"/>
                  <w:rFonts w:ascii="Cambria Math" w:hAnsi="Cambria Math"/>
                  <w:i w:val="0"/>
                  <w:iCs w:val="0"/>
                  <w:sz w:val="24"/>
                  <w:szCs w:val="24"/>
                </w:rPr>
              </m:ctrlPr>
            </m:fPr>
            <m:num>
              <m:nary>
                <m:naryPr>
                  <m:chr m:val="∑"/>
                  <m:limLoc m:val="undOvr"/>
                  <m:supHide m:val="1"/>
                  <m:ctrlPr>
                    <w:rPr>
                      <w:rStyle w:val="Bodytext31Sylfaen9"/>
                      <w:rFonts w:ascii="Cambria Math" w:hAnsi="Cambria Math"/>
                      <w:i w:val="0"/>
                      <w:iCs w:val="0"/>
                      <w:sz w:val="24"/>
                      <w:szCs w:val="24"/>
                    </w:rPr>
                  </m:ctrlPr>
                </m:naryPr>
                <m:sub>
                  <m:r>
                    <w:rPr>
                      <w:rStyle w:val="Bodytext31Sylfaen9"/>
                      <w:rFonts w:ascii="Cambria Math" w:hAnsi="Cambria Math"/>
                      <w:sz w:val="24"/>
                      <w:szCs w:val="24"/>
                    </w:rPr>
                    <m:t>n</m:t>
                  </m:r>
                </m:sub>
                <m:sup/>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M</m:t>
                      </m:r>
                    </m:e>
                    <m:sub>
                      <m:r>
                        <w:rPr>
                          <w:rStyle w:val="Bodytext31Sylfaen9"/>
                          <w:rFonts w:ascii="Cambria Math" w:hAnsi="Cambria Math"/>
                          <w:sz w:val="24"/>
                          <w:szCs w:val="24"/>
                        </w:rPr>
                        <m:t>U</m:t>
                      </m:r>
                    </m:sub>
                  </m:sSub>
                </m:e>
              </m:nary>
            </m:num>
            <m:den>
              <m:r>
                <w:rPr>
                  <w:rStyle w:val="Bodytext31Sylfaen9"/>
                  <w:rFonts w:ascii="Cambria Math" w:hAnsi="Cambria Math"/>
                  <w:sz w:val="24"/>
                  <w:szCs w:val="24"/>
                </w:rPr>
                <m:t>n</m:t>
              </m:r>
            </m:den>
          </m:f>
          <m:r>
            <w:rPr>
              <w:rStyle w:val="Bodytext31Sylfaen9"/>
              <w:rFonts w:ascii="Cambria Math" w:hAnsi="Cambria Math"/>
              <w:sz w:val="24"/>
              <w:szCs w:val="24"/>
            </w:rPr>
            <m:t>,</m:t>
          </m:r>
        </m:oMath>
      </m:oMathPara>
    </w:p>
    <w:p w14:paraId="104E23A7" w14:textId="77777777" w:rsidR="00B834A2" w:rsidRPr="00B834A2" w:rsidRDefault="00000000" w:rsidP="00B834A2">
      <w:pPr>
        <w:pStyle w:val="Bodytext20"/>
        <w:shd w:val="clear" w:color="auto" w:fill="auto"/>
        <w:spacing w:before="0" w:after="160" w:line="360" w:lineRule="auto"/>
        <w:ind w:firstLine="567"/>
        <w:rPr>
          <w:rStyle w:val="Bodytext31Sylfaen9"/>
          <w:sz w:val="24"/>
          <w:szCs w:val="24"/>
        </w:rPr>
      </w:pPr>
      <m:oMathPara>
        <m:oMath>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s</m:t>
              </m:r>
            </m:e>
            <m:sub>
              <m:r>
                <w:rPr>
                  <w:rStyle w:val="Bodytext31Sylfaen9"/>
                  <w:rFonts w:ascii="Cambria Math" w:hAnsi="Cambria Math"/>
                  <w:sz w:val="24"/>
                  <w:szCs w:val="24"/>
                </w:rPr>
                <m:t>¯M</m:t>
              </m:r>
            </m:sub>
          </m:sSub>
          <m:r>
            <w:rPr>
              <w:rStyle w:val="Bodytext31Sylfaen9"/>
              <w:rFonts w:ascii="Cambria Math" w:hAnsi="Cambria Math"/>
              <w:sz w:val="24"/>
              <w:szCs w:val="24"/>
            </w:rPr>
            <m:t>=</m:t>
          </m:r>
          <m:rad>
            <m:radPr>
              <m:degHide m:val="1"/>
              <m:ctrlPr>
                <w:rPr>
                  <w:rStyle w:val="Bodytext31Sylfaen9"/>
                  <w:rFonts w:ascii="Cambria Math" w:hAnsi="Cambria Math"/>
                  <w:i w:val="0"/>
                  <w:iCs w:val="0"/>
                  <w:sz w:val="24"/>
                  <w:szCs w:val="24"/>
                </w:rPr>
              </m:ctrlPr>
            </m:radPr>
            <m:deg/>
            <m:e>
              <m:f>
                <m:fPr>
                  <m:ctrlPr>
                    <w:rPr>
                      <w:rStyle w:val="Bodytext31Sylfaen9"/>
                      <w:rFonts w:ascii="Cambria Math" w:hAnsi="Cambria Math"/>
                      <w:i w:val="0"/>
                      <w:iCs w:val="0"/>
                      <w:sz w:val="24"/>
                      <w:szCs w:val="24"/>
                    </w:rPr>
                  </m:ctrlPr>
                </m:fPr>
                <m:num>
                  <m:nary>
                    <m:naryPr>
                      <m:chr m:val="∑"/>
                      <m:limLoc m:val="undOvr"/>
                      <m:supHide m:val="1"/>
                      <m:ctrlPr>
                        <w:rPr>
                          <w:rStyle w:val="Bodytext31Sylfaen9"/>
                          <w:rFonts w:ascii="Cambria Math" w:hAnsi="Cambria Math"/>
                          <w:i w:val="0"/>
                          <w:iCs w:val="0"/>
                          <w:sz w:val="24"/>
                          <w:szCs w:val="24"/>
                        </w:rPr>
                      </m:ctrlPr>
                    </m:naryPr>
                    <m:sub>
                      <m:r>
                        <w:rPr>
                          <w:rStyle w:val="Bodytext31Sylfaen9"/>
                          <w:rFonts w:ascii="Cambria Math" w:hAnsi="Cambria Math"/>
                          <w:sz w:val="24"/>
                          <w:szCs w:val="24"/>
                        </w:rPr>
                        <m:t>n</m:t>
                      </m:r>
                    </m:sub>
                    <m:sup/>
                    <m:e>
                      <m:sSup>
                        <m:sSupPr>
                          <m:ctrlPr>
                            <w:rPr>
                              <w:rStyle w:val="Bodytext31Sylfaen9"/>
                              <w:rFonts w:ascii="Cambria Math" w:hAnsi="Cambria Math"/>
                              <w:i w:val="0"/>
                              <w:iCs w:val="0"/>
                              <w:sz w:val="24"/>
                              <w:szCs w:val="24"/>
                            </w:rPr>
                          </m:ctrlPr>
                        </m:sSupPr>
                        <m:e>
                          <m:r>
                            <w:rPr>
                              <w:rStyle w:val="Bodytext31Sylfaen9"/>
                              <w:rFonts w:ascii="Cambria Math" w:hAnsi="Cambria Math"/>
                              <w:sz w:val="24"/>
                              <w:szCs w:val="24"/>
                            </w:rPr>
                            <m:t>(</m:t>
                          </m:r>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M</m:t>
                              </m:r>
                            </m:e>
                            <m:sub>
                              <m:r>
                                <w:rPr>
                                  <w:rStyle w:val="Bodytext31Sylfaen9"/>
                                  <w:rFonts w:ascii="Cambria Math" w:hAnsi="Cambria Math"/>
                                  <w:sz w:val="24"/>
                                  <w:szCs w:val="24"/>
                                </w:rPr>
                                <m:t>U</m:t>
                              </m:r>
                            </m:sub>
                          </m:sSub>
                          <m:r>
                            <w:rPr>
                              <w:rStyle w:val="Bodytext31Sylfaen9"/>
                              <w:rFonts w:ascii="Cambria Math" w:hAnsi="Cambria Math"/>
                              <w:sz w:val="24"/>
                              <w:szCs w:val="24"/>
                            </w:rPr>
                            <m:t>)</m:t>
                          </m:r>
                        </m:e>
                        <m:sup>
                          <m:r>
                            <w:rPr>
                              <w:rStyle w:val="Bodytext31Sylfaen9"/>
                              <w:rFonts w:ascii="Cambria Math" w:hAnsi="Cambria Math"/>
                              <w:sz w:val="24"/>
                              <w:szCs w:val="24"/>
                            </w:rPr>
                            <m:t>2</m:t>
                          </m:r>
                        </m:sup>
                      </m:sSup>
                      <m:r>
                        <w:rPr>
                          <w:rStyle w:val="Bodytext31Sylfaen9"/>
                          <w:rFonts w:ascii="Cambria Math" w:hAnsi="Cambria Math"/>
                          <w:sz w:val="24"/>
                          <w:szCs w:val="24"/>
                        </w:rPr>
                        <m:t>-(</m:t>
                      </m:r>
                      <m:sSup>
                        <m:sSupPr>
                          <m:ctrlPr>
                            <w:rPr>
                              <w:rStyle w:val="Bodytext31Sylfaen9"/>
                              <w:rFonts w:ascii="Cambria Math" w:hAnsi="Cambria Math"/>
                              <w:i w:val="0"/>
                              <w:iCs w:val="0"/>
                              <w:sz w:val="24"/>
                              <w:szCs w:val="24"/>
                            </w:rPr>
                          </m:ctrlPr>
                        </m:sSupPr>
                        <m:e>
                          <m:nary>
                            <m:naryPr>
                              <m:chr m:val="∑"/>
                              <m:limLoc m:val="undOvr"/>
                              <m:supHide m:val="1"/>
                              <m:ctrlPr>
                                <w:rPr>
                                  <w:rStyle w:val="Bodytext31Sylfaen9"/>
                                  <w:rFonts w:ascii="Cambria Math" w:hAnsi="Cambria Math"/>
                                  <w:i w:val="0"/>
                                  <w:iCs w:val="0"/>
                                  <w:sz w:val="24"/>
                                  <w:szCs w:val="24"/>
                                </w:rPr>
                              </m:ctrlPr>
                            </m:naryPr>
                            <m:sub>
                              <m:r>
                                <w:rPr>
                                  <w:rStyle w:val="Bodytext31Sylfaen9"/>
                                  <w:rFonts w:ascii="Cambria Math" w:hAnsi="Cambria Math"/>
                                  <w:sz w:val="24"/>
                                  <w:szCs w:val="24"/>
                                </w:rPr>
                                <m:t>n</m:t>
                              </m:r>
                            </m:sub>
                            <m:sup/>
                            <m:e>
                              <m:sSub>
                                <m:sSubPr>
                                  <m:ctrlPr>
                                    <w:rPr>
                                      <w:rStyle w:val="Bodytext31Sylfaen9"/>
                                      <w:rFonts w:ascii="Cambria Math" w:hAnsi="Cambria Math"/>
                                      <w:i w:val="0"/>
                                      <w:iCs w:val="0"/>
                                      <w:sz w:val="24"/>
                                      <w:szCs w:val="24"/>
                                    </w:rPr>
                                  </m:ctrlPr>
                                </m:sSubPr>
                                <m:e>
                                  <m:r>
                                    <w:rPr>
                                      <w:rStyle w:val="Bodytext31Sylfaen9"/>
                                      <w:rFonts w:ascii="Cambria Math" w:hAnsi="Cambria Math"/>
                                      <w:sz w:val="24"/>
                                      <w:szCs w:val="24"/>
                                    </w:rPr>
                                    <m:t>M</m:t>
                                  </m:r>
                                </m:e>
                                <m:sub>
                                  <m:r>
                                    <w:rPr>
                                      <w:rStyle w:val="Bodytext31Sylfaen9"/>
                                      <w:rFonts w:ascii="Cambria Math" w:hAnsi="Cambria Math"/>
                                      <w:sz w:val="24"/>
                                      <w:szCs w:val="24"/>
                                    </w:rPr>
                                    <m:t>U</m:t>
                                  </m:r>
                                </m:sub>
                              </m:sSub>
                            </m:e>
                          </m:nary>
                          <m:r>
                            <w:rPr>
                              <w:rStyle w:val="Bodytext31Sylfaen9"/>
                              <w:rFonts w:ascii="Cambria Math" w:hAnsi="Cambria Math"/>
                              <w:sz w:val="24"/>
                              <w:szCs w:val="24"/>
                            </w:rPr>
                            <m:t>)</m:t>
                          </m:r>
                        </m:e>
                        <m:sup>
                          <m:r>
                            <w:rPr>
                              <w:rStyle w:val="Bodytext31Sylfaen9"/>
                              <w:rFonts w:ascii="Cambria Math" w:hAnsi="Cambria Math"/>
                              <w:sz w:val="24"/>
                              <w:szCs w:val="24"/>
                            </w:rPr>
                            <m:t>2</m:t>
                          </m:r>
                        </m:sup>
                      </m:sSup>
                      <m:r>
                        <w:rPr>
                          <w:rStyle w:val="Bodytext31Sylfaen9"/>
                          <w:rFonts w:ascii="Cambria Math" w:hAnsi="Cambria Math"/>
                          <w:sz w:val="24"/>
                          <w:szCs w:val="24"/>
                        </w:rPr>
                        <m:t>/n</m:t>
                      </m:r>
                    </m:e>
                  </m:nary>
                </m:num>
                <m:den>
                  <m:r>
                    <w:rPr>
                      <w:rStyle w:val="Bodytext31Sylfaen9"/>
                      <w:rFonts w:ascii="Cambria Math" w:hAnsi="Cambria Math"/>
                      <w:sz w:val="24"/>
                      <w:szCs w:val="24"/>
                    </w:rPr>
                    <m:t>n-1</m:t>
                  </m:r>
                </m:den>
              </m:f>
            </m:e>
          </m:rad>
        </m:oMath>
      </m:oMathPara>
    </w:p>
    <w:p w14:paraId="20BA6682" w14:textId="77777777" w:rsidR="00B834A2" w:rsidRPr="00B834A2" w:rsidRDefault="00B834A2" w:rsidP="00B834A2">
      <w:pPr>
        <w:pStyle w:val="Bodytext20"/>
        <w:shd w:val="clear" w:color="auto" w:fill="auto"/>
        <w:spacing w:before="0" w:after="160" w:line="360" w:lineRule="auto"/>
        <w:ind w:firstLine="567"/>
        <w:rPr>
          <w:rStyle w:val="Bodytext31Sylfaen9"/>
          <w:sz w:val="24"/>
          <w:szCs w:val="24"/>
        </w:rPr>
      </w:pPr>
      <w:r w:rsidRPr="00B834A2">
        <w:rPr>
          <w:rFonts w:ascii="Sylfaen" w:hAnsi="Sylfaen"/>
          <w:sz w:val="24"/>
          <w:szCs w:val="24"/>
        </w:rPr>
        <w:t xml:space="preserve">Վստահելի սահմանները հավասար են </w:t>
      </w:r>
      <w:r w:rsidRPr="00B834A2">
        <w:rPr>
          <w:rStyle w:val="Bodytext31Sylfaen9"/>
          <w:sz w:val="24"/>
          <w:szCs w:val="24"/>
        </w:rPr>
        <w:t>М ± ts</w:t>
      </w:r>
      <w:r w:rsidRPr="00B834A2">
        <w:rPr>
          <w:rStyle w:val="Bodytext31Sylfaen9"/>
          <w:sz w:val="24"/>
          <w:szCs w:val="24"/>
          <w:vertAlign w:val="subscript"/>
        </w:rPr>
        <w:t>M</w:t>
      </w:r>
      <w:r w:rsidRPr="00B834A2">
        <w:rPr>
          <w:rStyle w:val="Bodytext31Sylfaen9"/>
          <w:sz w:val="24"/>
          <w:szCs w:val="24"/>
        </w:rPr>
        <w:t xml:space="preserve">, եթե ƒ= </w:t>
      </w:r>
      <w:r w:rsidRPr="00B834A2">
        <w:rPr>
          <w:rStyle w:val="Bodytext2Italic"/>
          <w:sz w:val="24"/>
          <w:szCs w:val="24"/>
        </w:rPr>
        <w:t>n -</w:t>
      </w:r>
      <w:r w:rsidRPr="00B834A2">
        <w:rPr>
          <w:rStyle w:val="Bodytext31Sylfaen9"/>
          <w:sz w:val="24"/>
          <w:szCs w:val="24"/>
        </w:rPr>
        <w:t xml:space="preserve"> 1 եւ р = 0,05։</w:t>
      </w:r>
    </w:p>
    <w:p w14:paraId="29FB3C7B" w14:textId="77777777" w:rsidR="00184198" w:rsidRDefault="00184198">
      <w:pPr>
        <w:rPr>
          <w:rStyle w:val="Bodytext31Sylfaen9"/>
          <w:b/>
          <w:bCs/>
          <w:sz w:val="24"/>
          <w:szCs w:val="24"/>
        </w:rPr>
      </w:pPr>
      <w:r>
        <w:rPr>
          <w:rStyle w:val="Bodytext31Sylfaen9"/>
          <w:b/>
          <w:bCs/>
          <w:sz w:val="24"/>
          <w:szCs w:val="24"/>
        </w:rPr>
        <w:br w:type="page"/>
      </w:r>
    </w:p>
    <w:p w14:paraId="264BF774" w14:textId="77777777" w:rsidR="00B834A2" w:rsidRPr="003813BA" w:rsidRDefault="00B834A2" w:rsidP="003813BA">
      <w:pPr>
        <w:pStyle w:val="Bodytext20"/>
        <w:shd w:val="clear" w:color="auto" w:fill="auto"/>
        <w:spacing w:before="0" w:after="160" w:line="360" w:lineRule="auto"/>
        <w:ind w:firstLine="567"/>
        <w:jc w:val="both"/>
        <w:rPr>
          <w:rStyle w:val="Bodytext31Sylfaen9"/>
          <w:b/>
          <w:bCs/>
          <w:sz w:val="24"/>
          <w:szCs w:val="24"/>
        </w:rPr>
      </w:pPr>
      <w:r w:rsidRPr="003813BA">
        <w:rPr>
          <w:rStyle w:val="Bodytext31Sylfaen9"/>
          <w:b/>
          <w:sz w:val="24"/>
          <w:szCs w:val="24"/>
        </w:rPr>
        <w:lastRenderedPageBreak/>
        <w:t>ՀԱՎԵԼՎԱԾ</w:t>
      </w:r>
    </w:p>
    <w:p w14:paraId="4B60DC88" w14:textId="77777777" w:rsidR="00B834A2" w:rsidRPr="00B834A2" w:rsidRDefault="00B834A2" w:rsidP="003813BA">
      <w:pPr>
        <w:pStyle w:val="Tablecaption110"/>
        <w:shd w:val="clear" w:color="auto" w:fill="auto"/>
        <w:spacing w:after="160" w:line="360" w:lineRule="auto"/>
        <w:ind w:firstLine="567"/>
        <w:rPr>
          <w:rFonts w:ascii="Sylfaen" w:hAnsi="Sylfaen" w:cs="Sylfaen"/>
          <w:sz w:val="24"/>
          <w:szCs w:val="24"/>
        </w:rPr>
      </w:pPr>
      <w:r w:rsidRPr="00B834A2">
        <w:rPr>
          <w:rStyle w:val="Bodytext31Sylfaen9"/>
          <w:sz w:val="24"/>
          <w:szCs w:val="24"/>
        </w:rPr>
        <w:t xml:space="preserve">Աղյուսակ 1. </w:t>
      </w:r>
      <w:r w:rsidRPr="00B834A2">
        <w:rPr>
          <w:rFonts w:ascii="Sylfaen" w:hAnsi="Sylfaen"/>
          <w:sz w:val="24"/>
          <w:szCs w:val="24"/>
        </w:rPr>
        <w:t>Q ստուգիչ չափորոշչի կրիտիկական արժեքները (Р, n)</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08"/>
        <w:gridCol w:w="1237"/>
        <w:gridCol w:w="1843"/>
        <w:gridCol w:w="4205"/>
      </w:tblGrid>
      <w:tr w:rsidR="00B834A2" w:rsidRPr="00D16259" w14:paraId="58AC8EED" w14:textId="77777777" w:rsidTr="00B834A2">
        <w:trPr>
          <w:jc w:val="center"/>
        </w:trPr>
        <w:tc>
          <w:tcPr>
            <w:tcW w:w="2108" w:type="dxa"/>
            <w:vMerge w:val="restart"/>
            <w:tcBorders>
              <w:top w:val="single" w:sz="4" w:space="0" w:color="auto"/>
            </w:tcBorders>
            <w:shd w:val="clear" w:color="auto" w:fill="FFFFFF"/>
            <w:vAlign w:val="center"/>
          </w:tcPr>
          <w:p w14:paraId="5DF91A82"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n</w:t>
            </w:r>
          </w:p>
        </w:tc>
        <w:tc>
          <w:tcPr>
            <w:tcW w:w="7285" w:type="dxa"/>
            <w:gridSpan w:val="3"/>
            <w:tcBorders>
              <w:top w:val="single" w:sz="4" w:space="0" w:color="auto"/>
            </w:tcBorders>
            <w:shd w:val="clear" w:color="auto" w:fill="FFFFFF"/>
          </w:tcPr>
          <w:p w14:paraId="387AC38B" w14:textId="77777777" w:rsidR="00B834A2" w:rsidRPr="00D16259" w:rsidRDefault="00B834A2" w:rsidP="00D16259">
            <w:pPr>
              <w:spacing w:after="120"/>
              <w:jc w:val="center"/>
              <w:rPr>
                <w:sz w:val="20"/>
              </w:rPr>
            </w:pPr>
            <w:r w:rsidRPr="00D16259">
              <w:rPr>
                <w:rStyle w:val="Bodytext31Sylfaen9"/>
                <w:sz w:val="20"/>
                <w:szCs w:val="24"/>
              </w:rPr>
              <w:t>Q</w:t>
            </w:r>
          </w:p>
        </w:tc>
      </w:tr>
      <w:tr w:rsidR="00B834A2" w:rsidRPr="00D16259" w14:paraId="3EDA6B8A" w14:textId="77777777" w:rsidTr="00B834A2">
        <w:trPr>
          <w:jc w:val="center"/>
        </w:trPr>
        <w:tc>
          <w:tcPr>
            <w:tcW w:w="2108" w:type="dxa"/>
            <w:vMerge/>
            <w:shd w:val="clear" w:color="auto" w:fill="FFFFFF"/>
            <w:vAlign w:val="center"/>
          </w:tcPr>
          <w:p w14:paraId="6EF3F55C" w14:textId="77777777" w:rsidR="00B834A2" w:rsidRPr="00D16259" w:rsidRDefault="00B834A2" w:rsidP="00D16259">
            <w:pPr>
              <w:spacing w:after="120"/>
              <w:rPr>
                <w:sz w:val="20"/>
              </w:rPr>
            </w:pPr>
          </w:p>
        </w:tc>
        <w:tc>
          <w:tcPr>
            <w:tcW w:w="1237" w:type="dxa"/>
            <w:tcBorders>
              <w:top w:val="single" w:sz="4" w:space="0" w:color="auto"/>
            </w:tcBorders>
            <w:shd w:val="clear" w:color="auto" w:fill="FFFFFF"/>
            <w:vAlign w:val="bottom"/>
          </w:tcPr>
          <w:p w14:paraId="2018AD68"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Р =</w:t>
            </w:r>
            <w:r w:rsidRPr="00D16259">
              <w:rPr>
                <w:rStyle w:val="Bodytext31Sylfaen9"/>
                <w:sz w:val="20"/>
                <w:szCs w:val="24"/>
              </w:rPr>
              <w:t xml:space="preserve"> 0,90</w:t>
            </w:r>
          </w:p>
        </w:tc>
        <w:tc>
          <w:tcPr>
            <w:tcW w:w="1843" w:type="dxa"/>
            <w:tcBorders>
              <w:top w:val="single" w:sz="4" w:space="0" w:color="auto"/>
            </w:tcBorders>
            <w:shd w:val="clear" w:color="auto" w:fill="FFFFFF"/>
            <w:vAlign w:val="bottom"/>
          </w:tcPr>
          <w:p w14:paraId="6DC1204E"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Р =</w:t>
            </w:r>
            <w:r w:rsidRPr="00D16259">
              <w:rPr>
                <w:rStyle w:val="Bodytext31Sylfaen9"/>
                <w:sz w:val="20"/>
                <w:szCs w:val="24"/>
              </w:rPr>
              <w:t xml:space="preserve"> 0,95</w:t>
            </w:r>
          </w:p>
        </w:tc>
        <w:tc>
          <w:tcPr>
            <w:tcW w:w="4205" w:type="dxa"/>
            <w:tcBorders>
              <w:top w:val="single" w:sz="4" w:space="0" w:color="auto"/>
            </w:tcBorders>
            <w:shd w:val="clear" w:color="auto" w:fill="FFFFFF"/>
            <w:vAlign w:val="bottom"/>
          </w:tcPr>
          <w:p w14:paraId="25015303"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2Italic"/>
                <w:sz w:val="20"/>
                <w:szCs w:val="24"/>
              </w:rPr>
              <w:t>Р =</w:t>
            </w:r>
            <w:r w:rsidRPr="00D16259">
              <w:rPr>
                <w:rStyle w:val="Bodytext31Sylfaen9"/>
                <w:sz w:val="20"/>
                <w:szCs w:val="24"/>
              </w:rPr>
              <w:t xml:space="preserve"> 0,99</w:t>
            </w:r>
          </w:p>
        </w:tc>
      </w:tr>
      <w:tr w:rsidR="00B834A2" w:rsidRPr="00D16259" w14:paraId="07C2CAE6" w14:textId="77777777" w:rsidTr="00B834A2">
        <w:trPr>
          <w:jc w:val="center"/>
        </w:trPr>
        <w:tc>
          <w:tcPr>
            <w:tcW w:w="2108" w:type="dxa"/>
            <w:tcBorders>
              <w:top w:val="single" w:sz="4" w:space="0" w:color="auto"/>
            </w:tcBorders>
            <w:shd w:val="clear" w:color="auto" w:fill="FFFFFF"/>
            <w:vAlign w:val="bottom"/>
          </w:tcPr>
          <w:p w14:paraId="5C5C519E"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3</w:t>
            </w:r>
          </w:p>
        </w:tc>
        <w:tc>
          <w:tcPr>
            <w:tcW w:w="1237" w:type="dxa"/>
            <w:tcBorders>
              <w:top w:val="single" w:sz="4" w:space="0" w:color="auto"/>
            </w:tcBorders>
            <w:shd w:val="clear" w:color="auto" w:fill="FFFFFF"/>
            <w:vAlign w:val="bottom"/>
          </w:tcPr>
          <w:p w14:paraId="5CB3F4FC"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0,89</w:t>
            </w:r>
          </w:p>
        </w:tc>
        <w:tc>
          <w:tcPr>
            <w:tcW w:w="1843" w:type="dxa"/>
            <w:tcBorders>
              <w:top w:val="single" w:sz="4" w:space="0" w:color="auto"/>
            </w:tcBorders>
            <w:shd w:val="clear" w:color="auto" w:fill="FFFFFF"/>
            <w:vAlign w:val="bottom"/>
          </w:tcPr>
          <w:p w14:paraId="7ECA5889"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0,94</w:t>
            </w:r>
          </w:p>
        </w:tc>
        <w:tc>
          <w:tcPr>
            <w:tcW w:w="4205" w:type="dxa"/>
            <w:tcBorders>
              <w:top w:val="single" w:sz="4" w:space="0" w:color="auto"/>
            </w:tcBorders>
            <w:shd w:val="clear" w:color="auto" w:fill="FFFFFF"/>
            <w:vAlign w:val="bottom"/>
          </w:tcPr>
          <w:p w14:paraId="33B37CAD"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0,99</w:t>
            </w:r>
          </w:p>
        </w:tc>
      </w:tr>
      <w:tr w:rsidR="00B834A2" w:rsidRPr="00D16259" w14:paraId="198713AD" w14:textId="77777777" w:rsidTr="00B834A2">
        <w:trPr>
          <w:jc w:val="center"/>
        </w:trPr>
        <w:tc>
          <w:tcPr>
            <w:tcW w:w="2108" w:type="dxa"/>
            <w:shd w:val="clear" w:color="auto" w:fill="FFFFFF"/>
            <w:vAlign w:val="bottom"/>
          </w:tcPr>
          <w:p w14:paraId="56EE890F"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4</w:t>
            </w:r>
          </w:p>
        </w:tc>
        <w:tc>
          <w:tcPr>
            <w:tcW w:w="1237" w:type="dxa"/>
            <w:shd w:val="clear" w:color="auto" w:fill="FFFFFF"/>
            <w:vAlign w:val="bottom"/>
          </w:tcPr>
          <w:p w14:paraId="180CE46F"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0,68</w:t>
            </w:r>
          </w:p>
        </w:tc>
        <w:tc>
          <w:tcPr>
            <w:tcW w:w="1843" w:type="dxa"/>
            <w:shd w:val="clear" w:color="auto" w:fill="FFFFFF"/>
            <w:vAlign w:val="bottom"/>
          </w:tcPr>
          <w:p w14:paraId="41A443F3"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0,77</w:t>
            </w:r>
          </w:p>
        </w:tc>
        <w:tc>
          <w:tcPr>
            <w:tcW w:w="4205" w:type="dxa"/>
            <w:shd w:val="clear" w:color="auto" w:fill="FFFFFF"/>
            <w:vAlign w:val="bottom"/>
          </w:tcPr>
          <w:p w14:paraId="55CFA202"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0,89</w:t>
            </w:r>
          </w:p>
        </w:tc>
      </w:tr>
      <w:tr w:rsidR="00B834A2" w:rsidRPr="00D16259" w14:paraId="752C9C62" w14:textId="77777777" w:rsidTr="00B834A2">
        <w:trPr>
          <w:jc w:val="center"/>
        </w:trPr>
        <w:tc>
          <w:tcPr>
            <w:tcW w:w="2108" w:type="dxa"/>
            <w:shd w:val="clear" w:color="auto" w:fill="FFFFFF"/>
            <w:vAlign w:val="bottom"/>
          </w:tcPr>
          <w:p w14:paraId="6E0A8B5E"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5</w:t>
            </w:r>
          </w:p>
        </w:tc>
        <w:tc>
          <w:tcPr>
            <w:tcW w:w="1237" w:type="dxa"/>
            <w:shd w:val="clear" w:color="auto" w:fill="FFFFFF"/>
            <w:vAlign w:val="bottom"/>
          </w:tcPr>
          <w:p w14:paraId="259185D8"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0,56</w:t>
            </w:r>
          </w:p>
        </w:tc>
        <w:tc>
          <w:tcPr>
            <w:tcW w:w="1843" w:type="dxa"/>
            <w:shd w:val="clear" w:color="auto" w:fill="FFFFFF"/>
            <w:vAlign w:val="bottom"/>
          </w:tcPr>
          <w:p w14:paraId="5AC86A23"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0,64</w:t>
            </w:r>
          </w:p>
        </w:tc>
        <w:tc>
          <w:tcPr>
            <w:tcW w:w="4205" w:type="dxa"/>
            <w:shd w:val="clear" w:color="auto" w:fill="FFFFFF"/>
            <w:vAlign w:val="bottom"/>
          </w:tcPr>
          <w:p w14:paraId="559CA32B"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0,76</w:t>
            </w:r>
          </w:p>
        </w:tc>
      </w:tr>
      <w:tr w:rsidR="00B834A2" w:rsidRPr="00D16259" w14:paraId="03C9D1E1" w14:textId="77777777" w:rsidTr="00B834A2">
        <w:trPr>
          <w:jc w:val="center"/>
        </w:trPr>
        <w:tc>
          <w:tcPr>
            <w:tcW w:w="2108" w:type="dxa"/>
            <w:shd w:val="clear" w:color="auto" w:fill="FFFFFF"/>
            <w:vAlign w:val="bottom"/>
          </w:tcPr>
          <w:p w14:paraId="4B784DCB"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6</w:t>
            </w:r>
          </w:p>
        </w:tc>
        <w:tc>
          <w:tcPr>
            <w:tcW w:w="1237" w:type="dxa"/>
            <w:shd w:val="clear" w:color="auto" w:fill="FFFFFF"/>
            <w:vAlign w:val="bottom"/>
          </w:tcPr>
          <w:p w14:paraId="614D37B1"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0,48</w:t>
            </w:r>
          </w:p>
        </w:tc>
        <w:tc>
          <w:tcPr>
            <w:tcW w:w="1843" w:type="dxa"/>
            <w:shd w:val="clear" w:color="auto" w:fill="FFFFFF"/>
            <w:vAlign w:val="bottom"/>
          </w:tcPr>
          <w:p w14:paraId="6A5E5E0F"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0,56</w:t>
            </w:r>
          </w:p>
        </w:tc>
        <w:tc>
          <w:tcPr>
            <w:tcW w:w="4205" w:type="dxa"/>
            <w:shd w:val="clear" w:color="auto" w:fill="FFFFFF"/>
            <w:vAlign w:val="bottom"/>
          </w:tcPr>
          <w:p w14:paraId="414B60B5"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0,70</w:t>
            </w:r>
          </w:p>
        </w:tc>
      </w:tr>
      <w:tr w:rsidR="00B834A2" w:rsidRPr="00D16259" w14:paraId="53BDEF24" w14:textId="77777777" w:rsidTr="00B834A2">
        <w:trPr>
          <w:jc w:val="center"/>
        </w:trPr>
        <w:tc>
          <w:tcPr>
            <w:tcW w:w="2108" w:type="dxa"/>
            <w:shd w:val="clear" w:color="auto" w:fill="FFFFFF"/>
            <w:vAlign w:val="bottom"/>
          </w:tcPr>
          <w:p w14:paraId="70855B35"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7</w:t>
            </w:r>
          </w:p>
        </w:tc>
        <w:tc>
          <w:tcPr>
            <w:tcW w:w="1237" w:type="dxa"/>
            <w:shd w:val="clear" w:color="auto" w:fill="FFFFFF"/>
            <w:vAlign w:val="bottom"/>
          </w:tcPr>
          <w:p w14:paraId="4709027B"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0,43</w:t>
            </w:r>
          </w:p>
        </w:tc>
        <w:tc>
          <w:tcPr>
            <w:tcW w:w="1843" w:type="dxa"/>
            <w:shd w:val="clear" w:color="auto" w:fill="FFFFFF"/>
            <w:vAlign w:val="bottom"/>
          </w:tcPr>
          <w:p w14:paraId="3FB0F6D6"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0,51</w:t>
            </w:r>
          </w:p>
        </w:tc>
        <w:tc>
          <w:tcPr>
            <w:tcW w:w="4205" w:type="dxa"/>
            <w:shd w:val="clear" w:color="auto" w:fill="FFFFFF"/>
            <w:vAlign w:val="bottom"/>
          </w:tcPr>
          <w:p w14:paraId="02FA3488"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0,64</w:t>
            </w:r>
          </w:p>
        </w:tc>
      </w:tr>
      <w:tr w:rsidR="00B834A2" w:rsidRPr="00D16259" w14:paraId="23366A97" w14:textId="77777777" w:rsidTr="00B834A2">
        <w:trPr>
          <w:jc w:val="center"/>
        </w:trPr>
        <w:tc>
          <w:tcPr>
            <w:tcW w:w="2108" w:type="dxa"/>
            <w:shd w:val="clear" w:color="auto" w:fill="FFFFFF"/>
            <w:vAlign w:val="bottom"/>
          </w:tcPr>
          <w:p w14:paraId="388C1897"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8</w:t>
            </w:r>
          </w:p>
        </w:tc>
        <w:tc>
          <w:tcPr>
            <w:tcW w:w="1237" w:type="dxa"/>
            <w:shd w:val="clear" w:color="auto" w:fill="FFFFFF"/>
            <w:vAlign w:val="center"/>
          </w:tcPr>
          <w:p w14:paraId="71982189"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0,48</w:t>
            </w:r>
          </w:p>
        </w:tc>
        <w:tc>
          <w:tcPr>
            <w:tcW w:w="1843" w:type="dxa"/>
            <w:shd w:val="clear" w:color="auto" w:fill="FFFFFF"/>
            <w:vAlign w:val="center"/>
          </w:tcPr>
          <w:p w14:paraId="744B65F3"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0,55</w:t>
            </w:r>
          </w:p>
        </w:tc>
        <w:tc>
          <w:tcPr>
            <w:tcW w:w="4205" w:type="dxa"/>
            <w:shd w:val="clear" w:color="auto" w:fill="FFFFFF"/>
            <w:vAlign w:val="bottom"/>
          </w:tcPr>
          <w:p w14:paraId="0B930BC0"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0,68</w:t>
            </w:r>
          </w:p>
        </w:tc>
      </w:tr>
      <w:tr w:rsidR="00B834A2" w:rsidRPr="00D16259" w14:paraId="5E12B39E" w14:textId="77777777" w:rsidTr="00B834A2">
        <w:trPr>
          <w:jc w:val="center"/>
        </w:trPr>
        <w:tc>
          <w:tcPr>
            <w:tcW w:w="2108" w:type="dxa"/>
            <w:shd w:val="clear" w:color="auto" w:fill="FFFFFF"/>
            <w:vAlign w:val="bottom"/>
          </w:tcPr>
          <w:p w14:paraId="79A3F247"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9</w:t>
            </w:r>
          </w:p>
        </w:tc>
        <w:tc>
          <w:tcPr>
            <w:tcW w:w="1237" w:type="dxa"/>
            <w:shd w:val="clear" w:color="auto" w:fill="FFFFFF"/>
            <w:vAlign w:val="bottom"/>
          </w:tcPr>
          <w:p w14:paraId="21927C50"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0,44</w:t>
            </w:r>
          </w:p>
        </w:tc>
        <w:tc>
          <w:tcPr>
            <w:tcW w:w="1843" w:type="dxa"/>
            <w:shd w:val="clear" w:color="auto" w:fill="FFFFFF"/>
            <w:vAlign w:val="bottom"/>
          </w:tcPr>
          <w:p w14:paraId="0BB7DFE8"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0,51</w:t>
            </w:r>
          </w:p>
        </w:tc>
        <w:tc>
          <w:tcPr>
            <w:tcW w:w="4205" w:type="dxa"/>
            <w:shd w:val="clear" w:color="auto" w:fill="FFFFFF"/>
            <w:vAlign w:val="bottom"/>
          </w:tcPr>
          <w:p w14:paraId="28158EC4"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0,64</w:t>
            </w:r>
          </w:p>
        </w:tc>
      </w:tr>
      <w:tr w:rsidR="00B834A2" w:rsidRPr="00D16259" w14:paraId="47180E6E" w14:textId="77777777" w:rsidTr="00B834A2">
        <w:trPr>
          <w:jc w:val="center"/>
        </w:trPr>
        <w:tc>
          <w:tcPr>
            <w:tcW w:w="2108" w:type="dxa"/>
            <w:tcBorders>
              <w:bottom w:val="single" w:sz="4" w:space="0" w:color="auto"/>
            </w:tcBorders>
            <w:shd w:val="clear" w:color="auto" w:fill="FFFFFF"/>
            <w:vAlign w:val="bottom"/>
          </w:tcPr>
          <w:p w14:paraId="0E819A01"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10</w:t>
            </w:r>
          </w:p>
        </w:tc>
        <w:tc>
          <w:tcPr>
            <w:tcW w:w="1237" w:type="dxa"/>
            <w:tcBorders>
              <w:bottom w:val="single" w:sz="4" w:space="0" w:color="auto"/>
            </w:tcBorders>
            <w:shd w:val="clear" w:color="auto" w:fill="FFFFFF"/>
            <w:vAlign w:val="center"/>
          </w:tcPr>
          <w:p w14:paraId="1CFDD788"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0,41</w:t>
            </w:r>
          </w:p>
        </w:tc>
        <w:tc>
          <w:tcPr>
            <w:tcW w:w="1843" w:type="dxa"/>
            <w:tcBorders>
              <w:bottom w:val="single" w:sz="4" w:space="0" w:color="auto"/>
            </w:tcBorders>
            <w:shd w:val="clear" w:color="auto" w:fill="FFFFFF"/>
            <w:vAlign w:val="center"/>
          </w:tcPr>
          <w:p w14:paraId="5142349A"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0,48</w:t>
            </w:r>
          </w:p>
        </w:tc>
        <w:tc>
          <w:tcPr>
            <w:tcW w:w="4205" w:type="dxa"/>
            <w:tcBorders>
              <w:bottom w:val="single" w:sz="4" w:space="0" w:color="auto"/>
            </w:tcBorders>
            <w:shd w:val="clear" w:color="auto" w:fill="FFFFFF"/>
            <w:vAlign w:val="bottom"/>
          </w:tcPr>
          <w:p w14:paraId="73E8DA9F" w14:textId="77777777" w:rsidR="00B834A2" w:rsidRPr="00D16259" w:rsidRDefault="00B834A2" w:rsidP="00D16259">
            <w:pPr>
              <w:pStyle w:val="Bodytext20"/>
              <w:shd w:val="clear" w:color="auto" w:fill="auto"/>
              <w:spacing w:before="0" w:line="240" w:lineRule="auto"/>
              <w:rPr>
                <w:rFonts w:ascii="Sylfaen" w:hAnsi="Sylfaen" w:cs="Sylfaen"/>
                <w:sz w:val="20"/>
                <w:szCs w:val="24"/>
              </w:rPr>
            </w:pPr>
            <w:r w:rsidRPr="00D16259">
              <w:rPr>
                <w:rStyle w:val="Bodytext31Sylfaen9"/>
                <w:sz w:val="20"/>
                <w:szCs w:val="24"/>
              </w:rPr>
              <w:t>0,60</w:t>
            </w:r>
          </w:p>
        </w:tc>
      </w:tr>
    </w:tbl>
    <w:p w14:paraId="00EE77CB"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u w:val="single"/>
        </w:rPr>
      </w:pPr>
    </w:p>
    <w:p w14:paraId="57765474" w14:textId="77777777" w:rsidR="00B834A2" w:rsidRPr="003813BA" w:rsidRDefault="00B834A2" w:rsidP="002B2475">
      <w:pPr>
        <w:spacing w:after="160" w:line="360" w:lineRule="auto"/>
        <w:ind w:firstLine="567"/>
      </w:pPr>
      <w:r w:rsidRPr="003813BA">
        <w:rPr>
          <w:rStyle w:val="Headerorfooter3NotItalic"/>
          <w:rFonts w:ascii="Sylfaen" w:eastAsia="Tahoma" w:hAnsi="Sylfaen"/>
          <w:i w:val="0"/>
          <w:sz w:val="24"/>
          <w:szCs w:val="24"/>
        </w:rPr>
        <w:t>Աղյուսակ 2.</w:t>
      </w:r>
      <w:r w:rsidRPr="00B834A2">
        <w:rPr>
          <w:rStyle w:val="Headerorfooter3NotItalic"/>
          <w:rFonts w:ascii="Sylfaen" w:eastAsia="Tahoma" w:hAnsi="Sylfaen"/>
          <w:sz w:val="24"/>
          <w:szCs w:val="24"/>
        </w:rPr>
        <w:t xml:space="preserve"> </w:t>
      </w:r>
      <w:r w:rsidRPr="003813BA">
        <w:rPr>
          <w:rStyle w:val="Headerorfooter3"/>
          <w:rFonts w:ascii="Sylfaen" w:eastAsia="Tahoma" w:hAnsi="Sylfaen"/>
          <w:sz w:val="24"/>
          <w:szCs w:val="24"/>
        </w:rPr>
        <w:t>Ստյուդենտի չափորոշչի կրիտիկական արժեքները</w:t>
      </w:r>
    </w:p>
    <w:tbl>
      <w:tblPr>
        <w:tblOverlap w:val="never"/>
        <w:tblW w:w="9379" w:type="dxa"/>
        <w:tblInd w:w="-144" w:type="dxa"/>
        <w:tblLayout w:type="fixed"/>
        <w:tblCellMar>
          <w:left w:w="10" w:type="dxa"/>
          <w:right w:w="10" w:type="dxa"/>
        </w:tblCellMar>
        <w:tblLook w:val="0000" w:firstRow="0" w:lastRow="0" w:firstColumn="0" w:lastColumn="0" w:noHBand="0" w:noVBand="0"/>
      </w:tblPr>
      <w:tblGrid>
        <w:gridCol w:w="1469"/>
        <w:gridCol w:w="1152"/>
        <w:gridCol w:w="946"/>
        <w:gridCol w:w="1354"/>
        <w:gridCol w:w="802"/>
        <w:gridCol w:w="696"/>
        <w:gridCol w:w="931"/>
        <w:gridCol w:w="802"/>
        <w:gridCol w:w="571"/>
        <w:gridCol w:w="656"/>
      </w:tblGrid>
      <w:tr w:rsidR="00B834A2" w:rsidRPr="00D16259" w14:paraId="1F7C6395" w14:textId="77777777" w:rsidTr="00B834A2">
        <w:tc>
          <w:tcPr>
            <w:tcW w:w="1469" w:type="dxa"/>
            <w:vMerge w:val="restart"/>
            <w:tcBorders>
              <w:top w:val="single" w:sz="4" w:space="0" w:color="auto"/>
            </w:tcBorders>
            <w:shd w:val="clear" w:color="auto" w:fill="FFFFFF"/>
            <w:vAlign w:val="center"/>
          </w:tcPr>
          <w:p w14:paraId="7192B85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ƒ</w:t>
            </w:r>
          </w:p>
        </w:tc>
        <w:tc>
          <w:tcPr>
            <w:tcW w:w="3452" w:type="dxa"/>
            <w:gridSpan w:val="3"/>
            <w:tcBorders>
              <w:top w:val="single" w:sz="4" w:space="0" w:color="auto"/>
            </w:tcBorders>
            <w:shd w:val="clear" w:color="auto" w:fill="FFFFFF"/>
            <w:vAlign w:val="center"/>
          </w:tcPr>
          <w:p w14:paraId="24B6AA83" w14:textId="77777777" w:rsidR="00B834A2" w:rsidRPr="00D16259" w:rsidRDefault="00B834A2" w:rsidP="00D16259">
            <w:pPr>
              <w:pStyle w:val="Bodytext20"/>
              <w:shd w:val="clear" w:color="auto" w:fill="auto"/>
              <w:spacing w:before="0" w:line="240" w:lineRule="auto"/>
              <w:ind w:left="540"/>
              <w:jc w:val="left"/>
              <w:rPr>
                <w:rFonts w:ascii="Sylfaen" w:hAnsi="Sylfaen" w:cs="Sylfaen"/>
                <w:sz w:val="20"/>
                <w:szCs w:val="20"/>
              </w:rPr>
            </w:pPr>
            <w:r w:rsidRPr="00D16259">
              <w:rPr>
                <w:rStyle w:val="Bodytext31Sylfaen9"/>
                <w:sz w:val="20"/>
                <w:szCs w:val="20"/>
              </w:rPr>
              <w:t xml:space="preserve">Վստահելի հավանականությունը </w:t>
            </w:r>
          </w:p>
        </w:tc>
        <w:tc>
          <w:tcPr>
            <w:tcW w:w="802" w:type="dxa"/>
            <w:vMerge w:val="restart"/>
            <w:tcBorders>
              <w:top w:val="single" w:sz="4" w:space="0" w:color="auto"/>
            </w:tcBorders>
            <w:shd w:val="clear" w:color="auto" w:fill="FFFFFF"/>
            <w:vAlign w:val="center"/>
          </w:tcPr>
          <w:p w14:paraId="0EB83364" w14:textId="77777777" w:rsidR="00B834A2" w:rsidRPr="00D16259" w:rsidRDefault="00B834A2" w:rsidP="00D16259">
            <w:pPr>
              <w:pStyle w:val="Bodytext20"/>
              <w:shd w:val="clear" w:color="auto" w:fill="auto"/>
              <w:spacing w:before="0" w:line="240" w:lineRule="auto"/>
              <w:jc w:val="right"/>
              <w:rPr>
                <w:rFonts w:ascii="Sylfaen" w:hAnsi="Sylfaen" w:cs="Sylfaen"/>
                <w:sz w:val="20"/>
                <w:szCs w:val="20"/>
              </w:rPr>
            </w:pPr>
          </w:p>
        </w:tc>
        <w:tc>
          <w:tcPr>
            <w:tcW w:w="696" w:type="dxa"/>
            <w:vMerge w:val="restart"/>
            <w:tcBorders>
              <w:top w:val="single" w:sz="4" w:space="0" w:color="auto"/>
            </w:tcBorders>
            <w:shd w:val="clear" w:color="auto" w:fill="FFFFFF"/>
          </w:tcPr>
          <w:p w14:paraId="4B9847F6" w14:textId="77777777" w:rsidR="00B834A2" w:rsidRPr="00D16259" w:rsidRDefault="00B834A2" w:rsidP="00D16259">
            <w:pPr>
              <w:spacing w:after="120"/>
              <w:rPr>
                <w:sz w:val="20"/>
                <w:szCs w:val="20"/>
              </w:rPr>
            </w:pPr>
          </w:p>
        </w:tc>
        <w:tc>
          <w:tcPr>
            <w:tcW w:w="2960" w:type="dxa"/>
            <w:gridSpan w:val="4"/>
            <w:tcBorders>
              <w:top w:val="single" w:sz="4" w:space="0" w:color="auto"/>
            </w:tcBorders>
            <w:shd w:val="clear" w:color="auto" w:fill="FFFFFF"/>
            <w:vAlign w:val="center"/>
          </w:tcPr>
          <w:p w14:paraId="2C0D90E5" w14:textId="77777777" w:rsidR="00B834A2" w:rsidRPr="00D16259" w:rsidRDefault="00B834A2" w:rsidP="00D16259">
            <w:pPr>
              <w:pStyle w:val="Bodytext20"/>
              <w:shd w:val="clear" w:color="auto" w:fill="auto"/>
              <w:spacing w:before="0" w:line="240" w:lineRule="auto"/>
              <w:ind w:left="320"/>
              <w:jc w:val="left"/>
              <w:rPr>
                <w:rFonts w:ascii="Sylfaen" w:hAnsi="Sylfaen" w:cs="Sylfaen"/>
                <w:sz w:val="20"/>
                <w:szCs w:val="20"/>
              </w:rPr>
            </w:pPr>
            <w:r w:rsidRPr="00D16259">
              <w:rPr>
                <w:rStyle w:val="Bodytext31Sylfaen9"/>
                <w:sz w:val="20"/>
                <w:szCs w:val="20"/>
              </w:rPr>
              <w:t>Վստահելի հավանականությունը</w:t>
            </w:r>
          </w:p>
        </w:tc>
      </w:tr>
      <w:tr w:rsidR="00B834A2" w:rsidRPr="00D16259" w14:paraId="2F5C0FE4" w14:textId="77777777" w:rsidTr="00B834A2">
        <w:tc>
          <w:tcPr>
            <w:tcW w:w="1469" w:type="dxa"/>
            <w:vMerge/>
            <w:shd w:val="clear" w:color="auto" w:fill="FFFFFF"/>
            <w:vAlign w:val="center"/>
          </w:tcPr>
          <w:p w14:paraId="0204FC10" w14:textId="77777777" w:rsidR="00B834A2" w:rsidRPr="00D16259" w:rsidRDefault="00B834A2" w:rsidP="00D16259">
            <w:pPr>
              <w:spacing w:after="120"/>
              <w:rPr>
                <w:sz w:val="20"/>
                <w:szCs w:val="20"/>
              </w:rPr>
            </w:pPr>
          </w:p>
        </w:tc>
        <w:tc>
          <w:tcPr>
            <w:tcW w:w="1152" w:type="dxa"/>
            <w:tcBorders>
              <w:top w:val="single" w:sz="4" w:space="0" w:color="auto"/>
            </w:tcBorders>
            <w:shd w:val="clear" w:color="auto" w:fill="FFFFFF"/>
            <w:vAlign w:val="center"/>
          </w:tcPr>
          <w:p w14:paraId="14469661"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Р = 0,95</w:t>
            </w:r>
          </w:p>
        </w:tc>
        <w:tc>
          <w:tcPr>
            <w:tcW w:w="946" w:type="dxa"/>
            <w:tcBorders>
              <w:top w:val="single" w:sz="4" w:space="0" w:color="auto"/>
            </w:tcBorders>
            <w:shd w:val="clear" w:color="auto" w:fill="FFFFFF"/>
            <w:vAlign w:val="center"/>
          </w:tcPr>
          <w:p w14:paraId="7303D34A"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0,99</w:t>
            </w:r>
          </w:p>
        </w:tc>
        <w:tc>
          <w:tcPr>
            <w:tcW w:w="1354" w:type="dxa"/>
            <w:tcBorders>
              <w:top w:val="single" w:sz="4" w:space="0" w:color="auto"/>
            </w:tcBorders>
            <w:shd w:val="clear" w:color="auto" w:fill="FFFFFF"/>
            <w:vAlign w:val="center"/>
          </w:tcPr>
          <w:p w14:paraId="74CDBCB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0,999</w:t>
            </w:r>
          </w:p>
        </w:tc>
        <w:tc>
          <w:tcPr>
            <w:tcW w:w="802" w:type="dxa"/>
            <w:vMerge/>
            <w:shd w:val="clear" w:color="auto" w:fill="FFFFFF"/>
            <w:vAlign w:val="center"/>
          </w:tcPr>
          <w:p w14:paraId="13CE6612" w14:textId="77777777" w:rsidR="00B834A2" w:rsidRPr="00D16259" w:rsidRDefault="00B834A2" w:rsidP="00D16259">
            <w:pPr>
              <w:spacing w:after="120"/>
              <w:rPr>
                <w:sz w:val="20"/>
                <w:szCs w:val="20"/>
              </w:rPr>
            </w:pPr>
          </w:p>
        </w:tc>
        <w:tc>
          <w:tcPr>
            <w:tcW w:w="696" w:type="dxa"/>
            <w:vMerge/>
            <w:shd w:val="clear" w:color="auto" w:fill="FFFFFF"/>
          </w:tcPr>
          <w:p w14:paraId="702E780F" w14:textId="77777777" w:rsidR="00B834A2" w:rsidRPr="00D16259" w:rsidRDefault="00B834A2" w:rsidP="00D16259">
            <w:pPr>
              <w:spacing w:after="120"/>
              <w:rPr>
                <w:sz w:val="20"/>
                <w:szCs w:val="20"/>
              </w:rPr>
            </w:pPr>
          </w:p>
        </w:tc>
        <w:tc>
          <w:tcPr>
            <w:tcW w:w="931" w:type="dxa"/>
            <w:tcBorders>
              <w:top w:val="single" w:sz="4" w:space="0" w:color="auto"/>
            </w:tcBorders>
            <w:shd w:val="clear" w:color="auto" w:fill="FFFFFF"/>
            <w:vAlign w:val="center"/>
          </w:tcPr>
          <w:p w14:paraId="41C0C824"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P = 0,95</w:t>
            </w:r>
          </w:p>
        </w:tc>
        <w:tc>
          <w:tcPr>
            <w:tcW w:w="802" w:type="dxa"/>
            <w:tcBorders>
              <w:top w:val="single" w:sz="4" w:space="0" w:color="auto"/>
            </w:tcBorders>
            <w:shd w:val="clear" w:color="auto" w:fill="FFFFFF"/>
            <w:vAlign w:val="center"/>
          </w:tcPr>
          <w:p w14:paraId="1BCAEE1D"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0,99</w:t>
            </w:r>
          </w:p>
        </w:tc>
        <w:tc>
          <w:tcPr>
            <w:tcW w:w="1227" w:type="dxa"/>
            <w:gridSpan w:val="2"/>
            <w:tcBorders>
              <w:top w:val="single" w:sz="4" w:space="0" w:color="auto"/>
            </w:tcBorders>
            <w:shd w:val="clear" w:color="auto" w:fill="FFFFFF"/>
            <w:vAlign w:val="center"/>
          </w:tcPr>
          <w:p w14:paraId="531D8AA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Р = 0,999</w:t>
            </w:r>
          </w:p>
        </w:tc>
      </w:tr>
      <w:tr w:rsidR="00B834A2" w:rsidRPr="00D16259" w14:paraId="6439053B" w14:textId="77777777" w:rsidTr="00B834A2">
        <w:tc>
          <w:tcPr>
            <w:tcW w:w="1469" w:type="dxa"/>
            <w:tcBorders>
              <w:top w:val="single" w:sz="4" w:space="0" w:color="auto"/>
            </w:tcBorders>
            <w:shd w:val="clear" w:color="auto" w:fill="FFFFFF"/>
            <w:vAlign w:val="bottom"/>
          </w:tcPr>
          <w:p w14:paraId="79DA69A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w:t>
            </w:r>
          </w:p>
        </w:tc>
        <w:tc>
          <w:tcPr>
            <w:tcW w:w="1152" w:type="dxa"/>
            <w:tcBorders>
              <w:top w:val="single" w:sz="4" w:space="0" w:color="auto"/>
            </w:tcBorders>
            <w:shd w:val="clear" w:color="auto" w:fill="FFFFFF"/>
            <w:vAlign w:val="bottom"/>
          </w:tcPr>
          <w:p w14:paraId="4B1424F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12,71</w:t>
            </w:r>
          </w:p>
        </w:tc>
        <w:tc>
          <w:tcPr>
            <w:tcW w:w="946" w:type="dxa"/>
            <w:tcBorders>
              <w:top w:val="single" w:sz="4" w:space="0" w:color="auto"/>
            </w:tcBorders>
            <w:shd w:val="clear" w:color="auto" w:fill="FFFFFF"/>
            <w:vAlign w:val="bottom"/>
          </w:tcPr>
          <w:p w14:paraId="5EDB67A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63,60</w:t>
            </w:r>
          </w:p>
        </w:tc>
        <w:tc>
          <w:tcPr>
            <w:tcW w:w="1354" w:type="dxa"/>
            <w:tcBorders>
              <w:top w:val="single" w:sz="4" w:space="0" w:color="auto"/>
            </w:tcBorders>
            <w:shd w:val="clear" w:color="auto" w:fill="FFFFFF"/>
          </w:tcPr>
          <w:p w14:paraId="222473E5" w14:textId="77777777" w:rsidR="00B834A2" w:rsidRPr="00D16259" w:rsidRDefault="00B834A2" w:rsidP="003813BA">
            <w:pPr>
              <w:spacing w:after="120"/>
              <w:jc w:val="center"/>
              <w:rPr>
                <w:sz w:val="20"/>
                <w:szCs w:val="20"/>
              </w:rPr>
            </w:pPr>
          </w:p>
        </w:tc>
        <w:tc>
          <w:tcPr>
            <w:tcW w:w="802" w:type="dxa"/>
            <w:tcBorders>
              <w:top w:val="single" w:sz="4" w:space="0" w:color="auto"/>
            </w:tcBorders>
            <w:shd w:val="clear" w:color="auto" w:fill="FFFFFF"/>
            <w:vAlign w:val="bottom"/>
          </w:tcPr>
          <w:p w14:paraId="6B7EE63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w:t>
            </w:r>
          </w:p>
        </w:tc>
        <w:tc>
          <w:tcPr>
            <w:tcW w:w="696" w:type="dxa"/>
            <w:tcBorders>
              <w:top w:val="single" w:sz="4" w:space="0" w:color="auto"/>
            </w:tcBorders>
            <w:shd w:val="clear" w:color="auto" w:fill="FFFFFF"/>
          </w:tcPr>
          <w:p w14:paraId="7E51C302" w14:textId="77777777" w:rsidR="00B834A2" w:rsidRPr="00D16259" w:rsidRDefault="00B834A2" w:rsidP="003813BA">
            <w:pPr>
              <w:spacing w:after="120"/>
              <w:jc w:val="center"/>
              <w:rPr>
                <w:sz w:val="20"/>
                <w:szCs w:val="20"/>
              </w:rPr>
            </w:pPr>
          </w:p>
        </w:tc>
        <w:tc>
          <w:tcPr>
            <w:tcW w:w="931" w:type="dxa"/>
            <w:tcBorders>
              <w:top w:val="single" w:sz="4" w:space="0" w:color="auto"/>
            </w:tcBorders>
            <w:shd w:val="clear" w:color="auto" w:fill="FFFFFF"/>
            <w:vAlign w:val="bottom"/>
          </w:tcPr>
          <w:p w14:paraId="21B3226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2,08</w:t>
            </w:r>
          </w:p>
        </w:tc>
        <w:tc>
          <w:tcPr>
            <w:tcW w:w="802" w:type="dxa"/>
            <w:tcBorders>
              <w:top w:val="single" w:sz="4" w:space="0" w:color="auto"/>
            </w:tcBorders>
            <w:shd w:val="clear" w:color="auto" w:fill="FFFFFF"/>
            <w:vAlign w:val="bottom"/>
          </w:tcPr>
          <w:p w14:paraId="703CB5C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2,83</w:t>
            </w:r>
          </w:p>
        </w:tc>
        <w:tc>
          <w:tcPr>
            <w:tcW w:w="1227" w:type="dxa"/>
            <w:gridSpan w:val="2"/>
            <w:tcBorders>
              <w:top w:val="single" w:sz="4" w:space="0" w:color="auto"/>
            </w:tcBorders>
            <w:shd w:val="clear" w:color="auto" w:fill="FFFFFF"/>
          </w:tcPr>
          <w:p w14:paraId="641712C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3,82</w:t>
            </w:r>
          </w:p>
        </w:tc>
      </w:tr>
      <w:tr w:rsidR="00B834A2" w:rsidRPr="00D16259" w14:paraId="55510F16" w14:textId="77777777" w:rsidTr="00B834A2">
        <w:tc>
          <w:tcPr>
            <w:tcW w:w="1469" w:type="dxa"/>
            <w:shd w:val="clear" w:color="auto" w:fill="FFFFFF"/>
            <w:vAlign w:val="bottom"/>
          </w:tcPr>
          <w:p w14:paraId="7A8AA29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w:t>
            </w:r>
          </w:p>
        </w:tc>
        <w:tc>
          <w:tcPr>
            <w:tcW w:w="1152" w:type="dxa"/>
            <w:shd w:val="clear" w:color="auto" w:fill="FFFFFF"/>
            <w:vAlign w:val="bottom"/>
          </w:tcPr>
          <w:p w14:paraId="338B715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4,30</w:t>
            </w:r>
          </w:p>
        </w:tc>
        <w:tc>
          <w:tcPr>
            <w:tcW w:w="946" w:type="dxa"/>
            <w:shd w:val="clear" w:color="auto" w:fill="FFFFFF"/>
            <w:vAlign w:val="bottom"/>
          </w:tcPr>
          <w:p w14:paraId="0788CAC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9,93</w:t>
            </w:r>
          </w:p>
        </w:tc>
        <w:tc>
          <w:tcPr>
            <w:tcW w:w="1354" w:type="dxa"/>
            <w:shd w:val="clear" w:color="auto" w:fill="FFFFFF"/>
            <w:vAlign w:val="bottom"/>
          </w:tcPr>
          <w:p w14:paraId="25D85E3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31,60</w:t>
            </w:r>
          </w:p>
        </w:tc>
        <w:tc>
          <w:tcPr>
            <w:tcW w:w="802" w:type="dxa"/>
            <w:shd w:val="clear" w:color="auto" w:fill="FFFFFF"/>
            <w:vAlign w:val="bottom"/>
          </w:tcPr>
          <w:p w14:paraId="78A3D5C5"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w:t>
            </w:r>
          </w:p>
        </w:tc>
        <w:tc>
          <w:tcPr>
            <w:tcW w:w="696" w:type="dxa"/>
            <w:shd w:val="clear" w:color="auto" w:fill="FFFFFF"/>
          </w:tcPr>
          <w:p w14:paraId="404CECB0" w14:textId="77777777" w:rsidR="00B834A2" w:rsidRPr="00D16259" w:rsidRDefault="00B834A2" w:rsidP="003813BA">
            <w:pPr>
              <w:spacing w:after="120"/>
              <w:jc w:val="center"/>
              <w:rPr>
                <w:sz w:val="20"/>
                <w:szCs w:val="20"/>
              </w:rPr>
            </w:pPr>
          </w:p>
        </w:tc>
        <w:tc>
          <w:tcPr>
            <w:tcW w:w="931" w:type="dxa"/>
            <w:shd w:val="clear" w:color="auto" w:fill="FFFFFF"/>
            <w:vAlign w:val="bottom"/>
          </w:tcPr>
          <w:p w14:paraId="6220FB2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2,07</w:t>
            </w:r>
          </w:p>
        </w:tc>
        <w:tc>
          <w:tcPr>
            <w:tcW w:w="802" w:type="dxa"/>
            <w:shd w:val="clear" w:color="auto" w:fill="FFFFFF"/>
            <w:vAlign w:val="bottom"/>
          </w:tcPr>
          <w:p w14:paraId="26509BA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2,82</w:t>
            </w:r>
          </w:p>
        </w:tc>
        <w:tc>
          <w:tcPr>
            <w:tcW w:w="1227" w:type="dxa"/>
            <w:gridSpan w:val="2"/>
            <w:shd w:val="clear" w:color="auto" w:fill="FFFFFF"/>
          </w:tcPr>
          <w:p w14:paraId="7D70393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3,79</w:t>
            </w:r>
          </w:p>
        </w:tc>
      </w:tr>
      <w:tr w:rsidR="00B834A2" w:rsidRPr="00D16259" w14:paraId="5155AD89" w14:textId="77777777" w:rsidTr="00B834A2">
        <w:tc>
          <w:tcPr>
            <w:tcW w:w="1469" w:type="dxa"/>
            <w:shd w:val="clear" w:color="auto" w:fill="FFFFFF"/>
            <w:vAlign w:val="bottom"/>
          </w:tcPr>
          <w:p w14:paraId="21BC99B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1152" w:type="dxa"/>
            <w:shd w:val="clear" w:color="auto" w:fill="FFFFFF"/>
            <w:vAlign w:val="bottom"/>
          </w:tcPr>
          <w:p w14:paraId="5B62737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3,18</w:t>
            </w:r>
          </w:p>
        </w:tc>
        <w:tc>
          <w:tcPr>
            <w:tcW w:w="946" w:type="dxa"/>
            <w:shd w:val="clear" w:color="auto" w:fill="FFFFFF"/>
            <w:vAlign w:val="bottom"/>
          </w:tcPr>
          <w:p w14:paraId="6AF5C3C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5,84</w:t>
            </w:r>
          </w:p>
        </w:tc>
        <w:tc>
          <w:tcPr>
            <w:tcW w:w="1354" w:type="dxa"/>
            <w:shd w:val="clear" w:color="auto" w:fill="FFFFFF"/>
            <w:vAlign w:val="bottom"/>
          </w:tcPr>
          <w:p w14:paraId="7165623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12,94</w:t>
            </w:r>
          </w:p>
        </w:tc>
        <w:tc>
          <w:tcPr>
            <w:tcW w:w="802" w:type="dxa"/>
            <w:shd w:val="clear" w:color="auto" w:fill="FFFFFF"/>
            <w:vAlign w:val="bottom"/>
          </w:tcPr>
          <w:p w14:paraId="5974E005"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w:t>
            </w:r>
          </w:p>
        </w:tc>
        <w:tc>
          <w:tcPr>
            <w:tcW w:w="696" w:type="dxa"/>
            <w:shd w:val="clear" w:color="auto" w:fill="FFFFFF"/>
          </w:tcPr>
          <w:p w14:paraId="73C30125" w14:textId="77777777" w:rsidR="00B834A2" w:rsidRPr="00D16259" w:rsidRDefault="00B834A2" w:rsidP="003813BA">
            <w:pPr>
              <w:spacing w:after="120"/>
              <w:jc w:val="center"/>
              <w:rPr>
                <w:sz w:val="20"/>
                <w:szCs w:val="20"/>
              </w:rPr>
            </w:pPr>
          </w:p>
        </w:tc>
        <w:tc>
          <w:tcPr>
            <w:tcW w:w="931" w:type="dxa"/>
            <w:shd w:val="clear" w:color="auto" w:fill="FFFFFF"/>
            <w:vAlign w:val="bottom"/>
          </w:tcPr>
          <w:p w14:paraId="1B0FE6C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2,07</w:t>
            </w:r>
          </w:p>
        </w:tc>
        <w:tc>
          <w:tcPr>
            <w:tcW w:w="802" w:type="dxa"/>
            <w:shd w:val="clear" w:color="auto" w:fill="FFFFFF"/>
            <w:vAlign w:val="bottom"/>
          </w:tcPr>
          <w:p w14:paraId="4C14F6F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2,81</w:t>
            </w:r>
          </w:p>
        </w:tc>
        <w:tc>
          <w:tcPr>
            <w:tcW w:w="1227" w:type="dxa"/>
            <w:gridSpan w:val="2"/>
            <w:shd w:val="clear" w:color="auto" w:fill="FFFFFF"/>
          </w:tcPr>
          <w:p w14:paraId="5B546FE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3,77</w:t>
            </w:r>
          </w:p>
        </w:tc>
      </w:tr>
      <w:tr w:rsidR="00B834A2" w:rsidRPr="00D16259" w14:paraId="048C5238" w14:textId="77777777" w:rsidTr="00B834A2">
        <w:tc>
          <w:tcPr>
            <w:tcW w:w="1469" w:type="dxa"/>
            <w:shd w:val="clear" w:color="auto" w:fill="FFFFFF"/>
            <w:vAlign w:val="bottom"/>
          </w:tcPr>
          <w:p w14:paraId="5EEF3895"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w:t>
            </w:r>
          </w:p>
        </w:tc>
        <w:tc>
          <w:tcPr>
            <w:tcW w:w="1152" w:type="dxa"/>
            <w:shd w:val="clear" w:color="auto" w:fill="FFFFFF"/>
            <w:vAlign w:val="bottom"/>
          </w:tcPr>
          <w:p w14:paraId="1A5AA7D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2,78</w:t>
            </w:r>
          </w:p>
        </w:tc>
        <w:tc>
          <w:tcPr>
            <w:tcW w:w="946" w:type="dxa"/>
            <w:shd w:val="clear" w:color="auto" w:fill="FFFFFF"/>
            <w:vAlign w:val="bottom"/>
          </w:tcPr>
          <w:p w14:paraId="22E5925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4,60</w:t>
            </w:r>
          </w:p>
        </w:tc>
        <w:tc>
          <w:tcPr>
            <w:tcW w:w="1354" w:type="dxa"/>
            <w:shd w:val="clear" w:color="auto" w:fill="FFFFFF"/>
            <w:vAlign w:val="bottom"/>
          </w:tcPr>
          <w:p w14:paraId="5C2ACB2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8,61</w:t>
            </w:r>
          </w:p>
        </w:tc>
        <w:tc>
          <w:tcPr>
            <w:tcW w:w="802" w:type="dxa"/>
            <w:shd w:val="clear" w:color="auto" w:fill="FFFFFF"/>
            <w:vAlign w:val="bottom"/>
          </w:tcPr>
          <w:p w14:paraId="70C1351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24</w:t>
            </w:r>
          </w:p>
        </w:tc>
        <w:tc>
          <w:tcPr>
            <w:tcW w:w="696" w:type="dxa"/>
            <w:shd w:val="clear" w:color="auto" w:fill="FFFFFF"/>
          </w:tcPr>
          <w:p w14:paraId="3F1EB8F4" w14:textId="77777777" w:rsidR="00B834A2" w:rsidRPr="00D16259" w:rsidRDefault="00B834A2" w:rsidP="003813BA">
            <w:pPr>
              <w:spacing w:after="120"/>
              <w:jc w:val="center"/>
              <w:rPr>
                <w:sz w:val="20"/>
                <w:szCs w:val="20"/>
              </w:rPr>
            </w:pPr>
          </w:p>
        </w:tc>
        <w:tc>
          <w:tcPr>
            <w:tcW w:w="931" w:type="dxa"/>
            <w:shd w:val="clear" w:color="auto" w:fill="FFFFFF"/>
            <w:vAlign w:val="bottom"/>
          </w:tcPr>
          <w:p w14:paraId="18AA3D6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2,06</w:t>
            </w:r>
          </w:p>
        </w:tc>
        <w:tc>
          <w:tcPr>
            <w:tcW w:w="802" w:type="dxa"/>
            <w:shd w:val="clear" w:color="auto" w:fill="FFFFFF"/>
            <w:vAlign w:val="bottom"/>
          </w:tcPr>
          <w:p w14:paraId="5601C32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2,80</w:t>
            </w:r>
          </w:p>
        </w:tc>
        <w:tc>
          <w:tcPr>
            <w:tcW w:w="1227" w:type="dxa"/>
            <w:gridSpan w:val="2"/>
            <w:shd w:val="clear" w:color="auto" w:fill="FFFFFF"/>
          </w:tcPr>
          <w:p w14:paraId="1CA86DE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3,75</w:t>
            </w:r>
          </w:p>
        </w:tc>
      </w:tr>
      <w:tr w:rsidR="00B834A2" w:rsidRPr="00D16259" w14:paraId="569AE9F1" w14:textId="77777777" w:rsidTr="00B834A2">
        <w:tc>
          <w:tcPr>
            <w:tcW w:w="1469" w:type="dxa"/>
            <w:shd w:val="clear" w:color="auto" w:fill="FFFFFF"/>
            <w:vAlign w:val="bottom"/>
          </w:tcPr>
          <w:p w14:paraId="163ADD0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w:t>
            </w:r>
          </w:p>
        </w:tc>
        <w:tc>
          <w:tcPr>
            <w:tcW w:w="1152" w:type="dxa"/>
            <w:shd w:val="clear" w:color="auto" w:fill="FFFFFF"/>
            <w:vAlign w:val="bottom"/>
          </w:tcPr>
          <w:p w14:paraId="6B3E0F3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2,57</w:t>
            </w:r>
          </w:p>
        </w:tc>
        <w:tc>
          <w:tcPr>
            <w:tcW w:w="946" w:type="dxa"/>
            <w:shd w:val="clear" w:color="auto" w:fill="FFFFFF"/>
            <w:vAlign w:val="bottom"/>
          </w:tcPr>
          <w:p w14:paraId="46DB6BC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4,03</w:t>
            </w:r>
          </w:p>
        </w:tc>
        <w:tc>
          <w:tcPr>
            <w:tcW w:w="1354" w:type="dxa"/>
            <w:shd w:val="clear" w:color="auto" w:fill="FFFFFF"/>
            <w:vAlign w:val="bottom"/>
          </w:tcPr>
          <w:p w14:paraId="6AC1A7C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6,86</w:t>
            </w:r>
          </w:p>
        </w:tc>
        <w:tc>
          <w:tcPr>
            <w:tcW w:w="802" w:type="dxa"/>
            <w:shd w:val="clear" w:color="auto" w:fill="FFFFFF"/>
            <w:vAlign w:val="bottom"/>
          </w:tcPr>
          <w:p w14:paraId="224F316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w:t>
            </w:r>
          </w:p>
        </w:tc>
        <w:tc>
          <w:tcPr>
            <w:tcW w:w="696" w:type="dxa"/>
            <w:shd w:val="clear" w:color="auto" w:fill="FFFFFF"/>
          </w:tcPr>
          <w:p w14:paraId="5326EC4C" w14:textId="77777777" w:rsidR="00B834A2" w:rsidRPr="00D16259" w:rsidRDefault="00B834A2" w:rsidP="003813BA">
            <w:pPr>
              <w:spacing w:after="120"/>
              <w:jc w:val="center"/>
              <w:rPr>
                <w:sz w:val="20"/>
                <w:szCs w:val="20"/>
              </w:rPr>
            </w:pPr>
          </w:p>
        </w:tc>
        <w:tc>
          <w:tcPr>
            <w:tcW w:w="931" w:type="dxa"/>
            <w:shd w:val="clear" w:color="auto" w:fill="FFFFFF"/>
            <w:vAlign w:val="bottom"/>
          </w:tcPr>
          <w:p w14:paraId="1743FC1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2,06</w:t>
            </w:r>
          </w:p>
        </w:tc>
        <w:tc>
          <w:tcPr>
            <w:tcW w:w="802" w:type="dxa"/>
            <w:shd w:val="clear" w:color="auto" w:fill="FFFFFF"/>
            <w:vAlign w:val="bottom"/>
          </w:tcPr>
          <w:p w14:paraId="262A1DE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2,79</w:t>
            </w:r>
          </w:p>
        </w:tc>
        <w:tc>
          <w:tcPr>
            <w:tcW w:w="1227" w:type="dxa"/>
            <w:gridSpan w:val="2"/>
            <w:shd w:val="clear" w:color="auto" w:fill="FFFFFF"/>
          </w:tcPr>
          <w:p w14:paraId="38CAC95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3,73</w:t>
            </w:r>
          </w:p>
        </w:tc>
      </w:tr>
      <w:tr w:rsidR="00B834A2" w:rsidRPr="00D16259" w14:paraId="7E83CBB7" w14:textId="77777777" w:rsidTr="00B834A2">
        <w:tc>
          <w:tcPr>
            <w:tcW w:w="1469" w:type="dxa"/>
            <w:shd w:val="clear" w:color="auto" w:fill="FFFFFF"/>
            <w:vAlign w:val="bottom"/>
          </w:tcPr>
          <w:p w14:paraId="100DAC8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w:t>
            </w:r>
          </w:p>
        </w:tc>
        <w:tc>
          <w:tcPr>
            <w:tcW w:w="1152" w:type="dxa"/>
            <w:shd w:val="clear" w:color="auto" w:fill="FFFFFF"/>
            <w:vAlign w:val="bottom"/>
          </w:tcPr>
          <w:p w14:paraId="779F7E3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2,45</w:t>
            </w:r>
          </w:p>
        </w:tc>
        <w:tc>
          <w:tcPr>
            <w:tcW w:w="946" w:type="dxa"/>
            <w:shd w:val="clear" w:color="auto" w:fill="FFFFFF"/>
            <w:vAlign w:val="bottom"/>
          </w:tcPr>
          <w:p w14:paraId="3CB919E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3,71</w:t>
            </w:r>
          </w:p>
        </w:tc>
        <w:tc>
          <w:tcPr>
            <w:tcW w:w="1354" w:type="dxa"/>
            <w:shd w:val="clear" w:color="auto" w:fill="FFFFFF"/>
            <w:vAlign w:val="bottom"/>
          </w:tcPr>
          <w:p w14:paraId="2422C52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5,96</w:t>
            </w:r>
          </w:p>
        </w:tc>
        <w:tc>
          <w:tcPr>
            <w:tcW w:w="802" w:type="dxa"/>
            <w:shd w:val="clear" w:color="auto" w:fill="FFFFFF"/>
            <w:vAlign w:val="bottom"/>
          </w:tcPr>
          <w:p w14:paraId="64F218A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w:t>
            </w:r>
          </w:p>
        </w:tc>
        <w:tc>
          <w:tcPr>
            <w:tcW w:w="696" w:type="dxa"/>
            <w:shd w:val="clear" w:color="auto" w:fill="FFFFFF"/>
          </w:tcPr>
          <w:p w14:paraId="36A95E78" w14:textId="77777777" w:rsidR="00B834A2" w:rsidRPr="00D16259" w:rsidRDefault="00B834A2" w:rsidP="003813BA">
            <w:pPr>
              <w:spacing w:after="120"/>
              <w:jc w:val="center"/>
              <w:rPr>
                <w:sz w:val="20"/>
                <w:szCs w:val="20"/>
              </w:rPr>
            </w:pPr>
          </w:p>
        </w:tc>
        <w:tc>
          <w:tcPr>
            <w:tcW w:w="931" w:type="dxa"/>
            <w:shd w:val="clear" w:color="auto" w:fill="FFFFFF"/>
            <w:vAlign w:val="bottom"/>
          </w:tcPr>
          <w:p w14:paraId="1A99EF3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2,06</w:t>
            </w:r>
          </w:p>
        </w:tc>
        <w:tc>
          <w:tcPr>
            <w:tcW w:w="802" w:type="dxa"/>
            <w:shd w:val="clear" w:color="auto" w:fill="FFFFFF"/>
            <w:vAlign w:val="bottom"/>
          </w:tcPr>
          <w:p w14:paraId="1E7B181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2,78</w:t>
            </w:r>
          </w:p>
        </w:tc>
        <w:tc>
          <w:tcPr>
            <w:tcW w:w="1227" w:type="dxa"/>
            <w:gridSpan w:val="2"/>
            <w:shd w:val="clear" w:color="auto" w:fill="FFFFFF"/>
          </w:tcPr>
          <w:p w14:paraId="73577DD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3,71</w:t>
            </w:r>
          </w:p>
        </w:tc>
      </w:tr>
      <w:tr w:rsidR="00B834A2" w:rsidRPr="00D16259" w14:paraId="5DB23D31" w14:textId="77777777" w:rsidTr="00B834A2">
        <w:tc>
          <w:tcPr>
            <w:tcW w:w="1469" w:type="dxa"/>
            <w:shd w:val="clear" w:color="auto" w:fill="FFFFFF"/>
            <w:vAlign w:val="bottom"/>
          </w:tcPr>
          <w:p w14:paraId="212B1C4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w:t>
            </w:r>
          </w:p>
        </w:tc>
        <w:tc>
          <w:tcPr>
            <w:tcW w:w="1152" w:type="dxa"/>
            <w:shd w:val="clear" w:color="auto" w:fill="FFFFFF"/>
            <w:vAlign w:val="bottom"/>
          </w:tcPr>
          <w:p w14:paraId="0DE784F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2,37</w:t>
            </w:r>
          </w:p>
        </w:tc>
        <w:tc>
          <w:tcPr>
            <w:tcW w:w="946" w:type="dxa"/>
            <w:shd w:val="clear" w:color="auto" w:fill="FFFFFF"/>
            <w:vAlign w:val="bottom"/>
          </w:tcPr>
          <w:p w14:paraId="05E4B6A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3,50</w:t>
            </w:r>
          </w:p>
        </w:tc>
        <w:tc>
          <w:tcPr>
            <w:tcW w:w="1354" w:type="dxa"/>
            <w:shd w:val="clear" w:color="auto" w:fill="FFFFFF"/>
            <w:vAlign w:val="bottom"/>
          </w:tcPr>
          <w:p w14:paraId="3240AE2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5,41</w:t>
            </w:r>
          </w:p>
        </w:tc>
        <w:tc>
          <w:tcPr>
            <w:tcW w:w="802" w:type="dxa"/>
            <w:shd w:val="clear" w:color="auto" w:fill="FFFFFF"/>
            <w:vAlign w:val="bottom"/>
          </w:tcPr>
          <w:p w14:paraId="766563C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w:t>
            </w:r>
          </w:p>
        </w:tc>
        <w:tc>
          <w:tcPr>
            <w:tcW w:w="696" w:type="dxa"/>
            <w:shd w:val="clear" w:color="auto" w:fill="FFFFFF"/>
          </w:tcPr>
          <w:p w14:paraId="2AB0EAA9" w14:textId="77777777" w:rsidR="00B834A2" w:rsidRPr="00D16259" w:rsidRDefault="00B834A2" w:rsidP="003813BA">
            <w:pPr>
              <w:spacing w:after="120"/>
              <w:jc w:val="center"/>
              <w:rPr>
                <w:sz w:val="20"/>
                <w:szCs w:val="20"/>
              </w:rPr>
            </w:pPr>
          </w:p>
        </w:tc>
        <w:tc>
          <w:tcPr>
            <w:tcW w:w="931" w:type="dxa"/>
            <w:shd w:val="clear" w:color="auto" w:fill="FFFFFF"/>
            <w:vAlign w:val="bottom"/>
          </w:tcPr>
          <w:p w14:paraId="60271F7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2,05</w:t>
            </w:r>
          </w:p>
        </w:tc>
        <w:tc>
          <w:tcPr>
            <w:tcW w:w="802" w:type="dxa"/>
            <w:shd w:val="clear" w:color="auto" w:fill="FFFFFF"/>
            <w:vAlign w:val="bottom"/>
          </w:tcPr>
          <w:p w14:paraId="57F03DA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2,77</w:t>
            </w:r>
          </w:p>
        </w:tc>
        <w:tc>
          <w:tcPr>
            <w:tcW w:w="1227" w:type="dxa"/>
            <w:gridSpan w:val="2"/>
            <w:shd w:val="clear" w:color="auto" w:fill="FFFFFF"/>
          </w:tcPr>
          <w:p w14:paraId="367911F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3,69</w:t>
            </w:r>
          </w:p>
        </w:tc>
      </w:tr>
      <w:tr w:rsidR="00B834A2" w:rsidRPr="00D16259" w14:paraId="30A41041" w14:textId="77777777" w:rsidTr="00B834A2">
        <w:tc>
          <w:tcPr>
            <w:tcW w:w="1469" w:type="dxa"/>
            <w:shd w:val="clear" w:color="auto" w:fill="FFFFFF"/>
            <w:vAlign w:val="bottom"/>
          </w:tcPr>
          <w:p w14:paraId="19E2573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w:t>
            </w:r>
          </w:p>
        </w:tc>
        <w:tc>
          <w:tcPr>
            <w:tcW w:w="1152" w:type="dxa"/>
            <w:shd w:val="clear" w:color="auto" w:fill="FFFFFF"/>
            <w:vAlign w:val="bottom"/>
          </w:tcPr>
          <w:p w14:paraId="1B37DD3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2,31</w:t>
            </w:r>
          </w:p>
        </w:tc>
        <w:tc>
          <w:tcPr>
            <w:tcW w:w="946" w:type="dxa"/>
            <w:shd w:val="clear" w:color="auto" w:fill="FFFFFF"/>
            <w:vAlign w:val="bottom"/>
          </w:tcPr>
          <w:p w14:paraId="492DC4A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3,36</w:t>
            </w:r>
          </w:p>
        </w:tc>
        <w:tc>
          <w:tcPr>
            <w:tcW w:w="1354" w:type="dxa"/>
            <w:shd w:val="clear" w:color="auto" w:fill="FFFFFF"/>
            <w:vAlign w:val="bottom"/>
          </w:tcPr>
          <w:p w14:paraId="7BDEB77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5,04</w:t>
            </w:r>
          </w:p>
        </w:tc>
        <w:tc>
          <w:tcPr>
            <w:tcW w:w="802" w:type="dxa"/>
            <w:shd w:val="clear" w:color="auto" w:fill="FFFFFF"/>
            <w:vAlign w:val="bottom"/>
          </w:tcPr>
          <w:p w14:paraId="2A31979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w:t>
            </w:r>
          </w:p>
        </w:tc>
        <w:tc>
          <w:tcPr>
            <w:tcW w:w="696" w:type="dxa"/>
            <w:shd w:val="clear" w:color="auto" w:fill="FFFFFF"/>
          </w:tcPr>
          <w:p w14:paraId="4B924936" w14:textId="77777777" w:rsidR="00B834A2" w:rsidRPr="00D16259" w:rsidRDefault="00B834A2" w:rsidP="003813BA">
            <w:pPr>
              <w:spacing w:after="120"/>
              <w:jc w:val="center"/>
              <w:rPr>
                <w:sz w:val="20"/>
                <w:szCs w:val="20"/>
              </w:rPr>
            </w:pPr>
          </w:p>
        </w:tc>
        <w:tc>
          <w:tcPr>
            <w:tcW w:w="931" w:type="dxa"/>
            <w:shd w:val="clear" w:color="auto" w:fill="FFFFFF"/>
            <w:vAlign w:val="bottom"/>
          </w:tcPr>
          <w:p w14:paraId="460F7B0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2,05</w:t>
            </w:r>
          </w:p>
        </w:tc>
        <w:tc>
          <w:tcPr>
            <w:tcW w:w="802" w:type="dxa"/>
            <w:shd w:val="clear" w:color="auto" w:fill="FFFFFF"/>
            <w:vAlign w:val="bottom"/>
          </w:tcPr>
          <w:p w14:paraId="5AEF904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2,76</w:t>
            </w:r>
          </w:p>
        </w:tc>
        <w:tc>
          <w:tcPr>
            <w:tcW w:w="1227" w:type="dxa"/>
            <w:gridSpan w:val="2"/>
            <w:shd w:val="clear" w:color="auto" w:fill="FFFFFF"/>
          </w:tcPr>
          <w:p w14:paraId="337F2B1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3,67</w:t>
            </w:r>
          </w:p>
        </w:tc>
      </w:tr>
      <w:tr w:rsidR="00B834A2" w:rsidRPr="00D16259" w14:paraId="4F224C66" w14:textId="77777777" w:rsidTr="00B834A2">
        <w:tc>
          <w:tcPr>
            <w:tcW w:w="1469" w:type="dxa"/>
            <w:shd w:val="clear" w:color="auto" w:fill="FFFFFF"/>
            <w:vAlign w:val="bottom"/>
          </w:tcPr>
          <w:p w14:paraId="211068B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w:t>
            </w:r>
          </w:p>
        </w:tc>
        <w:tc>
          <w:tcPr>
            <w:tcW w:w="1152" w:type="dxa"/>
            <w:shd w:val="clear" w:color="auto" w:fill="FFFFFF"/>
            <w:vAlign w:val="bottom"/>
          </w:tcPr>
          <w:p w14:paraId="0D8E7C9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2,26</w:t>
            </w:r>
          </w:p>
        </w:tc>
        <w:tc>
          <w:tcPr>
            <w:tcW w:w="946" w:type="dxa"/>
            <w:shd w:val="clear" w:color="auto" w:fill="FFFFFF"/>
            <w:vAlign w:val="bottom"/>
          </w:tcPr>
          <w:p w14:paraId="2E4F731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3,25</w:t>
            </w:r>
          </w:p>
        </w:tc>
        <w:tc>
          <w:tcPr>
            <w:tcW w:w="1354" w:type="dxa"/>
            <w:shd w:val="clear" w:color="auto" w:fill="FFFFFF"/>
            <w:vAlign w:val="bottom"/>
          </w:tcPr>
          <w:p w14:paraId="38FF345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4,78</w:t>
            </w:r>
          </w:p>
        </w:tc>
        <w:tc>
          <w:tcPr>
            <w:tcW w:w="802" w:type="dxa"/>
            <w:shd w:val="clear" w:color="auto" w:fill="FFFFFF"/>
            <w:vAlign w:val="bottom"/>
          </w:tcPr>
          <w:p w14:paraId="3186BDA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w:t>
            </w:r>
          </w:p>
        </w:tc>
        <w:tc>
          <w:tcPr>
            <w:tcW w:w="696" w:type="dxa"/>
            <w:shd w:val="clear" w:color="auto" w:fill="FFFFFF"/>
          </w:tcPr>
          <w:p w14:paraId="19275CCF" w14:textId="77777777" w:rsidR="00B834A2" w:rsidRPr="00D16259" w:rsidRDefault="00B834A2" w:rsidP="003813BA">
            <w:pPr>
              <w:spacing w:after="120"/>
              <w:jc w:val="center"/>
              <w:rPr>
                <w:sz w:val="20"/>
                <w:szCs w:val="20"/>
              </w:rPr>
            </w:pPr>
          </w:p>
        </w:tc>
        <w:tc>
          <w:tcPr>
            <w:tcW w:w="931" w:type="dxa"/>
            <w:shd w:val="clear" w:color="auto" w:fill="FFFFFF"/>
            <w:vAlign w:val="bottom"/>
          </w:tcPr>
          <w:p w14:paraId="1620253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2,04</w:t>
            </w:r>
          </w:p>
        </w:tc>
        <w:tc>
          <w:tcPr>
            <w:tcW w:w="802" w:type="dxa"/>
            <w:shd w:val="clear" w:color="auto" w:fill="FFFFFF"/>
            <w:vAlign w:val="bottom"/>
          </w:tcPr>
          <w:p w14:paraId="6A3FF19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2,76</w:t>
            </w:r>
          </w:p>
        </w:tc>
        <w:tc>
          <w:tcPr>
            <w:tcW w:w="1227" w:type="dxa"/>
            <w:gridSpan w:val="2"/>
            <w:shd w:val="clear" w:color="auto" w:fill="FFFFFF"/>
          </w:tcPr>
          <w:p w14:paraId="3224F6F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3,66</w:t>
            </w:r>
          </w:p>
        </w:tc>
      </w:tr>
      <w:tr w:rsidR="00B834A2" w:rsidRPr="00D16259" w14:paraId="0324310B" w14:textId="77777777" w:rsidTr="00B834A2">
        <w:tc>
          <w:tcPr>
            <w:tcW w:w="1469" w:type="dxa"/>
            <w:shd w:val="clear" w:color="auto" w:fill="FFFFFF"/>
            <w:vAlign w:val="bottom"/>
          </w:tcPr>
          <w:p w14:paraId="71D9BE8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w:t>
            </w:r>
          </w:p>
        </w:tc>
        <w:tc>
          <w:tcPr>
            <w:tcW w:w="1152" w:type="dxa"/>
            <w:shd w:val="clear" w:color="auto" w:fill="FFFFFF"/>
            <w:vAlign w:val="bottom"/>
          </w:tcPr>
          <w:p w14:paraId="496EC98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2,23</w:t>
            </w:r>
          </w:p>
        </w:tc>
        <w:tc>
          <w:tcPr>
            <w:tcW w:w="946" w:type="dxa"/>
            <w:shd w:val="clear" w:color="auto" w:fill="FFFFFF"/>
            <w:vAlign w:val="bottom"/>
          </w:tcPr>
          <w:p w14:paraId="3A356E4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3,17</w:t>
            </w:r>
          </w:p>
        </w:tc>
        <w:tc>
          <w:tcPr>
            <w:tcW w:w="1354" w:type="dxa"/>
            <w:shd w:val="clear" w:color="auto" w:fill="FFFFFF"/>
            <w:vAlign w:val="bottom"/>
          </w:tcPr>
          <w:p w14:paraId="2ED52CE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4,59</w:t>
            </w:r>
          </w:p>
        </w:tc>
        <w:tc>
          <w:tcPr>
            <w:tcW w:w="802" w:type="dxa"/>
            <w:shd w:val="clear" w:color="auto" w:fill="FFFFFF"/>
            <w:vAlign w:val="bottom"/>
          </w:tcPr>
          <w:p w14:paraId="43297FB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w:t>
            </w:r>
          </w:p>
        </w:tc>
        <w:tc>
          <w:tcPr>
            <w:tcW w:w="696" w:type="dxa"/>
            <w:shd w:val="clear" w:color="auto" w:fill="FFFFFF"/>
          </w:tcPr>
          <w:p w14:paraId="2A14DCAE" w14:textId="77777777" w:rsidR="00B834A2" w:rsidRPr="00D16259" w:rsidRDefault="00B834A2" w:rsidP="003813BA">
            <w:pPr>
              <w:spacing w:after="120"/>
              <w:jc w:val="center"/>
              <w:rPr>
                <w:sz w:val="20"/>
                <w:szCs w:val="20"/>
              </w:rPr>
            </w:pPr>
          </w:p>
        </w:tc>
        <w:tc>
          <w:tcPr>
            <w:tcW w:w="931" w:type="dxa"/>
            <w:shd w:val="clear" w:color="auto" w:fill="FFFFFF"/>
            <w:vAlign w:val="bottom"/>
          </w:tcPr>
          <w:p w14:paraId="7D62D33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2,04</w:t>
            </w:r>
          </w:p>
        </w:tc>
        <w:tc>
          <w:tcPr>
            <w:tcW w:w="802" w:type="dxa"/>
            <w:shd w:val="clear" w:color="auto" w:fill="FFFFFF"/>
            <w:vAlign w:val="bottom"/>
          </w:tcPr>
          <w:p w14:paraId="534D637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2,75</w:t>
            </w:r>
          </w:p>
        </w:tc>
        <w:tc>
          <w:tcPr>
            <w:tcW w:w="1227" w:type="dxa"/>
            <w:gridSpan w:val="2"/>
            <w:shd w:val="clear" w:color="auto" w:fill="FFFFFF"/>
          </w:tcPr>
          <w:p w14:paraId="5AEE4D9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3,65</w:t>
            </w:r>
          </w:p>
        </w:tc>
      </w:tr>
      <w:tr w:rsidR="00B834A2" w:rsidRPr="00D16259" w14:paraId="3457AAC2" w14:textId="77777777" w:rsidTr="00B834A2">
        <w:tc>
          <w:tcPr>
            <w:tcW w:w="1469" w:type="dxa"/>
            <w:shd w:val="clear" w:color="auto" w:fill="FFFFFF"/>
            <w:vAlign w:val="bottom"/>
          </w:tcPr>
          <w:p w14:paraId="1E7A1E8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11</w:t>
            </w:r>
          </w:p>
        </w:tc>
        <w:tc>
          <w:tcPr>
            <w:tcW w:w="1152" w:type="dxa"/>
            <w:shd w:val="clear" w:color="auto" w:fill="FFFFFF"/>
            <w:vAlign w:val="bottom"/>
          </w:tcPr>
          <w:p w14:paraId="4DF20F5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2,20</w:t>
            </w:r>
          </w:p>
        </w:tc>
        <w:tc>
          <w:tcPr>
            <w:tcW w:w="946" w:type="dxa"/>
            <w:shd w:val="clear" w:color="auto" w:fill="FFFFFF"/>
            <w:vAlign w:val="bottom"/>
          </w:tcPr>
          <w:p w14:paraId="5A43557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3,11</w:t>
            </w:r>
          </w:p>
        </w:tc>
        <w:tc>
          <w:tcPr>
            <w:tcW w:w="1354" w:type="dxa"/>
            <w:shd w:val="clear" w:color="auto" w:fill="FFFFFF"/>
            <w:vAlign w:val="bottom"/>
          </w:tcPr>
          <w:p w14:paraId="6432C6C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4,44</w:t>
            </w:r>
          </w:p>
        </w:tc>
        <w:tc>
          <w:tcPr>
            <w:tcW w:w="802" w:type="dxa"/>
            <w:shd w:val="clear" w:color="auto" w:fill="FFFFFF"/>
            <w:vAlign w:val="bottom"/>
          </w:tcPr>
          <w:p w14:paraId="0B0035C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w:t>
            </w:r>
          </w:p>
        </w:tc>
        <w:tc>
          <w:tcPr>
            <w:tcW w:w="696" w:type="dxa"/>
            <w:shd w:val="clear" w:color="auto" w:fill="FFFFFF"/>
          </w:tcPr>
          <w:p w14:paraId="221CE931" w14:textId="77777777" w:rsidR="00B834A2" w:rsidRPr="00D16259" w:rsidRDefault="00B834A2" w:rsidP="003813BA">
            <w:pPr>
              <w:spacing w:after="120"/>
              <w:jc w:val="center"/>
              <w:rPr>
                <w:sz w:val="20"/>
                <w:szCs w:val="20"/>
              </w:rPr>
            </w:pPr>
          </w:p>
        </w:tc>
        <w:tc>
          <w:tcPr>
            <w:tcW w:w="931" w:type="dxa"/>
            <w:shd w:val="clear" w:color="auto" w:fill="FFFFFF"/>
            <w:vAlign w:val="bottom"/>
          </w:tcPr>
          <w:p w14:paraId="4A2ACFF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2,02</w:t>
            </w:r>
          </w:p>
        </w:tc>
        <w:tc>
          <w:tcPr>
            <w:tcW w:w="802" w:type="dxa"/>
            <w:shd w:val="clear" w:color="auto" w:fill="FFFFFF"/>
            <w:vAlign w:val="bottom"/>
          </w:tcPr>
          <w:p w14:paraId="67794EC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2,70</w:t>
            </w:r>
          </w:p>
        </w:tc>
        <w:tc>
          <w:tcPr>
            <w:tcW w:w="1227" w:type="dxa"/>
            <w:gridSpan w:val="2"/>
            <w:shd w:val="clear" w:color="auto" w:fill="FFFFFF"/>
          </w:tcPr>
          <w:p w14:paraId="33CF575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3,55</w:t>
            </w:r>
          </w:p>
        </w:tc>
      </w:tr>
      <w:tr w:rsidR="00B834A2" w:rsidRPr="00D16259" w14:paraId="3BBFBE15" w14:textId="77777777" w:rsidTr="00B834A2">
        <w:tc>
          <w:tcPr>
            <w:tcW w:w="1469" w:type="dxa"/>
            <w:shd w:val="clear" w:color="auto" w:fill="FFFFFF"/>
            <w:vAlign w:val="bottom"/>
          </w:tcPr>
          <w:p w14:paraId="223EA6C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c>
          <w:tcPr>
            <w:tcW w:w="1152" w:type="dxa"/>
            <w:shd w:val="clear" w:color="auto" w:fill="FFFFFF"/>
            <w:vAlign w:val="bottom"/>
          </w:tcPr>
          <w:p w14:paraId="588FD82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2,18</w:t>
            </w:r>
          </w:p>
        </w:tc>
        <w:tc>
          <w:tcPr>
            <w:tcW w:w="946" w:type="dxa"/>
            <w:shd w:val="clear" w:color="auto" w:fill="FFFFFF"/>
            <w:vAlign w:val="bottom"/>
          </w:tcPr>
          <w:p w14:paraId="2164708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3,06</w:t>
            </w:r>
          </w:p>
        </w:tc>
        <w:tc>
          <w:tcPr>
            <w:tcW w:w="1354" w:type="dxa"/>
            <w:shd w:val="clear" w:color="auto" w:fill="FFFFFF"/>
            <w:vAlign w:val="bottom"/>
          </w:tcPr>
          <w:p w14:paraId="253D46B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4,32</w:t>
            </w:r>
          </w:p>
        </w:tc>
        <w:tc>
          <w:tcPr>
            <w:tcW w:w="802" w:type="dxa"/>
            <w:shd w:val="clear" w:color="auto" w:fill="FFFFFF"/>
            <w:vAlign w:val="bottom"/>
          </w:tcPr>
          <w:p w14:paraId="3ACE3D8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w:t>
            </w:r>
          </w:p>
        </w:tc>
        <w:tc>
          <w:tcPr>
            <w:tcW w:w="696" w:type="dxa"/>
            <w:shd w:val="clear" w:color="auto" w:fill="FFFFFF"/>
          </w:tcPr>
          <w:p w14:paraId="151C6C72" w14:textId="77777777" w:rsidR="00B834A2" w:rsidRPr="00D16259" w:rsidRDefault="00B834A2" w:rsidP="003813BA">
            <w:pPr>
              <w:spacing w:after="120"/>
              <w:jc w:val="center"/>
              <w:rPr>
                <w:sz w:val="20"/>
                <w:szCs w:val="20"/>
              </w:rPr>
            </w:pPr>
          </w:p>
        </w:tc>
        <w:tc>
          <w:tcPr>
            <w:tcW w:w="931" w:type="dxa"/>
            <w:shd w:val="clear" w:color="auto" w:fill="FFFFFF"/>
            <w:vAlign w:val="bottom"/>
          </w:tcPr>
          <w:p w14:paraId="7E790E8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2,01</w:t>
            </w:r>
          </w:p>
        </w:tc>
        <w:tc>
          <w:tcPr>
            <w:tcW w:w="802" w:type="dxa"/>
            <w:shd w:val="clear" w:color="auto" w:fill="FFFFFF"/>
            <w:vAlign w:val="bottom"/>
          </w:tcPr>
          <w:p w14:paraId="05303FD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2,68</w:t>
            </w:r>
          </w:p>
        </w:tc>
        <w:tc>
          <w:tcPr>
            <w:tcW w:w="1227" w:type="dxa"/>
            <w:gridSpan w:val="2"/>
            <w:shd w:val="clear" w:color="auto" w:fill="FFFFFF"/>
          </w:tcPr>
          <w:p w14:paraId="270D13D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3,50</w:t>
            </w:r>
          </w:p>
        </w:tc>
      </w:tr>
      <w:tr w:rsidR="00B834A2" w:rsidRPr="00D16259" w14:paraId="52ACDB41" w14:textId="77777777" w:rsidTr="00B834A2">
        <w:tc>
          <w:tcPr>
            <w:tcW w:w="1469" w:type="dxa"/>
            <w:shd w:val="clear" w:color="auto" w:fill="FFFFFF"/>
            <w:vAlign w:val="bottom"/>
          </w:tcPr>
          <w:p w14:paraId="45EBF95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13</w:t>
            </w:r>
          </w:p>
        </w:tc>
        <w:tc>
          <w:tcPr>
            <w:tcW w:w="1152" w:type="dxa"/>
            <w:shd w:val="clear" w:color="auto" w:fill="FFFFFF"/>
            <w:vAlign w:val="bottom"/>
          </w:tcPr>
          <w:p w14:paraId="08C8F33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2,16</w:t>
            </w:r>
          </w:p>
        </w:tc>
        <w:tc>
          <w:tcPr>
            <w:tcW w:w="946" w:type="dxa"/>
            <w:shd w:val="clear" w:color="auto" w:fill="FFFFFF"/>
            <w:vAlign w:val="bottom"/>
          </w:tcPr>
          <w:p w14:paraId="20276DC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3,01</w:t>
            </w:r>
          </w:p>
        </w:tc>
        <w:tc>
          <w:tcPr>
            <w:tcW w:w="1354" w:type="dxa"/>
            <w:shd w:val="clear" w:color="auto" w:fill="FFFFFF"/>
            <w:vAlign w:val="bottom"/>
          </w:tcPr>
          <w:p w14:paraId="23AC561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4,22</w:t>
            </w:r>
          </w:p>
        </w:tc>
        <w:tc>
          <w:tcPr>
            <w:tcW w:w="802" w:type="dxa"/>
            <w:shd w:val="clear" w:color="auto" w:fill="FFFFFF"/>
            <w:vAlign w:val="bottom"/>
          </w:tcPr>
          <w:p w14:paraId="256FC3E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60</w:t>
            </w:r>
          </w:p>
        </w:tc>
        <w:tc>
          <w:tcPr>
            <w:tcW w:w="696" w:type="dxa"/>
            <w:shd w:val="clear" w:color="auto" w:fill="FFFFFF"/>
          </w:tcPr>
          <w:p w14:paraId="4BBACE41" w14:textId="77777777" w:rsidR="00B834A2" w:rsidRPr="00D16259" w:rsidRDefault="00B834A2" w:rsidP="003813BA">
            <w:pPr>
              <w:spacing w:after="120"/>
              <w:jc w:val="center"/>
              <w:rPr>
                <w:sz w:val="20"/>
                <w:szCs w:val="20"/>
              </w:rPr>
            </w:pPr>
          </w:p>
        </w:tc>
        <w:tc>
          <w:tcPr>
            <w:tcW w:w="931" w:type="dxa"/>
            <w:shd w:val="clear" w:color="auto" w:fill="FFFFFF"/>
            <w:vAlign w:val="bottom"/>
          </w:tcPr>
          <w:p w14:paraId="588777F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2,00</w:t>
            </w:r>
          </w:p>
        </w:tc>
        <w:tc>
          <w:tcPr>
            <w:tcW w:w="802" w:type="dxa"/>
            <w:shd w:val="clear" w:color="auto" w:fill="FFFFFF"/>
            <w:vAlign w:val="bottom"/>
          </w:tcPr>
          <w:p w14:paraId="60113AB5"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2,66</w:t>
            </w:r>
          </w:p>
        </w:tc>
        <w:tc>
          <w:tcPr>
            <w:tcW w:w="1227" w:type="dxa"/>
            <w:gridSpan w:val="2"/>
            <w:shd w:val="clear" w:color="auto" w:fill="FFFFFF"/>
          </w:tcPr>
          <w:p w14:paraId="100609A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3,46</w:t>
            </w:r>
          </w:p>
        </w:tc>
      </w:tr>
      <w:tr w:rsidR="00B834A2" w:rsidRPr="00D16259" w14:paraId="13AC8626" w14:textId="77777777" w:rsidTr="00B834A2">
        <w:tc>
          <w:tcPr>
            <w:tcW w:w="1469" w:type="dxa"/>
            <w:shd w:val="clear" w:color="auto" w:fill="FFFFFF"/>
            <w:vAlign w:val="bottom"/>
          </w:tcPr>
          <w:p w14:paraId="4C641E0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w:t>
            </w:r>
          </w:p>
        </w:tc>
        <w:tc>
          <w:tcPr>
            <w:tcW w:w="1152" w:type="dxa"/>
            <w:shd w:val="clear" w:color="auto" w:fill="FFFFFF"/>
            <w:vAlign w:val="bottom"/>
          </w:tcPr>
          <w:p w14:paraId="37E2104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2,15</w:t>
            </w:r>
          </w:p>
        </w:tc>
        <w:tc>
          <w:tcPr>
            <w:tcW w:w="946" w:type="dxa"/>
            <w:shd w:val="clear" w:color="auto" w:fill="FFFFFF"/>
            <w:vAlign w:val="bottom"/>
          </w:tcPr>
          <w:p w14:paraId="76980E3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2,98</w:t>
            </w:r>
          </w:p>
        </w:tc>
        <w:tc>
          <w:tcPr>
            <w:tcW w:w="1354" w:type="dxa"/>
            <w:shd w:val="clear" w:color="auto" w:fill="FFFFFF"/>
            <w:vAlign w:val="bottom"/>
          </w:tcPr>
          <w:p w14:paraId="4265852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4,14</w:t>
            </w:r>
          </w:p>
        </w:tc>
        <w:tc>
          <w:tcPr>
            <w:tcW w:w="802" w:type="dxa"/>
            <w:shd w:val="clear" w:color="auto" w:fill="FFFFFF"/>
            <w:vAlign w:val="bottom"/>
          </w:tcPr>
          <w:p w14:paraId="4BB2261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80</w:t>
            </w:r>
          </w:p>
        </w:tc>
        <w:tc>
          <w:tcPr>
            <w:tcW w:w="696" w:type="dxa"/>
            <w:shd w:val="clear" w:color="auto" w:fill="FFFFFF"/>
          </w:tcPr>
          <w:p w14:paraId="0C6B78E1" w14:textId="77777777" w:rsidR="00B834A2" w:rsidRPr="00D16259" w:rsidRDefault="00B834A2" w:rsidP="003813BA">
            <w:pPr>
              <w:spacing w:after="120"/>
              <w:jc w:val="center"/>
              <w:rPr>
                <w:sz w:val="20"/>
                <w:szCs w:val="20"/>
              </w:rPr>
            </w:pPr>
          </w:p>
        </w:tc>
        <w:tc>
          <w:tcPr>
            <w:tcW w:w="931" w:type="dxa"/>
            <w:shd w:val="clear" w:color="auto" w:fill="FFFFFF"/>
            <w:vAlign w:val="bottom"/>
          </w:tcPr>
          <w:p w14:paraId="1208F84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1,99</w:t>
            </w:r>
          </w:p>
        </w:tc>
        <w:tc>
          <w:tcPr>
            <w:tcW w:w="802" w:type="dxa"/>
            <w:shd w:val="clear" w:color="auto" w:fill="FFFFFF"/>
            <w:vAlign w:val="bottom"/>
          </w:tcPr>
          <w:p w14:paraId="7D29798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2,64</w:t>
            </w:r>
          </w:p>
        </w:tc>
        <w:tc>
          <w:tcPr>
            <w:tcW w:w="1227" w:type="dxa"/>
            <w:gridSpan w:val="2"/>
            <w:shd w:val="clear" w:color="auto" w:fill="FFFFFF"/>
          </w:tcPr>
          <w:p w14:paraId="3B284A05"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3,42</w:t>
            </w:r>
          </w:p>
        </w:tc>
      </w:tr>
      <w:tr w:rsidR="00B834A2" w:rsidRPr="00D16259" w14:paraId="1B9A078D" w14:textId="77777777" w:rsidTr="00B834A2">
        <w:tc>
          <w:tcPr>
            <w:tcW w:w="1469" w:type="dxa"/>
            <w:shd w:val="clear" w:color="auto" w:fill="FFFFFF"/>
            <w:vAlign w:val="bottom"/>
          </w:tcPr>
          <w:p w14:paraId="5CA31B9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w:t>
            </w:r>
          </w:p>
        </w:tc>
        <w:tc>
          <w:tcPr>
            <w:tcW w:w="1152" w:type="dxa"/>
            <w:shd w:val="clear" w:color="auto" w:fill="FFFFFF"/>
            <w:vAlign w:val="bottom"/>
          </w:tcPr>
          <w:p w14:paraId="7866947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2,13</w:t>
            </w:r>
          </w:p>
        </w:tc>
        <w:tc>
          <w:tcPr>
            <w:tcW w:w="946" w:type="dxa"/>
            <w:shd w:val="clear" w:color="auto" w:fill="FFFFFF"/>
            <w:vAlign w:val="bottom"/>
          </w:tcPr>
          <w:p w14:paraId="125AC24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2,95</w:t>
            </w:r>
          </w:p>
        </w:tc>
        <w:tc>
          <w:tcPr>
            <w:tcW w:w="1354" w:type="dxa"/>
            <w:shd w:val="clear" w:color="auto" w:fill="FFFFFF"/>
            <w:vAlign w:val="bottom"/>
          </w:tcPr>
          <w:p w14:paraId="3EDBA28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4,07</w:t>
            </w:r>
          </w:p>
        </w:tc>
        <w:tc>
          <w:tcPr>
            <w:tcW w:w="802" w:type="dxa"/>
            <w:shd w:val="clear" w:color="auto" w:fill="FFFFFF"/>
            <w:vAlign w:val="bottom"/>
          </w:tcPr>
          <w:p w14:paraId="0AF6667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100</w:t>
            </w:r>
          </w:p>
        </w:tc>
        <w:tc>
          <w:tcPr>
            <w:tcW w:w="696" w:type="dxa"/>
            <w:shd w:val="clear" w:color="auto" w:fill="FFFFFF"/>
          </w:tcPr>
          <w:p w14:paraId="29C4B147" w14:textId="77777777" w:rsidR="00B834A2" w:rsidRPr="00D16259" w:rsidRDefault="00B834A2" w:rsidP="003813BA">
            <w:pPr>
              <w:spacing w:after="120"/>
              <w:jc w:val="center"/>
              <w:rPr>
                <w:sz w:val="20"/>
                <w:szCs w:val="20"/>
              </w:rPr>
            </w:pPr>
          </w:p>
        </w:tc>
        <w:tc>
          <w:tcPr>
            <w:tcW w:w="931" w:type="dxa"/>
            <w:shd w:val="clear" w:color="auto" w:fill="FFFFFF"/>
            <w:vAlign w:val="bottom"/>
          </w:tcPr>
          <w:p w14:paraId="79D1BB6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1,98</w:t>
            </w:r>
          </w:p>
        </w:tc>
        <w:tc>
          <w:tcPr>
            <w:tcW w:w="802" w:type="dxa"/>
            <w:shd w:val="clear" w:color="auto" w:fill="FFFFFF"/>
            <w:vAlign w:val="bottom"/>
          </w:tcPr>
          <w:p w14:paraId="7E0FF4C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2,63</w:t>
            </w:r>
          </w:p>
        </w:tc>
        <w:tc>
          <w:tcPr>
            <w:tcW w:w="1227" w:type="dxa"/>
            <w:gridSpan w:val="2"/>
            <w:shd w:val="clear" w:color="auto" w:fill="FFFFFF"/>
          </w:tcPr>
          <w:p w14:paraId="452E485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3,39</w:t>
            </w:r>
          </w:p>
        </w:tc>
      </w:tr>
      <w:tr w:rsidR="00B834A2" w:rsidRPr="00D16259" w14:paraId="0C996B9B" w14:textId="77777777" w:rsidTr="00B834A2">
        <w:tc>
          <w:tcPr>
            <w:tcW w:w="1469" w:type="dxa"/>
            <w:shd w:val="clear" w:color="auto" w:fill="FFFFFF"/>
            <w:vAlign w:val="bottom"/>
          </w:tcPr>
          <w:p w14:paraId="7F206CC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w:t>
            </w:r>
          </w:p>
        </w:tc>
        <w:tc>
          <w:tcPr>
            <w:tcW w:w="1152" w:type="dxa"/>
            <w:shd w:val="clear" w:color="auto" w:fill="FFFFFF"/>
            <w:vAlign w:val="bottom"/>
          </w:tcPr>
          <w:p w14:paraId="19FB311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2,12</w:t>
            </w:r>
          </w:p>
        </w:tc>
        <w:tc>
          <w:tcPr>
            <w:tcW w:w="946" w:type="dxa"/>
            <w:shd w:val="clear" w:color="auto" w:fill="FFFFFF"/>
            <w:vAlign w:val="bottom"/>
          </w:tcPr>
          <w:p w14:paraId="54963A5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2,92</w:t>
            </w:r>
          </w:p>
        </w:tc>
        <w:tc>
          <w:tcPr>
            <w:tcW w:w="1354" w:type="dxa"/>
            <w:shd w:val="clear" w:color="auto" w:fill="FFFFFF"/>
            <w:vAlign w:val="bottom"/>
          </w:tcPr>
          <w:p w14:paraId="2249A57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4,02</w:t>
            </w:r>
          </w:p>
        </w:tc>
        <w:tc>
          <w:tcPr>
            <w:tcW w:w="802" w:type="dxa"/>
            <w:shd w:val="clear" w:color="auto" w:fill="FFFFFF"/>
            <w:vAlign w:val="bottom"/>
          </w:tcPr>
          <w:p w14:paraId="7E5D184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120</w:t>
            </w:r>
          </w:p>
        </w:tc>
        <w:tc>
          <w:tcPr>
            <w:tcW w:w="696" w:type="dxa"/>
            <w:shd w:val="clear" w:color="auto" w:fill="FFFFFF"/>
          </w:tcPr>
          <w:p w14:paraId="547A0E8C" w14:textId="77777777" w:rsidR="00B834A2" w:rsidRPr="00D16259" w:rsidRDefault="00B834A2" w:rsidP="003813BA">
            <w:pPr>
              <w:spacing w:after="120"/>
              <w:jc w:val="center"/>
              <w:rPr>
                <w:sz w:val="20"/>
                <w:szCs w:val="20"/>
              </w:rPr>
            </w:pPr>
          </w:p>
        </w:tc>
        <w:tc>
          <w:tcPr>
            <w:tcW w:w="931" w:type="dxa"/>
            <w:shd w:val="clear" w:color="auto" w:fill="FFFFFF"/>
            <w:vAlign w:val="bottom"/>
          </w:tcPr>
          <w:p w14:paraId="698D034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1,98</w:t>
            </w:r>
          </w:p>
        </w:tc>
        <w:tc>
          <w:tcPr>
            <w:tcW w:w="802" w:type="dxa"/>
            <w:shd w:val="clear" w:color="auto" w:fill="FFFFFF"/>
            <w:vAlign w:val="bottom"/>
          </w:tcPr>
          <w:p w14:paraId="61C37C4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2,62</w:t>
            </w:r>
          </w:p>
        </w:tc>
        <w:tc>
          <w:tcPr>
            <w:tcW w:w="1227" w:type="dxa"/>
            <w:gridSpan w:val="2"/>
            <w:shd w:val="clear" w:color="auto" w:fill="FFFFFF"/>
          </w:tcPr>
          <w:p w14:paraId="2383A68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3,37</w:t>
            </w:r>
          </w:p>
        </w:tc>
      </w:tr>
      <w:tr w:rsidR="00B834A2" w:rsidRPr="00D16259" w14:paraId="06F31FB2" w14:textId="77777777" w:rsidTr="00B834A2">
        <w:tc>
          <w:tcPr>
            <w:tcW w:w="1469" w:type="dxa"/>
            <w:shd w:val="clear" w:color="auto" w:fill="FFFFFF"/>
            <w:vAlign w:val="bottom"/>
          </w:tcPr>
          <w:p w14:paraId="74C1E0D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17</w:t>
            </w:r>
          </w:p>
        </w:tc>
        <w:tc>
          <w:tcPr>
            <w:tcW w:w="1152" w:type="dxa"/>
            <w:shd w:val="clear" w:color="auto" w:fill="FFFFFF"/>
            <w:vAlign w:val="bottom"/>
          </w:tcPr>
          <w:p w14:paraId="4CDC6A0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2,11</w:t>
            </w:r>
          </w:p>
        </w:tc>
        <w:tc>
          <w:tcPr>
            <w:tcW w:w="946" w:type="dxa"/>
            <w:shd w:val="clear" w:color="auto" w:fill="FFFFFF"/>
            <w:vAlign w:val="bottom"/>
          </w:tcPr>
          <w:p w14:paraId="3EDC968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2,90</w:t>
            </w:r>
          </w:p>
        </w:tc>
        <w:tc>
          <w:tcPr>
            <w:tcW w:w="1354" w:type="dxa"/>
            <w:shd w:val="clear" w:color="auto" w:fill="FFFFFF"/>
            <w:vAlign w:val="bottom"/>
          </w:tcPr>
          <w:p w14:paraId="2F87F99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3,97</w:t>
            </w:r>
          </w:p>
        </w:tc>
        <w:tc>
          <w:tcPr>
            <w:tcW w:w="802" w:type="dxa"/>
            <w:shd w:val="clear" w:color="auto" w:fill="FFFFFF"/>
            <w:vAlign w:val="bottom"/>
          </w:tcPr>
          <w:p w14:paraId="0E7FA87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200</w:t>
            </w:r>
          </w:p>
        </w:tc>
        <w:tc>
          <w:tcPr>
            <w:tcW w:w="696" w:type="dxa"/>
            <w:shd w:val="clear" w:color="auto" w:fill="FFFFFF"/>
          </w:tcPr>
          <w:p w14:paraId="526ED26B" w14:textId="77777777" w:rsidR="00B834A2" w:rsidRPr="00D16259" w:rsidRDefault="00B834A2" w:rsidP="003813BA">
            <w:pPr>
              <w:spacing w:after="120"/>
              <w:jc w:val="center"/>
              <w:rPr>
                <w:sz w:val="20"/>
                <w:szCs w:val="20"/>
              </w:rPr>
            </w:pPr>
          </w:p>
        </w:tc>
        <w:tc>
          <w:tcPr>
            <w:tcW w:w="931" w:type="dxa"/>
            <w:shd w:val="clear" w:color="auto" w:fill="FFFFFF"/>
            <w:vAlign w:val="bottom"/>
          </w:tcPr>
          <w:p w14:paraId="008B3003"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1,97</w:t>
            </w:r>
          </w:p>
        </w:tc>
        <w:tc>
          <w:tcPr>
            <w:tcW w:w="802" w:type="dxa"/>
            <w:shd w:val="clear" w:color="auto" w:fill="FFFFFF"/>
            <w:vAlign w:val="bottom"/>
          </w:tcPr>
          <w:p w14:paraId="76BD8E1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2,60</w:t>
            </w:r>
          </w:p>
        </w:tc>
        <w:tc>
          <w:tcPr>
            <w:tcW w:w="1227" w:type="dxa"/>
            <w:gridSpan w:val="2"/>
            <w:shd w:val="clear" w:color="auto" w:fill="FFFFFF"/>
          </w:tcPr>
          <w:p w14:paraId="610138F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3,34</w:t>
            </w:r>
          </w:p>
        </w:tc>
      </w:tr>
      <w:tr w:rsidR="00B834A2" w:rsidRPr="00D16259" w14:paraId="085C53EE" w14:textId="77777777" w:rsidTr="00B834A2">
        <w:tc>
          <w:tcPr>
            <w:tcW w:w="1469" w:type="dxa"/>
            <w:shd w:val="clear" w:color="auto" w:fill="FFFFFF"/>
            <w:vAlign w:val="bottom"/>
          </w:tcPr>
          <w:p w14:paraId="3813997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lastRenderedPageBreak/>
              <w:t>18</w:t>
            </w:r>
          </w:p>
        </w:tc>
        <w:tc>
          <w:tcPr>
            <w:tcW w:w="1152" w:type="dxa"/>
            <w:shd w:val="clear" w:color="auto" w:fill="FFFFFF"/>
            <w:vAlign w:val="bottom"/>
          </w:tcPr>
          <w:p w14:paraId="62F39E6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2,10</w:t>
            </w:r>
          </w:p>
        </w:tc>
        <w:tc>
          <w:tcPr>
            <w:tcW w:w="946" w:type="dxa"/>
            <w:shd w:val="clear" w:color="auto" w:fill="FFFFFF"/>
            <w:vAlign w:val="bottom"/>
          </w:tcPr>
          <w:p w14:paraId="3711DC3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2,88</w:t>
            </w:r>
          </w:p>
        </w:tc>
        <w:tc>
          <w:tcPr>
            <w:tcW w:w="1354" w:type="dxa"/>
            <w:shd w:val="clear" w:color="auto" w:fill="FFFFFF"/>
            <w:vAlign w:val="bottom"/>
          </w:tcPr>
          <w:p w14:paraId="433B212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3,92</w:t>
            </w:r>
          </w:p>
        </w:tc>
        <w:tc>
          <w:tcPr>
            <w:tcW w:w="802" w:type="dxa"/>
            <w:shd w:val="clear" w:color="auto" w:fill="FFFFFF"/>
            <w:vAlign w:val="bottom"/>
          </w:tcPr>
          <w:p w14:paraId="4E73747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500</w:t>
            </w:r>
          </w:p>
        </w:tc>
        <w:tc>
          <w:tcPr>
            <w:tcW w:w="696" w:type="dxa"/>
            <w:shd w:val="clear" w:color="auto" w:fill="FFFFFF"/>
          </w:tcPr>
          <w:p w14:paraId="3E48B667" w14:textId="77777777" w:rsidR="00B834A2" w:rsidRPr="00D16259" w:rsidRDefault="00B834A2" w:rsidP="003813BA">
            <w:pPr>
              <w:spacing w:after="120"/>
              <w:jc w:val="center"/>
              <w:rPr>
                <w:sz w:val="20"/>
                <w:szCs w:val="20"/>
              </w:rPr>
            </w:pPr>
          </w:p>
        </w:tc>
        <w:tc>
          <w:tcPr>
            <w:tcW w:w="931" w:type="dxa"/>
            <w:shd w:val="clear" w:color="auto" w:fill="FFFFFF"/>
            <w:vAlign w:val="bottom"/>
          </w:tcPr>
          <w:p w14:paraId="068A62D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1,96</w:t>
            </w:r>
          </w:p>
        </w:tc>
        <w:tc>
          <w:tcPr>
            <w:tcW w:w="802" w:type="dxa"/>
            <w:shd w:val="clear" w:color="auto" w:fill="FFFFFF"/>
            <w:vAlign w:val="bottom"/>
          </w:tcPr>
          <w:p w14:paraId="05FE884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2,59</w:t>
            </w:r>
          </w:p>
        </w:tc>
        <w:tc>
          <w:tcPr>
            <w:tcW w:w="1227" w:type="dxa"/>
            <w:gridSpan w:val="2"/>
            <w:shd w:val="clear" w:color="auto" w:fill="FFFFFF"/>
          </w:tcPr>
          <w:p w14:paraId="10BEF22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3,31</w:t>
            </w:r>
          </w:p>
        </w:tc>
      </w:tr>
      <w:tr w:rsidR="00B834A2" w:rsidRPr="00D16259" w14:paraId="72F0B5BF" w14:textId="77777777" w:rsidTr="00B834A2">
        <w:tc>
          <w:tcPr>
            <w:tcW w:w="1469" w:type="dxa"/>
            <w:shd w:val="clear" w:color="auto" w:fill="FFFFFF"/>
            <w:vAlign w:val="bottom"/>
          </w:tcPr>
          <w:p w14:paraId="590C86C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w:t>
            </w:r>
          </w:p>
        </w:tc>
        <w:tc>
          <w:tcPr>
            <w:tcW w:w="1152" w:type="dxa"/>
            <w:shd w:val="clear" w:color="auto" w:fill="FFFFFF"/>
            <w:vAlign w:val="bottom"/>
          </w:tcPr>
          <w:p w14:paraId="509C99A0"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2,09</w:t>
            </w:r>
          </w:p>
        </w:tc>
        <w:tc>
          <w:tcPr>
            <w:tcW w:w="946" w:type="dxa"/>
            <w:shd w:val="clear" w:color="auto" w:fill="FFFFFF"/>
            <w:vAlign w:val="bottom"/>
          </w:tcPr>
          <w:p w14:paraId="22BE7494"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2,86</w:t>
            </w:r>
          </w:p>
        </w:tc>
        <w:tc>
          <w:tcPr>
            <w:tcW w:w="1354" w:type="dxa"/>
            <w:shd w:val="clear" w:color="auto" w:fill="FFFFFF"/>
            <w:vAlign w:val="bottom"/>
          </w:tcPr>
          <w:p w14:paraId="7F8B295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3,88</w:t>
            </w:r>
          </w:p>
        </w:tc>
        <w:tc>
          <w:tcPr>
            <w:tcW w:w="802" w:type="dxa"/>
            <w:shd w:val="clear" w:color="auto" w:fill="FFFFFF"/>
            <w:vAlign w:val="bottom"/>
          </w:tcPr>
          <w:p w14:paraId="18BE6EDD"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p>
        </w:tc>
        <w:tc>
          <w:tcPr>
            <w:tcW w:w="696" w:type="dxa"/>
            <w:shd w:val="clear" w:color="auto" w:fill="FFFFFF"/>
          </w:tcPr>
          <w:p w14:paraId="5CAFCFDA" w14:textId="77777777" w:rsidR="00B834A2" w:rsidRPr="00D16259" w:rsidRDefault="00B834A2" w:rsidP="003813BA">
            <w:pPr>
              <w:spacing w:after="120"/>
              <w:jc w:val="center"/>
              <w:rPr>
                <w:sz w:val="20"/>
                <w:szCs w:val="20"/>
              </w:rPr>
            </w:pPr>
          </w:p>
        </w:tc>
        <w:tc>
          <w:tcPr>
            <w:tcW w:w="931" w:type="dxa"/>
            <w:shd w:val="clear" w:color="auto" w:fill="FFFFFF"/>
            <w:vAlign w:val="bottom"/>
          </w:tcPr>
          <w:p w14:paraId="5FC5C78B"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1,96</w:t>
            </w:r>
          </w:p>
        </w:tc>
        <w:tc>
          <w:tcPr>
            <w:tcW w:w="802" w:type="dxa"/>
            <w:shd w:val="clear" w:color="auto" w:fill="FFFFFF"/>
            <w:vAlign w:val="bottom"/>
          </w:tcPr>
          <w:p w14:paraId="4185082C"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2,58</w:t>
            </w:r>
          </w:p>
        </w:tc>
        <w:tc>
          <w:tcPr>
            <w:tcW w:w="1227" w:type="dxa"/>
            <w:gridSpan w:val="2"/>
            <w:shd w:val="clear" w:color="auto" w:fill="FFFFFF"/>
          </w:tcPr>
          <w:p w14:paraId="2797504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3,29</w:t>
            </w:r>
          </w:p>
        </w:tc>
      </w:tr>
      <w:tr w:rsidR="00B834A2" w:rsidRPr="00D16259" w14:paraId="6C533F0E" w14:textId="77777777" w:rsidTr="00B834A2">
        <w:tc>
          <w:tcPr>
            <w:tcW w:w="1469" w:type="dxa"/>
            <w:shd w:val="clear" w:color="auto" w:fill="FFFFFF"/>
            <w:vAlign w:val="bottom"/>
          </w:tcPr>
          <w:p w14:paraId="1779526E"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1152" w:type="dxa"/>
            <w:shd w:val="clear" w:color="auto" w:fill="FFFFFF"/>
            <w:vAlign w:val="bottom"/>
          </w:tcPr>
          <w:p w14:paraId="245C0B1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2,09</w:t>
            </w:r>
          </w:p>
        </w:tc>
        <w:tc>
          <w:tcPr>
            <w:tcW w:w="946" w:type="dxa"/>
            <w:shd w:val="clear" w:color="auto" w:fill="FFFFFF"/>
            <w:vAlign w:val="bottom"/>
          </w:tcPr>
          <w:p w14:paraId="7A2370D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2,85</w:t>
            </w:r>
          </w:p>
        </w:tc>
        <w:tc>
          <w:tcPr>
            <w:tcW w:w="1354" w:type="dxa"/>
            <w:shd w:val="clear" w:color="auto" w:fill="FFFFFF"/>
            <w:vAlign w:val="bottom"/>
          </w:tcPr>
          <w:p w14:paraId="3CACB402"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3,85</w:t>
            </w:r>
          </w:p>
        </w:tc>
        <w:tc>
          <w:tcPr>
            <w:tcW w:w="802" w:type="dxa"/>
            <w:shd w:val="clear" w:color="auto" w:fill="FFFFFF"/>
          </w:tcPr>
          <w:p w14:paraId="48828AB7" w14:textId="77777777" w:rsidR="00B834A2" w:rsidRPr="00D16259" w:rsidRDefault="00B834A2" w:rsidP="003813BA">
            <w:pPr>
              <w:spacing w:after="120"/>
              <w:jc w:val="center"/>
              <w:rPr>
                <w:sz w:val="20"/>
                <w:szCs w:val="20"/>
              </w:rPr>
            </w:pPr>
            <w:r w:rsidRPr="00D16259">
              <w:rPr>
                <w:sz w:val="20"/>
                <w:szCs w:val="20"/>
              </w:rPr>
              <w:t>∞</w:t>
            </w:r>
          </w:p>
        </w:tc>
        <w:tc>
          <w:tcPr>
            <w:tcW w:w="696" w:type="dxa"/>
            <w:shd w:val="clear" w:color="auto" w:fill="FFFFFF"/>
          </w:tcPr>
          <w:p w14:paraId="53106E17" w14:textId="77777777" w:rsidR="00B834A2" w:rsidRPr="00D16259" w:rsidRDefault="00B834A2" w:rsidP="003813BA">
            <w:pPr>
              <w:spacing w:after="120"/>
              <w:jc w:val="center"/>
              <w:rPr>
                <w:sz w:val="20"/>
                <w:szCs w:val="20"/>
              </w:rPr>
            </w:pPr>
          </w:p>
        </w:tc>
        <w:tc>
          <w:tcPr>
            <w:tcW w:w="931" w:type="dxa"/>
            <w:shd w:val="clear" w:color="auto" w:fill="FFFFFF"/>
          </w:tcPr>
          <w:p w14:paraId="385C3981" w14:textId="77777777" w:rsidR="00B834A2" w:rsidRPr="00D16259" w:rsidRDefault="00B834A2" w:rsidP="003813BA">
            <w:pPr>
              <w:spacing w:after="120"/>
              <w:jc w:val="center"/>
              <w:rPr>
                <w:sz w:val="20"/>
                <w:szCs w:val="20"/>
              </w:rPr>
            </w:pPr>
          </w:p>
        </w:tc>
        <w:tc>
          <w:tcPr>
            <w:tcW w:w="802" w:type="dxa"/>
            <w:shd w:val="clear" w:color="auto" w:fill="FFFFFF"/>
          </w:tcPr>
          <w:p w14:paraId="4516D8D6" w14:textId="77777777" w:rsidR="00B834A2" w:rsidRPr="00D16259" w:rsidRDefault="00B834A2" w:rsidP="003813BA">
            <w:pPr>
              <w:spacing w:after="120"/>
              <w:jc w:val="center"/>
              <w:rPr>
                <w:sz w:val="20"/>
                <w:szCs w:val="20"/>
              </w:rPr>
            </w:pPr>
          </w:p>
        </w:tc>
        <w:tc>
          <w:tcPr>
            <w:tcW w:w="1227" w:type="dxa"/>
            <w:gridSpan w:val="2"/>
            <w:shd w:val="clear" w:color="auto" w:fill="FFFFFF"/>
          </w:tcPr>
          <w:p w14:paraId="188974D1" w14:textId="77777777" w:rsidR="00B834A2" w:rsidRPr="00D16259" w:rsidRDefault="00B834A2" w:rsidP="003813BA">
            <w:pPr>
              <w:spacing w:after="120"/>
              <w:jc w:val="center"/>
              <w:rPr>
                <w:sz w:val="20"/>
                <w:szCs w:val="20"/>
              </w:rPr>
            </w:pPr>
          </w:p>
        </w:tc>
      </w:tr>
      <w:tr w:rsidR="00B834A2" w:rsidRPr="00D16259" w14:paraId="4A886BA8" w14:textId="77777777" w:rsidTr="00B834A2">
        <w:tc>
          <w:tcPr>
            <w:tcW w:w="1469" w:type="dxa"/>
            <w:shd w:val="clear" w:color="auto" w:fill="FFFFFF"/>
            <w:vAlign w:val="bottom"/>
          </w:tcPr>
          <w:p w14:paraId="50A6E0B7"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f</w:t>
            </w:r>
          </w:p>
        </w:tc>
        <w:tc>
          <w:tcPr>
            <w:tcW w:w="1152" w:type="dxa"/>
            <w:shd w:val="clear" w:color="auto" w:fill="FFFFFF"/>
            <w:vAlign w:val="bottom"/>
          </w:tcPr>
          <w:p w14:paraId="2D07A439"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2Italic"/>
                <w:sz w:val="20"/>
                <w:szCs w:val="20"/>
              </w:rPr>
              <w:t>р</w:t>
            </w:r>
            <w:r w:rsidRPr="00D16259">
              <w:rPr>
                <w:rStyle w:val="Bodytext31Sylfaen9"/>
                <w:sz w:val="20"/>
                <w:szCs w:val="20"/>
              </w:rPr>
              <w:t xml:space="preserve"> = 0,05</w:t>
            </w:r>
          </w:p>
        </w:tc>
        <w:tc>
          <w:tcPr>
            <w:tcW w:w="946" w:type="dxa"/>
            <w:shd w:val="clear" w:color="auto" w:fill="FFFFFF"/>
            <w:vAlign w:val="bottom"/>
          </w:tcPr>
          <w:p w14:paraId="1933ED1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2Italic"/>
                <w:sz w:val="20"/>
                <w:szCs w:val="20"/>
              </w:rPr>
              <w:t>р</w:t>
            </w:r>
            <w:r w:rsidRPr="00D16259">
              <w:rPr>
                <w:rStyle w:val="Bodytext31Sylfaen9"/>
                <w:sz w:val="20"/>
                <w:szCs w:val="20"/>
              </w:rPr>
              <w:t xml:space="preserve"> = 0,01</w:t>
            </w:r>
          </w:p>
        </w:tc>
        <w:tc>
          <w:tcPr>
            <w:tcW w:w="1354" w:type="dxa"/>
            <w:shd w:val="clear" w:color="auto" w:fill="FFFFFF"/>
            <w:vAlign w:val="bottom"/>
          </w:tcPr>
          <w:p w14:paraId="781B1851"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2Italic"/>
                <w:sz w:val="20"/>
                <w:szCs w:val="20"/>
              </w:rPr>
              <w:t>р =</w:t>
            </w:r>
            <w:r w:rsidRPr="00D16259">
              <w:rPr>
                <w:rStyle w:val="Bodytext31Sylfaen9"/>
                <w:sz w:val="20"/>
                <w:szCs w:val="20"/>
              </w:rPr>
              <w:t xml:space="preserve"> 0,001</w:t>
            </w:r>
          </w:p>
        </w:tc>
        <w:tc>
          <w:tcPr>
            <w:tcW w:w="802" w:type="dxa"/>
            <w:shd w:val="clear" w:color="auto" w:fill="FFFFFF"/>
            <w:vAlign w:val="bottom"/>
          </w:tcPr>
          <w:p w14:paraId="4280C586"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ƒ</w:t>
            </w:r>
          </w:p>
        </w:tc>
        <w:tc>
          <w:tcPr>
            <w:tcW w:w="696" w:type="dxa"/>
            <w:shd w:val="clear" w:color="auto" w:fill="FFFFFF"/>
            <w:vAlign w:val="bottom"/>
          </w:tcPr>
          <w:p w14:paraId="6126874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p>
        </w:tc>
        <w:tc>
          <w:tcPr>
            <w:tcW w:w="931" w:type="dxa"/>
            <w:shd w:val="clear" w:color="auto" w:fill="FFFFFF"/>
            <w:vAlign w:val="bottom"/>
          </w:tcPr>
          <w:p w14:paraId="1E21D58A"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2Italic"/>
                <w:sz w:val="20"/>
                <w:szCs w:val="20"/>
              </w:rPr>
              <w:t>р</w:t>
            </w:r>
            <w:r w:rsidRPr="00D16259">
              <w:rPr>
                <w:rStyle w:val="Bodytext31Sylfaen9"/>
                <w:sz w:val="20"/>
                <w:szCs w:val="20"/>
              </w:rPr>
              <w:t>= 0,05</w:t>
            </w:r>
          </w:p>
        </w:tc>
        <w:tc>
          <w:tcPr>
            <w:tcW w:w="802" w:type="dxa"/>
            <w:shd w:val="clear" w:color="auto" w:fill="FFFFFF"/>
            <w:vAlign w:val="bottom"/>
          </w:tcPr>
          <w:p w14:paraId="1309E1EF"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2Italic"/>
                <w:sz w:val="20"/>
                <w:szCs w:val="20"/>
              </w:rPr>
              <w:t>р =</w:t>
            </w:r>
            <w:r w:rsidRPr="00D16259">
              <w:rPr>
                <w:rStyle w:val="Bodytext31Sylfaen9"/>
                <w:sz w:val="20"/>
                <w:szCs w:val="20"/>
              </w:rPr>
              <w:t xml:space="preserve"> 0,01</w:t>
            </w:r>
          </w:p>
        </w:tc>
        <w:tc>
          <w:tcPr>
            <w:tcW w:w="1227" w:type="dxa"/>
            <w:gridSpan w:val="2"/>
            <w:shd w:val="clear" w:color="auto" w:fill="FFFFFF"/>
            <w:vAlign w:val="bottom"/>
          </w:tcPr>
          <w:p w14:paraId="7D2D3648" w14:textId="77777777" w:rsidR="00B834A2" w:rsidRPr="00D16259" w:rsidRDefault="00B834A2"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p= 0,001</w:t>
            </w:r>
          </w:p>
        </w:tc>
      </w:tr>
      <w:tr w:rsidR="00B834A2" w:rsidRPr="00D16259" w14:paraId="685D4876" w14:textId="77777777" w:rsidTr="00B834A2">
        <w:tc>
          <w:tcPr>
            <w:tcW w:w="1469" w:type="dxa"/>
            <w:shd w:val="clear" w:color="auto" w:fill="FFFFFF"/>
          </w:tcPr>
          <w:p w14:paraId="6E96DD7A" w14:textId="77777777" w:rsidR="00B834A2" w:rsidRPr="00D16259" w:rsidRDefault="00B834A2" w:rsidP="00D16259">
            <w:pPr>
              <w:spacing w:after="120"/>
              <w:rPr>
                <w:sz w:val="20"/>
                <w:szCs w:val="20"/>
              </w:rPr>
            </w:pPr>
          </w:p>
        </w:tc>
        <w:tc>
          <w:tcPr>
            <w:tcW w:w="3452" w:type="dxa"/>
            <w:gridSpan w:val="3"/>
            <w:shd w:val="clear" w:color="auto" w:fill="FFFFFF"/>
          </w:tcPr>
          <w:p w14:paraId="2CBB7C2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Նշանակալիության մակարդակը</w:t>
            </w:r>
          </w:p>
        </w:tc>
        <w:tc>
          <w:tcPr>
            <w:tcW w:w="802" w:type="dxa"/>
            <w:shd w:val="clear" w:color="auto" w:fill="FFFFFF"/>
          </w:tcPr>
          <w:p w14:paraId="2F97585C" w14:textId="77777777" w:rsidR="00B834A2" w:rsidRPr="00D16259" w:rsidRDefault="00B834A2" w:rsidP="00D16259">
            <w:pPr>
              <w:spacing w:after="120"/>
              <w:rPr>
                <w:sz w:val="20"/>
                <w:szCs w:val="20"/>
              </w:rPr>
            </w:pPr>
          </w:p>
        </w:tc>
        <w:tc>
          <w:tcPr>
            <w:tcW w:w="696" w:type="dxa"/>
            <w:shd w:val="clear" w:color="auto" w:fill="FFFFFF"/>
          </w:tcPr>
          <w:p w14:paraId="5C2599FC" w14:textId="77777777" w:rsidR="00B834A2" w:rsidRPr="00D16259" w:rsidRDefault="00B834A2" w:rsidP="00D16259">
            <w:pPr>
              <w:spacing w:after="120"/>
              <w:rPr>
                <w:sz w:val="20"/>
                <w:szCs w:val="20"/>
              </w:rPr>
            </w:pPr>
          </w:p>
        </w:tc>
        <w:tc>
          <w:tcPr>
            <w:tcW w:w="2304" w:type="dxa"/>
            <w:gridSpan w:val="3"/>
            <w:shd w:val="clear" w:color="auto" w:fill="FFFFFF"/>
          </w:tcPr>
          <w:p w14:paraId="29914D36" w14:textId="77777777" w:rsidR="00B834A2" w:rsidRPr="00D16259" w:rsidRDefault="00B834A2" w:rsidP="00D16259">
            <w:pPr>
              <w:pStyle w:val="Bodytext20"/>
              <w:shd w:val="clear" w:color="auto" w:fill="auto"/>
              <w:spacing w:before="0" w:line="240" w:lineRule="auto"/>
              <w:jc w:val="right"/>
              <w:rPr>
                <w:rFonts w:ascii="Sylfaen" w:hAnsi="Sylfaen" w:cs="Sylfaen"/>
                <w:sz w:val="20"/>
                <w:szCs w:val="20"/>
              </w:rPr>
            </w:pPr>
            <w:r w:rsidRPr="00D16259">
              <w:rPr>
                <w:rStyle w:val="Bodytext31Sylfaen9"/>
                <w:sz w:val="20"/>
                <w:szCs w:val="20"/>
              </w:rPr>
              <w:t>Նշանակալիության մակարդակը</w:t>
            </w:r>
          </w:p>
        </w:tc>
        <w:tc>
          <w:tcPr>
            <w:tcW w:w="656" w:type="dxa"/>
            <w:shd w:val="clear" w:color="auto" w:fill="FFFFFF"/>
          </w:tcPr>
          <w:p w14:paraId="464BE357" w14:textId="77777777" w:rsidR="00B834A2" w:rsidRPr="00D16259" w:rsidRDefault="00B834A2" w:rsidP="00D16259">
            <w:pPr>
              <w:spacing w:after="120"/>
              <w:rPr>
                <w:sz w:val="20"/>
                <w:szCs w:val="20"/>
              </w:rPr>
            </w:pPr>
          </w:p>
        </w:tc>
      </w:tr>
      <w:tr w:rsidR="00B834A2" w:rsidRPr="00D16259" w14:paraId="54CFA936" w14:textId="77777777" w:rsidTr="00B834A2">
        <w:tc>
          <w:tcPr>
            <w:tcW w:w="3567" w:type="dxa"/>
            <w:gridSpan w:val="3"/>
            <w:tcBorders>
              <w:top w:val="single" w:sz="4" w:space="0" w:color="auto"/>
            </w:tcBorders>
            <w:shd w:val="clear" w:color="auto" w:fill="FFFFFF"/>
            <w:vAlign w:val="bottom"/>
          </w:tcPr>
          <w:p w14:paraId="5DB1B81F"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t = 1,958788 + 2,429953/ ƒ + 2,189891/ ƒ</w:t>
            </w:r>
            <w:r w:rsidRPr="00D16259">
              <w:rPr>
                <w:rStyle w:val="Bodytext31Sylfaen9"/>
                <w:sz w:val="20"/>
                <w:szCs w:val="20"/>
                <w:vertAlign w:val="superscript"/>
              </w:rPr>
              <w:t>2</w:t>
            </w:r>
          </w:p>
        </w:tc>
        <w:tc>
          <w:tcPr>
            <w:tcW w:w="1354" w:type="dxa"/>
            <w:tcBorders>
              <w:top w:val="single" w:sz="4" w:space="0" w:color="auto"/>
            </w:tcBorders>
            <w:shd w:val="clear" w:color="auto" w:fill="FFFFFF"/>
            <w:vAlign w:val="bottom"/>
          </w:tcPr>
          <w:p w14:paraId="05F174A0"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+ 4,630189</w:t>
            </w:r>
            <w:r w:rsidRPr="00D16259">
              <w:rPr>
                <w:rStyle w:val="Bodytext31Sylfaen9"/>
                <w:sz w:val="20"/>
                <w:szCs w:val="20"/>
                <w:lang w:val="en-GB"/>
              </w:rPr>
              <w:t>/</w:t>
            </w:r>
            <w:r w:rsidRPr="00D16259">
              <w:rPr>
                <w:rStyle w:val="Bodytext31Sylfaen9"/>
                <w:sz w:val="20"/>
                <w:szCs w:val="20"/>
              </w:rPr>
              <w:t xml:space="preserve"> ƒ</w:t>
            </w:r>
            <w:r w:rsidRPr="00D16259">
              <w:rPr>
                <w:rStyle w:val="Bodytext31Sylfaen9"/>
                <w:sz w:val="20"/>
                <w:szCs w:val="20"/>
                <w:vertAlign w:val="superscript"/>
              </w:rPr>
              <w:t>3</w:t>
            </w:r>
          </w:p>
        </w:tc>
        <w:tc>
          <w:tcPr>
            <w:tcW w:w="2429" w:type="dxa"/>
            <w:gridSpan w:val="3"/>
            <w:tcBorders>
              <w:top w:val="single" w:sz="4" w:space="0" w:color="auto"/>
            </w:tcBorders>
            <w:shd w:val="clear" w:color="auto" w:fill="FFFFFF"/>
            <w:vAlign w:val="bottom"/>
          </w:tcPr>
          <w:p w14:paraId="1B13DF2A"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lang w:val="en-GB"/>
              </w:rPr>
            </w:pPr>
            <w:r w:rsidRPr="00D16259">
              <w:rPr>
                <w:rStyle w:val="Bodytext31Sylfaen9"/>
                <w:sz w:val="20"/>
                <w:szCs w:val="20"/>
              </w:rPr>
              <w:t>+ 1,398179 ƒ</w:t>
            </w:r>
            <w:r w:rsidRPr="00D16259">
              <w:rPr>
                <w:rStyle w:val="Bodytext31Sylfaen9"/>
                <w:sz w:val="20"/>
                <w:szCs w:val="20"/>
                <w:vertAlign w:val="superscript"/>
              </w:rPr>
              <w:t xml:space="preserve"> 9</w:t>
            </w:r>
            <w:r w:rsidRPr="00D16259">
              <w:rPr>
                <w:rStyle w:val="Bodytext31Sylfaen9"/>
                <w:sz w:val="20"/>
                <w:szCs w:val="20"/>
                <w:lang w:val="en-GB"/>
              </w:rPr>
              <w:t>,</w:t>
            </w:r>
            <w:r w:rsidRPr="00D16259">
              <w:rPr>
                <w:rStyle w:val="Bodytext31Sylfaen9"/>
                <w:sz w:val="20"/>
                <w:szCs w:val="20"/>
              </w:rPr>
              <w:t xml:space="preserve"> եթե</w:t>
            </w:r>
            <w:r w:rsidRPr="00D16259">
              <w:rPr>
                <w:rStyle w:val="Bodytext2Italic"/>
                <w:sz w:val="20"/>
                <w:szCs w:val="20"/>
              </w:rPr>
              <w:t>р =</w:t>
            </w:r>
            <w:r w:rsidRPr="00D16259">
              <w:rPr>
                <w:rStyle w:val="Bodytext31Sylfaen9"/>
                <w:sz w:val="20"/>
                <w:szCs w:val="20"/>
              </w:rPr>
              <w:t xml:space="preserve"> 0,05</w:t>
            </w:r>
            <w:r w:rsidRPr="00D16259">
              <w:rPr>
                <w:rStyle w:val="Bodytext31Sylfaen9"/>
                <w:sz w:val="20"/>
                <w:szCs w:val="20"/>
                <w:lang w:val="en-GB"/>
              </w:rPr>
              <w:t>.</w:t>
            </w:r>
          </w:p>
        </w:tc>
        <w:tc>
          <w:tcPr>
            <w:tcW w:w="802" w:type="dxa"/>
            <w:tcBorders>
              <w:top w:val="single" w:sz="4" w:space="0" w:color="auto"/>
            </w:tcBorders>
            <w:shd w:val="clear" w:color="auto" w:fill="FFFFFF"/>
          </w:tcPr>
          <w:p w14:paraId="64651B35" w14:textId="77777777" w:rsidR="00B834A2" w:rsidRPr="00D16259" w:rsidRDefault="00B834A2" w:rsidP="00D16259">
            <w:pPr>
              <w:spacing w:after="120"/>
              <w:rPr>
                <w:sz w:val="20"/>
                <w:szCs w:val="20"/>
              </w:rPr>
            </w:pPr>
          </w:p>
        </w:tc>
        <w:tc>
          <w:tcPr>
            <w:tcW w:w="571" w:type="dxa"/>
            <w:tcBorders>
              <w:top w:val="single" w:sz="4" w:space="0" w:color="auto"/>
            </w:tcBorders>
            <w:shd w:val="clear" w:color="auto" w:fill="FFFFFF"/>
          </w:tcPr>
          <w:p w14:paraId="15D1AF00" w14:textId="77777777" w:rsidR="00B834A2" w:rsidRPr="00D16259" w:rsidRDefault="00B834A2" w:rsidP="00D16259">
            <w:pPr>
              <w:spacing w:after="120"/>
              <w:rPr>
                <w:sz w:val="20"/>
                <w:szCs w:val="20"/>
              </w:rPr>
            </w:pPr>
          </w:p>
        </w:tc>
        <w:tc>
          <w:tcPr>
            <w:tcW w:w="656" w:type="dxa"/>
            <w:tcBorders>
              <w:top w:val="single" w:sz="4" w:space="0" w:color="auto"/>
            </w:tcBorders>
            <w:shd w:val="clear" w:color="auto" w:fill="FFFFFF"/>
          </w:tcPr>
          <w:p w14:paraId="2833584F" w14:textId="77777777" w:rsidR="00B834A2" w:rsidRPr="00D16259" w:rsidRDefault="00B834A2" w:rsidP="00D16259">
            <w:pPr>
              <w:spacing w:after="120"/>
              <w:rPr>
                <w:sz w:val="20"/>
                <w:szCs w:val="20"/>
              </w:rPr>
            </w:pPr>
          </w:p>
        </w:tc>
      </w:tr>
      <w:tr w:rsidR="00B834A2" w:rsidRPr="00D16259" w14:paraId="668B8AE7" w14:textId="77777777" w:rsidTr="00B834A2">
        <w:tc>
          <w:tcPr>
            <w:tcW w:w="5723" w:type="dxa"/>
            <w:gridSpan w:val="5"/>
            <w:shd w:val="clear" w:color="auto" w:fill="FFFFFF"/>
          </w:tcPr>
          <w:p w14:paraId="3D9B66A4"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lang w:val="en-GB"/>
              </w:rPr>
            </w:pPr>
            <w:r w:rsidRPr="00D16259">
              <w:rPr>
                <w:rStyle w:val="Bodytext2Italic"/>
                <w:sz w:val="20"/>
                <w:szCs w:val="20"/>
              </w:rPr>
              <w:t>t=</w:t>
            </w:r>
            <w:r w:rsidRPr="00D16259">
              <w:rPr>
                <w:rStyle w:val="Bodytext31Sylfaen9"/>
                <w:sz w:val="20"/>
                <w:szCs w:val="20"/>
              </w:rPr>
              <w:t xml:space="preserve"> 2,5638+5,49059/ ƒ + 2,72654/ ƒ</w:t>
            </w:r>
            <w:r w:rsidRPr="00D16259">
              <w:rPr>
                <w:rStyle w:val="Bodytext31Sylfaen9"/>
                <w:sz w:val="20"/>
                <w:szCs w:val="20"/>
                <w:vertAlign w:val="superscript"/>
              </w:rPr>
              <w:t xml:space="preserve"> 2</w:t>
            </w:r>
            <w:r w:rsidRPr="00D16259">
              <w:rPr>
                <w:rStyle w:val="Bodytext31Sylfaen9"/>
                <w:sz w:val="20"/>
                <w:szCs w:val="20"/>
              </w:rPr>
              <w:t xml:space="preserve"> + 31,2446/ ƒ</w:t>
            </w:r>
            <w:r w:rsidRPr="00D16259">
              <w:rPr>
                <w:rStyle w:val="Bodytext31Sylfaen9"/>
                <w:sz w:val="20"/>
                <w:szCs w:val="20"/>
                <w:vertAlign w:val="superscript"/>
              </w:rPr>
              <w:t xml:space="preserve"> 3</w:t>
            </w:r>
            <w:r w:rsidRPr="00D16259">
              <w:rPr>
                <w:rStyle w:val="Bodytext31Sylfaen9"/>
                <w:sz w:val="20"/>
                <w:szCs w:val="20"/>
              </w:rPr>
              <w:t xml:space="preserve"> +21,6745/ ƒ</w:t>
            </w:r>
            <w:r w:rsidRPr="00D16259">
              <w:rPr>
                <w:rStyle w:val="Bodytext31Sylfaen9"/>
                <w:sz w:val="20"/>
                <w:szCs w:val="20"/>
                <w:vertAlign w:val="superscript"/>
              </w:rPr>
              <w:t xml:space="preserve"> 10</w:t>
            </w:r>
            <w:r w:rsidRPr="00D16259">
              <w:rPr>
                <w:rStyle w:val="Bodytext31Sylfaen9"/>
                <w:sz w:val="20"/>
                <w:szCs w:val="20"/>
                <w:lang w:val="en-GB"/>
              </w:rPr>
              <w:t>,</w:t>
            </w:r>
          </w:p>
        </w:tc>
        <w:tc>
          <w:tcPr>
            <w:tcW w:w="696" w:type="dxa"/>
            <w:shd w:val="clear" w:color="auto" w:fill="FFFFFF"/>
          </w:tcPr>
          <w:p w14:paraId="0DBD7C3F" w14:textId="77777777" w:rsidR="00B834A2" w:rsidRPr="00D16259" w:rsidRDefault="00B834A2" w:rsidP="00D16259">
            <w:pPr>
              <w:pStyle w:val="Bodytext20"/>
              <w:shd w:val="clear" w:color="auto" w:fill="auto"/>
              <w:spacing w:before="0" w:line="240" w:lineRule="auto"/>
              <w:jc w:val="right"/>
              <w:rPr>
                <w:rFonts w:ascii="Sylfaen" w:hAnsi="Sylfaen" w:cs="Sylfaen"/>
                <w:sz w:val="20"/>
                <w:szCs w:val="20"/>
              </w:rPr>
            </w:pPr>
            <w:r w:rsidRPr="00D16259">
              <w:rPr>
                <w:rStyle w:val="Bodytext31Sylfaen9"/>
                <w:sz w:val="20"/>
                <w:szCs w:val="20"/>
              </w:rPr>
              <w:t xml:space="preserve">եթե </w:t>
            </w:r>
            <w:r w:rsidRPr="00D16259">
              <w:rPr>
                <w:rStyle w:val="Bodytext2Italic"/>
                <w:sz w:val="20"/>
                <w:szCs w:val="20"/>
              </w:rPr>
              <w:t>р</w:t>
            </w:r>
            <w:r w:rsidRPr="00D16259">
              <w:rPr>
                <w:rStyle w:val="Bodytext31Sylfaen9"/>
                <w:sz w:val="20"/>
                <w:szCs w:val="20"/>
              </w:rPr>
              <w:t xml:space="preserve"> =</w:t>
            </w:r>
          </w:p>
        </w:tc>
        <w:tc>
          <w:tcPr>
            <w:tcW w:w="931" w:type="dxa"/>
            <w:shd w:val="clear" w:color="auto" w:fill="FFFFFF"/>
            <w:vAlign w:val="center"/>
          </w:tcPr>
          <w:p w14:paraId="3954281F" w14:textId="77777777" w:rsidR="00B834A2" w:rsidRPr="00D16259" w:rsidRDefault="00B834A2" w:rsidP="00D16259">
            <w:pPr>
              <w:pStyle w:val="Bodytext20"/>
              <w:shd w:val="clear" w:color="auto" w:fill="auto"/>
              <w:spacing w:before="0" w:line="240" w:lineRule="auto"/>
              <w:jc w:val="left"/>
              <w:rPr>
                <w:rFonts w:ascii="Sylfaen" w:hAnsi="Sylfaen" w:cs="Sylfaen"/>
                <w:sz w:val="20"/>
                <w:szCs w:val="20"/>
              </w:rPr>
            </w:pPr>
            <w:r w:rsidRPr="00D16259">
              <w:rPr>
                <w:rStyle w:val="Bodytext31Sylfaen9"/>
                <w:sz w:val="20"/>
                <w:szCs w:val="20"/>
              </w:rPr>
              <w:t>0.01։</w:t>
            </w:r>
          </w:p>
        </w:tc>
        <w:tc>
          <w:tcPr>
            <w:tcW w:w="802" w:type="dxa"/>
            <w:shd w:val="clear" w:color="auto" w:fill="FFFFFF"/>
          </w:tcPr>
          <w:p w14:paraId="6C93FFAE" w14:textId="77777777" w:rsidR="00B834A2" w:rsidRPr="00D16259" w:rsidRDefault="00B834A2" w:rsidP="00D16259">
            <w:pPr>
              <w:spacing w:after="120"/>
              <w:rPr>
                <w:sz w:val="20"/>
                <w:szCs w:val="20"/>
              </w:rPr>
            </w:pPr>
          </w:p>
        </w:tc>
        <w:tc>
          <w:tcPr>
            <w:tcW w:w="571" w:type="dxa"/>
            <w:shd w:val="clear" w:color="auto" w:fill="FFFFFF"/>
          </w:tcPr>
          <w:p w14:paraId="04C4AEED" w14:textId="77777777" w:rsidR="00B834A2" w:rsidRPr="00D16259" w:rsidRDefault="00B834A2" w:rsidP="00D16259">
            <w:pPr>
              <w:spacing w:after="120"/>
              <w:rPr>
                <w:sz w:val="20"/>
                <w:szCs w:val="20"/>
              </w:rPr>
            </w:pPr>
          </w:p>
        </w:tc>
        <w:tc>
          <w:tcPr>
            <w:tcW w:w="656" w:type="dxa"/>
            <w:shd w:val="clear" w:color="auto" w:fill="FFFFFF"/>
          </w:tcPr>
          <w:p w14:paraId="08775F31" w14:textId="77777777" w:rsidR="00B834A2" w:rsidRPr="00D16259" w:rsidRDefault="00B834A2" w:rsidP="00D16259">
            <w:pPr>
              <w:spacing w:after="120"/>
              <w:rPr>
                <w:sz w:val="20"/>
                <w:szCs w:val="20"/>
              </w:rPr>
            </w:pPr>
          </w:p>
        </w:tc>
      </w:tr>
    </w:tbl>
    <w:p w14:paraId="125CB14A" w14:textId="77777777" w:rsidR="00B834A2" w:rsidRDefault="00B834A2" w:rsidP="00B834A2">
      <w:pPr>
        <w:spacing w:after="160" w:line="360" w:lineRule="auto"/>
      </w:pPr>
    </w:p>
    <w:p w14:paraId="090A108B" w14:textId="77777777" w:rsidR="003813BA" w:rsidRPr="003813BA" w:rsidRDefault="003813BA" w:rsidP="002B2475">
      <w:pPr>
        <w:spacing w:after="160" w:line="360" w:lineRule="auto"/>
        <w:ind w:firstLine="567"/>
        <w:rPr>
          <w:sz w:val="32"/>
        </w:rPr>
      </w:pPr>
      <w:r w:rsidRPr="003813BA">
        <w:rPr>
          <w:rStyle w:val="Bodytext31Sylfaen9"/>
          <w:i w:val="0"/>
          <w:sz w:val="24"/>
          <w:szCs w:val="20"/>
        </w:rPr>
        <w:t>Աղյուսակ 3</w:t>
      </w:r>
      <w:r w:rsidRPr="003813BA">
        <w:rPr>
          <w:rStyle w:val="Bodytext31Sylfaen9"/>
          <w:sz w:val="24"/>
          <w:szCs w:val="20"/>
        </w:rPr>
        <w:t xml:space="preserve">. </w:t>
      </w:r>
      <w:r w:rsidRPr="003813BA">
        <w:rPr>
          <w:i/>
          <w:szCs w:val="20"/>
        </w:rPr>
        <w:t>Ֆիշերի չափորոշչի կրիտիկական արժեքները</w:t>
      </w:r>
    </w:p>
    <w:tbl>
      <w:tblPr>
        <w:tblOverlap w:val="never"/>
        <w:tblW w:w="9429" w:type="dxa"/>
        <w:tblLayout w:type="fixed"/>
        <w:tblCellMar>
          <w:left w:w="10" w:type="dxa"/>
          <w:right w:w="10" w:type="dxa"/>
        </w:tblCellMar>
        <w:tblLook w:val="0000" w:firstRow="0" w:lastRow="0" w:firstColumn="0" w:lastColumn="0" w:noHBand="0" w:noVBand="0"/>
      </w:tblPr>
      <w:tblGrid>
        <w:gridCol w:w="1566"/>
        <w:gridCol w:w="905"/>
        <w:gridCol w:w="942"/>
        <w:gridCol w:w="701"/>
        <w:gridCol w:w="677"/>
        <w:gridCol w:w="800"/>
        <w:gridCol w:w="694"/>
        <w:gridCol w:w="928"/>
        <w:gridCol w:w="800"/>
        <w:gridCol w:w="569"/>
        <w:gridCol w:w="847"/>
      </w:tblGrid>
      <w:tr w:rsidR="00A93008" w:rsidRPr="00D16259" w14:paraId="4A530DF2" w14:textId="77777777" w:rsidTr="00A93008">
        <w:tc>
          <w:tcPr>
            <w:tcW w:w="1570" w:type="dxa"/>
            <w:tcBorders>
              <w:top w:val="single" w:sz="4" w:space="0" w:color="auto"/>
              <w:bottom w:val="single" w:sz="4" w:space="0" w:color="auto"/>
              <w:right w:val="single" w:sz="4" w:space="0" w:color="auto"/>
            </w:tcBorders>
            <w:shd w:val="clear" w:color="auto" w:fill="FFFFFF"/>
            <w:vAlign w:val="bottom"/>
          </w:tcPr>
          <w:p w14:paraId="622961DC" w14:textId="77777777" w:rsidR="00A93008" w:rsidRPr="00D16259" w:rsidRDefault="00A93008" w:rsidP="00D16259">
            <w:pPr>
              <w:pStyle w:val="Bodytext20"/>
              <w:shd w:val="clear" w:color="auto" w:fill="auto"/>
              <w:spacing w:before="0" w:line="240" w:lineRule="auto"/>
              <w:rPr>
                <w:rFonts w:ascii="Sylfaen" w:hAnsi="Sylfaen" w:cs="Sylfaen"/>
                <w:sz w:val="20"/>
                <w:szCs w:val="20"/>
              </w:rPr>
            </w:pPr>
            <w:r w:rsidRPr="00D16259">
              <w:rPr>
                <w:rFonts w:ascii="Sylfaen" w:hAnsi="Sylfaen"/>
                <w:sz w:val="20"/>
                <w:szCs w:val="20"/>
              </w:rPr>
              <w:t>ƒ</w:t>
            </w:r>
            <w:r w:rsidRPr="00D16259">
              <w:rPr>
                <w:rFonts w:ascii="Sylfaen" w:hAnsi="Sylfaen"/>
                <w:sz w:val="20"/>
                <w:szCs w:val="20"/>
                <w:vertAlign w:val="subscript"/>
              </w:rPr>
              <w:t>2</w:t>
            </w:r>
            <w:r w:rsidRPr="00D16259">
              <w:rPr>
                <w:rFonts w:ascii="Sylfaen" w:hAnsi="Sylfaen"/>
                <w:sz w:val="20"/>
                <w:szCs w:val="20"/>
              </w:rPr>
              <w:t>՝ ավելի փոքր դիսպերսիայի համար ազատության աստիճանների թիվը</w:t>
            </w:r>
          </w:p>
        </w:tc>
        <w:tc>
          <w:tcPr>
            <w:tcW w:w="7859" w:type="dxa"/>
            <w:gridSpan w:val="10"/>
            <w:tcBorders>
              <w:top w:val="single" w:sz="4" w:space="0" w:color="auto"/>
              <w:left w:val="single" w:sz="4" w:space="0" w:color="auto"/>
              <w:bottom w:val="single" w:sz="4" w:space="0" w:color="auto"/>
            </w:tcBorders>
            <w:shd w:val="clear" w:color="auto" w:fill="FFFFFF"/>
            <w:vAlign w:val="center"/>
          </w:tcPr>
          <w:p w14:paraId="689C2C0E" w14:textId="77777777" w:rsidR="00A93008" w:rsidRPr="00D16259" w:rsidRDefault="00A93008" w:rsidP="00A93008">
            <w:pPr>
              <w:spacing w:after="120"/>
              <w:jc w:val="center"/>
              <w:rPr>
                <w:sz w:val="20"/>
                <w:szCs w:val="20"/>
              </w:rPr>
            </w:pPr>
            <w:r w:rsidRPr="00D16259">
              <w:rPr>
                <w:sz w:val="20"/>
                <w:szCs w:val="20"/>
              </w:rPr>
              <w:t>f</w:t>
            </w:r>
            <w:r w:rsidRPr="00D16259">
              <w:rPr>
                <w:sz w:val="20"/>
                <w:szCs w:val="20"/>
                <w:vertAlign w:val="subscript"/>
              </w:rPr>
              <w:t>1</w:t>
            </w:r>
            <w:r w:rsidRPr="00D16259">
              <w:rPr>
                <w:sz w:val="20"/>
                <w:szCs w:val="20"/>
              </w:rPr>
              <w:t>՝ ավելի մեծ դիսպերսիայի համար ազատության աստիճանների թիվը</w:t>
            </w:r>
          </w:p>
        </w:tc>
      </w:tr>
      <w:tr w:rsidR="00675541" w:rsidRPr="00A93008" w14:paraId="5905ED5F" w14:textId="77777777" w:rsidTr="00A93008">
        <w:tc>
          <w:tcPr>
            <w:tcW w:w="1570" w:type="dxa"/>
            <w:tcBorders>
              <w:top w:val="single" w:sz="4" w:space="0" w:color="auto"/>
              <w:right w:val="single" w:sz="4" w:space="0" w:color="auto"/>
            </w:tcBorders>
            <w:shd w:val="clear" w:color="auto" w:fill="FFFFFF"/>
          </w:tcPr>
          <w:p w14:paraId="6F4AD63A" w14:textId="77777777" w:rsidR="00675541" w:rsidRPr="00D16259" w:rsidRDefault="00675541" w:rsidP="00D16259">
            <w:pPr>
              <w:pStyle w:val="Bodytext20"/>
              <w:shd w:val="clear" w:color="auto" w:fill="auto"/>
              <w:spacing w:before="0" w:line="240" w:lineRule="auto"/>
              <w:ind w:right="280"/>
              <w:jc w:val="right"/>
              <w:rPr>
                <w:rFonts w:ascii="Sylfaen" w:hAnsi="Sylfaen" w:cs="Sylfaen"/>
                <w:sz w:val="20"/>
                <w:szCs w:val="20"/>
              </w:rPr>
            </w:pPr>
          </w:p>
        </w:tc>
        <w:tc>
          <w:tcPr>
            <w:tcW w:w="908" w:type="dxa"/>
            <w:tcBorders>
              <w:top w:val="single" w:sz="4" w:space="0" w:color="auto"/>
              <w:left w:val="single" w:sz="4" w:space="0" w:color="auto"/>
              <w:right w:val="single" w:sz="4" w:space="0" w:color="auto"/>
            </w:tcBorders>
            <w:shd w:val="clear" w:color="auto" w:fill="FFFFFF"/>
          </w:tcPr>
          <w:p w14:paraId="25095CB1" w14:textId="77777777" w:rsidR="00675541" w:rsidRPr="00D16259" w:rsidRDefault="00A93008" w:rsidP="00D16259">
            <w:pPr>
              <w:pStyle w:val="Bodytext20"/>
              <w:rPr>
                <w:rFonts w:ascii="Sylfaen" w:hAnsi="Sylfaen" w:cs="Sylfaen"/>
                <w:sz w:val="20"/>
                <w:szCs w:val="20"/>
              </w:rPr>
            </w:pPr>
            <w:r>
              <w:rPr>
                <w:rFonts w:ascii="Sylfaen" w:hAnsi="Sylfaen" w:cs="Sylfaen"/>
                <w:sz w:val="20"/>
                <w:szCs w:val="20"/>
              </w:rPr>
              <w:t>1</w:t>
            </w:r>
          </w:p>
        </w:tc>
        <w:tc>
          <w:tcPr>
            <w:tcW w:w="945" w:type="dxa"/>
            <w:tcBorders>
              <w:top w:val="single" w:sz="4" w:space="0" w:color="auto"/>
              <w:left w:val="single" w:sz="4" w:space="0" w:color="auto"/>
              <w:right w:val="single" w:sz="4" w:space="0" w:color="auto"/>
            </w:tcBorders>
            <w:shd w:val="clear" w:color="auto" w:fill="FFFFFF"/>
            <w:vAlign w:val="center"/>
          </w:tcPr>
          <w:p w14:paraId="7335C23F" w14:textId="77777777" w:rsidR="00675541" w:rsidRPr="00A93008" w:rsidRDefault="00675541" w:rsidP="00EE3019">
            <w:pPr>
              <w:pStyle w:val="Bodytext20"/>
              <w:shd w:val="clear" w:color="auto" w:fill="auto"/>
              <w:spacing w:before="0" w:line="240" w:lineRule="auto"/>
              <w:rPr>
                <w:rFonts w:ascii="Sylfaen" w:hAnsi="Sylfaen" w:cs="Sylfaen"/>
                <w:sz w:val="20"/>
                <w:szCs w:val="20"/>
              </w:rPr>
            </w:pPr>
            <w:r w:rsidRPr="00A93008">
              <w:rPr>
                <w:rStyle w:val="Bodytext31Sylfaen9"/>
                <w:i w:val="0"/>
                <w:sz w:val="20"/>
                <w:szCs w:val="20"/>
              </w:rPr>
              <w:t>2</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tcPr>
          <w:p w14:paraId="7069E3D2" w14:textId="77777777" w:rsidR="00675541" w:rsidRPr="00A93008" w:rsidRDefault="00675541" w:rsidP="00EA48B7">
            <w:pPr>
              <w:pStyle w:val="Bodytext20"/>
              <w:shd w:val="clear" w:color="auto" w:fill="auto"/>
              <w:spacing w:before="0" w:line="240" w:lineRule="auto"/>
              <w:ind w:left="240"/>
              <w:jc w:val="left"/>
              <w:rPr>
                <w:rFonts w:ascii="Sylfaen" w:hAnsi="Sylfaen" w:cs="Sylfaen"/>
                <w:sz w:val="20"/>
                <w:szCs w:val="20"/>
              </w:rPr>
            </w:pPr>
            <w:r w:rsidRPr="00A93008">
              <w:rPr>
                <w:rStyle w:val="Bodytext31Sylfaen9"/>
                <w:i w:val="0"/>
                <w:sz w:val="20"/>
                <w:szCs w:val="20"/>
              </w:rPr>
              <w:t xml:space="preserve">3 </w:t>
            </w:r>
          </w:p>
        </w:tc>
        <w:tc>
          <w:tcPr>
            <w:tcW w:w="651" w:type="dxa"/>
            <w:tcBorders>
              <w:top w:val="single" w:sz="4" w:space="0" w:color="auto"/>
              <w:bottom w:val="single" w:sz="4" w:space="0" w:color="auto"/>
              <w:right w:val="single" w:sz="4" w:space="0" w:color="auto"/>
            </w:tcBorders>
            <w:shd w:val="clear" w:color="auto" w:fill="FFFFFF"/>
            <w:vAlign w:val="center"/>
          </w:tcPr>
          <w:p w14:paraId="2955CFB9" w14:textId="77777777" w:rsidR="00675541" w:rsidRPr="00A93008" w:rsidRDefault="00675541" w:rsidP="005E38BE">
            <w:pPr>
              <w:pStyle w:val="Bodytext20"/>
              <w:shd w:val="clear" w:color="auto" w:fill="auto"/>
              <w:spacing w:before="0" w:line="240" w:lineRule="auto"/>
              <w:jc w:val="left"/>
              <w:rPr>
                <w:rFonts w:ascii="Sylfaen" w:hAnsi="Sylfaen" w:cs="Sylfaen"/>
                <w:sz w:val="20"/>
                <w:szCs w:val="20"/>
              </w:rPr>
            </w:pPr>
            <w:r w:rsidRPr="00A93008">
              <w:rPr>
                <w:rFonts w:ascii="Sylfaen" w:hAnsi="Sylfaen" w:cs="Sylfaen"/>
                <w:sz w:val="20"/>
                <w:szCs w:val="20"/>
              </w:rPr>
              <w:t>4</w:t>
            </w:r>
          </w:p>
        </w:tc>
        <w:tc>
          <w:tcPr>
            <w:tcW w:w="802" w:type="dxa"/>
            <w:tcBorders>
              <w:top w:val="single" w:sz="4" w:space="0" w:color="auto"/>
              <w:left w:val="single" w:sz="4" w:space="0" w:color="auto"/>
            </w:tcBorders>
            <w:shd w:val="clear" w:color="auto" w:fill="FFFFFF"/>
            <w:vAlign w:val="center"/>
          </w:tcPr>
          <w:p w14:paraId="5C0EBD5A" w14:textId="77777777" w:rsidR="00675541" w:rsidRPr="00A93008" w:rsidRDefault="00675541" w:rsidP="00D16259">
            <w:pPr>
              <w:pStyle w:val="Bodytext20"/>
              <w:shd w:val="clear" w:color="auto" w:fill="auto"/>
              <w:spacing w:before="0" w:line="240" w:lineRule="auto"/>
              <w:rPr>
                <w:rFonts w:ascii="Sylfaen" w:hAnsi="Sylfaen" w:cs="Sylfaen"/>
                <w:sz w:val="20"/>
                <w:szCs w:val="20"/>
              </w:rPr>
            </w:pPr>
            <w:r w:rsidRPr="00A93008">
              <w:rPr>
                <w:rStyle w:val="Bodytext31Sylfaen9"/>
                <w:i w:val="0"/>
                <w:sz w:val="20"/>
                <w:szCs w:val="20"/>
              </w:rPr>
              <w:t>5</w:t>
            </w:r>
          </w:p>
        </w:tc>
        <w:tc>
          <w:tcPr>
            <w:tcW w:w="696" w:type="dxa"/>
            <w:tcBorders>
              <w:top w:val="single" w:sz="4" w:space="0" w:color="auto"/>
            </w:tcBorders>
            <w:shd w:val="clear" w:color="auto" w:fill="FFFFFF"/>
            <w:vAlign w:val="center"/>
          </w:tcPr>
          <w:p w14:paraId="3C831B09" w14:textId="77777777" w:rsidR="00675541" w:rsidRPr="00A93008" w:rsidRDefault="00675541" w:rsidP="00D16259">
            <w:pPr>
              <w:pStyle w:val="Bodytext20"/>
              <w:shd w:val="clear" w:color="auto" w:fill="auto"/>
              <w:spacing w:before="0" w:line="240" w:lineRule="auto"/>
              <w:rPr>
                <w:rFonts w:ascii="Sylfaen" w:hAnsi="Sylfaen" w:cs="Sylfaen"/>
                <w:sz w:val="20"/>
                <w:szCs w:val="20"/>
              </w:rPr>
            </w:pPr>
            <w:r w:rsidRPr="00A93008">
              <w:rPr>
                <w:rStyle w:val="Bodytext31Sylfaen9"/>
                <w:i w:val="0"/>
                <w:sz w:val="20"/>
                <w:szCs w:val="20"/>
              </w:rPr>
              <w:t>6</w:t>
            </w:r>
          </w:p>
        </w:tc>
        <w:tc>
          <w:tcPr>
            <w:tcW w:w="931" w:type="dxa"/>
            <w:tcBorders>
              <w:top w:val="single" w:sz="4" w:space="0" w:color="auto"/>
            </w:tcBorders>
            <w:shd w:val="clear" w:color="auto" w:fill="FFFFFF"/>
            <w:vAlign w:val="center"/>
          </w:tcPr>
          <w:p w14:paraId="0CB0ECFB" w14:textId="77777777" w:rsidR="00675541" w:rsidRPr="00A93008" w:rsidRDefault="00675541" w:rsidP="00D16259">
            <w:pPr>
              <w:pStyle w:val="Bodytext20"/>
              <w:shd w:val="clear" w:color="auto" w:fill="auto"/>
              <w:spacing w:before="0" w:line="240" w:lineRule="auto"/>
              <w:rPr>
                <w:rFonts w:ascii="Sylfaen" w:hAnsi="Sylfaen" w:cs="Sylfaen"/>
                <w:sz w:val="20"/>
                <w:szCs w:val="20"/>
              </w:rPr>
            </w:pPr>
            <w:r w:rsidRPr="00A93008">
              <w:rPr>
                <w:rStyle w:val="Bodytext31Sylfaen9"/>
                <w:i w:val="0"/>
                <w:sz w:val="20"/>
                <w:szCs w:val="20"/>
              </w:rPr>
              <w:t>7</w:t>
            </w:r>
          </w:p>
        </w:tc>
        <w:tc>
          <w:tcPr>
            <w:tcW w:w="802" w:type="dxa"/>
            <w:tcBorders>
              <w:top w:val="single" w:sz="4" w:space="0" w:color="auto"/>
            </w:tcBorders>
            <w:shd w:val="clear" w:color="auto" w:fill="FFFFFF"/>
            <w:vAlign w:val="center"/>
          </w:tcPr>
          <w:p w14:paraId="7A80224F" w14:textId="77777777" w:rsidR="00675541" w:rsidRPr="00A93008" w:rsidRDefault="00675541" w:rsidP="00D16259">
            <w:pPr>
              <w:pStyle w:val="Bodytext20"/>
              <w:shd w:val="clear" w:color="auto" w:fill="auto"/>
              <w:spacing w:before="0" w:line="240" w:lineRule="auto"/>
              <w:ind w:left="280"/>
              <w:jc w:val="left"/>
              <w:rPr>
                <w:rFonts w:ascii="Sylfaen" w:hAnsi="Sylfaen" w:cs="Sylfaen"/>
                <w:sz w:val="20"/>
                <w:szCs w:val="20"/>
              </w:rPr>
            </w:pPr>
            <w:r w:rsidRPr="00A93008">
              <w:rPr>
                <w:rStyle w:val="Bodytext31Sylfaen9"/>
                <w:i w:val="0"/>
                <w:sz w:val="20"/>
                <w:szCs w:val="20"/>
              </w:rPr>
              <w:t>8</w:t>
            </w:r>
          </w:p>
        </w:tc>
        <w:tc>
          <w:tcPr>
            <w:tcW w:w="571" w:type="dxa"/>
            <w:tcBorders>
              <w:top w:val="single" w:sz="4" w:space="0" w:color="auto"/>
            </w:tcBorders>
            <w:shd w:val="clear" w:color="auto" w:fill="FFFFFF"/>
            <w:vAlign w:val="center"/>
          </w:tcPr>
          <w:p w14:paraId="20B13BB2" w14:textId="77777777" w:rsidR="00675541" w:rsidRPr="00A93008" w:rsidRDefault="00675541" w:rsidP="00D16259">
            <w:pPr>
              <w:pStyle w:val="Bodytext20"/>
              <w:shd w:val="clear" w:color="auto" w:fill="auto"/>
              <w:spacing w:before="0" w:line="240" w:lineRule="auto"/>
              <w:ind w:left="160"/>
              <w:jc w:val="left"/>
              <w:rPr>
                <w:rFonts w:ascii="Sylfaen" w:hAnsi="Sylfaen" w:cs="Sylfaen"/>
                <w:sz w:val="20"/>
                <w:szCs w:val="20"/>
              </w:rPr>
            </w:pPr>
            <w:r w:rsidRPr="00A93008">
              <w:rPr>
                <w:rStyle w:val="Bodytext31Sylfaen9"/>
                <w:i w:val="0"/>
                <w:sz w:val="20"/>
                <w:szCs w:val="20"/>
              </w:rPr>
              <w:t>20</w:t>
            </w:r>
          </w:p>
        </w:tc>
        <w:tc>
          <w:tcPr>
            <w:tcW w:w="850" w:type="dxa"/>
            <w:tcBorders>
              <w:top w:val="single" w:sz="4" w:space="0" w:color="auto"/>
            </w:tcBorders>
            <w:shd w:val="clear" w:color="auto" w:fill="FFFFFF"/>
            <w:vAlign w:val="center"/>
          </w:tcPr>
          <w:p w14:paraId="4A4BCD0B" w14:textId="77777777" w:rsidR="00675541" w:rsidRPr="00A93008" w:rsidRDefault="00675541" w:rsidP="00D16259">
            <w:pPr>
              <w:pStyle w:val="Bodytext20"/>
              <w:shd w:val="clear" w:color="auto" w:fill="auto"/>
              <w:spacing w:before="0" w:line="240" w:lineRule="auto"/>
              <w:rPr>
                <w:rFonts w:ascii="Sylfaen" w:hAnsi="Sylfaen" w:cs="Sylfaen"/>
                <w:sz w:val="20"/>
                <w:szCs w:val="20"/>
              </w:rPr>
            </w:pPr>
            <w:r w:rsidRPr="00A93008">
              <w:rPr>
                <w:rStyle w:val="Bodytext31Sylfaen9"/>
                <w:i w:val="0"/>
                <w:sz w:val="20"/>
                <w:szCs w:val="20"/>
              </w:rPr>
              <w:t>∞</w:t>
            </w:r>
          </w:p>
        </w:tc>
      </w:tr>
      <w:tr w:rsidR="003813BA" w:rsidRPr="00D16259" w14:paraId="74B96E17" w14:textId="77777777" w:rsidTr="00A93008">
        <w:tc>
          <w:tcPr>
            <w:tcW w:w="1570" w:type="dxa"/>
            <w:tcBorders>
              <w:top w:val="single" w:sz="4" w:space="0" w:color="auto"/>
            </w:tcBorders>
            <w:shd w:val="clear" w:color="auto" w:fill="FFFFFF"/>
            <w:vAlign w:val="bottom"/>
          </w:tcPr>
          <w:p w14:paraId="53702F3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908" w:type="dxa"/>
            <w:tcBorders>
              <w:top w:val="single" w:sz="4" w:space="0" w:color="auto"/>
            </w:tcBorders>
            <w:shd w:val="clear" w:color="auto" w:fill="FFFFFF"/>
            <w:vAlign w:val="bottom"/>
          </w:tcPr>
          <w:p w14:paraId="11CFA1A1"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10,13</w:t>
            </w:r>
          </w:p>
        </w:tc>
        <w:tc>
          <w:tcPr>
            <w:tcW w:w="945" w:type="dxa"/>
            <w:tcBorders>
              <w:top w:val="single" w:sz="4" w:space="0" w:color="auto"/>
            </w:tcBorders>
            <w:shd w:val="clear" w:color="auto" w:fill="FFFFFF"/>
            <w:vAlign w:val="bottom"/>
          </w:tcPr>
          <w:p w14:paraId="657858C1"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9,55</w:t>
            </w:r>
          </w:p>
        </w:tc>
        <w:tc>
          <w:tcPr>
            <w:tcW w:w="703" w:type="dxa"/>
            <w:tcBorders>
              <w:top w:val="single" w:sz="4" w:space="0" w:color="auto"/>
            </w:tcBorders>
            <w:shd w:val="clear" w:color="auto" w:fill="FFFFFF"/>
            <w:vAlign w:val="bottom"/>
          </w:tcPr>
          <w:p w14:paraId="54F1D7F4" w14:textId="77777777" w:rsidR="003813BA" w:rsidRPr="003813BA" w:rsidRDefault="00EA48B7" w:rsidP="003813BA">
            <w:pPr>
              <w:pStyle w:val="Bodytext20"/>
              <w:shd w:val="clear" w:color="auto" w:fill="auto"/>
              <w:spacing w:before="0" w:line="240" w:lineRule="auto"/>
              <w:rPr>
                <w:rFonts w:ascii="Sylfaen" w:hAnsi="Sylfaen" w:cs="Sylfaen"/>
                <w:b/>
                <w:sz w:val="20"/>
                <w:szCs w:val="20"/>
              </w:rPr>
            </w:pPr>
            <w:r>
              <w:rPr>
                <w:rFonts w:ascii="Sylfaen" w:hAnsi="Sylfaen" w:cs="Sylfaen"/>
                <w:b/>
                <w:sz w:val="20"/>
                <w:szCs w:val="20"/>
              </w:rPr>
              <w:t>9,28</w:t>
            </w:r>
          </w:p>
        </w:tc>
        <w:tc>
          <w:tcPr>
            <w:tcW w:w="651" w:type="dxa"/>
            <w:tcBorders>
              <w:top w:val="single" w:sz="4" w:space="0" w:color="auto"/>
            </w:tcBorders>
            <w:shd w:val="clear" w:color="auto" w:fill="FFFFFF"/>
            <w:vAlign w:val="bottom"/>
          </w:tcPr>
          <w:p w14:paraId="5CF67E6F" w14:textId="77777777" w:rsidR="003813BA" w:rsidRPr="003813BA" w:rsidRDefault="00675541" w:rsidP="003813BA">
            <w:pPr>
              <w:pStyle w:val="Bodytext20"/>
              <w:shd w:val="clear" w:color="auto" w:fill="auto"/>
              <w:spacing w:before="0" w:line="240" w:lineRule="auto"/>
              <w:rPr>
                <w:rFonts w:ascii="Sylfaen" w:hAnsi="Sylfaen" w:cs="Sylfaen"/>
                <w:b/>
                <w:sz w:val="20"/>
                <w:szCs w:val="20"/>
              </w:rPr>
            </w:pPr>
            <w:r>
              <w:rPr>
                <w:rFonts w:ascii="Sylfaen" w:hAnsi="Sylfaen" w:cs="Sylfaen"/>
                <w:b/>
                <w:sz w:val="20"/>
                <w:szCs w:val="20"/>
              </w:rPr>
              <w:t>9,12</w:t>
            </w:r>
          </w:p>
        </w:tc>
        <w:tc>
          <w:tcPr>
            <w:tcW w:w="802" w:type="dxa"/>
            <w:tcBorders>
              <w:top w:val="single" w:sz="4" w:space="0" w:color="auto"/>
            </w:tcBorders>
            <w:shd w:val="clear" w:color="auto" w:fill="FFFFFF"/>
            <w:vAlign w:val="bottom"/>
          </w:tcPr>
          <w:p w14:paraId="775D5D82"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9,01</w:t>
            </w:r>
          </w:p>
        </w:tc>
        <w:tc>
          <w:tcPr>
            <w:tcW w:w="696" w:type="dxa"/>
            <w:tcBorders>
              <w:top w:val="single" w:sz="4" w:space="0" w:color="auto"/>
            </w:tcBorders>
            <w:shd w:val="clear" w:color="auto" w:fill="FFFFFF"/>
            <w:vAlign w:val="bottom"/>
          </w:tcPr>
          <w:p w14:paraId="53D947BA"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8,94</w:t>
            </w:r>
          </w:p>
        </w:tc>
        <w:tc>
          <w:tcPr>
            <w:tcW w:w="931" w:type="dxa"/>
            <w:tcBorders>
              <w:top w:val="single" w:sz="4" w:space="0" w:color="auto"/>
            </w:tcBorders>
            <w:shd w:val="clear" w:color="auto" w:fill="FFFFFF"/>
            <w:vAlign w:val="bottom"/>
          </w:tcPr>
          <w:p w14:paraId="51A17C04"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8,88</w:t>
            </w:r>
          </w:p>
        </w:tc>
        <w:tc>
          <w:tcPr>
            <w:tcW w:w="802" w:type="dxa"/>
            <w:tcBorders>
              <w:top w:val="single" w:sz="4" w:space="0" w:color="auto"/>
            </w:tcBorders>
            <w:shd w:val="clear" w:color="auto" w:fill="FFFFFF"/>
            <w:vAlign w:val="bottom"/>
          </w:tcPr>
          <w:p w14:paraId="3B1F904D"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8,84</w:t>
            </w:r>
          </w:p>
        </w:tc>
        <w:tc>
          <w:tcPr>
            <w:tcW w:w="571" w:type="dxa"/>
            <w:tcBorders>
              <w:top w:val="single" w:sz="4" w:space="0" w:color="auto"/>
            </w:tcBorders>
            <w:shd w:val="clear" w:color="auto" w:fill="FFFFFF"/>
            <w:vAlign w:val="bottom"/>
          </w:tcPr>
          <w:p w14:paraId="44EFB490" w14:textId="77777777" w:rsidR="003813BA" w:rsidRPr="003813BA" w:rsidRDefault="003813BA" w:rsidP="003813BA">
            <w:pPr>
              <w:pStyle w:val="Bodytext20"/>
              <w:shd w:val="clear" w:color="auto" w:fill="auto"/>
              <w:spacing w:before="0" w:line="240" w:lineRule="auto"/>
              <w:rPr>
                <w:rFonts w:ascii="Sylfaen" w:hAnsi="Sylfaen" w:cs="Sylfaen"/>
                <w:b/>
                <w:sz w:val="20"/>
                <w:szCs w:val="20"/>
              </w:rPr>
            </w:pPr>
            <w:r w:rsidRPr="003813BA">
              <w:rPr>
                <w:rStyle w:val="Bodytext29pt"/>
                <w:b/>
                <w:sz w:val="20"/>
                <w:szCs w:val="20"/>
              </w:rPr>
              <w:t>8,66</w:t>
            </w:r>
          </w:p>
        </w:tc>
        <w:tc>
          <w:tcPr>
            <w:tcW w:w="850" w:type="dxa"/>
            <w:tcBorders>
              <w:top w:val="single" w:sz="4" w:space="0" w:color="auto"/>
            </w:tcBorders>
            <w:shd w:val="clear" w:color="auto" w:fill="FFFFFF"/>
            <w:vAlign w:val="bottom"/>
          </w:tcPr>
          <w:p w14:paraId="3AEEC2F1" w14:textId="77777777" w:rsidR="003813BA" w:rsidRPr="003813BA" w:rsidRDefault="003813BA" w:rsidP="003813BA">
            <w:pPr>
              <w:pStyle w:val="Bodytext20"/>
              <w:shd w:val="clear" w:color="auto" w:fill="auto"/>
              <w:spacing w:before="0" w:line="240" w:lineRule="auto"/>
              <w:ind w:right="260"/>
              <w:rPr>
                <w:rFonts w:ascii="Sylfaen" w:hAnsi="Sylfaen" w:cs="Sylfaen"/>
                <w:b/>
                <w:sz w:val="20"/>
                <w:szCs w:val="20"/>
              </w:rPr>
            </w:pPr>
            <w:r w:rsidRPr="003813BA">
              <w:rPr>
                <w:rStyle w:val="Bodytext29pt"/>
                <w:b/>
                <w:sz w:val="20"/>
                <w:szCs w:val="20"/>
              </w:rPr>
              <w:t>8,53</w:t>
            </w:r>
          </w:p>
        </w:tc>
      </w:tr>
      <w:tr w:rsidR="003813BA" w:rsidRPr="00D16259" w14:paraId="1382E07F" w14:textId="77777777" w:rsidTr="00A93008">
        <w:tc>
          <w:tcPr>
            <w:tcW w:w="1570" w:type="dxa"/>
            <w:shd w:val="clear" w:color="auto" w:fill="FFFFFF"/>
          </w:tcPr>
          <w:p w14:paraId="08C160B2" w14:textId="77777777" w:rsidR="003813BA" w:rsidRPr="00D16259" w:rsidRDefault="003813BA" w:rsidP="003813BA">
            <w:pPr>
              <w:spacing w:after="120"/>
              <w:jc w:val="center"/>
              <w:rPr>
                <w:sz w:val="20"/>
                <w:szCs w:val="20"/>
              </w:rPr>
            </w:pPr>
          </w:p>
        </w:tc>
        <w:tc>
          <w:tcPr>
            <w:tcW w:w="908" w:type="dxa"/>
            <w:shd w:val="clear" w:color="auto" w:fill="FFFFFF"/>
          </w:tcPr>
          <w:p w14:paraId="7DA7355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34,12</w:t>
            </w:r>
          </w:p>
        </w:tc>
        <w:tc>
          <w:tcPr>
            <w:tcW w:w="945" w:type="dxa"/>
            <w:shd w:val="clear" w:color="auto" w:fill="FFFFFF"/>
          </w:tcPr>
          <w:p w14:paraId="12B6896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30,81</w:t>
            </w:r>
          </w:p>
        </w:tc>
        <w:tc>
          <w:tcPr>
            <w:tcW w:w="703" w:type="dxa"/>
            <w:shd w:val="clear" w:color="auto" w:fill="FFFFFF"/>
          </w:tcPr>
          <w:p w14:paraId="7FC0ED08"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29,46</w:t>
            </w:r>
          </w:p>
        </w:tc>
        <w:tc>
          <w:tcPr>
            <w:tcW w:w="651" w:type="dxa"/>
            <w:shd w:val="clear" w:color="auto" w:fill="FFFFFF"/>
          </w:tcPr>
          <w:p w14:paraId="27523ED9"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28,71</w:t>
            </w:r>
          </w:p>
        </w:tc>
        <w:tc>
          <w:tcPr>
            <w:tcW w:w="802" w:type="dxa"/>
            <w:shd w:val="clear" w:color="auto" w:fill="FFFFFF"/>
          </w:tcPr>
          <w:p w14:paraId="1941D6E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28,24</w:t>
            </w:r>
          </w:p>
        </w:tc>
        <w:tc>
          <w:tcPr>
            <w:tcW w:w="696" w:type="dxa"/>
            <w:shd w:val="clear" w:color="auto" w:fill="FFFFFF"/>
          </w:tcPr>
          <w:p w14:paraId="0DDD83F5"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27,91</w:t>
            </w:r>
          </w:p>
        </w:tc>
        <w:tc>
          <w:tcPr>
            <w:tcW w:w="931" w:type="dxa"/>
            <w:shd w:val="clear" w:color="auto" w:fill="FFFFFF"/>
          </w:tcPr>
          <w:p w14:paraId="061BF80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27,67</w:t>
            </w:r>
          </w:p>
        </w:tc>
        <w:tc>
          <w:tcPr>
            <w:tcW w:w="802" w:type="dxa"/>
            <w:shd w:val="clear" w:color="auto" w:fill="FFFFFF"/>
          </w:tcPr>
          <w:p w14:paraId="7A076DA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27,49</w:t>
            </w:r>
          </w:p>
        </w:tc>
        <w:tc>
          <w:tcPr>
            <w:tcW w:w="571" w:type="dxa"/>
            <w:shd w:val="clear" w:color="auto" w:fill="FFFFFF"/>
          </w:tcPr>
          <w:p w14:paraId="0A06673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26,69</w:t>
            </w:r>
          </w:p>
        </w:tc>
        <w:tc>
          <w:tcPr>
            <w:tcW w:w="850" w:type="dxa"/>
            <w:shd w:val="clear" w:color="auto" w:fill="FFFFFF"/>
            <w:vAlign w:val="bottom"/>
          </w:tcPr>
          <w:p w14:paraId="32B2E188"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26,12</w:t>
            </w:r>
          </w:p>
        </w:tc>
      </w:tr>
      <w:tr w:rsidR="003813BA" w:rsidRPr="00D16259" w14:paraId="5BFA1D6F" w14:textId="77777777" w:rsidTr="00A93008">
        <w:tc>
          <w:tcPr>
            <w:tcW w:w="1570" w:type="dxa"/>
            <w:shd w:val="clear" w:color="auto" w:fill="FFFFFF"/>
            <w:vAlign w:val="bottom"/>
          </w:tcPr>
          <w:p w14:paraId="1EEB238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Fonts w:ascii="Sylfaen" w:hAnsi="Sylfaen"/>
                <w:sz w:val="20"/>
                <w:szCs w:val="20"/>
              </w:rPr>
              <w:t>6</w:t>
            </w:r>
          </w:p>
        </w:tc>
        <w:tc>
          <w:tcPr>
            <w:tcW w:w="908" w:type="dxa"/>
            <w:shd w:val="clear" w:color="auto" w:fill="FFFFFF"/>
            <w:vAlign w:val="bottom"/>
          </w:tcPr>
          <w:p w14:paraId="3DBFDA0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5,99</w:t>
            </w:r>
          </w:p>
        </w:tc>
        <w:tc>
          <w:tcPr>
            <w:tcW w:w="945" w:type="dxa"/>
            <w:shd w:val="clear" w:color="auto" w:fill="FFFFFF"/>
            <w:vAlign w:val="bottom"/>
          </w:tcPr>
          <w:p w14:paraId="041AFC8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5,14</w:t>
            </w:r>
          </w:p>
        </w:tc>
        <w:tc>
          <w:tcPr>
            <w:tcW w:w="703" w:type="dxa"/>
            <w:shd w:val="clear" w:color="auto" w:fill="FFFFFF"/>
            <w:vAlign w:val="bottom"/>
          </w:tcPr>
          <w:p w14:paraId="1A57A32A"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4,76</w:t>
            </w:r>
          </w:p>
        </w:tc>
        <w:tc>
          <w:tcPr>
            <w:tcW w:w="651" w:type="dxa"/>
            <w:shd w:val="clear" w:color="auto" w:fill="FFFFFF"/>
            <w:vAlign w:val="bottom"/>
          </w:tcPr>
          <w:p w14:paraId="2F1B31FD"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4,53</w:t>
            </w:r>
          </w:p>
        </w:tc>
        <w:tc>
          <w:tcPr>
            <w:tcW w:w="802" w:type="dxa"/>
            <w:shd w:val="clear" w:color="auto" w:fill="FFFFFF"/>
            <w:vAlign w:val="bottom"/>
          </w:tcPr>
          <w:p w14:paraId="4159856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4,39</w:t>
            </w:r>
          </w:p>
        </w:tc>
        <w:tc>
          <w:tcPr>
            <w:tcW w:w="696" w:type="dxa"/>
            <w:shd w:val="clear" w:color="auto" w:fill="FFFFFF"/>
            <w:vAlign w:val="bottom"/>
          </w:tcPr>
          <w:p w14:paraId="2260DAF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4,28</w:t>
            </w:r>
          </w:p>
        </w:tc>
        <w:tc>
          <w:tcPr>
            <w:tcW w:w="931" w:type="dxa"/>
            <w:shd w:val="clear" w:color="auto" w:fill="FFFFFF"/>
            <w:vAlign w:val="bottom"/>
          </w:tcPr>
          <w:p w14:paraId="78BC7E2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4,21</w:t>
            </w:r>
          </w:p>
        </w:tc>
        <w:tc>
          <w:tcPr>
            <w:tcW w:w="802" w:type="dxa"/>
            <w:shd w:val="clear" w:color="auto" w:fill="FFFFFF"/>
            <w:vAlign w:val="bottom"/>
          </w:tcPr>
          <w:p w14:paraId="723FC0B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4,15</w:t>
            </w:r>
          </w:p>
        </w:tc>
        <w:tc>
          <w:tcPr>
            <w:tcW w:w="571" w:type="dxa"/>
            <w:shd w:val="clear" w:color="auto" w:fill="FFFFFF"/>
            <w:vAlign w:val="bottom"/>
          </w:tcPr>
          <w:p w14:paraId="12D1B2C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3,87</w:t>
            </w:r>
          </w:p>
        </w:tc>
        <w:tc>
          <w:tcPr>
            <w:tcW w:w="850" w:type="dxa"/>
            <w:shd w:val="clear" w:color="auto" w:fill="FFFFFF"/>
            <w:vAlign w:val="bottom"/>
          </w:tcPr>
          <w:p w14:paraId="11C55FD5"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3,67</w:t>
            </w:r>
          </w:p>
        </w:tc>
      </w:tr>
      <w:tr w:rsidR="003813BA" w:rsidRPr="00D16259" w14:paraId="0B98C99C" w14:textId="77777777" w:rsidTr="00A93008">
        <w:tc>
          <w:tcPr>
            <w:tcW w:w="1570" w:type="dxa"/>
            <w:shd w:val="clear" w:color="auto" w:fill="FFFFFF"/>
          </w:tcPr>
          <w:p w14:paraId="254807DD" w14:textId="77777777" w:rsidR="003813BA" w:rsidRPr="00D16259" w:rsidRDefault="003813BA" w:rsidP="003813BA">
            <w:pPr>
              <w:spacing w:after="120"/>
              <w:jc w:val="center"/>
              <w:rPr>
                <w:sz w:val="20"/>
                <w:szCs w:val="20"/>
              </w:rPr>
            </w:pPr>
          </w:p>
        </w:tc>
        <w:tc>
          <w:tcPr>
            <w:tcW w:w="908" w:type="dxa"/>
            <w:shd w:val="clear" w:color="auto" w:fill="FFFFFF"/>
          </w:tcPr>
          <w:p w14:paraId="5762694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13,74</w:t>
            </w:r>
          </w:p>
        </w:tc>
        <w:tc>
          <w:tcPr>
            <w:tcW w:w="945" w:type="dxa"/>
            <w:shd w:val="clear" w:color="auto" w:fill="FFFFFF"/>
          </w:tcPr>
          <w:p w14:paraId="756D80E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10,92</w:t>
            </w:r>
          </w:p>
        </w:tc>
        <w:tc>
          <w:tcPr>
            <w:tcW w:w="675" w:type="dxa"/>
            <w:shd w:val="clear" w:color="auto" w:fill="FFFFFF"/>
          </w:tcPr>
          <w:p w14:paraId="04F76CB9"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9,78</w:t>
            </w:r>
          </w:p>
        </w:tc>
        <w:tc>
          <w:tcPr>
            <w:tcW w:w="679" w:type="dxa"/>
            <w:shd w:val="clear" w:color="auto" w:fill="FFFFFF"/>
          </w:tcPr>
          <w:p w14:paraId="2312B546"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9,15</w:t>
            </w:r>
          </w:p>
        </w:tc>
        <w:tc>
          <w:tcPr>
            <w:tcW w:w="802" w:type="dxa"/>
            <w:shd w:val="clear" w:color="auto" w:fill="FFFFFF"/>
          </w:tcPr>
          <w:p w14:paraId="1FC0FD8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8,75</w:t>
            </w:r>
          </w:p>
        </w:tc>
        <w:tc>
          <w:tcPr>
            <w:tcW w:w="696" w:type="dxa"/>
            <w:shd w:val="clear" w:color="auto" w:fill="FFFFFF"/>
          </w:tcPr>
          <w:p w14:paraId="49CAAEE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8,47</w:t>
            </w:r>
          </w:p>
        </w:tc>
        <w:tc>
          <w:tcPr>
            <w:tcW w:w="931" w:type="dxa"/>
            <w:shd w:val="clear" w:color="auto" w:fill="FFFFFF"/>
            <w:vAlign w:val="bottom"/>
          </w:tcPr>
          <w:p w14:paraId="7FA4E11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8,26</w:t>
            </w:r>
          </w:p>
        </w:tc>
        <w:tc>
          <w:tcPr>
            <w:tcW w:w="802" w:type="dxa"/>
            <w:shd w:val="clear" w:color="auto" w:fill="FFFFFF"/>
            <w:vAlign w:val="bottom"/>
          </w:tcPr>
          <w:p w14:paraId="735BC48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8,10</w:t>
            </w:r>
          </w:p>
        </w:tc>
        <w:tc>
          <w:tcPr>
            <w:tcW w:w="571" w:type="dxa"/>
            <w:shd w:val="clear" w:color="auto" w:fill="FFFFFF"/>
          </w:tcPr>
          <w:p w14:paraId="22908B6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7,39</w:t>
            </w:r>
          </w:p>
        </w:tc>
        <w:tc>
          <w:tcPr>
            <w:tcW w:w="850" w:type="dxa"/>
            <w:shd w:val="clear" w:color="auto" w:fill="FFFFFF"/>
            <w:vAlign w:val="bottom"/>
          </w:tcPr>
          <w:p w14:paraId="1E3FAB3B"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6,88</w:t>
            </w:r>
          </w:p>
        </w:tc>
      </w:tr>
      <w:tr w:rsidR="003813BA" w:rsidRPr="00D16259" w14:paraId="391D477A" w14:textId="77777777" w:rsidTr="00A93008">
        <w:tc>
          <w:tcPr>
            <w:tcW w:w="1570" w:type="dxa"/>
            <w:shd w:val="clear" w:color="auto" w:fill="FFFFFF"/>
            <w:vAlign w:val="bottom"/>
          </w:tcPr>
          <w:p w14:paraId="7F7B0A9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w:t>
            </w:r>
          </w:p>
        </w:tc>
        <w:tc>
          <w:tcPr>
            <w:tcW w:w="908" w:type="dxa"/>
            <w:shd w:val="clear" w:color="auto" w:fill="FFFFFF"/>
            <w:vAlign w:val="bottom"/>
          </w:tcPr>
          <w:p w14:paraId="2E52F19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5,12</w:t>
            </w:r>
          </w:p>
        </w:tc>
        <w:tc>
          <w:tcPr>
            <w:tcW w:w="945" w:type="dxa"/>
            <w:shd w:val="clear" w:color="auto" w:fill="FFFFFF"/>
            <w:vAlign w:val="bottom"/>
          </w:tcPr>
          <w:p w14:paraId="3F0A1AE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4,26</w:t>
            </w:r>
          </w:p>
        </w:tc>
        <w:tc>
          <w:tcPr>
            <w:tcW w:w="675" w:type="dxa"/>
            <w:shd w:val="clear" w:color="auto" w:fill="FFFFFF"/>
            <w:vAlign w:val="bottom"/>
          </w:tcPr>
          <w:p w14:paraId="01B7A203"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3,86</w:t>
            </w:r>
          </w:p>
        </w:tc>
        <w:tc>
          <w:tcPr>
            <w:tcW w:w="679" w:type="dxa"/>
            <w:shd w:val="clear" w:color="auto" w:fill="FFFFFF"/>
            <w:vAlign w:val="bottom"/>
          </w:tcPr>
          <w:p w14:paraId="7CCEEB22"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3,63</w:t>
            </w:r>
          </w:p>
        </w:tc>
        <w:tc>
          <w:tcPr>
            <w:tcW w:w="802" w:type="dxa"/>
            <w:shd w:val="clear" w:color="auto" w:fill="FFFFFF"/>
            <w:vAlign w:val="bottom"/>
          </w:tcPr>
          <w:p w14:paraId="291F715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3,48</w:t>
            </w:r>
          </w:p>
        </w:tc>
        <w:tc>
          <w:tcPr>
            <w:tcW w:w="696" w:type="dxa"/>
            <w:shd w:val="clear" w:color="auto" w:fill="FFFFFF"/>
            <w:vAlign w:val="bottom"/>
          </w:tcPr>
          <w:p w14:paraId="364BD61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3,87</w:t>
            </w:r>
          </w:p>
        </w:tc>
        <w:tc>
          <w:tcPr>
            <w:tcW w:w="931" w:type="dxa"/>
            <w:shd w:val="clear" w:color="auto" w:fill="FFFFFF"/>
            <w:vAlign w:val="bottom"/>
          </w:tcPr>
          <w:p w14:paraId="1660449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3,29</w:t>
            </w:r>
          </w:p>
        </w:tc>
        <w:tc>
          <w:tcPr>
            <w:tcW w:w="802" w:type="dxa"/>
            <w:shd w:val="clear" w:color="auto" w:fill="FFFFFF"/>
            <w:vAlign w:val="bottom"/>
          </w:tcPr>
          <w:p w14:paraId="0634E6D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3,23</w:t>
            </w:r>
          </w:p>
        </w:tc>
        <w:tc>
          <w:tcPr>
            <w:tcW w:w="571" w:type="dxa"/>
            <w:shd w:val="clear" w:color="auto" w:fill="FFFFFF"/>
            <w:vAlign w:val="bottom"/>
          </w:tcPr>
          <w:p w14:paraId="3689B67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2,93</w:t>
            </w:r>
          </w:p>
        </w:tc>
        <w:tc>
          <w:tcPr>
            <w:tcW w:w="850" w:type="dxa"/>
            <w:shd w:val="clear" w:color="auto" w:fill="FFFFFF"/>
            <w:vAlign w:val="bottom"/>
          </w:tcPr>
          <w:p w14:paraId="5C2957E1"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2,71</w:t>
            </w:r>
          </w:p>
        </w:tc>
      </w:tr>
      <w:tr w:rsidR="003813BA" w:rsidRPr="00D16259" w14:paraId="0379A4C9" w14:textId="77777777" w:rsidTr="00A93008">
        <w:tc>
          <w:tcPr>
            <w:tcW w:w="1570" w:type="dxa"/>
            <w:shd w:val="clear" w:color="auto" w:fill="FFFFFF"/>
          </w:tcPr>
          <w:p w14:paraId="334BED03" w14:textId="77777777" w:rsidR="003813BA" w:rsidRPr="00D16259" w:rsidRDefault="003813BA" w:rsidP="003813BA">
            <w:pPr>
              <w:spacing w:after="120"/>
              <w:jc w:val="center"/>
              <w:rPr>
                <w:sz w:val="20"/>
                <w:szCs w:val="20"/>
              </w:rPr>
            </w:pPr>
          </w:p>
        </w:tc>
        <w:tc>
          <w:tcPr>
            <w:tcW w:w="908" w:type="dxa"/>
            <w:shd w:val="clear" w:color="auto" w:fill="FFFFFF"/>
          </w:tcPr>
          <w:p w14:paraId="02D04FD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10,56</w:t>
            </w:r>
          </w:p>
        </w:tc>
        <w:tc>
          <w:tcPr>
            <w:tcW w:w="945" w:type="dxa"/>
            <w:shd w:val="clear" w:color="auto" w:fill="FFFFFF"/>
            <w:vAlign w:val="bottom"/>
          </w:tcPr>
          <w:p w14:paraId="0C93334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8,02</w:t>
            </w:r>
          </w:p>
        </w:tc>
        <w:tc>
          <w:tcPr>
            <w:tcW w:w="675" w:type="dxa"/>
            <w:shd w:val="clear" w:color="auto" w:fill="FFFFFF"/>
          </w:tcPr>
          <w:p w14:paraId="06234500"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6,99</w:t>
            </w:r>
          </w:p>
        </w:tc>
        <w:tc>
          <w:tcPr>
            <w:tcW w:w="679" w:type="dxa"/>
            <w:shd w:val="clear" w:color="auto" w:fill="FFFFFF"/>
          </w:tcPr>
          <w:p w14:paraId="121AD46E"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6,42</w:t>
            </w:r>
          </w:p>
        </w:tc>
        <w:tc>
          <w:tcPr>
            <w:tcW w:w="802" w:type="dxa"/>
            <w:shd w:val="clear" w:color="auto" w:fill="FFFFFF"/>
            <w:vAlign w:val="bottom"/>
          </w:tcPr>
          <w:p w14:paraId="2A54367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6,06</w:t>
            </w:r>
          </w:p>
        </w:tc>
        <w:tc>
          <w:tcPr>
            <w:tcW w:w="696" w:type="dxa"/>
            <w:shd w:val="clear" w:color="auto" w:fill="FFFFFF"/>
          </w:tcPr>
          <w:p w14:paraId="7BBA3025"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5,80</w:t>
            </w:r>
          </w:p>
        </w:tc>
        <w:tc>
          <w:tcPr>
            <w:tcW w:w="931" w:type="dxa"/>
            <w:shd w:val="clear" w:color="auto" w:fill="FFFFFF"/>
          </w:tcPr>
          <w:p w14:paraId="30D5EF2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5,62</w:t>
            </w:r>
          </w:p>
        </w:tc>
        <w:tc>
          <w:tcPr>
            <w:tcW w:w="802" w:type="dxa"/>
            <w:shd w:val="clear" w:color="auto" w:fill="FFFFFF"/>
          </w:tcPr>
          <w:p w14:paraId="1A43B03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5,47</w:t>
            </w:r>
          </w:p>
        </w:tc>
        <w:tc>
          <w:tcPr>
            <w:tcW w:w="571" w:type="dxa"/>
            <w:shd w:val="clear" w:color="auto" w:fill="FFFFFF"/>
          </w:tcPr>
          <w:p w14:paraId="31CBDEA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4,80</w:t>
            </w:r>
          </w:p>
        </w:tc>
        <w:tc>
          <w:tcPr>
            <w:tcW w:w="850" w:type="dxa"/>
            <w:shd w:val="clear" w:color="auto" w:fill="FFFFFF"/>
          </w:tcPr>
          <w:p w14:paraId="752ABBF5"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4,31</w:t>
            </w:r>
          </w:p>
        </w:tc>
      </w:tr>
      <w:tr w:rsidR="003813BA" w:rsidRPr="00D16259" w14:paraId="5A7F67BA" w14:textId="77777777" w:rsidTr="00A93008">
        <w:tc>
          <w:tcPr>
            <w:tcW w:w="1570" w:type="dxa"/>
            <w:shd w:val="clear" w:color="auto" w:fill="FFFFFF"/>
            <w:vAlign w:val="bottom"/>
          </w:tcPr>
          <w:p w14:paraId="6CB3736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c>
          <w:tcPr>
            <w:tcW w:w="908" w:type="dxa"/>
            <w:shd w:val="clear" w:color="auto" w:fill="FFFFFF"/>
            <w:vAlign w:val="bottom"/>
          </w:tcPr>
          <w:p w14:paraId="3B5E519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4,75</w:t>
            </w:r>
          </w:p>
        </w:tc>
        <w:tc>
          <w:tcPr>
            <w:tcW w:w="945" w:type="dxa"/>
            <w:shd w:val="clear" w:color="auto" w:fill="FFFFFF"/>
            <w:vAlign w:val="bottom"/>
          </w:tcPr>
          <w:p w14:paraId="2C6BEEE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3,89</w:t>
            </w:r>
          </w:p>
        </w:tc>
        <w:tc>
          <w:tcPr>
            <w:tcW w:w="675" w:type="dxa"/>
            <w:shd w:val="clear" w:color="auto" w:fill="FFFFFF"/>
            <w:vAlign w:val="bottom"/>
          </w:tcPr>
          <w:p w14:paraId="43BA16B3"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3,49</w:t>
            </w:r>
          </w:p>
        </w:tc>
        <w:tc>
          <w:tcPr>
            <w:tcW w:w="679" w:type="dxa"/>
            <w:shd w:val="clear" w:color="auto" w:fill="FFFFFF"/>
            <w:vAlign w:val="bottom"/>
          </w:tcPr>
          <w:p w14:paraId="55059CA1"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3,26</w:t>
            </w:r>
          </w:p>
        </w:tc>
        <w:tc>
          <w:tcPr>
            <w:tcW w:w="802" w:type="dxa"/>
            <w:shd w:val="clear" w:color="auto" w:fill="FFFFFF"/>
            <w:vAlign w:val="bottom"/>
          </w:tcPr>
          <w:p w14:paraId="5356B0E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3,11</w:t>
            </w:r>
          </w:p>
        </w:tc>
        <w:tc>
          <w:tcPr>
            <w:tcW w:w="696" w:type="dxa"/>
            <w:shd w:val="clear" w:color="auto" w:fill="FFFFFF"/>
            <w:vAlign w:val="bottom"/>
          </w:tcPr>
          <w:p w14:paraId="3FCD03F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3,00</w:t>
            </w:r>
          </w:p>
        </w:tc>
        <w:tc>
          <w:tcPr>
            <w:tcW w:w="931" w:type="dxa"/>
            <w:shd w:val="clear" w:color="auto" w:fill="FFFFFF"/>
            <w:vAlign w:val="bottom"/>
          </w:tcPr>
          <w:p w14:paraId="371D7B6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2,91</w:t>
            </w:r>
          </w:p>
        </w:tc>
        <w:tc>
          <w:tcPr>
            <w:tcW w:w="802" w:type="dxa"/>
            <w:shd w:val="clear" w:color="auto" w:fill="FFFFFF"/>
            <w:vAlign w:val="bottom"/>
          </w:tcPr>
          <w:p w14:paraId="011447D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2,85</w:t>
            </w:r>
          </w:p>
        </w:tc>
        <w:tc>
          <w:tcPr>
            <w:tcW w:w="571" w:type="dxa"/>
            <w:shd w:val="clear" w:color="auto" w:fill="FFFFFF"/>
            <w:vAlign w:val="bottom"/>
          </w:tcPr>
          <w:p w14:paraId="0214844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2,54</w:t>
            </w:r>
          </w:p>
        </w:tc>
        <w:tc>
          <w:tcPr>
            <w:tcW w:w="850" w:type="dxa"/>
            <w:shd w:val="clear" w:color="auto" w:fill="FFFFFF"/>
            <w:vAlign w:val="bottom"/>
          </w:tcPr>
          <w:p w14:paraId="68247A94"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2,30</w:t>
            </w:r>
          </w:p>
        </w:tc>
      </w:tr>
      <w:tr w:rsidR="003813BA" w:rsidRPr="00D16259" w14:paraId="7E5B7FD5" w14:textId="77777777" w:rsidTr="00A93008">
        <w:tc>
          <w:tcPr>
            <w:tcW w:w="1570" w:type="dxa"/>
            <w:shd w:val="clear" w:color="auto" w:fill="FFFFFF"/>
          </w:tcPr>
          <w:p w14:paraId="64BB21A3" w14:textId="77777777" w:rsidR="003813BA" w:rsidRPr="00D16259" w:rsidRDefault="003813BA" w:rsidP="003813BA">
            <w:pPr>
              <w:spacing w:after="120"/>
              <w:jc w:val="center"/>
              <w:rPr>
                <w:sz w:val="20"/>
                <w:szCs w:val="20"/>
              </w:rPr>
            </w:pPr>
          </w:p>
        </w:tc>
        <w:tc>
          <w:tcPr>
            <w:tcW w:w="908" w:type="dxa"/>
            <w:shd w:val="clear" w:color="auto" w:fill="FFFFFF"/>
          </w:tcPr>
          <w:p w14:paraId="7A06469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9,33</w:t>
            </w:r>
          </w:p>
        </w:tc>
        <w:tc>
          <w:tcPr>
            <w:tcW w:w="945" w:type="dxa"/>
            <w:shd w:val="clear" w:color="auto" w:fill="FFFFFF"/>
          </w:tcPr>
          <w:p w14:paraId="5DCF5A5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6,93</w:t>
            </w:r>
          </w:p>
        </w:tc>
        <w:tc>
          <w:tcPr>
            <w:tcW w:w="675" w:type="dxa"/>
            <w:shd w:val="clear" w:color="auto" w:fill="FFFFFF"/>
          </w:tcPr>
          <w:p w14:paraId="76CA6225"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5,59</w:t>
            </w:r>
          </w:p>
        </w:tc>
        <w:tc>
          <w:tcPr>
            <w:tcW w:w="679" w:type="dxa"/>
            <w:shd w:val="clear" w:color="auto" w:fill="FFFFFF"/>
          </w:tcPr>
          <w:p w14:paraId="4D2426C4"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5,41</w:t>
            </w:r>
          </w:p>
        </w:tc>
        <w:tc>
          <w:tcPr>
            <w:tcW w:w="802" w:type="dxa"/>
            <w:shd w:val="clear" w:color="auto" w:fill="FFFFFF"/>
          </w:tcPr>
          <w:p w14:paraId="7EF01AD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5,06</w:t>
            </w:r>
          </w:p>
        </w:tc>
        <w:tc>
          <w:tcPr>
            <w:tcW w:w="696" w:type="dxa"/>
            <w:shd w:val="clear" w:color="auto" w:fill="FFFFFF"/>
          </w:tcPr>
          <w:p w14:paraId="5C41E08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4,82</w:t>
            </w:r>
          </w:p>
        </w:tc>
        <w:tc>
          <w:tcPr>
            <w:tcW w:w="931" w:type="dxa"/>
            <w:shd w:val="clear" w:color="auto" w:fill="FFFFFF"/>
          </w:tcPr>
          <w:p w14:paraId="664F66C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4,64</w:t>
            </w:r>
          </w:p>
        </w:tc>
        <w:tc>
          <w:tcPr>
            <w:tcW w:w="802" w:type="dxa"/>
            <w:shd w:val="clear" w:color="auto" w:fill="FFFFFF"/>
          </w:tcPr>
          <w:p w14:paraId="0F276C1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4,50</w:t>
            </w:r>
          </w:p>
        </w:tc>
        <w:tc>
          <w:tcPr>
            <w:tcW w:w="571" w:type="dxa"/>
            <w:shd w:val="clear" w:color="auto" w:fill="FFFFFF"/>
          </w:tcPr>
          <w:p w14:paraId="766A68D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3,86</w:t>
            </w:r>
          </w:p>
        </w:tc>
        <w:tc>
          <w:tcPr>
            <w:tcW w:w="850" w:type="dxa"/>
            <w:shd w:val="clear" w:color="auto" w:fill="FFFFFF"/>
          </w:tcPr>
          <w:p w14:paraId="6B462DE4"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3,36</w:t>
            </w:r>
          </w:p>
        </w:tc>
      </w:tr>
      <w:tr w:rsidR="003813BA" w:rsidRPr="00D16259" w14:paraId="37A6C4B5" w14:textId="77777777" w:rsidTr="00A93008">
        <w:tc>
          <w:tcPr>
            <w:tcW w:w="1570" w:type="dxa"/>
            <w:shd w:val="clear" w:color="auto" w:fill="FFFFFF"/>
            <w:vAlign w:val="bottom"/>
          </w:tcPr>
          <w:p w14:paraId="1743FFE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w:t>
            </w:r>
          </w:p>
        </w:tc>
        <w:tc>
          <w:tcPr>
            <w:tcW w:w="908" w:type="dxa"/>
            <w:shd w:val="clear" w:color="auto" w:fill="FFFFFF"/>
            <w:vAlign w:val="bottom"/>
          </w:tcPr>
          <w:p w14:paraId="26BCD53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4,54</w:t>
            </w:r>
          </w:p>
        </w:tc>
        <w:tc>
          <w:tcPr>
            <w:tcW w:w="945" w:type="dxa"/>
            <w:shd w:val="clear" w:color="auto" w:fill="FFFFFF"/>
            <w:vAlign w:val="bottom"/>
          </w:tcPr>
          <w:p w14:paraId="354CCE2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3,68</w:t>
            </w:r>
          </w:p>
        </w:tc>
        <w:tc>
          <w:tcPr>
            <w:tcW w:w="675" w:type="dxa"/>
            <w:shd w:val="clear" w:color="auto" w:fill="FFFFFF"/>
            <w:vAlign w:val="bottom"/>
          </w:tcPr>
          <w:p w14:paraId="5E8DEEA8"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3,29</w:t>
            </w:r>
          </w:p>
        </w:tc>
        <w:tc>
          <w:tcPr>
            <w:tcW w:w="679" w:type="dxa"/>
            <w:shd w:val="clear" w:color="auto" w:fill="FFFFFF"/>
            <w:vAlign w:val="bottom"/>
          </w:tcPr>
          <w:p w14:paraId="0609953A"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3,06</w:t>
            </w:r>
          </w:p>
        </w:tc>
        <w:tc>
          <w:tcPr>
            <w:tcW w:w="802" w:type="dxa"/>
            <w:shd w:val="clear" w:color="auto" w:fill="FFFFFF"/>
            <w:vAlign w:val="bottom"/>
          </w:tcPr>
          <w:p w14:paraId="38AE7EA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2,90</w:t>
            </w:r>
          </w:p>
        </w:tc>
        <w:tc>
          <w:tcPr>
            <w:tcW w:w="696" w:type="dxa"/>
            <w:shd w:val="clear" w:color="auto" w:fill="FFFFFF"/>
            <w:vAlign w:val="bottom"/>
          </w:tcPr>
          <w:p w14:paraId="193DA96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2,79</w:t>
            </w:r>
          </w:p>
        </w:tc>
        <w:tc>
          <w:tcPr>
            <w:tcW w:w="931" w:type="dxa"/>
            <w:shd w:val="clear" w:color="auto" w:fill="FFFFFF"/>
            <w:vAlign w:val="bottom"/>
          </w:tcPr>
          <w:p w14:paraId="6D99B5D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2,71</w:t>
            </w:r>
          </w:p>
        </w:tc>
        <w:tc>
          <w:tcPr>
            <w:tcW w:w="802" w:type="dxa"/>
            <w:shd w:val="clear" w:color="auto" w:fill="FFFFFF"/>
            <w:vAlign w:val="bottom"/>
          </w:tcPr>
          <w:p w14:paraId="3CE264AE"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2,64</w:t>
            </w:r>
          </w:p>
        </w:tc>
        <w:tc>
          <w:tcPr>
            <w:tcW w:w="571" w:type="dxa"/>
            <w:shd w:val="clear" w:color="auto" w:fill="FFFFFF"/>
            <w:vAlign w:val="bottom"/>
          </w:tcPr>
          <w:p w14:paraId="543D440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2,33</w:t>
            </w:r>
          </w:p>
        </w:tc>
        <w:tc>
          <w:tcPr>
            <w:tcW w:w="850" w:type="dxa"/>
            <w:shd w:val="clear" w:color="auto" w:fill="FFFFFF"/>
            <w:vAlign w:val="bottom"/>
          </w:tcPr>
          <w:p w14:paraId="4D685C39"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2,07</w:t>
            </w:r>
          </w:p>
        </w:tc>
      </w:tr>
      <w:tr w:rsidR="003813BA" w:rsidRPr="00D16259" w14:paraId="750C03D3" w14:textId="77777777" w:rsidTr="00A93008">
        <w:tc>
          <w:tcPr>
            <w:tcW w:w="1570" w:type="dxa"/>
            <w:shd w:val="clear" w:color="auto" w:fill="FFFFFF"/>
          </w:tcPr>
          <w:p w14:paraId="13D530F8" w14:textId="77777777" w:rsidR="003813BA" w:rsidRPr="00D16259" w:rsidRDefault="003813BA" w:rsidP="003813BA">
            <w:pPr>
              <w:spacing w:after="120"/>
              <w:jc w:val="center"/>
              <w:rPr>
                <w:sz w:val="20"/>
                <w:szCs w:val="20"/>
              </w:rPr>
            </w:pPr>
          </w:p>
        </w:tc>
        <w:tc>
          <w:tcPr>
            <w:tcW w:w="908" w:type="dxa"/>
            <w:shd w:val="clear" w:color="auto" w:fill="FFFFFF"/>
            <w:vAlign w:val="bottom"/>
          </w:tcPr>
          <w:p w14:paraId="74C44C1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8,68</w:t>
            </w:r>
          </w:p>
        </w:tc>
        <w:tc>
          <w:tcPr>
            <w:tcW w:w="945" w:type="dxa"/>
            <w:shd w:val="clear" w:color="auto" w:fill="FFFFFF"/>
          </w:tcPr>
          <w:p w14:paraId="29A72E4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6,36</w:t>
            </w:r>
          </w:p>
        </w:tc>
        <w:tc>
          <w:tcPr>
            <w:tcW w:w="675" w:type="dxa"/>
            <w:shd w:val="clear" w:color="auto" w:fill="FFFFFF"/>
          </w:tcPr>
          <w:p w14:paraId="0DA7F8D9"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5,42</w:t>
            </w:r>
          </w:p>
        </w:tc>
        <w:tc>
          <w:tcPr>
            <w:tcW w:w="679" w:type="dxa"/>
            <w:shd w:val="clear" w:color="auto" w:fill="FFFFFF"/>
          </w:tcPr>
          <w:p w14:paraId="00024B24"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4,89</w:t>
            </w:r>
          </w:p>
        </w:tc>
        <w:tc>
          <w:tcPr>
            <w:tcW w:w="802" w:type="dxa"/>
            <w:shd w:val="clear" w:color="auto" w:fill="FFFFFF"/>
          </w:tcPr>
          <w:p w14:paraId="7309614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4,56</w:t>
            </w:r>
          </w:p>
        </w:tc>
        <w:tc>
          <w:tcPr>
            <w:tcW w:w="696" w:type="dxa"/>
            <w:shd w:val="clear" w:color="auto" w:fill="FFFFFF"/>
          </w:tcPr>
          <w:p w14:paraId="49E6637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4,32</w:t>
            </w:r>
          </w:p>
        </w:tc>
        <w:tc>
          <w:tcPr>
            <w:tcW w:w="931" w:type="dxa"/>
            <w:shd w:val="clear" w:color="auto" w:fill="FFFFFF"/>
          </w:tcPr>
          <w:p w14:paraId="2681F51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4,14</w:t>
            </w:r>
          </w:p>
        </w:tc>
        <w:tc>
          <w:tcPr>
            <w:tcW w:w="802" w:type="dxa"/>
            <w:shd w:val="clear" w:color="auto" w:fill="FFFFFF"/>
          </w:tcPr>
          <w:p w14:paraId="62A443A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4,00</w:t>
            </w:r>
          </w:p>
        </w:tc>
        <w:tc>
          <w:tcPr>
            <w:tcW w:w="571" w:type="dxa"/>
            <w:shd w:val="clear" w:color="auto" w:fill="FFFFFF"/>
          </w:tcPr>
          <w:p w14:paraId="52C5394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3,37</w:t>
            </w:r>
          </w:p>
        </w:tc>
        <w:tc>
          <w:tcPr>
            <w:tcW w:w="850" w:type="dxa"/>
            <w:shd w:val="clear" w:color="auto" w:fill="FFFFFF"/>
          </w:tcPr>
          <w:p w14:paraId="73328B04"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2,87</w:t>
            </w:r>
          </w:p>
        </w:tc>
      </w:tr>
      <w:tr w:rsidR="003813BA" w:rsidRPr="00D16259" w14:paraId="67B74C5F" w14:textId="77777777" w:rsidTr="00A93008">
        <w:tc>
          <w:tcPr>
            <w:tcW w:w="1570" w:type="dxa"/>
            <w:shd w:val="clear" w:color="auto" w:fill="FFFFFF"/>
            <w:vAlign w:val="bottom"/>
          </w:tcPr>
          <w:p w14:paraId="68FB9AB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908" w:type="dxa"/>
            <w:shd w:val="clear" w:color="auto" w:fill="FFFFFF"/>
            <w:vAlign w:val="bottom"/>
          </w:tcPr>
          <w:p w14:paraId="176BD32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4,35</w:t>
            </w:r>
          </w:p>
        </w:tc>
        <w:tc>
          <w:tcPr>
            <w:tcW w:w="945" w:type="dxa"/>
            <w:shd w:val="clear" w:color="auto" w:fill="FFFFFF"/>
            <w:vAlign w:val="bottom"/>
          </w:tcPr>
          <w:p w14:paraId="1E8F284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3,49</w:t>
            </w:r>
          </w:p>
        </w:tc>
        <w:tc>
          <w:tcPr>
            <w:tcW w:w="675" w:type="dxa"/>
            <w:shd w:val="clear" w:color="auto" w:fill="FFFFFF"/>
            <w:vAlign w:val="bottom"/>
          </w:tcPr>
          <w:p w14:paraId="7508E15D"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3,10</w:t>
            </w:r>
          </w:p>
        </w:tc>
        <w:tc>
          <w:tcPr>
            <w:tcW w:w="679" w:type="dxa"/>
            <w:shd w:val="clear" w:color="auto" w:fill="FFFFFF"/>
            <w:vAlign w:val="bottom"/>
          </w:tcPr>
          <w:p w14:paraId="70BAA81D"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2,87</w:t>
            </w:r>
          </w:p>
        </w:tc>
        <w:tc>
          <w:tcPr>
            <w:tcW w:w="802" w:type="dxa"/>
            <w:shd w:val="clear" w:color="auto" w:fill="FFFFFF"/>
            <w:vAlign w:val="bottom"/>
          </w:tcPr>
          <w:p w14:paraId="43D0602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2,71</w:t>
            </w:r>
          </w:p>
        </w:tc>
        <w:tc>
          <w:tcPr>
            <w:tcW w:w="696" w:type="dxa"/>
            <w:shd w:val="clear" w:color="auto" w:fill="FFFFFF"/>
            <w:vAlign w:val="bottom"/>
          </w:tcPr>
          <w:p w14:paraId="2C05057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2,60</w:t>
            </w:r>
          </w:p>
        </w:tc>
        <w:tc>
          <w:tcPr>
            <w:tcW w:w="931" w:type="dxa"/>
            <w:shd w:val="clear" w:color="auto" w:fill="FFFFFF"/>
            <w:vAlign w:val="bottom"/>
          </w:tcPr>
          <w:p w14:paraId="57AE9B0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2,51</w:t>
            </w:r>
          </w:p>
        </w:tc>
        <w:tc>
          <w:tcPr>
            <w:tcW w:w="802" w:type="dxa"/>
            <w:shd w:val="clear" w:color="auto" w:fill="FFFFFF"/>
            <w:vAlign w:val="bottom"/>
          </w:tcPr>
          <w:p w14:paraId="607DAF8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2,45</w:t>
            </w:r>
          </w:p>
        </w:tc>
        <w:tc>
          <w:tcPr>
            <w:tcW w:w="571" w:type="dxa"/>
            <w:shd w:val="clear" w:color="auto" w:fill="FFFFFF"/>
            <w:vAlign w:val="bottom"/>
          </w:tcPr>
          <w:p w14:paraId="50C4E94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2,12</w:t>
            </w:r>
          </w:p>
        </w:tc>
        <w:tc>
          <w:tcPr>
            <w:tcW w:w="850" w:type="dxa"/>
            <w:shd w:val="clear" w:color="auto" w:fill="FFFFFF"/>
            <w:vAlign w:val="bottom"/>
          </w:tcPr>
          <w:p w14:paraId="2D351019"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1,84</w:t>
            </w:r>
          </w:p>
        </w:tc>
      </w:tr>
      <w:tr w:rsidR="003813BA" w:rsidRPr="00D16259" w14:paraId="28AE3703" w14:textId="77777777" w:rsidTr="00A93008">
        <w:tc>
          <w:tcPr>
            <w:tcW w:w="1570" w:type="dxa"/>
            <w:shd w:val="clear" w:color="auto" w:fill="FFFFFF"/>
          </w:tcPr>
          <w:p w14:paraId="7DF9C8AD" w14:textId="77777777" w:rsidR="003813BA" w:rsidRPr="00D16259" w:rsidRDefault="003813BA" w:rsidP="003813BA">
            <w:pPr>
              <w:spacing w:after="120"/>
              <w:jc w:val="center"/>
              <w:rPr>
                <w:sz w:val="20"/>
                <w:szCs w:val="20"/>
              </w:rPr>
            </w:pPr>
          </w:p>
        </w:tc>
        <w:tc>
          <w:tcPr>
            <w:tcW w:w="908" w:type="dxa"/>
            <w:shd w:val="clear" w:color="auto" w:fill="FFFFFF"/>
            <w:vAlign w:val="bottom"/>
          </w:tcPr>
          <w:p w14:paraId="729491D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8,10</w:t>
            </w:r>
          </w:p>
        </w:tc>
        <w:tc>
          <w:tcPr>
            <w:tcW w:w="945" w:type="dxa"/>
            <w:shd w:val="clear" w:color="auto" w:fill="FFFFFF"/>
          </w:tcPr>
          <w:p w14:paraId="48AB4AF5"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5,85</w:t>
            </w:r>
          </w:p>
        </w:tc>
        <w:tc>
          <w:tcPr>
            <w:tcW w:w="675" w:type="dxa"/>
            <w:shd w:val="clear" w:color="auto" w:fill="FFFFFF"/>
          </w:tcPr>
          <w:p w14:paraId="6E6763DB"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4,94</w:t>
            </w:r>
          </w:p>
        </w:tc>
        <w:tc>
          <w:tcPr>
            <w:tcW w:w="679" w:type="dxa"/>
            <w:shd w:val="clear" w:color="auto" w:fill="FFFFFF"/>
          </w:tcPr>
          <w:p w14:paraId="0F6EB402"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4,43</w:t>
            </w:r>
          </w:p>
        </w:tc>
        <w:tc>
          <w:tcPr>
            <w:tcW w:w="802" w:type="dxa"/>
            <w:shd w:val="clear" w:color="auto" w:fill="FFFFFF"/>
          </w:tcPr>
          <w:p w14:paraId="24FC767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4,10</w:t>
            </w:r>
          </w:p>
        </w:tc>
        <w:tc>
          <w:tcPr>
            <w:tcW w:w="696" w:type="dxa"/>
            <w:shd w:val="clear" w:color="auto" w:fill="FFFFFF"/>
          </w:tcPr>
          <w:p w14:paraId="045A510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3,87</w:t>
            </w:r>
          </w:p>
        </w:tc>
        <w:tc>
          <w:tcPr>
            <w:tcW w:w="931" w:type="dxa"/>
            <w:shd w:val="clear" w:color="auto" w:fill="FFFFFF"/>
          </w:tcPr>
          <w:p w14:paraId="17E28B0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3,70</w:t>
            </w:r>
          </w:p>
        </w:tc>
        <w:tc>
          <w:tcPr>
            <w:tcW w:w="802" w:type="dxa"/>
            <w:shd w:val="clear" w:color="auto" w:fill="FFFFFF"/>
          </w:tcPr>
          <w:p w14:paraId="68FC421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3,56</w:t>
            </w:r>
          </w:p>
        </w:tc>
        <w:tc>
          <w:tcPr>
            <w:tcW w:w="571" w:type="dxa"/>
            <w:shd w:val="clear" w:color="auto" w:fill="FFFFFF"/>
          </w:tcPr>
          <w:p w14:paraId="30804F3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2,94</w:t>
            </w:r>
          </w:p>
        </w:tc>
        <w:tc>
          <w:tcPr>
            <w:tcW w:w="850" w:type="dxa"/>
            <w:shd w:val="clear" w:color="auto" w:fill="FFFFFF"/>
          </w:tcPr>
          <w:p w14:paraId="456AAE51"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2,42</w:t>
            </w:r>
          </w:p>
        </w:tc>
      </w:tr>
      <w:tr w:rsidR="003813BA" w:rsidRPr="00D16259" w14:paraId="463AC616" w14:textId="77777777" w:rsidTr="00A93008">
        <w:tc>
          <w:tcPr>
            <w:tcW w:w="1570" w:type="dxa"/>
            <w:shd w:val="clear" w:color="auto" w:fill="FFFFFF"/>
            <w:vAlign w:val="bottom"/>
          </w:tcPr>
          <w:p w14:paraId="3E8142E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w:t>
            </w:r>
          </w:p>
        </w:tc>
        <w:tc>
          <w:tcPr>
            <w:tcW w:w="908" w:type="dxa"/>
            <w:shd w:val="clear" w:color="auto" w:fill="FFFFFF"/>
            <w:vAlign w:val="bottom"/>
          </w:tcPr>
          <w:p w14:paraId="7FF0AFC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4,17</w:t>
            </w:r>
          </w:p>
        </w:tc>
        <w:tc>
          <w:tcPr>
            <w:tcW w:w="945" w:type="dxa"/>
            <w:shd w:val="clear" w:color="auto" w:fill="FFFFFF"/>
            <w:vAlign w:val="bottom"/>
          </w:tcPr>
          <w:p w14:paraId="4F95061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3,32</w:t>
            </w:r>
          </w:p>
        </w:tc>
        <w:tc>
          <w:tcPr>
            <w:tcW w:w="675" w:type="dxa"/>
            <w:shd w:val="clear" w:color="auto" w:fill="FFFFFF"/>
            <w:vAlign w:val="bottom"/>
          </w:tcPr>
          <w:p w14:paraId="231695D1"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2,92</w:t>
            </w:r>
          </w:p>
        </w:tc>
        <w:tc>
          <w:tcPr>
            <w:tcW w:w="679" w:type="dxa"/>
            <w:shd w:val="clear" w:color="auto" w:fill="FFFFFF"/>
            <w:vAlign w:val="bottom"/>
          </w:tcPr>
          <w:p w14:paraId="347E2C06"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2,69</w:t>
            </w:r>
          </w:p>
        </w:tc>
        <w:tc>
          <w:tcPr>
            <w:tcW w:w="802" w:type="dxa"/>
            <w:shd w:val="clear" w:color="auto" w:fill="FFFFFF"/>
            <w:vAlign w:val="bottom"/>
          </w:tcPr>
          <w:p w14:paraId="676BA56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2,53</w:t>
            </w:r>
          </w:p>
        </w:tc>
        <w:tc>
          <w:tcPr>
            <w:tcW w:w="696" w:type="dxa"/>
            <w:shd w:val="clear" w:color="auto" w:fill="FFFFFF"/>
            <w:vAlign w:val="bottom"/>
          </w:tcPr>
          <w:p w14:paraId="27B4C48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2,42</w:t>
            </w:r>
          </w:p>
        </w:tc>
        <w:tc>
          <w:tcPr>
            <w:tcW w:w="931" w:type="dxa"/>
            <w:shd w:val="clear" w:color="auto" w:fill="FFFFFF"/>
            <w:vAlign w:val="bottom"/>
          </w:tcPr>
          <w:p w14:paraId="5CE4F2D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2,33</w:t>
            </w:r>
          </w:p>
        </w:tc>
        <w:tc>
          <w:tcPr>
            <w:tcW w:w="802" w:type="dxa"/>
            <w:shd w:val="clear" w:color="auto" w:fill="FFFFFF"/>
            <w:vAlign w:val="bottom"/>
          </w:tcPr>
          <w:p w14:paraId="5644327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2,27</w:t>
            </w:r>
          </w:p>
        </w:tc>
        <w:tc>
          <w:tcPr>
            <w:tcW w:w="571" w:type="dxa"/>
            <w:shd w:val="clear" w:color="auto" w:fill="FFFFFF"/>
            <w:vAlign w:val="bottom"/>
          </w:tcPr>
          <w:p w14:paraId="1150C059"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1,93</w:t>
            </w:r>
          </w:p>
        </w:tc>
        <w:tc>
          <w:tcPr>
            <w:tcW w:w="850" w:type="dxa"/>
            <w:shd w:val="clear" w:color="auto" w:fill="FFFFFF"/>
            <w:vAlign w:val="bottom"/>
          </w:tcPr>
          <w:p w14:paraId="61EFC3E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1,62</w:t>
            </w:r>
          </w:p>
        </w:tc>
      </w:tr>
      <w:tr w:rsidR="003813BA" w:rsidRPr="00D16259" w14:paraId="29D2C667" w14:textId="77777777" w:rsidTr="00A93008">
        <w:tc>
          <w:tcPr>
            <w:tcW w:w="1570" w:type="dxa"/>
            <w:shd w:val="clear" w:color="auto" w:fill="FFFFFF"/>
          </w:tcPr>
          <w:p w14:paraId="57CE260A" w14:textId="77777777" w:rsidR="003813BA" w:rsidRPr="00D16259" w:rsidRDefault="003813BA" w:rsidP="003813BA">
            <w:pPr>
              <w:spacing w:after="120"/>
              <w:jc w:val="center"/>
              <w:rPr>
                <w:sz w:val="20"/>
                <w:szCs w:val="20"/>
              </w:rPr>
            </w:pPr>
          </w:p>
        </w:tc>
        <w:tc>
          <w:tcPr>
            <w:tcW w:w="908" w:type="dxa"/>
            <w:shd w:val="clear" w:color="auto" w:fill="FFFFFF"/>
          </w:tcPr>
          <w:p w14:paraId="1A9624A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7,56</w:t>
            </w:r>
          </w:p>
        </w:tc>
        <w:tc>
          <w:tcPr>
            <w:tcW w:w="945" w:type="dxa"/>
            <w:shd w:val="clear" w:color="auto" w:fill="FFFFFF"/>
          </w:tcPr>
          <w:p w14:paraId="0D07E38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5,39</w:t>
            </w:r>
          </w:p>
        </w:tc>
        <w:tc>
          <w:tcPr>
            <w:tcW w:w="675" w:type="dxa"/>
            <w:shd w:val="clear" w:color="auto" w:fill="FFFFFF"/>
          </w:tcPr>
          <w:p w14:paraId="02B12809"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4,51</w:t>
            </w:r>
          </w:p>
        </w:tc>
        <w:tc>
          <w:tcPr>
            <w:tcW w:w="679" w:type="dxa"/>
            <w:shd w:val="clear" w:color="auto" w:fill="FFFFFF"/>
          </w:tcPr>
          <w:p w14:paraId="6159A142"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4,02</w:t>
            </w:r>
          </w:p>
        </w:tc>
        <w:tc>
          <w:tcPr>
            <w:tcW w:w="802" w:type="dxa"/>
            <w:shd w:val="clear" w:color="auto" w:fill="FFFFFF"/>
          </w:tcPr>
          <w:p w14:paraId="468C3F7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3,70</w:t>
            </w:r>
          </w:p>
        </w:tc>
        <w:tc>
          <w:tcPr>
            <w:tcW w:w="696" w:type="dxa"/>
            <w:shd w:val="clear" w:color="auto" w:fill="FFFFFF"/>
          </w:tcPr>
          <w:p w14:paraId="0D6B849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3,47</w:t>
            </w:r>
          </w:p>
        </w:tc>
        <w:tc>
          <w:tcPr>
            <w:tcW w:w="931" w:type="dxa"/>
            <w:shd w:val="clear" w:color="auto" w:fill="FFFFFF"/>
          </w:tcPr>
          <w:p w14:paraId="70CA257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3,30</w:t>
            </w:r>
          </w:p>
        </w:tc>
        <w:tc>
          <w:tcPr>
            <w:tcW w:w="802" w:type="dxa"/>
            <w:shd w:val="clear" w:color="auto" w:fill="FFFFFF"/>
          </w:tcPr>
          <w:p w14:paraId="160D12B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3,17</w:t>
            </w:r>
          </w:p>
        </w:tc>
        <w:tc>
          <w:tcPr>
            <w:tcW w:w="571" w:type="dxa"/>
            <w:shd w:val="clear" w:color="auto" w:fill="FFFFFF"/>
          </w:tcPr>
          <w:p w14:paraId="0E92C18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2,55</w:t>
            </w:r>
          </w:p>
        </w:tc>
        <w:tc>
          <w:tcPr>
            <w:tcW w:w="850" w:type="dxa"/>
            <w:shd w:val="clear" w:color="auto" w:fill="FFFFFF"/>
            <w:vAlign w:val="bottom"/>
          </w:tcPr>
          <w:p w14:paraId="2F173ED9"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31Sylfaen9"/>
                <w:sz w:val="20"/>
                <w:szCs w:val="20"/>
              </w:rPr>
              <w:t>2,01</w:t>
            </w:r>
          </w:p>
        </w:tc>
      </w:tr>
      <w:tr w:rsidR="003813BA" w:rsidRPr="00D16259" w14:paraId="7AAC741F" w14:textId="77777777" w:rsidTr="00A93008">
        <w:tc>
          <w:tcPr>
            <w:tcW w:w="1570" w:type="dxa"/>
            <w:shd w:val="clear" w:color="auto" w:fill="FFFFFF"/>
            <w:vAlign w:val="bottom"/>
          </w:tcPr>
          <w:p w14:paraId="1612206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60</w:t>
            </w:r>
          </w:p>
        </w:tc>
        <w:tc>
          <w:tcPr>
            <w:tcW w:w="908" w:type="dxa"/>
            <w:shd w:val="clear" w:color="auto" w:fill="FFFFFF"/>
            <w:vAlign w:val="bottom"/>
          </w:tcPr>
          <w:p w14:paraId="5071F81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4,00</w:t>
            </w:r>
          </w:p>
        </w:tc>
        <w:tc>
          <w:tcPr>
            <w:tcW w:w="945" w:type="dxa"/>
            <w:shd w:val="clear" w:color="auto" w:fill="FFFFFF"/>
            <w:vAlign w:val="bottom"/>
          </w:tcPr>
          <w:p w14:paraId="3F47810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3,15</w:t>
            </w:r>
          </w:p>
        </w:tc>
        <w:tc>
          <w:tcPr>
            <w:tcW w:w="675" w:type="dxa"/>
            <w:shd w:val="clear" w:color="auto" w:fill="FFFFFF"/>
            <w:vAlign w:val="bottom"/>
          </w:tcPr>
          <w:p w14:paraId="352E520C" w14:textId="77777777" w:rsidR="003813BA" w:rsidRPr="00D16259" w:rsidRDefault="00EA48B7"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2,76</w:t>
            </w:r>
          </w:p>
        </w:tc>
        <w:tc>
          <w:tcPr>
            <w:tcW w:w="679" w:type="dxa"/>
            <w:shd w:val="clear" w:color="auto" w:fill="FFFFFF"/>
            <w:vAlign w:val="bottom"/>
          </w:tcPr>
          <w:p w14:paraId="4D0E6209"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2,53</w:t>
            </w:r>
          </w:p>
        </w:tc>
        <w:tc>
          <w:tcPr>
            <w:tcW w:w="802" w:type="dxa"/>
            <w:shd w:val="clear" w:color="auto" w:fill="FFFFFF"/>
            <w:vAlign w:val="bottom"/>
          </w:tcPr>
          <w:p w14:paraId="3BD3DEA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2,37</w:t>
            </w:r>
          </w:p>
        </w:tc>
        <w:tc>
          <w:tcPr>
            <w:tcW w:w="696" w:type="dxa"/>
            <w:shd w:val="clear" w:color="auto" w:fill="FFFFFF"/>
            <w:vAlign w:val="bottom"/>
          </w:tcPr>
          <w:p w14:paraId="4A111E95"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2,25</w:t>
            </w:r>
          </w:p>
        </w:tc>
        <w:tc>
          <w:tcPr>
            <w:tcW w:w="931" w:type="dxa"/>
            <w:shd w:val="clear" w:color="auto" w:fill="FFFFFF"/>
            <w:vAlign w:val="bottom"/>
          </w:tcPr>
          <w:p w14:paraId="0DCF0E47"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2,17</w:t>
            </w:r>
          </w:p>
        </w:tc>
        <w:tc>
          <w:tcPr>
            <w:tcW w:w="802" w:type="dxa"/>
            <w:shd w:val="clear" w:color="auto" w:fill="FFFFFF"/>
            <w:vAlign w:val="bottom"/>
          </w:tcPr>
          <w:p w14:paraId="5B636C9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2,10</w:t>
            </w:r>
          </w:p>
        </w:tc>
        <w:tc>
          <w:tcPr>
            <w:tcW w:w="571" w:type="dxa"/>
            <w:shd w:val="clear" w:color="auto" w:fill="FFFFFF"/>
            <w:vAlign w:val="bottom"/>
          </w:tcPr>
          <w:p w14:paraId="1049E2E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1,75</w:t>
            </w:r>
          </w:p>
        </w:tc>
        <w:tc>
          <w:tcPr>
            <w:tcW w:w="850" w:type="dxa"/>
            <w:shd w:val="clear" w:color="auto" w:fill="FFFFFF"/>
            <w:vAlign w:val="bottom"/>
          </w:tcPr>
          <w:p w14:paraId="7D929008" w14:textId="77777777" w:rsidR="003813BA" w:rsidRPr="00D16259" w:rsidRDefault="003813BA" w:rsidP="003813BA">
            <w:pPr>
              <w:pStyle w:val="Bodytext20"/>
              <w:shd w:val="clear" w:color="auto" w:fill="auto"/>
              <w:spacing w:before="0" w:line="240" w:lineRule="auto"/>
              <w:ind w:right="260"/>
              <w:rPr>
                <w:rFonts w:ascii="Sylfaen" w:hAnsi="Sylfaen" w:cs="Sylfaen"/>
                <w:sz w:val="20"/>
                <w:szCs w:val="20"/>
              </w:rPr>
            </w:pPr>
            <w:r w:rsidRPr="00D16259">
              <w:rPr>
                <w:rStyle w:val="Bodytext29pt"/>
                <w:sz w:val="20"/>
                <w:szCs w:val="20"/>
              </w:rPr>
              <w:t>1,39</w:t>
            </w:r>
          </w:p>
        </w:tc>
      </w:tr>
      <w:tr w:rsidR="003813BA" w:rsidRPr="00D16259" w14:paraId="4C9003FD" w14:textId="77777777" w:rsidTr="00A93008">
        <w:tc>
          <w:tcPr>
            <w:tcW w:w="1570" w:type="dxa"/>
            <w:shd w:val="clear" w:color="auto" w:fill="FFFFFF"/>
          </w:tcPr>
          <w:p w14:paraId="44EFB4C9" w14:textId="77777777" w:rsidR="003813BA" w:rsidRPr="00D16259" w:rsidRDefault="003813BA" w:rsidP="003813BA">
            <w:pPr>
              <w:spacing w:after="120"/>
              <w:jc w:val="center"/>
              <w:rPr>
                <w:sz w:val="20"/>
                <w:szCs w:val="20"/>
              </w:rPr>
            </w:pPr>
          </w:p>
        </w:tc>
        <w:tc>
          <w:tcPr>
            <w:tcW w:w="908" w:type="dxa"/>
            <w:shd w:val="clear" w:color="auto" w:fill="FFFFFF"/>
          </w:tcPr>
          <w:p w14:paraId="3AF74FAC"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7,08</w:t>
            </w:r>
          </w:p>
        </w:tc>
        <w:tc>
          <w:tcPr>
            <w:tcW w:w="945" w:type="dxa"/>
            <w:shd w:val="clear" w:color="auto" w:fill="FFFFFF"/>
          </w:tcPr>
          <w:p w14:paraId="3CB84C5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4,98</w:t>
            </w:r>
          </w:p>
        </w:tc>
        <w:tc>
          <w:tcPr>
            <w:tcW w:w="675" w:type="dxa"/>
            <w:shd w:val="clear" w:color="auto" w:fill="FFFFFF"/>
          </w:tcPr>
          <w:p w14:paraId="055614DB"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4,13</w:t>
            </w:r>
          </w:p>
        </w:tc>
        <w:tc>
          <w:tcPr>
            <w:tcW w:w="679" w:type="dxa"/>
            <w:shd w:val="clear" w:color="auto" w:fill="FFFFFF"/>
          </w:tcPr>
          <w:p w14:paraId="526AC836"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3,65</w:t>
            </w:r>
          </w:p>
        </w:tc>
        <w:tc>
          <w:tcPr>
            <w:tcW w:w="802" w:type="dxa"/>
            <w:shd w:val="clear" w:color="auto" w:fill="FFFFFF"/>
          </w:tcPr>
          <w:p w14:paraId="658F915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3,34</w:t>
            </w:r>
          </w:p>
        </w:tc>
        <w:tc>
          <w:tcPr>
            <w:tcW w:w="696" w:type="dxa"/>
            <w:shd w:val="clear" w:color="auto" w:fill="FFFFFF"/>
          </w:tcPr>
          <w:p w14:paraId="4FC87D2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3,12</w:t>
            </w:r>
          </w:p>
        </w:tc>
        <w:tc>
          <w:tcPr>
            <w:tcW w:w="931" w:type="dxa"/>
            <w:shd w:val="clear" w:color="auto" w:fill="FFFFFF"/>
          </w:tcPr>
          <w:p w14:paraId="5975BE8B"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2,95</w:t>
            </w:r>
          </w:p>
        </w:tc>
        <w:tc>
          <w:tcPr>
            <w:tcW w:w="802" w:type="dxa"/>
            <w:shd w:val="clear" w:color="auto" w:fill="FFFFFF"/>
            <w:vAlign w:val="bottom"/>
          </w:tcPr>
          <w:p w14:paraId="151BCCF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2,82</w:t>
            </w:r>
          </w:p>
        </w:tc>
        <w:tc>
          <w:tcPr>
            <w:tcW w:w="571" w:type="dxa"/>
            <w:shd w:val="clear" w:color="auto" w:fill="FFFFFF"/>
            <w:vAlign w:val="bottom"/>
          </w:tcPr>
          <w:p w14:paraId="6693CE5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2,20</w:t>
            </w:r>
          </w:p>
        </w:tc>
        <w:tc>
          <w:tcPr>
            <w:tcW w:w="850" w:type="dxa"/>
            <w:shd w:val="clear" w:color="auto" w:fill="FFFFFF"/>
            <w:vAlign w:val="bottom"/>
          </w:tcPr>
          <w:p w14:paraId="4F60B86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1,60</w:t>
            </w:r>
          </w:p>
        </w:tc>
      </w:tr>
      <w:tr w:rsidR="003813BA" w:rsidRPr="00D16259" w14:paraId="68C06732" w14:textId="77777777" w:rsidTr="00A93008">
        <w:tc>
          <w:tcPr>
            <w:tcW w:w="1570" w:type="dxa"/>
            <w:shd w:val="clear" w:color="auto" w:fill="FFFFFF"/>
            <w:vAlign w:val="bottom"/>
          </w:tcPr>
          <w:p w14:paraId="4BF5EB4F"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Fonts w:ascii="Sylfaen" w:hAnsi="Sylfaen"/>
                <w:sz w:val="20"/>
                <w:szCs w:val="20"/>
              </w:rPr>
              <w:t>∞</w:t>
            </w:r>
          </w:p>
        </w:tc>
        <w:tc>
          <w:tcPr>
            <w:tcW w:w="908" w:type="dxa"/>
            <w:shd w:val="clear" w:color="auto" w:fill="FFFFFF"/>
            <w:vAlign w:val="bottom"/>
          </w:tcPr>
          <w:p w14:paraId="34510CD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3,84</w:t>
            </w:r>
          </w:p>
        </w:tc>
        <w:tc>
          <w:tcPr>
            <w:tcW w:w="945" w:type="dxa"/>
            <w:shd w:val="clear" w:color="auto" w:fill="FFFFFF"/>
            <w:vAlign w:val="bottom"/>
          </w:tcPr>
          <w:p w14:paraId="24667776"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3,00</w:t>
            </w:r>
          </w:p>
        </w:tc>
        <w:tc>
          <w:tcPr>
            <w:tcW w:w="675" w:type="dxa"/>
            <w:shd w:val="clear" w:color="auto" w:fill="FFFFFF"/>
            <w:vAlign w:val="bottom"/>
          </w:tcPr>
          <w:p w14:paraId="0A01BE2A"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2,60</w:t>
            </w:r>
          </w:p>
        </w:tc>
        <w:tc>
          <w:tcPr>
            <w:tcW w:w="679" w:type="dxa"/>
            <w:shd w:val="clear" w:color="auto" w:fill="FFFFFF"/>
            <w:vAlign w:val="bottom"/>
          </w:tcPr>
          <w:p w14:paraId="7FE911FE"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2,37</w:t>
            </w:r>
          </w:p>
        </w:tc>
        <w:tc>
          <w:tcPr>
            <w:tcW w:w="802" w:type="dxa"/>
            <w:shd w:val="clear" w:color="auto" w:fill="FFFFFF"/>
            <w:vAlign w:val="bottom"/>
          </w:tcPr>
          <w:p w14:paraId="2B643B14"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2,21</w:t>
            </w:r>
          </w:p>
        </w:tc>
        <w:tc>
          <w:tcPr>
            <w:tcW w:w="696" w:type="dxa"/>
            <w:shd w:val="clear" w:color="auto" w:fill="FFFFFF"/>
            <w:vAlign w:val="bottom"/>
          </w:tcPr>
          <w:p w14:paraId="3F3B4735"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2,10</w:t>
            </w:r>
          </w:p>
        </w:tc>
        <w:tc>
          <w:tcPr>
            <w:tcW w:w="931" w:type="dxa"/>
            <w:shd w:val="clear" w:color="auto" w:fill="FFFFFF"/>
            <w:vAlign w:val="bottom"/>
          </w:tcPr>
          <w:p w14:paraId="6027870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2,01</w:t>
            </w:r>
          </w:p>
        </w:tc>
        <w:tc>
          <w:tcPr>
            <w:tcW w:w="802" w:type="dxa"/>
            <w:shd w:val="clear" w:color="auto" w:fill="FFFFFF"/>
            <w:vAlign w:val="bottom"/>
          </w:tcPr>
          <w:p w14:paraId="6774226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1,94</w:t>
            </w:r>
          </w:p>
        </w:tc>
        <w:tc>
          <w:tcPr>
            <w:tcW w:w="571" w:type="dxa"/>
            <w:shd w:val="clear" w:color="auto" w:fill="FFFFFF"/>
            <w:vAlign w:val="bottom"/>
          </w:tcPr>
          <w:p w14:paraId="6D57F9B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1,57</w:t>
            </w:r>
          </w:p>
        </w:tc>
        <w:tc>
          <w:tcPr>
            <w:tcW w:w="850" w:type="dxa"/>
            <w:shd w:val="clear" w:color="auto" w:fill="FFFFFF"/>
            <w:vAlign w:val="bottom"/>
          </w:tcPr>
          <w:p w14:paraId="6312F15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29pt"/>
                <w:sz w:val="20"/>
                <w:szCs w:val="20"/>
              </w:rPr>
              <w:t>1,00</w:t>
            </w:r>
          </w:p>
        </w:tc>
      </w:tr>
      <w:tr w:rsidR="003813BA" w:rsidRPr="00D16259" w14:paraId="71A63001" w14:textId="77777777" w:rsidTr="00A93008">
        <w:tc>
          <w:tcPr>
            <w:tcW w:w="1570" w:type="dxa"/>
            <w:tcBorders>
              <w:bottom w:val="single" w:sz="4" w:space="0" w:color="auto"/>
            </w:tcBorders>
            <w:shd w:val="clear" w:color="auto" w:fill="FFFFFF"/>
          </w:tcPr>
          <w:p w14:paraId="3843E0E6" w14:textId="77777777" w:rsidR="003813BA" w:rsidRPr="00D16259" w:rsidRDefault="003813BA" w:rsidP="003813BA">
            <w:pPr>
              <w:spacing w:after="120"/>
              <w:jc w:val="center"/>
              <w:rPr>
                <w:sz w:val="20"/>
                <w:szCs w:val="20"/>
              </w:rPr>
            </w:pPr>
          </w:p>
        </w:tc>
        <w:tc>
          <w:tcPr>
            <w:tcW w:w="908" w:type="dxa"/>
            <w:tcBorders>
              <w:bottom w:val="single" w:sz="4" w:space="0" w:color="auto"/>
            </w:tcBorders>
            <w:shd w:val="clear" w:color="auto" w:fill="FFFFFF"/>
          </w:tcPr>
          <w:p w14:paraId="1F17BB70"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6,63</w:t>
            </w:r>
          </w:p>
        </w:tc>
        <w:tc>
          <w:tcPr>
            <w:tcW w:w="945" w:type="dxa"/>
            <w:tcBorders>
              <w:bottom w:val="single" w:sz="4" w:space="0" w:color="auto"/>
            </w:tcBorders>
            <w:shd w:val="clear" w:color="auto" w:fill="FFFFFF"/>
          </w:tcPr>
          <w:p w14:paraId="6C7E700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4,61</w:t>
            </w:r>
          </w:p>
        </w:tc>
        <w:tc>
          <w:tcPr>
            <w:tcW w:w="675" w:type="dxa"/>
            <w:tcBorders>
              <w:bottom w:val="single" w:sz="4" w:space="0" w:color="auto"/>
            </w:tcBorders>
            <w:shd w:val="clear" w:color="auto" w:fill="FFFFFF"/>
          </w:tcPr>
          <w:p w14:paraId="499CD386"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3,78</w:t>
            </w:r>
          </w:p>
        </w:tc>
        <w:tc>
          <w:tcPr>
            <w:tcW w:w="679" w:type="dxa"/>
            <w:tcBorders>
              <w:bottom w:val="single" w:sz="4" w:space="0" w:color="auto"/>
            </w:tcBorders>
            <w:shd w:val="clear" w:color="auto" w:fill="FFFFFF"/>
          </w:tcPr>
          <w:p w14:paraId="206B95D2" w14:textId="77777777" w:rsidR="003813BA" w:rsidRPr="00D16259" w:rsidRDefault="00675541" w:rsidP="003813BA">
            <w:pPr>
              <w:pStyle w:val="Bodytext20"/>
              <w:shd w:val="clear" w:color="auto" w:fill="auto"/>
              <w:spacing w:before="0" w:line="240" w:lineRule="auto"/>
              <w:rPr>
                <w:rFonts w:ascii="Sylfaen" w:hAnsi="Sylfaen" w:cs="Sylfaen"/>
                <w:sz w:val="20"/>
                <w:szCs w:val="20"/>
              </w:rPr>
            </w:pPr>
            <w:r>
              <w:rPr>
                <w:rFonts w:ascii="Sylfaen" w:hAnsi="Sylfaen" w:cs="Sylfaen"/>
                <w:sz w:val="20"/>
                <w:szCs w:val="20"/>
              </w:rPr>
              <w:t>3,32</w:t>
            </w:r>
          </w:p>
        </w:tc>
        <w:tc>
          <w:tcPr>
            <w:tcW w:w="802" w:type="dxa"/>
            <w:tcBorders>
              <w:bottom w:val="single" w:sz="4" w:space="0" w:color="auto"/>
            </w:tcBorders>
            <w:shd w:val="clear" w:color="auto" w:fill="FFFFFF"/>
          </w:tcPr>
          <w:p w14:paraId="5A5F6078"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3,02</w:t>
            </w:r>
          </w:p>
        </w:tc>
        <w:tc>
          <w:tcPr>
            <w:tcW w:w="696" w:type="dxa"/>
            <w:tcBorders>
              <w:bottom w:val="single" w:sz="4" w:space="0" w:color="auto"/>
            </w:tcBorders>
            <w:shd w:val="clear" w:color="auto" w:fill="FFFFFF"/>
            <w:vAlign w:val="bottom"/>
          </w:tcPr>
          <w:p w14:paraId="1804CADD"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2,80</w:t>
            </w:r>
          </w:p>
        </w:tc>
        <w:tc>
          <w:tcPr>
            <w:tcW w:w="931" w:type="dxa"/>
            <w:tcBorders>
              <w:bottom w:val="single" w:sz="4" w:space="0" w:color="auto"/>
            </w:tcBorders>
            <w:shd w:val="clear" w:color="auto" w:fill="FFFFFF"/>
          </w:tcPr>
          <w:p w14:paraId="0AE75003"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2,64</w:t>
            </w:r>
          </w:p>
        </w:tc>
        <w:tc>
          <w:tcPr>
            <w:tcW w:w="802" w:type="dxa"/>
            <w:tcBorders>
              <w:bottom w:val="single" w:sz="4" w:space="0" w:color="auto"/>
            </w:tcBorders>
            <w:shd w:val="clear" w:color="auto" w:fill="FFFFFF"/>
          </w:tcPr>
          <w:p w14:paraId="66F540C1"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2,51</w:t>
            </w:r>
          </w:p>
        </w:tc>
        <w:tc>
          <w:tcPr>
            <w:tcW w:w="571" w:type="dxa"/>
            <w:tcBorders>
              <w:bottom w:val="single" w:sz="4" w:space="0" w:color="auto"/>
            </w:tcBorders>
            <w:shd w:val="clear" w:color="auto" w:fill="FFFFFF"/>
            <w:vAlign w:val="bottom"/>
          </w:tcPr>
          <w:p w14:paraId="69C218C2"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1,88</w:t>
            </w:r>
          </w:p>
        </w:tc>
        <w:tc>
          <w:tcPr>
            <w:tcW w:w="850" w:type="dxa"/>
            <w:tcBorders>
              <w:bottom w:val="single" w:sz="4" w:space="0" w:color="auto"/>
            </w:tcBorders>
            <w:shd w:val="clear" w:color="auto" w:fill="FFFFFF"/>
            <w:vAlign w:val="bottom"/>
          </w:tcPr>
          <w:p w14:paraId="563CB2DA" w14:textId="77777777" w:rsidR="003813BA" w:rsidRPr="00D16259" w:rsidRDefault="003813BA" w:rsidP="003813BA">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1,00</w:t>
            </w:r>
          </w:p>
        </w:tc>
      </w:tr>
    </w:tbl>
    <w:p w14:paraId="0F8C9C43" w14:textId="77777777" w:rsidR="00184198" w:rsidRDefault="00184198" w:rsidP="00B834A2">
      <w:pPr>
        <w:pStyle w:val="Tablecaption100"/>
        <w:shd w:val="clear" w:color="auto" w:fill="auto"/>
        <w:spacing w:after="160" w:line="360" w:lineRule="auto"/>
        <w:ind w:firstLine="567"/>
        <w:jc w:val="left"/>
        <w:rPr>
          <w:rStyle w:val="Tablecaption10Italic"/>
          <w:rFonts w:ascii="Sylfaen" w:hAnsi="Sylfaen"/>
          <w:sz w:val="24"/>
          <w:szCs w:val="24"/>
          <w:lang w:val="en-US"/>
        </w:rPr>
      </w:pPr>
    </w:p>
    <w:p w14:paraId="20538099" w14:textId="77777777" w:rsidR="00B834A2" w:rsidRPr="00B834A2" w:rsidRDefault="00B834A2" w:rsidP="002B2475">
      <w:pPr>
        <w:pStyle w:val="Tablecaption100"/>
        <w:shd w:val="clear" w:color="auto" w:fill="auto"/>
        <w:spacing w:after="160" w:line="360" w:lineRule="auto"/>
        <w:ind w:firstLine="567"/>
        <w:rPr>
          <w:rFonts w:ascii="Sylfaen" w:hAnsi="Sylfaen" w:cs="Sylfaen"/>
          <w:sz w:val="24"/>
          <w:szCs w:val="24"/>
        </w:rPr>
      </w:pPr>
      <w:r w:rsidRPr="00B834A2">
        <w:rPr>
          <w:rStyle w:val="Tablecaption10Italic"/>
          <w:rFonts w:ascii="Sylfaen" w:hAnsi="Sylfaen"/>
          <w:sz w:val="24"/>
          <w:szCs w:val="24"/>
        </w:rPr>
        <w:lastRenderedPageBreak/>
        <w:t>F-ը р =</w:t>
      </w:r>
      <w:r w:rsidRPr="00B834A2">
        <w:rPr>
          <w:rStyle w:val="Bodytext31Sylfaen9"/>
          <w:sz w:val="24"/>
          <w:szCs w:val="24"/>
        </w:rPr>
        <w:t xml:space="preserve"> 0,05</w:t>
      </w:r>
      <w:r w:rsidRPr="00B834A2">
        <w:rPr>
          <w:rFonts w:ascii="Sylfaen" w:hAnsi="Sylfaen"/>
          <w:sz w:val="24"/>
          <w:szCs w:val="24"/>
        </w:rPr>
        <w:t xml:space="preserve">-ի համար տպված է թավ տառատեսակով, իսկ F-ը </w:t>
      </w:r>
      <w:r w:rsidRPr="00B834A2">
        <w:rPr>
          <w:rStyle w:val="Tablecaption10Italic"/>
          <w:rFonts w:ascii="Sylfaen" w:hAnsi="Sylfaen"/>
          <w:sz w:val="24"/>
          <w:szCs w:val="24"/>
        </w:rPr>
        <w:t>р</w:t>
      </w:r>
      <w:r w:rsidRPr="00B834A2">
        <w:rPr>
          <w:rStyle w:val="Bodytext31Sylfaen9"/>
          <w:sz w:val="24"/>
          <w:szCs w:val="24"/>
        </w:rPr>
        <w:t xml:space="preserve"> = 0,01 </w:t>
      </w:r>
      <w:r w:rsidRPr="00B834A2">
        <w:rPr>
          <w:rFonts w:ascii="Sylfaen" w:hAnsi="Sylfaen"/>
          <w:sz w:val="24"/>
          <w:szCs w:val="24"/>
        </w:rPr>
        <w:t>-ի համար՝ սովորական։</w:t>
      </w:r>
    </w:p>
    <w:p w14:paraId="3E792148" w14:textId="77777777" w:rsidR="00B834A2" w:rsidRPr="00B834A2" w:rsidRDefault="00B834A2" w:rsidP="00B834A2">
      <w:pPr>
        <w:spacing w:after="160" w:line="360" w:lineRule="auto"/>
        <w:rPr>
          <w:rStyle w:val="Headerorfooter3NotItalic"/>
          <w:rFonts w:ascii="Sylfaen" w:eastAsia="Tahoma" w:hAnsi="Sylfaen"/>
          <w:sz w:val="24"/>
          <w:szCs w:val="24"/>
        </w:rPr>
      </w:pPr>
    </w:p>
    <w:p w14:paraId="47FEADBC" w14:textId="77777777" w:rsidR="00B834A2" w:rsidRPr="00B834A2" w:rsidRDefault="00B834A2" w:rsidP="00B834A2">
      <w:pPr>
        <w:spacing w:after="160" w:line="360" w:lineRule="auto"/>
        <w:ind w:firstLine="567"/>
      </w:pPr>
      <w:r w:rsidRPr="00A93008">
        <w:rPr>
          <w:rStyle w:val="Headerorfooter3NotItalic"/>
          <w:rFonts w:ascii="Sylfaen" w:eastAsia="Tahoma" w:hAnsi="Sylfaen"/>
          <w:i w:val="0"/>
          <w:sz w:val="24"/>
          <w:szCs w:val="24"/>
        </w:rPr>
        <w:t>Աղյուսակ 4</w:t>
      </w:r>
      <w:r w:rsidRPr="00B834A2">
        <w:rPr>
          <w:rStyle w:val="Headerorfooter3NotItalic"/>
          <w:rFonts w:ascii="Sylfaen" w:eastAsia="Tahoma" w:hAnsi="Sylfaen"/>
          <w:sz w:val="24"/>
          <w:szCs w:val="24"/>
        </w:rPr>
        <w:t>.</w:t>
      </w:r>
      <w:r>
        <w:rPr>
          <w:rStyle w:val="Headerorfooter3NotItalic"/>
          <w:rFonts w:ascii="Sylfaen" w:eastAsia="Tahoma" w:hAnsi="Sylfaen"/>
          <w:sz w:val="24"/>
          <w:szCs w:val="24"/>
        </w:rPr>
        <w:t xml:space="preserve"> </w:t>
      </w:r>
      <w:r w:rsidRPr="00B834A2">
        <w:rPr>
          <w:rStyle w:val="Headerorfooter3"/>
          <w:rFonts w:ascii="Sylfaen" w:eastAsia="Tahoma" w:hAnsi="Sylfaen"/>
          <w:i w:val="0"/>
          <w:sz w:val="24"/>
          <w:szCs w:val="24"/>
        </w:rPr>
        <w:t>Չի-քառակուսու չափորոշչի կրիտիկական արժեքները (х</w:t>
      </w:r>
      <w:r w:rsidRPr="00B834A2">
        <w:rPr>
          <w:rStyle w:val="Headerorfooter3"/>
          <w:rFonts w:ascii="Sylfaen" w:eastAsia="Tahoma" w:hAnsi="Sylfaen"/>
          <w:i w:val="0"/>
          <w:sz w:val="24"/>
          <w:szCs w:val="24"/>
          <w:vertAlign w:val="superscript"/>
        </w:rPr>
        <w:t>2</w:t>
      </w:r>
      <w:r w:rsidRPr="00B834A2">
        <w:rPr>
          <w:rStyle w:val="Headerorfooter3"/>
          <w:rFonts w:ascii="Sylfaen" w:eastAsia="Tahoma" w:hAnsi="Sylfaen"/>
          <w:i w:val="0"/>
          <w:sz w:val="24"/>
          <w:szCs w:val="24"/>
        </w:rPr>
        <w:t>)</w:t>
      </w:r>
    </w:p>
    <w:tbl>
      <w:tblPr>
        <w:tblOverlap w:val="never"/>
        <w:tblW w:w="9424" w:type="dxa"/>
        <w:tblLayout w:type="fixed"/>
        <w:tblCellMar>
          <w:left w:w="10" w:type="dxa"/>
          <w:right w:w="10" w:type="dxa"/>
        </w:tblCellMar>
        <w:tblLook w:val="0000" w:firstRow="0" w:lastRow="0" w:firstColumn="0" w:lastColumn="0" w:noHBand="0" w:noVBand="0"/>
      </w:tblPr>
      <w:tblGrid>
        <w:gridCol w:w="941"/>
        <w:gridCol w:w="1114"/>
        <w:gridCol w:w="1166"/>
        <w:gridCol w:w="874"/>
        <w:gridCol w:w="1109"/>
        <w:gridCol w:w="1258"/>
        <w:gridCol w:w="787"/>
        <w:gridCol w:w="1109"/>
        <w:gridCol w:w="1066"/>
      </w:tblGrid>
      <w:tr w:rsidR="00B834A2" w:rsidRPr="00D16259" w14:paraId="7248C1C0" w14:textId="77777777" w:rsidTr="00A93008">
        <w:trPr>
          <w:cantSplit/>
          <w:trHeight w:val="484"/>
        </w:trPr>
        <w:tc>
          <w:tcPr>
            <w:tcW w:w="941" w:type="dxa"/>
            <w:tcBorders>
              <w:top w:val="single" w:sz="4" w:space="0" w:color="auto"/>
            </w:tcBorders>
            <w:shd w:val="clear" w:color="auto" w:fill="FFFFFF"/>
          </w:tcPr>
          <w:p w14:paraId="105BD25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ƒ</w:t>
            </w:r>
          </w:p>
        </w:tc>
        <w:tc>
          <w:tcPr>
            <w:tcW w:w="1114" w:type="dxa"/>
            <w:tcBorders>
              <w:top w:val="single" w:sz="4" w:space="0" w:color="auto"/>
            </w:tcBorders>
            <w:shd w:val="clear" w:color="auto" w:fill="FFFFFF"/>
          </w:tcPr>
          <w:p w14:paraId="2DA0898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0,05</w:t>
            </w:r>
          </w:p>
        </w:tc>
        <w:tc>
          <w:tcPr>
            <w:tcW w:w="1166" w:type="dxa"/>
            <w:tcBorders>
              <w:top w:val="single" w:sz="4" w:space="0" w:color="auto"/>
            </w:tcBorders>
            <w:shd w:val="clear" w:color="auto" w:fill="FFFFFF"/>
          </w:tcPr>
          <w:p w14:paraId="02C7DB0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p = 0,01</w:t>
            </w:r>
          </w:p>
        </w:tc>
        <w:tc>
          <w:tcPr>
            <w:tcW w:w="874" w:type="dxa"/>
            <w:tcBorders>
              <w:top w:val="single" w:sz="4" w:space="0" w:color="auto"/>
            </w:tcBorders>
            <w:shd w:val="clear" w:color="auto" w:fill="FFFFFF"/>
          </w:tcPr>
          <w:p w14:paraId="482B5C9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ƒ</w:t>
            </w:r>
          </w:p>
        </w:tc>
        <w:tc>
          <w:tcPr>
            <w:tcW w:w="1109" w:type="dxa"/>
            <w:tcBorders>
              <w:top w:val="single" w:sz="4" w:space="0" w:color="auto"/>
            </w:tcBorders>
            <w:shd w:val="clear" w:color="auto" w:fill="FFFFFF"/>
          </w:tcPr>
          <w:p w14:paraId="428CB32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0,05</w:t>
            </w:r>
          </w:p>
        </w:tc>
        <w:tc>
          <w:tcPr>
            <w:tcW w:w="1258" w:type="dxa"/>
            <w:tcBorders>
              <w:top w:val="single" w:sz="4" w:space="0" w:color="auto"/>
            </w:tcBorders>
            <w:shd w:val="clear" w:color="auto" w:fill="FFFFFF"/>
          </w:tcPr>
          <w:p w14:paraId="2AC2A26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0,01</w:t>
            </w:r>
          </w:p>
        </w:tc>
        <w:tc>
          <w:tcPr>
            <w:tcW w:w="787" w:type="dxa"/>
            <w:tcBorders>
              <w:top w:val="single" w:sz="4" w:space="0" w:color="auto"/>
            </w:tcBorders>
            <w:shd w:val="clear" w:color="auto" w:fill="FFFFFF"/>
          </w:tcPr>
          <w:p w14:paraId="07DD608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ƒ</w:t>
            </w:r>
          </w:p>
        </w:tc>
        <w:tc>
          <w:tcPr>
            <w:tcW w:w="1109" w:type="dxa"/>
            <w:tcBorders>
              <w:top w:val="single" w:sz="4" w:space="0" w:color="auto"/>
            </w:tcBorders>
            <w:shd w:val="clear" w:color="auto" w:fill="FFFFFF"/>
          </w:tcPr>
          <w:p w14:paraId="52CDC2D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0,05</w:t>
            </w:r>
          </w:p>
        </w:tc>
        <w:tc>
          <w:tcPr>
            <w:tcW w:w="1066" w:type="dxa"/>
            <w:tcBorders>
              <w:top w:val="single" w:sz="4" w:space="0" w:color="auto"/>
            </w:tcBorders>
            <w:shd w:val="clear" w:color="auto" w:fill="FFFFFF"/>
          </w:tcPr>
          <w:p w14:paraId="3AB9504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 xml:space="preserve">р </w:t>
            </w:r>
            <w:r w:rsidRPr="00D16259">
              <w:rPr>
                <w:rStyle w:val="Bodytext2Italic"/>
                <w:sz w:val="20"/>
                <w:szCs w:val="20"/>
              </w:rPr>
              <w:t>=</w:t>
            </w:r>
            <w:r w:rsidRPr="00D16259">
              <w:rPr>
                <w:rStyle w:val="Bodytext31Sylfaen9"/>
                <w:sz w:val="20"/>
                <w:szCs w:val="20"/>
              </w:rPr>
              <w:t xml:space="preserve"> 0,01</w:t>
            </w:r>
          </w:p>
        </w:tc>
      </w:tr>
      <w:tr w:rsidR="00B834A2" w:rsidRPr="00D16259" w14:paraId="485539CB" w14:textId="77777777" w:rsidTr="00D16259">
        <w:trPr>
          <w:cantSplit/>
        </w:trPr>
        <w:tc>
          <w:tcPr>
            <w:tcW w:w="941" w:type="dxa"/>
            <w:tcBorders>
              <w:top w:val="single" w:sz="4" w:space="0" w:color="auto"/>
            </w:tcBorders>
            <w:shd w:val="clear" w:color="auto" w:fill="FFFFFF"/>
          </w:tcPr>
          <w:p w14:paraId="6C3DD16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w:t>
            </w:r>
          </w:p>
        </w:tc>
        <w:tc>
          <w:tcPr>
            <w:tcW w:w="1114" w:type="dxa"/>
            <w:tcBorders>
              <w:top w:val="single" w:sz="4" w:space="0" w:color="auto"/>
            </w:tcBorders>
            <w:shd w:val="clear" w:color="auto" w:fill="FFFFFF"/>
          </w:tcPr>
          <w:p w14:paraId="1A97DAA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3,84</w:t>
            </w:r>
          </w:p>
        </w:tc>
        <w:tc>
          <w:tcPr>
            <w:tcW w:w="1166" w:type="dxa"/>
            <w:tcBorders>
              <w:top w:val="single" w:sz="4" w:space="0" w:color="auto"/>
            </w:tcBorders>
            <w:shd w:val="clear" w:color="auto" w:fill="FFFFFF"/>
          </w:tcPr>
          <w:p w14:paraId="4EABF7F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6,63</w:t>
            </w:r>
          </w:p>
        </w:tc>
        <w:tc>
          <w:tcPr>
            <w:tcW w:w="874" w:type="dxa"/>
            <w:tcBorders>
              <w:top w:val="single" w:sz="4" w:space="0" w:color="auto"/>
            </w:tcBorders>
            <w:shd w:val="clear" w:color="auto" w:fill="FFFFFF"/>
          </w:tcPr>
          <w:p w14:paraId="365544A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w:t>
            </w:r>
          </w:p>
        </w:tc>
        <w:tc>
          <w:tcPr>
            <w:tcW w:w="1109" w:type="dxa"/>
            <w:tcBorders>
              <w:top w:val="single" w:sz="4" w:space="0" w:color="auto"/>
            </w:tcBorders>
            <w:shd w:val="clear" w:color="auto" w:fill="FFFFFF"/>
          </w:tcPr>
          <w:p w14:paraId="0038A1A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28,9</w:t>
            </w:r>
          </w:p>
        </w:tc>
        <w:tc>
          <w:tcPr>
            <w:tcW w:w="1258" w:type="dxa"/>
            <w:tcBorders>
              <w:top w:val="single" w:sz="4" w:space="0" w:color="auto"/>
            </w:tcBorders>
            <w:shd w:val="clear" w:color="auto" w:fill="FFFFFF"/>
          </w:tcPr>
          <w:p w14:paraId="179E405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34,8</w:t>
            </w:r>
          </w:p>
        </w:tc>
        <w:tc>
          <w:tcPr>
            <w:tcW w:w="787" w:type="dxa"/>
            <w:tcBorders>
              <w:top w:val="single" w:sz="4" w:space="0" w:color="auto"/>
            </w:tcBorders>
            <w:shd w:val="clear" w:color="auto" w:fill="FFFFFF"/>
          </w:tcPr>
          <w:p w14:paraId="2D17E83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w:t>
            </w:r>
          </w:p>
        </w:tc>
        <w:tc>
          <w:tcPr>
            <w:tcW w:w="1109" w:type="dxa"/>
            <w:tcBorders>
              <w:top w:val="single" w:sz="4" w:space="0" w:color="auto"/>
            </w:tcBorders>
            <w:shd w:val="clear" w:color="auto" w:fill="FFFFFF"/>
          </w:tcPr>
          <w:p w14:paraId="093418D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49,8</w:t>
            </w:r>
          </w:p>
        </w:tc>
        <w:tc>
          <w:tcPr>
            <w:tcW w:w="1066" w:type="dxa"/>
            <w:tcBorders>
              <w:top w:val="single" w:sz="4" w:space="0" w:color="auto"/>
            </w:tcBorders>
            <w:shd w:val="clear" w:color="auto" w:fill="FFFFFF"/>
          </w:tcPr>
          <w:p w14:paraId="2EA9EF7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57,3</w:t>
            </w:r>
          </w:p>
        </w:tc>
      </w:tr>
      <w:tr w:rsidR="00B834A2" w:rsidRPr="00D16259" w14:paraId="4F443D6E" w14:textId="77777777" w:rsidTr="00D16259">
        <w:trPr>
          <w:cantSplit/>
        </w:trPr>
        <w:tc>
          <w:tcPr>
            <w:tcW w:w="941" w:type="dxa"/>
            <w:shd w:val="clear" w:color="auto" w:fill="FFFFFF"/>
          </w:tcPr>
          <w:p w14:paraId="0897011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w:t>
            </w:r>
          </w:p>
        </w:tc>
        <w:tc>
          <w:tcPr>
            <w:tcW w:w="1114" w:type="dxa"/>
            <w:shd w:val="clear" w:color="auto" w:fill="FFFFFF"/>
          </w:tcPr>
          <w:p w14:paraId="241232E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5,99</w:t>
            </w:r>
          </w:p>
        </w:tc>
        <w:tc>
          <w:tcPr>
            <w:tcW w:w="1166" w:type="dxa"/>
            <w:shd w:val="clear" w:color="auto" w:fill="FFFFFF"/>
          </w:tcPr>
          <w:p w14:paraId="6938072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9,21</w:t>
            </w:r>
          </w:p>
        </w:tc>
        <w:tc>
          <w:tcPr>
            <w:tcW w:w="874" w:type="dxa"/>
            <w:shd w:val="clear" w:color="auto" w:fill="FFFFFF"/>
          </w:tcPr>
          <w:p w14:paraId="2576922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w:t>
            </w:r>
          </w:p>
        </w:tc>
        <w:tc>
          <w:tcPr>
            <w:tcW w:w="1109" w:type="dxa"/>
            <w:shd w:val="clear" w:color="auto" w:fill="FFFFFF"/>
          </w:tcPr>
          <w:p w14:paraId="50D26E4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30,1</w:t>
            </w:r>
          </w:p>
        </w:tc>
        <w:tc>
          <w:tcPr>
            <w:tcW w:w="1258" w:type="dxa"/>
            <w:shd w:val="clear" w:color="auto" w:fill="FFFFFF"/>
          </w:tcPr>
          <w:p w14:paraId="33DCD6B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36,2</w:t>
            </w:r>
          </w:p>
        </w:tc>
        <w:tc>
          <w:tcPr>
            <w:tcW w:w="787" w:type="dxa"/>
            <w:shd w:val="clear" w:color="auto" w:fill="FFFFFF"/>
          </w:tcPr>
          <w:p w14:paraId="3A26AE5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w:t>
            </w:r>
          </w:p>
        </w:tc>
        <w:tc>
          <w:tcPr>
            <w:tcW w:w="1109" w:type="dxa"/>
            <w:shd w:val="clear" w:color="auto" w:fill="FFFFFF"/>
          </w:tcPr>
          <w:p w14:paraId="78FACA0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51,0</w:t>
            </w:r>
          </w:p>
        </w:tc>
        <w:tc>
          <w:tcPr>
            <w:tcW w:w="1066" w:type="dxa"/>
            <w:shd w:val="clear" w:color="auto" w:fill="FFFFFF"/>
          </w:tcPr>
          <w:p w14:paraId="4825052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58,6</w:t>
            </w:r>
          </w:p>
        </w:tc>
      </w:tr>
      <w:tr w:rsidR="00B834A2" w:rsidRPr="00D16259" w14:paraId="729AB61C" w14:textId="77777777" w:rsidTr="00D16259">
        <w:trPr>
          <w:cantSplit/>
        </w:trPr>
        <w:tc>
          <w:tcPr>
            <w:tcW w:w="941" w:type="dxa"/>
            <w:shd w:val="clear" w:color="auto" w:fill="FFFFFF"/>
          </w:tcPr>
          <w:p w14:paraId="07F573A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1114" w:type="dxa"/>
            <w:shd w:val="clear" w:color="auto" w:fill="FFFFFF"/>
          </w:tcPr>
          <w:p w14:paraId="6E62036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7,81</w:t>
            </w:r>
          </w:p>
        </w:tc>
        <w:tc>
          <w:tcPr>
            <w:tcW w:w="1166" w:type="dxa"/>
            <w:shd w:val="clear" w:color="auto" w:fill="FFFFFF"/>
          </w:tcPr>
          <w:p w14:paraId="4129D31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11,3</w:t>
            </w:r>
          </w:p>
        </w:tc>
        <w:tc>
          <w:tcPr>
            <w:tcW w:w="874" w:type="dxa"/>
            <w:shd w:val="clear" w:color="auto" w:fill="FFFFFF"/>
          </w:tcPr>
          <w:p w14:paraId="7C952F6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1109" w:type="dxa"/>
            <w:shd w:val="clear" w:color="auto" w:fill="FFFFFF"/>
          </w:tcPr>
          <w:p w14:paraId="0247F51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31,4</w:t>
            </w:r>
          </w:p>
        </w:tc>
        <w:tc>
          <w:tcPr>
            <w:tcW w:w="1258" w:type="dxa"/>
            <w:shd w:val="clear" w:color="auto" w:fill="FFFFFF"/>
          </w:tcPr>
          <w:p w14:paraId="1D91F3E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37,6</w:t>
            </w:r>
          </w:p>
        </w:tc>
        <w:tc>
          <w:tcPr>
            <w:tcW w:w="787" w:type="dxa"/>
            <w:shd w:val="clear" w:color="auto" w:fill="FFFFFF"/>
          </w:tcPr>
          <w:p w14:paraId="0345E30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w:t>
            </w:r>
          </w:p>
        </w:tc>
        <w:tc>
          <w:tcPr>
            <w:tcW w:w="1109" w:type="dxa"/>
            <w:shd w:val="clear" w:color="auto" w:fill="FFFFFF"/>
          </w:tcPr>
          <w:p w14:paraId="2B221C7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52,2</w:t>
            </w:r>
          </w:p>
        </w:tc>
        <w:tc>
          <w:tcPr>
            <w:tcW w:w="1066" w:type="dxa"/>
            <w:shd w:val="clear" w:color="auto" w:fill="FFFFFF"/>
          </w:tcPr>
          <w:p w14:paraId="56AAD42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59,9</w:t>
            </w:r>
          </w:p>
        </w:tc>
      </w:tr>
      <w:tr w:rsidR="00B834A2" w:rsidRPr="00D16259" w14:paraId="2BA065B3" w14:textId="77777777" w:rsidTr="00D16259">
        <w:trPr>
          <w:cantSplit/>
        </w:trPr>
        <w:tc>
          <w:tcPr>
            <w:tcW w:w="941" w:type="dxa"/>
            <w:shd w:val="clear" w:color="auto" w:fill="FFFFFF"/>
          </w:tcPr>
          <w:p w14:paraId="3449425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w:t>
            </w:r>
          </w:p>
        </w:tc>
        <w:tc>
          <w:tcPr>
            <w:tcW w:w="1114" w:type="dxa"/>
            <w:shd w:val="clear" w:color="auto" w:fill="FFFFFF"/>
          </w:tcPr>
          <w:p w14:paraId="7983BCB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9,49</w:t>
            </w:r>
          </w:p>
        </w:tc>
        <w:tc>
          <w:tcPr>
            <w:tcW w:w="1166" w:type="dxa"/>
            <w:shd w:val="clear" w:color="auto" w:fill="FFFFFF"/>
          </w:tcPr>
          <w:p w14:paraId="4DEC2EB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13,3</w:t>
            </w:r>
          </w:p>
        </w:tc>
        <w:tc>
          <w:tcPr>
            <w:tcW w:w="874" w:type="dxa"/>
            <w:shd w:val="clear" w:color="auto" w:fill="FFFFFF"/>
          </w:tcPr>
          <w:p w14:paraId="78C837B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w:t>
            </w:r>
          </w:p>
        </w:tc>
        <w:tc>
          <w:tcPr>
            <w:tcW w:w="1109" w:type="dxa"/>
            <w:shd w:val="clear" w:color="auto" w:fill="FFFFFF"/>
          </w:tcPr>
          <w:p w14:paraId="340DFAD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32,7</w:t>
            </w:r>
          </w:p>
        </w:tc>
        <w:tc>
          <w:tcPr>
            <w:tcW w:w="1258" w:type="dxa"/>
            <w:shd w:val="clear" w:color="auto" w:fill="FFFFFF"/>
          </w:tcPr>
          <w:p w14:paraId="175BD24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38,9</w:t>
            </w:r>
          </w:p>
        </w:tc>
        <w:tc>
          <w:tcPr>
            <w:tcW w:w="787" w:type="dxa"/>
            <w:shd w:val="clear" w:color="auto" w:fill="FFFFFF"/>
          </w:tcPr>
          <w:p w14:paraId="389FE4E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w:t>
            </w:r>
          </w:p>
        </w:tc>
        <w:tc>
          <w:tcPr>
            <w:tcW w:w="1109" w:type="dxa"/>
            <w:shd w:val="clear" w:color="auto" w:fill="FFFFFF"/>
          </w:tcPr>
          <w:p w14:paraId="691C972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53,4</w:t>
            </w:r>
          </w:p>
        </w:tc>
        <w:tc>
          <w:tcPr>
            <w:tcW w:w="1066" w:type="dxa"/>
            <w:shd w:val="clear" w:color="auto" w:fill="FFFFFF"/>
          </w:tcPr>
          <w:p w14:paraId="08E09AD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61,2</w:t>
            </w:r>
          </w:p>
        </w:tc>
      </w:tr>
      <w:tr w:rsidR="00B834A2" w:rsidRPr="00D16259" w14:paraId="13C000DD" w14:textId="77777777" w:rsidTr="00D16259">
        <w:trPr>
          <w:cantSplit/>
        </w:trPr>
        <w:tc>
          <w:tcPr>
            <w:tcW w:w="941" w:type="dxa"/>
            <w:shd w:val="clear" w:color="auto" w:fill="FFFFFF"/>
          </w:tcPr>
          <w:p w14:paraId="436A3DB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w:t>
            </w:r>
          </w:p>
        </w:tc>
        <w:tc>
          <w:tcPr>
            <w:tcW w:w="1114" w:type="dxa"/>
            <w:shd w:val="clear" w:color="auto" w:fill="FFFFFF"/>
          </w:tcPr>
          <w:p w14:paraId="5DCEB6C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11,1</w:t>
            </w:r>
          </w:p>
        </w:tc>
        <w:tc>
          <w:tcPr>
            <w:tcW w:w="1166" w:type="dxa"/>
            <w:shd w:val="clear" w:color="auto" w:fill="FFFFFF"/>
          </w:tcPr>
          <w:p w14:paraId="5E47B31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15,1</w:t>
            </w:r>
          </w:p>
        </w:tc>
        <w:tc>
          <w:tcPr>
            <w:tcW w:w="874" w:type="dxa"/>
            <w:shd w:val="clear" w:color="auto" w:fill="FFFFFF"/>
          </w:tcPr>
          <w:p w14:paraId="7FAE19F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w:t>
            </w:r>
          </w:p>
        </w:tc>
        <w:tc>
          <w:tcPr>
            <w:tcW w:w="1109" w:type="dxa"/>
            <w:shd w:val="clear" w:color="auto" w:fill="FFFFFF"/>
          </w:tcPr>
          <w:p w14:paraId="552659A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33,9</w:t>
            </w:r>
          </w:p>
        </w:tc>
        <w:tc>
          <w:tcPr>
            <w:tcW w:w="1258" w:type="dxa"/>
            <w:shd w:val="clear" w:color="auto" w:fill="FFFFFF"/>
          </w:tcPr>
          <w:p w14:paraId="3B49C4D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40,3</w:t>
            </w:r>
          </w:p>
        </w:tc>
        <w:tc>
          <w:tcPr>
            <w:tcW w:w="787" w:type="dxa"/>
            <w:shd w:val="clear" w:color="auto" w:fill="FFFFFF"/>
          </w:tcPr>
          <w:p w14:paraId="1810506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39</w:t>
            </w:r>
          </w:p>
        </w:tc>
        <w:tc>
          <w:tcPr>
            <w:tcW w:w="1109" w:type="dxa"/>
            <w:shd w:val="clear" w:color="auto" w:fill="FFFFFF"/>
          </w:tcPr>
          <w:p w14:paraId="44E96E6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54,6</w:t>
            </w:r>
          </w:p>
        </w:tc>
        <w:tc>
          <w:tcPr>
            <w:tcW w:w="1066" w:type="dxa"/>
            <w:shd w:val="clear" w:color="auto" w:fill="FFFFFF"/>
          </w:tcPr>
          <w:p w14:paraId="4A3CA62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62,4</w:t>
            </w:r>
          </w:p>
        </w:tc>
      </w:tr>
      <w:tr w:rsidR="00B834A2" w:rsidRPr="00D16259" w14:paraId="1DC00ADD" w14:textId="77777777" w:rsidTr="00D16259">
        <w:trPr>
          <w:cantSplit/>
        </w:trPr>
        <w:tc>
          <w:tcPr>
            <w:tcW w:w="941" w:type="dxa"/>
            <w:shd w:val="clear" w:color="auto" w:fill="FFFFFF"/>
          </w:tcPr>
          <w:p w14:paraId="47EDE31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w:t>
            </w:r>
          </w:p>
        </w:tc>
        <w:tc>
          <w:tcPr>
            <w:tcW w:w="1114" w:type="dxa"/>
            <w:shd w:val="clear" w:color="auto" w:fill="FFFFFF"/>
          </w:tcPr>
          <w:p w14:paraId="0C2CF9A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12,6</w:t>
            </w:r>
          </w:p>
        </w:tc>
        <w:tc>
          <w:tcPr>
            <w:tcW w:w="1166" w:type="dxa"/>
            <w:shd w:val="clear" w:color="auto" w:fill="FFFFFF"/>
          </w:tcPr>
          <w:p w14:paraId="3471C2B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16,8</w:t>
            </w:r>
          </w:p>
        </w:tc>
        <w:tc>
          <w:tcPr>
            <w:tcW w:w="874" w:type="dxa"/>
            <w:shd w:val="clear" w:color="auto" w:fill="FFFFFF"/>
          </w:tcPr>
          <w:p w14:paraId="0B480B4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w:t>
            </w:r>
          </w:p>
        </w:tc>
        <w:tc>
          <w:tcPr>
            <w:tcW w:w="1109" w:type="dxa"/>
            <w:shd w:val="clear" w:color="auto" w:fill="FFFFFF"/>
          </w:tcPr>
          <w:p w14:paraId="65E45A2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35,2</w:t>
            </w:r>
          </w:p>
        </w:tc>
        <w:tc>
          <w:tcPr>
            <w:tcW w:w="1258" w:type="dxa"/>
            <w:shd w:val="clear" w:color="auto" w:fill="FFFFFF"/>
          </w:tcPr>
          <w:p w14:paraId="0462B9E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41,6</w:t>
            </w:r>
          </w:p>
        </w:tc>
        <w:tc>
          <w:tcPr>
            <w:tcW w:w="787" w:type="dxa"/>
            <w:shd w:val="clear" w:color="auto" w:fill="FFFFFF"/>
          </w:tcPr>
          <w:p w14:paraId="5A8357F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w:t>
            </w:r>
          </w:p>
        </w:tc>
        <w:tc>
          <w:tcPr>
            <w:tcW w:w="1109" w:type="dxa"/>
            <w:shd w:val="clear" w:color="auto" w:fill="FFFFFF"/>
          </w:tcPr>
          <w:p w14:paraId="7BD298A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55,8</w:t>
            </w:r>
          </w:p>
        </w:tc>
        <w:tc>
          <w:tcPr>
            <w:tcW w:w="1066" w:type="dxa"/>
            <w:shd w:val="clear" w:color="auto" w:fill="FFFFFF"/>
          </w:tcPr>
          <w:p w14:paraId="5936935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63,7</w:t>
            </w:r>
          </w:p>
        </w:tc>
      </w:tr>
      <w:tr w:rsidR="00B834A2" w:rsidRPr="00D16259" w14:paraId="5B978E4A" w14:textId="77777777" w:rsidTr="00D16259">
        <w:trPr>
          <w:cantSplit/>
        </w:trPr>
        <w:tc>
          <w:tcPr>
            <w:tcW w:w="941" w:type="dxa"/>
            <w:shd w:val="clear" w:color="auto" w:fill="FFFFFF"/>
          </w:tcPr>
          <w:p w14:paraId="6B6D7CF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w:t>
            </w:r>
          </w:p>
        </w:tc>
        <w:tc>
          <w:tcPr>
            <w:tcW w:w="1114" w:type="dxa"/>
            <w:shd w:val="clear" w:color="auto" w:fill="FFFFFF"/>
          </w:tcPr>
          <w:p w14:paraId="6260619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14,1</w:t>
            </w:r>
          </w:p>
        </w:tc>
        <w:tc>
          <w:tcPr>
            <w:tcW w:w="1166" w:type="dxa"/>
            <w:shd w:val="clear" w:color="auto" w:fill="FFFFFF"/>
          </w:tcPr>
          <w:p w14:paraId="268D489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18,5</w:t>
            </w:r>
          </w:p>
        </w:tc>
        <w:tc>
          <w:tcPr>
            <w:tcW w:w="874" w:type="dxa"/>
            <w:shd w:val="clear" w:color="auto" w:fill="FFFFFF"/>
          </w:tcPr>
          <w:p w14:paraId="15273F3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24</w:t>
            </w:r>
          </w:p>
        </w:tc>
        <w:tc>
          <w:tcPr>
            <w:tcW w:w="1109" w:type="dxa"/>
            <w:shd w:val="clear" w:color="auto" w:fill="FFFFFF"/>
          </w:tcPr>
          <w:p w14:paraId="1DB12A2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36,4</w:t>
            </w:r>
          </w:p>
        </w:tc>
        <w:tc>
          <w:tcPr>
            <w:tcW w:w="1258" w:type="dxa"/>
            <w:shd w:val="clear" w:color="auto" w:fill="FFFFFF"/>
          </w:tcPr>
          <w:p w14:paraId="30ABCA3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43,0</w:t>
            </w:r>
          </w:p>
        </w:tc>
        <w:tc>
          <w:tcPr>
            <w:tcW w:w="787" w:type="dxa"/>
            <w:shd w:val="clear" w:color="auto" w:fill="FFFFFF"/>
          </w:tcPr>
          <w:p w14:paraId="4979F0A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w:t>
            </w:r>
          </w:p>
        </w:tc>
        <w:tc>
          <w:tcPr>
            <w:tcW w:w="1109" w:type="dxa"/>
            <w:shd w:val="clear" w:color="auto" w:fill="FFFFFF"/>
          </w:tcPr>
          <w:p w14:paraId="661231D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56,9</w:t>
            </w:r>
          </w:p>
        </w:tc>
        <w:tc>
          <w:tcPr>
            <w:tcW w:w="1066" w:type="dxa"/>
            <w:shd w:val="clear" w:color="auto" w:fill="FFFFFF"/>
          </w:tcPr>
          <w:p w14:paraId="630F435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65,0</w:t>
            </w:r>
          </w:p>
        </w:tc>
      </w:tr>
      <w:tr w:rsidR="00B834A2" w:rsidRPr="00D16259" w14:paraId="0BE75ED7" w14:textId="77777777" w:rsidTr="00D16259">
        <w:trPr>
          <w:cantSplit/>
        </w:trPr>
        <w:tc>
          <w:tcPr>
            <w:tcW w:w="941" w:type="dxa"/>
            <w:shd w:val="clear" w:color="auto" w:fill="FFFFFF"/>
          </w:tcPr>
          <w:p w14:paraId="603A885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w:t>
            </w:r>
          </w:p>
        </w:tc>
        <w:tc>
          <w:tcPr>
            <w:tcW w:w="1114" w:type="dxa"/>
            <w:shd w:val="clear" w:color="auto" w:fill="FFFFFF"/>
          </w:tcPr>
          <w:p w14:paraId="408E760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15,5</w:t>
            </w:r>
          </w:p>
        </w:tc>
        <w:tc>
          <w:tcPr>
            <w:tcW w:w="1166" w:type="dxa"/>
            <w:shd w:val="clear" w:color="auto" w:fill="FFFFFF"/>
          </w:tcPr>
          <w:p w14:paraId="345302B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20,1</w:t>
            </w:r>
          </w:p>
        </w:tc>
        <w:tc>
          <w:tcPr>
            <w:tcW w:w="874" w:type="dxa"/>
            <w:shd w:val="clear" w:color="auto" w:fill="FFFFFF"/>
          </w:tcPr>
          <w:p w14:paraId="6F9C49A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w:t>
            </w:r>
          </w:p>
        </w:tc>
        <w:tc>
          <w:tcPr>
            <w:tcW w:w="1109" w:type="dxa"/>
            <w:shd w:val="clear" w:color="auto" w:fill="FFFFFF"/>
          </w:tcPr>
          <w:p w14:paraId="59C33CD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37,7</w:t>
            </w:r>
          </w:p>
        </w:tc>
        <w:tc>
          <w:tcPr>
            <w:tcW w:w="1258" w:type="dxa"/>
            <w:shd w:val="clear" w:color="auto" w:fill="FFFFFF"/>
          </w:tcPr>
          <w:p w14:paraId="32024A4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44,3</w:t>
            </w:r>
          </w:p>
        </w:tc>
        <w:tc>
          <w:tcPr>
            <w:tcW w:w="787" w:type="dxa"/>
            <w:shd w:val="clear" w:color="auto" w:fill="FFFFFF"/>
          </w:tcPr>
          <w:p w14:paraId="1CE8E39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42</w:t>
            </w:r>
          </w:p>
        </w:tc>
        <w:tc>
          <w:tcPr>
            <w:tcW w:w="1109" w:type="dxa"/>
            <w:shd w:val="clear" w:color="auto" w:fill="FFFFFF"/>
          </w:tcPr>
          <w:p w14:paraId="2D6F97C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58,1</w:t>
            </w:r>
          </w:p>
        </w:tc>
        <w:tc>
          <w:tcPr>
            <w:tcW w:w="1066" w:type="dxa"/>
            <w:shd w:val="clear" w:color="auto" w:fill="FFFFFF"/>
          </w:tcPr>
          <w:p w14:paraId="2D1EA68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66,2</w:t>
            </w:r>
          </w:p>
        </w:tc>
      </w:tr>
      <w:tr w:rsidR="00B834A2" w:rsidRPr="00D16259" w14:paraId="56EC1982" w14:textId="77777777" w:rsidTr="00D16259">
        <w:trPr>
          <w:cantSplit/>
        </w:trPr>
        <w:tc>
          <w:tcPr>
            <w:tcW w:w="941" w:type="dxa"/>
            <w:shd w:val="clear" w:color="auto" w:fill="FFFFFF"/>
          </w:tcPr>
          <w:p w14:paraId="462E10C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w:t>
            </w:r>
          </w:p>
        </w:tc>
        <w:tc>
          <w:tcPr>
            <w:tcW w:w="1114" w:type="dxa"/>
            <w:shd w:val="clear" w:color="auto" w:fill="FFFFFF"/>
          </w:tcPr>
          <w:p w14:paraId="7045B43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16,9</w:t>
            </w:r>
          </w:p>
        </w:tc>
        <w:tc>
          <w:tcPr>
            <w:tcW w:w="1166" w:type="dxa"/>
            <w:shd w:val="clear" w:color="auto" w:fill="FFFFFF"/>
          </w:tcPr>
          <w:p w14:paraId="3D1FCF1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21,7</w:t>
            </w:r>
          </w:p>
        </w:tc>
        <w:tc>
          <w:tcPr>
            <w:tcW w:w="874" w:type="dxa"/>
            <w:shd w:val="clear" w:color="auto" w:fill="FFFFFF"/>
          </w:tcPr>
          <w:p w14:paraId="0857896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w:t>
            </w:r>
          </w:p>
        </w:tc>
        <w:tc>
          <w:tcPr>
            <w:tcW w:w="1109" w:type="dxa"/>
            <w:shd w:val="clear" w:color="auto" w:fill="FFFFFF"/>
          </w:tcPr>
          <w:p w14:paraId="21401B0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38,9</w:t>
            </w:r>
          </w:p>
        </w:tc>
        <w:tc>
          <w:tcPr>
            <w:tcW w:w="1258" w:type="dxa"/>
            <w:shd w:val="clear" w:color="auto" w:fill="FFFFFF"/>
          </w:tcPr>
          <w:p w14:paraId="33599BC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45,6</w:t>
            </w:r>
          </w:p>
        </w:tc>
        <w:tc>
          <w:tcPr>
            <w:tcW w:w="787" w:type="dxa"/>
            <w:shd w:val="clear" w:color="auto" w:fill="FFFFFF"/>
          </w:tcPr>
          <w:p w14:paraId="0FB92E8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w:t>
            </w:r>
          </w:p>
        </w:tc>
        <w:tc>
          <w:tcPr>
            <w:tcW w:w="1109" w:type="dxa"/>
            <w:shd w:val="clear" w:color="auto" w:fill="FFFFFF"/>
          </w:tcPr>
          <w:p w14:paraId="4E39DA3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59,3</w:t>
            </w:r>
          </w:p>
        </w:tc>
        <w:tc>
          <w:tcPr>
            <w:tcW w:w="1066" w:type="dxa"/>
            <w:shd w:val="clear" w:color="auto" w:fill="FFFFFF"/>
          </w:tcPr>
          <w:p w14:paraId="1C75312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67,5</w:t>
            </w:r>
          </w:p>
        </w:tc>
      </w:tr>
      <w:tr w:rsidR="00B834A2" w:rsidRPr="00D16259" w14:paraId="19B9B3C8" w14:textId="77777777" w:rsidTr="00D16259">
        <w:trPr>
          <w:cantSplit/>
        </w:trPr>
        <w:tc>
          <w:tcPr>
            <w:tcW w:w="941" w:type="dxa"/>
            <w:shd w:val="clear" w:color="auto" w:fill="FFFFFF"/>
          </w:tcPr>
          <w:p w14:paraId="3A9B76B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w:t>
            </w:r>
          </w:p>
        </w:tc>
        <w:tc>
          <w:tcPr>
            <w:tcW w:w="1114" w:type="dxa"/>
            <w:shd w:val="clear" w:color="auto" w:fill="FFFFFF"/>
          </w:tcPr>
          <w:p w14:paraId="7926A9F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18,3</w:t>
            </w:r>
          </w:p>
        </w:tc>
        <w:tc>
          <w:tcPr>
            <w:tcW w:w="1166" w:type="dxa"/>
            <w:shd w:val="clear" w:color="auto" w:fill="FFFFFF"/>
          </w:tcPr>
          <w:p w14:paraId="5B5448B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23,2</w:t>
            </w:r>
          </w:p>
        </w:tc>
        <w:tc>
          <w:tcPr>
            <w:tcW w:w="874" w:type="dxa"/>
            <w:shd w:val="clear" w:color="auto" w:fill="FFFFFF"/>
          </w:tcPr>
          <w:p w14:paraId="4B77885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w:t>
            </w:r>
          </w:p>
        </w:tc>
        <w:tc>
          <w:tcPr>
            <w:tcW w:w="1109" w:type="dxa"/>
            <w:shd w:val="clear" w:color="auto" w:fill="FFFFFF"/>
          </w:tcPr>
          <w:p w14:paraId="43B6AAA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40,1</w:t>
            </w:r>
          </w:p>
        </w:tc>
        <w:tc>
          <w:tcPr>
            <w:tcW w:w="1258" w:type="dxa"/>
            <w:shd w:val="clear" w:color="auto" w:fill="FFFFFF"/>
          </w:tcPr>
          <w:p w14:paraId="51BEA1B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47,0</w:t>
            </w:r>
          </w:p>
        </w:tc>
        <w:tc>
          <w:tcPr>
            <w:tcW w:w="787" w:type="dxa"/>
            <w:shd w:val="clear" w:color="auto" w:fill="FFFFFF"/>
          </w:tcPr>
          <w:p w14:paraId="194EAE6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44</w:t>
            </w:r>
          </w:p>
        </w:tc>
        <w:tc>
          <w:tcPr>
            <w:tcW w:w="1109" w:type="dxa"/>
            <w:shd w:val="clear" w:color="auto" w:fill="FFFFFF"/>
          </w:tcPr>
          <w:p w14:paraId="7A85F68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60,5</w:t>
            </w:r>
          </w:p>
        </w:tc>
        <w:tc>
          <w:tcPr>
            <w:tcW w:w="1066" w:type="dxa"/>
            <w:shd w:val="clear" w:color="auto" w:fill="FFFFFF"/>
          </w:tcPr>
          <w:p w14:paraId="00500AC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68,7</w:t>
            </w:r>
          </w:p>
        </w:tc>
      </w:tr>
      <w:tr w:rsidR="00B834A2" w:rsidRPr="00D16259" w14:paraId="24DE042F" w14:textId="77777777" w:rsidTr="00D16259">
        <w:trPr>
          <w:cantSplit/>
        </w:trPr>
        <w:tc>
          <w:tcPr>
            <w:tcW w:w="941" w:type="dxa"/>
            <w:shd w:val="clear" w:color="auto" w:fill="FFFFFF"/>
          </w:tcPr>
          <w:p w14:paraId="0432CA7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11</w:t>
            </w:r>
          </w:p>
        </w:tc>
        <w:tc>
          <w:tcPr>
            <w:tcW w:w="1114" w:type="dxa"/>
            <w:shd w:val="clear" w:color="auto" w:fill="FFFFFF"/>
          </w:tcPr>
          <w:p w14:paraId="2B8CF72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19,7</w:t>
            </w:r>
          </w:p>
        </w:tc>
        <w:tc>
          <w:tcPr>
            <w:tcW w:w="1166" w:type="dxa"/>
            <w:shd w:val="clear" w:color="auto" w:fill="FFFFFF"/>
          </w:tcPr>
          <w:p w14:paraId="59F31FC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24,7</w:t>
            </w:r>
          </w:p>
        </w:tc>
        <w:tc>
          <w:tcPr>
            <w:tcW w:w="874" w:type="dxa"/>
            <w:shd w:val="clear" w:color="auto" w:fill="FFFFFF"/>
          </w:tcPr>
          <w:p w14:paraId="5F168AE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w:t>
            </w:r>
          </w:p>
        </w:tc>
        <w:tc>
          <w:tcPr>
            <w:tcW w:w="1109" w:type="dxa"/>
            <w:shd w:val="clear" w:color="auto" w:fill="FFFFFF"/>
          </w:tcPr>
          <w:p w14:paraId="7EDAAA0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41,3</w:t>
            </w:r>
          </w:p>
        </w:tc>
        <w:tc>
          <w:tcPr>
            <w:tcW w:w="1258" w:type="dxa"/>
            <w:shd w:val="clear" w:color="auto" w:fill="FFFFFF"/>
          </w:tcPr>
          <w:p w14:paraId="25BAF6D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48,3</w:t>
            </w:r>
          </w:p>
        </w:tc>
        <w:tc>
          <w:tcPr>
            <w:tcW w:w="787" w:type="dxa"/>
            <w:shd w:val="clear" w:color="auto" w:fill="FFFFFF"/>
          </w:tcPr>
          <w:p w14:paraId="109D480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w:t>
            </w:r>
          </w:p>
        </w:tc>
        <w:tc>
          <w:tcPr>
            <w:tcW w:w="1109" w:type="dxa"/>
            <w:shd w:val="clear" w:color="auto" w:fill="FFFFFF"/>
          </w:tcPr>
          <w:p w14:paraId="7CE1739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61,7</w:t>
            </w:r>
          </w:p>
        </w:tc>
        <w:tc>
          <w:tcPr>
            <w:tcW w:w="1066" w:type="dxa"/>
            <w:shd w:val="clear" w:color="auto" w:fill="FFFFFF"/>
          </w:tcPr>
          <w:p w14:paraId="701D088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70,0</w:t>
            </w:r>
          </w:p>
        </w:tc>
      </w:tr>
      <w:tr w:rsidR="00B834A2" w:rsidRPr="00D16259" w14:paraId="3EFD9B67" w14:textId="77777777" w:rsidTr="00D16259">
        <w:trPr>
          <w:cantSplit/>
        </w:trPr>
        <w:tc>
          <w:tcPr>
            <w:tcW w:w="941" w:type="dxa"/>
            <w:shd w:val="clear" w:color="auto" w:fill="FFFFFF"/>
          </w:tcPr>
          <w:p w14:paraId="7453356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c>
          <w:tcPr>
            <w:tcW w:w="1114" w:type="dxa"/>
            <w:shd w:val="clear" w:color="auto" w:fill="FFFFFF"/>
          </w:tcPr>
          <w:p w14:paraId="373457F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21,0</w:t>
            </w:r>
          </w:p>
        </w:tc>
        <w:tc>
          <w:tcPr>
            <w:tcW w:w="1166" w:type="dxa"/>
            <w:shd w:val="clear" w:color="auto" w:fill="FFFFFF"/>
          </w:tcPr>
          <w:p w14:paraId="6E200E6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26,2</w:t>
            </w:r>
          </w:p>
        </w:tc>
        <w:tc>
          <w:tcPr>
            <w:tcW w:w="874" w:type="dxa"/>
            <w:shd w:val="clear" w:color="auto" w:fill="FFFFFF"/>
          </w:tcPr>
          <w:p w14:paraId="5ED6480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w:t>
            </w:r>
          </w:p>
        </w:tc>
        <w:tc>
          <w:tcPr>
            <w:tcW w:w="1109" w:type="dxa"/>
            <w:shd w:val="clear" w:color="auto" w:fill="FFFFFF"/>
          </w:tcPr>
          <w:p w14:paraId="5D9746F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42,6</w:t>
            </w:r>
          </w:p>
        </w:tc>
        <w:tc>
          <w:tcPr>
            <w:tcW w:w="1258" w:type="dxa"/>
            <w:shd w:val="clear" w:color="auto" w:fill="FFFFFF"/>
          </w:tcPr>
          <w:p w14:paraId="0F8AFBB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49,6</w:t>
            </w:r>
          </w:p>
        </w:tc>
        <w:tc>
          <w:tcPr>
            <w:tcW w:w="787" w:type="dxa"/>
            <w:shd w:val="clear" w:color="auto" w:fill="FFFFFF"/>
          </w:tcPr>
          <w:p w14:paraId="61E7E1A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w:t>
            </w:r>
          </w:p>
        </w:tc>
        <w:tc>
          <w:tcPr>
            <w:tcW w:w="1109" w:type="dxa"/>
            <w:shd w:val="clear" w:color="auto" w:fill="FFFFFF"/>
          </w:tcPr>
          <w:p w14:paraId="17C9217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62,8</w:t>
            </w:r>
          </w:p>
        </w:tc>
        <w:tc>
          <w:tcPr>
            <w:tcW w:w="1066" w:type="dxa"/>
            <w:shd w:val="clear" w:color="auto" w:fill="FFFFFF"/>
          </w:tcPr>
          <w:p w14:paraId="1A15522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71,2</w:t>
            </w:r>
          </w:p>
        </w:tc>
      </w:tr>
      <w:tr w:rsidR="00B834A2" w:rsidRPr="00D16259" w14:paraId="02A35B42" w14:textId="77777777" w:rsidTr="00D16259">
        <w:trPr>
          <w:cantSplit/>
        </w:trPr>
        <w:tc>
          <w:tcPr>
            <w:tcW w:w="941" w:type="dxa"/>
            <w:shd w:val="clear" w:color="auto" w:fill="FFFFFF"/>
          </w:tcPr>
          <w:p w14:paraId="223F943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13</w:t>
            </w:r>
          </w:p>
        </w:tc>
        <w:tc>
          <w:tcPr>
            <w:tcW w:w="1114" w:type="dxa"/>
            <w:shd w:val="clear" w:color="auto" w:fill="FFFFFF"/>
          </w:tcPr>
          <w:p w14:paraId="7C25B4A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22,4</w:t>
            </w:r>
          </w:p>
        </w:tc>
        <w:tc>
          <w:tcPr>
            <w:tcW w:w="1166" w:type="dxa"/>
            <w:shd w:val="clear" w:color="auto" w:fill="FFFFFF"/>
          </w:tcPr>
          <w:p w14:paraId="4D8F7C9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27,7</w:t>
            </w:r>
          </w:p>
        </w:tc>
        <w:tc>
          <w:tcPr>
            <w:tcW w:w="874" w:type="dxa"/>
            <w:shd w:val="clear" w:color="auto" w:fill="FFFFFF"/>
          </w:tcPr>
          <w:p w14:paraId="14ABDA0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w:t>
            </w:r>
          </w:p>
        </w:tc>
        <w:tc>
          <w:tcPr>
            <w:tcW w:w="1109" w:type="dxa"/>
            <w:shd w:val="clear" w:color="auto" w:fill="FFFFFF"/>
          </w:tcPr>
          <w:p w14:paraId="1FD79C8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43,8</w:t>
            </w:r>
          </w:p>
        </w:tc>
        <w:tc>
          <w:tcPr>
            <w:tcW w:w="1258" w:type="dxa"/>
            <w:shd w:val="clear" w:color="auto" w:fill="FFFFFF"/>
          </w:tcPr>
          <w:p w14:paraId="2D9CAF0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50,9</w:t>
            </w:r>
          </w:p>
        </w:tc>
        <w:tc>
          <w:tcPr>
            <w:tcW w:w="787" w:type="dxa"/>
            <w:shd w:val="clear" w:color="auto" w:fill="FFFFFF"/>
          </w:tcPr>
          <w:p w14:paraId="6EF44E8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w:t>
            </w:r>
          </w:p>
        </w:tc>
        <w:tc>
          <w:tcPr>
            <w:tcW w:w="1109" w:type="dxa"/>
            <w:shd w:val="clear" w:color="auto" w:fill="FFFFFF"/>
          </w:tcPr>
          <w:p w14:paraId="2D76665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64,0</w:t>
            </w:r>
          </w:p>
        </w:tc>
        <w:tc>
          <w:tcPr>
            <w:tcW w:w="1066" w:type="dxa"/>
            <w:shd w:val="clear" w:color="auto" w:fill="FFFFFF"/>
          </w:tcPr>
          <w:p w14:paraId="3240FFD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72,4</w:t>
            </w:r>
          </w:p>
        </w:tc>
      </w:tr>
      <w:tr w:rsidR="00B834A2" w:rsidRPr="00D16259" w14:paraId="7CEF6B22" w14:textId="77777777" w:rsidTr="00D16259">
        <w:trPr>
          <w:cantSplit/>
        </w:trPr>
        <w:tc>
          <w:tcPr>
            <w:tcW w:w="941" w:type="dxa"/>
            <w:shd w:val="clear" w:color="auto" w:fill="FFFFFF"/>
          </w:tcPr>
          <w:p w14:paraId="4FF0B46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w:t>
            </w:r>
          </w:p>
        </w:tc>
        <w:tc>
          <w:tcPr>
            <w:tcW w:w="1114" w:type="dxa"/>
            <w:shd w:val="clear" w:color="auto" w:fill="FFFFFF"/>
          </w:tcPr>
          <w:p w14:paraId="604529C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23,7</w:t>
            </w:r>
          </w:p>
        </w:tc>
        <w:tc>
          <w:tcPr>
            <w:tcW w:w="1166" w:type="dxa"/>
            <w:shd w:val="clear" w:color="auto" w:fill="FFFFFF"/>
          </w:tcPr>
          <w:p w14:paraId="585FE89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29,1</w:t>
            </w:r>
          </w:p>
        </w:tc>
        <w:tc>
          <w:tcPr>
            <w:tcW w:w="874" w:type="dxa"/>
            <w:shd w:val="clear" w:color="auto" w:fill="FFFFFF"/>
          </w:tcPr>
          <w:p w14:paraId="726BD9E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w:t>
            </w:r>
          </w:p>
        </w:tc>
        <w:tc>
          <w:tcPr>
            <w:tcW w:w="1109" w:type="dxa"/>
            <w:shd w:val="clear" w:color="auto" w:fill="FFFFFF"/>
          </w:tcPr>
          <w:p w14:paraId="2E92567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45,0</w:t>
            </w:r>
          </w:p>
        </w:tc>
        <w:tc>
          <w:tcPr>
            <w:tcW w:w="1258" w:type="dxa"/>
            <w:shd w:val="clear" w:color="auto" w:fill="FFFFFF"/>
          </w:tcPr>
          <w:p w14:paraId="3F0C093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52,2</w:t>
            </w:r>
          </w:p>
        </w:tc>
        <w:tc>
          <w:tcPr>
            <w:tcW w:w="787" w:type="dxa"/>
            <w:shd w:val="clear" w:color="auto" w:fill="FFFFFF"/>
          </w:tcPr>
          <w:p w14:paraId="4BCB6C9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w:t>
            </w:r>
          </w:p>
        </w:tc>
        <w:tc>
          <w:tcPr>
            <w:tcW w:w="1109" w:type="dxa"/>
            <w:shd w:val="clear" w:color="auto" w:fill="FFFFFF"/>
          </w:tcPr>
          <w:p w14:paraId="561180E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65,2</w:t>
            </w:r>
          </w:p>
        </w:tc>
        <w:tc>
          <w:tcPr>
            <w:tcW w:w="1066" w:type="dxa"/>
            <w:shd w:val="clear" w:color="auto" w:fill="FFFFFF"/>
          </w:tcPr>
          <w:p w14:paraId="788AB93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73,7</w:t>
            </w:r>
          </w:p>
        </w:tc>
      </w:tr>
      <w:tr w:rsidR="00B834A2" w:rsidRPr="00D16259" w14:paraId="72E67E9D" w14:textId="77777777" w:rsidTr="00D16259">
        <w:trPr>
          <w:cantSplit/>
        </w:trPr>
        <w:tc>
          <w:tcPr>
            <w:tcW w:w="941" w:type="dxa"/>
            <w:shd w:val="clear" w:color="auto" w:fill="FFFFFF"/>
          </w:tcPr>
          <w:p w14:paraId="07EDEB9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w:t>
            </w:r>
          </w:p>
        </w:tc>
        <w:tc>
          <w:tcPr>
            <w:tcW w:w="1114" w:type="dxa"/>
            <w:shd w:val="clear" w:color="auto" w:fill="FFFFFF"/>
          </w:tcPr>
          <w:p w14:paraId="4D72E90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25,0</w:t>
            </w:r>
          </w:p>
        </w:tc>
        <w:tc>
          <w:tcPr>
            <w:tcW w:w="1166" w:type="dxa"/>
            <w:shd w:val="clear" w:color="auto" w:fill="FFFFFF"/>
          </w:tcPr>
          <w:p w14:paraId="4C6272B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30,6</w:t>
            </w:r>
          </w:p>
        </w:tc>
        <w:tc>
          <w:tcPr>
            <w:tcW w:w="874" w:type="dxa"/>
            <w:shd w:val="clear" w:color="auto" w:fill="FFFFFF"/>
          </w:tcPr>
          <w:p w14:paraId="77D84AD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w:t>
            </w:r>
          </w:p>
        </w:tc>
        <w:tc>
          <w:tcPr>
            <w:tcW w:w="1109" w:type="dxa"/>
            <w:shd w:val="clear" w:color="auto" w:fill="FFFFFF"/>
          </w:tcPr>
          <w:p w14:paraId="3FBB40C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46,2</w:t>
            </w:r>
          </w:p>
        </w:tc>
        <w:tc>
          <w:tcPr>
            <w:tcW w:w="1258" w:type="dxa"/>
            <w:shd w:val="clear" w:color="auto" w:fill="FFFFFF"/>
          </w:tcPr>
          <w:p w14:paraId="0DB171C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53,5</w:t>
            </w:r>
          </w:p>
        </w:tc>
        <w:tc>
          <w:tcPr>
            <w:tcW w:w="787" w:type="dxa"/>
            <w:shd w:val="clear" w:color="auto" w:fill="FFFFFF"/>
          </w:tcPr>
          <w:p w14:paraId="6B67BF4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w:t>
            </w:r>
          </w:p>
        </w:tc>
        <w:tc>
          <w:tcPr>
            <w:tcW w:w="1109" w:type="dxa"/>
            <w:shd w:val="clear" w:color="auto" w:fill="FFFFFF"/>
          </w:tcPr>
          <w:p w14:paraId="0622FA8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66,3</w:t>
            </w:r>
          </w:p>
        </w:tc>
        <w:tc>
          <w:tcPr>
            <w:tcW w:w="1066" w:type="dxa"/>
            <w:shd w:val="clear" w:color="auto" w:fill="FFFFFF"/>
          </w:tcPr>
          <w:p w14:paraId="06F1521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74,9</w:t>
            </w:r>
          </w:p>
        </w:tc>
      </w:tr>
      <w:tr w:rsidR="00B834A2" w:rsidRPr="00D16259" w14:paraId="7152397F" w14:textId="77777777" w:rsidTr="00D16259">
        <w:trPr>
          <w:cantSplit/>
        </w:trPr>
        <w:tc>
          <w:tcPr>
            <w:tcW w:w="941" w:type="dxa"/>
            <w:shd w:val="clear" w:color="auto" w:fill="FFFFFF"/>
          </w:tcPr>
          <w:p w14:paraId="0F94337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w:t>
            </w:r>
          </w:p>
        </w:tc>
        <w:tc>
          <w:tcPr>
            <w:tcW w:w="1114" w:type="dxa"/>
            <w:shd w:val="clear" w:color="auto" w:fill="FFFFFF"/>
          </w:tcPr>
          <w:p w14:paraId="43871B6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26,3</w:t>
            </w:r>
          </w:p>
        </w:tc>
        <w:tc>
          <w:tcPr>
            <w:tcW w:w="1166" w:type="dxa"/>
            <w:shd w:val="clear" w:color="auto" w:fill="FFFFFF"/>
          </w:tcPr>
          <w:p w14:paraId="3132D04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32,0</w:t>
            </w:r>
          </w:p>
        </w:tc>
        <w:tc>
          <w:tcPr>
            <w:tcW w:w="874" w:type="dxa"/>
            <w:shd w:val="clear" w:color="auto" w:fill="FFFFFF"/>
          </w:tcPr>
          <w:p w14:paraId="056C09E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w:t>
            </w:r>
          </w:p>
        </w:tc>
        <w:tc>
          <w:tcPr>
            <w:tcW w:w="1109" w:type="dxa"/>
            <w:shd w:val="clear" w:color="auto" w:fill="FFFFFF"/>
          </w:tcPr>
          <w:p w14:paraId="1CC5D1C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47,4</w:t>
            </w:r>
          </w:p>
        </w:tc>
        <w:tc>
          <w:tcPr>
            <w:tcW w:w="1258" w:type="dxa"/>
            <w:shd w:val="clear" w:color="auto" w:fill="FFFFFF"/>
          </w:tcPr>
          <w:p w14:paraId="6C0D320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54,8</w:t>
            </w:r>
          </w:p>
        </w:tc>
        <w:tc>
          <w:tcPr>
            <w:tcW w:w="787" w:type="dxa"/>
            <w:shd w:val="clear" w:color="auto" w:fill="FFFFFF"/>
          </w:tcPr>
          <w:p w14:paraId="514530F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w:t>
            </w:r>
          </w:p>
        </w:tc>
        <w:tc>
          <w:tcPr>
            <w:tcW w:w="1109" w:type="dxa"/>
            <w:shd w:val="clear" w:color="auto" w:fill="FFFFFF"/>
          </w:tcPr>
          <w:p w14:paraId="6674B92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67,5</w:t>
            </w:r>
          </w:p>
        </w:tc>
        <w:tc>
          <w:tcPr>
            <w:tcW w:w="1066" w:type="dxa"/>
            <w:shd w:val="clear" w:color="auto" w:fill="FFFFFF"/>
          </w:tcPr>
          <w:p w14:paraId="26F0720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76,2</w:t>
            </w:r>
          </w:p>
        </w:tc>
      </w:tr>
      <w:tr w:rsidR="00D16259" w:rsidRPr="00D16259" w14:paraId="0FD5A4D7" w14:textId="77777777" w:rsidTr="00D16259">
        <w:trPr>
          <w:cantSplit/>
        </w:trPr>
        <w:tc>
          <w:tcPr>
            <w:tcW w:w="941" w:type="dxa"/>
            <w:shd w:val="clear" w:color="auto" w:fill="FFFFFF"/>
          </w:tcPr>
          <w:p w14:paraId="7A74B29F"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17</w:t>
            </w:r>
          </w:p>
        </w:tc>
        <w:tc>
          <w:tcPr>
            <w:tcW w:w="1114" w:type="dxa"/>
            <w:shd w:val="clear" w:color="auto" w:fill="FFFFFF"/>
          </w:tcPr>
          <w:p w14:paraId="69F576C5"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27,6</w:t>
            </w:r>
          </w:p>
        </w:tc>
        <w:tc>
          <w:tcPr>
            <w:tcW w:w="1166" w:type="dxa"/>
            <w:shd w:val="clear" w:color="auto" w:fill="FFFFFF"/>
          </w:tcPr>
          <w:p w14:paraId="08DA4AE5"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33,4</w:t>
            </w:r>
          </w:p>
        </w:tc>
        <w:tc>
          <w:tcPr>
            <w:tcW w:w="874" w:type="dxa"/>
            <w:shd w:val="clear" w:color="auto" w:fill="FFFFFF"/>
          </w:tcPr>
          <w:p w14:paraId="3977F92D"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w:t>
            </w:r>
          </w:p>
        </w:tc>
        <w:tc>
          <w:tcPr>
            <w:tcW w:w="1109" w:type="dxa"/>
            <w:shd w:val="clear" w:color="auto" w:fill="FFFFFF"/>
          </w:tcPr>
          <w:p w14:paraId="4A9EFFD9"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48,6</w:t>
            </w:r>
          </w:p>
        </w:tc>
        <w:tc>
          <w:tcPr>
            <w:tcW w:w="1258" w:type="dxa"/>
            <w:shd w:val="clear" w:color="auto" w:fill="FFFFFF"/>
          </w:tcPr>
          <w:p w14:paraId="50CA1321" w14:textId="77777777" w:rsidR="00D16259" w:rsidRPr="00D16259" w:rsidRDefault="00D16259" w:rsidP="0066617C">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56,1</w:t>
            </w:r>
          </w:p>
        </w:tc>
        <w:tc>
          <w:tcPr>
            <w:tcW w:w="787" w:type="dxa"/>
            <w:shd w:val="clear" w:color="auto" w:fill="FFFFFF"/>
          </w:tcPr>
          <w:p w14:paraId="734CB705" w14:textId="77777777" w:rsidR="00D16259" w:rsidRPr="00D16259" w:rsidRDefault="00D16259" w:rsidP="00D16259">
            <w:pPr>
              <w:pStyle w:val="Bodytext20"/>
              <w:shd w:val="clear" w:color="auto" w:fill="auto"/>
              <w:spacing w:before="0" w:line="240" w:lineRule="auto"/>
              <w:rPr>
                <w:rStyle w:val="Bodytext31Sylfaen9"/>
                <w:sz w:val="20"/>
                <w:szCs w:val="20"/>
              </w:rPr>
            </w:pPr>
          </w:p>
        </w:tc>
        <w:tc>
          <w:tcPr>
            <w:tcW w:w="1109" w:type="dxa"/>
            <w:shd w:val="clear" w:color="auto" w:fill="FFFFFF"/>
          </w:tcPr>
          <w:p w14:paraId="61163972" w14:textId="77777777" w:rsidR="00D16259" w:rsidRPr="00D16259" w:rsidRDefault="00D16259" w:rsidP="00D16259">
            <w:pPr>
              <w:pStyle w:val="Bodytext20"/>
              <w:shd w:val="clear" w:color="auto" w:fill="auto"/>
              <w:spacing w:before="0" w:line="240" w:lineRule="auto"/>
              <w:rPr>
                <w:rStyle w:val="Bodytext31Sylfaen9"/>
                <w:sz w:val="20"/>
                <w:szCs w:val="20"/>
              </w:rPr>
            </w:pPr>
          </w:p>
        </w:tc>
        <w:tc>
          <w:tcPr>
            <w:tcW w:w="1066" w:type="dxa"/>
            <w:shd w:val="clear" w:color="auto" w:fill="FFFFFF"/>
          </w:tcPr>
          <w:p w14:paraId="2CA6A35B" w14:textId="77777777" w:rsidR="00D16259" w:rsidRPr="00D16259" w:rsidRDefault="00D16259" w:rsidP="00D16259">
            <w:pPr>
              <w:pStyle w:val="Bodytext20"/>
              <w:shd w:val="clear" w:color="auto" w:fill="auto"/>
              <w:spacing w:before="0" w:line="240" w:lineRule="auto"/>
              <w:rPr>
                <w:rStyle w:val="Bodytext31Sylfaen9"/>
                <w:sz w:val="20"/>
                <w:szCs w:val="20"/>
              </w:rPr>
            </w:pPr>
          </w:p>
        </w:tc>
      </w:tr>
    </w:tbl>
    <w:p w14:paraId="12218A39" w14:textId="77777777" w:rsidR="00D16259" w:rsidRDefault="00D16259">
      <w:pPr>
        <w:rPr>
          <w:lang w:val="en-US"/>
        </w:rPr>
      </w:pPr>
    </w:p>
    <w:p w14:paraId="2BC07670" w14:textId="77777777" w:rsidR="00B834A2" w:rsidRPr="00B834A2" w:rsidRDefault="00000000" w:rsidP="00D16259">
      <w:pPr>
        <w:pStyle w:val="Tablecaption130"/>
        <w:shd w:val="clear" w:color="auto" w:fill="auto"/>
        <w:spacing w:after="160" w:line="360" w:lineRule="auto"/>
        <w:rPr>
          <w:rFonts w:eastAsia="Tahoma" w:cs="Tahoma"/>
          <w:i/>
          <w:sz w:val="24"/>
          <w:szCs w:val="24"/>
        </w:rPr>
      </w:pPr>
      <m:oMathPara>
        <m:oMath>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=0,1726+0,9569f+2,7115</m:t>
          </m:r>
          <m:rad>
            <m:radPr>
              <m:degHide m:val="1"/>
              <m:ctrlPr>
                <w:rPr>
                  <w:rFonts w:ascii="Cambria Math" w:hAnsi="Cambria Math"/>
                  <w:i/>
                  <w:sz w:val="24"/>
                  <w:szCs w:val="24"/>
                </w:rPr>
              </m:ctrlPr>
            </m:radPr>
            <m:deg/>
            <m:e>
              <m:r>
                <w:rPr>
                  <w:rFonts w:ascii="Cambria Math" w:hAnsi="Cambria Math"/>
                  <w:sz w:val="24"/>
                  <w:szCs w:val="24"/>
                </w:rPr>
                <m:t xml:space="preserve">f, եթե 1&lt; f&lt;30 եւ p=0,05.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=1,9759+0,9521f+3,7070</m:t>
              </m:r>
              <m:rad>
                <m:radPr>
                  <m:degHide m:val="1"/>
                  <m:ctrlPr>
                    <w:rPr>
                      <w:rFonts w:ascii="Cambria Math" w:hAnsi="Cambria Math"/>
                      <w:i/>
                      <w:sz w:val="24"/>
                      <w:szCs w:val="24"/>
                    </w:rPr>
                  </m:ctrlPr>
                </m:radPr>
                <m:deg/>
                <m:e>
                  <m:r>
                    <w:rPr>
                      <w:rFonts w:ascii="Cambria Math" w:hAnsi="Cambria Math"/>
                      <w:sz w:val="24"/>
                      <w:szCs w:val="24"/>
                    </w:rPr>
                    <m:t>f, եթե 1&lt;f&lt;30 եւ</m:t>
                  </m:r>
                </m:e>
              </m:rad>
            </m:e>
          </m:rad>
          <m:r>
            <w:rPr>
              <w:rFonts w:ascii="Cambria Math" w:hAnsi="Cambria Math"/>
              <w:sz w:val="24"/>
              <w:szCs w:val="24"/>
            </w:rPr>
            <m:t xml:space="preserve"> p=0,01</m:t>
          </m:r>
          <m:r>
            <w:rPr>
              <w:rFonts w:ascii="Cambria Math" w:hAnsi="Cambria Math" w:cs="Cambria Math"/>
              <w:sz w:val="24"/>
              <w:szCs w:val="24"/>
            </w:rPr>
            <m:t>։</m:t>
          </m:r>
        </m:oMath>
      </m:oMathPara>
    </w:p>
    <w:p w14:paraId="118C7657" w14:textId="77777777" w:rsidR="00B834A2" w:rsidRPr="00B834A2" w:rsidRDefault="00B834A2" w:rsidP="00B834A2">
      <w:pPr>
        <w:pStyle w:val="Tablecaption130"/>
        <w:shd w:val="clear" w:color="auto" w:fill="auto"/>
        <w:spacing w:after="160" w:line="360" w:lineRule="auto"/>
        <w:ind w:left="220"/>
        <w:rPr>
          <w:rFonts w:eastAsia="Tahoma" w:cs="Tahoma"/>
          <w:i/>
          <w:sz w:val="24"/>
          <w:szCs w:val="24"/>
        </w:rPr>
      </w:pPr>
      <m:oMathPara>
        <m:oMathParaPr>
          <m:jc m:val="left"/>
        </m:oMathParaPr>
        <m:oMath>
          <m:r>
            <w:rPr>
              <w:rFonts w:ascii="Cambria Math" w:hAnsi="Cambria Math"/>
              <w:sz w:val="24"/>
              <w:szCs w:val="24"/>
            </w:rPr>
            <m:t xml:space="preserve"> f&gt;30-ի համար արդարացված են հետեւյալ մոտարկումները՝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2f-1+1,6</m:t>
              </m:r>
              <m:sSup>
                <m:sSupPr>
                  <m:ctrlPr>
                    <w:rPr>
                      <w:rFonts w:ascii="Cambria Math" w:hAnsi="Cambria Math"/>
                      <w:i/>
                      <w:sz w:val="24"/>
                      <w:szCs w:val="24"/>
                    </w:rPr>
                  </m:ctrlPr>
                </m:sSupPr>
                <m:e>
                  <m:r>
                    <w:rPr>
                      <w:rFonts w:ascii="Cambria Math" w:hAnsi="Cambria Math"/>
                      <w:sz w:val="24"/>
                      <w:szCs w:val="24"/>
                    </w:rPr>
                    <m:t>7)</m:t>
                  </m:r>
                </m:e>
                <m:sup>
                  <m:r>
                    <w:rPr>
                      <w:rFonts w:ascii="Cambria Math" w:hAnsi="Cambria Math"/>
                      <w:sz w:val="24"/>
                      <w:szCs w:val="24"/>
                    </w:rPr>
                    <m:t>2</m:t>
                  </m:r>
                </m:sup>
              </m:sSup>
            </m:e>
          </m:rad>
          <m:r>
            <w:rPr>
              <w:rFonts w:ascii="Cambria Math" w:hAnsi="Cambria Math"/>
              <w:sz w:val="24"/>
              <w:szCs w:val="24"/>
            </w:rPr>
            <m:t xml:space="preserve"> ,եթե=p=0,05.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2f-1+2,39</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rad>
          <m:r>
            <w:rPr>
              <w:rFonts w:ascii="Cambria Math" w:hAnsi="Cambria Math"/>
              <w:sz w:val="24"/>
              <w:szCs w:val="24"/>
            </w:rPr>
            <m:t xml:space="preserve"> ,եթե p=0,01</m:t>
          </m:r>
          <m:r>
            <w:rPr>
              <w:rFonts w:ascii="Cambria Math" w:hAnsi="Cambria Math" w:cs="Cambria Math"/>
              <w:sz w:val="24"/>
              <w:szCs w:val="24"/>
            </w:rPr>
            <m:t>։</m:t>
          </m:r>
        </m:oMath>
      </m:oMathPara>
    </w:p>
    <w:p w14:paraId="54A49E4D" w14:textId="77777777" w:rsidR="00B834A2" w:rsidRPr="00B834A2" w:rsidRDefault="00B834A2" w:rsidP="00D16259">
      <w:pPr>
        <w:pStyle w:val="Tablecaption20"/>
        <w:shd w:val="clear" w:color="auto" w:fill="auto"/>
        <w:tabs>
          <w:tab w:val="left" w:pos="1985"/>
        </w:tabs>
        <w:spacing w:before="0" w:after="160" w:line="360" w:lineRule="auto"/>
        <w:ind w:firstLine="567"/>
        <w:rPr>
          <w:rFonts w:ascii="Sylfaen" w:hAnsi="Sylfaen" w:cs="Sylfaen"/>
          <w:sz w:val="24"/>
          <w:szCs w:val="24"/>
        </w:rPr>
      </w:pPr>
      <w:r w:rsidRPr="00A93008">
        <w:rPr>
          <w:rStyle w:val="Bodytext310pt"/>
          <w:b w:val="0"/>
          <w:sz w:val="24"/>
          <w:szCs w:val="24"/>
        </w:rPr>
        <w:lastRenderedPageBreak/>
        <w:t>Աղյուսակ 5.</w:t>
      </w:r>
      <w:r w:rsidR="00A93008">
        <w:rPr>
          <w:rStyle w:val="Bodytext310pt"/>
          <w:b w:val="0"/>
          <w:sz w:val="24"/>
          <w:szCs w:val="24"/>
        </w:rPr>
        <w:t xml:space="preserve"> </w:t>
      </w:r>
      <w:r w:rsidRPr="00B834A2">
        <w:rPr>
          <w:rFonts w:ascii="Sylfaen" w:hAnsi="Sylfaen"/>
          <w:sz w:val="24"/>
          <w:szCs w:val="24"/>
        </w:rPr>
        <w:t>Տոկոսների վերածումը պրոբիտների</w:t>
      </w:r>
    </w:p>
    <w:tbl>
      <w:tblPr>
        <w:tblOverlap w:val="never"/>
        <w:tblW w:w="0" w:type="auto"/>
        <w:tblLayout w:type="fixed"/>
        <w:tblCellMar>
          <w:left w:w="10" w:type="dxa"/>
          <w:right w:w="10" w:type="dxa"/>
        </w:tblCellMar>
        <w:tblLook w:val="0000" w:firstRow="0" w:lastRow="0" w:firstColumn="0" w:lastColumn="0" w:noHBand="0" w:noVBand="0"/>
      </w:tblPr>
      <w:tblGrid>
        <w:gridCol w:w="845"/>
        <w:gridCol w:w="888"/>
        <w:gridCol w:w="850"/>
        <w:gridCol w:w="850"/>
        <w:gridCol w:w="854"/>
        <w:gridCol w:w="850"/>
        <w:gridCol w:w="850"/>
        <w:gridCol w:w="845"/>
        <w:gridCol w:w="854"/>
        <w:gridCol w:w="854"/>
        <w:gridCol w:w="883"/>
      </w:tblGrid>
      <w:tr w:rsidR="00B834A2" w:rsidRPr="00D16259" w14:paraId="50ADBAA7" w14:textId="77777777" w:rsidTr="00B834A2">
        <w:tc>
          <w:tcPr>
            <w:tcW w:w="845" w:type="dxa"/>
            <w:tcBorders>
              <w:top w:val="single" w:sz="4" w:space="0" w:color="auto"/>
            </w:tcBorders>
            <w:shd w:val="clear" w:color="auto" w:fill="FFFFFF"/>
          </w:tcPr>
          <w:p w14:paraId="4A59E0BD" w14:textId="77777777" w:rsidR="00B834A2" w:rsidRPr="00D16259" w:rsidRDefault="00B834A2" w:rsidP="00D16259">
            <w:pPr>
              <w:spacing w:after="120"/>
              <w:rPr>
                <w:sz w:val="20"/>
                <w:szCs w:val="20"/>
              </w:rPr>
            </w:pPr>
          </w:p>
        </w:tc>
        <w:tc>
          <w:tcPr>
            <w:tcW w:w="888" w:type="dxa"/>
            <w:tcBorders>
              <w:top w:val="single" w:sz="4" w:space="0" w:color="auto"/>
            </w:tcBorders>
            <w:shd w:val="clear" w:color="auto" w:fill="FFFFFF"/>
          </w:tcPr>
          <w:p w14:paraId="750F9AA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w:t>
            </w:r>
          </w:p>
        </w:tc>
        <w:tc>
          <w:tcPr>
            <w:tcW w:w="850" w:type="dxa"/>
            <w:tcBorders>
              <w:top w:val="single" w:sz="4" w:space="0" w:color="auto"/>
            </w:tcBorders>
            <w:shd w:val="clear" w:color="auto" w:fill="FFFFFF"/>
          </w:tcPr>
          <w:p w14:paraId="72AD23B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w:t>
            </w:r>
          </w:p>
        </w:tc>
        <w:tc>
          <w:tcPr>
            <w:tcW w:w="850" w:type="dxa"/>
            <w:tcBorders>
              <w:top w:val="single" w:sz="4" w:space="0" w:color="auto"/>
            </w:tcBorders>
            <w:shd w:val="clear" w:color="auto" w:fill="FFFFFF"/>
          </w:tcPr>
          <w:p w14:paraId="77408AC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w:t>
            </w:r>
          </w:p>
        </w:tc>
        <w:tc>
          <w:tcPr>
            <w:tcW w:w="854" w:type="dxa"/>
            <w:tcBorders>
              <w:top w:val="single" w:sz="4" w:space="0" w:color="auto"/>
            </w:tcBorders>
            <w:shd w:val="clear" w:color="auto" w:fill="FFFFFF"/>
          </w:tcPr>
          <w:p w14:paraId="0219105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850" w:type="dxa"/>
            <w:tcBorders>
              <w:top w:val="single" w:sz="4" w:space="0" w:color="auto"/>
            </w:tcBorders>
            <w:shd w:val="clear" w:color="auto" w:fill="FFFFFF"/>
          </w:tcPr>
          <w:p w14:paraId="1695CDC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w:t>
            </w:r>
          </w:p>
        </w:tc>
        <w:tc>
          <w:tcPr>
            <w:tcW w:w="850" w:type="dxa"/>
            <w:tcBorders>
              <w:top w:val="single" w:sz="4" w:space="0" w:color="auto"/>
            </w:tcBorders>
            <w:shd w:val="clear" w:color="auto" w:fill="FFFFFF"/>
          </w:tcPr>
          <w:p w14:paraId="0C0406C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w:t>
            </w:r>
          </w:p>
        </w:tc>
        <w:tc>
          <w:tcPr>
            <w:tcW w:w="845" w:type="dxa"/>
            <w:tcBorders>
              <w:top w:val="single" w:sz="4" w:space="0" w:color="auto"/>
            </w:tcBorders>
            <w:shd w:val="clear" w:color="auto" w:fill="FFFFFF"/>
          </w:tcPr>
          <w:p w14:paraId="1185466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w:t>
            </w:r>
          </w:p>
        </w:tc>
        <w:tc>
          <w:tcPr>
            <w:tcW w:w="854" w:type="dxa"/>
            <w:tcBorders>
              <w:top w:val="single" w:sz="4" w:space="0" w:color="auto"/>
            </w:tcBorders>
            <w:shd w:val="clear" w:color="auto" w:fill="FFFFFF"/>
          </w:tcPr>
          <w:p w14:paraId="40EAC12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w:t>
            </w:r>
          </w:p>
        </w:tc>
        <w:tc>
          <w:tcPr>
            <w:tcW w:w="854" w:type="dxa"/>
            <w:tcBorders>
              <w:top w:val="single" w:sz="4" w:space="0" w:color="auto"/>
            </w:tcBorders>
            <w:shd w:val="clear" w:color="auto" w:fill="FFFFFF"/>
          </w:tcPr>
          <w:p w14:paraId="09009F9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w:t>
            </w:r>
          </w:p>
        </w:tc>
        <w:tc>
          <w:tcPr>
            <w:tcW w:w="883" w:type="dxa"/>
            <w:tcBorders>
              <w:top w:val="single" w:sz="4" w:space="0" w:color="auto"/>
            </w:tcBorders>
            <w:shd w:val="clear" w:color="auto" w:fill="FFFFFF"/>
          </w:tcPr>
          <w:p w14:paraId="77F6C34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w:t>
            </w:r>
          </w:p>
        </w:tc>
      </w:tr>
      <w:tr w:rsidR="00B834A2" w:rsidRPr="00D16259" w14:paraId="0235E11B" w14:textId="77777777" w:rsidTr="00B834A2">
        <w:tc>
          <w:tcPr>
            <w:tcW w:w="845" w:type="dxa"/>
            <w:tcBorders>
              <w:top w:val="single" w:sz="4" w:space="0" w:color="auto"/>
            </w:tcBorders>
            <w:shd w:val="clear" w:color="auto" w:fill="FFFFFF"/>
          </w:tcPr>
          <w:p w14:paraId="33DE864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w:t>
            </w:r>
          </w:p>
        </w:tc>
        <w:tc>
          <w:tcPr>
            <w:tcW w:w="888" w:type="dxa"/>
            <w:tcBorders>
              <w:top w:val="single" w:sz="4" w:space="0" w:color="auto"/>
            </w:tcBorders>
            <w:shd w:val="clear" w:color="auto" w:fill="FFFFFF"/>
          </w:tcPr>
          <w:p w14:paraId="7AD294C1" w14:textId="77777777" w:rsidR="00B834A2" w:rsidRPr="00D16259" w:rsidRDefault="009217DE" w:rsidP="00D16259">
            <w:pPr>
              <w:pStyle w:val="Bodytext20"/>
              <w:shd w:val="clear" w:color="auto" w:fill="auto"/>
              <w:spacing w:before="0" w:line="240" w:lineRule="auto"/>
              <w:rPr>
                <w:rFonts w:ascii="Sylfaen" w:hAnsi="Sylfaen" w:cs="Sylfaen"/>
                <w:sz w:val="20"/>
                <w:szCs w:val="20"/>
              </w:rPr>
            </w:pPr>
            <w:r>
              <w:rPr>
                <w:rStyle w:val="Bodytext31Sylfaen9"/>
                <w:sz w:val="20"/>
                <w:szCs w:val="20"/>
              </w:rPr>
              <w:t>-</w:t>
            </w:r>
          </w:p>
        </w:tc>
        <w:tc>
          <w:tcPr>
            <w:tcW w:w="850" w:type="dxa"/>
            <w:tcBorders>
              <w:top w:val="single" w:sz="4" w:space="0" w:color="auto"/>
            </w:tcBorders>
            <w:shd w:val="clear" w:color="auto" w:fill="FFFFFF"/>
          </w:tcPr>
          <w:p w14:paraId="7BA1A213"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2,67</w:t>
            </w:r>
          </w:p>
        </w:tc>
        <w:tc>
          <w:tcPr>
            <w:tcW w:w="850" w:type="dxa"/>
            <w:tcBorders>
              <w:top w:val="single" w:sz="4" w:space="0" w:color="auto"/>
            </w:tcBorders>
            <w:shd w:val="clear" w:color="auto" w:fill="FFFFFF"/>
          </w:tcPr>
          <w:p w14:paraId="02D3BDC0"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2,95</w:t>
            </w:r>
          </w:p>
        </w:tc>
        <w:tc>
          <w:tcPr>
            <w:tcW w:w="854" w:type="dxa"/>
            <w:tcBorders>
              <w:top w:val="single" w:sz="4" w:space="0" w:color="auto"/>
            </w:tcBorders>
            <w:shd w:val="clear" w:color="auto" w:fill="FFFFFF"/>
          </w:tcPr>
          <w:p w14:paraId="1023123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3,12</w:t>
            </w:r>
          </w:p>
        </w:tc>
        <w:tc>
          <w:tcPr>
            <w:tcW w:w="850" w:type="dxa"/>
            <w:tcBorders>
              <w:top w:val="single" w:sz="4" w:space="0" w:color="auto"/>
            </w:tcBorders>
            <w:shd w:val="clear" w:color="auto" w:fill="FFFFFF"/>
          </w:tcPr>
          <w:p w14:paraId="2C7DB86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3,25</w:t>
            </w:r>
          </w:p>
        </w:tc>
        <w:tc>
          <w:tcPr>
            <w:tcW w:w="850" w:type="dxa"/>
            <w:tcBorders>
              <w:top w:val="single" w:sz="4" w:space="0" w:color="auto"/>
            </w:tcBorders>
            <w:shd w:val="clear" w:color="auto" w:fill="FFFFFF"/>
          </w:tcPr>
          <w:p w14:paraId="6E18D0D0"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3,36</w:t>
            </w:r>
          </w:p>
        </w:tc>
        <w:tc>
          <w:tcPr>
            <w:tcW w:w="845" w:type="dxa"/>
            <w:tcBorders>
              <w:top w:val="single" w:sz="4" w:space="0" w:color="auto"/>
            </w:tcBorders>
            <w:shd w:val="clear" w:color="auto" w:fill="FFFFFF"/>
          </w:tcPr>
          <w:p w14:paraId="490FA3A3"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3,45</w:t>
            </w:r>
          </w:p>
        </w:tc>
        <w:tc>
          <w:tcPr>
            <w:tcW w:w="854" w:type="dxa"/>
            <w:tcBorders>
              <w:top w:val="single" w:sz="4" w:space="0" w:color="auto"/>
            </w:tcBorders>
            <w:shd w:val="clear" w:color="auto" w:fill="FFFFFF"/>
          </w:tcPr>
          <w:p w14:paraId="7805899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3,52</w:t>
            </w:r>
          </w:p>
        </w:tc>
        <w:tc>
          <w:tcPr>
            <w:tcW w:w="854" w:type="dxa"/>
            <w:tcBorders>
              <w:top w:val="single" w:sz="4" w:space="0" w:color="auto"/>
            </w:tcBorders>
            <w:shd w:val="clear" w:color="auto" w:fill="FFFFFF"/>
          </w:tcPr>
          <w:p w14:paraId="077C5CD8"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3,59</w:t>
            </w:r>
          </w:p>
        </w:tc>
        <w:tc>
          <w:tcPr>
            <w:tcW w:w="883" w:type="dxa"/>
            <w:tcBorders>
              <w:top w:val="single" w:sz="4" w:space="0" w:color="auto"/>
            </w:tcBorders>
            <w:shd w:val="clear" w:color="auto" w:fill="FFFFFF"/>
          </w:tcPr>
          <w:p w14:paraId="49028F0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3,66</w:t>
            </w:r>
          </w:p>
        </w:tc>
      </w:tr>
      <w:tr w:rsidR="00B834A2" w:rsidRPr="00D16259" w14:paraId="57C0A9E7" w14:textId="77777777" w:rsidTr="00B834A2">
        <w:tc>
          <w:tcPr>
            <w:tcW w:w="845" w:type="dxa"/>
            <w:shd w:val="clear" w:color="auto" w:fill="FFFFFF"/>
          </w:tcPr>
          <w:p w14:paraId="680968F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w:t>
            </w:r>
          </w:p>
        </w:tc>
        <w:tc>
          <w:tcPr>
            <w:tcW w:w="888" w:type="dxa"/>
            <w:shd w:val="clear" w:color="auto" w:fill="FFFFFF"/>
          </w:tcPr>
          <w:p w14:paraId="4C0C2F8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3,72</w:t>
            </w:r>
          </w:p>
        </w:tc>
        <w:tc>
          <w:tcPr>
            <w:tcW w:w="850" w:type="dxa"/>
            <w:shd w:val="clear" w:color="auto" w:fill="FFFFFF"/>
          </w:tcPr>
          <w:p w14:paraId="0A896668"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3,77</w:t>
            </w:r>
          </w:p>
        </w:tc>
        <w:tc>
          <w:tcPr>
            <w:tcW w:w="850" w:type="dxa"/>
            <w:shd w:val="clear" w:color="auto" w:fill="FFFFFF"/>
          </w:tcPr>
          <w:p w14:paraId="542A550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3,82</w:t>
            </w:r>
          </w:p>
        </w:tc>
        <w:tc>
          <w:tcPr>
            <w:tcW w:w="854" w:type="dxa"/>
            <w:shd w:val="clear" w:color="auto" w:fill="FFFFFF"/>
          </w:tcPr>
          <w:p w14:paraId="770C1486"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3,87</w:t>
            </w:r>
          </w:p>
        </w:tc>
        <w:tc>
          <w:tcPr>
            <w:tcW w:w="850" w:type="dxa"/>
            <w:shd w:val="clear" w:color="auto" w:fill="FFFFFF"/>
          </w:tcPr>
          <w:p w14:paraId="257C60F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3,92</w:t>
            </w:r>
          </w:p>
        </w:tc>
        <w:tc>
          <w:tcPr>
            <w:tcW w:w="850" w:type="dxa"/>
            <w:shd w:val="clear" w:color="auto" w:fill="FFFFFF"/>
          </w:tcPr>
          <w:p w14:paraId="2FA119E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3,96</w:t>
            </w:r>
          </w:p>
        </w:tc>
        <w:tc>
          <w:tcPr>
            <w:tcW w:w="845" w:type="dxa"/>
            <w:shd w:val="clear" w:color="auto" w:fill="FFFFFF"/>
          </w:tcPr>
          <w:p w14:paraId="526ABC6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4,01</w:t>
            </w:r>
          </w:p>
        </w:tc>
        <w:tc>
          <w:tcPr>
            <w:tcW w:w="854" w:type="dxa"/>
            <w:shd w:val="clear" w:color="auto" w:fill="FFFFFF"/>
          </w:tcPr>
          <w:p w14:paraId="63C9C7CD"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4,05</w:t>
            </w:r>
          </w:p>
        </w:tc>
        <w:tc>
          <w:tcPr>
            <w:tcW w:w="854" w:type="dxa"/>
            <w:shd w:val="clear" w:color="auto" w:fill="FFFFFF"/>
          </w:tcPr>
          <w:p w14:paraId="4F02F94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4,08</w:t>
            </w:r>
          </w:p>
        </w:tc>
        <w:tc>
          <w:tcPr>
            <w:tcW w:w="883" w:type="dxa"/>
            <w:shd w:val="clear" w:color="auto" w:fill="FFFFFF"/>
          </w:tcPr>
          <w:p w14:paraId="4021477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4,12</w:t>
            </w:r>
          </w:p>
        </w:tc>
      </w:tr>
      <w:tr w:rsidR="00B834A2" w:rsidRPr="00D16259" w14:paraId="4437C698" w14:textId="77777777" w:rsidTr="00B834A2">
        <w:tc>
          <w:tcPr>
            <w:tcW w:w="845" w:type="dxa"/>
            <w:shd w:val="clear" w:color="auto" w:fill="FFFFFF"/>
          </w:tcPr>
          <w:p w14:paraId="1542E9C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888" w:type="dxa"/>
            <w:shd w:val="clear" w:color="auto" w:fill="FFFFFF"/>
          </w:tcPr>
          <w:p w14:paraId="430FF9A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4,16</w:t>
            </w:r>
          </w:p>
        </w:tc>
        <w:tc>
          <w:tcPr>
            <w:tcW w:w="850" w:type="dxa"/>
            <w:shd w:val="clear" w:color="auto" w:fill="FFFFFF"/>
          </w:tcPr>
          <w:p w14:paraId="56E9142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4,19</w:t>
            </w:r>
          </w:p>
        </w:tc>
        <w:tc>
          <w:tcPr>
            <w:tcW w:w="850" w:type="dxa"/>
            <w:shd w:val="clear" w:color="auto" w:fill="FFFFFF"/>
          </w:tcPr>
          <w:p w14:paraId="46B79EA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4,23</w:t>
            </w:r>
          </w:p>
        </w:tc>
        <w:tc>
          <w:tcPr>
            <w:tcW w:w="854" w:type="dxa"/>
            <w:shd w:val="clear" w:color="auto" w:fill="FFFFFF"/>
          </w:tcPr>
          <w:p w14:paraId="0D4EF94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4,26</w:t>
            </w:r>
          </w:p>
        </w:tc>
        <w:tc>
          <w:tcPr>
            <w:tcW w:w="850" w:type="dxa"/>
            <w:shd w:val="clear" w:color="auto" w:fill="FFFFFF"/>
          </w:tcPr>
          <w:p w14:paraId="29BE4654"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4,29</w:t>
            </w:r>
          </w:p>
        </w:tc>
        <w:tc>
          <w:tcPr>
            <w:tcW w:w="850" w:type="dxa"/>
            <w:shd w:val="clear" w:color="auto" w:fill="FFFFFF"/>
          </w:tcPr>
          <w:p w14:paraId="039CD21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4,33</w:t>
            </w:r>
          </w:p>
        </w:tc>
        <w:tc>
          <w:tcPr>
            <w:tcW w:w="845" w:type="dxa"/>
            <w:shd w:val="clear" w:color="auto" w:fill="FFFFFF"/>
          </w:tcPr>
          <w:p w14:paraId="3233AFF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4,36</w:t>
            </w:r>
          </w:p>
        </w:tc>
        <w:tc>
          <w:tcPr>
            <w:tcW w:w="854" w:type="dxa"/>
            <w:shd w:val="clear" w:color="auto" w:fill="FFFFFF"/>
          </w:tcPr>
          <w:p w14:paraId="03F17B4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4,39</w:t>
            </w:r>
          </w:p>
        </w:tc>
        <w:tc>
          <w:tcPr>
            <w:tcW w:w="854" w:type="dxa"/>
            <w:shd w:val="clear" w:color="auto" w:fill="FFFFFF"/>
          </w:tcPr>
          <w:p w14:paraId="62124A1F"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4,42</w:t>
            </w:r>
          </w:p>
        </w:tc>
        <w:tc>
          <w:tcPr>
            <w:tcW w:w="883" w:type="dxa"/>
            <w:shd w:val="clear" w:color="auto" w:fill="FFFFFF"/>
          </w:tcPr>
          <w:p w14:paraId="72B27B7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4,45</w:t>
            </w:r>
          </w:p>
        </w:tc>
      </w:tr>
      <w:tr w:rsidR="00B834A2" w:rsidRPr="00D16259" w14:paraId="607CE6B5" w14:textId="77777777" w:rsidTr="00B834A2">
        <w:tc>
          <w:tcPr>
            <w:tcW w:w="845" w:type="dxa"/>
            <w:shd w:val="clear" w:color="auto" w:fill="FFFFFF"/>
          </w:tcPr>
          <w:p w14:paraId="2ACA95F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w:t>
            </w:r>
          </w:p>
        </w:tc>
        <w:tc>
          <w:tcPr>
            <w:tcW w:w="888" w:type="dxa"/>
            <w:shd w:val="clear" w:color="auto" w:fill="FFFFFF"/>
          </w:tcPr>
          <w:p w14:paraId="38E7783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4,48</w:t>
            </w:r>
          </w:p>
        </w:tc>
        <w:tc>
          <w:tcPr>
            <w:tcW w:w="850" w:type="dxa"/>
            <w:shd w:val="clear" w:color="auto" w:fill="FFFFFF"/>
          </w:tcPr>
          <w:p w14:paraId="22FC0098"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4,50</w:t>
            </w:r>
          </w:p>
        </w:tc>
        <w:tc>
          <w:tcPr>
            <w:tcW w:w="850" w:type="dxa"/>
            <w:shd w:val="clear" w:color="auto" w:fill="FFFFFF"/>
          </w:tcPr>
          <w:p w14:paraId="38AF918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4,53</w:t>
            </w:r>
          </w:p>
        </w:tc>
        <w:tc>
          <w:tcPr>
            <w:tcW w:w="854" w:type="dxa"/>
            <w:shd w:val="clear" w:color="auto" w:fill="FFFFFF"/>
          </w:tcPr>
          <w:p w14:paraId="426F88E4"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4,56</w:t>
            </w:r>
          </w:p>
        </w:tc>
        <w:tc>
          <w:tcPr>
            <w:tcW w:w="850" w:type="dxa"/>
            <w:shd w:val="clear" w:color="auto" w:fill="FFFFFF"/>
          </w:tcPr>
          <w:p w14:paraId="4BE37549"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4,59</w:t>
            </w:r>
          </w:p>
        </w:tc>
        <w:tc>
          <w:tcPr>
            <w:tcW w:w="850" w:type="dxa"/>
            <w:shd w:val="clear" w:color="auto" w:fill="FFFFFF"/>
          </w:tcPr>
          <w:p w14:paraId="70173EE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4,61</w:t>
            </w:r>
          </w:p>
        </w:tc>
        <w:tc>
          <w:tcPr>
            <w:tcW w:w="845" w:type="dxa"/>
            <w:shd w:val="clear" w:color="auto" w:fill="FFFFFF"/>
          </w:tcPr>
          <w:p w14:paraId="46D5AF90"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4,64</w:t>
            </w:r>
          </w:p>
        </w:tc>
        <w:tc>
          <w:tcPr>
            <w:tcW w:w="854" w:type="dxa"/>
            <w:shd w:val="clear" w:color="auto" w:fill="FFFFFF"/>
          </w:tcPr>
          <w:p w14:paraId="0EBCFA43"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4,67</w:t>
            </w:r>
          </w:p>
        </w:tc>
        <w:tc>
          <w:tcPr>
            <w:tcW w:w="854" w:type="dxa"/>
            <w:shd w:val="clear" w:color="auto" w:fill="FFFFFF"/>
          </w:tcPr>
          <w:p w14:paraId="02D992BE"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4,69</w:t>
            </w:r>
          </w:p>
        </w:tc>
        <w:tc>
          <w:tcPr>
            <w:tcW w:w="883" w:type="dxa"/>
            <w:shd w:val="clear" w:color="auto" w:fill="FFFFFF"/>
          </w:tcPr>
          <w:p w14:paraId="6FDF318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4,72</w:t>
            </w:r>
          </w:p>
        </w:tc>
      </w:tr>
      <w:tr w:rsidR="00B834A2" w:rsidRPr="00D16259" w14:paraId="021D8467" w14:textId="77777777" w:rsidTr="00B834A2">
        <w:tc>
          <w:tcPr>
            <w:tcW w:w="845" w:type="dxa"/>
            <w:shd w:val="clear" w:color="auto" w:fill="FFFFFF"/>
          </w:tcPr>
          <w:p w14:paraId="32ABA1A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40</w:t>
            </w:r>
          </w:p>
        </w:tc>
        <w:tc>
          <w:tcPr>
            <w:tcW w:w="888" w:type="dxa"/>
            <w:shd w:val="clear" w:color="auto" w:fill="FFFFFF"/>
          </w:tcPr>
          <w:p w14:paraId="7D65F6E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4,75</w:t>
            </w:r>
          </w:p>
        </w:tc>
        <w:tc>
          <w:tcPr>
            <w:tcW w:w="850" w:type="dxa"/>
            <w:shd w:val="clear" w:color="auto" w:fill="FFFFFF"/>
          </w:tcPr>
          <w:p w14:paraId="4BBD2D2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4,77</w:t>
            </w:r>
          </w:p>
        </w:tc>
        <w:tc>
          <w:tcPr>
            <w:tcW w:w="850" w:type="dxa"/>
            <w:shd w:val="clear" w:color="auto" w:fill="FFFFFF"/>
          </w:tcPr>
          <w:p w14:paraId="337AA835"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4,80</w:t>
            </w:r>
          </w:p>
        </w:tc>
        <w:tc>
          <w:tcPr>
            <w:tcW w:w="854" w:type="dxa"/>
            <w:shd w:val="clear" w:color="auto" w:fill="FFFFFF"/>
          </w:tcPr>
          <w:p w14:paraId="0393CE14"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4,82</w:t>
            </w:r>
          </w:p>
        </w:tc>
        <w:tc>
          <w:tcPr>
            <w:tcW w:w="850" w:type="dxa"/>
            <w:shd w:val="clear" w:color="auto" w:fill="FFFFFF"/>
          </w:tcPr>
          <w:p w14:paraId="58557A0E"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4,85</w:t>
            </w:r>
          </w:p>
        </w:tc>
        <w:tc>
          <w:tcPr>
            <w:tcW w:w="850" w:type="dxa"/>
            <w:shd w:val="clear" w:color="auto" w:fill="FFFFFF"/>
          </w:tcPr>
          <w:p w14:paraId="62384C0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4,87</w:t>
            </w:r>
          </w:p>
        </w:tc>
        <w:tc>
          <w:tcPr>
            <w:tcW w:w="845" w:type="dxa"/>
            <w:shd w:val="clear" w:color="auto" w:fill="FFFFFF"/>
          </w:tcPr>
          <w:p w14:paraId="24CA1D7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4,90</w:t>
            </w:r>
          </w:p>
        </w:tc>
        <w:tc>
          <w:tcPr>
            <w:tcW w:w="854" w:type="dxa"/>
            <w:shd w:val="clear" w:color="auto" w:fill="FFFFFF"/>
          </w:tcPr>
          <w:p w14:paraId="78D9EF9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4,92</w:t>
            </w:r>
          </w:p>
        </w:tc>
        <w:tc>
          <w:tcPr>
            <w:tcW w:w="854" w:type="dxa"/>
            <w:shd w:val="clear" w:color="auto" w:fill="FFFFFF"/>
          </w:tcPr>
          <w:p w14:paraId="5BC87F7E"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4,95</w:t>
            </w:r>
          </w:p>
        </w:tc>
        <w:tc>
          <w:tcPr>
            <w:tcW w:w="883" w:type="dxa"/>
            <w:shd w:val="clear" w:color="auto" w:fill="FFFFFF"/>
          </w:tcPr>
          <w:p w14:paraId="35CFDB5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4,97</w:t>
            </w:r>
          </w:p>
        </w:tc>
      </w:tr>
      <w:tr w:rsidR="00B834A2" w:rsidRPr="00D16259" w14:paraId="7C38D5D0" w14:textId="77777777" w:rsidTr="00B834A2">
        <w:tc>
          <w:tcPr>
            <w:tcW w:w="845" w:type="dxa"/>
            <w:shd w:val="clear" w:color="auto" w:fill="FFFFFF"/>
          </w:tcPr>
          <w:p w14:paraId="416D0BF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w:t>
            </w:r>
          </w:p>
        </w:tc>
        <w:tc>
          <w:tcPr>
            <w:tcW w:w="888" w:type="dxa"/>
            <w:shd w:val="clear" w:color="auto" w:fill="FFFFFF"/>
          </w:tcPr>
          <w:p w14:paraId="0F7073C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5,00</w:t>
            </w:r>
          </w:p>
        </w:tc>
        <w:tc>
          <w:tcPr>
            <w:tcW w:w="850" w:type="dxa"/>
            <w:shd w:val="clear" w:color="auto" w:fill="FFFFFF"/>
          </w:tcPr>
          <w:p w14:paraId="68154AA3"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5,03</w:t>
            </w:r>
          </w:p>
        </w:tc>
        <w:tc>
          <w:tcPr>
            <w:tcW w:w="850" w:type="dxa"/>
            <w:shd w:val="clear" w:color="auto" w:fill="FFFFFF"/>
          </w:tcPr>
          <w:p w14:paraId="13DD50C5"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5,05</w:t>
            </w:r>
          </w:p>
        </w:tc>
        <w:tc>
          <w:tcPr>
            <w:tcW w:w="854" w:type="dxa"/>
            <w:shd w:val="clear" w:color="auto" w:fill="FFFFFF"/>
          </w:tcPr>
          <w:p w14:paraId="2C704B3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5,08</w:t>
            </w:r>
          </w:p>
        </w:tc>
        <w:tc>
          <w:tcPr>
            <w:tcW w:w="850" w:type="dxa"/>
            <w:shd w:val="clear" w:color="auto" w:fill="FFFFFF"/>
          </w:tcPr>
          <w:p w14:paraId="6B0258E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5,10</w:t>
            </w:r>
          </w:p>
        </w:tc>
        <w:tc>
          <w:tcPr>
            <w:tcW w:w="850" w:type="dxa"/>
            <w:shd w:val="clear" w:color="auto" w:fill="FFFFFF"/>
          </w:tcPr>
          <w:p w14:paraId="541A045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5,13</w:t>
            </w:r>
          </w:p>
        </w:tc>
        <w:tc>
          <w:tcPr>
            <w:tcW w:w="845" w:type="dxa"/>
            <w:shd w:val="clear" w:color="auto" w:fill="FFFFFF"/>
          </w:tcPr>
          <w:p w14:paraId="052556D9"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5,15</w:t>
            </w:r>
          </w:p>
        </w:tc>
        <w:tc>
          <w:tcPr>
            <w:tcW w:w="854" w:type="dxa"/>
            <w:shd w:val="clear" w:color="auto" w:fill="FFFFFF"/>
          </w:tcPr>
          <w:p w14:paraId="04818320"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5,18</w:t>
            </w:r>
          </w:p>
        </w:tc>
        <w:tc>
          <w:tcPr>
            <w:tcW w:w="854" w:type="dxa"/>
            <w:shd w:val="clear" w:color="auto" w:fill="FFFFFF"/>
          </w:tcPr>
          <w:p w14:paraId="7790104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5,20</w:t>
            </w:r>
          </w:p>
        </w:tc>
        <w:tc>
          <w:tcPr>
            <w:tcW w:w="883" w:type="dxa"/>
            <w:shd w:val="clear" w:color="auto" w:fill="FFFFFF"/>
          </w:tcPr>
          <w:p w14:paraId="6CCC7F3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5,23</w:t>
            </w:r>
          </w:p>
        </w:tc>
      </w:tr>
      <w:tr w:rsidR="00B834A2" w:rsidRPr="00D16259" w14:paraId="3CA5B869" w14:textId="77777777" w:rsidTr="00B834A2">
        <w:tc>
          <w:tcPr>
            <w:tcW w:w="845" w:type="dxa"/>
            <w:shd w:val="clear" w:color="auto" w:fill="FFFFFF"/>
          </w:tcPr>
          <w:p w14:paraId="2B6F8A5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60</w:t>
            </w:r>
          </w:p>
        </w:tc>
        <w:tc>
          <w:tcPr>
            <w:tcW w:w="888" w:type="dxa"/>
            <w:shd w:val="clear" w:color="auto" w:fill="FFFFFF"/>
          </w:tcPr>
          <w:p w14:paraId="711C111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5,25</w:t>
            </w:r>
          </w:p>
        </w:tc>
        <w:tc>
          <w:tcPr>
            <w:tcW w:w="850" w:type="dxa"/>
            <w:shd w:val="clear" w:color="auto" w:fill="FFFFFF"/>
          </w:tcPr>
          <w:p w14:paraId="5CC86A2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5,28</w:t>
            </w:r>
          </w:p>
        </w:tc>
        <w:tc>
          <w:tcPr>
            <w:tcW w:w="850" w:type="dxa"/>
            <w:shd w:val="clear" w:color="auto" w:fill="FFFFFF"/>
          </w:tcPr>
          <w:p w14:paraId="0F9C7EF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5,31</w:t>
            </w:r>
          </w:p>
        </w:tc>
        <w:tc>
          <w:tcPr>
            <w:tcW w:w="854" w:type="dxa"/>
            <w:shd w:val="clear" w:color="auto" w:fill="FFFFFF"/>
          </w:tcPr>
          <w:p w14:paraId="01C03AD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5,33</w:t>
            </w:r>
          </w:p>
        </w:tc>
        <w:tc>
          <w:tcPr>
            <w:tcW w:w="850" w:type="dxa"/>
            <w:shd w:val="clear" w:color="auto" w:fill="FFFFFF"/>
          </w:tcPr>
          <w:p w14:paraId="469E849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5,36</w:t>
            </w:r>
          </w:p>
        </w:tc>
        <w:tc>
          <w:tcPr>
            <w:tcW w:w="850" w:type="dxa"/>
            <w:shd w:val="clear" w:color="auto" w:fill="FFFFFF"/>
          </w:tcPr>
          <w:p w14:paraId="4A51E5C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5,39</w:t>
            </w:r>
          </w:p>
        </w:tc>
        <w:tc>
          <w:tcPr>
            <w:tcW w:w="845" w:type="dxa"/>
            <w:shd w:val="clear" w:color="auto" w:fill="FFFFFF"/>
          </w:tcPr>
          <w:p w14:paraId="42E81DD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5,41</w:t>
            </w:r>
          </w:p>
        </w:tc>
        <w:tc>
          <w:tcPr>
            <w:tcW w:w="854" w:type="dxa"/>
            <w:shd w:val="clear" w:color="auto" w:fill="FFFFFF"/>
          </w:tcPr>
          <w:p w14:paraId="5DCD9D3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5,44</w:t>
            </w:r>
          </w:p>
        </w:tc>
        <w:tc>
          <w:tcPr>
            <w:tcW w:w="854" w:type="dxa"/>
            <w:shd w:val="clear" w:color="auto" w:fill="FFFFFF"/>
          </w:tcPr>
          <w:p w14:paraId="341443B5"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5,47</w:t>
            </w:r>
          </w:p>
        </w:tc>
        <w:tc>
          <w:tcPr>
            <w:tcW w:w="883" w:type="dxa"/>
            <w:shd w:val="clear" w:color="auto" w:fill="FFFFFF"/>
          </w:tcPr>
          <w:p w14:paraId="0876479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5,50</w:t>
            </w:r>
          </w:p>
        </w:tc>
      </w:tr>
      <w:tr w:rsidR="00B834A2" w:rsidRPr="00D16259" w14:paraId="6EEA5B0B" w14:textId="77777777" w:rsidTr="00B834A2">
        <w:tc>
          <w:tcPr>
            <w:tcW w:w="845" w:type="dxa"/>
            <w:shd w:val="clear" w:color="auto" w:fill="FFFFFF"/>
          </w:tcPr>
          <w:p w14:paraId="3CA0695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w:t>
            </w:r>
          </w:p>
        </w:tc>
        <w:tc>
          <w:tcPr>
            <w:tcW w:w="888" w:type="dxa"/>
            <w:shd w:val="clear" w:color="auto" w:fill="FFFFFF"/>
          </w:tcPr>
          <w:p w14:paraId="70F5F63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5,52</w:t>
            </w:r>
          </w:p>
        </w:tc>
        <w:tc>
          <w:tcPr>
            <w:tcW w:w="850" w:type="dxa"/>
            <w:shd w:val="clear" w:color="auto" w:fill="FFFFFF"/>
          </w:tcPr>
          <w:p w14:paraId="26F44E84"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5,55</w:t>
            </w:r>
          </w:p>
        </w:tc>
        <w:tc>
          <w:tcPr>
            <w:tcW w:w="850" w:type="dxa"/>
            <w:shd w:val="clear" w:color="auto" w:fill="FFFFFF"/>
          </w:tcPr>
          <w:p w14:paraId="0574D508"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5,58</w:t>
            </w:r>
          </w:p>
        </w:tc>
        <w:tc>
          <w:tcPr>
            <w:tcW w:w="854" w:type="dxa"/>
            <w:shd w:val="clear" w:color="auto" w:fill="FFFFFF"/>
          </w:tcPr>
          <w:p w14:paraId="6E1D346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5,61</w:t>
            </w:r>
          </w:p>
        </w:tc>
        <w:tc>
          <w:tcPr>
            <w:tcW w:w="850" w:type="dxa"/>
            <w:shd w:val="clear" w:color="auto" w:fill="FFFFFF"/>
          </w:tcPr>
          <w:p w14:paraId="71710CFD"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5,64</w:t>
            </w:r>
          </w:p>
        </w:tc>
        <w:tc>
          <w:tcPr>
            <w:tcW w:w="850" w:type="dxa"/>
            <w:shd w:val="clear" w:color="auto" w:fill="FFFFFF"/>
          </w:tcPr>
          <w:p w14:paraId="190C4C8F"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5,67</w:t>
            </w:r>
          </w:p>
        </w:tc>
        <w:tc>
          <w:tcPr>
            <w:tcW w:w="845" w:type="dxa"/>
            <w:shd w:val="clear" w:color="auto" w:fill="FFFFFF"/>
          </w:tcPr>
          <w:p w14:paraId="07E1CD2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5,71</w:t>
            </w:r>
          </w:p>
        </w:tc>
        <w:tc>
          <w:tcPr>
            <w:tcW w:w="854" w:type="dxa"/>
            <w:shd w:val="clear" w:color="auto" w:fill="FFFFFF"/>
          </w:tcPr>
          <w:p w14:paraId="7C88751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5,74</w:t>
            </w:r>
          </w:p>
        </w:tc>
        <w:tc>
          <w:tcPr>
            <w:tcW w:w="854" w:type="dxa"/>
            <w:shd w:val="clear" w:color="auto" w:fill="FFFFFF"/>
          </w:tcPr>
          <w:p w14:paraId="1A019D7F"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5,77</w:t>
            </w:r>
          </w:p>
        </w:tc>
        <w:tc>
          <w:tcPr>
            <w:tcW w:w="883" w:type="dxa"/>
            <w:shd w:val="clear" w:color="auto" w:fill="FFFFFF"/>
          </w:tcPr>
          <w:p w14:paraId="4B03E16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5,81</w:t>
            </w:r>
          </w:p>
        </w:tc>
      </w:tr>
      <w:tr w:rsidR="00B834A2" w:rsidRPr="00D16259" w14:paraId="361F17F3" w14:textId="77777777" w:rsidTr="00B834A2">
        <w:tc>
          <w:tcPr>
            <w:tcW w:w="845" w:type="dxa"/>
            <w:shd w:val="clear" w:color="auto" w:fill="FFFFFF"/>
          </w:tcPr>
          <w:p w14:paraId="2FB3AB2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80</w:t>
            </w:r>
          </w:p>
        </w:tc>
        <w:tc>
          <w:tcPr>
            <w:tcW w:w="888" w:type="dxa"/>
            <w:shd w:val="clear" w:color="auto" w:fill="FFFFFF"/>
          </w:tcPr>
          <w:p w14:paraId="1ABA089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5,84</w:t>
            </w:r>
          </w:p>
        </w:tc>
        <w:tc>
          <w:tcPr>
            <w:tcW w:w="850" w:type="dxa"/>
            <w:shd w:val="clear" w:color="auto" w:fill="FFFFFF"/>
          </w:tcPr>
          <w:p w14:paraId="6DE8EB70"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5,88</w:t>
            </w:r>
          </w:p>
        </w:tc>
        <w:tc>
          <w:tcPr>
            <w:tcW w:w="850" w:type="dxa"/>
            <w:shd w:val="clear" w:color="auto" w:fill="FFFFFF"/>
          </w:tcPr>
          <w:p w14:paraId="1B9D0C52"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5,92</w:t>
            </w:r>
          </w:p>
        </w:tc>
        <w:tc>
          <w:tcPr>
            <w:tcW w:w="854" w:type="dxa"/>
            <w:shd w:val="clear" w:color="auto" w:fill="FFFFFF"/>
          </w:tcPr>
          <w:p w14:paraId="72EE572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5,95</w:t>
            </w:r>
          </w:p>
        </w:tc>
        <w:tc>
          <w:tcPr>
            <w:tcW w:w="850" w:type="dxa"/>
            <w:shd w:val="clear" w:color="auto" w:fill="FFFFFF"/>
          </w:tcPr>
          <w:p w14:paraId="3C92DAFF"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5,99</w:t>
            </w:r>
          </w:p>
        </w:tc>
        <w:tc>
          <w:tcPr>
            <w:tcW w:w="850" w:type="dxa"/>
            <w:shd w:val="clear" w:color="auto" w:fill="FFFFFF"/>
          </w:tcPr>
          <w:p w14:paraId="68E84279"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6,04</w:t>
            </w:r>
          </w:p>
        </w:tc>
        <w:tc>
          <w:tcPr>
            <w:tcW w:w="845" w:type="dxa"/>
            <w:shd w:val="clear" w:color="auto" w:fill="FFFFFF"/>
          </w:tcPr>
          <w:p w14:paraId="314B13FE"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6,08</w:t>
            </w:r>
          </w:p>
        </w:tc>
        <w:tc>
          <w:tcPr>
            <w:tcW w:w="854" w:type="dxa"/>
            <w:shd w:val="clear" w:color="auto" w:fill="FFFFFF"/>
          </w:tcPr>
          <w:p w14:paraId="284AD0AA"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6,13</w:t>
            </w:r>
          </w:p>
        </w:tc>
        <w:tc>
          <w:tcPr>
            <w:tcW w:w="854" w:type="dxa"/>
            <w:shd w:val="clear" w:color="auto" w:fill="FFFFFF"/>
          </w:tcPr>
          <w:p w14:paraId="5933D7F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6,18</w:t>
            </w:r>
          </w:p>
        </w:tc>
        <w:tc>
          <w:tcPr>
            <w:tcW w:w="883" w:type="dxa"/>
            <w:shd w:val="clear" w:color="auto" w:fill="FFFFFF"/>
          </w:tcPr>
          <w:p w14:paraId="34F1AA4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6,23</w:t>
            </w:r>
          </w:p>
        </w:tc>
      </w:tr>
      <w:tr w:rsidR="00B834A2" w:rsidRPr="00D16259" w14:paraId="782DD258" w14:textId="77777777" w:rsidTr="00B834A2">
        <w:tc>
          <w:tcPr>
            <w:tcW w:w="845" w:type="dxa"/>
            <w:shd w:val="clear" w:color="auto" w:fill="FFFFFF"/>
          </w:tcPr>
          <w:p w14:paraId="61E6A62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90</w:t>
            </w:r>
          </w:p>
        </w:tc>
        <w:tc>
          <w:tcPr>
            <w:tcW w:w="888" w:type="dxa"/>
            <w:shd w:val="clear" w:color="auto" w:fill="FFFFFF"/>
          </w:tcPr>
          <w:p w14:paraId="6881476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6,28</w:t>
            </w:r>
          </w:p>
        </w:tc>
        <w:tc>
          <w:tcPr>
            <w:tcW w:w="850" w:type="dxa"/>
            <w:shd w:val="clear" w:color="auto" w:fill="FFFFFF"/>
          </w:tcPr>
          <w:p w14:paraId="429D832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6,34</w:t>
            </w:r>
          </w:p>
        </w:tc>
        <w:tc>
          <w:tcPr>
            <w:tcW w:w="850" w:type="dxa"/>
            <w:shd w:val="clear" w:color="auto" w:fill="FFFFFF"/>
          </w:tcPr>
          <w:p w14:paraId="2FBD3A3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6,41</w:t>
            </w:r>
          </w:p>
        </w:tc>
        <w:tc>
          <w:tcPr>
            <w:tcW w:w="854" w:type="dxa"/>
            <w:shd w:val="clear" w:color="auto" w:fill="FFFFFF"/>
          </w:tcPr>
          <w:p w14:paraId="09705CE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6,48</w:t>
            </w:r>
          </w:p>
        </w:tc>
        <w:tc>
          <w:tcPr>
            <w:tcW w:w="850" w:type="dxa"/>
            <w:shd w:val="clear" w:color="auto" w:fill="FFFFFF"/>
          </w:tcPr>
          <w:p w14:paraId="36A7DCFC"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6,55</w:t>
            </w:r>
          </w:p>
        </w:tc>
        <w:tc>
          <w:tcPr>
            <w:tcW w:w="850" w:type="dxa"/>
            <w:shd w:val="clear" w:color="auto" w:fill="FFFFFF"/>
          </w:tcPr>
          <w:p w14:paraId="60D580B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6,64</w:t>
            </w:r>
          </w:p>
        </w:tc>
        <w:tc>
          <w:tcPr>
            <w:tcW w:w="845" w:type="dxa"/>
            <w:shd w:val="clear" w:color="auto" w:fill="FFFFFF"/>
          </w:tcPr>
          <w:p w14:paraId="79B6FBA3"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6,75</w:t>
            </w:r>
          </w:p>
        </w:tc>
        <w:tc>
          <w:tcPr>
            <w:tcW w:w="854" w:type="dxa"/>
            <w:shd w:val="clear" w:color="auto" w:fill="FFFFFF"/>
          </w:tcPr>
          <w:p w14:paraId="7BE08749"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6,88</w:t>
            </w:r>
          </w:p>
        </w:tc>
        <w:tc>
          <w:tcPr>
            <w:tcW w:w="854" w:type="dxa"/>
            <w:shd w:val="clear" w:color="auto" w:fill="FFFFFF"/>
          </w:tcPr>
          <w:p w14:paraId="6FB2EB16"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7,05</w:t>
            </w:r>
          </w:p>
        </w:tc>
        <w:tc>
          <w:tcPr>
            <w:tcW w:w="883" w:type="dxa"/>
            <w:shd w:val="clear" w:color="auto" w:fill="FFFFFF"/>
          </w:tcPr>
          <w:p w14:paraId="3DF196A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7,33</w:t>
            </w:r>
          </w:p>
        </w:tc>
      </w:tr>
      <w:tr w:rsidR="00B834A2" w:rsidRPr="00D16259" w14:paraId="0AD7C475" w14:textId="77777777" w:rsidTr="00B834A2">
        <w:tc>
          <w:tcPr>
            <w:tcW w:w="845" w:type="dxa"/>
            <w:shd w:val="clear" w:color="auto" w:fill="FFFFFF"/>
          </w:tcPr>
          <w:p w14:paraId="10EB6AF7" w14:textId="77777777" w:rsidR="00B834A2" w:rsidRPr="00D16259" w:rsidRDefault="00B834A2" w:rsidP="00D16259">
            <w:pPr>
              <w:spacing w:after="120"/>
              <w:rPr>
                <w:sz w:val="20"/>
                <w:szCs w:val="20"/>
              </w:rPr>
            </w:pPr>
          </w:p>
        </w:tc>
        <w:tc>
          <w:tcPr>
            <w:tcW w:w="888" w:type="dxa"/>
            <w:shd w:val="clear" w:color="auto" w:fill="FFFFFF"/>
          </w:tcPr>
          <w:p w14:paraId="327335E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0,0</w:t>
            </w:r>
          </w:p>
        </w:tc>
        <w:tc>
          <w:tcPr>
            <w:tcW w:w="850" w:type="dxa"/>
            <w:shd w:val="clear" w:color="auto" w:fill="FFFFFF"/>
          </w:tcPr>
          <w:p w14:paraId="08E7FD9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0,1</w:t>
            </w:r>
          </w:p>
        </w:tc>
        <w:tc>
          <w:tcPr>
            <w:tcW w:w="850" w:type="dxa"/>
            <w:shd w:val="clear" w:color="auto" w:fill="FFFFFF"/>
          </w:tcPr>
          <w:p w14:paraId="46F9654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0,2</w:t>
            </w:r>
          </w:p>
        </w:tc>
        <w:tc>
          <w:tcPr>
            <w:tcW w:w="854" w:type="dxa"/>
            <w:shd w:val="clear" w:color="auto" w:fill="FFFFFF"/>
          </w:tcPr>
          <w:p w14:paraId="68AFF8B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0,3</w:t>
            </w:r>
          </w:p>
        </w:tc>
        <w:tc>
          <w:tcPr>
            <w:tcW w:w="850" w:type="dxa"/>
            <w:shd w:val="clear" w:color="auto" w:fill="FFFFFF"/>
          </w:tcPr>
          <w:p w14:paraId="41E551B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0,4</w:t>
            </w:r>
          </w:p>
        </w:tc>
        <w:tc>
          <w:tcPr>
            <w:tcW w:w="850" w:type="dxa"/>
            <w:shd w:val="clear" w:color="auto" w:fill="FFFFFF"/>
          </w:tcPr>
          <w:p w14:paraId="157D573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0,5</w:t>
            </w:r>
          </w:p>
        </w:tc>
        <w:tc>
          <w:tcPr>
            <w:tcW w:w="845" w:type="dxa"/>
            <w:shd w:val="clear" w:color="auto" w:fill="FFFFFF"/>
          </w:tcPr>
          <w:p w14:paraId="0486A7A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0,6</w:t>
            </w:r>
          </w:p>
        </w:tc>
        <w:tc>
          <w:tcPr>
            <w:tcW w:w="854" w:type="dxa"/>
            <w:shd w:val="clear" w:color="auto" w:fill="FFFFFF"/>
          </w:tcPr>
          <w:p w14:paraId="3CD9812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0,7</w:t>
            </w:r>
          </w:p>
        </w:tc>
        <w:tc>
          <w:tcPr>
            <w:tcW w:w="854" w:type="dxa"/>
            <w:shd w:val="clear" w:color="auto" w:fill="FFFFFF"/>
          </w:tcPr>
          <w:p w14:paraId="7F3BF7A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0,8</w:t>
            </w:r>
          </w:p>
        </w:tc>
        <w:tc>
          <w:tcPr>
            <w:tcW w:w="883" w:type="dxa"/>
            <w:shd w:val="clear" w:color="auto" w:fill="FFFFFF"/>
          </w:tcPr>
          <w:p w14:paraId="3A9896A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0,9</w:t>
            </w:r>
          </w:p>
        </w:tc>
      </w:tr>
      <w:tr w:rsidR="00B834A2" w:rsidRPr="00D16259" w14:paraId="5F5904E1" w14:textId="77777777" w:rsidTr="00B834A2">
        <w:tc>
          <w:tcPr>
            <w:tcW w:w="845" w:type="dxa"/>
            <w:tcBorders>
              <w:bottom w:val="single" w:sz="4" w:space="0" w:color="auto"/>
            </w:tcBorders>
            <w:shd w:val="clear" w:color="auto" w:fill="FFFFFF"/>
          </w:tcPr>
          <w:p w14:paraId="12987CC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99</w:t>
            </w:r>
          </w:p>
        </w:tc>
        <w:tc>
          <w:tcPr>
            <w:tcW w:w="888" w:type="dxa"/>
            <w:tcBorders>
              <w:bottom w:val="single" w:sz="4" w:space="0" w:color="auto"/>
            </w:tcBorders>
            <w:shd w:val="clear" w:color="auto" w:fill="FFFFFF"/>
          </w:tcPr>
          <w:p w14:paraId="7EF84BB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7,33</w:t>
            </w:r>
          </w:p>
        </w:tc>
        <w:tc>
          <w:tcPr>
            <w:tcW w:w="850" w:type="dxa"/>
            <w:tcBorders>
              <w:bottom w:val="single" w:sz="4" w:space="0" w:color="auto"/>
            </w:tcBorders>
            <w:shd w:val="clear" w:color="auto" w:fill="FFFFFF"/>
          </w:tcPr>
          <w:p w14:paraId="167E834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7,37</w:t>
            </w:r>
          </w:p>
        </w:tc>
        <w:tc>
          <w:tcPr>
            <w:tcW w:w="850" w:type="dxa"/>
            <w:tcBorders>
              <w:bottom w:val="single" w:sz="4" w:space="0" w:color="auto"/>
            </w:tcBorders>
            <w:shd w:val="clear" w:color="auto" w:fill="FFFFFF"/>
          </w:tcPr>
          <w:p w14:paraId="0E7E162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7,41</w:t>
            </w:r>
          </w:p>
        </w:tc>
        <w:tc>
          <w:tcPr>
            <w:tcW w:w="854" w:type="dxa"/>
            <w:tcBorders>
              <w:bottom w:val="single" w:sz="4" w:space="0" w:color="auto"/>
            </w:tcBorders>
            <w:shd w:val="clear" w:color="auto" w:fill="FFFFFF"/>
          </w:tcPr>
          <w:p w14:paraId="162593B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7,46</w:t>
            </w:r>
          </w:p>
        </w:tc>
        <w:tc>
          <w:tcPr>
            <w:tcW w:w="850" w:type="dxa"/>
            <w:tcBorders>
              <w:bottom w:val="single" w:sz="4" w:space="0" w:color="auto"/>
            </w:tcBorders>
            <w:shd w:val="clear" w:color="auto" w:fill="FFFFFF"/>
          </w:tcPr>
          <w:p w14:paraId="3AA0A561"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7,51</w:t>
            </w:r>
          </w:p>
        </w:tc>
        <w:tc>
          <w:tcPr>
            <w:tcW w:w="850" w:type="dxa"/>
            <w:tcBorders>
              <w:bottom w:val="single" w:sz="4" w:space="0" w:color="auto"/>
            </w:tcBorders>
            <w:shd w:val="clear" w:color="auto" w:fill="FFFFFF"/>
          </w:tcPr>
          <w:p w14:paraId="3FF5422B"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7,58</w:t>
            </w:r>
          </w:p>
        </w:tc>
        <w:tc>
          <w:tcPr>
            <w:tcW w:w="845" w:type="dxa"/>
            <w:tcBorders>
              <w:bottom w:val="single" w:sz="4" w:space="0" w:color="auto"/>
            </w:tcBorders>
            <w:shd w:val="clear" w:color="auto" w:fill="FFFFFF"/>
          </w:tcPr>
          <w:p w14:paraId="3EF853D9"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7,65</w:t>
            </w:r>
          </w:p>
        </w:tc>
        <w:tc>
          <w:tcPr>
            <w:tcW w:w="854" w:type="dxa"/>
            <w:tcBorders>
              <w:bottom w:val="single" w:sz="4" w:space="0" w:color="auto"/>
            </w:tcBorders>
            <w:shd w:val="clear" w:color="auto" w:fill="FFFFFF"/>
          </w:tcPr>
          <w:p w14:paraId="57B578B5"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7,75</w:t>
            </w:r>
          </w:p>
        </w:tc>
        <w:tc>
          <w:tcPr>
            <w:tcW w:w="854" w:type="dxa"/>
            <w:tcBorders>
              <w:bottom w:val="single" w:sz="4" w:space="0" w:color="auto"/>
            </w:tcBorders>
            <w:shd w:val="clear" w:color="auto" w:fill="FFFFFF"/>
          </w:tcPr>
          <w:p w14:paraId="67E49F87" w14:textId="77777777" w:rsidR="00B834A2" w:rsidRPr="00D16259" w:rsidRDefault="00B834A2" w:rsidP="00D16259">
            <w:pPr>
              <w:pStyle w:val="Bodytext20"/>
              <w:shd w:val="clear" w:color="auto" w:fill="auto"/>
              <w:spacing w:before="0" w:line="240" w:lineRule="auto"/>
              <w:ind w:left="260"/>
              <w:jc w:val="left"/>
              <w:rPr>
                <w:rFonts w:ascii="Sylfaen" w:hAnsi="Sylfaen" w:cs="Sylfaen"/>
                <w:sz w:val="20"/>
                <w:szCs w:val="20"/>
              </w:rPr>
            </w:pPr>
            <w:r w:rsidRPr="00D16259">
              <w:rPr>
                <w:rStyle w:val="Bodytext31Sylfaen9"/>
                <w:sz w:val="20"/>
                <w:szCs w:val="20"/>
              </w:rPr>
              <w:t>7,88</w:t>
            </w:r>
          </w:p>
        </w:tc>
        <w:tc>
          <w:tcPr>
            <w:tcW w:w="883" w:type="dxa"/>
            <w:tcBorders>
              <w:bottom w:val="single" w:sz="4" w:space="0" w:color="auto"/>
            </w:tcBorders>
            <w:shd w:val="clear" w:color="auto" w:fill="FFFFFF"/>
          </w:tcPr>
          <w:p w14:paraId="48C8EDD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8,09</w:t>
            </w:r>
          </w:p>
        </w:tc>
      </w:tr>
    </w:tbl>
    <w:p w14:paraId="751D1948" w14:textId="77777777" w:rsidR="00B834A2" w:rsidRDefault="00B834A2" w:rsidP="00B834A2">
      <w:pPr>
        <w:pStyle w:val="Bodytext20"/>
        <w:shd w:val="clear" w:color="auto" w:fill="auto"/>
        <w:spacing w:before="0" w:after="160" w:line="360" w:lineRule="auto"/>
        <w:ind w:firstLine="567"/>
        <w:rPr>
          <w:rFonts w:ascii="Sylfaen" w:hAnsi="Sylfaen" w:cs="Sylfaen"/>
          <w:b/>
          <w:sz w:val="24"/>
          <w:szCs w:val="24"/>
          <w:u w:val="single"/>
        </w:rPr>
      </w:pPr>
    </w:p>
    <w:p w14:paraId="785FCE6C" w14:textId="77777777" w:rsidR="00A93008" w:rsidRPr="00A93008" w:rsidRDefault="00A93008" w:rsidP="00A93008">
      <w:pPr>
        <w:pStyle w:val="Bodytext20"/>
        <w:shd w:val="clear" w:color="auto" w:fill="auto"/>
        <w:spacing w:before="0" w:after="160" w:line="360" w:lineRule="auto"/>
        <w:ind w:firstLine="567"/>
        <w:jc w:val="both"/>
        <w:rPr>
          <w:rFonts w:ascii="Sylfaen" w:hAnsi="Sylfaen" w:cs="Sylfaen"/>
          <w:b/>
          <w:i/>
          <w:sz w:val="32"/>
          <w:szCs w:val="24"/>
          <w:u w:val="single"/>
        </w:rPr>
      </w:pPr>
      <w:r w:rsidRPr="00A93008">
        <w:rPr>
          <w:rStyle w:val="Bodytext31Sylfaen9"/>
          <w:i w:val="0"/>
          <w:sz w:val="24"/>
          <w:szCs w:val="20"/>
        </w:rPr>
        <w:t>Աղյուսակ 6.</w:t>
      </w:r>
      <w:r w:rsidRPr="00A93008">
        <w:rPr>
          <w:rStyle w:val="Bodytext31Sylfaen9"/>
          <w:sz w:val="24"/>
          <w:szCs w:val="20"/>
        </w:rPr>
        <w:t xml:space="preserve"> </w:t>
      </w:r>
      <w:r w:rsidRPr="00A93008">
        <w:rPr>
          <w:rFonts w:ascii="Sylfaen" w:hAnsi="Sylfaen"/>
          <w:i/>
          <w:sz w:val="24"/>
          <w:szCs w:val="20"/>
        </w:rPr>
        <w:t>Պրոբիտների վերածումը կշռային գործակիցների</w:t>
      </w:r>
    </w:p>
    <w:tbl>
      <w:tblPr>
        <w:tblOverlap w:val="never"/>
        <w:tblW w:w="9640" w:type="dxa"/>
        <w:tblInd w:w="-274" w:type="dxa"/>
        <w:tblLayout w:type="fixed"/>
        <w:tblCellMar>
          <w:left w:w="10" w:type="dxa"/>
          <w:right w:w="10" w:type="dxa"/>
        </w:tblCellMar>
        <w:tblLook w:val="0000" w:firstRow="0" w:lastRow="0" w:firstColumn="0" w:lastColumn="0" w:noHBand="0" w:noVBand="0"/>
      </w:tblPr>
      <w:tblGrid>
        <w:gridCol w:w="1311"/>
        <w:gridCol w:w="674"/>
        <w:gridCol w:w="851"/>
        <w:gridCol w:w="850"/>
        <w:gridCol w:w="851"/>
        <w:gridCol w:w="850"/>
        <w:gridCol w:w="851"/>
        <w:gridCol w:w="850"/>
        <w:gridCol w:w="851"/>
        <w:gridCol w:w="850"/>
        <w:gridCol w:w="851"/>
      </w:tblGrid>
      <w:tr w:rsidR="00B834A2" w:rsidRPr="00D16259" w14:paraId="7AE27B62" w14:textId="77777777" w:rsidTr="00A93008">
        <w:tc>
          <w:tcPr>
            <w:tcW w:w="1311" w:type="dxa"/>
            <w:tcBorders>
              <w:top w:val="single" w:sz="4" w:space="0" w:color="auto"/>
            </w:tcBorders>
            <w:shd w:val="clear" w:color="auto" w:fill="FFFFFF"/>
            <w:vAlign w:val="center"/>
          </w:tcPr>
          <w:p w14:paraId="0E7EFB6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Պրոբիտներ</w:t>
            </w:r>
          </w:p>
        </w:tc>
        <w:tc>
          <w:tcPr>
            <w:tcW w:w="674" w:type="dxa"/>
            <w:tcBorders>
              <w:top w:val="single" w:sz="4" w:space="0" w:color="auto"/>
            </w:tcBorders>
            <w:shd w:val="clear" w:color="auto" w:fill="FFFFFF"/>
            <w:vAlign w:val="bottom"/>
          </w:tcPr>
          <w:p w14:paraId="387F3CC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w:t>
            </w:r>
          </w:p>
        </w:tc>
        <w:tc>
          <w:tcPr>
            <w:tcW w:w="851" w:type="dxa"/>
            <w:tcBorders>
              <w:top w:val="single" w:sz="4" w:space="0" w:color="auto"/>
            </w:tcBorders>
            <w:shd w:val="clear" w:color="auto" w:fill="FFFFFF"/>
            <w:vAlign w:val="bottom"/>
          </w:tcPr>
          <w:p w14:paraId="044AF45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0,1</w:t>
            </w:r>
          </w:p>
        </w:tc>
        <w:tc>
          <w:tcPr>
            <w:tcW w:w="850" w:type="dxa"/>
            <w:tcBorders>
              <w:top w:val="single" w:sz="4" w:space="0" w:color="auto"/>
            </w:tcBorders>
            <w:shd w:val="clear" w:color="auto" w:fill="FFFFFF"/>
            <w:vAlign w:val="bottom"/>
          </w:tcPr>
          <w:p w14:paraId="4A8C458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0,2</w:t>
            </w:r>
          </w:p>
        </w:tc>
        <w:tc>
          <w:tcPr>
            <w:tcW w:w="851" w:type="dxa"/>
            <w:tcBorders>
              <w:top w:val="single" w:sz="4" w:space="0" w:color="auto"/>
            </w:tcBorders>
            <w:shd w:val="clear" w:color="auto" w:fill="FFFFFF"/>
            <w:vAlign w:val="center"/>
          </w:tcPr>
          <w:p w14:paraId="025363E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0,3</w:t>
            </w:r>
          </w:p>
        </w:tc>
        <w:tc>
          <w:tcPr>
            <w:tcW w:w="850" w:type="dxa"/>
            <w:tcBorders>
              <w:top w:val="single" w:sz="4" w:space="0" w:color="auto"/>
            </w:tcBorders>
            <w:shd w:val="clear" w:color="auto" w:fill="FFFFFF"/>
            <w:vAlign w:val="center"/>
          </w:tcPr>
          <w:p w14:paraId="542C0F9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0,4</w:t>
            </w:r>
          </w:p>
        </w:tc>
        <w:tc>
          <w:tcPr>
            <w:tcW w:w="851" w:type="dxa"/>
            <w:tcBorders>
              <w:top w:val="single" w:sz="4" w:space="0" w:color="auto"/>
            </w:tcBorders>
            <w:shd w:val="clear" w:color="auto" w:fill="FFFFFF"/>
            <w:vAlign w:val="center"/>
          </w:tcPr>
          <w:p w14:paraId="395F3E6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0,5</w:t>
            </w:r>
          </w:p>
        </w:tc>
        <w:tc>
          <w:tcPr>
            <w:tcW w:w="850" w:type="dxa"/>
            <w:tcBorders>
              <w:top w:val="single" w:sz="4" w:space="0" w:color="auto"/>
            </w:tcBorders>
            <w:shd w:val="clear" w:color="auto" w:fill="FFFFFF"/>
            <w:vAlign w:val="bottom"/>
          </w:tcPr>
          <w:p w14:paraId="15E9830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0,6</w:t>
            </w:r>
          </w:p>
        </w:tc>
        <w:tc>
          <w:tcPr>
            <w:tcW w:w="851" w:type="dxa"/>
            <w:tcBorders>
              <w:top w:val="single" w:sz="4" w:space="0" w:color="auto"/>
            </w:tcBorders>
            <w:shd w:val="clear" w:color="auto" w:fill="FFFFFF"/>
            <w:vAlign w:val="center"/>
          </w:tcPr>
          <w:p w14:paraId="3A558C2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0,7</w:t>
            </w:r>
          </w:p>
        </w:tc>
        <w:tc>
          <w:tcPr>
            <w:tcW w:w="850" w:type="dxa"/>
            <w:tcBorders>
              <w:top w:val="single" w:sz="4" w:space="0" w:color="auto"/>
            </w:tcBorders>
            <w:shd w:val="clear" w:color="auto" w:fill="FFFFFF"/>
            <w:vAlign w:val="bottom"/>
          </w:tcPr>
          <w:p w14:paraId="7EEF56E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0,8</w:t>
            </w:r>
          </w:p>
        </w:tc>
        <w:tc>
          <w:tcPr>
            <w:tcW w:w="851" w:type="dxa"/>
            <w:tcBorders>
              <w:top w:val="single" w:sz="4" w:space="0" w:color="auto"/>
            </w:tcBorders>
            <w:shd w:val="clear" w:color="auto" w:fill="FFFFFF"/>
            <w:vAlign w:val="center"/>
          </w:tcPr>
          <w:p w14:paraId="3EE539A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0,9</w:t>
            </w:r>
          </w:p>
        </w:tc>
      </w:tr>
      <w:tr w:rsidR="00B834A2" w:rsidRPr="00D16259" w14:paraId="01D31BD9" w14:textId="77777777" w:rsidTr="00A93008">
        <w:tc>
          <w:tcPr>
            <w:tcW w:w="1311" w:type="dxa"/>
            <w:tcBorders>
              <w:top w:val="single" w:sz="4" w:space="0" w:color="auto"/>
            </w:tcBorders>
            <w:shd w:val="clear" w:color="auto" w:fill="FFFFFF"/>
            <w:vAlign w:val="center"/>
          </w:tcPr>
          <w:p w14:paraId="5DA4612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674" w:type="dxa"/>
            <w:tcBorders>
              <w:top w:val="single" w:sz="4" w:space="0" w:color="auto"/>
            </w:tcBorders>
            <w:shd w:val="clear" w:color="auto" w:fill="FFFFFF"/>
            <w:vAlign w:val="bottom"/>
          </w:tcPr>
          <w:p w14:paraId="062EF2A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w:t>
            </w:r>
          </w:p>
        </w:tc>
        <w:tc>
          <w:tcPr>
            <w:tcW w:w="851" w:type="dxa"/>
            <w:tcBorders>
              <w:top w:val="single" w:sz="4" w:space="0" w:color="auto"/>
            </w:tcBorders>
            <w:shd w:val="clear" w:color="auto" w:fill="FFFFFF"/>
            <w:vAlign w:val="bottom"/>
          </w:tcPr>
          <w:p w14:paraId="521FA4F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c>
          <w:tcPr>
            <w:tcW w:w="850" w:type="dxa"/>
            <w:tcBorders>
              <w:top w:val="single" w:sz="4" w:space="0" w:color="auto"/>
            </w:tcBorders>
            <w:shd w:val="clear" w:color="auto" w:fill="FFFFFF"/>
            <w:vAlign w:val="center"/>
          </w:tcPr>
          <w:p w14:paraId="23088FB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w:t>
            </w:r>
          </w:p>
        </w:tc>
        <w:tc>
          <w:tcPr>
            <w:tcW w:w="851" w:type="dxa"/>
            <w:tcBorders>
              <w:top w:val="single" w:sz="4" w:space="0" w:color="auto"/>
            </w:tcBorders>
            <w:shd w:val="clear" w:color="auto" w:fill="FFFFFF"/>
            <w:vAlign w:val="bottom"/>
          </w:tcPr>
          <w:p w14:paraId="1A7D4BB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w:t>
            </w:r>
          </w:p>
        </w:tc>
        <w:tc>
          <w:tcPr>
            <w:tcW w:w="850" w:type="dxa"/>
            <w:tcBorders>
              <w:top w:val="single" w:sz="4" w:space="0" w:color="auto"/>
            </w:tcBorders>
            <w:shd w:val="clear" w:color="auto" w:fill="FFFFFF"/>
            <w:vAlign w:val="bottom"/>
          </w:tcPr>
          <w:p w14:paraId="53CECA8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w:t>
            </w:r>
          </w:p>
        </w:tc>
        <w:tc>
          <w:tcPr>
            <w:tcW w:w="851" w:type="dxa"/>
            <w:tcBorders>
              <w:top w:val="single" w:sz="4" w:space="0" w:color="auto"/>
            </w:tcBorders>
            <w:shd w:val="clear" w:color="auto" w:fill="FFFFFF"/>
            <w:vAlign w:val="bottom"/>
          </w:tcPr>
          <w:p w14:paraId="3F3D74F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850" w:type="dxa"/>
            <w:tcBorders>
              <w:top w:val="single" w:sz="4" w:space="0" w:color="auto"/>
            </w:tcBorders>
            <w:shd w:val="clear" w:color="auto" w:fill="FFFFFF"/>
            <w:vAlign w:val="center"/>
          </w:tcPr>
          <w:p w14:paraId="33BCF73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w:t>
            </w:r>
          </w:p>
        </w:tc>
        <w:tc>
          <w:tcPr>
            <w:tcW w:w="851" w:type="dxa"/>
            <w:tcBorders>
              <w:top w:val="single" w:sz="4" w:space="0" w:color="auto"/>
            </w:tcBorders>
            <w:shd w:val="clear" w:color="auto" w:fill="FFFFFF"/>
            <w:vAlign w:val="bottom"/>
          </w:tcPr>
          <w:p w14:paraId="7365618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w:t>
            </w:r>
          </w:p>
        </w:tc>
        <w:tc>
          <w:tcPr>
            <w:tcW w:w="850" w:type="dxa"/>
            <w:tcBorders>
              <w:top w:val="single" w:sz="4" w:space="0" w:color="auto"/>
            </w:tcBorders>
            <w:shd w:val="clear" w:color="auto" w:fill="FFFFFF"/>
            <w:vAlign w:val="center"/>
          </w:tcPr>
          <w:p w14:paraId="135C7D9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w:t>
            </w:r>
          </w:p>
        </w:tc>
        <w:tc>
          <w:tcPr>
            <w:tcW w:w="851" w:type="dxa"/>
            <w:tcBorders>
              <w:top w:val="single" w:sz="4" w:space="0" w:color="auto"/>
            </w:tcBorders>
            <w:shd w:val="clear" w:color="auto" w:fill="FFFFFF"/>
            <w:vAlign w:val="center"/>
          </w:tcPr>
          <w:p w14:paraId="5E4B178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w:t>
            </w:r>
          </w:p>
        </w:tc>
      </w:tr>
      <w:tr w:rsidR="00B834A2" w:rsidRPr="00D16259" w14:paraId="02B34A74" w14:textId="77777777" w:rsidTr="00A93008">
        <w:tc>
          <w:tcPr>
            <w:tcW w:w="1311" w:type="dxa"/>
            <w:shd w:val="clear" w:color="auto" w:fill="FFFFFF"/>
          </w:tcPr>
          <w:p w14:paraId="1ADFF9F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w:t>
            </w:r>
          </w:p>
        </w:tc>
        <w:tc>
          <w:tcPr>
            <w:tcW w:w="674" w:type="dxa"/>
            <w:shd w:val="clear" w:color="auto" w:fill="FFFFFF"/>
          </w:tcPr>
          <w:p w14:paraId="1D858A6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w:t>
            </w:r>
          </w:p>
        </w:tc>
        <w:tc>
          <w:tcPr>
            <w:tcW w:w="851" w:type="dxa"/>
            <w:shd w:val="clear" w:color="auto" w:fill="FFFFFF"/>
          </w:tcPr>
          <w:p w14:paraId="271B135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w:t>
            </w:r>
          </w:p>
        </w:tc>
        <w:tc>
          <w:tcPr>
            <w:tcW w:w="850" w:type="dxa"/>
            <w:shd w:val="clear" w:color="auto" w:fill="FFFFFF"/>
          </w:tcPr>
          <w:p w14:paraId="54C2CC5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3,9</w:t>
            </w:r>
          </w:p>
        </w:tc>
        <w:tc>
          <w:tcPr>
            <w:tcW w:w="851" w:type="dxa"/>
            <w:shd w:val="clear" w:color="auto" w:fill="FFFFFF"/>
          </w:tcPr>
          <w:p w14:paraId="50264BF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w:t>
            </w:r>
          </w:p>
        </w:tc>
        <w:tc>
          <w:tcPr>
            <w:tcW w:w="850" w:type="dxa"/>
            <w:shd w:val="clear" w:color="auto" w:fill="FFFFFF"/>
          </w:tcPr>
          <w:p w14:paraId="683C660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w:t>
            </w:r>
          </w:p>
        </w:tc>
        <w:tc>
          <w:tcPr>
            <w:tcW w:w="851" w:type="dxa"/>
            <w:shd w:val="clear" w:color="auto" w:fill="FFFFFF"/>
          </w:tcPr>
          <w:p w14:paraId="702399B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w:t>
            </w:r>
          </w:p>
        </w:tc>
        <w:tc>
          <w:tcPr>
            <w:tcW w:w="850" w:type="dxa"/>
            <w:shd w:val="clear" w:color="auto" w:fill="FFFFFF"/>
          </w:tcPr>
          <w:p w14:paraId="20CE27D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w:t>
            </w:r>
          </w:p>
        </w:tc>
        <w:tc>
          <w:tcPr>
            <w:tcW w:w="851" w:type="dxa"/>
            <w:shd w:val="clear" w:color="auto" w:fill="FFFFFF"/>
          </w:tcPr>
          <w:p w14:paraId="1FDBAC9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w:t>
            </w:r>
          </w:p>
        </w:tc>
        <w:tc>
          <w:tcPr>
            <w:tcW w:w="850" w:type="dxa"/>
            <w:shd w:val="clear" w:color="auto" w:fill="FFFFFF"/>
          </w:tcPr>
          <w:p w14:paraId="4978E0E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w:t>
            </w:r>
          </w:p>
        </w:tc>
        <w:tc>
          <w:tcPr>
            <w:tcW w:w="851" w:type="dxa"/>
            <w:shd w:val="clear" w:color="auto" w:fill="FFFFFF"/>
          </w:tcPr>
          <w:p w14:paraId="3D5861F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w:t>
            </w:r>
          </w:p>
        </w:tc>
      </w:tr>
      <w:tr w:rsidR="00B834A2" w:rsidRPr="00D16259" w14:paraId="2BD8EEA5" w14:textId="77777777" w:rsidTr="00A93008">
        <w:tc>
          <w:tcPr>
            <w:tcW w:w="1311" w:type="dxa"/>
            <w:shd w:val="clear" w:color="auto" w:fill="FFFFFF"/>
            <w:vAlign w:val="bottom"/>
          </w:tcPr>
          <w:p w14:paraId="333BF21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w:t>
            </w:r>
          </w:p>
        </w:tc>
        <w:tc>
          <w:tcPr>
            <w:tcW w:w="674" w:type="dxa"/>
            <w:shd w:val="clear" w:color="auto" w:fill="FFFFFF"/>
            <w:vAlign w:val="bottom"/>
          </w:tcPr>
          <w:p w14:paraId="1DC283A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5,0</w:t>
            </w:r>
          </w:p>
        </w:tc>
        <w:tc>
          <w:tcPr>
            <w:tcW w:w="851" w:type="dxa"/>
            <w:shd w:val="clear" w:color="auto" w:fill="FFFFFF"/>
            <w:vAlign w:val="bottom"/>
          </w:tcPr>
          <w:p w14:paraId="4A41190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4,9</w:t>
            </w:r>
          </w:p>
        </w:tc>
        <w:tc>
          <w:tcPr>
            <w:tcW w:w="850" w:type="dxa"/>
            <w:shd w:val="clear" w:color="auto" w:fill="FFFFFF"/>
            <w:vAlign w:val="bottom"/>
          </w:tcPr>
          <w:p w14:paraId="3E69CAF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4,8</w:t>
            </w:r>
          </w:p>
        </w:tc>
        <w:tc>
          <w:tcPr>
            <w:tcW w:w="851" w:type="dxa"/>
            <w:shd w:val="clear" w:color="auto" w:fill="FFFFFF"/>
            <w:vAlign w:val="bottom"/>
          </w:tcPr>
          <w:p w14:paraId="7B9CC3D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4,7</w:t>
            </w:r>
          </w:p>
        </w:tc>
        <w:tc>
          <w:tcPr>
            <w:tcW w:w="850" w:type="dxa"/>
            <w:shd w:val="clear" w:color="auto" w:fill="FFFFFF"/>
            <w:vAlign w:val="bottom"/>
          </w:tcPr>
          <w:p w14:paraId="4811117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4,6</w:t>
            </w:r>
          </w:p>
        </w:tc>
        <w:tc>
          <w:tcPr>
            <w:tcW w:w="851" w:type="dxa"/>
            <w:shd w:val="clear" w:color="auto" w:fill="FFFFFF"/>
            <w:vAlign w:val="bottom"/>
          </w:tcPr>
          <w:p w14:paraId="51D7519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4,5</w:t>
            </w:r>
          </w:p>
        </w:tc>
        <w:tc>
          <w:tcPr>
            <w:tcW w:w="850" w:type="dxa"/>
            <w:shd w:val="clear" w:color="auto" w:fill="FFFFFF"/>
            <w:vAlign w:val="bottom"/>
          </w:tcPr>
          <w:p w14:paraId="4C625F3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4,3</w:t>
            </w:r>
          </w:p>
        </w:tc>
        <w:tc>
          <w:tcPr>
            <w:tcW w:w="851" w:type="dxa"/>
            <w:shd w:val="clear" w:color="auto" w:fill="FFFFFF"/>
            <w:vAlign w:val="bottom"/>
          </w:tcPr>
          <w:p w14:paraId="74EB3B0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4,1</w:t>
            </w:r>
          </w:p>
        </w:tc>
        <w:tc>
          <w:tcPr>
            <w:tcW w:w="850" w:type="dxa"/>
            <w:shd w:val="clear" w:color="auto" w:fill="FFFFFF"/>
            <w:vAlign w:val="bottom"/>
          </w:tcPr>
          <w:p w14:paraId="7F45A13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3,9</w:t>
            </w:r>
          </w:p>
        </w:tc>
        <w:tc>
          <w:tcPr>
            <w:tcW w:w="851" w:type="dxa"/>
            <w:shd w:val="clear" w:color="auto" w:fill="FFFFFF"/>
            <w:vAlign w:val="bottom"/>
          </w:tcPr>
          <w:p w14:paraId="2D47857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3,7</w:t>
            </w:r>
          </w:p>
        </w:tc>
      </w:tr>
      <w:tr w:rsidR="00B834A2" w:rsidRPr="00D16259" w14:paraId="14185B41" w14:textId="77777777" w:rsidTr="00A93008">
        <w:tc>
          <w:tcPr>
            <w:tcW w:w="1311" w:type="dxa"/>
            <w:shd w:val="clear" w:color="auto" w:fill="FFFFFF"/>
            <w:vAlign w:val="bottom"/>
          </w:tcPr>
          <w:p w14:paraId="3C47E87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w:t>
            </w:r>
          </w:p>
        </w:tc>
        <w:tc>
          <w:tcPr>
            <w:tcW w:w="674" w:type="dxa"/>
            <w:shd w:val="clear" w:color="auto" w:fill="FFFFFF"/>
            <w:vAlign w:val="bottom"/>
          </w:tcPr>
          <w:p w14:paraId="2DACE8E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3,5</w:t>
            </w:r>
          </w:p>
        </w:tc>
        <w:tc>
          <w:tcPr>
            <w:tcW w:w="851" w:type="dxa"/>
            <w:shd w:val="clear" w:color="auto" w:fill="FFFFFF"/>
            <w:vAlign w:val="bottom"/>
          </w:tcPr>
          <w:p w14:paraId="5D6ED18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w:t>
            </w:r>
          </w:p>
        </w:tc>
        <w:tc>
          <w:tcPr>
            <w:tcW w:w="850" w:type="dxa"/>
            <w:shd w:val="clear" w:color="auto" w:fill="FFFFFF"/>
            <w:vAlign w:val="bottom"/>
          </w:tcPr>
          <w:p w14:paraId="7F6A424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w:t>
            </w:r>
          </w:p>
        </w:tc>
        <w:tc>
          <w:tcPr>
            <w:tcW w:w="851" w:type="dxa"/>
            <w:shd w:val="clear" w:color="auto" w:fill="FFFFFF"/>
            <w:vAlign w:val="bottom"/>
          </w:tcPr>
          <w:p w14:paraId="2A7D63C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2,6</w:t>
            </w:r>
          </w:p>
        </w:tc>
        <w:tc>
          <w:tcPr>
            <w:tcW w:w="850" w:type="dxa"/>
            <w:shd w:val="clear" w:color="auto" w:fill="FFFFFF"/>
            <w:vAlign w:val="bottom"/>
          </w:tcPr>
          <w:p w14:paraId="276995F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2,3</w:t>
            </w:r>
          </w:p>
        </w:tc>
        <w:tc>
          <w:tcPr>
            <w:tcW w:w="851" w:type="dxa"/>
            <w:shd w:val="clear" w:color="auto" w:fill="FFFFFF"/>
            <w:vAlign w:val="bottom"/>
          </w:tcPr>
          <w:p w14:paraId="18AA37C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850" w:type="dxa"/>
            <w:shd w:val="clear" w:color="auto" w:fill="FFFFFF"/>
            <w:vAlign w:val="bottom"/>
          </w:tcPr>
          <w:p w14:paraId="552AEFD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w:t>
            </w:r>
          </w:p>
        </w:tc>
        <w:tc>
          <w:tcPr>
            <w:tcW w:w="851" w:type="dxa"/>
            <w:shd w:val="clear" w:color="auto" w:fill="FFFFFF"/>
            <w:vAlign w:val="bottom"/>
          </w:tcPr>
          <w:p w14:paraId="6B3ED79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w:t>
            </w:r>
          </w:p>
        </w:tc>
        <w:tc>
          <w:tcPr>
            <w:tcW w:w="850" w:type="dxa"/>
            <w:shd w:val="clear" w:color="auto" w:fill="FFFFFF"/>
            <w:vAlign w:val="bottom"/>
          </w:tcPr>
          <w:p w14:paraId="64E11A8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w:t>
            </w:r>
          </w:p>
        </w:tc>
        <w:tc>
          <w:tcPr>
            <w:tcW w:w="851" w:type="dxa"/>
            <w:shd w:val="clear" w:color="auto" w:fill="FFFFFF"/>
            <w:vAlign w:val="bottom"/>
          </w:tcPr>
          <w:p w14:paraId="2AC2F40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r>
    </w:tbl>
    <w:p w14:paraId="057194A0" w14:textId="77777777" w:rsidR="00B834A2" w:rsidRDefault="00B834A2" w:rsidP="00B834A2">
      <w:pPr>
        <w:spacing w:after="160" w:line="360" w:lineRule="auto"/>
      </w:pPr>
    </w:p>
    <w:p w14:paraId="715F6097" w14:textId="77777777" w:rsidR="00A93008" w:rsidRPr="00A93008" w:rsidRDefault="00A93008" w:rsidP="002B2475">
      <w:pPr>
        <w:spacing w:after="160" w:line="360" w:lineRule="auto"/>
        <w:ind w:firstLine="567"/>
        <w:jc w:val="both"/>
        <w:rPr>
          <w:sz w:val="32"/>
        </w:rPr>
      </w:pPr>
      <w:r w:rsidRPr="00A93008">
        <w:rPr>
          <w:rStyle w:val="Bodytext31Sylfaen9"/>
          <w:sz w:val="24"/>
          <w:szCs w:val="20"/>
        </w:rPr>
        <w:t xml:space="preserve">Աղյուսակ 7. </w:t>
      </w:r>
      <w:r w:rsidRPr="00A93008">
        <w:rPr>
          <w:rStyle w:val="Bodytext2Italic"/>
          <w:sz w:val="24"/>
          <w:szCs w:val="20"/>
        </w:rPr>
        <w:t>«Աշխատանքային» պրոբիտներ՝ 0 % եւ 100 %-ին հավասար էֆեկտների համար</w:t>
      </w:r>
    </w:p>
    <w:tbl>
      <w:tblPr>
        <w:tblOverlap w:val="never"/>
        <w:tblW w:w="9366" w:type="dxa"/>
        <w:tblLayout w:type="fixed"/>
        <w:tblCellMar>
          <w:left w:w="10" w:type="dxa"/>
          <w:right w:w="10" w:type="dxa"/>
        </w:tblCellMar>
        <w:tblLook w:val="0000" w:firstRow="0" w:lastRow="0" w:firstColumn="0" w:lastColumn="0" w:noHBand="0" w:noVBand="0"/>
      </w:tblPr>
      <w:tblGrid>
        <w:gridCol w:w="1995"/>
        <w:gridCol w:w="1276"/>
        <w:gridCol w:w="1275"/>
        <w:gridCol w:w="2410"/>
        <w:gridCol w:w="1276"/>
        <w:gridCol w:w="1134"/>
      </w:tblGrid>
      <w:tr w:rsidR="00B834A2" w:rsidRPr="00D16259" w14:paraId="1090654F" w14:textId="77777777" w:rsidTr="00A84AF4">
        <w:trPr>
          <w:tblHeader/>
        </w:trPr>
        <w:tc>
          <w:tcPr>
            <w:tcW w:w="1995" w:type="dxa"/>
            <w:tcBorders>
              <w:top w:val="single" w:sz="4" w:space="0" w:color="auto"/>
              <w:right w:val="single" w:sz="4" w:space="0" w:color="auto"/>
            </w:tcBorders>
            <w:shd w:val="clear" w:color="auto" w:fill="FFFFFF"/>
            <w:vAlign w:val="bottom"/>
          </w:tcPr>
          <w:p w14:paraId="73096FF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Խմբում կենդանիների թիվը</w:t>
            </w:r>
          </w:p>
          <w:p w14:paraId="4C198BA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(n)</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10858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 100%</w:t>
            </w:r>
          </w:p>
        </w:tc>
        <w:tc>
          <w:tcPr>
            <w:tcW w:w="2410" w:type="dxa"/>
            <w:tcBorders>
              <w:top w:val="single" w:sz="4" w:space="0" w:color="auto"/>
              <w:left w:val="single" w:sz="4" w:space="0" w:color="auto"/>
            </w:tcBorders>
            <w:shd w:val="clear" w:color="auto" w:fill="FFFFFF"/>
            <w:vAlign w:val="bottom"/>
          </w:tcPr>
          <w:p w14:paraId="13DF546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Խմբում կենդանիների թիվը</w:t>
            </w:r>
          </w:p>
          <w:p w14:paraId="79B69EE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(n)</w:t>
            </w:r>
          </w:p>
        </w:tc>
        <w:tc>
          <w:tcPr>
            <w:tcW w:w="1276" w:type="dxa"/>
            <w:tcBorders>
              <w:top w:val="single" w:sz="4" w:space="0" w:color="auto"/>
            </w:tcBorders>
            <w:shd w:val="clear" w:color="auto" w:fill="FFFFFF"/>
            <w:vAlign w:val="center"/>
          </w:tcPr>
          <w:p w14:paraId="6DFB04C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0%</w:t>
            </w:r>
          </w:p>
        </w:tc>
        <w:tc>
          <w:tcPr>
            <w:tcW w:w="1134" w:type="dxa"/>
            <w:tcBorders>
              <w:top w:val="single" w:sz="4" w:space="0" w:color="auto"/>
            </w:tcBorders>
            <w:shd w:val="clear" w:color="auto" w:fill="FFFFFF"/>
            <w:vAlign w:val="center"/>
          </w:tcPr>
          <w:p w14:paraId="51F3C9C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100 %</w:t>
            </w:r>
          </w:p>
        </w:tc>
      </w:tr>
      <w:tr w:rsidR="00B834A2" w:rsidRPr="00D16259" w14:paraId="25809D04" w14:textId="77777777" w:rsidTr="00A84AF4">
        <w:tc>
          <w:tcPr>
            <w:tcW w:w="1995" w:type="dxa"/>
            <w:tcBorders>
              <w:top w:val="single" w:sz="4" w:space="0" w:color="auto"/>
            </w:tcBorders>
            <w:shd w:val="clear" w:color="auto" w:fill="FFFFFF"/>
            <w:vAlign w:val="bottom"/>
          </w:tcPr>
          <w:p w14:paraId="0E8B39E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w:t>
            </w:r>
          </w:p>
        </w:tc>
        <w:tc>
          <w:tcPr>
            <w:tcW w:w="1276" w:type="dxa"/>
            <w:tcBorders>
              <w:top w:val="single" w:sz="4" w:space="0" w:color="auto"/>
            </w:tcBorders>
            <w:shd w:val="clear" w:color="auto" w:fill="FFFFFF"/>
            <w:vAlign w:val="bottom"/>
          </w:tcPr>
          <w:p w14:paraId="0E39213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3,85</w:t>
            </w:r>
          </w:p>
        </w:tc>
        <w:tc>
          <w:tcPr>
            <w:tcW w:w="1275" w:type="dxa"/>
            <w:tcBorders>
              <w:top w:val="single" w:sz="4" w:space="0" w:color="auto"/>
            </w:tcBorders>
            <w:shd w:val="clear" w:color="auto" w:fill="FFFFFF"/>
            <w:vAlign w:val="bottom"/>
          </w:tcPr>
          <w:p w14:paraId="40BC341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6,15</w:t>
            </w:r>
          </w:p>
        </w:tc>
        <w:tc>
          <w:tcPr>
            <w:tcW w:w="2410" w:type="dxa"/>
            <w:tcBorders>
              <w:top w:val="single" w:sz="4" w:space="0" w:color="auto"/>
            </w:tcBorders>
            <w:shd w:val="clear" w:color="auto" w:fill="FFFFFF"/>
            <w:vAlign w:val="bottom"/>
          </w:tcPr>
          <w:p w14:paraId="0F26380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12</w:t>
            </w:r>
          </w:p>
        </w:tc>
        <w:tc>
          <w:tcPr>
            <w:tcW w:w="1276" w:type="dxa"/>
            <w:tcBorders>
              <w:top w:val="single" w:sz="4" w:space="0" w:color="auto"/>
            </w:tcBorders>
            <w:shd w:val="clear" w:color="auto" w:fill="FFFFFF"/>
            <w:vAlign w:val="bottom"/>
          </w:tcPr>
          <w:p w14:paraId="48406C2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2,97</w:t>
            </w:r>
          </w:p>
        </w:tc>
        <w:tc>
          <w:tcPr>
            <w:tcW w:w="1134" w:type="dxa"/>
            <w:tcBorders>
              <w:top w:val="single" w:sz="4" w:space="0" w:color="auto"/>
            </w:tcBorders>
            <w:shd w:val="clear" w:color="auto" w:fill="FFFFFF"/>
            <w:vAlign w:val="bottom"/>
          </w:tcPr>
          <w:p w14:paraId="6A82584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7,03</w:t>
            </w:r>
          </w:p>
        </w:tc>
      </w:tr>
      <w:tr w:rsidR="00B834A2" w:rsidRPr="00D16259" w14:paraId="0094C982" w14:textId="77777777" w:rsidTr="00A84AF4">
        <w:tc>
          <w:tcPr>
            <w:tcW w:w="1995" w:type="dxa"/>
            <w:shd w:val="clear" w:color="auto" w:fill="FFFFFF"/>
          </w:tcPr>
          <w:p w14:paraId="52146F6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w:t>
            </w:r>
          </w:p>
        </w:tc>
        <w:tc>
          <w:tcPr>
            <w:tcW w:w="1276" w:type="dxa"/>
            <w:shd w:val="clear" w:color="auto" w:fill="FFFFFF"/>
          </w:tcPr>
          <w:p w14:paraId="7502B12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3,62</w:t>
            </w:r>
          </w:p>
        </w:tc>
        <w:tc>
          <w:tcPr>
            <w:tcW w:w="1275" w:type="dxa"/>
            <w:shd w:val="clear" w:color="auto" w:fill="FFFFFF"/>
          </w:tcPr>
          <w:p w14:paraId="03535D9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6,38</w:t>
            </w:r>
          </w:p>
        </w:tc>
        <w:tc>
          <w:tcPr>
            <w:tcW w:w="2410" w:type="dxa"/>
            <w:shd w:val="clear" w:color="auto" w:fill="FFFFFF"/>
          </w:tcPr>
          <w:p w14:paraId="30395E4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13</w:t>
            </w:r>
          </w:p>
        </w:tc>
        <w:tc>
          <w:tcPr>
            <w:tcW w:w="1276" w:type="dxa"/>
            <w:shd w:val="clear" w:color="auto" w:fill="FFFFFF"/>
          </w:tcPr>
          <w:p w14:paraId="23E2215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2,93</w:t>
            </w:r>
          </w:p>
        </w:tc>
        <w:tc>
          <w:tcPr>
            <w:tcW w:w="1134" w:type="dxa"/>
            <w:shd w:val="clear" w:color="auto" w:fill="FFFFFF"/>
          </w:tcPr>
          <w:p w14:paraId="3525A76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7,07</w:t>
            </w:r>
          </w:p>
        </w:tc>
      </w:tr>
      <w:tr w:rsidR="00B834A2" w:rsidRPr="00D16259" w14:paraId="332507A2" w14:textId="77777777" w:rsidTr="00A84AF4">
        <w:tc>
          <w:tcPr>
            <w:tcW w:w="1995" w:type="dxa"/>
            <w:shd w:val="clear" w:color="auto" w:fill="FFFFFF"/>
          </w:tcPr>
          <w:p w14:paraId="6703299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4</w:t>
            </w:r>
          </w:p>
        </w:tc>
        <w:tc>
          <w:tcPr>
            <w:tcW w:w="1276" w:type="dxa"/>
            <w:shd w:val="clear" w:color="auto" w:fill="FFFFFF"/>
          </w:tcPr>
          <w:p w14:paraId="7F5F438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3,47</w:t>
            </w:r>
          </w:p>
        </w:tc>
        <w:tc>
          <w:tcPr>
            <w:tcW w:w="1275" w:type="dxa"/>
            <w:shd w:val="clear" w:color="auto" w:fill="FFFFFF"/>
          </w:tcPr>
          <w:p w14:paraId="04AE3D6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6,53</w:t>
            </w:r>
          </w:p>
        </w:tc>
        <w:tc>
          <w:tcPr>
            <w:tcW w:w="2410" w:type="dxa"/>
            <w:shd w:val="clear" w:color="auto" w:fill="FFFFFF"/>
          </w:tcPr>
          <w:p w14:paraId="2B775F0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14</w:t>
            </w:r>
          </w:p>
        </w:tc>
        <w:tc>
          <w:tcPr>
            <w:tcW w:w="1276" w:type="dxa"/>
            <w:shd w:val="clear" w:color="auto" w:fill="FFFFFF"/>
          </w:tcPr>
          <w:p w14:paraId="1D8586F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2,90</w:t>
            </w:r>
          </w:p>
        </w:tc>
        <w:tc>
          <w:tcPr>
            <w:tcW w:w="1134" w:type="dxa"/>
            <w:shd w:val="clear" w:color="auto" w:fill="FFFFFF"/>
          </w:tcPr>
          <w:p w14:paraId="26981331"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7,10</w:t>
            </w:r>
          </w:p>
        </w:tc>
      </w:tr>
      <w:tr w:rsidR="00B834A2" w:rsidRPr="00D16259" w14:paraId="05AF7952" w14:textId="77777777" w:rsidTr="00A84AF4">
        <w:tc>
          <w:tcPr>
            <w:tcW w:w="1995" w:type="dxa"/>
            <w:shd w:val="clear" w:color="auto" w:fill="FFFFFF"/>
            <w:vAlign w:val="bottom"/>
          </w:tcPr>
          <w:p w14:paraId="2EA29A9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5</w:t>
            </w:r>
          </w:p>
        </w:tc>
        <w:tc>
          <w:tcPr>
            <w:tcW w:w="1276" w:type="dxa"/>
            <w:shd w:val="clear" w:color="auto" w:fill="FFFFFF"/>
            <w:vAlign w:val="bottom"/>
          </w:tcPr>
          <w:p w14:paraId="2F12147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3,36</w:t>
            </w:r>
          </w:p>
        </w:tc>
        <w:tc>
          <w:tcPr>
            <w:tcW w:w="1275" w:type="dxa"/>
            <w:shd w:val="clear" w:color="auto" w:fill="FFFFFF"/>
            <w:vAlign w:val="bottom"/>
          </w:tcPr>
          <w:p w14:paraId="63A7B8C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6,64</w:t>
            </w:r>
          </w:p>
        </w:tc>
        <w:tc>
          <w:tcPr>
            <w:tcW w:w="2410" w:type="dxa"/>
            <w:shd w:val="clear" w:color="auto" w:fill="FFFFFF"/>
            <w:vAlign w:val="bottom"/>
          </w:tcPr>
          <w:p w14:paraId="34686FD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15</w:t>
            </w:r>
          </w:p>
        </w:tc>
        <w:tc>
          <w:tcPr>
            <w:tcW w:w="1276" w:type="dxa"/>
            <w:shd w:val="clear" w:color="auto" w:fill="FFFFFF"/>
            <w:vAlign w:val="bottom"/>
          </w:tcPr>
          <w:p w14:paraId="2596E11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2,87</w:t>
            </w:r>
          </w:p>
        </w:tc>
        <w:tc>
          <w:tcPr>
            <w:tcW w:w="1134" w:type="dxa"/>
            <w:shd w:val="clear" w:color="auto" w:fill="FFFFFF"/>
            <w:vAlign w:val="bottom"/>
          </w:tcPr>
          <w:p w14:paraId="28454D34"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7,13</w:t>
            </w:r>
          </w:p>
        </w:tc>
      </w:tr>
      <w:tr w:rsidR="00B834A2" w:rsidRPr="00D16259" w14:paraId="5A60EA43" w14:textId="77777777" w:rsidTr="00A84AF4">
        <w:tc>
          <w:tcPr>
            <w:tcW w:w="1995" w:type="dxa"/>
            <w:shd w:val="clear" w:color="auto" w:fill="FFFFFF"/>
            <w:vAlign w:val="bottom"/>
          </w:tcPr>
          <w:p w14:paraId="37CDDF7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w:t>
            </w:r>
          </w:p>
        </w:tc>
        <w:tc>
          <w:tcPr>
            <w:tcW w:w="1276" w:type="dxa"/>
            <w:shd w:val="clear" w:color="auto" w:fill="FFFFFF"/>
          </w:tcPr>
          <w:p w14:paraId="70026CD5"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3,27</w:t>
            </w:r>
          </w:p>
        </w:tc>
        <w:tc>
          <w:tcPr>
            <w:tcW w:w="1275" w:type="dxa"/>
            <w:shd w:val="clear" w:color="auto" w:fill="FFFFFF"/>
          </w:tcPr>
          <w:p w14:paraId="281625B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6,73</w:t>
            </w:r>
          </w:p>
        </w:tc>
        <w:tc>
          <w:tcPr>
            <w:tcW w:w="2410" w:type="dxa"/>
            <w:shd w:val="clear" w:color="auto" w:fill="FFFFFF"/>
            <w:vAlign w:val="bottom"/>
          </w:tcPr>
          <w:p w14:paraId="74B1742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16</w:t>
            </w:r>
          </w:p>
        </w:tc>
        <w:tc>
          <w:tcPr>
            <w:tcW w:w="1276" w:type="dxa"/>
            <w:shd w:val="clear" w:color="auto" w:fill="FFFFFF"/>
          </w:tcPr>
          <w:p w14:paraId="56C30A56"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2,85</w:t>
            </w:r>
          </w:p>
        </w:tc>
        <w:tc>
          <w:tcPr>
            <w:tcW w:w="1134" w:type="dxa"/>
            <w:shd w:val="clear" w:color="auto" w:fill="FFFFFF"/>
          </w:tcPr>
          <w:p w14:paraId="1370686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7,15</w:t>
            </w:r>
          </w:p>
        </w:tc>
      </w:tr>
      <w:tr w:rsidR="00B834A2" w:rsidRPr="00D16259" w14:paraId="6188E7C3" w14:textId="77777777" w:rsidTr="00A84AF4">
        <w:tc>
          <w:tcPr>
            <w:tcW w:w="1995" w:type="dxa"/>
            <w:shd w:val="clear" w:color="auto" w:fill="FFFFFF"/>
          </w:tcPr>
          <w:p w14:paraId="5307FFC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w:t>
            </w:r>
          </w:p>
        </w:tc>
        <w:tc>
          <w:tcPr>
            <w:tcW w:w="1276" w:type="dxa"/>
            <w:shd w:val="clear" w:color="auto" w:fill="FFFFFF"/>
          </w:tcPr>
          <w:p w14:paraId="74ED5827"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3,20</w:t>
            </w:r>
          </w:p>
        </w:tc>
        <w:tc>
          <w:tcPr>
            <w:tcW w:w="1275" w:type="dxa"/>
            <w:shd w:val="clear" w:color="auto" w:fill="FFFFFF"/>
          </w:tcPr>
          <w:p w14:paraId="505BB399"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6,80</w:t>
            </w:r>
          </w:p>
        </w:tc>
        <w:tc>
          <w:tcPr>
            <w:tcW w:w="2410" w:type="dxa"/>
            <w:shd w:val="clear" w:color="auto" w:fill="FFFFFF"/>
          </w:tcPr>
          <w:p w14:paraId="6905CFE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17</w:t>
            </w:r>
          </w:p>
        </w:tc>
        <w:tc>
          <w:tcPr>
            <w:tcW w:w="1276" w:type="dxa"/>
            <w:shd w:val="clear" w:color="auto" w:fill="FFFFFF"/>
            <w:vAlign w:val="bottom"/>
          </w:tcPr>
          <w:p w14:paraId="1F06545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2,82</w:t>
            </w:r>
          </w:p>
        </w:tc>
        <w:tc>
          <w:tcPr>
            <w:tcW w:w="1134" w:type="dxa"/>
            <w:shd w:val="clear" w:color="auto" w:fill="FFFFFF"/>
          </w:tcPr>
          <w:p w14:paraId="50DDA17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7,18</w:t>
            </w:r>
          </w:p>
        </w:tc>
      </w:tr>
      <w:tr w:rsidR="00B834A2" w:rsidRPr="00D16259" w14:paraId="47186D42" w14:textId="77777777" w:rsidTr="00A84AF4">
        <w:tc>
          <w:tcPr>
            <w:tcW w:w="1995" w:type="dxa"/>
            <w:shd w:val="clear" w:color="auto" w:fill="FFFFFF"/>
            <w:vAlign w:val="bottom"/>
          </w:tcPr>
          <w:p w14:paraId="5C301C4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lastRenderedPageBreak/>
              <w:t>8</w:t>
            </w:r>
          </w:p>
        </w:tc>
        <w:tc>
          <w:tcPr>
            <w:tcW w:w="1276" w:type="dxa"/>
            <w:shd w:val="clear" w:color="auto" w:fill="FFFFFF"/>
          </w:tcPr>
          <w:p w14:paraId="3CB8991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3,13</w:t>
            </w:r>
          </w:p>
        </w:tc>
        <w:tc>
          <w:tcPr>
            <w:tcW w:w="1275" w:type="dxa"/>
            <w:shd w:val="clear" w:color="auto" w:fill="FFFFFF"/>
          </w:tcPr>
          <w:p w14:paraId="10D6F3E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6,87</w:t>
            </w:r>
          </w:p>
        </w:tc>
        <w:tc>
          <w:tcPr>
            <w:tcW w:w="2410" w:type="dxa"/>
            <w:shd w:val="clear" w:color="auto" w:fill="FFFFFF"/>
            <w:vAlign w:val="bottom"/>
          </w:tcPr>
          <w:p w14:paraId="2156F2B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18</w:t>
            </w:r>
          </w:p>
        </w:tc>
        <w:tc>
          <w:tcPr>
            <w:tcW w:w="1276" w:type="dxa"/>
            <w:shd w:val="clear" w:color="auto" w:fill="FFFFFF"/>
            <w:vAlign w:val="bottom"/>
          </w:tcPr>
          <w:p w14:paraId="1FAAAA4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2,80</w:t>
            </w:r>
          </w:p>
        </w:tc>
        <w:tc>
          <w:tcPr>
            <w:tcW w:w="1134" w:type="dxa"/>
            <w:shd w:val="clear" w:color="auto" w:fill="FFFFFF"/>
          </w:tcPr>
          <w:p w14:paraId="715438E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7,20</w:t>
            </w:r>
          </w:p>
        </w:tc>
      </w:tr>
      <w:tr w:rsidR="00B834A2" w:rsidRPr="00D16259" w14:paraId="4C18030A" w14:textId="77777777" w:rsidTr="00A84AF4">
        <w:tc>
          <w:tcPr>
            <w:tcW w:w="1995" w:type="dxa"/>
            <w:shd w:val="clear" w:color="auto" w:fill="FFFFFF"/>
            <w:vAlign w:val="bottom"/>
          </w:tcPr>
          <w:p w14:paraId="0F24476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9</w:t>
            </w:r>
          </w:p>
        </w:tc>
        <w:tc>
          <w:tcPr>
            <w:tcW w:w="1276" w:type="dxa"/>
            <w:shd w:val="clear" w:color="auto" w:fill="FFFFFF"/>
            <w:vAlign w:val="bottom"/>
          </w:tcPr>
          <w:p w14:paraId="7DD33C3C"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3,09</w:t>
            </w:r>
          </w:p>
        </w:tc>
        <w:tc>
          <w:tcPr>
            <w:tcW w:w="1275" w:type="dxa"/>
            <w:shd w:val="clear" w:color="auto" w:fill="FFFFFF"/>
            <w:vAlign w:val="bottom"/>
          </w:tcPr>
          <w:p w14:paraId="2BBACE7F"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6,91</w:t>
            </w:r>
          </w:p>
        </w:tc>
        <w:tc>
          <w:tcPr>
            <w:tcW w:w="2410" w:type="dxa"/>
            <w:shd w:val="clear" w:color="auto" w:fill="FFFFFF"/>
            <w:vAlign w:val="bottom"/>
          </w:tcPr>
          <w:p w14:paraId="3890ABFD"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19</w:t>
            </w:r>
          </w:p>
        </w:tc>
        <w:tc>
          <w:tcPr>
            <w:tcW w:w="1276" w:type="dxa"/>
            <w:shd w:val="clear" w:color="auto" w:fill="FFFFFF"/>
            <w:vAlign w:val="bottom"/>
          </w:tcPr>
          <w:p w14:paraId="2122D83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2,78</w:t>
            </w:r>
          </w:p>
        </w:tc>
        <w:tc>
          <w:tcPr>
            <w:tcW w:w="1134" w:type="dxa"/>
            <w:shd w:val="clear" w:color="auto" w:fill="FFFFFF"/>
            <w:vAlign w:val="bottom"/>
          </w:tcPr>
          <w:p w14:paraId="50CC63A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7,22</w:t>
            </w:r>
          </w:p>
        </w:tc>
      </w:tr>
      <w:tr w:rsidR="00B834A2" w:rsidRPr="00D16259" w14:paraId="60F96D64" w14:textId="77777777" w:rsidTr="00A84AF4">
        <w:tc>
          <w:tcPr>
            <w:tcW w:w="1995" w:type="dxa"/>
            <w:shd w:val="clear" w:color="auto" w:fill="FFFFFF"/>
            <w:vAlign w:val="bottom"/>
          </w:tcPr>
          <w:p w14:paraId="50397CC2"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10</w:t>
            </w:r>
          </w:p>
        </w:tc>
        <w:tc>
          <w:tcPr>
            <w:tcW w:w="1276" w:type="dxa"/>
            <w:shd w:val="clear" w:color="auto" w:fill="FFFFFF"/>
            <w:vAlign w:val="bottom"/>
          </w:tcPr>
          <w:p w14:paraId="48740E6B"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3,04</w:t>
            </w:r>
          </w:p>
        </w:tc>
        <w:tc>
          <w:tcPr>
            <w:tcW w:w="1275" w:type="dxa"/>
            <w:shd w:val="clear" w:color="auto" w:fill="FFFFFF"/>
            <w:vAlign w:val="bottom"/>
          </w:tcPr>
          <w:p w14:paraId="275A06F3"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6,96</w:t>
            </w:r>
          </w:p>
        </w:tc>
        <w:tc>
          <w:tcPr>
            <w:tcW w:w="2410" w:type="dxa"/>
            <w:shd w:val="clear" w:color="auto" w:fill="FFFFFF"/>
            <w:vAlign w:val="bottom"/>
          </w:tcPr>
          <w:p w14:paraId="43C9573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20</w:t>
            </w:r>
          </w:p>
        </w:tc>
        <w:tc>
          <w:tcPr>
            <w:tcW w:w="1276" w:type="dxa"/>
            <w:shd w:val="clear" w:color="auto" w:fill="FFFFFF"/>
            <w:vAlign w:val="bottom"/>
          </w:tcPr>
          <w:p w14:paraId="1E23C900"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2,76</w:t>
            </w:r>
          </w:p>
        </w:tc>
        <w:tc>
          <w:tcPr>
            <w:tcW w:w="1134" w:type="dxa"/>
            <w:shd w:val="clear" w:color="auto" w:fill="FFFFFF"/>
            <w:vAlign w:val="bottom"/>
          </w:tcPr>
          <w:p w14:paraId="5DE2CDA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7,24</w:t>
            </w:r>
          </w:p>
        </w:tc>
      </w:tr>
      <w:tr w:rsidR="00B834A2" w:rsidRPr="00D16259" w14:paraId="1C63C1F0" w14:textId="77777777" w:rsidTr="00A84AF4">
        <w:tc>
          <w:tcPr>
            <w:tcW w:w="1995" w:type="dxa"/>
            <w:tcBorders>
              <w:bottom w:val="single" w:sz="4" w:space="0" w:color="auto"/>
            </w:tcBorders>
            <w:shd w:val="clear" w:color="auto" w:fill="FFFFFF"/>
            <w:vAlign w:val="center"/>
          </w:tcPr>
          <w:p w14:paraId="5BE685B8"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11</w:t>
            </w:r>
          </w:p>
        </w:tc>
        <w:tc>
          <w:tcPr>
            <w:tcW w:w="1276" w:type="dxa"/>
            <w:tcBorders>
              <w:bottom w:val="single" w:sz="4" w:space="0" w:color="auto"/>
            </w:tcBorders>
            <w:shd w:val="clear" w:color="auto" w:fill="FFFFFF"/>
            <w:vAlign w:val="center"/>
          </w:tcPr>
          <w:p w14:paraId="35A4CF5E"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3,00</w:t>
            </w:r>
          </w:p>
        </w:tc>
        <w:tc>
          <w:tcPr>
            <w:tcW w:w="1275" w:type="dxa"/>
            <w:tcBorders>
              <w:left w:val="nil"/>
              <w:bottom w:val="single" w:sz="4" w:space="0" w:color="auto"/>
            </w:tcBorders>
            <w:shd w:val="clear" w:color="auto" w:fill="FFFFFF"/>
            <w:vAlign w:val="center"/>
          </w:tcPr>
          <w:p w14:paraId="0EB415BA" w14:textId="77777777" w:rsidR="00B834A2" w:rsidRPr="00D16259" w:rsidRDefault="00B834A2" w:rsidP="00D16259">
            <w:pPr>
              <w:pStyle w:val="Bodytext20"/>
              <w:shd w:val="clear" w:color="auto" w:fill="auto"/>
              <w:spacing w:before="0" w:line="240" w:lineRule="auto"/>
              <w:rPr>
                <w:rFonts w:ascii="Sylfaen" w:hAnsi="Sylfaen" w:cs="Sylfaen"/>
                <w:sz w:val="20"/>
                <w:szCs w:val="20"/>
              </w:rPr>
            </w:pPr>
            <w:r w:rsidRPr="00D16259">
              <w:rPr>
                <w:rStyle w:val="Bodytext31Sylfaen9"/>
                <w:sz w:val="20"/>
                <w:szCs w:val="20"/>
              </w:rPr>
              <w:t>7,00</w:t>
            </w:r>
          </w:p>
        </w:tc>
        <w:tc>
          <w:tcPr>
            <w:tcW w:w="2410" w:type="dxa"/>
            <w:tcBorders>
              <w:bottom w:val="single" w:sz="4" w:space="0" w:color="auto"/>
            </w:tcBorders>
            <w:shd w:val="clear" w:color="auto" w:fill="FFFFFF"/>
          </w:tcPr>
          <w:p w14:paraId="2DB24C79" w14:textId="77777777" w:rsidR="00B834A2" w:rsidRPr="00D16259" w:rsidRDefault="00B834A2" w:rsidP="00D16259">
            <w:pPr>
              <w:pStyle w:val="Bodytext20"/>
              <w:spacing w:before="0" w:line="240" w:lineRule="auto"/>
              <w:rPr>
                <w:rFonts w:ascii="Sylfaen" w:hAnsi="Sylfaen" w:cs="Sylfaen"/>
                <w:sz w:val="20"/>
                <w:szCs w:val="20"/>
              </w:rPr>
            </w:pPr>
          </w:p>
        </w:tc>
        <w:tc>
          <w:tcPr>
            <w:tcW w:w="1276" w:type="dxa"/>
            <w:tcBorders>
              <w:bottom w:val="single" w:sz="4" w:space="0" w:color="auto"/>
            </w:tcBorders>
            <w:shd w:val="clear" w:color="auto" w:fill="FFFFFF"/>
          </w:tcPr>
          <w:p w14:paraId="2C2C97DF" w14:textId="77777777" w:rsidR="00B834A2" w:rsidRPr="00D16259" w:rsidRDefault="00B834A2" w:rsidP="00D16259">
            <w:pPr>
              <w:spacing w:after="120"/>
              <w:jc w:val="center"/>
              <w:rPr>
                <w:sz w:val="20"/>
                <w:szCs w:val="20"/>
              </w:rPr>
            </w:pPr>
          </w:p>
        </w:tc>
        <w:tc>
          <w:tcPr>
            <w:tcW w:w="1134" w:type="dxa"/>
            <w:tcBorders>
              <w:bottom w:val="single" w:sz="4" w:space="0" w:color="auto"/>
            </w:tcBorders>
            <w:shd w:val="clear" w:color="auto" w:fill="FFFFFF"/>
          </w:tcPr>
          <w:p w14:paraId="45CB1EA7" w14:textId="77777777" w:rsidR="00B834A2" w:rsidRPr="00D16259" w:rsidRDefault="00B834A2" w:rsidP="00D16259">
            <w:pPr>
              <w:spacing w:after="120"/>
              <w:jc w:val="center"/>
              <w:rPr>
                <w:sz w:val="20"/>
                <w:szCs w:val="20"/>
              </w:rPr>
            </w:pPr>
          </w:p>
        </w:tc>
      </w:tr>
    </w:tbl>
    <w:p w14:paraId="3A13E2CA" w14:textId="77777777" w:rsidR="00B834A2" w:rsidRPr="00B834A2" w:rsidRDefault="00B834A2" w:rsidP="00B834A2">
      <w:pPr>
        <w:pStyle w:val="Bodytext20"/>
        <w:shd w:val="clear" w:color="auto" w:fill="auto"/>
        <w:spacing w:before="0" w:after="160" w:line="360" w:lineRule="auto"/>
        <w:ind w:firstLine="567"/>
        <w:rPr>
          <w:rFonts w:ascii="Sylfaen" w:hAnsi="Sylfaen" w:cs="Sylfaen"/>
          <w:b/>
          <w:sz w:val="24"/>
          <w:szCs w:val="24"/>
          <w:u w:val="single"/>
        </w:rPr>
      </w:pPr>
    </w:p>
    <w:p w14:paraId="27F0279E" w14:textId="77777777" w:rsidR="00B834A2" w:rsidRPr="00A93008" w:rsidRDefault="00B834A2" w:rsidP="00B834A2">
      <w:pPr>
        <w:pStyle w:val="a0"/>
        <w:shd w:val="clear" w:color="auto" w:fill="auto"/>
        <w:spacing w:after="160" w:line="360" w:lineRule="auto"/>
        <w:ind w:firstLine="567"/>
        <w:jc w:val="right"/>
        <w:rPr>
          <w:rFonts w:ascii="Sylfaen" w:hAnsi="Sylfaen"/>
          <w:b/>
          <w:color w:val="000000"/>
          <w:szCs w:val="24"/>
          <w:lang w:val="en-US"/>
        </w:rPr>
      </w:pPr>
      <w:r w:rsidRPr="00A93008">
        <w:rPr>
          <w:rFonts w:ascii="Sylfaen" w:hAnsi="Sylfaen"/>
          <w:b/>
          <w:color w:val="000000"/>
          <w:szCs w:val="24"/>
        </w:rPr>
        <w:t>203130000-2022</w:t>
      </w:r>
    </w:p>
    <w:p w14:paraId="432C8FC5" w14:textId="77777777" w:rsidR="00D16259" w:rsidRPr="00D16259" w:rsidRDefault="00D16259" w:rsidP="00B834A2">
      <w:pPr>
        <w:pStyle w:val="a0"/>
        <w:shd w:val="clear" w:color="auto" w:fill="auto"/>
        <w:spacing w:after="160" w:line="360" w:lineRule="auto"/>
        <w:ind w:firstLine="567"/>
        <w:jc w:val="right"/>
        <w:rPr>
          <w:rFonts w:ascii="Sylfaen" w:hAnsi="Sylfaen" w:cs="Sylfaen"/>
          <w:sz w:val="24"/>
          <w:szCs w:val="24"/>
          <w:lang w:val="en-US"/>
        </w:rPr>
      </w:pPr>
    </w:p>
    <w:p w14:paraId="1F945B53" w14:textId="77777777" w:rsidR="00B834A2" w:rsidRPr="00B834A2" w:rsidRDefault="00B834A2" w:rsidP="00D16259">
      <w:pPr>
        <w:pStyle w:val="a0"/>
        <w:shd w:val="clear" w:color="auto" w:fill="auto"/>
        <w:tabs>
          <w:tab w:val="left" w:pos="1701"/>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2.3.13.0.</w:t>
      </w:r>
      <w:r w:rsidR="00D16259">
        <w:rPr>
          <w:rFonts w:ascii="Sylfaen" w:hAnsi="Sylfaen"/>
          <w:b/>
          <w:color w:val="000000"/>
          <w:sz w:val="24"/>
          <w:szCs w:val="24"/>
          <w:lang w:val="en-US"/>
        </w:rPr>
        <w:tab/>
      </w:r>
      <w:r w:rsidRPr="00B834A2">
        <w:rPr>
          <w:rFonts w:ascii="Sylfaen" w:hAnsi="Sylfaen"/>
          <w:b/>
          <w:color w:val="000000"/>
          <w:sz w:val="24"/>
          <w:szCs w:val="24"/>
        </w:rPr>
        <w:t xml:space="preserve">Ֆիզիկական, ֆիզիկաքիմիական </w:t>
      </w:r>
      <w:r>
        <w:rPr>
          <w:rFonts w:ascii="Sylfaen" w:hAnsi="Sylfaen"/>
          <w:b/>
          <w:color w:val="000000"/>
          <w:sz w:val="24"/>
          <w:szCs w:val="24"/>
        </w:rPr>
        <w:t>եւ</w:t>
      </w:r>
      <w:r w:rsidRPr="00B834A2">
        <w:rPr>
          <w:rFonts w:ascii="Sylfaen" w:hAnsi="Sylfaen"/>
          <w:b/>
          <w:color w:val="000000"/>
          <w:sz w:val="24"/>
          <w:szCs w:val="24"/>
        </w:rPr>
        <w:t xml:space="preserve"> քիմիական փորձարկումների արդյունքների վիճակագրական մշակումը</w:t>
      </w:r>
    </w:p>
    <w:p w14:paraId="1980421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Սույն ընդհանուր դեղագրքային հոդվածը պարունակում է տեղեկություններ դեղամիջոցների՝ անալիզի ֆիզիկական, ֆիզիկաքիմիական </w:t>
      </w:r>
      <w:r>
        <w:rPr>
          <w:rFonts w:ascii="Sylfaen" w:hAnsi="Sylfaen"/>
          <w:color w:val="000000"/>
          <w:sz w:val="24"/>
          <w:szCs w:val="24"/>
        </w:rPr>
        <w:t>եւ</w:t>
      </w:r>
      <w:r w:rsidRPr="00B834A2">
        <w:rPr>
          <w:rFonts w:ascii="Sylfaen" w:hAnsi="Sylfaen"/>
          <w:color w:val="000000"/>
          <w:sz w:val="24"/>
          <w:szCs w:val="24"/>
        </w:rPr>
        <w:t xml:space="preserve"> քիմիական մեթոդներով փորձարկումների անցկացման ժամանակ ստացված տվյալների մշակման </w:t>
      </w:r>
      <w:r>
        <w:rPr>
          <w:rFonts w:ascii="Sylfaen" w:hAnsi="Sylfaen"/>
          <w:color w:val="000000"/>
          <w:sz w:val="24"/>
          <w:szCs w:val="24"/>
        </w:rPr>
        <w:t>եւ</w:t>
      </w:r>
      <w:r w:rsidRPr="00B834A2">
        <w:rPr>
          <w:rFonts w:ascii="Sylfaen" w:hAnsi="Sylfaen"/>
          <w:color w:val="000000"/>
          <w:sz w:val="24"/>
          <w:szCs w:val="24"/>
        </w:rPr>
        <w:t xml:space="preserve"> գնահատման նկատմամբ հիմնական վիճակագրական մոտեցումների մասին:</w:t>
      </w:r>
    </w:p>
    <w:p w14:paraId="6873418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Բազմակի չափումների արդյունքների վիճակագրական մշակման խնդիրը կայանում է չափվող մեծության </w:t>
      </w:r>
      <w:r>
        <w:rPr>
          <w:rFonts w:ascii="Sylfaen" w:hAnsi="Sylfaen"/>
          <w:color w:val="000000"/>
          <w:sz w:val="24"/>
          <w:szCs w:val="24"/>
        </w:rPr>
        <w:t>եւ</w:t>
      </w:r>
      <w:r w:rsidRPr="00B834A2">
        <w:rPr>
          <w:rFonts w:ascii="Sylfaen" w:hAnsi="Sylfaen"/>
          <w:color w:val="000000"/>
          <w:sz w:val="24"/>
          <w:szCs w:val="24"/>
        </w:rPr>
        <w:t xml:space="preserve"> այն վստահելի միջակայքի գնահատականը գտնելու մեջ, որում գտնվում է իսկական արժեքը: Չափումների արդյունքների մշակման վիճակագրական մեթոդներն օգտագործում են իսկական արժեքին առավել մոտ ստացված տվյալների նկարագրման համար, չափումների՝ փորձարկումների արդյունքների մշտառկա </w:t>
      </w:r>
      <w:r>
        <w:rPr>
          <w:rFonts w:ascii="Sylfaen" w:hAnsi="Sylfaen"/>
          <w:color w:val="000000"/>
          <w:sz w:val="24"/>
          <w:szCs w:val="24"/>
        </w:rPr>
        <w:t>եւ</w:t>
      </w:r>
      <w:r w:rsidRPr="00B834A2">
        <w:rPr>
          <w:rFonts w:ascii="Sylfaen" w:hAnsi="Sylfaen"/>
          <w:color w:val="000000"/>
          <w:sz w:val="24"/>
          <w:szCs w:val="24"/>
        </w:rPr>
        <w:t xml:space="preserve"> պատահական սխալանքների գնահատման համար:</w:t>
      </w:r>
    </w:p>
    <w:p w14:paraId="28A55FC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Ֆիզիկական, ֆիզիկաքիմիական </w:t>
      </w:r>
      <w:r>
        <w:rPr>
          <w:rFonts w:ascii="Sylfaen" w:hAnsi="Sylfaen"/>
          <w:color w:val="000000"/>
          <w:sz w:val="24"/>
          <w:szCs w:val="24"/>
        </w:rPr>
        <w:t>եւ</w:t>
      </w:r>
      <w:r w:rsidRPr="00B834A2">
        <w:rPr>
          <w:rFonts w:ascii="Sylfaen" w:hAnsi="Sylfaen"/>
          <w:color w:val="000000"/>
          <w:sz w:val="24"/>
          <w:szCs w:val="24"/>
        </w:rPr>
        <w:t xml:space="preserve"> քիմիական փորձարկումների այն արդյունքների վիճակագրական մշակումը, որոնք կարող են փոփոխական լինել, թույլ են տալիս գիտականորեն հիմնավորել </w:t>
      </w:r>
      <w:r>
        <w:rPr>
          <w:rFonts w:ascii="Sylfaen" w:hAnsi="Sylfaen"/>
          <w:color w:val="000000"/>
          <w:sz w:val="24"/>
          <w:szCs w:val="24"/>
        </w:rPr>
        <w:t>եւ</w:t>
      </w:r>
      <w:r w:rsidRPr="00B834A2">
        <w:rPr>
          <w:rFonts w:ascii="Sylfaen" w:hAnsi="Sylfaen"/>
          <w:color w:val="000000"/>
          <w:sz w:val="24"/>
          <w:szCs w:val="24"/>
        </w:rPr>
        <w:t xml:space="preserve"> ճշգրիտ մեկնաբանել անալիտիկ տվյալները </w:t>
      </w:r>
      <w:r>
        <w:rPr>
          <w:rFonts w:ascii="Sylfaen" w:hAnsi="Sylfaen"/>
          <w:color w:val="000000"/>
          <w:sz w:val="24"/>
          <w:szCs w:val="24"/>
        </w:rPr>
        <w:t>եւ</w:t>
      </w:r>
      <w:r w:rsidRPr="00B834A2">
        <w:rPr>
          <w:rFonts w:ascii="Sylfaen" w:hAnsi="Sylfaen"/>
          <w:color w:val="000000"/>
          <w:sz w:val="24"/>
          <w:szCs w:val="24"/>
        </w:rPr>
        <w:t xml:space="preserve"> այնուհետ</w:t>
      </w:r>
      <w:r>
        <w:rPr>
          <w:rFonts w:ascii="Sylfaen" w:hAnsi="Sylfaen"/>
          <w:color w:val="000000"/>
          <w:sz w:val="24"/>
          <w:szCs w:val="24"/>
        </w:rPr>
        <w:t>եւ</w:t>
      </w:r>
      <w:r w:rsidRPr="00B834A2">
        <w:rPr>
          <w:rFonts w:ascii="Sylfaen" w:hAnsi="Sylfaen"/>
          <w:color w:val="000000"/>
          <w:sz w:val="24"/>
          <w:szCs w:val="24"/>
        </w:rPr>
        <w:t xml:space="preserve"> դրանց հիման վրա լուծել դեղամիջոցների փորձարկումների արդյունքների վիճակագրական հավաստիության որոշման հետ </w:t>
      </w:r>
      <w:r w:rsidRPr="00B834A2">
        <w:rPr>
          <w:rFonts w:ascii="Sylfaen" w:hAnsi="Sylfaen"/>
          <w:color w:val="000000"/>
          <w:sz w:val="24"/>
          <w:szCs w:val="24"/>
        </w:rPr>
        <w:lastRenderedPageBreak/>
        <w:t>կապված մի շարք կիրառական խնդիրներ: Դեղամիջոցների փորձարկումների անալիտիկ տվյալների նկատմամբ վիճակագրական սկզբունքների ճիշտ կիրառումը հնարավոր է պայմանով, որ նման տվյալներ հավաքվել, գրանցվել են հետագծելի ձ</w:t>
      </w:r>
      <w:r>
        <w:rPr>
          <w:rFonts w:ascii="Sylfaen" w:hAnsi="Sylfaen"/>
          <w:color w:val="000000"/>
          <w:sz w:val="24"/>
          <w:szCs w:val="24"/>
        </w:rPr>
        <w:t>եւ</w:t>
      </w:r>
      <w:r w:rsidRPr="00B834A2">
        <w:rPr>
          <w:rFonts w:ascii="Sylfaen" w:hAnsi="Sylfaen"/>
          <w:color w:val="000000"/>
          <w:sz w:val="24"/>
          <w:szCs w:val="24"/>
        </w:rPr>
        <w:t xml:space="preserve">ով </w:t>
      </w:r>
      <w:r>
        <w:rPr>
          <w:rFonts w:ascii="Sylfaen" w:hAnsi="Sylfaen"/>
          <w:color w:val="000000"/>
          <w:sz w:val="24"/>
          <w:szCs w:val="24"/>
        </w:rPr>
        <w:t>եւ</w:t>
      </w:r>
      <w:r w:rsidRPr="00B834A2">
        <w:rPr>
          <w:rFonts w:ascii="Sylfaen" w:hAnsi="Sylfaen"/>
          <w:color w:val="000000"/>
          <w:sz w:val="24"/>
          <w:szCs w:val="24"/>
        </w:rPr>
        <w:t xml:space="preserve"> չեն պարունակում մշտառկա սխալներ: Նման տվյալների ստացումն անհրաժեշտ է իրականացնել </w:t>
      </w:r>
      <w:r w:rsidRPr="00B834A2">
        <w:rPr>
          <w:rFonts w:ascii="Sylfaen" w:hAnsi="Sylfaen"/>
          <w:i/>
          <w:color w:val="000000"/>
          <w:sz w:val="24"/>
          <w:szCs w:val="24"/>
        </w:rPr>
        <w:t>2.3.14.0</w:t>
      </w:r>
      <w:r w:rsidRPr="00B834A2">
        <w:rPr>
          <w:rFonts w:ascii="Sylfaen" w:hAnsi="Sylfaen"/>
          <w:color w:val="000000"/>
          <w:sz w:val="24"/>
          <w:szCs w:val="24"/>
        </w:rPr>
        <w:t xml:space="preserve"> </w:t>
      </w:r>
      <w:r w:rsidRPr="00B834A2">
        <w:rPr>
          <w:rFonts w:ascii="Sylfaen" w:hAnsi="Sylfaen"/>
          <w:i/>
          <w:color w:val="000000"/>
          <w:sz w:val="24"/>
          <w:szCs w:val="24"/>
        </w:rPr>
        <w:t>Անալիտիկ մեթոդիկաների վալիդացում, 2.1.7.1. Նմուշառում, 2.3.11.0. Ստանդարտ նմուշներ</w:t>
      </w:r>
      <w:r w:rsidRPr="00B834A2">
        <w:rPr>
          <w:rFonts w:ascii="Sylfaen" w:hAnsi="Sylfaen"/>
          <w:color w:val="000000"/>
          <w:sz w:val="24"/>
          <w:szCs w:val="24"/>
        </w:rPr>
        <w:t xml:space="preserve"> ընդհանուր դեղագրքային հոդվածներին համապատասխան:</w:t>
      </w:r>
      <w:r w:rsidRPr="00B834A2">
        <w:rPr>
          <w:rFonts w:ascii="Sylfaen" w:hAnsi="Sylfaen"/>
          <w:i/>
          <w:color w:val="000000"/>
          <w:sz w:val="24"/>
          <w:szCs w:val="24"/>
        </w:rPr>
        <w:t xml:space="preserve"> </w:t>
      </w:r>
      <w:r w:rsidRPr="00B834A2">
        <w:rPr>
          <w:rFonts w:ascii="Sylfaen" w:hAnsi="Sylfaen"/>
          <w:color w:val="000000"/>
          <w:sz w:val="24"/>
          <w:szCs w:val="24"/>
        </w:rPr>
        <w:t xml:space="preserve">Սույն ընդհանուր դեղագրքային հոդվածում ներկայացված տվյալները կրում են տեղեկատվական բնույթ </w:t>
      </w:r>
      <w:r>
        <w:rPr>
          <w:rFonts w:ascii="Sylfaen" w:hAnsi="Sylfaen"/>
          <w:color w:val="000000"/>
          <w:sz w:val="24"/>
          <w:szCs w:val="24"/>
        </w:rPr>
        <w:t>եւ</w:t>
      </w:r>
      <w:r w:rsidRPr="00B834A2">
        <w:rPr>
          <w:rFonts w:ascii="Sylfaen" w:hAnsi="Sylfaen"/>
          <w:color w:val="000000"/>
          <w:sz w:val="24"/>
          <w:szCs w:val="24"/>
        </w:rPr>
        <w:t xml:space="preserve"> սպառիչ չեն:</w:t>
      </w:r>
    </w:p>
    <w:p w14:paraId="6B578A83" w14:textId="77777777" w:rsidR="00B834A2" w:rsidRPr="00B834A2" w:rsidRDefault="00B834A2" w:rsidP="00B834A2">
      <w:pPr>
        <w:pStyle w:val="a0"/>
        <w:shd w:val="clear" w:color="auto" w:fill="auto"/>
        <w:spacing w:after="160" w:line="360" w:lineRule="auto"/>
        <w:ind w:firstLine="567"/>
        <w:jc w:val="both"/>
        <w:rPr>
          <w:rFonts w:ascii="Sylfaen" w:hAnsi="Sylfaen" w:cs="Sylfaen"/>
          <w:b/>
          <w:bCs/>
          <w:color w:val="000000"/>
          <w:sz w:val="24"/>
          <w:szCs w:val="24"/>
        </w:rPr>
      </w:pPr>
    </w:p>
    <w:p w14:paraId="1869B92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color w:val="000000"/>
          <w:sz w:val="24"/>
          <w:szCs w:val="24"/>
        </w:rPr>
        <w:t>ՊԱՅՄԱՆԱՆՇԱՆՆԵՐ</w:t>
      </w:r>
    </w:p>
    <w:p w14:paraId="2AF0E6D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А</w:t>
      </w:r>
      <w:r w:rsidRPr="00B834A2">
        <w:rPr>
          <w:rFonts w:ascii="Sylfaen" w:hAnsi="Sylfaen"/>
          <w:color w:val="000000"/>
          <w:sz w:val="24"/>
          <w:szCs w:val="24"/>
        </w:rPr>
        <w:t>՝ չափվող մեծություն.</w:t>
      </w:r>
    </w:p>
    <w:p w14:paraId="76D549A7"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а՝ գծային կախվածության ազատ անդամ.</w:t>
      </w:r>
    </w:p>
    <w:p w14:paraId="6F7793A9" w14:textId="77777777" w:rsidR="00B834A2" w:rsidRPr="00B834A2" w:rsidRDefault="00B834A2" w:rsidP="00B834A2">
      <w:pPr>
        <w:spacing w:after="160" w:line="360" w:lineRule="auto"/>
        <w:ind w:firstLine="567"/>
        <w:jc w:val="both"/>
      </w:pPr>
      <w:r w:rsidRPr="00B834A2">
        <w:t>b՝ գծային կախվածության անկյունային գործակից.</w:t>
      </w:r>
    </w:p>
    <w:p w14:paraId="5968AE4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F</w:t>
      </w:r>
      <w:r w:rsidRPr="00B834A2">
        <w:rPr>
          <w:rFonts w:ascii="Sylfaen" w:hAnsi="Sylfaen"/>
          <w:sz w:val="24"/>
          <w:szCs w:val="24"/>
        </w:rPr>
        <w:t xml:space="preserve"> ՝ ֆիշերի չափորոշիչ.</w:t>
      </w:r>
    </w:p>
    <w:p w14:paraId="1FF3E68A"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f ՝ ազատության աստիճանների թիվը. նորմալ բաշխման հավանականության խտության ֆունկցիա.</w:t>
      </w:r>
    </w:p>
    <w:p w14:paraId="6AE00DCD"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i՝ տարբերակի [արժեքի] հերթական համար.</w:t>
      </w:r>
    </w:p>
    <w:p w14:paraId="307E713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L՝ զուգահեռ որոշումների</w:t>
      </w:r>
      <w:r w:rsidRPr="00B834A2">
        <w:rPr>
          <w:rFonts w:ascii="Sylfaen" w:hAnsi="Sylfaen"/>
          <w:color w:val="000000"/>
          <w:sz w:val="24"/>
          <w:szCs w:val="24"/>
        </w:rPr>
        <w:t xml:space="preserve"> արդյունքների զուգամիտության գնահատման ժամանակ օգտագործվող գործոն.</w:t>
      </w:r>
    </w:p>
    <w:p w14:paraId="7DCA8C5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m, n</w:t>
      </w:r>
      <w:r w:rsidRPr="00B834A2">
        <w:rPr>
          <w:rFonts w:ascii="Sylfaen" w:hAnsi="Sylfaen"/>
          <w:color w:val="000000"/>
          <w:sz w:val="24"/>
          <w:szCs w:val="24"/>
        </w:rPr>
        <w:t>՝ ընտրանքի ծավալներ.</w:t>
      </w:r>
    </w:p>
    <w:p w14:paraId="5E77EB3B"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i/>
          <w:color w:val="000000"/>
          <w:sz w:val="24"/>
          <w:szCs w:val="24"/>
        </w:rPr>
        <w:t>Р</w:t>
      </w:r>
      <w:r w:rsidRPr="00B834A2">
        <w:rPr>
          <w:rFonts w:ascii="Sylfaen" w:hAnsi="Sylfaen"/>
          <w:i/>
          <w:sz w:val="24"/>
          <w:szCs w:val="24"/>
        </w:rPr>
        <w:t xml:space="preserve">՝ </w:t>
      </w:r>
      <w:r w:rsidRPr="00B834A2">
        <w:rPr>
          <w:rFonts w:ascii="Sylfaen" w:hAnsi="Sylfaen"/>
          <w:color w:val="000000"/>
          <w:sz w:val="24"/>
          <w:szCs w:val="24"/>
        </w:rPr>
        <w:t>առանց խնդրի առաջադրման կոնկրետացման վստահելի հավանականություն.</w:t>
      </w:r>
    </w:p>
    <w:p w14:paraId="398824A7" w14:textId="77777777" w:rsidR="00B834A2" w:rsidRPr="00D35F34"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 xml:space="preserve">(Р2), (Р1)՝ վստահելի հավանականությունը համապատասխանաբար խնդրի երկ- </w:t>
      </w:r>
      <w:r>
        <w:rPr>
          <w:rFonts w:ascii="Sylfaen" w:hAnsi="Sylfaen"/>
          <w:color w:val="000000"/>
          <w:sz w:val="24"/>
          <w:szCs w:val="24"/>
        </w:rPr>
        <w:t>եւ</w:t>
      </w:r>
      <w:r w:rsidRPr="00B834A2">
        <w:rPr>
          <w:rFonts w:ascii="Sylfaen" w:hAnsi="Sylfaen"/>
          <w:color w:val="000000"/>
          <w:sz w:val="24"/>
          <w:szCs w:val="24"/>
        </w:rPr>
        <w:t xml:space="preserve"> միակողմանի առաջադրման դեպքում.</w:t>
      </w:r>
    </w:p>
    <w:p w14:paraId="36F2FBED"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lastRenderedPageBreak/>
        <w:t>Q1, Qn՝ կոպիտ սխալանքների նույնականացման համար ստուգիչ չափորոշիչներ.</w:t>
      </w:r>
    </w:p>
    <w:p w14:paraId="22B78419" w14:textId="77777777" w:rsidR="00B834A2" w:rsidRPr="00B834A2" w:rsidRDefault="00B834A2" w:rsidP="00B834A2">
      <w:pPr>
        <w:pStyle w:val="a0"/>
        <w:shd w:val="clear" w:color="auto" w:fill="auto"/>
        <w:tabs>
          <w:tab w:val="left" w:pos="5245"/>
        </w:tabs>
        <w:spacing w:after="160" w:line="360" w:lineRule="auto"/>
        <w:ind w:firstLine="567"/>
        <w:jc w:val="both"/>
        <w:rPr>
          <w:rFonts w:ascii="Sylfaen" w:hAnsi="Sylfaen"/>
          <w:color w:val="000000"/>
          <w:sz w:val="24"/>
          <w:szCs w:val="24"/>
        </w:rPr>
      </w:pPr>
      <w:r w:rsidRPr="00B834A2">
        <w:rPr>
          <w:rFonts w:ascii="Sylfaen" w:hAnsi="Sylfaen"/>
          <w:color w:val="000000"/>
          <w:sz w:val="24"/>
          <w:szCs w:val="24"/>
        </w:rPr>
        <w:t>R՝ փոփոխման լայնք.</w:t>
      </w:r>
    </w:p>
    <w:p w14:paraId="7553741E"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Rc՝ (գծային) հարաբերակցության ընդհանուր ինդեքս.</w:t>
      </w:r>
    </w:p>
    <w:p w14:paraId="1D9A963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r</w:t>
      </w:r>
      <w:r w:rsidRPr="00B834A2">
        <w:rPr>
          <w:rFonts w:ascii="Sylfaen" w:hAnsi="Sylfaen"/>
          <w:i/>
          <w:sz w:val="24"/>
          <w:szCs w:val="24"/>
        </w:rPr>
        <w:t xml:space="preserve"> </w:t>
      </w:r>
      <w:r w:rsidRPr="00B834A2">
        <w:rPr>
          <w:rFonts w:ascii="Sylfaen" w:hAnsi="Sylfaen"/>
          <w:sz w:val="24"/>
          <w:szCs w:val="24"/>
        </w:rPr>
        <w:t>՝ հարաբերակցության (գծային) գործակից.</w:t>
      </w:r>
    </w:p>
    <w:p w14:paraId="4E81847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RSD =</w:t>
      </w:r>
      <w:r w:rsidRPr="00B834A2">
        <w:rPr>
          <w:rFonts w:ascii="Sylfaen" w:hAnsi="Sylfaen"/>
          <w:i/>
          <w:sz w:val="24"/>
          <w:szCs w:val="24"/>
        </w:rPr>
        <w:t xml:space="preserve"> </w:t>
      </w:r>
      <w:r w:rsidRPr="00B834A2">
        <w:rPr>
          <w:rFonts w:ascii="Sylfaen" w:eastAsiaTheme="minorHAnsi" w:hAnsi="Sylfaen" w:cs="TimesNewRomanCyr-NormalItalic"/>
          <w:i/>
          <w:iCs/>
          <w:sz w:val="24"/>
          <w:szCs w:val="24"/>
          <w:lang w:bidi="ar-SA"/>
        </w:rPr>
        <w:t>sr·</w:t>
      </w:r>
      <w:r w:rsidRPr="00B834A2">
        <w:rPr>
          <w:rFonts w:ascii="Sylfaen" w:eastAsiaTheme="minorHAnsi" w:hAnsi="Sylfaen" w:cs="TimesNewRomanCyr"/>
          <w:sz w:val="24"/>
          <w:szCs w:val="24"/>
          <w:lang w:bidi="ar-SA"/>
        </w:rPr>
        <w:t>100 %</w:t>
      </w:r>
      <w:r w:rsidRPr="00B834A2">
        <w:rPr>
          <w:rFonts w:ascii="Sylfaen" w:hAnsi="Sylfaen"/>
          <w:color w:val="000000"/>
          <w:sz w:val="24"/>
          <w:szCs w:val="24"/>
        </w:rPr>
        <w:t>՝ հարաբերական ստանդարտ շեղում, %.</w:t>
      </w:r>
    </w:p>
    <w:p w14:paraId="59C288F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RSD</w:t>
      </w:r>
      <w:r w:rsidRPr="00B834A2">
        <w:rPr>
          <w:rFonts w:ascii="Sylfaen" w:hAnsi="Sylfaen"/>
          <w:color w:val="000000"/>
          <w:sz w:val="24"/>
          <w:szCs w:val="24"/>
        </w:rPr>
        <w:t xml:space="preserve"> ¯</w:t>
      </w:r>
      <w:r w:rsidRPr="00B834A2">
        <w:rPr>
          <w:rFonts w:ascii="Sylfaen" w:hAnsi="Sylfaen"/>
          <w:color w:val="000000"/>
          <w:sz w:val="24"/>
          <w:szCs w:val="24"/>
          <w:vertAlign w:val="subscript"/>
        </w:rPr>
        <w:t xml:space="preserve">X </w:t>
      </w:r>
      <w:r w:rsidRPr="00B834A2">
        <w:rPr>
          <w:rFonts w:ascii="Sylfaen" w:hAnsi="Sylfaen"/>
          <w:color w:val="000000"/>
          <w:sz w:val="24"/>
          <w:szCs w:val="24"/>
        </w:rPr>
        <w:t>=</w:t>
      </w:r>
      <w:r w:rsidRPr="00B834A2">
        <w:rPr>
          <w:rFonts w:ascii="Sylfaen" w:hAnsi="Sylfaen"/>
          <w:sz w:val="24"/>
          <w:szCs w:val="24"/>
        </w:rPr>
        <w:t xml:space="preserve"> </w:t>
      </w:r>
      <w:r w:rsidRPr="00B834A2">
        <w:rPr>
          <w:rFonts w:ascii="Sylfaen" w:eastAsiaTheme="minorHAnsi" w:hAnsi="Sylfaen" w:cs="TimesNewRomanCyr-NormalItalic"/>
          <w:i/>
          <w:iCs/>
          <w:sz w:val="24"/>
          <w:szCs w:val="24"/>
          <w:lang w:bidi="ar-SA"/>
        </w:rPr>
        <w:t>sxr·</w:t>
      </w:r>
      <w:r w:rsidRPr="00B834A2">
        <w:rPr>
          <w:rFonts w:ascii="Sylfaen" w:eastAsiaTheme="minorHAnsi" w:hAnsi="Sylfaen" w:cs="TimesNewRomanCyr"/>
          <w:sz w:val="24"/>
          <w:szCs w:val="24"/>
          <w:lang w:bidi="ar-SA"/>
        </w:rPr>
        <w:t>100 %</w:t>
      </w:r>
      <w:r w:rsidRPr="00B834A2">
        <w:rPr>
          <w:rFonts w:ascii="Sylfaen" w:hAnsi="Sylfaen"/>
          <w:color w:val="000000"/>
          <w:sz w:val="24"/>
          <w:szCs w:val="24"/>
        </w:rPr>
        <w:t>՝ միջին արժեքի հարաբերական ստանդարտ շեղում, %.</w:t>
      </w:r>
    </w:p>
    <w:p w14:paraId="170D422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s</w:t>
      </w:r>
      <w:r w:rsidRPr="00B834A2">
        <w:rPr>
          <w:rFonts w:ascii="Sylfaen" w:hAnsi="Sylfaen"/>
          <w:sz w:val="24"/>
          <w:szCs w:val="24"/>
        </w:rPr>
        <w:t>՝ ստանդարտ շեղում.</w:t>
      </w:r>
    </w:p>
    <w:p w14:paraId="72AE89A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s</w:t>
      </w:r>
      <w:r w:rsidRPr="00B834A2">
        <w:rPr>
          <w:rFonts w:ascii="Sylfaen" w:hAnsi="Sylfaen"/>
          <w:color w:val="000000"/>
          <w:sz w:val="24"/>
          <w:szCs w:val="24"/>
          <w:vertAlign w:val="subscript"/>
        </w:rPr>
        <w:t>r</w:t>
      </w:r>
      <w:r w:rsidRPr="00B834A2">
        <w:rPr>
          <w:rFonts w:ascii="Sylfaen" w:hAnsi="Sylfaen"/>
          <w:color w:val="000000"/>
          <w:sz w:val="24"/>
          <w:szCs w:val="24"/>
        </w:rPr>
        <w:t>,.</w:t>
      </w:r>
      <w:r w:rsidRPr="00B834A2">
        <w:rPr>
          <w:rFonts w:ascii="Sylfaen" w:hAnsi="Sylfaen"/>
          <w:sz w:val="24"/>
          <w:szCs w:val="24"/>
        </w:rPr>
        <w:t xml:space="preserve"> ՝ հարաբերական (միջին արդյունքի նկատմամբ) ստանդարտ շեղում.</w:t>
      </w:r>
    </w:p>
    <w:p w14:paraId="2CE3EF8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s</w:t>
      </w:r>
      <w:r w:rsidRPr="00B834A2">
        <w:rPr>
          <w:rFonts w:ascii="Sylfaen" w:hAnsi="Sylfaen"/>
          <w:color w:val="000000"/>
          <w:sz w:val="24"/>
          <w:szCs w:val="24"/>
          <w:vertAlign w:val="superscript"/>
        </w:rPr>
        <w:t>2</w:t>
      </w:r>
      <w:r w:rsidRPr="00B834A2">
        <w:rPr>
          <w:rFonts w:ascii="Sylfaen" w:hAnsi="Sylfaen"/>
          <w:sz w:val="24"/>
          <w:szCs w:val="24"/>
        </w:rPr>
        <w:t xml:space="preserve"> ՝ դիսպերսիա.</w:t>
      </w:r>
    </w:p>
    <w:p w14:paraId="3F693E33"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iCs/>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r</m:t>
            </m:r>
          </m:sub>
          <m:sup>
            <m:r>
              <w:rPr>
                <w:rFonts w:ascii="Cambria Math" w:hAnsi="Cambria Math" w:cs="Sylfaen"/>
                <w:color w:val="000000"/>
                <w:sz w:val="24"/>
                <w:szCs w:val="24"/>
              </w:rPr>
              <m:t>2</m:t>
            </m:r>
          </m:sup>
        </m:sSubSup>
      </m:oMath>
      <w:r w:rsidR="00B834A2" w:rsidRPr="00B834A2">
        <w:rPr>
          <w:rFonts w:ascii="Sylfaen" w:hAnsi="Sylfaen"/>
          <w:i/>
          <w:sz w:val="24"/>
          <w:szCs w:val="24"/>
        </w:rPr>
        <w:t xml:space="preserve"> </w:t>
      </w:r>
      <w:r w:rsidR="00B834A2" w:rsidRPr="00B834A2">
        <w:rPr>
          <w:rFonts w:ascii="Sylfaen" w:hAnsi="Sylfaen"/>
          <w:sz w:val="24"/>
          <w:szCs w:val="24"/>
        </w:rPr>
        <w:t>՝ հարաբերական դիսպերսիա.</w:t>
      </w:r>
    </w:p>
    <w:p w14:paraId="438405C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σ</m:t>
        </m:r>
      </m:oMath>
      <w:r w:rsidRPr="00B834A2">
        <w:rPr>
          <w:rFonts w:ascii="Sylfaen" w:hAnsi="Sylfaen"/>
          <w:b/>
          <w:color w:val="000000"/>
          <w:sz w:val="24"/>
          <w:szCs w:val="24"/>
          <w:vertAlign w:val="superscript"/>
        </w:rPr>
        <w:t>2</w:t>
      </w:r>
      <w:r w:rsidRPr="00B834A2">
        <w:rPr>
          <w:rFonts w:ascii="Sylfaen" w:hAnsi="Sylfaen"/>
          <w:sz w:val="24"/>
          <w:szCs w:val="24"/>
        </w:rPr>
        <w:t>՝ համախմբության դիսպերսիա.</w:t>
      </w:r>
    </w:p>
    <w:p w14:paraId="3ADEF95D"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¯x</m:t>
            </m:r>
          </m:sub>
        </m:sSub>
      </m:oMath>
      <w:r w:rsidR="00B834A2" w:rsidRPr="00B834A2">
        <w:rPr>
          <w:rFonts w:ascii="Sylfaen" w:hAnsi="Sylfaen"/>
          <w:sz w:val="24"/>
          <w:szCs w:val="24"/>
        </w:rPr>
        <w:t>՝ միջին արդյունքի ստանդարտ շեղում.</w:t>
      </w:r>
    </w:p>
    <w:p w14:paraId="17113C9B"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¯sx</m:t>
            </m:r>
          </m:e>
          <m:sub>
            <m:r>
              <w:rPr>
                <w:rFonts w:ascii="Cambria Math" w:hAnsi="Cambria Math" w:cs="Sylfaen"/>
                <w:color w:val="000000"/>
                <w:sz w:val="24"/>
                <w:szCs w:val="24"/>
              </w:rPr>
              <m:t>r</m:t>
            </m:r>
          </m:sub>
        </m:sSub>
      </m:oMath>
      <w:r w:rsidR="00B834A2" w:rsidRPr="00B834A2">
        <w:rPr>
          <w:rFonts w:ascii="Sylfaen" w:hAnsi="Sylfaen"/>
          <w:sz w:val="24"/>
          <w:szCs w:val="24"/>
        </w:rPr>
        <w:t xml:space="preserve"> </w:t>
      </w:r>
      <w:r w:rsidR="00B834A2" w:rsidRPr="00B834A2">
        <w:rPr>
          <w:rFonts w:ascii="Sylfaen" w:hAnsi="Sylfaen"/>
          <w:color w:val="000000"/>
          <w:sz w:val="24"/>
          <w:szCs w:val="24"/>
        </w:rPr>
        <w:t>՝ միջին արդյունքի հարաբերական (միջին արդյունքի նկատմամբ) ստանդարտ շեղում.</w:t>
      </w:r>
    </w:p>
    <w:p w14:paraId="0B4EB54B" w14:textId="77777777" w:rsidR="00B834A2" w:rsidRPr="00B834A2" w:rsidRDefault="00000000" w:rsidP="00B834A2">
      <w:pPr>
        <w:pStyle w:val="a0"/>
        <w:shd w:val="clear" w:color="auto" w:fill="auto"/>
        <w:spacing w:after="160" w:line="360" w:lineRule="auto"/>
        <w:ind w:firstLine="567"/>
        <w:jc w:val="both"/>
        <w:rPr>
          <w:rFonts w:ascii="Sylfaen" w:hAnsi="Sylfaen" w:cs="Sylfaen"/>
          <w:color w:val="000000"/>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sub>
        </m:sSub>
      </m:oMath>
      <w:r w:rsidR="00B834A2" w:rsidRPr="00B834A2">
        <w:rPr>
          <w:rFonts w:ascii="Sylfaen" w:hAnsi="Sylfaen"/>
          <w:color w:val="000000"/>
          <w:sz w:val="24"/>
          <w:szCs w:val="24"/>
        </w:rPr>
        <w:t>՝ լոգարիթմական ստանդարտ շեղում.</w:t>
      </w:r>
    </w:p>
    <w:p w14:paraId="658DAD73"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 xml:space="preserve">lg </m:t>
            </m:r>
          </m:sub>
          <m:sup>
            <m:r>
              <w:rPr>
                <w:rFonts w:ascii="Cambria Math" w:hAnsi="Cambria Math" w:cs="Sylfaen"/>
                <w:sz w:val="24"/>
                <w:szCs w:val="24"/>
              </w:rPr>
              <m:t>2</m:t>
            </m:r>
          </m:sup>
        </m:sSubSup>
      </m:oMath>
      <w:r w:rsidR="00B834A2" w:rsidRPr="00B834A2">
        <w:rPr>
          <w:rFonts w:ascii="Sylfaen" w:hAnsi="Sylfaen"/>
          <w:color w:val="000000"/>
          <w:sz w:val="24"/>
          <w:szCs w:val="24"/>
        </w:rPr>
        <w:t xml:space="preserve"> ՝ լոգարիթմական դիսպերսիա.</w:t>
      </w:r>
    </w:p>
    <w:p w14:paraId="0743FF41"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 xml:space="preserve">lg </m:t>
            </m:r>
          </m:sub>
        </m:sSub>
        <m:r>
          <w:rPr>
            <w:rFonts w:ascii="Cambria Math" w:hAnsi="Cambria Math" w:cs="Sylfaen"/>
            <w:color w:val="000000"/>
            <w:sz w:val="24"/>
            <w:szCs w:val="24"/>
          </w:rPr>
          <m:t>¯x</m:t>
        </m:r>
      </m:oMath>
      <w:r w:rsidR="00B834A2" w:rsidRPr="00B834A2">
        <w:rPr>
          <w:rFonts w:ascii="Sylfaen" w:hAnsi="Sylfaen"/>
          <w:color w:val="000000"/>
          <w:sz w:val="24"/>
          <w:szCs w:val="24"/>
        </w:rPr>
        <w:t>՝ միջին արդյունքի լոգարիթմական ստանդարտ շեղում.</w:t>
      </w:r>
    </w:p>
    <w:p w14:paraId="56A4185C"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0</m:t>
            </m:r>
          </m:sub>
          <m:sup>
            <m:r>
              <w:rPr>
                <w:rFonts w:ascii="Cambria Math" w:hAnsi="Cambria Math" w:cs="Sylfaen"/>
                <w:color w:val="000000"/>
                <w:sz w:val="24"/>
                <w:szCs w:val="24"/>
              </w:rPr>
              <m:t>2</m:t>
            </m:r>
          </m:sup>
        </m:sSubSup>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b</m:t>
            </m:r>
          </m:sub>
          <m:sup>
            <m:r>
              <w:rPr>
                <w:rFonts w:ascii="Cambria Math" w:hAnsi="Cambria Math" w:cs="Sylfaen"/>
                <w:color w:val="000000"/>
                <w:sz w:val="24"/>
                <w:szCs w:val="24"/>
              </w:rPr>
              <m:t>2</m:t>
            </m:r>
          </m:sup>
        </m:sSubSup>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a</m:t>
            </m:r>
          </m:sub>
          <m:sup>
            <m:r>
              <w:rPr>
                <w:rFonts w:ascii="Cambria Math" w:hAnsi="Cambria Math" w:cs="Sylfaen"/>
                <w:color w:val="000000"/>
                <w:sz w:val="24"/>
                <w:szCs w:val="24"/>
              </w:rPr>
              <m:t>2</m:t>
            </m:r>
          </m:sup>
        </m:sSubSup>
      </m:oMath>
      <w:r w:rsidR="00B834A2" w:rsidRPr="00B834A2">
        <w:rPr>
          <w:rFonts w:ascii="Sylfaen" w:hAnsi="Sylfaen"/>
          <w:color w:val="000000"/>
          <w:sz w:val="24"/>
          <w:szCs w:val="24"/>
        </w:rPr>
        <w:t xml:space="preserve">՝ գծային կախվածության ընդհանուր դիսպերսիա </w:t>
      </w:r>
      <w:r w:rsidR="00B834A2">
        <w:rPr>
          <w:rFonts w:ascii="Sylfaen" w:hAnsi="Sylfaen"/>
          <w:color w:val="000000"/>
          <w:sz w:val="24"/>
          <w:szCs w:val="24"/>
        </w:rPr>
        <w:t>եւ</w:t>
      </w:r>
      <w:r w:rsidR="00B834A2" w:rsidRPr="00B834A2">
        <w:rPr>
          <w:rFonts w:ascii="Sylfaen" w:hAnsi="Sylfaen"/>
          <w:color w:val="000000"/>
          <w:sz w:val="24"/>
          <w:szCs w:val="24"/>
        </w:rPr>
        <w:t xml:space="preserve"> գործակիցների դիսպերսիա.</w:t>
      </w:r>
    </w:p>
    <w:p w14:paraId="704760A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t</w:t>
      </w:r>
      <w:r w:rsidRPr="00B834A2">
        <w:rPr>
          <w:rFonts w:ascii="Sylfaen" w:hAnsi="Sylfaen"/>
          <w:i/>
          <w:sz w:val="24"/>
          <w:szCs w:val="24"/>
        </w:rPr>
        <w:t xml:space="preserve"> </w:t>
      </w:r>
      <w:r w:rsidRPr="00B834A2">
        <w:rPr>
          <w:rFonts w:ascii="Sylfaen" w:hAnsi="Sylfaen"/>
          <w:color w:val="000000"/>
          <w:sz w:val="24"/>
          <w:szCs w:val="24"/>
        </w:rPr>
        <w:t xml:space="preserve"> Ստյուդենտի չափորոշիչներ.</w:t>
      </w:r>
    </w:p>
    <w:p w14:paraId="7D53E1B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U</w:t>
      </w:r>
      <w:r w:rsidRPr="00B834A2">
        <w:rPr>
          <w:rFonts w:ascii="Sylfaen" w:hAnsi="Sylfaen"/>
          <w:color w:val="000000"/>
          <w:sz w:val="24"/>
          <w:szCs w:val="24"/>
        </w:rPr>
        <w:t>՝ փորձարկվող նմուշի որակի երաշխիքի միջին արդյունքի սահմանների հաշվարկման համար գործակից.</w:t>
      </w:r>
      <w:r>
        <w:rPr>
          <w:rFonts w:ascii="Sylfaen" w:hAnsi="Sylfaen"/>
          <w:color w:val="000000"/>
          <w:sz w:val="24"/>
          <w:szCs w:val="24"/>
        </w:rPr>
        <w:t xml:space="preserve"> </w:t>
      </w:r>
    </w:p>
    <w:p w14:paraId="160673C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lastRenderedPageBreak/>
        <w:t>х, у</w:t>
      </w:r>
      <w:r w:rsidRPr="00B834A2">
        <w:rPr>
          <w:rFonts w:ascii="Sylfaen" w:hAnsi="Sylfaen"/>
          <w:i/>
          <w:sz w:val="24"/>
          <w:szCs w:val="24"/>
        </w:rPr>
        <w:t xml:space="preserve"> </w:t>
      </w:r>
      <w:r w:rsidRPr="00B834A2">
        <w:rPr>
          <w:rFonts w:ascii="Sylfaen" w:hAnsi="Sylfaen"/>
          <w:sz w:val="24"/>
          <w:szCs w:val="24"/>
        </w:rPr>
        <w:t>՝ գծային կախվածության հավասարման մեջ ընթացիկ կոորդինատներ.</w:t>
      </w:r>
    </w:p>
    <w:p w14:paraId="1093AA5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Х</w:t>
      </w:r>
      <w:r w:rsidRPr="00B834A2">
        <w:rPr>
          <w:rFonts w:ascii="Sylfaen" w:hAnsi="Sylfaen"/>
          <w:i/>
          <w:color w:val="000000"/>
          <w:sz w:val="24"/>
          <w:szCs w:val="24"/>
          <w:vertAlign w:val="subscript"/>
        </w:rPr>
        <w:t>i</w:t>
      </w:r>
      <w:r w:rsidRPr="00B834A2">
        <w:rPr>
          <w:rFonts w:ascii="Sylfaen" w:hAnsi="Sylfaen"/>
          <w:i/>
          <w:color w:val="000000"/>
          <w:sz w:val="24"/>
          <w:szCs w:val="24"/>
        </w:rPr>
        <w:t>,</w:t>
      </w:r>
      <w:r w:rsidRPr="00B834A2">
        <w:rPr>
          <w:rFonts w:ascii="Sylfaen" w:hAnsi="Sylfaen"/>
          <w:color w:val="000000"/>
          <w:sz w:val="24"/>
          <w:szCs w:val="24"/>
        </w:rPr>
        <w:t xml:space="preserve"> У</w:t>
      </w:r>
      <w:r w:rsidRPr="00B834A2">
        <w:rPr>
          <w:rFonts w:ascii="Sylfaen" w:hAnsi="Sylfaen"/>
          <w:i/>
          <w:color w:val="000000"/>
          <w:sz w:val="24"/>
          <w:szCs w:val="24"/>
          <w:vertAlign w:val="subscript"/>
        </w:rPr>
        <w:t>i</w:t>
      </w:r>
      <w:r w:rsidRPr="00B834A2">
        <w:rPr>
          <w:rFonts w:ascii="Sylfaen" w:hAnsi="Sylfaen"/>
          <w:color w:val="000000"/>
          <w:sz w:val="24"/>
          <w:szCs w:val="24"/>
        </w:rPr>
        <w:t xml:space="preserve">՝ գծային կախվածության հավասարումից ելնելով հաշվարկված </w:t>
      </w:r>
      <w:r w:rsidRPr="00B834A2">
        <w:rPr>
          <w:rFonts w:ascii="Sylfaen" w:hAnsi="Sylfaen"/>
          <w:i/>
          <w:color w:val="000000"/>
          <w:sz w:val="24"/>
          <w:szCs w:val="24"/>
        </w:rPr>
        <w:t xml:space="preserve">х </w:t>
      </w:r>
      <w:r>
        <w:rPr>
          <w:rFonts w:ascii="Sylfaen" w:hAnsi="Sylfaen"/>
          <w:i/>
          <w:color w:val="000000"/>
          <w:sz w:val="24"/>
          <w:szCs w:val="24"/>
        </w:rPr>
        <w:t>եւ</w:t>
      </w:r>
      <w:r w:rsidRPr="00B834A2">
        <w:rPr>
          <w:rFonts w:ascii="Sylfaen" w:hAnsi="Sylfaen"/>
          <w:i/>
          <w:color w:val="000000"/>
          <w:sz w:val="24"/>
          <w:szCs w:val="24"/>
        </w:rPr>
        <w:t xml:space="preserve"> у</w:t>
      </w:r>
      <w:r w:rsidRPr="00B834A2">
        <w:rPr>
          <w:rFonts w:ascii="Sylfaen" w:hAnsi="Sylfaen"/>
          <w:color w:val="000000"/>
          <w:sz w:val="24"/>
          <w:szCs w:val="24"/>
        </w:rPr>
        <w:t xml:space="preserve"> փոփոխականների արժեքներ. </w:t>
      </w:r>
    </w:p>
    <w:p w14:paraId="0BFA0B9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¯х, ¯у</w:t>
      </w:r>
      <w:r w:rsidRPr="00B834A2">
        <w:rPr>
          <w:rFonts w:ascii="Sylfaen" w:hAnsi="Sylfaen"/>
          <w:i/>
          <w:sz w:val="24"/>
          <w:szCs w:val="24"/>
        </w:rPr>
        <w:t xml:space="preserve">՝ ընտրանքի միջին արժեքներ </w:t>
      </w:r>
      <w:r w:rsidRPr="00B834A2">
        <w:rPr>
          <w:rFonts w:ascii="Sylfaen" w:hAnsi="Sylfaen"/>
          <w:color w:val="000000"/>
          <w:sz w:val="24"/>
          <w:szCs w:val="24"/>
        </w:rPr>
        <w:t>(գծային կախվածության կենտրոնի կոորդինատներ).</w:t>
      </w:r>
    </w:p>
    <w:p w14:paraId="129C819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x</w:t>
      </w:r>
      <w:r w:rsidRPr="00B834A2">
        <w:rPr>
          <w:rFonts w:ascii="Sylfaen" w:hAnsi="Sylfaen"/>
          <w:i/>
          <w:color w:val="000000"/>
          <w:sz w:val="24"/>
          <w:szCs w:val="24"/>
          <w:vertAlign w:val="subscript"/>
        </w:rPr>
        <w:t>i</w:t>
      </w:r>
      <w:r w:rsidRPr="00B834A2">
        <w:rPr>
          <w:rFonts w:ascii="Sylfaen" w:hAnsi="Sylfaen"/>
          <w:color w:val="000000"/>
          <w:sz w:val="24"/>
          <w:szCs w:val="24"/>
        </w:rPr>
        <w:t xml:space="preserve"> ,y</w:t>
      </w:r>
      <w:r w:rsidRPr="00B834A2">
        <w:rPr>
          <w:rFonts w:ascii="Sylfaen" w:hAnsi="Sylfaen"/>
          <w:i/>
          <w:color w:val="000000"/>
          <w:sz w:val="24"/>
          <w:szCs w:val="24"/>
          <w:vertAlign w:val="subscript"/>
        </w:rPr>
        <w:t>i</w:t>
      </w:r>
      <w:r w:rsidRPr="00B834A2">
        <w:rPr>
          <w:rFonts w:ascii="Sylfaen" w:hAnsi="Sylfaen"/>
          <w:i/>
          <w:sz w:val="24"/>
          <w:szCs w:val="24"/>
          <w:vertAlign w:val="subscript"/>
        </w:rPr>
        <w:t xml:space="preserve"> </w:t>
      </w:r>
      <w:r w:rsidRPr="00B834A2">
        <w:rPr>
          <w:rFonts w:ascii="Sylfaen" w:hAnsi="Sylfaen"/>
          <w:color w:val="000000"/>
          <w:sz w:val="24"/>
          <w:szCs w:val="24"/>
        </w:rPr>
        <w:t xml:space="preserve">՝ </w:t>
      </w:r>
      <w:r w:rsidRPr="00B834A2">
        <w:rPr>
          <w:rFonts w:ascii="Sylfaen" w:hAnsi="Sylfaen"/>
          <w:i/>
          <w:color w:val="000000"/>
          <w:sz w:val="24"/>
          <w:szCs w:val="24"/>
        </w:rPr>
        <w:t>i</w:t>
      </w:r>
      <w:r w:rsidRPr="00B834A2">
        <w:rPr>
          <w:rFonts w:ascii="Sylfaen" w:hAnsi="Sylfaen"/>
          <w:color w:val="000000"/>
          <w:sz w:val="24"/>
          <w:szCs w:val="24"/>
        </w:rPr>
        <w:t xml:space="preserve"> տարբերակ (</w:t>
      </w:r>
      <w:r w:rsidRPr="00B834A2">
        <w:rPr>
          <w:rFonts w:ascii="Sylfaen" w:hAnsi="Sylfaen"/>
          <w:i/>
          <w:color w:val="000000"/>
          <w:sz w:val="24"/>
          <w:szCs w:val="24"/>
        </w:rPr>
        <w:t xml:space="preserve">х </w:t>
      </w:r>
      <w:r>
        <w:rPr>
          <w:rFonts w:ascii="Sylfaen" w:hAnsi="Sylfaen"/>
          <w:i/>
          <w:color w:val="000000"/>
          <w:sz w:val="24"/>
          <w:szCs w:val="24"/>
        </w:rPr>
        <w:t>եւ</w:t>
      </w:r>
      <w:r w:rsidRPr="00B834A2">
        <w:rPr>
          <w:rFonts w:ascii="Sylfaen" w:hAnsi="Sylfaen"/>
          <w:i/>
          <w:color w:val="000000"/>
          <w:sz w:val="24"/>
          <w:szCs w:val="24"/>
        </w:rPr>
        <w:t xml:space="preserve"> у</w:t>
      </w:r>
      <w:r w:rsidRPr="00B834A2">
        <w:rPr>
          <w:rFonts w:ascii="Sylfaen" w:hAnsi="Sylfaen"/>
          <w:color w:val="000000"/>
          <w:sz w:val="24"/>
          <w:szCs w:val="24"/>
        </w:rPr>
        <w:t xml:space="preserve"> փորձարարական արժեքների </w:t>
      </w:r>
      <w:r w:rsidRPr="00B834A2">
        <w:rPr>
          <w:rFonts w:ascii="Sylfaen" w:hAnsi="Sylfaen"/>
          <w:i/>
          <w:color w:val="000000"/>
          <w:sz w:val="24"/>
          <w:szCs w:val="24"/>
        </w:rPr>
        <w:t>i զույգ).</w:t>
      </w:r>
    </w:p>
    <w:p w14:paraId="19246BD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¯x±∆¯x</m:t>
        </m:r>
      </m:oMath>
      <w:r w:rsidRPr="00B834A2">
        <w:rPr>
          <w:rFonts w:ascii="Sylfaen" w:hAnsi="Sylfaen"/>
          <w:color w:val="000000"/>
          <w:sz w:val="24"/>
          <w:szCs w:val="24"/>
        </w:rPr>
        <w:t>՝ միջին արժեքի վստահելի միջակայքի սահմանային արժեքներ.</w:t>
      </w:r>
    </w:p>
    <w:p w14:paraId="254A568D"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±∆x</m:t>
        </m:r>
      </m:oMath>
      <w:r w:rsidR="00B834A2" w:rsidRPr="00B834A2">
        <w:rPr>
          <w:rFonts w:ascii="Sylfaen" w:hAnsi="Sylfaen"/>
          <w:color w:val="000000"/>
          <w:sz w:val="24"/>
          <w:szCs w:val="24"/>
        </w:rPr>
        <w:t>՝ եզակի որոշման արդյունքի վստահելի միջակայքի սահմանային արժեքներ.</w:t>
      </w:r>
    </w:p>
    <w:p w14:paraId="2FE7163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d</w:t>
      </w:r>
      <w:r w:rsidRPr="00B834A2">
        <w:rPr>
          <w:rFonts w:ascii="Sylfaen" w:hAnsi="Sylfaen"/>
          <w:color w:val="000000"/>
          <w:sz w:val="24"/>
          <w:szCs w:val="24"/>
        </w:rPr>
        <w:t xml:space="preserve"> կամ </w:t>
      </w:r>
      <m:oMath>
        <m:r>
          <w:rPr>
            <w:rFonts w:ascii="Cambria Math" w:hAnsi="Cambria Math" w:cs="Sylfaen"/>
            <w:color w:val="000000"/>
            <w:sz w:val="24"/>
            <w:szCs w:val="24"/>
          </w:rPr>
          <m:t>∆</m:t>
        </m:r>
      </m:oMath>
      <w:r w:rsidRPr="00B834A2">
        <w:rPr>
          <w:rFonts w:ascii="Sylfaen" w:hAnsi="Sylfaen"/>
          <w:color w:val="000000"/>
          <w:sz w:val="24"/>
          <w:szCs w:val="24"/>
        </w:rPr>
        <w:t>՝ որոշ մեծությունների տարբերություն.</w:t>
      </w:r>
      <w:r>
        <w:rPr>
          <w:rFonts w:ascii="Sylfaen" w:hAnsi="Sylfaen"/>
          <w:color w:val="000000"/>
          <w:sz w:val="24"/>
          <w:szCs w:val="24"/>
        </w:rPr>
        <w:t xml:space="preserve"> </w:t>
      </w:r>
    </w:p>
    <w:p w14:paraId="4F4C489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р</w:t>
      </w:r>
      <w:r w:rsidRPr="00B834A2">
        <w:rPr>
          <w:rFonts w:ascii="Sylfaen" w:hAnsi="Sylfaen"/>
          <w:sz w:val="24"/>
          <w:szCs w:val="24"/>
        </w:rPr>
        <w:t xml:space="preserve">՝ </w:t>
      </w:r>
      <w:r w:rsidRPr="00B834A2">
        <w:rPr>
          <w:rFonts w:ascii="Sylfaen" w:hAnsi="Sylfaen"/>
          <w:color w:val="000000"/>
          <w:sz w:val="24"/>
          <w:szCs w:val="24"/>
        </w:rPr>
        <w:t>նշանակալիության մակարդակ, հուսալիության աստիճան.</w:t>
      </w:r>
      <w:r>
        <w:rPr>
          <w:rFonts w:ascii="Sylfaen" w:hAnsi="Sylfaen"/>
          <w:sz w:val="24"/>
          <w:szCs w:val="24"/>
        </w:rPr>
        <w:t xml:space="preserve"> </w:t>
      </w:r>
    </w:p>
    <w:p w14:paraId="3C8AD34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∆x</m:t>
        </m:r>
      </m:oMath>
      <w:r w:rsidRPr="00B834A2">
        <w:rPr>
          <w:rFonts w:ascii="Sylfaen" w:hAnsi="Sylfaen"/>
          <w:color w:val="000000"/>
          <w:sz w:val="24"/>
          <w:szCs w:val="24"/>
        </w:rPr>
        <w:t>՝ եզակի որոշման անորոշության վստահելի միջակայքի կիսալայնություն.</w:t>
      </w:r>
    </w:p>
    <w:p w14:paraId="34D82AA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∆¯x</m:t>
        </m:r>
      </m:oMath>
      <w:r w:rsidRPr="00B834A2">
        <w:rPr>
          <w:rFonts w:ascii="Sylfaen" w:hAnsi="Sylfaen"/>
          <w:color w:val="000000"/>
          <w:sz w:val="24"/>
          <w:szCs w:val="24"/>
        </w:rPr>
        <w:t>՝ միջին արդյունքի անորոշության վստահելի միջակայքի կիսալայնություն.</w:t>
      </w:r>
    </w:p>
    <w:p w14:paraId="63E8222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∆¯x</m:t>
        </m:r>
      </m:oMath>
      <w:r w:rsidRPr="00B834A2">
        <w:rPr>
          <w:rFonts w:ascii="Sylfaen" w:hAnsi="Sylfaen"/>
          <w:color w:val="000000"/>
          <w:sz w:val="24"/>
          <w:szCs w:val="24"/>
        </w:rPr>
        <w:t>,</w:t>
      </w:r>
      <w:r w:rsidRPr="00B834A2">
        <w:rPr>
          <w:rFonts w:ascii="Sylfaen" w:hAnsi="Sylfaen"/>
          <w:i/>
          <w:color w:val="000000"/>
          <w:sz w:val="24"/>
          <w:szCs w:val="24"/>
        </w:rPr>
        <w:t>r</w:t>
      </w:r>
      <w:r w:rsidRPr="00B834A2">
        <w:rPr>
          <w:rFonts w:ascii="Sylfaen" w:hAnsi="Sylfaen"/>
          <w:color w:val="000000"/>
          <w:sz w:val="24"/>
          <w:szCs w:val="24"/>
        </w:rPr>
        <w:t xml:space="preserve">՝ եզակի որոշման անորոշության հարաբերական վստահելի միջակայքի կիսալայնություն. </w:t>
      </w:r>
    </w:p>
    <w:p w14:paraId="5B740152"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m:t>
            </m:r>
          </m:e>
          <m:sub>
            <m:r>
              <w:rPr>
                <w:rFonts w:ascii="Cambria Math" w:hAnsi="Cambria Math" w:cs="Sylfaen"/>
                <w:color w:val="000000"/>
                <w:sz w:val="24"/>
                <w:szCs w:val="24"/>
              </w:rPr>
              <m:t>AS:r</m:t>
            </m:r>
          </m:sub>
        </m:sSub>
      </m:oMath>
      <w:r w:rsidR="00B834A2" w:rsidRPr="00B834A2">
        <w:rPr>
          <w:rFonts w:ascii="Sylfaen" w:hAnsi="Sylfaen"/>
          <w:color w:val="000000"/>
          <w:sz w:val="24"/>
          <w:szCs w:val="24"/>
        </w:rPr>
        <w:t>՝ անալիզի գումարային անորոշություն.</w:t>
      </w:r>
    </w:p>
    <w:p w14:paraId="0C6392FD"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m:t>
            </m:r>
          </m:e>
          <m:sub>
            <m:r>
              <w:rPr>
                <w:rFonts w:ascii="Cambria Math" w:hAnsi="Cambria Math" w:cs="Sylfaen"/>
                <w:color w:val="000000"/>
                <w:sz w:val="24"/>
                <w:szCs w:val="24"/>
              </w:rPr>
              <m:t>FAO,r</m:t>
            </m:r>
          </m:sub>
        </m:sSub>
      </m:oMath>
      <w:r w:rsidR="00B834A2" w:rsidRPr="00B834A2">
        <w:rPr>
          <w:rFonts w:ascii="Sylfaen" w:hAnsi="Sylfaen"/>
          <w:sz w:val="24"/>
          <w:szCs w:val="24"/>
        </w:rPr>
        <w:t xml:space="preserve"> </w:t>
      </w:r>
      <w:r w:rsidR="00B834A2" w:rsidRPr="00B834A2">
        <w:rPr>
          <w:rFonts w:ascii="Sylfaen" w:hAnsi="Sylfaen"/>
          <w:color w:val="000000"/>
          <w:sz w:val="24"/>
          <w:szCs w:val="24"/>
        </w:rPr>
        <w:t xml:space="preserve">՝ վերջնական անալիտիկ գործողության անորոշություն. </w:t>
      </w:r>
    </w:p>
    <w:p w14:paraId="630AB279"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m:t>
            </m:r>
          </m:e>
          <m:sub>
            <m:r>
              <w:rPr>
                <w:rFonts w:ascii="Cambria Math" w:hAnsi="Cambria Math" w:cs="Sylfaen"/>
                <w:color w:val="000000"/>
                <w:sz w:val="24"/>
                <w:szCs w:val="24"/>
              </w:rPr>
              <m:t>RS,r</m:t>
            </m:r>
          </m:sub>
        </m:sSub>
      </m:oMath>
      <w:r w:rsidR="00B834A2" w:rsidRPr="00B834A2">
        <w:rPr>
          <w:rFonts w:ascii="Sylfaen" w:hAnsi="Sylfaen"/>
          <w:color w:val="000000"/>
          <w:sz w:val="24"/>
          <w:szCs w:val="24"/>
        </w:rPr>
        <w:t xml:space="preserve"> ՝ ստանդարտ նմուշի ատեստավորման անորոշություն.</w:t>
      </w:r>
    </w:p>
    <w:p w14:paraId="2C6DBF7F"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m:t>
            </m:r>
          </m:e>
          <m:sub>
            <m:r>
              <w:rPr>
                <w:rFonts w:ascii="Cambria Math" w:hAnsi="Cambria Math" w:cs="Sylfaen"/>
                <w:color w:val="000000"/>
                <w:sz w:val="24"/>
                <w:szCs w:val="24"/>
              </w:rPr>
              <m:t>SP,r</m:t>
            </m:r>
          </m:sub>
        </m:sSub>
      </m:oMath>
      <w:r w:rsidR="00B834A2" w:rsidRPr="00B834A2">
        <w:rPr>
          <w:rFonts w:ascii="Sylfaen" w:hAnsi="Sylfaen"/>
          <w:sz w:val="24"/>
          <w:szCs w:val="24"/>
        </w:rPr>
        <w:t xml:space="preserve"> </w:t>
      </w:r>
      <w:r w:rsidR="00B834A2" w:rsidRPr="00B834A2">
        <w:rPr>
          <w:rFonts w:ascii="Sylfaen" w:hAnsi="Sylfaen"/>
          <w:color w:val="000000"/>
          <w:sz w:val="24"/>
          <w:szCs w:val="24"/>
        </w:rPr>
        <w:t>՝ նմուշի նախապատրաստման անորոշություն.</w:t>
      </w:r>
    </w:p>
    <w:p w14:paraId="0958486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δ</m:t>
        </m:r>
      </m:oMath>
      <w:r w:rsidRPr="00B834A2">
        <w:rPr>
          <w:rFonts w:ascii="Sylfaen" w:hAnsi="Sylfaen"/>
          <w:sz w:val="24"/>
          <w:szCs w:val="24"/>
        </w:rPr>
        <w:t xml:space="preserve"> </w:t>
      </w:r>
      <w:r w:rsidRPr="00B834A2">
        <w:rPr>
          <w:rFonts w:ascii="Sylfaen" w:hAnsi="Sylfaen"/>
          <w:color w:val="000000"/>
          <w:sz w:val="24"/>
          <w:szCs w:val="24"/>
        </w:rPr>
        <w:t>՝ մշտառկա սխալանքի հարաբերական մեծություն.</w:t>
      </w:r>
    </w:p>
    <w:p w14:paraId="1ADF368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m:rPr>
            <m:sty m:val="bi"/>
          </m:rPr>
          <w:rPr>
            <w:rFonts w:ascii="Cambria Math" w:hAnsi="Cambria Math" w:cs="Sylfaen"/>
            <w:color w:val="000000"/>
            <w:sz w:val="24"/>
            <w:szCs w:val="24"/>
          </w:rPr>
          <m:t>ε,¯ε</m:t>
        </m:r>
      </m:oMath>
      <w:r w:rsidRPr="00B834A2">
        <w:rPr>
          <w:rFonts w:ascii="Sylfaen" w:hAnsi="Sylfaen"/>
          <w:color w:val="000000"/>
          <w:sz w:val="24"/>
          <w:szCs w:val="24"/>
        </w:rPr>
        <w:t xml:space="preserve"> ՝ համապատասխանաբար առանձին որոշման արդյունքի </w:t>
      </w:r>
      <w:r>
        <w:rPr>
          <w:rFonts w:ascii="Sylfaen" w:hAnsi="Sylfaen"/>
          <w:color w:val="000000"/>
          <w:sz w:val="24"/>
          <w:szCs w:val="24"/>
        </w:rPr>
        <w:t>եւ</w:t>
      </w:r>
      <w:r w:rsidRPr="00B834A2">
        <w:rPr>
          <w:rFonts w:ascii="Sylfaen" w:hAnsi="Sylfaen"/>
          <w:color w:val="000000"/>
          <w:sz w:val="24"/>
          <w:szCs w:val="24"/>
        </w:rPr>
        <w:t xml:space="preserve"> միջին արդյունքի հարաբերական անորոշություններ.</w:t>
      </w:r>
    </w:p>
    <w:p w14:paraId="003C4E23"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m:oMath>
        <m:r>
          <m:rPr>
            <m:sty m:val="p"/>
          </m:rPr>
          <w:rPr>
            <w:rFonts w:ascii="Cambria Math" w:hAnsi="Cambria Math"/>
            <w:color w:val="000000"/>
            <w:sz w:val="24"/>
            <w:szCs w:val="24"/>
          </w:rPr>
          <m:t>μ</m:t>
        </m:r>
      </m:oMath>
      <w:r w:rsidRPr="00B834A2">
        <w:rPr>
          <w:rFonts w:ascii="Sylfaen" w:hAnsi="Sylfaen"/>
          <w:color w:val="000000"/>
          <w:sz w:val="24"/>
          <w:szCs w:val="24"/>
        </w:rPr>
        <w:t>՝ չափվող մեծության իսկական արժեք.</w:t>
      </w:r>
    </w:p>
    <w:p w14:paraId="248E4DD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m:rPr>
            <m:sty m:val="bi"/>
          </m:rPr>
          <w:rPr>
            <w:rFonts w:ascii="Lucida Sans Unicode" w:hAnsi="Lucida Sans Unicode" w:cs="Lucida Sans Unicode"/>
            <w:color w:val="000000"/>
            <w:sz w:val="24"/>
            <w:szCs w:val="24"/>
          </w:rPr>
          <w:lastRenderedPageBreak/>
          <m:t>Ʃ</m:t>
        </m:r>
      </m:oMath>
      <w:r w:rsidRPr="00B834A2">
        <w:rPr>
          <w:rFonts w:ascii="Sylfaen" w:hAnsi="Sylfaen"/>
          <w:sz w:val="24"/>
          <w:szCs w:val="24"/>
        </w:rPr>
        <w:t xml:space="preserve"> </w:t>
      </w:r>
      <w:r w:rsidRPr="00B834A2">
        <w:rPr>
          <w:rFonts w:ascii="Sylfaen" w:hAnsi="Sylfaen"/>
          <w:color w:val="000000"/>
          <w:sz w:val="24"/>
          <w:szCs w:val="24"/>
        </w:rPr>
        <w:t>՝ գումարման նշան (գումար).</w:t>
      </w:r>
    </w:p>
    <w:p w14:paraId="024BE7C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x</w:t>
      </w:r>
      <w:r w:rsidRPr="00B834A2">
        <w:rPr>
          <w:rFonts w:ascii="Sylfaen" w:hAnsi="Sylfaen"/>
          <w:i/>
          <w:color w:val="000000"/>
          <w:sz w:val="24"/>
          <w:szCs w:val="24"/>
          <w:vertAlign w:val="superscript"/>
        </w:rPr>
        <w:t>2</w:t>
      </w:r>
      <w:r w:rsidRPr="00B834A2">
        <w:rPr>
          <w:rFonts w:ascii="Sylfaen" w:hAnsi="Sylfaen"/>
          <w:sz w:val="24"/>
          <w:szCs w:val="24"/>
        </w:rPr>
        <w:t>՝</w:t>
      </w:r>
      <w:r>
        <w:rPr>
          <w:rFonts w:ascii="Sylfaen" w:hAnsi="Sylfaen"/>
          <w:sz w:val="24"/>
          <w:szCs w:val="24"/>
        </w:rPr>
        <w:t xml:space="preserve"> </w:t>
      </w:r>
      <w:r w:rsidRPr="00B834A2">
        <w:rPr>
          <w:rFonts w:ascii="Sylfaen" w:hAnsi="Sylfaen"/>
          <w:sz w:val="24"/>
          <w:szCs w:val="24"/>
        </w:rPr>
        <w:t>քի-քառակուսու [chi-square] չափորոշիչ:</w:t>
      </w:r>
    </w:p>
    <w:p w14:paraId="35077C89" w14:textId="77777777" w:rsidR="00B834A2" w:rsidRPr="00B834A2" w:rsidRDefault="00B834A2" w:rsidP="00B834A2">
      <w:pPr>
        <w:spacing w:after="160" w:line="360" w:lineRule="auto"/>
        <w:ind w:firstLine="567"/>
        <w:jc w:val="both"/>
        <w:rPr>
          <w:i/>
          <w:iCs/>
        </w:rPr>
      </w:pPr>
      <w:r w:rsidRPr="00B834A2">
        <w:t xml:space="preserve">Սույն ընդհանուր դեղագրքային հոդվածում օգտագործվում են որոշ եզրույթներ, որոնց սահմանումը բերված է </w:t>
      </w:r>
      <w:r w:rsidRPr="00B834A2">
        <w:rPr>
          <w:i/>
        </w:rPr>
        <w:t>2.3.14.0</w:t>
      </w:r>
      <w:r>
        <w:t xml:space="preserve"> </w:t>
      </w:r>
      <w:r w:rsidRPr="00B834A2">
        <w:rPr>
          <w:i/>
        </w:rPr>
        <w:t>Անալիտիկ մեթոդիկաների վալիդացում</w:t>
      </w:r>
      <w:r w:rsidRPr="00B834A2">
        <w:t xml:space="preserve"> </w:t>
      </w:r>
      <w:r>
        <w:t>եւ</w:t>
      </w:r>
      <w:r w:rsidRPr="00B834A2">
        <w:t xml:space="preserve"> </w:t>
      </w:r>
      <w:r w:rsidRPr="00B834A2">
        <w:rPr>
          <w:i/>
        </w:rPr>
        <w:t>2.1.7.1. Նմուշառում</w:t>
      </w:r>
      <w:r w:rsidRPr="00B834A2">
        <w:t xml:space="preserve"> ընդհանուր դեղագրքային հոդվածներում:</w:t>
      </w:r>
    </w:p>
    <w:p w14:paraId="7B4152EF" w14:textId="77777777" w:rsidR="00B834A2" w:rsidRPr="00B834A2" w:rsidRDefault="00B834A2" w:rsidP="00B834A2">
      <w:pPr>
        <w:spacing w:after="160" w:line="360" w:lineRule="auto"/>
        <w:ind w:firstLine="567"/>
        <w:jc w:val="both"/>
        <w:rPr>
          <w:i/>
          <w:iCs/>
        </w:rPr>
      </w:pPr>
    </w:p>
    <w:p w14:paraId="14179064" w14:textId="77777777" w:rsidR="00B834A2" w:rsidRPr="00B834A2" w:rsidRDefault="00B834A2" w:rsidP="00D16259">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1.</w:t>
      </w:r>
      <w:r w:rsidR="00D16259" w:rsidRPr="00D16259">
        <w:rPr>
          <w:rFonts w:ascii="Sylfaen" w:hAnsi="Sylfaen"/>
          <w:b/>
          <w:color w:val="000000"/>
          <w:sz w:val="24"/>
          <w:szCs w:val="24"/>
        </w:rPr>
        <w:tab/>
      </w:r>
      <w:r w:rsidRPr="00B834A2">
        <w:rPr>
          <w:rFonts w:ascii="Sylfaen" w:hAnsi="Sylfaen"/>
          <w:b/>
          <w:color w:val="000000"/>
          <w:sz w:val="24"/>
          <w:szCs w:val="24"/>
        </w:rPr>
        <w:t>ԸՆՏՐԱՆՔ ԵՒ ՄԻԱՏԱՐՐ ԸՆՏՐԱՆՔԻ ՀԻՄՆԱԿԱՆ ՎԻՃԱԿԱԳՐԱԿԱՆ ԲՆՈՒԹԱԳՐԵՐ</w:t>
      </w:r>
    </w:p>
    <w:p w14:paraId="670AFFA7" w14:textId="77777777" w:rsidR="00184198" w:rsidRPr="00D35F34" w:rsidRDefault="00184198" w:rsidP="00D16259">
      <w:pPr>
        <w:pStyle w:val="a0"/>
        <w:shd w:val="clear" w:color="auto" w:fill="auto"/>
        <w:tabs>
          <w:tab w:val="left" w:pos="1134"/>
        </w:tabs>
        <w:spacing w:after="160" w:line="360" w:lineRule="auto"/>
        <w:ind w:firstLine="567"/>
        <w:jc w:val="both"/>
        <w:rPr>
          <w:rFonts w:ascii="Sylfaen" w:hAnsi="Sylfaen"/>
          <w:b/>
          <w:sz w:val="24"/>
          <w:szCs w:val="24"/>
        </w:rPr>
      </w:pPr>
    </w:p>
    <w:p w14:paraId="2BFE93C5" w14:textId="77777777" w:rsidR="00B834A2" w:rsidRPr="00B834A2" w:rsidRDefault="00B834A2" w:rsidP="00D16259">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1.1.</w:t>
      </w:r>
      <w:r w:rsidR="00D16259" w:rsidRPr="002E52D1">
        <w:rPr>
          <w:rFonts w:ascii="Sylfaen" w:hAnsi="Sylfaen"/>
          <w:b/>
          <w:sz w:val="24"/>
          <w:szCs w:val="24"/>
        </w:rPr>
        <w:tab/>
      </w:r>
      <w:r w:rsidRPr="00B834A2">
        <w:rPr>
          <w:rFonts w:ascii="Sylfaen" w:hAnsi="Sylfaen"/>
          <w:b/>
          <w:color w:val="000000"/>
          <w:sz w:val="24"/>
          <w:szCs w:val="24"/>
        </w:rPr>
        <w:t>Ընտրանք</w:t>
      </w:r>
    </w:p>
    <w:p w14:paraId="6077A7D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Ֆիզիկական, ֆիզիկաքիմիական </w:t>
      </w:r>
      <w:r>
        <w:rPr>
          <w:rFonts w:ascii="Sylfaen" w:hAnsi="Sylfaen"/>
          <w:color w:val="000000"/>
          <w:sz w:val="24"/>
          <w:szCs w:val="24"/>
        </w:rPr>
        <w:t>եւ</w:t>
      </w:r>
      <w:r w:rsidRPr="00B834A2">
        <w:rPr>
          <w:rFonts w:ascii="Sylfaen" w:hAnsi="Sylfaen"/>
          <w:color w:val="000000"/>
          <w:sz w:val="24"/>
          <w:szCs w:val="24"/>
        </w:rPr>
        <w:t xml:space="preserve"> քիմիական փորձարկումների արդյունքների վիճակագրական մշակման ժամանակ օգտագործում են «ընտրանք» եզրույթը՝ իրականում ստացված, վիճակագրորեն համարժեք արդյունքների (տարբերակ) համախմբության նշման համար: Որպես նման համախումբ կարելի է, օրինակ, դիտարկել ըստ կազմության միատարր նմուշում որ</w:t>
      </w:r>
      <w:r>
        <w:rPr>
          <w:rFonts w:ascii="Sylfaen" w:hAnsi="Sylfaen"/>
          <w:color w:val="000000"/>
          <w:sz w:val="24"/>
          <w:szCs w:val="24"/>
        </w:rPr>
        <w:t>եւ</w:t>
      </w:r>
      <w:r w:rsidRPr="00B834A2">
        <w:rPr>
          <w:rFonts w:ascii="Sylfaen" w:hAnsi="Sylfaen"/>
          <w:color w:val="000000"/>
          <w:sz w:val="24"/>
          <w:szCs w:val="24"/>
        </w:rPr>
        <w:t>է նյութի (</w:t>
      </w:r>
      <w:r w:rsidRPr="00B834A2">
        <w:rPr>
          <w:rFonts w:ascii="Sylfaen" w:hAnsi="Sylfaen"/>
          <w:i/>
          <w:color w:val="000000"/>
          <w:sz w:val="24"/>
          <w:szCs w:val="24"/>
        </w:rPr>
        <w:t>х</w:t>
      </w:r>
      <w:r w:rsidRPr="00B834A2">
        <w:rPr>
          <w:rFonts w:ascii="Sylfaen" w:hAnsi="Sylfaen"/>
          <w:color w:val="000000"/>
          <w:sz w:val="24"/>
          <w:szCs w:val="24"/>
        </w:rPr>
        <w:t xml:space="preserve"> մեծության) պարունակության զուգահեռ որոշումների ժամանակ ստացված մի շարք արդյունքներ: Ստացված արդյունքների քանակն ընտրանք առաջացնող </w:t>
      </w:r>
      <w:r w:rsidRPr="00B834A2">
        <w:rPr>
          <w:rFonts w:ascii="Sylfaen" w:hAnsi="Sylfaen"/>
          <w:i/>
          <w:color w:val="000000"/>
          <w:sz w:val="24"/>
          <w:szCs w:val="24"/>
        </w:rPr>
        <w:t>n</w:t>
      </w:r>
      <w:r w:rsidRPr="00B834A2">
        <w:rPr>
          <w:rFonts w:ascii="Sylfaen" w:hAnsi="Sylfaen"/>
          <w:color w:val="000000"/>
          <w:sz w:val="24"/>
          <w:szCs w:val="24"/>
        </w:rPr>
        <w:t xml:space="preserve"> թվով դիտարկումներն են, որոնք կոչվում են «ընտրանքի ծավալ»: </w:t>
      </w:r>
      <w:r w:rsidRPr="00B834A2">
        <w:rPr>
          <w:rFonts w:ascii="Sylfaen" w:hAnsi="Sylfaen"/>
          <w:i/>
          <w:color w:val="000000"/>
          <w:sz w:val="24"/>
          <w:szCs w:val="24"/>
        </w:rPr>
        <w:t>n</w:t>
      </w:r>
      <w:r w:rsidRPr="00B834A2">
        <w:rPr>
          <w:rFonts w:ascii="Sylfaen" w:hAnsi="Sylfaen"/>
          <w:color w:val="000000"/>
          <w:sz w:val="24"/>
          <w:szCs w:val="24"/>
        </w:rPr>
        <w:t xml:space="preserve"> ծավալի ընտրանքի տարբերակների առանձին արժեքները նշանակում են </w:t>
      </w:r>
      <w:r w:rsidRPr="00B834A2">
        <w:rPr>
          <w:rFonts w:ascii="Sylfaen" w:hAnsi="Sylfaen"/>
          <w:i/>
          <w:color w:val="000000"/>
          <w:sz w:val="24"/>
          <w:szCs w:val="24"/>
        </w:rPr>
        <w:t>х</w:t>
      </w:r>
      <w:r w:rsidRPr="00B834A2">
        <w:rPr>
          <w:rFonts w:ascii="Sylfaen" w:hAnsi="Sylfaen"/>
          <w:i/>
          <w:color w:val="000000"/>
          <w:sz w:val="24"/>
          <w:szCs w:val="24"/>
          <w:vertAlign w:val="subscript"/>
        </w:rPr>
        <w:t>i</w:t>
      </w:r>
      <w:r w:rsidRPr="00B834A2">
        <w:rPr>
          <w:rFonts w:ascii="Sylfaen" w:hAnsi="Sylfaen"/>
          <w:color w:val="000000"/>
          <w:sz w:val="24"/>
          <w:szCs w:val="24"/>
        </w:rPr>
        <w:t xml:space="preserve"> </w:t>
      </w:r>
      <w:r w:rsidR="002E52D1">
        <w:rPr>
          <w:rFonts w:ascii="Sylfaen" w:hAnsi="Sylfaen"/>
          <w:color w:val="000000"/>
          <w:sz w:val="24"/>
          <w:szCs w:val="24"/>
        </w:rPr>
        <w:t>-</w:t>
      </w:r>
      <w:r w:rsidRPr="00B834A2">
        <w:rPr>
          <w:rFonts w:ascii="Sylfaen" w:hAnsi="Sylfaen"/>
          <w:color w:val="000000"/>
          <w:sz w:val="24"/>
          <w:szCs w:val="24"/>
        </w:rPr>
        <w:t xml:space="preserve">ով </w:t>
      </w:r>
      <w:r w:rsidRPr="00B834A2">
        <w:rPr>
          <w:rFonts w:ascii="Sylfaen" w:hAnsi="Sylfaen"/>
          <w:b/>
          <w:color w:val="000000"/>
          <w:sz w:val="24"/>
          <w:szCs w:val="24"/>
        </w:rPr>
        <w:t>(</w:t>
      </w:r>
      <w:r w:rsidRPr="00B834A2">
        <w:rPr>
          <w:rFonts w:ascii="Sylfaen" w:hAnsi="Sylfaen"/>
          <w:color w:val="000000"/>
          <w:sz w:val="24"/>
          <w:szCs w:val="24"/>
        </w:rPr>
        <w:t xml:space="preserve">1 </w:t>
      </w:r>
      <m:oMath>
        <m:r>
          <w:rPr>
            <w:rFonts w:ascii="Cambria Math" w:hAnsi="Cambria Math" w:cs="Sylfaen"/>
            <w:color w:val="000000"/>
            <w:sz w:val="24"/>
            <w:szCs w:val="24"/>
          </w:rPr>
          <m:t>≤</m:t>
        </m:r>
      </m:oMath>
      <w:r w:rsidRPr="00B834A2">
        <w:rPr>
          <w:rFonts w:ascii="Sylfaen" w:hAnsi="Sylfaen"/>
          <w:color w:val="000000"/>
          <w:sz w:val="24"/>
          <w:szCs w:val="24"/>
        </w:rPr>
        <w:t xml:space="preserve"> </w:t>
      </w:r>
      <w:r w:rsidRPr="00B834A2">
        <w:rPr>
          <w:rFonts w:ascii="Sylfaen" w:hAnsi="Sylfaen"/>
          <w:i/>
          <w:color w:val="000000"/>
          <w:sz w:val="24"/>
          <w:szCs w:val="24"/>
        </w:rPr>
        <w:t>i</w:t>
      </w:r>
      <w:r w:rsidRPr="00B834A2">
        <w:rPr>
          <w:rFonts w:ascii="Sylfaen" w:hAnsi="Sylfaen"/>
          <w:color w:val="000000"/>
          <w:sz w:val="24"/>
          <w:szCs w:val="24"/>
        </w:rPr>
        <w:t xml:space="preserve"> </w:t>
      </w:r>
      <m:oMath>
        <m:r>
          <w:rPr>
            <w:rFonts w:ascii="Cambria Math" w:hAnsi="Cambria Math" w:cs="Sylfaen"/>
            <w:color w:val="000000"/>
            <w:sz w:val="24"/>
            <w:szCs w:val="24"/>
          </w:rPr>
          <m:t>≤</m:t>
        </m:r>
      </m:oMath>
      <w:r w:rsidRPr="00B834A2">
        <w:rPr>
          <w:rFonts w:ascii="Sylfaen" w:hAnsi="Sylfaen"/>
          <w:color w:val="000000"/>
          <w:sz w:val="24"/>
          <w:szCs w:val="24"/>
        </w:rPr>
        <w:t xml:space="preserve"> </w:t>
      </w:r>
      <w:r w:rsidRPr="00B834A2">
        <w:rPr>
          <w:rFonts w:ascii="Sylfaen" w:hAnsi="Sylfaen"/>
          <w:i/>
          <w:color w:val="000000"/>
          <w:sz w:val="24"/>
          <w:szCs w:val="24"/>
        </w:rPr>
        <w:t>n</w:t>
      </w:r>
      <w:r w:rsidRPr="00B834A2">
        <w:rPr>
          <w:rFonts w:ascii="Sylfaen" w:hAnsi="Sylfaen"/>
          <w:color w:val="000000"/>
          <w:sz w:val="24"/>
          <w:szCs w:val="24"/>
        </w:rPr>
        <w:t>): Աճման կարգով կանոնակարգված ընտրանքի տարբերակը կարող է ներկայացվել հետ</w:t>
      </w:r>
      <w:r>
        <w:rPr>
          <w:rFonts w:ascii="Sylfaen" w:hAnsi="Sylfaen"/>
          <w:color w:val="000000"/>
          <w:sz w:val="24"/>
          <w:szCs w:val="24"/>
        </w:rPr>
        <w:t>եւ</w:t>
      </w:r>
      <w:r w:rsidRPr="00B834A2">
        <w:rPr>
          <w:rFonts w:ascii="Sylfaen" w:hAnsi="Sylfaen"/>
          <w:color w:val="000000"/>
          <w:sz w:val="24"/>
          <w:szCs w:val="24"/>
        </w:rPr>
        <w:t xml:space="preserve">յալ տեսքով. </w:t>
      </w:r>
    </w:p>
    <w:p w14:paraId="696E8A37" w14:textId="77777777" w:rsidR="00B834A2" w:rsidRPr="00B834A2" w:rsidRDefault="00000000" w:rsidP="000D219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n-1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n</m:t>
            </m:r>
          </m:sub>
        </m:sSub>
      </m:oMath>
      <w:r w:rsidR="00B834A2" w:rsidRPr="00B834A2">
        <w:rPr>
          <w:rFonts w:ascii="Sylfaen" w:hAnsi="Sylfaen"/>
          <w:sz w:val="24"/>
          <w:szCs w:val="24"/>
        </w:rPr>
        <w:t xml:space="preserve"> </w:t>
      </w:r>
      <w:r w:rsidR="000D219C" w:rsidRPr="002E52D1">
        <w:rPr>
          <w:rFonts w:ascii="Sylfaen" w:hAnsi="Sylfaen"/>
          <w:sz w:val="24"/>
          <w:szCs w:val="24"/>
        </w:rPr>
        <w:tab/>
      </w:r>
      <w:r w:rsidR="00B834A2" w:rsidRPr="00B834A2">
        <w:rPr>
          <w:rFonts w:ascii="Sylfaen" w:hAnsi="Sylfaen"/>
          <w:color w:val="000000"/>
          <w:sz w:val="24"/>
          <w:szCs w:val="24"/>
        </w:rPr>
        <w:t>(1.1)</w:t>
      </w:r>
    </w:p>
    <w:p w14:paraId="50B9592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184198">
        <w:rPr>
          <w:rFonts w:ascii="Sylfaen" w:hAnsi="Sylfaen"/>
          <w:color w:val="000000"/>
          <w:spacing w:val="-6"/>
          <w:sz w:val="24"/>
          <w:szCs w:val="24"/>
        </w:rPr>
        <w:t xml:space="preserve">Ֆիզիկական, ֆիզիկաքիմիական եւ քիմիական փորձարկումների արդյունքների վիճակագրական մշակման ժամանակ տարբերում են փոքր (n </w:t>
      </w:r>
      <m:oMath>
        <m:r>
          <w:rPr>
            <w:rFonts w:ascii="Cambria Math" w:hAnsi="Cambria Math" w:cs="Sylfaen"/>
            <w:color w:val="000000"/>
            <w:spacing w:val="-6"/>
            <w:sz w:val="24"/>
            <w:szCs w:val="24"/>
          </w:rPr>
          <m:t>≤</m:t>
        </m:r>
      </m:oMath>
      <w:r w:rsidRPr="00184198">
        <w:rPr>
          <w:rFonts w:ascii="Sylfaen" w:hAnsi="Sylfaen"/>
          <w:color w:val="000000"/>
          <w:spacing w:val="-6"/>
          <w:sz w:val="24"/>
          <w:szCs w:val="24"/>
        </w:rPr>
        <w:t xml:space="preserve"> 10) եւ մեծ ծավալի (</w:t>
      </w:r>
      <w:r w:rsidRPr="00184198">
        <w:rPr>
          <w:rFonts w:ascii="Sylfaen" w:hAnsi="Sylfaen"/>
          <w:i/>
          <w:color w:val="000000"/>
          <w:spacing w:val="-6"/>
          <w:sz w:val="24"/>
          <w:szCs w:val="24"/>
        </w:rPr>
        <w:t>n</w:t>
      </w:r>
      <w:r w:rsidR="002B2475" w:rsidRPr="002B2475">
        <w:rPr>
          <w:rFonts w:ascii="Sylfaen" w:hAnsi="Sylfaen"/>
          <w:color w:val="000000"/>
          <w:spacing w:val="-6"/>
          <w:sz w:val="24"/>
          <w:szCs w:val="24"/>
        </w:rPr>
        <w:t> </w:t>
      </w:r>
      <w:r w:rsidRPr="00184198">
        <w:rPr>
          <w:rFonts w:ascii="Sylfaen" w:hAnsi="Sylfaen"/>
          <w:color w:val="000000"/>
          <w:spacing w:val="-6"/>
          <w:sz w:val="24"/>
          <w:szCs w:val="24"/>
        </w:rPr>
        <w:t>&gt;10) ընտրանք: Արդյունքների վիճակագրական մշակման այլ դեպքերում «փոքր ծավալի» ընտրանքը կարող է որոշվել որպես 30</w:t>
      </w:r>
      <w:r w:rsidRPr="00685C9F">
        <w:rPr>
          <w:rFonts w:ascii="Sylfaen" w:hAnsi="Sylfaen"/>
          <w:color w:val="000000"/>
          <w:sz w:val="24"/>
          <w:szCs w:val="24"/>
        </w:rPr>
        <w:t>-</w:t>
      </w:r>
      <w:r w:rsidRPr="00B834A2">
        <w:rPr>
          <w:rFonts w:ascii="Sylfaen" w:hAnsi="Sylfaen"/>
          <w:color w:val="000000"/>
          <w:sz w:val="24"/>
          <w:szCs w:val="24"/>
        </w:rPr>
        <w:t xml:space="preserve">ը չգերազանցող (n </w:t>
      </w:r>
      <m:oMath>
        <m:r>
          <w:rPr>
            <w:rFonts w:ascii="Cambria Math" w:hAnsi="Cambria Math" w:cs="Sylfaen"/>
            <w:color w:val="000000"/>
            <w:sz w:val="24"/>
            <w:szCs w:val="24"/>
          </w:rPr>
          <m:t>≤</m:t>
        </m:r>
      </m:oMath>
      <w:r w:rsidRPr="00B834A2">
        <w:rPr>
          <w:rFonts w:ascii="Sylfaen" w:hAnsi="Sylfaen"/>
          <w:color w:val="000000"/>
          <w:sz w:val="24"/>
          <w:szCs w:val="24"/>
        </w:rPr>
        <w:t xml:space="preserve"> 30):</w:t>
      </w:r>
    </w:p>
    <w:p w14:paraId="719D88E6" w14:textId="77777777" w:rsidR="00B834A2" w:rsidRPr="00B834A2" w:rsidRDefault="00B834A2" w:rsidP="00F634DB">
      <w:pPr>
        <w:pStyle w:val="a0"/>
        <w:shd w:val="clear" w:color="auto" w:fill="auto"/>
        <w:tabs>
          <w:tab w:val="left" w:pos="1134"/>
        </w:tabs>
        <w:spacing w:after="160" w:line="341" w:lineRule="auto"/>
        <w:ind w:firstLine="567"/>
        <w:jc w:val="both"/>
        <w:rPr>
          <w:rFonts w:ascii="Sylfaen" w:hAnsi="Sylfaen" w:cs="Sylfaen"/>
          <w:sz w:val="24"/>
          <w:szCs w:val="24"/>
        </w:rPr>
      </w:pPr>
      <w:r w:rsidRPr="00B834A2">
        <w:rPr>
          <w:rFonts w:ascii="Sylfaen" w:hAnsi="Sylfaen"/>
          <w:b/>
          <w:sz w:val="24"/>
          <w:szCs w:val="24"/>
        </w:rPr>
        <w:lastRenderedPageBreak/>
        <w:t>1.2.</w:t>
      </w:r>
      <w:r w:rsidR="000D219C" w:rsidRPr="000D219C">
        <w:rPr>
          <w:rFonts w:ascii="Sylfaen" w:hAnsi="Sylfaen"/>
          <w:b/>
          <w:sz w:val="24"/>
          <w:szCs w:val="24"/>
        </w:rPr>
        <w:tab/>
      </w:r>
      <w:r w:rsidRPr="00B834A2">
        <w:rPr>
          <w:rFonts w:ascii="Sylfaen" w:hAnsi="Sylfaen"/>
          <w:b/>
          <w:color w:val="000000"/>
          <w:sz w:val="24"/>
          <w:szCs w:val="24"/>
        </w:rPr>
        <w:t>Միջին արժեք, դիսպերսիա, ստանդարտ շեղում</w:t>
      </w:r>
    </w:p>
    <w:p w14:paraId="4399E30E" w14:textId="77777777" w:rsidR="00B834A2" w:rsidRPr="00B834A2" w:rsidRDefault="00B834A2" w:rsidP="00F634DB">
      <w:pPr>
        <w:pStyle w:val="a0"/>
        <w:shd w:val="clear" w:color="auto" w:fill="auto"/>
        <w:spacing w:after="160" w:line="341" w:lineRule="auto"/>
        <w:ind w:firstLine="567"/>
        <w:jc w:val="both"/>
        <w:rPr>
          <w:rFonts w:ascii="Sylfaen" w:hAnsi="Sylfaen" w:cs="Sylfaen"/>
          <w:color w:val="000000"/>
          <w:sz w:val="24"/>
          <w:szCs w:val="24"/>
        </w:rPr>
      </w:pPr>
      <w:r w:rsidRPr="00B834A2">
        <w:rPr>
          <w:rFonts w:ascii="Sylfaen" w:hAnsi="Sylfaen"/>
          <w:color w:val="000000"/>
          <w:sz w:val="24"/>
          <w:szCs w:val="24"/>
        </w:rPr>
        <w:t xml:space="preserve">Մեծամասամբ </w:t>
      </w:r>
      <w:r w:rsidRPr="00B834A2">
        <w:rPr>
          <w:rFonts w:ascii="Sylfaen" w:hAnsi="Sylfaen"/>
          <w:b/>
          <w:i/>
          <w:color w:val="000000"/>
          <w:sz w:val="24"/>
          <w:szCs w:val="24"/>
        </w:rPr>
        <w:t>х</w:t>
      </w:r>
      <w:r w:rsidRPr="00B834A2">
        <w:rPr>
          <w:rFonts w:ascii="Sylfaen" w:hAnsi="Sylfaen"/>
          <w:color w:val="000000"/>
          <w:sz w:val="24"/>
          <w:szCs w:val="24"/>
        </w:rPr>
        <w:t xml:space="preserve"> ընտրանքի միջին արժեքը </w:t>
      </w:r>
      <w:r w:rsidRPr="00B834A2">
        <w:rPr>
          <w:rFonts w:ascii="Sylfaen" w:eastAsiaTheme="minorHAnsi" w:hAnsi="Sylfaen"/>
          <w:sz w:val="24"/>
          <w:szCs w:val="24"/>
          <w:lang w:bidi="ar-SA"/>
        </w:rPr>
        <w:t>µ</w:t>
      </w:r>
      <w:r w:rsidRPr="00B834A2">
        <w:rPr>
          <w:rFonts w:ascii="Sylfaen" w:hAnsi="Sylfaen"/>
          <w:color w:val="000000"/>
          <w:sz w:val="24"/>
          <w:szCs w:val="24"/>
        </w:rPr>
        <w:t xml:space="preserve"> չափվող մեծության իսկական արժեքի լավագույն գնահատականն է, եթե այն հաշվարկվում է որպես բոլոր տարբերակների միջին թվաբանական.</w:t>
      </w:r>
    </w:p>
    <w:p w14:paraId="01A8618A" w14:textId="77777777" w:rsidR="000D219C" w:rsidRPr="00B834A2" w:rsidRDefault="00000000" w:rsidP="00F634DB">
      <w:pPr>
        <w:pStyle w:val="a0"/>
        <w:shd w:val="clear" w:color="auto" w:fill="auto"/>
        <w:spacing w:after="160" w:line="341" w:lineRule="auto"/>
        <w:ind w:firstLine="567"/>
        <w:jc w:val="center"/>
        <w:rPr>
          <w:rFonts w:ascii="Sylfaen" w:hAnsi="Sylfaen" w:cs="Sylfaen"/>
          <w:sz w:val="24"/>
          <w:szCs w:val="24"/>
        </w:rPr>
      </w:pPr>
      <m:oMath>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n</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e>
            </m:nary>
          </m:num>
          <m:den>
            <m:r>
              <w:rPr>
                <w:rFonts w:ascii="Cambria Math" w:hAnsi="Cambria Math" w:cs="Sylfaen"/>
                <w:color w:val="000000"/>
                <w:sz w:val="24"/>
                <w:szCs w:val="24"/>
              </w:rPr>
              <m:t>n</m:t>
            </m:r>
          </m:den>
        </m:f>
      </m:oMath>
      <w:r w:rsidR="000D219C" w:rsidRPr="000D219C">
        <w:rPr>
          <w:rFonts w:ascii="Sylfaen" w:hAnsi="Sylfaen"/>
          <w:sz w:val="24"/>
          <w:szCs w:val="24"/>
        </w:rPr>
        <w:tab/>
      </w:r>
      <w:r w:rsidR="000D219C" w:rsidRPr="00B834A2">
        <w:rPr>
          <w:rFonts w:ascii="Sylfaen" w:hAnsi="Sylfaen"/>
          <w:color w:val="000000"/>
          <w:sz w:val="24"/>
          <w:szCs w:val="24"/>
        </w:rPr>
        <w:t>(</w:t>
      </w:r>
      <w:r w:rsidR="000D219C" w:rsidRPr="00B834A2">
        <w:rPr>
          <w:rFonts w:ascii="Sylfaen" w:hAnsi="Sylfaen"/>
          <w:sz w:val="24"/>
          <w:szCs w:val="24"/>
        </w:rPr>
        <w:t>1.2)</w:t>
      </w:r>
    </w:p>
    <w:p w14:paraId="33B28941" w14:textId="77777777" w:rsidR="00B834A2" w:rsidRPr="00B834A2" w:rsidRDefault="00B834A2" w:rsidP="00F634DB">
      <w:pPr>
        <w:pStyle w:val="a0"/>
        <w:shd w:val="clear" w:color="auto" w:fill="auto"/>
        <w:spacing w:after="160" w:line="341" w:lineRule="auto"/>
        <w:ind w:firstLine="567"/>
        <w:jc w:val="both"/>
        <w:rPr>
          <w:rFonts w:ascii="Sylfaen" w:hAnsi="Sylfaen" w:cs="Sylfaen"/>
          <w:sz w:val="24"/>
          <w:szCs w:val="24"/>
        </w:rPr>
      </w:pPr>
      <w:r w:rsidRPr="00B834A2">
        <w:rPr>
          <w:rFonts w:ascii="Sylfaen" w:hAnsi="Sylfaen"/>
          <w:color w:val="000000"/>
          <w:sz w:val="24"/>
          <w:szCs w:val="24"/>
        </w:rPr>
        <w:t>Ընդ որում,</w:t>
      </w:r>
      <w:r w:rsidRPr="00B834A2">
        <w:rPr>
          <w:rFonts w:ascii="Sylfaen" w:hAnsi="Sylfaen"/>
          <w:b/>
          <w:i/>
          <w:color w:val="000000"/>
          <w:sz w:val="24"/>
          <w:szCs w:val="24"/>
        </w:rPr>
        <w:t>¯</w:t>
      </w:r>
      <w:r w:rsidRPr="00685C9F">
        <w:rPr>
          <w:rFonts w:ascii="Sylfaen" w:hAnsi="Sylfaen"/>
          <w:i/>
          <w:color w:val="000000"/>
          <w:sz w:val="24"/>
          <w:szCs w:val="24"/>
        </w:rPr>
        <w:t>x</w:t>
      </w:r>
      <w:r w:rsidRPr="00B834A2">
        <w:rPr>
          <w:rFonts w:ascii="Sylfaen" w:hAnsi="Sylfaen"/>
          <w:color w:val="000000"/>
          <w:sz w:val="24"/>
          <w:szCs w:val="24"/>
        </w:rPr>
        <w:t xml:space="preserve"> միջին արժեքի շուրջ x</w:t>
      </w:r>
      <w:r w:rsidRPr="00B834A2">
        <w:rPr>
          <w:rFonts w:ascii="Sylfaen" w:eastAsiaTheme="minorHAnsi" w:hAnsi="Sylfaen" w:cs="TimesNewRomanCyr-NormalItalic"/>
          <w:i/>
          <w:iCs/>
          <w:sz w:val="24"/>
          <w:szCs w:val="24"/>
          <w:lang w:bidi="ar-SA"/>
        </w:rPr>
        <w:t>i</w:t>
      </w:r>
      <w:r w:rsidRPr="00B834A2">
        <w:rPr>
          <w:rFonts w:ascii="Sylfaen" w:hAnsi="Sylfaen"/>
          <w:color w:val="000000"/>
          <w:sz w:val="24"/>
          <w:szCs w:val="24"/>
        </w:rPr>
        <w:t xml:space="preserve"> տարբերակի ցրվածքը բնութագրվում է s ստանդարտ շեղման մեծությամբ: Ֆիզիկական, ֆիզիկաքիմիական </w:t>
      </w:r>
      <w:r>
        <w:rPr>
          <w:rFonts w:ascii="Sylfaen" w:hAnsi="Sylfaen"/>
          <w:color w:val="000000"/>
          <w:sz w:val="24"/>
          <w:szCs w:val="24"/>
        </w:rPr>
        <w:t>եւ</w:t>
      </w:r>
      <w:r w:rsidRPr="00B834A2">
        <w:rPr>
          <w:rFonts w:ascii="Sylfaen" w:hAnsi="Sylfaen"/>
          <w:color w:val="000000"/>
          <w:sz w:val="24"/>
          <w:szCs w:val="24"/>
        </w:rPr>
        <w:t xml:space="preserve"> քիմիական անալիզի մեթոդներով նյութերի քանակական որոշման ժամանակ </w:t>
      </w:r>
      <w:r w:rsidRPr="00B834A2">
        <w:rPr>
          <w:rFonts w:ascii="Sylfaen" w:eastAsiaTheme="minorHAnsi" w:hAnsi="Sylfaen" w:cs="TimesNewRomanCyr-NormalItalic"/>
          <w:i/>
          <w:iCs/>
          <w:sz w:val="24"/>
          <w:szCs w:val="24"/>
          <w:lang w:bidi="ar-SA"/>
        </w:rPr>
        <w:t>s</w:t>
      </w:r>
      <w:r w:rsidRPr="00B834A2">
        <w:rPr>
          <w:rFonts w:ascii="Sylfaen" w:hAnsi="Sylfaen"/>
          <w:color w:val="000000"/>
          <w:sz w:val="24"/>
          <w:szCs w:val="24"/>
        </w:rPr>
        <w:t xml:space="preserve"> մեծությունը հաճախ դիտարկում են որպես անալիզի տվյալ մեթոդիկային բնորոշ պատահական սխալանք: Այդ s</w:t>
      </w:r>
      <w:r w:rsidRPr="00B834A2">
        <w:rPr>
          <w:rFonts w:ascii="Sylfaen" w:hAnsi="Sylfaen"/>
          <w:color w:val="000000"/>
          <w:sz w:val="24"/>
          <w:szCs w:val="24"/>
          <w:vertAlign w:val="superscript"/>
        </w:rPr>
        <w:t>2</w:t>
      </w:r>
      <w:r w:rsidRPr="00B834A2">
        <w:rPr>
          <w:rFonts w:ascii="Sylfaen" w:hAnsi="Sylfaen"/>
          <w:color w:val="000000"/>
          <w:sz w:val="24"/>
          <w:szCs w:val="24"/>
        </w:rPr>
        <w:t xml:space="preserve"> մեծության խորանարդն անվանում են դիսպերսիա: Դիսպերսիայի մեծությունը կարող է դիտարկվել որպես տվյալ ընտրանքում ներկայացված արդյունքների ճշգրտության (զուգամիտության) միջոց: </w:t>
      </w:r>
      <w:r w:rsidRPr="00B834A2">
        <w:rPr>
          <w:rFonts w:ascii="Sylfaen" w:hAnsi="Sylfaen"/>
          <w:i/>
          <w:color w:val="000000"/>
          <w:sz w:val="24"/>
          <w:szCs w:val="24"/>
        </w:rPr>
        <w:t>s</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s</w:t>
      </w:r>
      <w:r w:rsidRPr="00B834A2">
        <w:rPr>
          <w:rFonts w:ascii="Sylfaen" w:hAnsi="Sylfaen"/>
          <w:i/>
          <w:color w:val="000000"/>
          <w:sz w:val="24"/>
          <w:szCs w:val="24"/>
          <w:vertAlign w:val="superscript"/>
        </w:rPr>
        <w:t>2</w:t>
      </w:r>
      <w:r w:rsidRPr="00B834A2">
        <w:rPr>
          <w:rFonts w:ascii="Sylfaen" w:hAnsi="Sylfaen"/>
          <w:color w:val="000000"/>
          <w:sz w:val="24"/>
          <w:szCs w:val="24"/>
        </w:rPr>
        <w:t xml:space="preserve"> մեծությունների հաշվումն անցկացնում են (1.5) </w:t>
      </w:r>
      <w:r>
        <w:rPr>
          <w:rFonts w:ascii="Sylfaen" w:hAnsi="Sylfaen"/>
          <w:color w:val="000000"/>
          <w:sz w:val="24"/>
          <w:szCs w:val="24"/>
        </w:rPr>
        <w:t>եւ</w:t>
      </w:r>
      <w:r w:rsidRPr="00B834A2">
        <w:rPr>
          <w:rFonts w:ascii="Sylfaen" w:hAnsi="Sylfaen"/>
          <w:color w:val="000000"/>
          <w:sz w:val="24"/>
          <w:szCs w:val="24"/>
        </w:rPr>
        <w:t xml:space="preserve"> (1.6) հավասարումներով: Երբեմն դրա համար նախապես որոշում են </w:t>
      </w:r>
      <w:r w:rsidRPr="00B834A2">
        <w:rPr>
          <w:rFonts w:ascii="Sylfaen" w:hAnsi="Sylfaen"/>
          <w:i/>
          <w:color w:val="000000"/>
          <w:sz w:val="24"/>
          <w:szCs w:val="24"/>
        </w:rPr>
        <w:t>d</w:t>
      </w:r>
      <w:r w:rsidRPr="00B834A2">
        <w:rPr>
          <w:rFonts w:ascii="Sylfaen" w:hAnsi="Sylfaen"/>
          <w:i/>
          <w:color w:val="000000"/>
          <w:sz w:val="24"/>
          <w:szCs w:val="24"/>
          <w:vertAlign w:val="subscript"/>
        </w:rPr>
        <w:t>i</w:t>
      </w:r>
      <w:r>
        <w:rPr>
          <w:rFonts w:ascii="Sylfaen" w:hAnsi="Sylfaen"/>
          <w:color w:val="000000"/>
          <w:sz w:val="24"/>
          <w:szCs w:val="24"/>
        </w:rPr>
        <w:t xml:space="preserve"> </w:t>
      </w:r>
      <w:r w:rsidRPr="00B834A2">
        <w:rPr>
          <w:rFonts w:ascii="Sylfaen" w:hAnsi="Sylfaen"/>
          <w:color w:val="000000"/>
          <w:sz w:val="24"/>
          <w:szCs w:val="24"/>
        </w:rPr>
        <w:t xml:space="preserve">շեղումների արժեքները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f</w:t>
      </w:r>
      <w:r w:rsidRPr="00B834A2">
        <w:rPr>
          <w:rFonts w:ascii="Sylfaen" w:hAnsi="Sylfaen"/>
          <w:color w:val="000000"/>
          <w:sz w:val="24"/>
          <w:szCs w:val="24"/>
        </w:rPr>
        <w:t xml:space="preserve"> ազատության աստիճանների թիվը (անկախ տարբերակների թիվ). </w:t>
      </w:r>
    </w:p>
    <w:p w14:paraId="63485D33" w14:textId="77777777" w:rsidR="00B834A2" w:rsidRPr="00B834A2" w:rsidRDefault="00000000" w:rsidP="00F634DB">
      <w:pPr>
        <w:pStyle w:val="a0"/>
        <w:shd w:val="clear" w:color="auto" w:fill="auto"/>
        <w:tabs>
          <w:tab w:val="left" w:pos="4253"/>
        </w:tabs>
        <w:spacing w:after="160" w:line="341"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d</m:t>
            </m:r>
          </m:e>
          <m:sub>
            <m:r>
              <w:rPr>
                <w:rFonts w:ascii="Cambria Math" w:hAnsi="Cambria Math" w:cs="Sylfaen"/>
                <w:color w:val="000000"/>
                <w:sz w:val="24"/>
                <w:szCs w:val="24"/>
              </w:rPr>
              <m:t>i</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m:t>
        </m:r>
      </m:oMath>
      <w:r w:rsidR="000D219C" w:rsidRPr="002E52D1">
        <w:rPr>
          <w:rFonts w:ascii="Sylfaen" w:hAnsi="Sylfaen"/>
          <w:color w:val="000000"/>
          <w:sz w:val="24"/>
          <w:szCs w:val="24"/>
        </w:rPr>
        <w:tab/>
      </w:r>
      <w:r w:rsidR="00685C9F" w:rsidRPr="00A859E3">
        <w:rPr>
          <w:rFonts w:ascii="Sylfaen" w:hAnsi="Sylfaen"/>
          <w:color w:val="000000"/>
          <w:sz w:val="24"/>
          <w:szCs w:val="24"/>
        </w:rPr>
        <w:t>(</w:t>
      </w:r>
      <w:r w:rsidR="00B834A2" w:rsidRPr="00B834A2">
        <w:rPr>
          <w:rFonts w:ascii="Sylfaen" w:hAnsi="Sylfaen"/>
          <w:color w:val="000000"/>
          <w:sz w:val="24"/>
          <w:szCs w:val="24"/>
        </w:rPr>
        <w:t>1.3)</w:t>
      </w:r>
    </w:p>
    <w:p w14:paraId="6A2C6A05" w14:textId="77777777" w:rsidR="00B834A2" w:rsidRPr="00B834A2" w:rsidRDefault="00B834A2" w:rsidP="00F634DB">
      <w:pPr>
        <w:pStyle w:val="a0"/>
        <w:shd w:val="clear" w:color="auto" w:fill="auto"/>
        <w:tabs>
          <w:tab w:val="left" w:pos="4253"/>
        </w:tabs>
        <w:spacing w:after="160" w:line="341" w:lineRule="auto"/>
        <w:ind w:firstLine="567"/>
        <w:jc w:val="center"/>
        <w:rPr>
          <w:rFonts w:ascii="Sylfaen" w:hAnsi="Sylfaen" w:cs="Sylfaen"/>
          <w:sz w:val="24"/>
          <w:szCs w:val="24"/>
        </w:rPr>
      </w:pPr>
      <m:oMath>
        <m:r>
          <w:rPr>
            <w:rFonts w:ascii="Cambria Math" w:hAnsi="Cambria Math" w:cs="Sylfaen"/>
            <w:color w:val="000000"/>
            <w:sz w:val="24"/>
            <w:szCs w:val="24"/>
          </w:rPr>
          <m:t>f=n-1 ,</m:t>
        </m:r>
      </m:oMath>
      <w:r w:rsidR="000D219C" w:rsidRPr="002E52D1">
        <w:rPr>
          <w:rFonts w:ascii="Sylfaen" w:hAnsi="Sylfaen"/>
          <w:color w:val="000000"/>
          <w:sz w:val="24"/>
          <w:szCs w:val="24"/>
        </w:rPr>
        <w:tab/>
      </w:r>
      <w:r w:rsidR="00685C9F" w:rsidRPr="00A859E3">
        <w:rPr>
          <w:rFonts w:ascii="Sylfaen" w:hAnsi="Sylfaen"/>
          <w:color w:val="000000"/>
          <w:sz w:val="24"/>
          <w:szCs w:val="24"/>
        </w:rPr>
        <w:t>(</w:t>
      </w:r>
      <w:r w:rsidRPr="00B834A2">
        <w:rPr>
          <w:rFonts w:ascii="Sylfaen" w:hAnsi="Sylfaen"/>
          <w:color w:val="000000"/>
          <w:sz w:val="24"/>
          <w:szCs w:val="24"/>
        </w:rPr>
        <w:t>1.4)</w:t>
      </w:r>
    </w:p>
    <w:p w14:paraId="44EC26F8" w14:textId="77777777" w:rsidR="00B834A2" w:rsidRPr="00B834A2" w:rsidRDefault="00000000" w:rsidP="00F634DB">
      <w:pPr>
        <w:pStyle w:val="a0"/>
        <w:shd w:val="clear" w:color="auto" w:fill="auto"/>
        <w:tabs>
          <w:tab w:val="left" w:pos="4253"/>
        </w:tabs>
        <w:spacing w:after="160" w:line="341" w:lineRule="auto"/>
        <w:ind w:firstLine="567"/>
        <w:jc w:val="center"/>
        <w:rPr>
          <w:rFonts w:ascii="Sylfaen" w:hAnsi="Sylfaen" w:cs="Sylfaen"/>
          <w:sz w:val="24"/>
          <w:szCs w:val="24"/>
        </w:rPr>
      </w:pPr>
      <m:oMath>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m:t>
        </m:r>
        <m:f>
          <m:fPr>
            <m:ctrlPr>
              <w:rPr>
                <w:rFonts w:ascii="Cambria Math" w:hAnsi="Cambria Math" w:cs="Sylfaen"/>
                <w:i/>
                <w:sz w:val="24"/>
                <w:szCs w:val="24"/>
              </w:rPr>
            </m:ctrlPr>
          </m:fPr>
          <m:num>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n</m:t>
                </m:r>
              </m:sup>
              <m:e>
                <m:sSubSup>
                  <m:sSubSupPr>
                    <m:ctrlPr>
                      <w:rPr>
                        <w:rFonts w:ascii="Cambria Math" w:hAnsi="Cambria Math" w:cs="Sylfaen"/>
                        <w:i/>
                        <w:sz w:val="24"/>
                        <w:szCs w:val="24"/>
                      </w:rPr>
                    </m:ctrlPr>
                  </m:sSubSupPr>
                  <m:e>
                    <m:r>
                      <w:rPr>
                        <w:rFonts w:ascii="Cambria Math" w:hAnsi="Cambria Math" w:cs="Sylfaen"/>
                        <w:sz w:val="24"/>
                        <w:szCs w:val="24"/>
                      </w:rPr>
                      <m:t>d</m:t>
                    </m:r>
                  </m:e>
                  <m:sub>
                    <m:r>
                      <w:rPr>
                        <w:rFonts w:ascii="Cambria Math" w:hAnsi="Cambria Math" w:cs="Sylfaen"/>
                        <w:sz w:val="24"/>
                        <w:szCs w:val="24"/>
                      </w:rPr>
                      <m:t>i</m:t>
                    </m:r>
                  </m:sub>
                  <m:sup>
                    <m:r>
                      <w:rPr>
                        <w:rFonts w:ascii="Cambria Math" w:hAnsi="Cambria Math" w:cs="Sylfaen"/>
                        <w:sz w:val="24"/>
                        <w:szCs w:val="24"/>
                      </w:rPr>
                      <m:t>2</m:t>
                    </m:r>
                  </m:sup>
                </m:sSubSup>
              </m:e>
            </m:nary>
          </m:num>
          <m:den>
            <m:r>
              <w:rPr>
                <w:rFonts w:ascii="Cambria Math" w:hAnsi="Cambria Math" w:cs="Sylfaen"/>
                <w:sz w:val="24"/>
                <w:szCs w:val="24"/>
              </w:rPr>
              <m:t>f</m:t>
            </m:r>
          </m:den>
        </m:f>
        <m:r>
          <w:rPr>
            <w:rFonts w:ascii="Cambria Math" w:hAnsi="Cambria Math" w:cs="Sylfaen"/>
            <w:sz w:val="24"/>
            <w:szCs w:val="24"/>
          </w:rPr>
          <m:t>=</m:t>
        </m:r>
        <m:f>
          <m:fPr>
            <m:ctrlPr>
              <w:rPr>
                <w:rFonts w:ascii="Cambria Math" w:hAnsi="Cambria Math" w:cs="Sylfaen"/>
                <w:i/>
                <w:sz w:val="24"/>
                <w:szCs w:val="24"/>
              </w:rPr>
            </m:ctrlPr>
          </m:fPr>
          <m:num>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n</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r>
                  <w:rPr>
                    <w:rFonts w:ascii="Cambria Math" w:hAnsi="Cambria Math" w:cs="Sylfaen"/>
                    <w:sz w:val="24"/>
                    <w:szCs w:val="24"/>
                  </w:rPr>
                  <m:t>-n*</m:t>
                </m:r>
                <m:sSup>
                  <m:sSupPr>
                    <m:ctrlPr>
                      <w:rPr>
                        <w:rFonts w:ascii="Cambria Math" w:hAnsi="Cambria Math" w:cs="Sylfaen"/>
                        <w:i/>
                        <w:sz w:val="24"/>
                        <w:szCs w:val="24"/>
                      </w:rPr>
                    </m:ctrlPr>
                  </m:sSupPr>
                  <m:e>
                    <m:r>
                      <w:rPr>
                        <w:rFonts w:ascii="Cambria Math" w:hAnsi="Cambria Math" w:cs="Sylfaen"/>
                        <w:sz w:val="24"/>
                        <w:szCs w:val="24"/>
                      </w:rPr>
                      <m:t>¯x</m:t>
                    </m:r>
                  </m:e>
                  <m:sup>
                    <m:r>
                      <w:rPr>
                        <w:rFonts w:ascii="Cambria Math" w:hAnsi="Cambria Math" w:cs="Sylfaen"/>
                        <w:sz w:val="24"/>
                        <w:szCs w:val="24"/>
                      </w:rPr>
                      <m:t>2</m:t>
                    </m:r>
                  </m:sup>
                </m:sSup>
              </m:e>
            </m:nary>
          </m:num>
          <m:den>
            <m:r>
              <w:rPr>
                <w:rFonts w:ascii="Cambria Math" w:hAnsi="Cambria Math" w:cs="Sylfaen"/>
                <w:sz w:val="24"/>
                <w:szCs w:val="24"/>
              </w:rPr>
              <m:t>f</m:t>
            </m:r>
          </m:den>
        </m:f>
        <m:r>
          <w:rPr>
            <w:rFonts w:ascii="Cambria Math" w:hAnsi="Cambria Math" w:cs="Sylfaen"/>
            <w:sz w:val="24"/>
            <w:szCs w:val="24"/>
          </w:rPr>
          <m:t>,</m:t>
        </m:r>
      </m:oMath>
      <w:r w:rsidR="00B834A2" w:rsidRPr="00B834A2">
        <w:rPr>
          <w:rFonts w:ascii="Sylfaen" w:hAnsi="Sylfaen"/>
          <w:sz w:val="24"/>
          <w:szCs w:val="24"/>
        </w:rPr>
        <w:t xml:space="preserve"> </w:t>
      </w:r>
      <w:r w:rsidR="000D219C" w:rsidRPr="002E52D1">
        <w:rPr>
          <w:rFonts w:ascii="Sylfaen" w:hAnsi="Sylfaen"/>
          <w:sz w:val="24"/>
          <w:szCs w:val="24"/>
        </w:rPr>
        <w:tab/>
      </w:r>
      <w:r w:rsidR="00B834A2" w:rsidRPr="00B834A2">
        <w:rPr>
          <w:rFonts w:ascii="Sylfaen" w:hAnsi="Sylfaen"/>
          <w:color w:val="000000"/>
          <w:sz w:val="24"/>
          <w:szCs w:val="24"/>
        </w:rPr>
        <w:t>(1.5)</w:t>
      </w:r>
    </w:p>
    <w:p w14:paraId="329FDA2D" w14:textId="77777777" w:rsidR="00B834A2" w:rsidRPr="00B834A2" w:rsidRDefault="00B834A2" w:rsidP="00F634DB">
      <w:pPr>
        <w:pStyle w:val="a0"/>
        <w:shd w:val="clear" w:color="auto" w:fill="auto"/>
        <w:tabs>
          <w:tab w:val="left" w:pos="4253"/>
        </w:tabs>
        <w:spacing w:after="160" w:line="341" w:lineRule="auto"/>
        <w:ind w:firstLine="567"/>
        <w:jc w:val="center"/>
        <w:rPr>
          <w:rFonts w:ascii="Sylfaen" w:hAnsi="Sylfaen" w:cs="Sylfaen"/>
          <w:sz w:val="24"/>
          <w:szCs w:val="24"/>
        </w:rPr>
      </w:pPr>
      <m:oMath>
        <m:r>
          <w:rPr>
            <w:rFonts w:ascii="Cambria Math" w:hAnsi="Cambria Math" w:cs="Sylfaen"/>
            <w:sz w:val="24"/>
            <w:szCs w:val="24"/>
          </w:rPr>
          <m:t>s=</m:t>
        </m:r>
        <m:rad>
          <m:radPr>
            <m:degHide m:val="1"/>
            <m:ctrlPr>
              <w:rPr>
                <w:rFonts w:ascii="Cambria Math" w:hAnsi="Cambria Math" w:cs="Sylfaen"/>
                <w:i/>
                <w:sz w:val="24"/>
                <w:szCs w:val="24"/>
              </w:rPr>
            </m:ctrlPr>
          </m:radPr>
          <m:deg/>
          <m:e>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e>
        </m:rad>
      </m:oMath>
      <w:r w:rsidRPr="00B834A2">
        <w:rPr>
          <w:rFonts w:ascii="Sylfaen" w:hAnsi="Sylfaen"/>
          <w:sz w:val="24"/>
          <w:szCs w:val="24"/>
        </w:rPr>
        <w:t xml:space="preserve"> </w:t>
      </w:r>
      <w:r w:rsidR="000D219C" w:rsidRPr="002E52D1">
        <w:rPr>
          <w:rFonts w:ascii="Sylfaen" w:hAnsi="Sylfaen"/>
          <w:sz w:val="24"/>
          <w:szCs w:val="24"/>
        </w:rPr>
        <w:tab/>
      </w:r>
      <w:r w:rsidRPr="00B834A2">
        <w:rPr>
          <w:rFonts w:ascii="Sylfaen" w:hAnsi="Sylfaen"/>
          <w:color w:val="000000"/>
          <w:sz w:val="24"/>
          <w:szCs w:val="24"/>
        </w:rPr>
        <w:t>(1.6)</w:t>
      </w:r>
    </w:p>
    <w:p w14:paraId="3981C145" w14:textId="77777777" w:rsidR="00B834A2" w:rsidRPr="00B834A2" w:rsidRDefault="00000000" w:rsidP="00F634DB">
      <w:pPr>
        <w:pStyle w:val="a0"/>
        <w:shd w:val="clear" w:color="auto" w:fill="auto"/>
        <w:spacing w:after="160" w:line="341"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¯x</m:t>
            </m:r>
          </m:sub>
        </m:sSub>
      </m:oMath>
      <w:r w:rsidR="00B834A2" w:rsidRPr="00B834A2">
        <w:rPr>
          <w:rFonts w:ascii="Sylfaen" w:hAnsi="Sylfaen"/>
          <w:color w:val="000000"/>
          <w:sz w:val="24"/>
          <w:szCs w:val="24"/>
        </w:rPr>
        <w:t xml:space="preserve"> միջին արդյունքի ստանդարտ շեղումն հաշվարկում են ըստ հետ</w:t>
      </w:r>
      <w:r w:rsidR="00B834A2">
        <w:rPr>
          <w:rFonts w:ascii="Sylfaen" w:hAnsi="Sylfaen"/>
          <w:color w:val="000000"/>
          <w:sz w:val="24"/>
          <w:szCs w:val="24"/>
        </w:rPr>
        <w:t>եւ</w:t>
      </w:r>
      <w:r w:rsidR="00B834A2" w:rsidRPr="00B834A2">
        <w:rPr>
          <w:rFonts w:ascii="Sylfaen" w:hAnsi="Sylfaen"/>
          <w:color w:val="000000"/>
          <w:sz w:val="24"/>
          <w:szCs w:val="24"/>
        </w:rPr>
        <w:t>յալ հավասարման.</w:t>
      </w:r>
    </w:p>
    <w:p w14:paraId="41E05480" w14:textId="77777777" w:rsidR="00B834A2" w:rsidRPr="00B834A2" w:rsidRDefault="00000000" w:rsidP="00F634DB">
      <w:pPr>
        <w:pStyle w:val="a0"/>
        <w:shd w:val="clear" w:color="auto" w:fill="auto"/>
        <w:tabs>
          <w:tab w:val="left" w:pos="4253"/>
        </w:tabs>
        <w:spacing w:after="160" w:line="341"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s</m:t>
            </m:r>
          </m:num>
          <m:den>
            <m:rad>
              <m:radPr>
                <m:degHide m:val="1"/>
                <m:ctrlPr>
                  <w:rPr>
                    <w:rFonts w:ascii="Cambria Math" w:hAnsi="Cambria Math" w:cs="Sylfaen"/>
                    <w:i/>
                    <w:sz w:val="24"/>
                    <w:szCs w:val="24"/>
                  </w:rPr>
                </m:ctrlPr>
              </m:radPr>
              <m:deg/>
              <m:e>
                <m:r>
                  <w:rPr>
                    <w:rFonts w:ascii="Cambria Math" w:hAnsi="Cambria Math" w:cs="Sylfaen"/>
                    <w:sz w:val="24"/>
                    <w:szCs w:val="24"/>
                  </w:rPr>
                  <m:t>n</m:t>
                </m:r>
              </m:e>
            </m:rad>
          </m:den>
        </m:f>
      </m:oMath>
      <w:r w:rsidR="00B834A2">
        <w:rPr>
          <w:rFonts w:ascii="Sylfaen" w:hAnsi="Sylfaen"/>
          <w:sz w:val="24"/>
          <w:szCs w:val="24"/>
        </w:rPr>
        <w:t xml:space="preserve"> </w:t>
      </w:r>
      <w:r w:rsidR="000D219C" w:rsidRPr="000D219C">
        <w:rPr>
          <w:rFonts w:ascii="Sylfaen" w:hAnsi="Sylfaen"/>
          <w:sz w:val="24"/>
          <w:szCs w:val="24"/>
        </w:rPr>
        <w:tab/>
      </w:r>
      <w:r w:rsidR="00B834A2" w:rsidRPr="00B834A2">
        <w:rPr>
          <w:rFonts w:ascii="Sylfaen" w:hAnsi="Sylfaen"/>
          <w:color w:val="000000"/>
          <w:sz w:val="24"/>
          <w:szCs w:val="24"/>
        </w:rPr>
        <w:t>(1.7)</w:t>
      </w:r>
    </w:p>
    <w:p w14:paraId="56168392" w14:textId="77777777" w:rsidR="00B834A2" w:rsidRPr="00B834A2" w:rsidRDefault="00B834A2" w:rsidP="00F634DB">
      <w:pPr>
        <w:pStyle w:val="a0"/>
        <w:shd w:val="clear" w:color="auto" w:fill="auto"/>
        <w:spacing w:after="160" w:line="341" w:lineRule="auto"/>
        <w:ind w:firstLine="567"/>
        <w:jc w:val="both"/>
        <w:rPr>
          <w:rFonts w:ascii="Sylfaen" w:hAnsi="Sylfaen"/>
          <w:color w:val="000000"/>
          <w:sz w:val="24"/>
          <w:szCs w:val="24"/>
        </w:rPr>
      </w:pPr>
      <w:r w:rsidRPr="00B834A2">
        <w:rPr>
          <w:rFonts w:ascii="Sylfaen" w:hAnsi="Sylfaen"/>
          <w:color w:val="000000"/>
          <w:sz w:val="24"/>
          <w:szCs w:val="24"/>
        </w:rPr>
        <w:t>Դեղամիջոցների փորձարկումների արդյունքները մշակելիս շատ դեպքերում նպատակահարմար է օգտագործել հարաբերական (¯х-ի նկատմամբ) մեծություններ, օրինակ՝ s</w:t>
      </w:r>
      <w:r w:rsidRPr="00B834A2">
        <w:rPr>
          <w:rFonts w:ascii="Sylfaen" w:eastAsiaTheme="minorHAnsi" w:hAnsi="Sylfaen" w:cs="TimesNewRomanCyr-NormalItalic"/>
          <w:i/>
          <w:iCs/>
          <w:sz w:val="24"/>
          <w:szCs w:val="24"/>
          <w:lang w:bidi="ar-SA"/>
        </w:rPr>
        <w:t>r</w:t>
      </w:r>
      <w:r w:rsidRPr="00B834A2">
        <w:rPr>
          <w:rFonts w:ascii="Sylfaen" w:hAnsi="Sylfaen"/>
          <w:color w:val="000000"/>
          <w:sz w:val="24"/>
          <w:szCs w:val="24"/>
        </w:rPr>
        <w:t xml:space="preserve"> հարաբերական ստանդարտ շեղումը,</w:t>
      </w:r>
      <w:r>
        <w:rPr>
          <w:rFonts w:ascii="Sylfaen" w:hAnsi="Sylfaen"/>
          <w:color w:val="000000"/>
          <w:sz w:val="24"/>
          <w:szCs w:val="24"/>
        </w:rPr>
        <w:t xml:space="preserve"> </w:t>
      </w:r>
      <m:oMath>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r</m:t>
            </m:r>
          </m:sub>
          <m:sup>
            <m:r>
              <m:rPr>
                <m:sty m:val="p"/>
              </m:rPr>
              <w:rPr>
                <w:rFonts w:ascii="Cambria Math" w:hAnsi="Cambria Math"/>
                <w:color w:val="000000"/>
                <w:sz w:val="24"/>
                <w:szCs w:val="24"/>
              </w:rPr>
              <m:t>2</m:t>
            </m:r>
          </m:sup>
        </m:sSubSup>
      </m:oMath>
      <w:r w:rsidRPr="00B834A2">
        <w:rPr>
          <w:rFonts w:ascii="Sylfaen" w:hAnsi="Sylfaen"/>
          <w:color w:val="000000"/>
          <w:sz w:val="24"/>
          <w:szCs w:val="24"/>
        </w:rPr>
        <w:t xml:space="preserve"> հարաբերական դիսպերսիան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eastAsiaTheme="minorHAnsi" w:hAnsi="Sylfaen" w:cs="TimesNewRomanCyr-NormalItalic"/>
          <w:i/>
          <w:iCs/>
          <w:sz w:val="24"/>
          <w:szCs w:val="24"/>
          <w:lang w:bidi="ar-SA"/>
        </w:rPr>
        <w:t xml:space="preserve">sx </w:t>
      </w:r>
      <w:r w:rsidRPr="00B834A2">
        <w:rPr>
          <w:rFonts w:ascii="Sylfaen" w:eastAsiaTheme="minorHAnsi" w:hAnsi="Sylfaen" w:cs="TimesNewRomanCyr"/>
          <w:sz w:val="24"/>
          <w:szCs w:val="24"/>
          <w:lang w:bidi="ar-SA"/>
        </w:rPr>
        <w:t>,</w:t>
      </w:r>
      <w:r w:rsidRPr="00B834A2">
        <w:rPr>
          <w:rFonts w:ascii="Sylfaen" w:eastAsiaTheme="minorHAnsi" w:hAnsi="Sylfaen" w:cs="TimesNewRomanCyr-NormalItalic"/>
          <w:i/>
          <w:iCs/>
          <w:sz w:val="24"/>
          <w:szCs w:val="24"/>
          <w:lang w:bidi="ar-SA"/>
        </w:rPr>
        <w:t>r</w:t>
      </w:r>
      <w:r w:rsidRPr="00B834A2">
        <w:rPr>
          <w:rFonts w:ascii="Sylfaen" w:eastAsiaTheme="minorHAnsi" w:hAnsi="Sylfaen" w:cs="TimesNewRomanCyr"/>
          <w:sz w:val="24"/>
          <w:szCs w:val="24"/>
          <w:lang w:bidi="ar-SA"/>
        </w:rPr>
        <w:t xml:space="preserve">. </w:t>
      </w:r>
      <w:r w:rsidRPr="00B834A2">
        <w:rPr>
          <w:rFonts w:ascii="Sylfaen" w:hAnsi="Sylfaen"/>
          <w:color w:val="000000"/>
          <w:sz w:val="24"/>
          <w:szCs w:val="24"/>
        </w:rPr>
        <w:t>միջին արդյունքի հարաբերական ստանդարտ շեղում</w:t>
      </w:r>
      <m:oMath>
        <m:r>
          <m:rPr>
            <m:sty m:val="p"/>
          </m:rPr>
          <w:rPr>
            <w:rFonts w:ascii="Sylfaen" w:hAnsi="Sylfaen" w:cs="Sylfaen"/>
            <w:color w:val="000000"/>
            <w:sz w:val="24"/>
            <w:szCs w:val="24"/>
          </w:rPr>
          <m:t>ը</m:t>
        </m:r>
        <m:r>
          <m:rPr>
            <m:sty m:val="p"/>
          </m:rPr>
          <w:rPr>
            <w:rFonts w:ascii="Cambria Math" w:hAnsi="Cambria Math" w:cs="Cambria Math"/>
            <w:color w:val="000000"/>
            <w:sz w:val="24"/>
            <w:szCs w:val="24"/>
          </w:rPr>
          <m:t>:</m:t>
        </m:r>
      </m:oMath>
      <w:r w:rsidRPr="00B834A2">
        <w:rPr>
          <w:rFonts w:ascii="Sylfaen" w:hAnsi="Sylfaen"/>
          <w:color w:val="000000"/>
          <w:sz w:val="24"/>
          <w:szCs w:val="24"/>
        </w:rPr>
        <w:t xml:space="preserve"> </w:t>
      </w:r>
      <w:r w:rsidRPr="00B834A2">
        <w:rPr>
          <w:rFonts w:ascii="Sylfaen" w:hAnsi="Sylfaen"/>
          <w:color w:val="000000"/>
          <w:sz w:val="24"/>
          <w:szCs w:val="24"/>
        </w:rPr>
        <w:lastRenderedPageBreak/>
        <w:t>Դրանք հաշվարկում են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 xml:space="preserve">երով. </w:t>
      </w:r>
    </w:p>
    <w:p w14:paraId="38C26669"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r</m:t>
            </m:r>
          </m:sub>
          <m:sup>
            <m:r>
              <w:rPr>
                <w:rFonts w:ascii="Cambria Math" w:hAnsi="Cambria Math" w:cs="Sylfaen"/>
                <w:color w:val="000000"/>
                <w:sz w:val="24"/>
                <w:szCs w:val="24"/>
              </w:rPr>
              <m:t>2</m:t>
            </m:r>
          </m:sup>
        </m:sSubSup>
      </m:oMath>
      <w:r w:rsidR="00B834A2" w:rsidRPr="00B834A2">
        <w:rPr>
          <w:rFonts w:ascii="Sylfaen" w:hAnsi="Sylfaen"/>
          <w:color w:val="000000"/>
          <w:sz w:val="24"/>
          <w:szCs w:val="24"/>
        </w:rPr>
        <w:t>=</w:t>
      </w:r>
      <m:oMath>
        <m:f>
          <m:fPr>
            <m:ctrlPr>
              <w:rPr>
                <w:rFonts w:ascii="Cambria Math" w:hAnsi="Cambria Math" w:cs="Sylfaen"/>
                <w:i/>
                <w:color w:val="000000"/>
                <w:sz w:val="24"/>
                <w:szCs w:val="24"/>
              </w:rPr>
            </m:ctrlPr>
          </m:fPr>
          <m:num>
            <m:sSup>
              <m:sSupPr>
                <m:ctrlPr>
                  <w:rPr>
                    <w:rFonts w:ascii="Cambria Math" w:hAnsi="Cambria Math" w:cs="Sylfaen"/>
                    <w:i/>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num>
          <m:den>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den>
        </m:f>
        <m:r>
          <w:rPr>
            <w:rFonts w:ascii="Cambria Math" w:hAnsi="Cambria Math" w:cs="Sylfaen"/>
            <w:color w:val="000000"/>
            <w:sz w:val="24"/>
            <w:szCs w:val="24"/>
          </w:rPr>
          <m:t xml:space="preserve"> ,</m:t>
        </m:r>
      </m:oMath>
      <w:r w:rsidR="000D219C" w:rsidRPr="000D219C">
        <w:rPr>
          <w:rFonts w:ascii="Sylfaen" w:hAnsi="Sylfaen"/>
          <w:color w:val="000000"/>
          <w:sz w:val="24"/>
          <w:szCs w:val="24"/>
        </w:rPr>
        <w:tab/>
      </w:r>
      <w:r w:rsidR="00B834A2" w:rsidRPr="00B834A2">
        <w:rPr>
          <w:rFonts w:ascii="Sylfaen" w:hAnsi="Sylfaen"/>
          <w:color w:val="000000"/>
          <w:sz w:val="24"/>
          <w:szCs w:val="24"/>
        </w:rPr>
        <w:t>1.5ա)</w:t>
      </w:r>
    </w:p>
    <w:p w14:paraId="14DF92FA"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r</m:t>
            </m:r>
          </m:sub>
        </m:sSub>
        <m:r>
          <w:rPr>
            <w:rFonts w:ascii="Cambria Math" w:hAnsi="Cambria Math" w:cs="Sylfaen"/>
            <w:color w:val="000000"/>
            <w:sz w:val="24"/>
            <w:szCs w:val="24"/>
          </w:rPr>
          <m:t>=</m:t>
        </m:r>
        <m:f>
          <m:fPr>
            <m:ctrlPr>
              <w:rPr>
                <w:rFonts w:ascii="Cambria Math" w:hAnsi="Cambria Math" w:cs="Sylfaen"/>
                <w:i/>
                <w:color w:val="000000"/>
                <w:sz w:val="24"/>
                <w:szCs w:val="24"/>
              </w:rPr>
            </m:ctrlPr>
          </m:fPr>
          <m:num>
            <m:r>
              <w:rPr>
                <w:rFonts w:ascii="Cambria Math" w:hAnsi="Cambria Math" w:cs="Sylfaen"/>
                <w:color w:val="000000"/>
                <w:sz w:val="24"/>
                <w:szCs w:val="24"/>
              </w:rPr>
              <m:t>s</m:t>
            </m:r>
          </m:num>
          <m:den>
            <m:r>
              <w:rPr>
                <w:rFonts w:ascii="Cambria Math" w:hAnsi="Cambria Math" w:cs="Sylfaen"/>
                <w:color w:val="000000"/>
                <w:sz w:val="24"/>
                <w:szCs w:val="24"/>
              </w:rPr>
              <m:t>¯x</m:t>
            </m:r>
          </m:den>
        </m:f>
        <m:r>
          <w:rPr>
            <w:rFonts w:ascii="Cambria Math" w:hAnsi="Cambria Math" w:cs="Sylfaen"/>
            <w:color w:val="000000"/>
            <w:sz w:val="24"/>
            <w:szCs w:val="24"/>
          </w:rPr>
          <m:t>,</m:t>
        </m:r>
      </m:oMath>
      <w:r w:rsidR="000D219C" w:rsidRPr="000D219C">
        <w:rPr>
          <w:rFonts w:ascii="Sylfaen" w:hAnsi="Sylfaen"/>
          <w:color w:val="000000"/>
          <w:sz w:val="24"/>
          <w:szCs w:val="24"/>
        </w:rPr>
        <w:tab/>
      </w:r>
      <w:r w:rsidR="000D219C" w:rsidRPr="00B834A2">
        <w:rPr>
          <w:rFonts w:ascii="Sylfaen" w:hAnsi="Sylfaen"/>
          <w:color w:val="000000"/>
          <w:sz w:val="24"/>
          <w:szCs w:val="24"/>
        </w:rPr>
        <w:t>(</w:t>
      </w:r>
      <w:r w:rsidR="00B834A2" w:rsidRPr="00B834A2">
        <w:rPr>
          <w:rFonts w:ascii="Sylfaen" w:hAnsi="Sylfaen"/>
          <w:color w:val="000000"/>
          <w:sz w:val="24"/>
          <w:szCs w:val="24"/>
        </w:rPr>
        <w:t>1.6ա)</w:t>
      </w:r>
    </w:p>
    <w:p w14:paraId="60164993"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,r</m:t>
            </m:r>
          </m:sub>
        </m:sSub>
        <m:r>
          <w:rPr>
            <w:rFonts w:ascii="Cambria Math" w:hAnsi="Cambria Math" w:cs="Sylfaen"/>
            <w:color w:val="000000"/>
            <w:sz w:val="24"/>
            <w:szCs w:val="24"/>
          </w:rPr>
          <m:t>=</m:t>
        </m:r>
        <m:f>
          <m:fPr>
            <m:ctrlPr>
              <w:rPr>
                <w:rFonts w:ascii="Cambria Math" w:hAnsi="Cambria Math" w:cs="Sylfaen"/>
                <w:i/>
                <w:color w:val="000000"/>
                <w:sz w:val="24"/>
                <w:szCs w:val="24"/>
              </w:rPr>
            </m:ctrlPr>
          </m:fPr>
          <m:num>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r</m:t>
                </m:r>
              </m:sub>
            </m:sSub>
          </m:num>
          <m:den>
            <m:rad>
              <m:radPr>
                <m:degHide m:val="1"/>
                <m:ctrlPr>
                  <w:rPr>
                    <w:rFonts w:ascii="Cambria Math" w:hAnsi="Cambria Math" w:cs="Sylfaen"/>
                    <w:i/>
                    <w:color w:val="000000"/>
                    <w:sz w:val="24"/>
                    <w:szCs w:val="24"/>
                  </w:rPr>
                </m:ctrlPr>
              </m:radPr>
              <m:deg/>
              <m:e>
                <m:r>
                  <w:rPr>
                    <w:rFonts w:ascii="Cambria Math" w:hAnsi="Cambria Math" w:cs="Sylfaen"/>
                    <w:color w:val="000000"/>
                    <w:sz w:val="24"/>
                    <w:szCs w:val="24"/>
                  </w:rPr>
                  <m:t>n</m:t>
                </m:r>
              </m:e>
            </m:rad>
          </m:den>
        </m:f>
        <m:r>
          <w:rPr>
            <w:rFonts w:ascii="Cambria Math" w:hAnsi="Cambria Math" w:cs="Sylfaen"/>
            <w:color w:val="000000"/>
            <w:sz w:val="24"/>
            <w:szCs w:val="24"/>
          </w:rPr>
          <m:t>.</m:t>
        </m:r>
      </m:oMath>
      <w:r w:rsidR="000D219C" w:rsidRPr="000D219C">
        <w:rPr>
          <w:rFonts w:ascii="Sylfaen" w:hAnsi="Sylfaen"/>
          <w:color w:val="000000"/>
          <w:sz w:val="24"/>
          <w:szCs w:val="24"/>
        </w:rPr>
        <w:tab/>
      </w:r>
      <w:r w:rsidR="000D219C" w:rsidRPr="00B834A2">
        <w:rPr>
          <w:rFonts w:ascii="Sylfaen" w:hAnsi="Sylfaen"/>
          <w:color w:val="000000"/>
          <w:sz w:val="24"/>
          <w:szCs w:val="24"/>
        </w:rPr>
        <w:t>(</w:t>
      </w:r>
      <w:r w:rsidR="00B834A2" w:rsidRPr="00B834A2">
        <w:rPr>
          <w:rFonts w:ascii="Sylfaen" w:hAnsi="Sylfaen"/>
          <w:color w:val="000000"/>
          <w:sz w:val="24"/>
          <w:szCs w:val="24"/>
        </w:rPr>
        <w:t>1.7ա)</w:t>
      </w:r>
    </w:p>
    <w:p w14:paraId="5211748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Նշված հարաբերական մեծությունները, պայմանավորված լուծվող խնդրով, կարող են արտահայտվել ¯х -ի նկատմամբ տոկոսներով: Այդ դեպքում դրանք հաճախ նշանակում են համապատասխանաբար</w:t>
      </w:r>
      <w:r w:rsidRPr="00B834A2">
        <w:rPr>
          <w:rFonts w:ascii="Sylfaen" w:hAnsi="Sylfaen"/>
          <w:sz w:val="24"/>
          <w:szCs w:val="24"/>
        </w:rPr>
        <w:t xml:space="preserve"> </w:t>
      </w:r>
      <w:r w:rsidRPr="00B834A2">
        <w:rPr>
          <w:rFonts w:ascii="Sylfaen" w:hAnsi="Sylfaen"/>
          <w:i/>
          <w:color w:val="000000"/>
          <w:sz w:val="24"/>
          <w:szCs w:val="24"/>
        </w:rPr>
        <w:t>RSD</w:t>
      </w:r>
      <w:r>
        <w:rPr>
          <w:rFonts w:ascii="Sylfaen" w:hAnsi="Sylfaen"/>
          <w:i/>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olor w:val="000000"/>
                <w:sz w:val="24"/>
                <w:szCs w:val="24"/>
              </w:rPr>
            </m:ctrlPr>
          </m:sSubPr>
          <m:e>
            <m:r>
              <m:rPr>
                <m:sty m:val="p"/>
              </m:rPr>
              <w:rPr>
                <w:rFonts w:ascii="Cambria Math" w:hAnsi="Cambria Math"/>
                <w:color w:val="000000"/>
                <w:sz w:val="24"/>
                <w:szCs w:val="24"/>
              </w:rPr>
              <m:t>RSD</m:t>
            </m:r>
          </m:e>
          <m:sub>
            <m:r>
              <m:rPr>
                <m:sty m:val="p"/>
              </m:rPr>
              <w:rPr>
                <w:rFonts w:ascii="Cambria Math" w:hAnsi="Cambria Math"/>
                <w:color w:val="000000"/>
                <w:sz w:val="24"/>
                <w:szCs w:val="24"/>
              </w:rPr>
              <m:t>¯x</m:t>
            </m:r>
          </m:sub>
        </m:sSub>
        <m:r>
          <m:rPr>
            <m:sty m:val="p"/>
          </m:rPr>
          <w:rPr>
            <w:rFonts w:ascii="Cambria Math" w:hAnsi="Cambria Math"/>
            <w:color w:val="000000"/>
            <w:sz w:val="24"/>
            <w:szCs w:val="24"/>
          </w:rPr>
          <m:t>-</m:t>
        </m:r>
        <m:r>
          <m:rPr>
            <m:sty m:val="p"/>
          </m:rPr>
          <w:rPr>
            <w:rFonts w:ascii="Sylfaen" w:hAnsi="Sylfaen" w:cs="Sylfaen"/>
            <w:color w:val="000000"/>
            <w:sz w:val="24"/>
            <w:szCs w:val="24"/>
          </w:rPr>
          <m:t>ով</m:t>
        </m:r>
      </m:oMath>
      <w:r w:rsidRPr="00B834A2">
        <w:rPr>
          <w:rFonts w:ascii="Sylfaen" w:hAnsi="Sylfaen"/>
          <w:sz w:val="24"/>
          <w:szCs w:val="24"/>
        </w:rPr>
        <w:t>.</w:t>
      </w:r>
    </w:p>
    <w:p w14:paraId="02B13180" w14:textId="77777777" w:rsidR="00B834A2" w:rsidRPr="00B834A2" w:rsidRDefault="00B834A2" w:rsidP="000D219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RSD=</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r</m:t>
            </m:r>
          </m:sub>
        </m:sSub>
        <m:r>
          <w:rPr>
            <w:rFonts w:ascii="Cambria Math" w:hAnsi="Cambria Math" w:cs="Sylfaen"/>
            <w:color w:val="000000"/>
            <w:sz w:val="24"/>
            <w:szCs w:val="24"/>
          </w:rPr>
          <m:t>*100%</m:t>
        </m:r>
      </m:oMath>
      <w:r w:rsidRPr="00B834A2">
        <w:rPr>
          <w:rFonts w:ascii="Sylfaen" w:hAnsi="Sylfaen"/>
          <w:color w:val="000000"/>
          <w:sz w:val="24"/>
          <w:szCs w:val="24"/>
        </w:rPr>
        <w:t>,</w:t>
      </w:r>
      <w:r w:rsidR="000D219C" w:rsidRPr="000D219C">
        <w:rPr>
          <w:rFonts w:ascii="Sylfaen" w:hAnsi="Sylfaen"/>
          <w:sz w:val="24"/>
          <w:szCs w:val="24"/>
        </w:rPr>
        <w:tab/>
      </w:r>
      <w:r w:rsidRPr="00B834A2">
        <w:rPr>
          <w:rFonts w:ascii="Sylfaen" w:hAnsi="Sylfaen"/>
          <w:color w:val="000000"/>
          <w:sz w:val="24"/>
          <w:szCs w:val="24"/>
        </w:rPr>
        <w:t>(1.6բ)</w:t>
      </w:r>
    </w:p>
    <w:p w14:paraId="62C49AAB"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bCs/>
                <w:i/>
                <w:color w:val="000000"/>
                <w:sz w:val="24"/>
                <w:szCs w:val="24"/>
              </w:rPr>
            </m:ctrlPr>
          </m:sSubPr>
          <m:e>
            <m:r>
              <w:rPr>
                <w:rFonts w:ascii="Cambria Math" w:hAnsi="Cambria Math" w:cs="Sylfaen"/>
                <w:color w:val="000000"/>
                <w:sz w:val="24"/>
                <w:szCs w:val="24"/>
              </w:rPr>
              <m:t>RDS</m:t>
            </m:r>
          </m:e>
          <m:sub>
            <m:r>
              <w:rPr>
                <w:rFonts w:ascii="Cambria Math" w:hAnsi="Cambria Math" w:cs="Sylfaen"/>
                <w:color w:val="000000"/>
                <w:sz w:val="24"/>
                <w:szCs w:val="24"/>
              </w:rPr>
              <m:t>¯x</m:t>
            </m:r>
          </m:sub>
        </m:sSub>
        <m:r>
          <w:rPr>
            <w:rFonts w:ascii="Cambria Math" w:hAnsi="Cambria Math" w:cs="Sylfaen"/>
            <w:color w:val="000000"/>
            <w:sz w:val="24"/>
            <w:szCs w:val="24"/>
          </w:rPr>
          <m:t>=</m:t>
        </m:r>
        <m:sSub>
          <m:sSubPr>
            <m:ctrlPr>
              <w:rPr>
                <w:rFonts w:ascii="Cambria Math" w:hAnsi="Cambria Math" w:cs="Sylfaen"/>
                <w:bCs/>
                <w:i/>
                <w:color w:val="000000"/>
                <w:sz w:val="24"/>
                <w:szCs w:val="24"/>
              </w:rPr>
            </m:ctrlPr>
          </m:sSubPr>
          <m:e>
            <m:r>
              <w:rPr>
                <w:rFonts w:ascii="Cambria Math" w:hAnsi="Cambria Math" w:cs="Sylfaen"/>
                <w:color w:val="000000"/>
                <w:sz w:val="24"/>
                <w:szCs w:val="24"/>
              </w:rPr>
              <m:t>s</m:t>
            </m:r>
          </m:e>
          <m:sub>
            <m:bar>
              <m:barPr>
                <m:pos m:val="top"/>
                <m:ctrlPr>
                  <w:rPr>
                    <w:rFonts w:ascii="Cambria Math" w:hAnsi="Cambria Math" w:cs="Sylfaen"/>
                    <w:bCs/>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r</m:t>
            </m:r>
          </m:sub>
        </m:sSub>
        <m:r>
          <w:rPr>
            <w:rFonts w:ascii="Cambria Math" w:hAnsi="Cambria Math" w:cs="Sylfaen"/>
            <w:color w:val="000000"/>
            <w:sz w:val="24"/>
            <w:szCs w:val="24"/>
          </w:rPr>
          <m:t>*100%</m:t>
        </m:r>
      </m:oMath>
      <w:r w:rsidR="000D219C" w:rsidRPr="002E52D1">
        <w:rPr>
          <w:rFonts w:ascii="Sylfaen" w:hAnsi="Sylfaen"/>
          <w:b/>
          <w:color w:val="000000"/>
          <w:sz w:val="24"/>
          <w:szCs w:val="24"/>
        </w:rPr>
        <w:tab/>
      </w:r>
      <w:r w:rsidR="000D219C" w:rsidRPr="00B834A2">
        <w:rPr>
          <w:rFonts w:ascii="Sylfaen" w:hAnsi="Sylfaen"/>
          <w:color w:val="000000"/>
          <w:sz w:val="24"/>
          <w:szCs w:val="24"/>
        </w:rPr>
        <w:t>(</w:t>
      </w:r>
      <w:r w:rsidR="00B834A2" w:rsidRPr="00B834A2">
        <w:rPr>
          <w:rFonts w:ascii="Sylfaen" w:hAnsi="Sylfaen"/>
          <w:color w:val="000000"/>
          <w:sz w:val="24"/>
          <w:szCs w:val="24"/>
        </w:rPr>
        <w:t>1.7բ)</w:t>
      </w:r>
    </w:p>
    <w:p w14:paraId="2B6E818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Տոկոսներով արտահայտված միջին արդյունքի հարաբերական ստանդարտ շեղումը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RSD</m:t>
            </m:r>
          </m:e>
          <m:sub>
            <m:r>
              <w:rPr>
                <w:rFonts w:ascii="Cambria Math" w:hAnsi="Cambria Math" w:cs="Sylfaen"/>
                <w:color w:val="000000"/>
                <w:sz w:val="24"/>
                <w:szCs w:val="24"/>
              </w:rPr>
              <m:t>¯x</m:t>
            </m:r>
          </m:sub>
        </m:sSub>
      </m:oMath>
      <w:r w:rsidRPr="00B834A2">
        <w:rPr>
          <w:rFonts w:ascii="Sylfaen" w:hAnsi="Sylfaen"/>
          <w:color w:val="000000"/>
          <w:sz w:val="24"/>
          <w:szCs w:val="24"/>
        </w:rPr>
        <w:t>) անվանում են փոփոխման գործակից: Դեղամիջոցների փորձարկումների արդյունքները մշակելիս բացարձակ մեծությունները սովորաբար օգտագործում են անալիզի ուղղակի, իսկ հարաբերականները՝ անուղղակի մեթոդների համար:</w:t>
      </w:r>
    </w:p>
    <w:p w14:paraId="496C7FC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Եթե չափումների ժամանակ ստանում են որոնելի տարբերակների լոգարիթմներ, ապա ընտրանքի միջին արժեքը հաշվում են որպես միջին երկրաչափական՝ օգտագործելով տարբերակների լոգարիթմ.</w:t>
      </w:r>
    </w:p>
    <w:p w14:paraId="626F87D4"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color w:val="000000"/>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g</m:t>
            </m:r>
          </m:sub>
        </m:sSub>
        <m:r>
          <w:rPr>
            <w:rFonts w:ascii="Cambria Math" w:hAnsi="Cambria Math" w:cs="Sylfaen"/>
            <w:color w:val="000000"/>
            <w:sz w:val="24"/>
            <w:szCs w:val="24"/>
          </w:rPr>
          <m:t>=</m:t>
        </m:r>
        <m:rad>
          <m:radPr>
            <m:ctrlPr>
              <w:rPr>
                <w:rFonts w:ascii="Cambria Math" w:hAnsi="Cambria Math" w:cs="Sylfaen"/>
                <w:i/>
                <w:color w:val="000000"/>
                <w:sz w:val="24"/>
                <w:szCs w:val="24"/>
              </w:rPr>
            </m:ctrlPr>
          </m:radPr>
          <m:deg>
            <m:r>
              <w:rPr>
                <w:rFonts w:ascii="Cambria Math" w:hAnsi="Cambria Math" w:cs="Sylfaen"/>
                <w:color w:val="000000"/>
                <w:sz w:val="24"/>
                <w:szCs w:val="24"/>
              </w:rPr>
              <m:t>n</m:t>
            </m:r>
          </m:deg>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n</m:t>
                </m:r>
              </m:sub>
            </m:sSub>
            <m:r>
              <w:rPr>
                <w:rFonts w:ascii="Cambria Math" w:hAnsi="Cambria Math" w:cs="Sylfaen"/>
                <w:color w:val="000000"/>
                <w:sz w:val="24"/>
                <w:szCs w:val="24"/>
              </w:rPr>
              <m:t xml:space="preserve"> </m:t>
            </m:r>
          </m:e>
        </m:rad>
        <m:r>
          <w:rPr>
            <w:rFonts w:ascii="Cambria Math" w:hAnsi="Cambria Math" w:cs="Sylfaen"/>
            <w:color w:val="000000"/>
            <w:sz w:val="24"/>
            <w:szCs w:val="24"/>
          </w:rPr>
          <m:t>=antilg(</m:t>
        </m:r>
        <m:sSub>
          <m:sSubPr>
            <m:ctrlPr>
              <w:rPr>
                <w:rFonts w:ascii="Cambria Math" w:hAnsi="Cambria Math" w:cs="Sylfaen"/>
                <w:i/>
                <w:color w:val="000000"/>
                <w:sz w:val="24"/>
                <w:szCs w:val="24"/>
              </w:rPr>
            </m:ctrlPr>
          </m:sSubPr>
          <m:e>
            <m:r>
              <w:rPr>
                <w:rFonts w:ascii="Cambria Math" w:hAnsi="Cambria Math" w:cs="Sylfaen"/>
                <w:color w:val="000000"/>
                <w:sz w:val="24"/>
                <w:szCs w:val="24"/>
              </w:rPr>
              <m:t>lg¯x</m:t>
            </m:r>
          </m:e>
          <m:sub>
            <m:r>
              <w:rPr>
                <w:rFonts w:ascii="Cambria Math" w:hAnsi="Cambria Math" w:cs="Sylfaen"/>
                <w:color w:val="000000"/>
                <w:sz w:val="24"/>
                <w:szCs w:val="24"/>
              </w:rPr>
              <m:t>g</m:t>
            </m:r>
          </m:sub>
        </m:sSub>
        <m:r>
          <w:rPr>
            <w:rFonts w:ascii="Cambria Math" w:hAnsi="Cambria Math" w:cs="Sylfaen"/>
            <w:color w:val="000000"/>
            <w:sz w:val="24"/>
            <w:szCs w:val="24"/>
          </w:rPr>
          <m:t>)</m:t>
        </m:r>
      </m:oMath>
      <w:r w:rsidR="00B834A2" w:rsidRPr="00B834A2">
        <w:rPr>
          <w:rFonts w:ascii="Sylfaen" w:hAnsi="Sylfaen"/>
          <w:color w:val="000000"/>
          <w:sz w:val="24"/>
          <w:szCs w:val="24"/>
        </w:rPr>
        <w:t xml:space="preserve">. </w:t>
      </w:r>
      <w:r w:rsidR="000D219C" w:rsidRPr="002E52D1">
        <w:rPr>
          <w:rFonts w:ascii="Sylfaen" w:hAnsi="Sylfaen"/>
          <w:color w:val="000000"/>
          <w:sz w:val="24"/>
          <w:szCs w:val="24"/>
        </w:rPr>
        <w:tab/>
      </w:r>
      <w:r w:rsidR="00B834A2" w:rsidRPr="00B834A2">
        <w:rPr>
          <w:rFonts w:ascii="Sylfaen" w:hAnsi="Sylfaen"/>
          <w:color w:val="000000"/>
          <w:sz w:val="24"/>
          <w:szCs w:val="24"/>
        </w:rPr>
        <w:t>(1.8),</w:t>
      </w:r>
    </w:p>
    <w:p w14:paraId="6BBABE3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որտեղ՝</w:t>
      </w:r>
    </w:p>
    <w:p w14:paraId="7620E50D"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lg¯x</m:t>
                </m:r>
              </m:e>
              <m:sub>
                <m:r>
                  <w:rPr>
                    <w:rFonts w:ascii="Cambria Math" w:hAnsi="Cambria Math" w:cs="Sylfaen"/>
                    <w:color w:val="000000"/>
                    <w:sz w:val="24"/>
                    <w:szCs w:val="24"/>
                  </w:rPr>
                  <m:t>g</m:t>
                </m:r>
              </m:sub>
            </m:sSub>
          </m:e>
        </m:d>
        <m:r>
          <w:rPr>
            <w:rFonts w:ascii="Cambria Math" w:hAnsi="Cambria Math" w:cs="Sylfaen"/>
            <w:color w:val="000000"/>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n</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lgx</m:t>
                    </m:r>
                  </m:e>
                  <m:sub>
                    <m:r>
                      <w:rPr>
                        <w:rFonts w:ascii="Cambria Math" w:hAnsi="Cambria Math" w:cs="Sylfaen"/>
                        <w:color w:val="000000"/>
                        <w:sz w:val="24"/>
                        <w:szCs w:val="24"/>
                      </w:rPr>
                      <m:t>i</m:t>
                    </m:r>
                  </m:sub>
                </m:sSub>
              </m:e>
            </m:nary>
          </m:num>
          <m:den>
            <m:r>
              <w:rPr>
                <w:rFonts w:ascii="Cambria Math" w:hAnsi="Cambria Math" w:cs="Sylfaen"/>
                <w:color w:val="000000"/>
                <w:sz w:val="24"/>
                <w:szCs w:val="24"/>
              </w:rPr>
              <m:t>n</m:t>
            </m:r>
          </m:den>
        </m:f>
      </m:oMath>
      <w:r w:rsidR="00B834A2" w:rsidRPr="00B834A2">
        <w:rPr>
          <w:rFonts w:ascii="Sylfaen" w:hAnsi="Sylfaen"/>
          <w:color w:val="000000"/>
          <w:sz w:val="24"/>
          <w:szCs w:val="24"/>
        </w:rPr>
        <w:t>.,</w:t>
      </w:r>
      <w:r w:rsidR="000D219C" w:rsidRPr="000D219C">
        <w:rPr>
          <w:rFonts w:ascii="Sylfaen" w:hAnsi="Sylfaen"/>
          <w:sz w:val="24"/>
          <w:szCs w:val="24"/>
        </w:rPr>
        <w:tab/>
      </w:r>
      <w:r w:rsidR="00B834A2" w:rsidRPr="00B834A2">
        <w:rPr>
          <w:rFonts w:ascii="Sylfaen" w:hAnsi="Sylfaen"/>
          <w:color w:val="000000"/>
          <w:sz w:val="24"/>
          <w:szCs w:val="24"/>
        </w:rPr>
        <w:t>(1.9)</w:t>
      </w:r>
    </w:p>
    <w:p w14:paraId="67001B3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s</w:t>
      </w:r>
      <w:r w:rsidRPr="00B834A2">
        <w:rPr>
          <w:rFonts w:ascii="Sylfaen" w:hAnsi="Sylfaen"/>
          <w:i/>
          <w:color w:val="000000"/>
          <w:sz w:val="24"/>
          <w:szCs w:val="24"/>
          <w:vertAlign w:val="superscript"/>
        </w:rPr>
        <w:t>2</w:t>
      </w:r>
      <w:r w:rsidRPr="00B834A2">
        <w:rPr>
          <w:rFonts w:ascii="Sylfaen" w:hAnsi="Sylfaen"/>
          <w:i/>
          <w:color w:val="000000"/>
          <w:sz w:val="24"/>
          <w:szCs w:val="24"/>
        </w:rPr>
        <w:t>, s</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¯x</m:t>
            </m:r>
          </m:sub>
        </m:sSub>
      </m:oMath>
      <w:r w:rsidRPr="00B834A2">
        <w:rPr>
          <w:rFonts w:ascii="Sylfaen" w:hAnsi="Sylfaen"/>
          <w:color w:val="000000"/>
          <w:sz w:val="24"/>
          <w:szCs w:val="24"/>
        </w:rPr>
        <w:t xml:space="preserve"> արժեքներն այդ դեպքում նույնպես հաշվարկում են՝ ելնելով տարբերակների լոգարիթմներից, </w:t>
      </w:r>
      <w:r>
        <w:rPr>
          <w:rFonts w:ascii="Sylfaen" w:hAnsi="Sylfaen"/>
          <w:color w:val="000000"/>
          <w:sz w:val="24"/>
          <w:szCs w:val="24"/>
        </w:rPr>
        <w:t>եւ</w:t>
      </w:r>
      <w:r w:rsidRPr="00B834A2">
        <w:rPr>
          <w:rFonts w:ascii="Sylfaen" w:hAnsi="Sylfaen"/>
          <w:color w:val="000000"/>
          <w:sz w:val="24"/>
          <w:szCs w:val="24"/>
        </w:rPr>
        <w:t xml:space="preserve"> նշանակում համապատասխանաբար</w:t>
      </w:r>
      <w:r>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lg</m:t>
            </m:r>
          </m:sub>
          <m:sup>
            <m:r>
              <w:rPr>
                <w:rFonts w:ascii="Cambria Math" w:hAnsi="Cambria Math" w:cs="Sylfaen"/>
                <w:color w:val="000000"/>
                <w:sz w:val="24"/>
                <w:szCs w:val="24"/>
              </w:rPr>
              <m:t>2</m:t>
            </m:r>
          </m:sup>
        </m:sSubSup>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xg</m:t>
                </m:r>
              </m:e>
            </m:bar>
            <m:r>
              <w:rPr>
                <w:rFonts w:ascii="Cambria Math" w:hAnsi="Cambria Math" w:cs="Sylfaen"/>
                <w:color w:val="000000"/>
                <w:sz w:val="24"/>
                <w:szCs w:val="24"/>
              </w:rPr>
              <m:t>:</m:t>
            </m:r>
          </m:sub>
        </m:sSub>
      </m:oMath>
    </w:p>
    <w:p w14:paraId="0A219BDA" w14:textId="77777777" w:rsidR="00B834A2" w:rsidRPr="00A859E3"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 xml:space="preserve">Միջին արժեքի հաշվման </w:t>
      </w:r>
      <w:r>
        <w:rPr>
          <w:rFonts w:ascii="Sylfaen" w:hAnsi="Sylfaen"/>
          <w:color w:val="000000"/>
          <w:sz w:val="24"/>
          <w:szCs w:val="24"/>
        </w:rPr>
        <w:t>եւ</w:t>
      </w:r>
      <w:r w:rsidRPr="00B834A2">
        <w:rPr>
          <w:rFonts w:ascii="Sylfaen" w:hAnsi="Sylfaen"/>
          <w:color w:val="000000"/>
          <w:sz w:val="24"/>
          <w:szCs w:val="24"/>
        </w:rPr>
        <w:t xml:space="preserve"> դիսպերսիայի օրինակը բերված է 6.1 բաժնում:</w:t>
      </w:r>
    </w:p>
    <w:p w14:paraId="46649F82" w14:textId="77777777" w:rsidR="00B834A2" w:rsidRPr="00B834A2" w:rsidRDefault="00B834A2" w:rsidP="000D219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lastRenderedPageBreak/>
        <w:t>1.3.</w:t>
      </w:r>
      <w:r w:rsidR="000D219C" w:rsidRPr="000D219C">
        <w:rPr>
          <w:rFonts w:ascii="Sylfaen" w:hAnsi="Sylfaen"/>
          <w:b/>
          <w:color w:val="000000"/>
          <w:sz w:val="24"/>
          <w:szCs w:val="24"/>
        </w:rPr>
        <w:tab/>
      </w:r>
      <w:r w:rsidRPr="00B834A2">
        <w:rPr>
          <w:rFonts w:ascii="Sylfaen" w:hAnsi="Sylfaen"/>
          <w:b/>
          <w:color w:val="000000"/>
          <w:sz w:val="24"/>
          <w:szCs w:val="24"/>
        </w:rPr>
        <w:t xml:space="preserve">Ընտրանքի միատարրության ստուգում: Տարբերակների դուրս մնացող արժեքների բացառում </w:t>
      </w:r>
    </w:p>
    <w:p w14:paraId="1D48299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Ընտրանքի վիճակագրական մշակման ժամանակ ստացված արդյունքները հավաստի են լինելու միայն այն դեպքում, երբ այդ ընտրանքը միատարր է, այսինքն, եթե ընտրանքը կազմող տարբերակները ծանրաբեռնված չեն չափման կամ հաշվարկի ժամանակ թույլ տրված կոպիտ սխալանքներով: Տարբերակների այդ դուրս մնացող արժեքների բացառման մասին որոշում ընդունելու համար վիճակագրական բնութագրերի վերջնական հաշվումից առաջ անց են կացնում ընտրանքի միատարրության ստուգում՝ օգտագործելով տարբեր մոտեցումներ՝ պայմանավորված ընտրանքի ծավալով:</w:t>
      </w:r>
    </w:p>
    <w:p w14:paraId="7470B79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Միաժամանակ պետք է հաշվի առնել, որ կարող են լինել դեղապատրաստուկների այնպիսի փորձարկումներ, որոնք նախատեսում են ընտրանքի տարբերակներից յուրաքանչյուրի տվյալների ստուգում՝ առանց դրա միատարրության նախնական գնահատման </w:t>
      </w:r>
      <w:r>
        <w:rPr>
          <w:rFonts w:ascii="Sylfaen" w:hAnsi="Sylfaen"/>
          <w:color w:val="000000"/>
          <w:sz w:val="24"/>
          <w:szCs w:val="24"/>
        </w:rPr>
        <w:t>եւ</w:t>
      </w:r>
      <w:r w:rsidRPr="00B834A2">
        <w:rPr>
          <w:rFonts w:ascii="Sylfaen" w:hAnsi="Sylfaen"/>
          <w:color w:val="000000"/>
          <w:sz w:val="24"/>
          <w:szCs w:val="24"/>
        </w:rPr>
        <w:t xml:space="preserve"> տարբերակների բացառման, օրինակ՝ </w:t>
      </w:r>
      <w:r w:rsidRPr="00B834A2">
        <w:rPr>
          <w:rFonts w:ascii="Sylfaen" w:hAnsi="Sylfaen"/>
          <w:i/>
          <w:color w:val="000000"/>
          <w:sz w:val="24"/>
          <w:szCs w:val="24"/>
        </w:rPr>
        <w:t>2.1.9.14.</w:t>
      </w:r>
      <w:r w:rsidRPr="00B834A2">
        <w:rPr>
          <w:rFonts w:ascii="Sylfaen" w:hAnsi="Sylfaen"/>
          <w:color w:val="000000"/>
          <w:sz w:val="24"/>
          <w:szCs w:val="24"/>
        </w:rPr>
        <w:t xml:space="preserve"> Դոզավորված միավորների միատարրություն ընդհանուր դեղագրքային հոդվածին համապատասխան Դոզավորված միավորների համատեսություն ցուցանիշը որոշելիս, երբ պետք է հաշվի առնվեն </w:t>
      </w:r>
      <w:r>
        <w:rPr>
          <w:rFonts w:ascii="Sylfaen" w:hAnsi="Sylfaen"/>
          <w:color w:val="000000"/>
          <w:sz w:val="24"/>
          <w:szCs w:val="24"/>
        </w:rPr>
        <w:t>եւ</w:t>
      </w:r>
      <w:r w:rsidRPr="00B834A2">
        <w:rPr>
          <w:rFonts w:ascii="Sylfaen" w:hAnsi="Sylfaen"/>
          <w:color w:val="000000"/>
          <w:sz w:val="24"/>
          <w:szCs w:val="24"/>
        </w:rPr>
        <w:t xml:space="preserve"> անալիզի ենթարկվեն բոլոր ստացված արդյունքները (տարբերակների արժեքները):</w:t>
      </w:r>
    </w:p>
    <w:p w14:paraId="233FC9A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Ընտրանքի միատարրության ստուգման </w:t>
      </w:r>
      <w:r>
        <w:rPr>
          <w:rFonts w:ascii="Sylfaen" w:hAnsi="Sylfaen"/>
          <w:color w:val="000000"/>
          <w:sz w:val="24"/>
          <w:szCs w:val="24"/>
        </w:rPr>
        <w:t>եւ</w:t>
      </w:r>
      <w:r w:rsidRPr="00B834A2">
        <w:rPr>
          <w:rFonts w:ascii="Sylfaen" w:hAnsi="Sylfaen"/>
          <w:color w:val="000000"/>
          <w:sz w:val="24"/>
          <w:szCs w:val="24"/>
        </w:rPr>
        <w:t xml:space="preserve"> տարբերակների՝ խիստ առանձնացող, դուրս մնացող, կոպիտ սխալանքներով ծանրաբեռնված արժեքների բացառման համար օգտագործում են տարբեր մոտեցումներ՝ պայմանավորված ընտրանքի ծավալով: Փոքր </w:t>
      </w:r>
      <w:r>
        <w:rPr>
          <w:rFonts w:ascii="Sylfaen" w:hAnsi="Sylfaen"/>
          <w:color w:val="000000"/>
          <w:sz w:val="24"/>
          <w:szCs w:val="24"/>
        </w:rPr>
        <w:t>եւ</w:t>
      </w:r>
      <w:r w:rsidRPr="00B834A2">
        <w:rPr>
          <w:rFonts w:ascii="Sylfaen" w:hAnsi="Sylfaen"/>
          <w:color w:val="000000"/>
          <w:sz w:val="24"/>
          <w:szCs w:val="24"/>
        </w:rPr>
        <w:t xml:space="preserve"> մեծ ծավալի ընտրանքների միատարրության ստուգման համար առավել հաճախ օգտագործում են հետ</w:t>
      </w:r>
      <w:r>
        <w:rPr>
          <w:rFonts w:ascii="Sylfaen" w:hAnsi="Sylfaen"/>
          <w:color w:val="000000"/>
          <w:sz w:val="24"/>
          <w:szCs w:val="24"/>
        </w:rPr>
        <w:t>եւ</w:t>
      </w:r>
      <w:r w:rsidRPr="00B834A2">
        <w:rPr>
          <w:rFonts w:ascii="Sylfaen" w:hAnsi="Sylfaen"/>
          <w:color w:val="000000"/>
          <w:sz w:val="24"/>
          <w:szCs w:val="24"/>
        </w:rPr>
        <w:t>յալ մոտեցումները:</w:t>
      </w:r>
    </w:p>
    <w:p w14:paraId="61274B7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Մոտեցում 1:</w:t>
      </w:r>
      <w:r w:rsidRPr="00B834A2">
        <w:rPr>
          <w:rFonts w:ascii="Sylfaen" w:hAnsi="Sylfaen"/>
          <w:color w:val="000000"/>
          <w:sz w:val="24"/>
          <w:szCs w:val="24"/>
        </w:rPr>
        <w:t xml:space="preserve"> Փոքր ծավալի </w:t>
      </w:r>
      <w:r w:rsidRPr="00B834A2">
        <w:rPr>
          <w:rFonts w:ascii="Sylfaen" w:hAnsi="Sylfaen"/>
          <w:i/>
          <w:color w:val="000000"/>
          <w:sz w:val="24"/>
          <w:szCs w:val="24"/>
        </w:rPr>
        <w:t xml:space="preserve">(n </w:t>
      </w:r>
      <m:oMath>
        <m:r>
          <w:rPr>
            <w:rFonts w:ascii="Cambria Math" w:hAnsi="Cambria Math" w:cs="Sylfaen"/>
            <w:color w:val="000000"/>
            <w:sz w:val="24"/>
            <w:szCs w:val="24"/>
          </w:rPr>
          <m:t>≤</m:t>
        </m:r>
      </m:oMath>
      <w:r w:rsidRPr="00B834A2">
        <w:rPr>
          <w:rFonts w:ascii="Sylfaen" w:hAnsi="Sylfaen"/>
          <w:i/>
          <w:color w:val="000000"/>
          <w:sz w:val="24"/>
          <w:szCs w:val="24"/>
        </w:rPr>
        <w:t xml:space="preserve"> 10)</w:t>
      </w:r>
      <w:r w:rsidRPr="00B834A2">
        <w:rPr>
          <w:rFonts w:ascii="Sylfaen" w:hAnsi="Sylfaen"/>
          <w:color w:val="000000"/>
          <w:sz w:val="24"/>
          <w:szCs w:val="24"/>
        </w:rPr>
        <w:t xml:space="preserve"> ընտրանքների միատարրության ստուգումն իրականացնում են առանց վիճակագրական բնութագրերի նախնական հաշվարկման: Այդ նպատակով ընտրանքի բոլոր արժեքները ներկայացվում են (1.1) տեսքով </w:t>
      </w:r>
      <w:r>
        <w:rPr>
          <w:rFonts w:ascii="Sylfaen" w:hAnsi="Sylfaen"/>
          <w:color w:val="000000"/>
          <w:sz w:val="24"/>
          <w:szCs w:val="24"/>
        </w:rPr>
        <w:t>եւ</w:t>
      </w:r>
      <w:r w:rsidRPr="00B834A2">
        <w:rPr>
          <w:rFonts w:ascii="Sylfaen" w:hAnsi="Sylfaen"/>
          <w:color w:val="000000"/>
          <w:sz w:val="24"/>
          <w:szCs w:val="24"/>
        </w:rPr>
        <w:t xml:space="preserve"> ենթադրում են, որ ընտրանքի տարբերակների եզրային, սահմանային արժեքները, այսինքն՝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oMath>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iCs/>
                <w:color w:val="000000"/>
                <w:sz w:val="24"/>
                <w:szCs w:val="24"/>
                <w:vertAlign w:val="subscript"/>
              </w:rPr>
            </m:ctrlPr>
          </m:sSubPr>
          <m:e>
            <m:r>
              <w:rPr>
                <w:rFonts w:ascii="Cambria Math" w:hAnsi="Cambria Math" w:cs="Sylfaen"/>
                <w:color w:val="000000"/>
                <w:sz w:val="24"/>
                <w:szCs w:val="24"/>
                <w:vertAlign w:val="subscript"/>
              </w:rPr>
              <m:t>x</m:t>
            </m:r>
          </m:e>
          <m:sub>
            <m:r>
              <w:rPr>
                <w:rFonts w:ascii="Cambria Math" w:hAnsi="Cambria Math" w:cs="Sylfaen"/>
                <w:color w:val="000000"/>
                <w:sz w:val="24"/>
                <w:szCs w:val="24"/>
                <w:vertAlign w:val="subscript"/>
              </w:rPr>
              <m:t>n</m:t>
            </m:r>
          </m:sub>
        </m:sSub>
        <m:r>
          <w:rPr>
            <w:rFonts w:ascii="Cambria Math" w:hAnsi="Cambria Math"/>
            <w:color w:val="000000"/>
            <w:sz w:val="24"/>
            <w:szCs w:val="24"/>
            <w:vertAlign w:val="subscript"/>
          </w:rPr>
          <m:t>-</m:t>
        </m:r>
        <m:r>
          <w:rPr>
            <w:rFonts w:ascii="Sylfaen" w:hAnsi="Sylfaen" w:cs="Sylfaen"/>
            <w:color w:val="000000"/>
            <w:sz w:val="24"/>
            <w:szCs w:val="24"/>
            <w:vertAlign w:val="subscript"/>
          </w:rPr>
          <m:t>ը</m:t>
        </m:r>
      </m:oMath>
      <w:r w:rsidRPr="00B834A2">
        <w:rPr>
          <w:rFonts w:ascii="Sylfaen" w:hAnsi="Sylfaen"/>
          <w:color w:val="000000"/>
          <w:sz w:val="24"/>
          <w:szCs w:val="24"/>
        </w:rPr>
        <w:t xml:space="preserve"> դուրս մնացող են, կոպիտ </w:t>
      </w:r>
      <w:r w:rsidRPr="00B834A2">
        <w:rPr>
          <w:rFonts w:ascii="Sylfaen" w:hAnsi="Sylfaen"/>
          <w:color w:val="000000"/>
          <w:sz w:val="24"/>
          <w:szCs w:val="24"/>
        </w:rPr>
        <w:lastRenderedPageBreak/>
        <w:t xml:space="preserve">սխալանքներով ծանրաբեռնված: Ընտրանքի այդ եզրային արժեքների համար հաշվարկում են </w:t>
      </w:r>
      <w:r w:rsidRPr="00B834A2">
        <w:rPr>
          <w:rFonts w:ascii="Sylfaen" w:hAnsi="Sylfaen"/>
          <w:i/>
          <w:color w:val="000000"/>
          <w:sz w:val="24"/>
          <w:szCs w:val="24"/>
        </w:rPr>
        <w:t>Q</w:t>
      </w:r>
      <w:r w:rsidRPr="00B834A2">
        <w:rPr>
          <w:rFonts w:ascii="Sylfaen" w:hAnsi="Sylfaen"/>
          <w:color w:val="000000"/>
          <w:sz w:val="24"/>
          <w:szCs w:val="24"/>
        </w:rPr>
        <w:t xml:space="preserve"> կոպիտ սխալանքների նույնականացման համար ստուգիչ չափորոշիչների արժեքները՝ ելնելով </w:t>
      </w:r>
      <w:r w:rsidRPr="00B834A2">
        <w:rPr>
          <w:rFonts w:ascii="Sylfaen" w:eastAsiaTheme="minorHAnsi" w:hAnsi="Sylfaen" w:cs="TimesNewRomanCyr-NormalItalic"/>
          <w:i/>
          <w:iCs/>
          <w:sz w:val="24"/>
          <w:szCs w:val="24"/>
          <w:lang w:bidi="ar-SA"/>
        </w:rPr>
        <w:t>R</w:t>
      </w:r>
      <w:r w:rsidRPr="00B834A2">
        <w:rPr>
          <w:rFonts w:ascii="Sylfaen" w:hAnsi="Sylfaen"/>
          <w:i/>
          <w:color w:val="000000"/>
          <w:sz w:val="24"/>
          <w:szCs w:val="24"/>
        </w:rPr>
        <w:t xml:space="preserve"> </w:t>
      </w:r>
      <w:r w:rsidRPr="00B834A2">
        <w:rPr>
          <w:rFonts w:ascii="Sylfaen" w:hAnsi="Sylfaen"/>
          <w:color w:val="000000"/>
          <w:sz w:val="24"/>
          <w:szCs w:val="24"/>
        </w:rPr>
        <w:t xml:space="preserve">փոփոխման լայնքի մեծությունից (փոփոխման լայնք), այսինքն՝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iCs/>
                <w:color w:val="000000"/>
                <w:sz w:val="24"/>
                <w:szCs w:val="24"/>
                <w:vertAlign w:val="subscript"/>
              </w:rPr>
            </m:ctrlPr>
          </m:sSubPr>
          <m:e>
            <m:r>
              <w:rPr>
                <w:rFonts w:ascii="Cambria Math" w:hAnsi="Cambria Math" w:cs="Sylfaen"/>
                <w:color w:val="000000"/>
                <w:sz w:val="24"/>
                <w:szCs w:val="24"/>
                <w:vertAlign w:val="subscript"/>
              </w:rPr>
              <m:t>x</m:t>
            </m:r>
          </m:e>
          <m:sub>
            <m:r>
              <w:rPr>
                <w:rFonts w:ascii="Cambria Math" w:hAnsi="Cambria Math" w:cs="Sylfaen"/>
                <w:color w:val="000000"/>
                <w:sz w:val="24"/>
                <w:szCs w:val="24"/>
                <w:vertAlign w:val="subscript"/>
              </w:rPr>
              <m:t>n</m:t>
            </m:r>
          </m:sub>
        </m:sSub>
      </m:oMath>
      <w:r w:rsidRPr="00B834A2">
        <w:rPr>
          <w:rFonts w:ascii="Sylfaen" w:hAnsi="Sylfaen"/>
          <w:color w:val="000000"/>
          <w:sz w:val="24"/>
          <w:szCs w:val="24"/>
        </w:rPr>
        <w:t>միջ</w:t>
      </w:r>
      <w:r>
        <w:rPr>
          <w:rFonts w:ascii="Sylfaen" w:hAnsi="Sylfaen"/>
          <w:color w:val="000000"/>
          <w:sz w:val="24"/>
          <w:szCs w:val="24"/>
        </w:rPr>
        <w:t>եւ</w:t>
      </w:r>
      <w:r w:rsidRPr="00B834A2">
        <w:rPr>
          <w:rFonts w:ascii="Sylfaen" w:hAnsi="Sylfaen"/>
          <w:color w:val="000000"/>
          <w:sz w:val="24"/>
          <w:szCs w:val="24"/>
        </w:rPr>
        <w:t xml:space="preserve"> արժեքների տարբերությունից:</w:t>
      </w:r>
    </w:p>
    <w:p w14:paraId="3B8687CB" w14:textId="77777777" w:rsidR="00B834A2" w:rsidRPr="00B834A2" w:rsidRDefault="00B834A2" w:rsidP="000D219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R=</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n</m:t>
                </m:r>
              </m:sub>
            </m:sSub>
          </m:e>
        </m:d>
      </m:oMath>
      <w:r w:rsidRPr="00B834A2">
        <w:rPr>
          <w:rFonts w:ascii="Sylfaen" w:hAnsi="Sylfaen"/>
          <w:color w:val="000000"/>
          <w:sz w:val="24"/>
          <w:szCs w:val="24"/>
        </w:rPr>
        <w:t xml:space="preserve"> n = 3 - 7-ի համար,</w:t>
      </w:r>
      <w:r w:rsidR="000D219C" w:rsidRPr="000D219C">
        <w:rPr>
          <w:rFonts w:ascii="Sylfaen" w:hAnsi="Sylfaen"/>
          <w:sz w:val="24"/>
          <w:szCs w:val="24"/>
        </w:rPr>
        <w:tab/>
      </w:r>
      <w:r w:rsidRPr="00B834A2">
        <w:rPr>
          <w:rFonts w:ascii="Sylfaen" w:hAnsi="Sylfaen"/>
          <w:color w:val="000000"/>
          <w:sz w:val="24"/>
          <w:szCs w:val="24"/>
        </w:rPr>
        <w:t>(1.10ա)</w:t>
      </w:r>
    </w:p>
    <w:p w14:paraId="33144ABE" w14:textId="77777777" w:rsidR="00B834A2" w:rsidRPr="00B834A2" w:rsidRDefault="00B834A2" w:rsidP="00685C9F">
      <w:pPr>
        <w:pStyle w:val="a0"/>
        <w:shd w:val="clear" w:color="auto" w:fill="auto"/>
        <w:tabs>
          <w:tab w:val="left" w:pos="4678"/>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R=</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n-1</m:t>
                </m:r>
              </m:sub>
            </m:sSub>
          </m:e>
        </m:d>
        <m:r>
          <w:rPr>
            <w:rFonts w:ascii="Cambria Math" w:hAnsi="Cambria Math" w:cs="Sylfaen"/>
            <w:color w:val="000000"/>
            <w:sz w:val="24"/>
            <w:szCs w:val="24"/>
          </w:rPr>
          <m:t xml:space="preserve"> </m:t>
        </m:r>
      </m:oMath>
      <w:r w:rsidRPr="00B834A2">
        <w:rPr>
          <w:rFonts w:ascii="Sylfaen" w:hAnsi="Sylfaen"/>
          <w:color w:val="000000"/>
          <w:sz w:val="24"/>
          <w:szCs w:val="24"/>
        </w:rPr>
        <w:t>n = 8 - 10-ի համար,</w:t>
      </w:r>
      <w:r w:rsidR="000D219C" w:rsidRPr="000D219C">
        <w:rPr>
          <w:rFonts w:ascii="Sylfaen" w:hAnsi="Sylfaen"/>
          <w:sz w:val="24"/>
          <w:szCs w:val="24"/>
        </w:rPr>
        <w:tab/>
      </w:r>
      <w:r w:rsidRPr="00B834A2">
        <w:rPr>
          <w:rFonts w:ascii="Sylfaen" w:hAnsi="Sylfaen"/>
          <w:color w:val="000000"/>
          <w:sz w:val="24"/>
          <w:szCs w:val="24"/>
        </w:rPr>
        <w:t>(1.10բ)</w:t>
      </w:r>
    </w:p>
    <w:p w14:paraId="2C842641"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Q</m:t>
            </m:r>
          </m:e>
          <m:sub>
            <m:r>
              <w:rPr>
                <w:rFonts w:ascii="Cambria Math" w:hAnsi="Cambria Math" w:cs="Sylfaen"/>
                <w:color w:val="000000"/>
                <w:sz w:val="24"/>
                <w:szCs w:val="24"/>
              </w:rPr>
              <m:t>1</m:t>
            </m:r>
          </m:sub>
        </m:sSub>
        <m:r>
          <w:rPr>
            <w:rFonts w:ascii="Cambria Math" w:hAnsi="Cambria Math" w:cs="Sylfaen"/>
            <w:color w:val="000000"/>
            <w:sz w:val="24"/>
            <w:szCs w:val="24"/>
          </w:rPr>
          <m:t>=</m:t>
        </m:r>
        <m:f>
          <m:fPr>
            <m:ctrlPr>
              <w:rPr>
                <w:rFonts w:ascii="Cambria Math" w:hAnsi="Cambria Math" w:cs="Sylfaen"/>
                <w:i/>
                <w:color w:val="000000"/>
                <w:sz w:val="24"/>
                <w:szCs w:val="24"/>
              </w:rPr>
            </m:ctrlPr>
          </m:fPr>
          <m:num>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num>
          <m:den>
            <m:r>
              <w:rPr>
                <w:rFonts w:ascii="Cambria Math" w:hAnsi="Cambria Math" w:cs="Sylfaen"/>
                <w:color w:val="000000"/>
                <w:sz w:val="24"/>
                <w:szCs w:val="24"/>
              </w:rPr>
              <m:t>R</m:t>
            </m:r>
          </m:den>
        </m:f>
      </m:oMath>
      <w:r w:rsidR="00B834A2">
        <w:rPr>
          <w:rFonts w:ascii="Sylfaen" w:hAnsi="Sylfaen"/>
          <w:color w:val="000000"/>
          <w:sz w:val="24"/>
          <w:szCs w:val="24"/>
        </w:rPr>
        <w:t xml:space="preserve"> </w:t>
      </w:r>
      <w:r w:rsidR="000D219C" w:rsidRPr="000D219C">
        <w:rPr>
          <w:rFonts w:ascii="Sylfaen" w:hAnsi="Sylfaen"/>
          <w:color w:val="000000"/>
          <w:sz w:val="24"/>
          <w:szCs w:val="24"/>
        </w:rPr>
        <w:tab/>
      </w:r>
      <w:r w:rsidR="00B834A2" w:rsidRPr="00B834A2">
        <w:rPr>
          <w:rFonts w:ascii="Sylfaen" w:hAnsi="Sylfaen"/>
          <w:color w:val="000000"/>
          <w:sz w:val="24"/>
          <w:szCs w:val="24"/>
        </w:rPr>
        <w:t>(1.11ա)</w:t>
      </w:r>
    </w:p>
    <w:p w14:paraId="64BC4D2C"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Q</m:t>
            </m:r>
          </m:e>
          <m:sub>
            <m:r>
              <w:rPr>
                <w:rFonts w:ascii="Cambria Math" w:hAnsi="Cambria Math" w:cs="Sylfaen"/>
                <w:color w:val="000000"/>
                <w:sz w:val="24"/>
                <w:szCs w:val="24"/>
              </w:rPr>
              <m:t>1</m:t>
            </m:r>
          </m:sub>
        </m:sSub>
        <m:r>
          <w:rPr>
            <w:rFonts w:ascii="Cambria Math" w:hAnsi="Cambria Math" w:cs="Sylfaen"/>
            <w:color w:val="000000"/>
            <w:sz w:val="24"/>
            <w:szCs w:val="24"/>
          </w:rPr>
          <m:t>=</m:t>
        </m:r>
        <m:f>
          <m:fPr>
            <m:ctrlPr>
              <w:rPr>
                <w:rFonts w:ascii="Cambria Math" w:hAnsi="Cambria Math" w:cs="Sylfaen"/>
                <w:i/>
                <w:color w:val="000000"/>
                <w:sz w:val="24"/>
                <w:szCs w:val="24"/>
              </w:rPr>
            </m:ctrlPr>
          </m:fPr>
          <m:num>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n-1</m:t>
                    </m:r>
                  </m:sub>
                </m:sSub>
              </m:e>
            </m:d>
          </m:num>
          <m:den>
            <m:r>
              <w:rPr>
                <w:rFonts w:ascii="Cambria Math" w:hAnsi="Cambria Math" w:cs="Sylfaen"/>
                <w:color w:val="000000"/>
                <w:sz w:val="24"/>
                <w:szCs w:val="24"/>
              </w:rPr>
              <m:t>R</m:t>
            </m:r>
          </m:den>
        </m:f>
        <m:r>
          <w:rPr>
            <w:rFonts w:ascii="Cambria Math" w:hAnsi="Cambria Math" w:cs="Sylfaen"/>
            <w:color w:val="000000"/>
            <w:sz w:val="24"/>
            <w:szCs w:val="24"/>
          </w:rPr>
          <m:t xml:space="preserve"> </m:t>
        </m:r>
      </m:oMath>
      <w:r w:rsidR="000D219C" w:rsidRPr="000D219C">
        <w:rPr>
          <w:rFonts w:ascii="Sylfaen" w:hAnsi="Sylfaen"/>
          <w:color w:val="000000"/>
          <w:sz w:val="24"/>
          <w:szCs w:val="24"/>
        </w:rPr>
        <w:tab/>
      </w:r>
      <w:r w:rsidR="00B834A2" w:rsidRPr="00B834A2">
        <w:rPr>
          <w:rFonts w:ascii="Sylfaen" w:hAnsi="Sylfaen"/>
          <w:color w:val="000000"/>
          <w:sz w:val="24"/>
          <w:szCs w:val="24"/>
        </w:rPr>
        <w:t>(1.11բ)</w:t>
      </w:r>
    </w:p>
    <w:p w14:paraId="26E98EB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Ընտրանքը ճանաչվում է ոչ միատարր, եթե </w:t>
      </w:r>
      <w:r w:rsidRPr="00B834A2">
        <w:rPr>
          <w:rFonts w:ascii="Sylfaen" w:hAnsi="Sylfaen"/>
          <w:i/>
          <w:color w:val="000000"/>
          <w:sz w:val="24"/>
          <w:szCs w:val="24"/>
        </w:rPr>
        <w:t>Q</w:t>
      </w:r>
      <w:r w:rsidRPr="00B834A2">
        <w:rPr>
          <w:rFonts w:ascii="Sylfaen" w:hAnsi="Sylfaen"/>
          <w:color w:val="000000"/>
          <w:sz w:val="24"/>
          <w:szCs w:val="24"/>
        </w:rPr>
        <w:t xml:space="preserve"> վերը թվարկված արժեքներից գոնե մեկը գերազանցում է </w:t>
      </w:r>
      <w:r w:rsidRPr="00B834A2">
        <w:rPr>
          <w:rFonts w:ascii="Sylfaen" w:hAnsi="Sylfaen"/>
          <w:i/>
          <w:color w:val="000000"/>
          <w:sz w:val="24"/>
          <w:szCs w:val="24"/>
        </w:rPr>
        <w:t>Р</w:t>
      </w:r>
      <w:r w:rsidRPr="00B834A2">
        <w:rPr>
          <w:rFonts w:ascii="Sylfaen" w:hAnsi="Sylfaen"/>
          <w:color w:val="000000"/>
          <w:sz w:val="24"/>
          <w:szCs w:val="24"/>
        </w:rPr>
        <w:t xml:space="preserve"> վստահելի հավանականության համար գտնված Q(Р, n) ստուգիչ չափորոշչի կրիտիկական արժեքը (Հավելվածի աղյուսակ 1): x</w:t>
      </w:r>
      <w:r w:rsidRPr="00B834A2">
        <w:rPr>
          <w:rFonts w:ascii="Sylfaen" w:hAnsi="Sylfaen"/>
          <w:color w:val="000000"/>
          <w:sz w:val="24"/>
          <w:szCs w:val="24"/>
          <w:vertAlign w:val="subscript"/>
        </w:rPr>
        <w:t>1</w:t>
      </w:r>
      <w:r w:rsidRPr="00B834A2">
        <w:rPr>
          <w:rFonts w:ascii="Sylfaen" w:hAnsi="Sylfaen"/>
          <w:color w:val="000000"/>
          <w:sz w:val="24"/>
          <w:szCs w:val="24"/>
        </w:rPr>
        <w:t xml:space="preserve"> կամ х</w:t>
      </w:r>
      <w:r w:rsidRPr="00B834A2">
        <w:rPr>
          <w:rFonts w:ascii="Sylfaen" w:hAnsi="Sylfaen"/>
          <w:color w:val="000000"/>
          <w:sz w:val="24"/>
          <w:szCs w:val="24"/>
          <w:vertAlign w:val="subscript"/>
        </w:rPr>
        <w:t>n</w:t>
      </w:r>
      <w:r w:rsidRPr="00B834A2">
        <w:rPr>
          <w:rFonts w:ascii="Sylfaen" w:hAnsi="Sylfaen"/>
          <w:color w:val="000000"/>
          <w:sz w:val="24"/>
          <w:szCs w:val="24"/>
        </w:rPr>
        <w:t xml:space="preserve"> տարբերակները, որոնց համապատասխանում է Q&gt;Q(P,n) արժեքը, բացառում են </w:t>
      </w:r>
      <w:r>
        <w:rPr>
          <w:rFonts w:ascii="Sylfaen" w:hAnsi="Sylfaen"/>
          <w:color w:val="000000"/>
          <w:sz w:val="24"/>
          <w:szCs w:val="24"/>
        </w:rPr>
        <w:t>եւ</w:t>
      </w:r>
      <w:r w:rsidRPr="00B834A2">
        <w:rPr>
          <w:rFonts w:ascii="Sylfaen" w:hAnsi="Sylfaen"/>
          <w:color w:val="000000"/>
          <w:sz w:val="24"/>
          <w:szCs w:val="24"/>
        </w:rPr>
        <w:t xml:space="preserve"> փոքրացված ծավալի ստացված ընտրանքի համար կատարում են հաշվարկների նոր ցիկլ (1.10) </w:t>
      </w:r>
      <w:r>
        <w:rPr>
          <w:rFonts w:ascii="Sylfaen" w:hAnsi="Sylfaen"/>
          <w:color w:val="000000"/>
          <w:sz w:val="24"/>
          <w:szCs w:val="24"/>
        </w:rPr>
        <w:t>եւ</w:t>
      </w:r>
      <w:r w:rsidRPr="00B834A2">
        <w:rPr>
          <w:rFonts w:ascii="Sylfaen" w:hAnsi="Sylfaen"/>
          <w:color w:val="000000"/>
          <w:sz w:val="24"/>
          <w:szCs w:val="24"/>
        </w:rPr>
        <w:t xml:space="preserve"> (1.11) հավասարումներով՝ դրա միատարրությունը ստուգելու նպատակով:</w:t>
      </w:r>
    </w:p>
    <w:p w14:paraId="6914D46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Եթե սկզբնական ընտրանքում տարբերակների հետ</w:t>
      </w:r>
      <w:r>
        <w:rPr>
          <w:rFonts w:ascii="Sylfaen" w:hAnsi="Sylfaen"/>
          <w:color w:val="000000"/>
          <w:sz w:val="24"/>
          <w:szCs w:val="24"/>
        </w:rPr>
        <w:t>եւ</w:t>
      </w:r>
      <w:r w:rsidRPr="00B834A2">
        <w:rPr>
          <w:rFonts w:ascii="Sylfaen" w:hAnsi="Sylfaen"/>
          <w:color w:val="000000"/>
          <w:sz w:val="24"/>
          <w:szCs w:val="24"/>
        </w:rPr>
        <w:t>յալ արժեքներն են</w:t>
      </w:r>
    </w:p>
    <w:p w14:paraId="5F24552B" w14:textId="77777777" w:rsidR="00B834A2" w:rsidRPr="00B834A2" w:rsidRDefault="00000000" w:rsidP="000D219C">
      <w:pPr>
        <w:pStyle w:val="a0"/>
        <w:shd w:val="clear" w:color="auto" w:fill="auto"/>
        <w:spacing w:after="160" w:line="360" w:lineRule="auto"/>
        <w:ind w:firstLine="567"/>
        <w:jc w:val="center"/>
        <w:rPr>
          <w:rFonts w:ascii="Sylfaen" w:hAnsi="Sylfaen"/>
          <w:color w:val="000000"/>
          <w:sz w:val="24"/>
          <w:szCs w:val="24"/>
        </w:rPr>
      </w:pPr>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r>
          <w:rPr>
            <w:rFonts w:ascii="Cambria Math" w:hAnsi="Cambria Math" w:cs="Sylfaen"/>
            <w:color w:val="000000"/>
            <w:sz w:val="24"/>
            <w:szCs w:val="24"/>
          </w:rPr>
          <m:t>&lt;</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3</m:t>
                </m:r>
              </m:sub>
            </m:sSub>
          </m:e>
        </m:d>
        <m:r>
          <m:rPr>
            <m:sty m:val="p"/>
          </m:rPr>
          <w:rPr>
            <w:rFonts w:ascii="Cambria Math" w:hAnsi="Cambria Math" w:cs="Sylfaen"/>
            <w:color w:val="000000"/>
            <w:sz w:val="24"/>
            <w:szCs w:val="24"/>
          </w:rPr>
          <m:t>и</m:t>
        </m:r>
        <m:d>
          <m:dPr>
            <m:begChr m:val="|"/>
            <m:endChr m:val="|"/>
            <m:ctrlPr>
              <w:rPr>
                <w:rFonts w:ascii="Cambria Math" w:hAnsi="Cambria Math" w:cs="Sylfaen"/>
                <w:color w:val="000000"/>
                <w:sz w:val="24"/>
                <w:szCs w:val="24"/>
              </w:rPr>
            </m:ctrlPr>
          </m:dPr>
          <m:e>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n</m:t>
                </m:r>
              </m:sub>
            </m:sSub>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n-1</m:t>
                </m:r>
              </m:sub>
            </m:sSub>
          </m:e>
        </m:d>
        <m:r>
          <m:rPr>
            <m:sty m:val="p"/>
          </m:rPr>
          <w:rPr>
            <w:rFonts w:ascii="Cambria Math" w:hAnsi="Cambria Math" w:cs="Sylfaen"/>
            <w:color w:val="000000"/>
            <w:sz w:val="24"/>
            <w:szCs w:val="24"/>
          </w:rPr>
          <m:t>&lt;</m:t>
        </m:r>
        <m:d>
          <m:dPr>
            <m:begChr m:val="|"/>
            <m:endChr m:val="|"/>
            <m:ctrlPr>
              <w:rPr>
                <w:rFonts w:ascii="Cambria Math" w:hAnsi="Cambria Math" w:cs="Sylfaen"/>
                <w:color w:val="000000"/>
                <w:sz w:val="24"/>
                <w:szCs w:val="24"/>
              </w:rPr>
            </m:ctrlPr>
          </m:dPr>
          <m:e>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n-1</m:t>
                </m:r>
              </m:sub>
            </m:sSub>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n-2</m:t>
                </m:r>
              </m:sub>
            </m:sSub>
          </m:e>
        </m:d>
        <m:r>
          <m:rPr>
            <m:sty m:val="p"/>
          </m:rPr>
          <w:rPr>
            <w:rFonts w:ascii="Cambria Math" w:hAnsi="Cambria Math" w:cs="Sylfaen"/>
            <w:color w:val="000000"/>
            <w:sz w:val="24"/>
            <w:szCs w:val="24"/>
          </w:rPr>
          <m:t xml:space="preserve"> </m:t>
        </m:r>
      </m:oMath>
      <w:r w:rsidR="00B834A2" w:rsidRPr="00B834A2">
        <w:rPr>
          <w:rFonts w:ascii="Sylfaen" w:hAnsi="Sylfaen"/>
          <w:color w:val="000000"/>
          <w:sz w:val="24"/>
          <w:szCs w:val="24"/>
        </w:rPr>
        <w:t>,</w:t>
      </w:r>
    </w:p>
    <w:p w14:paraId="0FE43AD9"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t xml:space="preserve">ապա (1.11ա) </w:t>
      </w:r>
      <w:r>
        <w:rPr>
          <w:rFonts w:ascii="Sylfaen" w:hAnsi="Sylfaen"/>
          <w:color w:val="000000"/>
          <w:sz w:val="24"/>
          <w:szCs w:val="24"/>
        </w:rPr>
        <w:t>եւ</w:t>
      </w:r>
      <w:r w:rsidRPr="00B834A2">
        <w:rPr>
          <w:rFonts w:ascii="Sylfaen" w:hAnsi="Sylfaen"/>
          <w:color w:val="000000"/>
          <w:sz w:val="24"/>
          <w:szCs w:val="24"/>
        </w:rPr>
        <w:t xml:space="preserve"> (1.11բ) հավասարումներն ընդունում են հետ</w:t>
      </w:r>
      <w:r>
        <w:rPr>
          <w:rFonts w:ascii="Sylfaen" w:hAnsi="Sylfaen"/>
          <w:color w:val="000000"/>
          <w:sz w:val="24"/>
          <w:szCs w:val="24"/>
        </w:rPr>
        <w:t>եւ</w:t>
      </w:r>
      <w:r w:rsidRPr="00B834A2">
        <w:rPr>
          <w:rFonts w:ascii="Sylfaen" w:hAnsi="Sylfaen"/>
          <w:color w:val="000000"/>
          <w:sz w:val="24"/>
          <w:szCs w:val="24"/>
        </w:rPr>
        <w:t xml:space="preserve">յալ տեսքը. </w:t>
      </w:r>
    </w:p>
    <w:p w14:paraId="41B263B5"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Q</m:t>
            </m:r>
          </m:e>
          <m:sub>
            <m:r>
              <w:rPr>
                <w:rFonts w:ascii="Cambria Math" w:hAnsi="Cambria Math" w:cs="Sylfaen"/>
                <w:sz w:val="24"/>
                <w:szCs w:val="24"/>
              </w:rPr>
              <m:t>1</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3</m:t>
                    </m:r>
                  </m:sub>
                </m:sSub>
              </m:e>
            </m:d>
          </m:num>
          <m:den>
            <m:r>
              <w:rPr>
                <w:rFonts w:ascii="Cambria Math" w:hAnsi="Cambria Math" w:cs="Sylfaen"/>
                <w:sz w:val="24"/>
                <w:szCs w:val="24"/>
              </w:rPr>
              <m:t>R</m:t>
            </m:r>
          </m:den>
        </m:f>
      </m:oMath>
      <w:r w:rsidR="00B834A2">
        <w:rPr>
          <w:rFonts w:ascii="Sylfaen" w:hAnsi="Sylfaen"/>
          <w:sz w:val="24"/>
          <w:szCs w:val="24"/>
        </w:rPr>
        <w:t xml:space="preserve"> </w:t>
      </w:r>
      <w:r w:rsidR="000D219C" w:rsidRPr="002E52D1">
        <w:rPr>
          <w:rFonts w:ascii="Sylfaen" w:hAnsi="Sylfaen"/>
          <w:sz w:val="24"/>
          <w:szCs w:val="24"/>
        </w:rPr>
        <w:tab/>
      </w:r>
      <w:r w:rsidR="00B834A2" w:rsidRPr="00B834A2">
        <w:rPr>
          <w:rFonts w:ascii="Sylfaen" w:hAnsi="Sylfaen"/>
          <w:color w:val="000000"/>
          <w:sz w:val="24"/>
          <w:szCs w:val="24"/>
        </w:rPr>
        <w:t>(1.12ա)</w:t>
      </w:r>
    </w:p>
    <w:p w14:paraId="73A7FE87"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Q</m:t>
            </m:r>
          </m:e>
          <m:sub>
            <m:r>
              <w:rPr>
                <w:rFonts w:ascii="Cambria Math" w:hAnsi="Cambria Math" w:cs="Sylfaen"/>
                <w:sz w:val="24"/>
                <w:szCs w:val="24"/>
              </w:rPr>
              <m:t>1</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n-1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n-2</m:t>
                    </m:r>
                  </m:sub>
                </m:sSub>
              </m:e>
            </m:d>
          </m:num>
          <m:den>
            <m:r>
              <w:rPr>
                <w:rFonts w:ascii="Cambria Math" w:hAnsi="Cambria Math" w:cs="Sylfaen"/>
                <w:sz w:val="24"/>
                <w:szCs w:val="24"/>
              </w:rPr>
              <m:t>R</m:t>
            </m:r>
          </m:den>
        </m:f>
      </m:oMath>
      <w:r w:rsidR="00B834A2" w:rsidRPr="00B834A2">
        <w:rPr>
          <w:rFonts w:ascii="Sylfaen" w:hAnsi="Sylfaen"/>
          <w:color w:val="000000"/>
          <w:sz w:val="24"/>
          <w:szCs w:val="24"/>
        </w:rPr>
        <w:t>.</w:t>
      </w:r>
      <w:r w:rsidR="000D219C" w:rsidRPr="002E52D1">
        <w:rPr>
          <w:rFonts w:ascii="Sylfaen" w:hAnsi="Sylfaen"/>
          <w:color w:val="000000"/>
          <w:sz w:val="24"/>
          <w:szCs w:val="24"/>
        </w:rPr>
        <w:tab/>
      </w:r>
      <w:r w:rsidR="00B834A2" w:rsidRPr="00B834A2">
        <w:rPr>
          <w:rFonts w:ascii="Sylfaen" w:hAnsi="Sylfaen"/>
          <w:color w:val="000000"/>
          <w:sz w:val="24"/>
          <w:szCs w:val="24"/>
        </w:rPr>
        <w:t>(1.12բ)</w:t>
      </w:r>
    </w:p>
    <w:p w14:paraId="0EDC70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Արդյունքում ստացված միատարր ընտրանքն օգտագործվում է </w:t>
      </w:r>
      <m:oMath>
        <m:bar>
          <m:barPr>
            <m:pos m:val="top"/>
            <m:ctrlPr>
              <w:rPr>
                <w:rFonts w:ascii="Cambria Math" w:hAnsi="Cambria Math" w:cs="Sylfaen"/>
                <w:bCs/>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 xml:space="preserve">, </m:t>
        </m:r>
        <m:sSup>
          <m:sSupPr>
            <m:ctrlPr>
              <w:rPr>
                <w:rFonts w:ascii="Cambria Math" w:hAnsi="Cambria Math" w:cs="Sylfaen"/>
                <w:bCs/>
                <w:i/>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r>
          <w:rPr>
            <w:rFonts w:ascii="Cambria Math" w:hAnsi="Cambria Math" w:cs="Sylfaen"/>
            <w:color w:val="000000"/>
            <w:sz w:val="24"/>
            <w:szCs w:val="24"/>
          </w:rPr>
          <m:t>,s</m:t>
        </m:r>
        <m:r>
          <m:rPr>
            <m:sty m:val="bi"/>
          </m:rPr>
          <w:rPr>
            <w:rFonts w:ascii="Cambria Math" w:hAnsi="Cambria Math" w:cs="Sylfaen"/>
            <w:color w:val="000000"/>
            <w:sz w:val="24"/>
            <w:szCs w:val="24"/>
          </w:rPr>
          <m:t>,</m:t>
        </m:r>
      </m:oMath>
      <w:r w:rsidRPr="00B834A2">
        <w:rPr>
          <w:rFonts w:ascii="Sylfaen" w:hAnsi="Sylfaen"/>
          <w:b/>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¯x</m:t>
            </m:r>
          </m:sub>
        </m:sSub>
      </m:oMath>
      <w:r w:rsidRPr="00B834A2">
        <w:rPr>
          <w:rFonts w:ascii="Sylfaen" w:hAnsi="Sylfaen"/>
          <w:color w:val="000000"/>
          <w:sz w:val="24"/>
          <w:szCs w:val="24"/>
        </w:rPr>
        <w:t xml:space="preserve"> հաշվարկման համար:</w:t>
      </w:r>
    </w:p>
    <w:p w14:paraId="39E19BE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Փոքր ծավալի ընտրանքի միատարրության ստուգման օրինակը բերված է 6.2 բաժնում:</w:t>
      </w:r>
    </w:p>
    <w:p w14:paraId="1F25F44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lastRenderedPageBreak/>
        <w:t>Մոտեցում 2:</w:t>
      </w:r>
      <w:r w:rsidRPr="00B834A2">
        <w:rPr>
          <w:rFonts w:ascii="Sylfaen" w:hAnsi="Sylfaen"/>
          <w:color w:val="000000"/>
          <w:sz w:val="24"/>
          <w:szCs w:val="24"/>
        </w:rPr>
        <w:t xml:space="preserve"> Մեծ ծավալի ընտրանքի (n &gt; 10) միատարրության ստուգման համար նպատակահարմար է անցկացնել ամբողջ ընտրանքի նախնական վիճակագրական մշակում՝ ենթադրելով այն որպես միատարր, </w:t>
      </w:r>
      <w:r>
        <w:rPr>
          <w:rFonts w:ascii="Sylfaen" w:hAnsi="Sylfaen"/>
          <w:color w:val="000000"/>
          <w:sz w:val="24"/>
          <w:szCs w:val="24"/>
        </w:rPr>
        <w:t>եւ</w:t>
      </w:r>
      <w:r w:rsidRPr="00B834A2">
        <w:rPr>
          <w:rFonts w:ascii="Sylfaen" w:hAnsi="Sylfaen"/>
          <w:color w:val="000000"/>
          <w:sz w:val="24"/>
          <w:szCs w:val="24"/>
        </w:rPr>
        <w:t xml:space="preserve"> դրանից հետո միայն գտնված վիճակագրական բնութագրերի հիման վրա լուծել (1.13) հավասարման համաձայն միատարրության մասին արված ենթադրության ճշտությանը վերաբերող հարցը:</w:t>
      </w:r>
    </w:p>
    <w:p w14:paraId="0E195D6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Հաշվում են </w:t>
      </w:r>
      <m:oMath>
        <m:bar>
          <m:barPr>
            <m:pos m:val="top"/>
            <m:ctrlPr>
              <w:rPr>
                <w:rFonts w:ascii="Cambria Math" w:hAnsi="Cambria Math" w:cs="Sylfaen"/>
                <w:bCs/>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 xml:space="preserve">, </m:t>
        </m:r>
        <m:sSup>
          <m:sSupPr>
            <m:ctrlPr>
              <w:rPr>
                <w:rFonts w:ascii="Cambria Math" w:hAnsi="Cambria Math" w:cs="Sylfaen"/>
                <w:bCs/>
                <w:i/>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r>
          <w:rPr>
            <w:rFonts w:ascii="Cambria Math" w:hAnsi="Cambria Math" w:cs="Sylfaen"/>
            <w:color w:val="000000"/>
            <w:sz w:val="24"/>
            <w:szCs w:val="24"/>
          </w:rPr>
          <m:t>,s</m:t>
        </m:r>
        <m:r>
          <m:rPr>
            <m:sty m:val="bi"/>
          </m:rPr>
          <w:rPr>
            <w:rFonts w:ascii="Cambria Math" w:hAnsi="Cambria Math" w:cs="Sylfaen"/>
            <w:color w:val="000000"/>
            <w:sz w:val="24"/>
            <w:szCs w:val="24"/>
          </w:rPr>
          <m:t>,</m:t>
        </m:r>
      </m:oMath>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¯x</m:t>
            </m:r>
          </m:sub>
        </m:sSub>
      </m:oMath>
      <w:r w:rsidRPr="00B834A2">
        <w:rPr>
          <w:rFonts w:ascii="Sylfaen" w:hAnsi="Sylfaen"/>
          <w:color w:val="000000"/>
          <w:sz w:val="24"/>
          <w:szCs w:val="24"/>
        </w:rPr>
        <w:t xml:space="preserve"> վիճակագրական բնութագրերը մեծ ծավալի ընտրանքի համար </w:t>
      </w:r>
      <w:r>
        <w:rPr>
          <w:rFonts w:ascii="Sylfaen" w:hAnsi="Sylfaen"/>
          <w:color w:val="000000"/>
          <w:sz w:val="24"/>
          <w:szCs w:val="24"/>
        </w:rPr>
        <w:t>եւ</w:t>
      </w:r>
      <w:r w:rsidRPr="00B834A2">
        <w:rPr>
          <w:rFonts w:ascii="Sylfaen" w:hAnsi="Sylfaen"/>
          <w:color w:val="000000"/>
          <w:sz w:val="24"/>
          <w:szCs w:val="24"/>
        </w:rPr>
        <w:t xml:space="preserve"> ստուգում են դրա միատարրությունը: Ընտրանքը ճանաչվում է միատարր, եթե բոլոր տարբերակների համար կատարվում է հետ</w:t>
      </w:r>
      <w:r>
        <w:rPr>
          <w:rFonts w:ascii="Sylfaen" w:hAnsi="Sylfaen"/>
          <w:color w:val="000000"/>
          <w:sz w:val="24"/>
          <w:szCs w:val="24"/>
        </w:rPr>
        <w:t>եւ</w:t>
      </w:r>
      <w:r w:rsidRPr="00B834A2">
        <w:rPr>
          <w:rFonts w:ascii="Sylfaen" w:hAnsi="Sylfaen"/>
          <w:color w:val="000000"/>
          <w:sz w:val="24"/>
          <w:szCs w:val="24"/>
        </w:rPr>
        <w:t>յալ պայմանը.</w:t>
      </w:r>
    </w:p>
    <w:p w14:paraId="7E21EE51"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d</m:t>
                </m:r>
              </m:e>
              <m:sub>
                <m:r>
                  <w:rPr>
                    <w:rFonts w:ascii="Cambria Math" w:hAnsi="Cambria Math" w:cs="Sylfaen"/>
                    <w:color w:val="000000"/>
                    <w:sz w:val="24"/>
                    <w:szCs w:val="24"/>
                  </w:rPr>
                  <m:t>i</m:t>
                </m:r>
              </m:sub>
            </m:sSub>
          </m:e>
        </m:d>
        <m:r>
          <w:rPr>
            <w:rFonts w:ascii="Cambria Math" w:hAnsi="Cambria Math" w:cs="Sylfaen"/>
            <w:color w:val="000000"/>
            <w:sz w:val="24"/>
            <w:szCs w:val="24"/>
          </w:rPr>
          <m:t>≤3*s.</m:t>
        </m:r>
      </m:oMath>
      <w:r w:rsidR="000D219C" w:rsidRPr="002E52D1">
        <w:rPr>
          <w:rFonts w:ascii="Sylfaen" w:hAnsi="Sylfaen"/>
          <w:color w:val="000000"/>
          <w:sz w:val="24"/>
          <w:szCs w:val="24"/>
        </w:rPr>
        <w:tab/>
      </w:r>
      <w:r w:rsidR="000D219C" w:rsidRPr="00B834A2">
        <w:t>(</w:t>
      </w:r>
      <w:r w:rsidR="00B834A2" w:rsidRPr="00B834A2">
        <w:rPr>
          <w:rFonts w:ascii="Sylfaen" w:hAnsi="Sylfaen"/>
          <w:color w:val="000000"/>
          <w:sz w:val="24"/>
          <w:szCs w:val="24"/>
        </w:rPr>
        <w:t>1.13)</w:t>
      </w:r>
    </w:p>
    <w:p w14:paraId="76C0A3D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ընտրանքը ճանաչվել է ոչ միատարր, ապա տարբերակները, որոնց համար </w:t>
      </w:r>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d</m:t>
                </m:r>
              </m:e>
              <m:sub>
                <m:r>
                  <w:rPr>
                    <w:rFonts w:ascii="Cambria Math" w:hAnsi="Cambria Math" w:cs="Sylfaen"/>
                    <w:color w:val="000000"/>
                    <w:sz w:val="24"/>
                    <w:szCs w:val="24"/>
                  </w:rPr>
                  <m:t>i</m:t>
                </m:r>
              </m:sub>
            </m:sSub>
          </m:e>
        </m:d>
        <m:r>
          <w:rPr>
            <w:rFonts w:ascii="Cambria Math" w:hAnsi="Cambria Math" w:cs="Sylfaen"/>
            <w:color w:val="000000"/>
            <w:sz w:val="24"/>
            <w:szCs w:val="24"/>
          </w:rPr>
          <m:t>≤3*s,</m:t>
        </m:r>
      </m:oMath>
      <w:r w:rsidRPr="00B834A2">
        <w:rPr>
          <w:rFonts w:ascii="Sylfaen" w:hAnsi="Sylfaen"/>
          <w:color w:val="000000"/>
          <w:sz w:val="24"/>
          <w:szCs w:val="24"/>
        </w:rPr>
        <w:t xml:space="preserve"> բացառում են որպես վստահելի հավանականությամբ ծանր սխալանքներով ծանրաբեռնված</w:t>
      </w:r>
      <w:r w:rsidRPr="00B834A2">
        <w:rPr>
          <w:rFonts w:ascii="Sylfaen" w:hAnsi="Sylfaen"/>
          <w:i/>
          <w:color w:val="000000"/>
          <w:sz w:val="24"/>
          <w:szCs w:val="24"/>
        </w:rPr>
        <w:t xml:space="preserve"> Р&gt;</w:t>
      </w:r>
      <w:r w:rsidRPr="00B834A2">
        <w:rPr>
          <w:rFonts w:ascii="Sylfaen" w:hAnsi="Sylfaen"/>
          <w:color w:val="000000"/>
          <w:sz w:val="24"/>
          <w:szCs w:val="24"/>
        </w:rPr>
        <w:t>99,0 %: Այդ դեպքում կրճատված ծավալի ստացված ընտրանքի համար կրկնում են վիճակագրական բնութա</w:t>
      </w:r>
      <w:r w:rsidR="00685C9F">
        <w:rPr>
          <w:rFonts w:ascii="Sylfaen" w:hAnsi="Sylfaen"/>
          <w:color w:val="000000"/>
          <w:sz w:val="24"/>
          <w:szCs w:val="24"/>
        </w:rPr>
        <w:t>գրերի հաշվարկների ցիկլը (1.2)-</w:t>
      </w:r>
      <w:r w:rsidRPr="00B834A2">
        <w:rPr>
          <w:rFonts w:ascii="Sylfaen" w:hAnsi="Sylfaen"/>
          <w:color w:val="000000"/>
          <w:sz w:val="24"/>
          <w:szCs w:val="24"/>
        </w:rPr>
        <w:t xml:space="preserve">(1.7) հավասարումներով </w:t>
      </w:r>
      <w:r>
        <w:rPr>
          <w:rFonts w:ascii="Sylfaen" w:hAnsi="Sylfaen"/>
          <w:color w:val="000000"/>
          <w:sz w:val="24"/>
          <w:szCs w:val="24"/>
        </w:rPr>
        <w:t>եւ</w:t>
      </w:r>
      <w:r w:rsidRPr="00B834A2">
        <w:rPr>
          <w:rFonts w:ascii="Sylfaen" w:hAnsi="Sylfaen"/>
          <w:color w:val="000000"/>
          <w:sz w:val="24"/>
          <w:szCs w:val="24"/>
        </w:rPr>
        <w:t xml:space="preserve"> կրկին անց են կացնում միատարրության ստուգում: Վիճակագրական բնութագրերի հաշվարկումը համարում են ավարտված, երբ պարզվում է կրճատված ծավալի ընտրանքի միատարր լինելը:</w:t>
      </w:r>
    </w:p>
    <w:p w14:paraId="575975A5" w14:textId="77777777" w:rsidR="000D219C" w:rsidRPr="002E52D1" w:rsidRDefault="000D219C" w:rsidP="00B834A2">
      <w:pPr>
        <w:pStyle w:val="a0"/>
        <w:shd w:val="clear" w:color="auto" w:fill="auto"/>
        <w:spacing w:after="160" w:line="360" w:lineRule="auto"/>
        <w:ind w:firstLine="567"/>
        <w:jc w:val="both"/>
        <w:rPr>
          <w:rFonts w:ascii="Sylfaen" w:hAnsi="Sylfaen"/>
          <w:b/>
          <w:color w:val="000000"/>
          <w:sz w:val="24"/>
          <w:szCs w:val="24"/>
        </w:rPr>
      </w:pPr>
    </w:p>
    <w:p w14:paraId="1E032A5D" w14:textId="77777777" w:rsidR="00B834A2" w:rsidRPr="00B834A2" w:rsidRDefault="00B834A2" w:rsidP="000D219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1.4.</w:t>
      </w:r>
      <w:r w:rsidR="000D219C" w:rsidRPr="002E52D1">
        <w:rPr>
          <w:rFonts w:ascii="Sylfaen" w:hAnsi="Sylfaen"/>
          <w:b/>
          <w:color w:val="000000"/>
          <w:sz w:val="24"/>
          <w:szCs w:val="24"/>
        </w:rPr>
        <w:tab/>
      </w:r>
      <w:r w:rsidRPr="00B834A2">
        <w:rPr>
          <w:rFonts w:ascii="Sylfaen" w:hAnsi="Sylfaen"/>
          <w:b/>
          <w:color w:val="000000"/>
          <w:sz w:val="24"/>
          <w:szCs w:val="24"/>
        </w:rPr>
        <w:t>Միատարր ընտրանքների միավորումը</w:t>
      </w:r>
    </w:p>
    <w:p w14:paraId="7A7CE914" w14:textId="77777777" w:rsidR="00B834A2" w:rsidRPr="00B834A2" w:rsidRDefault="00685C9F" w:rsidP="00685C9F">
      <w:pPr>
        <w:pStyle w:val="a0"/>
        <w:shd w:val="clear" w:color="auto" w:fill="auto"/>
        <w:tabs>
          <w:tab w:val="left" w:pos="1276"/>
        </w:tabs>
        <w:spacing w:after="160" w:line="360" w:lineRule="auto"/>
        <w:ind w:firstLine="567"/>
        <w:jc w:val="both"/>
        <w:rPr>
          <w:rFonts w:ascii="Sylfaen" w:hAnsi="Sylfaen" w:cs="Sylfaen"/>
          <w:sz w:val="24"/>
          <w:szCs w:val="24"/>
        </w:rPr>
      </w:pPr>
      <w:r>
        <w:rPr>
          <w:rFonts w:ascii="Sylfaen" w:hAnsi="Sylfaen"/>
          <w:i/>
          <w:color w:val="000000"/>
          <w:sz w:val="24"/>
          <w:szCs w:val="24"/>
        </w:rPr>
        <w:t>1.4.1.</w:t>
      </w:r>
      <w:r w:rsidRPr="00685C9F">
        <w:rPr>
          <w:rFonts w:ascii="Sylfaen" w:hAnsi="Sylfaen"/>
          <w:i/>
          <w:color w:val="000000"/>
          <w:sz w:val="24"/>
          <w:szCs w:val="24"/>
        </w:rPr>
        <w:tab/>
      </w:r>
      <w:r w:rsidR="00B834A2" w:rsidRPr="00B834A2">
        <w:rPr>
          <w:rFonts w:ascii="Sylfaen" w:hAnsi="Sylfaen"/>
          <w:i/>
          <w:color w:val="000000"/>
          <w:sz w:val="24"/>
          <w:szCs w:val="24"/>
        </w:rPr>
        <w:t xml:space="preserve">Միավորված դիսպերսիա </w:t>
      </w:r>
      <w:r w:rsidR="00B834A2">
        <w:rPr>
          <w:rFonts w:ascii="Sylfaen" w:hAnsi="Sylfaen"/>
          <w:i/>
          <w:color w:val="000000"/>
          <w:sz w:val="24"/>
          <w:szCs w:val="24"/>
        </w:rPr>
        <w:t>եւ</w:t>
      </w:r>
      <w:r w:rsidR="00B834A2" w:rsidRPr="00B834A2">
        <w:rPr>
          <w:rFonts w:ascii="Sylfaen" w:hAnsi="Sylfaen"/>
          <w:i/>
          <w:color w:val="000000"/>
          <w:sz w:val="24"/>
          <w:szCs w:val="24"/>
        </w:rPr>
        <w:t xml:space="preserve"> միավորված միջին արժեք</w:t>
      </w:r>
    </w:p>
    <w:p w14:paraId="2506A66B" w14:textId="77777777" w:rsidR="00B834A2" w:rsidRPr="00685C9F"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k (</w:t>
      </w:r>
      <m:oMath>
        <m:r>
          <w:rPr>
            <w:rFonts w:ascii="Cambria Math" w:hAnsi="Cambria Math" w:cs="Sylfaen"/>
            <w:color w:val="000000"/>
            <w:sz w:val="24"/>
            <w:szCs w:val="24"/>
          </w:rPr>
          <m:t>1≤k≤g</m:t>
        </m:r>
      </m:oMath>
      <w:r w:rsidRPr="00B834A2">
        <w:rPr>
          <w:rFonts w:ascii="Sylfaen" w:hAnsi="Sylfaen"/>
          <w:i/>
          <w:color w:val="000000"/>
          <w:sz w:val="24"/>
          <w:szCs w:val="24"/>
        </w:rPr>
        <w:t xml:space="preserve">) </w:t>
      </w:r>
      <w:r w:rsidRPr="00685C9F">
        <w:rPr>
          <w:rFonts w:ascii="Sylfaen" w:hAnsi="Sylfaen"/>
          <w:color w:val="000000"/>
          <w:sz w:val="24"/>
          <w:szCs w:val="24"/>
        </w:rPr>
        <w:t xml:space="preserve">հերթական համարներով նույն համախմբությունից առկա է g ընտրանք, ապա միավորված դիսպերսիայի հաշվարկը </w:t>
      </w:r>
      <m:oMath>
        <m:sSubSup>
          <m:sSubSupPr>
            <m:ctrlPr>
              <w:rPr>
                <w:rFonts w:ascii="Cambria Math" w:hAnsi="Cambria Math" w:cs="Sylfaen"/>
                <w:color w:val="000000"/>
                <w:sz w:val="24"/>
                <w:szCs w:val="24"/>
              </w:rPr>
            </m:ctrlPr>
          </m:sSubSupPr>
          <m:e>
            <m:r>
              <m:rPr>
                <m:sty m:val="p"/>
              </m:rPr>
              <w:rPr>
                <w:rFonts w:ascii="Cambria Math" w:hAnsi="Cambria Math" w:cs="Sylfaen"/>
                <w:color w:val="000000"/>
                <w:sz w:val="24"/>
                <w:szCs w:val="24"/>
              </w:rPr>
              <m:t>s</m:t>
            </m:r>
          </m:e>
          <m:sub>
            <m:r>
              <m:rPr>
                <m:sty m:val="p"/>
              </m:rPr>
              <w:rPr>
                <w:rFonts w:ascii="Cambria Math" w:hAnsi="Cambria Math" w:cs="Sylfaen"/>
                <w:color w:val="000000"/>
                <w:sz w:val="24"/>
                <w:szCs w:val="24"/>
              </w:rPr>
              <m:t>p</m:t>
            </m:r>
          </m:sub>
          <m:sup>
            <m:r>
              <m:rPr>
                <m:sty m:val="p"/>
              </m:rPr>
              <w:rPr>
                <w:rFonts w:ascii="Cambria Math" w:hAnsi="Cambria Math" w:cs="Sylfaen"/>
                <w:color w:val="000000"/>
                <w:sz w:val="24"/>
                <w:szCs w:val="24"/>
              </w:rPr>
              <m:t>2</m:t>
            </m:r>
          </m:sup>
        </m:sSubSup>
        <m:r>
          <m:rPr>
            <m:sty m:val="p"/>
          </m:rPr>
          <w:rPr>
            <w:rFonts w:ascii="Cambria Math" w:hAnsi="Cambria Math" w:cs="Sylfaen"/>
            <w:color w:val="000000"/>
            <w:sz w:val="24"/>
            <w:szCs w:val="24"/>
          </w:rPr>
          <m:t xml:space="preserve"> </m:t>
        </m:r>
      </m:oMath>
      <w:r w:rsidRPr="00685C9F">
        <w:rPr>
          <w:rFonts w:ascii="Sylfaen" w:hAnsi="Sylfaen"/>
          <w:color w:val="000000"/>
          <w:sz w:val="24"/>
          <w:szCs w:val="24"/>
        </w:rPr>
        <w:t>կատարում են հետեւյալ բանաձեւով.</w:t>
      </w:r>
    </w:p>
    <w:p w14:paraId="0B2B1DFB"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p</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i=1</m:t>
                    </m:r>
                  </m:sub>
                  <m:sup>
                    <m:r>
                      <w:rPr>
                        <w:rFonts w:ascii="Cambria Math" w:hAnsi="Cambria Math" w:cs="Sylfaen"/>
                        <w:color w:val="000000"/>
                        <w:sz w:val="24"/>
                        <w:szCs w:val="24"/>
                      </w:rPr>
                      <m:t>i=</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sup>
                  <m:e>
                    <m:sSubSup>
                      <m:sSubSupPr>
                        <m:ctrlPr>
                          <w:rPr>
                            <w:rFonts w:ascii="Cambria Math" w:hAnsi="Cambria Math" w:cs="Sylfaen"/>
                            <w:i/>
                            <w:color w:val="000000"/>
                            <w:sz w:val="24"/>
                            <w:szCs w:val="24"/>
                          </w:rPr>
                        </m:ctrlPr>
                      </m:sSubSupPr>
                      <m:e>
                        <m:r>
                          <w:rPr>
                            <w:rFonts w:ascii="Cambria Math" w:hAnsi="Cambria Math" w:cs="Sylfaen"/>
                            <w:color w:val="000000"/>
                            <w:sz w:val="24"/>
                            <w:szCs w:val="24"/>
                          </w:rPr>
                          <m:t>d</m:t>
                        </m:r>
                      </m:e>
                      <m:sub>
                        <m:r>
                          <w:rPr>
                            <w:rFonts w:ascii="Cambria Math" w:hAnsi="Cambria Math" w:cs="Sylfaen"/>
                            <w:color w:val="000000"/>
                            <w:sz w:val="24"/>
                            <w:szCs w:val="24"/>
                          </w:rPr>
                          <m:t>ik</m:t>
                        </m:r>
                      </m:sub>
                      <m:sup>
                        <m:r>
                          <w:rPr>
                            <w:rFonts w:ascii="Cambria Math" w:hAnsi="Cambria Math" w:cs="Sylfaen"/>
                            <w:color w:val="000000"/>
                            <w:sz w:val="24"/>
                            <w:szCs w:val="24"/>
                          </w:rPr>
                          <m:t>2</m:t>
                        </m:r>
                      </m:sup>
                    </m:sSubSup>
                  </m:e>
                </m:nary>
              </m:e>
            </m:nary>
          </m:num>
          <m:den>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den>
        </m:f>
        <m:r>
          <w:rPr>
            <w:rFonts w:ascii="Cambria Math" w:hAnsi="Cambria Math" w:cs="Sylfaen"/>
            <w:color w:val="000000"/>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d>
                  <m:dPr>
                    <m:begChr m:val="["/>
                    <m:endChr m:val="]"/>
                    <m:ctrlPr>
                      <w:rPr>
                        <w:rFonts w:ascii="Cambria Math" w:hAnsi="Cambria Math" w:cs="Sylfaen"/>
                        <w:i/>
                        <w:color w:val="000000"/>
                        <w:sz w:val="24"/>
                        <w:szCs w:val="24"/>
                      </w:rPr>
                    </m:ctrlPr>
                  </m:dPr>
                  <m:e>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r>
                          <w:rPr>
                            <w:rFonts w:ascii="Cambria Math" w:hAnsi="Cambria Math" w:cs="Sylfaen"/>
                            <w:color w:val="000000"/>
                            <w:sz w:val="24"/>
                            <w:szCs w:val="24"/>
                          </w:rPr>
                          <m:t>-1</m:t>
                        </m:r>
                      </m:e>
                    </m:d>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d>
              </m:e>
            </m:nary>
          </m:num>
          <m:den>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den>
        </m:f>
        <m:r>
          <w:rPr>
            <w:rFonts w:ascii="Cambria Math" w:hAnsi="Cambria Math" w:cs="Sylfaen"/>
            <w:color w:val="000000"/>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nary>
          </m:num>
          <m:den>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den>
        </m:f>
      </m:oMath>
      <w:r w:rsidR="00B834A2" w:rsidRPr="00B834A2">
        <w:rPr>
          <w:rFonts w:ascii="Sylfaen" w:hAnsi="Sylfaen"/>
          <w:sz w:val="24"/>
          <w:szCs w:val="24"/>
        </w:rPr>
        <w:t xml:space="preserve"> </w:t>
      </w:r>
      <w:r w:rsidR="000D219C" w:rsidRPr="000D219C">
        <w:rPr>
          <w:rFonts w:ascii="Sylfaen" w:hAnsi="Sylfaen"/>
          <w:sz w:val="24"/>
          <w:szCs w:val="24"/>
        </w:rPr>
        <w:tab/>
      </w:r>
      <w:r w:rsidR="00B834A2" w:rsidRPr="00B834A2">
        <w:rPr>
          <w:rFonts w:ascii="Sylfaen" w:hAnsi="Sylfaen"/>
          <w:color w:val="000000"/>
          <w:sz w:val="24"/>
          <w:szCs w:val="24"/>
        </w:rPr>
        <w:t>(1.14)</w:t>
      </w:r>
    </w:p>
    <w:p w14:paraId="1029E820" w14:textId="77777777" w:rsidR="00B834A2" w:rsidRPr="00B834A2" w:rsidRDefault="00B834A2" w:rsidP="000D219C">
      <w:pPr>
        <w:pStyle w:val="a0"/>
        <w:shd w:val="clear" w:color="auto" w:fill="auto"/>
        <w:tabs>
          <w:tab w:val="left" w:pos="4253"/>
        </w:tabs>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կամ միավորված հարաբերական մեծությունների համար՝ </w:t>
      </w:r>
    </w:p>
    <w:p w14:paraId="32BAC11C"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p,r</m:t>
            </m:r>
          </m:sub>
          <m:sup>
            <m:r>
              <w:rPr>
                <w:rFonts w:ascii="Cambria Math" w:hAnsi="Cambria Math" w:cs="Sylfaen"/>
                <w:sz w:val="24"/>
                <w:szCs w:val="24"/>
              </w:rPr>
              <m:t>2</m:t>
            </m:r>
          </m:sup>
        </m:sSubSup>
        <m:r>
          <w:rPr>
            <w:rFonts w:ascii="Cambria Math" w:hAnsi="Cambria Math" w:cs="Sylfaen"/>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k,r</m:t>
                    </m:r>
                  </m:sub>
                  <m:sup>
                    <m:r>
                      <w:rPr>
                        <w:rFonts w:ascii="Cambria Math" w:hAnsi="Cambria Math" w:cs="Sylfaen"/>
                        <w:color w:val="000000"/>
                        <w:sz w:val="24"/>
                        <w:szCs w:val="24"/>
                      </w:rPr>
                      <m:t>2</m:t>
                    </m:r>
                  </m:sup>
                </m:sSubSup>
              </m:e>
            </m:nary>
          </m:num>
          <m:den>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den>
        </m:f>
      </m:oMath>
      <w:r w:rsidR="00B834A2" w:rsidRPr="00B834A2">
        <w:rPr>
          <w:rFonts w:ascii="Sylfaen" w:hAnsi="Sylfaen"/>
          <w:sz w:val="24"/>
          <w:szCs w:val="24"/>
        </w:rPr>
        <w:t xml:space="preserve"> </w:t>
      </w:r>
      <w:r w:rsidR="00B834A2" w:rsidRPr="00B834A2">
        <w:rPr>
          <w:rFonts w:ascii="Sylfaen" w:hAnsi="Sylfaen"/>
          <w:color w:val="000000"/>
          <w:sz w:val="24"/>
          <w:szCs w:val="24"/>
        </w:rPr>
        <w:t>,</w:t>
      </w:r>
      <w:r w:rsidR="00B834A2" w:rsidRPr="00B834A2">
        <w:rPr>
          <w:rFonts w:ascii="Sylfaen" w:hAnsi="Sylfaen"/>
          <w:sz w:val="24"/>
          <w:szCs w:val="24"/>
        </w:rPr>
        <w:t xml:space="preserve"> </w:t>
      </w:r>
      <w:r w:rsidR="000D219C" w:rsidRPr="000D219C">
        <w:rPr>
          <w:rFonts w:ascii="Sylfaen" w:hAnsi="Sylfaen"/>
          <w:sz w:val="24"/>
          <w:szCs w:val="24"/>
        </w:rPr>
        <w:tab/>
      </w:r>
      <w:r w:rsidR="00B834A2" w:rsidRPr="00B834A2">
        <w:rPr>
          <w:rFonts w:ascii="Sylfaen" w:hAnsi="Sylfaen"/>
          <w:color w:val="000000"/>
          <w:sz w:val="24"/>
          <w:szCs w:val="24"/>
        </w:rPr>
        <w:t>(1.14ա)</w:t>
      </w:r>
    </w:p>
    <w:p w14:paraId="418F0C77"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RSD</m:t>
            </m:r>
          </m:e>
          <m:sub>
            <m:r>
              <w:rPr>
                <w:rFonts w:ascii="Cambria Math" w:hAnsi="Cambria Math" w:cs="Sylfaen"/>
                <w:color w:val="000000"/>
                <w:sz w:val="24"/>
                <w:szCs w:val="24"/>
              </w:rPr>
              <m:t>p</m:t>
            </m:r>
          </m:sub>
          <m:sup>
            <m:r>
              <w:rPr>
                <w:rFonts w:ascii="Cambria Math" w:hAnsi="Cambria Math" w:cs="Sylfaen"/>
                <w:color w:val="000000"/>
                <w:sz w:val="24"/>
                <w:szCs w:val="24"/>
              </w:rPr>
              <m:t>2</m:t>
            </m:r>
          </m:sup>
        </m:sSubSup>
        <m:r>
          <w:rPr>
            <w:rFonts w:ascii="Cambria Math" w:hAnsi="Cambria Math" w:cs="Sylfaen"/>
            <w:color w:val="000000"/>
            <w:sz w:val="24"/>
            <w:szCs w:val="24"/>
          </w:rPr>
          <m:t>=</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RSD</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nary>
          </m:num>
          <m:den>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den>
        </m:f>
      </m:oMath>
      <w:r w:rsidR="00B834A2">
        <w:rPr>
          <w:rFonts w:ascii="Sylfaen" w:hAnsi="Sylfaen"/>
          <w:sz w:val="24"/>
          <w:szCs w:val="24"/>
        </w:rPr>
        <w:t xml:space="preserve"> </w:t>
      </w:r>
      <w:r w:rsidR="000D219C" w:rsidRPr="000D219C">
        <w:rPr>
          <w:rFonts w:ascii="Sylfaen" w:hAnsi="Sylfaen"/>
          <w:sz w:val="24"/>
          <w:szCs w:val="24"/>
        </w:rPr>
        <w:tab/>
      </w:r>
      <w:r w:rsidR="00B834A2" w:rsidRPr="00B834A2">
        <w:rPr>
          <w:rFonts w:ascii="Sylfaen" w:hAnsi="Sylfaen"/>
          <w:color w:val="000000"/>
          <w:sz w:val="24"/>
          <w:szCs w:val="24"/>
        </w:rPr>
        <w:t>(1.14բ)</w:t>
      </w:r>
    </w:p>
    <w:p w14:paraId="27DDFB09" w14:textId="77777777" w:rsidR="00B834A2" w:rsidRPr="000D219C" w:rsidRDefault="00B834A2" w:rsidP="00B834A2">
      <w:pPr>
        <w:pStyle w:val="a0"/>
        <w:shd w:val="clear" w:color="auto" w:fill="auto"/>
        <w:spacing w:after="160" w:line="360" w:lineRule="auto"/>
        <w:ind w:firstLine="567"/>
        <w:jc w:val="both"/>
        <w:rPr>
          <w:rFonts w:ascii="Sylfaen" w:hAnsi="Sylfaen" w:cs="Sylfaen"/>
          <w:spacing w:val="-4"/>
          <w:sz w:val="24"/>
          <w:szCs w:val="24"/>
        </w:rPr>
      </w:pPr>
      <w:r w:rsidRPr="000D219C">
        <w:rPr>
          <w:rFonts w:ascii="Sylfaen" w:hAnsi="Sylfaen"/>
          <w:color w:val="000000"/>
          <w:spacing w:val="-4"/>
          <w:sz w:val="24"/>
          <w:szCs w:val="24"/>
        </w:rPr>
        <w:t xml:space="preserve">ընդ որում, ազատության աստիճանների միավորված թիվը՝ </w:t>
      </w:r>
      <m:oMath>
        <m:sSub>
          <m:sSubPr>
            <m:ctrlPr>
              <w:rPr>
                <w:rFonts w:ascii="Cambria Math" w:hAnsi="Cambria Math" w:cs="Sylfaen"/>
                <w:i/>
                <w:color w:val="000000"/>
                <w:spacing w:val="-4"/>
                <w:sz w:val="24"/>
                <w:szCs w:val="24"/>
              </w:rPr>
            </m:ctrlPr>
          </m:sSubPr>
          <m:e>
            <m:r>
              <w:rPr>
                <w:rFonts w:ascii="Cambria Math" w:hAnsi="Cambria Math" w:cs="Sylfaen"/>
                <w:color w:val="000000"/>
                <w:spacing w:val="-4"/>
                <w:sz w:val="24"/>
                <w:szCs w:val="24"/>
              </w:rPr>
              <m:t>f</m:t>
            </m:r>
          </m:e>
          <m:sub>
            <m:r>
              <w:rPr>
                <w:rFonts w:ascii="Cambria Math" w:hAnsi="Cambria Math" w:cs="Sylfaen"/>
                <w:color w:val="000000"/>
                <w:spacing w:val="-4"/>
                <w:sz w:val="24"/>
                <w:szCs w:val="24"/>
              </w:rPr>
              <m:t>p</m:t>
            </m:r>
          </m:sub>
        </m:sSub>
        <m:r>
          <w:rPr>
            <w:rFonts w:ascii="Cambria Math" w:hAnsi="Cambria Math" w:cs="Sylfaen"/>
            <w:color w:val="000000"/>
            <w:spacing w:val="-4"/>
            <w:sz w:val="24"/>
            <w:szCs w:val="24"/>
          </w:rPr>
          <m:t>-</m:t>
        </m:r>
        <m:r>
          <w:rPr>
            <w:rFonts w:ascii="Sylfaen" w:hAnsi="Sylfaen" w:cs="Sylfaen"/>
            <w:color w:val="000000"/>
            <w:spacing w:val="-4"/>
            <w:sz w:val="24"/>
            <w:szCs w:val="24"/>
          </w:rPr>
          <m:t>ն</m:t>
        </m:r>
        <m:r>
          <w:rPr>
            <w:rFonts w:ascii="Cambria Math" w:hAnsi="Cambria Math" w:cs="Sylfaen"/>
            <w:color w:val="000000"/>
            <w:spacing w:val="-4"/>
            <w:sz w:val="24"/>
            <w:szCs w:val="24"/>
          </w:rPr>
          <m:t>,</m:t>
        </m:r>
      </m:oMath>
      <w:r w:rsidRPr="000D219C">
        <w:rPr>
          <w:rFonts w:ascii="Sylfaen" w:hAnsi="Sylfaen"/>
          <w:color w:val="000000"/>
          <w:spacing w:val="-4"/>
          <w:sz w:val="24"/>
          <w:szCs w:val="24"/>
        </w:rPr>
        <w:t xml:space="preserve"> հավասար է՝</w:t>
      </w:r>
    </w:p>
    <w:p w14:paraId="09F45EE4"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r>
          <w:rPr>
            <w:rFonts w:ascii="Cambria Math" w:hAnsi="Cambria Math" w:cs="Sylfaen"/>
            <w:color w:val="000000"/>
            <w:sz w:val="24"/>
            <w:szCs w:val="24"/>
          </w:rPr>
          <m:t>=</m:t>
        </m:r>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m:t>
            </m:r>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r>
                  <w:rPr>
                    <w:rFonts w:ascii="Cambria Math" w:hAnsi="Cambria Math" w:cs="Sylfaen"/>
                    <w:color w:val="000000"/>
                    <w:sz w:val="24"/>
                    <w:szCs w:val="24"/>
                  </w:rPr>
                  <m:t>-1)</m:t>
                </m:r>
              </m:e>
            </m:nary>
          </m:e>
        </m:nary>
      </m:oMath>
      <w:r w:rsidR="00B834A2" w:rsidRPr="00B834A2">
        <w:rPr>
          <w:rFonts w:ascii="Sylfaen" w:hAnsi="Sylfaen"/>
          <w:color w:val="000000"/>
          <w:sz w:val="24"/>
          <w:szCs w:val="24"/>
        </w:rPr>
        <w:t>.</w:t>
      </w:r>
      <w:r w:rsidR="000D219C" w:rsidRPr="002E52D1">
        <w:rPr>
          <w:rFonts w:ascii="Sylfaen" w:hAnsi="Sylfaen"/>
          <w:color w:val="000000"/>
          <w:sz w:val="24"/>
          <w:szCs w:val="24"/>
        </w:rPr>
        <w:tab/>
      </w:r>
      <w:r w:rsidR="00B834A2" w:rsidRPr="00B834A2">
        <w:rPr>
          <w:rFonts w:ascii="Sylfaen" w:hAnsi="Sylfaen"/>
          <w:color w:val="000000"/>
          <w:sz w:val="24"/>
          <w:szCs w:val="24"/>
        </w:rPr>
        <w:t>(1.15),</w:t>
      </w:r>
    </w:p>
    <w:p w14:paraId="7EE90367" w14:textId="77777777" w:rsidR="00F634DB" w:rsidRPr="00903268" w:rsidRDefault="00F634DB" w:rsidP="00B834A2">
      <w:pPr>
        <w:pStyle w:val="a0"/>
        <w:shd w:val="clear" w:color="auto" w:fill="auto"/>
        <w:spacing w:after="160" w:line="360" w:lineRule="auto"/>
        <w:ind w:firstLine="567"/>
        <w:jc w:val="both"/>
        <w:rPr>
          <w:rFonts w:ascii="Sylfaen" w:hAnsi="Sylfaen"/>
          <w:color w:val="000000"/>
          <w:sz w:val="24"/>
          <w:szCs w:val="24"/>
        </w:rPr>
      </w:pPr>
    </w:p>
    <w:p w14:paraId="4C34778F"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որտեղ՝</w:t>
      </w:r>
    </w:p>
    <w:p w14:paraId="13DB8D9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 xml:space="preserve"> </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r>
              <w:rPr>
                <w:rFonts w:ascii="Sylfaen" w:hAnsi="Sylfaen" w:cs="Sylfaen"/>
                <w:color w:val="000000"/>
                <w:sz w:val="24"/>
                <w:szCs w:val="24"/>
              </w:rPr>
              <m:t>ն</m:t>
            </m:r>
          </m:sub>
        </m:sSub>
      </m:oMath>
      <w:r w:rsidRPr="00B834A2">
        <w:rPr>
          <w:rFonts w:ascii="Sylfaen" w:hAnsi="Sylfaen"/>
          <w:color w:val="000000"/>
          <w:sz w:val="24"/>
          <w:szCs w:val="24"/>
        </w:rPr>
        <w:t xml:space="preserve"> </w:t>
      </w:r>
      <w:r w:rsidRPr="00B834A2">
        <w:rPr>
          <w:rFonts w:ascii="Sylfaen" w:hAnsi="Sylfaen"/>
          <w:i/>
          <w:color w:val="000000"/>
          <w:sz w:val="24"/>
          <w:szCs w:val="24"/>
        </w:rPr>
        <w:t>k</w:t>
      </w:r>
      <w:r w:rsidRPr="00B834A2">
        <w:rPr>
          <w:rFonts w:ascii="Sylfaen" w:hAnsi="Sylfaen"/>
          <w:color w:val="000000"/>
          <w:sz w:val="24"/>
          <w:szCs w:val="24"/>
        </w:rPr>
        <w:t>-ական ընտրանքում տարբերակների թիվն է.</w:t>
      </w:r>
    </w:p>
    <w:p w14:paraId="68D33E6E"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r>
              <w:rPr>
                <w:rFonts w:ascii="Sylfaen" w:hAnsi="Sylfaen" w:cs="Sylfaen"/>
                <w:color w:val="000000"/>
                <w:sz w:val="24"/>
                <w:szCs w:val="24"/>
              </w:rPr>
              <m:t>ն</m:t>
            </m:r>
          </m:sub>
        </m:sSub>
        <m:r>
          <w:rPr>
            <w:rFonts w:ascii="Sylfaen" w:hAnsi="Sylfaen" w:cs="Sylfaen"/>
            <w:color w:val="000000"/>
            <w:sz w:val="24"/>
            <w:szCs w:val="24"/>
          </w:rPr>
          <m:t>՝</m:t>
        </m:r>
      </m:oMath>
      <w:r w:rsidR="00B834A2">
        <w:rPr>
          <w:rFonts w:ascii="Sylfaen" w:hAnsi="Sylfaen"/>
          <w:i/>
          <w:color w:val="000000"/>
          <w:sz w:val="24"/>
          <w:szCs w:val="24"/>
        </w:rPr>
        <w:t xml:space="preserve"> </w:t>
      </w:r>
      <w:r w:rsidR="00B834A2" w:rsidRPr="00B834A2">
        <w:rPr>
          <w:rFonts w:ascii="Sylfaen" w:hAnsi="Sylfaen"/>
          <w:i/>
          <w:color w:val="000000"/>
          <w:sz w:val="24"/>
          <w:szCs w:val="24"/>
        </w:rPr>
        <w:t>k</w:t>
      </w:r>
      <w:r w:rsidR="00B834A2" w:rsidRPr="00B834A2">
        <w:rPr>
          <w:rFonts w:ascii="Sylfaen" w:hAnsi="Sylfaen"/>
          <w:color w:val="000000"/>
          <w:sz w:val="24"/>
          <w:szCs w:val="24"/>
        </w:rPr>
        <w:t>-ական ընտրանքում ազատության աստիճանների թիվը.</w:t>
      </w:r>
    </w:p>
    <w:p w14:paraId="0B0EEFBC"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r>
              <w:rPr>
                <w:rFonts w:ascii="Sylfaen" w:hAnsi="Sylfaen" w:cs="Sylfaen"/>
                <w:color w:val="000000"/>
                <w:sz w:val="24"/>
                <w:szCs w:val="24"/>
              </w:rPr>
              <m:t>ն՝</m:t>
            </m:r>
          </m:sub>
          <m:sup>
            <m:r>
              <w:rPr>
                <w:rFonts w:ascii="Cambria Math" w:hAnsi="Cambria Math" w:cs="Sylfaen"/>
                <w:color w:val="000000"/>
                <w:sz w:val="24"/>
                <w:szCs w:val="24"/>
              </w:rPr>
              <m:t>2</m:t>
            </m:r>
          </m:sup>
        </m:sSubSup>
      </m:oMath>
      <w:r w:rsidR="00B834A2" w:rsidRPr="00B834A2">
        <w:rPr>
          <w:rFonts w:ascii="Sylfaen" w:hAnsi="Sylfaen"/>
          <w:color w:val="000000"/>
          <w:sz w:val="24"/>
          <w:szCs w:val="24"/>
        </w:rPr>
        <w:t xml:space="preserve"> </w:t>
      </w:r>
      <w:r w:rsidR="00B834A2" w:rsidRPr="00B834A2">
        <w:rPr>
          <w:rFonts w:ascii="Sylfaen" w:hAnsi="Sylfaen"/>
          <w:i/>
          <w:color w:val="000000"/>
          <w:sz w:val="24"/>
          <w:szCs w:val="24"/>
        </w:rPr>
        <w:t>k</w:t>
      </w:r>
      <w:r w:rsidR="00B834A2" w:rsidRPr="00B834A2">
        <w:rPr>
          <w:rFonts w:ascii="Sylfaen" w:hAnsi="Sylfaen"/>
          <w:color w:val="000000"/>
          <w:sz w:val="24"/>
          <w:szCs w:val="24"/>
        </w:rPr>
        <w:t>-ական ընտրանքի դիսպերսիան.</w:t>
      </w:r>
    </w:p>
    <w:p w14:paraId="570FB6BE"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k,r</m:t>
            </m:r>
          </m:sub>
          <m:sup>
            <m:r>
              <w:rPr>
                <w:rFonts w:ascii="Cambria Math" w:hAnsi="Cambria Math" w:cs="Sylfaen"/>
                <w:color w:val="000000"/>
                <w:sz w:val="24"/>
                <w:szCs w:val="24"/>
              </w:rPr>
              <m:t>2</m:t>
            </m:r>
          </m:sup>
        </m:sSubSup>
      </m:oMath>
      <w:r w:rsidR="00B834A2" w:rsidRPr="00B834A2">
        <w:rPr>
          <w:rFonts w:ascii="Sylfaen" w:hAnsi="Sylfaen"/>
          <w:color w:val="000000"/>
          <w:sz w:val="24"/>
          <w:szCs w:val="24"/>
          <w:vertAlign w:val="subscript"/>
        </w:rPr>
        <w:t>г-ը՝</w:t>
      </w:r>
      <w:r w:rsidR="00B834A2" w:rsidRPr="00B834A2">
        <w:rPr>
          <w:rFonts w:ascii="Sylfaen" w:hAnsi="Sylfaen"/>
          <w:color w:val="000000"/>
          <w:sz w:val="24"/>
          <w:szCs w:val="24"/>
        </w:rPr>
        <w:t xml:space="preserve"> </w:t>
      </w:r>
      <w:r w:rsidR="00B834A2" w:rsidRPr="00B834A2">
        <w:rPr>
          <w:rFonts w:ascii="Sylfaen" w:hAnsi="Sylfaen"/>
          <w:i/>
          <w:color w:val="000000"/>
          <w:sz w:val="24"/>
          <w:szCs w:val="24"/>
        </w:rPr>
        <w:t>k</w:t>
      </w:r>
      <w:r w:rsidR="00B834A2" w:rsidRPr="00B834A2">
        <w:rPr>
          <w:rFonts w:ascii="Sylfaen" w:hAnsi="Sylfaen"/>
          <w:color w:val="000000"/>
          <w:sz w:val="24"/>
          <w:szCs w:val="24"/>
        </w:rPr>
        <w:t>-ական ընտրանքի հարաբերական դիսպերսիան.</w:t>
      </w:r>
    </w:p>
    <w:p w14:paraId="10E280C0"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iCs/>
                <w:color w:val="000000"/>
                <w:sz w:val="24"/>
                <w:szCs w:val="24"/>
              </w:rPr>
            </m:ctrlPr>
          </m:sSubPr>
          <m:e>
            <m:r>
              <w:rPr>
                <w:rFonts w:ascii="Cambria Math" w:hAnsi="Cambria Math" w:cs="Sylfaen"/>
                <w:color w:val="000000"/>
                <w:sz w:val="24"/>
                <w:szCs w:val="24"/>
              </w:rPr>
              <m:t>d</m:t>
            </m:r>
          </m:e>
          <m:sub>
            <m:r>
              <w:rPr>
                <w:rFonts w:ascii="Cambria Math" w:hAnsi="Cambria Math" w:cs="Sylfaen"/>
                <w:color w:val="000000"/>
                <w:sz w:val="24"/>
                <w:szCs w:val="24"/>
              </w:rPr>
              <m:t>ik-</m:t>
            </m:r>
            <m:r>
              <w:rPr>
                <w:rFonts w:ascii="Sylfaen" w:hAnsi="Sylfaen" w:cs="Sylfaen"/>
                <w:color w:val="000000"/>
                <w:sz w:val="24"/>
                <w:szCs w:val="24"/>
              </w:rPr>
              <m:t>ն</m:t>
            </m:r>
          </m:sub>
        </m:sSub>
        <m:r>
          <w:rPr>
            <w:rFonts w:ascii="Sylfaen" w:hAnsi="Sylfaen" w:cs="Sylfaen"/>
            <w:color w:val="000000"/>
            <w:sz w:val="24"/>
            <w:szCs w:val="24"/>
          </w:rPr>
          <m:t>՝</m:t>
        </m:r>
      </m:oMath>
      <w:r w:rsidR="00B834A2" w:rsidRPr="00B834A2">
        <w:rPr>
          <w:rFonts w:ascii="Sylfaen" w:hAnsi="Sylfaen"/>
          <w:color w:val="000000"/>
          <w:sz w:val="24"/>
          <w:szCs w:val="24"/>
        </w:rPr>
        <w:t xml:space="preserve"> </w:t>
      </w:r>
      <w:r w:rsidR="00B834A2" w:rsidRPr="00B834A2">
        <w:rPr>
          <w:rFonts w:ascii="Sylfaen" w:hAnsi="Sylfaen"/>
          <w:i/>
          <w:color w:val="000000"/>
          <w:sz w:val="24"/>
          <w:szCs w:val="24"/>
        </w:rPr>
        <w:t>k</w:t>
      </w:r>
      <w:r w:rsidR="00B834A2" w:rsidRPr="00B834A2">
        <w:rPr>
          <w:rFonts w:ascii="Sylfaen" w:hAnsi="Sylfaen"/>
          <w:color w:val="000000"/>
          <w:sz w:val="24"/>
          <w:szCs w:val="24"/>
        </w:rPr>
        <w:t xml:space="preserve">-ական ընտրանքում </w:t>
      </w:r>
      <w:r w:rsidR="00B834A2" w:rsidRPr="00B834A2">
        <w:rPr>
          <w:rFonts w:ascii="Sylfaen" w:hAnsi="Sylfaen"/>
          <w:i/>
          <w:color w:val="000000"/>
          <w:sz w:val="24"/>
          <w:szCs w:val="24"/>
        </w:rPr>
        <w:t>i-</w:t>
      </w:r>
      <w:r w:rsidR="00B834A2" w:rsidRPr="00B834A2">
        <w:rPr>
          <w:rFonts w:ascii="Sylfaen" w:hAnsi="Sylfaen"/>
          <w:color w:val="000000"/>
          <w:sz w:val="24"/>
          <w:szCs w:val="24"/>
        </w:rPr>
        <w:t>ական տարբերակի շեղումը:</w:t>
      </w:r>
    </w:p>
    <w:p w14:paraId="5C72048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 xml:space="preserve">k </w:t>
      </w:r>
      <m:oMath>
        <m:r>
          <w:rPr>
            <w:rFonts w:ascii="Cambria Math" w:hAnsi="Cambria Math" w:cs="Sylfaen"/>
            <w:color w:val="000000"/>
            <w:sz w:val="24"/>
            <w:szCs w:val="24"/>
          </w:rPr>
          <m:t>(1 ≤ k ≤g)</m:t>
        </m:r>
      </m:oMath>
      <w:r w:rsidRPr="00B834A2">
        <w:rPr>
          <w:rFonts w:ascii="Sylfaen" w:hAnsi="Sylfaen"/>
          <w:color w:val="000000"/>
          <w:sz w:val="24"/>
          <w:szCs w:val="24"/>
        </w:rPr>
        <w:t xml:space="preserve"> հերթական համարներով նույն համախմբից </w:t>
      </w:r>
      <w:r w:rsidRPr="00B834A2">
        <w:rPr>
          <w:rFonts w:ascii="Sylfaen" w:hAnsi="Sylfaen"/>
          <w:i/>
          <w:color w:val="000000"/>
          <w:sz w:val="24"/>
          <w:szCs w:val="24"/>
        </w:rPr>
        <w:t>g</w:t>
      </w:r>
      <w:r w:rsidRPr="00B834A2">
        <w:rPr>
          <w:rFonts w:ascii="Sylfaen" w:hAnsi="Sylfaen"/>
          <w:color w:val="000000"/>
          <w:sz w:val="24"/>
          <w:szCs w:val="24"/>
        </w:rPr>
        <w:t xml:space="preserve"> ընտրանքները բնութագրվում են</w:t>
      </w:r>
      <w:r>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oMath>
      <w:r w:rsidRPr="00B834A2">
        <w:rPr>
          <w:rFonts w:ascii="Sylfaen" w:hAnsi="Sylfaen"/>
          <w:i/>
          <w:color w:val="000000"/>
          <w:sz w:val="24"/>
          <w:szCs w:val="24"/>
        </w:rPr>
        <w:t xml:space="preserve"> </w:t>
      </w:r>
      <w:r w:rsidRPr="00B834A2">
        <w:rPr>
          <w:rFonts w:ascii="Sylfaen" w:hAnsi="Sylfaen"/>
          <w:color w:val="000000"/>
          <w:sz w:val="24"/>
          <w:szCs w:val="24"/>
        </w:rPr>
        <w:t xml:space="preserve">տարբերակներից ստացված </w:t>
      </w:r>
      <m:oMath>
        <m:sSub>
          <m:sSubPr>
            <m:ctrlPr>
              <w:rPr>
                <w:rFonts w:ascii="Cambria Math" w:hAnsi="Cambria Math" w:cs="Sylfaen"/>
                <w:bCs/>
                <w:i/>
                <w:iCs/>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k</m:t>
            </m:r>
          </m:sub>
        </m:sSub>
      </m:oMath>
      <w:r w:rsidRPr="00B834A2">
        <w:rPr>
          <w:rFonts w:ascii="Sylfaen" w:hAnsi="Sylfaen"/>
          <w:color w:val="000000"/>
          <w:sz w:val="24"/>
          <w:szCs w:val="24"/>
        </w:rPr>
        <w:t xml:space="preserve">ընտրանքային միջին արժեքներով, ապա բոլոր ընտրանքների մասով </w:t>
      </w:r>
      <w:r w:rsidRPr="00B834A2">
        <w:rPr>
          <w:rFonts w:ascii="Sylfaen" w:hAnsi="Sylfaen"/>
          <w:b/>
          <w:i/>
          <w:color w:val="000000"/>
          <w:sz w:val="24"/>
          <w:szCs w:val="24"/>
        </w:rPr>
        <w:t>¯</w:t>
      </w:r>
      <w:r w:rsidRPr="00B834A2">
        <w:rPr>
          <w:rFonts w:ascii="Sylfaen" w:hAnsi="Sylfaen"/>
          <w:i/>
          <w:color w:val="000000"/>
          <w:sz w:val="24"/>
          <w:szCs w:val="24"/>
        </w:rPr>
        <w:t>x</w:t>
      </w:r>
      <w:r w:rsidRPr="00B834A2">
        <w:rPr>
          <w:rFonts w:ascii="Sylfaen" w:hAnsi="Sylfaen"/>
          <w:color w:val="000000"/>
          <w:sz w:val="24"/>
          <w:szCs w:val="24"/>
        </w:rPr>
        <w:t xml:space="preserve"> միավորված միջին արժեքը հաշվարկում են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ով.</w:t>
      </w:r>
    </w:p>
    <w:p w14:paraId="1D250437"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bar>
          <m:barPr>
            <m:pos m:val="top"/>
            <m:ctrlPr>
              <w:rPr>
                <w:rFonts w:ascii="Cambria Math" w:hAnsi="Cambria Math" w:cs="Sylfaen"/>
                <w:i/>
                <w:iCs/>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m:t>
        </m:r>
        <m:f>
          <m:fPr>
            <m:ctrlPr>
              <w:rPr>
                <w:rFonts w:ascii="Cambria Math" w:hAnsi="Cambria Math" w:cs="Sylfaen"/>
                <w:i/>
                <w:iCs/>
                <w:color w:val="000000"/>
                <w:sz w:val="24"/>
                <w:szCs w:val="24"/>
              </w:rPr>
            </m:ctrlPr>
          </m:fPr>
          <m:num>
            <m:nary>
              <m:naryPr>
                <m:chr m:val="∑"/>
                <m:limLoc m:val="undOvr"/>
                <m:ctrlPr>
                  <w:rPr>
                    <w:rFonts w:ascii="Cambria Math" w:hAnsi="Cambria Math" w:cs="Sylfaen"/>
                    <w:i/>
                    <w:iCs/>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e>
            </m:nary>
            <m:r>
              <w:rPr>
                <w:rFonts w:ascii="Cambria Math" w:hAnsi="Cambria Math" w:cs="Sylfaen"/>
                <w:color w:val="000000"/>
                <w:sz w:val="24"/>
                <w:szCs w:val="24"/>
              </w:rPr>
              <m:t>*</m:t>
            </m:r>
            <m:sSub>
              <m:sSubPr>
                <m:ctrlPr>
                  <w:rPr>
                    <w:rFonts w:ascii="Cambria Math" w:hAnsi="Cambria Math" w:cs="Sylfaen"/>
                    <w:i/>
                    <w:iCs/>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k</m:t>
                </m:r>
              </m:sub>
            </m:sSub>
          </m:num>
          <m:den>
            <m:nary>
              <m:naryPr>
                <m:chr m:val="∑"/>
                <m:limLoc m:val="undOvr"/>
                <m:ctrlPr>
                  <w:rPr>
                    <w:rFonts w:ascii="Cambria Math" w:hAnsi="Cambria Math" w:cs="Sylfaen"/>
                    <w:i/>
                    <w:iCs/>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k</m:t>
                    </m:r>
                  </m:sub>
                </m:sSub>
              </m:e>
            </m:nary>
          </m:den>
        </m:f>
      </m:oMath>
      <w:r w:rsidR="000D219C" w:rsidRPr="000D219C">
        <w:rPr>
          <w:rFonts w:ascii="Sylfaen" w:hAnsi="Sylfaen"/>
          <w:color w:val="000000"/>
          <w:sz w:val="24"/>
          <w:szCs w:val="24"/>
        </w:rPr>
        <w:tab/>
      </w:r>
      <w:r w:rsidR="000D219C" w:rsidRPr="00B834A2">
        <w:t>(</w:t>
      </w:r>
      <w:r w:rsidR="00B834A2" w:rsidRPr="00B834A2">
        <w:rPr>
          <w:rFonts w:ascii="Sylfaen" w:hAnsi="Sylfaen"/>
          <w:color w:val="000000"/>
          <w:sz w:val="24"/>
          <w:szCs w:val="24"/>
        </w:rPr>
        <w:t>1.16)</w:t>
      </w:r>
    </w:p>
    <w:p w14:paraId="301F82E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Մի քանի միատարր ընտրանքների համատեղ վիճակագրական մշակման անհրաժեշտ պայման է (1.14) հավասարման մեջ՝</w:t>
      </w:r>
      <w:r w:rsidRPr="00B834A2">
        <w:rPr>
          <w:rFonts w:ascii="Sylfaen" w:hAnsi="Sylfaen"/>
          <w:sz w:val="24"/>
          <w:szCs w:val="24"/>
        </w:rPr>
        <w:t xml:space="preserve"> </w:t>
      </w:r>
      <m:oMath>
        <m:sSubSup>
          <m:sSubSupPr>
            <m:ctrlPr>
              <w:rPr>
                <w:rFonts w:ascii="Cambria Math" w:hAnsi="Cambria Math" w:cs="Sylfaen"/>
                <w:i/>
                <w:color w:val="000000"/>
                <w:sz w:val="24"/>
                <w:szCs w:val="24"/>
              </w:rPr>
            </m:ctrlPr>
          </m:sSubSupPr>
          <m:e>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 xml:space="preserve">k, </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d>
              <m:dPr>
                <m:ctrlPr>
                  <w:rPr>
                    <w:rFonts w:ascii="Cambria Math" w:hAnsi="Cambria Math"/>
                    <w:color w:val="000000"/>
                    <w:sz w:val="24"/>
                    <w:szCs w:val="24"/>
                  </w:rPr>
                </m:ctrlPr>
              </m:dPr>
              <m:e>
                <m:r>
                  <m:rPr>
                    <m:sty m:val="p"/>
                  </m:rPr>
                  <w:rPr>
                    <w:rFonts w:ascii="Cambria Math" w:hAnsi="Cambria Math"/>
                    <w:color w:val="000000"/>
                    <w:sz w:val="24"/>
                    <w:szCs w:val="24"/>
                  </w:rPr>
                  <m:t>1.14</m:t>
                </m:r>
                <m:r>
                  <m:rPr>
                    <m:sty m:val="p"/>
                  </m:rPr>
                  <w:rPr>
                    <w:rFonts w:ascii="Sylfaen" w:hAnsi="Sylfaen" w:cs="Sylfaen"/>
                    <w:color w:val="000000"/>
                    <w:sz w:val="24"/>
                    <w:szCs w:val="24"/>
                  </w:rPr>
                  <m:t>ա</m:t>
                </m:r>
                <m:ctrlPr>
                  <w:rPr>
                    <w:rFonts w:ascii="Cambria Math" w:hAnsi="Cambria Math" w:cs="Cambria Math"/>
                    <w:color w:val="000000"/>
                    <w:sz w:val="24"/>
                    <w:szCs w:val="24"/>
                  </w:rPr>
                </m:ctrlPr>
              </m:e>
            </m:d>
            <m:r>
              <m:rPr>
                <m:sty m:val="p"/>
              </m:rPr>
              <w:rPr>
                <w:rFonts w:ascii="Cambria Math" w:hAnsi="Cambria Math" w:cs="Sylfaen"/>
                <w:sz w:val="24"/>
                <w:szCs w:val="24"/>
              </w:rPr>
              <m:t xml:space="preserve"> </m:t>
            </m:r>
            <m:r>
              <m:rPr>
                <m:sty m:val="p"/>
              </m:rPr>
              <w:rPr>
                <w:rFonts w:ascii="Sylfaen" w:hAnsi="Sylfaen" w:cs="Sylfaen"/>
                <w:sz w:val="24"/>
                <w:szCs w:val="24"/>
              </w:rPr>
              <m:t>հավասարման</m:t>
            </m:r>
            <m:r>
              <m:rPr>
                <m:sty m:val="p"/>
              </m:rPr>
              <w:rPr>
                <w:rFonts w:ascii="Cambria Math" w:hAnsi="Cambria Math" w:cs="Sylfaen"/>
                <w:sz w:val="24"/>
                <w:szCs w:val="24"/>
              </w:rPr>
              <m:t xml:space="preserve"> </m:t>
            </m:r>
            <m:r>
              <w:rPr>
                <w:rFonts w:ascii="Sylfaen" w:hAnsi="Sylfaen" w:cs="Sylfaen"/>
                <w:sz w:val="24"/>
                <w:szCs w:val="24"/>
              </w:rPr>
              <m:t>մեջ՝</m:t>
            </m:r>
            <m:r>
              <m:rPr>
                <m:sty m:val="p"/>
              </m:rPr>
              <w:rPr>
                <w:rFonts w:ascii="Cambria Math" w:hAnsi="Cambria Math" w:cs="Cambria Math"/>
                <w:sz w:val="24"/>
                <w:szCs w:val="24"/>
              </w:rPr>
              <m:t xml:space="preserve"> </m:t>
            </m:r>
            <m:r>
              <w:rPr>
                <w:rFonts w:ascii="Cambria Math" w:hAnsi="Cambria Math" w:cs="Sylfaen"/>
                <w:color w:val="000000"/>
                <w:sz w:val="24"/>
                <w:szCs w:val="24"/>
              </w:rPr>
              <m:t>s</m:t>
            </m:r>
          </m:e>
          <m:sub>
            <m:r>
              <w:rPr>
                <w:rFonts w:ascii="Cambria Math" w:hAnsi="Cambria Math" w:cs="Sylfaen"/>
                <w:color w:val="000000"/>
                <w:sz w:val="24"/>
                <w:szCs w:val="24"/>
              </w:rPr>
              <m:t>k,r</m:t>
            </m:r>
          </m:sub>
          <m:sup>
            <m:r>
              <w:rPr>
                <w:rFonts w:ascii="Cambria Math" w:hAnsi="Cambria Math" w:cs="Sylfaen"/>
                <w:color w:val="000000"/>
                <w:sz w:val="24"/>
                <w:szCs w:val="24"/>
              </w:rPr>
              <m:t>2</m:t>
            </m:r>
          </m:sup>
        </m:sSubSup>
      </m:oMath>
      <w:r w:rsidRPr="00B834A2">
        <w:rPr>
          <w:rFonts w:ascii="Sylfaen" w:hAnsi="Sylfaen"/>
          <w:color w:val="000000"/>
          <w:sz w:val="24"/>
          <w:szCs w:val="24"/>
        </w:rPr>
        <w:t xml:space="preserve"> կամ (1.14բ) հավասարման մեջ՝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RSD</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oMath>
      <w:r w:rsidRPr="00B834A2">
        <w:rPr>
          <w:rFonts w:ascii="Sylfaen" w:hAnsi="Sylfaen"/>
          <w:color w:val="000000"/>
          <w:sz w:val="24"/>
          <w:szCs w:val="24"/>
        </w:rPr>
        <w:t xml:space="preserve"> </w:t>
      </w:r>
      <w:r w:rsidRPr="00B834A2">
        <w:rPr>
          <w:rFonts w:ascii="Sylfaen" w:hAnsi="Sylfaen"/>
          <w:sz w:val="24"/>
          <w:szCs w:val="24"/>
        </w:rPr>
        <w:t>առանձին արժեքների միջ</w:t>
      </w:r>
      <w:r>
        <w:rPr>
          <w:rFonts w:ascii="Sylfaen" w:hAnsi="Sylfaen"/>
          <w:sz w:val="24"/>
          <w:szCs w:val="24"/>
        </w:rPr>
        <w:t>եւ</w:t>
      </w:r>
      <w:r w:rsidRPr="00B834A2">
        <w:rPr>
          <w:rFonts w:ascii="Sylfaen" w:hAnsi="Sylfaen"/>
          <w:sz w:val="24"/>
          <w:szCs w:val="24"/>
        </w:rPr>
        <w:t xml:space="preserve"> վիճակագրորեն նշանակալի տարբերության բացակայությունը, այսինքն՝ դիսպերսիաների հավասարության վարկածի ճշմարտությունը: </w:t>
      </w:r>
      <w:r w:rsidRPr="00B834A2">
        <w:rPr>
          <w:rFonts w:ascii="Sylfaen" w:hAnsi="Sylfaen"/>
          <w:color w:val="000000"/>
          <w:sz w:val="24"/>
          <w:szCs w:val="24"/>
        </w:rPr>
        <w:t xml:space="preserve">Պարզագույն դեպքում կարելի է սահմանափակվել Ֆիշերի F չափորոշչի օգտագործմամբ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oMath>
      <w:r w:rsidRPr="00B834A2">
        <w:rPr>
          <w:rFonts w:ascii="Sylfaen" w:hAnsi="Sylfaen"/>
          <w:color w:val="000000"/>
          <w:sz w:val="24"/>
          <w:szCs w:val="24"/>
        </w:rPr>
        <w:t xml:space="preserve">սահմանային արժեքների համեմատությամբ: Առավել </w:t>
      </w:r>
      <w:r w:rsidRPr="00B834A2">
        <w:rPr>
          <w:rFonts w:ascii="Sylfaen" w:hAnsi="Sylfaen"/>
          <w:color w:val="000000"/>
          <w:sz w:val="24"/>
          <w:szCs w:val="24"/>
        </w:rPr>
        <w:lastRenderedPageBreak/>
        <w:t xml:space="preserve">ընդհանուր դեպքում կարելի է օգտագործել Բարթլեթի </w:t>
      </w:r>
      <w:r>
        <w:rPr>
          <w:rFonts w:ascii="Sylfaen" w:hAnsi="Sylfaen"/>
          <w:color w:val="000000"/>
          <w:sz w:val="24"/>
          <w:szCs w:val="24"/>
        </w:rPr>
        <w:t>եւ</w:t>
      </w:r>
      <w:r w:rsidRPr="00B834A2">
        <w:rPr>
          <w:rFonts w:ascii="Sylfaen" w:hAnsi="Sylfaen"/>
          <w:color w:val="000000"/>
          <w:sz w:val="24"/>
          <w:szCs w:val="24"/>
        </w:rPr>
        <w:t xml:space="preserve"> Կոխրենի չափորոշիչները:</w:t>
      </w:r>
    </w:p>
    <w:p w14:paraId="43EDB85A" w14:textId="77777777" w:rsidR="00B834A2" w:rsidRPr="00B834A2" w:rsidRDefault="00B834A2" w:rsidP="000D219C">
      <w:pPr>
        <w:pStyle w:val="a0"/>
        <w:shd w:val="clear" w:color="auto" w:fill="auto"/>
        <w:tabs>
          <w:tab w:val="left" w:pos="1276"/>
        </w:tabs>
        <w:spacing w:after="160" w:line="360" w:lineRule="auto"/>
        <w:ind w:firstLine="567"/>
        <w:jc w:val="both"/>
        <w:rPr>
          <w:rFonts w:ascii="Sylfaen" w:hAnsi="Sylfaen" w:cs="Sylfaen"/>
          <w:sz w:val="24"/>
          <w:szCs w:val="24"/>
        </w:rPr>
      </w:pPr>
      <w:r w:rsidRPr="00B834A2">
        <w:rPr>
          <w:rFonts w:ascii="Sylfaen" w:hAnsi="Sylfaen"/>
          <w:i/>
          <w:color w:val="000000"/>
          <w:sz w:val="24"/>
          <w:szCs w:val="24"/>
        </w:rPr>
        <w:t>1.4.2.</w:t>
      </w:r>
      <w:r w:rsidR="000D219C" w:rsidRPr="002E52D1">
        <w:rPr>
          <w:rFonts w:ascii="Sylfaen" w:hAnsi="Sylfaen"/>
          <w:i/>
          <w:color w:val="000000"/>
          <w:sz w:val="24"/>
          <w:szCs w:val="24"/>
        </w:rPr>
        <w:tab/>
      </w:r>
      <w:r w:rsidRPr="00B834A2">
        <w:rPr>
          <w:rFonts w:ascii="Sylfaen" w:hAnsi="Sylfaen"/>
          <w:i/>
          <w:color w:val="000000"/>
          <w:sz w:val="24"/>
          <w:szCs w:val="24"/>
        </w:rPr>
        <w:t>Բարթլեթի չափորոշիչ</w:t>
      </w:r>
    </w:p>
    <w:p w14:paraId="11C625C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Ստուգելու համար այն վարկածը, որ բոլոր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r>
          <w:rPr>
            <w:rFonts w:ascii="Cambria Math" w:hAnsi="Cambria Math" w:cs="Sylfaen"/>
            <w:color w:val="000000"/>
            <w:sz w:val="24"/>
            <w:szCs w:val="24"/>
          </w:rPr>
          <m:t>-</m:t>
        </m:r>
        <m:r>
          <w:rPr>
            <w:rFonts w:ascii="Sylfaen" w:hAnsi="Sylfaen" w:cs="Sylfaen"/>
            <w:color w:val="000000"/>
            <w:sz w:val="24"/>
            <w:szCs w:val="24"/>
          </w:rPr>
          <m:t>ը</m:t>
        </m:r>
      </m:oMath>
      <w:r w:rsidRPr="00B834A2">
        <w:rPr>
          <w:rFonts w:ascii="Sylfaen" w:hAnsi="Sylfaen"/>
          <w:color w:val="000000"/>
          <w:sz w:val="24"/>
          <w:szCs w:val="24"/>
        </w:rPr>
        <w:t xml:space="preserve"> պատկանում են մեկ համախմբին, օգտագործում են մոտավոր որպես </w:t>
      </w:r>
      <w:r w:rsidRPr="00B834A2">
        <w:rPr>
          <w:rFonts w:ascii="Sylfaen" w:hAnsi="Sylfaen"/>
          <w:i/>
          <w:color w:val="000000"/>
          <w:sz w:val="24"/>
          <w:szCs w:val="24"/>
        </w:rPr>
        <w:t>x</w:t>
      </w:r>
      <w:r w:rsidRPr="00B834A2">
        <w:rPr>
          <w:rFonts w:ascii="Sylfaen" w:hAnsi="Sylfaen"/>
          <w:color w:val="000000"/>
          <w:sz w:val="24"/>
          <w:szCs w:val="24"/>
        </w:rPr>
        <w:t xml:space="preserve"> </w:t>
      </w:r>
      <w:r w:rsidRPr="00B834A2">
        <w:rPr>
          <w:rFonts w:ascii="Sylfaen" w:hAnsi="Sylfaen"/>
          <w:color w:val="000000"/>
          <w:sz w:val="24"/>
          <w:szCs w:val="24"/>
          <w:vertAlign w:val="superscript"/>
        </w:rPr>
        <w:t xml:space="preserve">2 </w:t>
      </w:r>
      <w:r w:rsidRPr="00B834A2">
        <w:rPr>
          <w:rFonts w:ascii="Sylfaen" w:hAnsi="Sylfaen"/>
          <w:color w:val="000000"/>
          <w:sz w:val="24"/>
          <w:szCs w:val="24"/>
        </w:rPr>
        <w:t>բաշխված արժեքը.</w:t>
      </w:r>
    </w:p>
    <w:p w14:paraId="79A3BE92"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r>
          <w:rPr>
            <w:rFonts w:ascii="Cambria Math" w:hAnsi="Cambria Math" w:cs="Sylfaen"/>
            <w:color w:val="000000"/>
            <w:sz w:val="24"/>
            <w:szCs w:val="24"/>
          </w:rPr>
          <m:t>=2,303*(</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r>
          <w:rPr>
            <w:rFonts w:ascii="Cambria Math" w:hAnsi="Cambria Math" w:cs="Sylfaen"/>
            <w:color w:val="000000"/>
            <w:sz w:val="24"/>
            <w:szCs w:val="24"/>
          </w:rPr>
          <m:t>*lgs-</m:t>
        </m:r>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sSubSup>
              <m:sSubSupPr>
                <m:ctrlPr>
                  <w:rPr>
                    <w:rFonts w:ascii="Cambria Math" w:hAnsi="Cambria Math" w:cs="Sylfaen"/>
                    <w:i/>
                    <w:color w:val="000000"/>
                    <w:sz w:val="24"/>
                    <w:szCs w:val="24"/>
                  </w:rPr>
                </m:ctrlPr>
              </m:sSubSupPr>
              <m:e>
                <m:r>
                  <w:rPr>
                    <w:rFonts w:ascii="Cambria Math" w:hAnsi="Cambria Math" w:cs="Sylfaen"/>
                    <w:color w:val="000000"/>
                    <w:sz w:val="24"/>
                    <w:szCs w:val="24"/>
                  </w:rPr>
                  <m:t>lgs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nary>
      </m:oMath>
      <w:r w:rsidR="00B834A2" w:rsidRPr="00B834A2">
        <w:rPr>
          <w:rFonts w:ascii="Sylfaen" w:hAnsi="Sylfaen"/>
          <w:color w:val="000000"/>
          <w:sz w:val="24"/>
          <w:szCs w:val="24"/>
        </w:rPr>
        <w:t>.</w:t>
      </w:r>
      <w:r w:rsidR="00B834A2" w:rsidRPr="00B834A2">
        <w:rPr>
          <w:rFonts w:ascii="Sylfaen" w:hAnsi="Sylfaen"/>
          <w:sz w:val="24"/>
          <w:szCs w:val="24"/>
        </w:rPr>
        <w:t xml:space="preserve"> </w:t>
      </w:r>
      <w:r w:rsidR="000D219C" w:rsidRPr="002E52D1">
        <w:rPr>
          <w:rFonts w:ascii="Sylfaen" w:hAnsi="Sylfaen"/>
          <w:sz w:val="24"/>
          <w:szCs w:val="24"/>
        </w:rPr>
        <w:tab/>
      </w:r>
      <w:r w:rsidR="00B834A2" w:rsidRPr="00B834A2">
        <w:rPr>
          <w:rFonts w:ascii="Sylfaen" w:hAnsi="Sylfaen"/>
          <w:color w:val="000000"/>
          <w:sz w:val="24"/>
          <w:szCs w:val="24"/>
        </w:rPr>
        <w:t>(1.17)</w:t>
      </w:r>
    </w:p>
    <w:p w14:paraId="19D2D63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Ընդ որում,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oMath>
      <w:r w:rsidRPr="00B834A2">
        <w:rPr>
          <w:rFonts w:ascii="Sylfaen" w:hAnsi="Sylfaen"/>
          <w:color w:val="000000"/>
          <w:sz w:val="24"/>
          <w:szCs w:val="24"/>
        </w:rPr>
        <w:t xml:space="preserve"> մեծությունները հաշվարկում են (1.14) </w:t>
      </w:r>
      <w:r>
        <w:rPr>
          <w:rFonts w:ascii="Sylfaen" w:hAnsi="Sylfaen"/>
          <w:color w:val="000000"/>
          <w:sz w:val="24"/>
          <w:szCs w:val="24"/>
        </w:rPr>
        <w:t>եւ</w:t>
      </w:r>
      <w:r w:rsidRPr="00B834A2">
        <w:rPr>
          <w:rFonts w:ascii="Sylfaen" w:hAnsi="Sylfaen"/>
          <w:color w:val="000000"/>
          <w:sz w:val="24"/>
          <w:szCs w:val="24"/>
        </w:rPr>
        <w:t xml:space="preserve"> (1.15) հավասարումներով: Այդ եղանակով գտնված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oMath>
      <w:r w:rsidRPr="00B834A2">
        <w:rPr>
          <w:rFonts w:ascii="Sylfaen" w:hAnsi="Sylfaen"/>
          <w:color w:val="000000"/>
          <w:sz w:val="24"/>
          <w:szCs w:val="24"/>
        </w:rPr>
        <w:t xml:space="preserve"> մեծությունը համեմատում են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r>
          <w:rPr>
            <w:rFonts w:ascii="Cambria Math" w:hAnsi="Cambria Math" w:cs="Sylfaen"/>
            <w:color w:val="000000"/>
            <w:sz w:val="24"/>
            <w:szCs w:val="24"/>
          </w:rPr>
          <m:t>)</m:t>
        </m:r>
      </m:oMath>
      <w:r w:rsidRPr="00B834A2">
        <w:rPr>
          <w:rFonts w:ascii="Sylfaen" w:hAnsi="Sylfaen"/>
          <w:color w:val="000000"/>
          <w:sz w:val="24"/>
          <w:szCs w:val="24"/>
        </w:rPr>
        <w:t xml:space="preserve"> chi^2 բաշխման տոկոսային կետի հետ (Հավելվածի աղյուսակ 5): Եթե առկա է </w:t>
      </w:r>
      <w:r w:rsidRPr="00B834A2">
        <w:rPr>
          <w:rFonts w:ascii="Sylfaen" w:hAnsi="Sylfaen"/>
          <w:i/>
          <w:color w:val="000000"/>
          <w:sz w:val="24"/>
          <w:szCs w:val="24"/>
        </w:rPr>
        <w:t>g</w:t>
      </w:r>
      <w:r w:rsidRPr="00B834A2">
        <w:rPr>
          <w:rFonts w:ascii="Sylfaen" w:hAnsi="Sylfaen"/>
          <w:color w:val="000000"/>
          <w:sz w:val="24"/>
          <w:szCs w:val="24"/>
        </w:rPr>
        <w:t xml:space="preserve"> ընտրանք, ապա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e>
        </m:d>
        <m:r>
          <w:rPr>
            <w:rFonts w:ascii="Cambria Math" w:hAnsi="Cambria Math" w:cs="Sylfaen"/>
            <w:color w:val="000000"/>
            <w:sz w:val="24"/>
            <w:szCs w:val="24"/>
          </w:rPr>
          <m:t xml:space="preserve"> </m:t>
        </m:r>
      </m:oMath>
      <w:r w:rsidRPr="00B834A2">
        <w:rPr>
          <w:rFonts w:ascii="Sylfaen" w:hAnsi="Sylfaen"/>
          <w:color w:val="000000"/>
          <w:sz w:val="24"/>
          <w:szCs w:val="24"/>
        </w:rPr>
        <w:t xml:space="preserve">համար ազատության աստիճանների թիվը վերցնում են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r>
          <w:rPr>
            <w:rFonts w:ascii="Cambria Math" w:hAnsi="Cambria Math" w:cs="Sylfaen"/>
            <w:color w:val="000000"/>
            <w:sz w:val="24"/>
            <w:szCs w:val="24"/>
          </w:rPr>
          <m:t>=g-1-</m:t>
        </m:r>
        <m:r>
          <w:rPr>
            <w:rFonts w:ascii="Sylfaen" w:hAnsi="Sylfaen" w:cs="Sylfaen"/>
            <w:color w:val="000000"/>
            <w:sz w:val="24"/>
            <w:szCs w:val="24"/>
          </w:rPr>
          <m:t>ին</m:t>
        </m:r>
      </m:oMath>
      <w:r w:rsidRPr="00B834A2">
        <w:rPr>
          <w:rFonts w:ascii="Sylfaen" w:hAnsi="Sylfaen"/>
          <w:color w:val="000000"/>
          <w:sz w:val="24"/>
          <w:szCs w:val="24"/>
        </w:rPr>
        <w:t xml:space="preserve"> հավասար: Ստուգվող վարկածը ընդունում են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r>
          <w:rPr>
            <w:rFonts w:ascii="Cambria Math" w:hAnsi="Cambria Math" w:cs="Sylfaen"/>
            <w:color w:val="000000"/>
            <w:sz w:val="24"/>
            <w:szCs w:val="24"/>
          </w:rPr>
          <m:t>&gt;</m:t>
        </m:r>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e>
        </m:d>
      </m:oMath>
      <w:r w:rsidRPr="00B834A2">
        <w:rPr>
          <w:rFonts w:ascii="Sylfaen" w:hAnsi="Sylfaen"/>
          <w:color w:val="000000"/>
          <w:sz w:val="24"/>
          <w:szCs w:val="24"/>
        </w:rPr>
        <w:t xml:space="preserve"> պայմանով: Հակառակ դեպքում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oMath>
      <w:r w:rsidRPr="00B834A2">
        <w:rPr>
          <w:rFonts w:ascii="Sylfaen" w:hAnsi="Sylfaen"/>
          <w:color w:val="000000"/>
          <w:sz w:val="24"/>
          <w:szCs w:val="24"/>
        </w:rPr>
        <w:t xml:space="preserve"> հաշվարկված արժեքը ճշգրտում են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ով.</w:t>
      </w:r>
    </w:p>
    <w:p w14:paraId="4871848D"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r>
          <w:rPr>
            <w:rFonts w:ascii="Cambria Math" w:hAnsi="Cambria Math" w:cs="Sylfaen"/>
            <w:color w:val="000000"/>
            <w:sz w:val="24"/>
            <w:szCs w:val="24"/>
          </w:rPr>
          <m:t>=</m:t>
        </m:r>
        <m:f>
          <m:fPr>
            <m:ctrlPr>
              <w:rPr>
                <w:rFonts w:ascii="Cambria Math" w:hAnsi="Cambria Math" w:cs="Sylfaen"/>
                <w:i/>
                <w:color w:val="000000"/>
                <w:sz w:val="24"/>
                <w:szCs w:val="24"/>
              </w:rPr>
            </m:ctrlPr>
          </m:fPr>
          <m:num>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num>
          <m:den>
            <m:r>
              <w:rPr>
                <w:rFonts w:ascii="Cambria Math" w:hAnsi="Cambria Math" w:cs="Sylfaen"/>
                <w:color w:val="000000"/>
                <w:sz w:val="24"/>
                <w:szCs w:val="24"/>
              </w:rPr>
              <m:t>C</m:t>
            </m:r>
          </m:den>
        </m:f>
      </m:oMath>
      <w:r w:rsidR="00B834A2" w:rsidRPr="00B834A2">
        <w:rPr>
          <w:rFonts w:ascii="Sylfaen" w:hAnsi="Sylfaen"/>
          <w:sz w:val="24"/>
          <w:szCs w:val="24"/>
        </w:rPr>
        <w:t xml:space="preserve"> </w:t>
      </w:r>
      <w:r w:rsidR="000D219C" w:rsidRPr="002E52D1">
        <w:rPr>
          <w:rFonts w:ascii="Sylfaen" w:hAnsi="Sylfaen"/>
          <w:sz w:val="24"/>
          <w:szCs w:val="24"/>
        </w:rPr>
        <w:tab/>
      </w:r>
      <w:r w:rsidR="00B834A2" w:rsidRPr="00B834A2">
        <w:rPr>
          <w:rFonts w:ascii="Sylfaen" w:hAnsi="Sylfaen"/>
          <w:color w:val="000000"/>
          <w:sz w:val="24"/>
          <w:szCs w:val="24"/>
        </w:rPr>
        <w:t>(1.18)</w:t>
      </w:r>
    </w:p>
    <w:p w14:paraId="45F6FD5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որտեղ՝</w:t>
      </w:r>
    </w:p>
    <w:p w14:paraId="2F6311C9" w14:textId="77777777" w:rsidR="00B834A2" w:rsidRPr="00B834A2" w:rsidRDefault="00B834A2" w:rsidP="000D219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C=</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r>
                  <w:rPr>
                    <w:rFonts w:ascii="Cambria Math" w:hAnsi="Cambria Math" w:cs="Sylfaen"/>
                    <w:color w:val="000000"/>
                    <w:sz w:val="24"/>
                    <w:szCs w:val="24"/>
                  </w:rPr>
                  <m:t>(1/</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)-1/</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p</m:t>
                    </m:r>
                  </m:sub>
                </m:sSub>
              </m:e>
            </m:nary>
          </m:num>
          <m:den>
            <m:r>
              <w:rPr>
                <w:rFonts w:ascii="Cambria Math" w:hAnsi="Cambria Math" w:cs="Sylfaen"/>
                <w:color w:val="000000"/>
                <w:sz w:val="24"/>
                <w:szCs w:val="24"/>
              </w:rPr>
              <m:t>3*(g-1)</m:t>
            </m:r>
          </m:den>
        </m:f>
        <m:r>
          <w:rPr>
            <w:rFonts w:ascii="Cambria Math" w:hAnsi="Cambria Math" w:cs="Sylfaen"/>
            <w:color w:val="000000"/>
            <w:sz w:val="24"/>
            <w:szCs w:val="24"/>
          </w:rPr>
          <m:t>+1</m:t>
        </m:r>
      </m:oMath>
      <w:r w:rsidRPr="00B834A2">
        <w:rPr>
          <w:rFonts w:ascii="Sylfaen" w:hAnsi="Sylfaen"/>
          <w:color w:val="000000"/>
          <w:sz w:val="24"/>
          <w:szCs w:val="24"/>
        </w:rPr>
        <w:t xml:space="preserve">, </w:t>
      </w:r>
      <w:r w:rsidR="000D219C" w:rsidRPr="002E52D1">
        <w:rPr>
          <w:rFonts w:ascii="Sylfaen" w:hAnsi="Sylfaen"/>
          <w:color w:val="000000"/>
          <w:sz w:val="24"/>
          <w:szCs w:val="24"/>
        </w:rPr>
        <w:tab/>
      </w:r>
      <w:r w:rsidRPr="00B834A2">
        <w:rPr>
          <w:rFonts w:ascii="Sylfaen" w:hAnsi="Sylfaen"/>
          <w:color w:val="000000"/>
          <w:sz w:val="24"/>
          <w:szCs w:val="24"/>
        </w:rPr>
        <w:t>(1.19)</w:t>
      </w:r>
    </w:p>
    <w:p w14:paraId="06AE118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Pr>
          <w:rFonts w:ascii="Sylfaen" w:hAnsi="Sylfaen"/>
          <w:color w:val="000000"/>
          <w:sz w:val="24"/>
          <w:szCs w:val="24"/>
        </w:rPr>
        <w:t>եւ</w:t>
      </w:r>
      <w:r w:rsidRPr="00B834A2">
        <w:rPr>
          <w:rFonts w:ascii="Sylfaen" w:hAnsi="Sylfaen"/>
          <w:color w:val="000000"/>
          <w:sz w:val="24"/>
          <w:szCs w:val="24"/>
        </w:rPr>
        <w:t xml:space="preserve"> կրկին համեմատում են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e>
        </m:d>
        <m:r>
          <w:rPr>
            <w:rFonts w:ascii="Cambria Math" w:hAnsi="Cambria Math" w:cs="Sylfaen"/>
            <w:color w:val="000000"/>
            <w:sz w:val="24"/>
            <w:szCs w:val="24"/>
          </w:rPr>
          <m:t>-</m:t>
        </m:r>
        <m:r>
          <w:rPr>
            <w:rFonts w:ascii="Sylfaen" w:hAnsi="Sylfaen" w:cs="Sylfaen"/>
            <w:color w:val="000000"/>
            <w:sz w:val="24"/>
            <w:szCs w:val="24"/>
          </w:rPr>
          <m:t>ի</m:t>
        </m:r>
        <m:r>
          <w:rPr>
            <w:rFonts w:ascii="Cambria Math" w:hAnsi="Cambria Math" w:cs="Sylfaen"/>
            <w:color w:val="000000"/>
            <w:sz w:val="24"/>
            <w:szCs w:val="24"/>
          </w:rPr>
          <m:t xml:space="preserve"> </m:t>
        </m:r>
      </m:oMath>
      <w:r w:rsidRPr="00B834A2">
        <w:rPr>
          <w:rFonts w:ascii="Sylfaen" w:hAnsi="Sylfaen"/>
          <w:color w:val="000000"/>
          <w:sz w:val="24"/>
          <w:szCs w:val="24"/>
        </w:rPr>
        <w:t>chi^2 բաշխման տոկոսային կետի հետ: Եթե</w:t>
      </w:r>
      <w:r>
        <w:rPr>
          <w:rFonts w:ascii="Sylfaen" w:hAnsi="Sylfaen"/>
          <w:color w:val="000000"/>
          <w:sz w:val="24"/>
          <w:szCs w:val="24"/>
        </w:rPr>
        <w:t xml:space="preserve">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r>
          <w:rPr>
            <w:rFonts w:ascii="Cambria Math" w:hAnsi="Cambria Math" w:cs="Sylfaen"/>
            <w:color w:val="000000"/>
            <w:sz w:val="24"/>
            <w:szCs w:val="24"/>
          </w:rPr>
          <m:t>&gt;</m:t>
        </m:r>
        <m:sSup>
          <m:sSupPr>
            <m:ctrlPr>
              <w:rPr>
                <w:rFonts w:ascii="Cambria Math" w:hAnsi="Cambria Math" w:cs="Sylfaen"/>
                <w:i/>
                <w:color w:val="000000"/>
                <w:sz w:val="24"/>
                <w:szCs w:val="24"/>
              </w:rPr>
            </m:ctrlPr>
          </m:sSupPr>
          <m:e>
            <m:r>
              <w:rPr>
                <w:rFonts w:ascii="Cambria Math" w:hAnsi="Cambria Math" w:cs="Sylfaen"/>
                <w:color w:val="000000"/>
                <w:sz w:val="24"/>
                <w:szCs w:val="24"/>
              </w:rPr>
              <m:t>x</m:t>
            </m:r>
          </m:e>
          <m:sup>
            <m:r>
              <w:rPr>
                <w:rFonts w:ascii="Cambria Math" w:hAnsi="Cambria Math" w:cs="Sylfaen"/>
                <w:color w:val="000000"/>
                <w:sz w:val="24"/>
                <w:szCs w:val="24"/>
              </w:rPr>
              <m:t>2</m:t>
            </m:r>
          </m:sup>
        </m:sSup>
        <m:d>
          <m:dPr>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x</m:t>
                </m:r>
              </m:sub>
            </m:sSub>
          </m:e>
        </m:d>
      </m:oMath>
      <w:r w:rsidRPr="00B834A2">
        <w:rPr>
          <w:rFonts w:ascii="Sylfaen" w:hAnsi="Sylfaen"/>
          <w:color w:val="000000"/>
          <w:sz w:val="24"/>
          <w:szCs w:val="24"/>
        </w:rPr>
        <w:t>, ապա մի քանի ստանդարտ շեղումների միջ</w:t>
      </w:r>
      <w:r>
        <w:rPr>
          <w:rFonts w:ascii="Sylfaen" w:hAnsi="Sylfaen"/>
          <w:color w:val="000000"/>
          <w:sz w:val="24"/>
          <w:szCs w:val="24"/>
        </w:rPr>
        <w:t>եւ</w:t>
      </w:r>
      <w:r w:rsidRPr="00B834A2">
        <w:rPr>
          <w:rFonts w:ascii="Sylfaen" w:hAnsi="Sylfaen"/>
          <w:color w:val="000000"/>
          <w:sz w:val="24"/>
          <w:szCs w:val="24"/>
        </w:rPr>
        <w:t xml:space="preserve"> առկա են էական տարբերություններ: Այդ դեպքում անհրաժեշտ է անցկացնել առկա տվյալների անալիզ, բացառել մնացածից առավել խիստ տարբերվող՝ դիսպերսիայի մեկ կամ մի քանի արժեք </w:t>
      </w:r>
      <w:r>
        <w:rPr>
          <w:rFonts w:ascii="Sylfaen" w:hAnsi="Sylfaen"/>
          <w:color w:val="000000"/>
          <w:sz w:val="24"/>
          <w:szCs w:val="24"/>
        </w:rPr>
        <w:t>եւ</w:t>
      </w:r>
      <w:r w:rsidRPr="00B834A2">
        <w:rPr>
          <w:rFonts w:ascii="Sylfaen" w:hAnsi="Sylfaen"/>
          <w:color w:val="000000"/>
          <w:sz w:val="24"/>
          <w:szCs w:val="24"/>
        </w:rPr>
        <w:t xml:space="preserve"> նորից անցկացնել Բարթլեթի թեստավորում: Հարկ է հաշվի առնել, որ Բարթլեթի չափորոշիչը նույնպես, ինչպես Կոխրենի չափորոշիչը, շատ զգայուն է կանոնավոր բաշխման պահանջների խախտման նկատմամբ: Սակայն հենց այդ պատճառով այն կարող է բավականին օգտակար լինել այս կամ այն անալիտիկ փորձարկումների մասին տվյալների հուսալի պահոցի հավաքման </w:t>
      </w:r>
      <w:r>
        <w:rPr>
          <w:rFonts w:ascii="Sylfaen" w:hAnsi="Sylfaen"/>
          <w:color w:val="000000"/>
          <w:sz w:val="24"/>
          <w:szCs w:val="24"/>
        </w:rPr>
        <w:t>եւ</w:t>
      </w:r>
      <w:r w:rsidRPr="00B834A2">
        <w:rPr>
          <w:rFonts w:ascii="Sylfaen" w:hAnsi="Sylfaen"/>
          <w:color w:val="000000"/>
          <w:sz w:val="24"/>
          <w:szCs w:val="24"/>
        </w:rPr>
        <w:t xml:space="preserve"> ձ</w:t>
      </w:r>
      <w:r>
        <w:rPr>
          <w:rFonts w:ascii="Sylfaen" w:hAnsi="Sylfaen"/>
          <w:color w:val="000000"/>
          <w:sz w:val="24"/>
          <w:szCs w:val="24"/>
        </w:rPr>
        <w:t>եւ</w:t>
      </w:r>
      <w:r w:rsidRPr="00B834A2">
        <w:rPr>
          <w:rFonts w:ascii="Sylfaen" w:hAnsi="Sylfaen"/>
          <w:color w:val="000000"/>
          <w:sz w:val="24"/>
          <w:szCs w:val="24"/>
        </w:rPr>
        <w:t>ավորման ժամանակ:</w:t>
      </w:r>
    </w:p>
    <w:p w14:paraId="5EE43DA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 xml:space="preserve">Բարթլեթի նկարագրված չափորոշիչը կիրառելի է միայն այն պայմանով, որ բոլոր միավորված դիսպերսիաների՝ ազատության աստիճանների թիվը մեծ է 3-ից, այսինքն՝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k</m:t>
            </m:r>
          </m:sub>
        </m:sSub>
        <m:r>
          <w:rPr>
            <w:rFonts w:ascii="Cambria Math" w:hAnsi="Cambria Math" w:cs="Sylfaen"/>
            <w:color w:val="000000"/>
            <w:sz w:val="24"/>
            <w:szCs w:val="24"/>
          </w:rPr>
          <m:t>&gt;3</m:t>
        </m:r>
      </m:oMath>
      <w:r w:rsidRPr="00B834A2">
        <w:rPr>
          <w:rFonts w:ascii="Sylfaen" w:hAnsi="Sylfaen"/>
          <w:color w:val="000000"/>
          <w:sz w:val="24"/>
          <w:szCs w:val="24"/>
        </w:rPr>
        <w:t>:</w:t>
      </w:r>
    </w:p>
    <w:p w14:paraId="751D9A3C" w14:textId="77777777" w:rsidR="00B834A2" w:rsidRPr="00B834A2" w:rsidRDefault="00B834A2" w:rsidP="000D219C">
      <w:pPr>
        <w:pStyle w:val="a0"/>
        <w:shd w:val="clear" w:color="auto" w:fill="auto"/>
        <w:tabs>
          <w:tab w:val="left" w:pos="1276"/>
        </w:tabs>
        <w:spacing w:after="160" w:line="360" w:lineRule="auto"/>
        <w:ind w:firstLine="567"/>
        <w:jc w:val="both"/>
        <w:rPr>
          <w:rFonts w:ascii="Sylfaen" w:hAnsi="Sylfaen" w:cs="Sylfaen"/>
          <w:sz w:val="24"/>
          <w:szCs w:val="24"/>
        </w:rPr>
      </w:pPr>
      <w:r w:rsidRPr="00B834A2">
        <w:rPr>
          <w:rFonts w:ascii="Sylfaen" w:hAnsi="Sylfaen"/>
          <w:i/>
          <w:color w:val="000000"/>
          <w:sz w:val="24"/>
          <w:szCs w:val="24"/>
        </w:rPr>
        <w:t>1.4.3.</w:t>
      </w:r>
      <w:r w:rsidR="000D219C" w:rsidRPr="002E52D1">
        <w:rPr>
          <w:rFonts w:ascii="Sylfaen" w:hAnsi="Sylfaen"/>
          <w:i/>
          <w:color w:val="000000"/>
          <w:sz w:val="24"/>
          <w:szCs w:val="24"/>
        </w:rPr>
        <w:tab/>
      </w:r>
      <w:r w:rsidRPr="00B834A2">
        <w:rPr>
          <w:rFonts w:ascii="Sylfaen" w:hAnsi="Sylfaen"/>
          <w:i/>
          <w:color w:val="000000"/>
          <w:sz w:val="24"/>
          <w:szCs w:val="24"/>
        </w:rPr>
        <w:t>Կոխրենի չափորոշիչ</w:t>
      </w:r>
    </w:p>
    <w:p w14:paraId="0BB2F1F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Այն դեպքում, երբ բոլոր միավորված դիսպերսիաներն ունեն նույն թվով ազատության աստիճաններ (այսինքն՝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2</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g</m:t>
            </m:r>
          </m:sub>
        </m:sSub>
        <m:r>
          <w:rPr>
            <w:rFonts w:ascii="Cambria Math" w:hAnsi="Cambria Math" w:cs="Sylfaen"/>
            <w:color w:val="000000"/>
            <w:sz w:val="24"/>
            <w:szCs w:val="24"/>
          </w:rPr>
          <m:t>=f</m:t>
        </m:r>
      </m:oMath>
      <w:r w:rsidRPr="00B834A2">
        <w:rPr>
          <w:rFonts w:ascii="Sylfaen" w:hAnsi="Sylfaen"/>
          <w:color w:val="000000"/>
          <w:sz w:val="24"/>
          <w:szCs w:val="24"/>
        </w:rPr>
        <w:t>), դիսպերսիաների հավասարության վարկածի (դիսպերսիաների միատարրության) ստուգման համար կարելի է կիրառել Կոխրենի առավել պարզ չափորոշիչը՝ հետ</w:t>
      </w:r>
      <w:r>
        <w:rPr>
          <w:rFonts w:ascii="Sylfaen" w:hAnsi="Sylfaen"/>
          <w:color w:val="000000"/>
          <w:sz w:val="24"/>
          <w:szCs w:val="24"/>
        </w:rPr>
        <w:t>եւ</w:t>
      </w:r>
      <w:r w:rsidRPr="00B834A2">
        <w:rPr>
          <w:rFonts w:ascii="Sylfaen" w:hAnsi="Sylfaen"/>
          <w:color w:val="000000"/>
          <w:sz w:val="24"/>
          <w:szCs w:val="24"/>
        </w:rPr>
        <w:t xml:space="preserve">յալ վիճակագրությամբ. </w:t>
      </w:r>
    </w:p>
    <w:p w14:paraId="6AF8BE62" w14:textId="77777777" w:rsidR="00B834A2" w:rsidRPr="00B834A2" w:rsidRDefault="00B834A2" w:rsidP="000D219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G=</m:t>
        </m:r>
        <m:f>
          <m:fPr>
            <m:ctrlPr>
              <w:rPr>
                <w:rFonts w:ascii="Cambria Math" w:hAnsi="Cambria Math" w:cs="Sylfaen"/>
                <w:i/>
                <w:color w:val="000000"/>
                <w:sz w:val="24"/>
                <w:szCs w:val="24"/>
              </w:rPr>
            </m:ctrlPr>
          </m:fPr>
          <m:num>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max</m:t>
                </m:r>
              </m:sub>
              <m:sup>
                <m:r>
                  <w:rPr>
                    <w:rFonts w:ascii="Cambria Math" w:hAnsi="Cambria Math" w:cs="Sylfaen"/>
                    <w:color w:val="000000"/>
                    <w:sz w:val="24"/>
                    <w:szCs w:val="24"/>
                  </w:rPr>
                  <m:t>2</m:t>
                </m:r>
              </m:sup>
            </m:sSubSup>
          </m:num>
          <m:den>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k=1</m:t>
                </m:r>
              </m:sub>
              <m:sup>
                <m:r>
                  <w:rPr>
                    <w:rFonts w:ascii="Cambria Math" w:hAnsi="Cambria Math" w:cs="Sylfaen"/>
                    <w:color w:val="000000"/>
                    <w:sz w:val="24"/>
                    <w:szCs w:val="24"/>
                  </w:rPr>
                  <m:t>k=g</m:t>
                </m:r>
              </m:sup>
              <m:e>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nary>
          </m:den>
        </m:f>
      </m:oMath>
      <w:r w:rsidR="000D219C" w:rsidRPr="000D219C">
        <w:rPr>
          <w:rFonts w:ascii="Sylfaen" w:hAnsi="Sylfaen"/>
          <w:color w:val="000000"/>
          <w:sz w:val="24"/>
          <w:szCs w:val="24"/>
        </w:rPr>
        <w:tab/>
      </w:r>
      <w:r w:rsidR="000D219C" w:rsidRPr="00B834A2">
        <w:t>(</w:t>
      </w:r>
      <w:r w:rsidRPr="00B834A2">
        <w:rPr>
          <w:rFonts w:ascii="Sylfaen" w:hAnsi="Sylfaen"/>
          <w:color w:val="000000"/>
          <w:sz w:val="24"/>
          <w:szCs w:val="24"/>
        </w:rPr>
        <w:t>1.20)</w:t>
      </w:r>
    </w:p>
    <w:p w14:paraId="63AC9DE6" w14:textId="77777777" w:rsidR="00F634DB" w:rsidRPr="00903268" w:rsidRDefault="00F634DB" w:rsidP="00B834A2">
      <w:pPr>
        <w:pStyle w:val="a0"/>
        <w:shd w:val="clear" w:color="auto" w:fill="auto"/>
        <w:spacing w:after="160" w:line="360" w:lineRule="auto"/>
        <w:ind w:firstLine="567"/>
        <w:jc w:val="both"/>
        <w:rPr>
          <w:rFonts w:ascii="Sylfaen" w:hAnsi="Sylfaen"/>
          <w:color w:val="000000"/>
          <w:sz w:val="24"/>
          <w:szCs w:val="24"/>
        </w:rPr>
      </w:pPr>
    </w:p>
    <w:p w14:paraId="70327AC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որտեղ՝</w:t>
      </w:r>
    </w:p>
    <w:p w14:paraId="5B9C6E7E" w14:textId="77777777" w:rsidR="00B834A2" w:rsidRPr="00B834A2" w:rsidRDefault="00000000" w:rsidP="000D219C">
      <w:pPr>
        <w:pStyle w:val="a0"/>
        <w:shd w:val="clear" w:color="auto" w:fill="auto"/>
        <w:spacing w:after="160" w:line="360" w:lineRule="auto"/>
        <w:ind w:firstLine="567"/>
        <w:jc w:val="center"/>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max</m:t>
            </m:r>
          </m:sub>
          <m:sup>
            <m:r>
              <w:rPr>
                <w:rFonts w:ascii="Cambria Math" w:hAnsi="Cambria Math" w:cs="Sylfaen"/>
                <w:color w:val="000000"/>
                <w:sz w:val="24"/>
                <w:szCs w:val="24"/>
              </w:rPr>
              <m:t>2</m:t>
            </m:r>
          </m:sup>
        </m:sSubSup>
        <m:r>
          <w:rPr>
            <w:rFonts w:ascii="Cambria Math" w:hAnsi="Cambria Math" w:cs="Sylfaen"/>
            <w:color w:val="000000"/>
            <w:sz w:val="24"/>
            <w:szCs w:val="24"/>
          </w:rPr>
          <m:t>=</m:t>
        </m:r>
        <m:func>
          <m:funcPr>
            <m:ctrlPr>
              <w:rPr>
                <w:rFonts w:ascii="Cambria Math" w:hAnsi="Cambria Math" w:cs="Sylfaen"/>
                <w:i/>
                <w:color w:val="000000"/>
                <w:sz w:val="24"/>
                <w:szCs w:val="24"/>
              </w:rPr>
            </m:ctrlPr>
          </m:funcPr>
          <m:fName>
            <m:r>
              <m:rPr>
                <m:sty m:val="p"/>
              </m:rPr>
              <w:rPr>
                <w:rFonts w:ascii="Cambria Math" w:hAnsi="Cambria Math" w:cs="Sylfaen"/>
                <w:color w:val="000000"/>
                <w:sz w:val="24"/>
                <w:szCs w:val="24"/>
              </w:rPr>
              <m:t>max</m:t>
            </m:r>
          </m:fName>
          <m:e>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e>
        </m:func>
        <m:r>
          <w:rPr>
            <w:rFonts w:ascii="Cambria Math" w:hAnsi="Cambria Math" w:cs="Sylfaen"/>
            <w:color w:val="000000"/>
            <w:sz w:val="24"/>
            <w:szCs w:val="24"/>
          </w:rPr>
          <m:t>)</m:t>
        </m:r>
      </m:oMath>
      <w:r w:rsidR="00B834A2" w:rsidRPr="00B834A2">
        <w:rPr>
          <w:rFonts w:ascii="Sylfaen" w:hAnsi="Sylfaen"/>
          <w:color w:val="000000"/>
          <w:sz w:val="24"/>
          <w:szCs w:val="24"/>
        </w:rPr>
        <w:t>.</w:t>
      </w:r>
    </w:p>
    <w:p w14:paraId="1B47C81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(1.17) </w:t>
      </w:r>
      <w:r>
        <w:rPr>
          <w:rFonts w:ascii="Sylfaen" w:hAnsi="Sylfaen"/>
          <w:color w:val="000000"/>
          <w:sz w:val="24"/>
          <w:szCs w:val="24"/>
        </w:rPr>
        <w:t>եւ</w:t>
      </w:r>
      <w:r w:rsidRPr="00B834A2">
        <w:rPr>
          <w:rFonts w:ascii="Sylfaen" w:hAnsi="Sylfaen"/>
          <w:color w:val="000000"/>
          <w:sz w:val="24"/>
          <w:szCs w:val="24"/>
        </w:rPr>
        <w:t xml:space="preserve"> (1.20) բանաձ</w:t>
      </w:r>
      <w:r>
        <w:rPr>
          <w:rFonts w:ascii="Sylfaen" w:hAnsi="Sylfaen"/>
          <w:color w:val="000000"/>
          <w:sz w:val="24"/>
          <w:szCs w:val="24"/>
        </w:rPr>
        <w:t>եւ</w:t>
      </w:r>
      <w:r w:rsidRPr="00B834A2">
        <w:rPr>
          <w:rFonts w:ascii="Sylfaen" w:hAnsi="Sylfaen"/>
          <w:color w:val="000000"/>
          <w:sz w:val="24"/>
          <w:szCs w:val="24"/>
        </w:rPr>
        <w:t>երում</w:t>
      </w:r>
      <w:r>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k</m:t>
            </m:r>
          </m:sub>
          <m:sup>
            <m:r>
              <w:rPr>
                <w:rFonts w:ascii="Cambria Math" w:hAnsi="Cambria Math" w:cs="Sylfaen"/>
                <w:color w:val="000000"/>
                <w:sz w:val="24"/>
                <w:szCs w:val="24"/>
              </w:rPr>
              <m:t>2</m:t>
            </m:r>
          </m:sup>
        </m:sSubSup>
      </m:oMath>
      <w:r w:rsidRPr="00B834A2">
        <w:rPr>
          <w:rFonts w:ascii="Sylfaen" w:hAnsi="Sylfaen"/>
          <w:color w:val="000000"/>
          <w:sz w:val="24"/>
          <w:szCs w:val="24"/>
        </w:rPr>
        <w:t xml:space="preserve"> բացարձակ մեծությունների փոխարեն կարող են օգտագործվել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r,k</m:t>
            </m:r>
          </m:sub>
          <m:sup>
            <m:r>
              <w:rPr>
                <w:rFonts w:ascii="Cambria Math" w:hAnsi="Cambria Math" w:cs="Sylfaen"/>
                <w:color w:val="000000"/>
                <w:sz w:val="24"/>
                <w:szCs w:val="24"/>
              </w:rPr>
              <m:t>2</m:t>
            </m:r>
          </m:sup>
        </m:sSubSup>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RSD</m:t>
            </m:r>
          </m:e>
          <m:sub>
            <m:r>
              <w:rPr>
                <w:rFonts w:ascii="Cambria Math" w:hAnsi="Cambria Math" w:cs="Sylfaen"/>
                <w:color w:val="000000"/>
                <w:sz w:val="24"/>
                <w:szCs w:val="24"/>
              </w:rPr>
              <m:t>k</m:t>
            </m:r>
          </m:sub>
        </m:sSub>
      </m:oMath>
      <w:r w:rsidRPr="00B834A2">
        <w:rPr>
          <w:rFonts w:ascii="Sylfaen" w:hAnsi="Sylfaen"/>
          <w:color w:val="000000"/>
          <w:sz w:val="24"/>
          <w:szCs w:val="24"/>
        </w:rPr>
        <w:t xml:space="preserve"> հարաբերական մեծությունները:</w:t>
      </w:r>
    </w:p>
    <w:p w14:paraId="2BD3FEE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Կոխրենի չափորոշչի կրիտիկական արժեքները բերված են Հավելվածի աղյուսակ 6-ում: Դիսպերսիաների միատարրության մասին վարկածի հաստատման համար նշանակալիության ընտրված մակարդակի (95 % կամ 99 %)</w:t>
      </w:r>
      <w:r>
        <w:rPr>
          <w:rFonts w:ascii="Sylfaen" w:hAnsi="Sylfaen"/>
          <w:color w:val="000000"/>
          <w:sz w:val="24"/>
          <w:szCs w:val="24"/>
        </w:rPr>
        <w:t xml:space="preserve"> </w:t>
      </w:r>
      <w:r w:rsidRPr="00B834A2">
        <w:rPr>
          <w:rFonts w:ascii="Sylfaen" w:hAnsi="Sylfaen"/>
          <w:color w:val="000000"/>
          <w:sz w:val="24"/>
          <w:szCs w:val="24"/>
        </w:rPr>
        <w:t xml:space="preserve">վրա հաշվարկված </w:t>
      </w:r>
      <w:r w:rsidRPr="00B834A2">
        <w:rPr>
          <w:rFonts w:ascii="Sylfaen" w:hAnsi="Sylfaen"/>
          <w:i/>
          <w:color w:val="000000"/>
          <w:sz w:val="24"/>
          <w:szCs w:val="24"/>
        </w:rPr>
        <w:t>G</w:t>
      </w:r>
      <w:r w:rsidRPr="00B834A2">
        <w:rPr>
          <w:rFonts w:ascii="Sylfaen" w:hAnsi="Sylfaen"/>
          <w:color w:val="000000"/>
          <w:sz w:val="24"/>
          <w:szCs w:val="24"/>
        </w:rPr>
        <w:t xml:space="preserve"> արժեքը չպետք է գերազանցի կրիտիկական արժեքը </w:t>
      </w:r>
      <w:r w:rsidRPr="00B834A2">
        <w:rPr>
          <w:rFonts w:ascii="Sylfaen" w:hAnsi="Sylfaen"/>
          <w:i/>
          <w:color w:val="000000"/>
          <w:sz w:val="24"/>
          <w:szCs w:val="24"/>
        </w:rPr>
        <w:t>(</w:t>
      </w:r>
      <m:oMath>
        <m:sSub>
          <m:sSubPr>
            <m:ctrlPr>
              <w:rPr>
                <w:rFonts w:ascii="Cambria Math" w:hAnsi="Cambria Math" w:cs="Sylfaen"/>
                <w:i/>
                <w:iCs/>
                <w:color w:val="000000"/>
                <w:sz w:val="24"/>
                <w:szCs w:val="24"/>
              </w:rPr>
            </m:ctrlPr>
          </m:sSubPr>
          <m:e>
            <m:r>
              <w:rPr>
                <w:rFonts w:ascii="Cambria Math" w:hAnsi="Cambria Math" w:cs="Sylfaen"/>
                <w:color w:val="000000"/>
                <w:sz w:val="24"/>
                <w:szCs w:val="24"/>
              </w:rPr>
              <m:t>G</m:t>
            </m:r>
          </m:e>
          <m:sub>
            <m:r>
              <w:rPr>
                <w:rFonts w:ascii="Sylfaen" w:hAnsi="Sylfaen" w:cs="Sylfaen"/>
                <w:color w:val="000000"/>
                <w:sz w:val="24"/>
                <w:szCs w:val="24"/>
              </w:rPr>
              <m:t>հաշվարկված</m:t>
            </m:r>
          </m:sub>
        </m:sSub>
        <m:r>
          <w:rPr>
            <w:rFonts w:ascii="Cambria Math" w:hAnsi="Cambria Math" w:cs="Sylfaen"/>
            <w:color w:val="000000"/>
            <w:sz w:val="24"/>
            <w:szCs w:val="24"/>
          </w:rPr>
          <m:t>≤</m:t>
        </m:r>
        <m:sSub>
          <m:sSubPr>
            <m:ctrlPr>
              <w:rPr>
                <w:rFonts w:ascii="Cambria Math" w:hAnsi="Cambria Math" w:cs="Sylfaen"/>
                <w:i/>
                <w:iCs/>
                <w:color w:val="000000"/>
                <w:sz w:val="24"/>
                <w:szCs w:val="24"/>
              </w:rPr>
            </m:ctrlPr>
          </m:sSubPr>
          <m:e>
            <m:r>
              <w:rPr>
                <w:rFonts w:ascii="Cambria Math" w:hAnsi="Cambria Math" w:cs="Sylfaen"/>
                <w:color w:val="000000"/>
                <w:sz w:val="24"/>
                <w:szCs w:val="24"/>
              </w:rPr>
              <m:t>G</m:t>
            </m:r>
          </m:e>
          <m:sub>
            <m:r>
              <w:rPr>
                <w:rFonts w:ascii="Sylfaen" w:hAnsi="Sylfaen" w:cs="Sylfaen"/>
                <w:color w:val="000000"/>
                <w:sz w:val="24"/>
                <w:szCs w:val="24"/>
              </w:rPr>
              <m:t>կրիտիկական</m:t>
            </m:r>
            <m:r>
              <w:rPr>
                <w:rFonts w:ascii="Cambria Math" w:hAnsi="Cambria Math" w:cs="Cambria Math"/>
                <w:color w:val="000000"/>
                <w:sz w:val="24"/>
                <w:szCs w:val="24"/>
              </w:rPr>
              <m:t>)</m:t>
            </m:r>
          </m:sub>
        </m:sSub>
        <m:r>
          <w:rPr>
            <w:rFonts w:ascii="Cambria Math" w:hAnsi="Cambria Math" w:cs="Sylfaen"/>
            <w:color w:val="000000"/>
            <w:sz w:val="24"/>
            <w:szCs w:val="24"/>
          </w:rPr>
          <m:t xml:space="preserve">. </m:t>
        </m:r>
      </m:oMath>
      <w:r w:rsidRPr="00B834A2">
        <w:rPr>
          <w:rFonts w:ascii="Sylfaen" w:hAnsi="Sylfaen"/>
          <w:color w:val="000000"/>
          <w:sz w:val="24"/>
          <w:szCs w:val="24"/>
        </w:rPr>
        <w:t>Հակառակ դեպքում դիսպերսիաների հավասարության վարկածը կարող է ընդունվել.</w:t>
      </w:r>
      <w:r>
        <w:rPr>
          <w:rFonts w:ascii="Sylfaen" w:hAnsi="Sylfaen"/>
          <w:color w:val="000000"/>
          <w:sz w:val="24"/>
          <w:szCs w:val="24"/>
        </w:rPr>
        <w:t xml:space="preserve"> </w:t>
      </w:r>
      <w:r w:rsidRPr="00B834A2">
        <w:rPr>
          <w:rFonts w:ascii="Sylfaen" w:hAnsi="Sylfaen"/>
          <w:color w:val="000000"/>
          <w:sz w:val="24"/>
          <w:szCs w:val="24"/>
        </w:rPr>
        <w:t>ընտրանքների միավորման (1.15) - (1.17) բանաձ</w:t>
      </w:r>
      <w:r>
        <w:rPr>
          <w:rFonts w:ascii="Sylfaen" w:hAnsi="Sylfaen"/>
          <w:color w:val="000000"/>
          <w:sz w:val="24"/>
          <w:szCs w:val="24"/>
        </w:rPr>
        <w:t>եւ</w:t>
      </w:r>
      <w:r w:rsidRPr="00B834A2">
        <w:rPr>
          <w:rFonts w:ascii="Sylfaen" w:hAnsi="Sylfaen"/>
          <w:color w:val="000000"/>
          <w:sz w:val="24"/>
          <w:szCs w:val="24"/>
        </w:rPr>
        <w:t>երը ճշգրիտ չեն, դիսպերսիաների հետազոտվող ամբողջության մեջ առավելագույն դիսպերսիան համարում են դուրս մնացած մաս:</w:t>
      </w:r>
    </w:p>
    <w:p w14:paraId="7EE70157" w14:textId="77777777" w:rsidR="00F634DB" w:rsidRDefault="00F634DB">
      <w:pPr>
        <w:rPr>
          <w:rFonts w:eastAsia="Times New Roman" w:cs="Times New Roman"/>
          <w:b/>
        </w:rPr>
      </w:pPr>
      <w:r>
        <w:rPr>
          <w:b/>
        </w:rPr>
        <w:br w:type="page"/>
      </w:r>
    </w:p>
    <w:p w14:paraId="7F2B587E" w14:textId="77777777" w:rsidR="00B834A2" w:rsidRPr="00B834A2" w:rsidRDefault="00B834A2" w:rsidP="000D219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lastRenderedPageBreak/>
        <w:t>1.5.</w:t>
      </w:r>
      <w:r w:rsidR="000D219C" w:rsidRPr="000D219C">
        <w:rPr>
          <w:rFonts w:ascii="Sylfaen" w:hAnsi="Sylfaen"/>
          <w:b/>
          <w:color w:val="000000"/>
          <w:sz w:val="24"/>
          <w:szCs w:val="24"/>
        </w:rPr>
        <w:tab/>
      </w:r>
      <w:r w:rsidRPr="00B834A2">
        <w:rPr>
          <w:rFonts w:ascii="Sylfaen" w:hAnsi="Sylfaen"/>
          <w:b/>
          <w:color w:val="000000"/>
          <w:sz w:val="24"/>
          <w:szCs w:val="24"/>
        </w:rPr>
        <w:t xml:space="preserve">Վստահելի միջակայքեր </w:t>
      </w:r>
      <w:r>
        <w:rPr>
          <w:rFonts w:ascii="Sylfaen" w:hAnsi="Sylfaen"/>
          <w:b/>
          <w:color w:val="000000"/>
          <w:sz w:val="24"/>
          <w:szCs w:val="24"/>
        </w:rPr>
        <w:t>եւ</w:t>
      </w:r>
      <w:r w:rsidRPr="00B834A2">
        <w:rPr>
          <w:rFonts w:ascii="Sylfaen" w:hAnsi="Sylfaen"/>
          <w:b/>
          <w:color w:val="000000"/>
          <w:sz w:val="24"/>
          <w:szCs w:val="24"/>
        </w:rPr>
        <w:t xml:space="preserve"> դրանց մեծության գնահատում</w:t>
      </w:r>
    </w:p>
    <w:p w14:paraId="3CEEDD9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n</w:t>
      </w:r>
      <w:r w:rsidRPr="00B834A2">
        <w:rPr>
          <w:rFonts w:ascii="Sylfaen" w:hAnsi="Sylfaen"/>
          <w:color w:val="000000"/>
          <w:sz w:val="24"/>
          <w:szCs w:val="24"/>
        </w:rPr>
        <w:t xml:space="preserve"> վերջնական ծավալի պատահական միատարր ընտրանքը ստացվել է µ իսկական արժեք ունեցող </w:t>
      </w:r>
      <w:r w:rsidRPr="00B834A2">
        <w:rPr>
          <w:rFonts w:ascii="Sylfaen" w:hAnsi="Sylfaen"/>
          <w:i/>
          <w:color w:val="000000"/>
          <w:sz w:val="24"/>
          <w:szCs w:val="24"/>
        </w:rPr>
        <w:t>А</w:t>
      </w:r>
      <w:r w:rsidRPr="00B834A2">
        <w:rPr>
          <w:rFonts w:ascii="Sylfaen" w:hAnsi="Sylfaen"/>
          <w:color w:val="000000"/>
          <w:sz w:val="24"/>
          <w:szCs w:val="24"/>
        </w:rPr>
        <w:t xml:space="preserve"> որոշակի մեծության հաջորդական չափումների արդյունքում, ապա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այդ ընտրանքի միջինը պետք է դիտարկել լոկ որպես </w:t>
      </w:r>
      <w:r w:rsidRPr="00B834A2">
        <w:rPr>
          <w:rFonts w:ascii="Sylfaen" w:hAnsi="Sylfaen"/>
          <w:i/>
          <w:color w:val="000000"/>
          <w:sz w:val="24"/>
          <w:szCs w:val="24"/>
        </w:rPr>
        <w:t>A</w:t>
      </w:r>
      <w:r w:rsidRPr="00B834A2">
        <w:rPr>
          <w:rFonts w:ascii="Sylfaen" w:hAnsi="Sylfaen"/>
          <w:color w:val="000000"/>
          <w:sz w:val="24"/>
          <w:szCs w:val="24"/>
        </w:rPr>
        <w:t xml:space="preserve"> մեծության մոտավոր գնահատական: Այդ գնահատականի հավաստիությունը բնութագրվում է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b/>
          <w:color w:val="000000"/>
          <w:sz w:val="24"/>
          <w:szCs w:val="24"/>
        </w:rPr>
        <w:t xml:space="preserve"> ± </w:t>
      </w:r>
      <m:oMath>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oMath>
      <w:r w:rsidRPr="00B834A2">
        <w:rPr>
          <w:rFonts w:ascii="Sylfaen" w:hAnsi="Sylfaen"/>
          <w:color w:val="000000"/>
          <w:sz w:val="24"/>
          <w:szCs w:val="24"/>
        </w:rPr>
        <w:t xml:space="preserve"> վստահելի միջակայքի մեծությամբ, որի համար </w:t>
      </w:r>
      <w:r w:rsidRPr="00B834A2">
        <w:rPr>
          <w:rFonts w:ascii="Sylfaen" w:hAnsi="Sylfaen"/>
          <w:i/>
          <w:color w:val="000000"/>
          <w:sz w:val="24"/>
          <w:szCs w:val="24"/>
        </w:rPr>
        <w:t>Р</w:t>
      </w:r>
      <w:r w:rsidRPr="00B834A2">
        <w:rPr>
          <w:rFonts w:ascii="Sylfaen" w:hAnsi="Sylfaen"/>
          <w:color w:val="000000"/>
          <w:sz w:val="24"/>
          <w:szCs w:val="24"/>
        </w:rPr>
        <w:t xml:space="preserve"> տրված վստահելի հավանականությամբ կատարվում է հետ</w:t>
      </w:r>
      <w:r>
        <w:rPr>
          <w:rFonts w:ascii="Sylfaen" w:hAnsi="Sylfaen"/>
          <w:color w:val="000000"/>
          <w:sz w:val="24"/>
          <w:szCs w:val="24"/>
        </w:rPr>
        <w:t>եւ</w:t>
      </w:r>
      <w:r w:rsidRPr="00B834A2">
        <w:rPr>
          <w:rFonts w:ascii="Sylfaen" w:hAnsi="Sylfaen"/>
          <w:color w:val="000000"/>
          <w:sz w:val="24"/>
          <w:szCs w:val="24"/>
        </w:rPr>
        <w:t>յալ պայմանը.</w:t>
      </w:r>
    </w:p>
    <w:p w14:paraId="32B7175C" w14:textId="77777777" w:rsidR="00B834A2" w:rsidRPr="00B834A2" w:rsidRDefault="00B834A2" w:rsidP="000D219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color w:val="000000"/>
          <w:sz w:val="24"/>
          <w:szCs w:val="24"/>
        </w:rPr>
        <w:t>(</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 </w:t>
      </w:r>
      <m:oMath>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oMath>
      <w:r w:rsidRPr="00B834A2">
        <w:rPr>
          <w:rFonts w:ascii="Sylfaen" w:hAnsi="Sylfaen"/>
          <w:b/>
          <w:color w:val="000000"/>
          <w:sz w:val="24"/>
          <w:szCs w:val="24"/>
        </w:rPr>
        <w:t>,</w:t>
      </w:r>
      <w:r w:rsidRPr="00B834A2">
        <w:rPr>
          <w:rFonts w:ascii="Sylfaen" w:hAnsi="Sylfaen"/>
          <w:color w:val="000000"/>
          <w:sz w:val="24"/>
          <w:szCs w:val="24"/>
        </w:rPr>
        <w:t xml:space="preserve">) </w:t>
      </w:r>
      <m:oMath>
        <m:r>
          <w:rPr>
            <w:rFonts w:ascii="Cambria Math" w:hAnsi="Cambria Math" w:cs="Sylfaen"/>
            <w:color w:val="000000"/>
            <w:sz w:val="24"/>
            <w:szCs w:val="24"/>
          </w:rPr>
          <m:t>≤μ≤</m:t>
        </m:r>
      </m:oMath>
      <w:r w:rsidRPr="00B834A2">
        <w:rPr>
          <w:rFonts w:ascii="Sylfaen" w:hAnsi="Sylfaen"/>
          <w:color w:val="000000"/>
          <w:sz w:val="24"/>
          <w:szCs w:val="24"/>
        </w:rPr>
        <w:t xml:space="preserve">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 </w:t>
      </w:r>
      <m:oMath>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oMath>
      <w:r w:rsidRPr="00B834A2">
        <w:rPr>
          <w:rFonts w:ascii="Sylfaen" w:hAnsi="Sylfaen"/>
          <w:color w:val="000000"/>
          <w:sz w:val="24"/>
          <w:szCs w:val="24"/>
        </w:rPr>
        <w:t>).</w:t>
      </w:r>
      <w:r w:rsidR="000D219C" w:rsidRPr="002E52D1">
        <w:rPr>
          <w:rFonts w:ascii="Sylfaen" w:hAnsi="Sylfaen"/>
          <w:sz w:val="24"/>
          <w:szCs w:val="24"/>
        </w:rPr>
        <w:tab/>
      </w:r>
      <w:r w:rsidRPr="00B834A2">
        <w:rPr>
          <w:rFonts w:ascii="Sylfaen" w:hAnsi="Sylfaen"/>
          <w:color w:val="000000"/>
          <w:sz w:val="24"/>
          <w:szCs w:val="24"/>
        </w:rPr>
        <w:t>(1.21)</w:t>
      </w:r>
    </w:p>
    <w:p w14:paraId="3507FEC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Տվյալ վստահելի միջակայքը չի բնութագրում µ մեծության որոշման սխալանքը, քանի որ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գտնված մեծությունը կարող է լինել իրականում շատ մոտ µ իսկական արժեքին, որը մնում է անհայտ: Ստացված վստահելի միջակայքը բնութագրում է </w:t>
      </w:r>
      <w:r w:rsidRPr="00B834A2">
        <w:rPr>
          <w:rFonts w:ascii="Sylfaen" w:hAnsi="Sylfaen"/>
          <w:i/>
          <w:color w:val="000000"/>
          <w:sz w:val="24"/>
          <w:szCs w:val="24"/>
        </w:rPr>
        <w:t>n</w:t>
      </w:r>
      <w:r w:rsidRPr="00B834A2">
        <w:rPr>
          <w:rFonts w:ascii="Sylfaen" w:hAnsi="Sylfaen"/>
          <w:color w:val="000000"/>
          <w:sz w:val="24"/>
          <w:szCs w:val="24"/>
        </w:rPr>
        <w:t xml:space="preserve"> վերջնական ծավալի ընտրանքի հաջորդական չափումների արդյունքներով </w:t>
      </w:r>
      <w:r w:rsidRPr="00B834A2">
        <w:rPr>
          <w:rFonts w:ascii="Sylfaen" w:hAnsi="Sylfaen"/>
          <w:i/>
          <w:color w:val="000000"/>
          <w:sz w:val="24"/>
          <w:szCs w:val="24"/>
        </w:rPr>
        <w:t>А</w:t>
      </w:r>
      <w:r w:rsidRPr="00B834A2">
        <w:rPr>
          <w:rFonts w:ascii="Sylfaen" w:hAnsi="Sylfaen"/>
          <w:color w:val="000000"/>
          <w:sz w:val="24"/>
          <w:szCs w:val="24"/>
        </w:rPr>
        <w:t xml:space="preserve"> մեծության µ իսկական արժեքի մասին մեր գիտելիքների անորոշության աստիճանը: Այդ իսկ պատճառով ճիշտ է խոսել «անալիզի արդյունքների «անորոշության» մասին, որը բնութագրվում է վստահելի միջակայքով, «անալիզի արդյունքների սխալանք» արտահայտության փոխարեն, որը հաճախակի ոչ լրիվ ճշգրիտ օգտագործվում է:</w:t>
      </w:r>
    </w:p>
    <w:p w14:paraId="0EC6411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s</w:t>
      </w:r>
      <w:r w:rsidRPr="00B834A2">
        <w:rPr>
          <w:rFonts w:ascii="Sylfaen" w:hAnsi="Sylfaen"/>
          <w:color w:val="000000"/>
          <w:sz w:val="24"/>
          <w:szCs w:val="24"/>
        </w:rPr>
        <w:t xml:space="preserve"> ստանդարտ շեղման հայտնի արժեքի դեպքում կամ մեծ ծավալի ընտրանքների համար վստահելի միջակայքի սահմանային արժեքների հաշվարկն անցկացնում են հետ</w:t>
      </w:r>
      <w:r>
        <w:rPr>
          <w:rFonts w:ascii="Sylfaen" w:hAnsi="Sylfaen"/>
          <w:color w:val="000000"/>
          <w:sz w:val="24"/>
          <w:szCs w:val="24"/>
        </w:rPr>
        <w:t>եւ</w:t>
      </w:r>
      <w:r w:rsidRPr="00B834A2">
        <w:rPr>
          <w:rFonts w:ascii="Sylfaen" w:hAnsi="Sylfaen"/>
          <w:color w:val="000000"/>
          <w:sz w:val="24"/>
          <w:szCs w:val="24"/>
        </w:rPr>
        <w:t>յալ հավասարմամբ.</w:t>
      </w:r>
    </w:p>
    <w:p w14:paraId="66BC8BB6" w14:textId="77777777" w:rsidR="00B834A2" w:rsidRPr="00B834A2" w:rsidRDefault="00B834A2" w:rsidP="000D219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color w:val="000000"/>
          <w:sz w:val="24"/>
          <w:szCs w:val="24"/>
        </w:rPr>
        <w:t>(</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 </w:t>
      </w:r>
      <m:oMath>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oMath>
      <w:r w:rsidRPr="00B834A2">
        <w:rPr>
          <w:rFonts w:ascii="Sylfaen" w:hAnsi="Sylfaen"/>
          <w:color w:val="000000"/>
          <w:sz w:val="24"/>
          <w:szCs w:val="24"/>
        </w:rPr>
        <w:t xml:space="preserve">) =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w:t>
      </w:r>
      <w:r w:rsidRPr="00B834A2">
        <w:rPr>
          <w:rFonts w:ascii="Sylfaen" w:hAnsi="Sylfaen"/>
          <w:sz w:val="24"/>
          <w:szCs w:val="24"/>
        </w:rPr>
        <w:t xml:space="preserve"> </w:t>
      </w:r>
      <m:oMath>
        <m:f>
          <m:fPr>
            <m:ctrlPr>
              <w:rPr>
                <w:rFonts w:ascii="Cambria Math" w:hAnsi="Cambria Math" w:cs="Sylfaen"/>
                <w:i/>
                <w:color w:val="000000"/>
                <w:sz w:val="24"/>
                <w:szCs w:val="24"/>
                <w:vertAlign w:val="superscript"/>
              </w:rPr>
            </m:ctrlPr>
          </m:fPr>
          <m:num>
            <m:r>
              <w:rPr>
                <w:rFonts w:ascii="Cambria Math" w:hAnsi="Cambria Math" w:cs="Sylfaen"/>
                <w:color w:val="000000"/>
                <w:sz w:val="24"/>
                <w:szCs w:val="24"/>
                <w:vertAlign w:val="superscript"/>
              </w:rPr>
              <m:t>U</m:t>
            </m:r>
            <m:d>
              <m:dPr>
                <m:ctrlPr>
                  <w:rPr>
                    <w:rFonts w:ascii="Cambria Math" w:hAnsi="Cambria Math" w:cs="Sylfaen"/>
                    <w:i/>
                    <w:color w:val="000000"/>
                    <w:sz w:val="24"/>
                    <w:szCs w:val="24"/>
                    <w:vertAlign w:val="superscript"/>
                  </w:rPr>
                </m:ctrlPr>
              </m:dPr>
              <m:e>
                <m:r>
                  <w:rPr>
                    <w:rFonts w:ascii="Cambria Math" w:hAnsi="Cambria Math" w:cs="Sylfaen"/>
                    <w:color w:val="000000"/>
                    <w:sz w:val="24"/>
                    <w:szCs w:val="24"/>
                    <w:vertAlign w:val="superscript"/>
                  </w:rPr>
                  <m:t>P</m:t>
                </m:r>
              </m:e>
            </m:d>
            <m:r>
              <w:rPr>
                <w:rFonts w:ascii="Cambria Math" w:hAnsi="Cambria Math" w:cs="Sylfaen"/>
                <w:color w:val="000000"/>
                <w:sz w:val="24"/>
                <w:szCs w:val="24"/>
                <w:vertAlign w:val="superscript"/>
              </w:rPr>
              <m:t>*2</m:t>
            </m:r>
          </m:num>
          <m:den>
            <m:rad>
              <m:radPr>
                <m:degHide m:val="1"/>
                <m:ctrlPr>
                  <w:rPr>
                    <w:rFonts w:ascii="Cambria Math" w:hAnsi="Cambria Math" w:cs="Sylfaen"/>
                    <w:i/>
                    <w:color w:val="000000"/>
                    <w:sz w:val="24"/>
                    <w:szCs w:val="24"/>
                    <w:vertAlign w:val="superscript"/>
                  </w:rPr>
                </m:ctrlPr>
              </m:radPr>
              <m:deg/>
              <m:e>
                <m:r>
                  <w:rPr>
                    <w:rFonts w:ascii="Cambria Math" w:hAnsi="Cambria Math" w:cs="Sylfaen"/>
                    <w:color w:val="000000"/>
                    <w:sz w:val="24"/>
                    <w:szCs w:val="24"/>
                    <w:vertAlign w:val="superscript"/>
                  </w:rPr>
                  <m:t>n</m:t>
                </m:r>
              </m:e>
            </m:rad>
          </m:den>
        </m:f>
      </m:oMath>
      <w:r w:rsidRPr="00B834A2">
        <w:rPr>
          <w:rFonts w:ascii="Sylfaen" w:hAnsi="Sylfaen"/>
          <w:color w:val="000000"/>
          <w:sz w:val="24"/>
          <w:szCs w:val="24"/>
        </w:rPr>
        <w:t xml:space="preserve"> ,</w:t>
      </w:r>
      <w:r w:rsidR="000D219C" w:rsidRPr="002E52D1">
        <w:rPr>
          <w:rFonts w:ascii="Sylfaen" w:hAnsi="Sylfaen"/>
          <w:sz w:val="24"/>
          <w:szCs w:val="24"/>
        </w:rPr>
        <w:tab/>
      </w:r>
      <w:r w:rsidRPr="00B834A2">
        <w:rPr>
          <w:rFonts w:ascii="Sylfaen" w:hAnsi="Sylfaen"/>
          <w:color w:val="000000"/>
          <w:sz w:val="24"/>
          <w:szCs w:val="24"/>
        </w:rPr>
        <w:t>(1.22ա)</w:t>
      </w:r>
    </w:p>
    <w:p w14:paraId="6A48BC53" w14:textId="77777777" w:rsidR="00B834A2" w:rsidRPr="000D219C" w:rsidRDefault="00B834A2" w:rsidP="00B834A2">
      <w:pPr>
        <w:pStyle w:val="a0"/>
        <w:shd w:val="clear" w:color="auto" w:fill="auto"/>
        <w:spacing w:after="160" w:line="360" w:lineRule="auto"/>
        <w:ind w:firstLine="567"/>
        <w:jc w:val="both"/>
        <w:rPr>
          <w:rFonts w:ascii="Sylfaen" w:hAnsi="Sylfaen" w:cs="Sylfaen"/>
          <w:spacing w:val="-4"/>
          <w:sz w:val="24"/>
          <w:szCs w:val="24"/>
        </w:rPr>
      </w:pPr>
      <w:r w:rsidRPr="000D219C">
        <w:rPr>
          <w:rFonts w:ascii="Sylfaen" w:hAnsi="Sylfaen"/>
          <w:color w:val="000000"/>
          <w:spacing w:val="-4"/>
          <w:sz w:val="24"/>
          <w:szCs w:val="24"/>
        </w:rPr>
        <w:t xml:space="preserve">ենթադրելով, որ ընտրանքի մեջ մտնող տարբերակները կանոնավոր կերպով են բաշխված: Այստեղ </w:t>
      </w:r>
      <w:r w:rsidRPr="000D219C">
        <w:rPr>
          <w:rFonts w:ascii="Sylfaen" w:hAnsi="Sylfaen"/>
          <w:i/>
          <w:color w:val="000000"/>
          <w:spacing w:val="-4"/>
          <w:sz w:val="24"/>
          <w:szCs w:val="24"/>
        </w:rPr>
        <w:t xml:space="preserve">U(Р)-ն՝ կանոնավոր բաշխման ֆունկցիայի աղյուսակային արժեք: </w:t>
      </w:r>
    </w:p>
    <w:p w14:paraId="036DBBF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Ոչ մեծ ծավալի ընտրանքների համար վստահելի միջակայքի սահմանային արժեքների հաշվարկն անցկացնում են Ստյուդենտի չափորոշչի օգտագործմամբ՝ ենթադրելով, որ ընտրանքի մեջ մտնող տարբերակները կանոնավոր կերպով են բաշխված.</w:t>
      </w:r>
    </w:p>
    <w:p w14:paraId="23D16161" w14:textId="77777777" w:rsidR="00B834A2" w:rsidRPr="00B834A2" w:rsidRDefault="00B834A2" w:rsidP="000D219C">
      <w:pPr>
        <w:pStyle w:val="a0"/>
        <w:shd w:val="clear" w:color="auto" w:fill="auto"/>
        <w:spacing w:after="160" w:line="360" w:lineRule="auto"/>
        <w:ind w:firstLine="567"/>
        <w:jc w:val="center"/>
        <w:rPr>
          <w:rFonts w:ascii="Sylfaen" w:hAnsi="Sylfaen" w:cs="Sylfaen"/>
          <w:sz w:val="24"/>
          <w:szCs w:val="24"/>
        </w:rPr>
      </w:pPr>
      <w:r w:rsidRPr="00B834A2">
        <w:rPr>
          <w:rFonts w:ascii="Sylfaen" w:hAnsi="Sylfaen"/>
          <w:color w:val="000000"/>
          <w:sz w:val="24"/>
          <w:szCs w:val="24"/>
        </w:rPr>
        <w:lastRenderedPageBreak/>
        <w:t>(</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 </w:t>
      </w:r>
      <m:oMath>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oMath>
      <w:r w:rsidRPr="00B834A2">
        <w:rPr>
          <w:rFonts w:ascii="Sylfaen" w:hAnsi="Sylfaen"/>
          <w:color w:val="000000"/>
          <w:sz w:val="24"/>
          <w:szCs w:val="24"/>
        </w:rPr>
        <w:t xml:space="preserve">) = </w:t>
      </w:r>
      <w:r w:rsidRPr="00B834A2">
        <w:rPr>
          <w:rFonts w:ascii="Sylfaen" w:hAnsi="Sylfaen"/>
          <w:b/>
          <w:color w:val="000000"/>
          <w:sz w:val="24"/>
          <w:szCs w:val="24"/>
        </w:rPr>
        <w:t>¯</w:t>
      </w:r>
      <w:r w:rsidRPr="00B834A2">
        <w:rPr>
          <w:rFonts w:ascii="Sylfaen" w:hAnsi="Sylfaen"/>
          <w:i/>
          <w:color w:val="000000"/>
          <w:sz w:val="24"/>
          <w:szCs w:val="24"/>
        </w:rPr>
        <w:t>х</w:t>
      </w:r>
      <w:r w:rsidRPr="00B834A2">
        <w:rPr>
          <w:rFonts w:ascii="Sylfaen" w:hAnsi="Sylfaen"/>
          <w:color w:val="000000"/>
          <w:sz w:val="24"/>
          <w:szCs w:val="24"/>
        </w:rPr>
        <w:t xml:space="preserve"> ±</w:t>
      </w:r>
      <w:r w:rsidRPr="00B834A2">
        <w:rPr>
          <w:rFonts w:ascii="Sylfaen" w:hAnsi="Sylfaen"/>
          <w:sz w:val="24"/>
          <w:szCs w:val="24"/>
        </w:rPr>
        <w:t xml:space="preserve"> </w:t>
      </w:r>
      <m:oMath>
        <m:f>
          <m:fPr>
            <m:ctrlPr>
              <w:rPr>
                <w:rFonts w:ascii="Cambria Math" w:hAnsi="Cambria Math" w:cs="Sylfaen"/>
                <w:i/>
                <w:color w:val="000000"/>
                <w:sz w:val="24"/>
                <w:szCs w:val="24"/>
                <w:vertAlign w:val="superscript"/>
              </w:rPr>
            </m:ctrlPr>
          </m:fPr>
          <m:num>
            <m:r>
              <w:rPr>
                <w:rFonts w:ascii="Cambria Math" w:hAnsi="Cambria Math" w:cs="Sylfaen"/>
                <w:color w:val="000000"/>
                <w:sz w:val="24"/>
                <w:szCs w:val="24"/>
                <w:vertAlign w:val="superscript"/>
              </w:rPr>
              <m:t>t</m:t>
            </m:r>
            <m:d>
              <m:dPr>
                <m:ctrlPr>
                  <w:rPr>
                    <w:rFonts w:ascii="Cambria Math" w:hAnsi="Cambria Math" w:cs="Sylfaen"/>
                    <w:i/>
                    <w:color w:val="000000"/>
                    <w:sz w:val="24"/>
                    <w:szCs w:val="24"/>
                    <w:vertAlign w:val="superscript"/>
                  </w:rPr>
                </m:ctrlPr>
              </m:dPr>
              <m:e>
                <m:r>
                  <w:rPr>
                    <w:rFonts w:ascii="Cambria Math" w:hAnsi="Cambria Math" w:cs="Sylfaen"/>
                    <w:color w:val="000000"/>
                    <w:sz w:val="24"/>
                    <w:szCs w:val="24"/>
                    <w:vertAlign w:val="superscript"/>
                  </w:rPr>
                  <m:t>P,f</m:t>
                </m:r>
              </m:e>
            </m:d>
            <m:r>
              <w:rPr>
                <w:rFonts w:ascii="Cambria Math" w:hAnsi="Cambria Math" w:cs="Sylfaen"/>
                <w:color w:val="000000"/>
                <w:sz w:val="24"/>
                <w:szCs w:val="24"/>
                <w:vertAlign w:val="superscript"/>
              </w:rPr>
              <m:t>*s</m:t>
            </m:r>
          </m:num>
          <m:den>
            <m:rad>
              <m:radPr>
                <m:degHide m:val="1"/>
                <m:ctrlPr>
                  <w:rPr>
                    <w:rFonts w:ascii="Cambria Math" w:hAnsi="Cambria Math" w:cs="Sylfaen"/>
                    <w:i/>
                    <w:color w:val="000000"/>
                    <w:sz w:val="24"/>
                    <w:szCs w:val="24"/>
                    <w:vertAlign w:val="superscript"/>
                  </w:rPr>
                </m:ctrlPr>
              </m:radPr>
              <m:deg/>
              <m:e>
                <m:r>
                  <w:rPr>
                    <w:rFonts w:ascii="Cambria Math" w:hAnsi="Cambria Math" w:cs="Sylfaen"/>
                    <w:color w:val="000000"/>
                    <w:sz w:val="24"/>
                    <w:szCs w:val="24"/>
                    <w:vertAlign w:val="superscript"/>
                  </w:rPr>
                  <m:t>n</m:t>
                </m:r>
              </m:e>
            </m:rad>
          </m:den>
        </m:f>
      </m:oMath>
      <w:r>
        <w:rPr>
          <w:rFonts w:ascii="Sylfaen" w:hAnsi="Sylfaen"/>
          <w:color w:val="000000"/>
          <w:sz w:val="24"/>
          <w:szCs w:val="24"/>
        </w:rPr>
        <w:t xml:space="preserve"> </w:t>
      </w:r>
      <w:r w:rsidR="000D219C" w:rsidRPr="002E52D1">
        <w:rPr>
          <w:rFonts w:ascii="Sylfaen" w:hAnsi="Sylfaen"/>
          <w:color w:val="000000"/>
          <w:sz w:val="24"/>
          <w:szCs w:val="24"/>
        </w:rPr>
        <w:tab/>
      </w:r>
      <w:r w:rsidRPr="00B834A2">
        <w:rPr>
          <w:rFonts w:ascii="Sylfaen" w:hAnsi="Sylfaen"/>
          <w:color w:val="000000"/>
          <w:sz w:val="24"/>
          <w:szCs w:val="24"/>
        </w:rPr>
        <w:t>(1.22բ)</w:t>
      </w:r>
    </w:p>
    <w:p w14:paraId="32918DD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կամ հարաբերական մեծությունների օգտագործմամբ՝</w:t>
      </w:r>
    </w:p>
    <w:p w14:paraId="14FC705E" w14:textId="77777777" w:rsidR="00B834A2" w:rsidRPr="00B834A2" w:rsidRDefault="00B834A2" w:rsidP="000D219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1</m:t>
        </m:r>
        <m:r>
          <m:rPr>
            <m:sty m:val="p"/>
          </m:rPr>
          <w:rPr>
            <w:rFonts w:ascii="Cambria Math" w:hAnsi="Cambria Math" w:cs="Sylfaen"/>
            <w:color w:val="000000"/>
            <w:sz w:val="24"/>
            <w:szCs w:val="24"/>
          </w:rPr>
          <m:t>±</m:t>
        </m:r>
        <m:f>
          <m:fPr>
            <m:ctrlPr>
              <w:rPr>
                <w:rFonts w:ascii="Cambria Math" w:hAnsi="Cambria Math" w:cs="Sylfaen"/>
                <w:b/>
                <w:bCs/>
                <w:i/>
                <w:color w:val="000000"/>
                <w:sz w:val="24"/>
                <w:szCs w:val="24"/>
              </w:rPr>
            </m:ctrlPr>
          </m:fPr>
          <m:num>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num>
          <m:den>
            <m:r>
              <m:rPr>
                <m:sty m:val="b"/>
              </m:rPr>
              <w:rPr>
                <w:rFonts w:ascii="Cambria Math" w:hAnsi="Cambria Math" w:cs="Sylfaen"/>
                <w:color w:val="000000"/>
                <w:sz w:val="24"/>
                <w:szCs w:val="24"/>
              </w:rPr>
              <m:t>¯</m:t>
            </m:r>
            <m:r>
              <w:rPr>
                <w:rFonts w:ascii="Cambria Math" w:hAnsi="Cambria Math" w:cs="Sylfaen"/>
                <w:color w:val="000000"/>
                <w:sz w:val="24"/>
                <w:szCs w:val="24"/>
              </w:rPr>
              <m:t>х</m:t>
            </m:r>
          </m:den>
        </m:f>
        <m:r>
          <m:rPr>
            <m:sty m:val="bi"/>
          </m:rPr>
          <w:rPr>
            <w:rFonts w:ascii="Cambria Math" w:hAnsi="Cambria Math" w:cs="Sylfaen"/>
            <w:color w:val="000000"/>
            <w:sz w:val="24"/>
            <w:szCs w:val="24"/>
          </w:rPr>
          <m:t>=</m:t>
        </m:r>
        <m:r>
          <w:rPr>
            <w:rFonts w:ascii="Cambria Math" w:hAnsi="Cambria Math" w:cs="Sylfaen"/>
            <w:color w:val="000000"/>
            <w:sz w:val="24"/>
            <w:szCs w:val="24"/>
          </w:rPr>
          <m:t>1</m:t>
        </m:r>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bi"/>
              </m:rPr>
              <w:rPr>
                <w:rFonts w:ascii="Cambria Math" w:hAnsi="Cambria Math" w:cs="Sylfaen"/>
                <w:color w:val="000000"/>
                <w:sz w:val="24"/>
                <w:szCs w:val="24"/>
              </w:rPr>
              <m:t>∆</m:t>
            </m:r>
            <m:r>
              <m:rPr>
                <m:sty m:val="b"/>
              </m:rPr>
              <w:rPr>
                <w:rFonts w:ascii="Cambria Math" w:hAnsi="Cambria Math" w:cs="Sylfaen"/>
                <w:color w:val="000000"/>
                <w:sz w:val="24"/>
                <w:szCs w:val="24"/>
              </w:rPr>
              <m:t>¯</m:t>
            </m:r>
            <m:r>
              <w:rPr>
                <w:rFonts w:ascii="Cambria Math" w:hAnsi="Cambria Math" w:cs="Sylfaen"/>
                <w:color w:val="000000"/>
                <w:sz w:val="24"/>
                <w:szCs w:val="24"/>
              </w:rPr>
              <m:t>х</m:t>
            </m:r>
          </m:e>
          <m:sub>
            <m:r>
              <m:rPr>
                <m:sty m:val="p"/>
              </m:rPr>
              <w:rPr>
                <w:rFonts w:ascii="Cambria Math" w:hAnsi="Cambria Math" w:cs="Sylfaen"/>
                <w:color w:val="000000"/>
                <w:sz w:val="24"/>
                <w:szCs w:val="24"/>
              </w:rPr>
              <m:t>r</m:t>
            </m:r>
          </m:sub>
        </m:sSub>
        <m:r>
          <m:rPr>
            <m:sty m:val="p"/>
          </m:rPr>
          <w:rPr>
            <w:rFonts w:ascii="Cambria Math" w:hAnsi="Cambria Math" w:cs="Sylfaen"/>
            <w:color w:val="000000"/>
            <w:sz w:val="24"/>
            <w:szCs w:val="24"/>
          </w:rPr>
          <m:t>=1±</m:t>
        </m:r>
        <m:f>
          <m:fPr>
            <m:ctrlPr>
              <w:rPr>
                <w:rFonts w:ascii="Cambria Math" w:hAnsi="Cambria Math" w:cs="Sylfaen"/>
                <w:i/>
                <w:color w:val="000000"/>
                <w:sz w:val="24"/>
                <w:szCs w:val="24"/>
                <w:vertAlign w:val="superscript"/>
              </w:rPr>
            </m:ctrlPr>
          </m:fPr>
          <m:num>
            <m:r>
              <w:rPr>
                <w:rFonts w:ascii="Cambria Math" w:hAnsi="Cambria Math" w:cs="Sylfaen"/>
                <w:color w:val="000000"/>
                <w:sz w:val="24"/>
                <w:szCs w:val="24"/>
                <w:vertAlign w:val="superscript"/>
              </w:rPr>
              <m:t>t</m:t>
            </m:r>
            <m:d>
              <m:dPr>
                <m:ctrlPr>
                  <w:rPr>
                    <w:rFonts w:ascii="Cambria Math" w:hAnsi="Cambria Math" w:cs="Sylfaen"/>
                    <w:i/>
                    <w:color w:val="000000"/>
                    <w:sz w:val="24"/>
                    <w:szCs w:val="24"/>
                    <w:vertAlign w:val="superscript"/>
                  </w:rPr>
                </m:ctrlPr>
              </m:dPr>
              <m:e>
                <m:r>
                  <w:rPr>
                    <w:rFonts w:ascii="Cambria Math" w:hAnsi="Cambria Math" w:cs="Sylfaen"/>
                    <w:color w:val="000000"/>
                    <w:sz w:val="24"/>
                    <w:szCs w:val="24"/>
                    <w:vertAlign w:val="superscript"/>
                  </w:rPr>
                  <m:t>P,f</m:t>
                </m:r>
              </m:e>
            </m:d>
            <m:r>
              <w:rPr>
                <w:rFonts w:ascii="Cambria Math" w:hAnsi="Cambria Math" w:cs="Sylfaen"/>
                <w:color w:val="000000"/>
                <w:sz w:val="24"/>
                <w:szCs w:val="24"/>
                <w:vertAlign w:val="superscript"/>
              </w:rPr>
              <m:t>*</m:t>
            </m:r>
            <m:sSub>
              <m:sSubPr>
                <m:ctrlPr>
                  <w:rPr>
                    <w:rFonts w:ascii="Cambria Math" w:hAnsi="Cambria Math" w:cs="Sylfaen"/>
                    <w:i/>
                    <w:color w:val="000000"/>
                    <w:sz w:val="24"/>
                    <w:szCs w:val="24"/>
                    <w:vertAlign w:val="superscript"/>
                  </w:rPr>
                </m:ctrlPr>
              </m:sSubPr>
              <m:e>
                <m:r>
                  <w:rPr>
                    <w:rFonts w:ascii="Cambria Math" w:hAnsi="Cambria Math" w:cs="Sylfaen"/>
                    <w:color w:val="000000"/>
                    <w:sz w:val="24"/>
                    <w:szCs w:val="24"/>
                    <w:vertAlign w:val="superscript"/>
                  </w:rPr>
                  <m:t>s</m:t>
                </m:r>
              </m:e>
              <m:sub>
                <m:r>
                  <w:rPr>
                    <w:rFonts w:ascii="Cambria Math" w:hAnsi="Cambria Math" w:cs="Sylfaen"/>
                    <w:color w:val="000000"/>
                    <w:sz w:val="24"/>
                    <w:szCs w:val="24"/>
                    <w:vertAlign w:val="superscript"/>
                  </w:rPr>
                  <m:t>r</m:t>
                </m:r>
              </m:sub>
            </m:sSub>
          </m:num>
          <m:den>
            <m:rad>
              <m:radPr>
                <m:degHide m:val="1"/>
                <m:ctrlPr>
                  <w:rPr>
                    <w:rFonts w:ascii="Cambria Math" w:hAnsi="Cambria Math" w:cs="Sylfaen"/>
                    <w:i/>
                    <w:color w:val="000000"/>
                    <w:sz w:val="24"/>
                    <w:szCs w:val="24"/>
                    <w:vertAlign w:val="superscript"/>
                  </w:rPr>
                </m:ctrlPr>
              </m:radPr>
              <m:deg/>
              <m:e>
                <m:r>
                  <w:rPr>
                    <w:rFonts w:ascii="Cambria Math" w:hAnsi="Cambria Math" w:cs="Sylfaen"/>
                    <w:color w:val="000000"/>
                    <w:sz w:val="24"/>
                    <w:szCs w:val="24"/>
                    <w:vertAlign w:val="superscript"/>
                  </w:rPr>
                  <m:t>n</m:t>
                </m:r>
              </m:e>
            </m:rad>
          </m:den>
        </m:f>
      </m:oMath>
      <w:r w:rsidRPr="00B834A2">
        <w:rPr>
          <w:rFonts w:ascii="Sylfaen" w:hAnsi="Sylfaen"/>
          <w:sz w:val="24"/>
          <w:szCs w:val="24"/>
        </w:rPr>
        <w:t xml:space="preserve"> </w:t>
      </w:r>
      <w:r w:rsidR="000D219C" w:rsidRPr="000D219C">
        <w:rPr>
          <w:rFonts w:ascii="Sylfaen" w:hAnsi="Sylfaen"/>
          <w:sz w:val="24"/>
          <w:szCs w:val="24"/>
        </w:rPr>
        <w:tab/>
      </w:r>
      <w:r w:rsidRPr="00B834A2">
        <w:rPr>
          <w:rFonts w:ascii="Sylfaen" w:hAnsi="Sylfaen"/>
          <w:color w:val="000000"/>
          <w:sz w:val="24"/>
          <w:szCs w:val="24"/>
        </w:rPr>
        <w:t>(1.22գ)</w:t>
      </w:r>
    </w:p>
    <w:p w14:paraId="336F7D2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Այստեղ </w:t>
      </w:r>
      <w:r w:rsidRPr="00B834A2">
        <w:rPr>
          <w:rFonts w:ascii="Sylfaen" w:hAnsi="Sylfaen"/>
          <w:i/>
          <w:color w:val="000000"/>
          <w:sz w:val="24"/>
          <w:szCs w:val="24"/>
        </w:rPr>
        <w:t>t(P,f)-ը</w:t>
      </w:r>
      <w:r w:rsidRPr="00B834A2">
        <w:rPr>
          <w:rFonts w:ascii="Sylfaen" w:hAnsi="Sylfaen"/>
          <w:color w:val="000000"/>
          <w:sz w:val="24"/>
          <w:szCs w:val="24"/>
        </w:rPr>
        <w:t>՝ Ստյուդենտի չափորոշչի աղյուսակային արժեք (Հավելվածի աղյուսակ 2):</w:t>
      </w:r>
    </w:p>
    <w:p w14:paraId="5720DAB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t(P,f)</w:t>
      </w:r>
      <w:r w:rsidRPr="00B834A2">
        <w:rPr>
          <w:rFonts w:ascii="Sylfaen" w:hAnsi="Sylfaen"/>
          <w:color w:val="000000"/>
          <w:sz w:val="24"/>
          <w:szCs w:val="24"/>
        </w:rPr>
        <w:t xml:space="preserve"> Ստյուդենտի չափորոշչով բաշխումը </w:t>
      </w:r>
      <w:r w:rsidRPr="00B834A2">
        <w:rPr>
          <w:rFonts w:ascii="Sylfaen" w:hAnsi="Sylfaen"/>
          <w:i/>
          <w:color w:val="000000"/>
          <w:sz w:val="24"/>
          <w:szCs w:val="24"/>
        </w:rPr>
        <w:t>U(Р)</w:t>
      </w:r>
      <w:r w:rsidRPr="00B834A2">
        <w:rPr>
          <w:rFonts w:ascii="Sylfaen" w:hAnsi="Sylfaen"/>
          <w:color w:val="000000"/>
          <w:sz w:val="24"/>
          <w:szCs w:val="24"/>
        </w:rPr>
        <w:t xml:space="preserve"> կանոնավոր բաշխման ամփոփում է </w:t>
      </w:r>
      <w:r>
        <w:rPr>
          <w:rFonts w:ascii="Sylfaen" w:hAnsi="Sylfaen"/>
          <w:color w:val="000000"/>
          <w:sz w:val="24"/>
          <w:szCs w:val="24"/>
        </w:rPr>
        <w:t>եւ</w:t>
      </w:r>
      <w:r w:rsidRPr="00B834A2">
        <w:rPr>
          <w:rFonts w:ascii="Sylfaen" w:hAnsi="Sylfaen"/>
          <w:color w:val="000000"/>
          <w:sz w:val="24"/>
          <w:szCs w:val="24"/>
        </w:rPr>
        <w:t xml:space="preserve"> վերածվում է դրան՝ </w:t>
      </w:r>
      <w:r w:rsidRPr="00B834A2">
        <w:rPr>
          <w:rFonts w:ascii="Sylfaen" w:hAnsi="Sylfaen"/>
          <w:i/>
          <w:color w:val="000000"/>
          <w:sz w:val="24"/>
          <w:szCs w:val="24"/>
        </w:rPr>
        <w:t>f</w:t>
      </w:r>
      <w:r w:rsidRPr="00B834A2">
        <w:rPr>
          <w:rFonts w:ascii="Sylfaen" w:hAnsi="Sylfaen"/>
          <w:color w:val="000000"/>
          <w:sz w:val="24"/>
          <w:szCs w:val="24"/>
        </w:rPr>
        <w:t xml:space="preserve">, այսինքն՝ </w:t>
      </w:r>
      <w:r w:rsidRPr="00B834A2">
        <w:rPr>
          <w:rFonts w:ascii="Sylfaen" w:hAnsi="Sylfaen"/>
          <w:i/>
          <w:color w:val="000000"/>
          <w:sz w:val="24"/>
          <w:szCs w:val="24"/>
        </w:rPr>
        <w:t>t(P,f)</w:t>
      </w:r>
      <m:oMath>
        <m:r>
          <w:rPr>
            <w:rFonts w:ascii="Cambria Math" w:hAnsi="Cambria Math" w:cs="Sylfaen"/>
            <w:color w:val="000000"/>
            <w:sz w:val="24"/>
            <w:szCs w:val="24"/>
          </w:rPr>
          <m:t xml:space="preserve"> →</m:t>
        </m:r>
      </m:oMath>
      <w:r w:rsidRPr="00B834A2">
        <w:rPr>
          <w:rFonts w:ascii="Sylfaen" w:hAnsi="Sylfaen"/>
          <w:i/>
          <w:color w:val="000000"/>
          <w:sz w:val="24"/>
          <w:szCs w:val="24"/>
        </w:rPr>
        <w:t>U(Р)</w:t>
      </w:r>
      <w:r w:rsidRPr="00B834A2">
        <w:rPr>
          <w:rFonts w:ascii="Sylfaen" w:hAnsi="Sylfaen"/>
          <w:color w:val="000000"/>
          <w:sz w:val="24"/>
          <w:szCs w:val="24"/>
        </w:rPr>
        <w:t xml:space="preserve"> ազատության բավականին մեծ թվով աստիճանների դեպքում: Դա հաշվի առնելով՝ միատեսակության համար ամենուր օգտագործվում են (1.22բ) </w:t>
      </w:r>
      <w:r>
        <w:rPr>
          <w:rFonts w:ascii="Sylfaen" w:hAnsi="Sylfaen"/>
          <w:color w:val="000000"/>
          <w:sz w:val="24"/>
          <w:szCs w:val="24"/>
        </w:rPr>
        <w:t>եւ</w:t>
      </w:r>
      <w:r w:rsidRPr="00B834A2">
        <w:rPr>
          <w:rFonts w:ascii="Sylfaen" w:hAnsi="Sylfaen"/>
          <w:color w:val="000000"/>
          <w:sz w:val="24"/>
          <w:szCs w:val="24"/>
        </w:rPr>
        <w:t xml:space="preserve"> (1.22գ) առավել հաճախ օգտագործվող հարաբերակցությունները, նունիսկ բավականին մեծ ծավալի ընտրանքների դեպքում:</w:t>
      </w:r>
    </w:p>
    <w:p w14:paraId="22739C5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Եզակի (</w:t>
      </w:r>
      <m:oMath>
        <m:sSub>
          <m:sSubPr>
            <m:ctrlPr>
              <w:rPr>
                <w:rFonts w:ascii="Cambria Math" w:hAnsi="Cambria Math" w:cs="Sylfaen"/>
                <w:bCs/>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միջին (</w:t>
      </w:r>
      <m:oMath>
        <m:sSub>
          <m:sSubPr>
            <m:ctrlPr>
              <w:rPr>
                <w:rFonts w:ascii="Cambria Math" w:hAnsi="Cambria Math" w:cs="Sylfaen"/>
                <w:bCs/>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r>
          <w:rPr>
            <w:rFonts w:ascii="Cambria Math" w:hAnsi="Cambria Math" w:cs="Sylfaen"/>
            <w:color w:val="000000"/>
            <w:sz w:val="24"/>
            <w:szCs w:val="24"/>
          </w:rPr>
          <m:t>)</m:t>
        </m:r>
      </m:oMath>
      <w:r w:rsidRPr="00B834A2">
        <w:rPr>
          <w:rFonts w:ascii="Sylfaen" w:hAnsi="Sylfaen"/>
          <w:color w:val="000000"/>
          <w:sz w:val="24"/>
          <w:szCs w:val="24"/>
        </w:rPr>
        <w:t xml:space="preserve"> արդյունքների հարաբերական վստահելի միջակայքերի կիսալայնությունները հաճախ արտահայտում են </w:t>
      </w:r>
      <w:r w:rsidRPr="00B834A2">
        <w:rPr>
          <w:rFonts w:ascii="Sylfaen" w:hAnsi="Sylfaen"/>
          <w:b/>
          <w:color w:val="000000"/>
          <w:sz w:val="24"/>
          <w:szCs w:val="24"/>
        </w:rPr>
        <w:t>¯</w:t>
      </w:r>
      <w:r w:rsidRPr="00B834A2">
        <w:rPr>
          <w:rFonts w:ascii="Sylfaen" w:hAnsi="Sylfaen"/>
          <w:color w:val="000000"/>
          <w:sz w:val="24"/>
          <w:szCs w:val="24"/>
        </w:rPr>
        <w:t xml:space="preserve">x նկատմամբ տոկոսներով: Այդ դեպքում (1.22գ) արտահայտության մեջ </w:t>
      </w:r>
      <m:oMath>
        <m:sSub>
          <m:sSubPr>
            <m:ctrlPr>
              <w:rPr>
                <w:rFonts w:ascii="Cambria Math" w:hAnsi="Cambria Math" w:cs="Sylfaen"/>
                <w:bCs/>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r</m:t>
            </m:r>
          </m:sub>
        </m:sSub>
      </m:oMath>
      <w:r w:rsidRPr="00B834A2">
        <w:rPr>
          <w:rFonts w:ascii="Sylfaen" w:hAnsi="Sylfaen"/>
          <w:color w:val="000000"/>
          <w:sz w:val="24"/>
          <w:szCs w:val="24"/>
        </w:rPr>
        <w:t xml:space="preserve"> մեծության փոխարեն օգտագործվում է RSD, իսկ 1-ի փոխարեն նշվում է 100 %, այսինքն՝</w:t>
      </w:r>
    </w:p>
    <w:p w14:paraId="48425541" w14:textId="77777777" w:rsidR="00B834A2" w:rsidRPr="00B834A2" w:rsidRDefault="00B834A2" w:rsidP="000D219C">
      <w:pPr>
        <w:pStyle w:val="a0"/>
        <w:shd w:val="clear" w:color="auto" w:fill="auto"/>
        <w:spacing w:after="160" w:line="360" w:lineRule="auto"/>
        <w:ind w:firstLine="567"/>
        <w:jc w:val="center"/>
        <w:rPr>
          <w:rFonts w:ascii="Sylfaen" w:hAnsi="Sylfaen" w:cs="Sylfaen"/>
          <w:sz w:val="24"/>
          <w:szCs w:val="24"/>
        </w:rPr>
      </w:pPr>
      <w:r w:rsidRPr="00B834A2">
        <w:rPr>
          <w:rFonts w:ascii="Sylfaen" w:hAnsi="Sylfaen"/>
          <w:color w:val="000000"/>
          <w:sz w:val="24"/>
          <w:szCs w:val="24"/>
        </w:rPr>
        <w:t>100±</w:t>
      </w:r>
      <m:oMath>
        <m:sSub>
          <m:sSubPr>
            <m:ctrlPr>
              <w:rPr>
                <w:rFonts w:ascii="Cambria Math" w:hAnsi="Cambria Math" w:cs="Sylfaen"/>
                <w:bCs/>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r>
          <w:rPr>
            <w:rFonts w:ascii="Cambria Math" w:hAnsi="Cambria Math" w:cs="Sylfaen"/>
            <w:color w:val="000000"/>
            <w:sz w:val="24"/>
            <w:szCs w:val="24"/>
          </w:rPr>
          <m:t>%=100</m:t>
        </m:r>
        <m:r>
          <m:rPr>
            <m:sty m:val="p"/>
          </m:rPr>
          <w:rPr>
            <w:rFonts w:ascii="Cambria Math" w:hAnsi="Cambria Math" w:cs="Sylfaen"/>
            <w:color w:val="000000"/>
            <w:sz w:val="24"/>
            <w:szCs w:val="24"/>
          </w:rPr>
          <m:t>±</m:t>
        </m:r>
        <m:f>
          <m:fPr>
            <m:ctrlPr>
              <w:rPr>
                <w:rFonts w:ascii="Cambria Math" w:hAnsi="Cambria Math" w:cs="Sylfaen"/>
                <w:color w:val="000000"/>
                <w:sz w:val="24"/>
                <w:szCs w:val="24"/>
              </w:rPr>
            </m:ctrlPr>
          </m:fPr>
          <m:num>
            <m:r>
              <m:rPr>
                <m:sty m:val="p"/>
              </m:rPr>
              <w:rPr>
                <w:rFonts w:ascii="Cambria Math" w:hAnsi="Cambria Math" w:cs="Sylfaen"/>
                <w:color w:val="000000"/>
                <w:sz w:val="24"/>
                <w:szCs w:val="24"/>
              </w:rPr>
              <m:t>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P,f</m:t>
                </m:r>
              </m:e>
            </m:d>
            <m:r>
              <m:rPr>
                <m:sty m:val="p"/>
              </m:rPr>
              <w:rPr>
                <w:rFonts w:ascii="Cambria Math" w:hAnsi="Cambria Math" w:cs="Sylfaen"/>
                <w:color w:val="000000"/>
                <w:sz w:val="24"/>
                <w:szCs w:val="24"/>
              </w:rPr>
              <m:t>*RSD</m:t>
            </m:r>
          </m:num>
          <m:den>
            <m:rad>
              <m:radPr>
                <m:degHide m:val="1"/>
                <m:ctrlPr>
                  <w:rPr>
                    <w:rFonts w:ascii="Cambria Math" w:hAnsi="Cambria Math" w:cs="Sylfaen"/>
                    <w:color w:val="000000"/>
                    <w:sz w:val="24"/>
                    <w:szCs w:val="24"/>
                  </w:rPr>
                </m:ctrlPr>
              </m:radPr>
              <m:deg/>
              <m:e>
                <m:r>
                  <m:rPr>
                    <m:sty m:val="p"/>
                  </m:rPr>
                  <w:rPr>
                    <w:rFonts w:ascii="Cambria Math" w:hAnsi="Cambria Math" w:cs="Sylfaen"/>
                    <w:color w:val="000000"/>
                    <w:sz w:val="24"/>
                    <w:szCs w:val="24"/>
                  </w:rPr>
                  <m:t>n</m:t>
                </m:r>
              </m:e>
            </m:rad>
          </m:den>
        </m:f>
      </m:oMath>
      <w:r w:rsidRPr="00B834A2">
        <w:rPr>
          <w:rFonts w:ascii="Sylfaen" w:hAnsi="Sylfaen"/>
          <w:color w:val="000000"/>
          <w:sz w:val="24"/>
          <w:szCs w:val="24"/>
        </w:rPr>
        <w:t xml:space="preserve"> </w:t>
      </w:r>
      <w:r w:rsidR="000D219C" w:rsidRPr="000D219C">
        <w:rPr>
          <w:rFonts w:ascii="Sylfaen" w:hAnsi="Sylfaen"/>
          <w:color w:val="000000"/>
          <w:sz w:val="24"/>
          <w:szCs w:val="24"/>
        </w:rPr>
        <w:tab/>
      </w:r>
      <w:r w:rsidRPr="00B834A2">
        <w:rPr>
          <w:rFonts w:ascii="Sylfaen" w:hAnsi="Sylfaen"/>
          <w:color w:val="000000"/>
          <w:sz w:val="24"/>
          <w:szCs w:val="24"/>
        </w:rPr>
        <w:t>(1.22դ)</w:t>
      </w:r>
    </w:p>
    <w:p w14:paraId="33CD84A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0D219C">
        <w:rPr>
          <w:rFonts w:ascii="Sylfaen" w:hAnsi="Sylfaen"/>
          <w:color w:val="000000"/>
          <w:spacing w:val="-4"/>
          <w:sz w:val="24"/>
          <w:szCs w:val="24"/>
        </w:rPr>
        <w:t xml:space="preserve">Եթե նույն մեթոդիկայով </w:t>
      </w:r>
      <w:r w:rsidRPr="000D219C">
        <w:rPr>
          <w:rFonts w:ascii="Sylfaen" w:hAnsi="Sylfaen"/>
          <w:i/>
          <w:color w:val="000000"/>
          <w:spacing w:val="-4"/>
          <w:sz w:val="24"/>
          <w:szCs w:val="24"/>
        </w:rPr>
        <w:t>А</w:t>
      </w:r>
      <w:r w:rsidRPr="000D219C">
        <w:rPr>
          <w:rFonts w:ascii="Sylfaen" w:hAnsi="Sylfaen"/>
          <w:color w:val="000000"/>
          <w:spacing w:val="-4"/>
          <w:sz w:val="24"/>
          <w:szCs w:val="24"/>
        </w:rPr>
        <w:t xml:space="preserve"> երկու մոտ արժեքների չափման դեպքում ստացվել են </w:t>
      </w:r>
      <w:r w:rsidRPr="000D219C">
        <w:rPr>
          <w:rFonts w:ascii="Sylfaen" w:hAnsi="Sylfaen"/>
          <w:i/>
          <w:color w:val="000000"/>
          <w:spacing w:val="-4"/>
          <w:sz w:val="24"/>
          <w:szCs w:val="24"/>
        </w:rPr>
        <w:t>n</w:t>
      </w:r>
      <w:r w:rsidRPr="000D219C">
        <w:rPr>
          <w:rFonts w:ascii="Sylfaen" w:hAnsi="Sylfaen"/>
          <w:color w:val="000000"/>
          <w:spacing w:val="-4"/>
          <w:sz w:val="24"/>
          <w:szCs w:val="24"/>
        </w:rPr>
        <w:t xml:space="preserve"> եւ </w:t>
      </w:r>
      <w:r w:rsidRPr="000D219C">
        <w:rPr>
          <w:rFonts w:ascii="Sylfaen" w:hAnsi="Sylfaen"/>
          <w:i/>
          <w:color w:val="000000"/>
          <w:spacing w:val="-4"/>
          <w:sz w:val="24"/>
          <w:szCs w:val="24"/>
        </w:rPr>
        <w:t xml:space="preserve">m ծավալներով </w:t>
      </w:r>
      <w:r w:rsidRPr="000D219C">
        <w:rPr>
          <w:rFonts w:ascii="Sylfaen" w:hAnsi="Sylfaen"/>
          <w:color w:val="000000"/>
          <w:spacing w:val="-4"/>
          <w:sz w:val="24"/>
          <w:szCs w:val="24"/>
        </w:rPr>
        <w:t xml:space="preserve">երկու պատահական միատարր ընտրանքներ, ապա </w:t>
      </w:r>
      <w:r w:rsidRPr="000D219C">
        <w:rPr>
          <w:rFonts w:ascii="Sylfaen" w:hAnsi="Sylfaen"/>
          <w:i/>
          <w:color w:val="000000"/>
          <w:spacing w:val="-4"/>
          <w:sz w:val="24"/>
          <w:szCs w:val="24"/>
        </w:rPr>
        <w:t>m</w:t>
      </w:r>
      <w:r w:rsidRPr="000D219C">
        <w:rPr>
          <w:rFonts w:ascii="Sylfaen" w:hAnsi="Sylfaen"/>
          <w:color w:val="000000"/>
          <w:spacing w:val="-4"/>
          <w:sz w:val="24"/>
          <w:szCs w:val="24"/>
        </w:rPr>
        <w:t xml:space="preserve"> &lt; </w:t>
      </w:r>
      <w:r w:rsidRPr="000D219C">
        <w:rPr>
          <w:rFonts w:ascii="Sylfaen" w:hAnsi="Sylfaen"/>
          <w:i/>
          <w:color w:val="000000"/>
          <w:spacing w:val="-4"/>
          <w:sz w:val="24"/>
          <w:szCs w:val="24"/>
        </w:rPr>
        <w:t>n</w:t>
      </w:r>
      <w:r w:rsidRPr="000D219C">
        <w:rPr>
          <w:rFonts w:ascii="Sylfaen" w:hAnsi="Sylfaen"/>
          <w:color w:val="000000"/>
          <w:spacing w:val="-4"/>
          <w:sz w:val="24"/>
          <w:szCs w:val="24"/>
        </w:rPr>
        <w:t xml:space="preserve"> դեպքում </w:t>
      </w:r>
      <w:r w:rsidRPr="000D219C">
        <w:rPr>
          <w:rFonts w:ascii="Sylfaen" w:hAnsi="Sylfaen"/>
          <w:i/>
          <w:color w:val="000000"/>
          <w:spacing w:val="-4"/>
          <w:sz w:val="24"/>
          <w:szCs w:val="24"/>
        </w:rPr>
        <w:t>m</w:t>
      </w:r>
      <w:r w:rsidRPr="000D219C">
        <w:rPr>
          <w:rFonts w:ascii="Sylfaen" w:hAnsi="Sylfaen"/>
          <w:color w:val="000000"/>
          <w:spacing w:val="-4"/>
          <w:sz w:val="24"/>
          <w:szCs w:val="24"/>
        </w:rPr>
        <w:t xml:space="preserve"> ծավալի</w:t>
      </w:r>
      <w:r w:rsidRPr="00B834A2">
        <w:rPr>
          <w:rFonts w:ascii="Sylfaen" w:hAnsi="Sylfaen"/>
          <w:color w:val="000000"/>
          <w:sz w:val="24"/>
          <w:szCs w:val="24"/>
        </w:rPr>
        <w:t xml:space="preserve"> ընտրանքի համար ճշմարիտ է հետ</w:t>
      </w:r>
      <w:r>
        <w:rPr>
          <w:rFonts w:ascii="Sylfaen" w:hAnsi="Sylfaen"/>
          <w:color w:val="000000"/>
          <w:sz w:val="24"/>
          <w:szCs w:val="24"/>
        </w:rPr>
        <w:t>եւ</w:t>
      </w:r>
      <w:r w:rsidRPr="00B834A2">
        <w:rPr>
          <w:rFonts w:ascii="Sylfaen" w:hAnsi="Sylfaen"/>
          <w:color w:val="000000"/>
          <w:sz w:val="24"/>
          <w:szCs w:val="24"/>
        </w:rPr>
        <w:t>յալ հավասարումը.</w:t>
      </w:r>
    </w:p>
    <w:p w14:paraId="6E6756BB"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(m)</m:t>
            </m:r>
          </m:sub>
        </m:sSub>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(m)</m:t>
            </m:r>
          </m:sub>
        </m:sSub>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(m)</m:t>
            </m:r>
          </m:sub>
        </m:sSub>
        <m:r>
          <m:rPr>
            <m:sty m:val="p"/>
          </m:rPr>
          <w:rPr>
            <w:rFonts w:ascii="Cambria Math" w:hAnsi="Cambria Math" w:cs="Sylfaen"/>
            <w:color w:val="000000"/>
            <w:sz w:val="24"/>
            <w:szCs w:val="24"/>
          </w:rPr>
          <m:t>±</m:t>
        </m:r>
        <m:f>
          <m:fPr>
            <m:ctrlPr>
              <w:rPr>
                <w:rFonts w:ascii="Cambria Math" w:hAnsi="Cambria Math" w:cs="Sylfaen"/>
                <w:color w:val="000000"/>
                <w:sz w:val="24"/>
                <w:szCs w:val="24"/>
              </w:rPr>
            </m:ctrlPr>
          </m:fPr>
          <m:num>
            <m:r>
              <m:rPr>
                <m:sty m:val="p"/>
              </m:rPr>
              <w:rPr>
                <w:rFonts w:ascii="Cambria Math" w:hAnsi="Cambria Math" w:cs="Sylfaen"/>
                <w:color w:val="000000"/>
                <w:sz w:val="24"/>
                <w:szCs w:val="24"/>
              </w:rPr>
              <m:t>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f</m:t>
                    </m:r>
                  </m:e>
                  <m:sub>
                    <m:r>
                      <m:rPr>
                        <m:sty m:val="p"/>
                      </m:rPr>
                      <w:rPr>
                        <w:rFonts w:ascii="Cambria Math" w:hAnsi="Cambria Math" w:cs="Sylfaen"/>
                        <w:color w:val="000000"/>
                        <w:sz w:val="24"/>
                        <w:szCs w:val="24"/>
                      </w:rPr>
                      <m:t>n</m:t>
                    </m:r>
                  </m:sub>
                </m:sSub>
              </m:e>
            </m:d>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s</m:t>
                </m:r>
              </m:e>
              <m:sub>
                <m:r>
                  <m:rPr>
                    <m:sty m:val="p"/>
                  </m:rPr>
                  <w:rPr>
                    <w:rFonts w:ascii="Cambria Math" w:hAnsi="Cambria Math" w:cs="Sylfaen"/>
                    <w:color w:val="000000"/>
                    <w:sz w:val="24"/>
                    <w:szCs w:val="24"/>
                  </w:rPr>
                  <m:t>n</m:t>
                </m:r>
              </m:sub>
            </m:sSub>
          </m:num>
          <m:den>
            <m:rad>
              <m:radPr>
                <m:degHide m:val="1"/>
                <m:ctrlPr>
                  <w:rPr>
                    <w:rFonts w:ascii="Cambria Math" w:hAnsi="Cambria Math" w:cs="Sylfaen"/>
                    <w:color w:val="000000"/>
                    <w:sz w:val="24"/>
                    <w:szCs w:val="24"/>
                  </w:rPr>
                </m:ctrlPr>
              </m:radPr>
              <m:deg/>
              <m:e>
                <m:r>
                  <m:rPr>
                    <m:sty m:val="p"/>
                  </m:rPr>
                  <w:rPr>
                    <w:rFonts w:ascii="Cambria Math" w:hAnsi="Cambria Math" w:cs="Sylfaen"/>
                    <w:color w:val="000000"/>
                    <w:sz w:val="24"/>
                    <w:szCs w:val="24"/>
                  </w:rPr>
                  <m:t>m</m:t>
                </m:r>
              </m:e>
            </m:rad>
          </m:den>
        </m:f>
      </m:oMath>
      <w:r w:rsidR="00B834A2" w:rsidRPr="00B834A2">
        <w:rPr>
          <w:rFonts w:ascii="Sylfaen" w:hAnsi="Sylfaen"/>
          <w:color w:val="000000"/>
          <w:sz w:val="24"/>
          <w:szCs w:val="24"/>
        </w:rPr>
        <w:t xml:space="preserve">, </w:t>
      </w:r>
      <w:r w:rsidR="000D219C" w:rsidRPr="000D219C">
        <w:rPr>
          <w:rFonts w:ascii="Sylfaen" w:hAnsi="Sylfaen"/>
          <w:color w:val="000000"/>
          <w:sz w:val="24"/>
          <w:szCs w:val="24"/>
        </w:rPr>
        <w:tab/>
      </w:r>
      <w:r w:rsidR="00B834A2" w:rsidRPr="00B834A2">
        <w:rPr>
          <w:rFonts w:ascii="Sylfaen" w:hAnsi="Sylfaen"/>
          <w:color w:val="000000"/>
          <w:sz w:val="24"/>
          <w:szCs w:val="24"/>
        </w:rPr>
        <w:t>(1.23)</w:t>
      </w:r>
    </w:p>
    <w:p w14:paraId="0D77302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որտեղ ինդեքսը ցույց է տալիս </w:t>
      </w:r>
      <w:r w:rsidRPr="00B834A2">
        <w:rPr>
          <w:rFonts w:ascii="Sylfaen" w:hAnsi="Sylfaen"/>
          <w:i/>
          <w:color w:val="000000"/>
          <w:sz w:val="24"/>
          <w:szCs w:val="24"/>
        </w:rPr>
        <w:t>m</w:t>
      </w:r>
      <w:r w:rsidRPr="00B834A2">
        <w:rPr>
          <w:rFonts w:ascii="Sylfaen" w:hAnsi="Sylfaen"/>
          <w:color w:val="000000"/>
          <w:sz w:val="24"/>
          <w:szCs w:val="24"/>
        </w:rPr>
        <w:t xml:space="preserve"> կամ </w:t>
      </w:r>
      <w:r w:rsidRPr="00B834A2">
        <w:rPr>
          <w:rFonts w:ascii="Sylfaen" w:hAnsi="Sylfaen"/>
          <w:i/>
          <w:color w:val="000000"/>
          <w:sz w:val="24"/>
          <w:szCs w:val="24"/>
        </w:rPr>
        <w:t>n ծավալի ընտրանքին մեծությունների պատկանելիությունը:</w:t>
      </w:r>
    </w:p>
    <w:p w14:paraId="307E46E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(1.23) հավասարումը թույլ է տալիս գնահատել m ծավալի ընտրանքից ելնելով գտնված </w:t>
      </w:r>
      <m:oMath>
        <m:sSub>
          <m:sSubPr>
            <m:ctrlPr>
              <w:rPr>
                <w:rFonts w:ascii="Cambria Math" w:hAnsi="Cambria Math"/>
                <w:color w:val="000000"/>
                <w:sz w:val="24"/>
                <w:szCs w:val="24"/>
              </w:rPr>
            </m:ctrlPr>
          </m:sSubPr>
          <m:e>
            <m:r>
              <m:rPr>
                <m:sty m:val="p"/>
              </m:rPr>
              <w:rPr>
                <w:rFonts w:ascii="Cambria Math" w:hAnsi="Cambria Math"/>
                <w:color w:val="000000"/>
                <w:sz w:val="24"/>
                <w:szCs w:val="24"/>
              </w:rPr>
              <m:t>¯x</m:t>
            </m:r>
          </m:e>
          <m:sub>
            <m:r>
              <m:rPr>
                <m:sty m:val="p"/>
              </m:rPr>
              <w:rPr>
                <w:rFonts w:ascii="Cambria Math" w:hAnsi="Cambria Math"/>
                <w:color w:val="000000"/>
                <w:sz w:val="24"/>
                <w:szCs w:val="24"/>
              </w:rPr>
              <m:t>(m)</m:t>
            </m:r>
          </m:sub>
        </m:sSub>
      </m:oMath>
      <w:r w:rsidRPr="00B834A2">
        <w:rPr>
          <w:rFonts w:ascii="Sylfaen" w:hAnsi="Sylfaen"/>
          <w:color w:val="000000"/>
          <w:sz w:val="24"/>
          <w:szCs w:val="24"/>
        </w:rPr>
        <w:t xml:space="preserve"> միջինի վստահելի միջակայքի մեծությունը: Այլ կերպ ասած՝ m փոքր ծավալի նկատմամբ ընտրանքի համար </w:t>
      </w:r>
      <m:oMath>
        <m:sSub>
          <m:sSubPr>
            <m:ctrlPr>
              <w:rPr>
                <w:rFonts w:ascii="Cambria Math" w:hAnsi="Cambria Math"/>
                <w:color w:val="000000"/>
                <w:sz w:val="24"/>
                <w:szCs w:val="24"/>
              </w:rPr>
            </m:ctrlPr>
          </m:sSubPr>
          <m:e>
            <m:r>
              <m:rPr>
                <m:sty m:val="p"/>
              </m:rPr>
              <w:rPr>
                <w:rFonts w:ascii="Cambria Math" w:hAnsi="Cambria Math"/>
                <w:color w:val="000000"/>
                <w:sz w:val="24"/>
                <w:szCs w:val="24"/>
              </w:rPr>
              <m:t>¯x</m:t>
            </m:r>
          </m:e>
          <m:sub>
            <m:r>
              <m:rPr>
                <m:sty m:val="p"/>
              </m:rPr>
              <w:rPr>
                <w:rFonts w:ascii="Cambria Math" w:hAnsi="Cambria Math"/>
                <w:color w:val="000000"/>
                <w:sz w:val="24"/>
                <w:szCs w:val="24"/>
              </w:rPr>
              <m:t>(m)</m:t>
            </m:r>
          </m:sub>
        </m:sSub>
      </m:oMath>
      <w:r w:rsidRPr="00B834A2">
        <w:rPr>
          <w:rFonts w:ascii="Sylfaen" w:hAnsi="Sylfaen"/>
          <w:color w:val="000000"/>
          <w:sz w:val="24"/>
          <w:szCs w:val="24"/>
        </w:rPr>
        <w:t xml:space="preserve"> միջինի վստահելի միջակայքը կարող </w:t>
      </w:r>
      <w:r w:rsidRPr="00B834A2">
        <w:rPr>
          <w:rFonts w:ascii="Sylfaen" w:hAnsi="Sylfaen"/>
          <w:color w:val="000000"/>
          <w:sz w:val="24"/>
          <w:szCs w:val="24"/>
        </w:rPr>
        <w:lastRenderedPageBreak/>
        <w:t xml:space="preserve">է նեղացվել n մեծ ծավալի ընտրանքի համար արդեն գտնված </w:t>
      </w:r>
      <m:oMath>
        <m:sSub>
          <m:sSubPr>
            <m:ctrlPr>
              <w:rPr>
                <w:rFonts w:ascii="Cambria Math" w:hAnsi="Cambria Math"/>
                <w:color w:val="000000"/>
                <w:sz w:val="24"/>
                <w:szCs w:val="24"/>
              </w:rPr>
            </m:ctrlPr>
          </m:sSubPr>
          <m:e>
            <m:r>
              <m:rPr>
                <m:sty m:val="p"/>
              </m:rPr>
              <w:rPr>
                <w:rFonts w:ascii="Cambria Math" w:hAnsi="Cambria Math"/>
                <w:color w:val="000000"/>
                <w:sz w:val="24"/>
                <w:szCs w:val="24"/>
              </w:rPr>
              <m:t>s</m:t>
            </m:r>
          </m:e>
          <m:sub>
            <m:r>
              <m:rPr>
                <m:sty m:val="p"/>
              </m:rPr>
              <w:rPr>
                <w:rFonts w:ascii="Cambria Math" w:hAnsi="Cambria Math"/>
                <w:color w:val="000000"/>
                <w:sz w:val="24"/>
                <w:szCs w:val="24"/>
              </w:rPr>
              <m:t>(n)</m:t>
            </m:r>
          </m:sub>
        </m:sSub>
      </m:oMath>
      <w:r>
        <w:rPr>
          <w:rFonts w:ascii="Sylfaen" w:hAnsi="Sylfaen"/>
          <w:color w:val="000000"/>
          <w:sz w:val="24"/>
          <w:szCs w:val="24"/>
        </w:rPr>
        <w:t>եւ</w:t>
      </w:r>
      <w:r w:rsidRPr="00B834A2">
        <w:rPr>
          <w:rFonts w:ascii="Sylfaen" w:hAnsi="Sylfaen"/>
          <w:color w:val="000000"/>
          <w:sz w:val="24"/>
          <w:szCs w:val="24"/>
        </w:rPr>
        <w:t xml:space="preserve"> t(Р, fn) հայտնի մեծությունների օգտագործման շնորհիվ: Առավե</w:t>
      </w:r>
      <w:r w:rsidR="00685C9F">
        <w:rPr>
          <w:rFonts w:ascii="Sylfaen" w:hAnsi="Sylfaen"/>
          <w:color w:val="000000"/>
          <w:sz w:val="24"/>
          <w:szCs w:val="24"/>
        </w:rPr>
        <w:t>լ ընդհանուր մոտեցում է (1.14)-</w:t>
      </w:r>
      <w:r w:rsidRPr="00B834A2">
        <w:rPr>
          <w:rFonts w:ascii="Sylfaen" w:hAnsi="Sylfaen"/>
          <w:color w:val="000000"/>
          <w:sz w:val="24"/>
          <w:szCs w:val="24"/>
        </w:rPr>
        <w:t xml:space="preserve">(1.15) հավասարումներով միավորված ստանդարտ շեղման </w:t>
      </w:r>
      <w:r>
        <w:rPr>
          <w:rFonts w:ascii="Sylfaen" w:hAnsi="Sylfaen"/>
          <w:color w:val="000000"/>
          <w:sz w:val="24"/>
          <w:szCs w:val="24"/>
        </w:rPr>
        <w:t>եւ</w:t>
      </w:r>
      <w:r w:rsidRPr="00B834A2">
        <w:rPr>
          <w:rFonts w:ascii="Sylfaen" w:hAnsi="Sylfaen"/>
          <w:color w:val="000000"/>
          <w:sz w:val="24"/>
          <w:szCs w:val="24"/>
        </w:rPr>
        <w:t xml:space="preserve"> ազատության աստիճանների հաշվարկով ընտրանքների միավորումը: Այդ ստանդարտ շեղումը </w:t>
      </w:r>
      <w:r>
        <w:rPr>
          <w:rFonts w:ascii="Sylfaen" w:hAnsi="Sylfaen"/>
          <w:color w:val="000000"/>
          <w:sz w:val="24"/>
          <w:szCs w:val="24"/>
        </w:rPr>
        <w:t>եւ</w:t>
      </w:r>
      <w:r w:rsidRPr="00B834A2">
        <w:rPr>
          <w:rFonts w:ascii="Sylfaen" w:hAnsi="Sylfaen"/>
          <w:color w:val="000000"/>
          <w:sz w:val="24"/>
          <w:szCs w:val="24"/>
        </w:rPr>
        <w:t xml:space="preserve"> ազատության աստիճանների միավորված թվին համապատասխանող Ստյուդենտի չափորոշիչը այնուհետ</w:t>
      </w:r>
      <w:r>
        <w:rPr>
          <w:rFonts w:ascii="Sylfaen" w:hAnsi="Sylfaen"/>
          <w:color w:val="000000"/>
          <w:sz w:val="24"/>
          <w:szCs w:val="24"/>
        </w:rPr>
        <w:t>եւ</w:t>
      </w:r>
      <w:r w:rsidRPr="00B834A2">
        <w:rPr>
          <w:rFonts w:ascii="Sylfaen" w:hAnsi="Sylfaen"/>
          <w:color w:val="000000"/>
          <w:sz w:val="24"/>
          <w:szCs w:val="24"/>
        </w:rPr>
        <w:t xml:space="preserve"> տեղադրում են (1.22դ) արտահայտության մեջ:</w:t>
      </w:r>
    </w:p>
    <w:p w14:paraId="7773728B" w14:textId="77777777" w:rsidR="00B834A2" w:rsidRPr="00B834A2" w:rsidRDefault="000D219C" w:rsidP="00B834A2">
      <w:pPr>
        <w:pStyle w:val="a0"/>
        <w:shd w:val="clear" w:color="auto" w:fill="auto"/>
        <w:spacing w:after="160" w:line="360" w:lineRule="auto"/>
        <w:ind w:firstLine="567"/>
        <w:jc w:val="both"/>
        <w:rPr>
          <w:rFonts w:ascii="Sylfaen" w:hAnsi="Sylfaen" w:cs="Sylfaen"/>
          <w:sz w:val="24"/>
          <w:szCs w:val="24"/>
        </w:rPr>
      </w:pPr>
      <w:r>
        <w:rPr>
          <w:rFonts w:ascii="Sylfaen" w:hAnsi="Sylfaen"/>
          <w:color w:val="000000"/>
          <w:sz w:val="24"/>
          <w:szCs w:val="24"/>
        </w:rPr>
        <w:t>(1.21)-</w:t>
      </w:r>
      <w:r w:rsidR="00B834A2" w:rsidRPr="00B834A2">
        <w:rPr>
          <w:rFonts w:ascii="Sylfaen" w:hAnsi="Sylfaen"/>
          <w:color w:val="000000"/>
          <w:sz w:val="24"/>
          <w:szCs w:val="24"/>
        </w:rPr>
        <w:t xml:space="preserve">(1.22) հավասարումներին համանման որոշում են առանձին որոշման արդյունքի վստահելի միջակայքը: </w:t>
      </w:r>
      <w:r w:rsidR="00B834A2" w:rsidRPr="00B834A2">
        <w:rPr>
          <w:rFonts w:ascii="Sylfaen" w:hAnsi="Sylfaen"/>
          <w:i/>
          <w:color w:val="000000"/>
          <w:sz w:val="24"/>
          <w:szCs w:val="24"/>
        </w:rPr>
        <w:t>n =</w:t>
      </w:r>
      <w:r w:rsidR="00B834A2" w:rsidRPr="00B834A2">
        <w:rPr>
          <w:rFonts w:ascii="Sylfaen" w:hAnsi="Sylfaen"/>
          <w:color w:val="000000"/>
          <w:sz w:val="24"/>
          <w:szCs w:val="24"/>
        </w:rPr>
        <w:t xml:space="preserve"> 1-ը (1.22բ) հավասարման կամ </w:t>
      </w:r>
      <w:r w:rsidR="00B834A2" w:rsidRPr="00B834A2">
        <w:rPr>
          <w:rFonts w:ascii="Sylfaen" w:hAnsi="Sylfaen"/>
          <w:i/>
          <w:color w:val="000000"/>
          <w:sz w:val="24"/>
          <w:szCs w:val="24"/>
        </w:rPr>
        <w:t>m =</w:t>
      </w:r>
      <w:r w:rsidR="00B834A2" w:rsidRPr="00B834A2">
        <w:rPr>
          <w:rFonts w:ascii="Sylfaen" w:hAnsi="Sylfaen"/>
          <w:color w:val="000000"/>
          <w:sz w:val="24"/>
          <w:szCs w:val="24"/>
        </w:rPr>
        <w:t xml:space="preserve"> 1-ը (1.23) հավասարման մեջ տեղադրելով՝ ստանում են՝</w:t>
      </w:r>
    </w:p>
    <w:p w14:paraId="22FE4226" w14:textId="77777777" w:rsidR="00B834A2" w:rsidRPr="00B834A2" w:rsidRDefault="00000000" w:rsidP="000D219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 xml:space="preserve">i </m:t>
            </m:r>
          </m:sub>
        </m:sSub>
        <m:r>
          <m:rPr>
            <m:sty m:val="p"/>
          </m:rPr>
          <w:rPr>
            <w:rFonts w:ascii="Cambria Math" w:hAnsi="Cambria Math" w:cs="Sylfaen"/>
            <w:color w:val="000000"/>
            <w:sz w:val="24"/>
            <w:szCs w:val="24"/>
          </w:rPr>
          <m:t>± ∆x=</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i</m:t>
            </m:r>
          </m:sub>
        </m:sSub>
        <m:r>
          <m:rPr>
            <m:sty m:val="p"/>
          </m:rPr>
          <w:rPr>
            <w:rFonts w:ascii="Cambria Math" w:hAnsi="Cambria Math" w:cs="Sylfaen"/>
            <w:color w:val="000000"/>
            <w:sz w:val="24"/>
            <w:szCs w:val="24"/>
          </w:rPr>
          <m:t xml:space="preserve"> ±t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P,f</m:t>
            </m:r>
          </m:e>
        </m:d>
        <m:r>
          <m:rPr>
            <m:sty m:val="p"/>
          </m:rPr>
          <w:rPr>
            <w:rFonts w:ascii="Cambria Math" w:hAnsi="Cambria Math" w:cs="Sylfaen"/>
            <w:color w:val="000000"/>
            <w:sz w:val="24"/>
            <w:szCs w:val="24"/>
          </w:rPr>
          <m:t xml:space="preserve">* </m:t>
        </m:r>
      </m:oMath>
      <w:r w:rsidR="00B834A2" w:rsidRPr="00B834A2">
        <w:rPr>
          <w:rFonts w:ascii="Sylfaen" w:hAnsi="Sylfaen"/>
          <w:color w:val="000000"/>
          <w:sz w:val="24"/>
          <w:szCs w:val="24"/>
        </w:rPr>
        <w:t>s,</w:t>
      </w:r>
      <w:r w:rsidR="00B834A2">
        <w:rPr>
          <w:rFonts w:ascii="Sylfaen" w:hAnsi="Sylfaen"/>
          <w:color w:val="000000"/>
          <w:sz w:val="24"/>
          <w:szCs w:val="24"/>
        </w:rPr>
        <w:t xml:space="preserve"> </w:t>
      </w:r>
      <w:r w:rsidR="000D219C" w:rsidRPr="002E52D1">
        <w:rPr>
          <w:rFonts w:ascii="Sylfaen" w:hAnsi="Sylfaen"/>
          <w:color w:val="000000"/>
          <w:sz w:val="24"/>
          <w:szCs w:val="24"/>
        </w:rPr>
        <w:tab/>
      </w:r>
      <w:r w:rsidR="00B834A2" w:rsidRPr="00B834A2">
        <w:rPr>
          <w:rFonts w:ascii="Sylfaen" w:hAnsi="Sylfaen"/>
          <w:color w:val="000000"/>
          <w:sz w:val="24"/>
          <w:szCs w:val="24"/>
        </w:rPr>
        <w:t>(1.24)</w:t>
      </w:r>
    </w:p>
    <w:p w14:paraId="0F3C64D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կամ հարաբերական մեծությունների օգտագործմամբ՝</w:t>
      </w:r>
    </w:p>
    <w:p w14:paraId="1AF4D543" w14:textId="77777777" w:rsidR="00B834A2" w:rsidRPr="00B834A2" w:rsidRDefault="00000000" w:rsidP="004F5242">
      <w:pPr>
        <w:pStyle w:val="a0"/>
        <w:shd w:val="clear" w:color="auto" w:fill="auto"/>
        <w:tabs>
          <w:tab w:val="left" w:pos="4253"/>
        </w:tabs>
        <w:spacing w:after="160" w:line="360" w:lineRule="auto"/>
        <w:ind w:firstLine="567"/>
        <w:jc w:val="center"/>
        <w:rPr>
          <w:rFonts w:ascii="Sylfaen" w:hAnsi="Sylfaen" w:cs="Sylfaen"/>
          <w:sz w:val="24"/>
          <w:szCs w:val="24"/>
        </w:rPr>
      </w:pPr>
      <m:oMath>
        <m:f>
          <m:fPr>
            <m:ctrlPr>
              <w:rPr>
                <w:rFonts w:ascii="Cambria Math" w:hAnsi="Cambria Math" w:cs="Sylfaen"/>
                <w:i/>
                <w:color w:val="000000"/>
                <w:sz w:val="24"/>
                <w:szCs w:val="24"/>
              </w:rPr>
            </m:ctrlPr>
          </m:fPr>
          <m:num>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num>
          <m:den>
            <m:r>
              <w:rPr>
                <w:rFonts w:ascii="Cambria Math" w:hAnsi="Cambria Math" w:cs="Sylfaen"/>
                <w:color w:val="000000"/>
                <w:sz w:val="24"/>
                <w:szCs w:val="24"/>
              </w:rPr>
              <m:t>¯x</m:t>
            </m:r>
          </m:den>
        </m:f>
        <m:r>
          <m:rPr>
            <m:sty m:val="p"/>
          </m:rPr>
          <w:rPr>
            <w:rFonts w:ascii="Cambria Math" w:hAnsi="Cambria Math" w:cs="Sylfaen"/>
            <w:color w:val="000000"/>
            <w:sz w:val="24"/>
            <w:szCs w:val="24"/>
          </w:rPr>
          <m:t>±∆x,r</m:t>
        </m:r>
        <m:r>
          <w:rPr>
            <w:rFonts w:ascii="Cambria Math" w:hAnsi="Cambria Math" w:cs="Sylfaen"/>
            <w:color w:val="000000"/>
            <w:sz w:val="24"/>
            <w:szCs w:val="24"/>
          </w:rPr>
          <m:t>=</m:t>
        </m:r>
        <m:f>
          <m:fPr>
            <m:ctrlPr>
              <w:rPr>
                <w:rFonts w:ascii="Cambria Math" w:hAnsi="Cambria Math" w:cs="Sylfaen"/>
                <w:i/>
                <w:color w:val="000000"/>
                <w:sz w:val="24"/>
                <w:szCs w:val="24"/>
              </w:rPr>
            </m:ctrlPr>
          </m:fPr>
          <m:num>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num>
          <m:den>
            <m:r>
              <w:rPr>
                <w:rFonts w:ascii="Cambria Math" w:hAnsi="Cambria Math" w:cs="Sylfaen"/>
                <w:color w:val="000000"/>
                <w:sz w:val="24"/>
                <w:szCs w:val="24"/>
              </w:rPr>
              <m:t>¯x</m:t>
            </m:r>
          </m:den>
        </m:f>
        <m:r>
          <w:rPr>
            <w:rFonts w:ascii="Cambria Math" w:hAnsi="Cambria Math" w:cs="Sylfaen"/>
            <w:color w:val="000000"/>
            <w:sz w:val="24"/>
            <w:szCs w:val="24"/>
          </w:rPr>
          <m:t xml:space="preserve"> </m:t>
        </m:r>
        <m:r>
          <m:rPr>
            <m:sty m:val="p"/>
          </m:rPr>
          <w:rPr>
            <w:rFonts w:ascii="Cambria Math" w:hAnsi="Cambria Math" w:cs="Sylfaen"/>
            <w:color w:val="000000"/>
            <w:sz w:val="24"/>
            <w:szCs w:val="24"/>
          </w:rPr>
          <m:t>±t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P,f</m:t>
            </m:r>
          </m:e>
        </m:d>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s</m:t>
            </m:r>
          </m:e>
          <m:sub>
            <m:r>
              <m:rPr>
                <m:sty m:val="p"/>
              </m:rPr>
              <w:rPr>
                <w:rFonts w:ascii="Cambria Math" w:hAnsi="Cambria Math" w:cs="Sylfaen"/>
                <w:color w:val="000000"/>
                <w:sz w:val="24"/>
                <w:szCs w:val="24"/>
              </w:rPr>
              <m:t xml:space="preserve">r :   </m:t>
            </m:r>
          </m:sub>
        </m:sSub>
      </m:oMath>
      <w:r w:rsidR="004F5242" w:rsidRPr="004F5242">
        <w:rPr>
          <w:rFonts w:ascii="Sylfaen" w:hAnsi="Sylfaen"/>
          <w:color w:val="000000"/>
          <w:sz w:val="24"/>
          <w:szCs w:val="24"/>
        </w:rPr>
        <w:tab/>
      </w:r>
      <w:r w:rsidR="004F5242" w:rsidRPr="00B834A2">
        <w:t>(</w:t>
      </w:r>
      <w:r w:rsidR="00B834A2" w:rsidRPr="00B834A2">
        <w:rPr>
          <w:rFonts w:ascii="Sylfaen" w:hAnsi="Sylfaen"/>
          <w:color w:val="000000"/>
          <w:sz w:val="24"/>
          <w:szCs w:val="24"/>
        </w:rPr>
        <w:t>1.24ա)</w:t>
      </w:r>
    </w:p>
    <w:p w14:paraId="3DA6205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Այդ միջակայքը առանձին որոշման արդյունքի վստահելի միջակայք է: Դրա համար </w:t>
      </w:r>
      <w:r w:rsidRPr="00B834A2">
        <w:rPr>
          <w:rFonts w:ascii="Sylfaen" w:hAnsi="Sylfaen"/>
          <w:i/>
          <w:color w:val="000000"/>
          <w:sz w:val="24"/>
          <w:szCs w:val="24"/>
        </w:rPr>
        <w:t>Р</w:t>
      </w:r>
      <w:r w:rsidRPr="00B834A2">
        <w:rPr>
          <w:rFonts w:ascii="Sylfaen" w:hAnsi="Sylfaen"/>
          <w:color w:val="000000"/>
          <w:sz w:val="24"/>
          <w:szCs w:val="24"/>
        </w:rPr>
        <w:t xml:space="preserve"> վստահելի հավանականությամբ կատարվում են փոխկապակցված պայմաններ.</w:t>
      </w:r>
    </w:p>
    <w:p w14:paraId="29328703" w14:textId="77777777" w:rsidR="00B834A2" w:rsidRPr="00B834A2" w:rsidRDefault="00000000" w:rsidP="004F5242">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-∆x≤μ≤</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+∆x</m:t>
        </m:r>
      </m:oMath>
      <w:r w:rsidR="00B834A2" w:rsidRPr="00B834A2">
        <w:rPr>
          <w:rFonts w:ascii="Sylfaen" w:hAnsi="Sylfaen"/>
          <w:color w:val="000000"/>
          <w:sz w:val="24"/>
          <w:szCs w:val="24"/>
        </w:rPr>
        <w:t>,</w:t>
      </w:r>
      <w:r w:rsidR="004F5242" w:rsidRPr="002E52D1">
        <w:rPr>
          <w:rFonts w:ascii="Sylfaen" w:hAnsi="Sylfaen"/>
          <w:sz w:val="24"/>
          <w:szCs w:val="24"/>
        </w:rPr>
        <w:tab/>
      </w:r>
      <w:r w:rsidR="00B834A2" w:rsidRPr="00B834A2">
        <w:rPr>
          <w:rFonts w:ascii="Sylfaen" w:hAnsi="Sylfaen"/>
          <w:color w:val="000000"/>
          <w:sz w:val="24"/>
          <w:szCs w:val="24"/>
        </w:rPr>
        <w:t>(1-25)</w:t>
      </w:r>
    </w:p>
    <w:p w14:paraId="127251CA"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μ-∆x≤</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 xml:space="preserve">i </m:t>
            </m:r>
          </m:sub>
        </m:sSub>
        <m:r>
          <w:rPr>
            <w:rFonts w:ascii="Cambria Math" w:hAnsi="Cambria Math" w:cs="Sylfaen"/>
            <w:color w:val="000000"/>
            <w:sz w:val="24"/>
            <w:szCs w:val="24"/>
          </w:rPr>
          <m:t>≤μ+∆x</m:t>
        </m:r>
      </m:oMath>
      <w:r w:rsidRPr="00B834A2">
        <w:rPr>
          <w:rFonts w:ascii="Sylfaen" w:hAnsi="Sylfaen"/>
          <w:color w:val="000000"/>
          <w:sz w:val="24"/>
          <w:szCs w:val="24"/>
        </w:rPr>
        <w:t>.</w:t>
      </w:r>
      <w:r w:rsidR="004F5242" w:rsidRPr="002E52D1">
        <w:rPr>
          <w:rFonts w:ascii="Sylfaen" w:hAnsi="Sylfaen"/>
          <w:sz w:val="24"/>
          <w:szCs w:val="24"/>
        </w:rPr>
        <w:tab/>
      </w:r>
      <w:r w:rsidRPr="00B834A2">
        <w:rPr>
          <w:rFonts w:ascii="Sylfaen" w:hAnsi="Sylfaen"/>
          <w:color w:val="000000"/>
          <w:sz w:val="24"/>
          <w:szCs w:val="24"/>
        </w:rPr>
        <w:t>(1-26)</w:t>
      </w:r>
    </w:p>
    <w:p w14:paraId="46B861B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184198">
        <w:rPr>
          <w:rFonts w:ascii="Sylfaen" w:hAnsi="Sylfaen"/>
          <w:color w:val="000000"/>
          <w:sz w:val="24"/>
          <w:szCs w:val="24"/>
        </w:rPr>
        <w:t>(1.22б</w:t>
      </w:r>
      <w:r w:rsidRPr="00184198">
        <w:rPr>
          <w:rFonts w:ascii="Sylfaen" w:hAnsi="Sylfaen"/>
          <w:b/>
          <w:color w:val="000000"/>
          <w:sz w:val="24"/>
          <w:szCs w:val="24"/>
        </w:rPr>
        <w:t>)</w:t>
      </w:r>
      <w:r w:rsidRPr="00184198">
        <w:rPr>
          <w:rFonts w:ascii="Sylfaen" w:hAnsi="Sylfaen"/>
          <w:color w:val="000000"/>
          <w:sz w:val="24"/>
          <w:szCs w:val="24"/>
        </w:rPr>
        <w:t xml:space="preserve"> եւ (1.</w:t>
      </w:r>
      <w:r w:rsidRPr="00B834A2">
        <w:rPr>
          <w:rFonts w:ascii="Sylfaen" w:hAnsi="Sylfaen"/>
          <w:color w:val="000000"/>
          <w:sz w:val="24"/>
          <w:szCs w:val="24"/>
        </w:rPr>
        <w:t xml:space="preserve">24) հավասարումներից </w:t>
      </w:r>
      <m:oMath>
        <m:r>
          <w:rPr>
            <w:rFonts w:ascii="Cambria Math" w:hAnsi="Cambria Math" w:cs="Sylfaen"/>
            <w:color w:val="000000"/>
            <w:sz w:val="24"/>
            <w:szCs w:val="24"/>
          </w:rPr>
          <m:t>∆¯x</m:t>
        </m:r>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r>
          <w:rPr>
            <w:rFonts w:ascii="Cambria Math" w:hAnsi="Cambria Math" w:cs="Sylfaen"/>
            <w:color w:val="000000"/>
            <w:sz w:val="24"/>
            <w:szCs w:val="24"/>
          </w:rPr>
          <m:t>∆x</m:t>
        </m:r>
      </m:oMath>
      <w:r w:rsidRPr="00B834A2">
        <w:rPr>
          <w:rFonts w:ascii="Sylfaen" w:hAnsi="Sylfaen"/>
          <w:color w:val="000000"/>
          <w:sz w:val="24"/>
          <w:szCs w:val="24"/>
        </w:rPr>
        <w:t xml:space="preserve"> արժեքներն օգտագործում են առանձին տարբերակի (</w:t>
      </w:r>
      <m:oMath>
        <m:r>
          <w:rPr>
            <w:rFonts w:ascii="Cambria Math" w:hAnsi="Cambria Math" w:cs="Sylfaen"/>
            <w:smallCaps/>
            <w:color w:val="000000"/>
            <w:sz w:val="24"/>
            <w:szCs w:val="24"/>
          </w:rPr>
          <m:t>ε</m:t>
        </m:r>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միջին արդյունքի (¯</w:t>
      </w:r>
      <m:oMath>
        <m:r>
          <w:rPr>
            <w:rFonts w:ascii="Cambria Math" w:hAnsi="Cambria Math" w:cs="Sylfaen"/>
            <w:color w:val="000000"/>
            <w:sz w:val="24"/>
            <w:szCs w:val="24"/>
          </w:rPr>
          <m:t>ε</m:t>
        </m:r>
      </m:oMath>
      <w:r w:rsidRPr="00B834A2">
        <w:rPr>
          <w:rFonts w:ascii="Sylfaen" w:hAnsi="Sylfaen"/>
          <w:color w:val="000000"/>
          <w:sz w:val="24"/>
          <w:szCs w:val="24"/>
        </w:rPr>
        <w:t xml:space="preserve">) հարաբերական անորոշությունների հաշվարկման դեպքում՝ արտահայտելով այդ մեծությունները տոկոսներով. </w:t>
      </w:r>
    </w:p>
    <w:p w14:paraId="2A8A61B5" w14:textId="77777777" w:rsidR="00B834A2" w:rsidRPr="00B834A2" w:rsidRDefault="00B834A2" w:rsidP="004F5242">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ε=</m:t>
        </m:r>
        <m:sSub>
          <m:sSubPr>
            <m:ctrlPr>
              <w:rPr>
                <w:rFonts w:ascii="Cambria Math" w:hAnsi="Cambria Math" w:cs="Sylfaen"/>
                <w:i/>
                <w:iCs/>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r>
          <w:rPr>
            <w:rFonts w:ascii="Cambria Math" w:hAnsi="Cambria Math" w:cs="Sylfaen"/>
            <w:color w:val="000000"/>
            <w:sz w:val="24"/>
            <w:szCs w:val="24"/>
          </w:rPr>
          <m:t>*100=</m:t>
        </m:r>
        <m:f>
          <m:fPr>
            <m:ctrlPr>
              <w:rPr>
                <w:rFonts w:ascii="Cambria Math" w:hAnsi="Cambria Math" w:cs="Sylfaen"/>
                <w:i/>
                <w:iCs/>
                <w:color w:val="000000"/>
                <w:sz w:val="24"/>
                <w:szCs w:val="24"/>
              </w:rPr>
            </m:ctrlPr>
          </m:fPr>
          <m:num>
            <m:r>
              <w:rPr>
                <w:rFonts w:ascii="Cambria Math" w:hAnsi="Cambria Math" w:cs="Sylfaen"/>
                <w:color w:val="000000"/>
                <w:sz w:val="24"/>
                <w:szCs w:val="24"/>
              </w:rPr>
              <m:t>∆x</m:t>
            </m:r>
          </m:num>
          <m:den>
            <m:r>
              <w:rPr>
                <w:rFonts w:ascii="Cambria Math" w:hAnsi="Cambria Math" w:cs="Sylfaen"/>
                <w:color w:val="000000"/>
                <w:sz w:val="24"/>
                <w:szCs w:val="24"/>
              </w:rPr>
              <m:t>¯x</m:t>
            </m:r>
          </m:den>
        </m:f>
        <m:r>
          <w:rPr>
            <w:rFonts w:ascii="Cambria Math" w:hAnsi="Cambria Math" w:cs="Sylfaen"/>
            <w:color w:val="000000"/>
            <w:sz w:val="24"/>
            <w:szCs w:val="24"/>
          </w:rPr>
          <m:t>*100</m:t>
        </m:r>
      </m:oMath>
      <w:r w:rsidRPr="00B834A2">
        <w:rPr>
          <w:rFonts w:ascii="Sylfaen" w:hAnsi="Sylfaen"/>
          <w:i/>
          <w:color w:val="000000"/>
          <w:sz w:val="24"/>
          <w:szCs w:val="24"/>
        </w:rPr>
        <w:t>,</w:t>
      </w:r>
      <w:r w:rsidR="004F5242" w:rsidRPr="002E52D1">
        <w:rPr>
          <w:rFonts w:ascii="Sylfaen" w:hAnsi="Sylfaen"/>
          <w:sz w:val="24"/>
          <w:szCs w:val="24"/>
        </w:rPr>
        <w:tab/>
      </w:r>
      <w:r w:rsidRPr="00B834A2">
        <w:rPr>
          <w:rFonts w:ascii="Sylfaen" w:hAnsi="Sylfaen"/>
          <w:color w:val="000000"/>
          <w:sz w:val="24"/>
          <w:szCs w:val="24"/>
        </w:rPr>
        <w:t>(1.27)</w:t>
      </w:r>
    </w:p>
    <w:p w14:paraId="19D332A0" w14:textId="77777777" w:rsidR="00B834A2" w:rsidRPr="00D35F34" w:rsidRDefault="00B834A2" w:rsidP="004F5242">
      <w:pPr>
        <w:pStyle w:val="a0"/>
        <w:shd w:val="clear" w:color="auto" w:fill="auto"/>
        <w:spacing w:after="160" w:line="360" w:lineRule="auto"/>
        <w:ind w:firstLine="567"/>
        <w:jc w:val="center"/>
        <w:rPr>
          <w:rFonts w:ascii="Sylfaen" w:hAnsi="Sylfaen"/>
          <w:color w:val="000000"/>
          <w:sz w:val="24"/>
          <w:szCs w:val="24"/>
        </w:rPr>
      </w:pPr>
      <m:oMath>
        <m:r>
          <w:rPr>
            <w:rFonts w:ascii="Cambria Math" w:hAnsi="Cambria Math" w:cs="Sylfaen"/>
            <w:color w:val="000000"/>
            <w:sz w:val="24"/>
            <w:szCs w:val="24"/>
          </w:rPr>
          <m:t>¯ε=</m:t>
        </m:r>
        <m:sSub>
          <m:sSubPr>
            <m:ctrlPr>
              <w:rPr>
                <w:rFonts w:ascii="Cambria Math" w:hAnsi="Cambria Math" w:cs="Sylfaen"/>
                <w:i/>
                <w:iCs/>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r>
          <w:rPr>
            <w:rFonts w:ascii="Cambria Math" w:hAnsi="Cambria Math" w:cs="Sylfaen"/>
            <w:color w:val="000000"/>
            <w:sz w:val="24"/>
            <w:szCs w:val="24"/>
          </w:rPr>
          <m:t>*100=</m:t>
        </m:r>
        <m:f>
          <m:fPr>
            <m:ctrlPr>
              <w:rPr>
                <w:rFonts w:ascii="Cambria Math" w:hAnsi="Cambria Math" w:cs="Sylfaen"/>
                <w:i/>
                <w:iCs/>
                <w:color w:val="000000"/>
                <w:sz w:val="24"/>
                <w:szCs w:val="24"/>
              </w:rPr>
            </m:ctrlPr>
          </m:fPr>
          <m:num>
            <m:r>
              <w:rPr>
                <w:rFonts w:ascii="Cambria Math" w:hAnsi="Cambria Math" w:cs="Sylfaen"/>
                <w:color w:val="000000"/>
                <w:sz w:val="24"/>
                <w:szCs w:val="24"/>
              </w:rPr>
              <m:t>∆¯x</m:t>
            </m:r>
          </m:num>
          <m:den>
            <m:r>
              <w:rPr>
                <w:rFonts w:ascii="Cambria Math" w:hAnsi="Cambria Math" w:cs="Sylfaen"/>
                <w:color w:val="000000"/>
                <w:sz w:val="24"/>
                <w:szCs w:val="24"/>
              </w:rPr>
              <m:t>¯x</m:t>
            </m:r>
          </m:den>
        </m:f>
        <m:r>
          <w:rPr>
            <w:rFonts w:ascii="Cambria Math" w:hAnsi="Cambria Math" w:cs="Sylfaen"/>
            <w:color w:val="000000"/>
            <w:sz w:val="24"/>
            <w:szCs w:val="24"/>
          </w:rPr>
          <m:t>*100</m:t>
        </m:r>
      </m:oMath>
      <w:r w:rsidRPr="00B834A2">
        <w:rPr>
          <w:rFonts w:ascii="Sylfaen" w:hAnsi="Sylfaen"/>
          <w:color w:val="000000"/>
          <w:sz w:val="24"/>
          <w:szCs w:val="24"/>
        </w:rPr>
        <w:t>.</w:t>
      </w:r>
      <w:r w:rsidR="004F5242" w:rsidRPr="002E52D1">
        <w:rPr>
          <w:rFonts w:ascii="Sylfaen" w:hAnsi="Sylfaen"/>
          <w:sz w:val="24"/>
          <w:szCs w:val="24"/>
        </w:rPr>
        <w:tab/>
      </w:r>
      <w:r w:rsidRPr="00B834A2">
        <w:rPr>
          <w:rFonts w:ascii="Sylfaen" w:hAnsi="Sylfaen"/>
          <w:color w:val="000000"/>
          <w:sz w:val="24"/>
          <w:szCs w:val="24"/>
        </w:rPr>
        <w:t>(1.28)</w:t>
      </w:r>
    </w:p>
    <w:p w14:paraId="5649DDBE" w14:textId="77777777" w:rsidR="00184198" w:rsidRPr="00D35F34" w:rsidRDefault="00184198" w:rsidP="004F5242">
      <w:pPr>
        <w:pStyle w:val="a0"/>
        <w:shd w:val="clear" w:color="auto" w:fill="auto"/>
        <w:spacing w:after="160" w:line="360" w:lineRule="auto"/>
        <w:ind w:firstLine="567"/>
        <w:jc w:val="center"/>
        <w:rPr>
          <w:rFonts w:ascii="Sylfaen" w:hAnsi="Sylfaen" w:cs="Sylfaen"/>
          <w:sz w:val="24"/>
          <w:szCs w:val="24"/>
        </w:rPr>
      </w:pPr>
    </w:p>
    <w:p w14:paraId="6ACCB60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 xml:space="preserve">Տոկոսներով վստահելի միջակայքերի </w:t>
      </w:r>
      <w:r>
        <w:rPr>
          <w:rFonts w:ascii="Sylfaen" w:hAnsi="Sylfaen"/>
          <w:color w:val="000000"/>
          <w:sz w:val="24"/>
          <w:szCs w:val="24"/>
        </w:rPr>
        <w:t>եւ</w:t>
      </w:r>
      <w:r w:rsidRPr="00B834A2">
        <w:rPr>
          <w:rFonts w:ascii="Sylfaen" w:hAnsi="Sylfaen"/>
          <w:color w:val="000000"/>
          <w:sz w:val="24"/>
          <w:szCs w:val="24"/>
        </w:rPr>
        <w:t xml:space="preserve"> հարաբերական անորոշությունների հաշվարկի օրինակը բերված է 6.3 բաժնում:</w:t>
      </w:r>
    </w:p>
    <w:p w14:paraId="4A6F71D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չափումների ժամանակ ստանում են սկզբնական տարբերակի լոգարիթմներ, ապա (1.22բ) </w:t>
      </w:r>
      <w:r>
        <w:rPr>
          <w:rFonts w:ascii="Sylfaen" w:hAnsi="Sylfaen"/>
          <w:color w:val="000000"/>
          <w:sz w:val="24"/>
          <w:szCs w:val="24"/>
        </w:rPr>
        <w:t>եւ</w:t>
      </w:r>
      <w:r w:rsidRPr="00B834A2">
        <w:rPr>
          <w:rFonts w:ascii="Sylfaen" w:hAnsi="Sylfaen"/>
          <w:color w:val="000000"/>
          <w:sz w:val="24"/>
          <w:szCs w:val="24"/>
        </w:rPr>
        <w:t xml:space="preserve"> (1.24) հավասարումներն ընդունում են հետ</w:t>
      </w:r>
      <w:r>
        <w:rPr>
          <w:rFonts w:ascii="Sylfaen" w:hAnsi="Sylfaen"/>
          <w:color w:val="000000"/>
          <w:sz w:val="24"/>
          <w:szCs w:val="24"/>
        </w:rPr>
        <w:t>եւ</w:t>
      </w:r>
      <w:r w:rsidRPr="00B834A2">
        <w:rPr>
          <w:rFonts w:ascii="Sylfaen" w:hAnsi="Sylfaen"/>
          <w:color w:val="000000"/>
          <w:sz w:val="24"/>
          <w:szCs w:val="24"/>
        </w:rPr>
        <w:t>յալ տեսքը.</w:t>
      </w:r>
    </w:p>
    <w:p w14:paraId="306E7250"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lg</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m:rPr>
            <m:sty m:val="p"/>
          </m:rPr>
          <w:rPr>
            <w:rFonts w:ascii="Cambria Math" w:hAnsi="Cambria Math" w:cs="Sylfaen"/>
            <w:color w:val="000000"/>
            <w:sz w:val="24"/>
            <w:szCs w:val="24"/>
          </w:rPr>
          <m:t>±∆lg</m:t>
        </m:r>
        <m:bar>
          <m:barPr>
            <m:pos m:val="top"/>
            <m:ctrlPr>
              <w:rPr>
                <w:rFonts w:ascii="Cambria Math" w:hAnsi="Cambria Math" w:cs="Sylfaen"/>
                <w:color w:val="000000"/>
                <w:sz w:val="24"/>
                <w:szCs w:val="24"/>
              </w:rPr>
            </m:ctrlPr>
          </m:barPr>
          <m:e>
            <m:r>
              <m:rPr>
                <m:sty m:val="p"/>
              </m:rPr>
              <w:rPr>
                <w:rFonts w:ascii="Cambria Math" w:hAnsi="Cambria Math" w:cs="Sylfaen"/>
                <w:color w:val="000000"/>
                <w:sz w:val="24"/>
                <w:szCs w:val="24"/>
              </w:rPr>
              <m:t>x</m:t>
            </m:r>
          </m:e>
        </m:bar>
        <m:r>
          <m:rPr>
            <m:sty m:val="p"/>
          </m:rPr>
          <w:rPr>
            <w:rFonts w:ascii="Cambria Math" w:hAnsi="Cambria Math" w:cs="Sylfaen"/>
            <w:color w:val="000000"/>
            <w:sz w:val="24"/>
            <w:szCs w:val="24"/>
          </w:rPr>
          <m:t>=lg¯x±</m:t>
        </m:r>
        <m:f>
          <m:fPr>
            <m:ctrlPr>
              <w:rPr>
                <w:rFonts w:ascii="Cambria Math" w:hAnsi="Cambria Math" w:cs="Sylfaen"/>
                <w:color w:val="000000"/>
                <w:sz w:val="24"/>
                <w:szCs w:val="24"/>
              </w:rPr>
            </m:ctrlPr>
          </m:fPr>
          <m:num>
            <m:r>
              <m:rPr>
                <m:sty m:val="p"/>
              </m:rPr>
              <w:rPr>
                <w:rFonts w:ascii="Cambria Math" w:hAnsi="Cambria Math" w:cs="Sylfaen"/>
                <w:color w:val="000000"/>
                <w:sz w:val="24"/>
                <w:szCs w:val="24"/>
              </w:rPr>
              <m:t>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P,f</m:t>
                </m:r>
              </m:e>
            </m:d>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s</m:t>
                </m:r>
              </m:e>
              <m:sub>
                <m:r>
                  <m:rPr>
                    <m:sty m:val="p"/>
                  </m:rPr>
                  <w:rPr>
                    <w:rFonts w:ascii="Cambria Math" w:hAnsi="Cambria Math" w:cs="Sylfaen"/>
                    <w:color w:val="000000"/>
                    <w:sz w:val="24"/>
                    <w:szCs w:val="24"/>
                  </w:rPr>
                  <m:t>lg</m:t>
                </m:r>
              </m:sub>
            </m:sSub>
          </m:num>
          <m:den>
            <m:rad>
              <m:radPr>
                <m:degHide m:val="1"/>
                <m:ctrlPr>
                  <w:rPr>
                    <w:rFonts w:ascii="Cambria Math" w:hAnsi="Cambria Math" w:cs="Sylfaen"/>
                    <w:color w:val="000000"/>
                    <w:sz w:val="24"/>
                    <w:szCs w:val="24"/>
                  </w:rPr>
                </m:ctrlPr>
              </m:radPr>
              <m:deg/>
              <m:e>
                <m:r>
                  <m:rPr>
                    <m:sty m:val="p"/>
                  </m:rPr>
                  <w:rPr>
                    <w:rFonts w:ascii="Cambria Math" w:hAnsi="Cambria Math" w:cs="Sylfaen"/>
                    <w:color w:val="000000"/>
                    <w:sz w:val="24"/>
                    <w:szCs w:val="24"/>
                  </w:rPr>
                  <m:t>n</m:t>
                </m:r>
              </m:e>
            </m:rad>
          </m:den>
        </m:f>
      </m:oMath>
      <w:r w:rsidRPr="00B834A2">
        <w:rPr>
          <w:rFonts w:ascii="Sylfaen" w:hAnsi="Sylfaen"/>
          <w:color w:val="000000"/>
          <w:sz w:val="24"/>
          <w:szCs w:val="24"/>
        </w:rPr>
        <w:t>;</w:t>
      </w:r>
      <w:r w:rsidRPr="00B834A2">
        <w:rPr>
          <w:rFonts w:ascii="Sylfaen" w:hAnsi="Sylfaen"/>
          <w:sz w:val="24"/>
          <w:szCs w:val="24"/>
        </w:rPr>
        <w:t xml:space="preserve"> </w:t>
      </w:r>
      <w:r w:rsidR="004F5242" w:rsidRPr="004F5242">
        <w:rPr>
          <w:rFonts w:ascii="Sylfaen" w:hAnsi="Sylfaen"/>
          <w:sz w:val="24"/>
          <w:szCs w:val="24"/>
        </w:rPr>
        <w:tab/>
      </w:r>
      <w:r w:rsidRPr="00B834A2">
        <w:rPr>
          <w:rFonts w:ascii="Sylfaen" w:hAnsi="Sylfaen"/>
          <w:color w:val="000000"/>
          <w:sz w:val="24"/>
          <w:szCs w:val="24"/>
        </w:rPr>
        <w:t>(1.29)</w:t>
      </w:r>
    </w:p>
    <w:p w14:paraId="1824258E"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m:rPr>
            <m:sty m:val="p"/>
          </m:rPr>
          <w:rPr>
            <w:rFonts w:ascii="Cambria Math" w:hAnsi="Cambria Math" w:cs="Sylfaen"/>
            <w:color w:val="000000"/>
            <w:sz w:val="24"/>
            <w:szCs w:val="24"/>
          </w:rPr>
          <m:t>±∆lgx=lg</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x</m:t>
            </m:r>
          </m:e>
          <m:sub>
            <m:r>
              <m:rPr>
                <m:sty m:val="p"/>
              </m:rPr>
              <w:rPr>
                <w:rFonts w:ascii="Cambria Math" w:hAnsi="Cambria Math" w:cs="Sylfaen"/>
                <w:color w:val="000000"/>
                <w:sz w:val="24"/>
                <w:szCs w:val="24"/>
              </w:rPr>
              <m:t>i</m:t>
            </m:r>
          </m:sub>
        </m:sSub>
        <m:r>
          <m:rPr>
            <m:sty m:val="p"/>
          </m:rPr>
          <w:rPr>
            <w:rFonts w:ascii="Cambria Math" w:hAnsi="Cambria Math" w:cs="Sylfaen"/>
            <w:color w:val="000000"/>
            <w:sz w:val="24"/>
            <w:szCs w:val="24"/>
          </w:rPr>
          <m:t>±t</m:t>
        </m:r>
        <m:d>
          <m:dPr>
            <m:ctrlPr>
              <w:rPr>
                <w:rFonts w:ascii="Cambria Math" w:hAnsi="Cambria Math" w:cs="Sylfaen"/>
                <w:color w:val="000000"/>
                <w:sz w:val="24"/>
                <w:szCs w:val="24"/>
              </w:rPr>
            </m:ctrlPr>
          </m:dPr>
          <m:e>
            <m:r>
              <m:rPr>
                <m:sty m:val="p"/>
              </m:rPr>
              <w:rPr>
                <w:rFonts w:ascii="Cambria Math" w:hAnsi="Cambria Math" w:cs="Sylfaen"/>
                <w:color w:val="000000"/>
                <w:sz w:val="24"/>
                <w:szCs w:val="24"/>
              </w:rPr>
              <m:t>P,f</m:t>
            </m:r>
          </m:e>
        </m:d>
        <m:r>
          <m:rPr>
            <m:sty m:val="p"/>
          </m:rPr>
          <w:rPr>
            <w:rFonts w:ascii="Cambria Math" w:hAnsi="Cambria Math" w:cs="Sylfaen"/>
            <w:color w:val="000000"/>
            <w:sz w:val="24"/>
            <w:szCs w:val="24"/>
          </w:rPr>
          <m:t>*</m:t>
        </m:r>
        <m:sSub>
          <m:sSubPr>
            <m:ctrlPr>
              <w:rPr>
                <w:rFonts w:ascii="Cambria Math" w:hAnsi="Cambria Math" w:cs="Sylfaen"/>
                <w:color w:val="000000"/>
                <w:sz w:val="24"/>
                <w:szCs w:val="24"/>
              </w:rPr>
            </m:ctrlPr>
          </m:sSubPr>
          <m:e>
            <m:r>
              <m:rPr>
                <m:sty m:val="p"/>
              </m:rPr>
              <w:rPr>
                <w:rFonts w:ascii="Cambria Math" w:hAnsi="Cambria Math" w:cs="Sylfaen"/>
                <w:color w:val="000000"/>
                <w:sz w:val="24"/>
                <w:szCs w:val="24"/>
              </w:rPr>
              <m:t>s</m:t>
            </m:r>
          </m:e>
          <m:sub>
            <m:r>
              <m:rPr>
                <m:sty m:val="p"/>
              </m:rPr>
              <w:rPr>
                <w:rFonts w:ascii="Cambria Math" w:hAnsi="Cambria Math" w:cs="Sylfaen"/>
                <w:color w:val="000000"/>
                <w:sz w:val="24"/>
                <w:szCs w:val="24"/>
              </w:rPr>
              <m:t>lg</m:t>
            </m:r>
          </m:sub>
        </m:sSub>
      </m:oMath>
      <w:r w:rsidRPr="00B834A2">
        <w:rPr>
          <w:rFonts w:ascii="Sylfaen" w:hAnsi="Sylfaen"/>
          <w:color w:val="000000"/>
          <w:sz w:val="24"/>
          <w:szCs w:val="24"/>
        </w:rPr>
        <w:t>.</w:t>
      </w:r>
      <w:r w:rsidRPr="00B834A2">
        <w:rPr>
          <w:rFonts w:ascii="Sylfaen" w:hAnsi="Sylfaen"/>
          <w:sz w:val="24"/>
          <w:szCs w:val="24"/>
        </w:rPr>
        <w:t xml:space="preserve"> </w:t>
      </w:r>
      <w:r w:rsidR="004F5242" w:rsidRPr="002E52D1">
        <w:rPr>
          <w:rFonts w:ascii="Sylfaen" w:hAnsi="Sylfaen"/>
          <w:sz w:val="24"/>
          <w:szCs w:val="24"/>
        </w:rPr>
        <w:tab/>
      </w:r>
      <w:r w:rsidRPr="00B834A2">
        <w:rPr>
          <w:rFonts w:ascii="Sylfaen" w:hAnsi="Sylfaen"/>
          <w:color w:val="000000"/>
          <w:sz w:val="24"/>
          <w:szCs w:val="24"/>
        </w:rPr>
        <w:t>(1.30)</w:t>
      </w:r>
    </w:p>
    <w:p w14:paraId="3DC17EC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(1.29) </w:t>
      </w:r>
      <w:r>
        <w:rPr>
          <w:rFonts w:ascii="Sylfaen" w:hAnsi="Sylfaen"/>
          <w:color w:val="000000"/>
          <w:sz w:val="24"/>
          <w:szCs w:val="24"/>
        </w:rPr>
        <w:t>եւ</w:t>
      </w:r>
      <w:r w:rsidRPr="00B834A2">
        <w:rPr>
          <w:rFonts w:ascii="Sylfaen" w:hAnsi="Sylfaen"/>
          <w:color w:val="000000"/>
          <w:sz w:val="24"/>
          <w:szCs w:val="24"/>
        </w:rPr>
        <w:t xml:space="preserve"> (1.30) արտահայտությունների պոտենցումը հանգեցնում է ¯х </w:t>
      </w:r>
      <w:r>
        <w:rPr>
          <w:rFonts w:ascii="Sylfaen" w:hAnsi="Sylfaen"/>
          <w:color w:val="000000"/>
          <w:sz w:val="24"/>
          <w:szCs w:val="24"/>
        </w:rPr>
        <w:t>եւ</w:t>
      </w:r>
      <w:r w:rsidRPr="00B834A2">
        <w:rPr>
          <w:rFonts w:ascii="Sylfaen" w:hAnsi="Sylfaen"/>
          <w:color w:val="000000"/>
          <w:sz w:val="24"/>
          <w:szCs w:val="24"/>
        </w:rPr>
        <w:t xml:space="preserve"> х</w:t>
      </w:r>
      <w:r w:rsidRPr="00B834A2">
        <w:rPr>
          <w:rFonts w:ascii="Sylfaen" w:hAnsi="Sylfaen"/>
          <w:color w:val="000000"/>
          <w:sz w:val="24"/>
          <w:szCs w:val="24"/>
          <w:vertAlign w:val="subscript"/>
        </w:rPr>
        <w:t>i</w:t>
      </w:r>
      <w:r w:rsidRPr="00B834A2">
        <w:rPr>
          <w:rFonts w:ascii="Sylfaen" w:hAnsi="Sylfaen"/>
          <w:color w:val="000000"/>
          <w:sz w:val="24"/>
          <w:szCs w:val="24"/>
        </w:rPr>
        <w:t xml:space="preserve"> արժեքների համար ոչ սիմետրիկ վստահելի միջակայքերի.</w:t>
      </w:r>
    </w:p>
    <w:p w14:paraId="432A1327" w14:textId="77777777" w:rsidR="00B834A2" w:rsidRPr="00B834A2" w:rsidRDefault="00B834A2" w:rsidP="004F5242">
      <w:pPr>
        <w:tabs>
          <w:tab w:val="left" w:pos="3969"/>
        </w:tabs>
        <w:spacing w:after="160" w:line="360" w:lineRule="auto"/>
        <w:ind w:firstLine="567"/>
        <w:jc w:val="center"/>
      </w:pPr>
      <m:oMath>
        <m:r>
          <w:rPr>
            <w:rFonts w:ascii="Cambria Math" w:hAnsi="Cambria Math"/>
          </w:rPr>
          <m:t>antilg(lg</m:t>
        </m:r>
        <m:bar>
          <m:barPr>
            <m:pos m:val="top"/>
            <m:ctrlPr>
              <w:rPr>
                <w:rFonts w:ascii="Cambria Math" w:hAnsi="Cambria Math"/>
                <w:i/>
              </w:rPr>
            </m:ctrlPr>
          </m:barPr>
          <m:e>
            <m:r>
              <w:rPr>
                <w:rFonts w:ascii="Cambria Math" w:hAnsi="Cambria Math"/>
              </w:rPr>
              <m:t>x</m:t>
            </m:r>
          </m:e>
        </m:bar>
        <m:r>
          <w:rPr>
            <w:rFonts w:ascii="Cambria Math" w:hAnsi="Cambria Math"/>
          </w:rPr>
          <m:t>-∆lg</m:t>
        </m:r>
        <m:bar>
          <m:barPr>
            <m:pos m:val="top"/>
            <m:ctrlPr>
              <w:rPr>
                <w:rFonts w:ascii="Cambria Math" w:hAnsi="Cambria Math"/>
                <w:i/>
              </w:rPr>
            </m:ctrlPr>
          </m:barPr>
          <m:e>
            <m:r>
              <w:rPr>
                <w:rFonts w:ascii="Cambria Math" w:hAnsi="Cambria Math"/>
              </w:rPr>
              <m:t>x</m:t>
            </m:r>
          </m:e>
        </m:bar>
        <m:r>
          <w:rPr>
            <w:rFonts w:ascii="Cambria Math" w:hAnsi="Cambria Math"/>
          </w:rPr>
          <m:t>)≤¯x≤antilg(lg</m:t>
        </m:r>
        <m:bar>
          <m:barPr>
            <m:pos m:val="top"/>
            <m:ctrlPr>
              <w:rPr>
                <w:rFonts w:ascii="Cambria Math" w:hAnsi="Cambria Math"/>
                <w:i/>
              </w:rPr>
            </m:ctrlPr>
          </m:barPr>
          <m:e>
            <m:r>
              <w:rPr>
                <w:rFonts w:ascii="Cambria Math" w:hAnsi="Cambria Math"/>
              </w:rPr>
              <m:t>x</m:t>
            </m:r>
          </m:e>
        </m:bar>
        <m:r>
          <w:rPr>
            <w:rFonts w:ascii="Cambria Math" w:hAnsi="Cambria Math"/>
          </w:rPr>
          <m:t>+∆lg</m:t>
        </m:r>
        <m:bar>
          <m:barPr>
            <m:pos m:val="top"/>
            <m:ctrlPr>
              <w:rPr>
                <w:rFonts w:ascii="Cambria Math" w:hAnsi="Cambria Math"/>
                <w:i/>
              </w:rPr>
            </m:ctrlPr>
          </m:barPr>
          <m:e>
            <m:r>
              <w:rPr>
                <w:rFonts w:ascii="Cambria Math" w:hAnsi="Cambria Math"/>
              </w:rPr>
              <m:t>x</m:t>
            </m:r>
          </m:e>
        </m:bar>
        <m:r>
          <w:rPr>
            <w:rFonts w:ascii="Cambria Math" w:hAnsi="Cambria Math"/>
          </w:rPr>
          <m:t>)</m:t>
        </m:r>
      </m:oMath>
      <w:r w:rsidRPr="00B834A2">
        <w:t xml:space="preserve">; </w:t>
      </w:r>
      <w:r w:rsidR="004F5242" w:rsidRPr="004F5242">
        <w:tab/>
      </w:r>
      <w:r w:rsidRPr="00B834A2">
        <w:t>(1.31)</w:t>
      </w:r>
    </w:p>
    <w:p w14:paraId="402D9E1A" w14:textId="77777777" w:rsidR="00B834A2" w:rsidRPr="00B834A2" w:rsidRDefault="00B834A2" w:rsidP="004F5242">
      <w:pPr>
        <w:pStyle w:val="a0"/>
        <w:shd w:val="clear" w:color="auto" w:fill="auto"/>
        <w:tabs>
          <w:tab w:val="left" w:pos="5670"/>
        </w:tabs>
        <w:spacing w:after="160" w:line="360" w:lineRule="auto"/>
        <w:ind w:firstLine="567"/>
        <w:jc w:val="center"/>
        <w:rPr>
          <w:rFonts w:ascii="Sylfaen" w:hAnsi="Sylfaen" w:cs="Sylfaen"/>
          <w:color w:val="000000"/>
          <w:sz w:val="24"/>
          <w:szCs w:val="24"/>
        </w:rPr>
      </w:pPr>
      <m:oMath>
        <m:r>
          <w:rPr>
            <w:rFonts w:ascii="Cambria Math" w:hAnsi="Cambria Math" w:cs="Sylfaen"/>
            <w:color w:val="000000"/>
            <w:sz w:val="24"/>
            <w:szCs w:val="24"/>
          </w:rPr>
          <m:t>antilg(lg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≤antilg(lg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m:t>
        </m:r>
      </m:oMath>
      <w:r w:rsidRPr="00B834A2">
        <w:rPr>
          <w:rFonts w:ascii="Sylfaen" w:hAnsi="Sylfaen"/>
          <w:color w:val="000000"/>
          <w:sz w:val="24"/>
          <w:szCs w:val="24"/>
        </w:rPr>
        <w:t>,</w:t>
      </w:r>
      <w:r w:rsidR="004F5242" w:rsidRPr="004F5242">
        <w:rPr>
          <w:rFonts w:ascii="Sylfaen" w:hAnsi="Sylfaen"/>
          <w:color w:val="000000"/>
          <w:sz w:val="24"/>
          <w:szCs w:val="24"/>
        </w:rPr>
        <w:tab/>
      </w:r>
      <w:r w:rsidR="004F5242" w:rsidRPr="004F5242">
        <w:rPr>
          <w:rFonts w:ascii="Sylfaen" w:hAnsi="Sylfaen"/>
          <w:color w:val="000000"/>
          <w:sz w:val="24"/>
          <w:szCs w:val="24"/>
        </w:rPr>
        <w:tab/>
      </w:r>
      <w:r w:rsidRPr="00B834A2">
        <w:rPr>
          <w:rFonts w:ascii="Sylfaen" w:hAnsi="Sylfaen"/>
          <w:color w:val="000000"/>
          <w:sz w:val="24"/>
          <w:szCs w:val="24"/>
        </w:rPr>
        <w:t>(1.32)</w:t>
      </w:r>
    </w:p>
    <w:p w14:paraId="31172A9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որտեղ՝</w:t>
      </w:r>
    </w:p>
    <w:p w14:paraId="60CA4A02"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∆lg</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m:t>
        </m:r>
        <m:f>
          <m:fPr>
            <m:ctrlPr>
              <w:rPr>
                <w:rFonts w:ascii="Cambria Math" w:hAnsi="Cambria Math" w:cs="Sylfaen"/>
                <w:i/>
                <w:color w:val="000000"/>
                <w:sz w:val="24"/>
                <w:szCs w:val="24"/>
              </w:rPr>
            </m:ctrlPr>
          </m:fPr>
          <m:num>
            <m:r>
              <w:rPr>
                <w:rFonts w:ascii="Cambria Math" w:hAnsi="Cambria Math" w:cs="Sylfaen"/>
                <w:color w:val="000000"/>
                <w:sz w:val="24"/>
                <w:szCs w:val="24"/>
              </w:rPr>
              <m:t>t</m:t>
            </m:r>
            <m:d>
              <m:dPr>
                <m:ctrlPr>
                  <w:rPr>
                    <w:rFonts w:ascii="Cambria Math" w:hAnsi="Cambria Math" w:cs="Sylfaen"/>
                    <w:i/>
                    <w:color w:val="000000"/>
                    <w:sz w:val="24"/>
                    <w:szCs w:val="24"/>
                  </w:rPr>
                </m:ctrlPr>
              </m:dPr>
              <m:e>
                <m:r>
                  <w:rPr>
                    <w:rFonts w:ascii="Cambria Math" w:hAnsi="Cambria Math" w:cs="Sylfaen"/>
                    <w:color w:val="000000"/>
                    <w:sz w:val="24"/>
                    <w:szCs w:val="24"/>
                  </w:rPr>
                  <m:t>p,f</m:t>
                </m:r>
              </m:e>
            </m:d>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sub>
            </m:sSub>
          </m:num>
          <m:den>
            <m:rad>
              <m:radPr>
                <m:degHide m:val="1"/>
                <m:ctrlPr>
                  <w:rPr>
                    <w:rFonts w:ascii="Cambria Math" w:hAnsi="Cambria Math" w:cs="Sylfaen"/>
                    <w:i/>
                    <w:color w:val="000000"/>
                    <w:sz w:val="24"/>
                    <w:szCs w:val="24"/>
                  </w:rPr>
                </m:ctrlPr>
              </m:radPr>
              <m:deg/>
              <m:e>
                <m:r>
                  <w:rPr>
                    <w:rFonts w:ascii="Cambria Math" w:hAnsi="Cambria Math" w:cs="Sylfaen"/>
                    <w:color w:val="000000"/>
                    <w:sz w:val="24"/>
                    <w:szCs w:val="24"/>
                  </w:rPr>
                  <m:t>n</m:t>
                </m:r>
              </m:e>
            </m:rad>
          </m:den>
        </m:f>
      </m:oMath>
      <w:r w:rsidR="004F5242" w:rsidRPr="004F5242">
        <w:rPr>
          <w:rFonts w:ascii="Sylfaen" w:hAnsi="Sylfaen"/>
          <w:color w:val="000000"/>
          <w:sz w:val="24"/>
          <w:szCs w:val="24"/>
        </w:rPr>
        <w:tab/>
      </w:r>
      <w:r w:rsidR="004F5242" w:rsidRPr="00B834A2">
        <w:t>(</w:t>
      </w:r>
      <w:r w:rsidRPr="00B834A2">
        <w:rPr>
          <w:rFonts w:ascii="Sylfaen" w:hAnsi="Sylfaen"/>
          <w:color w:val="000000"/>
          <w:sz w:val="24"/>
          <w:szCs w:val="24"/>
        </w:rPr>
        <w:t>1.33)</w:t>
      </w:r>
    </w:p>
    <w:p w14:paraId="4B86166D"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∆lg</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r>
          <w:rPr>
            <w:rFonts w:ascii="Cambria Math" w:hAnsi="Cambria Math" w:cs="Sylfaen"/>
            <w:color w:val="000000"/>
            <w:sz w:val="24"/>
            <w:szCs w:val="24"/>
          </w:rPr>
          <m:t>=t</m:t>
        </m:r>
        <m:d>
          <m:dPr>
            <m:ctrlPr>
              <w:rPr>
                <w:rFonts w:ascii="Cambria Math" w:hAnsi="Cambria Math" w:cs="Sylfaen"/>
                <w:i/>
                <w:color w:val="000000"/>
                <w:sz w:val="24"/>
                <w:szCs w:val="24"/>
              </w:rPr>
            </m:ctrlPr>
          </m:dPr>
          <m:e>
            <m:r>
              <w:rPr>
                <w:rFonts w:ascii="Cambria Math" w:hAnsi="Cambria Math" w:cs="Sylfaen"/>
                <w:color w:val="000000"/>
                <w:sz w:val="24"/>
                <w:szCs w:val="24"/>
              </w:rPr>
              <m:t>P,f</m:t>
            </m:r>
          </m:e>
        </m:d>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sub>
        </m:sSub>
      </m:oMath>
      <w:r w:rsidR="004F5242" w:rsidRPr="004F5242">
        <w:rPr>
          <w:rFonts w:ascii="Sylfaen" w:hAnsi="Sylfaen"/>
          <w:sz w:val="24"/>
          <w:szCs w:val="24"/>
        </w:rPr>
        <w:tab/>
      </w:r>
      <w:r w:rsidRPr="00B834A2">
        <w:rPr>
          <w:rFonts w:ascii="Sylfaen" w:hAnsi="Sylfaen"/>
          <w:color w:val="000000"/>
          <w:sz w:val="24"/>
          <w:szCs w:val="24"/>
        </w:rPr>
        <w:t>(1.34)</w:t>
      </w:r>
    </w:p>
    <w:p w14:paraId="72173C6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Ընդ որում, </w:t>
      </w:r>
      <w:r w:rsidRPr="00B834A2">
        <w:rPr>
          <w:rFonts w:ascii="Sylfaen" w:hAnsi="Sylfaen"/>
          <w:i/>
          <w:color w:val="000000"/>
          <w:sz w:val="24"/>
          <w:szCs w:val="24"/>
        </w:rPr>
        <w:t xml:space="preserve">¯х </w:t>
      </w:r>
      <w:r>
        <w:rPr>
          <w:rFonts w:ascii="Sylfaen" w:hAnsi="Sylfaen"/>
          <w:i/>
          <w:color w:val="000000"/>
          <w:sz w:val="24"/>
          <w:szCs w:val="24"/>
        </w:rPr>
        <w:t>եւ</w:t>
      </w:r>
      <w:r w:rsidRPr="00B834A2">
        <w:rPr>
          <w:rFonts w:ascii="Sylfaen" w:hAnsi="Sylfaen"/>
          <w:i/>
          <w:color w:val="000000"/>
          <w:sz w:val="24"/>
          <w:szCs w:val="24"/>
        </w:rPr>
        <w:t xml:space="preserve"> х վստահելի միջակայքերի ստորին </w:t>
      </w:r>
      <w:r>
        <w:rPr>
          <w:rFonts w:ascii="Sylfaen" w:hAnsi="Sylfaen"/>
          <w:i/>
          <w:color w:val="000000"/>
          <w:sz w:val="24"/>
          <w:szCs w:val="24"/>
        </w:rPr>
        <w:t>եւ</w:t>
      </w:r>
      <w:r w:rsidRPr="00B834A2">
        <w:rPr>
          <w:rFonts w:ascii="Sylfaen" w:hAnsi="Sylfaen"/>
          <w:i/>
          <w:color w:val="000000"/>
          <w:sz w:val="24"/>
          <w:szCs w:val="24"/>
        </w:rPr>
        <w:t xml:space="preserve"> վերին սահմանների համար հարաբերական անորոշությունները կազմում են՝</w:t>
      </w:r>
    </w:p>
    <w:p w14:paraId="0075D980" w14:textId="77777777" w:rsidR="00B834A2" w:rsidRPr="00B834A2" w:rsidRDefault="00000000" w:rsidP="004F5242">
      <w:pPr>
        <w:pStyle w:val="a0"/>
        <w:shd w:val="clear" w:color="auto" w:fill="auto"/>
        <w:tabs>
          <w:tab w:val="left" w:pos="4253"/>
        </w:tabs>
        <w:spacing w:after="160" w:line="360" w:lineRule="auto"/>
        <w:ind w:firstLine="567"/>
        <w:jc w:val="center"/>
        <w:rPr>
          <w:rFonts w:ascii="Sylfaen" w:hAnsi="Sylfaen" w:cs="Sylfaen"/>
          <w:sz w:val="24"/>
          <w:szCs w:val="24"/>
        </w:rPr>
      </w:pPr>
      <m:oMath>
        <m:bar>
          <m:barPr>
            <m:pos m:val="top"/>
            <m:ctrlPr>
              <w:rPr>
                <w:rFonts w:ascii="Cambria Math" w:hAnsi="Cambria Math" w:cs="Sylfaen"/>
                <w:i/>
                <w:color w:val="000000"/>
                <w:sz w:val="24"/>
                <w:szCs w:val="24"/>
              </w:rPr>
            </m:ctrlPr>
          </m:barPr>
          <m:e>
            <m:r>
              <w:rPr>
                <w:rFonts w:ascii="Cambria Math" w:hAnsi="Cambria Math" w:cs="Sylfaen"/>
                <w:color w:val="000000"/>
                <w:sz w:val="24"/>
                <w:szCs w:val="24"/>
              </w:rPr>
              <m:t>ε</m:t>
            </m:r>
          </m:e>
        </m:bar>
        <m:r>
          <w:rPr>
            <w:rFonts w:ascii="Cambria Math" w:hAnsi="Cambria Math" w:cs="Sylfaen"/>
            <w:color w:val="000000"/>
            <w:sz w:val="24"/>
            <w:szCs w:val="24"/>
          </w:rPr>
          <m:t>=</m:t>
        </m:r>
        <m:d>
          <m:dPr>
            <m:begChr m:val="["/>
            <m:endChr m:val="]"/>
            <m:ctrlPr>
              <w:rPr>
                <w:rFonts w:ascii="Cambria Math" w:hAnsi="Cambria Math" w:cs="Sylfaen"/>
                <w:i/>
                <w:color w:val="000000"/>
                <w:sz w:val="24"/>
                <w:szCs w:val="24"/>
              </w:rPr>
            </m:ctrlPr>
          </m:dPr>
          <m:e>
            <m:f>
              <m:fPr>
                <m:ctrlPr>
                  <w:rPr>
                    <w:rFonts w:ascii="Cambria Math" w:hAnsi="Cambria Math" w:cs="Sylfaen"/>
                    <w:i/>
                    <w:color w:val="000000"/>
                    <w:sz w:val="24"/>
                    <w:szCs w:val="24"/>
                  </w:rPr>
                </m:ctrlPr>
              </m:fPr>
              <m:num>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antilg</m:t>
                    </m:r>
                    <m:d>
                      <m:dPr>
                        <m:ctrlPr>
                          <w:rPr>
                            <w:rFonts w:ascii="Cambria Math" w:hAnsi="Cambria Math" w:cs="Sylfaen"/>
                            <w:i/>
                            <w:color w:val="000000"/>
                            <w:sz w:val="24"/>
                            <w:szCs w:val="24"/>
                          </w:rPr>
                        </m:ctrlPr>
                      </m:dPr>
                      <m:e>
                        <m:r>
                          <w:rPr>
                            <w:rFonts w:ascii="Cambria Math" w:hAnsi="Cambria Math" w:cs="Sylfaen"/>
                            <w:color w:val="000000"/>
                            <w:sz w:val="24"/>
                            <w:szCs w:val="24"/>
                          </w:rPr>
                          <m:t>lg</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m:rPr>
                            <m:sty m:val="p"/>
                          </m:rPr>
                          <w:rPr>
                            <w:rFonts w:ascii="Cambria Math" w:hAnsi="Cambria Math" w:cs="Sylfaen"/>
                            <w:color w:val="000000"/>
                            <w:sz w:val="24"/>
                            <w:szCs w:val="24"/>
                          </w:rPr>
                          <m:t>±∆lg</m:t>
                        </m:r>
                        <m:bar>
                          <m:barPr>
                            <m:pos m:val="top"/>
                            <m:ctrlPr>
                              <w:rPr>
                                <w:rFonts w:ascii="Cambria Math" w:hAnsi="Cambria Math" w:cs="Sylfaen"/>
                                <w:color w:val="000000"/>
                                <w:sz w:val="24"/>
                                <w:szCs w:val="24"/>
                              </w:rPr>
                            </m:ctrlPr>
                          </m:barPr>
                          <m:e>
                            <m:r>
                              <m:rPr>
                                <m:sty m:val="p"/>
                              </m:rPr>
                              <w:rPr>
                                <w:rFonts w:ascii="Cambria Math" w:hAnsi="Cambria Math" w:cs="Sylfaen"/>
                                <w:color w:val="000000"/>
                                <w:sz w:val="24"/>
                                <w:szCs w:val="24"/>
                              </w:rPr>
                              <m:t>x</m:t>
                            </m:r>
                          </m:e>
                        </m:bar>
                        <m:ctrlPr>
                          <w:rPr>
                            <w:rFonts w:ascii="Cambria Math" w:hAnsi="Cambria Math" w:cs="Sylfaen"/>
                            <w:color w:val="000000"/>
                            <w:sz w:val="24"/>
                            <w:szCs w:val="24"/>
                          </w:rPr>
                        </m:ctrlPr>
                      </m:e>
                    </m:d>
                    <m:r>
                      <m:rPr>
                        <m:sty m:val="p"/>
                      </m:rPr>
                      <w:rPr>
                        <w:rFonts w:ascii="Cambria Math" w:hAnsi="Cambria Math" w:cs="Sylfaen"/>
                        <w:color w:val="000000"/>
                        <w:sz w:val="24"/>
                        <w:szCs w:val="24"/>
                      </w:rPr>
                      <m:t>-¯x</m:t>
                    </m:r>
                  </m:e>
                </m:d>
              </m:num>
              <m:den>
                <m:r>
                  <w:rPr>
                    <w:rFonts w:ascii="Cambria Math" w:hAnsi="Cambria Math" w:cs="Sylfaen"/>
                    <w:color w:val="000000"/>
                    <w:sz w:val="24"/>
                    <w:szCs w:val="24"/>
                  </w:rPr>
                  <m:t>¯x</m:t>
                </m:r>
              </m:den>
            </m:f>
          </m:e>
        </m:d>
        <m:r>
          <w:rPr>
            <w:rFonts w:ascii="Cambria Math" w:hAnsi="Cambria Math" w:cs="Sylfaen"/>
            <w:color w:val="000000"/>
            <w:sz w:val="24"/>
            <w:szCs w:val="24"/>
          </w:rPr>
          <m:t>*100%</m:t>
        </m:r>
      </m:oMath>
      <w:r w:rsidR="00B834A2" w:rsidRPr="00B834A2">
        <w:rPr>
          <w:rFonts w:ascii="Sylfaen" w:hAnsi="Sylfaen"/>
          <w:color w:val="000000"/>
          <w:sz w:val="24"/>
          <w:szCs w:val="24"/>
        </w:rPr>
        <w:t>,</w:t>
      </w:r>
      <w:r w:rsidR="004F5242" w:rsidRPr="004F5242">
        <w:rPr>
          <w:rFonts w:ascii="Sylfaen" w:hAnsi="Sylfaen"/>
          <w:sz w:val="24"/>
          <w:szCs w:val="24"/>
        </w:rPr>
        <w:tab/>
      </w:r>
      <w:r w:rsidR="00B834A2" w:rsidRPr="00B834A2">
        <w:rPr>
          <w:rFonts w:ascii="Sylfaen" w:hAnsi="Sylfaen"/>
          <w:color w:val="000000"/>
          <w:sz w:val="24"/>
          <w:szCs w:val="24"/>
        </w:rPr>
        <w:t>(1.35ա)</w:t>
      </w:r>
    </w:p>
    <w:p w14:paraId="4425A418"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smallCaps/>
            <w:color w:val="000000"/>
            <w:sz w:val="24"/>
            <w:szCs w:val="24"/>
          </w:rPr>
          <m:t>ε=</m:t>
        </m:r>
        <m:d>
          <m:dPr>
            <m:begChr m:val="["/>
            <m:endChr m:val="]"/>
            <m:ctrlPr>
              <w:rPr>
                <w:rFonts w:ascii="Cambria Math" w:hAnsi="Cambria Math" w:cs="Sylfaen"/>
                <w:i/>
                <w:smallCaps/>
                <w:color w:val="000000"/>
                <w:sz w:val="24"/>
                <w:szCs w:val="24"/>
              </w:rPr>
            </m:ctrlPr>
          </m:dPr>
          <m:e>
            <m:f>
              <m:fPr>
                <m:ctrlPr>
                  <w:rPr>
                    <w:rFonts w:ascii="Cambria Math" w:hAnsi="Cambria Math" w:cs="Sylfaen"/>
                    <w:i/>
                    <w:smallCaps/>
                    <w:color w:val="000000"/>
                    <w:sz w:val="24"/>
                    <w:szCs w:val="24"/>
                  </w:rPr>
                </m:ctrlPr>
              </m:fPr>
              <m:num>
                <m:d>
                  <m:dPr>
                    <m:begChr m:val="|"/>
                    <m:endChr m:val="|"/>
                    <m:ctrlPr>
                      <w:rPr>
                        <w:rFonts w:ascii="Cambria Math" w:hAnsi="Cambria Math" w:cs="Sylfaen"/>
                        <w:i/>
                        <w:smallCaps/>
                        <w:color w:val="000000"/>
                        <w:sz w:val="24"/>
                        <w:szCs w:val="24"/>
                      </w:rPr>
                    </m:ctrlPr>
                  </m:dPr>
                  <m:e>
                    <m:r>
                      <w:rPr>
                        <w:rFonts w:ascii="Cambria Math" w:hAnsi="Cambria Math" w:cs="Sylfaen"/>
                        <w:smallCaps/>
                        <w:color w:val="000000"/>
                        <w:sz w:val="24"/>
                        <w:szCs w:val="24"/>
                      </w:rPr>
                      <m:t>antilg</m:t>
                    </m:r>
                    <m:d>
                      <m:dPr>
                        <m:ctrlPr>
                          <w:rPr>
                            <w:rFonts w:ascii="Cambria Math" w:hAnsi="Cambria Math" w:cs="Sylfaen"/>
                            <w:i/>
                            <w:smallCaps/>
                            <w:color w:val="000000"/>
                            <w:sz w:val="24"/>
                            <w:szCs w:val="24"/>
                          </w:rPr>
                        </m:ctrlPr>
                      </m:dPr>
                      <m:e>
                        <m:r>
                          <w:rPr>
                            <w:rFonts w:ascii="Cambria Math" w:hAnsi="Cambria Math" w:cs="Sylfaen"/>
                            <w:smallCaps/>
                            <w:color w:val="000000"/>
                            <w:sz w:val="24"/>
                            <w:szCs w:val="24"/>
                          </w:rPr>
                          <m:t>lg</m:t>
                        </m:r>
                        <m:sSub>
                          <m:sSubPr>
                            <m:ctrlPr>
                              <w:rPr>
                                <w:rFonts w:ascii="Cambria Math" w:hAnsi="Cambria Math" w:cs="Sylfaen"/>
                                <w:i/>
                                <w:smallCaps/>
                                <w:color w:val="000000"/>
                                <w:sz w:val="24"/>
                                <w:szCs w:val="24"/>
                              </w:rPr>
                            </m:ctrlPr>
                          </m:sSubPr>
                          <m:e>
                            <m:r>
                              <w:rPr>
                                <w:rFonts w:ascii="Cambria Math" w:hAnsi="Cambria Math" w:cs="Sylfaen"/>
                                <w:smallCaps/>
                                <w:color w:val="000000"/>
                                <w:sz w:val="24"/>
                                <w:szCs w:val="24"/>
                              </w:rPr>
                              <m:t>x</m:t>
                            </m:r>
                          </m:e>
                          <m:sub>
                            <m:r>
                              <w:rPr>
                                <w:rFonts w:ascii="Cambria Math" w:hAnsi="Cambria Math" w:cs="Sylfaen"/>
                                <w:smallCaps/>
                                <w:color w:val="000000"/>
                                <w:sz w:val="24"/>
                                <w:szCs w:val="24"/>
                              </w:rPr>
                              <m:t>i</m:t>
                            </m:r>
                          </m:sub>
                        </m:sSub>
                        <m:r>
                          <w:rPr>
                            <w:rFonts w:ascii="Cambria Math" w:hAnsi="Cambria Math" w:cs="Sylfaen"/>
                            <w:smallCaps/>
                            <w:color w:val="000000"/>
                            <w:sz w:val="24"/>
                            <w:szCs w:val="24"/>
                          </w:rPr>
                          <m:t>±∆lgx</m:t>
                        </m:r>
                      </m:e>
                    </m:d>
                    <m:r>
                      <w:rPr>
                        <w:rFonts w:ascii="Cambria Math" w:hAnsi="Cambria Math" w:cs="Sylfaen"/>
                        <w:smallCaps/>
                        <w:color w:val="000000"/>
                        <w:sz w:val="24"/>
                        <w:szCs w:val="24"/>
                      </w:rPr>
                      <m:t>-</m:t>
                    </m:r>
                    <m:sSub>
                      <m:sSubPr>
                        <m:ctrlPr>
                          <w:rPr>
                            <w:rFonts w:ascii="Cambria Math" w:hAnsi="Cambria Math" w:cs="Sylfaen"/>
                            <w:i/>
                            <w:smallCaps/>
                            <w:color w:val="000000"/>
                            <w:sz w:val="24"/>
                            <w:szCs w:val="24"/>
                          </w:rPr>
                        </m:ctrlPr>
                      </m:sSubPr>
                      <m:e>
                        <m:r>
                          <w:rPr>
                            <w:rFonts w:ascii="Cambria Math" w:hAnsi="Cambria Math" w:cs="Sylfaen"/>
                            <w:smallCaps/>
                            <w:color w:val="000000"/>
                            <w:sz w:val="24"/>
                            <w:szCs w:val="24"/>
                          </w:rPr>
                          <m:t>x</m:t>
                        </m:r>
                      </m:e>
                      <m:sub>
                        <m:r>
                          <w:rPr>
                            <w:rFonts w:ascii="Cambria Math" w:hAnsi="Cambria Math" w:cs="Sylfaen"/>
                            <w:smallCaps/>
                            <w:color w:val="000000"/>
                            <w:sz w:val="24"/>
                            <w:szCs w:val="24"/>
                          </w:rPr>
                          <m:t>i</m:t>
                        </m:r>
                      </m:sub>
                    </m:sSub>
                  </m:e>
                </m:d>
              </m:num>
              <m:den>
                <m:sSub>
                  <m:sSubPr>
                    <m:ctrlPr>
                      <w:rPr>
                        <w:rFonts w:ascii="Cambria Math" w:hAnsi="Cambria Math" w:cs="Sylfaen"/>
                        <w:i/>
                        <w:smallCaps/>
                        <w:color w:val="000000"/>
                        <w:sz w:val="24"/>
                        <w:szCs w:val="24"/>
                      </w:rPr>
                    </m:ctrlPr>
                  </m:sSubPr>
                  <m:e>
                    <m:r>
                      <w:rPr>
                        <w:rFonts w:ascii="Cambria Math" w:hAnsi="Cambria Math" w:cs="Sylfaen"/>
                        <w:smallCaps/>
                        <w:color w:val="000000"/>
                        <w:sz w:val="24"/>
                        <w:szCs w:val="24"/>
                      </w:rPr>
                      <m:t>x</m:t>
                    </m:r>
                  </m:e>
                  <m:sub>
                    <m:r>
                      <w:rPr>
                        <w:rFonts w:ascii="Cambria Math" w:hAnsi="Cambria Math" w:cs="Sylfaen"/>
                        <w:smallCaps/>
                        <w:color w:val="000000"/>
                        <w:sz w:val="24"/>
                        <w:szCs w:val="24"/>
                      </w:rPr>
                      <m:t>i</m:t>
                    </m:r>
                  </m:sub>
                </m:sSub>
              </m:den>
            </m:f>
          </m:e>
        </m:d>
        <m:r>
          <w:rPr>
            <w:rFonts w:ascii="Cambria Math" w:hAnsi="Cambria Math" w:cs="Sylfaen"/>
            <w:smallCaps/>
            <w:color w:val="000000"/>
            <w:sz w:val="24"/>
            <w:szCs w:val="24"/>
          </w:rPr>
          <m:t>*100%</m:t>
        </m:r>
      </m:oMath>
      <w:r w:rsidRPr="00B834A2">
        <w:rPr>
          <w:rFonts w:ascii="Sylfaen" w:hAnsi="Sylfaen"/>
          <w:color w:val="000000"/>
          <w:sz w:val="24"/>
          <w:szCs w:val="24"/>
        </w:rPr>
        <w:t>.</w:t>
      </w:r>
      <w:r w:rsidR="004F5242" w:rsidRPr="002E52D1">
        <w:rPr>
          <w:rFonts w:ascii="Sylfaen" w:hAnsi="Sylfaen"/>
          <w:color w:val="000000"/>
          <w:sz w:val="24"/>
          <w:szCs w:val="24"/>
        </w:rPr>
        <w:tab/>
      </w:r>
      <w:r w:rsidRPr="00B834A2">
        <w:rPr>
          <w:rFonts w:ascii="Sylfaen" w:hAnsi="Sylfaen"/>
          <w:color w:val="000000"/>
          <w:sz w:val="24"/>
          <w:szCs w:val="24"/>
        </w:rPr>
        <w:t>(1.356):</w:t>
      </w:r>
    </w:p>
    <w:p w14:paraId="73150715" w14:textId="77777777" w:rsidR="00B834A2" w:rsidRPr="00B834A2" w:rsidRDefault="00B834A2" w:rsidP="00CC0C6B">
      <w:pPr>
        <w:pStyle w:val="a0"/>
        <w:shd w:val="clear" w:color="auto" w:fill="auto"/>
        <w:tabs>
          <w:tab w:val="left" w:pos="1276"/>
        </w:tabs>
        <w:spacing w:after="160" w:line="360" w:lineRule="auto"/>
        <w:ind w:firstLine="567"/>
        <w:jc w:val="both"/>
        <w:rPr>
          <w:rFonts w:ascii="Sylfaen" w:hAnsi="Sylfaen" w:cs="Sylfaen"/>
          <w:sz w:val="24"/>
          <w:szCs w:val="24"/>
        </w:rPr>
      </w:pPr>
      <w:r w:rsidRPr="00B834A2">
        <w:rPr>
          <w:rFonts w:ascii="Sylfaen" w:hAnsi="Sylfaen"/>
          <w:i/>
          <w:color w:val="000000"/>
          <w:sz w:val="24"/>
          <w:szCs w:val="24"/>
        </w:rPr>
        <w:t>1.5.1.</w:t>
      </w:r>
      <w:r w:rsidR="00CC0C6B" w:rsidRPr="00A859E3">
        <w:rPr>
          <w:rFonts w:ascii="Sylfaen" w:hAnsi="Sylfaen"/>
          <w:i/>
          <w:color w:val="000000"/>
          <w:sz w:val="24"/>
          <w:szCs w:val="24"/>
        </w:rPr>
        <w:tab/>
      </w:r>
      <w:r w:rsidRPr="00B834A2">
        <w:rPr>
          <w:rFonts w:ascii="Sylfaen" w:hAnsi="Sylfaen"/>
          <w:i/>
          <w:color w:val="000000"/>
          <w:sz w:val="24"/>
          <w:szCs w:val="24"/>
        </w:rPr>
        <w:t xml:space="preserve">Միակողմ </w:t>
      </w:r>
      <w:r>
        <w:rPr>
          <w:rFonts w:ascii="Sylfaen" w:hAnsi="Sylfaen"/>
          <w:i/>
          <w:color w:val="000000"/>
          <w:sz w:val="24"/>
          <w:szCs w:val="24"/>
        </w:rPr>
        <w:t>եւ</w:t>
      </w:r>
      <w:r w:rsidRPr="00B834A2">
        <w:rPr>
          <w:rFonts w:ascii="Sylfaen" w:hAnsi="Sylfaen"/>
          <w:i/>
          <w:color w:val="000000"/>
          <w:sz w:val="24"/>
          <w:szCs w:val="24"/>
        </w:rPr>
        <w:t xml:space="preserve"> երկկողմ վստահելի միջակայքեր</w:t>
      </w:r>
    </w:p>
    <w:p w14:paraId="08BD982F" w14:textId="77777777" w:rsidR="00B834A2" w:rsidRPr="00B834A2" w:rsidRDefault="004F5242" w:rsidP="004F5242">
      <w:pPr>
        <w:pStyle w:val="a0"/>
        <w:shd w:val="clear" w:color="auto" w:fill="auto"/>
        <w:spacing w:after="160" w:line="360" w:lineRule="auto"/>
        <w:ind w:firstLine="567"/>
        <w:jc w:val="both"/>
        <w:rPr>
          <w:rFonts w:ascii="Sylfaen" w:hAnsi="Sylfaen" w:cs="Sylfaen"/>
          <w:sz w:val="24"/>
          <w:szCs w:val="24"/>
        </w:rPr>
      </w:pPr>
      <w:r>
        <w:rPr>
          <w:rFonts w:ascii="Sylfaen" w:hAnsi="Sylfaen"/>
          <w:color w:val="000000"/>
          <w:sz w:val="24"/>
          <w:szCs w:val="24"/>
        </w:rPr>
        <w:t>(1.21)-</w:t>
      </w:r>
      <w:r w:rsidR="00B834A2" w:rsidRPr="00B834A2">
        <w:rPr>
          <w:rFonts w:ascii="Sylfaen" w:hAnsi="Sylfaen"/>
          <w:color w:val="000000"/>
          <w:sz w:val="24"/>
          <w:szCs w:val="24"/>
        </w:rPr>
        <w:t xml:space="preserve">(1.35) արտահայտությունները բնութագրում են այսպես կոչված «երկկողմ» վստահելի միջակայքերը: Դրանք հիմնված են երկկողմ </w:t>
      </w:r>
      <w:r w:rsidR="00B834A2" w:rsidRPr="00B834A2">
        <w:rPr>
          <w:rFonts w:ascii="Sylfaen" w:hAnsi="Sylfaen"/>
          <w:i/>
          <w:color w:val="000000"/>
          <w:sz w:val="24"/>
          <w:szCs w:val="24"/>
        </w:rPr>
        <w:t>t</w:t>
      </w:r>
      <w:r w:rsidR="00B834A2" w:rsidRPr="00B834A2">
        <w:rPr>
          <w:rFonts w:ascii="Sylfaen" w:hAnsi="Sylfaen"/>
          <w:color w:val="000000"/>
          <w:sz w:val="24"/>
          <w:szCs w:val="24"/>
        </w:rPr>
        <w:t xml:space="preserve">-բաշխման վրա </w:t>
      </w:r>
      <w:r w:rsidR="00B834A2">
        <w:rPr>
          <w:rFonts w:ascii="Sylfaen" w:hAnsi="Sylfaen"/>
          <w:color w:val="000000"/>
          <w:sz w:val="24"/>
          <w:szCs w:val="24"/>
        </w:rPr>
        <w:t>եւ</w:t>
      </w:r>
      <w:r w:rsidR="00B834A2" w:rsidRPr="00B834A2">
        <w:rPr>
          <w:rFonts w:ascii="Sylfaen" w:hAnsi="Sylfaen"/>
          <w:color w:val="000000"/>
          <w:sz w:val="24"/>
          <w:szCs w:val="24"/>
        </w:rPr>
        <w:t xml:space="preserve"> լայնորեն կիրառվում են մեթոդիկաների ճշտության </w:t>
      </w:r>
      <w:r w:rsidR="00B834A2">
        <w:rPr>
          <w:rFonts w:ascii="Sylfaen" w:hAnsi="Sylfaen"/>
          <w:color w:val="000000"/>
          <w:sz w:val="24"/>
          <w:szCs w:val="24"/>
        </w:rPr>
        <w:t>եւ</w:t>
      </w:r>
      <w:r w:rsidR="00B834A2" w:rsidRPr="00B834A2">
        <w:rPr>
          <w:rFonts w:ascii="Sylfaen" w:hAnsi="Sylfaen"/>
          <w:color w:val="000000"/>
          <w:sz w:val="24"/>
          <w:szCs w:val="24"/>
        </w:rPr>
        <w:t xml:space="preserve"> ճշգրտության գնահատման </w:t>
      </w:r>
      <w:r w:rsidR="00B834A2">
        <w:rPr>
          <w:rFonts w:ascii="Sylfaen" w:hAnsi="Sylfaen"/>
          <w:color w:val="000000"/>
          <w:sz w:val="24"/>
          <w:szCs w:val="24"/>
        </w:rPr>
        <w:t>եւ</w:t>
      </w:r>
      <w:r w:rsidR="00B834A2" w:rsidRPr="00B834A2">
        <w:rPr>
          <w:rFonts w:ascii="Sylfaen" w:hAnsi="Sylfaen"/>
          <w:color w:val="000000"/>
          <w:sz w:val="24"/>
          <w:szCs w:val="24"/>
        </w:rPr>
        <w:t xml:space="preserve"> արդյունքների ներկայացման ժամանակ: Միաժամանակ որոշ </w:t>
      </w:r>
      <w:r w:rsidR="00B834A2" w:rsidRPr="00B834A2">
        <w:rPr>
          <w:rFonts w:ascii="Sylfaen" w:hAnsi="Sylfaen"/>
          <w:color w:val="000000"/>
          <w:sz w:val="24"/>
          <w:szCs w:val="24"/>
        </w:rPr>
        <w:lastRenderedPageBreak/>
        <w:t>խնդիրներ լուծելիս, օրինակ՝ պատրաստի արտադրանքի հսկողության ժամանակ, մասնավորապես՝ դեղամիջոցների որակի հսկողության ժամանակ հաճախ առաջանում է այսպես կոչված «միակողմ» վստահելի միջակայքերի օգտագործման անհրաժեշտություն: Օրինակ՝ որ</w:t>
      </w:r>
      <w:r w:rsidR="00B834A2">
        <w:rPr>
          <w:rFonts w:ascii="Sylfaen" w:hAnsi="Sylfaen"/>
          <w:color w:val="000000"/>
          <w:sz w:val="24"/>
          <w:szCs w:val="24"/>
        </w:rPr>
        <w:t>եւ</w:t>
      </w:r>
      <w:r w:rsidR="00B834A2" w:rsidRPr="00B834A2">
        <w:rPr>
          <w:rFonts w:ascii="Sylfaen" w:hAnsi="Sylfaen"/>
          <w:color w:val="000000"/>
          <w:sz w:val="24"/>
          <w:szCs w:val="24"/>
        </w:rPr>
        <w:t>է դեղապատրաստուկի համար ազդող նյութի քանակական պարունակության թույլտվածքները սահմանված են անվանականից 90 %-ից մինչ</w:t>
      </w:r>
      <w:r w:rsidR="00B834A2">
        <w:rPr>
          <w:rFonts w:ascii="Sylfaen" w:hAnsi="Sylfaen"/>
          <w:color w:val="000000"/>
          <w:sz w:val="24"/>
          <w:szCs w:val="24"/>
        </w:rPr>
        <w:t>եւ</w:t>
      </w:r>
      <w:r w:rsidR="00B834A2" w:rsidRPr="00B834A2">
        <w:rPr>
          <w:rFonts w:ascii="Sylfaen" w:hAnsi="Sylfaen"/>
          <w:color w:val="000000"/>
          <w:sz w:val="24"/>
          <w:szCs w:val="24"/>
        </w:rPr>
        <w:t xml:space="preserve"> 110 %: Անալիզի ընթացքում ստացվել է անվանական արժեքի </w:t>
      </w:r>
      <w:r w:rsidR="00B834A2" w:rsidRPr="00B834A2">
        <w:rPr>
          <w:rFonts w:ascii="Sylfaen" w:hAnsi="Sylfaen"/>
          <w:i/>
          <w:color w:val="000000"/>
          <w:sz w:val="24"/>
          <w:szCs w:val="24"/>
        </w:rPr>
        <w:t>¯х</w:t>
      </w:r>
      <w:r w:rsidR="00B834A2" w:rsidRPr="00B834A2">
        <w:rPr>
          <w:rFonts w:ascii="Sylfaen" w:hAnsi="Sylfaen"/>
          <w:b/>
          <w:color w:val="000000"/>
          <w:sz w:val="24"/>
          <w:szCs w:val="24"/>
        </w:rPr>
        <w:t xml:space="preserve"> </w:t>
      </w:r>
      <w:r w:rsidR="00B834A2" w:rsidRPr="00B834A2">
        <w:rPr>
          <w:rFonts w:ascii="Sylfaen" w:hAnsi="Sylfaen"/>
          <w:color w:val="000000"/>
          <w:sz w:val="24"/>
          <w:szCs w:val="24"/>
        </w:rPr>
        <w:t>= 94 % պարունակության միջին արժեք: Անհրաժեշտ է որոշել՝ արդյոք վստահելի միջակայքը դուրս չի գալիս (90-110) % պարունակության թույլտվածքներից:</w:t>
      </w:r>
      <w:r w:rsidR="00B834A2">
        <w:rPr>
          <w:rFonts w:ascii="Sylfaen" w:hAnsi="Sylfaen"/>
          <w:color w:val="000000"/>
          <w:sz w:val="24"/>
          <w:szCs w:val="24"/>
        </w:rPr>
        <w:t xml:space="preserve"> </w:t>
      </w:r>
      <w:r w:rsidR="00B834A2" w:rsidRPr="00B834A2">
        <w:rPr>
          <w:rFonts w:ascii="Sylfaen" w:hAnsi="Sylfaen"/>
          <w:color w:val="000000"/>
          <w:sz w:val="24"/>
          <w:szCs w:val="24"/>
        </w:rPr>
        <w:t>Ակնհայտ է, որ տվյալ դեպքում այդ վստահելի միջակայքը կարող է դուրս գալ միայն ստորին թույլտվածքի (90 %), սակայն ոչ միաժամանակ վերինի (110 %) սահմաններից:</w:t>
      </w:r>
      <w:r w:rsidR="00B834A2">
        <w:rPr>
          <w:rFonts w:ascii="Sylfaen" w:hAnsi="Sylfaen"/>
          <w:color w:val="000000"/>
          <w:sz w:val="24"/>
          <w:szCs w:val="24"/>
        </w:rPr>
        <w:t xml:space="preserve"> </w:t>
      </w:r>
      <w:r w:rsidR="00B834A2" w:rsidRPr="00B834A2">
        <w:rPr>
          <w:rFonts w:ascii="Sylfaen" w:hAnsi="Sylfaen"/>
          <w:color w:val="000000"/>
          <w:sz w:val="24"/>
          <w:szCs w:val="24"/>
        </w:rPr>
        <w:t xml:space="preserve">Վերին թույլտվածքի սահմաններից դուրս </w:t>
      </w:r>
      <m:oMath>
        <m:r>
          <w:rPr>
            <w:rFonts w:ascii="Cambria Math" w:hAnsi="Cambria Math" w:cs="Sylfaen"/>
            <w:color w:val="000000"/>
            <w:sz w:val="24"/>
            <w:szCs w:val="24"/>
          </w:rPr>
          <m:t>μ</m:t>
        </m:r>
      </m:oMath>
      <w:r w:rsidR="00B834A2">
        <w:rPr>
          <w:rFonts w:ascii="Sylfaen" w:hAnsi="Sylfaen"/>
          <w:color w:val="000000"/>
          <w:sz w:val="24"/>
          <w:szCs w:val="24"/>
        </w:rPr>
        <w:t xml:space="preserve"> </w:t>
      </w:r>
      <w:r w:rsidR="00B834A2" w:rsidRPr="00B834A2">
        <w:rPr>
          <w:rFonts w:ascii="Sylfaen" w:hAnsi="Sylfaen"/>
          <w:color w:val="000000"/>
          <w:sz w:val="24"/>
          <w:szCs w:val="24"/>
        </w:rPr>
        <w:t>իսկական մեծությունից դուրս գալու հնարավորության մասին հարցը չի դիտարկվում՝ կապված դրա ծայրահեղ ցածր հավանականության հետ: Այպիսով, µ իսկական արժեքը գտնվում</w:t>
      </w:r>
      <w:r w:rsidR="00CC0C6B" w:rsidRPr="00CC0C6B">
        <w:rPr>
          <w:rFonts w:ascii="Sylfaen" w:hAnsi="Sylfaen"/>
          <w:color w:val="000000"/>
          <w:sz w:val="24"/>
          <w:szCs w:val="24"/>
        </w:rPr>
        <w:t> </w:t>
      </w:r>
      <w:r w:rsidR="00B834A2" w:rsidRPr="00B834A2">
        <w:rPr>
          <w:rFonts w:ascii="Sylfaen" w:hAnsi="Sylfaen"/>
          <w:color w:val="000000"/>
          <w:sz w:val="24"/>
          <w:szCs w:val="24"/>
        </w:rPr>
        <w:t>է հետ</w:t>
      </w:r>
      <w:r w:rsidR="00B834A2">
        <w:rPr>
          <w:rFonts w:ascii="Sylfaen" w:hAnsi="Sylfaen"/>
          <w:color w:val="000000"/>
          <w:sz w:val="24"/>
          <w:szCs w:val="24"/>
        </w:rPr>
        <w:t>եւ</w:t>
      </w:r>
      <w:r w:rsidR="00B834A2" w:rsidRPr="00B834A2">
        <w:rPr>
          <w:rFonts w:ascii="Sylfaen" w:hAnsi="Sylfaen"/>
          <w:color w:val="000000"/>
          <w:sz w:val="24"/>
          <w:szCs w:val="24"/>
        </w:rPr>
        <w:t>յալ միջակայքում.</w:t>
      </w:r>
    </w:p>
    <w:p w14:paraId="6C83F7BF"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color w:val="000000"/>
          <w:sz w:val="24"/>
          <w:szCs w:val="24"/>
        </w:rPr>
        <w:t>(¯x-</w:t>
      </w:r>
      <m:oMath>
        <m:r>
          <w:rPr>
            <w:rFonts w:ascii="Cambria Math" w:hAnsi="Cambria Math" w:cs="Sylfaen"/>
            <w:color w:val="000000"/>
            <w:sz w:val="24"/>
            <w:szCs w:val="24"/>
          </w:rPr>
          <m:t>∆¯x)≤μ≤∞</m:t>
        </m:r>
      </m:oMath>
      <w:r w:rsidRPr="00B834A2">
        <w:rPr>
          <w:rFonts w:ascii="Sylfaen" w:hAnsi="Sylfaen"/>
          <w:sz w:val="24"/>
          <w:szCs w:val="24"/>
        </w:rPr>
        <w:t xml:space="preserve"> </w:t>
      </w:r>
      <w:r w:rsidR="004F5242" w:rsidRPr="002E52D1">
        <w:rPr>
          <w:rFonts w:ascii="Sylfaen" w:hAnsi="Sylfaen"/>
          <w:sz w:val="24"/>
          <w:szCs w:val="24"/>
        </w:rPr>
        <w:tab/>
      </w:r>
      <w:r w:rsidRPr="00B834A2">
        <w:rPr>
          <w:rFonts w:ascii="Sylfaen" w:hAnsi="Sylfaen"/>
          <w:color w:val="000000"/>
          <w:sz w:val="24"/>
          <w:szCs w:val="24"/>
        </w:rPr>
        <w:t>(1.36ա)</w:t>
      </w:r>
    </w:p>
    <w:p w14:paraId="1DC44ED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Համանման արտահայտությունը կարելի է գրի առնել այն դեպքի համար, երբ </w:t>
      </w:r>
      <w:r w:rsidRPr="00B834A2">
        <w:rPr>
          <w:rFonts w:ascii="Sylfaen" w:hAnsi="Sylfaen"/>
          <w:i/>
          <w:color w:val="000000"/>
          <w:sz w:val="24"/>
          <w:szCs w:val="24"/>
        </w:rPr>
        <w:t>¯х-ը</w:t>
      </w:r>
      <w:r w:rsidRPr="00B834A2">
        <w:rPr>
          <w:rFonts w:ascii="Sylfaen" w:hAnsi="Sylfaen"/>
          <w:color w:val="000000"/>
          <w:sz w:val="24"/>
          <w:szCs w:val="24"/>
        </w:rPr>
        <w:t xml:space="preserve"> գերազանցում է 100 % (օրինակ՝ </w:t>
      </w:r>
      <w:r w:rsidRPr="00B834A2">
        <w:rPr>
          <w:rFonts w:ascii="Sylfaen" w:hAnsi="Sylfaen"/>
          <w:i/>
          <w:color w:val="000000"/>
          <w:sz w:val="24"/>
          <w:szCs w:val="24"/>
        </w:rPr>
        <w:t>¯х</w:t>
      </w:r>
      <w:r w:rsidRPr="00B834A2">
        <w:rPr>
          <w:rFonts w:ascii="Sylfaen" w:hAnsi="Sylfaen"/>
          <w:color w:val="000000"/>
          <w:sz w:val="24"/>
          <w:szCs w:val="24"/>
        </w:rPr>
        <w:t xml:space="preserve"> = 105 %).</w:t>
      </w:r>
    </w:p>
    <w:p w14:paraId="0F10D8FC" w14:textId="77777777" w:rsidR="00B834A2" w:rsidRPr="00B834A2" w:rsidRDefault="00B834A2" w:rsidP="004F5242">
      <w:pPr>
        <w:tabs>
          <w:tab w:val="left" w:pos="4253"/>
        </w:tabs>
        <w:spacing w:after="160" w:line="360" w:lineRule="auto"/>
        <w:ind w:firstLine="567"/>
        <w:jc w:val="center"/>
      </w:pPr>
      <m:oMath>
        <m:r>
          <w:rPr>
            <w:rFonts w:ascii="Cambria Math" w:hAnsi="Cambria Math"/>
          </w:rPr>
          <m:t>-∞≤μ≤</m:t>
        </m:r>
        <m:d>
          <m:dPr>
            <m:ctrlPr>
              <w:rPr>
                <w:rFonts w:ascii="Cambria Math" w:hAnsi="Cambria Math"/>
                <w:i/>
              </w:rPr>
            </m:ctrlPr>
          </m:dPr>
          <m:e>
            <m:bar>
              <m:barPr>
                <m:pos m:val="top"/>
                <m:ctrlPr>
                  <w:rPr>
                    <w:rFonts w:ascii="Cambria Math" w:hAnsi="Cambria Math"/>
                    <w:i/>
                  </w:rPr>
                </m:ctrlPr>
              </m:barPr>
              <m:e>
                <m:r>
                  <w:rPr>
                    <w:rFonts w:ascii="Cambria Math" w:hAnsi="Cambria Math"/>
                  </w:rPr>
                  <m:t>x</m:t>
                </m:r>
              </m:e>
            </m:bar>
            <m:r>
              <w:rPr>
                <w:rFonts w:ascii="Cambria Math" w:hAnsi="Cambria Math"/>
              </w:rPr>
              <m:t>+∆</m:t>
            </m:r>
            <m:bar>
              <m:barPr>
                <m:pos m:val="top"/>
                <m:ctrlPr>
                  <w:rPr>
                    <w:rFonts w:ascii="Cambria Math" w:hAnsi="Cambria Math"/>
                    <w:i/>
                  </w:rPr>
                </m:ctrlPr>
              </m:barPr>
              <m:e>
                <m:r>
                  <w:rPr>
                    <w:rFonts w:ascii="Cambria Math" w:hAnsi="Cambria Math"/>
                  </w:rPr>
                  <m:t>x</m:t>
                </m:r>
              </m:e>
            </m:bar>
          </m:e>
        </m:d>
        <m:r>
          <w:rPr>
            <w:rFonts w:ascii="Cambria Math" w:hAnsi="Cambria Math"/>
          </w:rPr>
          <m:t xml:space="preserve"> </m:t>
        </m:r>
      </m:oMath>
      <w:r w:rsidR="004F5242" w:rsidRPr="004F5242">
        <w:tab/>
      </w:r>
      <w:r w:rsidR="004F5242" w:rsidRPr="00B834A2">
        <w:t>(</w:t>
      </w:r>
      <w:r w:rsidRPr="00B834A2">
        <w:t>1.36բ)</w:t>
      </w:r>
    </w:p>
    <w:p w14:paraId="1460F758" w14:textId="77777777" w:rsidR="00184198" w:rsidRPr="00D35F34" w:rsidRDefault="00184198" w:rsidP="00B834A2">
      <w:pPr>
        <w:pStyle w:val="a0"/>
        <w:shd w:val="clear" w:color="auto" w:fill="auto"/>
        <w:spacing w:after="160" w:line="360" w:lineRule="auto"/>
        <w:ind w:firstLine="567"/>
        <w:jc w:val="both"/>
        <w:rPr>
          <w:rFonts w:ascii="Sylfaen" w:hAnsi="Sylfaen"/>
          <w:color w:val="000000"/>
          <w:sz w:val="24"/>
          <w:szCs w:val="24"/>
        </w:rPr>
      </w:pPr>
    </w:p>
    <w:p w14:paraId="66FD9C7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(1.36ա) </w:t>
      </w:r>
      <w:r>
        <w:rPr>
          <w:rFonts w:ascii="Sylfaen" w:hAnsi="Sylfaen"/>
          <w:color w:val="000000"/>
          <w:sz w:val="24"/>
          <w:szCs w:val="24"/>
        </w:rPr>
        <w:t>եւ</w:t>
      </w:r>
      <w:r w:rsidRPr="00B834A2">
        <w:rPr>
          <w:rFonts w:ascii="Sylfaen" w:hAnsi="Sylfaen"/>
          <w:color w:val="000000"/>
          <w:sz w:val="24"/>
          <w:szCs w:val="24"/>
        </w:rPr>
        <w:t xml:space="preserve"> (1.36բ) արտահայտությունները բնութագրում են միակողմ վստահելի միջակայքերը, քանի որ µ մեծությունը դրանցով սահմանափակվում է միայն մեկ կողմից:</w:t>
      </w:r>
      <w:r>
        <w:rPr>
          <w:rFonts w:ascii="Sylfaen" w:hAnsi="Sylfaen"/>
          <w:color w:val="000000"/>
          <w:sz w:val="24"/>
          <w:szCs w:val="24"/>
        </w:rPr>
        <w:t xml:space="preserve"> </w:t>
      </w:r>
      <w:r w:rsidRPr="00B834A2">
        <w:rPr>
          <w:rFonts w:ascii="Sylfaen" w:hAnsi="Sylfaen"/>
          <w:color w:val="000000"/>
          <w:sz w:val="24"/>
          <w:szCs w:val="24"/>
        </w:rPr>
        <w:t>Դա տարբերում է դրանք (1.21) արտահայտությունից, որտեղ µ սահմանափակվում է երկու կողմից:</w:t>
      </w:r>
    </w:p>
    <w:p w14:paraId="2A69907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Գոյություն ունի Ստյուդենտի երկկողմ (Р</w:t>
      </w:r>
      <w:r w:rsidRPr="00B834A2">
        <w:rPr>
          <w:rFonts w:ascii="Sylfaen" w:hAnsi="Sylfaen"/>
          <w:color w:val="000000"/>
          <w:sz w:val="24"/>
          <w:szCs w:val="24"/>
          <w:vertAlign w:val="subscript"/>
        </w:rPr>
        <w:t>2</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միակողմ (Р</w:t>
      </w:r>
      <w:r w:rsidRPr="00B834A2">
        <w:rPr>
          <w:rFonts w:ascii="Sylfaen" w:hAnsi="Sylfaen"/>
          <w:color w:val="000000"/>
          <w:sz w:val="24"/>
          <w:szCs w:val="24"/>
          <w:vertAlign w:val="subscript"/>
        </w:rPr>
        <w:t>1</w:t>
      </w:r>
      <w:r w:rsidRPr="00B834A2">
        <w:rPr>
          <w:rFonts w:ascii="Sylfaen" w:hAnsi="Sylfaen"/>
          <w:color w:val="000000"/>
          <w:sz w:val="24"/>
          <w:szCs w:val="24"/>
        </w:rPr>
        <w:t>) չափորոշիչների միջ</w:t>
      </w:r>
      <w:r>
        <w:rPr>
          <w:rFonts w:ascii="Sylfaen" w:hAnsi="Sylfaen"/>
          <w:color w:val="000000"/>
          <w:sz w:val="24"/>
          <w:szCs w:val="24"/>
        </w:rPr>
        <w:t>եւ</w:t>
      </w:r>
      <w:r w:rsidRPr="00B834A2">
        <w:rPr>
          <w:rFonts w:ascii="Sylfaen" w:hAnsi="Sylfaen"/>
          <w:color w:val="000000"/>
          <w:sz w:val="24"/>
          <w:szCs w:val="24"/>
        </w:rPr>
        <w:t xml:space="preserve"> հետ</w:t>
      </w:r>
      <w:r>
        <w:rPr>
          <w:rFonts w:ascii="Sylfaen" w:hAnsi="Sylfaen"/>
          <w:color w:val="000000"/>
          <w:sz w:val="24"/>
          <w:szCs w:val="24"/>
        </w:rPr>
        <w:t>եւ</w:t>
      </w:r>
      <w:r w:rsidRPr="00B834A2">
        <w:rPr>
          <w:rFonts w:ascii="Sylfaen" w:hAnsi="Sylfaen"/>
          <w:color w:val="000000"/>
          <w:sz w:val="24"/>
          <w:szCs w:val="24"/>
        </w:rPr>
        <w:t>յալ հարաբերակցությունը.</w:t>
      </w:r>
    </w:p>
    <w:p w14:paraId="2ED75D3A"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t</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2</m:t>
                </m:r>
              </m:sub>
            </m:sSub>
            <m:r>
              <w:rPr>
                <w:rFonts w:ascii="Cambria Math" w:hAnsi="Cambria Math" w:cs="Sylfaen"/>
                <w:color w:val="000000"/>
                <w:sz w:val="24"/>
                <w:szCs w:val="24"/>
              </w:rPr>
              <m:t>f</m:t>
            </m:r>
          </m:e>
        </m:d>
        <m:r>
          <w:rPr>
            <w:rFonts w:ascii="Cambria Math" w:hAnsi="Cambria Math" w:cs="Sylfaen"/>
            <w:color w:val="000000"/>
            <w:sz w:val="24"/>
            <w:szCs w:val="24"/>
          </w:rPr>
          <m:t>=t</m:t>
        </m:r>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2</m:t>
            </m:r>
            <m:sSub>
              <m:sSubPr>
                <m:ctrlPr>
                  <w:rPr>
                    <w:rFonts w:ascii="Cambria Math" w:hAnsi="Cambria Math" w:cs="Sylfaen"/>
                    <w:i/>
                    <w:color w:val="000000"/>
                    <w:sz w:val="24"/>
                    <w:szCs w:val="24"/>
                  </w:rPr>
                </m:ctrlPr>
              </m:sSubPr>
              <m:e>
                <m:r>
                  <w:rPr>
                    <w:rFonts w:ascii="Cambria Math" w:hAnsi="Cambria Math" w:cs="Sylfaen"/>
                    <w:color w:val="000000"/>
                    <w:sz w:val="24"/>
                    <w:szCs w:val="24"/>
                  </w:rPr>
                  <m:t>P</m:t>
                </m:r>
              </m:e>
              <m:sub>
                <m:r>
                  <w:rPr>
                    <w:rFonts w:ascii="Cambria Math" w:hAnsi="Cambria Math" w:cs="Sylfaen"/>
                    <w:color w:val="000000"/>
                    <w:sz w:val="24"/>
                    <w:szCs w:val="24"/>
                  </w:rPr>
                  <m:t>1</m:t>
                </m:r>
              </m:sub>
            </m:sSub>
            <m:r>
              <w:rPr>
                <w:rFonts w:ascii="Cambria Math" w:hAnsi="Cambria Math" w:cs="Sylfaen"/>
                <w:color w:val="000000"/>
                <w:sz w:val="24"/>
                <w:szCs w:val="24"/>
              </w:rPr>
              <m:t>-1)f</m:t>
            </m:r>
          </m:e>
        </m:d>
      </m:oMath>
      <w:r w:rsidRPr="00B834A2">
        <w:rPr>
          <w:rFonts w:ascii="Sylfaen" w:hAnsi="Sylfaen"/>
          <w:sz w:val="24"/>
          <w:szCs w:val="24"/>
        </w:rPr>
        <w:t xml:space="preserve"> </w:t>
      </w:r>
      <w:r w:rsidR="004F5242" w:rsidRPr="002E52D1">
        <w:rPr>
          <w:rFonts w:ascii="Sylfaen" w:hAnsi="Sylfaen"/>
          <w:sz w:val="24"/>
          <w:szCs w:val="24"/>
        </w:rPr>
        <w:tab/>
      </w:r>
      <w:r w:rsidRPr="00B834A2">
        <w:rPr>
          <w:rFonts w:ascii="Sylfaen" w:hAnsi="Sylfaen"/>
          <w:color w:val="000000"/>
          <w:sz w:val="24"/>
          <w:szCs w:val="24"/>
        </w:rPr>
        <w:t>(1-37)</w:t>
      </w:r>
    </w:p>
    <w:p w14:paraId="17203E8F" w14:textId="77777777" w:rsidR="00184198" w:rsidRPr="00D35F34" w:rsidRDefault="00184198" w:rsidP="00B834A2">
      <w:pPr>
        <w:pStyle w:val="a0"/>
        <w:shd w:val="clear" w:color="auto" w:fill="auto"/>
        <w:spacing w:after="160" w:line="360" w:lineRule="auto"/>
        <w:ind w:firstLine="567"/>
        <w:jc w:val="both"/>
        <w:rPr>
          <w:rFonts w:ascii="Sylfaen" w:hAnsi="Sylfaen"/>
          <w:color w:val="000000"/>
          <w:sz w:val="24"/>
          <w:szCs w:val="24"/>
        </w:rPr>
      </w:pPr>
    </w:p>
    <w:p w14:paraId="4B0CA82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Մասնավորապես 0,95 (այսինքն՝ 95 %) հավանականության համար Ստյուդենտի միակողմանի չափորոշիչը համընկնում է 0,90 (այսինքն՝ 90 %) Ստյուդենտի երկկողմանի չափորոշչի հետ:</w:t>
      </w:r>
    </w:p>
    <w:p w14:paraId="3F9C90FA" w14:textId="77777777" w:rsidR="00B834A2" w:rsidRPr="002E52D1" w:rsidRDefault="00B834A2" w:rsidP="00B834A2">
      <w:pPr>
        <w:pStyle w:val="a0"/>
        <w:shd w:val="clear" w:color="auto" w:fill="auto"/>
        <w:spacing w:after="160" w:line="360" w:lineRule="auto"/>
        <w:ind w:firstLine="567"/>
        <w:jc w:val="both"/>
        <w:rPr>
          <w:rFonts w:ascii="Sylfaen" w:hAnsi="Sylfaen"/>
          <w:color w:val="000000"/>
          <w:spacing w:val="-4"/>
          <w:sz w:val="24"/>
          <w:szCs w:val="24"/>
        </w:rPr>
      </w:pPr>
      <w:r w:rsidRPr="00B834A2">
        <w:rPr>
          <w:rFonts w:ascii="Sylfaen" w:hAnsi="Sylfaen"/>
          <w:color w:val="000000"/>
          <w:sz w:val="24"/>
          <w:szCs w:val="24"/>
        </w:rPr>
        <w:t xml:space="preserve">Այսպիսով, Р2-ը այն բանի հավանականությունն է, որ գնահատվող մեծության </w:t>
      </w:r>
      <w:r w:rsidRPr="004F5242">
        <w:rPr>
          <w:rFonts w:ascii="Sylfaen" w:hAnsi="Sylfaen"/>
          <w:color w:val="000000"/>
          <w:spacing w:val="-4"/>
          <w:sz w:val="24"/>
          <w:szCs w:val="24"/>
        </w:rPr>
        <w:t>մաթեմատիկական սպասումը (կամ իսկական արժեքը) գտնվում է (1.21) - (1.35) երկկողմ սահմանափակ սահմաններում, իսկ Р1-ը այն բանի հավանականությունն է, որ այն գտնվում է (1.36) - (1.35) միակողմ սահմանափակ սահմաններում: Նույնպես կարող են օգտագործվել (1-Р2) եւ (1 -Р1) նշանակվող մեծությունները, որոնք բնութագրում են այն բանի հավանականությունը, որ գնահատվող մեծության մաթեմատիկական սպասումը (կամ իսկական արժեքը) դուրս է գալիս վերը նշված սահմաններից: Շատ դեպքերում այդ մեծությունները առավել հարմար են:</w:t>
      </w:r>
    </w:p>
    <w:p w14:paraId="74729D5C" w14:textId="77777777" w:rsidR="004F5242" w:rsidRPr="002E52D1" w:rsidRDefault="004F5242" w:rsidP="00B834A2">
      <w:pPr>
        <w:pStyle w:val="a0"/>
        <w:shd w:val="clear" w:color="auto" w:fill="auto"/>
        <w:spacing w:after="160" w:line="360" w:lineRule="auto"/>
        <w:ind w:firstLine="567"/>
        <w:jc w:val="both"/>
        <w:rPr>
          <w:rFonts w:ascii="Sylfaen" w:hAnsi="Sylfaen" w:cs="Sylfaen"/>
          <w:sz w:val="24"/>
          <w:szCs w:val="24"/>
        </w:rPr>
      </w:pPr>
    </w:p>
    <w:p w14:paraId="6C0BCAC1" w14:textId="77777777" w:rsidR="00B834A2" w:rsidRPr="00B834A2" w:rsidRDefault="00B834A2" w:rsidP="004F5242">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1.6.</w:t>
      </w:r>
      <w:r w:rsidR="004F5242" w:rsidRPr="004F5242">
        <w:rPr>
          <w:rFonts w:ascii="Sylfaen" w:hAnsi="Sylfaen"/>
          <w:b/>
          <w:color w:val="000000"/>
          <w:sz w:val="24"/>
          <w:szCs w:val="24"/>
        </w:rPr>
        <w:tab/>
      </w:r>
      <w:r w:rsidRPr="00B834A2">
        <w:rPr>
          <w:rFonts w:ascii="Sylfaen" w:hAnsi="Sylfaen"/>
          <w:b/>
          <w:color w:val="000000"/>
          <w:sz w:val="24"/>
          <w:szCs w:val="24"/>
        </w:rPr>
        <w:t>Նշանակալի կանոնավոր սխալանքի առկայության ստուգում</w:t>
      </w:r>
    </w:p>
    <w:p w14:paraId="1B6E438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m</w:t>
      </w:r>
      <w:r w:rsidRPr="00B834A2">
        <w:rPr>
          <w:rFonts w:ascii="Sylfaen" w:hAnsi="Sylfaen"/>
          <w:color w:val="000000"/>
          <w:sz w:val="24"/>
          <w:szCs w:val="24"/>
        </w:rPr>
        <w:t xml:space="preserve"> ծավալի ընտրանքի համար վիճակագրական նշանակալի սխալանքի առկայության կամ բացակայության մասին հարցի լուծման համար, եթե մեծությունը </w:t>
      </w:r>
      <m:oMath>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μ-¯x</m:t>
            </m:r>
          </m:e>
        </m:d>
        <m:r>
          <w:rPr>
            <w:rFonts w:ascii="Cambria Math" w:hAnsi="Cambria Math" w:cs="Sylfaen"/>
            <w:color w:val="000000"/>
            <w:sz w:val="24"/>
            <w:szCs w:val="24"/>
          </w:rPr>
          <m:t>&gt;0</m:t>
        </m:r>
      </m:oMath>
      <w:r w:rsidRPr="00B834A2">
        <w:rPr>
          <w:rFonts w:ascii="Sylfaen" w:hAnsi="Sylfaen"/>
          <w:color w:val="000000"/>
          <w:sz w:val="24"/>
          <w:szCs w:val="24"/>
        </w:rPr>
        <w:t xml:space="preserve">, ապա օգտագործում են </w:t>
      </w:r>
      <w:r w:rsidRPr="00B834A2">
        <w:rPr>
          <w:rFonts w:ascii="Sylfaen" w:hAnsi="Sylfaen"/>
          <w:i/>
          <w:color w:val="000000"/>
          <w:sz w:val="24"/>
          <w:szCs w:val="24"/>
        </w:rPr>
        <w:t>t</w:t>
      </w:r>
      <w:r w:rsidRPr="00B834A2">
        <w:rPr>
          <w:rFonts w:ascii="Sylfaen" w:hAnsi="Sylfaen"/>
          <w:color w:val="000000"/>
          <w:sz w:val="24"/>
          <w:szCs w:val="24"/>
        </w:rPr>
        <w:t xml:space="preserve"> նշանակվող </w:t>
      </w:r>
      <w:r>
        <w:rPr>
          <w:rFonts w:ascii="Sylfaen" w:hAnsi="Sylfaen"/>
          <w:color w:val="000000"/>
          <w:sz w:val="24"/>
          <w:szCs w:val="24"/>
        </w:rPr>
        <w:t>եւ</w:t>
      </w:r>
      <w:r w:rsidRPr="00B834A2">
        <w:rPr>
          <w:rFonts w:ascii="Sylfaen" w:hAnsi="Sylfaen"/>
          <w:color w:val="000000"/>
          <w:sz w:val="24"/>
          <w:szCs w:val="24"/>
        </w:rPr>
        <w:t xml:space="preserve">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 xml:space="preserve">ով հաշվարկվող Ստյուդենտի չափորոշիչները. </w:t>
      </w:r>
    </w:p>
    <w:p w14:paraId="70215DCB"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t=</m:t>
        </m:r>
        <m:f>
          <m:fPr>
            <m:ctrlPr>
              <w:rPr>
                <w:rFonts w:ascii="Cambria Math" w:hAnsi="Cambria Math" w:cs="Sylfaen"/>
                <w:i/>
                <w:color w:val="000000"/>
                <w:sz w:val="24"/>
                <w:szCs w:val="24"/>
              </w:rPr>
            </m:ctrlPr>
          </m:fPr>
          <m:num>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μ-¯x</m:t>
                </m:r>
              </m:e>
            </m:d>
            <m:rad>
              <m:radPr>
                <m:degHide m:val="1"/>
                <m:ctrlPr>
                  <w:rPr>
                    <w:rFonts w:ascii="Cambria Math" w:hAnsi="Cambria Math" w:cs="Sylfaen"/>
                    <w:i/>
                    <w:color w:val="000000"/>
                    <w:sz w:val="24"/>
                    <w:szCs w:val="24"/>
                  </w:rPr>
                </m:ctrlPr>
              </m:radPr>
              <m:deg/>
              <m:e>
                <m:r>
                  <w:rPr>
                    <w:rFonts w:ascii="Cambria Math" w:hAnsi="Cambria Math" w:cs="Sylfaen"/>
                    <w:color w:val="000000"/>
                    <w:sz w:val="24"/>
                    <w:szCs w:val="24"/>
                  </w:rPr>
                  <m:t>m</m:t>
                </m:r>
              </m:e>
            </m:rad>
          </m:num>
          <m:den>
            <m:r>
              <w:rPr>
                <w:rFonts w:ascii="Cambria Math" w:hAnsi="Cambria Math" w:cs="Sylfaen"/>
                <w:color w:val="000000"/>
                <w:sz w:val="24"/>
                <w:szCs w:val="24"/>
              </w:rPr>
              <m:t>s</m:t>
            </m:r>
          </m:den>
        </m:f>
      </m:oMath>
      <w:r w:rsidR="004F5242" w:rsidRPr="004F5242">
        <w:rPr>
          <w:rFonts w:ascii="Sylfaen" w:hAnsi="Sylfaen"/>
          <w:color w:val="000000"/>
          <w:sz w:val="24"/>
          <w:szCs w:val="24"/>
        </w:rPr>
        <w:tab/>
      </w:r>
      <w:r w:rsidR="004F5242" w:rsidRPr="00B834A2">
        <w:rPr>
          <w:rFonts w:ascii="Sylfaen" w:hAnsi="Sylfaen"/>
          <w:color w:val="000000"/>
          <w:sz w:val="24"/>
          <w:szCs w:val="24"/>
        </w:rPr>
        <w:t>(1.38)</w:t>
      </w:r>
    </w:p>
    <w:p w14:paraId="4B18271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կամ հարաբերական մեծությունների համար՝</w:t>
      </w:r>
    </w:p>
    <w:p w14:paraId="78A05805"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t=</m:t>
        </m:r>
        <m:f>
          <m:fPr>
            <m:ctrlPr>
              <w:rPr>
                <w:rFonts w:ascii="Cambria Math" w:hAnsi="Cambria Math" w:cs="Sylfaen"/>
                <w:i/>
                <w:iCs/>
                <w:color w:val="000000"/>
                <w:sz w:val="24"/>
                <w:szCs w:val="24"/>
              </w:rPr>
            </m:ctrlPr>
          </m:fPr>
          <m:num>
            <m:d>
              <m:dPr>
                <m:begChr m:val="|"/>
                <m:endChr m:val="|"/>
                <m:ctrlPr>
                  <w:rPr>
                    <w:rFonts w:ascii="Cambria Math" w:hAnsi="Cambria Math" w:cs="Sylfaen"/>
                    <w:i/>
                    <w:iCs/>
                    <w:color w:val="000000"/>
                    <w:sz w:val="24"/>
                    <w:szCs w:val="24"/>
                  </w:rPr>
                </m:ctrlPr>
              </m:dPr>
              <m:e>
                <m:r>
                  <w:rPr>
                    <w:rFonts w:ascii="Cambria Math" w:hAnsi="Cambria Math" w:cs="Sylfaen"/>
                    <w:color w:val="000000"/>
                    <w:sz w:val="24"/>
                    <w:szCs w:val="24"/>
                  </w:rPr>
                  <m:t>1-</m:t>
                </m:r>
                <m:f>
                  <m:fPr>
                    <m:ctrlPr>
                      <w:rPr>
                        <w:rFonts w:ascii="Cambria Math" w:hAnsi="Cambria Math" w:cs="Sylfaen"/>
                        <w:i/>
                        <w:iCs/>
                        <w:color w:val="000000"/>
                        <w:sz w:val="24"/>
                        <w:szCs w:val="24"/>
                      </w:rPr>
                    </m:ctrlPr>
                  </m:fPr>
                  <m:num>
                    <m:r>
                      <w:rPr>
                        <w:rFonts w:ascii="Cambria Math" w:hAnsi="Cambria Math" w:cs="Sylfaen"/>
                        <w:color w:val="000000"/>
                        <w:sz w:val="24"/>
                        <w:szCs w:val="24"/>
                      </w:rPr>
                      <m:t>¯x</m:t>
                    </m:r>
                  </m:num>
                  <m:den>
                    <m:r>
                      <w:rPr>
                        <w:rFonts w:ascii="Cambria Math" w:hAnsi="Cambria Math" w:cs="Sylfaen"/>
                        <w:color w:val="000000"/>
                        <w:sz w:val="24"/>
                        <w:szCs w:val="24"/>
                      </w:rPr>
                      <m:t>μ</m:t>
                    </m:r>
                  </m:den>
                </m:f>
              </m:e>
            </m:d>
            <m:r>
              <w:rPr>
                <w:rFonts w:ascii="Cambria Math" w:hAnsi="Cambria Math" w:cs="Sylfaen"/>
                <w:color w:val="000000"/>
                <w:sz w:val="24"/>
                <w:szCs w:val="24"/>
              </w:rPr>
              <m:t>*</m:t>
            </m:r>
            <m:rad>
              <m:radPr>
                <m:degHide m:val="1"/>
                <m:ctrlPr>
                  <w:rPr>
                    <w:rFonts w:ascii="Cambria Math" w:hAnsi="Cambria Math" w:cs="Sylfaen"/>
                    <w:i/>
                    <w:iCs/>
                    <w:color w:val="000000"/>
                    <w:sz w:val="24"/>
                    <w:szCs w:val="24"/>
                  </w:rPr>
                </m:ctrlPr>
              </m:radPr>
              <m:deg/>
              <m:e>
                <m:r>
                  <w:rPr>
                    <w:rFonts w:ascii="Cambria Math" w:hAnsi="Cambria Math" w:cs="Sylfaen"/>
                    <w:color w:val="000000"/>
                    <w:sz w:val="24"/>
                    <w:szCs w:val="24"/>
                  </w:rPr>
                  <m:t>m</m:t>
                </m:r>
              </m:e>
            </m:rad>
          </m:num>
          <m:den>
            <m:sSub>
              <m:sSubPr>
                <m:ctrlPr>
                  <w:rPr>
                    <w:rFonts w:ascii="Cambria Math" w:hAnsi="Cambria Math" w:cs="Sylfaen"/>
                    <w:i/>
                    <w:iCs/>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r</m:t>
                </m:r>
              </m:sub>
            </m:sSub>
          </m:den>
        </m:f>
      </m:oMath>
      <w:r w:rsidRPr="00B834A2">
        <w:rPr>
          <w:rFonts w:ascii="Sylfaen" w:hAnsi="Sylfaen"/>
          <w:i/>
          <w:color w:val="000000"/>
          <w:sz w:val="24"/>
          <w:szCs w:val="24"/>
        </w:rPr>
        <w:t>.</w:t>
      </w:r>
      <w:r w:rsidR="004F5242" w:rsidRPr="004F5242">
        <w:rPr>
          <w:rFonts w:ascii="Sylfaen" w:hAnsi="Sylfaen"/>
          <w:i/>
          <w:sz w:val="24"/>
          <w:szCs w:val="24"/>
        </w:rPr>
        <w:tab/>
      </w:r>
      <w:r w:rsidRPr="00B834A2">
        <w:rPr>
          <w:rFonts w:ascii="Sylfaen" w:hAnsi="Sylfaen"/>
          <w:color w:val="000000"/>
          <w:sz w:val="24"/>
          <w:szCs w:val="24"/>
        </w:rPr>
        <w:t>(1.38ա)</w:t>
      </w:r>
    </w:p>
    <w:p w14:paraId="3A5DC0A3" w14:textId="77777777" w:rsidR="00184198" w:rsidRPr="00D35F34" w:rsidRDefault="00184198" w:rsidP="00B834A2">
      <w:pPr>
        <w:pStyle w:val="a0"/>
        <w:shd w:val="clear" w:color="auto" w:fill="auto"/>
        <w:spacing w:after="160" w:line="360" w:lineRule="auto"/>
        <w:ind w:firstLine="567"/>
        <w:jc w:val="both"/>
        <w:rPr>
          <w:rFonts w:ascii="Sylfaen" w:hAnsi="Sylfaen"/>
          <w:color w:val="000000"/>
          <w:sz w:val="24"/>
          <w:szCs w:val="24"/>
        </w:rPr>
      </w:pPr>
    </w:p>
    <w:p w14:paraId="39B3FAC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օրինակ՝ </w:t>
      </w:r>
      <w:r w:rsidRPr="00B834A2">
        <w:rPr>
          <w:rFonts w:ascii="Sylfaen" w:hAnsi="Sylfaen"/>
          <w:i/>
          <w:color w:val="000000"/>
          <w:sz w:val="24"/>
          <w:szCs w:val="24"/>
        </w:rPr>
        <w:t>Р = 95</w:t>
      </w:r>
      <w:r w:rsidRPr="00B834A2">
        <w:rPr>
          <w:rFonts w:ascii="Sylfaen" w:hAnsi="Sylfaen"/>
          <w:color w:val="000000"/>
          <w:sz w:val="24"/>
          <w:szCs w:val="24"/>
        </w:rPr>
        <w:t xml:space="preserve"> %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f=m-1-ի դեպքում իրագործվում է հետ</w:t>
      </w:r>
      <w:r>
        <w:rPr>
          <w:rFonts w:ascii="Sylfaen" w:hAnsi="Sylfaen"/>
          <w:i/>
          <w:color w:val="000000"/>
          <w:sz w:val="24"/>
          <w:szCs w:val="24"/>
        </w:rPr>
        <w:t>եւ</w:t>
      </w:r>
      <w:r w:rsidRPr="00B834A2">
        <w:rPr>
          <w:rFonts w:ascii="Sylfaen" w:hAnsi="Sylfaen"/>
          <w:i/>
          <w:color w:val="000000"/>
          <w:sz w:val="24"/>
          <w:szCs w:val="24"/>
        </w:rPr>
        <w:t>յալ հավասարումը՝</w:t>
      </w:r>
    </w:p>
    <w:p w14:paraId="48A80AF8"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color w:val="000000"/>
          <w:sz w:val="24"/>
          <w:szCs w:val="24"/>
        </w:rPr>
      </w:pPr>
      <w:r w:rsidRPr="00B834A2">
        <w:rPr>
          <w:rFonts w:ascii="Sylfaen" w:hAnsi="Sylfaen"/>
          <w:i/>
          <w:color w:val="000000"/>
          <w:sz w:val="24"/>
          <w:szCs w:val="24"/>
        </w:rPr>
        <w:t>t&gt;t(P,f),</w:t>
      </w:r>
      <w:r w:rsidR="004F5242" w:rsidRPr="002E52D1">
        <w:rPr>
          <w:rFonts w:ascii="Sylfaen" w:hAnsi="Sylfaen"/>
          <w:i/>
          <w:color w:val="000000"/>
          <w:sz w:val="24"/>
          <w:szCs w:val="24"/>
        </w:rPr>
        <w:tab/>
      </w:r>
      <w:r w:rsidRPr="00B834A2">
        <w:rPr>
          <w:rFonts w:ascii="Sylfaen" w:hAnsi="Sylfaen"/>
          <w:i/>
          <w:color w:val="000000"/>
          <w:sz w:val="24"/>
          <w:szCs w:val="24"/>
        </w:rPr>
        <w:t>(</w:t>
      </w:r>
      <w:r w:rsidRPr="00B834A2">
        <w:rPr>
          <w:rFonts w:ascii="Sylfaen" w:hAnsi="Sylfaen"/>
          <w:color w:val="000000"/>
          <w:sz w:val="24"/>
          <w:szCs w:val="24"/>
        </w:rPr>
        <w:t>1.39)</w:t>
      </w:r>
    </w:p>
    <w:p w14:paraId="71B996CB" w14:textId="77777777" w:rsidR="00184198" w:rsidRPr="00D35F34" w:rsidRDefault="00184198" w:rsidP="00B834A2">
      <w:pPr>
        <w:pStyle w:val="a0"/>
        <w:shd w:val="clear" w:color="auto" w:fill="auto"/>
        <w:spacing w:after="160" w:line="360" w:lineRule="auto"/>
        <w:ind w:firstLine="567"/>
        <w:jc w:val="both"/>
        <w:rPr>
          <w:rFonts w:ascii="Sylfaen" w:hAnsi="Sylfaen"/>
          <w:color w:val="000000"/>
          <w:sz w:val="24"/>
          <w:szCs w:val="24"/>
        </w:rPr>
      </w:pPr>
    </w:p>
    <w:p w14:paraId="77DAED9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 xml:space="preserve">ապա տվյալ մեթոդիկայով ստացված արդյունքները ծանրաբեռնված են կանոնավոր սխալանքով, որի </w:t>
      </w:r>
      <m:oMath>
        <m:r>
          <w:rPr>
            <w:rFonts w:ascii="Cambria Math" w:hAnsi="Cambria Math" w:cs="Sylfaen"/>
            <w:color w:val="000000"/>
            <w:sz w:val="24"/>
            <w:szCs w:val="24"/>
          </w:rPr>
          <m:t>δ</m:t>
        </m:r>
      </m:oMath>
      <w:r w:rsidRPr="00B834A2">
        <w:rPr>
          <w:rFonts w:ascii="Sylfaen" w:hAnsi="Sylfaen"/>
          <w:color w:val="000000"/>
          <w:sz w:val="24"/>
          <w:szCs w:val="24"/>
        </w:rPr>
        <w:t xml:space="preserve"> հարաբերական մեծությունը կարող է հաշվարկվել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ով.</w:t>
      </w:r>
    </w:p>
    <w:p w14:paraId="24DABA9D" w14:textId="77777777" w:rsidR="00B834A2" w:rsidRPr="00B834A2" w:rsidRDefault="00B834A2" w:rsidP="004F5242">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δ=</m:t>
        </m:r>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1-</m:t>
            </m:r>
            <m:f>
              <m:fPr>
                <m:ctrlPr>
                  <w:rPr>
                    <w:rFonts w:ascii="Cambria Math" w:hAnsi="Cambria Math" w:cs="Sylfaen"/>
                    <w:i/>
                    <w:color w:val="000000"/>
                    <w:sz w:val="24"/>
                    <w:szCs w:val="24"/>
                  </w:rPr>
                </m:ctrlPr>
              </m:fPr>
              <m:num>
                <m:r>
                  <w:rPr>
                    <w:rFonts w:ascii="Cambria Math" w:hAnsi="Cambria Math" w:cs="Sylfaen"/>
                    <w:color w:val="000000"/>
                    <w:sz w:val="24"/>
                    <w:szCs w:val="24"/>
                  </w:rPr>
                  <m:t>¯x</m:t>
                </m:r>
              </m:num>
              <m:den>
                <m:r>
                  <w:rPr>
                    <w:rFonts w:ascii="Cambria Math" w:hAnsi="Cambria Math" w:cs="Sylfaen"/>
                    <w:color w:val="000000"/>
                    <w:sz w:val="24"/>
                    <w:szCs w:val="24"/>
                  </w:rPr>
                  <m:t>μ</m:t>
                </m:r>
              </m:den>
            </m:f>
          </m:e>
        </m:d>
        <m:r>
          <w:rPr>
            <w:rFonts w:ascii="Cambria Math" w:hAnsi="Cambria Math" w:cs="Sylfaen"/>
            <w:color w:val="000000"/>
            <w:sz w:val="24"/>
            <w:szCs w:val="24"/>
          </w:rPr>
          <m:t>*</m:t>
        </m:r>
      </m:oMath>
      <w:r w:rsidRPr="00B834A2">
        <w:rPr>
          <w:rFonts w:ascii="Sylfaen" w:hAnsi="Sylfaen"/>
          <w:color w:val="000000"/>
          <w:sz w:val="24"/>
          <w:szCs w:val="24"/>
        </w:rPr>
        <w:t>100%:</w:t>
      </w:r>
      <w:r>
        <w:rPr>
          <w:rFonts w:ascii="Sylfaen" w:hAnsi="Sylfaen"/>
          <w:sz w:val="24"/>
          <w:szCs w:val="24"/>
        </w:rPr>
        <w:t xml:space="preserve"> </w:t>
      </w:r>
      <w:r w:rsidR="004F5242" w:rsidRPr="002E52D1">
        <w:rPr>
          <w:rFonts w:ascii="Sylfaen" w:hAnsi="Sylfaen"/>
          <w:sz w:val="24"/>
          <w:szCs w:val="24"/>
        </w:rPr>
        <w:tab/>
      </w:r>
      <w:r w:rsidRPr="00B834A2">
        <w:rPr>
          <w:rFonts w:ascii="Sylfaen" w:hAnsi="Sylfaen"/>
          <w:color w:val="000000"/>
          <w:sz w:val="24"/>
          <w:szCs w:val="24"/>
        </w:rPr>
        <w:t>(1.40)</w:t>
      </w:r>
    </w:p>
    <w:p w14:paraId="7635E862" w14:textId="77777777" w:rsidR="00184198" w:rsidRPr="00D35F34" w:rsidRDefault="00184198" w:rsidP="00B834A2">
      <w:pPr>
        <w:pStyle w:val="a0"/>
        <w:shd w:val="clear" w:color="auto" w:fill="auto"/>
        <w:spacing w:after="160" w:line="360" w:lineRule="auto"/>
        <w:ind w:firstLine="567"/>
        <w:jc w:val="both"/>
        <w:rPr>
          <w:rFonts w:ascii="Sylfaen" w:hAnsi="Sylfaen"/>
          <w:color w:val="000000"/>
          <w:sz w:val="24"/>
          <w:szCs w:val="24"/>
        </w:rPr>
      </w:pPr>
    </w:p>
    <w:p w14:paraId="0D20DF2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Վիճակագրորեն նշանակալի կանոնավոր սխալանքը կարող է կիրառելի լինել առաջադրված անալիտիկ խնդրի լուծման համար, եթե այն կրիտիկական ձ</w:t>
      </w:r>
      <w:r>
        <w:rPr>
          <w:rFonts w:ascii="Sylfaen" w:hAnsi="Sylfaen"/>
          <w:color w:val="000000"/>
          <w:sz w:val="24"/>
          <w:szCs w:val="24"/>
        </w:rPr>
        <w:t>եւ</w:t>
      </w:r>
      <w:r w:rsidRPr="00B834A2">
        <w:rPr>
          <w:rFonts w:ascii="Sylfaen" w:hAnsi="Sylfaen"/>
          <w:color w:val="000000"/>
          <w:sz w:val="24"/>
          <w:szCs w:val="24"/>
        </w:rPr>
        <w:t>ով չի ազդում անալիզի արդյունքների մասով որոշման ընդունման վրա:</w:t>
      </w:r>
    </w:p>
    <w:p w14:paraId="411DB63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Կանոնավոր սխալանքի վիճակագրական նշանակալիության վրա ազդում է ճշգրտությունը: Բարձր ճշգրտության հետ</w:t>
      </w:r>
      <w:r>
        <w:rPr>
          <w:rFonts w:ascii="Sylfaen" w:hAnsi="Sylfaen"/>
          <w:color w:val="000000"/>
          <w:sz w:val="24"/>
          <w:szCs w:val="24"/>
        </w:rPr>
        <w:t>եւ</w:t>
      </w:r>
      <w:r w:rsidRPr="00B834A2">
        <w:rPr>
          <w:rFonts w:ascii="Sylfaen" w:hAnsi="Sylfaen"/>
          <w:color w:val="000000"/>
          <w:sz w:val="24"/>
          <w:szCs w:val="24"/>
        </w:rPr>
        <w:t>անքով կանոնավոր սխալանքը կարող</w:t>
      </w:r>
      <w:r w:rsidR="00CC0C6B" w:rsidRPr="00CC0C6B">
        <w:rPr>
          <w:rFonts w:ascii="Sylfaen" w:hAnsi="Sylfaen"/>
          <w:color w:val="000000"/>
          <w:sz w:val="24"/>
          <w:szCs w:val="24"/>
        </w:rPr>
        <w:t> </w:t>
      </w:r>
      <w:r w:rsidRPr="00B834A2">
        <w:rPr>
          <w:rFonts w:ascii="Sylfaen" w:hAnsi="Sylfaen"/>
          <w:color w:val="000000"/>
          <w:sz w:val="24"/>
          <w:szCs w:val="24"/>
        </w:rPr>
        <w:t xml:space="preserve">է լինել վիճակագրորեն նշանակալի, </w:t>
      </w:r>
      <w:r>
        <w:rPr>
          <w:rFonts w:ascii="Sylfaen" w:hAnsi="Sylfaen"/>
          <w:color w:val="000000"/>
          <w:sz w:val="24"/>
          <w:szCs w:val="24"/>
        </w:rPr>
        <w:t>եւ</w:t>
      </w:r>
      <w:r w:rsidRPr="00B834A2">
        <w:rPr>
          <w:rFonts w:ascii="Sylfaen" w:hAnsi="Sylfaen"/>
          <w:color w:val="000000"/>
          <w:sz w:val="24"/>
          <w:szCs w:val="24"/>
        </w:rPr>
        <w:t xml:space="preserve"> ընդհակառակը, ցածր ճշգրտությունը կարող է հանգեցնել կանոնավոր սխալանքի վիճակագրական աննշանության (քողարկման էֆեկտ):</w:t>
      </w:r>
    </w:p>
    <w:p w14:paraId="2BE3DD5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Ենթադրենք, որ 1 մեթոդակարգի համար կանոնավոր սխալանքը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δ</m:t>
            </m:r>
          </m:e>
          <m:sub>
            <m:r>
              <w:rPr>
                <w:rFonts w:ascii="Cambria Math" w:hAnsi="Cambria Math" w:cs="Sylfaen"/>
                <w:color w:val="000000"/>
                <w:sz w:val="24"/>
                <w:szCs w:val="24"/>
              </w:rPr>
              <m:t>1</m:t>
            </m:r>
          </m:sub>
        </m:sSub>
      </m:oMath>
      <w:r w:rsidRPr="00B834A2">
        <w:rPr>
          <w:rFonts w:ascii="Sylfaen" w:hAnsi="Sylfaen"/>
          <w:color w:val="000000"/>
          <w:sz w:val="24"/>
          <w:szCs w:val="24"/>
        </w:rPr>
        <w:t xml:space="preserve"> = 0,74 % </w:t>
      </w:r>
      <w:r>
        <w:rPr>
          <w:rFonts w:ascii="Sylfaen" w:hAnsi="Sylfaen"/>
          <w:color w:val="000000"/>
          <w:sz w:val="24"/>
          <w:szCs w:val="24"/>
        </w:rPr>
        <w:t>եւ</w:t>
      </w:r>
      <w:r w:rsidRPr="00B834A2">
        <w:rPr>
          <w:rFonts w:ascii="Sylfaen" w:hAnsi="Sylfaen"/>
          <w:color w:val="000000"/>
          <w:sz w:val="24"/>
          <w:szCs w:val="24"/>
        </w:rPr>
        <w:t xml:space="preserve"> ստանդարտ շեղումը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1</m:t>
            </m:r>
          </m:sub>
        </m:sSub>
      </m:oMath>
      <w:r w:rsidRPr="00B834A2">
        <w:rPr>
          <w:rFonts w:ascii="Sylfaen" w:hAnsi="Sylfaen"/>
          <w:color w:val="000000"/>
          <w:sz w:val="24"/>
          <w:szCs w:val="24"/>
        </w:rPr>
        <w:t xml:space="preserve"> = 1,20 %, իսկ 2 մեթոդիկայի համար տվյալ մեծություններն ունեն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δ</m:t>
            </m:r>
          </m:e>
          <m:sub>
            <m:r>
              <w:rPr>
                <w:rFonts w:ascii="Cambria Math" w:hAnsi="Cambria Math" w:cs="Sylfaen"/>
                <w:color w:val="000000"/>
                <w:sz w:val="24"/>
                <w:szCs w:val="24"/>
              </w:rPr>
              <m:t>2</m:t>
            </m:r>
          </m:sub>
        </m:sSub>
      </m:oMath>
      <w:r w:rsidRPr="00B834A2">
        <w:rPr>
          <w:rFonts w:ascii="Sylfaen" w:hAnsi="Sylfaen"/>
          <w:color w:val="000000"/>
          <w:sz w:val="24"/>
          <w:szCs w:val="24"/>
        </w:rPr>
        <w:t xml:space="preserve"> = 0,37 %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2</m:t>
            </m:r>
          </m:sub>
        </m:sSub>
        <m:r>
          <w:rPr>
            <w:rFonts w:ascii="Cambria Math" w:hAnsi="Cambria Math" w:cs="Sylfaen"/>
            <w:color w:val="000000"/>
            <w:sz w:val="24"/>
            <w:szCs w:val="24"/>
          </w:rPr>
          <m:t>=</m:t>
        </m:r>
      </m:oMath>
      <w:r w:rsidRPr="00B834A2">
        <w:rPr>
          <w:rFonts w:ascii="Sylfaen" w:hAnsi="Sylfaen"/>
          <w:color w:val="000000"/>
          <w:sz w:val="24"/>
          <w:szCs w:val="24"/>
        </w:rPr>
        <w:t xml:space="preserve"> 0,33 % արժեքները: Վատագույն ճշգրտության հաշվին 1-ին մեթոդիկայի կանոնավոր սխալանքը դառնում է </w:t>
      </w:r>
      <w:r w:rsidRPr="004F5242">
        <w:rPr>
          <w:rFonts w:ascii="Sylfaen" w:hAnsi="Sylfaen"/>
          <w:color w:val="000000"/>
          <w:spacing w:val="-4"/>
          <w:sz w:val="24"/>
          <w:szCs w:val="24"/>
        </w:rPr>
        <w:t>վիճակագրորեն աննշան: 2-րդ մեթոդիկայի լավագույն ճշգրտությունը հանգեցնում է կանոնավոր</w:t>
      </w:r>
      <w:r w:rsidRPr="00B834A2">
        <w:rPr>
          <w:rFonts w:ascii="Sylfaen" w:hAnsi="Sylfaen"/>
          <w:color w:val="000000"/>
          <w:sz w:val="24"/>
          <w:szCs w:val="24"/>
        </w:rPr>
        <w:t xml:space="preserve"> սխալանքի վիճակագրական նշանակալիության, չնայած նրան, որ դրա արժեքը 2 անգամ փոքր է, քան 1-ին մեթոդիկայի դեպքում: Այդ իսկ պատճառով կոնկրետ անալիտիկ խնդրի, օրինակ՝ դեղապատրաստուկում ազդող նյութի քանակական որոշման համար 2-րդ մեթոդիկայի օգտագործման անհնարինության մասին կեղծ պատկերացում է ստեղծվում: Իրականում տվյալ նպատակի համար նպատակահարմար է օգտագործել հենց 2-րդ մեթոդիկան:</w:t>
      </w:r>
    </w:p>
    <w:p w14:paraId="5FAEC3B1"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t xml:space="preserve">Այսպիսով, վիճակագրորեն նշանակալի կանոնավոր սխալանքը կարող է կիրառելի </w:t>
      </w:r>
      <w:r>
        <w:rPr>
          <w:rFonts w:ascii="Sylfaen" w:hAnsi="Sylfaen"/>
          <w:color w:val="000000"/>
          <w:sz w:val="24"/>
          <w:szCs w:val="24"/>
        </w:rPr>
        <w:t>եւ</w:t>
      </w:r>
      <w:r w:rsidRPr="00B834A2">
        <w:rPr>
          <w:rFonts w:ascii="Sylfaen" w:hAnsi="Sylfaen"/>
          <w:color w:val="000000"/>
          <w:sz w:val="24"/>
          <w:szCs w:val="24"/>
        </w:rPr>
        <w:t xml:space="preserve"> ոչ կիրառելի լինել առաջադրված անալիտիկ խնդրի լուծման համար: Այս առնչությամբ վիճակագրորեն նշանակալի կանոնավոր սխալանքները, </w:t>
      </w:r>
      <w:r w:rsidRPr="00B834A2">
        <w:rPr>
          <w:rFonts w:ascii="Sylfaen" w:hAnsi="Sylfaen"/>
          <w:color w:val="000000"/>
          <w:sz w:val="24"/>
          <w:szCs w:val="24"/>
        </w:rPr>
        <w:lastRenderedPageBreak/>
        <w:t>այսինքն՝ այն սխալանքները, որոնց համար կատարվում է (1.39) անհավասարումը, հետագայում գնահատում են դրա գործնական նշանակալիության մասով:</w:t>
      </w:r>
    </w:p>
    <w:p w14:paraId="4E9657E2" w14:textId="77777777" w:rsidR="00184198" w:rsidRPr="00D35F34" w:rsidRDefault="00184198" w:rsidP="004F5242">
      <w:pPr>
        <w:pStyle w:val="a0"/>
        <w:shd w:val="clear" w:color="auto" w:fill="auto"/>
        <w:tabs>
          <w:tab w:val="left" w:pos="1134"/>
        </w:tabs>
        <w:spacing w:after="160" w:line="360" w:lineRule="auto"/>
        <w:ind w:firstLine="567"/>
        <w:jc w:val="both"/>
        <w:rPr>
          <w:rFonts w:ascii="Sylfaen" w:hAnsi="Sylfaen"/>
          <w:b/>
          <w:color w:val="000000"/>
          <w:sz w:val="24"/>
          <w:szCs w:val="24"/>
        </w:rPr>
      </w:pPr>
    </w:p>
    <w:p w14:paraId="78B6593B" w14:textId="77777777" w:rsidR="00B834A2" w:rsidRPr="00B834A2" w:rsidRDefault="00B834A2" w:rsidP="004F5242">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2.</w:t>
      </w:r>
      <w:r w:rsidR="004F5242" w:rsidRPr="004F5242">
        <w:rPr>
          <w:rFonts w:ascii="Sylfaen" w:hAnsi="Sylfaen"/>
          <w:b/>
          <w:color w:val="000000"/>
          <w:sz w:val="24"/>
          <w:szCs w:val="24"/>
        </w:rPr>
        <w:tab/>
      </w:r>
      <w:r w:rsidRPr="00B834A2">
        <w:rPr>
          <w:rFonts w:ascii="Sylfaen" w:hAnsi="Sylfaen"/>
          <w:b/>
          <w:color w:val="000000"/>
          <w:sz w:val="24"/>
          <w:szCs w:val="24"/>
        </w:rPr>
        <w:t>ՃՇԳՐՏՈՒԹՅԱՆ ՄԱՍՈՎ ԱՆԱԼԻԶԻ ԵՐԿՈՒ ՄԵԹՈԴԻԿԱՆԵՐԻ ՀԱՄԵՄԱՏՈՒՄԸ</w:t>
      </w:r>
    </w:p>
    <w:p w14:paraId="068A2E5D" w14:textId="77777777" w:rsidR="00B834A2" w:rsidRPr="00B834A2" w:rsidRDefault="00B834A2" w:rsidP="00B834A2">
      <w:pPr>
        <w:spacing w:after="160" w:line="360" w:lineRule="auto"/>
        <w:ind w:firstLine="567"/>
        <w:jc w:val="both"/>
      </w:pPr>
      <w:r w:rsidRPr="00B834A2">
        <w:t>Ճշգրտության մասով անալիզի երկու մեթոդիկաների համեմատումն անցկացնում են այդ երկու մեթոդիկաների անալիզի ընտրանքային դիսպերսիաների տարբերության նշանակալիությունը պարզելու միջոցով: Առավել ընդհանուր դեպքում տվյալ մոտեցումը կիրառում են երկու ընտրանքային դիսպերսիաների տարբերության նշանակալիությունը գնահատելու համար՝ պարզելու համար, թե արդյոք կարելի է դրանք համարել համախմբության նույն դիսպերսիայի ընտրանքային գնահատականներ:</w:t>
      </w:r>
      <w:r>
        <w:t xml:space="preserve"> </w:t>
      </w:r>
    </w:p>
    <w:p w14:paraId="7E21580F" w14:textId="77777777" w:rsidR="00184198" w:rsidRPr="00D35F34" w:rsidRDefault="00184198" w:rsidP="00B834A2">
      <w:pPr>
        <w:spacing w:after="160" w:line="360" w:lineRule="auto"/>
        <w:ind w:firstLine="567"/>
        <w:jc w:val="both"/>
        <w:rPr>
          <w:szCs w:val="20"/>
        </w:rPr>
      </w:pPr>
    </w:p>
    <w:p w14:paraId="603C3314" w14:textId="77777777" w:rsidR="00B834A2" w:rsidRPr="00CC0C6B" w:rsidRDefault="00CC0C6B" w:rsidP="00B834A2">
      <w:pPr>
        <w:spacing w:after="160" w:line="360" w:lineRule="auto"/>
        <w:ind w:firstLine="567"/>
        <w:jc w:val="both"/>
        <w:rPr>
          <w:sz w:val="32"/>
        </w:rPr>
      </w:pPr>
      <w:r w:rsidRPr="00CC0C6B">
        <w:rPr>
          <w:szCs w:val="20"/>
        </w:rPr>
        <w:t>Աղյուսակ 2-1. Ճշգրտության մասով անալիզի երկու մեթոդիկաների համեմատական վիճակագրական գնահատման համար տվյալները</w:t>
      </w:r>
    </w:p>
    <w:tbl>
      <w:tblPr>
        <w:tblOverlap w:val="never"/>
        <w:tblW w:w="10940" w:type="dxa"/>
        <w:jc w:val="center"/>
        <w:tblLayout w:type="fixed"/>
        <w:tblCellMar>
          <w:left w:w="10" w:type="dxa"/>
          <w:right w:w="10" w:type="dxa"/>
        </w:tblCellMar>
        <w:tblLook w:val="0000" w:firstRow="0" w:lastRow="0" w:firstColumn="0" w:lastColumn="0" w:noHBand="0" w:noVBand="0"/>
      </w:tblPr>
      <w:tblGrid>
        <w:gridCol w:w="1541"/>
        <w:gridCol w:w="567"/>
        <w:gridCol w:w="605"/>
        <w:gridCol w:w="431"/>
        <w:gridCol w:w="567"/>
        <w:gridCol w:w="567"/>
        <w:gridCol w:w="992"/>
        <w:gridCol w:w="450"/>
        <w:gridCol w:w="567"/>
        <w:gridCol w:w="708"/>
        <w:gridCol w:w="1134"/>
        <w:gridCol w:w="638"/>
        <w:gridCol w:w="472"/>
        <w:gridCol w:w="1701"/>
      </w:tblGrid>
      <w:tr w:rsidR="00B834A2" w:rsidRPr="004F5242" w14:paraId="537B49F5" w14:textId="77777777" w:rsidTr="004F5242">
        <w:trPr>
          <w:jc w:val="center"/>
        </w:trPr>
        <w:tc>
          <w:tcPr>
            <w:tcW w:w="1541" w:type="dxa"/>
            <w:tcBorders>
              <w:top w:val="single" w:sz="4" w:space="0" w:color="auto"/>
            </w:tcBorders>
            <w:shd w:val="clear" w:color="auto" w:fill="FFFFFF"/>
            <w:vAlign w:val="center"/>
          </w:tcPr>
          <w:p w14:paraId="00807B62" w14:textId="77777777" w:rsidR="00B834A2" w:rsidRPr="004F5242" w:rsidRDefault="00B834A2" w:rsidP="00CC0C6B">
            <w:pPr>
              <w:pStyle w:val="a0"/>
              <w:shd w:val="clear" w:color="auto" w:fill="auto"/>
              <w:spacing w:after="120" w:line="240" w:lineRule="auto"/>
              <w:ind w:firstLine="20"/>
              <w:jc w:val="center"/>
              <w:rPr>
                <w:rFonts w:ascii="Sylfaen" w:hAnsi="Sylfaen" w:cs="Sylfaen"/>
                <w:sz w:val="16"/>
                <w:szCs w:val="16"/>
              </w:rPr>
            </w:pPr>
            <w:r w:rsidRPr="004F5242">
              <w:rPr>
                <w:rFonts w:ascii="Sylfaen" w:hAnsi="Sylfaen"/>
                <w:color w:val="000000"/>
                <w:sz w:val="16"/>
                <w:szCs w:val="16"/>
              </w:rPr>
              <w:t>Մեթոդիկա</w:t>
            </w:r>
            <w:r w:rsidR="00CC0C6B">
              <w:rPr>
                <w:rFonts w:ascii="Sylfaen" w:hAnsi="Sylfaen"/>
                <w:color w:val="000000"/>
                <w:sz w:val="16"/>
                <w:szCs w:val="16"/>
                <w:lang w:val="ru-RU"/>
              </w:rPr>
              <w:t xml:space="preserve"> </w:t>
            </w:r>
            <w:r w:rsidRPr="004F5242">
              <w:rPr>
                <w:rFonts w:ascii="Sylfaen" w:hAnsi="Sylfaen"/>
                <w:color w:val="000000"/>
                <w:sz w:val="16"/>
                <w:szCs w:val="16"/>
              </w:rPr>
              <w:t>համարը՝ ը/կ</w:t>
            </w:r>
          </w:p>
        </w:tc>
        <w:tc>
          <w:tcPr>
            <w:tcW w:w="567" w:type="dxa"/>
            <w:tcBorders>
              <w:top w:val="single" w:sz="4" w:space="0" w:color="auto"/>
              <w:left w:val="single" w:sz="4" w:space="0" w:color="auto"/>
            </w:tcBorders>
            <w:shd w:val="clear" w:color="auto" w:fill="FFFFFF"/>
            <w:vAlign w:val="center"/>
          </w:tcPr>
          <w:p w14:paraId="5C0A0E6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µ</w:t>
            </w:r>
          </w:p>
        </w:tc>
        <w:tc>
          <w:tcPr>
            <w:tcW w:w="605" w:type="dxa"/>
            <w:tcBorders>
              <w:top w:val="single" w:sz="4" w:space="0" w:color="auto"/>
              <w:left w:val="single" w:sz="4" w:space="0" w:color="auto"/>
            </w:tcBorders>
            <w:shd w:val="clear" w:color="auto" w:fill="FFFFFF"/>
            <w:vAlign w:val="center"/>
          </w:tcPr>
          <w:p w14:paraId="08D7814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f</w:t>
            </w:r>
          </w:p>
        </w:tc>
        <w:tc>
          <w:tcPr>
            <w:tcW w:w="431" w:type="dxa"/>
            <w:tcBorders>
              <w:top w:val="single" w:sz="4" w:space="0" w:color="auto"/>
              <w:left w:val="single" w:sz="4" w:space="0" w:color="auto"/>
            </w:tcBorders>
            <w:shd w:val="clear" w:color="auto" w:fill="FFFFFF"/>
            <w:vAlign w:val="center"/>
          </w:tcPr>
          <w:p w14:paraId="4E874966"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¯x</w:t>
            </w:r>
          </w:p>
        </w:tc>
        <w:tc>
          <w:tcPr>
            <w:tcW w:w="567" w:type="dxa"/>
            <w:tcBorders>
              <w:top w:val="single" w:sz="4" w:space="0" w:color="auto"/>
              <w:left w:val="single" w:sz="4" w:space="0" w:color="auto"/>
            </w:tcBorders>
            <w:shd w:val="clear" w:color="auto" w:fill="FFFFFF"/>
            <w:vAlign w:val="center"/>
          </w:tcPr>
          <w:p w14:paraId="3717A845"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s</w:t>
            </w:r>
          </w:p>
        </w:tc>
        <w:tc>
          <w:tcPr>
            <w:tcW w:w="567" w:type="dxa"/>
            <w:tcBorders>
              <w:top w:val="single" w:sz="4" w:space="0" w:color="auto"/>
              <w:left w:val="single" w:sz="4" w:space="0" w:color="auto"/>
            </w:tcBorders>
            <w:shd w:val="clear" w:color="auto" w:fill="FFFFFF"/>
            <w:vAlign w:val="center"/>
          </w:tcPr>
          <w:p w14:paraId="219F2D3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P</w:t>
            </w:r>
          </w:p>
        </w:tc>
        <w:tc>
          <w:tcPr>
            <w:tcW w:w="992" w:type="dxa"/>
            <w:tcBorders>
              <w:top w:val="single" w:sz="4" w:space="0" w:color="auto"/>
              <w:left w:val="single" w:sz="4" w:space="0" w:color="auto"/>
            </w:tcBorders>
            <w:shd w:val="clear" w:color="auto" w:fill="FFFFFF"/>
            <w:vAlign w:val="center"/>
          </w:tcPr>
          <w:p w14:paraId="72968220" w14:textId="77777777" w:rsidR="00B834A2" w:rsidRPr="004F5242" w:rsidRDefault="00B834A2" w:rsidP="00CC0C6B">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T(P,f)</w:t>
            </w:r>
            <w:r w:rsidR="00CC0C6B">
              <w:rPr>
                <w:rFonts w:ascii="Sylfaen" w:hAnsi="Sylfaen"/>
                <w:sz w:val="16"/>
                <w:szCs w:val="16"/>
                <w:lang w:val="ru-RU"/>
              </w:rPr>
              <w:t xml:space="preserve"> </w:t>
            </w:r>
            <w:r w:rsidRPr="004F5242">
              <w:rPr>
                <w:rFonts w:ascii="Sylfaen" w:hAnsi="Sylfaen"/>
                <w:sz w:val="16"/>
                <w:szCs w:val="16"/>
              </w:rPr>
              <w:t>(</w:t>
            </w:r>
            <w:r w:rsidRPr="004F5242">
              <w:rPr>
                <w:rFonts w:ascii="Sylfaen" w:hAnsi="Sylfaen"/>
                <w:color w:val="000000"/>
                <w:sz w:val="16"/>
                <w:szCs w:val="16"/>
              </w:rPr>
              <w:t>աղյուսակ)</w:t>
            </w:r>
          </w:p>
        </w:tc>
        <w:tc>
          <w:tcPr>
            <w:tcW w:w="450" w:type="dxa"/>
            <w:tcBorders>
              <w:top w:val="single" w:sz="4" w:space="0" w:color="auto"/>
              <w:left w:val="single" w:sz="4" w:space="0" w:color="auto"/>
            </w:tcBorders>
            <w:shd w:val="clear" w:color="auto" w:fill="FFFFFF"/>
            <w:vAlign w:val="center"/>
          </w:tcPr>
          <w:p w14:paraId="130AFC1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m:oMathPara>
              <m:oMath>
                <m:r>
                  <w:rPr>
                    <w:rFonts w:ascii="Cambria Math" w:hAnsi="Cambria Math" w:cs="Sylfaen"/>
                    <w:sz w:val="16"/>
                    <w:szCs w:val="16"/>
                  </w:rPr>
                  <m:t>∆x</m:t>
                </m:r>
              </m:oMath>
            </m:oMathPara>
          </w:p>
        </w:tc>
        <w:tc>
          <w:tcPr>
            <w:tcW w:w="567" w:type="dxa"/>
            <w:tcBorders>
              <w:top w:val="single" w:sz="4" w:space="0" w:color="auto"/>
              <w:left w:val="single" w:sz="4" w:space="0" w:color="auto"/>
            </w:tcBorders>
            <w:shd w:val="clear" w:color="auto" w:fill="FFFFFF"/>
            <w:vAlign w:val="center"/>
          </w:tcPr>
          <w:p w14:paraId="2775B894"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m:oMathPara>
              <m:oMath>
                <m:r>
                  <w:rPr>
                    <w:rFonts w:ascii="Cambria Math" w:hAnsi="Cambria Math" w:cs="Sylfaen"/>
                    <w:sz w:val="16"/>
                    <w:szCs w:val="16"/>
                  </w:rPr>
                  <m:t>ε</m:t>
                </m:r>
              </m:oMath>
            </m:oMathPara>
          </w:p>
        </w:tc>
        <w:tc>
          <w:tcPr>
            <w:tcW w:w="708" w:type="dxa"/>
            <w:tcBorders>
              <w:top w:val="single" w:sz="4" w:space="0" w:color="auto"/>
              <w:left w:val="single" w:sz="4" w:space="0" w:color="auto"/>
            </w:tcBorders>
            <w:shd w:val="clear" w:color="auto" w:fill="FFFFFF"/>
            <w:vAlign w:val="center"/>
          </w:tcPr>
          <w:p w14:paraId="6A36BE69" w14:textId="77777777" w:rsidR="00B834A2" w:rsidRPr="004F5242" w:rsidRDefault="00000000" w:rsidP="004F5242">
            <w:pPr>
              <w:pStyle w:val="a0"/>
              <w:shd w:val="clear" w:color="auto" w:fill="auto"/>
              <w:spacing w:after="120" w:line="240" w:lineRule="auto"/>
              <w:ind w:firstLine="0"/>
              <w:jc w:val="center"/>
              <w:rPr>
                <w:rFonts w:ascii="Sylfaen" w:hAnsi="Sylfaen" w:cs="Sylfaen"/>
                <w:sz w:val="16"/>
                <w:szCs w:val="16"/>
              </w:rPr>
            </w:pPr>
            <m:oMathPara>
              <m:oMath>
                <m:sSub>
                  <m:sSubPr>
                    <m:ctrlPr>
                      <w:rPr>
                        <w:rFonts w:ascii="Cambria Math" w:hAnsi="Cambria Math" w:cs="Sylfaen"/>
                        <w:i/>
                        <w:sz w:val="16"/>
                        <w:szCs w:val="16"/>
                      </w:rPr>
                    </m:ctrlPr>
                  </m:sSubPr>
                  <m:e>
                    <m:r>
                      <w:rPr>
                        <w:rFonts w:ascii="Cambria Math" w:hAnsi="Cambria Math" w:cs="Sylfaen"/>
                        <w:sz w:val="16"/>
                        <w:szCs w:val="16"/>
                      </w:rPr>
                      <m:t>t</m:t>
                    </m:r>
                  </m:e>
                  <m:sub>
                    <m:r>
                      <m:rPr>
                        <m:sty m:val="p"/>
                      </m:rPr>
                      <w:rPr>
                        <w:rFonts w:ascii="Sylfaen" w:hAnsi="Sylfaen" w:cs="Sylfaen"/>
                        <w:color w:val="000000"/>
                        <w:sz w:val="16"/>
                        <w:szCs w:val="16"/>
                      </w:rPr>
                      <m:t>հաշվ</m:t>
                    </m:r>
                  </m:sub>
                </m:sSub>
              </m:oMath>
            </m:oMathPara>
          </w:p>
        </w:tc>
        <w:tc>
          <w:tcPr>
            <w:tcW w:w="1134" w:type="dxa"/>
            <w:tcBorders>
              <w:top w:val="single" w:sz="4" w:space="0" w:color="auto"/>
              <w:left w:val="single" w:sz="4" w:space="0" w:color="auto"/>
            </w:tcBorders>
            <w:shd w:val="clear" w:color="auto" w:fill="FFFFFF"/>
          </w:tcPr>
          <w:p w14:paraId="5133A845"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m:oMathPara>
              <m:oMath>
                <m:r>
                  <w:rPr>
                    <w:rFonts w:ascii="Cambria Math" w:hAnsi="Cambria Math" w:cs="Sylfaen"/>
                    <w:sz w:val="16"/>
                    <w:szCs w:val="16"/>
                  </w:rPr>
                  <m:t>F</m:t>
                </m:r>
                <m:d>
                  <m:dPr>
                    <m:ctrlPr>
                      <w:rPr>
                        <w:rFonts w:ascii="Cambria Math" w:hAnsi="Cambria Math" w:cs="Sylfaen"/>
                        <w:i/>
                        <w:sz w:val="16"/>
                        <w:szCs w:val="16"/>
                      </w:rPr>
                    </m:ctrlPr>
                  </m:dPr>
                  <m:e>
                    <m:sSub>
                      <m:sSubPr>
                        <m:ctrlPr>
                          <w:rPr>
                            <w:rFonts w:ascii="Cambria Math" w:hAnsi="Cambria Math" w:cs="Sylfaen"/>
                            <w:i/>
                            <w:sz w:val="16"/>
                            <w:szCs w:val="16"/>
                          </w:rPr>
                        </m:ctrlPr>
                      </m:sSubPr>
                      <m:e>
                        <m:r>
                          <w:rPr>
                            <w:rFonts w:ascii="Cambria Math" w:hAnsi="Cambria Math" w:cs="Sylfaen"/>
                            <w:sz w:val="16"/>
                            <w:szCs w:val="16"/>
                          </w:rPr>
                          <m:t>P</m:t>
                        </m:r>
                      </m:e>
                      <m:sub>
                        <m:r>
                          <w:rPr>
                            <w:rFonts w:ascii="Cambria Math" w:hAnsi="Cambria Math" w:cs="Sylfaen"/>
                            <w:sz w:val="16"/>
                            <w:szCs w:val="16"/>
                          </w:rPr>
                          <m:t>1</m:t>
                        </m:r>
                      </m:sub>
                    </m:sSub>
                    <m:r>
                      <w:rPr>
                        <w:rFonts w:ascii="Cambria Math" w:hAnsi="Cambria Math" w:cs="Sylfaen"/>
                        <w:sz w:val="16"/>
                        <w:szCs w:val="16"/>
                      </w:rPr>
                      <m:t>,</m:t>
                    </m:r>
                    <m:sSub>
                      <m:sSubPr>
                        <m:ctrlPr>
                          <w:rPr>
                            <w:rFonts w:ascii="Cambria Math" w:hAnsi="Cambria Math" w:cs="Sylfaen"/>
                            <w:i/>
                            <w:sz w:val="16"/>
                            <w:szCs w:val="16"/>
                          </w:rPr>
                        </m:ctrlPr>
                      </m:sSubPr>
                      <m:e>
                        <m:r>
                          <w:rPr>
                            <w:rFonts w:ascii="Cambria Math" w:hAnsi="Cambria Math" w:cs="Sylfaen"/>
                            <w:sz w:val="16"/>
                            <w:szCs w:val="16"/>
                          </w:rPr>
                          <m:t>f</m:t>
                        </m:r>
                      </m:e>
                      <m:sub>
                        <m:r>
                          <w:rPr>
                            <w:rFonts w:ascii="Cambria Math" w:hAnsi="Cambria Math" w:cs="Sylfaen"/>
                            <w:sz w:val="16"/>
                            <w:szCs w:val="16"/>
                          </w:rPr>
                          <m:t>1</m:t>
                        </m:r>
                      </m:sub>
                    </m:sSub>
                    <m:r>
                      <w:rPr>
                        <w:rFonts w:ascii="Cambria Math" w:hAnsi="Cambria Math" w:cs="Sylfaen"/>
                        <w:sz w:val="16"/>
                        <w:szCs w:val="16"/>
                      </w:rPr>
                      <m:t>,</m:t>
                    </m:r>
                    <m:sSub>
                      <m:sSubPr>
                        <m:ctrlPr>
                          <w:rPr>
                            <w:rFonts w:ascii="Cambria Math" w:hAnsi="Cambria Math" w:cs="Sylfaen"/>
                            <w:i/>
                            <w:sz w:val="16"/>
                            <w:szCs w:val="16"/>
                          </w:rPr>
                        </m:ctrlPr>
                      </m:sSubPr>
                      <m:e>
                        <m:r>
                          <w:rPr>
                            <w:rFonts w:ascii="Cambria Math" w:hAnsi="Cambria Math" w:cs="Sylfaen"/>
                            <w:sz w:val="16"/>
                            <w:szCs w:val="16"/>
                          </w:rPr>
                          <m:t>f</m:t>
                        </m:r>
                      </m:e>
                      <m:sub>
                        <m:r>
                          <w:rPr>
                            <w:rFonts w:ascii="Cambria Math" w:hAnsi="Cambria Math" w:cs="Sylfaen"/>
                            <w:sz w:val="16"/>
                            <w:szCs w:val="16"/>
                          </w:rPr>
                          <m:t>2</m:t>
                        </m:r>
                      </m:sub>
                    </m:sSub>
                  </m:e>
                </m:d>
              </m:oMath>
            </m:oMathPara>
          </w:p>
          <w:p w14:paraId="45CB4F02" w14:textId="77777777" w:rsidR="00B834A2" w:rsidRPr="004F5242" w:rsidRDefault="00B834A2" w:rsidP="00CC0C6B">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w:t>
            </w:r>
            <w:r w:rsidRPr="004F5242">
              <w:rPr>
                <w:rFonts w:ascii="Sylfaen" w:hAnsi="Sylfaen"/>
                <w:color w:val="000000"/>
                <w:sz w:val="16"/>
                <w:szCs w:val="16"/>
              </w:rPr>
              <w:t>աղյուսակ)</w:t>
            </w:r>
            <w:r w:rsidR="00CC0C6B">
              <w:rPr>
                <w:rFonts w:ascii="Sylfaen" w:hAnsi="Sylfaen"/>
                <w:color w:val="000000"/>
                <w:sz w:val="16"/>
                <w:szCs w:val="16"/>
                <w:lang w:val="ru-RU"/>
              </w:rPr>
              <w:t xml:space="preserve"> </w:t>
            </w:r>
            <w:r w:rsidRPr="004F5242">
              <w:rPr>
                <w:rFonts w:ascii="Sylfaen" w:hAnsi="Sylfaen"/>
                <w:sz w:val="16"/>
                <w:szCs w:val="16"/>
              </w:rPr>
              <w:t>P=99%-ի դեպքում</w:t>
            </w:r>
          </w:p>
        </w:tc>
        <w:tc>
          <w:tcPr>
            <w:tcW w:w="638" w:type="dxa"/>
            <w:tcBorders>
              <w:top w:val="single" w:sz="4" w:space="0" w:color="auto"/>
              <w:left w:val="single" w:sz="4" w:space="0" w:color="auto"/>
            </w:tcBorders>
            <w:shd w:val="clear" w:color="auto" w:fill="FFFFFF"/>
            <w:vAlign w:val="center"/>
          </w:tcPr>
          <w:p w14:paraId="23A2E7CE" w14:textId="77777777" w:rsidR="00B834A2" w:rsidRPr="004F5242" w:rsidRDefault="00000000" w:rsidP="004F5242">
            <w:pPr>
              <w:pStyle w:val="a0"/>
              <w:shd w:val="clear" w:color="auto" w:fill="auto"/>
              <w:spacing w:after="120" w:line="240" w:lineRule="auto"/>
              <w:ind w:firstLine="0"/>
              <w:jc w:val="center"/>
              <w:rPr>
                <w:rFonts w:ascii="Sylfaen" w:hAnsi="Sylfaen" w:cs="Sylfaen"/>
                <w:sz w:val="16"/>
                <w:szCs w:val="16"/>
              </w:rPr>
            </w:pPr>
            <m:oMathPara>
              <m:oMath>
                <m:sSub>
                  <m:sSubPr>
                    <m:ctrlPr>
                      <w:rPr>
                        <w:rFonts w:ascii="Cambria Math" w:hAnsi="Cambria Math" w:cs="Sylfaen"/>
                        <w:i/>
                        <w:sz w:val="16"/>
                        <w:szCs w:val="16"/>
                      </w:rPr>
                    </m:ctrlPr>
                  </m:sSubPr>
                  <m:e>
                    <m:r>
                      <w:rPr>
                        <w:rFonts w:ascii="Cambria Math" w:hAnsi="Cambria Math" w:cs="Sylfaen"/>
                        <w:sz w:val="16"/>
                        <w:szCs w:val="16"/>
                      </w:rPr>
                      <m:t>F</m:t>
                    </m:r>
                  </m:e>
                  <m:sub>
                    <m:r>
                      <m:rPr>
                        <m:sty m:val="p"/>
                      </m:rPr>
                      <w:rPr>
                        <w:rFonts w:ascii="Sylfaen" w:hAnsi="Sylfaen" w:cs="Sylfaen"/>
                        <w:color w:val="000000"/>
                        <w:sz w:val="16"/>
                        <w:szCs w:val="16"/>
                      </w:rPr>
                      <m:t>հաշվ</m:t>
                    </m:r>
                  </m:sub>
                </m:sSub>
              </m:oMath>
            </m:oMathPara>
          </w:p>
        </w:tc>
        <w:tc>
          <w:tcPr>
            <w:tcW w:w="472" w:type="dxa"/>
            <w:tcBorders>
              <w:top w:val="single" w:sz="4" w:space="0" w:color="auto"/>
              <w:left w:val="single" w:sz="4" w:space="0" w:color="auto"/>
            </w:tcBorders>
            <w:shd w:val="clear" w:color="auto" w:fill="FFFFFF"/>
            <w:vAlign w:val="center"/>
          </w:tcPr>
          <w:p w14:paraId="3BA388C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m:oMathPara>
              <m:oMath>
                <m:r>
                  <w:rPr>
                    <w:rFonts w:ascii="Cambria Math" w:hAnsi="Cambria Math" w:cs="Sylfaen"/>
                    <w:sz w:val="16"/>
                    <w:szCs w:val="16"/>
                  </w:rPr>
                  <m:t>δ</m:t>
                </m:r>
              </m:oMath>
            </m:oMathPara>
          </w:p>
        </w:tc>
        <w:tc>
          <w:tcPr>
            <w:tcW w:w="1701" w:type="dxa"/>
            <w:tcBorders>
              <w:top w:val="single" w:sz="4" w:space="0" w:color="auto"/>
              <w:left w:val="single" w:sz="4" w:space="0" w:color="auto"/>
            </w:tcBorders>
            <w:shd w:val="clear" w:color="auto" w:fill="FFFFFF"/>
            <w:vAlign w:val="center"/>
          </w:tcPr>
          <w:p w14:paraId="0BC303F3"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Ծանոթագրություններ</w:t>
            </w:r>
          </w:p>
        </w:tc>
      </w:tr>
      <w:tr w:rsidR="00B834A2" w:rsidRPr="004F5242" w14:paraId="65BBA6A3" w14:textId="77777777" w:rsidTr="004F5242">
        <w:trPr>
          <w:jc w:val="center"/>
        </w:trPr>
        <w:tc>
          <w:tcPr>
            <w:tcW w:w="1541" w:type="dxa"/>
            <w:tcBorders>
              <w:top w:val="single" w:sz="4" w:space="0" w:color="auto"/>
            </w:tcBorders>
            <w:shd w:val="clear" w:color="auto" w:fill="FFFFFF"/>
            <w:vAlign w:val="bottom"/>
          </w:tcPr>
          <w:p w14:paraId="3BD11D30" w14:textId="77777777" w:rsidR="00B834A2" w:rsidRPr="004F5242" w:rsidRDefault="00B834A2" w:rsidP="004F5242">
            <w:pPr>
              <w:pStyle w:val="a0"/>
              <w:shd w:val="clear" w:color="auto" w:fill="auto"/>
              <w:spacing w:after="120" w:line="240" w:lineRule="auto"/>
              <w:ind w:firstLine="20"/>
              <w:jc w:val="center"/>
              <w:rPr>
                <w:rFonts w:ascii="Sylfaen" w:hAnsi="Sylfaen" w:cs="Sylfaen"/>
                <w:sz w:val="16"/>
                <w:szCs w:val="16"/>
              </w:rPr>
            </w:pPr>
            <w:r w:rsidRPr="004F5242">
              <w:rPr>
                <w:rFonts w:ascii="Sylfaen" w:hAnsi="Sylfaen"/>
                <w:color w:val="000000"/>
                <w:sz w:val="16"/>
                <w:szCs w:val="16"/>
              </w:rPr>
              <w:t>1</w:t>
            </w:r>
          </w:p>
        </w:tc>
        <w:tc>
          <w:tcPr>
            <w:tcW w:w="567" w:type="dxa"/>
            <w:tcBorders>
              <w:top w:val="single" w:sz="4" w:space="0" w:color="auto"/>
              <w:left w:val="single" w:sz="4" w:space="0" w:color="auto"/>
            </w:tcBorders>
            <w:shd w:val="clear" w:color="auto" w:fill="FFFFFF"/>
            <w:vAlign w:val="bottom"/>
          </w:tcPr>
          <w:p w14:paraId="6059847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2</w:t>
            </w:r>
          </w:p>
        </w:tc>
        <w:tc>
          <w:tcPr>
            <w:tcW w:w="605" w:type="dxa"/>
            <w:tcBorders>
              <w:top w:val="single" w:sz="4" w:space="0" w:color="auto"/>
              <w:left w:val="single" w:sz="4" w:space="0" w:color="auto"/>
            </w:tcBorders>
            <w:shd w:val="clear" w:color="auto" w:fill="FFFFFF"/>
            <w:vAlign w:val="center"/>
          </w:tcPr>
          <w:p w14:paraId="653BB4C0"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3</w:t>
            </w:r>
          </w:p>
        </w:tc>
        <w:tc>
          <w:tcPr>
            <w:tcW w:w="431" w:type="dxa"/>
            <w:tcBorders>
              <w:top w:val="single" w:sz="4" w:space="0" w:color="auto"/>
              <w:left w:val="single" w:sz="4" w:space="0" w:color="auto"/>
            </w:tcBorders>
            <w:shd w:val="clear" w:color="auto" w:fill="FFFFFF"/>
            <w:vAlign w:val="center"/>
          </w:tcPr>
          <w:p w14:paraId="3E921CB1"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4</w:t>
            </w:r>
          </w:p>
        </w:tc>
        <w:tc>
          <w:tcPr>
            <w:tcW w:w="567" w:type="dxa"/>
            <w:tcBorders>
              <w:top w:val="single" w:sz="4" w:space="0" w:color="auto"/>
              <w:left w:val="single" w:sz="4" w:space="0" w:color="auto"/>
            </w:tcBorders>
            <w:shd w:val="clear" w:color="auto" w:fill="FFFFFF"/>
            <w:vAlign w:val="center"/>
          </w:tcPr>
          <w:p w14:paraId="06637E35"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5</w:t>
            </w:r>
          </w:p>
        </w:tc>
        <w:tc>
          <w:tcPr>
            <w:tcW w:w="567" w:type="dxa"/>
            <w:tcBorders>
              <w:top w:val="single" w:sz="4" w:space="0" w:color="auto"/>
              <w:left w:val="single" w:sz="4" w:space="0" w:color="auto"/>
            </w:tcBorders>
            <w:shd w:val="clear" w:color="auto" w:fill="FFFFFF"/>
            <w:vAlign w:val="bottom"/>
          </w:tcPr>
          <w:p w14:paraId="31ED6ACE"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6</w:t>
            </w:r>
          </w:p>
        </w:tc>
        <w:tc>
          <w:tcPr>
            <w:tcW w:w="992" w:type="dxa"/>
            <w:tcBorders>
              <w:top w:val="single" w:sz="4" w:space="0" w:color="auto"/>
              <w:left w:val="single" w:sz="4" w:space="0" w:color="auto"/>
            </w:tcBorders>
            <w:shd w:val="clear" w:color="auto" w:fill="FFFFFF"/>
            <w:vAlign w:val="center"/>
          </w:tcPr>
          <w:p w14:paraId="7C273979"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7</w:t>
            </w:r>
          </w:p>
        </w:tc>
        <w:tc>
          <w:tcPr>
            <w:tcW w:w="450" w:type="dxa"/>
            <w:tcBorders>
              <w:top w:val="single" w:sz="4" w:space="0" w:color="auto"/>
              <w:left w:val="single" w:sz="4" w:space="0" w:color="auto"/>
            </w:tcBorders>
            <w:shd w:val="clear" w:color="auto" w:fill="FFFFFF"/>
            <w:vAlign w:val="bottom"/>
          </w:tcPr>
          <w:p w14:paraId="07D4D29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8</w:t>
            </w:r>
          </w:p>
        </w:tc>
        <w:tc>
          <w:tcPr>
            <w:tcW w:w="567" w:type="dxa"/>
            <w:tcBorders>
              <w:top w:val="single" w:sz="4" w:space="0" w:color="auto"/>
              <w:left w:val="single" w:sz="4" w:space="0" w:color="auto"/>
            </w:tcBorders>
            <w:shd w:val="clear" w:color="auto" w:fill="FFFFFF"/>
            <w:vAlign w:val="center"/>
          </w:tcPr>
          <w:p w14:paraId="0A9FB99C"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9</w:t>
            </w:r>
          </w:p>
        </w:tc>
        <w:tc>
          <w:tcPr>
            <w:tcW w:w="708" w:type="dxa"/>
            <w:tcBorders>
              <w:top w:val="single" w:sz="4" w:space="0" w:color="auto"/>
              <w:left w:val="single" w:sz="4" w:space="0" w:color="auto"/>
            </w:tcBorders>
            <w:shd w:val="clear" w:color="auto" w:fill="FFFFFF"/>
            <w:vAlign w:val="bottom"/>
          </w:tcPr>
          <w:p w14:paraId="2CA0457A"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10</w:t>
            </w:r>
          </w:p>
        </w:tc>
        <w:tc>
          <w:tcPr>
            <w:tcW w:w="1134" w:type="dxa"/>
            <w:tcBorders>
              <w:top w:val="single" w:sz="4" w:space="0" w:color="auto"/>
              <w:left w:val="single" w:sz="4" w:space="0" w:color="auto"/>
            </w:tcBorders>
            <w:shd w:val="clear" w:color="auto" w:fill="FFFFFF"/>
            <w:vAlign w:val="bottom"/>
          </w:tcPr>
          <w:p w14:paraId="1B962ED1"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11</w:t>
            </w:r>
          </w:p>
        </w:tc>
        <w:tc>
          <w:tcPr>
            <w:tcW w:w="638" w:type="dxa"/>
            <w:tcBorders>
              <w:top w:val="single" w:sz="4" w:space="0" w:color="auto"/>
              <w:left w:val="single" w:sz="4" w:space="0" w:color="auto"/>
            </w:tcBorders>
            <w:shd w:val="clear" w:color="auto" w:fill="FFFFFF"/>
            <w:vAlign w:val="bottom"/>
          </w:tcPr>
          <w:p w14:paraId="6B8EC511"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72" w:type="dxa"/>
            <w:tcBorders>
              <w:top w:val="single" w:sz="4" w:space="0" w:color="auto"/>
              <w:left w:val="single" w:sz="4" w:space="0" w:color="auto"/>
            </w:tcBorders>
            <w:shd w:val="clear" w:color="auto" w:fill="FFFFFF"/>
            <w:vAlign w:val="center"/>
          </w:tcPr>
          <w:p w14:paraId="5F2AFF6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13</w:t>
            </w:r>
          </w:p>
        </w:tc>
        <w:tc>
          <w:tcPr>
            <w:tcW w:w="1701" w:type="dxa"/>
            <w:tcBorders>
              <w:top w:val="single" w:sz="4" w:space="0" w:color="auto"/>
              <w:left w:val="single" w:sz="4" w:space="0" w:color="auto"/>
            </w:tcBorders>
            <w:shd w:val="clear" w:color="auto" w:fill="FFFFFF"/>
            <w:vAlign w:val="center"/>
          </w:tcPr>
          <w:p w14:paraId="0F9517B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r w:rsidRPr="004F5242">
              <w:rPr>
                <w:rFonts w:ascii="Sylfaen" w:hAnsi="Sylfaen"/>
                <w:sz w:val="16"/>
                <w:szCs w:val="16"/>
              </w:rPr>
              <w:t>14</w:t>
            </w:r>
          </w:p>
        </w:tc>
      </w:tr>
      <w:tr w:rsidR="00B834A2" w:rsidRPr="004F5242" w14:paraId="6AB1A458" w14:textId="77777777" w:rsidTr="004F5242">
        <w:trPr>
          <w:jc w:val="center"/>
        </w:trPr>
        <w:tc>
          <w:tcPr>
            <w:tcW w:w="1541" w:type="dxa"/>
            <w:tcBorders>
              <w:top w:val="single" w:sz="4" w:space="0" w:color="auto"/>
            </w:tcBorders>
            <w:shd w:val="clear" w:color="auto" w:fill="FFFFFF"/>
            <w:vAlign w:val="bottom"/>
          </w:tcPr>
          <w:p w14:paraId="6AF4AF47" w14:textId="77777777" w:rsidR="00B834A2" w:rsidRPr="004F5242" w:rsidRDefault="00B834A2" w:rsidP="004F5242">
            <w:pPr>
              <w:pStyle w:val="a0"/>
              <w:shd w:val="clear" w:color="auto" w:fill="auto"/>
              <w:spacing w:after="120" w:line="240" w:lineRule="auto"/>
              <w:ind w:firstLine="20"/>
              <w:jc w:val="center"/>
              <w:rPr>
                <w:rFonts w:ascii="Sylfaen" w:hAnsi="Sylfaen" w:cs="Sylfaen"/>
                <w:sz w:val="16"/>
                <w:szCs w:val="16"/>
              </w:rPr>
            </w:pPr>
            <w:r w:rsidRPr="004F5242">
              <w:rPr>
                <w:rFonts w:ascii="Sylfaen" w:hAnsi="Sylfaen"/>
                <w:color w:val="000000"/>
                <w:sz w:val="16"/>
                <w:szCs w:val="16"/>
              </w:rPr>
              <w:t>1</w:t>
            </w:r>
          </w:p>
        </w:tc>
        <w:tc>
          <w:tcPr>
            <w:tcW w:w="567" w:type="dxa"/>
            <w:tcBorders>
              <w:top w:val="single" w:sz="4" w:space="0" w:color="auto"/>
              <w:left w:val="single" w:sz="4" w:space="0" w:color="auto"/>
            </w:tcBorders>
            <w:shd w:val="clear" w:color="auto" w:fill="FFFFFF"/>
          </w:tcPr>
          <w:p w14:paraId="47F51E7E"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605" w:type="dxa"/>
            <w:tcBorders>
              <w:top w:val="single" w:sz="4" w:space="0" w:color="auto"/>
              <w:left w:val="single" w:sz="4" w:space="0" w:color="auto"/>
            </w:tcBorders>
            <w:shd w:val="clear" w:color="auto" w:fill="FFFFFF"/>
          </w:tcPr>
          <w:p w14:paraId="219FB09A"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31" w:type="dxa"/>
            <w:tcBorders>
              <w:top w:val="single" w:sz="4" w:space="0" w:color="auto"/>
              <w:left w:val="single" w:sz="4" w:space="0" w:color="auto"/>
            </w:tcBorders>
            <w:shd w:val="clear" w:color="auto" w:fill="FFFFFF"/>
          </w:tcPr>
          <w:p w14:paraId="0646BBD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tcBorders>
            <w:shd w:val="clear" w:color="auto" w:fill="FFFFFF"/>
          </w:tcPr>
          <w:p w14:paraId="62A11446"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tcBorders>
            <w:shd w:val="clear" w:color="auto" w:fill="FFFFFF"/>
          </w:tcPr>
          <w:p w14:paraId="5893B43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992" w:type="dxa"/>
            <w:tcBorders>
              <w:top w:val="single" w:sz="4" w:space="0" w:color="auto"/>
              <w:left w:val="single" w:sz="4" w:space="0" w:color="auto"/>
            </w:tcBorders>
            <w:shd w:val="clear" w:color="auto" w:fill="FFFFFF"/>
          </w:tcPr>
          <w:p w14:paraId="3575ACAC"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50" w:type="dxa"/>
            <w:tcBorders>
              <w:top w:val="single" w:sz="4" w:space="0" w:color="auto"/>
              <w:left w:val="single" w:sz="4" w:space="0" w:color="auto"/>
            </w:tcBorders>
            <w:shd w:val="clear" w:color="auto" w:fill="FFFFFF"/>
          </w:tcPr>
          <w:p w14:paraId="7E6E24A3"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tcBorders>
            <w:shd w:val="clear" w:color="auto" w:fill="FFFFFF"/>
          </w:tcPr>
          <w:p w14:paraId="62807F7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708" w:type="dxa"/>
            <w:tcBorders>
              <w:top w:val="single" w:sz="4" w:space="0" w:color="auto"/>
              <w:left w:val="single" w:sz="4" w:space="0" w:color="auto"/>
            </w:tcBorders>
            <w:shd w:val="clear" w:color="auto" w:fill="FFFFFF"/>
          </w:tcPr>
          <w:p w14:paraId="76A6FAFA"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1134" w:type="dxa"/>
            <w:tcBorders>
              <w:top w:val="single" w:sz="4" w:space="0" w:color="auto"/>
              <w:left w:val="single" w:sz="4" w:space="0" w:color="auto"/>
            </w:tcBorders>
            <w:shd w:val="clear" w:color="auto" w:fill="FFFFFF"/>
          </w:tcPr>
          <w:p w14:paraId="7EF7479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638" w:type="dxa"/>
            <w:tcBorders>
              <w:top w:val="single" w:sz="4" w:space="0" w:color="auto"/>
              <w:left w:val="single" w:sz="4" w:space="0" w:color="auto"/>
            </w:tcBorders>
            <w:shd w:val="clear" w:color="auto" w:fill="FFFFFF"/>
          </w:tcPr>
          <w:p w14:paraId="6F829F4E"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72" w:type="dxa"/>
            <w:tcBorders>
              <w:top w:val="single" w:sz="4" w:space="0" w:color="auto"/>
              <w:left w:val="single" w:sz="4" w:space="0" w:color="auto"/>
            </w:tcBorders>
            <w:shd w:val="clear" w:color="auto" w:fill="FFFFFF"/>
          </w:tcPr>
          <w:p w14:paraId="012674BE"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1701" w:type="dxa"/>
            <w:tcBorders>
              <w:top w:val="single" w:sz="4" w:space="0" w:color="auto"/>
              <w:left w:val="single" w:sz="4" w:space="0" w:color="auto"/>
            </w:tcBorders>
            <w:shd w:val="clear" w:color="auto" w:fill="FFFFFF"/>
          </w:tcPr>
          <w:p w14:paraId="3B5944D0"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r>
      <w:tr w:rsidR="00B834A2" w:rsidRPr="004F5242" w14:paraId="335600F6" w14:textId="77777777" w:rsidTr="004F5242">
        <w:trPr>
          <w:jc w:val="center"/>
        </w:trPr>
        <w:tc>
          <w:tcPr>
            <w:tcW w:w="1541" w:type="dxa"/>
            <w:tcBorders>
              <w:top w:val="single" w:sz="4" w:space="0" w:color="auto"/>
              <w:bottom w:val="single" w:sz="4" w:space="0" w:color="auto"/>
            </w:tcBorders>
            <w:shd w:val="clear" w:color="auto" w:fill="FFFFFF"/>
            <w:vAlign w:val="bottom"/>
          </w:tcPr>
          <w:p w14:paraId="3BFAC5E5" w14:textId="77777777" w:rsidR="00B834A2" w:rsidRPr="004F5242" w:rsidRDefault="00B834A2" w:rsidP="004F5242">
            <w:pPr>
              <w:pStyle w:val="a0"/>
              <w:shd w:val="clear" w:color="auto" w:fill="auto"/>
              <w:spacing w:after="120" w:line="240" w:lineRule="auto"/>
              <w:ind w:firstLine="20"/>
              <w:jc w:val="center"/>
              <w:rPr>
                <w:rFonts w:ascii="Sylfaen" w:hAnsi="Sylfaen" w:cs="Sylfaen"/>
                <w:sz w:val="16"/>
                <w:szCs w:val="16"/>
              </w:rPr>
            </w:pPr>
            <w:r w:rsidRPr="004F5242">
              <w:rPr>
                <w:rFonts w:ascii="Sylfaen" w:hAnsi="Sylfaen"/>
                <w:color w:val="000000"/>
                <w:sz w:val="16"/>
                <w:szCs w:val="16"/>
              </w:rPr>
              <w:t>2</w:t>
            </w:r>
          </w:p>
        </w:tc>
        <w:tc>
          <w:tcPr>
            <w:tcW w:w="567" w:type="dxa"/>
            <w:tcBorders>
              <w:top w:val="single" w:sz="4" w:space="0" w:color="auto"/>
              <w:left w:val="single" w:sz="4" w:space="0" w:color="auto"/>
              <w:bottom w:val="single" w:sz="4" w:space="0" w:color="auto"/>
            </w:tcBorders>
            <w:shd w:val="clear" w:color="auto" w:fill="FFFFFF"/>
          </w:tcPr>
          <w:p w14:paraId="1E86BAAF"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605" w:type="dxa"/>
            <w:tcBorders>
              <w:top w:val="single" w:sz="4" w:space="0" w:color="auto"/>
              <w:left w:val="single" w:sz="4" w:space="0" w:color="auto"/>
              <w:bottom w:val="single" w:sz="4" w:space="0" w:color="auto"/>
            </w:tcBorders>
            <w:shd w:val="clear" w:color="auto" w:fill="FFFFFF"/>
          </w:tcPr>
          <w:p w14:paraId="31B492E8"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31" w:type="dxa"/>
            <w:tcBorders>
              <w:top w:val="single" w:sz="4" w:space="0" w:color="auto"/>
              <w:left w:val="single" w:sz="4" w:space="0" w:color="auto"/>
              <w:bottom w:val="single" w:sz="4" w:space="0" w:color="auto"/>
            </w:tcBorders>
            <w:shd w:val="clear" w:color="auto" w:fill="FFFFFF"/>
          </w:tcPr>
          <w:p w14:paraId="7774A51F"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bottom w:val="single" w:sz="4" w:space="0" w:color="auto"/>
            </w:tcBorders>
            <w:shd w:val="clear" w:color="auto" w:fill="FFFFFF"/>
          </w:tcPr>
          <w:p w14:paraId="50EF841B"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bottom w:val="single" w:sz="4" w:space="0" w:color="auto"/>
            </w:tcBorders>
            <w:shd w:val="clear" w:color="auto" w:fill="FFFFFF"/>
          </w:tcPr>
          <w:p w14:paraId="0FABE4BE"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992" w:type="dxa"/>
            <w:tcBorders>
              <w:top w:val="single" w:sz="4" w:space="0" w:color="auto"/>
              <w:left w:val="single" w:sz="4" w:space="0" w:color="auto"/>
              <w:bottom w:val="single" w:sz="4" w:space="0" w:color="auto"/>
            </w:tcBorders>
            <w:shd w:val="clear" w:color="auto" w:fill="FFFFFF"/>
          </w:tcPr>
          <w:p w14:paraId="5072F3D6"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50" w:type="dxa"/>
            <w:tcBorders>
              <w:top w:val="single" w:sz="4" w:space="0" w:color="auto"/>
              <w:left w:val="single" w:sz="4" w:space="0" w:color="auto"/>
              <w:bottom w:val="single" w:sz="4" w:space="0" w:color="auto"/>
            </w:tcBorders>
            <w:shd w:val="clear" w:color="auto" w:fill="FFFFFF"/>
          </w:tcPr>
          <w:p w14:paraId="6501360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567" w:type="dxa"/>
            <w:tcBorders>
              <w:top w:val="single" w:sz="4" w:space="0" w:color="auto"/>
              <w:left w:val="single" w:sz="4" w:space="0" w:color="auto"/>
              <w:bottom w:val="single" w:sz="4" w:space="0" w:color="auto"/>
            </w:tcBorders>
            <w:shd w:val="clear" w:color="auto" w:fill="FFFFFF"/>
          </w:tcPr>
          <w:p w14:paraId="7A8289D9"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708" w:type="dxa"/>
            <w:tcBorders>
              <w:top w:val="single" w:sz="4" w:space="0" w:color="auto"/>
              <w:left w:val="single" w:sz="4" w:space="0" w:color="auto"/>
              <w:bottom w:val="single" w:sz="4" w:space="0" w:color="auto"/>
            </w:tcBorders>
            <w:shd w:val="clear" w:color="auto" w:fill="FFFFFF"/>
          </w:tcPr>
          <w:p w14:paraId="7CEF4BD4"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1134" w:type="dxa"/>
            <w:tcBorders>
              <w:top w:val="single" w:sz="4" w:space="0" w:color="auto"/>
              <w:left w:val="single" w:sz="4" w:space="0" w:color="auto"/>
              <w:bottom w:val="single" w:sz="4" w:space="0" w:color="auto"/>
            </w:tcBorders>
            <w:shd w:val="clear" w:color="auto" w:fill="FFFFFF"/>
          </w:tcPr>
          <w:p w14:paraId="033D09EB"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638" w:type="dxa"/>
            <w:tcBorders>
              <w:top w:val="single" w:sz="4" w:space="0" w:color="auto"/>
              <w:left w:val="single" w:sz="4" w:space="0" w:color="auto"/>
              <w:bottom w:val="single" w:sz="4" w:space="0" w:color="auto"/>
            </w:tcBorders>
            <w:shd w:val="clear" w:color="auto" w:fill="FFFFFF"/>
          </w:tcPr>
          <w:p w14:paraId="57B22043"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472" w:type="dxa"/>
            <w:tcBorders>
              <w:top w:val="single" w:sz="4" w:space="0" w:color="auto"/>
              <w:left w:val="single" w:sz="4" w:space="0" w:color="auto"/>
              <w:bottom w:val="single" w:sz="4" w:space="0" w:color="auto"/>
            </w:tcBorders>
            <w:shd w:val="clear" w:color="auto" w:fill="FFFFFF"/>
          </w:tcPr>
          <w:p w14:paraId="678C8467"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c>
          <w:tcPr>
            <w:tcW w:w="1701" w:type="dxa"/>
            <w:tcBorders>
              <w:top w:val="single" w:sz="4" w:space="0" w:color="auto"/>
              <w:left w:val="single" w:sz="4" w:space="0" w:color="auto"/>
              <w:bottom w:val="single" w:sz="4" w:space="0" w:color="auto"/>
            </w:tcBorders>
            <w:shd w:val="clear" w:color="auto" w:fill="FFFFFF"/>
          </w:tcPr>
          <w:p w14:paraId="14C06100" w14:textId="77777777" w:rsidR="00B834A2" w:rsidRPr="004F5242" w:rsidRDefault="00B834A2" w:rsidP="004F5242">
            <w:pPr>
              <w:pStyle w:val="a0"/>
              <w:shd w:val="clear" w:color="auto" w:fill="auto"/>
              <w:spacing w:after="120" w:line="240" w:lineRule="auto"/>
              <w:ind w:firstLine="0"/>
              <w:jc w:val="center"/>
              <w:rPr>
                <w:rFonts w:ascii="Sylfaen" w:hAnsi="Sylfaen" w:cs="Sylfaen"/>
                <w:sz w:val="16"/>
                <w:szCs w:val="16"/>
              </w:rPr>
            </w:pPr>
          </w:p>
        </w:tc>
      </w:tr>
    </w:tbl>
    <w:p w14:paraId="056FAD8B" w14:textId="77777777" w:rsidR="00B834A2" w:rsidRPr="00B834A2" w:rsidRDefault="00B834A2" w:rsidP="00B834A2">
      <w:pPr>
        <w:spacing w:after="160" w:line="360" w:lineRule="auto"/>
        <w:ind w:firstLine="567"/>
        <w:jc w:val="both"/>
      </w:pPr>
    </w:p>
    <w:p w14:paraId="28616E9C"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Cambria Math" w:cs="Sylfaen"/>
            <w:color w:val="000000"/>
            <w:sz w:val="24"/>
            <w:szCs w:val="24"/>
          </w:rPr>
          <m:t>&gt;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r>
          <w:rPr>
            <w:rFonts w:ascii="Cambria Math" w:hAnsi="Cambria Math" w:cs="Sylfaen"/>
            <w:color w:val="000000"/>
            <w:sz w:val="24"/>
            <w:szCs w:val="24"/>
          </w:rPr>
          <m:t>)</m:t>
        </m:r>
      </m:oMath>
      <w:r w:rsidR="00B834A2" w:rsidRPr="00B834A2">
        <w:rPr>
          <w:rFonts w:ascii="Sylfaen" w:hAnsi="Sylfaen"/>
          <w:color w:val="000000"/>
          <w:sz w:val="24"/>
          <w:szCs w:val="24"/>
        </w:rPr>
        <w:t xml:space="preserve"> դիսպերսիաների գնահատականների հետ անալիզի երկու մեթոդիկաների ճշգրտության համեմատման դեպքում հաշվարկում են Ֆիշերի </w:t>
      </w:r>
      <w:r w:rsidR="00B834A2" w:rsidRPr="00B834A2">
        <w:rPr>
          <w:rFonts w:ascii="Sylfaen" w:hAnsi="Sylfaen"/>
          <w:i/>
          <w:color w:val="000000"/>
          <w:sz w:val="24"/>
          <w:szCs w:val="24"/>
        </w:rPr>
        <w:t>F չափորոշիչը.</w:t>
      </w:r>
    </w:p>
    <w:p w14:paraId="3CDD2A98" w14:textId="77777777" w:rsidR="0078572C"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F=</m:t>
        </m:r>
        <m:f>
          <m:fPr>
            <m:ctrlPr>
              <w:rPr>
                <w:rFonts w:ascii="Cambria Math" w:hAnsi="Cambria Math" w:cs="Sylfaen"/>
                <w:i/>
                <w:color w:val="000000"/>
                <w:sz w:val="24"/>
                <w:szCs w:val="24"/>
              </w:rPr>
            </m:ctrlPr>
          </m:fPr>
          <m:num>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num>
          <m:den>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den>
        </m:f>
        <m:r>
          <w:rPr>
            <w:rFonts w:ascii="Cambria Math" w:hAnsi="Cambria Math" w:cs="Sylfaen"/>
            <w:color w:val="000000"/>
            <w:sz w:val="24"/>
            <w:szCs w:val="24"/>
          </w:rPr>
          <m:t xml:space="preserve"> </m:t>
        </m:r>
        <m:r>
          <w:rPr>
            <w:rFonts w:ascii="Cambria Math" w:hAnsi="Cambria Math" w:cs="Cambria Math"/>
            <w:color w:val="000000"/>
            <w:sz w:val="24"/>
            <w:szCs w:val="24"/>
          </w:rPr>
          <m:t xml:space="preserve">։      </m:t>
        </m:r>
      </m:oMath>
      <w:r w:rsidR="0078572C" w:rsidRPr="0078572C">
        <w:rPr>
          <w:rFonts w:ascii="Sylfaen" w:hAnsi="Sylfaen"/>
          <w:color w:val="000000"/>
          <w:sz w:val="24"/>
          <w:szCs w:val="24"/>
        </w:rPr>
        <w:tab/>
      </w:r>
      <w:r w:rsidR="0078572C" w:rsidRPr="00B834A2">
        <w:rPr>
          <w:rFonts w:ascii="Sylfaen" w:hAnsi="Sylfaen"/>
          <w:color w:val="000000"/>
          <w:sz w:val="24"/>
          <w:szCs w:val="24"/>
        </w:rPr>
        <w:t>(2.1)</w:t>
      </w:r>
    </w:p>
    <w:p w14:paraId="0BB7CD7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F</m:t>
        </m:r>
      </m:oMath>
      <w:r w:rsidRPr="00B834A2">
        <w:rPr>
          <w:rFonts w:ascii="Sylfaen" w:hAnsi="Sylfaen"/>
          <w:color w:val="000000"/>
          <w:sz w:val="24"/>
          <w:szCs w:val="24"/>
        </w:rPr>
        <w:t xml:space="preserve"> չափորոշիչը բնութագրում է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Cambria Math" w:cs="Sylfaen"/>
            <w:color w:val="000000"/>
            <w:sz w:val="24"/>
            <w:szCs w:val="24"/>
          </w:rPr>
          <m:t>&gt;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r>
          <w:rPr>
            <w:rFonts w:ascii="Cambria Math" w:hAnsi="Cambria Math" w:cs="Sylfaen"/>
            <w:color w:val="000000"/>
            <w:sz w:val="24"/>
            <w:szCs w:val="24"/>
          </w:rPr>
          <m:t>-</m:t>
        </m:r>
        <m:r>
          <w:rPr>
            <w:rFonts w:ascii="Sylfaen" w:hAnsi="Sylfaen" w:cs="Sylfaen"/>
            <w:color w:val="000000"/>
            <w:sz w:val="24"/>
            <w:szCs w:val="24"/>
          </w:rPr>
          <m:t>ի</m:t>
        </m:r>
      </m:oMath>
      <w:r w:rsidRPr="00B834A2">
        <w:rPr>
          <w:rFonts w:ascii="Sylfaen" w:hAnsi="Sylfaen"/>
          <w:color w:val="000000"/>
          <w:sz w:val="24"/>
          <w:szCs w:val="24"/>
        </w:rPr>
        <w:t xml:space="preserve"> դեպքում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oMath>
      <w:r>
        <w:rPr>
          <w:rFonts w:ascii="Sylfaen" w:hAnsi="Sylfaen"/>
          <w:color w:val="000000"/>
          <w:sz w:val="24"/>
          <w:szCs w:val="24"/>
        </w:rPr>
        <w:t>եւ</w:t>
      </w:r>
      <w:r w:rsidRPr="00B834A2">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r>
          <w:rPr>
            <w:rFonts w:ascii="Cambria Math" w:hAnsi="Cambria Math" w:cs="Sylfaen"/>
            <w:color w:val="000000"/>
            <w:sz w:val="24"/>
            <w:szCs w:val="24"/>
          </w:rPr>
          <m:t>-</m:t>
        </m:r>
        <m:r>
          <w:rPr>
            <w:rFonts w:ascii="Sylfaen" w:hAnsi="Sylfaen" w:cs="Sylfaen"/>
            <w:color w:val="000000"/>
            <w:sz w:val="24"/>
            <w:szCs w:val="24"/>
          </w:rPr>
          <m:t>ի</m:t>
        </m:r>
        <m:r>
          <w:rPr>
            <w:rFonts w:ascii="Cambria Math" w:hAnsi="Cambria Math" w:cs="Sylfaen"/>
            <w:color w:val="000000"/>
            <w:sz w:val="24"/>
            <w:szCs w:val="24"/>
          </w:rPr>
          <m:t xml:space="preserve"> </m:t>
        </m:r>
      </m:oMath>
      <w:r w:rsidRPr="00B834A2">
        <w:rPr>
          <w:rFonts w:ascii="Sylfaen" w:hAnsi="Sylfaen"/>
          <w:color w:val="000000"/>
          <w:sz w:val="24"/>
          <w:szCs w:val="24"/>
        </w:rPr>
        <w:t>միջ</w:t>
      </w:r>
      <w:r>
        <w:rPr>
          <w:rFonts w:ascii="Sylfaen" w:hAnsi="Sylfaen"/>
          <w:color w:val="000000"/>
          <w:sz w:val="24"/>
          <w:szCs w:val="24"/>
        </w:rPr>
        <w:t>եւ</w:t>
      </w:r>
      <w:r w:rsidRPr="00B834A2">
        <w:rPr>
          <w:rFonts w:ascii="Sylfaen" w:hAnsi="Sylfaen"/>
          <w:color w:val="000000"/>
          <w:sz w:val="24"/>
          <w:szCs w:val="24"/>
        </w:rPr>
        <w:t xml:space="preserve"> տարբերության հավաստիությունը:</w:t>
      </w:r>
    </w:p>
    <w:p w14:paraId="2552AD5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 xml:space="preserve">Հաշվարկված </w:t>
      </w:r>
      <w:r w:rsidRPr="00B834A2">
        <w:rPr>
          <w:rFonts w:ascii="Sylfaen" w:hAnsi="Sylfaen"/>
          <w:i/>
          <w:color w:val="000000"/>
          <w:sz w:val="24"/>
          <w:szCs w:val="24"/>
        </w:rPr>
        <w:t>F</w:t>
      </w:r>
      <w:r w:rsidRPr="00B834A2">
        <w:rPr>
          <w:rFonts w:ascii="Sylfaen" w:hAnsi="Sylfaen"/>
          <w:color w:val="000000"/>
          <w:sz w:val="24"/>
          <w:szCs w:val="24"/>
        </w:rPr>
        <w:t xml:space="preserve"> արժեքը համեմատում են </w:t>
      </w:r>
      <w:r w:rsidRPr="00B834A2">
        <w:rPr>
          <w:rFonts w:ascii="Sylfaen" w:hAnsi="Sylfaen"/>
          <w:i/>
          <w:color w:val="000000"/>
          <w:sz w:val="24"/>
          <w:szCs w:val="24"/>
        </w:rPr>
        <w:t>Р</w:t>
      </w:r>
      <w:r w:rsidRPr="00B834A2">
        <w:rPr>
          <w:rFonts w:ascii="Sylfaen" w:hAnsi="Sylfaen"/>
          <w:i/>
          <w:color w:val="000000"/>
          <w:sz w:val="24"/>
          <w:szCs w:val="24"/>
          <w:vertAlign w:val="subscript"/>
        </w:rPr>
        <w:t xml:space="preserve">1 </w:t>
      </w:r>
      <w:r w:rsidRPr="00B834A2">
        <w:rPr>
          <w:rFonts w:ascii="Sylfaen" w:hAnsi="Sylfaen"/>
          <w:i/>
          <w:color w:val="000000"/>
          <w:sz w:val="24"/>
          <w:szCs w:val="24"/>
        </w:rPr>
        <w:t>=</w:t>
      </w:r>
      <w:r w:rsidRPr="00B834A2">
        <w:rPr>
          <w:rFonts w:ascii="Sylfaen" w:hAnsi="Sylfaen"/>
          <w:color w:val="000000"/>
          <w:sz w:val="24"/>
          <w:szCs w:val="24"/>
        </w:rPr>
        <w:t xml:space="preserve"> 99 % -ի դեպքում գտնված աղյուսակային </w:t>
      </w:r>
      <w:r w:rsidRPr="00B834A2">
        <w:rPr>
          <w:rFonts w:ascii="Sylfaen" w:hAnsi="Sylfaen"/>
          <w:i/>
          <w:color w:val="000000"/>
          <w:sz w:val="24"/>
          <w:szCs w:val="24"/>
        </w:rPr>
        <w:t>F(Р,f</w:t>
      </w:r>
      <w:r w:rsidRPr="00B834A2">
        <w:rPr>
          <w:rFonts w:ascii="Sylfaen" w:hAnsi="Sylfaen"/>
          <w:i/>
          <w:color w:val="000000"/>
          <w:sz w:val="24"/>
          <w:szCs w:val="24"/>
          <w:vertAlign w:val="subscript"/>
        </w:rPr>
        <w:t>1</w:t>
      </w:r>
      <w:r w:rsidRPr="00B834A2">
        <w:rPr>
          <w:rFonts w:ascii="Sylfaen" w:hAnsi="Sylfaen"/>
          <w:i/>
          <w:color w:val="000000"/>
          <w:sz w:val="24"/>
          <w:szCs w:val="24"/>
        </w:rPr>
        <w:t>,f</w:t>
      </w:r>
      <w:r w:rsidRPr="00B834A2">
        <w:rPr>
          <w:rFonts w:ascii="Sylfaen" w:hAnsi="Sylfaen"/>
          <w:i/>
          <w:color w:val="000000"/>
          <w:sz w:val="24"/>
          <w:szCs w:val="24"/>
          <w:vertAlign w:val="subscript"/>
        </w:rPr>
        <w:t>2</w:t>
      </w:r>
      <w:r w:rsidRPr="00B834A2">
        <w:rPr>
          <w:rFonts w:ascii="Sylfaen" w:hAnsi="Sylfaen"/>
          <w:i/>
          <w:color w:val="000000"/>
          <w:sz w:val="24"/>
          <w:szCs w:val="24"/>
        </w:rPr>
        <w:t>)</w:t>
      </w:r>
      <w:r w:rsidRPr="00B834A2">
        <w:rPr>
          <w:rFonts w:ascii="Sylfaen" w:hAnsi="Sylfaen"/>
          <w:color w:val="000000"/>
          <w:sz w:val="24"/>
          <w:szCs w:val="24"/>
        </w:rPr>
        <w:t xml:space="preserve"> արժեքի հետ (Հավելվածի աղյուսակ 3):</w:t>
      </w:r>
    </w:p>
    <w:p w14:paraId="6FD1C62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F</w:t>
      </w:r>
      <w:r>
        <w:rPr>
          <w:rFonts w:ascii="Sylfaen" w:hAnsi="Sylfaen"/>
          <w:color w:val="000000"/>
          <w:sz w:val="24"/>
          <w:szCs w:val="24"/>
        </w:rPr>
        <w:t xml:space="preserve"> </w:t>
      </w:r>
      <w:r w:rsidRPr="00B834A2">
        <w:rPr>
          <w:rFonts w:ascii="Sylfaen" w:hAnsi="Sylfaen"/>
          <w:color w:val="000000"/>
          <w:sz w:val="24"/>
          <w:szCs w:val="24"/>
        </w:rPr>
        <w:t>հաշվարկված արժեքի համար կատարվում է հետ</w:t>
      </w:r>
      <w:r>
        <w:rPr>
          <w:rFonts w:ascii="Sylfaen" w:hAnsi="Sylfaen"/>
          <w:color w:val="000000"/>
          <w:sz w:val="24"/>
          <w:szCs w:val="24"/>
        </w:rPr>
        <w:t>եւ</w:t>
      </w:r>
      <w:r w:rsidRPr="00B834A2">
        <w:rPr>
          <w:rFonts w:ascii="Sylfaen" w:hAnsi="Sylfaen"/>
          <w:color w:val="000000"/>
          <w:sz w:val="24"/>
          <w:szCs w:val="24"/>
        </w:rPr>
        <w:t>յալ անհավասարումը՝</w:t>
      </w:r>
    </w:p>
    <w:p w14:paraId="5DAB287F"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i/>
          <w:color w:val="000000"/>
          <w:sz w:val="24"/>
          <w:szCs w:val="24"/>
        </w:rPr>
        <w:t>F &gt;F (P</w:t>
      </w:r>
      <w:r w:rsidRPr="00B834A2">
        <w:rPr>
          <w:rFonts w:ascii="Sylfaen" w:hAnsi="Sylfaen"/>
          <w:i/>
          <w:color w:val="000000"/>
          <w:sz w:val="24"/>
          <w:szCs w:val="24"/>
          <w:vertAlign w:val="subscript"/>
        </w:rPr>
        <w:t>1</w:t>
      </w:r>
      <w:r w:rsidRPr="00B834A2">
        <w:rPr>
          <w:rFonts w:ascii="Sylfaen" w:hAnsi="Sylfaen"/>
          <w:i/>
          <w:color w:val="000000"/>
          <w:sz w:val="24"/>
          <w:szCs w:val="24"/>
        </w:rPr>
        <w:t>,f</w:t>
      </w:r>
      <w:r w:rsidRPr="00B834A2">
        <w:rPr>
          <w:rFonts w:ascii="Sylfaen" w:hAnsi="Sylfaen"/>
          <w:i/>
          <w:color w:val="000000"/>
          <w:sz w:val="24"/>
          <w:szCs w:val="24"/>
          <w:vertAlign w:val="subscript"/>
        </w:rPr>
        <w:t>1</w:t>
      </w:r>
      <w:r w:rsidRPr="00B834A2">
        <w:rPr>
          <w:rFonts w:ascii="Sylfaen" w:hAnsi="Sylfaen"/>
          <w:i/>
          <w:color w:val="000000"/>
          <w:sz w:val="24"/>
          <w:szCs w:val="24"/>
        </w:rPr>
        <w:t>,f</w:t>
      </w:r>
      <w:r w:rsidRPr="00B834A2">
        <w:rPr>
          <w:rFonts w:ascii="Sylfaen" w:hAnsi="Sylfaen"/>
          <w:i/>
          <w:color w:val="000000"/>
          <w:sz w:val="24"/>
          <w:szCs w:val="24"/>
          <w:vertAlign w:val="subscript"/>
        </w:rPr>
        <w:t>2</w:t>
      </w:r>
      <w:r w:rsidRPr="00B834A2">
        <w:rPr>
          <w:rFonts w:ascii="Sylfaen" w:hAnsi="Sylfaen"/>
          <w:i/>
          <w:color w:val="000000"/>
          <w:sz w:val="24"/>
          <w:szCs w:val="24"/>
        </w:rPr>
        <w:t>),</w:t>
      </w:r>
      <w:r>
        <w:rPr>
          <w:rFonts w:ascii="Sylfaen" w:hAnsi="Sylfaen"/>
          <w:i/>
          <w:color w:val="000000"/>
          <w:sz w:val="24"/>
          <w:szCs w:val="24"/>
        </w:rPr>
        <w:t xml:space="preserve"> </w:t>
      </w:r>
      <w:r w:rsidR="0078572C" w:rsidRPr="002E52D1">
        <w:rPr>
          <w:rFonts w:ascii="Sylfaen" w:hAnsi="Sylfaen"/>
          <w:i/>
          <w:color w:val="000000"/>
          <w:sz w:val="24"/>
          <w:szCs w:val="24"/>
        </w:rPr>
        <w:tab/>
      </w:r>
      <w:r w:rsidRPr="00B834A2">
        <w:rPr>
          <w:rFonts w:ascii="Sylfaen" w:hAnsi="Sylfaen"/>
          <w:color w:val="000000"/>
          <w:sz w:val="24"/>
          <w:szCs w:val="24"/>
        </w:rPr>
        <w:t>(2.2)</w:t>
      </w:r>
    </w:p>
    <w:p w14:paraId="0A3D6CA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ապա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Sylfaen" w:cs="Sylfaen"/>
            <w:color w:val="000000"/>
            <w:sz w:val="24"/>
            <w:szCs w:val="24"/>
          </w:rPr>
          <m:t>եւ</m:t>
        </m:r>
        <m:r>
          <w:rPr>
            <w:rFonts w:ascii="Cambria Math" w:hAnsi="Cambria Math" w:cs="Sylfaen"/>
            <w:color w:val="000000"/>
            <w:sz w:val="24"/>
            <w:szCs w:val="24"/>
          </w:rPr>
          <m:t xml:space="preserve"> </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oMath>
      <w:r w:rsidRPr="00B834A2">
        <w:rPr>
          <w:rFonts w:ascii="Sylfaen" w:hAnsi="Sylfaen"/>
          <w:color w:val="000000"/>
          <w:sz w:val="24"/>
          <w:szCs w:val="24"/>
        </w:rPr>
        <w:t xml:space="preserve"> դիսպերսիաների տարբերությունը ճանաչվում է </w:t>
      </w:r>
      <w:r w:rsidRPr="00B834A2">
        <w:rPr>
          <w:rFonts w:ascii="Sylfaen" w:hAnsi="Sylfaen"/>
          <w:i/>
          <w:color w:val="000000"/>
          <w:sz w:val="24"/>
          <w:szCs w:val="24"/>
        </w:rPr>
        <w:t>Р</w:t>
      </w:r>
      <w:r w:rsidRPr="00B834A2">
        <w:rPr>
          <w:rFonts w:ascii="Sylfaen" w:hAnsi="Sylfaen"/>
          <w:i/>
          <w:color w:val="000000"/>
          <w:sz w:val="24"/>
          <w:szCs w:val="24"/>
          <w:vertAlign w:val="subscript"/>
        </w:rPr>
        <w:t>1</w:t>
      </w:r>
      <w:r w:rsidRPr="00B834A2">
        <w:rPr>
          <w:rFonts w:ascii="Sylfaen" w:hAnsi="Sylfaen"/>
          <w:color w:val="000000"/>
          <w:sz w:val="24"/>
          <w:szCs w:val="24"/>
        </w:rPr>
        <w:t xml:space="preserve"> հավանականությամբ վիճակագրորեն նշանակալի, ինչը թույլ է տալիս եզրակացություն անել երկրորդ մեթոդիկայի առավել բարձր ճշգրտության մասին:</w:t>
      </w:r>
    </w:p>
    <w:p w14:paraId="717EE8D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Եթե կատարվում է հետ</w:t>
      </w:r>
      <w:r>
        <w:rPr>
          <w:rFonts w:ascii="Sylfaen" w:hAnsi="Sylfaen"/>
          <w:color w:val="000000"/>
          <w:sz w:val="24"/>
          <w:szCs w:val="24"/>
        </w:rPr>
        <w:t>եւ</w:t>
      </w:r>
      <w:r w:rsidRPr="00B834A2">
        <w:rPr>
          <w:rFonts w:ascii="Sylfaen" w:hAnsi="Sylfaen"/>
          <w:color w:val="000000"/>
          <w:sz w:val="24"/>
          <w:szCs w:val="24"/>
        </w:rPr>
        <w:t>յալ անհավասարումը՝</w:t>
      </w:r>
    </w:p>
    <w:p w14:paraId="2CB7383A"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eastAsiaTheme="minorHAnsi" w:hAnsi="Sylfaen" w:cs="TimesNewRomanCyr-NormalItalic"/>
          <w:i/>
          <w:iCs/>
          <w:sz w:val="24"/>
          <w:szCs w:val="24"/>
          <w:lang w:bidi="ar-SA"/>
        </w:rPr>
        <w:t xml:space="preserve">F </w:t>
      </w:r>
      <w:r w:rsidRPr="00B834A2">
        <w:rPr>
          <w:rFonts w:ascii="Sylfaen" w:eastAsiaTheme="minorHAnsi" w:hAnsi="Sylfaen" w:cs="Symbol"/>
          <w:sz w:val="24"/>
          <w:szCs w:val="24"/>
          <w:lang w:bidi="ar-SA"/>
        </w:rPr>
        <w:t></w:t>
      </w:r>
      <w:r w:rsidRPr="00B834A2">
        <w:rPr>
          <w:rFonts w:ascii="Sylfaen" w:eastAsiaTheme="minorHAnsi" w:hAnsi="Sylfaen" w:cs="Symbol"/>
          <w:sz w:val="24"/>
          <w:szCs w:val="24"/>
          <w:lang w:bidi="ar-SA"/>
        </w:rPr>
        <w:t></w:t>
      </w:r>
      <w:r w:rsidRPr="00B834A2">
        <w:rPr>
          <w:rFonts w:ascii="Sylfaen" w:eastAsiaTheme="minorHAnsi" w:hAnsi="Sylfaen" w:cs="TimesNewRomanCyr-NormalItalic"/>
          <w:i/>
          <w:iCs/>
          <w:sz w:val="24"/>
          <w:szCs w:val="24"/>
          <w:lang w:bidi="ar-SA"/>
        </w:rPr>
        <w:t>F</w:t>
      </w:r>
      <w:r w:rsidRPr="00B834A2">
        <w:rPr>
          <w:rFonts w:ascii="Sylfaen" w:eastAsiaTheme="minorHAnsi" w:hAnsi="Sylfaen" w:cs="TimesNewRomanCyr"/>
          <w:sz w:val="24"/>
          <w:szCs w:val="24"/>
          <w:lang w:bidi="ar-SA"/>
        </w:rPr>
        <w:t>(</w:t>
      </w:r>
      <w:r w:rsidRPr="00B834A2">
        <w:rPr>
          <w:rFonts w:ascii="Sylfaen" w:eastAsiaTheme="minorHAnsi" w:hAnsi="Sylfaen" w:cs="TimesNewRomanCyr-NormalItalic"/>
          <w:i/>
          <w:iCs/>
          <w:sz w:val="24"/>
          <w:szCs w:val="24"/>
          <w:lang w:bidi="ar-SA"/>
        </w:rPr>
        <w:t>P1</w:t>
      </w:r>
      <w:r w:rsidRPr="00B834A2">
        <w:rPr>
          <w:rFonts w:ascii="Sylfaen" w:eastAsiaTheme="minorHAnsi" w:hAnsi="Sylfaen" w:cs="TimesNewRomanCyr"/>
          <w:sz w:val="24"/>
          <w:szCs w:val="24"/>
          <w:lang w:bidi="ar-SA"/>
        </w:rPr>
        <w:t xml:space="preserve">, </w:t>
      </w:r>
      <w:r w:rsidRPr="00B834A2">
        <w:rPr>
          <w:rFonts w:ascii="Sylfaen" w:eastAsiaTheme="minorHAnsi" w:hAnsi="Sylfaen" w:cs="TimesNewRomanCyr-NormalItalic"/>
          <w:i/>
          <w:iCs/>
          <w:sz w:val="24"/>
          <w:szCs w:val="24"/>
          <w:lang w:bidi="ar-SA"/>
        </w:rPr>
        <w:t>f</w:t>
      </w:r>
      <w:r w:rsidRPr="00B834A2">
        <w:rPr>
          <w:rFonts w:ascii="Sylfaen" w:eastAsiaTheme="minorHAnsi" w:hAnsi="Sylfaen" w:cs="TimesNewRomanCyr"/>
          <w:sz w:val="24"/>
          <w:szCs w:val="24"/>
          <w:lang w:bidi="ar-SA"/>
        </w:rPr>
        <w:t xml:space="preserve">1, </w:t>
      </w:r>
      <w:r w:rsidRPr="00B834A2">
        <w:rPr>
          <w:rFonts w:ascii="Sylfaen" w:eastAsiaTheme="minorHAnsi" w:hAnsi="Sylfaen" w:cs="TimesNewRomanCyr-NormalItalic"/>
          <w:i/>
          <w:iCs/>
          <w:sz w:val="24"/>
          <w:szCs w:val="24"/>
          <w:lang w:bidi="ar-SA"/>
        </w:rPr>
        <w:t>f</w:t>
      </w:r>
      <w:r w:rsidRPr="00B834A2">
        <w:rPr>
          <w:rFonts w:ascii="Sylfaen" w:eastAsiaTheme="minorHAnsi" w:hAnsi="Sylfaen" w:cs="TimesNewRomanCyr"/>
          <w:sz w:val="24"/>
          <w:szCs w:val="24"/>
          <w:lang w:bidi="ar-SA"/>
        </w:rPr>
        <w:t xml:space="preserve">2) </w:t>
      </w:r>
      <w:r w:rsidRPr="00B834A2">
        <w:rPr>
          <w:rFonts w:ascii="Sylfaen" w:hAnsi="Sylfaen"/>
          <w:color w:val="000000"/>
          <w:sz w:val="24"/>
          <w:szCs w:val="24"/>
        </w:rPr>
        <w:t>,</w:t>
      </w:r>
      <w:r w:rsidR="0078572C" w:rsidRPr="002E52D1">
        <w:rPr>
          <w:rFonts w:ascii="Sylfaen" w:hAnsi="Sylfaen"/>
          <w:color w:val="000000"/>
          <w:sz w:val="24"/>
          <w:szCs w:val="24"/>
        </w:rPr>
        <w:tab/>
      </w:r>
      <w:r w:rsidRPr="00B834A2">
        <w:rPr>
          <w:rFonts w:ascii="Sylfaen" w:hAnsi="Sylfaen"/>
          <w:color w:val="000000"/>
          <w:sz w:val="24"/>
          <w:szCs w:val="24"/>
        </w:rPr>
        <w:t>(2.3)</w:t>
      </w:r>
    </w:p>
    <w:p w14:paraId="0BF4E4D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ապա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oMath>
      <w:r>
        <w:rPr>
          <w:rFonts w:ascii="Sylfaen" w:hAnsi="Sylfaen"/>
          <w:color w:val="000000"/>
          <w:sz w:val="24"/>
          <w:szCs w:val="24"/>
        </w:rPr>
        <w:t>եւ</w:t>
      </w:r>
      <w:r w:rsidRPr="00B834A2">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r>
          <w:rPr>
            <w:rFonts w:ascii="Cambria Math" w:hAnsi="Cambria Math" w:cs="Sylfaen"/>
            <w:color w:val="000000"/>
            <w:sz w:val="24"/>
            <w:szCs w:val="24"/>
          </w:rPr>
          <m:t xml:space="preserve"> </m:t>
        </m:r>
      </m:oMath>
      <w:r w:rsidRPr="00B834A2">
        <w:rPr>
          <w:rFonts w:ascii="Sylfaen" w:hAnsi="Sylfaen"/>
          <w:color w:val="000000"/>
          <w:sz w:val="24"/>
          <w:szCs w:val="24"/>
        </w:rPr>
        <w:t xml:space="preserve">արժեքների տարբերությունը չի կարող ճանաչվել նշանակալի, </w:t>
      </w:r>
      <w:r>
        <w:rPr>
          <w:rFonts w:ascii="Sylfaen" w:hAnsi="Sylfaen"/>
          <w:color w:val="000000"/>
          <w:sz w:val="24"/>
          <w:szCs w:val="24"/>
        </w:rPr>
        <w:t>եւ</w:t>
      </w:r>
      <w:r w:rsidRPr="00B834A2">
        <w:rPr>
          <w:rFonts w:ascii="Sylfaen" w:hAnsi="Sylfaen"/>
          <w:color w:val="000000"/>
          <w:sz w:val="24"/>
          <w:szCs w:val="24"/>
        </w:rPr>
        <w:t xml:space="preserve"> մեթոդների ճշգրտության (զուգամիտության) տարբերության մասին եզրակացություն չի կարելի անել՝ տեղեկատվության ոչ բավարար ծավալից ելնելով:</w:t>
      </w:r>
    </w:p>
    <w:p w14:paraId="4CFC92F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Եթե</w:t>
      </w:r>
    </w:p>
    <w:p w14:paraId="109E7BFA" w14:textId="77777777" w:rsidR="00B834A2" w:rsidRPr="00B834A2" w:rsidRDefault="00B834A2" w:rsidP="0078572C">
      <w:pPr>
        <w:tabs>
          <w:tab w:val="left" w:pos="4253"/>
        </w:tabs>
        <w:spacing w:after="160" w:line="360" w:lineRule="auto"/>
        <w:ind w:firstLine="567"/>
        <w:jc w:val="center"/>
      </w:pPr>
      <m:oMath>
        <m:r>
          <w:rPr>
            <w:rFonts w:ascii="Cambria Math" w:hAnsi="Cambria Math"/>
          </w:rPr>
          <m:t>F(</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=0,95,</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)&lt;F&lt;F(</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=0,99,</m:t>
        </m:r>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oMath>
      <w:r w:rsidRPr="00B834A2">
        <w:t>,</w:t>
      </w:r>
      <w:r>
        <w:t xml:space="preserve"> </w:t>
      </w:r>
      <w:r w:rsidR="0078572C" w:rsidRPr="002E52D1">
        <w:tab/>
      </w:r>
      <w:r w:rsidRPr="00B834A2">
        <w:t>(2.4)</w:t>
      </w:r>
    </w:p>
    <w:p w14:paraId="2B06D76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ապա նպատակահարմար է անցկացնել լավագույն ճշգրտությամբ (զուգամիտությամբ) մեթոդիկայի համար հետագա փորձարարական հետազոտություն:</w:t>
      </w:r>
    </w:p>
    <w:p w14:paraId="40832D8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Անալիզի երկու մեթոդիկաները համեմատելիս վիճակագրական մշակման արդյունքները կարող են ներկայացվել աղյուսակ 2-1-ի տեսքով: </w:t>
      </w:r>
    </w:p>
    <w:p w14:paraId="0375EE48" w14:textId="77777777" w:rsidR="00B834A2" w:rsidRPr="00D35F34" w:rsidRDefault="00B834A2" w:rsidP="00B834A2">
      <w:pPr>
        <w:pStyle w:val="a0"/>
        <w:shd w:val="clear" w:color="auto" w:fill="auto"/>
        <w:spacing w:after="160" w:line="360" w:lineRule="auto"/>
        <w:ind w:firstLine="567"/>
        <w:jc w:val="both"/>
        <w:rPr>
          <w:rFonts w:ascii="Sylfaen" w:hAnsi="Sylfaen"/>
          <w:color w:val="000000"/>
          <w:sz w:val="24"/>
          <w:szCs w:val="24"/>
        </w:rPr>
      </w:pPr>
      <w:r w:rsidRPr="0078572C">
        <w:rPr>
          <w:rFonts w:ascii="Sylfaen" w:hAnsi="Sylfaen"/>
          <w:color w:val="000000"/>
          <w:spacing w:val="6"/>
          <w:sz w:val="24"/>
          <w:szCs w:val="24"/>
        </w:rPr>
        <w:t xml:space="preserve">Անալիզի մեթոդիկաների համեմատությունը ցանկալի է անցկացնել </w:t>
      </w:r>
      <m:oMath>
        <m:sSub>
          <m:sSubPr>
            <m:ctrlPr>
              <w:rPr>
                <w:rFonts w:ascii="Cambria Math" w:hAnsi="Cambria Math" w:cs="Sylfaen"/>
                <w:i/>
                <w:color w:val="000000"/>
                <w:spacing w:val="6"/>
                <w:sz w:val="24"/>
                <w:szCs w:val="24"/>
              </w:rPr>
            </m:ctrlPr>
          </m:sSubPr>
          <m:e>
            <m:r>
              <w:rPr>
                <w:rFonts w:ascii="Cambria Math" w:hAnsi="Cambria Math" w:cs="Sylfaen"/>
                <w:color w:val="000000"/>
                <w:spacing w:val="6"/>
                <w:sz w:val="24"/>
                <w:szCs w:val="24"/>
              </w:rPr>
              <m:t>μ</m:t>
            </m:r>
          </m:e>
          <m:sub>
            <m:r>
              <w:rPr>
                <w:rFonts w:ascii="Cambria Math" w:hAnsi="Cambria Math" w:cs="Sylfaen"/>
                <w:color w:val="000000"/>
                <w:spacing w:val="6"/>
                <w:sz w:val="24"/>
                <w:szCs w:val="24"/>
              </w:rPr>
              <m:t>1</m:t>
            </m:r>
          </m:sub>
        </m:sSub>
        <m:r>
          <w:rPr>
            <w:rFonts w:ascii="Cambria Math" w:hAnsi="Cambria Math" w:cs="Sylfaen"/>
            <w:color w:val="000000"/>
            <w:spacing w:val="6"/>
            <w:sz w:val="24"/>
            <w:szCs w:val="24"/>
          </w:rPr>
          <m:t>=</m:t>
        </m:r>
        <m:sSub>
          <m:sSubPr>
            <m:ctrlPr>
              <w:rPr>
                <w:rFonts w:ascii="Cambria Math" w:hAnsi="Cambria Math" w:cs="Sylfaen"/>
                <w:i/>
                <w:color w:val="000000"/>
                <w:spacing w:val="6"/>
                <w:sz w:val="24"/>
                <w:szCs w:val="24"/>
              </w:rPr>
            </m:ctrlPr>
          </m:sSubPr>
          <m:e>
            <m:r>
              <w:rPr>
                <w:rFonts w:ascii="Cambria Math" w:hAnsi="Cambria Math" w:cs="Sylfaen"/>
                <w:color w:val="000000"/>
                <w:spacing w:val="6"/>
                <w:sz w:val="24"/>
                <w:szCs w:val="24"/>
              </w:rPr>
              <m:t>μ</m:t>
            </m:r>
          </m:e>
          <m:sub>
            <m:r>
              <w:rPr>
                <w:rFonts w:ascii="Cambria Math" w:hAnsi="Cambria Math" w:cs="Sylfaen"/>
                <w:color w:val="000000"/>
                <w:spacing w:val="6"/>
                <w:sz w:val="24"/>
                <w:szCs w:val="24"/>
              </w:rPr>
              <m:t>2-</m:t>
            </m:r>
            <m:r>
              <w:rPr>
                <w:rFonts w:ascii="Sylfaen" w:hAnsi="Sylfaen" w:cs="Sylfaen"/>
                <w:color w:val="000000"/>
                <w:spacing w:val="6"/>
                <w:sz w:val="24"/>
                <w:szCs w:val="24"/>
              </w:rPr>
              <m:t>ի</m:t>
            </m:r>
          </m:sub>
        </m:sSub>
        <m:r>
          <w:rPr>
            <w:rFonts w:ascii="Cambria Math" w:hAnsi="Cambria Math" w:cs="Sylfaen"/>
            <w:color w:val="000000"/>
            <w:spacing w:val="6"/>
            <w:sz w:val="24"/>
            <w:szCs w:val="24"/>
          </w:rPr>
          <m:t>,</m:t>
        </m:r>
        <m:sSub>
          <m:sSubPr>
            <m:ctrlPr>
              <w:rPr>
                <w:rFonts w:ascii="Cambria Math" w:hAnsi="Cambria Math" w:cs="Sylfaen"/>
                <w:i/>
                <w:color w:val="000000"/>
                <w:spacing w:val="6"/>
                <w:sz w:val="24"/>
                <w:szCs w:val="24"/>
              </w:rPr>
            </m:ctrlPr>
          </m:sSubPr>
          <m:e>
            <m:r>
              <w:rPr>
                <w:rFonts w:ascii="Cambria Math" w:hAnsi="Cambria Math" w:cs="Sylfaen"/>
                <w:color w:val="000000"/>
                <w:spacing w:val="6"/>
                <w:sz w:val="24"/>
                <w:szCs w:val="24"/>
              </w:rPr>
              <m:t>f</m:t>
            </m:r>
          </m:e>
          <m:sub>
            <m:r>
              <w:rPr>
                <w:rFonts w:ascii="Cambria Math" w:hAnsi="Cambria Math" w:cs="Sylfaen"/>
                <w:color w:val="000000"/>
                <w:spacing w:val="6"/>
                <w:sz w:val="24"/>
                <w:szCs w:val="24"/>
              </w:rPr>
              <m:t>1</m:t>
            </m:r>
          </m:sub>
        </m:sSub>
        <m:r>
          <w:rPr>
            <w:rFonts w:ascii="Cambria Math" w:hAnsi="Cambria Math" w:cs="Sylfaen"/>
            <w:color w:val="000000"/>
            <w:spacing w:val="6"/>
            <w:sz w:val="24"/>
            <w:szCs w:val="24"/>
          </w:rPr>
          <m:t>&gt;10-</m:t>
        </m:r>
        <m:r>
          <w:rPr>
            <w:rFonts w:ascii="Sylfaen" w:hAnsi="Sylfaen" w:cs="Sylfaen"/>
            <w:color w:val="000000"/>
            <w:spacing w:val="6"/>
            <w:sz w:val="24"/>
            <w:szCs w:val="24"/>
          </w:rPr>
          <m:t>ից</m:t>
        </m:r>
        <m:r>
          <w:rPr>
            <w:rFonts w:ascii="Cambria Math" w:hAnsi="Cambria Math" w:cs="Sylfaen"/>
            <w:color w:val="000000"/>
            <w:spacing w:val="6"/>
            <w:sz w:val="24"/>
            <w:szCs w:val="24"/>
          </w:rPr>
          <m:t xml:space="preserve"> </m:t>
        </m:r>
      </m:oMath>
      <w:r w:rsidRPr="0078572C">
        <w:rPr>
          <w:rFonts w:ascii="Sylfaen" w:hAnsi="Sylfaen"/>
          <w:color w:val="000000"/>
          <w:spacing w:val="6"/>
          <w:sz w:val="24"/>
          <w:szCs w:val="24"/>
        </w:rPr>
        <w:t xml:space="preserve">եւ </w:t>
      </w:r>
      <m:oMath>
        <m:sSub>
          <m:sSubPr>
            <m:ctrlPr>
              <w:rPr>
                <w:rFonts w:ascii="Cambria Math" w:hAnsi="Cambria Math" w:cs="Sylfaen"/>
                <w:i/>
                <w:color w:val="000000"/>
                <w:spacing w:val="6"/>
                <w:sz w:val="24"/>
                <w:szCs w:val="24"/>
              </w:rPr>
            </m:ctrlPr>
          </m:sSubPr>
          <m:e>
            <m:r>
              <w:rPr>
                <w:rFonts w:ascii="Cambria Math" w:hAnsi="Cambria Math" w:cs="Sylfaen"/>
                <w:color w:val="000000"/>
                <w:spacing w:val="6"/>
                <w:sz w:val="24"/>
                <w:szCs w:val="24"/>
              </w:rPr>
              <m:t>f</m:t>
            </m:r>
          </m:e>
          <m:sub>
            <m:r>
              <w:rPr>
                <w:rFonts w:ascii="Cambria Math" w:hAnsi="Cambria Math" w:cs="Sylfaen"/>
                <w:color w:val="000000"/>
                <w:spacing w:val="6"/>
                <w:sz w:val="24"/>
                <w:szCs w:val="24"/>
              </w:rPr>
              <m:t>2</m:t>
            </m:r>
          </m:sub>
        </m:sSub>
        <m:r>
          <w:rPr>
            <w:rFonts w:ascii="Cambria Math" w:hAnsi="Cambria Math" w:cs="Sylfaen"/>
            <w:color w:val="000000"/>
            <w:spacing w:val="6"/>
            <w:sz w:val="24"/>
            <w:szCs w:val="24"/>
          </w:rPr>
          <m:t>&gt;10</m:t>
        </m:r>
      </m:oMath>
      <w:r w:rsidRPr="0078572C">
        <w:rPr>
          <w:rFonts w:ascii="Sylfaen" w:hAnsi="Sylfaen"/>
          <w:color w:val="000000"/>
          <w:spacing w:val="6"/>
          <w:sz w:val="24"/>
          <w:szCs w:val="24"/>
        </w:rPr>
        <w:t xml:space="preserve"> -ից դեպքում: Եթե </w:t>
      </w:r>
      <m:oMath>
        <m:sSub>
          <m:sSubPr>
            <m:ctrlPr>
              <w:rPr>
                <w:rFonts w:ascii="Cambria Math" w:hAnsi="Cambria Math"/>
                <w:color w:val="000000"/>
                <w:spacing w:val="6"/>
                <w:sz w:val="24"/>
                <w:szCs w:val="24"/>
              </w:rPr>
            </m:ctrlPr>
          </m:sSubPr>
          <m:e>
            <m:r>
              <m:rPr>
                <m:sty m:val="p"/>
              </m:rPr>
              <w:rPr>
                <w:rFonts w:ascii="Cambria Math" w:hAnsi="Cambria Math"/>
                <w:color w:val="000000"/>
                <w:spacing w:val="6"/>
                <w:sz w:val="24"/>
                <w:szCs w:val="24"/>
              </w:rPr>
              <m:t>μ</m:t>
            </m:r>
          </m:e>
          <m:sub>
            <m:r>
              <m:rPr>
                <m:sty m:val="p"/>
              </m:rPr>
              <w:rPr>
                <w:rFonts w:ascii="Cambria Math" w:hAnsi="Cambria Math"/>
                <w:color w:val="000000"/>
                <w:spacing w:val="6"/>
                <w:sz w:val="24"/>
                <w:szCs w:val="24"/>
              </w:rPr>
              <m:t>1</m:t>
            </m:r>
          </m:sub>
        </m:sSub>
      </m:oMath>
      <w:r w:rsidRPr="0078572C">
        <w:rPr>
          <w:rFonts w:ascii="Sylfaen" w:hAnsi="Sylfaen"/>
          <w:color w:val="000000"/>
          <w:spacing w:val="6"/>
          <w:sz w:val="24"/>
          <w:szCs w:val="24"/>
        </w:rPr>
        <w:t xml:space="preserve"> եւ </w:t>
      </w:r>
      <m:oMath>
        <m:sSub>
          <m:sSubPr>
            <m:ctrlPr>
              <w:rPr>
                <w:rFonts w:ascii="Cambria Math" w:hAnsi="Cambria Math"/>
                <w:color w:val="000000"/>
                <w:spacing w:val="6"/>
                <w:sz w:val="24"/>
                <w:szCs w:val="24"/>
              </w:rPr>
            </m:ctrlPr>
          </m:sSubPr>
          <m:e>
            <m:r>
              <m:rPr>
                <m:sty m:val="p"/>
              </m:rPr>
              <w:rPr>
                <w:rFonts w:ascii="Cambria Math" w:hAnsi="Cambria Math"/>
                <w:color w:val="000000"/>
                <w:spacing w:val="6"/>
                <w:sz w:val="24"/>
                <w:szCs w:val="24"/>
              </w:rPr>
              <m:t>μ</m:t>
            </m:r>
          </m:e>
          <m:sub>
            <m:r>
              <m:rPr>
                <m:sty m:val="p"/>
              </m:rPr>
              <w:rPr>
                <w:rFonts w:ascii="Cambria Math" w:hAnsi="Cambria Math"/>
                <w:color w:val="000000"/>
                <w:spacing w:val="6"/>
                <w:sz w:val="24"/>
                <w:szCs w:val="24"/>
              </w:rPr>
              <m:t>2</m:t>
            </m:r>
          </m:sub>
        </m:sSub>
      </m:oMath>
      <w:r w:rsidRPr="0078572C">
        <w:rPr>
          <w:rFonts w:ascii="Sylfaen" w:hAnsi="Sylfaen"/>
          <w:color w:val="000000"/>
          <w:spacing w:val="6"/>
          <w:sz w:val="24"/>
          <w:szCs w:val="24"/>
        </w:rPr>
        <w:t xml:space="preserve"> ճշգրիտ արժեքները անհայտ են, </w:t>
      </w:r>
      <m:oMath>
        <m:r>
          <w:rPr>
            <w:rFonts w:ascii="Sylfaen" w:hAnsi="Sylfaen" w:cs="Sylfaen"/>
            <w:color w:val="000000"/>
            <w:spacing w:val="6"/>
            <w:sz w:val="24"/>
            <w:szCs w:val="24"/>
          </w:rPr>
          <m:t>ապա</m:t>
        </m:r>
        <m:r>
          <w:rPr>
            <w:rFonts w:ascii="Cambria Math" w:hAnsi="Cambria Math" w:cs="Cambria Math"/>
            <w:color w:val="000000"/>
            <w:spacing w:val="6"/>
            <w:sz w:val="24"/>
            <w:szCs w:val="24"/>
          </w:rPr>
          <m:t xml:space="preserve"> </m:t>
        </m:r>
        <m:r>
          <m:rPr>
            <m:sty m:val="p"/>
          </m:rPr>
          <w:rPr>
            <w:rFonts w:ascii="Cambria Math" w:hAnsi="Cambria Math"/>
            <w:color w:val="000000"/>
            <w:spacing w:val="6"/>
            <w:sz w:val="24"/>
            <w:szCs w:val="24"/>
          </w:rPr>
          <m:t>δ</m:t>
        </m:r>
      </m:oMath>
      <w:r w:rsidRPr="0078572C">
        <w:rPr>
          <w:rFonts w:ascii="Sylfaen" w:hAnsi="Sylfaen"/>
          <w:color w:val="000000"/>
          <w:spacing w:val="6"/>
          <w:sz w:val="24"/>
          <w:szCs w:val="24"/>
        </w:rPr>
        <w:t xml:space="preserve"> եւ t</w:t>
      </w:r>
      <w:r w:rsidRPr="0078572C">
        <w:rPr>
          <w:rFonts w:ascii="Sylfaen" w:hAnsi="Sylfaen"/>
          <w:color w:val="000000"/>
          <w:spacing w:val="6"/>
          <w:sz w:val="24"/>
          <w:szCs w:val="24"/>
          <w:vertAlign w:val="subscript"/>
        </w:rPr>
        <w:t>հաշվ</w:t>
      </w:r>
      <w:r w:rsidRPr="0078572C">
        <w:rPr>
          <w:rFonts w:ascii="Sylfaen" w:hAnsi="Sylfaen"/>
          <w:color w:val="000000"/>
          <w:spacing w:val="6"/>
          <w:sz w:val="24"/>
          <w:szCs w:val="24"/>
        </w:rPr>
        <w:t xml:space="preserve"> մեծությունները</w:t>
      </w:r>
      <w:r w:rsidRPr="00B834A2">
        <w:rPr>
          <w:rFonts w:ascii="Sylfaen" w:hAnsi="Sylfaen"/>
          <w:color w:val="000000"/>
          <w:sz w:val="24"/>
          <w:szCs w:val="24"/>
        </w:rPr>
        <w:t xml:space="preserve"> չեն որոշում:</w:t>
      </w:r>
    </w:p>
    <w:p w14:paraId="5E430504" w14:textId="77777777" w:rsidR="00184198" w:rsidRPr="00D35F34" w:rsidRDefault="00184198" w:rsidP="00B834A2">
      <w:pPr>
        <w:pStyle w:val="a0"/>
        <w:shd w:val="clear" w:color="auto" w:fill="auto"/>
        <w:spacing w:after="160" w:line="360" w:lineRule="auto"/>
        <w:ind w:firstLine="567"/>
        <w:jc w:val="both"/>
        <w:rPr>
          <w:rFonts w:ascii="Sylfaen" w:hAnsi="Sylfaen" w:cs="Sylfaen"/>
          <w:sz w:val="24"/>
          <w:szCs w:val="24"/>
        </w:rPr>
      </w:pPr>
    </w:p>
    <w:p w14:paraId="4C244185" w14:textId="77777777" w:rsidR="00B834A2" w:rsidRPr="00B834A2" w:rsidRDefault="00B834A2" w:rsidP="00184198">
      <w:pPr>
        <w:pStyle w:val="a0"/>
        <w:shd w:val="clear" w:color="auto" w:fill="auto"/>
        <w:spacing w:after="160" w:line="346" w:lineRule="auto"/>
        <w:ind w:firstLine="567"/>
        <w:jc w:val="both"/>
        <w:rPr>
          <w:rFonts w:ascii="Sylfaen" w:hAnsi="Sylfaen" w:cs="Sylfaen"/>
          <w:sz w:val="24"/>
          <w:szCs w:val="24"/>
        </w:rPr>
      </w:pPr>
      <w:r w:rsidRPr="0078572C">
        <w:rPr>
          <w:rFonts w:ascii="Sylfaen" w:hAnsi="Sylfaen"/>
          <w:color w:val="000000"/>
          <w:spacing w:val="-2"/>
          <w:sz w:val="24"/>
          <w:szCs w:val="24"/>
        </w:rPr>
        <w:lastRenderedPageBreak/>
        <w:t xml:space="preserve">Եթե չափումների ժամանակ ստանում են սկզբնական տարբերակների լոգարիթմներ, ապա µ, ¯х եւ s մեծությունների փոխարեն 2-1 աղյուսակում բերում են lgµ, lg¯xµ եւ slg մեծությունները: Ընդ որում, 8-րդ սյունակ են ներմուծում </w:t>
      </w:r>
      <m:oMath>
        <m:sSub>
          <m:sSubPr>
            <m:ctrlPr>
              <w:rPr>
                <w:rFonts w:ascii="Cambria Math" w:hAnsi="Cambria Math"/>
                <w:color w:val="000000"/>
                <w:spacing w:val="-2"/>
                <w:sz w:val="24"/>
                <w:szCs w:val="24"/>
              </w:rPr>
            </m:ctrlPr>
          </m:sSubPr>
          <m:e>
            <m:r>
              <m:rPr>
                <m:sty m:val="p"/>
              </m:rPr>
              <w:rPr>
                <w:rFonts w:ascii="Cambria Math" w:hAnsi="Cambria Math"/>
                <w:color w:val="000000"/>
                <w:spacing w:val="-2"/>
                <w:sz w:val="24"/>
                <w:szCs w:val="24"/>
              </w:rPr>
              <m:t>∆</m:t>
            </m:r>
          </m:e>
          <m:sub>
            <m:r>
              <m:rPr>
                <m:sty m:val="p"/>
              </m:rPr>
              <w:rPr>
                <w:rFonts w:ascii="Cambria Math" w:hAnsi="Cambria Math"/>
                <w:color w:val="000000"/>
                <w:spacing w:val="-2"/>
                <w:sz w:val="24"/>
                <w:szCs w:val="24"/>
              </w:rPr>
              <m:t>lgx</m:t>
            </m:r>
          </m:sub>
        </m:sSub>
      </m:oMath>
      <w:r w:rsidRPr="0078572C">
        <w:rPr>
          <w:rFonts w:ascii="Sylfaen" w:hAnsi="Sylfaen"/>
          <w:color w:val="000000"/>
          <w:spacing w:val="-2"/>
          <w:sz w:val="24"/>
          <w:szCs w:val="24"/>
        </w:rPr>
        <w:t xml:space="preserve"> մեծությունը,</w:t>
      </w:r>
      <w:r w:rsidRPr="00B834A2">
        <w:rPr>
          <w:rFonts w:ascii="Sylfaen" w:hAnsi="Sylfaen"/>
          <w:color w:val="000000"/>
          <w:sz w:val="24"/>
          <w:szCs w:val="24"/>
        </w:rPr>
        <w:t xml:space="preserve"> իսկ 9-րդ սյունակ՝ բացարձակ արժեքով առավելագույն </w:t>
      </w:r>
      <m:oMath>
        <m:r>
          <m:rPr>
            <m:sty m:val="p"/>
          </m:rPr>
          <w:rPr>
            <w:rFonts w:ascii="Cambria Math" w:hAnsi="Cambria Math"/>
            <w:color w:val="000000"/>
            <w:sz w:val="24"/>
            <w:szCs w:val="24"/>
          </w:rPr>
          <m:t>ε</m:t>
        </m:r>
      </m:oMath>
      <w:r w:rsidRPr="00B834A2">
        <w:rPr>
          <w:rFonts w:ascii="Sylfaen" w:hAnsi="Sylfaen"/>
          <w:color w:val="000000"/>
          <w:sz w:val="24"/>
          <w:szCs w:val="24"/>
        </w:rPr>
        <w:t xml:space="preserve"> արժեքը: Համանման փոխարինումներն անցկացնում են (1.38) հավասարմամբ </w:t>
      </w:r>
      <w:r w:rsidRPr="00B834A2">
        <w:rPr>
          <w:rFonts w:ascii="Sylfaen" w:hAnsi="Sylfaen"/>
          <w:i/>
          <w:color w:val="000000"/>
          <w:sz w:val="24"/>
          <w:szCs w:val="24"/>
        </w:rPr>
        <w:t>t</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(3.1) հավասարմամբ </w:t>
      </w:r>
      <w:r w:rsidRPr="00B834A2">
        <w:rPr>
          <w:rFonts w:ascii="Sylfaen" w:hAnsi="Sylfaen"/>
          <w:i/>
          <w:color w:val="000000"/>
          <w:sz w:val="24"/>
          <w:szCs w:val="24"/>
        </w:rPr>
        <w:t>F</w:t>
      </w:r>
      <w:r>
        <w:rPr>
          <w:rFonts w:ascii="Sylfaen" w:hAnsi="Sylfaen"/>
          <w:color w:val="000000"/>
          <w:sz w:val="24"/>
          <w:szCs w:val="24"/>
        </w:rPr>
        <w:t xml:space="preserve"> </w:t>
      </w:r>
      <w:r w:rsidRPr="00B834A2">
        <w:rPr>
          <w:rFonts w:ascii="Sylfaen" w:hAnsi="Sylfaen"/>
          <w:color w:val="000000"/>
          <w:sz w:val="24"/>
          <w:szCs w:val="24"/>
        </w:rPr>
        <w:t>հաշվարկելիս:</w:t>
      </w:r>
    </w:p>
    <w:p w14:paraId="25F267B4" w14:textId="77777777" w:rsidR="00B834A2" w:rsidRPr="00B834A2" w:rsidRDefault="00B834A2" w:rsidP="00184198">
      <w:pPr>
        <w:pStyle w:val="a0"/>
        <w:shd w:val="clear" w:color="auto" w:fill="auto"/>
        <w:spacing w:after="160" w:line="346" w:lineRule="auto"/>
        <w:ind w:firstLine="567"/>
        <w:jc w:val="both"/>
        <w:rPr>
          <w:rFonts w:ascii="Sylfaen" w:hAnsi="Sylfaen" w:cs="Sylfaen"/>
          <w:color w:val="000000"/>
          <w:sz w:val="24"/>
          <w:szCs w:val="24"/>
        </w:rPr>
      </w:pPr>
      <w:r w:rsidRPr="00B834A2">
        <w:rPr>
          <w:rFonts w:ascii="Sylfaen" w:hAnsi="Sylfaen"/>
          <w:color w:val="000000"/>
          <w:sz w:val="24"/>
          <w:szCs w:val="24"/>
        </w:rPr>
        <w:t>Ճշգրտության մասով անալիզի երկու մեթոդիկաների համեմատման օրինակը բերված է 6.4 բաժնում:</w:t>
      </w:r>
    </w:p>
    <w:p w14:paraId="5F813CCE" w14:textId="77777777" w:rsidR="00B834A2" w:rsidRPr="00B834A2" w:rsidRDefault="00B834A2" w:rsidP="00184198">
      <w:pPr>
        <w:pStyle w:val="a0"/>
        <w:shd w:val="clear" w:color="auto" w:fill="auto"/>
        <w:spacing w:after="160" w:line="346" w:lineRule="auto"/>
        <w:ind w:firstLine="567"/>
        <w:jc w:val="both"/>
        <w:rPr>
          <w:rFonts w:ascii="Sylfaen" w:hAnsi="Sylfaen" w:cs="Sylfaen"/>
          <w:sz w:val="24"/>
          <w:szCs w:val="24"/>
        </w:rPr>
      </w:pPr>
    </w:p>
    <w:p w14:paraId="7C06918F" w14:textId="77777777" w:rsidR="00B834A2" w:rsidRPr="00B834A2" w:rsidRDefault="00B834A2" w:rsidP="00184198">
      <w:pPr>
        <w:pStyle w:val="a0"/>
        <w:shd w:val="clear" w:color="auto" w:fill="auto"/>
        <w:tabs>
          <w:tab w:val="left" w:pos="1134"/>
        </w:tabs>
        <w:spacing w:after="160" w:line="346" w:lineRule="auto"/>
        <w:ind w:firstLine="567"/>
        <w:jc w:val="both"/>
        <w:rPr>
          <w:rFonts w:ascii="Sylfaen" w:hAnsi="Sylfaen" w:cs="Sylfaen"/>
          <w:sz w:val="24"/>
          <w:szCs w:val="24"/>
        </w:rPr>
      </w:pPr>
      <w:r w:rsidRPr="00B834A2">
        <w:rPr>
          <w:rFonts w:ascii="Sylfaen" w:hAnsi="Sylfaen"/>
          <w:b/>
          <w:color w:val="000000"/>
          <w:sz w:val="24"/>
          <w:szCs w:val="24"/>
        </w:rPr>
        <w:t>3.</w:t>
      </w:r>
      <w:r w:rsidR="0078572C" w:rsidRPr="0078572C">
        <w:rPr>
          <w:rFonts w:ascii="Sylfaen" w:hAnsi="Sylfaen"/>
          <w:b/>
          <w:color w:val="000000"/>
          <w:sz w:val="24"/>
          <w:szCs w:val="24"/>
        </w:rPr>
        <w:tab/>
      </w:r>
      <w:r w:rsidRPr="00B834A2">
        <w:rPr>
          <w:rFonts w:ascii="Sylfaen" w:hAnsi="Sylfaen"/>
          <w:b/>
          <w:color w:val="000000"/>
          <w:sz w:val="24"/>
          <w:szCs w:val="24"/>
        </w:rPr>
        <w:t>ԸՆՏՐԱՆՔՆԵՐԻ ՄԻՋԻՆ ԱՐԴՅՈՒՆՔՆԵՐԻ ՀԱՄԵՄԱՏՈՒՄԸ</w:t>
      </w:r>
    </w:p>
    <w:p w14:paraId="230B1C47" w14:textId="77777777" w:rsidR="00184198" w:rsidRPr="00D35F34" w:rsidRDefault="00184198" w:rsidP="00184198">
      <w:pPr>
        <w:pStyle w:val="a0"/>
        <w:shd w:val="clear" w:color="auto" w:fill="auto"/>
        <w:tabs>
          <w:tab w:val="left" w:pos="1134"/>
        </w:tabs>
        <w:spacing w:after="160" w:line="346" w:lineRule="auto"/>
        <w:ind w:firstLine="567"/>
        <w:jc w:val="both"/>
        <w:rPr>
          <w:rFonts w:ascii="Sylfaen" w:hAnsi="Sylfaen"/>
          <w:b/>
          <w:color w:val="000000"/>
          <w:sz w:val="24"/>
          <w:szCs w:val="24"/>
        </w:rPr>
      </w:pPr>
    </w:p>
    <w:p w14:paraId="7C48970C" w14:textId="77777777" w:rsidR="00B834A2" w:rsidRPr="00B834A2" w:rsidRDefault="00B834A2" w:rsidP="00184198">
      <w:pPr>
        <w:pStyle w:val="a0"/>
        <w:shd w:val="clear" w:color="auto" w:fill="auto"/>
        <w:tabs>
          <w:tab w:val="left" w:pos="1134"/>
        </w:tabs>
        <w:spacing w:after="160" w:line="346" w:lineRule="auto"/>
        <w:ind w:firstLine="567"/>
        <w:jc w:val="both"/>
        <w:rPr>
          <w:rFonts w:ascii="Sylfaen" w:hAnsi="Sylfaen" w:cs="Sylfaen"/>
          <w:sz w:val="24"/>
          <w:szCs w:val="24"/>
        </w:rPr>
      </w:pPr>
      <w:r w:rsidRPr="00B834A2">
        <w:rPr>
          <w:rFonts w:ascii="Sylfaen" w:hAnsi="Sylfaen"/>
          <w:b/>
          <w:color w:val="000000"/>
          <w:sz w:val="24"/>
          <w:szCs w:val="24"/>
        </w:rPr>
        <w:t>3.1.</w:t>
      </w:r>
      <w:r w:rsidR="0078572C" w:rsidRPr="0078572C">
        <w:rPr>
          <w:rFonts w:ascii="Sylfaen" w:hAnsi="Sylfaen"/>
          <w:b/>
          <w:color w:val="000000"/>
          <w:sz w:val="24"/>
          <w:szCs w:val="24"/>
        </w:rPr>
        <w:tab/>
      </w:r>
      <w:r w:rsidRPr="00B834A2">
        <w:rPr>
          <w:rFonts w:ascii="Sylfaen" w:hAnsi="Sylfaen"/>
          <w:b/>
          <w:color w:val="000000"/>
          <w:sz w:val="24"/>
          <w:szCs w:val="24"/>
        </w:rPr>
        <w:t>Ընտրանքների արդյունքների համեմատման համար տվյալները</w:t>
      </w:r>
    </w:p>
    <w:p w14:paraId="07D79D9A" w14:textId="77777777" w:rsidR="00B834A2" w:rsidRPr="00B834A2" w:rsidRDefault="00B834A2" w:rsidP="00184198">
      <w:pPr>
        <w:spacing w:after="160" w:line="346" w:lineRule="auto"/>
        <w:ind w:firstLine="567"/>
        <w:jc w:val="both"/>
      </w:pPr>
      <w:r w:rsidRPr="00B834A2">
        <w:t>Եթե անալիզի տվյալ մեթոդիկայի օգնությամբ որոշում են А որոշակի մեծության արժեքը, ապա m ծավալի փորձարարական եղանակով ստացված միատարր ընտրանքի համար հաշվարկում են</w:t>
      </w:r>
      <w:r>
        <w:t xml:space="preserve"> </w:t>
      </w:r>
      <w:r w:rsidRPr="00B834A2">
        <w:t xml:space="preserve">3.1-2 աղյուսակում բերված մեծությունների արժեքները: Եթե տվյալ մեթոդիկայի համար արդեն առկա են վիճակագրական ընտրանքի համար տվյալներ (օրինակ՝ ճշգրտության մասով մեթոդիկաների համեմատման ժամանակ ստացված, աղյուսակ 2-1), ապա մեծ թվով ազատության աստիճանների հաշվին վստահելի միջակայքի սահմանների նշանակալի նեղացման նպատակով (1.23 հավասարում) հնարավոր է դրանց օգտագործումը 3.1-2 աղյուսակի 2, 4, 5, 7, 8 </w:t>
      </w:r>
      <w:r>
        <w:t>եւ</w:t>
      </w:r>
      <w:r w:rsidRPr="00B834A2">
        <w:t xml:space="preserve"> 9 սյունակները լրացնելու դեպքում:</w:t>
      </w:r>
    </w:p>
    <w:p w14:paraId="75C5C255" w14:textId="77777777" w:rsidR="00184198" w:rsidRPr="00D35F34" w:rsidRDefault="00184198" w:rsidP="00184198">
      <w:pPr>
        <w:spacing w:after="160" w:line="346" w:lineRule="auto"/>
        <w:ind w:firstLine="567"/>
        <w:jc w:val="both"/>
      </w:pPr>
    </w:p>
    <w:p w14:paraId="3EBD2938" w14:textId="77777777" w:rsidR="00B834A2" w:rsidRPr="00B834A2" w:rsidRDefault="00CC0C6B" w:rsidP="00184198">
      <w:pPr>
        <w:spacing w:after="160" w:line="346" w:lineRule="auto"/>
        <w:ind w:firstLine="567"/>
        <w:jc w:val="both"/>
      </w:pPr>
      <w:r w:rsidRPr="0078572C">
        <w:t xml:space="preserve">Աղյուսակ 3.1-2. </w:t>
      </w:r>
      <w:r>
        <w:t>-</w:t>
      </w:r>
      <w:r w:rsidRPr="0078572C">
        <w:rPr>
          <w:i/>
        </w:rPr>
        <w:t>Ընտրանքների միջին արդյունքների համեմատման համար տվյալներ</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965"/>
        <w:gridCol w:w="931"/>
        <w:gridCol w:w="936"/>
        <w:gridCol w:w="936"/>
        <w:gridCol w:w="936"/>
        <w:gridCol w:w="936"/>
        <w:gridCol w:w="936"/>
        <w:gridCol w:w="936"/>
        <w:gridCol w:w="936"/>
        <w:gridCol w:w="970"/>
      </w:tblGrid>
      <w:tr w:rsidR="00B834A2" w:rsidRPr="0078572C" w14:paraId="12348DA1" w14:textId="77777777" w:rsidTr="00B834A2">
        <w:trPr>
          <w:jc w:val="center"/>
        </w:trPr>
        <w:tc>
          <w:tcPr>
            <w:tcW w:w="965" w:type="dxa"/>
            <w:tcBorders>
              <w:top w:val="single" w:sz="4" w:space="0" w:color="auto"/>
            </w:tcBorders>
            <w:shd w:val="clear" w:color="auto" w:fill="FFFFFF"/>
          </w:tcPr>
          <w:p w14:paraId="79E32A5F"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r w:rsidRPr="0078572C">
              <w:rPr>
                <w:rFonts w:ascii="Sylfaen" w:hAnsi="Sylfaen"/>
                <w:i/>
                <w:color w:val="000000"/>
                <w:szCs w:val="24"/>
              </w:rPr>
              <w:t>m</w:t>
            </w:r>
          </w:p>
        </w:tc>
        <w:tc>
          <w:tcPr>
            <w:tcW w:w="931" w:type="dxa"/>
            <w:tcBorders>
              <w:top w:val="single" w:sz="4" w:space="0" w:color="auto"/>
              <w:left w:val="single" w:sz="4" w:space="0" w:color="auto"/>
            </w:tcBorders>
            <w:shd w:val="clear" w:color="auto" w:fill="FFFFFF"/>
          </w:tcPr>
          <w:p w14:paraId="1ADD8755" w14:textId="77777777" w:rsidR="00B834A2" w:rsidRPr="0078572C" w:rsidRDefault="00B834A2" w:rsidP="00CC0C6B">
            <w:pPr>
              <w:spacing w:after="120"/>
              <w:ind w:firstLine="50"/>
              <w:jc w:val="center"/>
              <w:rPr>
                <w:rFonts w:eastAsia="Times New Roman"/>
                <w:i/>
                <w:iCs/>
                <w:sz w:val="20"/>
              </w:rPr>
            </w:pPr>
            <w:r w:rsidRPr="0078572C">
              <w:rPr>
                <w:i/>
                <w:sz w:val="20"/>
              </w:rPr>
              <w:t>f</w:t>
            </w:r>
          </w:p>
        </w:tc>
        <w:tc>
          <w:tcPr>
            <w:tcW w:w="936" w:type="dxa"/>
            <w:tcBorders>
              <w:top w:val="single" w:sz="4" w:space="0" w:color="auto"/>
              <w:left w:val="single" w:sz="4" w:space="0" w:color="auto"/>
            </w:tcBorders>
            <w:shd w:val="clear" w:color="auto" w:fill="FFFFFF"/>
          </w:tcPr>
          <w:p w14:paraId="3F9D956E"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¯x</w:t>
            </w:r>
          </w:p>
        </w:tc>
        <w:tc>
          <w:tcPr>
            <w:tcW w:w="936" w:type="dxa"/>
            <w:tcBorders>
              <w:top w:val="single" w:sz="4" w:space="0" w:color="auto"/>
              <w:left w:val="single" w:sz="4" w:space="0" w:color="auto"/>
            </w:tcBorders>
            <w:shd w:val="clear" w:color="auto" w:fill="FFFFFF"/>
          </w:tcPr>
          <w:p w14:paraId="1B7A76BA"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s</w:t>
            </w:r>
          </w:p>
        </w:tc>
        <w:tc>
          <w:tcPr>
            <w:tcW w:w="936" w:type="dxa"/>
            <w:tcBorders>
              <w:top w:val="single" w:sz="4" w:space="0" w:color="auto"/>
              <w:left w:val="single" w:sz="4" w:space="0" w:color="auto"/>
            </w:tcBorders>
            <w:shd w:val="clear" w:color="auto" w:fill="FFFFFF"/>
          </w:tcPr>
          <w:p w14:paraId="44298846"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s</w:t>
            </w:r>
            <w:r w:rsidRPr="0078572C">
              <w:rPr>
                <w:rFonts w:ascii="Sylfaen" w:hAnsi="Sylfaen"/>
                <w:i/>
                <w:color w:val="000000"/>
                <w:szCs w:val="24"/>
                <w:vertAlign w:val="subscript"/>
              </w:rPr>
              <w:t>¯x</w:t>
            </w:r>
          </w:p>
        </w:tc>
        <w:tc>
          <w:tcPr>
            <w:tcW w:w="936" w:type="dxa"/>
            <w:tcBorders>
              <w:top w:val="single" w:sz="4" w:space="0" w:color="auto"/>
              <w:left w:val="single" w:sz="4" w:space="0" w:color="auto"/>
            </w:tcBorders>
            <w:shd w:val="clear" w:color="auto" w:fill="FFFFFF"/>
          </w:tcPr>
          <w:p w14:paraId="085DC2F2"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P</w:t>
            </w:r>
          </w:p>
        </w:tc>
        <w:tc>
          <w:tcPr>
            <w:tcW w:w="936" w:type="dxa"/>
            <w:tcBorders>
              <w:top w:val="single" w:sz="4" w:space="0" w:color="auto"/>
              <w:left w:val="single" w:sz="4" w:space="0" w:color="auto"/>
            </w:tcBorders>
            <w:shd w:val="clear" w:color="auto" w:fill="FFFFFF"/>
          </w:tcPr>
          <w:p w14:paraId="100C6568"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t(P,f)</w:t>
            </w:r>
          </w:p>
        </w:tc>
        <w:tc>
          <w:tcPr>
            <w:tcW w:w="936" w:type="dxa"/>
            <w:tcBorders>
              <w:top w:val="single" w:sz="4" w:space="0" w:color="auto"/>
              <w:left w:val="single" w:sz="4" w:space="0" w:color="auto"/>
            </w:tcBorders>
            <w:shd w:val="clear" w:color="auto" w:fill="FFFFFF"/>
          </w:tcPr>
          <w:p w14:paraId="469AEFB1"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m:oMathPara>
              <m:oMath>
                <m:r>
                  <w:rPr>
                    <w:rFonts w:ascii="Cambria Math" w:hAnsi="Cambria Math" w:cs="Sylfaen"/>
                    <w:color w:val="000000"/>
                    <w:szCs w:val="24"/>
                  </w:rPr>
                  <m:t>∆x</m:t>
                </m:r>
              </m:oMath>
            </m:oMathPara>
          </w:p>
        </w:tc>
        <w:tc>
          <w:tcPr>
            <w:tcW w:w="936" w:type="dxa"/>
            <w:tcBorders>
              <w:top w:val="single" w:sz="4" w:space="0" w:color="auto"/>
              <w:left w:val="single" w:sz="4" w:space="0" w:color="auto"/>
            </w:tcBorders>
            <w:shd w:val="clear" w:color="auto" w:fill="FFFFFF"/>
          </w:tcPr>
          <w:p w14:paraId="40EA39E2" w14:textId="77777777" w:rsidR="00B834A2" w:rsidRPr="0078572C" w:rsidRDefault="00B834A2" w:rsidP="00CC0C6B">
            <w:pPr>
              <w:pStyle w:val="a0"/>
              <w:shd w:val="clear" w:color="auto" w:fill="auto"/>
              <w:spacing w:after="120" w:line="240" w:lineRule="auto"/>
              <w:ind w:firstLine="0"/>
              <w:jc w:val="center"/>
              <w:rPr>
                <w:rFonts w:ascii="Sylfaen" w:hAnsi="Sylfaen" w:cs="Sylfaen"/>
                <w:i/>
                <w:color w:val="000000"/>
                <w:szCs w:val="24"/>
              </w:rPr>
            </w:pPr>
            <m:oMathPara>
              <m:oMath>
                <m:r>
                  <w:rPr>
                    <w:rFonts w:ascii="Cambria Math" w:hAnsi="Cambria Math" w:cs="Sylfaen"/>
                    <w:color w:val="000000"/>
                    <w:szCs w:val="24"/>
                  </w:rPr>
                  <m:t>∆</m:t>
                </m:r>
                <m:bar>
                  <m:barPr>
                    <m:pos m:val="top"/>
                    <m:ctrlPr>
                      <w:rPr>
                        <w:rFonts w:ascii="Cambria Math" w:hAnsi="Cambria Math" w:cs="Sylfaen"/>
                        <w:i/>
                        <w:iCs/>
                        <w:color w:val="000000"/>
                        <w:szCs w:val="24"/>
                      </w:rPr>
                    </m:ctrlPr>
                  </m:barPr>
                  <m:e>
                    <m:r>
                      <w:rPr>
                        <w:rFonts w:ascii="Cambria Math" w:hAnsi="Cambria Math" w:cs="Sylfaen"/>
                        <w:color w:val="000000"/>
                        <w:szCs w:val="24"/>
                      </w:rPr>
                      <m:t xml:space="preserve">x </m:t>
                    </m:r>
                  </m:e>
                </m:bar>
                <m:r>
                  <m:rPr>
                    <m:sty m:val="p"/>
                  </m:rPr>
                  <w:rPr>
                    <w:rFonts w:ascii="Sylfaen" w:hAnsi="Sylfaen" w:cs="Sylfaen"/>
                    <w:color w:val="000000"/>
                    <w:szCs w:val="24"/>
                  </w:rPr>
                  <m:t>կամ</m:t>
                </m:r>
              </m:oMath>
            </m:oMathPara>
          </w:p>
          <w:p w14:paraId="74BB721C"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m:oMathPara>
              <m:oMath>
                <m:r>
                  <w:rPr>
                    <w:rFonts w:ascii="Cambria Math" w:hAnsi="Cambria Math" w:cs="Sylfaen"/>
                    <w:color w:val="000000"/>
                    <w:szCs w:val="24"/>
                  </w:rPr>
                  <m:t>¯x±∆¯x</m:t>
                </m:r>
                <m:r>
                  <m:rPr>
                    <m:sty m:val="p"/>
                  </m:rPr>
                  <w:rPr>
                    <w:rFonts w:ascii="Cambria Math" w:hAnsi="Cambria Math" w:cs="Sylfaen"/>
                    <w:color w:val="000000"/>
                    <w:szCs w:val="24"/>
                  </w:rPr>
                  <m:t xml:space="preserve"> </m:t>
                </m:r>
              </m:oMath>
            </m:oMathPara>
          </w:p>
        </w:tc>
        <w:tc>
          <w:tcPr>
            <w:tcW w:w="970" w:type="dxa"/>
            <w:tcBorders>
              <w:top w:val="single" w:sz="4" w:space="0" w:color="auto"/>
              <w:left w:val="single" w:sz="4" w:space="0" w:color="auto"/>
            </w:tcBorders>
            <w:shd w:val="clear" w:color="auto" w:fill="FFFFFF"/>
          </w:tcPr>
          <w:p w14:paraId="5615824C"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w:t>
            </w:r>
            <m:oMath>
              <m:r>
                <w:rPr>
                  <w:rFonts w:ascii="Cambria Math" w:hAnsi="Cambria Math" w:cs="Sylfaen"/>
                  <w:color w:val="000000"/>
                  <w:szCs w:val="24"/>
                </w:rPr>
                <m:t>ε</m:t>
              </m:r>
            </m:oMath>
          </w:p>
        </w:tc>
      </w:tr>
      <w:tr w:rsidR="00B834A2" w:rsidRPr="0078572C" w14:paraId="6CE2DFC6" w14:textId="77777777" w:rsidTr="00B834A2">
        <w:trPr>
          <w:jc w:val="center"/>
        </w:trPr>
        <w:tc>
          <w:tcPr>
            <w:tcW w:w="965" w:type="dxa"/>
            <w:tcBorders>
              <w:top w:val="single" w:sz="4" w:space="0" w:color="auto"/>
            </w:tcBorders>
            <w:shd w:val="clear" w:color="auto" w:fill="FFFFFF"/>
          </w:tcPr>
          <w:p w14:paraId="052A222C"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r w:rsidRPr="0078572C">
              <w:rPr>
                <w:rFonts w:ascii="Sylfaen" w:hAnsi="Sylfaen"/>
                <w:i/>
                <w:color w:val="000000"/>
                <w:szCs w:val="24"/>
              </w:rPr>
              <w:t>1</w:t>
            </w:r>
          </w:p>
        </w:tc>
        <w:tc>
          <w:tcPr>
            <w:tcW w:w="931" w:type="dxa"/>
            <w:tcBorders>
              <w:top w:val="single" w:sz="4" w:space="0" w:color="auto"/>
              <w:left w:val="single" w:sz="4" w:space="0" w:color="auto"/>
            </w:tcBorders>
            <w:shd w:val="clear" w:color="auto" w:fill="FFFFFF"/>
          </w:tcPr>
          <w:p w14:paraId="3C6DACCE" w14:textId="77777777" w:rsidR="00B834A2" w:rsidRPr="0078572C" w:rsidRDefault="00B834A2" w:rsidP="00CC0C6B">
            <w:pPr>
              <w:spacing w:after="120"/>
              <w:ind w:firstLine="50"/>
              <w:jc w:val="center"/>
              <w:rPr>
                <w:rFonts w:eastAsia="Times New Roman"/>
                <w:i/>
                <w:iCs/>
                <w:sz w:val="20"/>
              </w:rPr>
            </w:pPr>
            <w:r w:rsidRPr="0078572C">
              <w:rPr>
                <w:i/>
                <w:sz w:val="20"/>
              </w:rPr>
              <w:t>2</w:t>
            </w:r>
          </w:p>
        </w:tc>
        <w:tc>
          <w:tcPr>
            <w:tcW w:w="936" w:type="dxa"/>
            <w:tcBorders>
              <w:top w:val="single" w:sz="4" w:space="0" w:color="auto"/>
              <w:left w:val="single" w:sz="4" w:space="0" w:color="auto"/>
            </w:tcBorders>
            <w:shd w:val="clear" w:color="auto" w:fill="FFFFFF"/>
          </w:tcPr>
          <w:p w14:paraId="568B24DD" w14:textId="77777777" w:rsidR="00B834A2" w:rsidRPr="0078572C" w:rsidRDefault="00B834A2" w:rsidP="00CC0C6B">
            <w:pPr>
              <w:spacing w:after="120"/>
              <w:jc w:val="center"/>
              <w:rPr>
                <w:rFonts w:eastAsia="Times New Roman"/>
                <w:i/>
                <w:iCs/>
                <w:sz w:val="20"/>
              </w:rPr>
            </w:pPr>
            <w:r w:rsidRPr="0078572C">
              <w:rPr>
                <w:i/>
                <w:sz w:val="20"/>
              </w:rPr>
              <w:t>3</w:t>
            </w:r>
          </w:p>
        </w:tc>
        <w:tc>
          <w:tcPr>
            <w:tcW w:w="936" w:type="dxa"/>
            <w:tcBorders>
              <w:top w:val="single" w:sz="4" w:space="0" w:color="auto"/>
              <w:left w:val="single" w:sz="4" w:space="0" w:color="auto"/>
            </w:tcBorders>
            <w:shd w:val="clear" w:color="auto" w:fill="FFFFFF"/>
          </w:tcPr>
          <w:p w14:paraId="33121DCF" w14:textId="77777777" w:rsidR="00B834A2" w:rsidRPr="0078572C" w:rsidRDefault="00B834A2" w:rsidP="00CC0C6B">
            <w:pPr>
              <w:spacing w:after="120"/>
              <w:jc w:val="center"/>
              <w:rPr>
                <w:rFonts w:eastAsia="Times New Roman"/>
                <w:i/>
                <w:iCs/>
                <w:sz w:val="20"/>
              </w:rPr>
            </w:pPr>
            <w:r w:rsidRPr="0078572C">
              <w:rPr>
                <w:i/>
                <w:sz w:val="20"/>
              </w:rPr>
              <w:t>4</w:t>
            </w:r>
          </w:p>
        </w:tc>
        <w:tc>
          <w:tcPr>
            <w:tcW w:w="936" w:type="dxa"/>
            <w:tcBorders>
              <w:top w:val="single" w:sz="4" w:space="0" w:color="auto"/>
              <w:left w:val="single" w:sz="4" w:space="0" w:color="auto"/>
            </w:tcBorders>
            <w:shd w:val="clear" w:color="auto" w:fill="FFFFFF"/>
          </w:tcPr>
          <w:p w14:paraId="590E5AC6" w14:textId="77777777" w:rsidR="00B834A2" w:rsidRPr="0078572C" w:rsidRDefault="00B834A2" w:rsidP="00CC0C6B">
            <w:pPr>
              <w:spacing w:after="120"/>
              <w:jc w:val="center"/>
              <w:rPr>
                <w:rFonts w:eastAsia="Times New Roman"/>
                <w:i/>
                <w:iCs/>
                <w:sz w:val="20"/>
              </w:rPr>
            </w:pPr>
            <w:r w:rsidRPr="0078572C">
              <w:rPr>
                <w:i/>
                <w:sz w:val="20"/>
              </w:rPr>
              <w:t>5</w:t>
            </w:r>
          </w:p>
        </w:tc>
        <w:tc>
          <w:tcPr>
            <w:tcW w:w="936" w:type="dxa"/>
            <w:tcBorders>
              <w:top w:val="single" w:sz="4" w:space="0" w:color="auto"/>
              <w:left w:val="single" w:sz="4" w:space="0" w:color="auto"/>
            </w:tcBorders>
            <w:shd w:val="clear" w:color="auto" w:fill="FFFFFF"/>
          </w:tcPr>
          <w:p w14:paraId="16BD5033" w14:textId="77777777" w:rsidR="00B834A2" w:rsidRPr="0078572C" w:rsidRDefault="00B834A2" w:rsidP="00CC0C6B">
            <w:pPr>
              <w:spacing w:after="120"/>
              <w:jc w:val="center"/>
              <w:rPr>
                <w:rFonts w:eastAsia="Times New Roman"/>
                <w:i/>
                <w:iCs/>
                <w:sz w:val="20"/>
              </w:rPr>
            </w:pPr>
            <w:r w:rsidRPr="0078572C">
              <w:rPr>
                <w:i/>
                <w:sz w:val="20"/>
              </w:rPr>
              <w:t>6</w:t>
            </w:r>
          </w:p>
        </w:tc>
        <w:tc>
          <w:tcPr>
            <w:tcW w:w="936" w:type="dxa"/>
            <w:tcBorders>
              <w:top w:val="single" w:sz="4" w:space="0" w:color="auto"/>
              <w:left w:val="single" w:sz="4" w:space="0" w:color="auto"/>
            </w:tcBorders>
            <w:shd w:val="clear" w:color="auto" w:fill="FFFFFF"/>
          </w:tcPr>
          <w:p w14:paraId="77BA6813" w14:textId="77777777" w:rsidR="00B834A2" w:rsidRPr="0078572C" w:rsidRDefault="00B834A2" w:rsidP="00CC0C6B">
            <w:pPr>
              <w:spacing w:after="120"/>
              <w:jc w:val="center"/>
              <w:rPr>
                <w:rFonts w:eastAsia="Times New Roman"/>
                <w:i/>
                <w:iCs/>
                <w:sz w:val="20"/>
              </w:rPr>
            </w:pPr>
            <w:r w:rsidRPr="0078572C">
              <w:rPr>
                <w:i/>
                <w:sz w:val="20"/>
              </w:rPr>
              <w:t>7</w:t>
            </w:r>
          </w:p>
        </w:tc>
        <w:tc>
          <w:tcPr>
            <w:tcW w:w="936" w:type="dxa"/>
            <w:tcBorders>
              <w:top w:val="single" w:sz="4" w:space="0" w:color="auto"/>
              <w:left w:val="single" w:sz="4" w:space="0" w:color="auto"/>
            </w:tcBorders>
            <w:shd w:val="clear" w:color="auto" w:fill="FFFFFF"/>
          </w:tcPr>
          <w:p w14:paraId="45379FE8" w14:textId="77777777" w:rsidR="00B834A2" w:rsidRPr="0078572C" w:rsidRDefault="00B834A2" w:rsidP="00CC0C6B">
            <w:pPr>
              <w:spacing w:after="120"/>
              <w:jc w:val="center"/>
              <w:rPr>
                <w:rFonts w:eastAsia="Times New Roman"/>
                <w:i/>
                <w:iCs/>
                <w:sz w:val="20"/>
              </w:rPr>
            </w:pPr>
            <w:r w:rsidRPr="0078572C">
              <w:rPr>
                <w:i/>
                <w:sz w:val="20"/>
              </w:rPr>
              <w:t>8</w:t>
            </w:r>
          </w:p>
        </w:tc>
        <w:tc>
          <w:tcPr>
            <w:tcW w:w="936" w:type="dxa"/>
            <w:tcBorders>
              <w:top w:val="single" w:sz="4" w:space="0" w:color="auto"/>
              <w:left w:val="single" w:sz="4" w:space="0" w:color="auto"/>
            </w:tcBorders>
            <w:shd w:val="clear" w:color="auto" w:fill="FFFFFF"/>
          </w:tcPr>
          <w:p w14:paraId="01FE5CA1" w14:textId="77777777" w:rsidR="00B834A2" w:rsidRPr="0078572C" w:rsidRDefault="00B834A2" w:rsidP="00CC0C6B">
            <w:pPr>
              <w:spacing w:after="120"/>
              <w:jc w:val="center"/>
              <w:rPr>
                <w:rFonts w:eastAsia="Times New Roman"/>
                <w:i/>
                <w:iCs/>
                <w:sz w:val="20"/>
              </w:rPr>
            </w:pPr>
            <w:r w:rsidRPr="0078572C">
              <w:rPr>
                <w:i/>
                <w:sz w:val="20"/>
              </w:rPr>
              <w:t>9</w:t>
            </w:r>
          </w:p>
        </w:tc>
        <w:tc>
          <w:tcPr>
            <w:tcW w:w="970" w:type="dxa"/>
            <w:tcBorders>
              <w:top w:val="single" w:sz="4" w:space="0" w:color="auto"/>
              <w:left w:val="single" w:sz="4" w:space="0" w:color="auto"/>
            </w:tcBorders>
            <w:shd w:val="clear" w:color="auto" w:fill="FFFFFF"/>
          </w:tcPr>
          <w:p w14:paraId="16343BB2" w14:textId="77777777" w:rsidR="00B834A2" w:rsidRPr="0078572C" w:rsidRDefault="00B834A2" w:rsidP="00CC0C6B">
            <w:pPr>
              <w:spacing w:after="120"/>
              <w:jc w:val="center"/>
              <w:rPr>
                <w:rFonts w:eastAsia="Times New Roman"/>
                <w:i/>
                <w:iCs/>
                <w:sz w:val="20"/>
              </w:rPr>
            </w:pPr>
            <w:r w:rsidRPr="0078572C">
              <w:rPr>
                <w:i/>
                <w:sz w:val="20"/>
              </w:rPr>
              <w:t>10</w:t>
            </w:r>
          </w:p>
        </w:tc>
      </w:tr>
      <w:tr w:rsidR="00B834A2" w:rsidRPr="0078572C" w14:paraId="78E45DC0" w14:textId="77777777" w:rsidTr="00B834A2">
        <w:trPr>
          <w:jc w:val="center"/>
        </w:trPr>
        <w:tc>
          <w:tcPr>
            <w:tcW w:w="965" w:type="dxa"/>
            <w:tcBorders>
              <w:top w:val="single" w:sz="4" w:space="0" w:color="auto"/>
              <w:bottom w:val="single" w:sz="4" w:space="0" w:color="auto"/>
            </w:tcBorders>
            <w:shd w:val="clear" w:color="auto" w:fill="FFFFFF"/>
          </w:tcPr>
          <w:p w14:paraId="56AFA40B"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p>
        </w:tc>
        <w:tc>
          <w:tcPr>
            <w:tcW w:w="931" w:type="dxa"/>
            <w:tcBorders>
              <w:top w:val="single" w:sz="4" w:space="0" w:color="auto"/>
              <w:left w:val="single" w:sz="4" w:space="0" w:color="auto"/>
              <w:bottom w:val="single" w:sz="4" w:space="0" w:color="auto"/>
            </w:tcBorders>
            <w:shd w:val="clear" w:color="auto" w:fill="FFFFFF"/>
          </w:tcPr>
          <w:p w14:paraId="2B35103D"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2DBCD0A0"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3F9C4325"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68C8C50B"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793C38B2"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1657EE9E"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4669D0E1"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647F2B64" w14:textId="77777777" w:rsidR="00B834A2" w:rsidRPr="0078572C" w:rsidRDefault="00B834A2" w:rsidP="00CC0C6B">
            <w:pPr>
              <w:spacing w:after="120"/>
              <w:ind w:firstLine="50"/>
              <w:jc w:val="center"/>
              <w:rPr>
                <w:rFonts w:eastAsia="Times New Roman"/>
                <w:i/>
                <w:iCs/>
                <w:sz w:val="20"/>
              </w:rPr>
            </w:pPr>
          </w:p>
        </w:tc>
        <w:tc>
          <w:tcPr>
            <w:tcW w:w="970" w:type="dxa"/>
            <w:tcBorders>
              <w:top w:val="single" w:sz="4" w:space="0" w:color="auto"/>
              <w:left w:val="single" w:sz="4" w:space="0" w:color="auto"/>
              <w:bottom w:val="single" w:sz="4" w:space="0" w:color="auto"/>
            </w:tcBorders>
            <w:shd w:val="clear" w:color="auto" w:fill="FFFFFF"/>
          </w:tcPr>
          <w:p w14:paraId="7DB08B7E" w14:textId="77777777" w:rsidR="00B834A2" w:rsidRPr="0078572C" w:rsidRDefault="00B834A2" w:rsidP="00CC0C6B">
            <w:pPr>
              <w:spacing w:after="120"/>
              <w:ind w:firstLine="50"/>
              <w:jc w:val="center"/>
              <w:rPr>
                <w:rFonts w:eastAsia="Times New Roman"/>
                <w:i/>
                <w:iCs/>
                <w:sz w:val="20"/>
              </w:rPr>
            </w:pPr>
          </w:p>
        </w:tc>
      </w:tr>
    </w:tbl>
    <w:p w14:paraId="6BED8E0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lastRenderedPageBreak/>
        <w:t xml:space="preserve">Եթե </w:t>
      </w:r>
      <m:oMath>
        <m:r>
          <w:rPr>
            <w:rFonts w:ascii="Cambria Math" w:hAnsi="Cambria Math" w:cs="Sylfaen"/>
            <w:color w:val="000000"/>
            <w:sz w:val="24"/>
            <w:szCs w:val="24"/>
          </w:rPr>
          <m:t xml:space="preserve">n≤15, a </m:t>
        </m:r>
        <m:f>
          <m:fPr>
            <m:ctrlPr>
              <w:rPr>
                <w:rFonts w:ascii="Cambria Math" w:hAnsi="Cambria Math" w:cs="Sylfaen"/>
                <w:i/>
                <w:iCs/>
                <w:color w:val="000000"/>
                <w:sz w:val="24"/>
                <w:szCs w:val="24"/>
              </w:rPr>
            </m:ctrlPr>
          </m:fPr>
          <m:num>
            <m:r>
              <w:rPr>
                <w:rFonts w:ascii="Cambria Math" w:hAnsi="Cambria Math" w:cs="Sylfaen"/>
                <w:color w:val="000000"/>
                <w:sz w:val="24"/>
                <w:szCs w:val="24"/>
              </w:rPr>
              <m:t>m+n</m:t>
            </m:r>
          </m:num>
          <m:den>
            <m:r>
              <w:rPr>
                <w:rFonts w:ascii="Cambria Math" w:hAnsi="Cambria Math" w:cs="Sylfaen"/>
                <w:color w:val="000000"/>
                <w:sz w:val="24"/>
                <w:szCs w:val="24"/>
              </w:rPr>
              <m:t>n</m:t>
            </m:r>
          </m:den>
        </m:f>
        <m:r>
          <w:rPr>
            <w:rFonts w:ascii="Cambria Math" w:hAnsi="Cambria Math" w:cs="Sylfaen"/>
            <w:color w:val="000000"/>
            <w:sz w:val="24"/>
            <w:szCs w:val="24"/>
          </w:rPr>
          <m:t>&gt;1,5,</m:t>
        </m:r>
      </m:oMath>
      <w:r w:rsidRPr="00B834A2">
        <w:rPr>
          <w:rFonts w:ascii="Sylfaen" w:hAnsi="Sylfaen"/>
          <w:color w:val="000000"/>
          <w:sz w:val="24"/>
          <w:szCs w:val="24"/>
        </w:rPr>
        <w:t xml:space="preserve"> 5 </w:t>
      </w:r>
      <w:r w:rsidRPr="00B834A2">
        <w:rPr>
          <w:rFonts w:ascii="Sylfaen" w:hAnsi="Sylfaen"/>
          <w:i/>
          <w:color w:val="000000"/>
          <w:sz w:val="24"/>
          <w:szCs w:val="24"/>
        </w:rPr>
        <w:t>s</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f</w:t>
      </w:r>
      <w:r>
        <w:rPr>
          <w:rFonts w:ascii="Sylfaen" w:hAnsi="Sylfaen"/>
          <w:color w:val="000000"/>
          <w:sz w:val="24"/>
          <w:szCs w:val="24"/>
        </w:rPr>
        <w:t xml:space="preserve"> </w:t>
      </w:r>
      <w:r w:rsidRPr="00B834A2">
        <w:rPr>
          <w:rFonts w:ascii="Sylfaen" w:hAnsi="Sylfaen"/>
          <w:color w:val="000000"/>
          <w:sz w:val="24"/>
          <w:szCs w:val="24"/>
        </w:rPr>
        <w:t xml:space="preserve">մեծությունները նպատակահարմար է հաշվարկել (1.21) </w:t>
      </w:r>
      <w:r>
        <w:rPr>
          <w:rFonts w:ascii="Sylfaen" w:hAnsi="Sylfaen"/>
          <w:color w:val="000000"/>
          <w:sz w:val="24"/>
          <w:szCs w:val="24"/>
        </w:rPr>
        <w:t>եւ</w:t>
      </w:r>
      <w:r w:rsidRPr="00B834A2">
        <w:rPr>
          <w:rFonts w:ascii="Sylfaen" w:hAnsi="Sylfaen"/>
          <w:color w:val="000000"/>
          <w:sz w:val="24"/>
          <w:szCs w:val="24"/>
        </w:rPr>
        <w:t xml:space="preserve"> (1.15) հավասարումներով:</w:t>
      </w:r>
    </w:p>
    <w:p w14:paraId="136F79F1"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t>Շատ դեպքերում հեշտ է օգտագործել հարաբերական (</w:t>
      </w:r>
      <w:r w:rsidRPr="00B834A2">
        <w:rPr>
          <w:rFonts w:ascii="Sylfaen" w:hAnsi="Sylfaen"/>
          <w:i/>
          <w:color w:val="000000"/>
          <w:sz w:val="24"/>
          <w:szCs w:val="24"/>
        </w:rPr>
        <w:t>¯х</w:t>
      </w:r>
      <w:r w:rsidRPr="00B834A2">
        <w:rPr>
          <w:rFonts w:ascii="Sylfaen" w:hAnsi="Sylfaen"/>
          <w:color w:val="000000"/>
          <w:sz w:val="24"/>
          <w:szCs w:val="24"/>
        </w:rPr>
        <w:t>-ի նկատմամբ) մեծություններ: Այդ դեպքում նպատակահարմար է օգտագործել 3.1-3 աղյուսակի տվյալները:</w:t>
      </w:r>
    </w:p>
    <w:p w14:paraId="36A5D7B6" w14:textId="77777777" w:rsidR="002B2475" w:rsidRPr="003A4194" w:rsidRDefault="002B2475" w:rsidP="00B834A2">
      <w:pPr>
        <w:pStyle w:val="a0"/>
        <w:shd w:val="clear" w:color="auto" w:fill="auto"/>
        <w:spacing w:after="160" w:line="360" w:lineRule="auto"/>
        <w:ind w:firstLine="567"/>
        <w:jc w:val="both"/>
        <w:rPr>
          <w:rFonts w:ascii="Sylfaen" w:hAnsi="Sylfaen"/>
          <w:color w:val="000000"/>
          <w:sz w:val="24"/>
          <w:szCs w:val="24"/>
        </w:rPr>
      </w:pPr>
    </w:p>
    <w:p w14:paraId="13512DB2" w14:textId="77777777" w:rsidR="00B834A2" w:rsidRPr="00CC0C6B" w:rsidRDefault="00CC0C6B" w:rsidP="00B834A2">
      <w:pPr>
        <w:pStyle w:val="a0"/>
        <w:shd w:val="clear" w:color="auto" w:fill="auto"/>
        <w:spacing w:after="160" w:line="360" w:lineRule="auto"/>
        <w:ind w:firstLine="567"/>
        <w:jc w:val="both"/>
        <w:rPr>
          <w:rFonts w:ascii="Sylfaen" w:hAnsi="Sylfaen" w:cs="Sylfaen"/>
          <w:color w:val="000000"/>
          <w:sz w:val="24"/>
          <w:szCs w:val="24"/>
        </w:rPr>
      </w:pPr>
      <w:r w:rsidRPr="00CC0C6B">
        <w:rPr>
          <w:rFonts w:ascii="Sylfaen" w:hAnsi="Sylfaen"/>
          <w:color w:val="000000"/>
          <w:sz w:val="24"/>
          <w:szCs w:val="24"/>
        </w:rPr>
        <w:t>Աղյուսակ 3.1-3. -</w:t>
      </w:r>
      <w:r w:rsidRPr="00CC0C6B">
        <w:rPr>
          <w:rFonts w:ascii="Sylfaen" w:hAnsi="Sylfaen"/>
          <w:i/>
          <w:color w:val="000000"/>
          <w:sz w:val="24"/>
          <w:szCs w:val="24"/>
        </w:rPr>
        <w:t xml:space="preserve"> </w:t>
      </w:r>
      <w:r w:rsidRPr="00CC0C6B">
        <w:rPr>
          <w:rFonts w:ascii="Sylfaen" w:hAnsi="Sylfaen"/>
          <w:color w:val="000000"/>
          <w:sz w:val="24"/>
          <w:szCs w:val="24"/>
        </w:rPr>
        <w:t>Հարաբերական մեծությունների օգտագործմամբ ընտրանքների միջին արդյունքների համեմատման համար տվյալներ</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965"/>
        <w:gridCol w:w="931"/>
        <w:gridCol w:w="936"/>
        <w:gridCol w:w="936"/>
        <w:gridCol w:w="936"/>
        <w:gridCol w:w="936"/>
        <w:gridCol w:w="936"/>
        <w:gridCol w:w="936"/>
        <w:gridCol w:w="936"/>
        <w:gridCol w:w="970"/>
      </w:tblGrid>
      <w:tr w:rsidR="00B834A2" w:rsidRPr="0078572C" w14:paraId="74A1DC42" w14:textId="77777777" w:rsidTr="00B834A2">
        <w:trPr>
          <w:jc w:val="center"/>
        </w:trPr>
        <w:tc>
          <w:tcPr>
            <w:tcW w:w="965" w:type="dxa"/>
            <w:tcBorders>
              <w:top w:val="single" w:sz="4" w:space="0" w:color="auto"/>
            </w:tcBorders>
            <w:shd w:val="clear" w:color="auto" w:fill="FFFFFF"/>
          </w:tcPr>
          <w:p w14:paraId="2C52D191"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r w:rsidRPr="0078572C">
              <w:rPr>
                <w:rFonts w:ascii="Sylfaen" w:hAnsi="Sylfaen"/>
                <w:i/>
                <w:color w:val="000000"/>
                <w:szCs w:val="24"/>
              </w:rPr>
              <w:t>m</w:t>
            </w:r>
          </w:p>
        </w:tc>
        <w:tc>
          <w:tcPr>
            <w:tcW w:w="931" w:type="dxa"/>
            <w:tcBorders>
              <w:top w:val="single" w:sz="4" w:space="0" w:color="auto"/>
              <w:left w:val="single" w:sz="4" w:space="0" w:color="auto"/>
            </w:tcBorders>
            <w:shd w:val="clear" w:color="auto" w:fill="FFFFFF"/>
          </w:tcPr>
          <w:p w14:paraId="003E8198" w14:textId="77777777" w:rsidR="00B834A2" w:rsidRPr="0078572C" w:rsidRDefault="00B834A2" w:rsidP="00CC0C6B">
            <w:pPr>
              <w:spacing w:after="120"/>
              <w:ind w:firstLine="50"/>
              <w:jc w:val="center"/>
              <w:rPr>
                <w:rFonts w:eastAsia="Times New Roman"/>
                <w:i/>
                <w:iCs/>
                <w:sz w:val="20"/>
              </w:rPr>
            </w:pPr>
            <w:r w:rsidRPr="0078572C">
              <w:rPr>
                <w:i/>
                <w:sz w:val="20"/>
              </w:rPr>
              <w:t>f</w:t>
            </w:r>
          </w:p>
        </w:tc>
        <w:tc>
          <w:tcPr>
            <w:tcW w:w="936" w:type="dxa"/>
            <w:tcBorders>
              <w:top w:val="single" w:sz="4" w:space="0" w:color="auto"/>
              <w:left w:val="single" w:sz="4" w:space="0" w:color="auto"/>
            </w:tcBorders>
            <w:shd w:val="clear" w:color="auto" w:fill="FFFFFF"/>
          </w:tcPr>
          <w:p w14:paraId="78FE567E"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¯x</w:t>
            </w:r>
          </w:p>
        </w:tc>
        <w:tc>
          <w:tcPr>
            <w:tcW w:w="936" w:type="dxa"/>
            <w:tcBorders>
              <w:top w:val="single" w:sz="4" w:space="0" w:color="auto"/>
              <w:left w:val="single" w:sz="4" w:space="0" w:color="auto"/>
            </w:tcBorders>
            <w:shd w:val="clear" w:color="auto" w:fill="FFFFFF"/>
          </w:tcPr>
          <w:p w14:paraId="50491B68"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s</w:t>
            </w:r>
          </w:p>
        </w:tc>
        <w:tc>
          <w:tcPr>
            <w:tcW w:w="936" w:type="dxa"/>
            <w:tcBorders>
              <w:top w:val="single" w:sz="4" w:space="0" w:color="auto"/>
              <w:left w:val="single" w:sz="4" w:space="0" w:color="auto"/>
            </w:tcBorders>
            <w:shd w:val="clear" w:color="auto" w:fill="FFFFFF"/>
          </w:tcPr>
          <w:p w14:paraId="1FAD41C5"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s</w:t>
            </w:r>
            <w:r w:rsidRPr="0078572C">
              <w:rPr>
                <w:rFonts w:ascii="Sylfaen" w:hAnsi="Sylfaen"/>
                <w:i/>
                <w:color w:val="000000"/>
                <w:szCs w:val="24"/>
                <w:vertAlign w:val="subscript"/>
              </w:rPr>
              <w:t>r</w:t>
            </w:r>
          </w:p>
        </w:tc>
        <w:tc>
          <w:tcPr>
            <w:tcW w:w="936" w:type="dxa"/>
            <w:tcBorders>
              <w:top w:val="single" w:sz="4" w:space="0" w:color="auto"/>
              <w:left w:val="single" w:sz="4" w:space="0" w:color="auto"/>
            </w:tcBorders>
            <w:shd w:val="clear" w:color="auto" w:fill="FFFFFF"/>
          </w:tcPr>
          <w:p w14:paraId="54C0E600"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s</w:t>
            </w:r>
            <w:r w:rsidRPr="0078572C">
              <w:rPr>
                <w:rFonts w:ascii="Sylfaen" w:hAnsi="Sylfaen"/>
                <w:i/>
                <w:color w:val="000000"/>
                <w:szCs w:val="24"/>
                <w:vertAlign w:val="subscript"/>
              </w:rPr>
              <w:t>¯xr</w:t>
            </w:r>
          </w:p>
        </w:tc>
        <w:tc>
          <w:tcPr>
            <w:tcW w:w="936" w:type="dxa"/>
            <w:tcBorders>
              <w:top w:val="single" w:sz="4" w:space="0" w:color="auto"/>
              <w:left w:val="single" w:sz="4" w:space="0" w:color="auto"/>
            </w:tcBorders>
            <w:shd w:val="clear" w:color="auto" w:fill="FFFFFF"/>
          </w:tcPr>
          <w:p w14:paraId="07447A20"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P</w:t>
            </w:r>
          </w:p>
        </w:tc>
        <w:tc>
          <w:tcPr>
            <w:tcW w:w="936" w:type="dxa"/>
            <w:tcBorders>
              <w:top w:val="single" w:sz="4" w:space="0" w:color="auto"/>
              <w:left w:val="single" w:sz="4" w:space="0" w:color="auto"/>
            </w:tcBorders>
            <w:shd w:val="clear" w:color="auto" w:fill="FFFFFF"/>
          </w:tcPr>
          <w:p w14:paraId="690DD538"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t(P,f)</w:t>
            </w:r>
          </w:p>
        </w:tc>
        <w:tc>
          <w:tcPr>
            <w:tcW w:w="936" w:type="dxa"/>
            <w:tcBorders>
              <w:top w:val="single" w:sz="4" w:space="0" w:color="auto"/>
              <w:left w:val="single" w:sz="4" w:space="0" w:color="auto"/>
            </w:tcBorders>
            <w:shd w:val="clear" w:color="auto" w:fill="FFFFFF"/>
          </w:tcPr>
          <w:p w14:paraId="52B9BD01"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m:oMathPara>
              <m:oMath>
                <m:r>
                  <w:rPr>
                    <w:rFonts w:ascii="Cambria Math" w:hAnsi="Cambria Math" w:cs="Sylfaen"/>
                    <w:color w:val="000000"/>
                    <w:szCs w:val="24"/>
                  </w:rPr>
                  <m:t>∆</m:t>
                </m:r>
                <m:sSub>
                  <m:sSubPr>
                    <m:ctrlPr>
                      <w:rPr>
                        <w:rFonts w:ascii="Cambria Math" w:hAnsi="Cambria Math" w:cs="Sylfaen"/>
                        <w:i/>
                        <w:iCs/>
                        <w:color w:val="000000"/>
                        <w:szCs w:val="24"/>
                      </w:rPr>
                    </m:ctrlPr>
                  </m:sSubPr>
                  <m:e>
                    <m:r>
                      <w:rPr>
                        <w:rFonts w:ascii="Cambria Math" w:hAnsi="Cambria Math" w:cs="Sylfaen"/>
                        <w:color w:val="000000"/>
                        <w:szCs w:val="24"/>
                      </w:rPr>
                      <m:t>¯x</m:t>
                    </m:r>
                  </m:e>
                  <m:sub>
                    <m:r>
                      <w:rPr>
                        <w:rFonts w:ascii="Cambria Math" w:hAnsi="Cambria Math" w:cs="Sylfaen"/>
                        <w:color w:val="000000"/>
                        <w:szCs w:val="24"/>
                      </w:rPr>
                      <m:t>r r</m:t>
                    </m:r>
                  </m:sub>
                </m:sSub>
              </m:oMath>
            </m:oMathPara>
          </w:p>
        </w:tc>
        <w:tc>
          <w:tcPr>
            <w:tcW w:w="970" w:type="dxa"/>
            <w:tcBorders>
              <w:top w:val="single" w:sz="4" w:space="0" w:color="auto"/>
              <w:left w:val="single" w:sz="4" w:space="0" w:color="auto"/>
            </w:tcBorders>
            <w:shd w:val="clear" w:color="auto" w:fill="FFFFFF"/>
          </w:tcPr>
          <w:p w14:paraId="3A94AC46" w14:textId="77777777" w:rsidR="00B834A2" w:rsidRPr="0078572C" w:rsidRDefault="00B834A2" w:rsidP="00CC0C6B">
            <w:pPr>
              <w:pStyle w:val="a0"/>
              <w:shd w:val="clear" w:color="auto" w:fill="auto"/>
              <w:spacing w:after="120" w:line="240" w:lineRule="auto"/>
              <w:ind w:firstLine="0"/>
              <w:jc w:val="center"/>
              <w:rPr>
                <w:rFonts w:ascii="Sylfaen" w:hAnsi="Sylfaen" w:cs="Sylfaen"/>
                <w:i/>
                <w:iCs/>
                <w:color w:val="000000"/>
                <w:szCs w:val="24"/>
              </w:rPr>
            </w:pPr>
            <w:r w:rsidRPr="0078572C">
              <w:rPr>
                <w:rFonts w:ascii="Sylfaen" w:hAnsi="Sylfaen"/>
                <w:i/>
                <w:color w:val="000000"/>
                <w:szCs w:val="24"/>
              </w:rPr>
              <w:t>¯</w:t>
            </w:r>
            <m:oMath>
              <m:r>
                <w:rPr>
                  <w:rFonts w:ascii="Cambria Math" w:hAnsi="Cambria Math" w:cs="Sylfaen"/>
                  <w:color w:val="000000"/>
                  <w:szCs w:val="24"/>
                </w:rPr>
                <m:t>ε</m:t>
              </m:r>
            </m:oMath>
          </w:p>
        </w:tc>
      </w:tr>
      <w:tr w:rsidR="00B834A2" w:rsidRPr="0078572C" w14:paraId="36D17542" w14:textId="77777777" w:rsidTr="00B834A2">
        <w:trPr>
          <w:jc w:val="center"/>
        </w:trPr>
        <w:tc>
          <w:tcPr>
            <w:tcW w:w="965" w:type="dxa"/>
            <w:tcBorders>
              <w:top w:val="single" w:sz="4" w:space="0" w:color="auto"/>
            </w:tcBorders>
            <w:shd w:val="clear" w:color="auto" w:fill="FFFFFF"/>
          </w:tcPr>
          <w:p w14:paraId="008BC039"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r w:rsidRPr="0078572C">
              <w:rPr>
                <w:rFonts w:ascii="Sylfaen" w:hAnsi="Sylfaen"/>
                <w:i/>
                <w:color w:val="000000"/>
                <w:szCs w:val="24"/>
              </w:rPr>
              <w:t>1</w:t>
            </w:r>
          </w:p>
        </w:tc>
        <w:tc>
          <w:tcPr>
            <w:tcW w:w="931" w:type="dxa"/>
            <w:tcBorders>
              <w:top w:val="single" w:sz="4" w:space="0" w:color="auto"/>
              <w:left w:val="single" w:sz="4" w:space="0" w:color="auto"/>
            </w:tcBorders>
            <w:shd w:val="clear" w:color="auto" w:fill="FFFFFF"/>
          </w:tcPr>
          <w:p w14:paraId="0C5A0215" w14:textId="77777777" w:rsidR="00B834A2" w:rsidRPr="0078572C" w:rsidRDefault="00B834A2" w:rsidP="00CC0C6B">
            <w:pPr>
              <w:spacing w:after="120"/>
              <w:ind w:firstLine="50"/>
              <w:jc w:val="center"/>
              <w:rPr>
                <w:rFonts w:eastAsia="Times New Roman"/>
                <w:i/>
                <w:iCs/>
                <w:sz w:val="20"/>
              </w:rPr>
            </w:pPr>
            <w:r w:rsidRPr="0078572C">
              <w:rPr>
                <w:i/>
                <w:sz w:val="20"/>
              </w:rPr>
              <w:t>2</w:t>
            </w:r>
          </w:p>
        </w:tc>
        <w:tc>
          <w:tcPr>
            <w:tcW w:w="936" w:type="dxa"/>
            <w:tcBorders>
              <w:top w:val="single" w:sz="4" w:space="0" w:color="auto"/>
              <w:left w:val="single" w:sz="4" w:space="0" w:color="auto"/>
            </w:tcBorders>
            <w:shd w:val="clear" w:color="auto" w:fill="FFFFFF"/>
          </w:tcPr>
          <w:p w14:paraId="740E9C05" w14:textId="77777777" w:rsidR="00B834A2" w:rsidRPr="0078572C" w:rsidRDefault="00B834A2" w:rsidP="00CC0C6B">
            <w:pPr>
              <w:spacing w:after="120"/>
              <w:jc w:val="center"/>
              <w:rPr>
                <w:rFonts w:eastAsia="Times New Roman"/>
                <w:i/>
                <w:iCs/>
                <w:sz w:val="20"/>
              </w:rPr>
            </w:pPr>
            <w:r w:rsidRPr="0078572C">
              <w:rPr>
                <w:i/>
                <w:sz w:val="20"/>
              </w:rPr>
              <w:t>3</w:t>
            </w:r>
          </w:p>
        </w:tc>
        <w:tc>
          <w:tcPr>
            <w:tcW w:w="936" w:type="dxa"/>
            <w:tcBorders>
              <w:top w:val="single" w:sz="4" w:space="0" w:color="auto"/>
              <w:left w:val="single" w:sz="4" w:space="0" w:color="auto"/>
            </w:tcBorders>
            <w:shd w:val="clear" w:color="auto" w:fill="FFFFFF"/>
          </w:tcPr>
          <w:p w14:paraId="6F846097" w14:textId="77777777" w:rsidR="00B834A2" w:rsidRPr="0078572C" w:rsidRDefault="00B834A2" w:rsidP="00CC0C6B">
            <w:pPr>
              <w:spacing w:after="120"/>
              <w:jc w:val="center"/>
              <w:rPr>
                <w:rFonts w:eastAsia="Times New Roman"/>
                <w:i/>
                <w:iCs/>
                <w:sz w:val="20"/>
              </w:rPr>
            </w:pPr>
            <w:r w:rsidRPr="0078572C">
              <w:rPr>
                <w:i/>
                <w:sz w:val="20"/>
              </w:rPr>
              <w:t>4</w:t>
            </w:r>
          </w:p>
        </w:tc>
        <w:tc>
          <w:tcPr>
            <w:tcW w:w="936" w:type="dxa"/>
            <w:tcBorders>
              <w:top w:val="single" w:sz="4" w:space="0" w:color="auto"/>
              <w:left w:val="single" w:sz="4" w:space="0" w:color="auto"/>
            </w:tcBorders>
            <w:shd w:val="clear" w:color="auto" w:fill="FFFFFF"/>
          </w:tcPr>
          <w:p w14:paraId="447A7153" w14:textId="77777777" w:rsidR="00B834A2" w:rsidRPr="0078572C" w:rsidRDefault="00B834A2" w:rsidP="00CC0C6B">
            <w:pPr>
              <w:spacing w:after="120"/>
              <w:jc w:val="center"/>
              <w:rPr>
                <w:rFonts w:eastAsia="Times New Roman"/>
                <w:i/>
                <w:iCs/>
                <w:sz w:val="20"/>
              </w:rPr>
            </w:pPr>
            <w:r w:rsidRPr="0078572C">
              <w:rPr>
                <w:i/>
                <w:sz w:val="20"/>
              </w:rPr>
              <w:t>5</w:t>
            </w:r>
          </w:p>
        </w:tc>
        <w:tc>
          <w:tcPr>
            <w:tcW w:w="936" w:type="dxa"/>
            <w:tcBorders>
              <w:top w:val="single" w:sz="4" w:space="0" w:color="auto"/>
              <w:left w:val="single" w:sz="4" w:space="0" w:color="auto"/>
            </w:tcBorders>
            <w:shd w:val="clear" w:color="auto" w:fill="FFFFFF"/>
          </w:tcPr>
          <w:p w14:paraId="285A495B" w14:textId="77777777" w:rsidR="00B834A2" w:rsidRPr="0078572C" w:rsidRDefault="00B834A2" w:rsidP="00CC0C6B">
            <w:pPr>
              <w:spacing w:after="120"/>
              <w:jc w:val="center"/>
              <w:rPr>
                <w:rFonts w:eastAsia="Times New Roman"/>
                <w:i/>
                <w:iCs/>
                <w:sz w:val="20"/>
              </w:rPr>
            </w:pPr>
            <w:r w:rsidRPr="0078572C">
              <w:rPr>
                <w:i/>
                <w:sz w:val="20"/>
              </w:rPr>
              <w:t>6</w:t>
            </w:r>
          </w:p>
        </w:tc>
        <w:tc>
          <w:tcPr>
            <w:tcW w:w="936" w:type="dxa"/>
            <w:tcBorders>
              <w:top w:val="single" w:sz="4" w:space="0" w:color="auto"/>
              <w:left w:val="single" w:sz="4" w:space="0" w:color="auto"/>
            </w:tcBorders>
            <w:shd w:val="clear" w:color="auto" w:fill="FFFFFF"/>
          </w:tcPr>
          <w:p w14:paraId="2ABCF77C" w14:textId="77777777" w:rsidR="00B834A2" w:rsidRPr="0078572C" w:rsidRDefault="00B834A2" w:rsidP="00CC0C6B">
            <w:pPr>
              <w:spacing w:after="120"/>
              <w:jc w:val="center"/>
              <w:rPr>
                <w:rFonts w:eastAsia="Times New Roman"/>
                <w:i/>
                <w:iCs/>
                <w:sz w:val="20"/>
              </w:rPr>
            </w:pPr>
            <w:r w:rsidRPr="0078572C">
              <w:rPr>
                <w:i/>
                <w:sz w:val="20"/>
              </w:rPr>
              <w:t>7</w:t>
            </w:r>
          </w:p>
        </w:tc>
        <w:tc>
          <w:tcPr>
            <w:tcW w:w="936" w:type="dxa"/>
            <w:tcBorders>
              <w:top w:val="single" w:sz="4" w:space="0" w:color="auto"/>
              <w:left w:val="single" w:sz="4" w:space="0" w:color="auto"/>
            </w:tcBorders>
            <w:shd w:val="clear" w:color="auto" w:fill="FFFFFF"/>
          </w:tcPr>
          <w:p w14:paraId="2E6F1834" w14:textId="77777777" w:rsidR="00B834A2" w:rsidRPr="0078572C" w:rsidRDefault="00B834A2" w:rsidP="00CC0C6B">
            <w:pPr>
              <w:spacing w:after="120"/>
              <w:jc w:val="center"/>
              <w:rPr>
                <w:rFonts w:eastAsia="Times New Roman"/>
                <w:i/>
                <w:iCs/>
                <w:sz w:val="20"/>
              </w:rPr>
            </w:pPr>
            <w:r w:rsidRPr="0078572C">
              <w:rPr>
                <w:i/>
                <w:sz w:val="20"/>
              </w:rPr>
              <w:t>8</w:t>
            </w:r>
          </w:p>
        </w:tc>
        <w:tc>
          <w:tcPr>
            <w:tcW w:w="936" w:type="dxa"/>
            <w:tcBorders>
              <w:top w:val="single" w:sz="4" w:space="0" w:color="auto"/>
              <w:left w:val="single" w:sz="4" w:space="0" w:color="auto"/>
            </w:tcBorders>
            <w:shd w:val="clear" w:color="auto" w:fill="FFFFFF"/>
          </w:tcPr>
          <w:p w14:paraId="770059A8" w14:textId="77777777" w:rsidR="00B834A2" w:rsidRPr="0078572C" w:rsidRDefault="00B834A2" w:rsidP="00CC0C6B">
            <w:pPr>
              <w:spacing w:after="120"/>
              <w:jc w:val="center"/>
              <w:rPr>
                <w:rFonts w:eastAsia="Times New Roman"/>
                <w:i/>
                <w:iCs/>
                <w:sz w:val="20"/>
              </w:rPr>
            </w:pPr>
            <w:r w:rsidRPr="0078572C">
              <w:rPr>
                <w:i/>
                <w:sz w:val="20"/>
              </w:rPr>
              <w:t>9</w:t>
            </w:r>
          </w:p>
        </w:tc>
        <w:tc>
          <w:tcPr>
            <w:tcW w:w="970" w:type="dxa"/>
            <w:tcBorders>
              <w:top w:val="single" w:sz="4" w:space="0" w:color="auto"/>
              <w:left w:val="single" w:sz="4" w:space="0" w:color="auto"/>
            </w:tcBorders>
            <w:shd w:val="clear" w:color="auto" w:fill="FFFFFF"/>
          </w:tcPr>
          <w:p w14:paraId="637C68E8" w14:textId="77777777" w:rsidR="00B834A2" w:rsidRPr="0078572C" w:rsidRDefault="00B834A2" w:rsidP="00CC0C6B">
            <w:pPr>
              <w:spacing w:after="120"/>
              <w:jc w:val="center"/>
              <w:rPr>
                <w:rFonts w:eastAsia="Times New Roman"/>
                <w:i/>
                <w:iCs/>
                <w:sz w:val="20"/>
              </w:rPr>
            </w:pPr>
            <w:r w:rsidRPr="0078572C">
              <w:rPr>
                <w:i/>
                <w:sz w:val="20"/>
              </w:rPr>
              <w:t>10</w:t>
            </w:r>
          </w:p>
        </w:tc>
      </w:tr>
      <w:tr w:rsidR="00B834A2" w:rsidRPr="0078572C" w14:paraId="02539D00" w14:textId="77777777" w:rsidTr="00B834A2">
        <w:trPr>
          <w:jc w:val="center"/>
        </w:trPr>
        <w:tc>
          <w:tcPr>
            <w:tcW w:w="965" w:type="dxa"/>
            <w:tcBorders>
              <w:top w:val="single" w:sz="4" w:space="0" w:color="auto"/>
              <w:bottom w:val="single" w:sz="4" w:space="0" w:color="auto"/>
            </w:tcBorders>
            <w:shd w:val="clear" w:color="auto" w:fill="FFFFFF"/>
          </w:tcPr>
          <w:p w14:paraId="1C8C2AD0" w14:textId="77777777" w:rsidR="00B834A2" w:rsidRPr="0078572C" w:rsidRDefault="00B834A2" w:rsidP="00CC0C6B">
            <w:pPr>
              <w:pStyle w:val="a0"/>
              <w:shd w:val="clear" w:color="auto" w:fill="auto"/>
              <w:spacing w:after="120" w:line="240" w:lineRule="auto"/>
              <w:ind w:firstLine="22"/>
              <w:jc w:val="center"/>
              <w:rPr>
                <w:rFonts w:ascii="Sylfaen" w:hAnsi="Sylfaen" w:cs="Sylfaen"/>
                <w:i/>
                <w:iCs/>
                <w:color w:val="000000"/>
                <w:szCs w:val="24"/>
              </w:rPr>
            </w:pPr>
          </w:p>
        </w:tc>
        <w:tc>
          <w:tcPr>
            <w:tcW w:w="931" w:type="dxa"/>
            <w:tcBorders>
              <w:top w:val="single" w:sz="4" w:space="0" w:color="auto"/>
              <w:left w:val="single" w:sz="4" w:space="0" w:color="auto"/>
              <w:bottom w:val="single" w:sz="4" w:space="0" w:color="auto"/>
            </w:tcBorders>
            <w:shd w:val="clear" w:color="auto" w:fill="FFFFFF"/>
          </w:tcPr>
          <w:p w14:paraId="48532C21"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39D0BB2A"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17A9178C"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4CF90ECE"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09B9D07A"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387F916B"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10FA7916" w14:textId="77777777" w:rsidR="00B834A2" w:rsidRPr="0078572C" w:rsidRDefault="00B834A2" w:rsidP="00CC0C6B">
            <w:pPr>
              <w:spacing w:after="120"/>
              <w:ind w:firstLine="50"/>
              <w:jc w:val="center"/>
              <w:rPr>
                <w:rFonts w:eastAsia="Times New Roman"/>
                <w:i/>
                <w:iCs/>
                <w:sz w:val="20"/>
              </w:rPr>
            </w:pPr>
          </w:p>
        </w:tc>
        <w:tc>
          <w:tcPr>
            <w:tcW w:w="936" w:type="dxa"/>
            <w:tcBorders>
              <w:top w:val="single" w:sz="4" w:space="0" w:color="auto"/>
              <w:left w:val="single" w:sz="4" w:space="0" w:color="auto"/>
              <w:bottom w:val="single" w:sz="4" w:space="0" w:color="auto"/>
            </w:tcBorders>
            <w:shd w:val="clear" w:color="auto" w:fill="FFFFFF"/>
          </w:tcPr>
          <w:p w14:paraId="7403F1D8" w14:textId="77777777" w:rsidR="00B834A2" w:rsidRPr="0078572C" w:rsidRDefault="00B834A2" w:rsidP="00CC0C6B">
            <w:pPr>
              <w:spacing w:after="120"/>
              <w:ind w:firstLine="50"/>
              <w:jc w:val="center"/>
              <w:rPr>
                <w:rFonts w:eastAsia="Times New Roman"/>
                <w:i/>
                <w:iCs/>
                <w:sz w:val="20"/>
              </w:rPr>
            </w:pPr>
          </w:p>
        </w:tc>
        <w:tc>
          <w:tcPr>
            <w:tcW w:w="970" w:type="dxa"/>
            <w:tcBorders>
              <w:top w:val="single" w:sz="4" w:space="0" w:color="auto"/>
              <w:left w:val="single" w:sz="4" w:space="0" w:color="auto"/>
              <w:bottom w:val="single" w:sz="4" w:space="0" w:color="auto"/>
            </w:tcBorders>
            <w:shd w:val="clear" w:color="auto" w:fill="FFFFFF"/>
          </w:tcPr>
          <w:p w14:paraId="5661D5CA" w14:textId="77777777" w:rsidR="00B834A2" w:rsidRPr="0078572C" w:rsidRDefault="00B834A2" w:rsidP="00CC0C6B">
            <w:pPr>
              <w:spacing w:after="120"/>
              <w:ind w:firstLine="50"/>
              <w:jc w:val="center"/>
              <w:rPr>
                <w:rFonts w:eastAsia="Times New Roman"/>
                <w:i/>
                <w:iCs/>
                <w:sz w:val="20"/>
              </w:rPr>
            </w:pPr>
          </w:p>
        </w:tc>
      </w:tr>
    </w:tbl>
    <w:p w14:paraId="5CBAAAB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003424A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Այսպիսով, (1.21) հավասարման հիման վրա </w:t>
      </w:r>
      <w:r w:rsidRPr="00B834A2">
        <w:rPr>
          <w:rFonts w:ascii="Sylfaen" w:hAnsi="Sylfaen"/>
          <w:i/>
          <w:color w:val="000000"/>
          <w:sz w:val="24"/>
          <w:szCs w:val="24"/>
        </w:rPr>
        <w:t>А</w:t>
      </w:r>
      <w:r w:rsidRPr="00B834A2">
        <w:rPr>
          <w:rFonts w:ascii="Sylfaen" w:hAnsi="Sylfaen"/>
          <w:color w:val="000000"/>
          <w:sz w:val="24"/>
          <w:szCs w:val="24"/>
        </w:rPr>
        <w:t xml:space="preserve"> չափվող մեծության համար </w:t>
      </w:r>
      <w:r w:rsidRPr="00B834A2">
        <w:rPr>
          <w:rFonts w:ascii="Sylfaen" w:hAnsi="Sylfaen"/>
          <w:i/>
          <w:color w:val="000000"/>
          <w:sz w:val="24"/>
          <w:szCs w:val="24"/>
        </w:rPr>
        <w:t>Р</w:t>
      </w:r>
      <w:r w:rsidRPr="00B834A2">
        <w:rPr>
          <w:rFonts w:ascii="Sylfaen" w:hAnsi="Sylfaen"/>
          <w:color w:val="000000"/>
          <w:sz w:val="24"/>
          <w:szCs w:val="24"/>
        </w:rPr>
        <w:t xml:space="preserve"> հավանականությամբ աննշան կանոնավոր սխալանքի դեպքում կատարվում է հետ</w:t>
      </w:r>
      <w:r>
        <w:rPr>
          <w:rFonts w:ascii="Sylfaen" w:hAnsi="Sylfaen"/>
          <w:color w:val="000000"/>
          <w:sz w:val="24"/>
          <w:szCs w:val="24"/>
        </w:rPr>
        <w:t>եւ</w:t>
      </w:r>
      <w:r w:rsidRPr="00B834A2">
        <w:rPr>
          <w:rFonts w:ascii="Sylfaen" w:hAnsi="Sylfaen"/>
          <w:color w:val="000000"/>
          <w:sz w:val="24"/>
          <w:szCs w:val="24"/>
        </w:rPr>
        <w:t>յալ պայմանը.</w:t>
      </w:r>
    </w:p>
    <w:p w14:paraId="6B6EA994"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color w:val="000000"/>
          <w:sz w:val="24"/>
          <w:szCs w:val="24"/>
        </w:rPr>
        <w:t>¯x-</w:t>
      </w:r>
      <m:oMath>
        <m:r>
          <w:rPr>
            <w:rFonts w:ascii="Cambria Math" w:hAnsi="Cambria Math" w:cs="Sylfaen"/>
            <w:color w:val="000000"/>
            <w:sz w:val="24"/>
            <w:szCs w:val="24"/>
          </w:rPr>
          <m:t>∆</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≤A≤</m:t>
        </m:r>
        <m:bar>
          <m:barPr>
            <m:pos m:val="top"/>
            <m:ctrlPr>
              <w:rPr>
                <w:rFonts w:ascii="Cambria Math" w:hAnsi="Cambria Math" w:cs="Sylfaen"/>
                <w:i/>
                <w:color w:val="000000"/>
                <w:sz w:val="24"/>
                <w:szCs w:val="24"/>
              </w:rPr>
            </m:ctrlPr>
          </m:barPr>
          <m:e>
            <m:r>
              <w:rPr>
                <w:rFonts w:ascii="Cambria Math" w:hAnsi="Cambria Math" w:cs="Sylfaen"/>
                <w:color w:val="000000"/>
                <w:sz w:val="24"/>
                <w:szCs w:val="24"/>
              </w:rPr>
              <m:t>x</m:t>
            </m:r>
          </m:e>
        </m:bar>
        <m:r>
          <w:rPr>
            <w:rFonts w:ascii="Cambria Math" w:hAnsi="Cambria Math" w:cs="Sylfaen"/>
            <w:color w:val="000000"/>
            <w:sz w:val="24"/>
            <w:szCs w:val="24"/>
          </w:rPr>
          <m:t>+∆¯x</m:t>
        </m:r>
      </m:oMath>
      <w:r w:rsidRPr="00B834A2">
        <w:rPr>
          <w:rFonts w:ascii="Sylfaen" w:hAnsi="Sylfaen"/>
          <w:color w:val="000000"/>
          <w:sz w:val="24"/>
          <w:szCs w:val="24"/>
        </w:rPr>
        <w:t>,</w:t>
      </w:r>
      <w:r w:rsidRPr="00B834A2">
        <w:rPr>
          <w:rFonts w:ascii="Sylfaen" w:hAnsi="Sylfaen"/>
          <w:sz w:val="24"/>
          <w:szCs w:val="24"/>
        </w:rPr>
        <w:t xml:space="preserve"> </w:t>
      </w:r>
      <w:r w:rsidR="0078572C" w:rsidRPr="002E52D1">
        <w:rPr>
          <w:rFonts w:ascii="Sylfaen" w:hAnsi="Sylfaen"/>
          <w:sz w:val="24"/>
          <w:szCs w:val="24"/>
        </w:rPr>
        <w:tab/>
      </w:r>
      <w:r w:rsidRPr="00B834A2">
        <w:rPr>
          <w:rFonts w:ascii="Sylfaen" w:hAnsi="Sylfaen"/>
          <w:color w:val="000000"/>
          <w:sz w:val="24"/>
          <w:szCs w:val="24"/>
        </w:rPr>
        <w:t>(3.1)</w:t>
      </w:r>
    </w:p>
    <w:p w14:paraId="0F6C723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այսինքն՝</w:t>
      </w:r>
      <w:r w:rsidRPr="00B834A2">
        <w:rPr>
          <w:rFonts w:ascii="Sylfaen" w:hAnsi="Sylfaen"/>
          <w:i/>
          <w:color w:val="000000"/>
          <w:sz w:val="24"/>
          <w:szCs w:val="24"/>
        </w:rPr>
        <w:t>А</w:t>
      </w:r>
      <w:r w:rsidRPr="00B834A2">
        <w:rPr>
          <w:rFonts w:ascii="Sylfaen" w:hAnsi="Sylfaen"/>
          <w:color w:val="000000"/>
          <w:sz w:val="24"/>
          <w:szCs w:val="24"/>
        </w:rPr>
        <w:t xml:space="preserve"> մեծությունը աննշան կանոնավոր սխալանքի դեպքում գտնվում է հետ</w:t>
      </w:r>
      <w:r>
        <w:rPr>
          <w:rFonts w:ascii="Sylfaen" w:hAnsi="Sylfaen"/>
          <w:color w:val="000000"/>
          <w:sz w:val="24"/>
          <w:szCs w:val="24"/>
        </w:rPr>
        <w:t>եւ</w:t>
      </w:r>
      <w:r w:rsidRPr="00B834A2">
        <w:rPr>
          <w:rFonts w:ascii="Sylfaen" w:hAnsi="Sylfaen"/>
          <w:color w:val="000000"/>
          <w:sz w:val="24"/>
          <w:szCs w:val="24"/>
        </w:rPr>
        <w:t>յալ սահմաններում.</w:t>
      </w:r>
    </w:p>
    <w:p w14:paraId="4E66ECAB"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A=¯x±∆¯x</m:t>
        </m:r>
      </m:oMath>
      <w:r w:rsidRPr="00B834A2">
        <w:rPr>
          <w:rFonts w:ascii="Sylfaen" w:hAnsi="Sylfaen"/>
          <w:sz w:val="24"/>
          <w:szCs w:val="24"/>
        </w:rPr>
        <w:t xml:space="preserve"> </w:t>
      </w:r>
      <w:r w:rsidR="0078572C" w:rsidRPr="002E52D1">
        <w:rPr>
          <w:rFonts w:ascii="Sylfaen" w:hAnsi="Sylfaen"/>
          <w:sz w:val="24"/>
          <w:szCs w:val="24"/>
        </w:rPr>
        <w:tab/>
      </w:r>
      <w:r w:rsidRPr="00B834A2">
        <w:rPr>
          <w:rFonts w:ascii="Sylfaen" w:hAnsi="Sylfaen"/>
          <w:color w:val="000000"/>
          <w:sz w:val="24"/>
          <w:szCs w:val="24"/>
        </w:rPr>
        <w:t>(3.2)</w:t>
      </w:r>
    </w:p>
    <w:p w14:paraId="5D922E8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կամ հարաբերական մեծությունների օգտագործմամբ՝</w:t>
      </w:r>
    </w:p>
    <w:p w14:paraId="4C105CD8" w14:textId="77777777" w:rsidR="0078572C"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f>
          <m:fPr>
            <m:ctrlPr>
              <w:rPr>
                <w:rFonts w:ascii="Cambria Math" w:hAnsi="Cambria Math" w:cs="Sylfaen"/>
                <w:i/>
                <w:color w:val="000000"/>
                <w:sz w:val="24"/>
                <w:szCs w:val="24"/>
              </w:rPr>
            </m:ctrlPr>
          </m:fPr>
          <m:num>
            <m:r>
              <w:rPr>
                <w:rFonts w:ascii="Cambria Math" w:hAnsi="Cambria Math" w:cs="Sylfaen"/>
                <w:color w:val="000000"/>
                <w:sz w:val="24"/>
                <w:szCs w:val="24"/>
              </w:rPr>
              <m:t>A</m:t>
            </m:r>
          </m:num>
          <m:den>
            <m:r>
              <w:rPr>
                <w:rFonts w:ascii="Cambria Math" w:hAnsi="Cambria Math" w:cs="Sylfaen"/>
                <w:color w:val="000000"/>
                <w:sz w:val="24"/>
                <w:szCs w:val="24"/>
              </w:rPr>
              <m:t>¯x</m:t>
            </m:r>
          </m:den>
        </m:f>
        <m:r>
          <w:rPr>
            <w:rFonts w:ascii="Cambria Math" w:hAnsi="Cambria Math" w:cs="Sylfaen"/>
            <w:color w:val="000000"/>
            <w:sz w:val="24"/>
            <w:szCs w:val="24"/>
          </w:rPr>
          <m:t>=1±∆</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r</m:t>
            </m:r>
          </m:sub>
        </m:sSub>
      </m:oMath>
      <w:r w:rsidR="0078572C" w:rsidRPr="0078572C">
        <w:rPr>
          <w:rFonts w:ascii="Sylfaen" w:hAnsi="Sylfaen"/>
          <w:color w:val="000000"/>
          <w:sz w:val="24"/>
          <w:szCs w:val="24"/>
        </w:rPr>
        <w:tab/>
        <w:t xml:space="preserve"> </w:t>
      </w:r>
      <w:r w:rsidR="0078572C" w:rsidRPr="00B834A2">
        <w:rPr>
          <w:rFonts w:ascii="Sylfaen" w:hAnsi="Sylfaen"/>
          <w:color w:val="000000"/>
          <w:sz w:val="24"/>
          <w:szCs w:val="24"/>
        </w:rPr>
        <w:t>(3.2а)</w:t>
      </w:r>
    </w:p>
    <w:p w14:paraId="2AC695D9"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t>Եթե չափումների ժամանակ ստանում են սկզբնական տարբերակի լոգարիթմներ, ապա 3.1-3</w:t>
      </w:r>
      <w:r>
        <w:rPr>
          <w:rFonts w:ascii="Sylfaen" w:hAnsi="Sylfaen"/>
          <w:color w:val="000000"/>
          <w:sz w:val="24"/>
          <w:szCs w:val="24"/>
        </w:rPr>
        <w:t xml:space="preserve"> </w:t>
      </w:r>
      <w:r w:rsidRPr="00B834A2">
        <w:rPr>
          <w:rFonts w:ascii="Sylfaen" w:hAnsi="Sylfaen"/>
          <w:color w:val="000000"/>
          <w:sz w:val="24"/>
          <w:szCs w:val="24"/>
        </w:rPr>
        <w:t xml:space="preserve">աղյուսակի 9-րդ սյունակում բերվում է </w:t>
      </w:r>
      <m:oMath>
        <m:r>
          <w:rPr>
            <w:rFonts w:ascii="Cambria Math" w:hAnsi="Cambria Math" w:cs="Sylfaen"/>
            <w:color w:val="000000"/>
            <w:sz w:val="24"/>
            <w:szCs w:val="24"/>
          </w:rPr>
          <m:t>∆lg¯x</m:t>
        </m:r>
      </m:oMath>
      <w:r w:rsidRPr="00B834A2">
        <w:rPr>
          <w:rFonts w:ascii="Sylfaen" w:hAnsi="Sylfaen"/>
          <w:color w:val="000000"/>
          <w:sz w:val="24"/>
          <w:szCs w:val="24"/>
        </w:rPr>
        <w:t xml:space="preserve"> մեծությունը, իսկ 3, 9 </w:t>
      </w:r>
      <w:r>
        <w:rPr>
          <w:rFonts w:ascii="Sylfaen" w:hAnsi="Sylfaen"/>
          <w:color w:val="000000"/>
          <w:sz w:val="24"/>
          <w:szCs w:val="24"/>
        </w:rPr>
        <w:t>եւ</w:t>
      </w:r>
      <w:r w:rsidRPr="00B834A2">
        <w:rPr>
          <w:rFonts w:ascii="Sylfaen" w:hAnsi="Sylfaen"/>
          <w:color w:val="000000"/>
          <w:sz w:val="24"/>
          <w:szCs w:val="24"/>
        </w:rPr>
        <w:t xml:space="preserve"> 10 սյունակներից յուրաքանչյուրը բաժանում են երկուսի (ա, բ): Зա սյունակում բերված է </w:t>
      </w:r>
      <m:oMath>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g</m:t>
            </m:r>
          </m:sub>
        </m:sSub>
      </m:oMath>
      <w:r w:rsidRPr="00B834A2">
        <w:rPr>
          <w:rFonts w:ascii="Sylfaen" w:hAnsi="Sylfaen"/>
          <w:color w:val="000000"/>
          <w:sz w:val="24"/>
          <w:szCs w:val="24"/>
        </w:rPr>
        <w:t xml:space="preserve"> արժեքը, 3բ սյունակում՝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lg¯x</m:t>
            </m:r>
          </m:e>
          <m:sub>
            <m:r>
              <w:rPr>
                <w:rFonts w:ascii="Cambria Math" w:hAnsi="Cambria Math" w:cs="Sylfaen"/>
                <w:color w:val="000000"/>
                <w:sz w:val="24"/>
                <w:szCs w:val="24"/>
              </w:rPr>
              <m:t>g</m:t>
            </m:r>
          </m:sub>
        </m:sSub>
      </m:oMath>
      <w:r w:rsidRPr="00B834A2">
        <w:rPr>
          <w:rFonts w:ascii="Sylfaen" w:hAnsi="Sylfaen"/>
          <w:color w:val="000000"/>
          <w:sz w:val="24"/>
          <w:szCs w:val="24"/>
        </w:rPr>
        <w:t xml:space="preserve"> արժեքը, 9ա </w:t>
      </w:r>
      <w:r>
        <w:rPr>
          <w:rFonts w:ascii="Sylfaen" w:hAnsi="Sylfaen"/>
          <w:color w:val="000000"/>
          <w:sz w:val="24"/>
          <w:szCs w:val="24"/>
        </w:rPr>
        <w:t>եւ</w:t>
      </w:r>
      <w:r w:rsidRPr="00B834A2">
        <w:rPr>
          <w:rFonts w:ascii="Sylfaen" w:hAnsi="Sylfaen"/>
          <w:b/>
          <w:color w:val="000000"/>
          <w:sz w:val="24"/>
          <w:szCs w:val="24"/>
        </w:rPr>
        <w:t xml:space="preserve"> </w:t>
      </w:r>
      <w:r w:rsidRPr="00B834A2">
        <w:rPr>
          <w:rFonts w:ascii="Sylfaen" w:hAnsi="Sylfaen"/>
          <w:color w:val="000000"/>
          <w:sz w:val="24"/>
          <w:szCs w:val="24"/>
        </w:rPr>
        <w:t xml:space="preserve">3բ սյունակներում՝ համապատասխանաբար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g</m:t>
            </m:r>
          </m:sub>
        </m:sSub>
      </m:oMath>
      <w:r w:rsidRPr="00B834A2">
        <w:rPr>
          <w:rFonts w:ascii="Sylfaen" w:hAnsi="Sylfaen"/>
          <w:color w:val="000000"/>
          <w:sz w:val="24"/>
          <w:szCs w:val="24"/>
        </w:rPr>
        <w:t xml:space="preserve"> համար վստահելի միջակայքի </w:t>
      </w:r>
      <w:r w:rsidRPr="00B834A2">
        <w:rPr>
          <w:rFonts w:ascii="Sylfaen" w:hAnsi="Sylfaen"/>
          <w:color w:val="000000"/>
          <w:sz w:val="24"/>
          <w:szCs w:val="24"/>
        </w:rPr>
        <w:lastRenderedPageBreak/>
        <w:t xml:space="preserve">ստորին </w:t>
      </w:r>
      <w:r>
        <w:rPr>
          <w:rFonts w:ascii="Sylfaen" w:hAnsi="Sylfaen"/>
          <w:color w:val="000000"/>
          <w:sz w:val="24"/>
          <w:szCs w:val="24"/>
        </w:rPr>
        <w:t>եւ</w:t>
      </w:r>
      <w:r w:rsidRPr="00B834A2">
        <w:rPr>
          <w:rFonts w:ascii="Sylfaen" w:hAnsi="Sylfaen"/>
          <w:color w:val="000000"/>
          <w:sz w:val="24"/>
          <w:szCs w:val="24"/>
        </w:rPr>
        <w:t xml:space="preserve"> վերին սահմանների արժեքները ( (1.31) </w:t>
      </w:r>
      <w:r>
        <w:rPr>
          <w:rFonts w:ascii="Sylfaen" w:hAnsi="Sylfaen"/>
          <w:color w:val="000000"/>
          <w:sz w:val="24"/>
          <w:szCs w:val="24"/>
        </w:rPr>
        <w:t>եւ</w:t>
      </w:r>
      <w:r w:rsidRPr="00B834A2">
        <w:rPr>
          <w:rFonts w:ascii="Sylfaen" w:hAnsi="Sylfaen"/>
          <w:color w:val="000000"/>
          <w:sz w:val="24"/>
          <w:szCs w:val="24"/>
        </w:rPr>
        <w:t xml:space="preserve"> (1.32) հավասարումներ): Ի վերջո, 10-րդ սյունակում բերված է բացարձակ մեծությամբ առավելագույն </w:t>
      </w:r>
      <m:oMath>
        <m:r>
          <w:rPr>
            <w:rFonts w:ascii="Cambria Math" w:hAnsi="Cambria Math" w:cs="Sylfaen"/>
            <w:color w:val="000000"/>
            <w:sz w:val="24"/>
            <w:szCs w:val="24"/>
          </w:rPr>
          <m:t>ε</m:t>
        </m:r>
      </m:oMath>
      <w:r w:rsidRPr="00B834A2">
        <w:rPr>
          <w:rFonts w:ascii="Sylfaen" w:hAnsi="Sylfaen"/>
          <w:color w:val="000000"/>
          <w:sz w:val="24"/>
          <w:szCs w:val="24"/>
        </w:rPr>
        <w:t xml:space="preserve"> արժեքը ((1.33ա) հավասարում):</w:t>
      </w:r>
    </w:p>
    <w:p w14:paraId="1F6F755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11F50D02"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3.2.</w:t>
      </w:r>
      <w:r w:rsidR="0078572C" w:rsidRPr="0078572C">
        <w:rPr>
          <w:rFonts w:ascii="Sylfaen" w:hAnsi="Sylfaen"/>
          <w:b/>
          <w:color w:val="000000"/>
          <w:sz w:val="24"/>
          <w:szCs w:val="24"/>
        </w:rPr>
        <w:tab/>
      </w:r>
      <w:r w:rsidRPr="00B834A2">
        <w:rPr>
          <w:rFonts w:ascii="Sylfaen" w:hAnsi="Sylfaen"/>
          <w:b/>
          <w:color w:val="000000"/>
          <w:sz w:val="24"/>
          <w:szCs w:val="24"/>
        </w:rPr>
        <w:t>Երկու ընտրանքների միջին արդյունքների համեմատումը</w:t>
      </w:r>
    </w:p>
    <w:p w14:paraId="0100B203" w14:textId="77777777" w:rsidR="00B834A2" w:rsidRPr="00B834A2" w:rsidRDefault="00B834A2" w:rsidP="00B834A2">
      <w:pPr>
        <w:spacing w:after="160" w:line="360" w:lineRule="auto"/>
        <w:ind w:firstLine="567"/>
        <w:jc w:val="both"/>
      </w:pPr>
      <w:r w:rsidRPr="00B834A2">
        <w:t xml:space="preserve">Եթե </w:t>
      </w:r>
      <w:r w:rsidRPr="00B834A2">
        <w:rPr>
          <w:i/>
        </w:rPr>
        <w:t>А</w:t>
      </w:r>
      <w:r w:rsidRPr="00B834A2">
        <w:t xml:space="preserve"> նույն մեծության չափումների արդյունքում ստացվել են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B834A2">
        <w:rPr>
          <w:i/>
        </w:rPr>
        <w:t xml:space="preserve"> </w:t>
      </w:r>
      <w:r>
        <w:t>եւ</w:t>
      </w:r>
      <m:oMath>
        <m:sSub>
          <m:sSubPr>
            <m:ctrlPr>
              <w:rPr>
                <w:rFonts w:ascii="Cambria Math" w:hAnsi="Cambria Math"/>
                <w:i/>
              </w:rPr>
            </m:ctrlPr>
          </m:sSubPr>
          <m:e>
            <m:r>
              <w:rPr>
                <w:rFonts w:ascii="Cambria Math" w:hAnsi="Cambria Math"/>
              </w:rPr>
              <m:t xml:space="preserve"> n</m:t>
            </m:r>
          </m:e>
          <m:sub>
            <m:r>
              <w:rPr>
                <w:rFonts w:ascii="Cambria Math" w:hAnsi="Cambria Math"/>
              </w:rPr>
              <m:t>2</m:t>
            </m:r>
          </m:sub>
        </m:sSub>
      </m:oMath>
      <w:r w:rsidRPr="00B834A2">
        <w:t xml:space="preserve"> ծավալի երկու ընտրանք, ընդ որում,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m:t>
        </m:r>
      </m:oMath>
      <w:r w:rsidRPr="00B834A2">
        <w:t>կարող է առաջանալ վարկածի վիճակագրական հավաստիության ստուգման անհրաժեշտություն.</w:t>
      </w:r>
    </w:p>
    <w:p w14:paraId="12B9DDFB"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¯x</m:t>
            </m:r>
          </m:e>
          <m:sub>
            <m:r>
              <w:rPr>
                <w:rFonts w:ascii="Cambria Math" w:hAnsi="Cambria Math" w:cs="Sylfaen"/>
                <w:sz w:val="24"/>
                <w:szCs w:val="24"/>
              </w:rPr>
              <m:t>2</m:t>
            </m:r>
          </m:sub>
        </m:sSub>
        <m:r>
          <w:rPr>
            <w:rFonts w:ascii="Cambria Math" w:hAnsi="Cambria Math" w:cs="Sylfaen"/>
            <w:sz w:val="24"/>
            <w:szCs w:val="24"/>
          </w:rPr>
          <m:t>,</m:t>
        </m:r>
      </m:oMath>
      <w:r w:rsidR="00B834A2" w:rsidRPr="00B834A2">
        <w:rPr>
          <w:rFonts w:ascii="Sylfaen" w:hAnsi="Sylfaen"/>
          <w:color w:val="000000"/>
          <w:sz w:val="24"/>
          <w:szCs w:val="24"/>
        </w:rPr>
        <w:t>,</w:t>
      </w:r>
      <w:r w:rsidR="00B834A2" w:rsidRPr="00B834A2">
        <w:rPr>
          <w:rFonts w:ascii="Sylfaen" w:hAnsi="Sylfaen"/>
          <w:sz w:val="24"/>
          <w:szCs w:val="24"/>
        </w:rPr>
        <w:t xml:space="preserve"> </w:t>
      </w:r>
      <w:r w:rsidR="0078572C" w:rsidRPr="002E52D1">
        <w:rPr>
          <w:rFonts w:ascii="Sylfaen" w:hAnsi="Sylfaen"/>
          <w:sz w:val="24"/>
          <w:szCs w:val="24"/>
        </w:rPr>
        <w:tab/>
      </w:r>
      <w:r w:rsidR="00B834A2" w:rsidRPr="00B834A2">
        <w:rPr>
          <w:rFonts w:ascii="Sylfaen" w:hAnsi="Sylfaen"/>
          <w:color w:val="000000"/>
          <w:sz w:val="24"/>
          <w:szCs w:val="24"/>
        </w:rPr>
        <w:t>(3.3)</w:t>
      </w:r>
    </w:p>
    <w:p w14:paraId="7F85A53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այսինքն՝ տարբերության մեծության նշանակալիության (</w:t>
      </w:r>
      <m:oMath>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¯x</m:t>
            </m:r>
          </m:e>
          <m:sub>
            <m:r>
              <w:rPr>
                <w:rFonts w:ascii="Cambria Math" w:hAnsi="Cambria Math" w:cs="Sylfaen"/>
                <w:sz w:val="24"/>
                <w:szCs w:val="24"/>
              </w:rPr>
              <m:t>2</m:t>
            </m:r>
          </m:sub>
        </m:sSub>
        <m:r>
          <w:rPr>
            <w:rFonts w:ascii="Cambria Math" w:hAnsi="Cambria Math" w:cs="Sylfaen"/>
            <w:sz w:val="24"/>
            <w:szCs w:val="24"/>
          </w:rPr>
          <m:t>,</m:t>
        </m:r>
      </m:oMath>
      <w:r w:rsidRPr="00B834A2">
        <w:rPr>
          <w:rFonts w:ascii="Sylfaen" w:hAnsi="Sylfaen"/>
          <w:color w:val="000000"/>
          <w:sz w:val="24"/>
          <w:szCs w:val="24"/>
        </w:rPr>
        <w:t>):</w:t>
      </w:r>
    </w:p>
    <w:p w14:paraId="451F71A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Նման ստուգումն անհրաժեշտ է, օրինակ՝ եթե </w:t>
      </w:r>
      <w:r w:rsidRPr="00B834A2">
        <w:rPr>
          <w:rFonts w:ascii="Sylfaen" w:hAnsi="Sylfaen"/>
          <w:i/>
          <w:color w:val="000000"/>
          <w:sz w:val="24"/>
          <w:szCs w:val="24"/>
        </w:rPr>
        <w:t>А</w:t>
      </w:r>
      <w:r w:rsidRPr="00B834A2">
        <w:rPr>
          <w:rFonts w:ascii="Sylfaen" w:hAnsi="Sylfaen"/>
          <w:color w:val="000000"/>
          <w:sz w:val="24"/>
          <w:szCs w:val="24"/>
        </w:rPr>
        <w:t xml:space="preserve"> մեծությունը որոշվել է երկու տարբեր մեթոդիկաներով դրանց համեմատման նպատակով, կամ եթե </w:t>
      </w:r>
      <w:r w:rsidRPr="00B834A2">
        <w:rPr>
          <w:rFonts w:ascii="Sylfaen" w:hAnsi="Sylfaen"/>
          <w:i/>
          <w:color w:val="000000"/>
          <w:sz w:val="24"/>
          <w:szCs w:val="24"/>
        </w:rPr>
        <w:t>А</w:t>
      </w:r>
      <w:r w:rsidRPr="00B834A2">
        <w:rPr>
          <w:rFonts w:ascii="Sylfaen" w:hAnsi="Sylfaen"/>
          <w:color w:val="000000"/>
          <w:sz w:val="24"/>
          <w:szCs w:val="24"/>
        </w:rPr>
        <w:t xml:space="preserve"> մեծությունը որոշվել է նույն մեթոդիկայով՝ երկու տարբեր օբյեկտների համար, որոնց նույնականությունը պետք է ապացուցել: (3.3) վարկածի ստուգման համար անհրաժեշտ է պարզել՝ առկա է արդյոք վիճակագրորեն նշանակալի տարբերություն</w:t>
      </w:r>
      <m:oMath>
        <m:r>
          <w:rPr>
            <w:rFonts w:ascii="Cambria Math" w:hAnsi="Cambria Math"/>
            <w:color w:val="000000"/>
            <w:sz w:val="24"/>
            <w:szCs w:val="24"/>
          </w:rPr>
          <m:t xml:space="preserve"> </m:t>
        </m:r>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1</m:t>
            </m:r>
          </m:sub>
          <m:sup>
            <m:r>
              <m:rPr>
                <m:sty m:val="p"/>
              </m:rPr>
              <w:rPr>
                <w:rFonts w:ascii="Cambria Math" w:hAnsi="Cambria Math"/>
                <w:color w:val="000000"/>
                <w:sz w:val="24"/>
                <w:szCs w:val="24"/>
              </w:rPr>
              <m:t>2</m:t>
            </m:r>
          </m:sup>
        </m:sSubSup>
      </m:oMath>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m:oMath>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2</m:t>
            </m:r>
          </m:sub>
          <m:sup>
            <m:r>
              <m:rPr>
                <m:sty m:val="p"/>
              </m:rPr>
              <w:rPr>
                <w:rFonts w:ascii="Cambria Math" w:hAnsi="Cambria Math"/>
                <w:color w:val="000000"/>
                <w:sz w:val="24"/>
                <w:szCs w:val="24"/>
              </w:rPr>
              <m:t>2</m:t>
            </m:r>
          </m:sup>
        </m:sSubSup>
      </m:oMath>
      <w:r w:rsidRPr="00B834A2">
        <w:rPr>
          <w:rFonts w:ascii="Sylfaen" w:hAnsi="Sylfaen"/>
          <w:color w:val="000000"/>
          <w:sz w:val="24"/>
          <w:szCs w:val="24"/>
        </w:rPr>
        <w:t xml:space="preserve"> դիսպերսիաների միջ</w:t>
      </w:r>
      <w:r>
        <w:rPr>
          <w:rFonts w:ascii="Sylfaen" w:hAnsi="Sylfaen"/>
          <w:color w:val="000000"/>
          <w:sz w:val="24"/>
          <w:szCs w:val="24"/>
        </w:rPr>
        <w:t>եւ</w:t>
      </w:r>
      <w:r w:rsidRPr="00B834A2">
        <w:rPr>
          <w:rFonts w:ascii="Sylfaen" w:hAnsi="Sylfaen"/>
          <w:color w:val="000000"/>
          <w:sz w:val="24"/>
          <w:szCs w:val="24"/>
        </w:rPr>
        <w:t>: Այդ ստուգումն անցկացվում է նույն կերպ, ինչ (2.1) - (2.3) հավասարումների համաձայն վերարտադրելիության մասով անալիզի երկու մեթոդիկաները համեմատելիս:</w:t>
      </w:r>
    </w:p>
    <w:p w14:paraId="6257E6E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Դիտարկում են երեք դեպք:</w:t>
      </w:r>
    </w:p>
    <w:p w14:paraId="61427147"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bCs/>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oMath>
      <w:r w:rsidR="00B834A2" w:rsidRPr="00B834A2">
        <w:rPr>
          <w:rFonts w:ascii="Sylfaen" w:hAnsi="Sylfaen"/>
          <w:color w:val="000000"/>
          <w:sz w:val="24"/>
          <w:szCs w:val="24"/>
        </w:rPr>
        <w:t xml:space="preserve"> </w:t>
      </w:r>
      <w:r w:rsidR="00B834A2">
        <w:rPr>
          <w:rFonts w:ascii="Sylfaen" w:hAnsi="Sylfaen"/>
          <w:color w:val="000000"/>
          <w:sz w:val="24"/>
          <w:szCs w:val="24"/>
        </w:rPr>
        <w:t>եւ</w:t>
      </w:r>
      <w:r w:rsidR="00B834A2" w:rsidRPr="00B834A2">
        <w:rPr>
          <w:rFonts w:ascii="Sylfaen" w:hAnsi="Sylfaen"/>
          <w:sz w:val="24"/>
          <w:szCs w:val="24"/>
        </w:rPr>
        <w:t xml:space="preserve"> </w:t>
      </w:r>
      <m:oMath>
        <m:sSubSup>
          <m:sSubSupPr>
            <m:ctrlPr>
              <w:rPr>
                <w:rFonts w:ascii="Cambria Math" w:hAnsi="Cambria Math" w:cs="Sylfaen"/>
                <w:bCs/>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oMath>
      <w:r w:rsidR="00B834A2" w:rsidRPr="00B834A2">
        <w:rPr>
          <w:rFonts w:ascii="Sylfaen" w:hAnsi="Sylfaen"/>
          <w:i/>
          <w:color w:val="000000"/>
          <w:sz w:val="24"/>
          <w:szCs w:val="24"/>
        </w:rPr>
        <w:t xml:space="preserve"> </w:t>
      </w:r>
      <w:r w:rsidR="00B834A2" w:rsidRPr="00B834A2">
        <w:rPr>
          <w:rFonts w:ascii="Sylfaen" w:hAnsi="Sylfaen"/>
          <w:sz w:val="24"/>
          <w:szCs w:val="24"/>
        </w:rPr>
        <w:t>դիսպերսիաների տարբերությունը վիճակագրորեն նշանակալի է, երբ ճիշտ է (2.3) անհավասարումը: Այդ դեպքում ոչ միայն ընտրանքների (դիսպերսիաների) քանակություն, այլ նա</w:t>
      </w:r>
      <w:r w:rsidR="00B834A2">
        <w:rPr>
          <w:rFonts w:ascii="Sylfaen" w:hAnsi="Sylfaen"/>
          <w:sz w:val="24"/>
          <w:szCs w:val="24"/>
        </w:rPr>
        <w:t>եւ</w:t>
      </w:r>
      <w:r w:rsidR="00B834A2" w:rsidRPr="00B834A2">
        <w:rPr>
          <w:rFonts w:ascii="Sylfaen" w:hAnsi="Sylfaen"/>
          <w:sz w:val="24"/>
          <w:szCs w:val="24"/>
        </w:rPr>
        <w:t xml:space="preserve"> դրանց ծավալը հաշվի առնող </w:t>
      </w:r>
      <m:oMath>
        <m:sSup>
          <m:sSupPr>
            <m:ctrlPr>
              <w:rPr>
                <w:rFonts w:ascii="Cambria Math" w:hAnsi="Cambria Math" w:cs="Sylfaen"/>
                <w:i/>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r>
          <w:rPr>
            <w:rFonts w:ascii="Cambria Math" w:hAnsi="Cambria Math" w:cs="Sylfaen"/>
            <w:color w:val="000000"/>
            <w:sz w:val="24"/>
            <w:szCs w:val="24"/>
          </w:rPr>
          <m:t xml:space="preserve"> </m:t>
        </m:r>
      </m:oMath>
      <w:r w:rsidR="00B834A2" w:rsidRPr="00B834A2">
        <w:rPr>
          <w:rFonts w:ascii="Sylfaen" w:hAnsi="Sylfaen"/>
          <w:sz w:val="24"/>
          <w:szCs w:val="24"/>
        </w:rPr>
        <w:t xml:space="preserve">միջին կշռված արժեքը հաշվարկում են (1.5) հավասարմամբ, իսկ </w:t>
      </w:r>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oMath>
      <w:r w:rsidR="00B834A2" w:rsidRPr="00B834A2">
        <w:rPr>
          <w:rFonts w:ascii="Sylfaen" w:hAnsi="Sylfaen"/>
          <w:sz w:val="24"/>
          <w:szCs w:val="24"/>
        </w:rPr>
        <w:t xml:space="preserve"> տարբերության </w:t>
      </w:r>
      <m:oMath>
        <m:sSubSup>
          <m:sSubSupPr>
            <m:ctrlPr>
              <w:rPr>
                <w:rFonts w:ascii="Cambria Math" w:hAnsi="Cambria Math" w:cs="Sylfaen"/>
                <w:bCs/>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P</m:t>
            </m:r>
          </m:sub>
          <m:sup>
            <m:r>
              <w:rPr>
                <w:rFonts w:ascii="Cambria Math" w:hAnsi="Cambria Math" w:cs="Sylfaen"/>
                <w:color w:val="000000"/>
                <w:sz w:val="24"/>
                <w:szCs w:val="24"/>
              </w:rPr>
              <m:t>2</m:t>
            </m:r>
          </m:sup>
        </m:sSubSup>
      </m:oMath>
      <w:r w:rsidR="00B834A2" w:rsidRPr="00B834A2">
        <w:rPr>
          <w:rFonts w:ascii="Sylfaen" w:hAnsi="Sylfaen"/>
          <w:sz w:val="24"/>
          <w:szCs w:val="24"/>
        </w:rPr>
        <w:t xml:space="preserve"> դիսպերսիան՝ հետ</w:t>
      </w:r>
      <w:r w:rsidR="00B834A2">
        <w:rPr>
          <w:rFonts w:ascii="Sylfaen" w:hAnsi="Sylfaen"/>
          <w:sz w:val="24"/>
          <w:szCs w:val="24"/>
        </w:rPr>
        <w:t>եւ</w:t>
      </w:r>
      <w:r w:rsidR="00B834A2" w:rsidRPr="00B834A2">
        <w:rPr>
          <w:rFonts w:ascii="Sylfaen" w:hAnsi="Sylfaen"/>
          <w:sz w:val="24"/>
          <w:szCs w:val="24"/>
        </w:rPr>
        <w:t>յալ հավասարմամբ.</w:t>
      </w:r>
    </w:p>
    <w:p w14:paraId="4D009B91"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color w:val="000000"/>
          <w:sz w:val="24"/>
          <w:szCs w:val="24"/>
        </w:rPr>
      </w:pPr>
      <m:oMath>
        <m:sSubSup>
          <m:sSubSupPr>
            <m:ctrlPr>
              <w:rPr>
                <w:rFonts w:ascii="Cambria Math" w:hAnsi="Cambria Math" w:cs="Sylfaen"/>
                <w:i/>
                <w:iCs/>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P</m:t>
            </m:r>
          </m:sub>
          <m:sup>
            <m:r>
              <w:rPr>
                <w:rFonts w:ascii="Cambria Math" w:hAnsi="Cambria Math" w:cs="Sylfaen"/>
                <w:color w:val="000000"/>
                <w:sz w:val="24"/>
                <w:szCs w:val="24"/>
              </w:rPr>
              <m:t>2</m:t>
            </m:r>
          </m:sup>
        </m:sSubSup>
        <m:r>
          <w:rPr>
            <w:rFonts w:ascii="Cambria Math" w:hAnsi="Cambria Math" w:cs="Sylfaen"/>
            <w:color w:val="000000"/>
            <w:sz w:val="24"/>
            <w:szCs w:val="24"/>
          </w:rPr>
          <m:t>=</m:t>
        </m:r>
        <m:f>
          <m:fPr>
            <m:ctrlPr>
              <w:rPr>
                <w:rFonts w:ascii="Cambria Math" w:hAnsi="Cambria Math" w:cs="Sylfaen"/>
                <w:i/>
                <w:iCs/>
                <w:color w:val="000000"/>
                <w:sz w:val="24"/>
                <w:szCs w:val="24"/>
              </w:rPr>
            </m:ctrlPr>
          </m:fPr>
          <m:num>
            <m:sSup>
              <m:sSupPr>
                <m:ctrlPr>
                  <w:rPr>
                    <w:rFonts w:ascii="Cambria Math" w:hAnsi="Cambria Math" w:cs="Sylfaen"/>
                    <w:i/>
                    <w:iCs/>
                    <w:color w:val="000000"/>
                    <w:sz w:val="24"/>
                    <w:szCs w:val="24"/>
                  </w:rPr>
                </m:ctrlPr>
              </m:sSupPr>
              <m:e>
                <m:r>
                  <w:rPr>
                    <w:rFonts w:ascii="Cambria Math" w:hAnsi="Cambria Math" w:cs="Sylfaen"/>
                    <w:color w:val="000000"/>
                    <w:sz w:val="24"/>
                    <w:szCs w:val="24"/>
                  </w:rPr>
                  <m:t>s</m:t>
                </m:r>
              </m:e>
              <m:sup>
                <m:r>
                  <w:rPr>
                    <w:rFonts w:ascii="Cambria Math" w:hAnsi="Cambria Math" w:cs="Sylfaen"/>
                    <w:color w:val="000000"/>
                    <w:sz w:val="24"/>
                    <w:szCs w:val="24"/>
                  </w:rPr>
                  <m:t>2</m:t>
                </m:r>
              </m:sup>
            </m:sSup>
            <m:r>
              <w:rPr>
                <w:rFonts w:ascii="Cambria Math" w:hAnsi="Cambria Math" w:cs="Sylfaen"/>
                <w:color w:val="000000"/>
                <w:sz w:val="24"/>
                <w:szCs w:val="24"/>
              </w:rPr>
              <m:t>(</m:t>
            </m:r>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2</m:t>
                </m:r>
              </m:sub>
            </m:sSub>
            <m:r>
              <w:rPr>
                <w:rFonts w:ascii="Cambria Math" w:hAnsi="Cambria Math" w:cs="Sylfaen"/>
                <w:color w:val="000000"/>
                <w:sz w:val="24"/>
                <w:szCs w:val="24"/>
              </w:rPr>
              <m:t>)</m:t>
            </m:r>
          </m:num>
          <m:den>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iCs/>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2</m:t>
                </m:r>
              </m:sub>
            </m:sSub>
          </m:den>
        </m:f>
      </m:oMath>
      <w:r w:rsidR="00B834A2" w:rsidRPr="00B834A2">
        <w:rPr>
          <w:rFonts w:ascii="Sylfaen" w:hAnsi="Sylfaen"/>
          <w:i/>
          <w:color w:val="000000"/>
          <w:sz w:val="24"/>
          <w:szCs w:val="24"/>
        </w:rPr>
        <w:t xml:space="preserve"> ,</w:t>
      </w:r>
      <w:r w:rsidR="0078572C" w:rsidRPr="002E52D1">
        <w:rPr>
          <w:rFonts w:ascii="Sylfaen" w:hAnsi="Sylfaen"/>
          <w:i/>
          <w:color w:val="000000"/>
          <w:sz w:val="24"/>
          <w:szCs w:val="24"/>
        </w:rPr>
        <w:tab/>
      </w:r>
      <w:r w:rsidR="00B834A2" w:rsidRPr="00B834A2">
        <w:rPr>
          <w:rFonts w:ascii="Sylfaen" w:hAnsi="Sylfaen"/>
          <w:color w:val="000000"/>
          <w:sz w:val="24"/>
          <w:szCs w:val="24"/>
        </w:rPr>
        <w:t>(3.4)</w:t>
      </w:r>
    </w:p>
    <w:p w14:paraId="2B5CDD4C"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r>
          <w:rPr>
            <w:rFonts w:ascii="Cambria Math" w:hAnsi="Cambria Math" w:cs="Sylfaen"/>
            <w:sz w:val="24"/>
            <w:szCs w:val="24"/>
          </w:rPr>
          <m:t>=</m:t>
        </m:r>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P</m:t>
                </m:r>
              </m:sub>
              <m:sup>
                <m:r>
                  <w:rPr>
                    <w:rFonts w:ascii="Cambria Math" w:hAnsi="Cambria Math" w:cs="Sylfaen"/>
                    <w:sz w:val="24"/>
                    <w:szCs w:val="24"/>
                  </w:rPr>
                  <m:t>2 .</m:t>
                </m:r>
              </m:sup>
            </m:sSubSup>
          </m:e>
        </m:rad>
      </m:oMath>
      <w:r w:rsidR="00B834A2" w:rsidRPr="00B834A2">
        <w:rPr>
          <w:rFonts w:ascii="Sylfaen" w:hAnsi="Sylfaen"/>
          <w:sz w:val="24"/>
          <w:szCs w:val="24"/>
        </w:rPr>
        <w:t>։</w:t>
      </w:r>
      <w:r w:rsidR="00B834A2">
        <w:rPr>
          <w:rFonts w:ascii="Sylfaen" w:hAnsi="Sylfaen"/>
          <w:sz w:val="24"/>
          <w:szCs w:val="24"/>
        </w:rPr>
        <w:t xml:space="preserve"> </w:t>
      </w:r>
      <w:r w:rsidR="0078572C" w:rsidRPr="002E52D1">
        <w:rPr>
          <w:rFonts w:ascii="Sylfaen" w:hAnsi="Sylfaen"/>
          <w:sz w:val="24"/>
          <w:szCs w:val="24"/>
        </w:rPr>
        <w:tab/>
      </w:r>
      <w:r w:rsidR="00B834A2" w:rsidRPr="00B834A2">
        <w:rPr>
          <w:rFonts w:ascii="Sylfaen" w:hAnsi="Sylfaen"/>
          <w:sz w:val="24"/>
          <w:szCs w:val="24"/>
        </w:rPr>
        <w:t>(3.4ա)</w:t>
      </w:r>
    </w:p>
    <w:p w14:paraId="24A27B5C"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lastRenderedPageBreak/>
        <w:t>Այնուհետ</w:t>
      </w:r>
      <w:r>
        <w:rPr>
          <w:rFonts w:ascii="Sylfaen" w:hAnsi="Sylfaen"/>
          <w:color w:val="000000"/>
          <w:sz w:val="24"/>
          <w:szCs w:val="24"/>
        </w:rPr>
        <w:t>եւ</w:t>
      </w:r>
      <w:r w:rsidRPr="00B834A2">
        <w:rPr>
          <w:rFonts w:ascii="Sylfaen" w:hAnsi="Sylfaen"/>
          <w:color w:val="000000"/>
          <w:sz w:val="24"/>
          <w:szCs w:val="24"/>
        </w:rPr>
        <w:t xml:space="preserve"> հաշվարկում են Ստյուդենտի չափորոշիչները.</w:t>
      </w:r>
    </w:p>
    <w:p w14:paraId="08634E98"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sz w:val="24"/>
            <w:szCs w:val="24"/>
          </w:rPr>
          <m:t>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num>
          <m:den>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den>
        </m:f>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num>
          <m:den>
            <m:r>
              <w:rPr>
                <w:rFonts w:ascii="Cambria Math" w:hAnsi="Cambria Math" w:cs="Sylfaen"/>
                <w:sz w:val="24"/>
                <w:szCs w:val="24"/>
              </w:rPr>
              <m:t>s</m:t>
            </m:r>
          </m:den>
        </m:f>
        <m:rad>
          <m:radPr>
            <m:degHide m:val="1"/>
            <m:ctrlPr>
              <w:rPr>
                <w:rFonts w:ascii="Cambria Math" w:hAnsi="Cambria Math" w:cs="Sylfaen"/>
                <w:i/>
                <w:sz w:val="24"/>
                <w:szCs w:val="24"/>
              </w:rPr>
            </m:ctrlPr>
          </m:radPr>
          <m:deg/>
          <m:e>
            <m:f>
              <m:fPr>
                <m:ctrlPr>
                  <w:rPr>
                    <w:rFonts w:ascii="Cambria Math" w:hAnsi="Cambria Math" w:cs="Sylfaen"/>
                    <w:i/>
                    <w:sz w:val="24"/>
                    <w:szCs w:val="24"/>
                  </w:rPr>
                </m:ctrlPr>
              </m:fPr>
              <m:num>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den>
            </m:f>
          </m:e>
        </m:rad>
      </m:oMath>
      <w:r w:rsidRPr="00B834A2">
        <w:rPr>
          <w:rFonts w:ascii="Sylfaen" w:hAnsi="Sylfaen"/>
          <w:sz w:val="24"/>
          <w:szCs w:val="24"/>
        </w:rPr>
        <w:t>,</w:t>
      </w:r>
      <w:r w:rsidR="0078572C" w:rsidRPr="0078572C">
        <w:rPr>
          <w:rFonts w:ascii="Sylfaen" w:hAnsi="Sylfaen"/>
          <w:sz w:val="24"/>
          <w:szCs w:val="24"/>
        </w:rPr>
        <w:tab/>
      </w:r>
      <w:r w:rsidRPr="00B834A2">
        <w:rPr>
          <w:rFonts w:ascii="Sylfaen" w:hAnsi="Sylfaen"/>
          <w:sz w:val="24"/>
          <w:szCs w:val="24"/>
        </w:rPr>
        <w:t>(3.5)</w:t>
      </w:r>
    </w:p>
    <w:p w14:paraId="64CACC5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color w:val="000000"/>
            <w:sz w:val="24"/>
            <w:szCs w:val="24"/>
          </w:rPr>
          <m:t>f=</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2</m:t>
            </m:r>
          </m:sub>
        </m:sSub>
        <m:r>
          <w:rPr>
            <w:rFonts w:ascii="Cambria Math" w:hAnsi="Cambria Math" w:cs="Sylfaen"/>
            <w:color w:val="000000"/>
            <w:sz w:val="24"/>
            <w:szCs w:val="24"/>
          </w:rPr>
          <m:t>-2-</m:t>
        </m:r>
        <m:r>
          <w:rPr>
            <w:rFonts w:ascii="Sylfaen" w:hAnsi="Sylfaen" w:cs="Sylfaen"/>
            <w:color w:val="000000"/>
            <w:sz w:val="24"/>
            <w:szCs w:val="24"/>
          </w:rPr>
          <m:t>ի</m:t>
        </m:r>
      </m:oMath>
      <w:r w:rsidRPr="00B834A2">
        <w:rPr>
          <w:rFonts w:ascii="Sylfaen" w:hAnsi="Sylfaen"/>
          <w:color w:val="000000"/>
          <w:sz w:val="24"/>
          <w:szCs w:val="24"/>
        </w:rPr>
        <w:t xml:space="preserve"> դեպքում:</w:t>
      </w:r>
      <w:r w:rsidRPr="00B834A2">
        <w:rPr>
          <w:rFonts w:ascii="Sylfaen" w:hAnsi="Sylfaen"/>
          <w:sz w:val="24"/>
          <w:szCs w:val="24"/>
        </w:rPr>
        <w:t xml:space="preserve"> </w:t>
      </w:r>
      <w:r w:rsidRPr="00B834A2">
        <w:rPr>
          <w:rFonts w:ascii="Sylfaen" w:hAnsi="Sylfaen"/>
          <w:color w:val="000000"/>
          <w:sz w:val="24"/>
          <w:szCs w:val="24"/>
        </w:rPr>
        <w:t>(3.5ա)</w:t>
      </w:r>
    </w:p>
    <w:p w14:paraId="530E55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Р</w:t>
      </w:r>
      <w:r w:rsidRPr="00B834A2">
        <w:rPr>
          <w:rFonts w:ascii="Sylfaen" w:hAnsi="Sylfaen"/>
          <w:i/>
          <w:color w:val="000000"/>
          <w:sz w:val="24"/>
          <w:szCs w:val="24"/>
          <w:vertAlign w:val="subscript"/>
        </w:rPr>
        <w:t>2</w:t>
      </w:r>
      <w:r w:rsidRPr="00B834A2">
        <w:rPr>
          <w:rFonts w:ascii="Sylfaen" w:hAnsi="Sylfaen"/>
          <w:color w:val="000000"/>
          <w:sz w:val="24"/>
          <w:szCs w:val="24"/>
        </w:rPr>
        <w:t xml:space="preserve"> ընտրված արժեքի դեպքում (օրինակ՝</w:t>
      </w:r>
      <w:r>
        <w:rPr>
          <w:rFonts w:ascii="Sylfaen" w:hAnsi="Sylfaen"/>
          <w:color w:val="000000"/>
          <w:sz w:val="24"/>
          <w:szCs w:val="24"/>
        </w:rPr>
        <w:t xml:space="preserve"> </w:t>
      </w:r>
      <w:r w:rsidRPr="00B834A2">
        <w:rPr>
          <w:rFonts w:ascii="Sylfaen" w:hAnsi="Sylfaen"/>
          <w:i/>
          <w:color w:val="000000"/>
          <w:sz w:val="24"/>
          <w:szCs w:val="24"/>
        </w:rPr>
        <w:t>Р</w:t>
      </w:r>
      <w:r w:rsidRPr="00B834A2">
        <w:rPr>
          <w:rFonts w:ascii="Sylfaen" w:hAnsi="Sylfaen"/>
          <w:i/>
          <w:color w:val="000000"/>
          <w:sz w:val="24"/>
          <w:szCs w:val="24"/>
          <w:vertAlign w:val="subscript"/>
        </w:rPr>
        <w:t>2</w:t>
      </w:r>
      <w:r w:rsidRPr="00B834A2">
        <w:rPr>
          <w:rFonts w:ascii="Sylfaen" w:hAnsi="Sylfaen"/>
          <w:i/>
          <w:color w:val="000000"/>
          <w:sz w:val="24"/>
          <w:szCs w:val="24"/>
        </w:rPr>
        <w:t xml:space="preserve"> =</w:t>
      </w:r>
      <w:r w:rsidRPr="00B834A2">
        <w:rPr>
          <w:rFonts w:ascii="Sylfaen" w:hAnsi="Sylfaen"/>
          <w:color w:val="000000"/>
          <w:sz w:val="24"/>
          <w:szCs w:val="24"/>
        </w:rPr>
        <w:t xml:space="preserve"> 95 %-ի դեպքում)՝</w:t>
      </w:r>
    </w:p>
    <w:p w14:paraId="67FFD4F9"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i/>
          <w:color w:val="000000"/>
          <w:sz w:val="24"/>
          <w:szCs w:val="24"/>
        </w:rPr>
        <w:t>t&gt;t(P</w:t>
      </w:r>
      <w:r w:rsidRPr="00B834A2">
        <w:rPr>
          <w:rFonts w:ascii="Sylfaen" w:hAnsi="Sylfaen"/>
          <w:i/>
          <w:color w:val="000000"/>
          <w:sz w:val="24"/>
          <w:szCs w:val="24"/>
          <w:vertAlign w:val="subscript"/>
        </w:rPr>
        <w:t>2</w:t>
      </w:r>
      <w:r w:rsidRPr="00B834A2">
        <w:rPr>
          <w:rFonts w:ascii="Sylfaen" w:hAnsi="Sylfaen"/>
          <w:i/>
          <w:color w:val="000000"/>
          <w:sz w:val="24"/>
          <w:szCs w:val="24"/>
        </w:rPr>
        <w:t>,f)</w:t>
      </w:r>
      <w:r w:rsidRPr="00B834A2">
        <w:rPr>
          <w:rFonts w:ascii="Sylfaen" w:hAnsi="Sylfaen"/>
          <w:sz w:val="24"/>
          <w:szCs w:val="24"/>
        </w:rPr>
        <w:t>,</w:t>
      </w:r>
      <w:r>
        <w:rPr>
          <w:rFonts w:ascii="Sylfaen" w:hAnsi="Sylfaen"/>
          <w:sz w:val="24"/>
          <w:szCs w:val="24"/>
        </w:rPr>
        <w:t xml:space="preserve"> </w:t>
      </w:r>
      <w:r w:rsidR="0078572C" w:rsidRPr="0078572C">
        <w:rPr>
          <w:rFonts w:ascii="Sylfaen" w:hAnsi="Sylfaen"/>
          <w:sz w:val="24"/>
          <w:szCs w:val="24"/>
        </w:rPr>
        <w:tab/>
      </w:r>
      <w:r w:rsidRPr="00B834A2">
        <w:rPr>
          <w:rFonts w:ascii="Sylfaen" w:hAnsi="Sylfaen"/>
          <w:color w:val="000000"/>
          <w:sz w:val="24"/>
          <w:szCs w:val="24"/>
        </w:rPr>
        <w:t>(3.6)</w:t>
      </w:r>
    </w:p>
    <w:p w14:paraId="5C9A335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ապա ստուգման արդյունքը դրական է.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oMath>
      <w:r w:rsidRPr="00B834A2">
        <w:rPr>
          <w:rFonts w:ascii="Sylfaen" w:hAnsi="Sylfaen"/>
          <w:color w:val="000000"/>
          <w:sz w:val="24"/>
          <w:szCs w:val="24"/>
        </w:rPr>
        <w:t xml:space="preserve">) տարբերությունը նշանակալի է, </w:t>
      </w:r>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oMath>
      <w:r w:rsidRPr="00B834A2">
        <w:rPr>
          <w:rFonts w:ascii="Sylfaen" w:hAnsi="Sylfaen"/>
          <w:color w:val="000000"/>
          <w:sz w:val="24"/>
          <w:szCs w:val="24"/>
        </w:rPr>
        <w:t xml:space="preserve"> վարկածը բացառում են: Հակառակ դեպքում պետք է ընդունել, որ այդ վարկածը չի հակասում փորձարարական տվյալներին:</w:t>
      </w:r>
    </w:p>
    <w:p w14:paraId="22AF829E"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1</m:t>
            </m:r>
          </m:sub>
          <m:sup>
            <m:r>
              <m:rPr>
                <m:sty m:val="p"/>
              </m:rPr>
              <w:rPr>
                <w:rFonts w:ascii="Cambria Math" w:hAnsi="Cambria Math"/>
                <w:color w:val="000000"/>
                <w:sz w:val="24"/>
                <w:szCs w:val="24"/>
              </w:rPr>
              <m:t>2</m:t>
            </m:r>
          </m:sup>
        </m:sSubSup>
        <m:r>
          <m:rPr>
            <m:sty m:val="p"/>
          </m:rPr>
          <w:rPr>
            <w:rFonts w:ascii="Cambria Math" w:hAnsi="Cambria Math"/>
            <w:color w:val="000000"/>
            <w:sz w:val="24"/>
            <w:szCs w:val="24"/>
          </w:rPr>
          <m:t xml:space="preserve"> </m:t>
        </m:r>
        <m:r>
          <m:rPr>
            <m:sty m:val="p"/>
          </m:rPr>
          <w:rPr>
            <w:rFonts w:ascii="Cambria Math" w:hAnsi="Sylfaen" w:cs="Sylfaen"/>
            <w:color w:val="000000"/>
            <w:sz w:val="24"/>
            <w:szCs w:val="24"/>
          </w:rPr>
          <m:t>եւ</m:t>
        </m:r>
        <m:r>
          <m:rPr>
            <m:sty m:val="p"/>
          </m:rPr>
          <w:rPr>
            <w:rFonts w:ascii="Cambria Math" w:hAnsi="Cambria Math" w:cs="Cambria Math"/>
            <w:color w:val="000000"/>
            <w:sz w:val="24"/>
            <w:szCs w:val="24"/>
          </w:rPr>
          <m:t xml:space="preserve"> </m:t>
        </m:r>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2</m:t>
            </m:r>
          </m:sub>
          <m:sup>
            <m:r>
              <m:rPr>
                <m:sty m:val="p"/>
              </m:rPr>
              <w:rPr>
                <w:rFonts w:ascii="Cambria Math" w:hAnsi="Cambria Math"/>
                <w:color w:val="000000"/>
                <w:sz w:val="24"/>
                <w:szCs w:val="24"/>
              </w:rPr>
              <m:t>2</m:t>
            </m:r>
          </m:sup>
        </m:sSubSup>
      </m:oMath>
      <w:r w:rsidR="00B834A2" w:rsidRPr="00B834A2">
        <w:rPr>
          <w:rFonts w:ascii="Sylfaen" w:hAnsi="Sylfaen"/>
          <w:color w:val="000000"/>
          <w:sz w:val="24"/>
          <w:szCs w:val="24"/>
        </w:rPr>
        <w:t xml:space="preserve"> դիսպերսիաների տարբերությունը վիճակագրորեն նշանակալի է, եթե ճշմարիտ է (2.2) անհավասարումը: Եթե</w:t>
      </w:r>
      <m:oMath>
        <m:r>
          <w:rPr>
            <w:rFonts w:ascii="Cambria Math" w:hAnsi="Cambria Math"/>
            <w:color w:val="000000"/>
            <w:sz w:val="24"/>
            <w:szCs w:val="24"/>
          </w:rPr>
          <m:t xml:space="preserve"> </m:t>
        </m:r>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1</m:t>
            </m:r>
          </m:sub>
          <m:sup>
            <m:r>
              <m:rPr>
                <m:sty m:val="p"/>
              </m:rPr>
              <w:rPr>
                <w:rFonts w:ascii="Cambria Math" w:hAnsi="Cambria Math"/>
                <w:color w:val="000000"/>
                <w:sz w:val="24"/>
                <w:szCs w:val="24"/>
              </w:rPr>
              <m:t>2</m:t>
            </m:r>
          </m:sup>
        </m:sSubSup>
        <m:r>
          <m:rPr>
            <m:sty m:val="p"/>
          </m:rPr>
          <w:rPr>
            <w:rFonts w:ascii="Cambria Math" w:hAnsi="Cambria Math"/>
            <w:color w:val="000000"/>
            <w:sz w:val="24"/>
            <w:szCs w:val="24"/>
          </w:rPr>
          <m:t>&gt;</m:t>
        </m:r>
        <m:r>
          <w:rPr>
            <w:rFonts w:ascii="Cambria Math" w:hAnsi="Cambria Math"/>
            <w:color w:val="000000"/>
            <w:sz w:val="24"/>
            <w:szCs w:val="24"/>
          </w:rPr>
          <m:t xml:space="preserve"> </m:t>
        </m:r>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2</m:t>
            </m:r>
          </m:sub>
          <m:sup>
            <m:r>
              <m:rPr>
                <m:sty m:val="p"/>
              </m:rPr>
              <w:rPr>
                <w:rFonts w:ascii="Cambria Math" w:hAnsi="Cambria Math"/>
                <w:color w:val="000000"/>
                <w:sz w:val="24"/>
                <w:szCs w:val="24"/>
              </w:rPr>
              <m:t>2</m:t>
            </m:r>
          </m:sup>
        </m:sSubSup>
      </m:oMath>
      <w:r w:rsidR="00B834A2" w:rsidRPr="00B834A2">
        <w:rPr>
          <w:rFonts w:ascii="Sylfaen" w:hAnsi="Sylfaen"/>
          <w:color w:val="000000"/>
          <w:sz w:val="24"/>
          <w:szCs w:val="24"/>
        </w:rPr>
        <w:t xml:space="preserve">, ապա </w:t>
      </w:r>
      <m:oMath>
        <m:d>
          <m:dPr>
            <m:begChr m:val="|"/>
            <m:endChr m:val="|"/>
            <m:ctrlPr>
              <w:rPr>
                <w:rFonts w:ascii="Cambria Math" w:hAnsi="Cambria Math"/>
                <w:color w:val="000000"/>
                <w:sz w:val="24"/>
                <w:szCs w:val="24"/>
              </w:rPr>
            </m:ctrlPr>
          </m:dPr>
          <m:e>
            <m:sSub>
              <m:sSubPr>
                <m:ctrlPr>
                  <w:rPr>
                    <w:rFonts w:ascii="Cambria Math" w:hAnsi="Cambria Math"/>
                    <w:color w:val="000000"/>
                    <w:sz w:val="24"/>
                    <w:szCs w:val="24"/>
                  </w:rPr>
                </m:ctrlPr>
              </m:sSubPr>
              <m:e>
                <m:r>
                  <m:rPr>
                    <m:sty m:val="p"/>
                  </m:rPr>
                  <w:rPr>
                    <w:rFonts w:ascii="Cambria Math" w:hAnsi="Cambria Math"/>
                    <w:color w:val="000000"/>
                    <w:sz w:val="24"/>
                    <w:szCs w:val="24"/>
                  </w:rPr>
                  <m:t>¯x</m:t>
                </m:r>
              </m:e>
              <m:sub>
                <m:r>
                  <m:rPr>
                    <m:sty m:val="p"/>
                  </m:rPr>
                  <w:rPr>
                    <w:rFonts w:ascii="Cambria Math" w:hAnsi="Cambria Math"/>
                    <w:color w:val="000000"/>
                    <w:sz w:val="24"/>
                    <w:szCs w:val="24"/>
                  </w:rPr>
                  <m:t>1</m:t>
                </m:r>
              </m:sub>
            </m:sSub>
            <m:r>
              <m:rPr>
                <m:sty m:val="p"/>
              </m:rPr>
              <w:rPr>
                <w:rFonts w:ascii="Cambria Math" w:hAnsi="Cambria Math"/>
                <w:color w:val="000000"/>
                <w:sz w:val="24"/>
                <w:szCs w:val="24"/>
              </w:rPr>
              <m:t>-</m:t>
            </m:r>
            <m:sSub>
              <m:sSubPr>
                <m:ctrlPr>
                  <w:rPr>
                    <w:rFonts w:ascii="Cambria Math" w:hAnsi="Cambria Math"/>
                    <w:color w:val="000000"/>
                    <w:sz w:val="24"/>
                    <w:szCs w:val="24"/>
                  </w:rPr>
                </m:ctrlPr>
              </m:sSubPr>
              <m:e>
                <m:r>
                  <m:rPr>
                    <m:sty m:val="p"/>
                  </m:rPr>
                  <w:rPr>
                    <w:rFonts w:ascii="Cambria Math" w:hAnsi="Cambria Math"/>
                    <w:color w:val="000000"/>
                    <w:sz w:val="24"/>
                    <w:szCs w:val="24"/>
                  </w:rPr>
                  <m:t>¯x</m:t>
                </m:r>
              </m:e>
              <m:sub>
                <m:r>
                  <m:rPr>
                    <m:sty m:val="p"/>
                  </m:rPr>
                  <w:rPr>
                    <w:rFonts w:ascii="Cambria Math" w:hAnsi="Cambria Math"/>
                    <w:color w:val="000000"/>
                    <w:sz w:val="24"/>
                    <w:szCs w:val="24"/>
                  </w:rPr>
                  <m:t>2</m:t>
                </m:r>
              </m:sub>
            </m:sSub>
          </m:e>
        </m:d>
      </m:oMath>
      <w:r w:rsidR="00B834A2" w:rsidRPr="00B834A2">
        <w:rPr>
          <w:rFonts w:ascii="Sylfaen" w:hAnsi="Sylfaen"/>
          <w:color w:val="000000"/>
          <w:sz w:val="24"/>
          <w:szCs w:val="24"/>
        </w:rPr>
        <w:t xml:space="preserve"> տարբերության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oMath>
      <w:r w:rsidR="00B834A2" w:rsidRPr="00B834A2">
        <w:rPr>
          <w:rFonts w:ascii="Sylfaen" w:hAnsi="Sylfaen"/>
          <w:color w:val="000000"/>
          <w:sz w:val="24"/>
          <w:szCs w:val="24"/>
        </w:rPr>
        <w:t xml:space="preserve"> դիսպերսիան գտնում են (3.7) հավասարմամբ, իսկ </w:t>
      </w:r>
      <w:r w:rsidR="00B834A2" w:rsidRPr="00B834A2">
        <w:rPr>
          <w:rFonts w:ascii="Sylfaen" w:hAnsi="Sylfaen"/>
          <w:i/>
          <w:color w:val="000000"/>
          <w:sz w:val="24"/>
          <w:szCs w:val="24"/>
        </w:rPr>
        <w:t xml:space="preserve">f-ը </w:t>
      </w:r>
      <w:r w:rsidR="00B834A2" w:rsidRPr="00B834A2">
        <w:rPr>
          <w:rFonts w:ascii="Sylfaen" w:hAnsi="Sylfaen"/>
          <w:color w:val="000000"/>
          <w:sz w:val="24"/>
          <w:szCs w:val="24"/>
        </w:rPr>
        <w:t>' ազատության աստիճանների թիվը՝ (3.8) հավասարմամբ.</w:t>
      </w:r>
    </w:p>
    <w:p w14:paraId="4232B938" w14:textId="77777777" w:rsidR="0078572C"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P</m:t>
            </m:r>
          </m:sub>
          <m:sup>
            <m:r>
              <w:rPr>
                <w:rFonts w:ascii="Cambria Math" w:hAnsi="Cambria Math" w:cs="Sylfaen"/>
                <w:sz w:val="24"/>
                <w:szCs w:val="24"/>
              </w:rPr>
              <m:t xml:space="preserve">2 </m:t>
            </m:r>
          </m:sup>
        </m:sSubSup>
        <m:r>
          <w:rPr>
            <w:rFonts w:ascii="Cambria Math" w:hAnsi="Cambria Math" w:cs="Sylfaen"/>
            <w:sz w:val="24"/>
            <w:szCs w:val="24"/>
          </w:rPr>
          <m:t>=</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den>
        </m:f>
        <m:r>
          <w:rPr>
            <w:rFonts w:ascii="Cambria Math" w:hAnsi="Cambria Math" w:cs="Sylfaen"/>
            <w:sz w:val="24"/>
            <w:szCs w:val="24"/>
          </w:rPr>
          <m:t>+</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den>
        </m:f>
        <m:r>
          <w:rPr>
            <w:rFonts w:ascii="Cambria Math" w:hAnsi="Cambria Math" w:cs="Sylfaen"/>
            <w:sz w:val="24"/>
            <w:szCs w:val="24"/>
          </w:rPr>
          <m:t xml:space="preserve">,   </m:t>
        </m:r>
      </m:oMath>
      <w:r w:rsidR="0078572C" w:rsidRPr="0078572C">
        <w:rPr>
          <w:rFonts w:ascii="Sylfaen" w:hAnsi="Sylfaen"/>
          <w:color w:val="000000"/>
          <w:sz w:val="24"/>
          <w:szCs w:val="24"/>
        </w:rPr>
        <w:tab/>
      </w:r>
      <w:r w:rsidR="0078572C" w:rsidRPr="00B834A2">
        <w:rPr>
          <w:rFonts w:ascii="Sylfaen" w:hAnsi="Sylfaen"/>
          <w:color w:val="000000"/>
          <w:sz w:val="24"/>
          <w:szCs w:val="24"/>
        </w:rPr>
        <w:t>(3.</w:t>
      </w:r>
      <w:r w:rsidR="0078572C" w:rsidRPr="0078572C">
        <w:rPr>
          <w:rFonts w:ascii="Sylfaen" w:hAnsi="Sylfaen"/>
          <w:color w:val="000000"/>
          <w:sz w:val="24"/>
          <w:szCs w:val="24"/>
        </w:rPr>
        <w:t>7</w:t>
      </w:r>
      <w:r w:rsidR="0078572C" w:rsidRPr="00B834A2">
        <w:rPr>
          <w:rFonts w:ascii="Sylfaen" w:hAnsi="Sylfaen"/>
          <w:color w:val="000000"/>
          <w:sz w:val="24"/>
          <w:szCs w:val="24"/>
        </w:rPr>
        <w:t>)</w:t>
      </w:r>
    </w:p>
    <w:p w14:paraId="2EF880AC" w14:textId="77777777" w:rsidR="00B834A2" w:rsidRPr="0078572C" w:rsidRDefault="00B834A2" w:rsidP="0078572C">
      <w:pPr>
        <w:pStyle w:val="a0"/>
        <w:shd w:val="clear" w:color="auto" w:fill="auto"/>
        <w:spacing w:after="160" w:line="360" w:lineRule="auto"/>
        <w:ind w:firstLine="567"/>
        <w:jc w:val="center"/>
        <w:rPr>
          <w:rFonts w:ascii="Sylfaen" w:hAnsi="Sylfaen" w:cs="Sylfaen"/>
          <w:sz w:val="24"/>
          <w:szCs w:val="24"/>
        </w:rPr>
      </w:pPr>
    </w:p>
    <w:p w14:paraId="0E6D0C79"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p>
          <m:sSupPr>
            <m:ctrlPr>
              <w:rPr>
                <w:rFonts w:ascii="Cambria Math" w:hAnsi="Cambria Math" w:cs="Sylfaen"/>
                <w:i/>
                <w:sz w:val="24"/>
                <w:szCs w:val="24"/>
              </w:rPr>
            </m:ctrlPr>
          </m:sSupPr>
          <m:e>
            <m:r>
              <w:rPr>
                <w:rFonts w:ascii="Cambria Math" w:hAnsi="Cambria Math" w:cs="Sylfaen"/>
                <w:sz w:val="24"/>
                <w:szCs w:val="24"/>
              </w:rPr>
              <m:t>f</m:t>
            </m:r>
          </m:e>
          <m:sup>
            <m:r>
              <w:rPr>
                <w:rFonts w:ascii="Cambria Math" w:hAnsi="Cambria Math" w:cs="Sylfaen"/>
                <w:sz w:val="24"/>
                <w:szCs w:val="24"/>
              </w:rPr>
              <m:t>'</m:t>
            </m:r>
          </m:sup>
        </m:sSup>
        <m:r>
          <w:rPr>
            <w:rFonts w:ascii="Cambria Math" w:hAnsi="Cambria Math" w:cs="Sylfaen"/>
            <w:sz w:val="24"/>
            <w:szCs w:val="24"/>
          </w:rPr>
          <m:t>=</m:t>
        </m:r>
        <m:d>
          <m:dPr>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r>
              <w:rPr>
                <w:rFonts w:ascii="Cambria Math" w:hAnsi="Cambria Math" w:cs="Sylfaen"/>
                <w:sz w:val="24"/>
                <w:szCs w:val="24"/>
              </w:rPr>
              <m:t>-2</m:t>
            </m:r>
          </m:e>
        </m:d>
        <m:r>
          <w:rPr>
            <w:rFonts w:ascii="Cambria Math" w:hAnsi="Cambria Math" w:cs="Sylfaen"/>
            <w:sz w:val="24"/>
            <w:szCs w:val="24"/>
          </w:rPr>
          <m:t>(0,5+</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 xml:space="preserve">2 </m:t>
                </m:r>
              </m:sup>
            </m:sSubSup>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num>
          <m:den>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4</m:t>
                </m:r>
              </m:sup>
            </m:sSubSup>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4</m:t>
                </m:r>
              </m:sup>
            </m:sSubSup>
          </m:den>
        </m:f>
        <m:r>
          <w:rPr>
            <w:rFonts w:ascii="Cambria Math" w:hAnsi="Cambria Math" w:cs="Cambria Math"/>
            <w:sz w:val="24"/>
            <w:szCs w:val="24"/>
          </w:rPr>
          <m:t>։</m:t>
        </m:r>
        <m:r>
          <w:rPr>
            <w:rFonts w:ascii="Cambria Math" w:hAnsi="Cambria Math" w:cs="Sylfaen"/>
            <w:sz w:val="24"/>
            <w:szCs w:val="24"/>
          </w:rPr>
          <m:t xml:space="preserve">  </m:t>
        </m:r>
      </m:oMath>
      <w:r w:rsidR="0078572C" w:rsidRPr="0078572C">
        <w:rPr>
          <w:rFonts w:ascii="Sylfaen" w:hAnsi="Sylfaen"/>
          <w:sz w:val="24"/>
          <w:szCs w:val="24"/>
        </w:rPr>
        <w:tab/>
      </w:r>
      <w:r w:rsidR="00B834A2" w:rsidRPr="00B834A2">
        <w:rPr>
          <w:rFonts w:ascii="Sylfaen" w:hAnsi="Sylfaen"/>
          <w:color w:val="000000"/>
          <w:sz w:val="24"/>
          <w:szCs w:val="24"/>
        </w:rPr>
        <w:t>(3.8)</w:t>
      </w:r>
    </w:p>
    <w:p w14:paraId="0884241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Հետ</w:t>
      </w:r>
      <w:r>
        <w:rPr>
          <w:rFonts w:ascii="Sylfaen" w:hAnsi="Sylfaen"/>
          <w:color w:val="000000"/>
          <w:sz w:val="24"/>
          <w:szCs w:val="24"/>
        </w:rPr>
        <w:t>եւ</w:t>
      </w:r>
      <w:r w:rsidRPr="00B834A2">
        <w:rPr>
          <w:rFonts w:ascii="Sylfaen" w:hAnsi="Sylfaen"/>
          <w:color w:val="000000"/>
          <w:sz w:val="24"/>
          <w:szCs w:val="24"/>
        </w:rPr>
        <w:t>աբար տվյալ դեպքում՝</w:t>
      </w:r>
    </w:p>
    <w:p w14:paraId="50699804"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t=</m:t>
        </m:r>
        <m:f>
          <m:fPr>
            <m:ctrlPr>
              <w:rPr>
                <w:rFonts w:ascii="Cambria Math" w:hAnsi="Cambria Math" w:cs="Sylfaen"/>
                <w:i/>
                <w:color w:val="000000"/>
                <w:sz w:val="24"/>
                <w:szCs w:val="24"/>
              </w:rPr>
            </m:ctrlPr>
          </m:fPr>
          <m:num>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num>
          <m:den>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P</m:t>
                </m:r>
              </m:sub>
            </m:sSub>
          </m:den>
        </m:f>
        <m:r>
          <w:rPr>
            <w:rFonts w:ascii="Cambria Math" w:hAnsi="Cambria Math" w:cs="Sylfaen"/>
            <w:color w:val="000000"/>
            <w:sz w:val="24"/>
            <w:szCs w:val="24"/>
          </w:rPr>
          <m:t>=</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r>
          <w:rPr>
            <w:rFonts w:ascii="Cambria Math" w:hAnsi="Cambria Math" w:cs="Sylfaen"/>
            <w:color w:val="000000"/>
            <w:sz w:val="24"/>
            <w:szCs w:val="24"/>
          </w:rPr>
          <m:t>*</m:t>
        </m:r>
        <m:rad>
          <m:radPr>
            <m:degHide m:val="1"/>
            <m:ctrlPr>
              <w:rPr>
                <w:rFonts w:ascii="Cambria Math" w:hAnsi="Cambria Math" w:cs="Sylfaen"/>
                <w:i/>
                <w:color w:val="000000"/>
                <w:sz w:val="24"/>
                <w:szCs w:val="24"/>
              </w:rPr>
            </m:ctrlPr>
          </m:radPr>
          <m:deg/>
          <m:e>
            <m:f>
              <m:fPr>
                <m:ctrlPr>
                  <w:rPr>
                    <w:rFonts w:ascii="Cambria Math" w:hAnsi="Cambria Math" w:cs="Sylfaen"/>
                    <w:i/>
                    <w:color w:val="000000"/>
                    <w:sz w:val="24"/>
                    <w:szCs w:val="24"/>
                  </w:rPr>
                </m:ctrlPr>
              </m:fPr>
              <m:num>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sSub>
                  <m:sSubPr>
                    <m:ctrlPr>
                      <w:rPr>
                        <w:rFonts w:ascii="Cambria Math" w:hAnsi="Cambria Math" w:cs="Sylfaen"/>
                        <w:i/>
                        <w:color w:val="000000"/>
                        <w:sz w:val="24"/>
                        <w:szCs w:val="24"/>
                      </w:rPr>
                    </m:ctrlPr>
                  </m:sSubPr>
                  <m:e>
                    <m:r>
                      <w:rPr>
                        <w:rFonts w:ascii="Cambria Math" w:hAnsi="Cambria Math" w:cs="Sylfaen"/>
                        <w:color w:val="000000"/>
                        <w:sz w:val="24"/>
                        <w:szCs w:val="24"/>
                      </w:rPr>
                      <m:t xml:space="preserve"> n</m:t>
                    </m:r>
                  </m:e>
                  <m:sub>
                    <m:r>
                      <w:rPr>
                        <w:rFonts w:ascii="Cambria Math" w:hAnsi="Cambria Math" w:cs="Sylfaen"/>
                        <w:color w:val="000000"/>
                        <w:sz w:val="24"/>
                        <w:szCs w:val="24"/>
                      </w:rPr>
                      <m:t>2</m:t>
                    </m:r>
                  </m:sub>
                </m:sSub>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den>
            </m:f>
          </m:e>
        </m:rad>
        <m:r>
          <w:rPr>
            <w:rFonts w:ascii="Cambria Math" w:hAnsi="Cambria Math" w:cs="Sylfaen"/>
            <w:color w:val="000000"/>
            <w:sz w:val="24"/>
            <w:szCs w:val="24"/>
          </w:rPr>
          <m:t>=</m:t>
        </m:r>
      </m:oMath>
      <w:r w:rsidRPr="00B834A2">
        <w:rPr>
          <w:rFonts w:ascii="Sylfaen" w:hAnsi="Sylfaen"/>
          <w:color w:val="000000"/>
          <w:sz w:val="24"/>
          <w:szCs w:val="24"/>
        </w:rPr>
        <w:t>.</w:t>
      </w:r>
      <w:r w:rsidR="0078572C" w:rsidRPr="002E52D1">
        <w:rPr>
          <w:rFonts w:ascii="Sylfaen" w:hAnsi="Sylfaen"/>
          <w:color w:val="000000"/>
          <w:sz w:val="24"/>
          <w:szCs w:val="24"/>
        </w:rPr>
        <w:tab/>
      </w:r>
      <w:r w:rsidRPr="00B834A2">
        <w:rPr>
          <w:rFonts w:ascii="Sylfaen" w:hAnsi="Sylfaen"/>
          <w:color w:val="000000"/>
          <w:sz w:val="24"/>
          <w:szCs w:val="24"/>
        </w:rPr>
        <w:t>(3.9)</w:t>
      </w:r>
    </w:p>
    <w:p w14:paraId="7DF9AF7C" w14:textId="77777777" w:rsidR="00B834A2" w:rsidRPr="00B834A2" w:rsidRDefault="00B834A2" w:rsidP="00B834A2">
      <w:pPr>
        <w:pStyle w:val="a0"/>
        <w:shd w:val="clear" w:color="auto" w:fill="auto"/>
        <w:spacing w:after="160" w:line="360" w:lineRule="auto"/>
        <w:ind w:firstLine="567"/>
        <w:jc w:val="both"/>
        <w:rPr>
          <w:rFonts w:ascii="Sylfaen" w:hAnsi="Sylfaen" w:cs="Sylfaen"/>
          <w:color w:val="000000"/>
          <w:sz w:val="24"/>
          <w:szCs w:val="24"/>
        </w:rPr>
      </w:pPr>
      <w:r w:rsidRPr="00B834A2">
        <w:rPr>
          <w:rFonts w:ascii="Sylfaen" w:hAnsi="Sylfaen"/>
          <w:color w:val="000000"/>
          <w:sz w:val="24"/>
          <w:szCs w:val="24"/>
        </w:rPr>
        <w:t xml:space="preserve">(3.9) հավասարմամբ հաշվարկված </w:t>
      </w:r>
      <w:r w:rsidRPr="00B834A2">
        <w:rPr>
          <w:rFonts w:ascii="Sylfaen" w:hAnsi="Sylfaen"/>
          <w:i/>
          <w:color w:val="000000"/>
          <w:sz w:val="24"/>
          <w:szCs w:val="24"/>
        </w:rPr>
        <w:t>t</w:t>
      </w:r>
      <w:r w:rsidRPr="00B834A2">
        <w:rPr>
          <w:rFonts w:ascii="Sylfaen" w:hAnsi="Sylfaen"/>
          <w:color w:val="000000"/>
          <w:sz w:val="24"/>
          <w:szCs w:val="24"/>
        </w:rPr>
        <w:t xml:space="preserve"> արժեքը համեմատում են </w:t>
      </w:r>
      <w:r w:rsidRPr="00B834A2">
        <w:rPr>
          <w:rFonts w:ascii="Sylfaen" w:hAnsi="Sylfaen"/>
          <w:i/>
          <w:color w:val="000000"/>
          <w:sz w:val="24"/>
          <w:szCs w:val="24"/>
        </w:rPr>
        <w:t>t(P</w:t>
      </w:r>
      <w:r w:rsidRPr="00B834A2">
        <w:rPr>
          <w:rFonts w:ascii="Sylfaen" w:hAnsi="Sylfaen"/>
          <w:i/>
          <w:color w:val="000000"/>
          <w:sz w:val="24"/>
          <w:szCs w:val="24"/>
          <w:vertAlign w:val="subscript"/>
        </w:rPr>
        <w:t>2</w:t>
      </w:r>
      <w:r w:rsidRPr="00B834A2">
        <w:rPr>
          <w:rFonts w:ascii="Sylfaen" w:hAnsi="Sylfaen"/>
          <w:i/>
          <w:color w:val="000000"/>
          <w:sz w:val="24"/>
          <w:szCs w:val="24"/>
        </w:rPr>
        <w:t>,f ')-ի</w:t>
      </w:r>
      <w:r w:rsidRPr="00B834A2">
        <w:rPr>
          <w:rFonts w:ascii="Sylfaen" w:hAnsi="Sylfaen"/>
          <w:color w:val="000000"/>
          <w:sz w:val="24"/>
          <w:szCs w:val="24"/>
        </w:rPr>
        <w:t xml:space="preserve"> աղյուսակային արժեքի հետ, ինչպես դա վերը նկարագրված է առաջին դեպքի համար:</w:t>
      </w:r>
    </w:p>
    <w:p w14:paraId="6ECE26A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Վերը բերված հաշվարկները պարզեցվում են, երբ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2</m:t>
            </m:r>
          </m:sub>
        </m:sSub>
      </m:oMath>
      <w:r w:rsidRPr="00B834A2">
        <w:rPr>
          <w:rFonts w:ascii="Sylfaen" w:hAnsi="Sylfaen"/>
          <w:color w:val="000000"/>
          <w:sz w:val="24"/>
          <w:szCs w:val="24"/>
        </w:rPr>
        <w:t xml:space="preserve">т </w:t>
      </w:r>
      <w:r>
        <w:rPr>
          <w:rFonts w:ascii="Sylfaen" w:hAnsi="Sylfaen"/>
          <w:color w:val="000000"/>
          <w:sz w:val="24"/>
          <w:szCs w:val="24"/>
        </w:rPr>
        <w:t>եւ</w:t>
      </w:r>
      <w:r w:rsidRPr="00B834A2">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1</m:t>
            </m:r>
          </m:sub>
          <m:sup>
            <m:r>
              <w:rPr>
                <w:rFonts w:ascii="Cambria Math" w:hAnsi="Cambria Math" w:cs="Sylfaen"/>
                <w:color w:val="000000"/>
                <w:sz w:val="24"/>
                <w:szCs w:val="24"/>
              </w:rPr>
              <m:t>2</m:t>
            </m:r>
          </m:sup>
        </m:sSubSup>
        <m:r>
          <w:rPr>
            <w:rFonts w:ascii="Cambria Math" w:hAnsi="Cambria Math" w:cs="Sylfaen"/>
            <w:color w:val="000000"/>
            <w:sz w:val="24"/>
            <w:szCs w:val="24"/>
          </w:rPr>
          <m:t>≫</m:t>
        </m:r>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2</m:t>
            </m:r>
          </m:sub>
          <m:sup>
            <m:r>
              <w:rPr>
                <w:rFonts w:ascii="Cambria Math" w:hAnsi="Cambria Math" w:cs="Sylfaen"/>
                <w:color w:val="000000"/>
                <w:sz w:val="24"/>
                <w:szCs w:val="24"/>
              </w:rPr>
              <m:t>2</m:t>
            </m:r>
          </m:sup>
        </m:sSubSup>
      </m:oMath>
      <w:r w:rsidRPr="00B834A2">
        <w:rPr>
          <w:rFonts w:ascii="Sylfaen" w:hAnsi="Sylfaen"/>
          <w:color w:val="000000"/>
          <w:sz w:val="24"/>
          <w:szCs w:val="24"/>
        </w:rPr>
        <w:t>: Այդ ժամանակ կանոնավոր սխալանքի բացակայության դեպքում n</w:t>
      </w:r>
      <w:r w:rsidRPr="00B834A2">
        <w:rPr>
          <w:rFonts w:ascii="Sylfaen" w:hAnsi="Sylfaen"/>
          <w:color w:val="000000"/>
          <w:sz w:val="24"/>
          <w:szCs w:val="24"/>
          <w:vertAlign w:val="subscript"/>
        </w:rPr>
        <w:t>2</w:t>
      </w:r>
      <w:r w:rsidRPr="00B834A2">
        <w:rPr>
          <w:rFonts w:ascii="Sylfaen" w:hAnsi="Sylfaen"/>
          <w:color w:val="000000"/>
          <w:sz w:val="24"/>
          <w:szCs w:val="24"/>
        </w:rPr>
        <w:t xml:space="preserve"> ծավալի ընտրանքի միջին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oMath>
      <w:r w:rsidRPr="00B834A2">
        <w:rPr>
          <w:rFonts w:ascii="Sylfaen" w:hAnsi="Sylfaen"/>
          <w:color w:val="000000"/>
          <w:sz w:val="24"/>
          <w:szCs w:val="24"/>
        </w:rPr>
        <w:t xml:space="preserve"> ընդունում են </w:t>
      </w:r>
      <w:r w:rsidRPr="00B834A2">
        <w:rPr>
          <w:rFonts w:ascii="Sylfaen" w:hAnsi="Sylfaen"/>
          <w:i/>
          <w:color w:val="000000"/>
          <w:sz w:val="24"/>
          <w:szCs w:val="24"/>
        </w:rPr>
        <w:t xml:space="preserve">որպես А մեծության բավականին ճշգրիտ գնահատական, </w:t>
      </w:r>
      <w:r w:rsidRPr="00B834A2">
        <w:rPr>
          <w:rFonts w:ascii="Sylfaen" w:hAnsi="Sylfaen"/>
          <w:i/>
          <w:color w:val="000000"/>
          <w:sz w:val="24"/>
          <w:szCs w:val="24"/>
        </w:rPr>
        <w:lastRenderedPageBreak/>
        <w:t>այսինքն՝ ընդունում են ¯х</w:t>
      </w:r>
      <w:r w:rsidRPr="00B834A2">
        <w:rPr>
          <w:rFonts w:ascii="Sylfaen" w:hAnsi="Sylfaen"/>
          <w:i/>
          <w:color w:val="000000"/>
          <w:sz w:val="24"/>
          <w:szCs w:val="24"/>
          <w:vertAlign w:val="subscript"/>
        </w:rPr>
        <w:t>2</w:t>
      </w:r>
      <w:r w:rsidRPr="00B834A2">
        <w:rPr>
          <w:rFonts w:ascii="Sylfaen" w:hAnsi="Sylfaen"/>
          <w:i/>
          <w:color w:val="000000"/>
          <w:sz w:val="24"/>
          <w:szCs w:val="24"/>
        </w:rPr>
        <w:t xml:space="preserve"> = µ:</w:t>
      </w:r>
      <w:r w:rsidRPr="00B834A2">
        <w:rPr>
          <w:rFonts w:ascii="Sylfaen" w:hAnsi="Sylfaen"/>
          <w:color w:val="000000"/>
          <w:sz w:val="24"/>
          <w:szCs w:val="24"/>
        </w:rPr>
        <w:t xml:space="preserve"> (3.3) վարկածին համարժեք ¯x</w:t>
      </w:r>
      <w:r w:rsidRPr="00B834A2">
        <w:rPr>
          <w:rFonts w:ascii="Sylfaen" w:hAnsi="Sylfaen"/>
          <w:color w:val="000000"/>
          <w:sz w:val="24"/>
          <w:szCs w:val="24"/>
          <w:vertAlign w:val="subscript"/>
        </w:rPr>
        <w:t>1</w:t>
      </w:r>
      <w:r w:rsidRPr="00B834A2">
        <w:rPr>
          <w:rFonts w:ascii="Sylfaen" w:hAnsi="Sylfaen"/>
          <w:color w:val="000000"/>
          <w:sz w:val="24"/>
          <w:szCs w:val="24"/>
        </w:rPr>
        <w:t xml:space="preserve"> = µ վարկածի ճշմարտացիությունը ստուգում են (1.38) </w:t>
      </w:r>
      <w:r>
        <w:rPr>
          <w:rFonts w:ascii="Sylfaen" w:hAnsi="Sylfaen"/>
          <w:color w:val="000000"/>
          <w:sz w:val="24"/>
          <w:szCs w:val="24"/>
        </w:rPr>
        <w:t>եւ</w:t>
      </w:r>
      <w:r w:rsidRPr="00B834A2">
        <w:rPr>
          <w:rFonts w:ascii="Sylfaen" w:hAnsi="Sylfaen"/>
          <w:color w:val="000000"/>
          <w:sz w:val="24"/>
          <w:szCs w:val="24"/>
        </w:rPr>
        <w:t xml:space="preserve"> (1.39) հավասարումների օգնությամբ՝ ընդունելով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f</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n</m:t>
            </m:r>
          </m:e>
          <m:sub>
            <m:r>
              <w:rPr>
                <w:rFonts w:ascii="Cambria Math" w:hAnsi="Cambria Math" w:cs="Sylfaen"/>
                <w:color w:val="000000"/>
                <w:sz w:val="24"/>
                <w:szCs w:val="24"/>
              </w:rPr>
              <m:t>1</m:t>
            </m:r>
          </m:sub>
        </m:sSub>
        <m:r>
          <w:rPr>
            <w:rFonts w:ascii="Cambria Math" w:hAnsi="Cambria Math" w:cs="Sylfaen"/>
            <w:color w:val="000000"/>
            <w:sz w:val="24"/>
            <w:szCs w:val="24"/>
          </w:rPr>
          <m:t>-1-</m:t>
        </m:r>
        <m:r>
          <w:rPr>
            <w:rFonts w:ascii="Sylfaen" w:hAnsi="Sylfaen" w:cs="Sylfaen"/>
            <w:color w:val="000000"/>
            <w:sz w:val="24"/>
            <w:szCs w:val="24"/>
          </w:rPr>
          <m:t>ը</m:t>
        </m:r>
      </m:oMath>
      <w:r w:rsidRPr="00B834A2">
        <w:rPr>
          <w:rFonts w:ascii="Sylfaen" w:hAnsi="Sylfaen"/>
          <w:color w:val="000000"/>
          <w:sz w:val="24"/>
          <w:szCs w:val="24"/>
        </w:rPr>
        <w:t>: (3.3) վարկածը բացառվում է որպես վիճակագրորեն ոչ հավաստի, եթե կատարվում է (1.39) անհավասարումը:</w:t>
      </w:r>
    </w:p>
    <w:p w14:paraId="75AE93C9" w14:textId="77777777" w:rsidR="00B834A2" w:rsidRPr="00184198" w:rsidRDefault="00B834A2" w:rsidP="00B834A2">
      <w:pPr>
        <w:pStyle w:val="a0"/>
        <w:shd w:val="clear" w:color="auto" w:fill="auto"/>
        <w:spacing w:after="160" w:line="360" w:lineRule="auto"/>
        <w:ind w:firstLine="567"/>
        <w:jc w:val="both"/>
        <w:rPr>
          <w:rFonts w:ascii="Sylfaen" w:hAnsi="Sylfaen" w:cs="Sylfaen"/>
          <w:spacing w:val="-6"/>
          <w:sz w:val="24"/>
          <w:szCs w:val="24"/>
        </w:rPr>
      </w:pPr>
      <w:r w:rsidRPr="00184198">
        <w:rPr>
          <w:rFonts w:ascii="Sylfaen" w:hAnsi="Sylfaen"/>
          <w:color w:val="000000"/>
          <w:spacing w:val="-6"/>
          <w:sz w:val="24"/>
          <w:szCs w:val="24"/>
        </w:rPr>
        <w:t>Հայտնի է А մեծության ճշգրիտ արժեքը: Եթե А = µ, ապա ստուգում են երկու վարկած.</w:t>
      </w:r>
      <m:oMath>
        <m:sSub>
          <m:sSubPr>
            <m:ctrlPr>
              <w:rPr>
                <w:rFonts w:ascii="Cambria Math" w:hAnsi="Cambria Math"/>
                <w:color w:val="000000"/>
                <w:spacing w:val="-6"/>
                <w:sz w:val="24"/>
                <w:szCs w:val="24"/>
              </w:rPr>
            </m:ctrlPr>
          </m:sSubPr>
          <m:e>
            <m:r>
              <m:rPr>
                <m:sty m:val="p"/>
              </m:rPr>
              <w:rPr>
                <w:rFonts w:ascii="Cambria Math" w:hAnsi="Cambria Math"/>
                <w:color w:val="000000"/>
                <w:spacing w:val="-6"/>
                <w:sz w:val="24"/>
                <w:szCs w:val="24"/>
              </w:rPr>
              <m:t xml:space="preserve"> x</m:t>
            </m:r>
          </m:e>
          <m:sub>
            <m:bar>
              <m:barPr>
                <m:pos m:val="top"/>
                <m:ctrlPr>
                  <w:rPr>
                    <w:rFonts w:ascii="Cambria Math" w:hAnsi="Cambria Math"/>
                    <w:color w:val="000000"/>
                    <w:spacing w:val="-6"/>
                    <w:sz w:val="24"/>
                    <w:szCs w:val="24"/>
                  </w:rPr>
                </m:ctrlPr>
              </m:barPr>
              <m:e>
                <m:r>
                  <m:rPr>
                    <m:sty m:val="p"/>
                  </m:rPr>
                  <w:rPr>
                    <w:rFonts w:ascii="Cambria Math" w:hAnsi="Cambria Math"/>
                    <w:color w:val="000000"/>
                    <w:spacing w:val="-6"/>
                    <w:sz w:val="24"/>
                    <w:szCs w:val="24"/>
                  </w:rPr>
                  <m:t>1</m:t>
                </m:r>
              </m:e>
            </m:bar>
          </m:sub>
        </m:sSub>
        <m:r>
          <m:rPr>
            <m:sty m:val="p"/>
          </m:rPr>
          <w:rPr>
            <w:rFonts w:ascii="Cambria Math" w:hAnsi="Cambria Math"/>
            <w:color w:val="000000"/>
            <w:spacing w:val="-6"/>
            <w:sz w:val="24"/>
            <w:szCs w:val="24"/>
          </w:rPr>
          <m:t>=µ</m:t>
        </m:r>
      </m:oMath>
      <w:r w:rsidRPr="00184198">
        <w:rPr>
          <w:rFonts w:ascii="Sylfaen" w:hAnsi="Sylfaen"/>
          <w:color w:val="000000"/>
          <w:spacing w:val="-6"/>
          <w:sz w:val="24"/>
          <w:szCs w:val="24"/>
        </w:rPr>
        <w:t xml:space="preserve"> եւ </w:t>
      </w:r>
      <m:oMath>
        <m:sSub>
          <m:sSubPr>
            <m:ctrlPr>
              <w:rPr>
                <w:rFonts w:ascii="Cambria Math" w:hAnsi="Cambria Math"/>
                <w:color w:val="000000"/>
                <w:spacing w:val="-6"/>
                <w:sz w:val="24"/>
                <w:szCs w:val="24"/>
              </w:rPr>
            </m:ctrlPr>
          </m:sSubPr>
          <m:e>
            <m:r>
              <m:rPr>
                <m:sty m:val="p"/>
              </m:rPr>
              <w:rPr>
                <w:rFonts w:ascii="Cambria Math" w:hAnsi="Cambria Math"/>
                <w:color w:val="000000"/>
                <w:spacing w:val="-6"/>
                <w:sz w:val="24"/>
                <w:szCs w:val="24"/>
              </w:rPr>
              <m:t>x</m:t>
            </m:r>
          </m:e>
          <m:sub>
            <m:bar>
              <m:barPr>
                <m:pos m:val="top"/>
                <m:ctrlPr>
                  <w:rPr>
                    <w:rFonts w:ascii="Cambria Math" w:hAnsi="Cambria Math"/>
                    <w:color w:val="000000"/>
                    <w:spacing w:val="-6"/>
                    <w:sz w:val="24"/>
                    <w:szCs w:val="24"/>
                  </w:rPr>
                </m:ctrlPr>
              </m:barPr>
              <m:e>
                <m:r>
                  <m:rPr>
                    <m:sty m:val="p"/>
                  </m:rPr>
                  <w:rPr>
                    <w:rFonts w:ascii="Cambria Math" w:hAnsi="Cambria Math"/>
                    <w:color w:val="000000"/>
                    <w:spacing w:val="-6"/>
                    <w:sz w:val="24"/>
                    <w:szCs w:val="24"/>
                  </w:rPr>
                  <m:t>2</m:t>
                </m:r>
              </m:e>
            </m:bar>
          </m:sub>
        </m:sSub>
        <m:r>
          <m:rPr>
            <m:sty m:val="p"/>
          </m:rPr>
          <w:rPr>
            <w:rFonts w:ascii="Cambria Math" w:hAnsi="Cambria Math"/>
            <w:color w:val="000000"/>
            <w:spacing w:val="-6"/>
            <w:sz w:val="24"/>
            <w:szCs w:val="24"/>
          </w:rPr>
          <m:t>=µ</m:t>
        </m:r>
      </m:oMath>
      <w:r w:rsidRPr="00184198">
        <w:rPr>
          <w:rFonts w:ascii="Sylfaen" w:hAnsi="Sylfaen"/>
          <w:color w:val="000000"/>
          <w:spacing w:val="-6"/>
          <w:sz w:val="24"/>
          <w:szCs w:val="24"/>
        </w:rPr>
        <w:t>. Ստուգումը կատարում են (1.38) եւ (1.39) հավասարումների օգնությամբ՝ վարկածներից յուրաքանչյուրի համար առանձին: Եթե երկու ստուգվող վարկածները վիճակագրորեն հավաստի են, ապա պետք է ճանաչել հավաստի եւ (3.3) վարկածը: Հակառակ դեպքում (3.3) վարկածը պետք է բացառվի:</w:t>
      </w:r>
    </w:p>
    <w:p w14:paraId="4568773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Եթե չափումների ժամանակ ստանում են սկզբնական տարբերակների լոգարիթմներ, ապա միջինները համեմատելիս օգտագործում են lg¯x</w:t>
      </w:r>
      <w:r w:rsidRPr="00B834A2">
        <w:rPr>
          <w:rFonts w:ascii="Sylfaen" w:hAnsi="Sylfaen"/>
          <w:color w:val="000000"/>
          <w:sz w:val="24"/>
          <w:szCs w:val="24"/>
          <w:vertAlign w:val="subscript"/>
        </w:rPr>
        <w:t>g</w:t>
      </w:r>
      <w:r w:rsidRPr="00B834A2">
        <w:rPr>
          <w:rFonts w:ascii="Sylfaen" w:hAnsi="Sylfaen"/>
          <w:color w:val="000000"/>
          <w:sz w:val="24"/>
          <w:szCs w:val="24"/>
        </w:rPr>
        <w:t xml:space="preserve"> </w:t>
      </w:r>
      <m:oMath>
        <m:sSubSup>
          <m:sSubSupPr>
            <m:ctrlPr>
              <w:rPr>
                <w:rFonts w:ascii="Cambria Math" w:hAnsi="Cambria Math" w:cs="Sylfaen"/>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lg</m:t>
            </m:r>
          </m:sub>
          <m:sup>
            <m:r>
              <w:rPr>
                <w:rFonts w:ascii="Cambria Math" w:hAnsi="Cambria Math" w:cs="Sylfaen"/>
                <w:color w:val="000000"/>
                <w:sz w:val="24"/>
                <w:szCs w:val="24"/>
              </w:rPr>
              <m:t>2</m:t>
            </m:r>
          </m:sup>
        </m:sSubSup>
      </m:oMath>
      <w:r>
        <w:rPr>
          <w:rFonts w:ascii="Sylfaen" w:hAnsi="Sylfaen"/>
          <w:color w:val="000000"/>
          <w:sz w:val="24"/>
          <w:szCs w:val="24"/>
        </w:rPr>
        <w:t>եւ</w:t>
      </w:r>
      <w:r w:rsidRPr="00B834A2">
        <w:rPr>
          <w:rFonts w:ascii="Sylfaen" w:hAnsi="Sylfaen"/>
          <w:color w:val="000000"/>
          <w:sz w:val="24"/>
          <w:szCs w:val="24"/>
        </w:rPr>
        <w:t xml:space="preserve">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lg</m:t>
            </m:r>
          </m:sub>
        </m:sSub>
      </m:oMath>
      <w:r w:rsidRPr="00B834A2">
        <w:rPr>
          <w:rFonts w:ascii="Sylfaen" w:hAnsi="Sylfaen"/>
          <w:color w:val="000000"/>
          <w:sz w:val="24"/>
          <w:szCs w:val="24"/>
        </w:rPr>
        <w:t xml:space="preserve"> մեծությունները: Այն դեպքերում, երբ </w:t>
      </w:r>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r>
          <w:rPr>
            <w:rFonts w:ascii="Cambria Math" w:hAnsi="Cambria Math" w:cs="Sylfaen"/>
            <w:color w:val="000000"/>
            <w:sz w:val="24"/>
            <w:szCs w:val="24"/>
          </w:rPr>
          <m:t xml:space="preserve"> </m:t>
        </m:r>
      </m:oMath>
      <w:r w:rsidRPr="00B834A2">
        <w:rPr>
          <w:rFonts w:ascii="Sylfaen" w:hAnsi="Sylfaen"/>
          <w:color w:val="000000"/>
          <w:sz w:val="24"/>
          <w:szCs w:val="24"/>
        </w:rPr>
        <w:t xml:space="preserve">տարբերությունը նշանակալի է, որոշում են վստահելի միջակայքը՝ համապատասխան </w:t>
      </w:r>
      <m:oMath>
        <m:d>
          <m:dPr>
            <m:begChr m:val="|"/>
            <m:endChr m:val="|"/>
            <m:ctrlPr>
              <w:rPr>
                <w:rFonts w:ascii="Cambria Math" w:hAnsi="Cambria Math" w:cs="Sylfaen"/>
                <w:i/>
                <w:color w:val="000000"/>
                <w:sz w:val="24"/>
                <w:szCs w:val="24"/>
              </w:rPr>
            </m:ctrlPr>
          </m:dPr>
          <m:e>
            <m:acc>
              <m:accPr>
                <m:ctrlPr>
                  <w:rPr>
                    <w:rFonts w:ascii="Cambria Math" w:hAnsi="Cambria Math" w:cs="Sylfaen"/>
                    <w:i/>
                    <w:color w:val="000000"/>
                    <w:sz w:val="24"/>
                    <w:szCs w:val="24"/>
                  </w:rPr>
                </m:ctrlPr>
              </m:acc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 xml:space="preserve">1 </m:t>
                    </m:r>
                  </m:sub>
                </m:sSub>
              </m:e>
            </m:acc>
            <m:r>
              <w:rPr>
                <w:rFonts w:ascii="Cambria Math" w:hAnsi="Cambria Math" w:cs="Sylfaen"/>
                <w:color w:val="000000"/>
                <w:sz w:val="24"/>
                <w:szCs w:val="24"/>
              </w:rPr>
              <m:t xml:space="preserve"> </m:t>
            </m:r>
            <m:r>
              <m:rPr>
                <m:sty m:val="p"/>
              </m:rPr>
              <w:rPr>
                <w:rFonts w:ascii="Cambria Math" w:hAnsi="Sylfaen" w:cs="Sylfaen"/>
                <w:color w:val="000000"/>
                <w:sz w:val="24"/>
                <w:szCs w:val="24"/>
              </w:rPr>
              <m:t>եւ</m:t>
            </m:r>
            <m:r>
              <w:rPr>
                <w:rFonts w:ascii="Cambria Math" w:hAnsi="Cambria Math" w:cs="Sylfaen"/>
                <w:color w:val="000000"/>
                <w:sz w:val="24"/>
                <w:szCs w:val="24"/>
              </w:rPr>
              <m:t xml:space="preserve"> </m:t>
            </m:r>
            <m:acc>
              <m:accPr>
                <m:ctrlPr>
                  <w:rPr>
                    <w:rFonts w:ascii="Cambria Math" w:hAnsi="Cambria Math" w:cs="Sylfaen"/>
                    <w:i/>
                    <w:color w:val="000000"/>
                    <w:sz w:val="24"/>
                    <w:szCs w:val="24"/>
                  </w:rPr>
                </m:ctrlPr>
              </m:acc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acc>
            <m:r>
              <w:rPr>
                <w:rFonts w:ascii="Cambria Math" w:hAnsi="Cambria Math" w:cs="Sylfaen"/>
                <w:color w:val="000000"/>
                <w:sz w:val="24"/>
                <w:szCs w:val="24"/>
              </w:rPr>
              <m:t xml:space="preserve"> </m:t>
            </m:r>
          </m:e>
        </m:d>
      </m:oMath>
      <w:r w:rsidRPr="00B834A2">
        <w:rPr>
          <w:rFonts w:ascii="Sylfaen" w:hAnsi="Sylfaen"/>
          <w:color w:val="000000"/>
          <w:sz w:val="24"/>
          <w:szCs w:val="24"/>
        </w:rPr>
        <w:t xml:space="preserve"> ընդհանուր միջինների տարբերության համար. </w:t>
      </w:r>
    </w:p>
    <w:p w14:paraId="53B32451"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r>
            <w:rPr>
              <w:rFonts w:ascii="Cambria Math" w:hAnsi="Cambria Math" w:cs="Sylfaen"/>
              <w:color w:val="000000"/>
              <w:sz w:val="24"/>
              <w:szCs w:val="24"/>
            </w:rPr>
            <m:t>-t</m:t>
          </m:r>
          <m:d>
            <m:dPr>
              <m:ctrlPr>
                <w:rPr>
                  <w:rFonts w:ascii="Cambria Math" w:hAnsi="Cambria Math" w:cs="Sylfaen"/>
                  <w:i/>
                  <w:color w:val="000000"/>
                  <w:sz w:val="24"/>
                  <w:szCs w:val="24"/>
                </w:rPr>
              </m:ctrlPr>
            </m:dPr>
            <m:e>
              <m:r>
                <w:rPr>
                  <w:rFonts w:ascii="Cambria Math" w:hAnsi="Cambria Math" w:cs="Sylfaen"/>
                  <w:color w:val="000000"/>
                  <w:sz w:val="24"/>
                  <w:szCs w:val="24"/>
                </w:rPr>
                <m:t>P,f</m:t>
              </m:r>
            </m:e>
          </m:d>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p</m:t>
              </m:r>
            </m:sub>
          </m:sSub>
          <m:r>
            <w:rPr>
              <w:rFonts w:ascii="Cambria Math" w:hAnsi="Cambria Math" w:cs="Sylfaen"/>
              <w:color w:val="000000"/>
              <w:sz w:val="24"/>
              <w:szCs w:val="24"/>
            </w:rPr>
            <m:t>≤</m:t>
          </m:r>
        </m:oMath>
      </m:oMathPara>
    </w:p>
    <w:p w14:paraId="1A852A5E"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m:t>
        </m:r>
        <m:d>
          <m:dPr>
            <m:begChr m:val="|"/>
            <m:endChr m:val="|"/>
            <m:ctrlPr>
              <w:rPr>
                <w:rFonts w:ascii="Cambria Math" w:hAnsi="Cambria Math" w:cs="Sylfaen"/>
                <w:i/>
                <w:color w:val="000000"/>
                <w:sz w:val="24"/>
                <w:szCs w:val="24"/>
              </w:rPr>
            </m:ctrlPr>
          </m:dPr>
          <m:e>
            <m:acc>
              <m:accPr>
                <m:ctrlPr>
                  <w:rPr>
                    <w:rFonts w:ascii="Cambria Math" w:hAnsi="Cambria Math" w:cs="Sylfaen"/>
                    <w:i/>
                    <w:color w:val="000000"/>
                    <w:sz w:val="24"/>
                    <w:szCs w:val="24"/>
                  </w:rPr>
                </m:ctrlPr>
              </m:acc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 xml:space="preserve">1 </m:t>
                    </m:r>
                  </m:sub>
                </m:sSub>
              </m:e>
            </m:acc>
            <m:r>
              <w:rPr>
                <w:rFonts w:ascii="Cambria Math" w:hAnsi="Cambria Math" w:cs="Sylfaen"/>
                <w:color w:val="000000"/>
                <w:sz w:val="24"/>
                <w:szCs w:val="24"/>
              </w:rPr>
              <m:t>-</m:t>
            </m:r>
            <m:acc>
              <m:accPr>
                <m:ctrlPr>
                  <w:rPr>
                    <w:rFonts w:ascii="Cambria Math" w:hAnsi="Cambria Math" w:cs="Sylfaen"/>
                    <w:i/>
                    <w:color w:val="000000"/>
                    <w:sz w:val="24"/>
                    <w:szCs w:val="24"/>
                  </w:rPr>
                </m:ctrlPr>
              </m:acc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acc>
          </m:e>
        </m:d>
        <m:r>
          <w:rPr>
            <w:rFonts w:ascii="Cambria Math" w:hAnsi="Cambria Math" w:cs="Sylfaen"/>
            <w:color w:val="000000"/>
            <w:sz w:val="24"/>
            <w:szCs w:val="24"/>
          </w:rPr>
          <m:t>≤</m:t>
        </m:r>
        <m:d>
          <m:dPr>
            <m:begChr m:val="|"/>
            <m:endChr m:val="|"/>
            <m:ctrlPr>
              <w:rPr>
                <w:rFonts w:ascii="Cambria Math" w:hAnsi="Cambria Math" w:cs="Sylfaen"/>
                <w:i/>
                <w:color w:val="000000"/>
                <w:sz w:val="24"/>
                <w:szCs w:val="24"/>
              </w:rPr>
            </m:ctrlPr>
          </m:dPr>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2</m:t>
                </m:r>
              </m:sub>
            </m:sSub>
          </m:e>
        </m:d>
        <m:r>
          <w:rPr>
            <w:rFonts w:ascii="Cambria Math" w:hAnsi="Cambria Math" w:cs="Sylfaen"/>
            <w:color w:val="000000"/>
            <w:sz w:val="24"/>
            <w:szCs w:val="24"/>
          </w:rPr>
          <m:t>+t</m:t>
        </m:r>
        <m:d>
          <m:dPr>
            <m:ctrlPr>
              <w:rPr>
                <w:rFonts w:ascii="Cambria Math" w:hAnsi="Cambria Math" w:cs="Sylfaen"/>
                <w:i/>
                <w:color w:val="000000"/>
                <w:sz w:val="24"/>
                <w:szCs w:val="24"/>
              </w:rPr>
            </m:ctrlPr>
          </m:dPr>
          <m:e>
            <m:r>
              <w:rPr>
                <w:rFonts w:ascii="Cambria Math" w:hAnsi="Cambria Math" w:cs="Sylfaen"/>
                <w:color w:val="000000"/>
                <w:sz w:val="24"/>
                <w:szCs w:val="24"/>
              </w:rPr>
              <m:t>P,f</m:t>
            </m:r>
          </m:e>
        </m:d>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s</m:t>
            </m:r>
          </m:e>
          <m:sub>
            <m:r>
              <w:rPr>
                <w:rFonts w:ascii="Cambria Math" w:hAnsi="Cambria Math" w:cs="Sylfaen"/>
                <w:color w:val="000000"/>
                <w:sz w:val="24"/>
                <w:szCs w:val="24"/>
              </w:rPr>
              <m:t xml:space="preserve">P                   </m:t>
            </m:r>
          </m:sub>
        </m:sSub>
      </m:oMath>
      <w:r w:rsidRPr="00B834A2">
        <w:rPr>
          <w:rFonts w:ascii="Sylfaen" w:hAnsi="Sylfaen"/>
          <w:color w:val="000000"/>
          <w:sz w:val="24"/>
          <w:szCs w:val="24"/>
        </w:rPr>
        <w:t>(3.10)</w:t>
      </w:r>
    </w:p>
    <w:p w14:paraId="01B7240E" w14:textId="77777777" w:rsidR="00B834A2" w:rsidRPr="00B834A2" w:rsidRDefault="00B834A2" w:rsidP="00B834A2">
      <w:pPr>
        <w:spacing w:after="160" w:line="360" w:lineRule="auto"/>
        <w:ind w:firstLine="567"/>
        <w:jc w:val="both"/>
      </w:pPr>
      <w:r w:rsidRPr="00B834A2">
        <w:t>Երկու ընտրանքների միջին արդյունքների համեմատման օրինակը բերված է 6.5 բաժնում:</w:t>
      </w:r>
    </w:p>
    <w:p w14:paraId="69EEE0A2" w14:textId="77777777" w:rsidR="0078572C" w:rsidRPr="002E52D1" w:rsidRDefault="0078572C" w:rsidP="0078572C">
      <w:pPr>
        <w:pStyle w:val="a0"/>
        <w:shd w:val="clear" w:color="auto" w:fill="auto"/>
        <w:tabs>
          <w:tab w:val="left" w:pos="1134"/>
        </w:tabs>
        <w:spacing w:after="160" w:line="360" w:lineRule="auto"/>
        <w:ind w:firstLine="567"/>
        <w:jc w:val="both"/>
        <w:rPr>
          <w:rFonts w:ascii="Sylfaen" w:hAnsi="Sylfaen"/>
          <w:b/>
          <w:color w:val="000000"/>
          <w:sz w:val="24"/>
          <w:szCs w:val="24"/>
        </w:rPr>
      </w:pPr>
    </w:p>
    <w:p w14:paraId="0C2CA5DC"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color w:val="000000"/>
          <w:sz w:val="24"/>
          <w:szCs w:val="24"/>
        </w:rPr>
        <w:t>4.</w:t>
      </w:r>
      <w:r w:rsidR="0078572C" w:rsidRPr="0078572C">
        <w:rPr>
          <w:rFonts w:ascii="Sylfaen" w:hAnsi="Sylfaen"/>
          <w:b/>
          <w:color w:val="000000"/>
          <w:sz w:val="24"/>
          <w:szCs w:val="24"/>
        </w:rPr>
        <w:tab/>
      </w:r>
      <w:r w:rsidRPr="00B834A2">
        <w:rPr>
          <w:rFonts w:ascii="Sylfaen" w:hAnsi="Sylfaen"/>
          <w:b/>
          <w:color w:val="000000"/>
          <w:sz w:val="24"/>
          <w:szCs w:val="24"/>
        </w:rPr>
        <w:t xml:space="preserve">Գծային կախվածության պարամետրերի հաշվարկը </w:t>
      </w:r>
      <w:r>
        <w:rPr>
          <w:rFonts w:ascii="Sylfaen" w:hAnsi="Sylfaen"/>
          <w:b/>
          <w:color w:val="000000"/>
          <w:sz w:val="24"/>
          <w:szCs w:val="24"/>
        </w:rPr>
        <w:t>եւ</w:t>
      </w:r>
      <w:r w:rsidRPr="00B834A2">
        <w:rPr>
          <w:rFonts w:ascii="Sylfaen" w:hAnsi="Sylfaen"/>
          <w:b/>
          <w:color w:val="000000"/>
          <w:sz w:val="24"/>
          <w:szCs w:val="24"/>
        </w:rPr>
        <w:t xml:space="preserve"> վիճակագրական գնահատումը</w:t>
      </w:r>
    </w:p>
    <w:p w14:paraId="27E3AED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Նյութերի քանակական որոշման համար անալիզի ֆիզիկական, ֆիզիկաքիմիական </w:t>
      </w:r>
      <w:r>
        <w:rPr>
          <w:rFonts w:ascii="Sylfaen" w:hAnsi="Sylfaen"/>
          <w:color w:val="000000"/>
          <w:sz w:val="24"/>
          <w:szCs w:val="24"/>
        </w:rPr>
        <w:t>եւ</w:t>
      </w:r>
      <w:r w:rsidRPr="00B834A2">
        <w:rPr>
          <w:rFonts w:ascii="Sylfaen" w:hAnsi="Sylfaen"/>
          <w:color w:val="000000"/>
          <w:sz w:val="24"/>
          <w:szCs w:val="24"/>
        </w:rPr>
        <w:t xml:space="preserve"> քիմիական մեթոդներ օգտագործելիս անմիջական չափման ենթարկվում է </w:t>
      </w:r>
      <w:r w:rsidRPr="00B834A2">
        <w:rPr>
          <w:rFonts w:ascii="Sylfaen" w:hAnsi="Sylfaen"/>
          <w:i/>
          <w:color w:val="000000"/>
          <w:sz w:val="24"/>
          <w:szCs w:val="24"/>
        </w:rPr>
        <w:t>у</w:t>
      </w:r>
      <w:r w:rsidRPr="00B834A2">
        <w:rPr>
          <w:rFonts w:ascii="Sylfaen" w:hAnsi="Sylfaen"/>
          <w:color w:val="000000"/>
          <w:sz w:val="24"/>
          <w:szCs w:val="24"/>
        </w:rPr>
        <w:t xml:space="preserve"> որոշակի մեծությունը (անալիտիկ ազդանշան), որը, որպես կանոն, որոշվող նյութի կամ տարրի </w:t>
      </w:r>
      <w:r w:rsidRPr="00B834A2">
        <w:rPr>
          <w:rFonts w:ascii="Sylfaen" w:hAnsi="Sylfaen"/>
          <w:i/>
          <w:color w:val="000000"/>
          <w:sz w:val="24"/>
          <w:szCs w:val="24"/>
        </w:rPr>
        <w:t>х</w:t>
      </w:r>
      <w:r w:rsidRPr="00B834A2">
        <w:rPr>
          <w:rFonts w:ascii="Sylfaen" w:hAnsi="Sylfaen"/>
          <w:color w:val="000000"/>
          <w:sz w:val="24"/>
          <w:szCs w:val="24"/>
        </w:rPr>
        <w:t xml:space="preserve"> որոնելի կոնցենտրացիայի (քանակության) գծային ֆունկցիա է: Այլ կերպ ասած՝ անալիզի այդ մեթոդների հիմքում ընկած է փորձարարական եղանակով հաստատված գծային կախվածությունը.</w:t>
      </w:r>
    </w:p>
    <w:p w14:paraId="64B6E6E9"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w:r w:rsidRPr="00B834A2">
        <w:rPr>
          <w:rFonts w:ascii="Sylfaen" w:hAnsi="Sylfaen"/>
          <w:color w:val="000000"/>
          <w:sz w:val="24"/>
          <w:szCs w:val="24"/>
        </w:rPr>
        <w:lastRenderedPageBreak/>
        <w:t>у = bх + а,</w:t>
      </w:r>
      <w:r w:rsidRPr="00B834A2">
        <w:rPr>
          <w:rFonts w:ascii="Sylfaen" w:hAnsi="Sylfaen"/>
          <w:sz w:val="24"/>
          <w:szCs w:val="24"/>
        </w:rPr>
        <w:t xml:space="preserve"> </w:t>
      </w:r>
      <w:r w:rsidRPr="00B834A2">
        <w:rPr>
          <w:rFonts w:ascii="Sylfaen" w:hAnsi="Sylfaen"/>
          <w:color w:val="000000"/>
          <w:sz w:val="24"/>
          <w:szCs w:val="24"/>
        </w:rPr>
        <w:t>(4.1).</w:t>
      </w:r>
    </w:p>
    <w:p w14:paraId="57C56810"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 xml:space="preserve">որտեղ՝ </w:t>
      </w:r>
    </w:p>
    <w:p w14:paraId="4B360B7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у</w:t>
      </w:r>
      <w:r w:rsidRPr="00B834A2">
        <w:rPr>
          <w:rFonts w:ascii="Sylfaen" w:hAnsi="Sylfaen"/>
          <w:color w:val="000000"/>
          <w:sz w:val="24"/>
          <w:szCs w:val="24"/>
        </w:rPr>
        <w:t xml:space="preserve"> -ը չափվող մեծությունն է (անալիտիկ ազդանշանի չափվող արժեքը).</w:t>
      </w:r>
    </w:p>
    <w:p w14:paraId="7362FCBE"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х- ը՝ որոշվող նյութի կամ տարրի կոնցենտրացիան (քանակությունը).</w:t>
      </w:r>
    </w:p>
    <w:p w14:paraId="3786F26B"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b-ն՝ գծային կախվածության անկյունային գործակիցը.</w:t>
      </w:r>
      <w:r>
        <w:rPr>
          <w:rFonts w:ascii="Sylfaen" w:hAnsi="Sylfaen"/>
          <w:color w:val="000000"/>
          <w:sz w:val="24"/>
          <w:szCs w:val="24"/>
        </w:rPr>
        <w:t xml:space="preserve"> </w:t>
      </w:r>
    </w:p>
    <w:p w14:paraId="4F0ED43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а -ն՝ գծային կախվածության ազատ անդամը: </w:t>
      </w:r>
    </w:p>
    <w:p w14:paraId="06EFA6D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(Այստեղ </w:t>
      </w:r>
      <w:r w:rsidRPr="00B834A2">
        <w:rPr>
          <w:rFonts w:ascii="Sylfaen" w:hAnsi="Sylfaen"/>
          <w:i/>
          <w:color w:val="000000"/>
          <w:sz w:val="24"/>
          <w:szCs w:val="24"/>
        </w:rPr>
        <w:t>b</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а</w:t>
      </w:r>
      <w:r w:rsidRPr="00B834A2">
        <w:rPr>
          <w:rFonts w:ascii="Sylfaen" w:hAnsi="Sylfaen"/>
          <w:color w:val="000000"/>
          <w:sz w:val="24"/>
          <w:szCs w:val="24"/>
        </w:rPr>
        <w:t xml:space="preserve"> դիտարկվում են որպես </w:t>
      </w:r>
      <w:r w:rsidRPr="00B834A2">
        <w:rPr>
          <w:rFonts w:ascii="Sylfaen" w:hAnsi="Sylfaen"/>
          <w:i/>
          <w:color w:val="000000"/>
          <w:sz w:val="24"/>
          <w:szCs w:val="24"/>
        </w:rPr>
        <w:t>х</w:t>
      </w:r>
      <w:r w:rsidRPr="00B834A2">
        <w:rPr>
          <w:rFonts w:ascii="Sylfaen" w:hAnsi="Sylfaen"/>
          <w:color w:val="000000"/>
          <w:sz w:val="24"/>
          <w:szCs w:val="24"/>
        </w:rPr>
        <w:t xml:space="preserve">-ի վրա </w:t>
      </w:r>
      <w:r w:rsidRPr="00B834A2">
        <w:rPr>
          <w:rFonts w:ascii="Sylfaen" w:hAnsi="Sylfaen"/>
          <w:i/>
          <w:color w:val="000000"/>
          <w:sz w:val="24"/>
          <w:szCs w:val="24"/>
        </w:rPr>
        <w:t>у</w:t>
      </w:r>
      <w:r w:rsidRPr="00B834A2">
        <w:rPr>
          <w:rFonts w:ascii="Sylfaen" w:hAnsi="Sylfaen"/>
          <w:color w:val="000000"/>
          <w:sz w:val="24"/>
          <w:szCs w:val="24"/>
        </w:rPr>
        <w:t xml:space="preserve"> գծային ռեգրեսիայի գործակիցներ (պարամետրեր)):</w:t>
      </w:r>
    </w:p>
    <w:p w14:paraId="32E102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78572C">
        <w:rPr>
          <w:rFonts w:ascii="Sylfaen" w:hAnsi="Sylfaen"/>
          <w:color w:val="000000"/>
          <w:spacing w:val="-4"/>
          <w:sz w:val="24"/>
          <w:szCs w:val="24"/>
        </w:rPr>
        <w:t xml:space="preserve">Անալիտիկ նպատակներով (4.1) կախվածության օգտագործման համար, այսինքն՝ у չափված արժեքով </w:t>
      </w:r>
      <w:r w:rsidRPr="0078572C">
        <w:rPr>
          <w:rFonts w:ascii="Sylfaen" w:hAnsi="Sylfaen"/>
          <w:i/>
          <w:color w:val="000000"/>
          <w:spacing w:val="-4"/>
          <w:sz w:val="24"/>
          <w:szCs w:val="24"/>
        </w:rPr>
        <w:t>х</w:t>
      </w:r>
      <w:r w:rsidRPr="0078572C">
        <w:rPr>
          <w:rFonts w:ascii="Sylfaen" w:hAnsi="Sylfaen"/>
          <w:color w:val="000000"/>
          <w:spacing w:val="-4"/>
          <w:sz w:val="24"/>
          <w:szCs w:val="24"/>
        </w:rPr>
        <w:t xml:space="preserve"> կոնկրետ մեծության որոշման համար անհրաժեշտ է նախ</w:t>
      </w:r>
      <w:r w:rsidRPr="00B834A2">
        <w:rPr>
          <w:rFonts w:ascii="Sylfaen" w:hAnsi="Sylfaen"/>
          <w:color w:val="000000"/>
          <w:sz w:val="24"/>
          <w:szCs w:val="24"/>
        </w:rPr>
        <w:t xml:space="preserve">օրոք գտնել </w:t>
      </w:r>
      <w:r w:rsidRPr="00B834A2">
        <w:rPr>
          <w:rFonts w:ascii="Sylfaen" w:hAnsi="Sylfaen"/>
          <w:i/>
          <w:color w:val="000000"/>
          <w:sz w:val="24"/>
          <w:szCs w:val="24"/>
        </w:rPr>
        <w:t>b</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а հաստատունների թվային արժեքները, այսինքն՝ անցկացնել ստուգաճշտում:</w:t>
      </w:r>
      <w:r w:rsidRPr="00B834A2">
        <w:rPr>
          <w:rFonts w:ascii="Sylfaen" w:hAnsi="Sylfaen"/>
          <w:color w:val="000000"/>
          <w:sz w:val="24"/>
          <w:szCs w:val="24"/>
        </w:rPr>
        <w:t xml:space="preserve"> Երբեմն (4.1) կախվածության հաստատուններն ունեն այս կամ այն ֆիզիկական իմաստը, </w:t>
      </w:r>
      <w:r>
        <w:rPr>
          <w:rFonts w:ascii="Sylfaen" w:hAnsi="Sylfaen"/>
          <w:color w:val="000000"/>
          <w:sz w:val="24"/>
          <w:szCs w:val="24"/>
        </w:rPr>
        <w:t>եւ</w:t>
      </w:r>
      <w:r w:rsidRPr="00B834A2">
        <w:rPr>
          <w:rFonts w:ascii="Sylfaen" w:hAnsi="Sylfaen"/>
          <w:color w:val="000000"/>
          <w:sz w:val="24"/>
          <w:szCs w:val="24"/>
        </w:rPr>
        <w:t xml:space="preserve"> դրանց արժեքները պետք է գնահատվեն՝ հաշվի առնելով համապատասխան վստահելի միջակայքը: Եթե ստուգաճշտումն անցկացվել է,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 xml:space="preserve">а </w:t>
      </w:r>
      <w:r w:rsidRPr="00B834A2">
        <w:rPr>
          <w:rFonts w:ascii="Sylfaen" w:hAnsi="Sylfaen"/>
          <w:color w:val="000000"/>
          <w:sz w:val="24"/>
          <w:szCs w:val="24"/>
        </w:rPr>
        <w:t xml:space="preserve">ու </w:t>
      </w:r>
      <w:r w:rsidRPr="00B834A2">
        <w:rPr>
          <w:rFonts w:ascii="Sylfaen" w:hAnsi="Sylfaen"/>
          <w:i/>
          <w:color w:val="000000"/>
          <w:sz w:val="24"/>
          <w:szCs w:val="24"/>
        </w:rPr>
        <w:t>b հաստատունների արժեքները որոշվել են, ապա х</w:t>
      </w:r>
      <w:r w:rsidRPr="00B834A2">
        <w:rPr>
          <w:rFonts w:ascii="Sylfaen" w:hAnsi="Sylfaen"/>
          <w:i/>
          <w:color w:val="000000"/>
          <w:sz w:val="24"/>
          <w:szCs w:val="24"/>
          <w:vertAlign w:val="subscript"/>
        </w:rPr>
        <w:t>i</w:t>
      </w:r>
      <w:r w:rsidRPr="00B834A2">
        <w:rPr>
          <w:rFonts w:ascii="Sylfaen" w:hAnsi="Sylfaen"/>
          <w:i/>
          <w:color w:val="000000"/>
          <w:sz w:val="24"/>
          <w:szCs w:val="24"/>
        </w:rPr>
        <w:t xml:space="preserve"> մեծությունը գտնում են у</w:t>
      </w:r>
      <w:r w:rsidRPr="00B834A2">
        <w:rPr>
          <w:rFonts w:ascii="Sylfaen" w:hAnsi="Sylfaen"/>
          <w:i/>
          <w:color w:val="000000"/>
          <w:sz w:val="24"/>
          <w:szCs w:val="24"/>
          <w:vertAlign w:val="subscript"/>
        </w:rPr>
        <w:t>i</w:t>
      </w:r>
      <w:r w:rsidRPr="00B834A2">
        <w:rPr>
          <w:rFonts w:ascii="Sylfaen" w:hAnsi="Sylfaen"/>
          <w:i/>
          <w:color w:val="000000"/>
          <w:sz w:val="24"/>
          <w:szCs w:val="24"/>
        </w:rPr>
        <w:t xml:space="preserve"> չափված արժեքով.</w:t>
      </w:r>
    </w:p>
    <w:p w14:paraId="7D36BF6E"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i/>
                <w:smallCaps/>
                <w:color w:val="000000"/>
                <w:sz w:val="24"/>
                <w:szCs w:val="24"/>
              </w:rPr>
            </m:ctrlPr>
          </m:sSubPr>
          <m:e>
            <m:r>
              <w:rPr>
                <w:rFonts w:ascii="Cambria Math" w:hAnsi="Cambria Math" w:cs="Sylfaen"/>
                <w:smallCaps/>
                <w:color w:val="000000"/>
                <w:sz w:val="24"/>
                <w:szCs w:val="24"/>
              </w:rPr>
              <m:t>x</m:t>
            </m:r>
          </m:e>
          <m:sub>
            <m:r>
              <w:rPr>
                <w:rFonts w:ascii="Cambria Math" w:hAnsi="Cambria Math" w:cs="Sylfaen"/>
                <w:smallCaps/>
                <w:color w:val="000000"/>
                <w:sz w:val="24"/>
                <w:szCs w:val="24"/>
              </w:rPr>
              <m:t>i</m:t>
            </m:r>
          </m:sub>
        </m:sSub>
        <m:r>
          <w:rPr>
            <w:rFonts w:ascii="Cambria Math" w:hAnsi="Cambria Math" w:cs="Sylfaen"/>
            <w:smallCaps/>
            <w:color w:val="000000"/>
            <w:sz w:val="24"/>
            <w:szCs w:val="24"/>
          </w:rPr>
          <m:t>=</m:t>
        </m:r>
        <m:f>
          <m:fPr>
            <m:ctrlPr>
              <w:rPr>
                <w:rFonts w:ascii="Cambria Math" w:hAnsi="Cambria Math" w:cs="Sylfaen"/>
                <w:i/>
                <w:smallCaps/>
                <w:color w:val="000000"/>
                <w:sz w:val="24"/>
                <w:szCs w:val="24"/>
              </w:rPr>
            </m:ctrlPr>
          </m:fPr>
          <m:num>
            <m:r>
              <w:rPr>
                <w:rFonts w:ascii="Cambria Math" w:hAnsi="Cambria Math" w:cs="Sylfaen"/>
                <w:smallCaps/>
                <w:color w:val="000000"/>
                <w:sz w:val="24"/>
                <w:szCs w:val="24"/>
              </w:rPr>
              <m:t>1</m:t>
            </m:r>
          </m:num>
          <m:den>
            <m:r>
              <w:rPr>
                <w:rFonts w:ascii="Cambria Math" w:hAnsi="Cambria Math" w:cs="Sylfaen"/>
                <w:smallCaps/>
                <w:color w:val="000000"/>
                <w:sz w:val="24"/>
                <w:szCs w:val="24"/>
              </w:rPr>
              <m:t>b</m:t>
            </m:r>
          </m:den>
        </m:f>
        <m:sSub>
          <m:sSubPr>
            <m:ctrlPr>
              <w:rPr>
                <w:rFonts w:ascii="Cambria Math" w:hAnsi="Cambria Math" w:cs="Sylfaen"/>
                <w:i/>
                <w:smallCaps/>
                <w:color w:val="000000"/>
                <w:sz w:val="24"/>
                <w:szCs w:val="24"/>
              </w:rPr>
            </m:ctrlPr>
          </m:sSubPr>
          <m:e>
            <m:r>
              <w:rPr>
                <w:rFonts w:ascii="Cambria Math" w:hAnsi="Cambria Math" w:cs="Sylfaen"/>
                <w:smallCaps/>
                <w:color w:val="000000"/>
                <w:sz w:val="24"/>
                <w:szCs w:val="24"/>
              </w:rPr>
              <m:t>y</m:t>
            </m:r>
          </m:e>
          <m:sub>
            <m:r>
              <w:rPr>
                <w:rFonts w:ascii="Cambria Math" w:hAnsi="Cambria Math" w:cs="Sylfaen"/>
                <w:smallCaps/>
                <w:color w:val="000000"/>
                <w:sz w:val="24"/>
                <w:szCs w:val="24"/>
              </w:rPr>
              <m:t>i</m:t>
            </m:r>
          </m:sub>
        </m:sSub>
        <m:r>
          <w:rPr>
            <w:rFonts w:ascii="Cambria Math" w:hAnsi="Cambria Math" w:cs="Sylfaen"/>
            <w:smallCaps/>
            <w:color w:val="000000"/>
            <w:sz w:val="24"/>
            <w:szCs w:val="24"/>
          </w:rPr>
          <m:t>-</m:t>
        </m:r>
        <m:f>
          <m:fPr>
            <m:ctrlPr>
              <w:rPr>
                <w:rFonts w:ascii="Cambria Math" w:hAnsi="Cambria Math" w:cs="Sylfaen"/>
                <w:i/>
                <w:smallCaps/>
                <w:color w:val="000000"/>
                <w:sz w:val="24"/>
                <w:szCs w:val="24"/>
              </w:rPr>
            </m:ctrlPr>
          </m:fPr>
          <m:num>
            <m:r>
              <w:rPr>
                <w:rFonts w:ascii="Cambria Math" w:hAnsi="Cambria Math" w:cs="Sylfaen"/>
                <w:smallCaps/>
                <w:color w:val="000000"/>
                <w:sz w:val="24"/>
                <w:szCs w:val="24"/>
              </w:rPr>
              <m:t>a</m:t>
            </m:r>
          </m:num>
          <m:den>
            <m:r>
              <w:rPr>
                <w:rFonts w:ascii="Cambria Math" w:hAnsi="Cambria Math" w:cs="Sylfaen"/>
                <w:smallCaps/>
                <w:color w:val="000000"/>
                <w:sz w:val="24"/>
                <w:szCs w:val="24"/>
              </w:rPr>
              <m:t>b</m:t>
            </m:r>
          </m:den>
        </m:f>
        <m:r>
          <w:rPr>
            <w:rFonts w:ascii="Cambria Math" w:hAnsi="Cambria Math" w:cs="Sylfaen"/>
            <w:smallCaps/>
            <w:color w:val="000000"/>
            <w:sz w:val="24"/>
            <w:szCs w:val="24"/>
          </w:rPr>
          <m:t xml:space="preserve"> </m:t>
        </m:r>
      </m:oMath>
      <w:r w:rsidR="00B834A2" w:rsidRPr="00B834A2">
        <w:rPr>
          <w:rFonts w:ascii="Sylfaen" w:hAnsi="Sylfaen"/>
          <w:color w:val="000000"/>
          <w:sz w:val="24"/>
          <w:szCs w:val="24"/>
        </w:rPr>
        <w:t>(4.2)</w:t>
      </w:r>
    </w:p>
    <w:p w14:paraId="385ACA2F" w14:textId="77777777" w:rsidR="00B834A2" w:rsidRPr="00B834A2" w:rsidRDefault="00B834A2" w:rsidP="00B834A2">
      <w:pPr>
        <w:spacing w:after="160" w:line="360" w:lineRule="auto"/>
        <w:ind w:firstLine="567"/>
        <w:jc w:val="both"/>
      </w:pPr>
      <w:r w:rsidRPr="00B834A2">
        <w:t xml:space="preserve">Ստուգաճշտման ժամանակ </w:t>
      </w:r>
      <w:r w:rsidRPr="00B834A2">
        <w:rPr>
          <w:i/>
        </w:rPr>
        <w:t>х</w:t>
      </w:r>
      <w:r w:rsidRPr="00B834A2">
        <w:t xml:space="preserve"> մեծությունը դիտարկում են որպես արգումենտ, իսկ </w:t>
      </w:r>
      <w:r w:rsidRPr="00B834A2">
        <w:rPr>
          <w:i/>
        </w:rPr>
        <w:t>у</w:t>
      </w:r>
      <w:r w:rsidRPr="00B834A2">
        <w:t xml:space="preserve"> մեծությունը՝ որպես ֆունկցիա: </w:t>
      </w:r>
      <w:r w:rsidRPr="00B834A2">
        <w:rPr>
          <w:i/>
        </w:rPr>
        <w:t>х</w:t>
      </w:r>
      <w:r w:rsidRPr="00B834A2">
        <w:t xml:space="preserve"> </w:t>
      </w:r>
      <w:r>
        <w:t>եւ</w:t>
      </w:r>
      <w:r w:rsidRPr="00B834A2">
        <w:t xml:space="preserve"> </w:t>
      </w:r>
      <w:r w:rsidRPr="00B834A2">
        <w:rPr>
          <w:i/>
        </w:rPr>
        <w:t>у</w:t>
      </w:r>
      <w:r w:rsidRPr="00B834A2">
        <w:t xml:space="preserve"> միջ</w:t>
      </w:r>
      <w:r>
        <w:t>եւ</w:t>
      </w:r>
      <w:r w:rsidRPr="00B834A2">
        <w:t xml:space="preserve"> գծային կախվածության առկայությունը ոչ միշտ է ակնհայտ, դրա առկայությունը նպատակահարմար է հաստատել հաշվարկային եղանակով: Դրա համար, ըստ ստուգաճշտման ժամանակ ստացված փորձարարական տվյալների, կորելյացիոն անալիզի օգտագործմամբ գնահատում են </w:t>
      </w:r>
      <w:r w:rsidRPr="00B834A2">
        <w:rPr>
          <w:i/>
        </w:rPr>
        <w:t>х</w:t>
      </w:r>
      <w:r w:rsidRPr="00B834A2">
        <w:t xml:space="preserve"> </w:t>
      </w:r>
      <w:r>
        <w:t>եւ</w:t>
      </w:r>
      <w:r w:rsidRPr="00B834A2">
        <w:t xml:space="preserve"> </w:t>
      </w:r>
      <w:r w:rsidRPr="00B834A2">
        <w:rPr>
          <w:i/>
        </w:rPr>
        <w:t>у միջ</w:t>
      </w:r>
      <w:r>
        <w:rPr>
          <w:i/>
        </w:rPr>
        <w:t>եւ</w:t>
      </w:r>
      <w:r w:rsidRPr="00B834A2">
        <w:rPr>
          <w:i/>
        </w:rPr>
        <w:t xml:space="preserve"> գծային կապի հավաստիությունը </w:t>
      </w:r>
      <w:r>
        <w:rPr>
          <w:i/>
        </w:rPr>
        <w:t>եւ</w:t>
      </w:r>
      <w:r w:rsidRPr="00B834A2">
        <w:rPr>
          <w:i/>
        </w:rPr>
        <w:t xml:space="preserve"> միայն հետո հաշվարկում (6.1) կախվածության а </w:t>
      </w:r>
      <w:r>
        <w:rPr>
          <w:i/>
        </w:rPr>
        <w:t>եւ</w:t>
      </w:r>
      <w:r w:rsidRPr="00B834A2">
        <w:rPr>
          <w:i/>
        </w:rPr>
        <w:t xml:space="preserve"> b հաստատունների արժեքները </w:t>
      </w:r>
      <w:r>
        <w:rPr>
          <w:i/>
        </w:rPr>
        <w:t>եւ</w:t>
      </w:r>
      <w:r w:rsidRPr="00B834A2">
        <w:rPr>
          <w:i/>
        </w:rPr>
        <w:t xml:space="preserve"> դրանց վստահելի ընդգրկույթները:</w:t>
      </w:r>
      <w:r>
        <w:rPr>
          <w:i/>
        </w:rPr>
        <w:t xml:space="preserve"> </w:t>
      </w:r>
      <w:r w:rsidRPr="00B834A2">
        <w:t xml:space="preserve">Առաջին մոտարկման մեջ </w:t>
      </w:r>
      <w:r w:rsidRPr="00B834A2">
        <w:rPr>
          <w:i/>
        </w:rPr>
        <w:t>х</w:t>
      </w:r>
      <w:r w:rsidRPr="00B834A2">
        <w:t xml:space="preserve"> </w:t>
      </w:r>
      <w:r>
        <w:t>եւ</w:t>
      </w:r>
      <w:r w:rsidRPr="00B834A2">
        <w:t xml:space="preserve"> </w:t>
      </w:r>
      <w:r w:rsidRPr="00B834A2">
        <w:rPr>
          <w:i/>
        </w:rPr>
        <w:t>у փոփոխականների միջ</w:t>
      </w:r>
      <w:r>
        <w:rPr>
          <w:i/>
        </w:rPr>
        <w:t>եւ</w:t>
      </w:r>
      <w:r w:rsidRPr="00B834A2">
        <w:rPr>
          <w:i/>
        </w:rPr>
        <w:t xml:space="preserve"> գծային կապի հավաստիության մասին կարելի է դատել r </w:t>
      </w:r>
      <w:r w:rsidRPr="00B834A2">
        <w:rPr>
          <w:i/>
        </w:rPr>
        <w:lastRenderedPageBreak/>
        <w:t>կորելյացիայի գծային գործակցի (կամ պարզապես կորելյացիայի գործակցի) մեծությամբ, որը հաշվարկում են բանաձ</w:t>
      </w:r>
      <w:r>
        <w:rPr>
          <w:i/>
        </w:rPr>
        <w:t>եւ</w:t>
      </w:r>
      <w:r w:rsidRPr="00B834A2">
        <w:rPr>
          <w:i/>
        </w:rPr>
        <w:t xml:space="preserve">ով՝ ելնելով փորձարարական տվյալներից. </w:t>
      </w:r>
    </w:p>
    <w:p w14:paraId="0E0B4438"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r=</m:t>
        </m:r>
        <m:f>
          <m:fPr>
            <m:ctrlPr>
              <w:rPr>
                <w:rFonts w:ascii="Cambria Math" w:hAnsi="Cambria Math" w:cs="Sylfaen"/>
                <w:i/>
                <w:sz w:val="24"/>
                <w:szCs w:val="24"/>
              </w:rPr>
            </m:ctrlPr>
          </m:fPr>
          <m:num>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i</m:t>
                    </m:r>
                  </m:sub>
                </m:sSub>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i</m:t>
                            </m:r>
                          </m:sub>
                        </m:sSub>
                      </m:e>
                    </m:nary>
                  </m:e>
                </m:nary>
              </m:e>
            </m:nary>
          </m:num>
          <m:den>
            <m:rad>
              <m:radPr>
                <m:degHide m:val="1"/>
                <m:ctrlPr>
                  <w:rPr>
                    <w:rFonts w:ascii="Cambria Math" w:hAnsi="Cambria Math" w:cs="Sylfaen"/>
                    <w:i/>
                    <w:sz w:val="24"/>
                    <w:szCs w:val="24"/>
                  </w:rPr>
                </m:ctrlPr>
              </m:radPr>
              <m:deg/>
              <m:e>
                <m:d>
                  <m:dPr>
                    <m:begChr m:val="["/>
                    <m:endChr m:val="]"/>
                    <m:ctrlPr>
                      <w:rPr>
                        <w:rFonts w:ascii="Cambria Math" w:hAnsi="Cambria Math" w:cs="Sylfaen"/>
                        <w:i/>
                        <w:sz w:val="24"/>
                        <w:szCs w:val="24"/>
                      </w:rPr>
                    </m:ctrlPr>
                  </m:dPr>
                  <m:e>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e>
                        </m:nary>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e>
                </m:d>
              </m:e>
            </m:rad>
            <m:d>
              <m:dPr>
                <m:begChr m:val="["/>
                <m:endChr m:val="]"/>
                <m:ctrlPr>
                  <w:rPr>
                    <w:rFonts w:ascii="Cambria Math" w:hAnsi="Cambria Math" w:cs="Sylfaen"/>
                    <w:i/>
                    <w:sz w:val="24"/>
                    <w:szCs w:val="24"/>
                  </w:rPr>
                </m:ctrlPr>
              </m:dPr>
              <m:e>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i/>
                            <w:sz w:val="24"/>
                            <w:szCs w:val="24"/>
                          </w:rPr>
                        </m:ctrlPr>
                      </m:sSubSupPr>
                      <m:e>
                        <m:r>
                          <w:rPr>
                            <w:rFonts w:ascii="Cambria Math" w:hAnsi="Cambria Math" w:cs="Sylfaen"/>
                            <w:sz w:val="24"/>
                            <w:szCs w:val="24"/>
                          </w:rPr>
                          <m:t>y</m:t>
                        </m:r>
                      </m:e>
                      <m:sub>
                        <m:r>
                          <w:rPr>
                            <w:rFonts w:ascii="Cambria Math" w:hAnsi="Cambria Math" w:cs="Sylfaen"/>
                            <w:sz w:val="24"/>
                            <w:szCs w:val="24"/>
                          </w:rPr>
                          <m:t>i</m:t>
                        </m:r>
                      </m:sub>
                      <m:sup>
                        <m:r>
                          <w:rPr>
                            <w:rFonts w:ascii="Cambria Math" w:hAnsi="Cambria Math" w:cs="Sylfaen"/>
                            <w:sz w:val="24"/>
                            <w:szCs w:val="24"/>
                          </w:rPr>
                          <m:t xml:space="preserve">2 </m:t>
                        </m:r>
                      </m:sup>
                    </m:sSubSup>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i</m:t>
                            </m:r>
                          </m:sub>
                        </m:sSub>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e>
                </m:nary>
              </m:e>
            </m:d>
          </m:den>
        </m:f>
      </m:oMath>
      <w:r w:rsidRPr="00B834A2">
        <w:rPr>
          <w:rFonts w:ascii="Sylfaen" w:hAnsi="Sylfaen"/>
          <w:sz w:val="24"/>
          <w:szCs w:val="24"/>
        </w:rPr>
        <w:t xml:space="preserve"> </w:t>
      </w:r>
      <w:r w:rsidRPr="00B834A2">
        <w:rPr>
          <w:rFonts w:ascii="Sylfaen" w:hAnsi="Sylfaen"/>
          <w:color w:val="000000"/>
          <w:sz w:val="24"/>
          <w:szCs w:val="24"/>
        </w:rPr>
        <w:t>(4.3)</w:t>
      </w:r>
    </w:p>
    <w:p w14:paraId="6144D55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Կորելյացիայի </w:t>
      </w:r>
      <w:r w:rsidRPr="00B834A2">
        <w:rPr>
          <w:rFonts w:ascii="Sylfaen" w:hAnsi="Sylfaen"/>
          <w:i/>
          <w:color w:val="000000"/>
          <w:sz w:val="24"/>
          <w:szCs w:val="24"/>
        </w:rPr>
        <w:t>r</w:t>
      </w:r>
      <w:r>
        <w:rPr>
          <w:rFonts w:ascii="Sylfaen" w:hAnsi="Sylfaen"/>
          <w:color w:val="000000"/>
          <w:sz w:val="24"/>
          <w:szCs w:val="24"/>
        </w:rPr>
        <w:t xml:space="preserve"> </w:t>
      </w:r>
      <w:r w:rsidRPr="00B834A2">
        <w:rPr>
          <w:rFonts w:ascii="Sylfaen" w:hAnsi="Sylfaen"/>
          <w:color w:val="000000"/>
          <w:sz w:val="24"/>
          <w:szCs w:val="24"/>
        </w:rPr>
        <w:t>գծային գործակիցը փոփոխվում է -1-ից մինչ</w:t>
      </w:r>
      <w:r>
        <w:rPr>
          <w:rFonts w:ascii="Sylfaen" w:hAnsi="Sylfaen"/>
          <w:color w:val="000000"/>
          <w:sz w:val="24"/>
          <w:szCs w:val="24"/>
        </w:rPr>
        <w:t>եւ</w:t>
      </w:r>
      <w:r w:rsidRPr="00B834A2">
        <w:rPr>
          <w:rFonts w:ascii="Sylfaen" w:hAnsi="Sylfaen"/>
          <w:color w:val="000000"/>
          <w:sz w:val="24"/>
          <w:szCs w:val="24"/>
        </w:rPr>
        <w:t xml:space="preserve"> +1 սահմաններում: </w:t>
      </w:r>
      <w:r w:rsidRPr="00B834A2">
        <w:rPr>
          <w:rFonts w:ascii="Sylfaen" w:hAnsi="Sylfaen"/>
          <w:i/>
          <w:color w:val="000000"/>
          <w:sz w:val="24"/>
          <w:szCs w:val="24"/>
        </w:rPr>
        <w:t>r</w:t>
      </w:r>
      <w:r w:rsidRPr="00B834A2">
        <w:rPr>
          <w:rFonts w:ascii="Sylfaen" w:hAnsi="Sylfaen"/>
          <w:color w:val="000000"/>
          <w:sz w:val="24"/>
          <w:szCs w:val="24"/>
        </w:rPr>
        <w:t xml:space="preserve"> դրական արժեքները վկայում են աճի մասին, իսկ բացասականները՝ </w:t>
      </w:r>
      <w:r w:rsidRPr="00B834A2">
        <w:rPr>
          <w:rFonts w:ascii="Sylfaen" w:hAnsi="Sylfaen"/>
          <w:i/>
          <w:color w:val="000000"/>
          <w:sz w:val="24"/>
          <w:szCs w:val="24"/>
        </w:rPr>
        <w:t>х</w:t>
      </w:r>
      <w:r w:rsidRPr="00B834A2">
        <w:rPr>
          <w:rFonts w:ascii="Sylfaen" w:hAnsi="Sylfaen"/>
          <w:color w:val="000000"/>
          <w:sz w:val="24"/>
          <w:szCs w:val="24"/>
        </w:rPr>
        <w:t xml:space="preserve"> աճով </w:t>
      </w:r>
      <w:r w:rsidRPr="00B834A2">
        <w:rPr>
          <w:rFonts w:ascii="Sylfaen" w:hAnsi="Sylfaen"/>
          <w:i/>
          <w:color w:val="000000"/>
          <w:sz w:val="24"/>
          <w:szCs w:val="24"/>
        </w:rPr>
        <w:t>y</w:t>
      </w:r>
      <w:r w:rsidRPr="00B834A2">
        <w:rPr>
          <w:rFonts w:ascii="Sylfaen" w:hAnsi="Sylfaen"/>
          <w:color w:val="000000"/>
          <w:sz w:val="24"/>
          <w:szCs w:val="24"/>
        </w:rPr>
        <w:t xml:space="preserve"> -ի նվազման մասին:</w:t>
      </w:r>
    </w:p>
    <w:p w14:paraId="28B9188A" w14:textId="77777777" w:rsidR="00B834A2" w:rsidRPr="00B834A2" w:rsidRDefault="00B834A2" w:rsidP="00B834A2">
      <w:pPr>
        <w:pStyle w:val="a0"/>
        <w:shd w:val="clear" w:color="auto" w:fill="auto"/>
        <w:spacing w:after="160" w:line="360" w:lineRule="auto"/>
        <w:ind w:firstLine="567"/>
        <w:jc w:val="both"/>
        <w:rPr>
          <w:rFonts w:ascii="Sylfaen" w:hAnsi="Sylfaen" w:cs="Sylfaen"/>
          <w:i/>
          <w:iCs/>
          <w:color w:val="000000"/>
          <w:sz w:val="24"/>
          <w:szCs w:val="24"/>
        </w:rPr>
      </w:pPr>
      <w:r w:rsidRPr="00B834A2">
        <w:rPr>
          <w:rFonts w:ascii="Sylfaen" w:hAnsi="Sylfaen"/>
          <w:color w:val="000000"/>
          <w:sz w:val="24"/>
          <w:szCs w:val="24"/>
        </w:rPr>
        <w:t xml:space="preserve">Կորելյացիայի </w:t>
      </w:r>
      <w:r w:rsidRPr="00B834A2">
        <w:rPr>
          <w:rFonts w:ascii="Sylfaen" w:hAnsi="Sylfaen"/>
          <w:i/>
          <w:color w:val="000000"/>
          <w:sz w:val="24"/>
          <w:szCs w:val="24"/>
        </w:rPr>
        <w:t>r</w:t>
      </w:r>
      <w:r w:rsidRPr="00B834A2">
        <w:rPr>
          <w:rFonts w:ascii="Sylfaen" w:hAnsi="Sylfaen"/>
          <w:color w:val="000000"/>
          <w:sz w:val="24"/>
          <w:szCs w:val="24"/>
        </w:rPr>
        <w:t xml:space="preserve"> գծային գործակիցը </w:t>
      </w:r>
      <w:r w:rsidRPr="00B834A2">
        <w:rPr>
          <w:rFonts w:ascii="Sylfaen" w:hAnsi="Sylfaen"/>
          <w:i/>
          <w:color w:val="000000"/>
          <w:sz w:val="24"/>
          <w:szCs w:val="24"/>
        </w:rPr>
        <w:t>R</w:t>
      </w:r>
      <w:r w:rsidRPr="00B834A2">
        <w:rPr>
          <w:rFonts w:ascii="Sylfaen" w:hAnsi="Sylfaen"/>
          <w:i/>
          <w:color w:val="000000"/>
          <w:sz w:val="24"/>
          <w:szCs w:val="24"/>
          <w:vertAlign w:val="subscript"/>
        </w:rPr>
        <w:t>с</w:t>
      </w:r>
      <w:r w:rsidRPr="00B834A2">
        <w:rPr>
          <w:rFonts w:ascii="Sylfaen" w:hAnsi="Sylfaen"/>
          <w:color w:val="000000"/>
          <w:sz w:val="24"/>
          <w:szCs w:val="24"/>
        </w:rPr>
        <w:t xml:space="preserve"> կորելյացիայի ընդհանուր ինդեքսի մասնավոր դեպք է, որը կիրառելի է նույնպես </w:t>
      </w:r>
      <w:r w:rsidRPr="00B834A2">
        <w:rPr>
          <w:rFonts w:ascii="Sylfaen" w:hAnsi="Sylfaen"/>
          <w:i/>
          <w:color w:val="000000"/>
          <w:sz w:val="24"/>
          <w:szCs w:val="24"/>
        </w:rPr>
        <w:t>у</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х մեծությունների միջ</w:t>
      </w:r>
      <w:r>
        <w:rPr>
          <w:rFonts w:ascii="Sylfaen" w:hAnsi="Sylfaen"/>
          <w:i/>
          <w:color w:val="000000"/>
          <w:sz w:val="24"/>
          <w:szCs w:val="24"/>
        </w:rPr>
        <w:t>եւ</w:t>
      </w:r>
      <w:r w:rsidRPr="00B834A2">
        <w:rPr>
          <w:rFonts w:ascii="Sylfaen" w:hAnsi="Sylfaen"/>
          <w:i/>
          <w:color w:val="000000"/>
          <w:sz w:val="24"/>
          <w:szCs w:val="24"/>
        </w:rPr>
        <w:t xml:space="preserve"> ոչ գծային կախվածությունների համար.</w:t>
      </w:r>
    </w:p>
    <w:p w14:paraId="5FEF26DF"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R</m:t>
              </m:r>
            </m:e>
            <m:sub>
              <m:r>
                <w:rPr>
                  <w:rFonts w:ascii="Cambria Math" w:hAnsi="Cambria Math" w:cs="Sylfaen"/>
                  <w:sz w:val="24"/>
                  <w:szCs w:val="24"/>
                </w:rPr>
                <m:t>c</m:t>
              </m:r>
            </m:sub>
          </m:sSub>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1-</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2</m:t>
                      </m:r>
                    </m:sup>
                  </m:sSubSup>
                </m:num>
                <m:den>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m:t>
                      </m:r>
                    </m:sub>
                    <m:sup>
                      <m:r>
                        <w:rPr>
                          <w:rFonts w:ascii="Cambria Math" w:hAnsi="Cambria Math" w:cs="Sylfaen"/>
                          <w:sz w:val="24"/>
                          <w:szCs w:val="24"/>
                        </w:rPr>
                        <m:t>2</m:t>
                      </m:r>
                    </m:sup>
                  </m:sSubSup>
                </m:den>
              </m:f>
            </m:e>
          </m:rad>
          <m:r>
            <w:rPr>
              <w:rFonts w:ascii="Cambria Math" w:hAnsi="Cambria Math" w:cs="Sylfaen"/>
              <w:sz w:val="24"/>
              <w:szCs w:val="24"/>
            </w:rPr>
            <m:t>,</m:t>
          </m:r>
        </m:oMath>
      </m:oMathPara>
    </w:p>
    <w:p w14:paraId="74B31073" w14:textId="77777777" w:rsidR="00B834A2" w:rsidRPr="00B834A2" w:rsidRDefault="00B834A2" w:rsidP="00B834A2">
      <w:pPr>
        <w:pStyle w:val="a0"/>
        <w:shd w:val="clear" w:color="auto" w:fill="auto"/>
        <w:spacing w:after="160" w:line="360" w:lineRule="auto"/>
        <w:ind w:firstLine="567"/>
        <w:jc w:val="both"/>
        <w:rPr>
          <w:rFonts w:ascii="Sylfaen" w:hAnsi="Sylfaen"/>
          <w:color w:val="000000"/>
          <w:sz w:val="24"/>
          <w:szCs w:val="24"/>
        </w:rPr>
      </w:pPr>
      <w:r w:rsidRPr="00B834A2">
        <w:rPr>
          <w:rFonts w:ascii="Sylfaen" w:hAnsi="Sylfaen"/>
          <w:color w:val="000000"/>
          <w:sz w:val="24"/>
          <w:szCs w:val="24"/>
        </w:rPr>
        <w:t xml:space="preserve">որտեղ՝ </w:t>
      </w:r>
    </w:p>
    <w:p w14:paraId="148B0B0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s</w:t>
      </w:r>
      <w:r w:rsidRPr="00B834A2">
        <w:rPr>
          <w:rFonts w:ascii="Sylfaen" w:hAnsi="Sylfaen"/>
          <w:i/>
          <w:color w:val="000000"/>
          <w:sz w:val="24"/>
          <w:szCs w:val="24"/>
          <w:vertAlign w:val="subscript"/>
        </w:rPr>
        <w:t>0-ն</w:t>
      </w:r>
      <w:r>
        <w:rPr>
          <w:rFonts w:ascii="Sylfaen" w:hAnsi="Sylfaen"/>
          <w:i/>
          <w:color w:val="000000"/>
          <w:sz w:val="24"/>
          <w:szCs w:val="24"/>
        </w:rPr>
        <w:t xml:space="preserve"> </w:t>
      </w:r>
      <w:r w:rsidRPr="00B834A2">
        <w:rPr>
          <w:rFonts w:ascii="Sylfaen" w:hAnsi="Sylfaen"/>
          <w:color w:val="000000"/>
          <w:sz w:val="24"/>
          <w:szCs w:val="24"/>
        </w:rPr>
        <w:t>մնացորդային ստանդարտ շեղումն է (գծային կախվածության ստանդարտ շեղում) (4.7 հավասարում).</w:t>
      </w:r>
    </w:p>
    <w:p w14:paraId="35320FB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s</w:t>
      </w:r>
      <w:r w:rsidRPr="00B834A2">
        <w:rPr>
          <w:rFonts w:ascii="Sylfaen" w:hAnsi="Sylfaen"/>
          <w:i/>
          <w:color w:val="000000"/>
          <w:sz w:val="24"/>
          <w:szCs w:val="24"/>
          <w:vertAlign w:val="subscript"/>
        </w:rPr>
        <w:t>y-ը</w:t>
      </w:r>
      <w:r w:rsidRPr="00B834A2">
        <w:rPr>
          <w:rFonts w:ascii="Sylfaen" w:hAnsi="Sylfaen"/>
          <w:sz w:val="24"/>
          <w:szCs w:val="24"/>
        </w:rPr>
        <w:t>`</w:t>
      </w:r>
      <w:r>
        <w:rPr>
          <w:rFonts w:ascii="Sylfaen" w:hAnsi="Sylfaen"/>
          <w:sz w:val="24"/>
          <w:szCs w:val="24"/>
        </w:rPr>
        <w:t xml:space="preserve"> </w:t>
      </w:r>
      <w:r w:rsidRPr="00B834A2">
        <w:rPr>
          <w:rFonts w:ascii="Sylfaen" w:hAnsi="Sylfaen"/>
          <w:color w:val="000000"/>
          <w:sz w:val="24"/>
          <w:szCs w:val="24"/>
        </w:rPr>
        <w:t>¯</w:t>
      </w:r>
      <w:r w:rsidRPr="00B834A2">
        <w:rPr>
          <w:rFonts w:ascii="Sylfaen" w:hAnsi="Sylfaen"/>
          <w:i/>
          <w:color w:val="000000"/>
          <w:sz w:val="24"/>
          <w:szCs w:val="24"/>
        </w:rPr>
        <w:t>у</w:t>
      </w:r>
      <w:r w:rsidRPr="00B834A2">
        <w:rPr>
          <w:rFonts w:ascii="Sylfaen" w:hAnsi="Sylfaen"/>
          <w:color w:val="000000"/>
          <w:sz w:val="24"/>
          <w:szCs w:val="24"/>
        </w:rPr>
        <w:t xml:space="preserve"> միջին արժեքի նկատմամբ մեծությունների ստանդարտ շեղումը (4.15). հաշվարկում են հավասարման օգտագործմամբ</w:t>
      </w:r>
      <w:r>
        <w:rPr>
          <w:rFonts w:ascii="Sylfaen" w:hAnsi="Sylfaen"/>
          <w:color w:val="000000"/>
          <w:sz w:val="24"/>
          <w:szCs w:val="24"/>
        </w:rPr>
        <w:t xml:space="preserve"> </w:t>
      </w:r>
      <w:r w:rsidRPr="00B834A2">
        <w:rPr>
          <w:rFonts w:ascii="Sylfaen" w:hAnsi="Sylfaen"/>
          <w:color w:val="000000"/>
          <w:sz w:val="24"/>
          <w:szCs w:val="24"/>
        </w:rPr>
        <w:t>(1.5):</w:t>
      </w:r>
    </w:p>
    <w:p w14:paraId="5C90A31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(4.3ա) հավասարումը պարզության </w:t>
      </w:r>
      <w:r>
        <w:rPr>
          <w:rFonts w:ascii="Sylfaen" w:hAnsi="Sylfaen"/>
          <w:color w:val="000000"/>
          <w:sz w:val="24"/>
          <w:szCs w:val="24"/>
        </w:rPr>
        <w:t>եւ</w:t>
      </w:r>
      <w:r w:rsidRPr="00B834A2">
        <w:rPr>
          <w:rFonts w:ascii="Sylfaen" w:hAnsi="Sylfaen"/>
          <w:color w:val="000000"/>
          <w:sz w:val="24"/>
          <w:szCs w:val="24"/>
        </w:rPr>
        <w:t xml:space="preserve"> պատկերավորության շնորհիվ հաճախ օգտագործում են (4.3) հավասարման փոխարեն այն դեպքում, երբ կորելյացիայի գործակցի նշանը չունի արժեք: </w:t>
      </w:r>
    </w:p>
    <w:p w14:paraId="33CE50A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Որքան մոտ է </w:t>
      </w:r>
      <m:oMath>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r</m:t>
            </m:r>
          </m:e>
        </m:d>
        <m:r>
          <w:rPr>
            <w:rFonts w:ascii="Cambria Math" w:hAnsi="Cambria Math" w:cs="Sylfaen"/>
            <w:color w:val="000000"/>
            <w:sz w:val="24"/>
            <w:szCs w:val="24"/>
          </w:rPr>
          <m:t xml:space="preserve"> </m:t>
        </m:r>
      </m:oMath>
      <w:r w:rsidRPr="00B834A2">
        <w:rPr>
          <w:rFonts w:ascii="Sylfaen" w:hAnsi="Sylfaen"/>
          <w:color w:val="000000"/>
          <w:sz w:val="24"/>
          <w:szCs w:val="24"/>
        </w:rPr>
        <w:t xml:space="preserve">բացարձակ մեծությունը միավորին, այնքան պատահական է դիտվող գծային կախվածությունը </w:t>
      </w:r>
      <w:r w:rsidRPr="00B834A2">
        <w:rPr>
          <w:rFonts w:ascii="Sylfaen" w:hAnsi="Sylfaen"/>
          <w:i/>
          <w:color w:val="000000"/>
          <w:sz w:val="24"/>
          <w:szCs w:val="24"/>
        </w:rPr>
        <w:t>х</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у</w:t>
      </w:r>
      <w:r w:rsidRPr="00B834A2">
        <w:rPr>
          <w:rFonts w:ascii="Sylfaen" w:hAnsi="Sylfaen"/>
          <w:color w:val="000000"/>
          <w:sz w:val="24"/>
          <w:szCs w:val="24"/>
        </w:rPr>
        <w:t xml:space="preserve"> փոփոխականների միջ</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r</w:t>
      </w:r>
      <w:r w:rsidRPr="00B834A2">
        <w:rPr>
          <w:rFonts w:ascii="Sylfaen" w:hAnsi="Sylfaen"/>
          <w:color w:val="000000"/>
          <w:sz w:val="24"/>
          <w:szCs w:val="24"/>
        </w:rPr>
        <w:t xml:space="preserve"> կորելյացիայի գործակիցն օգտագործում են սովորաբար մեծությունների միջ</w:t>
      </w:r>
      <w:r>
        <w:rPr>
          <w:rFonts w:ascii="Sylfaen" w:hAnsi="Sylfaen"/>
          <w:color w:val="000000"/>
          <w:sz w:val="24"/>
          <w:szCs w:val="24"/>
        </w:rPr>
        <w:t>եւ</w:t>
      </w:r>
      <w:r w:rsidRPr="00B834A2">
        <w:rPr>
          <w:rFonts w:ascii="Sylfaen" w:hAnsi="Sylfaen"/>
          <w:color w:val="000000"/>
          <w:sz w:val="24"/>
          <w:szCs w:val="24"/>
        </w:rPr>
        <w:t xml:space="preserve"> ստոխաստիկ փոխադարձ կապի բացահայտման համար, որոնց միջ</w:t>
      </w:r>
      <w:r>
        <w:rPr>
          <w:rFonts w:ascii="Sylfaen" w:hAnsi="Sylfaen"/>
          <w:color w:val="000000"/>
          <w:sz w:val="24"/>
          <w:szCs w:val="24"/>
        </w:rPr>
        <w:t>եւ</w:t>
      </w:r>
      <w:r w:rsidRPr="00B834A2">
        <w:rPr>
          <w:rFonts w:ascii="Sylfaen" w:hAnsi="Sylfaen"/>
          <w:color w:val="000000"/>
          <w:sz w:val="24"/>
          <w:szCs w:val="24"/>
        </w:rPr>
        <w:t xml:space="preserve"> ֆունկցիոնալ կախվածությունը կարող է </w:t>
      </w:r>
      <w:r>
        <w:rPr>
          <w:rFonts w:ascii="Sylfaen" w:hAnsi="Sylfaen"/>
          <w:color w:val="000000"/>
          <w:sz w:val="24"/>
          <w:szCs w:val="24"/>
        </w:rPr>
        <w:t>եւ</w:t>
      </w:r>
      <w:r w:rsidRPr="00B834A2">
        <w:rPr>
          <w:rFonts w:ascii="Sylfaen" w:hAnsi="Sylfaen"/>
          <w:color w:val="000000"/>
          <w:sz w:val="24"/>
          <w:szCs w:val="24"/>
        </w:rPr>
        <w:t xml:space="preserve"> բացակայել: Կորելյացիայի գործակիցը նշանակալի է, եթե դրա մեծությունը </w:t>
      </w:r>
      <w:r w:rsidRPr="00B834A2">
        <w:rPr>
          <w:rFonts w:ascii="Sylfaen" w:eastAsiaTheme="minorHAnsi" w:hAnsi="Sylfaen" w:cs="TimesNewRomanCyr-NormalItalic"/>
          <w:i/>
          <w:iCs/>
          <w:sz w:val="24"/>
          <w:szCs w:val="24"/>
          <w:lang w:bidi="ar-SA"/>
        </w:rPr>
        <w:t>P</w:t>
      </w:r>
      <w:r w:rsidRPr="00B834A2">
        <w:rPr>
          <w:rFonts w:ascii="Sylfaen" w:hAnsi="Sylfaen"/>
          <w:color w:val="000000"/>
          <w:sz w:val="24"/>
          <w:szCs w:val="24"/>
        </w:rPr>
        <w:t xml:space="preserve"> տվյալ հավանականության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 xml:space="preserve">f </w:t>
      </w:r>
      <w:r w:rsidRPr="00B834A2">
        <w:rPr>
          <w:rFonts w:ascii="Sylfaen" w:hAnsi="Sylfaen"/>
          <w:color w:val="000000"/>
          <w:sz w:val="24"/>
          <w:szCs w:val="24"/>
        </w:rPr>
        <w:t xml:space="preserve">ազատության </w:t>
      </w:r>
      <w:r w:rsidRPr="00B834A2">
        <w:rPr>
          <w:rFonts w:ascii="Sylfaen" w:hAnsi="Sylfaen"/>
          <w:color w:val="000000"/>
          <w:sz w:val="24"/>
          <w:szCs w:val="24"/>
        </w:rPr>
        <w:lastRenderedPageBreak/>
        <w:t>աստիճանների թվի համար գերազանցում է Հավելվածի 4-րդ աղյուսակում բերված արժեքները: Հակառակ դեպքում չի կարելի խոսել նշանակալի (4.1) - (4.2) կախվածությունների գոյության մասին:</w:t>
      </w:r>
    </w:p>
    <w:p w14:paraId="0CF8C43A" w14:textId="77777777" w:rsidR="00B834A2" w:rsidRPr="00B834A2" w:rsidRDefault="00B834A2" w:rsidP="00B834A2">
      <w:pPr>
        <w:pStyle w:val="a0"/>
        <w:shd w:val="clear" w:color="auto" w:fill="auto"/>
        <w:tabs>
          <w:tab w:val="left" w:pos="2977"/>
        </w:tabs>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Կորելյացիայի գործակցի նշանակալիությունը պարտադիր է, սակայն անալիտիկ նպատակներով (4.1)-(4.2) հավասարումների օգտագործման ոչ </w:t>
      </w:r>
      <w:r w:rsidRPr="0078572C">
        <w:rPr>
          <w:rFonts w:ascii="Sylfaen" w:hAnsi="Sylfaen"/>
          <w:color w:val="000000"/>
          <w:spacing w:val="-4"/>
          <w:sz w:val="24"/>
          <w:szCs w:val="24"/>
        </w:rPr>
        <w:t>բավարար պայման է: Դեղամիջոցների ֆիզիկական, ֆիզիկաքիմիական կամ քիմիական մեթոդների արդյունքների վիճակագրական մշակման դեպքում կարող են օգտագործվել</w:t>
      </w:r>
      <w:r w:rsidRPr="00B834A2">
        <w:rPr>
          <w:rFonts w:ascii="Sylfaen" w:hAnsi="Sylfaen"/>
          <w:color w:val="000000"/>
          <w:sz w:val="24"/>
          <w:szCs w:val="24"/>
        </w:rPr>
        <w:t xml:space="preserve"> </w:t>
      </w:r>
      <m:oMath>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r</m:t>
            </m:r>
          </m:e>
        </m:d>
      </m:oMath>
      <w:r w:rsidRPr="00B834A2">
        <w:rPr>
          <w:rFonts w:ascii="Sylfaen" w:hAnsi="Sylfaen"/>
          <w:color w:val="000000"/>
          <w:sz w:val="24"/>
          <w:szCs w:val="24"/>
        </w:rPr>
        <w:t xml:space="preserve"> </w:t>
      </w:r>
      <m:oMath>
        <m:r>
          <m:rPr>
            <m:sty m:val="bi"/>
          </m:rPr>
          <w:rPr>
            <w:rFonts w:ascii="Cambria Math" w:hAnsi="Cambria Math" w:cs="Sylfaen"/>
            <w:color w:val="000000"/>
            <w:sz w:val="24"/>
            <w:szCs w:val="24"/>
          </w:rPr>
          <m:t>≥</m:t>
        </m:r>
      </m:oMath>
      <w:r w:rsidRPr="00B834A2">
        <w:rPr>
          <w:rFonts w:ascii="Sylfaen" w:hAnsi="Sylfaen"/>
          <w:b/>
          <w:color w:val="000000"/>
          <w:sz w:val="24"/>
          <w:szCs w:val="24"/>
        </w:rPr>
        <w:t xml:space="preserve"> </w:t>
      </w:r>
      <w:r w:rsidRPr="00B834A2">
        <w:rPr>
          <w:rFonts w:ascii="Sylfaen" w:hAnsi="Sylfaen"/>
          <w:color w:val="000000"/>
          <w:sz w:val="24"/>
          <w:szCs w:val="24"/>
        </w:rPr>
        <w:t xml:space="preserve">0,98 կորելյացիայի գործակցից գծային կախվածություններ (Հավելվածի աղյուսակ 4-ի պահանջներին համապատասխանելու դեպքում), իսկ որոշվող նյութերի հետքային քանակությունների անալիզի դեպքում դիտարկվում է </w:t>
      </w:r>
      <m:oMath>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r</m:t>
            </m:r>
          </m:e>
        </m:d>
      </m:oMath>
      <w:r w:rsidRPr="00B834A2">
        <w:rPr>
          <w:rFonts w:ascii="Sylfaen" w:hAnsi="Sylfaen"/>
          <w:color w:val="000000"/>
          <w:sz w:val="24"/>
          <w:szCs w:val="24"/>
        </w:rPr>
        <w:t xml:space="preserve"> </w:t>
      </w:r>
      <m:oMath>
        <m:r>
          <m:rPr>
            <m:sty m:val="bi"/>
          </m:rPr>
          <w:rPr>
            <w:rFonts w:ascii="Cambria Math" w:hAnsi="Cambria Math" w:cs="Sylfaen"/>
            <w:color w:val="000000"/>
            <w:sz w:val="24"/>
            <w:szCs w:val="24"/>
          </w:rPr>
          <m:t>≥</m:t>
        </m:r>
      </m:oMath>
      <w:r w:rsidRPr="00B834A2">
        <w:rPr>
          <w:rFonts w:ascii="Sylfaen" w:hAnsi="Sylfaen"/>
          <w:color w:val="000000"/>
          <w:sz w:val="24"/>
          <w:szCs w:val="24"/>
        </w:rPr>
        <w:t xml:space="preserve"> 0,90 կորելյացիայի գործակցի հետ գծային կախվածությունը: Միավորին </w:t>
      </w:r>
      <m:oMath>
        <m:d>
          <m:dPr>
            <m:begChr m:val="|"/>
            <m:endChr m:val="|"/>
            <m:ctrlPr>
              <w:rPr>
                <w:rFonts w:ascii="Cambria Math" w:hAnsi="Cambria Math" w:cs="Sylfaen"/>
                <w:i/>
                <w:color w:val="000000"/>
                <w:sz w:val="24"/>
                <w:szCs w:val="24"/>
              </w:rPr>
            </m:ctrlPr>
          </m:dPr>
          <m:e>
            <m:r>
              <w:rPr>
                <w:rFonts w:ascii="Cambria Math" w:hAnsi="Cambria Math" w:cs="Sylfaen"/>
                <w:color w:val="000000"/>
                <w:sz w:val="24"/>
                <w:szCs w:val="24"/>
              </w:rPr>
              <m:t>r</m:t>
            </m:r>
          </m:e>
        </m:d>
      </m:oMath>
      <w:r w:rsidRPr="00B834A2">
        <w:rPr>
          <w:rFonts w:ascii="Sylfaen" w:hAnsi="Sylfaen"/>
          <w:color w:val="000000"/>
          <w:sz w:val="24"/>
          <w:szCs w:val="24"/>
        </w:rPr>
        <w:t xml:space="preserve"> մեծության այսքան մոտ արժեքների դեպքում </w:t>
      </w:r>
      <w:r w:rsidRPr="00B834A2">
        <w:rPr>
          <w:rFonts w:ascii="Sylfaen" w:hAnsi="Sylfaen"/>
          <w:i/>
          <w:color w:val="000000"/>
          <w:sz w:val="24"/>
          <w:szCs w:val="24"/>
        </w:rPr>
        <w:t>х</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i/>
          <w:color w:val="000000"/>
          <w:sz w:val="24"/>
          <w:szCs w:val="24"/>
        </w:rPr>
        <w:t xml:space="preserve"> у փոփոխականների միջ</w:t>
      </w:r>
      <w:r>
        <w:rPr>
          <w:rFonts w:ascii="Sylfaen" w:hAnsi="Sylfaen"/>
          <w:i/>
          <w:color w:val="000000"/>
          <w:sz w:val="24"/>
          <w:szCs w:val="24"/>
        </w:rPr>
        <w:t>եւ</w:t>
      </w:r>
      <w:r w:rsidRPr="00B834A2">
        <w:rPr>
          <w:rFonts w:ascii="Sylfaen" w:hAnsi="Sylfaen"/>
          <w:i/>
          <w:color w:val="000000"/>
          <w:sz w:val="24"/>
          <w:szCs w:val="24"/>
        </w:rPr>
        <w:t xml:space="preserve"> գծային կախվածության առկայության ֆորմալ հաստատում անցկացնել պետք չէ:</w:t>
      </w:r>
      <w:r w:rsidRPr="00B834A2">
        <w:rPr>
          <w:rFonts w:ascii="Sylfaen" w:hAnsi="Sylfaen"/>
          <w:color w:val="000000"/>
          <w:sz w:val="24"/>
          <w:szCs w:val="24"/>
        </w:rPr>
        <w:t xml:space="preserve"> Միաժամանակ անհրաժեշտ է հաշվի առնել, որ դեղամիջոցների անալիզի տարբեր մեթոդների համար մեթոդի գծայնության մասով պահանջները կարող են տարբեր լինել:</w:t>
      </w:r>
    </w:p>
    <w:p w14:paraId="3E8CA95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color w:val="000000"/>
          <w:sz w:val="24"/>
          <w:szCs w:val="24"/>
        </w:rPr>
        <w:t>а</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 xml:space="preserve">b գործակիցները </w:t>
      </w:r>
      <w:r>
        <w:rPr>
          <w:rFonts w:ascii="Sylfaen" w:hAnsi="Sylfaen"/>
          <w:i/>
          <w:color w:val="000000"/>
          <w:sz w:val="24"/>
          <w:szCs w:val="24"/>
        </w:rPr>
        <w:t>եւ</w:t>
      </w:r>
      <w:r w:rsidRPr="00B834A2">
        <w:rPr>
          <w:rFonts w:ascii="Sylfaen" w:hAnsi="Sylfaen"/>
          <w:i/>
          <w:color w:val="000000"/>
          <w:sz w:val="24"/>
          <w:szCs w:val="24"/>
        </w:rPr>
        <w:t xml:space="preserve"> գծային կախվածության (4.1) այլ բնութագրեր հաշվարկում են ռեգրեսիվ անալիզի օգտագործմամբ, այսինքն՝ х արգումենտի տրված արժեքների համար у փոփոխականի՝ փորձարարական եղանակով չափված արժեքների մասով նվազագույն քառակուսիների մեթոդով: </w:t>
      </w:r>
      <w:r w:rsidRPr="00B834A2">
        <w:rPr>
          <w:rFonts w:ascii="Sylfaen" w:hAnsi="Sylfaen"/>
          <w:color w:val="000000"/>
          <w:sz w:val="24"/>
          <w:szCs w:val="24"/>
        </w:rPr>
        <w:t xml:space="preserve">Ենթադրենք, որ փորձարկման արդյունքում գտնվել են 4-4 Աղյուսակում ներկայացված </w:t>
      </w:r>
      <w:r w:rsidRPr="00B834A2">
        <w:rPr>
          <w:rFonts w:ascii="Sylfaen" w:hAnsi="Sylfaen"/>
          <w:i/>
          <w:color w:val="000000"/>
          <w:sz w:val="24"/>
          <w:szCs w:val="24"/>
        </w:rPr>
        <w:t xml:space="preserve">х </w:t>
      </w:r>
      <w:r w:rsidRPr="00B834A2">
        <w:rPr>
          <w:rFonts w:ascii="Sylfaen" w:hAnsi="Sylfaen"/>
          <w:color w:val="000000"/>
          <w:sz w:val="24"/>
          <w:szCs w:val="24"/>
        </w:rPr>
        <w:t xml:space="preserve">արգումենտի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y ֆունկցիայի արժեքների զույգերը:</w:t>
      </w:r>
      <w:r>
        <w:rPr>
          <w:rFonts w:ascii="Sylfaen" w:hAnsi="Sylfaen"/>
          <w:i/>
          <w:color w:val="000000"/>
          <w:sz w:val="24"/>
          <w:szCs w:val="24"/>
        </w:rPr>
        <w:t xml:space="preserve"> </w:t>
      </w:r>
    </w:p>
    <w:p w14:paraId="3548E79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Այդ ժամանակ, եթե </w:t>
      </w:r>
      <w:r w:rsidRPr="00B834A2">
        <w:rPr>
          <w:rFonts w:ascii="Sylfaen" w:hAnsi="Sylfaen"/>
          <w:i/>
          <w:color w:val="000000"/>
          <w:sz w:val="24"/>
          <w:szCs w:val="24"/>
        </w:rPr>
        <w:t>у</w:t>
      </w:r>
      <w:r w:rsidRPr="00B834A2">
        <w:rPr>
          <w:rFonts w:ascii="Sylfaen" w:hAnsi="Sylfaen"/>
          <w:i/>
          <w:color w:val="000000"/>
          <w:sz w:val="24"/>
          <w:szCs w:val="24"/>
          <w:vertAlign w:val="subscript"/>
        </w:rPr>
        <w:t>1</w:t>
      </w:r>
      <w:r w:rsidRPr="00B834A2">
        <w:rPr>
          <w:rFonts w:ascii="Sylfaen" w:hAnsi="Sylfaen"/>
          <w:color w:val="000000"/>
          <w:sz w:val="24"/>
          <w:szCs w:val="24"/>
        </w:rPr>
        <w:t xml:space="preserve"> մեծություններն ունեն նույն անորոշությունը (նման ենթադրությունը սովորաբար կատարվում է </w:t>
      </w:r>
      <w:r w:rsidRPr="00B834A2">
        <w:rPr>
          <w:rFonts w:ascii="Sylfaen" w:hAnsi="Sylfaen"/>
          <w:i/>
          <w:color w:val="000000"/>
          <w:sz w:val="24"/>
          <w:szCs w:val="24"/>
        </w:rPr>
        <w:t>y</w:t>
      </w:r>
      <w:r w:rsidRPr="00B834A2">
        <w:rPr>
          <w:rFonts w:ascii="Sylfaen" w:hAnsi="Sylfaen"/>
          <w:i/>
          <w:color w:val="000000"/>
          <w:sz w:val="24"/>
          <w:szCs w:val="24"/>
          <w:vertAlign w:val="subscript"/>
        </w:rPr>
        <w:t>1</w:t>
      </w:r>
      <w:r w:rsidRPr="00B834A2">
        <w:rPr>
          <w:rFonts w:ascii="Sylfaen" w:hAnsi="Sylfaen"/>
          <w:color w:val="000000"/>
          <w:sz w:val="24"/>
          <w:szCs w:val="24"/>
        </w:rPr>
        <w:t xml:space="preserve"> մեծությունների փոփոխման բավականին նեղ ընդգրկույթի համար), ապա</w:t>
      </w:r>
    </w:p>
    <w:p w14:paraId="48E8564E"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b=</m:t>
        </m:r>
        <m:f>
          <m:fPr>
            <m:ctrlPr>
              <w:rPr>
                <w:rFonts w:ascii="Cambria Math" w:hAnsi="Cambria Math" w:cs="Sylfaen"/>
                <w:i/>
                <w:sz w:val="24"/>
                <w:szCs w:val="24"/>
              </w:rPr>
            </m:ctrlPr>
          </m:fPr>
          <m:num>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i</m:t>
                    </m:r>
                  </m:sub>
                </m:sSub>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i</m:t>
                            </m:r>
                          </m:sub>
                        </m:sSub>
                      </m:e>
                    </m:nary>
                  </m:e>
                </m:nary>
              </m:e>
            </m:nary>
          </m:num>
          <m:den>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e>
            </m:nary>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 xml:space="preserve"> </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den>
        </m:f>
        <m:r>
          <w:rPr>
            <w:rFonts w:ascii="Cambria Math" w:hAnsi="Cambria Math" w:cs="Sylfaen"/>
            <w:sz w:val="24"/>
            <w:szCs w:val="24"/>
          </w:rPr>
          <m:t>,</m:t>
        </m:r>
      </m:oMath>
      <w:r w:rsidRPr="00B834A2">
        <w:rPr>
          <w:rFonts w:ascii="Sylfaen" w:hAnsi="Sylfaen"/>
          <w:sz w:val="24"/>
          <w:szCs w:val="24"/>
        </w:rPr>
        <w:t xml:space="preserve"> </w:t>
      </w:r>
      <w:r w:rsidRPr="00B834A2">
        <w:rPr>
          <w:rFonts w:ascii="Sylfaen" w:hAnsi="Sylfaen"/>
          <w:color w:val="000000"/>
          <w:sz w:val="24"/>
          <w:szCs w:val="24"/>
        </w:rPr>
        <w:t>(4.4)</w:t>
      </w:r>
    </w:p>
    <w:p w14:paraId="1443C3C2"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m:t>a=</m:t>
        </m:r>
        <m:f>
          <m:fPr>
            <m:ctrlPr>
              <w:rPr>
                <w:rFonts w:ascii="Cambria Math" w:hAnsi="Cambria Math" w:cs="Sylfaen"/>
                <w:i/>
                <w:color w:val="000000"/>
                <w:sz w:val="24"/>
                <w:szCs w:val="24"/>
              </w:rPr>
            </m:ctrlPr>
          </m:fPr>
          <m:num>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r>
                  <w:rPr>
                    <w:rFonts w:ascii="Cambria Math" w:hAnsi="Cambria Math" w:cs="Sylfaen"/>
                    <w:color w:val="000000"/>
                    <w:sz w:val="24"/>
                    <w:szCs w:val="24"/>
                  </w:rPr>
                  <m:t>-b</m:t>
                </m:r>
                <m:nary>
                  <m:naryPr>
                    <m:chr m:val="∑"/>
                    <m:limLoc m:val="undOvr"/>
                    <m:ctrlPr>
                      <w:rPr>
                        <w:rFonts w:ascii="Cambria Math" w:hAnsi="Cambria Math" w:cs="Sylfaen"/>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sSub>
                      <m:sSubPr>
                        <m:ctrlPr>
                          <w:rPr>
                            <w:rFonts w:ascii="Cambria Math" w:hAnsi="Cambria Math" w:cs="Sylfaen"/>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e>
                </m:nary>
              </m:e>
            </m:nary>
          </m:num>
          <m:den>
            <m:r>
              <w:rPr>
                <w:rFonts w:ascii="Cambria Math" w:hAnsi="Cambria Math" w:cs="Sylfaen"/>
                <w:color w:val="000000"/>
                <w:sz w:val="24"/>
                <w:szCs w:val="24"/>
              </w:rPr>
              <m:t>m</m:t>
            </m:r>
          </m:den>
        </m:f>
      </m:oMath>
      <w:r w:rsidRPr="00B834A2">
        <w:rPr>
          <w:rFonts w:ascii="Sylfaen" w:hAnsi="Sylfaen"/>
          <w:color w:val="000000"/>
          <w:sz w:val="24"/>
          <w:szCs w:val="24"/>
        </w:rPr>
        <w:t>,</w:t>
      </w:r>
      <w:r w:rsidRPr="00B834A2">
        <w:rPr>
          <w:rFonts w:ascii="Sylfaen" w:hAnsi="Sylfaen"/>
          <w:sz w:val="24"/>
          <w:szCs w:val="24"/>
        </w:rPr>
        <w:t xml:space="preserve"> </w:t>
      </w:r>
      <w:r w:rsidRPr="00B834A2">
        <w:rPr>
          <w:rFonts w:ascii="Sylfaen" w:hAnsi="Sylfaen"/>
          <w:color w:val="000000"/>
          <w:sz w:val="24"/>
          <w:szCs w:val="24"/>
        </w:rPr>
        <w:t>(4.5)</w:t>
      </w:r>
    </w:p>
    <w:p w14:paraId="06B99FA7"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color w:val="000000"/>
            <w:sz w:val="24"/>
            <w:szCs w:val="24"/>
          </w:rPr>
          <w:lastRenderedPageBreak/>
          <m:t>f=m-2.</m:t>
        </m:r>
      </m:oMath>
      <w:r w:rsidRPr="00B834A2">
        <w:rPr>
          <w:rFonts w:ascii="Sylfaen" w:hAnsi="Sylfaen"/>
          <w:color w:val="000000"/>
          <w:sz w:val="24"/>
          <w:szCs w:val="24"/>
        </w:rPr>
        <w:t>(4.6)։</w:t>
      </w:r>
    </w:p>
    <w:p w14:paraId="1A2E89A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color w:val="000000"/>
          <w:sz w:val="24"/>
          <w:szCs w:val="24"/>
        </w:rPr>
        <w:t xml:space="preserve">Եթե </w:t>
      </w:r>
      <w:r w:rsidRPr="00B834A2">
        <w:rPr>
          <w:rFonts w:ascii="Sylfaen" w:hAnsi="Sylfaen"/>
          <w:i/>
          <w:color w:val="000000"/>
          <w:sz w:val="24"/>
          <w:szCs w:val="24"/>
        </w:rPr>
        <w:t>а</w:t>
      </w:r>
      <w:r w:rsidRPr="00B834A2">
        <w:rPr>
          <w:rFonts w:ascii="Sylfaen" w:hAnsi="Sylfaen"/>
          <w:color w:val="000000"/>
          <w:sz w:val="24"/>
          <w:szCs w:val="24"/>
        </w:rPr>
        <w:t xml:space="preserve"> </w:t>
      </w:r>
      <w:r>
        <w:rPr>
          <w:rFonts w:ascii="Sylfaen" w:hAnsi="Sylfaen"/>
          <w:color w:val="000000"/>
          <w:sz w:val="24"/>
          <w:szCs w:val="24"/>
        </w:rPr>
        <w:t>եւ</w:t>
      </w:r>
      <w:r w:rsidRPr="00B834A2">
        <w:rPr>
          <w:rFonts w:ascii="Sylfaen" w:hAnsi="Sylfaen"/>
          <w:color w:val="000000"/>
          <w:sz w:val="24"/>
          <w:szCs w:val="24"/>
        </w:rPr>
        <w:t xml:space="preserve"> </w:t>
      </w:r>
      <w:r w:rsidRPr="00B834A2">
        <w:rPr>
          <w:rFonts w:ascii="Sylfaen" w:hAnsi="Sylfaen"/>
          <w:i/>
          <w:color w:val="000000"/>
          <w:sz w:val="24"/>
          <w:szCs w:val="24"/>
        </w:rPr>
        <w:t>b</w:t>
      </w:r>
      <w:r w:rsidRPr="00B834A2">
        <w:rPr>
          <w:rFonts w:ascii="Sylfaen" w:hAnsi="Sylfaen"/>
          <w:color w:val="000000"/>
          <w:sz w:val="24"/>
          <w:szCs w:val="24"/>
        </w:rPr>
        <w:t xml:space="preserve"> գործակիցների ստացված արժեքներն օգտագործել (4.1) կախվածության համաձայն՝ ըստ 4-4 աղյուսակում տրված</w:t>
      </w:r>
      <w:r w:rsidRPr="00B834A2">
        <w:rPr>
          <w:rFonts w:ascii="Sylfaen" w:hAnsi="Sylfaen"/>
          <w:i/>
          <w:color w:val="000000"/>
          <w:sz w:val="24"/>
          <w:szCs w:val="24"/>
        </w:rPr>
        <w:t xml:space="preserve"> х</w:t>
      </w:r>
      <w:r w:rsidRPr="00B834A2">
        <w:rPr>
          <w:rFonts w:ascii="Sylfaen" w:hAnsi="Sylfaen"/>
          <w:color w:val="000000"/>
          <w:sz w:val="24"/>
          <w:szCs w:val="24"/>
        </w:rPr>
        <w:t xml:space="preserve"> արգումենտի արժեքների՝ у արժեքները հաշվարկելու համար, ապա у հաշվարկված у արժեքները նշանակում են </w:t>
      </w:r>
      <m:oMath>
        <m:sSub>
          <m:sSubPr>
            <m:ctrlPr>
              <w:rPr>
                <w:rFonts w:ascii="Cambria Math" w:hAnsi="Cambria Math" w:cs="Sylfaen"/>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1</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2,</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r>
          <w:rPr>
            <w:rFonts w:ascii="Cambria Math" w:hAnsi="Cambria Math" w:cs="Sylfaen"/>
            <w:color w:val="000000"/>
            <w:sz w:val="24"/>
            <w:szCs w:val="24"/>
          </w:rPr>
          <m:t>,…</m:t>
        </m:r>
        <m:sSub>
          <m:sSubPr>
            <m:ctrlPr>
              <w:rPr>
                <w:rFonts w:ascii="Cambria Math" w:hAnsi="Cambria Math" w:cs="Sylfaen"/>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n</m:t>
            </m:r>
          </m:sub>
        </m:sSub>
      </m:oMath>
      <w:r w:rsidRPr="00B834A2">
        <w:rPr>
          <w:rFonts w:ascii="Sylfaen" w:hAnsi="Sylfaen"/>
          <w:color w:val="000000"/>
          <w:sz w:val="24"/>
          <w:szCs w:val="24"/>
        </w:rPr>
        <w:t xml:space="preserve">-ով: </w:t>
      </w:r>
      <w:r w:rsidRPr="00B834A2">
        <w:rPr>
          <w:rFonts w:ascii="Sylfaen" w:eastAsiaTheme="minorHAnsi" w:hAnsi="Sylfaen" w:cs="TimesNewRomanCyr-NormalItalic"/>
          <w:i/>
          <w:iCs/>
          <w:sz w:val="24"/>
          <w:szCs w:val="24"/>
          <w:lang w:bidi="ar-SA"/>
        </w:rPr>
        <w:t>Yi</w:t>
      </w:r>
      <w:r w:rsidRPr="00B834A2">
        <w:rPr>
          <w:rFonts w:ascii="Sylfaen" w:hAnsi="Sylfaen"/>
          <w:color w:val="000000"/>
          <w:sz w:val="24"/>
          <w:szCs w:val="24"/>
        </w:rPr>
        <w:t xml:space="preserve"> արժեքների նկատմամբ </w:t>
      </w:r>
      <m:oMath>
        <m:r>
          <w:rPr>
            <w:rFonts w:ascii="Cambria Math" w:eastAsiaTheme="minorHAnsi" w:hAnsi="Cambria Math" w:cs="TimesNewRomanCyr-NormalItalic"/>
            <w:sz w:val="24"/>
            <w:szCs w:val="24"/>
            <w:lang w:bidi="ar-SA"/>
          </w:rPr>
          <m:t>yi</m:t>
        </m:r>
      </m:oMath>
      <w:r w:rsidRPr="00B834A2">
        <w:rPr>
          <w:rFonts w:ascii="Sylfaen" w:hAnsi="Sylfaen"/>
          <w:color w:val="000000"/>
          <w:sz w:val="24"/>
          <w:szCs w:val="24"/>
        </w:rPr>
        <w:t xml:space="preserve"> արժեքների ցրվածքը բնութագրում է մնացորդային դիսպերսիայի (գծային կախվածության դիսպերսիայի) մեծությունը </w:t>
      </w:r>
      <m:oMath>
        <m:sSubSup>
          <m:sSubSupPr>
            <m:ctrlPr>
              <w:rPr>
                <w:rFonts w:ascii="Cambria Math" w:hAnsi="Cambria Math"/>
                <w:color w:val="000000"/>
                <w:sz w:val="24"/>
                <w:szCs w:val="24"/>
              </w:rPr>
            </m:ctrlPr>
          </m:sSubSupPr>
          <m:e>
            <m:r>
              <m:rPr>
                <m:sty m:val="p"/>
              </m:rPr>
              <w:rPr>
                <w:rFonts w:ascii="Cambria Math" w:hAnsi="Cambria Math"/>
                <w:color w:val="000000"/>
                <w:sz w:val="24"/>
                <w:szCs w:val="24"/>
              </w:rPr>
              <m:t>s</m:t>
            </m:r>
          </m:e>
          <m:sub>
            <m:r>
              <m:rPr>
                <m:sty m:val="p"/>
              </m:rPr>
              <w:rPr>
                <w:rFonts w:ascii="Cambria Math" w:hAnsi="Cambria Math"/>
                <w:color w:val="000000"/>
                <w:sz w:val="24"/>
                <w:szCs w:val="24"/>
              </w:rPr>
              <m:t>0</m:t>
            </m:r>
          </m:sub>
          <m:sup>
            <m:r>
              <m:rPr>
                <m:sty m:val="p"/>
              </m:rPr>
              <w:rPr>
                <w:rFonts w:ascii="Cambria Math" w:hAnsi="Cambria Math"/>
                <w:color w:val="000000"/>
                <w:sz w:val="24"/>
                <w:szCs w:val="24"/>
              </w:rPr>
              <m:t>2</m:t>
            </m:r>
          </m:sup>
        </m:sSubSup>
        <m:r>
          <m:rPr>
            <m:sty m:val="p"/>
          </m:rPr>
          <w:rPr>
            <w:rFonts w:ascii="Cambria Math" w:hAnsi="Cambria Math"/>
            <w:color w:val="000000"/>
            <w:sz w:val="24"/>
            <w:szCs w:val="24"/>
          </w:rPr>
          <m:t xml:space="preserve"> </m:t>
        </m:r>
      </m:oMath>
      <w:r w:rsidRPr="00B834A2">
        <w:rPr>
          <w:rFonts w:ascii="Sylfaen" w:hAnsi="Sylfaen"/>
          <w:color w:val="000000"/>
          <w:sz w:val="24"/>
          <w:szCs w:val="24"/>
        </w:rPr>
        <w:t>, որը հաշվարկում են հետ</w:t>
      </w:r>
      <w:r>
        <w:rPr>
          <w:rFonts w:ascii="Sylfaen" w:hAnsi="Sylfaen"/>
          <w:color w:val="000000"/>
          <w:sz w:val="24"/>
          <w:szCs w:val="24"/>
        </w:rPr>
        <w:t>եւ</w:t>
      </w:r>
      <w:r w:rsidRPr="00B834A2">
        <w:rPr>
          <w:rFonts w:ascii="Sylfaen" w:hAnsi="Sylfaen"/>
          <w:color w:val="000000"/>
          <w:sz w:val="24"/>
          <w:szCs w:val="24"/>
        </w:rPr>
        <w:t>յալ բանաձ</w:t>
      </w:r>
      <w:r>
        <w:rPr>
          <w:rFonts w:ascii="Sylfaen" w:hAnsi="Sylfaen"/>
          <w:color w:val="000000"/>
          <w:sz w:val="24"/>
          <w:szCs w:val="24"/>
        </w:rPr>
        <w:t>եւ</w:t>
      </w:r>
      <w:r w:rsidRPr="00B834A2">
        <w:rPr>
          <w:rFonts w:ascii="Sylfaen" w:hAnsi="Sylfaen"/>
          <w:color w:val="000000"/>
          <w:sz w:val="24"/>
          <w:szCs w:val="24"/>
        </w:rPr>
        <w:t xml:space="preserve">ով. </w:t>
      </w:r>
    </w:p>
    <w:p w14:paraId="0663D085" w14:textId="77777777" w:rsidR="00B834A2" w:rsidRPr="00A859E3" w:rsidRDefault="00000000" w:rsidP="0078572C">
      <w:pPr>
        <w:pStyle w:val="a0"/>
        <w:shd w:val="clear" w:color="auto" w:fill="auto"/>
        <w:spacing w:after="160" w:line="360" w:lineRule="auto"/>
        <w:ind w:firstLine="567"/>
        <w:jc w:val="center"/>
        <w:rPr>
          <w:rFonts w:ascii="Sylfaen" w:hAnsi="Sylfaen"/>
          <w:color w:val="000000"/>
          <w:sz w:val="24"/>
          <w:szCs w:val="24"/>
        </w:rPr>
      </w:pPr>
      <m:oMath>
        <m:sSubSup>
          <m:sSubSupPr>
            <m:ctrlPr>
              <w:rPr>
                <w:rFonts w:ascii="Cambria Math" w:hAnsi="Cambria Math" w:cs="Sylfaen"/>
                <w:bCs/>
                <w:i/>
                <w:color w:val="000000"/>
                <w:sz w:val="24"/>
                <w:szCs w:val="24"/>
              </w:rPr>
            </m:ctrlPr>
          </m:sSubSupPr>
          <m:e>
            <m:r>
              <w:rPr>
                <w:rFonts w:ascii="Cambria Math" w:hAnsi="Cambria Math" w:cs="Sylfaen"/>
                <w:color w:val="000000"/>
                <w:sz w:val="24"/>
                <w:szCs w:val="24"/>
              </w:rPr>
              <m:t>s</m:t>
            </m:r>
          </m:e>
          <m:sub>
            <m:r>
              <w:rPr>
                <w:rFonts w:ascii="Cambria Math" w:hAnsi="Cambria Math" w:cs="Sylfaen"/>
                <w:color w:val="000000"/>
                <w:sz w:val="24"/>
                <w:szCs w:val="24"/>
              </w:rPr>
              <m:t>0</m:t>
            </m:r>
          </m:sub>
          <m:sup>
            <m:r>
              <w:rPr>
                <w:rFonts w:ascii="Cambria Math" w:hAnsi="Cambria Math" w:cs="Sylfaen"/>
                <w:color w:val="000000"/>
                <w:sz w:val="24"/>
                <w:szCs w:val="24"/>
              </w:rPr>
              <m:t>2</m:t>
            </m:r>
          </m:sup>
        </m:sSubSup>
        <m:r>
          <w:rPr>
            <w:rFonts w:ascii="Cambria Math" w:hAnsi="Cambria Math" w:cs="Sylfaen"/>
            <w:color w:val="000000"/>
            <w:sz w:val="24"/>
            <w:szCs w:val="24"/>
          </w:rPr>
          <m:t>=</m:t>
        </m:r>
        <m:f>
          <m:fPr>
            <m:ctrlPr>
              <w:rPr>
                <w:rFonts w:ascii="Cambria Math" w:hAnsi="Cambria Math" w:cs="Sylfaen"/>
                <w:bCs/>
                <w:i/>
                <w:color w:val="000000"/>
                <w:sz w:val="24"/>
                <w:szCs w:val="24"/>
              </w:rPr>
            </m:ctrlPr>
          </m:fPr>
          <m:num>
            <m:nary>
              <m:naryPr>
                <m:chr m:val="∑"/>
                <m:limLoc m:val="undOvr"/>
                <m:ctrlPr>
                  <w:rPr>
                    <w:rFonts w:ascii="Cambria Math" w:hAnsi="Cambria Math" w:cs="Sylfaen"/>
                    <w:bCs/>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r>
                  <w:rPr>
                    <w:rFonts w:ascii="Cambria Math" w:hAnsi="Cambria Math" w:cs="Sylfaen"/>
                    <w:color w:val="000000"/>
                    <w:sz w:val="24"/>
                    <w:szCs w:val="24"/>
                  </w:rPr>
                  <m:t>(</m:t>
                </m:r>
                <m:sSub>
                  <m:sSubPr>
                    <m:ctrlPr>
                      <w:rPr>
                        <w:rFonts w:ascii="Cambria Math" w:hAnsi="Cambria Math" w:cs="Sylfaen"/>
                        <w:bCs/>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r>
                  <w:rPr>
                    <w:rFonts w:ascii="Cambria Math" w:hAnsi="Cambria Math" w:cs="Sylfaen"/>
                    <w:color w:val="000000"/>
                    <w:sz w:val="24"/>
                    <w:szCs w:val="24"/>
                  </w:rPr>
                  <m:t>-</m:t>
                </m:r>
                <m:sSub>
                  <m:sSubPr>
                    <m:ctrlPr>
                      <w:rPr>
                        <w:rFonts w:ascii="Cambria Math" w:hAnsi="Cambria Math" w:cs="Sylfaen"/>
                        <w:bCs/>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sSup>
                  <m:sSupPr>
                    <m:ctrlPr>
                      <w:rPr>
                        <w:rFonts w:ascii="Cambria Math" w:hAnsi="Cambria Math" w:cs="Sylfaen"/>
                        <w:bCs/>
                        <w:i/>
                        <w:color w:val="000000"/>
                        <w:sz w:val="24"/>
                        <w:szCs w:val="24"/>
                      </w:rPr>
                    </m:ctrlPr>
                  </m:sSupPr>
                  <m:e>
                    <m:r>
                      <w:rPr>
                        <w:rFonts w:ascii="Cambria Math" w:hAnsi="Cambria Math" w:cs="Sylfaen"/>
                        <w:color w:val="000000"/>
                        <w:sz w:val="24"/>
                        <w:szCs w:val="24"/>
                      </w:rPr>
                      <m:t>)</m:t>
                    </m:r>
                  </m:e>
                  <m:sup>
                    <m:r>
                      <w:rPr>
                        <w:rFonts w:ascii="Cambria Math" w:hAnsi="Cambria Math" w:cs="Sylfaen"/>
                        <w:color w:val="000000"/>
                        <w:sz w:val="24"/>
                        <w:szCs w:val="24"/>
                      </w:rPr>
                      <m:t>2</m:t>
                    </m:r>
                  </m:sup>
                </m:sSup>
              </m:e>
            </m:nary>
          </m:num>
          <m:den>
            <m:r>
              <w:rPr>
                <w:rFonts w:ascii="Cambria Math" w:hAnsi="Cambria Math" w:cs="Sylfaen"/>
                <w:color w:val="000000"/>
                <w:sz w:val="24"/>
                <w:szCs w:val="24"/>
              </w:rPr>
              <m:t>f</m:t>
            </m:r>
          </m:den>
        </m:f>
        <m:r>
          <w:rPr>
            <w:rFonts w:ascii="Cambria Math" w:hAnsi="Cambria Math" w:cs="Sylfaen"/>
            <w:color w:val="000000"/>
            <w:sz w:val="24"/>
            <w:szCs w:val="24"/>
          </w:rPr>
          <m:t>=</m:t>
        </m:r>
        <m:f>
          <m:fPr>
            <m:ctrlPr>
              <w:rPr>
                <w:rFonts w:ascii="Cambria Math" w:hAnsi="Cambria Math" w:cs="Sylfaen"/>
                <w:bCs/>
                <w:i/>
                <w:color w:val="000000"/>
                <w:sz w:val="24"/>
                <w:szCs w:val="24"/>
              </w:rPr>
            </m:ctrlPr>
          </m:fPr>
          <m:num>
            <m:nary>
              <m:naryPr>
                <m:chr m:val="∑"/>
                <m:limLoc m:val="undOvr"/>
                <m:ctrlPr>
                  <w:rPr>
                    <w:rFonts w:ascii="Cambria Math" w:hAnsi="Cambria Math" w:cs="Sylfaen"/>
                    <w:bCs/>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sSubSup>
                  <m:sSubSupPr>
                    <m:ctrlPr>
                      <w:rPr>
                        <w:rFonts w:ascii="Cambria Math" w:hAnsi="Cambria Math" w:cs="Sylfaen"/>
                        <w:bCs/>
                        <w:i/>
                        <w:color w:val="000000"/>
                        <w:sz w:val="24"/>
                        <w:szCs w:val="24"/>
                      </w:rPr>
                    </m:ctrlPr>
                  </m:sSubSupPr>
                  <m:e>
                    <m:r>
                      <w:rPr>
                        <w:rFonts w:ascii="Cambria Math" w:hAnsi="Cambria Math" w:cs="Sylfaen"/>
                        <w:color w:val="000000"/>
                        <w:sz w:val="24"/>
                        <w:szCs w:val="24"/>
                      </w:rPr>
                      <m:t>y</m:t>
                    </m:r>
                  </m:e>
                  <m:sub>
                    <m:r>
                      <w:rPr>
                        <w:rFonts w:ascii="Cambria Math" w:hAnsi="Cambria Math" w:cs="Sylfaen"/>
                        <w:color w:val="000000"/>
                        <w:sz w:val="24"/>
                        <w:szCs w:val="24"/>
                      </w:rPr>
                      <m:t>i</m:t>
                    </m:r>
                  </m:sub>
                  <m:sup>
                    <m:r>
                      <w:rPr>
                        <w:rFonts w:ascii="Cambria Math" w:hAnsi="Cambria Math" w:cs="Sylfaen"/>
                        <w:color w:val="000000"/>
                        <w:sz w:val="24"/>
                        <w:szCs w:val="24"/>
                      </w:rPr>
                      <m:t>2</m:t>
                    </m:r>
                  </m:sup>
                </m:sSubSup>
                <m:r>
                  <w:rPr>
                    <w:rFonts w:ascii="Cambria Math" w:hAnsi="Cambria Math" w:cs="Sylfaen"/>
                    <w:color w:val="000000"/>
                    <w:sz w:val="24"/>
                    <w:szCs w:val="24"/>
                  </w:rPr>
                  <m:t>-a</m:t>
                </m:r>
                <m:nary>
                  <m:naryPr>
                    <m:chr m:val="∑"/>
                    <m:limLoc m:val="undOvr"/>
                    <m:ctrlPr>
                      <w:rPr>
                        <w:rFonts w:ascii="Cambria Math" w:hAnsi="Cambria Math" w:cs="Sylfaen"/>
                        <w:bCs/>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sSub>
                      <m:sSubPr>
                        <m:ctrlPr>
                          <w:rPr>
                            <w:rFonts w:ascii="Cambria Math" w:hAnsi="Cambria Math" w:cs="Sylfaen"/>
                            <w:bCs/>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r>
                      <w:rPr>
                        <w:rFonts w:ascii="Cambria Math" w:hAnsi="Cambria Math" w:cs="Sylfaen"/>
                        <w:color w:val="000000"/>
                        <w:sz w:val="24"/>
                        <w:szCs w:val="24"/>
                      </w:rPr>
                      <m:t>-b</m:t>
                    </m:r>
                    <m:nary>
                      <m:naryPr>
                        <m:chr m:val="∑"/>
                        <m:limLoc m:val="undOvr"/>
                        <m:ctrlPr>
                          <w:rPr>
                            <w:rFonts w:ascii="Cambria Math" w:hAnsi="Cambria Math" w:cs="Sylfaen"/>
                            <w:bCs/>
                            <w:i/>
                            <w:color w:val="000000"/>
                            <w:sz w:val="24"/>
                            <w:szCs w:val="24"/>
                          </w:rPr>
                        </m:ctrlPr>
                      </m:naryPr>
                      <m:sub>
                        <m:r>
                          <w:rPr>
                            <w:rFonts w:ascii="Cambria Math" w:hAnsi="Cambria Math" w:cs="Sylfaen"/>
                            <w:color w:val="000000"/>
                            <w:sz w:val="24"/>
                            <w:szCs w:val="24"/>
                          </w:rPr>
                          <m:t>1</m:t>
                        </m:r>
                      </m:sub>
                      <m:sup>
                        <m:r>
                          <w:rPr>
                            <w:rFonts w:ascii="Cambria Math" w:hAnsi="Cambria Math" w:cs="Sylfaen"/>
                            <w:color w:val="000000"/>
                            <w:sz w:val="24"/>
                            <w:szCs w:val="24"/>
                          </w:rPr>
                          <m:t>m</m:t>
                        </m:r>
                      </m:sup>
                      <m:e>
                        <m:sSub>
                          <m:sSubPr>
                            <m:ctrlPr>
                              <w:rPr>
                                <w:rFonts w:ascii="Cambria Math" w:hAnsi="Cambria Math" w:cs="Sylfaen"/>
                                <w:bCs/>
                                <w:i/>
                                <w:color w:val="000000"/>
                                <w:sz w:val="24"/>
                                <w:szCs w:val="24"/>
                              </w:rPr>
                            </m:ctrlPr>
                          </m:sSubPr>
                          <m:e>
                            <m:r>
                              <w:rPr>
                                <w:rFonts w:ascii="Cambria Math" w:hAnsi="Cambria Math" w:cs="Sylfaen"/>
                                <w:color w:val="000000"/>
                                <w:sz w:val="24"/>
                                <w:szCs w:val="24"/>
                              </w:rPr>
                              <m:t>x</m:t>
                            </m:r>
                          </m:e>
                          <m:sub>
                            <m:r>
                              <w:rPr>
                                <w:rFonts w:ascii="Cambria Math" w:hAnsi="Cambria Math" w:cs="Sylfaen"/>
                                <w:color w:val="000000"/>
                                <w:sz w:val="24"/>
                                <w:szCs w:val="24"/>
                              </w:rPr>
                              <m:t>i</m:t>
                            </m:r>
                          </m:sub>
                        </m:sSub>
                        <m:sSub>
                          <m:sSubPr>
                            <m:ctrlPr>
                              <w:rPr>
                                <w:rFonts w:ascii="Cambria Math" w:hAnsi="Cambria Math" w:cs="Sylfaen"/>
                                <w:bCs/>
                                <w:i/>
                                <w:color w:val="000000"/>
                                <w:sz w:val="24"/>
                                <w:szCs w:val="24"/>
                              </w:rPr>
                            </m:ctrlPr>
                          </m:sSubPr>
                          <m:e>
                            <m:r>
                              <w:rPr>
                                <w:rFonts w:ascii="Cambria Math" w:hAnsi="Cambria Math" w:cs="Sylfaen"/>
                                <w:color w:val="000000"/>
                                <w:sz w:val="24"/>
                                <w:szCs w:val="24"/>
                              </w:rPr>
                              <m:t>y</m:t>
                            </m:r>
                          </m:e>
                          <m:sub>
                            <m:r>
                              <w:rPr>
                                <w:rFonts w:ascii="Cambria Math" w:hAnsi="Cambria Math" w:cs="Sylfaen"/>
                                <w:color w:val="000000"/>
                                <w:sz w:val="24"/>
                                <w:szCs w:val="24"/>
                              </w:rPr>
                              <m:t>i</m:t>
                            </m:r>
                          </m:sub>
                        </m:sSub>
                      </m:e>
                    </m:nary>
                  </m:e>
                </m:nary>
              </m:e>
            </m:nary>
          </m:num>
          <m:den>
            <m:r>
              <w:rPr>
                <w:rFonts w:ascii="Cambria Math" w:hAnsi="Cambria Math" w:cs="Sylfaen"/>
                <w:color w:val="000000"/>
                <w:sz w:val="24"/>
                <w:szCs w:val="24"/>
              </w:rPr>
              <m:t>f</m:t>
            </m:r>
          </m:den>
        </m:f>
      </m:oMath>
      <w:r w:rsidR="00B834A2" w:rsidRPr="00B834A2">
        <w:rPr>
          <w:rFonts w:ascii="Sylfaen" w:hAnsi="Sylfaen"/>
          <w:color w:val="000000"/>
          <w:sz w:val="24"/>
          <w:szCs w:val="24"/>
        </w:rPr>
        <w:t xml:space="preserve"> (4.7)</w:t>
      </w:r>
    </w:p>
    <w:p w14:paraId="3E4333AA" w14:textId="77777777" w:rsidR="00CC0C6B" w:rsidRPr="00CC0C6B" w:rsidRDefault="00CC0C6B" w:rsidP="00CC0C6B">
      <w:pPr>
        <w:pStyle w:val="a0"/>
        <w:shd w:val="clear" w:color="auto" w:fill="auto"/>
        <w:spacing w:after="160" w:line="360" w:lineRule="auto"/>
        <w:ind w:firstLine="567"/>
        <w:jc w:val="both"/>
        <w:rPr>
          <w:rFonts w:ascii="Sylfaen" w:hAnsi="Sylfaen" w:cs="Sylfaen"/>
          <w:sz w:val="24"/>
          <w:szCs w:val="24"/>
        </w:rPr>
      </w:pPr>
      <w:r w:rsidRPr="00CC0C6B">
        <w:rPr>
          <w:rFonts w:ascii="Sylfaen" w:hAnsi="Sylfaen"/>
          <w:color w:val="000000"/>
          <w:sz w:val="24"/>
          <w:szCs w:val="24"/>
        </w:rPr>
        <w:t>Աղյուսակ 4-4. х արգումենտի եւ у ֆունկցիայի արժեքները</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127"/>
      </w:tblGrid>
      <w:tr w:rsidR="00B834A2" w:rsidRPr="0078572C" w14:paraId="4ACDAAA7" w14:textId="77777777" w:rsidTr="00A84AF4">
        <w:trPr>
          <w:jc w:val="center"/>
        </w:trPr>
        <w:tc>
          <w:tcPr>
            <w:tcW w:w="1384" w:type="dxa"/>
          </w:tcPr>
          <w:p w14:paraId="3321E730" w14:textId="77777777" w:rsidR="00B834A2" w:rsidRPr="0078572C" w:rsidRDefault="00B834A2" w:rsidP="00CC0C6B">
            <w:pPr>
              <w:pStyle w:val="a0"/>
              <w:shd w:val="clear" w:color="auto" w:fill="auto"/>
              <w:spacing w:after="120" w:line="240" w:lineRule="auto"/>
              <w:ind w:firstLine="0"/>
              <w:jc w:val="center"/>
              <w:rPr>
                <w:rFonts w:ascii="Sylfaen" w:hAnsi="Sylfaen" w:cs="Sylfaen"/>
                <w:i/>
                <w:szCs w:val="24"/>
              </w:rPr>
            </w:pPr>
            <w:r w:rsidRPr="0078572C">
              <w:rPr>
                <w:rFonts w:ascii="Sylfaen" w:hAnsi="Sylfaen"/>
                <w:i/>
                <w:szCs w:val="24"/>
              </w:rPr>
              <w:t>i</w:t>
            </w:r>
          </w:p>
        </w:tc>
        <w:tc>
          <w:tcPr>
            <w:tcW w:w="2126" w:type="dxa"/>
          </w:tcPr>
          <w:p w14:paraId="36AEDB87"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x</m:t>
                    </m:r>
                  </m:e>
                  <m:sub>
                    <m:r>
                      <w:rPr>
                        <w:rFonts w:ascii="Cambria Math" w:hAnsi="Cambria Math" w:cs="Sylfaen"/>
                        <w:szCs w:val="24"/>
                      </w:rPr>
                      <m:t>i</m:t>
                    </m:r>
                  </m:sub>
                </m:sSub>
              </m:oMath>
            </m:oMathPara>
          </w:p>
        </w:tc>
        <w:tc>
          <w:tcPr>
            <w:tcW w:w="2127" w:type="dxa"/>
          </w:tcPr>
          <w:p w14:paraId="6D28A1A2"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y</m:t>
                    </m:r>
                  </m:e>
                  <m:sub>
                    <m:r>
                      <w:rPr>
                        <w:rFonts w:ascii="Cambria Math" w:hAnsi="Cambria Math" w:cs="Sylfaen"/>
                        <w:szCs w:val="24"/>
                      </w:rPr>
                      <m:t>i</m:t>
                    </m:r>
                  </m:sub>
                </m:sSub>
              </m:oMath>
            </m:oMathPara>
          </w:p>
        </w:tc>
      </w:tr>
      <w:tr w:rsidR="00B834A2" w:rsidRPr="0078572C" w14:paraId="0DF5CE0B" w14:textId="77777777" w:rsidTr="00A84AF4">
        <w:trPr>
          <w:jc w:val="center"/>
        </w:trPr>
        <w:tc>
          <w:tcPr>
            <w:tcW w:w="1384" w:type="dxa"/>
          </w:tcPr>
          <w:p w14:paraId="4F18AA99" w14:textId="77777777" w:rsidR="00B834A2" w:rsidRPr="0078572C" w:rsidRDefault="00B834A2" w:rsidP="00CC0C6B">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1</w:t>
            </w:r>
          </w:p>
        </w:tc>
        <w:tc>
          <w:tcPr>
            <w:tcW w:w="2126" w:type="dxa"/>
          </w:tcPr>
          <w:p w14:paraId="005598EF" w14:textId="77777777" w:rsidR="00B834A2" w:rsidRPr="0078572C" w:rsidRDefault="00000000" w:rsidP="00CC0C6B">
            <w:pPr>
              <w:spacing w:after="120"/>
              <w:rPr>
                <w:sz w:val="20"/>
              </w:rPr>
            </w:pPr>
            <m:oMathPara>
              <m:oMath>
                <m:sSub>
                  <m:sSubPr>
                    <m:ctrlPr>
                      <w:rPr>
                        <w:rFonts w:ascii="Cambria Math" w:eastAsia="Times New Roman" w:hAnsi="Cambria Math"/>
                        <w:i/>
                        <w:color w:val="auto"/>
                        <w:sz w:val="20"/>
                      </w:rPr>
                    </m:ctrlPr>
                  </m:sSubPr>
                  <m:e>
                    <m:r>
                      <w:rPr>
                        <w:rFonts w:ascii="Cambria Math" w:hAnsi="Cambria Math"/>
                        <w:sz w:val="20"/>
                      </w:rPr>
                      <m:t>x</m:t>
                    </m:r>
                  </m:e>
                  <m:sub>
                    <m:r>
                      <w:rPr>
                        <w:rFonts w:ascii="Cambria Math" w:hAnsi="Cambria Math"/>
                        <w:sz w:val="20"/>
                      </w:rPr>
                      <m:t>1</m:t>
                    </m:r>
                  </m:sub>
                </m:sSub>
              </m:oMath>
            </m:oMathPara>
          </w:p>
        </w:tc>
        <w:tc>
          <w:tcPr>
            <w:tcW w:w="2127" w:type="dxa"/>
          </w:tcPr>
          <w:p w14:paraId="6ED8CB22"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y</m:t>
                    </m:r>
                  </m:e>
                  <m:sub>
                    <m:r>
                      <w:rPr>
                        <w:rFonts w:ascii="Cambria Math" w:hAnsi="Cambria Math" w:cs="Sylfaen"/>
                        <w:szCs w:val="24"/>
                      </w:rPr>
                      <m:t>1</m:t>
                    </m:r>
                  </m:sub>
                </m:sSub>
              </m:oMath>
            </m:oMathPara>
          </w:p>
        </w:tc>
      </w:tr>
      <w:tr w:rsidR="00B834A2" w:rsidRPr="0078572C" w14:paraId="27F4BAB3" w14:textId="77777777" w:rsidTr="00A84AF4">
        <w:trPr>
          <w:jc w:val="center"/>
        </w:trPr>
        <w:tc>
          <w:tcPr>
            <w:tcW w:w="1384" w:type="dxa"/>
          </w:tcPr>
          <w:p w14:paraId="29EE3312" w14:textId="77777777" w:rsidR="00B834A2" w:rsidRPr="0078572C" w:rsidRDefault="00B834A2" w:rsidP="00CC0C6B">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2</w:t>
            </w:r>
          </w:p>
        </w:tc>
        <w:tc>
          <w:tcPr>
            <w:tcW w:w="2126" w:type="dxa"/>
          </w:tcPr>
          <w:p w14:paraId="322A006C" w14:textId="77777777" w:rsidR="00B834A2" w:rsidRPr="0078572C" w:rsidRDefault="00000000" w:rsidP="00CC0C6B">
            <w:pPr>
              <w:spacing w:after="120"/>
              <w:rPr>
                <w:sz w:val="20"/>
              </w:rPr>
            </w:pPr>
            <m:oMathPara>
              <m:oMath>
                <m:sSub>
                  <m:sSubPr>
                    <m:ctrlPr>
                      <w:rPr>
                        <w:rFonts w:ascii="Cambria Math" w:eastAsia="Times New Roman" w:hAnsi="Cambria Math"/>
                        <w:i/>
                        <w:color w:val="auto"/>
                        <w:sz w:val="20"/>
                      </w:rPr>
                    </m:ctrlPr>
                  </m:sSubPr>
                  <m:e>
                    <m:r>
                      <w:rPr>
                        <w:rFonts w:ascii="Cambria Math" w:hAnsi="Cambria Math"/>
                        <w:sz w:val="20"/>
                      </w:rPr>
                      <m:t>x</m:t>
                    </m:r>
                  </m:e>
                  <m:sub>
                    <m:r>
                      <w:rPr>
                        <w:rFonts w:ascii="Cambria Math" w:hAnsi="Cambria Math"/>
                        <w:sz w:val="20"/>
                      </w:rPr>
                      <m:t>2</m:t>
                    </m:r>
                  </m:sub>
                </m:sSub>
              </m:oMath>
            </m:oMathPara>
          </w:p>
        </w:tc>
        <w:tc>
          <w:tcPr>
            <w:tcW w:w="2127" w:type="dxa"/>
          </w:tcPr>
          <w:p w14:paraId="105F02A2"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y</m:t>
                    </m:r>
                  </m:e>
                  <m:sub>
                    <m:r>
                      <w:rPr>
                        <w:rFonts w:ascii="Cambria Math" w:hAnsi="Cambria Math" w:cs="Sylfaen"/>
                        <w:szCs w:val="24"/>
                      </w:rPr>
                      <m:t>2</m:t>
                    </m:r>
                  </m:sub>
                </m:sSub>
              </m:oMath>
            </m:oMathPara>
          </w:p>
        </w:tc>
      </w:tr>
      <w:tr w:rsidR="00B834A2" w:rsidRPr="0078572C" w14:paraId="7B969561" w14:textId="77777777" w:rsidTr="00A84AF4">
        <w:trPr>
          <w:jc w:val="center"/>
        </w:trPr>
        <w:tc>
          <w:tcPr>
            <w:tcW w:w="1384" w:type="dxa"/>
          </w:tcPr>
          <w:p w14:paraId="72AB2131" w14:textId="77777777" w:rsidR="00B834A2" w:rsidRPr="0078572C" w:rsidRDefault="00B834A2" w:rsidP="00CC0C6B">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w:t>
            </w:r>
          </w:p>
        </w:tc>
        <w:tc>
          <w:tcPr>
            <w:tcW w:w="2126" w:type="dxa"/>
          </w:tcPr>
          <w:p w14:paraId="2A254F89" w14:textId="77777777" w:rsidR="00B834A2" w:rsidRPr="0078572C" w:rsidRDefault="00B834A2" w:rsidP="00CC0C6B">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w:t>
            </w:r>
          </w:p>
        </w:tc>
        <w:tc>
          <w:tcPr>
            <w:tcW w:w="2127" w:type="dxa"/>
          </w:tcPr>
          <w:p w14:paraId="7469029F" w14:textId="77777777" w:rsidR="00B834A2" w:rsidRPr="0078572C" w:rsidRDefault="00B834A2" w:rsidP="00CC0C6B">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w:t>
            </w:r>
          </w:p>
        </w:tc>
      </w:tr>
      <w:tr w:rsidR="00B834A2" w:rsidRPr="0078572C" w14:paraId="00CEEA2E" w14:textId="77777777" w:rsidTr="00A84AF4">
        <w:trPr>
          <w:jc w:val="center"/>
        </w:trPr>
        <w:tc>
          <w:tcPr>
            <w:tcW w:w="1384" w:type="dxa"/>
          </w:tcPr>
          <w:p w14:paraId="5AEDA1BF" w14:textId="77777777" w:rsidR="00B834A2" w:rsidRPr="0078572C" w:rsidRDefault="00B834A2" w:rsidP="00CC0C6B">
            <w:pPr>
              <w:pStyle w:val="a0"/>
              <w:shd w:val="clear" w:color="auto" w:fill="auto"/>
              <w:spacing w:after="120" w:line="240" w:lineRule="auto"/>
              <w:ind w:firstLine="0"/>
              <w:jc w:val="center"/>
              <w:rPr>
                <w:rFonts w:ascii="Sylfaen" w:hAnsi="Sylfaen" w:cs="Sylfaen"/>
                <w:i/>
                <w:szCs w:val="24"/>
              </w:rPr>
            </w:pPr>
            <w:r w:rsidRPr="0078572C">
              <w:rPr>
                <w:rFonts w:ascii="Sylfaen" w:hAnsi="Sylfaen"/>
                <w:i/>
                <w:szCs w:val="24"/>
              </w:rPr>
              <w:t>m</w:t>
            </w:r>
          </w:p>
        </w:tc>
        <w:tc>
          <w:tcPr>
            <w:tcW w:w="2126" w:type="dxa"/>
          </w:tcPr>
          <w:p w14:paraId="696311CC"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x</m:t>
                    </m:r>
                  </m:e>
                  <m:sub>
                    <m:r>
                      <w:rPr>
                        <w:rFonts w:ascii="Cambria Math" w:hAnsi="Cambria Math" w:cs="Sylfaen"/>
                        <w:szCs w:val="24"/>
                      </w:rPr>
                      <m:t>m</m:t>
                    </m:r>
                  </m:sub>
                </m:sSub>
              </m:oMath>
            </m:oMathPara>
          </w:p>
        </w:tc>
        <w:tc>
          <w:tcPr>
            <w:tcW w:w="2127" w:type="dxa"/>
          </w:tcPr>
          <w:p w14:paraId="18AEB127" w14:textId="77777777" w:rsidR="00B834A2" w:rsidRPr="0078572C" w:rsidRDefault="00000000" w:rsidP="00CC0C6B">
            <w:pPr>
              <w:pStyle w:val="a0"/>
              <w:shd w:val="clear" w:color="auto" w:fill="auto"/>
              <w:spacing w:after="120" w:line="240" w:lineRule="auto"/>
              <w:ind w:firstLine="0"/>
              <w:jc w:val="center"/>
              <w:rPr>
                <w:rFonts w:ascii="Sylfaen" w:hAnsi="Sylfaen" w:cs="Sylfaen"/>
                <w:szCs w:val="24"/>
              </w:rPr>
            </w:pPr>
            <m:oMathPara>
              <m:oMath>
                <m:sSub>
                  <m:sSubPr>
                    <m:ctrlPr>
                      <w:rPr>
                        <w:rFonts w:ascii="Cambria Math" w:hAnsi="Cambria Math" w:cs="Sylfaen"/>
                        <w:i/>
                        <w:szCs w:val="24"/>
                      </w:rPr>
                    </m:ctrlPr>
                  </m:sSubPr>
                  <m:e>
                    <m:r>
                      <w:rPr>
                        <w:rFonts w:ascii="Cambria Math" w:hAnsi="Cambria Math" w:cs="Sylfaen"/>
                        <w:szCs w:val="24"/>
                      </w:rPr>
                      <m:t>y</m:t>
                    </m:r>
                  </m:e>
                  <m:sub>
                    <m:r>
                      <w:rPr>
                        <w:rFonts w:ascii="Cambria Math" w:hAnsi="Cambria Math" w:cs="Sylfaen"/>
                        <w:szCs w:val="24"/>
                      </w:rPr>
                      <m:t>m</m:t>
                    </m:r>
                  </m:sub>
                </m:sSub>
              </m:oMath>
            </m:oMathPara>
          </w:p>
        </w:tc>
      </w:tr>
    </w:tbl>
    <w:p w14:paraId="1CFAA55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56A641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Որպեսզի (4.1) - (4.2) հավասարումները համարժեք կերպով նկարագրեն փորձարարական տվյալները, անհրաժեշտ է, որ</w:t>
      </w:r>
      <m:oMath>
        <m:sSubSup>
          <m:sSubSupPr>
            <m:ctrlPr>
              <w:rPr>
                <w:rFonts w:ascii="Cambria Math" w:hAnsi="Cambria Math" w:cs="Sylfaen"/>
                <w:bCs/>
                <w:i/>
                <w:sz w:val="24"/>
                <w:szCs w:val="24"/>
              </w:rPr>
            </m:ctrlPr>
          </m:sSubSupPr>
          <m:e>
            <m:r>
              <w:rPr>
                <w:rFonts w:ascii="Cambria Math" w:hAnsi="Cambria Math" w:cs="Sylfaen"/>
                <w:sz w:val="24"/>
                <w:szCs w:val="24"/>
              </w:rPr>
              <m:t xml:space="preserve"> s</m:t>
            </m:r>
          </m:e>
          <m:sub>
            <m:r>
              <w:rPr>
                <w:rFonts w:ascii="Cambria Math" w:hAnsi="Cambria Math" w:cs="Sylfaen"/>
                <w:sz w:val="24"/>
                <w:szCs w:val="24"/>
              </w:rPr>
              <m:t>0</m:t>
            </m:r>
          </m:sub>
          <m:sup>
            <m:r>
              <w:rPr>
                <w:rFonts w:ascii="Cambria Math" w:hAnsi="Cambria Math" w:cs="Sylfaen"/>
                <w:sz w:val="24"/>
                <w:szCs w:val="24"/>
              </w:rPr>
              <m:t>2</m:t>
            </m:r>
          </m:sup>
        </m:sSubSup>
      </m:oMath>
      <w:r w:rsidRPr="00B834A2">
        <w:rPr>
          <w:rFonts w:ascii="Sylfaen" w:hAnsi="Sylfaen"/>
          <w:sz w:val="24"/>
          <w:szCs w:val="24"/>
        </w:rPr>
        <w:t xml:space="preserve"> մնացորդային դիսպերսիան չտարբերվի էականորեն ըստ Ֆիշերի չափորոշչի ((2.1) </w:t>
      </w:r>
      <w:r>
        <w:rPr>
          <w:rFonts w:ascii="Sylfaen" w:hAnsi="Sylfaen"/>
          <w:sz w:val="24"/>
          <w:szCs w:val="24"/>
        </w:rPr>
        <w:t>եւ</w:t>
      </w:r>
      <w:r w:rsidRPr="00B834A2">
        <w:rPr>
          <w:rFonts w:ascii="Sylfaen" w:hAnsi="Sylfaen"/>
          <w:sz w:val="24"/>
          <w:szCs w:val="24"/>
        </w:rPr>
        <w:t xml:space="preserve"> (2.2) հավասարումներ) </w:t>
      </w:r>
      <w:r w:rsidRPr="00B834A2">
        <w:rPr>
          <w:rFonts w:ascii="Sylfaen" w:hAnsi="Sylfaen"/>
          <w:i/>
          <w:sz w:val="24"/>
          <w:szCs w:val="24"/>
        </w:rPr>
        <w:t>у</w:t>
      </w:r>
      <w:r w:rsidRPr="00B834A2">
        <w:rPr>
          <w:rFonts w:ascii="Sylfaen" w:hAnsi="Sylfaen"/>
          <w:i/>
          <w:sz w:val="24"/>
          <w:szCs w:val="24"/>
          <w:vertAlign w:val="subscript"/>
        </w:rPr>
        <w:t>1</w:t>
      </w:r>
      <w:r w:rsidRPr="00B834A2">
        <w:rPr>
          <w:rFonts w:ascii="Sylfaen" w:hAnsi="Sylfaen"/>
          <w:sz w:val="24"/>
          <w:szCs w:val="24"/>
        </w:rPr>
        <w:t xml:space="preserve"> մեծությունների ճշգրտության դիսպերսիայից: Վերջինս կարող է գտնվել կամ կանխատեսվել սարքավորումների անձնագրային տվյալներից:</w:t>
      </w:r>
    </w:p>
    <w:p w14:paraId="4338B9C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Իր հերթին </w:t>
      </w:r>
      <w:r w:rsidRPr="00B834A2">
        <w:rPr>
          <w:rFonts w:ascii="Sylfaen" w:hAnsi="Sylfaen"/>
          <w:i/>
          <w:sz w:val="24"/>
          <w:szCs w:val="24"/>
        </w:rPr>
        <w:t>b</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а հաստատունների դիսպերսիան գտնում են հետ</w:t>
      </w:r>
      <w:r>
        <w:rPr>
          <w:rFonts w:ascii="Sylfaen" w:hAnsi="Sylfaen"/>
          <w:i/>
          <w:sz w:val="24"/>
          <w:szCs w:val="24"/>
        </w:rPr>
        <w:t>եւ</w:t>
      </w:r>
      <w:r w:rsidRPr="00B834A2">
        <w:rPr>
          <w:rFonts w:ascii="Sylfaen" w:hAnsi="Sylfaen"/>
          <w:i/>
          <w:sz w:val="24"/>
          <w:szCs w:val="24"/>
        </w:rPr>
        <w:t>յալ հավասարումներով.</w:t>
      </w:r>
    </w:p>
    <w:p w14:paraId="723BA8DC"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2</m:t>
            </m:r>
          </m:sup>
        </m:sSubSup>
        <m:r>
          <w:rPr>
            <w:rFonts w:ascii="Cambria Math" w:hAnsi="Cambria Math" w:cs="Sylfaen"/>
            <w:sz w:val="24"/>
            <w:szCs w:val="24"/>
          </w:rPr>
          <m:t>=</m:t>
        </m:r>
        <m:f>
          <m:fPr>
            <m:ctrlPr>
              <w:rPr>
                <w:rFonts w:ascii="Cambria Math" w:hAnsi="Cambria Math" w:cs="Sylfaen"/>
                <w:bCs/>
                <w:i/>
                <w:sz w:val="24"/>
                <w:szCs w:val="24"/>
              </w:rPr>
            </m:ctrlPr>
          </m:fPr>
          <m:num>
            <m:r>
              <w:rPr>
                <w:rFonts w:ascii="Cambria Math" w:hAnsi="Cambria Math" w:cs="Sylfaen"/>
                <w:sz w:val="24"/>
                <w:szCs w:val="24"/>
              </w:rPr>
              <m:t>m</m:t>
            </m:r>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2</m:t>
                </m:r>
              </m:sup>
            </m:sSubSup>
          </m:num>
          <m:den>
            <m:r>
              <w:rPr>
                <w:rFonts w:ascii="Cambria Math" w:hAnsi="Cambria Math" w:cs="Sylfaen"/>
                <w:sz w:val="24"/>
                <w:szCs w:val="24"/>
              </w:rPr>
              <m:t>m</m:t>
            </m:r>
            <m:nary>
              <m:naryPr>
                <m:chr m:val="∑"/>
                <m:limLoc m:val="undOvr"/>
                <m:ctrlPr>
                  <w:rPr>
                    <w:rFonts w:ascii="Cambria Math" w:hAnsi="Cambria Math" w:cs="Sylfaen"/>
                    <w:bCs/>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bCs/>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 xml:space="preserve">2 </m:t>
                    </m:r>
                  </m:sup>
                </m:sSubSup>
                <m:r>
                  <w:rPr>
                    <w:rFonts w:ascii="Cambria Math" w:hAnsi="Cambria Math" w:cs="Sylfaen"/>
                    <w:sz w:val="24"/>
                    <w:szCs w:val="24"/>
                  </w:rPr>
                  <m:t>-(</m:t>
                </m:r>
                <m:nary>
                  <m:naryPr>
                    <m:chr m:val="∑"/>
                    <m:limLoc m:val="undOvr"/>
                    <m:ctrlPr>
                      <w:rPr>
                        <w:rFonts w:ascii="Cambria Math" w:hAnsi="Cambria Math" w:cs="Sylfaen"/>
                        <w:bCs/>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bCs/>
                            <w:i/>
                            <w:sz w:val="24"/>
                            <w:szCs w:val="24"/>
                          </w:rPr>
                        </m:ctrlPr>
                      </m:sSubPr>
                      <m:e>
                        <m:r>
                          <w:rPr>
                            <w:rFonts w:ascii="Cambria Math" w:hAnsi="Cambria Math" w:cs="Sylfaen"/>
                            <w:sz w:val="24"/>
                            <w:szCs w:val="24"/>
                          </w:rPr>
                          <m:t>x</m:t>
                        </m:r>
                      </m:e>
                      <m:sub>
                        <m:r>
                          <w:rPr>
                            <w:rFonts w:ascii="Cambria Math" w:hAnsi="Cambria Math" w:cs="Sylfaen"/>
                            <w:sz w:val="24"/>
                            <w:szCs w:val="24"/>
                          </w:rPr>
                          <m:t>i</m:t>
                        </m:r>
                      </m:sub>
                    </m:sSub>
                    <m:sSup>
                      <m:sSupPr>
                        <m:ctrlPr>
                          <w:rPr>
                            <w:rFonts w:ascii="Cambria Math" w:hAnsi="Cambria Math" w:cs="Sylfaen"/>
                            <w:bCs/>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e>
            </m:nary>
          </m:den>
        </m:f>
      </m:oMath>
      <w:r w:rsidR="00B834A2" w:rsidRPr="00B834A2">
        <w:rPr>
          <w:rFonts w:ascii="Sylfaen" w:hAnsi="Sylfaen"/>
          <w:sz w:val="24"/>
          <w:szCs w:val="24"/>
        </w:rPr>
        <w:t>.</w:t>
      </w:r>
      <w:r w:rsidR="0078572C" w:rsidRPr="002E52D1">
        <w:rPr>
          <w:rFonts w:ascii="Sylfaen" w:hAnsi="Sylfaen"/>
          <w:sz w:val="24"/>
          <w:szCs w:val="24"/>
        </w:rPr>
        <w:tab/>
      </w:r>
      <w:r w:rsidR="00B834A2" w:rsidRPr="00B834A2">
        <w:rPr>
          <w:rFonts w:ascii="Sylfaen" w:hAnsi="Sylfaen"/>
          <w:sz w:val="24"/>
          <w:szCs w:val="24"/>
        </w:rPr>
        <w:t>(4.8)</w:t>
      </w:r>
    </w:p>
    <w:p w14:paraId="75C9E825" w14:textId="77777777" w:rsidR="00B834A2" w:rsidRPr="00D35F34" w:rsidRDefault="00000000" w:rsidP="0078572C">
      <w:pPr>
        <w:pStyle w:val="a0"/>
        <w:shd w:val="clear" w:color="auto" w:fill="auto"/>
        <w:tabs>
          <w:tab w:val="left" w:pos="4253"/>
        </w:tabs>
        <w:spacing w:after="160" w:line="360" w:lineRule="auto"/>
        <w:ind w:firstLine="567"/>
        <w:jc w:val="center"/>
        <w:rPr>
          <w:rFonts w:ascii="Sylfaen" w:hAnsi="Sylfaen"/>
          <w:sz w:val="24"/>
          <w:szCs w:val="24"/>
        </w:rPr>
      </w:pPr>
      <m:oMath>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a</m:t>
            </m:r>
          </m:sub>
          <m:sup>
            <m:r>
              <w:rPr>
                <w:rFonts w:ascii="Cambria Math" w:hAnsi="Cambria Math" w:cs="Sylfaen"/>
                <w:sz w:val="24"/>
                <w:szCs w:val="24"/>
              </w:rPr>
              <m:t>2</m:t>
            </m:r>
          </m:sup>
        </m:sSubSup>
        <m:r>
          <w:rPr>
            <w:rFonts w:ascii="Cambria Math" w:hAnsi="Cambria Math" w:cs="Sylfaen"/>
            <w:sz w:val="24"/>
            <w:szCs w:val="24"/>
          </w:rPr>
          <m:t>=</m:t>
        </m:r>
        <m:f>
          <m:fPr>
            <m:ctrlPr>
              <w:rPr>
                <w:rFonts w:ascii="Cambria Math" w:hAnsi="Cambria Math" w:cs="Sylfaen"/>
                <w:bCs/>
                <w:i/>
                <w:sz w:val="24"/>
                <w:szCs w:val="24"/>
              </w:rPr>
            </m:ctrlPr>
          </m:fPr>
          <m:num>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b</m:t>
                </m:r>
              </m:sub>
              <m:sup>
                <m:r>
                  <w:rPr>
                    <w:rFonts w:ascii="Cambria Math" w:hAnsi="Cambria Math" w:cs="Sylfaen"/>
                    <w:sz w:val="24"/>
                    <w:szCs w:val="24"/>
                  </w:rPr>
                  <m:t>2</m:t>
                </m:r>
              </m:sup>
            </m:sSubSup>
          </m:num>
          <m:den>
            <m:r>
              <w:rPr>
                <w:rFonts w:ascii="Cambria Math" w:hAnsi="Cambria Math" w:cs="Sylfaen"/>
                <w:sz w:val="24"/>
                <w:szCs w:val="24"/>
              </w:rPr>
              <m:t>m</m:t>
            </m:r>
          </m:den>
        </m:f>
        <m:nary>
          <m:naryPr>
            <m:chr m:val="∑"/>
            <m:limLoc m:val="undOvr"/>
            <m:ctrlPr>
              <w:rPr>
                <w:rFonts w:ascii="Cambria Math" w:hAnsi="Cambria Math" w:cs="Sylfaen"/>
                <w:bCs/>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bCs/>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e>
        </m:nary>
      </m:oMath>
      <w:r w:rsidR="00B834A2" w:rsidRPr="00B834A2">
        <w:rPr>
          <w:rFonts w:ascii="Sylfaen" w:hAnsi="Sylfaen"/>
          <w:sz w:val="24"/>
          <w:szCs w:val="24"/>
        </w:rPr>
        <w:t>.</w:t>
      </w:r>
      <w:r w:rsidR="0078572C" w:rsidRPr="002E52D1">
        <w:rPr>
          <w:rFonts w:ascii="Sylfaen" w:hAnsi="Sylfaen"/>
          <w:sz w:val="24"/>
          <w:szCs w:val="24"/>
        </w:rPr>
        <w:tab/>
      </w:r>
      <w:r w:rsidR="00B834A2" w:rsidRPr="00B834A2">
        <w:rPr>
          <w:rFonts w:ascii="Sylfaen" w:hAnsi="Sylfaen"/>
          <w:sz w:val="24"/>
          <w:szCs w:val="24"/>
        </w:rPr>
        <w:t>(4.9)</w:t>
      </w:r>
    </w:p>
    <w:p w14:paraId="5DDBC6C1" w14:textId="77777777" w:rsidR="00184198" w:rsidRPr="00D35F34" w:rsidRDefault="00184198" w:rsidP="0078572C">
      <w:pPr>
        <w:pStyle w:val="a0"/>
        <w:shd w:val="clear" w:color="auto" w:fill="auto"/>
        <w:tabs>
          <w:tab w:val="left" w:pos="4253"/>
        </w:tabs>
        <w:spacing w:after="160" w:line="360" w:lineRule="auto"/>
        <w:ind w:firstLine="567"/>
        <w:jc w:val="center"/>
        <w:rPr>
          <w:rFonts w:ascii="Sylfaen" w:hAnsi="Sylfaen" w:cs="Sylfaen"/>
          <w:sz w:val="24"/>
          <w:szCs w:val="24"/>
        </w:rPr>
      </w:pPr>
    </w:p>
    <w:p w14:paraId="5364C8EE"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b</m:t>
            </m:r>
          </m:sub>
        </m:sSub>
      </m:oMath>
      <w:r w:rsidR="00B834A2" w:rsidRPr="00B834A2">
        <w:rPr>
          <w:rFonts w:ascii="Sylfaen" w:hAnsi="Sylfaen"/>
          <w:sz w:val="24"/>
          <w:szCs w:val="24"/>
        </w:rPr>
        <w:t xml:space="preserve"> </w:t>
      </w:r>
      <w:r w:rsidR="00B834A2">
        <w:rPr>
          <w:rFonts w:ascii="Sylfaen" w:hAnsi="Sylfaen"/>
          <w:sz w:val="24"/>
          <w:szCs w:val="24"/>
        </w:rPr>
        <w:t>եւ</w:t>
      </w:r>
      <w:r w:rsidR="00B834A2" w:rsidRPr="00B834A2">
        <w:rPr>
          <w:rFonts w:ascii="Sylfaen" w:hAnsi="Sylfaen"/>
          <w:sz w:val="24"/>
          <w:szCs w:val="24"/>
        </w:rPr>
        <w:t xml:space="preserve"> </w:t>
      </w:r>
      <m:oMath>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a</m:t>
            </m:r>
          </m:sub>
        </m:sSub>
        <m:r>
          <w:rPr>
            <w:rFonts w:ascii="Cambria Math" w:hAnsi="Cambria Math" w:cs="Sylfaen"/>
            <w:sz w:val="24"/>
            <w:szCs w:val="24"/>
          </w:rPr>
          <m:t xml:space="preserve"> </m:t>
        </m:r>
      </m:oMath>
      <w:r w:rsidR="00B834A2" w:rsidRPr="00B834A2">
        <w:rPr>
          <w:rFonts w:ascii="Sylfaen" w:hAnsi="Sylfaen"/>
          <w:sz w:val="24"/>
          <w:szCs w:val="24"/>
        </w:rPr>
        <w:t xml:space="preserve">ստանդարտ շեղումները </w:t>
      </w:r>
      <w:r w:rsidR="00B834A2">
        <w:rPr>
          <w:rFonts w:ascii="Sylfaen" w:hAnsi="Sylfaen"/>
          <w:sz w:val="24"/>
          <w:szCs w:val="24"/>
        </w:rPr>
        <w:t>եւ</w:t>
      </w:r>
      <w:r w:rsidR="00B834A2" w:rsidRPr="00B834A2">
        <w:rPr>
          <w:rFonts w:ascii="Sylfaen" w:hAnsi="Sylfaen"/>
          <w:sz w:val="24"/>
          <w:szCs w:val="24"/>
        </w:rPr>
        <w:t xml:space="preserve"> </w:t>
      </w:r>
      <m:oMath>
        <m:r>
          <w:rPr>
            <w:rFonts w:ascii="Cambria Math" w:hAnsi="Cambria Math" w:cs="Sylfaen"/>
            <w:sz w:val="24"/>
            <w:szCs w:val="24"/>
          </w:rPr>
          <m:t>∆b</m:t>
        </m:r>
      </m:oMath>
      <w:r w:rsidR="00B834A2" w:rsidRPr="00B834A2">
        <w:rPr>
          <w:rFonts w:ascii="Sylfaen" w:hAnsi="Sylfaen"/>
          <w:sz w:val="24"/>
          <w:szCs w:val="24"/>
        </w:rPr>
        <w:t xml:space="preserve"> ու </w:t>
      </w:r>
      <m:oMath>
        <m:r>
          <w:rPr>
            <w:rFonts w:ascii="Cambria Math" w:hAnsi="Cambria Math" w:cs="Sylfaen"/>
            <w:sz w:val="24"/>
            <w:szCs w:val="24"/>
          </w:rPr>
          <m:t>∆a</m:t>
        </m:r>
      </m:oMath>
      <w:r w:rsidR="00B834A2" w:rsidRPr="00B834A2">
        <w:rPr>
          <w:rFonts w:ascii="Sylfaen" w:hAnsi="Sylfaen"/>
          <w:sz w:val="24"/>
          <w:szCs w:val="24"/>
        </w:rPr>
        <w:t xml:space="preserve"> մեծությունները, որոնք անհրաժեշտ են ռեգրեսիայի հավասարման հաստատունների վստահելի միջակայքերի գնահատման համար, հաշվարկում են հետ</w:t>
      </w:r>
      <w:r w:rsidR="00B834A2">
        <w:rPr>
          <w:rFonts w:ascii="Sylfaen" w:hAnsi="Sylfaen"/>
          <w:sz w:val="24"/>
          <w:szCs w:val="24"/>
        </w:rPr>
        <w:t>եւ</w:t>
      </w:r>
      <w:r w:rsidR="00B834A2" w:rsidRPr="00B834A2">
        <w:rPr>
          <w:rFonts w:ascii="Sylfaen" w:hAnsi="Sylfaen"/>
          <w:sz w:val="24"/>
          <w:szCs w:val="24"/>
        </w:rPr>
        <w:t>յալ հավասարումներով.</w:t>
      </w:r>
    </w:p>
    <w:p w14:paraId="5C7D451A"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b</m:t>
            </m:r>
          </m:sub>
        </m:sSub>
        <m:r>
          <w:rPr>
            <w:rFonts w:ascii="Cambria Math" w:hAnsi="Cambria Math" w:cs="Sylfaen"/>
            <w:sz w:val="24"/>
            <w:szCs w:val="24"/>
          </w:rPr>
          <m:t>=</m:t>
        </m:r>
        <m:rad>
          <m:radPr>
            <m:degHide m:val="1"/>
            <m:ctrlPr>
              <w:rPr>
                <w:rFonts w:ascii="Cambria Math" w:hAnsi="Cambria Math" w:cs="Sylfaen"/>
                <w:bCs/>
                <w:i/>
                <w:sz w:val="24"/>
                <w:szCs w:val="24"/>
              </w:rPr>
            </m:ctrlPr>
          </m:radPr>
          <m:deg/>
          <m:e>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b</m:t>
                </m:r>
              </m:sub>
              <m:sup>
                <m:r>
                  <w:rPr>
                    <w:rFonts w:ascii="Cambria Math" w:hAnsi="Cambria Math" w:cs="Sylfaen"/>
                    <w:sz w:val="24"/>
                    <w:szCs w:val="24"/>
                  </w:rPr>
                  <m:t>2</m:t>
                </m:r>
              </m:sup>
            </m:sSubSup>
          </m:e>
        </m:rad>
      </m:oMath>
      <w:r w:rsidR="00B834A2" w:rsidRPr="00B834A2">
        <w:rPr>
          <w:rFonts w:ascii="Sylfaen" w:hAnsi="Sylfaen"/>
          <w:sz w:val="24"/>
          <w:szCs w:val="24"/>
        </w:rPr>
        <w:t xml:space="preserve"> (4.10)</w:t>
      </w:r>
    </w:p>
    <w:p w14:paraId="4CD0CCD6"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a</m:t>
            </m:r>
          </m:sub>
        </m:sSub>
        <m:r>
          <w:rPr>
            <w:rFonts w:ascii="Cambria Math" w:hAnsi="Cambria Math" w:cs="Sylfaen"/>
            <w:sz w:val="24"/>
            <w:szCs w:val="24"/>
          </w:rPr>
          <m:t>=</m:t>
        </m:r>
        <m:rad>
          <m:radPr>
            <m:degHide m:val="1"/>
            <m:ctrlPr>
              <w:rPr>
                <w:rFonts w:ascii="Cambria Math" w:hAnsi="Cambria Math" w:cs="Sylfaen"/>
                <w:bCs/>
                <w:i/>
                <w:sz w:val="24"/>
                <w:szCs w:val="24"/>
              </w:rPr>
            </m:ctrlPr>
          </m:radPr>
          <m:deg/>
          <m:e>
            <m:sSubSup>
              <m:sSubSupPr>
                <m:ctrlPr>
                  <w:rPr>
                    <w:rFonts w:ascii="Cambria Math" w:hAnsi="Cambria Math" w:cs="Sylfaen"/>
                    <w:bCs/>
                    <w:i/>
                    <w:sz w:val="24"/>
                    <w:szCs w:val="24"/>
                  </w:rPr>
                </m:ctrlPr>
              </m:sSubSupPr>
              <m:e>
                <m:r>
                  <w:rPr>
                    <w:rFonts w:ascii="Cambria Math" w:hAnsi="Cambria Math" w:cs="Sylfaen"/>
                    <w:sz w:val="24"/>
                    <w:szCs w:val="24"/>
                  </w:rPr>
                  <m:t>s</m:t>
                </m:r>
              </m:e>
              <m:sub>
                <m:r>
                  <w:rPr>
                    <w:rFonts w:ascii="Cambria Math" w:hAnsi="Cambria Math" w:cs="Sylfaen"/>
                    <w:sz w:val="24"/>
                    <w:szCs w:val="24"/>
                  </w:rPr>
                  <m:t>a</m:t>
                </m:r>
              </m:sub>
              <m:sup>
                <m:r>
                  <w:rPr>
                    <w:rFonts w:ascii="Cambria Math" w:hAnsi="Cambria Math" w:cs="Sylfaen"/>
                    <w:sz w:val="24"/>
                    <w:szCs w:val="24"/>
                  </w:rPr>
                  <m:t>2</m:t>
                </m:r>
              </m:sup>
            </m:sSubSup>
          </m:e>
        </m:rad>
      </m:oMath>
      <w:r w:rsidR="00B834A2" w:rsidRPr="00B834A2">
        <w:rPr>
          <w:rFonts w:ascii="Sylfaen" w:hAnsi="Sylfaen"/>
          <w:sz w:val="24"/>
          <w:szCs w:val="24"/>
        </w:rPr>
        <w:t xml:space="preserve"> (4.11)</w:t>
      </w:r>
    </w:p>
    <w:p w14:paraId="014F1825"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∆b=t</m:t>
        </m:r>
        <m:d>
          <m:dPr>
            <m:ctrlPr>
              <w:rPr>
                <w:rFonts w:ascii="Cambria Math" w:hAnsi="Cambria Math" w:cs="Sylfaen"/>
                <w:bCs/>
                <w:i/>
                <w:sz w:val="24"/>
                <w:szCs w:val="24"/>
              </w:rPr>
            </m:ctrlPr>
          </m:dPr>
          <m:e>
            <m:r>
              <w:rPr>
                <w:rFonts w:ascii="Cambria Math" w:hAnsi="Cambria Math" w:cs="Sylfaen"/>
                <w:sz w:val="24"/>
                <w:szCs w:val="24"/>
              </w:rPr>
              <m:t>P,f</m:t>
            </m:r>
          </m:e>
        </m:d>
        <m:r>
          <w:rPr>
            <w:rFonts w:ascii="Cambria Math" w:hAnsi="Cambria Math" w:cs="Sylfaen"/>
            <w:sz w:val="24"/>
            <w:szCs w:val="24"/>
          </w:rPr>
          <m:t>*</m:t>
        </m:r>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b</m:t>
            </m:r>
          </m:sub>
        </m:sSub>
        <m:r>
          <w:rPr>
            <w:rFonts w:ascii="Cambria Math" w:hAnsi="Cambria Math" w:cs="Sylfaen"/>
            <w:sz w:val="24"/>
            <w:szCs w:val="24"/>
          </w:rPr>
          <m:t xml:space="preserve"> </m:t>
        </m:r>
      </m:oMath>
      <w:r w:rsidRPr="00B834A2">
        <w:rPr>
          <w:rFonts w:ascii="Sylfaen" w:hAnsi="Sylfaen"/>
          <w:sz w:val="24"/>
          <w:szCs w:val="24"/>
        </w:rPr>
        <w:t>(4.12)</w:t>
      </w:r>
    </w:p>
    <w:p w14:paraId="525DF438"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∆a=t</m:t>
        </m:r>
        <m:d>
          <m:dPr>
            <m:ctrlPr>
              <w:rPr>
                <w:rFonts w:ascii="Cambria Math" w:hAnsi="Cambria Math" w:cs="Sylfaen"/>
                <w:bCs/>
                <w:i/>
                <w:sz w:val="24"/>
                <w:szCs w:val="24"/>
              </w:rPr>
            </m:ctrlPr>
          </m:dPr>
          <m:e>
            <m:r>
              <w:rPr>
                <w:rFonts w:ascii="Cambria Math" w:hAnsi="Cambria Math" w:cs="Sylfaen"/>
                <w:sz w:val="24"/>
                <w:szCs w:val="24"/>
              </w:rPr>
              <m:t>P,f</m:t>
            </m:r>
          </m:e>
        </m:d>
        <m:r>
          <w:rPr>
            <w:rFonts w:ascii="Cambria Math" w:hAnsi="Cambria Math" w:cs="Sylfaen"/>
            <w:sz w:val="24"/>
            <w:szCs w:val="24"/>
          </w:rPr>
          <m:t>*</m:t>
        </m:r>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a</m:t>
            </m:r>
          </m:sub>
        </m:sSub>
      </m:oMath>
      <w:r w:rsidRPr="00B834A2">
        <w:rPr>
          <w:rFonts w:ascii="Sylfaen" w:hAnsi="Sylfaen"/>
          <w:sz w:val="24"/>
          <w:szCs w:val="24"/>
        </w:rPr>
        <w:t xml:space="preserve"> (4.13)</w:t>
      </w:r>
    </w:p>
    <w:p w14:paraId="796EEBB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а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 xml:space="preserve">b գործակիցները պետք է էականորեն տարբերվեն զրոյից, այսինքն՝ գերազանցեն համապատասխանաբար </w:t>
      </w:r>
      <m:oMath>
        <m:r>
          <w:rPr>
            <w:rFonts w:ascii="Cambria Math" w:hAnsi="Cambria Math" w:cs="Sylfaen"/>
            <w:sz w:val="24"/>
            <w:szCs w:val="24"/>
          </w:rPr>
          <m:t>∆a</m:t>
        </m:r>
      </m:oMath>
      <w:r w:rsidRPr="00B834A2">
        <w:rPr>
          <w:rFonts w:ascii="Sylfaen" w:hAnsi="Sylfaen"/>
          <w:i/>
          <w:sz w:val="24"/>
          <w:szCs w:val="24"/>
        </w:rPr>
        <w:t xml:space="preserve"> </w:t>
      </w:r>
      <w:r>
        <w:rPr>
          <w:rFonts w:ascii="Sylfaen" w:hAnsi="Sylfaen"/>
          <w:i/>
          <w:sz w:val="24"/>
          <w:szCs w:val="24"/>
        </w:rPr>
        <w:t>եւ</w:t>
      </w:r>
      <w:r w:rsidRPr="00B834A2">
        <w:rPr>
          <w:rFonts w:ascii="Sylfaen" w:hAnsi="Sylfaen"/>
          <w:sz w:val="24"/>
          <w:szCs w:val="24"/>
        </w:rPr>
        <w:t xml:space="preserve"> </w:t>
      </w:r>
      <m:oMath>
        <m:r>
          <w:rPr>
            <w:rFonts w:ascii="Cambria Math" w:hAnsi="Cambria Math" w:cs="Sylfaen"/>
            <w:sz w:val="24"/>
            <w:szCs w:val="24"/>
          </w:rPr>
          <m:t>∆b</m:t>
        </m:r>
        <m:r>
          <w:rPr>
            <w:rFonts w:ascii="Sylfaen" w:hAnsi="Sylfaen" w:cs="Sylfaen"/>
            <w:sz w:val="24"/>
            <w:szCs w:val="24"/>
          </w:rPr>
          <m:t>մեծությունները</m:t>
        </m:r>
      </m:oMath>
      <w:r w:rsidRPr="00B834A2">
        <w:rPr>
          <w:rFonts w:ascii="Sylfaen" w:hAnsi="Sylfaen" w:cs="Sylfaen"/>
          <w:sz w:val="24"/>
          <w:szCs w:val="24"/>
        </w:rPr>
        <w:t xml:space="preserve">: </w:t>
      </w:r>
    </w:p>
    <w:p w14:paraId="2F5511C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а </w:t>
      </w:r>
      <w:r>
        <w:rPr>
          <w:rFonts w:ascii="Sylfaen" w:hAnsi="Sylfaen"/>
          <w:sz w:val="24"/>
          <w:szCs w:val="24"/>
        </w:rPr>
        <w:t>եւ</w:t>
      </w:r>
      <w:r w:rsidRPr="00B834A2">
        <w:rPr>
          <w:rFonts w:ascii="Sylfaen" w:hAnsi="Sylfaen"/>
          <w:i/>
          <w:sz w:val="24"/>
          <w:szCs w:val="24"/>
        </w:rPr>
        <w:t xml:space="preserve"> b</w:t>
      </w:r>
      <w:r w:rsidRPr="00B834A2">
        <w:rPr>
          <w:rFonts w:ascii="Sylfaen" w:hAnsi="Sylfaen"/>
          <w:sz w:val="24"/>
          <w:szCs w:val="24"/>
        </w:rPr>
        <w:t xml:space="preserve"> հաստատուններով (4.1) հավասարմանը պարտադիր կերպով բավարարում է ստուգաճշտման գծապատկերի կենտրոն կոչվող </w:t>
      </w:r>
      <w:r w:rsidRPr="00B834A2">
        <w:rPr>
          <w:rFonts w:ascii="Sylfaen" w:hAnsi="Sylfaen"/>
          <w:b/>
          <w:sz w:val="24"/>
          <w:szCs w:val="24"/>
        </w:rPr>
        <w:t>¯</w:t>
      </w:r>
      <w:r w:rsidRPr="00B834A2">
        <w:rPr>
          <w:rFonts w:ascii="Sylfaen" w:hAnsi="Sylfaen"/>
          <w:i/>
          <w:sz w:val="24"/>
          <w:szCs w:val="24"/>
        </w:rPr>
        <w:t>х</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у կոորդիատներով կետը.</w:t>
      </w:r>
    </w:p>
    <w:p w14:paraId="6D982B40"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w:r w:rsidRPr="00B834A2">
        <w:rPr>
          <w:rFonts w:ascii="Sylfaen" w:hAnsi="Sylfaen"/>
          <w:i/>
          <w:sz w:val="24"/>
          <w:szCs w:val="24"/>
        </w:rPr>
        <w:t xml:space="preserve">¯x = </w:t>
      </w:r>
      <m:oMath>
        <m:f>
          <m:fPr>
            <m:ctrlPr>
              <w:rPr>
                <w:rFonts w:ascii="Cambria Math" w:hAnsi="Cambria Math" w:cs="Sylfaen"/>
                <w:i/>
                <w:iCs/>
                <w:sz w:val="24"/>
                <w:szCs w:val="24"/>
              </w:rPr>
            </m:ctrlPr>
          </m:fPr>
          <m:num>
            <m:nary>
              <m:naryPr>
                <m:chr m:val="∑"/>
                <m:limLoc m:val="undOvr"/>
                <m:ctrlPr>
                  <w:rPr>
                    <w:rFonts w:ascii="Cambria Math" w:hAnsi="Cambria Math" w:cs="Sylfaen"/>
                    <w:i/>
                    <w:iCs/>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i</m:t>
                    </m:r>
                  </m:sub>
                </m:sSub>
              </m:e>
            </m:nary>
          </m:num>
          <m:den>
            <m:r>
              <w:rPr>
                <w:rFonts w:ascii="Cambria Math" w:hAnsi="Cambria Math" w:cs="Sylfaen"/>
                <w:sz w:val="24"/>
                <w:szCs w:val="24"/>
              </w:rPr>
              <m:t>m</m:t>
            </m:r>
          </m:den>
        </m:f>
      </m:oMath>
      <w:r w:rsidRPr="00B834A2">
        <w:rPr>
          <w:rFonts w:ascii="Sylfaen" w:hAnsi="Sylfaen"/>
          <w:i/>
          <w:sz w:val="24"/>
          <w:szCs w:val="24"/>
        </w:rPr>
        <w:t xml:space="preserve">. </w:t>
      </w:r>
      <w:r w:rsidRPr="00B834A2">
        <w:rPr>
          <w:rFonts w:ascii="Sylfaen" w:hAnsi="Sylfaen"/>
          <w:sz w:val="24"/>
          <w:szCs w:val="24"/>
        </w:rPr>
        <w:t>(4.14)</w:t>
      </w:r>
    </w:p>
    <w:p w14:paraId="01C03149"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lang w:val="en-GB"/>
        </w:rPr>
      </w:pPr>
      <w:r w:rsidRPr="00B834A2">
        <w:rPr>
          <w:rFonts w:ascii="Sylfaen" w:hAnsi="Sylfaen"/>
          <w:i/>
          <w:sz w:val="24"/>
          <w:szCs w:val="24"/>
        </w:rPr>
        <w:t xml:space="preserve">¯y </w:t>
      </w:r>
      <m:oMath>
        <m:f>
          <m:fPr>
            <m:ctrlPr>
              <w:rPr>
                <w:rFonts w:ascii="Cambria Math" w:hAnsi="Cambria Math" w:cs="Sylfaen"/>
                <w:i/>
                <w:iCs/>
                <w:sz w:val="24"/>
                <w:szCs w:val="24"/>
              </w:rPr>
            </m:ctrlPr>
          </m:fPr>
          <m:num>
            <m:nary>
              <m:naryPr>
                <m:chr m:val="∑"/>
                <m:limLoc m:val="undOvr"/>
                <m:ctrlPr>
                  <w:rPr>
                    <w:rFonts w:ascii="Cambria Math" w:hAnsi="Cambria Math" w:cs="Sylfaen"/>
                    <w:i/>
                    <w:iCs/>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iCs/>
                        <w:sz w:val="24"/>
                        <w:szCs w:val="24"/>
                      </w:rPr>
                    </m:ctrlPr>
                  </m:sSubPr>
                  <m:e>
                    <m:r>
                      <w:rPr>
                        <w:rFonts w:ascii="Cambria Math" w:hAnsi="Cambria Math" w:cs="Sylfaen"/>
                        <w:sz w:val="24"/>
                        <w:szCs w:val="24"/>
                      </w:rPr>
                      <m:t>y</m:t>
                    </m:r>
                  </m:e>
                  <m:sub>
                    <m:r>
                      <w:rPr>
                        <w:rFonts w:ascii="Cambria Math" w:hAnsi="Cambria Math" w:cs="Sylfaen"/>
                        <w:sz w:val="24"/>
                        <w:szCs w:val="24"/>
                      </w:rPr>
                      <m:t>i</m:t>
                    </m:r>
                  </m:sub>
                </m:sSub>
              </m:e>
            </m:nary>
          </m:num>
          <m:den>
            <m:r>
              <w:rPr>
                <w:rFonts w:ascii="Cambria Math" w:hAnsi="Cambria Math" w:cs="Sylfaen"/>
                <w:sz w:val="24"/>
                <w:szCs w:val="24"/>
              </w:rPr>
              <m:t>m</m:t>
            </m:r>
          </m:den>
        </m:f>
      </m:oMath>
      <w:r w:rsidRPr="00B834A2">
        <w:rPr>
          <w:rFonts w:ascii="Sylfaen" w:hAnsi="Sylfaen"/>
          <w:i/>
          <w:sz w:val="24"/>
          <w:szCs w:val="24"/>
        </w:rPr>
        <w:t>=</w:t>
      </w:r>
      <w:r w:rsidRPr="00B834A2">
        <w:rPr>
          <w:rFonts w:ascii="Sylfaen" w:hAnsi="Sylfaen"/>
          <w:sz w:val="24"/>
          <w:szCs w:val="24"/>
        </w:rPr>
        <w:t xml:space="preserve"> (4-15)</w:t>
      </w:r>
    </w:p>
    <w:p w14:paraId="452F7AE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у</w:t>
      </w:r>
      <w:r w:rsidRPr="00B834A2">
        <w:rPr>
          <w:rFonts w:ascii="Sylfaen" w:hAnsi="Sylfaen"/>
          <w:sz w:val="24"/>
          <w:szCs w:val="24"/>
          <w:vertAlign w:val="subscript"/>
        </w:rPr>
        <w:t>i</w:t>
      </w:r>
      <w:r w:rsidRPr="00B834A2">
        <w:rPr>
          <w:rFonts w:ascii="Sylfaen" w:hAnsi="Sylfaen"/>
          <w:sz w:val="24"/>
          <w:szCs w:val="24"/>
        </w:rPr>
        <w:t xml:space="preserve"> արժեքների՝</w:t>
      </w:r>
      <w:r w:rsidRPr="00B834A2">
        <w:rPr>
          <w:rFonts w:ascii="Sylfaen" w:hAnsi="Sylfaen"/>
          <w:i/>
          <w:sz w:val="24"/>
          <w:szCs w:val="24"/>
        </w:rPr>
        <w:t>Y</w:t>
      </w:r>
      <w:r w:rsidRPr="00B834A2">
        <w:rPr>
          <w:rFonts w:ascii="Sylfaen" w:hAnsi="Sylfaen"/>
          <w:i/>
          <w:sz w:val="24"/>
          <w:szCs w:val="24"/>
          <w:vertAlign w:val="subscript"/>
        </w:rPr>
        <w:t>i</w:t>
      </w:r>
      <w:r w:rsidRPr="00B834A2">
        <w:rPr>
          <w:rFonts w:ascii="Sylfaen" w:hAnsi="Sylfaen"/>
          <w:b/>
          <w:sz w:val="24"/>
          <w:szCs w:val="24"/>
        </w:rPr>
        <w:t xml:space="preserve"> </w:t>
      </w:r>
      <w:r w:rsidRPr="00B834A2">
        <w:rPr>
          <w:rFonts w:ascii="Sylfaen" w:hAnsi="Sylfaen"/>
          <w:sz w:val="24"/>
          <w:szCs w:val="24"/>
        </w:rPr>
        <w:t xml:space="preserve">արժեքներից նվազագույն շեղումները դիտվում են գծապատկերի կենտրոնի մոտակայքերում: </w:t>
      </w:r>
      <w:r w:rsidRPr="00B834A2">
        <w:rPr>
          <w:rFonts w:ascii="Sylfaen" w:hAnsi="Sylfaen"/>
          <w:i/>
          <w:sz w:val="24"/>
          <w:szCs w:val="24"/>
        </w:rPr>
        <w:t>Համապատասխան х</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 xml:space="preserve">у հայտնի արժեքներից ելնելով ՝ համապատասխանաբար (4.1) </w:t>
      </w:r>
      <w:r>
        <w:rPr>
          <w:rFonts w:ascii="Sylfaen" w:hAnsi="Sylfaen"/>
          <w:i/>
          <w:sz w:val="24"/>
          <w:szCs w:val="24"/>
        </w:rPr>
        <w:t>եւ</w:t>
      </w:r>
      <w:r w:rsidRPr="00B834A2">
        <w:rPr>
          <w:rFonts w:ascii="Sylfaen" w:hAnsi="Sylfaen"/>
          <w:i/>
          <w:sz w:val="24"/>
          <w:szCs w:val="24"/>
        </w:rPr>
        <w:t xml:space="preserve"> (4.2) հավասարումներով հաշվարկված у </w:t>
      </w:r>
      <w:r>
        <w:rPr>
          <w:rFonts w:ascii="Sylfaen" w:hAnsi="Sylfaen"/>
          <w:i/>
          <w:sz w:val="24"/>
          <w:szCs w:val="24"/>
        </w:rPr>
        <w:t>եւ</w:t>
      </w:r>
      <w:r w:rsidRPr="00B834A2">
        <w:rPr>
          <w:rFonts w:ascii="Sylfaen" w:hAnsi="Sylfaen"/>
          <w:i/>
          <w:sz w:val="24"/>
          <w:szCs w:val="24"/>
        </w:rPr>
        <w:t xml:space="preserve"> х մեծությունների s</w:t>
      </w:r>
      <w:r w:rsidRPr="00B834A2">
        <w:rPr>
          <w:rFonts w:ascii="Sylfaen" w:hAnsi="Sylfaen"/>
          <w:i/>
          <w:sz w:val="24"/>
          <w:szCs w:val="24"/>
          <w:vertAlign w:val="subscript"/>
        </w:rPr>
        <w:t>y</w:t>
      </w:r>
      <w:r w:rsidRPr="00B834A2">
        <w:rPr>
          <w:rFonts w:ascii="Sylfaen" w:hAnsi="Sylfaen"/>
          <w:i/>
          <w:sz w:val="24"/>
          <w:szCs w:val="24"/>
        </w:rPr>
        <w:t xml:space="preserve"> </w:t>
      </w:r>
      <w:r>
        <w:rPr>
          <w:rFonts w:ascii="Sylfaen" w:hAnsi="Sylfaen"/>
          <w:i/>
          <w:sz w:val="24"/>
          <w:szCs w:val="24"/>
        </w:rPr>
        <w:t>եւ</w:t>
      </w:r>
      <w:r w:rsidRPr="00B834A2">
        <w:rPr>
          <w:rFonts w:ascii="Sylfaen" w:hAnsi="Sylfaen"/>
          <w:i/>
          <w:sz w:val="24"/>
          <w:szCs w:val="24"/>
        </w:rPr>
        <w:t xml:space="preserve"> s</w:t>
      </w:r>
      <w:r w:rsidRPr="00B834A2">
        <w:rPr>
          <w:rFonts w:ascii="Sylfaen" w:hAnsi="Sylfaen"/>
          <w:i/>
          <w:sz w:val="24"/>
          <w:szCs w:val="24"/>
          <w:vertAlign w:val="subscript"/>
        </w:rPr>
        <w:t>x</w:t>
      </w:r>
      <w:r w:rsidRPr="00B834A2">
        <w:rPr>
          <w:rFonts w:ascii="Sylfaen" w:hAnsi="Sylfaen"/>
          <w:i/>
          <w:sz w:val="24"/>
          <w:szCs w:val="24"/>
        </w:rPr>
        <w:t xml:space="preserve"> ստանդարտ շեղումները որոշում են՝ հաշվի առնելով վերջիններիս՝ գծապատկերի կենտրոնից հեռացումը.</w:t>
      </w:r>
    </w:p>
    <w:p w14:paraId="498A273D"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y</m:t>
            </m:r>
          </m:sub>
        </m:sSub>
        <m:r>
          <w:rPr>
            <w:rFonts w:ascii="Cambria Math" w:hAnsi="Cambria Math" w:cs="Sylfaen"/>
            <w:sz w:val="24"/>
            <w:szCs w:val="24"/>
          </w:rPr>
          <m:t>=</m:t>
        </m:r>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 xml:space="preserve">2 </m:t>
                </m:r>
              </m:sup>
            </m:sSubSup>
            <m:d>
              <m:dPr>
                <m:begChr m:val="["/>
                <m:endChr m:val="]"/>
                <m:ctrlPr>
                  <w:rPr>
                    <w:rFonts w:ascii="Cambria Math" w:hAnsi="Cambria Math" w:cs="Sylfaen"/>
                    <w:i/>
                    <w:sz w:val="24"/>
                    <w:szCs w:val="24"/>
                  </w:rPr>
                </m:ctrlPr>
              </m:dPr>
              <m:e>
                <m:f>
                  <m:fPr>
                    <m:ctrlPr>
                      <w:rPr>
                        <w:rFonts w:ascii="Cambria Math" w:hAnsi="Cambria Math" w:cs="Sylfaen"/>
                        <w:i/>
                        <w:sz w:val="24"/>
                        <w:szCs w:val="24"/>
                      </w:rPr>
                    </m:ctrlPr>
                  </m:fPr>
                  <m:num>
                    <m:r>
                      <w:rPr>
                        <w:rFonts w:ascii="Cambria Math" w:hAnsi="Cambria Math" w:cs="Sylfaen"/>
                        <w:sz w:val="24"/>
                        <w:szCs w:val="24"/>
                      </w:rPr>
                      <m:t>1</m:t>
                    </m:r>
                  </m:num>
                  <m:den>
                    <m:r>
                      <w:rPr>
                        <w:rFonts w:ascii="Cambria Math" w:hAnsi="Cambria Math" w:cs="Sylfaen"/>
                        <w:sz w:val="24"/>
                        <w:szCs w:val="24"/>
                      </w:rPr>
                      <m:t>m</m:t>
                    </m:r>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m(x-¯x</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num>
                  <m:den>
                    <m:sSup>
                      <m:sSupPr>
                        <m:ctrlPr>
                          <w:rPr>
                            <w:rFonts w:ascii="Cambria Math" w:hAnsi="Cambria Math" w:cs="Sylfaen"/>
                            <w:i/>
                            <w:sz w:val="24"/>
                            <w:szCs w:val="24"/>
                          </w:rPr>
                        </m:ctrlPr>
                      </m:sSupPr>
                      <m:e>
                        <m:r>
                          <w:rPr>
                            <w:rFonts w:ascii="Cambria Math" w:hAnsi="Cambria Math" w:cs="Sylfaen"/>
                            <w:sz w:val="24"/>
                            <w:szCs w:val="24"/>
                          </w:rPr>
                          <m:t>b</m:t>
                        </m:r>
                      </m:e>
                      <m:sup>
                        <m:r>
                          <w:rPr>
                            <w:rFonts w:ascii="Cambria Math" w:hAnsi="Cambria Math" w:cs="Sylfaen"/>
                            <w:sz w:val="24"/>
                            <w:szCs w:val="24"/>
                          </w:rPr>
                          <m:t>2</m:t>
                        </m:r>
                      </m:sup>
                    </m:sSup>
                    <m:d>
                      <m:dPr>
                        <m:begChr m:val="["/>
                        <m:endChr m:val="]"/>
                        <m:ctrlPr>
                          <w:rPr>
                            <w:rFonts w:ascii="Cambria Math" w:hAnsi="Cambria Math" w:cs="Sylfaen"/>
                            <w:i/>
                            <w:sz w:val="24"/>
                            <w:szCs w:val="24"/>
                          </w:rPr>
                        </m:ctrlPr>
                      </m:dPr>
                      <m:e>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e>
                            </m:nary>
                          </m:e>
                        </m:nary>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d>
                  </m:den>
                </m:f>
              </m:e>
            </m:d>
          </m:e>
        </m:rad>
      </m:oMath>
      <w:r w:rsidR="00B834A2" w:rsidRPr="00B834A2">
        <w:rPr>
          <w:rFonts w:ascii="Sylfaen" w:hAnsi="Sylfaen"/>
          <w:sz w:val="24"/>
          <w:szCs w:val="24"/>
        </w:rPr>
        <w:t>; (4.16)</w:t>
      </w:r>
    </w:p>
    <w:p w14:paraId="541038A9"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hAnsi="Cambria Math" w:cs="Sylfaen"/>
            <w:sz w:val="24"/>
            <w:szCs w:val="24"/>
          </w:rPr>
          <m:t>=</m:t>
        </m:r>
        <m:rad>
          <m:radPr>
            <m:degHide m:val="1"/>
            <m:ctrlPr>
              <w:rPr>
                <w:rFonts w:ascii="Cambria Math" w:hAnsi="Cambria Math" w:cs="Sylfaen"/>
                <w:i/>
                <w:sz w:val="24"/>
                <w:szCs w:val="24"/>
              </w:rPr>
            </m:ctrlPr>
          </m:radPr>
          <m:deg/>
          <m:e>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2</m:t>
                    </m:r>
                  </m:sup>
                </m:sSubSup>
              </m:num>
              <m:den>
                <m:sSup>
                  <m:sSupPr>
                    <m:ctrlPr>
                      <w:rPr>
                        <w:rFonts w:ascii="Cambria Math" w:hAnsi="Cambria Math" w:cs="Sylfaen"/>
                        <w:i/>
                        <w:sz w:val="24"/>
                        <w:szCs w:val="24"/>
                      </w:rPr>
                    </m:ctrlPr>
                  </m:sSupPr>
                  <m:e>
                    <m:r>
                      <w:rPr>
                        <w:rFonts w:ascii="Cambria Math" w:hAnsi="Cambria Math" w:cs="Sylfaen"/>
                        <w:sz w:val="24"/>
                        <w:szCs w:val="24"/>
                      </w:rPr>
                      <m:t>b</m:t>
                    </m:r>
                  </m:e>
                  <m:sup>
                    <m:r>
                      <w:rPr>
                        <w:rFonts w:ascii="Cambria Math" w:hAnsi="Cambria Math" w:cs="Sylfaen"/>
                        <w:sz w:val="24"/>
                        <w:szCs w:val="24"/>
                      </w:rPr>
                      <m:t>2</m:t>
                    </m:r>
                  </m:sup>
                </m:sSup>
              </m:den>
            </m:f>
          </m:e>
        </m:rad>
        <m:r>
          <w:rPr>
            <w:rFonts w:ascii="Cambria Math" w:hAnsi="Cambria Math" w:cs="Sylfaen"/>
            <w:sz w:val="24"/>
            <w:szCs w:val="24"/>
          </w:rPr>
          <m:t xml:space="preserve"> </m:t>
        </m:r>
        <m:d>
          <m:dPr>
            <m:begChr m:val="["/>
            <m:endChr m:val="]"/>
            <m:ctrlPr>
              <w:rPr>
                <w:rFonts w:ascii="Cambria Math" w:hAnsi="Cambria Math" w:cs="Sylfaen"/>
                <w:i/>
                <w:sz w:val="24"/>
                <w:szCs w:val="24"/>
              </w:rPr>
            </m:ctrlPr>
          </m:dPr>
          <m:e>
            <m:f>
              <m:fPr>
                <m:ctrlPr>
                  <w:rPr>
                    <w:rFonts w:ascii="Cambria Math" w:hAnsi="Cambria Math" w:cs="Sylfaen"/>
                    <w:i/>
                    <w:sz w:val="24"/>
                    <w:szCs w:val="24"/>
                  </w:rPr>
                </m:ctrlPr>
              </m:fPr>
              <m:num>
                <m:r>
                  <w:rPr>
                    <w:rFonts w:ascii="Cambria Math" w:hAnsi="Cambria Math" w:cs="Sylfaen"/>
                    <w:sz w:val="24"/>
                    <w:szCs w:val="24"/>
                  </w:rPr>
                  <m:t>1</m:t>
                </m:r>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j</m:t>
                    </m:r>
                  </m:sub>
                </m:sSub>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1</m:t>
                </m:r>
              </m:num>
              <m:den>
                <m:r>
                  <w:rPr>
                    <w:rFonts w:ascii="Cambria Math" w:hAnsi="Cambria Math" w:cs="Sylfaen"/>
                    <w:sz w:val="24"/>
                    <w:szCs w:val="24"/>
                  </w:rPr>
                  <m:t>m</m:t>
                </m:r>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m(</m:t>
                </m:r>
                <m:sSub>
                  <m:sSubPr>
                    <m:ctrlPr>
                      <w:rPr>
                        <w:rFonts w:ascii="Cambria Math" w:hAnsi="Cambria Math" w:cs="Sylfaen"/>
                        <w:i/>
                        <w:sz w:val="24"/>
                        <w:szCs w:val="24"/>
                      </w:rPr>
                    </m:ctrlPr>
                  </m:sSubPr>
                  <m:e>
                    <m:bar>
                      <m:barPr>
                        <m:pos m:val="top"/>
                        <m:ctrlPr>
                          <w:rPr>
                            <w:rFonts w:ascii="Cambria Math" w:hAnsi="Cambria Math" w:cs="Sylfaen"/>
                            <w:i/>
                            <w:sz w:val="24"/>
                            <w:szCs w:val="24"/>
                          </w:rPr>
                        </m:ctrlPr>
                      </m:barPr>
                      <m:e>
                        <m:r>
                          <w:rPr>
                            <w:rFonts w:ascii="Cambria Math" w:hAnsi="Cambria Math" w:cs="Sylfaen"/>
                            <w:sz w:val="24"/>
                            <w:szCs w:val="24"/>
                          </w:rPr>
                          <m:t>y</m:t>
                        </m:r>
                      </m:e>
                    </m:bar>
                  </m:e>
                  <m:sub>
                    <m:r>
                      <w:rPr>
                        <w:rFonts w:ascii="Cambria Math" w:hAnsi="Cambria Math" w:cs="Sylfaen"/>
                        <w:sz w:val="24"/>
                        <w:szCs w:val="24"/>
                      </w:rPr>
                      <m:t>i</m:t>
                    </m:r>
                  </m:sub>
                </m:sSub>
                <m:r>
                  <w:rPr>
                    <w:rFonts w:ascii="Cambria Math" w:hAnsi="Cambria Math" w:cs="Sylfaen"/>
                    <w:sz w:val="24"/>
                    <w:szCs w:val="24"/>
                  </w:rPr>
                  <m:t>-¯y</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num>
              <m:den>
                <m:sSup>
                  <m:sSupPr>
                    <m:ctrlPr>
                      <w:rPr>
                        <w:rFonts w:ascii="Cambria Math" w:hAnsi="Cambria Math" w:cs="Sylfaen"/>
                        <w:i/>
                        <w:sz w:val="24"/>
                        <w:szCs w:val="24"/>
                      </w:rPr>
                    </m:ctrlPr>
                  </m:sSupPr>
                  <m:e>
                    <m:r>
                      <w:rPr>
                        <w:rFonts w:ascii="Cambria Math" w:hAnsi="Cambria Math" w:cs="Sylfaen"/>
                        <w:sz w:val="24"/>
                        <w:szCs w:val="24"/>
                      </w:rPr>
                      <m:t>b</m:t>
                    </m:r>
                  </m:e>
                  <m:sup>
                    <m:r>
                      <w:rPr>
                        <w:rFonts w:ascii="Cambria Math" w:hAnsi="Cambria Math" w:cs="Sylfaen"/>
                        <w:sz w:val="24"/>
                        <w:szCs w:val="24"/>
                      </w:rPr>
                      <m:t>2</m:t>
                    </m:r>
                  </m:sup>
                </m:sSup>
                <m:d>
                  <m:dPr>
                    <m:begChr m:val="["/>
                    <m:endChr m:val="]"/>
                    <m:ctrlPr>
                      <w:rPr>
                        <w:rFonts w:ascii="Cambria Math" w:hAnsi="Cambria Math" w:cs="Sylfaen"/>
                        <w:i/>
                        <w:sz w:val="24"/>
                        <w:szCs w:val="24"/>
                      </w:rPr>
                    </m:ctrlPr>
                  </m:dPr>
                  <m:e>
                    <m:r>
                      <w:rPr>
                        <w:rFonts w:ascii="Cambria Math" w:hAnsi="Cambria Math" w:cs="Sylfaen"/>
                        <w:sz w:val="24"/>
                        <w:szCs w:val="24"/>
                      </w:rPr>
                      <m:t>m</m:t>
                    </m:r>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e>
                    </m:nary>
                    <m:r>
                      <w:rPr>
                        <w:rFonts w:ascii="Cambria Math" w:hAnsi="Cambria Math" w:cs="Sylfaen"/>
                        <w:sz w:val="24"/>
                        <w:szCs w:val="24"/>
                      </w:rPr>
                      <m:t>-(</m:t>
                    </m:r>
                    <m:nary>
                      <m:naryPr>
                        <m:chr m:val="∑"/>
                        <m:limLoc m:val="subSup"/>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m</m:t>
                        </m:r>
                      </m:sup>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nary>
                  </m:e>
                </m:d>
              </m:den>
            </m:f>
          </m:e>
        </m:d>
      </m:oMath>
      <w:r w:rsidR="00B834A2" w:rsidRPr="00B834A2">
        <w:rPr>
          <w:rFonts w:ascii="Sylfaen" w:hAnsi="Sylfaen"/>
          <w:sz w:val="24"/>
          <w:szCs w:val="24"/>
        </w:rPr>
        <w:t>.(4.17)</w:t>
      </w:r>
    </w:p>
    <w:p w14:paraId="0D5A7BA5"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որտեղ՝ </w:t>
      </w:r>
    </w:p>
    <w:p w14:paraId="63463105"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bar>
              <m:barPr>
                <m:pos m:val="top"/>
                <m:ctrlPr>
                  <w:rPr>
                    <w:rFonts w:ascii="Cambria Math" w:hAnsi="Cambria Math" w:cs="Sylfaen"/>
                    <w:i/>
                    <w:sz w:val="24"/>
                    <w:szCs w:val="24"/>
                  </w:rPr>
                </m:ctrlPr>
              </m:barPr>
              <m:e>
                <m:r>
                  <w:rPr>
                    <w:rFonts w:ascii="Cambria Math" w:hAnsi="Cambria Math" w:cs="Sylfaen"/>
                    <w:sz w:val="24"/>
                    <w:szCs w:val="24"/>
                  </w:rPr>
                  <m:t>y</m:t>
                </m:r>
              </m:e>
            </m:bar>
          </m:e>
          <m:sub>
            <m:r>
              <w:rPr>
                <w:rFonts w:ascii="Cambria Math" w:hAnsi="Cambria Math" w:cs="Sylfaen"/>
                <w:sz w:val="24"/>
                <w:szCs w:val="24"/>
              </w:rPr>
              <m:t>i</m:t>
            </m:r>
          </m:sub>
        </m:sSub>
        <m:r>
          <w:rPr>
            <w:rFonts w:ascii="Cambria Math" w:hAnsi="Cambria Math" w:cs="Sylfaen"/>
            <w:sz w:val="24"/>
            <w:szCs w:val="24"/>
          </w:rPr>
          <m:t>-</m:t>
        </m:r>
        <m:r>
          <w:rPr>
            <w:rFonts w:ascii="Sylfaen" w:hAnsi="Sylfaen" w:cs="Sylfaen"/>
            <w:sz w:val="24"/>
            <w:szCs w:val="24"/>
          </w:rPr>
          <m:t>ը</m:t>
        </m:r>
      </m:oMath>
      <w:r w:rsidR="00B834A2">
        <w:rPr>
          <w:rFonts w:ascii="Sylfaen" w:hAnsi="Sylfaen"/>
          <w:sz w:val="24"/>
          <w:szCs w:val="24"/>
        </w:rPr>
        <w:t xml:space="preserve"> </w:t>
      </w:r>
      <w:r w:rsidR="00B834A2" w:rsidRPr="00B834A2">
        <w:rPr>
          <w:rFonts w:ascii="Sylfaen" w:hAnsi="Sylfaen"/>
          <w:sz w:val="24"/>
          <w:szCs w:val="24"/>
        </w:rPr>
        <w:t>միջին արժեքն է.</w:t>
      </w:r>
    </w:p>
    <w:p w14:paraId="16D382FB"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j</m:t>
            </m:r>
          </m:sub>
        </m:sSub>
        <m:r>
          <m:rPr>
            <m:sty m:val="p"/>
          </m:rPr>
          <w:rPr>
            <w:rFonts w:ascii="Cambria Math" w:hAnsi="Cambria Math"/>
            <w:sz w:val="24"/>
            <w:szCs w:val="24"/>
          </w:rPr>
          <m:t>-</m:t>
        </m:r>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j-</m:t>
            </m:r>
            <m:r>
              <w:rPr>
                <w:rFonts w:ascii="Sylfaen" w:hAnsi="Sylfaen" w:cs="Sylfaen"/>
                <w:sz w:val="24"/>
                <w:szCs w:val="24"/>
              </w:rPr>
              <m:t>ը՝</m:t>
            </m:r>
            <m:r>
              <w:rPr>
                <w:rFonts w:ascii="Cambria Math" w:hAnsi="Cambria Math" w:cs="Sylfaen"/>
                <w:sz w:val="24"/>
                <w:szCs w:val="24"/>
              </w:rPr>
              <m:t xml:space="preserve"> </m:t>
            </m:r>
          </m:sub>
        </m:sSub>
        <m:r>
          <w:rPr>
            <w:rFonts w:ascii="Cambria Math" w:hAnsi="Cambria Math" w:cs="Sylfaen"/>
            <w:sz w:val="24"/>
            <w:szCs w:val="24"/>
          </w:rPr>
          <m:t xml:space="preserve"> </m:t>
        </m:r>
      </m:oMath>
      <w:r w:rsidR="00B834A2" w:rsidRPr="00B834A2">
        <w:rPr>
          <w:rFonts w:ascii="Sylfaen" w:hAnsi="Sylfaen"/>
          <w:sz w:val="24"/>
          <w:szCs w:val="24"/>
        </w:rPr>
        <w:t>որոշման ժամանակ օգտագործված у տարբերակների քանակը</w:t>
      </w:r>
      <w:r w:rsidR="00B834A2" w:rsidRPr="00B834A2">
        <w:rPr>
          <w:rFonts w:ascii="Sylfaen" w:hAnsi="Sylfaen"/>
          <w:b/>
          <w:sz w:val="24"/>
          <w:szCs w:val="24"/>
        </w:rPr>
        <w:t>:</w:t>
      </w:r>
    </w:p>
    <w:p w14:paraId="4B549BD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х = ¯х</w:t>
      </w:r>
      <w:r w:rsidRPr="00B834A2">
        <w:rPr>
          <w:rFonts w:ascii="Sylfaen" w:hAnsi="Sylfaen"/>
          <w:sz w:val="24"/>
          <w:szCs w:val="24"/>
        </w:rPr>
        <w:t xml:space="preserve">-ի </w:t>
      </w:r>
      <w:r>
        <w:rPr>
          <w:rFonts w:ascii="Sylfaen" w:hAnsi="Sylfaen"/>
          <w:sz w:val="24"/>
          <w:szCs w:val="24"/>
        </w:rPr>
        <w:t>եւ</w:t>
      </w:r>
      <w:r w:rsidRPr="00B834A2">
        <w:rPr>
          <w:rFonts w:ascii="Sylfaen" w:hAnsi="Sylfaen"/>
          <w:sz w:val="24"/>
          <w:szCs w:val="24"/>
        </w:rPr>
        <w:t xml:space="preserve"> </w:t>
      </w:r>
      <m:oMath>
        <m:sSub>
          <m:sSubPr>
            <m:ctrlPr>
              <w:rPr>
                <w:rFonts w:ascii="Cambria Math" w:hAnsi="Cambria Math" w:cs="Sylfaen"/>
                <w:i/>
                <w:sz w:val="24"/>
                <w:szCs w:val="24"/>
              </w:rPr>
            </m:ctrlPr>
          </m:sSubPr>
          <m:e>
            <m:r>
              <w:rPr>
                <w:rFonts w:ascii="Cambria Math" w:hAnsi="Cambria Math" w:cs="Sylfaen"/>
                <w:sz w:val="24"/>
                <w:szCs w:val="24"/>
              </w:rPr>
              <m:t>¯y</m:t>
            </m:r>
          </m:e>
          <m:sub>
            <m:r>
              <w:rPr>
                <w:rFonts w:ascii="Cambria Math" w:hAnsi="Cambria Math" w:cs="Sylfaen"/>
                <w:sz w:val="24"/>
                <w:szCs w:val="24"/>
              </w:rPr>
              <m:t>j</m:t>
            </m:r>
          </m:sub>
        </m:sSub>
      </m:oMath>
      <w:r w:rsidRPr="00B834A2">
        <w:rPr>
          <w:rFonts w:ascii="Sylfaen" w:hAnsi="Sylfaen"/>
          <w:sz w:val="24"/>
          <w:szCs w:val="24"/>
        </w:rPr>
        <w:t xml:space="preserve"> = </w:t>
      </w:r>
      <w:r w:rsidRPr="00B834A2">
        <w:rPr>
          <w:rFonts w:ascii="Sylfaen" w:hAnsi="Sylfaen"/>
          <w:i/>
          <w:sz w:val="24"/>
          <w:szCs w:val="24"/>
        </w:rPr>
        <w:t xml:space="preserve">у-ի դեպքում (4.16) </w:t>
      </w:r>
      <w:r>
        <w:rPr>
          <w:rFonts w:ascii="Sylfaen" w:hAnsi="Sylfaen"/>
          <w:i/>
          <w:sz w:val="24"/>
          <w:szCs w:val="24"/>
        </w:rPr>
        <w:t>եւ</w:t>
      </w:r>
      <w:r w:rsidRPr="00B834A2">
        <w:rPr>
          <w:rFonts w:ascii="Sylfaen" w:hAnsi="Sylfaen"/>
          <w:i/>
          <w:sz w:val="24"/>
          <w:szCs w:val="24"/>
        </w:rPr>
        <w:t xml:space="preserve"> (4.17) արտահայտություններն ընդունում են հետ</w:t>
      </w:r>
      <w:r>
        <w:rPr>
          <w:rFonts w:ascii="Sylfaen" w:hAnsi="Sylfaen"/>
          <w:i/>
          <w:sz w:val="24"/>
          <w:szCs w:val="24"/>
        </w:rPr>
        <w:t>եւ</w:t>
      </w:r>
      <w:r w:rsidRPr="00B834A2">
        <w:rPr>
          <w:rFonts w:ascii="Sylfaen" w:hAnsi="Sylfaen"/>
          <w:i/>
          <w:sz w:val="24"/>
          <w:szCs w:val="24"/>
        </w:rPr>
        <w:t>յալ տեսքը.</w:t>
      </w:r>
    </w:p>
    <w:p w14:paraId="07EA8974"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y</m:t>
            </m:r>
          </m:sub>
        </m:sSub>
        <m:r>
          <w:rPr>
            <w:rFonts w:ascii="Cambria Math" w:hAnsi="Cambria Math" w:cs="Sylfaen"/>
            <w:sz w:val="24"/>
            <w:szCs w:val="24"/>
          </w:rPr>
          <m:t>=</m:t>
        </m:r>
        <m:rad>
          <m:radPr>
            <m:degHide m:val="1"/>
            <m:ctrlPr>
              <w:rPr>
                <w:rFonts w:ascii="Cambria Math" w:hAnsi="Cambria Math" w:cs="Sylfaen"/>
                <w:i/>
                <w:sz w:val="24"/>
                <w:szCs w:val="24"/>
              </w:rPr>
            </m:ctrlPr>
          </m:radPr>
          <m:deg/>
          <m:e>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0</m:t>
                    </m:r>
                  </m:sub>
                  <m:sup>
                    <m:r>
                      <w:rPr>
                        <w:rFonts w:ascii="Cambria Math" w:hAnsi="Cambria Math" w:cs="Sylfaen"/>
                        <w:sz w:val="24"/>
                        <w:szCs w:val="24"/>
                      </w:rPr>
                      <m:t>2</m:t>
                    </m:r>
                  </m:sup>
                </m:sSubSup>
              </m:num>
              <m:den>
                <m:r>
                  <w:rPr>
                    <w:rFonts w:ascii="Cambria Math" w:hAnsi="Cambria Math" w:cs="Sylfaen"/>
                    <w:sz w:val="24"/>
                    <w:szCs w:val="24"/>
                  </w:rPr>
                  <m:t>m</m:t>
                </m:r>
              </m:den>
            </m:f>
          </m:e>
        </m:rad>
      </m:oMath>
      <w:r w:rsidR="00B834A2" w:rsidRPr="00B834A2">
        <w:rPr>
          <w:rFonts w:ascii="Sylfaen" w:hAnsi="Sylfaen"/>
          <w:sz w:val="24"/>
          <w:szCs w:val="24"/>
        </w:rPr>
        <w:t xml:space="preserve"> </w:t>
      </w:r>
      <w:r w:rsidR="0078572C" w:rsidRPr="002E52D1">
        <w:rPr>
          <w:rFonts w:ascii="Sylfaen" w:hAnsi="Sylfaen"/>
          <w:sz w:val="24"/>
          <w:szCs w:val="24"/>
        </w:rPr>
        <w:tab/>
      </w:r>
      <w:r w:rsidR="00B834A2" w:rsidRPr="00B834A2">
        <w:rPr>
          <w:rFonts w:ascii="Sylfaen" w:hAnsi="Sylfaen"/>
          <w:sz w:val="24"/>
          <w:szCs w:val="24"/>
        </w:rPr>
        <w:t>(4.16ա)</w:t>
      </w:r>
    </w:p>
    <w:p w14:paraId="4BA7E987" w14:textId="77777777" w:rsidR="00B834A2" w:rsidRPr="00B834A2" w:rsidRDefault="00000000" w:rsidP="0078572C">
      <w:pPr>
        <w:tabs>
          <w:tab w:val="left" w:pos="4253"/>
        </w:tabs>
        <w:spacing w:after="160" w:line="360" w:lineRule="auto"/>
        <w:ind w:firstLine="567"/>
        <w:jc w:val="center"/>
        <w:rPr>
          <w:bCs/>
        </w:rPr>
      </w:pPr>
      <m:oMath>
        <m:sSub>
          <m:sSubPr>
            <m:ctrlPr>
              <w:rPr>
                <w:rFonts w:ascii="Cambria Math" w:hAnsi="Cambria Math"/>
                <w:bCs/>
                <w:i/>
              </w:rPr>
            </m:ctrlPr>
          </m:sSubPr>
          <m:e>
            <m:r>
              <w:rPr>
                <w:rFonts w:ascii="Cambria Math" w:hAnsi="Cambria Math"/>
              </w:rPr>
              <m:t>s</m:t>
            </m:r>
          </m:e>
          <m:sub>
            <m:r>
              <w:rPr>
                <w:rFonts w:ascii="Cambria Math" w:hAnsi="Cambria Math"/>
              </w:rPr>
              <m:t>x</m:t>
            </m:r>
          </m:sub>
        </m:sSub>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sSubSup>
                  <m:sSubSupPr>
                    <m:ctrlPr>
                      <w:rPr>
                        <w:rFonts w:ascii="Cambria Math" w:hAnsi="Cambria Math"/>
                        <w:bCs/>
                        <w:i/>
                      </w:rPr>
                    </m:ctrlPr>
                  </m:sSubSupPr>
                  <m:e>
                    <m:r>
                      <w:rPr>
                        <w:rFonts w:ascii="Cambria Math" w:hAnsi="Cambria Math"/>
                      </w:rPr>
                      <m:t>s</m:t>
                    </m:r>
                  </m:e>
                  <m:sub>
                    <m:r>
                      <w:rPr>
                        <w:rFonts w:ascii="Cambria Math" w:hAnsi="Cambria Math"/>
                      </w:rPr>
                      <m:t>a</m:t>
                    </m:r>
                  </m:sub>
                  <m:sup>
                    <m:r>
                      <w:rPr>
                        <w:rFonts w:ascii="Cambria Math" w:hAnsi="Cambria Math"/>
                      </w:rPr>
                      <m:t>2</m:t>
                    </m:r>
                  </m:sup>
                </m:sSubSup>
              </m:num>
              <m:den>
                <m:sSup>
                  <m:sSupPr>
                    <m:ctrlPr>
                      <w:rPr>
                        <w:rFonts w:ascii="Cambria Math" w:hAnsi="Cambria Math"/>
                        <w:bCs/>
                        <w:i/>
                      </w:rPr>
                    </m:ctrlPr>
                  </m:sSupPr>
                  <m:e>
                    <m:r>
                      <w:rPr>
                        <w:rFonts w:ascii="Cambria Math" w:hAnsi="Cambria Math"/>
                      </w:rPr>
                      <m:t>b</m:t>
                    </m:r>
                  </m:e>
                  <m:sup>
                    <m:r>
                      <w:rPr>
                        <w:rFonts w:ascii="Cambria Math" w:hAnsi="Cambria Math"/>
                      </w:rPr>
                      <m:t>2</m:t>
                    </m:r>
                  </m:sup>
                </m:sSup>
              </m:den>
            </m:f>
          </m:e>
        </m:rad>
        <m:r>
          <w:rPr>
            <w:rFonts w:ascii="Cambria Math" w:hAnsi="Cambria Math"/>
          </w:rPr>
          <m:t xml:space="preserve"> </m:t>
        </m:r>
        <m:d>
          <m:dPr>
            <m:begChr m:val="["/>
            <m:endChr m:val="]"/>
            <m:ctrlPr>
              <w:rPr>
                <w:rFonts w:ascii="Cambria Math" w:hAnsi="Cambria Math"/>
                <w:bCs/>
                <w:i/>
              </w:rPr>
            </m:ctrlPr>
          </m:dPr>
          <m:e>
            <m:f>
              <m:fPr>
                <m:ctrlPr>
                  <w:rPr>
                    <w:rFonts w:ascii="Cambria Math" w:hAnsi="Cambria Math"/>
                    <w:bCs/>
                    <w:i/>
                  </w:rPr>
                </m:ctrlPr>
              </m:fPr>
              <m:num>
                <m:r>
                  <w:rPr>
                    <w:rFonts w:ascii="Cambria Math" w:hAnsi="Cambria Math"/>
                  </w:rPr>
                  <m:t>1</m:t>
                </m:r>
              </m:num>
              <m:den>
                <m:sSub>
                  <m:sSubPr>
                    <m:ctrlPr>
                      <w:rPr>
                        <w:rFonts w:ascii="Cambria Math" w:hAnsi="Cambria Math"/>
                        <w:bCs/>
                        <w:i/>
                      </w:rPr>
                    </m:ctrlPr>
                  </m:sSubPr>
                  <m:e>
                    <m:r>
                      <w:rPr>
                        <w:rFonts w:ascii="Cambria Math" w:hAnsi="Cambria Math"/>
                      </w:rPr>
                      <m:t>n</m:t>
                    </m:r>
                  </m:e>
                  <m:sub>
                    <m:r>
                      <w:rPr>
                        <w:rFonts w:ascii="Cambria Math" w:hAnsi="Cambria Math"/>
                      </w:rPr>
                      <m:t>j</m:t>
                    </m:r>
                  </m:sub>
                </m:sSub>
              </m:den>
            </m:f>
            <m:r>
              <w:rPr>
                <w:rFonts w:ascii="Cambria Math" w:hAnsi="Cambria Math"/>
              </w:rPr>
              <m:t>+</m:t>
            </m:r>
            <m:f>
              <m:fPr>
                <m:ctrlPr>
                  <w:rPr>
                    <w:rFonts w:ascii="Cambria Math" w:hAnsi="Cambria Math"/>
                    <w:bCs/>
                    <w:i/>
                  </w:rPr>
                </m:ctrlPr>
              </m:fPr>
              <m:num>
                <m:r>
                  <w:rPr>
                    <w:rFonts w:ascii="Cambria Math" w:hAnsi="Cambria Math"/>
                  </w:rPr>
                  <m:t>1</m:t>
                </m:r>
              </m:num>
              <m:den>
                <m:r>
                  <w:rPr>
                    <w:rFonts w:ascii="Cambria Math" w:hAnsi="Cambria Math"/>
                  </w:rPr>
                  <m:t>m</m:t>
                </m:r>
              </m:den>
            </m:f>
          </m:e>
        </m:d>
      </m:oMath>
      <w:r w:rsidR="0078572C" w:rsidRPr="0078572C">
        <w:tab/>
      </w:r>
      <w:r w:rsidR="00B834A2" w:rsidRPr="00B834A2">
        <w:t>(4.17ա)</w:t>
      </w:r>
    </w:p>
    <w:p w14:paraId="03B6B757" w14:textId="77777777" w:rsidR="00B834A2" w:rsidRPr="00B834A2" w:rsidRDefault="00CC0C6B" w:rsidP="00B834A2">
      <w:pPr>
        <w:spacing w:after="160" w:line="360" w:lineRule="auto"/>
        <w:ind w:firstLine="567"/>
        <w:jc w:val="both"/>
        <w:rPr>
          <w:bCs/>
        </w:rPr>
      </w:pPr>
      <w:r w:rsidRPr="0078572C">
        <w:t xml:space="preserve">Աղյուսակ 4-5. </w:t>
      </w:r>
      <w:r w:rsidRPr="0078572C">
        <w:rPr>
          <w:i/>
        </w:rPr>
        <w:t>у</w:t>
      </w:r>
      <w:r w:rsidRPr="0078572C">
        <w:t xml:space="preserve"> = </w:t>
      </w:r>
      <w:r w:rsidRPr="0078572C">
        <w:rPr>
          <w:i/>
        </w:rPr>
        <w:t>bx</w:t>
      </w:r>
      <w:r w:rsidRPr="0078572C">
        <w:t xml:space="preserve"> + </w:t>
      </w:r>
      <w:r w:rsidRPr="0078572C">
        <w:rPr>
          <w:i/>
        </w:rPr>
        <w:t>а գծային կախվածության ուսումնասիրման ժամանակ ստացված փորձարարական տվյալների վիճակագրական մշակման արդյունքները</w:t>
      </w:r>
    </w:p>
    <w:tbl>
      <w:tblPr>
        <w:tblOverlap w:val="never"/>
        <w:tblW w:w="9811" w:type="dxa"/>
        <w:jc w:val="center"/>
        <w:tblLayout w:type="fixed"/>
        <w:tblCellMar>
          <w:left w:w="10" w:type="dxa"/>
          <w:right w:w="10" w:type="dxa"/>
        </w:tblCellMar>
        <w:tblLook w:val="0000" w:firstRow="0" w:lastRow="0" w:firstColumn="0" w:lastColumn="0" w:noHBand="0" w:noVBand="0"/>
      </w:tblPr>
      <w:tblGrid>
        <w:gridCol w:w="682"/>
        <w:gridCol w:w="653"/>
        <w:gridCol w:w="658"/>
        <w:gridCol w:w="653"/>
        <w:gridCol w:w="653"/>
        <w:gridCol w:w="984"/>
        <w:gridCol w:w="653"/>
        <w:gridCol w:w="653"/>
        <w:gridCol w:w="653"/>
        <w:gridCol w:w="658"/>
        <w:gridCol w:w="1267"/>
        <w:gridCol w:w="567"/>
        <w:gridCol w:w="1077"/>
      </w:tblGrid>
      <w:tr w:rsidR="00B834A2" w:rsidRPr="0078572C" w14:paraId="0B471760" w14:textId="77777777" w:rsidTr="0078572C">
        <w:trPr>
          <w:jc w:val="center"/>
        </w:trPr>
        <w:tc>
          <w:tcPr>
            <w:tcW w:w="682" w:type="dxa"/>
            <w:tcBorders>
              <w:top w:val="single" w:sz="4" w:space="0" w:color="auto"/>
            </w:tcBorders>
            <w:shd w:val="clear" w:color="auto" w:fill="FFFFFF"/>
            <w:vAlign w:val="center"/>
          </w:tcPr>
          <w:p w14:paraId="13A4292C"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f</w:t>
            </w:r>
          </w:p>
        </w:tc>
        <w:tc>
          <w:tcPr>
            <w:tcW w:w="653" w:type="dxa"/>
            <w:tcBorders>
              <w:top w:val="single" w:sz="4" w:space="0" w:color="auto"/>
              <w:left w:val="single" w:sz="4" w:space="0" w:color="auto"/>
            </w:tcBorders>
            <w:shd w:val="clear" w:color="auto" w:fill="FFFFFF"/>
            <w:vAlign w:val="center"/>
          </w:tcPr>
          <w:p w14:paraId="1BCC490A"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¯x</w:t>
            </w:r>
          </w:p>
        </w:tc>
        <w:tc>
          <w:tcPr>
            <w:tcW w:w="658" w:type="dxa"/>
            <w:tcBorders>
              <w:top w:val="single" w:sz="4" w:space="0" w:color="auto"/>
              <w:left w:val="single" w:sz="4" w:space="0" w:color="auto"/>
            </w:tcBorders>
            <w:shd w:val="clear" w:color="auto" w:fill="FFFFFF"/>
            <w:vAlign w:val="center"/>
          </w:tcPr>
          <w:p w14:paraId="071AC62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¯y</w:t>
            </w:r>
          </w:p>
        </w:tc>
        <w:tc>
          <w:tcPr>
            <w:tcW w:w="653" w:type="dxa"/>
            <w:tcBorders>
              <w:top w:val="single" w:sz="4" w:space="0" w:color="auto"/>
              <w:left w:val="single" w:sz="4" w:space="0" w:color="auto"/>
            </w:tcBorders>
            <w:shd w:val="clear" w:color="auto" w:fill="FFFFFF"/>
            <w:vAlign w:val="center"/>
          </w:tcPr>
          <w:p w14:paraId="292F63A9"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b</w:t>
            </w:r>
          </w:p>
        </w:tc>
        <w:tc>
          <w:tcPr>
            <w:tcW w:w="653" w:type="dxa"/>
            <w:tcBorders>
              <w:top w:val="single" w:sz="4" w:space="0" w:color="auto"/>
              <w:left w:val="single" w:sz="4" w:space="0" w:color="auto"/>
            </w:tcBorders>
            <w:shd w:val="clear" w:color="auto" w:fill="FFFFFF"/>
            <w:vAlign w:val="center"/>
          </w:tcPr>
          <w:p w14:paraId="1A0F206A"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a</w:t>
            </w:r>
          </w:p>
        </w:tc>
        <w:tc>
          <w:tcPr>
            <w:tcW w:w="984" w:type="dxa"/>
            <w:tcBorders>
              <w:top w:val="single" w:sz="4" w:space="0" w:color="auto"/>
              <w:left w:val="single" w:sz="4" w:space="0" w:color="auto"/>
            </w:tcBorders>
            <w:shd w:val="clear" w:color="auto" w:fill="FFFFFF"/>
            <w:vAlign w:val="center"/>
          </w:tcPr>
          <w:p w14:paraId="515B4A1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t(P</w:t>
            </w:r>
            <w:r w:rsidRPr="0078572C">
              <w:rPr>
                <w:rFonts w:ascii="Sylfaen" w:hAnsi="Sylfaen"/>
                <w:szCs w:val="24"/>
                <w:vertAlign w:val="subscript"/>
              </w:rPr>
              <w:t>2,</w:t>
            </w:r>
            <w:r w:rsidRPr="0078572C">
              <w:rPr>
                <w:rFonts w:ascii="Sylfaen" w:hAnsi="Sylfaen"/>
                <w:szCs w:val="24"/>
              </w:rPr>
              <w:t>f)</w:t>
            </w:r>
          </w:p>
          <w:p w14:paraId="3635338F"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P</w:t>
            </w:r>
            <w:r w:rsidRPr="0078572C">
              <w:rPr>
                <w:rFonts w:ascii="Sylfaen" w:hAnsi="Sylfaen"/>
                <w:szCs w:val="24"/>
                <w:vertAlign w:val="subscript"/>
              </w:rPr>
              <w:t>2</w:t>
            </w:r>
            <w:r w:rsidRPr="0078572C">
              <w:rPr>
                <w:rFonts w:ascii="Sylfaen" w:hAnsi="Sylfaen"/>
                <w:szCs w:val="24"/>
              </w:rPr>
              <w:t>=95%-ի դեպքում</w:t>
            </w:r>
          </w:p>
        </w:tc>
        <w:tc>
          <w:tcPr>
            <w:tcW w:w="653" w:type="dxa"/>
            <w:tcBorders>
              <w:top w:val="single" w:sz="4" w:space="0" w:color="auto"/>
              <w:left w:val="single" w:sz="4" w:space="0" w:color="auto"/>
            </w:tcBorders>
            <w:shd w:val="clear" w:color="auto" w:fill="FFFFFF"/>
            <w:vAlign w:val="center"/>
          </w:tcPr>
          <w:p w14:paraId="3207D66F" w14:textId="77777777" w:rsidR="00B834A2" w:rsidRPr="0078572C" w:rsidRDefault="00B834A2" w:rsidP="0078572C">
            <w:pPr>
              <w:pStyle w:val="a0"/>
              <w:shd w:val="clear" w:color="auto" w:fill="auto"/>
              <w:spacing w:after="120" w:line="240" w:lineRule="auto"/>
              <w:ind w:firstLine="23"/>
              <w:rPr>
                <w:rFonts w:ascii="Sylfaen" w:hAnsi="Sylfaen" w:cs="Sylfaen"/>
                <w:szCs w:val="24"/>
              </w:rPr>
            </w:pPr>
            <m:oMathPara>
              <m:oMath>
                <m:r>
                  <w:rPr>
                    <w:rFonts w:ascii="Cambria Math" w:hAnsi="Cambria Math" w:cs="Sylfaen"/>
                    <w:szCs w:val="24"/>
                  </w:rPr>
                  <m:t>∆b</m:t>
                </m:r>
              </m:oMath>
            </m:oMathPara>
          </w:p>
        </w:tc>
        <w:tc>
          <w:tcPr>
            <w:tcW w:w="653" w:type="dxa"/>
            <w:tcBorders>
              <w:top w:val="single" w:sz="4" w:space="0" w:color="auto"/>
              <w:left w:val="single" w:sz="4" w:space="0" w:color="auto"/>
            </w:tcBorders>
            <w:shd w:val="clear" w:color="auto" w:fill="FFFFFF"/>
            <w:vAlign w:val="center"/>
          </w:tcPr>
          <w:p w14:paraId="71BA1FDC" w14:textId="77777777" w:rsidR="00B834A2" w:rsidRPr="0078572C" w:rsidRDefault="00B834A2" w:rsidP="0078572C">
            <w:pPr>
              <w:pStyle w:val="a0"/>
              <w:shd w:val="clear" w:color="auto" w:fill="auto"/>
              <w:spacing w:after="120" w:line="240" w:lineRule="auto"/>
              <w:ind w:firstLine="23"/>
              <w:rPr>
                <w:rFonts w:ascii="Sylfaen" w:hAnsi="Sylfaen" w:cs="Sylfaen"/>
                <w:szCs w:val="24"/>
              </w:rPr>
            </w:pPr>
            <m:oMathPara>
              <m:oMath>
                <m:r>
                  <w:rPr>
                    <w:rFonts w:ascii="Cambria Math" w:hAnsi="Cambria Math" w:cs="Sylfaen"/>
                    <w:szCs w:val="24"/>
                  </w:rPr>
                  <m:t>∆a</m:t>
                </m:r>
              </m:oMath>
            </m:oMathPara>
          </w:p>
        </w:tc>
        <w:tc>
          <w:tcPr>
            <w:tcW w:w="653" w:type="dxa"/>
            <w:tcBorders>
              <w:top w:val="single" w:sz="4" w:space="0" w:color="auto"/>
              <w:left w:val="single" w:sz="4" w:space="0" w:color="auto"/>
            </w:tcBorders>
            <w:shd w:val="clear" w:color="auto" w:fill="FFFFFF"/>
            <w:vAlign w:val="center"/>
          </w:tcPr>
          <w:p w14:paraId="0C653C54" w14:textId="77777777" w:rsidR="00B834A2" w:rsidRPr="0078572C" w:rsidRDefault="00000000" w:rsidP="0078572C">
            <w:pPr>
              <w:pStyle w:val="a0"/>
              <w:shd w:val="clear" w:color="auto" w:fill="auto"/>
              <w:spacing w:after="120" w:line="240" w:lineRule="auto"/>
              <w:ind w:firstLine="23"/>
              <w:rPr>
                <w:rFonts w:ascii="Sylfaen" w:hAnsi="Sylfaen" w:cs="Sylfaen"/>
                <w:szCs w:val="24"/>
              </w:rPr>
            </w:pPr>
            <m:oMathPara>
              <m:oMath>
                <m:sSubSup>
                  <m:sSubSupPr>
                    <m:ctrlPr>
                      <w:rPr>
                        <w:rFonts w:ascii="Cambria Math" w:hAnsi="Cambria Math" w:cs="Sylfaen"/>
                        <w:i/>
                        <w:szCs w:val="24"/>
                      </w:rPr>
                    </m:ctrlPr>
                  </m:sSubSupPr>
                  <m:e>
                    <m:r>
                      <w:rPr>
                        <w:rFonts w:ascii="Cambria Math" w:hAnsi="Cambria Math" w:cs="Sylfaen"/>
                        <w:szCs w:val="24"/>
                      </w:rPr>
                      <m:t>s</m:t>
                    </m:r>
                  </m:e>
                  <m:sub>
                    <m:r>
                      <w:rPr>
                        <w:rFonts w:ascii="Cambria Math" w:hAnsi="Cambria Math" w:cs="Sylfaen"/>
                        <w:szCs w:val="24"/>
                      </w:rPr>
                      <m:t>0</m:t>
                    </m:r>
                  </m:sub>
                  <m:sup>
                    <m:r>
                      <w:rPr>
                        <w:rFonts w:ascii="Cambria Math" w:hAnsi="Cambria Math" w:cs="Sylfaen"/>
                        <w:szCs w:val="24"/>
                      </w:rPr>
                      <m:t>2</m:t>
                    </m:r>
                  </m:sup>
                </m:sSubSup>
              </m:oMath>
            </m:oMathPara>
          </w:p>
        </w:tc>
        <w:tc>
          <w:tcPr>
            <w:tcW w:w="658" w:type="dxa"/>
            <w:tcBorders>
              <w:top w:val="single" w:sz="4" w:space="0" w:color="auto"/>
              <w:left w:val="single" w:sz="4" w:space="0" w:color="auto"/>
            </w:tcBorders>
            <w:shd w:val="clear" w:color="auto" w:fill="FFFFFF"/>
            <w:vAlign w:val="center"/>
          </w:tcPr>
          <w:p w14:paraId="22C80A4E" w14:textId="77777777" w:rsidR="00B834A2" w:rsidRPr="0078572C" w:rsidRDefault="00B834A2" w:rsidP="0078572C">
            <w:pPr>
              <w:pStyle w:val="a0"/>
              <w:shd w:val="clear" w:color="auto" w:fill="auto"/>
              <w:spacing w:after="120" w:line="240" w:lineRule="auto"/>
              <w:ind w:firstLine="23"/>
              <w:rPr>
                <w:rFonts w:ascii="Sylfaen" w:hAnsi="Sylfaen" w:cs="Sylfaen"/>
                <w:szCs w:val="24"/>
              </w:rPr>
            </w:pPr>
            <w:r w:rsidRPr="0078572C">
              <w:rPr>
                <w:rFonts w:ascii="Sylfaen" w:hAnsi="Sylfaen"/>
                <w:szCs w:val="24"/>
              </w:rPr>
              <w:t>r</w:t>
            </w:r>
          </w:p>
        </w:tc>
        <w:tc>
          <w:tcPr>
            <w:tcW w:w="1267" w:type="dxa"/>
            <w:tcBorders>
              <w:top w:val="single" w:sz="4" w:space="0" w:color="auto"/>
              <w:left w:val="single" w:sz="4" w:space="0" w:color="auto"/>
            </w:tcBorders>
            <w:shd w:val="clear" w:color="auto" w:fill="FFFFFF"/>
            <w:vAlign w:val="center"/>
          </w:tcPr>
          <w:p w14:paraId="6F40171E" w14:textId="77777777" w:rsidR="00B834A2" w:rsidRPr="0078572C" w:rsidRDefault="00000000" w:rsidP="0078572C">
            <w:pPr>
              <w:pStyle w:val="a0"/>
              <w:shd w:val="clear" w:color="auto" w:fill="auto"/>
              <w:spacing w:after="120" w:line="240" w:lineRule="auto"/>
              <w:ind w:firstLine="23"/>
              <w:jc w:val="center"/>
              <w:rPr>
                <w:rFonts w:ascii="Sylfaen" w:hAnsi="Sylfaen" w:cs="Sylfaen"/>
                <w:i/>
                <w:szCs w:val="24"/>
              </w:rPr>
            </w:pPr>
            <m:oMath>
              <m:sSub>
                <m:sSubPr>
                  <m:ctrlPr>
                    <w:rPr>
                      <w:rFonts w:ascii="Cambria Math" w:hAnsi="Cambria Math" w:cs="Sylfaen"/>
                      <w:i/>
                      <w:szCs w:val="24"/>
                    </w:rPr>
                  </m:ctrlPr>
                </m:sSubPr>
                <m:e>
                  <m:r>
                    <w:rPr>
                      <w:rFonts w:ascii="Cambria Math" w:hAnsi="Cambria Math" w:cs="Sylfaen"/>
                      <w:szCs w:val="24"/>
                    </w:rPr>
                    <m:t>s</m:t>
                  </m:r>
                </m:e>
                <m:sub>
                  <m:r>
                    <w:rPr>
                      <w:rFonts w:ascii="Cambria Math" w:hAnsi="Cambria Math" w:cs="Sylfaen"/>
                      <w:szCs w:val="24"/>
                    </w:rPr>
                    <m:t>x</m:t>
                  </m:r>
                </m:sub>
              </m:sSub>
            </m:oMath>
            <w:r w:rsidR="00B834A2" w:rsidRPr="0078572C">
              <w:rPr>
                <w:rFonts w:ascii="Sylfaen" w:hAnsi="Sylfaen"/>
                <w:szCs w:val="24"/>
              </w:rPr>
              <w:t xml:space="preserve"> </w:t>
            </w:r>
            <m:oMath>
              <m:sSub>
                <m:sSubPr>
                  <m:ctrlPr>
                    <w:rPr>
                      <w:rFonts w:ascii="Cambria Math" w:hAnsi="Cambria Math" w:cs="Sylfaen"/>
                      <w:i/>
                      <w:szCs w:val="24"/>
                    </w:rPr>
                  </m:ctrlPr>
                </m:sSubPr>
                <m:e>
                  <m:r>
                    <w:rPr>
                      <w:rFonts w:ascii="Cambria Math" w:hAnsi="Cambria Math" w:cs="Sylfaen"/>
                      <w:szCs w:val="24"/>
                    </w:rPr>
                    <m:t>n</m:t>
                  </m:r>
                </m:e>
                <m:sub>
                  <m:r>
                    <w:rPr>
                      <w:rFonts w:ascii="Cambria Math" w:hAnsi="Cambria Math" w:cs="Sylfaen"/>
                      <w:szCs w:val="24"/>
                    </w:rPr>
                    <m:t>j</m:t>
                  </m:r>
                </m:sub>
              </m:sSub>
              <m:r>
                <w:rPr>
                  <w:rFonts w:ascii="Cambria Math" w:hAnsi="Cambria Math" w:cs="Sylfaen"/>
                  <w:szCs w:val="24"/>
                </w:rPr>
                <m:t xml:space="preserve">=1, </m:t>
              </m:r>
              <m:sSub>
                <m:sSubPr>
                  <m:ctrlPr>
                    <w:rPr>
                      <w:rFonts w:ascii="Cambria Math" w:hAnsi="Cambria Math" w:cs="Sylfaen"/>
                      <w:i/>
                      <w:szCs w:val="24"/>
                    </w:rPr>
                  </m:ctrlPr>
                </m:sSubPr>
                <m:e>
                  <m:r>
                    <w:rPr>
                      <w:rFonts w:ascii="Cambria Math" w:hAnsi="Cambria Math" w:cs="Sylfaen"/>
                      <w:szCs w:val="24"/>
                    </w:rPr>
                    <m:t>y</m:t>
                  </m:r>
                </m:e>
                <m:sub>
                  <m:r>
                    <w:rPr>
                      <w:rFonts w:ascii="Cambria Math" w:hAnsi="Cambria Math" w:cs="Sylfaen"/>
                      <w:szCs w:val="24"/>
                    </w:rPr>
                    <m:t>j</m:t>
                  </m:r>
                </m:sub>
              </m:sSub>
              <m:r>
                <w:rPr>
                  <w:rFonts w:ascii="Cambria Math" w:hAnsi="Cambria Math" w:cs="Sylfaen"/>
                  <w:szCs w:val="24"/>
                </w:rPr>
                <m:t>=</m:t>
              </m:r>
              <m:bar>
                <m:barPr>
                  <m:pos m:val="top"/>
                  <m:ctrlPr>
                    <w:rPr>
                      <w:rFonts w:ascii="Cambria Math" w:hAnsi="Cambria Math" w:cs="Sylfaen"/>
                      <w:i/>
                      <w:szCs w:val="24"/>
                    </w:rPr>
                  </m:ctrlPr>
                </m:barPr>
                <m:e>
                  <m:r>
                    <w:rPr>
                      <w:rFonts w:ascii="Cambria Math" w:hAnsi="Cambria Math" w:cs="Sylfaen"/>
                      <w:szCs w:val="24"/>
                    </w:rPr>
                    <m:t>y</m:t>
                  </m:r>
                </m:e>
              </m:bar>
              <m:r>
                <w:rPr>
                  <w:rFonts w:ascii="Cambria Math" w:hAnsi="Cambria Math" w:cs="Sylfaen"/>
                  <w:szCs w:val="24"/>
                </w:rPr>
                <m:t>-</m:t>
              </m:r>
              <m:r>
                <w:rPr>
                  <w:rFonts w:ascii="Sylfaen" w:hAnsi="Sylfaen" w:cs="Sylfaen"/>
                  <w:szCs w:val="24"/>
                </w:rPr>
                <m:t>ի</m:t>
              </m:r>
              <m:r>
                <w:rPr>
                  <w:rFonts w:ascii="Cambria Math" w:hAnsi="Cambria Math" w:cs="Sylfaen"/>
                  <w:szCs w:val="24"/>
                </w:rPr>
                <m:t xml:space="preserve"> </m:t>
              </m:r>
              <m:r>
                <w:rPr>
                  <w:rFonts w:ascii="Sylfaen" w:hAnsi="Sylfaen" w:cs="Sylfaen"/>
                  <w:szCs w:val="24"/>
                </w:rPr>
                <m:t>դեպքում</m:t>
              </m:r>
            </m:oMath>
          </w:p>
        </w:tc>
        <w:tc>
          <w:tcPr>
            <w:tcW w:w="567" w:type="dxa"/>
            <w:tcBorders>
              <w:top w:val="single" w:sz="4" w:space="0" w:color="auto"/>
              <w:left w:val="single" w:sz="4" w:space="0" w:color="auto"/>
            </w:tcBorders>
            <w:shd w:val="clear" w:color="auto" w:fill="FFFFFF"/>
            <w:vAlign w:val="center"/>
          </w:tcPr>
          <w:p w14:paraId="08C3D05D"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m:oMathPara>
              <m:oMath>
                <m:r>
                  <w:rPr>
                    <w:rFonts w:ascii="Cambria Math" w:hAnsi="Cambria Math" w:cs="Sylfaen"/>
                    <w:szCs w:val="24"/>
                  </w:rPr>
                  <m:t>∆x</m:t>
                </m:r>
              </m:oMath>
            </m:oMathPara>
          </w:p>
        </w:tc>
        <w:tc>
          <w:tcPr>
            <w:tcW w:w="1077" w:type="dxa"/>
            <w:tcBorders>
              <w:top w:val="single" w:sz="4" w:space="0" w:color="auto"/>
              <w:left w:val="single" w:sz="4" w:space="0" w:color="auto"/>
            </w:tcBorders>
            <w:shd w:val="clear" w:color="auto" w:fill="FFFFFF"/>
            <w:vAlign w:val="center"/>
          </w:tcPr>
          <w:p w14:paraId="5B1D3A01" w14:textId="77777777" w:rsidR="00B834A2" w:rsidRPr="0078572C" w:rsidRDefault="00000000" w:rsidP="0078572C">
            <w:pPr>
              <w:pStyle w:val="a0"/>
              <w:shd w:val="clear" w:color="auto" w:fill="auto"/>
              <w:spacing w:after="120" w:line="240" w:lineRule="auto"/>
              <w:ind w:firstLine="23"/>
              <w:jc w:val="center"/>
              <w:rPr>
                <w:rFonts w:ascii="Sylfaen" w:hAnsi="Sylfaen" w:cs="Sylfaen"/>
                <w:szCs w:val="24"/>
              </w:rPr>
            </w:pPr>
            <m:oMathPara>
              <m:oMath>
                <m:f>
                  <m:fPr>
                    <m:ctrlPr>
                      <w:rPr>
                        <w:rFonts w:ascii="Cambria Math" w:hAnsi="Cambria Math" w:cs="Sylfaen"/>
                        <w:i/>
                        <w:szCs w:val="24"/>
                      </w:rPr>
                    </m:ctrlPr>
                  </m:fPr>
                  <m:num>
                    <m:r>
                      <w:rPr>
                        <w:rFonts w:ascii="Cambria Math" w:hAnsi="Cambria Math" w:cs="Sylfaen"/>
                        <w:szCs w:val="24"/>
                      </w:rPr>
                      <m:t>∆x*100</m:t>
                    </m:r>
                  </m:num>
                  <m:den>
                    <m:r>
                      <w:rPr>
                        <w:rFonts w:ascii="Cambria Math" w:hAnsi="Cambria Math" w:cs="Sylfaen"/>
                        <w:szCs w:val="24"/>
                      </w:rPr>
                      <m:t>¯x</m:t>
                    </m:r>
                  </m:den>
                </m:f>
                <m:r>
                  <w:rPr>
                    <w:rFonts w:ascii="Cambria Math" w:hAnsi="Cambria Math" w:cs="Sylfaen"/>
                    <w:szCs w:val="24"/>
                  </w:rPr>
                  <m:t>,%</m:t>
                </m:r>
              </m:oMath>
            </m:oMathPara>
          </w:p>
        </w:tc>
      </w:tr>
      <w:tr w:rsidR="00B834A2" w:rsidRPr="0078572C" w14:paraId="10F8A327" w14:textId="77777777" w:rsidTr="0078572C">
        <w:trPr>
          <w:jc w:val="center"/>
        </w:trPr>
        <w:tc>
          <w:tcPr>
            <w:tcW w:w="682" w:type="dxa"/>
            <w:tcBorders>
              <w:top w:val="single" w:sz="4" w:space="0" w:color="auto"/>
            </w:tcBorders>
            <w:shd w:val="clear" w:color="auto" w:fill="FFFFFF"/>
            <w:vAlign w:val="bottom"/>
          </w:tcPr>
          <w:p w14:paraId="41587DA4"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w:t>
            </w:r>
          </w:p>
        </w:tc>
        <w:tc>
          <w:tcPr>
            <w:tcW w:w="653" w:type="dxa"/>
            <w:tcBorders>
              <w:top w:val="single" w:sz="4" w:space="0" w:color="auto"/>
              <w:left w:val="single" w:sz="4" w:space="0" w:color="auto"/>
            </w:tcBorders>
            <w:shd w:val="clear" w:color="auto" w:fill="FFFFFF"/>
            <w:vAlign w:val="bottom"/>
          </w:tcPr>
          <w:p w14:paraId="7AD8C628"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2</w:t>
            </w:r>
          </w:p>
        </w:tc>
        <w:tc>
          <w:tcPr>
            <w:tcW w:w="658" w:type="dxa"/>
            <w:tcBorders>
              <w:top w:val="single" w:sz="4" w:space="0" w:color="auto"/>
              <w:left w:val="single" w:sz="4" w:space="0" w:color="auto"/>
            </w:tcBorders>
            <w:shd w:val="clear" w:color="auto" w:fill="FFFFFF"/>
            <w:vAlign w:val="center"/>
          </w:tcPr>
          <w:p w14:paraId="6936D49B"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3</w:t>
            </w:r>
          </w:p>
        </w:tc>
        <w:tc>
          <w:tcPr>
            <w:tcW w:w="653" w:type="dxa"/>
            <w:tcBorders>
              <w:top w:val="single" w:sz="4" w:space="0" w:color="auto"/>
              <w:left w:val="single" w:sz="4" w:space="0" w:color="auto"/>
            </w:tcBorders>
            <w:shd w:val="clear" w:color="auto" w:fill="FFFFFF"/>
            <w:vAlign w:val="center"/>
          </w:tcPr>
          <w:p w14:paraId="778723AF"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4</w:t>
            </w:r>
          </w:p>
        </w:tc>
        <w:tc>
          <w:tcPr>
            <w:tcW w:w="653" w:type="dxa"/>
            <w:tcBorders>
              <w:top w:val="single" w:sz="4" w:space="0" w:color="auto"/>
              <w:left w:val="single" w:sz="4" w:space="0" w:color="auto"/>
            </w:tcBorders>
            <w:shd w:val="clear" w:color="auto" w:fill="FFFFFF"/>
            <w:vAlign w:val="center"/>
          </w:tcPr>
          <w:p w14:paraId="1670E79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5</w:t>
            </w:r>
          </w:p>
        </w:tc>
        <w:tc>
          <w:tcPr>
            <w:tcW w:w="984" w:type="dxa"/>
            <w:tcBorders>
              <w:top w:val="single" w:sz="4" w:space="0" w:color="auto"/>
              <w:left w:val="single" w:sz="4" w:space="0" w:color="auto"/>
            </w:tcBorders>
            <w:shd w:val="clear" w:color="auto" w:fill="FFFFFF"/>
            <w:vAlign w:val="bottom"/>
          </w:tcPr>
          <w:p w14:paraId="047043E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6</w:t>
            </w:r>
          </w:p>
        </w:tc>
        <w:tc>
          <w:tcPr>
            <w:tcW w:w="653" w:type="dxa"/>
            <w:tcBorders>
              <w:top w:val="single" w:sz="4" w:space="0" w:color="auto"/>
              <w:left w:val="single" w:sz="4" w:space="0" w:color="auto"/>
            </w:tcBorders>
            <w:shd w:val="clear" w:color="auto" w:fill="FFFFFF"/>
            <w:vAlign w:val="center"/>
          </w:tcPr>
          <w:p w14:paraId="61E8A391"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7</w:t>
            </w:r>
          </w:p>
        </w:tc>
        <w:tc>
          <w:tcPr>
            <w:tcW w:w="653" w:type="dxa"/>
            <w:tcBorders>
              <w:top w:val="single" w:sz="4" w:space="0" w:color="auto"/>
              <w:left w:val="single" w:sz="4" w:space="0" w:color="auto"/>
            </w:tcBorders>
            <w:shd w:val="clear" w:color="auto" w:fill="FFFFFF"/>
            <w:vAlign w:val="bottom"/>
          </w:tcPr>
          <w:p w14:paraId="34D7DE8C"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8</w:t>
            </w:r>
          </w:p>
        </w:tc>
        <w:tc>
          <w:tcPr>
            <w:tcW w:w="653" w:type="dxa"/>
            <w:tcBorders>
              <w:top w:val="single" w:sz="4" w:space="0" w:color="auto"/>
              <w:left w:val="single" w:sz="4" w:space="0" w:color="auto"/>
            </w:tcBorders>
            <w:shd w:val="clear" w:color="auto" w:fill="FFFFFF"/>
            <w:vAlign w:val="center"/>
          </w:tcPr>
          <w:p w14:paraId="588177C6"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9</w:t>
            </w:r>
          </w:p>
        </w:tc>
        <w:tc>
          <w:tcPr>
            <w:tcW w:w="658" w:type="dxa"/>
            <w:tcBorders>
              <w:top w:val="single" w:sz="4" w:space="0" w:color="auto"/>
              <w:left w:val="single" w:sz="4" w:space="0" w:color="auto"/>
            </w:tcBorders>
            <w:shd w:val="clear" w:color="auto" w:fill="FFFFFF"/>
            <w:vAlign w:val="bottom"/>
          </w:tcPr>
          <w:p w14:paraId="79DCDBBD"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10</w:t>
            </w:r>
          </w:p>
        </w:tc>
        <w:tc>
          <w:tcPr>
            <w:tcW w:w="1267" w:type="dxa"/>
            <w:tcBorders>
              <w:top w:val="single" w:sz="4" w:space="0" w:color="auto"/>
              <w:left w:val="single" w:sz="4" w:space="0" w:color="auto"/>
            </w:tcBorders>
            <w:shd w:val="clear" w:color="auto" w:fill="FFFFFF"/>
            <w:vAlign w:val="bottom"/>
          </w:tcPr>
          <w:p w14:paraId="28E6E8AF"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11</w:t>
            </w:r>
          </w:p>
        </w:tc>
        <w:tc>
          <w:tcPr>
            <w:tcW w:w="567" w:type="dxa"/>
            <w:tcBorders>
              <w:top w:val="single" w:sz="4" w:space="0" w:color="auto"/>
              <w:left w:val="single" w:sz="4" w:space="0" w:color="auto"/>
            </w:tcBorders>
            <w:shd w:val="clear" w:color="auto" w:fill="FFFFFF"/>
            <w:vAlign w:val="bottom"/>
          </w:tcPr>
          <w:p w14:paraId="3D794157"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12</w:t>
            </w:r>
          </w:p>
        </w:tc>
        <w:tc>
          <w:tcPr>
            <w:tcW w:w="1077" w:type="dxa"/>
            <w:tcBorders>
              <w:top w:val="single" w:sz="4" w:space="0" w:color="auto"/>
              <w:left w:val="single" w:sz="4" w:space="0" w:color="auto"/>
            </w:tcBorders>
            <w:shd w:val="clear" w:color="auto" w:fill="FFFFFF"/>
            <w:vAlign w:val="center"/>
          </w:tcPr>
          <w:p w14:paraId="6FCC702F"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13</w:t>
            </w:r>
          </w:p>
        </w:tc>
      </w:tr>
      <w:tr w:rsidR="00B834A2" w:rsidRPr="0078572C" w14:paraId="361415FD" w14:textId="77777777" w:rsidTr="0078572C">
        <w:trPr>
          <w:jc w:val="center"/>
        </w:trPr>
        <w:tc>
          <w:tcPr>
            <w:tcW w:w="682" w:type="dxa"/>
            <w:tcBorders>
              <w:top w:val="single" w:sz="4" w:space="0" w:color="auto"/>
              <w:bottom w:val="single" w:sz="4" w:space="0" w:color="auto"/>
            </w:tcBorders>
            <w:shd w:val="clear" w:color="auto" w:fill="FFFFFF"/>
          </w:tcPr>
          <w:p w14:paraId="2D97CE2F" w14:textId="77777777" w:rsidR="00B834A2" w:rsidRPr="0078572C" w:rsidRDefault="00B834A2" w:rsidP="0078572C">
            <w:pPr>
              <w:spacing w:after="120"/>
              <w:ind w:firstLine="23"/>
              <w:jc w:val="center"/>
              <w:rPr>
                <w:sz w:val="20"/>
              </w:rPr>
            </w:pPr>
          </w:p>
        </w:tc>
        <w:tc>
          <w:tcPr>
            <w:tcW w:w="653" w:type="dxa"/>
            <w:tcBorders>
              <w:top w:val="single" w:sz="4" w:space="0" w:color="auto"/>
              <w:left w:val="single" w:sz="4" w:space="0" w:color="auto"/>
              <w:bottom w:val="single" w:sz="4" w:space="0" w:color="auto"/>
            </w:tcBorders>
            <w:shd w:val="clear" w:color="auto" w:fill="FFFFFF"/>
          </w:tcPr>
          <w:p w14:paraId="33CDB1B3"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8" w:type="dxa"/>
            <w:tcBorders>
              <w:top w:val="single" w:sz="4" w:space="0" w:color="auto"/>
              <w:left w:val="single" w:sz="4" w:space="0" w:color="auto"/>
              <w:bottom w:val="single" w:sz="4" w:space="0" w:color="auto"/>
            </w:tcBorders>
            <w:shd w:val="clear" w:color="auto" w:fill="FFFFFF"/>
          </w:tcPr>
          <w:p w14:paraId="7526E495"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3" w:type="dxa"/>
            <w:tcBorders>
              <w:top w:val="single" w:sz="4" w:space="0" w:color="auto"/>
              <w:left w:val="single" w:sz="4" w:space="0" w:color="auto"/>
              <w:bottom w:val="single" w:sz="4" w:space="0" w:color="auto"/>
            </w:tcBorders>
            <w:shd w:val="clear" w:color="auto" w:fill="FFFFFF"/>
          </w:tcPr>
          <w:p w14:paraId="701C300C"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3" w:type="dxa"/>
            <w:tcBorders>
              <w:top w:val="single" w:sz="4" w:space="0" w:color="auto"/>
              <w:left w:val="single" w:sz="4" w:space="0" w:color="auto"/>
              <w:bottom w:val="single" w:sz="4" w:space="0" w:color="auto"/>
            </w:tcBorders>
            <w:shd w:val="clear" w:color="auto" w:fill="FFFFFF"/>
          </w:tcPr>
          <w:p w14:paraId="046C2962"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984" w:type="dxa"/>
            <w:tcBorders>
              <w:top w:val="single" w:sz="4" w:space="0" w:color="auto"/>
              <w:left w:val="single" w:sz="4" w:space="0" w:color="auto"/>
              <w:bottom w:val="single" w:sz="4" w:space="0" w:color="auto"/>
            </w:tcBorders>
            <w:shd w:val="clear" w:color="auto" w:fill="FFFFFF"/>
          </w:tcPr>
          <w:p w14:paraId="447C532B"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3" w:type="dxa"/>
            <w:tcBorders>
              <w:top w:val="single" w:sz="4" w:space="0" w:color="auto"/>
              <w:left w:val="single" w:sz="4" w:space="0" w:color="auto"/>
              <w:bottom w:val="single" w:sz="4" w:space="0" w:color="auto"/>
            </w:tcBorders>
            <w:shd w:val="clear" w:color="auto" w:fill="FFFFFF"/>
          </w:tcPr>
          <w:p w14:paraId="708F65CB"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3" w:type="dxa"/>
            <w:tcBorders>
              <w:top w:val="single" w:sz="4" w:space="0" w:color="auto"/>
              <w:left w:val="single" w:sz="4" w:space="0" w:color="auto"/>
              <w:bottom w:val="single" w:sz="4" w:space="0" w:color="auto"/>
            </w:tcBorders>
            <w:shd w:val="clear" w:color="auto" w:fill="FFFFFF"/>
          </w:tcPr>
          <w:p w14:paraId="48412065"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3" w:type="dxa"/>
            <w:tcBorders>
              <w:top w:val="single" w:sz="4" w:space="0" w:color="auto"/>
              <w:left w:val="single" w:sz="4" w:space="0" w:color="auto"/>
              <w:bottom w:val="single" w:sz="4" w:space="0" w:color="auto"/>
            </w:tcBorders>
            <w:shd w:val="clear" w:color="auto" w:fill="FFFFFF"/>
          </w:tcPr>
          <w:p w14:paraId="0584A214"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658" w:type="dxa"/>
            <w:tcBorders>
              <w:top w:val="single" w:sz="4" w:space="0" w:color="auto"/>
              <w:left w:val="single" w:sz="4" w:space="0" w:color="auto"/>
              <w:bottom w:val="single" w:sz="4" w:space="0" w:color="auto"/>
            </w:tcBorders>
            <w:shd w:val="clear" w:color="auto" w:fill="FFFFFF"/>
          </w:tcPr>
          <w:p w14:paraId="4C4A9582"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1267" w:type="dxa"/>
            <w:tcBorders>
              <w:top w:val="single" w:sz="4" w:space="0" w:color="auto"/>
              <w:left w:val="single" w:sz="4" w:space="0" w:color="auto"/>
              <w:bottom w:val="single" w:sz="4" w:space="0" w:color="auto"/>
            </w:tcBorders>
            <w:shd w:val="clear" w:color="auto" w:fill="FFFFFF"/>
          </w:tcPr>
          <w:p w14:paraId="6456779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567" w:type="dxa"/>
            <w:tcBorders>
              <w:top w:val="single" w:sz="4" w:space="0" w:color="auto"/>
              <w:left w:val="single" w:sz="4" w:space="0" w:color="auto"/>
              <w:bottom w:val="single" w:sz="4" w:space="0" w:color="auto"/>
            </w:tcBorders>
            <w:shd w:val="clear" w:color="auto" w:fill="FFFFFF"/>
          </w:tcPr>
          <w:p w14:paraId="6435B942"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c>
          <w:tcPr>
            <w:tcW w:w="1077" w:type="dxa"/>
            <w:tcBorders>
              <w:top w:val="single" w:sz="4" w:space="0" w:color="auto"/>
              <w:left w:val="single" w:sz="4" w:space="0" w:color="auto"/>
              <w:bottom w:val="single" w:sz="4" w:space="0" w:color="auto"/>
            </w:tcBorders>
            <w:shd w:val="clear" w:color="auto" w:fill="FFFFFF"/>
          </w:tcPr>
          <w:p w14:paraId="7C111308"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p>
        </w:tc>
      </w:tr>
    </w:tbl>
    <w:p w14:paraId="3B9C5CF5" w14:textId="77777777" w:rsidR="0078572C" w:rsidRDefault="0078572C" w:rsidP="00B834A2">
      <w:pPr>
        <w:pStyle w:val="a2"/>
        <w:shd w:val="clear" w:color="auto" w:fill="auto"/>
        <w:spacing w:after="160" w:line="360" w:lineRule="auto"/>
        <w:ind w:firstLine="567"/>
        <w:jc w:val="both"/>
        <w:rPr>
          <w:rFonts w:ascii="Sylfaen" w:hAnsi="Sylfaen"/>
          <w:i/>
          <w:sz w:val="24"/>
          <w:szCs w:val="24"/>
          <w:lang w:val="en-US"/>
        </w:rPr>
      </w:pPr>
    </w:p>
    <w:p w14:paraId="78A6F8DE" w14:textId="77777777" w:rsidR="00B834A2" w:rsidRPr="00CC0C6B" w:rsidRDefault="00B834A2" w:rsidP="00B834A2">
      <w:pPr>
        <w:pStyle w:val="a2"/>
        <w:shd w:val="clear" w:color="auto" w:fill="auto"/>
        <w:spacing w:after="160" w:line="360" w:lineRule="auto"/>
        <w:ind w:firstLine="567"/>
        <w:jc w:val="both"/>
        <w:rPr>
          <w:rFonts w:ascii="Sylfaen" w:hAnsi="Sylfaen" w:cs="Sylfaen"/>
          <w:sz w:val="20"/>
          <w:szCs w:val="24"/>
        </w:rPr>
      </w:pPr>
      <w:r w:rsidRPr="00CC0C6B">
        <w:rPr>
          <w:rFonts w:ascii="Sylfaen" w:hAnsi="Sylfaen"/>
          <w:i/>
          <w:sz w:val="20"/>
          <w:szCs w:val="24"/>
        </w:rPr>
        <w:t>Ծանոթագրություններ.</w:t>
      </w:r>
    </w:p>
    <w:p w14:paraId="38A662FF" w14:textId="77777777" w:rsidR="00B834A2" w:rsidRPr="00CC0C6B" w:rsidRDefault="00B834A2" w:rsidP="0078572C">
      <w:pPr>
        <w:pStyle w:val="a2"/>
        <w:shd w:val="clear" w:color="auto" w:fill="auto"/>
        <w:tabs>
          <w:tab w:val="left" w:pos="1134"/>
        </w:tabs>
        <w:spacing w:after="160" w:line="360" w:lineRule="auto"/>
        <w:ind w:firstLine="567"/>
        <w:jc w:val="both"/>
        <w:rPr>
          <w:rFonts w:ascii="Sylfaen" w:hAnsi="Sylfaen" w:cs="Sylfaen"/>
          <w:sz w:val="20"/>
          <w:szCs w:val="24"/>
        </w:rPr>
      </w:pPr>
      <w:r w:rsidRPr="00CC0C6B">
        <w:rPr>
          <w:rFonts w:ascii="Sylfaen" w:hAnsi="Sylfaen"/>
          <w:sz w:val="20"/>
          <w:szCs w:val="24"/>
        </w:rPr>
        <w:t>1.</w:t>
      </w:r>
      <w:r w:rsidR="0078572C" w:rsidRPr="00CC0C6B">
        <w:rPr>
          <w:rFonts w:ascii="Sylfaen" w:hAnsi="Sylfaen"/>
          <w:sz w:val="20"/>
          <w:szCs w:val="24"/>
        </w:rPr>
        <w:tab/>
      </w:r>
      <w:r w:rsidRPr="00CC0C6B">
        <w:rPr>
          <w:rFonts w:ascii="Sylfaen" w:hAnsi="Sylfaen"/>
          <w:sz w:val="20"/>
          <w:szCs w:val="24"/>
        </w:rPr>
        <w:t>Եթե փորձարարական աշխատանքի նպատակն է b եւ а հաստատունների որոշումը, ապա աղյուսակի 11, 12 եւ 13 սյունակները չեն լրացվում:</w:t>
      </w:r>
    </w:p>
    <w:p w14:paraId="62309E56" w14:textId="77777777" w:rsidR="00B834A2" w:rsidRPr="00CC0C6B" w:rsidRDefault="00B834A2" w:rsidP="0078572C">
      <w:pPr>
        <w:pStyle w:val="a2"/>
        <w:shd w:val="clear" w:color="auto" w:fill="auto"/>
        <w:tabs>
          <w:tab w:val="left" w:pos="1134"/>
        </w:tabs>
        <w:spacing w:after="160" w:line="360" w:lineRule="auto"/>
        <w:ind w:firstLine="567"/>
        <w:jc w:val="both"/>
        <w:rPr>
          <w:rFonts w:ascii="Sylfaen" w:hAnsi="Sylfaen" w:cs="Sylfaen"/>
          <w:sz w:val="20"/>
          <w:szCs w:val="24"/>
        </w:rPr>
      </w:pPr>
      <w:r w:rsidRPr="00CC0C6B">
        <w:rPr>
          <w:rFonts w:ascii="Sylfaen" w:hAnsi="Sylfaen"/>
          <w:sz w:val="20"/>
          <w:szCs w:val="24"/>
        </w:rPr>
        <w:t>2.</w:t>
      </w:r>
      <w:r w:rsidR="0078572C" w:rsidRPr="00CC0C6B">
        <w:rPr>
          <w:rFonts w:ascii="Sylfaen" w:hAnsi="Sylfaen"/>
          <w:sz w:val="20"/>
          <w:szCs w:val="24"/>
        </w:rPr>
        <w:tab/>
      </w:r>
      <w:r w:rsidRPr="00CC0C6B">
        <w:rPr>
          <w:rFonts w:ascii="Sylfaen" w:hAnsi="Sylfaen"/>
          <w:sz w:val="20"/>
          <w:szCs w:val="24"/>
        </w:rPr>
        <w:t xml:space="preserve">Եթե у = </w:t>
      </w:r>
      <w:r w:rsidRPr="00CC0C6B">
        <w:rPr>
          <w:rFonts w:ascii="Sylfaen" w:hAnsi="Sylfaen"/>
          <w:i/>
          <w:sz w:val="20"/>
          <w:szCs w:val="24"/>
        </w:rPr>
        <w:t xml:space="preserve">b * </w:t>
      </w:r>
      <w:r w:rsidRPr="00CC0C6B">
        <w:rPr>
          <w:rFonts w:ascii="Sylfaen" w:hAnsi="Sylfaen"/>
          <w:sz w:val="20"/>
          <w:szCs w:val="24"/>
        </w:rPr>
        <w:t xml:space="preserve">lgx+ </w:t>
      </w:r>
      <w:r w:rsidRPr="00CC0C6B">
        <w:rPr>
          <w:rFonts w:ascii="Sylfaen" w:hAnsi="Sylfaen"/>
          <w:i/>
          <w:sz w:val="20"/>
          <w:szCs w:val="24"/>
        </w:rPr>
        <w:t>а</w:t>
      </w:r>
      <w:r w:rsidRPr="00CC0C6B">
        <w:rPr>
          <w:rFonts w:ascii="Sylfaen" w:hAnsi="Sylfaen"/>
          <w:sz w:val="20"/>
          <w:szCs w:val="24"/>
        </w:rPr>
        <w:t>, ապա սույն գլխում նկարագրված հաշվարկները կատարվում են (1.8), (1.9), (1.29) - (1.32) հավասարումների օգտագործմամբ:</w:t>
      </w:r>
    </w:p>
    <w:p w14:paraId="7E3730F1"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y</m:t>
            </m:r>
          </m:sub>
        </m:sSub>
        <m:r>
          <w:rPr>
            <w:rFonts w:ascii="Cambria Math" w:hAnsi="Cambria Math" w:cs="Sylfaen"/>
            <w:sz w:val="24"/>
            <w:szCs w:val="24"/>
          </w:rPr>
          <m:t xml:space="preserve"> </m:t>
        </m:r>
      </m:oMath>
      <w:r w:rsidR="00B834A2">
        <w:rPr>
          <w:rFonts w:ascii="Sylfaen" w:hAnsi="Sylfaen"/>
          <w:sz w:val="24"/>
          <w:szCs w:val="24"/>
        </w:rPr>
        <w:t>եւ</w:t>
      </w:r>
      <w:r w:rsidR="00B834A2" w:rsidRPr="00B834A2">
        <w:rPr>
          <w:rFonts w:ascii="Sylfaen" w:hAnsi="Sylfaen"/>
          <w:sz w:val="24"/>
          <w:szCs w:val="24"/>
        </w:rPr>
        <w:t xml:space="preserve"> </w:t>
      </w:r>
      <m:oMath>
        <m:sSub>
          <m:sSubPr>
            <m:ctrlPr>
              <w:rPr>
                <w:rFonts w:ascii="Cambria Math" w:eastAsia="Microsoft Sans Serif" w:hAnsi="Cambria Math" w:cs="Sylfaen"/>
                <w:bCs/>
                <w:i/>
                <w:color w:val="000000"/>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eastAsia="Microsoft Sans Serif" w:hAnsi="Cambria Math" w:cs="Sylfaen"/>
            <w:color w:val="000000"/>
            <w:sz w:val="24"/>
            <w:szCs w:val="24"/>
          </w:rPr>
          <m:t xml:space="preserve"> </m:t>
        </m:r>
      </m:oMath>
      <w:r w:rsidR="00B834A2" w:rsidRPr="00B834A2">
        <w:rPr>
          <w:rFonts w:ascii="Sylfaen" w:hAnsi="Sylfaen"/>
          <w:sz w:val="24"/>
          <w:szCs w:val="24"/>
        </w:rPr>
        <w:t xml:space="preserve">արժեքները հաշվի առնելով՝ կարելի է գտնել </w:t>
      </w:r>
      <m:oMath>
        <m:r>
          <w:rPr>
            <w:rFonts w:ascii="Cambria Math" w:hAnsi="Cambria Math" w:cs="Sylfaen"/>
            <w:sz w:val="24"/>
            <w:szCs w:val="24"/>
          </w:rPr>
          <m:t xml:space="preserve">∆y </m:t>
        </m:r>
        <m:r>
          <m:rPr>
            <m:sty m:val="p"/>
          </m:rPr>
          <w:rPr>
            <w:rFonts w:ascii="Sylfaen" w:hAnsi="Sylfaen" w:cs="Sylfaen"/>
            <w:sz w:val="24"/>
            <w:szCs w:val="24"/>
          </w:rPr>
          <m:t>եւ</m:t>
        </m:r>
        <m:r>
          <w:rPr>
            <w:rFonts w:ascii="Cambria Math" w:hAnsi="Cambria Math" w:cs="Sylfaen"/>
            <w:sz w:val="24"/>
            <w:szCs w:val="24"/>
          </w:rPr>
          <m:t xml:space="preserve"> ∆x</m:t>
        </m:r>
      </m:oMath>
      <w:r w:rsidR="00B834A2" w:rsidRPr="00B834A2">
        <w:rPr>
          <w:rFonts w:ascii="Sylfaen" w:hAnsi="Sylfaen"/>
          <w:sz w:val="24"/>
          <w:szCs w:val="24"/>
        </w:rPr>
        <w:t xml:space="preserve"> մեծությունների արժեքները.</w:t>
      </w:r>
    </w:p>
    <w:p w14:paraId="265D7661"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sz w:val="24"/>
            <w:szCs w:val="24"/>
          </w:rPr>
          <m:t>∆y=</m:t>
        </m:r>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y</m:t>
            </m:r>
          </m:sub>
        </m:sSub>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P,f</m:t>
            </m:r>
          </m:e>
        </m:d>
        <m:r>
          <w:rPr>
            <w:rFonts w:ascii="Cambria Math" w:hAnsi="Cambria Math" w:cs="Sylfaen"/>
            <w:sz w:val="24"/>
            <w:szCs w:val="24"/>
          </w:rPr>
          <m:t>;</m:t>
        </m:r>
      </m:oMath>
      <w:r w:rsidRPr="00B834A2">
        <w:rPr>
          <w:rFonts w:ascii="Sylfaen" w:hAnsi="Sylfaen"/>
          <w:sz w:val="24"/>
          <w:szCs w:val="24"/>
        </w:rPr>
        <w:t xml:space="preserve"> </w:t>
      </w:r>
      <w:r w:rsidR="0078572C" w:rsidRPr="0078572C">
        <w:rPr>
          <w:rFonts w:ascii="Sylfaen" w:hAnsi="Sylfaen"/>
          <w:sz w:val="24"/>
          <w:szCs w:val="24"/>
        </w:rPr>
        <w:tab/>
      </w:r>
      <w:r w:rsidRPr="00B834A2">
        <w:rPr>
          <w:rFonts w:ascii="Sylfaen" w:hAnsi="Sylfaen"/>
          <w:sz w:val="24"/>
          <w:szCs w:val="24"/>
        </w:rPr>
        <w:t>(4-18)</w:t>
      </w:r>
    </w:p>
    <w:p w14:paraId="6A931F35"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sz w:val="24"/>
            <w:szCs w:val="24"/>
          </w:rPr>
          <m:t>∆x=</m:t>
        </m:r>
        <m:sSub>
          <m:sSubPr>
            <m:ctrlPr>
              <w:rPr>
                <w:rFonts w:ascii="Cambria Math" w:eastAsia="Microsoft Sans Serif" w:hAnsi="Cambria Math" w:cs="Sylfaen"/>
                <w:bCs/>
                <w:i/>
                <w:color w:val="000000"/>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eastAsia="Microsoft Sans Serif" w:hAnsi="Cambria Math" w:cs="Sylfaen"/>
            <w:color w:val="000000"/>
            <w:sz w:val="24"/>
            <w:szCs w:val="24"/>
          </w:rPr>
          <m:t>*t</m:t>
        </m:r>
        <m:d>
          <m:dPr>
            <m:ctrlPr>
              <w:rPr>
                <w:rFonts w:ascii="Cambria Math" w:eastAsia="Microsoft Sans Serif" w:hAnsi="Cambria Math" w:cs="Sylfaen"/>
                <w:bCs/>
                <w:i/>
                <w:color w:val="000000"/>
                <w:sz w:val="24"/>
                <w:szCs w:val="24"/>
              </w:rPr>
            </m:ctrlPr>
          </m:dPr>
          <m:e>
            <m:r>
              <w:rPr>
                <w:rFonts w:ascii="Cambria Math" w:eastAsia="Microsoft Sans Serif" w:hAnsi="Cambria Math" w:cs="Sylfaen"/>
                <w:color w:val="000000"/>
                <w:sz w:val="24"/>
                <w:szCs w:val="24"/>
              </w:rPr>
              <m:t>P,f</m:t>
            </m:r>
          </m:e>
        </m:d>
        <m:r>
          <w:rPr>
            <w:rFonts w:ascii="Cambria Math" w:eastAsia="Microsoft Sans Serif" w:hAnsi="Cambria Math" w:cs="Sylfaen"/>
            <w:color w:val="000000"/>
            <w:sz w:val="24"/>
            <w:szCs w:val="24"/>
          </w:rPr>
          <m:t>.</m:t>
        </m:r>
      </m:oMath>
      <w:r w:rsidR="0078572C" w:rsidRPr="0078572C">
        <w:rPr>
          <w:rFonts w:ascii="Sylfaen" w:hAnsi="Sylfaen"/>
          <w:sz w:val="24"/>
          <w:szCs w:val="24"/>
        </w:rPr>
        <w:tab/>
      </w:r>
      <w:r w:rsidRPr="00B834A2">
        <w:rPr>
          <w:rFonts w:ascii="Sylfaen" w:hAnsi="Sylfaen"/>
          <w:sz w:val="24"/>
          <w:szCs w:val="24"/>
        </w:rPr>
        <w:t>(4-19)</w:t>
      </w:r>
    </w:p>
    <w:p w14:paraId="2921286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n</w:t>
      </w:r>
      <w:r w:rsidRPr="00B834A2">
        <w:rPr>
          <w:rFonts w:ascii="Sylfaen" w:hAnsi="Sylfaen"/>
          <w:i/>
          <w:sz w:val="24"/>
          <w:szCs w:val="24"/>
          <w:vertAlign w:val="subscript"/>
        </w:rPr>
        <w:t>j</w:t>
      </w:r>
      <w:r w:rsidRPr="00B834A2">
        <w:rPr>
          <w:rFonts w:ascii="Sylfaen" w:hAnsi="Sylfaen"/>
          <w:sz w:val="24"/>
          <w:szCs w:val="24"/>
        </w:rPr>
        <w:t xml:space="preserve"> = 1-ի դեպքում գտնված</w:t>
      </w:r>
      <w:r>
        <w:rPr>
          <w:rFonts w:ascii="Sylfaen" w:hAnsi="Sylfaen"/>
          <w:sz w:val="24"/>
          <w:szCs w:val="24"/>
        </w:rPr>
        <w:t xml:space="preserve"> </w:t>
      </w:r>
      <m:oMath>
        <m:sSub>
          <m:sSubPr>
            <m:ctrlPr>
              <w:rPr>
                <w:rFonts w:ascii="Cambria Math" w:eastAsia="Microsoft Sans Serif" w:hAnsi="Cambria Math" w:cs="Sylfaen"/>
                <w:bCs/>
                <w:i/>
                <w:color w:val="000000"/>
                <w:sz w:val="24"/>
                <w:szCs w:val="24"/>
              </w:rPr>
            </m:ctrlPr>
          </m:sSubPr>
          <m:e>
            <m:r>
              <w:rPr>
                <w:rFonts w:ascii="Cambria Math" w:hAnsi="Cambria Math" w:cs="Sylfaen"/>
                <w:sz w:val="24"/>
                <w:szCs w:val="24"/>
              </w:rPr>
              <m:t>s</m:t>
            </m:r>
          </m:e>
          <m:sub>
            <m:r>
              <w:rPr>
                <w:rFonts w:ascii="Cambria Math" w:hAnsi="Cambria Math" w:cs="Sylfaen"/>
                <w:sz w:val="24"/>
                <w:szCs w:val="24"/>
              </w:rPr>
              <m:t>x</m:t>
            </m:r>
          </m:sub>
        </m:sSub>
      </m:oMath>
      <w:r w:rsidRPr="00B834A2">
        <w:rPr>
          <w:rFonts w:ascii="Sylfaen" w:hAnsi="Sylfaen"/>
          <w:b/>
          <w:sz w:val="24"/>
          <w:szCs w:val="24"/>
        </w:rPr>
        <w:t xml:space="preserve"> </w:t>
      </w:r>
      <w:r>
        <w:rPr>
          <w:rFonts w:ascii="Sylfaen" w:hAnsi="Sylfaen"/>
          <w:sz w:val="24"/>
          <w:szCs w:val="24"/>
        </w:rPr>
        <w:t>եւ</w:t>
      </w:r>
      <w:r w:rsidRPr="00B834A2">
        <w:rPr>
          <w:rFonts w:ascii="Sylfaen" w:hAnsi="Sylfaen"/>
          <w:sz w:val="24"/>
          <w:szCs w:val="24"/>
        </w:rPr>
        <w:t xml:space="preserve"> </w:t>
      </w:r>
      <m:oMath>
        <m:r>
          <w:rPr>
            <w:rFonts w:ascii="Cambria Math" w:hAnsi="Cambria Math" w:cs="Sylfaen"/>
            <w:sz w:val="24"/>
            <w:szCs w:val="24"/>
          </w:rPr>
          <m:t>∆x</m:t>
        </m:r>
      </m:oMath>
      <w:r w:rsidRPr="00B834A2">
        <w:rPr>
          <w:rFonts w:ascii="Sylfaen" w:hAnsi="Sylfaen"/>
          <w:sz w:val="24"/>
          <w:szCs w:val="24"/>
        </w:rPr>
        <w:t xml:space="preserve"> արժեքներն անալիտիկ մեթոդիկայի ճշգրտության բնութագրեր են, եթե </w:t>
      </w:r>
      <w:r w:rsidRPr="00B834A2">
        <w:rPr>
          <w:rFonts w:ascii="Sylfaen" w:hAnsi="Sylfaen"/>
          <w:i/>
          <w:sz w:val="24"/>
          <w:szCs w:val="24"/>
        </w:rPr>
        <w:t>х-ը</w:t>
      </w:r>
      <w:r>
        <w:rPr>
          <w:rFonts w:ascii="Sylfaen" w:hAnsi="Sylfaen"/>
          <w:sz w:val="24"/>
          <w:szCs w:val="24"/>
        </w:rPr>
        <w:t xml:space="preserve"> </w:t>
      </w:r>
      <w:r w:rsidRPr="00B834A2">
        <w:rPr>
          <w:rFonts w:ascii="Sylfaen" w:hAnsi="Sylfaen"/>
          <w:sz w:val="24"/>
          <w:szCs w:val="24"/>
        </w:rPr>
        <w:t>կոնցենտրացիա է (քանակությունը), իսկ</w:t>
      </w:r>
      <w:r w:rsidRPr="00B834A2">
        <w:rPr>
          <w:rFonts w:ascii="Sylfaen" w:hAnsi="Sylfaen"/>
          <w:i/>
          <w:sz w:val="24"/>
          <w:szCs w:val="24"/>
        </w:rPr>
        <w:t xml:space="preserve"> у </w:t>
      </w:r>
      <w:r w:rsidR="009217DE">
        <w:rPr>
          <w:rFonts w:ascii="Sylfaen" w:hAnsi="Sylfaen"/>
          <w:i/>
          <w:sz w:val="24"/>
          <w:szCs w:val="24"/>
        </w:rPr>
        <w:t>-</w:t>
      </w:r>
      <w:r>
        <w:rPr>
          <w:rFonts w:ascii="Sylfaen" w:hAnsi="Sylfaen"/>
          <w:sz w:val="24"/>
          <w:szCs w:val="24"/>
        </w:rPr>
        <w:t xml:space="preserve"> </w:t>
      </w:r>
      <w:r w:rsidRPr="00B834A2">
        <w:rPr>
          <w:rFonts w:ascii="Sylfaen" w:hAnsi="Sylfaen"/>
          <w:i/>
          <w:sz w:val="24"/>
          <w:szCs w:val="24"/>
        </w:rPr>
        <w:t>х-ը՝ ֆունկցիա:</w:t>
      </w:r>
    </w:p>
    <w:p w14:paraId="781772F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Նվազագույն քառակուսիների մեթոդով վիճակագրական մշակման արդյունքները սովորաբար ամփոփվում են աղյուսակում (աղյուսակ 4.-5):</w:t>
      </w:r>
    </w:p>
    <w:p w14:paraId="36A3855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3A3F393E"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5.</w:t>
      </w:r>
      <w:r w:rsidR="0078572C" w:rsidRPr="0078572C">
        <w:rPr>
          <w:rFonts w:ascii="Sylfaen" w:hAnsi="Sylfaen"/>
          <w:b/>
          <w:sz w:val="24"/>
          <w:szCs w:val="24"/>
        </w:rPr>
        <w:tab/>
      </w:r>
      <w:r w:rsidRPr="00B834A2">
        <w:rPr>
          <w:rFonts w:ascii="Sylfaen" w:hAnsi="Sylfaen"/>
          <w:b/>
          <w:sz w:val="24"/>
          <w:szCs w:val="24"/>
        </w:rPr>
        <w:t>ՄԻ ՔԱՆԻ ՊԱՏԱՀԱԿԱՆ ՓՈՓՈԽԱԿԱՆՆԵՐԻ ԱՆՈՐՈՇՈՒԹՅԱՆ ՀԱՇՎԱՐԿ</w:t>
      </w:r>
    </w:p>
    <w:p w14:paraId="2683C2D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Սույն ընդհանուր դեղագրքային հոդվածի 1-4 բաժիններում նկարագրված անալիզի մեթոդիկաների վստահելի միջակայքերի հաշվարկները կիրառելի են միայն այն դեպքում, եթե չափվող մեծությունը (կոնցենտրացիան, պարունակությունը </w:t>
      </w:r>
      <w:r>
        <w:rPr>
          <w:rFonts w:ascii="Sylfaen" w:hAnsi="Sylfaen"/>
          <w:sz w:val="24"/>
          <w:szCs w:val="24"/>
        </w:rPr>
        <w:t>եւ</w:t>
      </w:r>
      <w:r w:rsidRPr="00B834A2">
        <w:rPr>
          <w:rFonts w:ascii="Sylfaen" w:hAnsi="Sylfaen"/>
          <w:sz w:val="24"/>
          <w:szCs w:val="24"/>
        </w:rPr>
        <w:t xml:space="preserve"> այլն) միայն մեկ պատահական փոփոխականի ֆունկցիա է: Սակայն դեղապատրաստուկները ֆիզիկական, ֆիզիկաքիմիական </w:t>
      </w:r>
      <w:r>
        <w:rPr>
          <w:rFonts w:ascii="Sylfaen" w:hAnsi="Sylfaen"/>
          <w:sz w:val="24"/>
          <w:szCs w:val="24"/>
        </w:rPr>
        <w:t>եւ</w:t>
      </w:r>
      <w:r w:rsidRPr="00B834A2">
        <w:rPr>
          <w:rFonts w:ascii="Sylfaen" w:hAnsi="Sylfaen"/>
          <w:sz w:val="24"/>
          <w:szCs w:val="24"/>
        </w:rPr>
        <w:t xml:space="preserve"> քիմիական անալիզի մեթոդներով փորձարկելու դեպքում քանակական որոշման մեթոդիկաների մեծ մասն անուղղակի է, այսինքն՝ օգտագործվում են ստանդարտ նմուշներ: Հետ</w:t>
      </w:r>
      <w:r>
        <w:rPr>
          <w:rFonts w:ascii="Sylfaen" w:hAnsi="Sylfaen"/>
          <w:sz w:val="24"/>
          <w:szCs w:val="24"/>
        </w:rPr>
        <w:t>եւ</w:t>
      </w:r>
      <w:r w:rsidRPr="00B834A2">
        <w:rPr>
          <w:rFonts w:ascii="Sylfaen" w:hAnsi="Sylfaen"/>
          <w:sz w:val="24"/>
          <w:szCs w:val="24"/>
        </w:rPr>
        <w:t xml:space="preserve">աբար չափվող մեծությունը փորձարկվող </w:t>
      </w:r>
      <w:r>
        <w:rPr>
          <w:rFonts w:ascii="Sylfaen" w:hAnsi="Sylfaen"/>
          <w:sz w:val="24"/>
          <w:szCs w:val="24"/>
        </w:rPr>
        <w:t>եւ</w:t>
      </w:r>
      <w:r w:rsidRPr="00B834A2">
        <w:rPr>
          <w:rFonts w:ascii="Sylfaen" w:hAnsi="Sylfaen"/>
          <w:sz w:val="24"/>
          <w:szCs w:val="24"/>
        </w:rPr>
        <w:t xml:space="preserve"> ստանդարտ նմուշների առնվազն երկու պատահական փոփոխականների՝ անալիտիկ ազդանշանների (օպտիկական խտություն կամ կլանում, պիկի բարձրություն կամ մակերես </w:t>
      </w:r>
      <w:r>
        <w:rPr>
          <w:rFonts w:ascii="Sylfaen" w:hAnsi="Sylfaen"/>
          <w:sz w:val="24"/>
          <w:szCs w:val="24"/>
        </w:rPr>
        <w:t>եւ</w:t>
      </w:r>
      <w:r w:rsidRPr="00B834A2">
        <w:rPr>
          <w:rFonts w:ascii="Sylfaen" w:hAnsi="Sylfaen"/>
          <w:sz w:val="24"/>
          <w:szCs w:val="24"/>
        </w:rPr>
        <w:t xml:space="preserve"> այլն) ֆունկցիան է: Բացի այդ, հաճախ առաջանում է մի քանի այնպիսի փուլերից բաղկացած անալիտիկ մեթոդիկաների անորոշության կանխատեսման խնդիր (կշռում, նոսրացում, վերջնական անալիտիկ գործողություն), որոնցից յուրաքանչյուրը մյուսի նկատմամբ պատահական մեծություն է:</w:t>
      </w:r>
    </w:p>
    <w:p w14:paraId="27D55D6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Այսպիսով, առաջանում է մի քանի չափվող մեծություններով պայմանավորված անուղղակի չափվող մեծության անորոշության գնահատման ընդհանուր խնդիր, մասնավորապես, թե ինչպես հաշվարկել ամբողջ անալիտիկ մեթոդիկայի անորոշությունը, եթե հայտնի են դրա առանձին բաղադրիչների (փուլերի) անորոշությունները:</w:t>
      </w:r>
    </w:p>
    <w:p w14:paraId="3F6C5EC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Եթե փորձով չափվող </w:t>
      </w:r>
      <w:r w:rsidRPr="00B834A2">
        <w:rPr>
          <w:rFonts w:ascii="Sylfaen" w:hAnsi="Sylfaen"/>
          <w:i/>
          <w:sz w:val="24"/>
          <w:szCs w:val="24"/>
        </w:rPr>
        <w:t>у</w:t>
      </w:r>
      <w:r w:rsidRPr="00B834A2">
        <w:rPr>
          <w:rFonts w:ascii="Sylfaen" w:hAnsi="Sylfaen"/>
          <w:sz w:val="24"/>
          <w:szCs w:val="24"/>
        </w:rPr>
        <w:t xml:space="preserve"> մեծությունը </w:t>
      </w:r>
      <w:r w:rsidRPr="00B834A2">
        <w:rPr>
          <w:rFonts w:ascii="Sylfaen" w:hAnsi="Sylfaen"/>
          <w:i/>
          <w:sz w:val="24"/>
          <w:szCs w:val="24"/>
        </w:rPr>
        <w:t>х</w:t>
      </w:r>
      <w:r w:rsidRPr="00B834A2">
        <w:rPr>
          <w:rFonts w:ascii="Sylfaen" w:hAnsi="Sylfaen"/>
          <w:i/>
          <w:sz w:val="24"/>
          <w:szCs w:val="24"/>
          <w:vertAlign w:val="subscript"/>
        </w:rPr>
        <w:t>i</w:t>
      </w:r>
      <w:r w:rsidRPr="00B834A2">
        <w:rPr>
          <w:rFonts w:ascii="Sylfaen" w:hAnsi="Sylfaen"/>
          <w:sz w:val="24"/>
          <w:szCs w:val="24"/>
        </w:rPr>
        <w:t xml:space="preserve">, անկախ պատահական մեծությունների </w:t>
      </w:r>
      <w:r w:rsidRPr="00B834A2">
        <w:rPr>
          <w:rFonts w:ascii="Sylfaen" w:hAnsi="Sylfaen"/>
          <w:i/>
          <w:sz w:val="24"/>
          <w:szCs w:val="24"/>
        </w:rPr>
        <w:t>n</w:t>
      </w:r>
      <w:r w:rsidRPr="00B834A2">
        <w:rPr>
          <w:rFonts w:ascii="Sylfaen" w:hAnsi="Sylfaen"/>
          <w:sz w:val="24"/>
          <w:szCs w:val="24"/>
        </w:rPr>
        <w:t xml:space="preserve"> ֆունկցիան է, ապա առկա է՝</w:t>
      </w:r>
    </w:p>
    <w:p w14:paraId="3B7DD562"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w:r w:rsidRPr="00B834A2">
        <w:rPr>
          <w:rFonts w:ascii="Sylfaen" w:hAnsi="Sylfaen"/>
          <w:i/>
          <w:sz w:val="24"/>
          <w:szCs w:val="24"/>
        </w:rPr>
        <w:lastRenderedPageBreak/>
        <w:t>y=f(x</w:t>
      </w:r>
      <w:r w:rsidRPr="00B834A2">
        <w:rPr>
          <w:rFonts w:ascii="Sylfaen" w:hAnsi="Sylfaen"/>
          <w:i/>
          <w:sz w:val="24"/>
          <w:szCs w:val="24"/>
          <w:vertAlign w:val="subscript"/>
        </w:rPr>
        <w:t>1</w:t>
      </w:r>
      <w:r w:rsidRPr="00B834A2">
        <w:rPr>
          <w:rFonts w:ascii="Sylfaen" w:hAnsi="Sylfaen"/>
          <w:i/>
          <w:sz w:val="24"/>
          <w:szCs w:val="24"/>
        </w:rPr>
        <w:t>, x</w:t>
      </w:r>
      <w:r w:rsidRPr="00B834A2">
        <w:rPr>
          <w:rFonts w:ascii="Sylfaen" w:hAnsi="Sylfaen"/>
          <w:i/>
          <w:sz w:val="24"/>
          <w:szCs w:val="24"/>
          <w:vertAlign w:val="subscript"/>
        </w:rPr>
        <w:t>2</w:t>
      </w:r>
      <w:r w:rsidRPr="00B834A2">
        <w:rPr>
          <w:rFonts w:ascii="Sylfaen" w:hAnsi="Sylfaen"/>
          <w:i/>
          <w:sz w:val="24"/>
          <w:szCs w:val="24"/>
        </w:rPr>
        <w:t>,...,x</w:t>
      </w:r>
      <w:r w:rsidRPr="00B834A2">
        <w:rPr>
          <w:rFonts w:ascii="Sylfaen" w:hAnsi="Sylfaen"/>
          <w:i/>
          <w:sz w:val="24"/>
          <w:szCs w:val="24"/>
          <w:vertAlign w:val="subscript"/>
        </w:rPr>
        <w:t>n</w:t>
      </w:r>
      <w:r w:rsidRPr="00B834A2">
        <w:rPr>
          <w:rFonts w:ascii="Sylfaen" w:hAnsi="Sylfaen"/>
          <w:i/>
          <w:sz w:val="24"/>
          <w:szCs w:val="24"/>
        </w:rPr>
        <w:t>),</w:t>
      </w:r>
      <w:r w:rsidR="0078572C" w:rsidRPr="002E52D1">
        <w:rPr>
          <w:rFonts w:ascii="Sylfaen" w:hAnsi="Sylfaen"/>
          <w:sz w:val="24"/>
          <w:szCs w:val="24"/>
        </w:rPr>
        <w:tab/>
      </w:r>
      <w:r w:rsidRPr="00B834A2">
        <w:rPr>
          <w:rFonts w:ascii="Sylfaen" w:hAnsi="Sylfaen"/>
          <w:sz w:val="24"/>
          <w:szCs w:val="24"/>
        </w:rPr>
        <w:t>(5.1)</w:t>
      </w:r>
    </w:p>
    <w:p w14:paraId="656FF48E" w14:textId="77777777" w:rsidR="00B834A2" w:rsidRPr="00B834A2" w:rsidRDefault="00B834A2" w:rsidP="00B834A2">
      <w:pPr>
        <w:spacing w:after="160" w:line="360" w:lineRule="auto"/>
        <w:ind w:firstLine="567"/>
        <w:jc w:val="both"/>
      </w:pPr>
      <w:r>
        <w:t>եւ</w:t>
      </w:r>
      <w:r w:rsidRPr="00B834A2">
        <w:t xml:space="preserve"> </w:t>
      </w:r>
      <w:r w:rsidRPr="00B834A2">
        <w:rPr>
          <w:i/>
        </w:rPr>
        <w:t>х</w:t>
      </w:r>
      <w:r w:rsidRPr="00B834A2">
        <w:rPr>
          <w:i/>
          <w:vertAlign w:val="subscript"/>
        </w:rPr>
        <w:t>i</w:t>
      </w:r>
      <w:r w:rsidRPr="00B834A2">
        <w:t xml:space="preserve"> մեծությունների ազատության աստիճանների թիվը նմանապես կամ բավականին մեծ է (&gt;30, որպեսզի հնարավոր լինի կիրառել Գաուսի, այլ ոչ թե Ստյուդենտի վիճակագրություն), ապա </w:t>
      </w:r>
      <w:r w:rsidRPr="00B834A2">
        <w:rPr>
          <w:i/>
        </w:rPr>
        <w:t>y</w:t>
      </w:r>
      <w:r w:rsidRPr="00B834A2">
        <w:t xml:space="preserve"> մեծության դիսպերսիան կապված է </w:t>
      </w:r>
      <w:r w:rsidRPr="00B834A2">
        <w:rPr>
          <w:i/>
        </w:rPr>
        <w:t>х</w:t>
      </w:r>
      <w:r w:rsidRPr="00B834A2">
        <w:rPr>
          <w:i/>
          <w:vertAlign w:val="subscript"/>
        </w:rPr>
        <w:t>i</w:t>
      </w:r>
      <w:r w:rsidRPr="00B834A2">
        <w:t xml:space="preserve"> մեծությունների դիսպերսիաների հետ հետ</w:t>
      </w:r>
      <w:r>
        <w:t>եւ</w:t>
      </w:r>
      <w:r w:rsidRPr="00B834A2">
        <w:t>յալ հարաբերակցությամբ (անորոշությունների տարածման կանոն).</w:t>
      </w:r>
    </w:p>
    <w:p w14:paraId="1305D144" w14:textId="77777777" w:rsidR="00B834A2" w:rsidRPr="00B834A2" w:rsidRDefault="00000000" w:rsidP="0078572C">
      <w:pPr>
        <w:tabs>
          <w:tab w:val="left" w:pos="4253"/>
        </w:tabs>
        <w:spacing w:after="160" w:line="360" w:lineRule="auto"/>
        <w:ind w:firstLine="567"/>
        <w:jc w:val="center"/>
      </w:pPr>
      <m:oMath>
        <m:sSubSup>
          <m:sSubSupPr>
            <m:ctrlPr>
              <w:rPr>
                <w:rFonts w:ascii="Cambria Math" w:hAnsi="Cambria Math"/>
                <w:i/>
              </w:rPr>
            </m:ctrlPr>
          </m:sSubSupPr>
          <m:e>
            <m:r>
              <w:rPr>
                <w:rFonts w:ascii="Cambria Math" w:hAnsi="Cambria Math"/>
              </w:rPr>
              <m:t>s</m:t>
            </m:r>
          </m:e>
          <m:sub>
            <m:r>
              <w:rPr>
                <w:rFonts w:ascii="Cambria Math" w:hAnsi="Cambria Math"/>
              </w:rPr>
              <m:t>y</m:t>
            </m:r>
          </m:sub>
          <m:sup>
            <m:r>
              <w:rPr>
                <w:rFonts w:ascii="Cambria Math" w:hAnsi="Cambria Math"/>
              </w:rPr>
              <m:t>2</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i</m:t>
                    </m:r>
                  </m:sub>
                </m:sSub>
              </m:den>
            </m:f>
          </m:e>
        </m:nary>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xi</m:t>
            </m:r>
          </m:sub>
          <m:sup>
            <m:r>
              <w:rPr>
                <w:rFonts w:ascii="Cambria Math" w:hAnsi="Cambria Math"/>
              </w:rPr>
              <m:t>2</m:t>
            </m:r>
          </m:sup>
        </m:sSubSup>
      </m:oMath>
      <w:r w:rsidR="0078572C" w:rsidRPr="0078572C">
        <w:tab/>
      </w:r>
      <w:r w:rsidR="00B834A2" w:rsidRPr="00B834A2">
        <w:t>(5.2)</w:t>
      </w:r>
    </w:p>
    <w:p w14:paraId="6139E3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Սակայն գործնականում </w:t>
      </w:r>
      <w:r w:rsidRPr="00B834A2">
        <w:rPr>
          <w:rFonts w:ascii="Sylfaen" w:hAnsi="Sylfaen"/>
          <w:i/>
          <w:sz w:val="24"/>
          <w:szCs w:val="24"/>
        </w:rPr>
        <w:t>х</w:t>
      </w:r>
      <w:r w:rsidRPr="00B834A2">
        <w:rPr>
          <w:rFonts w:ascii="Sylfaen" w:hAnsi="Sylfaen"/>
          <w:i/>
          <w:sz w:val="24"/>
          <w:szCs w:val="24"/>
          <w:vertAlign w:val="subscript"/>
        </w:rPr>
        <w:t>t</w:t>
      </w:r>
      <w:r w:rsidRPr="00B834A2">
        <w:rPr>
          <w:rFonts w:ascii="Sylfaen" w:hAnsi="Sylfaen"/>
          <w:sz w:val="24"/>
          <w:szCs w:val="24"/>
        </w:rPr>
        <w:t xml:space="preserve"> մեծությունների ազատության աստիճանները սովորաբար մեծ չեն </w:t>
      </w:r>
      <w:r>
        <w:rPr>
          <w:rFonts w:ascii="Sylfaen" w:hAnsi="Sylfaen"/>
          <w:sz w:val="24"/>
          <w:szCs w:val="24"/>
        </w:rPr>
        <w:t>եւ</w:t>
      </w:r>
      <w:r w:rsidRPr="00B834A2">
        <w:rPr>
          <w:rFonts w:ascii="Sylfaen" w:hAnsi="Sylfaen"/>
          <w:sz w:val="24"/>
          <w:szCs w:val="24"/>
        </w:rPr>
        <w:t xml:space="preserve"> միմյանց հավասար չեն: Բացի այդ, սովորաբար հետաքրքրություն ներկայացում են ոչ հենց դիսպերսիաները (ստանդարտ շեղումները), այլ վստահելի միջակայքերը, որոնք հաշվարկելը, (5.2) հավասարումն օգտագործելով, ազատության ոչ մեծ </w:t>
      </w:r>
      <w:r>
        <w:rPr>
          <w:rFonts w:ascii="Sylfaen" w:hAnsi="Sylfaen"/>
          <w:sz w:val="24"/>
          <w:szCs w:val="24"/>
        </w:rPr>
        <w:t>եւ</w:t>
      </w:r>
      <w:r w:rsidRPr="00B834A2">
        <w:rPr>
          <w:rFonts w:ascii="Sylfaen" w:hAnsi="Sylfaen"/>
          <w:sz w:val="24"/>
          <w:szCs w:val="24"/>
        </w:rPr>
        <w:t xml:space="preserve"> ոչ նման աստիճանների դեպքում անհնարին է: Այդ իսկ պատճառով </w:t>
      </w:r>
      <w:r w:rsidRPr="00B834A2">
        <w:rPr>
          <w:rFonts w:ascii="Sylfaen" w:hAnsi="Sylfaen"/>
          <w:i/>
          <w:sz w:val="24"/>
          <w:szCs w:val="24"/>
        </w:rPr>
        <w:t>y</w:t>
      </w:r>
      <w:r w:rsidRPr="00B834A2">
        <w:rPr>
          <w:rFonts w:ascii="Sylfaen" w:hAnsi="Sylfaen"/>
          <w:sz w:val="24"/>
          <w:szCs w:val="24"/>
        </w:rPr>
        <w:t xml:space="preserve"> մեծության (</w:t>
      </w:r>
      <m:oMath>
        <m:r>
          <w:rPr>
            <w:rFonts w:ascii="Cambria Math" w:hAnsi="Cambria Math" w:cs="Sylfaen"/>
            <w:sz w:val="24"/>
            <w:szCs w:val="24"/>
          </w:rPr>
          <m:t>∆y</m:t>
        </m:r>
      </m:oMath>
      <w:r w:rsidRPr="00B834A2">
        <w:rPr>
          <w:rFonts w:ascii="Sylfaen" w:hAnsi="Sylfaen"/>
          <w:sz w:val="24"/>
          <w:szCs w:val="24"/>
        </w:rPr>
        <w:t xml:space="preserve">) անորոշության հաշվարկի համար առաջարկվել են տարբեր մոտեցումներ, որոնցից կարելի է առանձնացնել երկու հիմնականը՝ գծային մոդելը </w:t>
      </w:r>
      <w:r>
        <w:rPr>
          <w:rFonts w:ascii="Sylfaen" w:hAnsi="Sylfaen"/>
          <w:sz w:val="24"/>
          <w:szCs w:val="24"/>
        </w:rPr>
        <w:t>եւ</w:t>
      </w:r>
      <w:r w:rsidRPr="00B834A2">
        <w:rPr>
          <w:rFonts w:ascii="Sylfaen" w:hAnsi="Sylfaen"/>
          <w:sz w:val="24"/>
          <w:szCs w:val="24"/>
        </w:rPr>
        <w:t xml:space="preserve"> Ուելչ-Սատերտուեյթի մոտեցումը:</w:t>
      </w:r>
    </w:p>
    <w:p w14:paraId="04E6632F" w14:textId="77777777" w:rsidR="0078572C" w:rsidRPr="002E52D1" w:rsidRDefault="0078572C" w:rsidP="00B834A2">
      <w:pPr>
        <w:pStyle w:val="a0"/>
        <w:shd w:val="clear" w:color="auto" w:fill="auto"/>
        <w:spacing w:after="160" w:line="360" w:lineRule="auto"/>
        <w:ind w:firstLine="567"/>
        <w:jc w:val="both"/>
        <w:rPr>
          <w:rFonts w:ascii="Sylfaen" w:hAnsi="Sylfaen"/>
          <w:b/>
          <w:sz w:val="24"/>
          <w:szCs w:val="24"/>
        </w:rPr>
      </w:pPr>
    </w:p>
    <w:p w14:paraId="1577BEC5"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5.1.</w:t>
      </w:r>
      <w:r w:rsidR="0078572C" w:rsidRPr="002E52D1">
        <w:rPr>
          <w:rFonts w:ascii="Sylfaen" w:hAnsi="Sylfaen"/>
          <w:b/>
          <w:sz w:val="24"/>
          <w:szCs w:val="24"/>
        </w:rPr>
        <w:tab/>
      </w:r>
      <w:r w:rsidRPr="00B834A2">
        <w:rPr>
          <w:rFonts w:ascii="Sylfaen" w:hAnsi="Sylfaen"/>
          <w:b/>
          <w:sz w:val="24"/>
          <w:szCs w:val="24"/>
        </w:rPr>
        <w:t>Գծային մոդել</w:t>
      </w:r>
    </w:p>
    <w:p w14:paraId="2DDE43F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Եթե </w:t>
      </w:r>
      <w:r w:rsidRPr="00B834A2">
        <w:rPr>
          <w:rFonts w:ascii="Sylfaen" w:hAnsi="Sylfaen"/>
          <w:i/>
          <w:sz w:val="24"/>
          <w:szCs w:val="24"/>
        </w:rPr>
        <w:t>х</w:t>
      </w:r>
      <w:r w:rsidRPr="00B834A2">
        <w:rPr>
          <w:rFonts w:ascii="Sylfaen" w:hAnsi="Sylfaen"/>
          <w:i/>
          <w:sz w:val="24"/>
          <w:szCs w:val="24"/>
          <w:vertAlign w:val="subscript"/>
        </w:rPr>
        <w:t>i</w:t>
      </w:r>
      <w:r w:rsidRPr="00B834A2">
        <w:rPr>
          <w:rFonts w:ascii="Sylfaen" w:hAnsi="Sylfaen"/>
          <w:sz w:val="24"/>
          <w:szCs w:val="24"/>
        </w:rPr>
        <w:t xml:space="preserve">, պատահական փոփոխականները վիճակագրորեն անկախ են, ապա </w:t>
      </w:r>
      <m:oMath>
        <m:r>
          <w:rPr>
            <w:rFonts w:ascii="Cambria Math" w:hAnsi="Cambria Math" w:cs="Sylfaen"/>
            <w:sz w:val="24"/>
            <w:szCs w:val="24"/>
          </w:rPr>
          <m:t>∆y</m:t>
        </m:r>
      </m:oMath>
      <w:r w:rsidRPr="00B834A2">
        <w:rPr>
          <w:rFonts w:ascii="Sylfaen" w:hAnsi="Sylfaen"/>
          <w:sz w:val="24"/>
          <w:szCs w:val="24"/>
        </w:rPr>
        <w:t xml:space="preserve"> ֆունկցիայի վստահելի միջակայքը կապված է </w:t>
      </w: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xi</m:t>
            </m:r>
          </m:sub>
        </m:sSub>
      </m:oMath>
      <w:r w:rsidRPr="00B834A2">
        <w:rPr>
          <w:rFonts w:ascii="Sylfaen" w:hAnsi="Sylfaen"/>
          <w:sz w:val="24"/>
          <w:szCs w:val="24"/>
        </w:rPr>
        <w:t xml:space="preserve"> փոփոխականների վստահելի միջակայքերի հետ հետ</w:t>
      </w:r>
      <w:r>
        <w:rPr>
          <w:rFonts w:ascii="Sylfaen" w:hAnsi="Sylfaen"/>
          <w:sz w:val="24"/>
          <w:szCs w:val="24"/>
        </w:rPr>
        <w:t>եւ</w:t>
      </w:r>
      <w:r w:rsidRPr="00B834A2">
        <w:rPr>
          <w:rFonts w:ascii="Sylfaen" w:hAnsi="Sylfaen"/>
          <w:sz w:val="24"/>
          <w:szCs w:val="24"/>
        </w:rPr>
        <w:t>յալ հարաբերակցությամբ (վստահելի միջակայքերը վերցվում են նույն հավանականության համար).</w:t>
      </w:r>
    </w:p>
    <w:p w14:paraId="42E31222"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y</m:t>
            </m:r>
          </m:sub>
          <m:sup>
            <m:r>
              <w:rPr>
                <w:rFonts w:ascii="Cambria Math" w:hAnsi="Cambria Math" w:cs="Sylfaen"/>
                <w:sz w:val="24"/>
                <w:szCs w:val="24"/>
              </w:rPr>
              <m:t>2</m:t>
            </m:r>
          </m:sup>
        </m:sSubSup>
        <m:r>
          <w:rPr>
            <w:rFonts w:ascii="Cambria Math" w:hAnsi="Cambria Math" w:cs="Sylfaen"/>
            <w:sz w:val="24"/>
            <w:szCs w:val="24"/>
          </w:rPr>
          <m:t>=</m:t>
        </m:r>
        <m:nary>
          <m:naryPr>
            <m:chr m:val="∑"/>
            <m:limLoc m:val="undOvr"/>
            <m:ctrlPr>
              <w:rPr>
                <w:rFonts w:ascii="Cambria Math" w:eastAsia="Microsoft Sans Serif" w:hAnsi="Cambria Math" w:cs="Sylfaen"/>
                <w:i/>
                <w:color w:val="000000"/>
                <w:sz w:val="24"/>
                <w:szCs w:val="24"/>
              </w:rPr>
            </m:ctrlPr>
          </m:naryPr>
          <m:sub>
            <m:r>
              <w:rPr>
                <w:rFonts w:ascii="Cambria Math" w:hAnsi="Cambria Math" w:cs="Sylfaen"/>
                <w:sz w:val="24"/>
                <w:szCs w:val="24"/>
              </w:rPr>
              <m:t>i=1</m:t>
            </m:r>
          </m:sub>
          <m:sup>
            <m:r>
              <w:rPr>
                <w:rFonts w:ascii="Cambria Math" w:hAnsi="Cambria Math" w:cs="Sylfaen"/>
                <w:sz w:val="24"/>
                <w:szCs w:val="24"/>
              </w:rPr>
              <m:t>n</m:t>
            </m:r>
          </m:sup>
          <m:e>
            <m:r>
              <w:rPr>
                <w:rFonts w:ascii="Cambria Math" w:hAnsi="Cambria Math" w:cs="Sylfaen"/>
                <w:sz w:val="24"/>
                <w:szCs w:val="24"/>
              </w:rPr>
              <m:t>(</m:t>
            </m:r>
            <m:f>
              <m:fPr>
                <m:ctrlPr>
                  <w:rPr>
                    <w:rFonts w:ascii="Cambria Math" w:eastAsia="Microsoft Sans Serif" w:hAnsi="Cambria Math" w:cs="Sylfaen"/>
                    <w:i/>
                    <w:color w:val="000000"/>
                    <w:sz w:val="24"/>
                    <w:szCs w:val="24"/>
                  </w:rPr>
                </m:ctrlPr>
              </m:fPr>
              <m:num>
                <m:r>
                  <w:rPr>
                    <w:rFonts w:ascii="Cambria Math" w:hAnsi="Cambria Math" w:cs="Sylfaen"/>
                    <w:sz w:val="24"/>
                    <w:szCs w:val="24"/>
                  </w:rPr>
                  <m:t>∂f</m:t>
                </m:r>
              </m:num>
              <m:den>
                <m:r>
                  <w:rPr>
                    <w:rFonts w:ascii="Cambria Math" w:hAnsi="Cambria Math" w:cs="Sylfaen"/>
                    <w:sz w:val="24"/>
                    <w:szCs w:val="24"/>
                  </w:rPr>
                  <m:t>∂</m:t>
                </m:r>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x</m:t>
                    </m:r>
                  </m:e>
                  <m:sub>
                    <m:r>
                      <w:rPr>
                        <w:rFonts w:ascii="Cambria Math" w:hAnsi="Cambria Math" w:cs="Sylfaen"/>
                        <w:sz w:val="24"/>
                        <w:szCs w:val="24"/>
                      </w:rPr>
                      <m:t>i</m:t>
                    </m:r>
                  </m:sub>
                </m:sSub>
              </m:den>
            </m:f>
          </m:e>
        </m:nary>
        <m:sSup>
          <m:sSupPr>
            <m:ctrlPr>
              <w:rPr>
                <w:rFonts w:ascii="Cambria Math" w:eastAsia="Microsoft Sans Serif" w:hAnsi="Cambria Math" w:cs="Sylfaen"/>
                <w:i/>
                <w:color w:val="000000"/>
                <w:sz w:val="24"/>
                <w:szCs w:val="24"/>
              </w:rPr>
            </m:ctrlPr>
          </m:sSupPr>
          <m:e>
            <m:r>
              <w:rPr>
                <w:rFonts w:ascii="Cambria Math" w:hAnsi="Cambria Math" w:cs="Sylfaen"/>
                <w:sz w:val="24"/>
                <w:szCs w:val="24"/>
              </w:rPr>
              <m:t>)</m:t>
            </m:r>
          </m:e>
          <m:sup>
            <m:r>
              <w:rPr>
                <w:rFonts w:ascii="Cambria Math" w:eastAsia="Microsoft Sans Serif" w:hAnsi="Cambria Math" w:cs="Sylfaen"/>
                <w:color w:val="000000"/>
                <w:sz w:val="24"/>
                <w:szCs w:val="24"/>
              </w:rPr>
              <m:t>2</m:t>
            </m:r>
          </m:sup>
        </m:sSup>
        <m:r>
          <w:rPr>
            <w:rFonts w:ascii="Cambria Math" w:hAnsi="Cambria Math" w:cs="Sylfaen"/>
            <w:sz w:val="24"/>
            <w:szCs w:val="24"/>
          </w:rPr>
          <m:t>*</m:t>
        </m:r>
        <m:sSubSup>
          <m:sSubSupPr>
            <m:ctrlPr>
              <w:rPr>
                <w:rFonts w:ascii="Cambria Math" w:eastAsia="Microsoft Sans Serif" w:hAnsi="Cambria Math" w:cs="Sylfaen"/>
                <w:i/>
                <w:color w:val="000000"/>
                <w:sz w:val="24"/>
                <w:szCs w:val="24"/>
              </w:rPr>
            </m:ctrlPr>
          </m:sSubSupPr>
          <m:e>
            <m:r>
              <w:rPr>
                <w:rFonts w:ascii="Cambria Math" w:hAnsi="Cambria Math" w:cs="Sylfaen"/>
                <w:sz w:val="24"/>
                <w:szCs w:val="24"/>
              </w:rPr>
              <m:t>∆</m:t>
            </m:r>
          </m:e>
          <m:sub>
            <m:r>
              <w:rPr>
                <w:rFonts w:ascii="Cambria Math" w:hAnsi="Cambria Math" w:cs="Sylfaen"/>
                <w:sz w:val="24"/>
                <w:szCs w:val="24"/>
              </w:rPr>
              <m:t>xi</m:t>
            </m:r>
          </m:sub>
          <m:sup>
            <m:r>
              <w:rPr>
                <w:rFonts w:ascii="Cambria Math" w:hAnsi="Cambria Math" w:cs="Sylfaen"/>
                <w:sz w:val="24"/>
                <w:szCs w:val="24"/>
              </w:rPr>
              <m:t>2</m:t>
            </m:r>
          </m:sup>
        </m:sSubSup>
      </m:oMath>
      <w:r w:rsidR="00B834A2" w:rsidRPr="00B834A2">
        <w:rPr>
          <w:rFonts w:ascii="Sylfaen" w:hAnsi="Sylfaen"/>
          <w:color w:val="000000"/>
          <w:sz w:val="24"/>
          <w:szCs w:val="24"/>
        </w:rPr>
        <w:t xml:space="preserve"> . (5.3)</w:t>
      </w:r>
    </w:p>
    <w:p w14:paraId="1C3B784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Տվյալ արտահայտությունը (5.2) հարաբերակցության ամփոփում է:</w:t>
      </w:r>
    </w:p>
    <w:p w14:paraId="3082BC3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Անալիզի ֆիզիկական, ֆիզիկաքիմիական </w:t>
      </w:r>
      <w:r>
        <w:rPr>
          <w:rFonts w:ascii="Sylfaen" w:hAnsi="Sylfaen"/>
          <w:sz w:val="24"/>
          <w:szCs w:val="24"/>
        </w:rPr>
        <w:t>եւ</w:t>
      </w:r>
      <w:r w:rsidRPr="00B834A2">
        <w:rPr>
          <w:rFonts w:ascii="Sylfaen" w:hAnsi="Sylfaen"/>
          <w:sz w:val="24"/>
          <w:szCs w:val="24"/>
        </w:rPr>
        <w:t xml:space="preserve"> քիմիական մեթոդներով դեղամիջոցները փորձարկելիս </w:t>
      </w:r>
      <w:r w:rsidRPr="00B834A2">
        <w:rPr>
          <w:rFonts w:ascii="Sylfaen" w:hAnsi="Sylfaen"/>
          <w:i/>
          <w:sz w:val="24"/>
          <w:szCs w:val="24"/>
        </w:rPr>
        <w:t>у</w:t>
      </w:r>
      <w:r w:rsidRPr="00B834A2">
        <w:rPr>
          <w:rFonts w:ascii="Sylfaen" w:hAnsi="Sylfaen"/>
          <w:sz w:val="24"/>
          <w:szCs w:val="24"/>
        </w:rPr>
        <w:t xml:space="preserve"> չափվող մեծությունը սովորաբար արտադրյալ կամ պատահական </w:t>
      </w:r>
      <w:r>
        <w:rPr>
          <w:rFonts w:ascii="Sylfaen" w:hAnsi="Sylfaen"/>
          <w:sz w:val="24"/>
          <w:szCs w:val="24"/>
        </w:rPr>
        <w:t>եւ</w:t>
      </w:r>
      <w:r w:rsidRPr="00B834A2">
        <w:rPr>
          <w:rFonts w:ascii="Sylfaen" w:hAnsi="Sylfaen"/>
          <w:sz w:val="24"/>
          <w:szCs w:val="24"/>
        </w:rPr>
        <w:t xml:space="preserve"> հաստատուն մեծությունների (կշռանմուշների, </w:t>
      </w:r>
      <w:r w:rsidRPr="00B834A2">
        <w:rPr>
          <w:rFonts w:ascii="Sylfaen" w:hAnsi="Sylfaen"/>
          <w:sz w:val="24"/>
          <w:szCs w:val="24"/>
        </w:rPr>
        <w:lastRenderedPageBreak/>
        <w:t xml:space="preserve">նոսրացումների, կլանումների զանգվածների կամ պիկերի մակերեսների </w:t>
      </w:r>
      <w:r>
        <w:rPr>
          <w:rFonts w:ascii="Sylfaen" w:hAnsi="Sylfaen"/>
          <w:sz w:val="24"/>
          <w:szCs w:val="24"/>
        </w:rPr>
        <w:t>եւ</w:t>
      </w:r>
      <w:r w:rsidRPr="00B834A2">
        <w:rPr>
          <w:rFonts w:ascii="Sylfaen" w:hAnsi="Sylfaen"/>
          <w:sz w:val="24"/>
          <w:szCs w:val="24"/>
        </w:rPr>
        <w:t xml:space="preserve"> այլն) քանորդ է, այսինքն՝</w:t>
      </w:r>
      <w:r>
        <w:rPr>
          <w:rFonts w:ascii="Sylfaen" w:hAnsi="Sylfaen"/>
          <w:sz w:val="24"/>
          <w:szCs w:val="24"/>
        </w:rPr>
        <w:t xml:space="preserve"> </w:t>
      </w:r>
      <w:r w:rsidRPr="00B834A2">
        <w:rPr>
          <w:rFonts w:ascii="Sylfaen" w:hAnsi="Sylfaen"/>
          <w:i/>
          <w:sz w:val="24"/>
          <w:szCs w:val="24"/>
        </w:rPr>
        <w:t xml:space="preserve">(К </w:t>
      </w:r>
      <w:r w:rsidR="009217DE">
        <w:rPr>
          <w:rFonts w:ascii="Sylfaen" w:hAnsi="Sylfaen"/>
          <w:i/>
          <w:sz w:val="24"/>
          <w:szCs w:val="24"/>
        </w:rPr>
        <w:t>-</w:t>
      </w:r>
      <w:r w:rsidRPr="00B834A2">
        <w:rPr>
          <w:rFonts w:ascii="Sylfaen" w:hAnsi="Sylfaen"/>
          <w:sz w:val="24"/>
          <w:szCs w:val="24"/>
        </w:rPr>
        <w:t xml:space="preserve"> որոշ հաստատուն).</w:t>
      </w:r>
    </w:p>
    <w:p w14:paraId="227ABA09" w14:textId="77777777" w:rsidR="00B834A2" w:rsidRPr="00B834A2" w:rsidRDefault="00B834A2" w:rsidP="0078572C">
      <w:pPr>
        <w:pStyle w:val="a0"/>
        <w:shd w:val="clear" w:color="auto" w:fill="auto"/>
        <w:tabs>
          <w:tab w:val="left" w:pos="4253"/>
        </w:tabs>
        <w:spacing w:after="160" w:line="360" w:lineRule="auto"/>
        <w:ind w:firstLine="567"/>
        <w:jc w:val="center"/>
        <w:rPr>
          <w:rFonts w:ascii="Sylfaen" w:hAnsi="Sylfaen" w:cs="Sylfaen"/>
          <w:sz w:val="24"/>
          <w:szCs w:val="24"/>
        </w:rPr>
      </w:pPr>
      <m:oMath>
        <m:r>
          <w:rPr>
            <w:rFonts w:ascii="Cambria Math" w:hAnsi="Cambria Math" w:cs="Sylfaen"/>
            <w:sz w:val="24"/>
            <w:szCs w:val="24"/>
          </w:rPr>
          <m:t>y=</m:t>
        </m:r>
        <m:f>
          <m:fPr>
            <m:ctrlPr>
              <w:rPr>
                <w:rFonts w:ascii="Cambria Math" w:hAnsi="Cambria Math" w:cs="Sylfaen"/>
                <w:i/>
                <w:iCs/>
                <w:sz w:val="24"/>
                <w:szCs w:val="24"/>
              </w:rPr>
            </m:ctrlPr>
          </m:fPr>
          <m:num>
            <m:r>
              <w:rPr>
                <w:rFonts w:ascii="Cambria Math" w:hAnsi="Cambria Math" w:cs="Sylfaen"/>
                <w:sz w:val="24"/>
                <w:szCs w:val="24"/>
              </w:rPr>
              <m:t>K*</m:t>
            </m:r>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2</m:t>
                </m:r>
              </m:sub>
            </m:sSub>
            <m:r>
              <w:rPr>
                <w:rFonts w:ascii="Cambria Math" w:hAnsi="Cambria Math" w:cs="Sylfaen"/>
                <w:sz w:val="24"/>
                <w:szCs w:val="24"/>
              </w:rPr>
              <m:t>…</m:t>
            </m:r>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m</m:t>
                </m:r>
              </m:sub>
            </m:sSub>
          </m:num>
          <m:den>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m+1</m:t>
                </m:r>
              </m:sub>
            </m:sSub>
            <m:r>
              <w:rPr>
                <w:rFonts w:ascii="Cambria Math" w:hAnsi="Cambria Math" w:cs="Sylfaen"/>
                <w:sz w:val="24"/>
                <w:szCs w:val="24"/>
              </w:rPr>
              <m:t>*</m:t>
            </m:r>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m+2</m:t>
                </m:r>
              </m:sub>
            </m:sSub>
            <m:r>
              <w:rPr>
                <w:rFonts w:ascii="Cambria Math" w:hAnsi="Cambria Math" w:cs="Sylfaen"/>
                <w:sz w:val="24"/>
                <w:szCs w:val="24"/>
              </w:rPr>
              <m:t>…</m:t>
            </m:r>
            <m:sSub>
              <m:sSubPr>
                <m:ctrlPr>
                  <w:rPr>
                    <w:rFonts w:ascii="Cambria Math" w:hAnsi="Cambria Math" w:cs="Sylfaen"/>
                    <w:i/>
                    <w:iCs/>
                    <w:sz w:val="24"/>
                    <w:szCs w:val="24"/>
                  </w:rPr>
                </m:ctrlPr>
              </m:sSubPr>
              <m:e>
                <m:r>
                  <w:rPr>
                    <w:rFonts w:ascii="Cambria Math" w:hAnsi="Cambria Math" w:cs="Sylfaen"/>
                    <w:sz w:val="24"/>
                    <w:szCs w:val="24"/>
                  </w:rPr>
                  <m:t>x</m:t>
                </m:r>
              </m:e>
              <m:sub>
                <m:r>
                  <w:rPr>
                    <w:rFonts w:ascii="Cambria Math" w:hAnsi="Cambria Math" w:cs="Sylfaen"/>
                    <w:sz w:val="24"/>
                    <w:szCs w:val="24"/>
                  </w:rPr>
                  <m:t>n</m:t>
                </m:r>
              </m:sub>
            </m:sSub>
          </m:den>
        </m:f>
      </m:oMath>
      <w:r w:rsidRPr="00B834A2">
        <w:rPr>
          <w:rFonts w:ascii="Sylfaen" w:hAnsi="Sylfaen"/>
          <w:sz w:val="24"/>
          <w:szCs w:val="24"/>
        </w:rPr>
        <w:t xml:space="preserve"> </w:t>
      </w:r>
      <w:r w:rsidR="0078572C" w:rsidRPr="0078572C">
        <w:rPr>
          <w:rFonts w:ascii="Sylfaen" w:hAnsi="Sylfaen"/>
          <w:sz w:val="24"/>
          <w:szCs w:val="24"/>
        </w:rPr>
        <w:tab/>
      </w:r>
      <w:r w:rsidRPr="00B834A2">
        <w:rPr>
          <w:rFonts w:ascii="Sylfaen" w:hAnsi="Sylfaen"/>
          <w:sz w:val="24"/>
          <w:szCs w:val="24"/>
        </w:rPr>
        <w:t>(5.4)</w:t>
      </w:r>
    </w:p>
    <w:p w14:paraId="593FA60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Այդ դեպքում (4.2)</w:t>
      </w:r>
      <w:r>
        <w:rPr>
          <w:rFonts w:ascii="Sylfaen" w:hAnsi="Sylfaen"/>
          <w:sz w:val="24"/>
          <w:szCs w:val="24"/>
        </w:rPr>
        <w:t xml:space="preserve"> </w:t>
      </w:r>
      <w:r w:rsidRPr="00B834A2">
        <w:rPr>
          <w:rFonts w:ascii="Sylfaen" w:hAnsi="Sylfaen"/>
          <w:sz w:val="24"/>
          <w:szCs w:val="24"/>
        </w:rPr>
        <w:t>հարաբերակցությունն ընդունում է հետ</w:t>
      </w:r>
      <w:r>
        <w:rPr>
          <w:rFonts w:ascii="Sylfaen" w:hAnsi="Sylfaen"/>
          <w:sz w:val="24"/>
          <w:szCs w:val="24"/>
        </w:rPr>
        <w:t>եւ</w:t>
      </w:r>
      <w:r w:rsidRPr="00B834A2">
        <w:rPr>
          <w:rFonts w:ascii="Sylfaen" w:hAnsi="Sylfaen"/>
          <w:sz w:val="24"/>
          <w:szCs w:val="24"/>
        </w:rPr>
        <w:t>յալ տեսքը.</w:t>
      </w:r>
    </w:p>
    <w:p w14:paraId="79D0AA83"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iCs/>
                <w:sz w:val="24"/>
                <w:szCs w:val="24"/>
              </w:rPr>
            </m:ctrlPr>
          </m:sSubSupPr>
          <m:e>
            <m:r>
              <w:rPr>
                <w:rFonts w:ascii="Cambria Math" w:hAnsi="Cambria Math" w:cs="Sylfaen"/>
                <w:sz w:val="24"/>
                <w:szCs w:val="24"/>
              </w:rPr>
              <m:t>∆</m:t>
            </m:r>
          </m:e>
          <m:sub>
            <m:r>
              <w:rPr>
                <w:rFonts w:ascii="Cambria Math" w:hAnsi="Cambria Math" w:cs="Sylfaen"/>
                <w:sz w:val="24"/>
                <w:szCs w:val="24"/>
              </w:rPr>
              <m:t>y,r</m:t>
            </m:r>
          </m:sub>
          <m:sup>
            <m:r>
              <w:rPr>
                <w:rFonts w:ascii="Cambria Math" w:hAnsi="Cambria Math" w:cs="Sylfaen"/>
                <w:sz w:val="24"/>
                <w:szCs w:val="24"/>
              </w:rPr>
              <m:t>2</m:t>
            </m:r>
          </m:sup>
        </m:sSubSup>
        <m:r>
          <w:rPr>
            <w:rFonts w:ascii="Cambria Math" w:hAnsi="Cambria Math" w:cs="Sylfaen"/>
            <w:sz w:val="24"/>
            <w:szCs w:val="24"/>
          </w:rPr>
          <m:t>=</m:t>
        </m:r>
        <m:nary>
          <m:naryPr>
            <m:chr m:val="∑"/>
            <m:limLoc m:val="undOvr"/>
            <m:ctrlPr>
              <w:rPr>
                <w:rFonts w:ascii="Cambria Math" w:hAnsi="Cambria Math" w:cs="Sylfaen"/>
                <w:i/>
                <w:iCs/>
                <w:sz w:val="24"/>
                <w:szCs w:val="24"/>
              </w:rPr>
            </m:ctrlPr>
          </m:naryPr>
          <m:sub>
            <m:r>
              <w:rPr>
                <w:rFonts w:ascii="Cambria Math" w:hAnsi="Cambria Math" w:cs="Sylfaen"/>
                <w:sz w:val="24"/>
                <w:szCs w:val="24"/>
              </w:rPr>
              <m:t>i=1</m:t>
            </m:r>
          </m:sub>
          <m:sup>
            <m:r>
              <w:rPr>
                <w:rFonts w:ascii="Cambria Math" w:hAnsi="Cambria Math" w:cs="Sylfaen"/>
                <w:sz w:val="24"/>
                <w:szCs w:val="24"/>
              </w:rPr>
              <m:t>n</m:t>
            </m:r>
          </m:sup>
          <m:e>
            <m:sSubSup>
              <m:sSubSupPr>
                <m:ctrlPr>
                  <w:rPr>
                    <w:rFonts w:ascii="Cambria Math" w:hAnsi="Cambria Math" w:cs="Sylfaen"/>
                    <w:i/>
                    <w:iCs/>
                    <w:sz w:val="24"/>
                    <w:szCs w:val="24"/>
                  </w:rPr>
                </m:ctrlPr>
              </m:sSubSupPr>
              <m:e>
                <m:r>
                  <w:rPr>
                    <w:rFonts w:ascii="Cambria Math" w:hAnsi="Cambria Math" w:cs="Sylfaen"/>
                    <w:sz w:val="24"/>
                    <w:szCs w:val="24"/>
                  </w:rPr>
                  <m:t>∆</m:t>
                </m:r>
              </m:e>
              <m:sub>
                <m:r>
                  <w:rPr>
                    <w:rFonts w:ascii="Cambria Math" w:hAnsi="Cambria Math" w:cs="Sylfaen"/>
                    <w:sz w:val="24"/>
                    <w:szCs w:val="24"/>
                  </w:rPr>
                  <m:t>xi,r</m:t>
                </m:r>
              </m:sub>
              <m:sup>
                <m:r>
                  <w:rPr>
                    <w:rFonts w:ascii="Cambria Math" w:hAnsi="Cambria Math" w:cs="Sylfaen"/>
                    <w:sz w:val="24"/>
                    <w:szCs w:val="24"/>
                  </w:rPr>
                  <m:t>2</m:t>
                </m:r>
              </m:sup>
            </m:sSubSup>
          </m:e>
        </m:nary>
      </m:oMath>
      <w:r w:rsidR="00B834A2" w:rsidRPr="00B834A2">
        <w:rPr>
          <w:rFonts w:ascii="Sylfaen" w:hAnsi="Sylfaen"/>
          <w:sz w:val="24"/>
          <w:szCs w:val="24"/>
        </w:rPr>
        <w:t xml:space="preserve"> ,</w:t>
      </w:r>
      <w:r w:rsidR="00B834A2">
        <w:rPr>
          <w:rFonts w:ascii="Sylfaen" w:hAnsi="Sylfaen"/>
          <w:sz w:val="24"/>
          <w:szCs w:val="24"/>
        </w:rPr>
        <w:t xml:space="preserve"> </w:t>
      </w:r>
      <w:r w:rsidR="0078572C" w:rsidRPr="002E52D1">
        <w:rPr>
          <w:rFonts w:ascii="Sylfaen" w:hAnsi="Sylfaen"/>
          <w:sz w:val="24"/>
          <w:szCs w:val="24"/>
        </w:rPr>
        <w:tab/>
      </w:r>
      <w:r w:rsidR="00B834A2" w:rsidRPr="00B834A2">
        <w:rPr>
          <w:rFonts w:ascii="Sylfaen" w:hAnsi="Sylfaen"/>
          <w:sz w:val="24"/>
          <w:szCs w:val="24"/>
        </w:rPr>
        <w:t>(5.5)</w:t>
      </w:r>
    </w:p>
    <w:p w14:paraId="552A533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որտեղ օգտագործված են հարաբերական վստահելի միջակայքերը:</w:t>
      </w:r>
    </w:p>
    <w:p w14:paraId="53C7F12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(5.4) հարաբերակցությունը կիրառելի է ազատությունների ցանկացած (տարբեր) աստիճանի դեպքում (այդ թվում՝ անվերջ)՝ </w:t>
      </w:r>
      <w:r w:rsidRPr="00B834A2">
        <w:rPr>
          <w:rFonts w:ascii="Sylfaen" w:hAnsi="Sylfaen"/>
          <w:i/>
          <w:sz w:val="24"/>
          <w:szCs w:val="24"/>
        </w:rPr>
        <w:t>х</w:t>
      </w:r>
      <w:r w:rsidRPr="00B834A2">
        <w:rPr>
          <w:rFonts w:ascii="Sylfaen" w:hAnsi="Sylfaen"/>
          <w:i/>
          <w:sz w:val="24"/>
          <w:szCs w:val="24"/>
          <w:vertAlign w:val="subscript"/>
        </w:rPr>
        <w:t>i</w:t>
      </w:r>
      <w:r w:rsidRPr="00B834A2">
        <w:rPr>
          <w:rFonts w:ascii="Sylfaen" w:hAnsi="Sylfaen"/>
          <w:sz w:val="24"/>
          <w:szCs w:val="24"/>
        </w:rPr>
        <w:t xml:space="preserve"> մեծությունների համար: Նրա առավելություններն են պարզությունը </w:t>
      </w:r>
      <w:r>
        <w:rPr>
          <w:rFonts w:ascii="Sylfaen" w:hAnsi="Sylfaen"/>
          <w:sz w:val="24"/>
          <w:szCs w:val="24"/>
        </w:rPr>
        <w:t>եւ</w:t>
      </w:r>
      <w:r w:rsidRPr="00B834A2">
        <w:rPr>
          <w:rFonts w:ascii="Sylfaen" w:hAnsi="Sylfaen"/>
          <w:sz w:val="24"/>
          <w:szCs w:val="24"/>
        </w:rPr>
        <w:t xml:space="preserve"> պատկերավորությունը: Բացարձակ վստահելի միջակայքերի օգտագործումը հանգեցնում է շատ ավելի մեծածավալ արտահայտությունների, այդ իսկ պատճառով առաջարկվում է օգտագործել հարաբերական մեծություններ:</w:t>
      </w:r>
    </w:p>
    <w:p w14:paraId="387B1C2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Դեղամիջոցների փորձարկումներ անցկացնելիս (</w:t>
      </w: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AS:r</m:t>
            </m:r>
          </m:sub>
        </m:sSub>
      </m:oMath>
      <w:r w:rsidRPr="00B834A2">
        <w:rPr>
          <w:rFonts w:ascii="Sylfaen" w:hAnsi="Sylfaen"/>
          <w:sz w:val="24"/>
          <w:szCs w:val="24"/>
        </w:rPr>
        <w:t>) անալիզի գումարային անորոշության մեջ սովորաբար միշտ կարելի է առանձնացնել հետ</w:t>
      </w:r>
      <w:r>
        <w:rPr>
          <w:rFonts w:ascii="Sylfaen" w:hAnsi="Sylfaen"/>
          <w:sz w:val="24"/>
          <w:szCs w:val="24"/>
        </w:rPr>
        <w:t>եւ</w:t>
      </w:r>
      <w:r w:rsidRPr="00B834A2">
        <w:rPr>
          <w:rFonts w:ascii="Sylfaen" w:hAnsi="Sylfaen"/>
          <w:sz w:val="24"/>
          <w:szCs w:val="24"/>
        </w:rPr>
        <w:t>յալ տեսակի անորոշություններ՝ (</w:t>
      </w: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SPr</m:t>
            </m:r>
          </m:sub>
        </m:sSub>
      </m:oMath>
      <w:r w:rsidRPr="00B834A2">
        <w:rPr>
          <w:rFonts w:ascii="Sylfaen" w:hAnsi="Sylfaen"/>
          <w:sz w:val="24"/>
          <w:szCs w:val="24"/>
        </w:rPr>
        <w:t>) նմուշների պատրաստման անորոշություն, (</w:t>
      </w: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FAO,r</m:t>
            </m:r>
          </m:sub>
        </m:sSub>
      </m:oMath>
      <w:r w:rsidRPr="00B834A2">
        <w:rPr>
          <w:rFonts w:ascii="Sylfaen" w:hAnsi="Sylfaen"/>
          <w:sz w:val="24"/>
          <w:szCs w:val="24"/>
        </w:rPr>
        <w:t xml:space="preserve">) վերջնական անալիտիկ գործողության անորոշություն </w:t>
      </w:r>
      <w:r>
        <w:rPr>
          <w:rFonts w:ascii="Sylfaen" w:hAnsi="Sylfaen"/>
          <w:sz w:val="24"/>
          <w:szCs w:val="24"/>
        </w:rPr>
        <w:t>եւ</w:t>
      </w:r>
      <w:r w:rsidRPr="00B834A2">
        <w:rPr>
          <w:rFonts w:ascii="Sylfaen" w:hAnsi="Sylfaen"/>
          <w:sz w:val="24"/>
          <w:szCs w:val="24"/>
        </w:rPr>
        <w:t xml:space="preserve"> (</w:t>
      </w: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RS,r</m:t>
            </m:r>
          </m:sub>
        </m:sSub>
      </m:oMath>
      <w:r w:rsidRPr="00B834A2">
        <w:rPr>
          <w:rFonts w:ascii="Sylfaen" w:hAnsi="Sylfaen"/>
          <w:sz w:val="24"/>
          <w:szCs w:val="24"/>
        </w:rPr>
        <w:t>)</w:t>
      </w:r>
      <w:r w:rsidRPr="00B834A2">
        <w:rPr>
          <w:rFonts w:ascii="Sylfaen" w:hAnsi="Sylfaen"/>
          <w:b/>
          <w:sz w:val="24"/>
          <w:szCs w:val="24"/>
        </w:rPr>
        <w:t xml:space="preserve"> </w:t>
      </w:r>
      <w:r w:rsidRPr="00B834A2">
        <w:rPr>
          <w:rFonts w:ascii="Sylfaen" w:hAnsi="Sylfaen"/>
          <w:sz w:val="24"/>
          <w:szCs w:val="24"/>
        </w:rPr>
        <w:t xml:space="preserve">ստանդարտ նմուշի ատեստավորման անորոշություն: </w:t>
      </w: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RS,r</m:t>
            </m:r>
          </m:sub>
        </m:sSub>
        <m:r>
          <w:rPr>
            <w:rFonts w:ascii="Cambria Math" w:hAnsi="Cambria Math" w:cs="Sylfaen"/>
            <w:sz w:val="24"/>
            <w:szCs w:val="24"/>
          </w:rPr>
          <m:t xml:space="preserve"> </m:t>
        </m:r>
      </m:oMath>
      <w:r w:rsidRPr="00B834A2">
        <w:rPr>
          <w:rFonts w:ascii="Sylfaen" w:hAnsi="Sylfaen"/>
          <w:sz w:val="24"/>
          <w:szCs w:val="24"/>
        </w:rPr>
        <w:t>մեծությունը սովորաբար փոքր է, այդ իսկ պատճառով բերված արտահայտության մեջ այն չի օգտագործվել: Հաշվի առնելով դա, ինչպես նա</w:t>
      </w:r>
      <w:r>
        <w:rPr>
          <w:rFonts w:ascii="Sylfaen" w:hAnsi="Sylfaen"/>
          <w:sz w:val="24"/>
          <w:szCs w:val="24"/>
        </w:rPr>
        <w:t>եւ</w:t>
      </w:r>
      <w:r w:rsidRPr="00B834A2">
        <w:rPr>
          <w:rFonts w:ascii="Sylfaen" w:hAnsi="Sylfaen"/>
          <w:sz w:val="24"/>
          <w:szCs w:val="24"/>
        </w:rPr>
        <w:t xml:space="preserve"> այն, որ անալիզն անցկացվում է </w:t>
      </w:r>
      <w:r>
        <w:rPr>
          <w:rFonts w:ascii="Sylfaen" w:hAnsi="Sylfaen"/>
          <w:sz w:val="24"/>
          <w:szCs w:val="24"/>
        </w:rPr>
        <w:t>եւ</w:t>
      </w:r>
      <w:r w:rsidRPr="00B834A2">
        <w:rPr>
          <w:rFonts w:ascii="Sylfaen" w:hAnsi="Sylfaen"/>
          <w:sz w:val="24"/>
          <w:szCs w:val="24"/>
        </w:rPr>
        <w:t>՛ փորձարկվող լուծույթի (</w:t>
      </w:r>
      <w:r w:rsidRPr="00B834A2">
        <w:rPr>
          <w:rFonts w:ascii="Sylfaen" w:hAnsi="Sylfaen"/>
          <w:i/>
          <w:sz w:val="24"/>
          <w:szCs w:val="24"/>
        </w:rPr>
        <w:t>«smр»</w:t>
      </w:r>
      <w:r w:rsidRPr="00B834A2">
        <w:rPr>
          <w:rFonts w:ascii="Sylfaen" w:hAnsi="Sylfaen"/>
          <w:sz w:val="24"/>
          <w:szCs w:val="24"/>
        </w:rPr>
        <w:t xml:space="preserve"> ինդեքս), </w:t>
      </w:r>
      <w:r>
        <w:rPr>
          <w:rFonts w:ascii="Sylfaen" w:hAnsi="Sylfaen"/>
          <w:sz w:val="24"/>
          <w:szCs w:val="24"/>
        </w:rPr>
        <w:t>եւ</w:t>
      </w:r>
      <w:r w:rsidRPr="00B834A2">
        <w:rPr>
          <w:rFonts w:ascii="Sylfaen" w:hAnsi="Sylfaen"/>
          <w:sz w:val="24"/>
          <w:szCs w:val="24"/>
        </w:rPr>
        <w:t>՛ համեմատման լուծույթի համար («</w:t>
      </w:r>
      <w:r w:rsidRPr="00B834A2">
        <w:rPr>
          <w:rFonts w:ascii="Sylfaen" w:hAnsi="Sylfaen"/>
          <w:i/>
          <w:sz w:val="24"/>
          <w:szCs w:val="24"/>
        </w:rPr>
        <w:t>st</w:t>
      </w:r>
      <w:r w:rsidRPr="00B834A2">
        <w:rPr>
          <w:rFonts w:ascii="Sylfaen" w:hAnsi="Sylfaen"/>
          <w:sz w:val="24"/>
          <w:szCs w:val="24"/>
        </w:rPr>
        <w:t>» ինդեքս), (5.5) արտահայտությունը կարելի է ներկայացնել հետ</w:t>
      </w:r>
      <w:r>
        <w:rPr>
          <w:rFonts w:ascii="Sylfaen" w:hAnsi="Sylfaen"/>
          <w:sz w:val="24"/>
          <w:szCs w:val="24"/>
        </w:rPr>
        <w:t>եւ</w:t>
      </w:r>
      <w:r w:rsidRPr="00B834A2">
        <w:rPr>
          <w:rFonts w:ascii="Sylfaen" w:hAnsi="Sylfaen"/>
          <w:sz w:val="24"/>
          <w:szCs w:val="24"/>
        </w:rPr>
        <w:t>յալ տեսքով.</w:t>
      </w:r>
    </w:p>
    <w:p w14:paraId="65F45D88" w14:textId="77777777" w:rsidR="00B834A2" w:rsidRPr="00B834A2" w:rsidRDefault="00000000" w:rsidP="0078572C">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bCs/>
                <w:i/>
                <w:sz w:val="24"/>
                <w:szCs w:val="24"/>
              </w:rPr>
            </m:ctrlPr>
          </m:sSubPr>
          <m:e>
            <m:r>
              <w:rPr>
                <w:rFonts w:ascii="Cambria Math" w:hAnsi="Cambria Math" w:cs="Sylfaen"/>
                <w:sz w:val="24"/>
                <w:szCs w:val="24"/>
              </w:rPr>
              <m:t>∆</m:t>
            </m:r>
          </m:e>
          <m:sub>
            <m:r>
              <w:rPr>
                <w:rFonts w:ascii="Cambria Math" w:hAnsi="Cambria Math" w:cs="Sylfaen"/>
                <w:sz w:val="24"/>
                <w:szCs w:val="24"/>
              </w:rPr>
              <m:t>AS,r</m:t>
            </m:r>
          </m:sub>
        </m:sSub>
        <m:r>
          <w:rPr>
            <w:rFonts w:ascii="Cambria Math" w:hAnsi="Cambria Math" w:cs="Sylfaen"/>
            <w:sz w:val="24"/>
            <w:szCs w:val="24"/>
          </w:rPr>
          <m:t>=</m:t>
        </m:r>
        <m:rad>
          <m:radPr>
            <m:degHide m:val="1"/>
            <m:ctrlPr>
              <w:rPr>
                <w:rFonts w:ascii="Cambria Math" w:hAnsi="Cambria Math" w:cs="Sylfaen"/>
                <w:bCs/>
                <w:i/>
                <w:sz w:val="24"/>
                <w:szCs w:val="24"/>
              </w:rPr>
            </m:ctrlPr>
          </m:radPr>
          <m:deg/>
          <m:e>
            <m:d>
              <m:dPr>
                <m:begChr m:val="["/>
                <m:endChr m:val="]"/>
                <m:ctrlPr>
                  <w:rPr>
                    <w:rFonts w:ascii="Cambria Math" w:hAnsi="Cambria Math" w:cs="Sylfaen"/>
                    <w:bCs/>
                    <w:i/>
                    <w:sz w:val="24"/>
                    <w:szCs w:val="24"/>
                  </w:rPr>
                </m:ctrlPr>
              </m:dPr>
              <m:e>
                <m:r>
                  <w:rPr>
                    <w:rFonts w:ascii="Cambria Math" w:hAnsi="Cambria Math" w:cs="Sylfaen"/>
                    <w:sz w:val="24"/>
                    <w:szCs w:val="24"/>
                  </w:rPr>
                  <m:t>(</m:t>
                </m:r>
                <m:sSubSup>
                  <m:sSubSupPr>
                    <m:ctrlPr>
                      <w:rPr>
                        <w:rFonts w:ascii="Cambria Math" w:hAnsi="Cambria Math" w:cs="Sylfaen"/>
                        <w:bCs/>
                        <w:i/>
                        <w:sz w:val="24"/>
                        <w:szCs w:val="24"/>
                      </w:rPr>
                    </m:ctrlPr>
                  </m:sSubSupPr>
                  <m:e>
                    <m:r>
                      <w:rPr>
                        <w:rFonts w:ascii="Cambria Math" w:hAnsi="Cambria Math" w:cs="Sylfaen"/>
                        <w:sz w:val="24"/>
                        <w:szCs w:val="24"/>
                      </w:rPr>
                      <m:t>∆</m:t>
                    </m:r>
                  </m:e>
                  <m:sub>
                    <m:r>
                      <w:rPr>
                        <w:rFonts w:ascii="Cambria Math" w:hAnsi="Cambria Math" w:cs="Sylfaen"/>
                        <w:sz w:val="24"/>
                        <w:szCs w:val="24"/>
                      </w:rPr>
                      <m:t>sp,r</m:t>
                    </m:r>
                  </m:sub>
                  <m:sup>
                    <m:r>
                      <w:rPr>
                        <w:rFonts w:ascii="Cambria Math" w:hAnsi="Cambria Math" w:cs="Sylfaen"/>
                        <w:sz w:val="24"/>
                        <w:szCs w:val="24"/>
                      </w:rPr>
                      <m:t>smp</m:t>
                    </m:r>
                  </m:sup>
                </m:sSubSup>
                <m:sSup>
                  <m:sSupPr>
                    <m:ctrlPr>
                      <w:rPr>
                        <w:rFonts w:ascii="Cambria Math" w:hAnsi="Cambria Math" w:cs="Sylfaen"/>
                        <w:bCs/>
                        <w:i/>
                        <w:sz w:val="24"/>
                        <w:szCs w:val="24"/>
                      </w:rPr>
                    </m:ctrlPr>
                  </m:sSupPr>
                  <m:e>
                    <m:r>
                      <w:rPr>
                        <w:rFonts w:ascii="Cambria Math" w:hAnsi="Cambria Math" w:cs="Sylfaen"/>
                        <w:sz w:val="24"/>
                        <w:szCs w:val="24"/>
                      </w:rPr>
                      <m:t>)</m:t>
                    </m:r>
                  </m:e>
                  <m:sup>
                    <m:r>
                      <w:rPr>
                        <w:rFonts w:ascii="Cambria Math" w:hAnsi="Cambria Math" w:cs="Sylfaen"/>
                        <w:sz w:val="24"/>
                        <w:szCs w:val="24"/>
                      </w:rPr>
                      <m:t>2</m:t>
                    </m:r>
                  </m:sup>
                </m:sSup>
                <m:r>
                  <w:rPr>
                    <w:rFonts w:ascii="Cambria Math" w:hAnsi="Cambria Math" w:cs="Sylfaen"/>
                    <w:sz w:val="24"/>
                    <w:szCs w:val="24"/>
                  </w:rPr>
                  <m:t>+(</m:t>
                </m:r>
                <m:sSubSup>
                  <m:sSubSupPr>
                    <m:ctrlPr>
                      <w:rPr>
                        <w:rFonts w:ascii="Cambria Math" w:hAnsi="Cambria Math" w:cs="Sylfaen"/>
                        <w:bCs/>
                        <w:i/>
                        <w:sz w:val="24"/>
                        <w:szCs w:val="24"/>
                      </w:rPr>
                    </m:ctrlPr>
                  </m:sSubSupPr>
                  <m:e>
                    <m:r>
                      <w:rPr>
                        <w:rFonts w:ascii="Cambria Math" w:hAnsi="Cambria Math" w:cs="Sylfaen"/>
                        <w:sz w:val="24"/>
                        <w:szCs w:val="24"/>
                      </w:rPr>
                      <m:t>∆</m:t>
                    </m:r>
                  </m:e>
                  <m:sub>
                    <m:r>
                      <w:rPr>
                        <w:rFonts w:ascii="Cambria Math" w:hAnsi="Cambria Math" w:cs="Sylfaen"/>
                        <w:sz w:val="24"/>
                        <w:szCs w:val="24"/>
                      </w:rPr>
                      <m:t>sp,r</m:t>
                    </m:r>
                  </m:sub>
                  <m:sup>
                    <m:r>
                      <w:rPr>
                        <w:rFonts w:ascii="Cambria Math" w:hAnsi="Cambria Math" w:cs="Sylfaen"/>
                        <w:sz w:val="24"/>
                        <w:szCs w:val="24"/>
                      </w:rPr>
                      <m:t>st</m:t>
                    </m:r>
                  </m:sup>
                </m:sSubSup>
                <m:sSup>
                  <m:sSupPr>
                    <m:ctrlPr>
                      <w:rPr>
                        <w:rFonts w:ascii="Cambria Math" w:hAnsi="Cambria Math" w:cs="Sylfaen"/>
                        <w:bCs/>
                        <w:i/>
                        <w:sz w:val="24"/>
                        <w:szCs w:val="24"/>
                      </w:rPr>
                    </m:ctrlPr>
                  </m:sSupPr>
                  <m:e>
                    <m:r>
                      <w:rPr>
                        <w:rFonts w:ascii="Cambria Math" w:hAnsi="Cambria Math" w:cs="Sylfaen"/>
                        <w:sz w:val="24"/>
                        <w:szCs w:val="24"/>
                      </w:rPr>
                      <m:t>)</m:t>
                    </m:r>
                  </m:e>
                  <m:sup>
                    <m:r>
                      <w:rPr>
                        <w:rFonts w:ascii="Cambria Math" w:hAnsi="Cambria Math" w:cs="Sylfaen"/>
                        <w:sz w:val="24"/>
                        <w:szCs w:val="24"/>
                      </w:rPr>
                      <m:t>2</m:t>
                    </m:r>
                  </m:sup>
                </m:sSup>
                <m:r>
                  <w:rPr>
                    <w:rFonts w:ascii="Cambria Math" w:hAnsi="Cambria Math" w:cs="Sylfaen"/>
                    <w:sz w:val="24"/>
                    <w:szCs w:val="24"/>
                  </w:rPr>
                  <m:t>+(</m:t>
                </m:r>
                <m:sSubSup>
                  <m:sSubSupPr>
                    <m:ctrlPr>
                      <w:rPr>
                        <w:rFonts w:ascii="Cambria Math" w:hAnsi="Cambria Math" w:cs="Sylfaen"/>
                        <w:bCs/>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smp</m:t>
                    </m:r>
                  </m:sup>
                </m:sSubSup>
                <m:sSup>
                  <m:sSupPr>
                    <m:ctrlPr>
                      <w:rPr>
                        <w:rFonts w:ascii="Cambria Math" w:hAnsi="Cambria Math" w:cs="Sylfaen"/>
                        <w:bCs/>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d>
          </m:e>
        </m:rad>
        <m:r>
          <w:rPr>
            <w:rFonts w:ascii="Cambria Math" w:hAnsi="Cambria Math" w:cs="Sylfaen"/>
            <w:sz w:val="24"/>
            <w:szCs w:val="24"/>
          </w:rPr>
          <m:t xml:space="preserve"> </m:t>
        </m:r>
      </m:oMath>
      <w:r w:rsidR="00B834A2" w:rsidRPr="00B834A2">
        <w:rPr>
          <w:rFonts w:ascii="Sylfaen" w:hAnsi="Sylfaen"/>
          <w:sz w:val="24"/>
          <w:szCs w:val="24"/>
        </w:rPr>
        <w:t>(5.6)</w:t>
      </w:r>
    </w:p>
    <w:p w14:paraId="6AB5284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 որում, գումարելիներից յուրաքանչյուրը հաշվարկում են դրա մեջ մտնող բաղադրիչներից՝ (5.5) հավասարմամբ:</w:t>
      </w:r>
    </w:p>
    <w:p w14:paraId="42D7585A" w14:textId="77777777" w:rsidR="00184198" w:rsidRPr="00D35F34" w:rsidRDefault="00184198" w:rsidP="00B834A2">
      <w:pPr>
        <w:pStyle w:val="a0"/>
        <w:shd w:val="clear" w:color="auto" w:fill="auto"/>
        <w:spacing w:after="160" w:line="360" w:lineRule="auto"/>
        <w:ind w:firstLine="567"/>
        <w:jc w:val="both"/>
        <w:rPr>
          <w:rFonts w:ascii="Sylfaen" w:hAnsi="Sylfaen"/>
          <w:sz w:val="24"/>
          <w:szCs w:val="24"/>
        </w:rPr>
      </w:pPr>
    </w:p>
    <w:p w14:paraId="5A655AB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Եթե</w:t>
      </w:r>
      <w:r w:rsidRPr="00B834A2">
        <w:rPr>
          <w:rFonts w:ascii="Sylfaen" w:hAnsi="Sylfaen"/>
          <w:i/>
          <w:sz w:val="24"/>
          <w:szCs w:val="24"/>
        </w:rPr>
        <w:t xml:space="preserve"> х</w:t>
      </w:r>
      <w:r w:rsidRPr="00B834A2">
        <w:rPr>
          <w:rFonts w:ascii="Sylfaen" w:hAnsi="Sylfaen"/>
          <w:i/>
          <w:sz w:val="24"/>
          <w:szCs w:val="24"/>
          <w:vertAlign w:val="subscript"/>
        </w:rPr>
        <w:t>i</w:t>
      </w:r>
      <w:r w:rsidRPr="00B834A2">
        <w:rPr>
          <w:rFonts w:ascii="Sylfaen" w:hAnsi="Sylfaen"/>
          <w:i/>
          <w:sz w:val="24"/>
          <w:szCs w:val="24"/>
        </w:rPr>
        <w:t xml:space="preserve"> մեծությունների ազատության աստիճանների թիվը նույնն է կամ բավականին մեծ (&gt;30), ապա (5.5) արտահայտությունը տալիս է՝</w:t>
      </w:r>
    </w:p>
    <w:p w14:paraId="7D573A5C" w14:textId="77777777" w:rsidR="00B834A2" w:rsidRPr="00B834A2" w:rsidRDefault="00000000" w:rsidP="0078572C">
      <w:pPr>
        <w:pStyle w:val="a0"/>
        <w:shd w:val="clear" w:color="auto" w:fill="auto"/>
        <w:tabs>
          <w:tab w:val="left" w:pos="4253"/>
        </w:tabs>
        <w:spacing w:after="160" w:line="360" w:lineRule="auto"/>
        <w:ind w:firstLine="567"/>
        <w:jc w:val="center"/>
        <w:rPr>
          <w:rFonts w:ascii="Sylfaen" w:hAnsi="Sylfaen" w:cs="Sylfaen"/>
          <w:sz w:val="24"/>
          <w:szCs w:val="24"/>
        </w:rPr>
      </w:pP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y,r</m:t>
            </m:r>
          </m:sub>
          <m:sup>
            <m:r>
              <w:rPr>
                <w:rFonts w:ascii="Cambria Math" w:hAnsi="Cambria Math" w:cs="Sylfaen"/>
                <w:sz w:val="24"/>
                <w:szCs w:val="24"/>
              </w:rPr>
              <m:t>2</m:t>
            </m:r>
          </m:sup>
        </m:sSubSup>
        <m:r>
          <w:rPr>
            <w:rFonts w:ascii="Cambria Math" w:hAnsi="Cambria Math" w:cs="Sylfaen"/>
            <w:sz w:val="24"/>
            <w:szCs w:val="24"/>
          </w:rPr>
          <m:t>=</m:t>
        </m:r>
        <m:nary>
          <m:naryPr>
            <m:chr m:val="∑"/>
            <m:limLoc m:val="undOvr"/>
            <m:ctrlPr>
              <w:rPr>
                <w:rFonts w:ascii="Cambria Math" w:hAnsi="Cambria Math" w:cs="Sylfaen"/>
                <w:i/>
                <w:sz w:val="24"/>
                <w:szCs w:val="24"/>
              </w:rPr>
            </m:ctrlPr>
          </m:naryPr>
          <m:sub>
            <m:r>
              <w:rPr>
                <w:rFonts w:ascii="Cambria Math" w:hAnsi="Cambria Math" w:cs="Sylfaen"/>
                <w:sz w:val="24"/>
                <w:szCs w:val="24"/>
              </w:rPr>
              <m:t>i=1</m:t>
            </m:r>
          </m:sub>
          <m:sup>
            <m:r>
              <w:rPr>
                <w:rFonts w:ascii="Cambria Math" w:hAnsi="Cambria Math" w:cs="Sylfaen"/>
                <w:sz w:val="24"/>
                <w:szCs w:val="24"/>
              </w:rPr>
              <m:t>n</m:t>
            </m:r>
          </m:sup>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xi,r</m:t>
                </m:r>
                <m:r>
                  <w:rPr>
                    <w:rFonts w:ascii="Cambria Math" w:hAnsi="Cambria Math" w:cs="Cambria Math"/>
                    <w:sz w:val="24"/>
                    <w:szCs w:val="24"/>
                  </w:rPr>
                  <m:t>։</m:t>
                </m:r>
                <m:r>
                  <w:rPr>
                    <w:rFonts w:ascii="Cambria Math" w:hAnsi="Cambria Math" w:cs="Sylfaen"/>
                    <w:sz w:val="24"/>
                    <w:szCs w:val="24"/>
                  </w:rPr>
                  <m:t xml:space="preserve">  </m:t>
                </m:r>
              </m:sub>
              <m:sup>
                <m:r>
                  <w:rPr>
                    <w:rFonts w:ascii="Cambria Math" w:hAnsi="Cambria Math" w:cs="Sylfaen"/>
                    <w:sz w:val="24"/>
                    <w:szCs w:val="24"/>
                  </w:rPr>
                  <m:t>2</m:t>
                </m:r>
              </m:sup>
            </m:sSubSup>
          </m:e>
        </m:nary>
      </m:oMath>
      <w:r w:rsidR="0078572C" w:rsidRPr="002E52D1">
        <w:rPr>
          <w:rFonts w:ascii="Sylfaen" w:hAnsi="Sylfaen"/>
          <w:sz w:val="24"/>
          <w:szCs w:val="24"/>
        </w:rPr>
        <w:tab/>
      </w:r>
      <w:r w:rsidR="00B834A2" w:rsidRPr="00B834A2">
        <w:rPr>
          <w:rFonts w:ascii="Sylfaen" w:hAnsi="Sylfaen"/>
          <w:sz w:val="24"/>
          <w:szCs w:val="24"/>
        </w:rPr>
        <w:t>(5.7)</w:t>
      </w:r>
    </w:p>
    <w:p w14:paraId="1666C79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Այդ հարաբերությունը ստանում են նույն պայմաններում </w:t>
      </w:r>
      <w:r>
        <w:rPr>
          <w:rFonts w:ascii="Sylfaen" w:hAnsi="Sylfaen"/>
          <w:sz w:val="24"/>
          <w:szCs w:val="24"/>
        </w:rPr>
        <w:t>եւ</w:t>
      </w:r>
      <w:r w:rsidRPr="00B834A2">
        <w:rPr>
          <w:rFonts w:ascii="Sylfaen" w:hAnsi="Sylfaen"/>
          <w:sz w:val="24"/>
          <w:szCs w:val="24"/>
        </w:rPr>
        <w:t xml:space="preserve"> (5.2) արտահայտությունից:</w:t>
      </w:r>
    </w:p>
    <w:p w14:paraId="0004DD55" w14:textId="77777777" w:rsidR="0078572C" w:rsidRPr="002E52D1" w:rsidRDefault="0078572C" w:rsidP="00B834A2">
      <w:pPr>
        <w:pStyle w:val="a0"/>
        <w:shd w:val="clear" w:color="auto" w:fill="auto"/>
        <w:spacing w:after="160" w:line="360" w:lineRule="auto"/>
        <w:ind w:firstLine="567"/>
        <w:jc w:val="both"/>
        <w:rPr>
          <w:rFonts w:ascii="Sylfaen" w:hAnsi="Sylfaen"/>
          <w:i/>
          <w:sz w:val="24"/>
          <w:szCs w:val="24"/>
        </w:rPr>
      </w:pPr>
    </w:p>
    <w:p w14:paraId="55ABACB1" w14:textId="77777777" w:rsidR="00B834A2" w:rsidRPr="00B834A2" w:rsidRDefault="00B834A2" w:rsidP="00CC0C6B">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i/>
          <w:sz w:val="24"/>
          <w:szCs w:val="24"/>
        </w:rPr>
        <w:t>5.2.</w:t>
      </w:r>
      <w:r w:rsidR="00CC0C6B" w:rsidRPr="00A859E3">
        <w:rPr>
          <w:rFonts w:ascii="Sylfaen" w:hAnsi="Sylfaen"/>
          <w:i/>
          <w:sz w:val="24"/>
          <w:szCs w:val="24"/>
        </w:rPr>
        <w:tab/>
      </w:r>
      <w:r w:rsidRPr="00B834A2">
        <w:rPr>
          <w:rFonts w:ascii="Sylfaen" w:hAnsi="Sylfaen"/>
          <w:i/>
          <w:sz w:val="24"/>
          <w:szCs w:val="24"/>
        </w:rPr>
        <w:t>Ուելչ-Սատերտուեյթի մոտեցում</w:t>
      </w:r>
    </w:p>
    <w:p w14:paraId="360CDF9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Այդ մոտեցման մեջ </w:t>
      </w:r>
      <w:r w:rsidRPr="00B834A2">
        <w:rPr>
          <w:rFonts w:ascii="Sylfaen" w:hAnsi="Sylfaen"/>
          <w:i/>
          <w:sz w:val="24"/>
          <w:szCs w:val="24"/>
        </w:rPr>
        <w:t>у</w:t>
      </w:r>
      <w:r w:rsidRPr="00B834A2">
        <w:rPr>
          <w:rFonts w:ascii="Sylfaen" w:hAnsi="Sylfaen"/>
          <w:sz w:val="24"/>
          <w:szCs w:val="24"/>
        </w:rPr>
        <w:t xml:space="preserve"> </w:t>
      </w:r>
      <w:r w:rsidRPr="00B834A2">
        <w:rPr>
          <w:rFonts w:ascii="Sylfaen" w:hAnsi="Sylfaen"/>
          <w:b/>
          <w:sz w:val="24"/>
          <w:szCs w:val="24"/>
        </w:rPr>
        <w:t>(</w:t>
      </w: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m:t>
            </m:r>
          </m:sub>
          <m:sup>
            <m:r>
              <w:rPr>
                <w:rFonts w:ascii="Cambria Math" w:hAnsi="Cambria Math" w:cs="Sylfaen"/>
                <w:sz w:val="24"/>
                <w:szCs w:val="24"/>
              </w:rPr>
              <m:t>2</m:t>
            </m:r>
          </m:sup>
        </m:sSubSup>
      </m:oMath>
      <w:r w:rsidRPr="00B834A2">
        <w:rPr>
          <w:rFonts w:ascii="Sylfaen" w:hAnsi="Sylfaen"/>
          <w:b/>
          <w:sz w:val="24"/>
          <w:szCs w:val="24"/>
        </w:rPr>
        <w:t>)</w:t>
      </w:r>
      <w:r w:rsidRPr="00B834A2">
        <w:rPr>
          <w:rFonts w:ascii="Sylfaen" w:hAnsi="Sylfaen"/>
          <w:sz w:val="24"/>
          <w:szCs w:val="24"/>
        </w:rPr>
        <w:t xml:space="preserve"> մեծության դիսպերսիան հաշվարկում են (5.2) հարաբերակցությամբ՝ ուշադրություն չդարձնելով </w:t>
      </w:r>
      <w:r w:rsidRPr="00B834A2">
        <w:rPr>
          <w:rFonts w:ascii="Sylfaen" w:hAnsi="Sylfaen"/>
          <w:i/>
          <w:sz w:val="24"/>
          <w:szCs w:val="24"/>
        </w:rPr>
        <w:t>x</w:t>
      </w:r>
      <w:r w:rsidRPr="00B834A2">
        <w:rPr>
          <w:rFonts w:ascii="Sylfaen" w:hAnsi="Sylfaen"/>
          <w:i/>
          <w:sz w:val="24"/>
          <w:szCs w:val="24"/>
          <w:vertAlign w:val="subscript"/>
        </w:rPr>
        <w:t>i</w:t>
      </w:r>
      <w:r w:rsidRPr="00B834A2">
        <w:rPr>
          <w:rFonts w:ascii="Sylfaen" w:hAnsi="Sylfaen"/>
          <w:sz w:val="24"/>
          <w:szCs w:val="24"/>
        </w:rPr>
        <w:t xml:space="preserve"> մեծությունների (</w:t>
      </w:r>
      <w:r w:rsidRPr="00B834A2">
        <w:rPr>
          <w:rFonts w:ascii="Sylfaen" w:hAnsi="Sylfaen"/>
          <w:i/>
          <w:sz w:val="24"/>
          <w:szCs w:val="24"/>
        </w:rPr>
        <w:t>v</w:t>
      </w:r>
      <w:r w:rsidRPr="00B834A2">
        <w:rPr>
          <w:rFonts w:ascii="Sylfaen" w:hAnsi="Sylfaen"/>
          <w:i/>
          <w:sz w:val="24"/>
          <w:szCs w:val="24"/>
          <w:vertAlign w:val="subscript"/>
        </w:rPr>
        <w:t>i</w:t>
      </w:r>
      <w:r w:rsidRPr="00B834A2">
        <w:rPr>
          <w:rFonts w:ascii="Sylfaen" w:hAnsi="Sylfaen"/>
          <w:sz w:val="24"/>
          <w:szCs w:val="24"/>
        </w:rPr>
        <w:t xml:space="preserve">) ազատության աստիճաններում տարբերությանը: </w:t>
      </w: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m:t>
            </m:r>
          </m:sub>
          <m:sup>
            <m:r>
              <w:rPr>
                <w:rFonts w:ascii="Cambria Math" w:hAnsi="Cambria Math" w:cs="Sylfaen"/>
                <w:sz w:val="24"/>
                <w:szCs w:val="24"/>
              </w:rPr>
              <m:t>2</m:t>
            </m:r>
          </m:sup>
        </m:sSubSup>
      </m:oMath>
      <w:r w:rsidRPr="00B834A2">
        <w:rPr>
          <w:rFonts w:ascii="Sylfaen" w:hAnsi="Sylfaen"/>
          <w:b/>
          <w:sz w:val="24"/>
          <w:szCs w:val="24"/>
        </w:rPr>
        <w:t xml:space="preserve"> </w:t>
      </w:r>
      <w:r w:rsidRPr="00B834A2">
        <w:rPr>
          <w:rFonts w:ascii="Sylfaen" w:hAnsi="Sylfaen"/>
          <w:sz w:val="24"/>
          <w:szCs w:val="24"/>
        </w:rPr>
        <w:t xml:space="preserve">ստացված դիսպերսիայի համար հաշվարկում են </w:t>
      </w:r>
      <m:oMath>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 xml:space="preserve">eff </m:t>
            </m:r>
          </m:sub>
        </m:sSub>
      </m:oMath>
      <w:r w:rsidRPr="00B834A2">
        <w:rPr>
          <w:rFonts w:ascii="Sylfaen" w:hAnsi="Sylfaen"/>
          <w:sz w:val="24"/>
          <w:szCs w:val="24"/>
        </w:rPr>
        <w:t xml:space="preserve"> ազատության աստիճանների որոշ «արդյունավետ» թվեր (որոնք սովորաբար կոտորակային են), որոնց հիման վրա այնուհետ</w:t>
      </w:r>
      <w:r>
        <w:rPr>
          <w:rFonts w:ascii="Sylfaen" w:hAnsi="Sylfaen"/>
          <w:sz w:val="24"/>
          <w:szCs w:val="24"/>
        </w:rPr>
        <w:t>եւ</w:t>
      </w:r>
      <w:r w:rsidRPr="00B834A2">
        <w:rPr>
          <w:rFonts w:ascii="Sylfaen" w:hAnsi="Sylfaen"/>
          <w:sz w:val="24"/>
          <w:szCs w:val="24"/>
        </w:rPr>
        <w:t xml:space="preserve"> տրված հավանականության համար աղյուսակներով՝ արտարկմամբ, գտնում են Ստյուդենտի չափորոշչի արժեքները: Դրա հիման վրա այնուհետ</w:t>
      </w:r>
      <w:r>
        <w:rPr>
          <w:rFonts w:ascii="Sylfaen" w:hAnsi="Sylfaen"/>
          <w:sz w:val="24"/>
          <w:szCs w:val="24"/>
        </w:rPr>
        <w:t>եւ</w:t>
      </w:r>
      <w:r w:rsidRPr="00B834A2">
        <w:rPr>
          <w:rFonts w:ascii="Sylfaen" w:hAnsi="Sylfaen"/>
          <w:sz w:val="24"/>
          <w:szCs w:val="24"/>
        </w:rPr>
        <w:t xml:space="preserve"> հաշվարկում են սովորական եղանակով </w:t>
      </w:r>
      <w:r w:rsidRPr="00B834A2">
        <w:rPr>
          <w:rFonts w:ascii="Sylfaen" w:hAnsi="Sylfaen"/>
          <w:i/>
          <w:sz w:val="24"/>
          <w:szCs w:val="24"/>
        </w:rPr>
        <w:t xml:space="preserve">у </w:t>
      </w:r>
      <w:r w:rsidRPr="00B834A2">
        <w:rPr>
          <w:rFonts w:ascii="Sylfaen" w:hAnsi="Sylfaen"/>
          <w:sz w:val="24"/>
          <w:szCs w:val="24"/>
        </w:rPr>
        <w:t>(</w:t>
      </w: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y</m:t>
            </m:r>
          </m:sub>
        </m:sSub>
        <m:r>
          <w:rPr>
            <w:rFonts w:ascii="Cambria Math" w:hAnsi="Cambria Math" w:cs="Sylfaen"/>
            <w:sz w:val="24"/>
            <w:szCs w:val="24"/>
          </w:rPr>
          <m:t>)</m:t>
        </m:r>
      </m:oMath>
      <w:r w:rsidRPr="00B834A2">
        <w:rPr>
          <w:rFonts w:ascii="Sylfaen" w:hAnsi="Sylfaen"/>
          <w:sz w:val="24"/>
          <w:szCs w:val="24"/>
        </w:rPr>
        <w:t xml:space="preserve"> մեծության վստահելի միջակայքը.</w:t>
      </w:r>
    </w:p>
    <w:p w14:paraId="26EA6AAA" w14:textId="77777777" w:rsidR="00B834A2" w:rsidRPr="00B834A2" w:rsidRDefault="00000000" w:rsidP="0078572C">
      <w:pPr>
        <w:pStyle w:val="a0"/>
        <w:shd w:val="clear" w:color="auto" w:fill="auto"/>
        <w:tabs>
          <w:tab w:val="left" w:pos="4253"/>
        </w:tabs>
        <w:spacing w:after="160" w:line="360" w:lineRule="auto"/>
        <w:ind w:hanging="142"/>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 xml:space="preserve">eff </m:t>
            </m:r>
          </m:sub>
        </m:sSub>
        <m:r>
          <w:rPr>
            <w:rFonts w:ascii="Cambria Math" w:hAnsi="Cambria Math" w:cs="Sylfaen"/>
            <w:sz w:val="24"/>
            <w:szCs w:val="24"/>
          </w:rPr>
          <m:t>=</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m:t>
                </m:r>
              </m:sub>
              <m:sup>
                <m:r>
                  <w:rPr>
                    <w:rFonts w:ascii="Cambria Math" w:hAnsi="Cambria Math" w:cs="Sylfaen"/>
                    <w:sz w:val="24"/>
                    <w:szCs w:val="24"/>
                  </w:rPr>
                  <m:t>4</m:t>
                </m:r>
              </m:sup>
            </m:sSubSup>
          </m:num>
          <m:den>
            <m:nary>
              <m:naryPr>
                <m:chr m:val="∑"/>
                <m:limLoc m:val="undOvr"/>
                <m:ctrlPr>
                  <w:rPr>
                    <w:rFonts w:ascii="Cambria Math" w:hAnsi="Cambria Math" w:cs="Sylfaen"/>
                    <w:i/>
                    <w:sz w:val="24"/>
                    <w:szCs w:val="24"/>
                  </w:rPr>
                </m:ctrlPr>
              </m:naryPr>
              <m:sub>
                <m:r>
                  <w:rPr>
                    <w:rFonts w:ascii="Cambria Math" w:hAnsi="Cambria Math" w:cs="Sylfaen"/>
                    <w:sz w:val="24"/>
                    <w:szCs w:val="24"/>
                  </w:rPr>
                  <m:t>i=1</m:t>
                </m:r>
              </m:sub>
              <m:sup>
                <m:r>
                  <w:rPr>
                    <w:rFonts w:ascii="Cambria Math" w:hAnsi="Cambria Math" w:cs="Sylfaen"/>
                    <w:sz w:val="24"/>
                    <w:szCs w:val="24"/>
                  </w:rPr>
                  <m:t>n</m:t>
                </m:r>
              </m:sup>
              <m:e>
                <m:f>
                  <m:fPr>
                    <m:ctrlPr>
                      <w:rPr>
                        <w:rFonts w:ascii="Cambria Math" w:hAnsi="Cambria Math" w:cs="Sylfaen"/>
                        <w:i/>
                        <w:sz w:val="24"/>
                        <w:szCs w:val="24"/>
                      </w:rPr>
                    </m:ctrlPr>
                  </m:fPr>
                  <m:num>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∂f</m:t>
                        </m:r>
                      </m:num>
                      <m:den>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den>
                    </m:f>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4</m:t>
                        </m:r>
                      </m:sup>
                    </m:sSup>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xi</m:t>
                        </m:r>
                      </m:sub>
                      <m:sup>
                        <m:r>
                          <w:rPr>
                            <w:rFonts w:ascii="Cambria Math" w:hAnsi="Cambria Math" w:cs="Sylfaen"/>
                            <w:sz w:val="24"/>
                            <w:szCs w:val="24"/>
                          </w:rPr>
                          <m:t>4</m:t>
                        </m:r>
                      </m:sup>
                    </m:sSubSup>
                  </m:num>
                  <m:den>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i</m:t>
                        </m:r>
                      </m:sub>
                    </m:sSub>
                  </m:den>
                </m:f>
              </m:e>
            </m:nary>
          </m:den>
        </m:f>
      </m:oMath>
      <w:r w:rsidR="00B834A2" w:rsidRPr="00B834A2">
        <w:rPr>
          <w:rFonts w:ascii="Sylfaen" w:hAnsi="Sylfaen"/>
          <w:i/>
          <w:sz w:val="24"/>
          <w:szCs w:val="24"/>
        </w:rPr>
        <w:t xml:space="preserve"> </w:t>
      </w:r>
      <w:r w:rsidR="0078572C" w:rsidRPr="0078572C">
        <w:rPr>
          <w:rFonts w:ascii="Sylfaen" w:hAnsi="Sylfaen"/>
          <w:i/>
          <w:sz w:val="24"/>
          <w:szCs w:val="24"/>
        </w:rPr>
        <w:tab/>
      </w:r>
      <w:r w:rsidR="00B834A2" w:rsidRPr="00B834A2">
        <w:rPr>
          <w:rFonts w:ascii="Sylfaen" w:hAnsi="Sylfaen"/>
          <w:sz w:val="24"/>
          <w:szCs w:val="24"/>
        </w:rPr>
        <w:t>(5.8)</w:t>
      </w:r>
    </w:p>
    <w:p w14:paraId="0A0AC83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у</w:t>
      </w:r>
      <w:r w:rsidRPr="00B834A2">
        <w:rPr>
          <w:rFonts w:ascii="Sylfaen" w:hAnsi="Sylfaen"/>
          <w:sz w:val="24"/>
          <w:szCs w:val="24"/>
        </w:rPr>
        <w:t xml:space="preserve"> մեծությունը որոշելու համար սովորաբար կատարվում է (5.4) հավասարումը: Այդ դեպքում Ուելչ-Սատերտուեյթի մոտեցման մեջ (5.2) հարաբերությունն անցնում է (5.7) արտահայտության, </w:t>
      </w:r>
      <w:r>
        <w:rPr>
          <w:rFonts w:ascii="Sylfaen" w:hAnsi="Sylfaen"/>
          <w:sz w:val="24"/>
          <w:szCs w:val="24"/>
        </w:rPr>
        <w:t>եւ</w:t>
      </w:r>
      <w:r w:rsidRPr="00B834A2">
        <w:rPr>
          <w:rFonts w:ascii="Sylfaen" w:hAnsi="Sylfaen"/>
          <w:sz w:val="24"/>
          <w:szCs w:val="24"/>
        </w:rPr>
        <w:t xml:space="preserve"> (5.8) հարաբերակցությունն ընդունում է առավել պարզ տեսք.</w:t>
      </w:r>
      <w:r>
        <w:rPr>
          <w:rFonts w:ascii="Sylfaen" w:hAnsi="Sylfaen"/>
          <w:sz w:val="24"/>
          <w:szCs w:val="24"/>
        </w:rPr>
        <w:t xml:space="preserve"> </w:t>
      </w:r>
    </w:p>
    <w:p w14:paraId="5AAE9767" w14:textId="77777777" w:rsidR="00B834A2" w:rsidRPr="00B834A2" w:rsidRDefault="00000000" w:rsidP="0078572C">
      <w:pPr>
        <w:pStyle w:val="a0"/>
        <w:shd w:val="clear" w:color="auto" w:fill="auto"/>
        <w:tabs>
          <w:tab w:val="left" w:pos="4253"/>
        </w:tabs>
        <w:spacing w:after="160" w:line="360" w:lineRule="auto"/>
        <w:ind w:hanging="142"/>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 xml:space="preserve">eff </m:t>
            </m:r>
          </m:sub>
        </m:sSub>
        <m:r>
          <w:rPr>
            <w:rFonts w:ascii="Cambria Math" w:hAnsi="Cambria Math" w:cs="Sylfaen"/>
            <w:sz w:val="24"/>
            <w:szCs w:val="24"/>
          </w:rPr>
          <m:t>=</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y,r</m:t>
                </m:r>
              </m:sub>
              <m:sup>
                <m:r>
                  <w:rPr>
                    <w:rFonts w:ascii="Cambria Math" w:hAnsi="Cambria Math" w:cs="Sylfaen"/>
                    <w:sz w:val="24"/>
                    <w:szCs w:val="24"/>
                  </w:rPr>
                  <m:t>4</m:t>
                </m:r>
              </m:sup>
            </m:sSubSup>
          </m:num>
          <m:den>
            <m:nary>
              <m:naryPr>
                <m:chr m:val="∑"/>
                <m:limLoc m:val="undOvr"/>
                <m:ctrlPr>
                  <w:rPr>
                    <w:rFonts w:ascii="Cambria Math" w:hAnsi="Cambria Math" w:cs="Sylfaen"/>
                    <w:i/>
                    <w:sz w:val="24"/>
                    <w:szCs w:val="24"/>
                  </w:rPr>
                </m:ctrlPr>
              </m:naryPr>
              <m:sub>
                <m:r>
                  <w:rPr>
                    <w:rFonts w:ascii="Cambria Math" w:hAnsi="Cambria Math" w:cs="Sylfaen"/>
                    <w:sz w:val="24"/>
                    <w:szCs w:val="24"/>
                  </w:rPr>
                  <m:t>i=1</m:t>
                </m:r>
              </m:sub>
              <m:sup>
                <m:r>
                  <w:rPr>
                    <w:rFonts w:ascii="Cambria Math" w:hAnsi="Cambria Math" w:cs="Sylfaen"/>
                    <w:sz w:val="24"/>
                    <w:szCs w:val="24"/>
                  </w:rPr>
                  <m:t>n</m:t>
                </m:r>
              </m:sup>
              <m:e>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xi,r</m:t>
                        </m:r>
                      </m:sub>
                      <m:sup>
                        <m:r>
                          <w:rPr>
                            <w:rFonts w:ascii="Cambria Math" w:hAnsi="Cambria Math" w:cs="Sylfaen"/>
                            <w:sz w:val="24"/>
                            <w:szCs w:val="24"/>
                          </w:rPr>
                          <m:t>4</m:t>
                        </m:r>
                      </m:sup>
                    </m:sSubSup>
                  </m:num>
                  <m:den>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i</m:t>
                        </m:r>
                      </m:sub>
                    </m:sSub>
                  </m:den>
                </m:f>
              </m:e>
            </m:nary>
          </m:den>
        </m:f>
      </m:oMath>
      <w:r w:rsidR="00B834A2" w:rsidRPr="00B834A2">
        <w:rPr>
          <w:rFonts w:ascii="Sylfaen" w:hAnsi="Sylfaen"/>
          <w:sz w:val="24"/>
          <w:szCs w:val="24"/>
        </w:rPr>
        <w:t xml:space="preserve"> </w:t>
      </w:r>
      <w:r w:rsidR="0078572C" w:rsidRPr="002E52D1">
        <w:rPr>
          <w:rFonts w:ascii="Sylfaen" w:hAnsi="Sylfaen"/>
          <w:sz w:val="24"/>
          <w:szCs w:val="24"/>
        </w:rPr>
        <w:tab/>
      </w:r>
      <w:r w:rsidR="00B834A2" w:rsidRPr="00B834A2">
        <w:rPr>
          <w:rFonts w:ascii="Sylfaen" w:hAnsi="Sylfaen"/>
          <w:sz w:val="24"/>
          <w:szCs w:val="24"/>
        </w:rPr>
        <w:t>(5.9)</w:t>
      </w:r>
    </w:p>
    <w:p w14:paraId="76F32C9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Այստեղ </w:t>
      </w: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y,r</m:t>
            </m:r>
          </m:sub>
          <m:sup>
            <m:r>
              <w:rPr>
                <w:rFonts w:ascii="Cambria Math" w:hAnsi="Cambria Math" w:cs="Sylfaen"/>
                <w:sz w:val="24"/>
                <w:szCs w:val="24"/>
              </w:rPr>
              <m:t>4</m:t>
            </m:r>
          </m:sup>
        </m:sSubSup>
      </m:oMath>
      <w:r w:rsidRPr="00B834A2">
        <w:rPr>
          <w:rFonts w:ascii="Sylfaen" w:hAnsi="Sylfaen"/>
          <w:sz w:val="24"/>
          <w:szCs w:val="24"/>
        </w:rPr>
        <w:t xml:space="preserve"> մեծությունը հաշվարկում են (4.7) հարաբերակցությունից:</w:t>
      </w:r>
    </w:p>
    <w:p w14:paraId="6A01DB4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Ուելչ-Սատերտուեյթի մոտեցումը սովորաբար տալիս է առավել նեղ վստահելի միջակայքեր, քան գծային մոդելը: Սակայն այն առավել բարդ է </w:t>
      </w:r>
      <w:r w:rsidRPr="00B834A2">
        <w:rPr>
          <w:rFonts w:ascii="Sylfaen" w:hAnsi="Sylfaen"/>
          <w:sz w:val="24"/>
          <w:szCs w:val="24"/>
        </w:rPr>
        <w:lastRenderedPageBreak/>
        <w:t xml:space="preserve">կիրառման մեջ </w:t>
      </w:r>
      <w:r>
        <w:rPr>
          <w:rFonts w:ascii="Sylfaen" w:hAnsi="Sylfaen"/>
          <w:sz w:val="24"/>
          <w:szCs w:val="24"/>
        </w:rPr>
        <w:t>եւ</w:t>
      </w:r>
      <w:r w:rsidRPr="00B834A2">
        <w:rPr>
          <w:rFonts w:ascii="Sylfaen" w:hAnsi="Sylfaen"/>
          <w:sz w:val="24"/>
          <w:szCs w:val="24"/>
        </w:rPr>
        <w:t xml:space="preserve"> թույլ չի տալիս առանձնացնել այնքան պարզ տարբեր փուլերի անորոշությունները (դրանց նվազեցման մասով հետագա առաջարկություններով), ինչպես (5.6) արտահայտության ձ</w:t>
      </w:r>
      <w:r>
        <w:rPr>
          <w:rFonts w:ascii="Sylfaen" w:hAnsi="Sylfaen"/>
          <w:sz w:val="24"/>
          <w:szCs w:val="24"/>
        </w:rPr>
        <w:t>եւ</w:t>
      </w:r>
      <w:r w:rsidRPr="00B834A2">
        <w:rPr>
          <w:rFonts w:ascii="Sylfaen" w:hAnsi="Sylfaen"/>
          <w:sz w:val="24"/>
          <w:szCs w:val="24"/>
        </w:rPr>
        <w:t>ով գծային մոդելը:</w:t>
      </w:r>
    </w:p>
    <w:p w14:paraId="6446A8A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Անալիզի անորոշությունը կանխատեսելիս օգտագործում են ընդհանուր մեծություններ (ազատության անվերջ թվով աստիճաններով): Այդ դեպքում Ուելչ-Սատերտուեյթի մոտեցումը համընկնում է գծային մոդելի հետ:</w:t>
      </w:r>
    </w:p>
    <w:p w14:paraId="05C0274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Մի քանի փոփոխականների ֆունկցիայի անորոշության հաշվարկի օրինակը բերված է 6.6 բաժնում:</w:t>
      </w:r>
    </w:p>
    <w:p w14:paraId="37AF426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599450EC"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w:t>
      </w:r>
      <w:r w:rsidR="0078572C" w:rsidRPr="002E52D1">
        <w:rPr>
          <w:rFonts w:ascii="Sylfaen" w:hAnsi="Sylfaen"/>
          <w:b/>
          <w:sz w:val="24"/>
          <w:szCs w:val="24"/>
        </w:rPr>
        <w:tab/>
      </w:r>
      <w:r w:rsidRPr="00B834A2">
        <w:rPr>
          <w:rFonts w:ascii="Sylfaen" w:hAnsi="Sylfaen"/>
          <w:b/>
          <w:sz w:val="24"/>
          <w:szCs w:val="24"/>
        </w:rPr>
        <w:t>ՓՈՐՁԱՐԿՈՒՄՆԵՐԻ ԱՐԴՅՈՒՆՔՆԵՐԻ ՎԻՃԱԿԱԳՐԱԿԱՆ ՄՇԱԿՄԱՆ ՕՐԻՆԱԿՆԵՐ</w:t>
      </w:r>
    </w:p>
    <w:p w14:paraId="29F15B35" w14:textId="77777777" w:rsidR="001B3D08" w:rsidRPr="00D35F34" w:rsidRDefault="001B3D08" w:rsidP="0078572C">
      <w:pPr>
        <w:pStyle w:val="a0"/>
        <w:shd w:val="clear" w:color="auto" w:fill="auto"/>
        <w:tabs>
          <w:tab w:val="left" w:pos="1134"/>
        </w:tabs>
        <w:spacing w:after="160" w:line="360" w:lineRule="auto"/>
        <w:ind w:firstLine="567"/>
        <w:jc w:val="both"/>
        <w:rPr>
          <w:rFonts w:ascii="Sylfaen" w:hAnsi="Sylfaen"/>
          <w:b/>
          <w:sz w:val="24"/>
          <w:szCs w:val="24"/>
        </w:rPr>
      </w:pPr>
    </w:p>
    <w:p w14:paraId="2B44C231"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6.1.</w:t>
      </w:r>
      <w:r w:rsidR="0078572C" w:rsidRPr="002E52D1">
        <w:rPr>
          <w:rFonts w:ascii="Sylfaen" w:hAnsi="Sylfaen"/>
          <w:b/>
          <w:sz w:val="24"/>
          <w:szCs w:val="24"/>
        </w:rPr>
        <w:tab/>
      </w:r>
      <w:r w:rsidRPr="00B834A2">
        <w:rPr>
          <w:rFonts w:ascii="Sylfaen" w:hAnsi="Sylfaen"/>
          <w:b/>
          <w:sz w:val="24"/>
          <w:szCs w:val="24"/>
        </w:rPr>
        <w:t xml:space="preserve">Միջին արժեքի </w:t>
      </w:r>
      <w:r>
        <w:rPr>
          <w:rFonts w:ascii="Sylfaen" w:hAnsi="Sylfaen"/>
          <w:b/>
          <w:sz w:val="24"/>
          <w:szCs w:val="24"/>
        </w:rPr>
        <w:t>եւ</w:t>
      </w:r>
      <w:r w:rsidRPr="00B834A2">
        <w:rPr>
          <w:rFonts w:ascii="Sylfaen" w:hAnsi="Sylfaen"/>
          <w:b/>
          <w:sz w:val="24"/>
          <w:szCs w:val="24"/>
        </w:rPr>
        <w:t xml:space="preserve"> դիսպերսիայի հաշվարկումը</w:t>
      </w:r>
    </w:p>
    <w:p w14:paraId="07DAA5A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Դեղապատրաստուկի նմուշում ազդող նյութի քանակական որոշման դեպքում ստացվել են 6.1-6 աղյուսակում նշված տվյալները: </w:t>
      </w:r>
    </w:p>
    <w:p w14:paraId="6A118E98"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w:r w:rsidRPr="00B834A2">
        <w:rPr>
          <w:rFonts w:ascii="Sylfaen" w:hAnsi="Sylfaen"/>
          <w:i/>
          <w:sz w:val="24"/>
          <w:szCs w:val="24"/>
        </w:rPr>
        <w:t>п = 5, f=</w:t>
      </w:r>
      <w:r w:rsidRPr="00B834A2">
        <w:rPr>
          <w:rFonts w:ascii="Sylfaen" w:hAnsi="Sylfaen"/>
          <w:sz w:val="24"/>
          <w:szCs w:val="24"/>
        </w:rPr>
        <w:t xml:space="preserve"> </w:t>
      </w:r>
      <w:r w:rsidRPr="00B834A2">
        <w:rPr>
          <w:rFonts w:ascii="Sylfaen" w:hAnsi="Sylfaen"/>
          <w:i/>
          <w:sz w:val="24"/>
          <w:szCs w:val="24"/>
        </w:rPr>
        <w:t>n-1</w:t>
      </w:r>
      <w:r w:rsidRPr="00B834A2">
        <w:rPr>
          <w:rFonts w:ascii="Sylfaen" w:hAnsi="Sylfaen"/>
          <w:sz w:val="24"/>
          <w:szCs w:val="24"/>
        </w:rPr>
        <w:t xml:space="preserve"> = 5-1 = 4.</w:t>
      </w:r>
    </w:p>
    <w:p w14:paraId="3E984D63" w14:textId="77777777" w:rsidR="00B834A2" w:rsidRPr="00B834A2" w:rsidRDefault="00B834A2" w:rsidP="0078572C">
      <w:pPr>
        <w:spacing w:after="160" w:line="360" w:lineRule="auto"/>
        <w:ind w:firstLine="567"/>
        <w:jc w:val="center"/>
        <w:rPr>
          <w:i/>
          <w:iCs/>
        </w:rPr>
      </w:pPr>
      <w:r w:rsidRPr="00B834A2">
        <w:rPr>
          <w:i/>
        </w:rPr>
        <w:t>¯</w:t>
      </w:r>
      <m:oMath>
        <m:r>
          <w:rPr>
            <w:rFonts w:ascii="Cambria Math" w:hAnsi="Cambria Math"/>
          </w:rPr>
          <m:t>x=</m:t>
        </m:r>
        <m:f>
          <m:fPr>
            <m:ctrlPr>
              <w:rPr>
                <w:rFonts w:ascii="Cambria Math" w:hAnsi="Cambria Math"/>
                <w:i/>
                <w:iCs/>
              </w:rPr>
            </m:ctrlPr>
          </m:fPr>
          <m:num>
            <m:nary>
              <m:naryPr>
                <m:chr m:val="∑"/>
                <m:limLoc m:val="undOvr"/>
                <m:ctrlPr>
                  <w:rPr>
                    <w:rFonts w:ascii="Cambria Math" w:hAnsi="Cambria Math"/>
                    <w:i/>
                    <w:iCs/>
                  </w:rPr>
                </m:ctrlPr>
              </m:naryPr>
              <m:sub>
                <m:r>
                  <w:rPr>
                    <w:rFonts w:ascii="Cambria Math" w:hAnsi="Cambria Math"/>
                  </w:rPr>
                  <m:t>1</m:t>
                </m:r>
              </m:sub>
              <m:sup>
                <m:r>
                  <w:rPr>
                    <w:rFonts w:ascii="Cambria Math" w:hAnsi="Cambria Math"/>
                  </w:rPr>
                  <m:t>n</m:t>
                </m:r>
              </m:sup>
              <m:e>
                <m:sSub>
                  <m:sSubPr>
                    <m:ctrlPr>
                      <w:rPr>
                        <w:rFonts w:ascii="Cambria Math" w:hAnsi="Cambria Math"/>
                        <w:i/>
                        <w:iCs/>
                      </w:rPr>
                    </m:ctrlPr>
                  </m:sSubPr>
                  <m:e>
                    <m:r>
                      <w:rPr>
                        <w:rFonts w:ascii="Cambria Math" w:hAnsi="Cambria Math"/>
                      </w:rPr>
                      <m:t>x</m:t>
                    </m:r>
                  </m:e>
                  <m:sub>
                    <m:r>
                      <w:rPr>
                        <w:rFonts w:ascii="Cambria Math" w:hAnsi="Cambria Math"/>
                      </w:rPr>
                      <m:t>i</m:t>
                    </m:r>
                  </m:sub>
                </m:sSub>
              </m:e>
            </m:nary>
          </m:num>
          <m:den>
            <m:r>
              <w:rPr>
                <w:rFonts w:ascii="Cambria Math" w:hAnsi="Cambria Math"/>
              </w:rPr>
              <m:t>n</m:t>
            </m:r>
          </m:den>
        </m:f>
        <m:r>
          <w:rPr>
            <w:rFonts w:ascii="Cambria Math" w:hAnsi="Cambria Math"/>
          </w:rPr>
          <m:t>=</m:t>
        </m:r>
        <m:f>
          <m:fPr>
            <m:ctrlPr>
              <w:rPr>
                <w:rFonts w:ascii="Cambria Math" w:hAnsi="Cambria Math"/>
                <w:i/>
                <w:iCs/>
              </w:rPr>
            </m:ctrlPr>
          </m:fPr>
          <m:num>
            <m:r>
              <w:rPr>
                <w:rFonts w:ascii="Cambria Math" w:hAnsi="Cambria Math"/>
              </w:rPr>
              <m:t>9,52+9,55+9,83+10,12+10,33</m:t>
            </m:r>
          </m:num>
          <m:den>
            <m:r>
              <w:rPr>
                <w:rFonts w:ascii="Cambria Math" w:hAnsi="Cambria Math"/>
              </w:rPr>
              <m:t>5</m:t>
            </m:r>
          </m:den>
        </m:f>
        <m:r>
          <w:rPr>
            <w:rFonts w:ascii="Cambria Math" w:hAnsi="Cambria Math"/>
          </w:rPr>
          <m:t>=9,87</m:t>
        </m:r>
      </m:oMath>
    </w:p>
    <w:p w14:paraId="73DDA594" w14:textId="77777777" w:rsidR="00B834A2" w:rsidRPr="00B834A2" w:rsidRDefault="00000000" w:rsidP="0078572C">
      <w:pPr>
        <w:spacing w:after="160" w:line="360" w:lineRule="auto"/>
        <w:ind w:firstLine="567"/>
        <w:jc w:val="center"/>
      </w:pPr>
      <m:oMath>
        <m:sSub>
          <m:sSubPr>
            <m:ctrlPr>
              <w:rPr>
                <w:rFonts w:ascii="Cambria Math" w:hAnsi="Cambria Math"/>
                <w:i/>
                <w:iCs/>
              </w:rPr>
            </m:ctrlPr>
          </m:sSubPr>
          <m:e>
            <m:r>
              <w:rPr>
                <w:rFonts w:ascii="Cambria Math" w:hAnsi="Cambria Math"/>
              </w:rPr>
              <m:t>d</m:t>
            </m:r>
          </m:e>
          <m:sub>
            <m:r>
              <w:rPr>
                <w:rFonts w:ascii="Cambria Math" w:hAnsi="Cambria Math"/>
              </w:rPr>
              <m:t>i</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-¯x</m:t>
            </m:r>
          </m:e>
        </m:d>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m:t>
                </m:r>
              </m:sub>
            </m:sSub>
            <m:r>
              <w:rPr>
                <w:rFonts w:ascii="Cambria Math" w:hAnsi="Cambria Math"/>
              </w:rPr>
              <m:t>-9,87</m:t>
            </m:r>
          </m:e>
        </m:d>
      </m:oMath>
      <w:r w:rsidR="00B834A2" w:rsidRPr="00B834A2">
        <w:t>,</w:t>
      </w:r>
    </w:p>
    <w:p w14:paraId="19261E12" w14:textId="77777777" w:rsidR="00B834A2" w:rsidRPr="00B834A2" w:rsidRDefault="00CC0C6B" w:rsidP="00B834A2">
      <w:pPr>
        <w:spacing w:after="160" w:line="360" w:lineRule="auto"/>
        <w:ind w:firstLine="567"/>
        <w:jc w:val="both"/>
      </w:pPr>
      <w:r w:rsidRPr="0078572C">
        <w:t>Աղյուսակ 6.1-6.</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2534"/>
        <w:gridCol w:w="1325"/>
        <w:gridCol w:w="1276"/>
        <w:gridCol w:w="1559"/>
        <w:gridCol w:w="1283"/>
        <w:gridCol w:w="1440"/>
      </w:tblGrid>
      <w:tr w:rsidR="00B834A2" w:rsidRPr="0078572C" w14:paraId="09383DE8" w14:textId="77777777" w:rsidTr="00B834A2">
        <w:trPr>
          <w:jc w:val="center"/>
        </w:trPr>
        <w:tc>
          <w:tcPr>
            <w:tcW w:w="2534" w:type="dxa"/>
            <w:vMerge w:val="restart"/>
            <w:tcBorders>
              <w:top w:val="single" w:sz="4" w:space="0" w:color="auto"/>
            </w:tcBorders>
            <w:shd w:val="clear" w:color="auto" w:fill="FFFFFF"/>
            <w:vAlign w:val="center"/>
          </w:tcPr>
          <w:p w14:paraId="665C6364" w14:textId="77777777" w:rsidR="00B834A2" w:rsidRPr="0078572C" w:rsidRDefault="00B834A2" w:rsidP="0078572C">
            <w:pPr>
              <w:pStyle w:val="a0"/>
              <w:shd w:val="clear" w:color="auto" w:fill="auto"/>
              <w:spacing w:after="120" w:line="240" w:lineRule="auto"/>
              <w:ind w:firstLine="21"/>
              <w:jc w:val="center"/>
              <w:rPr>
                <w:rFonts w:ascii="Sylfaen" w:hAnsi="Sylfaen" w:cs="Sylfaen"/>
                <w:szCs w:val="24"/>
              </w:rPr>
            </w:pPr>
            <w:r w:rsidRPr="0078572C">
              <w:rPr>
                <w:rFonts w:ascii="Sylfaen" w:hAnsi="Sylfaen"/>
                <w:szCs w:val="24"/>
              </w:rPr>
              <w:t>Նմուշում ազդող նյութի պարունակությունը</w:t>
            </w:r>
          </w:p>
        </w:tc>
        <w:tc>
          <w:tcPr>
            <w:tcW w:w="6883" w:type="dxa"/>
            <w:gridSpan w:val="5"/>
            <w:tcBorders>
              <w:top w:val="single" w:sz="4" w:space="0" w:color="auto"/>
              <w:bottom w:val="single" w:sz="4" w:space="0" w:color="auto"/>
            </w:tcBorders>
            <w:shd w:val="clear" w:color="auto" w:fill="FFFFFF"/>
            <w:vAlign w:val="bottom"/>
          </w:tcPr>
          <w:p w14:paraId="015DDEC8"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i/>
                <w:szCs w:val="24"/>
              </w:rPr>
              <w:t>i</w:t>
            </w:r>
            <w:r w:rsidRPr="0078572C">
              <w:rPr>
                <w:rFonts w:ascii="Sylfaen" w:hAnsi="Sylfaen"/>
                <w:szCs w:val="24"/>
              </w:rPr>
              <w:t xml:space="preserve"> տարբերակի հերթական համարը</w:t>
            </w:r>
          </w:p>
        </w:tc>
      </w:tr>
      <w:tr w:rsidR="00B834A2" w:rsidRPr="0078572C" w14:paraId="420090C8" w14:textId="77777777" w:rsidTr="00B834A2">
        <w:trPr>
          <w:jc w:val="center"/>
        </w:trPr>
        <w:tc>
          <w:tcPr>
            <w:tcW w:w="2534" w:type="dxa"/>
            <w:vMerge/>
            <w:shd w:val="clear" w:color="auto" w:fill="FFFFFF"/>
            <w:vAlign w:val="center"/>
          </w:tcPr>
          <w:p w14:paraId="4DAB96F1" w14:textId="77777777" w:rsidR="00B834A2" w:rsidRPr="0078572C" w:rsidRDefault="00B834A2" w:rsidP="0078572C">
            <w:pPr>
              <w:pStyle w:val="a0"/>
              <w:shd w:val="clear" w:color="auto" w:fill="auto"/>
              <w:spacing w:after="120" w:line="240" w:lineRule="auto"/>
              <w:ind w:firstLine="21"/>
              <w:jc w:val="center"/>
              <w:rPr>
                <w:rFonts w:ascii="Sylfaen" w:hAnsi="Sylfaen" w:cs="Sylfaen"/>
                <w:szCs w:val="24"/>
              </w:rPr>
            </w:pPr>
          </w:p>
        </w:tc>
        <w:tc>
          <w:tcPr>
            <w:tcW w:w="1325" w:type="dxa"/>
            <w:tcBorders>
              <w:bottom w:val="single" w:sz="4" w:space="0" w:color="auto"/>
            </w:tcBorders>
            <w:shd w:val="clear" w:color="auto" w:fill="FFFFFF"/>
            <w:vAlign w:val="bottom"/>
          </w:tcPr>
          <w:p w14:paraId="4ACA8097"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1</w:t>
            </w:r>
          </w:p>
        </w:tc>
        <w:tc>
          <w:tcPr>
            <w:tcW w:w="1276" w:type="dxa"/>
            <w:tcBorders>
              <w:bottom w:val="single" w:sz="4" w:space="0" w:color="auto"/>
            </w:tcBorders>
            <w:shd w:val="clear" w:color="auto" w:fill="FFFFFF"/>
            <w:vAlign w:val="center"/>
          </w:tcPr>
          <w:p w14:paraId="55B40BB4"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2</w:t>
            </w:r>
          </w:p>
        </w:tc>
        <w:tc>
          <w:tcPr>
            <w:tcW w:w="1559" w:type="dxa"/>
            <w:tcBorders>
              <w:bottom w:val="single" w:sz="4" w:space="0" w:color="auto"/>
            </w:tcBorders>
            <w:shd w:val="clear" w:color="auto" w:fill="FFFFFF"/>
            <w:vAlign w:val="center"/>
          </w:tcPr>
          <w:p w14:paraId="7731D2FA"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3</w:t>
            </w:r>
          </w:p>
        </w:tc>
        <w:tc>
          <w:tcPr>
            <w:tcW w:w="1283" w:type="dxa"/>
            <w:tcBorders>
              <w:bottom w:val="single" w:sz="4" w:space="0" w:color="auto"/>
            </w:tcBorders>
            <w:shd w:val="clear" w:color="auto" w:fill="FFFFFF"/>
            <w:vAlign w:val="center"/>
          </w:tcPr>
          <w:p w14:paraId="4D77B1D0"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4</w:t>
            </w:r>
          </w:p>
        </w:tc>
        <w:tc>
          <w:tcPr>
            <w:tcW w:w="1440" w:type="dxa"/>
            <w:tcBorders>
              <w:bottom w:val="single" w:sz="4" w:space="0" w:color="auto"/>
            </w:tcBorders>
            <w:shd w:val="clear" w:color="auto" w:fill="FFFFFF"/>
            <w:vAlign w:val="bottom"/>
          </w:tcPr>
          <w:p w14:paraId="03ED4F1C"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5</w:t>
            </w:r>
          </w:p>
        </w:tc>
      </w:tr>
      <w:tr w:rsidR="00B834A2" w:rsidRPr="0078572C" w14:paraId="15F65E21" w14:textId="77777777" w:rsidTr="00B834A2">
        <w:trPr>
          <w:jc w:val="center"/>
        </w:trPr>
        <w:tc>
          <w:tcPr>
            <w:tcW w:w="2534" w:type="dxa"/>
            <w:tcBorders>
              <w:top w:val="single" w:sz="4" w:space="0" w:color="auto"/>
              <w:bottom w:val="single" w:sz="4" w:space="0" w:color="auto"/>
            </w:tcBorders>
            <w:shd w:val="clear" w:color="auto" w:fill="FFFFFF"/>
            <w:vAlign w:val="bottom"/>
          </w:tcPr>
          <w:p w14:paraId="2ABF178F" w14:textId="77777777" w:rsidR="00B834A2" w:rsidRPr="0078572C" w:rsidRDefault="00B834A2" w:rsidP="0078572C">
            <w:pPr>
              <w:pStyle w:val="a0"/>
              <w:shd w:val="clear" w:color="auto" w:fill="auto"/>
              <w:spacing w:after="120" w:line="240" w:lineRule="auto"/>
              <w:ind w:firstLine="567"/>
              <w:jc w:val="both"/>
              <w:rPr>
                <w:rFonts w:ascii="Sylfaen" w:hAnsi="Sylfaen" w:cs="Sylfaen"/>
                <w:szCs w:val="24"/>
              </w:rPr>
            </w:pPr>
            <w:r w:rsidRPr="0078572C">
              <w:rPr>
                <w:rFonts w:ascii="Sylfaen" w:hAnsi="Sylfaen"/>
                <w:i/>
                <w:szCs w:val="24"/>
              </w:rPr>
              <w:t>x</w:t>
            </w:r>
            <w:r w:rsidRPr="0078572C">
              <w:rPr>
                <w:rFonts w:ascii="Sylfaen" w:hAnsi="Sylfaen"/>
                <w:i/>
                <w:szCs w:val="24"/>
                <w:vertAlign w:val="subscript"/>
              </w:rPr>
              <w:t>i</w:t>
            </w:r>
            <w:r w:rsidRPr="0078572C">
              <w:rPr>
                <w:rFonts w:ascii="Sylfaen" w:hAnsi="Sylfaen"/>
                <w:i/>
                <w:szCs w:val="24"/>
              </w:rPr>
              <w:t xml:space="preserve">, </w:t>
            </w:r>
            <w:r w:rsidRPr="0078572C">
              <w:rPr>
                <w:rFonts w:ascii="Sylfaen" w:hAnsi="Sylfaen"/>
                <w:szCs w:val="24"/>
              </w:rPr>
              <w:t>%</w:t>
            </w:r>
          </w:p>
        </w:tc>
        <w:tc>
          <w:tcPr>
            <w:tcW w:w="1325" w:type="dxa"/>
            <w:tcBorders>
              <w:top w:val="single" w:sz="4" w:space="0" w:color="auto"/>
              <w:bottom w:val="single" w:sz="4" w:space="0" w:color="auto"/>
            </w:tcBorders>
            <w:shd w:val="clear" w:color="auto" w:fill="FFFFFF"/>
            <w:vAlign w:val="bottom"/>
          </w:tcPr>
          <w:p w14:paraId="7FF786B0"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9,52</w:t>
            </w:r>
          </w:p>
        </w:tc>
        <w:tc>
          <w:tcPr>
            <w:tcW w:w="1276" w:type="dxa"/>
            <w:tcBorders>
              <w:top w:val="single" w:sz="4" w:space="0" w:color="auto"/>
              <w:bottom w:val="single" w:sz="4" w:space="0" w:color="auto"/>
            </w:tcBorders>
            <w:shd w:val="clear" w:color="auto" w:fill="FFFFFF"/>
            <w:vAlign w:val="bottom"/>
          </w:tcPr>
          <w:p w14:paraId="55F7018D"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9,55</w:t>
            </w:r>
          </w:p>
        </w:tc>
        <w:tc>
          <w:tcPr>
            <w:tcW w:w="1559" w:type="dxa"/>
            <w:tcBorders>
              <w:top w:val="single" w:sz="4" w:space="0" w:color="auto"/>
              <w:bottom w:val="single" w:sz="4" w:space="0" w:color="auto"/>
            </w:tcBorders>
            <w:shd w:val="clear" w:color="auto" w:fill="FFFFFF"/>
            <w:vAlign w:val="bottom"/>
          </w:tcPr>
          <w:p w14:paraId="0003628E" w14:textId="77777777" w:rsidR="00B834A2" w:rsidRPr="0078572C" w:rsidRDefault="00B834A2" w:rsidP="0078572C">
            <w:pPr>
              <w:pStyle w:val="a0"/>
              <w:spacing w:after="120" w:line="240" w:lineRule="auto"/>
              <w:ind w:firstLine="0"/>
              <w:jc w:val="center"/>
              <w:rPr>
                <w:rFonts w:ascii="Sylfaen" w:hAnsi="Sylfaen" w:cs="Sylfaen"/>
                <w:szCs w:val="24"/>
              </w:rPr>
            </w:pPr>
            <w:r w:rsidRPr="0078572C">
              <w:rPr>
                <w:rFonts w:ascii="Sylfaen" w:hAnsi="Sylfaen"/>
                <w:szCs w:val="24"/>
              </w:rPr>
              <w:t>9,83</w:t>
            </w:r>
          </w:p>
        </w:tc>
        <w:tc>
          <w:tcPr>
            <w:tcW w:w="1283" w:type="dxa"/>
            <w:tcBorders>
              <w:top w:val="single" w:sz="4" w:space="0" w:color="auto"/>
              <w:bottom w:val="single" w:sz="4" w:space="0" w:color="auto"/>
            </w:tcBorders>
            <w:shd w:val="clear" w:color="auto" w:fill="FFFFFF"/>
            <w:vAlign w:val="bottom"/>
          </w:tcPr>
          <w:p w14:paraId="1CE89D62" w14:textId="77777777" w:rsidR="00B834A2" w:rsidRPr="0078572C" w:rsidRDefault="00B834A2" w:rsidP="0078572C">
            <w:pPr>
              <w:pStyle w:val="a0"/>
              <w:spacing w:after="120" w:line="240" w:lineRule="auto"/>
              <w:ind w:firstLine="0"/>
              <w:jc w:val="center"/>
              <w:rPr>
                <w:rFonts w:ascii="Sylfaen" w:hAnsi="Sylfaen" w:cs="Sylfaen"/>
                <w:szCs w:val="24"/>
              </w:rPr>
            </w:pPr>
            <w:r w:rsidRPr="0078572C">
              <w:rPr>
                <w:rFonts w:ascii="Sylfaen" w:hAnsi="Sylfaen"/>
                <w:szCs w:val="24"/>
              </w:rPr>
              <w:t>10,12</w:t>
            </w:r>
          </w:p>
        </w:tc>
        <w:tc>
          <w:tcPr>
            <w:tcW w:w="1440" w:type="dxa"/>
            <w:tcBorders>
              <w:top w:val="single" w:sz="4" w:space="0" w:color="auto"/>
              <w:bottom w:val="single" w:sz="4" w:space="0" w:color="auto"/>
            </w:tcBorders>
            <w:shd w:val="clear" w:color="auto" w:fill="FFFFFF"/>
            <w:vAlign w:val="bottom"/>
          </w:tcPr>
          <w:p w14:paraId="22EA6A22" w14:textId="77777777" w:rsidR="00B834A2" w:rsidRPr="0078572C" w:rsidRDefault="00B834A2" w:rsidP="0078572C">
            <w:pPr>
              <w:pStyle w:val="a0"/>
              <w:shd w:val="clear" w:color="auto" w:fill="auto"/>
              <w:spacing w:after="120" w:line="240" w:lineRule="auto"/>
              <w:ind w:firstLine="0"/>
              <w:jc w:val="center"/>
              <w:rPr>
                <w:rFonts w:ascii="Sylfaen" w:hAnsi="Sylfaen" w:cs="Sylfaen"/>
                <w:szCs w:val="24"/>
              </w:rPr>
            </w:pPr>
            <w:r w:rsidRPr="0078572C">
              <w:rPr>
                <w:rFonts w:ascii="Sylfaen" w:hAnsi="Sylfaen"/>
                <w:szCs w:val="24"/>
              </w:rPr>
              <w:t>10,33</w:t>
            </w:r>
          </w:p>
        </w:tc>
      </w:tr>
    </w:tbl>
    <w:p w14:paraId="2785C390" w14:textId="77777777" w:rsidR="0078572C" w:rsidRDefault="0078572C" w:rsidP="00B834A2">
      <w:pPr>
        <w:pStyle w:val="a0"/>
        <w:shd w:val="clear" w:color="auto" w:fill="auto"/>
        <w:spacing w:after="160" w:line="360" w:lineRule="auto"/>
        <w:ind w:firstLine="567"/>
        <w:jc w:val="both"/>
        <w:rPr>
          <w:rFonts w:ascii="Sylfaen" w:hAnsi="Sylfaen"/>
          <w:sz w:val="24"/>
          <w:szCs w:val="24"/>
          <w:lang w:val="en-US"/>
        </w:rPr>
      </w:pPr>
    </w:p>
    <w:p w14:paraId="51AC238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այսինքն՝</w:t>
      </w:r>
    </w:p>
    <w:p w14:paraId="53DC84D7" w14:textId="77777777" w:rsidR="00B834A2" w:rsidRPr="00B834A2" w:rsidRDefault="00000000" w:rsidP="00B834A2">
      <w:pPr>
        <w:pStyle w:val="a0"/>
        <w:shd w:val="clear" w:color="auto" w:fill="auto"/>
        <w:spacing w:after="160" w:line="360" w:lineRule="auto"/>
        <w:ind w:firstLine="567"/>
        <w:jc w:val="both"/>
        <w:rPr>
          <w:rFonts w:ascii="Sylfaen" w:hAnsi="Sylfaen" w:cs="Sylfaen"/>
          <w:i/>
          <w:sz w:val="24"/>
          <w:szCs w:val="24"/>
        </w:rPr>
      </w:pPr>
      <m:oMath>
        <m:sSub>
          <m:sSubPr>
            <m:ctrlPr>
              <w:rPr>
                <w:rFonts w:ascii="Cambria Math" w:hAnsi="Cambria Math" w:cs="Sylfaen"/>
                <w:i/>
                <w:sz w:val="24"/>
                <w:szCs w:val="24"/>
              </w:rPr>
            </m:ctrlPr>
          </m:sSubPr>
          <m:e>
            <m:r>
              <w:rPr>
                <w:rFonts w:ascii="Cambria Math" w:hAnsi="Cambria Math" w:cs="Sylfaen"/>
                <w:sz w:val="24"/>
                <w:szCs w:val="24"/>
              </w:rPr>
              <m:t>d</m:t>
            </m:r>
          </m:e>
          <m:sub>
            <m:r>
              <w:rPr>
                <w:rFonts w:ascii="Cambria Math" w:hAnsi="Cambria Math" w:cs="Sylfaen"/>
                <w:sz w:val="24"/>
                <w:szCs w:val="24"/>
              </w:rPr>
              <m:t>i=1</m:t>
            </m:r>
          </m:sub>
        </m:sSub>
        <m:r>
          <w:rPr>
            <w:rFonts w:ascii="Cambria Math" w:hAnsi="Cambria Math" w:cs="Sylfaen"/>
            <w:sz w:val="24"/>
            <w:szCs w:val="24"/>
          </w:rPr>
          <m:t>=</m:t>
        </m:r>
        <m:d>
          <m:dPr>
            <m:begChr m:val="|"/>
            <m:endChr m:val="|"/>
            <m:ctrlPr>
              <w:rPr>
                <w:rFonts w:ascii="Cambria Math" w:hAnsi="Cambria Math" w:cs="Sylfaen"/>
                <w:i/>
                <w:sz w:val="24"/>
                <w:szCs w:val="24"/>
              </w:rPr>
            </m:ctrlPr>
          </m:dPr>
          <m:e>
            <m:r>
              <w:rPr>
                <w:rFonts w:ascii="Cambria Math" w:hAnsi="Cambria Math" w:cs="Sylfaen"/>
                <w:sz w:val="24"/>
                <w:szCs w:val="24"/>
              </w:rPr>
              <m:t>9,52-9,87</m:t>
            </m:r>
          </m:e>
        </m:d>
        <m:r>
          <w:rPr>
            <w:rFonts w:ascii="Cambria Math" w:hAnsi="Cambria Math" w:cs="Sylfaen"/>
            <w:sz w:val="24"/>
            <w:szCs w:val="24"/>
          </w:rPr>
          <m:t xml:space="preserve">=0,35 </m:t>
        </m:r>
      </m:oMath>
      <w:r w:rsidR="00B834A2">
        <w:rPr>
          <w:rFonts w:ascii="Sylfaen" w:hAnsi="Sylfaen"/>
          <w:sz w:val="24"/>
          <w:szCs w:val="24"/>
        </w:rPr>
        <w:t>եւ</w:t>
      </w:r>
      <w:r w:rsidR="00B834A2" w:rsidRPr="00B834A2">
        <w:rPr>
          <w:rFonts w:ascii="Sylfaen" w:hAnsi="Sylfaen"/>
          <w:sz w:val="24"/>
          <w:szCs w:val="24"/>
        </w:rPr>
        <w:t xml:space="preserve"> այլն մինչ</w:t>
      </w:r>
      <w:r w:rsidR="00B834A2">
        <w:rPr>
          <w:rFonts w:ascii="Sylfaen" w:hAnsi="Sylfaen"/>
          <w:sz w:val="24"/>
          <w:szCs w:val="24"/>
        </w:rPr>
        <w:t>եւ</w:t>
      </w:r>
      <w:r w:rsidR="00B834A2" w:rsidRPr="00B834A2">
        <w:rPr>
          <w:rFonts w:ascii="Sylfaen" w:hAnsi="Sylfaen"/>
          <w:sz w:val="24"/>
          <w:szCs w:val="24"/>
        </w:rPr>
        <w:t xml:space="preserve"> </w:t>
      </w:r>
      <w:r w:rsidR="00B834A2" w:rsidRPr="00B834A2">
        <w:rPr>
          <w:rFonts w:ascii="Sylfaen" w:hAnsi="Sylfaen"/>
          <w:i/>
          <w:sz w:val="24"/>
          <w:szCs w:val="24"/>
        </w:rPr>
        <w:t>i=5</w:t>
      </w:r>
    </w:p>
    <w:p w14:paraId="4DE11F7F" w14:textId="77777777" w:rsidR="00B834A2" w:rsidRPr="00B834A2" w:rsidRDefault="00000000" w:rsidP="00B834A2">
      <w:pPr>
        <w:pStyle w:val="a0"/>
        <w:shd w:val="clear" w:color="auto" w:fill="auto"/>
        <w:spacing w:after="160" w:line="360" w:lineRule="auto"/>
        <w:ind w:firstLine="567"/>
        <w:jc w:val="both"/>
        <w:rPr>
          <w:rFonts w:ascii="Sylfaen" w:hAnsi="Sylfaen" w:cs="Sylfaen"/>
          <w:i/>
          <w:sz w:val="24"/>
          <w:szCs w:val="24"/>
        </w:rPr>
      </w:pPr>
      <m:oMathPara>
        <m:oMath>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m:t>
          </m:r>
          <m:f>
            <m:fPr>
              <m:ctrlPr>
                <w:rPr>
                  <w:rFonts w:ascii="Cambria Math" w:hAnsi="Cambria Math" w:cs="Sylfaen"/>
                  <w:i/>
                  <w:sz w:val="24"/>
                  <w:szCs w:val="24"/>
                </w:rPr>
              </m:ctrlPr>
            </m:fPr>
            <m:num>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n</m:t>
                  </m:r>
                </m:sup>
                <m:e>
                  <m:sSubSup>
                    <m:sSubSupPr>
                      <m:ctrlPr>
                        <w:rPr>
                          <w:rFonts w:ascii="Cambria Math" w:hAnsi="Cambria Math" w:cs="Sylfaen"/>
                          <w:i/>
                          <w:sz w:val="24"/>
                          <w:szCs w:val="24"/>
                        </w:rPr>
                      </m:ctrlPr>
                    </m:sSubSupPr>
                    <m:e>
                      <m:r>
                        <w:rPr>
                          <w:rFonts w:ascii="Cambria Math" w:hAnsi="Cambria Math" w:cs="Sylfaen"/>
                          <w:sz w:val="24"/>
                          <w:szCs w:val="24"/>
                        </w:rPr>
                        <m:t>d</m:t>
                      </m:r>
                    </m:e>
                    <m:sub>
                      <m:r>
                        <w:rPr>
                          <w:rFonts w:ascii="Cambria Math" w:hAnsi="Cambria Math" w:cs="Sylfaen"/>
                          <w:sz w:val="24"/>
                          <w:szCs w:val="24"/>
                        </w:rPr>
                        <m:t>i</m:t>
                      </m:r>
                    </m:sub>
                    <m:sup>
                      <m:r>
                        <w:rPr>
                          <w:rFonts w:ascii="Cambria Math" w:hAnsi="Cambria Math" w:cs="Sylfaen"/>
                          <w:sz w:val="24"/>
                          <w:szCs w:val="24"/>
                        </w:rPr>
                        <m:t>2</m:t>
                      </m:r>
                    </m:sup>
                  </m:sSubSup>
                </m:e>
              </m:nary>
            </m:num>
            <m:den>
              <m:r>
                <w:rPr>
                  <w:rFonts w:ascii="Cambria Math" w:hAnsi="Cambria Math" w:cs="Sylfaen"/>
                  <w:sz w:val="24"/>
                  <w:szCs w:val="24"/>
                </w:rPr>
                <m:t>f</m:t>
              </m:r>
            </m:den>
          </m:f>
          <m:r>
            <w:rPr>
              <w:rFonts w:ascii="Cambria Math" w:hAnsi="Cambria Math" w:cs="Sylfaen"/>
              <w:sz w:val="24"/>
              <w:szCs w:val="24"/>
            </w:rPr>
            <m:t>=</m:t>
          </m:r>
          <m:f>
            <m:fPr>
              <m:ctrlPr>
                <w:rPr>
                  <w:rFonts w:ascii="Cambria Math" w:hAnsi="Cambria Math" w:cs="Sylfaen"/>
                  <w:i/>
                  <w:sz w:val="24"/>
                  <w:szCs w:val="24"/>
                </w:rPr>
              </m:ctrlPr>
            </m:fPr>
            <m:num>
              <m:nary>
                <m:naryPr>
                  <m:chr m:val="∑"/>
                  <m:limLoc m:val="undOvr"/>
                  <m:ctrlPr>
                    <w:rPr>
                      <w:rFonts w:ascii="Cambria Math" w:hAnsi="Cambria Math" w:cs="Sylfaen"/>
                      <w:i/>
                      <w:sz w:val="24"/>
                      <w:szCs w:val="24"/>
                    </w:rPr>
                  </m:ctrlPr>
                </m:naryPr>
                <m:sub>
                  <m:r>
                    <w:rPr>
                      <w:rFonts w:ascii="Cambria Math" w:hAnsi="Cambria Math" w:cs="Sylfaen"/>
                      <w:sz w:val="24"/>
                      <w:szCs w:val="24"/>
                    </w:rPr>
                    <m:t>1</m:t>
                  </m:r>
                </m:sub>
                <m:sup>
                  <m:r>
                    <w:rPr>
                      <w:rFonts w:ascii="Cambria Math" w:hAnsi="Cambria Math" w:cs="Sylfaen"/>
                      <w:sz w:val="24"/>
                      <w:szCs w:val="24"/>
                    </w:rPr>
                    <m:t>n</m:t>
                  </m:r>
                </m:sup>
                <m:e>
                  <m:sSubSup>
                    <m:sSubSupPr>
                      <m:ctrlPr>
                        <w:rPr>
                          <w:rFonts w:ascii="Cambria Math" w:hAnsi="Cambria Math" w:cs="Sylfaen"/>
                          <w:i/>
                          <w:sz w:val="24"/>
                          <w:szCs w:val="24"/>
                        </w:rPr>
                      </m:ctrlPr>
                    </m:sSubSupPr>
                    <m:e>
                      <m:r>
                        <w:rPr>
                          <w:rFonts w:ascii="Cambria Math" w:hAnsi="Cambria Math" w:cs="Sylfaen"/>
                          <w:sz w:val="24"/>
                          <w:szCs w:val="24"/>
                        </w:rPr>
                        <m:t>x</m:t>
                      </m:r>
                    </m:e>
                    <m:sub>
                      <m:r>
                        <w:rPr>
                          <w:rFonts w:ascii="Cambria Math" w:hAnsi="Cambria Math" w:cs="Sylfaen"/>
                          <w:sz w:val="24"/>
                          <w:szCs w:val="24"/>
                        </w:rPr>
                        <m:t>i</m:t>
                      </m:r>
                    </m:sub>
                    <m:sup>
                      <m:r>
                        <w:rPr>
                          <w:rFonts w:ascii="Cambria Math" w:hAnsi="Cambria Math" w:cs="Sylfaen"/>
                          <w:sz w:val="24"/>
                          <w:szCs w:val="24"/>
                        </w:rPr>
                        <m:t>2</m:t>
                      </m:r>
                    </m:sup>
                  </m:sSubSup>
                  <m:r>
                    <w:rPr>
                      <w:rFonts w:ascii="Cambria Math" w:hAnsi="Cambria Math" w:cs="Sylfaen"/>
                      <w:sz w:val="24"/>
                      <w:szCs w:val="24"/>
                    </w:rPr>
                    <m:t>-n</m:t>
                  </m:r>
                  <m:bar>
                    <m:barPr>
                      <m:pos m:val="top"/>
                      <m:ctrlPr>
                        <w:rPr>
                          <w:rFonts w:ascii="Cambria Math" w:hAnsi="Cambria Math" w:cs="Sylfaen"/>
                          <w:i/>
                          <w:sz w:val="24"/>
                          <w:szCs w:val="24"/>
                        </w:rPr>
                      </m:ctrlPr>
                    </m:barPr>
                    <m:e>
                      <m:sSup>
                        <m:sSupPr>
                          <m:ctrlPr>
                            <w:rPr>
                              <w:rFonts w:ascii="Cambria Math" w:hAnsi="Cambria Math" w:cs="Sylfaen"/>
                              <w:i/>
                              <w:sz w:val="24"/>
                              <w:szCs w:val="24"/>
                            </w:rPr>
                          </m:ctrlPr>
                        </m:sSupPr>
                        <m:e>
                          <m:r>
                            <w:rPr>
                              <w:rFonts w:ascii="Cambria Math" w:hAnsi="Cambria Math" w:cs="Sylfaen"/>
                              <w:sz w:val="24"/>
                              <w:szCs w:val="24"/>
                            </w:rPr>
                            <m:t>x</m:t>
                          </m:r>
                        </m:e>
                        <m:sup>
                          <m:r>
                            <w:rPr>
                              <w:rFonts w:ascii="Cambria Math" w:hAnsi="Cambria Math" w:cs="Sylfaen"/>
                              <w:sz w:val="24"/>
                              <w:szCs w:val="24"/>
                            </w:rPr>
                            <m:t>2</m:t>
                          </m:r>
                        </m:sup>
                      </m:sSup>
                    </m:e>
                  </m:bar>
                </m:e>
              </m:nary>
            </m:num>
            <m:den>
              <m:r>
                <w:rPr>
                  <w:rFonts w:ascii="Cambria Math" w:hAnsi="Cambria Math" w:cs="Sylfaen"/>
                  <w:sz w:val="24"/>
                  <w:szCs w:val="24"/>
                </w:rPr>
                <m:t>f</m:t>
              </m:r>
            </m:den>
          </m:f>
          <m:r>
            <w:rPr>
              <w:rFonts w:ascii="Cambria Math" w:hAnsi="Cambria Math" w:cs="Sylfaen"/>
              <w:sz w:val="24"/>
              <w:szCs w:val="24"/>
            </w:rPr>
            <m:t>=</m:t>
          </m:r>
          <m:f>
            <m:fPr>
              <m:ctrlPr>
                <w:rPr>
                  <w:rFonts w:ascii="Cambria Math" w:hAnsi="Cambria Math" w:cs="Sylfaen"/>
                  <w:i/>
                  <w:sz w:val="24"/>
                  <w:szCs w:val="24"/>
                </w:rPr>
              </m:ctrlPr>
            </m:fPr>
            <m:num>
              <m:d>
                <m:dPr>
                  <m:ctrlPr>
                    <w:rPr>
                      <w:rFonts w:ascii="Cambria Math" w:hAnsi="Cambria Math" w:cs="Sylfaen"/>
                      <w:i/>
                      <w:sz w:val="24"/>
                      <w:szCs w:val="24"/>
                    </w:rPr>
                  </m:ctrlPr>
                </m:dPr>
                <m:e>
                  <m:r>
                    <w:rPr>
                      <w:rFonts w:ascii="Cambria Math" w:hAnsi="Cambria Math" w:cs="Sylfaen"/>
                      <w:sz w:val="24"/>
                      <w:szCs w:val="24"/>
                    </w:rPr>
                    <m:t>9,5</m:t>
                  </m:r>
                  <m:sSup>
                    <m:sSupPr>
                      <m:ctrlPr>
                        <w:rPr>
                          <w:rFonts w:ascii="Cambria Math" w:hAnsi="Cambria Math" w:cs="Sylfaen"/>
                          <w:i/>
                          <w:sz w:val="24"/>
                          <w:szCs w:val="24"/>
                        </w:rPr>
                      </m:ctrlPr>
                    </m:sSupPr>
                    <m:e>
                      <m:r>
                        <w:rPr>
                          <w:rFonts w:ascii="Cambria Math" w:hAnsi="Cambria Math" w:cs="Sylfaen"/>
                          <w:sz w:val="24"/>
                          <w:szCs w:val="24"/>
                        </w:rPr>
                        <m:t>2</m:t>
                      </m:r>
                    </m:e>
                    <m:sup>
                      <m:r>
                        <w:rPr>
                          <w:rFonts w:ascii="Cambria Math" w:hAnsi="Cambria Math" w:cs="Sylfaen"/>
                          <w:sz w:val="24"/>
                          <w:szCs w:val="24"/>
                        </w:rPr>
                        <m:t>2</m:t>
                      </m:r>
                    </m:sup>
                  </m:sSup>
                  <m:r>
                    <w:rPr>
                      <w:rFonts w:ascii="Cambria Math" w:hAnsi="Cambria Math" w:cs="Sylfaen"/>
                      <w:sz w:val="24"/>
                      <w:szCs w:val="24"/>
                    </w:rPr>
                    <m:t>+9,5</m:t>
                  </m:r>
                  <m:sSup>
                    <m:sSupPr>
                      <m:ctrlPr>
                        <w:rPr>
                          <w:rFonts w:ascii="Cambria Math" w:hAnsi="Cambria Math" w:cs="Sylfaen"/>
                          <w:i/>
                          <w:sz w:val="24"/>
                          <w:szCs w:val="24"/>
                        </w:rPr>
                      </m:ctrlPr>
                    </m:sSupPr>
                    <m:e>
                      <m:r>
                        <w:rPr>
                          <w:rFonts w:ascii="Cambria Math" w:hAnsi="Cambria Math" w:cs="Sylfaen"/>
                          <w:sz w:val="24"/>
                          <w:szCs w:val="24"/>
                        </w:rPr>
                        <m:t>5</m:t>
                      </m:r>
                    </m:e>
                    <m:sup>
                      <m:r>
                        <w:rPr>
                          <w:rFonts w:ascii="Cambria Math" w:hAnsi="Cambria Math" w:cs="Sylfaen"/>
                          <w:sz w:val="24"/>
                          <w:szCs w:val="24"/>
                        </w:rPr>
                        <m:t>2</m:t>
                      </m:r>
                    </m:sup>
                  </m:sSup>
                  <m:r>
                    <w:rPr>
                      <w:rFonts w:ascii="Cambria Math" w:hAnsi="Cambria Math" w:cs="Sylfaen"/>
                      <w:sz w:val="24"/>
                      <w:szCs w:val="24"/>
                    </w:rPr>
                    <m:t>+9,8</m:t>
                  </m:r>
                  <m:sSup>
                    <m:sSupPr>
                      <m:ctrlPr>
                        <w:rPr>
                          <w:rFonts w:ascii="Cambria Math" w:hAnsi="Cambria Math" w:cs="Sylfaen"/>
                          <w:i/>
                          <w:sz w:val="24"/>
                          <w:szCs w:val="24"/>
                        </w:rPr>
                      </m:ctrlPr>
                    </m:sSupPr>
                    <m:e>
                      <m:r>
                        <w:rPr>
                          <w:rFonts w:ascii="Cambria Math" w:hAnsi="Cambria Math" w:cs="Sylfaen"/>
                          <w:sz w:val="24"/>
                          <w:szCs w:val="24"/>
                        </w:rPr>
                        <m:t>3</m:t>
                      </m:r>
                    </m:e>
                    <m:sup>
                      <m:r>
                        <w:rPr>
                          <w:rFonts w:ascii="Cambria Math" w:hAnsi="Cambria Math" w:cs="Sylfaen"/>
                          <w:sz w:val="24"/>
                          <w:szCs w:val="24"/>
                        </w:rPr>
                        <m:t>2</m:t>
                      </m:r>
                    </m:sup>
                  </m:sSup>
                  <m:r>
                    <w:rPr>
                      <w:rFonts w:ascii="Cambria Math" w:hAnsi="Cambria Math" w:cs="Sylfaen"/>
                      <w:sz w:val="24"/>
                      <w:szCs w:val="24"/>
                    </w:rPr>
                    <m:t>+10,1</m:t>
                  </m:r>
                  <m:sSup>
                    <m:sSupPr>
                      <m:ctrlPr>
                        <w:rPr>
                          <w:rFonts w:ascii="Cambria Math" w:hAnsi="Cambria Math" w:cs="Sylfaen"/>
                          <w:i/>
                          <w:sz w:val="24"/>
                          <w:szCs w:val="24"/>
                        </w:rPr>
                      </m:ctrlPr>
                    </m:sSupPr>
                    <m:e>
                      <m:r>
                        <w:rPr>
                          <w:rFonts w:ascii="Cambria Math" w:hAnsi="Cambria Math" w:cs="Sylfaen"/>
                          <w:sz w:val="24"/>
                          <w:szCs w:val="24"/>
                        </w:rPr>
                        <m:t>2</m:t>
                      </m:r>
                    </m:e>
                    <m:sup>
                      <m:r>
                        <w:rPr>
                          <w:rFonts w:ascii="Cambria Math" w:hAnsi="Cambria Math" w:cs="Sylfaen"/>
                          <w:sz w:val="24"/>
                          <w:szCs w:val="24"/>
                        </w:rPr>
                        <m:t>2</m:t>
                      </m:r>
                    </m:sup>
                  </m:sSup>
                  <m:r>
                    <w:rPr>
                      <w:rFonts w:ascii="Cambria Math" w:hAnsi="Cambria Math" w:cs="Sylfaen"/>
                      <w:sz w:val="24"/>
                      <w:szCs w:val="24"/>
                    </w:rPr>
                    <m:t>+10,3</m:t>
                  </m:r>
                  <m:sSup>
                    <m:sSupPr>
                      <m:ctrlPr>
                        <w:rPr>
                          <w:rFonts w:ascii="Cambria Math" w:hAnsi="Cambria Math" w:cs="Sylfaen"/>
                          <w:i/>
                          <w:sz w:val="24"/>
                          <w:szCs w:val="24"/>
                        </w:rPr>
                      </m:ctrlPr>
                    </m:sSupPr>
                    <m:e>
                      <m:r>
                        <w:rPr>
                          <w:rFonts w:ascii="Cambria Math" w:hAnsi="Cambria Math" w:cs="Sylfaen"/>
                          <w:sz w:val="24"/>
                          <w:szCs w:val="24"/>
                        </w:rPr>
                        <m:t>3</m:t>
                      </m:r>
                    </m:e>
                    <m:sup>
                      <m:r>
                        <w:rPr>
                          <w:rFonts w:ascii="Cambria Math" w:hAnsi="Cambria Math" w:cs="Sylfaen"/>
                          <w:sz w:val="24"/>
                          <w:szCs w:val="24"/>
                        </w:rPr>
                        <m:t>2</m:t>
                      </m:r>
                    </m:sup>
                  </m:sSup>
                </m:e>
              </m:d>
              <m:r>
                <w:rPr>
                  <w:rFonts w:ascii="Cambria Math" w:hAnsi="Cambria Math" w:cs="Sylfaen"/>
                  <w:sz w:val="24"/>
                  <w:szCs w:val="24"/>
                </w:rPr>
                <m:t>-5*9,8</m:t>
              </m:r>
              <m:sSup>
                <m:sSupPr>
                  <m:ctrlPr>
                    <w:rPr>
                      <w:rFonts w:ascii="Cambria Math" w:hAnsi="Cambria Math" w:cs="Sylfaen"/>
                      <w:i/>
                      <w:sz w:val="24"/>
                      <w:szCs w:val="24"/>
                    </w:rPr>
                  </m:ctrlPr>
                </m:sSupPr>
                <m:e>
                  <m:r>
                    <w:rPr>
                      <w:rFonts w:ascii="Cambria Math" w:hAnsi="Cambria Math" w:cs="Sylfaen"/>
                      <w:sz w:val="24"/>
                      <w:szCs w:val="24"/>
                    </w:rPr>
                    <m:t>7</m:t>
                  </m:r>
                </m:e>
                <m:sup>
                  <m:r>
                    <w:rPr>
                      <w:rFonts w:ascii="Cambria Math" w:hAnsi="Cambria Math" w:cs="Sylfaen"/>
                      <w:sz w:val="24"/>
                      <w:szCs w:val="24"/>
                    </w:rPr>
                    <m:t>2</m:t>
                  </m:r>
                </m:sup>
              </m:sSup>
            </m:num>
            <m:den>
              <m:r>
                <w:rPr>
                  <w:rFonts w:ascii="Cambria Math" w:hAnsi="Cambria Math" w:cs="Sylfaen"/>
                  <w:sz w:val="24"/>
                  <w:szCs w:val="24"/>
                </w:rPr>
                <m:t>4</m:t>
              </m:r>
            </m:den>
          </m:f>
          <m:r>
            <w:rPr>
              <w:rFonts w:ascii="Cambria Math" w:hAnsi="Cambria Math" w:cs="Sylfaen"/>
              <w:sz w:val="24"/>
              <w:szCs w:val="24"/>
            </w:rPr>
            <m:t>=01,1252;</m:t>
          </m:r>
        </m:oMath>
      </m:oMathPara>
    </w:p>
    <w:p w14:paraId="50821A7C" w14:textId="77777777" w:rsidR="00B834A2" w:rsidRPr="00B834A2" w:rsidRDefault="00B834A2" w:rsidP="00B834A2">
      <w:pPr>
        <w:pStyle w:val="a0"/>
        <w:shd w:val="clear" w:color="auto" w:fill="auto"/>
        <w:spacing w:after="160" w:line="360" w:lineRule="auto"/>
        <w:ind w:firstLine="567"/>
        <w:jc w:val="both"/>
        <w:rPr>
          <w:rFonts w:ascii="Sylfaen" w:hAnsi="Sylfaen" w:cs="Sylfaen"/>
          <w:i/>
          <w:sz w:val="24"/>
          <w:szCs w:val="24"/>
        </w:rPr>
      </w:pPr>
      <m:oMathPara>
        <m:oMath>
          <m:r>
            <w:rPr>
              <w:rFonts w:ascii="Cambria Math" w:hAnsi="Cambria Math" w:cs="Sylfaen"/>
              <w:sz w:val="24"/>
              <w:szCs w:val="24"/>
            </w:rPr>
            <m:t>s=</m:t>
          </m:r>
          <m:rad>
            <m:radPr>
              <m:degHide m:val="1"/>
              <m:ctrlPr>
                <w:rPr>
                  <w:rFonts w:ascii="Cambria Math" w:hAnsi="Cambria Math" w:cs="Sylfaen"/>
                  <w:i/>
                  <w:sz w:val="24"/>
                  <w:szCs w:val="24"/>
                </w:rPr>
              </m:ctrlPr>
            </m:radPr>
            <m:deg/>
            <m:e>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0,1252=0,3538;</m:t>
                  </m:r>
                </m:e>
              </m:rad>
            </m:e>
          </m:rad>
        </m:oMath>
      </m:oMathPara>
    </w:p>
    <w:p w14:paraId="2A3EEE99" w14:textId="77777777" w:rsidR="00B834A2" w:rsidRPr="00B834A2" w:rsidRDefault="00B834A2" w:rsidP="00B834A2">
      <w:pPr>
        <w:pStyle w:val="a0"/>
        <w:shd w:val="clear" w:color="auto" w:fill="auto"/>
        <w:spacing w:after="160" w:line="360" w:lineRule="auto"/>
        <w:ind w:firstLine="567"/>
        <w:jc w:val="both"/>
        <w:rPr>
          <w:rFonts w:ascii="Sylfaen" w:hAnsi="Sylfaen" w:cs="Sylfaen"/>
          <w:b/>
          <w:bCs/>
          <w:sz w:val="24"/>
          <w:szCs w:val="24"/>
        </w:rPr>
      </w:pPr>
      <m:oMathPara>
        <m:oMath>
          <m:r>
            <w:rPr>
              <w:rFonts w:ascii="Cambria Math" w:hAnsi="Cambria Math" w:cs="Sylfaen"/>
              <w:sz w:val="24"/>
              <w:szCs w:val="24"/>
            </w:rPr>
            <m:t>RSD</m:t>
          </m:r>
          <m:r>
            <m:rPr>
              <m:sty m:val="bi"/>
            </m:rPr>
            <w:rPr>
              <w:rFonts w:ascii="Cambria Math" w:hAnsi="Cambria Math" w:cs="Sylfaen"/>
              <w:sz w:val="24"/>
              <w:szCs w:val="24"/>
            </w:rPr>
            <m:t>=</m:t>
          </m:r>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r</m:t>
              </m:r>
            </m:sub>
          </m:sSub>
          <m:r>
            <w:rPr>
              <w:rFonts w:ascii="Cambria Math" w:hAnsi="Cambria Math" w:cs="Sylfaen"/>
              <w:sz w:val="24"/>
              <w:szCs w:val="24"/>
            </w:rPr>
            <m:t>*100%=3,59%</m:t>
          </m:r>
        </m:oMath>
      </m:oMathPara>
    </w:p>
    <w:p w14:paraId="4B543E78" w14:textId="77777777" w:rsidR="00B834A2" w:rsidRPr="00B834A2" w:rsidRDefault="00000000" w:rsidP="00B834A2">
      <w:pPr>
        <w:pStyle w:val="a0"/>
        <w:shd w:val="clear" w:color="auto" w:fill="auto"/>
        <w:spacing w:after="160" w:line="360" w:lineRule="auto"/>
        <w:ind w:firstLine="567"/>
        <w:jc w:val="both"/>
        <w:rPr>
          <w:rFonts w:ascii="Sylfaen" w:hAnsi="Sylfaen" w:cs="Sylfaen"/>
          <w:bCs/>
          <w:sz w:val="24"/>
          <w:szCs w:val="24"/>
        </w:rPr>
      </w:pPr>
      <m:oMathPara>
        <m:oMath>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hAnsi="Cambria Math" w:cs="Sylfaen"/>
              <w:sz w:val="24"/>
              <w:szCs w:val="24"/>
            </w:rPr>
            <m:t>=</m:t>
          </m:r>
          <m:f>
            <m:fPr>
              <m:ctrlPr>
                <w:rPr>
                  <w:rFonts w:ascii="Cambria Math" w:hAnsi="Cambria Math" w:cs="Sylfaen"/>
                  <w:bCs/>
                  <w:i/>
                  <w:sz w:val="24"/>
                  <w:szCs w:val="24"/>
                </w:rPr>
              </m:ctrlPr>
            </m:fPr>
            <m:num>
              <m:r>
                <w:rPr>
                  <w:rFonts w:ascii="Cambria Math" w:hAnsi="Cambria Math" w:cs="Sylfaen"/>
                  <w:sz w:val="24"/>
                  <w:szCs w:val="24"/>
                </w:rPr>
                <m:t>s</m:t>
              </m:r>
            </m:num>
            <m:den>
              <m:rad>
                <m:radPr>
                  <m:degHide m:val="1"/>
                  <m:ctrlPr>
                    <w:rPr>
                      <w:rFonts w:ascii="Cambria Math" w:hAnsi="Cambria Math" w:cs="Sylfaen"/>
                      <w:bCs/>
                      <w:i/>
                      <w:sz w:val="24"/>
                      <w:szCs w:val="24"/>
                    </w:rPr>
                  </m:ctrlPr>
                </m:radPr>
                <m:deg/>
                <m:e>
                  <m:r>
                    <w:rPr>
                      <w:rFonts w:ascii="Cambria Math" w:hAnsi="Cambria Math" w:cs="Sylfaen"/>
                      <w:sz w:val="24"/>
                      <w:szCs w:val="24"/>
                    </w:rPr>
                    <m:t>n</m:t>
                  </m:r>
                </m:e>
              </m:rad>
            </m:den>
          </m:f>
          <m:r>
            <w:rPr>
              <w:rFonts w:ascii="Cambria Math" w:hAnsi="Cambria Math" w:cs="Sylfaen"/>
              <w:sz w:val="24"/>
              <w:szCs w:val="24"/>
            </w:rPr>
            <m:t>=</m:t>
          </m:r>
          <m:f>
            <m:fPr>
              <m:ctrlPr>
                <w:rPr>
                  <w:rFonts w:ascii="Cambria Math" w:hAnsi="Cambria Math" w:cs="Sylfaen"/>
                  <w:bCs/>
                  <w:i/>
                  <w:sz w:val="24"/>
                  <w:szCs w:val="24"/>
                </w:rPr>
              </m:ctrlPr>
            </m:fPr>
            <m:num>
              <m:r>
                <w:rPr>
                  <w:rFonts w:ascii="Cambria Math" w:hAnsi="Cambria Math" w:cs="Sylfaen"/>
                  <w:sz w:val="24"/>
                  <w:szCs w:val="24"/>
                </w:rPr>
                <m:t>0,3538</m:t>
              </m:r>
            </m:num>
            <m:den>
              <m:rad>
                <m:radPr>
                  <m:degHide m:val="1"/>
                  <m:ctrlPr>
                    <w:rPr>
                      <w:rFonts w:ascii="Cambria Math" w:hAnsi="Cambria Math" w:cs="Sylfaen"/>
                      <w:bCs/>
                      <w:i/>
                      <w:sz w:val="24"/>
                      <w:szCs w:val="24"/>
                    </w:rPr>
                  </m:ctrlPr>
                </m:radPr>
                <m:deg/>
                <m:e>
                  <m:r>
                    <w:rPr>
                      <w:rFonts w:ascii="Cambria Math" w:hAnsi="Cambria Math" w:cs="Sylfaen"/>
                      <w:sz w:val="24"/>
                      <w:szCs w:val="24"/>
                    </w:rPr>
                    <m:t>5</m:t>
                  </m:r>
                </m:e>
              </m:rad>
            </m:den>
          </m:f>
          <m:r>
            <w:rPr>
              <w:rFonts w:ascii="Cambria Math" w:hAnsi="Cambria Math" w:cs="Sylfaen"/>
              <w:sz w:val="24"/>
              <w:szCs w:val="24"/>
            </w:rPr>
            <m:t>0,1582</m:t>
          </m:r>
        </m:oMath>
      </m:oMathPara>
    </w:p>
    <w:p w14:paraId="79ED6818" w14:textId="77777777" w:rsidR="00B834A2" w:rsidRPr="00B834A2" w:rsidRDefault="00000000" w:rsidP="00B834A2">
      <w:pPr>
        <w:pStyle w:val="a0"/>
        <w:shd w:val="clear" w:color="auto" w:fill="auto"/>
        <w:spacing w:after="160" w:line="360" w:lineRule="auto"/>
        <w:ind w:firstLine="567"/>
        <w:jc w:val="both"/>
        <w:rPr>
          <w:rFonts w:ascii="Sylfaen" w:hAnsi="Sylfaen" w:cs="Sylfaen"/>
          <w:bCs/>
          <w:sz w:val="24"/>
          <w:szCs w:val="24"/>
        </w:rPr>
      </w:pPr>
      <m:oMathPara>
        <m:oMath>
          <m:sSub>
            <m:sSubPr>
              <m:ctrlPr>
                <w:rPr>
                  <w:rFonts w:ascii="Cambria Math" w:hAnsi="Cambria Math" w:cs="Sylfaen"/>
                  <w:bCs/>
                  <w:i/>
                  <w:sz w:val="24"/>
                  <w:szCs w:val="24"/>
                </w:rPr>
              </m:ctrlPr>
            </m:sSubPr>
            <m:e>
              <m:r>
                <w:rPr>
                  <w:rFonts w:ascii="Cambria Math" w:hAnsi="Cambria Math" w:cs="Sylfaen"/>
                  <w:sz w:val="24"/>
                  <w:szCs w:val="24"/>
                </w:rPr>
                <m:t>s</m:t>
              </m:r>
            </m:e>
            <m:sub>
              <m:bar>
                <m:barPr>
                  <m:pos m:val="top"/>
                  <m:ctrlPr>
                    <w:rPr>
                      <w:rFonts w:ascii="Cambria Math" w:hAnsi="Cambria Math" w:cs="Sylfaen"/>
                      <w:bCs/>
                      <w:i/>
                      <w:sz w:val="24"/>
                      <w:szCs w:val="24"/>
                    </w:rPr>
                  </m:ctrlPr>
                </m:barPr>
                <m:e>
                  <m:r>
                    <w:rPr>
                      <w:rFonts w:ascii="Cambria Math" w:hAnsi="Cambria Math" w:cs="Sylfaen"/>
                      <w:sz w:val="24"/>
                      <w:szCs w:val="24"/>
                    </w:rPr>
                    <m:t>x</m:t>
                  </m:r>
                </m:e>
              </m:bar>
              <m:r>
                <w:rPr>
                  <w:rFonts w:ascii="Cambria Math" w:hAnsi="Cambria Math" w:cs="Sylfaen"/>
                  <w:sz w:val="24"/>
                  <w:szCs w:val="24"/>
                </w:rPr>
                <m:t>,r</m:t>
              </m:r>
            </m:sub>
          </m:sSub>
          <m:r>
            <w:rPr>
              <w:rFonts w:ascii="Cambria Math" w:hAnsi="Cambria Math" w:cs="Sylfaen"/>
              <w:sz w:val="24"/>
              <w:szCs w:val="24"/>
            </w:rPr>
            <m:t>=</m:t>
          </m:r>
          <m:f>
            <m:fPr>
              <m:ctrlPr>
                <w:rPr>
                  <w:rFonts w:ascii="Cambria Math" w:hAnsi="Cambria Math" w:cs="Sylfaen"/>
                  <w:bCs/>
                  <w:i/>
                  <w:sz w:val="24"/>
                  <w:szCs w:val="24"/>
                </w:rPr>
              </m:ctrlPr>
            </m:fPr>
            <m:num>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r</m:t>
                  </m:r>
                </m:sub>
              </m:sSub>
            </m:num>
            <m:den>
              <m:rad>
                <m:radPr>
                  <m:degHide m:val="1"/>
                  <m:ctrlPr>
                    <w:rPr>
                      <w:rFonts w:ascii="Cambria Math" w:hAnsi="Cambria Math" w:cs="Sylfaen"/>
                      <w:bCs/>
                      <w:i/>
                      <w:sz w:val="24"/>
                      <w:szCs w:val="24"/>
                    </w:rPr>
                  </m:ctrlPr>
                </m:radPr>
                <m:deg/>
                <m:e>
                  <m:r>
                    <w:rPr>
                      <w:rFonts w:ascii="Cambria Math" w:hAnsi="Cambria Math" w:cs="Sylfaen"/>
                      <w:sz w:val="24"/>
                      <w:szCs w:val="24"/>
                    </w:rPr>
                    <m:t>n</m:t>
                  </m:r>
                </m:e>
              </m:rad>
            </m:den>
          </m:f>
          <m:r>
            <w:rPr>
              <w:rFonts w:ascii="Cambria Math" w:hAnsi="Cambria Math" w:cs="Sylfaen"/>
              <w:sz w:val="24"/>
              <w:szCs w:val="24"/>
            </w:rPr>
            <m:t>=</m:t>
          </m:r>
          <m:f>
            <m:fPr>
              <m:ctrlPr>
                <w:rPr>
                  <w:rFonts w:ascii="Cambria Math" w:hAnsi="Cambria Math" w:cs="Sylfaen"/>
                  <w:bCs/>
                  <w:i/>
                  <w:sz w:val="24"/>
                  <w:szCs w:val="24"/>
                </w:rPr>
              </m:ctrlPr>
            </m:fPr>
            <m:num>
              <m:r>
                <w:rPr>
                  <w:rFonts w:ascii="Cambria Math" w:hAnsi="Cambria Math" w:cs="Sylfaen"/>
                  <w:sz w:val="24"/>
                  <w:szCs w:val="24"/>
                </w:rPr>
                <m:t>0,1582</m:t>
              </m:r>
            </m:num>
            <m:den>
              <m:r>
                <w:rPr>
                  <w:rFonts w:ascii="Cambria Math" w:hAnsi="Cambria Math" w:cs="Sylfaen"/>
                  <w:sz w:val="24"/>
                  <w:szCs w:val="24"/>
                </w:rPr>
                <m:t>9,87</m:t>
              </m:r>
            </m:den>
          </m:f>
          <m:r>
            <w:rPr>
              <w:rFonts w:ascii="Cambria Math" w:hAnsi="Cambria Math" w:cs="Sylfaen"/>
              <w:sz w:val="24"/>
              <w:szCs w:val="24"/>
            </w:rPr>
            <m:t>=0,01603;</m:t>
          </m:r>
        </m:oMath>
      </m:oMathPara>
    </w:p>
    <w:p w14:paraId="23BF4D24" w14:textId="77777777" w:rsidR="00B834A2" w:rsidRPr="00B834A2" w:rsidRDefault="00000000" w:rsidP="00B834A2">
      <w:pPr>
        <w:pStyle w:val="a0"/>
        <w:shd w:val="clear" w:color="auto" w:fill="auto"/>
        <w:spacing w:after="160" w:line="360" w:lineRule="auto"/>
        <w:ind w:firstLine="567"/>
        <w:jc w:val="both"/>
        <w:rPr>
          <w:rFonts w:ascii="Sylfaen" w:hAnsi="Sylfaen" w:cs="Sylfaen"/>
          <w:bCs/>
          <w:sz w:val="24"/>
          <w:szCs w:val="24"/>
        </w:rPr>
      </w:pPr>
      <m:oMathPara>
        <m:oMath>
          <m:sSub>
            <m:sSubPr>
              <m:ctrlPr>
                <w:rPr>
                  <w:rFonts w:ascii="Cambria Math" w:hAnsi="Cambria Math" w:cs="Sylfaen"/>
                  <w:bCs/>
                  <w:i/>
                  <w:sz w:val="24"/>
                  <w:szCs w:val="24"/>
                </w:rPr>
              </m:ctrlPr>
            </m:sSubPr>
            <m:e>
              <m:r>
                <w:rPr>
                  <w:rFonts w:ascii="Cambria Math" w:hAnsi="Cambria Math" w:cs="Sylfaen"/>
                  <w:sz w:val="24"/>
                  <w:szCs w:val="24"/>
                </w:rPr>
                <m:t>RSD</m:t>
              </m:r>
            </m:e>
            <m:sub>
              <m:r>
                <w:rPr>
                  <w:rFonts w:ascii="Cambria Math" w:hAnsi="Cambria Math" w:cs="Sylfaen"/>
                  <w:sz w:val="24"/>
                  <w:szCs w:val="24"/>
                </w:rPr>
                <m:t>¯x</m:t>
              </m:r>
            </m:sub>
          </m:sSub>
          <m:r>
            <w:rPr>
              <w:rFonts w:ascii="Cambria Math" w:hAnsi="Cambria Math" w:cs="Sylfaen"/>
              <w:sz w:val="24"/>
              <w:szCs w:val="24"/>
            </w:rPr>
            <m:t>=</m:t>
          </m:r>
          <m:sSub>
            <m:sSubPr>
              <m:ctrlPr>
                <w:rPr>
                  <w:rFonts w:ascii="Cambria Math" w:hAnsi="Cambria Math" w:cs="Sylfaen"/>
                  <w:bCs/>
                  <w:i/>
                  <w:sz w:val="24"/>
                  <w:szCs w:val="24"/>
                </w:rPr>
              </m:ctrlPr>
            </m:sSubPr>
            <m:e>
              <m:r>
                <w:rPr>
                  <w:rFonts w:ascii="Cambria Math" w:hAnsi="Cambria Math" w:cs="Sylfaen"/>
                  <w:sz w:val="24"/>
                  <w:szCs w:val="24"/>
                </w:rPr>
                <m:t>s</m:t>
              </m:r>
            </m:e>
            <m:sub>
              <m:bar>
                <m:barPr>
                  <m:pos m:val="top"/>
                  <m:ctrlPr>
                    <w:rPr>
                      <w:rFonts w:ascii="Cambria Math" w:hAnsi="Cambria Math" w:cs="Sylfaen"/>
                      <w:bCs/>
                      <w:i/>
                      <w:sz w:val="24"/>
                      <w:szCs w:val="24"/>
                    </w:rPr>
                  </m:ctrlPr>
                </m:barPr>
                <m:e>
                  <m:r>
                    <w:rPr>
                      <w:rFonts w:ascii="Cambria Math" w:hAnsi="Cambria Math" w:cs="Sylfaen"/>
                      <w:sz w:val="24"/>
                      <w:szCs w:val="24"/>
                    </w:rPr>
                    <m:t>x</m:t>
                  </m:r>
                </m:e>
              </m:bar>
              <m:r>
                <w:rPr>
                  <w:rFonts w:ascii="Cambria Math" w:hAnsi="Cambria Math" w:cs="Sylfaen"/>
                  <w:sz w:val="24"/>
                  <w:szCs w:val="24"/>
                </w:rPr>
                <m:t>,r</m:t>
              </m:r>
            </m:sub>
          </m:sSub>
          <m:r>
            <w:rPr>
              <w:rFonts w:ascii="Cambria Math" w:hAnsi="Cambria Math" w:cs="Sylfaen"/>
              <w:sz w:val="24"/>
              <w:szCs w:val="24"/>
            </w:rPr>
            <m:t>*100%=1,60%</m:t>
          </m:r>
        </m:oMath>
      </m:oMathPara>
    </w:p>
    <w:p w14:paraId="7CFF319F" w14:textId="77777777" w:rsidR="0078572C" w:rsidRDefault="0078572C" w:rsidP="0078572C">
      <w:pPr>
        <w:pStyle w:val="a0"/>
        <w:shd w:val="clear" w:color="auto" w:fill="auto"/>
        <w:tabs>
          <w:tab w:val="left" w:pos="1134"/>
        </w:tabs>
        <w:spacing w:after="160" w:line="360" w:lineRule="auto"/>
        <w:ind w:firstLine="567"/>
        <w:jc w:val="both"/>
        <w:rPr>
          <w:rFonts w:ascii="Sylfaen" w:hAnsi="Sylfaen"/>
          <w:b/>
          <w:sz w:val="24"/>
          <w:szCs w:val="24"/>
          <w:lang w:val="en-US"/>
        </w:rPr>
      </w:pPr>
    </w:p>
    <w:p w14:paraId="651F8EE8" w14:textId="77777777" w:rsidR="00B834A2" w:rsidRPr="00B834A2" w:rsidRDefault="00B834A2" w:rsidP="0078572C">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6.2.</w:t>
      </w:r>
      <w:r w:rsidR="0078572C" w:rsidRPr="0078572C">
        <w:rPr>
          <w:rFonts w:ascii="Sylfaen" w:hAnsi="Sylfaen"/>
          <w:b/>
          <w:sz w:val="24"/>
          <w:szCs w:val="24"/>
        </w:rPr>
        <w:tab/>
      </w:r>
      <w:r w:rsidRPr="00B834A2">
        <w:rPr>
          <w:rFonts w:ascii="Sylfaen" w:hAnsi="Sylfaen"/>
          <w:b/>
          <w:sz w:val="24"/>
          <w:szCs w:val="24"/>
        </w:rPr>
        <w:t>Փոքր ծավալի ընտրանքի միատարրության ստուգում</w:t>
      </w:r>
    </w:p>
    <w:p w14:paraId="06BA34B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Ազդող նյութը քանակապես որոշելիս դեղապատրաստուկի ինն ընտրանքներից յուրաքանչյուրում (</w:t>
      </w:r>
      <w:r w:rsidRPr="00B834A2">
        <w:rPr>
          <w:rFonts w:ascii="Sylfaen" w:hAnsi="Sylfaen"/>
          <w:i/>
          <w:sz w:val="24"/>
          <w:szCs w:val="24"/>
        </w:rPr>
        <w:t>n</w:t>
      </w:r>
      <w:r w:rsidRPr="00B834A2">
        <w:rPr>
          <w:rFonts w:ascii="Sylfaen" w:hAnsi="Sylfaen"/>
          <w:sz w:val="24"/>
          <w:szCs w:val="24"/>
        </w:rPr>
        <w:t xml:space="preserve"> = 9) ստացվել են աղյուսակ 6.2-7-ում նշված տվյալները (աճման կարգով):</w:t>
      </w:r>
    </w:p>
    <w:p w14:paraId="308559E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(1.10բ) </w:t>
      </w:r>
      <w:r>
        <w:rPr>
          <w:rFonts w:ascii="Sylfaen" w:hAnsi="Sylfaen"/>
          <w:sz w:val="24"/>
          <w:szCs w:val="24"/>
        </w:rPr>
        <w:t>եւ</w:t>
      </w:r>
      <w:r w:rsidRPr="00B834A2">
        <w:rPr>
          <w:rFonts w:ascii="Sylfaen" w:hAnsi="Sylfaen"/>
          <w:sz w:val="24"/>
          <w:szCs w:val="24"/>
        </w:rPr>
        <w:t xml:space="preserve"> (1.11ա) հավասարումներով գտնում ենք՝</w:t>
      </w:r>
    </w:p>
    <w:p w14:paraId="06D6AB58" w14:textId="77777777" w:rsidR="00B834A2" w:rsidRPr="00B834A2" w:rsidRDefault="00B834A2" w:rsidP="0078572C">
      <w:pPr>
        <w:pStyle w:val="a0"/>
        <w:shd w:val="clear" w:color="auto" w:fill="auto"/>
        <w:spacing w:after="160" w:line="360" w:lineRule="auto"/>
        <w:ind w:firstLine="567"/>
        <w:jc w:val="center"/>
        <w:rPr>
          <w:rFonts w:ascii="Sylfaen" w:hAnsi="Sylfaen" w:cs="Sylfaen"/>
          <w:sz w:val="24"/>
          <w:szCs w:val="24"/>
        </w:rPr>
      </w:pPr>
      <m:oMath>
        <m:r>
          <w:rPr>
            <w:rFonts w:ascii="Cambria Math" w:hAnsi="Cambria Math" w:cs="Sylfaen"/>
            <w:sz w:val="24"/>
            <w:szCs w:val="24"/>
          </w:rPr>
          <m:t>R=</m:t>
        </m:r>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n-1</m:t>
                </m:r>
              </m:sub>
            </m:sSub>
          </m:e>
        </m:d>
        <m:r>
          <w:rPr>
            <w:rFonts w:ascii="Cambria Math" w:hAnsi="Cambria Math" w:cs="Sylfaen"/>
            <w:sz w:val="24"/>
            <w:szCs w:val="24"/>
          </w:rPr>
          <m:t>=</m:t>
        </m:r>
        <m:d>
          <m:dPr>
            <m:begChr m:val="|"/>
            <m:endChr m:val="|"/>
            <m:ctrlPr>
              <w:rPr>
                <w:rFonts w:ascii="Cambria Math" w:hAnsi="Cambria Math" w:cs="Sylfaen"/>
                <w:i/>
                <w:sz w:val="24"/>
                <w:szCs w:val="24"/>
              </w:rPr>
            </m:ctrlPr>
          </m:dPr>
          <m:e>
            <m:r>
              <w:rPr>
                <w:rFonts w:ascii="Cambria Math" w:hAnsi="Cambria Math" w:cs="Sylfaen"/>
                <w:sz w:val="24"/>
                <w:szCs w:val="24"/>
              </w:rPr>
              <m:t>0,62-0,98</m:t>
            </m:r>
          </m:e>
        </m:d>
        <m:r>
          <w:rPr>
            <w:rFonts w:ascii="Cambria Math" w:hAnsi="Cambria Math" w:cs="Sylfaen"/>
            <w:sz w:val="24"/>
            <w:szCs w:val="24"/>
          </w:rPr>
          <m:t>=0,36</m:t>
        </m:r>
      </m:oMath>
      <w:r w:rsidRPr="00B834A2">
        <w:rPr>
          <w:rFonts w:ascii="Sylfaen" w:hAnsi="Sylfaen"/>
          <w:sz w:val="24"/>
          <w:szCs w:val="24"/>
        </w:rPr>
        <w:t>;</w:t>
      </w:r>
    </w:p>
    <w:p w14:paraId="7477F9D3" w14:textId="77777777" w:rsidR="00B834A2" w:rsidRPr="00B834A2" w:rsidRDefault="00000000" w:rsidP="00B834A2">
      <w:pPr>
        <w:spacing w:after="160" w:line="360" w:lineRule="auto"/>
        <w:ind w:firstLine="567"/>
        <w:jc w:val="both"/>
      </w:pPr>
      <m:oMathPara>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num>
            <m:den>
              <m:r>
                <w:rPr>
                  <w:rFonts w:ascii="Cambria Math" w:hAnsi="Cambria Math"/>
                </w:rPr>
                <m:t>R</m:t>
              </m:r>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0,62-0,81</m:t>
                  </m:r>
                </m:e>
              </m:d>
            </m:num>
            <m:den>
              <m:r>
                <w:rPr>
                  <w:rFonts w:ascii="Cambria Math" w:hAnsi="Cambria Math"/>
                </w:rPr>
                <m:t>0,36</m:t>
              </m:r>
            </m:den>
          </m:f>
          <m:r>
            <w:rPr>
              <w:rFonts w:ascii="Cambria Math" w:hAnsi="Cambria Math"/>
            </w:rPr>
            <m:t>0,53.</m:t>
          </m:r>
        </m:oMath>
      </m:oMathPara>
    </w:p>
    <w:p w14:paraId="39B80FF6" w14:textId="77777777" w:rsidR="00B834A2" w:rsidRPr="00B834A2" w:rsidRDefault="00B834A2" w:rsidP="00B834A2">
      <w:pPr>
        <w:spacing w:after="160" w:line="360" w:lineRule="auto"/>
        <w:ind w:firstLine="567"/>
        <w:jc w:val="both"/>
      </w:pPr>
    </w:p>
    <w:p w14:paraId="65491107" w14:textId="77777777" w:rsidR="00B834A2" w:rsidRPr="00A859E3" w:rsidRDefault="00B834A2" w:rsidP="00B834A2">
      <w:pPr>
        <w:spacing w:after="160" w:line="360" w:lineRule="auto"/>
        <w:ind w:firstLine="567"/>
        <w:jc w:val="both"/>
      </w:pPr>
      <w:r w:rsidRPr="00B834A2">
        <w:t>Հավելվածի աղյուսակ 1-ով գտնում ենք՝</w:t>
      </w:r>
    </w:p>
    <w:p w14:paraId="3F1F3061" w14:textId="77777777" w:rsidR="00CC0C6B" w:rsidRPr="00CC0C6B" w:rsidRDefault="00CC0C6B" w:rsidP="00B834A2">
      <w:pPr>
        <w:spacing w:after="160" w:line="360" w:lineRule="auto"/>
        <w:ind w:firstLine="567"/>
        <w:jc w:val="both"/>
        <w:rPr>
          <w:lang w:val="ru-RU"/>
        </w:rPr>
      </w:pPr>
      <w:r w:rsidRPr="0078572C">
        <w:t>Աղյուսակ 6.2-7.</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2448"/>
        <w:gridCol w:w="754"/>
        <w:gridCol w:w="763"/>
        <w:gridCol w:w="709"/>
        <w:gridCol w:w="938"/>
        <w:gridCol w:w="764"/>
        <w:gridCol w:w="791"/>
        <w:gridCol w:w="672"/>
        <w:gridCol w:w="768"/>
        <w:gridCol w:w="811"/>
      </w:tblGrid>
      <w:tr w:rsidR="00B834A2" w:rsidRPr="0078572C" w14:paraId="7BE52394" w14:textId="77777777" w:rsidTr="00B834A2">
        <w:trPr>
          <w:jc w:val="center"/>
        </w:trPr>
        <w:tc>
          <w:tcPr>
            <w:tcW w:w="2448" w:type="dxa"/>
            <w:vMerge w:val="restart"/>
            <w:tcBorders>
              <w:top w:val="single" w:sz="4" w:space="0" w:color="auto"/>
            </w:tcBorders>
            <w:shd w:val="clear" w:color="auto" w:fill="FFFFFF"/>
            <w:vAlign w:val="center"/>
          </w:tcPr>
          <w:p w14:paraId="2A8FD63A"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Ազդող նյութի պարունակությունը</w:t>
            </w:r>
          </w:p>
        </w:tc>
        <w:tc>
          <w:tcPr>
            <w:tcW w:w="754" w:type="dxa"/>
            <w:tcBorders>
              <w:top w:val="single" w:sz="4" w:space="0" w:color="auto"/>
            </w:tcBorders>
            <w:shd w:val="clear" w:color="auto" w:fill="FFFFFF"/>
          </w:tcPr>
          <w:p w14:paraId="6B1A3281" w14:textId="77777777" w:rsidR="00B834A2" w:rsidRPr="0078572C" w:rsidRDefault="00B834A2" w:rsidP="0078572C">
            <w:pPr>
              <w:spacing w:after="120"/>
              <w:ind w:firstLine="23"/>
              <w:jc w:val="center"/>
              <w:rPr>
                <w:sz w:val="20"/>
              </w:rPr>
            </w:pPr>
          </w:p>
        </w:tc>
        <w:tc>
          <w:tcPr>
            <w:tcW w:w="6216" w:type="dxa"/>
            <w:gridSpan w:val="8"/>
            <w:tcBorders>
              <w:top w:val="single" w:sz="4" w:space="0" w:color="auto"/>
            </w:tcBorders>
            <w:shd w:val="clear" w:color="auto" w:fill="FFFFFF"/>
          </w:tcPr>
          <w:p w14:paraId="67106AFC" w14:textId="77777777" w:rsidR="00B834A2" w:rsidRPr="0078572C" w:rsidRDefault="00B834A2" w:rsidP="0078572C">
            <w:pPr>
              <w:spacing w:after="120"/>
              <w:ind w:firstLine="23"/>
              <w:jc w:val="center"/>
              <w:rPr>
                <w:sz w:val="20"/>
              </w:rPr>
            </w:pPr>
            <w:r w:rsidRPr="0078572C">
              <w:rPr>
                <w:i/>
                <w:sz w:val="20"/>
              </w:rPr>
              <w:t>i</w:t>
            </w:r>
            <w:r w:rsidRPr="0078572C">
              <w:rPr>
                <w:sz w:val="20"/>
              </w:rPr>
              <w:t xml:space="preserve"> տարբերակի հերթական համարը</w:t>
            </w:r>
          </w:p>
        </w:tc>
      </w:tr>
      <w:tr w:rsidR="00B834A2" w:rsidRPr="0078572C" w14:paraId="6F10A887" w14:textId="77777777" w:rsidTr="00B834A2">
        <w:trPr>
          <w:jc w:val="center"/>
        </w:trPr>
        <w:tc>
          <w:tcPr>
            <w:tcW w:w="2448" w:type="dxa"/>
            <w:vMerge/>
            <w:shd w:val="clear" w:color="auto" w:fill="FFFFFF"/>
            <w:vAlign w:val="center"/>
          </w:tcPr>
          <w:p w14:paraId="2092E366" w14:textId="77777777" w:rsidR="00B834A2" w:rsidRPr="0078572C" w:rsidRDefault="00B834A2" w:rsidP="0078572C">
            <w:pPr>
              <w:spacing w:after="120"/>
              <w:ind w:firstLine="23"/>
              <w:jc w:val="center"/>
              <w:rPr>
                <w:sz w:val="20"/>
              </w:rPr>
            </w:pPr>
          </w:p>
        </w:tc>
        <w:tc>
          <w:tcPr>
            <w:tcW w:w="754" w:type="dxa"/>
            <w:tcBorders>
              <w:top w:val="single" w:sz="4" w:space="0" w:color="auto"/>
            </w:tcBorders>
            <w:shd w:val="clear" w:color="auto" w:fill="FFFFFF"/>
          </w:tcPr>
          <w:p w14:paraId="3E2A72A2"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1</w:t>
            </w:r>
          </w:p>
        </w:tc>
        <w:tc>
          <w:tcPr>
            <w:tcW w:w="763" w:type="dxa"/>
            <w:tcBorders>
              <w:top w:val="single" w:sz="4" w:space="0" w:color="auto"/>
            </w:tcBorders>
            <w:shd w:val="clear" w:color="auto" w:fill="FFFFFF"/>
          </w:tcPr>
          <w:p w14:paraId="7D7C7BA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2</w:t>
            </w:r>
          </w:p>
        </w:tc>
        <w:tc>
          <w:tcPr>
            <w:tcW w:w="709" w:type="dxa"/>
            <w:tcBorders>
              <w:top w:val="single" w:sz="4" w:space="0" w:color="auto"/>
              <w:right w:val="single" w:sz="4" w:space="0" w:color="auto"/>
            </w:tcBorders>
            <w:shd w:val="clear" w:color="auto" w:fill="FFFFFF"/>
          </w:tcPr>
          <w:p w14:paraId="2B9FB3F8"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3</w:t>
            </w:r>
          </w:p>
        </w:tc>
        <w:tc>
          <w:tcPr>
            <w:tcW w:w="938" w:type="dxa"/>
            <w:tcBorders>
              <w:top w:val="single" w:sz="4" w:space="0" w:color="auto"/>
              <w:left w:val="single" w:sz="4" w:space="0" w:color="auto"/>
            </w:tcBorders>
            <w:shd w:val="clear" w:color="auto" w:fill="FFFFFF"/>
          </w:tcPr>
          <w:p w14:paraId="28C7FAE6"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4</w:t>
            </w:r>
          </w:p>
        </w:tc>
        <w:tc>
          <w:tcPr>
            <w:tcW w:w="764" w:type="dxa"/>
            <w:tcBorders>
              <w:top w:val="single" w:sz="4" w:space="0" w:color="auto"/>
              <w:left w:val="single" w:sz="4" w:space="0" w:color="auto"/>
            </w:tcBorders>
            <w:shd w:val="clear" w:color="auto" w:fill="FFFFFF"/>
          </w:tcPr>
          <w:p w14:paraId="1AF1202D"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5</w:t>
            </w:r>
          </w:p>
        </w:tc>
        <w:tc>
          <w:tcPr>
            <w:tcW w:w="791" w:type="dxa"/>
            <w:tcBorders>
              <w:top w:val="single" w:sz="4" w:space="0" w:color="auto"/>
              <w:left w:val="single" w:sz="4" w:space="0" w:color="auto"/>
            </w:tcBorders>
            <w:shd w:val="clear" w:color="auto" w:fill="FFFFFF"/>
          </w:tcPr>
          <w:p w14:paraId="2F6C10ED"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6</w:t>
            </w:r>
          </w:p>
        </w:tc>
        <w:tc>
          <w:tcPr>
            <w:tcW w:w="672" w:type="dxa"/>
            <w:tcBorders>
              <w:top w:val="single" w:sz="4" w:space="0" w:color="auto"/>
            </w:tcBorders>
            <w:shd w:val="clear" w:color="auto" w:fill="FFFFFF"/>
          </w:tcPr>
          <w:p w14:paraId="5FD21EE0"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7</w:t>
            </w:r>
          </w:p>
        </w:tc>
        <w:tc>
          <w:tcPr>
            <w:tcW w:w="768" w:type="dxa"/>
            <w:tcBorders>
              <w:top w:val="single" w:sz="4" w:space="0" w:color="auto"/>
            </w:tcBorders>
            <w:shd w:val="clear" w:color="auto" w:fill="FFFFFF"/>
          </w:tcPr>
          <w:p w14:paraId="1AF75BDB"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8</w:t>
            </w:r>
          </w:p>
        </w:tc>
        <w:tc>
          <w:tcPr>
            <w:tcW w:w="811" w:type="dxa"/>
            <w:tcBorders>
              <w:top w:val="single" w:sz="4" w:space="0" w:color="auto"/>
            </w:tcBorders>
            <w:shd w:val="clear" w:color="auto" w:fill="FFFFFF"/>
          </w:tcPr>
          <w:p w14:paraId="1E8BAA4A"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9</w:t>
            </w:r>
          </w:p>
        </w:tc>
      </w:tr>
      <w:tr w:rsidR="00B834A2" w:rsidRPr="0078572C" w14:paraId="43FE1EB0" w14:textId="77777777" w:rsidTr="00B834A2">
        <w:trPr>
          <w:jc w:val="center"/>
        </w:trPr>
        <w:tc>
          <w:tcPr>
            <w:tcW w:w="2448" w:type="dxa"/>
            <w:tcBorders>
              <w:top w:val="single" w:sz="4" w:space="0" w:color="auto"/>
              <w:bottom w:val="single" w:sz="4" w:space="0" w:color="auto"/>
            </w:tcBorders>
            <w:shd w:val="clear" w:color="auto" w:fill="FFFFFF"/>
            <w:vAlign w:val="bottom"/>
          </w:tcPr>
          <w:p w14:paraId="6D1E4677"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i/>
                <w:szCs w:val="24"/>
              </w:rPr>
              <w:t>х</w:t>
            </w:r>
            <w:r w:rsidRPr="0078572C">
              <w:rPr>
                <w:rFonts w:ascii="Sylfaen" w:hAnsi="Sylfaen"/>
                <w:i/>
                <w:szCs w:val="24"/>
                <w:vertAlign w:val="subscript"/>
              </w:rPr>
              <w:t>i</w:t>
            </w:r>
            <w:r w:rsidRPr="0078572C">
              <w:rPr>
                <w:rFonts w:ascii="Sylfaen" w:hAnsi="Sylfaen"/>
                <w:i/>
                <w:szCs w:val="24"/>
              </w:rPr>
              <w:t xml:space="preserve"> %</w:t>
            </w:r>
          </w:p>
        </w:tc>
        <w:tc>
          <w:tcPr>
            <w:tcW w:w="754" w:type="dxa"/>
            <w:tcBorders>
              <w:top w:val="single" w:sz="4" w:space="0" w:color="auto"/>
              <w:bottom w:val="single" w:sz="4" w:space="0" w:color="auto"/>
            </w:tcBorders>
            <w:shd w:val="clear" w:color="auto" w:fill="FFFFFF"/>
          </w:tcPr>
          <w:p w14:paraId="3D823426"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0,62</w:t>
            </w:r>
          </w:p>
        </w:tc>
        <w:tc>
          <w:tcPr>
            <w:tcW w:w="763" w:type="dxa"/>
            <w:tcBorders>
              <w:top w:val="single" w:sz="4" w:space="0" w:color="auto"/>
              <w:bottom w:val="single" w:sz="4" w:space="0" w:color="auto"/>
            </w:tcBorders>
            <w:shd w:val="clear" w:color="auto" w:fill="FFFFFF"/>
          </w:tcPr>
          <w:p w14:paraId="47176574"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0,81</w:t>
            </w:r>
          </w:p>
        </w:tc>
        <w:tc>
          <w:tcPr>
            <w:tcW w:w="709" w:type="dxa"/>
            <w:tcBorders>
              <w:top w:val="single" w:sz="4" w:space="0" w:color="auto"/>
              <w:bottom w:val="single" w:sz="4" w:space="0" w:color="auto"/>
              <w:right w:val="single" w:sz="4" w:space="0" w:color="auto"/>
            </w:tcBorders>
            <w:shd w:val="clear" w:color="auto" w:fill="FFFFFF"/>
          </w:tcPr>
          <w:p w14:paraId="679BF033"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0,83</w:t>
            </w:r>
          </w:p>
        </w:tc>
        <w:tc>
          <w:tcPr>
            <w:tcW w:w="938" w:type="dxa"/>
            <w:tcBorders>
              <w:top w:val="single" w:sz="4" w:space="0" w:color="auto"/>
              <w:left w:val="single" w:sz="4" w:space="0" w:color="auto"/>
              <w:bottom w:val="single" w:sz="4" w:space="0" w:color="auto"/>
            </w:tcBorders>
            <w:shd w:val="clear" w:color="auto" w:fill="FFFFFF"/>
          </w:tcPr>
          <w:p w14:paraId="645AC54B"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0,86</w:t>
            </w:r>
          </w:p>
        </w:tc>
        <w:tc>
          <w:tcPr>
            <w:tcW w:w="764" w:type="dxa"/>
            <w:tcBorders>
              <w:top w:val="single" w:sz="4" w:space="0" w:color="auto"/>
              <w:left w:val="single" w:sz="4" w:space="0" w:color="auto"/>
              <w:bottom w:val="single" w:sz="4" w:space="0" w:color="auto"/>
            </w:tcBorders>
            <w:shd w:val="clear" w:color="auto" w:fill="FFFFFF"/>
          </w:tcPr>
          <w:p w14:paraId="094FB640"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0,87</w:t>
            </w:r>
          </w:p>
        </w:tc>
        <w:tc>
          <w:tcPr>
            <w:tcW w:w="791" w:type="dxa"/>
            <w:tcBorders>
              <w:top w:val="single" w:sz="4" w:space="0" w:color="auto"/>
              <w:left w:val="single" w:sz="4" w:space="0" w:color="auto"/>
              <w:bottom w:val="single" w:sz="4" w:space="0" w:color="auto"/>
            </w:tcBorders>
            <w:shd w:val="clear" w:color="auto" w:fill="FFFFFF"/>
          </w:tcPr>
          <w:p w14:paraId="520F6D38" w14:textId="77777777" w:rsidR="00B834A2" w:rsidRPr="0078572C" w:rsidRDefault="00B834A2" w:rsidP="0078572C">
            <w:pPr>
              <w:pStyle w:val="a0"/>
              <w:spacing w:after="120" w:line="240" w:lineRule="auto"/>
              <w:ind w:firstLine="23"/>
              <w:jc w:val="center"/>
              <w:rPr>
                <w:rFonts w:ascii="Sylfaen" w:hAnsi="Sylfaen" w:cs="Sylfaen"/>
                <w:szCs w:val="24"/>
              </w:rPr>
            </w:pPr>
            <w:r w:rsidRPr="0078572C">
              <w:rPr>
                <w:rFonts w:ascii="Sylfaen" w:hAnsi="Sylfaen"/>
                <w:szCs w:val="24"/>
              </w:rPr>
              <w:t>0,90</w:t>
            </w:r>
          </w:p>
        </w:tc>
        <w:tc>
          <w:tcPr>
            <w:tcW w:w="672" w:type="dxa"/>
            <w:tcBorders>
              <w:top w:val="single" w:sz="4" w:space="0" w:color="auto"/>
              <w:bottom w:val="single" w:sz="4" w:space="0" w:color="auto"/>
            </w:tcBorders>
            <w:shd w:val="clear" w:color="auto" w:fill="FFFFFF"/>
          </w:tcPr>
          <w:p w14:paraId="34DDF17C"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0,94</w:t>
            </w:r>
          </w:p>
        </w:tc>
        <w:tc>
          <w:tcPr>
            <w:tcW w:w="768" w:type="dxa"/>
            <w:tcBorders>
              <w:top w:val="single" w:sz="4" w:space="0" w:color="auto"/>
              <w:bottom w:val="single" w:sz="4" w:space="0" w:color="auto"/>
            </w:tcBorders>
            <w:shd w:val="clear" w:color="auto" w:fill="FFFFFF"/>
          </w:tcPr>
          <w:p w14:paraId="4185EA5A"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0,98</w:t>
            </w:r>
          </w:p>
        </w:tc>
        <w:tc>
          <w:tcPr>
            <w:tcW w:w="811" w:type="dxa"/>
            <w:tcBorders>
              <w:top w:val="single" w:sz="4" w:space="0" w:color="auto"/>
              <w:bottom w:val="single" w:sz="4" w:space="0" w:color="auto"/>
            </w:tcBorders>
            <w:shd w:val="clear" w:color="auto" w:fill="FFFFFF"/>
          </w:tcPr>
          <w:p w14:paraId="497C6366" w14:textId="77777777" w:rsidR="00B834A2" w:rsidRPr="0078572C" w:rsidRDefault="00B834A2" w:rsidP="0078572C">
            <w:pPr>
              <w:pStyle w:val="a0"/>
              <w:shd w:val="clear" w:color="auto" w:fill="auto"/>
              <w:spacing w:after="120" w:line="240" w:lineRule="auto"/>
              <w:ind w:firstLine="23"/>
              <w:jc w:val="center"/>
              <w:rPr>
                <w:rFonts w:ascii="Sylfaen" w:hAnsi="Sylfaen" w:cs="Sylfaen"/>
                <w:szCs w:val="24"/>
              </w:rPr>
            </w:pPr>
            <w:r w:rsidRPr="0078572C">
              <w:rPr>
                <w:rFonts w:ascii="Sylfaen" w:hAnsi="Sylfaen"/>
                <w:szCs w:val="24"/>
              </w:rPr>
              <w:t>0,99</w:t>
            </w:r>
          </w:p>
        </w:tc>
      </w:tr>
    </w:tbl>
    <w:p w14:paraId="06EC2F97" w14:textId="77777777" w:rsidR="00B834A2" w:rsidRPr="00B834A2" w:rsidRDefault="00B834A2" w:rsidP="00B834A2">
      <w:pPr>
        <w:spacing w:after="160" w:line="360" w:lineRule="auto"/>
        <w:ind w:firstLine="567"/>
        <w:jc w:val="both"/>
      </w:pPr>
    </w:p>
    <w:p w14:paraId="2DEA6BAE" w14:textId="77777777" w:rsidR="00B834A2" w:rsidRPr="00B834A2" w:rsidRDefault="00B834A2" w:rsidP="00B834A2">
      <w:pPr>
        <w:spacing w:after="160" w:line="360" w:lineRule="auto"/>
        <w:ind w:firstLine="567"/>
        <w:jc w:val="both"/>
      </w:pPr>
      <m:oMathPara>
        <m:oMath>
          <m:r>
            <w:rPr>
              <w:rFonts w:ascii="Cambria Math" w:hAnsi="Cambria Math"/>
            </w:rPr>
            <w:lastRenderedPageBreak/>
            <m:t>Q=</m:t>
          </m:r>
          <m:d>
            <m:dPr>
              <m:ctrlPr>
                <w:rPr>
                  <w:rFonts w:ascii="Cambria Math" w:hAnsi="Cambria Math"/>
                  <w:i/>
                </w:rPr>
              </m:ctrlPr>
            </m:dPr>
            <m:e>
              <m:r>
                <w:rPr>
                  <w:rFonts w:ascii="Cambria Math" w:hAnsi="Cambria Math"/>
                </w:rPr>
                <m:t>9;95%</m:t>
              </m:r>
            </m:e>
          </m:d>
          <m:r>
            <w:rPr>
              <w:rFonts w:ascii="Cambria Math" w:hAnsi="Cambria Math"/>
            </w:rPr>
            <m:t>=0,46&lt;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=0,53;</m:t>
          </m:r>
        </m:oMath>
      </m:oMathPara>
    </w:p>
    <w:p w14:paraId="1531B20E" w14:textId="77777777" w:rsidR="00B834A2" w:rsidRPr="00B834A2" w:rsidRDefault="00B834A2" w:rsidP="00B834A2">
      <w:pPr>
        <w:spacing w:after="160" w:line="360" w:lineRule="auto"/>
        <w:ind w:firstLine="567"/>
        <w:jc w:val="both"/>
      </w:pPr>
      <m:oMathPara>
        <m:oMath>
          <m:r>
            <w:rPr>
              <w:rFonts w:ascii="Cambria Math" w:hAnsi="Cambria Math"/>
            </w:rPr>
            <m:t>Q=</m:t>
          </m:r>
          <m:d>
            <m:dPr>
              <m:ctrlPr>
                <w:rPr>
                  <w:rFonts w:ascii="Cambria Math" w:hAnsi="Cambria Math"/>
                  <w:i/>
                </w:rPr>
              </m:ctrlPr>
            </m:dPr>
            <m:e>
              <m:r>
                <w:rPr>
                  <w:rFonts w:ascii="Cambria Math" w:hAnsi="Cambria Math"/>
                </w:rPr>
                <m:t>9;99%</m:t>
              </m:r>
            </m:e>
          </m:d>
          <m:r>
            <w:rPr>
              <w:rFonts w:ascii="Cambria Math" w:hAnsi="Cambria Math"/>
            </w:rPr>
            <m:t>=0,55&gt;</m:t>
          </m:r>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=0,53</m:t>
          </m:r>
        </m:oMath>
      </m:oMathPara>
    </w:p>
    <w:p w14:paraId="2E886D4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Հետ</w:t>
      </w:r>
      <w:r>
        <w:rPr>
          <w:rFonts w:ascii="Sylfaen" w:hAnsi="Sylfaen"/>
          <w:sz w:val="24"/>
          <w:szCs w:val="24"/>
        </w:rPr>
        <w:t>եւ</w:t>
      </w:r>
      <w:r w:rsidRPr="00B834A2">
        <w:rPr>
          <w:rFonts w:ascii="Sylfaen" w:hAnsi="Sylfaen"/>
          <w:sz w:val="24"/>
          <w:szCs w:val="24"/>
        </w:rPr>
        <w:t>աբար հիպոթեզն այն մասին, որ x</w:t>
      </w:r>
      <w:r w:rsidRPr="00B834A2">
        <w:rPr>
          <w:rFonts w:ascii="Sylfaen" w:hAnsi="Sylfaen"/>
          <w:i/>
          <w:sz w:val="24"/>
          <w:szCs w:val="24"/>
          <w:vertAlign w:val="subscript"/>
        </w:rPr>
        <w:t>1</w:t>
      </w:r>
      <w:r w:rsidRPr="00B834A2">
        <w:rPr>
          <w:rFonts w:ascii="Sylfaen" w:hAnsi="Sylfaen"/>
          <w:sz w:val="24"/>
          <w:szCs w:val="24"/>
        </w:rPr>
        <w:t xml:space="preserve"> = 0,62 արժեքը պետք է բացառվի չափումների արդյունքների դիտարկվող համախմբից որպես կոպիտ սխալանքով ծանրաբեռնված, կարող է ընդունվել 95 % վստահելի հավանականությամբ, սակայն պետք է հերքվի, եթե վստահելի հավանականության ընտրված արժեքը հավասար է 99 %:</w:t>
      </w:r>
    </w:p>
    <w:p w14:paraId="42D4D405" w14:textId="77777777" w:rsidR="00B07646" w:rsidRPr="002E52D1" w:rsidRDefault="00B07646" w:rsidP="00B834A2">
      <w:pPr>
        <w:pStyle w:val="a0"/>
        <w:shd w:val="clear" w:color="auto" w:fill="auto"/>
        <w:spacing w:after="160" w:line="360" w:lineRule="auto"/>
        <w:ind w:firstLine="567"/>
        <w:jc w:val="both"/>
        <w:rPr>
          <w:rFonts w:ascii="Sylfaen" w:hAnsi="Sylfaen"/>
          <w:b/>
          <w:sz w:val="24"/>
          <w:szCs w:val="24"/>
        </w:rPr>
      </w:pPr>
    </w:p>
    <w:p w14:paraId="79D6A97E"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6.3.</w:t>
      </w:r>
      <w:r w:rsidR="00B07646" w:rsidRPr="002E52D1">
        <w:rPr>
          <w:rFonts w:ascii="Sylfaen" w:hAnsi="Sylfaen"/>
          <w:b/>
          <w:sz w:val="24"/>
          <w:szCs w:val="24"/>
        </w:rPr>
        <w:tab/>
      </w:r>
      <w:r w:rsidRPr="00B834A2">
        <w:rPr>
          <w:rFonts w:ascii="Sylfaen" w:hAnsi="Sylfaen"/>
          <w:b/>
          <w:sz w:val="24"/>
          <w:szCs w:val="24"/>
        </w:rPr>
        <w:t xml:space="preserve">Վստահելի միջակայքերի </w:t>
      </w:r>
      <w:r>
        <w:rPr>
          <w:rFonts w:ascii="Sylfaen" w:hAnsi="Sylfaen"/>
          <w:b/>
          <w:sz w:val="24"/>
          <w:szCs w:val="24"/>
        </w:rPr>
        <w:t>եւ</w:t>
      </w:r>
      <w:r w:rsidRPr="00B834A2">
        <w:rPr>
          <w:rFonts w:ascii="Sylfaen" w:hAnsi="Sylfaen"/>
          <w:b/>
          <w:sz w:val="24"/>
          <w:szCs w:val="24"/>
        </w:rPr>
        <w:t xml:space="preserve"> չափումների անորոշությունների հաշվարկումը</w:t>
      </w:r>
    </w:p>
    <w:p w14:paraId="3B31334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Ակտիվ դեղագործական բաղադրամասի նմուշում ազդող նյութի քանակական պարունակությունը որոշելիս ստացվել են աղյուսակ 6.3-8-ում նշված </w:t>
      </w:r>
      <w:r w:rsidRPr="00B834A2">
        <w:rPr>
          <w:rFonts w:ascii="Sylfaen" w:hAnsi="Sylfaen"/>
          <w:i/>
          <w:sz w:val="24"/>
          <w:szCs w:val="24"/>
        </w:rPr>
        <w:t>(n</w:t>
      </w:r>
      <w:r w:rsidRPr="00B834A2">
        <w:rPr>
          <w:rFonts w:ascii="Sylfaen" w:hAnsi="Sylfaen"/>
          <w:sz w:val="24"/>
          <w:szCs w:val="24"/>
        </w:rPr>
        <w:t xml:space="preserve"> = 10) տվյալներ:</w:t>
      </w:r>
    </w:p>
    <w:p w14:paraId="6988B88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(1.2), (1.4), (1.5), (1.6) հավասարումներով հաշվարկները տվել են հետ</w:t>
      </w:r>
      <w:r>
        <w:rPr>
          <w:rFonts w:ascii="Sylfaen" w:hAnsi="Sylfaen"/>
          <w:sz w:val="24"/>
          <w:szCs w:val="24"/>
        </w:rPr>
        <w:t>եւ</w:t>
      </w:r>
      <w:r w:rsidRPr="00B834A2">
        <w:rPr>
          <w:rFonts w:ascii="Sylfaen" w:hAnsi="Sylfaen"/>
          <w:sz w:val="24"/>
          <w:szCs w:val="24"/>
        </w:rPr>
        <w:t>յալ արդյունքները.</w:t>
      </w:r>
    </w:p>
    <w:p w14:paraId="3D1B0FEB"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bar>
            <m:barPr>
              <m:pos m:val="top"/>
              <m:ctrlPr>
                <w:rPr>
                  <w:rFonts w:ascii="Cambria Math" w:hAnsi="Cambria Math" w:cs="Sylfaen"/>
                  <w:i/>
                  <w:sz w:val="24"/>
                  <w:szCs w:val="24"/>
                </w:rPr>
              </m:ctrlPr>
            </m:barPr>
            <m:e>
              <m:r>
                <w:rPr>
                  <w:rFonts w:ascii="Cambria Math" w:hAnsi="Cambria Math" w:cs="Sylfaen"/>
                  <w:sz w:val="24"/>
                  <w:szCs w:val="24"/>
                </w:rPr>
                <m:t>x</m:t>
              </m:r>
            </m:e>
          </m:bar>
          <m:r>
            <w:rPr>
              <w:rFonts w:ascii="Cambria Math" w:hAnsi="Cambria Math" w:cs="Sylfaen"/>
              <w:sz w:val="24"/>
              <w:szCs w:val="24"/>
            </w:rPr>
            <m:t>=49,96;f=9;</m:t>
          </m:r>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=0,01366;</m:t>
          </m:r>
        </m:oMath>
      </m:oMathPara>
    </w:p>
    <w:p w14:paraId="523E8928" w14:textId="77777777" w:rsidR="00B834A2" w:rsidRPr="00B834A2" w:rsidRDefault="00B834A2" w:rsidP="00B07646">
      <w:pPr>
        <w:pStyle w:val="a0"/>
        <w:shd w:val="clear" w:color="auto" w:fill="auto"/>
        <w:spacing w:after="160" w:line="360" w:lineRule="auto"/>
        <w:ind w:firstLine="0"/>
        <w:jc w:val="both"/>
        <w:rPr>
          <w:rFonts w:ascii="Sylfaen" w:hAnsi="Sylfaen" w:cs="Sylfaen"/>
          <w:sz w:val="24"/>
          <w:szCs w:val="24"/>
        </w:rPr>
      </w:pPr>
      <m:oMathPara>
        <m:oMath>
          <m:r>
            <w:rPr>
              <w:rFonts w:ascii="Cambria Math" w:hAnsi="Cambria Math" w:cs="Sylfaen"/>
              <w:sz w:val="24"/>
              <w:szCs w:val="24"/>
            </w:rPr>
            <m:t>s=0,1169;</m:t>
          </m:r>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¯x</m:t>
              </m:r>
            </m:sub>
          </m:sSub>
          <m:r>
            <w:rPr>
              <w:rFonts w:ascii="Cambria Math" w:hAnsi="Cambria Math" w:cs="Sylfaen"/>
              <w:sz w:val="24"/>
              <w:szCs w:val="24"/>
            </w:rPr>
            <m:t>=0,03696</m:t>
          </m:r>
        </m:oMath>
      </m:oMathPara>
    </w:p>
    <w:p w14:paraId="442094C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Р</w:t>
      </w:r>
      <w:r w:rsidRPr="00B834A2">
        <w:rPr>
          <w:rFonts w:ascii="Sylfaen" w:hAnsi="Sylfaen"/>
          <w:i/>
          <w:sz w:val="24"/>
          <w:szCs w:val="24"/>
          <w:vertAlign w:val="subscript"/>
        </w:rPr>
        <w:t>2</w:t>
      </w:r>
      <w:r w:rsidRPr="00B834A2">
        <w:rPr>
          <w:rFonts w:ascii="Sylfaen" w:hAnsi="Sylfaen"/>
          <w:sz w:val="24"/>
          <w:szCs w:val="24"/>
        </w:rPr>
        <w:t xml:space="preserve"> = 90 % -ի դեպքում առանձին որոշման արդյունքի </w:t>
      </w:r>
      <w:r>
        <w:rPr>
          <w:rFonts w:ascii="Sylfaen" w:hAnsi="Sylfaen"/>
          <w:sz w:val="24"/>
          <w:szCs w:val="24"/>
        </w:rPr>
        <w:t>եւ</w:t>
      </w:r>
      <w:r w:rsidRPr="00B834A2">
        <w:rPr>
          <w:rFonts w:ascii="Sylfaen" w:hAnsi="Sylfaen"/>
          <w:sz w:val="24"/>
          <w:szCs w:val="24"/>
        </w:rPr>
        <w:t xml:space="preserve"> միջին արդյունքի վստահելի միջակայքերը ստանում ենք (1.24) </w:t>
      </w:r>
      <w:r>
        <w:rPr>
          <w:rFonts w:ascii="Sylfaen" w:hAnsi="Sylfaen"/>
          <w:sz w:val="24"/>
          <w:szCs w:val="24"/>
        </w:rPr>
        <w:t>եւ</w:t>
      </w:r>
      <w:r w:rsidRPr="00B834A2">
        <w:rPr>
          <w:rFonts w:ascii="Sylfaen" w:hAnsi="Sylfaen"/>
          <w:sz w:val="24"/>
          <w:szCs w:val="24"/>
        </w:rPr>
        <w:t xml:space="preserve"> (1.22) համաձայն.</w:t>
      </w:r>
    </w:p>
    <w:p w14:paraId="30F7860F"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ParaPr>
          <m:jc m:val="center"/>
        </m:oMathParaPr>
        <m:oMath>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±∆x=</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P,f</m:t>
              </m:r>
            </m:e>
          </m:d>
          <m:r>
            <w:rPr>
              <w:rFonts w:ascii="Cambria Math" w:hAnsi="Cambria Math" w:cs="Sylfaen"/>
              <w:sz w:val="24"/>
              <w:szCs w:val="24"/>
            </w:rPr>
            <m:t>*s=</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90%,9</m:t>
              </m:r>
            </m:e>
          </m:d>
          <m:r>
            <w:rPr>
              <w:rFonts w:ascii="Cambria Math" w:hAnsi="Cambria Math" w:cs="Sylfaen"/>
              <w:sz w:val="24"/>
              <w:szCs w:val="24"/>
            </w:rPr>
            <m:t>+s=</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±1,83*0,1169=</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±0,21;</m:t>
          </m:r>
        </m:oMath>
      </m:oMathPara>
    </w:p>
    <w:p w14:paraId="22DEAE0A" w14:textId="77777777" w:rsidR="00B834A2" w:rsidRPr="00B834A2" w:rsidRDefault="00000000" w:rsidP="00B07646">
      <w:pPr>
        <w:spacing w:after="160" w:line="360" w:lineRule="auto"/>
        <w:ind w:firstLine="567"/>
        <w:jc w:val="center"/>
      </w:pPr>
      <m:oMath>
        <m:bar>
          <m:barPr>
            <m:pos m:val="top"/>
            <m:ctrlPr>
              <w:rPr>
                <w:rFonts w:ascii="Cambria Math" w:hAnsi="Cambria Math"/>
                <w:i/>
              </w:rPr>
            </m:ctrlPr>
          </m:barPr>
          <m:e>
            <m:r>
              <w:rPr>
                <w:rFonts w:ascii="Cambria Math" w:hAnsi="Cambria Math"/>
              </w:rPr>
              <m:t>x</m:t>
            </m:r>
          </m:e>
        </m:bar>
        <m:r>
          <w:rPr>
            <w:rFonts w:ascii="Cambria Math" w:hAnsi="Cambria Math"/>
          </w:rPr>
          <m:t>±∆</m:t>
        </m:r>
        <m:bar>
          <m:barPr>
            <m:pos m:val="top"/>
            <m:ctrlPr>
              <w:rPr>
                <w:rFonts w:ascii="Cambria Math" w:hAnsi="Cambria Math"/>
                <w:i/>
              </w:rPr>
            </m:ctrlPr>
          </m:barPr>
          <m:e>
            <m:r>
              <w:rPr>
                <w:rFonts w:ascii="Cambria Math" w:hAnsi="Cambria Math"/>
              </w:rPr>
              <m:t>x</m:t>
            </m:r>
          </m:e>
        </m:bar>
        <m:r>
          <w:rPr>
            <w:rFonts w:ascii="Cambria Math" w:hAnsi="Cambria Math"/>
          </w:rPr>
          <m:t>=</m:t>
        </m:r>
        <m:bar>
          <m:barPr>
            <m:pos m:val="top"/>
            <m:ctrlPr>
              <w:rPr>
                <w:rFonts w:ascii="Cambria Math" w:hAnsi="Cambria Math"/>
                <w:i/>
              </w:rPr>
            </m:ctrlPr>
          </m:barPr>
          <m:e>
            <m:r>
              <w:rPr>
                <w:rFonts w:ascii="Cambria Math" w:hAnsi="Cambria Math"/>
              </w:rPr>
              <m:t>x</m:t>
            </m:r>
          </m:e>
        </m:bar>
        <m:r>
          <w:rPr>
            <w:rFonts w:ascii="Cambria Math" w:hAnsi="Cambria Math"/>
          </w:rPr>
          <m:t>±</m:t>
        </m:r>
        <m:f>
          <m:fPr>
            <m:ctrlPr>
              <w:rPr>
                <w:rFonts w:ascii="Cambria Math" w:hAnsi="Cambria Math"/>
                <w:i/>
              </w:rPr>
            </m:ctrlPr>
          </m:fPr>
          <m:num>
            <m:r>
              <w:rPr>
                <w:rFonts w:ascii="Cambria Math" w:hAnsi="Cambria Math"/>
              </w:rPr>
              <m:t>t</m:t>
            </m:r>
            <m:d>
              <m:dPr>
                <m:ctrlPr>
                  <w:rPr>
                    <w:rFonts w:ascii="Cambria Math" w:hAnsi="Cambria Math"/>
                    <w:i/>
                  </w:rPr>
                </m:ctrlPr>
              </m:dPr>
              <m:e>
                <m:r>
                  <w:rPr>
                    <w:rFonts w:ascii="Cambria Math" w:hAnsi="Cambria Math"/>
                  </w:rPr>
                  <m:t>P,f</m:t>
                </m:r>
              </m:e>
            </m:d>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r>
          <w:rPr>
            <w:rFonts w:ascii="Cambria Math" w:hAnsi="Cambria Math"/>
          </w:rPr>
          <m:t>=49,96±</m:t>
        </m:r>
        <m:f>
          <m:fPr>
            <m:ctrlPr>
              <w:rPr>
                <w:rFonts w:ascii="Cambria Math" w:hAnsi="Cambria Math"/>
                <w:i/>
              </w:rPr>
            </m:ctrlPr>
          </m:fPr>
          <m:num>
            <m:r>
              <w:rPr>
                <w:rFonts w:ascii="Cambria Math" w:hAnsi="Cambria Math"/>
              </w:rPr>
              <m:t>1,83*0,1169</m:t>
            </m:r>
          </m:num>
          <m:den>
            <m:rad>
              <m:radPr>
                <m:degHide m:val="1"/>
                <m:ctrlPr>
                  <w:rPr>
                    <w:rFonts w:ascii="Cambria Math" w:hAnsi="Cambria Math"/>
                    <w:i/>
                  </w:rPr>
                </m:ctrlPr>
              </m:radPr>
              <m:deg/>
              <m:e>
                <m:r>
                  <w:rPr>
                    <w:rFonts w:ascii="Cambria Math" w:hAnsi="Cambria Math"/>
                  </w:rPr>
                  <m:t>10</m:t>
                </m:r>
              </m:e>
            </m:rad>
          </m:den>
        </m:f>
        <m:r>
          <w:rPr>
            <w:rFonts w:ascii="Cambria Math" w:hAnsi="Cambria Math"/>
          </w:rPr>
          <m:t>=49,96±0,07</m:t>
        </m:r>
      </m:oMath>
      <w:r w:rsidR="00B834A2" w:rsidRPr="00B834A2">
        <w:t>։</w:t>
      </w:r>
    </w:p>
    <w:p w14:paraId="53C77F23" w14:textId="77777777" w:rsidR="00B834A2" w:rsidRPr="00B834A2" w:rsidRDefault="00B834A2" w:rsidP="00B834A2">
      <w:pPr>
        <w:spacing w:after="160" w:line="360" w:lineRule="auto"/>
        <w:ind w:firstLine="567"/>
        <w:jc w:val="both"/>
      </w:pPr>
      <w:r w:rsidRPr="00B834A2">
        <w:t xml:space="preserve">Այդ դեպքում </w:t>
      </w:r>
      <m:oMath>
        <m:r>
          <w:rPr>
            <w:rFonts w:ascii="Cambria Math" w:hAnsi="Cambria Math"/>
          </w:rPr>
          <m:t>ε</m:t>
        </m:r>
      </m:oMath>
      <w:r w:rsidRPr="00B834A2">
        <w:t xml:space="preserve"> </w:t>
      </w:r>
      <w:r>
        <w:t>եւ</w:t>
      </w:r>
      <w:r w:rsidRPr="00B834A2">
        <w:t xml:space="preserve"> ¯</w:t>
      </w:r>
      <m:oMath>
        <m:r>
          <w:rPr>
            <w:rFonts w:ascii="Cambria Math" w:hAnsi="Cambria Math"/>
          </w:rPr>
          <m:t>ε</m:t>
        </m:r>
      </m:oMath>
      <w:r w:rsidRPr="00B834A2">
        <w:t xml:space="preserve"> հարաբերական անորոշությունները, (1.27) </w:t>
      </w:r>
      <w:r>
        <w:t>եւ</w:t>
      </w:r>
      <w:r w:rsidRPr="00B834A2">
        <w:t xml:space="preserve"> (1.28) համաձայն, հավասար են՝</w:t>
      </w:r>
    </w:p>
    <w:p w14:paraId="276542D3" w14:textId="77777777" w:rsidR="00B834A2" w:rsidRPr="00B834A2" w:rsidRDefault="00B834A2" w:rsidP="00B834A2">
      <w:pPr>
        <w:spacing w:after="160" w:line="360" w:lineRule="auto"/>
        <w:ind w:firstLine="567"/>
        <w:jc w:val="both"/>
        <w:rPr>
          <w:bCs/>
        </w:rPr>
      </w:pPr>
      <m:oMathPara>
        <m:oMath>
          <m:r>
            <w:rPr>
              <w:rFonts w:ascii="Cambria Math" w:hAnsi="Cambria Math"/>
            </w:rPr>
            <m:t>ε=</m:t>
          </m:r>
          <m:f>
            <m:fPr>
              <m:ctrlPr>
                <w:rPr>
                  <w:rFonts w:ascii="Cambria Math" w:hAnsi="Cambria Math"/>
                  <w:bCs/>
                  <w:i/>
                </w:rPr>
              </m:ctrlPr>
            </m:fPr>
            <m:num>
              <m:r>
                <w:rPr>
                  <w:rFonts w:ascii="Cambria Math" w:hAnsi="Cambria Math"/>
                </w:rPr>
                <m:t>∆x</m:t>
              </m:r>
            </m:num>
            <m:den>
              <m:r>
                <w:rPr>
                  <w:rFonts w:ascii="Cambria Math" w:hAnsi="Cambria Math"/>
                </w:rPr>
                <m:t>¯x</m:t>
              </m:r>
            </m:den>
          </m:f>
          <m:r>
            <w:rPr>
              <w:rFonts w:ascii="Cambria Math" w:hAnsi="Cambria Math"/>
            </w:rPr>
            <m:t>*100%=</m:t>
          </m:r>
          <m:f>
            <m:fPr>
              <m:ctrlPr>
                <w:rPr>
                  <w:rFonts w:ascii="Cambria Math" w:hAnsi="Cambria Math"/>
                  <w:bCs/>
                  <w:i/>
                </w:rPr>
              </m:ctrlPr>
            </m:fPr>
            <m:num>
              <m:r>
                <w:rPr>
                  <w:rFonts w:ascii="Cambria Math" w:hAnsi="Cambria Math"/>
                </w:rPr>
                <m:t>0,21</m:t>
              </m:r>
            </m:num>
            <m:den>
              <m:r>
                <w:rPr>
                  <w:rFonts w:ascii="Cambria Math" w:hAnsi="Cambria Math"/>
                </w:rPr>
                <m:t>49,96</m:t>
              </m:r>
            </m:den>
          </m:f>
          <m:r>
            <w:rPr>
              <w:rFonts w:ascii="Cambria Math" w:hAnsi="Cambria Math"/>
            </w:rPr>
            <m:t>*100%=0,45%</m:t>
          </m:r>
        </m:oMath>
      </m:oMathPara>
    </w:p>
    <w:p w14:paraId="72C15BB6" w14:textId="77777777" w:rsidR="00B834A2" w:rsidRPr="00B834A2" w:rsidRDefault="00B834A2" w:rsidP="00B07646">
      <w:pPr>
        <w:spacing w:after="160" w:line="360" w:lineRule="auto"/>
        <w:jc w:val="center"/>
        <w:rPr>
          <w:bCs/>
        </w:rPr>
      </w:pPr>
      <w:r w:rsidRPr="00B834A2">
        <w:lastRenderedPageBreak/>
        <w:t>¯</w:t>
      </w:r>
      <m:oMath>
        <m:r>
          <w:rPr>
            <w:rFonts w:ascii="Cambria Math" w:hAnsi="Cambria Math"/>
          </w:rPr>
          <m:t>ε=</m:t>
        </m:r>
        <m:f>
          <m:fPr>
            <m:ctrlPr>
              <w:rPr>
                <w:rFonts w:ascii="Cambria Math" w:hAnsi="Cambria Math"/>
                <w:bCs/>
                <w:i/>
              </w:rPr>
            </m:ctrlPr>
          </m:fPr>
          <m:num>
            <m:r>
              <w:rPr>
                <w:rFonts w:ascii="Cambria Math" w:hAnsi="Cambria Math"/>
              </w:rPr>
              <m:t>∆¯x</m:t>
            </m:r>
          </m:num>
          <m:den>
            <m:r>
              <w:rPr>
                <w:rFonts w:ascii="Cambria Math" w:hAnsi="Cambria Math"/>
              </w:rPr>
              <m:t>¯x</m:t>
            </m:r>
          </m:den>
        </m:f>
        <m:r>
          <w:rPr>
            <w:rFonts w:ascii="Cambria Math" w:hAnsi="Cambria Math"/>
          </w:rPr>
          <m:t>*100%=</m:t>
        </m:r>
        <m:f>
          <m:fPr>
            <m:ctrlPr>
              <w:rPr>
                <w:rFonts w:ascii="Cambria Math" w:hAnsi="Cambria Math"/>
                <w:bCs/>
                <w:i/>
              </w:rPr>
            </m:ctrlPr>
          </m:fPr>
          <m:num>
            <m:r>
              <w:rPr>
                <w:rFonts w:ascii="Cambria Math" w:hAnsi="Cambria Math"/>
              </w:rPr>
              <m:t>0,07</m:t>
            </m:r>
          </m:num>
          <m:den>
            <m:r>
              <w:rPr>
                <w:rFonts w:ascii="Cambria Math" w:hAnsi="Cambria Math"/>
              </w:rPr>
              <m:t>49,96</m:t>
            </m:r>
          </m:den>
        </m:f>
        <m:r>
          <w:rPr>
            <w:rFonts w:ascii="Cambria Math" w:hAnsi="Cambria Math"/>
          </w:rPr>
          <m:t>*100%=0,14%</m:t>
        </m:r>
      </m:oMath>
      <w:r w:rsidRPr="00B834A2">
        <w:t>։</w:t>
      </w:r>
    </w:p>
    <w:p w14:paraId="7EE844C2" w14:textId="77777777" w:rsidR="00B834A2" w:rsidRPr="00B834A2" w:rsidRDefault="00CC0C6B" w:rsidP="00B834A2">
      <w:pPr>
        <w:spacing w:after="160" w:line="360" w:lineRule="auto"/>
        <w:ind w:firstLine="567"/>
        <w:jc w:val="both"/>
      </w:pPr>
      <w:r w:rsidRPr="00B07646">
        <w:t>Աղյուսակ 6.3-8.</w:t>
      </w:r>
    </w:p>
    <w:tbl>
      <w:tblPr>
        <w:tblOverlap w:val="never"/>
        <w:tblW w:w="9413" w:type="dxa"/>
        <w:jc w:val="center"/>
        <w:tblLayout w:type="fixed"/>
        <w:tblCellMar>
          <w:left w:w="10" w:type="dxa"/>
          <w:right w:w="10" w:type="dxa"/>
        </w:tblCellMar>
        <w:tblLook w:val="0000" w:firstRow="0" w:lastRow="0" w:firstColumn="0" w:lastColumn="0" w:noHBand="0" w:noVBand="0"/>
      </w:tblPr>
      <w:tblGrid>
        <w:gridCol w:w="2405"/>
        <w:gridCol w:w="739"/>
        <w:gridCol w:w="672"/>
        <w:gridCol w:w="648"/>
        <w:gridCol w:w="782"/>
        <w:gridCol w:w="682"/>
        <w:gridCol w:w="686"/>
        <w:gridCol w:w="682"/>
        <w:gridCol w:w="701"/>
        <w:gridCol w:w="691"/>
        <w:gridCol w:w="725"/>
      </w:tblGrid>
      <w:tr w:rsidR="00B834A2" w:rsidRPr="00B07646" w14:paraId="01A36D0C" w14:textId="77777777" w:rsidTr="00B834A2">
        <w:trPr>
          <w:jc w:val="center"/>
        </w:trPr>
        <w:tc>
          <w:tcPr>
            <w:tcW w:w="2405" w:type="dxa"/>
            <w:vMerge w:val="restart"/>
            <w:tcBorders>
              <w:top w:val="single" w:sz="4" w:space="0" w:color="auto"/>
            </w:tcBorders>
            <w:shd w:val="clear" w:color="auto" w:fill="FFFFFF"/>
            <w:vAlign w:val="center"/>
          </w:tcPr>
          <w:p w14:paraId="2FA2B931"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Ազդող նյութի պարունակությունը</w:t>
            </w:r>
          </w:p>
        </w:tc>
        <w:tc>
          <w:tcPr>
            <w:tcW w:w="7008" w:type="dxa"/>
            <w:gridSpan w:val="10"/>
            <w:tcBorders>
              <w:top w:val="single" w:sz="4" w:space="0" w:color="auto"/>
            </w:tcBorders>
            <w:shd w:val="clear" w:color="auto" w:fill="FFFFFF"/>
          </w:tcPr>
          <w:p w14:paraId="10A76A3D" w14:textId="77777777" w:rsidR="00B834A2" w:rsidRPr="00B07646" w:rsidRDefault="00B834A2" w:rsidP="00CC0C6B">
            <w:pPr>
              <w:spacing w:after="120"/>
              <w:ind w:firstLine="24"/>
              <w:jc w:val="center"/>
              <w:rPr>
                <w:rFonts w:eastAsia="Times New Roman"/>
                <w:color w:val="auto"/>
                <w:sz w:val="20"/>
              </w:rPr>
            </w:pPr>
            <w:r w:rsidRPr="00B07646">
              <w:rPr>
                <w:i/>
                <w:sz w:val="20"/>
              </w:rPr>
              <w:t>i</w:t>
            </w:r>
            <w:r w:rsidRPr="00B07646">
              <w:rPr>
                <w:sz w:val="20"/>
              </w:rPr>
              <w:t xml:space="preserve"> տարբերակի հերթական համարը</w:t>
            </w:r>
          </w:p>
        </w:tc>
      </w:tr>
      <w:tr w:rsidR="00B834A2" w:rsidRPr="00B07646" w14:paraId="38C61C36" w14:textId="77777777" w:rsidTr="00B834A2">
        <w:trPr>
          <w:jc w:val="center"/>
        </w:trPr>
        <w:tc>
          <w:tcPr>
            <w:tcW w:w="2405" w:type="dxa"/>
            <w:vMerge/>
            <w:shd w:val="clear" w:color="auto" w:fill="FFFFFF"/>
            <w:vAlign w:val="center"/>
          </w:tcPr>
          <w:p w14:paraId="759B1263"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p>
        </w:tc>
        <w:tc>
          <w:tcPr>
            <w:tcW w:w="739" w:type="dxa"/>
            <w:tcBorders>
              <w:top w:val="single" w:sz="4" w:space="0" w:color="auto"/>
            </w:tcBorders>
            <w:shd w:val="clear" w:color="auto" w:fill="FFFFFF"/>
            <w:vAlign w:val="bottom"/>
          </w:tcPr>
          <w:p w14:paraId="591D6689"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1</w:t>
            </w:r>
          </w:p>
        </w:tc>
        <w:tc>
          <w:tcPr>
            <w:tcW w:w="672" w:type="dxa"/>
            <w:tcBorders>
              <w:top w:val="single" w:sz="4" w:space="0" w:color="auto"/>
            </w:tcBorders>
            <w:shd w:val="clear" w:color="auto" w:fill="FFFFFF"/>
            <w:vAlign w:val="bottom"/>
          </w:tcPr>
          <w:p w14:paraId="57F383D7"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2</w:t>
            </w:r>
          </w:p>
        </w:tc>
        <w:tc>
          <w:tcPr>
            <w:tcW w:w="648" w:type="dxa"/>
            <w:tcBorders>
              <w:top w:val="single" w:sz="4" w:space="0" w:color="auto"/>
            </w:tcBorders>
            <w:shd w:val="clear" w:color="auto" w:fill="FFFFFF"/>
            <w:vAlign w:val="center"/>
          </w:tcPr>
          <w:p w14:paraId="3415A26D"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3</w:t>
            </w:r>
          </w:p>
        </w:tc>
        <w:tc>
          <w:tcPr>
            <w:tcW w:w="782" w:type="dxa"/>
            <w:tcBorders>
              <w:top w:val="single" w:sz="4" w:space="0" w:color="auto"/>
            </w:tcBorders>
            <w:shd w:val="clear" w:color="auto" w:fill="FFFFFF"/>
            <w:vAlign w:val="center"/>
          </w:tcPr>
          <w:p w14:paraId="3D0508D6"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w:t>
            </w:r>
          </w:p>
        </w:tc>
        <w:tc>
          <w:tcPr>
            <w:tcW w:w="682" w:type="dxa"/>
            <w:tcBorders>
              <w:top w:val="single" w:sz="4" w:space="0" w:color="auto"/>
            </w:tcBorders>
            <w:shd w:val="clear" w:color="auto" w:fill="FFFFFF"/>
            <w:vAlign w:val="center"/>
          </w:tcPr>
          <w:p w14:paraId="0530E066"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w:t>
            </w:r>
          </w:p>
        </w:tc>
        <w:tc>
          <w:tcPr>
            <w:tcW w:w="686" w:type="dxa"/>
            <w:tcBorders>
              <w:top w:val="single" w:sz="4" w:space="0" w:color="auto"/>
            </w:tcBorders>
            <w:shd w:val="clear" w:color="auto" w:fill="FFFFFF"/>
            <w:vAlign w:val="bottom"/>
          </w:tcPr>
          <w:p w14:paraId="3F1D56B0"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6</w:t>
            </w:r>
          </w:p>
        </w:tc>
        <w:tc>
          <w:tcPr>
            <w:tcW w:w="682" w:type="dxa"/>
            <w:tcBorders>
              <w:top w:val="single" w:sz="4" w:space="0" w:color="auto"/>
            </w:tcBorders>
            <w:shd w:val="clear" w:color="auto" w:fill="FFFFFF"/>
            <w:vAlign w:val="center"/>
          </w:tcPr>
          <w:p w14:paraId="6393692A"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7</w:t>
            </w:r>
          </w:p>
        </w:tc>
        <w:tc>
          <w:tcPr>
            <w:tcW w:w="701" w:type="dxa"/>
            <w:tcBorders>
              <w:top w:val="single" w:sz="4" w:space="0" w:color="auto"/>
            </w:tcBorders>
            <w:shd w:val="clear" w:color="auto" w:fill="FFFFFF"/>
            <w:vAlign w:val="bottom"/>
          </w:tcPr>
          <w:p w14:paraId="2936582F"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8</w:t>
            </w:r>
          </w:p>
        </w:tc>
        <w:tc>
          <w:tcPr>
            <w:tcW w:w="691" w:type="dxa"/>
            <w:tcBorders>
              <w:top w:val="single" w:sz="4" w:space="0" w:color="auto"/>
            </w:tcBorders>
            <w:shd w:val="clear" w:color="auto" w:fill="FFFFFF"/>
            <w:vAlign w:val="center"/>
          </w:tcPr>
          <w:p w14:paraId="24E1DA71"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9</w:t>
            </w:r>
          </w:p>
        </w:tc>
        <w:tc>
          <w:tcPr>
            <w:tcW w:w="725" w:type="dxa"/>
            <w:tcBorders>
              <w:top w:val="single" w:sz="4" w:space="0" w:color="auto"/>
            </w:tcBorders>
            <w:shd w:val="clear" w:color="auto" w:fill="FFFFFF"/>
            <w:vAlign w:val="bottom"/>
          </w:tcPr>
          <w:p w14:paraId="0785F2F4"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10</w:t>
            </w:r>
          </w:p>
        </w:tc>
      </w:tr>
      <w:tr w:rsidR="00B834A2" w:rsidRPr="00B07646" w14:paraId="39E4CED0" w14:textId="77777777" w:rsidTr="00B834A2">
        <w:trPr>
          <w:jc w:val="center"/>
        </w:trPr>
        <w:tc>
          <w:tcPr>
            <w:tcW w:w="2405" w:type="dxa"/>
            <w:tcBorders>
              <w:top w:val="single" w:sz="4" w:space="0" w:color="auto"/>
              <w:bottom w:val="single" w:sz="4" w:space="0" w:color="auto"/>
            </w:tcBorders>
            <w:shd w:val="clear" w:color="auto" w:fill="FFFFFF"/>
            <w:vAlign w:val="bottom"/>
          </w:tcPr>
          <w:p w14:paraId="2335057B" w14:textId="77777777" w:rsidR="00B834A2" w:rsidRPr="00B07646" w:rsidRDefault="00B834A2" w:rsidP="00CC0C6B">
            <w:pPr>
              <w:pStyle w:val="a0"/>
              <w:shd w:val="clear" w:color="auto" w:fill="auto"/>
              <w:spacing w:after="120" w:line="240" w:lineRule="auto"/>
              <w:ind w:firstLine="19"/>
              <w:jc w:val="center"/>
              <w:rPr>
                <w:rFonts w:ascii="Sylfaen" w:hAnsi="Sylfaen" w:cs="Sylfaen"/>
                <w:i/>
                <w:szCs w:val="24"/>
              </w:rPr>
            </w:pPr>
            <w:r w:rsidRPr="00B07646">
              <w:rPr>
                <w:rFonts w:ascii="Sylfaen" w:hAnsi="Sylfaen"/>
                <w:i/>
                <w:szCs w:val="24"/>
              </w:rPr>
              <w:t>+x</w:t>
            </w:r>
            <w:r w:rsidRPr="00B07646">
              <w:rPr>
                <w:rFonts w:ascii="Sylfaen" w:hAnsi="Sylfaen"/>
                <w:i/>
                <w:szCs w:val="24"/>
                <w:vertAlign w:val="subscript"/>
              </w:rPr>
              <w:t>i</w:t>
            </w:r>
            <w:r w:rsidRPr="00B07646">
              <w:rPr>
                <w:rFonts w:ascii="Sylfaen" w:hAnsi="Sylfaen"/>
                <w:i/>
                <w:szCs w:val="24"/>
              </w:rPr>
              <w:t xml:space="preserve"> %</w:t>
            </w:r>
          </w:p>
        </w:tc>
        <w:tc>
          <w:tcPr>
            <w:tcW w:w="739" w:type="dxa"/>
            <w:tcBorders>
              <w:top w:val="single" w:sz="4" w:space="0" w:color="auto"/>
              <w:bottom w:val="single" w:sz="4" w:space="0" w:color="auto"/>
            </w:tcBorders>
            <w:shd w:val="clear" w:color="auto" w:fill="FFFFFF"/>
            <w:vAlign w:val="bottom"/>
          </w:tcPr>
          <w:p w14:paraId="44200C8F"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49,80</w:t>
            </w:r>
          </w:p>
        </w:tc>
        <w:tc>
          <w:tcPr>
            <w:tcW w:w="672" w:type="dxa"/>
            <w:tcBorders>
              <w:top w:val="single" w:sz="4" w:space="0" w:color="auto"/>
              <w:bottom w:val="single" w:sz="4" w:space="0" w:color="auto"/>
            </w:tcBorders>
            <w:shd w:val="clear" w:color="auto" w:fill="FFFFFF"/>
            <w:vAlign w:val="bottom"/>
          </w:tcPr>
          <w:p w14:paraId="1C8EB1BA"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49,83</w:t>
            </w:r>
          </w:p>
        </w:tc>
        <w:tc>
          <w:tcPr>
            <w:tcW w:w="648" w:type="dxa"/>
            <w:tcBorders>
              <w:top w:val="single" w:sz="4" w:space="0" w:color="auto"/>
              <w:bottom w:val="single" w:sz="4" w:space="0" w:color="auto"/>
            </w:tcBorders>
            <w:shd w:val="clear" w:color="auto" w:fill="FFFFFF"/>
            <w:vAlign w:val="bottom"/>
          </w:tcPr>
          <w:p w14:paraId="2944F600"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49,87</w:t>
            </w:r>
          </w:p>
        </w:tc>
        <w:tc>
          <w:tcPr>
            <w:tcW w:w="782" w:type="dxa"/>
            <w:tcBorders>
              <w:top w:val="single" w:sz="4" w:space="0" w:color="auto"/>
              <w:bottom w:val="single" w:sz="4" w:space="0" w:color="auto"/>
            </w:tcBorders>
            <w:shd w:val="clear" w:color="auto" w:fill="FFFFFF"/>
            <w:vAlign w:val="bottom"/>
          </w:tcPr>
          <w:p w14:paraId="559E3823"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49,87</w:t>
            </w:r>
          </w:p>
        </w:tc>
        <w:tc>
          <w:tcPr>
            <w:tcW w:w="682" w:type="dxa"/>
            <w:tcBorders>
              <w:top w:val="single" w:sz="4" w:space="0" w:color="auto"/>
              <w:bottom w:val="single" w:sz="4" w:space="0" w:color="auto"/>
            </w:tcBorders>
            <w:shd w:val="clear" w:color="auto" w:fill="FFFFFF"/>
            <w:vAlign w:val="bottom"/>
          </w:tcPr>
          <w:p w14:paraId="31DC8443"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49,92</w:t>
            </w:r>
          </w:p>
        </w:tc>
        <w:tc>
          <w:tcPr>
            <w:tcW w:w="686" w:type="dxa"/>
            <w:tcBorders>
              <w:top w:val="single" w:sz="4" w:space="0" w:color="auto"/>
              <w:bottom w:val="single" w:sz="4" w:space="0" w:color="auto"/>
            </w:tcBorders>
            <w:shd w:val="clear" w:color="auto" w:fill="FFFFFF"/>
            <w:vAlign w:val="bottom"/>
          </w:tcPr>
          <w:p w14:paraId="73CAC73E"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50,01</w:t>
            </w:r>
          </w:p>
        </w:tc>
        <w:tc>
          <w:tcPr>
            <w:tcW w:w="682" w:type="dxa"/>
            <w:tcBorders>
              <w:top w:val="single" w:sz="4" w:space="0" w:color="auto"/>
              <w:bottom w:val="single" w:sz="4" w:space="0" w:color="auto"/>
            </w:tcBorders>
            <w:shd w:val="clear" w:color="auto" w:fill="FFFFFF"/>
            <w:vAlign w:val="bottom"/>
          </w:tcPr>
          <w:p w14:paraId="454A8B9C"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50,05</w:t>
            </w:r>
          </w:p>
        </w:tc>
        <w:tc>
          <w:tcPr>
            <w:tcW w:w="701" w:type="dxa"/>
            <w:tcBorders>
              <w:top w:val="single" w:sz="4" w:space="0" w:color="auto"/>
              <w:bottom w:val="single" w:sz="4" w:space="0" w:color="auto"/>
            </w:tcBorders>
            <w:shd w:val="clear" w:color="auto" w:fill="FFFFFF"/>
            <w:vAlign w:val="bottom"/>
          </w:tcPr>
          <w:p w14:paraId="57DAC3B3"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50,06</w:t>
            </w:r>
          </w:p>
        </w:tc>
        <w:tc>
          <w:tcPr>
            <w:tcW w:w="691" w:type="dxa"/>
            <w:tcBorders>
              <w:top w:val="single" w:sz="4" w:space="0" w:color="auto"/>
              <w:bottom w:val="single" w:sz="4" w:space="0" w:color="auto"/>
            </w:tcBorders>
            <w:shd w:val="clear" w:color="auto" w:fill="FFFFFF"/>
            <w:vAlign w:val="bottom"/>
          </w:tcPr>
          <w:p w14:paraId="7E9296AB"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50,10</w:t>
            </w:r>
          </w:p>
        </w:tc>
        <w:tc>
          <w:tcPr>
            <w:tcW w:w="725" w:type="dxa"/>
            <w:tcBorders>
              <w:top w:val="single" w:sz="4" w:space="0" w:color="auto"/>
              <w:bottom w:val="single" w:sz="4" w:space="0" w:color="auto"/>
            </w:tcBorders>
            <w:shd w:val="clear" w:color="auto" w:fill="FFFFFF"/>
            <w:vAlign w:val="bottom"/>
          </w:tcPr>
          <w:p w14:paraId="58AB2CDC" w14:textId="77777777" w:rsidR="00B834A2" w:rsidRPr="00B07646" w:rsidRDefault="00B834A2" w:rsidP="00CC0C6B">
            <w:pPr>
              <w:pStyle w:val="a0"/>
              <w:shd w:val="clear" w:color="auto" w:fill="auto"/>
              <w:spacing w:after="120" w:line="240" w:lineRule="auto"/>
              <w:ind w:firstLine="19"/>
              <w:jc w:val="center"/>
              <w:rPr>
                <w:rFonts w:ascii="Sylfaen" w:hAnsi="Sylfaen" w:cs="Sylfaen"/>
                <w:szCs w:val="24"/>
              </w:rPr>
            </w:pPr>
            <w:r w:rsidRPr="00B07646">
              <w:rPr>
                <w:rFonts w:ascii="Sylfaen" w:hAnsi="Sylfaen"/>
                <w:szCs w:val="24"/>
              </w:rPr>
              <w:t>50,11</w:t>
            </w:r>
          </w:p>
        </w:tc>
      </w:tr>
    </w:tbl>
    <w:p w14:paraId="19DEC1B4" w14:textId="77777777" w:rsidR="00B834A2" w:rsidRPr="00B834A2" w:rsidRDefault="00B834A2" w:rsidP="00B834A2">
      <w:pPr>
        <w:spacing w:after="160" w:line="360" w:lineRule="auto"/>
        <w:ind w:firstLine="567"/>
        <w:jc w:val="both"/>
      </w:pPr>
    </w:p>
    <w:p w14:paraId="11B9DC7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Ակտիվ դեղագործական բաղադրամասում ազդող նյութի իսկական պարունակությունը µ-ով նշանակելով կարելի է համարել, որ 90 % վստահելի հավանականությամբ ճշմարիտ են հետ</w:t>
      </w:r>
      <w:r>
        <w:rPr>
          <w:rFonts w:ascii="Sylfaen" w:hAnsi="Sylfaen"/>
          <w:sz w:val="24"/>
          <w:szCs w:val="24"/>
        </w:rPr>
        <w:t>եւ</w:t>
      </w:r>
      <w:r w:rsidRPr="00B834A2">
        <w:rPr>
          <w:rFonts w:ascii="Sylfaen" w:hAnsi="Sylfaen"/>
          <w:sz w:val="24"/>
          <w:szCs w:val="24"/>
        </w:rPr>
        <w:t>յալ անհավասարումները.</w:t>
      </w:r>
    </w:p>
    <w:p w14:paraId="224AFB4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µ</w:t>
      </w:r>
      <m:oMath>
        <m:r>
          <w:rPr>
            <w:rFonts w:ascii="Cambria Math" w:hAnsi="Cambria Math" w:cs="Sylfaen"/>
            <w:sz w:val="24"/>
            <w:szCs w:val="24"/>
          </w:rPr>
          <m:t>-0,21≤</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≤μ+0,21.</m:t>
        </m:r>
      </m:oMath>
    </w:p>
    <w:p w14:paraId="31958710"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-0,21≤μ≤</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i</m:t>
            </m:r>
          </m:sub>
        </m:sSub>
        <m:r>
          <w:rPr>
            <w:rFonts w:ascii="Cambria Math" w:hAnsi="Cambria Math" w:cs="Sylfaen"/>
            <w:sz w:val="24"/>
            <w:szCs w:val="24"/>
          </w:rPr>
          <m:t xml:space="preserve">+0,21 </m:t>
        </m:r>
      </m:oMath>
      <w:r w:rsidR="00B834A2" w:rsidRPr="00B834A2">
        <w:rPr>
          <w:rFonts w:ascii="Sylfaen" w:hAnsi="Sylfaen"/>
          <w:sz w:val="24"/>
          <w:szCs w:val="24"/>
        </w:rPr>
        <w:t xml:space="preserve">(ցանկացած </w:t>
      </w:r>
      <w:r w:rsidR="00B834A2" w:rsidRPr="00B834A2">
        <w:rPr>
          <w:rFonts w:ascii="Sylfaen" w:hAnsi="Sylfaen"/>
          <w:i/>
          <w:sz w:val="24"/>
          <w:szCs w:val="24"/>
        </w:rPr>
        <w:t>i</w:t>
      </w:r>
      <w:r w:rsidR="00B834A2" w:rsidRPr="00B834A2">
        <w:rPr>
          <w:rFonts w:ascii="Sylfaen" w:hAnsi="Sylfaen"/>
          <w:sz w:val="24"/>
          <w:szCs w:val="24"/>
        </w:rPr>
        <w:t xml:space="preserve"> -ի դեպքում).</w:t>
      </w:r>
    </w:p>
    <w:p w14:paraId="506B4F3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
        <m:r>
          <w:rPr>
            <w:rFonts w:ascii="Cambria Math" w:hAnsi="Cambria Math" w:cs="Sylfaen"/>
            <w:sz w:val="24"/>
            <w:szCs w:val="24"/>
          </w:rPr>
          <m:t>μ-0,07≤</m:t>
        </m:r>
        <m:bar>
          <m:barPr>
            <m:pos m:val="top"/>
            <m:ctrlPr>
              <w:rPr>
                <w:rFonts w:ascii="Cambria Math" w:hAnsi="Cambria Math" w:cs="Sylfaen"/>
                <w:i/>
                <w:sz w:val="24"/>
                <w:szCs w:val="24"/>
              </w:rPr>
            </m:ctrlPr>
          </m:barPr>
          <m:e>
            <m:r>
              <w:rPr>
                <w:rFonts w:ascii="Cambria Math" w:hAnsi="Cambria Math" w:cs="Sylfaen"/>
                <w:sz w:val="24"/>
                <w:szCs w:val="24"/>
              </w:rPr>
              <m:t>x</m:t>
            </m:r>
          </m:e>
        </m:bar>
        <m:r>
          <w:rPr>
            <w:rFonts w:ascii="Cambria Math" w:hAnsi="Cambria Math" w:cs="Sylfaen"/>
            <w:sz w:val="24"/>
            <w:szCs w:val="24"/>
          </w:rPr>
          <m:t xml:space="preserve">≤μ+0,07; </m:t>
        </m:r>
        <m:bar>
          <m:barPr>
            <m:pos m:val="top"/>
            <m:ctrlPr>
              <w:rPr>
                <w:rFonts w:ascii="Cambria Math" w:hAnsi="Cambria Math" w:cs="Sylfaen"/>
                <w:i/>
                <w:sz w:val="24"/>
                <w:szCs w:val="24"/>
              </w:rPr>
            </m:ctrlPr>
          </m:barPr>
          <m:e>
            <m:r>
              <w:rPr>
                <w:rFonts w:ascii="Cambria Math" w:hAnsi="Cambria Math" w:cs="Sylfaen"/>
                <w:sz w:val="24"/>
                <w:szCs w:val="24"/>
              </w:rPr>
              <m:t>x</m:t>
            </m:r>
          </m:e>
        </m:bar>
        <m:r>
          <w:rPr>
            <w:rFonts w:ascii="Cambria Math" w:hAnsi="Cambria Math" w:cs="Sylfaen"/>
            <w:sz w:val="24"/>
            <w:szCs w:val="24"/>
          </w:rPr>
          <m:t>-0,07≤μ≤</m:t>
        </m:r>
        <m:bar>
          <m:barPr>
            <m:pos m:val="top"/>
            <m:ctrlPr>
              <w:rPr>
                <w:rFonts w:ascii="Cambria Math" w:hAnsi="Cambria Math" w:cs="Sylfaen"/>
                <w:i/>
                <w:sz w:val="24"/>
                <w:szCs w:val="24"/>
              </w:rPr>
            </m:ctrlPr>
          </m:barPr>
          <m:e>
            <m:r>
              <w:rPr>
                <w:rFonts w:ascii="Cambria Math" w:hAnsi="Cambria Math" w:cs="Sylfaen"/>
                <w:sz w:val="24"/>
                <w:szCs w:val="24"/>
              </w:rPr>
              <m:t>x</m:t>
            </m:r>
          </m:e>
        </m:bar>
        <m:r>
          <w:rPr>
            <w:rFonts w:ascii="Cambria Math" w:hAnsi="Cambria Math" w:cs="Sylfaen"/>
            <w:sz w:val="24"/>
            <w:szCs w:val="24"/>
          </w:rPr>
          <m:t xml:space="preserve">+0,07 </m:t>
        </m:r>
      </m:oMath>
      <w:r w:rsidRPr="00B834A2">
        <w:rPr>
          <w:rFonts w:ascii="Sylfaen" w:hAnsi="Sylfaen"/>
          <w:sz w:val="24"/>
          <w:szCs w:val="24"/>
        </w:rPr>
        <w:t>(</w:t>
      </w:r>
      <w:r w:rsidRPr="00B834A2">
        <w:rPr>
          <w:rFonts w:ascii="Sylfaen" w:hAnsi="Sylfaen"/>
          <w:i/>
          <w:sz w:val="24"/>
          <w:szCs w:val="24"/>
        </w:rPr>
        <w:t>n</w:t>
      </w:r>
      <w:r w:rsidRPr="00B834A2">
        <w:rPr>
          <w:rFonts w:ascii="Sylfaen" w:hAnsi="Sylfaen"/>
          <w:sz w:val="24"/>
          <w:szCs w:val="24"/>
        </w:rPr>
        <w:t xml:space="preserve"> = 10-ի դեպքում):</w:t>
      </w:r>
    </w:p>
    <w:p w14:paraId="3FCB1274" w14:textId="77777777" w:rsidR="00B07646" w:rsidRPr="002E52D1" w:rsidRDefault="00B07646" w:rsidP="00B834A2">
      <w:pPr>
        <w:pStyle w:val="a0"/>
        <w:shd w:val="clear" w:color="auto" w:fill="auto"/>
        <w:spacing w:after="160" w:line="360" w:lineRule="auto"/>
        <w:ind w:firstLine="567"/>
        <w:jc w:val="both"/>
        <w:rPr>
          <w:rFonts w:ascii="Sylfaen" w:hAnsi="Sylfaen"/>
          <w:b/>
          <w:sz w:val="24"/>
          <w:szCs w:val="24"/>
        </w:rPr>
      </w:pPr>
    </w:p>
    <w:p w14:paraId="6C8FB053"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6.4.</w:t>
      </w:r>
      <w:r w:rsidR="00B07646" w:rsidRPr="002E52D1">
        <w:rPr>
          <w:rFonts w:ascii="Sylfaen" w:hAnsi="Sylfaen"/>
          <w:b/>
          <w:sz w:val="24"/>
          <w:szCs w:val="24"/>
        </w:rPr>
        <w:tab/>
      </w:r>
      <w:r w:rsidRPr="00B834A2">
        <w:rPr>
          <w:rFonts w:ascii="Sylfaen" w:hAnsi="Sylfaen"/>
          <w:b/>
          <w:sz w:val="24"/>
          <w:szCs w:val="24"/>
        </w:rPr>
        <w:t>Ճշգրտության մասով անալիզի երկու մեթոդիկաների համեմատումը</w:t>
      </w:r>
    </w:p>
    <w:p w14:paraId="5F6C453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Ենթադրենք, որ օրինակ անալիզի տարբեր մեթոդիկաներ բնութագրող (1 </w:t>
      </w:r>
      <w:r>
        <w:rPr>
          <w:rFonts w:ascii="Sylfaen" w:hAnsi="Sylfaen"/>
          <w:sz w:val="24"/>
          <w:szCs w:val="24"/>
        </w:rPr>
        <w:t>եւ</w:t>
      </w:r>
      <w:r w:rsidRPr="00B834A2">
        <w:rPr>
          <w:rFonts w:ascii="Sylfaen" w:hAnsi="Sylfaen"/>
          <w:sz w:val="24"/>
          <w:szCs w:val="24"/>
        </w:rPr>
        <w:t xml:space="preserve"> 2) անալիտիկ տվյալների երկու ընտրանքների համար ստացվել են</w:t>
      </w:r>
      <w:r>
        <w:rPr>
          <w:rFonts w:ascii="Sylfaen" w:hAnsi="Sylfaen"/>
          <w:sz w:val="24"/>
          <w:szCs w:val="24"/>
        </w:rPr>
        <w:t xml:space="preserve"> </w:t>
      </w:r>
      <w:r w:rsidRPr="00B834A2">
        <w:rPr>
          <w:rFonts w:ascii="Sylfaen" w:hAnsi="Sylfaen"/>
          <w:sz w:val="24"/>
          <w:szCs w:val="24"/>
        </w:rPr>
        <w:t>6.4-9 աղյուսակի 1-10 սյունակներում բերված վիճակագրական մշակման համար տվյալներ:</w:t>
      </w:r>
    </w:p>
    <w:p w14:paraId="57A8C39F" w14:textId="77777777" w:rsidR="00B834A2" w:rsidRPr="00B834A2" w:rsidRDefault="00B834A2" w:rsidP="00B834A2">
      <w:pPr>
        <w:pStyle w:val="a0"/>
        <w:shd w:val="clear" w:color="auto" w:fill="auto"/>
        <w:spacing w:after="160" w:line="360" w:lineRule="auto"/>
        <w:ind w:firstLine="567"/>
        <w:jc w:val="both"/>
        <w:rPr>
          <w:rFonts w:ascii="Sylfaen" w:hAnsi="Sylfaen" w:cs="Sylfaen"/>
          <w:bCs/>
          <w:sz w:val="24"/>
          <w:szCs w:val="24"/>
        </w:rPr>
      </w:pPr>
      <w:r w:rsidRPr="00B834A2">
        <w:rPr>
          <w:rFonts w:ascii="Sylfaen" w:hAnsi="Sylfaen"/>
          <w:sz w:val="24"/>
          <w:szCs w:val="24"/>
        </w:rPr>
        <w:t xml:space="preserve">10-րդ վանդակի լրացման համար հաշվարկում ենք </w:t>
      </w:r>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(1)</m:t>
            </m:r>
          </m:sub>
        </m:sSub>
      </m:oMath>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(2)</m:t>
            </m:r>
          </m:sub>
        </m:sSub>
        <m:r>
          <m:rPr>
            <m:sty m:val="p"/>
          </m:rPr>
          <w:rPr>
            <w:rFonts w:ascii="Sylfaen" w:hAnsi="Sylfaen" w:cs="Sylfaen"/>
            <w:sz w:val="24"/>
            <w:szCs w:val="24"/>
          </w:rPr>
          <m:t>արժեքները</m:t>
        </m:r>
        <m:r>
          <m:rPr>
            <m:sty m:val="p"/>
          </m:rPr>
          <w:rPr>
            <w:rFonts w:ascii="Cambria Math" w:hAnsi="Cambria Math" w:cs="Sylfaen"/>
            <w:sz w:val="24"/>
            <w:szCs w:val="24"/>
          </w:rPr>
          <m:t>.</m:t>
        </m:r>
      </m:oMath>
    </w:p>
    <w:p w14:paraId="006586C7"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(1)</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μ-</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e>
              </m:d>
              <m:rad>
                <m:radPr>
                  <m:degHide m:val="1"/>
                  <m:ctrlPr>
                    <w:rPr>
                      <w:rFonts w:ascii="Cambria Math" w:hAnsi="Cambria Math" w:cs="Sylfaen"/>
                      <w:i/>
                      <w:sz w:val="24"/>
                      <w:szCs w:val="24"/>
                    </w:rPr>
                  </m:ctrlPr>
                </m:radPr>
                <m:deg/>
                <m:e>
                  <m:sSub>
                    <m:sSubPr>
                      <m:ctrlPr>
                        <w:rPr>
                          <w:rFonts w:ascii="Cambria Math" w:hAnsi="Cambria Math" w:cs="Sylfaen"/>
                          <w:i/>
                          <w:sz w:val="24"/>
                          <w:szCs w:val="24"/>
                        </w:rPr>
                      </m:ctrlPr>
                    </m:sSubPr>
                    <m:e>
                      <m:r>
                        <w:rPr>
                          <w:rFonts w:ascii="Cambria Math" w:hAnsi="Cambria Math" w:cs="Sylfaen"/>
                          <w:sz w:val="24"/>
                          <w:szCs w:val="24"/>
                        </w:rPr>
                        <m:t>m</m:t>
                      </m:r>
                    </m:e>
                    <m:sub>
                      <m:r>
                        <w:rPr>
                          <w:rFonts w:ascii="Cambria Math" w:hAnsi="Cambria Math" w:cs="Sylfaen"/>
                          <w:sz w:val="24"/>
                          <w:szCs w:val="24"/>
                        </w:rPr>
                        <m:t>1</m:t>
                      </m:r>
                    </m:sub>
                  </m:sSub>
                </m:e>
              </m:rad>
            </m:num>
            <m:den>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1</m:t>
                  </m:r>
                </m:sub>
              </m:sSub>
            </m:den>
          </m:f>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100-100,13</m:t>
                  </m:r>
                </m:e>
              </m:d>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20+1</m:t>
                  </m:r>
                </m:e>
              </m:rad>
            </m:num>
            <m:den>
              <m:r>
                <w:rPr>
                  <w:rFonts w:ascii="Cambria Math" w:hAnsi="Cambria Math" w:cs="Sylfaen"/>
                  <w:sz w:val="24"/>
                  <w:szCs w:val="24"/>
                </w:rPr>
                <m:t>0,464</m:t>
              </m:r>
            </m:den>
          </m:f>
          <m:r>
            <w:rPr>
              <w:rFonts w:ascii="Cambria Math" w:hAnsi="Cambria Math" w:cs="Sylfaen"/>
              <w:sz w:val="24"/>
              <w:szCs w:val="24"/>
            </w:rPr>
            <m:t>=1,28;</m:t>
          </m:r>
        </m:oMath>
      </m:oMathPara>
    </w:p>
    <w:p w14:paraId="51F035DE"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(2)</m:t>
              </m:r>
            </m:sub>
          </m:sSub>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μ-</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rad>
                <m:radPr>
                  <m:degHide m:val="1"/>
                  <m:ctrlPr>
                    <w:rPr>
                      <w:rFonts w:ascii="Cambria Math" w:hAnsi="Cambria Math" w:cs="Sylfaen"/>
                      <w:i/>
                      <w:sz w:val="24"/>
                      <w:szCs w:val="24"/>
                    </w:rPr>
                  </m:ctrlPr>
                </m:radPr>
                <m:deg/>
                <m:e>
                  <m:sSub>
                    <m:sSubPr>
                      <m:ctrlPr>
                        <w:rPr>
                          <w:rFonts w:ascii="Cambria Math" w:hAnsi="Cambria Math" w:cs="Sylfaen"/>
                          <w:i/>
                          <w:sz w:val="24"/>
                          <w:szCs w:val="24"/>
                        </w:rPr>
                      </m:ctrlPr>
                    </m:sSubPr>
                    <m:e>
                      <m:r>
                        <w:rPr>
                          <w:rFonts w:ascii="Cambria Math" w:hAnsi="Cambria Math" w:cs="Sylfaen"/>
                          <w:sz w:val="24"/>
                          <w:szCs w:val="24"/>
                        </w:rPr>
                        <m:t>m</m:t>
                      </m:r>
                    </m:e>
                    <m:sub>
                      <m:r>
                        <w:rPr>
                          <w:rFonts w:ascii="Cambria Math" w:hAnsi="Cambria Math" w:cs="Sylfaen"/>
                          <w:sz w:val="24"/>
                          <w:szCs w:val="24"/>
                        </w:rPr>
                        <m:t>2</m:t>
                      </m:r>
                    </m:sub>
                  </m:sSub>
                </m:e>
              </m:rad>
            </m:num>
            <m:den>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2</m:t>
                  </m:r>
                </m:sub>
              </m:sSub>
            </m:den>
          </m:f>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100-98,01</m:t>
                  </m:r>
                </m:e>
              </m:d>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15+1</m:t>
                  </m:r>
                </m:e>
              </m:rad>
            </m:num>
            <m:den>
              <m:r>
                <w:rPr>
                  <w:rFonts w:ascii="Cambria Math" w:hAnsi="Cambria Math" w:cs="Sylfaen"/>
                  <w:sz w:val="24"/>
                  <w:szCs w:val="24"/>
                </w:rPr>
                <m:t>0,110</m:t>
              </m:r>
            </m:den>
          </m:f>
          <m:r>
            <w:rPr>
              <w:rFonts w:ascii="Cambria Math" w:hAnsi="Cambria Math" w:cs="Sylfaen"/>
              <w:sz w:val="24"/>
              <w:szCs w:val="24"/>
            </w:rPr>
            <m:t>=72,36</m:t>
          </m:r>
        </m:oMath>
      </m:oMathPara>
    </w:p>
    <w:p w14:paraId="074F5A9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Քանի որ </w:t>
      </w:r>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(1)</m:t>
            </m:r>
          </m:sub>
        </m:sSub>
        <m:r>
          <w:rPr>
            <w:rFonts w:ascii="Cambria Math" w:hAnsi="Cambria Math" w:cs="Sylfaen"/>
            <w:sz w:val="24"/>
            <w:szCs w:val="24"/>
          </w:rPr>
          <m:t>=</m:t>
        </m:r>
      </m:oMath>
      <w:r w:rsidRPr="00B834A2">
        <w:rPr>
          <w:rFonts w:ascii="Sylfaen" w:hAnsi="Sylfaen"/>
          <w:sz w:val="24"/>
          <w:szCs w:val="24"/>
        </w:rPr>
        <w:t xml:space="preserve">1,28 &lt; </w:t>
      </w:r>
      <m:oMath>
        <m:sSub>
          <m:sSubPr>
            <m:ctrlPr>
              <w:rPr>
                <w:rFonts w:ascii="Cambria Math" w:hAnsi="Cambria Math" w:cs="Sylfaen"/>
                <w:i/>
                <w:sz w:val="24"/>
                <w:szCs w:val="24"/>
              </w:rPr>
            </m:ctrlPr>
          </m:sSubPr>
          <m:e>
            <m:r>
              <w:rPr>
                <w:rFonts w:ascii="Cambria Math" w:hAnsi="Cambria Math" w:cs="Sylfaen"/>
                <w:sz w:val="24"/>
                <w:szCs w:val="24"/>
              </w:rPr>
              <m:t>t</m:t>
            </m:r>
          </m:e>
          <m:sub>
            <m:r>
              <w:rPr>
                <w:rFonts w:ascii="Cambria Math" w:hAnsi="Cambria Math" w:cs="Sylfaen"/>
                <w:sz w:val="24"/>
                <w:szCs w:val="24"/>
              </w:rPr>
              <m:t>1</m:t>
            </m:r>
          </m:sub>
        </m:sSub>
      </m:oMath>
      <w:r w:rsidRPr="00B834A2">
        <w:rPr>
          <w:rFonts w:ascii="Sylfaen" w:hAnsi="Sylfaen"/>
          <w:sz w:val="24"/>
          <w:szCs w:val="24"/>
        </w:rPr>
        <w:t xml:space="preserve">(95 %, 20) = 2,09, ապա </w:t>
      </w:r>
      <m:oMath>
        <m:d>
          <m:dPr>
            <m:begChr m:val="|"/>
            <m:endChr m:val="|"/>
            <m:ctrlPr>
              <w:rPr>
                <w:rFonts w:ascii="Cambria Math" w:hAnsi="Cambria Math" w:cs="Sylfaen"/>
                <w:i/>
                <w:sz w:val="24"/>
                <w:szCs w:val="24"/>
              </w:rPr>
            </m:ctrlPr>
          </m:dPr>
          <m:e>
            <m:r>
              <w:rPr>
                <w:rFonts w:ascii="Cambria Math" w:hAnsi="Cambria Math" w:cs="Sylfaen"/>
                <w:sz w:val="24"/>
                <w:szCs w:val="24"/>
              </w:rPr>
              <m:t>μ-</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r>
          <w:rPr>
            <w:rFonts w:ascii="Cambria Math" w:hAnsi="Cambria Math" w:cs="Sylfaen"/>
            <w:sz w:val="24"/>
            <w:szCs w:val="24"/>
          </w:rPr>
          <m:t xml:space="preserve">≠0 </m:t>
        </m:r>
      </m:oMath>
      <w:r w:rsidRPr="00B834A2">
        <w:rPr>
          <w:rFonts w:ascii="Sylfaen" w:hAnsi="Sylfaen"/>
          <w:sz w:val="24"/>
          <w:szCs w:val="24"/>
        </w:rPr>
        <w:t xml:space="preserve">հիպոթեզը կարող է հերքվել, ինչը թույլ է տալիս համարել 1 ընտրանքի արդյունքները կանոնավոր սխալից զերծ: Ընդհակառակը, քանի որ </w:t>
      </w:r>
      <m:oMath>
        <m:sSub>
          <m:sSubPr>
            <m:ctrlPr>
              <w:rPr>
                <w:rFonts w:ascii="Cambria Math" w:hAnsi="Cambria Math" w:cs="Sylfaen"/>
                <w:i/>
                <w:sz w:val="24"/>
                <w:szCs w:val="24"/>
              </w:rPr>
            </m:ctrlPr>
          </m:sSubPr>
          <m:e>
            <m:r>
              <w:rPr>
                <w:rFonts w:ascii="Cambria Math" w:hAnsi="Cambria Math" w:cs="Sylfaen"/>
                <w:sz w:val="24"/>
                <w:szCs w:val="24"/>
              </w:rPr>
              <m:t>t</m:t>
            </m:r>
          </m:e>
          <m:sub>
            <m:r>
              <w:rPr>
                <w:rFonts w:ascii="Sylfaen" w:hAnsi="Sylfaen" w:cs="Sylfaen"/>
                <w:sz w:val="24"/>
                <w:szCs w:val="24"/>
              </w:rPr>
              <m:t>հաշվ</m:t>
            </m:r>
            <m:r>
              <w:rPr>
                <w:rFonts w:ascii="Cambria Math" w:hAnsi="Cambria Math" w:cs="Cambria Math"/>
                <w:sz w:val="24"/>
                <w:szCs w:val="24"/>
              </w:rPr>
              <m:t>2)</m:t>
            </m:r>
          </m:sub>
        </m:sSub>
      </m:oMath>
      <w:r w:rsidRPr="00B834A2">
        <w:rPr>
          <w:rFonts w:ascii="Sylfaen" w:hAnsi="Sylfaen"/>
          <w:sz w:val="24"/>
          <w:szCs w:val="24"/>
        </w:rPr>
        <w:t xml:space="preserve"> </w:t>
      </w:r>
      <w:r w:rsidRPr="00B834A2">
        <w:rPr>
          <w:rFonts w:ascii="Sylfaen" w:hAnsi="Sylfaen"/>
          <w:sz w:val="24"/>
          <w:szCs w:val="24"/>
          <w:vertAlign w:val="superscript"/>
        </w:rPr>
        <w:t>=</w:t>
      </w:r>
      <w:r w:rsidRPr="00B834A2">
        <w:rPr>
          <w:rFonts w:ascii="Sylfaen" w:hAnsi="Sylfaen"/>
          <w:sz w:val="24"/>
          <w:szCs w:val="24"/>
        </w:rPr>
        <w:t xml:space="preserve"> 72,36 </w:t>
      </w:r>
      <m:oMath>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t</m:t>
            </m:r>
          </m:e>
          <m:sub>
            <m:r>
              <w:rPr>
                <w:rFonts w:ascii="Cambria Math" w:hAnsi="Cambria Math" w:cs="Sylfaen"/>
                <w:sz w:val="24"/>
                <w:szCs w:val="24"/>
              </w:rPr>
              <m:t>2</m:t>
            </m:r>
          </m:sub>
        </m:sSub>
      </m:oMath>
      <w:r w:rsidRPr="00B834A2">
        <w:rPr>
          <w:rFonts w:ascii="Sylfaen" w:hAnsi="Sylfaen"/>
          <w:sz w:val="24"/>
          <w:szCs w:val="24"/>
          <w:vertAlign w:val="subscript"/>
        </w:rPr>
        <w:t xml:space="preserve"> </w:t>
      </w:r>
      <w:r w:rsidRPr="00B834A2">
        <w:rPr>
          <w:rFonts w:ascii="Sylfaen" w:hAnsi="Sylfaen"/>
          <w:sz w:val="24"/>
          <w:szCs w:val="24"/>
        </w:rPr>
        <w:t xml:space="preserve">(95 %, 15) = </w:t>
      </w:r>
      <w:r w:rsidRPr="00B834A2">
        <w:rPr>
          <w:rFonts w:ascii="Sylfaen" w:hAnsi="Sylfaen"/>
          <w:sz w:val="24"/>
          <w:szCs w:val="24"/>
        </w:rPr>
        <w:lastRenderedPageBreak/>
        <w:t xml:space="preserve">2,13, ապա </w:t>
      </w:r>
      <m:oMath>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μ</m:t>
                </m:r>
              </m:e>
              <m:sub>
                <m:r>
                  <w:rPr>
                    <w:rFonts w:ascii="Cambria Math" w:hAnsi="Cambria Math" w:cs="Sylfaen"/>
                    <w:sz w:val="24"/>
                    <w:szCs w:val="24"/>
                  </w:rPr>
                  <m:t>2</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r>
          <w:rPr>
            <w:rFonts w:ascii="Cambria Math" w:hAnsi="Cambria Math" w:cs="Sylfaen"/>
            <w:sz w:val="24"/>
            <w:szCs w:val="24"/>
          </w:rPr>
          <m:t>≠0</m:t>
        </m:r>
      </m:oMath>
      <w:r w:rsidRPr="00B834A2">
        <w:rPr>
          <w:rFonts w:ascii="Sylfaen" w:hAnsi="Sylfaen"/>
          <w:sz w:val="24"/>
          <w:szCs w:val="24"/>
        </w:rPr>
        <w:t xml:space="preserve"> հիպոթեզը ստիպված ենք ընդունել որպես վիճակագրորեն վստահելի, ինչը վկայում է 2-րդ ընտրանքի արդյունքներում կանոնավոր սխալի առկայության մասին: 13-րդ սյունակում ներմուծում ենք </w:t>
      </w:r>
      <m:oMath>
        <m:sSub>
          <m:sSubPr>
            <m:ctrlPr>
              <w:rPr>
                <w:rFonts w:ascii="Cambria Math" w:hAnsi="Cambria Math" w:cs="Sylfaen"/>
                <w:bCs/>
                <w:i/>
                <w:sz w:val="24"/>
                <w:szCs w:val="24"/>
              </w:rPr>
            </m:ctrlPr>
          </m:sSubPr>
          <m:e>
            <m:r>
              <w:rPr>
                <w:rFonts w:ascii="Cambria Math" w:hAnsi="Cambria Math" w:cs="Sylfaen"/>
                <w:sz w:val="24"/>
                <w:szCs w:val="24"/>
              </w:rPr>
              <m:t>δ</m:t>
            </m:r>
          </m:e>
          <m:sub>
            <m:r>
              <w:rPr>
                <w:rFonts w:ascii="Cambria Math" w:hAnsi="Cambria Math" w:cs="Sylfaen"/>
                <w:sz w:val="24"/>
                <w:szCs w:val="24"/>
              </w:rPr>
              <m:t>2</m:t>
            </m:r>
          </m:sub>
        </m:sSub>
        <m:r>
          <w:rPr>
            <w:rFonts w:ascii="Cambria Math" w:hAnsi="Cambria Math" w:cs="Sylfaen"/>
            <w:sz w:val="24"/>
            <w:szCs w:val="24"/>
          </w:rPr>
          <m:t xml:space="preserve"> </m:t>
        </m:r>
      </m:oMath>
      <w:r w:rsidRPr="00B834A2">
        <w:rPr>
          <w:rFonts w:ascii="Sylfaen" w:hAnsi="Sylfaen"/>
          <w:sz w:val="24"/>
          <w:szCs w:val="24"/>
        </w:rPr>
        <w:t>հաշվարկված արժեքը.</w:t>
      </w:r>
    </w:p>
    <w:p w14:paraId="0A5446E1"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bCs/>
                  <w:i/>
                  <w:sz w:val="24"/>
                  <w:szCs w:val="24"/>
                </w:rPr>
              </m:ctrlPr>
            </m:sSubPr>
            <m:e>
              <m:r>
                <w:rPr>
                  <w:rFonts w:ascii="Cambria Math" w:hAnsi="Cambria Math" w:cs="Sylfaen"/>
                  <w:sz w:val="24"/>
                  <w:szCs w:val="24"/>
                </w:rPr>
                <m:t>δ</m:t>
              </m:r>
            </m:e>
            <m:sub>
              <m:r>
                <w:rPr>
                  <w:rFonts w:ascii="Cambria Math" w:hAnsi="Cambria Math" w:cs="Sylfaen"/>
                  <w:sz w:val="24"/>
                  <w:szCs w:val="24"/>
                </w:rPr>
                <m:t>2</m:t>
              </m:r>
            </m:sub>
          </m:sSub>
          <m:r>
            <w:rPr>
              <w:rFonts w:ascii="Cambria Math" w:hAnsi="Cambria Math" w:cs="Sylfaen"/>
              <w:sz w:val="24"/>
              <w:szCs w:val="24"/>
            </w:rPr>
            <m:t>=</m:t>
          </m:r>
          <m:f>
            <m:fPr>
              <m:ctrlPr>
                <w:rPr>
                  <w:rFonts w:ascii="Cambria Math" w:hAnsi="Cambria Math" w:cs="Sylfaen"/>
                  <w:bCs/>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μ-</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e>
              </m:d>
            </m:num>
            <m:den>
              <m:r>
                <w:rPr>
                  <w:rFonts w:ascii="Cambria Math" w:hAnsi="Cambria Math" w:cs="Sylfaen"/>
                  <w:sz w:val="24"/>
                  <w:szCs w:val="24"/>
                </w:rPr>
                <m:t>μ</m:t>
              </m:r>
            </m:den>
          </m:f>
          <m:r>
            <w:rPr>
              <w:rFonts w:ascii="Cambria Math" w:hAnsi="Cambria Math" w:cs="Sylfaen"/>
              <w:sz w:val="24"/>
              <w:szCs w:val="24"/>
            </w:rPr>
            <m:t>*100%=</m:t>
          </m:r>
          <m:f>
            <m:fPr>
              <m:ctrlPr>
                <w:rPr>
                  <w:rFonts w:ascii="Cambria Math" w:hAnsi="Cambria Math" w:cs="Sylfaen"/>
                  <w:bCs/>
                  <w:i/>
                  <w:sz w:val="24"/>
                  <w:szCs w:val="24"/>
                </w:rPr>
              </m:ctrlPr>
            </m:fPr>
            <m:num>
              <m:d>
                <m:dPr>
                  <m:begChr m:val="|"/>
                  <m:endChr m:val="|"/>
                  <m:ctrlPr>
                    <w:rPr>
                      <w:rFonts w:ascii="Cambria Math" w:hAnsi="Cambria Math" w:cs="Sylfaen"/>
                      <w:bCs/>
                      <w:i/>
                      <w:sz w:val="24"/>
                      <w:szCs w:val="24"/>
                    </w:rPr>
                  </m:ctrlPr>
                </m:dPr>
                <m:e>
                  <m:r>
                    <w:rPr>
                      <w:rFonts w:ascii="Cambria Math" w:hAnsi="Cambria Math" w:cs="Sylfaen"/>
                      <w:sz w:val="24"/>
                      <w:szCs w:val="24"/>
                    </w:rPr>
                    <m:t>100-98,01</m:t>
                  </m:r>
                </m:e>
              </m:d>
            </m:num>
            <m:den>
              <m:r>
                <w:rPr>
                  <w:rFonts w:ascii="Cambria Math" w:hAnsi="Cambria Math" w:cs="Sylfaen"/>
                  <w:sz w:val="24"/>
                  <w:szCs w:val="24"/>
                </w:rPr>
                <m:t>100</m:t>
              </m:r>
            </m:den>
          </m:f>
          <m:r>
            <w:rPr>
              <w:rFonts w:ascii="Cambria Math" w:hAnsi="Cambria Math" w:cs="Sylfaen"/>
              <w:sz w:val="24"/>
              <w:szCs w:val="24"/>
            </w:rPr>
            <m:t>*100%=1,99%</m:t>
          </m:r>
        </m:oMath>
      </m:oMathPara>
    </w:p>
    <w:p w14:paraId="5E2FD34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Լրացնենք 11 </w:t>
      </w:r>
      <w:r>
        <w:rPr>
          <w:rFonts w:ascii="Sylfaen" w:hAnsi="Sylfaen"/>
          <w:sz w:val="24"/>
          <w:szCs w:val="24"/>
        </w:rPr>
        <w:t>եւ</w:t>
      </w:r>
      <w:r w:rsidRPr="00B834A2">
        <w:rPr>
          <w:rFonts w:ascii="Sylfaen" w:hAnsi="Sylfaen"/>
          <w:sz w:val="24"/>
          <w:szCs w:val="24"/>
        </w:rPr>
        <w:t xml:space="preserve"> 12 սյունակները.</w:t>
      </w:r>
    </w:p>
    <w:p w14:paraId="6BC9CED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F</w:t>
      </w:r>
      <w:r w:rsidRPr="00B834A2">
        <w:rPr>
          <w:rFonts w:ascii="Sylfaen" w:hAnsi="Sylfaen"/>
          <w:sz w:val="24"/>
          <w:szCs w:val="24"/>
        </w:rPr>
        <w:t>(99 %. 20. 15) = 3,36.</w:t>
      </w:r>
    </w:p>
    <w:p w14:paraId="381206B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F=</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num>
            <m:den>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0,215</m:t>
              </m:r>
            </m:num>
            <m:den>
              <m:r>
                <w:rPr>
                  <w:rFonts w:ascii="Cambria Math" w:hAnsi="Cambria Math" w:cs="Sylfaen"/>
                  <w:sz w:val="24"/>
                  <w:szCs w:val="24"/>
                </w:rPr>
                <m:t>0,012</m:t>
              </m:r>
            </m:den>
          </m:f>
          <m:r>
            <w:rPr>
              <w:rFonts w:ascii="Cambria Math" w:hAnsi="Cambria Math" w:cs="Sylfaen"/>
              <w:sz w:val="24"/>
              <w:szCs w:val="24"/>
            </w:rPr>
            <m:t>=17,92;</m:t>
          </m:r>
        </m:oMath>
      </m:oMathPara>
    </w:p>
    <w:p w14:paraId="2697B1C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F=17,92≫F</m:t>
          </m:r>
          <m:d>
            <m:dPr>
              <m:ctrlPr>
                <w:rPr>
                  <w:rFonts w:ascii="Cambria Math" w:hAnsi="Cambria Math" w:cs="Sylfaen"/>
                  <w:i/>
                  <w:sz w:val="24"/>
                  <w:szCs w:val="24"/>
                </w:rPr>
              </m:ctrlPr>
            </m:dPr>
            <m:e>
              <m:r>
                <w:rPr>
                  <w:rFonts w:ascii="Cambria Math" w:hAnsi="Cambria Math" w:cs="Sylfaen"/>
                  <w:sz w:val="24"/>
                  <w:szCs w:val="24"/>
                </w:rPr>
                <m:t>99%;50:15</m:t>
              </m:r>
            </m:e>
          </m:d>
          <m:r>
            <w:rPr>
              <w:rFonts w:ascii="Cambria Math" w:hAnsi="Cambria Math" w:cs="Sylfaen"/>
              <w:sz w:val="24"/>
              <w:szCs w:val="24"/>
            </w:rPr>
            <m:t>=3,36.</m:t>
          </m:r>
        </m:oMath>
      </m:oMathPara>
    </w:p>
    <w:p w14:paraId="248D0F3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Հետ</w:t>
      </w:r>
      <w:r>
        <w:rPr>
          <w:rFonts w:ascii="Sylfaen" w:hAnsi="Sylfaen"/>
          <w:sz w:val="24"/>
          <w:szCs w:val="24"/>
        </w:rPr>
        <w:t>եւ</w:t>
      </w:r>
      <w:r w:rsidRPr="00B834A2">
        <w:rPr>
          <w:rFonts w:ascii="Sylfaen" w:hAnsi="Sylfaen"/>
          <w:sz w:val="24"/>
          <w:szCs w:val="24"/>
        </w:rPr>
        <w:t xml:space="preserve">աբար, </w:t>
      </w:r>
      <w:r w:rsidRPr="00B834A2">
        <w:rPr>
          <w:rFonts w:ascii="Sylfaen" w:hAnsi="Sylfaen"/>
          <w:i/>
          <w:sz w:val="24"/>
          <w:szCs w:val="24"/>
        </w:rPr>
        <w:t>P</w:t>
      </w:r>
      <w:r w:rsidRPr="00B834A2">
        <w:rPr>
          <w:rFonts w:ascii="Sylfaen" w:hAnsi="Sylfaen"/>
          <w:i/>
          <w:sz w:val="24"/>
          <w:szCs w:val="24"/>
          <w:vertAlign w:val="subscript"/>
        </w:rPr>
        <w:t>1</w:t>
      </w:r>
      <w:r w:rsidRPr="00B834A2">
        <w:rPr>
          <w:rFonts w:ascii="Sylfaen" w:hAnsi="Sylfaen"/>
          <w:sz w:val="24"/>
          <w:szCs w:val="24"/>
        </w:rPr>
        <w:t xml:space="preserve"> = 99 % -ի դեպքում </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1</m:t>
            </m:r>
          </m:sub>
          <m:sup>
            <m:r>
              <m:rPr>
                <m:sty m:val="p"/>
              </m:rPr>
              <w:rPr>
                <w:rFonts w:ascii="Cambria Math" w:hAnsi="Cambria Math"/>
                <w:sz w:val="24"/>
                <w:szCs w:val="24"/>
              </w:rPr>
              <m:t>2</m:t>
            </m:r>
          </m:sup>
        </m:sSubSup>
      </m:oMath>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s</m:t>
            </m:r>
          </m:e>
          <m:sub>
            <m:r>
              <m:rPr>
                <m:sty m:val="p"/>
              </m:rPr>
              <w:rPr>
                <w:rFonts w:ascii="Cambria Math" w:hAnsi="Cambria Math"/>
                <w:sz w:val="24"/>
                <w:szCs w:val="24"/>
              </w:rPr>
              <m:t>2</m:t>
            </m:r>
          </m:sub>
          <m:sup>
            <m:r>
              <m:rPr>
                <m:sty m:val="p"/>
              </m:rPr>
              <w:rPr>
                <w:rFonts w:ascii="Cambria Math" w:hAnsi="Cambria Math"/>
                <w:sz w:val="24"/>
                <w:szCs w:val="24"/>
              </w:rPr>
              <m:t>2</m:t>
            </m:r>
          </m:sup>
        </m:sSubSup>
        <m:r>
          <m:rPr>
            <m:sty m:val="p"/>
          </m:rPr>
          <w:rPr>
            <w:rFonts w:ascii="Cambria Math" w:hAnsi="Cambria Math"/>
            <w:sz w:val="24"/>
            <w:szCs w:val="24"/>
          </w:rPr>
          <m:t xml:space="preserve"> </m:t>
        </m:r>
      </m:oMath>
      <w:r w:rsidRPr="00B834A2">
        <w:rPr>
          <w:rFonts w:ascii="Sylfaen" w:hAnsi="Sylfaen"/>
          <w:sz w:val="24"/>
          <w:szCs w:val="24"/>
        </w:rPr>
        <w:t>դիսպերսիաների տարբերության մասին հիպոթեզն անհրաժեշտ է ճանաչել վիճակագրորեն հավաստի:</w:t>
      </w:r>
    </w:p>
    <w:p w14:paraId="528C9F1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Եզրահանգումներ.</w:t>
      </w:r>
    </w:p>
    <w:p w14:paraId="77C042D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07646">
        <w:rPr>
          <w:rFonts w:ascii="Sylfaen" w:hAnsi="Sylfaen"/>
          <w:spacing w:val="-6"/>
          <w:sz w:val="24"/>
          <w:szCs w:val="24"/>
        </w:rPr>
        <w:t>առաջին մեթոդիկայի օգտագործման դեպքում ստացված արդյունքները ճիշտ են, այսինքն</w:t>
      </w:r>
      <w:r w:rsidRPr="00B834A2">
        <w:rPr>
          <w:rFonts w:ascii="Sylfaen" w:hAnsi="Sylfaen"/>
          <w:sz w:val="24"/>
          <w:szCs w:val="24"/>
        </w:rPr>
        <w:t>՝ դրանք ծանրաբեռնված չեն կանոնավոր սխալանքով.</w:t>
      </w:r>
    </w:p>
    <w:p w14:paraId="25D049B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երկրորդ մեթոդիկայի օգտագործման ժամանակ ստացված արդյունքները ծանրաբեռնված են կանոնավոր սխալանքով.</w:t>
      </w:r>
    </w:p>
    <w:p w14:paraId="42A963E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ճշգրտությամբ երկրորդ մեթոդիկան էականորեն գերազանցում է առաջին մեթոդիկան:</w:t>
      </w:r>
    </w:p>
    <w:p w14:paraId="77695326" w14:textId="77777777" w:rsidR="00B07646" w:rsidRPr="002E52D1" w:rsidRDefault="00B07646" w:rsidP="00B07646">
      <w:pPr>
        <w:pStyle w:val="a0"/>
        <w:shd w:val="clear" w:color="auto" w:fill="auto"/>
        <w:tabs>
          <w:tab w:val="left" w:pos="1134"/>
        </w:tabs>
        <w:spacing w:after="160" w:line="360" w:lineRule="auto"/>
        <w:ind w:firstLine="567"/>
        <w:jc w:val="both"/>
        <w:rPr>
          <w:rFonts w:ascii="Sylfaen" w:hAnsi="Sylfaen"/>
          <w:b/>
          <w:sz w:val="24"/>
          <w:szCs w:val="24"/>
        </w:rPr>
      </w:pPr>
    </w:p>
    <w:p w14:paraId="1EA7E3A6"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6.5.</w:t>
      </w:r>
      <w:r w:rsidR="00B07646" w:rsidRPr="00B07646">
        <w:rPr>
          <w:rFonts w:ascii="Sylfaen" w:hAnsi="Sylfaen"/>
          <w:b/>
          <w:sz w:val="24"/>
          <w:szCs w:val="24"/>
        </w:rPr>
        <w:tab/>
      </w:r>
      <w:r w:rsidRPr="00B834A2">
        <w:rPr>
          <w:rFonts w:ascii="Sylfaen" w:hAnsi="Sylfaen"/>
          <w:b/>
          <w:sz w:val="24"/>
          <w:szCs w:val="24"/>
        </w:rPr>
        <w:t>Երկու ընտրանքների միջին արդյունքների համեմատում</w:t>
      </w:r>
    </w:p>
    <w:p w14:paraId="29D5211C" w14:textId="77777777" w:rsidR="00B834A2" w:rsidRPr="00B834A2" w:rsidRDefault="00B834A2" w:rsidP="00B834A2">
      <w:pPr>
        <w:spacing w:after="160" w:line="360" w:lineRule="auto"/>
        <w:ind w:firstLine="567"/>
        <w:jc w:val="both"/>
      </w:pPr>
      <w:r w:rsidRPr="00B834A2">
        <w:t>Տարբեր տեխնոլոգիայով արտադրված դեղապատրաստուկի երկու նմուշներում ազդող նյութի պարունակությունը որոշելիս ստացվել են 6.5-10 աղյուսակում բերված միջին արդյունքների վիճակագրական մշակման համար տվյալները: Պահանջվում է որոշել, թե արդյոք ըստ տվյալ ցուցանիշի առաջին նմուշը լավագույնն է՝ երկրորդ նմուշի հետ համեմատած:</w:t>
      </w:r>
    </w:p>
    <w:p w14:paraId="706405C9" w14:textId="77777777" w:rsidR="00B834A2" w:rsidRPr="00B834A2" w:rsidRDefault="00CC0C6B" w:rsidP="00B834A2">
      <w:pPr>
        <w:spacing w:after="160" w:line="360" w:lineRule="auto"/>
        <w:ind w:firstLine="567"/>
        <w:jc w:val="both"/>
      </w:pPr>
      <w:r w:rsidRPr="00B07646">
        <w:lastRenderedPageBreak/>
        <w:t>Աղյուսակ 6.4-9.</w:t>
      </w:r>
    </w:p>
    <w:tbl>
      <w:tblPr>
        <w:tblOverlap w:val="never"/>
        <w:tblW w:w="10150" w:type="dxa"/>
        <w:jc w:val="center"/>
        <w:tblLayout w:type="fixed"/>
        <w:tblCellMar>
          <w:left w:w="10" w:type="dxa"/>
          <w:right w:w="10" w:type="dxa"/>
        </w:tblCellMar>
        <w:tblLook w:val="0000" w:firstRow="0" w:lastRow="0" w:firstColumn="0" w:lastColumn="0" w:noHBand="0" w:noVBand="0"/>
      </w:tblPr>
      <w:tblGrid>
        <w:gridCol w:w="1207"/>
        <w:gridCol w:w="619"/>
        <w:gridCol w:w="552"/>
        <w:gridCol w:w="758"/>
        <w:gridCol w:w="648"/>
        <w:gridCol w:w="701"/>
        <w:gridCol w:w="1129"/>
        <w:gridCol w:w="475"/>
        <w:gridCol w:w="638"/>
        <w:gridCol w:w="653"/>
        <w:gridCol w:w="1211"/>
        <w:gridCol w:w="851"/>
        <w:gridCol w:w="708"/>
      </w:tblGrid>
      <w:tr w:rsidR="00B834A2" w:rsidRPr="00B07646" w14:paraId="4FD68538" w14:textId="77777777" w:rsidTr="007F19B6">
        <w:trPr>
          <w:jc w:val="center"/>
        </w:trPr>
        <w:tc>
          <w:tcPr>
            <w:tcW w:w="1207" w:type="dxa"/>
            <w:tcBorders>
              <w:top w:val="single" w:sz="4" w:space="0" w:color="auto"/>
            </w:tcBorders>
            <w:shd w:val="clear" w:color="auto" w:fill="FFFFFF"/>
            <w:vAlign w:val="center"/>
          </w:tcPr>
          <w:p w14:paraId="483EEF53"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Ընտրանքի համարը</w:t>
            </w:r>
          </w:p>
        </w:tc>
        <w:tc>
          <w:tcPr>
            <w:tcW w:w="619" w:type="dxa"/>
            <w:tcBorders>
              <w:top w:val="single" w:sz="4" w:space="0" w:color="auto"/>
            </w:tcBorders>
            <w:shd w:val="clear" w:color="auto" w:fill="FFFFFF"/>
            <w:vAlign w:val="center"/>
          </w:tcPr>
          <w:p w14:paraId="31700E02" w14:textId="77777777" w:rsidR="00B834A2" w:rsidRPr="00B07646" w:rsidRDefault="00B834A2" w:rsidP="00CC0C6B">
            <w:pPr>
              <w:pStyle w:val="a0"/>
              <w:shd w:val="clear" w:color="auto" w:fill="auto"/>
              <w:spacing w:after="120" w:line="240" w:lineRule="auto"/>
              <w:ind w:left="-76" w:firstLine="23"/>
              <w:jc w:val="center"/>
              <w:rPr>
                <w:rFonts w:ascii="Sylfaen" w:hAnsi="Sylfaen" w:cs="Sylfaen"/>
              </w:rPr>
            </w:pPr>
            <m:oMathPara>
              <m:oMath>
                <m:r>
                  <w:rPr>
                    <w:rFonts w:ascii="Cambria Math" w:hAnsi="Cambria Math" w:cs="Sylfaen"/>
                  </w:rPr>
                  <m:t>μ</m:t>
                </m:r>
              </m:oMath>
            </m:oMathPara>
          </w:p>
        </w:tc>
        <w:tc>
          <w:tcPr>
            <w:tcW w:w="552" w:type="dxa"/>
            <w:tcBorders>
              <w:top w:val="single" w:sz="4" w:space="0" w:color="auto"/>
            </w:tcBorders>
            <w:shd w:val="clear" w:color="auto" w:fill="FFFFFF"/>
            <w:vAlign w:val="center"/>
          </w:tcPr>
          <w:p w14:paraId="32D627D0" w14:textId="77777777" w:rsidR="00B834A2" w:rsidRPr="00B07646" w:rsidRDefault="00B834A2" w:rsidP="00CC0C6B">
            <w:pPr>
              <w:pStyle w:val="a0"/>
              <w:shd w:val="clear" w:color="auto" w:fill="auto"/>
              <w:spacing w:after="120" w:line="240" w:lineRule="auto"/>
              <w:ind w:left="-76" w:firstLine="23"/>
              <w:jc w:val="center"/>
              <w:rPr>
                <w:rFonts w:ascii="Sylfaen" w:hAnsi="Sylfaen" w:cs="Sylfaen"/>
              </w:rPr>
            </w:pPr>
            <m:oMathPara>
              <m:oMath>
                <m:r>
                  <w:rPr>
                    <w:rFonts w:ascii="Cambria Math" w:hAnsi="Cambria Math" w:cs="Sylfaen"/>
                  </w:rPr>
                  <m:t>f</m:t>
                </m:r>
              </m:oMath>
            </m:oMathPara>
          </w:p>
        </w:tc>
        <w:tc>
          <w:tcPr>
            <w:tcW w:w="758" w:type="dxa"/>
            <w:tcBorders>
              <w:top w:val="single" w:sz="4" w:space="0" w:color="auto"/>
            </w:tcBorders>
            <w:shd w:val="clear" w:color="auto" w:fill="FFFFFF"/>
            <w:vAlign w:val="center"/>
          </w:tcPr>
          <w:p w14:paraId="5CC21C2B" w14:textId="77777777" w:rsidR="00B834A2" w:rsidRPr="00B07646" w:rsidRDefault="00B834A2" w:rsidP="00CC0C6B">
            <w:pPr>
              <w:pStyle w:val="a0"/>
              <w:shd w:val="clear" w:color="auto" w:fill="auto"/>
              <w:spacing w:after="120" w:line="240" w:lineRule="auto"/>
              <w:ind w:left="-76" w:firstLine="23"/>
              <w:jc w:val="center"/>
              <w:rPr>
                <w:rFonts w:ascii="Sylfaen" w:hAnsi="Sylfaen" w:cs="Sylfaen"/>
                <w:i/>
              </w:rPr>
            </w:pPr>
            <w:r w:rsidRPr="00B07646">
              <w:rPr>
                <w:rFonts w:ascii="Sylfaen" w:hAnsi="Sylfaen"/>
                <w:i/>
              </w:rPr>
              <w:t>¯x,%</w:t>
            </w:r>
          </w:p>
        </w:tc>
        <w:tc>
          <w:tcPr>
            <w:tcW w:w="648" w:type="dxa"/>
            <w:tcBorders>
              <w:top w:val="single" w:sz="4" w:space="0" w:color="auto"/>
            </w:tcBorders>
            <w:shd w:val="clear" w:color="auto" w:fill="FFFFFF"/>
            <w:vAlign w:val="center"/>
          </w:tcPr>
          <w:p w14:paraId="1DBF9403" w14:textId="77777777" w:rsidR="00B834A2" w:rsidRPr="00B07646" w:rsidRDefault="00B834A2" w:rsidP="00CC0C6B">
            <w:pPr>
              <w:pStyle w:val="a0"/>
              <w:shd w:val="clear" w:color="auto" w:fill="auto"/>
              <w:spacing w:after="120" w:line="240" w:lineRule="auto"/>
              <w:ind w:left="-76" w:firstLine="23"/>
              <w:jc w:val="center"/>
              <w:rPr>
                <w:rFonts w:ascii="Sylfaen" w:hAnsi="Sylfaen" w:cs="Sylfaen"/>
                <w:i/>
              </w:rPr>
            </w:pPr>
            <w:r w:rsidRPr="00B07646">
              <w:rPr>
                <w:rFonts w:ascii="Sylfaen" w:hAnsi="Sylfaen"/>
                <w:i/>
              </w:rPr>
              <w:t>s</w:t>
            </w:r>
          </w:p>
        </w:tc>
        <w:tc>
          <w:tcPr>
            <w:tcW w:w="701" w:type="dxa"/>
            <w:tcBorders>
              <w:top w:val="single" w:sz="4" w:space="0" w:color="auto"/>
            </w:tcBorders>
            <w:shd w:val="clear" w:color="auto" w:fill="FFFFFF"/>
            <w:vAlign w:val="center"/>
          </w:tcPr>
          <w:p w14:paraId="599DEA44" w14:textId="77777777" w:rsidR="00B834A2" w:rsidRPr="00B07646" w:rsidRDefault="00B834A2" w:rsidP="00CC0C6B">
            <w:pPr>
              <w:pStyle w:val="a0"/>
              <w:shd w:val="clear" w:color="auto" w:fill="auto"/>
              <w:spacing w:after="120" w:line="240" w:lineRule="auto"/>
              <w:ind w:left="-76" w:firstLine="23"/>
              <w:jc w:val="center"/>
              <w:rPr>
                <w:rFonts w:ascii="Sylfaen" w:hAnsi="Sylfaen" w:cs="Sylfaen"/>
                <w:i/>
              </w:rPr>
            </w:pPr>
            <w:r w:rsidRPr="00B07646">
              <w:rPr>
                <w:rFonts w:ascii="Sylfaen" w:hAnsi="Sylfaen"/>
                <w:i/>
              </w:rPr>
              <w:t>P</w:t>
            </w:r>
            <w:r w:rsidRPr="00B07646">
              <w:rPr>
                <w:rFonts w:ascii="Sylfaen" w:hAnsi="Sylfaen"/>
                <w:i/>
                <w:vertAlign w:val="subscript"/>
              </w:rPr>
              <w:t xml:space="preserve">2, </w:t>
            </w:r>
            <w:r w:rsidRPr="00B07646">
              <w:rPr>
                <w:rFonts w:ascii="Sylfaen" w:hAnsi="Sylfaen"/>
                <w:i/>
              </w:rPr>
              <w:t>%</w:t>
            </w:r>
          </w:p>
        </w:tc>
        <w:tc>
          <w:tcPr>
            <w:tcW w:w="1129" w:type="dxa"/>
            <w:tcBorders>
              <w:top w:val="single" w:sz="4" w:space="0" w:color="auto"/>
            </w:tcBorders>
            <w:shd w:val="clear" w:color="auto" w:fill="FFFFFF"/>
            <w:vAlign w:val="bottom"/>
          </w:tcPr>
          <w:p w14:paraId="1A310EDE"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w:r w:rsidRPr="00B07646">
              <w:rPr>
                <w:rFonts w:ascii="Sylfaen" w:hAnsi="Sylfaen"/>
                <w:i/>
              </w:rPr>
              <w:t>t(P</w:t>
            </w:r>
            <w:r w:rsidRPr="00B07646">
              <w:rPr>
                <w:rFonts w:ascii="Sylfaen" w:hAnsi="Sylfaen"/>
                <w:i/>
                <w:vertAlign w:val="subscript"/>
              </w:rPr>
              <w:t>2</w:t>
            </w:r>
            <w:r w:rsidRPr="00B07646">
              <w:rPr>
                <w:rFonts w:ascii="Sylfaen" w:hAnsi="Sylfaen"/>
                <w:i/>
              </w:rPr>
              <w:t>,f)</w:t>
            </w:r>
          </w:p>
          <w:p w14:paraId="67141E28"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(աղյուսակ)</w:t>
            </w:r>
          </w:p>
        </w:tc>
        <w:tc>
          <w:tcPr>
            <w:tcW w:w="475" w:type="dxa"/>
            <w:tcBorders>
              <w:top w:val="single" w:sz="4" w:space="0" w:color="auto"/>
            </w:tcBorders>
            <w:shd w:val="clear" w:color="auto" w:fill="FFFFFF"/>
            <w:vAlign w:val="center"/>
          </w:tcPr>
          <w:p w14:paraId="09D5D7A0"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m:oMathPara>
              <m:oMath>
                <m:r>
                  <w:rPr>
                    <w:rFonts w:ascii="Cambria Math" w:hAnsi="Cambria Math" w:cs="Sylfaen"/>
                  </w:rPr>
                  <m:t>∆x</m:t>
                </m:r>
              </m:oMath>
            </m:oMathPara>
          </w:p>
        </w:tc>
        <w:tc>
          <w:tcPr>
            <w:tcW w:w="638" w:type="dxa"/>
            <w:tcBorders>
              <w:top w:val="single" w:sz="4" w:space="0" w:color="auto"/>
            </w:tcBorders>
            <w:shd w:val="clear" w:color="auto" w:fill="FFFFFF"/>
            <w:vAlign w:val="center"/>
          </w:tcPr>
          <w:p w14:paraId="6BBDC899"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m:oMathPara>
              <m:oMath>
                <m:r>
                  <w:rPr>
                    <w:rFonts w:ascii="Cambria Math" w:hAnsi="Cambria Math" w:cs="Sylfaen"/>
                  </w:rPr>
                  <m:t>ε</m:t>
                </m:r>
              </m:oMath>
            </m:oMathPara>
          </w:p>
        </w:tc>
        <w:tc>
          <w:tcPr>
            <w:tcW w:w="653" w:type="dxa"/>
            <w:tcBorders>
              <w:top w:val="single" w:sz="4" w:space="0" w:color="auto"/>
            </w:tcBorders>
            <w:shd w:val="clear" w:color="auto" w:fill="FFFFFF"/>
            <w:vAlign w:val="center"/>
          </w:tcPr>
          <w:p w14:paraId="6AC58D9D"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m:oMathPara>
              <m:oMath>
                <m:r>
                  <w:rPr>
                    <w:rFonts w:ascii="Sylfaen" w:hAnsi="Sylfaen" w:cs="Sylfaen"/>
                  </w:rPr>
                  <m:t>հաշվ</m:t>
                </m:r>
              </m:oMath>
            </m:oMathPara>
          </w:p>
        </w:tc>
        <w:tc>
          <w:tcPr>
            <w:tcW w:w="1211" w:type="dxa"/>
            <w:tcBorders>
              <w:top w:val="single" w:sz="4" w:space="0" w:color="auto"/>
            </w:tcBorders>
            <w:shd w:val="clear" w:color="auto" w:fill="FFFFFF"/>
            <w:vAlign w:val="bottom"/>
          </w:tcPr>
          <w:p w14:paraId="37D6BFF0"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w:r w:rsidRPr="00B07646">
              <w:rPr>
                <w:rFonts w:ascii="Sylfaen" w:hAnsi="Sylfaen"/>
                <w:i/>
              </w:rPr>
              <w:t>F(P</w:t>
            </w:r>
            <w:r w:rsidRPr="00B07646">
              <w:rPr>
                <w:rFonts w:ascii="Sylfaen" w:hAnsi="Sylfaen"/>
                <w:i/>
                <w:vertAlign w:val="subscript"/>
              </w:rPr>
              <w:t>1</w:t>
            </w:r>
            <w:r w:rsidRPr="00B07646">
              <w:rPr>
                <w:rFonts w:ascii="Sylfaen" w:hAnsi="Sylfaen"/>
                <w:i/>
              </w:rPr>
              <w:t>,f</w:t>
            </w:r>
            <w:r w:rsidRPr="00B07646">
              <w:rPr>
                <w:rFonts w:ascii="Sylfaen" w:hAnsi="Sylfaen"/>
                <w:i/>
                <w:vertAlign w:val="subscript"/>
              </w:rPr>
              <w:t>1</w:t>
            </w:r>
            <w:r w:rsidRPr="00B07646">
              <w:rPr>
                <w:rFonts w:ascii="Sylfaen" w:hAnsi="Sylfaen"/>
                <w:i/>
              </w:rPr>
              <w:t>,f</w:t>
            </w:r>
            <w:r w:rsidRPr="00B07646">
              <w:rPr>
                <w:rFonts w:ascii="Sylfaen" w:hAnsi="Sylfaen"/>
                <w:i/>
                <w:vertAlign w:val="subscript"/>
              </w:rPr>
              <w:t>2</w:t>
            </w:r>
            <w:r w:rsidRPr="00B07646">
              <w:rPr>
                <w:rFonts w:ascii="Sylfaen" w:hAnsi="Sylfaen"/>
                <w:i/>
              </w:rPr>
              <w:t>)</w:t>
            </w:r>
          </w:p>
          <w:p w14:paraId="448E366D"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(աղյուսակ)</w:t>
            </w:r>
          </w:p>
          <w:p w14:paraId="1ECABE14"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w:r w:rsidRPr="00B07646">
              <w:rPr>
                <w:rFonts w:ascii="Sylfaen" w:hAnsi="Sylfaen"/>
              </w:rPr>
              <w:t>P=99%</w:t>
            </w:r>
          </w:p>
        </w:tc>
        <w:tc>
          <w:tcPr>
            <w:tcW w:w="851" w:type="dxa"/>
            <w:tcBorders>
              <w:top w:val="single" w:sz="4" w:space="0" w:color="auto"/>
            </w:tcBorders>
            <w:shd w:val="clear" w:color="auto" w:fill="FFFFFF"/>
            <w:vAlign w:val="center"/>
          </w:tcPr>
          <w:p w14:paraId="62EACDDF" w14:textId="77777777" w:rsidR="00B834A2" w:rsidRPr="00B07646" w:rsidRDefault="00000000" w:rsidP="00CC0C6B">
            <w:pPr>
              <w:pStyle w:val="a0"/>
              <w:shd w:val="clear" w:color="auto" w:fill="auto"/>
              <w:spacing w:after="120" w:line="240" w:lineRule="auto"/>
              <w:ind w:firstLine="23"/>
              <w:jc w:val="center"/>
              <w:rPr>
                <w:rFonts w:ascii="Sylfaen" w:hAnsi="Sylfaen" w:cs="Sylfaen"/>
                <w:i/>
              </w:rPr>
            </w:pPr>
            <m:oMathPara>
              <m:oMath>
                <m:sSub>
                  <m:sSubPr>
                    <m:ctrlPr>
                      <w:rPr>
                        <w:rFonts w:ascii="Cambria Math" w:hAnsi="Cambria Math" w:cs="Sylfaen"/>
                        <w:i/>
                      </w:rPr>
                    </m:ctrlPr>
                  </m:sSubPr>
                  <m:e>
                    <m:r>
                      <w:rPr>
                        <w:rFonts w:ascii="Cambria Math" w:hAnsi="Cambria Math" w:cs="Sylfaen"/>
                      </w:rPr>
                      <m:t>F</m:t>
                    </m:r>
                  </m:e>
                  <m:sub>
                    <m:r>
                      <w:rPr>
                        <w:rFonts w:ascii="Sylfaen" w:hAnsi="Sylfaen" w:cs="Sylfaen"/>
                      </w:rPr>
                      <m:t>հաշվ</m:t>
                    </m:r>
                  </m:sub>
                </m:sSub>
              </m:oMath>
            </m:oMathPara>
          </w:p>
        </w:tc>
        <w:tc>
          <w:tcPr>
            <w:tcW w:w="708" w:type="dxa"/>
            <w:tcBorders>
              <w:top w:val="single" w:sz="4" w:space="0" w:color="auto"/>
            </w:tcBorders>
            <w:shd w:val="clear" w:color="auto" w:fill="FFFFFF"/>
            <w:vAlign w:val="center"/>
          </w:tcPr>
          <w:p w14:paraId="64E8BE39" w14:textId="77777777" w:rsidR="00B834A2" w:rsidRPr="00B07646" w:rsidRDefault="00B834A2" w:rsidP="00CC0C6B">
            <w:pPr>
              <w:pStyle w:val="a0"/>
              <w:shd w:val="clear" w:color="auto" w:fill="auto"/>
              <w:spacing w:after="120" w:line="240" w:lineRule="auto"/>
              <w:ind w:firstLine="23"/>
              <w:jc w:val="center"/>
              <w:rPr>
                <w:rFonts w:ascii="Sylfaen" w:hAnsi="Sylfaen" w:cs="Sylfaen"/>
                <w:i/>
              </w:rPr>
            </w:pPr>
            <m:oMathPara>
              <m:oMath>
                <m:r>
                  <w:rPr>
                    <w:rFonts w:ascii="Cambria Math" w:hAnsi="Cambria Math" w:cs="Sylfaen"/>
                  </w:rPr>
                  <m:t>δ</m:t>
                </m:r>
              </m:oMath>
            </m:oMathPara>
          </w:p>
        </w:tc>
      </w:tr>
      <w:tr w:rsidR="00B834A2" w:rsidRPr="00B07646" w14:paraId="6DB30BCE" w14:textId="77777777" w:rsidTr="007F19B6">
        <w:trPr>
          <w:jc w:val="center"/>
        </w:trPr>
        <w:tc>
          <w:tcPr>
            <w:tcW w:w="1207" w:type="dxa"/>
            <w:tcBorders>
              <w:top w:val="single" w:sz="4" w:space="0" w:color="auto"/>
            </w:tcBorders>
            <w:shd w:val="clear" w:color="auto" w:fill="FFFFFF"/>
            <w:vAlign w:val="bottom"/>
          </w:tcPr>
          <w:p w14:paraId="73C1A07D"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w:t>
            </w:r>
          </w:p>
        </w:tc>
        <w:tc>
          <w:tcPr>
            <w:tcW w:w="619" w:type="dxa"/>
            <w:tcBorders>
              <w:top w:val="single" w:sz="4" w:space="0" w:color="auto"/>
            </w:tcBorders>
            <w:shd w:val="clear" w:color="auto" w:fill="FFFFFF"/>
            <w:vAlign w:val="bottom"/>
          </w:tcPr>
          <w:p w14:paraId="6636D1DF"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2</w:t>
            </w:r>
          </w:p>
        </w:tc>
        <w:tc>
          <w:tcPr>
            <w:tcW w:w="552" w:type="dxa"/>
            <w:tcBorders>
              <w:top w:val="single" w:sz="4" w:space="0" w:color="auto"/>
            </w:tcBorders>
            <w:shd w:val="clear" w:color="auto" w:fill="FFFFFF"/>
            <w:vAlign w:val="center"/>
          </w:tcPr>
          <w:p w14:paraId="601E3898"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3</w:t>
            </w:r>
          </w:p>
        </w:tc>
        <w:tc>
          <w:tcPr>
            <w:tcW w:w="758" w:type="dxa"/>
            <w:tcBorders>
              <w:top w:val="single" w:sz="4" w:space="0" w:color="auto"/>
            </w:tcBorders>
            <w:shd w:val="clear" w:color="auto" w:fill="FFFFFF"/>
            <w:vAlign w:val="center"/>
          </w:tcPr>
          <w:p w14:paraId="026DFE3B"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4</w:t>
            </w:r>
          </w:p>
        </w:tc>
        <w:tc>
          <w:tcPr>
            <w:tcW w:w="648" w:type="dxa"/>
            <w:tcBorders>
              <w:top w:val="single" w:sz="4" w:space="0" w:color="auto"/>
            </w:tcBorders>
            <w:shd w:val="clear" w:color="auto" w:fill="FFFFFF"/>
            <w:vAlign w:val="center"/>
          </w:tcPr>
          <w:p w14:paraId="50BEDD32"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5</w:t>
            </w:r>
          </w:p>
        </w:tc>
        <w:tc>
          <w:tcPr>
            <w:tcW w:w="701" w:type="dxa"/>
            <w:tcBorders>
              <w:top w:val="single" w:sz="4" w:space="0" w:color="auto"/>
            </w:tcBorders>
            <w:shd w:val="clear" w:color="auto" w:fill="FFFFFF"/>
            <w:vAlign w:val="bottom"/>
          </w:tcPr>
          <w:p w14:paraId="4538B71C"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6</w:t>
            </w:r>
          </w:p>
        </w:tc>
        <w:tc>
          <w:tcPr>
            <w:tcW w:w="1129" w:type="dxa"/>
            <w:tcBorders>
              <w:top w:val="single" w:sz="4" w:space="0" w:color="auto"/>
            </w:tcBorders>
            <w:shd w:val="clear" w:color="auto" w:fill="FFFFFF"/>
            <w:vAlign w:val="center"/>
          </w:tcPr>
          <w:p w14:paraId="2BD585E3"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7</w:t>
            </w:r>
          </w:p>
        </w:tc>
        <w:tc>
          <w:tcPr>
            <w:tcW w:w="475" w:type="dxa"/>
            <w:tcBorders>
              <w:top w:val="single" w:sz="4" w:space="0" w:color="auto"/>
            </w:tcBorders>
            <w:shd w:val="clear" w:color="auto" w:fill="FFFFFF"/>
            <w:vAlign w:val="bottom"/>
          </w:tcPr>
          <w:p w14:paraId="397E31B4"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8</w:t>
            </w:r>
          </w:p>
        </w:tc>
        <w:tc>
          <w:tcPr>
            <w:tcW w:w="638" w:type="dxa"/>
            <w:tcBorders>
              <w:top w:val="single" w:sz="4" w:space="0" w:color="auto"/>
            </w:tcBorders>
            <w:shd w:val="clear" w:color="auto" w:fill="FFFFFF"/>
            <w:vAlign w:val="center"/>
          </w:tcPr>
          <w:p w14:paraId="394590DF"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9</w:t>
            </w:r>
          </w:p>
        </w:tc>
        <w:tc>
          <w:tcPr>
            <w:tcW w:w="653" w:type="dxa"/>
            <w:tcBorders>
              <w:top w:val="single" w:sz="4" w:space="0" w:color="auto"/>
            </w:tcBorders>
            <w:shd w:val="clear" w:color="auto" w:fill="FFFFFF"/>
            <w:vAlign w:val="bottom"/>
          </w:tcPr>
          <w:p w14:paraId="3CD3839E"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10</w:t>
            </w:r>
          </w:p>
        </w:tc>
        <w:tc>
          <w:tcPr>
            <w:tcW w:w="1211" w:type="dxa"/>
            <w:tcBorders>
              <w:top w:val="single" w:sz="4" w:space="0" w:color="auto"/>
            </w:tcBorders>
            <w:shd w:val="clear" w:color="auto" w:fill="FFFFFF"/>
            <w:vAlign w:val="bottom"/>
          </w:tcPr>
          <w:p w14:paraId="196D1E9D"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11</w:t>
            </w:r>
          </w:p>
        </w:tc>
        <w:tc>
          <w:tcPr>
            <w:tcW w:w="851" w:type="dxa"/>
            <w:tcBorders>
              <w:top w:val="single" w:sz="4" w:space="0" w:color="auto"/>
            </w:tcBorders>
            <w:shd w:val="clear" w:color="auto" w:fill="FFFFFF"/>
            <w:vAlign w:val="bottom"/>
          </w:tcPr>
          <w:p w14:paraId="0A3C3B30"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12</w:t>
            </w:r>
          </w:p>
        </w:tc>
        <w:tc>
          <w:tcPr>
            <w:tcW w:w="708" w:type="dxa"/>
            <w:tcBorders>
              <w:top w:val="single" w:sz="4" w:space="0" w:color="auto"/>
            </w:tcBorders>
            <w:shd w:val="clear" w:color="auto" w:fill="FFFFFF"/>
            <w:vAlign w:val="center"/>
          </w:tcPr>
          <w:p w14:paraId="43B76539"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13</w:t>
            </w:r>
          </w:p>
        </w:tc>
      </w:tr>
      <w:tr w:rsidR="00B834A2" w:rsidRPr="00B07646" w14:paraId="4EB24055" w14:textId="77777777" w:rsidTr="007F19B6">
        <w:trPr>
          <w:jc w:val="center"/>
        </w:trPr>
        <w:tc>
          <w:tcPr>
            <w:tcW w:w="1207" w:type="dxa"/>
            <w:tcBorders>
              <w:top w:val="single" w:sz="4" w:space="0" w:color="auto"/>
            </w:tcBorders>
            <w:shd w:val="clear" w:color="auto" w:fill="FFFFFF"/>
            <w:vAlign w:val="bottom"/>
          </w:tcPr>
          <w:p w14:paraId="08D8BE59"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w:t>
            </w:r>
          </w:p>
        </w:tc>
        <w:tc>
          <w:tcPr>
            <w:tcW w:w="619" w:type="dxa"/>
            <w:tcBorders>
              <w:top w:val="single" w:sz="4" w:space="0" w:color="auto"/>
            </w:tcBorders>
            <w:shd w:val="clear" w:color="auto" w:fill="FFFFFF"/>
            <w:vAlign w:val="bottom"/>
          </w:tcPr>
          <w:p w14:paraId="7E0B0E02"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100</w:t>
            </w:r>
          </w:p>
        </w:tc>
        <w:tc>
          <w:tcPr>
            <w:tcW w:w="552" w:type="dxa"/>
            <w:tcBorders>
              <w:top w:val="single" w:sz="4" w:space="0" w:color="auto"/>
            </w:tcBorders>
            <w:shd w:val="clear" w:color="auto" w:fill="FFFFFF"/>
            <w:vAlign w:val="bottom"/>
          </w:tcPr>
          <w:p w14:paraId="09254CFB"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20</w:t>
            </w:r>
          </w:p>
        </w:tc>
        <w:tc>
          <w:tcPr>
            <w:tcW w:w="758" w:type="dxa"/>
            <w:tcBorders>
              <w:top w:val="single" w:sz="4" w:space="0" w:color="auto"/>
            </w:tcBorders>
            <w:shd w:val="clear" w:color="auto" w:fill="FFFFFF"/>
            <w:vAlign w:val="bottom"/>
          </w:tcPr>
          <w:p w14:paraId="7706DC2C"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100,13</w:t>
            </w:r>
          </w:p>
        </w:tc>
        <w:tc>
          <w:tcPr>
            <w:tcW w:w="648" w:type="dxa"/>
            <w:tcBorders>
              <w:top w:val="single" w:sz="4" w:space="0" w:color="auto"/>
            </w:tcBorders>
            <w:shd w:val="clear" w:color="auto" w:fill="FFFFFF"/>
            <w:vAlign w:val="bottom"/>
          </w:tcPr>
          <w:p w14:paraId="5D397D84"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0,464</w:t>
            </w:r>
          </w:p>
        </w:tc>
        <w:tc>
          <w:tcPr>
            <w:tcW w:w="701" w:type="dxa"/>
            <w:tcBorders>
              <w:top w:val="single" w:sz="4" w:space="0" w:color="auto"/>
            </w:tcBorders>
            <w:shd w:val="clear" w:color="auto" w:fill="FFFFFF"/>
            <w:vAlign w:val="bottom"/>
          </w:tcPr>
          <w:p w14:paraId="019122C6"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95</w:t>
            </w:r>
          </w:p>
        </w:tc>
        <w:tc>
          <w:tcPr>
            <w:tcW w:w="1129" w:type="dxa"/>
            <w:tcBorders>
              <w:top w:val="single" w:sz="4" w:space="0" w:color="auto"/>
            </w:tcBorders>
            <w:shd w:val="clear" w:color="auto" w:fill="FFFFFF"/>
            <w:vAlign w:val="bottom"/>
          </w:tcPr>
          <w:p w14:paraId="37EFB609"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2,09</w:t>
            </w:r>
          </w:p>
        </w:tc>
        <w:tc>
          <w:tcPr>
            <w:tcW w:w="475" w:type="dxa"/>
            <w:tcBorders>
              <w:top w:val="single" w:sz="4" w:space="0" w:color="auto"/>
            </w:tcBorders>
            <w:shd w:val="clear" w:color="auto" w:fill="FFFFFF"/>
            <w:vAlign w:val="bottom"/>
          </w:tcPr>
          <w:p w14:paraId="02274247"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0,97</w:t>
            </w:r>
          </w:p>
        </w:tc>
        <w:tc>
          <w:tcPr>
            <w:tcW w:w="638" w:type="dxa"/>
            <w:tcBorders>
              <w:top w:val="single" w:sz="4" w:space="0" w:color="auto"/>
            </w:tcBorders>
            <w:shd w:val="clear" w:color="auto" w:fill="FFFFFF"/>
            <w:vAlign w:val="bottom"/>
          </w:tcPr>
          <w:p w14:paraId="372655EA"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0,97</w:t>
            </w:r>
          </w:p>
        </w:tc>
        <w:tc>
          <w:tcPr>
            <w:tcW w:w="653" w:type="dxa"/>
            <w:tcBorders>
              <w:top w:val="single" w:sz="4" w:space="0" w:color="auto"/>
            </w:tcBorders>
            <w:shd w:val="clear" w:color="auto" w:fill="FFFFFF"/>
            <w:vAlign w:val="bottom"/>
          </w:tcPr>
          <w:p w14:paraId="54BACDB9"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1,28</w:t>
            </w:r>
          </w:p>
        </w:tc>
        <w:tc>
          <w:tcPr>
            <w:tcW w:w="1211" w:type="dxa"/>
            <w:tcBorders>
              <w:top w:val="single" w:sz="4" w:space="0" w:color="auto"/>
            </w:tcBorders>
            <w:shd w:val="clear" w:color="auto" w:fill="FFFFFF"/>
            <w:vAlign w:val="bottom"/>
          </w:tcPr>
          <w:p w14:paraId="1D730947"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3,36</w:t>
            </w:r>
          </w:p>
        </w:tc>
        <w:tc>
          <w:tcPr>
            <w:tcW w:w="851" w:type="dxa"/>
            <w:tcBorders>
              <w:top w:val="single" w:sz="4" w:space="0" w:color="auto"/>
            </w:tcBorders>
            <w:shd w:val="clear" w:color="auto" w:fill="FFFFFF"/>
            <w:vAlign w:val="bottom"/>
          </w:tcPr>
          <w:p w14:paraId="61379ED1"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17,92</w:t>
            </w:r>
          </w:p>
        </w:tc>
        <w:tc>
          <w:tcPr>
            <w:tcW w:w="708" w:type="dxa"/>
            <w:tcBorders>
              <w:top w:val="single" w:sz="4" w:space="0" w:color="auto"/>
            </w:tcBorders>
            <w:shd w:val="clear" w:color="auto" w:fill="FFFFFF"/>
            <w:vAlign w:val="center"/>
          </w:tcPr>
          <w:p w14:paraId="2DD49058" w14:textId="77777777" w:rsidR="00B834A2" w:rsidRPr="00B07646" w:rsidRDefault="009217DE" w:rsidP="00CC0C6B">
            <w:pPr>
              <w:pStyle w:val="a0"/>
              <w:shd w:val="clear" w:color="auto" w:fill="auto"/>
              <w:spacing w:after="120" w:line="240" w:lineRule="auto"/>
              <w:ind w:firstLine="23"/>
              <w:jc w:val="center"/>
              <w:rPr>
                <w:rFonts w:ascii="Sylfaen" w:hAnsi="Sylfaen" w:cs="Sylfaen"/>
              </w:rPr>
            </w:pPr>
            <w:r>
              <w:rPr>
                <w:rFonts w:ascii="Sylfaen" w:hAnsi="Sylfaen"/>
              </w:rPr>
              <w:t>-</w:t>
            </w:r>
          </w:p>
        </w:tc>
      </w:tr>
      <w:tr w:rsidR="00B834A2" w:rsidRPr="00B07646" w14:paraId="1C12E98C" w14:textId="77777777" w:rsidTr="007F19B6">
        <w:trPr>
          <w:jc w:val="center"/>
        </w:trPr>
        <w:tc>
          <w:tcPr>
            <w:tcW w:w="1207" w:type="dxa"/>
            <w:tcBorders>
              <w:bottom w:val="single" w:sz="4" w:space="0" w:color="auto"/>
            </w:tcBorders>
            <w:shd w:val="clear" w:color="auto" w:fill="FFFFFF"/>
            <w:vAlign w:val="bottom"/>
          </w:tcPr>
          <w:p w14:paraId="275AD7D8"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2</w:t>
            </w:r>
          </w:p>
        </w:tc>
        <w:tc>
          <w:tcPr>
            <w:tcW w:w="619" w:type="dxa"/>
            <w:tcBorders>
              <w:bottom w:val="single" w:sz="4" w:space="0" w:color="auto"/>
            </w:tcBorders>
            <w:shd w:val="clear" w:color="auto" w:fill="FFFFFF"/>
            <w:vAlign w:val="bottom"/>
          </w:tcPr>
          <w:p w14:paraId="63174093"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100</w:t>
            </w:r>
          </w:p>
        </w:tc>
        <w:tc>
          <w:tcPr>
            <w:tcW w:w="552" w:type="dxa"/>
            <w:tcBorders>
              <w:bottom w:val="single" w:sz="4" w:space="0" w:color="auto"/>
            </w:tcBorders>
            <w:shd w:val="clear" w:color="auto" w:fill="FFFFFF"/>
            <w:vAlign w:val="bottom"/>
          </w:tcPr>
          <w:p w14:paraId="0E152FB5"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15</w:t>
            </w:r>
          </w:p>
        </w:tc>
        <w:tc>
          <w:tcPr>
            <w:tcW w:w="758" w:type="dxa"/>
            <w:tcBorders>
              <w:bottom w:val="single" w:sz="4" w:space="0" w:color="auto"/>
            </w:tcBorders>
            <w:shd w:val="clear" w:color="auto" w:fill="FFFFFF"/>
            <w:vAlign w:val="bottom"/>
          </w:tcPr>
          <w:p w14:paraId="5DD3E03C"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98,01</w:t>
            </w:r>
          </w:p>
        </w:tc>
        <w:tc>
          <w:tcPr>
            <w:tcW w:w="648" w:type="dxa"/>
            <w:tcBorders>
              <w:bottom w:val="single" w:sz="4" w:space="0" w:color="auto"/>
            </w:tcBorders>
            <w:shd w:val="clear" w:color="auto" w:fill="FFFFFF"/>
            <w:vAlign w:val="bottom"/>
          </w:tcPr>
          <w:p w14:paraId="244E4174"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0,110</w:t>
            </w:r>
          </w:p>
        </w:tc>
        <w:tc>
          <w:tcPr>
            <w:tcW w:w="701" w:type="dxa"/>
            <w:tcBorders>
              <w:bottom w:val="single" w:sz="4" w:space="0" w:color="auto"/>
            </w:tcBorders>
            <w:shd w:val="clear" w:color="auto" w:fill="FFFFFF"/>
            <w:vAlign w:val="bottom"/>
          </w:tcPr>
          <w:p w14:paraId="6931C8F1"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95</w:t>
            </w:r>
          </w:p>
        </w:tc>
        <w:tc>
          <w:tcPr>
            <w:tcW w:w="1129" w:type="dxa"/>
            <w:tcBorders>
              <w:bottom w:val="single" w:sz="4" w:space="0" w:color="auto"/>
            </w:tcBorders>
            <w:shd w:val="clear" w:color="auto" w:fill="FFFFFF"/>
            <w:vAlign w:val="bottom"/>
          </w:tcPr>
          <w:p w14:paraId="35F6C288"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2,13</w:t>
            </w:r>
          </w:p>
        </w:tc>
        <w:tc>
          <w:tcPr>
            <w:tcW w:w="475" w:type="dxa"/>
            <w:tcBorders>
              <w:bottom w:val="single" w:sz="4" w:space="0" w:color="auto"/>
            </w:tcBorders>
            <w:shd w:val="clear" w:color="auto" w:fill="FFFFFF"/>
            <w:vAlign w:val="bottom"/>
          </w:tcPr>
          <w:p w14:paraId="5691B458"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0,23</w:t>
            </w:r>
          </w:p>
        </w:tc>
        <w:tc>
          <w:tcPr>
            <w:tcW w:w="638" w:type="dxa"/>
            <w:tcBorders>
              <w:bottom w:val="single" w:sz="4" w:space="0" w:color="auto"/>
            </w:tcBorders>
            <w:shd w:val="clear" w:color="auto" w:fill="FFFFFF"/>
            <w:vAlign w:val="bottom"/>
          </w:tcPr>
          <w:p w14:paraId="2EC0851D"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0,24</w:t>
            </w:r>
          </w:p>
        </w:tc>
        <w:tc>
          <w:tcPr>
            <w:tcW w:w="653" w:type="dxa"/>
            <w:tcBorders>
              <w:bottom w:val="single" w:sz="4" w:space="0" w:color="auto"/>
            </w:tcBorders>
            <w:shd w:val="clear" w:color="auto" w:fill="FFFFFF"/>
            <w:vAlign w:val="bottom"/>
          </w:tcPr>
          <w:p w14:paraId="2ABF67A7"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72,36</w:t>
            </w:r>
          </w:p>
        </w:tc>
        <w:tc>
          <w:tcPr>
            <w:tcW w:w="1211" w:type="dxa"/>
            <w:tcBorders>
              <w:bottom w:val="single" w:sz="4" w:space="0" w:color="auto"/>
            </w:tcBorders>
            <w:shd w:val="clear" w:color="auto" w:fill="FFFFFF"/>
            <w:vAlign w:val="bottom"/>
          </w:tcPr>
          <w:p w14:paraId="0BF83B67"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3,36</w:t>
            </w:r>
          </w:p>
        </w:tc>
        <w:tc>
          <w:tcPr>
            <w:tcW w:w="851" w:type="dxa"/>
            <w:tcBorders>
              <w:bottom w:val="single" w:sz="4" w:space="0" w:color="auto"/>
            </w:tcBorders>
            <w:shd w:val="clear" w:color="auto" w:fill="FFFFFF"/>
            <w:vAlign w:val="bottom"/>
          </w:tcPr>
          <w:p w14:paraId="4D0B87B4"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17,92</w:t>
            </w:r>
          </w:p>
        </w:tc>
        <w:tc>
          <w:tcPr>
            <w:tcW w:w="708" w:type="dxa"/>
            <w:tcBorders>
              <w:bottom w:val="single" w:sz="4" w:space="0" w:color="auto"/>
            </w:tcBorders>
            <w:shd w:val="clear" w:color="auto" w:fill="FFFFFF"/>
            <w:vAlign w:val="bottom"/>
          </w:tcPr>
          <w:p w14:paraId="4E61E173" w14:textId="77777777" w:rsidR="00B834A2" w:rsidRPr="00B07646" w:rsidRDefault="00B834A2" w:rsidP="00CC0C6B">
            <w:pPr>
              <w:pStyle w:val="a0"/>
              <w:shd w:val="clear" w:color="auto" w:fill="auto"/>
              <w:spacing w:after="120" w:line="240" w:lineRule="auto"/>
              <w:ind w:firstLine="23"/>
              <w:jc w:val="center"/>
              <w:rPr>
                <w:rFonts w:ascii="Sylfaen" w:hAnsi="Sylfaen" w:cs="Sylfaen"/>
              </w:rPr>
            </w:pPr>
            <w:r w:rsidRPr="00B07646">
              <w:rPr>
                <w:rFonts w:ascii="Sylfaen" w:hAnsi="Sylfaen"/>
              </w:rPr>
              <w:t>1,99</w:t>
            </w:r>
          </w:p>
        </w:tc>
      </w:tr>
    </w:tbl>
    <w:p w14:paraId="1C966180" w14:textId="77777777" w:rsidR="00CC0C6B" w:rsidRDefault="00CC0C6B" w:rsidP="00B834A2">
      <w:pPr>
        <w:spacing w:after="160" w:line="360" w:lineRule="auto"/>
        <w:ind w:firstLine="567"/>
        <w:jc w:val="both"/>
        <w:rPr>
          <w:lang w:val="ru-RU"/>
        </w:rPr>
      </w:pPr>
    </w:p>
    <w:p w14:paraId="50272379" w14:textId="77777777" w:rsidR="00B834A2" w:rsidRPr="00B834A2" w:rsidRDefault="00CC0C6B" w:rsidP="00B834A2">
      <w:pPr>
        <w:spacing w:after="160" w:line="360" w:lineRule="auto"/>
        <w:ind w:firstLine="567"/>
        <w:jc w:val="both"/>
      </w:pPr>
      <w:r w:rsidRPr="00B07646">
        <w:t>Աղյուսակ 6.5.-10.</w:t>
      </w:r>
    </w:p>
    <w:tbl>
      <w:tblPr>
        <w:tblOverlap w:val="never"/>
        <w:tblW w:w="9811" w:type="dxa"/>
        <w:jc w:val="center"/>
        <w:tblLayout w:type="fixed"/>
        <w:tblCellMar>
          <w:left w:w="10" w:type="dxa"/>
          <w:right w:w="10" w:type="dxa"/>
        </w:tblCellMar>
        <w:tblLook w:val="0000" w:firstRow="0" w:lastRow="0" w:firstColumn="0" w:lastColumn="0" w:noHBand="0" w:noVBand="0"/>
      </w:tblPr>
      <w:tblGrid>
        <w:gridCol w:w="1450"/>
        <w:gridCol w:w="686"/>
        <w:gridCol w:w="758"/>
        <w:gridCol w:w="955"/>
        <w:gridCol w:w="826"/>
        <w:gridCol w:w="826"/>
        <w:gridCol w:w="854"/>
        <w:gridCol w:w="907"/>
        <w:gridCol w:w="811"/>
        <w:gridCol w:w="850"/>
        <w:gridCol w:w="888"/>
      </w:tblGrid>
      <w:tr w:rsidR="00B834A2" w:rsidRPr="00B07646" w14:paraId="59852F0C" w14:textId="77777777" w:rsidTr="007F19B6">
        <w:trPr>
          <w:jc w:val="center"/>
        </w:trPr>
        <w:tc>
          <w:tcPr>
            <w:tcW w:w="1450" w:type="dxa"/>
            <w:tcBorders>
              <w:top w:val="single" w:sz="4" w:space="0" w:color="auto"/>
            </w:tcBorders>
            <w:shd w:val="clear" w:color="auto" w:fill="FFFFFF"/>
            <w:vAlign w:val="center"/>
          </w:tcPr>
          <w:p w14:paraId="0888A6BC"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Նմուշի համարը</w:t>
            </w:r>
          </w:p>
        </w:tc>
        <w:tc>
          <w:tcPr>
            <w:tcW w:w="686" w:type="dxa"/>
            <w:tcBorders>
              <w:top w:val="single" w:sz="4" w:space="0" w:color="auto"/>
            </w:tcBorders>
            <w:shd w:val="clear" w:color="auto" w:fill="FFFFFF"/>
            <w:vAlign w:val="center"/>
          </w:tcPr>
          <w:p w14:paraId="7D714299"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w:r w:rsidRPr="00B07646">
              <w:rPr>
                <w:rFonts w:ascii="Sylfaen" w:hAnsi="Sylfaen"/>
                <w:i/>
                <w:szCs w:val="24"/>
              </w:rPr>
              <w:t>n</w:t>
            </w:r>
          </w:p>
        </w:tc>
        <w:tc>
          <w:tcPr>
            <w:tcW w:w="758" w:type="dxa"/>
            <w:tcBorders>
              <w:top w:val="single" w:sz="4" w:space="0" w:color="auto"/>
            </w:tcBorders>
            <w:shd w:val="clear" w:color="auto" w:fill="FFFFFF"/>
            <w:vAlign w:val="center"/>
          </w:tcPr>
          <w:p w14:paraId="7D14F2A5"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m:oMathPara>
              <m:oMath>
                <m:r>
                  <w:rPr>
                    <w:rFonts w:ascii="Cambria Math" w:hAnsi="Cambria Math" w:cs="Sylfaen"/>
                    <w:szCs w:val="24"/>
                  </w:rPr>
                  <m:t>f</m:t>
                </m:r>
              </m:oMath>
            </m:oMathPara>
          </w:p>
        </w:tc>
        <w:tc>
          <w:tcPr>
            <w:tcW w:w="955" w:type="dxa"/>
            <w:tcBorders>
              <w:top w:val="single" w:sz="4" w:space="0" w:color="auto"/>
            </w:tcBorders>
            <w:shd w:val="clear" w:color="auto" w:fill="FFFFFF"/>
            <w:vAlign w:val="center"/>
          </w:tcPr>
          <w:p w14:paraId="27ADA8F1"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w:r w:rsidRPr="00B07646">
              <w:rPr>
                <w:rFonts w:ascii="Sylfaen" w:hAnsi="Sylfaen"/>
                <w:i/>
                <w:szCs w:val="24"/>
              </w:rPr>
              <w:t>¯x,%</w:t>
            </w:r>
          </w:p>
        </w:tc>
        <w:tc>
          <w:tcPr>
            <w:tcW w:w="826" w:type="dxa"/>
            <w:tcBorders>
              <w:top w:val="single" w:sz="4" w:space="0" w:color="auto"/>
            </w:tcBorders>
            <w:shd w:val="clear" w:color="auto" w:fill="FFFFFF"/>
            <w:vAlign w:val="center"/>
          </w:tcPr>
          <w:p w14:paraId="4C36E8E9" w14:textId="77777777" w:rsidR="00B834A2" w:rsidRPr="00B07646" w:rsidRDefault="00B834A2" w:rsidP="00CC0C6B">
            <w:pPr>
              <w:spacing w:after="120"/>
              <w:jc w:val="center"/>
              <w:rPr>
                <w:sz w:val="20"/>
              </w:rPr>
            </w:pPr>
            <w:r w:rsidRPr="00B07646">
              <w:rPr>
                <w:i/>
                <w:sz w:val="20"/>
              </w:rPr>
              <w:t>s</w:t>
            </w:r>
          </w:p>
        </w:tc>
        <w:tc>
          <w:tcPr>
            <w:tcW w:w="826" w:type="dxa"/>
            <w:tcBorders>
              <w:top w:val="single" w:sz="4" w:space="0" w:color="auto"/>
            </w:tcBorders>
            <w:shd w:val="clear" w:color="auto" w:fill="FFFFFF"/>
            <w:vAlign w:val="center"/>
          </w:tcPr>
          <w:p w14:paraId="719217CC" w14:textId="77777777" w:rsidR="00B834A2" w:rsidRPr="00B07646" w:rsidRDefault="00000000" w:rsidP="00CC0C6B">
            <w:pPr>
              <w:spacing w:after="120"/>
              <w:jc w:val="center"/>
              <w:rPr>
                <w:i/>
                <w:sz w:val="20"/>
              </w:rPr>
            </w:pPr>
            <m:oMathPara>
              <m:oMath>
                <m:sSub>
                  <m:sSubPr>
                    <m:ctrlPr>
                      <w:rPr>
                        <w:rFonts w:ascii="Cambria Math" w:eastAsia="Times New Roman" w:hAnsi="Cambria Math"/>
                        <w:i/>
                        <w:color w:val="auto"/>
                        <w:sz w:val="20"/>
                      </w:rPr>
                    </m:ctrlPr>
                  </m:sSubPr>
                  <m:e>
                    <m:r>
                      <w:rPr>
                        <w:rFonts w:ascii="Cambria Math" w:hAnsi="Cambria Math"/>
                        <w:sz w:val="20"/>
                      </w:rPr>
                      <m:t>s</m:t>
                    </m:r>
                  </m:e>
                  <m:sub>
                    <m:r>
                      <w:rPr>
                        <w:rFonts w:ascii="Cambria Math" w:hAnsi="Cambria Math"/>
                        <w:sz w:val="20"/>
                      </w:rPr>
                      <m:t>¯x</m:t>
                    </m:r>
                  </m:sub>
                </m:sSub>
              </m:oMath>
            </m:oMathPara>
          </w:p>
        </w:tc>
        <w:tc>
          <w:tcPr>
            <w:tcW w:w="854" w:type="dxa"/>
            <w:tcBorders>
              <w:top w:val="single" w:sz="4" w:space="0" w:color="auto"/>
            </w:tcBorders>
            <w:shd w:val="clear" w:color="auto" w:fill="FFFFFF"/>
            <w:vAlign w:val="center"/>
          </w:tcPr>
          <w:p w14:paraId="0CA7CF32"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w:r w:rsidRPr="00B07646">
              <w:rPr>
                <w:rFonts w:ascii="Sylfaen" w:hAnsi="Sylfaen"/>
                <w:i/>
                <w:szCs w:val="24"/>
              </w:rPr>
              <w:t>P</w:t>
            </w:r>
            <w:r w:rsidRPr="00B07646">
              <w:rPr>
                <w:rFonts w:ascii="Sylfaen" w:hAnsi="Sylfaen"/>
                <w:i/>
                <w:szCs w:val="24"/>
                <w:vertAlign w:val="subscript"/>
              </w:rPr>
              <w:t xml:space="preserve">2, </w:t>
            </w:r>
            <w:r w:rsidRPr="00B07646">
              <w:rPr>
                <w:rFonts w:ascii="Sylfaen" w:hAnsi="Sylfaen"/>
                <w:i/>
                <w:szCs w:val="24"/>
              </w:rPr>
              <w:t>%</w:t>
            </w:r>
          </w:p>
        </w:tc>
        <w:tc>
          <w:tcPr>
            <w:tcW w:w="907" w:type="dxa"/>
            <w:tcBorders>
              <w:top w:val="single" w:sz="4" w:space="0" w:color="auto"/>
            </w:tcBorders>
            <w:shd w:val="clear" w:color="auto" w:fill="FFFFFF"/>
            <w:vAlign w:val="center"/>
          </w:tcPr>
          <w:p w14:paraId="1CC45BCD" w14:textId="77777777" w:rsidR="00B834A2" w:rsidRPr="00B07646" w:rsidRDefault="00B834A2" w:rsidP="00CC0C6B">
            <w:pPr>
              <w:pStyle w:val="a0"/>
              <w:shd w:val="clear" w:color="auto" w:fill="auto"/>
              <w:spacing w:after="120" w:line="240" w:lineRule="auto"/>
              <w:ind w:firstLine="21"/>
              <w:jc w:val="center"/>
              <w:rPr>
                <w:rFonts w:ascii="Sylfaen" w:hAnsi="Sylfaen" w:cs="Sylfaen"/>
                <w:szCs w:val="24"/>
              </w:rPr>
            </w:pPr>
            <w:r w:rsidRPr="00B07646">
              <w:rPr>
                <w:rFonts w:ascii="Sylfaen" w:hAnsi="Sylfaen"/>
                <w:i/>
                <w:szCs w:val="24"/>
              </w:rPr>
              <w:t>t(P</w:t>
            </w:r>
            <w:r w:rsidRPr="00B07646">
              <w:rPr>
                <w:rFonts w:ascii="Sylfaen" w:hAnsi="Sylfaen"/>
                <w:i/>
                <w:szCs w:val="24"/>
                <w:vertAlign w:val="subscript"/>
              </w:rPr>
              <w:t>2</w:t>
            </w:r>
            <w:r w:rsidRPr="00B07646">
              <w:rPr>
                <w:rFonts w:ascii="Sylfaen" w:hAnsi="Sylfaen"/>
                <w:i/>
                <w:szCs w:val="24"/>
              </w:rPr>
              <w:t>,f)</w:t>
            </w:r>
          </w:p>
        </w:tc>
        <w:tc>
          <w:tcPr>
            <w:tcW w:w="811" w:type="dxa"/>
            <w:tcBorders>
              <w:top w:val="single" w:sz="4" w:space="0" w:color="auto"/>
            </w:tcBorders>
            <w:shd w:val="clear" w:color="auto" w:fill="FFFFFF"/>
            <w:vAlign w:val="center"/>
          </w:tcPr>
          <w:p w14:paraId="34028883"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m:oMathPara>
              <m:oMath>
                <m:r>
                  <w:rPr>
                    <w:rFonts w:ascii="Cambria Math" w:hAnsi="Cambria Math" w:cs="Sylfaen"/>
                    <w:szCs w:val="24"/>
                  </w:rPr>
                  <m:t>∆x</m:t>
                </m:r>
              </m:oMath>
            </m:oMathPara>
          </w:p>
        </w:tc>
        <w:tc>
          <w:tcPr>
            <w:tcW w:w="850" w:type="dxa"/>
            <w:tcBorders>
              <w:top w:val="single" w:sz="4" w:space="0" w:color="auto"/>
            </w:tcBorders>
            <w:shd w:val="clear" w:color="auto" w:fill="FFFFFF"/>
            <w:vAlign w:val="center"/>
          </w:tcPr>
          <w:p w14:paraId="603BD68A" w14:textId="77777777" w:rsidR="00B834A2" w:rsidRPr="00B07646" w:rsidRDefault="00B834A2" w:rsidP="00CC0C6B">
            <w:pPr>
              <w:pStyle w:val="a0"/>
              <w:shd w:val="clear" w:color="auto" w:fill="auto"/>
              <w:spacing w:after="120" w:line="240" w:lineRule="auto"/>
              <w:ind w:firstLine="0"/>
              <w:jc w:val="center"/>
              <w:rPr>
                <w:rFonts w:ascii="Sylfaen" w:hAnsi="Sylfaen" w:cs="Sylfaen"/>
                <w:szCs w:val="24"/>
              </w:rPr>
            </w:pPr>
            <m:oMathPara>
              <m:oMath>
                <m:r>
                  <w:rPr>
                    <w:rFonts w:ascii="Cambria Math" w:hAnsi="Cambria Math" w:cs="Sylfaen"/>
                    <w:szCs w:val="24"/>
                  </w:rPr>
                  <m:t>∆¯x</m:t>
                </m:r>
              </m:oMath>
            </m:oMathPara>
          </w:p>
        </w:tc>
        <w:tc>
          <w:tcPr>
            <w:tcW w:w="888" w:type="dxa"/>
            <w:tcBorders>
              <w:top w:val="single" w:sz="4" w:space="0" w:color="auto"/>
            </w:tcBorders>
            <w:shd w:val="clear" w:color="auto" w:fill="FFFFFF"/>
            <w:vAlign w:val="center"/>
          </w:tcPr>
          <w:p w14:paraId="72A25AE0" w14:textId="77777777" w:rsidR="00B834A2" w:rsidRPr="00B07646" w:rsidRDefault="00000000" w:rsidP="00CC0C6B">
            <w:pPr>
              <w:pStyle w:val="a0"/>
              <w:shd w:val="clear" w:color="auto" w:fill="auto"/>
              <w:spacing w:after="120" w:line="240" w:lineRule="auto"/>
              <w:ind w:firstLine="0"/>
              <w:jc w:val="center"/>
              <w:rPr>
                <w:rFonts w:ascii="Sylfaen" w:hAnsi="Sylfaen" w:cs="Sylfaen"/>
                <w:szCs w:val="24"/>
              </w:rPr>
            </w:pPr>
            <m:oMath>
              <m:bar>
                <m:barPr>
                  <m:pos m:val="top"/>
                  <m:ctrlPr>
                    <w:rPr>
                      <w:rFonts w:ascii="Cambria Math" w:hAnsi="Cambria Math" w:cs="Sylfaen"/>
                      <w:i/>
                      <w:szCs w:val="24"/>
                    </w:rPr>
                  </m:ctrlPr>
                </m:barPr>
                <m:e>
                  <m:r>
                    <w:rPr>
                      <w:rFonts w:ascii="Cambria Math" w:hAnsi="Cambria Math" w:cs="Sylfaen"/>
                      <w:szCs w:val="24"/>
                    </w:rPr>
                    <m:t>ε</m:t>
                  </m:r>
                </m:e>
              </m:bar>
              <m:r>
                <w:rPr>
                  <w:rFonts w:ascii="Cambria Math" w:hAnsi="Cambria Math" w:cs="Sylfaen"/>
                  <w:szCs w:val="24"/>
                </w:rPr>
                <m:t>,</m:t>
              </m:r>
            </m:oMath>
            <w:r w:rsidR="00B834A2" w:rsidRPr="00B07646">
              <w:rPr>
                <w:rFonts w:ascii="Sylfaen" w:hAnsi="Sylfaen"/>
                <w:szCs w:val="24"/>
              </w:rPr>
              <w:t xml:space="preserve"> %</w:t>
            </w:r>
          </w:p>
        </w:tc>
      </w:tr>
      <w:tr w:rsidR="00B834A2" w:rsidRPr="00B07646" w14:paraId="26C97E4D" w14:textId="77777777" w:rsidTr="007F19B6">
        <w:trPr>
          <w:jc w:val="center"/>
        </w:trPr>
        <w:tc>
          <w:tcPr>
            <w:tcW w:w="1450" w:type="dxa"/>
            <w:tcBorders>
              <w:top w:val="single" w:sz="4" w:space="0" w:color="auto"/>
            </w:tcBorders>
            <w:shd w:val="clear" w:color="auto" w:fill="FFFFFF"/>
            <w:vAlign w:val="bottom"/>
          </w:tcPr>
          <w:p w14:paraId="656AB9F2"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w:t>
            </w:r>
          </w:p>
        </w:tc>
        <w:tc>
          <w:tcPr>
            <w:tcW w:w="686" w:type="dxa"/>
            <w:tcBorders>
              <w:top w:val="single" w:sz="4" w:space="0" w:color="auto"/>
            </w:tcBorders>
            <w:shd w:val="clear" w:color="auto" w:fill="FFFFFF"/>
            <w:vAlign w:val="bottom"/>
          </w:tcPr>
          <w:p w14:paraId="4A6C69E8"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2</w:t>
            </w:r>
          </w:p>
        </w:tc>
        <w:tc>
          <w:tcPr>
            <w:tcW w:w="758" w:type="dxa"/>
            <w:tcBorders>
              <w:top w:val="single" w:sz="4" w:space="0" w:color="auto"/>
            </w:tcBorders>
            <w:shd w:val="clear" w:color="auto" w:fill="FFFFFF"/>
            <w:vAlign w:val="center"/>
          </w:tcPr>
          <w:p w14:paraId="3C27BFD3"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3</w:t>
            </w:r>
          </w:p>
        </w:tc>
        <w:tc>
          <w:tcPr>
            <w:tcW w:w="955" w:type="dxa"/>
            <w:tcBorders>
              <w:top w:val="single" w:sz="4" w:space="0" w:color="auto"/>
            </w:tcBorders>
            <w:shd w:val="clear" w:color="auto" w:fill="FFFFFF"/>
            <w:vAlign w:val="center"/>
          </w:tcPr>
          <w:p w14:paraId="5BF6D39F"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4</w:t>
            </w:r>
          </w:p>
        </w:tc>
        <w:tc>
          <w:tcPr>
            <w:tcW w:w="826" w:type="dxa"/>
            <w:tcBorders>
              <w:top w:val="single" w:sz="4" w:space="0" w:color="auto"/>
            </w:tcBorders>
            <w:shd w:val="clear" w:color="auto" w:fill="FFFFFF"/>
            <w:vAlign w:val="center"/>
          </w:tcPr>
          <w:p w14:paraId="27217007"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5</w:t>
            </w:r>
          </w:p>
        </w:tc>
        <w:tc>
          <w:tcPr>
            <w:tcW w:w="826" w:type="dxa"/>
            <w:tcBorders>
              <w:top w:val="single" w:sz="4" w:space="0" w:color="auto"/>
            </w:tcBorders>
            <w:shd w:val="clear" w:color="auto" w:fill="FFFFFF"/>
            <w:vAlign w:val="bottom"/>
          </w:tcPr>
          <w:p w14:paraId="48D37A49"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6</w:t>
            </w:r>
          </w:p>
        </w:tc>
        <w:tc>
          <w:tcPr>
            <w:tcW w:w="854" w:type="dxa"/>
            <w:tcBorders>
              <w:top w:val="single" w:sz="4" w:space="0" w:color="auto"/>
            </w:tcBorders>
            <w:shd w:val="clear" w:color="auto" w:fill="FFFFFF"/>
            <w:vAlign w:val="center"/>
          </w:tcPr>
          <w:p w14:paraId="74070FC5"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7</w:t>
            </w:r>
          </w:p>
        </w:tc>
        <w:tc>
          <w:tcPr>
            <w:tcW w:w="907" w:type="dxa"/>
            <w:tcBorders>
              <w:top w:val="single" w:sz="4" w:space="0" w:color="auto"/>
            </w:tcBorders>
            <w:shd w:val="clear" w:color="auto" w:fill="FFFFFF"/>
            <w:vAlign w:val="bottom"/>
          </w:tcPr>
          <w:p w14:paraId="4DF4DCD2"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8</w:t>
            </w:r>
          </w:p>
        </w:tc>
        <w:tc>
          <w:tcPr>
            <w:tcW w:w="811" w:type="dxa"/>
            <w:tcBorders>
              <w:top w:val="single" w:sz="4" w:space="0" w:color="auto"/>
            </w:tcBorders>
            <w:shd w:val="clear" w:color="auto" w:fill="FFFFFF"/>
            <w:vAlign w:val="center"/>
          </w:tcPr>
          <w:p w14:paraId="45C83FA0"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9</w:t>
            </w:r>
          </w:p>
        </w:tc>
        <w:tc>
          <w:tcPr>
            <w:tcW w:w="850" w:type="dxa"/>
            <w:tcBorders>
              <w:top w:val="single" w:sz="4" w:space="0" w:color="auto"/>
            </w:tcBorders>
            <w:shd w:val="clear" w:color="auto" w:fill="FFFFFF"/>
            <w:vAlign w:val="bottom"/>
          </w:tcPr>
          <w:p w14:paraId="2E3DC713"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10</w:t>
            </w:r>
          </w:p>
        </w:tc>
        <w:tc>
          <w:tcPr>
            <w:tcW w:w="888" w:type="dxa"/>
            <w:tcBorders>
              <w:top w:val="single" w:sz="4" w:space="0" w:color="auto"/>
            </w:tcBorders>
            <w:shd w:val="clear" w:color="auto" w:fill="FFFFFF"/>
            <w:vAlign w:val="bottom"/>
          </w:tcPr>
          <w:p w14:paraId="130AF79A"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11</w:t>
            </w:r>
          </w:p>
        </w:tc>
      </w:tr>
      <w:tr w:rsidR="00B834A2" w:rsidRPr="00B07646" w14:paraId="1C76456B" w14:textId="77777777" w:rsidTr="007F19B6">
        <w:trPr>
          <w:jc w:val="center"/>
        </w:trPr>
        <w:tc>
          <w:tcPr>
            <w:tcW w:w="1450" w:type="dxa"/>
            <w:tcBorders>
              <w:top w:val="single" w:sz="4" w:space="0" w:color="auto"/>
            </w:tcBorders>
            <w:shd w:val="clear" w:color="auto" w:fill="FFFFFF"/>
            <w:vAlign w:val="bottom"/>
          </w:tcPr>
          <w:p w14:paraId="1AFF2206"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w:t>
            </w:r>
          </w:p>
        </w:tc>
        <w:tc>
          <w:tcPr>
            <w:tcW w:w="686" w:type="dxa"/>
            <w:tcBorders>
              <w:top w:val="single" w:sz="4" w:space="0" w:color="auto"/>
            </w:tcBorders>
            <w:shd w:val="clear" w:color="auto" w:fill="FFFFFF"/>
            <w:vAlign w:val="bottom"/>
          </w:tcPr>
          <w:p w14:paraId="48C8EFAF"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8</w:t>
            </w:r>
          </w:p>
        </w:tc>
        <w:tc>
          <w:tcPr>
            <w:tcW w:w="758" w:type="dxa"/>
            <w:tcBorders>
              <w:top w:val="single" w:sz="4" w:space="0" w:color="auto"/>
            </w:tcBorders>
            <w:shd w:val="clear" w:color="auto" w:fill="FFFFFF"/>
            <w:vAlign w:val="bottom"/>
          </w:tcPr>
          <w:p w14:paraId="5F9FEC8E"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7</w:t>
            </w:r>
          </w:p>
        </w:tc>
        <w:tc>
          <w:tcPr>
            <w:tcW w:w="955" w:type="dxa"/>
            <w:tcBorders>
              <w:top w:val="single" w:sz="4" w:space="0" w:color="auto"/>
            </w:tcBorders>
            <w:shd w:val="clear" w:color="auto" w:fill="FFFFFF"/>
            <w:vAlign w:val="bottom"/>
          </w:tcPr>
          <w:p w14:paraId="1542F794"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99,10</w:t>
            </w:r>
          </w:p>
        </w:tc>
        <w:tc>
          <w:tcPr>
            <w:tcW w:w="826" w:type="dxa"/>
            <w:tcBorders>
              <w:top w:val="single" w:sz="4" w:space="0" w:color="auto"/>
            </w:tcBorders>
            <w:shd w:val="clear" w:color="auto" w:fill="FFFFFF"/>
            <w:vAlign w:val="bottom"/>
          </w:tcPr>
          <w:p w14:paraId="4520A323"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0,50</w:t>
            </w:r>
          </w:p>
        </w:tc>
        <w:tc>
          <w:tcPr>
            <w:tcW w:w="826" w:type="dxa"/>
            <w:tcBorders>
              <w:top w:val="single" w:sz="4" w:space="0" w:color="auto"/>
            </w:tcBorders>
            <w:shd w:val="clear" w:color="auto" w:fill="FFFFFF"/>
            <w:vAlign w:val="bottom"/>
          </w:tcPr>
          <w:p w14:paraId="101F3C4D"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0,18</w:t>
            </w:r>
          </w:p>
        </w:tc>
        <w:tc>
          <w:tcPr>
            <w:tcW w:w="854" w:type="dxa"/>
            <w:tcBorders>
              <w:top w:val="single" w:sz="4" w:space="0" w:color="auto"/>
            </w:tcBorders>
            <w:shd w:val="clear" w:color="auto" w:fill="FFFFFF"/>
            <w:vAlign w:val="bottom"/>
          </w:tcPr>
          <w:p w14:paraId="19590D7F"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95</w:t>
            </w:r>
          </w:p>
        </w:tc>
        <w:tc>
          <w:tcPr>
            <w:tcW w:w="907" w:type="dxa"/>
            <w:tcBorders>
              <w:top w:val="single" w:sz="4" w:space="0" w:color="auto"/>
            </w:tcBorders>
            <w:shd w:val="clear" w:color="auto" w:fill="FFFFFF"/>
            <w:vAlign w:val="bottom"/>
          </w:tcPr>
          <w:p w14:paraId="08678B78"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2,36</w:t>
            </w:r>
          </w:p>
        </w:tc>
        <w:tc>
          <w:tcPr>
            <w:tcW w:w="811" w:type="dxa"/>
            <w:tcBorders>
              <w:top w:val="single" w:sz="4" w:space="0" w:color="auto"/>
            </w:tcBorders>
            <w:shd w:val="clear" w:color="auto" w:fill="FFFFFF"/>
            <w:vAlign w:val="bottom"/>
          </w:tcPr>
          <w:p w14:paraId="075E3544"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1,18</w:t>
            </w:r>
          </w:p>
        </w:tc>
        <w:tc>
          <w:tcPr>
            <w:tcW w:w="850" w:type="dxa"/>
            <w:tcBorders>
              <w:top w:val="single" w:sz="4" w:space="0" w:color="auto"/>
            </w:tcBorders>
            <w:shd w:val="clear" w:color="auto" w:fill="FFFFFF"/>
            <w:vAlign w:val="bottom"/>
          </w:tcPr>
          <w:p w14:paraId="442E2DCC"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0,42</w:t>
            </w:r>
          </w:p>
        </w:tc>
        <w:tc>
          <w:tcPr>
            <w:tcW w:w="888" w:type="dxa"/>
            <w:tcBorders>
              <w:top w:val="single" w:sz="4" w:space="0" w:color="auto"/>
            </w:tcBorders>
            <w:shd w:val="clear" w:color="auto" w:fill="FFFFFF"/>
            <w:vAlign w:val="bottom"/>
          </w:tcPr>
          <w:p w14:paraId="3A9FB883"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0,42</w:t>
            </w:r>
          </w:p>
        </w:tc>
      </w:tr>
      <w:tr w:rsidR="00B834A2" w:rsidRPr="00B07646" w14:paraId="5FC64EA6" w14:textId="77777777" w:rsidTr="007F19B6">
        <w:trPr>
          <w:jc w:val="center"/>
        </w:trPr>
        <w:tc>
          <w:tcPr>
            <w:tcW w:w="1450" w:type="dxa"/>
            <w:tcBorders>
              <w:bottom w:val="single" w:sz="4" w:space="0" w:color="auto"/>
            </w:tcBorders>
            <w:shd w:val="clear" w:color="auto" w:fill="FFFFFF"/>
            <w:vAlign w:val="bottom"/>
          </w:tcPr>
          <w:p w14:paraId="0051ECD2"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2</w:t>
            </w:r>
          </w:p>
        </w:tc>
        <w:tc>
          <w:tcPr>
            <w:tcW w:w="686" w:type="dxa"/>
            <w:tcBorders>
              <w:bottom w:val="single" w:sz="4" w:space="0" w:color="auto"/>
            </w:tcBorders>
            <w:shd w:val="clear" w:color="auto" w:fill="FFFFFF"/>
            <w:vAlign w:val="bottom"/>
          </w:tcPr>
          <w:p w14:paraId="61F6EAAF"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6</w:t>
            </w:r>
          </w:p>
        </w:tc>
        <w:tc>
          <w:tcPr>
            <w:tcW w:w="758" w:type="dxa"/>
            <w:tcBorders>
              <w:bottom w:val="single" w:sz="4" w:space="0" w:color="auto"/>
            </w:tcBorders>
            <w:shd w:val="clear" w:color="auto" w:fill="FFFFFF"/>
            <w:vAlign w:val="bottom"/>
          </w:tcPr>
          <w:p w14:paraId="589636D5"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5</w:t>
            </w:r>
          </w:p>
        </w:tc>
        <w:tc>
          <w:tcPr>
            <w:tcW w:w="955" w:type="dxa"/>
            <w:tcBorders>
              <w:bottom w:val="single" w:sz="4" w:space="0" w:color="auto"/>
            </w:tcBorders>
            <w:shd w:val="clear" w:color="auto" w:fill="FFFFFF"/>
            <w:vAlign w:val="bottom"/>
          </w:tcPr>
          <w:p w14:paraId="15C269E4"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98,33</w:t>
            </w:r>
          </w:p>
        </w:tc>
        <w:tc>
          <w:tcPr>
            <w:tcW w:w="826" w:type="dxa"/>
            <w:tcBorders>
              <w:bottom w:val="single" w:sz="4" w:space="0" w:color="auto"/>
            </w:tcBorders>
            <w:shd w:val="clear" w:color="auto" w:fill="FFFFFF"/>
            <w:vAlign w:val="bottom"/>
          </w:tcPr>
          <w:p w14:paraId="5E650181"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0,56</w:t>
            </w:r>
          </w:p>
        </w:tc>
        <w:tc>
          <w:tcPr>
            <w:tcW w:w="826" w:type="dxa"/>
            <w:tcBorders>
              <w:bottom w:val="single" w:sz="4" w:space="0" w:color="auto"/>
            </w:tcBorders>
            <w:shd w:val="clear" w:color="auto" w:fill="FFFFFF"/>
            <w:vAlign w:val="bottom"/>
          </w:tcPr>
          <w:p w14:paraId="63F79C1C"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0,23</w:t>
            </w:r>
          </w:p>
        </w:tc>
        <w:tc>
          <w:tcPr>
            <w:tcW w:w="854" w:type="dxa"/>
            <w:tcBorders>
              <w:bottom w:val="single" w:sz="4" w:space="0" w:color="auto"/>
            </w:tcBorders>
            <w:shd w:val="clear" w:color="auto" w:fill="FFFFFF"/>
            <w:vAlign w:val="bottom"/>
          </w:tcPr>
          <w:p w14:paraId="2D2CCDBE"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95</w:t>
            </w:r>
          </w:p>
        </w:tc>
        <w:tc>
          <w:tcPr>
            <w:tcW w:w="907" w:type="dxa"/>
            <w:tcBorders>
              <w:bottom w:val="single" w:sz="4" w:space="0" w:color="auto"/>
            </w:tcBorders>
            <w:shd w:val="clear" w:color="auto" w:fill="FFFFFF"/>
            <w:vAlign w:val="bottom"/>
          </w:tcPr>
          <w:p w14:paraId="2ADDB742"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2,57</w:t>
            </w:r>
          </w:p>
        </w:tc>
        <w:tc>
          <w:tcPr>
            <w:tcW w:w="811" w:type="dxa"/>
            <w:tcBorders>
              <w:bottom w:val="single" w:sz="4" w:space="0" w:color="auto"/>
            </w:tcBorders>
            <w:shd w:val="clear" w:color="auto" w:fill="FFFFFF"/>
            <w:vAlign w:val="bottom"/>
          </w:tcPr>
          <w:p w14:paraId="16CC3286"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1,44</w:t>
            </w:r>
          </w:p>
        </w:tc>
        <w:tc>
          <w:tcPr>
            <w:tcW w:w="850" w:type="dxa"/>
            <w:tcBorders>
              <w:bottom w:val="single" w:sz="4" w:space="0" w:color="auto"/>
            </w:tcBorders>
            <w:shd w:val="clear" w:color="auto" w:fill="FFFFFF"/>
            <w:vAlign w:val="bottom"/>
          </w:tcPr>
          <w:p w14:paraId="32BB0676"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0,59</w:t>
            </w:r>
          </w:p>
        </w:tc>
        <w:tc>
          <w:tcPr>
            <w:tcW w:w="888" w:type="dxa"/>
            <w:tcBorders>
              <w:bottom w:val="single" w:sz="4" w:space="0" w:color="auto"/>
            </w:tcBorders>
            <w:shd w:val="clear" w:color="auto" w:fill="FFFFFF"/>
            <w:vAlign w:val="bottom"/>
          </w:tcPr>
          <w:p w14:paraId="4BF3B728" w14:textId="77777777" w:rsidR="00B834A2" w:rsidRPr="00B07646" w:rsidRDefault="00B834A2" w:rsidP="00B0764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0,60</w:t>
            </w:r>
          </w:p>
        </w:tc>
      </w:tr>
    </w:tbl>
    <w:p w14:paraId="55C41D55" w14:textId="77777777" w:rsidR="00B834A2" w:rsidRPr="00B834A2" w:rsidRDefault="00B834A2" w:rsidP="00B834A2">
      <w:pPr>
        <w:spacing w:after="160" w:line="360" w:lineRule="auto"/>
        <w:ind w:firstLine="567"/>
        <w:jc w:val="both"/>
      </w:pPr>
    </w:p>
    <w:p w14:paraId="5FA6165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Քանի որ</w:t>
      </w:r>
    </w:p>
    <w:p w14:paraId="01B457A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F=</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num>
            <m:den>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0,31</m:t>
              </m:r>
            </m:num>
            <m:den>
              <m:r>
                <w:rPr>
                  <w:rFonts w:ascii="Cambria Math" w:hAnsi="Cambria Math" w:cs="Sylfaen"/>
                  <w:sz w:val="24"/>
                  <w:szCs w:val="24"/>
                </w:rPr>
                <m:t>0,25</m:t>
              </m:r>
            </m:den>
          </m:f>
          <m:r>
            <w:rPr>
              <w:rFonts w:ascii="Cambria Math" w:hAnsi="Cambria Math" w:cs="Sylfaen"/>
              <w:sz w:val="24"/>
              <w:szCs w:val="24"/>
            </w:rPr>
            <m:t>=1,24&lt;F</m:t>
          </m:r>
          <m:d>
            <m:dPr>
              <m:ctrlPr>
                <w:rPr>
                  <w:rFonts w:ascii="Cambria Math" w:hAnsi="Cambria Math" w:cs="Sylfaen"/>
                  <w:i/>
                  <w:sz w:val="24"/>
                  <w:szCs w:val="24"/>
                </w:rPr>
              </m:ctrlPr>
            </m:dPr>
            <m:e>
              <m:r>
                <w:rPr>
                  <w:rFonts w:ascii="Cambria Math" w:hAnsi="Cambria Math" w:cs="Sylfaen"/>
                  <w:sz w:val="24"/>
                  <w:szCs w:val="24"/>
                </w:rPr>
                <m:t>99%,5,7</m:t>
              </m:r>
            </m:e>
          </m:d>
          <m:r>
            <w:rPr>
              <w:rFonts w:ascii="Cambria Math" w:hAnsi="Cambria Math" w:cs="Sylfaen"/>
              <w:sz w:val="24"/>
              <w:szCs w:val="24"/>
            </w:rPr>
            <m:t>=7,46</m:t>
          </m:r>
        </m:oMath>
      </m:oMathPara>
    </w:p>
    <w:p w14:paraId="7E94980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ապա (2.3) անհավասարման համաձայն </w:t>
      </w: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oMath>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r>
          <w:rPr>
            <w:rFonts w:ascii="Cambria Math" w:hAnsi="Cambria Math" w:cs="Sylfaen"/>
            <w:sz w:val="24"/>
            <w:szCs w:val="24"/>
          </w:rPr>
          <m:t xml:space="preserve"> </m:t>
        </m:r>
      </m:oMath>
      <w:r w:rsidRPr="00B834A2">
        <w:rPr>
          <w:rFonts w:ascii="Sylfaen" w:hAnsi="Sylfaen"/>
          <w:sz w:val="24"/>
          <w:szCs w:val="24"/>
        </w:rPr>
        <w:t>մեծությունների վիճակագրորեն հավաստի տարբերությունը բացակայում է:</w:t>
      </w:r>
    </w:p>
    <w:p w14:paraId="259870D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Հետ</w:t>
      </w:r>
      <w:r>
        <w:rPr>
          <w:rFonts w:ascii="Sylfaen" w:hAnsi="Sylfaen"/>
          <w:sz w:val="24"/>
          <w:szCs w:val="24"/>
        </w:rPr>
        <w:t>եւ</w:t>
      </w:r>
      <w:r w:rsidRPr="00B834A2">
        <w:rPr>
          <w:rFonts w:ascii="Sylfaen" w:hAnsi="Sylfaen"/>
          <w:sz w:val="24"/>
          <w:szCs w:val="24"/>
        </w:rPr>
        <w:t xml:space="preserve">աբար </w:t>
      </w:r>
      <m:oMath>
        <m:bar>
          <m:barPr>
            <m:pos m:val="top"/>
            <m:ctrlPr>
              <w:rPr>
                <w:rFonts w:ascii="Cambria Math" w:hAnsi="Cambria Math" w:cs="Sylfaen"/>
                <w:bCs/>
                <w:i/>
                <w:sz w:val="24"/>
                <w:szCs w:val="24"/>
              </w:rPr>
            </m:ctrlPr>
          </m:barPr>
          <m:e>
            <m:sSub>
              <m:sSubPr>
                <m:ctrlPr>
                  <w:rPr>
                    <w:rFonts w:ascii="Cambria Math" w:hAnsi="Cambria Math" w:cs="Sylfaen"/>
                    <w:bCs/>
                    <w:i/>
                    <w:sz w:val="24"/>
                    <w:szCs w:val="24"/>
                  </w:rPr>
                </m:ctrlPr>
              </m:sSubPr>
              <m:e>
                <m:r>
                  <w:rPr>
                    <w:rFonts w:ascii="Cambria Math" w:hAnsi="Cambria Math" w:cs="Sylfaen"/>
                    <w:sz w:val="24"/>
                    <w:szCs w:val="24"/>
                  </w:rPr>
                  <m:t>x</m:t>
                </m:r>
              </m:e>
              <m:sub>
                <m:r>
                  <w:rPr>
                    <w:rFonts w:ascii="Cambria Math" w:hAnsi="Cambria Math" w:cs="Sylfaen"/>
                    <w:sz w:val="24"/>
                    <w:szCs w:val="24"/>
                  </w:rPr>
                  <m:t>1</m:t>
                </m:r>
              </m:sub>
            </m:sSub>
            <m:ctrlPr>
              <w:rPr>
                <w:rFonts w:ascii="Cambria Math" w:hAnsi="Cambria Math" w:cs="Sylfaen"/>
                <w:i/>
                <w:sz w:val="24"/>
                <w:szCs w:val="24"/>
              </w:rPr>
            </m:ctrlPr>
          </m:e>
        </m:bar>
        <m:r>
          <w:rPr>
            <w:rFonts w:ascii="Cambria Math" w:hAnsi="Cambria Math" w:cs="Sylfaen"/>
            <w:sz w:val="24"/>
            <w:szCs w:val="24"/>
          </w:rPr>
          <m:t>=</m:t>
        </m:r>
      </m:oMath>
      <w:r w:rsidRPr="00B834A2">
        <w:rPr>
          <w:rFonts w:ascii="Sylfaen" w:hAnsi="Sylfaen"/>
          <w:sz w:val="24"/>
          <w:szCs w:val="24"/>
        </w:rPr>
        <w:t xml:space="preserve"> </w:t>
      </w:r>
      <m:oMath>
        <m:bar>
          <m:barPr>
            <m:pos m:val="top"/>
            <m:ctrlPr>
              <w:rPr>
                <w:rFonts w:ascii="Cambria Math" w:hAnsi="Cambria Math" w:cs="Sylfaen"/>
                <w:bCs/>
                <w:i/>
                <w:sz w:val="24"/>
                <w:szCs w:val="24"/>
              </w:rPr>
            </m:ctrlPr>
          </m:barPr>
          <m:e>
            <m:sSub>
              <m:sSubPr>
                <m:ctrlPr>
                  <w:rPr>
                    <w:rFonts w:ascii="Cambria Math" w:hAnsi="Cambria Math" w:cs="Sylfaen"/>
                    <w:bCs/>
                    <w:i/>
                    <w:sz w:val="24"/>
                    <w:szCs w:val="24"/>
                  </w:rPr>
                </m:ctrlPr>
              </m:sSubPr>
              <m:e>
                <m:r>
                  <w:rPr>
                    <w:rFonts w:ascii="Cambria Math" w:hAnsi="Cambria Math" w:cs="Sylfaen"/>
                    <w:sz w:val="24"/>
                    <w:szCs w:val="24"/>
                  </w:rPr>
                  <m:t>x</m:t>
                </m:r>
              </m:e>
              <m:sub>
                <m:r>
                  <w:rPr>
                    <w:rFonts w:ascii="Cambria Math" w:hAnsi="Cambria Math" w:cs="Sylfaen"/>
                    <w:sz w:val="24"/>
                    <w:szCs w:val="24"/>
                  </w:rPr>
                  <m:t>2</m:t>
                </m:r>
              </m:sub>
            </m:sSub>
            <m:ctrlPr>
              <w:rPr>
                <w:rFonts w:ascii="Cambria Math" w:hAnsi="Cambria Math" w:cs="Sylfaen"/>
                <w:i/>
                <w:sz w:val="24"/>
                <w:szCs w:val="24"/>
              </w:rPr>
            </m:ctrlPr>
          </m:e>
        </m:bar>
      </m:oMath>
      <w:r w:rsidRPr="00B834A2">
        <w:rPr>
          <w:rFonts w:ascii="Sylfaen" w:hAnsi="Sylfaen"/>
          <w:sz w:val="24"/>
          <w:szCs w:val="24"/>
        </w:rPr>
        <w:t xml:space="preserve"> (3.3) հիպոթեզը ստուգվում է (1.5), (1.7), (3.4) </w:t>
      </w:r>
      <w:r>
        <w:rPr>
          <w:rFonts w:ascii="Sylfaen" w:hAnsi="Sylfaen"/>
          <w:sz w:val="24"/>
          <w:szCs w:val="24"/>
        </w:rPr>
        <w:t>եւ</w:t>
      </w:r>
      <w:r w:rsidRPr="00B834A2">
        <w:rPr>
          <w:rFonts w:ascii="Sylfaen" w:hAnsi="Sylfaen"/>
          <w:sz w:val="24"/>
          <w:szCs w:val="24"/>
        </w:rPr>
        <w:t xml:space="preserve"> (3.5) հավասարումների օգնությամբ:</w:t>
      </w:r>
    </w:p>
    <w:p w14:paraId="642E29C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s=</m:t>
          </m:r>
          <m:f>
            <m:fPr>
              <m:ctrlPr>
                <w:rPr>
                  <w:rFonts w:ascii="Cambria Math" w:hAnsi="Cambria Math" w:cs="Sylfaen"/>
                  <w:i/>
                  <w:sz w:val="24"/>
                  <w:szCs w:val="24"/>
                </w:rPr>
              </m:ctrlPr>
            </m:fPr>
            <m:num>
              <m:nary>
                <m:naryPr>
                  <m:chr m:val="∑"/>
                  <m:limLoc m:val="undOvr"/>
                  <m:ctrlPr>
                    <w:rPr>
                      <w:rFonts w:ascii="Cambria Math" w:hAnsi="Cambria Math" w:cs="Sylfaen"/>
                      <w:i/>
                      <w:sz w:val="24"/>
                      <w:szCs w:val="24"/>
                    </w:rPr>
                  </m:ctrlPr>
                </m:naryPr>
                <m:sub>
                  <m:r>
                    <w:rPr>
                      <w:rFonts w:ascii="Cambria Math" w:hAnsi="Cambria Math" w:cs="Sylfaen"/>
                      <w:sz w:val="24"/>
                      <w:szCs w:val="24"/>
                    </w:rPr>
                    <m:t>k=1</m:t>
                  </m:r>
                </m:sub>
                <m:sup>
                  <m:r>
                    <w:rPr>
                      <w:rFonts w:ascii="Cambria Math" w:hAnsi="Cambria Math" w:cs="Sylfaen"/>
                      <w:sz w:val="24"/>
                      <w:szCs w:val="24"/>
                    </w:rPr>
                    <m:t>k=g</m:t>
                  </m:r>
                </m:sup>
                <m:e>
                  <m:d>
                    <m:dPr>
                      <m:begChr m:val="["/>
                      <m:endChr m:val="]"/>
                      <m:ctrlPr>
                        <w:rPr>
                          <w:rFonts w:ascii="Cambria Math" w:hAnsi="Cambria Math" w:cs="Sylfaen"/>
                          <w:i/>
                          <w:sz w:val="24"/>
                          <w:szCs w:val="24"/>
                        </w:rPr>
                      </m:ctrlPr>
                    </m:dPr>
                    <m:e>
                      <m:d>
                        <m:dPr>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k</m:t>
                              </m:r>
                            </m:sub>
                          </m:sSub>
                          <m:r>
                            <w:rPr>
                              <w:rFonts w:ascii="Cambria Math" w:hAnsi="Cambria Math" w:cs="Sylfaen"/>
                              <w:sz w:val="24"/>
                              <w:szCs w:val="24"/>
                            </w:rPr>
                            <m:t>-1</m:t>
                          </m:r>
                        </m:e>
                      </m:d>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k</m:t>
                          </m:r>
                        </m:sub>
                        <m:sup>
                          <m:r>
                            <w:rPr>
                              <w:rFonts w:ascii="Cambria Math" w:hAnsi="Cambria Math" w:cs="Sylfaen"/>
                              <w:sz w:val="24"/>
                              <w:szCs w:val="24"/>
                            </w:rPr>
                            <m:t>2</m:t>
                          </m:r>
                        </m:sup>
                      </m:sSubSup>
                    </m:e>
                  </m:d>
                </m:e>
              </m:nary>
            </m:num>
            <m:den>
              <m:nary>
                <m:naryPr>
                  <m:chr m:val="∑"/>
                  <m:limLoc m:val="undOvr"/>
                  <m:ctrlPr>
                    <w:rPr>
                      <w:rFonts w:ascii="Cambria Math" w:hAnsi="Cambria Math" w:cs="Sylfaen"/>
                      <w:i/>
                      <w:sz w:val="24"/>
                      <w:szCs w:val="24"/>
                    </w:rPr>
                  </m:ctrlPr>
                </m:naryPr>
                <m:sub>
                  <m:r>
                    <w:rPr>
                      <w:rFonts w:ascii="Cambria Math" w:hAnsi="Cambria Math" w:cs="Sylfaen"/>
                      <w:sz w:val="24"/>
                      <w:szCs w:val="24"/>
                    </w:rPr>
                    <m:t>k=1</m:t>
                  </m:r>
                </m:sub>
                <m:sup>
                  <m:r>
                    <w:rPr>
                      <w:rFonts w:ascii="Cambria Math" w:hAnsi="Cambria Math" w:cs="Sylfaen"/>
                      <w:sz w:val="24"/>
                      <w:szCs w:val="24"/>
                    </w:rPr>
                    <m:t>k=g</m:t>
                  </m:r>
                </m:sup>
                <m:e>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k</m:t>
                      </m:r>
                    </m:sub>
                  </m:sSub>
                  <m:r>
                    <w:rPr>
                      <w:rFonts w:ascii="Cambria Math" w:hAnsi="Cambria Math" w:cs="Sylfaen"/>
                      <w:sz w:val="24"/>
                      <w:szCs w:val="24"/>
                    </w:rPr>
                    <m:t>-1)</m:t>
                  </m:r>
                </m:e>
              </m:nary>
            </m:den>
          </m:f>
          <m:r>
            <w:rPr>
              <w:rFonts w:ascii="Cambria Math" w:hAnsi="Cambria Math" w:cs="Sylfaen"/>
              <w:sz w:val="24"/>
              <w:szCs w:val="24"/>
            </w:rPr>
            <m:t>=</m:t>
          </m:r>
          <m:f>
            <m:fPr>
              <m:ctrlPr>
                <w:rPr>
                  <w:rFonts w:ascii="Cambria Math" w:hAnsi="Cambria Math" w:cs="Sylfaen"/>
                  <w:i/>
                  <w:sz w:val="24"/>
                  <w:szCs w:val="24"/>
                </w:rPr>
              </m:ctrlPr>
            </m:fPr>
            <m:num>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1</m:t>
                  </m:r>
                </m:sub>
              </m:sSub>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1</m:t>
                  </m:r>
                </m:sub>
                <m:sup>
                  <m:r>
                    <w:rPr>
                      <w:rFonts w:ascii="Cambria Math" w:hAnsi="Cambria Math" w:cs="Sylfaen"/>
                      <w:sz w:val="24"/>
                      <w:szCs w:val="24"/>
                    </w:rPr>
                    <m:t>2</m:t>
                  </m:r>
                </m:sup>
              </m:sSubSup>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2</m:t>
                  </m:r>
                </m:sub>
              </m:sSub>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2</m:t>
                  </m:r>
                </m:sub>
                <m:sup>
                  <m:r>
                    <w:rPr>
                      <w:rFonts w:ascii="Cambria Math" w:hAnsi="Cambria Math" w:cs="Sylfaen"/>
                      <w:sz w:val="24"/>
                      <w:szCs w:val="24"/>
                    </w:rPr>
                    <m:t>2</m:t>
                  </m:r>
                </m:sup>
              </m:sSubSup>
            </m:num>
            <m:den>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f</m:t>
                  </m:r>
                </m:e>
                <m:sub>
                  <m:r>
                    <w:rPr>
                      <w:rFonts w:ascii="Cambria Math" w:hAnsi="Cambria Math" w:cs="Sylfaen"/>
                      <w:sz w:val="24"/>
                      <w:szCs w:val="24"/>
                    </w:rPr>
                    <m:t>2</m:t>
                  </m:r>
                </m:sub>
              </m:sSub>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7*0,25+5*0,31</m:t>
              </m:r>
            </m:num>
            <m:den>
              <m:r>
                <w:rPr>
                  <w:rFonts w:ascii="Cambria Math" w:hAnsi="Cambria Math" w:cs="Sylfaen"/>
                  <w:sz w:val="24"/>
                  <w:szCs w:val="24"/>
                </w:rPr>
                <m:t>7+5</m:t>
              </m:r>
            </m:den>
          </m:f>
          <m:r>
            <w:rPr>
              <w:rFonts w:ascii="Cambria Math" w:hAnsi="Cambria Math" w:cs="Sylfaen"/>
              <w:sz w:val="24"/>
              <w:szCs w:val="24"/>
            </w:rPr>
            <m:t>=0,275;</m:t>
          </m:r>
        </m:oMath>
      </m:oMathPara>
    </w:p>
    <w:p w14:paraId="5A063F5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s=</m:t>
          </m:r>
          <m:rad>
            <m:radPr>
              <m:degHide m:val="1"/>
              <m:ctrlPr>
                <w:rPr>
                  <w:rFonts w:ascii="Cambria Math" w:hAnsi="Cambria Math" w:cs="Sylfaen"/>
                  <w:i/>
                  <w:sz w:val="24"/>
                  <w:szCs w:val="24"/>
                </w:rPr>
              </m:ctrlPr>
            </m:radPr>
            <m:deg/>
            <m:e>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0,275=0,524.</m:t>
                  </m:r>
                </m:e>
              </m:rad>
            </m:e>
          </m:rad>
        </m:oMath>
      </m:oMathPara>
    </w:p>
    <w:p w14:paraId="3CB8CA57"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P</m:t>
              </m:r>
            </m:sub>
            <m:sup>
              <m:r>
                <w:rPr>
                  <w:rFonts w:ascii="Cambria Math" w:hAnsi="Cambria Math" w:cs="Sylfaen"/>
                  <w:sz w:val="24"/>
                  <w:szCs w:val="24"/>
                </w:rPr>
                <m:t>2</m:t>
              </m:r>
            </m:sup>
          </m:sSubSup>
          <m:r>
            <w:rPr>
              <w:rFonts w:ascii="Cambria Math" w:hAnsi="Cambria Math" w:cs="Sylfaen"/>
              <w:sz w:val="24"/>
              <w:szCs w:val="24"/>
            </w:rPr>
            <m:t>=</m:t>
          </m:r>
          <m:f>
            <m:fPr>
              <m:ctrlPr>
                <w:rPr>
                  <w:rFonts w:ascii="Cambria Math" w:hAnsi="Cambria Math" w:cs="Sylfaen"/>
                  <w:i/>
                  <w:sz w:val="24"/>
                  <w:szCs w:val="24"/>
                </w:rPr>
              </m:ctrlPr>
            </m:fPr>
            <m:num>
              <m:sSup>
                <m:sSupPr>
                  <m:ctrlPr>
                    <w:rPr>
                      <w:rFonts w:ascii="Cambria Math" w:hAnsi="Cambria Math" w:cs="Sylfaen"/>
                      <w:i/>
                      <w:sz w:val="24"/>
                      <w:szCs w:val="24"/>
                    </w:rPr>
                  </m:ctrlPr>
                </m:sSupPr>
                <m:e>
                  <m:r>
                    <w:rPr>
                      <w:rFonts w:ascii="Cambria Math" w:hAnsi="Cambria Math" w:cs="Sylfaen"/>
                      <w:sz w:val="24"/>
                      <w:szCs w:val="24"/>
                    </w:rPr>
                    <m:t>s</m:t>
                  </m:r>
                </m:e>
                <m:sup>
                  <m:r>
                    <w:rPr>
                      <w:rFonts w:ascii="Cambria Math" w:hAnsi="Cambria Math" w:cs="Sylfaen"/>
                      <w:sz w:val="24"/>
                      <w:szCs w:val="24"/>
                    </w:rPr>
                    <m:t>2</m:t>
                  </m:r>
                </m:sup>
              </m:sSup>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r>
                <w:rPr>
                  <w:rFonts w:ascii="Cambria Math" w:hAnsi="Cambria Math" w:cs="Sylfaen"/>
                  <w:sz w:val="24"/>
                  <w:szCs w:val="24"/>
                </w:rPr>
                <m:t>)</m:t>
              </m:r>
            </m:num>
            <m:den>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0,275(8+6)</m:t>
              </m:r>
            </m:num>
            <m:den>
              <m:r>
                <w:rPr>
                  <w:rFonts w:ascii="Cambria Math" w:hAnsi="Cambria Math" w:cs="Sylfaen"/>
                  <w:sz w:val="24"/>
                  <w:szCs w:val="24"/>
                </w:rPr>
                <m:t>8*6</m:t>
              </m:r>
            </m:den>
          </m:f>
          <m:r>
            <w:rPr>
              <w:rFonts w:ascii="Cambria Math" w:hAnsi="Cambria Math" w:cs="Sylfaen"/>
              <w:sz w:val="24"/>
              <w:szCs w:val="24"/>
            </w:rPr>
            <m:t>=0,0802.</m:t>
          </m:r>
        </m:oMath>
      </m:oMathPara>
    </w:p>
    <w:p w14:paraId="18374E5D"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r>
            <w:rPr>
              <w:rFonts w:ascii="Cambria Math" w:hAnsi="Cambria Math" w:cs="Sylfaen"/>
              <w:sz w:val="24"/>
              <w:szCs w:val="24"/>
            </w:rPr>
            <m:t>=</m:t>
          </m:r>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P</m:t>
                  </m:r>
                </m:sub>
                <m:sup>
                  <m:r>
                    <w:rPr>
                      <w:rFonts w:ascii="Cambria Math" w:hAnsi="Cambria Math" w:cs="Sylfaen"/>
                      <w:sz w:val="24"/>
                      <w:szCs w:val="24"/>
                    </w:rPr>
                    <m:t>2</m:t>
                  </m:r>
                </m:sup>
              </m:sSubSup>
            </m:e>
          </m:rad>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 xml:space="preserve">0,0802= </m:t>
              </m:r>
            </m:e>
          </m:rad>
          <m:r>
            <w:rPr>
              <w:rFonts w:ascii="Cambria Math" w:hAnsi="Cambria Math" w:cs="Sylfaen"/>
              <w:sz w:val="24"/>
              <w:szCs w:val="24"/>
            </w:rPr>
            <m:t>0,283.</m:t>
          </m:r>
        </m:oMath>
      </m:oMathPara>
    </w:p>
    <w:p w14:paraId="1CC608B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w:lastRenderedPageBreak/>
            <m:t>f=</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n</m:t>
              </m:r>
            </m:e>
            <m:sub>
              <m:r>
                <w:rPr>
                  <w:rFonts w:ascii="Cambria Math" w:hAnsi="Cambria Math" w:cs="Sylfaen"/>
                  <w:sz w:val="24"/>
                  <w:szCs w:val="24"/>
                </w:rPr>
                <m:t>2</m:t>
              </m:r>
            </m:sub>
          </m:sSub>
          <m:r>
            <w:rPr>
              <w:rFonts w:ascii="Cambria Math" w:hAnsi="Cambria Math" w:cs="Sylfaen"/>
              <w:sz w:val="24"/>
              <w:szCs w:val="24"/>
            </w:rPr>
            <m:t>-2=8+6-2=12.</m:t>
          </m:r>
        </m:oMath>
      </m:oMathPara>
    </w:p>
    <w:p w14:paraId="7448765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2</m:t>
                      </m:r>
                    </m:sub>
                  </m:sSub>
                </m:e>
              </m:d>
            </m:num>
            <m:den>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den>
          </m:f>
          <m:r>
            <w:rPr>
              <w:rFonts w:ascii="Cambria Math" w:hAnsi="Cambria Math" w:cs="Sylfaen"/>
              <w:sz w:val="24"/>
              <w:szCs w:val="24"/>
            </w:rPr>
            <m:t>=</m:t>
          </m:r>
          <m:f>
            <m:fPr>
              <m:ctrlPr>
                <w:rPr>
                  <w:rFonts w:ascii="Cambria Math" w:hAnsi="Cambria Math" w:cs="Sylfaen"/>
                  <w:i/>
                  <w:sz w:val="24"/>
                  <w:szCs w:val="24"/>
                </w:rPr>
              </m:ctrlPr>
            </m:fPr>
            <m:num>
              <m:d>
                <m:dPr>
                  <m:begChr m:val="|"/>
                  <m:endChr m:val="|"/>
                  <m:ctrlPr>
                    <w:rPr>
                      <w:rFonts w:ascii="Cambria Math" w:hAnsi="Cambria Math" w:cs="Sylfaen"/>
                      <w:i/>
                      <w:sz w:val="24"/>
                      <w:szCs w:val="24"/>
                    </w:rPr>
                  </m:ctrlPr>
                </m:dPr>
                <m:e>
                  <m:r>
                    <w:rPr>
                      <w:rFonts w:ascii="Cambria Math" w:hAnsi="Cambria Math" w:cs="Sylfaen"/>
                      <w:sz w:val="24"/>
                      <w:szCs w:val="24"/>
                    </w:rPr>
                    <m:t>99,10-98,33</m:t>
                  </m:r>
                </m:e>
              </m:d>
            </m:num>
            <m:den>
              <m:r>
                <w:rPr>
                  <w:rFonts w:ascii="Cambria Math" w:hAnsi="Cambria Math" w:cs="Sylfaen"/>
                  <w:sz w:val="24"/>
                  <w:szCs w:val="24"/>
                </w:rPr>
                <m:t>0,283</m:t>
              </m:r>
            </m:den>
          </m:f>
          <m:r>
            <w:rPr>
              <w:rFonts w:ascii="Cambria Math" w:hAnsi="Cambria Math" w:cs="Sylfaen"/>
              <w:sz w:val="24"/>
              <w:szCs w:val="24"/>
            </w:rPr>
            <m:t>=2,72.</m:t>
          </m:r>
        </m:oMath>
      </m:oMathPara>
    </w:p>
    <w:p w14:paraId="1AF1EEF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t=2,72&gt;t</m:t>
          </m:r>
          <m:d>
            <m:dPr>
              <m:ctrlPr>
                <w:rPr>
                  <w:rFonts w:ascii="Cambria Math" w:hAnsi="Cambria Math" w:cs="Sylfaen"/>
                  <w:i/>
                  <w:sz w:val="24"/>
                  <w:szCs w:val="24"/>
                </w:rPr>
              </m:ctrlPr>
            </m:dPr>
            <m:e>
              <m:r>
                <w:rPr>
                  <w:rFonts w:ascii="Cambria Math" w:hAnsi="Cambria Math" w:cs="Sylfaen"/>
                  <w:sz w:val="24"/>
                  <w:szCs w:val="24"/>
                </w:rPr>
                <m:t>95%;12</m:t>
              </m:r>
            </m:e>
          </m:d>
          <m:r>
            <w:rPr>
              <w:rFonts w:ascii="Cambria Math" w:hAnsi="Cambria Math" w:cs="Sylfaen"/>
              <w:sz w:val="24"/>
              <w:szCs w:val="24"/>
            </w:rPr>
            <m:t>=2,18.</m:t>
          </m:r>
        </m:oMath>
      </m:oMathPara>
    </w:p>
    <w:p w14:paraId="4E68FBC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t=2,72&gt;t</m:t>
          </m:r>
          <m:d>
            <m:dPr>
              <m:ctrlPr>
                <w:rPr>
                  <w:rFonts w:ascii="Cambria Math" w:hAnsi="Cambria Math" w:cs="Sylfaen"/>
                  <w:i/>
                  <w:sz w:val="24"/>
                  <w:szCs w:val="24"/>
                </w:rPr>
              </m:ctrlPr>
            </m:dPr>
            <m:e>
              <m:r>
                <w:rPr>
                  <w:rFonts w:ascii="Cambria Math" w:hAnsi="Cambria Math" w:cs="Sylfaen"/>
                  <w:sz w:val="24"/>
                  <w:szCs w:val="24"/>
                </w:rPr>
                <m:t>99%;12</m:t>
              </m:r>
            </m:e>
          </m:d>
          <m:r>
            <w:rPr>
              <w:rFonts w:ascii="Cambria Math" w:hAnsi="Cambria Math" w:cs="Sylfaen"/>
              <w:sz w:val="24"/>
              <w:szCs w:val="24"/>
            </w:rPr>
            <m:t>=3,08.</m:t>
          </m:r>
        </m:oMath>
      </m:oMathPara>
    </w:p>
    <w:p w14:paraId="2C8EF14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Հետ</w:t>
      </w:r>
      <w:r>
        <w:rPr>
          <w:rFonts w:ascii="Sylfaen" w:hAnsi="Sylfaen"/>
          <w:sz w:val="24"/>
          <w:szCs w:val="24"/>
        </w:rPr>
        <w:t>եւ</w:t>
      </w:r>
      <w:r w:rsidRPr="00B834A2">
        <w:rPr>
          <w:rFonts w:ascii="Sylfaen" w:hAnsi="Sylfaen"/>
          <w:sz w:val="24"/>
          <w:szCs w:val="24"/>
        </w:rPr>
        <w:t xml:space="preserve">աբար </w:t>
      </w:r>
      <w:r w:rsidRPr="00B834A2">
        <w:rPr>
          <w:rFonts w:ascii="Sylfaen" w:hAnsi="Sylfaen"/>
          <w:i/>
          <w:sz w:val="24"/>
          <w:szCs w:val="24"/>
        </w:rPr>
        <w:t>Р</w:t>
      </w:r>
      <w:r w:rsidRPr="00B834A2">
        <w:rPr>
          <w:rFonts w:ascii="Sylfaen" w:hAnsi="Sylfaen"/>
          <w:i/>
          <w:sz w:val="24"/>
          <w:szCs w:val="24"/>
          <w:vertAlign w:val="subscript"/>
        </w:rPr>
        <w:t>2</w:t>
      </w:r>
      <w:r w:rsidRPr="00B834A2">
        <w:rPr>
          <w:rFonts w:ascii="Sylfaen" w:hAnsi="Sylfaen"/>
          <w:sz w:val="24"/>
          <w:szCs w:val="24"/>
        </w:rPr>
        <w:t xml:space="preserve"> = 95 % վստահելի հավանականությամբ </w:t>
      </w:r>
      <m:oMath>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 xml:space="preserve">2 </m:t>
            </m:r>
          </m:sub>
        </m:sSub>
      </m:oMath>
      <w:r w:rsidRPr="00B834A2">
        <w:rPr>
          <w:rFonts w:ascii="Sylfaen" w:hAnsi="Sylfaen"/>
          <w:sz w:val="24"/>
          <w:szCs w:val="24"/>
        </w:rPr>
        <w:t xml:space="preserve"> հիպոթեզը կարող է ընդունվել (այսինքն՝ առաջին նմուշը լավ է երկրորդից ազդող նյութի պարունակությամբ): Սակայն </w:t>
      </w:r>
      <w:r w:rsidRPr="00B834A2">
        <w:rPr>
          <w:rFonts w:ascii="Sylfaen" w:hAnsi="Sylfaen"/>
          <w:i/>
          <w:sz w:val="24"/>
          <w:szCs w:val="24"/>
        </w:rPr>
        <w:t>Р</w:t>
      </w:r>
      <w:r w:rsidRPr="00B834A2">
        <w:rPr>
          <w:rFonts w:ascii="Sylfaen" w:hAnsi="Sylfaen"/>
          <w:i/>
          <w:sz w:val="24"/>
          <w:szCs w:val="24"/>
          <w:vertAlign w:val="subscript"/>
        </w:rPr>
        <w:t>2</w:t>
      </w:r>
      <w:r w:rsidRPr="00B834A2">
        <w:rPr>
          <w:rFonts w:ascii="Sylfaen" w:hAnsi="Sylfaen"/>
          <w:sz w:val="24"/>
          <w:szCs w:val="24"/>
        </w:rPr>
        <w:t xml:space="preserve"> = 99 % վստահելի հավանականությամբ ընդունել այդ հիպոթեզը չի կարելի՝ տեղեկատվության ոչ բավարար լինելու պատճառով:</w:t>
      </w:r>
    </w:p>
    <w:p w14:paraId="02CB2CA7" w14:textId="77777777" w:rsidR="00B834A2" w:rsidRPr="00B834A2" w:rsidRDefault="00B834A2" w:rsidP="00B834A2">
      <w:pPr>
        <w:spacing w:after="160" w:line="360" w:lineRule="auto"/>
        <w:ind w:firstLine="567"/>
        <w:jc w:val="both"/>
      </w:pPr>
      <w:r w:rsidRPr="00B834A2">
        <w:t>Եթե</w:t>
      </w:r>
      <w:r>
        <w:t xml:space="preserve"> </w:t>
      </w:r>
      <m:oMath>
        <m:sSub>
          <m:sSubPr>
            <m:ctrlPr>
              <w:rPr>
                <w:rFonts w:ascii="Cambria Math" w:eastAsia="Times New Roman" w:hAnsi="Cambria Math"/>
                <w:i/>
                <w:color w:val="auto"/>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eastAsia="Times New Roman" w:hAnsi="Cambria Math"/>
                <w:i/>
                <w:color w:val="auto"/>
              </w:rPr>
            </m:ctrlPr>
          </m:sSubPr>
          <m:e>
            <m:r>
              <w:rPr>
                <w:rFonts w:ascii="Cambria Math" w:hAnsi="Cambria Math"/>
              </w:rPr>
              <m:t>x</m:t>
            </m:r>
          </m:e>
          <m:sub>
            <m:r>
              <w:rPr>
                <w:rFonts w:ascii="Cambria Math" w:hAnsi="Cambria Math"/>
              </w:rPr>
              <m:t xml:space="preserve">2 </m:t>
            </m:r>
          </m:sub>
        </m:sSub>
      </m:oMath>
      <w:r w:rsidRPr="00B834A2">
        <w:t xml:space="preserve">հիպոթեզը ընդունվել է, ապա որոշում են ընդհանուր միջին </w:t>
      </w:r>
      <m:oMath>
        <m:acc>
          <m:accPr>
            <m:ctrlPr>
              <w:rPr>
                <w:rFonts w:ascii="Cambria Math" w:hAnsi="Cambria Math"/>
                <w:i/>
              </w:rPr>
            </m:ctrlPr>
          </m:accPr>
          <m:e>
            <m:sSub>
              <m:sSubPr>
                <m:ctrlPr>
                  <w:rPr>
                    <w:rFonts w:ascii="Cambria Math" w:hAnsi="Cambria Math"/>
                    <w:i/>
                  </w:rPr>
                </m:ctrlPr>
              </m:sSubPr>
              <m:e>
                <m:r>
                  <w:rPr>
                    <w:rFonts w:ascii="Cambria Math" w:hAnsi="Cambria Math"/>
                  </w:rPr>
                  <m:t xml:space="preserve"> x</m:t>
                </m:r>
              </m:e>
              <m:sub>
                <m:r>
                  <w:rPr>
                    <w:rFonts w:ascii="Cambria Math" w:hAnsi="Cambria Math"/>
                  </w:rPr>
                  <m:t>1</m:t>
                </m:r>
              </m:sub>
            </m:sSub>
          </m:e>
        </m:acc>
      </m:oMath>
      <w:r w:rsidRPr="00B834A2">
        <w:t xml:space="preserve"> </w:t>
      </w:r>
      <w:r>
        <w:t>եւ</w:t>
      </w:r>
      <w:r w:rsidRPr="00B834A2">
        <w:t xml:space="preserve"> </w:t>
      </w:r>
      <m:oMath>
        <m:acc>
          <m:accPr>
            <m:ctrlPr>
              <w:rPr>
                <w:rFonts w:ascii="Cambria Math" w:hAnsi="Cambria Math"/>
                <w:i/>
              </w:rPr>
            </m:ctrlPr>
          </m:accPr>
          <m:e>
            <m:sSub>
              <m:sSubPr>
                <m:ctrlPr>
                  <w:rPr>
                    <w:rFonts w:ascii="Cambria Math" w:hAnsi="Cambria Math"/>
                    <w:i/>
                  </w:rPr>
                </m:ctrlPr>
              </m:sSubPr>
              <m:e>
                <m:r>
                  <w:rPr>
                    <w:rFonts w:ascii="Cambria Math" w:hAnsi="Cambria Math"/>
                  </w:rPr>
                  <m:t xml:space="preserve"> x</m:t>
                </m:r>
              </m:e>
              <m:sub>
                <m:r>
                  <w:rPr>
                    <w:rFonts w:ascii="Cambria Math" w:hAnsi="Cambria Math"/>
                  </w:rPr>
                  <m:t>2</m:t>
                </m:r>
              </m:sub>
            </m:sSub>
          </m:e>
        </m:acc>
      </m:oMath>
      <w:r w:rsidRPr="00B834A2">
        <w:t xml:space="preserve"> տարբերության վստահելի միջակայքը ((3.10) հավասարում). </w:t>
      </w:r>
    </w:p>
    <w:p w14:paraId="477CBFCF"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bar>
                <m:barPr>
                  <m:pos m:val="top"/>
                  <m:ctrlPr>
                    <w:rPr>
                      <w:rFonts w:ascii="Cambria Math" w:hAnsi="Cambria Math" w:cs="Sylfaen"/>
                      <w:i/>
                      <w:sz w:val="24"/>
                      <w:szCs w:val="24"/>
                    </w:rPr>
                  </m:ctrlPr>
                </m:bar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 xml:space="preserve">2 </m:t>
                      </m:r>
                    </m:sub>
                  </m:sSub>
                </m:e>
              </m:bar>
            </m:e>
          </m:d>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P,f</m:t>
              </m:r>
            </m:e>
          </m:d>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r>
            <w:rPr>
              <w:rFonts w:ascii="Cambria Math" w:hAnsi="Cambria Math" w:cs="Sylfaen"/>
              <w:sz w:val="24"/>
              <w:szCs w:val="24"/>
            </w:rPr>
            <m:t>≤</m:t>
          </m:r>
          <m:d>
            <m:dPr>
              <m:begChr m:val="|"/>
              <m:endChr m:val="|"/>
              <m:ctrlPr>
                <w:rPr>
                  <w:rFonts w:ascii="Cambria Math" w:hAnsi="Cambria Math" w:cs="Sylfaen"/>
                  <w:i/>
                  <w:sz w:val="24"/>
                  <w:szCs w:val="24"/>
                </w:rPr>
              </m:ctrlPr>
            </m:dPr>
            <m:e>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1</m:t>
                      </m:r>
                    </m:sub>
                  </m:sSub>
                </m:e>
              </m:acc>
              <m:r>
                <w:rPr>
                  <w:rFonts w:ascii="Cambria Math" w:eastAsia="Microsoft Sans Serif" w:hAnsi="Cambria Math" w:cs="Sylfaen"/>
                  <w:color w:val="000000"/>
                  <w:sz w:val="24"/>
                  <w:szCs w:val="24"/>
                </w:rPr>
                <m:t>-</m:t>
              </m:r>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2</m:t>
                      </m:r>
                    </m:sub>
                  </m:sSub>
                </m:e>
              </m:acc>
            </m:e>
          </m:d>
          <m:r>
            <w:rPr>
              <w:rFonts w:ascii="Cambria Math" w:hAnsi="Cambria Math" w:cs="Sylfaen"/>
              <w:sz w:val="24"/>
              <w:szCs w:val="24"/>
            </w:rPr>
            <m:t>≤</m:t>
          </m:r>
          <m:d>
            <m:dPr>
              <m:begChr m:val="|"/>
              <m:endChr m:val="|"/>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1</m:t>
                  </m:r>
                </m:sub>
              </m:sSub>
              <m:r>
                <w:rPr>
                  <w:rFonts w:ascii="Cambria Math" w:hAnsi="Cambria Math" w:cs="Sylfaen"/>
                  <w:sz w:val="24"/>
                  <w:szCs w:val="24"/>
                </w:rPr>
                <m:t>-</m:t>
              </m:r>
              <m:bar>
                <m:barPr>
                  <m:pos m:val="top"/>
                  <m:ctrlPr>
                    <w:rPr>
                      <w:rFonts w:ascii="Cambria Math" w:hAnsi="Cambria Math" w:cs="Sylfaen"/>
                      <w:i/>
                      <w:sz w:val="24"/>
                      <w:szCs w:val="24"/>
                    </w:rPr>
                  </m:ctrlPr>
                </m:barPr>
                <m:e>
                  <m:sSub>
                    <m:sSubPr>
                      <m:ctrlPr>
                        <w:rPr>
                          <w:rFonts w:ascii="Cambria Math" w:hAnsi="Cambria Math" w:cs="Sylfaen"/>
                          <w:i/>
                          <w:sz w:val="24"/>
                          <w:szCs w:val="24"/>
                        </w:rPr>
                      </m:ctrlPr>
                    </m:sSubPr>
                    <m:e>
                      <m:r>
                        <w:rPr>
                          <w:rFonts w:ascii="Cambria Math" w:hAnsi="Cambria Math" w:cs="Sylfaen"/>
                          <w:sz w:val="24"/>
                          <w:szCs w:val="24"/>
                        </w:rPr>
                        <m:t>x</m:t>
                      </m:r>
                    </m:e>
                    <m:sub>
                      <m:r>
                        <w:rPr>
                          <w:rFonts w:ascii="Cambria Math" w:hAnsi="Cambria Math" w:cs="Sylfaen"/>
                          <w:sz w:val="24"/>
                          <w:szCs w:val="24"/>
                        </w:rPr>
                        <m:t xml:space="preserve">2 </m:t>
                      </m:r>
                    </m:sub>
                  </m:sSub>
                </m:e>
              </m:bar>
            </m:e>
          </m:d>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P,f</m:t>
              </m:r>
            </m:e>
          </m:d>
          <m:r>
            <w:rPr>
              <w:rFonts w:ascii="Cambria Math" w:hAnsi="Cambria Math" w:cs="Sylfaen"/>
              <w:sz w:val="24"/>
              <w:szCs w:val="24"/>
            </w:rPr>
            <m:t>*</m:t>
          </m:r>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P</m:t>
              </m:r>
            </m:sub>
          </m:sSub>
          <m:d>
            <m:dPr>
              <m:ctrlPr>
                <w:rPr>
                  <w:rFonts w:ascii="Cambria Math" w:hAnsi="Cambria Math" w:cs="Sylfaen"/>
                  <w:i/>
                  <w:sz w:val="24"/>
                  <w:szCs w:val="24"/>
                </w:rPr>
              </m:ctrlPr>
            </m:dPr>
            <m:e>
              <m:sSub>
                <m:sSubPr>
                  <m:ctrlPr>
                    <w:rPr>
                      <w:rFonts w:ascii="Cambria Math" w:hAnsi="Cambria Math" w:cs="Sylfaen"/>
                      <w:i/>
                      <w:sz w:val="24"/>
                      <w:szCs w:val="24"/>
                    </w:rPr>
                  </m:ctrlPr>
                </m:sSubPr>
                <m:e>
                  <m:r>
                    <w:rPr>
                      <w:rFonts w:ascii="Cambria Math" w:hAnsi="Cambria Math" w:cs="Sylfaen"/>
                      <w:sz w:val="24"/>
                      <w:szCs w:val="24"/>
                    </w:rPr>
                    <m:t>P</m:t>
                  </m:r>
                </m:e>
                <m:sub>
                  <m:r>
                    <w:rPr>
                      <w:rFonts w:ascii="Cambria Math" w:hAnsi="Cambria Math" w:cs="Sylfaen"/>
                      <w:sz w:val="24"/>
                      <w:szCs w:val="24"/>
                    </w:rPr>
                    <m:t>2</m:t>
                  </m:r>
                </m:sub>
              </m:sSub>
              <m:r>
                <w:rPr>
                  <w:rFonts w:ascii="Cambria Math" w:hAnsi="Cambria Math" w:cs="Sylfaen"/>
                  <w:sz w:val="24"/>
                  <w:szCs w:val="24"/>
                </w:rPr>
                <m:t>=95%;f=12</m:t>
              </m:r>
            </m:e>
          </m:d>
          <m:r>
            <w:rPr>
              <w:rFonts w:ascii="Cambria Math" w:hAnsi="Cambria Math" w:cs="Sylfaen"/>
              <w:sz w:val="24"/>
              <w:szCs w:val="24"/>
            </w:rPr>
            <m:t>;</m:t>
          </m:r>
        </m:oMath>
      </m:oMathPara>
    </w:p>
    <w:p w14:paraId="17D74A6F"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d>
            <m:dPr>
              <m:begChr m:val="|"/>
              <m:endChr m:val="|"/>
              <m:ctrlPr>
                <w:rPr>
                  <w:rFonts w:ascii="Cambria Math" w:hAnsi="Cambria Math" w:cs="Sylfaen"/>
                  <w:i/>
                  <w:sz w:val="24"/>
                  <w:szCs w:val="24"/>
                </w:rPr>
              </m:ctrlPr>
            </m:dPr>
            <m:e>
              <m:r>
                <w:rPr>
                  <w:rFonts w:ascii="Cambria Math" w:hAnsi="Cambria Math" w:cs="Sylfaen"/>
                  <w:sz w:val="24"/>
                  <w:szCs w:val="24"/>
                </w:rPr>
                <m:t>99,10-98,33</m:t>
              </m:r>
            </m:e>
          </m:d>
          <m:r>
            <w:rPr>
              <w:rFonts w:ascii="Cambria Math" w:hAnsi="Cambria Math" w:cs="Sylfaen"/>
              <w:sz w:val="24"/>
              <w:szCs w:val="24"/>
            </w:rPr>
            <m:t>-2,18*0,283≤</m:t>
          </m:r>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1</m:t>
                  </m:r>
                </m:sub>
              </m:sSub>
            </m:e>
          </m:acc>
          <m:r>
            <w:rPr>
              <w:rFonts w:ascii="Cambria Math" w:eastAsia="Microsoft Sans Serif" w:hAnsi="Cambria Math" w:cs="Sylfaen"/>
              <w:color w:val="000000"/>
              <w:sz w:val="24"/>
              <w:szCs w:val="24"/>
            </w:rPr>
            <m:t>-</m:t>
          </m:r>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2</m:t>
                  </m:r>
                </m:sub>
              </m:sSub>
            </m:e>
          </m:acc>
          <m:r>
            <w:rPr>
              <w:rFonts w:ascii="Cambria Math" w:eastAsia="Microsoft Sans Serif" w:hAnsi="Cambria Math" w:cs="Sylfaen"/>
              <w:color w:val="000000"/>
              <w:sz w:val="24"/>
              <w:szCs w:val="24"/>
            </w:rPr>
            <m:t>≤</m:t>
          </m:r>
          <m:d>
            <m:dPr>
              <m:begChr m:val="|"/>
              <m:endChr m:val="|"/>
              <m:ctrlPr>
                <w:rPr>
                  <w:rFonts w:ascii="Cambria Math" w:eastAsia="Microsoft Sans Serif" w:hAnsi="Cambria Math" w:cs="Sylfaen"/>
                  <w:i/>
                  <w:color w:val="000000"/>
                  <w:sz w:val="24"/>
                  <w:szCs w:val="24"/>
                </w:rPr>
              </m:ctrlPr>
            </m:dPr>
            <m:e>
              <m:r>
                <w:rPr>
                  <w:rFonts w:ascii="Cambria Math" w:eastAsia="Microsoft Sans Serif" w:hAnsi="Cambria Math" w:cs="Sylfaen"/>
                  <w:color w:val="000000"/>
                  <w:sz w:val="24"/>
                  <w:szCs w:val="24"/>
                </w:rPr>
                <m:t>99,10-98,33</m:t>
              </m:r>
            </m:e>
          </m:d>
          <m:r>
            <w:rPr>
              <w:rFonts w:ascii="Cambria Math" w:eastAsia="Microsoft Sans Serif" w:hAnsi="Cambria Math" w:cs="Sylfaen"/>
              <w:color w:val="000000"/>
              <w:sz w:val="24"/>
              <w:szCs w:val="24"/>
            </w:rPr>
            <m:t>+2,18*0,283,</m:t>
          </m:r>
        </m:oMath>
      </m:oMathPara>
    </w:p>
    <w:p w14:paraId="394F53D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m:oMathPara>
        <m:oMath>
          <m:r>
            <w:rPr>
              <w:rFonts w:ascii="Cambria Math" w:hAnsi="Cambria Math" w:cs="Sylfaen"/>
              <w:sz w:val="24"/>
              <w:szCs w:val="24"/>
            </w:rPr>
            <m:t>0,15≤</m:t>
          </m:r>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1</m:t>
                  </m:r>
                </m:sub>
              </m:sSub>
            </m:e>
          </m:acc>
          <m:r>
            <w:rPr>
              <w:rFonts w:ascii="Cambria Math" w:eastAsia="Microsoft Sans Serif" w:hAnsi="Cambria Math" w:cs="Sylfaen"/>
              <w:color w:val="000000"/>
              <w:sz w:val="24"/>
              <w:szCs w:val="24"/>
            </w:rPr>
            <m:t>-</m:t>
          </m:r>
          <m:acc>
            <m:accPr>
              <m:ctrlPr>
                <w:rPr>
                  <w:rFonts w:ascii="Cambria Math" w:eastAsia="Microsoft Sans Serif" w:hAnsi="Cambria Math" w:cs="Sylfaen"/>
                  <w:i/>
                  <w:color w:val="000000"/>
                  <w:sz w:val="24"/>
                  <w:szCs w:val="24"/>
                </w:rPr>
              </m:ctrlPr>
            </m:accPr>
            <m:e>
              <m:sSub>
                <m:sSubPr>
                  <m:ctrlPr>
                    <w:rPr>
                      <w:rFonts w:ascii="Cambria Math" w:eastAsia="Microsoft Sans Serif" w:hAnsi="Cambria Math" w:cs="Sylfaen"/>
                      <w:i/>
                      <w:color w:val="000000"/>
                      <w:sz w:val="24"/>
                      <w:szCs w:val="24"/>
                    </w:rPr>
                  </m:ctrlPr>
                </m:sSubPr>
                <m:e>
                  <m:r>
                    <w:rPr>
                      <w:rFonts w:ascii="Cambria Math" w:hAnsi="Cambria Math" w:cs="Sylfaen"/>
                      <w:sz w:val="24"/>
                      <w:szCs w:val="24"/>
                    </w:rPr>
                    <m:t xml:space="preserve"> x</m:t>
                  </m:r>
                </m:e>
                <m:sub>
                  <m:r>
                    <w:rPr>
                      <w:rFonts w:ascii="Cambria Math" w:hAnsi="Cambria Math" w:cs="Sylfaen"/>
                      <w:sz w:val="24"/>
                      <w:szCs w:val="24"/>
                    </w:rPr>
                    <m:t>2</m:t>
                  </m:r>
                </m:sub>
              </m:sSub>
            </m:e>
          </m:acc>
          <m:r>
            <w:rPr>
              <w:rFonts w:ascii="Cambria Math" w:eastAsia="Microsoft Sans Serif" w:hAnsi="Cambria Math" w:cs="Sylfaen"/>
              <w:color w:val="000000"/>
              <w:sz w:val="24"/>
              <w:szCs w:val="24"/>
            </w:rPr>
            <m:t>≤1,39.</m:t>
          </m:r>
        </m:oMath>
      </m:oMathPara>
    </w:p>
    <w:p w14:paraId="334F94C7" w14:textId="77777777" w:rsidR="00B07646" w:rsidRDefault="00B07646" w:rsidP="00B07646">
      <w:pPr>
        <w:pStyle w:val="a0"/>
        <w:shd w:val="clear" w:color="auto" w:fill="auto"/>
        <w:tabs>
          <w:tab w:val="left" w:pos="1134"/>
        </w:tabs>
        <w:spacing w:after="160" w:line="360" w:lineRule="auto"/>
        <w:ind w:firstLine="567"/>
        <w:jc w:val="both"/>
        <w:rPr>
          <w:rFonts w:ascii="Sylfaen" w:hAnsi="Sylfaen"/>
          <w:b/>
          <w:sz w:val="24"/>
          <w:szCs w:val="24"/>
          <w:lang w:val="en-US"/>
        </w:rPr>
      </w:pPr>
    </w:p>
    <w:p w14:paraId="0F0B68F1"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cs="Sylfaen"/>
          <w:sz w:val="24"/>
          <w:szCs w:val="24"/>
        </w:rPr>
      </w:pPr>
      <w:r w:rsidRPr="00B834A2">
        <w:rPr>
          <w:rFonts w:ascii="Sylfaen" w:hAnsi="Sylfaen"/>
          <w:b/>
          <w:sz w:val="24"/>
          <w:szCs w:val="24"/>
        </w:rPr>
        <w:t>6.6.</w:t>
      </w:r>
      <w:r w:rsidR="00B07646" w:rsidRPr="00B07646">
        <w:rPr>
          <w:rFonts w:ascii="Sylfaen" w:hAnsi="Sylfaen"/>
          <w:b/>
          <w:sz w:val="24"/>
          <w:szCs w:val="24"/>
        </w:rPr>
        <w:tab/>
      </w:r>
      <w:r w:rsidRPr="00B834A2">
        <w:rPr>
          <w:rFonts w:ascii="Sylfaen" w:hAnsi="Sylfaen"/>
          <w:b/>
          <w:sz w:val="24"/>
          <w:szCs w:val="24"/>
        </w:rPr>
        <w:t>Բարձրարդյունավետ հեղուկ քրոմատագրման մեթոդով դեղապատրաստուկների անալիզի արդյունքների անորոշության հաշվարկ</w:t>
      </w:r>
    </w:p>
    <w:p w14:paraId="43C5A670" w14:textId="77777777" w:rsidR="001B3D08"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0,50 գ միջին զանգվածով դեղահաբում А նյութի պարունակությունը կազմում</w:t>
      </w:r>
      <w:r w:rsidR="007F19B6" w:rsidRPr="007F19B6">
        <w:rPr>
          <w:rFonts w:ascii="Sylfaen" w:hAnsi="Sylfaen"/>
          <w:sz w:val="24"/>
          <w:szCs w:val="24"/>
        </w:rPr>
        <w:t> </w:t>
      </w:r>
      <w:r w:rsidRPr="00B834A2">
        <w:rPr>
          <w:rFonts w:ascii="Sylfaen" w:hAnsi="Sylfaen"/>
          <w:sz w:val="24"/>
          <w:szCs w:val="24"/>
        </w:rPr>
        <w:t>է</w:t>
      </w:r>
      <w:r>
        <w:rPr>
          <w:rFonts w:ascii="Sylfaen" w:hAnsi="Sylfaen"/>
          <w:sz w:val="24"/>
          <w:szCs w:val="24"/>
        </w:rPr>
        <w:t xml:space="preserve"> </w:t>
      </w:r>
      <w:r w:rsidRPr="00B834A2">
        <w:rPr>
          <w:rFonts w:ascii="Sylfaen" w:hAnsi="Sylfaen"/>
          <w:sz w:val="24"/>
          <w:szCs w:val="24"/>
        </w:rPr>
        <w:t xml:space="preserve">0,050 գ: Բարձրարդյունավետ հեղուկ քրոմատագրման լուծույթի մեթոդով А նյութի քանակական որոշման համար պատրաստել են փորձարկվող լուծույթ. տրորված դեղահաբերի փոշու </w:t>
      </w:r>
      <w:r w:rsidRPr="00B834A2">
        <w:rPr>
          <w:rFonts w:ascii="Sylfaen" w:hAnsi="Sylfaen"/>
          <w:i/>
          <w:sz w:val="24"/>
          <w:szCs w:val="24"/>
        </w:rPr>
        <w:t xml:space="preserve">m </w:t>
      </w:r>
      <w:r w:rsidRPr="00B834A2">
        <w:rPr>
          <w:rFonts w:ascii="Sylfaen" w:hAnsi="Sylfaen"/>
          <w:sz w:val="24"/>
          <w:szCs w:val="24"/>
        </w:rPr>
        <w:t xml:space="preserve">= 0,5052 գ կշռանմուշը տեղադրել են 50 մլ տարողությամբ չափանոթում </w:t>
      </w:r>
      <w:r>
        <w:rPr>
          <w:rFonts w:ascii="Sylfaen" w:hAnsi="Sylfaen"/>
          <w:sz w:val="24"/>
          <w:szCs w:val="24"/>
        </w:rPr>
        <w:t>եւ</w:t>
      </w:r>
      <w:r w:rsidRPr="00B834A2">
        <w:rPr>
          <w:rFonts w:ascii="Sylfaen" w:hAnsi="Sylfaen"/>
          <w:sz w:val="24"/>
          <w:szCs w:val="24"/>
        </w:rPr>
        <w:t xml:space="preserve"> հասցրել են լուծույթի ծավալը լուծիչով մինչ</w:t>
      </w:r>
      <w:r>
        <w:rPr>
          <w:rFonts w:ascii="Sylfaen" w:hAnsi="Sylfaen"/>
          <w:sz w:val="24"/>
          <w:szCs w:val="24"/>
        </w:rPr>
        <w:t>եւ</w:t>
      </w:r>
      <w:r w:rsidRPr="00B834A2">
        <w:rPr>
          <w:rFonts w:ascii="Sylfaen" w:hAnsi="Sylfaen"/>
          <w:sz w:val="24"/>
          <w:szCs w:val="24"/>
        </w:rPr>
        <w:t xml:space="preserve"> նիշը: Զուգահեռ պատրաստել են համեմատման լուծույթ. 0,0508 գ ստանդարտ նմուշը տեղադրել են չափանոթում 50 մլ-ի չափով </w:t>
      </w:r>
      <w:r>
        <w:rPr>
          <w:rFonts w:ascii="Sylfaen" w:hAnsi="Sylfaen"/>
          <w:sz w:val="24"/>
          <w:szCs w:val="24"/>
        </w:rPr>
        <w:t>եւ</w:t>
      </w:r>
      <w:r w:rsidRPr="00B834A2">
        <w:rPr>
          <w:rFonts w:ascii="Sylfaen" w:hAnsi="Sylfaen"/>
          <w:sz w:val="24"/>
          <w:szCs w:val="24"/>
        </w:rPr>
        <w:t xml:space="preserve"> հասցրել են լուծույթի ծավալը լուծիչով մինչ</w:t>
      </w:r>
      <w:r>
        <w:rPr>
          <w:rFonts w:ascii="Sylfaen" w:hAnsi="Sylfaen"/>
          <w:sz w:val="24"/>
          <w:szCs w:val="24"/>
        </w:rPr>
        <w:t>եւ</w:t>
      </w:r>
      <w:r w:rsidRPr="00B834A2">
        <w:rPr>
          <w:rFonts w:ascii="Sylfaen" w:hAnsi="Sylfaen"/>
          <w:sz w:val="24"/>
          <w:szCs w:val="24"/>
        </w:rPr>
        <w:t xml:space="preserve"> նիշը: Փոփոխակի կերպով քրոմատագրել են փորձարկվող լուծույթը </w:t>
      </w:r>
      <w:r>
        <w:rPr>
          <w:rFonts w:ascii="Sylfaen" w:hAnsi="Sylfaen"/>
          <w:sz w:val="24"/>
          <w:szCs w:val="24"/>
        </w:rPr>
        <w:t>եւ</w:t>
      </w:r>
      <w:r w:rsidRPr="00B834A2">
        <w:rPr>
          <w:rFonts w:ascii="Sylfaen" w:hAnsi="Sylfaen"/>
          <w:sz w:val="24"/>
          <w:szCs w:val="24"/>
        </w:rPr>
        <w:t xml:space="preserve"> համեմատման լուծույթը՝ ստանալով 5-ական քրոմատագիր: Ստացված պիկերի մակերեսները ներկայացված են աղյուսակ 6.6-11-ում:</w:t>
      </w:r>
    </w:p>
    <w:p w14:paraId="108EFC12" w14:textId="77777777" w:rsidR="00B834A2" w:rsidRPr="00B834A2" w:rsidRDefault="00B834A2" w:rsidP="00B07646">
      <w:pPr>
        <w:pStyle w:val="a0"/>
        <w:shd w:val="clear" w:color="auto" w:fill="auto"/>
        <w:tabs>
          <w:tab w:val="left" w:pos="1276"/>
        </w:tabs>
        <w:spacing w:after="160" w:line="360" w:lineRule="auto"/>
        <w:ind w:firstLine="567"/>
        <w:jc w:val="both"/>
        <w:rPr>
          <w:rFonts w:ascii="Sylfaen" w:hAnsi="Sylfaen" w:cs="Sylfaen"/>
          <w:sz w:val="24"/>
          <w:szCs w:val="24"/>
        </w:rPr>
      </w:pPr>
      <w:r w:rsidRPr="00B834A2">
        <w:rPr>
          <w:rFonts w:ascii="Sylfaen" w:hAnsi="Sylfaen"/>
          <w:i/>
          <w:sz w:val="24"/>
          <w:szCs w:val="24"/>
        </w:rPr>
        <w:lastRenderedPageBreak/>
        <w:t>6.6.1.</w:t>
      </w:r>
      <w:r w:rsidR="00B07646" w:rsidRPr="002E52D1">
        <w:rPr>
          <w:rFonts w:ascii="Sylfaen" w:hAnsi="Sylfaen"/>
          <w:i/>
          <w:sz w:val="24"/>
          <w:szCs w:val="24"/>
        </w:rPr>
        <w:tab/>
      </w:r>
      <w:r w:rsidRPr="00B834A2">
        <w:rPr>
          <w:rFonts w:ascii="Sylfaen" w:hAnsi="Sylfaen"/>
          <w:i/>
          <w:sz w:val="24"/>
          <w:szCs w:val="24"/>
        </w:rPr>
        <w:t>Վերջնական անալիտիկ գործողություն</w:t>
      </w:r>
    </w:p>
    <w:p w14:paraId="5868E8C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Հաշվարկում են միջին արժեքները, մեկ դեղահաբում А նյութի պարունակությունը </w:t>
      </w:r>
      <w:r>
        <w:rPr>
          <w:rFonts w:ascii="Sylfaen" w:hAnsi="Sylfaen"/>
          <w:sz w:val="24"/>
          <w:szCs w:val="24"/>
        </w:rPr>
        <w:t>եւ</w:t>
      </w:r>
      <w:r w:rsidRPr="00B834A2">
        <w:rPr>
          <w:rFonts w:ascii="Sylfaen" w:hAnsi="Sylfaen"/>
          <w:sz w:val="24"/>
          <w:szCs w:val="24"/>
        </w:rPr>
        <w:t xml:space="preserve"> պիկերի մակերեսների հարաբերական ստանդարտ շեղումները՝ վերջնական անալիտիկ գործողության մեջ փորձարկվող լուծույթի </w:t>
      </w:r>
      <w:r>
        <w:rPr>
          <w:rFonts w:ascii="Sylfaen" w:hAnsi="Sylfaen"/>
          <w:sz w:val="24"/>
          <w:szCs w:val="24"/>
        </w:rPr>
        <w:t>եւ</w:t>
      </w:r>
      <w:r w:rsidRPr="00B834A2">
        <w:rPr>
          <w:rFonts w:ascii="Sylfaen" w:hAnsi="Sylfaen"/>
          <w:sz w:val="24"/>
          <w:szCs w:val="24"/>
        </w:rPr>
        <w:t xml:space="preserve"> համեմատման լուծույթի համար:</w:t>
      </w:r>
    </w:p>
    <w:p w14:paraId="4BB7C50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Պիկերի մակերեսների միջին արժեքները.</w:t>
      </w:r>
    </w:p>
    <w:p w14:paraId="640EA57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փորձարկվող լուծույթ՝</w:t>
      </w:r>
    </w:p>
    <w:p w14:paraId="20EE8CB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(13957605 + 13806804 + 13924245 +13715195 +14059478)/5 =13892665.</w:t>
      </w:r>
    </w:p>
    <w:p w14:paraId="7A9A0593"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st</m:t>
            </m:r>
          </m:sub>
        </m:sSub>
        <m:r>
          <w:rPr>
            <w:rFonts w:ascii="Cambria Math" w:hAnsi="Cambria Math" w:cs="Sylfaen"/>
            <w:sz w:val="24"/>
            <w:szCs w:val="24"/>
          </w:rPr>
          <m:t xml:space="preserve"> </m:t>
        </m:r>
      </m:oMath>
      <w:r w:rsidR="00B834A2" w:rsidRPr="00B834A2">
        <w:rPr>
          <w:rFonts w:ascii="Sylfaen" w:hAnsi="Sylfaen"/>
          <w:sz w:val="24"/>
          <w:szCs w:val="24"/>
        </w:rPr>
        <w:t>համեմատման լուծույթ՝</w:t>
      </w:r>
    </w:p>
    <w:p w14:paraId="01D4CD38" w14:textId="77777777" w:rsidR="00B834A2" w:rsidRPr="00A859E3" w:rsidRDefault="00B834A2" w:rsidP="00B834A2">
      <w:pPr>
        <w:spacing w:after="160" w:line="360" w:lineRule="auto"/>
        <w:ind w:firstLine="567"/>
        <w:jc w:val="both"/>
      </w:pPr>
      <w:r w:rsidRPr="00B834A2">
        <w:t>(14240777 + 14102192 + 14316388 + 14205217 + 14409585)75 = 14254832.</w:t>
      </w:r>
    </w:p>
    <w:p w14:paraId="5BD197B6" w14:textId="77777777" w:rsidR="007F19B6" w:rsidRPr="00A859E3" w:rsidRDefault="007F19B6" w:rsidP="00B834A2">
      <w:pPr>
        <w:spacing w:after="160" w:line="360" w:lineRule="auto"/>
        <w:ind w:firstLine="567"/>
        <w:jc w:val="both"/>
      </w:pPr>
      <w:r w:rsidRPr="00B07646">
        <w:t>Աղյուսակ 6.6-11.</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2462"/>
        <w:gridCol w:w="1373"/>
        <w:gridCol w:w="1670"/>
        <w:gridCol w:w="1109"/>
        <w:gridCol w:w="1392"/>
        <w:gridCol w:w="1411"/>
      </w:tblGrid>
      <w:tr w:rsidR="00B834A2" w:rsidRPr="00B07646" w14:paraId="425E6AA7" w14:textId="77777777" w:rsidTr="007F19B6">
        <w:trPr>
          <w:jc w:val="center"/>
        </w:trPr>
        <w:tc>
          <w:tcPr>
            <w:tcW w:w="2462" w:type="dxa"/>
            <w:vMerge w:val="restart"/>
            <w:tcBorders>
              <w:top w:val="single" w:sz="4" w:space="0" w:color="auto"/>
            </w:tcBorders>
            <w:shd w:val="clear" w:color="auto" w:fill="FFFFFF"/>
            <w:vAlign w:val="center"/>
          </w:tcPr>
          <w:p w14:paraId="12B60E11"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Լուծույթի անվանումը</w:t>
            </w:r>
          </w:p>
        </w:tc>
        <w:tc>
          <w:tcPr>
            <w:tcW w:w="6955" w:type="dxa"/>
            <w:gridSpan w:val="5"/>
            <w:tcBorders>
              <w:top w:val="single" w:sz="4" w:space="0" w:color="auto"/>
            </w:tcBorders>
            <w:shd w:val="clear" w:color="auto" w:fill="FFFFFF"/>
            <w:vAlign w:val="center"/>
          </w:tcPr>
          <w:p w14:paraId="6D4670B3"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 xml:space="preserve">№ քրոմատագրի համար </w:t>
            </w:r>
            <w:r w:rsidRPr="00B07646">
              <w:rPr>
                <w:rFonts w:ascii="Sylfaen" w:hAnsi="Sylfaen"/>
                <w:i/>
                <w:szCs w:val="24"/>
              </w:rPr>
              <w:t xml:space="preserve">(S </w:t>
            </w:r>
            <w:r w:rsidRPr="00B07646">
              <w:rPr>
                <w:rFonts w:ascii="Sylfaen" w:hAnsi="Sylfaen"/>
                <w:szCs w:val="24"/>
              </w:rPr>
              <w:t xml:space="preserve">եւ </w:t>
            </w:r>
            <w:r w:rsidRPr="00B07646">
              <w:rPr>
                <w:rFonts w:ascii="Sylfaen" w:hAnsi="Sylfaen"/>
                <w:i/>
                <w:szCs w:val="24"/>
              </w:rPr>
              <w:t>S</w:t>
            </w:r>
            <w:r w:rsidRPr="00B07646">
              <w:rPr>
                <w:rFonts w:ascii="Sylfaen" w:hAnsi="Sylfaen"/>
                <w:i/>
                <w:szCs w:val="24"/>
                <w:vertAlign w:val="subscript"/>
              </w:rPr>
              <w:t>st</w:t>
            </w:r>
            <w:r w:rsidRPr="00B07646">
              <w:rPr>
                <w:rFonts w:ascii="Sylfaen" w:hAnsi="Sylfaen"/>
                <w:szCs w:val="24"/>
              </w:rPr>
              <w:t>) պիկերի մակերեսները</w:t>
            </w:r>
          </w:p>
        </w:tc>
      </w:tr>
      <w:tr w:rsidR="00B834A2" w:rsidRPr="00B07646" w14:paraId="58FBA7D3" w14:textId="77777777" w:rsidTr="007F19B6">
        <w:trPr>
          <w:jc w:val="center"/>
        </w:trPr>
        <w:tc>
          <w:tcPr>
            <w:tcW w:w="2462" w:type="dxa"/>
            <w:vMerge/>
            <w:shd w:val="clear" w:color="auto" w:fill="FFFFFF"/>
            <w:vAlign w:val="center"/>
          </w:tcPr>
          <w:p w14:paraId="3B2E6A9A" w14:textId="77777777" w:rsidR="00B834A2" w:rsidRPr="00B07646" w:rsidRDefault="00B834A2" w:rsidP="007F19B6">
            <w:pPr>
              <w:spacing w:after="120"/>
              <w:jc w:val="center"/>
              <w:rPr>
                <w:sz w:val="20"/>
              </w:rPr>
            </w:pPr>
          </w:p>
        </w:tc>
        <w:tc>
          <w:tcPr>
            <w:tcW w:w="1373" w:type="dxa"/>
            <w:tcBorders>
              <w:top w:val="single" w:sz="4" w:space="0" w:color="auto"/>
            </w:tcBorders>
            <w:shd w:val="clear" w:color="auto" w:fill="FFFFFF"/>
            <w:vAlign w:val="center"/>
          </w:tcPr>
          <w:p w14:paraId="7EBC58ED"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w:t>
            </w:r>
          </w:p>
        </w:tc>
        <w:tc>
          <w:tcPr>
            <w:tcW w:w="1670" w:type="dxa"/>
            <w:tcBorders>
              <w:top w:val="single" w:sz="4" w:space="0" w:color="auto"/>
            </w:tcBorders>
            <w:shd w:val="clear" w:color="auto" w:fill="FFFFFF"/>
            <w:vAlign w:val="center"/>
          </w:tcPr>
          <w:p w14:paraId="1AAC8B23"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2</w:t>
            </w:r>
          </w:p>
        </w:tc>
        <w:tc>
          <w:tcPr>
            <w:tcW w:w="1109" w:type="dxa"/>
            <w:tcBorders>
              <w:top w:val="single" w:sz="4" w:space="0" w:color="auto"/>
            </w:tcBorders>
            <w:shd w:val="clear" w:color="auto" w:fill="FFFFFF"/>
            <w:vAlign w:val="center"/>
          </w:tcPr>
          <w:p w14:paraId="68628E1C"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3</w:t>
            </w:r>
          </w:p>
        </w:tc>
        <w:tc>
          <w:tcPr>
            <w:tcW w:w="1392" w:type="dxa"/>
            <w:tcBorders>
              <w:top w:val="single" w:sz="4" w:space="0" w:color="auto"/>
            </w:tcBorders>
            <w:shd w:val="clear" w:color="auto" w:fill="FFFFFF"/>
            <w:vAlign w:val="center"/>
          </w:tcPr>
          <w:p w14:paraId="27F2C48E"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4</w:t>
            </w:r>
          </w:p>
        </w:tc>
        <w:tc>
          <w:tcPr>
            <w:tcW w:w="1411" w:type="dxa"/>
            <w:tcBorders>
              <w:top w:val="single" w:sz="4" w:space="0" w:color="auto"/>
            </w:tcBorders>
            <w:shd w:val="clear" w:color="auto" w:fill="FFFFFF"/>
            <w:vAlign w:val="center"/>
          </w:tcPr>
          <w:p w14:paraId="276B4325"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5</w:t>
            </w:r>
          </w:p>
        </w:tc>
      </w:tr>
      <w:tr w:rsidR="00B834A2" w:rsidRPr="00B07646" w14:paraId="75F96F4D" w14:textId="77777777" w:rsidTr="007F19B6">
        <w:trPr>
          <w:jc w:val="center"/>
        </w:trPr>
        <w:tc>
          <w:tcPr>
            <w:tcW w:w="2462" w:type="dxa"/>
            <w:tcBorders>
              <w:top w:val="single" w:sz="4" w:space="0" w:color="auto"/>
            </w:tcBorders>
            <w:shd w:val="clear" w:color="auto" w:fill="FFFFFF"/>
            <w:vAlign w:val="center"/>
          </w:tcPr>
          <w:p w14:paraId="49622B22"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Փորձարկվող լուծույթ</w:t>
            </w:r>
          </w:p>
        </w:tc>
        <w:tc>
          <w:tcPr>
            <w:tcW w:w="1373" w:type="dxa"/>
            <w:tcBorders>
              <w:top w:val="single" w:sz="4" w:space="0" w:color="auto"/>
            </w:tcBorders>
            <w:shd w:val="clear" w:color="auto" w:fill="FFFFFF"/>
            <w:vAlign w:val="center"/>
          </w:tcPr>
          <w:p w14:paraId="561D9D41"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13957605</w:t>
            </w:r>
          </w:p>
        </w:tc>
        <w:tc>
          <w:tcPr>
            <w:tcW w:w="1670" w:type="dxa"/>
            <w:tcBorders>
              <w:top w:val="single" w:sz="4" w:space="0" w:color="auto"/>
            </w:tcBorders>
            <w:shd w:val="clear" w:color="auto" w:fill="FFFFFF"/>
            <w:vAlign w:val="center"/>
          </w:tcPr>
          <w:p w14:paraId="4926A1A7"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13806804</w:t>
            </w:r>
          </w:p>
        </w:tc>
        <w:tc>
          <w:tcPr>
            <w:tcW w:w="1109" w:type="dxa"/>
            <w:tcBorders>
              <w:top w:val="single" w:sz="4" w:space="0" w:color="auto"/>
            </w:tcBorders>
            <w:shd w:val="clear" w:color="auto" w:fill="FFFFFF"/>
            <w:vAlign w:val="center"/>
          </w:tcPr>
          <w:p w14:paraId="6A1451BE"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13924245</w:t>
            </w:r>
          </w:p>
        </w:tc>
        <w:tc>
          <w:tcPr>
            <w:tcW w:w="1392" w:type="dxa"/>
            <w:tcBorders>
              <w:top w:val="single" w:sz="4" w:space="0" w:color="auto"/>
            </w:tcBorders>
            <w:shd w:val="clear" w:color="auto" w:fill="FFFFFF"/>
            <w:vAlign w:val="center"/>
          </w:tcPr>
          <w:p w14:paraId="2890CA34"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13715195</w:t>
            </w:r>
          </w:p>
        </w:tc>
        <w:tc>
          <w:tcPr>
            <w:tcW w:w="1411" w:type="dxa"/>
            <w:tcBorders>
              <w:top w:val="single" w:sz="4" w:space="0" w:color="auto"/>
            </w:tcBorders>
            <w:shd w:val="clear" w:color="auto" w:fill="FFFFFF"/>
            <w:vAlign w:val="center"/>
          </w:tcPr>
          <w:p w14:paraId="55AA011C"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14059478</w:t>
            </w:r>
          </w:p>
        </w:tc>
      </w:tr>
      <w:tr w:rsidR="00B834A2" w:rsidRPr="00B07646" w14:paraId="33DFD260" w14:textId="77777777" w:rsidTr="007F19B6">
        <w:trPr>
          <w:jc w:val="center"/>
        </w:trPr>
        <w:tc>
          <w:tcPr>
            <w:tcW w:w="2462" w:type="dxa"/>
            <w:tcBorders>
              <w:bottom w:val="single" w:sz="4" w:space="0" w:color="auto"/>
            </w:tcBorders>
            <w:shd w:val="clear" w:color="auto" w:fill="FFFFFF"/>
            <w:vAlign w:val="center"/>
          </w:tcPr>
          <w:p w14:paraId="7D2FDEE5"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Համեմատման լուծույթ</w:t>
            </w:r>
          </w:p>
        </w:tc>
        <w:tc>
          <w:tcPr>
            <w:tcW w:w="1373" w:type="dxa"/>
            <w:tcBorders>
              <w:bottom w:val="single" w:sz="4" w:space="0" w:color="auto"/>
            </w:tcBorders>
            <w:shd w:val="clear" w:color="auto" w:fill="FFFFFF"/>
            <w:vAlign w:val="center"/>
          </w:tcPr>
          <w:p w14:paraId="3086F632"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14240777</w:t>
            </w:r>
          </w:p>
        </w:tc>
        <w:tc>
          <w:tcPr>
            <w:tcW w:w="1670" w:type="dxa"/>
            <w:tcBorders>
              <w:bottom w:val="single" w:sz="4" w:space="0" w:color="auto"/>
            </w:tcBorders>
            <w:shd w:val="clear" w:color="auto" w:fill="FFFFFF"/>
            <w:vAlign w:val="center"/>
          </w:tcPr>
          <w:p w14:paraId="449FB182"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14102192</w:t>
            </w:r>
          </w:p>
        </w:tc>
        <w:tc>
          <w:tcPr>
            <w:tcW w:w="1109" w:type="dxa"/>
            <w:tcBorders>
              <w:bottom w:val="single" w:sz="4" w:space="0" w:color="auto"/>
            </w:tcBorders>
            <w:shd w:val="clear" w:color="auto" w:fill="FFFFFF"/>
            <w:vAlign w:val="center"/>
          </w:tcPr>
          <w:p w14:paraId="3D699DCC"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14316388</w:t>
            </w:r>
          </w:p>
        </w:tc>
        <w:tc>
          <w:tcPr>
            <w:tcW w:w="1392" w:type="dxa"/>
            <w:tcBorders>
              <w:bottom w:val="single" w:sz="4" w:space="0" w:color="auto"/>
            </w:tcBorders>
            <w:shd w:val="clear" w:color="auto" w:fill="FFFFFF"/>
            <w:vAlign w:val="center"/>
          </w:tcPr>
          <w:p w14:paraId="17D75F39"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14205217</w:t>
            </w:r>
          </w:p>
        </w:tc>
        <w:tc>
          <w:tcPr>
            <w:tcW w:w="1411" w:type="dxa"/>
            <w:tcBorders>
              <w:bottom w:val="single" w:sz="4" w:space="0" w:color="auto"/>
            </w:tcBorders>
            <w:shd w:val="clear" w:color="auto" w:fill="FFFFFF"/>
            <w:vAlign w:val="center"/>
          </w:tcPr>
          <w:p w14:paraId="3C6CC574" w14:textId="77777777" w:rsidR="00B834A2" w:rsidRPr="00B07646" w:rsidRDefault="00B834A2" w:rsidP="007F19B6">
            <w:pPr>
              <w:pStyle w:val="a0"/>
              <w:shd w:val="clear" w:color="auto" w:fill="auto"/>
              <w:spacing w:after="120" w:line="240" w:lineRule="auto"/>
              <w:ind w:firstLine="0"/>
              <w:jc w:val="center"/>
              <w:rPr>
                <w:rFonts w:ascii="Sylfaen" w:hAnsi="Sylfaen" w:cs="Sylfaen"/>
                <w:szCs w:val="24"/>
              </w:rPr>
            </w:pPr>
            <w:r w:rsidRPr="00B07646">
              <w:rPr>
                <w:rFonts w:ascii="Sylfaen" w:hAnsi="Sylfaen"/>
                <w:szCs w:val="24"/>
              </w:rPr>
              <w:t>14409585</w:t>
            </w:r>
          </w:p>
        </w:tc>
      </w:tr>
    </w:tbl>
    <w:p w14:paraId="2C96818C" w14:textId="77777777" w:rsidR="00B834A2" w:rsidRPr="00B834A2" w:rsidRDefault="00B834A2" w:rsidP="00B834A2">
      <w:pPr>
        <w:spacing w:after="160" w:line="360" w:lineRule="auto"/>
        <w:ind w:firstLine="567"/>
        <w:jc w:val="both"/>
      </w:pPr>
    </w:p>
    <w:p w14:paraId="24F4951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А անալիզի ենթարկվող նյութի պարունակությունը գրամներով՝ դեղահաբի միջին զանգվածի վերահաշվարկով.</w:t>
      </w:r>
    </w:p>
    <w:p w14:paraId="5607E31A" w14:textId="77777777" w:rsidR="00B834A2" w:rsidRPr="00B834A2" w:rsidRDefault="00B834A2" w:rsidP="00B834A2">
      <w:pPr>
        <w:pStyle w:val="a0"/>
        <w:shd w:val="clear" w:color="auto" w:fill="auto"/>
        <w:spacing w:after="160" w:line="360" w:lineRule="auto"/>
        <w:ind w:firstLine="567"/>
        <w:jc w:val="both"/>
        <w:rPr>
          <w:rFonts w:ascii="Sylfaen" w:hAnsi="Sylfaen" w:cs="Sylfaen"/>
          <w:bCs/>
          <w:sz w:val="24"/>
          <w:szCs w:val="24"/>
        </w:rPr>
      </w:pPr>
      <m:oMathPara>
        <m:oMath>
          <m:r>
            <w:rPr>
              <w:rFonts w:ascii="Cambria Math" w:hAnsi="Cambria Math" w:cs="Sylfaen"/>
              <w:sz w:val="24"/>
              <w:szCs w:val="24"/>
            </w:rPr>
            <m:t>A-</m:t>
          </m:r>
          <m:f>
            <m:fPr>
              <m:ctrlPr>
                <w:rPr>
                  <w:rFonts w:ascii="Cambria Math" w:hAnsi="Cambria Math" w:cs="Sylfaen"/>
                  <w:bCs/>
                  <w:i/>
                  <w:sz w:val="24"/>
                  <w:szCs w:val="24"/>
                </w:rPr>
              </m:ctrlPr>
            </m:fPr>
            <m:num>
              <m:r>
                <w:rPr>
                  <w:rFonts w:ascii="Cambria Math" w:hAnsi="Cambria Math" w:cs="Sylfaen"/>
                  <w:sz w:val="24"/>
                  <w:szCs w:val="24"/>
                </w:rPr>
                <m:t>S*m*50*0,5</m:t>
              </m:r>
            </m:num>
            <m:den>
              <m:sSub>
                <m:sSubPr>
                  <m:ctrlPr>
                    <w:rPr>
                      <w:rFonts w:ascii="Cambria Math" w:hAnsi="Cambria Math" w:cs="Sylfaen"/>
                      <w:bCs/>
                      <w:i/>
                      <w:sz w:val="24"/>
                      <w:szCs w:val="24"/>
                    </w:rPr>
                  </m:ctrlPr>
                </m:sSubPr>
                <m:e>
                  <m:r>
                    <w:rPr>
                      <w:rFonts w:ascii="Cambria Math" w:hAnsi="Cambria Math" w:cs="Sylfaen"/>
                      <w:sz w:val="24"/>
                      <w:szCs w:val="24"/>
                    </w:rPr>
                    <m:t>S</m:t>
                  </m:r>
                </m:e>
                <m:sub>
                  <m:r>
                    <w:rPr>
                      <w:rFonts w:ascii="Cambria Math" w:hAnsi="Cambria Math" w:cs="Sylfaen"/>
                      <w:sz w:val="24"/>
                      <w:szCs w:val="24"/>
                    </w:rPr>
                    <m:t>st</m:t>
                  </m:r>
                </m:sub>
              </m:sSub>
              <m:r>
                <w:rPr>
                  <w:rFonts w:ascii="Cambria Math" w:hAnsi="Cambria Math" w:cs="Sylfaen"/>
                  <w:sz w:val="24"/>
                  <w:szCs w:val="24"/>
                </w:rPr>
                <m:t>*</m:t>
              </m:r>
              <m:sSub>
                <m:sSubPr>
                  <m:ctrlPr>
                    <w:rPr>
                      <w:rFonts w:ascii="Cambria Math" w:hAnsi="Cambria Math" w:cs="Sylfaen"/>
                      <w:bCs/>
                      <w:i/>
                      <w:sz w:val="24"/>
                      <w:szCs w:val="24"/>
                    </w:rPr>
                  </m:ctrlPr>
                </m:sSubPr>
                <m:e>
                  <m:r>
                    <w:rPr>
                      <w:rFonts w:ascii="Cambria Math" w:hAnsi="Cambria Math" w:cs="Sylfaen"/>
                      <w:sz w:val="24"/>
                      <w:szCs w:val="24"/>
                    </w:rPr>
                    <m:t>m</m:t>
                  </m:r>
                </m:e>
                <m:sub>
                  <m:r>
                    <w:rPr>
                      <w:rFonts w:ascii="Cambria Math" w:hAnsi="Cambria Math" w:cs="Sylfaen"/>
                      <w:sz w:val="24"/>
                      <w:szCs w:val="24"/>
                    </w:rPr>
                    <m:t>st</m:t>
                  </m:r>
                </m:sub>
              </m:sSub>
              <m:r>
                <w:rPr>
                  <w:rFonts w:ascii="Cambria Math" w:hAnsi="Cambria Math" w:cs="Sylfaen"/>
                  <w:sz w:val="24"/>
                  <w:szCs w:val="24"/>
                </w:rPr>
                <m:t>*50</m:t>
              </m:r>
            </m:den>
          </m:f>
          <m:r>
            <w:rPr>
              <w:rFonts w:ascii="Cambria Math" w:hAnsi="Cambria Math" w:cs="Sylfaen"/>
              <w:sz w:val="24"/>
              <w:szCs w:val="24"/>
            </w:rPr>
            <m:t>=</m:t>
          </m:r>
          <m:f>
            <m:fPr>
              <m:ctrlPr>
                <w:rPr>
                  <w:rFonts w:ascii="Cambria Math" w:hAnsi="Cambria Math" w:cs="Sylfaen"/>
                  <w:bCs/>
                  <w:i/>
                  <w:sz w:val="24"/>
                  <w:szCs w:val="24"/>
                </w:rPr>
              </m:ctrlPr>
            </m:fPr>
            <m:num>
              <m:r>
                <w:rPr>
                  <w:rFonts w:ascii="Cambria Math" w:hAnsi="Cambria Math" w:cs="Sylfaen"/>
                  <w:sz w:val="24"/>
                  <w:szCs w:val="24"/>
                </w:rPr>
                <m:t>13892665*0,0508*50</m:t>
              </m:r>
            </m:num>
            <m:den>
              <m:r>
                <w:rPr>
                  <w:rFonts w:ascii="Cambria Math" w:hAnsi="Cambria Math" w:cs="Sylfaen"/>
                  <w:sz w:val="24"/>
                  <w:szCs w:val="24"/>
                </w:rPr>
                <m:t>14254832*0,5052*50</m:t>
              </m:r>
            </m:den>
          </m:f>
          <m:r>
            <w:rPr>
              <w:rFonts w:ascii="Cambria Math" w:hAnsi="Cambria Math" w:cs="Sylfaen"/>
              <w:sz w:val="24"/>
              <w:szCs w:val="24"/>
            </w:rPr>
            <m:t>*0,5=0,0490</m:t>
          </m:r>
        </m:oMath>
      </m:oMathPara>
    </w:p>
    <w:p w14:paraId="07A03730" w14:textId="77777777" w:rsidR="001B3D08" w:rsidRPr="001B3D08"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Պիկերի մակերեսների հարաբերական ստանդարտ շեղումները.փորձարկվող լուծույթ.</w:t>
      </w:r>
    </w:p>
    <w:p w14:paraId="2871DEA4" w14:textId="77777777" w:rsidR="001B3D08" w:rsidRPr="00D35F34" w:rsidRDefault="001B3D08" w:rsidP="00B834A2">
      <w:pPr>
        <w:pStyle w:val="a0"/>
        <w:shd w:val="clear" w:color="auto" w:fill="auto"/>
        <w:spacing w:after="160" w:line="360" w:lineRule="auto"/>
        <w:ind w:firstLine="567"/>
        <w:jc w:val="both"/>
        <w:rPr>
          <w:rFonts w:ascii="Sylfaen" w:hAnsi="Sylfaen"/>
          <w:sz w:val="24"/>
          <w:szCs w:val="24"/>
        </w:rPr>
      </w:pPr>
    </w:p>
    <w:p w14:paraId="337707E1" w14:textId="77777777" w:rsidR="001B3D08" w:rsidRPr="00D35F34" w:rsidRDefault="001B3D08" w:rsidP="00B834A2">
      <w:pPr>
        <w:pStyle w:val="a0"/>
        <w:shd w:val="clear" w:color="auto" w:fill="auto"/>
        <w:spacing w:after="160" w:line="360" w:lineRule="auto"/>
        <w:ind w:firstLine="567"/>
        <w:jc w:val="both"/>
        <w:rPr>
          <w:rFonts w:ascii="Sylfaen" w:hAnsi="Sylfaen"/>
          <w:sz w:val="24"/>
          <w:szCs w:val="24"/>
        </w:rPr>
        <w:sectPr w:rsidR="001B3D08" w:rsidRPr="00D35F34" w:rsidSect="00B867ED">
          <w:footerReference w:type="default" r:id="rId122"/>
          <w:pgSz w:w="11907" w:h="16839" w:code="9"/>
          <w:pgMar w:top="1418" w:right="1418" w:bottom="1418" w:left="1418" w:header="709" w:footer="709" w:gutter="0"/>
          <w:pgNumType w:start="1"/>
          <w:cols w:space="708"/>
          <w:titlePg/>
          <w:docGrid w:linePitch="360"/>
        </w:sectPr>
      </w:pPr>
    </w:p>
    <w:p w14:paraId="78761575" w14:textId="77777777" w:rsidR="00B834A2" w:rsidRPr="001B3D08" w:rsidRDefault="00B834A2" w:rsidP="00B07646">
      <w:pPr>
        <w:pStyle w:val="a0"/>
        <w:shd w:val="clear" w:color="auto" w:fill="auto"/>
        <w:spacing w:after="160" w:line="360" w:lineRule="auto"/>
        <w:ind w:right="-1" w:firstLine="0"/>
        <w:jc w:val="both"/>
        <w:rPr>
          <w:rFonts w:ascii="Sylfaen" w:hAnsi="Sylfaen" w:cs="Sylfaen"/>
          <w:sz w:val="22"/>
          <w:szCs w:val="24"/>
        </w:rPr>
      </w:pPr>
      <m:oMathPara>
        <m:oMathParaPr>
          <m:jc m:val="left"/>
        </m:oMathParaPr>
        <m:oMath>
          <m:r>
            <w:rPr>
              <w:rFonts w:ascii="Cambria Math" w:hAnsi="Cambria Math" w:cs="Sylfaen"/>
              <w:sz w:val="22"/>
              <w:szCs w:val="24"/>
            </w:rPr>
            <w:lastRenderedPageBreak/>
            <m:t>RSD=</m:t>
          </m:r>
          <m:f>
            <m:fPr>
              <m:ctrlPr>
                <w:rPr>
                  <w:rFonts w:ascii="Cambria Math" w:hAnsi="Cambria Math" w:cs="Sylfaen"/>
                  <w:i/>
                  <w:sz w:val="22"/>
                  <w:szCs w:val="24"/>
                </w:rPr>
              </m:ctrlPr>
            </m:fPr>
            <m:num>
              <m:r>
                <w:rPr>
                  <w:rFonts w:ascii="Cambria Math" w:hAnsi="Cambria Math" w:cs="Sylfaen"/>
                  <w:sz w:val="22"/>
                  <w:szCs w:val="24"/>
                </w:rPr>
                <m:t>100</m:t>
              </m:r>
            </m:num>
            <m:den>
              <m:r>
                <w:rPr>
                  <w:rFonts w:ascii="Cambria Math" w:hAnsi="Cambria Math" w:cs="Sylfaen"/>
                  <w:sz w:val="22"/>
                  <w:szCs w:val="24"/>
                </w:rPr>
                <m:t>13892665</m:t>
              </m:r>
            </m:den>
          </m:f>
          <m:r>
            <w:rPr>
              <w:rFonts w:ascii="Cambria Math" w:hAnsi="Cambria Math" w:cs="Sylfaen"/>
              <w:sz w:val="22"/>
              <w:szCs w:val="24"/>
            </w:rPr>
            <m:t>*</m:t>
          </m:r>
          <m:f>
            <m:fPr>
              <m:ctrlPr>
                <w:rPr>
                  <w:rFonts w:ascii="Cambria Math" w:hAnsi="Cambria Math" w:cs="Sylfaen"/>
                  <w:i/>
                  <w:sz w:val="22"/>
                  <w:szCs w:val="24"/>
                </w:rPr>
              </m:ctrlPr>
            </m:fPr>
            <m:num>
              <m:rad>
                <m:radPr>
                  <m:degHide m:val="1"/>
                  <m:ctrlPr>
                    <w:rPr>
                      <w:rFonts w:ascii="Cambria Math" w:hAnsi="Cambria Math" w:cs="Sylfaen"/>
                      <w:i/>
                      <w:sz w:val="22"/>
                      <w:szCs w:val="24"/>
                    </w:rPr>
                  </m:ctrlPr>
                </m:radPr>
                <m:deg/>
                <m:e>
                  <m:r>
                    <w:rPr>
                      <w:rFonts w:ascii="Cambria Math" w:hAnsi="Cambria Math" w:cs="Sylfaen"/>
                      <w:sz w:val="22"/>
                      <w:szCs w:val="24"/>
                    </w:rPr>
                    <m:t>(13957605-13892665</m:t>
                  </m:r>
                  <m:sSup>
                    <m:sSupPr>
                      <m:ctrlPr>
                        <w:rPr>
                          <w:rFonts w:ascii="Cambria Math" w:hAnsi="Cambria Math" w:cs="Sylfaen"/>
                          <w:i/>
                          <w:sz w:val="22"/>
                          <w:szCs w:val="24"/>
                        </w:rPr>
                      </m:ctrlPr>
                    </m:sSupPr>
                    <m:e>
                      <m:r>
                        <w:rPr>
                          <w:rFonts w:ascii="Cambria Math" w:hAnsi="Cambria Math" w:cs="Sylfaen"/>
                          <w:sz w:val="22"/>
                          <w:szCs w:val="24"/>
                        </w:rPr>
                        <m:t>)</m:t>
                      </m:r>
                    </m:e>
                    <m:sup>
                      <m:r>
                        <w:rPr>
                          <w:rFonts w:ascii="Cambria Math" w:hAnsi="Cambria Math" w:cs="Sylfaen"/>
                          <w:sz w:val="22"/>
                          <w:szCs w:val="24"/>
                        </w:rPr>
                        <m:t>2</m:t>
                      </m:r>
                    </m:sup>
                  </m:sSup>
                </m:e>
              </m:rad>
              <m:r>
                <w:rPr>
                  <w:rFonts w:ascii="Cambria Math" w:hAnsi="Cambria Math" w:cs="Sylfaen"/>
                  <w:sz w:val="22"/>
                  <w:szCs w:val="24"/>
                </w:rPr>
                <m:t>+(13806804-13892665</m:t>
              </m:r>
              <m:sSup>
                <m:sSupPr>
                  <m:ctrlPr>
                    <w:rPr>
                      <w:rFonts w:ascii="Cambria Math" w:hAnsi="Cambria Math" w:cs="Sylfaen"/>
                      <w:i/>
                      <w:sz w:val="22"/>
                      <w:szCs w:val="24"/>
                    </w:rPr>
                  </m:ctrlPr>
                </m:sSupPr>
                <m:e>
                  <m:r>
                    <w:rPr>
                      <w:rFonts w:ascii="Cambria Math" w:hAnsi="Cambria Math" w:cs="Sylfaen"/>
                      <w:sz w:val="22"/>
                      <w:szCs w:val="24"/>
                    </w:rPr>
                    <m:t>)</m:t>
                  </m:r>
                </m:e>
                <m:sup>
                  <m:r>
                    <w:rPr>
                      <w:rFonts w:ascii="Cambria Math" w:hAnsi="Cambria Math" w:cs="Sylfaen"/>
                      <w:sz w:val="22"/>
                      <w:szCs w:val="24"/>
                    </w:rPr>
                    <m:t>2</m:t>
                  </m:r>
                </m:sup>
              </m:sSup>
              <m:r>
                <w:rPr>
                  <w:rFonts w:ascii="Cambria Math" w:hAnsi="Cambria Math" w:cs="Sylfaen"/>
                  <w:sz w:val="22"/>
                  <w:szCs w:val="24"/>
                </w:rPr>
                <m:t>+(13924245-13892665</m:t>
              </m:r>
              <m:sSup>
                <m:sSupPr>
                  <m:ctrlPr>
                    <w:rPr>
                      <w:rFonts w:ascii="Cambria Math" w:hAnsi="Cambria Math" w:cs="Sylfaen"/>
                      <w:i/>
                      <w:sz w:val="22"/>
                      <w:szCs w:val="24"/>
                    </w:rPr>
                  </m:ctrlPr>
                </m:sSupPr>
                <m:e>
                  <m:r>
                    <w:rPr>
                      <w:rFonts w:ascii="Cambria Math" w:hAnsi="Cambria Math" w:cs="Sylfaen"/>
                      <w:sz w:val="22"/>
                      <w:szCs w:val="24"/>
                    </w:rPr>
                    <m:t>)</m:t>
                  </m:r>
                </m:e>
                <m:sup>
                  <m:r>
                    <w:rPr>
                      <w:rFonts w:ascii="Cambria Math" w:hAnsi="Cambria Math" w:cs="Sylfaen"/>
                      <w:sz w:val="22"/>
                      <w:szCs w:val="24"/>
                    </w:rPr>
                    <m:t>2</m:t>
                  </m:r>
                </m:sup>
              </m:sSup>
              <m:r>
                <w:rPr>
                  <w:rFonts w:ascii="Cambria Math" w:hAnsi="Cambria Math" w:cs="Sylfaen"/>
                  <w:sz w:val="22"/>
                  <w:szCs w:val="24"/>
                </w:rPr>
                <m:t>+(13715195-13892665</m:t>
              </m:r>
              <m:sSup>
                <m:sSupPr>
                  <m:ctrlPr>
                    <w:rPr>
                      <w:rFonts w:ascii="Cambria Math" w:hAnsi="Cambria Math" w:cs="Sylfaen"/>
                      <w:i/>
                      <w:sz w:val="22"/>
                      <w:szCs w:val="24"/>
                    </w:rPr>
                  </m:ctrlPr>
                </m:sSupPr>
                <m:e>
                  <m:r>
                    <w:rPr>
                      <w:rFonts w:ascii="Cambria Math" w:hAnsi="Cambria Math" w:cs="Sylfaen"/>
                      <w:sz w:val="22"/>
                      <w:szCs w:val="24"/>
                    </w:rPr>
                    <m:t>)</m:t>
                  </m:r>
                </m:e>
                <m:sup>
                  <m:r>
                    <w:rPr>
                      <w:rFonts w:ascii="Cambria Math" w:hAnsi="Cambria Math" w:cs="Sylfaen"/>
                      <w:sz w:val="22"/>
                      <w:szCs w:val="24"/>
                    </w:rPr>
                    <m:t>2</m:t>
                  </m:r>
                </m:sup>
              </m:sSup>
              <m:r>
                <w:rPr>
                  <w:rFonts w:ascii="Cambria Math" w:hAnsi="Cambria Math" w:cs="Sylfaen"/>
                  <w:sz w:val="22"/>
                  <w:szCs w:val="24"/>
                </w:rPr>
                <m:t>+(14059478-13892665</m:t>
              </m:r>
              <m:sSup>
                <m:sSupPr>
                  <m:ctrlPr>
                    <w:rPr>
                      <w:rFonts w:ascii="Cambria Math" w:hAnsi="Cambria Math" w:cs="Sylfaen"/>
                      <w:i/>
                      <w:sz w:val="22"/>
                      <w:szCs w:val="24"/>
                    </w:rPr>
                  </m:ctrlPr>
                </m:sSupPr>
                <m:e>
                  <m:r>
                    <w:rPr>
                      <w:rFonts w:ascii="Cambria Math" w:hAnsi="Cambria Math" w:cs="Sylfaen"/>
                      <w:sz w:val="22"/>
                      <w:szCs w:val="24"/>
                    </w:rPr>
                    <m:t>)</m:t>
                  </m:r>
                </m:e>
                <m:sup>
                  <m:r>
                    <w:rPr>
                      <w:rFonts w:ascii="Cambria Math" w:hAnsi="Cambria Math" w:cs="Sylfaen"/>
                      <w:sz w:val="22"/>
                      <w:szCs w:val="24"/>
                    </w:rPr>
                    <m:t>2</m:t>
                  </m:r>
                </m:sup>
              </m:sSup>
            </m:num>
            <m:den>
              <m:r>
                <w:rPr>
                  <w:rFonts w:ascii="Cambria Math" w:hAnsi="Cambria Math" w:cs="Sylfaen"/>
                  <w:sz w:val="22"/>
                  <w:szCs w:val="24"/>
                </w:rPr>
                <m:t>4</m:t>
              </m:r>
            </m:den>
          </m:f>
        </m:oMath>
      </m:oMathPara>
    </w:p>
    <w:p w14:paraId="652217B9" w14:textId="77777777" w:rsidR="001B3D08" w:rsidRDefault="001B3D08">
      <w:pPr>
        <w:sectPr w:rsidR="001B3D08" w:rsidSect="001B3D08">
          <w:pgSz w:w="16839" w:h="11907" w:orient="landscape" w:code="9"/>
          <w:pgMar w:top="1418" w:right="1418" w:bottom="1418" w:left="1418" w:header="709" w:footer="709" w:gutter="0"/>
          <w:cols w:space="708"/>
          <w:docGrid w:linePitch="360"/>
        </w:sectPr>
      </w:pPr>
    </w:p>
    <w:p w14:paraId="67F4F58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համանման է համեմատման լուծույթի համար.</w:t>
      </w:r>
    </w:p>
    <w:p w14:paraId="3B7C871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RSD</w:t>
      </w:r>
      <w:r w:rsidRPr="00B834A2">
        <w:rPr>
          <w:rFonts w:ascii="Sylfaen" w:hAnsi="Sylfaen"/>
          <w:i/>
          <w:sz w:val="24"/>
          <w:szCs w:val="24"/>
          <w:vertAlign w:val="subscript"/>
        </w:rPr>
        <w:t xml:space="preserve"> st</w:t>
      </w:r>
      <w:r w:rsidRPr="00B834A2">
        <w:rPr>
          <w:rFonts w:ascii="Sylfaen" w:hAnsi="Sylfaen"/>
          <w:sz w:val="24"/>
          <w:szCs w:val="24"/>
        </w:rPr>
        <w:t xml:space="preserve"> = 0,81 %.</w:t>
      </w:r>
    </w:p>
    <w:p w14:paraId="3357AD5D" w14:textId="77777777" w:rsidR="00B834A2" w:rsidRPr="00B834A2" w:rsidRDefault="00B834A2" w:rsidP="007F19B6">
      <w:pPr>
        <w:pStyle w:val="a0"/>
        <w:shd w:val="clear" w:color="auto" w:fill="auto"/>
        <w:tabs>
          <w:tab w:val="left" w:pos="1276"/>
        </w:tabs>
        <w:spacing w:after="160" w:line="360" w:lineRule="auto"/>
        <w:ind w:firstLine="567"/>
        <w:jc w:val="both"/>
        <w:rPr>
          <w:rFonts w:ascii="Sylfaen" w:hAnsi="Sylfaen" w:cs="Sylfaen"/>
          <w:sz w:val="24"/>
          <w:szCs w:val="24"/>
        </w:rPr>
      </w:pPr>
      <w:r w:rsidRPr="00B834A2">
        <w:rPr>
          <w:rFonts w:ascii="Sylfaen" w:hAnsi="Sylfaen"/>
          <w:i/>
          <w:sz w:val="24"/>
          <w:szCs w:val="24"/>
        </w:rPr>
        <w:t>6.6.2.</w:t>
      </w:r>
      <w:r w:rsidR="007F19B6" w:rsidRPr="00A859E3">
        <w:rPr>
          <w:rFonts w:ascii="Sylfaen" w:hAnsi="Sylfaen"/>
          <w:i/>
          <w:sz w:val="24"/>
          <w:szCs w:val="24"/>
        </w:rPr>
        <w:tab/>
      </w:r>
      <w:r w:rsidRPr="00B834A2">
        <w:rPr>
          <w:rFonts w:ascii="Sylfaen" w:hAnsi="Sylfaen"/>
          <w:i/>
          <w:sz w:val="24"/>
          <w:szCs w:val="24"/>
        </w:rPr>
        <w:t xml:space="preserve">Նմուշի պատրաստման գումարային անորոշությունը </w:t>
      </w:r>
      <m:oMath>
        <m:sSub>
          <m:sSubPr>
            <m:ctrlPr>
              <w:rPr>
                <w:rFonts w:ascii="Cambria Math" w:hAnsi="Cambria Math" w:cs="Sylfaen"/>
                <w:bCs/>
                <w:i/>
                <w:iCs/>
                <w:sz w:val="24"/>
                <w:szCs w:val="24"/>
              </w:rPr>
            </m:ctrlPr>
          </m:sSubPr>
          <m:e>
            <m:r>
              <w:rPr>
                <w:rFonts w:ascii="Cambria Math" w:hAnsi="Cambria Math" w:cs="Sylfaen"/>
                <w:sz w:val="24"/>
                <w:szCs w:val="24"/>
              </w:rPr>
              <m:t>∆</m:t>
            </m:r>
          </m:e>
          <m:sub>
            <m:r>
              <w:rPr>
                <w:rFonts w:ascii="Cambria Math" w:hAnsi="Cambria Math" w:cs="Sylfaen"/>
                <w:sz w:val="24"/>
                <w:szCs w:val="24"/>
              </w:rPr>
              <m:t>SP,r</m:t>
            </m:r>
          </m:sub>
        </m:sSub>
      </m:oMath>
    </w:p>
    <w:p w14:paraId="45A2961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Անորոշություններ.</w:t>
      </w:r>
    </w:p>
    <w:p w14:paraId="09659B6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50 մլ պարունակության չափանոթի համար անորոշությունը՝ 0,17 %-ից ոչ ավելի.</w:t>
      </w:r>
    </w:p>
    <w:p w14:paraId="1A0748C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անալիտիկ կշեռքի վրա կշռման անորոշությունը՝ 0,2 մգ-ից (0,0002 գ) ոչ ավելի, ինչը կազմում է.</w:t>
      </w:r>
    </w:p>
    <w:p w14:paraId="247F16DD" w14:textId="77777777" w:rsidR="00B834A2" w:rsidRPr="00B834A2" w:rsidRDefault="00000000" w:rsidP="00B07646">
      <w:pPr>
        <w:pStyle w:val="a0"/>
        <w:shd w:val="clear" w:color="auto" w:fill="auto"/>
        <w:spacing w:after="160" w:line="360" w:lineRule="auto"/>
        <w:ind w:firstLine="567"/>
        <w:jc w:val="center"/>
        <w:rPr>
          <w:rFonts w:ascii="Sylfaen" w:hAnsi="Sylfaen" w:cs="Sylfaen"/>
          <w:sz w:val="24"/>
          <w:szCs w:val="24"/>
        </w:rPr>
      </w:pPr>
      <m:oMath>
        <m:f>
          <m:fPr>
            <m:ctrlPr>
              <w:rPr>
                <w:rFonts w:ascii="Cambria Math" w:hAnsi="Cambria Math" w:cs="Sylfaen"/>
                <w:i/>
                <w:sz w:val="24"/>
                <w:szCs w:val="24"/>
              </w:rPr>
            </m:ctrlPr>
          </m:fPr>
          <m:num>
            <m:r>
              <w:rPr>
                <w:rFonts w:ascii="Cambria Math" w:hAnsi="Cambria Math" w:cs="Sylfaen"/>
                <w:sz w:val="24"/>
                <w:szCs w:val="24"/>
              </w:rPr>
              <m:t>100*0,0002</m:t>
            </m:r>
          </m:num>
          <m:den>
            <m:r>
              <w:rPr>
                <w:rFonts w:ascii="Cambria Math" w:hAnsi="Cambria Math" w:cs="Sylfaen"/>
                <w:sz w:val="24"/>
                <w:szCs w:val="24"/>
              </w:rPr>
              <m:t>0,5052</m:t>
            </m:r>
          </m:den>
        </m:f>
      </m:oMath>
      <w:r w:rsidR="00B834A2" w:rsidRPr="00B834A2">
        <w:rPr>
          <w:rFonts w:ascii="Sylfaen" w:hAnsi="Sylfaen"/>
          <w:sz w:val="24"/>
          <w:szCs w:val="24"/>
        </w:rPr>
        <w:t xml:space="preserve"> =0,04% փորձանմուշի համար.</w:t>
      </w:r>
    </w:p>
    <w:p w14:paraId="3A9CF4B4" w14:textId="77777777" w:rsidR="00B834A2" w:rsidRPr="00B834A2" w:rsidRDefault="00000000" w:rsidP="00B07646">
      <w:pPr>
        <w:pStyle w:val="a0"/>
        <w:shd w:val="clear" w:color="auto" w:fill="auto"/>
        <w:spacing w:after="160" w:line="360" w:lineRule="auto"/>
        <w:ind w:firstLine="567"/>
        <w:jc w:val="center"/>
        <w:rPr>
          <w:rFonts w:ascii="Sylfaen" w:hAnsi="Sylfaen" w:cs="Sylfaen"/>
          <w:sz w:val="24"/>
          <w:szCs w:val="24"/>
        </w:rPr>
      </w:pPr>
      <m:oMath>
        <m:f>
          <m:fPr>
            <m:ctrlPr>
              <w:rPr>
                <w:rFonts w:ascii="Cambria Math" w:hAnsi="Cambria Math" w:cs="Sylfaen"/>
                <w:i/>
                <w:sz w:val="24"/>
                <w:szCs w:val="24"/>
              </w:rPr>
            </m:ctrlPr>
          </m:fPr>
          <m:num>
            <m:r>
              <w:rPr>
                <w:rFonts w:ascii="Cambria Math" w:hAnsi="Cambria Math" w:cs="Sylfaen"/>
                <w:sz w:val="24"/>
                <w:szCs w:val="24"/>
              </w:rPr>
              <m:t>100*0,0002</m:t>
            </m:r>
          </m:num>
          <m:den>
            <m:r>
              <w:rPr>
                <w:rFonts w:ascii="Cambria Math" w:hAnsi="Cambria Math" w:cs="Sylfaen"/>
                <w:sz w:val="24"/>
                <w:szCs w:val="24"/>
              </w:rPr>
              <m:t>0,0508</m:t>
            </m:r>
          </m:den>
        </m:f>
      </m:oMath>
      <w:r w:rsidR="00B834A2" w:rsidRPr="00B834A2">
        <w:rPr>
          <w:rFonts w:ascii="Sylfaen" w:hAnsi="Sylfaen"/>
          <w:sz w:val="24"/>
          <w:szCs w:val="24"/>
        </w:rPr>
        <w:t xml:space="preserve"> = 0,39 % ստանդարտ նմուշի համար:</w:t>
      </w:r>
    </w:p>
    <w:p w14:paraId="32645DC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Անորոշության տվյալները կարելի է համարել վստահելի միջակայքեր՝ 95 % հավանականության համար:</w:t>
      </w:r>
    </w:p>
    <w:p w14:paraId="4F6D9013" w14:textId="77777777" w:rsidR="00B834A2" w:rsidRPr="00B834A2" w:rsidRDefault="00B834A2" w:rsidP="00B834A2">
      <w:pPr>
        <w:spacing w:after="160" w:line="360" w:lineRule="auto"/>
        <w:ind w:firstLine="567"/>
        <w:jc w:val="both"/>
      </w:pPr>
      <w:r w:rsidRPr="00B834A2">
        <w:t>Նմուշի պատրաստման գումարային անորոշությունը հաշվարկում են (5.5) բանաձ</w:t>
      </w:r>
      <w:r>
        <w:t>եւ</w:t>
      </w:r>
      <w:r w:rsidRPr="00B834A2">
        <w:t>ով.</w:t>
      </w:r>
    </w:p>
    <w:p w14:paraId="393D1660" w14:textId="77777777" w:rsidR="00B834A2" w:rsidRPr="00B834A2" w:rsidRDefault="00000000" w:rsidP="00B07646">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bCs/>
                <w:i/>
                <w:iCs/>
                <w:sz w:val="24"/>
                <w:szCs w:val="24"/>
              </w:rPr>
            </m:ctrlPr>
          </m:sSubPr>
          <m:e>
            <m:r>
              <w:rPr>
                <w:rFonts w:ascii="Cambria Math" w:hAnsi="Cambria Math" w:cs="Sylfaen"/>
                <w:sz w:val="24"/>
                <w:szCs w:val="24"/>
              </w:rPr>
              <m:t>∆</m:t>
            </m:r>
          </m:e>
          <m:sub>
            <m:r>
              <w:rPr>
                <w:rFonts w:ascii="Cambria Math" w:hAnsi="Cambria Math" w:cs="Sylfaen"/>
                <w:sz w:val="24"/>
                <w:szCs w:val="24"/>
              </w:rPr>
              <m:t>SP,r</m:t>
            </m:r>
          </m:sub>
        </m:sSub>
        <m:r>
          <w:rPr>
            <w:rFonts w:ascii="Cambria Math" w:hAnsi="Cambria Math" w:cs="Sylfaen"/>
            <w:sz w:val="24"/>
            <w:szCs w:val="24"/>
          </w:rPr>
          <m:t>=</m:t>
        </m:r>
        <m:rad>
          <m:radPr>
            <m:degHide m:val="1"/>
            <m:ctrlPr>
              <w:rPr>
                <w:rFonts w:ascii="Cambria Math" w:hAnsi="Cambria Math" w:cs="Sylfaen"/>
                <w:bCs/>
                <w:i/>
                <w:iCs/>
                <w:sz w:val="24"/>
                <w:szCs w:val="24"/>
              </w:rPr>
            </m:ctrlPr>
          </m:radPr>
          <m:deg/>
          <m:e>
            <m:sSup>
              <m:sSupPr>
                <m:ctrlPr>
                  <w:rPr>
                    <w:rFonts w:ascii="Cambria Math" w:hAnsi="Cambria Math" w:cs="Sylfaen"/>
                    <w:bCs/>
                    <w:i/>
                    <w:iCs/>
                    <w:sz w:val="24"/>
                    <w:szCs w:val="24"/>
                  </w:rPr>
                </m:ctrlPr>
              </m:sSupPr>
              <m:e>
                <m:r>
                  <w:rPr>
                    <w:rFonts w:ascii="Cambria Math" w:hAnsi="Cambria Math" w:cs="Sylfaen"/>
                    <w:sz w:val="24"/>
                    <w:szCs w:val="24"/>
                  </w:rPr>
                  <m:t>(0,04</m:t>
                </m:r>
              </m:e>
              <m:sup>
                <m:r>
                  <w:rPr>
                    <w:rFonts w:ascii="Cambria Math" w:hAnsi="Cambria Math" w:cs="Sylfaen"/>
                    <w:sz w:val="24"/>
                    <w:szCs w:val="24"/>
                  </w:rPr>
                  <m:t>2</m:t>
                </m:r>
              </m:sup>
            </m:sSup>
            <m:r>
              <w:rPr>
                <w:rFonts w:ascii="Cambria Math" w:hAnsi="Cambria Math" w:cs="Sylfaen"/>
                <w:sz w:val="24"/>
                <w:szCs w:val="24"/>
              </w:rPr>
              <m:t>+</m:t>
            </m:r>
            <m:sSup>
              <m:sSupPr>
                <m:ctrlPr>
                  <w:rPr>
                    <w:rFonts w:ascii="Cambria Math" w:hAnsi="Cambria Math" w:cs="Sylfaen"/>
                    <w:bCs/>
                    <w:i/>
                    <w:iCs/>
                    <w:sz w:val="24"/>
                    <w:szCs w:val="24"/>
                  </w:rPr>
                </m:ctrlPr>
              </m:sSupPr>
              <m:e>
                <m:r>
                  <w:rPr>
                    <w:rFonts w:ascii="Cambria Math" w:hAnsi="Cambria Math" w:cs="Sylfaen"/>
                    <w:sz w:val="24"/>
                    <w:szCs w:val="24"/>
                  </w:rPr>
                  <m:t>0,39</m:t>
                </m:r>
              </m:e>
              <m:sup>
                <m:r>
                  <w:rPr>
                    <w:rFonts w:ascii="Cambria Math" w:hAnsi="Cambria Math" w:cs="Sylfaen"/>
                    <w:sz w:val="24"/>
                    <w:szCs w:val="24"/>
                  </w:rPr>
                  <m:t>2</m:t>
                </m:r>
              </m:sup>
            </m:sSup>
          </m:e>
        </m:rad>
        <m:r>
          <w:rPr>
            <w:rFonts w:ascii="Cambria Math" w:hAnsi="Cambria Math" w:cs="Sylfaen"/>
            <w:sz w:val="24"/>
            <w:szCs w:val="24"/>
          </w:rPr>
          <m:t>)+</m:t>
        </m:r>
        <m:d>
          <m:dPr>
            <m:ctrlPr>
              <w:rPr>
                <w:rFonts w:ascii="Cambria Math" w:hAnsi="Cambria Math" w:cs="Sylfaen"/>
                <w:bCs/>
                <w:i/>
                <w:iCs/>
                <w:sz w:val="24"/>
                <w:szCs w:val="24"/>
              </w:rPr>
            </m:ctrlPr>
          </m:dPr>
          <m:e>
            <m:sSup>
              <m:sSupPr>
                <m:ctrlPr>
                  <w:rPr>
                    <w:rFonts w:ascii="Cambria Math" w:hAnsi="Cambria Math" w:cs="Sylfaen"/>
                    <w:bCs/>
                    <w:i/>
                    <w:iCs/>
                    <w:sz w:val="24"/>
                    <w:szCs w:val="24"/>
                  </w:rPr>
                </m:ctrlPr>
              </m:sSupPr>
              <m:e>
                <m:r>
                  <w:rPr>
                    <w:rFonts w:ascii="Cambria Math" w:hAnsi="Cambria Math" w:cs="Sylfaen"/>
                    <w:sz w:val="24"/>
                    <w:szCs w:val="24"/>
                  </w:rPr>
                  <m:t>0,17</m:t>
                </m:r>
              </m:e>
              <m:sup>
                <m:r>
                  <w:rPr>
                    <w:rFonts w:ascii="Cambria Math" w:hAnsi="Cambria Math" w:cs="Sylfaen"/>
                    <w:sz w:val="24"/>
                    <w:szCs w:val="24"/>
                  </w:rPr>
                  <m:t>2</m:t>
                </m:r>
              </m:sup>
            </m:sSup>
            <m:r>
              <w:rPr>
                <w:rFonts w:ascii="Cambria Math" w:hAnsi="Cambria Math" w:cs="Sylfaen"/>
                <w:sz w:val="24"/>
                <w:szCs w:val="24"/>
              </w:rPr>
              <m:t>+</m:t>
            </m:r>
            <m:sSup>
              <m:sSupPr>
                <m:ctrlPr>
                  <w:rPr>
                    <w:rFonts w:ascii="Cambria Math" w:hAnsi="Cambria Math" w:cs="Sylfaen"/>
                    <w:bCs/>
                    <w:i/>
                    <w:iCs/>
                    <w:sz w:val="24"/>
                    <w:szCs w:val="24"/>
                  </w:rPr>
                </m:ctrlPr>
              </m:sSupPr>
              <m:e>
                <m:r>
                  <w:rPr>
                    <w:rFonts w:ascii="Cambria Math" w:hAnsi="Cambria Math" w:cs="Sylfaen"/>
                    <w:sz w:val="24"/>
                    <w:szCs w:val="24"/>
                  </w:rPr>
                  <m:t>0,17</m:t>
                </m:r>
              </m:e>
              <m:sup>
                <m:r>
                  <w:rPr>
                    <w:rFonts w:ascii="Cambria Math" w:hAnsi="Cambria Math" w:cs="Sylfaen"/>
                    <w:sz w:val="24"/>
                    <w:szCs w:val="24"/>
                  </w:rPr>
                  <m:t>2</m:t>
                </m:r>
              </m:sup>
            </m:sSup>
          </m:e>
        </m:d>
        <m:r>
          <w:rPr>
            <w:rFonts w:ascii="Cambria Math" w:hAnsi="Cambria Math" w:cs="Sylfaen"/>
            <w:sz w:val="24"/>
            <w:szCs w:val="24"/>
          </w:rPr>
          <m:t>=0,46%</m:t>
        </m:r>
      </m:oMath>
      <w:r w:rsidR="00B834A2" w:rsidRPr="00B834A2">
        <w:rPr>
          <w:rFonts w:ascii="Sylfaen" w:hAnsi="Sylfaen"/>
          <w:sz w:val="24"/>
          <w:szCs w:val="24"/>
        </w:rPr>
        <w:t>։</w:t>
      </w:r>
    </w:p>
    <w:p w14:paraId="779022CF" w14:textId="77777777" w:rsidR="001B3D08"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Բերված հաշվարկը ճիշտ է երկու մոտեցումների՝ գծային մոդելի </w:t>
      </w:r>
      <w:r>
        <w:rPr>
          <w:rFonts w:ascii="Sylfaen" w:hAnsi="Sylfaen"/>
          <w:sz w:val="24"/>
          <w:szCs w:val="24"/>
        </w:rPr>
        <w:t>եւ</w:t>
      </w:r>
      <w:r w:rsidRPr="00B834A2">
        <w:rPr>
          <w:rFonts w:ascii="Sylfaen" w:hAnsi="Sylfaen"/>
          <w:sz w:val="24"/>
          <w:szCs w:val="24"/>
        </w:rPr>
        <w:t xml:space="preserve"> Ուելչ-Սատերտուեյթի մոտեցման համար, քանի որ ազատության աստիճանների թիվը յուրաքանչյուր անդամի համար այստեղ անվերջ է, ապա օգտագործվում է Գաուսի վիճակագրությունը:</w:t>
      </w:r>
    </w:p>
    <w:p w14:paraId="6F945968" w14:textId="77777777" w:rsidR="00B834A2" w:rsidRPr="00B834A2" w:rsidRDefault="00B834A2" w:rsidP="00B07646">
      <w:pPr>
        <w:pStyle w:val="a0"/>
        <w:shd w:val="clear" w:color="auto" w:fill="auto"/>
        <w:tabs>
          <w:tab w:val="left" w:pos="1418"/>
        </w:tabs>
        <w:spacing w:after="160" w:line="360" w:lineRule="auto"/>
        <w:ind w:firstLine="567"/>
        <w:jc w:val="both"/>
        <w:rPr>
          <w:rFonts w:ascii="Sylfaen" w:hAnsi="Sylfaen" w:cs="Sylfaen"/>
          <w:sz w:val="24"/>
          <w:szCs w:val="24"/>
        </w:rPr>
      </w:pPr>
      <w:r w:rsidRPr="00B834A2">
        <w:rPr>
          <w:rFonts w:ascii="Sylfaen" w:hAnsi="Sylfaen"/>
          <w:i/>
          <w:sz w:val="24"/>
          <w:szCs w:val="24"/>
        </w:rPr>
        <w:t>6.6.3.</w:t>
      </w:r>
      <w:r w:rsidR="00B07646" w:rsidRPr="002E52D1">
        <w:rPr>
          <w:rFonts w:ascii="Sylfaen" w:hAnsi="Sylfaen"/>
          <w:i/>
          <w:sz w:val="24"/>
          <w:szCs w:val="24"/>
        </w:rPr>
        <w:tab/>
      </w:r>
      <w:r w:rsidRPr="00B834A2">
        <w:rPr>
          <w:rFonts w:ascii="Sylfaen" w:hAnsi="Sylfaen"/>
          <w:i/>
          <w:sz w:val="24"/>
          <w:szCs w:val="24"/>
        </w:rPr>
        <w:t>Անալիզի գումարային անորոշության հաշվարկը</w:t>
      </w:r>
      <w:r w:rsidRPr="00B834A2">
        <w:rPr>
          <w:rFonts w:ascii="Sylfaen" w:hAnsi="Sylfaen"/>
          <w:sz w:val="24"/>
          <w:szCs w:val="24"/>
        </w:rPr>
        <w:t xml:space="preserve"> </w:t>
      </w:r>
      <m:oMath>
        <m:sSub>
          <m:sSubPr>
            <m:ctrlPr>
              <w:rPr>
                <w:rFonts w:ascii="Cambria Math" w:hAnsi="Cambria Math" w:cs="Sylfaen"/>
                <w:bCs/>
                <w:i/>
                <w:iCs/>
                <w:sz w:val="24"/>
                <w:szCs w:val="24"/>
              </w:rPr>
            </m:ctrlPr>
          </m:sSubPr>
          <m:e>
            <m:r>
              <w:rPr>
                <w:rFonts w:ascii="Cambria Math" w:hAnsi="Cambria Math" w:cs="Sylfaen"/>
                <w:sz w:val="24"/>
                <w:szCs w:val="24"/>
              </w:rPr>
              <m:t>∆</m:t>
            </m:r>
          </m:e>
          <m:sub>
            <m:r>
              <w:rPr>
                <w:rFonts w:ascii="Cambria Math" w:hAnsi="Cambria Math" w:cs="Sylfaen"/>
                <w:sz w:val="24"/>
                <w:szCs w:val="24"/>
              </w:rPr>
              <m:t>As,r</m:t>
            </m:r>
          </m:sub>
        </m:sSub>
      </m:oMath>
    </w:p>
    <w:p w14:paraId="2936CE8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Տվյալ հաշվարկը տարբեր է գծային մոդելի </w:t>
      </w:r>
      <w:r>
        <w:rPr>
          <w:rFonts w:ascii="Sylfaen" w:hAnsi="Sylfaen"/>
          <w:sz w:val="24"/>
          <w:szCs w:val="24"/>
        </w:rPr>
        <w:t>եւ</w:t>
      </w:r>
      <w:r w:rsidRPr="00B834A2">
        <w:rPr>
          <w:rFonts w:ascii="Sylfaen" w:hAnsi="Sylfaen"/>
          <w:sz w:val="24"/>
          <w:szCs w:val="24"/>
        </w:rPr>
        <w:t xml:space="preserve"> Ուելչ-Սատերտուեյթի մոտեցման համար:</w:t>
      </w:r>
    </w:p>
    <w:p w14:paraId="369D4870" w14:textId="77777777" w:rsidR="001B3D08" w:rsidRDefault="001B3D08">
      <w:pPr>
        <w:rPr>
          <w:rFonts w:eastAsia="Times New Roman" w:cs="Times New Roman"/>
          <w:color w:val="auto"/>
        </w:rPr>
      </w:pPr>
      <w:r>
        <w:br w:type="page"/>
      </w:r>
    </w:p>
    <w:p w14:paraId="4AF0CA27" w14:textId="77777777" w:rsidR="00B834A2" w:rsidRPr="00B834A2" w:rsidRDefault="00B834A2" w:rsidP="00B07646">
      <w:pPr>
        <w:pStyle w:val="a0"/>
        <w:shd w:val="clear" w:color="auto" w:fill="auto"/>
        <w:tabs>
          <w:tab w:val="left" w:pos="1418"/>
        </w:tabs>
        <w:spacing w:after="160" w:line="360" w:lineRule="auto"/>
        <w:ind w:firstLine="567"/>
        <w:jc w:val="both"/>
        <w:rPr>
          <w:rFonts w:ascii="Sylfaen" w:hAnsi="Sylfaen" w:cs="Sylfaen"/>
          <w:sz w:val="24"/>
          <w:szCs w:val="24"/>
        </w:rPr>
      </w:pPr>
      <w:r w:rsidRPr="00B834A2">
        <w:rPr>
          <w:rFonts w:ascii="Sylfaen" w:hAnsi="Sylfaen"/>
          <w:sz w:val="24"/>
          <w:szCs w:val="24"/>
        </w:rPr>
        <w:lastRenderedPageBreak/>
        <w:t>6.6.3.1.</w:t>
      </w:r>
      <w:r w:rsidR="00B07646" w:rsidRPr="002E52D1">
        <w:rPr>
          <w:rFonts w:ascii="Sylfaen" w:hAnsi="Sylfaen"/>
          <w:sz w:val="24"/>
          <w:szCs w:val="24"/>
        </w:rPr>
        <w:tab/>
      </w:r>
      <w:r w:rsidRPr="00B834A2">
        <w:rPr>
          <w:rFonts w:ascii="Sylfaen" w:hAnsi="Sylfaen"/>
          <w:i/>
          <w:sz w:val="24"/>
          <w:szCs w:val="24"/>
        </w:rPr>
        <w:t>Գծային մոդել</w:t>
      </w:r>
    </w:p>
    <w:p w14:paraId="12880F5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Ընդհանուր դեպք:</w:t>
      </w:r>
      <w:r w:rsidRPr="00B834A2">
        <w:rPr>
          <w:rFonts w:ascii="Sylfaen" w:hAnsi="Sylfaen"/>
          <w:sz w:val="24"/>
          <w:szCs w:val="24"/>
        </w:rPr>
        <w:t xml:space="preserve"> Հաշվարկում են փորձարկվող լուծույթի </w:t>
      </w:r>
      <w:r>
        <w:rPr>
          <w:rFonts w:ascii="Sylfaen" w:hAnsi="Sylfaen"/>
          <w:sz w:val="24"/>
          <w:szCs w:val="24"/>
        </w:rPr>
        <w:t>եւ</w:t>
      </w:r>
      <w:r w:rsidRPr="00B834A2">
        <w:rPr>
          <w:rFonts w:ascii="Sylfaen" w:hAnsi="Sylfaen"/>
          <w:sz w:val="24"/>
          <w:szCs w:val="24"/>
        </w:rPr>
        <w:t xml:space="preserve"> համեմատման լուծույթի համար վերջնական անալիտիկ գործողության անորոշությունը </w:t>
      </w:r>
      <w:r w:rsidRPr="00B834A2">
        <w:rPr>
          <w:rFonts w:ascii="Sylfaen" w:eastAsiaTheme="minorHAnsi" w:hAnsi="Sylfaen" w:cs="Symbol"/>
          <w:sz w:val="24"/>
          <w:szCs w:val="24"/>
          <w:lang w:bidi="ar-SA"/>
        </w:rPr>
        <w:sym w:font="Symbol" w:char="F044"/>
      </w:r>
      <w:r w:rsidRPr="007F19B6">
        <w:rPr>
          <w:rFonts w:ascii="Sylfaen" w:eastAsiaTheme="minorHAnsi" w:hAnsi="Sylfaen" w:cs="TimesNewRomanCyr-BoldItalic"/>
          <w:bCs/>
          <w:i/>
          <w:iCs/>
          <w:sz w:val="24"/>
          <w:szCs w:val="24"/>
          <w:lang w:bidi="ar-SA"/>
        </w:rPr>
        <w:t>FAO,r</w:t>
      </w:r>
      <w:r w:rsidRPr="007F19B6">
        <w:rPr>
          <w:rFonts w:ascii="Sylfaen" w:hAnsi="Sylfaen"/>
          <w:sz w:val="24"/>
          <w:szCs w:val="24"/>
        </w:rPr>
        <w:t>:</w:t>
      </w:r>
      <w:r w:rsidRPr="00B834A2">
        <w:rPr>
          <w:rFonts w:ascii="Sylfaen" w:hAnsi="Sylfaen"/>
          <w:sz w:val="24"/>
          <w:szCs w:val="24"/>
        </w:rPr>
        <w:t xml:space="preserve"> Վստահելի միջակայքերը հաշվարկելիս օգտագործում են 95 % հավանականության համար Ստյուդենտի միակողմ գործակիցը (հավասար է 90 % երկկողմ բաշխման համար), որը (5-1 =4) ազատության աստիճանի թվի համար հավասար է 2,13: Վստահելի միջակայքերը հաշվարկում են 5 արդյունքներից միջինի համար, այդ իսկ պատճառով հայտարարում դնում ենք </w:t>
      </w:r>
      <m:oMath>
        <m:rad>
          <m:radPr>
            <m:degHide m:val="1"/>
            <m:ctrlPr>
              <w:rPr>
                <w:rFonts w:ascii="Cambria Math" w:hAnsi="Cambria Math" w:cs="Sylfaen"/>
                <w:i/>
                <w:sz w:val="24"/>
                <w:szCs w:val="24"/>
              </w:rPr>
            </m:ctrlPr>
          </m:radPr>
          <m:deg/>
          <m:e>
            <m:r>
              <w:rPr>
                <w:rFonts w:ascii="Cambria Math" w:hAnsi="Cambria Math" w:cs="Sylfaen"/>
                <w:sz w:val="24"/>
                <w:szCs w:val="24"/>
              </w:rPr>
              <m:t>5</m:t>
            </m:r>
          </m:e>
        </m:rad>
      </m:oMath>
      <w:r w:rsidRPr="00B834A2">
        <w:rPr>
          <w:rFonts w:ascii="Sylfaen" w:hAnsi="Sylfaen"/>
          <w:sz w:val="24"/>
          <w:szCs w:val="24"/>
        </w:rPr>
        <w:t>.</w:t>
      </w:r>
    </w:p>
    <w:p w14:paraId="08C22A6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փորձարկվողի համար՝</w:t>
      </w:r>
    </w:p>
    <w:p w14:paraId="1BE2173A"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smp</m:t>
              </m:r>
            </m:sup>
          </m:sSubSup>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90%,4</m:t>
              </m:r>
            </m:e>
          </m:d>
          <m:r>
            <w:rPr>
              <w:rFonts w:ascii="Cambria Math" w:hAnsi="Cambria Math" w:cs="Sylfaen"/>
              <w:sz w:val="24"/>
              <w:szCs w:val="24"/>
            </w:rPr>
            <m:t>*RSD=</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*2,13*0,97=0,92%</m:t>
          </m:r>
        </m:oMath>
      </m:oMathPara>
    </w:p>
    <w:p w14:paraId="4BA1C31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ստանդարտի համար՝</w:t>
      </w:r>
    </w:p>
    <w:p w14:paraId="17C54975"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smp</m:t>
              </m:r>
            </m:sup>
          </m:sSubSup>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90%,4</m:t>
              </m:r>
            </m:e>
          </m:d>
          <m:r>
            <w:rPr>
              <w:rFonts w:ascii="Cambria Math" w:hAnsi="Cambria Math" w:cs="Sylfaen"/>
              <w:sz w:val="24"/>
              <w:szCs w:val="24"/>
            </w:rPr>
            <m:t>*RSD=</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*2,13*0,18=0,77%</m:t>
          </m:r>
        </m:oMath>
      </m:oMathPara>
    </w:p>
    <w:p w14:paraId="069FBEA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Վերջնական անալիտիկ գործողության գումարային անորոշությունը.</w:t>
      </w:r>
    </w:p>
    <w:p w14:paraId="396212DE" w14:textId="77777777" w:rsidR="00B834A2" w:rsidRPr="00B834A2" w:rsidRDefault="00000000" w:rsidP="00B834A2">
      <w:pPr>
        <w:spacing w:after="160" w:line="360" w:lineRule="auto"/>
        <w:ind w:firstLine="567"/>
        <w:jc w:val="both"/>
        <w:rPr>
          <w:i/>
        </w:rPr>
      </w:pPr>
      <m:oMathPara>
        <m:oMath>
          <m:sSub>
            <m:sSubPr>
              <m:ctrlPr>
                <w:rPr>
                  <w:rFonts w:ascii="Cambria Math" w:eastAsia="Times New Roman" w:hAnsi="Cambria Math"/>
                  <w:bCs/>
                  <w:i/>
                  <w:iCs/>
                  <w:color w:val="auto"/>
                </w:rPr>
              </m:ctrlPr>
            </m:sSubPr>
            <m:e>
              <m:r>
                <w:rPr>
                  <w:rFonts w:ascii="Cambria Math" w:hAnsi="Cambria Math"/>
                </w:rPr>
                <m:t>∆</m:t>
              </m:r>
            </m:e>
            <m:sub>
              <m:r>
                <w:rPr>
                  <w:rFonts w:ascii="Cambria Math" w:hAnsi="Cambria Math"/>
                </w:rPr>
                <m:t>FAO,r</m:t>
              </m:r>
            </m:sub>
          </m:sSub>
          <m:r>
            <w:rPr>
              <w:rFonts w:ascii="Cambria Math" w:eastAsia="Times New Roman" w:hAnsi="Cambria Math"/>
              <w:color w:val="auto"/>
            </w:rPr>
            <m:t>=(</m:t>
          </m:r>
          <m:rad>
            <m:radPr>
              <m:degHide m:val="1"/>
              <m:ctrlPr>
                <w:rPr>
                  <w:rFonts w:ascii="Cambria Math" w:eastAsia="Times New Roman" w:hAnsi="Cambria Math"/>
                  <w:bCs/>
                  <w:i/>
                  <w:iCs/>
                  <w:color w:val="auto"/>
                </w:rPr>
              </m:ctrlPr>
            </m:radPr>
            <m:deg/>
            <m:e>
              <m:sSubSup>
                <m:sSubSupPr>
                  <m:ctrlPr>
                    <w:rPr>
                      <w:rFonts w:ascii="Cambria Math" w:eastAsia="Times New Roman" w:hAnsi="Cambria Math"/>
                      <w:i/>
                      <w:color w:val="auto"/>
                    </w:rPr>
                  </m:ctrlPr>
                </m:sSubSupPr>
                <m:e>
                  <m:r>
                    <w:rPr>
                      <w:rFonts w:ascii="Cambria Math" w:hAnsi="Cambria Math"/>
                    </w:rPr>
                    <m:t>(∆</m:t>
                  </m:r>
                </m:e>
                <m:sub>
                  <m:r>
                    <w:rPr>
                      <w:rFonts w:ascii="Cambria Math" w:hAnsi="Cambria Math"/>
                    </w:rPr>
                    <m:t>FAO,r</m:t>
                  </m:r>
                </m:sub>
                <m:sup>
                  <m:r>
                    <w:rPr>
                      <w:rFonts w:ascii="Cambria Math" w:hAnsi="Cambria Math"/>
                    </w:rPr>
                    <m:t>smp</m:t>
                  </m:r>
                </m:sup>
              </m:sSubSup>
              <m:sSup>
                <m:sSupPr>
                  <m:ctrlPr>
                    <w:rPr>
                      <w:rFonts w:ascii="Cambria Math" w:eastAsia="Times New Roman" w:hAnsi="Cambria Math"/>
                      <w:i/>
                      <w:color w:val="auto"/>
                    </w:rPr>
                  </m:ctrlPr>
                </m:sSupPr>
                <m:e>
                  <m:r>
                    <w:rPr>
                      <w:rFonts w:ascii="Cambria Math" w:eastAsia="Times New Roman" w:hAnsi="Cambria Math"/>
                      <w:color w:val="auto"/>
                    </w:rPr>
                    <m:t>)</m:t>
                  </m:r>
                </m:e>
                <m:sup>
                  <m:r>
                    <w:rPr>
                      <w:rFonts w:ascii="Cambria Math" w:eastAsia="Times New Roman" w:hAnsi="Cambria Math"/>
                    </w:rPr>
                    <m:t>2</m:t>
                  </m:r>
                </m:sup>
              </m:sSup>
            </m:e>
          </m:rad>
          <m:r>
            <w:rPr>
              <w:rFonts w:ascii="Cambria Math" w:eastAsia="Times New Roman" w:hAnsi="Cambria Math"/>
              <w:color w:val="auto"/>
            </w:rPr>
            <m:t>+</m:t>
          </m:r>
          <m:sSubSup>
            <m:sSubSupPr>
              <m:ctrlPr>
                <w:rPr>
                  <w:rFonts w:ascii="Cambria Math" w:eastAsia="Times New Roman" w:hAnsi="Cambria Math"/>
                  <w:i/>
                  <w:color w:val="auto"/>
                </w:rPr>
              </m:ctrlPr>
            </m:sSubSupPr>
            <m:e>
              <m:r>
                <w:rPr>
                  <w:rFonts w:ascii="Cambria Math" w:hAnsi="Cambria Math"/>
                </w:rPr>
                <m:t>(∆</m:t>
              </m:r>
            </m:e>
            <m:sub>
              <m:r>
                <w:rPr>
                  <w:rFonts w:ascii="Cambria Math" w:hAnsi="Cambria Math"/>
                </w:rPr>
                <m:t>FAO,r</m:t>
              </m:r>
            </m:sub>
            <m:sup>
              <m:r>
                <w:rPr>
                  <w:rFonts w:ascii="Cambria Math" w:hAnsi="Cambria Math"/>
                </w:rPr>
                <m:t>st</m:t>
              </m:r>
            </m:sup>
          </m:sSubSup>
          <m:sSup>
            <m:sSupPr>
              <m:ctrlPr>
                <w:rPr>
                  <w:rFonts w:ascii="Cambria Math" w:eastAsia="Times New Roman" w:hAnsi="Cambria Math"/>
                  <w:i/>
                  <w:color w:val="auto"/>
                </w:rPr>
              </m:ctrlPr>
            </m:sSupPr>
            <m:e>
              <m:r>
                <w:rPr>
                  <w:rFonts w:ascii="Cambria Math" w:eastAsia="Times New Roman" w:hAnsi="Cambria Math"/>
                </w:rPr>
                <m:t>)</m:t>
              </m:r>
            </m:e>
            <m:sup>
              <m:r>
                <w:rPr>
                  <w:rFonts w:ascii="Cambria Math" w:eastAsia="Times New Roman" w:hAnsi="Cambria Math"/>
                </w:rPr>
                <m:t>2</m:t>
              </m:r>
            </m:sup>
          </m:sSup>
          <m:r>
            <w:rPr>
              <w:rFonts w:ascii="Cambria Math" w:eastAsia="Times New Roman" w:hAnsi="Cambria Math"/>
              <w:color w:val="auto"/>
            </w:rPr>
            <m:t>=</m:t>
          </m:r>
          <m:rad>
            <m:radPr>
              <m:degHide m:val="1"/>
              <m:ctrlPr>
                <w:rPr>
                  <w:rFonts w:ascii="Cambria Math" w:eastAsia="Times New Roman" w:hAnsi="Cambria Math"/>
                  <w:i/>
                  <w:color w:val="auto"/>
                </w:rPr>
              </m:ctrlPr>
            </m:radPr>
            <m:deg/>
            <m:e>
              <m:r>
                <w:rPr>
                  <w:rFonts w:ascii="Cambria Math" w:eastAsia="Times New Roman" w:hAnsi="Cambria Math"/>
                  <w:color w:val="auto"/>
                </w:rPr>
                <m:t>0,9</m:t>
              </m:r>
              <m:sSup>
                <m:sSupPr>
                  <m:ctrlPr>
                    <w:rPr>
                      <w:rFonts w:ascii="Cambria Math" w:eastAsia="Times New Roman" w:hAnsi="Cambria Math"/>
                      <w:i/>
                      <w:color w:val="auto"/>
                    </w:rPr>
                  </m:ctrlPr>
                </m:sSupPr>
                <m:e>
                  <m:r>
                    <w:rPr>
                      <w:rFonts w:ascii="Cambria Math" w:eastAsia="Times New Roman" w:hAnsi="Cambria Math"/>
                    </w:rPr>
                    <m:t>2</m:t>
                  </m:r>
                </m:e>
                <m:sup>
                  <m:r>
                    <w:rPr>
                      <w:rFonts w:ascii="Cambria Math" w:eastAsia="Times New Roman" w:hAnsi="Cambria Math"/>
                    </w:rPr>
                    <m:t>2</m:t>
                  </m:r>
                </m:sup>
              </m:sSup>
            </m:e>
          </m:rad>
          <m:r>
            <w:rPr>
              <w:rFonts w:ascii="Cambria Math" w:eastAsia="Times New Roman" w:hAnsi="Cambria Math"/>
              <w:color w:val="auto"/>
            </w:rPr>
            <m:t>+0,7</m:t>
          </m:r>
          <m:sSup>
            <m:sSupPr>
              <m:ctrlPr>
                <w:rPr>
                  <w:rFonts w:ascii="Cambria Math" w:eastAsia="Times New Roman" w:hAnsi="Cambria Math"/>
                  <w:i/>
                  <w:color w:val="auto"/>
                </w:rPr>
              </m:ctrlPr>
            </m:sSupPr>
            <m:e>
              <m:r>
                <w:rPr>
                  <w:rFonts w:ascii="Cambria Math" w:eastAsia="Times New Roman" w:hAnsi="Cambria Math"/>
                </w:rPr>
                <m:t>7</m:t>
              </m:r>
            </m:e>
            <m:sup>
              <m:r>
                <w:rPr>
                  <w:rFonts w:ascii="Cambria Math" w:eastAsia="Times New Roman" w:hAnsi="Cambria Math"/>
                </w:rPr>
                <m:t>2</m:t>
              </m:r>
            </m:sup>
          </m:sSup>
          <m:r>
            <w:rPr>
              <w:rFonts w:ascii="Cambria Math" w:eastAsia="Times New Roman" w:hAnsi="Cambria Math"/>
              <w:color w:val="auto"/>
            </w:rPr>
            <m:t>=1,2%</m:t>
          </m:r>
        </m:oMath>
      </m:oMathPara>
    </w:p>
    <w:p w14:paraId="027A8E57" w14:textId="77777777" w:rsidR="00B834A2" w:rsidRPr="00B834A2" w:rsidRDefault="00B834A2" w:rsidP="00B834A2">
      <w:pPr>
        <w:pStyle w:val="a0"/>
        <w:shd w:val="clear" w:color="auto" w:fill="auto"/>
        <w:spacing w:after="160" w:line="360" w:lineRule="auto"/>
        <w:ind w:firstLine="567"/>
        <w:jc w:val="both"/>
        <w:rPr>
          <w:rFonts w:ascii="Sylfaen" w:hAnsi="Sylfaen" w:cs="Sylfaen"/>
          <w:bCs/>
          <w:iCs/>
          <w:sz w:val="24"/>
          <w:szCs w:val="24"/>
        </w:rPr>
      </w:pPr>
      <w:r w:rsidRPr="00B834A2">
        <w:rPr>
          <w:rFonts w:ascii="Sylfaen" w:hAnsi="Sylfaen"/>
          <w:sz w:val="24"/>
          <w:szCs w:val="24"/>
        </w:rPr>
        <w:t xml:space="preserve">(5.7) հավասարումն օգտագործելով՝ հաշվարկում են անալիզի գումարային անորոշությունը </w:t>
      </w:r>
      <m:oMath>
        <m:sSub>
          <m:sSubPr>
            <m:ctrlPr>
              <w:rPr>
                <w:rFonts w:ascii="Cambria Math" w:hAnsi="Cambria Math" w:cs="Sylfaen"/>
                <w:bCs/>
                <w:i/>
                <w:iCs/>
                <w:sz w:val="24"/>
                <w:szCs w:val="24"/>
              </w:rPr>
            </m:ctrlPr>
          </m:sSubPr>
          <m:e>
            <m:r>
              <w:rPr>
                <w:rFonts w:ascii="Cambria Math" w:hAnsi="Cambria Math" w:cs="Sylfaen"/>
                <w:sz w:val="24"/>
                <w:szCs w:val="24"/>
              </w:rPr>
              <m:t>∆</m:t>
            </m:r>
          </m:e>
          <m:sub>
            <m:r>
              <w:rPr>
                <w:rFonts w:ascii="Cambria Math" w:hAnsi="Cambria Math" w:cs="Sylfaen"/>
                <w:sz w:val="24"/>
                <w:szCs w:val="24"/>
              </w:rPr>
              <m:t>AS,r</m:t>
            </m:r>
          </m:sub>
        </m:sSub>
      </m:oMath>
      <w:r w:rsidRPr="00B834A2">
        <w:rPr>
          <w:rFonts w:ascii="Sylfaen" w:hAnsi="Sylfaen"/>
          <w:sz w:val="24"/>
          <w:szCs w:val="24"/>
        </w:rPr>
        <w:t>:</w:t>
      </w:r>
    </w:p>
    <w:p w14:paraId="32B36238"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bCs/>
                  <w:i/>
                  <w:iCs/>
                  <w:sz w:val="24"/>
                  <w:szCs w:val="24"/>
                </w:rPr>
              </m:ctrlPr>
            </m:sSubPr>
            <m:e>
              <m:r>
                <w:rPr>
                  <w:rFonts w:ascii="Cambria Math" w:hAnsi="Cambria Math" w:cs="Sylfaen"/>
                  <w:sz w:val="24"/>
                  <w:szCs w:val="24"/>
                </w:rPr>
                <m:t>∆</m:t>
              </m:r>
            </m:e>
            <m:sub>
              <m:r>
                <w:rPr>
                  <w:rFonts w:ascii="Cambria Math" w:hAnsi="Cambria Math" w:cs="Sylfaen"/>
                  <w:sz w:val="24"/>
                  <w:szCs w:val="24"/>
                </w:rPr>
                <m:t>AS,r</m:t>
              </m:r>
            </m:sub>
          </m:sSub>
          <m:r>
            <w:rPr>
              <w:rFonts w:ascii="Cambria Math" w:hAnsi="Cambria Math" w:cs="Sylfaen"/>
              <w:sz w:val="24"/>
              <w:szCs w:val="24"/>
            </w:rPr>
            <m:t>=</m:t>
          </m:r>
          <m:rad>
            <m:radPr>
              <m:degHide m:val="1"/>
              <m:ctrlPr>
                <w:rPr>
                  <w:rFonts w:ascii="Cambria Math" w:hAnsi="Cambria Math" w:cs="Sylfaen"/>
                  <w:bCs/>
                  <w:i/>
                  <w:iCs/>
                  <w:sz w:val="24"/>
                  <w:szCs w:val="24"/>
                </w:rPr>
              </m:ctrlPr>
            </m:radPr>
            <m:deg/>
            <m:e>
              <m:r>
                <w:rPr>
                  <w:rFonts w:ascii="Cambria Math" w:hAnsi="Cambria Math" w:cs="Sylfaen"/>
                  <w:sz w:val="24"/>
                  <w:szCs w:val="24"/>
                </w:rPr>
                <m:t>0,4</m:t>
              </m:r>
              <m:sSup>
                <m:sSupPr>
                  <m:ctrlPr>
                    <w:rPr>
                      <w:rFonts w:ascii="Cambria Math" w:hAnsi="Cambria Math" w:cs="Sylfaen"/>
                      <w:bCs/>
                      <w:i/>
                      <w:iCs/>
                      <w:sz w:val="24"/>
                      <w:szCs w:val="24"/>
                    </w:rPr>
                  </m:ctrlPr>
                </m:sSupPr>
                <m:e>
                  <m:r>
                    <w:rPr>
                      <w:rFonts w:ascii="Cambria Math" w:hAnsi="Cambria Math" w:cs="Sylfaen"/>
                      <w:sz w:val="24"/>
                      <w:szCs w:val="24"/>
                    </w:rPr>
                    <m:t>6</m:t>
                  </m:r>
                </m:e>
                <m:sup>
                  <m:r>
                    <w:rPr>
                      <w:rFonts w:ascii="Cambria Math" w:hAnsi="Cambria Math" w:cs="Sylfaen"/>
                      <w:sz w:val="24"/>
                      <w:szCs w:val="24"/>
                    </w:rPr>
                    <m:t>2</m:t>
                  </m:r>
                </m:sup>
              </m:sSup>
              <m:r>
                <w:rPr>
                  <w:rFonts w:ascii="Cambria Math" w:hAnsi="Cambria Math" w:cs="Sylfaen"/>
                  <w:sz w:val="24"/>
                  <w:szCs w:val="24"/>
                </w:rPr>
                <m:t>+1,2</m:t>
              </m:r>
              <m:sSup>
                <m:sSupPr>
                  <m:ctrlPr>
                    <w:rPr>
                      <w:rFonts w:ascii="Cambria Math" w:hAnsi="Cambria Math" w:cs="Sylfaen"/>
                      <w:bCs/>
                      <w:i/>
                      <w:iCs/>
                      <w:sz w:val="24"/>
                      <w:szCs w:val="24"/>
                    </w:rPr>
                  </m:ctrlPr>
                </m:sSupPr>
                <m:e>
                  <m:r>
                    <w:rPr>
                      <w:rFonts w:ascii="Cambria Math" w:hAnsi="Cambria Math" w:cs="Sylfaen"/>
                      <w:sz w:val="24"/>
                      <w:szCs w:val="24"/>
                    </w:rPr>
                    <m:t>0</m:t>
                  </m:r>
                </m:e>
                <m:sup>
                  <m:r>
                    <w:rPr>
                      <w:rFonts w:ascii="Cambria Math" w:hAnsi="Cambria Math" w:cs="Sylfaen"/>
                      <w:sz w:val="24"/>
                      <w:szCs w:val="24"/>
                    </w:rPr>
                    <m:t>2</m:t>
                  </m:r>
                </m:sup>
              </m:sSup>
              <m:r>
                <w:rPr>
                  <w:rFonts w:ascii="Cambria Math" w:hAnsi="Cambria Math" w:cs="Sylfaen"/>
                  <w:sz w:val="24"/>
                  <w:szCs w:val="24"/>
                </w:rPr>
                <m:t>=1,29%</m:t>
              </m:r>
            </m:e>
          </m:rad>
        </m:oMath>
      </m:oMathPara>
    </w:p>
    <w:p w14:paraId="26CBC42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Միավորված ստանդարտ շեղման օգտագործումը</w:t>
      </w:r>
    </w:p>
    <w:p w14:paraId="7231EE4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Անալիզի գումարային անորոշությունը կարելի է նվազեցնել վերջնական անալիտիկ գործողության համար միավորված ստանդարտ շեղման օգտագործման հաշվին: Դրա համար պետք է հաշվի առնել, որ </w:t>
      </w:r>
      <w:r w:rsidRPr="00B834A2">
        <w:rPr>
          <w:rFonts w:ascii="Sylfaen" w:hAnsi="Sylfaen"/>
          <w:i/>
          <w:sz w:val="24"/>
          <w:szCs w:val="24"/>
        </w:rPr>
        <w:t>RSD-ն</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RSD</w:t>
      </w:r>
      <w:r w:rsidRPr="00B834A2">
        <w:rPr>
          <w:rFonts w:ascii="Sylfaen" w:hAnsi="Sylfaen"/>
          <w:i/>
          <w:sz w:val="24"/>
          <w:szCs w:val="24"/>
          <w:vertAlign w:val="subscript"/>
        </w:rPr>
        <w:t>st-ն</w:t>
      </w:r>
      <w:r w:rsidRPr="00B834A2">
        <w:rPr>
          <w:rFonts w:ascii="Sylfaen" w:hAnsi="Sylfaen"/>
          <w:i/>
          <w:sz w:val="24"/>
          <w:szCs w:val="24"/>
        </w:rPr>
        <w:t xml:space="preserve"> նույն համախմբի ընտրանքային մեծություններ են:</w:t>
      </w:r>
      <w:r w:rsidRPr="00B834A2">
        <w:rPr>
          <w:rFonts w:ascii="Sylfaen" w:hAnsi="Sylfaen"/>
          <w:sz w:val="24"/>
          <w:szCs w:val="24"/>
        </w:rPr>
        <w:t xml:space="preserve"> Ստուգվում է սկզբում ըստ Ֆիշերի դիսպերսիաների մասին հիպոթեզը.</w:t>
      </w:r>
    </w:p>
    <w:p w14:paraId="008F0445" w14:textId="77777777" w:rsidR="00B834A2" w:rsidRPr="00B834A2" w:rsidRDefault="00000000" w:rsidP="00B07646">
      <w:pPr>
        <w:pStyle w:val="a0"/>
        <w:shd w:val="clear" w:color="auto" w:fill="auto"/>
        <w:spacing w:after="160" w:line="360" w:lineRule="auto"/>
        <w:ind w:firstLine="567"/>
        <w:jc w:val="center"/>
        <w:rPr>
          <w:rFonts w:ascii="Sylfaen" w:hAnsi="Sylfaen" w:cs="Sylfaen"/>
          <w:sz w:val="24"/>
          <w:szCs w:val="24"/>
        </w:rPr>
      </w:pPr>
      <m:oMath>
        <m:f>
          <m:fPr>
            <m:ctrlPr>
              <w:rPr>
                <w:rFonts w:ascii="Cambria Math" w:hAnsi="Cambria Math" w:cs="Sylfaen"/>
                <w:i/>
                <w:sz w:val="24"/>
                <w:szCs w:val="24"/>
              </w:rPr>
            </m:ctrlPr>
          </m:fPr>
          <m:num>
            <m:r>
              <w:rPr>
                <w:rFonts w:ascii="Cambria Math" w:hAnsi="Cambria Math" w:cs="Sylfaen"/>
                <w:sz w:val="24"/>
                <w:szCs w:val="24"/>
              </w:rPr>
              <m:t>RSD</m:t>
            </m:r>
          </m:num>
          <m:den>
            <m:sSubSup>
              <m:sSubSupPr>
                <m:ctrlPr>
                  <w:rPr>
                    <w:rFonts w:ascii="Cambria Math" w:hAnsi="Cambria Math" w:cs="Sylfaen"/>
                    <w:i/>
                    <w:sz w:val="24"/>
                    <w:szCs w:val="24"/>
                  </w:rPr>
                </m:ctrlPr>
              </m:sSubSupPr>
              <m:e>
                <m:r>
                  <w:rPr>
                    <w:rFonts w:ascii="Cambria Math" w:hAnsi="Cambria Math" w:cs="Sylfaen"/>
                    <w:sz w:val="24"/>
                    <w:szCs w:val="24"/>
                  </w:rPr>
                  <m:t>RSD</m:t>
                </m:r>
              </m:e>
              <m:sub>
                <m:r>
                  <w:rPr>
                    <w:rFonts w:ascii="Cambria Math" w:hAnsi="Cambria Math" w:cs="Sylfaen"/>
                    <w:sz w:val="24"/>
                    <w:szCs w:val="24"/>
                  </w:rPr>
                  <m:t>st</m:t>
                </m:r>
              </m:sub>
              <m:sup>
                <m:r>
                  <w:rPr>
                    <w:rFonts w:ascii="Cambria Math" w:hAnsi="Cambria Math" w:cs="Sylfaen"/>
                    <w:sz w:val="24"/>
                    <w:szCs w:val="24"/>
                  </w:rPr>
                  <m:t>2</m:t>
                </m:r>
              </m:sup>
            </m:sSubSup>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0,9</m:t>
            </m:r>
            <m:sSup>
              <m:sSupPr>
                <m:ctrlPr>
                  <w:rPr>
                    <w:rFonts w:ascii="Cambria Math" w:hAnsi="Cambria Math" w:cs="Sylfaen"/>
                    <w:i/>
                    <w:sz w:val="24"/>
                    <w:szCs w:val="24"/>
                  </w:rPr>
                </m:ctrlPr>
              </m:sSupPr>
              <m:e>
                <m:r>
                  <w:rPr>
                    <w:rFonts w:ascii="Cambria Math" w:hAnsi="Cambria Math" w:cs="Sylfaen"/>
                    <w:sz w:val="24"/>
                    <w:szCs w:val="24"/>
                  </w:rPr>
                  <m:t>7</m:t>
                </m:r>
              </m:e>
              <m:sup>
                <m:r>
                  <w:rPr>
                    <w:rFonts w:ascii="Cambria Math" w:hAnsi="Cambria Math" w:cs="Sylfaen"/>
                    <w:sz w:val="24"/>
                    <w:szCs w:val="24"/>
                  </w:rPr>
                  <m:t>2</m:t>
                </m:r>
              </m:sup>
            </m:sSup>
          </m:num>
          <m:den>
            <m:r>
              <w:rPr>
                <w:rFonts w:ascii="Cambria Math" w:hAnsi="Cambria Math" w:cs="Sylfaen"/>
                <w:sz w:val="24"/>
                <w:szCs w:val="24"/>
              </w:rPr>
              <m:t>0,8</m:t>
            </m:r>
            <m:sSup>
              <m:sSupPr>
                <m:ctrlPr>
                  <w:rPr>
                    <w:rFonts w:ascii="Cambria Math" w:hAnsi="Cambria Math" w:cs="Sylfaen"/>
                    <w:i/>
                    <w:sz w:val="24"/>
                    <w:szCs w:val="24"/>
                  </w:rPr>
                </m:ctrlPr>
              </m:sSupPr>
              <m:e>
                <m:r>
                  <w:rPr>
                    <w:rFonts w:ascii="Cambria Math" w:hAnsi="Cambria Math" w:cs="Sylfaen"/>
                    <w:sz w:val="24"/>
                    <w:szCs w:val="24"/>
                  </w:rPr>
                  <m:t>1</m:t>
                </m:r>
              </m:e>
              <m:sup>
                <m:r>
                  <w:rPr>
                    <w:rFonts w:ascii="Cambria Math" w:hAnsi="Cambria Math" w:cs="Sylfaen"/>
                    <w:sz w:val="24"/>
                    <w:szCs w:val="24"/>
                  </w:rPr>
                  <m:t>2</m:t>
                </m:r>
              </m:sup>
            </m:sSup>
          </m:den>
        </m:f>
        <m:r>
          <w:rPr>
            <w:rFonts w:ascii="Cambria Math" w:hAnsi="Cambria Math" w:cs="Sylfaen"/>
            <w:sz w:val="24"/>
            <w:szCs w:val="24"/>
          </w:rPr>
          <m:t>=1,434&lt;6,388-F(</m:t>
        </m:r>
        <m:sSub>
          <m:sSubPr>
            <m:ctrlPr>
              <w:rPr>
                <w:rFonts w:ascii="Cambria Math" w:hAnsi="Cambria Math" w:cs="Sylfaen"/>
                <w:i/>
                <w:sz w:val="24"/>
                <w:szCs w:val="24"/>
              </w:rPr>
            </m:ctrlPr>
          </m:sSubPr>
          <m:e>
            <m:r>
              <w:rPr>
                <w:rFonts w:ascii="Cambria Math" w:hAnsi="Cambria Math" w:cs="Sylfaen"/>
                <w:sz w:val="24"/>
                <w:szCs w:val="24"/>
              </w:rPr>
              <m:t>P</m:t>
            </m:r>
          </m:e>
          <m:sub>
            <m:r>
              <w:rPr>
                <w:rFonts w:ascii="Cambria Math" w:hAnsi="Cambria Math" w:cs="Sylfaen"/>
                <w:sz w:val="24"/>
                <w:szCs w:val="24"/>
              </w:rPr>
              <m:t>1</m:t>
            </m:r>
          </m:sub>
        </m:sSub>
        <m:r>
          <w:rPr>
            <w:rFonts w:ascii="Cambria Math" w:hAnsi="Cambria Math" w:cs="Sylfaen"/>
            <w:sz w:val="24"/>
            <w:szCs w:val="24"/>
          </w:rPr>
          <m:t>-95%;4,4)</m:t>
        </m:r>
      </m:oMath>
      <w:r w:rsidR="00B834A2" w:rsidRPr="00B834A2">
        <w:rPr>
          <w:rFonts w:ascii="Sylfaen" w:hAnsi="Sylfaen"/>
          <w:sz w:val="24"/>
          <w:szCs w:val="24"/>
        </w:rPr>
        <w:t>.</w:t>
      </w:r>
    </w:p>
    <w:p w14:paraId="09A382E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Ինչպես եր</w:t>
      </w:r>
      <w:r>
        <w:rPr>
          <w:rFonts w:ascii="Sylfaen" w:hAnsi="Sylfaen"/>
          <w:sz w:val="24"/>
          <w:szCs w:val="24"/>
        </w:rPr>
        <w:t>եւ</w:t>
      </w:r>
      <w:r w:rsidRPr="00B834A2">
        <w:rPr>
          <w:rFonts w:ascii="Sylfaen" w:hAnsi="Sylfaen"/>
          <w:sz w:val="24"/>
          <w:szCs w:val="24"/>
        </w:rPr>
        <w:t>ում է, դիսպերսիաների հարաբերության հաշվարկային արժեքը բավականին ցածր է F-չափորոշչի աղյուսակային արժեքից նշանակալիության 95</w:t>
      </w:r>
      <w:r w:rsidR="007F19B6" w:rsidRPr="007F19B6">
        <w:rPr>
          <w:rFonts w:ascii="Sylfaen" w:hAnsi="Sylfaen"/>
          <w:sz w:val="24"/>
          <w:szCs w:val="24"/>
        </w:rPr>
        <w:t> </w:t>
      </w:r>
      <w:r w:rsidRPr="00B834A2">
        <w:rPr>
          <w:rFonts w:ascii="Sylfaen" w:hAnsi="Sylfaen"/>
          <w:sz w:val="24"/>
          <w:szCs w:val="24"/>
        </w:rPr>
        <w:t>%</w:t>
      </w:r>
      <w:r>
        <w:rPr>
          <w:rFonts w:ascii="Sylfaen" w:hAnsi="Sylfaen"/>
          <w:sz w:val="24"/>
          <w:szCs w:val="24"/>
        </w:rPr>
        <w:t xml:space="preserve"> </w:t>
      </w:r>
      <w:r w:rsidRPr="00B834A2">
        <w:rPr>
          <w:rFonts w:ascii="Sylfaen" w:hAnsi="Sylfaen"/>
          <w:sz w:val="24"/>
          <w:szCs w:val="24"/>
        </w:rPr>
        <w:t xml:space="preserve">մակարդակի վրա: Այդ իսկ պատճառով կարելի է ընդունել դիսպերսիաների հավասարության մասին հիպոթեզը </w:t>
      </w:r>
      <w:r>
        <w:rPr>
          <w:rFonts w:ascii="Sylfaen" w:hAnsi="Sylfaen"/>
          <w:sz w:val="24"/>
          <w:szCs w:val="24"/>
        </w:rPr>
        <w:t>եւ</w:t>
      </w:r>
      <w:r w:rsidRPr="00B834A2">
        <w:rPr>
          <w:rFonts w:ascii="Sylfaen" w:hAnsi="Sylfaen"/>
          <w:sz w:val="24"/>
          <w:szCs w:val="24"/>
        </w:rPr>
        <w:t xml:space="preserve"> ընդունել ընտրանքների միավորման համար սույն ընդհանուր դեղագրքային հոդվածի 1.4 ենթաբաժնի բանաձ</w:t>
      </w:r>
      <w:r>
        <w:rPr>
          <w:rFonts w:ascii="Sylfaen" w:hAnsi="Sylfaen"/>
          <w:sz w:val="24"/>
          <w:szCs w:val="24"/>
        </w:rPr>
        <w:t>եւ</w:t>
      </w:r>
      <w:r w:rsidRPr="00B834A2">
        <w:rPr>
          <w:rFonts w:ascii="Sylfaen" w:hAnsi="Sylfaen"/>
          <w:sz w:val="24"/>
          <w:szCs w:val="24"/>
        </w:rPr>
        <w:t>երը:</w:t>
      </w:r>
    </w:p>
    <w:p w14:paraId="60E124A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Հաշվարկում են միավորված ստանդարտ շեղումը՝ ըստ հետ</w:t>
      </w:r>
      <w:r>
        <w:rPr>
          <w:rFonts w:ascii="Sylfaen" w:hAnsi="Sylfaen"/>
          <w:sz w:val="24"/>
          <w:szCs w:val="24"/>
        </w:rPr>
        <w:t>եւ</w:t>
      </w:r>
      <w:r w:rsidRPr="00B834A2">
        <w:rPr>
          <w:rFonts w:ascii="Sylfaen" w:hAnsi="Sylfaen"/>
          <w:sz w:val="24"/>
          <w:szCs w:val="24"/>
        </w:rPr>
        <w:t>յալ հավասարման.</w:t>
      </w:r>
    </w:p>
    <w:p w14:paraId="3848902C"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iCs/>
                  <w:sz w:val="24"/>
                  <w:szCs w:val="24"/>
                </w:rPr>
              </m:ctrlPr>
            </m:sSubPr>
            <m:e>
              <m:r>
                <w:rPr>
                  <w:rFonts w:ascii="Cambria Math" w:hAnsi="Cambria Math" w:cs="Sylfaen"/>
                  <w:sz w:val="24"/>
                  <w:szCs w:val="24"/>
                </w:rPr>
                <m:t>RSD</m:t>
              </m:r>
            </m:e>
            <m:sub>
              <m:r>
                <w:rPr>
                  <w:rFonts w:ascii="Cambria Math" w:hAnsi="Cambria Math" w:cs="Sylfaen"/>
                  <w:sz w:val="24"/>
                  <w:szCs w:val="24"/>
                </w:rPr>
                <m:t>tot</m:t>
              </m:r>
            </m:sub>
          </m:sSub>
          <m:r>
            <w:rPr>
              <w:rFonts w:ascii="Cambria Math" w:hAnsi="Cambria Math" w:cs="Sylfaen"/>
              <w:sz w:val="24"/>
              <w:szCs w:val="24"/>
            </w:rPr>
            <m:t>=</m:t>
          </m:r>
          <m:rad>
            <m:radPr>
              <m:degHide m:val="1"/>
              <m:ctrlPr>
                <w:rPr>
                  <w:rFonts w:ascii="Cambria Math" w:hAnsi="Cambria Math" w:cs="Sylfaen"/>
                  <w:i/>
                  <w:iCs/>
                  <w:sz w:val="24"/>
                  <w:szCs w:val="24"/>
                </w:rPr>
              </m:ctrlPr>
            </m:radPr>
            <m:deg/>
            <m:e>
              <m:r>
                <w:rPr>
                  <w:rFonts w:ascii="Cambria Math" w:hAnsi="Cambria Math" w:cs="Sylfaen"/>
                  <w:sz w:val="24"/>
                  <w:szCs w:val="24"/>
                </w:rPr>
                <m:t>(0,9</m:t>
              </m:r>
              <m:sSup>
                <m:sSupPr>
                  <m:ctrlPr>
                    <w:rPr>
                      <w:rFonts w:ascii="Cambria Math" w:hAnsi="Cambria Math" w:cs="Sylfaen"/>
                      <w:i/>
                      <w:iCs/>
                      <w:sz w:val="24"/>
                      <w:szCs w:val="24"/>
                    </w:rPr>
                  </m:ctrlPr>
                </m:sSupPr>
                <m:e>
                  <m:r>
                    <w:rPr>
                      <w:rFonts w:ascii="Cambria Math" w:hAnsi="Cambria Math" w:cs="Sylfaen"/>
                      <w:sz w:val="24"/>
                      <w:szCs w:val="24"/>
                    </w:rPr>
                    <m:t>7</m:t>
                  </m:r>
                </m:e>
                <m:sup>
                  <m:r>
                    <w:rPr>
                      <w:rFonts w:ascii="Cambria Math" w:hAnsi="Cambria Math" w:cs="Sylfaen"/>
                      <w:sz w:val="24"/>
                      <w:szCs w:val="24"/>
                    </w:rPr>
                    <m:t>2</m:t>
                  </m:r>
                </m:sup>
              </m:sSup>
              <m:r>
                <w:rPr>
                  <w:rFonts w:ascii="Cambria Math" w:hAnsi="Cambria Math" w:cs="Sylfaen"/>
                  <w:sz w:val="24"/>
                  <w:szCs w:val="24"/>
                </w:rPr>
                <m:t>+0,8</m:t>
              </m:r>
              <m:sSup>
                <m:sSupPr>
                  <m:ctrlPr>
                    <w:rPr>
                      <w:rFonts w:ascii="Cambria Math" w:hAnsi="Cambria Math" w:cs="Sylfaen"/>
                      <w:i/>
                      <w:iCs/>
                      <w:sz w:val="24"/>
                      <w:szCs w:val="24"/>
                    </w:rPr>
                  </m:ctrlPr>
                </m:sSupPr>
                <m:e>
                  <m:r>
                    <w:rPr>
                      <w:rFonts w:ascii="Cambria Math" w:hAnsi="Cambria Math" w:cs="Sylfaen"/>
                      <w:sz w:val="24"/>
                      <w:szCs w:val="24"/>
                    </w:rPr>
                    <m:t>1</m:t>
                  </m:r>
                </m:e>
                <m:sup>
                  <m:r>
                    <w:rPr>
                      <w:rFonts w:ascii="Cambria Math" w:hAnsi="Cambria Math" w:cs="Sylfaen"/>
                      <w:sz w:val="24"/>
                      <w:szCs w:val="24"/>
                    </w:rPr>
                    <m:t>2</m:t>
                  </m:r>
                </m:sup>
              </m:sSup>
            </m:e>
          </m:rad>
          <m:r>
            <w:rPr>
              <w:rFonts w:ascii="Cambria Math" w:hAnsi="Cambria Math" w:cs="Sylfaen"/>
              <w:sz w:val="24"/>
              <w:szCs w:val="24"/>
            </w:rPr>
            <m:t>)</m:t>
          </m:r>
          <m:f>
            <m:fPr>
              <m:ctrlPr>
                <w:rPr>
                  <w:rFonts w:ascii="Cambria Math" w:hAnsi="Cambria Math" w:cs="Sylfaen"/>
                  <w:i/>
                  <w:iCs/>
                  <w:sz w:val="24"/>
                  <w:szCs w:val="24"/>
                </w:rPr>
              </m:ctrlPr>
            </m:fPr>
            <m:num/>
            <m:den>
              <m:r>
                <w:rPr>
                  <w:rFonts w:ascii="Cambria Math" w:hAnsi="Cambria Math" w:cs="Sylfaen"/>
                  <w:sz w:val="24"/>
                  <w:szCs w:val="24"/>
                </w:rPr>
                <m:t>2</m:t>
              </m:r>
            </m:den>
          </m:f>
          <m:r>
            <w:rPr>
              <w:rFonts w:ascii="Cambria Math" w:hAnsi="Cambria Math" w:cs="Sylfaen"/>
              <w:sz w:val="24"/>
              <w:szCs w:val="24"/>
            </w:rPr>
            <m:t>=0.89%</m:t>
          </m:r>
        </m:oMath>
      </m:oMathPara>
    </w:p>
    <w:p w14:paraId="52CFB443"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
        <m:sSub>
          <m:sSubPr>
            <m:ctrlPr>
              <w:rPr>
                <w:rFonts w:ascii="Cambria Math" w:hAnsi="Cambria Math" w:cs="Sylfaen"/>
                <w:i/>
                <w:iCs/>
                <w:sz w:val="24"/>
                <w:szCs w:val="24"/>
              </w:rPr>
            </m:ctrlPr>
          </m:sSubPr>
          <m:e>
            <m:r>
              <w:rPr>
                <w:rFonts w:ascii="Cambria Math" w:hAnsi="Cambria Math" w:cs="Sylfaen"/>
                <w:sz w:val="24"/>
                <w:szCs w:val="24"/>
              </w:rPr>
              <m:t>RSD</m:t>
            </m:r>
          </m:e>
          <m:sub>
            <m:r>
              <w:rPr>
                <w:rFonts w:ascii="Cambria Math" w:hAnsi="Cambria Math" w:cs="Sylfaen"/>
                <w:sz w:val="24"/>
                <w:szCs w:val="24"/>
              </w:rPr>
              <m:t>tot</m:t>
            </m:r>
          </m:sub>
        </m:sSub>
      </m:oMath>
      <w:r w:rsidR="00B834A2" w:rsidRPr="00B834A2">
        <w:rPr>
          <w:rFonts w:ascii="Sylfaen" w:hAnsi="Sylfaen"/>
          <w:sz w:val="24"/>
          <w:szCs w:val="24"/>
        </w:rPr>
        <w:t xml:space="preserve"> ունի 2*(5-1)=8 ազատության աստիճանների թիվ: Ազատության աստիճանների տվյալ թվի </w:t>
      </w:r>
      <w:r w:rsidR="00B834A2">
        <w:rPr>
          <w:rFonts w:ascii="Sylfaen" w:hAnsi="Sylfaen"/>
          <w:sz w:val="24"/>
          <w:szCs w:val="24"/>
        </w:rPr>
        <w:t>եւ</w:t>
      </w:r>
      <w:r w:rsidR="00B834A2" w:rsidRPr="00B834A2">
        <w:rPr>
          <w:rFonts w:ascii="Sylfaen" w:hAnsi="Sylfaen"/>
          <w:sz w:val="24"/>
          <w:szCs w:val="24"/>
        </w:rPr>
        <w:t xml:space="preserve"> 0,95 միակողմ հավանականության համար Ստյուդենտի գործակիցը հավասար է 1,86-ի: Այդ ժամանակ փորձարկվող </w:t>
      </w:r>
      <w:r w:rsidR="00B834A2">
        <w:rPr>
          <w:rFonts w:ascii="Sylfaen" w:hAnsi="Sylfaen"/>
          <w:sz w:val="24"/>
          <w:szCs w:val="24"/>
        </w:rPr>
        <w:t>եւ</w:t>
      </w:r>
      <w:r w:rsidR="00B834A2" w:rsidRPr="00B834A2">
        <w:rPr>
          <w:rFonts w:ascii="Sylfaen" w:hAnsi="Sylfaen"/>
          <w:sz w:val="24"/>
          <w:szCs w:val="24"/>
        </w:rPr>
        <w:t xml:space="preserve"> ստանդարտ լուծույթների համար վերջնական անալիտիկ գործողության արդյունքների վստահելի միջակայքերը հավասար են լինելու.</w:t>
      </w:r>
    </w:p>
    <w:p w14:paraId="054344BC"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smp</m:t>
              </m:r>
            </m:sup>
          </m:sSubSup>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st</m:t>
              </m:r>
            </m:sup>
          </m:sSubSup>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*t</m:t>
          </m:r>
          <m:d>
            <m:dPr>
              <m:ctrlPr>
                <w:rPr>
                  <w:rFonts w:ascii="Cambria Math" w:hAnsi="Cambria Math" w:cs="Sylfaen"/>
                  <w:i/>
                  <w:sz w:val="24"/>
                  <w:szCs w:val="24"/>
                </w:rPr>
              </m:ctrlPr>
            </m:dPr>
            <m:e>
              <m:r>
                <w:rPr>
                  <w:rFonts w:ascii="Cambria Math" w:hAnsi="Cambria Math" w:cs="Sylfaen"/>
                  <w:sz w:val="24"/>
                  <w:szCs w:val="24"/>
                </w:rPr>
                <m:t>90%;8</m:t>
              </m:r>
            </m:e>
          </m:d>
          <m:r>
            <w:rPr>
              <w:rFonts w:ascii="Cambria Math" w:hAnsi="Cambria Math" w:cs="Sylfaen"/>
              <w:sz w:val="24"/>
              <w:szCs w:val="24"/>
            </w:rPr>
            <m:t>*RSD=</m:t>
          </m:r>
          <m:f>
            <m:fPr>
              <m:ctrlPr>
                <w:rPr>
                  <w:rFonts w:ascii="Cambria Math" w:hAnsi="Cambria Math" w:cs="Sylfaen"/>
                  <w:i/>
                  <w:sz w:val="24"/>
                  <w:szCs w:val="24"/>
                </w:rPr>
              </m:ctrlPr>
            </m:fPr>
            <m:num>
              <m:r>
                <w:rPr>
                  <w:rFonts w:ascii="Cambria Math" w:hAnsi="Cambria Math" w:cs="Sylfaen"/>
                  <w:sz w:val="24"/>
                  <w:szCs w:val="24"/>
                </w:rPr>
                <m:t>1</m:t>
              </m:r>
            </m:num>
            <m:den>
              <m:rad>
                <m:radPr>
                  <m:degHide m:val="1"/>
                  <m:ctrlPr>
                    <w:rPr>
                      <w:rFonts w:ascii="Cambria Math" w:hAnsi="Cambria Math" w:cs="Sylfaen"/>
                      <w:i/>
                      <w:sz w:val="24"/>
                      <w:szCs w:val="24"/>
                    </w:rPr>
                  </m:ctrlPr>
                </m:radPr>
                <m:deg/>
                <m:e>
                  <m:r>
                    <w:rPr>
                      <w:rFonts w:ascii="Cambria Math" w:hAnsi="Cambria Math" w:cs="Sylfaen"/>
                      <w:sz w:val="24"/>
                      <w:szCs w:val="24"/>
                    </w:rPr>
                    <m:t>5</m:t>
                  </m:r>
                </m:e>
              </m:rad>
            </m:den>
          </m:f>
          <m:r>
            <w:rPr>
              <w:rFonts w:ascii="Cambria Math" w:hAnsi="Cambria Math" w:cs="Sylfaen"/>
              <w:sz w:val="24"/>
              <w:szCs w:val="24"/>
            </w:rPr>
            <m:t>*1,86*0,89=0,74%</m:t>
          </m:r>
        </m:oMath>
      </m:oMathPara>
    </w:p>
    <w:p w14:paraId="00B0A45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Վերջնական անալիտիկ գործողության գումարային անորոշությունը հավասար է՝</w:t>
      </w:r>
    </w:p>
    <w:p w14:paraId="139D2806" w14:textId="77777777" w:rsidR="00B834A2" w:rsidRPr="00B834A2" w:rsidRDefault="00000000" w:rsidP="00B834A2">
      <w:pPr>
        <w:pStyle w:val="a0"/>
        <w:shd w:val="clear" w:color="auto" w:fill="auto"/>
        <w:spacing w:after="160" w:line="360" w:lineRule="auto"/>
        <w:ind w:firstLine="567"/>
        <w:jc w:val="both"/>
        <w:rPr>
          <w:rFonts w:ascii="Sylfaen" w:hAnsi="Sylfaen" w:cs="Sylfaen"/>
          <w:i/>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FAO,r</m:t>
              </m:r>
            </m:sub>
          </m:sSub>
          <m:r>
            <w:rPr>
              <w:rFonts w:ascii="Cambria Math" w:hAnsi="Cambria Math" w:cs="Sylfaen"/>
              <w:sz w:val="24"/>
              <w:szCs w:val="24"/>
            </w:rPr>
            <m:t>=</m:t>
          </m:r>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sm</m:t>
                  </m:r>
                  <m:sSup>
                    <m:sSupPr>
                      <m:ctrlPr>
                        <w:rPr>
                          <w:rFonts w:ascii="Cambria Math" w:hAnsi="Cambria Math" w:cs="Sylfaen"/>
                          <w:i/>
                          <w:sz w:val="24"/>
                          <w:szCs w:val="24"/>
                        </w:rPr>
                      </m:ctrlPr>
                    </m:sSupPr>
                    <m:e>
                      <m:r>
                        <w:rPr>
                          <w:rFonts w:ascii="Cambria Math" w:hAnsi="Cambria Math" w:cs="Sylfaen"/>
                          <w:sz w:val="24"/>
                          <w:szCs w:val="24"/>
                        </w:rPr>
                        <m:t>p)</m:t>
                      </m:r>
                    </m:e>
                    <m:sup>
                      <m:r>
                        <w:rPr>
                          <w:rFonts w:ascii="Cambria Math" w:hAnsi="Cambria Math" w:cs="Sylfaen"/>
                          <w:sz w:val="24"/>
                          <w:szCs w:val="24"/>
                        </w:rPr>
                        <m:t>2</m:t>
                      </m:r>
                    </m:sup>
                  </m:sSup>
                </m:sup>
              </m:sSubSup>
            </m:e>
          </m:rad>
          <m:r>
            <w:rPr>
              <w:rFonts w:ascii="Cambria Math" w:hAnsi="Cambria Math" w:cs="Sylfaen"/>
              <w:sz w:val="24"/>
              <w:szCs w:val="24"/>
            </w:rPr>
            <m:t>+</m:t>
          </m:r>
          <m:sSubSup>
            <m:sSubSupPr>
              <m:ctrlPr>
                <w:rPr>
                  <w:rFonts w:ascii="Cambria Math" w:hAnsi="Cambria Math" w:cs="Sylfaen"/>
                  <w:i/>
                  <w:sz w:val="24"/>
                  <w:szCs w:val="24"/>
                </w:rPr>
              </m:ctrlPr>
            </m:sSubSupPr>
            <m:e>
              <m:r>
                <w:rPr>
                  <w:rFonts w:ascii="Cambria Math" w:hAnsi="Cambria Math" w:cs="Sylfaen"/>
                  <w:sz w:val="24"/>
                  <w:szCs w:val="24"/>
                </w:rPr>
                <m:t>(∆</m:t>
              </m:r>
            </m:e>
            <m:sub>
              <m:r>
                <w:rPr>
                  <w:rFonts w:ascii="Cambria Math" w:hAnsi="Cambria Math" w:cs="Sylfaen"/>
                  <w:sz w:val="24"/>
                  <w:szCs w:val="24"/>
                </w:rPr>
                <m:t>FAO,r</m:t>
              </m:r>
            </m:sub>
            <m:sup>
              <m:r>
                <w:rPr>
                  <w:rFonts w:ascii="Cambria Math" w:hAnsi="Cambria Math" w:cs="Sylfaen"/>
                  <w:sz w:val="24"/>
                  <w:szCs w:val="24"/>
                </w:rPr>
                <m:t>st</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sup>
          </m:sSubSup>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0,7</m:t>
              </m:r>
              <m:sSup>
                <m:sSupPr>
                  <m:ctrlPr>
                    <w:rPr>
                      <w:rFonts w:ascii="Cambria Math" w:hAnsi="Cambria Math" w:cs="Sylfaen"/>
                      <w:i/>
                      <w:sz w:val="24"/>
                      <w:szCs w:val="24"/>
                    </w:rPr>
                  </m:ctrlPr>
                </m:sSupPr>
                <m:e>
                  <m:r>
                    <w:rPr>
                      <w:rFonts w:ascii="Cambria Math" w:hAnsi="Cambria Math" w:cs="Sylfaen"/>
                      <w:sz w:val="24"/>
                      <w:szCs w:val="24"/>
                    </w:rPr>
                    <m:t>4</m:t>
                  </m:r>
                </m:e>
                <m:sup>
                  <m:r>
                    <w:rPr>
                      <w:rFonts w:ascii="Cambria Math" w:hAnsi="Cambria Math" w:cs="Sylfaen"/>
                      <w:sz w:val="24"/>
                      <w:szCs w:val="24"/>
                    </w:rPr>
                    <m:t>2</m:t>
                  </m:r>
                </m:sup>
              </m:sSup>
            </m:e>
          </m:rad>
          <m:r>
            <w:rPr>
              <w:rFonts w:ascii="Cambria Math" w:hAnsi="Cambria Math" w:cs="Sylfaen"/>
              <w:sz w:val="24"/>
              <w:szCs w:val="24"/>
            </w:rPr>
            <m:t>+0,7</m:t>
          </m:r>
          <m:sSup>
            <m:sSupPr>
              <m:ctrlPr>
                <w:rPr>
                  <w:rFonts w:ascii="Cambria Math" w:hAnsi="Cambria Math" w:cs="Sylfaen"/>
                  <w:i/>
                  <w:sz w:val="24"/>
                  <w:szCs w:val="24"/>
                </w:rPr>
              </m:ctrlPr>
            </m:sSupPr>
            <m:e>
              <m:r>
                <w:rPr>
                  <w:rFonts w:ascii="Cambria Math" w:hAnsi="Cambria Math" w:cs="Sylfaen"/>
                  <w:sz w:val="24"/>
                  <w:szCs w:val="24"/>
                </w:rPr>
                <m:t>4</m:t>
              </m:r>
            </m:e>
            <m:sup>
              <m:r>
                <w:rPr>
                  <w:rFonts w:ascii="Cambria Math" w:hAnsi="Cambria Math" w:cs="Sylfaen"/>
                  <w:sz w:val="24"/>
                  <w:szCs w:val="24"/>
                </w:rPr>
                <m:t>2</m:t>
              </m:r>
            </m:sup>
          </m:sSup>
          <m:r>
            <w:rPr>
              <w:rFonts w:ascii="Cambria Math" w:hAnsi="Cambria Math" w:cs="Sylfaen"/>
              <w:sz w:val="24"/>
              <w:szCs w:val="24"/>
            </w:rPr>
            <m:t>=1,05%</m:t>
          </m:r>
        </m:oMath>
      </m:oMathPara>
    </w:p>
    <w:p w14:paraId="0F152B2D" w14:textId="77777777" w:rsidR="00B834A2" w:rsidRPr="00B834A2" w:rsidRDefault="00B834A2" w:rsidP="00B834A2">
      <w:pPr>
        <w:pStyle w:val="a0"/>
        <w:shd w:val="clear" w:color="auto" w:fill="auto"/>
        <w:spacing w:after="160" w:line="360" w:lineRule="auto"/>
        <w:ind w:firstLine="567"/>
        <w:jc w:val="both"/>
        <w:rPr>
          <w:rFonts w:ascii="Sylfaen" w:hAnsi="Sylfaen" w:cs="Sylfaen"/>
          <w:b/>
          <w:bCs/>
          <w:sz w:val="24"/>
          <w:szCs w:val="24"/>
        </w:rPr>
      </w:pPr>
      <w:r w:rsidRPr="00B834A2">
        <w:rPr>
          <w:rFonts w:ascii="Sylfaen" w:hAnsi="Sylfaen"/>
          <w:sz w:val="24"/>
          <w:szCs w:val="24"/>
        </w:rPr>
        <w:t xml:space="preserve">Օգտագործելով (5.7) հավասարումը՝ հաշվարկում են անալիզի գումարային անորոշությունը </w:t>
      </w: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As,r</m:t>
            </m:r>
          </m:sub>
        </m:sSub>
      </m:oMath>
      <w:r w:rsidRPr="00B834A2">
        <w:rPr>
          <w:rFonts w:ascii="Sylfaen" w:hAnsi="Sylfaen"/>
          <w:sz w:val="24"/>
          <w:szCs w:val="24"/>
        </w:rPr>
        <w:t>.</w:t>
      </w:r>
    </w:p>
    <w:p w14:paraId="3A2616C8" w14:textId="77777777" w:rsidR="00B834A2" w:rsidRPr="00B834A2" w:rsidRDefault="00000000" w:rsidP="00B07646">
      <w:pPr>
        <w:pStyle w:val="a0"/>
        <w:shd w:val="clear" w:color="auto" w:fill="auto"/>
        <w:spacing w:after="160" w:line="360" w:lineRule="auto"/>
        <w:ind w:firstLine="567"/>
        <w:jc w:val="center"/>
        <w:rPr>
          <w:rFonts w:ascii="Sylfaen" w:hAnsi="Sylfaen" w:cs="Sylfaen"/>
          <w:sz w:val="24"/>
          <w:szCs w:val="24"/>
        </w:rPr>
      </w:pP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As,r</m:t>
            </m:r>
          </m:sub>
        </m:sSub>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0,4</m:t>
            </m:r>
            <m:sSup>
              <m:sSupPr>
                <m:ctrlPr>
                  <w:rPr>
                    <w:rFonts w:ascii="Cambria Math" w:hAnsi="Cambria Math" w:cs="Sylfaen"/>
                    <w:i/>
                    <w:sz w:val="24"/>
                    <w:szCs w:val="24"/>
                  </w:rPr>
                </m:ctrlPr>
              </m:sSupPr>
              <m:e>
                <m:r>
                  <w:rPr>
                    <w:rFonts w:ascii="Cambria Math" w:hAnsi="Cambria Math" w:cs="Sylfaen"/>
                    <w:sz w:val="24"/>
                    <w:szCs w:val="24"/>
                  </w:rPr>
                  <m:t>6</m:t>
                </m:r>
              </m:e>
              <m:sup>
                <m:r>
                  <w:rPr>
                    <w:rFonts w:ascii="Cambria Math" w:hAnsi="Cambria Math" w:cs="Sylfaen"/>
                    <w:sz w:val="24"/>
                    <w:szCs w:val="24"/>
                  </w:rPr>
                  <m:t>2</m:t>
                </m:r>
              </m:sup>
            </m:sSup>
          </m:e>
        </m:rad>
        <m:r>
          <w:rPr>
            <w:rFonts w:ascii="Cambria Math" w:hAnsi="Cambria Math" w:cs="Sylfaen"/>
            <w:sz w:val="24"/>
            <w:szCs w:val="24"/>
          </w:rPr>
          <m:t>+1,0</m:t>
        </m:r>
        <m:sSup>
          <m:sSupPr>
            <m:ctrlPr>
              <w:rPr>
                <w:rFonts w:ascii="Cambria Math" w:hAnsi="Cambria Math" w:cs="Sylfaen"/>
                <w:i/>
                <w:sz w:val="24"/>
                <w:szCs w:val="24"/>
              </w:rPr>
            </m:ctrlPr>
          </m:sSupPr>
          <m:e>
            <m:r>
              <w:rPr>
                <w:rFonts w:ascii="Cambria Math" w:hAnsi="Cambria Math" w:cs="Sylfaen"/>
                <w:sz w:val="24"/>
                <w:szCs w:val="24"/>
              </w:rPr>
              <m:t>5</m:t>
            </m:r>
          </m:e>
          <m:sup>
            <m:r>
              <w:rPr>
                <w:rFonts w:ascii="Cambria Math" w:hAnsi="Cambria Math" w:cs="Sylfaen"/>
                <w:sz w:val="24"/>
                <w:szCs w:val="24"/>
              </w:rPr>
              <m:t>2</m:t>
            </m:r>
          </m:sup>
        </m:sSup>
        <m:r>
          <w:rPr>
            <w:rFonts w:ascii="Cambria Math" w:hAnsi="Cambria Math" w:cs="Sylfaen"/>
            <w:sz w:val="24"/>
            <w:szCs w:val="24"/>
          </w:rPr>
          <m:t>=1,15%</m:t>
        </m:r>
      </m:oMath>
      <w:r w:rsidR="00B834A2" w:rsidRPr="00B834A2">
        <w:rPr>
          <w:rFonts w:ascii="Sylfaen" w:hAnsi="Sylfaen"/>
          <w:b/>
          <w:sz w:val="24"/>
          <w:szCs w:val="24"/>
        </w:rPr>
        <w:t>:</w:t>
      </w:r>
    </w:p>
    <w:p w14:paraId="6244C60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Ինչպես եր</w:t>
      </w:r>
      <w:r>
        <w:rPr>
          <w:rFonts w:ascii="Sylfaen" w:hAnsi="Sylfaen"/>
          <w:sz w:val="24"/>
          <w:szCs w:val="24"/>
        </w:rPr>
        <w:t>եւ</w:t>
      </w:r>
      <w:r w:rsidRPr="00B834A2">
        <w:rPr>
          <w:rFonts w:ascii="Sylfaen" w:hAnsi="Sylfaen"/>
          <w:sz w:val="24"/>
          <w:szCs w:val="24"/>
        </w:rPr>
        <w:t>ում է, տվյալ մեծությունը փոքր է սովորական դեպքի համար ստացված մեծությունից (1,29 %):</w:t>
      </w:r>
    </w:p>
    <w:p w14:paraId="036E6BD1" w14:textId="77777777" w:rsidR="00B834A2" w:rsidRPr="00B834A2" w:rsidRDefault="00B834A2" w:rsidP="00B07646">
      <w:pPr>
        <w:pStyle w:val="a0"/>
        <w:shd w:val="clear" w:color="auto" w:fill="auto"/>
        <w:tabs>
          <w:tab w:val="left" w:pos="1701"/>
        </w:tabs>
        <w:spacing w:after="160" w:line="360" w:lineRule="auto"/>
        <w:ind w:firstLine="567"/>
        <w:jc w:val="both"/>
        <w:rPr>
          <w:rFonts w:ascii="Sylfaen" w:hAnsi="Sylfaen" w:cs="Sylfaen"/>
          <w:sz w:val="24"/>
          <w:szCs w:val="24"/>
        </w:rPr>
      </w:pPr>
      <w:r w:rsidRPr="00B834A2">
        <w:rPr>
          <w:rFonts w:ascii="Sylfaen" w:hAnsi="Sylfaen"/>
          <w:i/>
          <w:sz w:val="24"/>
          <w:szCs w:val="24"/>
        </w:rPr>
        <w:t>6.6.3.2.</w:t>
      </w:r>
      <w:r w:rsidR="00B07646" w:rsidRPr="002E52D1">
        <w:rPr>
          <w:rFonts w:ascii="Sylfaen" w:hAnsi="Sylfaen"/>
          <w:i/>
          <w:sz w:val="24"/>
          <w:szCs w:val="24"/>
        </w:rPr>
        <w:tab/>
      </w:r>
      <w:r w:rsidRPr="00B834A2">
        <w:rPr>
          <w:rFonts w:ascii="Sylfaen" w:hAnsi="Sylfaen"/>
          <w:i/>
          <w:sz w:val="24"/>
          <w:szCs w:val="24"/>
        </w:rPr>
        <w:t>Ուելչ-Սատերտուեյթի մոտեցում</w:t>
      </w:r>
    </w:p>
    <w:p w14:paraId="3E2ADFE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Գտնում են մուշի պատրաստման ստանդարտ շեղումը </w:t>
      </w: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SP,r</m:t>
            </m:r>
          </m:sub>
        </m:sSub>
      </m:oMath>
      <w:r w:rsidRPr="00B834A2">
        <w:rPr>
          <w:rFonts w:ascii="Sylfaen" w:hAnsi="Sylfaen"/>
          <w:sz w:val="24"/>
          <w:szCs w:val="24"/>
        </w:rPr>
        <w:t>= 0,83% վստահելի միջակայքից՝ օգտագործելով Գաուսի 1,65 գործակիցը՝ միակողմ 0,95 հավանականության համար (քանի որ ազատության աստիճանների թիվը անվերջ</w:t>
      </w:r>
      <w:r w:rsidR="007F19B6" w:rsidRPr="007F19B6">
        <w:rPr>
          <w:rFonts w:ascii="Sylfaen" w:hAnsi="Sylfaen"/>
          <w:sz w:val="24"/>
          <w:szCs w:val="24"/>
        </w:rPr>
        <w:t> </w:t>
      </w:r>
      <w:r w:rsidRPr="00B834A2">
        <w:rPr>
          <w:rFonts w:ascii="Sylfaen" w:hAnsi="Sylfaen"/>
          <w:sz w:val="24"/>
          <w:szCs w:val="24"/>
        </w:rPr>
        <w:t>է, ինչպես համախմբի համար).</w:t>
      </w:r>
    </w:p>
    <w:p w14:paraId="0DDC9CDA" w14:textId="77777777" w:rsidR="00B834A2" w:rsidRPr="00B834A2" w:rsidRDefault="00000000" w:rsidP="00B834A2">
      <w:pPr>
        <w:pStyle w:val="a0"/>
        <w:shd w:val="clear" w:color="auto" w:fill="auto"/>
        <w:spacing w:after="160" w:line="360" w:lineRule="auto"/>
        <w:ind w:firstLine="567"/>
        <w:jc w:val="both"/>
        <w:rPr>
          <w:rFonts w:ascii="Sylfaen" w:hAnsi="Sylfaen" w:cs="Sylfaen"/>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SP,r</m:t>
              </m:r>
            </m:sub>
          </m:sSub>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0,39</m:t>
              </m:r>
            </m:num>
            <m:den>
              <m:r>
                <w:rPr>
                  <w:rFonts w:ascii="Cambria Math" w:hAnsi="Cambria Math" w:cs="Sylfaen"/>
                  <w:sz w:val="24"/>
                  <w:szCs w:val="24"/>
                </w:rPr>
                <m:t>1,65</m:t>
              </m:r>
            </m:den>
          </m:f>
          <m:r>
            <w:rPr>
              <w:rFonts w:ascii="Cambria Math" w:hAnsi="Cambria Math" w:cs="Sylfaen"/>
              <w:sz w:val="24"/>
              <w:szCs w:val="24"/>
            </w:rPr>
            <m:t>=0,24%</m:t>
          </m:r>
        </m:oMath>
      </m:oMathPara>
    </w:p>
    <w:p w14:paraId="637A1B4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(5.5) հարաբերակցությունից </w:t>
      </w:r>
      <w:r w:rsidRPr="00B834A2">
        <w:rPr>
          <w:rFonts w:ascii="Sylfaen" w:hAnsi="Sylfaen"/>
          <w:i/>
          <w:sz w:val="24"/>
          <w:szCs w:val="24"/>
        </w:rPr>
        <w:t>RSD</w:t>
      </w:r>
      <w:r w:rsidRPr="00B834A2">
        <w:rPr>
          <w:rFonts w:ascii="Sylfaen" w:hAnsi="Sylfaen"/>
          <w:i/>
          <w:sz w:val="24"/>
          <w:szCs w:val="24"/>
          <w:vertAlign w:val="superscript"/>
        </w:rPr>
        <w:t>2-ի</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B834A2">
        <w:rPr>
          <w:rFonts w:ascii="Sylfaen" w:hAnsi="Sylfaen"/>
          <w:i/>
          <w:sz w:val="24"/>
          <w:szCs w:val="24"/>
        </w:rPr>
        <w:t>RSD</w:t>
      </w:r>
      <w:r w:rsidRPr="00B834A2">
        <w:rPr>
          <w:rFonts w:ascii="Sylfaen" w:hAnsi="Sylfaen"/>
          <w:i/>
          <w:sz w:val="24"/>
          <w:szCs w:val="24"/>
          <w:vertAlign w:val="superscript"/>
        </w:rPr>
        <w:t>st</w:t>
      </w:r>
      <w:r w:rsidRPr="00B834A2">
        <w:rPr>
          <w:rFonts w:ascii="Sylfaen" w:hAnsi="Sylfaen"/>
          <w:sz w:val="24"/>
          <w:szCs w:val="24"/>
        </w:rPr>
        <w:t>)</w:t>
      </w:r>
      <w:r w:rsidRPr="00B834A2">
        <w:rPr>
          <w:rFonts w:ascii="Sylfaen" w:hAnsi="Sylfaen"/>
          <w:sz w:val="24"/>
          <w:szCs w:val="24"/>
          <w:vertAlign w:val="superscript"/>
        </w:rPr>
        <w:t xml:space="preserve">2-ի </w:t>
      </w:r>
      <w:r w:rsidRPr="00B834A2">
        <w:rPr>
          <w:rFonts w:ascii="Sylfaen" w:hAnsi="Sylfaen"/>
          <w:sz w:val="24"/>
          <w:szCs w:val="24"/>
        </w:rPr>
        <w:t>ամբողջ անալիտիկ մեթոդիկայի գտնված ստանդարտ շեղումը բաժանում են 5-ի, ինչպես միջին արդյունքի դիսպերսիաների համար.</w:t>
      </w:r>
    </w:p>
    <w:p w14:paraId="5E765D72" w14:textId="77777777" w:rsidR="00B834A2" w:rsidRPr="00B834A2" w:rsidRDefault="00000000" w:rsidP="00B834A2">
      <w:pPr>
        <w:pStyle w:val="a0"/>
        <w:shd w:val="clear" w:color="auto" w:fill="auto"/>
        <w:spacing w:after="160" w:line="360" w:lineRule="auto"/>
        <w:ind w:firstLine="567"/>
        <w:jc w:val="both"/>
        <w:rPr>
          <w:rFonts w:ascii="Sylfaen" w:hAnsi="Sylfaen" w:cs="Sylfaen"/>
          <w:smallCaps/>
          <w:sz w:val="24"/>
          <w:szCs w:val="24"/>
        </w:rPr>
      </w:pPr>
      <m:oMathPara>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As,r</m:t>
              </m:r>
            </m:sub>
          </m:sSub>
          <m:r>
            <w:rPr>
              <w:rFonts w:ascii="Cambria Math" w:hAnsi="Cambria Math" w:cs="Sylfaen"/>
              <w:sz w:val="24"/>
              <w:szCs w:val="24"/>
            </w:rPr>
            <m:t>=</m:t>
          </m:r>
          <m:rad>
            <m:radPr>
              <m:degHide m:val="1"/>
              <m:ctrlPr>
                <w:rPr>
                  <w:rFonts w:ascii="Cambria Math" w:hAnsi="Cambria Math" w:cs="Sylfaen"/>
                  <w:i/>
                  <w:sz w:val="24"/>
                  <w:szCs w:val="24"/>
                </w:rPr>
              </m:ctrlPr>
            </m:radPr>
            <m:deg/>
            <m:e>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SP,r</m:t>
                  </m:r>
                </m:sub>
                <m:sup>
                  <m:r>
                    <w:rPr>
                      <w:rFonts w:ascii="Cambria Math" w:hAnsi="Cambria Math" w:cs="Sylfaen"/>
                      <w:sz w:val="24"/>
                      <w:szCs w:val="24"/>
                    </w:rPr>
                    <m:t>2</m:t>
                  </m:r>
                </m:sup>
              </m:sSubSup>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1</m:t>
                  </m:r>
                </m:num>
                <m:den>
                  <m:r>
                    <w:rPr>
                      <w:rFonts w:ascii="Cambria Math" w:hAnsi="Cambria Math" w:cs="Sylfaen"/>
                      <w:sz w:val="24"/>
                      <w:szCs w:val="24"/>
                    </w:rPr>
                    <m:t>5</m:t>
                  </m:r>
                </m:den>
              </m:f>
            </m:e>
          </m:rad>
          <m:d>
            <m:dPr>
              <m:begChr m:val="["/>
              <m:endChr m:val="]"/>
              <m:ctrlPr>
                <w:rPr>
                  <w:rFonts w:ascii="Cambria Math" w:hAnsi="Cambria Math" w:cs="Sylfaen"/>
                  <w:i/>
                  <w:sz w:val="24"/>
                  <w:szCs w:val="24"/>
                </w:rPr>
              </m:ctrlPr>
            </m:dPr>
            <m:e>
              <m:r>
                <w:rPr>
                  <w:rFonts w:ascii="Cambria Math" w:hAnsi="Cambria Math" w:cs="Sylfaen"/>
                  <w:sz w:val="24"/>
                  <w:szCs w:val="24"/>
                </w:rPr>
                <m:t>RS</m:t>
              </m:r>
              <m:sSup>
                <m:sSupPr>
                  <m:ctrlPr>
                    <w:rPr>
                      <w:rFonts w:ascii="Cambria Math" w:hAnsi="Cambria Math" w:cs="Sylfaen"/>
                      <w:i/>
                      <w:sz w:val="24"/>
                      <w:szCs w:val="24"/>
                    </w:rPr>
                  </m:ctrlPr>
                </m:sSupPr>
                <m:e>
                  <m:r>
                    <w:rPr>
                      <w:rFonts w:ascii="Cambria Math" w:hAnsi="Cambria Math" w:cs="Sylfaen"/>
                      <w:sz w:val="24"/>
                      <w:szCs w:val="24"/>
                    </w:rPr>
                    <m:t>D</m:t>
                  </m:r>
                </m:e>
                <m:sup>
                  <m:r>
                    <w:rPr>
                      <w:rFonts w:ascii="Cambria Math" w:hAnsi="Cambria Math" w:cs="Sylfaen"/>
                      <w:sz w:val="24"/>
                      <w:szCs w:val="24"/>
                    </w:rPr>
                    <m:t>2</m:t>
                  </m:r>
                </m:sup>
              </m:sSup>
              <m:r>
                <w:rPr>
                  <w:rFonts w:ascii="Cambria Math" w:hAnsi="Cambria Math" w:cs="Sylfaen"/>
                  <w:sz w:val="24"/>
                  <w:szCs w:val="24"/>
                </w:rPr>
                <m:t>+(R</m:t>
              </m:r>
              <m:sSup>
                <m:sSupPr>
                  <m:ctrlPr>
                    <w:rPr>
                      <w:rFonts w:ascii="Cambria Math" w:hAnsi="Cambria Math" w:cs="Sylfaen"/>
                      <w:i/>
                      <w:sz w:val="24"/>
                      <w:szCs w:val="24"/>
                    </w:rPr>
                  </m:ctrlPr>
                </m:sSupPr>
                <m:e>
                  <m:r>
                    <w:rPr>
                      <w:rFonts w:ascii="Cambria Math" w:hAnsi="Cambria Math" w:cs="Sylfaen"/>
                      <w:sz w:val="24"/>
                      <w:szCs w:val="24"/>
                    </w:rPr>
                    <m:t>SD</m:t>
                  </m:r>
                </m:e>
                <m:sup>
                  <m:r>
                    <w:rPr>
                      <w:rFonts w:ascii="Cambria Math" w:hAnsi="Cambria Math" w:cs="Sylfaen"/>
                      <w:sz w:val="24"/>
                      <w:szCs w:val="24"/>
                    </w:rPr>
                    <m:t>st</m:t>
                  </m:r>
                </m:sup>
              </m:sSup>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2</m:t>
                  </m:r>
                </m:sup>
              </m:sSup>
            </m:e>
          </m:d>
          <m:r>
            <w:rPr>
              <w:rFonts w:ascii="Cambria Math" w:hAnsi="Cambria Math" w:cs="Sylfaen"/>
              <w:sz w:val="24"/>
              <w:szCs w:val="24"/>
            </w:rPr>
            <m:t>=</m:t>
          </m:r>
          <m:rad>
            <m:radPr>
              <m:degHide m:val="1"/>
              <m:ctrlPr>
                <w:rPr>
                  <w:rFonts w:ascii="Cambria Math" w:hAnsi="Cambria Math" w:cs="Sylfaen"/>
                  <w:i/>
                  <w:sz w:val="24"/>
                  <w:szCs w:val="24"/>
                </w:rPr>
              </m:ctrlPr>
            </m:radPr>
            <m:deg/>
            <m:e>
              <m:r>
                <w:rPr>
                  <w:rFonts w:ascii="Cambria Math" w:hAnsi="Cambria Math" w:cs="Sylfaen"/>
                  <w:sz w:val="24"/>
                  <w:szCs w:val="24"/>
                </w:rPr>
                <m:t>0,24+</m:t>
              </m:r>
              <m:f>
                <m:fPr>
                  <m:ctrlPr>
                    <w:rPr>
                      <w:rFonts w:ascii="Cambria Math" w:hAnsi="Cambria Math" w:cs="Sylfaen"/>
                      <w:i/>
                      <w:sz w:val="24"/>
                      <w:szCs w:val="24"/>
                    </w:rPr>
                  </m:ctrlPr>
                </m:fPr>
                <m:num>
                  <m:r>
                    <w:rPr>
                      <w:rFonts w:ascii="Cambria Math" w:hAnsi="Cambria Math" w:cs="Sylfaen"/>
                      <w:sz w:val="24"/>
                      <w:szCs w:val="24"/>
                    </w:rPr>
                    <m:t>1</m:t>
                  </m:r>
                </m:num>
                <m:den>
                  <m:r>
                    <w:rPr>
                      <w:rFonts w:ascii="Cambria Math" w:hAnsi="Cambria Math" w:cs="Sylfaen"/>
                      <w:sz w:val="24"/>
                      <w:szCs w:val="24"/>
                    </w:rPr>
                    <m:t>5</m:t>
                  </m:r>
                </m:den>
              </m:f>
              <m:r>
                <w:rPr>
                  <w:rFonts w:ascii="Cambria Math" w:hAnsi="Cambria Math" w:cs="Sylfaen"/>
                  <w:sz w:val="24"/>
                  <w:szCs w:val="24"/>
                </w:rPr>
                <m:t>*</m:t>
              </m:r>
              <m:d>
                <m:dPr>
                  <m:begChr m:val="["/>
                  <m:endChr m:val="]"/>
                  <m:ctrlPr>
                    <w:rPr>
                      <w:rFonts w:ascii="Cambria Math" w:hAnsi="Cambria Math" w:cs="Sylfaen"/>
                      <w:i/>
                      <w:sz w:val="24"/>
                      <w:szCs w:val="24"/>
                    </w:rPr>
                  </m:ctrlPr>
                </m:dPr>
                <m:e>
                  <m:r>
                    <w:rPr>
                      <w:rFonts w:ascii="Cambria Math" w:hAnsi="Cambria Math" w:cs="Sylfaen"/>
                      <w:sz w:val="24"/>
                      <w:szCs w:val="24"/>
                    </w:rPr>
                    <m:t>0,9</m:t>
                  </m:r>
                  <m:sSup>
                    <m:sSupPr>
                      <m:ctrlPr>
                        <w:rPr>
                          <w:rFonts w:ascii="Cambria Math" w:hAnsi="Cambria Math" w:cs="Sylfaen"/>
                          <w:i/>
                          <w:sz w:val="24"/>
                          <w:szCs w:val="24"/>
                        </w:rPr>
                      </m:ctrlPr>
                    </m:sSupPr>
                    <m:e>
                      <m:r>
                        <w:rPr>
                          <w:rFonts w:ascii="Cambria Math" w:hAnsi="Cambria Math" w:cs="Sylfaen"/>
                          <w:sz w:val="24"/>
                          <w:szCs w:val="24"/>
                        </w:rPr>
                        <m:t>7</m:t>
                      </m:r>
                    </m:e>
                    <m:sup>
                      <m:r>
                        <w:rPr>
                          <w:rFonts w:ascii="Cambria Math" w:hAnsi="Cambria Math" w:cs="Sylfaen"/>
                          <w:sz w:val="24"/>
                          <w:szCs w:val="24"/>
                        </w:rPr>
                        <m:t>2</m:t>
                      </m:r>
                    </m:sup>
                  </m:sSup>
                  <m:r>
                    <w:rPr>
                      <w:rFonts w:ascii="Cambria Math" w:hAnsi="Cambria Math" w:cs="Sylfaen"/>
                      <w:sz w:val="24"/>
                      <w:szCs w:val="24"/>
                    </w:rPr>
                    <m:t>+0,8</m:t>
                  </m:r>
                  <m:sSup>
                    <m:sSupPr>
                      <m:ctrlPr>
                        <w:rPr>
                          <w:rFonts w:ascii="Cambria Math" w:hAnsi="Cambria Math" w:cs="Sylfaen"/>
                          <w:i/>
                          <w:sz w:val="24"/>
                          <w:szCs w:val="24"/>
                        </w:rPr>
                      </m:ctrlPr>
                    </m:sSupPr>
                    <m:e>
                      <m:r>
                        <w:rPr>
                          <w:rFonts w:ascii="Cambria Math" w:hAnsi="Cambria Math" w:cs="Sylfaen"/>
                          <w:sz w:val="24"/>
                          <w:szCs w:val="24"/>
                        </w:rPr>
                        <m:t>1</m:t>
                      </m:r>
                    </m:e>
                    <m:sup>
                      <m:r>
                        <w:rPr>
                          <w:rFonts w:ascii="Cambria Math" w:hAnsi="Cambria Math" w:cs="Sylfaen"/>
                          <w:sz w:val="24"/>
                          <w:szCs w:val="24"/>
                        </w:rPr>
                        <m:t>2</m:t>
                      </m:r>
                    </m:sup>
                  </m:sSup>
                </m:e>
              </m:d>
              <m:r>
                <w:rPr>
                  <w:rFonts w:ascii="Cambria Math" w:hAnsi="Cambria Math" w:cs="Sylfaen"/>
                  <w:sz w:val="24"/>
                  <w:szCs w:val="24"/>
                </w:rPr>
                <m:t>=0,61.</m:t>
              </m:r>
            </m:e>
          </m:rad>
        </m:oMath>
      </m:oMathPara>
    </w:p>
    <w:p w14:paraId="7DEBBDA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Գտնում են </w:t>
      </w:r>
      <w:r w:rsidRPr="00B834A2">
        <w:rPr>
          <w:rFonts w:ascii="Sylfaen" w:hAnsi="Sylfaen"/>
          <w:i/>
          <w:sz w:val="24"/>
          <w:szCs w:val="24"/>
        </w:rPr>
        <w:t>V</w:t>
      </w:r>
      <w:r w:rsidRPr="00B834A2">
        <w:rPr>
          <w:rFonts w:ascii="Sylfaen" w:hAnsi="Sylfaen"/>
          <w:i/>
          <w:sz w:val="24"/>
          <w:szCs w:val="24"/>
          <w:vertAlign w:val="subscript"/>
        </w:rPr>
        <w:t>eff</w:t>
      </w:r>
      <w:r>
        <w:rPr>
          <w:rFonts w:ascii="Sylfaen" w:hAnsi="Sylfaen"/>
          <w:sz w:val="24"/>
          <w:szCs w:val="24"/>
        </w:rPr>
        <w:t xml:space="preserve"> </w:t>
      </w:r>
      <w:r w:rsidRPr="00B834A2">
        <w:rPr>
          <w:rFonts w:ascii="Sylfaen" w:hAnsi="Sylfaen"/>
          <w:sz w:val="24"/>
          <w:szCs w:val="24"/>
        </w:rPr>
        <w:t xml:space="preserve">ազատության աստիճանների արդյունավետ թիվը: Ընդ որում, </w:t>
      </w:r>
      <w:r w:rsidRPr="00B834A2">
        <w:rPr>
          <w:rFonts w:ascii="Sylfaen" w:hAnsi="Sylfaen"/>
          <w:i/>
          <w:sz w:val="24"/>
          <w:szCs w:val="24"/>
        </w:rPr>
        <w:t>RSD-ի</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m:oMath>
        <m:r>
          <w:rPr>
            <w:rFonts w:ascii="Cambria Math" w:hAnsi="Cambria Math" w:cs="Sylfaen"/>
            <w:sz w:val="24"/>
            <w:szCs w:val="24"/>
          </w:rPr>
          <m:t>R</m:t>
        </m:r>
        <m:sSup>
          <m:sSupPr>
            <m:ctrlPr>
              <w:rPr>
                <w:rFonts w:ascii="Cambria Math" w:hAnsi="Cambria Math" w:cs="Sylfaen"/>
                <w:i/>
                <w:sz w:val="24"/>
                <w:szCs w:val="24"/>
              </w:rPr>
            </m:ctrlPr>
          </m:sSupPr>
          <m:e>
            <m:r>
              <w:rPr>
                <w:rFonts w:ascii="Cambria Math" w:hAnsi="Cambria Math" w:cs="Sylfaen"/>
                <w:sz w:val="24"/>
                <w:szCs w:val="24"/>
              </w:rPr>
              <m:t>SD</m:t>
            </m:r>
          </m:e>
          <m:sup>
            <m:r>
              <w:rPr>
                <w:rFonts w:ascii="Cambria Math" w:hAnsi="Cambria Math" w:cs="Sylfaen"/>
                <w:sz w:val="24"/>
                <w:szCs w:val="24"/>
              </w:rPr>
              <m:t>st</m:t>
            </m:r>
          </m:sup>
        </m:sSup>
        <m:r>
          <w:rPr>
            <w:rFonts w:ascii="Cambria Math" w:hAnsi="Cambria Math" w:cs="Sylfaen"/>
            <w:sz w:val="24"/>
            <w:szCs w:val="24"/>
          </w:rPr>
          <m:t>-</m:t>
        </m:r>
        <m:r>
          <w:rPr>
            <w:rFonts w:ascii="Sylfaen" w:hAnsi="Sylfaen" w:cs="Sylfaen"/>
            <w:sz w:val="24"/>
            <w:szCs w:val="24"/>
          </w:rPr>
          <m:t>ի</m:t>
        </m:r>
        <m:r>
          <w:rPr>
            <w:rFonts w:ascii="Cambria Math" w:hAnsi="Cambria Math" w:cs="Sylfaen"/>
            <w:sz w:val="24"/>
            <w:szCs w:val="24"/>
          </w:rPr>
          <m:t xml:space="preserve"> </m:t>
        </m:r>
      </m:oMath>
      <w:r w:rsidRPr="00B834A2">
        <w:rPr>
          <w:rFonts w:ascii="Sylfaen" w:hAnsi="Sylfaen"/>
          <w:sz w:val="24"/>
          <w:szCs w:val="24"/>
        </w:rPr>
        <w:t>համար ազատության աստիճանների թիվը հավասար է</w:t>
      </w:r>
      <w:r>
        <w:rPr>
          <w:rFonts w:ascii="Sylfaen" w:hAnsi="Sylfaen"/>
          <w:sz w:val="24"/>
          <w:szCs w:val="24"/>
        </w:rPr>
        <w:t xml:space="preserve"> </w:t>
      </w:r>
      <w:r w:rsidRPr="00B834A2">
        <w:rPr>
          <w:rFonts w:ascii="Sylfaen" w:hAnsi="Sylfaen"/>
          <w:sz w:val="24"/>
          <w:szCs w:val="24"/>
        </w:rPr>
        <w:t xml:space="preserve">5 - 1 = 4, իսկ </w:t>
      </w:r>
      <m:oMath>
        <m:sSub>
          <m:sSubPr>
            <m:ctrlPr>
              <w:rPr>
                <w:rFonts w:ascii="Cambria Math" w:hAnsi="Cambria Math" w:cs="Sylfaen"/>
                <w:i/>
                <w:sz w:val="24"/>
                <w:szCs w:val="24"/>
              </w:rPr>
            </m:ctrlPr>
          </m:sSubPr>
          <m:e>
            <m:r>
              <w:rPr>
                <w:rFonts w:ascii="Cambria Math" w:hAnsi="Cambria Math" w:cs="Sylfaen"/>
                <w:sz w:val="24"/>
                <w:szCs w:val="24"/>
              </w:rPr>
              <m:t>S</m:t>
            </m:r>
          </m:e>
          <m:sub>
            <m:r>
              <w:rPr>
                <w:rFonts w:ascii="Cambria Math" w:hAnsi="Cambria Math" w:cs="Sylfaen"/>
                <w:sz w:val="24"/>
                <w:szCs w:val="24"/>
              </w:rPr>
              <m:t>SP,r</m:t>
            </m:r>
          </m:sub>
        </m:sSub>
      </m:oMath>
      <w:r w:rsidR="002E52D1">
        <w:rPr>
          <w:rFonts w:ascii="Sylfaen" w:hAnsi="Sylfaen"/>
          <w:b/>
          <w:smallCaps/>
          <w:sz w:val="24"/>
          <w:szCs w:val="24"/>
        </w:rPr>
        <w:t>-</w:t>
      </w:r>
      <w:r w:rsidRPr="00B834A2">
        <w:rPr>
          <w:rFonts w:ascii="Sylfaen" w:hAnsi="Sylfaen"/>
          <w:smallCaps/>
          <w:sz w:val="24"/>
          <w:szCs w:val="24"/>
        </w:rPr>
        <w:t>ի</w:t>
      </w:r>
      <w:r w:rsidRPr="00B834A2">
        <w:rPr>
          <w:rFonts w:ascii="Sylfaen" w:hAnsi="Sylfaen"/>
          <w:b/>
          <w:smallCaps/>
          <w:sz w:val="24"/>
          <w:szCs w:val="24"/>
        </w:rPr>
        <w:t xml:space="preserve"> </w:t>
      </w:r>
      <w:r w:rsidRPr="00B834A2">
        <w:rPr>
          <w:rFonts w:ascii="Sylfaen" w:hAnsi="Sylfaen"/>
          <w:sz w:val="24"/>
          <w:szCs w:val="24"/>
        </w:rPr>
        <w:t>համար անվերջություն:</w:t>
      </w:r>
    </w:p>
    <w:p w14:paraId="57D75DF9" w14:textId="77777777" w:rsidR="00B834A2" w:rsidRPr="00B834A2" w:rsidRDefault="00000000" w:rsidP="00B07646">
      <w:pPr>
        <w:pStyle w:val="a0"/>
        <w:shd w:val="clear" w:color="auto" w:fill="auto"/>
        <w:spacing w:after="160" w:line="360" w:lineRule="auto"/>
        <w:ind w:firstLine="0"/>
        <w:jc w:val="both"/>
        <w:rPr>
          <w:rFonts w:ascii="Sylfaen" w:hAnsi="Sylfaen" w:cs="Sylfaen"/>
          <w:sz w:val="24"/>
          <w:szCs w:val="24"/>
        </w:rPr>
      </w:pPr>
      <m:oMathPara>
        <m:oMathParaPr>
          <m:jc m:val="center"/>
        </m:oMathParaPr>
        <m:oMath>
          <m:sSub>
            <m:sSubPr>
              <m:ctrlPr>
                <w:rPr>
                  <w:rFonts w:ascii="Cambria Math" w:hAnsi="Cambria Math" w:cs="Sylfaen"/>
                  <w:i/>
                  <w:sz w:val="24"/>
                  <w:szCs w:val="24"/>
                </w:rPr>
              </m:ctrlPr>
            </m:sSubPr>
            <m:e>
              <m:r>
                <w:rPr>
                  <w:rFonts w:ascii="Cambria Math" w:hAnsi="Cambria Math" w:cs="Sylfaen"/>
                  <w:sz w:val="24"/>
                  <w:szCs w:val="24"/>
                </w:rPr>
                <m:t>v</m:t>
              </m:r>
            </m:e>
            <m:sub>
              <m:r>
                <w:rPr>
                  <w:rFonts w:ascii="Cambria Math" w:hAnsi="Cambria Math" w:cs="Sylfaen"/>
                  <w:sz w:val="24"/>
                  <w:szCs w:val="24"/>
                </w:rPr>
                <m:t>eff</m:t>
              </m:r>
            </m:sub>
          </m:sSub>
          <m:r>
            <w:rPr>
              <w:rFonts w:ascii="Cambria Math" w:hAnsi="Cambria Math" w:cs="Sylfaen"/>
              <w:sz w:val="24"/>
              <w:szCs w:val="24"/>
            </w:rPr>
            <m:t>=</m:t>
          </m:r>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As,r</m:t>
                  </m:r>
                </m:sub>
                <m:sup>
                  <m:r>
                    <w:rPr>
                      <w:rFonts w:ascii="Cambria Math" w:hAnsi="Cambria Math" w:cs="Sylfaen"/>
                      <w:sz w:val="24"/>
                      <w:szCs w:val="24"/>
                    </w:rPr>
                    <m:t>4</m:t>
                  </m:r>
                </m:sup>
              </m:sSubSup>
            </m:num>
            <m:den>
              <m:f>
                <m:fPr>
                  <m:ctrlPr>
                    <w:rPr>
                      <w:rFonts w:ascii="Cambria Math" w:hAnsi="Cambria Math" w:cs="Sylfaen"/>
                      <w:i/>
                      <w:sz w:val="24"/>
                      <w:szCs w:val="24"/>
                    </w:rPr>
                  </m:ctrlPr>
                </m:fPr>
                <m:num>
                  <m:sSubSup>
                    <m:sSubSupPr>
                      <m:ctrlPr>
                        <w:rPr>
                          <w:rFonts w:ascii="Cambria Math" w:hAnsi="Cambria Math" w:cs="Sylfaen"/>
                          <w:i/>
                          <w:sz w:val="24"/>
                          <w:szCs w:val="24"/>
                        </w:rPr>
                      </m:ctrlPr>
                    </m:sSubSupPr>
                    <m:e>
                      <m:r>
                        <w:rPr>
                          <w:rFonts w:ascii="Cambria Math" w:hAnsi="Cambria Math" w:cs="Sylfaen"/>
                          <w:sz w:val="24"/>
                          <w:szCs w:val="24"/>
                        </w:rPr>
                        <m:t>S</m:t>
                      </m:r>
                    </m:e>
                    <m:sub>
                      <m:r>
                        <w:rPr>
                          <w:rFonts w:ascii="Cambria Math" w:hAnsi="Cambria Math" w:cs="Sylfaen"/>
                          <w:sz w:val="24"/>
                          <w:szCs w:val="24"/>
                        </w:rPr>
                        <m:t>Sp,r</m:t>
                      </m:r>
                    </m:sub>
                    <m:sup>
                      <m:r>
                        <w:rPr>
                          <w:rFonts w:ascii="Cambria Math" w:hAnsi="Cambria Math" w:cs="Sylfaen"/>
                          <w:sz w:val="24"/>
                          <w:szCs w:val="24"/>
                        </w:rPr>
                        <m:t>4</m:t>
                      </m:r>
                    </m:sup>
                  </m:sSubSup>
                </m:num>
                <m:den>
                  <m:r>
                    <w:rPr>
                      <w:rFonts w:ascii="Cambria Math" w:hAnsi="Cambria Math" w:cs="Sylfaen"/>
                      <w:sz w:val="24"/>
                      <w:szCs w:val="24"/>
                    </w:rPr>
                    <m:t>∞</m:t>
                  </m:r>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RS</m:t>
                  </m:r>
                  <m:sSup>
                    <m:sSupPr>
                      <m:ctrlPr>
                        <w:rPr>
                          <w:rFonts w:ascii="Cambria Math" w:hAnsi="Cambria Math" w:cs="Sylfaen"/>
                          <w:i/>
                          <w:sz w:val="24"/>
                          <w:szCs w:val="24"/>
                        </w:rPr>
                      </m:ctrlPr>
                    </m:sSupPr>
                    <m:e>
                      <m:r>
                        <w:rPr>
                          <w:rFonts w:ascii="Cambria Math" w:hAnsi="Cambria Math" w:cs="Sylfaen"/>
                          <w:sz w:val="24"/>
                          <w:szCs w:val="24"/>
                        </w:rPr>
                        <m:t>D</m:t>
                      </m:r>
                    </m:e>
                    <m:sup>
                      <m:r>
                        <w:rPr>
                          <w:rFonts w:ascii="Cambria Math" w:hAnsi="Cambria Math" w:cs="Sylfaen"/>
                          <w:sz w:val="24"/>
                          <w:szCs w:val="24"/>
                        </w:rPr>
                        <m:t>4</m:t>
                      </m:r>
                    </m:sup>
                  </m:sSup>
                </m:num>
                <m:den>
                  <m:sSup>
                    <m:sSupPr>
                      <m:ctrlPr>
                        <w:rPr>
                          <w:rFonts w:ascii="Cambria Math" w:hAnsi="Cambria Math" w:cs="Sylfaen"/>
                          <w:i/>
                          <w:sz w:val="24"/>
                          <w:szCs w:val="24"/>
                        </w:rPr>
                      </m:ctrlPr>
                    </m:sSupPr>
                    <m:e>
                      <m:r>
                        <w:rPr>
                          <w:rFonts w:ascii="Cambria Math" w:hAnsi="Cambria Math" w:cs="Sylfaen"/>
                          <w:sz w:val="24"/>
                          <w:szCs w:val="24"/>
                        </w:rPr>
                        <m:t>5</m:t>
                      </m:r>
                    </m:e>
                    <m:sup>
                      <m:r>
                        <w:rPr>
                          <w:rFonts w:ascii="Cambria Math" w:hAnsi="Cambria Math" w:cs="Sylfaen"/>
                          <w:sz w:val="24"/>
                          <w:szCs w:val="24"/>
                        </w:rPr>
                        <m:t>2</m:t>
                      </m:r>
                    </m:sup>
                  </m:sSup>
                  <m:r>
                    <w:rPr>
                      <w:rFonts w:ascii="Cambria Math" w:hAnsi="Cambria Math" w:cs="Sylfaen"/>
                      <w:sz w:val="24"/>
                      <w:szCs w:val="24"/>
                    </w:rPr>
                    <m:t>*4</m:t>
                  </m:r>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(RSD</m:t>
                  </m:r>
                  <m:sSup>
                    <m:sSupPr>
                      <m:ctrlPr>
                        <w:rPr>
                          <w:rFonts w:ascii="Cambria Math" w:hAnsi="Cambria Math" w:cs="Sylfaen"/>
                          <w:i/>
                          <w:sz w:val="24"/>
                          <w:szCs w:val="24"/>
                        </w:rPr>
                      </m:ctrlPr>
                    </m:sSupPr>
                    <m:e>
                      <m:r>
                        <w:rPr>
                          <w:rFonts w:ascii="Cambria Math" w:hAnsi="Cambria Math" w:cs="Sylfaen"/>
                          <w:sz w:val="24"/>
                          <w:szCs w:val="24"/>
                        </w:rPr>
                        <m:t>)</m:t>
                      </m:r>
                    </m:e>
                    <m:sup>
                      <m:r>
                        <w:rPr>
                          <w:rFonts w:ascii="Cambria Math" w:hAnsi="Cambria Math" w:cs="Sylfaen"/>
                          <w:sz w:val="24"/>
                          <w:szCs w:val="24"/>
                        </w:rPr>
                        <m:t>4</m:t>
                      </m:r>
                    </m:sup>
                  </m:sSup>
                </m:num>
                <m:den>
                  <m:sSup>
                    <m:sSupPr>
                      <m:ctrlPr>
                        <w:rPr>
                          <w:rFonts w:ascii="Cambria Math" w:hAnsi="Cambria Math" w:cs="Sylfaen"/>
                          <w:i/>
                          <w:sz w:val="24"/>
                          <w:szCs w:val="24"/>
                        </w:rPr>
                      </m:ctrlPr>
                    </m:sSupPr>
                    <m:e>
                      <m:r>
                        <w:rPr>
                          <w:rFonts w:ascii="Cambria Math" w:hAnsi="Cambria Math" w:cs="Sylfaen"/>
                          <w:sz w:val="24"/>
                          <w:szCs w:val="24"/>
                        </w:rPr>
                        <m:t>5</m:t>
                      </m:r>
                    </m:e>
                    <m:sup>
                      <m:r>
                        <w:rPr>
                          <w:rFonts w:ascii="Cambria Math" w:hAnsi="Cambria Math" w:cs="Sylfaen"/>
                          <w:sz w:val="24"/>
                          <w:szCs w:val="24"/>
                        </w:rPr>
                        <m:t>2</m:t>
                      </m:r>
                    </m:sup>
                  </m:sSup>
                  <m:r>
                    <w:rPr>
                      <w:rFonts w:ascii="Cambria Math" w:hAnsi="Cambria Math" w:cs="Sylfaen"/>
                      <w:sz w:val="24"/>
                      <w:szCs w:val="24"/>
                    </w:rPr>
                    <m:t>*4</m:t>
                  </m:r>
                </m:den>
              </m:f>
            </m:den>
          </m:f>
          <m:r>
            <w:rPr>
              <w:rFonts w:ascii="Cambria Math" w:hAnsi="Cambria Math" w:cs="Sylfaen"/>
              <w:sz w:val="24"/>
              <w:szCs w:val="24"/>
            </w:rPr>
            <m:t>=</m:t>
          </m:r>
          <m:f>
            <m:fPr>
              <m:ctrlPr>
                <w:rPr>
                  <w:rFonts w:ascii="Cambria Math" w:hAnsi="Cambria Math" w:cs="Sylfaen"/>
                  <w:i/>
                  <w:sz w:val="24"/>
                  <w:szCs w:val="24"/>
                </w:rPr>
              </m:ctrlPr>
            </m:fPr>
            <m:num>
              <m:r>
                <w:rPr>
                  <w:rFonts w:ascii="Cambria Math" w:hAnsi="Cambria Math" w:cs="Sylfaen"/>
                  <w:sz w:val="24"/>
                  <w:szCs w:val="24"/>
                </w:rPr>
                <m:t>0,6</m:t>
              </m:r>
              <m:sSup>
                <m:sSupPr>
                  <m:ctrlPr>
                    <w:rPr>
                      <w:rFonts w:ascii="Cambria Math" w:hAnsi="Cambria Math" w:cs="Sylfaen"/>
                      <w:i/>
                      <w:sz w:val="24"/>
                      <w:szCs w:val="24"/>
                    </w:rPr>
                  </m:ctrlPr>
                </m:sSupPr>
                <m:e>
                  <m:r>
                    <w:rPr>
                      <w:rFonts w:ascii="Cambria Math" w:hAnsi="Cambria Math" w:cs="Sylfaen"/>
                      <w:sz w:val="24"/>
                      <w:szCs w:val="24"/>
                    </w:rPr>
                    <m:t>1</m:t>
                  </m:r>
                </m:e>
                <m:sup>
                  <m:r>
                    <w:rPr>
                      <w:rFonts w:ascii="Cambria Math" w:hAnsi="Cambria Math" w:cs="Sylfaen"/>
                      <w:sz w:val="24"/>
                      <w:szCs w:val="24"/>
                    </w:rPr>
                    <m:t>4</m:t>
                  </m:r>
                </m:sup>
              </m:sSup>
            </m:num>
            <m:den>
              <m:r>
                <w:rPr>
                  <w:rFonts w:ascii="Cambria Math" w:hAnsi="Cambria Math" w:cs="Sylfaen"/>
                  <w:sz w:val="24"/>
                  <w:szCs w:val="24"/>
                </w:rPr>
                <m:t>0+</m:t>
              </m:r>
              <m:f>
                <m:fPr>
                  <m:ctrlPr>
                    <w:rPr>
                      <w:rFonts w:ascii="Cambria Math" w:hAnsi="Cambria Math" w:cs="Sylfaen"/>
                      <w:i/>
                      <w:sz w:val="24"/>
                      <w:szCs w:val="24"/>
                    </w:rPr>
                  </m:ctrlPr>
                </m:fPr>
                <m:num>
                  <m:r>
                    <w:rPr>
                      <w:rFonts w:ascii="Cambria Math" w:hAnsi="Cambria Math" w:cs="Sylfaen"/>
                      <w:sz w:val="24"/>
                      <w:szCs w:val="24"/>
                    </w:rPr>
                    <m:t>1</m:t>
                  </m:r>
                </m:num>
                <m:den>
                  <m:r>
                    <w:rPr>
                      <w:rFonts w:ascii="Cambria Math" w:hAnsi="Cambria Math" w:cs="Sylfaen"/>
                      <w:sz w:val="24"/>
                      <w:szCs w:val="24"/>
                    </w:rPr>
                    <m:t>100</m:t>
                  </m:r>
                </m:den>
              </m:f>
              <m:r>
                <w:rPr>
                  <w:rFonts w:ascii="Cambria Math" w:hAnsi="Cambria Math" w:cs="Sylfaen"/>
                  <w:sz w:val="24"/>
                  <w:szCs w:val="24"/>
                </w:rPr>
                <m:t>*(0,9</m:t>
              </m:r>
              <m:sSup>
                <m:sSupPr>
                  <m:ctrlPr>
                    <w:rPr>
                      <w:rFonts w:ascii="Cambria Math" w:hAnsi="Cambria Math" w:cs="Sylfaen"/>
                      <w:i/>
                      <w:sz w:val="24"/>
                      <w:szCs w:val="24"/>
                    </w:rPr>
                  </m:ctrlPr>
                </m:sSupPr>
                <m:e>
                  <m:r>
                    <w:rPr>
                      <w:rFonts w:ascii="Cambria Math" w:hAnsi="Cambria Math" w:cs="Sylfaen"/>
                      <w:sz w:val="24"/>
                      <w:szCs w:val="24"/>
                    </w:rPr>
                    <m:t>7</m:t>
                  </m:r>
                </m:e>
                <m:sup>
                  <m:r>
                    <w:rPr>
                      <w:rFonts w:ascii="Cambria Math" w:hAnsi="Cambria Math" w:cs="Sylfaen"/>
                      <w:sz w:val="24"/>
                      <w:szCs w:val="24"/>
                    </w:rPr>
                    <m:t>4</m:t>
                  </m:r>
                </m:sup>
              </m:sSup>
              <m:r>
                <w:rPr>
                  <w:rFonts w:ascii="Cambria Math" w:hAnsi="Cambria Math" w:cs="Sylfaen"/>
                  <w:sz w:val="24"/>
                  <w:szCs w:val="24"/>
                </w:rPr>
                <m:t>+0,8</m:t>
              </m:r>
              <m:sSup>
                <m:sSupPr>
                  <m:ctrlPr>
                    <w:rPr>
                      <w:rFonts w:ascii="Cambria Math" w:hAnsi="Cambria Math" w:cs="Sylfaen"/>
                      <w:i/>
                      <w:sz w:val="24"/>
                      <w:szCs w:val="24"/>
                    </w:rPr>
                  </m:ctrlPr>
                </m:sSupPr>
                <m:e>
                  <m:r>
                    <w:rPr>
                      <w:rFonts w:ascii="Cambria Math" w:hAnsi="Cambria Math" w:cs="Sylfaen"/>
                      <w:sz w:val="24"/>
                      <w:szCs w:val="24"/>
                    </w:rPr>
                    <m:t>1</m:t>
                  </m:r>
                </m:e>
                <m:sup>
                  <m:r>
                    <w:rPr>
                      <w:rFonts w:ascii="Cambria Math" w:hAnsi="Cambria Math" w:cs="Sylfaen"/>
                      <w:sz w:val="24"/>
                      <w:szCs w:val="24"/>
                    </w:rPr>
                    <m:t>4</m:t>
                  </m:r>
                </m:sup>
              </m:sSup>
              <m:r>
                <w:rPr>
                  <w:rFonts w:ascii="Cambria Math" w:hAnsi="Cambria Math" w:cs="Sylfaen"/>
                  <w:sz w:val="24"/>
                  <w:szCs w:val="24"/>
                </w:rPr>
                <m:t>)</m:t>
              </m:r>
            </m:den>
          </m:f>
          <m:r>
            <w:rPr>
              <w:rFonts w:ascii="Cambria Math" w:hAnsi="Cambria Math" w:cs="Sylfaen"/>
              <w:sz w:val="24"/>
              <w:szCs w:val="24"/>
            </w:rPr>
            <m:t>=10,5</m:t>
          </m:r>
        </m:oMath>
      </m:oMathPara>
    </w:p>
    <w:p w14:paraId="7C3CFD2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Գտնում են Ստյուդենտի գործակիցը 10,5 ազատության աստիճանների թվի </w:t>
      </w:r>
      <w:r>
        <w:rPr>
          <w:rFonts w:ascii="Sylfaen" w:hAnsi="Sylfaen"/>
          <w:sz w:val="24"/>
          <w:szCs w:val="24"/>
        </w:rPr>
        <w:t>եւ</w:t>
      </w:r>
      <w:r w:rsidRPr="00B834A2">
        <w:rPr>
          <w:rFonts w:ascii="Sylfaen" w:hAnsi="Sylfaen"/>
          <w:sz w:val="24"/>
          <w:szCs w:val="24"/>
        </w:rPr>
        <w:t xml:space="preserve"> 0,95 միակողմ հավանականության համար՝ արտարկման մեթոդով. դա 1,81 է: Այդ ժամանակ ամբողջ անալիտիկ մեթոդիկայի վստահելի միջակայքը կլինի՝</w:t>
      </w:r>
    </w:p>
    <w:p w14:paraId="4AC9EB36" w14:textId="77777777" w:rsidR="00B834A2" w:rsidRPr="00B834A2" w:rsidRDefault="00000000" w:rsidP="00B07646">
      <w:pPr>
        <w:pStyle w:val="a0"/>
        <w:shd w:val="clear" w:color="auto" w:fill="auto"/>
        <w:spacing w:after="160" w:line="360" w:lineRule="auto"/>
        <w:ind w:firstLine="567"/>
        <w:jc w:val="center"/>
        <w:rPr>
          <w:rFonts w:ascii="Cambria Math" w:hAnsi="Cambria Math" w:cs="Sylfaen"/>
          <w:sz w:val="24"/>
          <w:szCs w:val="24"/>
          <w:oMath/>
        </w:rPr>
      </w:pPr>
      <m:oMath>
        <m:sSub>
          <m:sSubPr>
            <m:ctrlPr>
              <w:rPr>
                <w:rFonts w:ascii="Cambria Math" w:hAnsi="Cambria Math" w:cs="Sylfaen"/>
                <w:i/>
                <w:sz w:val="24"/>
                <w:szCs w:val="24"/>
              </w:rPr>
            </m:ctrlPr>
          </m:sSubPr>
          <m:e>
            <m:r>
              <w:rPr>
                <w:rFonts w:ascii="Cambria Math" w:hAnsi="Cambria Math" w:cs="Sylfaen"/>
                <w:sz w:val="24"/>
                <w:szCs w:val="24"/>
              </w:rPr>
              <m:t>∆</m:t>
            </m:r>
          </m:e>
          <m:sub>
            <m:r>
              <w:rPr>
                <w:rFonts w:ascii="Cambria Math" w:hAnsi="Cambria Math" w:cs="Sylfaen"/>
                <w:sz w:val="24"/>
                <w:szCs w:val="24"/>
              </w:rPr>
              <m:t>As,r</m:t>
            </m:r>
          </m:sub>
        </m:sSub>
        <m:r>
          <w:rPr>
            <w:rFonts w:ascii="Cambria Math" w:hAnsi="Cambria Math" w:cs="Sylfaen"/>
            <w:sz w:val="24"/>
            <w:szCs w:val="24"/>
          </w:rPr>
          <m:t>=1,77*0,61=1,10%</m:t>
        </m:r>
      </m:oMath>
      <w:r w:rsidR="00B834A2" w:rsidRPr="00B834A2">
        <w:rPr>
          <w:rFonts w:ascii="Sylfaen" w:hAnsi="Sylfaen" w:cs="Sylfaen"/>
          <w:sz w:val="24"/>
          <w:szCs w:val="24"/>
        </w:rPr>
        <w:t>։</w:t>
      </w:r>
    </w:p>
    <w:p w14:paraId="3F514943" w14:textId="77777777" w:rsidR="00B834A2" w:rsidRPr="00B834A2" w:rsidRDefault="00B834A2" w:rsidP="00B834A2">
      <w:pPr>
        <w:spacing w:after="160" w:line="360" w:lineRule="auto"/>
        <w:ind w:firstLine="567"/>
        <w:jc w:val="both"/>
      </w:pPr>
      <w:r w:rsidRPr="00B834A2">
        <w:t xml:space="preserve">Այսպիսով, ըստ Ուելչ-Սատերտուեյթի հաշվարկված վստահելի միջակայքը ստացվում է պակաս (1,10 %), քան սովորական դեպքի համար </w:t>
      </w:r>
      <w:r>
        <w:t>եւ</w:t>
      </w:r>
      <w:r w:rsidRPr="00B834A2">
        <w:t xml:space="preserve"> գծային մոդելի համար (համապատասխանաբար 1,29 % </w:t>
      </w:r>
      <w:r>
        <w:t>եւ</w:t>
      </w:r>
      <w:r w:rsidRPr="00B834A2">
        <w:t xml:space="preserve"> 1,15 %):</w:t>
      </w:r>
    </w:p>
    <w:p w14:paraId="2C747698" w14:textId="77777777" w:rsidR="007F19B6" w:rsidRDefault="007F19B6">
      <w:pPr>
        <w:rPr>
          <w:b/>
        </w:rPr>
      </w:pPr>
      <w:r>
        <w:rPr>
          <w:b/>
        </w:rPr>
        <w:br w:type="page"/>
      </w:r>
    </w:p>
    <w:p w14:paraId="0AF6643D" w14:textId="77777777" w:rsidR="00B834A2" w:rsidRPr="00A859E3" w:rsidRDefault="00B834A2" w:rsidP="00B834A2">
      <w:pPr>
        <w:spacing w:after="160" w:line="360" w:lineRule="auto"/>
        <w:jc w:val="center"/>
        <w:rPr>
          <w:b/>
        </w:rPr>
      </w:pPr>
      <w:r w:rsidRPr="00B834A2">
        <w:rPr>
          <w:b/>
        </w:rPr>
        <w:lastRenderedPageBreak/>
        <w:t>ՀԱՎԵԼՎԱԾ</w:t>
      </w:r>
    </w:p>
    <w:p w14:paraId="2970226C" w14:textId="77777777" w:rsidR="007F19B6" w:rsidRPr="00A859E3" w:rsidRDefault="007F19B6" w:rsidP="00F3715C">
      <w:pPr>
        <w:spacing w:after="160" w:line="360" w:lineRule="auto"/>
        <w:jc w:val="center"/>
        <w:rPr>
          <w:b/>
        </w:rPr>
      </w:pPr>
      <w:r w:rsidRPr="007F19B6">
        <w:t xml:space="preserve">Աղյուսակ 1. - Ստուգիչ չափորոշչի կրիտիկական արժեքները </w:t>
      </w:r>
      <w:r w:rsidRPr="007F19B6">
        <w:rPr>
          <w:i/>
        </w:rPr>
        <w:t>(Р</w:t>
      </w:r>
      <w:r w:rsidRPr="007F19B6">
        <w:rPr>
          <w:i/>
          <w:vertAlign w:val="subscript"/>
        </w:rPr>
        <w:t>1</w:t>
      </w:r>
      <w:r w:rsidRPr="007F19B6">
        <w:rPr>
          <w:i/>
        </w:rPr>
        <w:t xml:space="preserve"> n)</w:t>
      </w:r>
    </w:p>
    <w:tbl>
      <w:tblPr>
        <w:tblW w:w="0" w:type="auto"/>
        <w:jc w:val="center"/>
        <w:tblLayout w:type="fixed"/>
        <w:tblCellMar>
          <w:left w:w="0" w:type="dxa"/>
          <w:right w:w="0" w:type="dxa"/>
        </w:tblCellMar>
        <w:tblLook w:val="0000" w:firstRow="0" w:lastRow="0" w:firstColumn="0" w:lastColumn="0" w:noHBand="0" w:noVBand="0"/>
      </w:tblPr>
      <w:tblGrid>
        <w:gridCol w:w="851"/>
        <w:gridCol w:w="709"/>
        <w:gridCol w:w="1275"/>
        <w:gridCol w:w="1134"/>
        <w:gridCol w:w="1276"/>
      </w:tblGrid>
      <w:tr w:rsidR="00B834A2" w:rsidRPr="00B07646" w14:paraId="4D23E4D8" w14:textId="77777777" w:rsidTr="001B3D08">
        <w:trPr>
          <w:trHeight w:val="384"/>
          <w:jc w:val="center"/>
        </w:trPr>
        <w:tc>
          <w:tcPr>
            <w:tcW w:w="1560" w:type="dxa"/>
            <w:gridSpan w:val="2"/>
            <w:vMerge w:val="restart"/>
            <w:tcBorders>
              <w:top w:val="single" w:sz="4" w:space="0" w:color="auto"/>
              <w:left w:val="nil"/>
              <w:bottom w:val="nil"/>
              <w:right w:val="nil"/>
            </w:tcBorders>
            <w:shd w:val="clear" w:color="auto" w:fill="FFFFFF"/>
            <w:vAlign w:val="center"/>
          </w:tcPr>
          <w:p w14:paraId="4DE54DCB" w14:textId="77777777" w:rsidR="00B834A2" w:rsidRPr="00B07646" w:rsidRDefault="00B834A2" w:rsidP="00B07646">
            <w:pPr>
              <w:spacing w:after="120"/>
              <w:jc w:val="center"/>
              <w:rPr>
                <w:rFonts w:eastAsia="Times New Roman" w:cs="Times New Roman"/>
                <w:color w:val="auto"/>
                <w:sz w:val="20"/>
                <w:szCs w:val="20"/>
              </w:rPr>
            </w:pPr>
            <w:r w:rsidRPr="00B07646">
              <w:rPr>
                <w:i/>
                <w:sz w:val="20"/>
                <w:szCs w:val="20"/>
              </w:rPr>
              <w:t>n</w:t>
            </w:r>
          </w:p>
        </w:tc>
        <w:tc>
          <w:tcPr>
            <w:tcW w:w="3685" w:type="dxa"/>
            <w:gridSpan w:val="3"/>
            <w:tcBorders>
              <w:top w:val="single" w:sz="4" w:space="0" w:color="auto"/>
              <w:left w:val="nil"/>
              <w:bottom w:val="nil"/>
              <w:right w:val="nil"/>
            </w:tcBorders>
            <w:shd w:val="clear" w:color="auto" w:fill="FFFFFF"/>
            <w:vAlign w:val="bottom"/>
          </w:tcPr>
          <w:p w14:paraId="70E6464D" w14:textId="77777777" w:rsidR="00B834A2" w:rsidRPr="00F3715C" w:rsidRDefault="00B834A2" w:rsidP="00B07646">
            <w:pPr>
              <w:spacing w:after="120"/>
              <w:jc w:val="center"/>
              <w:rPr>
                <w:rFonts w:eastAsia="Times New Roman" w:cs="Times New Roman"/>
                <w:i/>
                <w:color w:val="auto"/>
                <w:sz w:val="20"/>
                <w:szCs w:val="20"/>
                <w:lang w:val="en-US"/>
              </w:rPr>
            </w:pPr>
            <w:r w:rsidRPr="00B07646">
              <w:rPr>
                <w:i/>
                <w:sz w:val="20"/>
                <w:szCs w:val="20"/>
              </w:rPr>
              <w:t>Q</w:t>
            </w:r>
          </w:p>
        </w:tc>
      </w:tr>
      <w:tr w:rsidR="00B834A2" w:rsidRPr="00B07646" w14:paraId="5D112C2C" w14:textId="77777777" w:rsidTr="001B3D08">
        <w:trPr>
          <w:trHeight w:val="312"/>
          <w:jc w:val="center"/>
        </w:trPr>
        <w:tc>
          <w:tcPr>
            <w:tcW w:w="1560" w:type="dxa"/>
            <w:gridSpan w:val="2"/>
            <w:vMerge/>
            <w:tcBorders>
              <w:top w:val="nil"/>
              <w:left w:val="nil"/>
              <w:bottom w:val="nil"/>
              <w:right w:val="nil"/>
            </w:tcBorders>
            <w:shd w:val="clear" w:color="auto" w:fill="FFFFFF"/>
            <w:vAlign w:val="center"/>
          </w:tcPr>
          <w:p w14:paraId="750F0975" w14:textId="77777777" w:rsidR="00B834A2" w:rsidRPr="00B07646" w:rsidRDefault="00B834A2" w:rsidP="00B07646">
            <w:pPr>
              <w:spacing w:after="120"/>
              <w:jc w:val="center"/>
              <w:rPr>
                <w:rFonts w:eastAsia="Times New Roman" w:cs="Times New Roman"/>
                <w:color w:val="auto"/>
                <w:sz w:val="20"/>
                <w:szCs w:val="20"/>
              </w:rPr>
            </w:pPr>
          </w:p>
        </w:tc>
        <w:tc>
          <w:tcPr>
            <w:tcW w:w="1275" w:type="dxa"/>
            <w:tcBorders>
              <w:top w:val="single" w:sz="4" w:space="0" w:color="auto"/>
              <w:left w:val="nil"/>
              <w:bottom w:val="nil"/>
              <w:right w:val="nil"/>
            </w:tcBorders>
            <w:shd w:val="clear" w:color="auto" w:fill="FFFFFF"/>
            <w:vAlign w:val="bottom"/>
          </w:tcPr>
          <w:p w14:paraId="5CEAC949" w14:textId="77777777" w:rsidR="00B834A2" w:rsidRPr="00B07646" w:rsidRDefault="00B834A2" w:rsidP="00B07646">
            <w:pPr>
              <w:spacing w:after="120"/>
              <w:jc w:val="center"/>
              <w:rPr>
                <w:rFonts w:eastAsia="Times New Roman" w:cs="Times New Roman"/>
                <w:color w:val="auto"/>
                <w:sz w:val="20"/>
                <w:szCs w:val="20"/>
              </w:rPr>
            </w:pPr>
            <w:r w:rsidRPr="00B07646">
              <w:rPr>
                <w:i/>
                <w:sz w:val="20"/>
                <w:szCs w:val="20"/>
              </w:rPr>
              <w:t>Р</w:t>
            </w:r>
            <w:r w:rsidRPr="00B07646">
              <w:rPr>
                <w:sz w:val="20"/>
                <w:szCs w:val="20"/>
              </w:rPr>
              <w:t xml:space="preserve"> = 90 %</w:t>
            </w:r>
          </w:p>
        </w:tc>
        <w:tc>
          <w:tcPr>
            <w:tcW w:w="1134" w:type="dxa"/>
            <w:tcBorders>
              <w:top w:val="single" w:sz="4" w:space="0" w:color="auto"/>
              <w:left w:val="nil"/>
              <w:bottom w:val="nil"/>
              <w:right w:val="nil"/>
            </w:tcBorders>
            <w:shd w:val="clear" w:color="auto" w:fill="FFFFFF"/>
            <w:vAlign w:val="bottom"/>
          </w:tcPr>
          <w:p w14:paraId="3638D20F" w14:textId="77777777" w:rsidR="00B834A2" w:rsidRPr="00B07646" w:rsidRDefault="00B834A2" w:rsidP="00B07646">
            <w:pPr>
              <w:spacing w:after="120"/>
              <w:jc w:val="center"/>
              <w:rPr>
                <w:rFonts w:eastAsia="Times New Roman" w:cs="Times New Roman"/>
                <w:color w:val="auto"/>
                <w:sz w:val="20"/>
                <w:szCs w:val="20"/>
              </w:rPr>
            </w:pPr>
            <w:r w:rsidRPr="00B07646">
              <w:rPr>
                <w:i/>
                <w:sz w:val="20"/>
                <w:szCs w:val="20"/>
              </w:rPr>
              <w:t>Р = 95 %</w:t>
            </w:r>
          </w:p>
        </w:tc>
        <w:tc>
          <w:tcPr>
            <w:tcW w:w="1276" w:type="dxa"/>
            <w:tcBorders>
              <w:top w:val="single" w:sz="4" w:space="0" w:color="auto"/>
              <w:left w:val="nil"/>
              <w:bottom w:val="nil"/>
              <w:right w:val="nil"/>
            </w:tcBorders>
            <w:shd w:val="clear" w:color="auto" w:fill="FFFFFF"/>
            <w:vAlign w:val="bottom"/>
          </w:tcPr>
          <w:p w14:paraId="3CDF4970" w14:textId="77777777" w:rsidR="00B834A2" w:rsidRPr="00B07646" w:rsidRDefault="00B834A2" w:rsidP="00B07646">
            <w:pPr>
              <w:spacing w:after="120"/>
              <w:jc w:val="center"/>
              <w:rPr>
                <w:rFonts w:eastAsia="Times New Roman" w:cs="Times New Roman"/>
                <w:color w:val="auto"/>
                <w:sz w:val="20"/>
                <w:szCs w:val="20"/>
              </w:rPr>
            </w:pPr>
            <w:r w:rsidRPr="00B07646">
              <w:rPr>
                <w:i/>
                <w:sz w:val="20"/>
                <w:szCs w:val="20"/>
              </w:rPr>
              <w:t>Р = 99 %</w:t>
            </w:r>
          </w:p>
        </w:tc>
      </w:tr>
      <w:tr w:rsidR="00B834A2" w:rsidRPr="00B07646" w14:paraId="22136E49" w14:textId="77777777" w:rsidTr="001B3D08">
        <w:trPr>
          <w:trHeight w:val="302"/>
          <w:jc w:val="center"/>
        </w:trPr>
        <w:tc>
          <w:tcPr>
            <w:tcW w:w="851" w:type="dxa"/>
            <w:tcBorders>
              <w:top w:val="single" w:sz="4" w:space="0" w:color="auto"/>
              <w:left w:val="nil"/>
              <w:bottom w:val="nil"/>
              <w:right w:val="nil"/>
            </w:tcBorders>
            <w:shd w:val="clear" w:color="auto" w:fill="FFFFFF"/>
          </w:tcPr>
          <w:p w14:paraId="76D86FB2"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single" w:sz="4" w:space="0" w:color="auto"/>
              <w:left w:val="nil"/>
              <w:bottom w:val="nil"/>
              <w:right w:val="nil"/>
            </w:tcBorders>
            <w:shd w:val="clear" w:color="auto" w:fill="FFFFFF"/>
            <w:vAlign w:val="bottom"/>
          </w:tcPr>
          <w:p w14:paraId="6841E617"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3</w:t>
            </w:r>
          </w:p>
        </w:tc>
        <w:tc>
          <w:tcPr>
            <w:tcW w:w="1275" w:type="dxa"/>
            <w:tcBorders>
              <w:top w:val="single" w:sz="4" w:space="0" w:color="auto"/>
              <w:left w:val="nil"/>
              <w:bottom w:val="nil"/>
              <w:right w:val="nil"/>
            </w:tcBorders>
            <w:shd w:val="clear" w:color="auto" w:fill="FFFFFF"/>
            <w:vAlign w:val="bottom"/>
          </w:tcPr>
          <w:p w14:paraId="4324E5E2"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0,89</w:t>
            </w:r>
          </w:p>
        </w:tc>
        <w:tc>
          <w:tcPr>
            <w:tcW w:w="1134" w:type="dxa"/>
            <w:tcBorders>
              <w:top w:val="single" w:sz="4" w:space="0" w:color="auto"/>
              <w:left w:val="nil"/>
              <w:bottom w:val="nil"/>
              <w:right w:val="nil"/>
            </w:tcBorders>
            <w:shd w:val="clear" w:color="auto" w:fill="FFFFFF"/>
            <w:vAlign w:val="bottom"/>
          </w:tcPr>
          <w:p w14:paraId="7993EDA8"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0,94</w:t>
            </w:r>
          </w:p>
        </w:tc>
        <w:tc>
          <w:tcPr>
            <w:tcW w:w="1276" w:type="dxa"/>
            <w:tcBorders>
              <w:top w:val="single" w:sz="4" w:space="0" w:color="auto"/>
              <w:left w:val="nil"/>
              <w:bottom w:val="nil"/>
              <w:right w:val="nil"/>
            </w:tcBorders>
            <w:shd w:val="clear" w:color="auto" w:fill="FFFFFF"/>
            <w:vAlign w:val="bottom"/>
          </w:tcPr>
          <w:p w14:paraId="3B114F13"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0,99</w:t>
            </w:r>
          </w:p>
        </w:tc>
      </w:tr>
      <w:tr w:rsidR="00B834A2" w:rsidRPr="00B07646" w14:paraId="5555E968" w14:textId="77777777" w:rsidTr="001B3D08">
        <w:trPr>
          <w:trHeight w:val="264"/>
          <w:jc w:val="center"/>
        </w:trPr>
        <w:tc>
          <w:tcPr>
            <w:tcW w:w="851" w:type="dxa"/>
            <w:tcBorders>
              <w:top w:val="nil"/>
              <w:left w:val="nil"/>
              <w:bottom w:val="nil"/>
              <w:right w:val="nil"/>
            </w:tcBorders>
            <w:shd w:val="clear" w:color="auto" w:fill="FFFFFF"/>
          </w:tcPr>
          <w:p w14:paraId="5E7AACF3"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2349DC97"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4</w:t>
            </w:r>
          </w:p>
        </w:tc>
        <w:tc>
          <w:tcPr>
            <w:tcW w:w="1275" w:type="dxa"/>
            <w:tcBorders>
              <w:top w:val="nil"/>
              <w:left w:val="nil"/>
              <w:bottom w:val="nil"/>
              <w:right w:val="nil"/>
            </w:tcBorders>
            <w:shd w:val="clear" w:color="auto" w:fill="FFFFFF"/>
            <w:vAlign w:val="bottom"/>
          </w:tcPr>
          <w:p w14:paraId="63A05F6D"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0,68</w:t>
            </w:r>
          </w:p>
        </w:tc>
        <w:tc>
          <w:tcPr>
            <w:tcW w:w="1134" w:type="dxa"/>
            <w:tcBorders>
              <w:top w:val="nil"/>
              <w:left w:val="nil"/>
              <w:bottom w:val="nil"/>
              <w:right w:val="nil"/>
            </w:tcBorders>
            <w:shd w:val="clear" w:color="auto" w:fill="FFFFFF"/>
            <w:vAlign w:val="bottom"/>
          </w:tcPr>
          <w:p w14:paraId="1A79B8E2"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0,77</w:t>
            </w:r>
          </w:p>
        </w:tc>
        <w:tc>
          <w:tcPr>
            <w:tcW w:w="1276" w:type="dxa"/>
            <w:tcBorders>
              <w:top w:val="nil"/>
              <w:left w:val="nil"/>
              <w:bottom w:val="nil"/>
              <w:right w:val="nil"/>
            </w:tcBorders>
            <w:shd w:val="clear" w:color="auto" w:fill="FFFFFF"/>
            <w:vAlign w:val="bottom"/>
          </w:tcPr>
          <w:p w14:paraId="4AB6793D"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0,89</w:t>
            </w:r>
          </w:p>
        </w:tc>
      </w:tr>
      <w:tr w:rsidR="00B834A2" w:rsidRPr="00B07646" w14:paraId="0B47AFA1" w14:textId="77777777" w:rsidTr="001B3D08">
        <w:trPr>
          <w:trHeight w:val="288"/>
          <w:jc w:val="center"/>
        </w:trPr>
        <w:tc>
          <w:tcPr>
            <w:tcW w:w="851" w:type="dxa"/>
            <w:tcBorders>
              <w:top w:val="nil"/>
              <w:left w:val="nil"/>
              <w:bottom w:val="nil"/>
              <w:right w:val="nil"/>
            </w:tcBorders>
            <w:shd w:val="clear" w:color="auto" w:fill="FFFFFF"/>
          </w:tcPr>
          <w:p w14:paraId="5BE82939"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748265DE"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5</w:t>
            </w:r>
          </w:p>
        </w:tc>
        <w:tc>
          <w:tcPr>
            <w:tcW w:w="1275" w:type="dxa"/>
            <w:tcBorders>
              <w:top w:val="nil"/>
              <w:left w:val="nil"/>
              <w:bottom w:val="nil"/>
              <w:right w:val="nil"/>
            </w:tcBorders>
            <w:shd w:val="clear" w:color="auto" w:fill="FFFFFF"/>
            <w:vAlign w:val="bottom"/>
          </w:tcPr>
          <w:p w14:paraId="498AE0A5"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0,56</w:t>
            </w:r>
          </w:p>
        </w:tc>
        <w:tc>
          <w:tcPr>
            <w:tcW w:w="1134" w:type="dxa"/>
            <w:tcBorders>
              <w:top w:val="nil"/>
              <w:left w:val="nil"/>
              <w:bottom w:val="nil"/>
              <w:right w:val="nil"/>
            </w:tcBorders>
            <w:shd w:val="clear" w:color="auto" w:fill="FFFFFF"/>
            <w:vAlign w:val="bottom"/>
          </w:tcPr>
          <w:p w14:paraId="6FD90277"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0,64</w:t>
            </w:r>
          </w:p>
        </w:tc>
        <w:tc>
          <w:tcPr>
            <w:tcW w:w="1276" w:type="dxa"/>
            <w:tcBorders>
              <w:top w:val="nil"/>
              <w:left w:val="nil"/>
              <w:bottom w:val="nil"/>
              <w:right w:val="nil"/>
            </w:tcBorders>
            <w:shd w:val="clear" w:color="auto" w:fill="FFFFFF"/>
            <w:vAlign w:val="bottom"/>
          </w:tcPr>
          <w:p w14:paraId="734077FA"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0,76</w:t>
            </w:r>
          </w:p>
        </w:tc>
      </w:tr>
      <w:tr w:rsidR="00B834A2" w:rsidRPr="00B07646" w14:paraId="316488CC" w14:textId="77777777" w:rsidTr="001B3D08">
        <w:trPr>
          <w:trHeight w:val="264"/>
          <w:jc w:val="center"/>
        </w:trPr>
        <w:tc>
          <w:tcPr>
            <w:tcW w:w="851" w:type="dxa"/>
            <w:tcBorders>
              <w:top w:val="nil"/>
              <w:left w:val="nil"/>
              <w:bottom w:val="nil"/>
              <w:right w:val="nil"/>
            </w:tcBorders>
            <w:shd w:val="clear" w:color="auto" w:fill="FFFFFF"/>
          </w:tcPr>
          <w:p w14:paraId="58296610"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473D64F4"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6</w:t>
            </w:r>
          </w:p>
        </w:tc>
        <w:tc>
          <w:tcPr>
            <w:tcW w:w="1275" w:type="dxa"/>
            <w:tcBorders>
              <w:top w:val="nil"/>
              <w:left w:val="nil"/>
              <w:bottom w:val="nil"/>
              <w:right w:val="nil"/>
            </w:tcBorders>
            <w:shd w:val="clear" w:color="auto" w:fill="FFFFFF"/>
            <w:vAlign w:val="bottom"/>
          </w:tcPr>
          <w:p w14:paraId="1956C91F"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0,48</w:t>
            </w:r>
          </w:p>
        </w:tc>
        <w:tc>
          <w:tcPr>
            <w:tcW w:w="1134" w:type="dxa"/>
            <w:tcBorders>
              <w:top w:val="nil"/>
              <w:left w:val="nil"/>
              <w:bottom w:val="nil"/>
              <w:right w:val="nil"/>
            </w:tcBorders>
            <w:shd w:val="clear" w:color="auto" w:fill="FFFFFF"/>
            <w:vAlign w:val="bottom"/>
          </w:tcPr>
          <w:p w14:paraId="316E73FE"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0,56</w:t>
            </w:r>
          </w:p>
        </w:tc>
        <w:tc>
          <w:tcPr>
            <w:tcW w:w="1276" w:type="dxa"/>
            <w:tcBorders>
              <w:top w:val="nil"/>
              <w:left w:val="nil"/>
              <w:bottom w:val="nil"/>
              <w:right w:val="nil"/>
            </w:tcBorders>
            <w:shd w:val="clear" w:color="auto" w:fill="FFFFFF"/>
            <w:vAlign w:val="bottom"/>
          </w:tcPr>
          <w:p w14:paraId="7564A6EB"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0,70</w:t>
            </w:r>
          </w:p>
        </w:tc>
      </w:tr>
      <w:tr w:rsidR="00B834A2" w:rsidRPr="00B07646" w14:paraId="786BF075" w14:textId="77777777" w:rsidTr="001B3D08">
        <w:trPr>
          <w:trHeight w:val="298"/>
          <w:jc w:val="center"/>
        </w:trPr>
        <w:tc>
          <w:tcPr>
            <w:tcW w:w="851" w:type="dxa"/>
            <w:tcBorders>
              <w:top w:val="nil"/>
              <w:left w:val="nil"/>
              <w:bottom w:val="nil"/>
              <w:right w:val="nil"/>
            </w:tcBorders>
            <w:shd w:val="clear" w:color="auto" w:fill="FFFFFF"/>
          </w:tcPr>
          <w:p w14:paraId="78E0C4A9"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61E57D54"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7</w:t>
            </w:r>
          </w:p>
        </w:tc>
        <w:tc>
          <w:tcPr>
            <w:tcW w:w="1275" w:type="dxa"/>
            <w:tcBorders>
              <w:top w:val="nil"/>
              <w:left w:val="nil"/>
              <w:bottom w:val="nil"/>
              <w:right w:val="nil"/>
            </w:tcBorders>
            <w:shd w:val="clear" w:color="auto" w:fill="FFFFFF"/>
            <w:vAlign w:val="bottom"/>
          </w:tcPr>
          <w:p w14:paraId="3C05FC1F"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0,43</w:t>
            </w:r>
          </w:p>
        </w:tc>
        <w:tc>
          <w:tcPr>
            <w:tcW w:w="1134" w:type="dxa"/>
            <w:tcBorders>
              <w:top w:val="nil"/>
              <w:left w:val="nil"/>
              <w:bottom w:val="nil"/>
              <w:right w:val="nil"/>
            </w:tcBorders>
            <w:shd w:val="clear" w:color="auto" w:fill="FFFFFF"/>
            <w:vAlign w:val="bottom"/>
          </w:tcPr>
          <w:p w14:paraId="4CA60DB9"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0,51</w:t>
            </w:r>
          </w:p>
        </w:tc>
        <w:tc>
          <w:tcPr>
            <w:tcW w:w="1276" w:type="dxa"/>
            <w:tcBorders>
              <w:top w:val="nil"/>
              <w:left w:val="nil"/>
              <w:bottom w:val="nil"/>
              <w:right w:val="nil"/>
            </w:tcBorders>
            <w:shd w:val="clear" w:color="auto" w:fill="FFFFFF"/>
            <w:vAlign w:val="bottom"/>
          </w:tcPr>
          <w:p w14:paraId="19695198"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0,64</w:t>
            </w:r>
          </w:p>
        </w:tc>
      </w:tr>
      <w:tr w:rsidR="00B834A2" w:rsidRPr="00B07646" w14:paraId="1933F212" w14:textId="77777777" w:rsidTr="001B3D08">
        <w:trPr>
          <w:trHeight w:val="312"/>
          <w:jc w:val="center"/>
        </w:trPr>
        <w:tc>
          <w:tcPr>
            <w:tcW w:w="851" w:type="dxa"/>
            <w:tcBorders>
              <w:top w:val="nil"/>
              <w:left w:val="nil"/>
              <w:bottom w:val="nil"/>
              <w:right w:val="nil"/>
            </w:tcBorders>
            <w:shd w:val="clear" w:color="auto" w:fill="FFFFFF"/>
          </w:tcPr>
          <w:p w14:paraId="5FF4BA34"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4A9846EA"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8</w:t>
            </w:r>
          </w:p>
        </w:tc>
        <w:tc>
          <w:tcPr>
            <w:tcW w:w="1275" w:type="dxa"/>
            <w:tcBorders>
              <w:top w:val="nil"/>
              <w:left w:val="nil"/>
              <w:bottom w:val="nil"/>
              <w:right w:val="nil"/>
            </w:tcBorders>
            <w:shd w:val="clear" w:color="auto" w:fill="FFFFFF"/>
            <w:vAlign w:val="bottom"/>
          </w:tcPr>
          <w:p w14:paraId="4EE559AC"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0,40</w:t>
            </w:r>
          </w:p>
        </w:tc>
        <w:tc>
          <w:tcPr>
            <w:tcW w:w="1134" w:type="dxa"/>
            <w:tcBorders>
              <w:top w:val="nil"/>
              <w:left w:val="nil"/>
              <w:bottom w:val="nil"/>
              <w:right w:val="nil"/>
            </w:tcBorders>
            <w:shd w:val="clear" w:color="auto" w:fill="FFFFFF"/>
            <w:vAlign w:val="bottom"/>
          </w:tcPr>
          <w:p w14:paraId="4FADED15"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0,48</w:t>
            </w:r>
          </w:p>
        </w:tc>
        <w:tc>
          <w:tcPr>
            <w:tcW w:w="1276" w:type="dxa"/>
            <w:tcBorders>
              <w:top w:val="nil"/>
              <w:left w:val="nil"/>
              <w:bottom w:val="nil"/>
              <w:right w:val="nil"/>
            </w:tcBorders>
            <w:shd w:val="clear" w:color="auto" w:fill="FFFFFF"/>
            <w:vAlign w:val="bottom"/>
          </w:tcPr>
          <w:p w14:paraId="5E6D110C"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0,58</w:t>
            </w:r>
          </w:p>
        </w:tc>
      </w:tr>
      <w:tr w:rsidR="00B834A2" w:rsidRPr="00B07646" w14:paraId="21F311F6" w14:textId="77777777" w:rsidTr="001B3D08">
        <w:trPr>
          <w:trHeight w:val="278"/>
          <w:jc w:val="center"/>
        </w:trPr>
        <w:tc>
          <w:tcPr>
            <w:tcW w:w="851" w:type="dxa"/>
            <w:tcBorders>
              <w:top w:val="nil"/>
              <w:left w:val="nil"/>
              <w:bottom w:val="nil"/>
              <w:right w:val="nil"/>
            </w:tcBorders>
            <w:shd w:val="clear" w:color="auto" w:fill="FFFFFF"/>
          </w:tcPr>
          <w:p w14:paraId="78DA67EA" w14:textId="77777777" w:rsidR="00B834A2" w:rsidRPr="00B07646" w:rsidRDefault="00B834A2" w:rsidP="00B07646">
            <w:pPr>
              <w:spacing w:after="120"/>
              <w:jc w:val="center"/>
              <w:rPr>
                <w:rFonts w:eastAsia="Times New Roman" w:cs="Times New Roman"/>
                <w:color w:val="auto"/>
                <w:sz w:val="20"/>
                <w:szCs w:val="20"/>
              </w:rPr>
            </w:pPr>
          </w:p>
        </w:tc>
        <w:tc>
          <w:tcPr>
            <w:tcW w:w="709" w:type="dxa"/>
            <w:tcBorders>
              <w:top w:val="nil"/>
              <w:left w:val="nil"/>
              <w:bottom w:val="nil"/>
              <w:right w:val="nil"/>
            </w:tcBorders>
            <w:shd w:val="clear" w:color="auto" w:fill="FFFFFF"/>
            <w:vAlign w:val="bottom"/>
          </w:tcPr>
          <w:p w14:paraId="6DD171DE"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9</w:t>
            </w:r>
          </w:p>
        </w:tc>
        <w:tc>
          <w:tcPr>
            <w:tcW w:w="1275" w:type="dxa"/>
            <w:tcBorders>
              <w:top w:val="nil"/>
              <w:left w:val="nil"/>
              <w:bottom w:val="nil"/>
              <w:right w:val="nil"/>
            </w:tcBorders>
            <w:shd w:val="clear" w:color="auto" w:fill="FFFFFF"/>
            <w:vAlign w:val="bottom"/>
          </w:tcPr>
          <w:p w14:paraId="170A4737"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0,38</w:t>
            </w:r>
          </w:p>
        </w:tc>
        <w:tc>
          <w:tcPr>
            <w:tcW w:w="1134" w:type="dxa"/>
            <w:tcBorders>
              <w:top w:val="nil"/>
              <w:left w:val="nil"/>
              <w:bottom w:val="nil"/>
              <w:right w:val="nil"/>
            </w:tcBorders>
            <w:shd w:val="clear" w:color="auto" w:fill="FFFFFF"/>
            <w:vAlign w:val="bottom"/>
          </w:tcPr>
          <w:p w14:paraId="005ABC50"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0,46</w:t>
            </w:r>
          </w:p>
        </w:tc>
        <w:tc>
          <w:tcPr>
            <w:tcW w:w="1276" w:type="dxa"/>
            <w:tcBorders>
              <w:top w:val="nil"/>
              <w:left w:val="nil"/>
              <w:bottom w:val="nil"/>
              <w:right w:val="nil"/>
            </w:tcBorders>
            <w:shd w:val="clear" w:color="auto" w:fill="FFFFFF"/>
            <w:vAlign w:val="bottom"/>
          </w:tcPr>
          <w:p w14:paraId="33F6E66F" w14:textId="77777777" w:rsidR="00B834A2" w:rsidRPr="00B07646" w:rsidRDefault="00B834A2" w:rsidP="00B07646">
            <w:pPr>
              <w:spacing w:after="120"/>
              <w:jc w:val="center"/>
              <w:rPr>
                <w:rFonts w:eastAsia="Times New Roman" w:cs="Times New Roman"/>
                <w:color w:val="auto"/>
                <w:sz w:val="20"/>
                <w:szCs w:val="20"/>
              </w:rPr>
            </w:pPr>
            <w:r w:rsidRPr="00B07646">
              <w:rPr>
                <w:sz w:val="20"/>
                <w:szCs w:val="20"/>
              </w:rPr>
              <w:t>0,55</w:t>
            </w:r>
          </w:p>
        </w:tc>
      </w:tr>
    </w:tbl>
    <w:p w14:paraId="0504BFDF" w14:textId="77777777" w:rsidR="00F3715C" w:rsidRDefault="00F3715C" w:rsidP="00F3715C">
      <w:pPr>
        <w:spacing w:after="160" w:line="360" w:lineRule="auto"/>
        <w:rPr>
          <w:lang w:val="en-US"/>
        </w:rPr>
      </w:pPr>
    </w:p>
    <w:p w14:paraId="224175A7" w14:textId="77777777" w:rsidR="00F3715C" w:rsidRDefault="00F3715C" w:rsidP="00F3715C">
      <w:pPr>
        <w:spacing w:after="160" w:line="360" w:lineRule="auto"/>
        <w:jc w:val="both"/>
        <w:rPr>
          <w:lang w:val="en-US"/>
        </w:rPr>
      </w:pPr>
      <w:r w:rsidRPr="00F3715C">
        <w:t>Աղյուսակ 2. - Ստյուդենտի չափորոշչի կրիտիկական արժեքներ</w:t>
      </w:r>
    </w:p>
    <w:p w14:paraId="444B3E84" w14:textId="77777777" w:rsidR="00F3715C" w:rsidRPr="00F3715C" w:rsidRDefault="00F3715C" w:rsidP="00F3715C">
      <w:pPr>
        <w:spacing w:after="160" w:line="360" w:lineRule="auto"/>
        <w:jc w:val="both"/>
        <w:rPr>
          <w:lang w:val="en-US"/>
        </w:rPr>
      </w:pPr>
    </w:p>
    <w:tbl>
      <w:tblPr>
        <w:tblW w:w="0" w:type="auto"/>
        <w:jc w:val="center"/>
        <w:tblLayout w:type="fixed"/>
        <w:tblCellMar>
          <w:left w:w="0" w:type="dxa"/>
          <w:right w:w="0" w:type="dxa"/>
        </w:tblCellMar>
        <w:tblLook w:val="0000" w:firstRow="0" w:lastRow="0" w:firstColumn="0" w:lastColumn="0" w:noHBand="0" w:noVBand="0"/>
      </w:tblPr>
      <w:tblGrid>
        <w:gridCol w:w="1370"/>
        <w:gridCol w:w="851"/>
        <w:gridCol w:w="850"/>
        <w:gridCol w:w="851"/>
        <w:gridCol w:w="709"/>
        <w:gridCol w:w="708"/>
        <w:gridCol w:w="945"/>
        <w:gridCol w:w="1371"/>
      </w:tblGrid>
      <w:tr w:rsidR="00B834A2" w:rsidRPr="00B07646" w14:paraId="2890A50D" w14:textId="77777777" w:rsidTr="00F634DB">
        <w:trPr>
          <w:trHeight w:val="552"/>
          <w:tblHeader/>
          <w:jc w:val="center"/>
        </w:trPr>
        <w:tc>
          <w:tcPr>
            <w:tcW w:w="1370" w:type="dxa"/>
            <w:vMerge w:val="restart"/>
            <w:tcBorders>
              <w:top w:val="single" w:sz="4" w:space="0" w:color="auto"/>
              <w:left w:val="nil"/>
              <w:bottom w:val="nil"/>
              <w:right w:val="nil"/>
            </w:tcBorders>
            <w:shd w:val="clear" w:color="auto" w:fill="FFFFFF"/>
            <w:vAlign w:val="center"/>
          </w:tcPr>
          <w:p w14:paraId="15AA264C" w14:textId="77777777" w:rsidR="00B834A2" w:rsidRPr="00B07646" w:rsidRDefault="00B834A2" w:rsidP="001A2908">
            <w:pPr>
              <w:spacing w:after="120"/>
              <w:jc w:val="center"/>
              <w:rPr>
                <w:rFonts w:eastAsia="Times New Roman" w:cs="Times New Roman"/>
                <w:color w:val="auto"/>
                <w:sz w:val="20"/>
                <w:szCs w:val="20"/>
              </w:rPr>
            </w:pPr>
            <m:oMathPara>
              <m:oMath>
                <m:r>
                  <w:rPr>
                    <w:rFonts w:ascii="Cambria Math" w:eastAsia="Times New Roman" w:hAnsi="Cambria Math" w:cs="Times New Roman"/>
                    <w:sz w:val="20"/>
                    <w:szCs w:val="20"/>
                  </w:rPr>
                  <m:t>f</m:t>
                </m:r>
              </m:oMath>
            </m:oMathPara>
          </w:p>
        </w:tc>
        <w:tc>
          <w:tcPr>
            <w:tcW w:w="2552" w:type="dxa"/>
            <w:gridSpan w:val="3"/>
            <w:tcBorders>
              <w:top w:val="single" w:sz="4" w:space="0" w:color="auto"/>
              <w:left w:val="nil"/>
              <w:bottom w:val="nil"/>
              <w:right w:val="nil"/>
            </w:tcBorders>
            <w:shd w:val="clear" w:color="auto" w:fill="FFFFFF"/>
            <w:vAlign w:val="center"/>
          </w:tcPr>
          <w:p w14:paraId="3B8BEB01"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Վստահելի հավանականություն</w:t>
            </w:r>
          </w:p>
        </w:tc>
        <w:tc>
          <w:tcPr>
            <w:tcW w:w="709" w:type="dxa"/>
            <w:vMerge w:val="restart"/>
            <w:tcBorders>
              <w:top w:val="single" w:sz="4" w:space="0" w:color="auto"/>
              <w:left w:val="nil"/>
              <w:bottom w:val="nil"/>
              <w:right w:val="nil"/>
            </w:tcBorders>
            <w:shd w:val="clear" w:color="auto" w:fill="FFFFFF"/>
            <w:vAlign w:val="center"/>
          </w:tcPr>
          <w:p w14:paraId="01C36474" w14:textId="77777777" w:rsidR="00B834A2" w:rsidRPr="00B07646" w:rsidRDefault="00B834A2" w:rsidP="001A2908">
            <w:pPr>
              <w:spacing w:after="120"/>
              <w:jc w:val="center"/>
              <w:rPr>
                <w:rFonts w:eastAsia="Times New Roman" w:cs="Times New Roman"/>
                <w:color w:val="auto"/>
                <w:sz w:val="20"/>
                <w:szCs w:val="20"/>
              </w:rPr>
            </w:pPr>
            <m:oMathPara>
              <m:oMath>
                <m:r>
                  <w:rPr>
                    <w:rFonts w:ascii="Cambria Math" w:eastAsia="Times New Roman" w:hAnsi="Cambria Math" w:cs="Times New Roman"/>
                    <w:sz w:val="20"/>
                    <w:szCs w:val="20"/>
                  </w:rPr>
                  <m:t>f</m:t>
                </m:r>
              </m:oMath>
            </m:oMathPara>
          </w:p>
        </w:tc>
        <w:tc>
          <w:tcPr>
            <w:tcW w:w="3024" w:type="dxa"/>
            <w:gridSpan w:val="3"/>
            <w:tcBorders>
              <w:top w:val="single" w:sz="4" w:space="0" w:color="auto"/>
              <w:left w:val="nil"/>
              <w:bottom w:val="nil"/>
              <w:right w:val="nil"/>
            </w:tcBorders>
            <w:shd w:val="clear" w:color="auto" w:fill="FFFFFF"/>
            <w:vAlign w:val="center"/>
          </w:tcPr>
          <w:p w14:paraId="3FF15683"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Վստահելի հավանականություն</w:t>
            </w:r>
          </w:p>
        </w:tc>
      </w:tr>
      <w:tr w:rsidR="00B834A2" w:rsidRPr="00B07646" w14:paraId="1E3C30C0" w14:textId="77777777" w:rsidTr="00F634DB">
        <w:trPr>
          <w:trHeight w:val="542"/>
          <w:tblHeader/>
          <w:jc w:val="center"/>
        </w:trPr>
        <w:tc>
          <w:tcPr>
            <w:tcW w:w="1370" w:type="dxa"/>
            <w:vMerge/>
            <w:tcBorders>
              <w:top w:val="nil"/>
              <w:left w:val="nil"/>
              <w:bottom w:val="nil"/>
              <w:right w:val="nil"/>
            </w:tcBorders>
            <w:shd w:val="clear" w:color="auto" w:fill="FFFFFF"/>
            <w:vAlign w:val="center"/>
          </w:tcPr>
          <w:p w14:paraId="5018BCD0" w14:textId="77777777" w:rsidR="00B834A2" w:rsidRPr="00B07646" w:rsidRDefault="00B834A2" w:rsidP="001A2908">
            <w:pPr>
              <w:spacing w:after="120"/>
              <w:jc w:val="center"/>
              <w:rPr>
                <w:rFonts w:eastAsia="Times New Roman" w:cs="Times New Roman"/>
                <w:color w:val="auto"/>
                <w:sz w:val="20"/>
                <w:szCs w:val="20"/>
              </w:rPr>
            </w:pPr>
          </w:p>
        </w:tc>
        <w:tc>
          <w:tcPr>
            <w:tcW w:w="851" w:type="dxa"/>
            <w:tcBorders>
              <w:top w:val="single" w:sz="4" w:space="0" w:color="auto"/>
              <w:left w:val="nil"/>
              <w:bottom w:val="nil"/>
              <w:right w:val="nil"/>
            </w:tcBorders>
            <w:shd w:val="clear" w:color="auto" w:fill="FFFFFF"/>
            <w:vAlign w:val="center"/>
          </w:tcPr>
          <w:p w14:paraId="60105047"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P=</w:t>
            </w:r>
            <w:r w:rsidRPr="00B07646">
              <w:rPr>
                <w:sz w:val="20"/>
                <w:szCs w:val="20"/>
              </w:rPr>
              <w:t>95%</w:t>
            </w:r>
          </w:p>
        </w:tc>
        <w:tc>
          <w:tcPr>
            <w:tcW w:w="850" w:type="dxa"/>
            <w:tcBorders>
              <w:top w:val="single" w:sz="4" w:space="0" w:color="auto"/>
              <w:left w:val="nil"/>
              <w:bottom w:val="nil"/>
              <w:right w:val="nil"/>
            </w:tcBorders>
            <w:shd w:val="clear" w:color="auto" w:fill="FFFFFF"/>
            <w:vAlign w:val="center"/>
          </w:tcPr>
          <w:p w14:paraId="6CE49007"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Р =</w:t>
            </w:r>
            <w:r w:rsidRPr="00B07646">
              <w:rPr>
                <w:sz w:val="20"/>
                <w:szCs w:val="20"/>
              </w:rPr>
              <w:t>99%</w:t>
            </w:r>
          </w:p>
        </w:tc>
        <w:tc>
          <w:tcPr>
            <w:tcW w:w="851" w:type="dxa"/>
            <w:tcBorders>
              <w:top w:val="single" w:sz="4" w:space="0" w:color="auto"/>
              <w:left w:val="nil"/>
              <w:bottom w:val="nil"/>
              <w:right w:val="nil"/>
            </w:tcBorders>
            <w:shd w:val="clear" w:color="auto" w:fill="FFFFFF"/>
            <w:vAlign w:val="center"/>
          </w:tcPr>
          <w:p w14:paraId="17764D63"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Р =</w:t>
            </w:r>
            <w:r w:rsidRPr="00B07646">
              <w:rPr>
                <w:sz w:val="20"/>
                <w:szCs w:val="20"/>
              </w:rPr>
              <w:t>99,9 %</w:t>
            </w:r>
          </w:p>
        </w:tc>
        <w:tc>
          <w:tcPr>
            <w:tcW w:w="709" w:type="dxa"/>
            <w:vMerge/>
            <w:tcBorders>
              <w:top w:val="nil"/>
              <w:left w:val="nil"/>
              <w:bottom w:val="nil"/>
              <w:right w:val="nil"/>
            </w:tcBorders>
            <w:shd w:val="clear" w:color="auto" w:fill="FFFFFF"/>
            <w:vAlign w:val="center"/>
          </w:tcPr>
          <w:p w14:paraId="308397B9" w14:textId="77777777" w:rsidR="00B834A2" w:rsidRPr="00B07646" w:rsidRDefault="00B834A2" w:rsidP="001A2908">
            <w:pPr>
              <w:spacing w:after="120"/>
              <w:jc w:val="center"/>
              <w:rPr>
                <w:rFonts w:eastAsia="Times New Roman" w:cs="Times New Roman"/>
                <w:color w:val="auto"/>
                <w:sz w:val="20"/>
                <w:szCs w:val="20"/>
              </w:rPr>
            </w:pPr>
          </w:p>
        </w:tc>
        <w:tc>
          <w:tcPr>
            <w:tcW w:w="708" w:type="dxa"/>
            <w:tcBorders>
              <w:top w:val="single" w:sz="4" w:space="0" w:color="auto"/>
              <w:left w:val="nil"/>
              <w:bottom w:val="nil"/>
              <w:right w:val="nil"/>
            </w:tcBorders>
            <w:shd w:val="clear" w:color="auto" w:fill="FFFFFF"/>
            <w:vAlign w:val="center"/>
          </w:tcPr>
          <w:p w14:paraId="436055FF"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P =</w:t>
            </w:r>
            <w:r w:rsidRPr="00B07646">
              <w:rPr>
                <w:sz w:val="20"/>
                <w:szCs w:val="20"/>
              </w:rPr>
              <w:t>95%</w:t>
            </w:r>
          </w:p>
        </w:tc>
        <w:tc>
          <w:tcPr>
            <w:tcW w:w="945" w:type="dxa"/>
            <w:tcBorders>
              <w:top w:val="single" w:sz="4" w:space="0" w:color="auto"/>
              <w:left w:val="nil"/>
              <w:bottom w:val="nil"/>
              <w:right w:val="nil"/>
            </w:tcBorders>
            <w:shd w:val="clear" w:color="auto" w:fill="FFFFFF"/>
            <w:vAlign w:val="center"/>
          </w:tcPr>
          <w:p w14:paraId="61CFDD8B"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Р =</w:t>
            </w:r>
            <w:r w:rsidRPr="00B07646">
              <w:rPr>
                <w:sz w:val="20"/>
                <w:szCs w:val="20"/>
              </w:rPr>
              <w:t>99%</w:t>
            </w:r>
          </w:p>
        </w:tc>
        <w:tc>
          <w:tcPr>
            <w:tcW w:w="1371" w:type="dxa"/>
            <w:tcBorders>
              <w:top w:val="single" w:sz="4" w:space="0" w:color="auto"/>
              <w:left w:val="nil"/>
              <w:bottom w:val="nil"/>
              <w:right w:val="nil"/>
            </w:tcBorders>
            <w:shd w:val="clear" w:color="auto" w:fill="FFFFFF"/>
            <w:vAlign w:val="center"/>
          </w:tcPr>
          <w:p w14:paraId="7E730964" w14:textId="77777777" w:rsidR="00B834A2" w:rsidRPr="00B07646" w:rsidRDefault="00B834A2" w:rsidP="001A2908">
            <w:pPr>
              <w:spacing w:after="120"/>
              <w:jc w:val="center"/>
              <w:rPr>
                <w:rFonts w:eastAsia="Times New Roman" w:cs="Times New Roman"/>
                <w:color w:val="auto"/>
                <w:sz w:val="20"/>
                <w:szCs w:val="20"/>
              </w:rPr>
            </w:pPr>
            <w:r w:rsidRPr="00B07646">
              <w:rPr>
                <w:i/>
                <w:sz w:val="20"/>
                <w:szCs w:val="20"/>
              </w:rPr>
              <w:t>Р =</w:t>
            </w:r>
            <w:r w:rsidRPr="00B07646">
              <w:rPr>
                <w:sz w:val="20"/>
                <w:szCs w:val="20"/>
              </w:rPr>
              <w:t>99,9 %</w:t>
            </w:r>
          </w:p>
        </w:tc>
      </w:tr>
      <w:tr w:rsidR="00B834A2" w:rsidRPr="00B07646" w14:paraId="32A15F98" w14:textId="77777777" w:rsidTr="00F634DB">
        <w:trPr>
          <w:trHeight w:val="274"/>
          <w:jc w:val="center"/>
        </w:trPr>
        <w:tc>
          <w:tcPr>
            <w:tcW w:w="1370" w:type="dxa"/>
            <w:tcBorders>
              <w:top w:val="single" w:sz="4" w:space="0" w:color="auto"/>
              <w:left w:val="nil"/>
              <w:bottom w:val="nil"/>
              <w:right w:val="nil"/>
            </w:tcBorders>
            <w:shd w:val="clear" w:color="auto" w:fill="FFFFFF"/>
            <w:vAlign w:val="center"/>
          </w:tcPr>
          <w:p w14:paraId="0626ED20"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1</w:t>
            </w:r>
          </w:p>
        </w:tc>
        <w:tc>
          <w:tcPr>
            <w:tcW w:w="851" w:type="dxa"/>
            <w:tcBorders>
              <w:top w:val="single" w:sz="4" w:space="0" w:color="auto"/>
              <w:left w:val="nil"/>
              <w:bottom w:val="nil"/>
              <w:right w:val="nil"/>
            </w:tcBorders>
            <w:shd w:val="clear" w:color="auto" w:fill="FFFFFF"/>
            <w:vAlign w:val="center"/>
          </w:tcPr>
          <w:p w14:paraId="1E63A105"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12,71</w:t>
            </w:r>
          </w:p>
        </w:tc>
        <w:tc>
          <w:tcPr>
            <w:tcW w:w="850" w:type="dxa"/>
            <w:tcBorders>
              <w:top w:val="single" w:sz="4" w:space="0" w:color="auto"/>
              <w:left w:val="nil"/>
              <w:bottom w:val="nil"/>
              <w:right w:val="nil"/>
            </w:tcBorders>
            <w:shd w:val="clear" w:color="auto" w:fill="FFFFFF"/>
            <w:vAlign w:val="center"/>
          </w:tcPr>
          <w:p w14:paraId="6F24FFBA"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63,60</w:t>
            </w:r>
          </w:p>
        </w:tc>
        <w:tc>
          <w:tcPr>
            <w:tcW w:w="851" w:type="dxa"/>
            <w:tcBorders>
              <w:top w:val="single" w:sz="4" w:space="0" w:color="auto"/>
              <w:left w:val="nil"/>
              <w:bottom w:val="nil"/>
              <w:right w:val="nil"/>
            </w:tcBorders>
            <w:shd w:val="clear" w:color="auto" w:fill="FFFFFF"/>
            <w:vAlign w:val="center"/>
          </w:tcPr>
          <w:p w14:paraId="79736446" w14:textId="77777777" w:rsidR="00B834A2" w:rsidRPr="00B07646" w:rsidRDefault="00B834A2" w:rsidP="001A2908">
            <w:pPr>
              <w:spacing w:after="120"/>
              <w:jc w:val="center"/>
              <w:rPr>
                <w:rFonts w:eastAsia="Times New Roman" w:cs="Times New Roman"/>
                <w:color w:val="auto"/>
                <w:sz w:val="20"/>
                <w:szCs w:val="20"/>
              </w:rPr>
            </w:pPr>
          </w:p>
        </w:tc>
        <w:tc>
          <w:tcPr>
            <w:tcW w:w="709" w:type="dxa"/>
            <w:tcBorders>
              <w:top w:val="single" w:sz="4" w:space="0" w:color="auto"/>
              <w:left w:val="nil"/>
              <w:bottom w:val="nil"/>
              <w:right w:val="nil"/>
            </w:tcBorders>
            <w:shd w:val="clear" w:color="auto" w:fill="FFFFFF"/>
            <w:vAlign w:val="center"/>
          </w:tcPr>
          <w:p w14:paraId="5ADACC3C"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21</w:t>
            </w:r>
          </w:p>
        </w:tc>
        <w:tc>
          <w:tcPr>
            <w:tcW w:w="708" w:type="dxa"/>
            <w:tcBorders>
              <w:top w:val="single" w:sz="4" w:space="0" w:color="auto"/>
              <w:left w:val="nil"/>
              <w:bottom w:val="nil"/>
              <w:right w:val="nil"/>
            </w:tcBorders>
            <w:shd w:val="clear" w:color="auto" w:fill="FFFFFF"/>
            <w:vAlign w:val="center"/>
          </w:tcPr>
          <w:p w14:paraId="16DA0EEA"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2,08</w:t>
            </w:r>
          </w:p>
        </w:tc>
        <w:tc>
          <w:tcPr>
            <w:tcW w:w="945" w:type="dxa"/>
            <w:tcBorders>
              <w:top w:val="single" w:sz="4" w:space="0" w:color="auto"/>
              <w:left w:val="nil"/>
              <w:bottom w:val="nil"/>
              <w:right w:val="nil"/>
            </w:tcBorders>
            <w:shd w:val="clear" w:color="auto" w:fill="FFFFFF"/>
            <w:vAlign w:val="center"/>
          </w:tcPr>
          <w:p w14:paraId="467AD6D0"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2,83</w:t>
            </w:r>
          </w:p>
        </w:tc>
        <w:tc>
          <w:tcPr>
            <w:tcW w:w="1371" w:type="dxa"/>
            <w:tcBorders>
              <w:top w:val="single" w:sz="4" w:space="0" w:color="auto"/>
              <w:left w:val="nil"/>
              <w:bottom w:val="nil"/>
              <w:right w:val="nil"/>
            </w:tcBorders>
            <w:shd w:val="clear" w:color="auto" w:fill="FFFFFF"/>
            <w:vAlign w:val="center"/>
          </w:tcPr>
          <w:p w14:paraId="718FBF0E"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3,82</w:t>
            </w:r>
          </w:p>
        </w:tc>
      </w:tr>
      <w:tr w:rsidR="00B834A2" w:rsidRPr="00B07646" w14:paraId="1E8619DD" w14:textId="77777777" w:rsidTr="00F634DB">
        <w:trPr>
          <w:trHeight w:val="288"/>
          <w:jc w:val="center"/>
        </w:trPr>
        <w:tc>
          <w:tcPr>
            <w:tcW w:w="1370" w:type="dxa"/>
            <w:tcBorders>
              <w:top w:val="nil"/>
              <w:left w:val="nil"/>
              <w:bottom w:val="nil"/>
              <w:right w:val="nil"/>
            </w:tcBorders>
            <w:shd w:val="clear" w:color="auto" w:fill="FFFFFF"/>
            <w:vAlign w:val="center"/>
          </w:tcPr>
          <w:p w14:paraId="73DD0615"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w:t>
            </w:r>
          </w:p>
        </w:tc>
        <w:tc>
          <w:tcPr>
            <w:tcW w:w="851" w:type="dxa"/>
            <w:tcBorders>
              <w:top w:val="nil"/>
              <w:left w:val="nil"/>
              <w:bottom w:val="nil"/>
              <w:right w:val="nil"/>
            </w:tcBorders>
            <w:shd w:val="clear" w:color="auto" w:fill="FFFFFF"/>
            <w:vAlign w:val="center"/>
          </w:tcPr>
          <w:p w14:paraId="013F58DB"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4,30</w:t>
            </w:r>
          </w:p>
        </w:tc>
        <w:tc>
          <w:tcPr>
            <w:tcW w:w="850" w:type="dxa"/>
            <w:tcBorders>
              <w:top w:val="nil"/>
              <w:left w:val="nil"/>
              <w:bottom w:val="nil"/>
              <w:right w:val="nil"/>
            </w:tcBorders>
            <w:shd w:val="clear" w:color="auto" w:fill="FFFFFF"/>
            <w:vAlign w:val="center"/>
          </w:tcPr>
          <w:p w14:paraId="76407B88"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9,93</w:t>
            </w:r>
          </w:p>
        </w:tc>
        <w:tc>
          <w:tcPr>
            <w:tcW w:w="851" w:type="dxa"/>
            <w:tcBorders>
              <w:top w:val="nil"/>
              <w:left w:val="nil"/>
              <w:bottom w:val="nil"/>
              <w:right w:val="nil"/>
            </w:tcBorders>
            <w:shd w:val="clear" w:color="auto" w:fill="FFFFFF"/>
            <w:vAlign w:val="center"/>
          </w:tcPr>
          <w:p w14:paraId="22D01688"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31,60</w:t>
            </w:r>
          </w:p>
        </w:tc>
        <w:tc>
          <w:tcPr>
            <w:tcW w:w="709" w:type="dxa"/>
            <w:tcBorders>
              <w:top w:val="nil"/>
              <w:left w:val="nil"/>
              <w:bottom w:val="nil"/>
              <w:right w:val="nil"/>
            </w:tcBorders>
            <w:shd w:val="clear" w:color="auto" w:fill="FFFFFF"/>
            <w:vAlign w:val="center"/>
          </w:tcPr>
          <w:p w14:paraId="23FD23AB"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22</w:t>
            </w:r>
          </w:p>
        </w:tc>
        <w:tc>
          <w:tcPr>
            <w:tcW w:w="708" w:type="dxa"/>
            <w:tcBorders>
              <w:top w:val="nil"/>
              <w:left w:val="nil"/>
              <w:bottom w:val="nil"/>
              <w:right w:val="nil"/>
            </w:tcBorders>
            <w:shd w:val="clear" w:color="auto" w:fill="FFFFFF"/>
            <w:vAlign w:val="center"/>
          </w:tcPr>
          <w:p w14:paraId="414E1CCE"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2,07</w:t>
            </w:r>
          </w:p>
        </w:tc>
        <w:tc>
          <w:tcPr>
            <w:tcW w:w="945" w:type="dxa"/>
            <w:tcBorders>
              <w:top w:val="nil"/>
              <w:left w:val="nil"/>
              <w:bottom w:val="nil"/>
              <w:right w:val="nil"/>
            </w:tcBorders>
            <w:shd w:val="clear" w:color="auto" w:fill="FFFFFF"/>
            <w:vAlign w:val="center"/>
          </w:tcPr>
          <w:p w14:paraId="6CB3E1D3"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2,82</w:t>
            </w:r>
          </w:p>
        </w:tc>
        <w:tc>
          <w:tcPr>
            <w:tcW w:w="1371" w:type="dxa"/>
            <w:tcBorders>
              <w:top w:val="nil"/>
              <w:left w:val="nil"/>
              <w:bottom w:val="nil"/>
              <w:right w:val="nil"/>
            </w:tcBorders>
            <w:shd w:val="clear" w:color="auto" w:fill="FFFFFF"/>
            <w:vAlign w:val="center"/>
          </w:tcPr>
          <w:p w14:paraId="4BEB576F"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3,79</w:t>
            </w:r>
          </w:p>
        </w:tc>
      </w:tr>
      <w:tr w:rsidR="00B834A2" w:rsidRPr="00B07646" w14:paraId="768F554C" w14:textId="77777777" w:rsidTr="00F634DB">
        <w:trPr>
          <w:trHeight w:val="326"/>
          <w:jc w:val="center"/>
        </w:trPr>
        <w:tc>
          <w:tcPr>
            <w:tcW w:w="1370" w:type="dxa"/>
            <w:tcBorders>
              <w:top w:val="nil"/>
              <w:left w:val="nil"/>
              <w:bottom w:val="nil"/>
              <w:right w:val="nil"/>
            </w:tcBorders>
            <w:shd w:val="clear" w:color="auto" w:fill="FFFFFF"/>
            <w:vAlign w:val="center"/>
          </w:tcPr>
          <w:p w14:paraId="199AF347"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w:t>
            </w:r>
          </w:p>
        </w:tc>
        <w:tc>
          <w:tcPr>
            <w:tcW w:w="851" w:type="dxa"/>
            <w:tcBorders>
              <w:top w:val="nil"/>
              <w:left w:val="nil"/>
              <w:bottom w:val="nil"/>
              <w:right w:val="nil"/>
            </w:tcBorders>
            <w:shd w:val="clear" w:color="auto" w:fill="FFFFFF"/>
            <w:vAlign w:val="center"/>
          </w:tcPr>
          <w:p w14:paraId="6873A2EA"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3,18</w:t>
            </w:r>
          </w:p>
        </w:tc>
        <w:tc>
          <w:tcPr>
            <w:tcW w:w="850" w:type="dxa"/>
            <w:tcBorders>
              <w:top w:val="nil"/>
              <w:left w:val="nil"/>
              <w:bottom w:val="nil"/>
              <w:right w:val="nil"/>
            </w:tcBorders>
            <w:shd w:val="clear" w:color="auto" w:fill="FFFFFF"/>
            <w:vAlign w:val="center"/>
          </w:tcPr>
          <w:p w14:paraId="373DC6B9"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5,84</w:t>
            </w:r>
          </w:p>
        </w:tc>
        <w:tc>
          <w:tcPr>
            <w:tcW w:w="851" w:type="dxa"/>
            <w:tcBorders>
              <w:top w:val="nil"/>
              <w:left w:val="nil"/>
              <w:bottom w:val="nil"/>
              <w:right w:val="nil"/>
            </w:tcBorders>
            <w:shd w:val="clear" w:color="auto" w:fill="FFFFFF"/>
            <w:vAlign w:val="center"/>
          </w:tcPr>
          <w:p w14:paraId="57FD6745"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12,94</w:t>
            </w:r>
          </w:p>
        </w:tc>
        <w:tc>
          <w:tcPr>
            <w:tcW w:w="709" w:type="dxa"/>
            <w:tcBorders>
              <w:top w:val="nil"/>
              <w:left w:val="nil"/>
              <w:bottom w:val="nil"/>
              <w:right w:val="nil"/>
            </w:tcBorders>
            <w:shd w:val="clear" w:color="auto" w:fill="FFFFFF"/>
            <w:vAlign w:val="center"/>
          </w:tcPr>
          <w:p w14:paraId="2F6FA785"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23</w:t>
            </w:r>
          </w:p>
        </w:tc>
        <w:tc>
          <w:tcPr>
            <w:tcW w:w="708" w:type="dxa"/>
            <w:tcBorders>
              <w:top w:val="nil"/>
              <w:left w:val="nil"/>
              <w:bottom w:val="nil"/>
              <w:right w:val="nil"/>
            </w:tcBorders>
            <w:shd w:val="clear" w:color="auto" w:fill="FFFFFF"/>
            <w:vAlign w:val="center"/>
          </w:tcPr>
          <w:p w14:paraId="697A70E8"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2,07</w:t>
            </w:r>
          </w:p>
        </w:tc>
        <w:tc>
          <w:tcPr>
            <w:tcW w:w="945" w:type="dxa"/>
            <w:tcBorders>
              <w:top w:val="nil"/>
              <w:left w:val="nil"/>
              <w:bottom w:val="nil"/>
              <w:right w:val="nil"/>
            </w:tcBorders>
            <w:shd w:val="clear" w:color="auto" w:fill="FFFFFF"/>
            <w:vAlign w:val="center"/>
          </w:tcPr>
          <w:p w14:paraId="194A5B16"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2,81</w:t>
            </w:r>
          </w:p>
        </w:tc>
        <w:tc>
          <w:tcPr>
            <w:tcW w:w="1371" w:type="dxa"/>
            <w:tcBorders>
              <w:top w:val="nil"/>
              <w:left w:val="nil"/>
              <w:bottom w:val="nil"/>
              <w:right w:val="nil"/>
            </w:tcBorders>
            <w:shd w:val="clear" w:color="auto" w:fill="FFFFFF"/>
            <w:vAlign w:val="center"/>
          </w:tcPr>
          <w:p w14:paraId="5495168F"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3,77</w:t>
            </w:r>
          </w:p>
        </w:tc>
      </w:tr>
      <w:tr w:rsidR="00B834A2" w:rsidRPr="00B07646" w14:paraId="3992FBAB" w14:textId="77777777" w:rsidTr="00F634DB">
        <w:trPr>
          <w:trHeight w:val="274"/>
          <w:jc w:val="center"/>
        </w:trPr>
        <w:tc>
          <w:tcPr>
            <w:tcW w:w="1370" w:type="dxa"/>
            <w:tcBorders>
              <w:top w:val="nil"/>
              <w:left w:val="nil"/>
              <w:bottom w:val="nil"/>
              <w:right w:val="nil"/>
            </w:tcBorders>
            <w:shd w:val="clear" w:color="auto" w:fill="FFFFFF"/>
            <w:vAlign w:val="center"/>
          </w:tcPr>
          <w:p w14:paraId="73C82D48"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4</w:t>
            </w:r>
          </w:p>
        </w:tc>
        <w:tc>
          <w:tcPr>
            <w:tcW w:w="851" w:type="dxa"/>
            <w:tcBorders>
              <w:top w:val="nil"/>
              <w:left w:val="nil"/>
              <w:bottom w:val="nil"/>
              <w:right w:val="nil"/>
            </w:tcBorders>
            <w:shd w:val="clear" w:color="auto" w:fill="FFFFFF"/>
            <w:vAlign w:val="center"/>
          </w:tcPr>
          <w:p w14:paraId="617E19EA"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2,78</w:t>
            </w:r>
          </w:p>
        </w:tc>
        <w:tc>
          <w:tcPr>
            <w:tcW w:w="850" w:type="dxa"/>
            <w:tcBorders>
              <w:top w:val="nil"/>
              <w:left w:val="nil"/>
              <w:bottom w:val="nil"/>
              <w:right w:val="nil"/>
            </w:tcBorders>
            <w:shd w:val="clear" w:color="auto" w:fill="FFFFFF"/>
            <w:vAlign w:val="center"/>
          </w:tcPr>
          <w:p w14:paraId="3DB52277"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4,60</w:t>
            </w:r>
          </w:p>
        </w:tc>
        <w:tc>
          <w:tcPr>
            <w:tcW w:w="851" w:type="dxa"/>
            <w:tcBorders>
              <w:top w:val="nil"/>
              <w:left w:val="nil"/>
              <w:bottom w:val="nil"/>
              <w:right w:val="nil"/>
            </w:tcBorders>
            <w:shd w:val="clear" w:color="auto" w:fill="FFFFFF"/>
            <w:vAlign w:val="center"/>
          </w:tcPr>
          <w:p w14:paraId="68F7FDC1"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8,61</w:t>
            </w:r>
          </w:p>
        </w:tc>
        <w:tc>
          <w:tcPr>
            <w:tcW w:w="709" w:type="dxa"/>
            <w:tcBorders>
              <w:top w:val="nil"/>
              <w:left w:val="nil"/>
              <w:bottom w:val="nil"/>
              <w:right w:val="nil"/>
            </w:tcBorders>
            <w:shd w:val="clear" w:color="auto" w:fill="FFFFFF"/>
            <w:vAlign w:val="center"/>
          </w:tcPr>
          <w:p w14:paraId="0CCEBCBE"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24</w:t>
            </w:r>
          </w:p>
        </w:tc>
        <w:tc>
          <w:tcPr>
            <w:tcW w:w="708" w:type="dxa"/>
            <w:tcBorders>
              <w:top w:val="nil"/>
              <w:left w:val="nil"/>
              <w:bottom w:val="nil"/>
              <w:right w:val="nil"/>
            </w:tcBorders>
            <w:shd w:val="clear" w:color="auto" w:fill="FFFFFF"/>
            <w:vAlign w:val="center"/>
          </w:tcPr>
          <w:p w14:paraId="722B8084"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2,06</w:t>
            </w:r>
          </w:p>
        </w:tc>
        <w:tc>
          <w:tcPr>
            <w:tcW w:w="945" w:type="dxa"/>
            <w:tcBorders>
              <w:top w:val="nil"/>
              <w:left w:val="nil"/>
              <w:bottom w:val="nil"/>
              <w:right w:val="nil"/>
            </w:tcBorders>
            <w:shd w:val="clear" w:color="auto" w:fill="FFFFFF"/>
            <w:vAlign w:val="center"/>
          </w:tcPr>
          <w:p w14:paraId="09EE2A56"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2,80</w:t>
            </w:r>
          </w:p>
        </w:tc>
        <w:tc>
          <w:tcPr>
            <w:tcW w:w="1371" w:type="dxa"/>
            <w:tcBorders>
              <w:top w:val="nil"/>
              <w:left w:val="nil"/>
              <w:bottom w:val="nil"/>
              <w:right w:val="nil"/>
            </w:tcBorders>
            <w:shd w:val="clear" w:color="auto" w:fill="FFFFFF"/>
            <w:vAlign w:val="center"/>
          </w:tcPr>
          <w:p w14:paraId="10DAEBC1" w14:textId="77777777" w:rsidR="00B834A2" w:rsidRPr="00B07646" w:rsidRDefault="00B834A2" w:rsidP="001A2908">
            <w:pPr>
              <w:spacing w:after="120"/>
              <w:jc w:val="center"/>
              <w:rPr>
                <w:rFonts w:eastAsia="Times New Roman" w:cs="Times New Roman"/>
                <w:color w:val="auto"/>
                <w:sz w:val="20"/>
                <w:szCs w:val="20"/>
              </w:rPr>
            </w:pPr>
            <w:r w:rsidRPr="00B07646">
              <w:rPr>
                <w:sz w:val="20"/>
                <w:szCs w:val="20"/>
              </w:rPr>
              <w:t>3,75</w:t>
            </w:r>
          </w:p>
        </w:tc>
      </w:tr>
      <w:tr w:rsidR="001A2908" w:rsidRPr="00B07646" w14:paraId="78DBF9CB" w14:textId="77777777" w:rsidTr="00F634DB">
        <w:trPr>
          <w:trHeight w:val="274"/>
          <w:jc w:val="center"/>
        </w:trPr>
        <w:tc>
          <w:tcPr>
            <w:tcW w:w="1370" w:type="dxa"/>
            <w:tcBorders>
              <w:top w:val="nil"/>
              <w:left w:val="nil"/>
              <w:bottom w:val="nil"/>
              <w:right w:val="nil"/>
            </w:tcBorders>
            <w:shd w:val="clear" w:color="auto" w:fill="FFFFFF"/>
            <w:vAlign w:val="center"/>
          </w:tcPr>
          <w:p w14:paraId="56CD9D9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w:t>
            </w:r>
          </w:p>
        </w:tc>
        <w:tc>
          <w:tcPr>
            <w:tcW w:w="851" w:type="dxa"/>
            <w:tcBorders>
              <w:top w:val="nil"/>
              <w:left w:val="nil"/>
              <w:bottom w:val="nil"/>
              <w:right w:val="nil"/>
            </w:tcBorders>
            <w:shd w:val="clear" w:color="auto" w:fill="FFFFFF"/>
            <w:vAlign w:val="center"/>
          </w:tcPr>
          <w:p w14:paraId="2922CAB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2,57</w:t>
            </w:r>
          </w:p>
        </w:tc>
        <w:tc>
          <w:tcPr>
            <w:tcW w:w="850" w:type="dxa"/>
            <w:tcBorders>
              <w:top w:val="nil"/>
              <w:left w:val="nil"/>
              <w:bottom w:val="nil"/>
              <w:right w:val="nil"/>
            </w:tcBorders>
            <w:shd w:val="clear" w:color="auto" w:fill="FFFFFF"/>
            <w:vAlign w:val="center"/>
          </w:tcPr>
          <w:p w14:paraId="36C6F4A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4,03</w:t>
            </w:r>
          </w:p>
        </w:tc>
        <w:tc>
          <w:tcPr>
            <w:tcW w:w="851" w:type="dxa"/>
            <w:tcBorders>
              <w:top w:val="nil"/>
              <w:left w:val="nil"/>
              <w:bottom w:val="nil"/>
              <w:right w:val="nil"/>
            </w:tcBorders>
            <w:shd w:val="clear" w:color="auto" w:fill="FFFFFF"/>
            <w:vAlign w:val="center"/>
          </w:tcPr>
          <w:p w14:paraId="09A4199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6,86</w:t>
            </w:r>
          </w:p>
        </w:tc>
        <w:tc>
          <w:tcPr>
            <w:tcW w:w="709" w:type="dxa"/>
            <w:tcBorders>
              <w:top w:val="nil"/>
              <w:left w:val="nil"/>
              <w:bottom w:val="nil"/>
              <w:right w:val="nil"/>
            </w:tcBorders>
            <w:shd w:val="clear" w:color="auto" w:fill="FFFFFF"/>
            <w:vAlign w:val="center"/>
          </w:tcPr>
          <w:p w14:paraId="7776597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25</w:t>
            </w:r>
          </w:p>
        </w:tc>
        <w:tc>
          <w:tcPr>
            <w:tcW w:w="708" w:type="dxa"/>
            <w:tcBorders>
              <w:top w:val="nil"/>
              <w:left w:val="nil"/>
              <w:bottom w:val="nil"/>
              <w:right w:val="nil"/>
            </w:tcBorders>
            <w:shd w:val="clear" w:color="auto" w:fill="FFFFFF"/>
            <w:vAlign w:val="center"/>
          </w:tcPr>
          <w:p w14:paraId="12524EF9"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2,06</w:t>
            </w:r>
          </w:p>
        </w:tc>
        <w:tc>
          <w:tcPr>
            <w:tcW w:w="945" w:type="dxa"/>
            <w:tcBorders>
              <w:top w:val="nil"/>
              <w:left w:val="nil"/>
              <w:bottom w:val="nil"/>
              <w:right w:val="nil"/>
            </w:tcBorders>
            <w:shd w:val="clear" w:color="auto" w:fill="FFFFFF"/>
            <w:vAlign w:val="center"/>
          </w:tcPr>
          <w:p w14:paraId="7AAC50F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2,79</w:t>
            </w:r>
          </w:p>
        </w:tc>
        <w:tc>
          <w:tcPr>
            <w:tcW w:w="1371" w:type="dxa"/>
            <w:tcBorders>
              <w:top w:val="nil"/>
              <w:left w:val="nil"/>
              <w:bottom w:val="nil"/>
              <w:right w:val="nil"/>
            </w:tcBorders>
            <w:shd w:val="clear" w:color="auto" w:fill="FFFFFF"/>
            <w:vAlign w:val="center"/>
          </w:tcPr>
          <w:p w14:paraId="3FAA070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3,73</w:t>
            </w:r>
          </w:p>
        </w:tc>
      </w:tr>
      <w:tr w:rsidR="001A2908" w:rsidRPr="00B07646" w14:paraId="6866FA6E" w14:textId="77777777" w:rsidTr="00F634DB">
        <w:trPr>
          <w:trHeight w:val="274"/>
          <w:jc w:val="center"/>
        </w:trPr>
        <w:tc>
          <w:tcPr>
            <w:tcW w:w="1370" w:type="dxa"/>
            <w:tcBorders>
              <w:top w:val="nil"/>
              <w:left w:val="nil"/>
              <w:bottom w:val="nil"/>
              <w:right w:val="nil"/>
            </w:tcBorders>
            <w:shd w:val="clear" w:color="auto" w:fill="FFFFFF"/>
            <w:vAlign w:val="center"/>
          </w:tcPr>
          <w:p w14:paraId="2A0ADCA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6</w:t>
            </w:r>
          </w:p>
        </w:tc>
        <w:tc>
          <w:tcPr>
            <w:tcW w:w="851" w:type="dxa"/>
            <w:tcBorders>
              <w:top w:val="nil"/>
              <w:left w:val="nil"/>
              <w:bottom w:val="nil"/>
              <w:right w:val="nil"/>
            </w:tcBorders>
            <w:shd w:val="clear" w:color="auto" w:fill="FFFFFF"/>
            <w:vAlign w:val="center"/>
          </w:tcPr>
          <w:p w14:paraId="7DC0C37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2,45</w:t>
            </w:r>
          </w:p>
        </w:tc>
        <w:tc>
          <w:tcPr>
            <w:tcW w:w="850" w:type="dxa"/>
            <w:tcBorders>
              <w:top w:val="nil"/>
              <w:left w:val="nil"/>
              <w:bottom w:val="nil"/>
              <w:right w:val="nil"/>
            </w:tcBorders>
            <w:shd w:val="clear" w:color="auto" w:fill="FFFFFF"/>
            <w:vAlign w:val="center"/>
          </w:tcPr>
          <w:p w14:paraId="6717BEA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3,71</w:t>
            </w:r>
          </w:p>
        </w:tc>
        <w:tc>
          <w:tcPr>
            <w:tcW w:w="851" w:type="dxa"/>
            <w:tcBorders>
              <w:top w:val="nil"/>
              <w:left w:val="nil"/>
              <w:bottom w:val="nil"/>
              <w:right w:val="nil"/>
            </w:tcBorders>
            <w:shd w:val="clear" w:color="auto" w:fill="FFFFFF"/>
            <w:vAlign w:val="center"/>
          </w:tcPr>
          <w:p w14:paraId="14F970B9"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5,96</w:t>
            </w:r>
          </w:p>
        </w:tc>
        <w:tc>
          <w:tcPr>
            <w:tcW w:w="709" w:type="dxa"/>
            <w:tcBorders>
              <w:top w:val="nil"/>
              <w:left w:val="nil"/>
              <w:bottom w:val="nil"/>
              <w:right w:val="nil"/>
            </w:tcBorders>
            <w:shd w:val="clear" w:color="auto" w:fill="FFFFFF"/>
            <w:vAlign w:val="center"/>
          </w:tcPr>
          <w:p w14:paraId="4066263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w:t>
            </w:r>
          </w:p>
        </w:tc>
        <w:tc>
          <w:tcPr>
            <w:tcW w:w="708" w:type="dxa"/>
            <w:tcBorders>
              <w:top w:val="nil"/>
              <w:left w:val="nil"/>
              <w:bottom w:val="nil"/>
              <w:right w:val="nil"/>
            </w:tcBorders>
            <w:shd w:val="clear" w:color="auto" w:fill="FFFFFF"/>
            <w:vAlign w:val="center"/>
          </w:tcPr>
          <w:p w14:paraId="29D446D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2,06</w:t>
            </w:r>
          </w:p>
        </w:tc>
        <w:tc>
          <w:tcPr>
            <w:tcW w:w="945" w:type="dxa"/>
            <w:tcBorders>
              <w:top w:val="nil"/>
              <w:left w:val="nil"/>
              <w:bottom w:val="nil"/>
              <w:right w:val="nil"/>
            </w:tcBorders>
            <w:shd w:val="clear" w:color="auto" w:fill="FFFFFF"/>
            <w:vAlign w:val="center"/>
          </w:tcPr>
          <w:p w14:paraId="4FADCD6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2,78</w:t>
            </w:r>
          </w:p>
        </w:tc>
        <w:tc>
          <w:tcPr>
            <w:tcW w:w="1371" w:type="dxa"/>
            <w:tcBorders>
              <w:top w:val="nil"/>
              <w:left w:val="nil"/>
              <w:bottom w:val="nil"/>
              <w:right w:val="nil"/>
            </w:tcBorders>
            <w:shd w:val="clear" w:color="auto" w:fill="FFFFFF"/>
            <w:vAlign w:val="center"/>
          </w:tcPr>
          <w:p w14:paraId="59AD4CC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3,71</w:t>
            </w:r>
          </w:p>
        </w:tc>
      </w:tr>
      <w:tr w:rsidR="001A2908" w:rsidRPr="00B07646" w14:paraId="7EFB7446" w14:textId="77777777" w:rsidTr="00F634DB">
        <w:trPr>
          <w:trHeight w:val="274"/>
          <w:jc w:val="center"/>
        </w:trPr>
        <w:tc>
          <w:tcPr>
            <w:tcW w:w="1370" w:type="dxa"/>
            <w:tcBorders>
              <w:top w:val="nil"/>
              <w:left w:val="nil"/>
              <w:bottom w:val="nil"/>
              <w:right w:val="nil"/>
            </w:tcBorders>
            <w:shd w:val="clear" w:color="auto" w:fill="FFFFFF"/>
            <w:vAlign w:val="center"/>
          </w:tcPr>
          <w:p w14:paraId="51A2382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7</w:t>
            </w:r>
          </w:p>
        </w:tc>
        <w:tc>
          <w:tcPr>
            <w:tcW w:w="851" w:type="dxa"/>
            <w:tcBorders>
              <w:top w:val="nil"/>
              <w:left w:val="nil"/>
              <w:bottom w:val="nil"/>
              <w:right w:val="nil"/>
            </w:tcBorders>
            <w:shd w:val="clear" w:color="auto" w:fill="FFFFFF"/>
            <w:vAlign w:val="center"/>
          </w:tcPr>
          <w:p w14:paraId="575058F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2,37</w:t>
            </w:r>
          </w:p>
        </w:tc>
        <w:tc>
          <w:tcPr>
            <w:tcW w:w="850" w:type="dxa"/>
            <w:tcBorders>
              <w:top w:val="nil"/>
              <w:left w:val="nil"/>
              <w:bottom w:val="nil"/>
              <w:right w:val="nil"/>
            </w:tcBorders>
            <w:shd w:val="clear" w:color="auto" w:fill="FFFFFF"/>
            <w:vAlign w:val="center"/>
          </w:tcPr>
          <w:p w14:paraId="407151F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3,50</w:t>
            </w:r>
          </w:p>
        </w:tc>
        <w:tc>
          <w:tcPr>
            <w:tcW w:w="851" w:type="dxa"/>
            <w:tcBorders>
              <w:top w:val="nil"/>
              <w:left w:val="nil"/>
              <w:bottom w:val="nil"/>
              <w:right w:val="nil"/>
            </w:tcBorders>
            <w:shd w:val="clear" w:color="auto" w:fill="FFFFFF"/>
            <w:vAlign w:val="center"/>
          </w:tcPr>
          <w:p w14:paraId="566376C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5,41</w:t>
            </w:r>
          </w:p>
        </w:tc>
        <w:tc>
          <w:tcPr>
            <w:tcW w:w="709" w:type="dxa"/>
            <w:tcBorders>
              <w:top w:val="nil"/>
              <w:left w:val="nil"/>
              <w:bottom w:val="nil"/>
              <w:right w:val="nil"/>
            </w:tcBorders>
            <w:shd w:val="clear" w:color="auto" w:fill="FFFFFF"/>
            <w:vAlign w:val="center"/>
          </w:tcPr>
          <w:p w14:paraId="40D1AE8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w:t>
            </w:r>
          </w:p>
        </w:tc>
        <w:tc>
          <w:tcPr>
            <w:tcW w:w="708" w:type="dxa"/>
            <w:tcBorders>
              <w:top w:val="nil"/>
              <w:left w:val="nil"/>
              <w:bottom w:val="nil"/>
              <w:right w:val="nil"/>
            </w:tcBorders>
            <w:shd w:val="clear" w:color="auto" w:fill="FFFFFF"/>
            <w:vAlign w:val="center"/>
          </w:tcPr>
          <w:p w14:paraId="4720536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2,05</w:t>
            </w:r>
          </w:p>
        </w:tc>
        <w:tc>
          <w:tcPr>
            <w:tcW w:w="945" w:type="dxa"/>
            <w:tcBorders>
              <w:top w:val="nil"/>
              <w:left w:val="nil"/>
              <w:bottom w:val="nil"/>
              <w:right w:val="nil"/>
            </w:tcBorders>
            <w:shd w:val="clear" w:color="auto" w:fill="FFFFFF"/>
            <w:vAlign w:val="center"/>
          </w:tcPr>
          <w:p w14:paraId="3E2C1CF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2,77</w:t>
            </w:r>
          </w:p>
        </w:tc>
        <w:tc>
          <w:tcPr>
            <w:tcW w:w="1371" w:type="dxa"/>
            <w:tcBorders>
              <w:top w:val="nil"/>
              <w:left w:val="nil"/>
              <w:bottom w:val="nil"/>
              <w:right w:val="nil"/>
            </w:tcBorders>
            <w:shd w:val="clear" w:color="auto" w:fill="FFFFFF"/>
            <w:vAlign w:val="center"/>
          </w:tcPr>
          <w:p w14:paraId="3D5EF57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3,69</w:t>
            </w:r>
          </w:p>
        </w:tc>
      </w:tr>
      <w:tr w:rsidR="001A2908" w:rsidRPr="00B07646" w14:paraId="78AC9A16" w14:textId="77777777" w:rsidTr="00F634DB">
        <w:trPr>
          <w:trHeight w:val="274"/>
          <w:jc w:val="center"/>
        </w:trPr>
        <w:tc>
          <w:tcPr>
            <w:tcW w:w="1370" w:type="dxa"/>
            <w:tcBorders>
              <w:top w:val="nil"/>
              <w:left w:val="nil"/>
              <w:bottom w:val="nil"/>
              <w:right w:val="nil"/>
            </w:tcBorders>
            <w:shd w:val="clear" w:color="auto" w:fill="FFFFFF"/>
            <w:vAlign w:val="center"/>
          </w:tcPr>
          <w:p w14:paraId="0FA89B6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8</w:t>
            </w:r>
          </w:p>
        </w:tc>
        <w:tc>
          <w:tcPr>
            <w:tcW w:w="851" w:type="dxa"/>
            <w:tcBorders>
              <w:top w:val="nil"/>
              <w:left w:val="nil"/>
              <w:bottom w:val="nil"/>
              <w:right w:val="nil"/>
            </w:tcBorders>
            <w:shd w:val="clear" w:color="auto" w:fill="FFFFFF"/>
            <w:vAlign w:val="center"/>
          </w:tcPr>
          <w:p w14:paraId="525F004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2,31</w:t>
            </w:r>
          </w:p>
        </w:tc>
        <w:tc>
          <w:tcPr>
            <w:tcW w:w="850" w:type="dxa"/>
            <w:tcBorders>
              <w:top w:val="nil"/>
              <w:left w:val="nil"/>
              <w:bottom w:val="nil"/>
              <w:right w:val="nil"/>
            </w:tcBorders>
            <w:shd w:val="clear" w:color="auto" w:fill="FFFFFF"/>
            <w:vAlign w:val="center"/>
          </w:tcPr>
          <w:p w14:paraId="2199BA2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3,36</w:t>
            </w:r>
          </w:p>
        </w:tc>
        <w:tc>
          <w:tcPr>
            <w:tcW w:w="851" w:type="dxa"/>
            <w:tcBorders>
              <w:top w:val="nil"/>
              <w:left w:val="nil"/>
              <w:bottom w:val="nil"/>
              <w:right w:val="nil"/>
            </w:tcBorders>
            <w:shd w:val="clear" w:color="auto" w:fill="FFFFFF"/>
            <w:vAlign w:val="center"/>
          </w:tcPr>
          <w:p w14:paraId="2186F2F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5,04</w:t>
            </w:r>
          </w:p>
        </w:tc>
        <w:tc>
          <w:tcPr>
            <w:tcW w:w="709" w:type="dxa"/>
            <w:tcBorders>
              <w:top w:val="nil"/>
              <w:left w:val="nil"/>
              <w:bottom w:val="nil"/>
              <w:right w:val="nil"/>
            </w:tcBorders>
            <w:shd w:val="clear" w:color="auto" w:fill="FFFFFF"/>
            <w:vAlign w:val="center"/>
          </w:tcPr>
          <w:p w14:paraId="51229E5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28</w:t>
            </w:r>
          </w:p>
        </w:tc>
        <w:tc>
          <w:tcPr>
            <w:tcW w:w="708" w:type="dxa"/>
            <w:tcBorders>
              <w:top w:val="nil"/>
              <w:left w:val="nil"/>
              <w:bottom w:val="nil"/>
              <w:right w:val="nil"/>
            </w:tcBorders>
            <w:shd w:val="clear" w:color="auto" w:fill="FFFFFF"/>
            <w:vAlign w:val="center"/>
          </w:tcPr>
          <w:p w14:paraId="3820DEB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2,05</w:t>
            </w:r>
          </w:p>
        </w:tc>
        <w:tc>
          <w:tcPr>
            <w:tcW w:w="945" w:type="dxa"/>
            <w:tcBorders>
              <w:top w:val="nil"/>
              <w:left w:val="nil"/>
              <w:bottom w:val="nil"/>
              <w:right w:val="nil"/>
            </w:tcBorders>
            <w:shd w:val="clear" w:color="auto" w:fill="FFFFFF"/>
            <w:vAlign w:val="center"/>
          </w:tcPr>
          <w:p w14:paraId="600E243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2,76</w:t>
            </w:r>
          </w:p>
        </w:tc>
        <w:tc>
          <w:tcPr>
            <w:tcW w:w="1371" w:type="dxa"/>
            <w:tcBorders>
              <w:top w:val="nil"/>
              <w:left w:val="nil"/>
              <w:bottom w:val="nil"/>
              <w:right w:val="nil"/>
            </w:tcBorders>
            <w:shd w:val="clear" w:color="auto" w:fill="FFFFFF"/>
            <w:vAlign w:val="center"/>
          </w:tcPr>
          <w:p w14:paraId="19915D1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3,67</w:t>
            </w:r>
          </w:p>
        </w:tc>
      </w:tr>
      <w:tr w:rsidR="001A2908" w:rsidRPr="00B07646" w14:paraId="7743B9E9" w14:textId="77777777" w:rsidTr="00F634DB">
        <w:trPr>
          <w:trHeight w:val="274"/>
          <w:jc w:val="center"/>
        </w:trPr>
        <w:tc>
          <w:tcPr>
            <w:tcW w:w="1370" w:type="dxa"/>
            <w:tcBorders>
              <w:top w:val="nil"/>
              <w:left w:val="nil"/>
              <w:bottom w:val="nil"/>
              <w:right w:val="nil"/>
            </w:tcBorders>
            <w:shd w:val="clear" w:color="auto" w:fill="FFFFFF"/>
            <w:vAlign w:val="center"/>
          </w:tcPr>
          <w:p w14:paraId="10A0255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9</w:t>
            </w:r>
          </w:p>
        </w:tc>
        <w:tc>
          <w:tcPr>
            <w:tcW w:w="851" w:type="dxa"/>
            <w:tcBorders>
              <w:top w:val="nil"/>
              <w:left w:val="nil"/>
              <w:bottom w:val="nil"/>
              <w:right w:val="nil"/>
            </w:tcBorders>
            <w:shd w:val="clear" w:color="auto" w:fill="FFFFFF"/>
            <w:vAlign w:val="center"/>
          </w:tcPr>
          <w:p w14:paraId="6AC480D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2,26</w:t>
            </w:r>
          </w:p>
        </w:tc>
        <w:tc>
          <w:tcPr>
            <w:tcW w:w="850" w:type="dxa"/>
            <w:tcBorders>
              <w:top w:val="nil"/>
              <w:left w:val="nil"/>
              <w:bottom w:val="nil"/>
              <w:right w:val="nil"/>
            </w:tcBorders>
            <w:shd w:val="clear" w:color="auto" w:fill="FFFFFF"/>
            <w:vAlign w:val="center"/>
          </w:tcPr>
          <w:p w14:paraId="0F8FD84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3,25</w:t>
            </w:r>
          </w:p>
        </w:tc>
        <w:tc>
          <w:tcPr>
            <w:tcW w:w="851" w:type="dxa"/>
            <w:tcBorders>
              <w:top w:val="nil"/>
              <w:left w:val="nil"/>
              <w:bottom w:val="nil"/>
              <w:right w:val="nil"/>
            </w:tcBorders>
            <w:shd w:val="clear" w:color="auto" w:fill="FFFFFF"/>
            <w:vAlign w:val="center"/>
          </w:tcPr>
          <w:p w14:paraId="1C69E92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4,78</w:t>
            </w:r>
          </w:p>
        </w:tc>
        <w:tc>
          <w:tcPr>
            <w:tcW w:w="709" w:type="dxa"/>
            <w:tcBorders>
              <w:top w:val="nil"/>
              <w:left w:val="nil"/>
              <w:bottom w:val="nil"/>
              <w:right w:val="nil"/>
            </w:tcBorders>
            <w:shd w:val="clear" w:color="auto" w:fill="FFFFFF"/>
            <w:vAlign w:val="center"/>
          </w:tcPr>
          <w:p w14:paraId="2622353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29</w:t>
            </w:r>
          </w:p>
        </w:tc>
        <w:tc>
          <w:tcPr>
            <w:tcW w:w="708" w:type="dxa"/>
            <w:tcBorders>
              <w:top w:val="nil"/>
              <w:left w:val="nil"/>
              <w:bottom w:val="nil"/>
              <w:right w:val="nil"/>
            </w:tcBorders>
            <w:shd w:val="clear" w:color="auto" w:fill="FFFFFF"/>
            <w:vAlign w:val="center"/>
          </w:tcPr>
          <w:p w14:paraId="096053B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2,04</w:t>
            </w:r>
          </w:p>
        </w:tc>
        <w:tc>
          <w:tcPr>
            <w:tcW w:w="945" w:type="dxa"/>
            <w:tcBorders>
              <w:top w:val="nil"/>
              <w:left w:val="nil"/>
              <w:bottom w:val="nil"/>
              <w:right w:val="nil"/>
            </w:tcBorders>
            <w:shd w:val="clear" w:color="auto" w:fill="FFFFFF"/>
            <w:vAlign w:val="center"/>
          </w:tcPr>
          <w:p w14:paraId="4F78CAC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2,76</w:t>
            </w:r>
          </w:p>
        </w:tc>
        <w:tc>
          <w:tcPr>
            <w:tcW w:w="1371" w:type="dxa"/>
            <w:tcBorders>
              <w:top w:val="nil"/>
              <w:left w:val="nil"/>
              <w:bottom w:val="nil"/>
              <w:right w:val="nil"/>
            </w:tcBorders>
            <w:shd w:val="clear" w:color="auto" w:fill="FFFFFF"/>
            <w:vAlign w:val="center"/>
          </w:tcPr>
          <w:p w14:paraId="6807333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3,66</w:t>
            </w:r>
          </w:p>
        </w:tc>
      </w:tr>
      <w:tr w:rsidR="001A2908" w:rsidRPr="00B07646" w14:paraId="3599DDEA" w14:textId="77777777" w:rsidTr="00F634DB">
        <w:trPr>
          <w:trHeight w:val="274"/>
          <w:jc w:val="center"/>
        </w:trPr>
        <w:tc>
          <w:tcPr>
            <w:tcW w:w="1370" w:type="dxa"/>
            <w:tcBorders>
              <w:top w:val="nil"/>
              <w:left w:val="nil"/>
              <w:bottom w:val="nil"/>
              <w:right w:val="nil"/>
            </w:tcBorders>
            <w:shd w:val="clear" w:color="auto" w:fill="FFFFFF"/>
            <w:vAlign w:val="center"/>
          </w:tcPr>
          <w:p w14:paraId="7C401B0C"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10</w:t>
            </w:r>
          </w:p>
        </w:tc>
        <w:tc>
          <w:tcPr>
            <w:tcW w:w="851" w:type="dxa"/>
            <w:tcBorders>
              <w:top w:val="nil"/>
              <w:left w:val="nil"/>
              <w:bottom w:val="nil"/>
              <w:right w:val="nil"/>
            </w:tcBorders>
            <w:shd w:val="clear" w:color="auto" w:fill="FFFFFF"/>
            <w:vAlign w:val="center"/>
          </w:tcPr>
          <w:p w14:paraId="425AA1D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2,23</w:t>
            </w:r>
          </w:p>
        </w:tc>
        <w:tc>
          <w:tcPr>
            <w:tcW w:w="850" w:type="dxa"/>
            <w:tcBorders>
              <w:top w:val="nil"/>
              <w:left w:val="nil"/>
              <w:bottom w:val="nil"/>
              <w:right w:val="nil"/>
            </w:tcBorders>
            <w:shd w:val="clear" w:color="auto" w:fill="FFFFFF"/>
            <w:vAlign w:val="center"/>
          </w:tcPr>
          <w:p w14:paraId="2A002A3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3,17</w:t>
            </w:r>
          </w:p>
        </w:tc>
        <w:tc>
          <w:tcPr>
            <w:tcW w:w="851" w:type="dxa"/>
            <w:tcBorders>
              <w:top w:val="nil"/>
              <w:left w:val="nil"/>
              <w:bottom w:val="nil"/>
              <w:right w:val="nil"/>
            </w:tcBorders>
            <w:shd w:val="clear" w:color="auto" w:fill="FFFFFF"/>
            <w:vAlign w:val="center"/>
          </w:tcPr>
          <w:p w14:paraId="635F9F9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4,59</w:t>
            </w:r>
          </w:p>
        </w:tc>
        <w:tc>
          <w:tcPr>
            <w:tcW w:w="709" w:type="dxa"/>
            <w:tcBorders>
              <w:top w:val="nil"/>
              <w:left w:val="nil"/>
              <w:bottom w:val="nil"/>
              <w:right w:val="nil"/>
            </w:tcBorders>
            <w:shd w:val="clear" w:color="auto" w:fill="FFFFFF"/>
            <w:vAlign w:val="center"/>
          </w:tcPr>
          <w:p w14:paraId="667B805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30</w:t>
            </w:r>
          </w:p>
        </w:tc>
        <w:tc>
          <w:tcPr>
            <w:tcW w:w="708" w:type="dxa"/>
            <w:tcBorders>
              <w:top w:val="nil"/>
              <w:left w:val="nil"/>
              <w:bottom w:val="nil"/>
              <w:right w:val="nil"/>
            </w:tcBorders>
            <w:shd w:val="clear" w:color="auto" w:fill="FFFFFF"/>
            <w:vAlign w:val="center"/>
          </w:tcPr>
          <w:p w14:paraId="2AF73A7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2,04</w:t>
            </w:r>
          </w:p>
        </w:tc>
        <w:tc>
          <w:tcPr>
            <w:tcW w:w="945" w:type="dxa"/>
            <w:tcBorders>
              <w:top w:val="nil"/>
              <w:left w:val="nil"/>
              <w:bottom w:val="nil"/>
              <w:right w:val="nil"/>
            </w:tcBorders>
            <w:shd w:val="clear" w:color="auto" w:fill="FFFFFF"/>
            <w:vAlign w:val="center"/>
          </w:tcPr>
          <w:p w14:paraId="698A84D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2,75</w:t>
            </w:r>
          </w:p>
        </w:tc>
        <w:tc>
          <w:tcPr>
            <w:tcW w:w="1371" w:type="dxa"/>
            <w:tcBorders>
              <w:top w:val="nil"/>
              <w:left w:val="nil"/>
              <w:bottom w:val="nil"/>
              <w:right w:val="nil"/>
            </w:tcBorders>
            <w:shd w:val="clear" w:color="auto" w:fill="FFFFFF"/>
            <w:vAlign w:val="center"/>
          </w:tcPr>
          <w:p w14:paraId="0216893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3,65</w:t>
            </w:r>
          </w:p>
        </w:tc>
      </w:tr>
      <w:tr w:rsidR="001A2908" w:rsidRPr="00B07646" w14:paraId="1D696DB9" w14:textId="77777777" w:rsidTr="00F634DB">
        <w:trPr>
          <w:trHeight w:val="274"/>
          <w:jc w:val="center"/>
        </w:trPr>
        <w:tc>
          <w:tcPr>
            <w:tcW w:w="1370" w:type="dxa"/>
            <w:tcBorders>
              <w:top w:val="nil"/>
              <w:left w:val="nil"/>
              <w:bottom w:val="nil"/>
              <w:right w:val="nil"/>
            </w:tcBorders>
            <w:shd w:val="clear" w:color="auto" w:fill="FFFFFF"/>
            <w:vAlign w:val="center"/>
          </w:tcPr>
          <w:p w14:paraId="6AE32DE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11</w:t>
            </w:r>
          </w:p>
        </w:tc>
        <w:tc>
          <w:tcPr>
            <w:tcW w:w="851" w:type="dxa"/>
            <w:tcBorders>
              <w:top w:val="nil"/>
              <w:left w:val="nil"/>
              <w:bottom w:val="nil"/>
              <w:right w:val="nil"/>
            </w:tcBorders>
            <w:shd w:val="clear" w:color="auto" w:fill="FFFFFF"/>
            <w:vAlign w:val="center"/>
          </w:tcPr>
          <w:p w14:paraId="2865DEB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2,20</w:t>
            </w:r>
          </w:p>
        </w:tc>
        <w:tc>
          <w:tcPr>
            <w:tcW w:w="850" w:type="dxa"/>
            <w:tcBorders>
              <w:top w:val="nil"/>
              <w:left w:val="nil"/>
              <w:bottom w:val="nil"/>
              <w:right w:val="nil"/>
            </w:tcBorders>
            <w:shd w:val="clear" w:color="auto" w:fill="FFFFFF"/>
            <w:vAlign w:val="center"/>
          </w:tcPr>
          <w:p w14:paraId="671E425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3,11</w:t>
            </w:r>
          </w:p>
        </w:tc>
        <w:tc>
          <w:tcPr>
            <w:tcW w:w="851" w:type="dxa"/>
            <w:tcBorders>
              <w:top w:val="nil"/>
              <w:left w:val="nil"/>
              <w:bottom w:val="nil"/>
              <w:right w:val="nil"/>
            </w:tcBorders>
            <w:shd w:val="clear" w:color="auto" w:fill="FFFFFF"/>
            <w:vAlign w:val="center"/>
          </w:tcPr>
          <w:p w14:paraId="0EE3C30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4,44</w:t>
            </w:r>
          </w:p>
        </w:tc>
        <w:tc>
          <w:tcPr>
            <w:tcW w:w="709" w:type="dxa"/>
            <w:tcBorders>
              <w:top w:val="nil"/>
              <w:left w:val="nil"/>
              <w:bottom w:val="nil"/>
              <w:right w:val="nil"/>
            </w:tcBorders>
            <w:shd w:val="clear" w:color="auto" w:fill="FFFFFF"/>
            <w:vAlign w:val="center"/>
          </w:tcPr>
          <w:p w14:paraId="52BC7DB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40</w:t>
            </w:r>
          </w:p>
        </w:tc>
        <w:tc>
          <w:tcPr>
            <w:tcW w:w="708" w:type="dxa"/>
            <w:tcBorders>
              <w:top w:val="nil"/>
              <w:left w:val="nil"/>
              <w:bottom w:val="nil"/>
              <w:right w:val="nil"/>
            </w:tcBorders>
            <w:shd w:val="clear" w:color="auto" w:fill="FFFFFF"/>
            <w:vAlign w:val="center"/>
          </w:tcPr>
          <w:p w14:paraId="243091F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2,02</w:t>
            </w:r>
          </w:p>
        </w:tc>
        <w:tc>
          <w:tcPr>
            <w:tcW w:w="945" w:type="dxa"/>
            <w:tcBorders>
              <w:top w:val="nil"/>
              <w:left w:val="nil"/>
              <w:bottom w:val="nil"/>
              <w:right w:val="nil"/>
            </w:tcBorders>
            <w:shd w:val="clear" w:color="auto" w:fill="FFFFFF"/>
            <w:vAlign w:val="center"/>
          </w:tcPr>
          <w:p w14:paraId="765D073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2,70</w:t>
            </w:r>
          </w:p>
        </w:tc>
        <w:tc>
          <w:tcPr>
            <w:tcW w:w="1371" w:type="dxa"/>
            <w:tcBorders>
              <w:top w:val="nil"/>
              <w:left w:val="nil"/>
              <w:bottom w:val="nil"/>
              <w:right w:val="nil"/>
            </w:tcBorders>
            <w:shd w:val="clear" w:color="auto" w:fill="FFFFFF"/>
            <w:vAlign w:val="center"/>
          </w:tcPr>
          <w:p w14:paraId="69EBFD8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3,55</w:t>
            </w:r>
          </w:p>
        </w:tc>
      </w:tr>
      <w:tr w:rsidR="001A2908" w:rsidRPr="00B07646" w14:paraId="18FB797F" w14:textId="77777777" w:rsidTr="00F634DB">
        <w:trPr>
          <w:trHeight w:val="274"/>
          <w:jc w:val="center"/>
        </w:trPr>
        <w:tc>
          <w:tcPr>
            <w:tcW w:w="1370" w:type="dxa"/>
            <w:tcBorders>
              <w:top w:val="nil"/>
              <w:left w:val="nil"/>
              <w:bottom w:val="nil"/>
              <w:right w:val="nil"/>
            </w:tcBorders>
            <w:shd w:val="clear" w:color="auto" w:fill="FFFFFF"/>
            <w:vAlign w:val="center"/>
          </w:tcPr>
          <w:p w14:paraId="70A3119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12</w:t>
            </w:r>
          </w:p>
        </w:tc>
        <w:tc>
          <w:tcPr>
            <w:tcW w:w="851" w:type="dxa"/>
            <w:tcBorders>
              <w:top w:val="nil"/>
              <w:left w:val="nil"/>
              <w:bottom w:val="nil"/>
              <w:right w:val="nil"/>
            </w:tcBorders>
            <w:shd w:val="clear" w:color="auto" w:fill="FFFFFF"/>
            <w:vAlign w:val="center"/>
          </w:tcPr>
          <w:p w14:paraId="3AE6E7A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2,18</w:t>
            </w:r>
          </w:p>
        </w:tc>
        <w:tc>
          <w:tcPr>
            <w:tcW w:w="850" w:type="dxa"/>
            <w:tcBorders>
              <w:top w:val="nil"/>
              <w:left w:val="nil"/>
              <w:bottom w:val="nil"/>
              <w:right w:val="nil"/>
            </w:tcBorders>
            <w:shd w:val="clear" w:color="auto" w:fill="FFFFFF"/>
            <w:vAlign w:val="center"/>
          </w:tcPr>
          <w:p w14:paraId="4752FAF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3,06</w:t>
            </w:r>
          </w:p>
        </w:tc>
        <w:tc>
          <w:tcPr>
            <w:tcW w:w="851" w:type="dxa"/>
            <w:tcBorders>
              <w:top w:val="nil"/>
              <w:left w:val="nil"/>
              <w:bottom w:val="nil"/>
              <w:right w:val="nil"/>
            </w:tcBorders>
            <w:shd w:val="clear" w:color="auto" w:fill="FFFFFF"/>
            <w:vAlign w:val="center"/>
          </w:tcPr>
          <w:p w14:paraId="5572C02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4,32</w:t>
            </w:r>
          </w:p>
        </w:tc>
        <w:tc>
          <w:tcPr>
            <w:tcW w:w="709" w:type="dxa"/>
            <w:tcBorders>
              <w:top w:val="nil"/>
              <w:left w:val="nil"/>
              <w:bottom w:val="nil"/>
              <w:right w:val="nil"/>
            </w:tcBorders>
            <w:shd w:val="clear" w:color="auto" w:fill="FFFFFF"/>
            <w:vAlign w:val="center"/>
          </w:tcPr>
          <w:p w14:paraId="2E41892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50</w:t>
            </w:r>
          </w:p>
        </w:tc>
        <w:tc>
          <w:tcPr>
            <w:tcW w:w="708" w:type="dxa"/>
            <w:tcBorders>
              <w:top w:val="nil"/>
              <w:left w:val="nil"/>
              <w:bottom w:val="nil"/>
              <w:right w:val="nil"/>
            </w:tcBorders>
            <w:shd w:val="clear" w:color="auto" w:fill="FFFFFF"/>
            <w:vAlign w:val="center"/>
          </w:tcPr>
          <w:p w14:paraId="23369A5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2,01</w:t>
            </w:r>
          </w:p>
        </w:tc>
        <w:tc>
          <w:tcPr>
            <w:tcW w:w="945" w:type="dxa"/>
            <w:tcBorders>
              <w:top w:val="nil"/>
              <w:left w:val="nil"/>
              <w:bottom w:val="nil"/>
              <w:right w:val="nil"/>
            </w:tcBorders>
            <w:shd w:val="clear" w:color="auto" w:fill="FFFFFF"/>
            <w:vAlign w:val="center"/>
          </w:tcPr>
          <w:p w14:paraId="00CBF64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2,68</w:t>
            </w:r>
          </w:p>
        </w:tc>
        <w:tc>
          <w:tcPr>
            <w:tcW w:w="1371" w:type="dxa"/>
            <w:tcBorders>
              <w:top w:val="nil"/>
              <w:left w:val="nil"/>
              <w:bottom w:val="nil"/>
              <w:right w:val="nil"/>
            </w:tcBorders>
            <w:shd w:val="clear" w:color="auto" w:fill="FFFFFF"/>
            <w:vAlign w:val="center"/>
          </w:tcPr>
          <w:p w14:paraId="2BB34F7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3,50</w:t>
            </w:r>
          </w:p>
        </w:tc>
      </w:tr>
      <w:tr w:rsidR="001A2908" w:rsidRPr="00B07646" w14:paraId="02EE8896" w14:textId="77777777" w:rsidTr="00F634DB">
        <w:trPr>
          <w:trHeight w:val="274"/>
          <w:jc w:val="center"/>
        </w:trPr>
        <w:tc>
          <w:tcPr>
            <w:tcW w:w="1370" w:type="dxa"/>
            <w:tcBorders>
              <w:top w:val="nil"/>
              <w:left w:val="nil"/>
              <w:bottom w:val="nil"/>
              <w:right w:val="nil"/>
            </w:tcBorders>
            <w:shd w:val="clear" w:color="auto" w:fill="FFFFFF"/>
            <w:vAlign w:val="center"/>
          </w:tcPr>
          <w:p w14:paraId="0270BB2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13</w:t>
            </w:r>
          </w:p>
        </w:tc>
        <w:tc>
          <w:tcPr>
            <w:tcW w:w="851" w:type="dxa"/>
            <w:tcBorders>
              <w:top w:val="nil"/>
              <w:left w:val="nil"/>
              <w:bottom w:val="nil"/>
              <w:right w:val="nil"/>
            </w:tcBorders>
            <w:shd w:val="clear" w:color="auto" w:fill="FFFFFF"/>
            <w:vAlign w:val="center"/>
          </w:tcPr>
          <w:p w14:paraId="39C8268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2,16</w:t>
            </w:r>
          </w:p>
        </w:tc>
        <w:tc>
          <w:tcPr>
            <w:tcW w:w="850" w:type="dxa"/>
            <w:tcBorders>
              <w:top w:val="nil"/>
              <w:left w:val="nil"/>
              <w:bottom w:val="nil"/>
              <w:right w:val="nil"/>
            </w:tcBorders>
            <w:shd w:val="clear" w:color="auto" w:fill="FFFFFF"/>
            <w:vAlign w:val="center"/>
          </w:tcPr>
          <w:p w14:paraId="4E7B3EC9"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3,01</w:t>
            </w:r>
          </w:p>
        </w:tc>
        <w:tc>
          <w:tcPr>
            <w:tcW w:w="851" w:type="dxa"/>
            <w:tcBorders>
              <w:top w:val="nil"/>
              <w:left w:val="nil"/>
              <w:bottom w:val="nil"/>
              <w:right w:val="nil"/>
            </w:tcBorders>
            <w:shd w:val="clear" w:color="auto" w:fill="FFFFFF"/>
            <w:vAlign w:val="center"/>
          </w:tcPr>
          <w:p w14:paraId="6924721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4,22</w:t>
            </w:r>
          </w:p>
        </w:tc>
        <w:tc>
          <w:tcPr>
            <w:tcW w:w="709" w:type="dxa"/>
            <w:tcBorders>
              <w:top w:val="nil"/>
              <w:left w:val="nil"/>
              <w:bottom w:val="nil"/>
              <w:right w:val="nil"/>
            </w:tcBorders>
            <w:shd w:val="clear" w:color="auto" w:fill="FFFFFF"/>
            <w:vAlign w:val="center"/>
          </w:tcPr>
          <w:p w14:paraId="363AE59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60</w:t>
            </w:r>
          </w:p>
        </w:tc>
        <w:tc>
          <w:tcPr>
            <w:tcW w:w="708" w:type="dxa"/>
            <w:tcBorders>
              <w:top w:val="nil"/>
              <w:left w:val="nil"/>
              <w:bottom w:val="nil"/>
              <w:right w:val="nil"/>
            </w:tcBorders>
            <w:shd w:val="clear" w:color="auto" w:fill="FFFFFF"/>
            <w:vAlign w:val="center"/>
          </w:tcPr>
          <w:p w14:paraId="0C86423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2,00</w:t>
            </w:r>
          </w:p>
        </w:tc>
        <w:tc>
          <w:tcPr>
            <w:tcW w:w="945" w:type="dxa"/>
            <w:tcBorders>
              <w:top w:val="nil"/>
              <w:left w:val="nil"/>
              <w:bottom w:val="nil"/>
              <w:right w:val="nil"/>
            </w:tcBorders>
            <w:shd w:val="clear" w:color="auto" w:fill="FFFFFF"/>
            <w:vAlign w:val="center"/>
          </w:tcPr>
          <w:p w14:paraId="15A6536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2,66</w:t>
            </w:r>
          </w:p>
        </w:tc>
        <w:tc>
          <w:tcPr>
            <w:tcW w:w="1371" w:type="dxa"/>
            <w:tcBorders>
              <w:top w:val="nil"/>
              <w:left w:val="nil"/>
              <w:bottom w:val="nil"/>
              <w:right w:val="nil"/>
            </w:tcBorders>
            <w:shd w:val="clear" w:color="auto" w:fill="FFFFFF"/>
            <w:vAlign w:val="center"/>
          </w:tcPr>
          <w:p w14:paraId="28DB5F9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3,46</w:t>
            </w:r>
          </w:p>
        </w:tc>
      </w:tr>
      <w:tr w:rsidR="001A2908" w:rsidRPr="00B07646" w14:paraId="715FF33C" w14:textId="77777777" w:rsidTr="00F634DB">
        <w:trPr>
          <w:trHeight w:val="274"/>
          <w:jc w:val="center"/>
        </w:trPr>
        <w:tc>
          <w:tcPr>
            <w:tcW w:w="1370" w:type="dxa"/>
            <w:tcBorders>
              <w:top w:val="nil"/>
              <w:left w:val="nil"/>
              <w:bottom w:val="nil"/>
              <w:right w:val="nil"/>
            </w:tcBorders>
            <w:shd w:val="clear" w:color="auto" w:fill="FFFFFF"/>
            <w:vAlign w:val="center"/>
          </w:tcPr>
          <w:p w14:paraId="13FA917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14</w:t>
            </w:r>
          </w:p>
        </w:tc>
        <w:tc>
          <w:tcPr>
            <w:tcW w:w="851" w:type="dxa"/>
            <w:tcBorders>
              <w:top w:val="nil"/>
              <w:left w:val="nil"/>
              <w:bottom w:val="nil"/>
              <w:right w:val="nil"/>
            </w:tcBorders>
            <w:shd w:val="clear" w:color="auto" w:fill="FFFFFF"/>
            <w:vAlign w:val="center"/>
          </w:tcPr>
          <w:p w14:paraId="0EABA48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2,15</w:t>
            </w:r>
          </w:p>
        </w:tc>
        <w:tc>
          <w:tcPr>
            <w:tcW w:w="850" w:type="dxa"/>
            <w:tcBorders>
              <w:top w:val="nil"/>
              <w:left w:val="nil"/>
              <w:bottom w:val="nil"/>
              <w:right w:val="nil"/>
            </w:tcBorders>
            <w:shd w:val="clear" w:color="auto" w:fill="FFFFFF"/>
            <w:vAlign w:val="center"/>
          </w:tcPr>
          <w:p w14:paraId="69D3AA2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2,98</w:t>
            </w:r>
          </w:p>
        </w:tc>
        <w:tc>
          <w:tcPr>
            <w:tcW w:w="851" w:type="dxa"/>
            <w:tcBorders>
              <w:top w:val="nil"/>
              <w:left w:val="nil"/>
              <w:bottom w:val="nil"/>
              <w:right w:val="nil"/>
            </w:tcBorders>
            <w:shd w:val="clear" w:color="auto" w:fill="FFFFFF"/>
            <w:vAlign w:val="center"/>
          </w:tcPr>
          <w:p w14:paraId="7833959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4,14</w:t>
            </w:r>
          </w:p>
        </w:tc>
        <w:tc>
          <w:tcPr>
            <w:tcW w:w="709" w:type="dxa"/>
            <w:tcBorders>
              <w:top w:val="nil"/>
              <w:left w:val="nil"/>
              <w:bottom w:val="nil"/>
              <w:right w:val="nil"/>
            </w:tcBorders>
            <w:shd w:val="clear" w:color="auto" w:fill="FFFFFF"/>
            <w:vAlign w:val="center"/>
          </w:tcPr>
          <w:p w14:paraId="6DFE087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80</w:t>
            </w:r>
          </w:p>
        </w:tc>
        <w:tc>
          <w:tcPr>
            <w:tcW w:w="708" w:type="dxa"/>
            <w:tcBorders>
              <w:top w:val="nil"/>
              <w:left w:val="nil"/>
              <w:bottom w:val="nil"/>
              <w:right w:val="nil"/>
            </w:tcBorders>
            <w:shd w:val="clear" w:color="auto" w:fill="FFFFFF"/>
            <w:vAlign w:val="center"/>
          </w:tcPr>
          <w:p w14:paraId="45976B9C"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1,99</w:t>
            </w:r>
          </w:p>
        </w:tc>
        <w:tc>
          <w:tcPr>
            <w:tcW w:w="945" w:type="dxa"/>
            <w:tcBorders>
              <w:top w:val="nil"/>
              <w:left w:val="nil"/>
              <w:bottom w:val="nil"/>
              <w:right w:val="nil"/>
            </w:tcBorders>
            <w:shd w:val="clear" w:color="auto" w:fill="FFFFFF"/>
            <w:vAlign w:val="center"/>
          </w:tcPr>
          <w:p w14:paraId="5D082A4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2,64</w:t>
            </w:r>
          </w:p>
        </w:tc>
        <w:tc>
          <w:tcPr>
            <w:tcW w:w="1371" w:type="dxa"/>
            <w:tcBorders>
              <w:top w:val="nil"/>
              <w:left w:val="nil"/>
              <w:bottom w:val="nil"/>
              <w:right w:val="nil"/>
            </w:tcBorders>
            <w:shd w:val="clear" w:color="auto" w:fill="FFFFFF"/>
            <w:vAlign w:val="center"/>
          </w:tcPr>
          <w:p w14:paraId="1D4B6B4C"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3,42</w:t>
            </w:r>
          </w:p>
        </w:tc>
      </w:tr>
      <w:tr w:rsidR="001A2908" w:rsidRPr="00B07646" w14:paraId="3AE8335A" w14:textId="77777777" w:rsidTr="00F634DB">
        <w:trPr>
          <w:trHeight w:val="274"/>
          <w:jc w:val="center"/>
        </w:trPr>
        <w:tc>
          <w:tcPr>
            <w:tcW w:w="1370" w:type="dxa"/>
            <w:tcBorders>
              <w:top w:val="nil"/>
              <w:left w:val="nil"/>
              <w:bottom w:val="nil"/>
              <w:right w:val="nil"/>
            </w:tcBorders>
            <w:shd w:val="clear" w:color="auto" w:fill="FFFFFF"/>
            <w:vAlign w:val="center"/>
          </w:tcPr>
          <w:p w14:paraId="09034095"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15</w:t>
            </w:r>
          </w:p>
        </w:tc>
        <w:tc>
          <w:tcPr>
            <w:tcW w:w="851" w:type="dxa"/>
            <w:tcBorders>
              <w:top w:val="nil"/>
              <w:left w:val="nil"/>
              <w:bottom w:val="nil"/>
              <w:right w:val="nil"/>
            </w:tcBorders>
            <w:shd w:val="clear" w:color="auto" w:fill="FFFFFF"/>
            <w:vAlign w:val="center"/>
          </w:tcPr>
          <w:p w14:paraId="5CD14A4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2,13</w:t>
            </w:r>
          </w:p>
        </w:tc>
        <w:tc>
          <w:tcPr>
            <w:tcW w:w="850" w:type="dxa"/>
            <w:tcBorders>
              <w:top w:val="nil"/>
              <w:left w:val="nil"/>
              <w:bottom w:val="nil"/>
              <w:right w:val="nil"/>
            </w:tcBorders>
            <w:shd w:val="clear" w:color="auto" w:fill="FFFFFF"/>
            <w:vAlign w:val="center"/>
          </w:tcPr>
          <w:p w14:paraId="641C525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2,95</w:t>
            </w:r>
          </w:p>
        </w:tc>
        <w:tc>
          <w:tcPr>
            <w:tcW w:w="851" w:type="dxa"/>
            <w:tcBorders>
              <w:top w:val="nil"/>
              <w:left w:val="nil"/>
              <w:bottom w:val="nil"/>
              <w:right w:val="nil"/>
            </w:tcBorders>
            <w:shd w:val="clear" w:color="auto" w:fill="FFFFFF"/>
            <w:vAlign w:val="center"/>
          </w:tcPr>
          <w:p w14:paraId="2D8F18A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4,07</w:t>
            </w:r>
          </w:p>
        </w:tc>
        <w:tc>
          <w:tcPr>
            <w:tcW w:w="709" w:type="dxa"/>
            <w:tcBorders>
              <w:top w:val="nil"/>
              <w:left w:val="nil"/>
              <w:bottom w:val="nil"/>
              <w:right w:val="nil"/>
            </w:tcBorders>
            <w:shd w:val="clear" w:color="auto" w:fill="FFFFFF"/>
            <w:vAlign w:val="center"/>
          </w:tcPr>
          <w:p w14:paraId="65B100E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100</w:t>
            </w:r>
          </w:p>
        </w:tc>
        <w:tc>
          <w:tcPr>
            <w:tcW w:w="708" w:type="dxa"/>
            <w:tcBorders>
              <w:top w:val="nil"/>
              <w:left w:val="nil"/>
              <w:bottom w:val="nil"/>
              <w:right w:val="nil"/>
            </w:tcBorders>
            <w:shd w:val="clear" w:color="auto" w:fill="FFFFFF"/>
            <w:vAlign w:val="center"/>
          </w:tcPr>
          <w:p w14:paraId="527D6A8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1,98</w:t>
            </w:r>
          </w:p>
        </w:tc>
        <w:tc>
          <w:tcPr>
            <w:tcW w:w="945" w:type="dxa"/>
            <w:tcBorders>
              <w:top w:val="nil"/>
              <w:left w:val="nil"/>
              <w:bottom w:val="nil"/>
              <w:right w:val="nil"/>
            </w:tcBorders>
            <w:shd w:val="clear" w:color="auto" w:fill="FFFFFF"/>
            <w:vAlign w:val="center"/>
          </w:tcPr>
          <w:p w14:paraId="306C7C22"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2,63</w:t>
            </w:r>
          </w:p>
        </w:tc>
        <w:tc>
          <w:tcPr>
            <w:tcW w:w="1371" w:type="dxa"/>
            <w:tcBorders>
              <w:top w:val="nil"/>
              <w:left w:val="nil"/>
              <w:bottom w:val="nil"/>
              <w:right w:val="nil"/>
            </w:tcBorders>
            <w:shd w:val="clear" w:color="auto" w:fill="FFFFFF"/>
            <w:vAlign w:val="center"/>
          </w:tcPr>
          <w:p w14:paraId="4CE2FBF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3,39</w:t>
            </w:r>
          </w:p>
        </w:tc>
      </w:tr>
      <w:tr w:rsidR="001A2908" w:rsidRPr="00B07646" w14:paraId="328F7243" w14:textId="77777777" w:rsidTr="00F634DB">
        <w:trPr>
          <w:trHeight w:val="274"/>
          <w:jc w:val="center"/>
        </w:trPr>
        <w:tc>
          <w:tcPr>
            <w:tcW w:w="1370" w:type="dxa"/>
            <w:tcBorders>
              <w:top w:val="nil"/>
              <w:left w:val="nil"/>
              <w:bottom w:val="nil"/>
              <w:right w:val="nil"/>
            </w:tcBorders>
            <w:shd w:val="clear" w:color="auto" w:fill="FFFFFF"/>
            <w:vAlign w:val="center"/>
          </w:tcPr>
          <w:p w14:paraId="7906E5A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lastRenderedPageBreak/>
              <w:t>16</w:t>
            </w:r>
          </w:p>
        </w:tc>
        <w:tc>
          <w:tcPr>
            <w:tcW w:w="851" w:type="dxa"/>
            <w:tcBorders>
              <w:top w:val="nil"/>
              <w:left w:val="nil"/>
              <w:bottom w:val="nil"/>
              <w:right w:val="nil"/>
            </w:tcBorders>
            <w:shd w:val="clear" w:color="auto" w:fill="FFFFFF"/>
            <w:vAlign w:val="center"/>
          </w:tcPr>
          <w:p w14:paraId="18A4147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2,12</w:t>
            </w:r>
          </w:p>
        </w:tc>
        <w:tc>
          <w:tcPr>
            <w:tcW w:w="850" w:type="dxa"/>
            <w:tcBorders>
              <w:top w:val="nil"/>
              <w:left w:val="nil"/>
              <w:bottom w:val="nil"/>
              <w:right w:val="nil"/>
            </w:tcBorders>
            <w:shd w:val="clear" w:color="auto" w:fill="FFFFFF"/>
            <w:vAlign w:val="center"/>
          </w:tcPr>
          <w:p w14:paraId="69B24EC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2,92</w:t>
            </w:r>
          </w:p>
        </w:tc>
        <w:tc>
          <w:tcPr>
            <w:tcW w:w="851" w:type="dxa"/>
            <w:tcBorders>
              <w:top w:val="nil"/>
              <w:left w:val="nil"/>
              <w:bottom w:val="nil"/>
              <w:right w:val="nil"/>
            </w:tcBorders>
            <w:shd w:val="clear" w:color="auto" w:fill="FFFFFF"/>
            <w:vAlign w:val="center"/>
          </w:tcPr>
          <w:p w14:paraId="78852CE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4,02</w:t>
            </w:r>
          </w:p>
        </w:tc>
        <w:tc>
          <w:tcPr>
            <w:tcW w:w="709" w:type="dxa"/>
            <w:tcBorders>
              <w:top w:val="nil"/>
              <w:left w:val="nil"/>
              <w:bottom w:val="nil"/>
              <w:right w:val="nil"/>
            </w:tcBorders>
            <w:shd w:val="clear" w:color="auto" w:fill="FFFFFF"/>
            <w:vAlign w:val="center"/>
          </w:tcPr>
          <w:p w14:paraId="2818FA2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120</w:t>
            </w:r>
          </w:p>
        </w:tc>
        <w:tc>
          <w:tcPr>
            <w:tcW w:w="708" w:type="dxa"/>
            <w:tcBorders>
              <w:top w:val="nil"/>
              <w:left w:val="nil"/>
              <w:bottom w:val="nil"/>
              <w:right w:val="nil"/>
            </w:tcBorders>
            <w:shd w:val="clear" w:color="auto" w:fill="FFFFFF"/>
            <w:vAlign w:val="center"/>
          </w:tcPr>
          <w:p w14:paraId="6142833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1,98</w:t>
            </w:r>
          </w:p>
        </w:tc>
        <w:tc>
          <w:tcPr>
            <w:tcW w:w="945" w:type="dxa"/>
            <w:tcBorders>
              <w:top w:val="nil"/>
              <w:left w:val="nil"/>
              <w:bottom w:val="nil"/>
              <w:right w:val="nil"/>
            </w:tcBorders>
            <w:shd w:val="clear" w:color="auto" w:fill="FFFFFF"/>
            <w:vAlign w:val="center"/>
          </w:tcPr>
          <w:p w14:paraId="4FB099E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2,62</w:t>
            </w:r>
          </w:p>
        </w:tc>
        <w:tc>
          <w:tcPr>
            <w:tcW w:w="1371" w:type="dxa"/>
            <w:tcBorders>
              <w:top w:val="nil"/>
              <w:left w:val="nil"/>
              <w:bottom w:val="nil"/>
              <w:right w:val="nil"/>
            </w:tcBorders>
            <w:shd w:val="clear" w:color="auto" w:fill="FFFFFF"/>
            <w:vAlign w:val="center"/>
          </w:tcPr>
          <w:p w14:paraId="450D840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3,37</w:t>
            </w:r>
          </w:p>
        </w:tc>
      </w:tr>
      <w:tr w:rsidR="001A2908" w:rsidRPr="00B07646" w14:paraId="63017117" w14:textId="77777777" w:rsidTr="00F634DB">
        <w:trPr>
          <w:trHeight w:val="274"/>
          <w:jc w:val="center"/>
        </w:trPr>
        <w:tc>
          <w:tcPr>
            <w:tcW w:w="1370" w:type="dxa"/>
            <w:tcBorders>
              <w:top w:val="nil"/>
              <w:left w:val="nil"/>
              <w:bottom w:val="nil"/>
              <w:right w:val="nil"/>
            </w:tcBorders>
            <w:shd w:val="clear" w:color="auto" w:fill="FFFFFF"/>
            <w:vAlign w:val="center"/>
          </w:tcPr>
          <w:p w14:paraId="441F4D2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17</w:t>
            </w:r>
          </w:p>
        </w:tc>
        <w:tc>
          <w:tcPr>
            <w:tcW w:w="851" w:type="dxa"/>
            <w:tcBorders>
              <w:top w:val="nil"/>
              <w:left w:val="nil"/>
              <w:bottom w:val="nil"/>
              <w:right w:val="nil"/>
            </w:tcBorders>
            <w:shd w:val="clear" w:color="auto" w:fill="FFFFFF"/>
            <w:vAlign w:val="center"/>
          </w:tcPr>
          <w:p w14:paraId="7FDECE31"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2,11</w:t>
            </w:r>
          </w:p>
        </w:tc>
        <w:tc>
          <w:tcPr>
            <w:tcW w:w="850" w:type="dxa"/>
            <w:tcBorders>
              <w:top w:val="nil"/>
              <w:left w:val="nil"/>
              <w:bottom w:val="nil"/>
              <w:right w:val="nil"/>
            </w:tcBorders>
            <w:shd w:val="clear" w:color="auto" w:fill="FFFFFF"/>
            <w:vAlign w:val="center"/>
          </w:tcPr>
          <w:p w14:paraId="21991A8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2,90</w:t>
            </w:r>
          </w:p>
        </w:tc>
        <w:tc>
          <w:tcPr>
            <w:tcW w:w="851" w:type="dxa"/>
            <w:tcBorders>
              <w:top w:val="nil"/>
              <w:left w:val="nil"/>
              <w:bottom w:val="nil"/>
              <w:right w:val="nil"/>
            </w:tcBorders>
            <w:shd w:val="clear" w:color="auto" w:fill="FFFFFF"/>
            <w:vAlign w:val="center"/>
          </w:tcPr>
          <w:p w14:paraId="099B4FB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3,97</w:t>
            </w:r>
          </w:p>
        </w:tc>
        <w:tc>
          <w:tcPr>
            <w:tcW w:w="709" w:type="dxa"/>
            <w:tcBorders>
              <w:top w:val="nil"/>
              <w:left w:val="nil"/>
              <w:bottom w:val="nil"/>
              <w:right w:val="nil"/>
            </w:tcBorders>
            <w:shd w:val="clear" w:color="auto" w:fill="FFFFFF"/>
            <w:vAlign w:val="center"/>
          </w:tcPr>
          <w:p w14:paraId="264EBCF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200</w:t>
            </w:r>
          </w:p>
        </w:tc>
        <w:tc>
          <w:tcPr>
            <w:tcW w:w="708" w:type="dxa"/>
            <w:tcBorders>
              <w:top w:val="nil"/>
              <w:left w:val="nil"/>
              <w:bottom w:val="nil"/>
              <w:right w:val="nil"/>
            </w:tcBorders>
            <w:shd w:val="clear" w:color="auto" w:fill="FFFFFF"/>
            <w:vAlign w:val="center"/>
          </w:tcPr>
          <w:p w14:paraId="35B3DECB"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1,97</w:t>
            </w:r>
          </w:p>
        </w:tc>
        <w:tc>
          <w:tcPr>
            <w:tcW w:w="945" w:type="dxa"/>
            <w:tcBorders>
              <w:top w:val="nil"/>
              <w:left w:val="nil"/>
              <w:bottom w:val="nil"/>
              <w:right w:val="nil"/>
            </w:tcBorders>
            <w:shd w:val="clear" w:color="auto" w:fill="FFFFFF"/>
            <w:vAlign w:val="center"/>
          </w:tcPr>
          <w:p w14:paraId="5076D8C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2,60</w:t>
            </w:r>
          </w:p>
        </w:tc>
        <w:tc>
          <w:tcPr>
            <w:tcW w:w="1371" w:type="dxa"/>
            <w:tcBorders>
              <w:top w:val="nil"/>
              <w:left w:val="nil"/>
              <w:bottom w:val="nil"/>
              <w:right w:val="nil"/>
            </w:tcBorders>
            <w:shd w:val="clear" w:color="auto" w:fill="FFFFFF"/>
            <w:vAlign w:val="center"/>
          </w:tcPr>
          <w:p w14:paraId="7A672B9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3,34</w:t>
            </w:r>
          </w:p>
        </w:tc>
      </w:tr>
      <w:tr w:rsidR="001A2908" w:rsidRPr="00B07646" w14:paraId="71E29FC9" w14:textId="77777777" w:rsidTr="00F634DB">
        <w:trPr>
          <w:trHeight w:val="274"/>
          <w:jc w:val="center"/>
        </w:trPr>
        <w:tc>
          <w:tcPr>
            <w:tcW w:w="1370" w:type="dxa"/>
            <w:tcBorders>
              <w:top w:val="nil"/>
              <w:left w:val="nil"/>
              <w:bottom w:val="nil"/>
              <w:right w:val="nil"/>
            </w:tcBorders>
            <w:shd w:val="clear" w:color="auto" w:fill="FFFFFF"/>
            <w:vAlign w:val="center"/>
          </w:tcPr>
          <w:p w14:paraId="495C62C9"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18</w:t>
            </w:r>
          </w:p>
        </w:tc>
        <w:tc>
          <w:tcPr>
            <w:tcW w:w="851" w:type="dxa"/>
            <w:tcBorders>
              <w:top w:val="nil"/>
              <w:left w:val="nil"/>
              <w:bottom w:val="nil"/>
              <w:right w:val="nil"/>
            </w:tcBorders>
            <w:shd w:val="clear" w:color="auto" w:fill="FFFFFF"/>
            <w:vAlign w:val="center"/>
          </w:tcPr>
          <w:p w14:paraId="78469447"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2,10</w:t>
            </w:r>
          </w:p>
        </w:tc>
        <w:tc>
          <w:tcPr>
            <w:tcW w:w="850" w:type="dxa"/>
            <w:tcBorders>
              <w:top w:val="nil"/>
              <w:left w:val="nil"/>
              <w:bottom w:val="nil"/>
              <w:right w:val="nil"/>
            </w:tcBorders>
            <w:shd w:val="clear" w:color="auto" w:fill="FFFFFF"/>
            <w:vAlign w:val="center"/>
          </w:tcPr>
          <w:p w14:paraId="46B3712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2,88</w:t>
            </w:r>
          </w:p>
        </w:tc>
        <w:tc>
          <w:tcPr>
            <w:tcW w:w="851" w:type="dxa"/>
            <w:tcBorders>
              <w:top w:val="nil"/>
              <w:left w:val="nil"/>
              <w:bottom w:val="nil"/>
              <w:right w:val="nil"/>
            </w:tcBorders>
            <w:shd w:val="clear" w:color="auto" w:fill="FFFFFF"/>
            <w:vAlign w:val="center"/>
          </w:tcPr>
          <w:p w14:paraId="6D08239A"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3,92</w:t>
            </w:r>
          </w:p>
        </w:tc>
        <w:tc>
          <w:tcPr>
            <w:tcW w:w="709" w:type="dxa"/>
            <w:tcBorders>
              <w:top w:val="nil"/>
              <w:left w:val="nil"/>
              <w:bottom w:val="nil"/>
              <w:right w:val="nil"/>
            </w:tcBorders>
            <w:shd w:val="clear" w:color="auto" w:fill="FFFFFF"/>
            <w:vAlign w:val="center"/>
          </w:tcPr>
          <w:p w14:paraId="6C4ACD9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500</w:t>
            </w:r>
          </w:p>
        </w:tc>
        <w:tc>
          <w:tcPr>
            <w:tcW w:w="708" w:type="dxa"/>
            <w:tcBorders>
              <w:top w:val="nil"/>
              <w:left w:val="nil"/>
              <w:bottom w:val="nil"/>
              <w:right w:val="nil"/>
            </w:tcBorders>
            <w:shd w:val="clear" w:color="auto" w:fill="FFFFFF"/>
            <w:vAlign w:val="center"/>
          </w:tcPr>
          <w:p w14:paraId="0CBF1E36"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1,96</w:t>
            </w:r>
          </w:p>
        </w:tc>
        <w:tc>
          <w:tcPr>
            <w:tcW w:w="945" w:type="dxa"/>
            <w:tcBorders>
              <w:top w:val="nil"/>
              <w:left w:val="nil"/>
              <w:bottom w:val="nil"/>
              <w:right w:val="nil"/>
            </w:tcBorders>
            <w:shd w:val="clear" w:color="auto" w:fill="FFFFFF"/>
            <w:vAlign w:val="center"/>
          </w:tcPr>
          <w:p w14:paraId="1AF6C22E"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2,59</w:t>
            </w:r>
          </w:p>
        </w:tc>
        <w:tc>
          <w:tcPr>
            <w:tcW w:w="1371" w:type="dxa"/>
            <w:tcBorders>
              <w:top w:val="nil"/>
              <w:left w:val="nil"/>
              <w:bottom w:val="nil"/>
              <w:right w:val="nil"/>
            </w:tcBorders>
            <w:shd w:val="clear" w:color="auto" w:fill="FFFFFF"/>
            <w:vAlign w:val="center"/>
          </w:tcPr>
          <w:p w14:paraId="078419E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3,31</w:t>
            </w:r>
          </w:p>
        </w:tc>
      </w:tr>
      <w:tr w:rsidR="001A2908" w:rsidRPr="00B07646" w14:paraId="296EB19F" w14:textId="77777777" w:rsidTr="00F634DB">
        <w:trPr>
          <w:trHeight w:val="274"/>
          <w:jc w:val="center"/>
        </w:trPr>
        <w:tc>
          <w:tcPr>
            <w:tcW w:w="1370" w:type="dxa"/>
            <w:tcBorders>
              <w:top w:val="nil"/>
              <w:left w:val="nil"/>
              <w:bottom w:val="nil"/>
              <w:right w:val="nil"/>
            </w:tcBorders>
            <w:shd w:val="clear" w:color="auto" w:fill="FFFFFF"/>
            <w:vAlign w:val="center"/>
          </w:tcPr>
          <w:p w14:paraId="1E18DF4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w:t>
            </w:r>
          </w:p>
        </w:tc>
        <w:tc>
          <w:tcPr>
            <w:tcW w:w="851" w:type="dxa"/>
            <w:tcBorders>
              <w:top w:val="nil"/>
              <w:left w:val="nil"/>
              <w:bottom w:val="nil"/>
              <w:right w:val="nil"/>
            </w:tcBorders>
            <w:shd w:val="clear" w:color="auto" w:fill="FFFFFF"/>
            <w:vAlign w:val="center"/>
          </w:tcPr>
          <w:p w14:paraId="3B3B5B6C"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2,09</w:t>
            </w:r>
          </w:p>
        </w:tc>
        <w:tc>
          <w:tcPr>
            <w:tcW w:w="850" w:type="dxa"/>
            <w:tcBorders>
              <w:top w:val="nil"/>
              <w:left w:val="nil"/>
              <w:bottom w:val="nil"/>
              <w:right w:val="nil"/>
            </w:tcBorders>
            <w:shd w:val="clear" w:color="auto" w:fill="FFFFFF"/>
            <w:vAlign w:val="center"/>
          </w:tcPr>
          <w:p w14:paraId="6F2F1EE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2,86</w:t>
            </w:r>
          </w:p>
        </w:tc>
        <w:tc>
          <w:tcPr>
            <w:tcW w:w="851" w:type="dxa"/>
            <w:tcBorders>
              <w:top w:val="nil"/>
              <w:left w:val="nil"/>
              <w:bottom w:val="nil"/>
              <w:right w:val="nil"/>
            </w:tcBorders>
            <w:shd w:val="clear" w:color="auto" w:fill="FFFFFF"/>
            <w:vAlign w:val="center"/>
          </w:tcPr>
          <w:p w14:paraId="7DC0F6CD"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3,88</w:t>
            </w:r>
          </w:p>
        </w:tc>
        <w:tc>
          <w:tcPr>
            <w:tcW w:w="709" w:type="dxa"/>
            <w:tcBorders>
              <w:top w:val="nil"/>
              <w:left w:val="nil"/>
              <w:bottom w:val="nil"/>
              <w:right w:val="nil"/>
            </w:tcBorders>
            <w:shd w:val="clear" w:color="auto" w:fill="FFFFFF"/>
            <w:vAlign w:val="center"/>
          </w:tcPr>
          <w:p w14:paraId="6EC91EEA" w14:textId="77777777" w:rsidR="001A2908" w:rsidRPr="00B07646" w:rsidRDefault="001A2908" w:rsidP="001A2908">
            <w:pPr>
              <w:spacing w:after="120"/>
              <w:jc w:val="center"/>
              <w:rPr>
                <w:rFonts w:eastAsia="Times New Roman" w:cs="Times New Roman"/>
                <w:color w:val="auto"/>
                <w:sz w:val="20"/>
                <w:szCs w:val="20"/>
              </w:rPr>
            </w:pPr>
            <m:oMathPara>
              <m:oMath>
                <m:r>
                  <w:rPr>
                    <w:rFonts w:ascii="Cambria Math" w:eastAsia="Times New Roman" w:hAnsi="Cambria Math" w:cs="Times New Roman"/>
                    <w:sz w:val="20"/>
                    <w:szCs w:val="20"/>
                  </w:rPr>
                  <m:t>∞</m:t>
                </m:r>
              </m:oMath>
            </m:oMathPara>
          </w:p>
        </w:tc>
        <w:tc>
          <w:tcPr>
            <w:tcW w:w="708" w:type="dxa"/>
            <w:tcBorders>
              <w:top w:val="nil"/>
              <w:left w:val="nil"/>
              <w:bottom w:val="nil"/>
              <w:right w:val="nil"/>
            </w:tcBorders>
            <w:shd w:val="clear" w:color="auto" w:fill="FFFFFF"/>
            <w:vAlign w:val="center"/>
          </w:tcPr>
          <w:p w14:paraId="34B3EE5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1,96</w:t>
            </w:r>
          </w:p>
        </w:tc>
        <w:tc>
          <w:tcPr>
            <w:tcW w:w="945" w:type="dxa"/>
            <w:tcBorders>
              <w:top w:val="nil"/>
              <w:left w:val="nil"/>
              <w:bottom w:val="nil"/>
              <w:right w:val="nil"/>
            </w:tcBorders>
            <w:shd w:val="clear" w:color="auto" w:fill="FFFFFF"/>
            <w:vAlign w:val="center"/>
          </w:tcPr>
          <w:p w14:paraId="75CC739F"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2,58</w:t>
            </w:r>
          </w:p>
        </w:tc>
        <w:tc>
          <w:tcPr>
            <w:tcW w:w="1371" w:type="dxa"/>
            <w:tcBorders>
              <w:top w:val="nil"/>
              <w:left w:val="nil"/>
              <w:bottom w:val="nil"/>
              <w:right w:val="nil"/>
            </w:tcBorders>
            <w:shd w:val="clear" w:color="auto" w:fill="FFFFFF"/>
            <w:vAlign w:val="center"/>
          </w:tcPr>
          <w:p w14:paraId="3F7C950C"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3,29</w:t>
            </w:r>
          </w:p>
        </w:tc>
      </w:tr>
      <w:tr w:rsidR="001A2908" w:rsidRPr="00B07646" w14:paraId="16ED418E" w14:textId="77777777" w:rsidTr="00F634DB">
        <w:trPr>
          <w:trHeight w:val="274"/>
          <w:jc w:val="center"/>
        </w:trPr>
        <w:tc>
          <w:tcPr>
            <w:tcW w:w="1370" w:type="dxa"/>
            <w:tcBorders>
              <w:top w:val="nil"/>
              <w:left w:val="nil"/>
              <w:bottom w:val="nil"/>
              <w:right w:val="nil"/>
            </w:tcBorders>
            <w:shd w:val="clear" w:color="auto" w:fill="FFFFFF"/>
            <w:vAlign w:val="center"/>
          </w:tcPr>
          <w:p w14:paraId="16A0E673"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w:t>
            </w:r>
          </w:p>
        </w:tc>
        <w:tc>
          <w:tcPr>
            <w:tcW w:w="851" w:type="dxa"/>
            <w:tcBorders>
              <w:top w:val="nil"/>
              <w:left w:val="nil"/>
              <w:bottom w:val="nil"/>
              <w:right w:val="nil"/>
            </w:tcBorders>
            <w:shd w:val="clear" w:color="auto" w:fill="FFFFFF"/>
            <w:vAlign w:val="center"/>
          </w:tcPr>
          <w:p w14:paraId="35B57A68"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2,09</w:t>
            </w:r>
          </w:p>
        </w:tc>
        <w:tc>
          <w:tcPr>
            <w:tcW w:w="850" w:type="dxa"/>
            <w:tcBorders>
              <w:top w:val="nil"/>
              <w:left w:val="nil"/>
              <w:bottom w:val="nil"/>
              <w:right w:val="nil"/>
            </w:tcBorders>
            <w:shd w:val="clear" w:color="auto" w:fill="FFFFFF"/>
            <w:vAlign w:val="center"/>
          </w:tcPr>
          <w:p w14:paraId="0E25BD34"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2,85</w:t>
            </w:r>
          </w:p>
        </w:tc>
        <w:tc>
          <w:tcPr>
            <w:tcW w:w="851" w:type="dxa"/>
            <w:tcBorders>
              <w:top w:val="nil"/>
              <w:left w:val="nil"/>
              <w:bottom w:val="nil"/>
              <w:right w:val="nil"/>
            </w:tcBorders>
            <w:shd w:val="clear" w:color="auto" w:fill="FFFFFF"/>
            <w:vAlign w:val="center"/>
          </w:tcPr>
          <w:p w14:paraId="58D82A10" w14:textId="77777777" w:rsidR="001A2908" w:rsidRPr="00B07646" w:rsidRDefault="001A2908" w:rsidP="001A2908">
            <w:pPr>
              <w:spacing w:after="120"/>
              <w:jc w:val="center"/>
              <w:rPr>
                <w:rFonts w:eastAsia="Times New Roman" w:cs="Times New Roman"/>
                <w:color w:val="auto"/>
                <w:sz w:val="20"/>
                <w:szCs w:val="20"/>
              </w:rPr>
            </w:pPr>
            <w:r w:rsidRPr="00B07646">
              <w:rPr>
                <w:sz w:val="20"/>
                <w:szCs w:val="20"/>
              </w:rPr>
              <w:t>3,85</w:t>
            </w:r>
          </w:p>
        </w:tc>
        <w:tc>
          <w:tcPr>
            <w:tcW w:w="709" w:type="dxa"/>
            <w:tcBorders>
              <w:top w:val="nil"/>
              <w:left w:val="nil"/>
              <w:bottom w:val="nil"/>
              <w:right w:val="nil"/>
            </w:tcBorders>
            <w:shd w:val="clear" w:color="auto" w:fill="FFFFFF"/>
            <w:vAlign w:val="center"/>
          </w:tcPr>
          <w:p w14:paraId="77D28E29" w14:textId="77777777" w:rsidR="001A2908" w:rsidRDefault="001A2908" w:rsidP="001A2908">
            <w:pPr>
              <w:spacing w:after="120"/>
              <w:jc w:val="center"/>
              <w:rPr>
                <w:rFonts w:eastAsia="Times New Roman" w:cs="Times New Roman"/>
                <w:sz w:val="20"/>
                <w:szCs w:val="20"/>
              </w:rPr>
            </w:pPr>
          </w:p>
        </w:tc>
        <w:tc>
          <w:tcPr>
            <w:tcW w:w="708" w:type="dxa"/>
            <w:tcBorders>
              <w:top w:val="nil"/>
              <w:left w:val="nil"/>
              <w:bottom w:val="nil"/>
              <w:right w:val="nil"/>
            </w:tcBorders>
            <w:shd w:val="clear" w:color="auto" w:fill="FFFFFF"/>
            <w:vAlign w:val="center"/>
          </w:tcPr>
          <w:p w14:paraId="63A4BFBE" w14:textId="77777777" w:rsidR="001A2908" w:rsidRPr="00B07646" w:rsidRDefault="001A2908" w:rsidP="001A2908">
            <w:pPr>
              <w:spacing w:after="120"/>
              <w:jc w:val="center"/>
              <w:rPr>
                <w:sz w:val="20"/>
                <w:szCs w:val="20"/>
              </w:rPr>
            </w:pPr>
          </w:p>
        </w:tc>
        <w:tc>
          <w:tcPr>
            <w:tcW w:w="945" w:type="dxa"/>
            <w:tcBorders>
              <w:top w:val="nil"/>
              <w:left w:val="nil"/>
              <w:bottom w:val="nil"/>
              <w:right w:val="nil"/>
            </w:tcBorders>
            <w:shd w:val="clear" w:color="auto" w:fill="FFFFFF"/>
            <w:vAlign w:val="center"/>
          </w:tcPr>
          <w:p w14:paraId="425CB7D0" w14:textId="77777777" w:rsidR="001A2908" w:rsidRPr="00B07646" w:rsidRDefault="001A2908" w:rsidP="001A2908">
            <w:pPr>
              <w:spacing w:after="120"/>
              <w:jc w:val="center"/>
              <w:rPr>
                <w:sz w:val="20"/>
                <w:szCs w:val="20"/>
              </w:rPr>
            </w:pPr>
          </w:p>
        </w:tc>
        <w:tc>
          <w:tcPr>
            <w:tcW w:w="1371" w:type="dxa"/>
            <w:tcBorders>
              <w:top w:val="nil"/>
              <w:left w:val="nil"/>
              <w:bottom w:val="nil"/>
              <w:right w:val="nil"/>
            </w:tcBorders>
            <w:shd w:val="clear" w:color="auto" w:fill="FFFFFF"/>
            <w:vAlign w:val="center"/>
          </w:tcPr>
          <w:p w14:paraId="7A046D97" w14:textId="77777777" w:rsidR="001A2908" w:rsidRPr="00B07646" w:rsidRDefault="001A2908" w:rsidP="001A2908">
            <w:pPr>
              <w:spacing w:after="120"/>
              <w:jc w:val="center"/>
              <w:rPr>
                <w:sz w:val="20"/>
                <w:szCs w:val="20"/>
              </w:rPr>
            </w:pPr>
          </w:p>
        </w:tc>
      </w:tr>
      <w:tr w:rsidR="001A2908" w:rsidRPr="00B07646" w14:paraId="358A5B57" w14:textId="77777777" w:rsidTr="00F634DB">
        <w:trPr>
          <w:trHeight w:val="274"/>
          <w:jc w:val="center"/>
        </w:trPr>
        <w:tc>
          <w:tcPr>
            <w:tcW w:w="1370" w:type="dxa"/>
            <w:tcBorders>
              <w:top w:val="nil"/>
              <w:left w:val="nil"/>
              <w:bottom w:val="nil"/>
              <w:right w:val="nil"/>
            </w:tcBorders>
            <w:shd w:val="clear" w:color="auto" w:fill="FFFFFF"/>
            <w:vAlign w:val="center"/>
          </w:tcPr>
          <w:p w14:paraId="26F89644" w14:textId="77777777" w:rsidR="001A2908" w:rsidRPr="001A2908" w:rsidRDefault="001A2908" w:rsidP="001A2908">
            <w:pPr>
              <w:spacing w:after="120"/>
              <w:jc w:val="center"/>
              <w:rPr>
                <w:sz w:val="20"/>
                <w:szCs w:val="20"/>
                <w:lang w:val="en-US"/>
              </w:rPr>
            </w:pPr>
            <m:oMathPara>
              <m:oMath>
                <m:r>
                  <w:rPr>
                    <w:rFonts w:ascii="Cambria Math" w:hAnsi="Cambria Math"/>
                    <w:sz w:val="20"/>
                    <w:szCs w:val="20"/>
                    <w:lang w:val="en-US"/>
                  </w:rPr>
                  <m:t>f</m:t>
                </m:r>
              </m:oMath>
            </m:oMathPara>
          </w:p>
        </w:tc>
        <w:tc>
          <w:tcPr>
            <w:tcW w:w="851" w:type="dxa"/>
            <w:tcBorders>
              <w:top w:val="nil"/>
              <w:left w:val="nil"/>
              <w:bottom w:val="nil"/>
              <w:right w:val="nil"/>
            </w:tcBorders>
            <w:shd w:val="clear" w:color="auto" w:fill="FFFFFF"/>
            <w:vAlign w:val="center"/>
          </w:tcPr>
          <w:p w14:paraId="29A97297" w14:textId="77777777" w:rsidR="001A2908" w:rsidRPr="00B07646" w:rsidRDefault="001A2908" w:rsidP="001A2908">
            <w:pPr>
              <w:spacing w:after="120"/>
              <w:jc w:val="center"/>
              <w:rPr>
                <w:sz w:val="20"/>
                <w:szCs w:val="20"/>
              </w:rPr>
            </w:pPr>
            <w:r w:rsidRPr="00B07646">
              <w:rPr>
                <w:sz w:val="20"/>
                <w:szCs w:val="20"/>
              </w:rPr>
              <w:t>P=0,05</w:t>
            </w:r>
          </w:p>
        </w:tc>
        <w:tc>
          <w:tcPr>
            <w:tcW w:w="850" w:type="dxa"/>
            <w:tcBorders>
              <w:top w:val="nil"/>
              <w:left w:val="nil"/>
              <w:bottom w:val="nil"/>
              <w:right w:val="nil"/>
            </w:tcBorders>
            <w:shd w:val="clear" w:color="auto" w:fill="FFFFFF"/>
            <w:vAlign w:val="center"/>
          </w:tcPr>
          <w:p w14:paraId="649DD40F" w14:textId="77777777" w:rsidR="001A2908" w:rsidRPr="00B07646" w:rsidRDefault="001A2908" w:rsidP="001A2908">
            <w:pPr>
              <w:spacing w:after="120"/>
              <w:jc w:val="center"/>
              <w:rPr>
                <w:sz w:val="20"/>
                <w:szCs w:val="20"/>
              </w:rPr>
            </w:pPr>
            <w:r w:rsidRPr="00B07646">
              <w:rPr>
                <w:sz w:val="20"/>
                <w:szCs w:val="20"/>
              </w:rPr>
              <w:t>P=0,01</w:t>
            </w:r>
          </w:p>
        </w:tc>
        <w:tc>
          <w:tcPr>
            <w:tcW w:w="851" w:type="dxa"/>
            <w:tcBorders>
              <w:top w:val="nil"/>
              <w:left w:val="nil"/>
              <w:bottom w:val="nil"/>
              <w:right w:val="nil"/>
            </w:tcBorders>
            <w:shd w:val="clear" w:color="auto" w:fill="FFFFFF"/>
            <w:vAlign w:val="center"/>
          </w:tcPr>
          <w:p w14:paraId="15DD2F0D" w14:textId="77777777" w:rsidR="001A2908" w:rsidRPr="00B07646" w:rsidRDefault="001A2908" w:rsidP="001A2908">
            <w:pPr>
              <w:spacing w:after="120"/>
              <w:jc w:val="center"/>
              <w:rPr>
                <w:sz w:val="20"/>
                <w:szCs w:val="20"/>
              </w:rPr>
            </w:pPr>
            <w:r w:rsidRPr="00B07646">
              <w:rPr>
                <w:sz w:val="20"/>
                <w:szCs w:val="20"/>
              </w:rPr>
              <w:t>P=0,001</w:t>
            </w:r>
          </w:p>
        </w:tc>
        <w:tc>
          <w:tcPr>
            <w:tcW w:w="709" w:type="dxa"/>
            <w:tcBorders>
              <w:top w:val="nil"/>
              <w:left w:val="nil"/>
              <w:bottom w:val="nil"/>
              <w:right w:val="nil"/>
            </w:tcBorders>
            <w:shd w:val="clear" w:color="auto" w:fill="FFFFFF"/>
            <w:vAlign w:val="center"/>
          </w:tcPr>
          <w:p w14:paraId="6162B2E7" w14:textId="77777777" w:rsidR="001A2908" w:rsidRDefault="001A2908" w:rsidP="001A2908">
            <w:pPr>
              <w:spacing w:after="120"/>
              <w:jc w:val="center"/>
              <w:rPr>
                <w:rFonts w:eastAsia="Times New Roman" w:cs="Times New Roman"/>
                <w:sz w:val="20"/>
                <w:szCs w:val="20"/>
              </w:rPr>
            </w:pPr>
            <m:oMathPara>
              <m:oMath>
                <m:r>
                  <w:rPr>
                    <w:rFonts w:ascii="Cambria Math" w:eastAsia="Times New Roman" w:hAnsi="Cambria Math" w:cs="Times New Roman"/>
                    <w:sz w:val="20"/>
                    <w:szCs w:val="20"/>
                  </w:rPr>
                  <m:t>f</m:t>
                </m:r>
              </m:oMath>
            </m:oMathPara>
          </w:p>
        </w:tc>
        <w:tc>
          <w:tcPr>
            <w:tcW w:w="708" w:type="dxa"/>
            <w:tcBorders>
              <w:top w:val="nil"/>
              <w:left w:val="nil"/>
              <w:bottom w:val="nil"/>
              <w:right w:val="nil"/>
            </w:tcBorders>
            <w:shd w:val="clear" w:color="auto" w:fill="FFFFFF"/>
            <w:vAlign w:val="center"/>
          </w:tcPr>
          <w:p w14:paraId="22763611" w14:textId="77777777" w:rsidR="001A2908" w:rsidRPr="00B07646" w:rsidRDefault="001A2908" w:rsidP="001A2908">
            <w:pPr>
              <w:spacing w:after="120"/>
              <w:jc w:val="center"/>
              <w:rPr>
                <w:sz w:val="20"/>
                <w:szCs w:val="20"/>
              </w:rPr>
            </w:pPr>
            <w:r w:rsidRPr="00B07646">
              <w:rPr>
                <w:color w:val="auto"/>
                <w:sz w:val="20"/>
                <w:szCs w:val="20"/>
              </w:rPr>
              <w:t>P=0,05</w:t>
            </w:r>
          </w:p>
        </w:tc>
        <w:tc>
          <w:tcPr>
            <w:tcW w:w="945" w:type="dxa"/>
            <w:tcBorders>
              <w:top w:val="nil"/>
              <w:left w:val="nil"/>
              <w:bottom w:val="nil"/>
              <w:right w:val="nil"/>
            </w:tcBorders>
            <w:shd w:val="clear" w:color="auto" w:fill="FFFFFF"/>
            <w:vAlign w:val="center"/>
          </w:tcPr>
          <w:p w14:paraId="2C04DE1A" w14:textId="77777777" w:rsidR="001A2908" w:rsidRPr="00B07646" w:rsidRDefault="001A2908" w:rsidP="001A2908">
            <w:pPr>
              <w:spacing w:after="120"/>
              <w:jc w:val="center"/>
              <w:rPr>
                <w:sz w:val="20"/>
                <w:szCs w:val="20"/>
              </w:rPr>
            </w:pPr>
            <w:r w:rsidRPr="00B07646">
              <w:rPr>
                <w:color w:val="auto"/>
                <w:sz w:val="20"/>
                <w:szCs w:val="20"/>
              </w:rPr>
              <w:t>P=0,01</w:t>
            </w:r>
          </w:p>
        </w:tc>
        <w:tc>
          <w:tcPr>
            <w:tcW w:w="1371" w:type="dxa"/>
            <w:tcBorders>
              <w:top w:val="nil"/>
              <w:left w:val="nil"/>
              <w:bottom w:val="nil"/>
              <w:right w:val="nil"/>
            </w:tcBorders>
            <w:shd w:val="clear" w:color="auto" w:fill="FFFFFF"/>
            <w:vAlign w:val="center"/>
          </w:tcPr>
          <w:p w14:paraId="51C96090" w14:textId="77777777" w:rsidR="001A2908" w:rsidRPr="00B07646" w:rsidRDefault="001A2908" w:rsidP="001A2908">
            <w:pPr>
              <w:spacing w:after="120"/>
              <w:jc w:val="center"/>
              <w:rPr>
                <w:sz w:val="20"/>
                <w:szCs w:val="20"/>
              </w:rPr>
            </w:pPr>
            <w:r w:rsidRPr="00B07646">
              <w:rPr>
                <w:color w:val="auto"/>
                <w:sz w:val="20"/>
                <w:szCs w:val="20"/>
              </w:rPr>
              <w:t>P=0,001</w:t>
            </w:r>
          </w:p>
        </w:tc>
      </w:tr>
      <w:tr w:rsidR="001A2908" w:rsidRPr="00B07646" w14:paraId="4B9AF2B8" w14:textId="77777777" w:rsidTr="00F634DB">
        <w:trPr>
          <w:trHeight w:val="274"/>
          <w:jc w:val="center"/>
        </w:trPr>
        <w:tc>
          <w:tcPr>
            <w:tcW w:w="1370" w:type="dxa"/>
            <w:tcBorders>
              <w:top w:val="nil"/>
              <w:left w:val="nil"/>
              <w:bottom w:val="single" w:sz="4" w:space="0" w:color="auto"/>
              <w:right w:val="nil"/>
            </w:tcBorders>
            <w:shd w:val="clear" w:color="auto" w:fill="FFFFFF"/>
            <w:vAlign w:val="center"/>
          </w:tcPr>
          <w:p w14:paraId="17DEE915" w14:textId="77777777" w:rsidR="001A2908" w:rsidRDefault="001A2908" w:rsidP="001A2908">
            <w:pPr>
              <w:spacing w:after="120"/>
              <w:jc w:val="center"/>
              <w:rPr>
                <w:sz w:val="20"/>
                <w:szCs w:val="20"/>
                <w:lang w:val="en-US"/>
              </w:rPr>
            </w:pPr>
          </w:p>
        </w:tc>
        <w:tc>
          <w:tcPr>
            <w:tcW w:w="2552" w:type="dxa"/>
            <w:gridSpan w:val="3"/>
            <w:tcBorders>
              <w:top w:val="nil"/>
              <w:left w:val="nil"/>
              <w:bottom w:val="single" w:sz="4" w:space="0" w:color="auto"/>
              <w:right w:val="nil"/>
            </w:tcBorders>
            <w:shd w:val="clear" w:color="auto" w:fill="FFFFFF"/>
            <w:vAlign w:val="center"/>
          </w:tcPr>
          <w:p w14:paraId="5DA08140" w14:textId="77777777" w:rsidR="001A2908" w:rsidRPr="00B07646" w:rsidRDefault="001A2908" w:rsidP="001A2908">
            <w:pPr>
              <w:spacing w:after="120"/>
              <w:jc w:val="center"/>
              <w:rPr>
                <w:sz w:val="20"/>
                <w:szCs w:val="20"/>
              </w:rPr>
            </w:pPr>
            <w:r w:rsidRPr="00B07646">
              <w:rPr>
                <w:sz w:val="20"/>
                <w:szCs w:val="20"/>
              </w:rPr>
              <w:t>Նշանակալիության մակարդակը</w:t>
            </w:r>
          </w:p>
        </w:tc>
        <w:tc>
          <w:tcPr>
            <w:tcW w:w="709" w:type="dxa"/>
            <w:tcBorders>
              <w:top w:val="nil"/>
              <w:left w:val="nil"/>
              <w:bottom w:val="single" w:sz="4" w:space="0" w:color="auto"/>
              <w:right w:val="nil"/>
            </w:tcBorders>
            <w:shd w:val="clear" w:color="auto" w:fill="FFFFFF"/>
            <w:vAlign w:val="center"/>
          </w:tcPr>
          <w:p w14:paraId="718B5E0C" w14:textId="77777777" w:rsidR="001A2908" w:rsidRDefault="001A2908" w:rsidP="001A2908">
            <w:pPr>
              <w:spacing w:after="120"/>
              <w:jc w:val="center"/>
              <w:rPr>
                <w:sz w:val="20"/>
                <w:szCs w:val="20"/>
              </w:rPr>
            </w:pPr>
          </w:p>
        </w:tc>
        <w:tc>
          <w:tcPr>
            <w:tcW w:w="3024" w:type="dxa"/>
            <w:gridSpan w:val="3"/>
            <w:tcBorders>
              <w:top w:val="nil"/>
              <w:left w:val="nil"/>
              <w:bottom w:val="single" w:sz="4" w:space="0" w:color="auto"/>
              <w:right w:val="nil"/>
            </w:tcBorders>
            <w:shd w:val="clear" w:color="auto" w:fill="FFFFFF"/>
            <w:vAlign w:val="center"/>
          </w:tcPr>
          <w:p w14:paraId="0AA3DE7C" w14:textId="77777777" w:rsidR="001A2908" w:rsidRPr="00B07646" w:rsidRDefault="001A2908" w:rsidP="001A2908">
            <w:pPr>
              <w:spacing w:after="120"/>
              <w:jc w:val="center"/>
              <w:rPr>
                <w:color w:val="auto"/>
                <w:sz w:val="20"/>
                <w:szCs w:val="20"/>
              </w:rPr>
            </w:pPr>
            <w:r w:rsidRPr="00B07646">
              <w:rPr>
                <w:sz w:val="20"/>
                <w:szCs w:val="20"/>
              </w:rPr>
              <w:t>Նշանակալիության մակարդակը</w:t>
            </w:r>
          </w:p>
        </w:tc>
      </w:tr>
    </w:tbl>
    <w:p w14:paraId="125E551D" w14:textId="77777777" w:rsidR="001A2908" w:rsidRDefault="001A2908"/>
    <w:p w14:paraId="47F3EBF6" w14:textId="77777777" w:rsidR="00B834A2" w:rsidRPr="00B834A2" w:rsidRDefault="00A55DE5" w:rsidP="00A55DE5">
      <w:pPr>
        <w:spacing w:after="160" w:line="360" w:lineRule="auto"/>
        <w:ind w:firstLine="567"/>
        <w:jc w:val="both"/>
        <w:rPr>
          <w:b/>
        </w:rPr>
      </w:pPr>
      <w:r w:rsidRPr="00B07646">
        <w:t xml:space="preserve">Աղյուսակ 3. </w:t>
      </w:r>
      <w:r>
        <w:t>-</w:t>
      </w:r>
      <w:r w:rsidRPr="00B07646">
        <w:t xml:space="preserve"> Ֆիշերի չափորոշչի կրիտիկական արժեքները</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069"/>
        <w:gridCol w:w="782"/>
        <w:gridCol w:w="686"/>
        <w:gridCol w:w="754"/>
        <w:gridCol w:w="720"/>
        <w:gridCol w:w="734"/>
        <w:gridCol w:w="720"/>
        <w:gridCol w:w="734"/>
        <w:gridCol w:w="734"/>
        <w:gridCol w:w="720"/>
        <w:gridCol w:w="763"/>
      </w:tblGrid>
      <w:tr w:rsidR="00B834A2" w:rsidRPr="00B07646" w14:paraId="1E67D1E6" w14:textId="77777777" w:rsidTr="00B834A2">
        <w:trPr>
          <w:jc w:val="center"/>
        </w:trPr>
        <w:tc>
          <w:tcPr>
            <w:tcW w:w="2069" w:type="dxa"/>
            <w:vMerge w:val="restart"/>
            <w:tcBorders>
              <w:top w:val="single" w:sz="4" w:space="0" w:color="auto"/>
            </w:tcBorders>
            <w:shd w:val="clear" w:color="auto" w:fill="FFFFFF"/>
            <w:vAlign w:val="bottom"/>
          </w:tcPr>
          <w:p w14:paraId="73B01F92" w14:textId="77777777" w:rsidR="00B834A2" w:rsidRPr="00B07646" w:rsidRDefault="00B834A2" w:rsidP="00B07646">
            <w:pPr>
              <w:pStyle w:val="a0"/>
              <w:shd w:val="clear" w:color="auto" w:fill="auto"/>
              <w:spacing w:after="120" w:line="240" w:lineRule="auto"/>
              <w:ind w:right="43" w:firstLine="0"/>
              <w:jc w:val="center"/>
              <w:rPr>
                <w:rFonts w:ascii="Sylfaen" w:hAnsi="Sylfaen" w:cs="Sylfaen"/>
              </w:rPr>
            </w:pPr>
            <w:r w:rsidRPr="00B07646">
              <w:rPr>
                <w:rFonts w:ascii="Sylfaen" w:hAnsi="Sylfaen"/>
                <w:i/>
              </w:rPr>
              <w:t>f</w:t>
            </w:r>
            <w:r w:rsidRPr="00B07646">
              <w:rPr>
                <w:rFonts w:ascii="Sylfaen" w:hAnsi="Sylfaen"/>
                <w:i/>
                <w:vertAlign w:val="subscript"/>
              </w:rPr>
              <w:t>2</w:t>
            </w:r>
            <w:r w:rsidRPr="00B07646">
              <w:rPr>
                <w:rFonts w:ascii="Sylfaen" w:hAnsi="Sylfaen"/>
                <w:i/>
              </w:rPr>
              <w:t xml:space="preserve">՝ փոքր դիսպերսիայի համար ազատության աստիճանների թիվը </w:t>
            </w:r>
          </w:p>
        </w:tc>
        <w:tc>
          <w:tcPr>
            <w:tcW w:w="7347" w:type="dxa"/>
            <w:gridSpan w:val="10"/>
            <w:tcBorders>
              <w:top w:val="single" w:sz="4" w:space="0" w:color="auto"/>
            </w:tcBorders>
            <w:shd w:val="clear" w:color="auto" w:fill="FFFFFF"/>
            <w:vAlign w:val="bottom"/>
          </w:tcPr>
          <w:p w14:paraId="46B810C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i/>
              </w:rPr>
              <w:t>f</w:t>
            </w:r>
            <w:r w:rsidRPr="00B07646">
              <w:rPr>
                <w:rFonts w:ascii="Sylfaen" w:hAnsi="Sylfaen"/>
                <w:i/>
                <w:vertAlign w:val="subscript"/>
              </w:rPr>
              <w:t>1</w:t>
            </w:r>
            <w:r w:rsidRPr="00B07646">
              <w:rPr>
                <w:rFonts w:ascii="Sylfaen" w:hAnsi="Sylfaen"/>
              </w:rPr>
              <w:t>՝ մեծ դիսպերսիայի համար ազատության աստիճանների թիվը</w:t>
            </w:r>
          </w:p>
        </w:tc>
      </w:tr>
      <w:tr w:rsidR="00B834A2" w:rsidRPr="00B07646" w14:paraId="700C2832" w14:textId="77777777" w:rsidTr="00B834A2">
        <w:trPr>
          <w:jc w:val="center"/>
        </w:trPr>
        <w:tc>
          <w:tcPr>
            <w:tcW w:w="2069" w:type="dxa"/>
            <w:vMerge/>
            <w:shd w:val="clear" w:color="auto" w:fill="FFFFFF"/>
            <w:vAlign w:val="bottom"/>
          </w:tcPr>
          <w:p w14:paraId="0FEC1BDB" w14:textId="77777777" w:rsidR="00B834A2" w:rsidRPr="00B07646" w:rsidRDefault="00B834A2" w:rsidP="00B07646">
            <w:pPr>
              <w:spacing w:after="120"/>
              <w:ind w:firstLine="567"/>
              <w:jc w:val="both"/>
              <w:rPr>
                <w:sz w:val="20"/>
                <w:szCs w:val="20"/>
              </w:rPr>
            </w:pPr>
          </w:p>
        </w:tc>
        <w:tc>
          <w:tcPr>
            <w:tcW w:w="782" w:type="dxa"/>
            <w:tcBorders>
              <w:top w:val="single" w:sz="4" w:space="0" w:color="auto"/>
            </w:tcBorders>
            <w:shd w:val="clear" w:color="auto" w:fill="FFFFFF"/>
            <w:vAlign w:val="bottom"/>
          </w:tcPr>
          <w:p w14:paraId="6FF555F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w:t>
            </w:r>
          </w:p>
        </w:tc>
        <w:tc>
          <w:tcPr>
            <w:tcW w:w="686" w:type="dxa"/>
            <w:tcBorders>
              <w:top w:val="single" w:sz="4" w:space="0" w:color="auto"/>
            </w:tcBorders>
            <w:shd w:val="clear" w:color="auto" w:fill="FFFFFF"/>
            <w:vAlign w:val="bottom"/>
          </w:tcPr>
          <w:p w14:paraId="31F06B9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w:t>
            </w:r>
          </w:p>
        </w:tc>
        <w:tc>
          <w:tcPr>
            <w:tcW w:w="754" w:type="dxa"/>
            <w:tcBorders>
              <w:top w:val="single" w:sz="4" w:space="0" w:color="auto"/>
            </w:tcBorders>
            <w:shd w:val="clear" w:color="auto" w:fill="FFFFFF"/>
            <w:vAlign w:val="center"/>
          </w:tcPr>
          <w:p w14:paraId="6F5BEE1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w:t>
            </w:r>
          </w:p>
        </w:tc>
        <w:tc>
          <w:tcPr>
            <w:tcW w:w="720" w:type="dxa"/>
            <w:tcBorders>
              <w:top w:val="single" w:sz="4" w:space="0" w:color="auto"/>
            </w:tcBorders>
            <w:shd w:val="clear" w:color="auto" w:fill="FFFFFF"/>
            <w:vAlign w:val="center"/>
          </w:tcPr>
          <w:p w14:paraId="34CA0D0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w:t>
            </w:r>
          </w:p>
        </w:tc>
        <w:tc>
          <w:tcPr>
            <w:tcW w:w="734" w:type="dxa"/>
            <w:tcBorders>
              <w:top w:val="single" w:sz="4" w:space="0" w:color="auto"/>
            </w:tcBorders>
            <w:shd w:val="clear" w:color="auto" w:fill="FFFFFF"/>
            <w:vAlign w:val="center"/>
          </w:tcPr>
          <w:p w14:paraId="466368C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w:t>
            </w:r>
          </w:p>
        </w:tc>
        <w:tc>
          <w:tcPr>
            <w:tcW w:w="720" w:type="dxa"/>
            <w:tcBorders>
              <w:top w:val="single" w:sz="4" w:space="0" w:color="auto"/>
            </w:tcBorders>
            <w:shd w:val="clear" w:color="auto" w:fill="FFFFFF"/>
            <w:vAlign w:val="bottom"/>
          </w:tcPr>
          <w:p w14:paraId="6EB7E8A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w:t>
            </w:r>
          </w:p>
        </w:tc>
        <w:tc>
          <w:tcPr>
            <w:tcW w:w="734" w:type="dxa"/>
            <w:tcBorders>
              <w:top w:val="single" w:sz="4" w:space="0" w:color="auto"/>
            </w:tcBorders>
            <w:shd w:val="clear" w:color="auto" w:fill="FFFFFF"/>
            <w:vAlign w:val="center"/>
          </w:tcPr>
          <w:p w14:paraId="2064E4E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7</w:t>
            </w:r>
          </w:p>
        </w:tc>
        <w:tc>
          <w:tcPr>
            <w:tcW w:w="734" w:type="dxa"/>
            <w:tcBorders>
              <w:top w:val="single" w:sz="4" w:space="0" w:color="auto"/>
            </w:tcBorders>
            <w:shd w:val="clear" w:color="auto" w:fill="FFFFFF"/>
            <w:vAlign w:val="bottom"/>
          </w:tcPr>
          <w:p w14:paraId="59AF09A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w:t>
            </w:r>
          </w:p>
        </w:tc>
        <w:tc>
          <w:tcPr>
            <w:tcW w:w="720" w:type="dxa"/>
            <w:tcBorders>
              <w:top w:val="single" w:sz="4" w:space="0" w:color="auto"/>
            </w:tcBorders>
            <w:shd w:val="clear" w:color="auto" w:fill="FFFFFF"/>
            <w:vAlign w:val="bottom"/>
          </w:tcPr>
          <w:p w14:paraId="2B111B7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20</w:t>
            </w:r>
          </w:p>
        </w:tc>
        <w:tc>
          <w:tcPr>
            <w:tcW w:w="763" w:type="dxa"/>
            <w:tcBorders>
              <w:top w:val="single" w:sz="4" w:space="0" w:color="auto"/>
            </w:tcBorders>
            <w:shd w:val="clear" w:color="auto" w:fill="FFFFFF"/>
            <w:vAlign w:val="bottom"/>
          </w:tcPr>
          <w:p w14:paraId="4A56692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00</w:t>
            </w:r>
          </w:p>
        </w:tc>
      </w:tr>
      <w:tr w:rsidR="00B834A2" w:rsidRPr="00B07646" w14:paraId="36D3BF10" w14:textId="77777777" w:rsidTr="00B834A2">
        <w:trPr>
          <w:jc w:val="center"/>
        </w:trPr>
        <w:tc>
          <w:tcPr>
            <w:tcW w:w="2069" w:type="dxa"/>
            <w:vMerge w:val="restart"/>
            <w:tcBorders>
              <w:top w:val="single" w:sz="4" w:space="0" w:color="auto"/>
            </w:tcBorders>
            <w:shd w:val="clear" w:color="auto" w:fill="FFFFFF"/>
          </w:tcPr>
          <w:p w14:paraId="1D6F071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3</w:t>
            </w:r>
          </w:p>
        </w:tc>
        <w:tc>
          <w:tcPr>
            <w:tcW w:w="782" w:type="dxa"/>
            <w:tcBorders>
              <w:top w:val="single" w:sz="4" w:space="0" w:color="auto"/>
            </w:tcBorders>
            <w:shd w:val="clear" w:color="auto" w:fill="FFFFFF"/>
            <w:vAlign w:val="bottom"/>
          </w:tcPr>
          <w:p w14:paraId="4770D49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10,13</w:t>
            </w:r>
          </w:p>
        </w:tc>
        <w:tc>
          <w:tcPr>
            <w:tcW w:w="686" w:type="dxa"/>
            <w:tcBorders>
              <w:top w:val="single" w:sz="4" w:space="0" w:color="auto"/>
            </w:tcBorders>
            <w:shd w:val="clear" w:color="auto" w:fill="FFFFFF"/>
            <w:vAlign w:val="bottom"/>
          </w:tcPr>
          <w:p w14:paraId="4E98F57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9,55</w:t>
            </w:r>
          </w:p>
        </w:tc>
        <w:tc>
          <w:tcPr>
            <w:tcW w:w="754" w:type="dxa"/>
            <w:tcBorders>
              <w:top w:val="single" w:sz="4" w:space="0" w:color="auto"/>
            </w:tcBorders>
            <w:shd w:val="clear" w:color="auto" w:fill="FFFFFF"/>
            <w:vAlign w:val="bottom"/>
          </w:tcPr>
          <w:p w14:paraId="5D0D575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9,28</w:t>
            </w:r>
          </w:p>
        </w:tc>
        <w:tc>
          <w:tcPr>
            <w:tcW w:w="720" w:type="dxa"/>
            <w:tcBorders>
              <w:top w:val="single" w:sz="4" w:space="0" w:color="auto"/>
            </w:tcBorders>
            <w:shd w:val="clear" w:color="auto" w:fill="FFFFFF"/>
            <w:vAlign w:val="bottom"/>
          </w:tcPr>
          <w:p w14:paraId="63DD0D5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9,12</w:t>
            </w:r>
          </w:p>
        </w:tc>
        <w:tc>
          <w:tcPr>
            <w:tcW w:w="734" w:type="dxa"/>
            <w:tcBorders>
              <w:top w:val="single" w:sz="4" w:space="0" w:color="auto"/>
            </w:tcBorders>
            <w:shd w:val="clear" w:color="auto" w:fill="FFFFFF"/>
            <w:vAlign w:val="bottom"/>
          </w:tcPr>
          <w:p w14:paraId="3255567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9,01</w:t>
            </w:r>
          </w:p>
        </w:tc>
        <w:tc>
          <w:tcPr>
            <w:tcW w:w="720" w:type="dxa"/>
            <w:tcBorders>
              <w:top w:val="single" w:sz="4" w:space="0" w:color="auto"/>
            </w:tcBorders>
            <w:shd w:val="clear" w:color="auto" w:fill="FFFFFF"/>
            <w:vAlign w:val="bottom"/>
          </w:tcPr>
          <w:p w14:paraId="0EE2CBE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8,94</w:t>
            </w:r>
          </w:p>
        </w:tc>
        <w:tc>
          <w:tcPr>
            <w:tcW w:w="734" w:type="dxa"/>
            <w:tcBorders>
              <w:top w:val="single" w:sz="4" w:space="0" w:color="auto"/>
            </w:tcBorders>
            <w:shd w:val="clear" w:color="auto" w:fill="FFFFFF"/>
            <w:vAlign w:val="bottom"/>
          </w:tcPr>
          <w:p w14:paraId="2DB4368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8,88</w:t>
            </w:r>
          </w:p>
        </w:tc>
        <w:tc>
          <w:tcPr>
            <w:tcW w:w="734" w:type="dxa"/>
            <w:tcBorders>
              <w:top w:val="single" w:sz="4" w:space="0" w:color="auto"/>
            </w:tcBorders>
            <w:shd w:val="clear" w:color="auto" w:fill="FFFFFF"/>
            <w:vAlign w:val="bottom"/>
          </w:tcPr>
          <w:p w14:paraId="759BBC7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8,84</w:t>
            </w:r>
          </w:p>
        </w:tc>
        <w:tc>
          <w:tcPr>
            <w:tcW w:w="720" w:type="dxa"/>
            <w:tcBorders>
              <w:top w:val="single" w:sz="4" w:space="0" w:color="auto"/>
            </w:tcBorders>
            <w:shd w:val="clear" w:color="auto" w:fill="FFFFFF"/>
            <w:vAlign w:val="bottom"/>
          </w:tcPr>
          <w:p w14:paraId="7299232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8,66</w:t>
            </w:r>
          </w:p>
        </w:tc>
        <w:tc>
          <w:tcPr>
            <w:tcW w:w="763" w:type="dxa"/>
            <w:tcBorders>
              <w:top w:val="single" w:sz="4" w:space="0" w:color="auto"/>
            </w:tcBorders>
            <w:shd w:val="clear" w:color="auto" w:fill="FFFFFF"/>
            <w:vAlign w:val="bottom"/>
          </w:tcPr>
          <w:p w14:paraId="77E5680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8,53</w:t>
            </w:r>
          </w:p>
        </w:tc>
      </w:tr>
      <w:tr w:rsidR="00B834A2" w:rsidRPr="00B07646" w14:paraId="49F03302" w14:textId="77777777" w:rsidTr="00B834A2">
        <w:trPr>
          <w:jc w:val="center"/>
        </w:trPr>
        <w:tc>
          <w:tcPr>
            <w:tcW w:w="2069" w:type="dxa"/>
            <w:vMerge/>
            <w:shd w:val="clear" w:color="auto" w:fill="FFFFFF"/>
          </w:tcPr>
          <w:p w14:paraId="7455946A" w14:textId="77777777" w:rsidR="00B834A2" w:rsidRPr="00B07646" w:rsidRDefault="00B834A2" w:rsidP="00B07646">
            <w:pPr>
              <w:spacing w:after="120"/>
              <w:ind w:firstLine="21"/>
              <w:jc w:val="center"/>
              <w:rPr>
                <w:sz w:val="20"/>
                <w:szCs w:val="20"/>
              </w:rPr>
            </w:pPr>
          </w:p>
        </w:tc>
        <w:tc>
          <w:tcPr>
            <w:tcW w:w="782" w:type="dxa"/>
            <w:shd w:val="clear" w:color="auto" w:fill="FFFFFF"/>
          </w:tcPr>
          <w:p w14:paraId="122B8AE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34,12</w:t>
            </w:r>
          </w:p>
        </w:tc>
        <w:tc>
          <w:tcPr>
            <w:tcW w:w="686" w:type="dxa"/>
            <w:shd w:val="clear" w:color="auto" w:fill="FFFFFF"/>
          </w:tcPr>
          <w:p w14:paraId="2B7CF5C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30,81</w:t>
            </w:r>
          </w:p>
        </w:tc>
        <w:tc>
          <w:tcPr>
            <w:tcW w:w="754" w:type="dxa"/>
            <w:shd w:val="clear" w:color="auto" w:fill="FFFFFF"/>
          </w:tcPr>
          <w:p w14:paraId="73ED5A5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29,46</w:t>
            </w:r>
          </w:p>
        </w:tc>
        <w:tc>
          <w:tcPr>
            <w:tcW w:w="720" w:type="dxa"/>
            <w:shd w:val="clear" w:color="auto" w:fill="FFFFFF"/>
          </w:tcPr>
          <w:p w14:paraId="73AF71E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28,71</w:t>
            </w:r>
          </w:p>
        </w:tc>
        <w:tc>
          <w:tcPr>
            <w:tcW w:w="734" w:type="dxa"/>
            <w:shd w:val="clear" w:color="auto" w:fill="FFFFFF"/>
          </w:tcPr>
          <w:p w14:paraId="2CB2857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28,24</w:t>
            </w:r>
          </w:p>
        </w:tc>
        <w:tc>
          <w:tcPr>
            <w:tcW w:w="720" w:type="dxa"/>
            <w:shd w:val="clear" w:color="auto" w:fill="FFFFFF"/>
          </w:tcPr>
          <w:p w14:paraId="57B6DD2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27,91</w:t>
            </w:r>
          </w:p>
        </w:tc>
        <w:tc>
          <w:tcPr>
            <w:tcW w:w="734" w:type="dxa"/>
            <w:shd w:val="clear" w:color="auto" w:fill="FFFFFF"/>
          </w:tcPr>
          <w:p w14:paraId="1D4F007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27,67</w:t>
            </w:r>
          </w:p>
        </w:tc>
        <w:tc>
          <w:tcPr>
            <w:tcW w:w="734" w:type="dxa"/>
            <w:shd w:val="clear" w:color="auto" w:fill="FFFFFF"/>
          </w:tcPr>
          <w:p w14:paraId="7AD223F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27,49</w:t>
            </w:r>
          </w:p>
        </w:tc>
        <w:tc>
          <w:tcPr>
            <w:tcW w:w="720" w:type="dxa"/>
            <w:shd w:val="clear" w:color="auto" w:fill="FFFFFF"/>
          </w:tcPr>
          <w:p w14:paraId="6ABA4D7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26,69</w:t>
            </w:r>
          </w:p>
        </w:tc>
        <w:tc>
          <w:tcPr>
            <w:tcW w:w="763" w:type="dxa"/>
            <w:shd w:val="clear" w:color="auto" w:fill="FFFFFF"/>
            <w:vAlign w:val="bottom"/>
          </w:tcPr>
          <w:p w14:paraId="083A919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26,12</w:t>
            </w:r>
          </w:p>
        </w:tc>
      </w:tr>
      <w:tr w:rsidR="00B834A2" w:rsidRPr="00B07646" w14:paraId="77280D34" w14:textId="77777777" w:rsidTr="00B834A2">
        <w:trPr>
          <w:jc w:val="center"/>
        </w:trPr>
        <w:tc>
          <w:tcPr>
            <w:tcW w:w="2069" w:type="dxa"/>
            <w:vMerge w:val="restart"/>
            <w:shd w:val="clear" w:color="auto" w:fill="FFFFFF"/>
          </w:tcPr>
          <w:p w14:paraId="1EE1B5C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6</w:t>
            </w:r>
          </w:p>
        </w:tc>
        <w:tc>
          <w:tcPr>
            <w:tcW w:w="782" w:type="dxa"/>
            <w:shd w:val="clear" w:color="auto" w:fill="FFFFFF"/>
            <w:vAlign w:val="bottom"/>
          </w:tcPr>
          <w:p w14:paraId="5408971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5,99</w:t>
            </w:r>
          </w:p>
        </w:tc>
        <w:tc>
          <w:tcPr>
            <w:tcW w:w="686" w:type="dxa"/>
            <w:shd w:val="clear" w:color="auto" w:fill="FFFFFF"/>
            <w:vAlign w:val="bottom"/>
          </w:tcPr>
          <w:p w14:paraId="689A60B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5,14</w:t>
            </w:r>
          </w:p>
        </w:tc>
        <w:tc>
          <w:tcPr>
            <w:tcW w:w="754" w:type="dxa"/>
            <w:shd w:val="clear" w:color="auto" w:fill="FFFFFF"/>
            <w:vAlign w:val="bottom"/>
          </w:tcPr>
          <w:p w14:paraId="057C5DB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4,76</w:t>
            </w:r>
          </w:p>
        </w:tc>
        <w:tc>
          <w:tcPr>
            <w:tcW w:w="720" w:type="dxa"/>
            <w:shd w:val="clear" w:color="auto" w:fill="FFFFFF"/>
            <w:vAlign w:val="bottom"/>
          </w:tcPr>
          <w:p w14:paraId="0F24E3A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4,53</w:t>
            </w:r>
          </w:p>
        </w:tc>
        <w:tc>
          <w:tcPr>
            <w:tcW w:w="734" w:type="dxa"/>
            <w:shd w:val="clear" w:color="auto" w:fill="FFFFFF"/>
            <w:vAlign w:val="bottom"/>
          </w:tcPr>
          <w:p w14:paraId="153EDFF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4,39</w:t>
            </w:r>
          </w:p>
        </w:tc>
        <w:tc>
          <w:tcPr>
            <w:tcW w:w="720" w:type="dxa"/>
            <w:shd w:val="clear" w:color="auto" w:fill="FFFFFF"/>
            <w:vAlign w:val="bottom"/>
          </w:tcPr>
          <w:p w14:paraId="28225C6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4,28</w:t>
            </w:r>
          </w:p>
        </w:tc>
        <w:tc>
          <w:tcPr>
            <w:tcW w:w="734" w:type="dxa"/>
            <w:shd w:val="clear" w:color="auto" w:fill="FFFFFF"/>
            <w:vAlign w:val="bottom"/>
          </w:tcPr>
          <w:p w14:paraId="493F76D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4,21</w:t>
            </w:r>
          </w:p>
        </w:tc>
        <w:tc>
          <w:tcPr>
            <w:tcW w:w="734" w:type="dxa"/>
            <w:shd w:val="clear" w:color="auto" w:fill="FFFFFF"/>
            <w:vAlign w:val="bottom"/>
          </w:tcPr>
          <w:p w14:paraId="22BF026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4,15</w:t>
            </w:r>
          </w:p>
        </w:tc>
        <w:tc>
          <w:tcPr>
            <w:tcW w:w="720" w:type="dxa"/>
            <w:shd w:val="clear" w:color="auto" w:fill="FFFFFF"/>
            <w:vAlign w:val="bottom"/>
          </w:tcPr>
          <w:p w14:paraId="14CB08C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3,87</w:t>
            </w:r>
          </w:p>
        </w:tc>
        <w:tc>
          <w:tcPr>
            <w:tcW w:w="763" w:type="dxa"/>
            <w:shd w:val="clear" w:color="auto" w:fill="FFFFFF"/>
            <w:vAlign w:val="bottom"/>
          </w:tcPr>
          <w:p w14:paraId="4C1C5CF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3,67</w:t>
            </w:r>
          </w:p>
        </w:tc>
      </w:tr>
      <w:tr w:rsidR="00B834A2" w:rsidRPr="00B07646" w14:paraId="7A38FAFF" w14:textId="77777777" w:rsidTr="00B834A2">
        <w:trPr>
          <w:jc w:val="center"/>
        </w:trPr>
        <w:tc>
          <w:tcPr>
            <w:tcW w:w="2069" w:type="dxa"/>
            <w:vMerge/>
            <w:shd w:val="clear" w:color="auto" w:fill="FFFFFF"/>
          </w:tcPr>
          <w:p w14:paraId="568F860A" w14:textId="77777777" w:rsidR="00B834A2" w:rsidRPr="00B07646" w:rsidRDefault="00B834A2" w:rsidP="00B07646">
            <w:pPr>
              <w:spacing w:after="120"/>
              <w:ind w:firstLine="21"/>
              <w:jc w:val="center"/>
              <w:rPr>
                <w:sz w:val="20"/>
                <w:szCs w:val="20"/>
              </w:rPr>
            </w:pPr>
          </w:p>
        </w:tc>
        <w:tc>
          <w:tcPr>
            <w:tcW w:w="782" w:type="dxa"/>
            <w:shd w:val="clear" w:color="auto" w:fill="FFFFFF"/>
          </w:tcPr>
          <w:p w14:paraId="5B161B1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13,74</w:t>
            </w:r>
          </w:p>
        </w:tc>
        <w:tc>
          <w:tcPr>
            <w:tcW w:w="686" w:type="dxa"/>
            <w:shd w:val="clear" w:color="auto" w:fill="FFFFFF"/>
          </w:tcPr>
          <w:p w14:paraId="7A1A9CB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10,92</w:t>
            </w:r>
          </w:p>
        </w:tc>
        <w:tc>
          <w:tcPr>
            <w:tcW w:w="754" w:type="dxa"/>
            <w:shd w:val="clear" w:color="auto" w:fill="FFFFFF"/>
          </w:tcPr>
          <w:p w14:paraId="69FC1F3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9,78</w:t>
            </w:r>
          </w:p>
        </w:tc>
        <w:tc>
          <w:tcPr>
            <w:tcW w:w="720" w:type="dxa"/>
            <w:shd w:val="clear" w:color="auto" w:fill="FFFFFF"/>
          </w:tcPr>
          <w:p w14:paraId="0846FE2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9,15</w:t>
            </w:r>
          </w:p>
        </w:tc>
        <w:tc>
          <w:tcPr>
            <w:tcW w:w="734" w:type="dxa"/>
            <w:shd w:val="clear" w:color="auto" w:fill="FFFFFF"/>
          </w:tcPr>
          <w:p w14:paraId="2691620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8,75</w:t>
            </w:r>
          </w:p>
        </w:tc>
        <w:tc>
          <w:tcPr>
            <w:tcW w:w="720" w:type="dxa"/>
            <w:shd w:val="clear" w:color="auto" w:fill="FFFFFF"/>
          </w:tcPr>
          <w:p w14:paraId="326A9F6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8,47</w:t>
            </w:r>
          </w:p>
        </w:tc>
        <w:tc>
          <w:tcPr>
            <w:tcW w:w="734" w:type="dxa"/>
            <w:shd w:val="clear" w:color="auto" w:fill="FFFFFF"/>
            <w:vAlign w:val="bottom"/>
          </w:tcPr>
          <w:p w14:paraId="3F720BB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8,26</w:t>
            </w:r>
          </w:p>
        </w:tc>
        <w:tc>
          <w:tcPr>
            <w:tcW w:w="734" w:type="dxa"/>
            <w:shd w:val="clear" w:color="auto" w:fill="FFFFFF"/>
            <w:vAlign w:val="bottom"/>
          </w:tcPr>
          <w:p w14:paraId="1538F28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8,10</w:t>
            </w:r>
          </w:p>
        </w:tc>
        <w:tc>
          <w:tcPr>
            <w:tcW w:w="720" w:type="dxa"/>
            <w:shd w:val="clear" w:color="auto" w:fill="FFFFFF"/>
          </w:tcPr>
          <w:p w14:paraId="44BE017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7,39</w:t>
            </w:r>
          </w:p>
        </w:tc>
        <w:tc>
          <w:tcPr>
            <w:tcW w:w="763" w:type="dxa"/>
            <w:shd w:val="clear" w:color="auto" w:fill="FFFFFF"/>
            <w:vAlign w:val="bottom"/>
          </w:tcPr>
          <w:p w14:paraId="484AD77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6,88</w:t>
            </w:r>
          </w:p>
        </w:tc>
      </w:tr>
      <w:tr w:rsidR="00B834A2" w:rsidRPr="00B07646" w14:paraId="18DAEF31" w14:textId="77777777" w:rsidTr="00B834A2">
        <w:trPr>
          <w:jc w:val="center"/>
        </w:trPr>
        <w:tc>
          <w:tcPr>
            <w:tcW w:w="2069" w:type="dxa"/>
            <w:vMerge w:val="restart"/>
            <w:shd w:val="clear" w:color="auto" w:fill="FFFFFF"/>
          </w:tcPr>
          <w:p w14:paraId="7701F1C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9</w:t>
            </w:r>
          </w:p>
        </w:tc>
        <w:tc>
          <w:tcPr>
            <w:tcW w:w="782" w:type="dxa"/>
            <w:shd w:val="clear" w:color="auto" w:fill="FFFFFF"/>
            <w:vAlign w:val="bottom"/>
          </w:tcPr>
          <w:p w14:paraId="20A499B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5,12</w:t>
            </w:r>
          </w:p>
        </w:tc>
        <w:tc>
          <w:tcPr>
            <w:tcW w:w="686" w:type="dxa"/>
            <w:shd w:val="clear" w:color="auto" w:fill="FFFFFF"/>
            <w:vAlign w:val="bottom"/>
          </w:tcPr>
          <w:p w14:paraId="65A8B24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4,26</w:t>
            </w:r>
          </w:p>
        </w:tc>
        <w:tc>
          <w:tcPr>
            <w:tcW w:w="754" w:type="dxa"/>
            <w:shd w:val="clear" w:color="auto" w:fill="FFFFFF"/>
            <w:vAlign w:val="bottom"/>
          </w:tcPr>
          <w:p w14:paraId="13CD2B1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3,86</w:t>
            </w:r>
          </w:p>
        </w:tc>
        <w:tc>
          <w:tcPr>
            <w:tcW w:w="720" w:type="dxa"/>
            <w:shd w:val="clear" w:color="auto" w:fill="FFFFFF"/>
            <w:vAlign w:val="bottom"/>
          </w:tcPr>
          <w:p w14:paraId="40FBA3A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3,63</w:t>
            </w:r>
          </w:p>
        </w:tc>
        <w:tc>
          <w:tcPr>
            <w:tcW w:w="734" w:type="dxa"/>
            <w:shd w:val="clear" w:color="auto" w:fill="FFFFFF"/>
            <w:vAlign w:val="bottom"/>
          </w:tcPr>
          <w:p w14:paraId="10C2B07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3,48</w:t>
            </w:r>
          </w:p>
        </w:tc>
        <w:tc>
          <w:tcPr>
            <w:tcW w:w="720" w:type="dxa"/>
            <w:shd w:val="clear" w:color="auto" w:fill="FFFFFF"/>
            <w:vAlign w:val="bottom"/>
          </w:tcPr>
          <w:p w14:paraId="17F77FF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3,87</w:t>
            </w:r>
          </w:p>
        </w:tc>
        <w:tc>
          <w:tcPr>
            <w:tcW w:w="734" w:type="dxa"/>
            <w:shd w:val="clear" w:color="auto" w:fill="FFFFFF"/>
            <w:vAlign w:val="bottom"/>
          </w:tcPr>
          <w:p w14:paraId="0CF436C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3,29</w:t>
            </w:r>
          </w:p>
        </w:tc>
        <w:tc>
          <w:tcPr>
            <w:tcW w:w="734" w:type="dxa"/>
            <w:shd w:val="clear" w:color="auto" w:fill="FFFFFF"/>
            <w:vAlign w:val="bottom"/>
          </w:tcPr>
          <w:p w14:paraId="0FE6AEF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3,23</w:t>
            </w:r>
          </w:p>
        </w:tc>
        <w:tc>
          <w:tcPr>
            <w:tcW w:w="720" w:type="dxa"/>
            <w:shd w:val="clear" w:color="auto" w:fill="FFFFFF"/>
            <w:vAlign w:val="bottom"/>
          </w:tcPr>
          <w:p w14:paraId="1FD3DDF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2,93</w:t>
            </w:r>
          </w:p>
        </w:tc>
        <w:tc>
          <w:tcPr>
            <w:tcW w:w="763" w:type="dxa"/>
            <w:shd w:val="clear" w:color="auto" w:fill="FFFFFF"/>
            <w:vAlign w:val="bottom"/>
          </w:tcPr>
          <w:p w14:paraId="1DF69C6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2,71</w:t>
            </w:r>
          </w:p>
        </w:tc>
      </w:tr>
      <w:tr w:rsidR="00B834A2" w:rsidRPr="00B07646" w14:paraId="51A55AAB" w14:textId="77777777" w:rsidTr="00B834A2">
        <w:trPr>
          <w:jc w:val="center"/>
        </w:trPr>
        <w:tc>
          <w:tcPr>
            <w:tcW w:w="2069" w:type="dxa"/>
            <w:vMerge/>
            <w:shd w:val="clear" w:color="auto" w:fill="FFFFFF"/>
          </w:tcPr>
          <w:p w14:paraId="2216E120" w14:textId="77777777" w:rsidR="00B834A2" w:rsidRPr="00B07646" w:rsidRDefault="00B834A2" w:rsidP="00B07646">
            <w:pPr>
              <w:spacing w:after="120"/>
              <w:ind w:firstLine="21"/>
              <w:jc w:val="center"/>
              <w:rPr>
                <w:sz w:val="20"/>
                <w:szCs w:val="20"/>
              </w:rPr>
            </w:pPr>
          </w:p>
        </w:tc>
        <w:tc>
          <w:tcPr>
            <w:tcW w:w="782" w:type="dxa"/>
            <w:shd w:val="clear" w:color="auto" w:fill="FFFFFF"/>
          </w:tcPr>
          <w:p w14:paraId="62C7568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10,56</w:t>
            </w:r>
          </w:p>
        </w:tc>
        <w:tc>
          <w:tcPr>
            <w:tcW w:w="686" w:type="dxa"/>
            <w:shd w:val="clear" w:color="auto" w:fill="FFFFFF"/>
            <w:vAlign w:val="bottom"/>
          </w:tcPr>
          <w:p w14:paraId="1450357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8,02</w:t>
            </w:r>
          </w:p>
        </w:tc>
        <w:tc>
          <w:tcPr>
            <w:tcW w:w="754" w:type="dxa"/>
            <w:shd w:val="clear" w:color="auto" w:fill="FFFFFF"/>
          </w:tcPr>
          <w:p w14:paraId="641FF2B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6,99</w:t>
            </w:r>
          </w:p>
        </w:tc>
        <w:tc>
          <w:tcPr>
            <w:tcW w:w="720" w:type="dxa"/>
            <w:shd w:val="clear" w:color="auto" w:fill="FFFFFF"/>
          </w:tcPr>
          <w:p w14:paraId="38AE4FA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6,42</w:t>
            </w:r>
          </w:p>
        </w:tc>
        <w:tc>
          <w:tcPr>
            <w:tcW w:w="734" w:type="dxa"/>
            <w:shd w:val="clear" w:color="auto" w:fill="FFFFFF"/>
            <w:vAlign w:val="bottom"/>
          </w:tcPr>
          <w:p w14:paraId="1233CF2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6,06</w:t>
            </w:r>
          </w:p>
        </w:tc>
        <w:tc>
          <w:tcPr>
            <w:tcW w:w="720" w:type="dxa"/>
            <w:shd w:val="clear" w:color="auto" w:fill="FFFFFF"/>
          </w:tcPr>
          <w:p w14:paraId="689FF30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5,80</w:t>
            </w:r>
          </w:p>
        </w:tc>
        <w:tc>
          <w:tcPr>
            <w:tcW w:w="734" w:type="dxa"/>
            <w:shd w:val="clear" w:color="auto" w:fill="FFFFFF"/>
          </w:tcPr>
          <w:p w14:paraId="5B3BFD4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5,62</w:t>
            </w:r>
          </w:p>
        </w:tc>
        <w:tc>
          <w:tcPr>
            <w:tcW w:w="734" w:type="dxa"/>
            <w:shd w:val="clear" w:color="auto" w:fill="FFFFFF"/>
          </w:tcPr>
          <w:p w14:paraId="2771936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5,47</w:t>
            </w:r>
          </w:p>
        </w:tc>
        <w:tc>
          <w:tcPr>
            <w:tcW w:w="720" w:type="dxa"/>
            <w:shd w:val="clear" w:color="auto" w:fill="FFFFFF"/>
          </w:tcPr>
          <w:p w14:paraId="4B305F6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4,80</w:t>
            </w:r>
          </w:p>
        </w:tc>
        <w:tc>
          <w:tcPr>
            <w:tcW w:w="763" w:type="dxa"/>
            <w:shd w:val="clear" w:color="auto" w:fill="FFFFFF"/>
          </w:tcPr>
          <w:p w14:paraId="19C9113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4,31</w:t>
            </w:r>
          </w:p>
        </w:tc>
      </w:tr>
      <w:tr w:rsidR="00B834A2" w:rsidRPr="00B07646" w14:paraId="1439FB78" w14:textId="77777777" w:rsidTr="00B834A2">
        <w:trPr>
          <w:jc w:val="center"/>
        </w:trPr>
        <w:tc>
          <w:tcPr>
            <w:tcW w:w="2069" w:type="dxa"/>
            <w:vMerge w:val="restart"/>
            <w:shd w:val="clear" w:color="auto" w:fill="FFFFFF"/>
          </w:tcPr>
          <w:p w14:paraId="4F94321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12</w:t>
            </w:r>
          </w:p>
        </w:tc>
        <w:tc>
          <w:tcPr>
            <w:tcW w:w="782" w:type="dxa"/>
            <w:shd w:val="clear" w:color="auto" w:fill="FFFFFF"/>
            <w:vAlign w:val="bottom"/>
          </w:tcPr>
          <w:p w14:paraId="0353037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4,75</w:t>
            </w:r>
          </w:p>
        </w:tc>
        <w:tc>
          <w:tcPr>
            <w:tcW w:w="686" w:type="dxa"/>
            <w:shd w:val="clear" w:color="auto" w:fill="FFFFFF"/>
            <w:vAlign w:val="bottom"/>
          </w:tcPr>
          <w:p w14:paraId="22B79A0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3,89</w:t>
            </w:r>
          </w:p>
        </w:tc>
        <w:tc>
          <w:tcPr>
            <w:tcW w:w="754" w:type="dxa"/>
            <w:shd w:val="clear" w:color="auto" w:fill="FFFFFF"/>
            <w:vAlign w:val="bottom"/>
          </w:tcPr>
          <w:p w14:paraId="789DF80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3,49</w:t>
            </w:r>
          </w:p>
        </w:tc>
        <w:tc>
          <w:tcPr>
            <w:tcW w:w="720" w:type="dxa"/>
            <w:shd w:val="clear" w:color="auto" w:fill="FFFFFF"/>
            <w:vAlign w:val="bottom"/>
          </w:tcPr>
          <w:p w14:paraId="5F413FC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3,26</w:t>
            </w:r>
          </w:p>
        </w:tc>
        <w:tc>
          <w:tcPr>
            <w:tcW w:w="734" w:type="dxa"/>
            <w:shd w:val="clear" w:color="auto" w:fill="FFFFFF"/>
            <w:vAlign w:val="bottom"/>
          </w:tcPr>
          <w:p w14:paraId="6539365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3,11</w:t>
            </w:r>
          </w:p>
        </w:tc>
        <w:tc>
          <w:tcPr>
            <w:tcW w:w="720" w:type="dxa"/>
            <w:shd w:val="clear" w:color="auto" w:fill="FFFFFF"/>
            <w:vAlign w:val="bottom"/>
          </w:tcPr>
          <w:p w14:paraId="5EE7BC5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3,00</w:t>
            </w:r>
          </w:p>
        </w:tc>
        <w:tc>
          <w:tcPr>
            <w:tcW w:w="734" w:type="dxa"/>
            <w:shd w:val="clear" w:color="auto" w:fill="FFFFFF"/>
            <w:vAlign w:val="bottom"/>
          </w:tcPr>
          <w:p w14:paraId="7B32448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2,91</w:t>
            </w:r>
          </w:p>
        </w:tc>
        <w:tc>
          <w:tcPr>
            <w:tcW w:w="734" w:type="dxa"/>
            <w:shd w:val="clear" w:color="auto" w:fill="FFFFFF"/>
            <w:vAlign w:val="bottom"/>
          </w:tcPr>
          <w:p w14:paraId="527BDBD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2,85</w:t>
            </w:r>
          </w:p>
        </w:tc>
        <w:tc>
          <w:tcPr>
            <w:tcW w:w="720" w:type="dxa"/>
            <w:shd w:val="clear" w:color="auto" w:fill="FFFFFF"/>
            <w:vAlign w:val="bottom"/>
          </w:tcPr>
          <w:p w14:paraId="74AD970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2,54</w:t>
            </w:r>
          </w:p>
        </w:tc>
        <w:tc>
          <w:tcPr>
            <w:tcW w:w="763" w:type="dxa"/>
            <w:shd w:val="clear" w:color="auto" w:fill="FFFFFF"/>
            <w:vAlign w:val="bottom"/>
          </w:tcPr>
          <w:p w14:paraId="4288C6A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2,30</w:t>
            </w:r>
          </w:p>
        </w:tc>
      </w:tr>
      <w:tr w:rsidR="00B834A2" w:rsidRPr="00B07646" w14:paraId="02563C21" w14:textId="77777777" w:rsidTr="00B834A2">
        <w:trPr>
          <w:jc w:val="center"/>
        </w:trPr>
        <w:tc>
          <w:tcPr>
            <w:tcW w:w="2069" w:type="dxa"/>
            <w:vMerge/>
            <w:shd w:val="clear" w:color="auto" w:fill="FFFFFF"/>
          </w:tcPr>
          <w:p w14:paraId="0F70D54E" w14:textId="77777777" w:rsidR="00B834A2" w:rsidRPr="00B07646" w:rsidRDefault="00B834A2" w:rsidP="00B07646">
            <w:pPr>
              <w:spacing w:after="120"/>
              <w:ind w:firstLine="21"/>
              <w:jc w:val="center"/>
              <w:rPr>
                <w:sz w:val="20"/>
                <w:szCs w:val="20"/>
              </w:rPr>
            </w:pPr>
          </w:p>
        </w:tc>
        <w:tc>
          <w:tcPr>
            <w:tcW w:w="782" w:type="dxa"/>
            <w:shd w:val="clear" w:color="auto" w:fill="FFFFFF"/>
          </w:tcPr>
          <w:p w14:paraId="76B3D95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9,33</w:t>
            </w:r>
          </w:p>
        </w:tc>
        <w:tc>
          <w:tcPr>
            <w:tcW w:w="686" w:type="dxa"/>
            <w:shd w:val="clear" w:color="auto" w:fill="FFFFFF"/>
          </w:tcPr>
          <w:p w14:paraId="6CA5CDC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6,93</w:t>
            </w:r>
          </w:p>
        </w:tc>
        <w:tc>
          <w:tcPr>
            <w:tcW w:w="754" w:type="dxa"/>
            <w:shd w:val="clear" w:color="auto" w:fill="FFFFFF"/>
          </w:tcPr>
          <w:p w14:paraId="2FD4FA3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5,95</w:t>
            </w:r>
          </w:p>
        </w:tc>
        <w:tc>
          <w:tcPr>
            <w:tcW w:w="720" w:type="dxa"/>
            <w:shd w:val="clear" w:color="auto" w:fill="FFFFFF"/>
          </w:tcPr>
          <w:p w14:paraId="18906B4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5,41</w:t>
            </w:r>
          </w:p>
        </w:tc>
        <w:tc>
          <w:tcPr>
            <w:tcW w:w="734" w:type="dxa"/>
            <w:shd w:val="clear" w:color="auto" w:fill="FFFFFF"/>
          </w:tcPr>
          <w:p w14:paraId="77710F7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5,06</w:t>
            </w:r>
          </w:p>
        </w:tc>
        <w:tc>
          <w:tcPr>
            <w:tcW w:w="720" w:type="dxa"/>
            <w:shd w:val="clear" w:color="auto" w:fill="FFFFFF"/>
          </w:tcPr>
          <w:p w14:paraId="476BEFD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4,82</w:t>
            </w:r>
          </w:p>
        </w:tc>
        <w:tc>
          <w:tcPr>
            <w:tcW w:w="734" w:type="dxa"/>
            <w:shd w:val="clear" w:color="auto" w:fill="FFFFFF"/>
          </w:tcPr>
          <w:p w14:paraId="12DC3B2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4,64</w:t>
            </w:r>
          </w:p>
        </w:tc>
        <w:tc>
          <w:tcPr>
            <w:tcW w:w="734" w:type="dxa"/>
            <w:shd w:val="clear" w:color="auto" w:fill="FFFFFF"/>
          </w:tcPr>
          <w:p w14:paraId="25D64EA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4,50</w:t>
            </w:r>
          </w:p>
        </w:tc>
        <w:tc>
          <w:tcPr>
            <w:tcW w:w="720" w:type="dxa"/>
            <w:shd w:val="clear" w:color="auto" w:fill="FFFFFF"/>
          </w:tcPr>
          <w:p w14:paraId="2993ACA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3,86</w:t>
            </w:r>
          </w:p>
        </w:tc>
        <w:tc>
          <w:tcPr>
            <w:tcW w:w="763" w:type="dxa"/>
            <w:shd w:val="clear" w:color="auto" w:fill="FFFFFF"/>
          </w:tcPr>
          <w:p w14:paraId="2152D8D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3,36</w:t>
            </w:r>
          </w:p>
        </w:tc>
      </w:tr>
      <w:tr w:rsidR="00B834A2" w:rsidRPr="00B07646" w14:paraId="361BAD8E" w14:textId="77777777" w:rsidTr="00B834A2">
        <w:trPr>
          <w:jc w:val="center"/>
        </w:trPr>
        <w:tc>
          <w:tcPr>
            <w:tcW w:w="2069" w:type="dxa"/>
            <w:vMerge w:val="restart"/>
            <w:shd w:val="clear" w:color="auto" w:fill="FFFFFF"/>
          </w:tcPr>
          <w:p w14:paraId="414D670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15</w:t>
            </w:r>
          </w:p>
        </w:tc>
        <w:tc>
          <w:tcPr>
            <w:tcW w:w="782" w:type="dxa"/>
            <w:shd w:val="clear" w:color="auto" w:fill="FFFFFF"/>
            <w:vAlign w:val="bottom"/>
          </w:tcPr>
          <w:p w14:paraId="517725E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4,54</w:t>
            </w:r>
          </w:p>
        </w:tc>
        <w:tc>
          <w:tcPr>
            <w:tcW w:w="686" w:type="dxa"/>
            <w:shd w:val="clear" w:color="auto" w:fill="FFFFFF"/>
            <w:vAlign w:val="bottom"/>
          </w:tcPr>
          <w:p w14:paraId="62F5168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3,68</w:t>
            </w:r>
          </w:p>
        </w:tc>
        <w:tc>
          <w:tcPr>
            <w:tcW w:w="754" w:type="dxa"/>
            <w:shd w:val="clear" w:color="auto" w:fill="FFFFFF"/>
            <w:vAlign w:val="bottom"/>
          </w:tcPr>
          <w:p w14:paraId="6F6D570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3,29</w:t>
            </w:r>
          </w:p>
        </w:tc>
        <w:tc>
          <w:tcPr>
            <w:tcW w:w="720" w:type="dxa"/>
            <w:shd w:val="clear" w:color="auto" w:fill="FFFFFF"/>
            <w:vAlign w:val="bottom"/>
          </w:tcPr>
          <w:p w14:paraId="50B0DDF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3,06</w:t>
            </w:r>
          </w:p>
        </w:tc>
        <w:tc>
          <w:tcPr>
            <w:tcW w:w="734" w:type="dxa"/>
            <w:shd w:val="clear" w:color="auto" w:fill="FFFFFF"/>
            <w:vAlign w:val="bottom"/>
          </w:tcPr>
          <w:p w14:paraId="2C413E8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2,90</w:t>
            </w:r>
          </w:p>
        </w:tc>
        <w:tc>
          <w:tcPr>
            <w:tcW w:w="720" w:type="dxa"/>
            <w:shd w:val="clear" w:color="auto" w:fill="FFFFFF"/>
            <w:vAlign w:val="bottom"/>
          </w:tcPr>
          <w:p w14:paraId="5E079D8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2,79</w:t>
            </w:r>
          </w:p>
        </w:tc>
        <w:tc>
          <w:tcPr>
            <w:tcW w:w="734" w:type="dxa"/>
            <w:shd w:val="clear" w:color="auto" w:fill="FFFFFF"/>
            <w:vAlign w:val="bottom"/>
          </w:tcPr>
          <w:p w14:paraId="6533F70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2,71</w:t>
            </w:r>
          </w:p>
        </w:tc>
        <w:tc>
          <w:tcPr>
            <w:tcW w:w="734" w:type="dxa"/>
            <w:shd w:val="clear" w:color="auto" w:fill="FFFFFF"/>
            <w:vAlign w:val="bottom"/>
          </w:tcPr>
          <w:p w14:paraId="159881F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2,64</w:t>
            </w:r>
          </w:p>
        </w:tc>
        <w:tc>
          <w:tcPr>
            <w:tcW w:w="720" w:type="dxa"/>
            <w:shd w:val="clear" w:color="auto" w:fill="FFFFFF"/>
            <w:vAlign w:val="bottom"/>
          </w:tcPr>
          <w:p w14:paraId="16BF947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2,33</w:t>
            </w:r>
          </w:p>
        </w:tc>
        <w:tc>
          <w:tcPr>
            <w:tcW w:w="763" w:type="dxa"/>
            <w:shd w:val="clear" w:color="auto" w:fill="FFFFFF"/>
            <w:vAlign w:val="bottom"/>
          </w:tcPr>
          <w:p w14:paraId="4EAF4CA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2,07</w:t>
            </w:r>
          </w:p>
        </w:tc>
      </w:tr>
      <w:tr w:rsidR="00B834A2" w:rsidRPr="00B07646" w14:paraId="30F3CB64" w14:textId="77777777" w:rsidTr="00B834A2">
        <w:trPr>
          <w:jc w:val="center"/>
        </w:trPr>
        <w:tc>
          <w:tcPr>
            <w:tcW w:w="2069" w:type="dxa"/>
            <w:vMerge/>
            <w:shd w:val="clear" w:color="auto" w:fill="FFFFFF"/>
          </w:tcPr>
          <w:p w14:paraId="5EDDFE18" w14:textId="77777777" w:rsidR="00B834A2" w:rsidRPr="00B07646" w:rsidRDefault="00B834A2" w:rsidP="00B07646">
            <w:pPr>
              <w:spacing w:after="120"/>
              <w:ind w:firstLine="21"/>
              <w:jc w:val="center"/>
              <w:rPr>
                <w:sz w:val="20"/>
                <w:szCs w:val="20"/>
              </w:rPr>
            </w:pPr>
          </w:p>
        </w:tc>
        <w:tc>
          <w:tcPr>
            <w:tcW w:w="782" w:type="dxa"/>
            <w:shd w:val="clear" w:color="auto" w:fill="FFFFFF"/>
            <w:vAlign w:val="bottom"/>
          </w:tcPr>
          <w:p w14:paraId="0569D2F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8,68</w:t>
            </w:r>
          </w:p>
        </w:tc>
        <w:tc>
          <w:tcPr>
            <w:tcW w:w="686" w:type="dxa"/>
            <w:shd w:val="clear" w:color="auto" w:fill="FFFFFF"/>
          </w:tcPr>
          <w:p w14:paraId="47CDEA1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6,36</w:t>
            </w:r>
          </w:p>
        </w:tc>
        <w:tc>
          <w:tcPr>
            <w:tcW w:w="754" w:type="dxa"/>
            <w:shd w:val="clear" w:color="auto" w:fill="FFFFFF"/>
          </w:tcPr>
          <w:p w14:paraId="419AA1A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5,42</w:t>
            </w:r>
          </w:p>
        </w:tc>
        <w:tc>
          <w:tcPr>
            <w:tcW w:w="720" w:type="dxa"/>
            <w:shd w:val="clear" w:color="auto" w:fill="FFFFFF"/>
          </w:tcPr>
          <w:p w14:paraId="6438D5C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4,89</w:t>
            </w:r>
          </w:p>
        </w:tc>
        <w:tc>
          <w:tcPr>
            <w:tcW w:w="734" w:type="dxa"/>
            <w:shd w:val="clear" w:color="auto" w:fill="FFFFFF"/>
          </w:tcPr>
          <w:p w14:paraId="736DA65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4,56</w:t>
            </w:r>
          </w:p>
        </w:tc>
        <w:tc>
          <w:tcPr>
            <w:tcW w:w="720" w:type="dxa"/>
            <w:shd w:val="clear" w:color="auto" w:fill="FFFFFF"/>
          </w:tcPr>
          <w:p w14:paraId="5092D47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4,32</w:t>
            </w:r>
          </w:p>
        </w:tc>
        <w:tc>
          <w:tcPr>
            <w:tcW w:w="734" w:type="dxa"/>
            <w:shd w:val="clear" w:color="auto" w:fill="FFFFFF"/>
          </w:tcPr>
          <w:p w14:paraId="2BED74B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4,14</w:t>
            </w:r>
          </w:p>
        </w:tc>
        <w:tc>
          <w:tcPr>
            <w:tcW w:w="734" w:type="dxa"/>
            <w:shd w:val="clear" w:color="auto" w:fill="FFFFFF"/>
          </w:tcPr>
          <w:p w14:paraId="4FA3F6C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4,00</w:t>
            </w:r>
          </w:p>
        </w:tc>
        <w:tc>
          <w:tcPr>
            <w:tcW w:w="720" w:type="dxa"/>
            <w:shd w:val="clear" w:color="auto" w:fill="FFFFFF"/>
          </w:tcPr>
          <w:p w14:paraId="60404AF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3,37</w:t>
            </w:r>
          </w:p>
        </w:tc>
        <w:tc>
          <w:tcPr>
            <w:tcW w:w="763" w:type="dxa"/>
            <w:shd w:val="clear" w:color="auto" w:fill="FFFFFF"/>
          </w:tcPr>
          <w:p w14:paraId="1D89224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2,87</w:t>
            </w:r>
          </w:p>
        </w:tc>
      </w:tr>
      <w:tr w:rsidR="00B834A2" w:rsidRPr="00B07646" w14:paraId="0348F694" w14:textId="77777777" w:rsidTr="00B834A2">
        <w:trPr>
          <w:jc w:val="center"/>
        </w:trPr>
        <w:tc>
          <w:tcPr>
            <w:tcW w:w="2069" w:type="dxa"/>
            <w:vMerge w:val="restart"/>
            <w:shd w:val="clear" w:color="auto" w:fill="FFFFFF"/>
          </w:tcPr>
          <w:p w14:paraId="13CE828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20</w:t>
            </w:r>
          </w:p>
        </w:tc>
        <w:tc>
          <w:tcPr>
            <w:tcW w:w="782" w:type="dxa"/>
            <w:shd w:val="clear" w:color="auto" w:fill="FFFFFF"/>
            <w:vAlign w:val="bottom"/>
          </w:tcPr>
          <w:p w14:paraId="7471A47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4,35</w:t>
            </w:r>
          </w:p>
        </w:tc>
        <w:tc>
          <w:tcPr>
            <w:tcW w:w="686" w:type="dxa"/>
            <w:shd w:val="clear" w:color="auto" w:fill="FFFFFF"/>
            <w:vAlign w:val="bottom"/>
          </w:tcPr>
          <w:p w14:paraId="46C06BD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3,49</w:t>
            </w:r>
          </w:p>
        </w:tc>
        <w:tc>
          <w:tcPr>
            <w:tcW w:w="754" w:type="dxa"/>
            <w:shd w:val="clear" w:color="auto" w:fill="FFFFFF"/>
            <w:vAlign w:val="bottom"/>
          </w:tcPr>
          <w:p w14:paraId="5EF6BAF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3,10</w:t>
            </w:r>
          </w:p>
        </w:tc>
        <w:tc>
          <w:tcPr>
            <w:tcW w:w="720" w:type="dxa"/>
            <w:shd w:val="clear" w:color="auto" w:fill="FFFFFF"/>
            <w:vAlign w:val="bottom"/>
          </w:tcPr>
          <w:p w14:paraId="3A6EE8E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2,87</w:t>
            </w:r>
          </w:p>
        </w:tc>
        <w:tc>
          <w:tcPr>
            <w:tcW w:w="734" w:type="dxa"/>
            <w:shd w:val="clear" w:color="auto" w:fill="FFFFFF"/>
            <w:vAlign w:val="bottom"/>
          </w:tcPr>
          <w:p w14:paraId="4BEA8E1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2,71</w:t>
            </w:r>
          </w:p>
        </w:tc>
        <w:tc>
          <w:tcPr>
            <w:tcW w:w="720" w:type="dxa"/>
            <w:shd w:val="clear" w:color="auto" w:fill="FFFFFF"/>
            <w:vAlign w:val="bottom"/>
          </w:tcPr>
          <w:p w14:paraId="005AA2F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2,60</w:t>
            </w:r>
          </w:p>
        </w:tc>
        <w:tc>
          <w:tcPr>
            <w:tcW w:w="734" w:type="dxa"/>
            <w:shd w:val="clear" w:color="auto" w:fill="FFFFFF"/>
            <w:vAlign w:val="bottom"/>
          </w:tcPr>
          <w:p w14:paraId="302B7D1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2,51</w:t>
            </w:r>
          </w:p>
        </w:tc>
        <w:tc>
          <w:tcPr>
            <w:tcW w:w="734" w:type="dxa"/>
            <w:shd w:val="clear" w:color="auto" w:fill="FFFFFF"/>
            <w:vAlign w:val="bottom"/>
          </w:tcPr>
          <w:p w14:paraId="0F6A58D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2,45</w:t>
            </w:r>
          </w:p>
        </w:tc>
        <w:tc>
          <w:tcPr>
            <w:tcW w:w="720" w:type="dxa"/>
            <w:shd w:val="clear" w:color="auto" w:fill="FFFFFF"/>
            <w:vAlign w:val="bottom"/>
          </w:tcPr>
          <w:p w14:paraId="7DDDDEA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2,12</w:t>
            </w:r>
          </w:p>
        </w:tc>
        <w:tc>
          <w:tcPr>
            <w:tcW w:w="763" w:type="dxa"/>
            <w:shd w:val="clear" w:color="auto" w:fill="FFFFFF"/>
            <w:vAlign w:val="bottom"/>
          </w:tcPr>
          <w:p w14:paraId="43B49F1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1,84</w:t>
            </w:r>
          </w:p>
        </w:tc>
      </w:tr>
      <w:tr w:rsidR="00B834A2" w:rsidRPr="00B07646" w14:paraId="77EE889A" w14:textId="77777777" w:rsidTr="00B834A2">
        <w:trPr>
          <w:jc w:val="center"/>
        </w:trPr>
        <w:tc>
          <w:tcPr>
            <w:tcW w:w="2069" w:type="dxa"/>
            <w:vMerge/>
            <w:shd w:val="clear" w:color="auto" w:fill="FFFFFF"/>
          </w:tcPr>
          <w:p w14:paraId="2128337B" w14:textId="77777777" w:rsidR="00B834A2" w:rsidRPr="00B07646" w:rsidRDefault="00B834A2" w:rsidP="00B07646">
            <w:pPr>
              <w:spacing w:after="120"/>
              <w:ind w:firstLine="21"/>
              <w:jc w:val="center"/>
              <w:rPr>
                <w:sz w:val="20"/>
                <w:szCs w:val="20"/>
              </w:rPr>
            </w:pPr>
          </w:p>
        </w:tc>
        <w:tc>
          <w:tcPr>
            <w:tcW w:w="782" w:type="dxa"/>
            <w:shd w:val="clear" w:color="auto" w:fill="FFFFFF"/>
            <w:vAlign w:val="bottom"/>
          </w:tcPr>
          <w:p w14:paraId="1E4BB38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8,10</w:t>
            </w:r>
          </w:p>
        </w:tc>
        <w:tc>
          <w:tcPr>
            <w:tcW w:w="686" w:type="dxa"/>
            <w:shd w:val="clear" w:color="auto" w:fill="FFFFFF"/>
          </w:tcPr>
          <w:p w14:paraId="593220B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5,85</w:t>
            </w:r>
          </w:p>
        </w:tc>
        <w:tc>
          <w:tcPr>
            <w:tcW w:w="754" w:type="dxa"/>
            <w:shd w:val="clear" w:color="auto" w:fill="FFFFFF"/>
          </w:tcPr>
          <w:p w14:paraId="731E304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4,94</w:t>
            </w:r>
          </w:p>
        </w:tc>
        <w:tc>
          <w:tcPr>
            <w:tcW w:w="720" w:type="dxa"/>
            <w:shd w:val="clear" w:color="auto" w:fill="FFFFFF"/>
          </w:tcPr>
          <w:p w14:paraId="682EC9D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4,43</w:t>
            </w:r>
          </w:p>
        </w:tc>
        <w:tc>
          <w:tcPr>
            <w:tcW w:w="734" w:type="dxa"/>
            <w:shd w:val="clear" w:color="auto" w:fill="FFFFFF"/>
          </w:tcPr>
          <w:p w14:paraId="66012F6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4,10</w:t>
            </w:r>
          </w:p>
        </w:tc>
        <w:tc>
          <w:tcPr>
            <w:tcW w:w="720" w:type="dxa"/>
            <w:shd w:val="clear" w:color="auto" w:fill="FFFFFF"/>
          </w:tcPr>
          <w:p w14:paraId="5684E33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3,87</w:t>
            </w:r>
          </w:p>
        </w:tc>
        <w:tc>
          <w:tcPr>
            <w:tcW w:w="734" w:type="dxa"/>
            <w:shd w:val="clear" w:color="auto" w:fill="FFFFFF"/>
          </w:tcPr>
          <w:p w14:paraId="430D18B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3,70</w:t>
            </w:r>
          </w:p>
        </w:tc>
        <w:tc>
          <w:tcPr>
            <w:tcW w:w="734" w:type="dxa"/>
            <w:shd w:val="clear" w:color="auto" w:fill="FFFFFF"/>
          </w:tcPr>
          <w:p w14:paraId="687AABC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3,56</w:t>
            </w:r>
          </w:p>
        </w:tc>
        <w:tc>
          <w:tcPr>
            <w:tcW w:w="720" w:type="dxa"/>
            <w:shd w:val="clear" w:color="auto" w:fill="FFFFFF"/>
          </w:tcPr>
          <w:p w14:paraId="451CD61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2,94</w:t>
            </w:r>
          </w:p>
        </w:tc>
        <w:tc>
          <w:tcPr>
            <w:tcW w:w="763" w:type="dxa"/>
            <w:shd w:val="clear" w:color="auto" w:fill="FFFFFF"/>
          </w:tcPr>
          <w:p w14:paraId="7E4D562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2,42</w:t>
            </w:r>
          </w:p>
        </w:tc>
      </w:tr>
      <w:tr w:rsidR="00B834A2" w:rsidRPr="00B07646" w14:paraId="4F4EC406" w14:textId="77777777" w:rsidTr="00B834A2">
        <w:trPr>
          <w:jc w:val="center"/>
        </w:trPr>
        <w:tc>
          <w:tcPr>
            <w:tcW w:w="2069" w:type="dxa"/>
            <w:vMerge w:val="restart"/>
            <w:shd w:val="clear" w:color="auto" w:fill="FFFFFF"/>
          </w:tcPr>
          <w:p w14:paraId="14FB80F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30</w:t>
            </w:r>
          </w:p>
        </w:tc>
        <w:tc>
          <w:tcPr>
            <w:tcW w:w="782" w:type="dxa"/>
            <w:shd w:val="clear" w:color="auto" w:fill="FFFFFF"/>
            <w:vAlign w:val="bottom"/>
          </w:tcPr>
          <w:p w14:paraId="0F8E874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4,17</w:t>
            </w:r>
          </w:p>
        </w:tc>
        <w:tc>
          <w:tcPr>
            <w:tcW w:w="686" w:type="dxa"/>
            <w:shd w:val="clear" w:color="auto" w:fill="FFFFFF"/>
            <w:vAlign w:val="bottom"/>
          </w:tcPr>
          <w:p w14:paraId="69E86D9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3,32</w:t>
            </w:r>
          </w:p>
        </w:tc>
        <w:tc>
          <w:tcPr>
            <w:tcW w:w="754" w:type="dxa"/>
            <w:shd w:val="clear" w:color="auto" w:fill="FFFFFF"/>
            <w:vAlign w:val="bottom"/>
          </w:tcPr>
          <w:p w14:paraId="14C0CF3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2,92</w:t>
            </w:r>
          </w:p>
        </w:tc>
        <w:tc>
          <w:tcPr>
            <w:tcW w:w="720" w:type="dxa"/>
            <w:shd w:val="clear" w:color="auto" w:fill="FFFFFF"/>
            <w:vAlign w:val="bottom"/>
          </w:tcPr>
          <w:p w14:paraId="43DA1B8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2,69</w:t>
            </w:r>
          </w:p>
        </w:tc>
        <w:tc>
          <w:tcPr>
            <w:tcW w:w="734" w:type="dxa"/>
            <w:shd w:val="clear" w:color="auto" w:fill="FFFFFF"/>
            <w:vAlign w:val="bottom"/>
          </w:tcPr>
          <w:p w14:paraId="215F5D9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2,53</w:t>
            </w:r>
          </w:p>
        </w:tc>
        <w:tc>
          <w:tcPr>
            <w:tcW w:w="720" w:type="dxa"/>
            <w:shd w:val="clear" w:color="auto" w:fill="FFFFFF"/>
            <w:vAlign w:val="bottom"/>
          </w:tcPr>
          <w:p w14:paraId="629554B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2,42</w:t>
            </w:r>
          </w:p>
        </w:tc>
        <w:tc>
          <w:tcPr>
            <w:tcW w:w="734" w:type="dxa"/>
            <w:shd w:val="clear" w:color="auto" w:fill="FFFFFF"/>
            <w:vAlign w:val="bottom"/>
          </w:tcPr>
          <w:p w14:paraId="15E111C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2,33</w:t>
            </w:r>
          </w:p>
        </w:tc>
        <w:tc>
          <w:tcPr>
            <w:tcW w:w="734" w:type="dxa"/>
            <w:shd w:val="clear" w:color="auto" w:fill="FFFFFF"/>
            <w:vAlign w:val="bottom"/>
          </w:tcPr>
          <w:p w14:paraId="7673084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2,27</w:t>
            </w:r>
          </w:p>
        </w:tc>
        <w:tc>
          <w:tcPr>
            <w:tcW w:w="720" w:type="dxa"/>
            <w:shd w:val="clear" w:color="auto" w:fill="FFFFFF"/>
            <w:vAlign w:val="bottom"/>
          </w:tcPr>
          <w:p w14:paraId="3612877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1,93</w:t>
            </w:r>
          </w:p>
        </w:tc>
        <w:tc>
          <w:tcPr>
            <w:tcW w:w="763" w:type="dxa"/>
            <w:shd w:val="clear" w:color="auto" w:fill="FFFFFF"/>
            <w:vAlign w:val="bottom"/>
          </w:tcPr>
          <w:p w14:paraId="7FE3555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1,62</w:t>
            </w:r>
          </w:p>
        </w:tc>
      </w:tr>
      <w:tr w:rsidR="00B834A2" w:rsidRPr="00B07646" w14:paraId="2615EF27" w14:textId="77777777" w:rsidTr="00B834A2">
        <w:trPr>
          <w:jc w:val="center"/>
        </w:trPr>
        <w:tc>
          <w:tcPr>
            <w:tcW w:w="2069" w:type="dxa"/>
            <w:vMerge/>
            <w:shd w:val="clear" w:color="auto" w:fill="FFFFFF"/>
          </w:tcPr>
          <w:p w14:paraId="1BC3021C" w14:textId="77777777" w:rsidR="00B834A2" w:rsidRPr="00B07646" w:rsidRDefault="00B834A2" w:rsidP="00B07646">
            <w:pPr>
              <w:spacing w:after="120"/>
              <w:ind w:firstLine="21"/>
              <w:jc w:val="center"/>
              <w:rPr>
                <w:sz w:val="20"/>
                <w:szCs w:val="20"/>
              </w:rPr>
            </w:pPr>
          </w:p>
        </w:tc>
        <w:tc>
          <w:tcPr>
            <w:tcW w:w="782" w:type="dxa"/>
            <w:shd w:val="clear" w:color="auto" w:fill="FFFFFF"/>
          </w:tcPr>
          <w:p w14:paraId="23349D2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7,56</w:t>
            </w:r>
          </w:p>
        </w:tc>
        <w:tc>
          <w:tcPr>
            <w:tcW w:w="686" w:type="dxa"/>
            <w:shd w:val="clear" w:color="auto" w:fill="FFFFFF"/>
          </w:tcPr>
          <w:p w14:paraId="347E993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5,39</w:t>
            </w:r>
          </w:p>
        </w:tc>
        <w:tc>
          <w:tcPr>
            <w:tcW w:w="754" w:type="dxa"/>
            <w:shd w:val="clear" w:color="auto" w:fill="FFFFFF"/>
          </w:tcPr>
          <w:p w14:paraId="77C9CDD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4,51</w:t>
            </w:r>
          </w:p>
        </w:tc>
        <w:tc>
          <w:tcPr>
            <w:tcW w:w="720" w:type="dxa"/>
            <w:shd w:val="clear" w:color="auto" w:fill="FFFFFF"/>
          </w:tcPr>
          <w:p w14:paraId="13E9B32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4,02</w:t>
            </w:r>
          </w:p>
        </w:tc>
        <w:tc>
          <w:tcPr>
            <w:tcW w:w="734" w:type="dxa"/>
            <w:shd w:val="clear" w:color="auto" w:fill="FFFFFF"/>
          </w:tcPr>
          <w:p w14:paraId="078AAC2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3,70</w:t>
            </w:r>
          </w:p>
        </w:tc>
        <w:tc>
          <w:tcPr>
            <w:tcW w:w="720" w:type="dxa"/>
            <w:shd w:val="clear" w:color="auto" w:fill="FFFFFF"/>
          </w:tcPr>
          <w:p w14:paraId="6DF9E9A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3,47</w:t>
            </w:r>
          </w:p>
        </w:tc>
        <w:tc>
          <w:tcPr>
            <w:tcW w:w="734" w:type="dxa"/>
            <w:shd w:val="clear" w:color="auto" w:fill="FFFFFF"/>
          </w:tcPr>
          <w:p w14:paraId="2785244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3,30</w:t>
            </w:r>
          </w:p>
        </w:tc>
        <w:tc>
          <w:tcPr>
            <w:tcW w:w="734" w:type="dxa"/>
            <w:shd w:val="clear" w:color="auto" w:fill="FFFFFF"/>
          </w:tcPr>
          <w:p w14:paraId="39CC85D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3,17</w:t>
            </w:r>
          </w:p>
        </w:tc>
        <w:tc>
          <w:tcPr>
            <w:tcW w:w="720" w:type="dxa"/>
            <w:shd w:val="clear" w:color="auto" w:fill="FFFFFF"/>
          </w:tcPr>
          <w:p w14:paraId="763753B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2,55</w:t>
            </w:r>
          </w:p>
        </w:tc>
        <w:tc>
          <w:tcPr>
            <w:tcW w:w="763" w:type="dxa"/>
            <w:shd w:val="clear" w:color="auto" w:fill="FFFFFF"/>
            <w:vAlign w:val="bottom"/>
          </w:tcPr>
          <w:p w14:paraId="439429D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2,01</w:t>
            </w:r>
          </w:p>
        </w:tc>
      </w:tr>
      <w:tr w:rsidR="00B834A2" w:rsidRPr="00B07646" w14:paraId="6B080CC4" w14:textId="77777777" w:rsidTr="00B834A2">
        <w:trPr>
          <w:jc w:val="center"/>
        </w:trPr>
        <w:tc>
          <w:tcPr>
            <w:tcW w:w="2069" w:type="dxa"/>
            <w:vMerge w:val="restart"/>
            <w:shd w:val="clear" w:color="auto" w:fill="FFFFFF"/>
          </w:tcPr>
          <w:p w14:paraId="3284810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60</w:t>
            </w:r>
          </w:p>
        </w:tc>
        <w:tc>
          <w:tcPr>
            <w:tcW w:w="782" w:type="dxa"/>
            <w:shd w:val="clear" w:color="auto" w:fill="FFFFFF"/>
            <w:vAlign w:val="bottom"/>
          </w:tcPr>
          <w:p w14:paraId="2057164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4,00</w:t>
            </w:r>
          </w:p>
        </w:tc>
        <w:tc>
          <w:tcPr>
            <w:tcW w:w="686" w:type="dxa"/>
            <w:shd w:val="clear" w:color="auto" w:fill="FFFFFF"/>
            <w:vAlign w:val="bottom"/>
          </w:tcPr>
          <w:p w14:paraId="47FD893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3,15</w:t>
            </w:r>
          </w:p>
        </w:tc>
        <w:tc>
          <w:tcPr>
            <w:tcW w:w="754" w:type="dxa"/>
            <w:shd w:val="clear" w:color="auto" w:fill="FFFFFF"/>
            <w:vAlign w:val="bottom"/>
          </w:tcPr>
          <w:p w14:paraId="6486C9E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2,76</w:t>
            </w:r>
          </w:p>
        </w:tc>
        <w:tc>
          <w:tcPr>
            <w:tcW w:w="720" w:type="dxa"/>
            <w:shd w:val="clear" w:color="auto" w:fill="FFFFFF"/>
            <w:vAlign w:val="bottom"/>
          </w:tcPr>
          <w:p w14:paraId="21FC1CC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2,53</w:t>
            </w:r>
          </w:p>
        </w:tc>
        <w:tc>
          <w:tcPr>
            <w:tcW w:w="734" w:type="dxa"/>
            <w:shd w:val="clear" w:color="auto" w:fill="FFFFFF"/>
            <w:vAlign w:val="bottom"/>
          </w:tcPr>
          <w:p w14:paraId="5FE8B5D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2,37</w:t>
            </w:r>
          </w:p>
        </w:tc>
        <w:tc>
          <w:tcPr>
            <w:tcW w:w="720" w:type="dxa"/>
            <w:shd w:val="clear" w:color="auto" w:fill="FFFFFF"/>
            <w:vAlign w:val="bottom"/>
          </w:tcPr>
          <w:p w14:paraId="7D93DD4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2,25</w:t>
            </w:r>
          </w:p>
        </w:tc>
        <w:tc>
          <w:tcPr>
            <w:tcW w:w="734" w:type="dxa"/>
            <w:shd w:val="clear" w:color="auto" w:fill="FFFFFF"/>
            <w:vAlign w:val="bottom"/>
          </w:tcPr>
          <w:p w14:paraId="2C9BE7A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2,17</w:t>
            </w:r>
          </w:p>
        </w:tc>
        <w:tc>
          <w:tcPr>
            <w:tcW w:w="734" w:type="dxa"/>
            <w:shd w:val="clear" w:color="auto" w:fill="FFFFFF"/>
            <w:vAlign w:val="bottom"/>
          </w:tcPr>
          <w:p w14:paraId="74128778"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2,10</w:t>
            </w:r>
          </w:p>
        </w:tc>
        <w:tc>
          <w:tcPr>
            <w:tcW w:w="720" w:type="dxa"/>
            <w:shd w:val="clear" w:color="auto" w:fill="FFFFFF"/>
            <w:vAlign w:val="bottom"/>
          </w:tcPr>
          <w:p w14:paraId="05E40155"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1,75</w:t>
            </w:r>
          </w:p>
        </w:tc>
        <w:tc>
          <w:tcPr>
            <w:tcW w:w="763" w:type="dxa"/>
            <w:shd w:val="clear" w:color="auto" w:fill="FFFFFF"/>
            <w:vAlign w:val="bottom"/>
          </w:tcPr>
          <w:p w14:paraId="1713BB6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1,39</w:t>
            </w:r>
          </w:p>
        </w:tc>
      </w:tr>
      <w:tr w:rsidR="00B834A2" w:rsidRPr="00B07646" w14:paraId="0A53B7AA" w14:textId="77777777" w:rsidTr="00B834A2">
        <w:trPr>
          <w:jc w:val="center"/>
        </w:trPr>
        <w:tc>
          <w:tcPr>
            <w:tcW w:w="2069" w:type="dxa"/>
            <w:vMerge/>
            <w:shd w:val="clear" w:color="auto" w:fill="FFFFFF"/>
          </w:tcPr>
          <w:p w14:paraId="2EDEB291" w14:textId="77777777" w:rsidR="00B834A2" w:rsidRPr="00B07646" w:rsidRDefault="00B834A2" w:rsidP="00B07646">
            <w:pPr>
              <w:spacing w:after="120"/>
              <w:ind w:firstLine="21"/>
              <w:jc w:val="center"/>
              <w:rPr>
                <w:sz w:val="20"/>
                <w:szCs w:val="20"/>
              </w:rPr>
            </w:pPr>
          </w:p>
        </w:tc>
        <w:tc>
          <w:tcPr>
            <w:tcW w:w="782" w:type="dxa"/>
            <w:shd w:val="clear" w:color="auto" w:fill="FFFFFF"/>
          </w:tcPr>
          <w:p w14:paraId="307525C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7,08</w:t>
            </w:r>
          </w:p>
        </w:tc>
        <w:tc>
          <w:tcPr>
            <w:tcW w:w="686" w:type="dxa"/>
            <w:shd w:val="clear" w:color="auto" w:fill="FFFFFF"/>
          </w:tcPr>
          <w:p w14:paraId="19378A4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4,98</w:t>
            </w:r>
          </w:p>
        </w:tc>
        <w:tc>
          <w:tcPr>
            <w:tcW w:w="754" w:type="dxa"/>
            <w:shd w:val="clear" w:color="auto" w:fill="FFFFFF"/>
          </w:tcPr>
          <w:p w14:paraId="02C1969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4,13</w:t>
            </w:r>
          </w:p>
        </w:tc>
        <w:tc>
          <w:tcPr>
            <w:tcW w:w="720" w:type="dxa"/>
            <w:shd w:val="clear" w:color="auto" w:fill="FFFFFF"/>
          </w:tcPr>
          <w:p w14:paraId="57BB314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3,65</w:t>
            </w:r>
          </w:p>
        </w:tc>
        <w:tc>
          <w:tcPr>
            <w:tcW w:w="734" w:type="dxa"/>
            <w:shd w:val="clear" w:color="auto" w:fill="FFFFFF"/>
          </w:tcPr>
          <w:p w14:paraId="435DD4B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3,34</w:t>
            </w:r>
          </w:p>
        </w:tc>
        <w:tc>
          <w:tcPr>
            <w:tcW w:w="720" w:type="dxa"/>
            <w:shd w:val="clear" w:color="auto" w:fill="FFFFFF"/>
          </w:tcPr>
          <w:p w14:paraId="01B59D1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3,12</w:t>
            </w:r>
          </w:p>
        </w:tc>
        <w:tc>
          <w:tcPr>
            <w:tcW w:w="734" w:type="dxa"/>
            <w:shd w:val="clear" w:color="auto" w:fill="FFFFFF"/>
          </w:tcPr>
          <w:p w14:paraId="2F582877"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2,95</w:t>
            </w:r>
          </w:p>
        </w:tc>
        <w:tc>
          <w:tcPr>
            <w:tcW w:w="734" w:type="dxa"/>
            <w:shd w:val="clear" w:color="auto" w:fill="FFFFFF"/>
            <w:vAlign w:val="bottom"/>
          </w:tcPr>
          <w:p w14:paraId="64151E0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2,82</w:t>
            </w:r>
          </w:p>
        </w:tc>
        <w:tc>
          <w:tcPr>
            <w:tcW w:w="720" w:type="dxa"/>
            <w:shd w:val="clear" w:color="auto" w:fill="FFFFFF"/>
            <w:vAlign w:val="bottom"/>
          </w:tcPr>
          <w:p w14:paraId="192E816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2,20</w:t>
            </w:r>
          </w:p>
        </w:tc>
        <w:tc>
          <w:tcPr>
            <w:tcW w:w="763" w:type="dxa"/>
            <w:shd w:val="clear" w:color="auto" w:fill="FFFFFF"/>
            <w:vAlign w:val="bottom"/>
          </w:tcPr>
          <w:p w14:paraId="282764D3"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1,60</w:t>
            </w:r>
          </w:p>
        </w:tc>
      </w:tr>
      <w:tr w:rsidR="00B834A2" w:rsidRPr="00B07646" w14:paraId="2142BC80" w14:textId="77777777" w:rsidTr="00B834A2">
        <w:trPr>
          <w:jc w:val="center"/>
        </w:trPr>
        <w:tc>
          <w:tcPr>
            <w:tcW w:w="2069" w:type="dxa"/>
            <w:vMerge w:val="restart"/>
            <w:shd w:val="clear" w:color="auto" w:fill="FFFFFF"/>
          </w:tcPr>
          <w:p w14:paraId="48B9B36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m:oMathPara>
              <m:oMath>
                <m:r>
                  <w:rPr>
                    <w:rFonts w:ascii="Cambria Math" w:hAnsi="Cambria Math" w:cs="Sylfaen"/>
                  </w:rPr>
                  <m:t>∞</m:t>
                </m:r>
              </m:oMath>
            </m:oMathPara>
          </w:p>
        </w:tc>
        <w:tc>
          <w:tcPr>
            <w:tcW w:w="782" w:type="dxa"/>
            <w:shd w:val="clear" w:color="auto" w:fill="FFFFFF"/>
            <w:vAlign w:val="bottom"/>
          </w:tcPr>
          <w:p w14:paraId="1724243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3,84</w:t>
            </w:r>
          </w:p>
        </w:tc>
        <w:tc>
          <w:tcPr>
            <w:tcW w:w="686" w:type="dxa"/>
            <w:shd w:val="clear" w:color="auto" w:fill="FFFFFF"/>
            <w:vAlign w:val="bottom"/>
          </w:tcPr>
          <w:p w14:paraId="608D91B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3,00</w:t>
            </w:r>
          </w:p>
        </w:tc>
        <w:tc>
          <w:tcPr>
            <w:tcW w:w="754" w:type="dxa"/>
            <w:shd w:val="clear" w:color="auto" w:fill="FFFFFF"/>
            <w:vAlign w:val="bottom"/>
          </w:tcPr>
          <w:p w14:paraId="321B12F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2,60</w:t>
            </w:r>
          </w:p>
        </w:tc>
        <w:tc>
          <w:tcPr>
            <w:tcW w:w="720" w:type="dxa"/>
            <w:shd w:val="clear" w:color="auto" w:fill="FFFFFF"/>
            <w:vAlign w:val="bottom"/>
          </w:tcPr>
          <w:p w14:paraId="53B425A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2,37</w:t>
            </w:r>
          </w:p>
        </w:tc>
        <w:tc>
          <w:tcPr>
            <w:tcW w:w="734" w:type="dxa"/>
            <w:shd w:val="clear" w:color="auto" w:fill="FFFFFF"/>
            <w:vAlign w:val="bottom"/>
          </w:tcPr>
          <w:p w14:paraId="4115B59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2,21</w:t>
            </w:r>
          </w:p>
        </w:tc>
        <w:tc>
          <w:tcPr>
            <w:tcW w:w="720" w:type="dxa"/>
            <w:shd w:val="clear" w:color="auto" w:fill="FFFFFF"/>
            <w:vAlign w:val="bottom"/>
          </w:tcPr>
          <w:p w14:paraId="78E50D1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2,10</w:t>
            </w:r>
          </w:p>
        </w:tc>
        <w:tc>
          <w:tcPr>
            <w:tcW w:w="734" w:type="dxa"/>
            <w:shd w:val="clear" w:color="auto" w:fill="FFFFFF"/>
            <w:vAlign w:val="bottom"/>
          </w:tcPr>
          <w:p w14:paraId="063523E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2,01</w:t>
            </w:r>
          </w:p>
        </w:tc>
        <w:tc>
          <w:tcPr>
            <w:tcW w:w="734" w:type="dxa"/>
            <w:shd w:val="clear" w:color="auto" w:fill="FFFFFF"/>
            <w:vAlign w:val="bottom"/>
          </w:tcPr>
          <w:p w14:paraId="3FADF21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1,94</w:t>
            </w:r>
          </w:p>
        </w:tc>
        <w:tc>
          <w:tcPr>
            <w:tcW w:w="720" w:type="dxa"/>
            <w:shd w:val="clear" w:color="auto" w:fill="FFFFFF"/>
            <w:vAlign w:val="bottom"/>
          </w:tcPr>
          <w:p w14:paraId="0F2DFCA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1,57</w:t>
            </w:r>
          </w:p>
        </w:tc>
        <w:tc>
          <w:tcPr>
            <w:tcW w:w="763" w:type="dxa"/>
            <w:shd w:val="clear" w:color="auto" w:fill="FFFFFF"/>
            <w:vAlign w:val="bottom"/>
          </w:tcPr>
          <w:p w14:paraId="7243774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b/>
              </w:rPr>
              <w:t>1,00</w:t>
            </w:r>
          </w:p>
        </w:tc>
      </w:tr>
      <w:tr w:rsidR="00B834A2" w:rsidRPr="00B07646" w14:paraId="54BCE6DE" w14:textId="77777777" w:rsidTr="00B834A2">
        <w:trPr>
          <w:jc w:val="center"/>
        </w:trPr>
        <w:tc>
          <w:tcPr>
            <w:tcW w:w="2069" w:type="dxa"/>
            <w:vMerge/>
            <w:shd w:val="clear" w:color="auto" w:fill="FFFFFF"/>
          </w:tcPr>
          <w:p w14:paraId="184643DC" w14:textId="77777777" w:rsidR="00B834A2" w:rsidRPr="00B07646" w:rsidRDefault="00B834A2" w:rsidP="00B07646">
            <w:pPr>
              <w:spacing w:after="120"/>
              <w:ind w:firstLine="21"/>
              <w:jc w:val="center"/>
              <w:rPr>
                <w:sz w:val="20"/>
                <w:szCs w:val="20"/>
              </w:rPr>
            </w:pPr>
          </w:p>
        </w:tc>
        <w:tc>
          <w:tcPr>
            <w:tcW w:w="782" w:type="dxa"/>
            <w:shd w:val="clear" w:color="auto" w:fill="FFFFFF"/>
          </w:tcPr>
          <w:p w14:paraId="5AA5FBB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6,63</w:t>
            </w:r>
          </w:p>
        </w:tc>
        <w:tc>
          <w:tcPr>
            <w:tcW w:w="686" w:type="dxa"/>
            <w:shd w:val="clear" w:color="auto" w:fill="FFFFFF"/>
          </w:tcPr>
          <w:p w14:paraId="2CB7003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4,61</w:t>
            </w:r>
          </w:p>
        </w:tc>
        <w:tc>
          <w:tcPr>
            <w:tcW w:w="754" w:type="dxa"/>
            <w:shd w:val="clear" w:color="auto" w:fill="FFFFFF"/>
          </w:tcPr>
          <w:p w14:paraId="0390ECB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3,78</w:t>
            </w:r>
          </w:p>
        </w:tc>
        <w:tc>
          <w:tcPr>
            <w:tcW w:w="720" w:type="dxa"/>
            <w:shd w:val="clear" w:color="auto" w:fill="FFFFFF"/>
          </w:tcPr>
          <w:p w14:paraId="69D5158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3,32</w:t>
            </w:r>
          </w:p>
        </w:tc>
        <w:tc>
          <w:tcPr>
            <w:tcW w:w="734" w:type="dxa"/>
            <w:shd w:val="clear" w:color="auto" w:fill="FFFFFF"/>
          </w:tcPr>
          <w:p w14:paraId="2EA86E2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3,02</w:t>
            </w:r>
          </w:p>
        </w:tc>
        <w:tc>
          <w:tcPr>
            <w:tcW w:w="720" w:type="dxa"/>
            <w:shd w:val="clear" w:color="auto" w:fill="FFFFFF"/>
            <w:vAlign w:val="bottom"/>
          </w:tcPr>
          <w:p w14:paraId="0E95D2C4"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2,80</w:t>
            </w:r>
          </w:p>
        </w:tc>
        <w:tc>
          <w:tcPr>
            <w:tcW w:w="734" w:type="dxa"/>
            <w:shd w:val="clear" w:color="auto" w:fill="FFFFFF"/>
          </w:tcPr>
          <w:p w14:paraId="24C3567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2,64</w:t>
            </w:r>
          </w:p>
        </w:tc>
        <w:tc>
          <w:tcPr>
            <w:tcW w:w="734" w:type="dxa"/>
            <w:shd w:val="clear" w:color="auto" w:fill="FFFFFF"/>
          </w:tcPr>
          <w:p w14:paraId="74D8BB9D"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2,51</w:t>
            </w:r>
          </w:p>
        </w:tc>
        <w:tc>
          <w:tcPr>
            <w:tcW w:w="720" w:type="dxa"/>
            <w:shd w:val="clear" w:color="auto" w:fill="FFFFFF"/>
            <w:vAlign w:val="bottom"/>
          </w:tcPr>
          <w:p w14:paraId="39A27291"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1,88</w:t>
            </w:r>
          </w:p>
        </w:tc>
        <w:tc>
          <w:tcPr>
            <w:tcW w:w="763" w:type="dxa"/>
            <w:shd w:val="clear" w:color="auto" w:fill="FFFFFF"/>
            <w:vAlign w:val="bottom"/>
          </w:tcPr>
          <w:p w14:paraId="2811FA5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1,00</w:t>
            </w:r>
          </w:p>
        </w:tc>
      </w:tr>
      <w:tr w:rsidR="00B834A2" w:rsidRPr="00B07646" w14:paraId="6B78C8D2" w14:textId="77777777" w:rsidTr="00B834A2">
        <w:trPr>
          <w:jc w:val="center"/>
        </w:trPr>
        <w:tc>
          <w:tcPr>
            <w:tcW w:w="9416" w:type="dxa"/>
            <w:gridSpan w:val="11"/>
            <w:tcBorders>
              <w:top w:val="single" w:sz="4" w:space="0" w:color="auto"/>
            </w:tcBorders>
            <w:shd w:val="clear" w:color="auto" w:fill="FFFFFF"/>
            <w:vAlign w:val="bottom"/>
          </w:tcPr>
          <w:p w14:paraId="6DF1ACA3" w14:textId="77777777" w:rsidR="00B834A2" w:rsidRPr="00B07646" w:rsidRDefault="00B834A2" w:rsidP="00B07646">
            <w:pPr>
              <w:pStyle w:val="a0"/>
              <w:shd w:val="clear" w:color="auto" w:fill="auto"/>
              <w:spacing w:after="120" w:line="240" w:lineRule="auto"/>
              <w:ind w:firstLine="21"/>
              <w:rPr>
                <w:rFonts w:ascii="Sylfaen" w:hAnsi="Sylfaen" w:cs="Sylfaen"/>
              </w:rPr>
            </w:pPr>
            <w:r w:rsidRPr="00B07646">
              <w:rPr>
                <w:rFonts w:ascii="Sylfaen" w:hAnsi="Sylfaen"/>
                <w:i/>
              </w:rPr>
              <w:t>Р</w:t>
            </w:r>
            <w:r w:rsidRPr="00B07646">
              <w:rPr>
                <w:rFonts w:ascii="Sylfaen" w:hAnsi="Sylfaen"/>
              </w:rPr>
              <w:t xml:space="preserve"> = 95 %- համար </w:t>
            </w:r>
            <w:r w:rsidRPr="00B07646">
              <w:rPr>
                <w:rFonts w:ascii="Sylfaen" w:hAnsi="Sylfaen"/>
                <w:i/>
              </w:rPr>
              <w:t xml:space="preserve">f </w:t>
            </w:r>
            <w:r w:rsidRPr="00B07646">
              <w:rPr>
                <w:rFonts w:ascii="Sylfaen" w:hAnsi="Sylfaen"/>
              </w:rPr>
              <w:t>տպված են թավ տառատեսակով,</w:t>
            </w:r>
            <w:r w:rsidRPr="00B07646">
              <w:rPr>
                <w:rFonts w:ascii="Sylfaen" w:hAnsi="Sylfaen"/>
                <w:i/>
              </w:rPr>
              <w:t xml:space="preserve"> իսկ Р = 99%-ի համար f</w:t>
            </w:r>
            <w:r w:rsidRPr="00B07646">
              <w:rPr>
                <w:rFonts w:ascii="Sylfaen" w:hAnsi="Sylfaen"/>
              </w:rPr>
              <w:t xml:space="preserve"> ՝ սովորականով:</w:t>
            </w:r>
          </w:p>
        </w:tc>
      </w:tr>
    </w:tbl>
    <w:p w14:paraId="13BD17CD" w14:textId="77777777" w:rsidR="00A55DE5" w:rsidRDefault="00A55DE5" w:rsidP="00A55DE5">
      <w:pPr>
        <w:spacing w:after="160" w:line="360" w:lineRule="auto"/>
      </w:pPr>
    </w:p>
    <w:p w14:paraId="5846E285" w14:textId="77777777" w:rsidR="00A55DE5" w:rsidRDefault="00A55DE5" w:rsidP="00A55DE5">
      <w:pPr>
        <w:spacing w:after="160" w:line="360" w:lineRule="auto"/>
      </w:pPr>
      <w:r w:rsidRPr="00B07646">
        <w:lastRenderedPageBreak/>
        <w:t xml:space="preserve">Աղյուսակ 4. </w:t>
      </w:r>
      <w:r w:rsidRPr="00B07646">
        <w:rPr>
          <w:i/>
        </w:rPr>
        <w:t>r կորելյացիայի ընտրանքային գործակցի տոկոսային կետերը</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1526"/>
        <w:gridCol w:w="1152"/>
        <w:gridCol w:w="1334"/>
        <w:gridCol w:w="1363"/>
        <w:gridCol w:w="1334"/>
        <w:gridCol w:w="1334"/>
        <w:gridCol w:w="1373"/>
      </w:tblGrid>
      <w:tr w:rsidR="00B834A2" w:rsidRPr="00B07646" w14:paraId="287279EF" w14:textId="77777777" w:rsidTr="00A55DE5">
        <w:trPr>
          <w:jc w:val="center"/>
        </w:trPr>
        <w:tc>
          <w:tcPr>
            <w:tcW w:w="1526" w:type="dxa"/>
            <w:tcBorders>
              <w:top w:val="single" w:sz="4" w:space="0" w:color="auto"/>
              <w:bottom w:val="single" w:sz="4" w:space="0" w:color="auto"/>
            </w:tcBorders>
            <w:shd w:val="clear" w:color="auto" w:fill="FFFFFF"/>
          </w:tcPr>
          <w:p w14:paraId="326CFA5C" w14:textId="77777777" w:rsidR="00B834A2" w:rsidRPr="00B07646" w:rsidRDefault="00B834A2" w:rsidP="00B07646">
            <w:pPr>
              <w:spacing w:after="120"/>
              <w:jc w:val="center"/>
              <w:rPr>
                <w:sz w:val="20"/>
                <w:szCs w:val="20"/>
              </w:rPr>
            </w:pPr>
          </w:p>
        </w:tc>
        <w:tc>
          <w:tcPr>
            <w:tcW w:w="1152" w:type="dxa"/>
            <w:tcBorders>
              <w:top w:val="single" w:sz="4" w:space="0" w:color="auto"/>
            </w:tcBorders>
            <w:shd w:val="clear" w:color="auto" w:fill="FFFFFF"/>
          </w:tcPr>
          <w:p w14:paraId="19CD606F" w14:textId="77777777" w:rsidR="00B834A2" w:rsidRPr="00B07646" w:rsidRDefault="00B834A2" w:rsidP="00B07646">
            <w:pPr>
              <w:spacing w:after="120"/>
              <w:jc w:val="center"/>
              <w:rPr>
                <w:sz w:val="20"/>
                <w:szCs w:val="20"/>
              </w:rPr>
            </w:pPr>
          </w:p>
        </w:tc>
        <w:tc>
          <w:tcPr>
            <w:tcW w:w="1334" w:type="dxa"/>
            <w:tcBorders>
              <w:top w:val="single" w:sz="4" w:space="0" w:color="auto"/>
            </w:tcBorders>
            <w:shd w:val="clear" w:color="auto" w:fill="FFFFFF"/>
          </w:tcPr>
          <w:p w14:paraId="76F940F6" w14:textId="77777777" w:rsidR="00B834A2" w:rsidRPr="00B07646" w:rsidRDefault="00B834A2" w:rsidP="00B07646">
            <w:pPr>
              <w:spacing w:after="120"/>
              <w:jc w:val="center"/>
              <w:rPr>
                <w:sz w:val="20"/>
                <w:szCs w:val="20"/>
              </w:rPr>
            </w:pPr>
          </w:p>
        </w:tc>
        <w:tc>
          <w:tcPr>
            <w:tcW w:w="2697" w:type="dxa"/>
            <w:gridSpan w:val="2"/>
            <w:tcBorders>
              <w:top w:val="single" w:sz="4" w:space="0" w:color="auto"/>
            </w:tcBorders>
            <w:shd w:val="clear" w:color="auto" w:fill="FFFFFF"/>
            <w:vAlign w:val="center"/>
          </w:tcPr>
          <w:p w14:paraId="533E17E0"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i/>
              </w:rPr>
              <w:t>P</w:t>
            </w:r>
            <w:r w:rsidRPr="00B07646">
              <w:rPr>
                <w:rFonts w:ascii="Sylfaen" w:hAnsi="Sylfaen"/>
                <w:i/>
                <w:vertAlign w:val="subscript"/>
              </w:rPr>
              <w:t>1</w:t>
            </w:r>
            <w:r w:rsidRPr="00B07646">
              <w:rPr>
                <w:rFonts w:ascii="Sylfaen" w:hAnsi="Sylfaen"/>
              </w:rPr>
              <w:t xml:space="preserve"> կամ </w:t>
            </w:r>
            <w:r w:rsidRPr="00B07646">
              <w:rPr>
                <w:rFonts w:ascii="Sylfaen" w:hAnsi="Sylfaen"/>
                <w:i/>
              </w:rPr>
              <w:t>Р</w:t>
            </w:r>
            <w:r w:rsidRPr="00B07646">
              <w:rPr>
                <w:rFonts w:ascii="Sylfaen" w:hAnsi="Sylfaen"/>
                <w:i/>
                <w:vertAlign w:val="subscript"/>
              </w:rPr>
              <w:t>2</w:t>
            </w:r>
            <w:r w:rsidRPr="00B07646">
              <w:rPr>
                <w:rFonts w:ascii="Sylfaen" w:hAnsi="Sylfaen"/>
                <w:i/>
              </w:rPr>
              <w:t xml:space="preserve"> հավանականություն</w:t>
            </w:r>
          </w:p>
        </w:tc>
        <w:tc>
          <w:tcPr>
            <w:tcW w:w="1334" w:type="dxa"/>
            <w:tcBorders>
              <w:top w:val="single" w:sz="4" w:space="0" w:color="auto"/>
            </w:tcBorders>
            <w:shd w:val="clear" w:color="auto" w:fill="FFFFFF"/>
          </w:tcPr>
          <w:p w14:paraId="1026C59E" w14:textId="77777777" w:rsidR="00B834A2" w:rsidRPr="00B07646" w:rsidRDefault="00B834A2" w:rsidP="00B07646">
            <w:pPr>
              <w:spacing w:after="120"/>
              <w:jc w:val="center"/>
              <w:rPr>
                <w:sz w:val="20"/>
                <w:szCs w:val="20"/>
              </w:rPr>
            </w:pPr>
          </w:p>
        </w:tc>
        <w:tc>
          <w:tcPr>
            <w:tcW w:w="1373" w:type="dxa"/>
            <w:tcBorders>
              <w:top w:val="single" w:sz="4" w:space="0" w:color="auto"/>
            </w:tcBorders>
            <w:shd w:val="clear" w:color="auto" w:fill="FFFFFF"/>
          </w:tcPr>
          <w:p w14:paraId="3A77FEB0" w14:textId="77777777" w:rsidR="00B834A2" w:rsidRPr="00B07646" w:rsidRDefault="00B834A2" w:rsidP="00B07646">
            <w:pPr>
              <w:spacing w:after="120"/>
              <w:jc w:val="center"/>
              <w:rPr>
                <w:sz w:val="20"/>
                <w:szCs w:val="20"/>
              </w:rPr>
            </w:pPr>
          </w:p>
        </w:tc>
      </w:tr>
      <w:tr w:rsidR="00B834A2" w:rsidRPr="00B07646" w14:paraId="12BE0459" w14:textId="77777777" w:rsidTr="00A55DE5">
        <w:trPr>
          <w:jc w:val="center"/>
        </w:trPr>
        <w:tc>
          <w:tcPr>
            <w:tcW w:w="1526" w:type="dxa"/>
            <w:tcBorders>
              <w:top w:val="single" w:sz="4" w:space="0" w:color="auto"/>
            </w:tcBorders>
            <w:shd w:val="clear" w:color="auto" w:fill="FFFFFF"/>
            <w:vAlign w:val="bottom"/>
          </w:tcPr>
          <w:p w14:paraId="4ABC910D" w14:textId="77777777" w:rsidR="00B834A2" w:rsidRPr="00B07646" w:rsidRDefault="00000000" w:rsidP="00B07646">
            <w:pPr>
              <w:pStyle w:val="a0"/>
              <w:shd w:val="clear" w:color="auto" w:fill="auto"/>
              <w:spacing w:after="120" w:line="240" w:lineRule="auto"/>
              <w:ind w:firstLine="0"/>
              <w:jc w:val="center"/>
              <w:rPr>
                <w:rFonts w:ascii="Sylfaen" w:hAnsi="Sylfaen" w:cs="Sylfaen"/>
              </w:rPr>
            </w:pPr>
            <m:oMathPara>
              <m:oMath>
                <m:sSub>
                  <m:sSubPr>
                    <m:ctrlPr>
                      <w:rPr>
                        <w:rFonts w:ascii="Cambria Math" w:hAnsi="Cambria Math" w:cs="Sylfaen"/>
                        <w:bCs/>
                        <w:i/>
                        <w:iCs/>
                      </w:rPr>
                    </m:ctrlPr>
                  </m:sSubPr>
                  <m:e>
                    <m:r>
                      <w:rPr>
                        <w:rFonts w:ascii="Cambria Math" w:hAnsi="Cambria Math" w:cs="Sylfaen"/>
                      </w:rPr>
                      <m:t>P</m:t>
                    </m:r>
                  </m:e>
                  <m:sub>
                    <m:r>
                      <w:rPr>
                        <w:rFonts w:ascii="Cambria Math" w:hAnsi="Cambria Math" w:cs="Sylfaen"/>
                      </w:rPr>
                      <m:t>1</m:t>
                    </m:r>
                  </m:sub>
                </m:sSub>
                <m:r>
                  <w:rPr>
                    <w:rFonts w:ascii="Cambria Math" w:hAnsi="Cambria Math" w:cs="Sylfaen"/>
                  </w:rPr>
                  <m:t>→</m:t>
                </m:r>
              </m:oMath>
            </m:oMathPara>
          </w:p>
        </w:tc>
        <w:tc>
          <w:tcPr>
            <w:tcW w:w="1152" w:type="dxa"/>
            <w:tcBorders>
              <w:top w:val="single" w:sz="4" w:space="0" w:color="auto"/>
            </w:tcBorders>
            <w:shd w:val="clear" w:color="auto" w:fill="FFFFFF"/>
            <w:vAlign w:val="bottom"/>
          </w:tcPr>
          <w:p w14:paraId="3F1587A6"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95%</w:t>
            </w:r>
          </w:p>
        </w:tc>
        <w:tc>
          <w:tcPr>
            <w:tcW w:w="1334" w:type="dxa"/>
            <w:tcBorders>
              <w:top w:val="single" w:sz="4" w:space="0" w:color="auto"/>
            </w:tcBorders>
            <w:shd w:val="clear" w:color="auto" w:fill="FFFFFF"/>
            <w:vAlign w:val="bottom"/>
          </w:tcPr>
          <w:p w14:paraId="3801C2AC"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97,5 %</w:t>
            </w:r>
          </w:p>
        </w:tc>
        <w:tc>
          <w:tcPr>
            <w:tcW w:w="1363" w:type="dxa"/>
            <w:tcBorders>
              <w:top w:val="single" w:sz="4" w:space="0" w:color="auto"/>
            </w:tcBorders>
            <w:shd w:val="clear" w:color="auto" w:fill="FFFFFF"/>
            <w:vAlign w:val="bottom"/>
          </w:tcPr>
          <w:p w14:paraId="3696126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w:t>
            </w:r>
          </w:p>
        </w:tc>
        <w:tc>
          <w:tcPr>
            <w:tcW w:w="1334" w:type="dxa"/>
            <w:tcBorders>
              <w:top w:val="single" w:sz="4" w:space="0" w:color="auto"/>
            </w:tcBorders>
            <w:shd w:val="clear" w:color="auto" w:fill="FFFFFF"/>
            <w:vAlign w:val="bottom"/>
          </w:tcPr>
          <w:p w14:paraId="364C0189"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99,5 %</w:t>
            </w:r>
          </w:p>
        </w:tc>
        <w:tc>
          <w:tcPr>
            <w:tcW w:w="1334" w:type="dxa"/>
            <w:tcBorders>
              <w:top w:val="single" w:sz="4" w:space="0" w:color="auto"/>
            </w:tcBorders>
            <w:shd w:val="clear" w:color="auto" w:fill="FFFFFF"/>
            <w:vAlign w:val="bottom"/>
          </w:tcPr>
          <w:p w14:paraId="1CE3A6A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99,75 %</w:t>
            </w:r>
          </w:p>
        </w:tc>
        <w:tc>
          <w:tcPr>
            <w:tcW w:w="1373" w:type="dxa"/>
            <w:tcBorders>
              <w:top w:val="single" w:sz="4" w:space="0" w:color="auto"/>
            </w:tcBorders>
            <w:shd w:val="clear" w:color="auto" w:fill="FFFFFF"/>
            <w:vAlign w:val="bottom"/>
          </w:tcPr>
          <w:p w14:paraId="647C61B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99,95 %</w:t>
            </w:r>
          </w:p>
        </w:tc>
      </w:tr>
      <w:tr w:rsidR="00B834A2" w:rsidRPr="00B07646" w14:paraId="146E2ACE" w14:textId="77777777" w:rsidTr="00B834A2">
        <w:trPr>
          <w:jc w:val="center"/>
        </w:trPr>
        <w:tc>
          <w:tcPr>
            <w:tcW w:w="1526" w:type="dxa"/>
            <w:shd w:val="clear" w:color="auto" w:fill="FFFFFF"/>
            <w:vAlign w:val="bottom"/>
          </w:tcPr>
          <w:p w14:paraId="1EB993C4" w14:textId="77777777" w:rsidR="00B834A2" w:rsidRPr="00B07646" w:rsidRDefault="00000000" w:rsidP="00B07646">
            <w:pPr>
              <w:pStyle w:val="a0"/>
              <w:shd w:val="clear" w:color="auto" w:fill="auto"/>
              <w:spacing w:after="120" w:line="240" w:lineRule="auto"/>
              <w:ind w:firstLine="0"/>
              <w:jc w:val="center"/>
              <w:rPr>
                <w:rFonts w:ascii="Sylfaen" w:hAnsi="Sylfaen" w:cs="Sylfaen"/>
              </w:rPr>
            </w:pPr>
            <m:oMathPara>
              <m:oMath>
                <m:sSub>
                  <m:sSubPr>
                    <m:ctrlPr>
                      <w:rPr>
                        <w:rFonts w:ascii="Cambria Math" w:hAnsi="Cambria Math" w:cs="Sylfaen"/>
                        <w:bCs/>
                        <w:i/>
                        <w:iCs/>
                      </w:rPr>
                    </m:ctrlPr>
                  </m:sSubPr>
                  <m:e>
                    <m:r>
                      <w:rPr>
                        <w:rFonts w:ascii="Cambria Math" w:hAnsi="Cambria Math" w:cs="Sylfaen"/>
                      </w:rPr>
                      <m:t>P</m:t>
                    </m:r>
                  </m:e>
                  <m:sub>
                    <m:r>
                      <w:rPr>
                        <w:rFonts w:ascii="Cambria Math" w:hAnsi="Cambria Math" w:cs="Sylfaen"/>
                      </w:rPr>
                      <m:t>2</m:t>
                    </m:r>
                  </m:sub>
                </m:sSub>
                <m:r>
                  <w:rPr>
                    <w:rFonts w:ascii="Cambria Math" w:hAnsi="Cambria Math" w:cs="Sylfaen"/>
                  </w:rPr>
                  <m:t>→</m:t>
                </m:r>
              </m:oMath>
            </m:oMathPara>
          </w:p>
        </w:tc>
        <w:tc>
          <w:tcPr>
            <w:tcW w:w="1152" w:type="dxa"/>
            <w:tcBorders>
              <w:top w:val="single" w:sz="4" w:space="0" w:color="auto"/>
            </w:tcBorders>
            <w:shd w:val="clear" w:color="auto" w:fill="FFFFFF"/>
            <w:vAlign w:val="bottom"/>
          </w:tcPr>
          <w:p w14:paraId="506679F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90%</w:t>
            </w:r>
          </w:p>
        </w:tc>
        <w:tc>
          <w:tcPr>
            <w:tcW w:w="1334" w:type="dxa"/>
            <w:tcBorders>
              <w:top w:val="single" w:sz="4" w:space="0" w:color="auto"/>
            </w:tcBorders>
            <w:shd w:val="clear" w:color="auto" w:fill="FFFFFF"/>
            <w:vAlign w:val="bottom"/>
          </w:tcPr>
          <w:p w14:paraId="0662595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95%</w:t>
            </w:r>
          </w:p>
        </w:tc>
        <w:tc>
          <w:tcPr>
            <w:tcW w:w="1363" w:type="dxa"/>
            <w:tcBorders>
              <w:top w:val="single" w:sz="4" w:space="0" w:color="auto"/>
            </w:tcBorders>
            <w:shd w:val="clear" w:color="auto" w:fill="FFFFFF"/>
            <w:vAlign w:val="bottom"/>
          </w:tcPr>
          <w:p w14:paraId="060B340F"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98%</w:t>
            </w:r>
          </w:p>
        </w:tc>
        <w:tc>
          <w:tcPr>
            <w:tcW w:w="1334" w:type="dxa"/>
            <w:tcBorders>
              <w:top w:val="single" w:sz="4" w:space="0" w:color="auto"/>
            </w:tcBorders>
            <w:shd w:val="clear" w:color="auto" w:fill="FFFFFF"/>
            <w:vAlign w:val="bottom"/>
          </w:tcPr>
          <w:p w14:paraId="76D8CCCE"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w:t>
            </w:r>
          </w:p>
        </w:tc>
        <w:tc>
          <w:tcPr>
            <w:tcW w:w="1334" w:type="dxa"/>
            <w:tcBorders>
              <w:top w:val="single" w:sz="4" w:space="0" w:color="auto"/>
            </w:tcBorders>
            <w:shd w:val="clear" w:color="auto" w:fill="FFFFFF"/>
            <w:vAlign w:val="bottom"/>
          </w:tcPr>
          <w:p w14:paraId="7636053A"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99,5%</w:t>
            </w:r>
          </w:p>
        </w:tc>
        <w:tc>
          <w:tcPr>
            <w:tcW w:w="1373" w:type="dxa"/>
            <w:tcBorders>
              <w:top w:val="single" w:sz="4" w:space="0" w:color="auto"/>
            </w:tcBorders>
            <w:shd w:val="clear" w:color="auto" w:fill="FFFFFF"/>
            <w:vAlign w:val="bottom"/>
          </w:tcPr>
          <w:p w14:paraId="11736ECB"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99,9%</w:t>
            </w:r>
          </w:p>
        </w:tc>
      </w:tr>
      <w:tr w:rsidR="00B834A2" w:rsidRPr="00B07646" w14:paraId="1CBD681D" w14:textId="77777777" w:rsidTr="00B834A2">
        <w:trPr>
          <w:jc w:val="center"/>
        </w:trPr>
        <w:tc>
          <w:tcPr>
            <w:tcW w:w="1526" w:type="dxa"/>
            <w:tcBorders>
              <w:top w:val="single" w:sz="4" w:space="0" w:color="auto"/>
            </w:tcBorders>
            <w:shd w:val="clear" w:color="auto" w:fill="FFFFFF"/>
            <w:vAlign w:val="bottom"/>
          </w:tcPr>
          <w:p w14:paraId="616CD822" w14:textId="77777777" w:rsidR="00B834A2" w:rsidRPr="00B07646" w:rsidRDefault="00B834A2" w:rsidP="00B07646">
            <w:pPr>
              <w:pStyle w:val="a0"/>
              <w:shd w:val="clear" w:color="auto" w:fill="auto"/>
              <w:spacing w:after="120" w:line="240" w:lineRule="auto"/>
              <w:ind w:firstLine="0"/>
              <w:jc w:val="center"/>
              <w:rPr>
                <w:rFonts w:ascii="Sylfaen" w:hAnsi="Sylfaen" w:cs="Sylfaen"/>
              </w:rPr>
            </w:pPr>
            <w:r w:rsidRPr="00B07646">
              <w:rPr>
                <w:rFonts w:ascii="Sylfaen" w:hAnsi="Sylfaen"/>
              </w:rPr>
              <w:t>Ազատության աստիճանների թիվը</w:t>
            </w:r>
            <m:oMath>
              <m:r>
                <w:rPr>
                  <w:rFonts w:ascii="Cambria Math" w:hAnsi="Cambria Math" w:cs="Sylfaen"/>
                </w:rPr>
                <m:t>f↓</m:t>
              </m:r>
            </m:oMath>
          </w:p>
        </w:tc>
        <w:tc>
          <w:tcPr>
            <w:tcW w:w="7890" w:type="dxa"/>
            <w:gridSpan w:val="6"/>
            <w:tcBorders>
              <w:top w:val="single" w:sz="4" w:space="0" w:color="auto"/>
            </w:tcBorders>
            <w:shd w:val="clear" w:color="auto" w:fill="FFFFFF"/>
            <w:vAlign w:val="center"/>
          </w:tcPr>
          <w:p w14:paraId="27AC6C24" w14:textId="77777777" w:rsidR="00B834A2" w:rsidRPr="00B07646" w:rsidRDefault="00B834A2" w:rsidP="00B07646">
            <w:pPr>
              <w:spacing w:after="120"/>
              <w:jc w:val="center"/>
              <w:rPr>
                <w:sz w:val="20"/>
                <w:szCs w:val="20"/>
              </w:rPr>
            </w:pPr>
            <w:r w:rsidRPr="00B07646">
              <w:rPr>
                <w:i/>
                <w:sz w:val="20"/>
                <w:szCs w:val="20"/>
              </w:rPr>
              <w:t>R (Р, f)</w:t>
            </w:r>
            <w:r w:rsidRPr="00B07646">
              <w:rPr>
                <w:sz w:val="20"/>
                <w:szCs w:val="20"/>
              </w:rPr>
              <w:t xml:space="preserve"> արժեքները</w:t>
            </w:r>
          </w:p>
        </w:tc>
      </w:tr>
      <w:tr w:rsidR="00B834A2" w:rsidRPr="00B07646" w14:paraId="3529E255" w14:textId="77777777" w:rsidTr="00B834A2">
        <w:trPr>
          <w:jc w:val="center"/>
        </w:trPr>
        <w:tc>
          <w:tcPr>
            <w:tcW w:w="1526" w:type="dxa"/>
            <w:tcBorders>
              <w:top w:val="single" w:sz="4" w:space="0" w:color="auto"/>
            </w:tcBorders>
            <w:shd w:val="clear" w:color="auto" w:fill="FFFFFF"/>
            <w:vAlign w:val="bottom"/>
          </w:tcPr>
          <w:p w14:paraId="294FDB8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w:t>
            </w:r>
          </w:p>
        </w:tc>
        <w:tc>
          <w:tcPr>
            <w:tcW w:w="1152" w:type="dxa"/>
            <w:tcBorders>
              <w:top w:val="single" w:sz="4" w:space="0" w:color="auto"/>
            </w:tcBorders>
            <w:shd w:val="clear" w:color="auto" w:fill="FFFFFF"/>
            <w:vAlign w:val="bottom"/>
          </w:tcPr>
          <w:p w14:paraId="77A4BBD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0,9877</w:t>
            </w:r>
          </w:p>
        </w:tc>
        <w:tc>
          <w:tcPr>
            <w:tcW w:w="1334" w:type="dxa"/>
            <w:tcBorders>
              <w:top w:val="single" w:sz="4" w:space="0" w:color="auto"/>
            </w:tcBorders>
            <w:shd w:val="clear" w:color="auto" w:fill="FFFFFF"/>
            <w:vAlign w:val="bottom"/>
          </w:tcPr>
          <w:p w14:paraId="05C6974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0,99692</w:t>
            </w:r>
          </w:p>
        </w:tc>
        <w:tc>
          <w:tcPr>
            <w:tcW w:w="1363" w:type="dxa"/>
            <w:tcBorders>
              <w:top w:val="single" w:sz="4" w:space="0" w:color="auto"/>
            </w:tcBorders>
            <w:shd w:val="clear" w:color="auto" w:fill="FFFFFF"/>
            <w:vAlign w:val="bottom"/>
          </w:tcPr>
          <w:p w14:paraId="2EA70C0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0,999507</w:t>
            </w:r>
          </w:p>
        </w:tc>
        <w:tc>
          <w:tcPr>
            <w:tcW w:w="1334" w:type="dxa"/>
            <w:tcBorders>
              <w:top w:val="single" w:sz="4" w:space="0" w:color="auto"/>
            </w:tcBorders>
            <w:shd w:val="clear" w:color="auto" w:fill="FFFFFF"/>
            <w:vAlign w:val="bottom"/>
          </w:tcPr>
          <w:p w14:paraId="59849AE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0,999877</w:t>
            </w:r>
          </w:p>
        </w:tc>
        <w:tc>
          <w:tcPr>
            <w:tcW w:w="1334" w:type="dxa"/>
            <w:tcBorders>
              <w:top w:val="single" w:sz="4" w:space="0" w:color="auto"/>
            </w:tcBorders>
            <w:shd w:val="clear" w:color="auto" w:fill="FFFFFF"/>
            <w:vAlign w:val="bottom"/>
          </w:tcPr>
          <w:p w14:paraId="4F37FC5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0,999969</w:t>
            </w:r>
          </w:p>
        </w:tc>
        <w:tc>
          <w:tcPr>
            <w:tcW w:w="1373" w:type="dxa"/>
            <w:tcBorders>
              <w:top w:val="single" w:sz="4" w:space="0" w:color="auto"/>
            </w:tcBorders>
            <w:shd w:val="clear" w:color="auto" w:fill="FFFFFF"/>
            <w:vAlign w:val="bottom"/>
          </w:tcPr>
          <w:p w14:paraId="31D78C3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0,999999</w:t>
            </w:r>
          </w:p>
        </w:tc>
      </w:tr>
      <w:tr w:rsidR="00B834A2" w:rsidRPr="00B07646" w14:paraId="7144E16B" w14:textId="77777777" w:rsidTr="00B834A2">
        <w:trPr>
          <w:jc w:val="center"/>
        </w:trPr>
        <w:tc>
          <w:tcPr>
            <w:tcW w:w="1526" w:type="dxa"/>
            <w:shd w:val="clear" w:color="auto" w:fill="FFFFFF"/>
            <w:vAlign w:val="bottom"/>
          </w:tcPr>
          <w:p w14:paraId="22DCA90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2</w:t>
            </w:r>
          </w:p>
        </w:tc>
        <w:tc>
          <w:tcPr>
            <w:tcW w:w="1152" w:type="dxa"/>
            <w:shd w:val="clear" w:color="auto" w:fill="FFFFFF"/>
            <w:vAlign w:val="bottom"/>
          </w:tcPr>
          <w:p w14:paraId="064C41D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0,900</w:t>
            </w:r>
          </w:p>
        </w:tc>
        <w:tc>
          <w:tcPr>
            <w:tcW w:w="1334" w:type="dxa"/>
            <w:shd w:val="clear" w:color="auto" w:fill="FFFFFF"/>
            <w:vAlign w:val="bottom"/>
          </w:tcPr>
          <w:p w14:paraId="36868A9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0,950</w:t>
            </w:r>
          </w:p>
        </w:tc>
        <w:tc>
          <w:tcPr>
            <w:tcW w:w="1363" w:type="dxa"/>
            <w:shd w:val="clear" w:color="auto" w:fill="FFFFFF"/>
            <w:vAlign w:val="bottom"/>
          </w:tcPr>
          <w:p w14:paraId="62802A4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0,980</w:t>
            </w:r>
          </w:p>
        </w:tc>
        <w:tc>
          <w:tcPr>
            <w:tcW w:w="1334" w:type="dxa"/>
            <w:shd w:val="clear" w:color="auto" w:fill="FFFFFF"/>
            <w:vAlign w:val="bottom"/>
          </w:tcPr>
          <w:p w14:paraId="69E3F5E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0,990</w:t>
            </w:r>
          </w:p>
        </w:tc>
        <w:tc>
          <w:tcPr>
            <w:tcW w:w="1334" w:type="dxa"/>
            <w:shd w:val="clear" w:color="auto" w:fill="FFFFFF"/>
            <w:vAlign w:val="bottom"/>
          </w:tcPr>
          <w:p w14:paraId="695DC3F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0,9950</w:t>
            </w:r>
          </w:p>
        </w:tc>
        <w:tc>
          <w:tcPr>
            <w:tcW w:w="1373" w:type="dxa"/>
            <w:shd w:val="clear" w:color="auto" w:fill="FFFFFF"/>
            <w:vAlign w:val="bottom"/>
          </w:tcPr>
          <w:p w14:paraId="4D347A4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0,999000</w:t>
            </w:r>
          </w:p>
        </w:tc>
      </w:tr>
      <w:tr w:rsidR="00B834A2" w:rsidRPr="00B07646" w14:paraId="22D7B75F" w14:textId="77777777" w:rsidTr="00B834A2">
        <w:trPr>
          <w:jc w:val="center"/>
        </w:trPr>
        <w:tc>
          <w:tcPr>
            <w:tcW w:w="1526" w:type="dxa"/>
            <w:shd w:val="clear" w:color="auto" w:fill="FFFFFF"/>
            <w:vAlign w:val="bottom"/>
          </w:tcPr>
          <w:p w14:paraId="7A88B2F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3</w:t>
            </w:r>
          </w:p>
        </w:tc>
        <w:tc>
          <w:tcPr>
            <w:tcW w:w="1152" w:type="dxa"/>
            <w:shd w:val="clear" w:color="auto" w:fill="FFFFFF"/>
            <w:vAlign w:val="bottom"/>
          </w:tcPr>
          <w:p w14:paraId="6946998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0,805</w:t>
            </w:r>
          </w:p>
        </w:tc>
        <w:tc>
          <w:tcPr>
            <w:tcW w:w="1334" w:type="dxa"/>
            <w:shd w:val="clear" w:color="auto" w:fill="FFFFFF"/>
            <w:vAlign w:val="bottom"/>
          </w:tcPr>
          <w:p w14:paraId="547D9EB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0,878</w:t>
            </w:r>
          </w:p>
        </w:tc>
        <w:tc>
          <w:tcPr>
            <w:tcW w:w="1363" w:type="dxa"/>
            <w:shd w:val="clear" w:color="auto" w:fill="FFFFFF"/>
            <w:vAlign w:val="bottom"/>
          </w:tcPr>
          <w:p w14:paraId="723FEE2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0,9343</w:t>
            </w:r>
          </w:p>
        </w:tc>
        <w:tc>
          <w:tcPr>
            <w:tcW w:w="1334" w:type="dxa"/>
            <w:shd w:val="clear" w:color="auto" w:fill="FFFFFF"/>
            <w:vAlign w:val="bottom"/>
          </w:tcPr>
          <w:p w14:paraId="199F8C0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0,9587</w:t>
            </w:r>
          </w:p>
        </w:tc>
        <w:tc>
          <w:tcPr>
            <w:tcW w:w="1334" w:type="dxa"/>
            <w:shd w:val="clear" w:color="auto" w:fill="FFFFFF"/>
            <w:vAlign w:val="bottom"/>
          </w:tcPr>
          <w:p w14:paraId="18CAF3B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0,9740</w:t>
            </w:r>
          </w:p>
        </w:tc>
        <w:tc>
          <w:tcPr>
            <w:tcW w:w="1373" w:type="dxa"/>
            <w:shd w:val="clear" w:color="auto" w:fill="FFFFFF"/>
            <w:vAlign w:val="bottom"/>
          </w:tcPr>
          <w:p w14:paraId="3CF51FF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0,99114</w:t>
            </w:r>
          </w:p>
        </w:tc>
      </w:tr>
      <w:tr w:rsidR="00B834A2" w:rsidRPr="00B07646" w14:paraId="1A0A341D" w14:textId="77777777" w:rsidTr="00B834A2">
        <w:trPr>
          <w:jc w:val="center"/>
        </w:trPr>
        <w:tc>
          <w:tcPr>
            <w:tcW w:w="1526" w:type="dxa"/>
            <w:shd w:val="clear" w:color="auto" w:fill="FFFFFF"/>
            <w:vAlign w:val="bottom"/>
          </w:tcPr>
          <w:p w14:paraId="48A2884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4</w:t>
            </w:r>
          </w:p>
        </w:tc>
        <w:tc>
          <w:tcPr>
            <w:tcW w:w="1152" w:type="dxa"/>
            <w:shd w:val="clear" w:color="auto" w:fill="FFFFFF"/>
            <w:vAlign w:val="bottom"/>
          </w:tcPr>
          <w:p w14:paraId="1E532B0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0,729</w:t>
            </w:r>
          </w:p>
        </w:tc>
        <w:tc>
          <w:tcPr>
            <w:tcW w:w="1334" w:type="dxa"/>
            <w:shd w:val="clear" w:color="auto" w:fill="FFFFFF"/>
            <w:vAlign w:val="bottom"/>
          </w:tcPr>
          <w:p w14:paraId="77A611C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0,811</w:t>
            </w:r>
          </w:p>
        </w:tc>
        <w:tc>
          <w:tcPr>
            <w:tcW w:w="1363" w:type="dxa"/>
            <w:shd w:val="clear" w:color="auto" w:fill="FFFFFF"/>
            <w:vAlign w:val="bottom"/>
          </w:tcPr>
          <w:p w14:paraId="390479D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0,882</w:t>
            </w:r>
          </w:p>
        </w:tc>
        <w:tc>
          <w:tcPr>
            <w:tcW w:w="1334" w:type="dxa"/>
            <w:shd w:val="clear" w:color="auto" w:fill="FFFFFF"/>
            <w:vAlign w:val="bottom"/>
          </w:tcPr>
          <w:p w14:paraId="7BC2639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0,9172</w:t>
            </w:r>
          </w:p>
        </w:tc>
        <w:tc>
          <w:tcPr>
            <w:tcW w:w="1334" w:type="dxa"/>
            <w:shd w:val="clear" w:color="auto" w:fill="FFFFFF"/>
            <w:vAlign w:val="bottom"/>
          </w:tcPr>
          <w:p w14:paraId="6B73DD8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0,9417</w:t>
            </w:r>
          </w:p>
        </w:tc>
        <w:tc>
          <w:tcPr>
            <w:tcW w:w="1373" w:type="dxa"/>
            <w:shd w:val="clear" w:color="auto" w:fill="FFFFFF"/>
            <w:vAlign w:val="bottom"/>
          </w:tcPr>
          <w:p w14:paraId="5705F16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0,9741</w:t>
            </w:r>
          </w:p>
        </w:tc>
      </w:tr>
      <w:tr w:rsidR="00B834A2" w:rsidRPr="00B07646" w14:paraId="7D4EB16E" w14:textId="77777777" w:rsidTr="00B834A2">
        <w:trPr>
          <w:jc w:val="center"/>
        </w:trPr>
        <w:tc>
          <w:tcPr>
            <w:tcW w:w="1526" w:type="dxa"/>
            <w:shd w:val="clear" w:color="auto" w:fill="FFFFFF"/>
            <w:vAlign w:val="bottom"/>
          </w:tcPr>
          <w:p w14:paraId="147E0B8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5</w:t>
            </w:r>
          </w:p>
        </w:tc>
        <w:tc>
          <w:tcPr>
            <w:tcW w:w="1152" w:type="dxa"/>
            <w:shd w:val="clear" w:color="auto" w:fill="FFFFFF"/>
            <w:vAlign w:val="bottom"/>
          </w:tcPr>
          <w:p w14:paraId="428C654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0,669</w:t>
            </w:r>
          </w:p>
        </w:tc>
        <w:tc>
          <w:tcPr>
            <w:tcW w:w="1334" w:type="dxa"/>
            <w:shd w:val="clear" w:color="auto" w:fill="FFFFFF"/>
            <w:vAlign w:val="bottom"/>
          </w:tcPr>
          <w:p w14:paraId="1F17041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0,754</w:t>
            </w:r>
          </w:p>
        </w:tc>
        <w:tc>
          <w:tcPr>
            <w:tcW w:w="1363" w:type="dxa"/>
            <w:shd w:val="clear" w:color="auto" w:fill="FFFFFF"/>
            <w:vAlign w:val="bottom"/>
          </w:tcPr>
          <w:p w14:paraId="51053E1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0,833</w:t>
            </w:r>
          </w:p>
        </w:tc>
        <w:tc>
          <w:tcPr>
            <w:tcW w:w="1334" w:type="dxa"/>
            <w:shd w:val="clear" w:color="auto" w:fill="FFFFFF"/>
            <w:vAlign w:val="bottom"/>
          </w:tcPr>
          <w:p w14:paraId="512B369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0,875</w:t>
            </w:r>
          </w:p>
        </w:tc>
        <w:tc>
          <w:tcPr>
            <w:tcW w:w="1334" w:type="dxa"/>
            <w:shd w:val="clear" w:color="auto" w:fill="FFFFFF"/>
            <w:vAlign w:val="bottom"/>
          </w:tcPr>
          <w:p w14:paraId="01D9467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0,9056</w:t>
            </w:r>
          </w:p>
        </w:tc>
        <w:tc>
          <w:tcPr>
            <w:tcW w:w="1373" w:type="dxa"/>
            <w:shd w:val="clear" w:color="auto" w:fill="FFFFFF"/>
            <w:vAlign w:val="bottom"/>
          </w:tcPr>
          <w:p w14:paraId="0770613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0,9509</w:t>
            </w:r>
          </w:p>
        </w:tc>
      </w:tr>
      <w:tr w:rsidR="00B834A2" w:rsidRPr="00B07646" w14:paraId="76BE2C7B" w14:textId="77777777" w:rsidTr="00B834A2">
        <w:trPr>
          <w:jc w:val="center"/>
        </w:trPr>
        <w:tc>
          <w:tcPr>
            <w:tcW w:w="1526" w:type="dxa"/>
            <w:shd w:val="clear" w:color="auto" w:fill="FFFFFF"/>
            <w:vAlign w:val="bottom"/>
          </w:tcPr>
          <w:p w14:paraId="4EF9C51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6</w:t>
            </w:r>
          </w:p>
        </w:tc>
        <w:tc>
          <w:tcPr>
            <w:tcW w:w="1152" w:type="dxa"/>
            <w:shd w:val="clear" w:color="auto" w:fill="FFFFFF"/>
            <w:vAlign w:val="bottom"/>
          </w:tcPr>
          <w:p w14:paraId="5F0B8CF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0,621</w:t>
            </w:r>
          </w:p>
        </w:tc>
        <w:tc>
          <w:tcPr>
            <w:tcW w:w="1334" w:type="dxa"/>
            <w:shd w:val="clear" w:color="auto" w:fill="FFFFFF"/>
            <w:vAlign w:val="bottom"/>
          </w:tcPr>
          <w:p w14:paraId="592C297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0,707</w:t>
            </w:r>
          </w:p>
        </w:tc>
        <w:tc>
          <w:tcPr>
            <w:tcW w:w="1363" w:type="dxa"/>
            <w:shd w:val="clear" w:color="auto" w:fill="FFFFFF"/>
            <w:vAlign w:val="bottom"/>
          </w:tcPr>
          <w:p w14:paraId="0E3E86A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0,789</w:t>
            </w:r>
          </w:p>
        </w:tc>
        <w:tc>
          <w:tcPr>
            <w:tcW w:w="1334" w:type="dxa"/>
            <w:shd w:val="clear" w:color="auto" w:fill="FFFFFF"/>
            <w:vAlign w:val="bottom"/>
          </w:tcPr>
          <w:p w14:paraId="0FBF994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0,834</w:t>
            </w:r>
          </w:p>
        </w:tc>
        <w:tc>
          <w:tcPr>
            <w:tcW w:w="1334" w:type="dxa"/>
            <w:shd w:val="clear" w:color="auto" w:fill="FFFFFF"/>
            <w:vAlign w:val="bottom"/>
          </w:tcPr>
          <w:p w14:paraId="4467AA2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0,870</w:t>
            </w:r>
          </w:p>
        </w:tc>
        <w:tc>
          <w:tcPr>
            <w:tcW w:w="1373" w:type="dxa"/>
            <w:shd w:val="clear" w:color="auto" w:fill="FFFFFF"/>
            <w:vAlign w:val="bottom"/>
          </w:tcPr>
          <w:p w14:paraId="57F896C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0,9249</w:t>
            </w:r>
          </w:p>
        </w:tc>
      </w:tr>
      <w:tr w:rsidR="00B834A2" w:rsidRPr="00B07646" w14:paraId="5C27CDEF" w14:textId="77777777" w:rsidTr="00B834A2">
        <w:trPr>
          <w:jc w:val="center"/>
        </w:trPr>
        <w:tc>
          <w:tcPr>
            <w:tcW w:w="1526" w:type="dxa"/>
            <w:shd w:val="clear" w:color="auto" w:fill="FFFFFF"/>
            <w:vAlign w:val="bottom"/>
          </w:tcPr>
          <w:p w14:paraId="78BD6E1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7</w:t>
            </w:r>
          </w:p>
        </w:tc>
        <w:tc>
          <w:tcPr>
            <w:tcW w:w="1152" w:type="dxa"/>
            <w:shd w:val="clear" w:color="auto" w:fill="FFFFFF"/>
            <w:vAlign w:val="bottom"/>
          </w:tcPr>
          <w:p w14:paraId="1635F2B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0,582</w:t>
            </w:r>
          </w:p>
        </w:tc>
        <w:tc>
          <w:tcPr>
            <w:tcW w:w="1334" w:type="dxa"/>
            <w:shd w:val="clear" w:color="auto" w:fill="FFFFFF"/>
            <w:vAlign w:val="bottom"/>
          </w:tcPr>
          <w:p w14:paraId="2EAD993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0,666</w:t>
            </w:r>
          </w:p>
        </w:tc>
        <w:tc>
          <w:tcPr>
            <w:tcW w:w="1363" w:type="dxa"/>
            <w:shd w:val="clear" w:color="auto" w:fill="FFFFFF"/>
            <w:vAlign w:val="bottom"/>
          </w:tcPr>
          <w:p w14:paraId="54DBD66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0,750</w:t>
            </w:r>
          </w:p>
        </w:tc>
        <w:tc>
          <w:tcPr>
            <w:tcW w:w="1334" w:type="dxa"/>
            <w:shd w:val="clear" w:color="auto" w:fill="FFFFFF"/>
            <w:vAlign w:val="bottom"/>
          </w:tcPr>
          <w:p w14:paraId="10BD1E3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0,798</w:t>
            </w:r>
          </w:p>
        </w:tc>
        <w:tc>
          <w:tcPr>
            <w:tcW w:w="1334" w:type="dxa"/>
            <w:shd w:val="clear" w:color="auto" w:fill="FFFFFF"/>
            <w:vAlign w:val="bottom"/>
          </w:tcPr>
          <w:p w14:paraId="423BD91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0,836</w:t>
            </w:r>
          </w:p>
        </w:tc>
        <w:tc>
          <w:tcPr>
            <w:tcW w:w="1373" w:type="dxa"/>
            <w:shd w:val="clear" w:color="auto" w:fill="FFFFFF"/>
            <w:vAlign w:val="bottom"/>
          </w:tcPr>
          <w:p w14:paraId="0D038C3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0,898</w:t>
            </w:r>
          </w:p>
        </w:tc>
      </w:tr>
      <w:tr w:rsidR="00B834A2" w:rsidRPr="00B07646" w14:paraId="68E4C2DD" w14:textId="77777777" w:rsidTr="00B834A2">
        <w:trPr>
          <w:jc w:val="center"/>
        </w:trPr>
        <w:tc>
          <w:tcPr>
            <w:tcW w:w="1526" w:type="dxa"/>
            <w:shd w:val="clear" w:color="auto" w:fill="FFFFFF"/>
            <w:vAlign w:val="bottom"/>
          </w:tcPr>
          <w:p w14:paraId="7E14387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8</w:t>
            </w:r>
          </w:p>
        </w:tc>
        <w:tc>
          <w:tcPr>
            <w:tcW w:w="1152" w:type="dxa"/>
            <w:shd w:val="clear" w:color="auto" w:fill="FFFFFF"/>
            <w:vAlign w:val="bottom"/>
          </w:tcPr>
          <w:p w14:paraId="68C81E7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0,549</w:t>
            </w:r>
          </w:p>
        </w:tc>
        <w:tc>
          <w:tcPr>
            <w:tcW w:w="1334" w:type="dxa"/>
            <w:shd w:val="clear" w:color="auto" w:fill="FFFFFF"/>
            <w:vAlign w:val="bottom"/>
          </w:tcPr>
          <w:p w14:paraId="60460CF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0,632</w:t>
            </w:r>
          </w:p>
        </w:tc>
        <w:tc>
          <w:tcPr>
            <w:tcW w:w="1363" w:type="dxa"/>
            <w:shd w:val="clear" w:color="auto" w:fill="FFFFFF"/>
            <w:vAlign w:val="bottom"/>
          </w:tcPr>
          <w:p w14:paraId="7A6BD64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0,715</w:t>
            </w:r>
          </w:p>
        </w:tc>
        <w:tc>
          <w:tcPr>
            <w:tcW w:w="1334" w:type="dxa"/>
            <w:shd w:val="clear" w:color="auto" w:fill="FFFFFF"/>
            <w:vAlign w:val="bottom"/>
          </w:tcPr>
          <w:p w14:paraId="1608B31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0,765</w:t>
            </w:r>
          </w:p>
        </w:tc>
        <w:tc>
          <w:tcPr>
            <w:tcW w:w="1334" w:type="dxa"/>
            <w:shd w:val="clear" w:color="auto" w:fill="FFFFFF"/>
            <w:vAlign w:val="bottom"/>
          </w:tcPr>
          <w:p w14:paraId="66CA797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0,805</w:t>
            </w:r>
          </w:p>
        </w:tc>
        <w:tc>
          <w:tcPr>
            <w:tcW w:w="1373" w:type="dxa"/>
            <w:shd w:val="clear" w:color="auto" w:fill="FFFFFF"/>
            <w:vAlign w:val="bottom"/>
          </w:tcPr>
          <w:p w14:paraId="00A22EA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0,872</w:t>
            </w:r>
          </w:p>
        </w:tc>
      </w:tr>
      <w:tr w:rsidR="00B834A2" w:rsidRPr="00B07646" w14:paraId="3C375C21" w14:textId="77777777" w:rsidTr="00B834A2">
        <w:trPr>
          <w:jc w:val="center"/>
        </w:trPr>
        <w:tc>
          <w:tcPr>
            <w:tcW w:w="1526" w:type="dxa"/>
            <w:shd w:val="clear" w:color="auto" w:fill="FFFFFF"/>
            <w:vAlign w:val="bottom"/>
          </w:tcPr>
          <w:p w14:paraId="2B147E5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9</w:t>
            </w:r>
          </w:p>
        </w:tc>
        <w:tc>
          <w:tcPr>
            <w:tcW w:w="1152" w:type="dxa"/>
            <w:shd w:val="clear" w:color="auto" w:fill="FFFFFF"/>
            <w:vAlign w:val="bottom"/>
          </w:tcPr>
          <w:p w14:paraId="4C3F9DA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0,521</w:t>
            </w:r>
          </w:p>
        </w:tc>
        <w:tc>
          <w:tcPr>
            <w:tcW w:w="1334" w:type="dxa"/>
            <w:shd w:val="clear" w:color="auto" w:fill="FFFFFF"/>
            <w:vAlign w:val="bottom"/>
          </w:tcPr>
          <w:p w14:paraId="3F91006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0,602</w:t>
            </w:r>
          </w:p>
        </w:tc>
        <w:tc>
          <w:tcPr>
            <w:tcW w:w="1363" w:type="dxa"/>
            <w:shd w:val="clear" w:color="auto" w:fill="FFFFFF"/>
            <w:vAlign w:val="bottom"/>
          </w:tcPr>
          <w:p w14:paraId="38C8D08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0,685</w:t>
            </w:r>
          </w:p>
        </w:tc>
        <w:tc>
          <w:tcPr>
            <w:tcW w:w="1334" w:type="dxa"/>
            <w:shd w:val="clear" w:color="auto" w:fill="FFFFFF"/>
            <w:vAlign w:val="bottom"/>
          </w:tcPr>
          <w:p w14:paraId="0AF56AF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0,735</w:t>
            </w:r>
          </w:p>
        </w:tc>
        <w:tc>
          <w:tcPr>
            <w:tcW w:w="1334" w:type="dxa"/>
            <w:shd w:val="clear" w:color="auto" w:fill="FFFFFF"/>
            <w:vAlign w:val="bottom"/>
          </w:tcPr>
          <w:p w14:paraId="04166DD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0,776</w:t>
            </w:r>
          </w:p>
        </w:tc>
        <w:tc>
          <w:tcPr>
            <w:tcW w:w="1373" w:type="dxa"/>
            <w:shd w:val="clear" w:color="auto" w:fill="FFFFFF"/>
            <w:vAlign w:val="bottom"/>
          </w:tcPr>
          <w:p w14:paraId="6B80833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0,847</w:t>
            </w:r>
          </w:p>
        </w:tc>
      </w:tr>
      <w:tr w:rsidR="00B834A2" w:rsidRPr="00B07646" w14:paraId="444A28DF" w14:textId="77777777" w:rsidTr="00B834A2">
        <w:trPr>
          <w:jc w:val="center"/>
        </w:trPr>
        <w:tc>
          <w:tcPr>
            <w:tcW w:w="1526" w:type="dxa"/>
            <w:shd w:val="clear" w:color="auto" w:fill="FFFFFF"/>
            <w:vAlign w:val="bottom"/>
          </w:tcPr>
          <w:p w14:paraId="32D634D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10</w:t>
            </w:r>
          </w:p>
        </w:tc>
        <w:tc>
          <w:tcPr>
            <w:tcW w:w="1152" w:type="dxa"/>
            <w:shd w:val="clear" w:color="auto" w:fill="FFFFFF"/>
            <w:vAlign w:val="bottom"/>
          </w:tcPr>
          <w:p w14:paraId="5EB596D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0,497</w:t>
            </w:r>
          </w:p>
        </w:tc>
        <w:tc>
          <w:tcPr>
            <w:tcW w:w="1334" w:type="dxa"/>
            <w:shd w:val="clear" w:color="auto" w:fill="FFFFFF"/>
            <w:vAlign w:val="bottom"/>
          </w:tcPr>
          <w:p w14:paraId="77695AB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0,576</w:t>
            </w:r>
          </w:p>
        </w:tc>
        <w:tc>
          <w:tcPr>
            <w:tcW w:w="1363" w:type="dxa"/>
            <w:shd w:val="clear" w:color="auto" w:fill="FFFFFF"/>
            <w:vAlign w:val="bottom"/>
          </w:tcPr>
          <w:p w14:paraId="1FC96AA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0,658</w:t>
            </w:r>
          </w:p>
        </w:tc>
        <w:tc>
          <w:tcPr>
            <w:tcW w:w="1334" w:type="dxa"/>
            <w:shd w:val="clear" w:color="auto" w:fill="FFFFFF"/>
            <w:vAlign w:val="bottom"/>
          </w:tcPr>
          <w:p w14:paraId="0D0C880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0,708</w:t>
            </w:r>
          </w:p>
        </w:tc>
        <w:tc>
          <w:tcPr>
            <w:tcW w:w="1334" w:type="dxa"/>
            <w:shd w:val="clear" w:color="auto" w:fill="FFFFFF"/>
            <w:vAlign w:val="bottom"/>
          </w:tcPr>
          <w:p w14:paraId="34CAE00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0,750</w:t>
            </w:r>
          </w:p>
        </w:tc>
        <w:tc>
          <w:tcPr>
            <w:tcW w:w="1373" w:type="dxa"/>
            <w:shd w:val="clear" w:color="auto" w:fill="FFFFFF"/>
            <w:vAlign w:val="bottom"/>
          </w:tcPr>
          <w:p w14:paraId="6600B5C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0,823</w:t>
            </w:r>
          </w:p>
        </w:tc>
      </w:tr>
      <w:tr w:rsidR="00B834A2" w:rsidRPr="00B07646" w14:paraId="19F6DACD" w14:textId="77777777" w:rsidTr="00B834A2">
        <w:trPr>
          <w:jc w:val="center"/>
        </w:trPr>
        <w:tc>
          <w:tcPr>
            <w:tcW w:w="1526" w:type="dxa"/>
            <w:shd w:val="clear" w:color="auto" w:fill="FFFFFF"/>
            <w:vAlign w:val="bottom"/>
          </w:tcPr>
          <w:p w14:paraId="6C0ED8D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11</w:t>
            </w:r>
          </w:p>
        </w:tc>
        <w:tc>
          <w:tcPr>
            <w:tcW w:w="1152" w:type="dxa"/>
            <w:shd w:val="clear" w:color="auto" w:fill="FFFFFF"/>
            <w:vAlign w:val="bottom"/>
          </w:tcPr>
          <w:p w14:paraId="10A1842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0,476</w:t>
            </w:r>
          </w:p>
        </w:tc>
        <w:tc>
          <w:tcPr>
            <w:tcW w:w="1334" w:type="dxa"/>
            <w:shd w:val="clear" w:color="auto" w:fill="FFFFFF"/>
            <w:vAlign w:val="bottom"/>
          </w:tcPr>
          <w:p w14:paraId="1F5884B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0,553</w:t>
            </w:r>
          </w:p>
        </w:tc>
        <w:tc>
          <w:tcPr>
            <w:tcW w:w="1363" w:type="dxa"/>
            <w:shd w:val="clear" w:color="auto" w:fill="FFFFFF"/>
            <w:vAlign w:val="bottom"/>
          </w:tcPr>
          <w:p w14:paraId="21E76C0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0,634</w:t>
            </w:r>
          </w:p>
        </w:tc>
        <w:tc>
          <w:tcPr>
            <w:tcW w:w="1334" w:type="dxa"/>
            <w:shd w:val="clear" w:color="auto" w:fill="FFFFFF"/>
            <w:vAlign w:val="bottom"/>
          </w:tcPr>
          <w:p w14:paraId="4628B17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0,684</w:t>
            </w:r>
          </w:p>
        </w:tc>
        <w:tc>
          <w:tcPr>
            <w:tcW w:w="1334" w:type="dxa"/>
            <w:shd w:val="clear" w:color="auto" w:fill="FFFFFF"/>
            <w:vAlign w:val="bottom"/>
          </w:tcPr>
          <w:p w14:paraId="222E244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0,726</w:t>
            </w:r>
          </w:p>
        </w:tc>
        <w:tc>
          <w:tcPr>
            <w:tcW w:w="1373" w:type="dxa"/>
            <w:shd w:val="clear" w:color="auto" w:fill="FFFFFF"/>
            <w:vAlign w:val="bottom"/>
          </w:tcPr>
          <w:p w14:paraId="5F31F0F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0,801</w:t>
            </w:r>
          </w:p>
        </w:tc>
      </w:tr>
      <w:tr w:rsidR="00B834A2" w:rsidRPr="00B07646" w14:paraId="6CED30F5" w14:textId="77777777" w:rsidTr="00B834A2">
        <w:trPr>
          <w:jc w:val="center"/>
        </w:trPr>
        <w:tc>
          <w:tcPr>
            <w:tcW w:w="1526" w:type="dxa"/>
            <w:shd w:val="clear" w:color="auto" w:fill="FFFFFF"/>
            <w:vAlign w:val="bottom"/>
          </w:tcPr>
          <w:p w14:paraId="2E34A97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12</w:t>
            </w:r>
          </w:p>
        </w:tc>
        <w:tc>
          <w:tcPr>
            <w:tcW w:w="1152" w:type="dxa"/>
            <w:shd w:val="clear" w:color="auto" w:fill="FFFFFF"/>
            <w:vAlign w:val="bottom"/>
          </w:tcPr>
          <w:p w14:paraId="3556F10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0,457</w:t>
            </w:r>
          </w:p>
        </w:tc>
        <w:tc>
          <w:tcPr>
            <w:tcW w:w="1334" w:type="dxa"/>
            <w:shd w:val="clear" w:color="auto" w:fill="FFFFFF"/>
            <w:vAlign w:val="bottom"/>
          </w:tcPr>
          <w:p w14:paraId="6369AAD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0,532</w:t>
            </w:r>
          </w:p>
        </w:tc>
        <w:tc>
          <w:tcPr>
            <w:tcW w:w="1363" w:type="dxa"/>
            <w:shd w:val="clear" w:color="auto" w:fill="FFFFFF"/>
            <w:vAlign w:val="bottom"/>
          </w:tcPr>
          <w:p w14:paraId="67CB689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0,612</w:t>
            </w:r>
          </w:p>
        </w:tc>
        <w:tc>
          <w:tcPr>
            <w:tcW w:w="1334" w:type="dxa"/>
            <w:shd w:val="clear" w:color="auto" w:fill="FFFFFF"/>
            <w:vAlign w:val="bottom"/>
          </w:tcPr>
          <w:p w14:paraId="017795E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0,661</w:t>
            </w:r>
          </w:p>
        </w:tc>
        <w:tc>
          <w:tcPr>
            <w:tcW w:w="1334" w:type="dxa"/>
            <w:shd w:val="clear" w:color="auto" w:fill="FFFFFF"/>
            <w:vAlign w:val="bottom"/>
          </w:tcPr>
          <w:p w14:paraId="63BEE28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0,703</w:t>
            </w:r>
          </w:p>
        </w:tc>
        <w:tc>
          <w:tcPr>
            <w:tcW w:w="1373" w:type="dxa"/>
            <w:shd w:val="clear" w:color="auto" w:fill="FFFFFF"/>
            <w:vAlign w:val="bottom"/>
          </w:tcPr>
          <w:p w14:paraId="2D067CC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0,780</w:t>
            </w:r>
          </w:p>
        </w:tc>
      </w:tr>
      <w:tr w:rsidR="00B834A2" w:rsidRPr="00B07646" w14:paraId="6C4066FB" w14:textId="77777777" w:rsidTr="00B834A2">
        <w:trPr>
          <w:jc w:val="center"/>
        </w:trPr>
        <w:tc>
          <w:tcPr>
            <w:tcW w:w="1526" w:type="dxa"/>
            <w:shd w:val="clear" w:color="auto" w:fill="FFFFFF"/>
            <w:vAlign w:val="bottom"/>
          </w:tcPr>
          <w:p w14:paraId="627C2B5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13</w:t>
            </w:r>
          </w:p>
        </w:tc>
        <w:tc>
          <w:tcPr>
            <w:tcW w:w="1152" w:type="dxa"/>
            <w:shd w:val="clear" w:color="auto" w:fill="FFFFFF"/>
            <w:vAlign w:val="bottom"/>
          </w:tcPr>
          <w:p w14:paraId="509706F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0,441</w:t>
            </w:r>
          </w:p>
        </w:tc>
        <w:tc>
          <w:tcPr>
            <w:tcW w:w="1334" w:type="dxa"/>
            <w:shd w:val="clear" w:color="auto" w:fill="FFFFFF"/>
            <w:vAlign w:val="bottom"/>
          </w:tcPr>
          <w:p w14:paraId="4CF2F63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0,514</w:t>
            </w:r>
          </w:p>
        </w:tc>
        <w:tc>
          <w:tcPr>
            <w:tcW w:w="1363" w:type="dxa"/>
            <w:shd w:val="clear" w:color="auto" w:fill="FFFFFF"/>
            <w:vAlign w:val="bottom"/>
          </w:tcPr>
          <w:p w14:paraId="1FDC769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0,592</w:t>
            </w:r>
          </w:p>
        </w:tc>
        <w:tc>
          <w:tcPr>
            <w:tcW w:w="1334" w:type="dxa"/>
            <w:shd w:val="clear" w:color="auto" w:fill="FFFFFF"/>
            <w:vAlign w:val="bottom"/>
          </w:tcPr>
          <w:p w14:paraId="67BD89A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0,641</w:t>
            </w:r>
          </w:p>
        </w:tc>
        <w:tc>
          <w:tcPr>
            <w:tcW w:w="1334" w:type="dxa"/>
            <w:shd w:val="clear" w:color="auto" w:fill="FFFFFF"/>
            <w:vAlign w:val="bottom"/>
          </w:tcPr>
          <w:p w14:paraId="6D573BA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0,683</w:t>
            </w:r>
          </w:p>
        </w:tc>
        <w:tc>
          <w:tcPr>
            <w:tcW w:w="1373" w:type="dxa"/>
            <w:shd w:val="clear" w:color="auto" w:fill="FFFFFF"/>
            <w:vAlign w:val="bottom"/>
          </w:tcPr>
          <w:p w14:paraId="4698BAB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0,760</w:t>
            </w:r>
          </w:p>
        </w:tc>
      </w:tr>
      <w:tr w:rsidR="00B834A2" w:rsidRPr="00B07646" w14:paraId="7B4E82AE" w14:textId="77777777" w:rsidTr="00B834A2">
        <w:trPr>
          <w:jc w:val="center"/>
        </w:trPr>
        <w:tc>
          <w:tcPr>
            <w:tcW w:w="1526" w:type="dxa"/>
            <w:shd w:val="clear" w:color="auto" w:fill="FFFFFF"/>
            <w:vAlign w:val="bottom"/>
          </w:tcPr>
          <w:p w14:paraId="7DBB9D3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14</w:t>
            </w:r>
          </w:p>
        </w:tc>
        <w:tc>
          <w:tcPr>
            <w:tcW w:w="1152" w:type="dxa"/>
            <w:shd w:val="clear" w:color="auto" w:fill="FFFFFF"/>
            <w:vAlign w:val="bottom"/>
          </w:tcPr>
          <w:p w14:paraId="218B7F3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0,426</w:t>
            </w:r>
          </w:p>
        </w:tc>
        <w:tc>
          <w:tcPr>
            <w:tcW w:w="1334" w:type="dxa"/>
            <w:shd w:val="clear" w:color="auto" w:fill="FFFFFF"/>
            <w:vAlign w:val="bottom"/>
          </w:tcPr>
          <w:p w14:paraId="7F9CC71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0,497</w:t>
            </w:r>
          </w:p>
        </w:tc>
        <w:tc>
          <w:tcPr>
            <w:tcW w:w="1363" w:type="dxa"/>
            <w:shd w:val="clear" w:color="auto" w:fill="FFFFFF"/>
            <w:vAlign w:val="bottom"/>
          </w:tcPr>
          <w:p w14:paraId="3C8E69D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0,574</w:t>
            </w:r>
          </w:p>
        </w:tc>
        <w:tc>
          <w:tcPr>
            <w:tcW w:w="1334" w:type="dxa"/>
            <w:shd w:val="clear" w:color="auto" w:fill="FFFFFF"/>
            <w:vAlign w:val="bottom"/>
          </w:tcPr>
          <w:p w14:paraId="3E80193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0,623</w:t>
            </w:r>
          </w:p>
        </w:tc>
        <w:tc>
          <w:tcPr>
            <w:tcW w:w="1334" w:type="dxa"/>
            <w:shd w:val="clear" w:color="auto" w:fill="FFFFFF"/>
            <w:vAlign w:val="bottom"/>
          </w:tcPr>
          <w:p w14:paraId="5354AD0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0,664</w:t>
            </w:r>
          </w:p>
        </w:tc>
        <w:tc>
          <w:tcPr>
            <w:tcW w:w="1373" w:type="dxa"/>
            <w:shd w:val="clear" w:color="auto" w:fill="FFFFFF"/>
            <w:vAlign w:val="bottom"/>
          </w:tcPr>
          <w:p w14:paraId="727E88A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0,742</w:t>
            </w:r>
          </w:p>
        </w:tc>
      </w:tr>
      <w:tr w:rsidR="00B834A2" w:rsidRPr="00B07646" w14:paraId="29F5F4D6" w14:textId="77777777" w:rsidTr="00B834A2">
        <w:trPr>
          <w:jc w:val="center"/>
        </w:trPr>
        <w:tc>
          <w:tcPr>
            <w:tcW w:w="1526" w:type="dxa"/>
            <w:shd w:val="clear" w:color="auto" w:fill="FFFFFF"/>
            <w:vAlign w:val="bottom"/>
          </w:tcPr>
          <w:p w14:paraId="0DF836A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15</w:t>
            </w:r>
          </w:p>
        </w:tc>
        <w:tc>
          <w:tcPr>
            <w:tcW w:w="1152" w:type="dxa"/>
            <w:shd w:val="clear" w:color="auto" w:fill="FFFFFF"/>
            <w:vAlign w:val="bottom"/>
          </w:tcPr>
          <w:p w14:paraId="0654D49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0,412</w:t>
            </w:r>
          </w:p>
        </w:tc>
        <w:tc>
          <w:tcPr>
            <w:tcW w:w="1334" w:type="dxa"/>
            <w:shd w:val="clear" w:color="auto" w:fill="FFFFFF"/>
            <w:vAlign w:val="bottom"/>
          </w:tcPr>
          <w:p w14:paraId="7F6BB83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0,482</w:t>
            </w:r>
          </w:p>
        </w:tc>
        <w:tc>
          <w:tcPr>
            <w:tcW w:w="1363" w:type="dxa"/>
            <w:shd w:val="clear" w:color="auto" w:fill="FFFFFF"/>
            <w:vAlign w:val="bottom"/>
          </w:tcPr>
          <w:p w14:paraId="6286BAE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0,558</w:t>
            </w:r>
          </w:p>
        </w:tc>
        <w:tc>
          <w:tcPr>
            <w:tcW w:w="1334" w:type="dxa"/>
            <w:shd w:val="clear" w:color="auto" w:fill="FFFFFF"/>
            <w:vAlign w:val="bottom"/>
          </w:tcPr>
          <w:p w14:paraId="65BDB85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0,606</w:t>
            </w:r>
          </w:p>
        </w:tc>
        <w:tc>
          <w:tcPr>
            <w:tcW w:w="1334" w:type="dxa"/>
            <w:shd w:val="clear" w:color="auto" w:fill="FFFFFF"/>
            <w:vAlign w:val="bottom"/>
          </w:tcPr>
          <w:p w14:paraId="3A55BBD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0,647</w:t>
            </w:r>
          </w:p>
        </w:tc>
        <w:tc>
          <w:tcPr>
            <w:tcW w:w="1373" w:type="dxa"/>
            <w:shd w:val="clear" w:color="auto" w:fill="FFFFFF"/>
            <w:vAlign w:val="bottom"/>
          </w:tcPr>
          <w:p w14:paraId="0613357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0,725</w:t>
            </w:r>
          </w:p>
        </w:tc>
      </w:tr>
      <w:tr w:rsidR="00B834A2" w:rsidRPr="00B07646" w14:paraId="386B1FA0" w14:textId="77777777" w:rsidTr="00B834A2">
        <w:trPr>
          <w:jc w:val="center"/>
        </w:trPr>
        <w:tc>
          <w:tcPr>
            <w:tcW w:w="1526" w:type="dxa"/>
            <w:shd w:val="clear" w:color="auto" w:fill="FFFFFF"/>
            <w:vAlign w:val="bottom"/>
          </w:tcPr>
          <w:p w14:paraId="5BBE85D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16</w:t>
            </w:r>
          </w:p>
        </w:tc>
        <w:tc>
          <w:tcPr>
            <w:tcW w:w="1152" w:type="dxa"/>
            <w:shd w:val="clear" w:color="auto" w:fill="FFFFFF"/>
            <w:vAlign w:val="bottom"/>
          </w:tcPr>
          <w:p w14:paraId="3721699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0,400</w:t>
            </w:r>
          </w:p>
        </w:tc>
        <w:tc>
          <w:tcPr>
            <w:tcW w:w="1334" w:type="dxa"/>
            <w:shd w:val="clear" w:color="auto" w:fill="FFFFFF"/>
            <w:vAlign w:val="bottom"/>
          </w:tcPr>
          <w:p w14:paraId="17DD841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0,468</w:t>
            </w:r>
          </w:p>
        </w:tc>
        <w:tc>
          <w:tcPr>
            <w:tcW w:w="1363" w:type="dxa"/>
            <w:shd w:val="clear" w:color="auto" w:fill="FFFFFF"/>
            <w:vAlign w:val="bottom"/>
          </w:tcPr>
          <w:p w14:paraId="2820B72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0,543</w:t>
            </w:r>
          </w:p>
        </w:tc>
        <w:tc>
          <w:tcPr>
            <w:tcW w:w="1334" w:type="dxa"/>
            <w:shd w:val="clear" w:color="auto" w:fill="FFFFFF"/>
            <w:vAlign w:val="bottom"/>
          </w:tcPr>
          <w:p w14:paraId="0A1F1C6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0,590</w:t>
            </w:r>
          </w:p>
        </w:tc>
        <w:tc>
          <w:tcPr>
            <w:tcW w:w="1334" w:type="dxa"/>
            <w:shd w:val="clear" w:color="auto" w:fill="FFFFFF"/>
            <w:vAlign w:val="bottom"/>
          </w:tcPr>
          <w:p w14:paraId="6690541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0,631</w:t>
            </w:r>
          </w:p>
        </w:tc>
        <w:tc>
          <w:tcPr>
            <w:tcW w:w="1373" w:type="dxa"/>
            <w:shd w:val="clear" w:color="auto" w:fill="FFFFFF"/>
            <w:vAlign w:val="bottom"/>
          </w:tcPr>
          <w:p w14:paraId="49F789B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0,708</w:t>
            </w:r>
          </w:p>
        </w:tc>
      </w:tr>
      <w:tr w:rsidR="00B834A2" w:rsidRPr="00B07646" w14:paraId="6625BC8C" w14:textId="77777777" w:rsidTr="00B834A2">
        <w:trPr>
          <w:jc w:val="center"/>
        </w:trPr>
        <w:tc>
          <w:tcPr>
            <w:tcW w:w="1526" w:type="dxa"/>
            <w:shd w:val="clear" w:color="auto" w:fill="FFFFFF"/>
            <w:vAlign w:val="bottom"/>
          </w:tcPr>
          <w:p w14:paraId="00A9176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17</w:t>
            </w:r>
          </w:p>
        </w:tc>
        <w:tc>
          <w:tcPr>
            <w:tcW w:w="1152" w:type="dxa"/>
            <w:shd w:val="clear" w:color="auto" w:fill="FFFFFF"/>
            <w:vAlign w:val="bottom"/>
          </w:tcPr>
          <w:p w14:paraId="71F412A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0,389</w:t>
            </w:r>
          </w:p>
        </w:tc>
        <w:tc>
          <w:tcPr>
            <w:tcW w:w="1334" w:type="dxa"/>
            <w:shd w:val="clear" w:color="auto" w:fill="FFFFFF"/>
            <w:vAlign w:val="bottom"/>
          </w:tcPr>
          <w:p w14:paraId="3B7B6B2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0,456</w:t>
            </w:r>
          </w:p>
        </w:tc>
        <w:tc>
          <w:tcPr>
            <w:tcW w:w="1363" w:type="dxa"/>
            <w:shd w:val="clear" w:color="auto" w:fill="FFFFFF"/>
            <w:vAlign w:val="bottom"/>
          </w:tcPr>
          <w:p w14:paraId="08CA934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0,529</w:t>
            </w:r>
          </w:p>
        </w:tc>
        <w:tc>
          <w:tcPr>
            <w:tcW w:w="1334" w:type="dxa"/>
            <w:shd w:val="clear" w:color="auto" w:fill="FFFFFF"/>
            <w:vAlign w:val="bottom"/>
          </w:tcPr>
          <w:p w14:paraId="5E80078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0,575</w:t>
            </w:r>
          </w:p>
        </w:tc>
        <w:tc>
          <w:tcPr>
            <w:tcW w:w="1334" w:type="dxa"/>
            <w:shd w:val="clear" w:color="auto" w:fill="FFFFFF"/>
            <w:vAlign w:val="bottom"/>
          </w:tcPr>
          <w:p w14:paraId="70AD4A2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0,616</w:t>
            </w:r>
          </w:p>
        </w:tc>
        <w:tc>
          <w:tcPr>
            <w:tcW w:w="1373" w:type="dxa"/>
            <w:shd w:val="clear" w:color="auto" w:fill="FFFFFF"/>
            <w:vAlign w:val="bottom"/>
          </w:tcPr>
          <w:p w14:paraId="430306B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0,693</w:t>
            </w:r>
          </w:p>
        </w:tc>
      </w:tr>
      <w:tr w:rsidR="00B834A2" w:rsidRPr="00B07646" w14:paraId="3EA124C1" w14:textId="77777777" w:rsidTr="00B834A2">
        <w:trPr>
          <w:jc w:val="center"/>
        </w:trPr>
        <w:tc>
          <w:tcPr>
            <w:tcW w:w="1526" w:type="dxa"/>
            <w:shd w:val="clear" w:color="auto" w:fill="FFFFFF"/>
            <w:vAlign w:val="bottom"/>
          </w:tcPr>
          <w:p w14:paraId="50BF42C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18</w:t>
            </w:r>
          </w:p>
        </w:tc>
        <w:tc>
          <w:tcPr>
            <w:tcW w:w="1152" w:type="dxa"/>
            <w:shd w:val="clear" w:color="auto" w:fill="FFFFFF"/>
            <w:vAlign w:val="bottom"/>
          </w:tcPr>
          <w:p w14:paraId="547229D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0,378</w:t>
            </w:r>
          </w:p>
        </w:tc>
        <w:tc>
          <w:tcPr>
            <w:tcW w:w="1334" w:type="dxa"/>
            <w:shd w:val="clear" w:color="auto" w:fill="FFFFFF"/>
            <w:vAlign w:val="bottom"/>
          </w:tcPr>
          <w:p w14:paraId="3ABC94A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0,444</w:t>
            </w:r>
          </w:p>
        </w:tc>
        <w:tc>
          <w:tcPr>
            <w:tcW w:w="1363" w:type="dxa"/>
            <w:shd w:val="clear" w:color="auto" w:fill="FFFFFF"/>
            <w:vAlign w:val="bottom"/>
          </w:tcPr>
          <w:p w14:paraId="6FA0435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0,516</w:t>
            </w:r>
          </w:p>
        </w:tc>
        <w:tc>
          <w:tcPr>
            <w:tcW w:w="1334" w:type="dxa"/>
            <w:shd w:val="clear" w:color="auto" w:fill="FFFFFF"/>
            <w:vAlign w:val="bottom"/>
          </w:tcPr>
          <w:p w14:paraId="7244CEB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0,561</w:t>
            </w:r>
          </w:p>
        </w:tc>
        <w:tc>
          <w:tcPr>
            <w:tcW w:w="1334" w:type="dxa"/>
            <w:shd w:val="clear" w:color="auto" w:fill="FFFFFF"/>
            <w:vAlign w:val="bottom"/>
          </w:tcPr>
          <w:p w14:paraId="54BB994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0,602</w:t>
            </w:r>
          </w:p>
        </w:tc>
        <w:tc>
          <w:tcPr>
            <w:tcW w:w="1373" w:type="dxa"/>
            <w:shd w:val="clear" w:color="auto" w:fill="FFFFFF"/>
            <w:vAlign w:val="bottom"/>
          </w:tcPr>
          <w:p w14:paraId="3BF4EFD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0,679</w:t>
            </w:r>
          </w:p>
        </w:tc>
      </w:tr>
      <w:tr w:rsidR="00B834A2" w:rsidRPr="00B07646" w14:paraId="365F7931" w14:textId="77777777" w:rsidTr="00B834A2">
        <w:trPr>
          <w:jc w:val="center"/>
        </w:trPr>
        <w:tc>
          <w:tcPr>
            <w:tcW w:w="1526" w:type="dxa"/>
            <w:shd w:val="clear" w:color="auto" w:fill="FFFFFF"/>
            <w:vAlign w:val="bottom"/>
          </w:tcPr>
          <w:p w14:paraId="470BD54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19</w:t>
            </w:r>
          </w:p>
        </w:tc>
        <w:tc>
          <w:tcPr>
            <w:tcW w:w="1152" w:type="dxa"/>
            <w:shd w:val="clear" w:color="auto" w:fill="FFFFFF"/>
            <w:vAlign w:val="bottom"/>
          </w:tcPr>
          <w:p w14:paraId="2C02FF5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0,369</w:t>
            </w:r>
          </w:p>
        </w:tc>
        <w:tc>
          <w:tcPr>
            <w:tcW w:w="1334" w:type="dxa"/>
            <w:shd w:val="clear" w:color="auto" w:fill="FFFFFF"/>
            <w:vAlign w:val="bottom"/>
          </w:tcPr>
          <w:p w14:paraId="0A0A2C3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0,433</w:t>
            </w:r>
          </w:p>
        </w:tc>
        <w:tc>
          <w:tcPr>
            <w:tcW w:w="1363" w:type="dxa"/>
            <w:shd w:val="clear" w:color="auto" w:fill="FFFFFF"/>
            <w:vAlign w:val="bottom"/>
          </w:tcPr>
          <w:p w14:paraId="434FB0C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0,503</w:t>
            </w:r>
          </w:p>
        </w:tc>
        <w:tc>
          <w:tcPr>
            <w:tcW w:w="1334" w:type="dxa"/>
            <w:shd w:val="clear" w:color="auto" w:fill="FFFFFF"/>
            <w:vAlign w:val="bottom"/>
          </w:tcPr>
          <w:p w14:paraId="633E420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0,549</w:t>
            </w:r>
          </w:p>
        </w:tc>
        <w:tc>
          <w:tcPr>
            <w:tcW w:w="1334" w:type="dxa"/>
            <w:shd w:val="clear" w:color="auto" w:fill="FFFFFF"/>
            <w:vAlign w:val="bottom"/>
          </w:tcPr>
          <w:p w14:paraId="6677B7B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0,589</w:t>
            </w:r>
          </w:p>
        </w:tc>
        <w:tc>
          <w:tcPr>
            <w:tcW w:w="1373" w:type="dxa"/>
            <w:shd w:val="clear" w:color="auto" w:fill="FFFFFF"/>
            <w:vAlign w:val="bottom"/>
          </w:tcPr>
          <w:p w14:paraId="19CF078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0,665</w:t>
            </w:r>
          </w:p>
        </w:tc>
      </w:tr>
      <w:tr w:rsidR="00B834A2" w:rsidRPr="00B07646" w14:paraId="50118EB2" w14:textId="77777777" w:rsidTr="00B834A2">
        <w:trPr>
          <w:jc w:val="center"/>
        </w:trPr>
        <w:tc>
          <w:tcPr>
            <w:tcW w:w="1526" w:type="dxa"/>
            <w:shd w:val="clear" w:color="auto" w:fill="FFFFFF"/>
            <w:vAlign w:val="bottom"/>
          </w:tcPr>
          <w:p w14:paraId="07B90F6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20</w:t>
            </w:r>
          </w:p>
        </w:tc>
        <w:tc>
          <w:tcPr>
            <w:tcW w:w="1152" w:type="dxa"/>
            <w:shd w:val="clear" w:color="auto" w:fill="FFFFFF"/>
            <w:vAlign w:val="bottom"/>
          </w:tcPr>
          <w:p w14:paraId="61911B5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0,360</w:t>
            </w:r>
          </w:p>
        </w:tc>
        <w:tc>
          <w:tcPr>
            <w:tcW w:w="1334" w:type="dxa"/>
            <w:shd w:val="clear" w:color="auto" w:fill="FFFFFF"/>
            <w:vAlign w:val="bottom"/>
          </w:tcPr>
          <w:p w14:paraId="16D2BD8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0,423</w:t>
            </w:r>
          </w:p>
        </w:tc>
        <w:tc>
          <w:tcPr>
            <w:tcW w:w="1363" w:type="dxa"/>
            <w:shd w:val="clear" w:color="auto" w:fill="FFFFFF"/>
            <w:vAlign w:val="bottom"/>
          </w:tcPr>
          <w:p w14:paraId="2DBDFDF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0,492</w:t>
            </w:r>
          </w:p>
        </w:tc>
        <w:tc>
          <w:tcPr>
            <w:tcW w:w="1334" w:type="dxa"/>
            <w:shd w:val="clear" w:color="auto" w:fill="FFFFFF"/>
            <w:vAlign w:val="bottom"/>
          </w:tcPr>
          <w:p w14:paraId="6CC40A3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0,537</w:t>
            </w:r>
          </w:p>
        </w:tc>
        <w:tc>
          <w:tcPr>
            <w:tcW w:w="1334" w:type="dxa"/>
            <w:shd w:val="clear" w:color="auto" w:fill="FFFFFF"/>
            <w:vAlign w:val="bottom"/>
          </w:tcPr>
          <w:p w14:paraId="37C825D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0,576</w:t>
            </w:r>
          </w:p>
        </w:tc>
        <w:tc>
          <w:tcPr>
            <w:tcW w:w="1373" w:type="dxa"/>
            <w:shd w:val="clear" w:color="auto" w:fill="FFFFFF"/>
            <w:vAlign w:val="bottom"/>
          </w:tcPr>
          <w:p w14:paraId="14605E6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0,652</w:t>
            </w:r>
          </w:p>
        </w:tc>
      </w:tr>
      <w:tr w:rsidR="00B834A2" w:rsidRPr="00B07646" w14:paraId="527ECD52" w14:textId="77777777" w:rsidTr="00B834A2">
        <w:trPr>
          <w:jc w:val="center"/>
        </w:trPr>
        <w:tc>
          <w:tcPr>
            <w:tcW w:w="1526" w:type="dxa"/>
            <w:shd w:val="clear" w:color="auto" w:fill="FFFFFF"/>
            <w:vAlign w:val="bottom"/>
          </w:tcPr>
          <w:p w14:paraId="4C9C2C3D"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25</w:t>
            </w:r>
          </w:p>
        </w:tc>
        <w:tc>
          <w:tcPr>
            <w:tcW w:w="1152" w:type="dxa"/>
            <w:shd w:val="clear" w:color="auto" w:fill="FFFFFF"/>
            <w:vAlign w:val="bottom"/>
          </w:tcPr>
          <w:p w14:paraId="1E59F76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0,323</w:t>
            </w:r>
          </w:p>
        </w:tc>
        <w:tc>
          <w:tcPr>
            <w:tcW w:w="1334" w:type="dxa"/>
            <w:shd w:val="clear" w:color="auto" w:fill="FFFFFF"/>
            <w:vAlign w:val="bottom"/>
          </w:tcPr>
          <w:p w14:paraId="7C74083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0,381</w:t>
            </w:r>
          </w:p>
        </w:tc>
        <w:tc>
          <w:tcPr>
            <w:tcW w:w="1363" w:type="dxa"/>
            <w:shd w:val="clear" w:color="auto" w:fill="FFFFFF"/>
            <w:vAlign w:val="bottom"/>
          </w:tcPr>
          <w:p w14:paraId="0A6B5CB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0,445</w:t>
            </w:r>
          </w:p>
        </w:tc>
        <w:tc>
          <w:tcPr>
            <w:tcW w:w="1334" w:type="dxa"/>
            <w:shd w:val="clear" w:color="auto" w:fill="FFFFFF"/>
            <w:vAlign w:val="bottom"/>
          </w:tcPr>
          <w:p w14:paraId="53D026A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0,487</w:t>
            </w:r>
          </w:p>
        </w:tc>
        <w:tc>
          <w:tcPr>
            <w:tcW w:w="1334" w:type="dxa"/>
            <w:shd w:val="clear" w:color="auto" w:fill="FFFFFF"/>
            <w:vAlign w:val="bottom"/>
          </w:tcPr>
          <w:p w14:paraId="7367B68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0,524</w:t>
            </w:r>
          </w:p>
        </w:tc>
        <w:tc>
          <w:tcPr>
            <w:tcW w:w="1373" w:type="dxa"/>
            <w:shd w:val="clear" w:color="auto" w:fill="FFFFFF"/>
            <w:vAlign w:val="bottom"/>
          </w:tcPr>
          <w:p w14:paraId="6CD2150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0,597</w:t>
            </w:r>
          </w:p>
        </w:tc>
      </w:tr>
      <w:tr w:rsidR="00B834A2" w:rsidRPr="00B07646" w14:paraId="5C28746D" w14:textId="77777777" w:rsidTr="00B834A2">
        <w:trPr>
          <w:jc w:val="center"/>
        </w:trPr>
        <w:tc>
          <w:tcPr>
            <w:tcW w:w="1526" w:type="dxa"/>
            <w:shd w:val="clear" w:color="auto" w:fill="FFFFFF"/>
            <w:vAlign w:val="bottom"/>
          </w:tcPr>
          <w:p w14:paraId="659799C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30</w:t>
            </w:r>
          </w:p>
        </w:tc>
        <w:tc>
          <w:tcPr>
            <w:tcW w:w="1152" w:type="dxa"/>
            <w:shd w:val="clear" w:color="auto" w:fill="FFFFFF"/>
            <w:vAlign w:val="bottom"/>
          </w:tcPr>
          <w:p w14:paraId="03F3631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0,296</w:t>
            </w:r>
          </w:p>
        </w:tc>
        <w:tc>
          <w:tcPr>
            <w:tcW w:w="1334" w:type="dxa"/>
            <w:shd w:val="clear" w:color="auto" w:fill="FFFFFF"/>
            <w:vAlign w:val="bottom"/>
          </w:tcPr>
          <w:p w14:paraId="2B2CAC7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0,349</w:t>
            </w:r>
          </w:p>
        </w:tc>
        <w:tc>
          <w:tcPr>
            <w:tcW w:w="1363" w:type="dxa"/>
            <w:shd w:val="clear" w:color="auto" w:fill="FFFFFF"/>
            <w:vAlign w:val="bottom"/>
          </w:tcPr>
          <w:p w14:paraId="6BE02B0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0,409</w:t>
            </w:r>
          </w:p>
        </w:tc>
        <w:tc>
          <w:tcPr>
            <w:tcW w:w="1334" w:type="dxa"/>
            <w:shd w:val="clear" w:color="auto" w:fill="FFFFFF"/>
            <w:vAlign w:val="bottom"/>
          </w:tcPr>
          <w:p w14:paraId="11DFFD1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0,449</w:t>
            </w:r>
          </w:p>
        </w:tc>
        <w:tc>
          <w:tcPr>
            <w:tcW w:w="1334" w:type="dxa"/>
            <w:shd w:val="clear" w:color="auto" w:fill="FFFFFF"/>
            <w:vAlign w:val="bottom"/>
          </w:tcPr>
          <w:p w14:paraId="58FE43A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0,484</w:t>
            </w:r>
          </w:p>
        </w:tc>
        <w:tc>
          <w:tcPr>
            <w:tcW w:w="1373" w:type="dxa"/>
            <w:shd w:val="clear" w:color="auto" w:fill="FFFFFF"/>
            <w:vAlign w:val="bottom"/>
          </w:tcPr>
          <w:p w14:paraId="2D777DF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0,554</w:t>
            </w:r>
          </w:p>
        </w:tc>
      </w:tr>
      <w:tr w:rsidR="00B834A2" w:rsidRPr="00B07646" w14:paraId="570E02B8" w14:textId="77777777" w:rsidTr="00B834A2">
        <w:trPr>
          <w:jc w:val="center"/>
        </w:trPr>
        <w:tc>
          <w:tcPr>
            <w:tcW w:w="1526" w:type="dxa"/>
            <w:shd w:val="clear" w:color="auto" w:fill="FFFFFF"/>
            <w:vAlign w:val="bottom"/>
          </w:tcPr>
          <w:p w14:paraId="1707519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35</w:t>
            </w:r>
          </w:p>
        </w:tc>
        <w:tc>
          <w:tcPr>
            <w:tcW w:w="1152" w:type="dxa"/>
            <w:shd w:val="clear" w:color="auto" w:fill="FFFFFF"/>
            <w:vAlign w:val="bottom"/>
          </w:tcPr>
          <w:p w14:paraId="0ED0E49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0,275</w:t>
            </w:r>
          </w:p>
        </w:tc>
        <w:tc>
          <w:tcPr>
            <w:tcW w:w="1334" w:type="dxa"/>
            <w:shd w:val="clear" w:color="auto" w:fill="FFFFFF"/>
            <w:vAlign w:val="bottom"/>
          </w:tcPr>
          <w:p w14:paraId="7EDE688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0,325</w:t>
            </w:r>
          </w:p>
        </w:tc>
        <w:tc>
          <w:tcPr>
            <w:tcW w:w="1363" w:type="dxa"/>
            <w:shd w:val="clear" w:color="auto" w:fill="FFFFFF"/>
            <w:vAlign w:val="bottom"/>
          </w:tcPr>
          <w:p w14:paraId="355D87B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0,381</w:t>
            </w:r>
          </w:p>
        </w:tc>
        <w:tc>
          <w:tcPr>
            <w:tcW w:w="1334" w:type="dxa"/>
            <w:shd w:val="clear" w:color="auto" w:fill="FFFFFF"/>
            <w:vAlign w:val="bottom"/>
          </w:tcPr>
          <w:p w14:paraId="602C74F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0,428</w:t>
            </w:r>
          </w:p>
        </w:tc>
        <w:tc>
          <w:tcPr>
            <w:tcW w:w="1334" w:type="dxa"/>
            <w:shd w:val="clear" w:color="auto" w:fill="FFFFFF"/>
            <w:vAlign w:val="bottom"/>
          </w:tcPr>
          <w:p w14:paraId="2490CAE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0,452</w:t>
            </w:r>
          </w:p>
        </w:tc>
        <w:tc>
          <w:tcPr>
            <w:tcW w:w="1373" w:type="dxa"/>
            <w:shd w:val="clear" w:color="auto" w:fill="FFFFFF"/>
            <w:vAlign w:val="bottom"/>
          </w:tcPr>
          <w:p w14:paraId="61C4D43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0,519</w:t>
            </w:r>
          </w:p>
        </w:tc>
      </w:tr>
      <w:tr w:rsidR="00B834A2" w:rsidRPr="00B07646" w14:paraId="4DD4BD39" w14:textId="77777777" w:rsidTr="00B834A2">
        <w:trPr>
          <w:jc w:val="center"/>
        </w:trPr>
        <w:tc>
          <w:tcPr>
            <w:tcW w:w="1526" w:type="dxa"/>
            <w:shd w:val="clear" w:color="auto" w:fill="FFFFFF"/>
            <w:vAlign w:val="bottom"/>
          </w:tcPr>
          <w:p w14:paraId="4F8B244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40</w:t>
            </w:r>
          </w:p>
        </w:tc>
        <w:tc>
          <w:tcPr>
            <w:tcW w:w="1152" w:type="dxa"/>
            <w:shd w:val="clear" w:color="auto" w:fill="FFFFFF"/>
            <w:vAlign w:val="bottom"/>
          </w:tcPr>
          <w:p w14:paraId="27FBDD6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0,257</w:t>
            </w:r>
          </w:p>
        </w:tc>
        <w:tc>
          <w:tcPr>
            <w:tcW w:w="1334" w:type="dxa"/>
            <w:shd w:val="clear" w:color="auto" w:fill="FFFFFF"/>
            <w:vAlign w:val="bottom"/>
          </w:tcPr>
          <w:p w14:paraId="0468E2C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0,304</w:t>
            </w:r>
          </w:p>
        </w:tc>
        <w:tc>
          <w:tcPr>
            <w:tcW w:w="1363" w:type="dxa"/>
            <w:shd w:val="clear" w:color="auto" w:fill="FFFFFF"/>
            <w:vAlign w:val="bottom"/>
          </w:tcPr>
          <w:p w14:paraId="46D0AE8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0,358</w:t>
            </w:r>
          </w:p>
        </w:tc>
        <w:tc>
          <w:tcPr>
            <w:tcW w:w="1334" w:type="dxa"/>
            <w:shd w:val="clear" w:color="auto" w:fill="FFFFFF"/>
            <w:vAlign w:val="bottom"/>
          </w:tcPr>
          <w:p w14:paraId="4EC460C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0,393</w:t>
            </w:r>
          </w:p>
        </w:tc>
        <w:tc>
          <w:tcPr>
            <w:tcW w:w="1334" w:type="dxa"/>
            <w:shd w:val="clear" w:color="auto" w:fill="FFFFFF"/>
            <w:vAlign w:val="bottom"/>
          </w:tcPr>
          <w:p w14:paraId="5EC0EC0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0,425</w:t>
            </w:r>
          </w:p>
        </w:tc>
        <w:tc>
          <w:tcPr>
            <w:tcW w:w="1373" w:type="dxa"/>
            <w:shd w:val="clear" w:color="auto" w:fill="FFFFFF"/>
            <w:vAlign w:val="bottom"/>
          </w:tcPr>
          <w:p w14:paraId="2A2AFA6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0,490</w:t>
            </w:r>
          </w:p>
        </w:tc>
      </w:tr>
      <w:tr w:rsidR="00B834A2" w:rsidRPr="00B07646" w14:paraId="49649278" w14:textId="77777777" w:rsidTr="00B834A2">
        <w:trPr>
          <w:jc w:val="center"/>
        </w:trPr>
        <w:tc>
          <w:tcPr>
            <w:tcW w:w="1526" w:type="dxa"/>
            <w:shd w:val="clear" w:color="auto" w:fill="FFFFFF"/>
            <w:vAlign w:val="bottom"/>
          </w:tcPr>
          <w:p w14:paraId="756C06F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45</w:t>
            </w:r>
          </w:p>
        </w:tc>
        <w:tc>
          <w:tcPr>
            <w:tcW w:w="1152" w:type="dxa"/>
            <w:shd w:val="clear" w:color="auto" w:fill="FFFFFF"/>
            <w:vAlign w:val="bottom"/>
          </w:tcPr>
          <w:p w14:paraId="4C5390E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0,243</w:t>
            </w:r>
          </w:p>
        </w:tc>
        <w:tc>
          <w:tcPr>
            <w:tcW w:w="1334" w:type="dxa"/>
            <w:shd w:val="clear" w:color="auto" w:fill="FFFFFF"/>
            <w:vAlign w:val="bottom"/>
          </w:tcPr>
          <w:p w14:paraId="3CEB259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0,288</w:t>
            </w:r>
          </w:p>
        </w:tc>
        <w:tc>
          <w:tcPr>
            <w:tcW w:w="1363" w:type="dxa"/>
            <w:shd w:val="clear" w:color="auto" w:fill="FFFFFF"/>
            <w:vAlign w:val="bottom"/>
          </w:tcPr>
          <w:p w14:paraId="240D0D3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0,338</w:t>
            </w:r>
          </w:p>
        </w:tc>
        <w:tc>
          <w:tcPr>
            <w:tcW w:w="1334" w:type="dxa"/>
            <w:shd w:val="clear" w:color="auto" w:fill="FFFFFF"/>
            <w:vAlign w:val="bottom"/>
          </w:tcPr>
          <w:p w14:paraId="23C17D4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0,372</w:t>
            </w:r>
          </w:p>
        </w:tc>
        <w:tc>
          <w:tcPr>
            <w:tcW w:w="1334" w:type="dxa"/>
            <w:shd w:val="clear" w:color="auto" w:fill="FFFFFF"/>
            <w:vAlign w:val="bottom"/>
          </w:tcPr>
          <w:p w14:paraId="50F0F04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0,403</w:t>
            </w:r>
          </w:p>
        </w:tc>
        <w:tc>
          <w:tcPr>
            <w:tcW w:w="1373" w:type="dxa"/>
            <w:shd w:val="clear" w:color="auto" w:fill="FFFFFF"/>
            <w:vAlign w:val="bottom"/>
          </w:tcPr>
          <w:p w14:paraId="463DBC1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0,465</w:t>
            </w:r>
          </w:p>
        </w:tc>
      </w:tr>
      <w:tr w:rsidR="00B834A2" w:rsidRPr="00B07646" w14:paraId="61C8D075" w14:textId="77777777" w:rsidTr="00B834A2">
        <w:trPr>
          <w:jc w:val="center"/>
        </w:trPr>
        <w:tc>
          <w:tcPr>
            <w:tcW w:w="1526" w:type="dxa"/>
            <w:shd w:val="clear" w:color="auto" w:fill="FFFFFF"/>
            <w:vAlign w:val="bottom"/>
          </w:tcPr>
          <w:p w14:paraId="3253EB9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50</w:t>
            </w:r>
          </w:p>
        </w:tc>
        <w:tc>
          <w:tcPr>
            <w:tcW w:w="1152" w:type="dxa"/>
            <w:shd w:val="clear" w:color="auto" w:fill="FFFFFF"/>
            <w:vAlign w:val="bottom"/>
          </w:tcPr>
          <w:p w14:paraId="5881220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0,231</w:t>
            </w:r>
          </w:p>
        </w:tc>
        <w:tc>
          <w:tcPr>
            <w:tcW w:w="1334" w:type="dxa"/>
            <w:shd w:val="clear" w:color="auto" w:fill="FFFFFF"/>
            <w:vAlign w:val="bottom"/>
          </w:tcPr>
          <w:p w14:paraId="6D03F050"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0,273</w:t>
            </w:r>
          </w:p>
        </w:tc>
        <w:tc>
          <w:tcPr>
            <w:tcW w:w="1363" w:type="dxa"/>
            <w:shd w:val="clear" w:color="auto" w:fill="FFFFFF"/>
            <w:vAlign w:val="bottom"/>
          </w:tcPr>
          <w:p w14:paraId="4B27119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0,322</w:t>
            </w:r>
          </w:p>
        </w:tc>
        <w:tc>
          <w:tcPr>
            <w:tcW w:w="1334" w:type="dxa"/>
            <w:shd w:val="clear" w:color="auto" w:fill="FFFFFF"/>
            <w:vAlign w:val="bottom"/>
          </w:tcPr>
          <w:p w14:paraId="34DBAB3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0,354</w:t>
            </w:r>
          </w:p>
        </w:tc>
        <w:tc>
          <w:tcPr>
            <w:tcW w:w="1334" w:type="dxa"/>
            <w:shd w:val="clear" w:color="auto" w:fill="FFFFFF"/>
            <w:vAlign w:val="bottom"/>
          </w:tcPr>
          <w:p w14:paraId="6A456959"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0,380</w:t>
            </w:r>
          </w:p>
        </w:tc>
        <w:tc>
          <w:tcPr>
            <w:tcW w:w="1373" w:type="dxa"/>
            <w:shd w:val="clear" w:color="auto" w:fill="FFFFFF"/>
            <w:vAlign w:val="bottom"/>
          </w:tcPr>
          <w:p w14:paraId="03E776E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0,443</w:t>
            </w:r>
          </w:p>
        </w:tc>
      </w:tr>
      <w:tr w:rsidR="00B834A2" w:rsidRPr="00B07646" w14:paraId="5FB2FEE8" w14:textId="77777777" w:rsidTr="00B834A2">
        <w:trPr>
          <w:jc w:val="center"/>
        </w:trPr>
        <w:tc>
          <w:tcPr>
            <w:tcW w:w="1526" w:type="dxa"/>
            <w:shd w:val="clear" w:color="auto" w:fill="FFFFFF"/>
            <w:vAlign w:val="bottom"/>
          </w:tcPr>
          <w:p w14:paraId="6FF20B3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60</w:t>
            </w:r>
          </w:p>
        </w:tc>
        <w:tc>
          <w:tcPr>
            <w:tcW w:w="1152" w:type="dxa"/>
            <w:shd w:val="clear" w:color="auto" w:fill="FFFFFF"/>
            <w:vAlign w:val="bottom"/>
          </w:tcPr>
          <w:p w14:paraId="33A540B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0,211</w:t>
            </w:r>
          </w:p>
        </w:tc>
        <w:tc>
          <w:tcPr>
            <w:tcW w:w="1334" w:type="dxa"/>
            <w:shd w:val="clear" w:color="auto" w:fill="FFFFFF"/>
            <w:vAlign w:val="bottom"/>
          </w:tcPr>
          <w:p w14:paraId="65B01FD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0,250</w:t>
            </w:r>
          </w:p>
        </w:tc>
        <w:tc>
          <w:tcPr>
            <w:tcW w:w="1363" w:type="dxa"/>
            <w:shd w:val="clear" w:color="auto" w:fill="FFFFFF"/>
            <w:vAlign w:val="bottom"/>
          </w:tcPr>
          <w:p w14:paraId="30C17A6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0.295</w:t>
            </w:r>
          </w:p>
        </w:tc>
        <w:tc>
          <w:tcPr>
            <w:tcW w:w="1334" w:type="dxa"/>
            <w:shd w:val="clear" w:color="auto" w:fill="FFFFFF"/>
            <w:vAlign w:val="bottom"/>
          </w:tcPr>
          <w:p w14:paraId="0980B2D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0,325</w:t>
            </w:r>
          </w:p>
        </w:tc>
        <w:tc>
          <w:tcPr>
            <w:tcW w:w="1334" w:type="dxa"/>
            <w:shd w:val="clear" w:color="auto" w:fill="FFFFFF"/>
            <w:vAlign w:val="bottom"/>
          </w:tcPr>
          <w:p w14:paraId="295955D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0,352</w:t>
            </w:r>
          </w:p>
        </w:tc>
        <w:tc>
          <w:tcPr>
            <w:tcW w:w="1373" w:type="dxa"/>
            <w:shd w:val="clear" w:color="auto" w:fill="FFFFFF"/>
            <w:vAlign w:val="bottom"/>
          </w:tcPr>
          <w:p w14:paraId="633E14D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0,408</w:t>
            </w:r>
          </w:p>
        </w:tc>
      </w:tr>
      <w:tr w:rsidR="00B834A2" w:rsidRPr="00B07646" w14:paraId="5F2533B9" w14:textId="77777777" w:rsidTr="00B834A2">
        <w:trPr>
          <w:jc w:val="center"/>
        </w:trPr>
        <w:tc>
          <w:tcPr>
            <w:tcW w:w="1526" w:type="dxa"/>
            <w:shd w:val="clear" w:color="auto" w:fill="FFFFFF"/>
            <w:vAlign w:val="bottom"/>
          </w:tcPr>
          <w:p w14:paraId="70E9F2F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70</w:t>
            </w:r>
          </w:p>
        </w:tc>
        <w:tc>
          <w:tcPr>
            <w:tcW w:w="1152" w:type="dxa"/>
            <w:shd w:val="clear" w:color="auto" w:fill="FFFFFF"/>
            <w:vAlign w:val="bottom"/>
          </w:tcPr>
          <w:p w14:paraId="5A1A7153"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0,195</w:t>
            </w:r>
          </w:p>
        </w:tc>
        <w:tc>
          <w:tcPr>
            <w:tcW w:w="1334" w:type="dxa"/>
            <w:shd w:val="clear" w:color="auto" w:fill="FFFFFF"/>
            <w:vAlign w:val="bottom"/>
          </w:tcPr>
          <w:p w14:paraId="437A729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0,232</w:t>
            </w:r>
          </w:p>
        </w:tc>
        <w:tc>
          <w:tcPr>
            <w:tcW w:w="1363" w:type="dxa"/>
            <w:shd w:val="clear" w:color="auto" w:fill="FFFFFF"/>
            <w:vAlign w:val="bottom"/>
          </w:tcPr>
          <w:p w14:paraId="4B89F05A"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0,274</w:t>
            </w:r>
          </w:p>
        </w:tc>
        <w:tc>
          <w:tcPr>
            <w:tcW w:w="1334" w:type="dxa"/>
            <w:shd w:val="clear" w:color="auto" w:fill="FFFFFF"/>
            <w:vAlign w:val="bottom"/>
          </w:tcPr>
          <w:p w14:paraId="05D6981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0,302</w:t>
            </w:r>
          </w:p>
        </w:tc>
        <w:tc>
          <w:tcPr>
            <w:tcW w:w="1334" w:type="dxa"/>
            <w:shd w:val="clear" w:color="auto" w:fill="FFFFFF"/>
            <w:vAlign w:val="bottom"/>
          </w:tcPr>
          <w:p w14:paraId="1494A92F"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0,327</w:t>
            </w:r>
          </w:p>
        </w:tc>
        <w:tc>
          <w:tcPr>
            <w:tcW w:w="1373" w:type="dxa"/>
            <w:shd w:val="clear" w:color="auto" w:fill="FFFFFF"/>
            <w:vAlign w:val="bottom"/>
          </w:tcPr>
          <w:p w14:paraId="262B1DD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0,380</w:t>
            </w:r>
          </w:p>
        </w:tc>
      </w:tr>
      <w:tr w:rsidR="00B834A2" w:rsidRPr="00B07646" w14:paraId="5ED8B464" w14:textId="77777777" w:rsidTr="00B834A2">
        <w:trPr>
          <w:jc w:val="center"/>
        </w:trPr>
        <w:tc>
          <w:tcPr>
            <w:tcW w:w="1526" w:type="dxa"/>
            <w:shd w:val="clear" w:color="auto" w:fill="FFFFFF"/>
            <w:vAlign w:val="bottom"/>
          </w:tcPr>
          <w:p w14:paraId="313E1FE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lastRenderedPageBreak/>
              <w:t>80</w:t>
            </w:r>
          </w:p>
        </w:tc>
        <w:tc>
          <w:tcPr>
            <w:tcW w:w="1152" w:type="dxa"/>
            <w:shd w:val="clear" w:color="auto" w:fill="FFFFFF"/>
            <w:vAlign w:val="bottom"/>
          </w:tcPr>
          <w:p w14:paraId="375A45F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0,183</w:t>
            </w:r>
          </w:p>
        </w:tc>
        <w:tc>
          <w:tcPr>
            <w:tcW w:w="1334" w:type="dxa"/>
            <w:shd w:val="clear" w:color="auto" w:fill="FFFFFF"/>
            <w:vAlign w:val="bottom"/>
          </w:tcPr>
          <w:p w14:paraId="1D3A1FC5"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0,217</w:t>
            </w:r>
          </w:p>
        </w:tc>
        <w:tc>
          <w:tcPr>
            <w:tcW w:w="1363" w:type="dxa"/>
            <w:shd w:val="clear" w:color="auto" w:fill="FFFFFF"/>
            <w:vAlign w:val="bottom"/>
          </w:tcPr>
          <w:p w14:paraId="59E18DA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0,257</w:t>
            </w:r>
          </w:p>
        </w:tc>
        <w:tc>
          <w:tcPr>
            <w:tcW w:w="1334" w:type="dxa"/>
            <w:shd w:val="clear" w:color="auto" w:fill="FFFFFF"/>
            <w:vAlign w:val="bottom"/>
          </w:tcPr>
          <w:p w14:paraId="3D04054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0,283</w:t>
            </w:r>
          </w:p>
        </w:tc>
        <w:tc>
          <w:tcPr>
            <w:tcW w:w="1334" w:type="dxa"/>
            <w:shd w:val="clear" w:color="auto" w:fill="FFFFFF"/>
            <w:vAlign w:val="bottom"/>
          </w:tcPr>
          <w:p w14:paraId="5E4B44D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0,307</w:t>
            </w:r>
          </w:p>
        </w:tc>
        <w:tc>
          <w:tcPr>
            <w:tcW w:w="1373" w:type="dxa"/>
            <w:shd w:val="clear" w:color="auto" w:fill="FFFFFF"/>
            <w:vAlign w:val="bottom"/>
          </w:tcPr>
          <w:p w14:paraId="089BDF7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0,357</w:t>
            </w:r>
          </w:p>
        </w:tc>
      </w:tr>
      <w:tr w:rsidR="00B834A2" w:rsidRPr="00B07646" w14:paraId="7AAC65E1" w14:textId="77777777" w:rsidTr="00B834A2">
        <w:trPr>
          <w:jc w:val="center"/>
        </w:trPr>
        <w:tc>
          <w:tcPr>
            <w:tcW w:w="1526" w:type="dxa"/>
            <w:shd w:val="clear" w:color="auto" w:fill="FFFFFF"/>
          </w:tcPr>
          <w:p w14:paraId="3A8D4A3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90</w:t>
            </w:r>
          </w:p>
        </w:tc>
        <w:tc>
          <w:tcPr>
            <w:tcW w:w="1152" w:type="dxa"/>
            <w:shd w:val="clear" w:color="auto" w:fill="FFFFFF"/>
          </w:tcPr>
          <w:p w14:paraId="5964799E"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0,173</w:t>
            </w:r>
          </w:p>
        </w:tc>
        <w:tc>
          <w:tcPr>
            <w:tcW w:w="1334" w:type="dxa"/>
            <w:shd w:val="clear" w:color="auto" w:fill="FFFFFF"/>
          </w:tcPr>
          <w:p w14:paraId="7E9A7C3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0,205</w:t>
            </w:r>
          </w:p>
        </w:tc>
        <w:tc>
          <w:tcPr>
            <w:tcW w:w="1363" w:type="dxa"/>
            <w:shd w:val="clear" w:color="auto" w:fill="FFFFFF"/>
          </w:tcPr>
          <w:p w14:paraId="079D01D6"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0,242</w:t>
            </w:r>
          </w:p>
        </w:tc>
        <w:tc>
          <w:tcPr>
            <w:tcW w:w="1334" w:type="dxa"/>
            <w:shd w:val="clear" w:color="auto" w:fill="FFFFFF"/>
          </w:tcPr>
          <w:p w14:paraId="2D5C21EB"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0,267</w:t>
            </w:r>
          </w:p>
        </w:tc>
        <w:tc>
          <w:tcPr>
            <w:tcW w:w="1334" w:type="dxa"/>
            <w:shd w:val="clear" w:color="auto" w:fill="FFFFFF"/>
          </w:tcPr>
          <w:p w14:paraId="428E1088"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0,290</w:t>
            </w:r>
          </w:p>
        </w:tc>
        <w:tc>
          <w:tcPr>
            <w:tcW w:w="1373" w:type="dxa"/>
            <w:shd w:val="clear" w:color="auto" w:fill="FFFFFF"/>
          </w:tcPr>
          <w:p w14:paraId="5F1D1B4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0,338</w:t>
            </w:r>
          </w:p>
        </w:tc>
      </w:tr>
      <w:tr w:rsidR="00B834A2" w:rsidRPr="00B07646" w14:paraId="480D4409" w14:textId="77777777" w:rsidTr="00B834A2">
        <w:trPr>
          <w:jc w:val="center"/>
        </w:trPr>
        <w:tc>
          <w:tcPr>
            <w:tcW w:w="1526" w:type="dxa"/>
            <w:tcBorders>
              <w:bottom w:val="single" w:sz="4" w:space="0" w:color="auto"/>
            </w:tcBorders>
            <w:shd w:val="clear" w:color="auto" w:fill="FFFFFF"/>
            <w:vAlign w:val="bottom"/>
          </w:tcPr>
          <w:p w14:paraId="42CD68F1"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100</w:t>
            </w:r>
          </w:p>
        </w:tc>
        <w:tc>
          <w:tcPr>
            <w:tcW w:w="1152" w:type="dxa"/>
            <w:tcBorders>
              <w:bottom w:val="single" w:sz="4" w:space="0" w:color="auto"/>
            </w:tcBorders>
            <w:shd w:val="clear" w:color="auto" w:fill="FFFFFF"/>
          </w:tcPr>
          <w:p w14:paraId="5D3FB74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0,164</w:t>
            </w:r>
          </w:p>
        </w:tc>
        <w:tc>
          <w:tcPr>
            <w:tcW w:w="1334" w:type="dxa"/>
            <w:tcBorders>
              <w:bottom w:val="single" w:sz="4" w:space="0" w:color="auto"/>
            </w:tcBorders>
            <w:shd w:val="clear" w:color="auto" w:fill="FFFFFF"/>
          </w:tcPr>
          <w:p w14:paraId="7067BEF7"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0,195</w:t>
            </w:r>
          </w:p>
        </w:tc>
        <w:tc>
          <w:tcPr>
            <w:tcW w:w="1363" w:type="dxa"/>
            <w:tcBorders>
              <w:bottom w:val="single" w:sz="4" w:space="0" w:color="auto"/>
            </w:tcBorders>
            <w:shd w:val="clear" w:color="auto" w:fill="FFFFFF"/>
          </w:tcPr>
          <w:p w14:paraId="5715FA32"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0,230</w:t>
            </w:r>
          </w:p>
        </w:tc>
        <w:tc>
          <w:tcPr>
            <w:tcW w:w="1334" w:type="dxa"/>
            <w:tcBorders>
              <w:bottom w:val="single" w:sz="4" w:space="0" w:color="auto"/>
            </w:tcBorders>
            <w:shd w:val="clear" w:color="auto" w:fill="FFFFFF"/>
          </w:tcPr>
          <w:p w14:paraId="012C42B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0,254</w:t>
            </w:r>
          </w:p>
        </w:tc>
        <w:tc>
          <w:tcPr>
            <w:tcW w:w="1334" w:type="dxa"/>
            <w:tcBorders>
              <w:bottom w:val="single" w:sz="4" w:space="0" w:color="auto"/>
            </w:tcBorders>
            <w:shd w:val="clear" w:color="auto" w:fill="FFFFFF"/>
          </w:tcPr>
          <w:p w14:paraId="1A08CF5C"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0,276</w:t>
            </w:r>
          </w:p>
        </w:tc>
        <w:tc>
          <w:tcPr>
            <w:tcW w:w="1373" w:type="dxa"/>
            <w:tcBorders>
              <w:bottom w:val="single" w:sz="4" w:space="0" w:color="auto"/>
            </w:tcBorders>
            <w:shd w:val="clear" w:color="auto" w:fill="FFFFFF"/>
          </w:tcPr>
          <w:p w14:paraId="5F07C494" w14:textId="77777777" w:rsidR="00B834A2" w:rsidRPr="00B07646" w:rsidRDefault="00B834A2" w:rsidP="00B07646">
            <w:pPr>
              <w:pStyle w:val="a0"/>
              <w:shd w:val="clear" w:color="auto" w:fill="auto"/>
              <w:spacing w:after="120" w:line="240" w:lineRule="auto"/>
              <w:ind w:firstLine="21"/>
              <w:jc w:val="center"/>
              <w:rPr>
                <w:rFonts w:ascii="Sylfaen" w:hAnsi="Sylfaen" w:cs="Sylfaen"/>
              </w:rPr>
            </w:pPr>
            <w:r w:rsidRPr="00B07646">
              <w:rPr>
                <w:rFonts w:ascii="Sylfaen" w:hAnsi="Sylfaen"/>
              </w:rPr>
              <w:t>0,321</w:t>
            </w:r>
          </w:p>
        </w:tc>
      </w:tr>
    </w:tbl>
    <w:p w14:paraId="3FF7DC65" w14:textId="77777777" w:rsidR="00B834A2" w:rsidRPr="00B834A2" w:rsidRDefault="00B834A2" w:rsidP="00B834A2">
      <w:pPr>
        <w:spacing w:after="160" w:line="360" w:lineRule="auto"/>
        <w:ind w:firstLine="567"/>
        <w:jc w:val="both"/>
      </w:pPr>
    </w:p>
    <w:p w14:paraId="22CEE157" w14:textId="77777777" w:rsidR="00B834A2" w:rsidRPr="00B834A2" w:rsidRDefault="00B834A2" w:rsidP="00B834A2">
      <w:pPr>
        <w:pStyle w:val="80"/>
        <w:shd w:val="clear" w:color="auto" w:fill="auto"/>
        <w:spacing w:line="360" w:lineRule="auto"/>
        <w:ind w:firstLine="567"/>
        <w:jc w:val="both"/>
        <w:rPr>
          <w:rFonts w:ascii="Sylfaen" w:hAnsi="Sylfaen" w:cs="Sylfaen"/>
          <w:sz w:val="24"/>
          <w:szCs w:val="24"/>
        </w:rPr>
      </w:pPr>
      <w:r w:rsidRPr="00B834A2">
        <w:rPr>
          <w:rFonts w:ascii="Sylfaen" w:hAnsi="Sylfaen"/>
          <w:b w:val="0"/>
          <w:sz w:val="24"/>
          <w:szCs w:val="24"/>
        </w:rPr>
        <w:t>Р</w:t>
      </w:r>
      <w:r w:rsidRPr="00B834A2">
        <w:rPr>
          <w:rFonts w:ascii="Sylfaen" w:hAnsi="Sylfaen"/>
          <w:b w:val="0"/>
          <w:sz w:val="24"/>
          <w:szCs w:val="24"/>
          <w:vertAlign w:val="subscript"/>
        </w:rPr>
        <w:t>1</w:t>
      </w:r>
      <w:r w:rsidRPr="00B834A2">
        <w:rPr>
          <w:rFonts w:ascii="Sylfaen" w:hAnsi="Sylfaen"/>
          <w:b w:val="0"/>
          <w:sz w:val="24"/>
          <w:szCs w:val="24"/>
        </w:rPr>
        <w:t xml:space="preserve"> այն բանի հավանականությունը, որ r</w:t>
      </w:r>
      <w:r w:rsidRPr="00B834A2">
        <w:rPr>
          <w:rFonts w:ascii="Sylfaen" w:hAnsi="Sylfaen"/>
          <w:b w:val="0"/>
          <w:i/>
          <w:sz w:val="24"/>
          <w:szCs w:val="24"/>
        </w:rPr>
        <w:t>&lt;R*ից</w:t>
      </w:r>
      <w:r w:rsidRPr="00B834A2">
        <w:rPr>
          <w:rFonts w:ascii="Sylfaen" w:hAnsi="Sylfaen"/>
          <w:b w:val="0"/>
          <w:sz w:val="24"/>
          <w:szCs w:val="24"/>
        </w:rPr>
        <w:t xml:space="preserve"> կամ</w:t>
      </w:r>
      <w:r w:rsidRPr="00B834A2">
        <w:rPr>
          <w:rFonts w:ascii="Sylfaen" w:hAnsi="Sylfaen"/>
          <w:b w:val="0"/>
          <w:i/>
          <w:sz w:val="24"/>
          <w:szCs w:val="24"/>
        </w:rPr>
        <w:t>R&lt;r-ից</w:t>
      </w:r>
      <w:r w:rsidRPr="00B834A2">
        <w:rPr>
          <w:rFonts w:ascii="Sylfaen" w:hAnsi="Sylfaen"/>
          <w:b w:val="0"/>
          <w:sz w:val="24"/>
          <w:szCs w:val="24"/>
        </w:rPr>
        <w:t xml:space="preserve"> (միակողմ չափորոշիչ).</w:t>
      </w:r>
    </w:p>
    <w:p w14:paraId="75A7877E" w14:textId="77777777" w:rsidR="00B834A2" w:rsidRPr="00B834A2" w:rsidRDefault="00B834A2" w:rsidP="00B834A2">
      <w:pPr>
        <w:pStyle w:val="80"/>
        <w:shd w:val="clear" w:color="auto" w:fill="auto"/>
        <w:spacing w:line="360" w:lineRule="auto"/>
        <w:ind w:firstLine="567"/>
        <w:jc w:val="both"/>
        <w:rPr>
          <w:rFonts w:ascii="Sylfaen" w:hAnsi="Sylfaen" w:cs="Sylfaen"/>
          <w:b w:val="0"/>
          <w:bCs w:val="0"/>
          <w:i/>
          <w:iCs/>
          <w:sz w:val="24"/>
          <w:szCs w:val="24"/>
        </w:rPr>
      </w:pPr>
      <w:r w:rsidRPr="00B834A2">
        <w:rPr>
          <w:rFonts w:ascii="Sylfaen" w:hAnsi="Sylfaen"/>
          <w:b w:val="0"/>
          <w:i/>
          <w:sz w:val="24"/>
          <w:szCs w:val="24"/>
        </w:rPr>
        <w:t>Р</w:t>
      </w:r>
      <w:r w:rsidRPr="00B834A2">
        <w:rPr>
          <w:rFonts w:ascii="Sylfaen" w:hAnsi="Sylfaen"/>
          <w:b w:val="0"/>
          <w:i/>
          <w:sz w:val="24"/>
          <w:szCs w:val="24"/>
          <w:vertAlign w:val="subscript"/>
        </w:rPr>
        <w:t>2</w:t>
      </w:r>
      <w:r w:rsidRPr="00B834A2">
        <w:rPr>
          <w:rFonts w:ascii="Sylfaen" w:hAnsi="Sylfaen"/>
          <w:b w:val="0"/>
          <w:i/>
          <w:sz w:val="24"/>
          <w:szCs w:val="24"/>
        </w:rPr>
        <w:t>՝ այն բանի հավանականությունը, որ r</w:t>
      </w:r>
      <w:r>
        <w:rPr>
          <w:rFonts w:ascii="Sylfaen" w:hAnsi="Sylfaen"/>
          <w:b w:val="0"/>
          <w:sz w:val="24"/>
          <w:szCs w:val="24"/>
        </w:rPr>
        <w:t xml:space="preserve"> </w:t>
      </w:r>
      <w:r w:rsidRPr="00B834A2">
        <w:rPr>
          <w:rFonts w:ascii="Sylfaen" w:hAnsi="Sylfaen"/>
          <w:b w:val="0"/>
          <w:sz w:val="24"/>
          <w:szCs w:val="24"/>
        </w:rPr>
        <w:t xml:space="preserve">կորելյացիայի գործակիցը գտնվում է </w:t>
      </w:r>
      <w:r w:rsidRPr="00B834A2">
        <w:rPr>
          <w:rFonts w:ascii="Sylfaen" w:hAnsi="Sylfaen"/>
          <w:b w:val="0"/>
          <w:i/>
          <w:sz w:val="24"/>
          <w:szCs w:val="24"/>
        </w:rPr>
        <w:t xml:space="preserve">R </w:t>
      </w:r>
      <w:r w:rsidRPr="00B834A2">
        <w:rPr>
          <w:rFonts w:ascii="Sylfaen" w:hAnsi="Sylfaen"/>
          <w:b w:val="0"/>
          <w:sz w:val="24"/>
          <w:szCs w:val="24"/>
        </w:rPr>
        <w:t xml:space="preserve">&lt; </w:t>
      </w:r>
      <w:r w:rsidRPr="00B834A2">
        <w:rPr>
          <w:rFonts w:ascii="Sylfaen" w:hAnsi="Sylfaen"/>
          <w:b w:val="0"/>
          <w:i/>
          <w:sz w:val="24"/>
          <w:szCs w:val="24"/>
        </w:rPr>
        <w:t>r &lt; R միջակայքում (</w:t>
      </w:r>
      <w:r w:rsidRPr="00B834A2">
        <w:rPr>
          <w:rFonts w:ascii="Sylfaen" w:hAnsi="Sylfaen"/>
          <w:b w:val="0"/>
          <w:sz w:val="24"/>
          <w:szCs w:val="24"/>
        </w:rPr>
        <w:t>երկկողմ չափորոշիչ). r կորելյացիայի ընտրանքային գործակիցը նշանակալիորեն (Р1 կամ Р2 հուսալիությամբ) տարբերվում է զրոյից, եթե դրա |</w:t>
      </w:r>
      <w:r w:rsidRPr="00B834A2">
        <w:rPr>
          <w:rFonts w:ascii="Sylfaen" w:hAnsi="Sylfaen"/>
          <w:b w:val="0"/>
          <w:i/>
          <w:sz w:val="24"/>
          <w:szCs w:val="24"/>
        </w:rPr>
        <w:t>r</w:t>
      </w:r>
      <w:r w:rsidRPr="00B834A2">
        <w:rPr>
          <w:rFonts w:ascii="Sylfaen" w:hAnsi="Sylfaen"/>
          <w:b w:val="0"/>
          <w:sz w:val="24"/>
          <w:szCs w:val="24"/>
        </w:rPr>
        <w:t xml:space="preserve">| հարաբերական մեծությունը գերազանցում է </w:t>
      </w:r>
      <w:r w:rsidRPr="00B834A2">
        <w:rPr>
          <w:rFonts w:ascii="Sylfaen" w:hAnsi="Sylfaen"/>
          <w:b w:val="0"/>
          <w:i/>
          <w:sz w:val="24"/>
          <w:szCs w:val="24"/>
        </w:rPr>
        <w:t>R(Р, f)</w:t>
      </w:r>
      <w:r w:rsidRPr="00B834A2">
        <w:rPr>
          <w:rFonts w:ascii="Sylfaen" w:hAnsi="Sylfaen"/>
          <w:b w:val="0"/>
          <w:sz w:val="24"/>
          <w:szCs w:val="24"/>
        </w:rPr>
        <w:t xml:space="preserve"> աղյուսակային արժեքը:</w:t>
      </w:r>
    </w:p>
    <w:p w14:paraId="3705D227" w14:textId="77777777" w:rsidR="00B834A2" w:rsidRPr="00A55DE5" w:rsidRDefault="00A55DE5" w:rsidP="00A55DE5">
      <w:pPr>
        <w:pStyle w:val="80"/>
        <w:shd w:val="clear" w:color="auto" w:fill="auto"/>
        <w:spacing w:line="360" w:lineRule="auto"/>
        <w:ind w:firstLine="567"/>
        <w:jc w:val="both"/>
        <w:rPr>
          <w:rFonts w:ascii="Sylfaen" w:hAnsi="Sylfaen" w:cs="Sylfaen"/>
          <w:b w:val="0"/>
          <w:sz w:val="24"/>
          <w:szCs w:val="24"/>
        </w:rPr>
      </w:pPr>
      <w:r w:rsidRPr="00A55DE5">
        <w:rPr>
          <w:rFonts w:ascii="Sylfaen" w:hAnsi="Sylfaen"/>
          <w:b w:val="0"/>
          <w:sz w:val="24"/>
          <w:szCs w:val="24"/>
        </w:rPr>
        <w:t xml:space="preserve">Աղյուսակ 5. </w:t>
      </w:r>
      <w:r w:rsidRPr="00A55DE5">
        <w:rPr>
          <w:rFonts w:ascii="Sylfaen" w:hAnsi="Sylfaen"/>
          <w:b w:val="0"/>
          <w:i/>
          <w:sz w:val="24"/>
          <w:szCs w:val="24"/>
        </w:rPr>
        <w:t>x</w:t>
      </w:r>
      <w:r w:rsidRPr="00A55DE5">
        <w:rPr>
          <w:rFonts w:ascii="Sylfaen" w:hAnsi="Sylfaen"/>
          <w:b w:val="0"/>
          <w:i/>
          <w:sz w:val="24"/>
          <w:szCs w:val="24"/>
          <w:vertAlign w:val="superscript"/>
        </w:rPr>
        <w:t>2</w:t>
      </w:r>
      <w:r w:rsidRPr="00A55DE5">
        <w:rPr>
          <w:rFonts w:ascii="Sylfaen" w:hAnsi="Sylfaen"/>
          <w:b w:val="0"/>
          <w:i/>
          <w:sz w:val="24"/>
          <w:szCs w:val="24"/>
        </w:rPr>
        <w:t xml:space="preserve"> (P</w:t>
      </w:r>
      <w:r w:rsidRPr="00A55DE5">
        <w:rPr>
          <w:rFonts w:ascii="Sylfaen" w:hAnsi="Sylfaen"/>
          <w:b w:val="0"/>
          <w:i/>
          <w:sz w:val="24"/>
          <w:szCs w:val="24"/>
          <w:vertAlign w:val="subscript"/>
        </w:rPr>
        <w:t>1</w:t>
      </w:r>
      <w:r w:rsidRPr="00A55DE5">
        <w:rPr>
          <w:rFonts w:ascii="Sylfaen" w:hAnsi="Sylfaen"/>
          <w:b w:val="0"/>
          <w:i/>
          <w:sz w:val="24"/>
          <w:szCs w:val="24"/>
        </w:rPr>
        <w:t>,</w:t>
      </w:r>
      <w:r w:rsidRPr="00A55DE5">
        <w:rPr>
          <w:rFonts w:ascii="Sylfaen" w:hAnsi="Sylfaen"/>
          <w:b w:val="0"/>
          <w:sz w:val="24"/>
          <w:szCs w:val="24"/>
        </w:rPr>
        <w:t xml:space="preserve"> </w:t>
      </w:r>
      <w:r w:rsidRPr="00A55DE5">
        <w:rPr>
          <w:rFonts w:ascii="Sylfaen" w:hAnsi="Sylfaen"/>
          <w:b w:val="0"/>
          <w:i/>
          <w:sz w:val="24"/>
          <w:szCs w:val="24"/>
        </w:rPr>
        <w:t>f</w:t>
      </w:r>
      <w:r w:rsidRPr="00A55DE5">
        <w:rPr>
          <w:rFonts w:ascii="Sylfaen" w:hAnsi="Sylfaen"/>
          <w:b w:val="0"/>
          <w:i/>
          <w:sz w:val="24"/>
          <w:szCs w:val="24"/>
          <w:vertAlign w:val="subscript"/>
        </w:rPr>
        <w:t>x</w:t>
      </w:r>
      <w:r w:rsidRPr="00A55DE5">
        <w:rPr>
          <w:rFonts w:ascii="Sylfaen" w:hAnsi="Sylfaen"/>
          <w:b w:val="0"/>
          <w:sz w:val="24"/>
          <w:szCs w:val="24"/>
        </w:rPr>
        <w:t xml:space="preserve"> ) բաշխման տոկոսային կետերը</w:t>
      </w:r>
    </w:p>
    <w:tbl>
      <w:tblPr>
        <w:tblOverlap w:val="never"/>
        <w:tblW w:w="5532" w:type="dxa"/>
        <w:jc w:val="center"/>
        <w:tblLayout w:type="fixed"/>
        <w:tblCellMar>
          <w:left w:w="10" w:type="dxa"/>
          <w:right w:w="10" w:type="dxa"/>
        </w:tblCellMar>
        <w:tblLook w:val="0000" w:firstRow="0" w:lastRow="0" w:firstColumn="0" w:lastColumn="0" w:noHBand="0" w:noVBand="0"/>
      </w:tblPr>
      <w:tblGrid>
        <w:gridCol w:w="2105"/>
        <w:gridCol w:w="1637"/>
        <w:gridCol w:w="1790"/>
      </w:tblGrid>
      <w:tr w:rsidR="00A55DE5" w:rsidRPr="00B07646" w14:paraId="39227EE7" w14:textId="77777777" w:rsidTr="00F634DB">
        <w:trPr>
          <w:tblHeader/>
          <w:jc w:val="center"/>
        </w:trPr>
        <w:tc>
          <w:tcPr>
            <w:tcW w:w="2105" w:type="dxa"/>
            <w:tcBorders>
              <w:top w:val="single" w:sz="4" w:space="0" w:color="auto"/>
            </w:tcBorders>
            <w:shd w:val="clear" w:color="auto" w:fill="FFFFFF"/>
            <w:vAlign w:val="center"/>
          </w:tcPr>
          <w:p w14:paraId="755BF2DD" w14:textId="77777777" w:rsidR="00A55DE5" w:rsidRPr="00B07646" w:rsidRDefault="00A55DE5" w:rsidP="00B07646">
            <w:pPr>
              <w:pStyle w:val="a0"/>
              <w:shd w:val="clear" w:color="auto" w:fill="auto"/>
              <w:spacing w:after="120" w:line="240" w:lineRule="auto"/>
              <w:ind w:firstLine="0"/>
              <w:jc w:val="center"/>
              <w:rPr>
                <w:rFonts w:ascii="Sylfaen" w:hAnsi="Sylfaen" w:cs="Sylfaen"/>
                <w:i/>
              </w:rPr>
            </w:pPr>
            <w:r w:rsidRPr="00B07646">
              <w:rPr>
                <w:rFonts w:ascii="Sylfaen" w:hAnsi="Sylfaen"/>
                <w:i/>
              </w:rPr>
              <w:t>f</w:t>
            </w:r>
          </w:p>
        </w:tc>
        <w:tc>
          <w:tcPr>
            <w:tcW w:w="1637" w:type="dxa"/>
            <w:tcBorders>
              <w:top w:val="single" w:sz="4" w:space="0" w:color="auto"/>
            </w:tcBorders>
            <w:shd w:val="clear" w:color="auto" w:fill="FFFFFF"/>
            <w:vAlign w:val="center"/>
          </w:tcPr>
          <w:p w14:paraId="6380FA2D"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i/>
              </w:rPr>
              <w:t>P</w:t>
            </w:r>
            <w:r w:rsidRPr="00B07646">
              <w:rPr>
                <w:rFonts w:ascii="Sylfaen" w:hAnsi="Sylfaen"/>
                <w:i/>
                <w:vertAlign w:val="subscript"/>
              </w:rPr>
              <w:t>1</w:t>
            </w:r>
            <w:r w:rsidRPr="00B07646">
              <w:rPr>
                <w:rFonts w:ascii="Sylfaen" w:hAnsi="Sylfaen"/>
              </w:rPr>
              <w:t xml:space="preserve"> = 95 %</w:t>
            </w:r>
          </w:p>
        </w:tc>
        <w:tc>
          <w:tcPr>
            <w:tcW w:w="1790" w:type="dxa"/>
            <w:tcBorders>
              <w:top w:val="single" w:sz="4" w:space="0" w:color="auto"/>
            </w:tcBorders>
            <w:shd w:val="clear" w:color="auto" w:fill="FFFFFF"/>
            <w:vAlign w:val="center"/>
          </w:tcPr>
          <w:p w14:paraId="660A6DC8"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i/>
              </w:rPr>
              <w:t>P</w:t>
            </w:r>
            <w:r w:rsidRPr="00B07646">
              <w:rPr>
                <w:rFonts w:ascii="Sylfaen" w:hAnsi="Sylfaen"/>
                <w:i/>
                <w:vertAlign w:val="subscript"/>
              </w:rPr>
              <w:t>1</w:t>
            </w:r>
            <w:r w:rsidRPr="00B07646">
              <w:rPr>
                <w:rFonts w:ascii="Sylfaen" w:hAnsi="Sylfaen"/>
              </w:rPr>
              <w:t xml:space="preserve"> = 99 %</w:t>
            </w:r>
          </w:p>
        </w:tc>
      </w:tr>
      <w:tr w:rsidR="00A55DE5" w:rsidRPr="00B07646" w14:paraId="6AC80EF3" w14:textId="77777777" w:rsidTr="00F634DB">
        <w:trPr>
          <w:jc w:val="center"/>
        </w:trPr>
        <w:tc>
          <w:tcPr>
            <w:tcW w:w="2105" w:type="dxa"/>
            <w:tcBorders>
              <w:top w:val="single" w:sz="4" w:space="0" w:color="auto"/>
            </w:tcBorders>
            <w:shd w:val="clear" w:color="auto" w:fill="FFFFFF"/>
            <w:vAlign w:val="bottom"/>
          </w:tcPr>
          <w:p w14:paraId="7B6B374F"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w:t>
            </w:r>
          </w:p>
        </w:tc>
        <w:tc>
          <w:tcPr>
            <w:tcW w:w="1637" w:type="dxa"/>
            <w:tcBorders>
              <w:top w:val="single" w:sz="4" w:space="0" w:color="auto"/>
            </w:tcBorders>
            <w:shd w:val="clear" w:color="auto" w:fill="FFFFFF"/>
            <w:vAlign w:val="bottom"/>
          </w:tcPr>
          <w:p w14:paraId="5B35D845"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3,841</w:t>
            </w:r>
          </w:p>
        </w:tc>
        <w:tc>
          <w:tcPr>
            <w:tcW w:w="1790" w:type="dxa"/>
            <w:tcBorders>
              <w:top w:val="single" w:sz="4" w:space="0" w:color="auto"/>
            </w:tcBorders>
            <w:shd w:val="clear" w:color="auto" w:fill="FFFFFF"/>
            <w:vAlign w:val="bottom"/>
          </w:tcPr>
          <w:p w14:paraId="3BB6B199"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6,635</w:t>
            </w:r>
          </w:p>
        </w:tc>
      </w:tr>
      <w:tr w:rsidR="00A55DE5" w:rsidRPr="00B07646" w14:paraId="3BCD6ED3" w14:textId="77777777" w:rsidTr="00F634DB">
        <w:trPr>
          <w:jc w:val="center"/>
        </w:trPr>
        <w:tc>
          <w:tcPr>
            <w:tcW w:w="2105" w:type="dxa"/>
            <w:shd w:val="clear" w:color="auto" w:fill="FFFFFF"/>
            <w:vAlign w:val="bottom"/>
          </w:tcPr>
          <w:p w14:paraId="17F26E5A"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w:t>
            </w:r>
          </w:p>
        </w:tc>
        <w:tc>
          <w:tcPr>
            <w:tcW w:w="1637" w:type="dxa"/>
            <w:shd w:val="clear" w:color="auto" w:fill="FFFFFF"/>
            <w:vAlign w:val="bottom"/>
          </w:tcPr>
          <w:p w14:paraId="4A801FBA"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5,991</w:t>
            </w:r>
          </w:p>
        </w:tc>
        <w:tc>
          <w:tcPr>
            <w:tcW w:w="1790" w:type="dxa"/>
            <w:shd w:val="clear" w:color="auto" w:fill="FFFFFF"/>
            <w:vAlign w:val="bottom"/>
          </w:tcPr>
          <w:p w14:paraId="304E02C8"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9,210</w:t>
            </w:r>
          </w:p>
        </w:tc>
      </w:tr>
      <w:tr w:rsidR="00A55DE5" w:rsidRPr="00B07646" w14:paraId="1D3DF543" w14:textId="77777777" w:rsidTr="00F634DB">
        <w:trPr>
          <w:jc w:val="center"/>
        </w:trPr>
        <w:tc>
          <w:tcPr>
            <w:tcW w:w="2105" w:type="dxa"/>
            <w:shd w:val="clear" w:color="auto" w:fill="FFFFFF"/>
            <w:vAlign w:val="bottom"/>
          </w:tcPr>
          <w:p w14:paraId="53216905"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3</w:t>
            </w:r>
          </w:p>
        </w:tc>
        <w:tc>
          <w:tcPr>
            <w:tcW w:w="1637" w:type="dxa"/>
            <w:shd w:val="clear" w:color="auto" w:fill="FFFFFF"/>
            <w:vAlign w:val="bottom"/>
          </w:tcPr>
          <w:p w14:paraId="43C6D2E3"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7,815</w:t>
            </w:r>
          </w:p>
        </w:tc>
        <w:tc>
          <w:tcPr>
            <w:tcW w:w="1790" w:type="dxa"/>
            <w:shd w:val="clear" w:color="auto" w:fill="FFFFFF"/>
            <w:vAlign w:val="bottom"/>
          </w:tcPr>
          <w:p w14:paraId="3D9521C9"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11,345</w:t>
            </w:r>
          </w:p>
        </w:tc>
      </w:tr>
      <w:tr w:rsidR="00A55DE5" w:rsidRPr="00B07646" w14:paraId="0251B03B" w14:textId="77777777" w:rsidTr="00F634DB">
        <w:trPr>
          <w:jc w:val="center"/>
        </w:trPr>
        <w:tc>
          <w:tcPr>
            <w:tcW w:w="2105" w:type="dxa"/>
            <w:shd w:val="clear" w:color="auto" w:fill="FFFFFF"/>
            <w:vAlign w:val="bottom"/>
          </w:tcPr>
          <w:p w14:paraId="6CF6CBA0"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4</w:t>
            </w:r>
          </w:p>
        </w:tc>
        <w:tc>
          <w:tcPr>
            <w:tcW w:w="1637" w:type="dxa"/>
            <w:shd w:val="clear" w:color="auto" w:fill="FFFFFF"/>
            <w:vAlign w:val="bottom"/>
          </w:tcPr>
          <w:p w14:paraId="52EEB37B"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9,488</w:t>
            </w:r>
          </w:p>
        </w:tc>
        <w:tc>
          <w:tcPr>
            <w:tcW w:w="1790" w:type="dxa"/>
            <w:shd w:val="clear" w:color="auto" w:fill="FFFFFF"/>
            <w:vAlign w:val="bottom"/>
          </w:tcPr>
          <w:p w14:paraId="2A68675A"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13,277</w:t>
            </w:r>
          </w:p>
        </w:tc>
      </w:tr>
      <w:tr w:rsidR="00A55DE5" w:rsidRPr="00B07646" w14:paraId="3FE1909B" w14:textId="77777777" w:rsidTr="00F634DB">
        <w:trPr>
          <w:jc w:val="center"/>
        </w:trPr>
        <w:tc>
          <w:tcPr>
            <w:tcW w:w="2105" w:type="dxa"/>
            <w:shd w:val="clear" w:color="auto" w:fill="FFFFFF"/>
            <w:vAlign w:val="bottom"/>
          </w:tcPr>
          <w:p w14:paraId="12E27452"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5</w:t>
            </w:r>
          </w:p>
        </w:tc>
        <w:tc>
          <w:tcPr>
            <w:tcW w:w="1637" w:type="dxa"/>
            <w:shd w:val="clear" w:color="auto" w:fill="FFFFFF"/>
            <w:vAlign w:val="bottom"/>
          </w:tcPr>
          <w:p w14:paraId="149519B4"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11,070</w:t>
            </w:r>
          </w:p>
        </w:tc>
        <w:tc>
          <w:tcPr>
            <w:tcW w:w="1790" w:type="dxa"/>
            <w:shd w:val="clear" w:color="auto" w:fill="FFFFFF"/>
            <w:vAlign w:val="bottom"/>
          </w:tcPr>
          <w:p w14:paraId="3707C371"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15,086</w:t>
            </w:r>
          </w:p>
        </w:tc>
      </w:tr>
      <w:tr w:rsidR="00A55DE5" w:rsidRPr="00B07646" w14:paraId="1530F491" w14:textId="77777777" w:rsidTr="00F634DB">
        <w:trPr>
          <w:jc w:val="center"/>
        </w:trPr>
        <w:tc>
          <w:tcPr>
            <w:tcW w:w="2105" w:type="dxa"/>
            <w:shd w:val="clear" w:color="auto" w:fill="FFFFFF"/>
            <w:vAlign w:val="bottom"/>
          </w:tcPr>
          <w:p w14:paraId="4B7559E2"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6</w:t>
            </w:r>
          </w:p>
        </w:tc>
        <w:tc>
          <w:tcPr>
            <w:tcW w:w="1637" w:type="dxa"/>
            <w:shd w:val="clear" w:color="auto" w:fill="FFFFFF"/>
            <w:vAlign w:val="bottom"/>
          </w:tcPr>
          <w:p w14:paraId="70060931"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12,592</w:t>
            </w:r>
          </w:p>
        </w:tc>
        <w:tc>
          <w:tcPr>
            <w:tcW w:w="1790" w:type="dxa"/>
            <w:shd w:val="clear" w:color="auto" w:fill="FFFFFF"/>
            <w:vAlign w:val="bottom"/>
          </w:tcPr>
          <w:p w14:paraId="329B91B1"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16,812</w:t>
            </w:r>
          </w:p>
        </w:tc>
      </w:tr>
      <w:tr w:rsidR="00A55DE5" w:rsidRPr="00B07646" w14:paraId="4215940F" w14:textId="77777777" w:rsidTr="00F634DB">
        <w:trPr>
          <w:jc w:val="center"/>
        </w:trPr>
        <w:tc>
          <w:tcPr>
            <w:tcW w:w="2105" w:type="dxa"/>
            <w:shd w:val="clear" w:color="auto" w:fill="FFFFFF"/>
            <w:vAlign w:val="bottom"/>
          </w:tcPr>
          <w:p w14:paraId="12231A2C"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7</w:t>
            </w:r>
          </w:p>
        </w:tc>
        <w:tc>
          <w:tcPr>
            <w:tcW w:w="1637" w:type="dxa"/>
            <w:shd w:val="clear" w:color="auto" w:fill="FFFFFF"/>
            <w:vAlign w:val="bottom"/>
          </w:tcPr>
          <w:p w14:paraId="67AFC600"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14,067</w:t>
            </w:r>
          </w:p>
        </w:tc>
        <w:tc>
          <w:tcPr>
            <w:tcW w:w="1790" w:type="dxa"/>
            <w:shd w:val="clear" w:color="auto" w:fill="FFFFFF"/>
            <w:vAlign w:val="bottom"/>
          </w:tcPr>
          <w:p w14:paraId="5D4BDACB"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18,475</w:t>
            </w:r>
          </w:p>
        </w:tc>
      </w:tr>
      <w:tr w:rsidR="00A55DE5" w:rsidRPr="00B07646" w14:paraId="5B77FA60" w14:textId="77777777" w:rsidTr="00F634DB">
        <w:trPr>
          <w:jc w:val="center"/>
        </w:trPr>
        <w:tc>
          <w:tcPr>
            <w:tcW w:w="2105" w:type="dxa"/>
            <w:shd w:val="clear" w:color="auto" w:fill="FFFFFF"/>
            <w:vAlign w:val="bottom"/>
          </w:tcPr>
          <w:p w14:paraId="50DDD605"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8</w:t>
            </w:r>
          </w:p>
        </w:tc>
        <w:tc>
          <w:tcPr>
            <w:tcW w:w="1637" w:type="dxa"/>
            <w:shd w:val="clear" w:color="auto" w:fill="FFFFFF"/>
            <w:vAlign w:val="bottom"/>
          </w:tcPr>
          <w:p w14:paraId="69685E19"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15, 507</w:t>
            </w:r>
          </w:p>
        </w:tc>
        <w:tc>
          <w:tcPr>
            <w:tcW w:w="1790" w:type="dxa"/>
            <w:shd w:val="clear" w:color="auto" w:fill="FFFFFF"/>
            <w:vAlign w:val="bottom"/>
          </w:tcPr>
          <w:p w14:paraId="63EECE94"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20,090</w:t>
            </w:r>
          </w:p>
        </w:tc>
      </w:tr>
      <w:tr w:rsidR="00A55DE5" w:rsidRPr="00B07646" w14:paraId="017CA4F0" w14:textId="77777777" w:rsidTr="00F634DB">
        <w:trPr>
          <w:jc w:val="center"/>
        </w:trPr>
        <w:tc>
          <w:tcPr>
            <w:tcW w:w="2105" w:type="dxa"/>
            <w:shd w:val="clear" w:color="auto" w:fill="FFFFFF"/>
            <w:vAlign w:val="bottom"/>
          </w:tcPr>
          <w:p w14:paraId="24CD2352"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9</w:t>
            </w:r>
          </w:p>
        </w:tc>
        <w:tc>
          <w:tcPr>
            <w:tcW w:w="1637" w:type="dxa"/>
            <w:shd w:val="clear" w:color="auto" w:fill="FFFFFF"/>
            <w:vAlign w:val="bottom"/>
          </w:tcPr>
          <w:p w14:paraId="6CD0D096"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16,919</w:t>
            </w:r>
          </w:p>
        </w:tc>
        <w:tc>
          <w:tcPr>
            <w:tcW w:w="1790" w:type="dxa"/>
            <w:shd w:val="clear" w:color="auto" w:fill="FFFFFF"/>
            <w:vAlign w:val="bottom"/>
          </w:tcPr>
          <w:p w14:paraId="21DEF57E"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21,666</w:t>
            </w:r>
          </w:p>
        </w:tc>
      </w:tr>
      <w:tr w:rsidR="00A55DE5" w:rsidRPr="00B07646" w14:paraId="745CD961" w14:textId="77777777" w:rsidTr="00F634DB">
        <w:trPr>
          <w:jc w:val="center"/>
        </w:trPr>
        <w:tc>
          <w:tcPr>
            <w:tcW w:w="2105" w:type="dxa"/>
            <w:shd w:val="clear" w:color="auto" w:fill="FFFFFF"/>
            <w:vAlign w:val="bottom"/>
          </w:tcPr>
          <w:p w14:paraId="25D04D93"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10</w:t>
            </w:r>
          </w:p>
        </w:tc>
        <w:tc>
          <w:tcPr>
            <w:tcW w:w="1637" w:type="dxa"/>
            <w:shd w:val="clear" w:color="auto" w:fill="FFFFFF"/>
            <w:vAlign w:val="bottom"/>
          </w:tcPr>
          <w:p w14:paraId="433CD7B2"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18,307</w:t>
            </w:r>
          </w:p>
        </w:tc>
        <w:tc>
          <w:tcPr>
            <w:tcW w:w="1790" w:type="dxa"/>
            <w:shd w:val="clear" w:color="auto" w:fill="FFFFFF"/>
            <w:vAlign w:val="bottom"/>
          </w:tcPr>
          <w:p w14:paraId="102B9E19"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23,209</w:t>
            </w:r>
          </w:p>
        </w:tc>
      </w:tr>
      <w:tr w:rsidR="00A55DE5" w:rsidRPr="00B07646" w14:paraId="73D24F64" w14:textId="77777777" w:rsidTr="00F634DB">
        <w:trPr>
          <w:jc w:val="center"/>
        </w:trPr>
        <w:tc>
          <w:tcPr>
            <w:tcW w:w="2105" w:type="dxa"/>
            <w:shd w:val="clear" w:color="auto" w:fill="FFFFFF"/>
            <w:vAlign w:val="bottom"/>
          </w:tcPr>
          <w:p w14:paraId="290C5633"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11</w:t>
            </w:r>
          </w:p>
        </w:tc>
        <w:tc>
          <w:tcPr>
            <w:tcW w:w="1637" w:type="dxa"/>
            <w:shd w:val="clear" w:color="auto" w:fill="FFFFFF"/>
            <w:vAlign w:val="bottom"/>
          </w:tcPr>
          <w:p w14:paraId="5953B506"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19,675</w:t>
            </w:r>
          </w:p>
        </w:tc>
        <w:tc>
          <w:tcPr>
            <w:tcW w:w="1790" w:type="dxa"/>
            <w:shd w:val="clear" w:color="auto" w:fill="FFFFFF"/>
            <w:vAlign w:val="bottom"/>
          </w:tcPr>
          <w:p w14:paraId="7B54807E"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24,725</w:t>
            </w:r>
          </w:p>
        </w:tc>
      </w:tr>
      <w:tr w:rsidR="00A55DE5" w:rsidRPr="00B07646" w14:paraId="0683F863" w14:textId="77777777" w:rsidTr="00F634DB">
        <w:trPr>
          <w:jc w:val="center"/>
        </w:trPr>
        <w:tc>
          <w:tcPr>
            <w:tcW w:w="2105" w:type="dxa"/>
            <w:shd w:val="clear" w:color="auto" w:fill="FFFFFF"/>
            <w:vAlign w:val="bottom"/>
          </w:tcPr>
          <w:p w14:paraId="663CA5A3"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12</w:t>
            </w:r>
          </w:p>
        </w:tc>
        <w:tc>
          <w:tcPr>
            <w:tcW w:w="1637" w:type="dxa"/>
            <w:shd w:val="clear" w:color="auto" w:fill="FFFFFF"/>
            <w:vAlign w:val="bottom"/>
          </w:tcPr>
          <w:p w14:paraId="3FAB5739"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21,026</w:t>
            </w:r>
          </w:p>
        </w:tc>
        <w:tc>
          <w:tcPr>
            <w:tcW w:w="1790" w:type="dxa"/>
            <w:shd w:val="clear" w:color="auto" w:fill="FFFFFF"/>
            <w:vAlign w:val="bottom"/>
          </w:tcPr>
          <w:p w14:paraId="2B3E0CF6"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26,217</w:t>
            </w:r>
          </w:p>
        </w:tc>
      </w:tr>
      <w:tr w:rsidR="00A55DE5" w:rsidRPr="00B07646" w14:paraId="4A1521DE" w14:textId="77777777" w:rsidTr="00F634DB">
        <w:trPr>
          <w:jc w:val="center"/>
        </w:trPr>
        <w:tc>
          <w:tcPr>
            <w:tcW w:w="2105" w:type="dxa"/>
            <w:shd w:val="clear" w:color="auto" w:fill="FFFFFF"/>
            <w:vAlign w:val="bottom"/>
          </w:tcPr>
          <w:p w14:paraId="0FDC983A"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13</w:t>
            </w:r>
          </w:p>
        </w:tc>
        <w:tc>
          <w:tcPr>
            <w:tcW w:w="1637" w:type="dxa"/>
            <w:shd w:val="clear" w:color="auto" w:fill="FFFFFF"/>
            <w:vAlign w:val="bottom"/>
          </w:tcPr>
          <w:p w14:paraId="1CC8ADA2"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22,362</w:t>
            </w:r>
          </w:p>
        </w:tc>
        <w:tc>
          <w:tcPr>
            <w:tcW w:w="1790" w:type="dxa"/>
            <w:shd w:val="clear" w:color="auto" w:fill="FFFFFF"/>
            <w:vAlign w:val="bottom"/>
          </w:tcPr>
          <w:p w14:paraId="59B9DB0B"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27,688</w:t>
            </w:r>
          </w:p>
        </w:tc>
      </w:tr>
      <w:tr w:rsidR="00A55DE5" w:rsidRPr="00B07646" w14:paraId="7DD33521" w14:textId="77777777" w:rsidTr="00F634DB">
        <w:trPr>
          <w:jc w:val="center"/>
        </w:trPr>
        <w:tc>
          <w:tcPr>
            <w:tcW w:w="2105" w:type="dxa"/>
            <w:shd w:val="clear" w:color="auto" w:fill="FFFFFF"/>
            <w:vAlign w:val="bottom"/>
          </w:tcPr>
          <w:p w14:paraId="27C11891"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14</w:t>
            </w:r>
          </w:p>
        </w:tc>
        <w:tc>
          <w:tcPr>
            <w:tcW w:w="1637" w:type="dxa"/>
            <w:shd w:val="clear" w:color="auto" w:fill="FFFFFF"/>
            <w:vAlign w:val="bottom"/>
          </w:tcPr>
          <w:p w14:paraId="35D84120"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23,685</w:t>
            </w:r>
          </w:p>
        </w:tc>
        <w:tc>
          <w:tcPr>
            <w:tcW w:w="1790" w:type="dxa"/>
            <w:shd w:val="clear" w:color="auto" w:fill="FFFFFF"/>
            <w:vAlign w:val="bottom"/>
          </w:tcPr>
          <w:p w14:paraId="44474948"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29,141</w:t>
            </w:r>
          </w:p>
        </w:tc>
      </w:tr>
      <w:tr w:rsidR="00A55DE5" w:rsidRPr="00B07646" w14:paraId="085FA9AA" w14:textId="77777777" w:rsidTr="00F634DB">
        <w:trPr>
          <w:jc w:val="center"/>
        </w:trPr>
        <w:tc>
          <w:tcPr>
            <w:tcW w:w="2105" w:type="dxa"/>
            <w:shd w:val="clear" w:color="auto" w:fill="FFFFFF"/>
            <w:vAlign w:val="bottom"/>
          </w:tcPr>
          <w:p w14:paraId="2AAA3B5C"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15</w:t>
            </w:r>
          </w:p>
        </w:tc>
        <w:tc>
          <w:tcPr>
            <w:tcW w:w="1637" w:type="dxa"/>
            <w:shd w:val="clear" w:color="auto" w:fill="FFFFFF"/>
            <w:vAlign w:val="bottom"/>
          </w:tcPr>
          <w:p w14:paraId="5FB40260"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24,996</w:t>
            </w:r>
          </w:p>
        </w:tc>
        <w:tc>
          <w:tcPr>
            <w:tcW w:w="1790" w:type="dxa"/>
            <w:shd w:val="clear" w:color="auto" w:fill="FFFFFF"/>
            <w:vAlign w:val="bottom"/>
          </w:tcPr>
          <w:p w14:paraId="17CC016E"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30,578</w:t>
            </w:r>
          </w:p>
        </w:tc>
      </w:tr>
      <w:tr w:rsidR="00A55DE5" w:rsidRPr="00B07646" w14:paraId="46DF200B" w14:textId="77777777" w:rsidTr="00F634DB">
        <w:trPr>
          <w:jc w:val="center"/>
        </w:trPr>
        <w:tc>
          <w:tcPr>
            <w:tcW w:w="2105" w:type="dxa"/>
            <w:shd w:val="clear" w:color="auto" w:fill="FFFFFF"/>
            <w:vAlign w:val="bottom"/>
          </w:tcPr>
          <w:p w14:paraId="58FC83EC"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16</w:t>
            </w:r>
          </w:p>
        </w:tc>
        <w:tc>
          <w:tcPr>
            <w:tcW w:w="1637" w:type="dxa"/>
            <w:shd w:val="clear" w:color="auto" w:fill="FFFFFF"/>
          </w:tcPr>
          <w:p w14:paraId="6A5DD22B"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26,296</w:t>
            </w:r>
          </w:p>
        </w:tc>
        <w:tc>
          <w:tcPr>
            <w:tcW w:w="1790" w:type="dxa"/>
            <w:shd w:val="clear" w:color="auto" w:fill="FFFFFF"/>
          </w:tcPr>
          <w:p w14:paraId="2C54A8DE" w14:textId="77777777" w:rsidR="00A55DE5" w:rsidRPr="00B07646" w:rsidRDefault="00A55DE5" w:rsidP="00B07646">
            <w:pPr>
              <w:pStyle w:val="a0"/>
              <w:shd w:val="clear" w:color="auto" w:fill="auto"/>
              <w:spacing w:after="120" w:line="240" w:lineRule="auto"/>
              <w:ind w:firstLine="0"/>
              <w:jc w:val="center"/>
              <w:rPr>
                <w:rFonts w:ascii="Sylfaen" w:hAnsi="Sylfaen" w:cs="Sylfaen"/>
              </w:rPr>
            </w:pPr>
            <w:r w:rsidRPr="00B07646">
              <w:rPr>
                <w:rFonts w:ascii="Sylfaen" w:hAnsi="Sylfaen"/>
              </w:rPr>
              <w:t>32,000</w:t>
            </w:r>
          </w:p>
        </w:tc>
      </w:tr>
      <w:tr w:rsidR="00A55DE5" w:rsidRPr="00B07646" w14:paraId="51198BE3" w14:textId="77777777" w:rsidTr="00F634DB">
        <w:trPr>
          <w:jc w:val="center"/>
        </w:trPr>
        <w:tc>
          <w:tcPr>
            <w:tcW w:w="2105" w:type="dxa"/>
            <w:shd w:val="clear" w:color="auto" w:fill="FFFFFF"/>
            <w:vAlign w:val="bottom"/>
          </w:tcPr>
          <w:p w14:paraId="78DD2633"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17</w:t>
            </w:r>
          </w:p>
        </w:tc>
        <w:tc>
          <w:tcPr>
            <w:tcW w:w="1637" w:type="dxa"/>
            <w:shd w:val="clear" w:color="auto" w:fill="FFFFFF"/>
            <w:vAlign w:val="bottom"/>
          </w:tcPr>
          <w:p w14:paraId="570F7B6C"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27,587</w:t>
            </w:r>
          </w:p>
        </w:tc>
        <w:tc>
          <w:tcPr>
            <w:tcW w:w="1790" w:type="dxa"/>
            <w:shd w:val="clear" w:color="auto" w:fill="FFFFFF"/>
            <w:vAlign w:val="bottom"/>
          </w:tcPr>
          <w:p w14:paraId="07FEB2AF"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33,409</w:t>
            </w:r>
          </w:p>
        </w:tc>
      </w:tr>
      <w:tr w:rsidR="00A55DE5" w:rsidRPr="00B07646" w14:paraId="66818154" w14:textId="77777777" w:rsidTr="00F634DB">
        <w:trPr>
          <w:jc w:val="center"/>
        </w:trPr>
        <w:tc>
          <w:tcPr>
            <w:tcW w:w="2105" w:type="dxa"/>
            <w:shd w:val="clear" w:color="auto" w:fill="FFFFFF"/>
            <w:vAlign w:val="bottom"/>
          </w:tcPr>
          <w:p w14:paraId="5C1852AA"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18</w:t>
            </w:r>
          </w:p>
        </w:tc>
        <w:tc>
          <w:tcPr>
            <w:tcW w:w="1637" w:type="dxa"/>
            <w:shd w:val="clear" w:color="auto" w:fill="FFFFFF"/>
            <w:vAlign w:val="bottom"/>
          </w:tcPr>
          <w:p w14:paraId="2C281D60"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28,869</w:t>
            </w:r>
          </w:p>
        </w:tc>
        <w:tc>
          <w:tcPr>
            <w:tcW w:w="1790" w:type="dxa"/>
            <w:shd w:val="clear" w:color="auto" w:fill="FFFFFF"/>
            <w:vAlign w:val="bottom"/>
          </w:tcPr>
          <w:p w14:paraId="19FBA8A5"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34,805</w:t>
            </w:r>
          </w:p>
        </w:tc>
      </w:tr>
      <w:tr w:rsidR="00A55DE5" w:rsidRPr="00B07646" w14:paraId="6F08FBB9" w14:textId="77777777" w:rsidTr="00F634DB">
        <w:trPr>
          <w:jc w:val="center"/>
        </w:trPr>
        <w:tc>
          <w:tcPr>
            <w:tcW w:w="2105" w:type="dxa"/>
            <w:shd w:val="clear" w:color="auto" w:fill="FFFFFF"/>
            <w:vAlign w:val="bottom"/>
          </w:tcPr>
          <w:p w14:paraId="114B66FC"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19</w:t>
            </w:r>
          </w:p>
        </w:tc>
        <w:tc>
          <w:tcPr>
            <w:tcW w:w="1637" w:type="dxa"/>
            <w:shd w:val="clear" w:color="auto" w:fill="FFFFFF"/>
            <w:vAlign w:val="bottom"/>
          </w:tcPr>
          <w:p w14:paraId="14BA8181"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30,144</w:t>
            </w:r>
          </w:p>
        </w:tc>
        <w:tc>
          <w:tcPr>
            <w:tcW w:w="1790" w:type="dxa"/>
            <w:shd w:val="clear" w:color="auto" w:fill="FFFFFF"/>
            <w:vAlign w:val="bottom"/>
          </w:tcPr>
          <w:p w14:paraId="5206EEEE"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36,191</w:t>
            </w:r>
          </w:p>
        </w:tc>
      </w:tr>
      <w:tr w:rsidR="00A55DE5" w:rsidRPr="00B07646" w14:paraId="77B40876" w14:textId="77777777" w:rsidTr="00F634DB">
        <w:trPr>
          <w:jc w:val="center"/>
        </w:trPr>
        <w:tc>
          <w:tcPr>
            <w:tcW w:w="2105" w:type="dxa"/>
            <w:shd w:val="clear" w:color="auto" w:fill="FFFFFF"/>
            <w:vAlign w:val="bottom"/>
          </w:tcPr>
          <w:p w14:paraId="46ADCB30"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lastRenderedPageBreak/>
              <w:t>20</w:t>
            </w:r>
          </w:p>
        </w:tc>
        <w:tc>
          <w:tcPr>
            <w:tcW w:w="1637" w:type="dxa"/>
            <w:shd w:val="clear" w:color="auto" w:fill="FFFFFF"/>
            <w:vAlign w:val="bottom"/>
          </w:tcPr>
          <w:p w14:paraId="1458C855"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31,410</w:t>
            </w:r>
          </w:p>
        </w:tc>
        <w:tc>
          <w:tcPr>
            <w:tcW w:w="1790" w:type="dxa"/>
            <w:shd w:val="clear" w:color="auto" w:fill="FFFFFF"/>
            <w:vAlign w:val="bottom"/>
          </w:tcPr>
          <w:p w14:paraId="2D0A1AD4"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37,566</w:t>
            </w:r>
          </w:p>
        </w:tc>
      </w:tr>
      <w:tr w:rsidR="00A55DE5" w:rsidRPr="00B07646" w14:paraId="542CC8F2" w14:textId="77777777" w:rsidTr="00F634DB">
        <w:trPr>
          <w:jc w:val="center"/>
        </w:trPr>
        <w:tc>
          <w:tcPr>
            <w:tcW w:w="2105" w:type="dxa"/>
            <w:shd w:val="clear" w:color="auto" w:fill="FFFFFF"/>
            <w:vAlign w:val="bottom"/>
          </w:tcPr>
          <w:p w14:paraId="50B581B7"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21</w:t>
            </w:r>
          </w:p>
        </w:tc>
        <w:tc>
          <w:tcPr>
            <w:tcW w:w="1637" w:type="dxa"/>
            <w:shd w:val="clear" w:color="auto" w:fill="FFFFFF"/>
            <w:vAlign w:val="bottom"/>
          </w:tcPr>
          <w:p w14:paraId="5E3E2438"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32,671</w:t>
            </w:r>
          </w:p>
        </w:tc>
        <w:tc>
          <w:tcPr>
            <w:tcW w:w="1790" w:type="dxa"/>
            <w:shd w:val="clear" w:color="auto" w:fill="FFFFFF"/>
            <w:vAlign w:val="bottom"/>
          </w:tcPr>
          <w:p w14:paraId="110050EA"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38,932</w:t>
            </w:r>
          </w:p>
        </w:tc>
      </w:tr>
      <w:tr w:rsidR="00A55DE5" w:rsidRPr="00B07646" w14:paraId="532A1D1B" w14:textId="77777777" w:rsidTr="00F634DB">
        <w:trPr>
          <w:jc w:val="center"/>
        </w:trPr>
        <w:tc>
          <w:tcPr>
            <w:tcW w:w="2105" w:type="dxa"/>
            <w:shd w:val="clear" w:color="auto" w:fill="FFFFFF"/>
            <w:vAlign w:val="bottom"/>
          </w:tcPr>
          <w:p w14:paraId="5525BEA2"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22</w:t>
            </w:r>
          </w:p>
        </w:tc>
        <w:tc>
          <w:tcPr>
            <w:tcW w:w="1637" w:type="dxa"/>
            <w:shd w:val="clear" w:color="auto" w:fill="FFFFFF"/>
            <w:vAlign w:val="bottom"/>
          </w:tcPr>
          <w:p w14:paraId="240F3B13"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33,924</w:t>
            </w:r>
          </w:p>
        </w:tc>
        <w:tc>
          <w:tcPr>
            <w:tcW w:w="1790" w:type="dxa"/>
            <w:shd w:val="clear" w:color="auto" w:fill="FFFFFF"/>
            <w:vAlign w:val="bottom"/>
          </w:tcPr>
          <w:p w14:paraId="775A02CB"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40,289</w:t>
            </w:r>
          </w:p>
        </w:tc>
      </w:tr>
      <w:tr w:rsidR="00A55DE5" w:rsidRPr="00B07646" w14:paraId="700B19D1" w14:textId="77777777" w:rsidTr="00F634DB">
        <w:trPr>
          <w:jc w:val="center"/>
        </w:trPr>
        <w:tc>
          <w:tcPr>
            <w:tcW w:w="2105" w:type="dxa"/>
            <w:shd w:val="clear" w:color="auto" w:fill="FFFFFF"/>
            <w:vAlign w:val="bottom"/>
          </w:tcPr>
          <w:p w14:paraId="11AB7C4A"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23</w:t>
            </w:r>
          </w:p>
        </w:tc>
        <w:tc>
          <w:tcPr>
            <w:tcW w:w="1637" w:type="dxa"/>
            <w:shd w:val="clear" w:color="auto" w:fill="FFFFFF"/>
            <w:vAlign w:val="bottom"/>
          </w:tcPr>
          <w:p w14:paraId="7ACBD070"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35,172</w:t>
            </w:r>
          </w:p>
        </w:tc>
        <w:tc>
          <w:tcPr>
            <w:tcW w:w="1790" w:type="dxa"/>
            <w:shd w:val="clear" w:color="auto" w:fill="FFFFFF"/>
            <w:vAlign w:val="bottom"/>
          </w:tcPr>
          <w:p w14:paraId="7808434F"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41,638</w:t>
            </w:r>
          </w:p>
        </w:tc>
      </w:tr>
      <w:tr w:rsidR="00A55DE5" w:rsidRPr="00B07646" w14:paraId="7280DC5C" w14:textId="77777777" w:rsidTr="00F634DB">
        <w:trPr>
          <w:jc w:val="center"/>
        </w:trPr>
        <w:tc>
          <w:tcPr>
            <w:tcW w:w="2105" w:type="dxa"/>
            <w:shd w:val="clear" w:color="auto" w:fill="FFFFFF"/>
            <w:vAlign w:val="bottom"/>
          </w:tcPr>
          <w:p w14:paraId="74EA6B52"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24</w:t>
            </w:r>
          </w:p>
        </w:tc>
        <w:tc>
          <w:tcPr>
            <w:tcW w:w="1637" w:type="dxa"/>
            <w:shd w:val="clear" w:color="auto" w:fill="FFFFFF"/>
            <w:vAlign w:val="bottom"/>
          </w:tcPr>
          <w:p w14:paraId="6024277E"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36,415</w:t>
            </w:r>
          </w:p>
        </w:tc>
        <w:tc>
          <w:tcPr>
            <w:tcW w:w="1790" w:type="dxa"/>
            <w:shd w:val="clear" w:color="auto" w:fill="FFFFFF"/>
            <w:vAlign w:val="bottom"/>
          </w:tcPr>
          <w:p w14:paraId="660BEC9B"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42,980</w:t>
            </w:r>
          </w:p>
        </w:tc>
      </w:tr>
      <w:tr w:rsidR="00A55DE5" w:rsidRPr="00B07646" w14:paraId="3DAD12C2" w14:textId="77777777" w:rsidTr="00F634DB">
        <w:trPr>
          <w:jc w:val="center"/>
        </w:trPr>
        <w:tc>
          <w:tcPr>
            <w:tcW w:w="2105" w:type="dxa"/>
            <w:shd w:val="clear" w:color="auto" w:fill="FFFFFF"/>
            <w:vAlign w:val="bottom"/>
          </w:tcPr>
          <w:p w14:paraId="54929E65"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25</w:t>
            </w:r>
          </w:p>
        </w:tc>
        <w:tc>
          <w:tcPr>
            <w:tcW w:w="1637" w:type="dxa"/>
            <w:shd w:val="clear" w:color="auto" w:fill="FFFFFF"/>
            <w:vAlign w:val="bottom"/>
          </w:tcPr>
          <w:p w14:paraId="17D374F7"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37,652</w:t>
            </w:r>
          </w:p>
        </w:tc>
        <w:tc>
          <w:tcPr>
            <w:tcW w:w="1790" w:type="dxa"/>
            <w:shd w:val="clear" w:color="auto" w:fill="FFFFFF"/>
            <w:vAlign w:val="bottom"/>
          </w:tcPr>
          <w:p w14:paraId="263AED44"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44,314</w:t>
            </w:r>
          </w:p>
        </w:tc>
      </w:tr>
      <w:tr w:rsidR="00A55DE5" w:rsidRPr="00B07646" w14:paraId="161ECD87" w14:textId="77777777" w:rsidTr="00F634DB">
        <w:trPr>
          <w:jc w:val="center"/>
        </w:trPr>
        <w:tc>
          <w:tcPr>
            <w:tcW w:w="2105" w:type="dxa"/>
            <w:shd w:val="clear" w:color="auto" w:fill="FFFFFF"/>
            <w:vAlign w:val="bottom"/>
          </w:tcPr>
          <w:p w14:paraId="33B57A23"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26</w:t>
            </w:r>
          </w:p>
        </w:tc>
        <w:tc>
          <w:tcPr>
            <w:tcW w:w="1637" w:type="dxa"/>
            <w:shd w:val="clear" w:color="auto" w:fill="FFFFFF"/>
            <w:vAlign w:val="bottom"/>
          </w:tcPr>
          <w:p w14:paraId="541B6C80"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38,885</w:t>
            </w:r>
          </w:p>
        </w:tc>
        <w:tc>
          <w:tcPr>
            <w:tcW w:w="1790" w:type="dxa"/>
            <w:shd w:val="clear" w:color="auto" w:fill="FFFFFF"/>
            <w:vAlign w:val="bottom"/>
          </w:tcPr>
          <w:p w14:paraId="3B1E57E5"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45,642</w:t>
            </w:r>
          </w:p>
        </w:tc>
      </w:tr>
      <w:tr w:rsidR="00A55DE5" w:rsidRPr="00B07646" w14:paraId="2CF55421" w14:textId="77777777" w:rsidTr="00F634DB">
        <w:trPr>
          <w:jc w:val="center"/>
        </w:trPr>
        <w:tc>
          <w:tcPr>
            <w:tcW w:w="2105" w:type="dxa"/>
            <w:shd w:val="clear" w:color="auto" w:fill="FFFFFF"/>
            <w:vAlign w:val="bottom"/>
          </w:tcPr>
          <w:p w14:paraId="36BF65A5"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27</w:t>
            </w:r>
          </w:p>
        </w:tc>
        <w:tc>
          <w:tcPr>
            <w:tcW w:w="1637" w:type="dxa"/>
            <w:shd w:val="clear" w:color="auto" w:fill="FFFFFF"/>
            <w:vAlign w:val="bottom"/>
          </w:tcPr>
          <w:p w14:paraId="67AB4E38"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40,113</w:t>
            </w:r>
          </w:p>
        </w:tc>
        <w:tc>
          <w:tcPr>
            <w:tcW w:w="1790" w:type="dxa"/>
            <w:shd w:val="clear" w:color="auto" w:fill="FFFFFF"/>
            <w:vAlign w:val="bottom"/>
          </w:tcPr>
          <w:p w14:paraId="31E4AE09"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46,963</w:t>
            </w:r>
          </w:p>
        </w:tc>
      </w:tr>
      <w:tr w:rsidR="00A55DE5" w:rsidRPr="00B07646" w14:paraId="238DD33E" w14:textId="77777777" w:rsidTr="00F634DB">
        <w:trPr>
          <w:jc w:val="center"/>
        </w:trPr>
        <w:tc>
          <w:tcPr>
            <w:tcW w:w="2105" w:type="dxa"/>
            <w:shd w:val="clear" w:color="auto" w:fill="FFFFFF"/>
            <w:vAlign w:val="bottom"/>
          </w:tcPr>
          <w:p w14:paraId="5AA94D0E"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28</w:t>
            </w:r>
          </w:p>
        </w:tc>
        <w:tc>
          <w:tcPr>
            <w:tcW w:w="1637" w:type="dxa"/>
            <w:shd w:val="clear" w:color="auto" w:fill="FFFFFF"/>
            <w:vAlign w:val="bottom"/>
          </w:tcPr>
          <w:p w14:paraId="2BFDEE79"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41,337</w:t>
            </w:r>
          </w:p>
        </w:tc>
        <w:tc>
          <w:tcPr>
            <w:tcW w:w="1790" w:type="dxa"/>
            <w:shd w:val="clear" w:color="auto" w:fill="FFFFFF"/>
            <w:vAlign w:val="bottom"/>
          </w:tcPr>
          <w:p w14:paraId="47B2705F"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48,278</w:t>
            </w:r>
          </w:p>
        </w:tc>
      </w:tr>
      <w:tr w:rsidR="00A55DE5" w:rsidRPr="00B07646" w14:paraId="0E3227A5" w14:textId="77777777" w:rsidTr="00F634DB">
        <w:trPr>
          <w:jc w:val="center"/>
        </w:trPr>
        <w:tc>
          <w:tcPr>
            <w:tcW w:w="2105" w:type="dxa"/>
            <w:shd w:val="clear" w:color="auto" w:fill="FFFFFF"/>
            <w:vAlign w:val="bottom"/>
          </w:tcPr>
          <w:p w14:paraId="12EDA620"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29</w:t>
            </w:r>
          </w:p>
        </w:tc>
        <w:tc>
          <w:tcPr>
            <w:tcW w:w="1637" w:type="dxa"/>
            <w:shd w:val="clear" w:color="auto" w:fill="FFFFFF"/>
            <w:vAlign w:val="bottom"/>
          </w:tcPr>
          <w:p w14:paraId="420AE0BB"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42,557</w:t>
            </w:r>
          </w:p>
        </w:tc>
        <w:tc>
          <w:tcPr>
            <w:tcW w:w="1790" w:type="dxa"/>
            <w:shd w:val="clear" w:color="auto" w:fill="FFFFFF"/>
            <w:vAlign w:val="bottom"/>
          </w:tcPr>
          <w:p w14:paraId="365C4E3C" w14:textId="77777777" w:rsidR="00A55DE5" w:rsidRPr="00B07646" w:rsidRDefault="00A55DE5" w:rsidP="004C2E7D">
            <w:pPr>
              <w:pStyle w:val="a0"/>
              <w:shd w:val="clear" w:color="auto" w:fill="auto"/>
              <w:spacing w:after="120" w:line="240" w:lineRule="auto"/>
              <w:ind w:firstLine="0"/>
              <w:jc w:val="center"/>
              <w:rPr>
                <w:rFonts w:ascii="Sylfaen" w:hAnsi="Sylfaen" w:cs="Sylfaen"/>
              </w:rPr>
            </w:pPr>
            <w:r w:rsidRPr="00B07646">
              <w:rPr>
                <w:rFonts w:ascii="Sylfaen" w:hAnsi="Sylfaen"/>
              </w:rPr>
              <w:t>49,588</w:t>
            </w:r>
          </w:p>
        </w:tc>
      </w:tr>
      <w:tr w:rsidR="00A55DE5" w:rsidRPr="00B07646" w14:paraId="2344D841" w14:textId="77777777" w:rsidTr="00F634DB">
        <w:trPr>
          <w:jc w:val="center"/>
        </w:trPr>
        <w:tc>
          <w:tcPr>
            <w:tcW w:w="2105" w:type="dxa"/>
            <w:shd w:val="clear" w:color="auto" w:fill="FFFFFF"/>
            <w:vAlign w:val="bottom"/>
          </w:tcPr>
          <w:p w14:paraId="3527A23C"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30</w:t>
            </w:r>
          </w:p>
        </w:tc>
        <w:tc>
          <w:tcPr>
            <w:tcW w:w="1637" w:type="dxa"/>
            <w:shd w:val="clear" w:color="auto" w:fill="FFFFFF"/>
            <w:vAlign w:val="bottom"/>
          </w:tcPr>
          <w:p w14:paraId="4C87A19A"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43,773</w:t>
            </w:r>
          </w:p>
        </w:tc>
        <w:tc>
          <w:tcPr>
            <w:tcW w:w="1790" w:type="dxa"/>
            <w:shd w:val="clear" w:color="auto" w:fill="FFFFFF"/>
            <w:vAlign w:val="bottom"/>
          </w:tcPr>
          <w:p w14:paraId="0A4F6791"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50,892</w:t>
            </w:r>
          </w:p>
        </w:tc>
      </w:tr>
      <w:tr w:rsidR="00A55DE5" w:rsidRPr="00B07646" w14:paraId="2FBE301C" w14:textId="77777777" w:rsidTr="00F634DB">
        <w:trPr>
          <w:jc w:val="center"/>
        </w:trPr>
        <w:tc>
          <w:tcPr>
            <w:tcW w:w="2105" w:type="dxa"/>
            <w:shd w:val="clear" w:color="auto" w:fill="FFFFFF"/>
            <w:vAlign w:val="bottom"/>
          </w:tcPr>
          <w:p w14:paraId="23290065"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40</w:t>
            </w:r>
          </w:p>
        </w:tc>
        <w:tc>
          <w:tcPr>
            <w:tcW w:w="1637" w:type="dxa"/>
            <w:shd w:val="clear" w:color="auto" w:fill="FFFFFF"/>
            <w:vAlign w:val="bottom"/>
          </w:tcPr>
          <w:p w14:paraId="7700E0CE"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55,758</w:t>
            </w:r>
          </w:p>
        </w:tc>
        <w:tc>
          <w:tcPr>
            <w:tcW w:w="1790" w:type="dxa"/>
            <w:shd w:val="clear" w:color="auto" w:fill="FFFFFF"/>
            <w:vAlign w:val="bottom"/>
          </w:tcPr>
          <w:p w14:paraId="77BD2EED"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63,691</w:t>
            </w:r>
          </w:p>
        </w:tc>
      </w:tr>
      <w:tr w:rsidR="00A55DE5" w:rsidRPr="00B07646" w14:paraId="4A10C895" w14:textId="77777777" w:rsidTr="00F634DB">
        <w:trPr>
          <w:jc w:val="center"/>
        </w:trPr>
        <w:tc>
          <w:tcPr>
            <w:tcW w:w="2105" w:type="dxa"/>
            <w:tcBorders>
              <w:bottom w:val="single" w:sz="4" w:space="0" w:color="auto"/>
            </w:tcBorders>
            <w:shd w:val="clear" w:color="auto" w:fill="FFFFFF"/>
          </w:tcPr>
          <w:p w14:paraId="2E487F4F"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50</w:t>
            </w:r>
          </w:p>
        </w:tc>
        <w:tc>
          <w:tcPr>
            <w:tcW w:w="1637" w:type="dxa"/>
            <w:tcBorders>
              <w:bottom w:val="single" w:sz="4" w:space="0" w:color="auto"/>
            </w:tcBorders>
            <w:shd w:val="clear" w:color="auto" w:fill="FFFFFF"/>
          </w:tcPr>
          <w:p w14:paraId="2E48CB13"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67,505</w:t>
            </w:r>
          </w:p>
        </w:tc>
        <w:tc>
          <w:tcPr>
            <w:tcW w:w="1790" w:type="dxa"/>
            <w:tcBorders>
              <w:bottom w:val="single" w:sz="4" w:space="0" w:color="auto"/>
            </w:tcBorders>
            <w:shd w:val="clear" w:color="auto" w:fill="FFFFFF"/>
          </w:tcPr>
          <w:p w14:paraId="39A3556B" w14:textId="77777777" w:rsidR="00A55DE5" w:rsidRPr="00A55DE5" w:rsidRDefault="00A55DE5" w:rsidP="004C2E7D">
            <w:pPr>
              <w:pStyle w:val="a0"/>
              <w:shd w:val="clear" w:color="auto" w:fill="auto"/>
              <w:spacing w:after="120" w:line="240" w:lineRule="auto"/>
              <w:ind w:firstLine="0"/>
              <w:jc w:val="center"/>
              <w:rPr>
                <w:rFonts w:ascii="Sylfaen" w:hAnsi="Sylfaen"/>
                <w:szCs w:val="24"/>
              </w:rPr>
            </w:pPr>
            <w:r w:rsidRPr="00A55DE5">
              <w:rPr>
                <w:rFonts w:ascii="Sylfaen" w:hAnsi="Sylfaen"/>
                <w:szCs w:val="24"/>
              </w:rPr>
              <w:t>76,154</w:t>
            </w:r>
          </w:p>
        </w:tc>
      </w:tr>
    </w:tbl>
    <w:p w14:paraId="00EBC663" w14:textId="77777777" w:rsidR="00B834A2" w:rsidRPr="00B834A2" w:rsidRDefault="00B834A2" w:rsidP="00B834A2">
      <w:pPr>
        <w:spacing w:after="160" w:line="360" w:lineRule="auto"/>
        <w:ind w:firstLine="567"/>
        <w:jc w:val="both"/>
      </w:pPr>
    </w:p>
    <w:p w14:paraId="702677AA" w14:textId="77777777" w:rsidR="00B834A2" w:rsidRPr="00B834A2" w:rsidRDefault="00B834A2" w:rsidP="00B834A2">
      <w:pPr>
        <w:pStyle w:val="a2"/>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Р</w:t>
      </w:r>
      <w:r w:rsidRPr="00B834A2">
        <w:rPr>
          <w:rFonts w:ascii="Sylfaen" w:hAnsi="Sylfaen"/>
          <w:i/>
          <w:sz w:val="24"/>
          <w:szCs w:val="24"/>
          <w:vertAlign w:val="subscript"/>
        </w:rPr>
        <w:t>1</w:t>
      </w:r>
      <w:r w:rsidRPr="00B834A2">
        <w:rPr>
          <w:rFonts w:ascii="Sylfaen" w:hAnsi="Sylfaen"/>
          <w:sz w:val="24"/>
          <w:szCs w:val="24"/>
        </w:rPr>
        <w:t xml:space="preserve">՝ այն բանի հավանականությունը, որ </w:t>
      </w:r>
      <w:r w:rsidRPr="00B834A2">
        <w:rPr>
          <w:rFonts w:ascii="Sylfaen" w:hAnsi="Sylfaen"/>
          <w:i/>
          <w:sz w:val="24"/>
          <w:szCs w:val="24"/>
        </w:rPr>
        <w:t>x</w:t>
      </w:r>
      <w:r w:rsidRPr="00B834A2">
        <w:rPr>
          <w:rFonts w:ascii="Sylfaen" w:hAnsi="Sylfaen"/>
          <w:sz w:val="24"/>
          <w:szCs w:val="24"/>
          <w:vertAlign w:val="superscript"/>
        </w:rPr>
        <w:t>2</w:t>
      </w:r>
      <w:r w:rsidRPr="00B834A2">
        <w:rPr>
          <w:rFonts w:ascii="Sylfaen" w:hAnsi="Sylfaen"/>
          <w:sz w:val="24"/>
          <w:szCs w:val="24"/>
        </w:rPr>
        <w:t xml:space="preserve"> գնահատվող արժեքը չի գերազանցում աղյուսակայինը:</w:t>
      </w:r>
      <w:r>
        <w:rPr>
          <w:rFonts w:ascii="Sylfaen" w:hAnsi="Sylfaen"/>
          <w:sz w:val="24"/>
          <w:szCs w:val="24"/>
        </w:rPr>
        <w:t xml:space="preserve"> </w:t>
      </w:r>
      <w:r w:rsidRPr="00B834A2">
        <w:rPr>
          <w:rFonts w:ascii="Sylfaen" w:hAnsi="Sylfaen"/>
          <w:sz w:val="24"/>
          <w:szCs w:val="24"/>
        </w:rPr>
        <w:t xml:space="preserve">Այդ գնահատվող արժեքը դիտվում է որպես նշանակալի </w:t>
      </w:r>
      <w:r w:rsidRPr="00B834A2">
        <w:rPr>
          <w:rFonts w:ascii="Sylfaen" w:hAnsi="Sylfaen"/>
          <w:i/>
          <w:sz w:val="24"/>
          <w:szCs w:val="24"/>
        </w:rPr>
        <w:t>(Р</w:t>
      </w:r>
      <w:r w:rsidRPr="00B834A2">
        <w:rPr>
          <w:rFonts w:ascii="Sylfaen" w:hAnsi="Sylfaen"/>
          <w:i/>
          <w:sz w:val="24"/>
          <w:szCs w:val="24"/>
          <w:vertAlign w:val="subscript"/>
        </w:rPr>
        <w:t>1</w:t>
      </w:r>
      <w:r w:rsidRPr="00B834A2">
        <w:rPr>
          <w:rFonts w:ascii="Sylfaen" w:hAnsi="Sylfaen"/>
          <w:i/>
          <w:sz w:val="24"/>
          <w:szCs w:val="24"/>
        </w:rPr>
        <w:t xml:space="preserve"> =</w:t>
      </w:r>
      <w:r w:rsidRPr="00B834A2">
        <w:rPr>
          <w:rFonts w:ascii="Sylfaen" w:hAnsi="Sylfaen"/>
          <w:sz w:val="24"/>
          <w:szCs w:val="24"/>
        </w:rPr>
        <w:t xml:space="preserve"> 95 %) կամ բարձր նշանակալի </w:t>
      </w:r>
      <w:r w:rsidRPr="00B834A2">
        <w:rPr>
          <w:rFonts w:ascii="Sylfaen" w:hAnsi="Sylfaen"/>
          <w:i/>
          <w:sz w:val="24"/>
          <w:szCs w:val="24"/>
        </w:rPr>
        <w:t>(Р</w:t>
      </w:r>
      <w:r w:rsidRPr="00B834A2">
        <w:rPr>
          <w:rFonts w:ascii="Sylfaen" w:hAnsi="Sylfaen"/>
          <w:i/>
          <w:sz w:val="24"/>
          <w:szCs w:val="24"/>
          <w:vertAlign w:val="subscript"/>
        </w:rPr>
        <w:t>1</w:t>
      </w:r>
      <w:r w:rsidRPr="00B834A2">
        <w:rPr>
          <w:rFonts w:ascii="Sylfaen" w:hAnsi="Sylfaen"/>
          <w:i/>
          <w:sz w:val="24"/>
          <w:szCs w:val="24"/>
        </w:rPr>
        <w:t xml:space="preserve"> =</w:t>
      </w:r>
      <w:r w:rsidRPr="00B834A2">
        <w:rPr>
          <w:rFonts w:ascii="Sylfaen" w:hAnsi="Sylfaen"/>
          <w:sz w:val="24"/>
          <w:szCs w:val="24"/>
        </w:rPr>
        <w:t xml:space="preserve"> 99 %):</w:t>
      </w:r>
    </w:p>
    <w:p w14:paraId="0EC99B57" w14:textId="77777777" w:rsidR="00B834A2" w:rsidRPr="00B834A2" w:rsidRDefault="00B834A2" w:rsidP="00B834A2">
      <w:pPr>
        <w:spacing w:after="160" w:line="360" w:lineRule="auto"/>
        <w:ind w:firstLine="567"/>
        <w:jc w:val="both"/>
      </w:pPr>
    </w:p>
    <w:tbl>
      <w:tblPr>
        <w:tblOverlap w:val="never"/>
        <w:tblW w:w="9412" w:type="dxa"/>
        <w:jc w:val="center"/>
        <w:tblLayout w:type="fixed"/>
        <w:tblCellMar>
          <w:left w:w="10" w:type="dxa"/>
          <w:right w:w="10" w:type="dxa"/>
        </w:tblCellMar>
        <w:tblLook w:val="0000" w:firstRow="0" w:lastRow="0" w:firstColumn="0" w:lastColumn="0" w:noHBand="0" w:noVBand="0"/>
      </w:tblPr>
      <w:tblGrid>
        <w:gridCol w:w="610"/>
        <w:gridCol w:w="754"/>
        <w:gridCol w:w="667"/>
        <w:gridCol w:w="672"/>
        <w:gridCol w:w="667"/>
        <w:gridCol w:w="667"/>
        <w:gridCol w:w="667"/>
        <w:gridCol w:w="667"/>
        <w:gridCol w:w="672"/>
        <w:gridCol w:w="667"/>
        <w:gridCol w:w="667"/>
        <w:gridCol w:w="667"/>
        <w:gridCol w:w="667"/>
        <w:gridCol w:w="701"/>
      </w:tblGrid>
      <w:tr w:rsidR="00B834A2" w:rsidRPr="00B07646" w14:paraId="5E03555E" w14:textId="77777777" w:rsidTr="00B834A2">
        <w:trPr>
          <w:jc w:val="center"/>
        </w:trPr>
        <w:tc>
          <w:tcPr>
            <w:tcW w:w="9412" w:type="dxa"/>
            <w:gridSpan w:val="14"/>
            <w:shd w:val="clear" w:color="auto" w:fill="FFFFFF"/>
            <w:vAlign w:val="bottom"/>
          </w:tcPr>
          <w:p w14:paraId="67590AE1" w14:textId="77777777" w:rsidR="00B834A2" w:rsidRPr="00B07646" w:rsidRDefault="00B834A2" w:rsidP="00B07646">
            <w:pPr>
              <w:pStyle w:val="a0"/>
              <w:shd w:val="clear" w:color="auto" w:fill="auto"/>
              <w:spacing w:after="120" w:line="240" w:lineRule="auto"/>
              <w:ind w:firstLine="19"/>
              <w:jc w:val="both"/>
              <w:rPr>
                <w:rFonts w:ascii="Sylfaen" w:hAnsi="Sylfaen" w:cs="Sylfaen"/>
              </w:rPr>
            </w:pPr>
            <w:r w:rsidRPr="00B07646">
              <w:rPr>
                <w:rFonts w:ascii="Sylfaen" w:hAnsi="Sylfaen"/>
              </w:rPr>
              <w:t xml:space="preserve">Աղյուսակ 6. Կոխրենի չափորոշչի կրիտիկական արժեքները </w:t>
            </w:r>
          </w:p>
        </w:tc>
      </w:tr>
      <w:tr w:rsidR="00B834A2" w:rsidRPr="00B07646" w14:paraId="299636D3" w14:textId="77777777" w:rsidTr="00B834A2">
        <w:trPr>
          <w:trHeight w:val="218"/>
          <w:jc w:val="center"/>
        </w:trPr>
        <w:tc>
          <w:tcPr>
            <w:tcW w:w="610" w:type="dxa"/>
            <w:tcBorders>
              <w:top w:val="single" w:sz="4" w:space="0" w:color="auto"/>
            </w:tcBorders>
            <w:shd w:val="clear" w:color="auto" w:fill="FFFFFF"/>
            <w:vAlign w:val="center"/>
          </w:tcPr>
          <w:p w14:paraId="40EEEC1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m:oMathPara>
              <m:oMath>
                <m:r>
                  <w:rPr>
                    <w:rFonts w:ascii="Cambria Math" w:hAnsi="Cambria Math" w:cs="Sylfaen"/>
                  </w:rPr>
                  <m:t>f→</m:t>
                </m:r>
              </m:oMath>
            </m:oMathPara>
          </w:p>
        </w:tc>
        <w:tc>
          <w:tcPr>
            <w:tcW w:w="754" w:type="dxa"/>
            <w:vMerge w:val="restart"/>
            <w:tcBorders>
              <w:top w:val="single" w:sz="4" w:space="0" w:color="auto"/>
            </w:tcBorders>
            <w:shd w:val="clear" w:color="auto" w:fill="FFFFFF"/>
            <w:vAlign w:val="center"/>
          </w:tcPr>
          <w:p w14:paraId="28E4DCC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w:t>
            </w:r>
          </w:p>
        </w:tc>
        <w:tc>
          <w:tcPr>
            <w:tcW w:w="667" w:type="dxa"/>
            <w:vMerge w:val="restart"/>
            <w:tcBorders>
              <w:top w:val="single" w:sz="4" w:space="0" w:color="auto"/>
            </w:tcBorders>
            <w:shd w:val="clear" w:color="auto" w:fill="FFFFFF"/>
            <w:vAlign w:val="center"/>
          </w:tcPr>
          <w:p w14:paraId="6EF628F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w:t>
            </w:r>
          </w:p>
        </w:tc>
        <w:tc>
          <w:tcPr>
            <w:tcW w:w="672" w:type="dxa"/>
            <w:vMerge w:val="restart"/>
            <w:tcBorders>
              <w:top w:val="single" w:sz="4" w:space="0" w:color="auto"/>
            </w:tcBorders>
            <w:shd w:val="clear" w:color="auto" w:fill="FFFFFF"/>
            <w:vAlign w:val="center"/>
          </w:tcPr>
          <w:p w14:paraId="748D61F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w:t>
            </w:r>
          </w:p>
        </w:tc>
        <w:tc>
          <w:tcPr>
            <w:tcW w:w="667" w:type="dxa"/>
            <w:vMerge w:val="restart"/>
            <w:tcBorders>
              <w:top w:val="single" w:sz="4" w:space="0" w:color="auto"/>
            </w:tcBorders>
            <w:shd w:val="clear" w:color="auto" w:fill="FFFFFF"/>
            <w:vAlign w:val="center"/>
          </w:tcPr>
          <w:p w14:paraId="6EF343F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4</w:t>
            </w:r>
          </w:p>
        </w:tc>
        <w:tc>
          <w:tcPr>
            <w:tcW w:w="667" w:type="dxa"/>
            <w:vMerge w:val="restart"/>
            <w:tcBorders>
              <w:top w:val="single" w:sz="4" w:space="0" w:color="auto"/>
            </w:tcBorders>
            <w:shd w:val="clear" w:color="auto" w:fill="FFFFFF"/>
            <w:vAlign w:val="center"/>
          </w:tcPr>
          <w:p w14:paraId="0583972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5</w:t>
            </w:r>
          </w:p>
        </w:tc>
        <w:tc>
          <w:tcPr>
            <w:tcW w:w="667" w:type="dxa"/>
            <w:vMerge w:val="restart"/>
            <w:tcBorders>
              <w:top w:val="single" w:sz="4" w:space="0" w:color="auto"/>
            </w:tcBorders>
            <w:shd w:val="clear" w:color="auto" w:fill="FFFFFF"/>
            <w:vAlign w:val="center"/>
          </w:tcPr>
          <w:p w14:paraId="244B6C9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6</w:t>
            </w:r>
          </w:p>
        </w:tc>
        <w:tc>
          <w:tcPr>
            <w:tcW w:w="667" w:type="dxa"/>
            <w:vMerge w:val="restart"/>
            <w:tcBorders>
              <w:top w:val="single" w:sz="4" w:space="0" w:color="auto"/>
            </w:tcBorders>
            <w:shd w:val="clear" w:color="auto" w:fill="FFFFFF"/>
            <w:vAlign w:val="center"/>
          </w:tcPr>
          <w:p w14:paraId="7C91D57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7</w:t>
            </w:r>
          </w:p>
        </w:tc>
        <w:tc>
          <w:tcPr>
            <w:tcW w:w="672" w:type="dxa"/>
            <w:vMerge w:val="restart"/>
            <w:tcBorders>
              <w:top w:val="single" w:sz="4" w:space="0" w:color="auto"/>
            </w:tcBorders>
            <w:shd w:val="clear" w:color="auto" w:fill="FFFFFF"/>
            <w:vAlign w:val="center"/>
          </w:tcPr>
          <w:p w14:paraId="01B8073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8</w:t>
            </w:r>
          </w:p>
        </w:tc>
        <w:tc>
          <w:tcPr>
            <w:tcW w:w="667" w:type="dxa"/>
            <w:vMerge w:val="restart"/>
            <w:tcBorders>
              <w:top w:val="single" w:sz="4" w:space="0" w:color="auto"/>
            </w:tcBorders>
            <w:shd w:val="clear" w:color="auto" w:fill="FFFFFF"/>
            <w:vAlign w:val="center"/>
          </w:tcPr>
          <w:p w14:paraId="0BF869C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9</w:t>
            </w:r>
          </w:p>
        </w:tc>
        <w:tc>
          <w:tcPr>
            <w:tcW w:w="667" w:type="dxa"/>
            <w:vMerge w:val="restart"/>
            <w:tcBorders>
              <w:top w:val="single" w:sz="4" w:space="0" w:color="auto"/>
            </w:tcBorders>
            <w:shd w:val="clear" w:color="auto" w:fill="FFFFFF"/>
            <w:vAlign w:val="center"/>
          </w:tcPr>
          <w:p w14:paraId="53FE804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10</w:t>
            </w:r>
          </w:p>
        </w:tc>
        <w:tc>
          <w:tcPr>
            <w:tcW w:w="667" w:type="dxa"/>
            <w:vMerge w:val="restart"/>
            <w:tcBorders>
              <w:top w:val="single" w:sz="4" w:space="0" w:color="auto"/>
            </w:tcBorders>
            <w:shd w:val="clear" w:color="auto" w:fill="FFFFFF"/>
            <w:vAlign w:val="center"/>
          </w:tcPr>
          <w:p w14:paraId="658C598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16</w:t>
            </w:r>
          </w:p>
        </w:tc>
        <w:tc>
          <w:tcPr>
            <w:tcW w:w="667" w:type="dxa"/>
            <w:vMerge w:val="restart"/>
            <w:tcBorders>
              <w:top w:val="single" w:sz="4" w:space="0" w:color="auto"/>
            </w:tcBorders>
            <w:shd w:val="clear" w:color="auto" w:fill="FFFFFF"/>
            <w:vAlign w:val="center"/>
          </w:tcPr>
          <w:p w14:paraId="5454A6D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36</w:t>
            </w:r>
          </w:p>
        </w:tc>
        <w:tc>
          <w:tcPr>
            <w:tcW w:w="701" w:type="dxa"/>
            <w:vMerge w:val="restart"/>
            <w:tcBorders>
              <w:top w:val="single" w:sz="4" w:space="0" w:color="auto"/>
            </w:tcBorders>
            <w:shd w:val="clear" w:color="auto" w:fill="FFFFFF"/>
            <w:vAlign w:val="center"/>
          </w:tcPr>
          <w:p w14:paraId="4E90F1B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w:t>
            </w:r>
          </w:p>
        </w:tc>
      </w:tr>
      <w:tr w:rsidR="00B834A2" w:rsidRPr="00B07646" w14:paraId="0905FB07" w14:textId="77777777" w:rsidTr="00B834A2">
        <w:trPr>
          <w:trHeight w:val="218"/>
          <w:jc w:val="center"/>
        </w:trPr>
        <w:tc>
          <w:tcPr>
            <w:tcW w:w="610" w:type="dxa"/>
            <w:tcBorders>
              <w:bottom w:val="single" w:sz="4" w:space="0" w:color="auto"/>
            </w:tcBorders>
            <w:shd w:val="clear" w:color="auto" w:fill="FFFFFF"/>
            <w:vAlign w:val="center"/>
          </w:tcPr>
          <w:p w14:paraId="02C216B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m:oMathPara>
              <m:oMath>
                <m:r>
                  <w:rPr>
                    <w:rFonts w:ascii="Cambria Math" w:hAnsi="Cambria Math" w:cs="Sylfaen"/>
                  </w:rPr>
                  <m:t>g↓</m:t>
                </m:r>
              </m:oMath>
            </m:oMathPara>
          </w:p>
        </w:tc>
        <w:tc>
          <w:tcPr>
            <w:tcW w:w="754" w:type="dxa"/>
            <w:vMerge/>
            <w:shd w:val="clear" w:color="auto" w:fill="FFFFFF"/>
            <w:vAlign w:val="center"/>
          </w:tcPr>
          <w:p w14:paraId="6AEE510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53A879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72" w:type="dxa"/>
            <w:vMerge/>
            <w:shd w:val="clear" w:color="auto" w:fill="FFFFFF"/>
            <w:vAlign w:val="center"/>
          </w:tcPr>
          <w:p w14:paraId="014923C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6DED3BD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411D7EB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2392651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423C981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72" w:type="dxa"/>
            <w:vMerge/>
            <w:shd w:val="clear" w:color="auto" w:fill="FFFFFF"/>
            <w:vAlign w:val="center"/>
          </w:tcPr>
          <w:p w14:paraId="29A487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27E744A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6E409C0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3FAF3DB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667" w:type="dxa"/>
            <w:vMerge/>
            <w:shd w:val="clear" w:color="auto" w:fill="FFFFFF"/>
            <w:vAlign w:val="center"/>
          </w:tcPr>
          <w:p w14:paraId="40E083A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c>
          <w:tcPr>
            <w:tcW w:w="701" w:type="dxa"/>
            <w:vMerge/>
            <w:shd w:val="clear" w:color="auto" w:fill="FFFFFF"/>
            <w:vAlign w:val="center"/>
          </w:tcPr>
          <w:p w14:paraId="0027918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p>
        </w:tc>
      </w:tr>
      <w:tr w:rsidR="00B834A2" w:rsidRPr="00B07646" w14:paraId="3CE6E5E0" w14:textId="77777777" w:rsidTr="00B834A2">
        <w:trPr>
          <w:jc w:val="center"/>
        </w:trPr>
        <w:tc>
          <w:tcPr>
            <w:tcW w:w="9412" w:type="dxa"/>
            <w:gridSpan w:val="14"/>
            <w:tcBorders>
              <w:top w:val="single" w:sz="4" w:space="0" w:color="auto"/>
            </w:tcBorders>
            <w:shd w:val="clear" w:color="auto" w:fill="FFFFFF"/>
          </w:tcPr>
          <w:p w14:paraId="457BE401" w14:textId="77777777" w:rsidR="00B834A2" w:rsidRPr="00B07646" w:rsidRDefault="00B834A2" w:rsidP="00B07646">
            <w:pPr>
              <w:spacing w:after="120"/>
              <w:ind w:firstLine="19"/>
              <w:jc w:val="center"/>
              <w:rPr>
                <w:sz w:val="20"/>
                <w:szCs w:val="20"/>
              </w:rPr>
            </w:pPr>
            <w:r w:rsidRPr="00B07646">
              <w:rPr>
                <w:i/>
                <w:sz w:val="20"/>
                <w:szCs w:val="20"/>
              </w:rPr>
              <w:t>G (Р = 95 %)</w:t>
            </w:r>
          </w:p>
        </w:tc>
      </w:tr>
      <w:tr w:rsidR="00B834A2" w:rsidRPr="00B07646" w14:paraId="447426AC" w14:textId="77777777" w:rsidTr="00B834A2">
        <w:trPr>
          <w:jc w:val="center"/>
        </w:trPr>
        <w:tc>
          <w:tcPr>
            <w:tcW w:w="610" w:type="dxa"/>
            <w:shd w:val="clear" w:color="auto" w:fill="FFFFFF"/>
            <w:vAlign w:val="bottom"/>
          </w:tcPr>
          <w:p w14:paraId="010DA6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w:t>
            </w:r>
          </w:p>
        </w:tc>
        <w:tc>
          <w:tcPr>
            <w:tcW w:w="754" w:type="dxa"/>
            <w:shd w:val="clear" w:color="auto" w:fill="FFFFFF"/>
            <w:vAlign w:val="bottom"/>
          </w:tcPr>
          <w:p w14:paraId="03A74AB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0,9985</w:t>
            </w:r>
          </w:p>
        </w:tc>
        <w:tc>
          <w:tcPr>
            <w:tcW w:w="667" w:type="dxa"/>
            <w:shd w:val="clear" w:color="auto" w:fill="FFFFFF"/>
            <w:vAlign w:val="bottom"/>
          </w:tcPr>
          <w:p w14:paraId="43E9FE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0,9750</w:t>
            </w:r>
          </w:p>
        </w:tc>
        <w:tc>
          <w:tcPr>
            <w:tcW w:w="672" w:type="dxa"/>
            <w:shd w:val="clear" w:color="auto" w:fill="FFFFFF"/>
            <w:vAlign w:val="bottom"/>
          </w:tcPr>
          <w:p w14:paraId="02DE56B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0,9392</w:t>
            </w:r>
          </w:p>
        </w:tc>
        <w:tc>
          <w:tcPr>
            <w:tcW w:w="667" w:type="dxa"/>
            <w:shd w:val="clear" w:color="auto" w:fill="FFFFFF"/>
            <w:vAlign w:val="bottom"/>
          </w:tcPr>
          <w:p w14:paraId="26B23C1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0,9057</w:t>
            </w:r>
          </w:p>
        </w:tc>
        <w:tc>
          <w:tcPr>
            <w:tcW w:w="667" w:type="dxa"/>
            <w:shd w:val="clear" w:color="auto" w:fill="FFFFFF"/>
            <w:vAlign w:val="bottom"/>
          </w:tcPr>
          <w:p w14:paraId="1EB9323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0,8772</w:t>
            </w:r>
          </w:p>
        </w:tc>
        <w:tc>
          <w:tcPr>
            <w:tcW w:w="667" w:type="dxa"/>
            <w:shd w:val="clear" w:color="auto" w:fill="FFFFFF"/>
            <w:vAlign w:val="bottom"/>
          </w:tcPr>
          <w:p w14:paraId="41C8B80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0,8534</w:t>
            </w:r>
          </w:p>
        </w:tc>
        <w:tc>
          <w:tcPr>
            <w:tcW w:w="667" w:type="dxa"/>
            <w:shd w:val="clear" w:color="auto" w:fill="FFFFFF"/>
            <w:vAlign w:val="bottom"/>
          </w:tcPr>
          <w:p w14:paraId="4C49DAE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0,8332</w:t>
            </w:r>
          </w:p>
        </w:tc>
        <w:tc>
          <w:tcPr>
            <w:tcW w:w="672" w:type="dxa"/>
            <w:shd w:val="clear" w:color="auto" w:fill="FFFFFF"/>
            <w:vAlign w:val="bottom"/>
          </w:tcPr>
          <w:p w14:paraId="485EFC3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0,8159</w:t>
            </w:r>
          </w:p>
        </w:tc>
        <w:tc>
          <w:tcPr>
            <w:tcW w:w="667" w:type="dxa"/>
            <w:shd w:val="clear" w:color="auto" w:fill="FFFFFF"/>
            <w:vAlign w:val="bottom"/>
          </w:tcPr>
          <w:p w14:paraId="7EFEF4A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0,8010</w:t>
            </w:r>
          </w:p>
        </w:tc>
        <w:tc>
          <w:tcPr>
            <w:tcW w:w="667" w:type="dxa"/>
            <w:shd w:val="clear" w:color="auto" w:fill="FFFFFF"/>
            <w:vAlign w:val="bottom"/>
          </w:tcPr>
          <w:p w14:paraId="15FD156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0,7880</w:t>
            </w:r>
          </w:p>
        </w:tc>
        <w:tc>
          <w:tcPr>
            <w:tcW w:w="667" w:type="dxa"/>
            <w:shd w:val="clear" w:color="auto" w:fill="FFFFFF"/>
            <w:vAlign w:val="bottom"/>
          </w:tcPr>
          <w:p w14:paraId="292B86D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0,7341</w:t>
            </w:r>
          </w:p>
        </w:tc>
        <w:tc>
          <w:tcPr>
            <w:tcW w:w="667" w:type="dxa"/>
            <w:shd w:val="clear" w:color="auto" w:fill="FFFFFF"/>
            <w:vAlign w:val="bottom"/>
          </w:tcPr>
          <w:p w14:paraId="05E1695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0,6602</w:t>
            </w:r>
          </w:p>
        </w:tc>
        <w:tc>
          <w:tcPr>
            <w:tcW w:w="701" w:type="dxa"/>
            <w:shd w:val="clear" w:color="auto" w:fill="FFFFFF"/>
            <w:vAlign w:val="bottom"/>
          </w:tcPr>
          <w:p w14:paraId="3393B42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0,5000</w:t>
            </w:r>
          </w:p>
        </w:tc>
      </w:tr>
      <w:tr w:rsidR="00B834A2" w:rsidRPr="00B07646" w14:paraId="5D5D50C7" w14:textId="77777777" w:rsidTr="00B834A2">
        <w:trPr>
          <w:jc w:val="center"/>
        </w:trPr>
        <w:tc>
          <w:tcPr>
            <w:tcW w:w="610" w:type="dxa"/>
            <w:shd w:val="clear" w:color="auto" w:fill="FFFFFF"/>
            <w:vAlign w:val="bottom"/>
          </w:tcPr>
          <w:p w14:paraId="36FC65C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w:t>
            </w:r>
          </w:p>
        </w:tc>
        <w:tc>
          <w:tcPr>
            <w:tcW w:w="754" w:type="dxa"/>
            <w:shd w:val="clear" w:color="auto" w:fill="FFFFFF"/>
            <w:vAlign w:val="bottom"/>
          </w:tcPr>
          <w:p w14:paraId="0BD9869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0,9669</w:t>
            </w:r>
          </w:p>
        </w:tc>
        <w:tc>
          <w:tcPr>
            <w:tcW w:w="667" w:type="dxa"/>
            <w:shd w:val="clear" w:color="auto" w:fill="FFFFFF"/>
            <w:vAlign w:val="bottom"/>
          </w:tcPr>
          <w:p w14:paraId="330C4B8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0,8709</w:t>
            </w:r>
          </w:p>
        </w:tc>
        <w:tc>
          <w:tcPr>
            <w:tcW w:w="672" w:type="dxa"/>
            <w:shd w:val="clear" w:color="auto" w:fill="FFFFFF"/>
            <w:vAlign w:val="bottom"/>
          </w:tcPr>
          <w:p w14:paraId="79B9841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0,7977</w:t>
            </w:r>
          </w:p>
        </w:tc>
        <w:tc>
          <w:tcPr>
            <w:tcW w:w="667" w:type="dxa"/>
            <w:shd w:val="clear" w:color="auto" w:fill="FFFFFF"/>
            <w:vAlign w:val="bottom"/>
          </w:tcPr>
          <w:p w14:paraId="5D0DDD6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0,7457</w:t>
            </w:r>
          </w:p>
        </w:tc>
        <w:tc>
          <w:tcPr>
            <w:tcW w:w="667" w:type="dxa"/>
            <w:shd w:val="clear" w:color="auto" w:fill="FFFFFF"/>
            <w:vAlign w:val="bottom"/>
          </w:tcPr>
          <w:p w14:paraId="77F3409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0,7071</w:t>
            </w:r>
          </w:p>
        </w:tc>
        <w:tc>
          <w:tcPr>
            <w:tcW w:w="667" w:type="dxa"/>
            <w:shd w:val="clear" w:color="auto" w:fill="FFFFFF"/>
            <w:vAlign w:val="bottom"/>
          </w:tcPr>
          <w:p w14:paraId="4A018C9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0,6771</w:t>
            </w:r>
          </w:p>
        </w:tc>
        <w:tc>
          <w:tcPr>
            <w:tcW w:w="667" w:type="dxa"/>
            <w:shd w:val="clear" w:color="auto" w:fill="FFFFFF"/>
            <w:vAlign w:val="bottom"/>
          </w:tcPr>
          <w:p w14:paraId="387C3FD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0,6530</w:t>
            </w:r>
          </w:p>
        </w:tc>
        <w:tc>
          <w:tcPr>
            <w:tcW w:w="672" w:type="dxa"/>
            <w:shd w:val="clear" w:color="auto" w:fill="FFFFFF"/>
            <w:vAlign w:val="bottom"/>
          </w:tcPr>
          <w:p w14:paraId="11AB29E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0,6333</w:t>
            </w:r>
          </w:p>
        </w:tc>
        <w:tc>
          <w:tcPr>
            <w:tcW w:w="667" w:type="dxa"/>
            <w:shd w:val="clear" w:color="auto" w:fill="FFFFFF"/>
            <w:vAlign w:val="bottom"/>
          </w:tcPr>
          <w:p w14:paraId="6E7244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0,6167</w:t>
            </w:r>
          </w:p>
        </w:tc>
        <w:tc>
          <w:tcPr>
            <w:tcW w:w="667" w:type="dxa"/>
            <w:shd w:val="clear" w:color="auto" w:fill="FFFFFF"/>
            <w:vAlign w:val="bottom"/>
          </w:tcPr>
          <w:p w14:paraId="30B5F41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0,6025</w:t>
            </w:r>
          </w:p>
        </w:tc>
        <w:tc>
          <w:tcPr>
            <w:tcW w:w="667" w:type="dxa"/>
            <w:shd w:val="clear" w:color="auto" w:fill="FFFFFF"/>
            <w:vAlign w:val="bottom"/>
          </w:tcPr>
          <w:p w14:paraId="4F61C85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0,5466</w:t>
            </w:r>
          </w:p>
        </w:tc>
        <w:tc>
          <w:tcPr>
            <w:tcW w:w="667" w:type="dxa"/>
            <w:shd w:val="clear" w:color="auto" w:fill="FFFFFF"/>
            <w:vAlign w:val="bottom"/>
          </w:tcPr>
          <w:p w14:paraId="754F44A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0,4748</w:t>
            </w:r>
          </w:p>
        </w:tc>
        <w:tc>
          <w:tcPr>
            <w:tcW w:w="701" w:type="dxa"/>
            <w:shd w:val="clear" w:color="auto" w:fill="FFFFFF"/>
            <w:vAlign w:val="bottom"/>
          </w:tcPr>
          <w:p w14:paraId="7D0900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0,3333</w:t>
            </w:r>
          </w:p>
        </w:tc>
      </w:tr>
      <w:tr w:rsidR="00B834A2" w:rsidRPr="00B07646" w14:paraId="0EB9B0A5" w14:textId="77777777" w:rsidTr="00B834A2">
        <w:trPr>
          <w:jc w:val="center"/>
        </w:trPr>
        <w:tc>
          <w:tcPr>
            <w:tcW w:w="610" w:type="dxa"/>
            <w:shd w:val="clear" w:color="auto" w:fill="FFFFFF"/>
            <w:vAlign w:val="bottom"/>
          </w:tcPr>
          <w:p w14:paraId="5FF0D52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4</w:t>
            </w:r>
          </w:p>
        </w:tc>
        <w:tc>
          <w:tcPr>
            <w:tcW w:w="754" w:type="dxa"/>
            <w:shd w:val="clear" w:color="auto" w:fill="FFFFFF"/>
            <w:vAlign w:val="bottom"/>
          </w:tcPr>
          <w:p w14:paraId="352E4AD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0,9065</w:t>
            </w:r>
          </w:p>
        </w:tc>
        <w:tc>
          <w:tcPr>
            <w:tcW w:w="667" w:type="dxa"/>
            <w:shd w:val="clear" w:color="auto" w:fill="FFFFFF"/>
            <w:vAlign w:val="bottom"/>
          </w:tcPr>
          <w:p w14:paraId="4BF9850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0,7679</w:t>
            </w:r>
          </w:p>
        </w:tc>
        <w:tc>
          <w:tcPr>
            <w:tcW w:w="672" w:type="dxa"/>
            <w:shd w:val="clear" w:color="auto" w:fill="FFFFFF"/>
            <w:vAlign w:val="bottom"/>
          </w:tcPr>
          <w:p w14:paraId="3E721BF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0,6841</w:t>
            </w:r>
          </w:p>
        </w:tc>
        <w:tc>
          <w:tcPr>
            <w:tcW w:w="667" w:type="dxa"/>
            <w:shd w:val="clear" w:color="auto" w:fill="FFFFFF"/>
            <w:vAlign w:val="bottom"/>
          </w:tcPr>
          <w:p w14:paraId="3AA891B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0,6287</w:t>
            </w:r>
          </w:p>
        </w:tc>
        <w:tc>
          <w:tcPr>
            <w:tcW w:w="667" w:type="dxa"/>
            <w:shd w:val="clear" w:color="auto" w:fill="FFFFFF"/>
            <w:vAlign w:val="bottom"/>
          </w:tcPr>
          <w:p w14:paraId="6FEA633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0,5895</w:t>
            </w:r>
          </w:p>
        </w:tc>
        <w:tc>
          <w:tcPr>
            <w:tcW w:w="667" w:type="dxa"/>
            <w:shd w:val="clear" w:color="auto" w:fill="FFFFFF"/>
            <w:vAlign w:val="bottom"/>
          </w:tcPr>
          <w:p w14:paraId="0DEDBB2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0,5598</w:t>
            </w:r>
          </w:p>
        </w:tc>
        <w:tc>
          <w:tcPr>
            <w:tcW w:w="667" w:type="dxa"/>
            <w:shd w:val="clear" w:color="auto" w:fill="FFFFFF"/>
            <w:vAlign w:val="bottom"/>
          </w:tcPr>
          <w:p w14:paraId="7431B69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0,5365</w:t>
            </w:r>
          </w:p>
        </w:tc>
        <w:tc>
          <w:tcPr>
            <w:tcW w:w="672" w:type="dxa"/>
            <w:shd w:val="clear" w:color="auto" w:fill="FFFFFF"/>
            <w:vAlign w:val="bottom"/>
          </w:tcPr>
          <w:p w14:paraId="3236762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0,5175</w:t>
            </w:r>
          </w:p>
        </w:tc>
        <w:tc>
          <w:tcPr>
            <w:tcW w:w="667" w:type="dxa"/>
            <w:shd w:val="clear" w:color="auto" w:fill="FFFFFF"/>
            <w:vAlign w:val="bottom"/>
          </w:tcPr>
          <w:p w14:paraId="6E5F921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0,5017</w:t>
            </w:r>
          </w:p>
        </w:tc>
        <w:tc>
          <w:tcPr>
            <w:tcW w:w="667" w:type="dxa"/>
            <w:shd w:val="clear" w:color="auto" w:fill="FFFFFF"/>
            <w:vAlign w:val="bottom"/>
          </w:tcPr>
          <w:p w14:paraId="6374EAC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0,4884</w:t>
            </w:r>
          </w:p>
        </w:tc>
        <w:tc>
          <w:tcPr>
            <w:tcW w:w="667" w:type="dxa"/>
            <w:shd w:val="clear" w:color="auto" w:fill="FFFFFF"/>
            <w:vAlign w:val="bottom"/>
          </w:tcPr>
          <w:p w14:paraId="175FAD8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0,4366</w:t>
            </w:r>
          </w:p>
        </w:tc>
        <w:tc>
          <w:tcPr>
            <w:tcW w:w="667" w:type="dxa"/>
            <w:shd w:val="clear" w:color="auto" w:fill="FFFFFF"/>
            <w:vAlign w:val="bottom"/>
          </w:tcPr>
          <w:p w14:paraId="4C91210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0,3720</w:t>
            </w:r>
          </w:p>
        </w:tc>
        <w:tc>
          <w:tcPr>
            <w:tcW w:w="701" w:type="dxa"/>
            <w:shd w:val="clear" w:color="auto" w:fill="FFFFFF"/>
            <w:vAlign w:val="bottom"/>
          </w:tcPr>
          <w:p w14:paraId="76AE107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0,2500</w:t>
            </w:r>
          </w:p>
        </w:tc>
      </w:tr>
      <w:tr w:rsidR="00B834A2" w:rsidRPr="00B07646" w14:paraId="7E88D282" w14:textId="77777777" w:rsidTr="00B834A2">
        <w:trPr>
          <w:jc w:val="center"/>
        </w:trPr>
        <w:tc>
          <w:tcPr>
            <w:tcW w:w="610" w:type="dxa"/>
            <w:shd w:val="clear" w:color="auto" w:fill="FFFFFF"/>
            <w:vAlign w:val="bottom"/>
          </w:tcPr>
          <w:p w14:paraId="04BA6B8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5</w:t>
            </w:r>
          </w:p>
        </w:tc>
        <w:tc>
          <w:tcPr>
            <w:tcW w:w="754" w:type="dxa"/>
            <w:shd w:val="clear" w:color="auto" w:fill="FFFFFF"/>
            <w:vAlign w:val="bottom"/>
          </w:tcPr>
          <w:p w14:paraId="7EBB0B3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0,8412</w:t>
            </w:r>
          </w:p>
        </w:tc>
        <w:tc>
          <w:tcPr>
            <w:tcW w:w="667" w:type="dxa"/>
            <w:shd w:val="clear" w:color="auto" w:fill="FFFFFF"/>
            <w:vAlign w:val="bottom"/>
          </w:tcPr>
          <w:p w14:paraId="68AAA85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0,6838</w:t>
            </w:r>
          </w:p>
        </w:tc>
        <w:tc>
          <w:tcPr>
            <w:tcW w:w="672" w:type="dxa"/>
            <w:shd w:val="clear" w:color="auto" w:fill="FFFFFF"/>
            <w:vAlign w:val="bottom"/>
          </w:tcPr>
          <w:p w14:paraId="76088CE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0,5981</w:t>
            </w:r>
          </w:p>
        </w:tc>
        <w:tc>
          <w:tcPr>
            <w:tcW w:w="667" w:type="dxa"/>
            <w:shd w:val="clear" w:color="auto" w:fill="FFFFFF"/>
            <w:vAlign w:val="bottom"/>
          </w:tcPr>
          <w:p w14:paraId="4111A9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0,5440</w:t>
            </w:r>
          </w:p>
        </w:tc>
        <w:tc>
          <w:tcPr>
            <w:tcW w:w="667" w:type="dxa"/>
            <w:shd w:val="clear" w:color="auto" w:fill="FFFFFF"/>
            <w:vAlign w:val="bottom"/>
          </w:tcPr>
          <w:p w14:paraId="5D98915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0,5063</w:t>
            </w:r>
          </w:p>
        </w:tc>
        <w:tc>
          <w:tcPr>
            <w:tcW w:w="667" w:type="dxa"/>
            <w:shd w:val="clear" w:color="auto" w:fill="FFFFFF"/>
            <w:vAlign w:val="bottom"/>
          </w:tcPr>
          <w:p w14:paraId="410D84F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0,4783</w:t>
            </w:r>
          </w:p>
        </w:tc>
        <w:tc>
          <w:tcPr>
            <w:tcW w:w="667" w:type="dxa"/>
            <w:shd w:val="clear" w:color="auto" w:fill="FFFFFF"/>
            <w:vAlign w:val="bottom"/>
          </w:tcPr>
          <w:p w14:paraId="3EB1B11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0,4564</w:t>
            </w:r>
          </w:p>
        </w:tc>
        <w:tc>
          <w:tcPr>
            <w:tcW w:w="672" w:type="dxa"/>
            <w:shd w:val="clear" w:color="auto" w:fill="FFFFFF"/>
            <w:vAlign w:val="bottom"/>
          </w:tcPr>
          <w:p w14:paraId="41E3D19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0,4387</w:t>
            </w:r>
          </w:p>
        </w:tc>
        <w:tc>
          <w:tcPr>
            <w:tcW w:w="667" w:type="dxa"/>
            <w:shd w:val="clear" w:color="auto" w:fill="FFFFFF"/>
            <w:vAlign w:val="bottom"/>
          </w:tcPr>
          <w:p w14:paraId="5BED637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0,4241</w:t>
            </w:r>
          </w:p>
        </w:tc>
        <w:tc>
          <w:tcPr>
            <w:tcW w:w="667" w:type="dxa"/>
            <w:shd w:val="clear" w:color="auto" w:fill="FFFFFF"/>
            <w:vAlign w:val="bottom"/>
          </w:tcPr>
          <w:p w14:paraId="3D0D36C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0,4118</w:t>
            </w:r>
          </w:p>
        </w:tc>
        <w:tc>
          <w:tcPr>
            <w:tcW w:w="667" w:type="dxa"/>
            <w:shd w:val="clear" w:color="auto" w:fill="FFFFFF"/>
            <w:vAlign w:val="bottom"/>
          </w:tcPr>
          <w:p w14:paraId="3EFC324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0,3645</w:t>
            </w:r>
          </w:p>
        </w:tc>
        <w:tc>
          <w:tcPr>
            <w:tcW w:w="667" w:type="dxa"/>
            <w:shd w:val="clear" w:color="auto" w:fill="FFFFFF"/>
            <w:vAlign w:val="bottom"/>
          </w:tcPr>
          <w:p w14:paraId="6C20FB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0,3066</w:t>
            </w:r>
          </w:p>
        </w:tc>
        <w:tc>
          <w:tcPr>
            <w:tcW w:w="701" w:type="dxa"/>
            <w:shd w:val="clear" w:color="auto" w:fill="FFFFFF"/>
            <w:vAlign w:val="bottom"/>
          </w:tcPr>
          <w:p w14:paraId="48584CD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0,2000</w:t>
            </w:r>
          </w:p>
        </w:tc>
      </w:tr>
      <w:tr w:rsidR="00B834A2" w:rsidRPr="00B07646" w14:paraId="07079537" w14:textId="77777777" w:rsidTr="00B834A2">
        <w:trPr>
          <w:jc w:val="center"/>
        </w:trPr>
        <w:tc>
          <w:tcPr>
            <w:tcW w:w="610" w:type="dxa"/>
            <w:shd w:val="clear" w:color="auto" w:fill="FFFFFF"/>
            <w:vAlign w:val="bottom"/>
          </w:tcPr>
          <w:p w14:paraId="6200AF7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6</w:t>
            </w:r>
          </w:p>
        </w:tc>
        <w:tc>
          <w:tcPr>
            <w:tcW w:w="754" w:type="dxa"/>
            <w:shd w:val="clear" w:color="auto" w:fill="FFFFFF"/>
            <w:vAlign w:val="bottom"/>
          </w:tcPr>
          <w:p w14:paraId="4F58A4A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0,7808</w:t>
            </w:r>
          </w:p>
        </w:tc>
        <w:tc>
          <w:tcPr>
            <w:tcW w:w="667" w:type="dxa"/>
            <w:shd w:val="clear" w:color="auto" w:fill="FFFFFF"/>
            <w:vAlign w:val="bottom"/>
          </w:tcPr>
          <w:p w14:paraId="16B2540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0,6161</w:t>
            </w:r>
          </w:p>
        </w:tc>
        <w:tc>
          <w:tcPr>
            <w:tcW w:w="672" w:type="dxa"/>
            <w:shd w:val="clear" w:color="auto" w:fill="FFFFFF"/>
            <w:vAlign w:val="bottom"/>
          </w:tcPr>
          <w:p w14:paraId="524E0F1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0,5321</w:t>
            </w:r>
          </w:p>
        </w:tc>
        <w:tc>
          <w:tcPr>
            <w:tcW w:w="667" w:type="dxa"/>
            <w:shd w:val="clear" w:color="auto" w:fill="FFFFFF"/>
            <w:vAlign w:val="bottom"/>
          </w:tcPr>
          <w:p w14:paraId="17A6E0C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0,4803</w:t>
            </w:r>
          </w:p>
        </w:tc>
        <w:tc>
          <w:tcPr>
            <w:tcW w:w="667" w:type="dxa"/>
            <w:shd w:val="clear" w:color="auto" w:fill="FFFFFF"/>
            <w:vAlign w:val="bottom"/>
          </w:tcPr>
          <w:p w14:paraId="780A9EF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0,4447</w:t>
            </w:r>
          </w:p>
        </w:tc>
        <w:tc>
          <w:tcPr>
            <w:tcW w:w="667" w:type="dxa"/>
            <w:shd w:val="clear" w:color="auto" w:fill="FFFFFF"/>
            <w:vAlign w:val="bottom"/>
          </w:tcPr>
          <w:p w14:paraId="4A82488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0,4184</w:t>
            </w:r>
          </w:p>
        </w:tc>
        <w:tc>
          <w:tcPr>
            <w:tcW w:w="667" w:type="dxa"/>
            <w:shd w:val="clear" w:color="auto" w:fill="FFFFFF"/>
            <w:vAlign w:val="bottom"/>
          </w:tcPr>
          <w:p w14:paraId="0325E76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0,3980</w:t>
            </w:r>
          </w:p>
        </w:tc>
        <w:tc>
          <w:tcPr>
            <w:tcW w:w="672" w:type="dxa"/>
            <w:shd w:val="clear" w:color="auto" w:fill="FFFFFF"/>
            <w:vAlign w:val="bottom"/>
          </w:tcPr>
          <w:p w14:paraId="602BD56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0,3817</w:t>
            </w:r>
          </w:p>
        </w:tc>
        <w:tc>
          <w:tcPr>
            <w:tcW w:w="667" w:type="dxa"/>
            <w:shd w:val="clear" w:color="auto" w:fill="FFFFFF"/>
            <w:vAlign w:val="bottom"/>
          </w:tcPr>
          <w:p w14:paraId="0CA7A37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0,3682</w:t>
            </w:r>
          </w:p>
        </w:tc>
        <w:tc>
          <w:tcPr>
            <w:tcW w:w="667" w:type="dxa"/>
            <w:shd w:val="clear" w:color="auto" w:fill="FFFFFF"/>
            <w:vAlign w:val="bottom"/>
          </w:tcPr>
          <w:p w14:paraId="1637208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0,3568</w:t>
            </w:r>
          </w:p>
        </w:tc>
        <w:tc>
          <w:tcPr>
            <w:tcW w:w="667" w:type="dxa"/>
            <w:shd w:val="clear" w:color="auto" w:fill="FFFFFF"/>
            <w:vAlign w:val="bottom"/>
          </w:tcPr>
          <w:p w14:paraId="5BE72D5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0,3135</w:t>
            </w:r>
          </w:p>
        </w:tc>
        <w:tc>
          <w:tcPr>
            <w:tcW w:w="667" w:type="dxa"/>
            <w:shd w:val="clear" w:color="auto" w:fill="FFFFFF"/>
            <w:vAlign w:val="bottom"/>
          </w:tcPr>
          <w:p w14:paraId="4EC31DB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0,2612</w:t>
            </w:r>
          </w:p>
        </w:tc>
        <w:tc>
          <w:tcPr>
            <w:tcW w:w="701" w:type="dxa"/>
            <w:shd w:val="clear" w:color="auto" w:fill="FFFFFF"/>
            <w:vAlign w:val="bottom"/>
          </w:tcPr>
          <w:p w14:paraId="2E58281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0,1667</w:t>
            </w:r>
          </w:p>
        </w:tc>
      </w:tr>
      <w:tr w:rsidR="00B834A2" w:rsidRPr="00B07646" w14:paraId="5A57B132" w14:textId="77777777" w:rsidTr="00B834A2">
        <w:trPr>
          <w:jc w:val="center"/>
        </w:trPr>
        <w:tc>
          <w:tcPr>
            <w:tcW w:w="610" w:type="dxa"/>
            <w:shd w:val="clear" w:color="auto" w:fill="FFFFFF"/>
            <w:vAlign w:val="bottom"/>
          </w:tcPr>
          <w:p w14:paraId="48F406B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7</w:t>
            </w:r>
          </w:p>
        </w:tc>
        <w:tc>
          <w:tcPr>
            <w:tcW w:w="754" w:type="dxa"/>
            <w:shd w:val="clear" w:color="auto" w:fill="FFFFFF"/>
            <w:vAlign w:val="bottom"/>
          </w:tcPr>
          <w:p w14:paraId="54B1987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0,7271</w:t>
            </w:r>
          </w:p>
        </w:tc>
        <w:tc>
          <w:tcPr>
            <w:tcW w:w="667" w:type="dxa"/>
            <w:shd w:val="clear" w:color="auto" w:fill="FFFFFF"/>
            <w:vAlign w:val="bottom"/>
          </w:tcPr>
          <w:p w14:paraId="3C337AE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0,5612</w:t>
            </w:r>
          </w:p>
        </w:tc>
        <w:tc>
          <w:tcPr>
            <w:tcW w:w="672" w:type="dxa"/>
            <w:shd w:val="clear" w:color="auto" w:fill="FFFFFF"/>
            <w:vAlign w:val="bottom"/>
          </w:tcPr>
          <w:p w14:paraId="1DFED00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0,4800</w:t>
            </w:r>
          </w:p>
        </w:tc>
        <w:tc>
          <w:tcPr>
            <w:tcW w:w="667" w:type="dxa"/>
            <w:shd w:val="clear" w:color="auto" w:fill="FFFFFF"/>
            <w:vAlign w:val="bottom"/>
          </w:tcPr>
          <w:p w14:paraId="53805E4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0,4307</w:t>
            </w:r>
          </w:p>
        </w:tc>
        <w:tc>
          <w:tcPr>
            <w:tcW w:w="667" w:type="dxa"/>
            <w:shd w:val="clear" w:color="auto" w:fill="FFFFFF"/>
            <w:vAlign w:val="bottom"/>
          </w:tcPr>
          <w:p w14:paraId="7EADEF0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0,3974</w:t>
            </w:r>
          </w:p>
        </w:tc>
        <w:tc>
          <w:tcPr>
            <w:tcW w:w="667" w:type="dxa"/>
            <w:shd w:val="clear" w:color="auto" w:fill="FFFFFF"/>
            <w:vAlign w:val="bottom"/>
          </w:tcPr>
          <w:p w14:paraId="71B70D6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0,3726</w:t>
            </w:r>
          </w:p>
        </w:tc>
        <w:tc>
          <w:tcPr>
            <w:tcW w:w="667" w:type="dxa"/>
            <w:shd w:val="clear" w:color="auto" w:fill="FFFFFF"/>
            <w:vAlign w:val="bottom"/>
          </w:tcPr>
          <w:p w14:paraId="168ABF1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0,3535</w:t>
            </w:r>
          </w:p>
        </w:tc>
        <w:tc>
          <w:tcPr>
            <w:tcW w:w="672" w:type="dxa"/>
            <w:shd w:val="clear" w:color="auto" w:fill="FFFFFF"/>
            <w:vAlign w:val="bottom"/>
          </w:tcPr>
          <w:p w14:paraId="63D129D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0,3384</w:t>
            </w:r>
          </w:p>
        </w:tc>
        <w:tc>
          <w:tcPr>
            <w:tcW w:w="667" w:type="dxa"/>
            <w:shd w:val="clear" w:color="auto" w:fill="FFFFFF"/>
            <w:vAlign w:val="bottom"/>
          </w:tcPr>
          <w:p w14:paraId="6A3E49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0,3259</w:t>
            </w:r>
          </w:p>
        </w:tc>
        <w:tc>
          <w:tcPr>
            <w:tcW w:w="667" w:type="dxa"/>
            <w:shd w:val="clear" w:color="auto" w:fill="FFFFFF"/>
            <w:vAlign w:val="bottom"/>
          </w:tcPr>
          <w:p w14:paraId="7284BFC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0,3154</w:t>
            </w:r>
          </w:p>
        </w:tc>
        <w:tc>
          <w:tcPr>
            <w:tcW w:w="667" w:type="dxa"/>
            <w:shd w:val="clear" w:color="auto" w:fill="FFFFFF"/>
            <w:vAlign w:val="bottom"/>
          </w:tcPr>
          <w:p w14:paraId="69BD0EA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0,2756</w:t>
            </w:r>
          </w:p>
        </w:tc>
        <w:tc>
          <w:tcPr>
            <w:tcW w:w="667" w:type="dxa"/>
            <w:shd w:val="clear" w:color="auto" w:fill="FFFFFF"/>
            <w:vAlign w:val="bottom"/>
          </w:tcPr>
          <w:p w14:paraId="14E7F7B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0,2278</w:t>
            </w:r>
          </w:p>
        </w:tc>
        <w:tc>
          <w:tcPr>
            <w:tcW w:w="701" w:type="dxa"/>
            <w:shd w:val="clear" w:color="auto" w:fill="FFFFFF"/>
            <w:vAlign w:val="bottom"/>
          </w:tcPr>
          <w:p w14:paraId="2216A8D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0,1429</w:t>
            </w:r>
          </w:p>
        </w:tc>
      </w:tr>
      <w:tr w:rsidR="00B834A2" w:rsidRPr="00B07646" w14:paraId="21736C14" w14:textId="77777777" w:rsidTr="00B834A2">
        <w:trPr>
          <w:jc w:val="center"/>
        </w:trPr>
        <w:tc>
          <w:tcPr>
            <w:tcW w:w="610" w:type="dxa"/>
            <w:shd w:val="clear" w:color="auto" w:fill="FFFFFF"/>
            <w:vAlign w:val="bottom"/>
          </w:tcPr>
          <w:p w14:paraId="71359F6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8</w:t>
            </w:r>
          </w:p>
        </w:tc>
        <w:tc>
          <w:tcPr>
            <w:tcW w:w="754" w:type="dxa"/>
            <w:shd w:val="clear" w:color="auto" w:fill="FFFFFF"/>
            <w:vAlign w:val="bottom"/>
          </w:tcPr>
          <w:p w14:paraId="313052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0,6798</w:t>
            </w:r>
          </w:p>
        </w:tc>
        <w:tc>
          <w:tcPr>
            <w:tcW w:w="667" w:type="dxa"/>
            <w:shd w:val="clear" w:color="auto" w:fill="FFFFFF"/>
            <w:vAlign w:val="bottom"/>
          </w:tcPr>
          <w:p w14:paraId="25E2D1F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0,5157</w:t>
            </w:r>
          </w:p>
        </w:tc>
        <w:tc>
          <w:tcPr>
            <w:tcW w:w="672" w:type="dxa"/>
            <w:shd w:val="clear" w:color="auto" w:fill="FFFFFF"/>
            <w:vAlign w:val="bottom"/>
          </w:tcPr>
          <w:p w14:paraId="099C9D4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0,4377</w:t>
            </w:r>
          </w:p>
        </w:tc>
        <w:tc>
          <w:tcPr>
            <w:tcW w:w="667" w:type="dxa"/>
            <w:shd w:val="clear" w:color="auto" w:fill="FFFFFF"/>
            <w:vAlign w:val="bottom"/>
          </w:tcPr>
          <w:p w14:paraId="584ABCB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0,3910</w:t>
            </w:r>
          </w:p>
        </w:tc>
        <w:tc>
          <w:tcPr>
            <w:tcW w:w="667" w:type="dxa"/>
            <w:shd w:val="clear" w:color="auto" w:fill="FFFFFF"/>
            <w:vAlign w:val="bottom"/>
          </w:tcPr>
          <w:p w14:paraId="4637292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0,3595</w:t>
            </w:r>
          </w:p>
        </w:tc>
        <w:tc>
          <w:tcPr>
            <w:tcW w:w="667" w:type="dxa"/>
            <w:shd w:val="clear" w:color="auto" w:fill="FFFFFF"/>
            <w:vAlign w:val="bottom"/>
          </w:tcPr>
          <w:p w14:paraId="4D32812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0,3362</w:t>
            </w:r>
          </w:p>
        </w:tc>
        <w:tc>
          <w:tcPr>
            <w:tcW w:w="667" w:type="dxa"/>
            <w:shd w:val="clear" w:color="auto" w:fill="FFFFFF"/>
            <w:vAlign w:val="bottom"/>
          </w:tcPr>
          <w:p w14:paraId="25909F2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0,3185</w:t>
            </w:r>
          </w:p>
        </w:tc>
        <w:tc>
          <w:tcPr>
            <w:tcW w:w="672" w:type="dxa"/>
            <w:shd w:val="clear" w:color="auto" w:fill="FFFFFF"/>
            <w:vAlign w:val="bottom"/>
          </w:tcPr>
          <w:p w14:paraId="3836CF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0,3043</w:t>
            </w:r>
          </w:p>
        </w:tc>
        <w:tc>
          <w:tcPr>
            <w:tcW w:w="667" w:type="dxa"/>
            <w:shd w:val="clear" w:color="auto" w:fill="FFFFFF"/>
            <w:vAlign w:val="bottom"/>
          </w:tcPr>
          <w:p w14:paraId="29BE436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0,2926</w:t>
            </w:r>
          </w:p>
        </w:tc>
        <w:tc>
          <w:tcPr>
            <w:tcW w:w="667" w:type="dxa"/>
            <w:shd w:val="clear" w:color="auto" w:fill="FFFFFF"/>
            <w:vAlign w:val="bottom"/>
          </w:tcPr>
          <w:p w14:paraId="032DBD9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0,2829</w:t>
            </w:r>
          </w:p>
        </w:tc>
        <w:tc>
          <w:tcPr>
            <w:tcW w:w="667" w:type="dxa"/>
            <w:shd w:val="clear" w:color="auto" w:fill="FFFFFF"/>
            <w:vAlign w:val="bottom"/>
          </w:tcPr>
          <w:p w14:paraId="0CCEE92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0,2462</w:t>
            </w:r>
          </w:p>
        </w:tc>
        <w:tc>
          <w:tcPr>
            <w:tcW w:w="667" w:type="dxa"/>
            <w:shd w:val="clear" w:color="auto" w:fill="FFFFFF"/>
            <w:vAlign w:val="bottom"/>
          </w:tcPr>
          <w:p w14:paraId="78D43A5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0,2022</w:t>
            </w:r>
          </w:p>
        </w:tc>
        <w:tc>
          <w:tcPr>
            <w:tcW w:w="701" w:type="dxa"/>
            <w:shd w:val="clear" w:color="auto" w:fill="FFFFFF"/>
            <w:vAlign w:val="bottom"/>
          </w:tcPr>
          <w:p w14:paraId="00CF080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0,1250</w:t>
            </w:r>
          </w:p>
        </w:tc>
      </w:tr>
      <w:tr w:rsidR="00B834A2" w:rsidRPr="00B07646" w14:paraId="0D4C95CB" w14:textId="77777777" w:rsidTr="00B834A2">
        <w:trPr>
          <w:jc w:val="center"/>
        </w:trPr>
        <w:tc>
          <w:tcPr>
            <w:tcW w:w="610" w:type="dxa"/>
            <w:shd w:val="clear" w:color="auto" w:fill="FFFFFF"/>
            <w:vAlign w:val="bottom"/>
          </w:tcPr>
          <w:p w14:paraId="640600F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9</w:t>
            </w:r>
          </w:p>
        </w:tc>
        <w:tc>
          <w:tcPr>
            <w:tcW w:w="754" w:type="dxa"/>
            <w:shd w:val="clear" w:color="auto" w:fill="FFFFFF"/>
            <w:vAlign w:val="bottom"/>
          </w:tcPr>
          <w:p w14:paraId="555F4CC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0,6385</w:t>
            </w:r>
          </w:p>
        </w:tc>
        <w:tc>
          <w:tcPr>
            <w:tcW w:w="667" w:type="dxa"/>
            <w:shd w:val="clear" w:color="auto" w:fill="FFFFFF"/>
            <w:vAlign w:val="bottom"/>
          </w:tcPr>
          <w:p w14:paraId="441105A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0,4775</w:t>
            </w:r>
          </w:p>
        </w:tc>
        <w:tc>
          <w:tcPr>
            <w:tcW w:w="672" w:type="dxa"/>
            <w:shd w:val="clear" w:color="auto" w:fill="FFFFFF"/>
            <w:vAlign w:val="bottom"/>
          </w:tcPr>
          <w:p w14:paraId="5C1364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0,4027</w:t>
            </w:r>
          </w:p>
        </w:tc>
        <w:tc>
          <w:tcPr>
            <w:tcW w:w="667" w:type="dxa"/>
            <w:shd w:val="clear" w:color="auto" w:fill="FFFFFF"/>
            <w:vAlign w:val="bottom"/>
          </w:tcPr>
          <w:p w14:paraId="6F0C648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0,3584</w:t>
            </w:r>
          </w:p>
        </w:tc>
        <w:tc>
          <w:tcPr>
            <w:tcW w:w="667" w:type="dxa"/>
            <w:shd w:val="clear" w:color="auto" w:fill="FFFFFF"/>
            <w:vAlign w:val="bottom"/>
          </w:tcPr>
          <w:p w14:paraId="497A506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0,3286</w:t>
            </w:r>
          </w:p>
        </w:tc>
        <w:tc>
          <w:tcPr>
            <w:tcW w:w="667" w:type="dxa"/>
            <w:shd w:val="clear" w:color="auto" w:fill="FFFFFF"/>
            <w:vAlign w:val="bottom"/>
          </w:tcPr>
          <w:p w14:paraId="746BA83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0,3067</w:t>
            </w:r>
          </w:p>
        </w:tc>
        <w:tc>
          <w:tcPr>
            <w:tcW w:w="667" w:type="dxa"/>
            <w:shd w:val="clear" w:color="auto" w:fill="FFFFFF"/>
            <w:vAlign w:val="bottom"/>
          </w:tcPr>
          <w:p w14:paraId="6121C25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0,2901</w:t>
            </w:r>
          </w:p>
        </w:tc>
        <w:tc>
          <w:tcPr>
            <w:tcW w:w="672" w:type="dxa"/>
            <w:shd w:val="clear" w:color="auto" w:fill="FFFFFF"/>
            <w:vAlign w:val="bottom"/>
          </w:tcPr>
          <w:p w14:paraId="6729547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0,2768</w:t>
            </w:r>
          </w:p>
        </w:tc>
        <w:tc>
          <w:tcPr>
            <w:tcW w:w="667" w:type="dxa"/>
            <w:shd w:val="clear" w:color="auto" w:fill="FFFFFF"/>
            <w:vAlign w:val="bottom"/>
          </w:tcPr>
          <w:p w14:paraId="3799BF9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0,2659</w:t>
            </w:r>
          </w:p>
        </w:tc>
        <w:tc>
          <w:tcPr>
            <w:tcW w:w="667" w:type="dxa"/>
            <w:shd w:val="clear" w:color="auto" w:fill="FFFFFF"/>
            <w:vAlign w:val="bottom"/>
          </w:tcPr>
          <w:p w14:paraId="2058728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0,2568</w:t>
            </w:r>
          </w:p>
        </w:tc>
        <w:tc>
          <w:tcPr>
            <w:tcW w:w="667" w:type="dxa"/>
            <w:shd w:val="clear" w:color="auto" w:fill="FFFFFF"/>
            <w:vAlign w:val="bottom"/>
          </w:tcPr>
          <w:p w14:paraId="7C2D867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0,2226</w:t>
            </w:r>
          </w:p>
        </w:tc>
        <w:tc>
          <w:tcPr>
            <w:tcW w:w="667" w:type="dxa"/>
            <w:shd w:val="clear" w:color="auto" w:fill="FFFFFF"/>
            <w:vAlign w:val="bottom"/>
          </w:tcPr>
          <w:p w14:paraId="798D827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0,1820</w:t>
            </w:r>
          </w:p>
        </w:tc>
        <w:tc>
          <w:tcPr>
            <w:tcW w:w="701" w:type="dxa"/>
            <w:shd w:val="clear" w:color="auto" w:fill="FFFFFF"/>
            <w:vAlign w:val="bottom"/>
          </w:tcPr>
          <w:p w14:paraId="44D3D2D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0,1111</w:t>
            </w:r>
          </w:p>
        </w:tc>
      </w:tr>
      <w:tr w:rsidR="00B834A2" w:rsidRPr="00B07646" w14:paraId="68319215" w14:textId="77777777" w:rsidTr="00B834A2">
        <w:trPr>
          <w:jc w:val="center"/>
        </w:trPr>
        <w:tc>
          <w:tcPr>
            <w:tcW w:w="610" w:type="dxa"/>
            <w:shd w:val="clear" w:color="auto" w:fill="FFFFFF"/>
            <w:vAlign w:val="center"/>
          </w:tcPr>
          <w:p w14:paraId="4E1B40B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10</w:t>
            </w:r>
          </w:p>
        </w:tc>
        <w:tc>
          <w:tcPr>
            <w:tcW w:w="754" w:type="dxa"/>
            <w:shd w:val="clear" w:color="auto" w:fill="FFFFFF"/>
            <w:vAlign w:val="center"/>
          </w:tcPr>
          <w:p w14:paraId="068FBB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0,6020</w:t>
            </w:r>
          </w:p>
        </w:tc>
        <w:tc>
          <w:tcPr>
            <w:tcW w:w="667" w:type="dxa"/>
            <w:shd w:val="clear" w:color="auto" w:fill="FFFFFF"/>
            <w:vAlign w:val="center"/>
          </w:tcPr>
          <w:p w14:paraId="5317F3D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0,4450</w:t>
            </w:r>
          </w:p>
        </w:tc>
        <w:tc>
          <w:tcPr>
            <w:tcW w:w="672" w:type="dxa"/>
            <w:shd w:val="clear" w:color="auto" w:fill="FFFFFF"/>
            <w:vAlign w:val="center"/>
          </w:tcPr>
          <w:p w14:paraId="58F3362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0,3733</w:t>
            </w:r>
          </w:p>
        </w:tc>
        <w:tc>
          <w:tcPr>
            <w:tcW w:w="667" w:type="dxa"/>
            <w:shd w:val="clear" w:color="auto" w:fill="FFFFFF"/>
            <w:vAlign w:val="center"/>
          </w:tcPr>
          <w:p w14:paraId="05708FD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0,3311</w:t>
            </w:r>
          </w:p>
        </w:tc>
        <w:tc>
          <w:tcPr>
            <w:tcW w:w="667" w:type="dxa"/>
            <w:shd w:val="clear" w:color="auto" w:fill="FFFFFF"/>
            <w:vAlign w:val="center"/>
          </w:tcPr>
          <w:p w14:paraId="4A4A1A1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0,3029</w:t>
            </w:r>
          </w:p>
        </w:tc>
        <w:tc>
          <w:tcPr>
            <w:tcW w:w="667" w:type="dxa"/>
            <w:shd w:val="clear" w:color="auto" w:fill="FFFFFF"/>
            <w:vAlign w:val="center"/>
          </w:tcPr>
          <w:p w14:paraId="17D8DEE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0,2823</w:t>
            </w:r>
          </w:p>
        </w:tc>
        <w:tc>
          <w:tcPr>
            <w:tcW w:w="667" w:type="dxa"/>
            <w:shd w:val="clear" w:color="auto" w:fill="FFFFFF"/>
            <w:vAlign w:val="center"/>
          </w:tcPr>
          <w:p w14:paraId="75EBC38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0,2666</w:t>
            </w:r>
          </w:p>
        </w:tc>
        <w:tc>
          <w:tcPr>
            <w:tcW w:w="672" w:type="dxa"/>
            <w:shd w:val="clear" w:color="auto" w:fill="FFFFFF"/>
            <w:vAlign w:val="center"/>
          </w:tcPr>
          <w:p w14:paraId="70B988D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0,2541</w:t>
            </w:r>
          </w:p>
        </w:tc>
        <w:tc>
          <w:tcPr>
            <w:tcW w:w="667" w:type="dxa"/>
            <w:shd w:val="clear" w:color="auto" w:fill="FFFFFF"/>
            <w:vAlign w:val="center"/>
          </w:tcPr>
          <w:p w14:paraId="18C41FF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0,2439</w:t>
            </w:r>
          </w:p>
        </w:tc>
        <w:tc>
          <w:tcPr>
            <w:tcW w:w="667" w:type="dxa"/>
            <w:shd w:val="clear" w:color="auto" w:fill="FFFFFF"/>
            <w:vAlign w:val="center"/>
          </w:tcPr>
          <w:p w14:paraId="370BEC1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0,2353</w:t>
            </w:r>
          </w:p>
        </w:tc>
        <w:tc>
          <w:tcPr>
            <w:tcW w:w="667" w:type="dxa"/>
            <w:shd w:val="clear" w:color="auto" w:fill="FFFFFF"/>
            <w:vAlign w:val="center"/>
          </w:tcPr>
          <w:p w14:paraId="5F6C737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0,2032</w:t>
            </w:r>
          </w:p>
        </w:tc>
        <w:tc>
          <w:tcPr>
            <w:tcW w:w="667" w:type="dxa"/>
            <w:shd w:val="clear" w:color="auto" w:fill="FFFFFF"/>
            <w:vAlign w:val="center"/>
          </w:tcPr>
          <w:p w14:paraId="5E96588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0,1655</w:t>
            </w:r>
          </w:p>
        </w:tc>
        <w:tc>
          <w:tcPr>
            <w:tcW w:w="701" w:type="dxa"/>
            <w:shd w:val="clear" w:color="auto" w:fill="FFFFFF"/>
            <w:vAlign w:val="center"/>
          </w:tcPr>
          <w:p w14:paraId="48CFD52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0,1000</w:t>
            </w:r>
          </w:p>
        </w:tc>
      </w:tr>
      <w:tr w:rsidR="00B834A2" w:rsidRPr="00B07646" w14:paraId="74CB8384" w14:textId="77777777" w:rsidTr="00B834A2">
        <w:trPr>
          <w:jc w:val="center"/>
        </w:trPr>
        <w:tc>
          <w:tcPr>
            <w:tcW w:w="610" w:type="dxa"/>
            <w:shd w:val="clear" w:color="auto" w:fill="FFFFFF"/>
            <w:vAlign w:val="bottom"/>
          </w:tcPr>
          <w:p w14:paraId="50BE2A1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12</w:t>
            </w:r>
          </w:p>
        </w:tc>
        <w:tc>
          <w:tcPr>
            <w:tcW w:w="754" w:type="dxa"/>
            <w:shd w:val="clear" w:color="auto" w:fill="FFFFFF"/>
            <w:vAlign w:val="bottom"/>
          </w:tcPr>
          <w:p w14:paraId="2A607A0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0,5410</w:t>
            </w:r>
          </w:p>
        </w:tc>
        <w:tc>
          <w:tcPr>
            <w:tcW w:w="667" w:type="dxa"/>
            <w:shd w:val="clear" w:color="auto" w:fill="FFFFFF"/>
            <w:vAlign w:val="bottom"/>
          </w:tcPr>
          <w:p w14:paraId="5235828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0,3924</w:t>
            </w:r>
          </w:p>
        </w:tc>
        <w:tc>
          <w:tcPr>
            <w:tcW w:w="672" w:type="dxa"/>
            <w:shd w:val="clear" w:color="auto" w:fill="FFFFFF"/>
            <w:vAlign w:val="bottom"/>
          </w:tcPr>
          <w:p w14:paraId="69DD732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0,3264</w:t>
            </w:r>
          </w:p>
        </w:tc>
        <w:tc>
          <w:tcPr>
            <w:tcW w:w="667" w:type="dxa"/>
            <w:shd w:val="clear" w:color="auto" w:fill="FFFFFF"/>
            <w:vAlign w:val="bottom"/>
          </w:tcPr>
          <w:p w14:paraId="6F97472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0,2880</w:t>
            </w:r>
          </w:p>
        </w:tc>
        <w:tc>
          <w:tcPr>
            <w:tcW w:w="667" w:type="dxa"/>
            <w:shd w:val="clear" w:color="auto" w:fill="FFFFFF"/>
            <w:vAlign w:val="bottom"/>
          </w:tcPr>
          <w:p w14:paraId="1992896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0,2624</w:t>
            </w:r>
          </w:p>
        </w:tc>
        <w:tc>
          <w:tcPr>
            <w:tcW w:w="667" w:type="dxa"/>
            <w:shd w:val="clear" w:color="auto" w:fill="FFFFFF"/>
            <w:vAlign w:val="bottom"/>
          </w:tcPr>
          <w:p w14:paraId="25ADF83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0,2439</w:t>
            </w:r>
          </w:p>
        </w:tc>
        <w:tc>
          <w:tcPr>
            <w:tcW w:w="667" w:type="dxa"/>
            <w:shd w:val="clear" w:color="auto" w:fill="FFFFFF"/>
            <w:vAlign w:val="bottom"/>
          </w:tcPr>
          <w:p w14:paraId="1E18B1A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0,2299</w:t>
            </w:r>
          </w:p>
        </w:tc>
        <w:tc>
          <w:tcPr>
            <w:tcW w:w="672" w:type="dxa"/>
            <w:shd w:val="clear" w:color="auto" w:fill="FFFFFF"/>
            <w:vAlign w:val="bottom"/>
          </w:tcPr>
          <w:p w14:paraId="3464DCD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0,2187</w:t>
            </w:r>
          </w:p>
        </w:tc>
        <w:tc>
          <w:tcPr>
            <w:tcW w:w="667" w:type="dxa"/>
            <w:shd w:val="clear" w:color="auto" w:fill="FFFFFF"/>
            <w:vAlign w:val="bottom"/>
          </w:tcPr>
          <w:p w14:paraId="1C78F74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0,2098</w:t>
            </w:r>
          </w:p>
        </w:tc>
        <w:tc>
          <w:tcPr>
            <w:tcW w:w="667" w:type="dxa"/>
            <w:shd w:val="clear" w:color="auto" w:fill="FFFFFF"/>
            <w:vAlign w:val="bottom"/>
          </w:tcPr>
          <w:p w14:paraId="67B32A1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0,2020</w:t>
            </w:r>
          </w:p>
        </w:tc>
        <w:tc>
          <w:tcPr>
            <w:tcW w:w="667" w:type="dxa"/>
            <w:shd w:val="clear" w:color="auto" w:fill="FFFFFF"/>
            <w:vAlign w:val="bottom"/>
          </w:tcPr>
          <w:p w14:paraId="5F62C99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0,1737</w:t>
            </w:r>
          </w:p>
        </w:tc>
        <w:tc>
          <w:tcPr>
            <w:tcW w:w="667" w:type="dxa"/>
            <w:shd w:val="clear" w:color="auto" w:fill="FFFFFF"/>
            <w:vAlign w:val="bottom"/>
          </w:tcPr>
          <w:p w14:paraId="6BDD5F4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0,1403</w:t>
            </w:r>
          </w:p>
        </w:tc>
        <w:tc>
          <w:tcPr>
            <w:tcW w:w="701" w:type="dxa"/>
            <w:shd w:val="clear" w:color="auto" w:fill="FFFFFF"/>
            <w:vAlign w:val="bottom"/>
          </w:tcPr>
          <w:p w14:paraId="269D1F6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0,0833</w:t>
            </w:r>
          </w:p>
        </w:tc>
      </w:tr>
      <w:tr w:rsidR="00B834A2" w:rsidRPr="00B07646" w14:paraId="1F0536AC" w14:textId="77777777" w:rsidTr="00B834A2">
        <w:trPr>
          <w:jc w:val="center"/>
        </w:trPr>
        <w:tc>
          <w:tcPr>
            <w:tcW w:w="610" w:type="dxa"/>
            <w:shd w:val="clear" w:color="auto" w:fill="FFFFFF"/>
            <w:vAlign w:val="bottom"/>
          </w:tcPr>
          <w:p w14:paraId="3E8166E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15</w:t>
            </w:r>
          </w:p>
        </w:tc>
        <w:tc>
          <w:tcPr>
            <w:tcW w:w="754" w:type="dxa"/>
            <w:shd w:val="clear" w:color="auto" w:fill="FFFFFF"/>
            <w:vAlign w:val="bottom"/>
          </w:tcPr>
          <w:p w14:paraId="055466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0,4709</w:t>
            </w:r>
          </w:p>
        </w:tc>
        <w:tc>
          <w:tcPr>
            <w:tcW w:w="667" w:type="dxa"/>
            <w:shd w:val="clear" w:color="auto" w:fill="FFFFFF"/>
            <w:vAlign w:val="bottom"/>
          </w:tcPr>
          <w:p w14:paraId="11DB25C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0,3346</w:t>
            </w:r>
          </w:p>
        </w:tc>
        <w:tc>
          <w:tcPr>
            <w:tcW w:w="672" w:type="dxa"/>
            <w:shd w:val="clear" w:color="auto" w:fill="FFFFFF"/>
            <w:vAlign w:val="bottom"/>
          </w:tcPr>
          <w:p w14:paraId="1F44700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0,2758</w:t>
            </w:r>
          </w:p>
        </w:tc>
        <w:tc>
          <w:tcPr>
            <w:tcW w:w="667" w:type="dxa"/>
            <w:shd w:val="clear" w:color="auto" w:fill="FFFFFF"/>
            <w:vAlign w:val="bottom"/>
          </w:tcPr>
          <w:p w14:paraId="1F8B5DC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0,2419</w:t>
            </w:r>
          </w:p>
        </w:tc>
        <w:tc>
          <w:tcPr>
            <w:tcW w:w="667" w:type="dxa"/>
            <w:shd w:val="clear" w:color="auto" w:fill="FFFFFF"/>
            <w:vAlign w:val="bottom"/>
          </w:tcPr>
          <w:p w14:paraId="4099072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0,2195</w:t>
            </w:r>
          </w:p>
        </w:tc>
        <w:tc>
          <w:tcPr>
            <w:tcW w:w="667" w:type="dxa"/>
            <w:shd w:val="clear" w:color="auto" w:fill="FFFFFF"/>
            <w:vAlign w:val="bottom"/>
          </w:tcPr>
          <w:p w14:paraId="49B3A8E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0,2034</w:t>
            </w:r>
          </w:p>
        </w:tc>
        <w:tc>
          <w:tcPr>
            <w:tcW w:w="667" w:type="dxa"/>
            <w:shd w:val="clear" w:color="auto" w:fill="FFFFFF"/>
            <w:vAlign w:val="bottom"/>
          </w:tcPr>
          <w:p w14:paraId="0C62671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0,1911</w:t>
            </w:r>
          </w:p>
        </w:tc>
        <w:tc>
          <w:tcPr>
            <w:tcW w:w="672" w:type="dxa"/>
            <w:shd w:val="clear" w:color="auto" w:fill="FFFFFF"/>
            <w:vAlign w:val="bottom"/>
          </w:tcPr>
          <w:p w14:paraId="36192B9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0,1815</w:t>
            </w:r>
          </w:p>
        </w:tc>
        <w:tc>
          <w:tcPr>
            <w:tcW w:w="667" w:type="dxa"/>
            <w:shd w:val="clear" w:color="auto" w:fill="FFFFFF"/>
            <w:vAlign w:val="bottom"/>
          </w:tcPr>
          <w:p w14:paraId="7EAA9BC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0,1736</w:t>
            </w:r>
          </w:p>
        </w:tc>
        <w:tc>
          <w:tcPr>
            <w:tcW w:w="667" w:type="dxa"/>
            <w:shd w:val="clear" w:color="auto" w:fill="FFFFFF"/>
            <w:vAlign w:val="bottom"/>
          </w:tcPr>
          <w:p w14:paraId="7226B2D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0,1671</w:t>
            </w:r>
          </w:p>
        </w:tc>
        <w:tc>
          <w:tcPr>
            <w:tcW w:w="667" w:type="dxa"/>
            <w:shd w:val="clear" w:color="auto" w:fill="FFFFFF"/>
            <w:vAlign w:val="bottom"/>
          </w:tcPr>
          <w:p w14:paraId="51A735F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0,1429</w:t>
            </w:r>
          </w:p>
        </w:tc>
        <w:tc>
          <w:tcPr>
            <w:tcW w:w="667" w:type="dxa"/>
            <w:shd w:val="clear" w:color="auto" w:fill="FFFFFF"/>
            <w:vAlign w:val="bottom"/>
          </w:tcPr>
          <w:p w14:paraId="16CE6BE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0,1144</w:t>
            </w:r>
          </w:p>
        </w:tc>
        <w:tc>
          <w:tcPr>
            <w:tcW w:w="701" w:type="dxa"/>
            <w:shd w:val="clear" w:color="auto" w:fill="FFFFFF"/>
            <w:vAlign w:val="bottom"/>
          </w:tcPr>
          <w:p w14:paraId="080E134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0,0667</w:t>
            </w:r>
          </w:p>
        </w:tc>
      </w:tr>
      <w:tr w:rsidR="00B834A2" w:rsidRPr="00B07646" w14:paraId="4A711B9E" w14:textId="77777777" w:rsidTr="00B834A2">
        <w:trPr>
          <w:jc w:val="center"/>
        </w:trPr>
        <w:tc>
          <w:tcPr>
            <w:tcW w:w="610" w:type="dxa"/>
            <w:shd w:val="clear" w:color="auto" w:fill="FFFFFF"/>
            <w:vAlign w:val="bottom"/>
          </w:tcPr>
          <w:p w14:paraId="260F35B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lastRenderedPageBreak/>
              <w:t>20</w:t>
            </w:r>
          </w:p>
        </w:tc>
        <w:tc>
          <w:tcPr>
            <w:tcW w:w="754" w:type="dxa"/>
            <w:shd w:val="clear" w:color="auto" w:fill="FFFFFF"/>
            <w:vAlign w:val="bottom"/>
          </w:tcPr>
          <w:p w14:paraId="308C36B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0,3894</w:t>
            </w:r>
          </w:p>
        </w:tc>
        <w:tc>
          <w:tcPr>
            <w:tcW w:w="667" w:type="dxa"/>
            <w:shd w:val="clear" w:color="auto" w:fill="FFFFFF"/>
            <w:vAlign w:val="bottom"/>
          </w:tcPr>
          <w:p w14:paraId="0E1B319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0,2705</w:t>
            </w:r>
          </w:p>
        </w:tc>
        <w:tc>
          <w:tcPr>
            <w:tcW w:w="672" w:type="dxa"/>
            <w:shd w:val="clear" w:color="auto" w:fill="FFFFFF"/>
            <w:vAlign w:val="bottom"/>
          </w:tcPr>
          <w:p w14:paraId="444B43E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0,2205</w:t>
            </w:r>
          </w:p>
        </w:tc>
        <w:tc>
          <w:tcPr>
            <w:tcW w:w="667" w:type="dxa"/>
            <w:shd w:val="clear" w:color="auto" w:fill="FFFFFF"/>
            <w:vAlign w:val="bottom"/>
          </w:tcPr>
          <w:p w14:paraId="1678D60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0,1921</w:t>
            </w:r>
          </w:p>
        </w:tc>
        <w:tc>
          <w:tcPr>
            <w:tcW w:w="667" w:type="dxa"/>
            <w:shd w:val="clear" w:color="auto" w:fill="FFFFFF"/>
            <w:vAlign w:val="bottom"/>
          </w:tcPr>
          <w:p w14:paraId="34B78D9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0,1735</w:t>
            </w:r>
          </w:p>
        </w:tc>
        <w:tc>
          <w:tcPr>
            <w:tcW w:w="667" w:type="dxa"/>
            <w:shd w:val="clear" w:color="auto" w:fill="FFFFFF"/>
            <w:vAlign w:val="bottom"/>
          </w:tcPr>
          <w:p w14:paraId="00C03C9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0,1602</w:t>
            </w:r>
          </w:p>
        </w:tc>
        <w:tc>
          <w:tcPr>
            <w:tcW w:w="667" w:type="dxa"/>
            <w:shd w:val="clear" w:color="auto" w:fill="FFFFFF"/>
            <w:vAlign w:val="bottom"/>
          </w:tcPr>
          <w:p w14:paraId="69E1390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0,1501</w:t>
            </w:r>
          </w:p>
        </w:tc>
        <w:tc>
          <w:tcPr>
            <w:tcW w:w="672" w:type="dxa"/>
            <w:shd w:val="clear" w:color="auto" w:fill="FFFFFF"/>
            <w:vAlign w:val="bottom"/>
          </w:tcPr>
          <w:p w14:paraId="0056C3E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0,1422</w:t>
            </w:r>
          </w:p>
        </w:tc>
        <w:tc>
          <w:tcPr>
            <w:tcW w:w="667" w:type="dxa"/>
            <w:shd w:val="clear" w:color="auto" w:fill="FFFFFF"/>
            <w:vAlign w:val="bottom"/>
          </w:tcPr>
          <w:p w14:paraId="1BA53BF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0,1357</w:t>
            </w:r>
          </w:p>
        </w:tc>
        <w:tc>
          <w:tcPr>
            <w:tcW w:w="667" w:type="dxa"/>
            <w:shd w:val="clear" w:color="auto" w:fill="FFFFFF"/>
            <w:vAlign w:val="bottom"/>
          </w:tcPr>
          <w:p w14:paraId="2CFB746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0,1303</w:t>
            </w:r>
          </w:p>
        </w:tc>
        <w:tc>
          <w:tcPr>
            <w:tcW w:w="667" w:type="dxa"/>
            <w:shd w:val="clear" w:color="auto" w:fill="FFFFFF"/>
            <w:vAlign w:val="bottom"/>
          </w:tcPr>
          <w:p w14:paraId="45ACDE8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0,1108</w:t>
            </w:r>
          </w:p>
        </w:tc>
        <w:tc>
          <w:tcPr>
            <w:tcW w:w="667" w:type="dxa"/>
            <w:shd w:val="clear" w:color="auto" w:fill="FFFFFF"/>
            <w:vAlign w:val="bottom"/>
          </w:tcPr>
          <w:p w14:paraId="13E1650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0,0879</w:t>
            </w:r>
          </w:p>
        </w:tc>
        <w:tc>
          <w:tcPr>
            <w:tcW w:w="701" w:type="dxa"/>
            <w:shd w:val="clear" w:color="auto" w:fill="FFFFFF"/>
            <w:vAlign w:val="bottom"/>
          </w:tcPr>
          <w:p w14:paraId="48ED15F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0,0500</w:t>
            </w:r>
          </w:p>
        </w:tc>
      </w:tr>
      <w:tr w:rsidR="00B834A2" w:rsidRPr="00B07646" w14:paraId="65B73D8E" w14:textId="77777777" w:rsidTr="00B834A2">
        <w:trPr>
          <w:jc w:val="center"/>
        </w:trPr>
        <w:tc>
          <w:tcPr>
            <w:tcW w:w="610" w:type="dxa"/>
            <w:shd w:val="clear" w:color="auto" w:fill="FFFFFF"/>
            <w:vAlign w:val="bottom"/>
          </w:tcPr>
          <w:p w14:paraId="703D69A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24</w:t>
            </w:r>
          </w:p>
        </w:tc>
        <w:tc>
          <w:tcPr>
            <w:tcW w:w="754" w:type="dxa"/>
            <w:shd w:val="clear" w:color="auto" w:fill="FFFFFF"/>
            <w:vAlign w:val="bottom"/>
          </w:tcPr>
          <w:p w14:paraId="7F0AB25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0,3434</w:t>
            </w:r>
          </w:p>
        </w:tc>
        <w:tc>
          <w:tcPr>
            <w:tcW w:w="667" w:type="dxa"/>
            <w:shd w:val="clear" w:color="auto" w:fill="FFFFFF"/>
            <w:vAlign w:val="bottom"/>
          </w:tcPr>
          <w:p w14:paraId="58686D8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0,2354</w:t>
            </w:r>
          </w:p>
        </w:tc>
        <w:tc>
          <w:tcPr>
            <w:tcW w:w="672" w:type="dxa"/>
            <w:shd w:val="clear" w:color="auto" w:fill="FFFFFF"/>
            <w:vAlign w:val="bottom"/>
          </w:tcPr>
          <w:p w14:paraId="393E974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0,1907</w:t>
            </w:r>
          </w:p>
        </w:tc>
        <w:tc>
          <w:tcPr>
            <w:tcW w:w="667" w:type="dxa"/>
            <w:shd w:val="clear" w:color="auto" w:fill="FFFFFF"/>
            <w:vAlign w:val="bottom"/>
          </w:tcPr>
          <w:p w14:paraId="313D6FD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0,1656</w:t>
            </w:r>
          </w:p>
        </w:tc>
        <w:tc>
          <w:tcPr>
            <w:tcW w:w="667" w:type="dxa"/>
            <w:shd w:val="clear" w:color="auto" w:fill="FFFFFF"/>
            <w:vAlign w:val="bottom"/>
          </w:tcPr>
          <w:p w14:paraId="1CF8025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0,1493</w:t>
            </w:r>
          </w:p>
        </w:tc>
        <w:tc>
          <w:tcPr>
            <w:tcW w:w="667" w:type="dxa"/>
            <w:shd w:val="clear" w:color="auto" w:fill="FFFFFF"/>
            <w:vAlign w:val="bottom"/>
          </w:tcPr>
          <w:p w14:paraId="717E93C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0,1374</w:t>
            </w:r>
          </w:p>
        </w:tc>
        <w:tc>
          <w:tcPr>
            <w:tcW w:w="667" w:type="dxa"/>
            <w:shd w:val="clear" w:color="auto" w:fill="FFFFFF"/>
            <w:vAlign w:val="bottom"/>
          </w:tcPr>
          <w:p w14:paraId="1FF820C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0,1286</w:t>
            </w:r>
          </w:p>
        </w:tc>
        <w:tc>
          <w:tcPr>
            <w:tcW w:w="672" w:type="dxa"/>
            <w:shd w:val="clear" w:color="auto" w:fill="FFFFFF"/>
            <w:vAlign w:val="bottom"/>
          </w:tcPr>
          <w:p w14:paraId="0D0DF99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0,1216</w:t>
            </w:r>
          </w:p>
        </w:tc>
        <w:tc>
          <w:tcPr>
            <w:tcW w:w="667" w:type="dxa"/>
            <w:shd w:val="clear" w:color="auto" w:fill="FFFFFF"/>
            <w:vAlign w:val="bottom"/>
          </w:tcPr>
          <w:p w14:paraId="6C2BD48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0,1160</w:t>
            </w:r>
          </w:p>
        </w:tc>
        <w:tc>
          <w:tcPr>
            <w:tcW w:w="667" w:type="dxa"/>
            <w:shd w:val="clear" w:color="auto" w:fill="FFFFFF"/>
            <w:vAlign w:val="bottom"/>
          </w:tcPr>
          <w:p w14:paraId="68859A0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0,1113</w:t>
            </w:r>
          </w:p>
        </w:tc>
        <w:tc>
          <w:tcPr>
            <w:tcW w:w="667" w:type="dxa"/>
            <w:shd w:val="clear" w:color="auto" w:fill="FFFFFF"/>
            <w:vAlign w:val="bottom"/>
          </w:tcPr>
          <w:p w14:paraId="687408E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0,0912</w:t>
            </w:r>
          </w:p>
        </w:tc>
        <w:tc>
          <w:tcPr>
            <w:tcW w:w="667" w:type="dxa"/>
            <w:shd w:val="clear" w:color="auto" w:fill="FFFFFF"/>
            <w:vAlign w:val="bottom"/>
          </w:tcPr>
          <w:p w14:paraId="4685EBB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0,0743</w:t>
            </w:r>
          </w:p>
        </w:tc>
        <w:tc>
          <w:tcPr>
            <w:tcW w:w="701" w:type="dxa"/>
            <w:shd w:val="clear" w:color="auto" w:fill="FFFFFF"/>
            <w:vAlign w:val="bottom"/>
          </w:tcPr>
          <w:p w14:paraId="1AAFCF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0,0417</w:t>
            </w:r>
          </w:p>
        </w:tc>
      </w:tr>
      <w:tr w:rsidR="00B834A2" w:rsidRPr="00B07646" w14:paraId="2ADCED2B" w14:textId="77777777" w:rsidTr="00B834A2">
        <w:trPr>
          <w:jc w:val="center"/>
        </w:trPr>
        <w:tc>
          <w:tcPr>
            <w:tcW w:w="610" w:type="dxa"/>
            <w:shd w:val="clear" w:color="auto" w:fill="FFFFFF"/>
            <w:vAlign w:val="bottom"/>
          </w:tcPr>
          <w:p w14:paraId="41C1604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30</w:t>
            </w:r>
          </w:p>
        </w:tc>
        <w:tc>
          <w:tcPr>
            <w:tcW w:w="754" w:type="dxa"/>
            <w:shd w:val="clear" w:color="auto" w:fill="FFFFFF"/>
            <w:vAlign w:val="bottom"/>
          </w:tcPr>
          <w:p w14:paraId="3298638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0,2929</w:t>
            </w:r>
          </w:p>
        </w:tc>
        <w:tc>
          <w:tcPr>
            <w:tcW w:w="667" w:type="dxa"/>
            <w:shd w:val="clear" w:color="auto" w:fill="FFFFFF"/>
            <w:vAlign w:val="bottom"/>
          </w:tcPr>
          <w:p w14:paraId="1B2E3D8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0,1980</w:t>
            </w:r>
          </w:p>
        </w:tc>
        <w:tc>
          <w:tcPr>
            <w:tcW w:w="672" w:type="dxa"/>
            <w:shd w:val="clear" w:color="auto" w:fill="FFFFFF"/>
            <w:vAlign w:val="bottom"/>
          </w:tcPr>
          <w:p w14:paraId="57FB52F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0,1593</w:t>
            </w:r>
          </w:p>
        </w:tc>
        <w:tc>
          <w:tcPr>
            <w:tcW w:w="667" w:type="dxa"/>
            <w:shd w:val="clear" w:color="auto" w:fill="FFFFFF"/>
            <w:vAlign w:val="bottom"/>
          </w:tcPr>
          <w:p w14:paraId="5FA9946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0,1377</w:t>
            </w:r>
          </w:p>
        </w:tc>
        <w:tc>
          <w:tcPr>
            <w:tcW w:w="667" w:type="dxa"/>
            <w:shd w:val="clear" w:color="auto" w:fill="FFFFFF"/>
            <w:vAlign w:val="bottom"/>
          </w:tcPr>
          <w:p w14:paraId="07B0389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0,1237</w:t>
            </w:r>
          </w:p>
        </w:tc>
        <w:tc>
          <w:tcPr>
            <w:tcW w:w="667" w:type="dxa"/>
            <w:shd w:val="clear" w:color="auto" w:fill="FFFFFF"/>
            <w:vAlign w:val="bottom"/>
          </w:tcPr>
          <w:p w14:paraId="0E7809F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0,1137</w:t>
            </w:r>
          </w:p>
        </w:tc>
        <w:tc>
          <w:tcPr>
            <w:tcW w:w="667" w:type="dxa"/>
            <w:shd w:val="clear" w:color="auto" w:fill="FFFFFF"/>
            <w:vAlign w:val="bottom"/>
          </w:tcPr>
          <w:p w14:paraId="2E2428E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0,1061</w:t>
            </w:r>
          </w:p>
        </w:tc>
        <w:tc>
          <w:tcPr>
            <w:tcW w:w="672" w:type="dxa"/>
            <w:shd w:val="clear" w:color="auto" w:fill="FFFFFF"/>
            <w:vAlign w:val="bottom"/>
          </w:tcPr>
          <w:p w14:paraId="3C41A7F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0,1002</w:t>
            </w:r>
          </w:p>
        </w:tc>
        <w:tc>
          <w:tcPr>
            <w:tcW w:w="667" w:type="dxa"/>
            <w:shd w:val="clear" w:color="auto" w:fill="FFFFFF"/>
            <w:vAlign w:val="bottom"/>
          </w:tcPr>
          <w:p w14:paraId="3DD49EB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0,0958</w:t>
            </w:r>
          </w:p>
        </w:tc>
        <w:tc>
          <w:tcPr>
            <w:tcW w:w="667" w:type="dxa"/>
            <w:shd w:val="clear" w:color="auto" w:fill="FFFFFF"/>
            <w:vAlign w:val="bottom"/>
          </w:tcPr>
          <w:p w14:paraId="20D9CE5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0,0921</w:t>
            </w:r>
          </w:p>
        </w:tc>
        <w:tc>
          <w:tcPr>
            <w:tcW w:w="667" w:type="dxa"/>
            <w:shd w:val="clear" w:color="auto" w:fill="FFFFFF"/>
            <w:vAlign w:val="bottom"/>
          </w:tcPr>
          <w:p w14:paraId="5ECD9CB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0,0771</w:t>
            </w:r>
          </w:p>
        </w:tc>
        <w:tc>
          <w:tcPr>
            <w:tcW w:w="667" w:type="dxa"/>
            <w:shd w:val="clear" w:color="auto" w:fill="FFFFFF"/>
            <w:vAlign w:val="bottom"/>
          </w:tcPr>
          <w:p w14:paraId="11032D9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0,0604</w:t>
            </w:r>
          </w:p>
        </w:tc>
        <w:tc>
          <w:tcPr>
            <w:tcW w:w="701" w:type="dxa"/>
            <w:shd w:val="clear" w:color="auto" w:fill="FFFFFF"/>
            <w:vAlign w:val="bottom"/>
          </w:tcPr>
          <w:p w14:paraId="41F9E54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0,0333</w:t>
            </w:r>
          </w:p>
        </w:tc>
      </w:tr>
      <w:tr w:rsidR="00B834A2" w:rsidRPr="00B07646" w14:paraId="7A8DB09C" w14:textId="77777777" w:rsidTr="00B834A2">
        <w:trPr>
          <w:jc w:val="center"/>
        </w:trPr>
        <w:tc>
          <w:tcPr>
            <w:tcW w:w="610" w:type="dxa"/>
            <w:shd w:val="clear" w:color="auto" w:fill="FFFFFF"/>
            <w:vAlign w:val="bottom"/>
          </w:tcPr>
          <w:p w14:paraId="78835C7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40</w:t>
            </w:r>
          </w:p>
        </w:tc>
        <w:tc>
          <w:tcPr>
            <w:tcW w:w="754" w:type="dxa"/>
            <w:shd w:val="clear" w:color="auto" w:fill="FFFFFF"/>
            <w:vAlign w:val="bottom"/>
          </w:tcPr>
          <w:p w14:paraId="627E426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0,2370</w:t>
            </w:r>
          </w:p>
        </w:tc>
        <w:tc>
          <w:tcPr>
            <w:tcW w:w="667" w:type="dxa"/>
            <w:shd w:val="clear" w:color="auto" w:fill="FFFFFF"/>
            <w:vAlign w:val="bottom"/>
          </w:tcPr>
          <w:p w14:paraId="20C549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0,1576</w:t>
            </w:r>
          </w:p>
        </w:tc>
        <w:tc>
          <w:tcPr>
            <w:tcW w:w="672" w:type="dxa"/>
            <w:shd w:val="clear" w:color="auto" w:fill="FFFFFF"/>
            <w:vAlign w:val="bottom"/>
          </w:tcPr>
          <w:p w14:paraId="4B99BC1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0,1259</w:t>
            </w:r>
          </w:p>
        </w:tc>
        <w:tc>
          <w:tcPr>
            <w:tcW w:w="667" w:type="dxa"/>
            <w:shd w:val="clear" w:color="auto" w:fill="FFFFFF"/>
            <w:vAlign w:val="bottom"/>
          </w:tcPr>
          <w:p w14:paraId="63D1327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0,1082</w:t>
            </w:r>
          </w:p>
        </w:tc>
        <w:tc>
          <w:tcPr>
            <w:tcW w:w="667" w:type="dxa"/>
            <w:shd w:val="clear" w:color="auto" w:fill="FFFFFF"/>
            <w:vAlign w:val="bottom"/>
          </w:tcPr>
          <w:p w14:paraId="6B88F77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0,0968</w:t>
            </w:r>
          </w:p>
        </w:tc>
        <w:tc>
          <w:tcPr>
            <w:tcW w:w="667" w:type="dxa"/>
            <w:shd w:val="clear" w:color="auto" w:fill="FFFFFF"/>
            <w:vAlign w:val="bottom"/>
          </w:tcPr>
          <w:p w14:paraId="008A3E9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0,0887</w:t>
            </w:r>
          </w:p>
        </w:tc>
        <w:tc>
          <w:tcPr>
            <w:tcW w:w="667" w:type="dxa"/>
            <w:shd w:val="clear" w:color="auto" w:fill="FFFFFF"/>
            <w:vAlign w:val="bottom"/>
          </w:tcPr>
          <w:p w14:paraId="5290D14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0,0827</w:t>
            </w:r>
          </w:p>
        </w:tc>
        <w:tc>
          <w:tcPr>
            <w:tcW w:w="672" w:type="dxa"/>
            <w:shd w:val="clear" w:color="auto" w:fill="FFFFFF"/>
            <w:vAlign w:val="bottom"/>
          </w:tcPr>
          <w:p w14:paraId="18BA16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0,0780</w:t>
            </w:r>
          </w:p>
        </w:tc>
        <w:tc>
          <w:tcPr>
            <w:tcW w:w="667" w:type="dxa"/>
            <w:shd w:val="clear" w:color="auto" w:fill="FFFFFF"/>
            <w:vAlign w:val="bottom"/>
          </w:tcPr>
          <w:p w14:paraId="35F61DB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0,0745</w:t>
            </w:r>
          </w:p>
        </w:tc>
        <w:tc>
          <w:tcPr>
            <w:tcW w:w="667" w:type="dxa"/>
            <w:shd w:val="clear" w:color="auto" w:fill="FFFFFF"/>
            <w:vAlign w:val="bottom"/>
          </w:tcPr>
          <w:p w14:paraId="3DDE4FC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0,0713</w:t>
            </w:r>
          </w:p>
        </w:tc>
        <w:tc>
          <w:tcPr>
            <w:tcW w:w="667" w:type="dxa"/>
            <w:shd w:val="clear" w:color="auto" w:fill="FFFFFF"/>
            <w:vAlign w:val="bottom"/>
          </w:tcPr>
          <w:p w14:paraId="14A7EA9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0,0595</w:t>
            </w:r>
          </w:p>
        </w:tc>
        <w:tc>
          <w:tcPr>
            <w:tcW w:w="667" w:type="dxa"/>
            <w:shd w:val="clear" w:color="auto" w:fill="FFFFFF"/>
            <w:vAlign w:val="bottom"/>
          </w:tcPr>
          <w:p w14:paraId="08DEDC5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0,0462</w:t>
            </w:r>
          </w:p>
        </w:tc>
        <w:tc>
          <w:tcPr>
            <w:tcW w:w="701" w:type="dxa"/>
            <w:shd w:val="clear" w:color="auto" w:fill="FFFFFF"/>
            <w:vAlign w:val="bottom"/>
          </w:tcPr>
          <w:p w14:paraId="68B81F1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0,0250</w:t>
            </w:r>
          </w:p>
        </w:tc>
      </w:tr>
      <w:tr w:rsidR="00B834A2" w:rsidRPr="00B07646" w14:paraId="6950BD5E" w14:textId="77777777" w:rsidTr="00B834A2">
        <w:trPr>
          <w:jc w:val="center"/>
        </w:trPr>
        <w:tc>
          <w:tcPr>
            <w:tcW w:w="610" w:type="dxa"/>
            <w:shd w:val="clear" w:color="auto" w:fill="FFFFFF"/>
            <w:vAlign w:val="bottom"/>
          </w:tcPr>
          <w:p w14:paraId="28BD492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60</w:t>
            </w:r>
          </w:p>
        </w:tc>
        <w:tc>
          <w:tcPr>
            <w:tcW w:w="754" w:type="dxa"/>
            <w:shd w:val="clear" w:color="auto" w:fill="FFFFFF"/>
            <w:vAlign w:val="bottom"/>
          </w:tcPr>
          <w:p w14:paraId="00AC60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0,1737</w:t>
            </w:r>
          </w:p>
        </w:tc>
        <w:tc>
          <w:tcPr>
            <w:tcW w:w="667" w:type="dxa"/>
            <w:shd w:val="clear" w:color="auto" w:fill="FFFFFF"/>
            <w:vAlign w:val="bottom"/>
          </w:tcPr>
          <w:p w14:paraId="6FF9D20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0,1131</w:t>
            </w:r>
          </w:p>
        </w:tc>
        <w:tc>
          <w:tcPr>
            <w:tcW w:w="672" w:type="dxa"/>
            <w:shd w:val="clear" w:color="auto" w:fill="FFFFFF"/>
            <w:vAlign w:val="bottom"/>
          </w:tcPr>
          <w:p w14:paraId="5DFA8B1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0,0895</w:t>
            </w:r>
          </w:p>
        </w:tc>
        <w:tc>
          <w:tcPr>
            <w:tcW w:w="667" w:type="dxa"/>
            <w:shd w:val="clear" w:color="auto" w:fill="FFFFFF"/>
            <w:vAlign w:val="bottom"/>
          </w:tcPr>
          <w:p w14:paraId="6FB6DA2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0,0765</w:t>
            </w:r>
          </w:p>
        </w:tc>
        <w:tc>
          <w:tcPr>
            <w:tcW w:w="667" w:type="dxa"/>
            <w:shd w:val="clear" w:color="auto" w:fill="FFFFFF"/>
            <w:vAlign w:val="bottom"/>
          </w:tcPr>
          <w:p w14:paraId="54DCF4F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0,0682</w:t>
            </w:r>
          </w:p>
        </w:tc>
        <w:tc>
          <w:tcPr>
            <w:tcW w:w="667" w:type="dxa"/>
            <w:shd w:val="clear" w:color="auto" w:fill="FFFFFF"/>
            <w:vAlign w:val="bottom"/>
          </w:tcPr>
          <w:p w14:paraId="3BAEBB6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0,0623</w:t>
            </w:r>
          </w:p>
        </w:tc>
        <w:tc>
          <w:tcPr>
            <w:tcW w:w="667" w:type="dxa"/>
            <w:shd w:val="clear" w:color="auto" w:fill="FFFFFF"/>
            <w:vAlign w:val="bottom"/>
          </w:tcPr>
          <w:p w14:paraId="3958ABD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0,0583</w:t>
            </w:r>
          </w:p>
        </w:tc>
        <w:tc>
          <w:tcPr>
            <w:tcW w:w="672" w:type="dxa"/>
            <w:shd w:val="clear" w:color="auto" w:fill="FFFFFF"/>
            <w:vAlign w:val="bottom"/>
          </w:tcPr>
          <w:p w14:paraId="19C6661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0,0552</w:t>
            </w:r>
          </w:p>
        </w:tc>
        <w:tc>
          <w:tcPr>
            <w:tcW w:w="667" w:type="dxa"/>
            <w:shd w:val="clear" w:color="auto" w:fill="FFFFFF"/>
            <w:vAlign w:val="bottom"/>
          </w:tcPr>
          <w:p w14:paraId="6B47AFF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0,0520</w:t>
            </w:r>
          </w:p>
        </w:tc>
        <w:tc>
          <w:tcPr>
            <w:tcW w:w="667" w:type="dxa"/>
            <w:shd w:val="clear" w:color="auto" w:fill="FFFFFF"/>
            <w:vAlign w:val="bottom"/>
          </w:tcPr>
          <w:p w14:paraId="38374DC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0,0497</w:t>
            </w:r>
          </w:p>
        </w:tc>
        <w:tc>
          <w:tcPr>
            <w:tcW w:w="667" w:type="dxa"/>
            <w:shd w:val="clear" w:color="auto" w:fill="FFFFFF"/>
            <w:vAlign w:val="bottom"/>
          </w:tcPr>
          <w:p w14:paraId="3CAEE50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0,0411</w:t>
            </w:r>
          </w:p>
        </w:tc>
        <w:tc>
          <w:tcPr>
            <w:tcW w:w="667" w:type="dxa"/>
            <w:shd w:val="clear" w:color="auto" w:fill="FFFFFF"/>
            <w:vAlign w:val="bottom"/>
          </w:tcPr>
          <w:p w14:paraId="1C94A69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0,0316</w:t>
            </w:r>
          </w:p>
        </w:tc>
        <w:tc>
          <w:tcPr>
            <w:tcW w:w="701" w:type="dxa"/>
            <w:shd w:val="clear" w:color="auto" w:fill="FFFFFF"/>
            <w:vAlign w:val="bottom"/>
          </w:tcPr>
          <w:p w14:paraId="0DC8BEE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0,0167</w:t>
            </w:r>
          </w:p>
        </w:tc>
      </w:tr>
      <w:tr w:rsidR="00B834A2" w:rsidRPr="00B07646" w14:paraId="29D39216" w14:textId="77777777" w:rsidTr="00B834A2">
        <w:trPr>
          <w:jc w:val="center"/>
        </w:trPr>
        <w:tc>
          <w:tcPr>
            <w:tcW w:w="610" w:type="dxa"/>
            <w:shd w:val="clear" w:color="auto" w:fill="FFFFFF"/>
            <w:vAlign w:val="center"/>
          </w:tcPr>
          <w:p w14:paraId="597DBF5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m:oMathPara>
              <m:oMath>
                <m:r>
                  <w:rPr>
                    <w:rFonts w:ascii="Cambria Math" w:hAnsi="Cambria Math" w:cs="Sylfaen"/>
                  </w:rPr>
                  <m:t>∞</m:t>
                </m:r>
              </m:oMath>
            </m:oMathPara>
          </w:p>
        </w:tc>
        <w:tc>
          <w:tcPr>
            <w:tcW w:w="754" w:type="dxa"/>
            <w:shd w:val="clear" w:color="auto" w:fill="FFFFFF"/>
            <w:vAlign w:val="bottom"/>
          </w:tcPr>
          <w:p w14:paraId="4822B15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75FB3C8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72" w:type="dxa"/>
            <w:shd w:val="clear" w:color="auto" w:fill="FFFFFF"/>
            <w:vAlign w:val="bottom"/>
          </w:tcPr>
          <w:p w14:paraId="424E485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503ABD2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7878335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3655D8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164DA5D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72" w:type="dxa"/>
            <w:shd w:val="clear" w:color="auto" w:fill="FFFFFF"/>
            <w:vAlign w:val="bottom"/>
          </w:tcPr>
          <w:p w14:paraId="3BE0EBE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3EC69D8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649584F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571A60B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shd w:val="clear" w:color="auto" w:fill="FFFFFF"/>
            <w:vAlign w:val="bottom"/>
          </w:tcPr>
          <w:p w14:paraId="29FDA2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701" w:type="dxa"/>
            <w:shd w:val="clear" w:color="auto" w:fill="FFFFFF"/>
            <w:vAlign w:val="bottom"/>
          </w:tcPr>
          <w:p w14:paraId="024EF32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r>
      <w:tr w:rsidR="00B834A2" w:rsidRPr="00B07646" w14:paraId="4CBDAF12" w14:textId="77777777" w:rsidTr="00B834A2">
        <w:trPr>
          <w:jc w:val="center"/>
        </w:trPr>
        <w:tc>
          <w:tcPr>
            <w:tcW w:w="9412" w:type="dxa"/>
            <w:gridSpan w:val="14"/>
            <w:tcBorders>
              <w:top w:val="single" w:sz="4" w:space="0" w:color="auto"/>
            </w:tcBorders>
            <w:shd w:val="clear" w:color="auto" w:fill="FFFFFF"/>
          </w:tcPr>
          <w:p w14:paraId="34982B30" w14:textId="77777777" w:rsidR="00B834A2" w:rsidRPr="00B07646" w:rsidRDefault="00B834A2" w:rsidP="00B07646">
            <w:pPr>
              <w:spacing w:after="120"/>
              <w:ind w:firstLine="19"/>
              <w:jc w:val="center"/>
              <w:rPr>
                <w:sz w:val="20"/>
                <w:szCs w:val="20"/>
              </w:rPr>
            </w:pPr>
            <w:r w:rsidRPr="00B07646">
              <w:rPr>
                <w:i/>
                <w:sz w:val="20"/>
                <w:szCs w:val="20"/>
              </w:rPr>
              <w:t>G</w:t>
            </w:r>
            <w:r w:rsidRPr="00B07646">
              <w:rPr>
                <w:sz w:val="20"/>
                <w:szCs w:val="20"/>
              </w:rPr>
              <w:t xml:space="preserve"> </w:t>
            </w:r>
            <w:r w:rsidRPr="00B07646">
              <w:rPr>
                <w:i/>
                <w:sz w:val="20"/>
                <w:szCs w:val="20"/>
              </w:rPr>
              <w:t>(Р = 99 %)</w:t>
            </w:r>
          </w:p>
        </w:tc>
      </w:tr>
      <w:tr w:rsidR="00B834A2" w:rsidRPr="00B07646" w14:paraId="2EF69593" w14:textId="77777777" w:rsidTr="00B834A2">
        <w:trPr>
          <w:jc w:val="center"/>
        </w:trPr>
        <w:tc>
          <w:tcPr>
            <w:tcW w:w="610" w:type="dxa"/>
            <w:shd w:val="clear" w:color="auto" w:fill="FFFFFF"/>
            <w:vAlign w:val="bottom"/>
          </w:tcPr>
          <w:p w14:paraId="23F22F3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w:t>
            </w:r>
          </w:p>
        </w:tc>
        <w:tc>
          <w:tcPr>
            <w:tcW w:w="754" w:type="dxa"/>
            <w:shd w:val="clear" w:color="auto" w:fill="FFFFFF"/>
            <w:vAlign w:val="bottom"/>
          </w:tcPr>
          <w:p w14:paraId="1D0922A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0,9999</w:t>
            </w:r>
          </w:p>
        </w:tc>
        <w:tc>
          <w:tcPr>
            <w:tcW w:w="667" w:type="dxa"/>
            <w:shd w:val="clear" w:color="auto" w:fill="FFFFFF"/>
            <w:vAlign w:val="bottom"/>
          </w:tcPr>
          <w:p w14:paraId="028213F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0,9950</w:t>
            </w:r>
          </w:p>
        </w:tc>
        <w:tc>
          <w:tcPr>
            <w:tcW w:w="672" w:type="dxa"/>
            <w:shd w:val="clear" w:color="auto" w:fill="FFFFFF"/>
            <w:vAlign w:val="bottom"/>
          </w:tcPr>
          <w:p w14:paraId="5344BB4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0,9794</w:t>
            </w:r>
          </w:p>
        </w:tc>
        <w:tc>
          <w:tcPr>
            <w:tcW w:w="667" w:type="dxa"/>
            <w:shd w:val="clear" w:color="auto" w:fill="FFFFFF"/>
            <w:vAlign w:val="bottom"/>
          </w:tcPr>
          <w:p w14:paraId="0ED176C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0,9586</w:t>
            </w:r>
          </w:p>
        </w:tc>
        <w:tc>
          <w:tcPr>
            <w:tcW w:w="667" w:type="dxa"/>
            <w:shd w:val="clear" w:color="auto" w:fill="FFFFFF"/>
            <w:vAlign w:val="bottom"/>
          </w:tcPr>
          <w:p w14:paraId="14C57A1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0,9373</w:t>
            </w:r>
          </w:p>
        </w:tc>
        <w:tc>
          <w:tcPr>
            <w:tcW w:w="667" w:type="dxa"/>
            <w:shd w:val="clear" w:color="auto" w:fill="FFFFFF"/>
            <w:vAlign w:val="bottom"/>
          </w:tcPr>
          <w:p w14:paraId="76E8C19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0,9172</w:t>
            </w:r>
          </w:p>
        </w:tc>
        <w:tc>
          <w:tcPr>
            <w:tcW w:w="667" w:type="dxa"/>
            <w:shd w:val="clear" w:color="auto" w:fill="FFFFFF"/>
            <w:vAlign w:val="bottom"/>
          </w:tcPr>
          <w:p w14:paraId="5A58329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0,8988</w:t>
            </w:r>
          </w:p>
        </w:tc>
        <w:tc>
          <w:tcPr>
            <w:tcW w:w="672" w:type="dxa"/>
            <w:shd w:val="clear" w:color="auto" w:fill="FFFFFF"/>
            <w:vAlign w:val="bottom"/>
          </w:tcPr>
          <w:p w14:paraId="0498EE2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0,8823</w:t>
            </w:r>
          </w:p>
        </w:tc>
        <w:tc>
          <w:tcPr>
            <w:tcW w:w="667" w:type="dxa"/>
            <w:shd w:val="clear" w:color="auto" w:fill="FFFFFF"/>
            <w:vAlign w:val="bottom"/>
          </w:tcPr>
          <w:p w14:paraId="79F5CD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0,8674</w:t>
            </w:r>
          </w:p>
        </w:tc>
        <w:tc>
          <w:tcPr>
            <w:tcW w:w="667" w:type="dxa"/>
            <w:shd w:val="clear" w:color="auto" w:fill="FFFFFF"/>
            <w:vAlign w:val="bottom"/>
          </w:tcPr>
          <w:p w14:paraId="65D4A8F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0,8539</w:t>
            </w:r>
          </w:p>
        </w:tc>
        <w:tc>
          <w:tcPr>
            <w:tcW w:w="667" w:type="dxa"/>
            <w:shd w:val="clear" w:color="auto" w:fill="FFFFFF"/>
            <w:vAlign w:val="bottom"/>
          </w:tcPr>
          <w:p w14:paraId="2A63553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0,7949</w:t>
            </w:r>
          </w:p>
        </w:tc>
        <w:tc>
          <w:tcPr>
            <w:tcW w:w="667" w:type="dxa"/>
            <w:shd w:val="clear" w:color="auto" w:fill="FFFFFF"/>
            <w:vAlign w:val="bottom"/>
          </w:tcPr>
          <w:p w14:paraId="3FC8E30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0,7067</w:t>
            </w:r>
          </w:p>
        </w:tc>
        <w:tc>
          <w:tcPr>
            <w:tcW w:w="701" w:type="dxa"/>
            <w:shd w:val="clear" w:color="auto" w:fill="FFFFFF"/>
            <w:vAlign w:val="bottom"/>
          </w:tcPr>
          <w:p w14:paraId="18B9E79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0,5000</w:t>
            </w:r>
          </w:p>
        </w:tc>
      </w:tr>
      <w:tr w:rsidR="00B834A2" w:rsidRPr="00B07646" w14:paraId="7D79C988" w14:textId="77777777" w:rsidTr="00B834A2">
        <w:trPr>
          <w:jc w:val="center"/>
        </w:trPr>
        <w:tc>
          <w:tcPr>
            <w:tcW w:w="610" w:type="dxa"/>
            <w:shd w:val="clear" w:color="auto" w:fill="FFFFFF"/>
            <w:vAlign w:val="bottom"/>
          </w:tcPr>
          <w:p w14:paraId="44D4FCB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w:t>
            </w:r>
          </w:p>
        </w:tc>
        <w:tc>
          <w:tcPr>
            <w:tcW w:w="754" w:type="dxa"/>
            <w:shd w:val="clear" w:color="auto" w:fill="FFFFFF"/>
            <w:vAlign w:val="bottom"/>
          </w:tcPr>
          <w:p w14:paraId="39EF1FC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0,9933</w:t>
            </w:r>
          </w:p>
        </w:tc>
        <w:tc>
          <w:tcPr>
            <w:tcW w:w="667" w:type="dxa"/>
            <w:shd w:val="clear" w:color="auto" w:fill="FFFFFF"/>
            <w:vAlign w:val="bottom"/>
          </w:tcPr>
          <w:p w14:paraId="25A279A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0,9423</w:t>
            </w:r>
          </w:p>
        </w:tc>
        <w:tc>
          <w:tcPr>
            <w:tcW w:w="672" w:type="dxa"/>
            <w:shd w:val="clear" w:color="auto" w:fill="FFFFFF"/>
            <w:vAlign w:val="bottom"/>
          </w:tcPr>
          <w:p w14:paraId="652187C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0,8831</w:t>
            </w:r>
          </w:p>
        </w:tc>
        <w:tc>
          <w:tcPr>
            <w:tcW w:w="667" w:type="dxa"/>
            <w:shd w:val="clear" w:color="auto" w:fill="FFFFFF"/>
            <w:vAlign w:val="bottom"/>
          </w:tcPr>
          <w:p w14:paraId="5263D40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0,8335</w:t>
            </w:r>
          </w:p>
        </w:tc>
        <w:tc>
          <w:tcPr>
            <w:tcW w:w="667" w:type="dxa"/>
            <w:shd w:val="clear" w:color="auto" w:fill="FFFFFF"/>
            <w:vAlign w:val="bottom"/>
          </w:tcPr>
          <w:p w14:paraId="5AC9395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0,7933</w:t>
            </w:r>
          </w:p>
        </w:tc>
        <w:tc>
          <w:tcPr>
            <w:tcW w:w="667" w:type="dxa"/>
            <w:shd w:val="clear" w:color="auto" w:fill="FFFFFF"/>
            <w:vAlign w:val="bottom"/>
          </w:tcPr>
          <w:p w14:paraId="74A914D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0,7606</w:t>
            </w:r>
          </w:p>
        </w:tc>
        <w:tc>
          <w:tcPr>
            <w:tcW w:w="667" w:type="dxa"/>
            <w:shd w:val="clear" w:color="auto" w:fill="FFFFFF"/>
            <w:vAlign w:val="bottom"/>
          </w:tcPr>
          <w:p w14:paraId="1592822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0,7335</w:t>
            </w:r>
          </w:p>
        </w:tc>
        <w:tc>
          <w:tcPr>
            <w:tcW w:w="672" w:type="dxa"/>
            <w:shd w:val="clear" w:color="auto" w:fill="FFFFFF"/>
            <w:vAlign w:val="bottom"/>
          </w:tcPr>
          <w:p w14:paraId="3099108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0,7107</w:t>
            </w:r>
          </w:p>
        </w:tc>
        <w:tc>
          <w:tcPr>
            <w:tcW w:w="667" w:type="dxa"/>
            <w:shd w:val="clear" w:color="auto" w:fill="FFFFFF"/>
            <w:vAlign w:val="bottom"/>
          </w:tcPr>
          <w:p w14:paraId="7B1BE18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0,6912</w:t>
            </w:r>
          </w:p>
        </w:tc>
        <w:tc>
          <w:tcPr>
            <w:tcW w:w="667" w:type="dxa"/>
            <w:shd w:val="clear" w:color="auto" w:fill="FFFFFF"/>
            <w:vAlign w:val="bottom"/>
          </w:tcPr>
          <w:p w14:paraId="77A7299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0,6743</w:t>
            </w:r>
          </w:p>
        </w:tc>
        <w:tc>
          <w:tcPr>
            <w:tcW w:w="667" w:type="dxa"/>
            <w:shd w:val="clear" w:color="auto" w:fill="FFFFFF"/>
            <w:vAlign w:val="bottom"/>
          </w:tcPr>
          <w:p w14:paraId="62F37F5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0,6059</w:t>
            </w:r>
          </w:p>
        </w:tc>
        <w:tc>
          <w:tcPr>
            <w:tcW w:w="667" w:type="dxa"/>
            <w:shd w:val="clear" w:color="auto" w:fill="FFFFFF"/>
            <w:vAlign w:val="bottom"/>
          </w:tcPr>
          <w:p w14:paraId="32680AD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0,5153</w:t>
            </w:r>
          </w:p>
        </w:tc>
        <w:tc>
          <w:tcPr>
            <w:tcW w:w="701" w:type="dxa"/>
            <w:shd w:val="clear" w:color="auto" w:fill="FFFFFF"/>
            <w:vAlign w:val="bottom"/>
          </w:tcPr>
          <w:p w14:paraId="5C74875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0,3333</w:t>
            </w:r>
          </w:p>
        </w:tc>
      </w:tr>
      <w:tr w:rsidR="00B834A2" w:rsidRPr="00B07646" w14:paraId="3A270FC6" w14:textId="77777777" w:rsidTr="00B834A2">
        <w:trPr>
          <w:jc w:val="center"/>
        </w:trPr>
        <w:tc>
          <w:tcPr>
            <w:tcW w:w="610" w:type="dxa"/>
            <w:shd w:val="clear" w:color="auto" w:fill="FFFFFF"/>
            <w:vAlign w:val="bottom"/>
          </w:tcPr>
          <w:p w14:paraId="443562F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4</w:t>
            </w:r>
          </w:p>
        </w:tc>
        <w:tc>
          <w:tcPr>
            <w:tcW w:w="754" w:type="dxa"/>
            <w:shd w:val="clear" w:color="auto" w:fill="FFFFFF"/>
            <w:vAlign w:val="bottom"/>
          </w:tcPr>
          <w:p w14:paraId="4F2166D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0,9676</w:t>
            </w:r>
          </w:p>
        </w:tc>
        <w:tc>
          <w:tcPr>
            <w:tcW w:w="667" w:type="dxa"/>
            <w:shd w:val="clear" w:color="auto" w:fill="FFFFFF"/>
            <w:vAlign w:val="bottom"/>
          </w:tcPr>
          <w:p w14:paraId="4F72C47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0,8643</w:t>
            </w:r>
          </w:p>
        </w:tc>
        <w:tc>
          <w:tcPr>
            <w:tcW w:w="672" w:type="dxa"/>
            <w:shd w:val="clear" w:color="auto" w:fill="FFFFFF"/>
            <w:vAlign w:val="bottom"/>
          </w:tcPr>
          <w:p w14:paraId="00E7967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0,7814</w:t>
            </w:r>
          </w:p>
        </w:tc>
        <w:tc>
          <w:tcPr>
            <w:tcW w:w="667" w:type="dxa"/>
            <w:shd w:val="clear" w:color="auto" w:fill="FFFFFF"/>
            <w:vAlign w:val="bottom"/>
          </w:tcPr>
          <w:p w14:paraId="4F853F6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0,7212</w:t>
            </w:r>
          </w:p>
        </w:tc>
        <w:tc>
          <w:tcPr>
            <w:tcW w:w="667" w:type="dxa"/>
            <w:shd w:val="clear" w:color="auto" w:fill="FFFFFF"/>
            <w:vAlign w:val="bottom"/>
          </w:tcPr>
          <w:p w14:paraId="45DD63C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0,6761</w:t>
            </w:r>
          </w:p>
        </w:tc>
        <w:tc>
          <w:tcPr>
            <w:tcW w:w="667" w:type="dxa"/>
            <w:shd w:val="clear" w:color="auto" w:fill="FFFFFF"/>
            <w:vAlign w:val="bottom"/>
          </w:tcPr>
          <w:p w14:paraId="5948973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0,6410</w:t>
            </w:r>
          </w:p>
        </w:tc>
        <w:tc>
          <w:tcPr>
            <w:tcW w:w="667" w:type="dxa"/>
            <w:shd w:val="clear" w:color="auto" w:fill="FFFFFF"/>
            <w:vAlign w:val="bottom"/>
          </w:tcPr>
          <w:p w14:paraId="50DCEF7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0,6129</w:t>
            </w:r>
          </w:p>
        </w:tc>
        <w:tc>
          <w:tcPr>
            <w:tcW w:w="672" w:type="dxa"/>
            <w:shd w:val="clear" w:color="auto" w:fill="FFFFFF"/>
            <w:vAlign w:val="bottom"/>
          </w:tcPr>
          <w:p w14:paraId="46DC938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0,5897</w:t>
            </w:r>
          </w:p>
        </w:tc>
        <w:tc>
          <w:tcPr>
            <w:tcW w:w="667" w:type="dxa"/>
            <w:shd w:val="clear" w:color="auto" w:fill="FFFFFF"/>
            <w:vAlign w:val="bottom"/>
          </w:tcPr>
          <w:p w14:paraId="1715A62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0,5702</w:t>
            </w:r>
          </w:p>
        </w:tc>
        <w:tc>
          <w:tcPr>
            <w:tcW w:w="667" w:type="dxa"/>
            <w:shd w:val="clear" w:color="auto" w:fill="FFFFFF"/>
            <w:vAlign w:val="bottom"/>
          </w:tcPr>
          <w:p w14:paraId="3494BBE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0,5536</w:t>
            </w:r>
          </w:p>
        </w:tc>
        <w:tc>
          <w:tcPr>
            <w:tcW w:w="667" w:type="dxa"/>
            <w:shd w:val="clear" w:color="auto" w:fill="FFFFFF"/>
            <w:vAlign w:val="bottom"/>
          </w:tcPr>
          <w:p w14:paraId="48FA5A0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0,4884</w:t>
            </w:r>
          </w:p>
        </w:tc>
        <w:tc>
          <w:tcPr>
            <w:tcW w:w="667" w:type="dxa"/>
            <w:shd w:val="clear" w:color="auto" w:fill="FFFFFF"/>
            <w:vAlign w:val="bottom"/>
          </w:tcPr>
          <w:p w14:paraId="475D6E3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0,4057</w:t>
            </w:r>
          </w:p>
        </w:tc>
        <w:tc>
          <w:tcPr>
            <w:tcW w:w="701" w:type="dxa"/>
            <w:shd w:val="clear" w:color="auto" w:fill="FFFFFF"/>
            <w:vAlign w:val="bottom"/>
          </w:tcPr>
          <w:p w14:paraId="665A882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0,2500</w:t>
            </w:r>
          </w:p>
        </w:tc>
      </w:tr>
      <w:tr w:rsidR="00B834A2" w:rsidRPr="00B07646" w14:paraId="0B794800" w14:textId="77777777" w:rsidTr="00B834A2">
        <w:trPr>
          <w:jc w:val="center"/>
        </w:trPr>
        <w:tc>
          <w:tcPr>
            <w:tcW w:w="610" w:type="dxa"/>
            <w:shd w:val="clear" w:color="auto" w:fill="FFFFFF"/>
            <w:vAlign w:val="bottom"/>
          </w:tcPr>
          <w:p w14:paraId="0794E83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5</w:t>
            </w:r>
          </w:p>
        </w:tc>
        <w:tc>
          <w:tcPr>
            <w:tcW w:w="754" w:type="dxa"/>
            <w:shd w:val="clear" w:color="auto" w:fill="FFFFFF"/>
            <w:vAlign w:val="bottom"/>
          </w:tcPr>
          <w:p w14:paraId="769D2BD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0,9279</w:t>
            </w:r>
          </w:p>
        </w:tc>
        <w:tc>
          <w:tcPr>
            <w:tcW w:w="667" w:type="dxa"/>
            <w:shd w:val="clear" w:color="auto" w:fill="FFFFFF"/>
            <w:vAlign w:val="bottom"/>
          </w:tcPr>
          <w:p w14:paraId="06A6E6B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0,7885</w:t>
            </w:r>
          </w:p>
        </w:tc>
        <w:tc>
          <w:tcPr>
            <w:tcW w:w="672" w:type="dxa"/>
            <w:shd w:val="clear" w:color="auto" w:fill="FFFFFF"/>
            <w:vAlign w:val="bottom"/>
          </w:tcPr>
          <w:p w14:paraId="4BEDC2A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0,6957</w:t>
            </w:r>
          </w:p>
        </w:tc>
        <w:tc>
          <w:tcPr>
            <w:tcW w:w="667" w:type="dxa"/>
            <w:shd w:val="clear" w:color="auto" w:fill="FFFFFF"/>
            <w:vAlign w:val="bottom"/>
          </w:tcPr>
          <w:p w14:paraId="7B50BDF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0,6329</w:t>
            </w:r>
          </w:p>
        </w:tc>
        <w:tc>
          <w:tcPr>
            <w:tcW w:w="667" w:type="dxa"/>
            <w:shd w:val="clear" w:color="auto" w:fill="FFFFFF"/>
            <w:vAlign w:val="bottom"/>
          </w:tcPr>
          <w:p w14:paraId="63952D0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0,5875</w:t>
            </w:r>
          </w:p>
        </w:tc>
        <w:tc>
          <w:tcPr>
            <w:tcW w:w="667" w:type="dxa"/>
            <w:shd w:val="clear" w:color="auto" w:fill="FFFFFF"/>
            <w:vAlign w:val="bottom"/>
          </w:tcPr>
          <w:p w14:paraId="6CEE816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0,5531</w:t>
            </w:r>
          </w:p>
        </w:tc>
        <w:tc>
          <w:tcPr>
            <w:tcW w:w="667" w:type="dxa"/>
            <w:shd w:val="clear" w:color="auto" w:fill="FFFFFF"/>
            <w:vAlign w:val="bottom"/>
          </w:tcPr>
          <w:p w14:paraId="14E7F86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0,5259</w:t>
            </w:r>
          </w:p>
        </w:tc>
        <w:tc>
          <w:tcPr>
            <w:tcW w:w="672" w:type="dxa"/>
            <w:shd w:val="clear" w:color="auto" w:fill="FFFFFF"/>
            <w:vAlign w:val="bottom"/>
          </w:tcPr>
          <w:p w14:paraId="223278E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0,5037</w:t>
            </w:r>
          </w:p>
        </w:tc>
        <w:tc>
          <w:tcPr>
            <w:tcW w:w="667" w:type="dxa"/>
            <w:shd w:val="clear" w:color="auto" w:fill="FFFFFF"/>
            <w:vAlign w:val="bottom"/>
          </w:tcPr>
          <w:p w14:paraId="0554900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0,4854</w:t>
            </w:r>
          </w:p>
        </w:tc>
        <w:tc>
          <w:tcPr>
            <w:tcW w:w="667" w:type="dxa"/>
            <w:shd w:val="clear" w:color="auto" w:fill="FFFFFF"/>
            <w:vAlign w:val="bottom"/>
          </w:tcPr>
          <w:p w14:paraId="182553A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0,4697</w:t>
            </w:r>
          </w:p>
        </w:tc>
        <w:tc>
          <w:tcPr>
            <w:tcW w:w="667" w:type="dxa"/>
            <w:shd w:val="clear" w:color="auto" w:fill="FFFFFF"/>
            <w:vAlign w:val="bottom"/>
          </w:tcPr>
          <w:p w14:paraId="6B06E69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0,4094</w:t>
            </w:r>
          </w:p>
        </w:tc>
        <w:tc>
          <w:tcPr>
            <w:tcW w:w="667" w:type="dxa"/>
            <w:shd w:val="clear" w:color="auto" w:fill="FFFFFF"/>
            <w:vAlign w:val="bottom"/>
          </w:tcPr>
          <w:p w14:paraId="02C9F0A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0,3351</w:t>
            </w:r>
          </w:p>
        </w:tc>
        <w:tc>
          <w:tcPr>
            <w:tcW w:w="701" w:type="dxa"/>
            <w:shd w:val="clear" w:color="auto" w:fill="FFFFFF"/>
            <w:vAlign w:val="bottom"/>
          </w:tcPr>
          <w:p w14:paraId="1822D60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0,2000</w:t>
            </w:r>
          </w:p>
        </w:tc>
      </w:tr>
      <w:tr w:rsidR="00B834A2" w:rsidRPr="00B07646" w14:paraId="1295C58B" w14:textId="77777777" w:rsidTr="00B834A2">
        <w:trPr>
          <w:jc w:val="center"/>
        </w:trPr>
        <w:tc>
          <w:tcPr>
            <w:tcW w:w="610" w:type="dxa"/>
            <w:shd w:val="clear" w:color="auto" w:fill="FFFFFF"/>
            <w:vAlign w:val="bottom"/>
          </w:tcPr>
          <w:p w14:paraId="46CBEB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6</w:t>
            </w:r>
          </w:p>
        </w:tc>
        <w:tc>
          <w:tcPr>
            <w:tcW w:w="754" w:type="dxa"/>
            <w:shd w:val="clear" w:color="auto" w:fill="FFFFFF"/>
            <w:vAlign w:val="bottom"/>
          </w:tcPr>
          <w:p w14:paraId="181F6CE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0,8828</w:t>
            </w:r>
          </w:p>
        </w:tc>
        <w:tc>
          <w:tcPr>
            <w:tcW w:w="667" w:type="dxa"/>
            <w:shd w:val="clear" w:color="auto" w:fill="FFFFFF"/>
            <w:vAlign w:val="bottom"/>
          </w:tcPr>
          <w:p w14:paraId="08A2B3F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0,7218</w:t>
            </w:r>
          </w:p>
        </w:tc>
        <w:tc>
          <w:tcPr>
            <w:tcW w:w="672" w:type="dxa"/>
            <w:shd w:val="clear" w:color="auto" w:fill="FFFFFF"/>
            <w:vAlign w:val="bottom"/>
          </w:tcPr>
          <w:p w14:paraId="64DDD0F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0,6258</w:t>
            </w:r>
          </w:p>
        </w:tc>
        <w:tc>
          <w:tcPr>
            <w:tcW w:w="667" w:type="dxa"/>
            <w:shd w:val="clear" w:color="auto" w:fill="FFFFFF"/>
            <w:vAlign w:val="bottom"/>
          </w:tcPr>
          <w:p w14:paraId="2CA722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0,5635</w:t>
            </w:r>
          </w:p>
        </w:tc>
        <w:tc>
          <w:tcPr>
            <w:tcW w:w="667" w:type="dxa"/>
            <w:shd w:val="clear" w:color="auto" w:fill="FFFFFF"/>
            <w:vAlign w:val="bottom"/>
          </w:tcPr>
          <w:p w14:paraId="22DE73A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0,5195</w:t>
            </w:r>
          </w:p>
        </w:tc>
        <w:tc>
          <w:tcPr>
            <w:tcW w:w="667" w:type="dxa"/>
            <w:shd w:val="clear" w:color="auto" w:fill="FFFFFF"/>
            <w:vAlign w:val="bottom"/>
          </w:tcPr>
          <w:p w14:paraId="4B0778A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0,4866</w:t>
            </w:r>
          </w:p>
        </w:tc>
        <w:tc>
          <w:tcPr>
            <w:tcW w:w="667" w:type="dxa"/>
            <w:shd w:val="clear" w:color="auto" w:fill="FFFFFF"/>
            <w:vAlign w:val="bottom"/>
          </w:tcPr>
          <w:p w14:paraId="78AD68B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0,4608</w:t>
            </w:r>
          </w:p>
        </w:tc>
        <w:tc>
          <w:tcPr>
            <w:tcW w:w="672" w:type="dxa"/>
            <w:shd w:val="clear" w:color="auto" w:fill="FFFFFF"/>
            <w:vAlign w:val="bottom"/>
          </w:tcPr>
          <w:p w14:paraId="2F97864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0,4401</w:t>
            </w:r>
          </w:p>
        </w:tc>
        <w:tc>
          <w:tcPr>
            <w:tcW w:w="667" w:type="dxa"/>
            <w:shd w:val="clear" w:color="auto" w:fill="FFFFFF"/>
            <w:vAlign w:val="bottom"/>
          </w:tcPr>
          <w:p w14:paraId="6307426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0,4229</w:t>
            </w:r>
          </w:p>
        </w:tc>
        <w:tc>
          <w:tcPr>
            <w:tcW w:w="667" w:type="dxa"/>
            <w:shd w:val="clear" w:color="auto" w:fill="FFFFFF"/>
            <w:vAlign w:val="bottom"/>
          </w:tcPr>
          <w:p w14:paraId="288B903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0,4081</w:t>
            </w:r>
          </w:p>
        </w:tc>
        <w:tc>
          <w:tcPr>
            <w:tcW w:w="667" w:type="dxa"/>
            <w:shd w:val="clear" w:color="auto" w:fill="FFFFFF"/>
            <w:vAlign w:val="bottom"/>
          </w:tcPr>
          <w:p w14:paraId="0D2827D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0,3529</w:t>
            </w:r>
          </w:p>
        </w:tc>
        <w:tc>
          <w:tcPr>
            <w:tcW w:w="667" w:type="dxa"/>
            <w:shd w:val="clear" w:color="auto" w:fill="FFFFFF"/>
            <w:vAlign w:val="bottom"/>
          </w:tcPr>
          <w:p w14:paraId="588CE36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0,2858</w:t>
            </w:r>
          </w:p>
        </w:tc>
        <w:tc>
          <w:tcPr>
            <w:tcW w:w="701" w:type="dxa"/>
            <w:shd w:val="clear" w:color="auto" w:fill="FFFFFF"/>
            <w:vAlign w:val="bottom"/>
          </w:tcPr>
          <w:p w14:paraId="2FFCDC2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0,1667</w:t>
            </w:r>
          </w:p>
        </w:tc>
      </w:tr>
      <w:tr w:rsidR="00B834A2" w:rsidRPr="00B07646" w14:paraId="583F123C" w14:textId="77777777" w:rsidTr="00B834A2">
        <w:trPr>
          <w:jc w:val="center"/>
        </w:trPr>
        <w:tc>
          <w:tcPr>
            <w:tcW w:w="610" w:type="dxa"/>
            <w:shd w:val="clear" w:color="auto" w:fill="FFFFFF"/>
            <w:vAlign w:val="bottom"/>
          </w:tcPr>
          <w:p w14:paraId="16C81A0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7</w:t>
            </w:r>
          </w:p>
        </w:tc>
        <w:tc>
          <w:tcPr>
            <w:tcW w:w="754" w:type="dxa"/>
            <w:shd w:val="clear" w:color="auto" w:fill="FFFFFF"/>
            <w:vAlign w:val="bottom"/>
          </w:tcPr>
          <w:p w14:paraId="159B185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0,8376</w:t>
            </w:r>
          </w:p>
        </w:tc>
        <w:tc>
          <w:tcPr>
            <w:tcW w:w="667" w:type="dxa"/>
            <w:shd w:val="clear" w:color="auto" w:fill="FFFFFF"/>
            <w:vAlign w:val="bottom"/>
          </w:tcPr>
          <w:p w14:paraId="7A00C7D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0,6644</w:t>
            </w:r>
          </w:p>
        </w:tc>
        <w:tc>
          <w:tcPr>
            <w:tcW w:w="672" w:type="dxa"/>
            <w:shd w:val="clear" w:color="auto" w:fill="FFFFFF"/>
            <w:vAlign w:val="bottom"/>
          </w:tcPr>
          <w:p w14:paraId="0AFFA34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0,5685</w:t>
            </w:r>
          </w:p>
        </w:tc>
        <w:tc>
          <w:tcPr>
            <w:tcW w:w="667" w:type="dxa"/>
            <w:shd w:val="clear" w:color="auto" w:fill="FFFFFF"/>
            <w:vAlign w:val="bottom"/>
          </w:tcPr>
          <w:p w14:paraId="0C28A84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0,5080</w:t>
            </w:r>
          </w:p>
        </w:tc>
        <w:tc>
          <w:tcPr>
            <w:tcW w:w="667" w:type="dxa"/>
            <w:shd w:val="clear" w:color="auto" w:fill="FFFFFF"/>
            <w:vAlign w:val="bottom"/>
          </w:tcPr>
          <w:p w14:paraId="0ECD57F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0,4659</w:t>
            </w:r>
          </w:p>
        </w:tc>
        <w:tc>
          <w:tcPr>
            <w:tcW w:w="667" w:type="dxa"/>
            <w:shd w:val="clear" w:color="auto" w:fill="FFFFFF"/>
            <w:vAlign w:val="bottom"/>
          </w:tcPr>
          <w:p w14:paraId="76B41E8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0,4347</w:t>
            </w:r>
          </w:p>
        </w:tc>
        <w:tc>
          <w:tcPr>
            <w:tcW w:w="667" w:type="dxa"/>
            <w:shd w:val="clear" w:color="auto" w:fill="FFFFFF"/>
            <w:vAlign w:val="bottom"/>
          </w:tcPr>
          <w:p w14:paraId="7703262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0,4105</w:t>
            </w:r>
          </w:p>
        </w:tc>
        <w:tc>
          <w:tcPr>
            <w:tcW w:w="672" w:type="dxa"/>
            <w:shd w:val="clear" w:color="auto" w:fill="FFFFFF"/>
            <w:vAlign w:val="bottom"/>
          </w:tcPr>
          <w:p w14:paraId="4EDBD0E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0,3911</w:t>
            </w:r>
          </w:p>
        </w:tc>
        <w:tc>
          <w:tcPr>
            <w:tcW w:w="667" w:type="dxa"/>
            <w:shd w:val="clear" w:color="auto" w:fill="FFFFFF"/>
            <w:vAlign w:val="bottom"/>
          </w:tcPr>
          <w:p w14:paraId="61EB12C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0,3751</w:t>
            </w:r>
          </w:p>
        </w:tc>
        <w:tc>
          <w:tcPr>
            <w:tcW w:w="667" w:type="dxa"/>
            <w:shd w:val="clear" w:color="auto" w:fill="FFFFFF"/>
            <w:vAlign w:val="bottom"/>
          </w:tcPr>
          <w:p w14:paraId="123D223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0,3616</w:t>
            </w:r>
          </w:p>
        </w:tc>
        <w:tc>
          <w:tcPr>
            <w:tcW w:w="667" w:type="dxa"/>
            <w:shd w:val="clear" w:color="auto" w:fill="FFFFFF"/>
            <w:vAlign w:val="bottom"/>
          </w:tcPr>
          <w:p w14:paraId="4E57108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0,3105</w:t>
            </w:r>
          </w:p>
        </w:tc>
        <w:tc>
          <w:tcPr>
            <w:tcW w:w="667" w:type="dxa"/>
            <w:shd w:val="clear" w:color="auto" w:fill="FFFFFF"/>
            <w:vAlign w:val="bottom"/>
          </w:tcPr>
          <w:p w14:paraId="7D21850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0,2494</w:t>
            </w:r>
          </w:p>
        </w:tc>
        <w:tc>
          <w:tcPr>
            <w:tcW w:w="701" w:type="dxa"/>
            <w:shd w:val="clear" w:color="auto" w:fill="FFFFFF"/>
            <w:vAlign w:val="bottom"/>
          </w:tcPr>
          <w:p w14:paraId="09FA092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0,1429</w:t>
            </w:r>
          </w:p>
        </w:tc>
      </w:tr>
      <w:tr w:rsidR="00B834A2" w:rsidRPr="00B07646" w14:paraId="0ADD5ECF" w14:textId="77777777" w:rsidTr="00B834A2">
        <w:trPr>
          <w:jc w:val="center"/>
        </w:trPr>
        <w:tc>
          <w:tcPr>
            <w:tcW w:w="610" w:type="dxa"/>
            <w:shd w:val="clear" w:color="auto" w:fill="FFFFFF"/>
            <w:vAlign w:val="bottom"/>
          </w:tcPr>
          <w:p w14:paraId="06AB708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8</w:t>
            </w:r>
          </w:p>
        </w:tc>
        <w:tc>
          <w:tcPr>
            <w:tcW w:w="754" w:type="dxa"/>
            <w:shd w:val="clear" w:color="auto" w:fill="FFFFFF"/>
            <w:vAlign w:val="bottom"/>
          </w:tcPr>
          <w:p w14:paraId="7A09822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0,7945</w:t>
            </w:r>
          </w:p>
        </w:tc>
        <w:tc>
          <w:tcPr>
            <w:tcW w:w="667" w:type="dxa"/>
            <w:shd w:val="clear" w:color="auto" w:fill="FFFFFF"/>
            <w:vAlign w:val="bottom"/>
          </w:tcPr>
          <w:p w14:paraId="59D2DD1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0,6152</w:t>
            </w:r>
          </w:p>
        </w:tc>
        <w:tc>
          <w:tcPr>
            <w:tcW w:w="672" w:type="dxa"/>
            <w:shd w:val="clear" w:color="auto" w:fill="FFFFFF"/>
            <w:vAlign w:val="bottom"/>
          </w:tcPr>
          <w:p w14:paraId="0978D42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0,5209</w:t>
            </w:r>
          </w:p>
        </w:tc>
        <w:tc>
          <w:tcPr>
            <w:tcW w:w="667" w:type="dxa"/>
            <w:shd w:val="clear" w:color="auto" w:fill="FFFFFF"/>
            <w:vAlign w:val="bottom"/>
          </w:tcPr>
          <w:p w14:paraId="7B6F043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0,4627</w:t>
            </w:r>
          </w:p>
        </w:tc>
        <w:tc>
          <w:tcPr>
            <w:tcW w:w="667" w:type="dxa"/>
            <w:shd w:val="clear" w:color="auto" w:fill="FFFFFF"/>
            <w:vAlign w:val="bottom"/>
          </w:tcPr>
          <w:p w14:paraId="6D010F4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0,4226</w:t>
            </w:r>
          </w:p>
        </w:tc>
        <w:tc>
          <w:tcPr>
            <w:tcW w:w="667" w:type="dxa"/>
            <w:shd w:val="clear" w:color="auto" w:fill="FFFFFF"/>
            <w:vAlign w:val="bottom"/>
          </w:tcPr>
          <w:p w14:paraId="5CB45FF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0,3932</w:t>
            </w:r>
          </w:p>
        </w:tc>
        <w:tc>
          <w:tcPr>
            <w:tcW w:w="667" w:type="dxa"/>
            <w:shd w:val="clear" w:color="auto" w:fill="FFFFFF"/>
            <w:vAlign w:val="bottom"/>
          </w:tcPr>
          <w:p w14:paraId="0ED2C86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0,3704</w:t>
            </w:r>
          </w:p>
        </w:tc>
        <w:tc>
          <w:tcPr>
            <w:tcW w:w="672" w:type="dxa"/>
            <w:shd w:val="clear" w:color="auto" w:fill="FFFFFF"/>
            <w:vAlign w:val="bottom"/>
          </w:tcPr>
          <w:p w14:paraId="475F9F7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0,3522</w:t>
            </w:r>
          </w:p>
        </w:tc>
        <w:tc>
          <w:tcPr>
            <w:tcW w:w="667" w:type="dxa"/>
            <w:shd w:val="clear" w:color="auto" w:fill="FFFFFF"/>
            <w:vAlign w:val="bottom"/>
          </w:tcPr>
          <w:p w14:paraId="3A7575F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0,3373</w:t>
            </w:r>
          </w:p>
        </w:tc>
        <w:tc>
          <w:tcPr>
            <w:tcW w:w="667" w:type="dxa"/>
            <w:shd w:val="clear" w:color="auto" w:fill="FFFFFF"/>
            <w:vAlign w:val="bottom"/>
          </w:tcPr>
          <w:p w14:paraId="473B677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0,3248</w:t>
            </w:r>
          </w:p>
        </w:tc>
        <w:tc>
          <w:tcPr>
            <w:tcW w:w="667" w:type="dxa"/>
            <w:shd w:val="clear" w:color="auto" w:fill="FFFFFF"/>
            <w:vAlign w:val="bottom"/>
          </w:tcPr>
          <w:p w14:paraId="4CFDE95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0,2779</w:t>
            </w:r>
          </w:p>
        </w:tc>
        <w:tc>
          <w:tcPr>
            <w:tcW w:w="667" w:type="dxa"/>
            <w:shd w:val="clear" w:color="auto" w:fill="FFFFFF"/>
            <w:vAlign w:val="bottom"/>
          </w:tcPr>
          <w:p w14:paraId="43ECD07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0,2214</w:t>
            </w:r>
          </w:p>
        </w:tc>
        <w:tc>
          <w:tcPr>
            <w:tcW w:w="701" w:type="dxa"/>
            <w:shd w:val="clear" w:color="auto" w:fill="FFFFFF"/>
            <w:vAlign w:val="bottom"/>
          </w:tcPr>
          <w:p w14:paraId="6F076C9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0,1250</w:t>
            </w:r>
          </w:p>
        </w:tc>
      </w:tr>
      <w:tr w:rsidR="00B834A2" w:rsidRPr="00B07646" w14:paraId="2848ACB1" w14:textId="77777777" w:rsidTr="00B834A2">
        <w:trPr>
          <w:jc w:val="center"/>
        </w:trPr>
        <w:tc>
          <w:tcPr>
            <w:tcW w:w="610" w:type="dxa"/>
            <w:shd w:val="clear" w:color="auto" w:fill="FFFFFF"/>
            <w:vAlign w:val="bottom"/>
          </w:tcPr>
          <w:p w14:paraId="698AD42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9</w:t>
            </w:r>
          </w:p>
        </w:tc>
        <w:tc>
          <w:tcPr>
            <w:tcW w:w="754" w:type="dxa"/>
            <w:shd w:val="clear" w:color="auto" w:fill="FFFFFF"/>
            <w:vAlign w:val="bottom"/>
          </w:tcPr>
          <w:p w14:paraId="0DFAF6A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0,7544</w:t>
            </w:r>
          </w:p>
        </w:tc>
        <w:tc>
          <w:tcPr>
            <w:tcW w:w="667" w:type="dxa"/>
            <w:shd w:val="clear" w:color="auto" w:fill="FFFFFF"/>
            <w:vAlign w:val="bottom"/>
          </w:tcPr>
          <w:p w14:paraId="6FD4330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0,5727</w:t>
            </w:r>
          </w:p>
        </w:tc>
        <w:tc>
          <w:tcPr>
            <w:tcW w:w="672" w:type="dxa"/>
            <w:shd w:val="clear" w:color="auto" w:fill="FFFFFF"/>
            <w:vAlign w:val="bottom"/>
          </w:tcPr>
          <w:p w14:paraId="3AB5E09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0,4810</w:t>
            </w:r>
          </w:p>
        </w:tc>
        <w:tc>
          <w:tcPr>
            <w:tcW w:w="667" w:type="dxa"/>
            <w:shd w:val="clear" w:color="auto" w:fill="FFFFFF"/>
            <w:vAlign w:val="bottom"/>
          </w:tcPr>
          <w:p w14:paraId="6E75ED4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0,4251</w:t>
            </w:r>
          </w:p>
        </w:tc>
        <w:tc>
          <w:tcPr>
            <w:tcW w:w="667" w:type="dxa"/>
            <w:shd w:val="clear" w:color="auto" w:fill="FFFFFF"/>
            <w:vAlign w:val="bottom"/>
          </w:tcPr>
          <w:p w14:paraId="3D1C904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0,3870</w:t>
            </w:r>
          </w:p>
        </w:tc>
        <w:tc>
          <w:tcPr>
            <w:tcW w:w="667" w:type="dxa"/>
            <w:shd w:val="clear" w:color="auto" w:fill="FFFFFF"/>
            <w:vAlign w:val="bottom"/>
          </w:tcPr>
          <w:p w14:paraId="0BD741A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0,3592</w:t>
            </w:r>
          </w:p>
        </w:tc>
        <w:tc>
          <w:tcPr>
            <w:tcW w:w="667" w:type="dxa"/>
            <w:shd w:val="clear" w:color="auto" w:fill="FFFFFF"/>
            <w:vAlign w:val="bottom"/>
          </w:tcPr>
          <w:p w14:paraId="5BFF031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0,3378</w:t>
            </w:r>
          </w:p>
        </w:tc>
        <w:tc>
          <w:tcPr>
            <w:tcW w:w="672" w:type="dxa"/>
            <w:shd w:val="clear" w:color="auto" w:fill="FFFFFF"/>
            <w:vAlign w:val="bottom"/>
          </w:tcPr>
          <w:p w14:paraId="6126EF4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0,3207</w:t>
            </w:r>
          </w:p>
        </w:tc>
        <w:tc>
          <w:tcPr>
            <w:tcW w:w="667" w:type="dxa"/>
            <w:shd w:val="clear" w:color="auto" w:fill="FFFFFF"/>
            <w:vAlign w:val="bottom"/>
          </w:tcPr>
          <w:p w14:paraId="2DB794F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0,3067</w:t>
            </w:r>
          </w:p>
        </w:tc>
        <w:tc>
          <w:tcPr>
            <w:tcW w:w="667" w:type="dxa"/>
            <w:shd w:val="clear" w:color="auto" w:fill="FFFFFF"/>
            <w:vAlign w:val="bottom"/>
          </w:tcPr>
          <w:p w14:paraId="76DBD8A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0,2950</w:t>
            </w:r>
          </w:p>
        </w:tc>
        <w:tc>
          <w:tcPr>
            <w:tcW w:w="667" w:type="dxa"/>
            <w:shd w:val="clear" w:color="auto" w:fill="FFFFFF"/>
            <w:vAlign w:val="bottom"/>
          </w:tcPr>
          <w:p w14:paraId="6B1416B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0,2514</w:t>
            </w:r>
          </w:p>
        </w:tc>
        <w:tc>
          <w:tcPr>
            <w:tcW w:w="667" w:type="dxa"/>
            <w:shd w:val="clear" w:color="auto" w:fill="FFFFFF"/>
            <w:vAlign w:val="bottom"/>
          </w:tcPr>
          <w:p w14:paraId="7CB99CB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0,1992</w:t>
            </w:r>
          </w:p>
        </w:tc>
        <w:tc>
          <w:tcPr>
            <w:tcW w:w="701" w:type="dxa"/>
            <w:shd w:val="clear" w:color="auto" w:fill="FFFFFF"/>
            <w:vAlign w:val="bottom"/>
          </w:tcPr>
          <w:p w14:paraId="77BCFD2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0,1111</w:t>
            </w:r>
          </w:p>
        </w:tc>
      </w:tr>
      <w:tr w:rsidR="00B834A2" w:rsidRPr="00B07646" w14:paraId="666A7F16" w14:textId="77777777" w:rsidTr="00B834A2">
        <w:trPr>
          <w:jc w:val="center"/>
        </w:trPr>
        <w:tc>
          <w:tcPr>
            <w:tcW w:w="610" w:type="dxa"/>
            <w:shd w:val="clear" w:color="auto" w:fill="FFFFFF"/>
            <w:vAlign w:val="bottom"/>
          </w:tcPr>
          <w:p w14:paraId="0715CEF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10</w:t>
            </w:r>
          </w:p>
        </w:tc>
        <w:tc>
          <w:tcPr>
            <w:tcW w:w="754" w:type="dxa"/>
            <w:shd w:val="clear" w:color="auto" w:fill="FFFFFF"/>
            <w:vAlign w:val="bottom"/>
          </w:tcPr>
          <w:p w14:paraId="6AB1398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0,7175</w:t>
            </w:r>
          </w:p>
        </w:tc>
        <w:tc>
          <w:tcPr>
            <w:tcW w:w="667" w:type="dxa"/>
            <w:shd w:val="clear" w:color="auto" w:fill="FFFFFF"/>
            <w:vAlign w:val="bottom"/>
          </w:tcPr>
          <w:p w14:paraId="2BF82C6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0,5358</w:t>
            </w:r>
          </w:p>
        </w:tc>
        <w:tc>
          <w:tcPr>
            <w:tcW w:w="672" w:type="dxa"/>
            <w:shd w:val="clear" w:color="auto" w:fill="FFFFFF"/>
            <w:vAlign w:val="bottom"/>
          </w:tcPr>
          <w:p w14:paraId="6ACB849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0,4469</w:t>
            </w:r>
          </w:p>
        </w:tc>
        <w:tc>
          <w:tcPr>
            <w:tcW w:w="667" w:type="dxa"/>
            <w:shd w:val="clear" w:color="auto" w:fill="FFFFFF"/>
            <w:vAlign w:val="bottom"/>
          </w:tcPr>
          <w:p w14:paraId="1CAB732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0,3934</w:t>
            </w:r>
          </w:p>
        </w:tc>
        <w:tc>
          <w:tcPr>
            <w:tcW w:w="667" w:type="dxa"/>
            <w:shd w:val="clear" w:color="auto" w:fill="FFFFFF"/>
            <w:vAlign w:val="bottom"/>
          </w:tcPr>
          <w:p w14:paraId="786D32D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0,3572</w:t>
            </w:r>
          </w:p>
        </w:tc>
        <w:tc>
          <w:tcPr>
            <w:tcW w:w="667" w:type="dxa"/>
            <w:shd w:val="clear" w:color="auto" w:fill="FFFFFF"/>
            <w:vAlign w:val="bottom"/>
          </w:tcPr>
          <w:p w14:paraId="10458C7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0,3308</w:t>
            </w:r>
          </w:p>
        </w:tc>
        <w:tc>
          <w:tcPr>
            <w:tcW w:w="667" w:type="dxa"/>
            <w:shd w:val="clear" w:color="auto" w:fill="FFFFFF"/>
            <w:vAlign w:val="bottom"/>
          </w:tcPr>
          <w:p w14:paraId="5729DFE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0,3106</w:t>
            </w:r>
          </w:p>
        </w:tc>
        <w:tc>
          <w:tcPr>
            <w:tcW w:w="672" w:type="dxa"/>
            <w:shd w:val="clear" w:color="auto" w:fill="FFFFFF"/>
            <w:vAlign w:val="bottom"/>
          </w:tcPr>
          <w:p w14:paraId="7C80AA9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0,2945</w:t>
            </w:r>
          </w:p>
        </w:tc>
        <w:tc>
          <w:tcPr>
            <w:tcW w:w="667" w:type="dxa"/>
            <w:shd w:val="clear" w:color="auto" w:fill="FFFFFF"/>
            <w:vAlign w:val="bottom"/>
          </w:tcPr>
          <w:p w14:paraId="6F1D49B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0,2813</w:t>
            </w:r>
          </w:p>
        </w:tc>
        <w:tc>
          <w:tcPr>
            <w:tcW w:w="667" w:type="dxa"/>
            <w:shd w:val="clear" w:color="auto" w:fill="FFFFFF"/>
            <w:vAlign w:val="bottom"/>
          </w:tcPr>
          <w:p w14:paraId="51A273E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0,2704</w:t>
            </w:r>
          </w:p>
        </w:tc>
        <w:tc>
          <w:tcPr>
            <w:tcW w:w="667" w:type="dxa"/>
            <w:shd w:val="clear" w:color="auto" w:fill="FFFFFF"/>
            <w:vAlign w:val="bottom"/>
          </w:tcPr>
          <w:p w14:paraId="6045778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0,2297</w:t>
            </w:r>
          </w:p>
        </w:tc>
        <w:tc>
          <w:tcPr>
            <w:tcW w:w="667" w:type="dxa"/>
            <w:shd w:val="clear" w:color="auto" w:fill="FFFFFF"/>
            <w:vAlign w:val="bottom"/>
          </w:tcPr>
          <w:p w14:paraId="6408481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0,1811</w:t>
            </w:r>
          </w:p>
        </w:tc>
        <w:tc>
          <w:tcPr>
            <w:tcW w:w="701" w:type="dxa"/>
            <w:shd w:val="clear" w:color="auto" w:fill="FFFFFF"/>
            <w:vAlign w:val="bottom"/>
          </w:tcPr>
          <w:p w14:paraId="2CC3965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0,1000</w:t>
            </w:r>
          </w:p>
        </w:tc>
      </w:tr>
      <w:tr w:rsidR="00B834A2" w:rsidRPr="00B07646" w14:paraId="161D690B" w14:textId="77777777" w:rsidTr="00B834A2">
        <w:trPr>
          <w:jc w:val="center"/>
        </w:trPr>
        <w:tc>
          <w:tcPr>
            <w:tcW w:w="610" w:type="dxa"/>
            <w:shd w:val="clear" w:color="auto" w:fill="FFFFFF"/>
            <w:vAlign w:val="bottom"/>
          </w:tcPr>
          <w:p w14:paraId="1E9A4AC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12</w:t>
            </w:r>
          </w:p>
        </w:tc>
        <w:tc>
          <w:tcPr>
            <w:tcW w:w="754" w:type="dxa"/>
            <w:shd w:val="clear" w:color="auto" w:fill="FFFFFF"/>
            <w:vAlign w:val="bottom"/>
          </w:tcPr>
          <w:p w14:paraId="2033A1B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0,6528</w:t>
            </w:r>
          </w:p>
        </w:tc>
        <w:tc>
          <w:tcPr>
            <w:tcW w:w="667" w:type="dxa"/>
            <w:shd w:val="clear" w:color="auto" w:fill="FFFFFF"/>
            <w:vAlign w:val="bottom"/>
          </w:tcPr>
          <w:p w14:paraId="77CEBE4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0,4751</w:t>
            </w:r>
          </w:p>
        </w:tc>
        <w:tc>
          <w:tcPr>
            <w:tcW w:w="672" w:type="dxa"/>
            <w:shd w:val="clear" w:color="auto" w:fill="FFFFFF"/>
            <w:vAlign w:val="bottom"/>
          </w:tcPr>
          <w:p w14:paraId="5166350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0,3919</w:t>
            </w:r>
          </w:p>
        </w:tc>
        <w:tc>
          <w:tcPr>
            <w:tcW w:w="667" w:type="dxa"/>
            <w:shd w:val="clear" w:color="auto" w:fill="FFFFFF"/>
            <w:vAlign w:val="bottom"/>
          </w:tcPr>
          <w:p w14:paraId="590D575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0,3428</w:t>
            </w:r>
          </w:p>
        </w:tc>
        <w:tc>
          <w:tcPr>
            <w:tcW w:w="667" w:type="dxa"/>
            <w:shd w:val="clear" w:color="auto" w:fill="FFFFFF"/>
            <w:vAlign w:val="bottom"/>
          </w:tcPr>
          <w:p w14:paraId="6FDC598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0,3099</w:t>
            </w:r>
          </w:p>
        </w:tc>
        <w:tc>
          <w:tcPr>
            <w:tcW w:w="667" w:type="dxa"/>
            <w:shd w:val="clear" w:color="auto" w:fill="FFFFFF"/>
            <w:vAlign w:val="bottom"/>
          </w:tcPr>
          <w:p w14:paraId="73628CD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0,2861</w:t>
            </w:r>
          </w:p>
        </w:tc>
        <w:tc>
          <w:tcPr>
            <w:tcW w:w="667" w:type="dxa"/>
            <w:shd w:val="clear" w:color="auto" w:fill="FFFFFF"/>
            <w:vAlign w:val="bottom"/>
          </w:tcPr>
          <w:p w14:paraId="26C2125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0,2680</w:t>
            </w:r>
          </w:p>
        </w:tc>
        <w:tc>
          <w:tcPr>
            <w:tcW w:w="672" w:type="dxa"/>
            <w:shd w:val="clear" w:color="auto" w:fill="FFFFFF"/>
            <w:vAlign w:val="bottom"/>
          </w:tcPr>
          <w:p w14:paraId="7E472FC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0,2535</w:t>
            </w:r>
          </w:p>
        </w:tc>
        <w:tc>
          <w:tcPr>
            <w:tcW w:w="667" w:type="dxa"/>
            <w:shd w:val="clear" w:color="auto" w:fill="FFFFFF"/>
            <w:vAlign w:val="bottom"/>
          </w:tcPr>
          <w:p w14:paraId="0C01F09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0,2419</w:t>
            </w:r>
          </w:p>
        </w:tc>
        <w:tc>
          <w:tcPr>
            <w:tcW w:w="667" w:type="dxa"/>
            <w:shd w:val="clear" w:color="auto" w:fill="FFFFFF"/>
            <w:vAlign w:val="bottom"/>
          </w:tcPr>
          <w:p w14:paraId="41789DC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0,2320</w:t>
            </w:r>
          </w:p>
        </w:tc>
        <w:tc>
          <w:tcPr>
            <w:tcW w:w="667" w:type="dxa"/>
            <w:shd w:val="clear" w:color="auto" w:fill="FFFFFF"/>
            <w:vAlign w:val="bottom"/>
          </w:tcPr>
          <w:p w14:paraId="4B491CC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0,1961</w:t>
            </w:r>
          </w:p>
        </w:tc>
        <w:tc>
          <w:tcPr>
            <w:tcW w:w="667" w:type="dxa"/>
            <w:shd w:val="clear" w:color="auto" w:fill="FFFFFF"/>
            <w:vAlign w:val="bottom"/>
          </w:tcPr>
          <w:p w14:paraId="4EE2D1F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0,1535</w:t>
            </w:r>
          </w:p>
        </w:tc>
        <w:tc>
          <w:tcPr>
            <w:tcW w:w="701" w:type="dxa"/>
            <w:shd w:val="clear" w:color="auto" w:fill="FFFFFF"/>
            <w:vAlign w:val="bottom"/>
          </w:tcPr>
          <w:p w14:paraId="6E9CF2D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0,0833</w:t>
            </w:r>
          </w:p>
        </w:tc>
      </w:tr>
      <w:tr w:rsidR="00B834A2" w:rsidRPr="00B07646" w14:paraId="733B3584" w14:textId="77777777" w:rsidTr="00B834A2">
        <w:trPr>
          <w:jc w:val="center"/>
        </w:trPr>
        <w:tc>
          <w:tcPr>
            <w:tcW w:w="610" w:type="dxa"/>
            <w:shd w:val="clear" w:color="auto" w:fill="FFFFFF"/>
            <w:vAlign w:val="center"/>
          </w:tcPr>
          <w:p w14:paraId="0153885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15</w:t>
            </w:r>
          </w:p>
        </w:tc>
        <w:tc>
          <w:tcPr>
            <w:tcW w:w="754" w:type="dxa"/>
            <w:shd w:val="clear" w:color="auto" w:fill="FFFFFF"/>
            <w:vAlign w:val="center"/>
          </w:tcPr>
          <w:p w14:paraId="7CA3288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0,5747</w:t>
            </w:r>
          </w:p>
        </w:tc>
        <w:tc>
          <w:tcPr>
            <w:tcW w:w="667" w:type="dxa"/>
            <w:shd w:val="clear" w:color="auto" w:fill="FFFFFF"/>
            <w:vAlign w:val="center"/>
          </w:tcPr>
          <w:p w14:paraId="1A57C87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0,4069</w:t>
            </w:r>
          </w:p>
        </w:tc>
        <w:tc>
          <w:tcPr>
            <w:tcW w:w="672" w:type="dxa"/>
            <w:shd w:val="clear" w:color="auto" w:fill="FFFFFF"/>
            <w:vAlign w:val="center"/>
          </w:tcPr>
          <w:p w14:paraId="34B1A25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0,3317</w:t>
            </w:r>
          </w:p>
        </w:tc>
        <w:tc>
          <w:tcPr>
            <w:tcW w:w="667" w:type="dxa"/>
            <w:shd w:val="clear" w:color="auto" w:fill="FFFFFF"/>
            <w:vAlign w:val="center"/>
          </w:tcPr>
          <w:p w14:paraId="1DADD72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0,2882</w:t>
            </w:r>
          </w:p>
        </w:tc>
        <w:tc>
          <w:tcPr>
            <w:tcW w:w="667" w:type="dxa"/>
            <w:shd w:val="clear" w:color="auto" w:fill="FFFFFF"/>
            <w:vAlign w:val="center"/>
          </w:tcPr>
          <w:p w14:paraId="312383B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0,2593</w:t>
            </w:r>
          </w:p>
        </w:tc>
        <w:tc>
          <w:tcPr>
            <w:tcW w:w="667" w:type="dxa"/>
            <w:shd w:val="clear" w:color="auto" w:fill="FFFFFF"/>
            <w:vAlign w:val="center"/>
          </w:tcPr>
          <w:p w14:paraId="3A8155E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0,2386</w:t>
            </w:r>
          </w:p>
        </w:tc>
        <w:tc>
          <w:tcPr>
            <w:tcW w:w="667" w:type="dxa"/>
            <w:shd w:val="clear" w:color="auto" w:fill="FFFFFF"/>
            <w:vAlign w:val="center"/>
          </w:tcPr>
          <w:p w14:paraId="0EC8746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0,2228</w:t>
            </w:r>
          </w:p>
        </w:tc>
        <w:tc>
          <w:tcPr>
            <w:tcW w:w="672" w:type="dxa"/>
            <w:shd w:val="clear" w:color="auto" w:fill="FFFFFF"/>
            <w:vAlign w:val="center"/>
          </w:tcPr>
          <w:p w14:paraId="3B25665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0,2104</w:t>
            </w:r>
          </w:p>
        </w:tc>
        <w:tc>
          <w:tcPr>
            <w:tcW w:w="667" w:type="dxa"/>
            <w:shd w:val="clear" w:color="auto" w:fill="FFFFFF"/>
            <w:vAlign w:val="center"/>
          </w:tcPr>
          <w:p w14:paraId="24D3B47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0,2002</w:t>
            </w:r>
          </w:p>
        </w:tc>
        <w:tc>
          <w:tcPr>
            <w:tcW w:w="667" w:type="dxa"/>
            <w:shd w:val="clear" w:color="auto" w:fill="FFFFFF"/>
            <w:vAlign w:val="center"/>
          </w:tcPr>
          <w:p w14:paraId="68BE9D5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0,1918</w:t>
            </w:r>
          </w:p>
        </w:tc>
        <w:tc>
          <w:tcPr>
            <w:tcW w:w="667" w:type="dxa"/>
            <w:shd w:val="clear" w:color="auto" w:fill="FFFFFF"/>
            <w:vAlign w:val="center"/>
          </w:tcPr>
          <w:p w14:paraId="73A7966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0,1612</w:t>
            </w:r>
          </w:p>
        </w:tc>
        <w:tc>
          <w:tcPr>
            <w:tcW w:w="667" w:type="dxa"/>
            <w:shd w:val="clear" w:color="auto" w:fill="FFFFFF"/>
            <w:vAlign w:val="center"/>
          </w:tcPr>
          <w:p w14:paraId="7F40FDC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0,1251</w:t>
            </w:r>
          </w:p>
        </w:tc>
        <w:tc>
          <w:tcPr>
            <w:tcW w:w="701" w:type="dxa"/>
            <w:shd w:val="clear" w:color="auto" w:fill="FFFFFF"/>
            <w:vAlign w:val="center"/>
          </w:tcPr>
          <w:p w14:paraId="7B547C8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0,0667</w:t>
            </w:r>
          </w:p>
        </w:tc>
      </w:tr>
      <w:tr w:rsidR="00B834A2" w:rsidRPr="00B07646" w14:paraId="3636CF7F" w14:textId="77777777" w:rsidTr="00B834A2">
        <w:trPr>
          <w:jc w:val="center"/>
        </w:trPr>
        <w:tc>
          <w:tcPr>
            <w:tcW w:w="610" w:type="dxa"/>
            <w:shd w:val="clear" w:color="auto" w:fill="FFFFFF"/>
            <w:vAlign w:val="bottom"/>
          </w:tcPr>
          <w:p w14:paraId="4180F26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20</w:t>
            </w:r>
          </w:p>
        </w:tc>
        <w:tc>
          <w:tcPr>
            <w:tcW w:w="754" w:type="dxa"/>
            <w:shd w:val="clear" w:color="auto" w:fill="FFFFFF"/>
            <w:vAlign w:val="bottom"/>
          </w:tcPr>
          <w:p w14:paraId="0ADF3C9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0,4799</w:t>
            </w:r>
          </w:p>
        </w:tc>
        <w:tc>
          <w:tcPr>
            <w:tcW w:w="667" w:type="dxa"/>
            <w:shd w:val="clear" w:color="auto" w:fill="FFFFFF"/>
            <w:vAlign w:val="bottom"/>
          </w:tcPr>
          <w:p w14:paraId="3124666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0,3297</w:t>
            </w:r>
          </w:p>
        </w:tc>
        <w:tc>
          <w:tcPr>
            <w:tcW w:w="672" w:type="dxa"/>
            <w:shd w:val="clear" w:color="auto" w:fill="FFFFFF"/>
            <w:vAlign w:val="bottom"/>
          </w:tcPr>
          <w:p w14:paraId="5C78D5A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0,2654</w:t>
            </w:r>
          </w:p>
        </w:tc>
        <w:tc>
          <w:tcPr>
            <w:tcW w:w="667" w:type="dxa"/>
            <w:shd w:val="clear" w:color="auto" w:fill="FFFFFF"/>
            <w:vAlign w:val="bottom"/>
          </w:tcPr>
          <w:p w14:paraId="22A8706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0,2288</w:t>
            </w:r>
          </w:p>
        </w:tc>
        <w:tc>
          <w:tcPr>
            <w:tcW w:w="667" w:type="dxa"/>
            <w:shd w:val="clear" w:color="auto" w:fill="FFFFFF"/>
            <w:vAlign w:val="bottom"/>
          </w:tcPr>
          <w:p w14:paraId="32EC32D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0,2048</w:t>
            </w:r>
          </w:p>
        </w:tc>
        <w:tc>
          <w:tcPr>
            <w:tcW w:w="667" w:type="dxa"/>
            <w:shd w:val="clear" w:color="auto" w:fill="FFFFFF"/>
            <w:vAlign w:val="bottom"/>
          </w:tcPr>
          <w:p w14:paraId="2A67811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0,1877</w:t>
            </w:r>
          </w:p>
        </w:tc>
        <w:tc>
          <w:tcPr>
            <w:tcW w:w="667" w:type="dxa"/>
            <w:shd w:val="clear" w:color="auto" w:fill="FFFFFF"/>
            <w:vAlign w:val="bottom"/>
          </w:tcPr>
          <w:p w14:paraId="5FD0AD3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0,1748</w:t>
            </w:r>
          </w:p>
        </w:tc>
        <w:tc>
          <w:tcPr>
            <w:tcW w:w="672" w:type="dxa"/>
            <w:shd w:val="clear" w:color="auto" w:fill="FFFFFF"/>
            <w:vAlign w:val="bottom"/>
          </w:tcPr>
          <w:p w14:paraId="639210F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0,1646</w:t>
            </w:r>
          </w:p>
        </w:tc>
        <w:tc>
          <w:tcPr>
            <w:tcW w:w="667" w:type="dxa"/>
            <w:shd w:val="clear" w:color="auto" w:fill="FFFFFF"/>
            <w:vAlign w:val="bottom"/>
          </w:tcPr>
          <w:p w14:paraId="75A1A2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0,1567</w:t>
            </w:r>
          </w:p>
        </w:tc>
        <w:tc>
          <w:tcPr>
            <w:tcW w:w="667" w:type="dxa"/>
            <w:shd w:val="clear" w:color="auto" w:fill="FFFFFF"/>
            <w:vAlign w:val="bottom"/>
          </w:tcPr>
          <w:p w14:paraId="54E31ED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0,1501</w:t>
            </w:r>
          </w:p>
        </w:tc>
        <w:tc>
          <w:tcPr>
            <w:tcW w:w="667" w:type="dxa"/>
            <w:shd w:val="clear" w:color="auto" w:fill="FFFFFF"/>
            <w:vAlign w:val="bottom"/>
          </w:tcPr>
          <w:p w14:paraId="282366D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0,1248</w:t>
            </w:r>
          </w:p>
        </w:tc>
        <w:tc>
          <w:tcPr>
            <w:tcW w:w="667" w:type="dxa"/>
            <w:shd w:val="clear" w:color="auto" w:fill="FFFFFF"/>
            <w:vAlign w:val="bottom"/>
          </w:tcPr>
          <w:p w14:paraId="712D112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0,0960</w:t>
            </w:r>
          </w:p>
        </w:tc>
        <w:tc>
          <w:tcPr>
            <w:tcW w:w="701" w:type="dxa"/>
            <w:shd w:val="clear" w:color="auto" w:fill="FFFFFF"/>
            <w:vAlign w:val="bottom"/>
          </w:tcPr>
          <w:p w14:paraId="68F9121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0,0500</w:t>
            </w:r>
          </w:p>
        </w:tc>
      </w:tr>
      <w:tr w:rsidR="00B834A2" w:rsidRPr="00B07646" w14:paraId="2CEC4568" w14:textId="77777777" w:rsidTr="00B834A2">
        <w:trPr>
          <w:jc w:val="center"/>
        </w:trPr>
        <w:tc>
          <w:tcPr>
            <w:tcW w:w="610" w:type="dxa"/>
            <w:shd w:val="clear" w:color="auto" w:fill="FFFFFF"/>
            <w:vAlign w:val="bottom"/>
          </w:tcPr>
          <w:p w14:paraId="6FC3134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24</w:t>
            </w:r>
          </w:p>
        </w:tc>
        <w:tc>
          <w:tcPr>
            <w:tcW w:w="754" w:type="dxa"/>
            <w:shd w:val="clear" w:color="auto" w:fill="FFFFFF"/>
            <w:vAlign w:val="bottom"/>
          </w:tcPr>
          <w:p w14:paraId="29C66F7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0,4247</w:t>
            </w:r>
          </w:p>
        </w:tc>
        <w:tc>
          <w:tcPr>
            <w:tcW w:w="667" w:type="dxa"/>
            <w:shd w:val="clear" w:color="auto" w:fill="FFFFFF"/>
            <w:vAlign w:val="bottom"/>
          </w:tcPr>
          <w:p w14:paraId="3CAF13C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0,2871</w:t>
            </w:r>
          </w:p>
        </w:tc>
        <w:tc>
          <w:tcPr>
            <w:tcW w:w="672" w:type="dxa"/>
            <w:shd w:val="clear" w:color="auto" w:fill="FFFFFF"/>
            <w:vAlign w:val="bottom"/>
          </w:tcPr>
          <w:p w14:paraId="23959FB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0,2295</w:t>
            </w:r>
          </w:p>
        </w:tc>
        <w:tc>
          <w:tcPr>
            <w:tcW w:w="667" w:type="dxa"/>
            <w:shd w:val="clear" w:color="auto" w:fill="FFFFFF"/>
            <w:vAlign w:val="bottom"/>
          </w:tcPr>
          <w:p w14:paraId="3E1C153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0,1970</w:t>
            </w:r>
          </w:p>
        </w:tc>
        <w:tc>
          <w:tcPr>
            <w:tcW w:w="667" w:type="dxa"/>
            <w:shd w:val="clear" w:color="auto" w:fill="FFFFFF"/>
            <w:vAlign w:val="bottom"/>
          </w:tcPr>
          <w:p w14:paraId="566645C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0,1759</w:t>
            </w:r>
          </w:p>
        </w:tc>
        <w:tc>
          <w:tcPr>
            <w:tcW w:w="667" w:type="dxa"/>
            <w:shd w:val="clear" w:color="auto" w:fill="FFFFFF"/>
            <w:vAlign w:val="bottom"/>
          </w:tcPr>
          <w:p w14:paraId="2C90C87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0,1608</w:t>
            </w:r>
          </w:p>
        </w:tc>
        <w:tc>
          <w:tcPr>
            <w:tcW w:w="667" w:type="dxa"/>
            <w:shd w:val="clear" w:color="auto" w:fill="FFFFFF"/>
            <w:vAlign w:val="bottom"/>
          </w:tcPr>
          <w:p w14:paraId="4967C59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0,1495</w:t>
            </w:r>
          </w:p>
        </w:tc>
        <w:tc>
          <w:tcPr>
            <w:tcW w:w="672" w:type="dxa"/>
            <w:shd w:val="clear" w:color="auto" w:fill="FFFFFF"/>
            <w:vAlign w:val="bottom"/>
          </w:tcPr>
          <w:p w14:paraId="2D14007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0,1406</w:t>
            </w:r>
          </w:p>
        </w:tc>
        <w:tc>
          <w:tcPr>
            <w:tcW w:w="667" w:type="dxa"/>
            <w:shd w:val="clear" w:color="auto" w:fill="FFFFFF"/>
            <w:vAlign w:val="bottom"/>
          </w:tcPr>
          <w:p w14:paraId="736250B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0,1338</w:t>
            </w:r>
          </w:p>
        </w:tc>
        <w:tc>
          <w:tcPr>
            <w:tcW w:w="667" w:type="dxa"/>
            <w:shd w:val="clear" w:color="auto" w:fill="FFFFFF"/>
            <w:vAlign w:val="bottom"/>
          </w:tcPr>
          <w:p w14:paraId="1DC01A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0,1283</w:t>
            </w:r>
          </w:p>
        </w:tc>
        <w:tc>
          <w:tcPr>
            <w:tcW w:w="667" w:type="dxa"/>
            <w:shd w:val="clear" w:color="auto" w:fill="FFFFFF"/>
            <w:vAlign w:val="bottom"/>
          </w:tcPr>
          <w:p w14:paraId="6DB387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0,1060</w:t>
            </w:r>
          </w:p>
        </w:tc>
        <w:tc>
          <w:tcPr>
            <w:tcW w:w="667" w:type="dxa"/>
            <w:shd w:val="clear" w:color="auto" w:fill="FFFFFF"/>
            <w:vAlign w:val="bottom"/>
          </w:tcPr>
          <w:p w14:paraId="1B6B278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0,0810</w:t>
            </w:r>
          </w:p>
        </w:tc>
        <w:tc>
          <w:tcPr>
            <w:tcW w:w="701" w:type="dxa"/>
            <w:shd w:val="clear" w:color="auto" w:fill="FFFFFF"/>
            <w:vAlign w:val="bottom"/>
          </w:tcPr>
          <w:p w14:paraId="78D8B6D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0,0417</w:t>
            </w:r>
          </w:p>
        </w:tc>
      </w:tr>
      <w:tr w:rsidR="00B834A2" w:rsidRPr="00B07646" w14:paraId="2F2D4A8A" w14:textId="77777777" w:rsidTr="00B834A2">
        <w:trPr>
          <w:jc w:val="center"/>
        </w:trPr>
        <w:tc>
          <w:tcPr>
            <w:tcW w:w="610" w:type="dxa"/>
            <w:shd w:val="clear" w:color="auto" w:fill="FFFFFF"/>
            <w:vAlign w:val="bottom"/>
          </w:tcPr>
          <w:p w14:paraId="7F2F69D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30</w:t>
            </w:r>
          </w:p>
        </w:tc>
        <w:tc>
          <w:tcPr>
            <w:tcW w:w="754" w:type="dxa"/>
            <w:shd w:val="clear" w:color="auto" w:fill="FFFFFF"/>
            <w:vAlign w:val="bottom"/>
          </w:tcPr>
          <w:p w14:paraId="58FC4CB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0,3632</w:t>
            </w:r>
          </w:p>
        </w:tc>
        <w:tc>
          <w:tcPr>
            <w:tcW w:w="667" w:type="dxa"/>
            <w:shd w:val="clear" w:color="auto" w:fill="FFFFFF"/>
            <w:vAlign w:val="bottom"/>
          </w:tcPr>
          <w:p w14:paraId="62192E1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0,2412</w:t>
            </w:r>
          </w:p>
        </w:tc>
        <w:tc>
          <w:tcPr>
            <w:tcW w:w="672" w:type="dxa"/>
            <w:shd w:val="clear" w:color="auto" w:fill="FFFFFF"/>
            <w:vAlign w:val="bottom"/>
          </w:tcPr>
          <w:p w14:paraId="7B0A78C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0,1913</w:t>
            </w:r>
          </w:p>
        </w:tc>
        <w:tc>
          <w:tcPr>
            <w:tcW w:w="667" w:type="dxa"/>
            <w:shd w:val="clear" w:color="auto" w:fill="FFFFFF"/>
            <w:vAlign w:val="bottom"/>
          </w:tcPr>
          <w:p w14:paraId="5BC95D1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0,1635</w:t>
            </w:r>
          </w:p>
        </w:tc>
        <w:tc>
          <w:tcPr>
            <w:tcW w:w="667" w:type="dxa"/>
            <w:shd w:val="clear" w:color="auto" w:fill="FFFFFF"/>
            <w:vAlign w:val="bottom"/>
          </w:tcPr>
          <w:p w14:paraId="5705F92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0,1454</w:t>
            </w:r>
          </w:p>
        </w:tc>
        <w:tc>
          <w:tcPr>
            <w:tcW w:w="667" w:type="dxa"/>
            <w:shd w:val="clear" w:color="auto" w:fill="FFFFFF"/>
            <w:vAlign w:val="bottom"/>
          </w:tcPr>
          <w:p w14:paraId="1B33276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0,1327</w:t>
            </w:r>
          </w:p>
        </w:tc>
        <w:tc>
          <w:tcPr>
            <w:tcW w:w="667" w:type="dxa"/>
            <w:shd w:val="clear" w:color="auto" w:fill="FFFFFF"/>
            <w:vAlign w:val="bottom"/>
          </w:tcPr>
          <w:p w14:paraId="147C628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0,1232</w:t>
            </w:r>
          </w:p>
        </w:tc>
        <w:tc>
          <w:tcPr>
            <w:tcW w:w="672" w:type="dxa"/>
            <w:shd w:val="clear" w:color="auto" w:fill="FFFFFF"/>
            <w:vAlign w:val="bottom"/>
          </w:tcPr>
          <w:p w14:paraId="02DCBE6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0,1157</w:t>
            </w:r>
          </w:p>
        </w:tc>
        <w:tc>
          <w:tcPr>
            <w:tcW w:w="667" w:type="dxa"/>
            <w:shd w:val="clear" w:color="auto" w:fill="FFFFFF"/>
            <w:vAlign w:val="bottom"/>
          </w:tcPr>
          <w:p w14:paraId="6980EB0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0,1100</w:t>
            </w:r>
          </w:p>
        </w:tc>
        <w:tc>
          <w:tcPr>
            <w:tcW w:w="667" w:type="dxa"/>
            <w:shd w:val="clear" w:color="auto" w:fill="FFFFFF"/>
            <w:vAlign w:val="bottom"/>
          </w:tcPr>
          <w:p w14:paraId="11C455B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0,1054</w:t>
            </w:r>
          </w:p>
        </w:tc>
        <w:tc>
          <w:tcPr>
            <w:tcW w:w="667" w:type="dxa"/>
            <w:shd w:val="clear" w:color="auto" w:fill="FFFFFF"/>
            <w:vAlign w:val="bottom"/>
          </w:tcPr>
          <w:p w14:paraId="341826F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0,0867</w:t>
            </w:r>
          </w:p>
        </w:tc>
        <w:tc>
          <w:tcPr>
            <w:tcW w:w="667" w:type="dxa"/>
            <w:shd w:val="clear" w:color="auto" w:fill="FFFFFF"/>
            <w:vAlign w:val="bottom"/>
          </w:tcPr>
          <w:p w14:paraId="1D9CA0E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0,0658</w:t>
            </w:r>
          </w:p>
        </w:tc>
        <w:tc>
          <w:tcPr>
            <w:tcW w:w="701" w:type="dxa"/>
            <w:shd w:val="clear" w:color="auto" w:fill="FFFFFF"/>
            <w:vAlign w:val="bottom"/>
          </w:tcPr>
          <w:p w14:paraId="1CD4EA4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0,0333</w:t>
            </w:r>
          </w:p>
        </w:tc>
      </w:tr>
      <w:tr w:rsidR="00B834A2" w:rsidRPr="00B07646" w14:paraId="789561CD" w14:textId="77777777" w:rsidTr="00B834A2">
        <w:trPr>
          <w:jc w:val="center"/>
        </w:trPr>
        <w:tc>
          <w:tcPr>
            <w:tcW w:w="610" w:type="dxa"/>
            <w:shd w:val="clear" w:color="auto" w:fill="FFFFFF"/>
            <w:vAlign w:val="bottom"/>
          </w:tcPr>
          <w:p w14:paraId="77915D4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40</w:t>
            </w:r>
          </w:p>
        </w:tc>
        <w:tc>
          <w:tcPr>
            <w:tcW w:w="754" w:type="dxa"/>
            <w:shd w:val="clear" w:color="auto" w:fill="FFFFFF"/>
            <w:vAlign w:val="bottom"/>
          </w:tcPr>
          <w:p w14:paraId="1EB57CFD"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0,2940</w:t>
            </w:r>
          </w:p>
        </w:tc>
        <w:tc>
          <w:tcPr>
            <w:tcW w:w="667" w:type="dxa"/>
            <w:shd w:val="clear" w:color="auto" w:fill="FFFFFF"/>
            <w:vAlign w:val="bottom"/>
          </w:tcPr>
          <w:p w14:paraId="3388AEE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0,1915</w:t>
            </w:r>
          </w:p>
        </w:tc>
        <w:tc>
          <w:tcPr>
            <w:tcW w:w="672" w:type="dxa"/>
            <w:shd w:val="clear" w:color="auto" w:fill="FFFFFF"/>
            <w:vAlign w:val="bottom"/>
          </w:tcPr>
          <w:p w14:paraId="1DABC31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0,1508</w:t>
            </w:r>
          </w:p>
        </w:tc>
        <w:tc>
          <w:tcPr>
            <w:tcW w:w="667" w:type="dxa"/>
            <w:shd w:val="clear" w:color="auto" w:fill="FFFFFF"/>
            <w:vAlign w:val="bottom"/>
          </w:tcPr>
          <w:p w14:paraId="61673E8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0,1281</w:t>
            </w:r>
          </w:p>
        </w:tc>
        <w:tc>
          <w:tcPr>
            <w:tcW w:w="667" w:type="dxa"/>
            <w:shd w:val="clear" w:color="auto" w:fill="FFFFFF"/>
            <w:vAlign w:val="bottom"/>
          </w:tcPr>
          <w:p w14:paraId="50D6118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0,1135</w:t>
            </w:r>
          </w:p>
        </w:tc>
        <w:tc>
          <w:tcPr>
            <w:tcW w:w="667" w:type="dxa"/>
            <w:shd w:val="clear" w:color="auto" w:fill="FFFFFF"/>
            <w:vAlign w:val="bottom"/>
          </w:tcPr>
          <w:p w14:paraId="3F6BAED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0,1033</w:t>
            </w:r>
          </w:p>
        </w:tc>
        <w:tc>
          <w:tcPr>
            <w:tcW w:w="667" w:type="dxa"/>
            <w:shd w:val="clear" w:color="auto" w:fill="FFFFFF"/>
            <w:vAlign w:val="bottom"/>
          </w:tcPr>
          <w:p w14:paraId="211ED0B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0,0957</w:t>
            </w:r>
          </w:p>
        </w:tc>
        <w:tc>
          <w:tcPr>
            <w:tcW w:w="672" w:type="dxa"/>
            <w:shd w:val="clear" w:color="auto" w:fill="FFFFFF"/>
            <w:vAlign w:val="bottom"/>
          </w:tcPr>
          <w:p w14:paraId="363A8E5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0,0898</w:t>
            </w:r>
          </w:p>
        </w:tc>
        <w:tc>
          <w:tcPr>
            <w:tcW w:w="667" w:type="dxa"/>
            <w:shd w:val="clear" w:color="auto" w:fill="FFFFFF"/>
            <w:vAlign w:val="bottom"/>
          </w:tcPr>
          <w:p w14:paraId="7F739BD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0,0853</w:t>
            </w:r>
          </w:p>
        </w:tc>
        <w:tc>
          <w:tcPr>
            <w:tcW w:w="667" w:type="dxa"/>
            <w:shd w:val="clear" w:color="auto" w:fill="FFFFFF"/>
            <w:vAlign w:val="bottom"/>
          </w:tcPr>
          <w:p w14:paraId="112E40BB"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0,0816</w:t>
            </w:r>
          </w:p>
        </w:tc>
        <w:tc>
          <w:tcPr>
            <w:tcW w:w="667" w:type="dxa"/>
            <w:shd w:val="clear" w:color="auto" w:fill="FFFFFF"/>
            <w:vAlign w:val="bottom"/>
          </w:tcPr>
          <w:p w14:paraId="3675ED4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0,0668</w:t>
            </w:r>
          </w:p>
        </w:tc>
        <w:tc>
          <w:tcPr>
            <w:tcW w:w="667" w:type="dxa"/>
            <w:shd w:val="clear" w:color="auto" w:fill="FFFFFF"/>
            <w:vAlign w:val="bottom"/>
          </w:tcPr>
          <w:p w14:paraId="651C57C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0,0503</w:t>
            </w:r>
          </w:p>
        </w:tc>
        <w:tc>
          <w:tcPr>
            <w:tcW w:w="701" w:type="dxa"/>
            <w:shd w:val="clear" w:color="auto" w:fill="FFFFFF"/>
            <w:vAlign w:val="bottom"/>
          </w:tcPr>
          <w:p w14:paraId="0B5FE308"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0,0250</w:t>
            </w:r>
          </w:p>
        </w:tc>
      </w:tr>
      <w:tr w:rsidR="00B834A2" w:rsidRPr="00B07646" w14:paraId="3BC73138" w14:textId="77777777" w:rsidTr="00B834A2">
        <w:trPr>
          <w:jc w:val="center"/>
        </w:trPr>
        <w:tc>
          <w:tcPr>
            <w:tcW w:w="610" w:type="dxa"/>
            <w:shd w:val="clear" w:color="auto" w:fill="FFFFFF"/>
            <w:vAlign w:val="bottom"/>
          </w:tcPr>
          <w:p w14:paraId="15D5E2A5"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60</w:t>
            </w:r>
          </w:p>
        </w:tc>
        <w:tc>
          <w:tcPr>
            <w:tcW w:w="754" w:type="dxa"/>
            <w:shd w:val="clear" w:color="auto" w:fill="FFFFFF"/>
            <w:vAlign w:val="bottom"/>
          </w:tcPr>
          <w:p w14:paraId="4964A07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0,2151</w:t>
            </w:r>
          </w:p>
        </w:tc>
        <w:tc>
          <w:tcPr>
            <w:tcW w:w="667" w:type="dxa"/>
            <w:shd w:val="clear" w:color="auto" w:fill="FFFFFF"/>
            <w:vAlign w:val="bottom"/>
          </w:tcPr>
          <w:p w14:paraId="346BFA5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0,1371</w:t>
            </w:r>
          </w:p>
        </w:tc>
        <w:tc>
          <w:tcPr>
            <w:tcW w:w="672" w:type="dxa"/>
            <w:shd w:val="clear" w:color="auto" w:fill="FFFFFF"/>
            <w:vAlign w:val="bottom"/>
          </w:tcPr>
          <w:p w14:paraId="2D70065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0,1069</w:t>
            </w:r>
          </w:p>
        </w:tc>
        <w:tc>
          <w:tcPr>
            <w:tcW w:w="667" w:type="dxa"/>
            <w:shd w:val="clear" w:color="auto" w:fill="FFFFFF"/>
            <w:vAlign w:val="bottom"/>
          </w:tcPr>
          <w:p w14:paraId="3DB11C6A"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0,0902</w:t>
            </w:r>
          </w:p>
        </w:tc>
        <w:tc>
          <w:tcPr>
            <w:tcW w:w="667" w:type="dxa"/>
            <w:shd w:val="clear" w:color="auto" w:fill="FFFFFF"/>
            <w:vAlign w:val="bottom"/>
          </w:tcPr>
          <w:p w14:paraId="4E9BE74C"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0,0796</w:t>
            </w:r>
          </w:p>
        </w:tc>
        <w:tc>
          <w:tcPr>
            <w:tcW w:w="667" w:type="dxa"/>
            <w:shd w:val="clear" w:color="auto" w:fill="FFFFFF"/>
            <w:vAlign w:val="bottom"/>
          </w:tcPr>
          <w:p w14:paraId="4E0531D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0,0721</w:t>
            </w:r>
          </w:p>
        </w:tc>
        <w:tc>
          <w:tcPr>
            <w:tcW w:w="667" w:type="dxa"/>
            <w:shd w:val="clear" w:color="auto" w:fill="FFFFFF"/>
            <w:vAlign w:val="bottom"/>
          </w:tcPr>
          <w:p w14:paraId="3854E54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0,0668</w:t>
            </w:r>
          </w:p>
        </w:tc>
        <w:tc>
          <w:tcPr>
            <w:tcW w:w="672" w:type="dxa"/>
            <w:shd w:val="clear" w:color="auto" w:fill="FFFFFF"/>
            <w:vAlign w:val="bottom"/>
          </w:tcPr>
          <w:p w14:paraId="2BECEA8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0,0625</w:t>
            </w:r>
          </w:p>
        </w:tc>
        <w:tc>
          <w:tcPr>
            <w:tcW w:w="667" w:type="dxa"/>
            <w:shd w:val="clear" w:color="auto" w:fill="FFFFFF"/>
            <w:vAlign w:val="bottom"/>
          </w:tcPr>
          <w:p w14:paraId="3AED073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0,0594</w:t>
            </w:r>
          </w:p>
        </w:tc>
        <w:tc>
          <w:tcPr>
            <w:tcW w:w="667" w:type="dxa"/>
            <w:shd w:val="clear" w:color="auto" w:fill="FFFFFF"/>
            <w:vAlign w:val="bottom"/>
          </w:tcPr>
          <w:p w14:paraId="3239C2B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0,0567</w:t>
            </w:r>
          </w:p>
        </w:tc>
        <w:tc>
          <w:tcPr>
            <w:tcW w:w="667" w:type="dxa"/>
            <w:shd w:val="clear" w:color="auto" w:fill="FFFFFF"/>
            <w:vAlign w:val="bottom"/>
          </w:tcPr>
          <w:p w14:paraId="6CEF86C6"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0,0461</w:t>
            </w:r>
          </w:p>
        </w:tc>
        <w:tc>
          <w:tcPr>
            <w:tcW w:w="667" w:type="dxa"/>
            <w:shd w:val="clear" w:color="auto" w:fill="FFFFFF"/>
            <w:vAlign w:val="bottom"/>
          </w:tcPr>
          <w:p w14:paraId="3C123EC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0,0344</w:t>
            </w:r>
          </w:p>
        </w:tc>
        <w:tc>
          <w:tcPr>
            <w:tcW w:w="701" w:type="dxa"/>
            <w:shd w:val="clear" w:color="auto" w:fill="FFFFFF"/>
            <w:vAlign w:val="bottom"/>
          </w:tcPr>
          <w:p w14:paraId="22FF6B61"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0,0167</w:t>
            </w:r>
          </w:p>
        </w:tc>
      </w:tr>
      <w:tr w:rsidR="00B834A2" w:rsidRPr="00B07646" w14:paraId="7543E01A" w14:textId="77777777" w:rsidTr="00B834A2">
        <w:trPr>
          <w:jc w:val="center"/>
        </w:trPr>
        <w:tc>
          <w:tcPr>
            <w:tcW w:w="610" w:type="dxa"/>
            <w:tcBorders>
              <w:bottom w:val="single" w:sz="4" w:space="0" w:color="auto"/>
            </w:tcBorders>
            <w:shd w:val="clear" w:color="auto" w:fill="FFFFFF"/>
            <w:vAlign w:val="center"/>
          </w:tcPr>
          <w:p w14:paraId="63B8080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m:oMathPara>
              <m:oMath>
                <m:r>
                  <w:rPr>
                    <w:rFonts w:ascii="Cambria Math" w:hAnsi="Cambria Math" w:cs="Sylfaen"/>
                  </w:rPr>
                  <m:t>∞</m:t>
                </m:r>
              </m:oMath>
            </m:oMathPara>
          </w:p>
        </w:tc>
        <w:tc>
          <w:tcPr>
            <w:tcW w:w="754" w:type="dxa"/>
            <w:tcBorders>
              <w:bottom w:val="single" w:sz="4" w:space="0" w:color="auto"/>
            </w:tcBorders>
            <w:shd w:val="clear" w:color="auto" w:fill="FFFFFF"/>
            <w:vAlign w:val="bottom"/>
          </w:tcPr>
          <w:p w14:paraId="2619212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2D1AA85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72" w:type="dxa"/>
            <w:tcBorders>
              <w:bottom w:val="single" w:sz="4" w:space="0" w:color="auto"/>
            </w:tcBorders>
            <w:shd w:val="clear" w:color="auto" w:fill="FFFFFF"/>
            <w:vAlign w:val="bottom"/>
          </w:tcPr>
          <w:p w14:paraId="72BA0300"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65120392"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7F1FD98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03E8A93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0FB0A463"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72" w:type="dxa"/>
            <w:tcBorders>
              <w:bottom w:val="single" w:sz="4" w:space="0" w:color="auto"/>
            </w:tcBorders>
            <w:shd w:val="clear" w:color="auto" w:fill="FFFFFF"/>
            <w:vAlign w:val="bottom"/>
          </w:tcPr>
          <w:p w14:paraId="069F11AE"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1F75FE07"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0C9F26C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509EE6F9"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667" w:type="dxa"/>
            <w:tcBorders>
              <w:bottom w:val="single" w:sz="4" w:space="0" w:color="auto"/>
            </w:tcBorders>
            <w:shd w:val="clear" w:color="auto" w:fill="FFFFFF"/>
            <w:vAlign w:val="bottom"/>
          </w:tcPr>
          <w:p w14:paraId="7B0FBA04"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c>
          <w:tcPr>
            <w:tcW w:w="701" w:type="dxa"/>
            <w:tcBorders>
              <w:bottom w:val="single" w:sz="4" w:space="0" w:color="auto"/>
            </w:tcBorders>
            <w:shd w:val="clear" w:color="auto" w:fill="FFFFFF"/>
            <w:vAlign w:val="bottom"/>
          </w:tcPr>
          <w:p w14:paraId="25602A4F" w14:textId="77777777" w:rsidR="00B834A2" w:rsidRPr="00B07646" w:rsidRDefault="00B834A2" w:rsidP="00B07646">
            <w:pPr>
              <w:pStyle w:val="a0"/>
              <w:shd w:val="clear" w:color="auto" w:fill="auto"/>
              <w:spacing w:after="120" w:line="240" w:lineRule="auto"/>
              <w:ind w:firstLine="19"/>
              <w:jc w:val="center"/>
              <w:rPr>
                <w:rFonts w:ascii="Sylfaen" w:hAnsi="Sylfaen" w:cs="Sylfaen"/>
              </w:rPr>
            </w:pPr>
            <w:r w:rsidRPr="00B07646">
              <w:rPr>
                <w:rFonts w:ascii="Sylfaen" w:hAnsi="Sylfaen"/>
              </w:rPr>
              <w:t>0</w:t>
            </w:r>
          </w:p>
        </w:tc>
      </w:tr>
    </w:tbl>
    <w:p w14:paraId="47F9499E" w14:textId="77777777" w:rsidR="00B834A2" w:rsidRPr="00B834A2" w:rsidRDefault="00B834A2" w:rsidP="00B834A2">
      <w:pPr>
        <w:spacing w:after="160" w:line="360" w:lineRule="auto"/>
        <w:ind w:firstLine="567"/>
        <w:jc w:val="both"/>
      </w:pPr>
    </w:p>
    <w:p w14:paraId="418A1C1F" w14:textId="77777777" w:rsidR="00B07646" w:rsidRDefault="00B07646">
      <w:pPr>
        <w:rPr>
          <w:b/>
        </w:rPr>
      </w:pPr>
      <w:r>
        <w:rPr>
          <w:b/>
        </w:rPr>
        <w:br w:type="page"/>
      </w:r>
    </w:p>
    <w:p w14:paraId="6A65B66A" w14:textId="77777777" w:rsidR="00B834A2" w:rsidRPr="00A55DE5" w:rsidRDefault="00B834A2" w:rsidP="00B07646">
      <w:pPr>
        <w:spacing w:after="160" w:line="360" w:lineRule="auto"/>
        <w:ind w:firstLine="567"/>
        <w:jc w:val="right"/>
        <w:rPr>
          <w:b/>
          <w:sz w:val="20"/>
          <w:lang w:val="en-US"/>
        </w:rPr>
      </w:pPr>
      <w:r w:rsidRPr="00A55DE5">
        <w:rPr>
          <w:b/>
          <w:sz w:val="20"/>
        </w:rPr>
        <w:lastRenderedPageBreak/>
        <w:t>203140000-2022</w:t>
      </w:r>
    </w:p>
    <w:p w14:paraId="5B13E296" w14:textId="77777777" w:rsidR="00B07646" w:rsidRPr="00A55DE5" w:rsidRDefault="00B07646" w:rsidP="00B07646">
      <w:pPr>
        <w:spacing w:after="160" w:line="360" w:lineRule="auto"/>
        <w:ind w:firstLine="567"/>
        <w:jc w:val="right"/>
        <w:rPr>
          <w:b/>
          <w:sz w:val="20"/>
          <w:lang w:val="en-US"/>
        </w:rPr>
      </w:pPr>
    </w:p>
    <w:p w14:paraId="24E88BC8" w14:textId="77777777" w:rsidR="00B834A2" w:rsidRPr="00B834A2" w:rsidRDefault="00B834A2" w:rsidP="00B07646">
      <w:pPr>
        <w:pStyle w:val="a0"/>
        <w:shd w:val="clear" w:color="auto" w:fill="auto"/>
        <w:tabs>
          <w:tab w:val="left" w:pos="1701"/>
        </w:tabs>
        <w:spacing w:after="160" w:line="360" w:lineRule="auto"/>
        <w:ind w:firstLine="567"/>
        <w:jc w:val="both"/>
        <w:rPr>
          <w:rFonts w:ascii="Sylfaen" w:hAnsi="Sylfaen"/>
          <w:sz w:val="24"/>
          <w:szCs w:val="24"/>
        </w:rPr>
      </w:pPr>
      <w:r w:rsidRPr="00B834A2">
        <w:rPr>
          <w:rFonts w:ascii="Sylfaen" w:hAnsi="Sylfaen"/>
          <w:b/>
          <w:sz w:val="24"/>
          <w:szCs w:val="24"/>
        </w:rPr>
        <w:t>2.3.14.0.</w:t>
      </w:r>
      <w:r w:rsidR="00B07646">
        <w:rPr>
          <w:rFonts w:ascii="Sylfaen" w:hAnsi="Sylfaen"/>
          <w:b/>
          <w:sz w:val="24"/>
          <w:szCs w:val="24"/>
          <w:lang w:val="en-US"/>
        </w:rPr>
        <w:tab/>
      </w:r>
      <w:r w:rsidRPr="00B834A2">
        <w:rPr>
          <w:rFonts w:ascii="Sylfaen" w:hAnsi="Sylfaen"/>
          <w:b/>
          <w:sz w:val="24"/>
          <w:szCs w:val="24"/>
        </w:rPr>
        <w:t>Անալիտիկ մեթոդիկաների վալիդացում</w:t>
      </w:r>
    </w:p>
    <w:p w14:paraId="084731BB"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Անալիտիկ մեթոդիկայի վալիդացումը փորձարարական ապացույցն է այն բանի, որ դեղամիջոցների որակի վերահսկման համար նախատեսված մեթոդիկան պիտանի է ենթադրվող խնդիրների լուծման համար:</w:t>
      </w:r>
    </w:p>
    <w:p w14:paraId="2E4B7DA5"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Վալիդացման ժամանակ անցկացվում է անալիտիկ մեթոդիկայի գնահատում՝ աղյուսակ 2.3.14.0-1-ում բերված տիպային առաջարկությունները հաշվի առնելով ընտրվող՝ ստոր</w:t>
      </w:r>
      <w:r>
        <w:rPr>
          <w:rFonts w:ascii="Sylfaen" w:hAnsi="Sylfaen"/>
          <w:sz w:val="24"/>
          <w:szCs w:val="24"/>
        </w:rPr>
        <w:t>եւ</w:t>
      </w:r>
      <w:r w:rsidRPr="00B834A2">
        <w:rPr>
          <w:rFonts w:ascii="Sylfaen" w:hAnsi="Sylfaen"/>
          <w:sz w:val="24"/>
          <w:szCs w:val="24"/>
        </w:rPr>
        <w:t xml:space="preserve"> թվարկված հետ</w:t>
      </w:r>
      <w:r>
        <w:rPr>
          <w:rFonts w:ascii="Sylfaen" w:hAnsi="Sylfaen"/>
          <w:sz w:val="24"/>
          <w:szCs w:val="24"/>
        </w:rPr>
        <w:t>եւ</w:t>
      </w:r>
      <w:r w:rsidRPr="00B834A2">
        <w:rPr>
          <w:rFonts w:ascii="Sylfaen" w:hAnsi="Sylfaen"/>
          <w:sz w:val="24"/>
          <w:szCs w:val="24"/>
        </w:rPr>
        <w:t>յալ բնութագրերով.</w:t>
      </w:r>
    </w:p>
    <w:p w14:paraId="211FEAF3"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color w:val="000000"/>
          <w:sz w:val="24"/>
          <w:szCs w:val="24"/>
        </w:rPr>
        <w:t>-</w:t>
      </w:r>
      <w:r w:rsidR="00B07646" w:rsidRPr="00B07646">
        <w:rPr>
          <w:rFonts w:ascii="Sylfaen" w:hAnsi="Sylfaen"/>
          <w:color w:val="000000"/>
          <w:sz w:val="24"/>
          <w:szCs w:val="24"/>
        </w:rPr>
        <w:tab/>
      </w:r>
      <w:r w:rsidRPr="00B834A2">
        <w:rPr>
          <w:rFonts w:ascii="Sylfaen" w:hAnsi="Sylfaen"/>
          <w:sz w:val="24"/>
          <w:szCs w:val="24"/>
        </w:rPr>
        <w:t xml:space="preserve">ճշտություն </w:t>
      </w:r>
      <w:r w:rsidRPr="00B834A2">
        <w:rPr>
          <w:rFonts w:ascii="Sylfaen" w:hAnsi="Sylfaen"/>
          <w:i/>
          <w:sz w:val="24"/>
          <w:szCs w:val="24"/>
        </w:rPr>
        <w:t xml:space="preserve">(trueness/accuracy)՝ ընդունված իսկական (հենարանային) </w:t>
      </w:r>
      <w:r w:rsidRPr="00A55DE5">
        <w:rPr>
          <w:rFonts w:ascii="Sylfaen" w:hAnsi="Sylfaen"/>
          <w:i/>
          <w:spacing w:val="4"/>
          <w:sz w:val="24"/>
          <w:szCs w:val="24"/>
        </w:rPr>
        <w:t xml:space="preserve">արժեքի եւ ստացված արժեքի միջեւ </w:t>
      </w:r>
      <w:r w:rsidRPr="00A55DE5">
        <w:rPr>
          <w:rFonts w:ascii="Sylfaen" w:hAnsi="Sylfaen"/>
          <w:spacing w:val="4"/>
          <w:sz w:val="24"/>
          <w:szCs w:val="24"/>
        </w:rPr>
        <w:t>մոտ լինելու բնութագիր, որն արտահայտվում է բացելիության</w:t>
      </w:r>
      <w:r w:rsidRPr="00B834A2">
        <w:rPr>
          <w:rFonts w:ascii="Sylfaen" w:hAnsi="Sylfaen"/>
          <w:sz w:val="24"/>
          <w:szCs w:val="24"/>
        </w:rPr>
        <w:t xml:space="preserve"> մեծությամբ. </w:t>
      </w:r>
    </w:p>
    <w:p w14:paraId="6085351B" w14:textId="77777777" w:rsidR="00B834A2" w:rsidRPr="00B834A2" w:rsidRDefault="00B834A2" w:rsidP="00B07646">
      <w:pPr>
        <w:tabs>
          <w:tab w:val="left" w:pos="1134"/>
        </w:tabs>
        <w:spacing w:after="160" w:line="360" w:lineRule="auto"/>
        <w:ind w:firstLine="567"/>
        <w:jc w:val="both"/>
      </w:pPr>
      <w:r w:rsidRPr="00B834A2">
        <w:t>-</w:t>
      </w:r>
      <w:r w:rsidR="00B07646" w:rsidRPr="00B07646">
        <w:tab/>
      </w:r>
      <w:r w:rsidRPr="00B834A2">
        <w:t xml:space="preserve">ճշգրտություն </w:t>
      </w:r>
      <w:r w:rsidRPr="00B834A2">
        <w:rPr>
          <w:i/>
        </w:rPr>
        <w:t>(precision)՝ մեթոդիկայով նշված պայմաններում նույն միատարր փորձանմուշից վերցված փորձանմուշների բազմազանության վրա անցկացված չափումների սերիաների միջ</w:t>
      </w:r>
      <w:r>
        <w:rPr>
          <w:i/>
        </w:rPr>
        <w:t>եւ</w:t>
      </w:r>
      <w:r w:rsidRPr="00B834A2">
        <w:rPr>
          <w:i/>
        </w:rPr>
        <w:t xml:space="preserve"> արդյունքների (արժեքների) մոտ լինելու (ցրվածքի աստիճանի) բնութագիր. </w:t>
      </w:r>
    </w:p>
    <w:p w14:paraId="71533BED"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color w:val="000000"/>
          <w:sz w:val="24"/>
          <w:szCs w:val="24"/>
        </w:rPr>
        <w:t>-</w:t>
      </w:r>
      <w:r w:rsidR="00B07646" w:rsidRPr="00B07646">
        <w:rPr>
          <w:rFonts w:ascii="Sylfaen" w:hAnsi="Sylfaen"/>
          <w:color w:val="000000"/>
          <w:sz w:val="24"/>
          <w:szCs w:val="24"/>
        </w:rPr>
        <w:tab/>
      </w:r>
      <w:r w:rsidRPr="00B834A2">
        <w:rPr>
          <w:rFonts w:ascii="Sylfaen" w:hAnsi="Sylfaen"/>
          <w:sz w:val="24"/>
          <w:szCs w:val="24"/>
        </w:rPr>
        <w:t xml:space="preserve">սպեցիֆիկություն </w:t>
      </w:r>
      <w:r w:rsidRPr="00B834A2">
        <w:rPr>
          <w:rFonts w:ascii="Sylfaen" w:hAnsi="Sylfaen"/>
          <w:i/>
          <w:sz w:val="24"/>
          <w:szCs w:val="24"/>
        </w:rPr>
        <w:t xml:space="preserve">(specificity)՝ անալիտիկ մեթոդիկայի՝ փորձարկվող նմուշում առկա այլ նյութերից (խառնուկներ, դեգրադացման արգասիքներ, օժանդակ նյութ, մատրից (դիսպերսիոն միջավայր) </w:t>
      </w:r>
      <w:r>
        <w:rPr>
          <w:rFonts w:ascii="Sylfaen" w:hAnsi="Sylfaen"/>
          <w:i/>
          <w:sz w:val="24"/>
          <w:szCs w:val="24"/>
        </w:rPr>
        <w:t>եւ</w:t>
      </w:r>
      <w:r w:rsidRPr="00B834A2">
        <w:rPr>
          <w:rFonts w:ascii="Sylfaen" w:hAnsi="Sylfaen"/>
          <w:i/>
          <w:sz w:val="24"/>
          <w:szCs w:val="24"/>
        </w:rPr>
        <w:t xml:space="preserve"> այլն) անկախ որոշվող նյութը միանշանակ գնահատելու ունակություն</w:t>
      </w:r>
      <w:r w:rsidRPr="00B834A2">
        <w:rPr>
          <w:rFonts w:ascii="Sylfaen" w:hAnsi="Sylfaen"/>
          <w:sz w:val="24"/>
          <w:szCs w:val="24"/>
        </w:rPr>
        <w:t>.</w:t>
      </w:r>
    </w:p>
    <w:p w14:paraId="212EDB40"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color w:val="000000"/>
          <w:sz w:val="24"/>
          <w:szCs w:val="24"/>
        </w:rPr>
        <w:t>-</w:t>
      </w:r>
      <w:r w:rsidR="00B07646" w:rsidRPr="00B07646">
        <w:rPr>
          <w:rFonts w:ascii="Sylfaen" w:hAnsi="Sylfaen"/>
          <w:color w:val="000000"/>
          <w:sz w:val="24"/>
          <w:szCs w:val="24"/>
        </w:rPr>
        <w:tab/>
      </w:r>
      <w:r w:rsidRPr="00B834A2">
        <w:rPr>
          <w:rFonts w:ascii="Sylfaen" w:hAnsi="Sylfaen"/>
          <w:sz w:val="24"/>
          <w:szCs w:val="24"/>
        </w:rPr>
        <w:t xml:space="preserve">հայտնաբերման սահման </w:t>
      </w:r>
      <w:r w:rsidRPr="00B834A2">
        <w:rPr>
          <w:rFonts w:ascii="Sylfaen" w:hAnsi="Sylfaen"/>
          <w:i/>
          <w:sz w:val="24"/>
          <w:szCs w:val="24"/>
        </w:rPr>
        <w:t xml:space="preserve">(detection limit)՝ նմուշում որոշվող նյութի նվազագույն քանակ, որը կարող է հայտնաբերվել, սակայն ոչ պարտադիր կերպով քանակապես որոշվել՝ վալիդացվող մեթոդիկայի կիրառմամբ. </w:t>
      </w:r>
    </w:p>
    <w:p w14:paraId="1D9DEC4F"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color w:val="000000"/>
          <w:sz w:val="24"/>
          <w:szCs w:val="24"/>
        </w:rPr>
        <w:t>-</w:t>
      </w:r>
      <w:r w:rsidR="00B07646" w:rsidRPr="00B07646">
        <w:rPr>
          <w:rFonts w:ascii="Sylfaen" w:hAnsi="Sylfaen"/>
          <w:color w:val="000000"/>
          <w:sz w:val="24"/>
          <w:szCs w:val="24"/>
        </w:rPr>
        <w:tab/>
      </w:r>
      <w:r w:rsidRPr="00B834A2">
        <w:rPr>
          <w:rFonts w:ascii="Sylfaen" w:hAnsi="Sylfaen"/>
          <w:sz w:val="24"/>
          <w:szCs w:val="24"/>
        </w:rPr>
        <w:t xml:space="preserve">քանակական որոշման սահման </w:t>
      </w:r>
      <w:r w:rsidRPr="00B834A2">
        <w:rPr>
          <w:rFonts w:ascii="Sylfaen" w:hAnsi="Sylfaen"/>
          <w:i/>
          <w:sz w:val="24"/>
          <w:szCs w:val="24"/>
        </w:rPr>
        <w:t xml:space="preserve">(quantitation limit)՝ նմուշում նյութի նվազագույն քանակ, որը քանակապես կարող է որոշվել համապատասխան ճշտությամբ </w:t>
      </w:r>
      <w:r>
        <w:rPr>
          <w:rFonts w:ascii="Sylfaen" w:hAnsi="Sylfaen"/>
          <w:i/>
          <w:sz w:val="24"/>
          <w:szCs w:val="24"/>
        </w:rPr>
        <w:t>եւ</w:t>
      </w:r>
      <w:r w:rsidRPr="00B834A2">
        <w:rPr>
          <w:rFonts w:ascii="Sylfaen" w:hAnsi="Sylfaen"/>
          <w:i/>
          <w:sz w:val="24"/>
          <w:szCs w:val="24"/>
        </w:rPr>
        <w:t xml:space="preserve"> ճշգրտությամբ վալիդացվող մեթոդիկայի կիրառմամբ.</w:t>
      </w:r>
      <w:r>
        <w:rPr>
          <w:rFonts w:ascii="Sylfaen" w:hAnsi="Sylfaen"/>
          <w:i/>
          <w:sz w:val="24"/>
          <w:szCs w:val="24"/>
        </w:rPr>
        <w:t xml:space="preserve"> </w:t>
      </w:r>
    </w:p>
    <w:p w14:paraId="4E7F662B" w14:textId="77777777" w:rsidR="00B834A2" w:rsidRPr="00B834A2" w:rsidRDefault="00B834A2" w:rsidP="00B07646">
      <w:pPr>
        <w:pStyle w:val="a0"/>
        <w:shd w:val="clear" w:color="auto" w:fill="auto"/>
        <w:tabs>
          <w:tab w:val="left" w:pos="1134"/>
        </w:tabs>
        <w:spacing w:after="160" w:line="360" w:lineRule="auto"/>
        <w:ind w:firstLine="567"/>
        <w:jc w:val="both"/>
        <w:rPr>
          <w:rFonts w:ascii="Sylfaen" w:hAnsi="Sylfaen"/>
          <w:sz w:val="24"/>
          <w:szCs w:val="24"/>
        </w:rPr>
      </w:pPr>
      <w:r w:rsidRPr="00B834A2">
        <w:rPr>
          <w:rFonts w:ascii="Sylfaen" w:hAnsi="Sylfaen"/>
          <w:i/>
          <w:sz w:val="24"/>
          <w:szCs w:val="24"/>
        </w:rPr>
        <w:lastRenderedPageBreak/>
        <w:t>գծայնություն (linearity)՝ մեթոդիկայի</w:t>
      </w:r>
      <w:r w:rsidRPr="00B834A2">
        <w:rPr>
          <w:rFonts w:ascii="Sylfaen" w:hAnsi="Sylfaen"/>
          <w:sz w:val="24"/>
          <w:szCs w:val="24"/>
        </w:rPr>
        <w:t xml:space="preserve"> կիրառման ընդգրկույթի սահմաններում փորձարկվող նմուշում որոշվող նյութի կոնցենտրացիայից (քանակությունից) անալիտիկ ազդանշանի ուղիղ համեմատական կախվածություն.</w:t>
      </w:r>
    </w:p>
    <w:p w14:paraId="087F66CD" w14:textId="77777777" w:rsidR="00B834A2" w:rsidRPr="00B834A2" w:rsidRDefault="00B834A2" w:rsidP="00B07646">
      <w:pPr>
        <w:tabs>
          <w:tab w:val="left" w:pos="1134"/>
        </w:tabs>
        <w:spacing w:after="160" w:line="360" w:lineRule="auto"/>
        <w:ind w:firstLine="567"/>
        <w:jc w:val="both"/>
      </w:pPr>
      <w:r w:rsidRPr="00B834A2">
        <w:t>-</w:t>
      </w:r>
      <w:r w:rsidR="00B07646" w:rsidRPr="00B07646">
        <w:tab/>
      </w:r>
      <w:r w:rsidRPr="00B834A2">
        <w:t xml:space="preserve">կիրառման ընդգրկույթ (անալիտիկ տիրույթի) </w:t>
      </w:r>
      <w:r w:rsidRPr="00B834A2">
        <w:rPr>
          <w:i/>
        </w:rPr>
        <w:t>(range)</w:t>
      </w:r>
      <w:r w:rsidRPr="00B834A2">
        <w:t xml:space="preserve">՝ փորձարկվող նմուշում որոշվող նյութի առավելագույն </w:t>
      </w:r>
      <w:r>
        <w:t>եւ</w:t>
      </w:r>
      <w:r w:rsidRPr="00B834A2">
        <w:t xml:space="preserve"> նվազագույն կոնցենտրացիաների (քանակության) միջ</w:t>
      </w:r>
      <w:r>
        <w:t>եւ</w:t>
      </w:r>
      <w:r w:rsidRPr="00B834A2">
        <w:t xml:space="preserve"> միջակայք, որի համար ցուցադրվել է, որ անալիտիկ մեթոդիկան ունի ճշգրտության, ճշտության </w:t>
      </w:r>
      <w:r>
        <w:t>եւ</w:t>
      </w:r>
      <w:r w:rsidRPr="00B834A2">
        <w:t xml:space="preserve"> գծայնության կիրառելի մակարդակ:</w:t>
      </w:r>
    </w:p>
    <w:p w14:paraId="1A977E8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Անալիտիկ մեթոդիկաների վալիդացման մեթոդաբանությունը </w:t>
      </w:r>
      <w:r>
        <w:rPr>
          <w:rFonts w:ascii="Sylfaen" w:hAnsi="Sylfaen"/>
          <w:sz w:val="24"/>
          <w:szCs w:val="24"/>
        </w:rPr>
        <w:t>եւ</w:t>
      </w:r>
      <w:r w:rsidRPr="00B834A2">
        <w:rPr>
          <w:rFonts w:ascii="Sylfaen" w:hAnsi="Sylfaen"/>
          <w:sz w:val="24"/>
          <w:szCs w:val="24"/>
        </w:rPr>
        <w:t xml:space="preserve"> կանոնները սահմանված են Եվրասիական տնտեսական հանձնաժողովի կոլեգիայի 2018 թվականի հուլիսի 17-ի թիվ 113 որոշմամբ հաստատված՝ Դեղամիջոցների փորձարկումների անցկացման անալիտիկ մեթոդիկաների վալիդացման մասով ձեռնարկի համաձայն:</w:t>
      </w:r>
    </w:p>
    <w:p w14:paraId="40DD8910" w14:textId="77777777" w:rsidR="00B834A2" w:rsidRPr="00B834A2" w:rsidRDefault="00B834A2" w:rsidP="00B834A2">
      <w:pPr>
        <w:pStyle w:val="a0"/>
        <w:shd w:val="clear" w:color="auto" w:fill="auto"/>
        <w:spacing w:after="160" w:line="360" w:lineRule="auto"/>
        <w:ind w:firstLine="567"/>
        <w:jc w:val="both"/>
        <w:rPr>
          <w:rFonts w:ascii="Sylfaen" w:hAnsi="Sylfaen" w:cs="Sylfaen"/>
          <w:i/>
          <w:iCs/>
          <w:sz w:val="24"/>
          <w:szCs w:val="24"/>
        </w:rPr>
      </w:pPr>
      <w:r w:rsidRPr="00B07646">
        <w:rPr>
          <w:rFonts w:ascii="Sylfaen" w:hAnsi="Sylfaen"/>
          <w:spacing w:val="-4"/>
          <w:sz w:val="24"/>
          <w:szCs w:val="24"/>
        </w:rPr>
        <w:t>Դեղագրքային հոդվածում բերվող անալիտիկ մեթոդիկաները վալիդացված են համարվում: Դեղամիջոցների որակի վերահսկման համար դեղագրքային մեթոդիկան օգտագործելիս</w:t>
      </w:r>
      <w:r w:rsidRPr="00B834A2">
        <w:rPr>
          <w:rFonts w:ascii="Sylfaen" w:hAnsi="Sylfaen"/>
          <w:sz w:val="24"/>
          <w:szCs w:val="24"/>
        </w:rPr>
        <w:t xml:space="preserve"> այն պետք է վերիֆիկացվի </w:t>
      </w:r>
      <w:r w:rsidRPr="00B834A2">
        <w:rPr>
          <w:rFonts w:ascii="Sylfaen" w:hAnsi="Sylfaen"/>
          <w:i/>
          <w:sz w:val="24"/>
          <w:szCs w:val="24"/>
        </w:rPr>
        <w:t>2.3.15.0.</w:t>
      </w:r>
      <w:r w:rsidRPr="00B834A2">
        <w:rPr>
          <w:rFonts w:ascii="Sylfaen" w:hAnsi="Sylfaen"/>
          <w:sz w:val="24"/>
          <w:szCs w:val="24"/>
        </w:rPr>
        <w:t xml:space="preserve"> </w:t>
      </w:r>
      <w:r w:rsidRPr="00B834A2">
        <w:rPr>
          <w:rFonts w:ascii="Sylfaen" w:hAnsi="Sylfaen"/>
          <w:i/>
          <w:sz w:val="24"/>
          <w:szCs w:val="24"/>
        </w:rPr>
        <w:t>Դեղագրքային մեթոդիկաների վերիֆիկացում</w:t>
      </w:r>
      <w:r w:rsidRPr="00B834A2" w:rsidDel="005D69FC">
        <w:rPr>
          <w:rFonts w:ascii="Sylfaen" w:hAnsi="Sylfaen"/>
          <w:sz w:val="24"/>
          <w:szCs w:val="24"/>
        </w:rPr>
        <w:t xml:space="preserve"> </w:t>
      </w:r>
      <w:r w:rsidRPr="00B834A2">
        <w:rPr>
          <w:rFonts w:ascii="Sylfaen" w:hAnsi="Sylfaen"/>
          <w:sz w:val="24"/>
          <w:szCs w:val="24"/>
        </w:rPr>
        <w:t>ընդհանուր դեղագրքային հոդվածի համաձայն:</w:t>
      </w:r>
    </w:p>
    <w:p w14:paraId="0DDFEF00" w14:textId="77777777" w:rsidR="00B834A2" w:rsidRPr="00A55DE5" w:rsidRDefault="00A55DE5" w:rsidP="00B834A2">
      <w:pPr>
        <w:pStyle w:val="a0"/>
        <w:shd w:val="clear" w:color="auto" w:fill="auto"/>
        <w:spacing w:after="160" w:line="360" w:lineRule="auto"/>
        <w:ind w:firstLine="567"/>
        <w:jc w:val="both"/>
        <w:rPr>
          <w:rFonts w:ascii="Sylfaen" w:hAnsi="Sylfaen" w:cs="Sylfaen"/>
          <w:i/>
          <w:iCs/>
          <w:sz w:val="32"/>
          <w:szCs w:val="24"/>
        </w:rPr>
      </w:pPr>
      <w:r w:rsidRPr="00A55DE5">
        <w:rPr>
          <w:rFonts w:ascii="Sylfaen" w:hAnsi="Sylfaen"/>
          <w:sz w:val="24"/>
        </w:rPr>
        <w:t xml:space="preserve">Աղյուսակ 2.3.14.0-1. </w:t>
      </w:r>
      <w:r w:rsidRPr="00A55DE5">
        <w:rPr>
          <w:rFonts w:ascii="Sylfaen" w:hAnsi="Sylfaen"/>
          <w:i/>
          <w:sz w:val="24"/>
        </w:rPr>
        <w:t>Անալիտիկ մեթոդիկաների տարբեր տեսակների վալիդացիոն բնութագրերը</w:t>
      </w:r>
    </w:p>
    <w:tbl>
      <w:tblPr>
        <w:tblOverlap w:val="never"/>
        <w:tblW w:w="9962" w:type="dxa"/>
        <w:jc w:val="center"/>
        <w:tblLayout w:type="fixed"/>
        <w:tblCellMar>
          <w:left w:w="10" w:type="dxa"/>
          <w:right w:w="10" w:type="dxa"/>
        </w:tblCellMar>
        <w:tblLook w:val="0000" w:firstRow="0" w:lastRow="0" w:firstColumn="0" w:lastColumn="0" w:noHBand="0" w:noVBand="0"/>
      </w:tblPr>
      <w:tblGrid>
        <w:gridCol w:w="3281"/>
        <w:gridCol w:w="1843"/>
        <w:gridCol w:w="1418"/>
        <w:gridCol w:w="1559"/>
        <w:gridCol w:w="1861"/>
      </w:tblGrid>
      <w:tr w:rsidR="00B834A2" w:rsidRPr="00B07646" w14:paraId="0FAE4044" w14:textId="77777777" w:rsidTr="00F634DB">
        <w:trPr>
          <w:tblHeader/>
          <w:jc w:val="center"/>
        </w:trPr>
        <w:tc>
          <w:tcPr>
            <w:tcW w:w="3281" w:type="dxa"/>
            <w:vMerge w:val="restart"/>
            <w:tcBorders>
              <w:top w:val="single" w:sz="4" w:space="0" w:color="auto"/>
            </w:tcBorders>
            <w:shd w:val="clear" w:color="auto" w:fill="FFFFFF"/>
            <w:vAlign w:val="center"/>
          </w:tcPr>
          <w:p w14:paraId="62E091B7" w14:textId="77777777" w:rsidR="00B834A2" w:rsidRPr="00B07646" w:rsidRDefault="00B834A2" w:rsidP="00B07646">
            <w:pPr>
              <w:pStyle w:val="a0"/>
              <w:spacing w:after="120" w:line="240" w:lineRule="auto"/>
              <w:ind w:firstLine="9"/>
              <w:jc w:val="center"/>
              <w:rPr>
                <w:rFonts w:ascii="Sylfaen" w:hAnsi="Sylfaen" w:cs="Sylfaen"/>
              </w:rPr>
            </w:pPr>
            <w:r w:rsidRPr="00B07646">
              <w:rPr>
                <w:rFonts w:ascii="Sylfaen" w:hAnsi="Sylfaen"/>
              </w:rPr>
              <w:t>Բնութագրի անվանումը</w:t>
            </w:r>
          </w:p>
        </w:tc>
        <w:tc>
          <w:tcPr>
            <w:tcW w:w="6681" w:type="dxa"/>
            <w:gridSpan w:val="4"/>
            <w:tcBorders>
              <w:top w:val="single" w:sz="4" w:space="0" w:color="auto"/>
            </w:tcBorders>
            <w:shd w:val="clear" w:color="auto" w:fill="FFFFFF"/>
          </w:tcPr>
          <w:p w14:paraId="5C42F498" w14:textId="77777777" w:rsidR="00B834A2" w:rsidRPr="00B07646" w:rsidRDefault="00B834A2" w:rsidP="00B07646">
            <w:pPr>
              <w:pStyle w:val="a0"/>
              <w:shd w:val="clear" w:color="auto" w:fill="auto"/>
              <w:spacing w:after="120" w:line="240" w:lineRule="auto"/>
              <w:ind w:firstLine="9"/>
              <w:jc w:val="center"/>
              <w:rPr>
                <w:rFonts w:ascii="Sylfaen" w:hAnsi="Sylfaen" w:cs="Sylfaen"/>
              </w:rPr>
            </w:pPr>
            <w:r w:rsidRPr="00B07646">
              <w:rPr>
                <w:rFonts w:ascii="Sylfaen" w:hAnsi="Sylfaen"/>
              </w:rPr>
              <w:t>Անալիտիկ մեթոդիկաների տեսակներ</w:t>
            </w:r>
          </w:p>
        </w:tc>
      </w:tr>
      <w:tr w:rsidR="00B834A2" w:rsidRPr="00B07646" w14:paraId="020A2DE2" w14:textId="77777777" w:rsidTr="00F634DB">
        <w:trPr>
          <w:tblHeader/>
          <w:jc w:val="center"/>
        </w:trPr>
        <w:tc>
          <w:tcPr>
            <w:tcW w:w="3281" w:type="dxa"/>
            <w:vMerge/>
            <w:shd w:val="clear" w:color="auto" w:fill="FFFFFF"/>
            <w:vAlign w:val="center"/>
          </w:tcPr>
          <w:p w14:paraId="2AE42A66" w14:textId="77777777" w:rsidR="00B834A2" w:rsidRPr="00B07646" w:rsidRDefault="00B834A2" w:rsidP="00B07646">
            <w:pPr>
              <w:pStyle w:val="a0"/>
              <w:shd w:val="clear" w:color="auto" w:fill="auto"/>
              <w:spacing w:after="120" w:line="240" w:lineRule="auto"/>
              <w:ind w:firstLine="9"/>
              <w:jc w:val="center"/>
              <w:rPr>
                <w:rFonts w:ascii="Sylfaen" w:hAnsi="Sylfaen" w:cs="Sylfaen"/>
              </w:rPr>
            </w:pPr>
          </w:p>
        </w:tc>
        <w:tc>
          <w:tcPr>
            <w:tcW w:w="1843" w:type="dxa"/>
            <w:vMerge w:val="restart"/>
            <w:tcBorders>
              <w:top w:val="single" w:sz="4" w:space="0" w:color="auto"/>
            </w:tcBorders>
            <w:shd w:val="clear" w:color="auto" w:fill="FFFFFF"/>
            <w:vAlign w:val="center"/>
          </w:tcPr>
          <w:p w14:paraId="0E3B5FA7" w14:textId="77777777" w:rsidR="00B834A2" w:rsidRPr="00B07646" w:rsidRDefault="00B834A2" w:rsidP="00B07646">
            <w:pPr>
              <w:pStyle w:val="a0"/>
              <w:shd w:val="clear" w:color="auto" w:fill="auto"/>
              <w:spacing w:after="120" w:line="240" w:lineRule="auto"/>
              <w:ind w:firstLine="9"/>
              <w:jc w:val="center"/>
              <w:rPr>
                <w:rFonts w:ascii="Sylfaen" w:hAnsi="Sylfaen" w:cs="Sylfaen"/>
                <w:lang w:val="en-US"/>
              </w:rPr>
            </w:pPr>
            <w:r w:rsidRPr="00B07646">
              <w:rPr>
                <w:rFonts w:ascii="Sylfaen" w:hAnsi="Sylfaen"/>
              </w:rPr>
              <w:t>Նույնականացման մասով փորձարկումներ</w:t>
            </w:r>
          </w:p>
        </w:tc>
        <w:tc>
          <w:tcPr>
            <w:tcW w:w="2977" w:type="dxa"/>
            <w:gridSpan w:val="2"/>
            <w:tcBorders>
              <w:top w:val="single" w:sz="4" w:space="0" w:color="auto"/>
            </w:tcBorders>
            <w:shd w:val="clear" w:color="auto" w:fill="FFFFFF"/>
            <w:vAlign w:val="center"/>
          </w:tcPr>
          <w:p w14:paraId="16D13FEB" w14:textId="77777777" w:rsidR="00B834A2" w:rsidRPr="00B07646" w:rsidRDefault="00B834A2" w:rsidP="00B07646">
            <w:pPr>
              <w:pStyle w:val="a0"/>
              <w:shd w:val="clear" w:color="auto" w:fill="auto"/>
              <w:spacing w:after="120" w:line="240" w:lineRule="auto"/>
              <w:ind w:firstLine="9"/>
              <w:jc w:val="center"/>
              <w:rPr>
                <w:rFonts w:ascii="Sylfaen" w:hAnsi="Sylfaen" w:cs="Sylfaen"/>
              </w:rPr>
            </w:pPr>
            <w:r w:rsidRPr="00B07646">
              <w:rPr>
                <w:rFonts w:ascii="Sylfaen" w:hAnsi="Sylfaen"/>
              </w:rPr>
              <w:t>Խառնուկի մասով փորձարկումները</w:t>
            </w:r>
          </w:p>
        </w:tc>
        <w:tc>
          <w:tcPr>
            <w:tcW w:w="1861" w:type="dxa"/>
            <w:tcBorders>
              <w:top w:val="single" w:sz="4" w:space="0" w:color="auto"/>
            </w:tcBorders>
            <w:shd w:val="clear" w:color="auto" w:fill="FFFFFF"/>
            <w:vAlign w:val="center"/>
          </w:tcPr>
          <w:p w14:paraId="748DE153" w14:textId="77777777" w:rsidR="00B834A2" w:rsidRPr="00B07646" w:rsidRDefault="00B834A2" w:rsidP="00B07646">
            <w:pPr>
              <w:pStyle w:val="a0"/>
              <w:shd w:val="clear" w:color="auto" w:fill="auto"/>
              <w:spacing w:after="120" w:line="240" w:lineRule="auto"/>
              <w:ind w:firstLine="9"/>
              <w:jc w:val="center"/>
              <w:rPr>
                <w:rFonts w:ascii="Sylfaen" w:hAnsi="Sylfaen" w:cs="Sylfaen"/>
              </w:rPr>
            </w:pPr>
            <w:r w:rsidRPr="00B07646">
              <w:rPr>
                <w:rFonts w:ascii="Sylfaen" w:hAnsi="Sylfaen"/>
              </w:rPr>
              <w:t>Քանակական փորձարկումները</w:t>
            </w:r>
          </w:p>
        </w:tc>
      </w:tr>
      <w:tr w:rsidR="00B834A2" w:rsidRPr="00B07646" w14:paraId="1AD73B39" w14:textId="77777777" w:rsidTr="00F634DB">
        <w:trPr>
          <w:tblHeader/>
          <w:jc w:val="center"/>
        </w:trPr>
        <w:tc>
          <w:tcPr>
            <w:tcW w:w="3281" w:type="dxa"/>
            <w:vMerge/>
            <w:shd w:val="clear" w:color="auto" w:fill="FFFFFF"/>
            <w:vAlign w:val="center"/>
          </w:tcPr>
          <w:p w14:paraId="5B8EECF9" w14:textId="77777777" w:rsidR="00B834A2" w:rsidRPr="00B07646" w:rsidRDefault="00B834A2" w:rsidP="00B07646">
            <w:pPr>
              <w:spacing w:after="120"/>
              <w:ind w:firstLine="9"/>
              <w:jc w:val="center"/>
              <w:rPr>
                <w:sz w:val="20"/>
                <w:szCs w:val="20"/>
              </w:rPr>
            </w:pPr>
          </w:p>
        </w:tc>
        <w:tc>
          <w:tcPr>
            <w:tcW w:w="1843" w:type="dxa"/>
            <w:vMerge/>
            <w:shd w:val="clear" w:color="auto" w:fill="FFFFFF"/>
            <w:vAlign w:val="center"/>
          </w:tcPr>
          <w:p w14:paraId="1525FD4E" w14:textId="77777777" w:rsidR="00B834A2" w:rsidRPr="00B07646" w:rsidRDefault="00B834A2" w:rsidP="00B07646">
            <w:pPr>
              <w:spacing w:after="120"/>
              <w:ind w:firstLine="9"/>
              <w:jc w:val="center"/>
              <w:rPr>
                <w:sz w:val="20"/>
                <w:szCs w:val="20"/>
              </w:rPr>
            </w:pPr>
          </w:p>
        </w:tc>
        <w:tc>
          <w:tcPr>
            <w:tcW w:w="1418" w:type="dxa"/>
            <w:tcBorders>
              <w:top w:val="single" w:sz="4" w:space="0" w:color="auto"/>
            </w:tcBorders>
            <w:shd w:val="clear" w:color="auto" w:fill="FFFFFF"/>
            <w:vAlign w:val="center"/>
          </w:tcPr>
          <w:p w14:paraId="6D735294" w14:textId="77777777" w:rsidR="00B834A2" w:rsidRPr="00B07646" w:rsidRDefault="00B834A2" w:rsidP="00B07646">
            <w:pPr>
              <w:pStyle w:val="a0"/>
              <w:shd w:val="clear" w:color="auto" w:fill="auto"/>
              <w:spacing w:after="120" w:line="240" w:lineRule="auto"/>
              <w:ind w:firstLine="9"/>
              <w:jc w:val="center"/>
              <w:rPr>
                <w:rFonts w:ascii="Sylfaen" w:hAnsi="Sylfaen" w:cs="Sylfaen"/>
                <w:lang w:val="en-US"/>
              </w:rPr>
            </w:pPr>
            <w:r w:rsidRPr="00B07646">
              <w:rPr>
                <w:rFonts w:ascii="Sylfaen" w:hAnsi="Sylfaen"/>
              </w:rPr>
              <w:t>Քանակական մեթոդիկաներ</w:t>
            </w:r>
          </w:p>
        </w:tc>
        <w:tc>
          <w:tcPr>
            <w:tcW w:w="1559" w:type="dxa"/>
            <w:tcBorders>
              <w:top w:val="single" w:sz="4" w:space="0" w:color="auto"/>
            </w:tcBorders>
            <w:shd w:val="clear" w:color="auto" w:fill="FFFFFF"/>
            <w:vAlign w:val="center"/>
          </w:tcPr>
          <w:p w14:paraId="7C33EF46" w14:textId="77777777" w:rsidR="00B834A2" w:rsidRPr="00B07646" w:rsidRDefault="00B834A2" w:rsidP="00B07646">
            <w:pPr>
              <w:pStyle w:val="a0"/>
              <w:shd w:val="clear" w:color="auto" w:fill="auto"/>
              <w:spacing w:after="120" w:line="240" w:lineRule="auto"/>
              <w:ind w:firstLine="9"/>
              <w:jc w:val="center"/>
              <w:rPr>
                <w:rFonts w:ascii="Sylfaen" w:hAnsi="Sylfaen" w:cs="Sylfaen"/>
                <w:lang w:val="en-US"/>
              </w:rPr>
            </w:pPr>
            <w:r w:rsidRPr="00B07646">
              <w:rPr>
                <w:rFonts w:ascii="Sylfaen" w:hAnsi="Sylfaen"/>
              </w:rPr>
              <w:t>Սահմանային փորձարկումներ</w:t>
            </w:r>
          </w:p>
        </w:tc>
        <w:tc>
          <w:tcPr>
            <w:tcW w:w="1861" w:type="dxa"/>
            <w:tcBorders>
              <w:top w:val="single" w:sz="4" w:space="0" w:color="auto"/>
            </w:tcBorders>
            <w:shd w:val="clear" w:color="auto" w:fill="FFFFFF"/>
            <w:vAlign w:val="bottom"/>
          </w:tcPr>
          <w:p w14:paraId="6F6F45D7" w14:textId="77777777" w:rsidR="00B834A2" w:rsidRPr="00B07646" w:rsidRDefault="00B834A2" w:rsidP="00B07646">
            <w:pPr>
              <w:pStyle w:val="a0"/>
              <w:shd w:val="clear" w:color="auto" w:fill="auto"/>
              <w:spacing w:after="120" w:line="240" w:lineRule="auto"/>
              <w:ind w:firstLine="9"/>
              <w:jc w:val="center"/>
              <w:rPr>
                <w:rFonts w:ascii="Sylfaen" w:hAnsi="Sylfaen" w:cs="Sylfaen"/>
              </w:rPr>
            </w:pPr>
            <w:r w:rsidRPr="00B07646">
              <w:rPr>
                <w:rFonts w:ascii="Sylfaen" w:hAnsi="Sylfaen"/>
              </w:rPr>
              <w:t>Պարունակության (ակտիվության) որոշում. Լուծում (միայն չափում)</w:t>
            </w:r>
          </w:p>
        </w:tc>
      </w:tr>
      <w:tr w:rsidR="00B834A2" w:rsidRPr="00B07646" w14:paraId="259D86D5" w14:textId="77777777" w:rsidTr="00B07646">
        <w:trPr>
          <w:jc w:val="center"/>
        </w:trPr>
        <w:tc>
          <w:tcPr>
            <w:tcW w:w="3281" w:type="dxa"/>
            <w:tcBorders>
              <w:top w:val="single" w:sz="4" w:space="0" w:color="auto"/>
            </w:tcBorders>
            <w:shd w:val="clear" w:color="auto" w:fill="FFFFFF"/>
          </w:tcPr>
          <w:p w14:paraId="4E07C5C2"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Ճշտությունը</w:t>
            </w:r>
          </w:p>
        </w:tc>
        <w:tc>
          <w:tcPr>
            <w:tcW w:w="1843" w:type="dxa"/>
            <w:tcBorders>
              <w:top w:val="single" w:sz="4" w:space="0" w:color="auto"/>
            </w:tcBorders>
            <w:shd w:val="clear" w:color="auto" w:fill="FFFFFF"/>
            <w:vAlign w:val="center"/>
          </w:tcPr>
          <w:p w14:paraId="1B3A8B54"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tcBorders>
              <w:top w:val="single" w:sz="4" w:space="0" w:color="auto"/>
            </w:tcBorders>
            <w:shd w:val="clear" w:color="auto" w:fill="FFFFFF"/>
            <w:vAlign w:val="center"/>
          </w:tcPr>
          <w:p w14:paraId="2FFFE5EA"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tcBorders>
              <w:top w:val="single" w:sz="4" w:space="0" w:color="auto"/>
            </w:tcBorders>
            <w:shd w:val="clear" w:color="auto" w:fill="FFFFFF"/>
            <w:vAlign w:val="center"/>
          </w:tcPr>
          <w:p w14:paraId="07241807"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tcBorders>
              <w:top w:val="single" w:sz="4" w:space="0" w:color="auto"/>
            </w:tcBorders>
            <w:shd w:val="clear" w:color="auto" w:fill="FFFFFF"/>
            <w:vAlign w:val="center"/>
          </w:tcPr>
          <w:p w14:paraId="0EBA8C1A"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r w:rsidR="00B834A2" w:rsidRPr="00B07646" w14:paraId="7E2E9834" w14:textId="77777777" w:rsidTr="00B07646">
        <w:trPr>
          <w:jc w:val="center"/>
        </w:trPr>
        <w:tc>
          <w:tcPr>
            <w:tcW w:w="3281" w:type="dxa"/>
            <w:shd w:val="clear" w:color="auto" w:fill="FFFFFF"/>
            <w:vAlign w:val="bottom"/>
          </w:tcPr>
          <w:p w14:paraId="274A5480" w14:textId="77777777" w:rsidR="00B834A2" w:rsidRPr="00B07646" w:rsidRDefault="00B834A2" w:rsidP="00B07646">
            <w:pPr>
              <w:pStyle w:val="a0"/>
              <w:shd w:val="clear" w:color="auto" w:fill="auto"/>
              <w:spacing w:after="120" w:line="240" w:lineRule="auto"/>
              <w:ind w:firstLine="9"/>
              <w:jc w:val="both"/>
              <w:rPr>
                <w:rFonts w:ascii="Sylfaen" w:hAnsi="Sylfaen" w:cs="Sylfaen"/>
                <w:lang w:val="en-US"/>
              </w:rPr>
            </w:pPr>
            <w:r w:rsidRPr="00B07646">
              <w:rPr>
                <w:rFonts w:ascii="Sylfaen" w:hAnsi="Sylfaen"/>
              </w:rPr>
              <w:t>Ճշգրտությունը</w:t>
            </w:r>
          </w:p>
        </w:tc>
        <w:tc>
          <w:tcPr>
            <w:tcW w:w="1843" w:type="dxa"/>
            <w:shd w:val="clear" w:color="auto" w:fill="FFFFFF"/>
            <w:vAlign w:val="center"/>
          </w:tcPr>
          <w:p w14:paraId="69987209"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shd w:val="clear" w:color="auto" w:fill="FFFFFF"/>
            <w:vAlign w:val="center"/>
          </w:tcPr>
          <w:p w14:paraId="185BC4AC"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shd w:val="clear" w:color="auto" w:fill="FFFFFF"/>
            <w:vAlign w:val="center"/>
          </w:tcPr>
          <w:p w14:paraId="1394C890"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shd w:val="clear" w:color="auto" w:fill="FFFFFF"/>
            <w:vAlign w:val="center"/>
          </w:tcPr>
          <w:p w14:paraId="4DDEFA21" w14:textId="77777777" w:rsidR="00B834A2" w:rsidRPr="00B07646" w:rsidRDefault="00B834A2" w:rsidP="00B07646">
            <w:pPr>
              <w:spacing w:after="120"/>
              <w:ind w:hanging="97"/>
              <w:jc w:val="center"/>
              <w:rPr>
                <w:sz w:val="20"/>
                <w:szCs w:val="20"/>
              </w:rPr>
            </w:pPr>
          </w:p>
        </w:tc>
      </w:tr>
      <w:tr w:rsidR="00B834A2" w:rsidRPr="00B07646" w14:paraId="454D3DBC" w14:textId="77777777" w:rsidTr="00B07646">
        <w:trPr>
          <w:jc w:val="center"/>
        </w:trPr>
        <w:tc>
          <w:tcPr>
            <w:tcW w:w="3281" w:type="dxa"/>
            <w:shd w:val="clear" w:color="auto" w:fill="FFFFFF"/>
          </w:tcPr>
          <w:p w14:paraId="5C920963"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կրկնելիությունը (զուգամիտությունը)</w:t>
            </w:r>
          </w:p>
        </w:tc>
        <w:tc>
          <w:tcPr>
            <w:tcW w:w="1843" w:type="dxa"/>
            <w:shd w:val="clear" w:color="auto" w:fill="FFFFFF"/>
            <w:vAlign w:val="center"/>
          </w:tcPr>
          <w:p w14:paraId="697EF69A"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shd w:val="clear" w:color="auto" w:fill="FFFFFF"/>
            <w:vAlign w:val="center"/>
          </w:tcPr>
          <w:p w14:paraId="46C75167" w14:textId="77777777" w:rsidR="00B834A2" w:rsidRPr="00B07646" w:rsidRDefault="00B834A2" w:rsidP="00B07646">
            <w:pPr>
              <w:pStyle w:val="a0"/>
              <w:shd w:val="clear" w:color="auto" w:fill="auto"/>
              <w:spacing w:after="120" w:line="240" w:lineRule="auto"/>
              <w:ind w:hanging="97"/>
              <w:jc w:val="center"/>
              <w:rPr>
                <w:rFonts w:ascii="Sylfaen" w:hAnsi="Sylfaen" w:cs="Sylfaen"/>
                <w:lang w:val="en-US"/>
              </w:rPr>
            </w:pPr>
            <w:r w:rsidRPr="00B07646">
              <w:rPr>
                <w:rFonts w:ascii="Sylfaen" w:hAnsi="Sylfaen"/>
              </w:rPr>
              <w:t>Այո***</w:t>
            </w:r>
          </w:p>
        </w:tc>
        <w:tc>
          <w:tcPr>
            <w:tcW w:w="1559" w:type="dxa"/>
            <w:shd w:val="clear" w:color="auto" w:fill="FFFFFF"/>
            <w:vAlign w:val="center"/>
          </w:tcPr>
          <w:p w14:paraId="678AC5FD"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shd w:val="clear" w:color="auto" w:fill="FFFFFF"/>
            <w:vAlign w:val="center"/>
          </w:tcPr>
          <w:p w14:paraId="51DA787D"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r w:rsidR="00B834A2" w:rsidRPr="00B07646" w14:paraId="6EEED196" w14:textId="77777777" w:rsidTr="00B07646">
        <w:trPr>
          <w:jc w:val="center"/>
        </w:trPr>
        <w:tc>
          <w:tcPr>
            <w:tcW w:w="3281" w:type="dxa"/>
            <w:shd w:val="clear" w:color="auto" w:fill="FFFFFF"/>
          </w:tcPr>
          <w:p w14:paraId="3F462578"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միջանկյալ (ներլաբորատոր)</w:t>
            </w:r>
          </w:p>
        </w:tc>
        <w:tc>
          <w:tcPr>
            <w:tcW w:w="1843" w:type="dxa"/>
            <w:shd w:val="clear" w:color="auto" w:fill="FFFFFF"/>
            <w:vAlign w:val="center"/>
          </w:tcPr>
          <w:p w14:paraId="01185413" w14:textId="77777777" w:rsidR="00B834A2" w:rsidRPr="00B07646" w:rsidRDefault="00B834A2" w:rsidP="00B07646">
            <w:pPr>
              <w:spacing w:after="120"/>
              <w:ind w:hanging="97"/>
              <w:jc w:val="center"/>
              <w:rPr>
                <w:sz w:val="20"/>
                <w:szCs w:val="20"/>
              </w:rPr>
            </w:pPr>
          </w:p>
        </w:tc>
        <w:tc>
          <w:tcPr>
            <w:tcW w:w="1418" w:type="dxa"/>
            <w:shd w:val="clear" w:color="auto" w:fill="FFFFFF"/>
            <w:vAlign w:val="center"/>
          </w:tcPr>
          <w:p w14:paraId="1D5E0A76" w14:textId="77777777" w:rsidR="00B834A2" w:rsidRPr="00B07646" w:rsidRDefault="00B834A2" w:rsidP="00B07646">
            <w:pPr>
              <w:spacing w:after="120"/>
              <w:ind w:hanging="97"/>
              <w:jc w:val="center"/>
              <w:rPr>
                <w:sz w:val="20"/>
                <w:szCs w:val="20"/>
              </w:rPr>
            </w:pPr>
          </w:p>
        </w:tc>
        <w:tc>
          <w:tcPr>
            <w:tcW w:w="1559" w:type="dxa"/>
            <w:shd w:val="clear" w:color="auto" w:fill="FFFFFF"/>
            <w:vAlign w:val="center"/>
          </w:tcPr>
          <w:p w14:paraId="3BC41521" w14:textId="77777777" w:rsidR="00B834A2" w:rsidRPr="00B07646" w:rsidRDefault="00B834A2" w:rsidP="00B07646">
            <w:pPr>
              <w:spacing w:after="120"/>
              <w:ind w:hanging="97"/>
              <w:jc w:val="center"/>
              <w:rPr>
                <w:sz w:val="20"/>
                <w:szCs w:val="20"/>
              </w:rPr>
            </w:pPr>
          </w:p>
        </w:tc>
        <w:tc>
          <w:tcPr>
            <w:tcW w:w="1861" w:type="dxa"/>
            <w:shd w:val="clear" w:color="auto" w:fill="FFFFFF"/>
            <w:vAlign w:val="center"/>
          </w:tcPr>
          <w:p w14:paraId="6C6B642C"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r w:rsidR="00B834A2" w:rsidRPr="00B07646" w14:paraId="6ED99078" w14:textId="77777777" w:rsidTr="00B07646">
        <w:trPr>
          <w:jc w:val="center"/>
        </w:trPr>
        <w:tc>
          <w:tcPr>
            <w:tcW w:w="3281" w:type="dxa"/>
            <w:shd w:val="clear" w:color="auto" w:fill="FFFFFF"/>
          </w:tcPr>
          <w:p w14:paraId="5AEB4D05"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ճշգրտությունը</w:t>
            </w:r>
          </w:p>
        </w:tc>
        <w:tc>
          <w:tcPr>
            <w:tcW w:w="1843" w:type="dxa"/>
            <w:shd w:val="clear" w:color="auto" w:fill="FFFFFF"/>
            <w:vAlign w:val="center"/>
          </w:tcPr>
          <w:p w14:paraId="0FF69774" w14:textId="77777777" w:rsidR="00B834A2" w:rsidRPr="00B07646" w:rsidRDefault="00B834A2" w:rsidP="00B07646">
            <w:pPr>
              <w:spacing w:after="120"/>
              <w:ind w:hanging="97"/>
              <w:jc w:val="center"/>
              <w:rPr>
                <w:sz w:val="20"/>
                <w:szCs w:val="20"/>
              </w:rPr>
            </w:pPr>
          </w:p>
        </w:tc>
        <w:tc>
          <w:tcPr>
            <w:tcW w:w="1418" w:type="dxa"/>
            <w:shd w:val="clear" w:color="auto" w:fill="FFFFFF"/>
            <w:vAlign w:val="center"/>
          </w:tcPr>
          <w:p w14:paraId="021D006E" w14:textId="77777777" w:rsidR="00B834A2" w:rsidRPr="00B07646" w:rsidRDefault="00B834A2" w:rsidP="00B07646">
            <w:pPr>
              <w:spacing w:after="120"/>
              <w:ind w:hanging="97"/>
              <w:jc w:val="center"/>
              <w:rPr>
                <w:sz w:val="20"/>
                <w:szCs w:val="20"/>
              </w:rPr>
            </w:pPr>
          </w:p>
        </w:tc>
        <w:tc>
          <w:tcPr>
            <w:tcW w:w="1559" w:type="dxa"/>
            <w:shd w:val="clear" w:color="auto" w:fill="FFFFFF"/>
            <w:vAlign w:val="center"/>
          </w:tcPr>
          <w:p w14:paraId="2DA633C9" w14:textId="77777777" w:rsidR="00B834A2" w:rsidRPr="00B07646" w:rsidRDefault="00B834A2" w:rsidP="00B07646">
            <w:pPr>
              <w:spacing w:after="120"/>
              <w:ind w:hanging="97"/>
              <w:jc w:val="center"/>
              <w:rPr>
                <w:sz w:val="20"/>
                <w:szCs w:val="20"/>
              </w:rPr>
            </w:pPr>
          </w:p>
        </w:tc>
        <w:tc>
          <w:tcPr>
            <w:tcW w:w="1861" w:type="dxa"/>
            <w:shd w:val="clear" w:color="auto" w:fill="FFFFFF"/>
            <w:vAlign w:val="center"/>
          </w:tcPr>
          <w:p w14:paraId="5C1D65DC" w14:textId="77777777" w:rsidR="00B834A2" w:rsidRPr="00B07646" w:rsidRDefault="00B834A2" w:rsidP="00B07646">
            <w:pPr>
              <w:spacing w:after="120"/>
              <w:ind w:hanging="97"/>
              <w:jc w:val="center"/>
              <w:rPr>
                <w:sz w:val="20"/>
                <w:szCs w:val="20"/>
              </w:rPr>
            </w:pPr>
          </w:p>
        </w:tc>
      </w:tr>
      <w:tr w:rsidR="00B834A2" w:rsidRPr="00B07646" w14:paraId="0F1470ED" w14:textId="77777777" w:rsidTr="00B07646">
        <w:trPr>
          <w:jc w:val="center"/>
        </w:trPr>
        <w:tc>
          <w:tcPr>
            <w:tcW w:w="3281" w:type="dxa"/>
            <w:shd w:val="clear" w:color="auto" w:fill="FFFFFF"/>
          </w:tcPr>
          <w:p w14:paraId="2B884CD9"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lastRenderedPageBreak/>
              <w:t>Սպեցիֆիկությունը*</w:t>
            </w:r>
          </w:p>
        </w:tc>
        <w:tc>
          <w:tcPr>
            <w:tcW w:w="1843" w:type="dxa"/>
            <w:shd w:val="clear" w:color="auto" w:fill="FFFFFF"/>
            <w:vAlign w:val="center"/>
          </w:tcPr>
          <w:p w14:paraId="26F8E10C"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418" w:type="dxa"/>
            <w:shd w:val="clear" w:color="auto" w:fill="FFFFFF"/>
            <w:vAlign w:val="center"/>
          </w:tcPr>
          <w:p w14:paraId="34DE5663"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shd w:val="clear" w:color="auto" w:fill="FFFFFF"/>
            <w:vAlign w:val="center"/>
          </w:tcPr>
          <w:p w14:paraId="50A4E350"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861" w:type="dxa"/>
            <w:shd w:val="clear" w:color="auto" w:fill="FFFFFF"/>
            <w:vAlign w:val="center"/>
          </w:tcPr>
          <w:p w14:paraId="60B15B9D"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r w:rsidR="00B834A2" w:rsidRPr="00B07646" w14:paraId="1A3D573B" w14:textId="77777777" w:rsidTr="00B07646">
        <w:trPr>
          <w:jc w:val="center"/>
        </w:trPr>
        <w:tc>
          <w:tcPr>
            <w:tcW w:w="3281" w:type="dxa"/>
            <w:shd w:val="clear" w:color="auto" w:fill="FFFFFF"/>
          </w:tcPr>
          <w:p w14:paraId="1E3CF43D"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Հայտնաբերման սահմանը</w:t>
            </w:r>
          </w:p>
        </w:tc>
        <w:tc>
          <w:tcPr>
            <w:tcW w:w="1843" w:type="dxa"/>
            <w:shd w:val="clear" w:color="auto" w:fill="FFFFFF"/>
            <w:vAlign w:val="center"/>
          </w:tcPr>
          <w:p w14:paraId="23728E38"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shd w:val="clear" w:color="auto" w:fill="FFFFFF"/>
            <w:vAlign w:val="center"/>
          </w:tcPr>
          <w:p w14:paraId="7CC6CDCF"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559" w:type="dxa"/>
            <w:shd w:val="clear" w:color="auto" w:fill="FFFFFF"/>
            <w:vAlign w:val="center"/>
          </w:tcPr>
          <w:p w14:paraId="71D28BBC"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861" w:type="dxa"/>
            <w:shd w:val="clear" w:color="auto" w:fill="FFFFFF"/>
            <w:vAlign w:val="center"/>
          </w:tcPr>
          <w:p w14:paraId="3547B025"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r>
      <w:tr w:rsidR="00B834A2" w:rsidRPr="00B07646" w14:paraId="1C2B343A" w14:textId="77777777" w:rsidTr="00B07646">
        <w:trPr>
          <w:jc w:val="center"/>
        </w:trPr>
        <w:tc>
          <w:tcPr>
            <w:tcW w:w="3281" w:type="dxa"/>
            <w:shd w:val="clear" w:color="auto" w:fill="FFFFFF"/>
          </w:tcPr>
          <w:p w14:paraId="3E483977"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Քանակական որոշման սահմանը</w:t>
            </w:r>
          </w:p>
        </w:tc>
        <w:tc>
          <w:tcPr>
            <w:tcW w:w="1843" w:type="dxa"/>
            <w:shd w:val="clear" w:color="auto" w:fill="FFFFFF"/>
            <w:vAlign w:val="center"/>
          </w:tcPr>
          <w:p w14:paraId="73D16B8F"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shd w:val="clear" w:color="auto" w:fill="FFFFFF"/>
            <w:vAlign w:val="center"/>
          </w:tcPr>
          <w:p w14:paraId="44184B47"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shd w:val="clear" w:color="auto" w:fill="FFFFFF"/>
            <w:vAlign w:val="center"/>
          </w:tcPr>
          <w:p w14:paraId="730CC638"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shd w:val="clear" w:color="auto" w:fill="FFFFFF"/>
            <w:vAlign w:val="center"/>
          </w:tcPr>
          <w:p w14:paraId="4C1D53F8"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r>
      <w:tr w:rsidR="00B834A2" w:rsidRPr="00B07646" w14:paraId="5F247CE3" w14:textId="77777777" w:rsidTr="00B07646">
        <w:trPr>
          <w:jc w:val="center"/>
        </w:trPr>
        <w:tc>
          <w:tcPr>
            <w:tcW w:w="3281" w:type="dxa"/>
            <w:shd w:val="clear" w:color="auto" w:fill="FFFFFF"/>
          </w:tcPr>
          <w:p w14:paraId="407F5476"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Գծայնությունը</w:t>
            </w:r>
          </w:p>
        </w:tc>
        <w:tc>
          <w:tcPr>
            <w:tcW w:w="1843" w:type="dxa"/>
            <w:shd w:val="clear" w:color="auto" w:fill="FFFFFF"/>
            <w:vAlign w:val="center"/>
          </w:tcPr>
          <w:p w14:paraId="6FD7FFF7"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shd w:val="clear" w:color="auto" w:fill="FFFFFF"/>
            <w:vAlign w:val="center"/>
          </w:tcPr>
          <w:p w14:paraId="4C83A369"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shd w:val="clear" w:color="auto" w:fill="FFFFFF"/>
            <w:vAlign w:val="center"/>
          </w:tcPr>
          <w:p w14:paraId="7120D692"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shd w:val="clear" w:color="auto" w:fill="FFFFFF"/>
            <w:vAlign w:val="center"/>
          </w:tcPr>
          <w:p w14:paraId="13D4A0AB"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r w:rsidR="00B834A2" w:rsidRPr="00B07646" w14:paraId="2CD8B557" w14:textId="77777777" w:rsidTr="00B07646">
        <w:trPr>
          <w:jc w:val="center"/>
        </w:trPr>
        <w:tc>
          <w:tcPr>
            <w:tcW w:w="3281" w:type="dxa"/>
            <w:tcBorders>
              <w:bottom w:val="single" w:sz="4" w:space="0" w:color="auto"/>
            </w:tcBorders>
            <w:shd w:val="clear" w:color="auto" w:fill="FFFFFF"/>
          </w:tcPr>
          <w:p w14:paraId="15D7F638" w14:textId="77777777" w:rsidR="00B834A2" w:rsidRPr="00B07646" w:rsidRDefault="00B834A2" w:rsidP="00B07646">
            <w:pPr>
              <w:pStyle w:val="a0"/>
              <w:shd w:val="clear" w:color="auto" w:fill="auto"/>
              <w:spacing w:after="120" w:line="240" w:lineRule="auto"/>
              <w:ind w:firstLine="9"/>
              <w:jc w:val="both"/>
              <w:rPr>
                <w:rFonts w:ascii="Sylfaen" w:hAnsi="Sylfaen" w:cs="Sylfaen"/>
              </w:rPr>
            </w:pPr>
            <w:r w:rsidRPr="00B07646">
              <w:rPr>
                <w:rFonts w:ascii="Sylfaen" w:hAnsi="Sylfaen"/>
              </w:rPr>
              <w:t>Կիրառման ընդգրկույթը</w:t>
            </w:r>
          </w:p>
        </w:tc>
        <w:tc>
          <w:tcPr>
            <w:tcW w:w="1843" w:type="dxa"/>
            <w:tcBorders>
              <w:bottom w:val="single" w:sz="4" w:space="0" w:color="auto"/>
            </w:tcBorders>
            <w:shd w:val="clear" w:color="auto" w:fill="FFFFFF"/>
            <w:vAlign w:val="center"/>
          </w:tcPr>
          <w:p w14:paraId="190D8F73"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418" w:type="dxa"/>
            <w:tcBorders>
              <w:bottom w:val="single" w:sz="4" w:space="0" w:color="auto"/>
            </w:tcBorders>
            <w:shd w:val="clear" w:color="auto" w:fill="FFFFFF"/>
            <w:vAlign w:val="center"/>
          </w:tcPr>
          <w:p w14:paraId="3844DEBB"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c>
          <w:tcPr>
            <w:tcW w:w="1559" w:type="dxa"/>
            <w:tcBorders>
              <w:bottom w:val="single" w:sz="4" w:space="0" w:color="auto"/>
            </w:tcBorders>
            <w:shd w:val="clear" w:color="auto" w:fill="FFFFFF"/>
            <w:vAlign w:val="center"/>
          </w:tcPr>
          <w:p w14:paraId="45218F5D"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Ոչ</w:t>
            </w:r>
          </w:p>
        </w:tc>
        <w:tc>
          <w:tcPr>
            <w:tcW w:w="1861" w:type="dxa"/>
            <w:tcBorders>
              <w:bottom w:val="single" w:sz="4" w:space="0" w:color="auto"/>
            </w:tcBorders>
            <w:shd w:val="clear" w:color="auto" w:fill="FFFFFF"/>
            <w:vAlign w:val="center"/>
          </w:tcPr>
          <w:p w14:paraId="3385BE0D" w14:textId="77777777" w:rsidR="00B834A2" w:rsidRPr="00B07646" w:rsidRDefault="00B834A2" w:rsidP="00B07646">
            <w:pPr>
              <w:pStyle w:val="a0"/>
              <w:shd w:val="clear" w:color="auto" w:fill="auto"/>
              <w:spacing w:after="120" w:line="240" w:lineRule="auto"/>
              <w:ind w:hanging="97"/>
              <w:jc w:val="center"/>
              <w:rPr>
                <w:rFonts w:ascii="Sylfaen" w:hAnsi="Sylfaen" w:cs="Sylfaen"/>
              </w:rPr>
            </w:pPr>
            <w:r w:rsidRPr="00B07646">
              <w:rPr>
                <w:rFonts w:ascii="Sylfaen" w:hAnsi="Sylfaen"/>
              </w:rPr>
              <w:t>Այո</w:t>
            </w:r>
          </w:p>
        </w:tc>
      </w:tr>
    </w:tbl>
    <w:p w14:paraId="10B1A26D" w14:textId="77777777" w:rsidR="00B834A2" w:rsidRPr="00B07646" w:rsidRDefault="00B834A2" w:rsidP="00B834A2">
      <w:pPr>
        <w:pStyle w:val="a2"/>
        <w:shd w:val="clear" w:color="auto" w:fill="auto"/>
        <w:spacing w:after="160" w:line="360" w:lineRule="auto"/>
        <w:ind w:firstLine="567"/>
        <w:jc w:val="both"/>
        <w:rPr>
          <w:rFonts w:ascii="Sylfaen" w:hAnsi="Sylfaen" w:cs="Sylfaen"/>
          <w:sz w:val="20"/>
          <w:szCs w:val="24"/>
        </w:rPr>
      </w:pPr>
      <w:r w:rsidRPr="00B07646">
        <w:rPr>
          <w:rFonts w:ascii="Sylfaen" w:hAnsi="Sylfaen"/>
          <w:sz w:val="20"/>
          <w:szCs w:val="24"/>
        </w:rPr>
        <w:t xml:space="preserve">* մեկ անալիտիկ մեթոդիկայի ոչ բավարար սպեցիֆիկությունը կարող է փոխհատուցվել մեկ կամ մի քանի լրացուցիչ անալիտիկ մեթոդիկաների օգտագործմամբ. </w:t>
      </w:r>
    </w:p>
    <w:p w14:paraId="09B0DE95" w14:textId="77777777" w:rsidR="00B834A2" w:rsidRPr="00B07646" w:rsidRDefault="00B834A2" w:rsidP="00B834A2">
      <w:pPr>
        <w:pStyle w:val="a2"/>
        <w:shd w:val="clear" w:color="auto" w:fill="auto"/>
        <w:spacing w:after="160" w:line="360" w:lineRule="auto"/>
        <w:ind w:firstLine="567"/>
        <w:jc w:val="both"/>
        <w:rPr>
          <w:rFonts w:ascii="Sylfaen" w:hAnsi="Sylfaen" w:cs="Sylfaen"/>
          <w:sz w:val="20"/>
          <w:szCs w:val="24"/>
        </w:rPr>
      </w:pPr>
      <w:r w:rsidRPr="00B07646">
        <w:rPr>
          <w:rFonts w:ascii="Sylfaen" w:hAnsi="Sylfaen"/>
          <w:sz w:val="20"/>
          <w:szCs w:val="24"/>
        </w:rPr>
        <w:t>** կարող է որոշվել անհրաժեշտության դեպքում (օրինակ՝ երբ որոշվող խառնուկի պարունակության հայտնաբերման սահմանը եւ կարգավորվող սահմանը մոտ են).</w:t>
      </w:r>
    </w:p>
    <w:p w14:paraId="6157A955" w14:textId="77777777" w:rsidR="00B834A2" w:rsidRPr="00B07646" w:rsidRDefault="00B834A2" w:rsidP="00B834A2">
      <w:pPr>
        <w:pStyle w:val="a2"/>
        <w:shd w:val="clear" w:color="auto" w:fill="auto"/>
        <w:spacing w:after="160" w:line="360" w:lineRule="auto"/>
        <w:ind w:firstLine="567"/>
        <w:jc w:val="both"/>
        <w:rPr>
          <w:rFonts w:ascii="Sylfaen" w:hAnsi="Sylfaen" w:cs="Sylfaen"/>
          <w:sz w:val="20"/>
          <w:szCs w:val="24"/>
        </w:rPr>
      </w:pPr>
      <w:r w:rsidRPr="00B07646">
        <w:rPr>
          <w:rFonts w:ascii="Sylfaen" w:hAnsi="Sylfaen"/>
          <w:sz w:val="20"/>
          <w:szCs w:val="24"/>
        </w:rPr>
        <w:t xml:space="preserve"> ***եթե որոշված է վերարտադրելիությունը, միջանկյալ ճշգրտության որոշում չի պահանջվում: </w:t>
      </w:r>
    </w:p>
    <w:p w14:paraId="7B080C59" w14:textId="77777777" w:rsidR="00B834A2" w:rsidRPr="00B834A2" w:rsidRDefault="00B834A2" w:rsidP="00B834A2">
      <w:pPr>
        <w:pStyle w:val="a0"/>
        <w:shd w:val="clear" w:color="auto" w:fill="auto"/>
        <w:spacing w:after="160" w:line="360" w:lineRule="auto"/>
        <w:ind w:firstLine="567"/>
        <w:jc w:val="both"/>
        <w:rPr>
          <w:rFonts w:ascii="Sylfaen" w:hAnsi="Sylfaen" w:cs="Sylfaen"/>
          <w:i/>
          <w:iCs/>
          <w:sz w:val="24"/>
          <w:szCs w:val="24"/>
        </w:rPr>
      </w:pPr>
    </w:p>
    <w:p w14:paraId="7ECEB6CD" w14:textId="77777777" w:rsidR="00B834A2" w:rsidRPr="00A55DE5" w:rsidRDefault="00B834A2" w:rsidP="00097504">
      <w:pPr>
        <w:pStyle w:val="a0"/>
        <w:shd w:val="clear" w:color="auto" w:fill="auto"/>
        <w:spacing w:after="160" w:line="360" w:lineRule="auto"/>
        <w:ind w:firstLine="567"/>
        <w:jc w:val="right"/>
        <w:rPr>
          <w:rFonts w:ascii="Sylfaen" w:hAnsi="Sylfaen"/>
          <w:b/>
          <w:szCs w:val="24"/>
        </w:rPr>
      </w:pPr>
      <w:r w:rsidRPr="00A55DE5">
        <w:rPr>
          <w:rFonts w:ascii="Sylfaen" w:hAnsi="Sylfaen"/>
          <w:b/>
          <w:szCs w:val="24"/>
        </w:rPr>
        <w:t>203150000-2022</w:t>
      </w:r>
    </w:p>
    <w:p w14:paraId="5B47DC12" w14:textId="77777777" w:rsidR="00097504" w:rsidRPr="00A55DE5" w:rsidRDefault="00097504" w:rsidP="00B834A2">
      <w:pPr>
        <w:pStyle w:val="a0"/>
        <w:shd w:val="clear" w:color="auto" w:fill="auto"/>
        <w:spacing w:after="160" w:line="360" w:lineRule="auto"/>
        <w:ind w:firstLine="567"/>
        <w:jc w:val="both"/>
        <w:rPr>
          <w:rFonts w:ascii="Sylfaen" w:hAnsi="Sylfaen" w:cs="Sylfaen"/>
          <w:szCs w:val="24"/>
        </w:rPr>
      </w:pPr>
    </w:p>
    <w:p w14:paraId="6ED27348" w14:textId="77777777" w:rsidR="00B834A2" w:rsidRPr="00B834A2" w:rsidRDefault="00B834A2" w:rsidP="00097504">
      <w:pPr>
        <w:pStyle w:val="a0"/>
        <w:shd w:val="clear" w:color="auto" w:fill="auto"/>
        <w:tabs>
          <w:tab w:val="left" w:pos="1701"/>
        </w:tabs>
        <w:spacing w:after="160" w:line="360" w:lineRule="auto"/>
        <w:ind w:firstLine="567"/>
        <w:jc w:val="both"/>
        <w:rPr>
          <w:rFonts w:ascii="Sylfaen" w:hAnsi="Sylfaen" w:cs="Sylfaen"/>
          <w:sz w:val="24"/>
          <w:szCs w:val="24"/>
        </w:rPr>
      </w:pPr>
      <w:r w:rsidRPr="00B834A2">
        <w:rPr>
          <w:rFonts w:ascii="Sylfaen" w:hAnsi="Sylfaen"/>
          <w:b/>
          <w:sz w:val="24"/>
          <w:szCs w:val="24"/>
        </w:rPr>
        <w:t>2.3.15.0.</w:t>
      </w:r>
      <w:r w:rsidR="00097504" w:rsidRPr="002E52D1">
        <w:rPr>
          <w:rFonts w:ascii="Sylfaen" w:hAnsi="Sylfaen"/>
          <w:b/>
          <w:sz w:val="24"/>
          <w:szCs w:val="24"/>
        </w:rPr>
        <w:tab/>
      </w:r>
      <w:r w:rsidRPr="00B834A2">
        <w:rPr>
          <w:rFonts w:ascii="Sylfaen" w:hAnsi="Sylfaen"/>
          <w:b/>
          <w:sz w:val="24"/>
          <w:szCs w:val="24"/>
        </w:rPr>
        <w:t>Դեղագրքային մեթոդիկաների վերիֆիկացում</w:t>
      </w:r>
    </w:p>
    <w:p w14:paraId="1A9D7BB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Սույն ընդհանուր դեղագրքային հոդվածը ներկայացնում է անձնակազմի, սարքավորումների </w:t>
      </w:r>
      <w:r>
        <w:rPr>
          <w:rFonts w:ascii="Sylfaen" w:hAnsi="Sylfaen"/>
          <w:sz w:val="24"/>
          <w:szCs w:val="24"/>
        </w:rPr>
        <w:t>եւ</w:t>
      </w:r>
      <w:r w:rsidRPr="00B834A2">
        <w:rPr>
          <w:rFonts w:ascii="Sylfaen" w:hAnsi="Sylfaen"/>
          <w:sz w:val="24"/>
          <w:szCs w:val="24"/>
        </w:rPr>
        <w:t xml:space="preserve"> մատչելի ռեակտիվների օգնությամբ կիրառվող արդյունքների ստացման նպատակով առաջին անգամ կատարվող դեղագրքային մեթոդիկաների վերիֆիկացման մասով ընդհանուր տեղեկությունները: Տվյալ հոդվածը նախատեսված չէ առկա </w:t>
      </w:r>
      <w:r>
        <w:rPr>
          <w:rFonts w:ascii="Sylfaen" w:hAnsi="Sylfaen"/>
          <w:sz w:val="24"/>
          <w:szCs w:val="24"/>
        </w:rPr>
        <w:t>եւ</w:t>
      </w:r>
      <w:r w:rsidRPr="00B834A2">
        <w:rPr>
          <w:rFonts w:ascii="Sylfaen" w:hAnsi="Sylfaen"/>
          <w:sz w:val="24"/>
          <w:szCs w:val="24"/>
        </w:rPr>
        <w:t xml:space="preserve"> լաբորատորիայում բարեհաջող կերպով կիրառվող՝ դեղագրքային մեթոդիկաների համար: Հոդվածի դրույթները չեն տարածվում մանրէաբանական մեթոդիկաների վերիֆիկացման վրա՝ հաշվի առնելով մանրէաբանական փորձարկումների մասով համապատասխան ընդհանուր դեղագրքային հոդվածներում դրա դիտարկումը:</w:t>
      </w:r>
    </w:p>
    <w:p w14:paraId="269F8D9F" w14:textId="77777777" w:rsidR="00B834A2"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lastRenderedPageBreak/>
        <w:t xml:space="preserve">Վերիֆիկացումն արդյունքների իսկության հաստատման </w:t>
      </w:r>
      <w:r>
        <w:rPr>
          <w:rFonts w:ascii="Sylfaen" w:hAnsi="Sylfaen"/>
          <w:sz w:val="24"/>
          <w:szCs w:val="24"/>
        </w:rPr>
        <w:t>եւ</w:t>
      </w:r>
      <w:r w:rsidRPr="00B834A2">
        <w:rPr>
          <w:rFonts w:ascii="Sylfaen" w:hAnsi="Sylfaen"/>
          <w:sz w:val="24"/>
          <w:szCs w:val="24"/>
        </w:rPr>
        <w:t xml:space="preserve"> անալիտիկ մեթոդիկայի՝ նախ</w:t>
      </w:r>
      <w:r>
        <w:rPr>
          <w:rFonts w:ascii="Sylfaen" w:hAnsi="Sylfaen"/>
          <w:sz w:val="24"/>
          <w:szCs w:val="24"/>
        </w:rPr>
        <w:t>եւ</w:t>
      </w:r>
      <w:r w:rsidRPr="00B834A2">
        <w:rPr>
          <w:rFonts w:ascii="Sylfaen" w:hAnsi="Sylfaen"/>
          <w:sz w:val="24"/>
          <w:szCs w:val="24"/>
        </w:rPr>
        <w:t>առաջ դեղագրքային մեթոդիկայի՝ դրա կիրառման իրական պայմաններում ըստ նշանակության օգտագործելու հնարավորության գնահատման գործընթաց է:</w:t>
      </w:r>
    </w:p>
    <w:p w14:paraId="5208CF7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Արտադրողի կողմից վերիֆիկացման ընթացքում պետք է իրականացվեն հետ</w:t>
      </w:r>
      <w:r>
        <w:rPr>
          <w:rFonts w:ascii="Sylfaen" w:hAnsi="Sylfaen"/>
          <w:sz w:val="24"/>
          <w:szCs w:val="24"/>
        </w:rPr>
        <w:t>եւ</w:t>
      </w:r>
      <w:r w:rsidRPr="00B834A2">
        <w:rPr>
          <w:rFonts w:ascii="Sylfaen" w:hAnsi="Sylfaen"/>
          <w:sz w:val="24"/>
          <w:szCs w:val="24"/>
        </w:rPr>
        <w:t>յալ խնդիրները.</w:t>
      </w:r>
    </w:p>
    <w:p w14:paraId="370B3B9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որոշման պայմանների պիտանիության հաստատում.</w:t>
      </w:r>
    </w:p>
    <w:p w14:paraId="44F97D93" w14:textId="77777777" w:rsidR="00B834A2" w:rsidRPr="00B834A2" w:rsidRDefault="00B834A2" w:rsidP="00B834A2">
      <w:pPr>
        <w:spacing w:after="160" w:line="360" w:lineRule="auto"/>
        <w:ind w:firstLine="567"/>
        <w:jc w:val="both"/>
      </w:pPr>
      <w:r w:rsidRPr="00B834A2">
        <w:t>վերիֆիկացման աշխատանքային անալիտիկ բնութագրերի որոշում.</w:t>
      </w:r>
    </w:p>
    <w:p w14:paraId="32533DF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վերիֆիկացման աշխատանքային անալիտիկ բնութագրերի (օժանդակ նյութեր, խառնուկների պրոֆիլներ </w:t>
      </w:r>
      <w:r>
        <w:rPr>
          <w:rFonts w:ascii="Sylfaen" w:hAnsi="Sylfaen"/>
          <w:sz w:val="24"/>
          <w:szCs w:val="24"/>
        </w:rPr>
        <w:t>եւ</w:t>
      </w:r>
      <w:r w:rsidRPr="00B834A2">
        <w:rPr>
          <w:rFonts w:ascii="Sylfaen" w:hAnsi="Sylfaen"/>
          <w:sz w:val="24"/>
          <w:szCs w:val="24"/>
        </w:rPr>
        <w:t xml:space="preserve"> այլն) վրա ազդող գործոնների սահմանում: </w:t>
      </w:r>
    </w:p>
    <w:p w14:paraId="3E7C936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Դեղագրքային մեթոդիկաների վալիդացում ընդհանուր դեղագրքային հոդվածում բերված է բնութագրերի մասին ընդհանուր տեղեկատվությունը, որոնք պետք է դիտարկվեն փորձարկումների տարբեր կատեգորիաների </w:t>
      </w:r>
      <w:r>
        <w:rPr>
          <w:rFonts w:ascii="Sylfaen" w:hAnsi="Sylfaen"/>
          <w:sz w:val="24"/>
          <w:szCs w:val="24"/>
        </w:rPr>
        <w:t>եւ</w:t>
      </w:r>
      <w:r w:rsidRPr="00B834A2">
        <w:rPr>
          <w:rFonts w:ascii="Sylfaen" w:hAnsi="Sylfaen"/>
          <w:sz w:val="24"/>
          <w:szCs w:val="24"/>
        </w:rPr>
        <w:t xml:space="preserve"> փաստաթղթերի համար, որոնք պետք է ուղեկցեն դեղագրքում ներառման համար ներկայացվող անալիտիկ մեթոդիկաները: Վերիֆիկացումը ներառում է </w:t>
      </w:r>
      <w:r w:rsidRPr="00B834A2">
        <w:rPr>
          <w:rFonts w:ascii="Sylfaen" w:hAnsi="Sylfaen"/>
          <w:i/>
          <w:sz w:val="24"/>
          <w:szCs w:val="24"/>
        </w:rPr>
        <w:t>2.3.14.0</w:t>
      </w:r>
      <w:r w:rsidRPr="00B834A2">
        <w:rPr>
          <w:rFonts w:ascii="Sylfaen" w:hAnsi="Sylfaen"/>
          <w:sz w:val="24"/>
          <w:szCs w:val="24"/>
        </w:rPr>
        <w:t xml:space="preserve"> Անալիտիկ մեթոդիկաների վալիդացում ընդհանուր դեղագրքային հոդվածում նկարագրված՝ ընտրված աշխատանքային անալիտիկ բնութագրերի գնահատումը՝</w:t>
      </w:r>
      <w:r>
        <w:rPr>
          <w:rFonts w:ascii="Sylfaen" w:hAnsi="Sylfaen"/>
          <w:sz w:val="24"/>
          <w:szCs w:val="24"/>
        </w:rPr>
        <w:t xml:space="preserve"> </w:t>
      </w:r>
      <w:r w:rsidRPr="00B834A2">
        <w:rPr>
          <w:rFonts w:ascii="Sylfaen" w:hAnsi="Sylfaen"/>
          <w:sz w:val="24"/>
          <w:szCs w:val="24"/>
        </w:rPr>
        <w:t>համապատասխան տվյալների ստացման համար, ինչն առավել նախապատվելի է, քան վալիդացման պրոցեսի կրկնությունը:</w:t>
      </w:r>
    </w:p>
    <w:p w14:paraId="4C2FC77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Դեղագրքային անալիտիկ մեթոդիկաներից օգտվողները չպետք է անցկացնեն դրանց վալիդացում, եթե դրանք առաջին անգամ կիրառվում են իրենց լաբորատորիաներում, սակայն դրանք պետք է սահմանեն </w:t>
      </w:r>
      <w:r>
        <w:rPr>
          <w:rFonts w:ascii="Sylfaen" w:hAnsi="Sylfaen"/>
          <w:sz w:val="24"/>
          <w:szCs w:val="24"/>
        </w:rPr>
        <w:t>եւ</w:t>
      </w:r>
      <w:r w:rsidRPr="00B834A2">
        <w:rPr>
          <w:rFonts w:ascii="Sylfaen" w:hAnsi="Sylfaen"/>
          <w:sz w:val="24"/>
          <w:szCs w:val="24"/>
        </w:rPr>
        <w:t xml:space="preserve"> փաստաթղթավորեն կիրառման իրական պայմաններում այդ մեթոդիկաների պիտանիությունը: Տվյալ պահանջը կանոնակարգված է Պատշաճ արտադրական գործունեության կանոններով, որոնց համապատասխան բոլոր օգտագործվող փորձարկման մեթոդիկաների պիտանիությունը պետք է հաստատվի կիրառման իրական պայմաններում:</w:t>
      </w:r>
    </w:p>
    <w:p w14:paraId="6004BD8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ՎԵՐԻՖԻԿԱՑՄԱՆ ՊՐՈՑԵՍԸ</w:t>
      </w:r>
    </w:p>
    <w:p w14:paraId="30E8E4C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Փորձարկումների դեղագրքային մեթոդիկաների վերիֆիկացման պրոցեսը բաղկացած է կոնկրետ ակտիվ դեղագործական բաղադրամասի </w:t>
      </w:r>
      <w:r>
        <w:rPr>
          <w:rFonts w:ascii="Sylfaen" w:hAnsi="Sylfaen"/>
          <w:sz w:val="24"/>
          <w:szCs w:val="24"/>
        </w:rPr>
        <w:t>եւ</w:t>
      </w:r>
      <w:r w:rsidRPr="00B834A2">
        <w:rPr>
          <w:rFonts w:ascii="Sylfaen" w:hAnsi="Sylfaen"/>
          <w:sz w:val="24"/>
          <w:szCs w:val="24"/>
        </w:rPr>
        <w:t xml:space="preserve"> (կամ) դեղապատրաստուկի համար կիրառման իրական պայմաններում ենթադրվող նպատակներով՝ մեթոդիկայի օգտագործման հնարավորության գնահատման մեջ:</w:t>
      </w:r>
    </w:p>
    <w:p w14:paraId="719E5BB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Բնութագրված ձ</w:t>
      </w:r>
      <w:r>
        <w:rPr>
          <w:rFonts w:ascii="Sylfaen" w:hAnsi="Sylfaen"/>
          <w:sz w:val="24"/>
          <w:szCs w:val="24"/>
        </w:rPr>
        <w:t>եւ</w:t>
      </w:r>
      <w:r w:rsidRPr="00B834A2">
        <w:rPr>
          <w:rFonts w:ascii="Sylfaen" w:hAnsi="Sylfaen"/>
          <w:sz w:val="24"/>
          <w:szCs w:val="24"/>
        </w:rPr>
        <w:t xml:space="preserve">ով դեղագրքային մեթոդիկաների ընկալման </w:t>
      </w:r>
      <w:r>
        <w:rPr>
          <w:rFonts w:ascii="Sylfaen" w:hAnsi="Sylfaen"/>
          <w:sz w:val="24"/>
          <w:szCs w:val="24"/>
        </w:rPr>
        <w:t>եւ</w:t>
      </w:r>
      <w:r w:rsidRPr="00B834A2">
        <w:rPr>
          <w:rFonts w:ascii="Sylfaen" w:hAnsi="Sylfaen"/>
          <w:sz w:val="24"/>
          <w:szCs w:val="24"/>
        </w:rPr>
        <w:t xml:space="preserve"> կատարման համար օգտվողները պետք է ունենան համապատասխան փորձ, գիտելիքներ </w:t>
      </w:r>
      <w:r>
        <w:rPr>
          <w:rFonts w:ascii="Sylfaen" w:hAnsi="Sylfaen"/>
          <w:sz w:val="24"/>
          <w:szCs w:val="24"/>
        </w:rPr>
        <w:t>եւ</w:t>
      </w:r>
      <w:r w:rsidRPr="00B834A2">
        <w:rPr>
          <w:rFonts w:ascii="Sylfaen" w:hAnsi="Sylfaen"/>
          <w:sz w:val="24"/>
          <w:szCs w:val="24"/>
        </w:rPr>
        <w:t xml:space="preserve"> պատրաստություն: Վերիֆիկացումը պետք է անցկացվի օգտվողի կողմից, որպեսզի դրա արդյունքներն ապահովեն դեղագրքային մեթոդիկաների կատարման ճշտության մեջ վստահությունը:</w:t>
      </w:r>
    </w:p>
    <w:p w14:paraId="63328EF8" w14:textId="77777777" w:rsidR="00B834A2" w:rsidRPr="00B834A2" w:rsidRDefault="00B834A2" w:rsidP="00B834A2">
      <w:pPr>
        <w:spacing w:after="160" w:line="360" w:lineRule="auto"/>
        <w:ind w:firstLine="567"/>
        <w:jc w:val="both"/>
      </w:pPr>
      <w:r w:rsidRPr="00B834A2">
        <w:t xml:space="preserve">Դեղագրքային մեթոդիկաների վերիֆիկացման ոչ բավարար արդյունքների </w:t>
      </w:r>
      <w:r>
        <w:t>եւ</w:t>
      </w:r>
      <w:r w:rsidRPr="00B834A2">
        <w:t xml:space="preserve"> լիազորված մարմին դիմելիս դրա հետ կապված հարցերի լուծման անհնարինության դեպքում անհրաժեշտ է ներկայացնել եզրակացություն առ այն, որ մեթոդիկան չի կարող համարվել պիտանի տվյալ լաբորատորիայում փորձարկվող նմուշի նկատմամբ կիրառման համար:</w:t>
      </w:r>
    </w:p>
    <w:p w14:paraId="25A39F2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Հետագայում կարող է անհրաժեշտ լինել մշակել </w:t>
      </w:r>
      <w:r>
        <w:rPr>
          <w:rFonts w:ascii="Sylfaen" w:hAnsi="Sylfaen"/>
          <w:sz w:val="24"/>
          <w:szCs w:val="24"/>
        </w:rPr>
        <w:t>եւ</w:t>
      </w:r>
      <w:r w:rsidRPr="00B834A2">
        <w:rPr>
          <w:rFonts w:ascii="Sylfaen" w:hAnsi="Sylfaen"/>
          <w:sz w:val="24"/>
          <w:szCs w:val="24"/>
        </w:rPr>
        <w:t xml:space="preserve"> վալիդացնել այլընտրանքային մեթոդիկա: Այլընտրանքային մեթոդիկան կարող է ներկայացվել լիազորված մարմին համապատասխան տվյալների հետ միասին որպես այն ներառելու </w:t>
      </w:r>
      <w:r>
        <w:rPr>
          <w:rFonts w:ascii="Sylfaen" w:hAnsi="Sylfaen"/>
          <w:sz w:val="24"/>
          <w:szCs w:val="24"/>
        </w:rPr>
        <w:t>եւ</w:t>
      </w:r>
      <w:r w:rsidRPr="00B834A2">
        <w:rPr>
          <w:rFonts w:ascii="Sylfaen" w:hAnsi="Sylfaen"/>
          <w:sz w:val="24"/>
          <w:szCs w:val="24"/>
        </w:rPr>
        <w:t xml:space="preserve"> գործող դեղագրքային մեթոդիկան դրանով փոխարինելու առաջարկության հիմնավորում:</w:t>
      </w:r>
    </w:p>
    <w:p w14:paraId="111E6E7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577FD0D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ՎԵՐԻՖԻԿԱՑՄԱՆ ՊԱՀԱՆՋՆԵՐ</w:t>
      </w:r>
    </w:p>
    <w:p w14:paraId="5D7CE37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Վերիֆիկացման պահանջները պետք է հիմնված լինեն ինչպես մեթոդիկայի, այնպես էլ այն նյութի բարդության գնահատման վրա, որի նկատմամբ կիրառվում է մեթոդիկան: Թեպետ դեղագրքային մեթոդիկայի ամբողջական վերավալիդացում չի պահանջվում կիրառման իրական պայմաններում մեթոդիկայի պիտանիության վերիֆիկացման համար, վերիֆիկացման պրոցեսի համար կարող են օգտագործվել </w:t>
      </w:r>
      <w:r w:rsidRPr="00B834A2">
        <w:rPr>
          <w:rFonts w:ascii="Sylfaen" w:hAnsi="Sylfaen"/>
          <w:i/>
          <w:sz w:val="24"/>
          <w:szCs w:val="24"/>
        </w:rPr>
        <w:lastRenderedPageBreak/>
        <w:t>2.3.14.0.</w:t>
      </w:r>
      <w:r w:rsidRPr="00B834A2">
        <w:rPr>
          <w:rFonts w:ascii="Sylfaen" w:hAnsi="Sylfaen"/>
          <w:sz w:val="24"/>
          <w:szCs w:val="24"/>
        </w:rPr>
        <w:t xml:space="preserve"> </w:t>
      </w:r>
      <w:r w:rsidRPr="00B834A2">
        <w:rPr>
          <w:rFonts w:ascii="Sylfaen" w:hAnsi="Sylfaen"/>
          <w:i/>
          <w:sz w:val="24"/>
          <w:szCs w:val="24"/>
        </w:rPr>
        <w:t>Անալիտիկ մեթոդիկաների վալիդացում</w:t>
      </w:r>
      <w:r w:rsidRPr="00B834A2">
        <w:rPr>
          <w:rFonts w:ascii="Sylfaen" w:hAnsi="Sylfaen"/>
          <w:sz w:val="24"/>
          <w:szCs w:val="24"/>
        </w:rPr>
        <w:t xml:space="preserve"> ընդհանուր դեղագրքային հոդվածում թվարկված աշխատանքային անալիտիկ որոշ բնութագրեր: Գնահատում պահանջում են միայն այն բնութագրերը, որոնք համարվում են որոշակի մեթոդիկայի վերիֆիկացման համար ընդունելի: Կիրառման իրական պայմաններում անալիտիկ փորձարկման դեղագրքային մեթոդիկայի պիտանիության գնահատման պրոցեսը կարող է պահանջել կամ չպահանջել լաբորատորիայում յուրաքանչյուր աշխատանքային անալիտիկ բնութագրի որոշում: Վերիֆիկացման պրոցեսի աստիճանը </w:t>
      </w:r>
      <w:r>
        <w:rPr>
          <w:rFonts w:ascii="Sylfaen" w:hAnsi="Sylfaen"/>
          <w:sz w:val="24"/>
          <w:szCs w:val="24"/>
        </w:rPr>
        <w:t>եւ</w:t>
      </w:r>
      <w:r w:rsidRPr="00B834A2">
        <w:rPr>
          <w:rFonts w:ascii="Sylfaen" w:hAnsi="Sylfaen"/>
          <w:sz w:val="24"/>
          <w:szCs w:val="24"/>
        </w:rPr>
        <w:t xml:space="preserve"> մասշտաբը կարող են պայմանավորված լինել օգտվողի պատրաստվածությամբ </w:t>
      </w:r>
      <w:r>
        <w:rPr>
          <w:rFonts w:ascii="Sylfaen" w:hAnsi="Sylfaen"/>
          <w:sz w:val="24"/>
          <w:szCs w:val="24"/>
        </w:rPr>
        <w:t>եւ</w:t>
      </w:r>
      <w:r w:rsidRPr="00B834A2">
        <w:rPr>
          <w:rFonts w:ascii="Sylfaen" w:hAnsi="Sylfaen"/>
          <w:sz w:val="24"/>
          <w:szCs w:val="24"/>
        </w:rPr>
        <w:t xml:space="preserve"> փորձի մակարդակով, մեթոդիկայի տեսակով </w:t>
      </w:r>
      <w:r>
        <w:rPr>
          <w:rFonts w:ascii="Sylfaen" w:hAnsi="Sylfaen"/>
          <w:sz w:val="24"/>
          <w:szCs w:val="24"/>
        </w:rPr>
        <w:t>եւ</w:t>
      </w:r>
      <w:r w:rsidRPr="00B834A2">
        <w:rPr>
          <w:rFonts w:ascii="Sylfaen" w:hAnsi="Sylfaen"/>
          <w:sz w:val="24"/>
          <w:szCs w:val="24"/>
        </w:rPr>
        <w:t xml:space="preserve"> դրա հետ կապված սարքավորումներով կամ չափիչ սարքերով, մեթոդիկայի կոնկրետ փուլերով </w:t>
      </w:r>
      <w:r>
        <w:rPr>
          <w:rFonts w:ascii="Sylfaen" w:hAnsi="Sylfaen"/>
          <w:sz w:val="24"/>
          <w:szCs w:val="24"/>
        </w:rPr>
        <w:t>եւ</w:t>
      </w:r>
      <w:r w:rsidRPr="00B834A2">
        <w:rPr>
          <w:rFonts w:ascii="Sylfaen" w:hAnsi="Sylfaen"/>
          <w:sz w:val="24"/>
          <w:szCs w:val="24"/>
        </w:rPr>
        <w:t xml:space="preserve"> փորձարկվող նմուշով (նմուշներով):</w:t>
      </w:r>
    </w:p>
    <w:p w14:paraId="1B2F07A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Վերիֆիկացմամբ պետք է գնահատվի ազդող նյութի </w:t>
      </w:r>
      <w:r>
        <w:rPr>
          <w:rFonts w:ascii="Sylfaen" w:hAnsi="Sylfaen"/>
          <w:sz w:val="24"/>
          <w:szCs w:val="24"/>
        </w:rPr>
        <w:t>եւ</w:t>
      </w:r>
      <w:r w:rsidRPr="00B834A2">
        <w:rPr>
          <w:rFonts w:ascii="Sylfaen" w:hAnsi="Sylfaen"/>
          <w:sz w:val="24"/>
          <w:szCs w:val="24"/>
        </w:rPr>
        <w:t xml:space="preserve"> (կամ) դեղապատրաստուկի համար դեղագրքային մեթոդիկայի պիտանիությունը՝ հաշվի առնելով ազդող նյութի սինթեզի ուղին, դեղապատրաստուկի արտադրության տեխնոլոգիան կամ թե՛ մեկը, թե՛ մյուսը՝ կիրառելիության դեպքում: Վերիֆիկացումը պետք է ներառի այնպիսի գործոնների գնահատում, ինչպես օրինակ՝ դեղապատրաստուկում խառնուկների </w:t>
      </w:r>
      <w:r>
        <w:rPr>
          <w:rFonts w:ascii="Sylfaen" w:hAnsi="Sylfaen"/>
          <w:sz w:val="24"/>
          <w:szCs w:val="24"/>
        </w:rPr>
        <w:t>եւ</w:t>
      </w:r>
      <w:r w:rsidRPr="00B834A2">
        <w:rPr>
          <w:rFonts w:ascii="Sylfaen" w:hAnsi="Sylfaen"/>
          <w:sz w:val="24"/>
          <w:szCs w:val="24"/>
        </w:rPr>
        <w:t xml:space="preserve"> ազդող նյութերի քանակական պարունակության բացելիության մեծության վրա օժանդակ նյութերի ազդեցությունը, ինչպես նա</w:t>
      </w:r>
      <w:r>
        <w:rPr>
          <w:rFonts w:ascii="Sylfaen" w:hAnsi="Sylfaen"/>
          <w:sz w:val="24"/>
          <w:szCs w:val="24"/>
        </w:rPr>
        <w:t>եւ</w:t>
      </w:r>
      <w:r w:rsidRPr="00B834A2">
        <w:rPr>
          <w:rFonts w:ascii="Sylfaen" w:hAnsi="Sylfaen"/>
          <w:sz w:val="24"/>
          <w:szCs w:val="24"/>
        </w:rPr>
        <w:t xml:space="preserve"> քրոմատագրման պայմանների </w:t>
      </w:r>
      <w:r>
        <w:rPr>
          <w:rFonts w:ascii="Sylfaen" w:hAnsi="Sylfaen"/>
          <w:sz w:val="24"/>
          <w:szCs w:val="24"/>
        </w:rPr>
        <w:t>եւ</w:t>
      </w:r>
      <w:r w:rsidRPr="00B834A2">
        <w:rPr>
          <w:rFonts w:ascii="Sylfaen" w:hAnsi="Sylfaen"/>
          <w:sz w:val="24"/>
          <w:szCs w:val="24"/>
        </w:rPr>
        <w:t xml:space="preserve"> սյունակի պիտանիությունը </w:t>
      </w:r>
      <w:r>
        <w:rPr>
          <w:rFonts w:ascii="Sylfaen" w:hAnsi="Sylfaen"/>
          <w:sz w:val="24"/>
          <w:szCs w:val="24"/>
        </w:rPr>
        <w:t>եւ</w:t>
      </w:r>
      <w:r w:rsidRPr="00B834A2">
        <w:rPr>
          <w:rFonts w:ascii="Sylfaen" w:hAnsi="Sylfaen"/>
          <w:sz w:val="24"/>
          <w:szCs w:val="24"/>
        </w:rPr>
        <w:t xml:space="preserve"> այլն: </w:t>
      </w:r>
    </w:p>
    <w:p w14:paraId="764546B7" w14:textId="77777777" w:rsidR="00B834A2" w:rsidRPr="00B834A2" w:rsidRDefault="00B834A2" w:rsidP="00B834A2">
      <w:pPr>
        <w:spacing w:after="160" w:line="360" w:lineRule="auto"/>
        <w:ind w:firstLine="567"/>
        <w:jc w:val="both"/>
      </w:pPr>
      <w:r w:rsidRPr="00B834A2">
        <w:t xml:space="preserve">Օրինակ՝ սպեցիֆիկության գնահատումը բաղադրամասերում </w:t>
      </w:r>
      <w:r>
        <w:t>եւ</w:t>
      </w:r>
      <w:r w:rsidRPr="00B834A2">
        <w:t xml:space="preserve"> դեղապատրաստուկներում ազդող նյութերի քանակական որոշման մեջ օգտագործման համար դեղագրքային մեթոդիկայի պիտանիության ստուգման մեջ առանցքային պարամետր է: Մասնավորապես քրոմատագրման մեթոդիկայի ընդունելի սպեցիֆիկությունը կարող է հաստատվել համակարգի պիտանիության ստուգման դեպքում թույլտրվածքի մեծության համար պահանջներին համապատասխանությամբ (եթե նշված է մեթոդիկայում): Սակայն տարբեր մատակարարներից ազդող նյութը կարող է ունենալ խառնուկների տարբեր պրոֆիլ, որը չի համապատասխանում փորձարկման դեղագրքային մեթոդիկային: </w:t>
      </w:r>
      <w:r w:rsidRPr="00B834A2">
        <w:lastRenderedPageBreak/>
        <w:t xml:space="preserve">Համանմանորեն դեղապատրաստուկում օժանդակ նյութերը կարող են էականորեն տարբերվել տարբեր արտադրողների շրջանում </w:t>
      </w:r>
      <w:r>
        <w:t>եւ</w:t>
      </w:r>
      <w:r w:rsidRPr="00B834A2">
        <w:t xml:space="preserve"> հնարավոր է անմիջական խանգարող ազդեցություն ունենան մեթոդիկայի վրա կամ առաջացնեն խառնուկների գոյացում, որոնք չեն որոշվում դեղագրքային մեթոդիկայով: Բացի այդ, տարբեր օժանդակ նյութեր, հակաօքսիդանտներ, բուֆերային ագենտներ կամ փաթեթվածքից լուծամզվող նյութեր (փաթեթավորման նյութ) պարունակող դեղապատրաստուկները կարող են ներգործել դեղապատրաստուկում ազդող նյութի քանակական պարունակության բացելիության մեծության վրա: Նման դեպքերում կարող է պահանջվել օժանդակ նյութերի ազդեցության առավել մանրակրկիտ գնահատում՝ որոշ ազդող նյութի կամ դեղապատրաստուկի համար մեթոդիկայի պիտանիության հաստատման նպատակով: Կիրառման իրական պայմաններում դեղագրքային մեթոդիկայի պիտանիության հաստատման համար օգտակար կարող է լինել այլ աշխատանքային անալիտիկ բնութագրերի, օրինակ՝ խառնուկների հայտնաբերման սահմանի կամ քանակական որոշման սահմանի </w:t>
      </w:r>
      <w:r>
        <w:t>եւ</w:t>
      </w:r>
      <w:r w:rsidRPr="00B834A2">
        <w:t xml:space="preserve"> ճշգրտության գնահատումը:</w:t>
      </w:r>
    </w:p>
    <w:p w14:paraId="5AB6CB6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Սովորաբար վերիֆիկացումը կիրառելի է տիտրաչափական, քրոմատագրման </w:t>
      </w:r>
      <w:r>
        <w:rPr>
          <w:rFonts w:ascii="Sylfaen" w:hAnsi="Sylfaen"/>
          <w:sz w:val="24"/>
          <w:szCs w:val="24"/>
        </w:rPr>
        <w:t>եւ</w:t>
      </w:r>
      <w:r w:rsidRPr="00B834A2">
        <w:rPr>
          <w:rFonts w:ascii="Sylfaen" w:hAnsi="Sylfaen"/>
          <w:sz w:val="24"/>
          <w:szCs w:val="24"/>
        </w:rPr>
        <w:t xml:space="preserve"> սպեկտրալուսաչափական մեթոդիկաների նկատմամբ, որոնց օգնությամբ անցկացնում են ազդող նյութերի, հարակից խառնուկների, դրանց պարունակության սահմանների որոշում:</w:t>
      </w:r>
    </w:p>
    <w:p w14:paraId="31A5D7B4" w14:textId="77777777" w:rsidR="00B834A2" w:rsidRPr="00B834A2" w:rsidRDefault="00B834A2" w:rsidP="00B834A2">
      <w:pPr>
        <w:spacing w:after="160" w:line="360" w:lineRule="auto"/>
        <w:ind w:firstLine="567"/>
        <w:jc w:val="both"/>
      </w:pPr>
      <w:r w:rsidRPr="00B834A2">
        <w:t>Հեղուկ քրոմատագրման մեթոդը լայնորեն կիրառվում է տարբեր դեղաձ</w:t>
      </w:r>
      <w:r>
        <w:t>եւ</w:t>
      </w:r>
      <w:r w:rsidRPr="00B834A2">
        <w:t xml:space="preserve">երում դեղապատրաստուկների փորձարկման համար: Այն դեղապատրաստուկում ակտիվ նյութի քանակական որոշման համար օգտագործելիս քրոմատագրման մեթոդիկայի վերիֆիկացումը սովորաբար անցկացնում են ըստ ճշգրտության </w:t>
      </w:r>
      <w:r>
        <w:t>եւ</w:t>
      </w:r>
      <w:r w:rsidRPr="00B834A2">
        <w:t xml:space="preserve"> սպեցիֆիկության բնութագրերի: Այդ մեթոդիկաների մասով վալիդացման </w:t>
      </w:r>
      <w:r>
        <w:t>եւ</w:t>
      </w:r>
      <w:r w:rsidRPr="00B834A2">
        <w:t xml:space="preserve"> վերիֆիկացման պահանջների համեմատումը բերված է 2.3.15.0-1 աղյուսակում:</w:t>
      </w:r>
    </w:p>
    <w:p w14:paraId="4250F174" w14:textId="77777777" w:rsidR="001B3D08" w:rsidRDefault="001B3D08">
      <w:r>
        <w:br w:type="page"/>
      </w:r>
    </w:p>
    <w:p w14:paraId="364BB98C" w14:textId="77777777" w:rsidR="00B834A2" w:rsidRPr="00A55DE5" w:rsidRDefault="00A55DE5" w:rsidP="00B834A2">
      <w:pPr>
        <w:spacing w:after="160" w:line="360" w:lineRule="auto"/>
        <w:ind w:firstLine="567"/>
        <w:jc w:val="both"/>
        <w:rPr>
          <w:i/>
          <w:sz w:val="32"/>
        </w:rPr>
      </w:pPr>
      <w:r w:rsidRPr="00A55DE5">
        <w:lastRenderedPageBreak/>
        <w:t xml:space="preserve">Աղյուսակ 2.3.15.0-1. </w:t>
      </w:r>
      <w:r w:rsidRPr="00A55DE5">
        <w:rPr>
          <w:i/>
        </w:rPr>
        <w:t>Դեղապատրաստուկում ազդող նյութի քանակական որոշման համար հեղուկ քրոմատագրման մեթոդիկաների մասով վալիդացման եւ վերիֆիկացման պահանջները</w:t>
      </w:r>
    </w:p>
    <w:tbl>
      <w:tblPr>
        <w:tblW w:w="0" w:type="auto"/>
        <w:tblLayout w:type="fixed"/>
        <w:tblCellMar>
          <w:left w:w="0" w:type="dxa"/>
          <w:right w:w="0" w:type="dxa"/>
        </w:tblCellMar>
        <w:tblLook w:val="0000" w:firstRow="0" w:lastRow="0" w:firstColumn="0" w:lastColumn="0" w:noHBand="0" w:noVBand="0"/>
      </w:tblPr>
      <w:tblGrid>
        <w:gridCol w:w="2835"/>
        <w:gridCol w:w="1985"/>
        <w:gridCol w:w="2289"/>
      </w:tblGrid>
      <w:tr w:rsidR="00B834A2" w:rsidRPr="00097504" w14:paraId="4183129A" w14:textId="77777777" w:rsidTr="00A84AF4">
        <w:trPr>
          <w:trHeight w:val="566"/>
        </w:trPr>
        <w:tc>
          <w:tcPr>
            <w:tcW w:w="2835" w:type="dxa"/>
            <w:tcBorders>
              <w:top w:val="single" w:sz="4" w:space="0" w:color="auto"/>
              <w:left w:val="nil"/>
              <w:bottom w:val="nil"/>
              <w:right w:val="nil"/>
            </w:tcBorders>
            <w:shd w:val="clear" w:color="auto" w:fill="FFFFFF"/>
            <w:vAlign w:val="center"/>
          </w:tcPr>
          <w:p w14:paraId="1219F180" w14:textId="77777777" w:rsidR="00B834A2" w:rsidRPr="00097504" w:rsidRDefault="00B834A2" w:rsidP="00097504">
            <w:pPr>
              <w:spacing w:after="120"/>
              <w:jc w:val="center"/>
              <w:rPr>
                <w:rFonts w:eastAsia="Times New Roman" w:cs="Times New Roman"/>
                <w:color w:val="auto"/>
                <w:sz w:val="20"/>
              </w:rPr>
            </w:pPr>
            <w:r w:rsidRPr="00097504">
              <w:rPr>
                <w:sz w:val="20"/>
              </w:rPr>
              <w:t>Աշխատանքային անալիտիկ բնութագրերը</w:t>
            </w:r>
          </w:p>
        </w:tc>
        <w:tc>
          <w:tcPr>
            <w:tcW w:w="1985" w:type="dxa"/>
            <w:tcBorders>
              <w:top w:val="single" w:sz="4" w:space="0" w:color="auto"/>
              <w:left w:val="nil"/>
              <w:bottom w:val="nil"/>
              <w:right w:val="nil"/>
            </w:tcBorders>
            <w:shd w:val="clear" w:color="auto" w:fill="FFFFFF"/>
            <w:vAlign w:val="center"/>
          </w:tcPr>
          <w:p w14:paraId="0852737A" w14:textId="77777777" w:rsidR="00B834A2" w:rsidRPr="00097504" w:rsidRDefault="00B834A2" w:rsidP="00097504">
            <w:pPr>
              <w:spacing w:after="120"/>
              <w:jc w:val="center"/>
              <w:rPr>
                <w:rFonts w:eastAsia="Times New Roman" w:cs="Times New Roman"/>
                <w:color w:val="auto"/>
                <w:sz w:val="20"/>
              </w:rPr>
            </w:pPr>
            <w:r w:rsidRPr="00097504">
              <w:rPr>
                <w:sz w:val="20"/>
              </w:rPr>
              <w:t>Վալիդացումը</w:t>
            </w:r>
          </w:p>
        </w:tc>
        <w:tc>
          <w:tcPr>
            <w:tcW w:w="2289" w:type="dxa"/>
            <w:tcBorders>
              <w:top w:val="single" w:sz="4" w:space="0" w:color="auto"/>
              <w:left w:val="nil"/>
              <w:bottom w:val="nil"/>
              <w:right w:val="nil"/>
            </w:tcBorders>
            <w:shd w:val="clear" w:color="auto" w:fill="FFFFFF"/>
            <w:vAlign w:val="center"/>
          </w:tcPr>
          <w:p w14:paraId="5E24B6BB" w14:textId="77777777" w:rsidR="00B834A2" w:rsidRPr="00097504" w:rsidRDefault="00B834A2" w:rsidP="00097504">
            <w:pPr>
              <w:spacing w:after="120"/>
              <w:jc w:val="center"/>
              <w:rPr>
                <w:rFonts w:eastAsia="Times New Roman" w:cs="Times New Roman"/>
                <w:color w:val="auto"/>
                <w:sz w:val="20"/>
              </w:rPr>
            </w:pPr>
            <w:r w:rsidRPr="00097504">
              <w:rPr>
                <w:sz w:val="20"/>
              </w:rPr>
              <w:t>Վերիֆիկացումը</w:t>
            </w:r>
          </w:p>
        </w:tc>
      </w:tr>
      <w:tr w:rsidR="00B834A2" w:rsidRPr="00097504" w14:paraId="2ECA0814" w14:textId="77777777" w:rsidTr="00A84AF4">
        <w:trPr>
          <w:trHeight w:val="322"/>
        </w:trPr>
        <w:tc>
          <w:tcPr>
            <w:tcW w:w="2835" w:type="dxa"/>
            <w:tcBorders>
              <w:top w:val="single" w:sz="4" w:space="0" w:color="auto"/>
              <w:left w:val="nil"/>
              <w:bottom w:val="nil"/>
              <w:right w:val="nil"/>
            </w:tcBorders>
            <w:shd w:val="clear" w:color="auto" w:fill="FFFFFF"/>
            <w:vAlign w:val="center"/>
          </w:tcPr>
          <w:p w14:paraId="5C6D82A6" w14:textId="77777777" w:rsidR="00B834A2" w:rsidRPr="00097504" w:rsidRDefault="00B834A2" w:rsidP="00097504">
            <w:pPr>
              <w:spacing w:after="120"/>
              <w:rPr>
                <w:rFonts w:eastAsia="Times New Roman" w:cs="Times New Roman"/>
                <w:color w:val="auto"/>
                <w:sz w:val="20"/>
              </w:rPr>
            </w:pPr>
            <w:r w:rsidRPr="00097504">
              <w:rPr>
                <w:sz w:val="20"/>
              </w:rPr>
              <w:t>Ճշտություն (ճշգրտություն)</w:t>
            </w:r>
          </w:p>
        </w:tc>
        <w:tc>
          <w:tcPr>
            <w:tcW w:w="1985" w:type="dxa"/>
            <w:tcBorders>
              <w:top w:val="single" w:sz="4" w:space="0" w:color="auto"/>
              <w:left w:val="nil"/>
              <w:bottom w:val="nil"/>
              <w:right w:val="nil"/>
            </w:tcBorders>
            <w:shd w:val="clear" w:color="auto" w:fill="FFFFFF"/>
            <w:vAlign w:val="center"/>
          </w:tcPr>
          <w:p w14:paraId="7039F8F0"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single" w:sz="4" w:space="0" w:color="auto"/>
              <w:left w:val="nil"/>
              <w:bottom w:val="nil"/>
              <w:right w:val="nil"/>
            </w:tcBorders>
            <w:shd w:val="clear" w:color="auto" w:fill="FFFFFF"/>
            <w:vAlign w:val="center"/>
          </w:tcPr>
          <w:p w14:paraId="7B0FF8D5"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60D0F8AF" w14:textId="77777777" w:rsidTr="00A84AF4">
        <w:trPr>
          <w:trHeight w:val="312"/>
        </w:trPr>
        <w:tc>
          <w:tcPr>
            <w:tcW w:w="2835" w:type="dxa"/>
            <w:tcBorders>
              <w:top w:val="nil"/>
              <w:left w:val="nil"/>
              <w:bottom w:val="nil"/>
              <w:right w:val="nil"/>
            </w:tcBorders>
            <w:shd w:val="clear" w:color="auto" w:fill="FFFFFF"/>
            <w:vAlign w:val="center"/>
          </w:tcPr>
          <w:p w14:paraId="17A4B51E" w14:textId="77777777" w:rsidR="00B834A2" w:rsidRPr="00097504" w:rsidRDefault="00B834A2" w:rsidP="00097504">
            <w:pPr>
              <w:spacing w:after="120"/>
              <w:rPr>
                <w:rFonts w:eastAsia="Times New Roman" w:cs="Times New Roman"/>
                <w:color w:val="auto"/>
                <w:sz w:val="20"/>
              </w:rPr>
            </w:pPr>
            <w:r w:rsidRPr="00097504">
              <w:rPr>
                <w:sz w:val="20"/>
              </w:rPr>
              <w:t>Ճշգրտություն</w:t>
            </w:r>
          </w:p>
        </w:tc>
        <w:tc>
          <w:tcPr>
            <w:tcW w:w="1985" w:type="dxa"/>
            <w:tcBorders>
              <w:top w:val="nil"/>
              <w:left w:val="nil"/>
              <w:bottom w:val="nil"/>
              <w:right w:val="nil"/>
            </w:tcBorders>
            <w:shd w:val="clear" w:color="auto" w:fill="FFFFFF"/>
            <w:vAlign w:val="center"/>
          </w:tcPr>
          <w:p w14:paraId="24C50F2D"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nil"/>
              <w:right w:val="nil"/>
            </w:tcBorders>
            <w:shd w:val="clear" w:color="auto" w:fill="FFFFFF"/>
            <w:vAlign w:val="center"/>
          </w:tcPr>
          <w:p w14:paraId="36E3EB91"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18BF45ED" w14:textId="77777777" w:rsidTr="00A84AF4">
        <w:trPr>
          <w:trHeight w:val="302"/>
        </w:trPr>
        <w:tc>
          <w:tcPr>
            <w:tcW w:w="2835" w:type="dxa"/>
            <w:tcBorders>
              <w:top w:val="nil"/>
              <w:left w:val="nil"/>
              <w:bottom w:val="nil"/>
              <w:right w:val="nil"/>
            </w:tcBorders>
            <w:shd w:val="clear" w:color="auto" w:fill="FFFFFF"/>
            <w:vAlign w:val="center"/>
          </w:tcPr>
          <w:p w14:paraId="4BE137B3" w14:textId="77777777" w:rsidR="00B834A2" w:rsidRPr="00097504" w:rsidRDefault="00B834A2" w:rsidP="00097504">
            <w:pPr>
              <w:spacing w:after="120"/>
              <w:rPr>
                <w:rFonts w:eastAsia="Times New Roman" w:cs="Times New Roman"/>
                <w:color w:val="auto"/>
                <w:sz w:val="20"/>
              </w:rPr>
            </w:pPr>
            <w:r w:rsidRPr="00097504">
              <w:rPr>
                <w:sz w:val="20"/>
              </w:rPr>
              <w:t>Սպեցիֆիկություն</w:t>
            </w:r>
          </w:p>
        </w:tc>
        <w:tc>
          <w:tcPr>
            <w:tcW w:w="1985" w:type="dxa"/>
            <w:tcBorders>
              <w:top w:val="nil"/>
              <w:left w:val="nil"/>
              <w:bottom w:val="nil"/>
              <w:right w:val="nil"/>
            </w:tcBorders>
            <w:shd w:val="clear" w:color="auto" w:fill="FFFFFF"/>
            <w:vAlign w:val="center"/>
          </w:tcPr>
          <w:p w14:paraId="1A22BDF9"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nil"/>
              <w:right w:val="nil"/>
            </w:tcBorders>
            <w:shd w:val="clear" w:color="auto" w:fill="FFFFFF"/>
            <w:vAlign w:val="center"/>
          </w:tcPr>
          <w:p w14:paraId="41DEBB2B"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54DEFA3B" w14:textId="77777777" w:rsidTr="00A84AF4">
        <w:trPr>
          <w:trHeight w:val="312"/>
        </w:trPr>
        <w:tc>
          <w:tcPr>
            <w:tcW w:w="2835" w:type="dxa"/>
            <w:tcBorders>
              <w:top w:val="nil"/>
              <w:left w:val="nil"/>
              <w:bottom w:val="nil"/>
              <w:right w:val="nil"/>
            </w:tcBorders>
            <w:shd w:val="clear" w:color="auto" w:fill="FFFFFF"/>
            <w:vAlign w:val="center"/>
          </w:tcPr>
          <w:p w14:paraId="7CEA5EC0" w14:textId="77777777" w:rsidR="00B834A2" w:rsidRPr="00097504" w:rsidRDefault="00B834A2" w:rsidP="00097504">
            <w:pPr>
              <w:spacing w:after="120"/>
              <w:rPr>
                <w:rFonts w:eastAsia="Times New Roman" w:cs="Times New Roman"/>
                <w:color w:val="auto"/>
                <w:sz w:val="20"/>
              </w:rPr>
            </w:pPr>
            <w:r w:rsidRPr="00097504">
              <w:rPr>
                <w:sz w:val="20"/>
              </w:rPr>
              <w:t>Հայտնաբերման սահման</w:t>
            </w:r>
          </w:p>
        </w:tc>
        <w:tc>
          <w:tcPr>
            <w:tcW w:w="1985" w:type="dxa"/>
            <w:tcBorders>
              <w:top w:val="nil"/>
              <w:left w:val="nil"/>
              <w:bottom w:val="nil"/>
              <w:right w:val="nil"/>
            </w:tcBorders>
            <w:shd w:val="clear" w:color="auto" w:fill="FFFFFF"/>
          </w:tcPr>
          <w:p w14:paraId="4641DACB"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nil"/>
              <w:right w:val="nil"/>
            </w:tcBorders>
            <w:shd w:val="clear" w:color="auto" w:fill="FFFFFF"/>
          </w:tcPr>
          <w:p w14:paraId="67737F13"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14F9F598" w14:textId="77777777" w:rsidTr="00A84AF4">
        <w:trPr>
          <w:trHeight w:val="562"/>
        </w:trPr>
        <w:tc>
          <w:tcPr>
            <w:tcW w:w="2835" w:type="dxa"/>
            <w:tcBorders>
              <w:top w:val="nil"/>
              <w:left w:val="nil"/>
              <w:bottom w:val="nil"/>
              <w:right w:val="nil"/>
            </w:tcBorders>
            <w:shd w:val="clear" w:color="auto" w:fill="FFFFFF"/>
            <w:vAlign w:val="center"/>
          </w:tcPr>
          <w:p w14:paraId="09328CB8" w14:textId="77777777" w:rsidR="00B834A2" w:rsidRPr="00097504" w:rsidRDefault="00B834A2" w:rsidP="00097504">
            <w:pPr>
              <w:spacing w:after="120"/>
              <w:rPr>
                <w:rFonts w:eastAsia="Times New Roman" w:cs="Times New Roman"/>
                <w:color w:val="auto"/>
                <w:sz w:val="20"/>
              </w:rPr>
            </w:pPr>
            <w:r w:rsidRPr="00097504">
              <w:rPr>
                <w:sz w:val="20"/>
              </w:rPr>
              <w:t>Քանակական որոշման սահման</w:t>
            </w:r>
          </w:p>
        </w:tc>
        <w:tc>
          <w:tcPr>
            <w:tcW w:w="1985" w:type="dxa"/>
            <w:tcBorders>
              <w:top w:val="nil"/>
              <w:left w:val="nil"/>
              <w:bottom w:val="nil"/>
              <w:right w:val="nil"/>
            </w:tcBorders>
            <w:shd w:val="clear" w:color="auto" w:fill="FFFFFF"/>
          </w:tcPr>
          <w:p w14:paraId="734D15CE"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nil"/>
              <w:right w:val="nil"/>
            </w:tcBorders>
            <w:shd w:val="clear" w:color="auto" w:fill="FFFFFF"/>
          </w:tcPr>
          <w:p w14:paraId="6F4A6B0E"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063BD009" w14:textId="77777777" w:rsidTr="00A84AF4">
        <w:trPr>
          <w:trHeight w:val="302"/>
        </w:trPr>
        <w:tc>
          <w:tcPr>
            <w:tcW w:w="2835" w:type="dxa"/>
            <w:tcBorders>
              <w:top w:val="nil"/>
              <w:left w:val="nil"/>
              <w:bottom w:val="nil"/>
              <w:right w:val="nil"/>
            </w:tcBorders>
            <w:shd w:val="clear" w:color="auto" w:fill="FFFFFF"/>
            <w:vAlign w:val="center"/>
          </w:tcPr>
          <w:p w14:paraId="544F8549" w14:textId="77777777" w:rsidR="00B834A2" w:rsidRPr="00097504" w:rsidRDefault="00B834A2" w:rsidP="00097504">
            <w:pPr>
              <w:spacing w:after="120"/>
              <w:rPr>
                <w:rFonts w:eastAsia="Times New Roman" w:cs="Times New Roman"/>
                <w:color w:val="auto"/>
                <w:sz w:val="20"/>
              </w:rPr>
            </w:pPr>
            <w:r w:rsidRPr="00097504">
              <w:rPr>
                <w:sz w:val="20"/>
              </w:rPr>
              <w:t>Գծայնություն</w:t>
            </w:r>
          </w:p>
        </w:tc>
        <w:tc>
          <w:tcPr>
            <w:tcW w:w="1985" w:type="dxa"/>
            <w:tcBorders>
              <w:top w:val="nil"/>
              <w:left w:val="nil"/>
              <w:bottom w:val="nil"/>
              <w:right w:val="nil"/>
            </w:tcBorders>
            <w:shd w:val="clear" w:color="auto" w:fill="FFFFFF"/>
            <w:vAlign w:val="center"/>
          </w:tcPr>
          <w:p w14:paraId="09B91CC9"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nil"/>
              <w:right w:val="nil"/>
            </w:tcBorders>
            <w:shd w:val="clear" w:color="auto" w:fill="FFFFFF"/>
          </w:tcPr>
          <w:p w14:paraId="1D9207A4" w14:textId="77777777" w:rsidR="00B834A2" w:rsidRPr="00097504" w:rsidRDefault="00B834A2" w:rsidP="00097504">
            <w:pPr>
              <w:spacing w:after="120"/>
              <w:jc w:val="center"/>
              <w:rPr>
                <w:rFonts w:eastAsia="Times New Roman" w:cs="Times New Roman"/>
                <w:color w:val="auto"/>
                <w:sz w:val="20"/>
              </w:rPr>
            </w:pPr>
            <w:r w:rsidRPr="00097504">
              <w:rPr>
                <w:sz w:val="20"/>
              </w:rPr>
              <w:t>-</w:t>
            </w:r>
          </w:p>
        </w:tc>
      </w:tr>
      <w:tr w:rsidR="00B834A2" w:rsidRPr="00097504" w14:paraId="2E77B72B" w14:textId="77777777" w:rsidTr="00A84AF4">
        <w:trPr>
          <w:trHeight w:val="528"/>
        </w:trPr>
        <w:tc>
          <w:tcPr>
            <w:tcW w:w="2835" w:type="dxa"/>
            <w:tcBorders>
              <w:top w:val="nil"/>
              <w:left w:val="nil"/>
              <w:bottom w:val="single" w:sz="4" w:space="0" w:color="auto"/>
              <w:right w:val="nil"/>
            </w:tcBorders>
            <w:shd w:val="clear" w:color="auto" w:fill="FFFFFF"/>
            <w:vAlign w:val="bottom"/>
          </w:tcPr>
          <w:p w14:paraId="3FA89840" w14:textId="77777777" w:rsidR="00B834A2" w:rsidRPr="00097504" w:rsidRDefault="00B834A2" w:rsidP="00097504">
            <w:pPr>
              <w:spacing w:after="120"/>
              <w:rPr>
                <w:rFonts w:eastAsia="Times New Roman" w:cs="Times New Roman"/>
                <w:color w:val="auto"/>
                <w:sz w:val="20"/>
              </w:rPr>
            </w:pPr>
            <w:r w:rsidRPr="00097504">
              <w:rPr>
                <w:sz w:val="20"/>
              </w:rPr>
              <w:t>Որոշվող պարունակությունների ընդգրկույթ</w:t>
            </w:r>
          </w:p>
        </w:tc>
        <w:tc>
          <w:tcPr>
            <w:tcW w:w="1985" w:type="dxa"/>
            <w:tcBorders>
              <w:top w:val="nil"/>
              <w:left w:val="nil"/>
              <w:bottom w:val="single" w:sz="4" w:space="0" w:color="auto"/>
              <w:right w:val="nil"/>
            </w:tcBorders>
            <w:shd w:val="clear" w:color="auto" w:fill="FFFFFF"/>
          </w:tcPr>
          <w:p w14:paraId="41E5A4D1" w14:textId="77777777" w:rsidR="00B834A2" w:rsidRPr="00097504" w:rsidRDefault="00B834A2" w:rsidP="00097504">
            <w:pPr>
              <w:spacing w:after="120"/>
              <w:jc w:val="center"/>
              <w:rPr>
                <w:rFonts w:eastAsia="Times New Roman" w:cs="Times New Roman"/>
                <w:color w:val="auto"/>
                <w:sz w:val="20"/>
              </w:rPr>
            </w:pPr>
            <w:r w:rsidRPr="00097504">
              <w:rPr>
                <w:sz w:val="20"/>
              </w:rPr>
              <w:t>+</w:t>
            </w:r>
          </w:p>
        </w:tc>
        <w:tc>
          <w:tcPr>
            <w:tcW w:w="2289" w:type="dxa"/>
            <w:tcBorders>
              <w:top w:val="nil"/>
              <w:left w:val="nil"/>
              <w:bottom w:val="single" w:sz="4" w:space="0" w:color="auto"/>
              <w:right w:val="nil"/>
            </w:tcBorders>
            <w:shd w:val="clear" w:color="auto" w:fill="FFFFFF"/>
          </w:tcPr>
          <w:p w14:paraId="21F0D067" w14:textId="77777777" w:rsidR="00B834A2" w:rsidRPr="00097504" w:rsidRDefault="00B834A2" w:rsidP="00097504">
            <w:pPr>
              <w:spacing w:after="120"/>
              <w:jc w:val="center"/>
              <w:rPr>
                <w:rFonts w:eastAsia="Times New Roman" w:cs="Times New Roman"/>
                <w:color w:val="auto"/>
                <w:sz w:val="20"/>
              </w:rPr>
            </w:pPr>
          </w:p>
        </w:tc>
      </w:tr>
    </w:tbl>
    <w:p w14:paraId="41BAA57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306BA77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Վերիֆիկացումը չի պահանջվում փորձարկման ամենօրյա կատարվող դեղագրքային մեթոդիկաների համար մինչ փորձարկվող նմուշի համար դեղագրքային մեթոդիկայի անընդունելիության մասին տեղեկությունների հայտնվելը:</w:t>
      </w:r>
    </w:p>
    <w:p w14:paraId="2D037DA2"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Հիմնական դեղագրքային մեթոդիկաները ներառում են (սակայն չեն սահմանափակվում դրանցով) չորացման ժամանակ զանգվածում ջրի, ծանր մետաղների, շիկացումից հետո մնացորդի կորստի որոշման մեթոդիկաներ, քիմիական անալիզի, օրինակ՝ թթվային թվի որոշման տարբեր մեթոդիկաներ </w:t>
      </w:r>
      <w:r>
        <w:rPr>
          <w:rFonts w:ascii="Sylfaen" w:hAnsi="Sylfaen"/>
          <w:sz w:val="24"/>
          <w:szCs w:val="24"/>
        </w:rPr>
        <w:t>եւ</w:t>
      </w:r>
      <w:r w:rsidRPr="00B834A2">
        <w:rPr>
          <w:rFonts w:ascii="Sylfaen" w:hAnsi="Sylfaen"/>
          <w:sz w:val="24"/>
          <w:szCs w:val="24"/>
        </w:rPr>
        <w:t xml:space="preserve"> պարզ գործիքային որոշումներ, օրինակ՝ pH-ի չափում: Սակայն, եթե արդեն հայտնի ամենօրյա կատարվող մեթոդիկաներն առաջին անգամ կիրառվում են փորձարկման դեղագրքային օբյեկտների նկատմամբ, առաջարկվում է դիտարկել նմուշների մշակման կամ լուծույթների պատրաստման ցանկացած նոր կամ այլ եղանակի մասով պահանջ:</w:t>
      </w:r>
    </w:p>
    <w:p w14:paraId="79F772AF" w14:textId="77777777" w:rsidR="00B834A2" w:rsidRPr="00B834A2" w:rsidRDefault="00B834A2" w:rsidP="00097504">
      <w:pPr>
        <w:pStyle w:val="a0"/>
        <w:shd w:val="clear" w:color="auto" w:fill="auto"/>
        <w:spacing w:after="160" w:line="346" w:lineRule="auto"/>
        <w:ind w:firstLine="567"/>
        <w:jc w:val="both"/>
        <w:rPr>
          <w:rFonts w:ascii="Sylfaen" w:hAnsi="Sylfaen" w:cs="Sylfaen"/>
          <w:b/>
          <w:bCs/>
          <w:sz w:val="24"/>
          <w:szCs w:val="24"/>
        </w:rPr>
      </w:pPr>
    </w:p>
    <w:p w14:paraId="24F7A4AD" w14:textId="77777777" w:rsidR="001B3D08" w:rsidRDefault="001B3D08">
      <w:pPr>
        <w:rPr>
          <w:rFonts w:eastAsia="Times New Roman" w:cs="Times New Roman"/>
          <w:b/>
          <w:color w:val="auto"/>
          <w:sz w:val="20"/>
        </w:rPr>
      </w:pPr>
      <w:r>
        <w:rPr>
          <w:b/>
        </w:rPr>
        <w:br w:type="page"/>
      </w:r>
    </w:p>
    <w:p w14:paraId="4B75597D" w14:textId="77777777" w:rsidR="00B834A2" w:rsidRPr="00A859E3" w:rsidRDefault="00B834A2" w:rsidP="00294918">
      <w:pPr>
        <w:pStyle w:val="a0"/>
        <w:shd w:val="clear" w:color="auto" w:fill="auto"/>
        <w:spacing w:after="160" w:line="346" w:lineRule="auto"/>
        <w:ind w:firstLine="567"/>
        <w:jc w:val="right"/>
        <w:rPr>
          <w:rFonts w:ascii="Sylfaen" w:hAnsi="Sylfaen"/>
          <w:b/>
          <w:szCs w:val="24"/>
        </w:rPr>
      </w:pPr>
      <w:r w:rsidRPr="00294918">
        <w:rPr>
          <w:rFonts w:ascii="Sylfaen" w:hAnsi="Sylfaen"/>
          <w:b/>
          <w:szCs w:val="24"/>
        </w:rPr>
        <w:lastRenderedPageBreak/>
        <w:t>203160000-2022</w:t>
      </w:r>
    </w:p>
    <w:p w14:paraId="6FF6E5AD" w14:textId="77777777" w:rsidR="00294918" w:rsidRPr="00A859E3" w:rsidRDefault="00294918" w:rsidP="00294918">
      <w:pPr>
        <w:pStyle w:val="a0"/>
        <w:shd w:val="clear" w:color="auto" w:fill="auto"/>
        <w:spacing w:after="160" w:line="346" w:lineRule="auto"/>
        <w:ind w:firstLine="567"/>
        <w:jc w:val="right"/>
        <w:rPr>
          <w:rFonts w:ascii="Sylfaen" w:hAnsi="Sylfaen" w:cs="Sylfaen"/>
          <w:szCs w:val="24"/>
        </w:rPr>
      </w:pPr>
    </w:p>
    <w:p w14:paraId="6DD612CF" w14:textId="77777777" w:rsidR="00B834A2" w:rsidRPr="00A859E3" w:rsidRDefault="00B834A2" w:rsidP="00F634DB">
      <w:pPr>
        <w:pStyle w:val="a0"/>
        <w:shd w:val="clear" w:color="auto" w:fill="auto"/>
        <w:tabs>
          <w:tab w:val="left" w:pos="1701"/>
        </w:tabs>
        <w:spacing w:after="160" w:line="346" w:lineRule="auto"/>
        <w:ind w:firstLine="567"/>
        <w:jc w:val="both"/>
        <w:rPr>
          <w:rFonts w:ascii="Sylfaen" w:hAnsi="Sylfaen"/>
          <w:b/>
          <w:sz w:val="24"/>
          <w:szCs w:val="24"/>
        </w:rPr>
      </w:pPr>
      <w:r w:rsidRPr="00B834A2">
        <w:rPr>
          <w:rFonts w:ascii="Sylfaen" w:hAnsi="Sylfaen"/>
          <w:b/>
          <w:sz w:val="24"/>
          <w:szCs w:val="24"/>
        </w:rPr>
        <w:t>2.3.16.0.</w:t>
      </w:r>
      <w:r w:rsidR="00294918" w:rsidRPr="00A859E3">
        <w:rPr>
          <w:rFonts w:ascii="Sylfaen" w:hAnsi="Sylfaen"/>
          <w:b/>
          <w:sz w:val="24"/>
          <w:szCs w:val="24"/>
        </w:rPr>
        <w:tab/>
      </w:r>
      <w:r w:rsidRPr="00B834A2">
        <w:rPr>
          <w:rFonts w:ascii="Sylfaen" w:hAnsi="Sylfaen"/>
          <w:b/>
          <w:sz w:val="24"/>
          <w:szCs w:val="24"/>
        </w:rPr>
        <w:t>Անալիտիկ մեթոդիկաների տրանսֆեր</w:t>
      </w:r>
    </w:p>
    <w:p w14:paraId="489C7DDE" w14:textId="77777777" w:rsidR="00294918" w:rsidRPr="00A859E3" w:rsidRDefault="00294918" w:rsidP="00294918">
      <w:pPr>
        <w:pStyle w:val="a0"/>
        <w:shd w:val="clear" w:color="auto" w:fill="auto"/>
        <w:tabs>
          <w:tab w:val="left" w:pos="1843"/>
        </w:tabs>
        <w:spacing w:after="160" w:line="346" w:lineRule="auto"/>
        <w:ind w:firstLine="567"/>
        <w:jc w:val="both"/>
        <w:rPr>
          <w:rFonts w:ascii="Sylfaen" w:hAnsi="Sylfaen" w:cs="Sylfaen"/>
          <w:sz w:val="24"/>
          <w:szCs w:val="24"/>
        </w:rPr>
      </w:pPr>
    </w:p>
    <w:p w14:paraId="3695926E"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b/>
          <w:sz w:val="24"/>
          <w:szCs w:val="24"/>
        </w:rPr>
        <w:t>ՆԵՐԱԾՈՒԹՅՈՒՆ</w:t>
      </w:r>
    </w:p>
    <w:p w14:paraId="231F4534"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Անալիտիկ մեթոդիկաների տրանսֆերը (ԱՄՏ) տեխնոլոգիաների տրանսֆերի անքակտելի մասն է </w:t>
      </w:r>
      <w:r>
        <w:rPr>
          <w:rFonts w:ascii="Sylfaen" w:hAnsi="Sylfaen"/>
          <w:sz w:val="24"/>
          <w:szCs w:val="24"/>
        </w:rPr>
        <w:t>եւ</w:t>
      </w:r>
      <w:r w:rsidRPr="00B834A2">
        <w:rPr>
          <w:rFonts w:ascii="Sylfaen" w:hAnsi="Sylfaen"/>
          <w:sz w:val="24"/>
          <w:szCs w:val="24"/>
        </w:rPr>
        <w:t xml:space="preserve"> կարող է իրականացվել մինչ</w:t>
      </w:r>
      <w:r>
        <w:rPr>
          <w:rFonts w:ascii="Sylfaen" w:hAnsi="Sylfaen"/>
          <w:sz w:val="24"/>
          <w:szCs w:val="24"/>
        </w:rPr>
        <w:t>եւ</w:t>
      </w:r>
      <w:r w:rsidRPr="00B834A2">
        <w:rPr>
          <w:rFonts w:ascii="Sylfaen" w:hAnsi="Sylfaen"/>
          <w:sz w:val="24"/>
          <w:szCs w:val="24"/>
        </w:rPr>
        <w:t xml:space="preserve"> տեխնոլոգիաների տրանսֆերը կամ դրա ընթացքում: Ընդ որում, տրանսֆերի համար ենթադրվող անալիտիկ մեթոդիկաները պետք է ներդրվեն լաբորատորիայում առնվազն մինչ նմուշների փորձարկումների սկիզբը՝ ընդունող կողմի կողմից կատարվող տեխնոլոգիական պրոցեսի վալիդացման համար:</w:t>
      </w:r>
    </w:p>
    <w:p w14:paraId="01AE9B0F"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Տրանսֆերի պրոցեսում ներառված փորձարկումները </w:t>
      </w:r>
      <w:r>
        <w:rPr>
          <w:rFonts w:ascii="Sylfaen" w:hAnsi="Sylfaen"/>
          <w:sz w:val="24"/>
          <w:szCs w:val="24"/>
        </w:rPr>
        <w:t>եւ</w:t>
      </w:r>
      <w:r w:rsidRPr="00B834A2">
        <w:rPr>
          <w:rFonts w:ascii="Sylfaen" w:hAnsi="Sylfaen"/>
          <w:sz w:val="24"/>
          <w:szCs w:val="24"/>
        </w:rPr>
        <w:t xml:space="preserve"> անալիտիկ մեթոդիկաները, տրանսֆերի մասով գործունեության մասշտաբները </w:t>
      </w:r>
      <w:r>
        <w:rPr>
          <w:rFonts w:ascii="Sylfaen" w:hAnsi="Sylfaen"/>
          <w:sz w:val="24"/>
          <w:szCs w:val="24"/>
        </w:rPr>
        <w:t>եւ</w:t>
      </w:r>
      <w:r w:rsidRPr="00B834A2">
        <w:rPr>
          <w:rFonts w:ascii="Sylfaen" w:hAnsi="Sylfaen"/>
          <w:sz w:val="24"/>
          <w:szCs w:val="24"/>
        </w:rPr>
        <w:t xml:space="preserve"> դրա իրականացման ռազմավարությունը պետք է հիմնված լինեն ռիսկերի անալիզի վրա՝ հաշվի առնելով ընդունող կողմի նախորդող փորձը </w:t>
      </w:r>
      <w:r>
        <w:rPr>
          <w:rFonts w:ascii="Sylfaen" w:hAnsi="Sylfaen"/>
          <w:sz w:val="24"/>
          <w:szCs w:val="24"/>
        </w:rPr>
        <w:t>եւ</w:t>
      </w:r>
      <w:r w:rsidRPr="00B834A2">
        <w:rPr>
          <w:rFonts w:ascii="Sylfaen" w:hAnsi="Sylfaen"/>
          <w:sz w:val="24"/>
          <w:szCs w:val="24"/>
        </w:rPr>
        <w:t xml:space="preserve"> գիտելիքները, նմուշի բարդությունը, որակի մասնագրերը, ինչպես նա</w:t>
      </w:r>
      <w:r>
        <w:rPr>
          <w:rFonts w:ascii="Sylfaen" w:hAnsi="Sylfaen"/>
          <w:sz w:val="24"/>
          <w:szCs w:val="24"/>
        </w:rPr>
        <w:t>եւ</w:t>
      </w:r>
      <w:r w:rsidRPr="00B834A2">
        <w:rPr>
          <w:rFonts w:ascii="Sylfaen" w:hAnsi="Sylfaen"/>
          <w:sz w:val="24"/>
          <w:szCs w:val="24"/>
        </w:rPr>
        <w:t xml:space="preserve"> անալիտիկ մեթոդիկայի բարդությունը:</w:t>
      </w:r>
    </w:p>
    <w:p w14:paraId="227F46A6"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ԱՄՏ-ն պետք է ընդգրկի փոխանցվող դեղապատրաստուկի՝ դրա որակի մասնագրին </w:t>
      </w:r>
      <w:r>
        <w:rPr>
          <w:rFonts w:ascii="Sylfaen" w:hAnsi="Sylfaen"/>
          <w:sz w:val="24"/>
          <w:szCs w:val="24"/>
        </w:rPr>
        <w:t>եւ</w:t>
      </w:r>
      <w:r w:rsidRPr="00B834A2">
        <w:rPr>
          <w:rFonts w:ascii="Sylfaen" w:hAnsi="Sylfaen"/>
          <w:sz w:val="24"/>
          <w:szCs w:val="24"/>
        </w:rPr>
        <w:t xml:space="preserve"> որակի մասով նորմատիվ փաստաթղթին համապատասխանության հաստատման համար անհրաժեշտ անալիտիկ փորձարկումների ամբողջ ծավալը:</w:t>
      </w:r>
    </w:p>
    <w:p w14:paraId="07C60AA1"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ԱՄՏ-ն տարածվում է հետ</w:t>
      </w:r>
      <w:r>
        <w:rPr>
          <w:rFonts w:ascii="Sylfaen" w:hAnsi="Sylfaen"/>
          <w:sz w:val="24"/>
          <w:szCs w:val="24"/>
        </w:rPr>
        <w:t>եւ</w:t>
      </w:r>
      <w:r w:rsidRPr="00B834A2">
        <w:rPr>
          <w:rFonts w:ascii="Sylfaen" w:hAnsi="Sylfaen"/>
          <w:sz w:val="24"/>
          <w:szCs w:val="24"/>
        </w:rPr>
        <w:t>յալ փորձարկումների վրա.</w:t>
      </w:r>
    </w:p>
    <w:p w14:paraId="53926F12"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ակտիվ դեղագործական բաղադրամասեր.</w:t>
      </w:r>
    </w:p>
    <w:p w14:paraId="33BBE24D"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չբաժնեծրարված արտադրանք.</w:t>
      </w:r>
    </w:p>
    <w:p w14:paraId="49E578DE"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դեղապատրաստուկներ.</w:t>
      </w:r>
    </w:p>
    <w:p w14:paraId="035AAEC6"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միջանկյալ արտադրանք.</w:t>
      </w:r>
    </w:p>
    <w:p w14:paraId="48EF9867"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lastRenderedPageBreak/>
        <w:t>ակտիվ դեղագործական բաղադրամասերի արտադրության համար ելանյութեր.</w:t>
      </w:r>
    </w:p>
    <w:p w14:paraId="2AB68348"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օժանդակ նյութեր.</w:t>
      </w:r>
    </w:p>
    <w:p w14:paraId="36D72F28"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մաքրում անցկացնելուց հետո նյութերի մնացորդային քանակությունների որոշման համար մաքրման նմուշներ:</w:t>
      </w:r>
    </w:p>
    <w:p w14:paraId="7838EEBD"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Որպես կանոն, դեղագրքային մեթոդիկաների համար չի պահանջվում անալիտիկ տրանսֆերի անցկացում, սակայն առանձին դեպքերում, երբ բացակայում է դրանց մանրամասն նկարագրությունը կամ ճիշտ արդյունքների ստացման համար պահանջվող կրիտիկական պարամետրերը, տրանսֆերը կարող</w:t>
      </w:r>
      <w:r w:rsidR="00294918" w:rsidRPr="00294918">
        <w:rPr>
          <w:rFonts w:ascii="Sylfaen" w:hAnsi="Sylfaen"/>
          <w:sz w:val="24"/>
          <w:szCs w:val="24"/>
        </w:rPr>
        <w:t> </w:t>
      </w:r>
      <w:r w:rsidRPr="00B834A2">
        <w:rPr>
          <w:rFonts w:ascii="Sylfaen" w:hAnsi="Sylfaen"/>
          <w:sz w:val="24"/>
          <w:szCs w:val="24"/>
        </w:rPr>
        <w:t>է իրականացվել վերիֆիկացման միջոցով:</w:t>
      </w:r>
    </w:p>
    <w:p w14:paraId="3B2BC75D"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Տվյալ ընդհանուր դեղագրքային հոդվածի դրույթները չեն տարածվում վիճակագրական մեթոդների վրա </w:t>
      </w:r>
      <w:r>
        <w:rPr>
          <w:rFonts w:ascii="Sylfaen" w:hAnsi="Sylfaen"/>
          <w:sz w:val="24"/>
          <w:szCs w:val="24"/>
        </w:rPr>
        <w:t>եւ</w:t>
      </w:r>
      <w:r w:rsidRPr="00B834A2">
        <w:rPr>
          <w:rFonts w:ascii="Sylfaen" w:hAnsi="Sylfaen"/>
          <w:sz w:val="24"/>
          <w:szCs w:val="24"/>
        </w:rPr>
        <w:t xml:space="preserve"> չեն ներառում փորձարկումների մանրէաբանական </w:t>
      </w:r>
      <w:r>
        <w:rPr>
          <w:rFonts w:ascii="Sylfaen" w:hAnsi="Sylfaen"/>
          <w:sz w:val="24"/>
          <w:szCs w:val="24"/>
        </w:rPr>
        <w:t>եւ</w:t>
      </w:r>
      <w:r w:rsidRPr="00B834A2">
        <w:rPr>
          <w:rFonts w:ascii="Sylfaen" w:hAnsi="Sylfaen"/>
          <w:sz w:val="24"/>
          <w:szCs w:val="24"/>
        </w:rPr>
        <w:t xml:space="preserve"> կենսաբանական մեթոդիկաների տրանսֆեր: Բերվում են դեղամիջոցների մանրէաբանական մաքրության մասով փորձարկումների մեթոդիկաների տրանսֆերի մասով առանձին ցուցումներ: </w:t>
      </w:r>
    </w:p>
    <w:p w14:paraId="198C1A9F"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Որոշ դեպքերում թույլատրվում է չանցկացնել ԱՄՏ, իսկ ընդունող կողմը կարող է որակավորվել առանց համեմատական փորձարկումների անցկացման անալիտիկ մեթոդիկաներ կատարելու համար: </w:t>
      </w:r>
    </w:p>
    <w:p w14:paraId="2EE6057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ԱՄՏ-ից հրաժարումը ներառում է հետ</w:t>
      </w:r>
      <w:r>
        <w:rPr>
          <w:rFonts w:ascii="Sylfaen" w:hAnsi="Sylfaen"/>
          <w:sz w:val="24"/>
          <w:szCs w:val="24"/>
        </w:rPr>
        <w:t>եւ</w:t>
      </w:r>
      <w:r w:rsidRPr="00B834A2">
        <w:rPr>
          <w:rFonts w:ascii="Sylfaen" w:hAnsi="Sylfaen"/>
          <w:sz w:val="24"/>
          <w:szCs w:val="24"/>
        </w:rPr>
        <w:t>յալ դեպքերը, սակայն չի սահմանափակվում դրանցով.</w:t>
      </w:r>
    </w:p>
    <w:p w14:paraId="496BF5C0" w14:textId="77777777" w:rsidR="00B834A2" w:rsidRPr="00B834A2" w:rsidRDefault="00B834A2" w:rsidP="00B834A2">
      <w:pPr>
        <w:spacing w:after="160" w:line="360" w:lineRule="auto"/>
        <w:ind w:firstLine="567"/>
        <w:jc w:val="both"/>
      </w:pPr>
      <w:r w:rsidRPr="00B834A2">
        <w:t xml:space="preserve">ընդունող կողմն ունի ԱՄՏ-ի համար օգտագործվող անալիտիկ մեթոդիկաների կատարման մասով էական փորձ </w:t>
      </w:r>
      <w:r>
        <w:t>եւ</w:t>
      </w:r>
      <w:r w:rsidRPr="00B834A2">
        <w:t xml:space="preserve"> գիտելիքներ. </w:t>
      </w:r>
    </w:p>
    <w:p w14:paraId="4DBFB2F2" w14:textId="77777777" w:rsidR="00B834A2"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տրանսֆերի համար նախատեսված անալիտիկ մեթոդիկան օգտագործվում է ընդունող կողմի կողմից դեղապատրաստուկի որակի հսկողության համար, որն ունի նման կազմություն կամ ազդող նյութի այլ կոնցենտրացիա՝ փոխանցող կողմում դեղապատրաստուկի հետ համեմատած. </w:t>
      </w:r>
    </w:p>
    <w:p w14:paraId="4E40D2D8" w14:textId="77777777" w:rsidR="001B3D08" w:rsidRPr="00D35F34" w:rsidRDefault="001B3D08" w:rsidP="00B834A2">
      <w:pPr>
        <w:pStyle w:val="a0"/>
        <w:shd w:val="clear" w:color="auto" w:fill="auto"/>
        <w:spacing w:after="160" w:line="360" w:lineRule="auto"/>
        <w:ind w:firstLine="567"/>
        <w:jc w:val="both"/>
        <w:rPr>
          <w:rFonts w:ascii="Sylfaen" w:hAnsi="Sylfaen" w:cs="Sylfaen"/>
          <w:sz w:val="24"/>
          <w:szCs w:val="24"/>
        </w:rPr>
      </w:pPr>
    </w:p>
    <w:p w14:paraId="27E575A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տրանսֆերի համար նախատեսված անալիտիկ մեթոդիկան նկարագրված է մեկ կամ մի քանի դեղագրքերում </w:t>
      </w:r>
      <w:r>
        <w:rPr>
          <w:rFonts w:ascii="Sylfaen" w:hAnsi="Sylfaen"/>
          <w:sz w:val="24"/>
          <w:szCs w:val="24"/>
        </w:rPr>
        <w:t>եւ</w:t>
      </w:r>
      <w:r w:rsidRPr="00B834A2">
        <w:rPr>
          <w:rFonts w:ascii="Sylfaen" w:hAnsi="Sylfaen"/>
          <w:sz w:val="24"/>
          <w:szCs w:val="24"/>
        </w:rPr>
        <w:t xml:space="preserve"> չի ենթարկվել փոփոխությունների, ինչը պահանջում է ընդունող կողմի կողմից միայն դրա վերիֆիկացման անցկացում.</w:t>
      </w:r>
    </w:p>
    <w:p w14:paraId="28DF183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տրանսֆերի համար նախատեսված անալիտիկ մեթոդիկան նույնն է կամ ներառում է ընդունող կողմի կողմից լաբորատորիայում օգտագործվող աննշան փոփոխությունները, որոնք չեն ազդում դրա կատարման վրա (օրինակ՝ նմուշների պատրաստման ընթացակարգերում փոփոխությունները կամ հաշվարկի բանաձ</w:t>
      </w:r>
      <w:r>
        <w:rPr>
          <w:rFonts w:ascii="Sylfaen" w:hAnsi="Sylfaen"/>
          <w:sz w:val="24"/>
          <w:szCs w:val="24"/>
        </w:rPr>
        <w:t>եւ</w:t>
      </w:r>
      <w:r w:rsidRPr="00B834A2">
        <w:rPr>
          <w:rFonts w:ascii="Sylfaen" w:hAnsi="Sylfaen"/>
          <w:sz w:val="24"/>
          <w:szCs w:val="24"/>
        </w:rPr>
        <w:t>երում փոփոխությունները).</w:t>
      </w:r>
    </w:p>
    <w:p w14:paraId="11B1486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մշակման, վալիդացման կամ ամենօրյա վերահսկման համար պատասխանատու փոխանցող կողմից անձնակազմն անցնում է ընդունող կողմի լաբորատորիայում աշխատանքի:</w:t>
      </w:r>
    </w:p>
    <w:p w14:paraId="59328CE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ԱՄՏ-ից հրաժարումը պետք է հիմնավորի ընդունող կողմը, </w:t>
      </w:r>
      <w:r>
        <w:rPr>
          <w:rFonts w:ascii="Sylfaen" w:hAnsi="Sylfaen"/>
          <w:sz w:val="24"/>
          <w:szCs w:val="24"/>
        </w:rPr>
        <w:t>եւ</w:t>
      </w:r>
      <w:r w:rsidRPr="00B834A2">
        <w:rPr>
          <w:rFonts w:ascii="Sylfaen" w:hAnsi="Sylfaen"/>
          <w:sz w:val="24"/>
          <w:szCs w:val="24"/>
        </w:rPr>
        <w:t xml:space="preserve"> այն պետք է արտացոլվի համապատասխան փաստաթղթերում (օրինակ՝ ԱՄՏ-ի համար ռիսկերի անալիզի պլանում կամ ԱՄՏ-ի աշխատակարգում):</w:t>
      </w:r>
    </w:p>
    <w:p w14:paraId="03534C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2DB770F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ԵԶՐՈՒՅԹՆԵՐ ԵՒ ՍԱՀՄԱՆՈՒՄՆԵՐ</w:t>
      </w:r>
    </w:p>
    <w:p w14:paraId="717517D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Սույն ընդհանուր դեղագրքային հոդվածում օգտագործում են հետ</w:t>
      </w:r>
      <w:r>
        <w:rPr>
          <w:rFonts w:ascii="Sylfaen" w:hAnsi="Sylfaen"/>
          <w:sz w:val="24"/>
          <w:szCs w:val="24"/>
        </w:rPr>
        <w:t>եւ</w:t>
      </w:r>
      <w:r w:rsidRPr="00B834A2">
        <w:rPr>
          <w:rFonts w:ascii="Sylfaen" w:hAnsi="Sylfaen"/>
          <w:sz w:val="24"/>
          <w:szCs w:val="24"/>
        </w:rPr>
        <w:t>յալ հասկացությունները.</w:t>
      </w:r>
    </w:p>
    <w:p w14:paraId="34212DE3"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ԱՄՏ-ի մասին հաշվետվություն՝ ԱՄՏ-ի արդյունքներ պարունակող փաստաթուղթ, ներառյալ՝ ԱՄՏ աշխատակարգում հայտարարված ընդունելիության չափորոշիչների կամ անհրաժեշտության դեպքում՝ լրացուցիչ գործողությունների կատարման գնահատականը:</w:t>
      </w:r>
    </w:p>
    <w:p w14:paraId="77EA24B8" w14:textId="77777777" w:rsidR="00B834A2" w:rsidRPr="00B834A2" w:rsidRDefault="00B834A2" w:rsidP="00097504">
      <w:pPr>
        <w:pStyle w:val="a0"/>
        <w:shd w:val="clear" w:color="auto" w:fill="auto"/>
        <w:spacing w:after="160" w:line="346" w:lineRule="auto"/>
        <w:ind w:firstLine="567"/>
        <w:jc w:val="both"/>
        <w:rPr>
          <w:rFonts w:ascii="Sylfaen" w:hAnsi="Sylfaen"/>
          <w:sz w:val="24"/>
          <w:szCs w:val="24"/>
        </w:rPr>
      </w:pPr>
      <w:r w:rsidRPr="00B834A2">
        <w:rPr>
          <w:rFonts w:ascii="Sylfaen" w:hAnsi="Sylfaen"/>
          <w:sz w:val="24"/>
          <w:szCs w:val="24"/>
        </w:rPr>
        <w:t>Փոխանցող կողմ՝ կազմակերպություն կամ ստորաբաժանում, որն իրականացնում է ԱՄՏ՝ դեղամիջոցի փոխանցման համար:</w:t>
      </w:r>
    </w:p>
    <w:p w14:paraId="6C8F9D14" w14:textId="77777777" w:rsidR="00B834A2" w:rsidRPr="00B834A2" w:rsidRDefault="00B834A2" w:rsidP="00097504">
      <w:pPr>
        <w:pStyle w:val="a0"/>
        <w:shd w:val="clear" w:color="auto" w:fill="auto"/>
        <w:spacing w:after="160" w:line="346" w:lineRule="auto"/>
        <w:ind w:firstLine="567"/>
        <w:jc w:val="both"/>
        <w:rPr>
          <w:rFonts w:ascii="Sylfaen" w:hAnsi="Sylfaen"/>
          <w:sz w:val="24"/>
          <w:szCs w:val="24"/>
        </w:rPr>
      </w:pPr>
      <w:r w:rsidRPr="00B834A2">
        <w:rPr>
          <w:rFonts w:ascii="Sylfaen" w:hAnsi="Sylfaen"/>
          <w:sz w:val="24"/>
          <w:szCs w:val="24"/>
        </w:rPr>
        <w:t>Ընդունող կողմ՝ կազմակերպություն կամ ստորաբաժանում, որոնցում իրականացվում է ԱՄՏ՝ դեղամիջոցի փոխանցման համար:</w:t>
      </w:r>
    </w:p>
    <w:p w14:paraId="5C89FA61" w14:textId="77777777" w:rsidR="00B834A2" w:rsidRPr="00B834A2" w:rsidRDefault="00B834A2" w:rsidP="00097504">
      <w:pPr>
        <w:pStyle w:val="a0"/>
        <w:shd w:val="clear" w:color="auto" w:fill="auto"/>
        <w:spacing w:after="160" w:line="346" w:lineRule="auto"/>
        <w:ind w:firstLine="567"/>
        <w:jc w:val="both"/>
        <w:rPr>
          <w:rFonts w:ascii="Sylfaen" w:hAnsi="Sylfaen"/>
          <w:sz w:val="24"/>
          <w:szCs w:val="24"/>
        </w:rPr>
      </w:pPr>
      <w:r w:rsidRPr="00B834A2">
        <w:rPr>
          <w:rFonts w:ascii="Sylfaen" w:hAnsi="Sylfaen"/>
          <w:sz w:val="24"/>
          <w:szCs w:val="24"/>
        </w:rPr>
        <w:lastRenderedPageBreak/>
        <w:t xml:space="preserve">ԱՄՏ-ի աշխատակարգ՝ ԱՄՏ-ի նպատակների, խնդիրների, կիրառման ոլորտի, իրականացման գործընթացի մասին տեղեկատվություն պարունակող </w:t>
      </w:r>
      <w:r>
        <w:rPr>
          <w:rFonts w:ascii="Sylfaen" w:hAnsi="Sylfaen"/>
          <w:sz w:val="24"/>
          <w:szCs w:val="24"/>
        </w:rPr>
        <w:t>եւ</w:t>
      </w:r>
      <w:r w:rsidRPr="00B834A2">
        <w:rPr>
          <w:rFonts w:ascii="Sylfaen" w:hAnsi="Sylfaen"/>
          <w:sz w:val="24"/>
          <w:szCs w:val="24"/>
        </w:rPr>
        <w:t xml:space="preserve"> կատարվող պահանջների մասով կողմերի միջ</w:t>
      </w:r>
      <w:r>
        <w:rPr>
          <w:rFonts w:ascii="Sylfaen" w:hAnsi="Sylfaen"/>
          <w:sz w:val="24"/>
          <w:szCs w:val="24"/>
        </w:rPr>
        <w:t>եւ</w:t>
      </w:r>
      <w:r w:rsidRPr="00B834A2">
        <w:rPr>
          <w:rFonts w:ascii="Sylfaen" w:hAnsi="Sylfaen"/>
          <w:sz w:val="24"/>
          <w:szCs w:val="24"/>
        </w:rPr>
        <w:t xml:space="preserve"> համաձայնեցում </w:t>
      </w:r>
      <w:r>
        <w:rPr>
          <w:rFonts w:ascii="Sylfaen" w:hAnsi="Sylfaen"/>
          <w:sz w:val="24"/>
          <w:szCs w:val="24"/>
        </w:rPr>
        <w:t>եւ</w:t>
      </w:r>
      <w:r w:rsidRPr="00B834A2">
        <w:rPr>
          <w:rFonts w:ascii="Sylfaen" w:hAnsi="Sylfaen"/>
          <w:sz w:val="24"/>
          <w:szCs w:val="24"/>
        </w:rPr>
        <w:t xml:space="preserve"> դրանց պատասխանատվությունն արտահայտող փաստաթուղթ:</w:t>
      </w:r>
    </w:p>
    <w:p w14:paraId="34574DA8" w14:textId="77777777" w:rsidR="00B834A2" w:rsidRPr="00B834A2" w:rsidRDefault="00B834A2" w:rsidP="00097504">
      <w:pPr>
        <w:pStyle w:val="a0"/>
        <w:shd w:val="clear" w:color="auto" w:fill="auto"/>
        <w:spacing w:after="160" w:line="346" w:lineRule="auto"/>
        <w:ind w:firstLine="567"/>
        <w:jc w:val="both"/>
        <w:rPr>
          <w:rFonts w:ascii="Sylfaen" w:hAnsi="Sylfaen"/>
          <w:sz w:val="24"/>
          <w:szCs w:val="24"/>
        </w:rPr>
      </w:pPr>
      <w:r w:rsidRPr="00B834A2">
        <w:rPr>
          <w:rFonts w:ascii="Sylfaen" w:hAnsi="Sylfaen"/>
          <w:sz w:val="24"/>
          <w:szCs w:val="24"/>
        </w:rPr>
        <w:t xml:space="preserve">Անալիտիկ մեթոդիկաների տրանսֆեր (ԱՄՏ)՝ ընդունող կողմում որակի վերահսկման նպատակներով անալիտիկ մեթոդիկաների փոխանցման, ներդրման </w:t>
      </w:r>
      <w:r>
        <w:rPr>
          <w:rFonts w:ascii="Sylfaen" w:hAnsi="Sylfaen"/>
          <w:sz w:val="24"/>
          <w:szCs w:val="24"/>
        </w:rPr>
        <w:t>եւ</w:t>
      </w:r>
      <w:r w:rsidRPr="00B834A2">
        <w:rPr>
          <w:rFonts w:ascii="Sylfaen" w:hAnsi="Sylfaen"/>
          <w:sz w:val="24"/>
          <w:szCs w:val="24"/>
        </w:rPr>
        <w:t xml:space="preserve"> պիտանիության գնահատմանն ուղղված՝ փաստաթղթերով ձ</w:t>
      </w:r>
      <w:r>
        <w:rPr>
          <w:rFonts w:ascii="Sylfaen" w:hAnsi="Sylfaen"/>
          <w:sz w:val="24"/>
          <w:szCs w:val="24"/>
        </w:rPr>
        <w:t>եւ</w:t>
      </w:r>
      <w:r w:rsidRPr="00B834A2">
        <w:rPr>
          <w:rFonts w:ascii="Sylfaen" w:hAnsi="Sylfaen"/>
          <w:sz w:val="24"/>
          <w:szCs w:val="24"/>
        </w:rPr>
        <w:t xml:space="preserve">ակերպված գործընթաց: </w:t>
      </w:r>
    </w:p>
    <w:p w14:paraId="144AE786" w14:textId="77777777" w:rsidR="00B834A2" w:rsidRPr="00B834A2" w:rsidRDefault="00B834A2" w:rsidP="00097504">
      <w:pPr>
        <w:pStyle w:val="a0"/>
        <w:shd w:val="clear" w:color="auto" w:fill="auto"/>
        <w:spacing w:after="160" w:line="346" w:lineRule="auto"/>
        <w:ind w:firstLine="567"/>
        <w:jc w:val="both"/>
        <w:rPr>
          <w:rFonts w:ascii="Sylfaen" w:hAnsi="Sylfaen"/>
          <w:sz w:val="24"/>
          <w:szCs w:val="24"/>
        </w:rPr>
      </w:pPr>
      <w:r w:rsidRPr="00B834A2">
        <w:rPr>
          <w:rFonts w:ascii="Sylfaen" w:hAnsi="Sylfaen"/>
          <w:sz w:val="24"/>
          <w:szCs w:val="24"/>
        </w:rPr>
        <w:t>Տեխնոլոգիաների տրանսֆեր՝ պատրաստի արտադրանքի արտադրության համար, դրա ենթադրվող կիրառմանը համապատասխան, մշակողներից արտադրողներին, ինչպես նա</w:t>
      </w:r>
      <w:r>
        <w:rPr>
          <w:rFonts w:ascii="Sylfaen" w:hAnsi="Sylfaen"/>
          <w:sz w:val="24"/>
          <w:szCs w:val="24"/>
        </w:rPr>
        <w:t>եւ</w:t>
      </w:r>
      <w:r w:rsidRPr="00B834A2">
        <w:rPr>
          <w:rFonts w:ascii="Sylfaen" w:hAnsi="Sylfaen"/>
          <w:sz w:val="24"/>
          <w:szCs w:val="24"/>
        </w:rPr>
        <w:t xml:space="preserve"> արտադրական հարթակների միջ</w:t>
      </w:r>
      <w:r>
        <w:rPr>
          <w:rFonts w:ascii="Sylfaen" w:hAnsi="Sylfaen"/>
          <w:sz w:val="24"/>
          <w:szCs w:val="24"/>
        </w:rPr>
        <w:t>եւ</w:t>
      </w:r>
      <w:r w:rsidRPr="00B834A2">
        <w:rPr>
          <w:rFonts w:ascii="Sylfaen" w:hAnsi="Sylfaen"/>
          <w:sz w:val="24"/>
          <w:szCs w:val="24"/>
        </w:rPr>
        <w:t xml:space="preserve"> իրականացվող՝ գիտելիքների, գիտական հետազոտությունների արդյունքների, նոր տեխնոլոգիաների </w:t>
      </w:r>
      <w:r>
        <w:rPr>
          <w:rFonts w:ascii="Sylfaen" w:hAnsi="Sylfaen"/>
          <w:sz w:val="24"/>
          <w:szCs w:val="24"/>
        </w:rPr>
        <w:t>եւ</w:t>
      </w:r>
      <w:r w:rsidRPr="00B834A2">
        <w:rPr>
          <w:rFonts w:ascii="Sylfaen" w:hAnsi="Sylfaen"/>
          <w:sz w:val="24"/>
          <w:szCs w:val="24"/>
        </w:rPr>
        <w:t xml:space="preserve"> մշակումների փոխանցմանը, ներդրմանը </w:t>
      </w:r>
      <w:r>
        <w:rPr>
          <w:rFonts w:ascii="Sylfaen" w:hAnsi="Sylfaen"/>
          <w:sz w:val="24"/>
          <w:szCs w:val="24"/>
        </w:rPr>
        <w:t>եւ</w:t>
      </w:r>
      <w:r w:rsidRPr="00B834A2">
        <w:rPr>
          <w:rFonts w:ascii="Sylfaen" w:hAnsi="Sylfaen"/>
          <w:sz w:val="24"/>
          <w:szCs w:val="24"/>
        </w:rPr>
        <w:t xml:space="preserve"> ադապտացմանն ուղղված՝ փաստաթղթերով ձ</w:t>
      </w:r>
      <w:r>
        <w:rPr>
          <w:rFonts w:ascii="Sylfaen" w:hAnsi="Sylfaen"/>
          <w:sz w:val="24"/>
          <w:szCs w:val="24"/>
        </w:rPr>
        <w:t>եւ</w:t>
      </w:r>
      <w:r w:rsidRPr="00B834A2">
        <w:rPr>
          <w:rFonts w:ascii="Sylfaen" w:hAnsi="Sylfaen"/>
          <w:sz w:val="24"/>
          <w:szCs w:val="24"/>
        </w:rPr>
        <w:t xml:space="preserve">ակերպված գործընթաց: Նշված գիտելիքները կազմում են արտադրության պրոցեսի, վերահսկման ռազմավարության, վալիդացման </w:t>
      </w:r>
      <w:r>
        <w:rPr>
          <w:rFonts w:ascii="Sylfaen" w:hAnsi="Sylfaen"/>
          <w:sz w:val="24"/>
          <w:szCs w:val="24"/>
        </w:rPr>
        <w:t>եւ</w:t>
      </w:r>
      <w:r w:rsidRPr="00B834A2">
        <w:rPr>
          <w:rFonts w:ascii="Sylfaen" w:hAnsi="Sylfaen"/>
          <w:sz w:val="24"/>
          <w:szCs w:val="24"/>
        </w:rPr>
        <w:t xml:space="preserve"> անընդհատ բարելավման գործընթացի նկատմամբ մոտեցման հիմքը:</w:t>
      </w:r>
      <w:r>
        <w:rPr>
          <w:rFonts w:ascii="Sylfaen" w:hAnsi="Sylfaen"/>
          <w:sz w:val="24"/>
          <w:szCs w:val="24"/>
        </w:rPr>
        <w:t xml:space="preserve"> </w:t>
      </w:r>
    </w:p>
    <w:p w14:paraId="18A0A9B8"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ԱՄՏ-ի փորձարարական պլան՝ փորձարկումների անցկացման պլան, որը ներառում է ՎՄՏ-ի ժամանակ էական փոփոխությունների ենթարկված որակի ցուցանիշները, ՎՄՏ-ի ժամանակ դիտարկվող ասպեկտները, փորձարկումների անցկացման պայմանները </w:t>
      </w:r>
      <w:r>
        <w:rPr>
          <w:rFonts w:ascii="Sylfaen" w:hAnsi="Sylfaen"/>
          <w:sz w:val="24"/>
          <w:szCs w:val="24"/>
        </w:rPr>
        <w:t>եւ</w:t>
      </w:r>
      <w:r w:rsidRPr="00B834A2">
        <w:rPr>
          <w:rFonts w:ascii="Sylfaen" w:hAnsi="Sylfaen"/>
          <w:sz w:val="24"/>
          <w:szCs w:val="24"/>
        </w:rPr>
        <w:t xml:space="preserve"> դրանց քանակը, ինչպես նա</w:t>
      </w:r>
      <w:r>
        <w:rPr>
          <w:rFonts w:ascii="Sylfaen" w:hAnsi="Sylfaen"/>
          <w:sz w:val="24"/>
          <w:szCs w:val="24"/>
        </w:rPr>
        <w:t>եւ</w:t>
      </w:r>
      <w:r w:rsidRPr="00B834A2">
        <w:rPr>
          <w:rFonts w:ascii="Sylfaen" w:hAnsi="Sylfaen"/>
          <w:sz w:val="24"/>
          <w:szCs w:val="24"/>
        </w:rPr>
        <w:t xml:space="preserve"> բոլոր փորձարկումների </w:t>
      </w:r>
      <w:r>
        <w:rPr>
          <w:rFonts w:ascii="Sylfaen" w:hAnsi="Sylfaen"/>
          <w:sz w:val="24"/>
          <w:szCs w:val="24"/>
        </w:rPr>
        <w:t>եւ</w:t>
      </w:r>
      <w:r w:rsidRPr="00B834A2">
        <w:rPr>
          <w:rFonts w:ascii="Sylfaen" w:hAnsi="Sylfaen"/>
          <w:sz w:val="24"/>
          <w:szCs w:val="24"/>
        </w:rPr>
        <w:t xml:space="preserve"> (կամ) ՎՄՏ գործընթացում ներառված անալիտիկ մեթոդիկաների համար չափորոշիչները: </w:t>
      </w:r>
    </w:p>
    <w:p w14:paraId="669BA77F"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p>
    <w:p w14:paraId="7C75A10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 xml:space="preserve">ԱՆԱԼԻՏԻԿ ՄԵԹՈԴԻԿԱՆԵՐԻ ՏՐԱՆՍՖԵՐԻ ՏԵՍԱԿՆԵՐԸ </w:t>
      </w:r>
    </w:p>
    <w:p w14:paraId="47B081D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ԱՄՏ-ն կարող է իրականացվել </w:t>
      </w:r>
      <w:r>
        <w:rPr>
          <w:rFonts w:ascii="Sylfaen" w:hAnsi="Sylfaen"/>
          <w:sz w:val="24"/>
          <w:szCs w:val="24"/>
        </w:rPr>
        <w:t>եւ</w:t>
      </w:r>
      <w:r w:rsidRPr="00B834A2">
        <w:rPr>
          <w:rFonts w:ascii="Sylfaen" w:hAnsi="Sylfaen"/>
          <w:sz w:val="24"/>
          <w:szCs w:val="24"/>
        </w:rPr>
        <w:t xml:space="preserve"> հաստատվել.</w:t>
      </w:r>
    </w:p>
    <w:p w14:paraId="5971AA0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փոխանցող կողմի </w:t>
      </w:r>
      <w:r>
        <w:rPr>
          <w:rFonts w:ascii="Sylfaen" w:hAnsi="Sylfaen"/>
          <w:sz w:val="24"/>
          <w:szCs w:val="24"/>
        </w:rPr>
        <w:t>եւ</w:t>
      </w:r>
      <w:r w:rsidRPr="00B834A2">
        <w:rPr>
          <w:rFonts w:ascii="Sylfaen" w:hAnsi="Sylfaen"/>
          <w:sz w:val="24"/>
          <w:szCs w:val="24"/>
        </w:rPr>
        <w:t xml:space="preserve"> ընդունող կողմի կողմից համեմատական փորձարկումների անցկացմամբ (անկախ խաչաձ</w:t>
      </w:r>
      <w:r>
        <w:rPr>
          <w:rFonts w:ascii="Sylfaen" w:hAnsi="Sylfaen"/>
          <w:sz w:val="24"/>
          <w:szCs w:val="24"/>
        </w:rPr>
        <w:t>եւ</w:t>
      </w:r>
      <w:r w:rsidRPr="00B834A2">
        <w:rPr>
          <w:rFonts w:ascii="Sylfaen" w:hAnsi="Sylfaen"/>
          <w:sz w:val="24"/>
          <w:szCs w:val="24"/>
        </w:rPr>
        <w:t xml:space="preserve"> փորձարկումներ).</w:t>
      </w:r>
    </w:p>
    <w:p w14:paraId="7894029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երկու կամ մի քանի լաբորատորիաներում համատեղ վալիդացմամբ.</w:t>
      </w:r>
    </w:p>
    <w:p w14:paraId="6133477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ընդունող կողմի կողմից անալիտիկ մեթոդիկաների կրկնակի վալիդացմամբ (վերավալիդացմամբ):</w:t>
      </w:r>
    </w:p>
    <w:p w14:paraId="0749BBD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Համեմատական փորձարկումներ:</w:t>
      </w:r>
      <w:r>
        <w:rPr>
          <w:rFonts w:ascii="Sylfaen" w:hAnsi="Sylfaen"/>
          <w:b/>
          <w:sz w:val="24"/>
          <w:szCs w:val="24"/>
        </w:rPr>
        <w:t xml:space="preserve"> </w:t>
      </w:r>
      <w:r w:rsidRPr="00B834A2">
        <w:rPr>
          <w:rFonts w:ascii="Sylfaen" w:hAnsi="Sylfaen"/>
          <w:sz w:val="24"/>
          <w:szCs w:val="24"/>
        </w:rPr>
        <w:t>Համեմատական փորձարկումներն անցկացվում են պատրաստի արտադրանքի արդյունաբերական սերիաներից կամ փորձարկման համար հատուկ պատրաստված արտադրանքի նմուշներից վերցված միատարր նմուշների վրա, օրինակ՝ նմուշում հայտնի խառնուկների համապատասխան ճշգրիտ քանակությունների հավելման եղանակով: Արդյունաբերական սերիաների նմուշների բացակայության դեպքում դեղագործական մշակման պայմաններում անհրաժեշտ է օգտագործել փոքր մասշտաբով, սակայն վերջնական տեխնոլոգիայով լրամշակված նմուշներ:</w:t>
      </w:r>
    </w:p>
    <w:p w14:paraId="32B8A4A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Նմուշների համեմատական փորձարկումներն իրականացնում է ինչպես փոխանցող կողմը, այնպես էլ ընդունող կողմը: Սակայն կարող են պիտանի լինել միայն ընդունող կողմի իրականացվող այլ մոտեցումներ, մասնավորապես, եթե դրանով ստացված արդյունքները (օրինակ՝ խառնուկի նմուշում հավելված քանակական պարունակության բացելիության մեծությունը) համապատասխանում են ընդունելիության նախօրոք սահմանված չափորոշիչներին: Նման փորձարկումները կատարվում են ըստ նախապես հաստատված ՎՄՏ-ի աշխատակարգի, որում ներկայացված է անալիտիկ մեթոդիկայի, օգտագործման համար ենթադրվող նմուշների </w:t>
      </w:r>
      <w:r>
        <w:rPr>
          <w:rFonts w:ascii="Sylfaen" w:hAnsi="Sylfaen"/>
          <w:sz w:val="24"/>
          <w:szCs w:val="24"/>
        </w:rPr>
        <w:t>եւ</w:t>
      </w:r>
      <w:r w:rsidRPr="00B834A2">
        <w:rPr>
          <w:rFonts w:ascii="Sylfaen" w:hAnsi="Sylfaen"/>
          <w:sz w:val="24"/>
          <w:szCs w:val="24"/>
        </w:rPr>
        <w:t xml:space="preserve"> տրված ընդունելիության չափորոշիչների, ինչպես նա</w:t>
      </w:r>
      <w:r>
        <w:rPr>
          <w:rFonts w:ascii="Sylfaen" w:hAnsi="Sylfaen"/>
          <w:sz w:val="24"/>
          <w:szCs w:val="24"/>
        </w:rPr>
        <w:t>եւ</w:t>
      </w:r>
      <w:r w:rsidRPr="00B834A2">
        <w:rPr>
          <w:rFonts w:ascii="Sylfaen" w:hAnsi="Sylfaen"/>
          <w:sz w:val="24"/>
          <w:szCs w:val="24"/>
        </w:rPr>
        <w:t xml:space="preserve"> փորձարկումների արդյունքների թույլատրելի փոփոխականության մանրամասն նկարագրությունը: Ընդունելիության չափորոշիչներին համապատասխանությունը պարտադիր է անալիտիկ մեթոդիկայի կատարման համար ընդունող կողմի կողմից որակավորման դեպքում:</w:t>
      </w:r>
    </w:p>
    <w:p w14:paraId="7091DB02" w14:textId="77777777" w:rsidR="00B834A2"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ԱՄՏ-ի դեպքում համեմատական փորձարկումներ չանցկացնելու որոշումը պետք է լինի հիմնավորված:</w:t>
      </w:r>
    </w:p>
    <w:p w14:paraId="268BBFFC" w14:textId="77777777" w:rsidR="001B3D08" w:rsidRPr="00D35F34" w:rsidRDefault="001B3D08" w:rsidP="00B834A2">
      <w:pPr>
        <w:pStyle w:val="a0"/>
        <w:shd w:val="clear" w:color="auto" w:fill="auto"/>
        <w:spacing w:after="160" w:line="360" w:lineRule="auto"/>
        <w:ind w:firstLine="567"/>
        <w:jc w:val="both"/>
        <w:rPr>
          <w:rFonts w:ascii="Sylfaen" w:hAnsi="Sylfaen" w:cs="Sylfaen"/>
          <w:sz w:val="24"/>
          <w:szCs w:val="24"/>
        </w:rPr>
      </w:pPr>
    </w:p>
    <w:p w14:paraId="5A50DB8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 xml:space="preserve">Երկու կամ մի քանի լաբորատորիաներում համատեղ վալիդացումը: </w:t>
      </w:r>
      <w:r w:rsidRPr="00B834A2">
        <w:rPr>
          <w:rFonts w:ascii="Sylfaen" w:hAnsi="Sylfaen"/>
          <w:sz w:val="24"/>
          <w:szCs w:val="24"/>
        </w:rPr>
        <w:t xml:space="preserve">Փոխանցող կողմը կարող է ներգրավել ընդունող կողմին միջլաբորատոր վալիդացմանը՝ ներառելով նրան որպես փոխանցող կողմի՝ վալիդացիոն թիմի մաս: Անալիտիկ մեթոդիկայի վալիդացում իրականացնող լաբորատորիան որակավորվում է հետագայում դրա տրանսֆերի շրջանակներում՝ մեթոդիկայի կատարման համար: Ստացված արդյունքների հիման վրա անցկացվում է անալիտիկ մեթոդիկայի վերարտադրելիության գնահատում: Նման գնահատումը կատարվում է տրանսֆերի կամ վալիդացման նախապես հաստատված աշխատակարգով, որում ներկայացված է անալիտիկ մեթոդիկայի, օգտագործման համար ենթադրվող նմուշների </w:t>
      </w:r>
      <w:r>
        <w:rPr>
          <w:rFonts w:ascii="Sylfaen" w:hAnsi="Sylfaen"/>
          <w:sz w:val="24"/>
          <w:szCs w:val="24"/>
        </w:rPr>
        <w:t>եւ</w:t>
      </w:r>
      <w:r w:rsidRPr="00B834A2">
        <w:rPr>
          <w:rFonts w:ascii="Sylfaen" w:hAnsi="Sylfaen"/>
          <w:sz w:val="24"/>
          <w:szCs w:val="24"/>
        </w:rPr>
        <w:t xml:space="preserve"> ընդունելիության տրված չափորոշիչների մանրամասն նկարագրությունը: Վալիդացման փորձարկումների </w:t>
      </w:r>
      <w:r>
        <w:rPr>
          <w:rFonts w:ascii="Sylfaen" w:hAnsi="Sylfaen"/>
          <w:sz w:val="24"/>
          <w:szCs w:val="24"/>
        </w:rPr>
        <w:t>եւ</w:t>
      </w:r>
      <w:r w:rsidRPr="00B834A2">
        <w:rPr>
          <w:rFonts w:ascii="Sylfaen" w:hAnsi="Sylfaen"/>
          <w:sz w:val="24"/>
          <w:szCs w:val="24"/>
        </w:rPr>
        <w:t xml:space="preserve"> ստացված բնութագրերի անցկացմանը ներկայացվող պահանջները բերված են </w:t>
      </w:r>
      <w:r w:rsidRPr="00B834A2">
        <w:rPr>
          <w:rFonts w:ascii="Sylfaen" w:hAnsi="Sylfaen"/>
          <w:i/>
          <w:sz w:val="24"/>
          <w:szCs w:val="24"/>
        </w:rPr>
        <w:t>2.3.14.0</w:t>
      </w:r>
      <w:r w:rsidRPr="00B834A2">
        <w:rPr>
          <w:rFonts w:ascii="Sylfaen" w:hAnsi="Sylfaen"/>
          <w:sz w:val="24"/>
          <w:szCs w:val="24"/>
        </w:rPr>
        <w:t xml:space="preserve"> Անալիտիկ մեթոդիկաների վալիդացում ընդհանուր դեղագրքային հոդվածում:</w:t>
      </w:r>
      <w:r w:rsidRPr="00B834A2">
        <w:rPr>
          <w:rFonts w:ascii="Sylfaen" w:hAnsi="Sylfaen"/>
          <w:i/>
          <w:sz w:val="24"/>
          <w:szCs w:val="24"/>
        </w:rPr>
        <w:t xml:space="preserve"> </w:t>
      </w:r>
    </w:p>
    <w:p w14:paraId="6B026743" w14:textId="77777777" w:rsidR="00B834A2" w:rsidRPr="00B834A2" w:rsidRDefault="00B834A2" w:rsidP="00B834A2">
      <w:pPr>
        <w:spacing w:after="160" w:line="360" w:lineRule="auto"/>
        <w:ind w:firstLine="567"/>
        <w:jc w:val="both"/>
      </w:pPr>
      <w:r w:rsidRPr="00B834A2">
        <w:rPr>
          <w:b/>
        </w:rPr>
        <w:t xml:space="preserve">Վերավալիդացում: </w:t>
      </w:r>
      <w:r w:rsidRPr="00B834A2">
        <w:t xml:space="preserve">Քանի որ անալիտիկ մեթոդիկաների վալիդացումը կատարվում է դեղագործական մշակման ժամանակ, դրա անցկացումն ընդունող կողմի համար անհրաժեշտ չէ ԱՄՏ-ի դեպքում: Ընդունող կողմը վերավալիդացումը սովորաբար կատարում է համապատասխան հիմնավորման առկայության դեպքում՝ սպեցիֆիկ անալիտիկ մեթոդիկաների համար: Պայմանավորված անալիտիկ մեթոդիկայի բարդությամբ՝ դրա վերավալիդացումը կարող է անցկացվել ինչպես լրիվ, այնպես էլ մասնակի ծավալով՝ վալիդացման այն բնութագրերի որոշմամբ, որոնք ենթադրաբար շոշափվելու են ԱՄՏ-ի ժամանակ: </w:t>
      </w:r>
    </w:p>
    <w:p w14:paraId="56406F66" w14:textId="77777777" w:rsidR="00B834A2" w:rsidRPr="00B834A2" w:rsidRDefault="00B834A2" w:rsidP="00B834A2">
      <w:pPr>
        <w:spacing w:after="160" w:line="360" w:lineRule="auto"/>
        <w:ind w:firstLine="567"/>
        <w:jc w:val="both"/>
      </w:pPr>
    </w:p>
    <w:p w14:paraId="00FE71D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ԱՆԱԼԻՏԻԿ ՄԵԹՈԴԻԿԱՆԵՐԻ ՏՐԱՆՍՖԵՐԻ ԳՈՐԾՆԱԿԱՆ ԻՐԱԿԱՆԱՑՈՒՄԸ</w:t>
      </w:r>
    </w:p>
    <w:p w14:paraId="3C626AD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ԱՄՏ-ի գործնական իրականացումը բաղկացած է հետ</w:t>
      </w:r>
      <w:r>
        <w:rPr>
          <w:rFonts w:ascii="Sylfaen" w:hAnsi="Sylfaen"/>
          <w:sz w:val="24"/>
          <w:szCs w:val="24"/>
        </w:rPr>
        <w:t>եւ</w:t>
      </w:r>
      <w:r w:rsidRPr="00B834A2">
        <w:rPr>
          <w:rFonts w:ascii="Sylfaen" w:hAnsi="Sylfaen"/>
          <w:sz w:val="24"/>
          <w:szCs w:val="24"/>
        </w:rPr>
        <w:t>յալ փուլերից.</w:t>
      </w:r>
    </w:p>
    <w:p w14:paraId="26A9D89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տրանսֆերի համար ենթադրվող անալիտիկ մեթոդիկաների որոշում.</w:t>
      </w:r>
    </w:p>
    <w:p w14:paraId="5CE6919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ընդունող կողմի մասնագետներին անալիտիկ մեթոդիկաների ուսուցանում.</w:t>
      </w:r>
    </w:p>
    <w:p w14:paraId="146C0FF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նմուշների կամ ԱՄՏ-ի այլ տեսակների համեմատական փորձարկումների անցկացում:</w:t>
      </w:r>
    </w:p>
    <w:p w14:paraId="10AC725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Փոխանցող կողմը պատասխանատու է անալիտիկ մեթոդիկայի, ստանդարտ նմուշների, վալիդացման մասին հաշվետվության </w:t>
      </w:r>
      <w:r>
        <w:rPr>
          <w:rFonts w:ascii="Sylfaen" w:hAnsi="Sylfaen"/>
          <w:sz w:val="24"/>
          <w:szCs w:val="24"/>
        </w:rPr>
        <w:t>եւ</w:t>
      </w:r>
      <w:r w:rsidRPr="00B834A2">
        <w:rPr>
          <w:rFonts w:ascii="Sylfaen" w:hAnsi="Sylfaen"/>
          <w:sz w:val="24"/>
          <w:szCs w:val="24"/>
        </w:rPr>
        <w:t xml:space="preserve"> ցանկացած անհրաժեշտ փաստաթղթերի տրամադրման համար: Փոխանցող կողմը կարող է պատասխանատվություն կրել ընդունող կողմի ուսուցման </w:t>
      </w:r>
      <w:r>
        <w:rPr>
          <w:rFonts w:ascii="Sylfaen" w:hAnsi="Sylfaen"/>
          <w:sz w:val="24"/>
          <w:szCs w:val="24"/>
        </w:rPr>
        <w:t>եւ</w:t>
      </w:r>
      <w:r w:rsidRPr="00B834A2">
        <w:rPr>
          <w:rFonts w:ascii="Sylfaen" w:hAnsi="Sylfaen"/>
          <w:sz w:val="24"/>
          <w:szCs w:val="24"/>
        </w:rPr>
        <w:t xml:space="preserve"> դրան օգնելու համար: Տրանսֆերի պրոցեսում ներառված բոլոր</w:t>
      </w:r>
      <w:r>
        <w:rPr>
          <w:rFonts w:ascii="Sylfaen" w:hAnsi="Sylfaen"/>
          <w:sz w:val="24"/>
          <w:szCs w:val="24"/>
        </w:rPr>
        <w:t xml:space="preserve"> </w:t>
      </w:r>
      <w:r w:rsidRPr="00B834A2">
        <w:rPr>
          <w:rFonts w:ascii="Sylfaen" w:hAnsi="Sylfaen"/>
          <w:sz w:val="24"/>
          <w:szCs w:val="24"/>
        </w:rPr>
        <w:t xml:space="preserve">անալիտիկ մեթոդիկաները, որակի մասնագրերը </w:t>
      </w:r>
      <w:r>
        <w:rPr>
          <w:rFonts w:ascii="Sylfaen" w:hAnsi="Sylfaen"/>
          <w:sz w:val="24"/>
          <w:szCs w:val="24"/>
        </w:rPr>
        <w:t>եւ</w:t>
      </w:r>
      <w:r w:rsidRPr="00B834A2">
        <w:rPr>
          <w:rFonts w:ascii="Sylfaen" w:hAnsi="Sylfaen"/>
          <w:sz w:val="24"/>
          <w:szCs w:val="24"/>
        </w:rPr>
        <w:t xml:space="preserve"> դեղամիջոցների որակի մասով նորմատիվ փաստաթղթերը պետք է տրամադրվեն գրավոր տեսքով՝ արդիական տարբերակներով, որոնք փաստացի կիրառում է փոխանցող կողմը: Ուսուցումը պետք է լինի փաստաթղթերով ձ</w:t>
      </w:r>
      <w:r>
        <w:rPr>
          <w:rFonts w:ascii="Sylfaen" w:hAnsi="Sylfaen"/>
          <w:sz w:val="24"/>
          <w:szCs w:val="24"/>
        </w:rPr>
        <w:t>եւ</w:t>
      </w:r>
      <w:r w:rsidRPr="00B834A2">
        <w:rPr>
          <w:rFonts w:ascii="Sylfaen" w:hAnsi="Sylfaen"/>
          <w:sz w:val="24"/>
          <w:szCs w:val="24"/>
        </w:rPr>
        <w:t>ակերպված:</w:t>
      </w:r>
    </w:p>
    <w:p w14:paraId="42AB024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Ընդունող կողմը տրամադրում է որակավորված անձնակազմ կամ սովորեցնում նրան պատշաճ կերպով մինչ ԱՄՏ-ի սկիզբը, անհրաժեշտության դեպքում ապահովում է պատշաճ մակարդակով սարքավորումների, սենքերի ստուգաճշտում </w:t>
      </w:r>
      <w:r>
        <w:rPr>
          <w:rFonts w:ascii="Sylfaen" w:hAnsi="Sylfaen"/>
          <w:sz w:val="24"/>
          <w:szCs w:val="24"/>
        </w:rPr>
        <w:t>եւ</w:t>
      </w:r>
      <w:r w:rsidRPr="00B834A2">
        <w:rPr>
          <w:rFonts w:ascii="Sylfaen" w:hAnsi="Sylfaen"/>
          <w:sz w:val="24"/>
          <w:szCs w:val="24"/>
        </w:rPr>
        <w:t xml:space="preserve"> որակավորում ու հաստատում է լաբորատոր համակարգերի՝ կիրառվող կանոններին </w:t>
      </w:r>
      <w:r>
        <w:rPr>
          <w:rFonts w:ascii="Sylfaen" w:hAnsi="Sylfaen"/>
          <w:sz w:val="24"/>
          <w:szCs w:val="24"/>
        </w:rPr>
        <w:t>եւ</w:t>
      </w:r>
      <w:r w:rsidRPr="00B834A2">
        <w:rPr>
          <w:rFonts w:ascii="Sylfaen" w:hAnsi="Sylfaen"/>
          <w:sz w:val="24"/>
          <w:szCs w:val="24"/>
        </w:rPr>
        <w:t xml:space="preserve"> ձեռնարկության ընդհանուր լաբորատոր ընթացակարգերին համապատասխանությունը:</w:t>
      </w:r>
    </w:p>
    <w:p w14:paraId="3583C1C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Փոխանցող կողմը </w:t>
      </w:r>
      <w:r>
        <w:rPr>
          <w:rFonts w:ascii="Sylfaen" w:hAnsi="Sylfaen"/>
          <w:sz w:val="24"/>
          <w:szCs w:val="24"/>
        </w:rPr>
        <w:t>եւ</w:t>
      </w:r>
      <w:r w:rsidRPr="00B834A2">
        <w:rPr>
          <w:rFonts w:ascii="Sylfaen" w:hAnsi="Sylfaen"/>
          <w:sz w:val="24"/>
          <w:szCs w:val="24"/>
        </w:rPr>
        <w:t xml:space="preserve"> ընդունող կողմը պետք է կատարեն ԱՄՏ-ի աշխատակարգը </w:t>
      </w:r>
      <w:r>
        <w:rPr>
          <w:rFonts w:ascii="Sylfaen" w:hAnsi="Sylfaen"/>
          <w:sz w:val="24"/>
          <w:szCs w:val="24"/>
        </w:rPr>
        <w:t>եւ</w:t>
      </w:r>
      <w:r w:rsidRPr="00B834A2">
        <w:rPr>
          <w:rFonts w:ascii="Sylfaen" w:hAnsi="Sylfaen"/>
          <w:sz w:val="24"/>
          <w:szCs w:val="24"/>
        </w:rPr>
        <w:t xml:space="preserve"> համատեղ պատրաստեն ԱՄՏ-ի մասին հաշվետվություն: ԱՄՏ-ի աշխատակարգի կատարման ընթացքում կողմերն անցկացնում են ստացված արդյունքների, ինչպես նա</w:t>
      </w:r>
      <w:r>
        <w:rPr>
          <w:rFonts w:ascii="Sylfaen" w:hAnsi="Sylfaen"/>
          <w:sz w:val="24"/>
          <w:szCs w:val="24"/>
        </w:rPr>
        <w:t>եւ</w:t>
      </w:r>
      <w:r w:rsidRPr="00B834A2">
        <w:rPr>
          <w:rFonts w:ascii="Sylfaen" w:hAnsi="Sylfaen"/>
          <w:sz w:val="24"/>
          <w:szCs w:val="24"/>
        </w:rPr>
        <w:t xml:space="preserve"> ԱՄՏ-ի աշխատակարգից ցանկացած շեղման համեմատում </w:t>
      </w:r>
      <w:r>
        <w:rPr>
          <w:rFonts w:ascii="Sylfaen" w:hAnsi="Sylfaen"/>
          <w:sz w:val="24"/>
          <w:szCs w:val="24"/>
        </w:rPr>
        <w:t>եւ</w:t>
      </w:r>
      <w:r w:rsidRPr="00B834A2">
        <w:rPr>
          <w:rFonts w:ascii="Sylfaen" w:hAnsi="Sylfaen"/>
          <w:sz w:val="24"/>
          <w:szCs w:val="24"/>
        </w:rPr>
        <w:t xml:space="preserve"> քննարկում: Ընդ որում, ընդունող կողմը պետք է ձ</w:t>
      </w:r>
      <w:r>
        <w:rPr>
          <w:rFonts w:ascii="Sylfaen" w:hAnsi="Sylfaen"/>
          <w:sz w:val="24"/>
          <w:szCs w:val="24"/>
        </w:rPr>
        <w:t>եւ</w:t>
      </w:r>
      <w:r w:rsidRPr="00B834A2">
        <w:rPr>
          <w:rFonts w:ascii="Sylfaen" w:hAnsi="Sylfaen"/>
          <w:sz w:val="24"/>
          <w:szCs w:val="24"/>
        </w:rPr>
        <w:t>ակերպի հարցեր, որոնք կարող են պահանջել լուծում մինչ ԱՄՏ-ի աշխատակարգի ստորագրումը:</w:t>
      </w:r>
    </w:p>
    <w:p w14:paraId="1AAEA50D" w14:textId="77777777" w:rsidR="00B834A2" w:rsidRPr="00B834A2" w:rsidRDefault="00B834A2" w:rsidP="00B834A2">
      <w:pPr>
        <w:spacing w:after="160" w:line="360" w:lineRule="auto"/>
        <w:ind w:firstLine="567"/>
        <w:jc w:val="both"/>
      </w:pPr>
      <w:r w:rsidRPr="00B834A2">
        <w:t>ԱՄՏ-ի դեպքում անհրաժեշտ է հաշվի առնել անալիտիկ մեթոդիկաների զգայունությունը, փորձարկումների արդյունքների փոփոխականությունը, ինչպես նա</w:t>
      </w:r>
      <w:r>
        <w:t>եւ</w:t>
      </w:r>
      <w:r w:rsidRPr="00B834A2">
        <w:t xml:space="preserve"> որակի ցուցանիշների համար մասնագրերի պահանջները: Քննարկումից հետո անհրաժեշտ լրամշակումները կամ փոփոխությունները պետք է </w:t>
      </w:r>
      <w:r w:rsidRPr="00B834A2">
        <w:lastRenderedPageBreak/>
        <w:t xml:space="preserve">արտացոլվեն ԱՄՏ-ի մասին հաշվետվությունում </w:t>
      </w:r>
      <w:r>
        <w:t>եւ</w:t>
      </w:r>
      <w:r w:rsidRPr="00B834A2">
        <w:t xml:space="preserve"> անալիտիկ մեթոդիկայում՝ դրա վերարտադրելիության ապահովման համար:</w:t>
      </w:r>
    </w:p>
    <w:p w14:paraId="38FE937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Անալիտիկ մեթոդիկաների վերարտադրելիության գնահատման համար ԱՄՏ-ի փորձարարական պլանում կարող են լրացուցիչ ներառվել ԱՄՏ-ի դեպքում էական փոփոխությունների ենթարկված փորձարկվող նմուշների որակի ցուցանիշները:</w:t>
      </w:r>
    </w:p>
    <w:p w14:paraId="196B97A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ԱՄՏ-ի համար կարող է օգտագործվել դեղապատրաստուկի մեկ խմբաքանակ կամ սերիա, քանի որ տրանսֆերի նպատակը կապված է ոչ թե արտադրական պրոցեսի հետ, այլ ընդունող տեղամասում փոխանցվող մեթոդիկայի անալիտիկ արդյունավետության գնահատման հետ:</w:t>
      </w:r>
    </w:p>
    <w:p w14:paraId="4FA63C6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ԱՄՏ-ի մասով բոլոր փաստաթղթերը ձ</w:t>
      </w:r>
      <w:r>
        <w:rPr>
          <w:rFonts w:ascii="Sylfaen" w:hAnsi="Sylfaen"/>
          <w:sz w:val="24"/>
          <w:szCs w:val="24"/>
        </w:rPr>
        <w:t>եւ</w:t>
      </w:r>
      <w:r w:rsidRPr="00B834A2">
        <w:rPr>
          <w:rFonts w:ascii="Sylfaen" w:hAnsi="Sylfaen"/>
          <w:sz w:val="24"/>
          <w:szCs w:val="24"/>
        </w:rPr>
        <w:t>ակերպելիս անհրաժեշտ է ապահովել տվյալների ամբողջականությունը, նախ</w:t>
      </w:r>
      <w:r>
        <w:rPr>
          <w:rFonts w:ascii="Sylfaen" w:hAnsi="Sylfaen"/>
          <w:sz w:val="24"/>
          <w:szCs w:val="24"/>
        </w:rPr>
        <w:t>եւ</w:t>
      </w:r>
      <w:r w:rsidRPr="00B834A2">
        <w:rPr>
          <w:rFonts w:ascii="Sylfaen" w:hAnsi="Sylfaen"/>
          <w:sz w:val="24"/>
          <w:szCs w:val="24"/>
        </w:rPr>
        <w:t xml:space="preserve">առաջ՝ դրանց լրիվությունը </w:t>
      </w:r>
      <w:r>
        <w:rPr>
          <w:rFonts w:ascii="Sylfaen" w:hAnsi="Sylfaen"/>
          <w:sz w:val="24"/>
          <w:szCs w:val="24"/>
        </w:rPr>
        <w:t>եւ</w:t>
      </w:r>
      <w:r w:rsidRPr="00B834A2">
        <w:rPr>
          <w:rFonts w:ascii="Sylfaen" w:hAnsi="Sylfaen"/>
          <w:sz w:val="24"/>
          <w:szCs w:val="24"/>
        </w:rPr>
        <w:t xml:space="preserve"> հետագծելիությունը:</w:t>
      </w:r>
    </w:p>
    <w:p w14:paraId="37675D7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137933E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ԱՆԱԼԻՏԻԿ ՄԵԹՈԴԻԿԱՆԵՐԻ ՏՐԱՆՍՖԵՐԻ ԱՇԽԱՏԱԿԱՐԳԸ</w:t>
      </w:r>
    </w:p>
    <w:p w14:paraId="2BC851E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ԱՄՏ-ի հաշվետվությունը պետք է մշակվի մինչ ԱՄՏ-ի իրականացումը:</w:t>
      </w:r>
    </w:p>
    <w:p w14:paraId="3EFAB481" w14:textId="77777777" w:rsidR="00B834A2" w:rsidRPr="00D35F3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Փորձարկումների համար դեղապատրաստուկի </w:t>
      </w:r>
      <w:r>
        <w:rPr>
          <w:rFonts w:ascii="Sylfaen" w:hAnsi="Sylfaen"/>
          <w:sz w:val="24"/>
          <w:szCs w:val="24"/>
        </w:rPr>
        <w:t>եւ</w:t>
      </w:r>
      <w:r w:rsidRPr="00B834A2">
        <w:rPr>
          <w:rFonts w:ascii="Sylfaen" w:hAnsi="Sylfaen"/>
          <w:sz w:val="24"/>
          <w:szCs w:val="24"/>
        </w:rPr>
        <w:t xml:space="preserve"> նյութերի նմուշների նկարագրությունը պետք է պարունակի փորձարկվող նմուշների </w:t>
      </w:r>
      <w:r>
        <w:rPr>
          <w:rFonts w:ascii="Sylfaen" w:hAnsi="Sylfaen"/>
          <w:sz w:val="24"/>
          <w:szCs w:val="24"/>
        </w:rPr>
        <w:t>եւ</w:t>
      </w:r>
      <w:r w:rsidRPr="00B834A2">
        <w:rPr>
          <w:rFonts w:ascii="Sylfaen" w:hAnsi="Sylfaen"/>
          <w:sz w:val="24"/>
          <w:szCs w:val="24"/>
        </w:rPr>
        <w:t xml:space="preserve"> ստանդարտ նմուշների անվանումները, սերիաների համարը, դրանց քանակը: Աշխատակարգի տվյալ բաժնում նույնպես անհրաժեշտ է նշել օգտագործման համար նախատեսված սարքեր </w:t>
      </w:r>
      <w:r>
        <w:rPr>
          <w:rFonts w:ascii="Sylfaen" w:hAnsi="Sylfaen"/>
          <w:sz w:val="24"/>
          <w:szCs w:val="24"/>
        </w:rPr>
        <w:t>եւ</w:t>
      </w:r>
      <w:r w:rsidRPr="00B834A2">
        <w:rPr>
          <w:rFonts w:ascii="Sylfaen" w:hAnsi="Sylfaen"/>
          <w:sz w:val="24"/>
          <w:szCs w:val="24"/>
        </w:rPr>
        <w:t xml:space="preserve"> դրանց պարամետրերը: Լրացած պիտանիության ժամկետով, երկար ժամանակ պահվող կամ դրանցում հավելված նյութերով նմուշները (մոդելային նմուշները) կարող են պիտանի լինել միայն նմուշների պատրաստման համար սարքավորումներում տարբերությունների հետ կապված հնարավոր խնդիրների </w:t>
      </w:r>
      <w:r>
        <w:rPr>
          <w:rFonts w:ascii="Sylfaen" w:hAnsi="Sylfaen"/>
          <w:sz w:val="24"/>
          <w:szCs w:val="24"/>
        </w:rPr>
        <w:t>եւ</w:t>
      </w:r>
      <w:r w:rsidRPr="00B834A2">
        <w:rPr>
          <w:rFonts w:ascii="Sylfaen" w:hAnsi="Sylfaen"/>
          <w:sz w:val="24"/>
          <w:szCs w:val="24"/>
        </w:rPr>
        <w:t xml:space="preserve"> շուկայում գտնվող դեղապատրաստուկների որակի վրա արդյունքների հնարավոր շեղումների ազդեցության սահմանման համար:</w:t>
      </w:r>
    </w:p>
    <w:p w14:paraId="32EB8B6F" w14:textId="77777777" w:rsidR="001B3D08" w:rsidRPr="00D35F34" w:rsidRDefault="001B3D08" w:rsidP="00B834A2">
      <w:pPr>
        <w:pStyle w:val="a0"/>
        <w:shd w:val="clear" w:color="auto" w:fill="auto"/>
        <w:spacing w:after="160" w:line="360" w:lineRule="auto"/>
        <w:ind w:firstLine="567"/>
        <w:jc w:val="both"/>
        <w:rPr>
          <w:rFonts w:ascii="Sylfaen" w:hAnsi="Sylfaen" w:cs="Sylfaen"/>
          <w:sz w:val="24"/>
          <w:szCs w:val="24"/>
        </w:rPr>
      </w:pPr>
    </w:p>
    <w:p w14:paraId="1151019C" w14:textId="77777777" w:rsidR="00B834A2" w:rsidRPr="00B834A2" w:rsidRDefault="00B834A2" w:rsidP="00B834A2">
      <w:pPr>
        <w:spacing w:after="160" w:line="360" w:lineRule="auto"/>
        <w:ind w:firstLine="567"/>
        <w:jc w:val="both"/>
      </w:pPr>
      <w:r w:rsidRPr="00B834A2">
        <w:lastRenderedPageBreak/>
        <w:t xml:space="preserve">ԱՄՏ-ի անցկացման պայմանները ներառում են ինչպես փոխանցող կողմում, այնպես էլ ընդունող կողմում առնվազն երկու անալիտիկների համեմատական փորձարկումներին մասնակցություն, տարբեր օրերի չափումների անցկացում, ռեակտիվների </w:t>
      </w:r>
      <w:r>
        <w:t>եւ</w:t>
      </w:r>
      <w:r w:rsidRPr="00B834A2">
        <w:t xml:space="preserve"> լուծույթների պատրաստում, ինչպես նա</w:t>
      </w:r>
      <w:r>
        <w:t>եւ</w:t>
      </w:r>
      <w:r w:rsidRPr="00B834A2">
        <w:t xml:space="preserve"> յուրաքանչյուր մասնագետի կողմից կատարվող փորձարկումների քանակություն (6-ին հավասար): Որակի տարբեր ցուցանիշների համար առաջարկվում է փորձարկումների տարբեր ծավալ, փորձարկվող նմուշների քանակություն </w:t>
      </w:r>
      <w:r>
        <w:t>եւ</w:t>
      </w:r>
      <w:r w:rsidRPr="00B834A2">
        <w:t xml:space="preserve"> զուգահեռ որոշումների թիվ, որոնք արտացոլվում են ԱՄՏ-ի փորձարարական պլանում (աղյուսակ 2.3.16.0-1): Աղյուսակում ներկայացված է փորձարկումների օրինական պլանը, որը կարող է փոփոխվել անալիտիկ մեթոդիկայի վերարտադրելիության մասին փոխանցող կողմի փորձին </w:t>
      </w:r>
      <w:r>
        <w:t>եւ</w:t>
      </w:r>
      <w:r w:rsidRPr="00B834A2">
        <w:t xml:space="preserve"> գիտելիքներին համապատասխան:</w:t>
      </w:r>
    </w:p>
    <w:p w14:paraId="6BB780C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ԱՄՏ-ի ընդունելիության չափորոշիչները պետք է հիմնված լինեն փոխանցվող մեթոդիկայի անալիտիկ արդյունավետության, դեղապատրաստուկի կայունության հետազոտության ռետրոսպեկտիվ տվյալների </w:t>
      </w:r>
      <w:r>
        <w:rPr>
          <w:rFonts w:ascii="Sylfaen" w:hAnsi="Sylfaen"/>
          <w:sz w:val="24"/>
          <w:szCs w:val="24"/>
        </w:rPr>
        <w:t>եւ</w:t>
      </w:r>
      <w:r w:rsidRPr="00B834A2">
        <w:rPr>
          <w:rFonts w:ascii="Sylfaen" w:hAnsi="Sylfaen"/>
          <w:sz w:val="24"/>
          <w:szCs w:val="24"/>
        </w:rPr>
        <w:t xml:space="preserve"> թողարկման ժամանակ դրա որակի վերահսկման արդյունքների վրա: ԱՄՏ-ի դեպքում անալիտիկ մեթոդիկաների ընդունելիության առաջարկվող չափորոշիչները բերված են աղյուսակ 2.3.16.0-1-ում: Հնարավոր է համապատասխան գիտական հիմնավորման դեպքում ընդունելիության այլ չափորոշիչների օգտագործում:</w:t>
      </w:r>
    </w:p>
    <w:p w14:paraId="79D5557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Ընդունելիության չափորոշիչների սահմանման համար կարող են օգտագործվել ինչպես ուղղակի, այնպես էլ վիճակագրական մեթոդներ՝ պայմանավորված դեղապատրաստուկի որակի ցուցանիշներով:</w:t>
      </w:r>
    </w:p>
    <w:p w14:paraId="083BE4F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Ուղղակի մեթոդի օգտագործման դեպքում անցկացնում են փորձարկման արդյունքների միջին արժեքի </w:t>
      </w:r>
      <w:r>
        <w:rPr>
          <w:rFonts w:ascii="Sylfaen" w:hAnsi="Sylfaen"/>
          <w:sz w:val="24"/>
          <w:szCs w:val="24"/>
        </w:rPr>
        <w:t>եւ</w:t>
      </w:r>
      <w:r w:rsidRPr="00B834A2">
        <w:rPr>
          <w:rFonts w:ascii="Sylfaen" w:hAnsi="Sylfaen"/>
          <w:sz w:val="24"/>
          <w:szCs w:val="24"/>
        </w:rPr>
        <w:t xml:space="preserve"> բոլոր հետազոտական տեղամասերում հարաբերական ստանդարտ շեղման (RSD %) տեսքով դրա փոփոխականության անմիջական համեմատում (դրանց հասանելիության դեպքում): ԱՄՏ-ի ընդունելիության չափորոշիչները կարող են ստացվել նույնպես փորձարկումների արդյունքների միջին արժեքներում </w:t>
      </w:r>
      <w:r>
        <w:rPr>
          <w:rFonts w:ascii="Sylfaen" w:hAnsi="Sylfaen"/>
          <w:sz w:val="24"/>
          <w:szCs w:val="24"/>
        </w:rPr>
        <w:t>եւ</w:t>
      </w:r>
      <w:r w:rsidRPr="00B834A2">
        <w:rPr>
          <w:rFonts w:ascii="Sylfaen" w:hAnsi="Sylfaen"/>
          <w:sz w:val="24"/>
          <w:szCs w:val="24"/>
        </w:rPr>
        <w:t xml:space="preserve"> ընդունող կողմի ու փոխանցող կողմի միջ</w:t>
      </w:r>
      <w:r>
        <w:rPr>
          <w:rFonts w:ascii="Sylfaen" w:hAnsi="Sylfaen"/>
          <w:sz w:val="24"/>
          <w:szCs w:val="24"/>
        </w:rPr>
        <w:t>եւ</w:t>
      </w:r>
      <w:r w:rsidRPr="00B834A2">
        <w:rPr>
          <w:rFonts w:ascii="Sylfaen" w:hAnsi="Sylfaen"/>
          <w:sz w:val="24"/>
          <w:szCs w:val="24"/>
        </w:rPr>
        <w:t xml:space="preserve"> </w:t>
      </w:r>
      <w:r w:rsidRPr="00B834A2">
        <w:rPr>
          <w:rFonts w:ascii="Sylfaen" w:hAnsi="Sylfaen"/>
          <w:sz w:val="24"/>
          <w:szCs w:val="24"/>
        </w:rPr>
        <w:lastRenderedPageBreak/>
        <w:t>դրանց փոփոխությունների սահմանված ընդգրկույթներում տարբերության մասով վիճակագրական սկզբունքների վրա, որոնք պետք է ուղեկցվեն տրված վստահելի հավանականության</w:t>
      </w:r>
      <w:r>
        <w:rPr>
          <w:rFonts w:ascii="Sylfaen" w:hAnsi="Sylfaen"/>
          <w:sz w:val="24"/>
          <w:szCs w:val="24"/>
        </w:rPr>
        <w:t xml:space="preserve"> </w:t>
      </w:r>
      <w:r w:rsidRPr="00B834A2">
        <w:rPr>
          <w:rFonts w:ascii="Sylfaen" w:hAnsi="Sylfaen"/>
          <w:sz w:val="24"/>
          <w:szCs w:val="24"/>
        </w:rPr>
        <w:t>(</w:t>
      </w:r>
      <w:r w:rsidRPr="00B834A2">
        <w:rPr>
          <w:rFonts w:ascii="Sylfaen" w:hAnsi="Sylfaen"/>
          <w:i/>
          <w:sz w:val="24"/>
          <w:szCs w:val="24"/>
        </w:rPr>
        <w:t>Р</w:t>
      </w:r>
      <w:r w:rsidRPr="00B834A2">
        <w:rPr>
          <w:rFonts w:ascii="Sylfaen" w:hAnsi="Sylfaen"/>
          <w:sz w:val="24"/>
          <w:szCs w:val="24"/>
        </w:rPr>
        <w:t xml:space="preserve"> = 95 %), հատկապես ընդունող կողմի համար միջանկյալ ճշգրտության դեպքում, յուրաքանչյուր տեղամասի համար փոփոխականության հաշվարկով:</w:t>
      </w:r>
    </w:p>
    <w:p w14:paraId="7CCA7BA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Վիճակագրական մեթոդը կարող է օգտագործվել քանակական որոշման </w:t>
      </w:r>
      <w:r>
        <w:rPr>
          <w:rFonts w:ascii="Sylfaen" w:hAnsi="Sylfaen"/>
          <w:sz w:val="24"/>
          <w:szCs w:val="24"/>
        </w:rPr>
        <w:t>եւ</w:t>
      </w:r>
      <w:r w:rsidRPr="00B834A2">
        <w:rPr>
          <w:rFonts w:ascii="Sylfaen" w:hAnsi="Sylfaen"/>
          <w:sz w:val="24"/>
          <w:szCs w:val="24"/>
        </w:rPr>
        <w:t xml:space="preserve"> պարունակության միատարրության մասով փորձարկումների արդյունքների միջին արժեքների համեմատման դեպքում՝ ընդունելիության չափորոշիչների սահմանման համար: Ցածր ճշգրտությամբ խառնուկի վրա փորձարկումներում, օրինակ՝ խառնուկների հետքերի դեպքում թույլատրվում է պարզ նկարագրողական մոտեցման օգտագործում: Լուծման մասով փորձարկումը կարող է գնահատվել նմանության գործակցի (</w:t>
      </w:r>
      <w:r w:rsidRPr="00B834A2">
        <w:rPr>
          <w:rFonts w:ascii="Sylfaen" w:hAnsi="Sylfaen"/>
          <w:i/>
          <w:sz w:val="24"/>
          <w:szCs w:val="24"/>
        </w:rPr>
        <w:t>f</w:t>
      </w:r>
      <w:r w:rsidRPr="00B834A2">
        <w:rPr>
          <w:rFonts w:ascii="Sylfaen" w:hAnsi="Sylfaen"/>
          <w:i/>
          <w:sz w:val="24"/>
          <w:szCs w:val="24"/>
          <w:vertAlign w:val="subscript"/>
        </w:rPr>
        <w:t>2</w:t>
      </w:r>
      <w:r w:rsidRPr="00B834A2">
        <w:rPr>
          <w:rFonts w:ascii="Sylfaen" w:hAnsi="Sylfaen"/>
          <w:sz w:val="24"/>
          <w:szCs w:val="24"/>
        </w:rPr>
        <w:t xml:space="preserve">) օգնությամբ լուծման պրոֆիլների համեմատությամբ կամ տրված ժամանակային կետերի </w:t>
      </w:r>
      <w:r w:rsidRPr="00B834A2">
        <w:rPr>
          <w:rFonts w:ascii="Sylfaen" w:hAnsi="Sylfaen"/>
          <w:i/>
          <w:sz w:val="24"/>
          <w:szCs w:val="24"/>
        </w:rPr>
        <w:t>(Q</w:t>
      </w:r>
      <w:r w:rsidRPr="00B834A2">
        <w:rPr>
          <w:rFonts w:ascii="Sylfaen" w:hAnsi="Sylfaen"/>
          <w:i/>
          <w:sz w:val="24"/>
          <w:szCs w:val="24"/>
          <w:vertAlign w:val="subscript"/>
        </w:rPr>
        <w:t>t</w:t>
      </w:r>
      <w:r w:rsidRPr="00B834A2">
        <w:rPr>
          <w:rFonts w:ascii="Sylfaen" w:hAnsi="Sylfaen"/>
          <w:i/>
          <w:sz w:val="24"/>
          <w:szCs w:val="24"/>
        </w:rPr>
        <w:t>)</w:t>
      </w:r>
      <w:r w:rsidRPr="00B834A2">
        <w:rPr>
          <w:rFonts w:ascii="Sylfaen" w:hAnsi="Sylfaen"/>
          <w:sz w:val="24"/>
          <w:szCs w:val="24"/>
        </w:rPr>
        <w:t xml:space="preserve"> դեպքում ստացված արդյունքների համեմատությամբ:</w:t>
      </w:r>
      <w:r>
        <w:rPr>
          <w:rFonts w:ascii="Sylfaen" w:hAnsi="Sylfaen"/>
          <w:sz w:val="24"/>
          <w:szCs w:val="24"/>
        </w:rPr>
        <w:t xml:space="preserve"> </w:t>
      </w:r>
    </w:p>
    <w:p w14:paraId="7EF7169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Քանի որ ԱՄՏ-ի աշխատակարգը հիմնված է անալիտիկ մեթոդիկայի վալիդացման արդյունքների վրա, պետք է նշված լինեն դրանց հետագա գնահատման համար անհրաժեշտ վալիդացման կոնկրետ բնութագրերը, ինչպես նա</w:t>
      </w:r>
      <w:r>
        <w:rPr>
          <w:rFonts w:ascii="Sylfaen" w:hAnsi="Sylfaen"/>
          <w:sz w:val="24"/>
          <w:szCs w:val="24"/>
        </w:rPr>
        <w:t>եւ</w:t>
      </w:r>
      <w:r w:rsidRPr="00B834A2">
        <w:rPr>
          <w:rFonts w:ascii="Sylfaen" w:hAnsi="Sylfaen"/>
          <w:sz w:val="24"/>
          <w:szCs w:val="24"/>
        </w:rPr>
        <w:t xml:space="preserve"> ԱՄՏ-ի արդյունքների անալիզի մեթոդը: Սակայն վալիդացման չափորոշիչները ոչ միշտ են պիտանի ԱՄՏ-ի համար: Օրինակ՝ Ստյուդենտի զույգ չափորոշիչն առավել ընդունելի է ներլաբորատոր ճշգրտության ստուգման դեպքում, սակայն բնութագրվում է չափից ավելի վիճակագրական խստությամբ միջլաբորատոր ճշգրտության ստուգման դեպքում՝ չնայած ընդունող </w:t>
      </w:r>
      <w:r>
        <w:rPr>
          <w:rFonts w:ascii="Sylfaen" w:hAnsi="Sylfaen"/>
          <w:sz w:val="24"/>
          <w:szCs w:val="24"/>
        </w:rPr>
        <w:t>եւ</w:t>
      </w:r>
      <w:r w:rsidRPr="00B834A2">
        <w:rPr>
          <w:rFonts w:ascii="Sylfaen" w:hAnsi="Sylfaen"/>
          <w:sz w:val="24"/>
          <w:szCs w:val="24"/>
        </w:rPr>
        <w:t xml:space="preserve"> փոխանցող կողմերում արդյունքների գործնական աննշանությանը: Այսպիսով, նպատակահարմար է ԱՄՏ-ի արդյունքների ընդունելիության գնահատման համար օգտագործել հիմնավորված վալիդացման չափորոշիչներ </w:t>
      </w:r>
      <w:r>
        <w:rPr>
          <w:rFonts w:ascii="Sylfaen" w:hAnsi="Sylfaen"/>
          <w:sz w:val="24"/>
          <w:szCs w:val="24"/>
        </w:rPr>
        <w:t>եւ</w:t>
      </w:r>
      <w:r w:rsidRPr="00B834A2">
        <w:rPr>
          <w:rFonts w:ascii="Sylfaen" w:hAnsi="Sylfaen"/>
          <w:sz w:val="24"/>
          <w:szCs w:val="24"/>
        </w:rPr>
        <w:t xml:space="preserve"> վիճակագրական մեթոդներ: Գնահատման մեջ չներառվող յուրաքանչյուր վալիդացման բնութագիր պահանջում է կողմերից համապատասխան հիմնավորում:</w:t>
      </w:r>
    </w:p>
    <w:p w14:paraId="682AF6D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ԱՄՏ-ի աշխատակարգում փաստաթղթերի բաժինը կարող է ներառել հաշվետվության ձ</w:t>
      </w:r>
      <w:r>
        <w:rPr>
          <w:rFonts w:ascii="Sylfaen" w:hAnsi="Sylfaen"/>
          <w:sz w:val="24"/>
          <w:szCs w:val="24"/>
        </w:rPr>
        <w:t>եւ</w:t>
      </w:r>
      <w:r w:rsidRPr="00B834A2">
        <w:rPr>
          <w:rFonts w:ascii="Sylfaen" w:hAnsi="Sylfaen"/>
          <w:sz w:val="24"/>
          <w:szCs w:val="24"/>
        </w:rPr>
        <w:t xml:space="preserve">եր՝ արդյունքներն համաձայնեցված կերպով գրի առնելն ապահովելու </w:t>
      </w:r>
      <w:r>
        <w:rPr>
          <w:rFonts w:ascii="Sylfaen" w:hAnsi="Sylfaen"/>
          <w:sz w:val="24"/>
          <w:szCs w:val="24"/>
        </w:rPr>
        <w:t>եւ</w:t>
      </w:r>
      <w:r w:rsidRPr="00B834A2">
        <w:rPr>
          <w:rFonts w:ascii="Sylfaen" w:hAnsi="Sylfaen"/>
          <w:sz w:val="24"/>
          <w:szCs w:val="24"/>
        </w:rPr>
        <w:t xml:space="preserve"> կողմերի միջ</w:t>
      </w:r>
      <w:r>
        <w:rPr>
          <w:rFonts w:ascii="Sylfaen" w:hAnsi="Sylfaen"/>
          <w:sz w:val="24"/>
          <w:szCs w:val="24"/>
        </w:rPr>
        <w:t>եւ</w:t>
      </w:r>
      <w:r w:rsidRPr="00B834A2">
        <w:rPr>
          <w:rFonts w:ascii="Sylfaen" w:hAnsi="Sylfaen"/>
          <w:sz w:val="24"/>
          <w:szCs w:val="24"/>
        </w:rPr>
        <w:t xml:space="preserve"> աշխատանքի համաձայնեցվածությունը բարելավելու համար: Տվյալ բաժինը կարող է պարունակել փորձարկումների սկզբնական նյութերի մասին լրացուցիչ տեղեկատվություն, տիպիկ քրոմատագրեր </w:t>
      </w:r>
      <w:r w:rsidRPr="00294918">
        <w:rPr>
          <w:rFonts w:ascii="Sylfaen" w:hAnsi="Sylfaen"/>
          <w:spacing w:val="-4"/>
          <w:sz w:val="24"/>
          <w:szCs w:val="24"/>
        </w:rPr>
        <w:t>եւ սպեկտրներ, ինչպես նաեւ շեղման դեպքում լրացուցիչ տեղեկատվություն: ԱՄՏ-ի</w:t>
      </w:r>
      <w:r w:rsidRPr="00B834A2">
        <w:rPr>
          <w:rFonts w:ascii="Sylfaen" w:hAnsi="Sylfaen"/>
          <w:sz w:val="24"/>
          <w:szCs w:val="24"/>
        </w:rPr>
        <w:t xml:space="preserve"> աշխատակարգը պետք է նույնպես բացատրի, թե ինչպես է ենթադրվում իրականացնել ընդունելիության չափորոշիչներից ցանկացած շեղման կառավարում: ԱՄՏ-ի աշխատակարգում կատարվող ցանկացած փոփոխություն ընդունելիության չափորոշիչներին անհամապատասխանության դեպքում պետք է հաստատվի մինչ լրացուցիչ տվյալներ հավաքելը:</w:t>
      </w:r>
    </w:p>
    <w:p w14:paraId="534DBCA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684A2A6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ԱՆԱԼԻՏԻԿ ՄԵԹՈԴԻԿԱ</w:t>
      </w:r>
    </w:p>
    <w:p w14:paraId="0048A66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Անալիտիկ մեթոդիկան պետք է մանրամասն նկարագրվի, որպեսզի պատրաստված մասնագետը մեթոդիկայի մանրամասն ուսումնասիրությունից հետո կարողանա կատարել այն առանց դժվարությունների: Օրինակ՝ հեղուկ կամ գազային քրոմատագրման դեպքում պետք է ճշգրիտ նշված լինի զուգահեռ որոշումների </w:t>
      </w:r>
      <w:r>
        <w:rPr>
          <w:rFonts w:ascii="Sylfaen" w:hAnsi="Sylfaen"/>
          <w:sz w:val="24"/>
          <w:szCs w:val="24"/>
        </w:rPr>
        <w:t>եւ</w:t>
      </w:r>
      <w:r w:rsidRPr="00B834A2">
        <w:rPr>
          <w:rFonts w:ascii="Sylfaen" w:hAnsi="Sylfaen"/>
          <w:sz w:val="24"/>
          <w:szCs w:val="24"/>
        </w:rPr>
        <w:t xml:space="preserve"> ներմուծման կետերի հաջորդականությունների թիվը, իսկ լուծման վրա փորձարկման դեպքում՝ դոզավորված դեղաձ</w:t>
      </w:r>
      <w:r>
        <w:rPr>
          <w:rFonts w:ascii="Sylfaen" w:hAnsi="Sylfaen"/>
          <w:sz w:val="24"/>
          <w:szCs w:val="24"/>
        </w:rPr>
        <w:t>եւ</w:t>
      </w:r>
      <w:r w:rsidRPr="00B834A2">
        <w:rPr>
          <w:rFonts w:ascii="Sylfaen" w:hAnsi="Sylfaen"/>
          <w:sz w:val="24"/>
          <w:szCs w:val="24"/>
        </w:rPr>
        <w:t>ի միավորների թիվը: Անհրաժեշտության դեպքում մեթոդիկայում պետք է բերվեն նախազգուշական միջոցների պահպանման ցուցումներ:</w:t>
      </w:r>
    </w:p>
    <w:p w14:paraId="7E257F9B" w14:textId="77777777" w:rsidR="00B834A2" w:rsidRPr="00B834A2" w:rsidRDefault="00B834A2" w:rsidP="00B834A2">
      <w:pPr>
        <w:spacing w:after="160" w:line="360" w:lineRule="auto"/>
        <w:ind w:firstLine="567"/>
        <w:jc w:val="both"/>
      </w:pPr>
      <w:r w:rsidRPr="00B834A2">
        <w:t>Լրիվ կամ մասնակի (առկայության դեպքում) վալիդացման արդյունքները պետք է ներկայացվեն ընդունող կողմի հարցման համաձայն՝ փորձարկման կատարման համար անհրաժեշտ տեխնիկական ասպեկտների մանրամասն նկարագրության հետ մեկտեղ:</w:t>
      </w:r>
      <w:r>
        <w:t xml:space="preserve"> </w:t>
      </w:r>
      <w:r w:rsidRPr="00B834A2">
        <w:t xml:space="preserve">Որոշ դեպքերում նպատակահարմար է ԱՄՏ-ի իրականացման տեղամասում անալիտիկ մեթոդիկայի մշակման կամ </w:t>
      </w:r>
      <w:r w:rsidRPr="00294918">
        <w:rPr>
          <w:spacing w:val="-4"/>
        </w:rPr>
        <w:t>վալիդացման մեջ ի սկզբանե ներգրավված մասնագետների ներկայությունը: ԱՄՏ-ին</w:t>
      </w:r>
      <w:r w:rsidRPr="00B834A2">
        <w:t xml:space="preserve"> վերաբերող ցանկացած հարցի պարզաբանման </w:t>
      </w:r>
      <w:r>
        <w:t>եւ</w:t>
      </w:r>
      <w:r w:rsidRPr="00B834A2">
        <w:t xml:space="preserve"> դրանց պատասխանների ժամանակին </w:t>
      </w:r>
      <w:r w:rsidRPr="00B834A2">
        <w:lastRenderedPageBreak/>
        <w:t xml:space="preserve">տրամադրման համար նպատակահարմար է փոխանցող կողմի </w:t>
      </w:r>
      <w:r>
        <w:t>եւ</w:t>
      </w:r>
      <w:r w:rsidRPr="00B834A2">
        <w:t xml:space="preserve"> ընդունող կողմի մասնակցությամբ նախնական խորհրդակցության անցկացումը:</w:t>
      </w:r>
    </w:p>
    <w:p w14:paraId="7F9D5F9B" w14:textId="77777777" w:rsidR="00B834A2" w:rsidRPr="00B834A2" w:rsidRDefault="00B834A2" w:rsidP="00B834A2">
      <w:pPr>
        <w:pStyle w:val="a0"/>
        <w:shd w:val="clear" w:color="auto" w:fill="auto"/>
        <w:spacing w:after="160" w:line="360" w:lineRule="auto"/>
        <w:ind w:firstLine="567"/>
        <w:jc w:val="both"/>
        <w:rPr>
          <w:rFonts w:ascii="Sylfaen" w:hAnsi="Sylfaen" w:cs="Sylfaen"/>
          <w:b/>
          <w:bCs/>
          <w:sz w:val="24"/>
          <w:szCs w:val="24"/>
        </w:rPr>
      </w:pPr>
    </w:p>
    <w:p w14:paraId="5369C71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ԱՆԱԼԻՏԻԿ ՄԵԹՈԴԻԿԱՅԻ ՏՐԱՆՍՖԵՐԻ ՄԱՍԻՆ ՀԱՇՎԵՏՎՈՒԹՅՈՒՆԸ</w:t>
      </w:r>
    </w:p>
    <w:p w14:paraId="1C080BC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ԱՄՏ-ի բարեհաջող ավարտից հետո ընդունող կողմը պետք է պատրաստի ԱՄՏ-ի մասին հաշվետվություն, որը դիտարկվում </w:t>
      </w:r>
      <w:r>
        <w:rPr>
          <w:rFonts w:ascii="Sylfaen" w:hAnsi="Sylfaen"/>
          <w:sz w:val="24"/>
          <w:szCs w:val="24"/>
        </w:rPr>
        <w:t>եւ</w:t>
      </w:r>
      <w:r w:rsidRPr="00B834A2">
        <w:rPr>
          <w:rFonts w:ascii="Sylfaen" w:hAnsi="Sylfaen"/>
          <w:sz w:val="24"/>
          <w:szCs w:val="24"/>
        </w:rPr>
        <w:t xml:space="preserve"> քննարկվում է փոխանցող կողմի հետ համատեղ: Հաշվետվությունը պետք է պարունակի ընդունող կողմի որակավորման հաստատման մասին եզրակացությունը՝ փոխանցվող անալիտիկ մեթոդիկայի կատարման համար:</w:t>
      </w:r>
    </w:p>
    <w:p w14:paraId="7BB8E19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ԱՄՏ-ն համարում են իրականացված ընդունելիության տրված չափորոշիչներին համապատասխանության դեպքում, իսկ ընդունող կողմը որակավորվում է անալիտիկ մեթոդիկայի կատարման համար: Ընդունելիության տրված չափորոշիչներից արդյունքների ցանկացած շեղում պետք է արձանագրվի, մանրամասն նկարագրվի </w:t>
      </w:r>
      <w:r>
        <w:rPr>
          <w:rFonts w:ascii="Sylfaen" w:hAnsi="Sylfaen"/>
          <w:sz w:val="24"/>
          <w:szCs w:val="24"/>
        </w:rPr>
        <w:t>եւ</w:t>
      </w:r>
      <w:r w:rsidRPr="00B834A2">
        <w:rPr>
          <w:rFonts w:ascii="Sylfaen" w:hAnsi="Sylfaen"/>
          <w:sz w:val="24"/>
          <w:szCs w:val="24"/>
        </w:rPr>
        <w:t xml:space="preserve"> հետազոտվի: Շեղումների հետազոտության արդյունքներն անհրաժեշտ է բերել ԱՄՏ-ի մասին հաշվետվությունում: </w:t>
      </w:r>
    </w:p>
    <w:p w14:paraId="7EB3CB0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Անալիտիկ մեթոդիկան չի կարող համարվել ընդունող կողմի կողմից փոխանցված, քանի դեռ չեն ընդունվել ԱՄՏ-ի ընդունելիության չափորոշիչներին համապատասխանության համար ճշգրտող արդյունավետ միջոցներ: Շեղումների հետազոտության միջոցով սահմանված ճշգրտող միջոցառումների բնույթը </w:t>
      </w:r>
      <w:r>
        <w:rPr>
          <w:rFonts w:ascii="Sylfaen" w:hAnsi="Sylfaen"/>
          <w:sz w:val="24"/>
          <w:szCs w:val="24"/>
        </w:rPr>
        <w:t>եւ</w:t>
      </w:r>
      <w:r w:rsidRPr="00B834A2">
        <w:rPr>
          <w:rFonts w:ascii="Sylfaen" w:hAnsi="Sylfaen"/>
          <w:sz w:val="24"/>
          <w:szCs w:val="24"/>
        </w:rPr>
        <w:t xml:space="preserve"> մասշտաբները կարող են փոփոխվել՝ մասնագետների լրացուցիչ պատրաստման անցկացումից </w:t>
      </w:r>
      <w:r>
        <w:rPr>
          <w:rFonts w:ascii="Sylfaen" w:hAnsi="Sylfaen"/>
          <w:sz w:val="24"/>
          <w:szCs w:val="24"/>
        </w:rPr>
        <w:t>եւ</w:t>
      </w:r>
      <w:r w:rsidRPr="00B834A2">
        <w:rPr>
          <w:rFonts w:ascii="Sylfaen" w:hAnsi="Sylfaen"/>
          <w:sz w:val="24"/>
          <w:szCs w:val="24"/>
        </w:rPr>
        <w:t xml:space="preserve"> մեթոդիկայի առանձնահատկությունների պարզաբանումներից մինչ</w:t>
      </w:r>
      <w:r>
        <w:rPr>
          <w:rFonts w:ascii="Sylfaen" w:hAnsi="Sylfaen"/>
          <w:sz w:val="24"/>
          <w:szCs w:val="24"/>
        </w:rPr>
        <w:t>եւ</w:t>
      </w:r>
      <w:r w:rsidRPr="00B834A2">
        <w:rPr>
          <w:rFonts w:ascii="Sylfaen" w:hAnsi="Sylfaen"/>
          <w:sz w:val="24"/>
          <w:szCs w:val="24"/>
        </w:rPr>
        <w:t xml:space="preserve"> առավել բարդ մոտեցումներ՝ պայմանավորված անալիտիկ փոխանցվող մեթոդիկայով:</w:t>
      </w:r>
    </w:p>
    <w:p w14:paraId="527FBB2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093BC6A0" w14:textId="77777777" w:rsidR="001B3D08" w:rsidRDefault="001B3D08">
      <w:pPr>
        <w:rPr>
          <w:rFonts w:eastAsia="Times New Roman" w:cs="Times New Roman"/>
          <w:b/>
          <w:color w:val="auto"/>
          <w:sz w:val="20"/>
        </w:rPr>
      </w:pPr>
      <w:r>
        <w:rPr>
          <w:b/>
        </w:rPr>
        <w:br w:type="page"/>
      </w:r>
    </w:p>
    <w:p w14:paraId="553F9A7A" w14:textId="77777777" w:rsidR="00B834A2" w:rsidRPr="00294918" w:rsidRDefault="00B834A2" w:rsidP="00097504">
      <w:pPr>
        <w:pStyle w:val="a0"/>
        <w:shd w:val="clear" w:color="auto" w:fill="auto"/>
        <w:spacing w:after="160" w:line="360" w:lineRule="auto"/>
        <w:ind w:firstLine="567"/>
        <w:jc w:val="right"/>
        <w:rPr>
          <w:rFonts w:ascii="Sylfaen" w:hAnsi="Sylfaen"/>
          <w:b/>
          <w:szCs w:val="24"/>
        </w:rPr>
      </w:pPr>
      <w:r w:rsidRPr="00294918">
        <w:rPr>
          <w:rFonts w:ascii="Sylfaen" w:hAnsi="Sylfaen"/>
          <w:b/>
          <w:szCs w:val="24"/>
        </w:rPr>
        <w:lastRenderedPageBreak/>
        <w:t>203170000-2022</w:t>
      </w:r>
    </w:p>
    <w:p w14:paraId="04161690" w14:textId="77777777" w:rsidR="00097504" w:rsidRPr="00294918" w:rsidRDefault="00097504" w:rsidP="00097504">
      <w:pPr>
        <w:pStyle w:val="a0"/>
        <w:shd w:val="clear" w:color="auto" w:fill="auto"/>
        <w:spacing w:after="160" w:line="360" w:lineRule="auto"/>
        <w:ind w:firstLine="567"/>
        <w:jc w:val="right"/>
        <w:rPr>
          <w:rFonts w:ascii="Sylfaen" w:hAnsi="Sylfaen" w:cs="Sylfaen"/>
          <w:szCs w:val="24"/>
        </w:rPr>
      </w:pPr>
    </w:p>
    <w:p w14:paraId="5E6C366D" w14:textId="77777777" w:rsidR="00B834A2" w:rsidRPr="00B834A2" w:rsidRDefault="00B834A2" w:rsidP="00097504">
      <w:pPr>
        <w:pStyle w:val="a0"/>
        <w:shd w:val="clear" w:color="auto" w:fill="auto"/>
        <w:tabs>
          <w:tab w:val="left" w:pos="1701"/>
        </w:tabs>
        <w:spacing w:after="160" w:line="360" w:lineRule="auto"/>
        <w:ind w:firstLine="567"/>
        <w:jc w:val="both"/>
        <w:rPr>
          <w:rFonts w:ascii="Sylfaen" w:hAnsi="Sylfaen" w:cs="Sylfaen"/>
          <w:sz w:val="24"/>
          <w:szCs w:val="24"/>
        </w:rPr>
      </w:pPr>
      <w:r w:rsidRPr="00B834A2">
        <w:rPr>
          <w:rFonts w:ascii="Sylfaen" w:hAnsi="Sylfaen"/>
          <w:b/>
          <w:sz w:val="24"/>
          <w:szCs w:val="24"/>
        </w:rPr>
        <w:t>2.3.17.0.</w:t>
      </w:r>
      <w:r w:rsidR="00097504" w:rsidRPr="002E52D1">
        <w:rPr>
          <w:rFonts w:ascii="Sylfaen" w:hAnsi="Sylfaen"/>
          <w:b/>
          <w:sz w:val="24"/>
          <w:szCs w:val="24"/>
        </w:rPr>
        <w:tab/>
      </w:r>
      <w:r w:rsidRPr="00B834A2">
        <w:rPr>
          <w:rFonts w:ascii="Sylfaen" w:hAnsi="Sylfaen"/>
          <w:b/>
          <w:sz w:val="24"/>
          <w:szCs w:val="24"/>
        </w:rPr>
        <w:t>Դեղամիջոցների կայունությունը</w:t>
      </w:r>
    </w:p>
    <w:p w14:paraId="7870E290" w14:textId="77777777" w:rsidR="00B834A2" w:rsidRPr="00B834A2" w:rsidRDefault="00B834A2" w:rsidP="00B834A2">
      <w:pPr>
        <w:spacing w:after="160" w:line="360" w:lineRule="auto"/>
        <w:ind w:firstLine="567"/>
        <w:jc w:val="both"/>
        <w:rPr>
          <w:i/>
          <w:iCs/>
        </w:rPr>
      </w:pPr>
      <w:r w:rsidRPr="00B834A2">
        <w:rPr>
          <w:i/>
        </w:rPr>
        <w:t xml:space="preserve">Սույն ընդհանուր դեղագրքային հոդվածը նախատեսված է տեղեկատվության համար: Հոդվածում նկարագրվում են դեղամիջոցների քիմիական դեգրադացման </w:t>
      </w:r>
      <w:r w:rsidRPr="00097504">
        <w:rPr>
          <w:i/>
          <w:spacing w:val="-4"/>
        </w:rPr>
        <w:t>պրոցեսները եւ դրանց կայունության վրա ազդող գործոնները: Բերված են առավել տարածված դեղաձեւերի անկայունության ֆիզիկական հատկանիշներ, որոնք թույլ</w:t>
      </w:r>
      <w:r w:rsidR="00294918" w:rsidRPr="00294918">
        <w:rPr>
          <w:i/>
          <w:spacing w:val="-4"/>
        </w:rPr>
        <w:t> </w:t>
      </w:r>
      <w:r w:rsidRPr="00097504">
        <w:rPr>
          <w:i/>
          <w:spacing w:val="-4"/>
        </w:rPr>
        <w:t>են տալիս անցկացնել դեղապատրաստուկների պահպանման ժամանակ արտաքին</w:t>
      </w:r>
      <w:r w:rsidRPr="00B834A2">
        <w:rPr>
          <w:i/>
        </w:rPr>
        <w:t xml:space="preserve"> տեսքի վերահսկում: Դիտարկվել են պահպանման </w:t>
      </w:r>
      <w:r>
        <w:rPr>
          <w:i/>
        </w:rPr>
        <w:t>եւ</w:t>
      </w:r>
      <w:r w:rsidRPr="00B834A2">
        <w:rPr>
          <w:i/>
        </w:rPr>
        <w:t xml:space="preserve"> դեղատներից բացթողման դեպքում արտադրված </w:t>
      </w:r>
      <w:r>
        <w:rPr>
          <w:i/>
        </w:rPr>
        <w:t>եւ</w:t>
      </w:r>
      <w:r w:rsidRPr="00B834A2">
        <w:rPr>
          <w:i/>
        </w:rPr>
        <w:t xml:space="preserve"> պատրաստված դեղապատրաստուկների կայունության ապահովման միջոցները:</w:t>
      </w:r>
    </w:p>
    <w:p w14:paraId="1DB0AEE4" w14:textId="77777777" w:rsidR="00B834A2" w:rsidRPr="002E52D1" w:rsidRDefault="00B834A2" w:rsidP="00B834A2">
      <w:pPr>
        <w:spacing w:after="160" w:line="360" w:lineRule="auto"/>
        <w:ind w:firstLine="567"/>
        <w:jc w:val="both"/>
      </w:pPr>
    </w:p>
    <w:p w14:paraId="1E322EFB" w14:textId="77777777" w:rsidR="00097504" w:rsidRPr="002E52D1" w:rsidRDefault="00097504" w:rsidP="00B834A2">
      <w:pPr>
        <w:spacing w:after="160" w:line="360" w:lineRule="auto"/>
        <w:ind w:firstLine="567"/>
        <w:jc w:val="both"/>
        <w:sectPr w:rsidR="00097504" w:rsidRPr="002E52D1" w:rsidSect="00B834A2">
          <w:pgSz w:w="11907" w:h="16839" w:code="9"/>
          <w:pgMar w:top="1418" w:right="1418" w:bottom="1418" w:left="1418" w:header="709" w:footer="709" w:gutter="0"/>
          <w:cols w:space="708"/>
          <w:docGrid w:linePitch="360"/>
        </w:sectPr>
      </w:pPr>
    </w:p>
    <w:p w14:paraId="064117F9" w14:textId="77777777" w:rsidR="00294918" w:rsidRDefault="00294918" w:rsidP="00294918">
      <w:pPr>
        <w:spacing w:after="160" w:line="360" w:lineRule="auto"/>
        <w:ind w:firstLine="567"/>
        <w:jc w:val="both"/>
      </w:pPr>
      <w:r w:rsidRPr="00097504">
        <w:lastRenderedPageBreak/>
        <w:t xml:space="preserve">Աղյուսակ 2.3.16.0-1. </w:t>
      </w:r>
      <w:r w:rsidRPr="00294918">
        <w:rPr>
          <w:i/>
        </w:rPr>
        <w:t>ԱՄՏ-ի օրինակելի փորձարարական պլանը եւ ԱՄՏ-ի դեպքում անալիտիկ մեթոդիկաների ընդունելիության առաջարկվող չափորոշիչները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3"/>
        <w:gridCol w:w="3091"/>
        <w:gridCol w:w="2016"/>
        <w:gridCol w:w="1757"/>
        <w:gridCol w:w="2366"/>
        <w:gridCol w:w="2410"/>
      </w:tblGrid>
      <w:tr w:rsidR="00B834A2" w:rsidRPr="001B3D08" w14:paraId="4F1C626E" w14:textId="77777777" w:rsidTr="00B834A2">
        <w:trPr>
          <w:jc w:val="center"/>
        </w:trPr>
        <w:tc>
          <w:tcPr>
            <w:tcW w:w="2093" w:type="dxa"/>
            <w:vMerge w:val="restart"/>
            <w:tcBorders>
              <w:top w:val="single" w:sz="4" w:space="0" w:color="auto"/>
            </w:tcBorders>
            <w:shd w:val="clear" w:color="auto" w:fill="FFFFFF"/>
            <w:vAlign w:val="center"/>
          </w:tcPr>
          <w:p w14:paraId="0A41553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Ո</w:t>
            </w:r>
            <w:r w:rsidRPr="001B3D08">
              <w:rPr>
                <w:rFonts w:ascii="Sylfaen" w:hAnsi="Sylfaen"/>
                <w:sz w:val="16"/>
                <w:szCs w:val="16"/>
                <w:lang w:val="en-US"/>
              </w:rPr>
              <w:t>ր</w:t>
            </w:r>
            <w:r w:rsidRPr="001B3D08">
              <w:rPr>
                <w:rFonts w:ascii="Sylfaen" w:hAnsi="Sylfaen"/>
                <w:sz w:val="16"/>
                <w:szCs w:val="16"/>
              </w:rPr>
              <w:t>ակի ցուցանիշները</w:t>
            </w:r>
          </w:p>
        </w:tc>
        <w:tc>
          <w:tcPr>
            <w:tcW w:w="3091" w:type="dxa"/>
            <w:vMerge w:val="restart"/>
            <w:tcBorders>
              <w:top w:val="single" w:sz="4" w:space="0" w:color="auto"/>
              <w:left w:val="single" w:sz="4" w:space="0" w:color="auto"/>
            </w:tcBorders>
            <w:shd w:val="clear" w:color="auto" w:fill="FFFFFF"/>
            <w:vAlign w:val="center"/>
          </w:tcPr>
          <w:p w14:paraId="076E1950"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ԱՄՏ-ի դեպքում դիտարկվող ասպեկտները</w:t>
            </w:r>
          </w:p>
        </w:tc>
        <w:tc>
          <w:tcPr>
            <w:tcW w:w="2016" w:type="dxa"/>
            <w:vMerge w:val="restart"/>
            <w:tcBorders>
              <w:top w:val="single" w:sz="4" w:space="0" w:color="auto"/>
              <w:left w:val="single" w:sz="4" w:space="0" w:color="auto"/>
            </w:tcBorders>
            <w:shd w:val="clear" w:color="auto" w:fill="FFFFFF"/>
            <w:vAlign w:val="center"/>
          </w:tcPr>
          <w:p w14:paraId="25CDC3BE"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Փորձարկումների քանակությունը</w:t>
            </w:r>
          </w:p>
        </w:tc>
        <w:tc>
          <w:tcPr>
            <w:tcW w:w="1757" w:type="dxa"/>
            <w:vMerge w:val="restart"/>
            <w:tcBorders>
              <w:top w:val="single" w:sz="4" w:space="0" w:color="auto"/>
              <w:left w:val="single" w:sz="4" w:space="0" w:color="auto"/>
            </w:tcBorders>
            <w:shd w:val="clear" w:color="auto" w:fill="FFFFFF"/>
            <w:vAlign w:val="center"/>
          </w:tcPr>
          <w:p w14:paraId="61DB13E8"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Փորձարկման անցկացման պայմանները</w:t>
            </w:r>
          </w:p>
        </w:tc>
        <w:tc>
          <w:tcPr>
            <w:tcW w:w="4776" w:type="dxa"/>
            <w:gridSpan w:val="2"/>
            <w:tcBorders>
              <w:top w:val="single" w:sz="4" w:space="0" w:color="auto"/>
              <w:left w:val="single" w:sz="4" w:space="0" w:color="auto"/>
            </w:tcBorders>
            <w:shd w:val="clear" w:color="auto" w:fill="FFFFFF"/>
            <w:vAlign w:val="bottom"/>
          </w:tcPr>
          <w:p w14:paraId="2C979ADA"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Ընդունելիության չափորոշիչները</w:t>
            </w:r>
          </w:p>
        </w:tc>
      </w:tr>
      <w:tr w:rsidR="00B834A2" w:rsidRPr="001B3D08" w14:paraId="76F74691" w14:textId="77777777" w:rsidTr="00B834A2">
        <w:trPr>
          <w:jc w:val="center"/>
        </w:trPr>
        <w:tc>
          <w:tcPr>
            <w:tcW w:w="2093" w:type="dxa"/>
            <w:vMerge/>
            <w:shd w:val="clear" w:color="auto" w:fill="FFFFFF"/>
            <w:vAlign w:val="center"/>
          </w:tcPr>
          <w:p w14:paraId="0EF8E98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3091" w:type="dxa"/>
            <w:vMerge/>
            <w:tcBorders>
              <w:left w:val="single" w:sz="4" w:space="0" w:color="auto"/>
            </w:tcBorders>
            <w:shd w:val="clear" w:color="auto" w:fill="FFFFFF"/>
            <w:vAlign w:val="center"/>
          </w:tcPr>
          <w:p w14:paraId="7E22E801"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2016" w:type="dxa"/>
            <w:vMerge/>
            <w:tcBorders>
              <w:left w:val="single" w:sz="4" w:space="0" w:color="auto"/>
            </w:tcBorders>
            <w:shd w:val="clear" w:color="auto" w:fill="FFFFFF"/>
            <w:vAlign w:val="center"/>
          </w:tcPr>
          <w:p w14:paraId="1C2B6F0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1757" w:type="dxa"/>
            <w:vMerge/>
            <w:tcBorders>
              <w:left w:val="single" w:sz="4" w:space="0" w:color="auto"/>
            </w:tcBorders>
            <w:shd w:val="clear" w:color="auto" w:fill="FFFFFF"/>
            <w:vAlign w:val="center"/>
          </w:tcPr>
          <w:p w14:paraId="494EC1A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2366" w:type="dxa"/>
            <w:tcBorders>
              <w:top w:val="single" w:sz="4" w:space="0" w:color="auto"/>
              <w:left w:val="single" w:sz="4" w:space="0" w:color="auto"/>
            </w:tcBorders>
            <w:shd w:val="clear" w:color="auto" w:fill="FFFFFF"/>
            <w:vAlign w:val="bottom"/>
          </w:tcPr>
          <w:p w14:paraId="6D67C4E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ուղղակի մեթոդ</w:t>
            </w:r>
          </w:p>
        </w:tc>
        <w:tc>
          <w:tcPr>
            <w:tcW w:w="2410" w:type="dxa"/>
            <w:tcBorders>
              <w:top w:val="single" w:sz="4" w:space="0" w:color="auto"/>
              <w:left w:val="single" w:sz="4" w:space="0" w:color="auto"/>
            </w:tcBorders>
            <w:shd w:val="clear" w:color="auto" w:fill="FFFFFF"/>
            <w:vAlign w:val="bottom"/>
          </w:tcPr>
          <w:p w14:paraId="40FAF78A"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վիճակագրական մեթոդ</w:t>
            </w:r>
          </w:p>
        </w:tc>
      </w:tr>
      <w:tr w:rsidR="00B834A2" w:rsidRPr="001B3D08" w14:paraId="5EACFAF6" w14:textId="77777777" w:rsidTr="00B834A2">
        <w:trPr>
          <w:jc w:val="center"/>
        </w:trPr>
        <w:tc>
          <w:tcPr>
            <w:tcW w:w="2093" w:type="dxa"/>
            <w:tcBorders>
              <w:top w:val="single" w:sz="4" w:space="0" w:color="auto"/>
            </w:tcBorders>
            <w:shd w:val="clear" w:color="auto" w:fill="FFFFFF"/>
          </w:tcPr>
          <w:p w14:paraId="075B15ED"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Նույնականացում</w:t>
            </w:r>
          </w:p>
        </w:tc>
        <w:tc>
          <w:tcPr>
            <w:tcW w:w="3091" w:type="dxa"/>
            <w:tcBorders>
              <w:top w:val="single" w:sz="4" w:space="0" w:color="auto"/>
              <w:left w:val="single" w:sz="4" w:space="0" w:color="auto"/>
            </w:tcBorders>
            <w:shd w:val="clear" w:color="auto" w:fill="FFFFFF"/>
            <w:vAlign w:val="center"/>
          </w:tcPr>
          <w:p w14:paraId="4C64D247"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նմուշների պատրաստում.</w:t>
            </w:r>
          </w:p>
          <w:p w14:paraId="52E3DBF0"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սարքավորումներ.</w:t>
            </w:r>
          </w:p>
          <w:p w14:paraId="0A79607B" w14:textId="77777777" w:rsidR="00B834A2" w:rsidRPr="001B3D08" w:rsidRDefault="00B834A2" w:rsidP="00294918">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արդյունքների մեկնաբանություն.</w:t>
            </w:r>
            <w:r w:rsidR="00294918" w:rsidRPr="001B3D08">
              <w:rPr>
                <w:rFonts w:ascii="Sylfaen" w:hAnsi="Sylfaen"/>
                <w:sz w:val="16"/>
                <w:szCs w:val="16"/>
              </w:rPr>
              <w:t xml:space="preserve"> </w:t>
            </w:r>
            <w:r w:rsidRPr="001B3D08">
              <w:rPr>
                <w:rFonts w:ascii="Sylfaen" w:hAnsi="Sylfaen"/>
                <w:sz w:val="16"/>
                <w:szCs w:val="16"/>
              </w:rPr>
              <w:t>ՔՈ մեթոդիկայի տրանսֆերի հետ համատեղման հնարավորություն</w:t>
            </w:r>
          </w:p>
        </w:tc>
        <w:tc>
          <w:tcPr>
            <w:tcW w:w="2016" w:type="dxa"/>
            <w:tcBorders>
              <w:top w:val="single" w:sz="4" w:space="0" w:color="auto"/>
              <w:left w:val="single" w:sz="4" w:space="0" w:color="auto"/>
            </w:tcBorders>
            <w:shd w:val="clear" w:color="auto" w:fill="FFFFFF"/>
          </w:tcPr>
          <w:p w14:paraId="6D76FD70"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1 փորձարկում (սովորաբար բավական է համապատասխանության հաստատման համար)</w:t>
            </w:r>
          </w:p>
        </w:tc>
        <w:tc>
          <w:tcPr>
            <w:tcW w:w="1757" w:type="dxa"/>
            <w:tcBorders>
              <w:top w:val="single" w:sz="4" w:space="0" w:color="auto"/>
              <w:left w:val="single" w:sz="4" w:space="0" w:color="auto"/>
            </w:tcBorders>
            <w:shd w:val="clear" w:color="auto" w:fill="FFFFFF"/>
          </w:tcPr>
          <w:p w14:paraId="08E598B8"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2366" w:type="dxa"/>
            <w:tcBorders>
              <w:top w:val="single" w:sz="4" w:space="0" w:color="auto"/>
              <w:left w:val="single" w:sz="4" w:space="0" w:color="auto"/>
            </w:tcBorders>
            <w:shd w:val="clear" w:color="auto" w:fill="FFFFFF"/>
          </w:tcPr>
          <w:p w14:paraId="6B207507"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2410" w:type="dxa"/>
            <w:tcBorders>
              <w:top w:val="single" w:sz="4" w:space="0" w:color="auto"/>
              <w:left w:val="single" w:sz="4" w:space="0" w:color="auto"/>
            </w:tcBorders>
            <w:shd w:val="clear" w:color="auto" w:fill="FFFFFF"/>
          </w:tcPr>
          <w:p w14:paraId="5736717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r>
      <w:tr w:rsidR="00B834A2" w:rsidRPr="001B3D08" w14:paraId="30A9E14B" w14:textId="77777777" w:rsidTr="00B834A2">
        <w:trPr>
          <w:jc w:val="center"/>
        </w:trPr>
        <w:tc>
          <w:tcPr>
            <w:tcW w:w="2093" w:type="dxa"/>
            <w:tcBorders>
              <w:top w:val="single" w:sz="4" w:space="0" w:color="auto"/>
            </w:tcBorders>
            <w:shd w:val="clear" w:color="auto" w:fill="FFFFFF"/>
          </w:tcPr>
          <w:p w14:paraId="2D24A9CD"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Քանակական որոշում կամ ակտիվություն</w:t>
            </w:r>
          </w:p>
        </w:tc>
        <w:tc>
          <w:tcPr>
            <w:tcW w:w="3091" w:type="dxa"/>
            <w:tcBorders>
              <w:top w:val="single" w:sz="4" w:space="0" w:color="auto"/>
              <w:left w:val="single" w:sz="4" w:space="0" w:color="auto"/>
            </w:tcBorders>
            <w:shd w:val="clear" w:color="auto" w:fill="FFFFFF"/>
          </w:tcPr>
          <w:p w14:paraId="7292EFA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կայունության փորձարկումների համար ՔՈ ոչ սպեցիֆիկ մեթոդիկայի անընդունելիություն.</w:t>
            </w:r>
          </w:p>
          <w:p w14:paraId="0A0156EE"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մի քանի դոզավորումների համար բրեքեթինգի հնարավորություն</w:t>
            </w:r>
          </w:p>
        </w:tc>
        <w:tc>
          <w:tcPr>
            <w:tcW w:w="2016" w:type="dxa"/>
            <w:tcBorders>
              <w:top w:val="single" w:sz="4" w:space="0" w:color="auto"/>
              <w:left w:val="single" w:sz="4" w:space="0" w:color="auto"/>
            </w:tcBorders>
            <w:shd w:val="clear" w:color="auto" w:fill="FFFFFF"/>
          </w:tcPr>
          <w:p w14:paraId="707099D6"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5 անալիտիկ х 3 նմուշ х 3 ԿՈ= 18 փորձարկում (ԸԿ եւ ՓԿ յուրաքանչյուր լաբորատորիայում)</w:t>
            </w:r>
          </w:p>
        </w:tc>
        <w:tc>
          <w:tcPr>
            <w:tcW w:w="1757" w:type="dxa"/>
            <w:tcBorders>
              <w:top w:val="single" w:sz="4" w:space="0" w:color="auto"/>
              <w:left w:val="single" w:sz="4" w:space="0" w:color="auto"/>
            </w:tcBorders>
            <w:shd w:val="clear" w:color="auto" w:fill="FFFFFF"/>
          </w:tcPr>
          <w:p w14:paraId="2ACA9B7B" w14:textId="77777777" w:rsidR="00B834A2" w:rsidRPr="001B3D08" w:rsidRDefault="00B834A2" w:rsidP="00294918">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սարքեր.</w:t>
            </w:r>
            <w:r w:rsidR="00294918" w:rsidRPr="001B3D08">
              <w:rPr>
                <w:rFonts w:ascii="Sylfaen" w:hAnsi="Sylfaen"/>
                <w:sz w:val="16"/>
                <w:szCs w:val="16"/>
              </w:rPr>
              <w:t xml:space="preserve"> </w:t>
            </w:r>
            <w:r w:rsidRPr="001B3D08">
              <w:rPr>
                <w:rFonts w:ascii="Sylfaen" w:hAnsi="Sylfaen"/>
                <w:sz w:val="16"/>
                <w:szCs w:val="16"/>
              </w:rPr>
              <w:t>տարբեր աշտարակներ. ռեակտիվների եւ լուծույթների անկախ պատրաստում</w:t>
            </w:r>
          </w:p>
        </w:tc>
        <w:tc>
          <w:tcPr>
            <w:tcW w:w="2366" w:type="dxa"/>
            <w:tcBorders>
              <w:top w:val="single" w:sz="4" w:space="0" w:color="auto"/>
              <w:left w:val="single" w:sz="4" w:space="0" w:color="auto"/>
            </w:tcBorders>
            <w:shd w:val="clear" w:color="auto" w:fill="FFFFFF"/>
          </w:tcPr>
          <w:p w14:paraId="39BB9786"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¯X եւ RSD համեմատում</w:t>
            </w:r>
          </w:p>
        </w:tc>
        <w:tc>
          <w:tcPr>
            <w:tcW w:w="2410" w:type="dxa"/>
            <w:tcBorders>
              <w:top w:val="single" w:sz="4" w:space="0" w:color="auto"/>
              <w:left w:val="single" w:sz="4" w:space="0" w:color="auto"/>
            </w:tcBorders>
            <w:shd w:val="clear" w:color="auto" w:fill="FFFFFF"/>
          </w:tcPr>
          <w:p w14:paraId="6CB0C15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2 միակողմ t- փորձարկում,</w:t>
            </w:r>
          </w:p>
          <w:p w14:paraId="53F6731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P = 95 % դեպքում ¯ X (ԸԿ)-X (ՓԿ)</w:t>
            </w:r>
            <m:oMath>
              <m:r>
                <m:rPr>
                  <m:sty m:val="p"/>
                </m:rPr>
                <w:rPr>
                  <w:rFonts w:ascii="Cambria Math" w:hAnsi="Cambria Math"/>
                  <w:sz w:val="16"/>
                  <w:szCs w:val="16"/>
                </w:rPr>
                <m:t>≤2%</m:t>
              </m:r>
            </m:oMath>
          </w:p>
        </w:tc>
      </w:tr>
      <w:tr w:rsidR="00B834A2" w:rsidRPr="001B3D08" w14:paraId="12E10928" w14:textId="77777777" w:rsidTr="00B834A2">
        <w:trPr>
          <w:jc w:val="center"/>
        </w:trPr>
        <w:tc>
          <w:tcPr>
            <w:tcW w:w="2093" w:type="dxa"/>
            <w:tcBorders>
              <w:top w:val="single" w:sz="4" w:space="0" w:color="auto"/>
            </w:tcBorders>
            <w:shd w:val="clear" w:color="auto" w:fill="FFFFFF"/>
          </w:tcPr>
          <w:p w14:paraId="0034CCF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Պարունակության միատարրություն</w:t>
            </w:r>
          </w:p>
        </w:tc>
        <w:tc>
          <w:tcPr>
            <w:tcW w:w="3091" w:type="dxa"/>
            <w:tcBorders>
              <w:top w:val="single" w:sz="4" w:space="0" w:color="auto"/>
              <w:left w:val="single" w:sz="4" w:space="0" w:color="auto"/>
            </w:tcBorders>
            <w:shd w:val="clear" w:color="auto" w:fill="FFFFFF"/>
          </w:tcPr>
          <w:p w14:paraId="04A80DF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ՔՈ մեթոդիկայի ՊՀ-ի վրա փորձարկման մեթոդիկայի համարժեքության դեպքում ՎՄՏ-ի չեղարկում</w:t>
            </w:r>
          </w:p>
        </w:tc>
        <w:tc>
          <w:tcPr>
            <w:tcW w:w="2016" w:type="dxa"/>
            <w:tcBorders>
              <w:top w:val="single" w:sz="4" w:space="0" w:color="auto"/>
              <w:left w:val="single" w:sz="4" w:space="0" w:color="auto"/>
            </w:tcBorders>
            <w:shd w:val="clear" w:color="auto" w:fill="FFFFFF"/>
          </w:tcPr>
          <w:p w14:paraId="3E2C048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2 անալիտիկ х 1 նմուշ =2 փորձարկում (ԸԿ եւ ՓԿ յուրաքանչյուր լաբորատորիայում)</w:t>
            </w:r>
          </w:p>
        </w:tc>
        <w:tc>
          <w:tcPr>
            <w:tcW w:w="1757" w:type="dxa"/>
            <w:tcBorders>
              <w:top w:val="single" w:sz="4" w:space="0" w:color="auto"/>
              <w:left w:val="single" w:sz="4" w:space="0" w:color="auto"/>
            </w:tcBorders>
            <w:shd w:val="clear" w:color="auto" w:fill="FFFFFF"/>
            <w:vAlign w:val="center"/>
          </w:tcPr>
          <w:p w14:paraId="39B6DB2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սարքեր.</w:t>
            </w:r>
          </w:p>
          <w:p w14:paraId="3701BFD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աշտարակներ. ռեակտիվների եւ լուծույթների անկախ պատրաստում</w:t>
            </w:r>
          </w:p>
        </w:tc>
        <w:tc>
          <w:tcPr>
            <w:tcW w:w="2366" w:type="dxa"/>
            <w:tcBorders>
              <w:top w:val="single" w:sz="4" w:space="0" w:color="auto"/>
              <w:left w:val="single" w:sz="4" w:space="0" w:color="auto"/>
            </w:tcBorders>
            <w:shd w:val="clear" w:color="auto" w:fill="FFFFFF"/>
          </w:tcPr>
          <w:p w14:paraId="59291A5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¯X (ԸԿ)- ¯X (ՓԿ) = ±3 %:</w:t>
            </w:r>
          </w:p>
          <w:p w14:paraId="18E4F5F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RSD համեմատում</w:t>
            </w:r>
          </w:p>
        </w:tc>
        <w:tc>
          <w:tcPr>
            <w:tcW w:w="2410" w:type="dxa"/>
            <w:tcBorders>
              <w:top w:val="single" w:sz="4" w:space="0" w:color="auto"/>
              <w:left w:val="single" w:sz="4" w:space="0" w:color="auto"/>
            </w:tcBorders>
            <w:shd w:val="clear" w:color="auto" w:fill="FFFFFF"/>
          </w:tcPr>
          <w:p w14:paraId="22BBF31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2 միակողմանի f-փորձարկումներ,</w:t>
            </w:r>
          </w:p>
          <w:p w14:paraId="1F68CF2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Р = 95 %-ի դեպքում ¯X (ԸԿ)-¯X (ՓԿ)</w:t>
            </w:r>
            <m:oMath>
              <m:r>
                <m:rPr>
                  <m:sty m:val="p"/>
                </m:rPr>
                <w:rPr>
                  <w:rFonts w:ascii="Cambria Math" w:hAnsi="Cambria Math"/>
                  <w:sz w:val="16"/>
                  <w:szCs w:val="16"/>
                </w:rPr>
                <m:t>≤3%</m:t>
              </m:r>
            </m:oMath>
          </w:p>
        </w:tc>
      </w:tr>
      <w:tr w:rsidR="00B834A2" w:rsidRPr="001B3D08" w14:paraId="04A39848" w14:textId="77777777" w:rsidTr="00B834A2">
        <w:trPr>
          <w:jc w:val="center"/>
        </w:trPr>
        <w:tc>
          <w:tcPr>
            <w:tcW w:w="2093" w:type="dxa"/>
            <w:tcBorders>
              <w:top w:val="single" w:sz="4" w:space="0" w:color="auto"/>
              <w:bottom w:val="single" w:sz="4" w:space="0" w:color="auto"/>
            </w:tcBorders>
            <w:shd w:val="clear" w:color="auto" w:fill="FFFFFF"/>
          </w:tcPr>
          <w:p w14:paraId="5E28F728"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Լուծում</w:t>
            </w:r>
          </w:p>
        </w:tc>
        <w:tc>
          <w:tcPr>
            <w:tcW w:w="3091" w:type="dxa"/>
            <w:tcBorders>
              <w:top w:val="single" w:sz="4" w:space="0" w:color="auto"/>
              <w:left w:val="single" w:sz="4" w:space="0" w:color="auto"/>
              <w:bottom w:val="single" w:sz="4" w:space="0" w:color="auto"/>
            </w:tcBorders>
            <w:shd w:val="clear" w:color="auto" w:fill="FFFFFF"/>
          </w:tcPr>
          <w:p w14:paraId="649E9923"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մի քանի բաժնաքանակների համար բրեքեթինգի հնարավորությունը</w:t>
            </w:r>
          </w:p>
        </w:tc>
        <w:tc>
          <w:tcPr>
            <w:tcW w:w="2016" w:type="dxa"/>
            <w:tcBorders>
              <w:top w:val="single" w:sz="4" w:space="0" w:color="auto"/>
              <w:left w:val="single" w:sz="4" w:space="0" w:color="auto"/>
              <w:bottom w:val="single" w:sz="4" w:space="0" w:color="auto"/>
            </w:tcBorders>
            <w:shd w:val="clear" w:color="auto" w:fill="FFFFFF"/>
            <w:vAlign w:val="center"/>
          </w:tcPr>
          <w:p w14:paraId="3365CB3A"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դոզավորված դեղաձեւի 6 միավոր կամ 12 միավոր.</w:t>
            </w:r>
          </w:p>
          <w:p w14:paraId="63323F0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ԸԿ լաբորատորիայում ոչ ամեն օր կատարվող անալիտիկ մեթոդիկայի համար.</w:t>
            </w:r>
          </w:p>
          <w:p w14:paraId="19A9741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երկարաձգված ձերբազատմամբ դեղապատրաստուկների համար</w:t>
            </w:r>
          </w:p>
        </w:tc>
        <w:tc>
          <w:tcPr>
            <w:tcW w:w="1757" w:type="dxa"/>
            <w:tcBorders>
              <w:top w:val="single" w:sz="4" w:space="0" w:color="auto"/>
              <w:left w:val="single" w:sz="4" w:space="0" w:color="auto"/>
              <w:bottom w:val="single" w:sz="4" w:space="0" w:color="auto"/>
            </w:tcBorders>
            <w:shd w:val="clear" w:color="auto" w:fill="FFFFFF"/>
          </w:tcPr>
          <w:p w14:paraId="14D69FAC"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2366" w:type="dxa"/>
            <w:tcBorders>
              <w:top w:val="single" w:sz="4" w:space="0" w:color="auto"/>
              <w:left w:val="single" w:sz="4" w:space="0" w:color="auto"/>
              <w:bottom w:val="single" w:sz="4" w:space="0" w:color="auto"/>
            </w:tcBorders>
            <w:shd w:val="clear" w:color="auto" w:fill="FFFFFF"/>
          </w:tcPr>
          <w:p w14:paraId="08B847C1"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¯X (ԸԿ)¯X (ՓԿ) = ±5 %</w:t>
            </w:r>
          </w:p>
        </w:tc>
        <w:tc>
          <w:tcPr>
            <w:tcW w:w="2410" w:type="dxa"/>
            <w:tcBorders>
              <w:top w:val="single" w:sz="4" w:space="0" w:color="auto"/>
              <w:left w:val="single" w:sz="4" w:space="0" w:color="auto"/>
              <w:bottom w:val="single" w:sz="4" w:space="0" w:color="auto"/>
            </w:tcBorders>
            <w:shd w:val="clear" w:color="auto" w:fill="FFFFFF"/>
          </w:tcPr>
          <w:p w14:paraId="20A5686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(f2) լուծման պրոֆիլների կամ (Qt) տրված ժամանակային կետերի դեպքում արդյունքների համեմատում (համանման է ՈՈ)</w:t>
            </w:r>
          </w:p>
        </w:tc>
      </w:tr>
    </w:tbl>
    <w:p w14:paraId="1315B99B" w14:textId="77777777" w:rsidR="00B834A2" w:rsidRPr="00A859E3" w:rsidRDefault="00B834A2" w:rsidP="00B834A2">
      <w:pPr>
        <w:pStyle w:val="a0"/>
        <w:shd w:val="clear" w:color="auto" w:fill="auto"/>
        <w:spacing w:after="160" w:line="360" w:lineRule="auto"/>
        <w:ind w:firstLine="567"/>
        <w:jc w:val="both"/>
        <w:rPr>
          <w:rFonts w:ascii="Sylfaen" w:hAnsi="Sylfaen"/>
          <w:sz w:val="24"/>
          <w:szCs w:val="24"/>
        </w:rPr>
      </w:pPr>
    </w:p>
    <w:p w14:paraId="437E32AB" w14:textId="77777777" w:rsidR="00294918" w:rsidRPr="00294918" w:rsidRDefault="00294918" w:rsidP="00B834A2">
      <w:pPr>
        <w:pStyle w:val="a0"/>
        <w:shd w:val="clear" w:color="auto" w:fill="auto"/>
        <w:spacing w:after="160" w:line="360" w:lineRule="auto"/>
        <w:ind w:firstLine="567"/>
        <w:jc w:val="both"/>
        <w:rPr>
          <w:rFonts w:ascii="Sylfaen" w:hAnsi="Sylfaen"/>
          <w:i/>
          <w:sz w:val="32"/>
          <w:szCs w:val="24"/>
          <w:lang w:val="en-US"/>
        </w:rPr>
      </w:pPr>
      <w:r w:rsidRPr="00294918">
        <w:rPr>
          <w:rFonts w:ascii="Sylfaen" w:hAnsi="Sylfaen"/>
          <w:sz w:val="24"/>
          <w:szCs w:val="24"/>
        </w:rPr>
        <w:lastRenderedPageBreak/>
        <w:t xml:space="preserve">Աղյուսակ 2.3.16.0-1. </w:t>
      </w:r>
      <w:r w:rsidRPr="00294918">
        <w:rPr>
          <w:rFonts w:ascii="Sylfaen" w:hAnsi="Sylfaen"/>
          <w:i/>
          <w:sz w:val="24"/>
          <w:szCs w:val="24"/>
        </w:rPr>
        <w:t>Ավարտ</w:t>
      </w:r>
    </w:p>
    <w:tbl>
      <w:tblPr>
        <w:tblOverlap w:val="never"/>
        <w:tblW w:w="0" w:type="auto"/>
        <w:tblLayout w:type="fixed"/>
        <w:tblCellMar>
          <w:left w:w="10" w:type="dxa"/>
          <w:right w:w="10" w:type="dxa"/>
        </w:tblCellMar>
        <w:tblLook w:val="0000" w:firstRow="0" w:lastRow="0" w:firstColumn="0" w:lastColumn="0" w:noHBand="0" w:noVBand="0"/>
      </w:tblPr>
      <w:tblGrid>
        <w:gridCol w:w="2093"/>
        <w:gridCol w:w="3086"/>
        <w:gridCol w:w="2016"/>
        <w:gridCol w:w="1757"/>
        <w:gridCol w:w="2371"/>
        <w:gridCol w:w="2400"/>
      </w:tblGrid>
      <w:tr w:rsidR="00B834A2" w:rsidRPr="001B3D08" w14:paraId="3DA246F4" w14:textId="77777777" w:rsidTr="002B2475">
        <w:trPr>
          <w:tblHeader/>
        </w:trPr>
        <w:tc>
          <w:tcPr>
            <w:tcW w:w="2093" w:type="dxa"/>
            <w:tcBorders>
              <w:top w:val="single" w:sz="4" w:space="0" w:color="auto"/>
            </w:tcBorders>
            <w:shd w:val="clear" w:color="auto" w:fill="FFFFFF"/>
          </w:tcPr>
          <w:p w14:paraId="5B6AAF46"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Կողմնակի խառնուկներ, դեգրադացման արգասիքներ, մնացորդային լուծիչներ</w:t>
            </w:r>
          </w:p>
        </w:tc>
        <w:tc>
          <w:tcPr>
            <w:tcW w:w="3086" w:type="dxa"/>
            <w:tcBorders>
              <w:top w:val="single" w:sz="4" w:space="0" w:color="auto"/>
              <w:left w:val="single" w:sz="4" w:space="0" w:color="auto"/>
            </w:tcBorders>
            <w:shd w:val="clear" w:color="auto" w:fill="FFFFFF"/>
          </w:tcPr>
          <w:p w14:paraId="26D2F283"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ազդող նյութի պիկով հաշվարկների համար զգայունության գործակիցների հաստատում.</w:t>
            </w:r>
          </w:p>
          <w:p w14:paraId="05AE5C8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ԸԿ լաբորատորիայում ՔՈ սահմանի հաստատում.</w:t>
            </w:r>
          </w:p>
          <w:p w14:paraId="0D1FEE07"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քրոմատագրերի համեմատում.</w:t>
            </w:r>
          </w:p>
          <w:p w14:paraId="1CFB2D41"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մոդելային նմուշներում փորձերում ճշտության եւ ճշգրտության համեմատում</w:t>
            </w:r>
          </w:p>
        </w:tc>
        <w:tc>
          <w:tcPr>
            <w:tcW w:w="2016" w:type="dxa"/>
            <w:tcBorders>
              <w:top w:val="single" w:sz="4" w:space="0" w:color="auto"/>
              <w:left w:val="single" w:sz="4" w:space="0" w:color="auto"/>
            </w:tcBorders>
            <w:shd w:val="clear" w:color="auto" w:fill="FFFFFF"/>
          </w:tcPr>
          <w:p w14:paraId="6B03DE9E"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2 անալիտիկ х 3 նմուշ х 2 ԿՈ (կամ 3 ԿՈ ՔՈ-ի հետ համատեղմամբ)=12 (կամ 18) փորձարկում (ԸԿ եւ ՓԿ յուրաքանչյուր լաբորատորիայում)</w:t>
            </w:r>
          </w:p>
        </w:tc>
        <w:tc>
          <w:tcPr>
            <w:tcW w:w="1757" w:type="dxa"/>
            <w:tcBorders>
              <w:top w:val="single" w:sz="4" w:space="0" w:color="auto"/>
              <w:left w:val="single" w:sz="4" w:space="0" w:color="auto"/>
            </w:tcBorders>
            <w:shd w:val="clear" w:color="auto" w:fill="FFFFFF"/>
            <w:vAlign w:val="bottom"/>
          </w:tcPr>
          <w:p w14:paraId="0E804298"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օրեր.</w:t>
            </w:r>
          </w:p>
          <w:p w14:paraId="698789F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սարքեր.</w:t>
            </w:r>
          </w:p>
          <w:p w14:paraId="0FC4FD9C"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տարբեր սյունակներ.</w:t>
            </w:r>
          </w:p>
          <w:p w14:paraId="13420F9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նույն պայմաններում պահվող՝ արտադրության նույն ամսաթվի նույն փաթեթվածքում միատարր նմուշներ.</w:t>
            </w:r>
          </w:p>
          <w:p w14:paraId="685C8CA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մոդելային նմուշներ (անհրաժեշտության դեպքում)</w:t>
            </w:r>
          </w:p>
        </w:tc>
        <w:tc>
          <w:tcPr>
            <w:tcW w:w="2371" w:type="dxa"/>
            <w:tcBorders>
              <w:top w:val="single" w:sz="4" w:space="0" w:color="auto"/>
              <w:left w:val="single" w:sz="4" w:space="0" w:color="auto"/>
            </w:tcBorders>
            <w:shd w:val="clear" w:color="auto" w:fill="FFFFFF"/>
          </w:tcPr>
          <w:p w14:paraId="418D1ED0"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 xml:space="preserve">Ցածր պարունակության դեպքում. </w:t>
            </w:r>
            <m:oMath>
              <m:sSub>
                <m:sSubPr>
                  <m:ctrlPr>
                    <w:rPr>
                      <w:rFonts w:ascii="Cambria Math" w:hAnsi="Cambria Math"/>
                      <w:sz w:val="16"/>
                      <w:szCs w:val="16"/>
                    </w:rPr>
                  </m:ctrlPr>
                </m:sSubPr>
                <m:e>
                  <m:r>
                    <m:rPr>
                      <m:sty m:val="p"/>
                    </m:rPr>
                    <w:rPr>
                      <w:rFonts w:ascii="Cambria Math" w:hAnsi="Cambria Math"/>
                      <w:sz w:val="16"/>
                      <w:szCs w:val="16"/>
                    </w:rPr>
                    <m:t>X</m:t>
                  </m:r>
                </m:e>
                <m:sub>
                  <m:r>
                    <m:rPr>
                      <m:sty m:val="p"/>
                    </m:rPr>
                    <w:rPr>
                      <w:rFonts w:ascii="Cambria Math" w:hAnsi="Cambria Math"/>
                      <w:sz w:val="16"/>
                      <w:szCs w:val="16"/>
                    </w:rPr>
                    <m:t>i</m:t>
                  </m:r>
                </m:sub>
              </m:sSub>
            </m:oMath>
            <w:r w:rsidRPr="001B3D08">
              <w:rPr>
                <w:rFonts w:ascii="Sylfaen" w:hAnsi="Sylfaen"/>
                <w:sz w:val="16"/>
                <w:szCs w:val="16"/>
              </w:rPr>
              <w:t xml:space="preserve"> (ԸԿ)-</w:t>
            </w:r>
            <m:oMath>
              <m:r>
                <m:rPr>
                  <m:sty m:val="p"/>
                </m:rP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X</m:t>
                  </m:r>
                </m:e>
                <m:sub>
                  <m:r>
                    <m:rPr>
                      <m:sty m:val="p"/>
                    </m:rPr>
                    <w:rPr>
                      <w:rFonts w:ascii="Cambria Math" w:hAnsi="Cambria Math"/>
                      <w:sz w:val="16"/>
                      <w:szCs w:val="16"/>
                    </w:rPr>
                    <m:t>i</m:t>
                  </m:r>
                </m:sub>
              </m:sSub>
            </m:oMath>
            <w:r w:rsidRPr="001B3D08">
              <w:rPr>
                <w:rFonts w:ascii="Sylfaen" w:hAnsi="Sylfaen"/>
                <w:sz w:val="16"/>
                <w:szCs w:val="16"/>
              </w:rPr>
              <w:t xml:space="preserve"> (ՓԿ) = ±25 % կամ ¯X(ԸԿ)-</w:t>
            </w:r>
            <m:oMath>
              <m:r>
                <m:rPr>
                  <m:sty m:val="p"/>
                </m:rPr>
                <w:rPr>
                  <w:rFonts w:ascii="Cambria Math" w:hAnsi="Cambria Math"/>
                  <w:sz w:val="16"/>
                  <w:szCs w:val="16"/>
                </w:rPr>
                <m:t>¯X</m:t>
              </m:r>
            </m:oMath>
            <w:r w:rsidRPr="001B3D08">
              <w:rPr>
                <w:rFonts w:ascii="Sylfaen" w:hAnsi="Sylfaen"/>
                <w:sz w:val="16"/>
                <w:szCs w:val="16"/>
              </w:rPr>
              <w:t>(ՓԿ) = ±0,05 %</w:t>
            </w:r>
          </w:p>
        </w:tc>
        <w:tc>
          <w:tcPr>
            <w:tcW w:w="2400" w:type="dxa"/>
            <w:tcBorders>
              <w:top w:val="single" w:sz="4" w:space="0" w:color="auto"/>
              <w:left w:val="single" w:sz="4" w:space="0" w:color="auto"/>
            </w:tcBorders>
            <w:shd w:val="clear" w:color="auto" w:fill="FFFFFF"/>
          </w:tcPr>
          <w:p w14:paraId="5DE3EF39"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Չափավոր բարձր պարունակության դեպքում.</w:t>
            </w:r>
          </w:p>
          <w:p w14:paraId="0C5D397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2 միակողմ t-փորձարկում,</w:t>
            </w:r>
          </w:p>
          <w:p w14:paraId="6F73842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Р = 95 %-ի դեպքում X(ԸԿ)-</w:t>
            </w:r>
            <m:oMath>
              <m:r>
                <m:rPr>
                  <m:sty m:val="p"/>
                </m:rPr>
                <w:rPr>
                  <w:rFonts w:ascii="Cambria Math" w:hAnsi="Cambria Math"/>
                  <w:sz w:val="16"/>
                  <w:szCs w:val="16"/>
                </w:rPr>
                <m:t>¯X</m:t>
              </m:r>
            </m:oMath>
            <w:r w:rsidRPr="001B3D08">
              <w:rPr>
                <w:rFonts w:ascii="Sylfaen" w:hAnsi="Sylfaen"/>
                <w:sz w:val="16"/>
                <w:szCs w:val="16"/>
              </w:rPr>
              <w:t xml:space="preserve">(ՓԿ) </w:t>
            </w:r>
            <m:oMath>
              <m:r>
                <m:rPr>
                  <m:sty m:val="p"/>
                </m:rPr>
                <w:rPr>
                  <w:rFonts w:ascii="Cambria Math" w:hAnsi="Cambria Math"/>
                  <w:sz w:val="16"/>
                  <w:szCs w:val="16"/>
                </w:rPr>
                <m:t>≤</m:t>
              </m:r>
            </m:oMath>
            <w:r w:rsidRPr="001B3D08">
              <w:rPr>
                <w:rFonts w:ascii="Sylfaen" w:hAnsi="Sylfaen"/>
                <w:sz w:val="16"/>
                <w:szCs w:val="16"/>
              </w:rPr>
              <w:t xml:space="preserve"> 10 %</w:t>
            </w:r>
          </w:p>
        </w:tc>
      </w:tr>
      <w:tr w:rsidR="00B834A2" w:rsidRPr="001B3D08" w14:paraId="2B5CFA6A" w14:textId="77777777" w:rsidTr="00B834A2">
        <w:tc>
          <w:tcPr>
            <w:tcW w:w="2093" w:type="dxa"/>
            <w:tcBorders>
              <w:top w:val="single" w:sz="4" w:space="0" w:color="auto"/>
            </w:tcBorders>
            <w:shd w:val="clear" w:color="auto" w:fill="FFFFFF"/>
          </w:tcPr>
          <w:p w14:paraId="1588D6A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Մանրէաբանական մաքրություն</w:t>
            </w:r>
          </w:p>
        </w:tc>
        <w:tc>
          <w:tcPr>
            <w:tcW w:w="3086" w:type="dxa"/>
            <w:tcBorders>
              <w:top w:val="single" w:sz="4" w:space="0" w:color="auto"/>
              <w:left w:val="single" w:sz="4" w:space="0" w:color="auto"/>
            </w:tcBorders>
            <w:shd w:val="clear" w:color="auto" w:fill="FFFFFF"/>
            <w:vAlign w:val="bottom"/>
          </w:tcPr>
          <w:p w14:paraId="3DA0BB76"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վալիդացման ընդհանուր աշխատակարգի կատարում (մեթոդիկայի հիմնավորում, նկարագրություն, վալիդացման բնութագրեր, ստացված արդյունքների համառոտ նկարագիր, ընդունելիության չափորոշիչներ, արդյունքների հավաքման, համադրման եւ անալիզի մեթոդներ, մասնագրի սահմաններից դուրս եկող արդյունքների մշակում, հետագա միջոցառումների անցկացմանը ներկայացվող պահանջներ).</w:t>
            </w:r>
          </w:p>
          <w:p w14:paraId="5A44671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նույն նյութերի, մեթոդիկաների օգտագործում, ինոկուլյատի պատրաստում</w:t>
            </w:r>
          </w:p>
        </w:tc>
        <w:tc>
          <w:tcPr>
            <w:tcW w:w="2016" w:type="dxa"/>
            <w:tcBorders>
              <w:top w:val="single" w:sz="4" w:space="0" w:color="auto"/>
              <w:left w:val="single" w:sz="4" w:space="0" w:color="auto"/>
            </w:tcBorders>
            <w:shd w:val="clear" w:color="auto" w:fill="FFFFFF"/>
          </w:tcPr>
          <w:p w14:paraId="0D33092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3 ԿՈ-ի դեպքում վալիդացում</w:t>
            </w:r>
          </w:p>
        </w:tc>
        <w:tc>
          <w:tcPr>
            <w:tcW w:w="1757" w:type="dxa"/>
            <w:tcBorders>
              <w:top w:val="single" w:sz="4" w:space="0" w:color="auto"/>
              <w:left w:val="single" w:sz="4" w:space="0" w:color="auto"/>
            </w:tcBorders>
            <w:shd w:val="clear" w:color="auto" w:fill="FFFFFF"/>
          </w:tcPr>
          <w:p w14:paraId="79F25742"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յուրաքանչյուր վալիդացման ընթացակարգի համար դեղապատրաստուկի տարբեր սերիաներ</w:t>
            </w:r>
          </w:p>
        </w:tc>
        <w:tc>
          <w:tcPr>
            <w:tcW w:w="2371" w:type="dxa"/>
            <w:tcBorders>
              <w:top w:val="single" w:sz="4" w:space="0" w:color="auto"/>
              <w:left w:val="single" w:sz="4" w:space="0" w:color="auto"/>
            </w:tcBorders>
            <w:shd w:val="clear" w:color="auto" w:fill="FFFFFF"/>
          </w:tcPr>
          <w:p w14:paraId="610A6D1F"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Միկրոօրգանիզմների առկայության հաստատում (որակական փորձարկումներ):</w:t>
            </w:r>
          </w:p>
          <w:p w14:paraId="680918B3"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Աշխատակարգում նշված թույլատրելի սահմաններին միկրոօրգանիզմների գտնված պարունակության համապատասխանություն (քանակական փորձարկումներ)</w:t>
            </w:r>
          </w:p>
        </w:tc>
        <w:tc>
          <w:tcPr>
            <w:tcW w:w="2400" w:type="dxa"/>
            <w:tcBorders>
              <w:top w:val="single" w:sz="4" w:space="0" w:color="auto"/>
              <w:left w:val="single" w:sz="4" w:space="0" w:color="auto"/>
            </w:tcBorders>
            <w:shd w:val="clear" w:color="auto" w:fill="FFFFFF"/>
          </w:tcPr>
          <w:p w14:paraId="40056E15"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r>
      <w:tr w:rsidR="00B834A2" w:rsidRPr="001B3D08" w14:paraId="568B5249" w14:textId="77777777" w:rsidTr="00B834A2">
        <w:tc>
          <w:tcPr>
            <w:tcW w:w="2093" w:type="dxa"/>
            <w:tcBorders>
              <w:top w:val="single" w:sz="4" w:space="0" w:color="auto"/>
              <w:bottom w:val="single" w:sz="4" w:space="0" w:color="auto"/>
            </w:tcBorders>
            <w:shd w:val="clear" w:color="auto" w:fill="FFFFFF"/>
          </w:tcPr>
          <w:p w14:paraId="28FF85B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Մաքրման վերահսկում (մակերեւույթի վրա մնացորդային քանակությունների գտնված արժեք)</w:t>
            </w:r>
          </w:p>
        </w:tc>
        <w:tc>
          <w:tcPr>
            <w:tcW w:w="3086" w:type="dxa"/>
            <w:tcBorders>
              <w:top w:val="single" w:sz="4" w:space="0" w:color="auto"/>
              <w:left w:val="single" w:sz="4" w:space="0" w:color="auto"/>
              <w:bottom w:val="single" w:sz="4" w:space="0" w:color="auto"/>
            </w:tcBorders>
            <w:shd w:val="clear" w:color="auto" w:fill="FFFFFF"/>
          </w:tcPr>
          <w:p w14:paraId="6DBA2CE0"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ԸԿ եւ ՓԿ լաբորատորիաներում վիրախծուծման համար նույն նյութի օգտագործման հաստատում</w:t>
            </w:r>
          </w:p>
        </w:tc>
        <w:tc>
          <w:tcPr>
            <w:tcW w:w="2016" w:type="dxa"/>
            <w:tcBorders>
              <w:top w:val="single" w:sz="4" w:space="0" w:color="auto"/>
              <w:left w:val="single" w:sz="4" w:space="0" w:color="auto"/>
              <w:bottom w:val="single" w:sz="4" w:space="0" w:color="auto"/>
            </w:tcBorders>
            <w:shd w:val="clear" w:color="auto" w:fill="FFFFFF"/>
          </w:tcPr>
          <w:p w14:paraId="1A58745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c>
          <w:tcPr>
            <w:tcW w:w="1757" w:type="dxa"/>
            <w:tcBorders>
              <w:top w:val="single" w:sz="4" w:space="0" w:color="auto"/>
              <w:left w:val="single" w:sz="4" w:space="0" w:color="auto"/>
              <w:bottom w:val="single" w:sz="4" w:space="0" w:color="auto"/>
            </w:tcBorders>
            <w:shd w:val="clear" w:color="auto" w:fill="FFFFFF"/>
            <w:vAlign w:val="bottom"/>
          </w:tcPr>
          <w:p w14:paraId="4E73842B"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 xml:space="preserve">եռապատկված ստանդարտ շեղման սահմաններում կամ մասնագրում նշված արժեքի ±10% սահմաններում որոշվող նյութի պարունակությամբ </w:t>
            </w:r>
            <w:r w:rsidRPr="001B3D08">
              <w:rPr>
                <w:rFonts w:ascii="Sylfaen" w:hAnsi="Sylfaen"/>
                <w:sz w:val="16"/>
                <w:szCs w:val="16"/>
              </w:rPr>
              <w:lastRenderedPageBreak/>
              <w:t>մոդելային նմուշները (պայմանավորված նրանով, թե ինչն է ավելի շատ)</w:t>
            </w:r>
          </w:p>
        </w:tc>
        <w:tc>
          <w:tcPr>
            <w:tcW w:w="2371" w:type="dxa"/>
            <w:tcBorders>
              <w:top w:val="single" w:sz="4" w:space="0" w:color="auto"/>
              <w:left w:val="single" w:sz="4" w:space="0" w:color="auto"/>
              <w:bottom w:val="single" w:sz="4" w:space="0" w:color="auto"/>
            </w:tcBorders>
            <w:shd w:val="clear" w:color="auto" w:fill="FFFFFF"/>
          </w:tcPr>
          <w:p w14:paraId="40A254AA"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lastRenderedPageBreak/>
              <w:t>Մասնագրում նշված սահմանից բարձր փորձարկումների արդյունքներով բոլոր մոդելային նմուշները համարվում են չհամապատասխանող:</w:t>
            </w:r>
          </w:p>
          <w:p w14:paraId="2E96DEF1"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r w:rsidRPr="001B3D08">
              <w:rPr>
                <w:rFonts w:ascii="Sylfaen" w:hAnsi="Sylfaen"/>
                <w:sz w:val="16"/>
                <w:szCs w:val="16"/>
              </w:rPr>
              <w:t xml:space="preserve">Մասնագրում նշված սահմանից բարձր փորձարկումների </w:t>
            </w:r>
            <w:r w:rsidRPr="001B3D08">
              <w:rPr>
                <w:rFonts w:ascii="Sylfaen" w:hAnsi="Sylfaen"/>
                <w:sz w:val="16"/>
                <w:szCs w:val="16"/>
              </w:rPr>
              <w:lastRenderedPageBreak/>
              <w:t>արդյունքներով 90 % մոդելային նմուշները համարվում են համապատասխանող</w:t>
            </w:r>
          </w:p>
        </w:tc>
        <w:tc>
          <w:tcPr>
            <w:tcW w:w="2400" w:type="dxa"/>
            <w:tcBorders>
              <w:top w:val="single" w:sz="4" w:space="0" w:color="auto"/>
              <w:left w:val="single" w:sz="4" w:space="0" w:color="auto"/>
              <w:bottom w:val="single" w:sz="4" w:space="0" w:color="auto"/>
            </w:tcBorders>
            <w:shd w:val="clear" w:color="auto" w:fill="FFFFFF"/>
          </w:tcPr>
          <w:p w14:paraId="6CF38D94" w14:textId="77777777" w:rsidR="00B834A2" w:rsidRPr="001B3D08" w:rsidRDefault="00B834A2" w:rsidP="00097504">
            <w:pPr>
              <w:pStyle w:val="a0"/>
              <w:shd w:val="clear" w:color="auto" w:fill="auto"/>
              <w:spacing w:after="120" w:line="240" w:lineRule="auto"/>
              <w:ind w:firstLine="0"/>
              <w:jc w:val="center"/>
              <w:rPr>
                <w:rFonts w:ascii="Sylfaen" w:hAnsi="Sylfaen"/>
                <w:sz w:val="16"/>
                <w:szCs w:val="16"/>
              </w:rPr>
            </w:pPr>
          </w:p>
        </w:tc>
      </w:tr>
    </w:tbl>
    <w:p w14:paraId="39E0AD89" w14:textId="77777777" w:rsidR="001B3D08" w:rsidRPr="00D35F34" w:rsidRDefault="001B3D08" w:rsidP="00294918">
      <w:pPr>
        <w:pStyle w:val="a0"/>
        <w:shd w:val="clear" w:color="auto" w:fill="auto"/>
        <w:spacing w:after="160" w:line="360" w:lineRule="auto"/>
        <w:ind w:firstLine="567"/>
        <w:jc w:val="both"/>
        <w:rPr>
          <w:rFonts w:ascii="Sylfaen" w:hAnsi="Sylfaen"/>
          <w:b/>
          <w:szCs w:val="24"/>
        </w:rPr>
      </w:pPr>
    </w:p>
    <w:p w14:paraId="7B6E33A3" w14:textId="77777777" w:rsidR="00B834A2" w:rsidRPr="00134BE9" w:rsidRDefault="00B834A2" w:rsidP="00294918">
      <w:pPr>
        <w:pStyle w:val="a0"/>
        <w:shd w:val="clear" w:color="auto" w:fill="auto"/>
        <w:spacing w:after="160" w:line="360" w:lineRule="auto"/>
        <w:ind w:firstLine="567"/>
        <w:jc w:val="both"/>
        <w:rPr>
          <w:rFonts w:ascii="Sylfaen" w:hAnsi="Sylfaen"/>
          <w:szCs w:val="24"/>
        </w:rPr>
      </w:pPr>
      <w:r w:rsidRPr="00294918">
        <w:rPr>
          <w:rFonts w:ascii="Sylfaen" w:hAnsi="Sylfaen"/>
          <w:b/>
          <w:szCs w:val="24"/>
        </w:rPr>
        <w:t>Ծանոթագրություն.</w:t>
      </w:r>
      <w:r w:rsidRPr="00097504">
        <w:rPr>
          <w:rFonts w:ascii="Sylfaen" w:hAnsi="Sylfaen"/>
          <w:szCs w:val="24"/>
        </w:rPr>
        <w:t xml:space="preserve"> Աղյուսակում օգտագործվել են հետեւյալ նշագրերը եւ հապավումները. ՔՈ՝ քանակական որոշում. ՊՀ՝ պարունակության միատարրություն. ՓԿ՝ փոխանցող կողմ. ԿՈ՝ կրկնակի որոշում. ԸԿ՝ ընդունող կողմ. f2՝ նմանության գործակից. RSD՝ տոկոսներով արտահայտված հարաբերական ստանդարտ շեղում. t-փորձարկում՝ Ստյուդենտի բաշխման օգտագործման վրա հիմնված փորձարկում (Ստյուդենտի t-չափորոշիչ). Xi՝ փորձարկման արդյունքների արժեքներ. ¯X՝ փորձարկման արդյունքների միջին արժեք:</w:t>
      </w:r>
    </w:p>
    <w:p w14:paraId="4DBFF05F" w14:textId="77777777" w:rsidR="00A84AF4" w:rsidRPr="00134BE9" w:rsidRDefault="00A84AF4" w:rsidP="00294918">
      <w:pPr>
        <w:pStyle w:val="a0"/>
        <w:shd w:val="clear" w:color="auto" w:fill="auto"/>
        <w:spacing w:after="160" w:line="360" w:lineRule="auto"/>
        <w:ind w:firstLine="567"/>
        <w:jc w:val="both"/>
        <w:rPr>
          <w:rFonts w:ascii="Sylfaen" w:hAnsi="Sylfaen"/>
          <w:szCs w:val="24"/>
        </w:rPr>
      </w:pPr>
    </w:p>
    <w:p w14:paraId="5775459A"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p>
    <w:p w14:paraId="48FBFDA9" w14:textId="77777777" w:rsidR="00B834A2" w:rsidRPr="00B834A2" w:rsidRDefault="00B834A2" w:rsidP="00B834A2">
      <w:pPr>
        <w:spacing w:after="160" w:line="360" w:lineRule="auto"/>
        <w:ind w:firstLine="567"/>
        <w:jc w:val="both"/>
        <w:sectPr w:rsidR="00B834A2" w:rsidRPr="00B834A2" w:rsidSect="00B834A2">
          <w:type w:val="nextColumn"/>
          <w:pgSz w:w="16839" w:h="11907" w:code="9"/>
          <w:pgMar w:top="1418" w:right="1418" w:bottom="1418" w:left="1418" w:header="709" w:footer="709" w:gutter="0"/>
          <w:cols w:space="708"/>
          <w:docGrid w:linePitch="360"/>
        </w:sectPr>
      </w:pPr>
    </w:p>
    <w:p w14:paraId="063F18A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ՈՐՈՇՈՒՄ</w:t>
      </w:r>
    </w:p>
    <w:p w14:paraId="3DA0C955"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b/>
          <w:sz w:val="24"/>
          <w:szCs w:val="24"/>
        </w:rPr>
        <w:t xml:space="preserve">Կայունությունը </w:t>
      </w:r>
      <w:r w:rsidRPr="00B834A2">
        <w:rPr>
          <w:rFonts w:ascii="Sylfaen" w:hAnsi="Sylfaen"/>
          <w:sz w:val="24"/>
          <w:szCs w:val="24"/>
        </w:rPr>
        <w:t xml:space="preserve">դեղապատրաստուկի՝ տրված սահմաններում, պահման սահմանված պայմանների պահպանման դեպքում, դրա պիտանիության ժամկետի (պահման ժամկետի) </w:t>
      </w:r>
      <w:r>
        <w:rPr>
          <w:rFonts w:ascii="Sylfaen" w:hAnsi="Sylfaen"/>
          <w:sz w:val="24"/>
          <w:szCs w:val="24"/>
        </w:rPr>
        <w:t>եւ</w:t>
      </w:r>
      <w:r w:rsidRPr="00B834A2">
        <w:rPr>
          <w:rFonts w:ascii="Sylfaen" w:hAnsi="Sylfaen"/>
          <w:sz w:val="24"/>
          <w:szCs w:val="24"/>
        </w:rPr>
        <w:t xml:space="preserve"> կիրառման ժամանակահատվածում որակի հատկության </w:t>
      </w:r>
      <w:r>
        <w:rPr>
          <w:rFonts w:ascii="Sylfaen" w:hAnsi="Sylfaen"/>
          <w:sz w:val="24"/>
          <w:szCs w:val="24"/>
        </w:rPr>
        <w:t>եւ</w:t>
      </w:r>
      <w:r w:rsidRPr="00B834A2">
        <w:rPr>
          <w:rFonts w:ascii="Sylfaen" w:hAnsi="Sylfaen"/>
          <w:sz w:val="24"/>
          <w:szCs w:val="24"/>
        </w:rPr>
        <w:t xml:space="preserve"> բնութագրի պահպանման ունակությունն է: Դեղամիջոցի կայունությունը դրա թերապ</w:t>
      </w:r>
      <w:r>
        <w:rPr>
          <w:rFonts w:ascii="Sylfaen" w:hAnsi="Sylfaen"/>
          <w:sz w:val="24"/>
          <w:szCs w:val="24"/>
        </w:rPr>
        <w:t>եւ</w:t>
      </w:r>
      <w:r w:rsidRPr="00B834A2">
        <w:rPr>
          <w:rFonts w:ascii="Sylfaen" w:hAnsi="Sylfaen"/>
          <w:sz w:val="24"/>
          <w:szCs w:val="24"/>
        </w:rPr>
        <w:t>տիկ ազդեցության կամ դրա նոր կողմնակի ազդեցությունների բացակայության ապահովման անհրաժեշտ պայմանն է:</w:t>
      </w:r>
    </w:p>
    <w:p w14:paraId="5C588A7C"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Պայմանավորված որակի պահպանվող հատկություններով </w:t>
      </w:r>
      <w:r>
        <w:rPr>
          <w:rFonts w:ascii="Sylfaen" w:hAnsi="Sylfaen"/>
          <w:sz w:val="24"/>
          <w:szCs w:val="24"/>
        </w:rPr>
        <w:t>եւ</w:t>
      </w:r>
      <w:r w:rsidRPr="00B834A2">
        <w:rPr>
          <w:rFonts w:ascii="Sylfaen" w:hAnsi="Sylfaen"/>
          <w:sz w:val="24"/>
          <w:szCs w:val="24"/>
        </w:rPr>
        <w:t xml:space="preserve"> բնութագրերով՝ տարբերում են դեղամիջոցների կայունության հետ</w:t>
      </w:r>
      <w:r>
        <w:rPr>
          <w:rFonts w:ascii="Sylfaen" w:hAnsi="Sylfaen"/>
          <w:sz w:val="24"/>
          <w:szCs w:val="24"/>
        </w:rPr>
        <w:t>եւ</w:t>
      </w:r>
      <w:r w:rsidRPr="00B834A2">
        <w:rPr>
          <w:rFonts w:ascii="Sylfaen" w:hAnsi="Sylfaen"/>
          <w:sz w:val="24"/>
          <w:szCs w:val="24"/>
        </w:rPr>
        <w:t>յալ տեսակները.</w:t>
      </w:r>
    </w:p>
    <w:p w14:paraId="4BC59143"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i/>
          <w:sz w:val="24"/>
          <w:szCs w:val="24"/>
        </w:rPr>
        <w:t>քիմիական կայունություն</w:t>
      </w:r>
      <w:r w:rsidRPr="00B834A2">
        <w:rPr>
          <w:rFonts w:ascii="Sylfaen" w:hAnsi="Sylfaen"/>
          <w:sz w:val="24"/>
          <w:szCs w:val="24"/>
        </w:rPr>
        <w:t xml:space="preserve">, որի դեպքում պահպանվում է մասնագրում նշված սահմաններում ազդող նյութի քիմիական ամբողջությունը </w:t>
      </w:r>
      <w:r>
        <w:rPr>
          <w:rFonts w:ascii="Sylfaen" w:hAnsi="Sylfaen"/>
          <w:sz w:val="24"/>
          <w:szCs w:val="24"/>
        </w:rPr>
        <w:t>եւ</w:t>
      </w:r>
      <w:r w:rsidRPr="00B834A2">
        <w:rPr>
          <w:rFonts w:ascii="Sylfaen" w:hAnsi="Sylfaen"/>
          <w:sz w:val="24"/>
          <w:szCs w:val="24"/>
        </w:rPr>
        <w:t xml:space="preserve"> ակտիվությունը.</w:t>
      </w:r>
    </w:p>
    <w:p w14:paraId="7562857D"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i/>
          <w:sz w:val="24"/>
          <w:szCs w:val="24"/>
        </w:rPr>
        <w:t>ֆիզիկական կայունություն</w:t>
      </w:r>
      <w:r w:rsidRPr="00B834A2">
        <w:rPr>
          <w:rFonts w:ascii="Sylfaen" w:hAnsi="Sylfaen"/>
          <w:sz w:val="24"/>
          <w:szCs w:val="24"/>
        </w:rPr>
        <w:t xml:space="preserve">, որի դեպքում պահպանվում են դեղամիջոցի սկզբնական ֆիզիկական հատկությունները, այդ թվում՝ արտաքին տեսքը, համը, միատարրությունը, լուծելիությունը, կախութավորելիությունը </w:t>
      </w:r>
      <w:r>
        <w:rPr>
          <w:rFonts w:ascii="Sylfaen" w:hAnsi="Sylfaen"/>
          <w:sz w:val="24"/>
          <w:szCs w:val="24"/>
        </w:rPr>
        <w:t>եւ</w:t>
      </w:r>
      <w:r w:rsidRPr="00B834A2">
        <w:rPr>
          <w:rFonts w:ascii="Sylfaen" w:hAnsi="Sylfaen"/>
          <w:sz w:val="24"/>
          <w:szCs w:val="24"/>
        </w:rPr>
        <w:t xml:space="preserve"> այլն.</w:t>
      </w:r>
    </w:p>
    <w:p w14:paraId="5FA7F78E"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i/>
          <w:sz w:val="24"/>
          <w:szCs w:val="24"/>
        </w:rPr>
        <w:t>մանրէաբանական կայունություն</w:t>
      </w:r>
      <w:r w:rsidRPr="00B834A2">
        <w:rPr>
          <w:rFonts w:ascii="Sylfaen" w:hAnsi="Sylfaen"/>
          <w:sz w:val="24"/>
          <w:szCs w:val="24"/>
        </w:rPr>
        <w:t xml:space="preserve">, որի դեպքում պահպանվում է դեղամիջոցի մանրէազերծությունը կամ մանրէաբանական մաքրությունը՝ նշված պահանջներին համապատասխան, կամ դրա բաղադրության մեջ մտնող նշված սահմանում հակամանրէային կոնսերվանտների արդյունավետությունը. </w:t>
      </w:r>
    </w:p>
    <w:p w14:paraId="49D0F932"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i/>
          <w:sz w:val="24"/>
          <w:szCs w:val="24"/>
        </w:rPr>
        <w:t>թունաբանական կայունություն</w:t>
      </w:r>
      <w:r w:rsidRPr="00B834A2">
        <w:rPr>
          <w:rFonts w:ascii="Sylfaen" w:hAnsi="Sylfaen"/>
          <w:sz w:val="24"/>
          <w:szCs w:val="24"/>
        </w:rPr>
        <w:t>, որի դեպքում տեղի չի ունենում դեղապատրաստուկի թունավորության էական բարձրացում.</w:t>
      </w:r>
    </w:p>
    <w:p w14:paraId="70F4E19B"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i/>
          <w:sz w:val="24"/>
          <w:szCs w:val="24"/>
        </w:rPr>
        <w:t>թերապեւտիկ կայունություն</w:t>
      </w:r>
      <w:r w:rsidRPr="00B834A2">
        <w:rPr>
          <w:rFonts w:ascii="Sylfaen" w:hAnsi="Sylfaen"/>
          <w:sz w:val="24"/>
          <w:szCs w:val="24"/>
        </w:rPr>
        <w:t>, որի դեպքում դեղապատրաստուկի թերապ</w:t>
      </w:r>
      <w:r>
        <w:rPr>
          <w:rFonts w:ascii="Sylfaen" w:hAnsi="Sylfaen"/>
          <w:sz w:val="24"/>
          <w:szCs w:val="24"/>
        </w:rPr>
        <w:t>եւ</w:t>
      </w:r>
      <w:r w:rsidRPr="00B834A2">
        <w:rPr>
          <w:rFonts w:ascii="Sylfaen" w:hAnsi="Sylfaen"/>
          <w:sz w:val="24"/>
          <w:szCs w:val="24"/>
        </w:rPr>
        <w:t>տիկ ազդեցությունը մնում է անփոփոխ:</w:t>
      </w:r>
    </w:p>
    <w:p w14:paraId="7D7FED7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2FC5FFA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ԴԵՂԱՄԻՋՈՑՆԵՐԻ ԴԵԳՐԱԴԱՑՄԱՆ ՊՐՈՑԵՍՆԵՐ</w:t>
      </w:r>
    </w:p>
    <w:p w14:paraId="59EE0C5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Դեղամիջոցների կայունությունը կապված է դեգրադացման պրոցեսների ընթանալու հետ: Ազդող նյութի դեգրադացումը կարող է հանգեցնել </w:t>
      </w:r>
      <w:r w:rsidRPr="00B834A2">
        <w:rPr>
          <w:rFonts w:ascii="Sylfaen" w:hAnsi="Sylfaen"/>
          <w:sz w:val="24"/>
          <w:szCs w:val="24"/>
        </w:rPr>
        <w:lastRenderedPageBreak/>
        <w:t xml:space="preserve">դեղապատրաստուկում դրա պարունակության նվազմանը </w:t>
      </w:r>
      <w:r>
        <w:rPr>
          <w:rFonts w:ascii="Sylfaen" w:hAnsi="Sylfaen"/>
          <w:sz w:val="24"/>
          <w:szCs w:val="24"/>
        </w:rPr>
        <w:t>եւ</w:t>
      </w:r>
      <w:r w:rsidRPr="00B834A2">
        <w:rPr>
          <w:rFonts w:ascii="Sylfaen" w:hAnsi="Sylfaen"/>
          <w:sz w:val="24"/>
          <w:szCs w:val="24"/>
        </w:rPr>
        <w:t xml:space="preserve"> պակաս դեղաբանական ակտիվությամբ բնութագրվող արգասիքների առաջացմանը՝ ընդհուպ մինչ</w:t>
      </w:r>
      <w:r>
        <w:rPr>
          <w:rFonts w:ascii="Sylfaen" w:hAnsi="Sylfaen"/>
          <w:sz w:val="24"/>
          <w:szCs w:val="24"/>
        </w:rPr>
        <w:t>եւ</w:t>
      </w:r>
      <w:r w:rsidRPr="00B834A2">
        <w:rPr>
          <w:rFonts w:ascii="Sylfaen" w:hAnsi="Sylfaen"/>
          <w:sz w:val="24"/>
          <w:szCs w:val="24"/>
        </w:rPr>
        <w:t xml:space="preserve"> դրա կորուստը:</w:t>
      </w:r>
    </w:p>
    <w:p w14:paraId="1C5BB7C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Պինդ վիճակում դեղամիջոցների դեգրադացման պրոցեսներն ընթանում են հարաբերականորեն դանդաղ: Չոր վիճակում պինդ նյութերի դեգրադացման արագությունը սովորաբար բնութագրվում է առաջին կարգի ռեակցիայի կինետիկայով կամ սիգմայանման կորով: Այդ իսկ պատճառով հալման առավել ցածր ջերմաստիճանով պինդ դեղամիջոցները պետք չէ զուգորդել դրանց հետ էվտեկտիկ խառնուրդ գոյացնող այլ քիմիական նյութերի հետ:</w:t>
      </w:r>
    </w:p>
    <w:p w14:paraId="05A5144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Խոնավության առկայության դեպքում պինդ դեղամիջոցի տրոհման կինետիկան կարող է փոփոխվել առաջինից մինչ</w:t>
      </w:r>
      <w:r>
        <w:rPr>
          <w:rFonts w:ascii="Sylfaen" w:hAnsi="Sylfaen"/>
          <w:sz w:val="24"/>
          <w:szCs w:val="24"/>
        </w:rPr>
        <w:t>եւ</w:t>
      </w:r>
      <w:r w:rsidRPr="00B834A2">
        <w:rPr>
          <w:rFonts w:ascii="Sylfaen" w:hAnsi="Sylfaen"/>
          <w:sz w:val="24"/>
          <w:szCs w:val="24"/>
        </w:rPr>
        <w:t xml:space="preserve"> զրոյական կարգ, քանի որ արագությունը վերահսկվում է մակեր</w:t>
      </w:r>
      <w:r>
        <w:rPr>
          <w:rFonts w:ascii="Sylfaen" w:hAnsi="Sylfaen"/>
          <w:sz w:val="24"/>
          <w:szCs w:val="24"/>
        </w:rPr>
        <w:t>եւ</w:t>
      </w:r>
      <w:r w:rsidRPr="00B834A2">
        <w:rPr>
          <w:rFonts w:ascii="Sylfaen" w:hAnsi="Sylfaen"/>
          <w:sz w:val="24"/>
          <w:szCs w:val="24"/>
        </w:rPr>
        <w:t>ույթի վրա կամ պինդ դեղապատրաստուկի զանգվածում գոյացող հագեցած լուծույթում ազդող նյութի ոչ մեծ բաժնի նկատմամբ:</w:t>
      </w:r>
    </w:p>
    <w:p w14:paraId="29086F6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Դեղամիջոցների քիմիական դեգրադացման պրոցեսները ներառում են հետ</w:t>
      </w:r>
      <w:r>
        <w:rPr>
          <w:rFonts w:ascii="Sylfaen" w:hAnsi="Sylfaen"/>
          <w:sz w:val="24"/>
          <w:szCs w:val="24"/>
        </w:rPr>
        <w:t>եւ</w:t>
      </w:r>
      <w:r w:rsidRPr="00B834A2">
        <w:rPr>
          <w:rFonts w:ascii="Sylfaen" w:hAnsi="Sylfaen"/>
          <w:sz w:val="24"/>
          <w:szCs w:val="24"/>
        </w:rPr>
        <w:t>յալ ռեակցիաները. հիդրոլիզ, դեհիդրատացում, իզոմերացում, օքսիդացում, դեկարբօքսիլացում, տրոհում, պոլիմերացում: Դրանք կարող են ընթանալ ինչպես որպես ինքնուրույն պրոցես, այնպես էլ դեգրադացման այլ ռեակցիաների հետ զուգորդմամբ: Արդյունքում դեգրադացման պրոցեսն էականորեն բարդանում է, իսկ այն կազմող ռեակցիաները կարող են լինել հակադարձելի, զուգահեռ կամ հաջորդական ռեակցիաներ:</w:t>
      </w:r>
    </w:p>
    <w:p w14:paraId="43A6299E"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5897678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Հիդրոլիզ</w:t>
      </w:r>
    </w:p>
    <w:p w14:paraId="436B19F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Հիդրոլիտային ճեղքմանը ենթակա են հետ</w:t>
      </w:r>
      <w:r>
        <w:rPr>
          <w:rFonts w:ascii="Sylfaen" w:hAnsi="Sylfaen"/>
          <w:sz w:val="24"/>
          <w:szCs w:val="24"/>
        </w:rPr>
        <w:t>եւ</w:t>
      </w:r>
      <w:r w:rsidRPr="00B834A2">
        <w:rPr>
          <w:rFonts w:ascii="Sylfaen" w:hAnsi="Sylfaen"/>
          <w:sz w:val="24"/>
          <w:szCs w:val="24"/>
        </w:rPr>
        <w:t xml:space="preserve">յալ դասերի ազդող նյութերը. </w:t>
      </w:r>
      <w:r w:rsidRPr="00D03DDF">
        <w:rPr>
          <w:rFonts w:ascii="Sylfaen" w:hAnsi="Sylfaen"/>
          <w:spacing w:val="4"/>
          <w:sz w:val="24"/>
          <w:szCs w:val="24"/>
        </w:rPr>
        <w:t>բարդ եթերներ, ամիդներ, լակտամներ: Առավել հաճախ պրոցեսը կատալիզացնում են</w:t>
      </w:r>
      <w:r w:rsidRPr="00B834A2">
        <w:rPr>
          <w:rFonts w:ascii="Sylfaen" w:hAnsi="Sylfaen"/>
          <w:sz w:val="24"/>
          <w:szCs w:val="24"/>
        </w:rPr>
        <w:t xml:space="preserve"> ջրածնի իոնները (թվային կատալիզ) </w:t>
      </w:r>
      <w:r>
        <w:rPr>
          <w:rFonts w:ascii="Sylfaen" w:hAnsi="Sylfaen"/>
          <w:sz w:val="24"/>
          <w:szCs w:val="24"/>
        </w:rPr>
        <w:t>եւ</w:t>
      </w:r>
      <w:r w:rsidRPr="00B834A2">
        <w:rPr>
          <w:rFonts w:ascii="Sylfaen" w:hAnsi="Sylfaen"/>
          <w:sz w:val="24"/>
          <w:szCs w:val="24"/>
        </w:rPr>
        <w:t xml:space="preserve"> հիդրօքսիդ-իոնները (հիմնական կատալիզ), ինչպես նա</w:t>
      </w:r>
      <w:r>
        <w:rPr>
          <w:rFonts w:ascii="Sylfaen" w:hAnsi="Sylfaen"/>
          <w:sz w:val="24"/>
          <w:szCs w:val="24"/>
        </w:rPr>
        <w:t>եւ</w:t>
      </w:r>
      <w:r w:rsidRPr="00B834A2">
        <w:rPr>
          <w:rFonts w:ascii="Sylfaen" w:hAnsi="Sylfaen"/>
          <w:sz w:val="24"/>
          <w:szCs w:val="24"/>
        </w:rPr>
        <w:t xml:space="preserve"> բուֆերային համակարգերի կազմում </w:t>
      </w:r>
      <w:r w:rsidRPr="00B834A2">
        <w:rPr>
          <w:rFonts w:ascii="Sylfaen" w:hAnsi="Sylfaen"/>
          <w:sz w:val="24"/>
          <w:szCs w:val="24"/>
        </w:rPr>
        <w:lastRenderedPageBreak/>
        <w:t>սովորաբար որպես բաղադրիչներ օգտագործվող թթվային կամ հիմնային նյութերը: Հիդրոլիզի արագությունը մեծանում է շրջակա միջավայրում ջրային գոլորշու ճնշմանն ուղիղ համեմատական՝ իջնելով մինչ</w:t>
      </w:r>
      <w:r>
        <w:rPr>
          <w:rFonts w:ascii="Sylfaen" w:hAnsi="Sylfaen"/>
          <w:sz w:val="24"/>
          <w:szCs w:val="24"/>
        </w:rPr>
        <w:t>եւ</w:t>
      </w:r>
      <w:r w:rsidRPr="00B834A2">
        <w:rPr>
          <w:rFonts w:ascii="Sylfaen" w:hAnsi="Sylfaen"/>
          <w:sz w:val="24"/>
          <w:szCs w:val="24"/>
        </w:rPr>
        <w:t xml:space="preserve"> չոր միջավայրում աննշան մակարդակի:</w:t>
      </w:r>
    </w:p>
    <w:p w14:paraId="7ED082A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Հիդրոլիզին ենթակա բարդ եթերներին են դասվում, օրինակ՝ պրոկաինը, տետրակաինը, ֆիզոստիգմինը, մեթիլդոպան, ացետիլսալիցիլաթթուն </w:t>
      </w:r>
      <w:r>
        <w:rPr>
          <w:rFonts w:ascii="Sylfaen" w:hAnsi="Sylfaen"/>
          <w:sz w:val="24"/>
          <w:szCs w:val="24"/>
        </w:rPr>
        <w:t>եւ</w:t>
      </w:r>
      <w:r w:rsidRPr="00B834A2">
        <w:rPr>
          <w:rFonts w:ascii="Sylfaen" w:hAnsi="Sylfaen"/>
          <w:sz w:val="24"/>
          <w:szCs w:val="24"/>
        </w:rPr>
        <w:t xml:space="preserve"> այլն:</w:t>
      </w:r>
    </w:p>
    <w:p w14:paraId="2031440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Ամիդային (կամ պեպտիդային) կապի հիդրոլիզն ընթանում է էրգոմետրինի, բենզիլպենիցիլինի նատրիումի, քլորամֆենիկոլի, որոշ տեղային անեստետիկների մոլեկուլներում: Ընդ որում, ամիդային կապի ճեղքումը տեղի է ունենում առավել դանդաղ, քան բարդեթերային կապինը: Օրինակ՝ պրոկաինը կարող է հիդրոլիզվել ավտոկլավացման ժամանակ, մինչդեռ պրոկաինամիդը կայուն է այդ պայմաններում: Պեպտիդներում </w:t>
      </w:r>
      <w:r>
        <w:rPr>
          <w:rFonts w:ascii="Sylfaen" w:hAnsi="Sylfaen"/>
          <w:sz w:val="24"/>
          <w:szCs w:val="24"/>
        </w:rPr>
        <w:t>եւ</w:t>
      </w:r>
      <w:r w:rsidRPr="00B834A2">
        <w:rPr>
          <w:rFonts w:ascii="Sylfaen" w:hAnsi="Sylfaen"/>
          <w:sz w:val="24"/>
          <w:szCs w:val="24"/>
        </w:rPr>
        <w:t xml:space="preserve"> սպիտակուցներում ամիդային (կամ պեպտիդային) կապը տարբերվում է հիդրոլիզի նկատմամբ ունակությամբ:</w:t>
      </w:r>
    </w:p>
    <w:p w14:paraId="1D0B375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Լակտամային օղակը </w:t>
      </w:r>
      <w:r>
        <w:rPr>
          <w:rFonts w:ascii="Sylfaen" w:hAnsi="Sylfaen"/>
          <w:sz w:val="24"/>
          <w:szCs w:val="24"/>
        </w:rPr>
        <w:t>եւ</w:t>
      </w:r>
      <w:r w:rsidRPr="00B834A2">
        <w:rPr>
          <w:rFonts w:ascii="Sylfaen" w:hAnsi="Sylfaen"/>
          <w:sz w:val="24"/>
          <w:szCs w:val="24"/>
        </w:rPr>
        <w:t xml:space="preserve"> ազոմետինային (կամ իմինային) կապը նույնպես դրս</w:t>
      </w:r>
      <w:r>
        <w:rPr>
          <w:rFonts w:ascii="Sylfaen" w:hAnsi="Sylfaen"/>
          <w:sz w:val="24"/>
          <w:szCs w:val="24"/>
        </w:rPr>
        <w:t>եւ</w:t>
      </w:r>
      <w:r w:rsidRPr="00B834A2">
        <w:rPr>
          <w:rFonts w:ascii="Sylfaen" w:hAnsi="Sylfaen"/>
          <w:sz w:val="24"/>
          <w:szCs w:val="24"/>
        </w:rPr>
        <w:t xml:space="preserve">որում են հիդրոլիտային ճեղքման նկատմամբ, օրինակ՝ բենզոդիազեպինների (նիտրազեպամ) </w:t>
      </w:r>
      <w:r>
        <w:rPr>
          <w:rFonts w:ascii="Sylfaen" w:hAnsi="Sylfaen"/>
          <w:sz w:val="24"/>
          <w:szCs w:val="24"/>
        </w:rPr>
        <w:t>եւ</w:t>
      </w:r>
      <w:r w:rsidRPr="00B834A2">
        <w:rPr>
          <w:rFonts w:ascii="Sylfaen" w:hAnsi="Sylfaen"/>
          <w:sz w:val="24"/>
          <w:szCs w:val="24"/>
        </w:rPr>
        <w:t xml:space="preserve"> քլորդիազէպօքսիդի դեպքում ունակություն: Պրոցեսի կատալիզատորներն են ոչ միայն pH անբարենպաստ արժեքները, այլ նա</w:t>
      </w:r>
      <w:r>
        <w:rPr>
          <w:rFonts w:ascii="Sylfaen" w:hAnsi="Sylfaen"/>
          <w:sz w:val="24"/>
          <w:szCs w:val="24"/>
        </w:rPr>
        <w:t>եւ</w:t>
      </w:r>
      <w:r w:rsidRPr="00B834A2">
        <w:rPr>
          <w:rFonts w:ascii="Sylfaen" w:hAnsi="Sylfaen"/>
          <w:sz w:val="24"/>
          <w:szCs w:val="24"/>
        </w:rPr>
        <w:t xml:space="preserve"> որոշ նյութեր, օրինակ՝ դեքստրոզան </w:t>
      </w:r>
      <w:r>
        <w:rPr>
          <w:rFonts w:ascii="Sylfaen" w:hAnsi="Sylfaen"/>
          <w:sz w:val="24"/>
          <w:szCs w:val="24"/>
        </w:rPr>
        <w:t>եւ</w:t>
      </w:r>
      <w:r w:rsidRPr="00B834A2">
        <w:rPr>
          <w:rFonts w:ascii="Sylfaen" w:hAnsi="Sylfaen"/>
          <w:sz w:val="24"/>
          <w:szCs w:val="24"/>
        </w:rPr>
        <w:t xml:space="preserve"> պղինձը՝ ամպիցիլինի հիդրոլիզի դեպքում:</w:t>
      </w:r>
    </w:p>
    <w:p w14:paraId="52565E3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Թթվահիմնային հիդրոլիզի ճնշման </w:t>
      </w:r>
      <w:r>
        <w:rPr>
          <w:rFonts w:ascii="Sylfaen" w:hAnsi="Sylfaen"/>
          <w:sz w:val="24"/>
          <w:szCs w:val="24"/>
        </w:rPr>
        <w:t>եւ</w:t>
      </w:r>
      <w:r w:rsidRPr="00B834A2">
        <w:rPr>
          <w:rFonts w:ascii="Sylfaen" w:hAnsi="Sylfaen"/>
          <w:sz w:val="24"/>
          <w:szCs w:val="24"/>
        </w:rPr>
        <w:t xml:space="preserve"> դրա նկատմամբ դեղամիջոցների կայունության բարձրացման համար կարող են կիրառվել հետ</w:t>
      </w:r>
      <w:r>
        <w:rPr>
          <w:rFonts w:ascii="Sylfaen" w:hAnsi="Sylfaen"/>
          <w:sz w:val="24"/>
          <w:szCs w:val="24"/>
        </w:rPr>
        <w:t>եւ</w:t>
      </w:r>
      <w:r w:rsidRPr="00B834A2">
        <w:rPr>
          <w:rFonts w:ascii="Sylfaen" w:hAnsi="Sylfaen"/>
          <w:sz w:val="24"/>
          <w:szCs w:val="24"/>
        </w:rPr>
        <w:t>յալ մեթոդները.</w:t>
      </w:r>
    </w:p>
    <w:p w14:paraId="566A4A5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ազդող նյութի առավելագույն կայունությունը </w:t>
      </w:r>
      <w:r>
        <w:rPr>
          <w:rFonts w:ascii="Sylfaen" w:hAnsi="Sylfaen"/>
          <w:sz w:val="24"/>
          <w:szCs w:val="24"/>
        </w:rPr>
        <w:t>եւ</w:t>
      </w:r>
      <w:r w:rsidRPr="00B834A2">
        <w:rPr>
          <w:rFonts w:ascii="Sylfaen" w:hAnsi="Sylfaen"/>
          <w:sz w:val="24"/>
          <w:szCs w:val="24"/>
        </w:rPr>
        <w:t xml:space="preserve"> pH սահմանված արժեքների դեպքում դեղաձ</w:t>
      </w:r>
      <w:r>
        <w:rPr>
          <w:rFonts w:ascii="Sylfaen" w:hAnsi="Sylfaen"/>
          <w:sz w:val="24"/>
          <w:szCs w:val="24"/>
        </w:rPr>
        <w:t>եւ</w:t>
      </w:r>
      <w:r w:rsidRPr="00B834A2">
        <w:rPr>
          <w:rFonts w:ascii="Sylfaen" w:hAnsi="Sylfaen"/>
          <w:sz w:val="24"/>
          <w:szCs w:val="24"/>
        </w:rPr>
        <w:t>ի ստացման հետագա ստացումն ապահովող pH արժեքների որոշում.</w:t>
      </w:r>
    </w:p>
    <w:p w14:paraId="46B3A37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ոչ ջրային լուծիչների, օրինակ՝ էթանոլի, գլիցերինի, պրոպիլենգլիկոլի </w:t>
      </w:r>
      <w:r>
        <w:rPr>
          <w:rFonts w:ascii="Sylfaen" w:hAnsi="Sylfaen"/>
          <w:sz w:val="24"/>
          <w:szCs w:val="24"/>
        </w:rPr>
        <w:t>եւ</w:t>
      </w:r>
      <w:r w:rsidRPr="00B834A2">
        <w:rPr>
          <w:rFonts w:ascii="Sylfaen" w:hAnsi="Sylfaen"/>
          <w:sz w:val="24"/>
          <w:szCs w:val="24"/>
        </w:rPr>
        <w:t xml:space="preserve"> այլնի հավելման եղանակով հաստատուն դիէլեկտրիկ միջավայրի փոփոխություն.</w:t>
      </w:r>
    </w:p>
    <w:p w14:paraId="749298E4" w14:textId="77777777" w:rsidR="00B834A2" w:rsidRPr="002E52D1"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ցիտրատների, դեքստրոզի, սորբիտոլի, գլյուկոնատի </w:t>
      </w:r>
      <w:r>
        <w:rPr>
          <w:rFonts w:ascii="Sylfaen" w:hAnsi="Sylfaen"/>
          <w:sz w:val="24"/>
          <w:szCs w:val="24"/>
        </w:rPr>
        <w:t>եւ</w:t>
      </w:r>
      <w:r w:rsidRPr="00B834A2">
        <w:rPr>
          <w:rFonts w:ascii="Sylfaen" w:hAnsi="Sylfaen"/>
          <w:sz w:val="24"/>
          <w:szCs w:val="24"/>
        </w:rPr>
        <w:t xml:space="preserve"> այլնի հավելման եղանակով դեղաձ</w:t>
      </w:r>
      <w:r>
        <w:rPr>
          <w:rFonts w:ascii="Sylfaen" w:hAnsi="Sylfaen"/>
          <w:sz w:val="24"/>
          <w:szCs w:val="24"/>
        </w:rPr>
        <w:t>եւ</w:t>
      </w:r>
      <w:r w:rsidRPr="00B834A2">
        <w:rPr>
          <w:rFonts w:ascii="Sylfaen" w:hAnsi="Sylfaen"/>
          <w:sz w:val="24"/>
          <w:szCs w:val="24"/>
        </w:rPr>
        <w:t>ում ազդող նյութի լուծելիության նվազեցում.</w:t>
      </w:r>
    </w:p>
    <w:p w14:paraId="3700576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ազդող նյութի կոմպլեքսի գոյացում, օրինակ՝ կոֆեինի ավելացում դրանց թթվահիմնային հիդրոլիզը ճնշող բենզոկաինի </w:t>
      </w:r>
      <w:r>
        <w:rPr>
          <w:rFonts w:ascii="Sylfaen" w:hAnsi="Sylfaen"/>
          <w:sz w:val="24"/>
          <w:szCs w:val="24"/>
        </w:rPr>
        <w:t>եւ</w:t>
      </w:r>
      <w:r w:rsidRPr="00B834A2">
        <w:rPr>
          <w:rFonts w:ascii="Sylfaen" w:hAnsi="Sylfaen"/>
          <w:sz w:val="24"/>
          <w:szCs w:val="24"/>
        </w:rPr>
        <w:t xml:space="preserve"> պրոկաինի ջրային լուծույթներին.</w:t>
      </w:r>
    </w:p>
    <w:p w14:paraId="23266FA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դեղապատրաստուկի կազմում մակեր</w:t>
      </w:r>
      <w:r>
        <w:rPr>
          <w:rFonts w:ascii="Sylfaen" w:hAnsi="Sylfaen"/>
          <w:sz w:val="24"/>
          <w:szCs w:val="24"/>
        </w:rPr>
        <w:t>եւ</w:t>
      </w:r>
      <w:r w:rsidRPr="00B834A2">
        <w:rPr>
          <w:rFonts w:ascii="Sylfaen" w:hAnsi="Sylfaen"/>
          <w:sz w:val="24"/>
          <w:szCs w:val="24"/>
        </w:rPr>
        <w:t>ութային ակտիվ նյութերի օգտագործում:</w:t>
      </w:r>
    </w:p>
    <w:p w14:paraId="1495191B"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6F0DB5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Դեհիդրատացում</w:t>
      </w:r>
    </w:p>
    <w:p w14:paraId="511AFA0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097504">
        <w:rPr>
          <w:rFonts w:ascii="Sylfaen" w:hAnsi="Sylfaen"/>
          <w:spacing w:val="-4"/>
          <w:sz w:val="24"/>
          <w:szCs w:val="24"/>
        </w:rPr>
        <w:t>Պրոցեսը կատալիզում են թթուները: Ազդող նյութի դեհիդրատացումը կարող է հանգեցնել դրա դեղաբանական ակտիվության կորստի, թունավորության առաջացմանը կամ բարձրացմանը: Օրինակ՝ տետրացիկլինի դեհիդրատացման արդյունքում</w:t>
      </w:r>
      <w:r w:rsidRPr="00B834A2">
        <w:rPr>
          <w:rFonts w:ascii="Sylfaen" w:hAnsi="Sylfaen"/>
          <w:sz w:val="24"/>
          <w:szCs w:val="24"/>
        </w:rPr>
        <w:t xml:space="preserve"> առաջանում է ցածր հակամանրէային ակտիվությամբ </w:t>
      </w:r>
      <w:r>
        <w:rPr>
          <w:rFonts w:ascii="Sylfaen" w:hAnsi="Sylfaen"/>
          <w:sz w:val="24"/>
          <w:szCs w:val="24"/>
        </w:rPr>
        <w:t>եւ</w:t>
      </w:r>
      <w:r w:rsidRPr="00B834A2">
        <w:rPr>
          <w:rFonts w:ascii="Sylfaen" w:hAnsi="Sylfaen"/>
          <w:sz w:val="24"/>
          <w:szCs w:val="24"/>
        </w:rPr>
        <w:t xml:space="preserve"> բարձր թունավորությամբ էպիանհիդրատետրացիկլին:</w:t>
      </w:r>
    </w:p>
    <w:p w14:paraId="12F700EA" w14:textId="77777777" w:rsidR="00097504" w:rsidRPr="002E52D1" w:rsidRDefault="00097504" w:rsidP="00B834A2">
      <w:pPr>
        <w:pStyle w:val="a0"/>
        <w:shd w:val="clear" w:color="auto" w:fill="auto"/>
        <w:tabs>
          <w:tab w:val="left" w:pos="4158"/>
        </w:tabs>
        <w:spacing w:after="160" w:line="360" w:lineRule="auto"/>
        <w:ind w:firstLine="567"/>
        <w:jc w:val="both"/>
        <w:rPr>
          <w:rFonts w:ascii="Sylfaen" w:hAnsi="Sylfaen"/>
          <w:b/>
          <w:sz w:val="24"/>
          <w:szCs w:val="24"/>
        </w:rPr>
      </w:pPr>
    </w:p>
    <w:p w14:paraId="28EADC16" w14:textId="77777777" w:rsidR="00B834A2" w:rsidRPr="002E52D1" w:rsidRDefault="00B834A2" w:rsidP="00B834A2">
      <w:pPr>
        <w:pStyle w:val="a0"/>
        <w:shd w:val="clear" w:color="auto" w:fill="auto"/>
        <w:tabs>
          <w:tab w:val="left" w:pos="4158"/>
        </w:tabs>
        <w:spacing w:after="160" w:line="360" w:lineRule="auto"/>
        <w:ind w:firstLine="567"/>
        <w:jc w:val="both"/>
        <w:rPr>
          <w:rFonts w:ascii="Sylfaen" w:hAnsi="Sylfaen" w:cs="Sylfaen"/>
          <w:sz w:val="24"/>
          <w:szCs w:val="24"/>
        </w:rPr>
      </w:pPr>
      <w:r w:rsidRPr="00B834A2">
        <w:rPr>
          <w:rFonts w:ascii="Sylfaen" w:hAnsi="Sylfaen"/>
          <w:b/>
          <w:sz w:val="24"/>
          <w:szCs w:val="24"/>
        </w:rPr>
        <w:t>Օքսիդացում</w:t>
      </w:r>
    </w:p>
    <w:p w14:paraId="550A11F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Օքսիդացման նկատմամբ ունակություն են դրս</w:t>
      </w:r>
      <w:r>
        <w:rPr>
          <w:rFonts w:ascii="Sylfaen" w:hAnsi="Sylfaen"/>
          <w:sz w:val="24"/>
          <w:szCs w:val="24"/>
        </w:rPr>
        <w:t>եւ</w:t>
      </w:r>
      <w:r w:rsidRPr="00B834A2">
        <w:rPr>
          <w:rFonts w:ascii="Sylfaen" w:hAnsi="Sylfaen"/>
          <w:sz w:val="24"/>
          <w:szCs w:val="24"/>
        </w:rPr>
        <w:t xml:space="preserve">որում արոմատիկ օղակի (ֆենոլային խումբ), օրինակ՝ մորֆին, ֆենիլէֆրին, կատեխոլամիններ (դոպամին, ադրենալին) հետ անմիջականորեն կապված կամ դրանցից կցորդված դիեններ (ռետինոլներ </w:t>
      </w:r>
      <w:r>
        <w:rPr>
          <w:rFonts w:ascii="Sylfaen" w:hAnsi="Sylfaen"/>
          <w:sz w:val="24"/>
          <w:szCs w:val="24"/>
        </w:rPr>
        <w:t>եւ</w:t>
      </w:r>
      <w:r w:rsidRPr="00B834A2">
        <w:rPr>
          <w:rFonts w:ascii="Sylfaen" w:hAnsi="Sylfaen"/>
          <w:sz w:val="24"/>
          <w:szCs w:val="24"/>
        </w:rPr>
        <w:t xml:space="preserve"> չհագեցած ազատ ճարպաթթուներ), հետերոցիկլիկ արոմատիկ միացություններ, նիտրոզա- </w:t>
      </w:r>
      <w:r>
        <w:rPr>
          <w:rFonts w:ascii="Sylfaen" w:hAnsi="Sylfaen"/>
          <w:sz w:val="24"/>
          <w:szCs w:val="24"/>
        </w:rPr>
        <w:t>եւ</w:t>
      </w:r>
      <w:r w:rsidRPr="00B834A2">
        <w:rPr>
          <w:rFonts w:ascii="Sylfaen" w:hAnsi="Sylfaen"/>
          <w:sz w:val="24"/>
          <w:szCs w:val="24"/>
        </w:rPr>
        <w:t xml:space="preserve"> նիտրոածանցյալներ, ալդեհիդներ ներկայացնող հիդրօքսիլային խմբի կառուցվածքում պարունակվող նյութերը: Օքսիդացման արգասիքները սովորաբար բնութագրվում են ոչ բավարար դեղաբանական ակտիվությամբ:</w:t>
      </w:r>
    </w:p>
    <w:p w14:paraId="7E60A9C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Մեծամասամբ դեղամիջոցների օքսիդացման պրոցեսն ընթանում է շղթայական մեխանիզմով (ավտոմատ օքսիդացում) ցածր արագությամբ մթնոլորտային թթվածնի ներգործության տակ: Տեսողական դիտարկման դեպքում այն կարող է լինել աննկատ, օրինակ՝ ինչպես որոշ նոսրացումներում գունավորման անցումն է ադրենալինի անգույն լուծույթից դրա՝ սաթե գույն ունեցող օքսիդացման արգասիքներին:</w:t>
      </w:r>
    </w:p>
    <w:p w14:paraId="5D5EA1E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Օքսիդացումը կարող է արագանալ օպտիմալից բարձր pH արժեքների դեպքում ծանր մետաղների (օրինակ՝ պղինձ, երկաթ </w:t>
      </w:r>
      <w:r>
        <w:rPr>
          <w:rFonts w:ascii="Sylfaen" w:hAnsi="Sylfaen"/>
          <w:sz w:val="24"/>
          <w:szCs w:val="24"/>
        </w:rPr>
        <w:t>եւ</w:t>
      </w:r>
      <w:r w:rsidRPr="00B834A2">
        <w:rPr>
          <w:rFonts w:ascii="Sylfaen" w:hAnsi="Sylfaen"/>
          <w:sz w:val="24"/>
          <w:szCs w:val="24"/>
        </w:rPr>
        <w:t xml:space="preserve"> այլն) բազմավալենտային իոնների առկայության դեպքում՝ թթվածնի </w:t>
      </w:r>
      <w:r>
        <w:rPr>
          <w:rFonts w:ascii="Sylfaen" w:hAnsi="Sylfaen"/>
          <w:sz w:val="24"/>
          <w:szCs w:val="24"/>
        </w:rPr>
        <w:t>եւ</w:t>
      </w:r>
      <w:r w:rsidRPr="00B834A2">
        <w:rPr>
          <w:rFonts w:ascii="Sylfaen" w:hAnsi="Sylfaen"/>
          <w:sz w:val="24"/>
          <w:szCs w:val="24"/>
        </w:rPr>
        <w:t xml:space="preserve"> ուլտրամանուշակագույն ճառագայթման ներգործության ներքո: Դեղապատրաստուկներում ազդող նյութերի լուսաօքսիդացման նկատմամբ կայունությունն ապահովում են՝ </w:t>
      </w:r>
    </w:p>
    <w:p w14:paraId="12759D3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հակաօքսիդանտների, օրինակ՝ տոկոֆերոլների, բութիլհիդրօքսիանիզոլի, բութիլհիդրօքսիտոլուոլի, գալաթթվի </w:t>
      </w:r>
      <w:r>
        <w:rPr>
          <w:rFonts w:ascii="Sylfaen" w:hAnsi="Sylfaen"/>
          <w:sz w:val="24"/>
          <w:szCs w:val="24"/>
        </w:rPr>
        <w:t>եւ</w:t>
      </w:r>
      <w:r w:rsidRPr="00B834A2">
        <w:rPr>
          <w:rFonts w:ascii="Sylfaen" w:hAnsi="Sylfaen"/>
          <w:sz w:val="24"/>
          <w:szCs w:val="24"/>
        </w:rPr>
        <w:t xml:space="preserve"> գալլատների օգտագործումը.</w:t>
      </w:r>
    </w:p>
    <w:p w14:paraId="451E1F3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վերականգնիչների, օրինակ՝ մեթիլբիսուլֆիտի նատրիումի օգտագործումը.</w:t>
      </w:r>
    </w:p>
    <w:p w14:paraId="2F9FD2E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իներտ գազի (ազոտի) մթնոլորտում դեղապատրաստուկով ամպուլներ </w:t>
      </w:r>
      <w:r>
        <w:rPr>
          <w:rFonts w:ascii="Sylfaen" w:hAnsi="Sylfaen"/>
          <w:sz w:val="24"/>
          <w:szCs w:val="24"/>
        </w:rPr>
        <w:t>եւ</w:t>
      </w:r>
      <w:r w:rsidRPr="00B834A2">
        <w:rPr>
          <w:rFonts w:ascii="Sylfaen" w:hAnsi="Sylfaen"/>
          <w:sz w:val="24"/>
          <w:szCs w:val="24"/>
        </w:rPr>
        <w:t xml:space="preserve"> սրվակներ լցնելը.</w:t>
      </w:r>
    </w:p>
    <w:p w14:paraId="216AA68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մուգ ապակիով կոնտեյներում կամ պոլիմերային նյութերից պատրաստված կոնտեյներում դեղապատրաստուկի փաթեթավորումը. </w:t>
      </w:r>
    </w:p>
    <w:p w14:paraId="1384901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լույսից պաշտպանված տեղում դեղապատրաստուկի պահումը.</w:t>
      </w:r>
    </w:p>
    <w:p w14:paraId="5F98C1E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ուլտրամանուշակագույն ճառագայթումը կլանող նյութեր պարունակող պոլիմերային թաղանթով դեղահաբերի պատումը:</w:t>
      </w:r>
    </w:p>
    <w:p w14:paraId="0252DACA"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FA0292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Իզոմերացում</w:t>
      </w:r>
    </w:p>
    <w:p w14:paraId="7E56EE91" w14:textId="77777777" w:rsidR="00B834A2" w:rsidRPr="002E52D1"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Իզոմերացումն ուղեկցվում է ազդող նյութի՝ դրա օպտիկական իզոմեր (էպիմերացում) կամ թույլ դեղաբանական ակտիվությամբ կամ նույնիսկ ակտիվության լրիվ կորստով երկրաչափական իզոմերի (</w:t>
      </w:r>
      <w:r w:rsidRPr="00D03DDF">
        <w:rPr>
          <w:rFonts w:ascii="Sylfaen" w:hAnsi="Sylfaen"/>
          <w:i/>
          <w:sz w:val="24"/>
          <w:szCs w:val="24"/>
        </w:rPr>
        <w:t>ցիս-տրանս-</w:t>
      </w:r>
      <w:r w:rsidRPr="00B834A2">
        <w:rPr>
          <w:rFonts w:ascii="Sylfaen" w:hAnsi="Sylfaen"/>
          <w:sz w:val="24"/>
          <w:szCs w:val="24"/>
        </w:rPr>
        <w:t>իզոմերացում) փոխակերպմամբ: Որպես կանոն, պրոցեսն ընթանում է միջանկյալ ընդգրկույթի pH արժեքների (3-ից ավելի) դեպքում բարձր արագությամբ: Օրինակ՝ pH ցածր արժեքների դեպքում լուծույթներում ադրենալինի ակտիվության էական նվազումը կապված է դեղաբանական ակտիվ ձ</w:t>
      </w:r>
      <w:r>
        <w:rPr>
          <w:rFonts w:ascii="Sylfaen" w:hAnsi="Sylfaen"/>
          <w:sz w:val="24"/>
          <w:szCs w:val="24"/>
        </w:rPr>
        <w:t>եւ</w:t>
      </w:r>
      <w:r w:rsidRPr="00B834A2">
        <w:rPr>
          <w:rFonts w:ascii="Sylfaen" w:hAnsi="Sylfaen"/>
          <w:sz w:val="24"/>
          <w:szCs w:val="24"/>
        </w:rPr>
        <w:t>ի</w:t>
      </w:r>
      <w:r>
        <w:rPr>
          <w:rFonts w:ascii="Sylfaen" w:hAnsi="Sylfaen"/>
          <w:sz w:val="24"/>
          <w:szCs w:val="24"/>
        </w:rPr>
        <w:t xml:space="preserve"> </w:t>
      </w:r>
      <w:r w:rsidRPr="00B834A2">
        <w:rPr>
          <w:rFonts w:ascii="Sylfaen" w:hAnsi="Sylfaen"/>
          <w:sz w:val="24"/>
          <w:szCs w:val="24"/>
        </w:rPr>
        <w:t xml:space="preserve">(ձախ պտտվող իզոմեր)՝ պակաս ակտիվ իզոմերի փոխակերպման հաշվին ռացեմիզացման հետ: </w:t>
      </w:r>
    </w:p>
    <w:p w14:paraId="680B3320" w14:textId="77777777" w:rsidR="00097504" w:rsidRPr="002E52D1" w:rsidRDefault="00097504" w:rsidP="00B834A2">
      <w:pPr>
        <w:pStyle w:val="a0"/>
        <w:shd w:val="clear" w:color="auto" w:fill="auto"/>
        <w:spacing w:after="160" w:line="360" w:lineRule="auto"/>
        <w:ind w:firstLine="567"/>
        <w:jc w:val="both"/>
        <w:rPr>
          <w:rFonts w:ascii="Sylfaen" w:hAnsi="Sylfaen" w:cs="Sylfaen"/>
          <w:sz w:val="24"/>
          <w:szCs w:val="24"/>
        </w:rPr>
      </w:pPr>
    </w:p>
    <w:p w14:paraId="10B5359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 xml:space="preserve">Մեծամասամբ էպիմերացման ենթակա են տետրացիկլինների ընտանիքի միացությունները: Տետրացիկլինի դեգրադացումն առաջին կարգի կինետիկայով </w:t>
      </w:r>
      <w:r w:rsidRPr="00D03DDF">
        <w:rPr>
          <w:rFonts w:ascii="Sylfaen" w:hAnsi="Sylfaen"/>
          <w:spacing w:val="4"/>
          <w:sz w:val="24"/>
          <w:szCs w:val="24"/>
        </w:rPr>
        <w:t>ընթացող դարձելի ռեակցիա է: Դիմեթիլամինախմբերի տարածական վերախմբավորման</w:t>
      </w:r>
      <w:r w:rsidRPr="00B834A2">
        <w:rPr>
          <w:rFonts w:ascii="Sylfaen" w:hAnsi="Sylfaen"/>
          <w:sz w:val="24"/>
          <w:szCs w:val="24"/>
        </w:rPr>
        <w:t xml:space="preserve"> արդյունքում գոյանում է առավել ցածր դեղաբանական</w:t>
      </w:r>
      <w:r w:rsidR="00D03DDF" w:rsidRPr="00D03DDF">
        <w:t> </w:t>
      </w:r>
      <w:r w:rsidRPr="00D03DDF">
        <w:rPr>
          <w:rFonts w:ascii="Sylfaen" w:hAnsi="Sylfaen"/>
          <w:sz w:val="24"/>
          <w:szCs w:val="24"/>
        </w:rPr>
        <w:t>ակտիվությամբ տետրացիկլինի հավասարակշիռ խառնուրդ դրա էպիմերով (4-շպիտետրացիկլին</w:t>
      </w:r>
      <w:r w:rsidRPr="00B834A2">
        <w:rPr>
          <w:rFonts w:ascii="Sylfaen" w:hAnsi="Sylfaen"/>
          <w:sz w:val="24"/>
          <w:szCs w:val="24"/>
        </w:rPr>
        <w:t>): Դեգրադացման արագությունը պայմանավորված</w:t>
      </w:r>
      <w:r w:rsidR="00D03DDF" w:rsidRPr="00D03DDF">
        <w:rPr>
          <w:rFonts w:ascii="Sylfaen" w:hAnsi="Sylfaen"/>
          <w:sz w:val="24"/>
          <w:szCs w:val="24"/>
        </w:rPr>
        <w:t> </w:t>
      </w:r>
      <w:r w:rsidRPr="00B834A2">
        <w:rPr>
          <w:rFonts w:ascii="Sylfaen" w:hAnsi="Sylfaen"/>
          <w:sz w:val="24"/>
          <w:szCs w:val="24"/>
        </w:rPr>
        <w:t xml:space="preserve">է pH-ով </w:t>
      </w:r>
      <w:r>
        <w:rPr>
          <w:rFonts w:ascii="Sylfaen" w:hAnsi="Sylfaen"/>
          <w:sz w:val="24"/>
          <w:szCs w:val="24"/>
        </w:rPr>
        <w:t>եւ</w:t>
      </w:r>
      <w:r w:rsidRPr="00B834A2">
        <w:rPr>
          <w:rFonts w:ascii="Sylfaen" w:hAnsi="Sylfaen"/>
          <w:sz w:val="24"/>
          <w:szCs w:val="24"/>
        </w:rPr>
        <w:t xml:space="preserve"> հասնում է առավելագույն արժեքի pH 3,2-ի դեպքում: Պրոցեսն արագացնում են ֆոսֆատ </w:t>
      </w:r>
      <w:r>
        <w:rPr>
          <w:rFonts w:ascii="Sylfaen" w:hAnsi="Sylfaen"/>
          <w:sz w:val="24"/>
          <w:szCs w:val="24"/>
        </w:rPr>
        <w:t>եւ</w:t>
      </w:r>
      <w:r w:rsidRPr="00B834A2">
        <w:rPr>
          <w:rFonts w:ascii="Sylfaen" w:hAnsi="Sylfaen"/>
          <w:sz w:val="24"/>
          <w:szCs w:val="24"/>
        </w:rPr>
        <w:t xml:space="preserve"> ցիտրատ- իոնները:</w:t>
      </w:r>
    </w:p>
    <w:p w14:paraId="12D65321"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Ազդող նյութերի դեգրադացման որոշ պրոցեսներ ընթանում են միաժամանակ: Օրինակ՝ պիլոկարպինը ենթարկվում է միաժամանակ հիմնական հիդրոլիզի՝ պիլոկարպատ-իոնի առաջացմամբ, </w:t>
      </w:r>
      <w:r>
        <w:rPr>
          <w:rFonts w:ascii="Sylfaen" w:hAnsi="Sylfaen"/>
          <w:sz w:val="24"/>
          <w:szCs w:val="24"/>
        </w:rPr>
        <w:t>եւ</w:t>
      </w:r>
      <w:r w:rsidRPr="00B834A2">
        <w:rPr>
          <w:rFonts w:ascii="Sylfaen" w:hAnsi="Sylfaen"/>
          <w:sz w:val="24"/>
          <w:szCs w:val="24"/>
        </w:rPr>
        <w:t xml:space="preserve"> էպիմերացման՝ հիդրօքսիդ իոնի ազդեցության ներքո՝ իզոպիլոկարպինի գոյացմամբ, որը հետագայում նույնպես հիդրոլիզվում է իզոպիլոկարպատ-իոնի: </w:t>
      </w:r>
    </w:p>
    <w:p w14:paraId="433FC7F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Ցիս-տրանս-իզոմերացումը նույնպես դեղաբանական ակտիվության կորստի </w:t>
      </w:r>
      <w:r w:rsidRPr="00D03DDF">
        <w:rPr>
          <w:rFonts w:ascii="Sylfaen" w:hAnsi="Sylfaen"/>
          <w:spacing w:val="4"/>
          <w:sz w:val="24"/>
          <w:szCs w:val="24"/>
        </w:rPr>
        <w:t>պատճառ է, եթե երկրաչափական իզոմերները տարբերվում են ակտիվությամբ: 2-րդ եւ</w:t>
      </w:r>
      <w:r w:rsidRPr="00B834A2">
        <w:rPr>
          <w:rFonts w:ascii="Sylfaen" w:hAnsi="Sylfaen"/>
          <w:sz w:val="24"/>
          <w:szCs w:val="24"/>
        </w:rPr>
        <w:t xml:space="preserve"> 6-րդ հավելվածներում ածխածնի ատոմներով ռետինոլի իզոմերացումը (վիտամին А) հանգեցնում է լրիվ տրանս-իզոմերի մեկ մոլեկուլի ակտիվության հետ համադրելի ընդհանուր ակտիվությամբ ցիս-իզոմերների գոյացմանը:</w:t>
      </w:r>
    </w:p>
    <w:p w14:paraId="00E74AAB"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44281FD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Դեկարբօքսիլացում</w:t>
      </w:r>
    </w:p>
    <w:p w14:paraId="525B65C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Պրոցեսն ուղեկցվում է ազդող նյութի կարբօքսիլային կամ կաբոնիլային խմբերից դիօքսիդի ածխածնի անջատմամբ: Որպես կանոն, գոյացող միացությունը բնութագրվում է դեղաբանական պակաս ակտիվությամբ: </w:t>
      </w:r>
    </w:p>
    <w:p w14:paraId="175BAE2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Դեկարբօքսիլացմանը ենթարկվում են որոշ կարբոնաթթուներ, օրինակ՝ </w:t>
      </w:r>
      <w:r w:rsidRPr="00B834A2">
        <w:rPr>
          <w:rFonts w:ascii="Sylfaen" w:hAnsi="Sylfaen"/>
          <w:i/>
          <w:sz w:val="24"/>
          <w:szCs w:val="24"/>
        </w:rPr>
        <w:t>n</w:t>
      </w:r>
      <w:r w:rsidRPr="00B834A2">
        <w:rPr>
          <w:rFonts w:ascii="Sylfaen" w:hAnsi="Sylfaen"/>
          <w:sz w:val="24"/>
          <w:szCs w:val="24"/>
        </w:rPr>
        <w:t>-ամինասալիսիլիաթթուն՝ լուծույթներում՝ տաքացման դեպքում:</w:t>
      </w:r>
      <w:r>
        <w:rPr>
          <w:rFonts w:ascii="Sylfaen" w:hAnsi="Sylfaen"/>
          <w:sz w:val="24"/>
          <w:szCs w:val="24"/>
        </w:rPr>
        <w:t xml:space="preserve"> </w:t>
      </w:r>
    </w:p>
    <w:p w14:paraId="3335C10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β-Կետոդեկարբօքսիլացումը կարող է տեղի ունենալ պինդ վիճակում կարբոնաթթվի β-ածխածնի կամ կարբօքսիլատ-անիոնի դեպքում կարբոնիլային </w:t>
      </w:r>
      <w:r w:rsidRPr="00B834A2">
        <w:rPr>
          <w:rFonts w:ascii="Sylfaen" w:hAnsi="Sylfaen"/>
          <w:sz w:val="24"/>
          <w:szCs w:val="24"/>
        </w:rPr>
        <w:lastRenderedPageBreak/>
        <w:t xml:space="preserve">խումբ պարունակող որոշ հակաբիոտիկների դեպքում: Նման հակաբիոտիկների շարքին են դասնում նատրիումի կարբենիցիլինը </w:t>
      </w:r>
      <w:r>
        <w:rPr>
          <w:rFonts w:ascii="Sylfaen" w:hAnsi="Sylfaen"/>
          <w:sz w:val="24"/>
          <w:szCs w:val="24"/>
        </w:rPr>
        <w:t>եւ</w:t>
      </w:r>
      <w:r w:rsidRPr="00B834A2">
        <w:rPr>
          <w:rFonts w:ascii="Sylfaen" w:hAnsi="Sylfaen"/>
          <w:sz w:val="24"/>
          <w:szCs w:val="24"/>
        </w:rPr>
        <w:t xml:space="preserve"> կարբենիցիլինային թթուն, նատրիումի տիկարցիլինը </w:t>
      </w:r>
      <w:r>
        <w:rPr>
          <w:rFonts w:ascii="Sylfaen" w:hAnsi="Sylfaen"/>
          <w:sz w:val="24"/>
          <w:szCs w:val="24"/>
        </w:rPr>
        <w:t>եւ</w:t>
      </w:r>
      <w:r w:rsidRPr="00B834A2">
        <w:rPr>
          <w:rFonts w:ascii="Sylfaen" w:hAnsi="Sylfaen"/>
          <w:sz w:val="24"/>
          <w:szCs w:val="24"/>
        </w:rPr>
        <w:t xml:space="preserve"> տիկարցիլինային թթուն:</w:t>
      </w:r>
    </w:p>
    <w:p w14:paraId="3039EFDF"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9B413C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Լուսաքիմիական տրոհում</w:t>
      </w:r>
    </w:p>
    <w:p w14:paraId="4C689ED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Ուլտրամանուշակագույն ճառագայթման ներգործությունն ունակ է առաջացնել ազդող նյութերում կովալենտային կապերի օքսիդացում (լուսաօքսիդացում) </w:t>
      </w:r>
      <w:r>
        <w:rPr>
          <w:rFonts w:ascii="Sylfaen" w:hAnsi="Sylfaen"/>
          <w:sz w:val="24"/>
          <w:szCs w:val="24"/>
        </w:rPr>
        <w:t>եւ</w:t>
      </w:r>
      <w:r w:rsidRPr="00B834A2">
        <w:rPr>
          <w:rFonts w:ascii="Sylfaen" w:hAnsi="Sylfaen"/>
          <w:sz w:val="24"/>
          <w:szCs w:val="24"/>
        </w:rPr>
        <w:t xml:space="preserve"> ճեղքում (ֆոտոլիզ): Պրոցեսն ընթանում է ըստ շղթայական ազատ ռադիկալային մեխանիզմի: </w:t>
      </w:r>
    </w:p>
    <w:p w14:paraId="64A2E2F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Լուսադեգրադացման զգալիորեն ենթարկված են նիֆեդիպինը, նիտրոպրուսիդը, ռիբոֆլանինը, ֆենոտիազինները </w:t>
      </w:r>
      <w:r>
        <w:rPr>
          <w:rFonts w:ascii="Sylfaen" w:hAnsi="Sylfaen"/>
          <w:sz w:val="24"/>
          <w:szCs w:val="24"/>
        </w:rPr>
        <w:t>եւ</w:t>
      </w:r>
      <w:r w:rsidRPr="00B834A2">
        <w:rPr>
          <w:rFonts w:ascii="Sylfaen" w:hAnsi="Sylfaen"/>
          <w:sz w:val="24"/>
          <w:szCs w:val="24"/>
        </w:rPr>
        <w:t xml:space="preserve"> այլն: Օրինակ՝ ֆենոտիազինի </w:t>
      </w:r>
      <w:r>
        <w:rPr>
          <w:rFonts w:ascii="Sylfaen" w:hAnsi="Sylfaen"/>
          <w:sz w:val="24"/>
          <w:szCs w:val="24"/>
        </w:rPr>
        <w:t>եւ</w:t>
      </w:r>
      <w:r w:rsidRPr="00B834A2">
        <w:rPr>
          <w:rFonts w:ascii="Sylfaen" w:hAnsi="Sylfaen"/>
          <w:sz w:val="24"/>
          <w:szCs w:val="24"/>
        </w:rPr>
        <w:t xml:space="preserve"> քլորպրոմազինի ֆոտոլիզի պրոցեսն ուղեկցվում է դրանց լուծույթների ապահովմամբ:</w:t>
      </w:r>
    </w:p>
    <w:p w14:paraId="57E917E8"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24470FC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Պոլիմերացում</w:t>
      </w:r>
    </w:p>
    <w:p w14:paraId="553404E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Ազդող նյութի երկու </w:t>
      </w:r>
      <w:r>
        <w:rPr>
          <w:rFonts w:ascii="Sylfaen" w:hAnsi="Sylfaen"/>
          <w:sz w:val="24"/>
          <w:szCs w:val="24"/>
        </w:rPr>
        <w:t>եւ</w:t>
      </w:r>
      <w:r w:rsidRPr="00B834A2">
        <w:rPr>
          <w:rFonts w:ascii="Sylfaen" w:hAnsi="Sylfaen"/>
          <w:sz w:val="24"/>
          <w:szCs w:val="24"/>
        </w:rPr>
        <w:t xml:space="preserve"> ավելի մոլեկուլների պոլիմերացումը հանգեցնում է բարդ մոլեկուլի (դիմեր, օլիգոմեր, պոլիմեր) առաջացմանը:</w:t>
      </w:r>
    </w:p>
    <w:p w14:paraId="47ABF43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Պոլիմերացումը տեղի է ունենում ամինոպենիցիլինների, օրինակ՝ նատրիումի ամպիցիլինի կոնցենտրացված ջրային լուծույթների պահման պրոցեսում: Ամպիցիլինի երկրորդ մոլեկուլի կողային շղթայի ամինախմբի հետ ռեակցիայի հաշվին β-լակտամային օղակի բացման արդյունքում գոյանում է դիմեր, որը հետագայում կարող է փոխակերպվել բարձ աստիճանի պոլիմերացման միացության: Պոլիմերացման գոյացող արգասիքները կարող են լինել ամպիցիլինի նկատմամբ սպեցիֆիկ ալերգիկ ռեակցիաների առաջացման պատճառ: Դիմերիզացման արագությամբ որոշվող ամինոպենիցիլինների դեմիրիզացման ունակությունն ավելանում է ամպիցիլինից ամոքսիցիլին:</w:t>
      </w:r>
    </w:p>
    <w:p w14:paraId="2AC3EE7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ԴԵՂԱՄԻՋՈՑՆԵՐԻ ԿԱՅՈՒՆՈՒԹՅԱՆ ՎՐԱ ԱԶԴՈՂ ԳՈՐԾՈՆՆԵՐ</w:t>
      </w:r>
    </w:p>
    <w:p w14:paraId="399F3B7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Դեղամիջոցի կայունությունը նվազեցնելու ունակ շրջակա միջավայրի հիմնական գործոններն են ջերմաստիճանի, լույսի, խոնավության, թթվածնի </w:t>
      </w:r>
      <w:r>
        <w:rPr>
          <w:rFonts w:ascii="Sylfaen" w:hAnsi="Sylfaen"/>
          <w:sz w:val="24"/>
          <w:szCs w:val="24"/>
        </w:rPr>
        <w:t>եւ</w:t>
      </w:r>
      <w:r w:rsidRPr="00B834A2">
        <w:rPr>
          <w:rFonts w:ascii="Sylfaen" w:hAnsi="Sylfaen"/>
          <w:sz w:val="24"/>
          <w:szCs w:val="24"/>
        </w:rPr>
        <w:t xml:space="preserve"> ածխաթթու գազի ներգործությունը:</w:t>
      </w:r>
    </w:p>
    <w:p w14:paraId="2CB84873" w14:textId="77777777" w:rsidR="00B834A2" w:rsidRPr="00B834A2" w:rsidRDefault="00B834A2" w:rsidP="00B834A2">
      <w:pPr>
        <w:spacing w:after="160" w:line="360" w:lineRule="auto"/>
        <w:ind w:firstLine="567"/>
        <w:jc w:val="both"/>
      </w:pPr>
      <w:r w:rsidRPr="00B834A2">
        <w:t>Ազդող նյութի կամ դեղաձ</w:t>
      </w:r>
      <w:r>
        <w:t>եւ</w:t>
      </w:r>
      <w:r w:rsidRPr="00B834A2">
        <w:t>ի կայունության վրա կարող է ազդեցություն ունենալ դեղապատրաստուկի ցանկացած բաղադրատարր (այլ ազդող նյութ կամ օժանդակ նյութ), կամ հազվադեպ՝ առաջնային փաթեթվածքի նյութերը:</w:t>
      </w:r>
    </w:p>
    <w:p w14:paraId="34C03AE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Դեղաձ</w:t>
      </w:r>
      <w:r>
        <w:rPr>
          <w:rFonts w:ascii="Sylfaen" w:hAnsi="Sylfaen"/>
          <w:sz w:val="24"/>
          <w:szCs w:val="24"/>
        </w:rPr>
        <w:t>եւ</w:t>
      </w:r>
      <w:r w:rsidRPr="00B834A2">
        <w:rPr>
          <w:rFonts w:ascii="Sylfaen" w:hAnsi="Sylfaen"/>
          <w:sz w:val="24"/>
          <w:szCs w:val="24"/>
        </w:rPr>
        <w:t xml:space="preserve">ի կայունության վրա ազդող գործոններին մեծամասամբ դասվում է մասնիկների չափը (հատկապես կախույթներում </w:t>
      </w:r>
      <w:r>
        <w:rPr>
          <w:rFonts w:ascii="Sylfaen" w:hAnsi="Sylfaen"/>
          <w:sz w:val="24"/>
          <w:szCs w:val="24"/>
        </w:rPr>
        <w:t>եւ</w:t>
      </w:r>
      <w:r w:rsidRPr="00B834A2">
        <w:rPr>
          <w:rFonts w:ascii="Sylfaen" w:hAnsi="Sylfaen"/>
          <w:sz w:val="24"/>
          <w:szCs w:val="24"/>
        </w:rPr>
        <w:t xml:space="preserve"> էմուլսիաներում), pH, լուծիչների համակարգի կազմը (այդ թվում՝ դրանում ջրի առկայությունը) </w:t>
      </w:r>
      <w:r>
        <w:rPr>
          <w:rFonts w:ascii="Sylfaen" w:hAnsi="Sylfaen"/>
          <w:sz w:val="24"/>
          <w:szCs w:val="24"/>
        </w:rPr>
        <w:t>եւ</w:t>
      </w:r>
      <w:r w:rsidRPr="00B834A2">
        <w:rPr>
          <w:rFonts w:ascii="Sylfaen" w:hAnsi="Sylfaen"/>
          <w:sz w:val="24"/>
          <w:szCs w:val="24"/>
        </w:rPr>
        <w:t xml:space="preserve"> դրա ընդհանուր բ</w:t>
      </w:r>
      <w:r>
        <w:rPr>
          <w:rFonts w:ascii="Sylfaen" w:hAnsi="Sylfaen"/>
          <w:sz w:val="24"/>
          <w:szCs w:val="24"/>
        </w:rPr>
        <w:t>եւ</w:t>
      </w:r>
      <w:r w:rsidRPr="00B834A2">
        <w:rPr>
          <w:rFonts w:ascii="Sylfaen" w:hAnsi="Sylfaen"/>
          <w:sz w:val="24"/>
          <w:szCs w:val="24"/>
        </w:rPr>
        <w:t>եռայնությունը, մեժիոն համատեղելիությունը, լուծույթի իոնային ուժը, հատուկ քիմիական հավելումները, ինչպես նա</w:t>
      </w:r>
      <w:r>
        <w:rPr>
          <w:rFonts w:ascii="Sylfaen" w:hAnsi="Sylfaen"/>
          <w:sz w:val="24"/>
          <w:szCs w:val="24"/>
        </w:rPr>
        <w:t>եւ</w:t>
      </w:r>
      <w:r w:rsidRPr="00B834A2">
        <w:rPr>
          <w:rFonts w:ascii="Sylfaen" w:hAnsi="Sylfaen"/>
          <w:sz w:val="24"/>
          <w:szCs w:val="24"/>
        </w:rPr>
        <w:t xml:space="preserve"> ազդող </w:t>
      </w:r>
      <w:r>
        <w:rPr>
          <w:rFonts w:ascii="Sylfaen" w:hAnsi="Sylfaen"/>
          <w:sz w:val="24"/>
          <w:szCs w:val="24"/>
        </w:rPr>
        <w:t>եւ</w:t>
      </w:r>
      <w:r w:rsidRPr="00B834A2">
        <w:rPr>
          <w:rFonts w:ascii="Sylfaen" w:hAnsi="Sylfaen"/>
          <w:sz w:val="24"/>
          <w:szCs w:val="24"/>
        </w:rPr>
        <w:t xml:space="preserve"> օժանդակ նյութերի մոլեկուլյար կապումը </w:t>
      </w:r>
      <w:r>
        <w:rPr>
          <w:rFonts w:ascii="Sylfaen" w:hAnsi="Sylfaen"/>
          <w:sz w:val="24"/>
          <w:szCs w:val="24"/>
        </w:rPr>
        <w:t>եւ</w:t>
      </w:r>
      <w:r w:rsidRPr="00B834A2">
        <w:rPr>
          <w:rFonts w:ascii="Sylfaen" w:hAnsi="Sylfaen"/>
          <w:sz w:val="24"/>
          <w:szCs w:val="24"/>
        </w:rPr>
        <w:t xml:space="preserve"> դիֆուզիան:</w:t>
      </w:r>
    </w:p>
    <w:p w14:paraId="4DA12CBA"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B3DAFD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Ջերմաստիճան</w:t>
      </w:r>
    </w:p>
    <w:p w14:paraId="48909863" w14:textId="77777777" w:rsidR="00B834A2" w:rsidRPr="00097504"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Որպես կանոն, քիմիական ռեակցիայի արագությունն ավելանում է էքսպոնենցիալ եղանակով ջերմաստիճանի ամեն 10 °С-ով բարձրանալու դեպքում: Տվյալ կախվածությունը բնորոշ է գրեթե բոլոր դեղամիջոցների հիդրոլիզի </w:t>
      </w:r>
      <w:r>
        <w:rPr>
          <w:rFonts w:ascii="Sylfaen" w:hAnsi="Sylfaen"/>
          <w:sz w:val="24"/>
          <w:szCs w:val="24"/>
        </w:rPr>
        <w:t>եւ</w:t>
      </w:r>
      <w:r w:rsidRPr="00B834A2">
        <w:rPr>
          <w:rFonts w:ascii="Sylfaen" w:hAnsi="Sylfaen"/>
          <w:sz w:val="24"/>
          <w:szCs w:val="24"/>
        </w:rPr>
        <w:t xml:space="preserve"> որոշ դեղամիջոցների մոտ օքսիդացման ռեակցիաների համար: Ռեակցիայի արագության փաստացի ջերմաստիճանային գործակիցը պայմանավորված է դրա ակտիվացման էներգիայով: Իր հերթին ակտիվացման էներգիան որոշվում է ազդող նյութի մոլեկուլում քիմիական կապի ռեակցիոն ունակությամբ </w:t>
      </w:r>
      <w:r>
        <w:rPr>
          <w:rFonts w:ascii="Sylfaen" w:hAnsi="Sylfaen"/>
          <w:sz w:val="24"/>
          <w:szCs w:val="24"/>
        </w:rPr>
        <w:t>եւ</w:t>
      </w:r>
      <w:r w:rsidRPr="00B834A2">
        <w:rPr>
          <w:rFonts w:ascii="Sylfaen" w:hAnsi="Sylfaen"/>
          <w:sz w:val="24"/>
          <w:szCs w:val="24"/>
        </w:rPr>
        <w:t xml:space="preserve"> դեղապատրաստուկի կազմով: Օրինակ՝ եթե ազդող նյութը հեշտ հիդրոլիզվող է, ապա սառնարանում պահելու ջերմաստիճանից մինչ</w:t>
      </w:r>
      <w:r>
        <w:rPr>
          <w:rFonts w:ascii="Sylfaen" w:hAnsi="Sylfaen"/>
          <w:sz w:val="24"/>
          <w:szCs w:val="24"/>
        </w:rPr>
        <w:t>եւ</w:t>
      </w:r>
      <w:r w:rsidRPr="00B834A2">
        <w:rPr>
          <w:rFonts w:ascii="Sylfaen" w:hAnsi="Sylfaen"/>
          <w:sz w:val="24"/>
          <w:szCs w:val="24"/>
        </w:rPr>
        <w:t xml:space="preserve"> (15-20) °С սենյակային վերահսկվող ջերմաստիճանի 20 °С-ով բարձրացումը կարող է նվազեցնել դեղապատրաստուկի պիտանիության</w:t>
      </w:r>
      <w:r w:rsidR="00097504">
        <w:rPr>
          <w:rFonts w:ascii="Sylfaen" w:hAnsi="Sylfaen"/>
          <w:sz w:val="24"/>
          <w:szCs w:val="24"/>
        </w:rPr>
        <w:t xml:space="preserve"> ժամկետը (պահման ժամկետը) 1/4-</w:t>
      </w:r>
      <w:r w:rsidRPr="00B834A2">
        <w:rPr>
          <w:rFonts w:ascii="Sylfaen" w:hAnsi="Sylfaen"/>
          <w:sz w:val="24"/>
          <w:szCs w:val="24"/>
        </w:rPr>
        <w:t>1/25-ով:</w:t>
      </w:r>
    </w:p>
    <w:p w14:paraId="6E32E567" w14:textId="77777777" w:rsidR="00097504" w:rsidRPr="00097504" w:rsidRDefault="00097504" w:rsidP="00B834A2">
      <w:pPr>
        <w:pStyle w:val="a0"/>
        <w:shd w:val="clear" w:color="auto" w:fill="auto"/>
        <w:spacing w:after="160" w:line="360" w:lineRule="auto"/>
        <w:ind w:firstLine="567"/>
        <w:jc w:val="both"/>
        <w:rPr>
          <w:rFonts w:ascii="Sylfaen" w:hAnsi="Sylfaen" w:cs="Sylfaen"/>
          <w:sz w:val="24"/>
          <w:szCs w:val="24"/>
        </w:rPr>
      </w:pPr>
    </w:p>
    <w:p w14:paraId="31979FA6" w14:textId="77777777" w:rsidR="00B834A2" w:rsidRPr="00A859E3"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lastRenderedPageBreak/>
        <w:t xml:space="preserve">Սակայն անընդունելի ցածր ջերմաստիճանները կարող են բացասական ներգործություն ունենալ: Օրինակ՝ հովացումը կարող է դառնալ որոշ հեղուկ դեղապատրաստուկների չափազանց մեծ մածուցիկության </w:t>
      </w:r>
      <w:r>
        <w:rPr>
          <w:rFonts w:ascii="Sylfaen" w:hAnsi="Sylfaen"/>
          <w:sz w:val="24"/>
          <w:szCs w:val="24"/>
        </w:rPr>
        <w:t>եւ</w:t>
      </w:r>
      <w:r w:rsidRPr="00B834A2">
        <w:rPr>
          <w:rFonts w:ascii="Sylfaen" w:hAnsi="Sylfaen"/>
          <w:sz w:val="24"/>
          <w:szCs w:val="24"/>
        </w:rPr>
        <w:t xml:space="preserve"> գերհագեցվածության պատճառ:</w:t>
      </w:r>
      <w:r>
        <w:rPr>
          <w:rFonts w:ascii="Sylfaen" w:hAnsi="Sylfaen"/>
          <w:sz w:val="24"/>
          <w:szCs w:val="24"/>
        </w:rPr>
        <w:t xml:space="preserve"> </w:t>
      </w:r>
      <w:r w:rsidRPr="00B834A2">
        <w:rPr>
          <w:rFonts w:ascii="Sylfaen" w:hAnsi="Sylfaen"/>
          <w:sz w:val="24"/>
          <w:szCs w:val="24"/>
        </w:rPr>
        <w:t>Սառեցումը կարող է առաջացնել էմուլսիաների կաթիլների չափի մեծացում՝ ընդհուպ մինչ</w:t>
      </w:r>
      <w:r>
        <w:rPr>
          <w:rFonts w:ascii="Sylfaen" w:hAnsi="Sylfaen"/>
          <w:sz w:val="24"/>
          <w:szCs w:val="24"/>
        </w:rPr>
        <w:t>եւ</w:t>
      </w:r>
      <w:r w:rsidRPr="00B834A2">
        <w:rPr>
          <w:rFonts w:ascii="Sylfaen" w:hAnsi="Sylfaen"/>
          <w:sz w:val="24"/>
          <w:szCs w:val="24"/>
        </w:rPr>
        <w:t xml:space="preserve"> դրանք քայքայումը, սպիտակուցների դենատուրացում </w:t>
      </w:r>
      <w:r>
        <w:rPr>
          <w:rFonts w:ascii="Sylfaen" w:hAnsi="Sylfaen"/>
          <w:sz w:val="24"/>
          <w:szCs w:val="24"/>
        </w:rPr>
        <w:t>եւ</w:t>
      </w:r>
      <w:r w:rsidRPr="00B834A2">
        <w:rPr>
          <w:rFonts w:ascii="Sylfaen" w:hAnsi="Sylfaen"/>
          <w:sz w:val="24"/>
          <w:szCs w:val="24"/>
        </w:rPr>
        <w:t xml:space="preserve"> որոշ հազվադեպ դեպքերում՝ ազդող նյութերի պակաս լուծվող պոլիմորֆ վիճակների առաջացում:</w:t>
      </w:r>
    </w:p>
    <w:p w14:paraId="20D46744" w14:textId="77777777" w:rsidR="00D03DDF" w:rsidRPr="00A859E3" w:rsidRDefault="00D03DDF" w:rsidP="00B834A2">
      <w:pPr>
        <w:pStyle w:val="a0"/>
        <w:shd w:val="clear" w:color="auto" w:fill="auto"/>
        <w:spacing w:after="160" w:line="360" w:lineRule="auto"/>
        <w:ind w:firstLine="567"/>
        <w:jc w:val="both"/>
        <w:rPr>
          <w:rFonts w:ascii="Sylfaen" w:hAnsi="Sylfaen" w:cs="Sylfaen"/>
          <w:sz w:val="24"/>
          <w:szCs w:val="24"/>
        </w:rPr>
      </w:pPr>
    </w:p>
    <w:p w14:paraId="0F8A6BE1" w14:textId="77777777" w:rsidR="00B834A2" w:rsidRPr="00B834A2" w:rsidRDefault="00B834A2" w:rsidP="00D03DDF">
      <w:pPr>
        <w:pStyle w:val="a0"/>
        <w:shd w:val="clear" w:color="auto" w:fill="auto"/>
        <w:spacing w:after="160" w:line="360" w:lineRule="auto"/>
        <w:ind w:firstLine="567"/>
        <w:rPr>
          <w:rFonts w:ascii="Sylfaen" w:hAnsi="Sylfaen" w:cs="Sylfaen"/>
          <w:sz w:val="24"/>
          <w:szCs w:val="24"/>
        </w:rPr>
      </w:pPr>
      <w:r w:rsidRPr="00B834A2">
        <w:rPr>
          <w:rFonts w:ascii="Sylfaen" w:hAnsi="Sylfaen"/>
          <w:b/>
          <w:sz w:val="24"/>
          <w:szCs w:val="24"/>
        </w:rPr>
        <w:t>pH</w:t>
      </w:r>
    </w:p>
    <w:p w14:paraId="4C5957D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Լուծույթում շատ ազդող նյութերի դեգրադացումն արագանում կամ դանդաղում է էքսպոնենցիալ եղանակով արժեքների որոշակի ընդգրկույթում pH-ի փոփոխության (նվազման կամ մեծացման) հետ</w:t>
      </w:r>
      <w:r>
        <w:rPr>
          <w:rFonts w:ascii="Sylfaen" w:hAnsi="Sylfaen"/>
          <w:sz w:val="24"/>
          <w:szCs w:val="24"/>
        </w:rPr>
        <w:t>եւ</w:t>
      </w:r>
      <w:r w:rsidRPr="00B834A2">
        <w:rPr>
          <w:rFonts w:ascii="Sylfaen" w:hAnsi="Sylfaen"/>
          <w:sz w:val="24"/>
          <w:szCs w:val="24"/>
        </w:rPr>
        <w:t xml:space="preserve">անքով: Բացի բարձր ջերմաստիճանի ներգործությունից՝ pH-ը դասվում է այն գործոնին, որն ամենայն հավանականությամբ առաջացնում է հիդրոլիզի </w:t>
      </w:r>
      <w:r>
        <w:rPr>
          <w:rFonts w:ascii="Sylfaen" w:hAnsi="Sylfaen"/>
          <w:sz w:val="24"/>
          <w:szCs w:val="24"/>
        </w:rPr>
        <w:t>եւ</w:t>
      </w:r>
      <w:r w:rsidRPr="00B834A2">
        <w:rPr>
          <w:rFonts w:ascii="Sylfaen" w:hAnsi="Sylfaen"/>
          <w:sz w:val="24"/>
          <w:szCs w:val="24"/>
        </w:rPr>
        <w:t xml:space="preserve"> օքսիդացման ռեակցիաների արդյունքում ազդող նյութի կլինիկապես նշանակալի կորուստ: Օրինակ՝ լուծույթի կամ կախույթի տեսքով դեղապատրաստուկը կարող է լինել կայուն մի քանի օրվա, շաբաթվա կամ նույնիսկ տարվա ընթացքում իր սկզբնական դեղաձ</w:t>
      </w:r>
      <w:r>
        <w:rPr>
          <w:rFonts w:ascii="Sylfaen" w:hAnsi="Sylfaen"/>
          <w:sz w:val="24"/>
          <w:szCs w:val="24"/>
        </w:rPr>
        <w:t>եւ</w:t>
      </w:r>
      <w:r w:rsidRPr="00B834A2">
        <w:rPr>
          <w:rFonts w:ascii="Sylfaen" w:hAnsi="Sylfaen"/>
          <w:sz w:val="24"/>
          <w:szCs w:val="24"/>
        </w:rPr>
        <w:t>ով, սակայն pH-ը փոփոխող այլ հեղուկի հետ միախառնելիս ենթարկվում է դեգրադացման մի քանի րոպեի կամ օրվա ընթացքում: Հնարավոր է, որ pH-ի փոփոխությունը մեկ միավորով (օրինակ՝ 4-ից 3 կամ 8-ից 9) կարող է նվազեցնել դեղամիջոցի կայունությունը 10 կամ ավելին անգամ:</w:t>
      </w:r>
    </w:p>
    <w:p w14:paraId="1A8C1A1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Հիդրոլիզին հակված ազդող նյութերի համար pH-ի ազդեցությունը հիդրոլիզի արագության վրա, որպես կանոն, սահմանում են դեղաձ</w:t>
      </w:r>
      <w:r>
        <w:rPr>
          <w:rFonts w:ascii="Sylfaen" w:hAnsi="Sylfaen"/>
          <w:sz w:val="24"/>
          <w:szCs w:val="24"/>
        </w:rPr>
        <w:t>եւ</w:t>
      </w:r>
      <w:r w:rsidRPr="00B834A2">
        <w:rPr>
          <w:rFonts w:ascii="Sylfaen" w:hAnsi="Sylfaen"/>
          <w:sz w:val="24"/>
          <w:szCs w:val="24"/>
        </w:rPr>
        <w:t>ի մշակման ընթացքում: «pH (հիդրոլիզի արագություն)» ստացված պրոֆիլը թույլ է տալիս որոշել առավելագույն կայունությունն</w:t>
      </w:r>
      <w:r>
        <w:rPr>
          <w:rFonts w:ascii="Sylfaen" w:hAnsi="Sylfaen"/>
          <w:sz w:val="24"/>
          <w:szCs w:val="24"/>
        </w:rPr>
        <w:t xml:space="preserve"> </w:t>
      </w:r>
      <w:r w:rsidRPr="00B834A2">
        <w:rPr>
          <w:rFonts w:ascii="Sylfaen" w:hAnsi="Sylfaen"/>
          <w:sz w:val="24"/>
          <w:szCs w:val="24"/>
        </w:rPr>
        <w:t>ապահովող pH արժեքը: Սակայն այն ոչ միշտ կարող է օգտագործվել դեղաձ</w:t>
      </w:r>
      <w:r>
        <w:rPr>
          <w:rFonts w:ascii="Sylfaen" w:hAnsi="Sylfaen"/>
          <w:sz w:val="24"/>
          <w:szCs w:val="24"/>
        </w:rPr>
        <w:t>եւ</w:t>
      </w:r>
      <w:r w:rsidRPr="00B834A2">
        <w:rPr>
          <w:rFonts w:ascii="Sylfaen" w:hAnsi="Sylfaen"/>
          <w:sz w:val="24"/>
          <w:szCs w:val="24"/>
        </w:rPr>
        <w:t>ի ստացման ժամանակ՝ հաշվի առնելով լուծելիության վատթարացումը կամ pH-ի տվյալ արժեքում դեղապատրաստուկի թերապ</w:t>
      </w:r>
      <w:r>
        <w:rPr>
          <w:rFonts w:ascii="Sylfaen" w:hAnsi="Sylfaen"/>
          <w:sz w:val="24"/>
          <w:szCs w:val="24"/>
        </w:rPr>
        <w:t>եւ</w:t>
      </w:r>
      <w:r w:rsidRPr="00B834A2">
        <w:rPr>
          <w:rFonts w:ascii="Sylfaen" w:hAnsi="Sylfaen"/>
          <w:sz w:val="24"/>
          <w:szCs w:val="24"/>
        </w:rPr>
        <w:t xml:space="preserve">տիկ ազդեցության թուլացումը: Նման կախվածությունը հատկապես </w:t>
      </w:r>
      <w:r w:rsidRPr="00B834A2">
        <w:rPr>
          <w:rFonts w:ascii="Sylfaen" w:hAnsi="Sylfaen"/>
          <w:sz w:val="24"/>
          <w:szCs w:val="24"/>
        </w:rPr>
        <w:lastRenderedPageBreak/>
        <w:t xml:space="preserve">բնորոշ է թույլ հիմնային ազդող նյութերի, օրինակ՝ ֆիզոստիգմինի, պիլոկարպինի </w:t>
      </w:r>
      <w:r>
        <w:rPr>
          <w:rFonts w:ascii="Sylfaen" w:hAnsi="Sylfaen"/>
          <w:sz w:val="24"/>
          <w:szCs w:val="24"/>
        </w:rPr>
        <w:t>եւ</w:t>
      </w:r>
      <w:r w:rsidRPr="00B834A2">
        <w:rPr>
          <w:rFonts w:ascii="Sylfaen" w:hAnsi="Sylfaen"/>
          <w:sz w:val="24"/>
          <w:szCs w:val="24"/>
        </w:rPr>
        <w:t xml:space="preserve"> աչքի կաթիլների տեսքով կիրառվող ատրոպինի համար: Թեպետ դրանց առավելագույն կայունությունը դիտվում է թթու լուծույթներում, թերապ</w:t>
      </w:r>
      <w:r>
        <w:rPr>
          <w:rFonts w:ascii="Sylfaen" w:hAnsi="Sylfaen"/>
          <w:sz w:val="24"/>
          <w:szCs w:val="24"/>
        </w:rPr>
        <w:t>եւ</w:t>
      </w:r>
      <w:r w:rsidRPr="00B834A2">
        <w:rPr>
          <w:rFonts w:ascii="Sylfaen" w:hAnsi="Sylfaen"/>
          <w:sz w:val="24"/>
          <w:szCs w:val="24"/>
        </w:rPr>
        <w:t>տիկ ազդեցությունը մեծամասամբ դրս</w:t>
      </w:r>
      <w:r>
        <w:rPr>
          <w:rFonts w:ascii="Sylfaen" w:hAnsi="Sylfaen"/>
          <w:sz w:val="24"/>
          <w:szCs w:val="24"/>
        </w:rPr>
        <w:t>եւ</w:t>
      </w:r>
      <w:r w:rsidRPr="00B834A2">
        <w:rPr>
          <w:rFonts w:ascii="Sylfaen" w:hAnsi="Sylfaen"/>
          <w:sz w:val="24"/>
          <w:szCs w:val="24"/>
        </w:rPr>
        <w:t>որվում է դրանց կողմից ավելի շուտ հիմնային, քան աղային ձ</w:t>
      </w:r>
      <w:r>
        <w:rPr>
          <w:rFonts w:ascii="Sylfaen" w:hAnsi="Sylfaen"/>
          <w:sz w:val="24"/>
          <w:szCs w:val="24"/>
        </w:rPr>
        <w:t>եւ</w:t>
      </w:r>
      <w:r w:rsidRPr="00B834A2">
        <w:rPr>
          <w:rFonts w:ascii="Sylfaen" w:hAnsi="Sylfaen"/>
          <w:sz w:val="24"/>
          <w:szCs w:val="24"/>
        </w:rPr>
        <w:t>ով:</w:t>
      </w:r>
    </w:p>
    <w:p w14:paraId="0BD2B52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Դեգրադացման արագությունը նվազագույնի հասցնող ընդգրկույթում pH-ի հաստատունությունը պահպանելու համար հեղուկ դեղապատրաստուկների կազմի մեջ ներմուծում են բուֆերային համակարգեր, որոնք սովորաբար թույլ թթվի կամ թույլ հիմքի </w:t>
      </w:r>
      <w:r>
        <w:rPr>
          <w:rFonts w:ascii="Sylfaen" w:hAnsi="Sylfaen"/>
          <w:sz w:val="24"/>
          <w:szCs w:val="24"/>
        </w:rPr>
        <w:t>եւ</w:t>
      </w:r>
      <w:r w:rsidRPr="00B834A2">
        <w:rPr>
          <w:rFonts w:ascii="Sylfaen" w:hAnsi="Sylfaen"/>
          <w:sz w:val="24"/>
          <w:szCs w:val="24"/>
        </w:rPr>
        <w:t xml:space="preserve"> դրանց աղի խառնուրդ են: Սակայն pH կարգավորումից բացի՝ բուֆերային համակարգի բաղադրիչներն ունակ են ինքնուրույն կատալիզացնել թթվահիմնային հիդրոլիզ, ինչը պահանջում է հատուկ զգուշություն բուֆերային համակարգեր ընտրելիս: </w:t>
      </w:r>
    </w:p>
    <w:p w14:paraId="2D7CAB9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Ազդող նյութերի օքսիդացնող դեգրադացումը նույնպես դրս</w:t>
      </w:r>
      <w:r>
        <w:rPr>
          <w:rFonts w:ascii="Sylfaen" w:hAnsi="Sylfaen"/>
          <w:sz w:val="24"/>
          <w:szCs w:val="24"/>
        </w:rPr>
        <w:t>եւ</w:t>
      </w:r>
      <w:r w:rsidRPr="00B834A2">
        <w:rPr>
          <w:rFonts w:ascii="Sylfaen" w:hAnsi="Sylfaen"/>
          <w:sz w:val="24"/>
          <w:szCs w:val="24"/>
        </w:rPr>
        <w:t xml:space="preserve">որում է pH-ից կախվածություն: Զգալի չափով այն արտահայտված է օքսիդացման հակված ազդող նյութերի, օրինակ՝ ադրենալինի, որոշ հորմոնների </w:t>
      </w:r>
      <w:r>
        <w:rPr>
          <w:rFonts w:ascii="Sylfaen" w:hAnsi="Sylfaen"/>
          <w:sz w:val="24"/>
          <w:szCs w:val="24"/>
        </w:rPr>
        <w:t>եւ</w:t>
      </w:r>
      <w:r w:rsidRPr="00B834A2">
        <w:rPr>
          <w:rFonts w:ascii="Sylfaen" w:hAnsi="Sylfaen"/>
          <w:sz w:val="24"/>
          <w:szCs w:val="24"/>
        </w:rPr>
        <w:t xml:space="preserve"> վիտամինների համար:</w:t>
      </w:r>
    </w:p>
    <w:p w14:paraId="22CF23C2" w14:textId="77777777" w:rsidR="00B834A2" w:rsidRPr="00B834A2" w:rsidRDefault="00B834A2" w:rsidP="00B834A2">
      <w:pPr>
        <w:spacing w:after="160" w:line="360" w:lineRule="auto"/>
        <w:ind w:firstLine="567"/>
        <w:jc w:val="both"/>
      </w:pPr>
      <w:r w:rsidRPr="00B834A2">
        <w:t>Լուծույթների տեսքով դեղապատրաստուկների pH մեծությունը կարգավորում են նույնպես ազդող նյութի լուծելիության հասնելու համար: Օրինակ՝ рК</w:t>
      </w:r>
      <w:r w:rsidRPr="00B834A2">
        <w:rPr>
          <w:vertAlign w:val="subscript"/>
        </w:rPr>
        <w:t>а</w:t>
      </w:r>
      <w:r w:rsidRPr="00B834A2">
        <w:t xml:space="preserve"> համապատասխան արժեքի հետ համադրելի pH արժեքը թույլ է տալիս վերահսկել սովորաբար առավել լուծելի իոնիզացված </w:t>
      </w:r>
      <w:r>
        <w:t>եւ</w:t>
      </w:r>
      <w:r w:rsidRPr="00B834A2">
        <w:t xml:space="preserve"> պակաս լուծելի չիոնիզացված մասնիկների՝ թույլ օրգանական էլեկտրոլիտների մասնաբաժինը: </w:t>
      </w:r>
    </w:p>
    <w:p w14:paraId="7F9B9EE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Ոչ պակաս կար</w:t>
      </w:r>
      <w:r>
        <w:rPr>
          <w:rFonts w:ascii="Sylfaen" w:hAnsi="Sylfaen"/>
          <w:sz w:val="24"/>
          <w:szCs w:val="24"/>
        </w:rPr>
        <w:t>եւ</w:t>
      </w:r>
      <w:r w:rsidRPr="00B834A2">
        <w:rPr>
          <w:rFonts w:ascii="Sylfaen" w:hAnsi="Sylfaen"/>
          <w:sz w:val="24"/>
          <w:szCs w:val="24"/>
        </w:rPr>
        <w:t xml:space="preserve">որ է pH-ի ազդեցությունը երկֆազ համակարգերի, </w:t>
      </w:r>
      <w:r w:rsidRPr="00097504">
        <w:rPr>
          <w:rFonts w:ascii="Sylfaen" w:hAnsi="Sylfaen"/>
          <w:spacing w:val="-4"/>
          <w:sz w:val="24"/>
          <w:szCs w:val="24"/>
        </w:rPr>
        <w:t>հատկապես՝ էմուլսիաների ֆիզիկական կայունության վրա: Օրինակ՝ ներզարկերակային ներմուծման համար ճարպային էմուլսիան ապակայունացվում է թթվային</w:t>
      </w:r>
      <w:r w:rsidRPr="00B834A2">
        <w:rPr>
          <w:rFonts w:ascii="Sylfaen" w:hAnsi="Sylfaen"/>
          <w:sz w:val="24"/>
          <w:szCs w:val="24"/>
        </w:rPr>
        <w:t xml:space="preserve"> ընդգրկույթում pH արժեքներով:</w:t>
      </w:r>
    </w:p>
    <w:p w14:paraId="102B93BB" w14:textId="77777777" w:rsidR="00097504" w:rsidRPr="002E52D1" w:rsidRDefault="00097504">
      <w:pPr>
        <w:rPr>
          <w:rFonts w:eastAsia="Times New Roman" w:cs="Times New Roman"/>
          <w:b/>
          <w:color w:val="auto"/>
        </w:rPr>
      </w:pPr>
      <w:r w:rsidRPr="002E52D1">
        <w:rPr>
          <w:b/>
        </w:rPr>
        <w:br w:type="page"/>
      </w:r>
    </w:p>
    <w:p w14:paraId="72CF2CF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Մեժիոն (կատիոնանիոնային) համատեղելիություն</w:t>
      </w:r>
    </w:p>
    <w:p w14:paraId="10FE1818" w14:textId="77777777" w:rsidR="00B834A2" w:rsidRPr="00D03DDF"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Ոչ լուծելի միացությունների գոյացումը բացառող լուծույթում հակառակ լիցքավորված իոնների ազատ գոյությունը վկայում է լուծված վիճակում դրանց համատեղելիության մասին: Մեժիոն համատեղելիությունը պայմանավորված է հիմնականում լիցքի մեծությամբ </w:t>
      </w:r>
      <w:r>
        <w:rPr>
          <w:rFonts w:ascii="Sylfaen" w:hAnsi="Sylfaen"/>
          <w:sz w:val="24"/>
          <w:szCs w:val="24"/>
        </w:rPr>
        <w:t>եւ</w:t>
      </w:r>
      <w:r w:rsidRPr="00B834A2">
        <w:rPr>
          <w:rFonts w:ascii="Sylfaen" w:hAnsi="Sylfaen"/>
          <w:sz w:val="24"/>
          <w:szCs w:val="24"/>
        </w:rPr>
        <w:t xml:space="preserve"> իոնների չափով: Որպես կանոն, հակառակ </w:t>
      </w:r>
      <w:r w:rsidRPr="00D03DDF">
        <w:rPr>
          <w:rFonts w:ascii="Sylfaen" w:hAnsi="Sylfaen"/>
          <w:spacing w:val="4"/>
          <w:sz w:val="24"/>
          <w:szCs w:val="24"/>
        </w:rPr>
        <w:t>լիցքով բազմավալենտ իոններն առավել մեծ հավանականությամբ անհամատեղելի են</w:t>
      </w:r>
      <w:r w:rsidRPr="00B834A2">
        <w:rPr>
          <w:rFonts w:ascii="Sylfaen" w:hAnsi="Sylfaen"/>
          <w:sz w:val="24"/>
          <w:szCs w:val="24"/>
        </w:rPr>
        <w:t xml:space="preserve"> լինելու: Անհամատեղելիությունը կարող է առաջանալ ազդող նյութի իոնի լիցքին հակառակ խոշոր չափի իոնի հավելման դեպքում:</w:t>
      </w:r>
    </w:p>
    <w:p w14:paraId="7EEF0218"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230477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Իոնային ուժ</w:t>
      </w:r>
    </w:p>
    <w:p w14:paraId="01322D5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Ազդող նյութի դեգրադացման պրոցեսի վրա իոնային ուժի ազդեցությունը կարող է տեղի ունենալ դեղամիջոցների լուծույթների իզոտոնիրացման, դրանց օքսիդացման կանխման կամ որպես բուֆերային համակարգի բաղադրիչներ pH հաստատունության պահպանման համար նախատեսված էլեկտրոլիտների առկայությամբ:</w:t>
      </w:r>
    </w:p>
    <w:p w14:paraId="7D025AA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Լուծված էլեկտրոլիտների ընդհանուր կոնցենտրացիայի ներգործությունը հիդրոլիզի ռեակցիաների արագության վրա պայմանավորված է մեժիոն ձգողության վրա իոնային ուժի ազդեցությամբ: Որպես կանոն, հիդրոլիզի արագության հաստատունը հակադարձ համեմատական է իոնային ուժին (օրինակ՝ ազդող նյութի կատիոնի </w:t>
      </w:r>
      <w:r>
        <w:rPr>
          <w:rFonts w:ascii="Sylfaen" w:hAnsi="Sylfaen"/>
          <w:sz w:val="24"/>
          <w:szCs w:val="24"/>
        </w:rPr>
        <w:t>եւ</w:t>
      </w:r>
      <w:r w:rsidRPr="00B834A2">
        <w:rPr>
          <w:rFonts w:ascii="Sylfaen" w:hAnsi="Sylfaen"/>
          <w:sz w:val="24"/>
          <w:szCs w:val="24"/>
        </w:rPr>
        <w:t xml:space="preserve"> օժանդակ նյութի անիոնների) </w:t>
      </w:r>
      <w:r>
        <w:rPr>
          <w:rFonts w:ascii="Sylfaen" w:hAnsi="Sylfaen"/>
          <w:sz w:val="24"/>
          <w:szCs w:val="24"/>
        </w:rPr>
        <w:t>եւ</w:t>
      </w:r>
      <w:r w:rsidRPr="00B834A2">
        <w:rPr>
          <w:rFonts w:ascii="Sylfaen" w:hAnsi="Sylfaen"/>
          <w:sz w:val="24"/>
          <w:szCs w:val="24"/>
        </w:rPr>
        <w:t xml:space="preserve"> ուղիղ համեմատական է համանուն լիցքավորված իոնների համար իոնային ուժին: Ցանկացած ռեակցիա, որը հանգեցնում է ազդող նյութի սկզբնական իոնի լիցքին հակառակ լիցքով իոնի գոյացմանը, ռեակցիայի ընթացքում իոնային ուժի ավելացման դեպքում կարող է բարձրացնել ազդող նյութի հիդրոլիզի արագությունը:</w:t>
      </w:r>
    </w:p>
    <w:p w14:paraId="5E5C1EF8" w14:textId="77777777" w:rsidR="00B834A2" w:rsidRPr="00B834A2" w:rsidRDefault="00B834A2" w:rsidP="00B834A2">
      <w:pPr>
        <w:spacing w:after="160" w:line="360" w:lineRule="auto"/>
        <w:ind w:firstLine="567"/>
        <w:jc w:val="both"/>
      </w:pPr>
      <w:r w:rsidRPr="00B834A2">
        <w:t>Անօրգանական աղերի բարձր իոնային ուժը կարող է նվազեցնել նույնպես որոշ դեղամիջոցների լուծելիությունը:</w:t>
      </w:r>
    </w:p>
    <w:p w14:paraId="0F1CE9F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Լուծիչներ</w:t>
      </w:r>
    </w:p>
    <w:p w14:paraId="6347477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Ջրային լուծույթներում հիդրոլիզին հակված շատ դեղամիջոցներ կայունացնում են ոչ ջրային լուծիչների օգտագործման միջոցով դեղաձ</w:t>
      </w:r>
      <w:r>
        <w:rPr>
          <w:rFonts w:ascii="Sylfaen" w:hAnsi="Sylfaen"/>
          <w:sz w:val="24"/>
          <w:szCs w:val="24"/>
        </w:rPr>
        <w:t>եւ</w:t>
      </w:r>
      <w:r w:rsidRPr="00B834A2">
        <w:rPr>
          <w:rFonts w:ascii="Sylfaen" w:hAnsi="Sylfaen"/>
          <w:sz w:val="24"/>
          <w:szCs w:val="24"/>
        </w:rPr>
        <w:t>ի ստացման պրոցեսում: Հաճախ որպես նման լուծիչներ կիրառում են էթանոլ, գլիցերին, պրոպիլենգլիկոլ:</w:t>
      </w:r>
    </w:p>
    <w:p w14:paraId="408EAC8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Ազդող նյութերի կայունության վրա ոչ ջրային լուծիչների ազդեցությունը հիմնավորված է դրանց դիէլեկտրիկ հաստատունով, որի նվազումը, որպես կանոն, նվազեցնում է դեգրադացման արագությունը: Սակայն այդ դեպքում </w:t>
      </w:r>
      <w:r>
        <w:rPr>
          <w:rFonts w:ascii="Sylfaen" w:hAnsi="Sylfaen"/>
          <w:sz w:val="24"/>
          <w:szCs w:val="24"/>
        </w:rPr>
        <w:t>եւ</w:t>
      </w:r>
      <w:r w:rsidRPr="00B834A2">
        <w:rPr>
          <w:rFonts w:ascii="Sylfaen" w:hAnsi="Sylfaen"/>
          <w:sz w:val="24"/>
          <w:szCs w:val="24"/>
        </w:rPr>
        <w:t xml:space="preserve">ս կայունությունը պայմանավորված է ազդող նյութի </w:t>
      </w:r>
      <w:r>
        <w:rPr>
          <w:rFonts w:ascii="Sylfaen" w:hAnsi="Sylfaen"/>
          <w:sz w:val="24"/>
          <w:szCs w:val="24"/>
        </w:rPr>
        <w:t>եւ</w:t>
      </w:r>
      <w:r w:rsidRPr="00B834A2">
        <w:rPr>
          <w:rFonts w:ascii="Sylfaen" w:hAnsi="Sylfaen"/>
          <w:sz w:val="24"/>
          <w:szCs w:val="24"/>
        </w:rPr>
        <w:t xml:space="preserve"> գրոհող իոնի, օրինակ՝ կատիոնային ազդող նյութերի հիդրոլիզը կատալիզացնող ջրածնի իոնի կամ անիոնային ազդող նյութի հիդրոլիզը կատալիզացնող հիդրօքսիդ-իոնի՝ իոնային ձ</w:t>
      </w:r>
      <w:r>
        <w:rPr>
          <w:rFonts w:ascii="Sylfaen" w:hAnsi="Sylfaen"/>
          <w:sz w:val="24"/>
          <w:szCs w:val="24"/>
        </w:rPr>
        <w:t>եւ</w:t>
      </w:r>
      <w:r w:rsidRPr="00B834A2">
        <w:rPr>
          <w:rFonts w:ascii="Sylfaen" w:hAnsi="Sylfaen"/>
          <w:sz w:val="24"/>
          <w:szCs w:val="24"/>
        </w:rPr>
        <w:t xml:space="preserve">ի լիցքով: Փոխազդող իոնների համանուն լիցքերի դեպքում (օրինակ՝ թթվային հիդրոլիզի դեպքում ազդող նյութի </w:t>
      </w:r>
      <w:r>
        <w:rPr>
          <w:rFonts w:ascii="Sylfaen" w:hAnsi="Sylfaen"/>
          <w:sz w:val="24"/>
          <w:szCs w:val="24"/>
        </w:rPr>
        <w:t>եւ</w:t>
      </w:r>
      <w:r w:rsidRPr="00B834A2">
        <w:rPr>
          <w:rFonts w:ascii="Sylfaen" w:hAnsi="Sylfaen"/>
          <w:sz w:val="24"/>
          <w:szCs w:val="24"/>
        </w:rPr>
        <w:t xml:space="preserve"> ջրածնի կատիոնի պրոտոնացված ձ</w:t>
      </w:r>
      <w:r>
        <w:rPr>
          <w:rFonts w:ascii="Sylfaen" w:hAnsi="Sylfaen"/>
          <w:sz w:val="24"/>
          <w:szCs w:val="24"/>
        </w:rPr>
        <w:t>եւ</w:t>
      </w:r>
      <w:r w:rsidRPr="00B834A2">
        <w:rPr>
          <w:rFonts w:ascii="Sylfaen" w:hAnsi="Sylfaen"/>
          <w:sz w:val="24"/>
          <w:szCs w:val="24"/>
        </w:rPr>
        <w:t>ը կամ հիմնային հիդրոլիզի դեպքում հիդրօքսիդ-իոնի անիոնային ձ</w:t>
      </w:r>
      <w:r>
        <w:rPr>
          <w:rFonts w:ascii="Sylfaen" w:hAnsi="Sylfaen"/>
          <w:sz w:val="24"/>
          <w:szCs w:val="24"/>
        </w:rPr>
        <w:t>եւ</w:t>
      </w:r>
      <w:r w:rsidRPr="00B834A2">
        <w:rPr>
          <w:rFonts w:ascii="Sylfaen" w:hAnsi="Sylfaen"/>
          <w:sz w:val="24"/>
          <w:szCs w:val="24"/>
        </w:rPr>
        <w:t>ը) ցածր դիէլեկտրիկ հաստատունը բարձրացնում է դեղաձ</w:t>
      </w:r>
      <w:r>
        <w:rPr>
          <w:rFonts w:ascii="Sylfaen" w:hAnsi="Sylfaen"/>
          <w:sz w:val="24"/>
          <w:szCs w:val="24"/>
        </w:rPr>
        <w:t>եւ</w:t>
      </w:r>
      <w:r w:rsidRPr="00B834A2">
        <w:rPr>
          <w:rFonts w:ascii="Sylfaen" w:hAnsi="Sylfaen"/>
          <w:sz w:val="24"/>
          <w:szCs w:val="24"/>
        </w:rPr>
        <w:t>ի ստացման պրոցեսում ազդող նյութի կայունությունը: Փոխազդող իոնների հակառակ լիցքերը թույլ չեն տալիս հասնել ցածր դիէլեկտրիկ հաստատունով լուծիչներում ազդող նյութի կայունացմանը:</w:t>
      </w:r>
    </w:p>
    <w:p w14:paraId="3C7D8545"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66E73D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Մակեր</w:t>
      </w:r>
      <w:r>
        <w:rPr>
          <w:rFonts w:ascii="Sylfaen" w:hAnsi="Sylfaen"/>
          <w:b/>
          <w:sz w:val="24"/>
          <w:szCs w:val="24"/>
        </w:rPr>
        <w:t>եւ</w:t>
      </w:r>
      <w:r w:rsidRPr="00B834A2">
        <w:rPr>
          <w:rFonts w:ascii="Sylfaen" w:hAnsi="Sylfaen"/>
          <w:b/>
          <w:sz w:val="24"/>
          <w:szCs w:val="24"/>
        </w:rPr>
        <w:t>ութային ակտիվ նյութեր</w:t>
      </w:r>
    </w:p>
    <w:p w14:paraId="465E0B44" w14:textId="77777777" w:rsidR="00B834A2" w:rsidRPr="00B834A2" w:rsidRDefault="00B834A2" w:rsidP="00B834A2">
      <w:pPr>
        <w:spacing w:after="160" w:line="360" w:lineRule="auto"/>
        <w:ind w:firstLine="567"/>
        <w:jc w:val="both"/>
      </w:pPr>
      <w:r w:rsidRPr="00B834A2">
        <w:t>Միցելյար ձ</w:t>
      </w:r>
      <w:r>
        <w:t>եւ</w:t>
      </w:r>
      <w:r w:rsidRPr="00B834A2">
        <w:t>ով մակեր</w:t>
      </w:r>
      <w:r>
        <w:t>եւ</w:t>
      </w:r>
      <w:r w:rsidRPr="00B834A2">
        <w:t xml:space="preserve">ութային ակտիվ նյութերի առկայությունը ազդեցություն է ունենում ազդող նյութերի հիդրոլիզի արագության վրա: Ազդեցության աստիճանը պայմանավորված է ջրային լուծույթում </w:t>
      </w:r>
      <w:r>
        <w:t>եւ</w:t>
      </w:r>
      <w:r w:rsidRPr="00B834A2">
        <w:t xml:space="preserve"> միցելի ներսում սոլյուբիլիզացված վիճակում՝ ազդող նյութի հիդրոլիզի արագության հաստատունի տարբերությամբ: Ոչ բ</w:t>
      </w:r>
      <w:r>
        <w:t>եւ</w:t>
      </w:r>
      <w:r w:rsidRPr="00B834A2">
        <w:t xml:space="preserve">եռային </w:t>
      </w:r>
      <w:r>
        <w:t>եւ</w:t>
      </w:r>
      <w:r w:rsidRPr="00B834A2">
        <w:t xml:space="preserve"> քիչ բ</w:t>
      </w:r>
      <w:r>
        <w:t>եւ</w:t>
      </w:r>
      <w:r w:rsidRPr="00B834A2">
        <w:t>եռային ազդող նյութերի կայունացման համար առավել արդյունավետ են ոչ իոնածին մակեր</w:t>
      </w:r>
      <w:r>
        <w:t>եւ</w:t>
      </w:r>
      <w:r w:rsidRPr="00B834A2">
        <w:t>ութային ակտիվ նյութերը: Իոնածին մակեր</w:t>
      </w:r>
      <w:r>
        <w:t>եւ</w:t>
      </w:r>
      <w:r w:rsidRPr="00B834A2">
        <w:t xml:space="preserve">ութային ակտիվ նյութերի դեպքում ազդող նյութերի հիդրոլիզի նկատմամբ կայունությունը որոշվում է միցելի </w:t>
      </w:r>
      <w:r>
        <w:t>եւ</w:t>
      </w:r>
      <w:r w:rsidRPr="00B834A2">
        <w:t xml:space="preserve"> գրոհող իոնի </w:t>
      </w:r>
      <w:r w:rsidRPr="00B834A2">
        <w:lastRenderedPageBreak/>
        <w:t>լիցքերով: Հիմնային հիդրոլիզի դեպքում անիոնային միցելի ազդող նյութի սոլյուբիլիզացումը ճնշում է հիդրոլիզի արագությունը համանուն լիցքավորված հիդրօքսիդ իոններից վանվելու հետ</w:t>
      </w:r>
      <w:r>
        <w:t>եւ</w:t>
      </w:r>
      <w:r w:rsidRPr="00B834A2">
        <w:t>անքով: Կատիոնային միցելը, ընդհակառակը, կարող է ուժեղացնել հիմնային հիդրոլիզը:</w:t>
      </w:r>
    </w:p>
    <w:p w14:paraId="20E3109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Մակեր</w:t>
      </w:r>
      <w:r>
        <w:rPr>
          <w:rFonts w:ascii="Sylfaen" w:hAnsi="Sylfaen"/>
          <w:sz w:val="24"/>
          <w:szCs w:val="24"/>
        </w:rPr>
        <w:t>եւ</w:t>
      </w:r>
      <w:r w:rsidRPr="00B834A2">
        <w:rPr>
          <w:rFonts w:ascii="Sylfaen" w:hAnsi="Sylfaen"/>
          <w:sz w:val="24"/>
          <w:szCs w:val="24"/>
        </w:rPr>
        <w:t>ութային ակտիվ նյութերը կարող են կանխել նույնպես դեղամիջոցների օքսիդացնող դեգրադացումը:</w:t>
      </w:r>
    </w:p>
    <w:p w14:paraId="42001F0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19B28BB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ԴԵՂԱՁԵՒԵՐԻ ԱՆԿԱՅՈՒՆՈՒԹՅԱՆ ՖԻԶԻԿԱԿԱՆ ՀԱՏԿԱՆԻՇՆԵՐԸ</w:t>
      </w:r>
    </w:p>
    <w:p w14:paraId="71A7765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Սովորաբար դեղամիջոցների քիմիական դեգրադացման պրոցեսները բավականին բարդ է հաստատել օրգանոլեպտիկ մեթոդներով: Սակայն որոշ դեպքերում դրանց չափից շատ ընթանալն ուղեկցվում է ֆիզիկական փոփոխություններով, որոնք կարող են հայտնաբերվել արտաքին նշաններով: Բացի այդ, որոշ ֆիզիկական փոփոխություններ, օրինակ՝ գույնի </w:t>
      </w:r>
      <w:r>
        <w:rPr>
          <w:rFonts w:ascii="Sylfaen" w:hAnsi="Sylfaen"/>
          <w:sz w:val="24"/>
          <w:szCs w:val="24"/>
        </w:rPr>
        <w:t>եւ</w:t>
      </w:r>
      <w:r w:rsidRPr="00B834A2">
        <w:rPr>
          <w:rFonts w:ascii="Sylfaen" w:hAnsi="Sylfaen"/>
          <w:sz w:val="24"/>
          <w:szCs w:val="24"/>
        </w:rPr>
        <w:t xml:space="preserve"> հոտի փոփոխությունը, նստվածքի գոյացումը կամ լուծույթի պղտորումը կարող են դեղամիջոցի հնարավոր անկայունության մասին նախազգուշացում լինել: Որակի մասով նորմատիվ փաստաթղթում, դեղապատրաստուկի ընդհանուր բնութագրում </w:t>
      </w:r>
      <w:r>
        <w:rPr>
          <w:rFonts w:ascii="Sylfaen" w:hAnsi="Sylfaen"/>
          <w:sz w:val="24"/>
          <w:szCs w:val="24"/>
        </w:rPr>
        <w:t>եւ</w:t>
      </w:r>
      <w:r w:rsidRPr="00B834A2">
        <w:rPr>
          <w:rFonts w:ascii="Sylfaen" w:hAnsi="Sylfaen"/>
          <w:sz w:val="24"/>
          <w:szCs w:val="24"/>
        </w:rPr>
        <w:t xml:space="preserve"> բժշկական կիրառման մասով հրահանգում (ներդիր-թերթիկում) չնկարագրված ֆիզիկական փոփոխությունների ենթարկված դեղապատրաստուկը կարող է ենթարկվել քիմիական փոփոխության:</w:t>
      </w:r>
    </w:p>
    <w:p w14:paraId="40751AD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Միկրոօրգանիզմների չափից շատ աճը </w:t>
      </w:r>
      <w:r>
        <w:rPr>
          <w:rFonts w:ascii="Sylfaen" w:hAnsi="Sylfaen"/>
          <w:sz w:val="24"/>
          <w:szCs w:val="24"/>
        </w:rPr>
        <w:t>եւ</w:t>
      </w:r>
      <w:r w:rsidRPr="00B834A2">
        <w:rPr>
          <w:rFonts w:ascii="Sylfaen" w:hAnsi="Sylfaen"/>
          <w:sz w:val="24"/>
          <w:szCs w:val="24"/>
        </w:rPr>
        <w:t xml:space="preserve"> (կամ) մանրէային աղտոտումը նույնպես կարող են հայտնաբերվել ըստ արտաքին նշանների: Ֆիզիկական բնութագրերի, ինչպես օրինակ՝ գույնի կամ հոտի կտրուկ փոփոխությունը, բոլոր դեղամիջոցների անկայունության նշան է: Տարբեր դեղաձ</w:t>
      </w:r>
      <w:r>
        <w:rPr>
          <w:rFonts w:ascii="Sylfaen" w:hAnsi="Sylfaen"/>
          <w:sz w:val="24"/>
          <w:szCs w:val="24"/>
        </w:rPr>
        <w:t>եւ</w:t>
      </w:r>
      <w:r w:rsidRPr="00B834A2">
        <w:rPr>
          <w:rFonts w:ascii="Sylfaen" w:hAnsi="Sylfaen"/>
          <w:sz w:val="24"/>
          <w:szCs w:val="24"/>
        </w:rPr>
        <w:t>երով դեղապատրաստուկների այլ տարածված ֆիզիկական նշաններ նկարագրված են ստոր</w:t>
      </w:r>
      <w:r>
        <w:rPr>
          <w:rFonts w:ascii="Sylfaen" w:hAnsi="Sylfaen"/>
          <w:sz w:val="24"/>
          <w:szCs w:val="24"/>
        </w:rPr>
        <w:t>եւ</w:t>
      </w:r>
      <w:r w:rsidRPr="00B834A2">
        <w:rPr>
          <w:rFonts w:ascii="Sylfaen" w:hAnsi="Sylfaen"/>
          <w:sz w:val="24"/>
          <w:szCs w:val="24"/>
        </w:rPr>
        <w:t>: Բերված ֆիզիկական նշանները թույլ են տալիս անցկացնել դեղապատրաստուկների արտաքին տեսքի ժամանակին վերահսկում՝ դրանց որակի վատթարացման բացահայտման համար:</w:t>
      </w:r>
    </w:p>
    <w:p w14:paraId="67946FF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Պինդ դեղաձ</w:t>
      </w:r>
      <w:r>
        <w:rPr>
          <w:rFonts w:ascii="Sylfaen" w:hAnsi="Sylfaen"/>
          <w:b/>
          <w:sz w:val="24"/>
          <w:szCs w:val="24"/>
        </w:rPr>
        <w:t>եւ</w:t>
      </w:r>
      <w:r w:rsidRPr="00B834A2">
        <w:rPr>
          <w:rFonts w:ascii="Sylfaen" w:hAnsi="Sylfaen"/>
          <w:b/>
          <w:sz w:val="24"/>
          <w:szCs w:val="24"/>
        </w:rPr>
        <w:t>եր</w:t>
      </w:r>
    </w:p>
    <w:p w14:paraId="44985536"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Շատ պինդ դեղաձ</w:t>
      </w:r>
      <w:r>
        <w:rPr>
          <w:rFonts w:ascii="Sylfaen" w:hAnsi="Sylfaen"/>
          <w:sz w:val="24"/>
          <w:szCs w:val="24"/>
        </w:rPr>
        <w:t>եւ</w:t>
      </w:r>
      <w:r w:rsidRPr="00B834A2">
        <w:rPr>
          <w:rFonts w:ascii="Sylfaen" w:hAnsi="Sylfaen"/>
          <w:sz w:val="24"/>
          <w:szCs w:val="24"/>
        </w:rPr>
        <w:t>եր նախատեսված են ցածր խոնավության պայմաններում պահման համար: Կոնտեյների ներքին մակեր</w:t>
      </w:r>
      <w:r>
        <w:rPr>
          <w:rFonts w:ascii="Sylfaen" w:hAnsi="Sylfaen"/>
          <w:sz w:val="24"/>
          <w:szCs w:val="24"/>
        </w:rPr>
        <w:t>եւ</w:t>
      </w:r>
      <w:r w:rsidRPr="00B834A2">
        <w:rPr>
          <w:rFonts w:ascii="Sylfaen" w:hAnsi="Sylfaen"/>
          <w:sz w:val="24"/>
          <w:szCs w:val="24"/>
        </w:rPr>
        <w:t xml:space="preserve">ույթի քրտնելը կամ դեղապատրաստուկի կոշտավորումը վկայում են դեղապատրաստուկի ոչ պատշաճ պահման պայմանների մասին: Օրիգինալ փաթեթվածքի ներսում խոնավության կլանիչի առկայությունը վկայում է դեղապատրաստուկի պահման </w:t>
      </w:r>
      <w:r>
        <w:rPr>
          <w:rFonts w:ascii="Sylfaen" w:hAnsi="Sylfaen"/>
          <w:sz w:val="24"/>
          <w:szCs w:val="24"/>
        </w:rPr>
        <w:t>եւ</w:t>
      </w:r>
      <w:r w:rsidRPr="00B834A2">
        <w:rPr>
          <w:rFonts w:ascii="Sylfaen" w:hAnsi="Sylfaen"/>
          <w:sz w:val="24"/>
          <w:szCs w:val="24"/>
        </w:rPr>
        <w:t xml:space="preserve"> բաց թողման ժամանակ հատուկ զգուշավորության անհրաժեշտության մասին: Դեգրադացման որոշ արգասիքներ, օրինակ՝ ացետիլսալիցիլաթթվի հիդրոլիզի ժամանակ գոյացող սալիցիլաթթուն կարող է հայտնվել բյուրեղների տեսքով պինդ դեղաձ</w:t>
      </w:r>
      <w:r>
        <w:rPr>
          <w:rFonts w:ascii="Sylfaen" w:hAnsi="Sylfaen"/>
          <w:sz w:val="24"/>
          <w:szCs w:val="24"/>
        </w:rPr>
        <w:t>եւ</w:t>
      </w:r>
      <w:r w:rsidRPr="00B834A2">
        <w:rPr>
          <w:rFonts w:ascii="Sylfaen" w:hAnsi="Sylfaen"/>
          <w:sz w:val="24"/>
          <w:szCs w:val="24"/>
        </w:rPr>
        <w:t>ի</w:t>
      </w:r>
      <w:r>
        <w:rPr>
          <w:rFonts w:ascii="Sylfaen" w:hAnsi="Sylfaen"/>
          <w:sz w:val="24"/>
          <w:szCs w:val="24"/>
        </w:rPr>
        <w:t xml:space="preserve"> </w:t>
      </w:r>
      <w:r w:rsidRPr="00B834A2">
        <w:rPr>
          <w:rFonts w:ascii="Sylfaen" w:hAnsi="Sylfaen"/>
          <w:sz w:val="24"/>
          <w:szCs w:val="24"/>
        </w:rPr>
        <w:t>մակեր</w:t>
      </w:r>
      <w:r>
        <w:rPr>
          <w:rFonts w:ascii="Sylfaen" w:hAnsi="Sylfaen"/>
          <w:sz w:val="24"/>
          <w:szCs w:val="24"/>
        </w:rPr>
        <w:t>եւ</w:t>
      </w:r>
      <w:r w:rsidRPr="00B834A2">
        <w:rPr>
          <w:rFonts w:ascii="Sylfaen" w:hAnsi="Sylfaen"/>
          <w:sz w:val="24"/>
          <w:szCs w:val="24"/>
        </w:rPr>
        <w:t>ույթին կամ կոնտեյների պատերին:</w:t>
      </w:r>
    </w:p>
    <w:p w14:paraId="2309C379"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i/>
          <w:sz w:val="24"/>
          <w:szCs w:val="24"/>
        </w:rPr>
        <w:t xml:space="preserve">Պինդ </w:t>
      </w:r>
      <w:r>
        <w:rPr>
          <w:rFonts w:ascii="Sylfaen" w:hAnsi="Sylfaen"/>
          <w:i/>
          <w:sz w:val="24"/>
          <w:szCs w:val="24"/>
        </w:rPr>
        <w:t>եւ</w:t>
      </w:r>
      <w:r w:rsidRPr="00B834A2">
        <w:rPr>
          <w:rFonts w:ascii="Sylfaen" w:hAnsi="Sylfaen"/>
          <w:i/>
          <w:sz w:val="24"/>
          <w:szCs w:val="24"/>
        </w:rPr>
        <w:t xml:space="preserve"> փափուկ ժելատինային պատիճներ</w:t>
      </w:r>
    </w:p>
    <w:p w14:paraId="489CBE0A"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Քանի որ պատիճի պարունակությունն ամփոփված է ժելատինային թաղանթում, արտաքին տեսքի կամ թանձրության փոփոխությունը, ներառյալ՝ թաղանթի պնդացումը կամ փափկացումը ներկայանում են որպես պատիճների անկայունության հիմնական նշան: Պատիճի ուռչում առաջացնող գազի անջատումն անկայունության </w:t>
      </w:r>
      <w:r>
        <w:rPr>
          <w:rFonts w:ascii="Sylfaen" w:hAnsi="Sylfaen"/>
          <w:sz w:val="24"/>
          <w:szCs w:val="24"/>
        </w:rPr>
        <w:t>եւ</w:t>
      </w:r>
      <w:r w:rsidRPr="00B834A2">
        <w:rPr>
          <w:rFonts w:ascii="Sylfaen" w:hAnsi="Sylfaen"/>
          <w:sz w:val="24"/>
          <w:szCs w:val="24"/>
        </w:rPr>
        <w:t>ս մեկ նշան է:</w:t>
      </w:r>
    </w:p>
    <w:p w14:paraId="4033719B"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i/>
          <w:sz w:val="24"/>
          <w:szCs w:val="24"/>
        </w:rPr>
        <w:t>Առանց թաղանթի դեղահաբեր</w:t>
      </w:r>
    </w:p>
    <w:p w14:paraId="109A1756"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 xml:space="preserve">Առանց թաղանթի դեղահաբերի ֆիզիկական անկայունության վկայությունն է կոնտեյների հատակին փոշու </w:t>
      </w:r>
      <w:r>
        <w:rPr>
          <w:rFonts w:ascii="Sylfaen" w:hAnsi="Sylfaen"/>
          <w:sz w:val="24"/>
          <w:szCs w:val="24"/>
        </w:rPr>
        <w:t>եւ</w:t>
      </w:r>
      <w:r w:rsidRPr="00B834A2">
        <w:rPr>
          <w:rFonts w:ascii="Sylfaen" w:hAnsi="Sylfaen"/>
          <w:sz w:val="24"/>
          <w:szCs w:val="24"/>
        </w:rPr>
        <w:t xml:space="preserve"> (կամ) կտորների՝ չափից շատ քանակությամբ առաջացումը (քերած, կոտորակված կամ ճեղքված դեղահաբերի համեմատ), ինչպես նա</w:t>
      </w:r>
      <w:r>
        <w:rPr>
          <w:rFonts w:ascii="Sylfaen" w:hAnsi="Sylfaen"/>
          <w:sz w:val="24"/>
          <w:szCs w:val="24"/>
        </w:rPr>
        <w:t>եւ</w:t>
      </w:r>
      <w:r w:rsidRPr="00B834A2">
        <w:rPr>
          <w:rFonts w:ascii="Sylfaen" w:hAnsi="Sylfaen"/>
          <w:sz w:val="24"/>
          <w:szCs w:val="24"/>
        </w:rPr>
        <w:t xml:space="preserve"> դեղահաբերի մակեր</w:t>
      </w:r>
      <w:r>
        <w:rPr>
          <w:rFonts w:ascii="Sylfaen" w:hAnsi="Sylfaen"/>
          <w:sz w:val="24"/>
          <w:szCs w:val="24"/>
        </w:rPr>
        <w:t>եւ</w:t>
      </w:r>
      <w:r w:rsidRPr="00B834A2">
        <w:rPr>
          <w:rFonts w:ascii="Sylfaen" w:hAnsi="Sylfaen"/>
          <w:sz w:val="24"/>
          <w:szCs w:val="24"/>
        </w:rPr>
        <w:t>ույթին ճաքերը կամ կոտրվածքները, բծերը, գունավորված դեղահաբերի գույնի փոփոխությունը կամ գունաթափումը, դրանց ուռչումը կամ կպչումը, դեղահաբերի մակեր</w:t>
      </w:r>
      <w:r>
        <w:rPr>
          <w:rFonts w:ascii="Sylfaen" w:hAnsi="Sylfaen"/>
          <w:sz w:val="24"/>
          <w:szCs w:val="24"/>
        </w:rPr>
        <w:t>եւ</w:t>
      </w:r>
      <w:r w:rsidRPr="00B834A2">
        <w:rPr>
          <w:rFonts w:ascii="Sylfaen" w:hAnsi="Sylfaen"/>
          <w:sz w:val="24"/>
          <w:szCs w:val="24"/>
        </w:rPr>
        <w:t>ույթին կամ կոնտեյների պատերին բյուրեղների նստեցումը:</w:t>
      </w:r>
    </w:p>
    <w:p w14:paraId="027DF16C"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i/>
          <w:sz w:val="24"/>
          <w:szCs w:val="24"/>
        </w:rPr>
        <w:t>Թաղանթով պատված հաբեր</w:t>
      </w:r>
    </w:p>
    <w:p w14:paraId="34A37209" w14:textId="77777777" w:rsidR="00B834A2" w:rsidRPr="00B834A2" w:rsidRDefault="00B834A2" w:rsidP="00097504">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Թաղանթով պատված դեղահաբերի ֆիզիկական անկայունության մասին է վկայում թաղանթի վրա ճաքերի կամ բծերի առաջացումը, դեղահաբերի կպչումը: Դեղահաբերի մակեր</w:t>
      </w:r>
      <w:r>
        <w:rPr>
          <w:rFonts w:ascii="Sylfaen" w:hAnsi="Sylfaen"/>
          <w:sz w:val="24"/>
          <w:szCs w:val="24"/>
        </w:rPr>
        <w:t>եւ</w:t>
      </w:r>
      <w:r w:rsidRPr="00B834A2">
        <w:rPr>
          <w:rFonts w:ascii="Sylfaen" w:hAnsi="Sylfaen"/>
          <w:sz w:val="24"/>
          <w:szCs w:val="24"/>
        </w:rPr>
        <w:t>ույթը կարող է դառնալ կպչուն:</w:t>
      </w:r>
    </w:p>
    <w:p w14:paraId="7D5A86C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lastRenderedPageBreak/>
        <w:t xml:space="preserve">Չոր փոշիներ </w:t>
      </w:r>
      <w:r>
        <w:rPr>
          <w:rFonts w:ascii="Sylfaen" w:hAnsi="Sylfaen"/>
          <w:i/>
          <w:sz w:val="24"/>
          <w:szCs w:val="24"/>
        </w:rPr>
        <w:t>եւ</w:t>
      </w:r>
      <w:r w:rsidRPr="00B834A2">
        <w:rPr>
          <w:rFonts w:ascii="Sylfaen" w:hAnsi="Sylfaen"/>
          <w:i/>
          <w:sz w:val="24"/>
          <w:szCs w:val="24"/>
        </w:rPr>
        <w:t xml:space="preserve"> հատիկներ (գրանուլներ)</w:t>
      </w:r>
    </w:p>
    <w:p w14:paraId="14F18A6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Սկզբնական կոնտեյներում լուծման համար չնախատեսված չոր փոշիները </w:t>
      </w:r>
      <w:r>
        <w:rPr>
          <w:rFonts w:ascii="Sylfaen" w:hAnsi="Sylfaen"/>
          <w:sz w:val="24"/>
          <w:szCs w:val="24"/>
        </w:rPr>
        <w:t>եւ</w:t>
      </w:r>
      <w:r w:rsidRPr="00B834A2">
        <w:rPr>
          <w:rFonts w:ascii="Sylfaen" w:hAnsi="Sylfaen"/>
          <w:sz w:val="24"/>
          <w:szCs w:val="24"/>
        </w:rPr>
        <w:t xml:space="preserve"> հատիկները կարող են վերածվել պինդ զանգվածի կամ փոխել գույնը, ինչը նույնպես անթույլատրելի է:</w:t>
      </w:r>
    </w:p>
    <w:p w14:paraId="1156C8D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Կախույթների պատրաստման համար նախատեսված փոշիներ </w:t>
      </w:r>
      <w:r>
        <w:rPr>
          <w:rFonts w:ascii="Sylfaen" w:hAnsi="Sylfaen"/>
          <w:i/>
          <w:sz w:val="24"/>
          <w:szCs w:val="24"/>
        </w:rPr>
        <w:t>եւ</w:t>
      </w:r>
      <w:r w:rsidRPr="00B834A2">
        <w:rPr>
          <w:rFonts w:ascii="Sylfaen" w:hAnsi="Sylfaen"/>
          <w:i/>
          <w:sz w:val="24"/>
          <w:szCs w:val="24"/>
        </w:rPr>
        <w:t xml:space="preserve"> հատիկներ</w:t>
      </w:r>
    </w:p>
    <w:p w14:paraId="4962AD0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Լուծույթների կամ կախույթների ստացման համար նախատեսված չոր փոշիները </w:t>
      </w:r>
      <w:r>
        <w:rPr>
          <w:rFonts w:ascii="Sylfaen" w:hAnsi="Sylfaen"/>
          <w:sz w:val="24"/>
          <w:szCs w:val="24"/>
        </w:rPr>
        <w:t>եւ</w:t>
      </w:r>
      <w:r w:rsidRPr="00B834A2">
        <w:rPr>
          <w:rFonts w:ascii="Sylfaen" w:hAnsi="Sylfaen"/>
          <w:sz w:val="24"/>
          <w:szCs w:val="24"/>
        </w:rPr>
        <w:t xml:space="preserve"> հատիկներն առանձնակի ուշադրություն են պահանջում: Սովորաբար նման դեղաձ</w:t>
      </w:r>
      <w:r>
        <w:rPr>
          <w:rFonts w:ascii="Sylfaen" w:hAnsi="Sylfaen"/>
          <w:sz w:val="24"/>
          <w:szCs w:val="24"/>
        </w:rPr>
        <w:t>եւ</w:t>
      </w:r>
      <w:r w:rsidRPr="00B834A2">
        <w:rPr>
          <w:rFonts w:ascii="Sylfaen" w:hAnsi="Sylfaen"/>
          <w:sz w:val="24"/>
          <w:szCs w:val="24"/>
        </w:rPr>
        <w:t xml:space="preserve">երում թողարկվում են հակաբիոտիկներ կամ վիտամիններ, որոնք առանձնակի զգայուն են խոնավության նկատմամբ, </w:t>
      </w:r>
      <w:r>
        <w:rPr>
          <w:rFonts w:ascii="Sylfaen" w:hAnsi="Sylfaen"/>
          <w:sz w:val="24"/>
          <w:szCs w:val="24"/>
        </w:rPr>
        <w:t>եւ</w:t>
      </w:r>
      <w:r w:rsidRPr="00B834A2">
        <w:rPr>
          <w:rFonts w:ascii="Sylfaen" w:hAnsi="Sylfaen"/>
          <w:sz w:val="24"/>
          <w:szCs w:val="24"/>
        </w:rPr>
        <w:t xml:space="preserve"> դրանց օրիգինալ փաթեթվածքը պետք է ապահովի լրիվ պաշտպանությունը դրա ներգործությունից: Սովորաբար արտասովոր արտաքին տեսքը կամ պինդ զանգվածի եռակալումը պահանջում են մանրամասն գնահատում: Կոնտեյների ներքին մակեր</w:t>
      </w:r>
      <w:r>
        <w:rPr>
          <w:rFonts w:ascii="Sylfaen" w:hAnsi="Sylfaen"/>
          <w:sz w:val="24"/>
          <w:szCs w:val="24"/>
        </w:rPr>
        <w:t>եւ</w:t>
      </w:r>
      <w:r w:rsidRPr="00B834A2">
        <w:rPr>
          <w:rFonts w:ascii="Sylfaen" w:hAnsi="Sylfaen"/>
          <w:sz w:val="24"/>
          <w:szCs w:val="24"/>
        </w:rPr>
        <w:t>ույթի քրտնումը սովորաբար դարձնում է դեղապատրաստուկը կիրառման համար ոչ պիտանի: Տհաճ հոտի հայտնվելը նույնպես կարող է վկայել դեղապատրաստուկի անկայունության մասին:</w:t>
      </w:r>
    </w:p>
    <w:p w14:paraId="6994BAB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Փրփրուն հաբեր, հատիկներ </w:t>
      </w:r>
      <w:r>
        <w:rPr>
          <w:rFonts w:ascii="Sylfaen" w:hAnsi="Sylfaen"/>
          <w:i/>
          <w:sz w:val="24"/>
          <w:szCs w:val="24"/>
        </w:rPr>
        <w:t>եւ</w:t>
      </w:r>
      <w:r w:rsidRPr="00B834A2">
        <w:rPr>
          <w:rFonts w:ascii="Sylfaen" w:hAnsi="Sylfaen"/>
          <w:i/>
          <w:sz w:val="24"/>
          <w:szCs w:val="24"/>
        </w:rPr>
        <w:t xml:space="preserve"> փոշիներ</w:t>
      </w:r>
    </w:p>
    <w:p w14:paraId="09CCAC4C" w14:textId="77777777" w:rsidR="00B834A2" w:rsidRPr="00D03DDF" w:rsidRDefault="00B834A2" w:rsidP="00B834A2">
      <w:pPr>
        <w:pStyle w:val="a0"/>
        <w:shd w:val="clear" w:color="auto" w:fill="auto"/>
        <w:spacing w:after="160" w:line="360" w:lineRule="auto"/>
        <w:ind w:firstLine="567"/>
        <w:jc w:val="both"/>
        <w:rPr>
          <w:rFonts w:ascii="Sylfaen" w:hAnsi="Sylfaen" w:cs="Sylfaen"/>
          <w:spacing w:val="4"/>
          <w:sz w:val="24"/>
          <w:szCs w:val="24"/>
        </w:rPr>
      </w:pPr>
      <w:r w:rsidRPr="00B834A2">
        <w:rPr>
          <w:rFonts w:ascii="Sylfaen" w:hAnsi="Sylfaen"/>
          <w:sz w:val="24"/>
          <w:szCs w:val="24"/>
        </w:rPr>
        <w:t>Փրփրուն դեղաձ</w:t>
      </w:r>
      <w:r>
        <w:rPr>
          <w:rFonts w:ascii="Sylfaen" w:hAnsi="Sylfaen"/>
          <w:sz w:val="24"/>
          <w:szCs w:val="24"/>
        </w:rPr>
        <w:t>եւ</w:t>
      </w:r>
      <w:r w:rsidRPr="00B834A2">
        <w:rPr>
          <w:rFonts w:ascii="Sylfaen" w:hAnsi="Sylfaen"/>
          <w:sz w:val="24"/>
          <w:szCs w:val="24"/>
        </w:rPr>
        <w:t xml:space="preserve">երը հատկապես զգայուն են խոնավության նկատմամբ: Պինդ զանգվածի ուռչումը, գազի ճնշման առաջացումը դեղապատրաստուկի </w:t>
      </w:r>
      <w:r w:rsidRPr="00D03DDF">
        <w:rPr>
          <w:rFonts w:ascii="Sylfaen" w:hAnsi="Sylfaen"/>
          <w:spacing w:val="4"/>
          <w:sz w:val="24"/>
          <w:szCs w:val="24"/>
        </w:rPr>
        <w:t>ժամանակից շուտ քայքայման մասին վկայող անկայունության սպեցիֆիկ նշաններ են:</w:t>
      </w:r>
    </w:p>
    <w:p w14:paraId="0BFA859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Մոմիկներ</w:t>
      </w:r>
    </w:p>
    <w:p w14:paraId="24E41BF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Չափից շատ փափկացումը մոմիկների անկայունության հիմնական նշանն է: Դրանցից որոշները կարող են չորանալ </w:t>
      </w:r>
      <w:r>
        <w:rPr>
          <w:rFonts w:ascii="Sylfaen" w:hAnsi="Sylfaen"/>
          <w:sz w:val="24"/>
          <w:szCs w:val="24"/>
        </w:rPr>
        <w:t>եւ</w:t>
      </w:r>
      <w:r w:rsidRPr="00B834A2">
        <w:rPr>
          <w:rFonts w:ascii="Sylfaen" w:hAnsi="Sylfaen"/>
          <w:sz w:val="24"/>
          <w:szCs w:val="24"/>
        </w:rPr>
        <w:t xml:space="preserve"> պնդանալ: Փաթեթավորման նյութի վրա յուղային բծերի նշանները պետք է դառնան թաղանթային պատվածքի հեռացման միջոցով առանձին մոմիկների առավել մանրակրկիտ ուսումնասիրման համար նախազգուշացում:</w:t>
      </w:r>
      <w:r>
        <w:rPr>
          <w:rFonts w:ascii="Sylfaen" w:hAnsi="Sylfaen"/>
          <w:sz w:val="24"/>
          <w:szCs w:val="24"/>
        </w:rPr>
        <w:t xml:space="preserve"> </w:t>
      </w:r>
      <w:r w:rsidRPr="00B834A2">
        <w:rPr>
          <w:rFonts w:ascii="Sylfaen" w:hAnsi="Sylfaen"/>
          <w:sz w:val="24"/>
          <w:szCs w:val="24"/>
        </w:rPr>
        <w:t>Որպես կանոն, մոմիկներն անհրաժեշտ է պահել սառնարանում:</w:t>
      </w:r>
    </w:p>
    <w:p w14:paraId="5E10D2D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Հեղուկ դեղաձ</w:t>
      </w:r>
      <w:r>
        <w:rPr>
          <w:rFonts w:ascii="Sylfaen" w:hAnsi="Sylfaen"/>
          <w:b/>
          <w:sz w:val="24"/>
          <w:szCs w:val="24"/>
        </w:rPr>
        <w:t>եւ</w:t>
      </w:r>
      <w:r w:rsidRPr="00B834A2">
        <w:rPr>
          <w:rFonts w:ascii="Sylfaen" w:hAnsi="Sylfaen"/>
          <w:b/>
          <w:sz w:val="24"/>
          <w:szCs w:val="24"/>
        </w:rPr>
        <w:t>եր</w:t>
      </w:r>
    </w:p>
    <w:p w14:paraId="4674E68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Հեղուկ դեղաձ</w:t>
      </w:r>
      <w:r>
        <w:rPr>
          <w:rFonts w:ascii="Sylfaen" w:hAnsi="Sylfaen"/>
          <w:sz w:val="24"/>
          <w:szCs w:val="24"/>
        </w:rPr>
        <w:t>եւ</w:t>
      </w:r>
      <w:r w:rsidRPr="00B834A2">
        <w:rPr>
          <w:rFonts w:ascii="Sylfaen" w:hAnsi="Sylfaen"/>
          <w:sz w:val="24"/>
          <w:szCs w:val="24"/>
        </w:rPr>
        <w:t xml:space="preserve">երի պահման ժամանակ առաջնային նշանակություն ունի միատարրության պահպանումը, մանրէային աղտոտման </w:t>
      </w:r>
      <w:r>
        <w:rPr>
          <w:rFonts w:ascii="Sylfaen" w:hAnsi="Sylfaen"/>
          <w:sz w:val="24"/>
          <w:szCs w:val="24"/>
        </w:rPr>
        <w:t>եւ</w:t>
      </w:r>
      <w:r w:rsidRPr="00B834A2">
        <w:rPr>
          <w:rFonts w:ascii="Sylfaen" w:hAnsi="Sylfaen"/>
          <w:sz w:val="24"/>
          <w:szCs w:val="24"/>
        </w:rPr>
        <w:t xml:space="preserve"> միկրոօրգանիզմների աճի բացակայությունը: Անկայունության մասին կարող են վկայել լուծույթի պղտորումը կամ նստվածքի առաջացումը, էմուլսիայի քայքայումը, չվերակախութավորած կախույթի եռակալումը կամ օրգանոլեպտիկ փոփոխությունները: Միկրոօրգանիզմների աճը կարող է ուղեկցվել գունաթափմամբ, պղտորմամբ կամ գազագոյացմամբ:</w:t>
      </w:r>
    </w:p>
    <w:p w14:paraId="0DBCCF3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Լուծույթներ, էլիքսիրներ </w:t>
      </w:r>
      <w:r>
        <w:rPr>
          <w:rFonts w:ascii="Sylfaen" w:hAnsi="Sylfaen"/>
          <w:i/>
          <w:sz w:val="24"/>
          <w:szCs w:val="24"/>
        </w:rPr>
        <w:t>եւ</w:t>
      </w:r>
      <w:r w:rsidRPr="00B834A2">
        <w:rPr>
          <w:rFonts w:ascii="Sylfaen" w:hAnsi="Sylfaen"/>
          <w:i/>
          <w:sz w:val="24"/>
          <w:szCs w:val="24"/>
        </w:rPr>
        <w:t xml:space="preserve"> օշարակներ</w:t>
      </w:r>
    </w:p>
    <w:p w14:paraId="1F673D3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Նստվածքի առաջացումը </w:t>
      </w:r>
      <w:r>
        <w:rPr>
          <w:rFonts w:ascii="Sylfaen" w:hAnsi="Sylfaen"/>
          <w:sz w:val="24"/>
          <w:szCs w:val="24"/>
        </w:rPr>
        <w:t>եւ</w:t>
      </w:r>
      <w:r w:rsidRPr="00B834A2">
        <w:rPr>
          <w:rFonts w:ascii="Sylfaen" w:hAnsi="Sylfaen"/>
          <w:sz w:val="24"/>
          <w:szCs w:val="24"/>
        </w:rPr>
        <w:t xml:space="preserve"> մանրէային աղտոտման կամ քիմիական գազագոյացման նշանները անկայունության երկու հիմնական նշաններն են:</w:t>
      </w:r>
    </w:p>
    <w:p w14:paraId="56A42997" w14:textId="77777777" w:rsidR="00B834A2" w:rsidRPr="00B834A2" w:rsidRDefault="00B834A2" w:rsidP="00B834A2">
      <w:pPr>
        <w:pStyle w:val="a0"/>
        <w:shd w:val="clear" w:color="auto" w:fill="auto"/>
        <w:spacing w:after="160" w:line="360" w:lineRule="auto"/>
        <w:ind w:firstLine="567"/>
        <w:jc w:val="both"/>
        <w:rPr>
          <w:rFonts w:ascii="Sylfaen" w:hAnsi="Sylfaen" w:cs="Sylfaen"/>
          <w:i/>
          <w:sz w:val="24"/>
          <w:szCs w:val="24"/>
        </w:rPr>
      </w:pPr>
      <w:r w:rsidRPr="00B834A2">
        <w:rPr>
          <w:rFonts w:ascii="Sylfaen" w:hAnsi="Sylfaen"/>
          <w:i/>
          <w:sz w:val="24"/>
          <w:szCs w:val="24"/>
        </w:rPr>
        <w:t>Էմուլսիաներ</w:t>
      </w:r>
    </w:p>
    <w:p w14:paraId="72DC720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Էմուլսիաների քայքայումը (վերադիսպերսացման չենթարկվող յուղային ֆազի առանձնացումը) անկայունության բնորոշ նշանն է:</w:t>
      </w:r>
    </w:p>
    <w:p w14:paraId="0E1041A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Կախույթներ</w:t>
      </w:r>
    </w:p>
    <w:p w14:paraId="20B370E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Վերակախութավորման չենթարկվող եռակալված պինդ ֆազը բավարար ինտենսիվ թափահարման դեպքում անկայունության հիմնական նշանն է: Հարաբերականորեն խոշոր մասնիկների առկայությունը կարող է վկայել այն մասին, որ կախույթում տեղի է ունեցել բյուրեղների չափից շատ աճ:</w:t>
      </w:r>
    </w:p>
    <w:p w14:paraId="1EFFCBA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 xml:space="preserve">Թուրմեր </w:t>
      </w:r>
      <w:r>
        <w:rPr>
          <w:rFonts w:ascii="Sylfaen" w:hAnsi="Sylfaen"/>
          <w:i/>
          <w:sz w:val="24"/>
          <w:szCs w:val="24"/>
        </w:rPr>
        <w:t>եւ</w:t>
      </w:r>
      <w:r w:rsidRPr="00B834A2">
        <w:rPr>
          <w:rFonts w:ascii="Sylfaen" w:hAnsi="Sylfaen"/>
          <w:i/>
          <w:sz w:val="24"/>
          <w:szCs w:val="24"/>
        </w:rPr>
        <w:t xml:space="preserve"> հեղուկ լուծամզուկներ (էքստրակտներ)</w:t>
      </w:r>
    </w:p>
    <w:p w14:paraId="5633945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Թուրմերը, հեղուկ լուծամզուկները </w:t>
      </w:r>
      <w:r>
        <w:rPr>
          <w:rFonts w:ascii="Sylfaen" w:hAnsi="Sylfaen"/>
          <w:sz w:val="24"/>
          <w:szCs w:val="24"/>
        </w:rPr>
        <w:t>եւ</w:t>
      </w:r>
      <w:r w:rsidRPr="00B834A2">
        <w:rPr>
          <w:rFonts w:ascii="Sylfaen" w:hAnsi="Sylfaen"/>
          <w:sz w:val="24"/>
          <w:szCs w:val="24"/>
        </w:rPr>
        <w:t xml:space="preserve"> այլ համանման դեղապատրաստուկներ, որպես կանոն, ունեն մուգ գունավորում իրենց կոնցենտրացված լինելու հետ</w:t>
      </w:r>
      <w:r>
        <w:rPr>
          <w:rFonts w:ascii="Sylfaen" w:hAnsi="Sylfaen"/>
          <w:sz w:val="24"/>
          <w:szCs w:val="24"/>
        </w:rPr>
        <w:t>եւ</w:t>
      </w:r>
      <w:r w:rsidRPr="00B834A2">
        <w:rPr>
          <w:rFonts w:ascii="Sylfaen" w:hAnsi="Sylfaen"/>
          <w:sz w:val="24"/>
          <w:szCs w:val="24"/>
        </w:rPr>
        <w:t>անքով, ինչը պահանջում է նստվածքի առկայության մասով դրանց մանրամասն գնահատում՝ բացառությամբ այն դեպքերի, երբ թույլատրվում է դրա գոյացումը:</w:t>
      </w:r>
    </w:p>
    <w:p w14:paraId="13CD9D1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Մանրէազերծ հեղուկ դեղաձ</w:t>
      </w:r>
      <w:r>
        <w:rPr>
          <w:rFonts w:ascii="Sylfaen" w:hAnsi="Sylfaen"/>
          <w:i/>
          <w:sz w:val="24"/>
          <w:szCs w:val="24"/>
        </w:rPr>
        <w:t>եւ</w:t>
      </w:r>
      <w:r w:rsidRPr="00B834A2">
        <w:rPr>
          <w:rFonts w:ascii="Sylfaen" w:hAnsi="Sylfaen"/>
          <w:i/>
          <w:sz w:val="24"/>
          <w:szCs w:val="24"/>
        </w:rPr>
        <w:t>եր</w:t>
      </w:r>
    </w:p>
    <w:p w14:paraId="520FBD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Մանրէազերծ հեղուկ դեղաձ</w:t>
      </w:r>
      <w:r>
        <w:rPr>
          <w:rFonts w:ascii="Sylfaen" w:hAnsi="Sylfaen"/>
          <w:sz w:val="24"/>
          <w:szCs w:val="24"/>
        </w:rPr>
        <w:t>եւ</w:t>
      </w:r>
      <w:r w:rsidRPr="00B834A2">
        <w:rPr>
          <w:rFonts w:ascii="Sylfaen" w:hAnsi="Sylfaen"/>
          <w:sz w:val="24"/>
          <w:szCs w:val="24"/>
        </w:rPr>
        <w:t>երի մանրէային աղտոտումը սովորաբար անհնարին է հայտնաբերել տեսողական եղանակով: Սակայն պղտորումը, գույնի փոփոխությունը, մակեր</w:t>
      </w:r>
      <w:r>
        <w:rPr>
          <w:rFonts w:ascii="Sylfaen" w:hAnsi="Sylfaen"/>
          <w:sz w:val="24"/>
          <w:szCs w:val="24"/>
        </w:rPr>
        <w:t>եւ</w:t>
      </w:r>
      <w:r w:rsidRPr="00B834A2">
        <w:rPr>
          <w:rFonts w:ascii="Sylfaen" w:hAnsi="Sylfaen"/>
          <w:sz w:val="24"/>
          <w:szCs w:val="24"/>
        </w:rPr>
        <w:t>ույթին թաղանթի հայտնվելը, պինդ կամ փաթիլաձ</w:t>
      </w:r>
      <w:r>
        <w:rPr>
          <w:rFonts w:ascii="Sylfaen" w:hAnsi="Sylfaen"/>
          <w:sz w:val="24"/>
          <w:szCs w:val="24"/>
        </w:rPr>
        <w:t>եւ</w:t>
      </w:r>
      <w:r w:rsidRPr="00B834A2">
        <w:rPr>
          <w:rFonts w:ascii="Sylfaen" w:hAnsi="Sylfaen"/>
          <w:sz w:val="24"/>
          <w:szCs w:val="24"/>
        </w:rPr>
        <w:t xml:space="preserve"> մասնիկների գոյացումը կամ գազի անջատումը կարող են հնարավոր աղտոտման կասկածի հիմք հանդիսանալ: Ակնաբուժական կամ պարենտերալ կիրառման համար նախատեսված մանրէազերծ լուծույթների թափանցիկությունն ունի առաջնահերթ նշանակություն: Փաթեթավորման համակարգի ամբողջականության </w:t>
      </w:r>
      <w:r>
        <w:rPr>
          <w:rFonts w:ascii="Sylfaen" w:hAnsi="Sylfaen"/>
          <w:sz w:val="24"/>
          <w:szCs w:val="24"/>
        </w:rPr>
        <w:t>եւ</w:t>
      </w:r>
      <w:r w:rsidRPr="00B834A2">
        <w:rPr>
          <w:rFonts w:ascii="Sylfaen" w:hAnsi="Sylfaen"/>
          <w:sz w:val="24"/>
          <w:szCs w:val="24"/>
        </w:rPr>
        <w:t xml:space="preserve"> հերմետիկության հնարավոր քայքայումը նույնպես պետք է առաջացնի զգուշավորություն:</w:t>
      </w:r>
    </w:p>
    <w:p w14:paraId="40F2B613"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3A3FCFF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Փափուկ դեղաձ</w:t>
      </w:r>
      <w:r>
        <w:rPr>
          <w:rFonts w:ascii="Sylfaen" w:hAnsi="Sylfaen"/>
          <w:b/>
          <w:sz w:val="24"/>
          <w:szCs w:val="24"/>
        </w:rPr>
        <w:t>եւ</w:t>
      </w:r>
      <w:r w:rsidRPr="00B834A2">
        <w:rPr>
          <w:rFonts w:ascii="Sylfaen" w:hAnsi="Sylfaen"/>
          <w:b/>
          <w:sz w:val="24"/>
          <w:szCs w:val="24"/>
        </w:rPr>
        <w:t>եր</w:t>
      </w:r>
    </w:p>
    <w:p w14:paraId="3D1B1BF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Կրեմների </w:t>
      </w:r>
      <w:r>
        <w:rPr>
          <w:rFonts w:ascii="Sylfaen" w:hAnsi="Sylfaen"/>
          <w:sz w:val="24"/>
          <w:szCs w:val="24"/>
        </w:rPr>
        <w:t>եւ</w:t>
      </w:r>
      <w:r w:rsidRPr="00B834A2">
        <w:rPr>
          <w:rFonts w:ascii="Sylfaen" w:hAnsi="Sylfaen"/>
          <w:sz w:val="24"/>
          <w:szCs w:val="24"/>
        </w:rPr>
        <w:t xml:space="preserve"> քսուքների անկայունության հիմնական նշանն է կամ գույնի փոփոխությունը, կամ էլ թանձրության կամ հոտի նկատելի փոփոխությունը:</w:t>
      </w:r>
    </w:p>
    <w:p w14:paraId="540D952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Կրեմներ</w:t>
      </w:r>
    </w:p>
    <w:p w14:paraId="281F9D4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Ի տարբերություն քսուքների՝ կրեմները սովորաբար ջուր </w:t>
      </w:r>
      <w:r>
        <w:rPr>
          <w:rFonts w:ascii="Sylfaen" w:hAnsi="Sylfaen"/>
          <w:sz w:val="24"/>
          <w:szCs w:val="24"/>
        </w:rPr>
        <w:t>եւ</w:t>
      </w:r>
      <w:r w:rsidRPr="00B834A2">
        <w:rPr>
          <w:rFonts w:ascii="Sylfaen" w:hAnsi="Sylfaen"/>
          <w:sz w:val="24"/>
          <w:szCs w:val="24"/>
        </w:rPr>
        <w:t xml:space="preserve"> յուղ պարունակող էմուլսիաներ են: Դրանց անկայունության նշաններն են էմուլսիայի քայքայումը, բյուրեղների աճը, ջրի գոլորշիացման արդյունքում կծկումը </w:t>
      </w:r>
      <w:r>
        <w:rPr>
          <w:rFonts w:ascii="Sylfaen" w:hAnsi="Sylfaen"/>
          <w:sz w:val="24"/>
          <w:szCs w:val="24"/>
        </w:rPr>
        <w:t>եւ</w:t>
      </w:r>
      <w:r w:rsidRPr="00B834A2">
        <w:rPr>
          <w:rFonts w:ascii="Sylfaen" w:hAnsi="Sylfaen"/>
          <w:sz w:val="24"/>
          <w:szCs w:val="24"/>
        </w:rPr>
        <w:t xml:space="preserve"> ուժեղ մանրէային աղտոտումը:</w:t>
      </w:r>
    </w:p>
    <w:p w14:paraId="5FE1C22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Քսուքներ</w:t>
      </w:r>
    </w:p>
    <w:p w14:paraId="72E11F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Քսուքների անկայունության տարածված նշաններն են թանձրության փոփոխությունը </w:t>
      </w:r>
      <w:r>
        <w:rPr>
          <w:rFonts w:ascii="Sylfaen" w:hAnsi="Sylfaen"/>
          <w:sz w:val="24"/>
          <w:szCs w:val="24"/>
        </w:rPr>
        <w:t>եւ</w:t>
      </w:r>
      <w:r w:rsidRPr="00B834A2">
        <w:rPr>
          <w:rFonts w:ascii="Sylfaen" w:hAnsi="Sylfaen"/>
          <w:sz w:val="24"/>
          <w:szCs w:val="24"/>
        </w:rPr>
        <w:t xml:space="preserve"> հեղուկի՝ չափից շատ քանակությամբ անջատումը, ինչպես նա</w:t>
      </w:r>
      <w:r>
        <w:rPr>
          <w:rFonts w:ascii="Sylfaen" w:hAnsi="Sylfaen"/>
          <w:sz w:val="24"/>
          <w:szCs w:val="24"/>
        </w:rPr>
        <w:t>եւ</w:t>
      </w:r>
      <w:r w:rsidRPr="00B834A2">
        <w:rPr>
          <w:rFonts w:ascii="Sylfaen" w:hAnsi="Sylfaen"/>
          <w:sz w:val="24"/>
          <w:szCs w:val="24"/>
        </w:rPr>
        <w:t xml:space="preserve"> հատիկների կամ հատիկավորության գոյացումը:</w:t>
      </w:r>
      <w:r w:rsidR="00696072">
        <w:rPr>
          <w:rFonts w:ascii="Sylfaen" w:hAnsi="Sylfaen"/>
          <w:sz w:val="24"/>
          <w:szCs w:val="24"/>
        </w:rPr>
        <w:t xml:space="preserve"> </w:t>
      </w:r>
    </w:p>
    <w:p w14:paraId="418F4942" w14:textId="77777777" w:rsidR="00097504" w:rsidRDefault="00097504">
      <w:pPr>
        <w:rPr>
          <w:rFonts w:eastAsia="Times New Roman"/>
          <w:color w:val="auto"/>
        </w:rPr>
      </w:pPr>
      <w:r>
        <w:br w:type="page"/>
      </w:r>
    </w:p>
    <w:p w14:paraId="30FA2D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ՄՇԱԿՄԱՆ ԵՒ ԱՐՏԱԴՐՈՒԹՅԱՆ ԺԱՄԱՆԱԿ ԴԵՂԱՄԻՋՈՑՆԵՐԻ ԿԱՅՈՒՆՈՒԹՅԱՆ ՀԵՏԱԶՈՏՈՒԹՅՈՒՆ</w:t>
      </w:r>
    </w:p>
    <w:p w14:paraId="08BD41D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Դեղամիջոցների կայունության հետազոտությունների պլանավորումը </w:t>
      </w:r>
      <w:r>
        <w:rPr>
          <w:rFonts w:ascii="Sylfaen" w:hAnsi="Sylfaen"/>
          <w:sz w:val="24"/>
          <w:szCs w:val="24"/>
        </w:rPr>
        <w:t>եւ</w:t>
      </w:r>
      <w:r w:rsidRPr="00B834A2">
        <w:rPr>
          <w:rFonts w:ascii="Sylfaen" w:hAnsi="Sylfaen"/>
          <w:sz w:val="24"/>
          <w:szCs w:val="24"/>
        </w:rPr>
        <w:t xml:space="preserve"> անցկացումն իրականացվում են Միության իրավունքում ընդգրկվող նորմատիվ ակտերի պահանջներին համապատասխան:</w:t>
      </w:r>
    </w:p>
    <w:p w14:paraId="5F927E9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Որպես կանոն, դեղամիջոց մշակողը </w:t>
      </w:r>
      <w:r>
        <w:rPr>
          <w:rFonts w:ascii="Sylfaen" w:hAnsi="Sylfaen"/>
          <w:sz w:val="24"/>
          <w:szCs w:val="24"/>
        </w:rPr>
        <w:t>եւ</w:t>
      </w:r>
      <w:r w:rsidRPr="00B834A2">
        <w:rPr>
          <w:rFonts w:ascii="Sylfaen" w:hAnsi="Sylfaen"/>
          <w:sz w:val="24"/>
          <w:szCs w:val="24"/>
        </w:rPr>
        <w:t xml:space="preserve"> (կամ) արտադրողը նախ</w:t>
      </w:r>
      <w:r>
        <w:rPr>
          <w:rFonts w:ascii="Sylfaen" w:hAnsi="Sylfaen"/>
          <w:sz w:val="24"/>
          <w:szCs w:val="24"/>
        </w:rPr>
        <w:t>եւ</w:t>
      </w:r>
      <w:r w:rsidRPr="00B834A2">
        <w:rPr>
          <w:rFonts w:ascii="Sylfaen" w:hAnsi="Sylfaen"/>
          <w:sz w:val="24"/>
          <w:szCs w:val="24"/>
        </w:rPr>
        <w:t xml:space="preserve">առաջ սահմանում են շրջակա միջավայրի գործոնների </w:t>
      </w:r>
      <w:r>
        <w:rPr>
          <w:rFonts w:ascii="Sylfaen" w:hAnsi="Sylfaen"/>
          <w:sz w:val="24"/>
          <w:szCs w:val="24"/>
        </w:rPr>
        <w:t>եւ</w:t>
      </w:r>
      <w:r w:rsidRPr="00B834A2">
        <w:rPr>
          <w:rFonts w:ascii="Sylfaen" w:hAnsi="Sylfaen"/>
          <w:sz w:val="24"/>
          <w:szCs w:val="24"/>
        </w:rPr>
        <w:t xml:space="preserve"> ակտիվ բաղադրատարրի (բաղադրատարրերի) վրա սովորաբար օգտագործվող լուծիչների, օժանդակ նյութերի ազդեցությունը:</w:t>
      </w:r>
    </w:p>
    <w:p w14:paraId="120F18E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Ստացված արդյունքների հիման վրա պատրաստում են յուրաքանչյուր դեղաձ</w:t>
      </w:r>
      <w:r>
        <w:rPr>
          <w:rFonts w:ascii="Sylfaen" w:hAnsi="Sylfaen"/>
          <w:sz w:val="24"/>
          <w:szCs w:val="24"/>
        </w:rPr>
        <w:t>եւ</w:t>
      </w:r>
      <w:r w:rsidRPr="00B834A2">
        <w:rPr>
          <w:rFonts w:ascii="Sylfaen" w:hAnsi="Sylfaen"/>
          <w:sz w:val="24"/>
          <w:szCs w:val="24"/>
        </w:rPr>
        <w:t xml:space="preserve">ի համար մեկ կամ մի քանի բաղադրությամբ դեղապատրաստուկ, բաժնեծրարում են դեղապատրաստուկը համապատասխան փաթեթվածքում </w:t>
      </w:r>
      <w:r>
        <w:rPr>
          <w:rFonts w:ascii="Sylfaen" w:hAnsi="Sylfaen"/>
          <w:sz w:val="24"/>
          <w:szCs w:val="24"/>
        </w:rPr>
        <w:t>եւ</w:t>
      </w:r>
      <w:r w:rsidRPr="00B834A2">
        <w:rPr>
          <w:rFonts w:ascii="Sylfaen" w:hAnsi="Sylfaen"/>
          <w:sz w:val="24"/>
          <w:szCs w:val="24"/>
        </w:rPr>
        <w:t xml:space="preserve"> պահում շրջակա միջավայրի տարբեր պայմաններում՝ իրականացնելով դեղապատրաստուկի ինչպես արագացված, այնպես էլ բնական ծերացում: Ժամանակ առ ժամանակ մեկ դեղապատրաստուկի նմուշները անալիզի են ենթարկում ազդող նյութի պարունակության (ակտիվության) մասով համապատասխան մեթոդով, հետ</w:t>
      </w:r>
      <w:r>
        <w:rPr>
          <w:rFonts w:ascii="Sylfaen" w:hAnsi="Sylfaen"/>
          <w:sz w:val="24"/>
          <w:szCs w:val="24"/>
        </w:rPr>
        <w:t>եւ</w:t>
      </w:r>
      <w:r w:rsidRPr="00B834A2">
        <w:rPr>
          <w:rFonts w:ascii="Sylfaen" w:hAnsi="Sylfaen"/>
          <w:sz w:val="24"/>
          <w:szCs w:val="24"/>
        </w:rPr>
        <w:t xml:space="preserve">ում են ֆիզիկական փոփոխություններին, </w:t>
      </w:r>
      <w:r>
        <w:rPr>
          <w:rFonts w:ascii="Sylfaen" w:hAnsi="Sylfaen"/>
          <w:sz w:val="24"/>
          <w:szCs w:val="24"/>
        </w:rPr>
        <w:t>եւ</w:t>
      </w:r>
      <w:r w:rsidRPr="00B834A2">
        <w:rPr>
          <w:rFonts w:ascii="Sylfaen" w:hAnsi="Sylfaen"/>
          <w:sz w:val="24"/>
          <w:szCs w:val="24"/>
        </w:rPr>
        <w:t xml:space="preserve"> եթե կիրառելի է, անցկացնում են մանրէազերծության կամ մանրէաբանական մաքրության փորձարկումներ </w:t>
      </w:r>
      <w:r>
        <w:rPr>
          <w:rFonts w:ascii="Sylfaen" w:hAnsi="Sylfaen"/>
          <w:sz w:val="24"/>
          <w:szCs w:val="24"/>
        </w:rPr>
        <w:t>եւ</w:t>
      </w:r>
      <w:r w:rsidRPr="00B834A2">
        <w:rPr>
          <w:rFonts w:ascii="Sylfaen" w:hAnsi="Sylfaen"/>
          <w:sz w:val="24"/>
          <w:szCs w:val="24"/>
        </w:rPr>
        <w:t xml:space="preserve"> այլ համապատասխան փորձարկումներ, ինչպես նա</w:t>
      </w:r>
      <w:r>
        <w:rPr>
          <w:rFonts w:ascii="Sylfaen" w:hAnsi="Sylfaen"/>
          <w:sz w:val="24"/>
          <w:szCs w:val="24"/>
        </w:rPr>
        <w:t>եւ</w:t>
      </w:r>
      <w:r w:rsidRPr="00B834A2">
        <w:rPr>
          <w:rFonts w:ascii="Sylfaen" w:hAnsi="Sylfaen"/>
          <w:sz w:val="24"/>
          <w:szCs w:val="24"/>
        </w:rPr>
        <w:t xml:space="preserve"> ուսումնասիրում են դրանց թունավորությունը </w:t>
      </w:r>
      <w:r>
        <w:rPr>
          <w:rFonts w:ascii="Sylfaen" w:hAnsi="Sylfaen"/>
          <w:sz w:val="24"/>
          <w:szCs w:val="24"/>
        </w:rPr>
        <w:t>եւ</w:t>
      </w:r>
      <w:r w:rsidRPr="00B834A2">
        <w:rPr>
          <w:rFonts w:ascii="Sylfaen" w:hAnsi="Sylfaen"/>
          <w:sz w:val="24"/>
          <w:szCs w:val="24"/>
        </w:rPr>
        <w:t xml:space="preserve"> կենսամատչելիությունը: Նման հետազոտությունը կլինիկական </w:t>
      </w:r>
      <w:r>
        <w:rPr>
          <w:rFonts w:ascii="Sylfaen" w:hAnsi="Sylfaen"/>
          <w:sz w:val="24"/>
          <w:szCs w:val="24"/>
        </w:rPr>
        <w:t>եւ</w:t>
      </w:r>
      <w:r w:rsidRPr="00B834A2">
        <w:rPr>
          <w:rFonts w:ascii="Sylfaen" w:hAnsi="Sylfaen"/>
          <w:sz w:val="24"/>
          <w:szCs w:val="24"/>
        </w:rPr>
        <w:t xml:space="preserve"> ոչ կլինիկական հետազոտությունների արդյունքների հետ համատեղ թույլ է տալիս ընտրել դեղապատրաստուկի օպտիմալ կազմը, դրա համար հարմար փաթեթվածքը, սահմանել մշակված դեղաձ</w:t>
      </w:r>
      <w:r>
        <w:rPr>
          <w:rFonts w:ascii="Sylfaen" w:hAnsi="Sylfaen"/>
          <w:sz w:val="24"/>
          <w:szCs w:val="24"/>
        </w:rPr>
        <w:t>եւ</w:t>
      </w:r>
      <w:r w:rsidRPr="00B834A2">
        <w:rPr>
          <w:rFonts w:ascii="Sylfaen" w:hAnsi="Sylfaen"/>
          <w:sz w:val="24"/>
          <w:szCs w:val="24"/>
        </w:rPr>
        <w:t xml:space="preserve">ով դեղապատրաստուկի պահման անհրաժեշտ պայմանները </w:t>
      </w:r>
      <w:r>
        <w:rPr>
          <w:rFonts w:ascii="Sylfaen" w:hAnsi="Sylfaen"/>
          <w:sz w:val="24"/>
          <w:szCs w:val="24"/>
        </w:rPr>
        <w:t>եւ</w:t>
      </w:r>
      <w:r w:rsidRPr="00B834A2">
        <w:rPr>
          <w:rFonts w:ascii="Sylfaen" w:hAnsi="Sylfaen"/>
          <w:sz w:val="24"/>
          <w:szCs w:val="24"/>
        </w:rPr>
        <w:t xml:space="preserve"> պիտանիության ժամկետը (պահման ժամկետը):</w:t>
      </w:r>
    </w:p>
    <w:p w14:paraId="683B6301" w14:textId="77777777" w:rsidR="00097504" w:rsidRPr="002E52D1" w:rsidRDefault="00097504">
      <w:pPr>
        <w:rPr>
          <w:rFonts w:eastAsia="Times New Roman" w:cs="Times New Roman"/>
          <w:b/>
          <w:color w:val="auto"/>
        </w:rPr>
      </w:pPr>
      <w:r w:rsidRPr="002E52D1">
        <w:rPr>
          <w:b/>
        </w:rPr>
        <w:br w:type="page"/>
      </w:r>
    </w:p>
    <w:p w14:paraId="49521EB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lastRenderedPageBreak/>
        <w:t>ՊԱՀՄԱՆ ԵՒ ԴԵՂԱՏՆԵՐԻՑ ԲԱՑԹՈՂՄԱՆ ԴԵՊՔՈՒՄ ԴԵՂԱՊԱՏՐԱՍՏՈՒԿՆԵՐԻ ԿԱՅՈՒՆՈՒԹՅԱՆ ԱՊԱՀՈՎՈՒՄ</w:t>
      </w:r>
    </w:p>
    <w:p w14:paraId="6E70336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Արտադրողը կարող է երաշխավորել դեղապատրաստուկի որակը պիտանիության (պահման) ժամկետում միայն առաջարկվող պայմաններում </w:t>
      </w:r>
      <w:r w:rsidRPr="00097504">
        <w:rPr>
          <w:rFonts w:ascii="Sylfaen" w:hAnsi="Sylfaen"/>
          <w:spacing w:val="-4"/>
          <w:sz w:val="24"/>
          <w:szCs w:val="24"/>
        </w:rPr>
        <w:t>օրիգինալ փաթեթվածքում դեղապատրաստուկը պահելու դեպքում: Պահման եւ դեղատներից բացթողման ժամանակ արտադրված դեղապատրաստուկները պետք է համապատասխանեն Միության դեղագրքի եւ որակի մասով նորմատիվ փաստաթղթի</w:t>
      </w:r>
      <w:r w:rsidRPr="00B834A2">
        <w:rPr>
          <w:rFonts w:ascii="Sylfaen" w:hAnsi="Sylfaen"/>
          <w:sz w:val="24"/>
          <w:szCs w:val="24"/>
        </w:rPr>
        <w:t xml:space="preserve"> պահանջների վրա հիմնված որակի </w:t>
      </w:r>
      <w:r>
        <w:rPr>
          <w:rFonts w:ascii="Sylfaen" w:hAnsi="Sylfaen"/>
          <w:sz w:val="24"/>
          <w:szCs w:val="24"/>
        </w:rPr>
        <w:t>եւ</w:t>
      </w:r>
      <w:r w:rsidRPr="00B834A2">
        <w:rPr>
          <w:rFonts w:ascii="Sylfaen" w:hAnsi="Sylfaen"/>
          <w:sz w:val="24"/>
          <w:szCs w:val="24"/>
        </w:rPr>
        <w:t xml:space="preserve"> կայունության բոլոր չափորոշիչներին:</w:t>
      </w:r>
    </w:p>
    <w:p w14:paraId="61710514" w14:textId="77777777" w:rsidR="00B834A2" w:rsidRPr="00B834A2" w:rsidRDefault="00B834A2" w:rsidP="00B834A2">
      <w:pPr>
        <w:spacing w:after="160" w:line="360" w:lineRule="auto"/>
        <w:ind w:firstLine="567"/>
        <w:jc w:val="both"/>
      </w:pPr>
      <w:r w:rsidRPr="00B834A2">
        <w:t xml:space="preserve">Պահման </w:t>
      </w:r>
      <w:r>
        <w:t>եւ</w:t>
      </w:r>
      <w:r w:rsidRPr="00B834A2">
        <w:t xml:space="preserve"> դեղատներից բացթողման պրոցեսում դեղապատրաստուկների կայունության ապահովման համար անհրաժեշտ է հետ</w:t>
      </w:r>
      <w:r>
        <w:t>եւ</w:t>
      </w:r>
      <w:r w:rsidRPr="00B834A2">
        <w:t>յալ գործողությունների կատարումը.</w:t>
      </w:r>
    </w:p>
    <w:p w14:paraId="47DCCA7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պիտանիության ժամկետների պահպանման պայմանով դեղապատրաստուկների ընդունման ժամկետների կարգով դրանց բացթողման իրականացում (պաշարների պատշաճ շրջանառություն).</w:t>
      </w:r>
    </w:p>
    <w:p w14:paraId="7C50679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Միության դեղագրքի դեղագրքային մասնավոր հոդվածներում, բժշկական կիրառման </w:t>
      </w:r>
      <w:r>
        <w:rPr>
          <w:rFonts w:ascii="Sylfaen" w:hAnsi="Sylfaen"/>
          <w:sz w:val="24"/>
          <w:szCs w:val="24"/>
        </w:rPr>
        <w:t>եւ</w:t>
      </w:r>
      <w:r w:rsidRPr="00B834A2">
        <w:rPr>
          <w:rFonts w:ascii="Sylfaen" w:hAnsi="Sylfaen"/>
          <w:sz w:val="24"/>
          <w:szCs w:val="24"/>
        </w:rPr>
        <w:t xml:space="preserve"> դրանց մակնշման հրահանգում (ներդիր-թերթիկում) նշված պայմաններում դեղապատրաստուկների պահում.</w:t>
      </w:r>
    </w:p>
    <w:p w14:paraId="33A3BB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մինչ պացիենտին բաց թողնելը ընդունման ժամանակ </w:t>
      </w:r>
      <w:r>
        <w:rPr>
          <w:rFonts w:ascii="Sylfaen" w:hAnsi="Sylfaen"/>
          <w:sz w:val="24"/>
          <w:szCs w:val="24"/>
        </w:rPr>
        <w:t>եւ</w:t>
      </w:r>
      <w:r w:rsidRPr="00B834A2">
        <w:rPr>
          <w:rFonts w:ascii="Sylfaen" w:hAnsi="Sylfaen"/>
          <w:sz w:val="24"/>
          <w:szCs w:val="24"/>
        </w:rPr>
        <w:t xml:space="preserve"> պահման պրոցեսում անկայունության տեսանելի նշանների բացահայտման համար դեղապատրաստուկների արտաքին տեսքի վերահսկում.</w:t>
      </w:r>
    </w:p>
    <w:p w14:paraId="2B69FDC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դեղապատրաստուկների ամբողջականությունը </w:t>
      </w:r>
      <w:r>
        <w:rPr>
          <w:rFonts w:ascii="Sylfaen" w:hAnsi="Sylfaen"/>
          <w:sz w:val="24"/>
          <w:szCs w:val="24"/>
        </w:rPr>
        <w:t>եւ</w:t>
      </w:r>
      <w:r w:rsidRPr="00B834A2">
        <w:rPr>
          <w:rFonts w:ascii="Sylfaen" w:hAnsi="Sylfaen"/>
          <w:sz w:val="24"/>
          <w:szCs w:val="24"/>
        </w:rPr>
        <w:t xml:space="preserve"> կայունությունն ապահովող փաթեթվածքի համապատասխան համակարգում արտադրված դեղապատրաստուկների բացթողումը (եթե կիրառելի է).</w:t>
      </w:r>
    </w:p>
    <w:p w14:paraId="1C3A5B0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պացիենտներին՝ դեղապատրաստուկների պատշաճ պահման </w:t>
      </w:r>
      <w:r>
        <w:rPr>
          <w:rFonts w:ascii="Sylfaen" w:hAnsi="Sylfaen"/>
          <w:sz w:val="24"/>
          <w:szCs w:val="24"/>
        </w:rPr>
        <w:t>եւ</w:t>
      </w:r>
      <w:r w:rsidRPr="00B834A2">
        <w:rPr>
          <w:rFonts w:ascii="Sylfaen" w:hAnsi="Sylfaen"/>
          <w:sz w:val="24"/>
          <w:szCs w:val="24"/>
        </w:rPr>
        <w:t xml:space="preserve"> կիրառման մասով տեղեկացումը:</w:t>
      </w:r>
    </w:p>
    <w:p w14:paraId="05C2957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14ED27D0" w14:textId="77777777" w:rsidR="00B834A2" w:rsidRPr="00D03DDF" w:rsidRDefault="00B834A2" w:rsidP="00097504">
      <w:pPr>
        <w:pStyle w:val="a0"/>
        <w:shd w:val="clear" w:color="auto" w:fill="auto"/>
        <w:spacing w:after="160" w:line="360" w:lineRule="auto"/>
        <w:ind w:firstLine="567"/>
        <w:jc w:val="right"/>
        <w:rPr>
          <w:rFonts w:ascii="Sylfaen" w:hAnsi="Sylfaen"/>
          <w:b/>
          <w:szCs w:val="24"/>
        </w:rPr>
      </w:pPr>
      <w:r w:rsidRPr="00D03DDF">
        <w:rPr>
          <w:rFonts w:ascii="Sylfaen" w:hAnsi="Sylfaen"/>
          <w:b/>
          <w:szCs w:val="24"/>
        </w:rPr>
        <w:lastRenderedPageBreak/>
        <w:t>203180000-2022</w:t>
      </w:r>
    </w:p>
    <w:p w14:paraId="691D1CC5" w14:textId="77777777" w:rsidR="00097504" w:rsidRPr="00D03DDF" w:rsidRDefault="00097504" w:rsidP="00097504">
      <w:pPr>
        <w:pStyle w:val="a0"/>
        <w:shd w:val="clear" w:color="auto" w:fill="auto"/>
        <w:spacing w:after="160" w:line="360" w:lineRule="auto"/>
        <w:ind w:firstLine="567"/>
        <w:jc w:val="right"/>
        <w:rPr>
          <w:rFonts w:ascii="Sylfaen" w:hAnsi="Sylfaen" w:cs="Sylfaen"/>
          <w:szCs w:val="24"/>
        </w:rPr>
      </w:pPr>
    </w:p>
    <w:p w14:paraId="1CE592FA" w14:textId="77777777" w:rsidR="00B834A2" w:rsidRPr="00B834A2" w:rsidRDefault="00B834A2" w:rsidP="00097504">
      <w:pPr>
        <w:pStyle w:val="a0"/>
        <w:shd w:val="clear" w:color="auto" w:fill="auto"/>
        <w:tabs>
          <w:tab w:val="left" w:pos="1701"/>
        </w:tabs>
        <w:spacing w:after="160" w:line="360" w:lineRule="auto"/>
        <w:ind w:firstLine="567"/>
        <w:jc w:val="both"/>
        <w:rPr>
          <w:rFonts w:ascii="Sylfaen" w:hAnsi="Sylfaen" w:cs="Sylfaen"/>
          <w:sz w:val="24"/>
          <w:szCs w:val="24"/>
        </w:rPr>
      </w:pPr>
      <w:r w:rsidRPr="00B834A2">
        <w:rPr>
          <w:rFonts w:ascii="Sylfaen" w:hAnsi="Sylfaen"/>
          <w:b/>
          <w:sz w:val="24"/>
          <w:szCs w:val="24"/>
        </w:rPr>
        <w:t>2.3.18.0.</w:t>
      </w:r>
      <w:r w:rsidR="00097504" w:rsidRPr="002E52D1">
        <w:rPr>
          <w:rFonts w:ascii="Sylfaen" w:hAnsi="Sylfaen"/>
          <w:b/>
          <w:sz w:val="24"/>
          <w:szCs w:val="24"/>
        </w:rPr>
        <w:tab/>
      </w:r>
      <w:r w:rsidRPr="00B834A2">
        <w:rPr>
          <w:rFonts w:ascii="Sylfaen" w:hAnsi="Sylfaen"/>
          <w:b/>
          <w:sz w:val="24"/>
          <w:szCs w:val="24"/>
        </w:rPr>
        <w:t>Դեղագործական կիրառման համար նախատեսված բաղադրամասեր</w:t>
      </w:r>
    </w:p>
    <w:p w14:paraId="2E443965"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0A5A907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ՍԱՀՄԱՆՈՒՄ</w:t>
      </w:r>
    </w:p>
    <w:p w14:paraId="4F65D91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Դեղագործական կիրառման համար բաղադրամասերը բժշկական կամ անասնաբուժական կիրառման համար դեղապատրաստուկների արտադրության ժամանակ որպես ակտիվ բաղադրամասեր կամ օժանդակ նյութեր օգտագործվող օրգանական կամ անօրգանական նյութեր են: Դրանք կարող են ստացվել բնական ծագման աղբյուրներից կամ հումքից՝ լուծամզման, ֆերմենտացման կամ սինթեզման միջոցով:</w:t>
      </w:r>
    </w:p>
    <w:p w14:paraId="1146EEE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Տվյալ ընդհանուր դեղագործական հոդվածը չի տարածվում՝</w:t>
      </w:r>
    </w:p>
    <w:p w14:paraId="6946C9D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դեղաբուսական հումքի, հոմեոպատիկ պատրաստուկների համար դեղաբուսական հումքի, բուսական դեղագործական բաղադրամասի, դեղաբուսական լուծամզուկների </w:t>
      </w:r>
      <w:r>
        <w:rPr>
          <w:rFonts w:ascii="Sylfaen" w:hAnsi="Sylfaen"/>
          <w:sz w:val="24"/>
          <w:szCs w:val="24"/>
        </w:rPr>
        <w:t>եւ</w:t>
      </w:r>
      <w:r w:rsidRPr="00B834A2">
        <w:rPr>
          <w:rFonts w:ascii="Sylfaen" w:hAnsi="Sylfaen"/>
          <w:sz w:val="24"/>
          <w:szCs w:val="24"/>
        </w:rPr>
        <w:t xml:space="preserve"> հոմեոպատիկ պատրաստուկների մատրիցային թուրմերի վրա. </w:t>
      </w:r>
    </w:p>
    <w:p w14:paraId="5BB9F500" w14:textId="77777777" w:rsidR="00B834A2" w:rsidRPr="00B834A2" w:rsidRDefault="00B834A2" w:rsidP="00B834A2">
      <w:pPr>
        <w:spacing w:after="160" w:line="360" w:lineRule="auto"/>
        <w:ind w:firstLine="567"/>
        <w:jc w:val="both"/>
      </w:pPr>
      <w:r w:rsidRPr="00B834A2">
        <w:t>հոմեոպատիկ պատրաստուկների համար հումքի վրա՝ բացառությամբ դեպքերի, երբ առկա է դեղագրքի ոչ հոմեոպատիկ մասում բաղադրամասի մասով մասնավոր դեղագրքային հոդված.</w:t>
      </w:r>
    </w:p>
    <w:p w14:paraId="07F8EE2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ռադիոդեղագործական պատրաստուկների քիմիական պրեկուրսորների (նախորդների) վրա:</w:t>
      </w:r>
    </w:p>
    <w:p w14:paraId="73D5DA6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Եթե հատուկ ցուցումներով առանձին պացիենտների համար առանձին դեղապատրաստուկի պատրաստման դեպքում օգտագործում են մասնավոր դեղագրքային հոդվածում չնկարագրված՝ դեղագործական կիրառման համար նախատեսված բաղադրամաս, տվյալ ընդհանուր դեղագրքային հոդվածի </w:t>
      </w:r>
      <w:r w:rsidRPr="00B834A2">
        <w:rPr>
          <w:rFonts w:ascii="Sylfaen" w:hAnsi="Sylfaen"/>
          <w:sz w:val="24"/>
          <w:szCs w:val="24"/>
        </w:rPr>
        <w:lastRenderedPageBreak/>
        <w:t xml:space="preserve">պահանջներին համապատասխանության անհրաժեշտությունը որոշում են ռիսկի գնահատման հիման վրա, որն անցկացվում է՝ հաշվի առնելով բաղադրամասի որակը: </w:t>
      </w:r>
    </w:p>
    <w:p w14:paraId="6E28D27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Եթե դեղապատրաստուկների արտադրությունում օգտագործում են կենդանական ծագման կամ մարդուց դեղագործական կիրառման համար բաղադրամաս, ապա կիրառվում են </w:t>
      </w:r>
      <w:r w:rsidRPr="00B834A2">
        <w:rPr>
          <w:rFonts w:ascii="Sylfaen" w:hAnsi="Sylfaen"/>
          <w:i/>
          <w:sz w:val="24"/>
          <w:szCs w:val="24"/>
        </w:rPr>
        <w:t>2.3.1.3</w:t>
      </w:r>
      <w:r w:rsidRPr="00B834A2">
        <w:rPr>
          <w:rFonts w:ascii="Sylfaen" w:hAnsi="Sylfaen"/>
          <w:sz w:val="24"/>
          <w:szCs w:val="24"/>
        </w:rPr>
        <w:t xml:space="preserve"> </w:t>
      </w:r>
      <w:r w:rsidRPr="00B834A2">
        <w:rPr>
          <w:rFonts w:ascii="Sylfaen" w:hAnsi="Sylfaen"/>
          <w:i/>
          <w:sz w:val="24"/>
          <w:szCs w:val="24"/>
        </w:rPr>
        <w:t>Վիրուսային անվտանգություն</w:t>
      </w:r>
      <w:r w:rsidRPr="00B834A2">
        <w:rPr>
          <w:rFonts w:ascii="Sylfaen" w:hAnsi="Sylfaen"/>
          <w:sz w:val="24"/>
          <w:szCs w:val="24"/>
        </w:rPr>
        <w:t xml:space="preserve"> ընդհանուր դեղագրքային հոդվածի պահանջները:</w:t>
      </w:r>
      <w:r>
        <w:rPr>
          <w:rFonts w:ascii="Sylfaen" w:hAnsi="Sylfaen"/>
          <w:sz w:val="24"/>
          <w:szCs w:val="24"/>
        </w:rPr>
        <w:t xml:space="preserve"> </w:t>
      </w:r>
    </w:p>
    <w:p w14:paraId="2F1F4E3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Դեղագործական կիրառման համար բաղադրամասերն օգտագործվում են «որպես այդպիսին» կամ դեղապատրաստուկների արտադրության համար՝ որպես ելանյութեր: Պայմանավորված դեղապատրաստուկի կազմությամբ որոշ բաղադրամասեր կարող են կիրառվել որպես ակտիվ դեղագործական բաղադրամասեր </w:t>
      </w:r>
      <w:r>
        <w:rPr>
          <w:rFonts w:ascii="Sylfaen" w:hAnsi="Sylfaen"/>
          <w:sz w:val="24"/>
          <w:szCs w:val="24"/>
        </w:rPr>
        <w:t>եւ</w:t>
      </w:r>
      <w:r w:rsidRPr="00B834A2">
        <w:rPr>
          <w:rFonts w:ascii="Sylfaen" w:hAnsi="Sylfaen"/>
          <w:sz w:val="24"/>
          <w:szCs w:val="24"/>
        </w:rPr>
        <w:t xml:space="preserve"> որպես օժանդակ նյութեր: Պինդ բաղադրամասերը կարող են ենթարկվել խտացման, թաղանթով պատման, հատիկավորման, մինչ</w:t>
      </w:r>
      <w:r>
        <w:rPr>
          <w:rFonts w:ascii="Sylfaen" w:hAnsi="Sylfaen"/>
          <w:sz w:val="24"/>
          <w:szCs w:val="24"/>
        </w:rPr>
        <w:t>եւ</w:t>
      </w:r>
      <w:r w:rsidRPr="00B834A2">
        <w:rPr>
          <w:rFonts w:ascii="Sylfaen" w:hAnsi="Sylfaen"/>
          <w:sz w:val="24"/>
          <w:szCs w:val="24"/>
        </w:rPr>
        <w:t xml:space="preserve"> մասնիկները անհրաժեշտ չափի փոշու մանրման կամ այլ եղանակով մշակման:</w:t>
      </w:r>
      <w:r>
        <w:rPr>
          <w:rFonts w:ascii="Sylfaen" w:hAnsi="Sylfaen"/>
          <w:sz w:val="24"/>
          <w:szCs w:val="24"/>
        </w:rPr>
        <w:t xml:space="preserve"> </w:t>
      </w:r>
      <w:r w:rsidRPr="00B834A2">
        <w:rPr>
          <w:rFonts w:ascii="Sylfaen" w:hAnsi="Sylfaen"/>
          <w:sz w:val="24"/>
          <w:szCs w:val="24"/>
        </w:rPr>
        <w:t xml:space="preserve">Ընդհանուր դեղագրքային հոդվածը կիրառում են օժանդակ նյութի հետ միախառնված բաղադրամասի նկատմամբ միայն այն դեպքերում, երբ նման մշակումը նշված է մասնավոր դեղագրքային հոդվածի Որոշում բաժնում: </w:t>
      </w:r>
    </w:p>
    <w:p w14:paraId="5F07665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i/>
          <w:sz w:val="24"/>
          <w:szCs w:val="24"/>
        </w:rPr>
        <w:t>Հատուկ կատեգորիաների դեղագործական կիրառման համար նախատեսված բաղադրամասեր:</w:t>
      </w:r>
      <w:r w:rsidRPr="00B834A2">
        <w:rPr>
          <w:rFonts w:ascii="Sylfaen" w:hAnsi="Sylfaen"/>
          <w:sz w:val="24"/>
          <w:szCs w:val="24"/>
        </w:rPr>
        <w:t xml:space="preserve"> Մասնավոր դեղագրքային հոդվածում այլ ցուցումների կամ սահմանափակումների բացակայության դեպքում դեղագործական կիրառման համար նախատեսված բաղադրամասը նախատեսված է բժշկության </w:t>
      </w:r>
      <w:r>
        <w:rPr>
          <w:rFonts w:ascii="Sylfaen" w:hAnsi="Sylfaen"/>
          <w:sz w:val="24"/>
          <w:szCs w:val="24"/>
        </w:rPr>
        <w:t>եւ</w:t>
      </w:r>
      <w:r w:rsidRPr="00B834A2">
        <w:rPr>
          <w:rFonts w:ascii="Sylfaen" w:hAnsi="Sylfaen"/>
          <w:sz w:val="24"/>
          <w:szCs w:val="24"/>
        </w:rPr>
        <w:t xml:space="preserve"> անասնաբուժության մեջ օգտագործման համար </w:t>
      </w:r>
      <w:r>
        <w:rPr>
          <w:rFonts w:ascii="Sylfaen" w:hAnsi="Sylfaen"/>
          <w:sz w:val="24"/>
          <w:szCs w:val="24"/>
        </w:rPr>
        <w:t>եւ</w:t>
      </w:r>
      <w:r w:rsidRPr="00B834A2">
        <w:rPr>
          <w:rFonts w:ascii="Sylfaen" w:hAnsi="Sylfaen"/>
          <w:sz w:val="24"/>
          <w:szCs w:val="24"/>
        </w:rPr>
        <w:t xml:space="preserve"> պետք է ունենա համապատասխան որակ բոլոր այն դեղապատրաստուկների արտադրության համար, որոնցում այն կարող է օգտագործվել: </w:t>
      </w:r>
    </w:p>
    <w:p w14:paraId="39EF29AC" w14:textId="77777777" w:rsidR="00B834A2" w:rsidRPr="00B834A2" w:rsidRDefault="00B834A2" w:rsidP="00B834A2">
      <w:pPr>
        <w:spacing w:after="160" w:line="360" w:lineRule="auto"/>
        <w:ind w:firstLine="567"/>
        <w:jc w:val="both"/>
      </w:pPr>
      <w:r w:rsidRPr="00B834A2">
        <w:rPr>
          <w:i/>
        </w:rPr>
        <w:t>Պոլիմորֆիզմ:</w:t>
      </w:r>
      <w:r w:rsidRPr="00B834A2">
        <w:t xml:space="preserve"> Մասնավոր դեղագրքային հոդվածներում սովորաբար չեն նշում բյուրեղային կամ ամորֆ ձ</w:t>
      </w:r>
      <w:r>
        <w:t>եւ</w:t>
      </w:r>
      <w:r w:rsidRPr="00B834A2">
        <w:t xml:space="preserve">երը, եթե դա չի ազդում կենսամատչելիության վրա: Մասնավոր դեղագրքային հոդվածում այլ ցուցումների բացակայության դեպքում դեղագործական կիրառման համար նախատեսված բաղադրամասի բոլոր </w:t>
      </w:r>
      <w:r w:rsidRPr="00B834A2">
        <w:lastRenderedPageBreak/>
        <w:t>պոլիմորֆային ձ</w:t>
      </w:r>
      <w:r>
        <w:t>եւ</w:t>
      </w:r>
      <w:r w:rsidRPr="00B834A2">
        <w:t>երը պետք է համապատասխանեն մասնավոր դեղագրքային հոդվածի պահանջներին:</w:t>
      </w:r>
    </w:p>
    <w:p w14:paraId="271E7930" w14:textId="77777777" w:rsidR="00B834A2" w:rsidRPr="00B834A2" w:rsidRDefault="00B834A2" w:rsidP="00B834A2">
      <w:pPr>
        <w:spacing w:after="160" w:line="360" w:lineRule="auto"/>
        <w:ind w:firstLine="567"/>
        <w:jc w:val="both"/>
      </w:pPr>
    </w:p>
    <w:p w14:paraId="571BE7C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ԱՐՏԱԴՐՈՒԹՅՈՒՆ</w:t>
      </w:r>
    </w:p>
    <w:p w14:paraId="64977FC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Դեղագործական կիրառման համար նախատեսված բաղադրամասերն արտադրում են մշտական որակ </w:t>
      </w:r>
      <w:r>
        <w:rPr>
          <w:rFonts w:ascii="Sylfaen" w:hAnsi="Sylfaen"/>
          <w:sz w:val="24"/>
          <w:szCs w:val="24"/>
        </w:rPr>
        <w:t>եւ</w:t>
      </w:r>
      <w:r w:rsidRPr="00B834A2">
        <w:rPr>
          <w:rFonts w:ascii="Sylfaen" w:hAnsi="Sylfaen"/>
          <w:sz w:val="24"/>
          <w:szCs w:val="24"/>
        </w:rPr>
        <w:t xml:space="preserve"> մասնավոր դեղագրքային հոդվածի կամ հաստատված մասնագրի պահանջներին համապատասխանություն ապահովող պայմաններում:</w:t>
      </w:r>
    </w:p>
    <w:p w14:paraId="230CED6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Ակտիվ դեղագործական բաղադրամասերի արտադրությունը պետք է իրականացվի պատշաճ արտադրական գործունեության պայմաններում:</w:t>
      </w:r>
    </w:p>
    <w:p w14:paraId="41FB42AF"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հոդվածում բերված մաքրությանը ներկայացվող պահանջները տարածվում են որոշակի տեխնոլոգիայով (տեխնոլոգիաներով) ստացված </w:t>
      </w:r>
      <w:r>
        <w:rPr>
          <w:rFonts w:ascii="Sylfaen" w:hAnsi="Sylfaen"/>
          <w:sz w:val="24"/>
          <w:szCs w:val="24"/>
        </w:rPr>
        <w:t>եւ</w:t>
      </w:r>
      <w:r w:rsidRPr="00B834A2">
        <w:rPr>
          <w:rFonts w:ascii="Sylfaen" w:hAnsi="Sylfaen"/>
          <w:sz w:val="24"/>
          <w:szCs w:val="24"/>
        </w:rPr>
        <w:t xml:space="preserve"> խառնուկների որոշակի պրոֆիլով (պրոֆիլներով) բնութագրվող բաղադրամասի վրա:</w:t>
      </w:r>
    </w:p>
    <w:p w14:paraId="5F3A000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Մի շարք դեպքերում արտադրության տեխնոլոգիայի փոփոխությունը կարող</w:t>
      </w:r>
      <w:r w:rsidR="00D03DDF" w:rsidRPr="00D03DDF">
        <w:rPr>
          <w:rFonts w:ascii="Sylfaen" w:hAnsi="Sylfaen"/>
          <w:sz w:val="24"/>
          <w:szCs w:val="24"/>
        </w:rPr>
        <w:t> </w:t>
      </w:r>
      <w:r w:rsidRPr="00B834A2">
        <w:rPr>
          <w:rFonts w:ascii="Sylfaen" w:hAnsi="Sylfaen"/>
          <w:sz w:val="24"/>
          <w:szCs w:val="24"/>
        </w:rPr>
        <w:t>է հանգեցնել խառնուկներ պրոֆիլի փոփոխությանը, այսինքն՝ համապատասխան մասնավոր դեղագրքային հոդվածով չվերահսկվող խառնուկների առաջացմամբ: Բաղադրամասի արտադրության տեխնոլոգիայում կատարվող բոլոր փոփոխությունները պետք է ուղեկցվեն համապատասխան մասնավոր դեղագրքային հոդվածով մաքրության փորձարկումներով տվյալ բաղադրամասի որակի վերահսկման հնարավորությունը հաստատող տեղեկությունները լիազորված մարմին ներկայացնելով:</w:t>
      </w:r>
    </w:p>
    <w:p w14:paraId="4F1EE454" w14:textId="77777777" w:rsidR="00B834A2" w:rsidRPr="002E52D1"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Դեղագործական կիրառման համար նախատեսված բաղադրամասերում խառնուկների վերահսկման ժամանակ օգտագործում են </w:t>
      </w:r>
      <w:r w:rsidRPr="00B834A2">
        <w:rPr>
          <w:rFonts w:ascii="Sylfaen" w:hAnsi="Sylfaen"/>
          <w:i/>
          <w:sz w:val="24"/>
          <w:szCs w:val="24"/>
        </w:rPr>
        <w:t>2.3.5.0</w:t>
      </w:r>
      <w:r w:rsidRPr="00B834A2">
        <w:rPr>
          <w:rFonts w:ascii="Sylfaen" w:hAnsi="Sylfaen"/>
          <w:sz w:val="24"/>
          <w:szCs w:val="24"/>
        </w:rPr>
        <w:t xml:space="preserve"> </w:t>
      </w:r>
      <w:r w:rsidRPr="00B834A2">
        <w:rPr>
          <w:rFonts w:ascii="Sylfaen" w:hAnsi="Sylfaen"/>
          <w:i/>
          <w:sz w:val="24"/>
          <w:szCs w:val="24"/>
        </w:rPr>
        <w:t>Դեղագործական կիրառման համար նախատեսված բաղադրամասերում խառնուկների վերահսկողություն</w:t>
      </w:r>
      <w:r w:rsidRPr="00B834A2">
        <w:rPr>
          <w:rFonts w:ascii="Sylfaen" w:hAnsi="Sylfaen"/>
          <w:sz w:val="24"/>
          <w:szCs w:val="24"/>
        </w:rPr>
        <w:t xml:space="preserve"> ընդհանուր դեղագրքային հոդվածի պահանջները:</w:t>
      </w:r>
    </w:p>
    <w:p w14:paraId="6F2A4CAB" w14:textId="77777777" w:rsidR="00097504" w:rsidRPr="002E52D1" w:rsidRDefault="00097504" w:rsidP="00B834A2">
      <w:pPr>
        <w:pStyle w:val="a0"/>
        <w:shd w:val="clear" w:color="auto" w:fill="auto"/>
        <w:spacing w:after="160" w:line="360" w:lineRule="auto"/>
        <w:ind w:firstLine="567"/>
        <w:jc w:val="both"/>
        <w:rPr>
          <w:rFonts w:ascii="Sylfaen" w:hAnsi="Sylfaen" w:cs="Sylfaen"/>
          <w:sz w:val="24"/>
          <w:szCs w:val="24"/>
        </w:rPr>
      </w:pPr>
    </w:p>
    <w:p w14:paraId="44CC3A6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Անկախ մասնավոր դեղագրքային հոդվածում հատուկ ցուցումների առկայությունից՝ դեղագործական կիրառման համար նախատեսված բաղադրամասերը պետք է համապատասխանեն հետ</w:t>
      </w:r>
      <w:r>
        <w:rPr>
          <w:rFonts w:ascii="Sylfaen" w:hAnsi="Sylfaen"/>
          <w:sz w:val="24"/>
          <w:szCs w:val="24"/>
        </w:rPr>
        <w:t>եւ</w:t>
      </w:r>
      <w:r w:rsidRPr="00B834A2">
        <w:rPr>
          <w:rFonts w:ascii="Sylfaen" w:hAnsi="Sylfaen"/>
          <w:sz w:val="24"/>
          <w:szCs w:val="24"/>
        </w:rPr>
        <w:t>յալ պահանջներին.</w:t>
      </w:r>
    </w:p>
    <w:p w14:paraId="69E8514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գենետիկ ձ</w:t>
      </w:r>
      <w:r>
        <w:rPr>
          <w:rFonts w:ascii="Sylfaen" w:hAnsi="Sylfaen"/>
          <w:sz w:val="24"/>
          <w:szCs w:val="24"/>
        </w:rPr>
        <w:t>եւ</w:t>
      </w:r>
      <w:r w:rsidRPr="00B834A2">
        <w:rPr>
          <w:rFonts w:ascii="Sylfaen" w:hAnsi="Sylfaen"/>
          <w:sz w:val="24"/>
          <w:szCs w:val="24"/>
        </w:rPr>
        <w:t>ափոխման հիման վրա ուղղակի գենաինժեներային տեխնոլոգիայի օգտագործմամբ ստացված ռեկոմբինանտ սպիտակուցները կամ այլ բաղադրամասեր պետք է նույնպես բավարարեն, եթե կիրառելի է, համապատասխան ընդհանուր դեղագործական հոդվածի պահանջները.</w:t>
      </w:r>
    </w:p>
    <w:p w14:paraId="10824FC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բացառությամբ փորձարարական եղանակով առաջացած հիվանդությունների՝ տրանսմիսիոն սպունգանման էնցեֆալոպաթիայի նկատմամբ ընկալունակ կենդանիներից ստացված բաղադրամասերը պետք է բավարարեն, եթե կիրառելի է, ընդհանուր դեղագրքային հոդվածների </w:t>
      </w:r>
      <w:r>
        <w:rPr>
          <w:rFonts w:ascii="Sylfaen" w:hAnsi="Sylfaen"/>
          <w:sz w:val="24"/>
          <w:szCs w:val="24"/>
        </w:rPr>
        <w:t>եւ</w:t>
      </w:r>
      <w:r w:rsidRPr="00B834A2">
        <w:rPr>
          <w:rFonts w:ascii="Sylfaen" w:hAnsi="Sylfaen"/>
          <w:sz w:val="24"/>
          <w:szCs w:val="24"/>
        </w:rPr>
        <w:t xml:space="preserve"> Միության իրավունքում ընդգրկվող նորմատիվ ակտերի, կենդանիների սպունգանման էնցեֆալոպաթիայի հարուցիչների փոխանցման ռիսկի գնահատման մասով պահանջներին.</w:t>
      </w:r>
    </w:p>
    <w:p w14:paraId="723A85D6" w14:textId="77777777" w:rsidR="00B834A2" w:rsidRPr="00B834A2" w:rsidRDefault="00B834A2" w:rsidP="00B834A2">
      <w:pPr>
        <w:spacing w:after="160" w:line="360" w:lineRule="auto"/>
        <w:ind w:firstLine="567"/>
        <w:jc w:val="both"/>
      </w:pPr>
      <w:r w:rsidRPr="00B834A2">
        <w:t>անկախ օգտագործվող միկրոօրգանիզմների մոդիֆիկացման եղանակից՝ ֆերմենտացման պրոցեսի արդյունքում ստացված բաղադրամասերը (ավանդական մեթոդներով կամ ուղղակի գենաինժեներային տեխնոլոգիայի օգտագործմամբ) պետք է նույնպես բավարարեն, եթե կիրառելի է, համապատասխան ընդհանուր դեղագրքային հոդվածի պահանջներին:</w:t>
      </w:r>
    </w:p>
    <w:p w14:paraId="4A2D6411"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Արտադրությունում օգտագործվող լուծիչները պետք է լինեն համապատասխան որակի: Բացի այդ, անհրաժեշտ է հաշվի առնել դրանց թունավորությունը </w:t>
      </w:r>
      <w:r>
        <w:rPr>
          <w:rFonts w:ascii="Sylfaen" w:hAnsi="Sylfaen"/>
          <w:sz w:val="24"/>
          <w:szCs w:val="24"/>
        </w:rPr>
        <w:t>եւ</w:t>
      </w:r>
      <w:r w:rsidRPr="00B834A2">
        <w:rPr>
          <w:rFonts w:ascii="Sylfaen" w:hAnsi="Sylfaen"/>
          <w:sz w:val="24"/>
          <w:szCs w:val="24"/>
        </w:rPr>
        <w:t xml:space="preserve"> մնացորդային պարունակությունը (</w:t>
      </w:r>
      <w:r w:rsidRPr="00B834A2">
        <w:rPr>
          <w:rFonts w:ascii="Sylfaen" w:hAnsi="Sylfaen"/>
          <w:i/>
          <w:sz w:val="24"/>
          <w:szCs w:val="24"/>
        </w:rPr>
        <w:t>2.3.2.0. Մնացորդային օրգանական լուծիչներ</w:t>
      </w:r>
      <w:r w:rsidRPr="00B834A2">
        <w:rPr>
          <w:rFonts w:ascii="Sylfaen" w:hAnsi="Sylfaen"/>
          <w:sz w:val="24"/>
          <w:szCs w:val="24"/>
        </w:rPr>
        <w:t xml:space="preserve"> ընդհանուր դեղագրքային հոդված</w:t>
      </w:r>
      <w:r w:rsidRPr="00B834A2">
        <w:rPr>
          <w:rFonts w:ascii="Sylfaen" w:hAnsi="Sylfaen"/>
          <w:i/>
          <w:sz w:val="24"/>
          <w:szCs w:val="24"/>
        </w:rPr>
        <w:t>):</w:t>
      </w:r>
      <w:r w:rsidRPr="00B834A2">
        <w:rPr>
          <w:rFonts w:ascii="Sylfaen" w:hAnsi="Sylfaen"/>
          <w:sz w:val="24"/>
          <w:szCs w:val="24"/>
        </w:rPr>
        <w:t xml:space="preserve"> Արտադրությունում օգտագործվող ջուրը պետք է լինի համապատասխան որակի:</w:t>
      </w:r>
    </w:p>
    <w:p w14:paraId="4A64CDC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Տարրերի խառնուկները, որոնց առկայությունը պայմանավորված է կատալիզատորների </w:t>
      </w:r>
      <w:r>
        <w:rPr>
          <w:rFonts w:ascii="Sylfaen" w:hAnsi="Sylfaen"/>
          <w:sz w:val="24"/>
          <w:szCs w:val="24"/>
        </w:rPr>
        <w:t>եւ</w:t>
      </w:r>
      <w:r w:rsidRPr="00B834A2">
        <w:rPr>
          <w:rFonts w:ascii="Sylfaen" w:hAnsi="Sylfaen"/>
          <w:sz w:val="24"/>
          <w:szCs w:val="24"/>
        </w:rPr>
        <w:t xml:space="preserve"> ռեակտիվների օգտագործմամբ, պետք է հայտնի լինեն, </w:t>
      </w:r>
      <w:r>
        <w:rPr>
          <w:rFonts w:ascii="Sylfaen" w:hAnsi="Sylfaen"/>
          <w:sz w:val="24"/>
          <w:szCs w:val="24"/>
        </w:rPr>
        <w:t>եւ</w:t>
      </w:r>
      <w:r w:rsidRPr="00B834A2">
        <w:rPr>
          <w:rFonts w:ascii="Sylfaen" w:hAnsi="Sylfaen"/>
          <w:sz w:val="24"/>
          <w:szCs w:val="24"/>
        </w:rPr>
        <w:t xml:space="preserve"> դրանց վերահսկողության ռազմավարությունը պետք է սահմանել ռիսկերի կառավարման սկզբունքների կիրառմամբ:</w:t>
      </w:r>
    </w:p>
    <w:p w14:paraId="1837DAF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lastRenderedPageBreak/>
        <w:t>Եթե բաղադրամասերն արտադրում կամ մշակում են որոշակի ձ</w:t>
      </w:r>
      <w:r>
        <w:rPr>
          <w:rFonts w:ascii="Sylfaen" w:hAnsi="Sylfaen"/>
          <w:sz w:val="24"/>
          <w:szCs w:val="24"/>
        </w:rPr>
        <w:t>եւ</w:t>
      </w:r>
      <w:r w:rsidRPr="00B834A2">
        <w:rPr>
          <w:rFonts w:ascii="Sylfaen" w:hAnsi="Sylfaen"/>
          <w:sz w:val="24"/>
          <w:szCs w:val="24"/>
        </w:rPr>
        <w:t>ի կամ կատեգորիայի ստացման նպատակով, ապա այդ ձ</w:t>
      </w:r>
      <w:r>
        <w:rPr>
          <w:rFonts w:ascii="Sylfaen" w:hAnsi="Sylfaen"/>
          <w:sz w:val="24"/>
          <w:szCs w:val="24"/>
        </w:rPr>
        <w:t>եւ</w:t>
      </w:r>
      <w:r w:rsidRPr="00B834A2">
        <w:rPr>
          <w:rFonts w:ascii="Sylfaen" w:hAnsi="Sylfaen"/>
          <w:sz w:val="24"/>
          <w:szCs w:val="24"/>
        </w:rPr>
        <w:t xml:space="preserve">ով կամ այդ կատեգորիայով բաղադրամասերը պետք է բավարարեն մասնավոր դեղագրքային հոդվածի պահանջները: Այն հատկությունների վերահսկողության համար, որոնք կարող են ազդել բաղադրամասի պիտանիության </w:t>
      </w:r>
      <w:r>
        <w:rPr>
          <w:rFonts w:ascii="Sylfaen" w:hAnsi="Sylfaen"/>
          <w:sz w:val="24"/>
          <w:szCs w:val="24"/>
        </w:rPr>
        <w:t>եւ</w:t>
      </w:r>
      <w:r w:rsidRPr="00B834A2">
        <w:rPr>
          <w:rFonts w:ascii="Sylfaen" w:hAnsi="Sylfaen"/>
          <w:sz w:val="24"/>
          <w:szCs w:val="24"/>
        </w:rPr>
        <w:t xml:space="preserve"> համապատասխանաբար՝ դրանցից պատրաստված դեղաձ</w:t>
      </w:r>
      <w:r>
        <w:rPr>
          <w:rFonts w:ascii="Sylfaen" w:hAnsi="Sylfaen"/>
          <w:sz w:val="24"/>
          <w:szCs w:val="24"/>
        </w:rPr>
        <w:t>եւ</w:t>
      </w:r>
      <w:r w:rsidRPr="00B834A2">
        <w:rPr>
          <w:rFonts w:ascii="Sylfaen" w:hAnsi="Sylfaen"/>
          <w:sz w:val="24"/>
          <w:szCs w:val="24"/>
        </w:rPr>
        <w:t>երի որակի վրա, մասնավոր դեղագրքային հոդվածում կարող են բերվել որոշակի ֆունկցիոնալ բնութագրերի փորձարկումներ:</w:t>
      </w:r>
    </w:p>
    <w:p w14:paraId="31D8C127"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Փոշենման բաղադրամասերը կարող են ենթարկվել մշակման՝ անհրաժեշտ աստիճանի մանրեցում ստանալու համար:</w:t>
      </w:r>
    </w:p>
    <w:p w14:paraId="6376B335"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Խտացված բաղադրամասերը մշակում են մասնիկների չափի մեծացման կամ սպեցիֆիկ ձ</w:t>
      </w:r>
      <w:r>
        <w:rPr>
          <w:rFonts w:ascii="Sylfaen" w:hAnsi="Sylfaen"/>
          <w:sz w:val="24"/>
          <w:szCs w:val="24"/>
        </w:rPr>
        <w:t>եւ</w:t>
      </w:r>
      <w:r w:rsidRPr="00B834A2">
        <w:rPr>
          <w:rFonts w:ascii="Sylfaen" w:hAnsi="Sylfaen"/>
          <w:sz w:val="24"/>
          <w:szCs w:val="24"/>
        </w:rPr>
        <w:t xml:space="preserve">ի մասնիկների ստացման </w:t>
      </w:r>
      <w:r>
        <w:rPr>
          <w:rFonts w:ascii="Sylfaen" w:hAnsi="Sylfaen"/>
          <w:sz w:val="24"/>
          <w:szCs w:val="24"/>
        </w:rPr>
        <w:t>եւ</w:t>
      </w:r>
      <w:r w:rsidRPr="00B834A2">
        <w:rPr>
          <w:rFonts w:ascii="Sylfaen" w:hAnsi="Sylfaen"/>
          <w:sz w:val="24"/>
          <w:szCs w:val="24"/>
        </w:rPr>
        <w:t xml:space="preserve"> (կամ) մեծ լիրքային խտությամբ բաղադրամաս ստանալու համար:</w:t>
      </w:r>
    </w:p>
    <w:p w14:paraId="5BC5E160"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Թաղանթով պատված ակտիվ բաղադրամասերը բաղկացած են մեկ կամ մի քանի համապատասխան օժանդակ նյութերով պատված՝ ակտիվ դեղագործական բաղադրամասի մասնիկներից:</w:t>
      </w:r>
    </w:p>
    <w:p w14:paraId="51641A02"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Հատիկավորված ակտիվ բաղադրամասերն ուղղակի հատիկավորման կամ մեկ կամ մի քանի համապատասխան օժանդակ նյութերի օգտագործմամբ հատիկավորման միջոցով ակտիվ դեղագործական բաղադրամասից ստացված որոշակի չափի </w:t>
      </w:r>
      <w:r>
        <w:rPr>
          <w:rFonts w:ascii="Sylfaen" w:hAnsi="Sylfaen"/>
          <w:sz w:val="24"/>
          <w:szCs w:val="24"/>
        </w:rPr>
        <w:t>եւ</w:t>
      </w:r>
      <w:r w:rsidRPr="00B834A2">
        <w:rPr>
          <w:rFonts w:ascii="Sylfaen" w:hAnsi="Sylfaen"/>
          <w:sz w:val="24"/>
          <w:szCs w:val="24"/>
        </w:rPr>
        <w:t xml:space="preserve"> (կամ) ձ</w:t>
      </w:r>
      <w:r>
        <w:rPr>
          <w:rFonts w:ascii="Sylfaen" w:hAnsi="Sylfaen"/>
          <w:sz w:val="24"/>
          <w:szCs w:val="24"/>
        </w:rPr>
        <w:t>եւ</w:t>
      </w:r>
      <w:r w:rsidRPr="00B834A2">
        <w:rPr>
          <w:rFonts w:ascii="Sylfaen" w:hAnsi="Sylfaen"/>
          <w:sz w:val="24"/>
          <w:szCs w:val="24"/>
        </w:rPr>
        <w:t>ի մասնիկներ են:</w:t>
      </w:r>
    </w:p>
    <w:p w14:paraId="08469B6B"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Եթե բաղադրամասերը ենթարկվում են մշակման օժանդակ նյութերի հետ մեկտեղ, վերջիններս պետք է համապատասխանեն համապատասխան մասնավոր դեղագրքային հոդվածի կամ դրա բացակայության դեպքում՝ հաստատված մասնագրի պահանջներին:</w:t>
      </w:r>
    </w:p>
    <w:p w14:paraId="17C4FF7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Այն դեպքում, երբ ակտիվ դեղագործական բաղադրամասերը ենթարկում են մշակման օժանդակ նյութերի հետ մեկտեղ, օրինակ՝ թաղանթով պատման կամ հատիկավորման, պրոցեսը կատարում են պատշաճ արտադրական գործունեության պայմաններում, </w:t>
      </w:r>
      <w:r>
        <w:rPr>
          <w:rFonts w:ascii="Sylfaen" w:hAnsi="Sylfaen"/>
          <w:sz w:val="24"/>
          <w:szCs w:val="24"/>
        </w:rPr>
        <w:t>եւ</w:t>
      </w:r>
      <w:r w:rsidRPr="00B834A2">
        <w:rPr>
          <w:rFonts w:ascii="Sylfaen" w:hAnsi="Sylfaen"/>
          <w:sz w:val="24"/>
          <w:szCs w:val="24"/>
        </w:rPr>
        <w:t xml:space="preserve"> մշակումից հետո ստացված բաղադրամասը </w:t>
      </w:r>
      <w:r w:rsidRPr="00B834A2">
        <w:rPr>
          <w:rFonts w:ascii="Sylfaen" w:hAnsi="Sylfaen"/>
          <w:sz w:val="24"/>
          <w:szCs w:val="24"/>
        </w:rPr>
        <w:lastRenderedPageBreak/>
        <w:t>դիտարկում են որպես դեղապատրաստուկի արտադրության մեջ կիսաարտադրանք:</w:t>
      </w:r>
    </w:p>
    <w:p w14:paraId="7B881B9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2F966623"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ՀԱՏԿՈՒԹՅՈՒՆՆԵՐ</w:t>
      </w:r>
    </w:p>
    <w:p w14:paraId="37D92C4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Մասնավոր դեղագրքային հոդվածի տվյալ բաժնում բերված տեղեկությունները (օրինակ՝ տրոհման լուծելիություն կամ ջերմաստիճան), որպես կանոն, կարող են չդիտարկվել որպես պարտադիր ցուցումներ </w:t>
      </w:r>
      <w:r>
        <w:rPr>
          <w:rFonts w:ascii="Sylfaen" w:hAnsi="Sylfaen"/>
          <w:sz w:val="24"/>
          <w:szCs w:val="24"/>
        </w:rPr>
        <w:t>եւ</w:t>
      </w:r>
      <w:r w:rsidRPr="00B834A2">
        <w:rPr>
          <w:rFonts w:ascii="Sylfaen" w:hAnsi="Sylfaen"/>
          <w:sz w:val="24"/>
          <w:szCs w:val="24"/>
        </w:rPr>
        <w:t xml:space="preserve"> կրում են տեղեկատվական բնույթ:</w:t>
      </w:r>
    </w:p>
    <w:p w14:paraId="21835D6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Եթե բաղադրամասն օժտված է պոլիմորֆիզմով, դա նշվում է Հատկություններ բաժնում՝ հրավիրելու համար օգտվողի ուշադրությունը, որը կարող է հաշվի առնել տվյալ տեղեկությունները դեղապատրաստուկը մշակելիս:</w:t>
      </w:r>
    </w:p>
    <w:p w14:paraId="47A4180E"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p>
    <w:p w14:paraId="7D3BBBC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ՆՈՒՅՆԱԿԱՆԱՑՈՒՄ</w:t>
      </w:r>
    </w:p>
    <w:p w14:paraId="779FDAA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 xml:space="preserve">Եթե մասնավոր դեղագրքային հոդվածի </w:t>
      </w:r>
      <w:r w:rsidRPr="00D03DDF">
        <w:rPr>
          <w:rFonts w:ascii="Sylfaen" w:hAnsi="Sylfaen"/>
          <w:i/>
          <w:sz w:val="24"/>
          <w:szCs w:val="24"/>
        </w:rPr>
        <w:t>Նույնականացում</w:t>
      </w:r>
      <w:r w:rsidRPr="00B834A2">
        <w:rPr>
          <w:rFonts w:ascii="Sylfaen" w:hAnsi="Sylfaen"/>
          <w:sz w:val="24"/>
          <w:szCs w:val="24"/>
        </w:rPr>
        <w:t xml:space="preserve"> բաժնում առկա են </w:t>
      </w:r>
      <w:r w:rsidRPr="00D03DDF">
        <w:rPr>
          <w:rFonts w:ascii="Sylfaen" w:hAnsi="Sylfaen"/>
          <w:i/>
          <w:sz w:val="24"/>
          <w:szCs w:val="24"/>
        </w:rPr>
        <w:t>Առաջին նույնականացում</w:t>
      </w:r>
      <w:r w:rsidRPr="00B834A2">
        <w:rPr>
          <w:rFonts w:ascii="Sylfaen" w:hAnsi="Sylfaen"/>
          <w:sz w:val="24"/>
          <w:szCs w:val="24"/>
        </w:rPr>
        <w:t xml:space="preserve"> </w:t>
      </w:r>
      <w:r>
        <w:rPr>
          <w:rFonts w:ascii="Sylfaen" w:hAnsi="Sylfaen"/>
          <w:sz w:val="24"/>
          <w:szCs w:val="24"/>
        </w:rPr>
        <w:t>եւ</w:t>
      </w:r>
      <w:r w:rsidRPr="00B834A2">
        <w:rPr>
          <w:rFonts w:ascii="Sylfaen" w:hAnsi="Sylfaen"/>
          <w:sz w:val="24"/>
          <w:szCs w:val="24"/>
        </w:rPr>
        <w:t xml:space="preserve"> </w:t>
      </w:r>
      <w:r w:rsidRPr="00D03DDF">
        <w:rPr>
          <w:rFonts w:ascii="Sylfaen" w:hAnsi="Sylfaen"/>
          <w:i/>
          <w:sz w:val="24"/>
          <w:szCs w:val="24"/>
        </w:rPr>
        <w:t>Երկրորդ նույնականացում</w:t>
      </w:r>
      <w:r w:rsidRPr="00B834A2">
        <w:rPr>
          <w:rFonts w:ascii="Sylfaen" w:hAnsi="Sylfaen"/>
          <w:sz w:val="24"/>
          <w:szCs w:val="24"/>
        </w:rPr>
        <w:t xml:space="preserve"> ենթաբաժինները, ապա Առաջին նույնականացում ենթաբաժնում նկարագրված փորձարկումը (փորձարկումները) կարող է (կարող են) օգտագործվել բոլոր դեպքերում: Երկրորդ նույնականացում ենթաբաժնում ներառվող փորձարկումը (փորձարկումները) կարող է (կարող են) օգտագործվել միայն դեղատներում՝ հաստատելու համար այն, որ բաղադրամասը կամ դեղապատրաստուկն ամբողջությամբ հետագծվել է մինչ</w:t>
      </w:r>
      <w:r>
        <w:rPr>
          <w:rFonts w:ascii="Sylfaen" w:hAnsi="Sylfaen"/>
          <w:sz w:val="24"/>
          <w:szCs w:val="24"/>
        </w:rPr>
        <w:t>եւ</w:t>
      </w:r>
      <w:r w:rsidRPr="00B834A2">
        <w:rPr>
          <w:rFonts w:ascii="Sylfaen" w:hAnsi="Sylfaen"/>
          <w:sz w:val="24"/>
          <w:szCs w:val="24"/>
        </w:rPr>
        <w:t xml:space="preserve"> մասնավոր դեղագրքային հոդվածի բոլոր մյուս պահանջներին համապատասխանության մասով սերտիֆիկացված սերիան: Երկրորդ նույնականացման շրջանակներում փորձարկումների կիրառումն անցկացվում է Միության անդամ պետությունների պահանջներին համապատասխան:</w:t>
      </w:r>
    </w:p>
    <w:p w14:paraId="4A94CB6E" w14:textId="77777777" w:rsidR="00B834A2" w:rsidRPr="00B834A2" w:rsidRDefault="00B834A2" w:rsidP="00B834A2">
      <w:pPr>
        <w:spacing w:after="160" w:line="360" w:lineRule="auto"/>
        <w:ind w:firstLine="567"/>
        <w:jc w:val="both"/>
      </w:pPr>
      <w:r w:rsidRPr="00B834A2">
        <w:t xml:space="preserve">Որոշ մասնավոր դեղագրքային հոդվածներ պարունակում են առաջին նույնականացման համար նախատեսված փորձարկումների երկու կամ մի քանի համախումբ, որոնք համարժեք են </w:t>
      </w:r>
      <w:r>
        <w:t>եւ</w:t>
      </w:r>
      <w:r w:rsidRPr="00B834A2">
        <w:t xml:space="preserve"> կարող են օգտագործվել միմյանցից անկախ: </w:t>
      </w:r>
      <w:r w:rsidRPr="00B834A2">
        <w:lastRenderedPageBreak/>
        <w:t>Որպես կանոն, այդպիսի փորձարկումների մեկ կամ մի քանի համախմբերում առկա է մասնավոր դեղագրքային հոդվածի Փորձարկումներ բաժնում նշված փորձարկմանը խաչաձ</w:t>
      </w:r>
      <w:r>
        <w:t>եւ</w:t>
      </w:r>
      <w:r w:rsidRPr="00B834A2">
        <w:t xml:space="preserve"> հղում, ինչը կարող է կիրառվել այն անալիտիկի աշխատանքի պարզեցման համար, որը միաժամանակ կատարում է նույնականացում </w:t>
      </w:r>
      <w:r>
        <w:t>եւ</w:t>
      </w:r>
      <w:r w:rsidRPr="00B834A2">
        <w:t xml:space="preserve"> փորձարկում, որոնց հղում է արված: Օրինակ՝ նույնականացման համար փորձարկումների մեկ համախումբը պարունակում է էնանտիոմեր հաճախականությանը խաչաձ</w:t>
      </w:r>
      <w:r>
        <w:t>եւ</w:t>
      </w:r>
      <w:r w:rsidRPr="00B834A2">
        <w:t xml:space="preserve"> հղում, մինչդեռ այլ համախումբ պարունակում է տեսակարար օպտիկական պտույտի որոշումը: Ընդ որում, երկու փորձարկումների նպատակը նույնն է՝ հաստատել համապատասխան էնանտիոմերի առկայությունը:</w:t>
      </w:r>
    </w:p>
    <w:p w14:paraId="494D17CC"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p>
    <w:p w14:paraId="2D96C8F9"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b/>
          <w:sz w:val="24"/>
          <w:szCs w:val="24"/>
        </w:rPr>
        <w:t>ՓՈՐՁԱՐԿՈՒՄՆԵՐ</w:t>
      </w:r>
    </w:p>
    <w:p w14:paraId="0CA8C676"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D03DDF">
        <w:rPr>
          <w:rFonts w:ascii="Sylfaen" w:hAnsi="Sylfaen"/>
          <w:b/>
          <w:sz w:val="24"/>
          <w:szCs w:val="24"/>
        </w:rPr>
        <w:t>Պոլիմորֆիզմ</w:t>
      </w:r>
      <w:r w:rsidRPr="00B834A2">
        <w:rPr>
          <w:rFonts w:ascii="Sylfaen" w:hAnsi="Sylfaen"/>
          <w:sz w:val="24"/>
          <w:szCs w:val="24"/>
        </w:rPr>
        <w:t xml:space="preserve"> </w:t>
      </w:r>
      <w:r w:rsidRPr="00D03DDF">
        <w:rPr>
          <w:rFonts w:ascii="Sylfaen" w:hAnsi="Sylfaen"/>
          <w:i/>
          <w:sz w:val="24"/>
          <w:szCs w:val="24"/>
        </w:rPr>
        <w:t xml:space="preserve">(2.3.4.0): </w:t>
      </w:r>
      <w:r w:rsidRPr="00B834A2">
        <w:rPr>
          <w:rFonts w:ascii="Sylfaen" w:hAnsi="Sylfaen"/>
          <w:sz w:val="24"/>
          <w:szCs w:val="24"/>
        </w:rPr>
        <w:t>Եթե բյուրեղային կամ ամորֆ ձ</w:t>
      </w:r>
      <w:r>
        <w:rPr>
          <w:rFonts w:ascii="Sylfaen" w:hAnsi="Sylfaen"/>
          <w:sz w:val="24"/>
          <w:szCs w:val="24"/>
        </w:rPr>
        <w:t>եւ</w:t>
      </w:r>
      <w:r w:rsidRPr="00B834A2">
        <w:rPr>
          <w:rFonts w:ascii="Sylfaen" w:hAnsi="Sylfaen"/>
          <w:sz w:val="24"/>
          <w:szCs w:val="24"/>
        </w:rPr>
        <w:t>ը սահմանափակումներ է դնում դեղապատրաստուկներում բաղադրամասի օգտագործման վրա, ապա նկարագրվում է կոնկրետ բյուրեղային կամ ամորֆ ձ</w:t>
      </w:r>
      <w:r>
        <w:rPr>
          <w:rFonts w:ascii="Sylfaen" w:hAnsi="Sylfaen"/>
          <w:sz w:val="24"/>
          <w:szCs w:val="24"/>
        </w:rPr>
        <w:t>եւ</w:t>
      </w:r>
      <w:r w:rsidRPr="00B834A2">
        <w:rPr>
          <w:rFonts w:ascii="Sylfaen" w:hAnsi="Sylfaen"/>
          <w:sz w:val="24"/>
          <w:szCs w:val="24"/>
        </w:rPr>
        <w:t>ի բնույթը, դրա մորֆոլոգիան համապատասխան կերպով վերահսկում են, իսկ ձ</w:t>
      </w:r>
      <w:r>
        <w:rPr>
          <w:rFonts w:ascii="Sylfaen" w:hAnsi="Sylfaen"/>
          <w:sz w:val="24"/>
          <w:szCs w:val="24"/>
        </w:rPr>
        <w:t>եւ</w:t>
      </w:r>
      <w:r w:rsidRPr="00B834A2">
        <w:rPr>
          <w:rFonts w:ascii="Sylfaen" w:hAnsi="Sylfaen"/>
          <w:sz w:val="24"/>
          <w:szCs w:val="24"/>
        </w:rPr>
        <w:t xml:space="preserve">ը նշում են փաթեթվածքի մականշվածքում: </w:t>
      </w:r>
    </w:p>
    <w:p w14:paraId="41D253B7" w14:textId="77777777" w:rsidR="00B834A2" w:rsidRPr="002E52D1" w:rsidRDefault="00B834A2" w:rsidP="00B834A2">
      <w:pPr>
        <w:spacing w:after="160" w:line="360" w:lineRule="auto"/>
        <w:ind w:firstLine="567"/>
        <w:jc w:val="both"/>
      </w:pPr>
      <w:r w:rsidRPr="00B834A2">
        <w:rPr>
          <w:b/>
        </w:rPr>
        <w:t xml:space="preserve">Հարակից խառնուկներ: </w:t>
      </w:r>
      <w:r w:rsidRPr="00B834A2">
        <w:t xml:space="preserve">Մասնավոր դեղագրքային հոդվածում այլ ցուցումների կամ հիմնավորման </w:t>
      </w:r>
      <w:r>
        <w:t>եւ</w:t>
      </w:r>
      <w:r w:rsidRPr="00B834A2">
        <w:t xml:space="preserve"> լիազորված մարմնի թույլտվության բացակայության դեպքում ակտիվ դեղագործական բաղադրամասերում հարակից խառնուկները պետք է ենթարկվեն տեղեկացման, նույնականացման (հնարավորության դեպքում) </w:t>
      </w:r>
      <w:r>
        <w:t>եւ</w:t>
      </w:r>
      <w:r w:rsidRPr="00B834A2">
        <w:t xml:space="preserve"> որակավորման՝ քիմիական սինթեզով ստացված պեպտիդների համար՝</w:t>
      </w:r>
      <w:r>
        <w:t xml:space="preserve"> </w:t>
      </w:r>
      <w:r w:rsidRPr="00B834A2">
        <w:t>2.3.18.0-1 աղյուսակին կամ 2.3.18.0-2 աղյուսակին համապատասխան:</w:t>
      </w:r>
    </w:p>
    <w:p w14:paraId="3CE26BD2"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Ուժեղ ազդեցություն ունեցող խառնուկների </w:t>
      </w:r>
      <w:r>
        <w:rPr>
          <w:rFonts w:ascii="Sylfaen" w:hAnsi="Sylfaen"/>
          <w:sz w:val="24"/>
          <w:szCs w:val="24"/>
        </w:rPr>
        <w:t>եւ</w:t>
      </w:r>
      <w:r w:rsidRPr="00B834A2">
        <w:rPr>
          <w:rFonts w:ascii="Sylfaen" w:hAnsi="Sylfaen"/>
          <w:sz w:val="24"/>
          <w:szCs w:val="24"/>
        </w:rPr>
        <w:t xml:space="preserve"> թունավոր կամ անթույլատրելի դեղաբանական ազդեցություն առաջացնելու ունակ խառնուկների համար կարող են սահմանվել հատուկ շեմային արժեքներ:</w:t>
      </w:r>
    </w:p>
    <w:p w14:paraId="554F370C"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lastRenderedPageBreak/>
        <w:t xml:space="preserve">Բժշկական կիրառության համար դեղապատրաստուկներում օգտագործվող ակտիվ դեղագործական բաղադրամասերի որակը </w:t>
      </w:r>
      <w:r>
        <w:rPr>
          <w:rFonts w:ascii="Sylfaen" w:hAnsi="Sylfaen"/>
          <w:sz w:val="24"/>
          <w:szCs w:val="24"/>
        </w:rPr>
        <w:t>եւ</w:t>
      </w:r>
      <w:r w:rsidRPr="00B834A2">
        <w:rPr>
          <w:rFonts w:ascii="Sylfaen" w:hAnsi="Sylfaen"/>
          <w:sz w:val="24"/>
          <w:szCs w:val="24"/>
        </w:rPr>
        <w:t xml:space="preserve"> անվտանգությունը պետք է գնահատել՝ հաշվի առնելով դեղամիջոցներում ԴՆԹ-ռեակտիվ (մուտագեն) խառնուկների գնահատման ու վերահսկման </w:t>
      </w:r>
      <w:r>
        <w:rPr>
          <w:rFonts w:ascii="Sylfaen" w:hAnsi="Sylfaen"/>
          <w:sz w:val="24"/>
          <w:szCs w:val="24"/>
        </w:rPr>
        <w:t>եւ</w:t>
      </w:r>
      <w:r w:rsidRPr="00B834A2">
        <w:rPr>
          <w:rFonts w:ascii="Sylfaen" w:hAnsi="Sylfaen"/>
          <w:sz w:val="24"/>
          <w:szCs w:val="24"/>
        </w:rPr>
        <w:t xml:space="preserve"> փաստաթղթի կիրառման ոլորտով որոշվող դեպքերում պոտենցիալ քաղցկեղածին ռիսկի սահմանների սահմանման մասով Միության իրավունքում ընդգրկվող նորմատիվ ակտերը:</w:t>
      </w:r>
    </w:p>
    <w:p w14:paraId="5AFFA671"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Եթե մասնավոր դեղագրքային հոդվածը չի ապահովում նոր խառնուկի պատշաճ վերահսկումը, պետք է մշակվի </w:t>
      </w:r>
      <w:r>
        <w:rPr>
          <w:rFonts w:ascii="Sylfaen" w:hAnsi="Sylfaen"/>
          <w:sz w:val="24"/>
          <w:szCs w:val="24"/>
        </w:rPr>
        <w:t>եւ</w:t>
      </w:r>
      <w:r w:rsidRPr="00B834A2">
        <w:rPr>
          <w:rFonts w:ascii="Sylfaen" w:hAnsi="Sylfaen"/>
          <w:sz w:val="24"/>
          <w:szCs w:val="24"/>
        </w:rPr>
        <w:t xml:space="preserve"> բաղադրամասի որակի մասնագրում ներառվի համապատասխան փորձարկում: </w:t>
      </w:r>
    </w:p>
    <w:p w14:paraId="1CA12A26" w14:textId="77777777" w:rsidR="00B834A2" w:rsidRPr="002E52D1"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Վերը բերված պահանջները չեն տարածվում կենսաբանական </w:t>
      </w:r>
      <w:r>
        <w:rPr>
          <w:rFonts w:ascii="Sylfaen" w:hAnsi="Sylfaen"/>
          <w:sz w:val="24"/>
          <w:szCs w:val="24"/>
        </w:rPr>
        <w:t>եւ</w:t>
      </w:r>
      <w:r w:rsidRPr="00B834A2">
        <w:rPr>
          <w:rFonts w:ascii="Sylfaen" w:hAnsi="Sylfaen"/>
          <w:sz w:val="24"/>
          <w:szCs w:val="24"/>
        </w:rPr>
        <w:t xml:space="preserve"> կենսատեխնոլոգիական դեղամիջոցների, օլիգոնուկլեոտիդների, ֆերմենտման արտադրանքի </w:t>
      </w:r>
      <w:r>
        <w:rPr>
          <w:rFonts w:ascii="Sylfaen" w:hAnsi="Sylfaen"/>
          <w:sz w:val="24"/>
          <w:szCs w:val="24"/>
        </w:rPr>
        <w:t>եւ</w:t>
      </w:r>
      <w:r w:rsidRPr="00B834A2">
        <w:rPr>
          <w:rFonts w:ascii="Sylfaen" w:hAnsi="Sylfaen"/>
          <w:sz w:val="24"/>
          <w:szCs w:val="24"/>
        </w:rPr>
        <w:t xml:space="preserve"> դրանցից ստացված կիսասինթետիկ արտադրանքի, կենդանական կամ բուսական ծագման հումքի կամ դեղաբուսական միջոցների վրա:</w:t>
      </w:r>
    </w:p>
    <w:p w14:paraId="6DDAB943" w14:textId="77777777" w:rsidR="00F634DB" w:rsidRPr="00903268" w:rsidRDefault="00F634DB" w:rsidP="00D03DDF">
      <w:pPr>
        <w:pStyle w:val="a0"/>
        <w:shd w:val="clear" w:color="auto" w:fill="auto"/>
        <w:spacing w:after="160" w:line="360" w:lineRule="auto"/>
        <w:ind w:firstLine="567"/>
        <w:jc w:val="both"/>
        <w:rPr>
          <w:rFonts w:ascii="Sylfaen" w:hAnsi="Sylfaen"/>
          <w:sz w:val="24"/>
          <w:szCs w:val="24"/>
        </w:rPr>
      </w:pPr>
    </w:p>
    <w:p w14:paraId="7B0227C9" w14:textId="77777777" w:rsidR="00097504" w:rsidRPr="00D03DDF" w:rsidRDefault="00D03DDF" w:rsidP="00D03DDF">
      <w:pPr>
        <w:pStyle w:val="a0"/>
        <w:shd w:val="clear" w:color="auto" w:fill="auto"/>
        <w:spacing w:after="160" w:line="360" w:lineRule="auto"/>
        <w:ind w:firstLine="567"/>
        <w:jc w:val="both"/>
        <w:rPr>
          <w:rFonts w:ascii="Sylfaen" w:hAnsi="Sylfaen"/>
          <w:i/>
          <w:sz w:val="32"/>
          <w:szCs w:val="24"/>
        </w:rPr>
      </w:pPr>
      <w:r w:rsidRPr="00D03DDF">
        <w:rPr>
          <w:rFonts w:ascii="Sylfaen" w:hAnsi="Sylfaen"/>
          <w:sz w:val="24"/>
          <w:szCs w:val="24"/>
        </w:rPr>
        <w:t xml:space="preserve">Աղյուսակ 2.3.18.0-1. </w:t>
      </w:r>
      <w:r w:rsidRPr="00D03DDF">
        <w:rPr>
          <w:rFonts w:ascii="Sylfaen" w:hAnsi="Sylfaen"/>
          <w:i/>
          <w:sz w:val="24"/>
          <w:szCs w:val="24"/>
        </w:rPr>
        <w:t>Ակտիվ դեղագործական բաղադրամասերում հարակից խառնուկների տեղեկացման, նույնականացման եւ որակավորման շեմերը</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2683"/>
        <w:gridCol w:w="1728"/>
        <w:gridCol w:w="1474"/>
        <w:gridCol w:w="1742"/>
        <w:gridCol w:w="1790"/>
      </w:tblGrid>
      <w:tr w:rsidR="00B834A2" w:rsidRPr="00097504" w14:paraId="789E9909" w14:textId="77777777" w:rsidTr="00D03DDF">
        <w:trPr>
          <w:jc w:val="center"/>
        </w:trPr>
        <w:tc>
          <w:tcPr>
            <w:tcW w:w="2683" w:type="dxa"/>
            <w:tcBorders>
              <w:top w:val="single" w:sz="4" w:space="0" w:color="auto"/>
            </w:tcBorders>
            <w:shd w:val="clear" w:color="auto" w:fill="FFFFFF"/>
          </w:tcPr>
          <w:p w14:paraId="1CBD5251"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Բաղադրամասի նշանակությունը</w:t>
            </w:r>
          </w:p>
        </w:tc>
        <w:tc>
          <w:tcPr>
            <w:tcW w:w="1728" w:type="dxa"/>
            <w:tcBorders>
              <w:top w:val="single" w:sz="4" w:space="0" w:color="auto"/>
            </w:tcBorders>
            <w:shd w:val="clear" w:color="auto" w:fill="FFFFFF"/>
          </w:tcPr>
          <w:p w14:paraId="260BB07D"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Առավելագույն օրական դոզա (գ/օր)</w:t>
            </w:r>
          </w:p>
        </w:tc>
        <w:tc>
          <w:tcPr>
            <w:tcW w:w="1474" w:type="dxa"/>
            <w:tcBorders>
              <w:top w:val="single" w:sz="4" w:space="0" w:color="auto"/>
            </w:tcBorders>
            <w:shd w:val="clear" w:color="auto" w:fill="FFFFFF"/>
          </w:tcPr>
          <w:p w14:paraId="297E74B1"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Տեղեկացման շեմը (%)</w:t>
            </w:r>
          </w:p>
        </w:tc>
        <w:tc>
          <w:tcPr>
            <w:tcW w:w="1742" w:type="dxa"/>
            <w:tcBorders>
              <w:top w:val="single" w:sz="4" w:space="0" w:color="auto"/>
            </w:tcBorders>
            <w:shd w:val="clear" w:color="auto" w:fill="FFFFFF"/>
          </w:tcPr>
          <w:p w14:paraId="734F7680"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Նույնականացման շեմը (%)</w:t>
            </w:r>
          </w:p>
        </w:tc>
        <w:tc>
          <w:tcPr>
            <w:tcW w:w="1790" w:type="dxa"/>
            <w:tcBorders>
              <w:top w:val="single" w:sz="4" w:space="0" w:color="auto"/>
            </w:tcBorders>
            <w:shd w:val="clear" w:color="auto" w:fill="FFFFFF"/>
          </w:tcPr>
          <w:p w14:paraId="4A820249"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Որակավորման շեմը (%)</w:t>
            </w:r>
          </w:p>
        </w:tc>
      </w:tr>
      <w:tr w:rsidR="00B834A2" w:rsidRPr="00097504" w14:paraId="190736F9" w14:textId="77777777" w:rsidTr="00D03DDF">
        <w:trPr>
          <w:jc w:val="center"/>
        </w:trPr>
        <w:tc>
          <w:tcPr>
            <w:tcW w:w="2683" w:type="dxa"/>
            <w:tcBorders>
              <w:top w:val="single" w:sz="4" w:space="0" w:color="auto"/>
            </w:tcBorders>
            <w:shd w:val="clear" w:color="auto" w:fill="FFFFFF"/>
          </w:tcPr>
          <w:p w14:paraId="7761EB66"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Բժշկական կիրառման կամ բժշկական եւ անասնաբուժական կիրառման համար</w:t>
            </w:r>
          </w:p>
        </w:tc>
        <w:tc>
          <w:tcPr>
            <w:tcW w:w="1728" w:type="dxa"/>
            <w:tcBorders>
              <w:top w:val="single" w:sz="4" w:space="0" w:color="auto"/>
            </w:tcBorders>
            <w:shd w:val="clear" w:color="auto" w:fill="FFFFFF"/>
          </w:tcPr>
          <w:p w14:paraId="02908F16"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m:oMath>
              <m:r>
                <m:rPr>
                  <m:sty m:val="p"/>
                </m:rPr>
                <w:rPr>
                  <w:rFonts w:ascii="Cambria Math" w:hAnsi="Cambria Math"/>
                  <w:szCs w:val="24"/>
                </w:rPr>
                <m:t>≤</m:t>
              </m:r>
            </m:oMath>
            <w:r w:rsidRPr="00097504">
              <w:rPr>
                <w:rFonts w:ascii="Sylfaen" w:hAnsi="Sylfaen"/>
                <w:szCs w:val="24"/>
              </w:rPr>
              <w:t>2</w:t>
            </w:r>
          </w:p>
        </w:tc>
        <w:tc>
          <w:tcPr>
            <w:tcW w:w="1474" w:type="dxa"/>
            <w:tcBorders>
              <w:top w:val="single" w:sz="4" w:space="0" w:color="auto"/>
            </w:tcBorders>
            <w:shd w:val="clear" w:color="auto" w:fill="FFFFFF"/>
          </w:tcPr>
          <w:p w14:paraId="7ECDE92C"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&gt;0,05</w:t>
            </w:r>
          </w:p>
        </w:tc>
        <w:tc>
          <w:tcPr>
            <w:tcW w:w="1742" w:type="dxa"/>
            <w:tcBorders>
              <w:top w:val="single" w:sz="4" w:space="0" w:color="auto"/>
            </w:tcBorders>
            <w:shd w:val="clear" w:color="auto" w:fill="FFFFFF"/>
          </w:tcPr>
          <w:p w14:paraId="3C77474E"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&gt;0,10 կամ ընդունում &gt;1,0 մգ/օր (կախված նրանից, թե որն է քիչ)</w:t>
            </w:r>
          </w:p>
        </w:tc>
        <w:tc>
          <w:tcPr>
            <w:tcW w:w="1790" w:type="dxa"/>
            <w:tcBorders>
              <w:top w:val="single" w:sz="4" w:space="0" w:color="auto"/>
            </w:tcBorders>
            <w:shd w:val="clear" w:color="auto" w:fill="FFFFFF"/>
          </w:tcPr>
          <w:p w14:paraId="46F751BA"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&gt;0,15 կամ</w:t>
            </w:r>
            <w:r w:rsidR="00696072">
              <w:rPr>
                <w:rFonts w:ascii="Sylfaen" w:hAnsi="Sylfaen"/>
                <w:szCs w:val="24"/>
              </w:rPr>
              <w:t xml:space="preserve"> </w:t>
            </w:r>
            <w:r w:rsidRPr="00097504">
              <w:rPr>
                <w:rFonts w:ascii="Sylfaen" w:hAnsi="Sylfaen"/>
                <w:szCs w:val="24"/>
              </w:rPr>
              <w:t xml:space="preserve"> ընդունում &gt;1,0 մգ/օր (կախված նրանից, թե որն է քիչ)</w:t>
            </w:r>
          </w:p>
        </w:tc>
      </w:tr>
      <w:tr w:rsidR="00B834A2" w:rsidRPr="00097504" w14:paraId="4E31FAA3" w14:textId="77777777" w:rsidTr="00D03DDF">
        <w:trPr>
          <w:jc w:val="center"/>
        </w:trPr>
        <w:tc>
          <w:tcPr>
            <w:tcW w:w="2683" w:type="dxa"/>
            <w:shd w:val="clear" w:color="auto" w:fill="FFFFFF"/>
          </w:tcPr>
          <w:p w14:paraId="44D49F3C"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Բժշկական կիրառման կամ բժշկական եւ անասնաբուժական կիրառման համար</w:t>
            </w:r>
          </w:p>
        </w:tc>
        <w:tc>
          <w:tcPr>
            <w:tcW w:w="1728" w:type="dxa"/>
            <w:shd w:val="clear" w:color="auto" w:fill="FFFFFF"/>
          </w:tcPr>
          <w:p w14:paraId="2BEDA427"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&gt;2</w:t>
            </w:r>
          </w:p>
        </w:tc>
        <w:tc>
          <w:tcPr>
            <w:tcW w:w="1474" w:type="dxa"/>
            <w:shd w:val="clear" w:color="auto" w:fill="FFFFFF"/>
          </w:tcPr>
          <w:p w14:paraId="56BF4076"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&gt;0,03</w:t>
            </w:r>
          </w:p>
        </w:tc>
        <w:tc>
          <w:tcPr>
            <w:tcW w:w="1742" w:type="dxa"/>
            <w:shd w:val="clear" w:color="auto" w:fill="FFFFFF"/>
          </w:tcPr>
          <w:p w14:paraId="0218D5F9"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&gt;0,05</w:t>
            </w:r>
          </w:p>
        </w:tc>
        <w:tc>
          <w:tcPr>
            <w:tcW w:w="1790" w:type="dxa"/>
            <w:shd w:val="clear" w:color="auto" w:fill="FFFFFF"/>
          </w:tcPr>
          <w:p w14:paraId="0DD5628A"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&gt;0,05</w:t>
            </w:r>
          </w:p>
        </w:tc>
      </w:tr>
      <w:tr w:rsidR="00B834A2" w:rsidRPr="00097504" w14:paraId="091024F5" w14:textId="77777777" w:rsidTr="00D03DDF">
        <w:trPr>
          <w:jc w:val="center"/>
        </w:trPr>
        <w:tc>
          <w:tcPr>
            <w:tcW w:w="2683" w:type="dxa"/>
            <w:tcBorders>
              <w:bottom w:val="single" w:sz="4" w:space="0" w:color="auto"/>
            </w:tcBorders>
            <w:shd w:val="clear" w:color="auto" w:fill="FFFFFF"/>
          </w:tcPr>
          <w:p w14:paraId="6E691A07"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Միայն անասնաբուժական կիրառման համար</w:t>
            </w:r>
          </w:p>
        </w:tc>
        <w:tc>
          <w:tcPr>
            <w:tcW w:w="1728" w:type="dxa"/>
            <w:tcBorders>
              <w:bottom w:val="single" w:sz="4" w:space="0" w:color="auto"/>
            </w:tcBorders>
            <w:shd w:val="clear" w:color="auto" w:fill="FFFFFF"/>
          </w:tcPr>
          <w:p w14:paraId="51185E13"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Կիրառելի չէ</w:t>
            </w:r>
          </w:p>
        </w:tc>
        <w:tc>
          <w:tcPr>
            <w:tcW w:w="1474" w:type="dxa"/>
            <w:tcBorders>
              <w:bottom w:val="single" w:sz="4" w:space="0" w:color="auto"/>
            </w:tcBorders>
            <w:shd w:val="clear" w:color="auto" w:fill="FFFFFF"/>
          </w:tcPr>
          <w:p w14:paraId="2EDDEF85"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&gt;0,10</w:t>
            </w:r>
          </w:p>
        </w:tc>
        <w:tc>
          <w:tcPr>
            <w:tcW w:w="1742" w:type="dxa"/>
            <w:tcBorders>
              <w:bottom w:val="single" w:sz="4" w:space="0" w:color="auto"/>
            </w:tcBorders>
            <w:shd w:val="clear" w:color="auto" w:fill="FFFFFF"/>
          </w:tcPr>
          <w:p w14:paraId="133A9B62"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&gt;0,20</w:t>
            </w:r>
          </w:p>
        </w:tc>
        <w:tc>
          <w:tcPr>
            <w:tcW w:w="1790" w:type="dxa"/>
            <w:tcBorders>
              <w:bottom w:val="single" w:sz="4" w:space="0" w:color="auto"/>
            </w:tcBorders>
            <w:shd w:val="clear" w:color="auto" w:fill="FFFFFF"/>
          </w:tcPr>
          <w:p w14:paraId="4A67BED1" w14:textId="77777777" w:rsidR="00B834A2" w:rsidRPr="00097504" w:rsidRDefault="00B834A2" w:rsidP="00097504">
            <w:pPr>
              <w:pStyle w:val="a0"/>
              <w:shd w:val="clear" w:color="auto" w:fill="auto"/>
              <w:spacing w:after="120" w:line="240" w:lineRule="auto"/>
              <w:ind w:firstLine="0"/>
              <w:jc w:val="center"/>
              <w:rPr>
                <w:rFonts w:ascii="Sylfaen" w:hAnsi="Sylfaen"/>
                <w:szCs w:val="24"/>
              </w:rPr>
            </w:pPr>
            <w:r w:rsidRPr="00097504">
              <w:rPr>
                <w:rFonts w:ascii="Sylfaen" w:hAnsi="Sylfaen"/>
                <w:szCs w:val="24"/>
              </w:rPr>
              <w:t>&gt;0,50</w:t>
            </w:r>
          </w:p>
        </w:tc>
      </w:tr>
    </w:tbl>
    <w:p w14:paraId="4B6673FD" w14:textId="77777777" w:rsidR="00097504" w:rsidRDefault="00097504" w:rsidP="00B834A2">
      <w:pPr>
        <w:pStyle w:val="a0"/>
        <w:shd w:val="clear" w:color="auto" w:fill="auto"/>
        <w:spacing w:after="160" w:line="360" w:lineRule="auto"/>
        <w:ind w:firstLine="567"/>
        <w:jc w:val="both"/>
        <w:rPr>
          <w:rFonts w:ascii="Sylfaen" w:hAnsi="Sylfaen"/>
          <w:sz w:val="24"/>
          <w:szCs w:val="24"/>
          <w:lang w:val="en-US"/>
        </w:rPr>
      </w:pPr>
    </w:p>
    <w:p w14:paraId="347C9876" w14:textId="77777777" w:rsidR="00D03DDF" w:rsidRPr="00D35F34" w:rsidRDefault="00D03DDF" w:rsidP="00D03DDF">
      <w:pPr>
        <w:pStyle w:val="a0"/>
        <w:shd w:val="clear" w:color="auto" w:fill="auto"/>
        <w:spacing w:after="160" w:line="360" w:lineRule="auto"/>
        <w:ind w:firstLine="567"/>
        <w:jc w:val="both"/>
        <w:rPr>
          <w:rFonts w:ascii="Sylfaen" w:hAnsi="Sylfaen"/>
          <w:i/>
          <w:sz w:val="32"/>
          <w:szCs w:val="24"/>
        </w:rPr>
      </w:pPr>
      <w:r w:rsidRPr="00D03DDF">
        <w:rPr>
          <w:rFonts w:ascii="Sylfaen" w:hAnsi="Sylfaen"/>
          <w:sz w:val="24"/>
          <w:szCs w:val="24"/>
        </w:rPr>
        <w:lastRenderedPageBreak/>
        <w:t xml:space="preserve">Աղյուսակ 2.3.18.0-2. </w:t>
      </w:r>
      <w:r w:rsidRPr="00D03DDF">
        <w:rPr>
          <w:rFonts w:ascii="Sylfaen" w:hAnsi="Sylfaen"/>
          <w:i/>
          <w:sz w:val="24"/>
          <w:szCs w:val="24"/>
        </w:rPr>
        <w:t>Քիմիական սինթեզով ստացված պեպտիդներում հարակից խառնուկների տեղեկացման, նույնականացման եւ որակավորման շեմերը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3173"/>
        <w:gridCol w:w="3115"/>
        <w:gridCol w:w="3130"/>
      </w:tblGrid>
      <w:tr w:rsidR="00B834A2" w:rsidRPr="00097504" w14:paraId="0ACEC9FA" w14:textId="77777777" w:rsidTr="00097504">
        <w:trPr>
          <w:jc w:val="center"/>
        </w:trPr>
        <w:tc>
          <w:tcPr>
            <w:tcW w:w="3173" w:type="dxa"/>
            <w:tcBorders>
              <w:top w:val="single" w:sz="4" w:space="0" w:color="auto"/>
            </w:tcBorders>
            <w:shd w:val="clear" w:color="auto" w:fill="FFFFFF"/>
            <w:vAlign w:val="bottom"/>
          </w:tcPr>
          <w:p w14:paraId="2AF1C1C2"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Տեղեկացման շեմը (%)</w:t>
            </w:r>
          </w:p>
        </w:tc>
        <w:tc>
          <w:tcPr>
            <w:tcW w:w="3115" w:type="dxa"/>
            <w:tcBorders>
              <w:top w:val="single" w:sz="4" w:space="0" w:color="auto"/>
            </w:tcBorders>
            <w:shd w:val="clear" w:color="auto" w:fill="FFFFFF"/>
            <w:vAlign w:val="bottom"/>
          </w:tcPr>
          <w:p w14:paraId="17A2EF9E"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Նույնականացման շեմը (%)</w:t>
            </w:r>
          </w:p>
        </w:tc>
        <w:tc>
          <w:tcPr>
            <w:tcW w:w="3130" w:type="dxa"/>
            <w:tcBorders>
              <w:top w:val="single" w:sz="4" w:space="0" w:color="auto"/>
            </w:tcBorders>
            <w:shd w:val="clear" w:color="auto" w:fill="FFFFFF"/>
            <w:vAlign w:val="bottom"/>
          </w:tcPr>
          <w:p w14:paraId="60CF4674"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Որակավորման շեմը (%)</w:t>
            </w:r>
          </w:p>
        </w:tc>
      </w:tr>
      <w:tr w:rsidR="00B834A2" w:rsidRPr="00097504" w14:paraId="6C984C2D" w14:textId="77777777" w:rsidTr="00097504">
        <w:trPr>
          <w:jc w:val="center"/>
        </w:trPr>
        <w:tc>
          <w:tcPr>
            <w:tcW w:w="3173" w:type="dxa"/>
            <w:tcBorders>
              <w:top w:val="single" w:sz="4" w:space="0" w:color="auto"/>
              <w:bottom w:val="single" w:sz="4" w:space="0" w:color="auto"/>
            </w:tcBorders>
            <w:shd w:val="clear" w:color="auto" w:fill="FFFFFF"/>
            <w:vAlign w:val="center"/>
          </w:tcPr>
          <w:p w14:paraId="3A273CA2"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&gt;0,1</w:t>
            </w:r>
          </w:p>
        </w:tc>
        <w:tc>
          <w:tcPr>
            <w:tcW w:w="3115" w:type="dxa"/>
            <w:tcBorders>
              <w:top w:val="single" w:sz="4" w:space="0" w:color="auto"/>
              <w:bottom w:val="single" w:sz="4" w:space="0" w:color="auto"/>
            </w:tcBorders>
            <w:shd w:val="clear" w:color="auto" w:fill="FFFFFF"/>
            <w:vAlign w:val="center"/>
          </w:tcPr>
          <w:p w14:paraId="0E4DF144"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&gt;0,5</w:t>
            </w:r>
          </w:p>
        </w:tc>
        <w:tc>
          <w:tcPr>
            <w:tcW w:w="3130" w:type="dxa"/>
            <w:tcBorders>
              <w:top w:val="single" w:sz="4" w:space="0" w:color="auto"/>
              <w:bottom w:val="single" w:sz="4" w:space="0" w:color="auto"/>
            </w:tcBorders>
            <w:shd w:val="clear" w:color="auto" w:fill="FFFFFF"/>
            <w:vAlign w:val="center"/>
          </w:tcPr>
          <w:p w14:paraId="5F2D6C15" w14:textId="77777777" w:rsidR="00B834A2" w:rsidRPr="00097504" w:rsidRDefault="00B834A2" w:rsidP="00097504">
            <w:pPr>
              <w:pStyle w:val="a0"/>
              <w:shd w:val="clear" w:color="auto" w:fill="auto"/>
              <w:spacing w:after="160" w:line="360" w:lineRule="auto"/>
              <w:ind w:firstLine="0"/>
              <w:jc w:val="center"/>
              <w:rPr>
                <w:rFonts w:ascii="Sylfaen" w:hAnsi="Sylfaen"/>
                <w:szCs w:val="24"/>
              </w:rPr>
            </w:pPr>
            <w:r w:rsidRPr="00097504">
              <w:rPr>
                <w:rFonts w:ascii="Sylfaen" w:hAnsi="Sylfaen"/>
                <w:szCs w:val="24"/>
              </w:rPr>
              <w:t>&gt;1,0</w:t>
            </w:r>
          </w:p>
        </w:tc>
      </w:tr>
    </w:tbl>
    <w:p w14:paraId="29AF3F6D"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p>
    <w:p w14:paraId="432113C9" w14:textId="77777777" w:rsidR="00B834A2" w:rsidRPr="00B834A2" w:rsidRDefault="00B834A2" w:rsidP="00B834A2">
      <w:pPr>
        <w:spacing w:after="160" w:line="360" w:lineRule="auto"/>
        <w:ind w:firstLine="567"/>
        <w:jc w:val="both"/>
      </w:pPr>
      <w:r w:rsidRPr="00B834A2">
        <w:rPr>
          <w:b/>
        </w:rPr>
        <w:t xml:space="preserve">Տարրերի խառնուկներ: </w:t>
      </w:r>
      <w:r w:rsidRPr="00B834A2">
        <w:t xml:space="preserve">Տարրերի խառնուկների գնահատման նկատմամբ մոտեցումների էությունը շարադրված է </w:t>
      </w:r>
      <w:r w:rsidRPr="00B834A2">
        <w:rPr>
          <w:i/>
        </w:rPr>
        <w:t>2.3.10.0.</w:t>
      </w:r>
      <w:r w:rsidRPr="00B834A2">
        <w:t xml:space="preserve"> </w:t>
      </w:r>
      <w:r w:rsidRPr="00B834A2">
        <w:rPr>
          <w:i/>
        </w:rPr>
        <w:t>Տարրերի խառնուկներ</w:t>
      </w:r>
      <w:r w:rsidRPr="00B834A2">
        <w:t xml:space="preserve"> ընդհանուր դեղագրքային հոդվածում: Եվրասիական տնտեսական հանձնաժողովի «Դեղամիջոցներում խառնուկների ուսումնասիրության մասով ձեռնարկ» հանձնարարականում բերված՝ տարրերի խառնուկների թույլատրելի օրական ներգործության արժեքները կիրառվում են նա</w:t>
      </w:r>
      <w:r>
        <w:t>եւ</w:t>
      </w:r>
      <w:r w:rsidRPr="00B834A2">
        <w:t xml:space="preserve"> դեղապատրաստուկների նկատմամբ: Այդ առնչությամբ դեղագործական կիրառման համար բաղադրամասի մասով մասնավոր դեղագրքային հոդվածները այլ ցուցումների բացակայության դեպքում չեն ներառում տարրերի խառնուկների համար մասնագրեր:</w:t>
      </w:r>
    </w:p>
    <w:p w14:paraId="6700E208"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 xml:space="preserve">Մնացորդային օրգանական լուծիչներ: </w:t>
      </w:r>
      <w:r w:rsidRPr="00B834A2">
        <w:rPr>
          <w:rFonts w:ascii="Sylfaen" w:hAnsi="Sylfaen"/>
          <w:sz w:val="24"/>
          <w:szCs w:val="24"/>
        </w:rPr>
        <w:t>Մնացորդային օրգանական լուծիչների պարունակությունը սահմանափակում են 2.</w:t>
      </w:r>
      <w:r w:rsidRPr="00B834A2">
        <w:rPr>
          <w:rFonts w:ascii="Sylfaen" w:hAnsi="Sylfaen"/>
          <w:i/>
          <w:sz w:val="24"/>
          <w:szCs w:val="24"/>
        </w:rPr>
        <w:t>3.2.0</w:t>
      </w:r>
      <w:r w:rsidRPr="00B834A2">
        <w:rPr>
          <w:rFonts w:ascii="Sylfaen" w:hAnsi="Sylfaen"/>
          <w:sz w:val="24"/>
          <w:szCs w:val="24"/>
        </w:rPr>
        <w:t xml:space="preserve"> Մնացորդային օրգանական լուծիչներ ընդհանուր դեղագրքային հոդվածում շարադրված պահանջներին համապատասխան՝</w:t>
      </w:r>
      <w:r>
        <w:rPr>
          <w:rFonts w:ascii="Sylfaen" w:hAnsi="Sylfaen"/>
          <w:i/>
          <w:sz w:val="24"/>
          <w:szCs w:val="24"/>
        </w:rPr>
        <w:t xml:space="preserve"> </w:t>
      </w:r>
      <w:r w:rsidRPr="00B834A2">
        <w:rPr>
          <w:rFonts w:ascii="Sylfaen" w:hAnsi="Sylfaen"/>
          <w:sz w:val="24"/>
          <w:szCs w:val="24"/>
        </w:rPr>
        <w:t xml:space="preserve">օգտագործելով </w:t>
      </w:r>
      <w:r w:rsidRPr="00B834A2">
        <w:rPr>
          <w:rFonts w:ascii="Sylfaen" w:hAnsi="Sylfaen"/>
          <w:i/>
          <w:sz w:val="24"/>
          <w:szCs w:val="24"/>
        </w:rPr>
        <w:t>2.1.4.19.</w:t>
      </w:r>
      <w:r w:rsidRPr="00B834A2">
        <w:rPr>
          <w:rFonts w:ascii="Sylfaen" w:hAnsi="Sylfaen"/>
          <w:sz w:val="24"/>
          <w:szCs w:val="24"/>
        </w:rPr>
        <w:t xml:space="preserve"> Մնացորդային լուծիչների նույնականացում </w:t>
      </w:r>
      <w:r>
        <w:rPr>
          <w:rFonts w:ascii="Sylfaen" w:hAnsi="Sylfaen"/>
          <w:sz w:val="24"/>
          <w:szCs w:val="24"/>
        </w:rPr>
        <w:t>եւ</w:t>
      </w:r>
      <w:r w:rsidRPr="00B834A2">
        <w:rPr>
          <w:rFonts w:ascii="Sylfaen" w:hAnsi="Sylfaen"/>
          <w:sz w:val="24"/>
          <w:szCs w:val="24"/>
        </w:rPr>
        <w:t xml:space="preserve"> վերահսկում ընդհանուր դեղագրքային հոդվածում նկարագրված մեթոդը կամ այլ համապատասխան մեթոդ: Եթե անցկացնում են մնացորդային լուծիչների քանակական որոշում </w:t>
      </w:r>
      <w:r>
        <w:rPr>
          <w:rFonts w:ascii="Sylfaen" w:hAnsi="Sylfaen"/>
          <w:sz w:val="24"/>
          <w:szCs w:val="24"/>
        </w:rPr>
        <w:t>եւ</w:t>
      </w:r>
      <w:r w:rsidRPr="00B834A2">
        <w:rPr>
          <w:rFonts w:ascii="Sylfaen" w:hAnsi="Sylfaen"/>
          <w:sz w:val="24"/>
          <w:szCs w:val="24"/>
        </w:rPr>
        <w:t xml:space="preserve"> չեն անցկացնում չորացման դեպքում զանգվածի կորստի մասով փորձարկումներ, ապա մնացորդային լուծիչների պարունակությունը հաշվի են առնում նյութի քանակական պարունակության, օպտիկական պտույտի </w:t>
      </w:r>
      <w:r>
        <w:rPr>
          <w:rFonts w:ascii="Sylfaen" w:hAnsi="Sylfaen"/>
          <w:sz w:val="24"/>
          <w:szCs w:val="24"/>
        </w:rPr>
        <w:t>եւ</w:t>
      </w:r>
      <w:r w:rsidRPr="00B834A2">
        <w:rPr>
          <w:rFonts w:ascii="Sylfaen" w:hAnsi="Sylfaen"/>
          <w:sz w:val="24"/>
          <w:szCs w:val="24"/>
        </w:rPr>
        <w:t xml:space="preserve"> կլանման տեսակարար ցուցանիշի հաշվարկներում:</w:t>
      </w:r>
    </w:p>
    <w:p w14:paraId="27EC28D8" w14:textId="77777777" w:rsidR="001B3D08" w:rsidRDefault="001B3D08">
      <w:pPr>
        <w:rPr>
          <w:rFonts w:eastAsia="Times New Roman" w:cs="Times New Roman"/>
          <w:b/>
          <w:color w:val="auto"/>
        </w:rPr>
      </w:pPr>
      <w:r>
        <w:rPr>
          <w:b/>
        </w:rPr>
        <w:br w:type="page"/>
      </w:r>
    </w:p>
    <w:p w14:paraId="29E7BB70"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b/>
          <w:sz w:val="24"/>
          <w:szCs w:val="24"/>
        </w:rPr>
        <w:lastRenderedPageBreak/>
        <w:t xml:space="preserve">Մանրէաբանական մաքրություն: </w:t>
      </w:r>
      <w:r w:rsidRPr="00B834A2">
        <w:rPr>
          <w:rFonts w:ascii="Sylfaen" w:hAnsi="Sylfaen"/>
          <w:sz w:val="24"/>
          <w:szCs w:val="24"/>
        </w:rPr>
        <w:t>Անհրաժեշտության դեպքում մանրէաբանական մաքրության համար ընդունելիության չափորոշիչները բերված</w:t>
      </w:r>
      <w:r w:rsidR="00D03DDF" w:rsidRPr="00D03DDF">
        <w:rPr>
          <w:rFonts w:ascii="Sylfaen" w:hAnsi="Sylfaen"/>
          <w:sz w:val="24"/>
          <w:szCs w:val="24"/>
        </w:rPr>
        <w:t> </w:t>
      </w:r>
      <w:r w:rsidRPr="00B834A2">
        <w:rPr>
          <w:rFonts w:ascii="Sylfaen" w:hAnsi="Sylfaen"/>
          <w:sz w:val="24"/>
          <w:szCs w:val="24"/>
        </w:rPr>
        <w:t xml:space="preserve">են մասնավոր դեղագրքային հոդվածներում: </w:t>
      </w:r>
    </w:p>
    <w:p w14:paraId="3A0E90C7" w14:textId="77777777" w:rsidR="00B834A2" w:rsidRPr="00B834A2" w:rsidRDefault="00B834A2" w:rsidP="001B3D08">
      <w:pPr>
        <w:pStyle w:val="a0"/>
        <w:shd w:val="clear" w:color="auto" w:fill="auto"/>
        <w:spacing w:after="160" w:line="346" w:lineRule="auto"/>
        <w:ind w:firstLine="567"/>
        <w:jc w:val="both"/>
        <w:rPr>
          <w:rFonts w:ascii="Sylfaen" w:hAnsi="Sylfaen" w:cs="Sylfaen"/>
          <w:sz w:val="24"/>
          <w:szCs w:val="24"/>
        </w:rPr>
      </w:pPr>
      <w:r w:rsidRPr="00B834A2">
        <w:rPr>
          <w:rFonts w:ascii="Sylfaen" w:hAnsi="Sylfaen"/>
          <w:sz w:val="24"/>
          <w:szCs w:val="24"/>
        </w:rPr>
        <w:t>Աղյուսակ 2.3.1.2-2</w:t>
      </w:r>
      <w:r w:rsidRPr="00B834A2">
        <w:rPr>
          <w:rFonts w:ascii="MS Mincho" w:eastAsia="MS Mincho" w:hAnsi="MS Mincho" w:cs="MS Mincho" w:hint="eastAsia"/>
          <w:sz w:val="24"/>
          <w:szCs w:val="24"/>
        </w:rPr>
        <w:t>․</w:t>
      </w:r>
      <w:r w:rsidRPr="00B834A2">
        <w:rPr>
          <w:rFonts w:ascii="Sylfaen" w:hAnsi="Sylfaen"/>
          <w:sz w:val="24"/>
          <w:szCs w:val="24"/>
        </w:rPr>
        <w:t xml:space="preserve"> Դեղապատրաստուկների, դեղագործական բաղադրամասերի </w:t>
      </w:r>
      <w:r>
        <w:rPr>
          <w:rFonts w:ascii="Sylfaen" w:hAnsi="Sylfaen"/>
          <w:sz w:val="24"/>
          <w:szCs w:val="24"/>
        </w:rPr>
        <w:t>եւ</w:t>
      </w:r>
      <w:r w:rsidRPr="00B834A2">
        <w:rPr>
          <w:rFonts w:ascii="Sylfaen" w:hAnsi="Sylfaen"/>
          <w:sz w:val="24"/>
          <w:szCs w:val="24"/>
        </w:rPr>
        <w:t xml:space="preserve"> դրանց արտադրության համար նախատեսված օժանդակ նյութերի մանրէաբանական մաքրությանը</w:t>
      </w:r>
      <w:r w:rsidRPr="00B834A2">
        <w:rPr>
          <w:rFonts w:ascii="Sylfaen" w:hAnsi="Sylfaen"/>
          <w:i/>
          <w:sz w:val="24"/>
          <w:szCs w:val="24"/>
        </w:rPr>
        <w:t xml:space="preserve"> </w:t>
      </w:r>
      <w:r w:rsidRPr="00B834A2">
        <w:rPr>
          <w:rFonts w:ascii="Sylfaen" w:hAnsi="Sylfaen"/>
          <w:sz w:val="24"/>
          <w:szCs w:val="24"/>
        </w:rPr>
        <w:t xml:space="preserve">ներկայացվող պահանջներ ընդհանուր դեղագրքային հոդվածում ներկայացված՝ Ըստ մանրէաբանական ցուցանիշների դեղապատրաստուկների արտադրության համար դեղագործական բաղադրամասերի </w:t>
      </w:r>
      <w:r>
        <w:rPr>
          <w:rFonts w:ascii="Sylfaen" w:hAnsi="Sylfaen"/>
          <w:sz w:val="24"/>
          <w:szCs w:val="24"/>
        </w:rPr>
        <w:t>եւ</w:t>
      </w:r>
      <w:r w:rsidRPr="00B834A2">
        <w:rPr>
          <w:rFonts w:ascii="Sylfaen" w:hAnsi="Sylfaen"/>
          <w:sz w:val="24"/>
          <w:szCs w:val="24"/>
        </w:rPr>
        <w:t xml:space="preserve"> օժանդակ նյութերի որակի ընդունելիության չափորոշիչները պարունակում են մանրէաբանական մաքրության մասով վերահսկվող բոլոր բաղադրամասերի համար պիտանի առաջարկությունները: Պայմանավորված բաղադրամասի բնույթով </w:t>
      </w:r>
      <w:r>
        <w:rPr>
          <w:rFonts w:ascii="Sylfaen" w:hAnsi="Sylfaen"/>
          <w:sz w:val="24"/>
          <w:szCs w:val="24"/>
        </w:rPr>
        <w:t>եւ</w:t>
      </w:r>
      <w:r w:rsidRPr="00B834A2">
        <w:rPr>
          <w:rFonts w:ascii="Sylfaen" w:hAnsi="Sylfaen"/>
          <w:sz w:val="24"/>
          <w:szCs w:val="24"/>
        </w:rPr>
        <w:t xml:space="preserve"> ենթադրվող նշանակությամբ՝ կարող է հիմնավորված լինել ընդունելիության տարբեր չափորոշիչների օգտագործումը:</w:t>
      </w:r>
    </w:p>
    <w:p w14:paraId="5BD4FB02" w14:textId="77777777" w:rsidR="00B834A2" w:rsidRPr="00B834A2" w:rsidRDefault="00B834A2" w:rsidP="001B3D08">
      <w:pPr>
        <w:spacing w:after="160" w:line="346" w:lineRule="auto"/>
        <w:ind w:firstLine="567"/>
        <w:jc w:val="both"/>
      </w:pPr>
      <w:r w:rsidRPr="00D03DDF">
        <w:rPr>
          <w:b/>
        </w:rPr>
        <w:t>Մանրէազերծություն</w:t>
      </w:r>
      <w:r>
        <w:t xml:space="preserve"> </w:t>
      </w:r>
      <w:r w:rsidRPr="00D03DDF">
        <w:rPr>
          <w:i/>
        </w:rPr>
        <w:t>(2.</w:t>
      </w:r>
      <w:r w:rsidRPr="00B834A2">
        <w:rPr>
          <w:i/>
        </w:rPr>
        <w:t>1.6.1):</w:t>
      </w:r>
      <w:r w:rsidRPr="00B834A2">
        <w:t xml:space="preserve"> Եթե դեղագործական կիրառման համար նախատեսված բաղադրամասը նախատեսված է մանրէազերծ դեղաձ</w:t>
      </w:r>
      <w:r>
        <w:t>եւ</w:t>
      </w:r>
      <w:r w:rsidRPr="00B834A2">
        <w:t>երի արտադրության համար՝ առանց հետագա մանրէազերծման անցկացման, կամ թողարկվում է «Մանրէազերծ է» կատեգորիայի ներքո, այն պետք է անցնի մանրէազերծության մասով փորձարկումը:</w:t>
      </w:r>
    </w:p>
    <w:p w14:paraId="14AE57F7" w14:textId="77777777" w:rsidR="00B834A2" w:rsidRPr="00B834A2" w:rsidRDefault="00B834A2" w:rsidP="001B3D08">
      <w:pPr>
        <w:spacing w:after="160" w:line="346" w:lineRule="auto"/>
        <w:ind w:firstLine="567"/>
        <w:jc w:val="both"/>
      </w:pPr>
      <w:r w:rsidRPr="00D03DDF">
        <w:rPr>
          <w:b/>
        </w:rPr>
        <w:t>Բակտերիալ էնդոտոքսիններ</w:t>
      </w:r>
      <w:r w:rsidRPr="00B834A2">
        <w:t xml:space="preserve"> </w:t>
      </w:r>
      <w:r w:rsidRPr="00B834A2">
        <w:rPr>
          <w:i/>
        </w:rPr>
        <w:t xml:space="preserve">(2.1.6.8): </w:t>
      </w:r>
      <w:r w:rsidRPr="00B834A2">
        <w:t xml:space="preserve">Եթե դեղագործական կիրառման համար նախատեսված բաղադրամասը թողարկվում է «Բակտերիալ էնդոտոքսիններ նորմայի սահմաններում» կատեգորիայի ներքո կամ նախատեսված է պարենտերալ դեղապատրաստուկների կամ ցողման համար դեղապատրաստուկների արտադրության համար՝ առանց բակտերիալ էնդոտոքսինների հետագա հեռացման, այն պետք է անցնի բակտերիալ էնդոտոքսինների մասով փորձարկում: Բակտերիալ էնդոտոքսինների սահմանային պարունակությունը, եթե դա նշված չէ մասնավոր դեղագրքային հոդվածում, որոշում են </w:t>
      </w:r>
      <w:r w:rsidRPr="00B834A2">
        <w:rPr>
          <w:i/>
        </w:rPr>
        <w:t>2.1.6.8</w:t>
      </w:r>
      <w:r w:rsidRPr="00B834A2">
        <w:t xml:space="preserve"> </w:t>
      </w:r>
      <w:r w:rsidRPr="00B834A2">
        <w:rPr>
          <w:i/>
        </w:rPr>
        <w:t>Բակտերիալ էնդոտոքսիններ</w:t>
      </w:r>
      <w:r w:rsidRPr="00B834A2">
        <w:t xml:space="preserve"> ընդհանուր դեղագրքային հոդվածում շարադրված առաջարկություններին համապատասխան:</w:t>
      </w:r>
      <w:r w:rsidRPr="00B834A2">
        <w:rPr>
          <w:i/>
        </w:rPr>
        <w:t xml:space="preserve"> </w:t>
      </w:r>
    </w:p>
    <w:p w14:paraId="7F71693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D03DDF">
        <w:rPr>
          <w:rFonts w:ascii="Sylfaen" w:eastAsia="Microsoft Sans Serif" w:hAnsi="Sylfaen" w:cs="Microsoft Sans Serif"/>
          <w:b/>
          <w:color w:val="000000"/>
          <w:sz w:val="24"/>
          <w:szCs w:val="24"/>
        </w:rPr>
        <w:lastRenderedPageBreak/>
        <w:t xml:space="preserve">Հրածնություն </w:t>
      </w:r>
      <w:r w:rsidRPr="00B834A2">
        <w:rPr>
          <w:rFonts w:ascii="Sylfaen" w:hAnsi="Sylfaen"/>
          <w:i/>
          <w:sz w:val="24"/>
          <w:szCs w:val="24"/>
        </w:rPr>
        <w:t>(2.1.6.2):</w:t>
      </w:r>
      <w:r w:rsidRPr="00B834A2">
        <w:rPr>
          <w:rFonts w:ascii="Sylfaen" w:hAnsi="Sylfaen"/>
          <w:sz w:val="24"/>
          <w:szCs w:val="24"/>
        </w:rPr>
        <w:t xml:space="preserve"> Եթե հիմնավորված է հրածնության մասով, այլ ոչ թե բակտերիալ էնդոտոքսինների մասով փորձարկման անցկացման նպատակահարմարությունը, </w:t>
      </w:r>
      <w:r>
        <w:rPr>
          <w:rFonts w:ascii="Sylfaen" w:hAnsi="Sylfaen"/>
          <w:sz w:val="24"/>
          <w:szCs w:val="24"/>
        </w:rPr>
        <w:t>եւ</w:t>
      </w:r>
      <w:r w:rsidRPr="00B834A2">
        <w:rPr>
          <w:rFonts w:ascii="Sylfaen" w:hAnsi="Sylfaen"/>
          <w:sz w:val="24"/>
          <w:szCs w:val="24"/>
        </w:rPr>
        <w:t xml:space="preserve"> եթե դեղագործական կիրառման համար նախատեսված բաղադրամասը թողարկվում է «Հակահրածին է» կատեգորիայի ներքո, ապա այն պետք է անցնի հրածնության մասով փորձարկում: Սահմանային պարունակությունը </w:t>
      </w:r>
      <w:r>
        <w:rPr>
          <w:rFonts w:ascii="Sylfaen" w:hAnsi="Sylfaen"/>
          <w:sz w:val="24"/>
          <w:szCs w:val="24"/>
        </w:rPr>
        <w:t>եւ</w:t>
      </w:r>
      <w:r w:rsidRPr="00B834A2">
        <w:rPr>
          <w:rFonts w:ascii="Sylfaen" w:hAnsi="Sylfaen"/>
          <w:sz w:val="24"/>
          <w:szCs w:val="24"/>
        </w:rPr>
        <w:t xml:space="preserve"> փորձարկման մեթոդը բերված են մասնավոր դեղագրքային հոդվածում կամ համաձայնեցվում են լիազորված մարմնի հետ: Համապատասխան հիմնավորման դեպքում հրածնության մասով փորձարկումը կարող է փոխարինվել բակտերիալ էնդոտոքսինների մասով փորձարկմամբ:</w:t>
      </w:r>
    </w:p>
    <w:p w14:paraId="3CDE053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 xml:space="preserve">Որակի լրացուցիչ ցուցանիշներ: </w:t>
      </w:r>
      <w:r w:rsidRPr="00B834A2">
        <w:rPr>
          <w:rFonts w:ascii="Sylfaen" w:hAnsi="Sylfaen"/>
          <w:sz w:val="24"/>
          <w:szCs w:val="24"/>
        </w:rPr>
        <w:t>Որակի լրացուցիչ ցուցանիշների (օրինակ՝ ֆիզիկական բնութագրեր, ֆունկցիոնալ բնութագրեր) վերահսկումը կարող է անհրաժեշտ լինել կոնկրետ արտադրական պրոցեսի կամ կոնկրետ դեղաձ</w:t>
      </w:r>
      <w:r>
        <w:rPr>
          <w:rFonts w:ascii="Sylfaen" w:hAnsi="Sylfaen"/>
          <w:sz w:val="24"/>
          <w:szCs w:val="24"/>
        </w:rPr>
        <w:t>եւ</w:t>
      </w:r>
      <w:r w:rsidRPr="00B834A2">
        <w:rPr>
          <w:rFonts w:ascii="Sylfaen" w:hAnsi="Sylfaen"/>
          <w:sz w:val="24"/>
          <w:szCs w:val="24"/>
        </w:rPr>
        <w:t>ի համար: Պարենտերալ դեղապատրաստուկների կամ այլ դեղաձ</w:t>
      </w:r>
      <w:r>
        <w:rPr>
          <w:rFonts w:ascii="Sylfaen" w:hAnsi="Sylfaen"/>
          <w:sz w:val="24"/>
          <w:szCs w:val="24"/>
        </w:rPr>
        <w:t>եւ</w:t>
      </w:r>
      <w:r w:rsidRPr="00B834A2">
        <w:rPr>
          <w:rFonts w:ascii="Sylfaen" w:hAnsi="Sylfaen"/>
          <w:sz w:val="24"/>
          <w:szCs w:val="24"/>
        </w:rPr>
        <w:t>երի արտադրության համար կարող են թողարկվել տարբեր կատեգորիաների բաղադրամասեր (օրինակ՝ «Մանրէազերծ է», «Բակտերիալ էնդոտոքսինները նորմայի սահմաններում են», «Հակահրածին է»), որոնց համար համապատասխան պահանջները կարող են նշվել մասնավոր դեղագրքային հոդվածում:</w:t>
      </w:r>
    </w:p>
    <w:p w14:paraId="2C7B35FF" w14:textId="77777777" w:rsidR="00097504" w:rsidRPr="002E52D1" w:rsidRDefault="00097504" w:rsidP="00B834A2">
      <w:pPr>
        <w:pStyle w:val="a0"/>
        <w:shd w:val="clear" w:color="auto" w:fill="auto"/>
        <w:spacing w:after="160" w:line="360" w:lineRule="auto"/>
        <w:ind w:firstLine="567"/>
        <w:jc w:val="both"/>
        <w:rPr>
          <w:rFonts w:ascii="Sylfaen" w:hAnsi="Sylfaen"/>
          <w:b/>
          <w:sz w:val="24"/>
          <w:szCs w:val="24"/>
        </w:rPr>
      </w:pPr>
    </w:p>
    <w:p w14:paraId="0DD34CC2"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ՔԱՆԱԿԱԿԱՆ ՈՐՈՇՈՒՄ</w:t>
      </w:r>
    </w:p>
    <w:p w14:paraId="7E346F23" w14:textId="77777777" w:rsidR="00B834A2" w:rsidRPr="00B834A2" w:rsidRDefault="00B834A2" w:rsidP="00B834A2">
      <w:pPr>
        <w:spacing w:after="160" w:line="360" w:lineRule="auto"/>
        <w:ind w:firstLine="567"/>
        <w:jc w:val="both"/>
      </w:pPr>
      <w:r w:rsidRPr="00B834A2">
        <w:t xml:space="preserve">Հիմնավորման </w:t>
      </w:r>
      <w:r>
        <w:t>եւ</w:t>
      </w:r>
      <w:r w:rsidRPr="00B834A2">
        <w:t xml:space="preserve"> լիազորված մարմնի կողմից թույլտվության բացակայության դեպքում որոշում են դեղագործական կիրառման համար բաղադրամասերում ազդող նյութերի քանակական պարունակությունը՝ օգտագործելով համապատասխան մեթոդներ:</w:t>
      </w:r>
    </w:p>
    <w:p w14:paraId="3C98888D" w14:textId="77777777" w:rsidR="00B834A2" w:rsidRPr="00B834A2" w:rsidRDefault="00B834A2" w:rsidP="00B834A2">
      <w:pPr>
        <w:spacing w:after="160" w:line="360" w:lineRule="auto"/>
        <w:ind w:firstLine="567"/>
        <w:jc w:val="both"/>
      </w:pPr>
    </w:p>
    <w:p w14:paraId="42BB665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b/>
          <w:sz w:val="24"/>
          <w:szCs w:val="24"/>
        </w:rPr>
        <w:t>ՄԱԿՆՇՈՒՄ</w:t>
      </w:r>
    </w:p>
    <w:p w14:paraId="2A52A8CC" w14:textId="77777777" w:rsidR="00B834A2" w:rsidRPr="00B834A2" w:rsidRDefault="00B834A2" w:rsidP="00B834A2">
      <w:pPr>
        <w:pStyle w:val="a0"/>
        <w:shd w:val="clear" w:color="auto" w:fill="auto"/>
        <w:spacing w:after="160" w:line="360" w:lineRule="auto"/>
        <w:ind w:firstLine="567"/>
        <w:jc w:val="both"/>
        <w:rPr>
          <w:rFonts w:ascii="Sylfaen" w:hAnsi="Sylfaen"/>
          <w:sz w:val="24"/>
          <w:szCs w:val="24"/>
        </w:rPr>
      </w:pPr>
      <w:r w:rsidRPr="00B834A2">
        <w:rPr>
          <w:rFonts w:ascii="Sylfaen" w:hAnsi="Sylfaen"/>
          <w:sz w:val="24"/>
          <w:szCs w:val="24"/>
        </w:rPr>
        <w:t xml:space="preserve">Որպես կանոն, դեղամիջոցների մակնշումը կարգավորվում է Միության իրավունքի կազմում ընդգրկվող նորմատիվ ակտերով: Այդ առնչությամբ </w:t>
      </w:r>
      <w:r w:rsidRPr="00B834A2">
        <w:rPr>
          <w:rFonts w:ascii="Sylfaen" w:hAnsi="Sylfaen"/>
          <w:sz w:val="24"/>
          <w:szCs w:val="24"/>
        </w:rPr>
        <w:lastRenderedPageBreak/>
        <w:t xml:space="preserve">մասնավոր դեղագրքային հոդվածի Մակնշում բաժնի դրույթները համապարփակ չեն, ավելին, դեղագրքային նպատակներով պարտադիր են միայն այն դրույթները, որոնք անհրաժեշտ են դեղագործական կիրառման համար բաղադրամասի՝ մասնավոր դեղագրքային հոդվածի պահանջներին համապատասխանության հաստատման համար: Բոլոր մյուս դրույթները կրում են ոչ պարտադիր բնույթ: Այն դեպքերում, երբ դեղագրքում օգտագործվում է «պիտակ» եզրույթը, լիազորված մարմնի որոշմամբ համապատասխան տեղեկատվությունը կարող է բերվել փաթեթվածքի վրա, ուղեկցող փաստաթղթերում </w:t>
      </w:r>
      <w:r>
        <w:rPr>
          <w:rFonts w:ascii="Sylfaen" w:hAnsi="Sylfaen"/>
          <w:sz w:val="24"/>
          <w:szCs w:val="24"/>
        </w:rPr>
        <w:t>եւ</w:t>
      </w:r>
      <w:r w:rsidRPr="00B834A2">
        <w:rPr>
          <w:rFonts w:ascii="Sylfaen" w:hAnsi="Sylfaen"/>
          <w:sz w:val="24"/>
          <w:szCs w:val="24"/>
        </w:rPr>
        <w:t xml:space="preserve"> դեղագործական բաղադրամասը, օժանդակ նյութն ուղեկցող անալիզի սերտիֆիկատում:</w:t>
      </w:r>
    </w:p>
    <w:p w14:paraId="402257A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Ընդունելիության դեպքում պիտակի վրա նշում են այն, որ բաղադրամասը՝</w:t>
      </w:r>
    </w:p>
    <w:p w14:paraId="008873D7"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նախատեսված է կոնկրետ կիրառման համար.</w:t>
      </w:r>
    </w:p>
    <w:p w14:paraId="0DD0A30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ունի որոշակի բյուրեղային ձ</w:t>
      </w:r>
      <w:r>
        <w:rPr>
          <w:rFonts w:ascii="Sylfaen" w:hAnsi="Sylfaen"/>
          <w:sz w:val="24"/>
          <w:szCs w:val="24"/>
        </w:rPr>
        <w:t>եւ</w:t>
      </w:r>
      <w:r w:rsidRPr="00B834A2">
        <w:rPr>
          <w:rFonts w:ascii="Sylfaen" w:hAnsi="Sylfaen"/>
          <w:sz w:val="24"/>
          <w:szCs w:val="24"/>
        </w:rPr>
        <w:t>.</w:t>
      </w:r>
    </w:p>
    <w:p w14:paraId="1809EAB4"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ունի մանրացման որոշակի աստիճան.</w:t>
      </w:r>
    </w:p>
    <w:p w14:paraId="4F7DC71B"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խտացված է.</w:t>
      </w:r>
    </w:p>
    <w:p w14:paraId="274C327C"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պատված է թաղանթով.</w:t>
      </w:r>
    </w:p>
    <w:p w14:paraId="31398EC6"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հատիկավորված է.</w:t>
      </w:r>
    </w:p>
    <w:p w14:paraId="0826FF9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մանրէազերծ է.</w:t>
      </w:r>
    </w:p>
    <w:p w14:paraId="5B2856DD"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պարունակում է բակտերիալ էնդոտոքսիններ՝ նորմայի սահմաններում.</w:t>
      </w:r>
    </w:p>
    <w:p w14:paraId="359944A9"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հակահրածին է.</w:t>
      </w:r>
    </w:p>
    <w:p w14:paraId="53EBE235"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պարունակում է սահող նյութեր:</w:t>
      </w:r>
    </w:p>
    <w:p w14:paraId="1B51EACA"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Ընդունելիության դեպքում պիտակի վրա նշում են՝</w:t>
      </w:r>
    </w:p>
    <w:p w14:paraId="30A91190" w14:textId="77777777" w:rsidR="00B834A2" w:rsidRPr="00B834A2" w:rsidRDefault="00B834A2" w:rsidP="00B834A2">
      <w:pPr>
        <w:pStyle w:val="a0"/>
        <w:shd w:val="clear" w:color="auto" w:fill="auto"/>
        <w:spacing w:after="160" w:line="360" w:lineRule="auto"/>
        <w:ind w:firstLine="567"/>
        <w:jc w:val="both"/>
        <w:rPr>
          <w:rFonts w:ascii="Sylfaen" w:hAnsi="Sylfaen" w:cs="Sylfaen"/>
          <w:sz w:val="24"/>
          <w:szCs w:val="24"/>
        </w:rPr>
      </w:pPr>
      <w:r w:rsidRPr="00B834A2">
        <w:rPr>
          <w:rFonts w:ascii="Sylfaen" w:hAnsi="Sylfaen"/>
          <w:sz w:val="24"/>
          <w:szCs w:val="24"/>
        </w:rPr>
        <w:t>հիդրատացման աստիճանը.</w:t>
      </w:r>
    </w:p>
    <w:p w14:paraId="61139468" w14:textId="77777777" w:rsidR="00B834A2" w:rsidRPr="003244DF" w:rsidRDefault="00B834A2" w:rsidP="00B834A2">
      <w:pPr>
        <w:spacing w:after="160" w:line="360" w:lineRule="auto"/>
        <w:ind w:firstLine="567"/>
        <w:jc w:val="both"/>
      </w:pPr>
      <w:r w:rsidRPr="00B834A2">
        <w:t xml:space="preserve">բոլոր օժանդակ նյութերի անվանումները </w:t>
      </w:r>
      <w:r>
        <w:t>եւ</w:t>
      </w:r>
      <w:r w:rsidRPr="00B834A2">
        <w:t xml:space="preserve"> կոնցենտրացիաները:</w:t>
      </w:r>
    </w:p>
    <w:p w14:paraId="4731447B" w14:textId="77777777" w:rsidR="00D03DDF" w:rsidRDefault="00D03DDF">
      <w:pPr>
        <w:rPr>
          <w:rFonts w:eastAsia="Times New Roman" w:cs="Times New Roman"/>
          <w:b/>
          <w:color w:val="auto"/>
        </w:rPr>
      </w:pPr>
      <w:r>
        <w:rPr>
          <w:b/>
        </w:rPr>
        <w:br w:type="page"/>
      </w:r>
    </w:p>
    <w:p w14:paraId="481CEF56"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1916891E"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1096F355"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0A01B689"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7EC45126"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4C6A2586" w14:textId="77777777" w:rsidR="00D03DDF" w:rsidRPr="00A859E3" w:rsidRDefault="00D03DDF" w:rsidP="0058052E">
      <w:pPr>
        <w:pStyle w:val="a0"/>
        <w:shd w:val="clear" w:color="auto" w:fill="auto"/>
        <w:spacing w:after="160" w:line="360" w:lineRule="auto"/>
        <w:ind w:firstLine="567"/>
        <w:jc w:val="center"/>
        <w:rPr>
          <w:rFonts w:ascii="Sylfaen" w:hAnsi="Sylfaen"/>
          <w:b/>
          <w:sz w:val="24"/>
          <w:szCs w:val="24"/>
        </w:rPr>
      </w:pPr>
    </w:p>
    <w:p w14:paraId="1F2E764D" w14:textId="77777777" w:rsidR="0058052E" w:rsidRPr="00825EEB" w:rsidRDefault="0058052E" w:rsidP="0058052E">
      <w:pPr>
        <w:pStyle w:val="a0"/>
        <w:shd w:val="clear" w:color="auto" w:fill="auto"/>
        <w:spacing w:after="160" w:line="360" w:lineRule="auto"/>
        <w:ind w:firstLine="567"/>
        <w:jc w:val="center"/>
        <w:rPr>
          <w:rFonts w:ascii="Sylfaen" w:hAnsi="Sylfaen" w:cs="Sylfaen"/>
          <w:sz w:val="24"/>
          <w:szCs w:val="24"/>
        </w:rPr>
      </w:pPr>
      <w:r w:rsidRPr="00825EEB">
        <w:rPr>
          <w:rFonts w:ascii="Sylfaen" w:hAnsi="Sylfaen"/>
          <w:b/>
          <w:sz w:val="24"/>
          <w:szCs w:val="24"/>
        </w:rPr>
        <w:t>2.4. ՓԱԹԵԹՎԱԾՔԸ ԵՎ ԴՐԱ ԱՐՏԱԴՐՄԱՆ ՀԱՄԱՐ</w:t>
      </w:r>
    </w:p>
    <w:p w14:paraId="547D1BAC" w14:textId="77777777" w:rsidR="0058052E" w:rsidRPr="00A859E3" w:rsidRDefault="0058052E" w:rsidP="0058052E">
      <w:pPr>
        <w:pStyle w:val="a0"/>
        <w:shd w:val="clear" w:color="auto" w:fill="auto"/>
        <w:spacing w:after="160" w:line="360" w:lineRule="auto"/>
        <w:ind w:firstLine="567"/>
        <w:jc w:val="center"/>
        <w:rPr>
          <w:rFonts w:ascii="Sylfaen" w:hAnsi="Sylfaen"/>
          <w:b/>
          <w:sz w:val="24"/>
          <w:szCs w:val="24"/>
        </w:rPr>
      </w:pPr>
      <w:r w:rsidRPr="00825EEB">
        <w:rPr>
          <w:rFonts w:ascii="Sylfaen" w:hAnsi="Sylfaen"/>
          <w:b/>
          <w:sz w:val="24"/>
          <w:szCs w:val="24"/>
        </w:rPr>
        <w:t>ՕԳՏԱԳՈՐԾՎՈՂ ՆՅՈՒԹԵՐԸ</w:t>
      </w:r>
    </w:p>
    <w:p w14:paraId="5E9B7C0F" w14:textId="77777777" w:rsidR="00D03DDF" w:rsidRPr="00A859E3" w:rsidRDefault="00D03DDF" w:rsidP="0058052E">
      <w:pPr>
        <w:pStyle w:val="a0"/>
        <w:shd w:val="clear" w:color="auto" w:fill="auto"/>
        <w:spacing w:after="160" w:line="360" w:lineRule="auto"/>
        <w:ind w:firstLine="567"/>
        <w:jc w:val="center"/>
        <w:rPr>
          <w:rFonts w:ascii="Sylfaen" w:hAnsi="Sylfaen" w:cs="Sylfaen"/>
          <w:sz w:val="24"/>
          <w:szCs w:val="24"/>
        </w:rPr>
      </w:pPr>
    </w:p>
    <w:p w14:paraId="0DF33ED8" w14:textId="77777777" w:rsidR="00D03DDF" w:rsidRPr="00A859E3" w:rsidRDefault="00D03DDF">
      <w:pPr>
        <w:rPr>
          <w:rFonts w:eastAsia="Times New Roman"/>
          <w:color w:val="auto"/>
        </w:rPr>
      </w:pPr>
      <w:r w:rsidRPr="00A859E3">
        <w:br w:type="page"/>
      </w:r>
    </w:p>
    <w:p w14:paraId="47BE8D74" w14:textId="77777777" w:rsidR="0058052E" w:rsidRPr="00825EEB" w:rsidRDefault="0058052E" w:rsidP="001B3D08">
      <w:pPr>
        <w:pStyle w:val="10"/>
        <w:shd w:val="clear" w:color="auto" w:fill="auto"/>
        <w:spacing w:after="160" w:line="346" w:lineRule="auto"/>
        <w:ind w:firstLine="567"/>
        <w:rPr>
          <w:rFonts w:ascii="Sylfaen" w:hAnsi="Sylfaen" w:cs="Sylfaen"/>
          <w:sz w:val="24"/>
          <w:szCs w:val="24"/>
        </w:rPr>
      </w:pPr>
      <w:r w:rsidRPr="00825EEB">
        <w:rPr>
          <w:rFonts w:ascii="Sylfaen" w:hAnsi="Sylfaen"/>
          <w:b/>
          <w:sz w:val="24"/>
          <w:szCs w:val="24"/>
        </w:rPr>
        <w:lastRenderedPageBreak/>
        <w:t>2.4.1. ՓԱԹԵԹՎԱԾՔԻ ԱՐՏԱԴՐՄԱՆ ՀԱՄԱՐ</w:t>
      </w:r>
      <w:bookmarkStart w:id="2" w:name="bookmark3"/>
      <w:bookmarkStart w:id="3" w:name="bookmark4"/>
      <w:bookmarkStart w:id="4" w:name="bookmark5"/>
      <w:r w:rsidR="00D03DDF" w:rsidRPr="00A859E3">
        <w:rPr>
          <w:rFonts w:ascii="Sylfaen" w:hAnsi="Sylfaen"/>
          <w:b/>
          <w:sz w:val="24"/>
          <w:szCs w:val="24"/>
        </w:rPr>
        <w:t xml:space="preserve"> </w:t>
      </w:r>
      <w:r w:rsidRPr="00825EEB">
        <w:rPr>
          <w:rFonts w:ascii="Sylfaen" w:hAnsi="Sylfaen"/>
          <w:b/>
          <w:sz w:val="24"/>
          <w:szCs w:val="24"/>
        </w:rPr>
        <w:t>ՕԳՏԱԳՈՐԾՎՈՂ ՆՅՈՒԹԵՐԸ</w:t>
      </w:r>
      <w:bookmarkEnd w:id="2"/>
      <w:bookmarkEnd w:id="3"/>
      <w:bookmarkEnd w:id="4"/>
    </w:p>
    <w:p w14:paraId="744582B0" w14:textId="77777777" w:rsidR="0058052E" w:rsidRPr="00A859E3" w:rsidRDefault="0058052E" w:rsidP="001B3D08">
      <w:pPr>
        <w:pStyle w:val="a0"/>
        <w:shd w:val="clear" w:color="auto" w:fill="auto"/>
        <w:spacing w:after="160" w:line="346" w:lineRule="auto"/>
        <w:ind w:firstLine="567"/>
        <w:jc w:val="right"/>
        <w:rPr>
          <w:rFonts w:ascii="Sylfaen" w:hAnsi="Sylfaen"/>
          <w:b/>
          <w:szCs w:val="24"/>
        </w:rPr>
      </w:pPr>
      <w:r w:rsidRPr="00D03DDF">
        <w:rPr>
          <w:rFonts w:ascii="Sylfaen" w:hAnsi="Sylfaen"/>
          <w:b/>
          <w:szCs w:val="24"/>
        </w:rPr>
        <w:t>204010001-2022</w:t>
      </w:r>
    </w:p>
    <w:p w14:paraId="29B39B31" w14:textId="77777777" w:rsidR="00D03DDF" w:rsidRPr="00A859E3" w:rsidRDefault="00D03DDF" w:rsidP="001B3D08">
      <w:pPr>
        <w:pStyle w:val="a0"/>
        <w:shd w:val="clear" w:color="auto" w:fill="auto"/>
        <w:spacing w:after="160" w:line="346" w:lineRule="auto"/>
        <w:ind w:firstLine="567"/>
        <w:jc w:val="right"/>
        <w:rPr>
          <w:rFonts w:ascii="Sylfaen" w:hAnsi="Sylfaen" w:cs="Sylfaen"/>
          <w:szCs w:val="24"/>
        </w:rPr>
      </w:pPr>
    </w:p>
    <w:p w14:paraId="6A556703" w14:textId="77777777" w:rsidR="0058052E" w:rsidRPr="00A859E3" w:rsidRDefault="0058052E" w:rsidP="001B3D08">
      <w:pPr>
        <w:pStyle w:val="a0"/>
        <w:shd w:val="clear" w:color="auto" w:fill="auto"/>
        <w:tabs>
          <w:tab w:val="left" w:pos="1701"/>
        </w:tabs>
        <w:spacing w:after="160" w:line="346" w:lineRule="auto"/>
        <w:ind w:firstLine="567"/>
        <w:jc w:val="both"/>
        <w:rPr>
          <w:rFonts w:ascii="Sylfaen" w:hAnsi="Sylfaen"/>
          <w:b/>
          <w:sz w:val="24"/>
          <w:szCs w:val="24"/>
        </w:rPr>
      </w:pPr>
      <w:r w:rsidRPr="00825EEB">
        <w:rPr>
          <w:rFonts w:ascii="Sylfaen" w:hAnsi="Sylfaen"/>
          <w:b/>
          <w:sz w:val="24"/>
          <w:szCs w:val="24"/>
        </w:rPr>
        <w:t>2.4.1.1.</w:t>
      </w:r>
      <w:r w:rsidR="00D03DDF" w:rsidRPr="00A859E3">
        <w:rPr>
          <w:rFonts w:ascii="Sylfaen" w:hAnsi="Sylfaen"/>
          <w:b/>
          <w:sz w:val="24"/>
          <w:szCs w:val="24"/>
        </w:rPr>
        <w:tab/>
      </w:r>
      <w:r w:rsidRPr="00825EEB">
        <w:rPr>
          <w:rFonts w:ascii="Sylfaen" w:hAnsi="Sylfaen"/>
          <w:b/>
          <w:sz w:val="24"/>
          <w:szCs w:val="24"/>
        </w:rPr>
        <w:t>Պոլիոլեֆիններ</w:t>
      </w:r>
    </w:p>
    <w:p w14:paraId="695DD17A" w14:textId="77777777" w:rsidR="00D03DDF" w:rsidRPr="00A859E3" w:rsidRDefault="00D03DDF" w:rsidP="001B3D08">
      <w:pPr>
        <w:pStyle w:val="a0"/>
        <w:shd w:val="clear" w:color="auto" w:fill="auto"/>
        <w:spacing w:after="160" w:line="346" w:lineRule="auto"/>
        <w:ind w:firstLine="567"/>
        <w:jc w:val="both"/>
        <w:rPr>
          <w:rFonts w:ascii="Sylfaen" w:hAnsi="Sylfaen" w:cs="Sylfaen"/>
          <w:sz w:val="24"/>
          <w:szCs w:val="24"/>
        </w:rPr>
      </w:pPr>
    </w:p>
    <w:p w14:paraId="4F3A2B08"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ՈՐՈՇՈՒՄԸ</w:t>
      </w:r>
    </w:p>
    <w:p w14:paraId="0591B976"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Պոլիոլեֆինները ստացվում են էթիլենի կամ պրոպիլենի պոլիմերացման կամ բարձրագույն հոմոլոգների (С</w:t>
      </w:r>
      <w:r w:rsidRPr="00825EEB">
        <w:rPr>
          <w:rFonts w:ascii="Sylfaen" w:hAnsi="Sylfaen"/>
          <w:sz w:val="24"/>
          <w:szCs w:val="24"/>
          <w:vertAlign w:val="subscript"/>
        </w:rPr>
        <w:t>4</w:t>
      </w:r>
      <w:r w:rsidRPr="00825EEB">
        <w:rPr>
          <w:rFonts w:ascii="Sylfaen" w:hAnsi="Sylfaen"/>
          <w:sz w:val="24"/>
          <w:szCs w:val="24"/>
        </w:rPr>
        <w:t>-ից մինչ</w:t>
      </w:r>
      <w:r>
        <w:rPr>
          <w:rFonts w:ascii="Sylfaen" w:hAnsi="Sylfaen"/>
          <w:sz w:val="24"/>
          <w:szCs w:val="24"/>
        </w:rPr>
        <w:t>եւ</w:t>
      </w:r>
      <w:r w:rsidRPr="00825EEB">
        <w:rPr>
          <w:rFonts w:ascii="Sylfaen" w:hAnsi="Sylfaen"/>
          <w:sz w:val="24"/>
          <w:szCs w:val="24"/>
        </w:rPr>
        <w:t xml:space="preserve"> С</w:t>
      </w:r>
      <w:r w:rsidRPr="00825EEB">
        <w:rPr>
          <w:rFonts w:ascii="Sylfaen" w:hAnsi="Sylfaen"/>
          <w:sz w:val="24"/>
          <w:szCs w:val="24"/>
          <w:vertAlign w:val="subscript"/>
        </w:rPr>
        <w:t>10</w:t>
      </w:r>
      <w:r w:rsidRPr="00825EEB">
        <w:rPr>
          <w:rFonts w:ascii="Sylfaen" w:hAnsi="Sylfaen"/>
          <w:sz w:val="24"/>
          <w:szCs w:val="24"/>
        </w:rPr>
        <w:t>), կարբոնաթթուների, դրանց 25%-ից ոչ ավելի պարունակությամբ եթերների հետ այդ նյութերի համապոլիմերացմամբ: Դրանցից մի քանիսը կարող են լինել պոլիոլեֆինների խառնուրդ:</w:t>
      </w:r>
    </w:p>
    <w:p w14:paraId="42849864"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p>
    <w:p w14:paraId="73D71AD4"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ՏԵԽՆՈԼՈԳԻԱՅԻ ԱՌԱՆՁՆԱՀԱՏԿՈՒԹՅՈՒՆՆԵՐԸ</w:t>
      </w:r>
    </w:p>
    <w:p w14:paraId="1E2D2370"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Պոլիմերների մեջ ներմուծվում են որոշակի քանակությամբ հավելանյութեր՝ դրանց մշակումը կամ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կախված նախատեսվող նշանակության նպատակից: Պոլիմերները կարող են պարունակել ոչ ավելի, քան երեք հակաօքսիդիչ հավելանյութ, մեկ կամ մի քանի քսայուղեր կամ հակահարակցանյութեր (կպչունությանը խոչընդոտող նյութեր), ինչպես նա</w:t>
      </w:r>
      <w:r>
        <w:rPr>
          <w:rFonts w:ascii="Sylfaen" w:hAnsi="Sylfaen"/>
          <w:sz w:val="24"/>
          <w:szCs w:val="24"/>
        </w:rPr>
        <w:t>եւ</w:t>
      </w:r>
      <w:r w:rsidRPr="00825EEB">
        <w:rPr>
          <w:rFonts w:ascii="Sylfaen" w:hAnsi="Sylfaen"/>
          <w:sz w:val="24"/>
          <w:szCs w:val="24"/>
        </w:rPr>
        <w:t xml:space="preserve"> տիտանի դիօքսիդ՝ որպես նյութի անթափանցությունն ապահովող միջոց՝ լույսից պաշտպանելու համար: Հավելանյութերն ընտրվում են ստոր</w:t>
      </w:r>
      <w:r>
        <w:rPr>
          <w:rFonts w:ascii="Sylfaen" w:hAnsi="Sylfaen"/>
          <w:sz w:val="24"/>
          <w:szCs w:val="24"/>
        </w:rPr>
        <w:t>եւ</w:t>
      </w:r>
      <w:r w:rsidRPr="00825EEB">
        <w:rPr>
          <w:rFonts w:ascii="Sylfaen" w:hAnsi="Sylfaen"/>
          <w:sz w:val="24"/>
          <w:szCs w:val="24"/>
        </w:rPr>
        <w:t xml:space="preserve"> ներկայացված ցանկից (այլ հիմնավորման </w:t>
      </w:r>
      <w:r>
        <w:rPr>
          <w:rFonts w:ascii="Sylfaen" w:hAnsi="Sylfaen"/>
          <w:sz w:val="24"/>
          <w:szCs w:val="24"/>
        </w:rPr>
        <w:t>եւ</w:t>
      </w:r>
      <w:r w:rsidRPr="00825EEB">
        <w:rPr>
          <w:rFonts w:ascii="Sylfaen" w:hAnsi="Sylfaen"/>
          <w:sz w:val="24"/>
          <w:szCs w:val="24"/>
        </w:rPr>
        <w:t xml:space="preserve"> լիազորված մարմնի թույլտվության բացակայության դեպքում), որում նշված է դրանց առավելագույն թույլատրելի պարունակությունը՝</w:t>
      </w:r>
    </w:p>
    <w:p w14:paraId="44B5533C" w14:textId="77777777" w:rsidR="0058052E" w:rsidRPr="00825EEB" w:rsidRDefault="0058052E" w:rsidP="003B27EC">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sz w:val="24"/>
          <w:szCs w:val="24"/>
        </w:rPr>
        <w:t>-</w:t>
      </w:r>
      <w:r w:rsidR="003B27EC" w:rsidRPr="00A859E3">
        <w:rPr>
          <w:rFonts w:ascii="Sylfaen" w:hAnsi="Sylfaen"/>
          <w:sz w:val="24"/>
          <w:szCs w:val="24"/>
        </w:rPr>
        <w:tab/>
      </w:r>
      <w:r w:rsidRPr="00825EEB">
        <w:rPr>
          <w:rFonts w:ascii="Sylfaen" w:hAnsi="Sylfaen"/>
          <w:sz w:val="24"/>
          <w:szCs w:val="24"/>
        </w:rPr>
        <w:t>բութիլհիդրօքսիտոլուոլի (պոլիմերային 07 նյութի հավելանյութ)՝ 0,125</w:t>
      </w:r>
      <w:r w:rsidR="002B2475" w:rsidRPr="002B2475">
        <w:rPr>
          <w:rFonts w:ascii="Sylfaen" w:hAnsi="Sylfaen"/>
          <w:sz w:val="24"/>
          <w:szCs w:val="24"/>
        </w:rPr>
        <w:t> </w:t>
      </w:r>
      <w:r w:rsidRPr="00825EEB">
        <w:rPr>
          <w:rFonts w:ascii="Sylfaen" w:hAnsi="Sylfaen"/>
          <w:sz w:val="24"/>
          <w:szCs w:val="24"/>
        </w:rPr>
        <w:t>%-ից ոչ ավելի.</w:t>
      </w:r>
    </w:p>
    <w:p w14:paraId="7B46EC93" w14:textId="77777777" w:rsidR="0058052E" w:rsidRPr="00825EEB" w:rsidRDefault="0058052E" w:rsidP="003B27E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B27EC" w:rsidRPr="00A859E3">
        <w:rPr>
          <w:rFonts w:ascii="Sylfaen" w:hAnsi="Sylfaen"/>
          <w:sz w:val="24"/>
          <w:szCs w:val="24"/>
        </w:rPr>
        <w:tab/>
      </w:r>
      <w:r w:rsidRPr="00825EEB">
        <w:rPr>
          <w:rFonts w:ascii="Sylfaen" w:hAnsi="Sylfaen"/>
          <w:sz w:val="24"/>
          <w:szCs w:val="24"/>
        </w:rPr>
        <w:t>պենտաէրիթրիտիլտետրակիս</w:t>
      </w:r>
      <w:r w:rsidR="00821807" w:rsidRPr="00821807">
        <w:rPr>
          <w:rFonts w:ascii="Sylfaen" w:hAnsi="Sylfaen"/>
          <w:sz w:val="24"/>
          <w:szCs w:val="24"/>
        </w:rPr>
        <w:t xml:space="preserve"> </w:t>
      </w:r>
      <w:r w:rsidRPr="00825EEB">
        <w:rPr>
          <w:rFonts w:ascii="Sylfaen" w:hAnsi="Sylfaen"/>
          <w:sz w:val="24"/>
          <w:szCs w:val="24"/>
        </w:rPr>
        <w:t>[3-(3,5-</w:t>
      </w:r>
      <w:r w:rsidRPr="00825EEB">
        <w:rPr>
          <w:rFonts w:ascii="Sylfaen" w:hAnsi="Sylfaen"/>
          <w:i/>
          <w:sz w:val="24"/>
          <w:szCs w:val="24"/>
        </w:rPr>
        <w:t>դի-տրետ</w:t>
      </w:r>
      <w:r w:rsidRPr="00825EEB">
        <w:rPr>
          <w:rFonts w:ascii="Sylfaen" w:hAnsi="Sylfaen"/>
          <w:sz w:val="24"/>
          <w:szCs w:val="24"/>
        </w:rPr>
        <w:t>-բութիլ-4-հիդրօքսիֆենիլ)պրոպիոնատ] (պոլիմերային 09 նյութի հավելանյութ)՝ 0,3 %-ից ոչ ավելի.</w:t>
      </w:r>
    </w:p>
    <w:p w14:paraId="6AEEC40D" w14:textId="77777777" w:rsidR="0058052E" w:rsidRPr="00825EEB" w:rsidRDefault="0058052E" w:rsidP="003B27E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3B27EC" w:rsidRPr="00A859E3">
        <w:rPr>
          <w:rFonts w:ascii="Sylfaen" w:hAnsi="Sylfaen"/>
          <w:sz w:val="24"/>
          <w:szCs w:val="24"/>
        </w:rPr>
        <w:tab/>
      </w:r>
      <w:r w:rsidRPr="00825EEB">
        <w:rPr>
          <w:rFonts w:ascii="Sylfaen" w:hAnsi="Sylfaen"/>
          <w:sz w:val="24"/>
          <w:szCs w:val="24"/>
        </w:rPr>
        <w:t>1,3,5-տրիս</w:t>
      </w:r>
      <w:r w:rsidR="00821807" w:rsidRPr="00821807">
        <w:rPr>
          <w:rFonts w:ascii="Sylfaen" w:hAnsi="Sylfaen"/>
          <w:sz w:val="24"/>
          <w:szCs w:val="24"/>
        </w:rPr>
        <w:t xml:space="preserve"> </w:t>
      </w:r>
      <w:r w:rsidRPr="00825EEB">
        <w:rPr>
          <w:rFonts w:ascii="Sylfaen" w:hAnsi="Sylfaen"/>
          <w:sz w:val="24"/>
          <w:szCs w:val="24"/>
        </w:rPr>
        <w:t>(3,5-</w:t>
      </w:r>
      <w:r w:rsidRPr="00825EEB">
        <w:rPr>
          <w:rFonts w:ascii="Sylfaen" w:hAnsi="Sylfaen"/>
          <w:i/>
          <w:sz w:val="24"/>
          <w:szCs w:val="24"/>
        </w:rPr>
        <w:t>դի-տրետ</w:t>
      </w:r>
      <w:r w:rsidRPr="00825EEB">
        <w:rPr>
          <w:rFonts w:ascii="Sylfaen" w:hAnsi="Sylfaen"/>
          <w:sz w:val="24"/>
          <w:szCs w:val="24"/>
        </w:rPr>
        <w:t>-բութիլ-4-հիդրօքսիբենզիլ)</w:t>
      </w:r>
      <w:r w:rsidR="00821807" w:rsidRPr="00821807">
        <w:rPr>
          <w:rFonts w:ascii="Sylfaen" w:hAnsi="Sylfaen"/>
          <w:sz w:val="24"/>
          <w:szCs w:val="24"/>
        </w:rPr>
        <w:t xml:space="preserve"> </w:t>
      </w:r>
      <w:r w:rsidRPr="00825EEB">
        <w:rPr>
          <w:rFonts w:ascii="Sylfaen" w:hAnsi="Sylfaen"/>
          <w:sz w:val="24"/>
          <w:szCs w:val="24"/>
        </w:rPr>
        <w:t>-</w:t>
      </w:r>
      <w:r w:rsidRPr="00825EEB">
        <w:rPr>
          <w:rFonts w:ascii="Sylfaen" w:hAnsi="Sylfaen"/>
          <w:i/>
          <w:sz w:val="24"/>
          <w:szCs w:val="24"/>
        </w:rPr>
        <w:t>s</w:t>
      </w:r>
      <w:r w:rsidRPr="00825EEB">
        <w:rPr>
          <w:rFonts w:ascii="Sylfaen" w:hAnsi="Sylfaen"/>
          <w:sz w:val="24"/>
          <w:szCs w:val="24"/>
        </w:rPr>
        <w:t>-</w:t>
      </w:r>
      <w:r w:rsidR="00821807" w:rsidRPr="00821807">
        <w:rPr>
          <w:rFonts w:ascii="Sylfaen" w:hAnsi="Sylfaen"/>
          <w:sz w:val="24"/>
          <w:szCs w:val="24"/>
        </w:rPr>
        <w:t xml:space="preserve"> </w:t>
      </w:r>
      <w:r w:rsidRPr="00825EEB">
        <w:rPr>
          <w:rFonts w:ascii="Sylfaen" w:hAnsi="Sylfaen"/>
          <w:sz w:val="24"/>
          <w:szCs w:val="24"/>
        </w:rPr>
        <w:t>տրիազին-2,4,6</w:t>
      </w:r>
      <w:r w:rsidR="00821807" w:rsidRPr="00821807">
        <w:rPr>
          <w:rFonts w:ascii="Sylfaen" w:hAnsi="Sylfaen"/>
          <w:sz w:val="24"/>
          <w:szCs w:val="24"/>
        </w:rPr>
        <w:t xml:space="preserve"> </w:t>
      </w:r>
      <w:r w:rsidRPr="00825EEB">
        <w:rPr>
          <w:rFonts w:ascii="Sylfaen" w:hAnsi="Sylfaen"/>
          <w:sz w:val="24"/>
          <w:szCs w:val="24"/>
        </w:rPr>
        <w:t>(1</w:t>
      </w:r>
      <w:r w:rsidRPr="00825EEB">
        <w:rPr>
          <w:rFonts w:ascii="Sylfaen" w:hAnsi="Sylfaen"/>
          <w:i/>
          <w:sz w:val="24"/>
          <w:szCs w:val="24"/>
        </w:rPr>
        <w:t>H</w:t>
      </w:r>
      <w:r w:rsidRPr="00825EEB">
        <w:rPr>
          <w:rFonts w:ascii="Sylfaen" w:hAnsi="Sylfaen"/>
          <w:sz w:val="24"/>
          <w:szCs w:val="24"/>
        </w:rPr>
        <w:t>,3</w:t>
      </w:r>
      <w:r w:rsidRPr="00825EEB">
        <w:rPr>
          <w:rFonts w:ascii="Sylfaen" w:hAnsi="Sylfaen"/>
          <w:i/>
          <w:sz w:val="24"/>
          <w:szCs w:val="24"/>
        </w:rPr>
        <w:t>H</w:t>
      </w:r>
      <w:r w:rsidRPr="00825EEB">
        <w:rPr>
          <w:rFonts w:ascii="Sylfaen" w:hAnsi="Sylfaen"/>
          <w:sz w:val="24"/>
          <w:szCs w:val="24"/>
        </w:rPr>
        <w:t>,5</w:t>
      </w:r>
      <w:r w:rsidRPr="00825EEB">
        <w:rPr>
          <w:rFonts w:ascii="Sylfaen" w:hAnsi="Sylfaen"/>
          <w:i/>
          <w:sz w:val="24"/>
          <w:szCs w:val="24"/>
        </w:rPr>
        <w:t>H</w:t>
      </w:r>
      <w:r w:rsidRPr="00825EEB">
        <w:rPr>
          <w:rFonts w:ascii="Sylfaen" w:hAnsi="Sylfaen"/>
          <w:sz w:val="24"/>
          <w:szCs w:val="24"/>
        </w:rPr>
        <w:t>)-տրիոն (պոլիմերային 13-րդ նյութի հավելանյութ)՝ 0,3 %-ից ոչ ավելի.</w:t>
      </w:r>
    </w:p>
    <w:p w14:paraId="64E42247" w14:textId="77777777" w:rsidR="0058052E" w:rsidRPr="00825EEB" w:rsidRDefault="0058052E" w:rsidP="003B27E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B27EC" w:rsidRPr="00A859E3">
        <w:rPr>
          <w:rFonts w:ascii="Sylfaen" w:hAnsi="Sylfaen"/>
          <w:sz w:val="24"/>
          <w:szCs w:val="24"/>
        </w:rPr>
        <w:tab/>
      </w:r>
      <w:r w:rsidRPr="00825EEB">
        <w:rPr>
          <w:rFonts w:ascii="Sylfaen" w:hAnsi="Sylfaen"/>
          <w:sz w:val="24"/>
          <w:szCs w:val="24"/>
        </w:rPr>
        <w:t>օկտադեցիլ-3-(3,5-դի</w:t>
      </w:r>
      <w:r w:rsidRPr="00825EEB">
        <w:rPr>
          <w:rFonts w:ascii="Sylfaen" w:hAnsi="Sylfaen"/>
          <w:i/>
          <w:sz w:val="24"/>
          <w:szCs w:val="24"/>
        </w:rPr>
        <w:t>-տրետ</w:t>
      </w:r>
      <w:r w:rsidRPr="00825EEB">
        <w:rPr>
          <w:rFonts w:ascii="Sylfaen" w:hAnsi="Sylfaen"/>
          <w:sz w:val="24"/>
          <w:szCs w:val="24"/>
        </w:rPr>
        <w:t>-բութիլ-4-հիդրօքսիֆենիլ)</w:t>
      </w:r>
      <w:r w:rsidR="005418C1" w:rsidRPr="005418C1">
        <w:rPr>
          <w:rFonts w:ascii="Sylfaen" w:hAnsi="Sylfaen"/>
          <w:sz w:val="24"/>
          <w:szCs w:val="24"/>
        </w:rPr>
        <w:t xml:space="preserve"> </w:t>
      </w:r>
      <w:r w:rsidRPr="00825EEB">
        <w:rPr>
          <w:rFonts w:ascii="Sylfaen" w:hAnsi="Sylfaen"/>
          <w:sz w:val="24"/>
          <w:szCs w:val="24"/>
        </w:rPr>
        <w:t>պրոպիոնատ (պոլիմերային 11-րդ նյութի հավելանյութ)՝ 0,3 %-ից ոչ ավելի.</w:t>
      </w:r>
    </w:p>
    <w:p w14:paraId="1F03EBDD" w14:textId="77777777" w:rsidR="0058052E" w:rsidRPr="00825EEB" w:rsidRDefault="0058052E" w:rsidP="003B27E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B27EC" w:rsidRPr="00A859E3">
        <w:rPr>
          <w:rFonts w:ascii="Sylfaen" w:hAnsi="Sylfaen"/>
          <w:sz w:val="24"/>
          <w:szCs w:val="24"/>
        </w:rPr>
        <w:tab/>
      </w:r>
      <w:r w:rsidRPr="00825EEB">
        <w:rPr>
          <w:rFonts w:ascii="Sylfaen" w:hAnsi="Sylfaen"/>
          <w:sz w:val="24"/>
          <w:szCs w:val="24"/>
        </w:rPr>
        <w:t>էթիլենբիս[3,3-բիս[3-(1,1-դիմեթիլէթիլ)-4-հիդրօքսիֆենիլ]-բութանոատ] (պոլիմերային 08 նյութի հավելանյութ)՝ 0,3 %-ից ոչ ավելի.</w:t>
      </w:r>
    </w:p>
    <w:p w14:paraId="747C509A" w14:textId="77777777" w:rsidR="0058052E" w:rsidRPr="00825EEB" w:rsidRDefault="0058052E" w:rsidP="003B27EC">
      <w:pPr>
        <w:tabs>
          <w:tab w:val="left" w:pos="1134"/>
        </w:tabs>
        <w:spacing w:after="160" w:line="360" w:lineRule="auto"/>
        <w:ind w:firstLine="567"/>
        <w:jc w:val="both"/>
      </w:pPr>
      <w:r w:rsidRPr="00825EEB">
        <w:t>-</w:t>
      </w:r>
      <w:r w:rsidR="003B27EC" w:rsidRPr="00A859E3">
        <w:tab/>
      </w:r>
      <w:r w:rsidRPr="00825EEB">
        <w:t>դիօկտադեցիլդիսուլֆիդ (պոլիմերային 15-րդ նյութի հավելանյութ)՝ 0,3</w:t>
      </w:r>
      <w:r w:rsidR="002B2475" w:rsidRPr="002B2475">
        <w:t> </w:t>
      </w:r>
      <w:r w:rsidRPr="00825EEB">
        <w:t>%-ից ոչ ավելի.</w:t>
      </w:r>
    </w:p>
    <w:p w14:paraId="602D238C" w14:textId="77777777" w:rsidR="0058052E" w:rsidRPr="00825EEB" w:rsidRDefault="0058052E" w:rsidP="003B27E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B27EC" w:rsidRPr="00A859E3">
        <w:rPr>
          <w:rFonts w:ascii="Sylfaen" w:hAnsi="Sylfaen"/>
          <w:sz w:val="24"/>
          <w:szCs w:val="24"/>
        </w:rPr>
        <w:tab/>
      </w:r>
      <w:r w:rsidRPr="00825EEB">
        <w:rPr>
          <w:rFonts w:ascii="Sylfaen" w:hAnsi="Sylfaen"/>
          <w:sz w:val="24"/>
          <w:szCs w:val="24"/>
        </w:rPr>
        <w:t>4,4</w:t>
      </w:r>
      <w:r w:rsidRPr="00825EEB">
        <w:rPr>
          <w:rFonts w:ascii="Sylfaen" w:hAnsi="Sylfaen"/>
          <w:i/>
          <w:sz w:val="24"/>
          <w:szCs w:val="24"/>
        </w:rPr>
        <w:t>'</w:t>
      </w:r>
      <w:r w:rsidRPr="00825EEB">
        <w:rPr>
          <w:rFonts w:ascii="Sylfaen" w:hAnsi="Sylfaen"/>
          <w:sz w:val="24"/>
          <w:szCs w:val="24"/>
        </w:rPr>
        <w:t>,4</w:t>
      </w:r>
      <w:r w:rsidRPr="00825EEB">
        <w:rPr>
          <w:rFonts w:ascii="Sylfaen" w:hAnsi="Sylfaen"/>
          <w:i/>
          <w:sz w:val="24"/>
          <w:szCs w:val="24"/>
        </w:rPr>
        <w:t>"</w:t>
      </w:r>
      <w:r w:rsidRPr="00825EEB">
        <w:rPr>
          <w:rFonts w:ascii="Sylfaen" w:hAnsi="Sylfaen"/>
          <w:sz w:val="24"/>
          <w:szCs w:val="24"/>
        </w:rPr>
        <w:t>-[(2,4,6-տրիմեթիլ-1,3,5-բենզոլտրիիլ)</w:t>
      </w:r>
      <w:r w:rsidR="005418C1" w:rsidRPr="005418C1">
        <w:rPr>
          <w:rFonts w:ascii="Sylfaen" w:hAnsi="Sylfaen"/>
          <w:sz w:val="24"/>
          <w:szCs w:val="24"/>
        </w:rPr>
        <w:t xml:space="preserve"> </w:t>
      </w:r>
      <w:r w:rsidRPr="00825EEB">
        <w:rPr>
          <w:rFonts w:ascii="Sylfaen" w:hAnsi="Sylfaen"/>
          <w:sz w:val="24"/>
          <w:szCs w:val="24"/>
        </w:rPr>
        <w:t>տրիսմեթիլեն]տրիֆենոլ (պոլիմերային 10-րդ նյութի հավելանյութ)՝ 0,3 %-ից ոչ ավելի.</w:t>
      </w:r>
    </w:p>
    <w:p w14:paraId="3EB99896"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2,2’-բիս(օկտադեցիլօքսի)</w:t>
      </w:r>
      <w:r w:rsidR="005418C1" w:rsidRPr="005418C1">
        <w:rPr>
          <w:rFonts w:ascii="Sylfaen" w:hAnsi="Sylfaen"/>
          <w:sz w:val="24"/>
          <w:szCs w:val="24"/>
        </w:rPr>
        <w:t xml:space="preserve"> </w:t>
      </w:r>
      <w:r w:rsidRPr="00825EEB">
        <w:rPr>
          <w:rFonts w:ascii="Sylfaen" w:hAnsi="Sylfaen"/>
          <w:sz w:val="24"/>
          <w:szCs w:val="24"/>
        </w:rPr>
        <w:t>-5,5</w:t>
      </w:r>
      <w:r w:rsidRPr="00825EEB">
        <w:rPr>
          <w:rFonts w:ascii="Sylfaen" w:hAnsi="Sylfaen"/>
          <w:i/>
          <w:sz w:val="24"/>
          <w:szCs w:val="24"/>
        </w:rPr>
        <w:t>'</w:t>
      </w:r>
      <w:r w:rsidRPr="00825EEB">
        <w:rPr>
          <w:rFonts w:ascii="Sylfaen" w:hAnsi="Sylfaen"/>
          <w:sz w:val="24"/>
          <w:szCs w:val="24"/>
        </w:rPr>
        <w:t>-սպիրոբի</w:t>
      </w:r>
      <w:r w:rsidR="005418C1" w:rsidRPr="005418C1">
        <w:rPr>
          <w:rFonts w:ascii="Sylfaen" w:hAnsi="Sylfaen"/>
          <w:sz w:val="24"/>
          <w:szCs w:val="24"/>
        </w:rPr>
        <w:t xml:space="preserve"> </w:t>
      </w:r>
      <w:r w:rsidRPr="00825EEB">
        <w:rPr>
          <w:rFonts w:ascii="Sylfaen" w:hAnsi="Sylfaen"/>
          <w:sz w:val="24"/>
          <w:szCs w:val="24"/>
        </w:rPr>
        <w:t>[1,3,2-դիօքսաֆոսֆինան]</w:t>
      </w:r>
      <w:r w:rsidR="005418C1" w:rsidRPr="005418C1">
        <w:rPr>
          <w:rFonts w:ascii="Sylfaen" w:hAnsi="Sylfaen"/>
          <w:sz w:val="24"/>
          <w:szCs w:val="24"/>
        </w:rPr>
        <w:t xml:space="preserve"> </w:t>
      </w:r>
      <w:r w:rsidRPr="00825EEB">
        <w:rPr>
          <w:rFonts w:ascii="Sylfaen" w:hAnsi="Sylfaen"/>
          <w:sz w:val="24"/>
          <w:szCs w:val="24"/>
        </w:rPr>
        <w:t>(պոլիմերային 14-րդ նյութի հավելանյութ)՝ 0,3 %-ից ոչ ավելի.</w:t>
      </w:r>
    </w:p>
    <w:p w14:paraId="711F8D74"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դիդոդեցիլ-3,3</w:t>
      </w:r>
      <w:r w:rsidRPr="00825EEB">
        <w:rPr>
          <w:rFonts w:ascii="Sylfaen" w:hAnsi="Sylfaen"/>
          <w:i/>
          <w:sz w:val="24"/>
          <w:szCs w:val="24"/>
        </w:rPr>
        <w:t>'</w:t>
      </w:r>
      <w:r w:rsidRPr="00825EEB">
        <w:rPr>
          <w:rFonts w:ascii="Sylfaen" w:hAnsi="Sylfaen"/>
          <w:sz w:val="24"/>
          <w:szCs w:val="24"/>
        </w:rPr>
        <w:t>-թիոդիպրոպիոնատ (պոլիմերային 16-րդ նյութի հավելանյութ)՝ 0,3 %-ից ոչ ավելի.</w:t>
      </w:r>
    </w:p>
    <w:p w14:paraId="6282889C"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դիօկտադեցիլ-3,3</w:t>
      </w:r>
      <w:r w:rsidRPr="00825EEB">
        <w:rPr>
          <w:rFonts w:ascii="Sylfaen" w:hAnsi="Sylfaen"/>
          <w:i/>
          <w:sz w:val="24"/>
          <w:szCs w:val="24"/>
        </w:rPr>
        <w:t>'</w:t>
      </w:r>
      <w:r w:rsidRPr="00825EEB">
        <w:rPr>
          <w:rFonts w:ascii="Sylfaen" w:hAnsi="Sylfaen"/>
          <w:sz w:val="24"/>
          <w:szCs w:val="24"/>
        </w:rPr>
        <w:t>-թիոդիպրոպիոնատ (պոլիմերային 17-րդ նյութի հավելանյութ)՝ 0,3 %-ից ոչ ավելի.</w:t>
      </w:r>
    </w:p>
    <w:p w14:paraId="44BFB10C"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տրիս</w:t>
      </w:r>
      <w:r w:rsidR="003B27EC" w:rsidRPr="003B27EC">
        <w:rPr>
          <w:rFonts w:ascii="Sylfaen" w:hAnsi="Sylfaen"/>
          <w:sz w:val="24"/>
          <w:szCs w:val="24"/>
        </w:rPr>
        <w:t xml:space="preserve"> </w:t>
      </w:r>
      <w:r w:rsidRPr="00825EEB">
        <w:rPr>
          <w:rFonts w:ascii="Sylfaen" w:hAnsi="Sylfaen"/>
          <w:sz w:val="24"/>
          <w:szCs w:val="24"/>
        </w:rPr>
        <w:t>[2,4-բիս(1,1-դիմեթիլէթիլ)-)</w:t>
      </w:r>
      <w:r w:rsidR="003B27EC" w:rsidRPr="003B27EC">
        <w:rPr>
          <w:rFonts w:ascii="Sylfaen" w:hAnsi="Sylfaen"/>
          <w:sz w:val="24"/>
          <w:szCs w:val="24"/>
        </w:rPr>
        <w:t xml:space="preserve"> </w:t>
      </w:r>
      <w:r w:rsidRPr="00825EEB">
        <w:rPr>
          <w:rFonts w:ascii="Sylfaen" w:hAnsi="Sylfaen"/>
          <w:sz w:val="24"/>
          <w:szCs w:val="24"/>
        </w:rPr>
        <w:t>ֆենիլ]ֆոսֆիտ (պոլիմերային 12-րդ նյութի հավելանյութ)՝ 0,3 %-ից ոչ ավելի.</w:t>
      </w:r>
    </w:p>
    <w:p w14:paraId="08F7F42D"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պոլիմերային 18-րդ նյութի հավելանյութ՝ 0,1 %-ից ոչ ավելի.</w:t>
      </w:r>
    </w:p>
    <w:p w14:paraId="2B5F1B85"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 xml:space="preserve">դիմեթիլսուկցինատի </w:t>
      </w:r>
      <w:r>
        <w:rPr>
          <w:rFonts w:ascii="Sylfaen" w:hAnsi="Sylfaen"/>
          <w:sz w:val="24"/>
          <w:szCs w:val="24"/>
        </w:rPr>
        <w:t>եւ</w:t>
      </w:r>
      <w:r w:rsidRPr="00825EEB">
        <w:rPr>
          <w:rFonts w:ascii="Sylfaen" w:hAnsi="Sylfaen"/>
          <w:sz w:val="24"/>
          <w:szCs w:val="24"/>
        </w:rPr>
        <w:t xml:space="preserve"> (4-հիդրօքսի-2,2,6,6-տետրամեթիլպիպերիդին-1-իլ)էթանոլի համապոլիմեր (պոլիմերային 22-րդ նյութի հավելանյութ)՝ 0,3 %-ից ոչ ավելի:</w:t>
      </w:r>
    </w:p>
    <w:p w14:paraId="7AAF877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Վերը թվարկված հակաօքսիդիչ հավելանյութերի ընդհանուր պարունակությունը չպետք է գերազանցի 0,3%-ը:</w:t>
      </w:r>
    </w:p>
    <w:p w14:paraId="3AEDE63C"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հիդրոտալցիտ՝ 0,5 %-ից ոչ ավելի.</w:t>
      </w:r>
    </w:p>
    <w:p w14:paraId="53A65035"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EC4C80" w:rsidRPr="00A859E3">
        <w:rPr>
          <w:rFonts w:ascii="Sylfaen" w:hAnsi="Sylfaen"/>
          <w:sz w:val="24"/>
          <w:szCs w:val="24"/>
        </w:rPr>
        <w:tab/>
      </w:r>
      <w:r w:rsidRPr="00825EEB">
        <w:rPr>
          <w:rFonts w:ascii="Sylfaen" w:hAnsi="Sylfaen"/>
          <w:sz w:val="24"/>
          <w:szCs w:val="24"/>
        </w:rPr>
        <w:t>ալկանամիդներ՝ 0,5 %-ից ոչ ավելի.</w:t>
      </w:r>
    </w:p>
    <w:p w14:paraId="2E5FD4E0"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ալկենամիդներ՝ 0,5 %-ից ոչ ավելի.</w:t>
      </w:r>
    </w:p>
    <w:p w14:paraId="2D766420"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նատրիումի ալյումասիլիկատ՝ 0,5 %-ից ոչ ավելի.</w:t>
      </w:r>
    </w:p>
    <w:p w14:paraId="31EBF5CB"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սիլիցիումի դիօքսիդ (բնական կամ սինթետիկ, պատվածքով կամ առանց պատվածքի)՝ 0,5 %-ից ոչ ավելի.</w:t>
      </w:r>
    </w:p>
    <w:p w14:paraId="4441423D"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նատրիումի բենզոատ՝ 0,5 %-ից ոչ ավելի.</w:t>
      </w:r>
    </w:p>
    <w:p w14:paraId="169701AB"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ճարպաթթուների եթերներ կամ աղեր՝ 0,5 %-ից ոչ ավելի.</w:t>
      </w:r>
    </w:p>
    <w:p w14:paraId="3A27B8FD"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տրինատրիումի ֆոսֆատ՝ 0,5 %-ից ոչ ավելի.</w:t>
      </w:r>
    </w:p>
    <w:p w14:paraId="20F0A0C6"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հեղուկ պարաֆին (վազելինային յուղ)՝ 0,5 %-ից ոչ ավելի.</w:t>
      </w:r>
    </w:p>
    <w:p w14:paraId="4A547DC2"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ցինկի օքսիդ՝ 0,5 %-ից ոչ ավելի.</w:t>
      </w:r>
    </w:p>
    <w:p w14:paraId="26694D4D"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տալկ՝ 0,5 %-ից ոչ ավելի.</w:t>
      </w:r>
    </w:p>
    <w:p w14:paraId="30C743F0"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մագնեզիումի օքսիդ՝ 0,2 %-ից ոչ ավելի.</w:t>
      </w:r>
    </w:p>
    <w:p w14:paraId="6786142B"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կալցիումի ստեարատ կամ ցինկի ստեարատ կամ դրանց խառնուրդը՝ 0,5 %-ից ոչ ավելի.</w:t>
      </w:r>
    </w:p>
    <w:p w14:paraId="1DC0A87D" w14:textId="77777777" w:rsidR="0058052E" w:rsidRPr="00825EEB" w:rsidRDefault="0058052E" w:rsidP="00EC4C8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EC4C80" w:rsidRPr="00A859E3">
        <w:rPr>
          <w:rFonts w:ascii="Sylfaen" w:hAnsi="Sylfaen"/>
          <w:sz w:val="24"/>
          <w:szCs w:val="24"/>
        </w:rPr>
        <w:tab/>
      </w:r>
      <w:r w:rsidRPr="00825EEB">
        <w:rPr>
          <w:rFonts w:ascii="Sylfaen" w:hAnsi="Sylfaen"/>
          <w:sz w:val="24"/>
          <w:szCs w:val="24"/>
        </w:rPr>
        <w:t>տիտանի դիօքսիդ՝ 4 %-ից ոչ ավելի:</w:t>
      </w:r>
    </w:p>
    <w:p w14:paraId="030C8859" w14:textId="77777777" w:rsidR="0058052E" w:rsidRPr="00825EEB" w:rsidRDefault="0058052E" w:rsidP="0058052E">
      <w:pPr>
        <w:spacing w:after="160" w:line="360" w:lineRule="auto"/>
        <w:ind w:firstLine="567"/>
        <w:jc w:val="both"/>
        <w:rPr>
          <w:i/>
          <w:iCs/>
        </w:rPr>
      </w:pPr>
      <w:r w:rsidRPr="00825EEB">
        <w:t xml:space="preserve">Նյութի մատակարարը պետք է երաշխավորի, որ յուրաքանչյուր արտադրական սերիայի որակական </w:t>
      </w:r>
      <w:r>
        <w:t>եւ</w:t>
      </w:r>
      <w:r w:rsidRPr="00825EEB">
        <w:t xml:space="preserve"> քանակական կազմերը համապատասխանում են տիպային նմուշին (</w:t>
      </w:r>
      <w:r w:rsidRPr="00825EEB">
        <w:rPr>
          <w:i/>
        </w:rPr>
        <w:t>2.4.2.3</w:t>
      </w:r>
      <w:r w:rsidRPr="00825EEB">
        <w:t>):</w:t>
      </w:r>
    </w:p>
    <w:p w14:paraId="12D77602" w14:textId="77777777" w:rsidR="0058052E" w:rsidRPr="00825EEB" w:rsidRDefault="0058052E" w:rsidP="0058052E">
      <w:pPr>
        <w:spacing w:after="160" w:line="360" w:lineRule="auto"/>
        <w:ind w:firstLine="567"/>
        <w:jc w:val="both"/>
        <w:rPr>
          <w:i/>
          <w:iCs/>
        </w:rPr>
      </w:pPr>
    </w:p>
    <w:p w14:paraId="6ED6DCA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43DAFC48"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Փոշի, միատարր գնդիկներ, հատիկներ կամ վերամշակումից հետո՝ տարբեր հաստության թիթեղներ, կամ փոխակերպումից հետո՝ առաջնային փաթեթվածքի տեսակներ:</w:t>
      </w:r>
    </w:p>
    <w:p w14:paraId="430D304C" w14:textId="77777777" w:rsidR="001B3D08" w:rsidRPr="00D35F34" w:rsidRDefault="001B3D08" w:rsidP="001B3D08">
      <w:pPr>
        <w:pStyle w:val="a0"/>
        <w:shd w:val="clear" w:color="auto" w:fill="auto"/>
        <w:spacing w:after="160" w:line="360" w:lineRule="auto"/>
        <w:jc w:val="both"/>
        <w:rPr>
          <w:rFonts w:ascii="Sylfaen" w:hAnsi="Sylfaen" w:cs="Sylfaen"/>
          <w:sz w:val="24"/>
          <w:szCs w:val="24"/>
        </w:rPr>
      </w:pPr>
    </w:p>
    <w:p w14:paraId="6C029AC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Լուծելիությունը.</w:t>
      </w:r>
      <w:r w:rsidRPr="00825EEB">
        <w:rPr>
          <w:rFonts w:ascii="Sylfaen" w:hAnsi="Sylfaen"/>
          <w:sz w:val="24"/>
          <w:szCs w:val="24"/>
        </w:rPr>
        <w:t xml:space="preserve"> Գրեթե լուծելի չէ ջրի, անջուր էթանոլի, հեքսանի </w:t>
      </w:r>
      <w:r>
        <w:rPr>
          <w:rFonts w:ascii="Sylfaen" w:hAnsi="Sylfaen"/>
          <w:sz w:val="24"/>
          <w:szCs w:val="24"/>
        </w:rPr>
        <w:t>եւ</w:t>
      </w:r>
      <w:r w:rsidRPr="00825EEB">
        <w:rPr>
          <w:rFonts w:ascii="Sylfaen" w:hAnsi="Sylfaen"/>
          <w:sz w:val="24"/>
          <w:szCs w:val="24"/>
        </w:rPr>
        <w:t xml:space="preserve"> մեթանոլի մեջ, լուծելի է տաք արոմատիկ ածխաջրածիններում:</w:t>
      </w:r>
    </w:p>
    <w:p w14:paraId="3AF926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Փափկում է 65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65 °C"/>
        </w:smartTagPr>
        <w:r w:rsidRPr="00825EEB">
          <w:rPr>
            <w:rFonts w:ascii="Sylfaen" w:hAnsi="Sylfaen"/>
            <w:sz w:val="24"/>
            <w:szCs w:val="24"/>
          </w:rPr>
          <w:t>165 °C</w:t>
        </w:r>
      </w:smartTag>
      <w:r w:rsidRPr="00825EEB">
        <w:rPr>
          <w:rFonts w:ascii="Sylfaen" w:hAnsi="Sylfaen"/>
          <w:sz w:val="24"/>
          <w:szCs w:val="24"/>
        </w:rPr>
        <w:t xml:space="preserve"> ջերմաստիճանում: Այրվելիս բոցը երանգավորվում է կապույտ գույնով:</w:t>
      </w:r>
    </w:p>
    <w:p w14:paraId="034CA47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2E4E543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0E021D9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պոլիոլեֆինի նմուշներն անհրաժեշտության դեպքում կտրատում են մասերի, որոնց կողմերի չափը 1 սմ-ից ոչ ավելի է:</w:t>
      </w:r>
    </w:p>
    <w:p w14:paraId="02364FFA" w14:textId="77777777" w:rsidR="0058052E" w:rsidRPr="00825EEB" w:rsidRDefault="0058052E" w:rsidP="002B2475">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2B2475" w:rsidRPr="002B2475">
        <w:rPr>
          <w:rFonts w:ascii="Sylfaen" w:hAnsi="Sylfaen"/>
          <w:sz w:val="24"/>
          <w:szCs w:val="24"/>
        </w:rPr>
        <w:tab/>
      </w:r>
      <w:r w:rsidRPr="00825EEB">
        <w:rPr>
          <w:rFonts w:ascii="Sylfaen" w:hAnsi="Sylfaen"/>
          <w:sz w:val="24"/>
          <w:szCs w:val="24"/>
        </w:rPr>
        <w:t xml:space="preserve">Որոշումն անցկացնում են ինֆրակարմիր հատվածում աբսորբման սպեկտրալուսաչափության մեթոդով </w:t>
      </w:r>
      <w:r w:rsidRPr="00825EEB">
        <w:rPr>
          <w:rFonts w:ascii="Sylfaen" w:hAnsi="Sylfaen"/>
          <w:i/>
          <w:sz w:val="24"/>
          <w:szCs w:val="24"/>
        </w:rPr>
        <w:t>(2.1.2.23):</w:t>
      </w:r>
    </w:p>
    <w:p w14:paraId="78A6D1A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պոլիոլեֆինի 0,25 գ-ին ավելացնում են </w:t>
      </w:r>
      <w:r w:rsidRPr="00825EEB">
        <w:rPr>
          <w:rFonts w:ascii="Sylfaen" w:hAnsi="Sylfaen"/>
          <w:i/>
          <w:sz w:val="24"/>
          <w:szCs w:val="24"/>
        </w:rPr>
        <w:t>Ռ տոլուոլի</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15</w:t>
      </w:r>
      <w:r w:rsidR="00F4254A" w:rsidRPr="00F4254A">
        <w:rPr>
          <w:rFonts w:ascii="Sylfaen" w:hAnsi="Sylfaen"/>
          <w:sz w:val="24"/>
          <w:szCs w:val="24"/>
        </w:rPr>
        <w:t> </w:t>
      </w:r>
      <w:r w:rsidRPr="00825EEB">
        <w:rPr>
          <w:rFonts w:ascii="Sylfaen" w:hAnsi="Sylfaen"/>
          <w:sz w:val="24"/>
          <w:szCs w:val="24"/>
        </w:rPr>
        <w:t xml:space="preserve">րոպե եռացնում հակադարձ սառնարանով: Ստացված լուծույթի մի քանի կաթիլ տեղադրում են նատրիումի քլորիդի թիթեղի կամ </w:t>
      </w:r>
      <w:r w:rsidRPr="00825EEB">
        <w:rPr>
          <w:rFonts w:ascii="Sylfaen" w:hAnsi="Sylfaen"/>
          <w:i/>
          <w:sz w:val="24"/>
          <w:szCs w:val="24"/>
        </w:rPr>
        <w:t>Ռ կալիումի բրոմիդի</w:t>
      </w:r>
      <w:r w:rsidRPr="00825EEB">
        <w:rPr>
          <w:rFonts w:ascii="Sylfaen" w:hAnsi="Sylfaen"/>
          <w:sz w:val="24"/>
          <w:szCs w:val="24"/>
        </w:rPr>
        <w:t xml:space="preserve"> սկավառակի վրա </w:t>
      </w:r>
      <w:r>
        <w:rPr>
          <w:rFonts w:ascii="Sylfaen" w:hAnsi="Sylfaen"/>
          <w:sz w:val="24"/>
          <w:szCs w:val="24"/>
        </w:rPr>
        <w:t>եւ</w:t>
      </w:r>
      <w:r w:rsidRPr="00825EEB">
        <w:rPr>
          <w:rFonts w:ascii="Sylfaen" w:hAnsi="Sylfaen"/>
          <w:sz w:val="24"/>
          <w:szCs w:val="24"/>
        </w:rPr>
        <w:t xml:space="preserve"> լիաչոր շոգեհանում </w:t>
      </w:r>
      <w:smartTag w:uri="urn:schemas-microsoft-com:office:smarttags" w:element="metricconverter">
        <w:smartTagPr>
          <w:attr w:name="ProductID" w:val="80 °C"/>
        </w:smartTagPr>
        <w:r w:rsidRPr="00825EEB">
          <w:rPr>
            <w:rFonts w:ascii="Sylfaen" w:hAnsi="Sylfaen"/>
            <w:sz w:val="24"/>
            <w:szCs w:val="24"/>
          </w:rPr>
          <w:t>80 °C</w:t>
        </w:r>
      </w:smartTag>
      <w:r w:rsidRPr="00825EEB">
        <w:rPr>
          <w:rFonts w:ascii="Sylfaen" w:hAnsi="Sylfaen"/>
          <w:sz w:val="24"/>
          <w:szCs w:val="24"/>
        </w:rPr>
        <w:t xml:space="preserve"> ջերմաստիճանի տակ:</w:t>
      </w:r>
    </w:p>
    <w:p w14:paraId="32C6F25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Սպեկտրը նա</w:t>
      </w:r>
      <w:r>
        <w:rPr>
          <w:rFonts w:ascii="Sylfaen" w:hAnsi="Sylfaen"/>
          <w:sz w:val="24"/>
          <w:szCs w:val="24"/>
        </w:rPr>
        <w:t>եւ</w:t>
      </w:r>
      <w:r w:rsidRPr="00825EEB">
        <w:rPr>
          <w:rFonts w:ascii="Sylfaen" w:hAnsi="Sylfaen"/>
          <w:sz w:val="24"/>
          <w:szCs w:val="24"/>
        </w:rPr>
        <w:t xml:space="preserve"> կարող է ուղղակիորեն գրանցվել թիթեղների, հատիկների կամ տաք սեղմված թաղանթների համապատասխան չափով կտրված հատվածի վրա՝ խախտված ընդհանուր ներքին արտացոլման օգտագործմամբ: Կլանման ստացված ինֆրակարմիր սպեկտրը պետք է համապատասխանի պոլիոլեֆինի տիպային նմուշի սպեկտրին:</w:t>
      </w:r>
    </w:p>
    <w:p w14:paraId="154B6380" w14:textId="77777777" w:rsidR="0058052E" w:rsidRPr="00825EEB" w:rsidRDefault="0058052E" w:rsidP="002B2475">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Բ.</w:t>
      </w:r>
      <w:r w:rsidR="002B2475" w:rsidRPr="002B2475">
        <w:rPr>
          <w:rFonts w:ascii="Sylfaen" w:hAnsi="Sylfaen"/>
          <w:sz w:val="24"/>
          <w:szCs w:val="24"/>
        </w:rPr>
        <w:tab/>
      </w:r>
      <w:r w:rsidRPr="00825EEB">
        <w:rPr>
          <w:rFonts w:ascii="Sylfaen" w:hAnsi="Sylfaen"/>
          <w:sz w:val="24"/>
          <w:szCs w:val="24"/>
        </w:rPr>
        <w:t xml:space="preserve">Փորձարկվող պոլիոլեֆինը պետք է անցնի </w:t>
      </w:r>
      <w:r w:rsidRPr="00825EEB">
        <w:rPr>
          <w:rFonts w:ascii="Sylfaen" w:hAnsi="Sylfaen"/>
          <w:i/>
          <w:sz w:val="24"/>
          <w:szCs w:val="24"/>
        </w:rPr>
        <w:t>հավելանյութի</w:t>
      </w:r>
      <w:r w:rsidRPr="00825EEB">
        <w:rPr>
          <w:rFonts w:ascii="Sylfaen" w:hAnsi="Sylfaen"/>
          <w:sz w:val="24"/>
          <w:szCs w:val="24"/>
        </w:rPr>
        <w:t xml:space="preserve"> սահմանային պարունակության լրացուցիչ փորձարկումներ՝ </w:t>
      </w:r>
      <w:r w:rsidRPr="00825EEB">
        <w:rPr>
          <w:rFonts w:ascii="Sylfaen" w:hAnsi="Sylfaen"/>
          <w:i/>
          <w:sz w:val="24"/>
          <w:szCs w:val="24"/>
        </w:rPr>
        <w:t>«Փորձարկումներ»</w:t>
      </w:r>
      <w:r w:rsidRPr="00825EEB">
        <w:rPr>
          <w:rFonts w:ascii="Sylfaen" w:hAnsi="Sylfaen"/>
          <w:sz w:val="24"/>
          <w:szCs w:val="24"/>
        </w:rPr>
        <w:t xml:space="preserve"> բաժնում նշված ցուցումներին համապատասխան:</w:t>
      </w:r>
    </w:p>
    <w:p w14:paraId="0834D6F5" w14:textId="77777777" w:rsidR="0058052E" w:rsidRPr="00825EEB" w:rsidRDefault="0058052E" w:rsidP="002B2475">
      <w:pPr>
        <w:tabs>
          <w:tab w:val="left" w:pos="1134"/>
        </w:tabs>
        <w:spacing w:after="160" w:line="346" w:lineRule="auto"/>
        <w:ind w:firstLine="567"/>
        <w:jc w:val="both"/>
      </w:pPr>
      <w:r w:rsidRPr="00825EEB">
        <w:t>Գ.</w:t>
      </w:r>
      <w:r w:rsidR="002B2475" w:rsidRPr="002B2475">
        <w:tab/>
      </w:r>
      <w:r w:rsidRPr="00825EEB">
        <w:rPr>
          <w:i/>
        </w:rPr>
        <w:t>Իրականացվում է միայն անթափանց նմուշների համար</w:t>
      </w:r>
      <w:r w:rsidRPr="00825EEB">
        <w:t xml:space="preserve">։ Փորձարկվող նմուշի մոտավորապես 20 մգ տեղադրում են պլատինե հալքանոթի մեջ </w:t>
      </w:r>
      <w:r w:rsidRPr="00825EEB">
        <w:rPr>
          <w:i/>
        </w:rPr>
        <w:t>Ռ</w:t>
      </w:r>
      <w:r w:rsidR="00F4254A" w:rsidRPr="00F4254A">
        <w:rPr>
          <w:i/>
        </w:rPr>
        <w:t> </w:t>
      </w:r>
      <w:r w:rsidRPr="00825EEB">
        <w:rPr>
          <w:i/>
        </w:rPr>
        <w:t>կալիումի հիդրոսուլֆատի</w:t>
      </w:r>
      <w:r w:rsidRPr="00825EEB">
        <w:t xml:space="preserve"> 1 գ-ի հետ, խառնում են, տաքացնում մինչ</w:t>
      </w:r>
      <w:r>
        <w:t>եւ</w:t>
      </w:r>
      <w:r w:rsidRPr="00825EEB">
        <w:t xml:space="preserve"> ամբողջովին հալվելը </w:t>
      </w:r>
      <w:r>
        <w:t>եւ</w:t>
      </w:r>
      <w:r w:rsidRPr="00825EEB">
        <w:t xml:space="preserve"> հովացնում են: Ավելացնում են </w:t>
      </w:r>
      <w:r w:rsidRPr="00825EEB">
        <w:rPr>
          <w:i/>
        </w:rPr>
        <w:t>Ռ նոսրացված ծծմբաթթվի</w:t>
      </w:r>
      <w:r w:rsidRPr="00825EEB">
        <w:t xml:space="preserve"> </w:t>
      </w:r>
      <w:r w:rsidRPr="00825EEB">
        <w:lastRenderedPageBreak/>
        <w:t xml:space="preserve">20 մլ, զգուշորեն տաքացնում են </w:t>
      </w:r>
      <w:r>
        <w:t>եւ</w:t>
      </w:r>
      <w:r w:rsidRPr="00825EEB">
        <w:t xml:space="preserve"> զտում: Ստացված զտվածքին ավելացնում են </w:t>
      </w:r>
      <w:r w:rsidRPr="00825EEB">
        <w:rPr>
          <w:i/>
        </w:rPr>
        <w:t>Ռ</w:t>
      </w:r>
      <w:r w:rsidR="00F4254A" w:rsidRPr="00F4254A">
        <w:rPr>
          <w:i/>
        </w:rPr>
        <w:t> </w:t>
      </w:r>
      <w:r w:rsidRPr="00825EEB">
        <w:rPr>
          <w:i/>
        </w:rPr>
        <w:t>ֆոսֆորաթթվի</w:t>
      </w:r>
      <w:r w:rsidRPr="00825EEB">
        <w:t xml:space="preserve"> 1 մլ </w:t>
      </w:r>
      <w:r>
        <w:t>եւ</w:t>
      </w:r>
      <w:r w:rsidRPr="00825EEB">
        <w:t xml:space="preserve"> </w:t>
      </w:r>
      <w:r w:rsidRPr="00825EEB">
        <w:rPr>
          <w:i/>
        </w:rPr>
        <w:t>Ռ կոնցենտրացված ջրածնի պերօքսիդի լուծույթի</w:t>
      </w:r>
      <w:r w:rsidRPr="00825EEB">
        <w:t xml:space="preserve"> 1 մլ. եթե փորձարկվող պոլիոլեֆինը պարունակում է տիտանի դիօքսիդ, ապա պետք է նկատվի նարնջագույն-դեղին գունավորում:</w:t>
      </w:r>
    </w:p>
    <w:p w14:paraId="6E2723FB" w14:textId="77777777" w:rsidR="0058052E" w:rsidRPr="00825EEB" w:rsidRDefault="0058052E" w:rsidP="001B3D08">
      <w:pPr>
        <w:spacing w:after="160" w:line="346" w:lineRule="auto"/>
        <w:ind w:firstLine="567"/>
        <w:jc w:val="both"/>
        <w:rPr>
          <w:i/>
          <w:iCs/>
        </w:rPr>
      </w:pPr>
    </w:p>
    <w:p w14:paraId="6E9C501D"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ՓՈՐՁԱՐԿՈՒՄՆԵՐԸ</w:t>
      </w:r>
    </w:p>
    <w:p w14:paraId="7DBA5328"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701511A6"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i/>
          <w:sz w:val="24"/>
          <w:szCs w:val="24"/>
        </w:rPr>
        <w:t xml:space="preserve">Տ1 լուծույթը պետք է օգտագործվի պատրաստելուց հետո 4 ժամվա ընթացքում: </w:t>
      </w:r>
      <w:r w:rsidRPr="00825EEB">
        <w:rPr>
          <w:rFonts w:ascii="Sylfaen" w:hAnsi="Sylfaen"/>
          <w:sz w:val="24"/>
          <w:szCs w:val="24"/>
        </w:rPr>
        <w:t xml:space="preserve">Փորձարկվող նմուշի 25 գ տեղադրում են կիպահղկած խցանով բորասիլիկատային ապակուց փորձանոթի մեջ, ավելացնում են </w:t>
      </w:r>
      <w:r w:rsidRPr="00825EEB">
        <w:rPr>
          <w:rFonts w:ascii="Sylfaen" w:hAnsi="Sylfaen"/>
          <w:i/>
          <w:sz w:val="24"/>
          <w:szCs w:val="24"/>
        </w:rPr>
        <w:t>ներարկումների համար Ռ ջրի</w:t>
      </w:r>
      <w:r w:rsidRPr="00825EEB">
        <w:rPr>
          <w:rFonts w:ascii="Sylfaen" w:hAnsi="Sylfaen"/>
          <w:sz w:val="24"/>
          <w:szCs w:val="24"/>
        </w:rPr>
        <w:t xml:space="preserve"> 500 մլ </w:t>
      </w:r>
      <w:r>
        <w:rPr>
          <w:rFonts w:ascii="Sylfaen" w:hAnsi="Sylfaen"/>
          <w:sz w:val="24"/>
          <w:szCs w:val="24"/>
        </w:rPr>
        <w:t>եւ</w:t>
      </w:r>
      <w:r w:rsidRPr="00825EEB">
        <w:rPr>
          <w:rFonts w:ascii="Sylfaen" w:hAnsi="Sylfaen"/>
          <w:sz w:val="24"/>
          <w:szCs w:val="24"/>
        </w:rPr>
        <w:t xml:space="preserve"> 5 ժամ եռացնում հակադարձ սառնարանով: Լուծույթը հովացնում </w:t>
      </w:r>
      <w:r>
        <w:rPr>
          <w:rFonts w:ascii="Sylfaen" w:hAnsi="Sylfaen"/>
          <w:sz w:val="24"/>
          <w:szCs w:val="24"/>
        </w:rPr>
        <w:t>եւ</w:t>
      </w:r>
      <w:r w:rsidRPr="00825EEB">
        <w:rPr>
          <w:rFonts w:ascii="Sylfaen" w:hAnsi="Sylfaen"/>
          <w:sz w:val="24"/>
          <w:szCs w:val="24"/>
        </w:rPr>
        <w:t xml:space="preserve"> պարզվածքազատում են: Լուծույթի մի մասը պահում են թափանցիկության </w:t>
      </w:r>
      <w:r>
        <w:rPr>
          <w:rFonts w:ascii="Sylfaen" w:hAnsi="Sylfaen"/>
          <w:sz w:val="24"/>
          <w:szCs w:val="24"/>
        </w:rPr>
        <w:t>եւ</w:t>
      </w:r>
      <w:r w:rsidRPr="00825EEB">
        <w:rPr>
          <w:rFonts w:ascii="Sylfaen" w:hAnsi="Sylfaen"/>
          <w:sz w:val="24"/>
          <w:szCs w:val="24"/>
        </w:rPr>
        <w:t xml:space="preserve"> գունայնության փորձարկում անցկացնելու համար: Մնացած լուծույթը զտում են ապակյա զտիչով (16) </w:t>
      </w:r>
      <w:r w:rsidRPr="00F4254A">
        <w:rPr>
          <w:rFonts w:ascii="Sylfaen" w:hAnsi="Sylfaen"/>
          <w:i/>
          <w:sz w:val="24"/>
          <w:szCs w:val="24"/>
        </w:rPr>
        <w:t>(2.1.1.2)։</w:t>
      </w:r>
    </w:p>
    <w:p w14:paraId="735311B3"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 xml:space="preserve">Փորձարկվող նմուշի 0,2 գ տեղադրում են կիպահղկած խցանով բորասիլիկատային ապակուց կոնաձեւ փորձանոթի մեջ, ավելացնում են </w:t>
      </w:r>
      <w:r w:rsidRPr="00825EEB">
        <w:rPr>
          <w:rFonts w:ascii="Sylfaen" w:hAnsi="Sylfaen"/>
          <w:i/>
          <w:sz w:val="24"/>
          <w:szCs w:val="24"/>
        </w:rPr>
        <w:t>Ռ տոլուոլի</w:t>
      </w:r>
      <w:r w:rsidRPr="00825EEB">
        <w:rPr>
          <w:rFonts w:ascii="Sylfaen" w:hAnsi="Sylfaen"/>
          <w:sz w:val="24"/>
          <w:szCs w:val="24"/>
        </w:rPr>
        <w:t xml:space="preserve"> 80 մլ </w:t>
      </w:r>
      <w:r>
        <w:rPr>
          <w:rFonts w:ascii="Sylfaen" w:hAnsi="Sylfaen"/>
          <w:sz w:val="24"/>
          <w:szCs w:val="24"/>
        </w:rPr>
        <w:t>եւ</w:t>
      </w:r>
      <w:r w:rsidRPr="00825EEB">
        <w:rPr>
          <w:rFonts w:ascii="Sylfaen" w:hAnsi="Sylfaen"/>
          <w:sz w:val="24"/>
          <w:szCs w:val="24"/>
        </w:rPr>
        <w:t xml:space="preserve"> 90 րոպե եռացնում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60 °C-ը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 մեթանոլի</w:t>
      </w:r>
      <w:r w:rsidRPr="00825EEB">
        <w:rPr>
          <w:rFonts w:ascii="Sylfaen" w:hAnsi="Sylfaen"/>
          <w:sz w:val="24"/>
          <w:szCs w:val="24"/>
        </w:rPr>
        <w:t xml:space="preserve"> 120 մլ՝ անդադար խառնելով: Լուծույթը զտում են ապակյա զտիչի միջոցով (16) (2.1.1.2)։ Փորձանոթն ու զտիչը լվանում են </w:t>
      </w:r>
      <w:r w:rsidRPr="00825EEB">
        <w:rPr>
          <w:rFonts w:ascii="Sylfaen" w:hAnsi="Sylfaen"/>
          <w:i/>
          <w:sz w:val="24"/>
          <w:szCs w:val="24"/>
        </w:rPr>
        <w:t>Ռ տոլուոլ – Ռ մեթանոլ</w:t>
      </w:r>
      <w:r w:rsidRPr="00825EEB">
        <w:rPr>
          <w:rFonts w:ascii="Sylfaen" w:hAnsi="Sylfaen"/>
          <w:sz w:val="24"/>
          <w:szCs w:val="24"/>
        </w:rPr>
        <w:t xml:space="preserve"> խառնուրդի 25 մլ-ով (40:60 ծավ/ծավ), ողողվածքն ավելացնում են զտվածքին </w:t>
      </w:r>
      <w:r>
        <w:rPr>
          <w:rFonts w:ascii="Sylfaen" w:hAnsi="Sylfaen"/>
          <w:sz w:val="24"/>
          <w:szCs w:val="24"/>
        </w:rPr>
        <w:t>եւ</w:t>
      </w:r>
      <w:r w:rsidRPr="00825EEB">
        <w:rPr>
          <w:rFonts w:ascii="Sylfaen" w:hAnsi="Sylfaen"/>
          <w:sz w:val="24"/>
          <w:szCs w:val="24"/>
        </w:rPr>
        <w:t xml:space="preserve"> ստացված լուծույթի ծավալը նույն լուծիչների խառնուրդով հասցնում են մինչ</w:t>
      </w:r>
      <w:r>
        <w:rPr>
          <w:rFonts w:ascii="Sylfaen" w:hAnsi="Sylfaen"/>
          <w:sz w:val="24"/>
          <w:szCs w:val="24"/>
        </w:rPr>
        <w:t>եւ</w:t>
      </w:r>
      <w:r w:rsidRPr="00825EEB">
        <w:rPr>
          <w:rFonts w:ascii="Sylfaen" w:hAnsi="Sylfaen"/>
          <w:sz w:val="24"/>
          <w:szCs w:val="24"/>
        </w:rPr>
        <w:t xml:space="preserve"> 250 մլ-ը: Նա</w:t>
      </w:r>
      <w:r>
        <w:rPr>
          <w:rFonts w:ascii="Sylfaen" w:hAnsi="Sylfaen"/>
          <w:sz w:val="24"/>
          <w:szCs w:val="24"/>
        </w:rPr>
        <w:t>եւ</w:t>
      </w:r>
      <w:r w:rsidRPr="00825EEB">
        <w:rPr>
          <w:rFonts w:ascii="Sylfaen" w:hAnsi="Sylfaen"/>
          <w:sz w:val="24"/>
          <w:szCs w:val="24"/>
        </w:rPr>
        <w:t xml:space="preserve"> պատրաստում են Տ2 ստուգիչ լուծույթը:</w:t>
      </w:r>
    </w:p>
    <w:p w14:paraId="54DAFEB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Տ3 լուծույթը։ </w:t>
      </w:r>
      <w:r w:rsidRPr="00825EEB">
        <w:rPr>
          <w:rFonts w:ascii="Sylfaen" w:hAnsi="Sylfaen"/>
          <w:sz w:val="24"/>
          <w:szCs w:val="24"/>
        </w:rPr>
        <w:t>Փորձարկվող նմուշի 100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0,1 Մ քլորաջրածնային թթվի</w:t>
      </w:r>
      <w:r w:rsidRPr="00825EEB">
        <w:rPr>
          <w:rFonts w:ascii="Sylfaen" w:hAnsi="Sylfaen"/>
          <w:sz w:val="24"/>
          <w:szCs w:val="24"/>
        </w:rPr>
        <w:t xml:space="preserve"> 250 մլ </w:t>
      </w:r>
      <w:r>
        <w:rPr>
          <w:rFonts w:ascii="Sylfaen" w:hAnsi="Sylfaen"/>
          <w:sz w:val="24"/>
          <w:szCs w:val="24"/>
        </w:rPr>
        <w:t>եւ</w:t>
      </w:r>
      <w:r w:rsidRPr="00825EEB">
        <w:rPr>
          <w:rFonts w:ascii="Sylfaen" w:hAnsi="Sylfaen"/>
          <w:sz w:val="24"/>
          <w:szCs w:val="24"/>
        </w:rPr>
        <w:t xml:space="preserve"> 1 ժամ եռացնում հակադարձ սառնարանով՝ անդադար խառնելով: Լուծույթը հովացնում </w:t>
      </w:r>
      <w:r>
        <w:rPr>
          <w:rFonts w:ascii="Sylfaen" w:hAnsi="Sylfaen"/>
          <w:sz w:val="24"/>
          <w:szCs w:val="24"/>
        </w:rPr>
        <w:t>եւ</w:t>
      </w:r>
      <w:r w:rsidRPr="00825EEB">
        <w:rPr>
          <w:rFonts w:ascii="Sylfaen" w:hAnsi="Sylfaen"/>
          <w:sz w:val="24"/>
          <w:szCs w:val="24"/>
        </w:rPr>
        <w:t xml:space="preserve"> պարզվածքազատում են:</w:t>
      </w:r>
    </w:p>
    <w:p w14:paraId="706B2BC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լուծույթը պետք է թափանցիկ լինի։</w:t>
      </w:r>
    </w:p>
    <w:p w14:paraId="5A7AE44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w:t>
      </w:r>
      <w:r w:rsidRPr="00825EEB">
        <w:rPr>
          <w:rFonts w:ascii="Sylfaen" w:hAnsi="Sylfaen"/>
          <w:sz w:val="24"/>
          <w:szCs w:val="24"/>
        </w:rPr>
        <w:t>, Մեթոդ II)։ Տ1 լուծույթը պետք է լինի անգույն:</w:t>
      </w:r>
    </w:p>
    <w:p w14:paraId="37937ABD" w14:textId="77777777" w:rsidR="0058052E" w:rsidRPr="00825EEB" w:rsidRDefault="0058052E" w:rsidP="0058052E">
      <w:pPr>
        <w:spacing w:after="160" w:line="360" w:lineRule="auto"/>
        <w:ind w:firstLine="567"/>
        <w:jc w:val="both"/>
        <w:rPr>
          <w:i/>
          <w:iCs/>
        </w:rPr>
      </w:pPr>
      <w:r w:rsidRPr="00825EEB">
        <w:rPr>
          <w:b/>
        </w:rPr>
        <w:t xml:space="preserve">Թթվայնությունը </w:t>
      </w:r>
      <w:r>
        <w:rPr>
          <w:b/>
        </w:rPr>
        <w:t>եւ</w:t>
      </w:r>
      <w:r w:rsidRPr="00825EEB">
        <w:rPr>
          <w:b/>
        </w:rPr>
        <w:t xml:space="preserve"> ալկալիականությունը։ </w:t>
      </w:r>
      <w:r w:rsidRPr="00825EEB">
        <w:t>Տ1 լուծույթի 100 մլ-ին ավելացնում</w:t>
      </w:r>
      <w:r w:rsidR="00F4254A" w:rsidRPr="00F4254A">
        <w:t> </w:t>
      </w:r>
      <w:r w:rsidRPr="00825EEB">
        <w:t xml:space="preserve">են </w:t>
      </w:r>
      <w:r w:rsidRPr="00825EEB">
        <w:rPr>
          <w:i/>
        </w:rPr>
        <w:t xml:space="preserve">Ռ ցուցիչի </w:t>
      </w:r>
      <w:smartTag w:uri="urn:schemas-microsoft-com:office:smarttags" w:element="stockticker">
        <w:r w:rsidRPr="00825EEB">
          <w:rPr>
            <w:i/>
          </w:rPr>
          <w:t>BRP</w:t>
        </w:r>
      </w:smartTag>
      <w:r w:rsidRPr="00825EEB">
        <w:rPr>
          <w:i/>
        </w:rPr>
        <w:t xml:space="preserve"> լուծույթի</w:t>
      </w:r>
      <w:r w:rsidRPr="00825EEB">
        <w:t xml:space="preserve"> 0,15 մլ՝ ցուցիչի երանգը պետք է փոխվի մինչ</w:t>
      </w:r>
      <w:r>
        <w:t>եւ</w:t>
      </w:r>
      <w:r w:rsidRPr="00825EEB">
        <w:t xml:space="preserve"> կապույտը՝ </w:t>
      </w:r>
      <w:r w:rsidRPr="00825EEB">
        <w:rPr>
          <w:i/>
        </w:rPr>
        <w:t>0,01 Մ նատրիումի հիդրօքսիդի լուծույթի</w:t>
      </w:r>
      <w:r w:rsidRPr="00825EEB">
        <w:t xml:space="preserve"> ոչ ավելի քան 1,5 մլ ավելացնելիս:</w:t>
      </w:r>
      <w:r w:rsidRPr="00825EEB">
        <w:rPr>
          <w:i/>
        </w:rPr>
        <w:t xml:space="preserve"> </w:t>
      </w:r>
      <w:r w:rsidRPr="00825EEB">
        <w:t xml:space="preserve">Տ1 լուծույթի 100 մլ-ին ավելացնում են </w:t>
      </w:r>
      <w:r w:rsidRPr="00825EEB">
        <w:rPr>
          <w:i/>
        </w:rPr>
        <w:t>Ռ մեթիլ նարնջագույնի լուծույթի</w:t>
      </w:r>
      <w:r w:rsidRPr="00825EEB">
        <w:t xml:space="preserve"> 0,2 մլ. լուծույթը ստանում է դեղին գունավորում: Լուծույթի նարնջագույն գունավորումը պետք է հայտնվի 0,01 </w:t>
      </w:r>
      <w:r w:rsidRPr="00825EEB">
        <w:rPr>
          <w:i/>
        </w:rPr>
        <w:t>Մ քլորաջրածնային թթվի</w:t>
      </w:r>
      <w:r w:rsidRPr="00825EEB">
        <w:t xml:space="preserve"> 1,0 մլ-ից ոչ ավելի ավելացնելիս:</w:t>
      </w:r>
    </w:p>
    <w:p w14:paraId="2FD8786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Microsoft Sans Serif" w:hAnsi="Sylfaen" w:cs="Microsoft Sans Serif"/>
          <w:b/>
          <w:color w:val="000000"/>
          <w:sz w:val="24"/>
          <w:szCs w:val="24"/>
        </w:rPr>
        <w:t>Կլանումը / Օպտիկական խտությունը</w:t>
      </w:r>
      <w:r w:rsidRPr="00825EEB">
        <w:rPr>
          <w:rFonts w:ascii="Sylfaen" w:eastAsia="Microsoft Sans Serif" w:hAnsi="Sylfaen" w:cs="Microsoft Sans Serif"/>
          <w:color w:val="000000"/>
          <w:sz w:val="24"/>
          <w:szCs w:val="24"/>
        </w:rPr>
        <w:t xml:space="preserve"> (</w:t>
      </w:r>
      <w:r w:rsidRPr="00825EEB">
        <w:rPr>
          <w:rFonts w:ascii="Sylfaen" w:eastAsia="Microsoft Sans Serif" w:hAnsi="Sylfaen" w:cs="Microsoft Sans Serif"/>
          <w:i/>
          <w:color w:val="000000"/>
          <w:sz w:val="24"/>
          <w:szCs w:val="24"/>
        </w:rPr>
        <w:t>2.1.2.24</w:t>
      </w:r>
      <w:r w:rsidRPr="00825EEB">
        <w:rPr>
          <w:rFonts w:ascii="Sylfaen" w:eastAsia="Microsoft Sans Serif" w:hAnsi="Sylfaen" w:cs="Microsoft Sans Serif"/>
          <w:color w:val="000000"/>
          <w:sz w:val="24"/>
          <w:szCs w:val="24"/>
        </w:rPr>
        <w:t>)։</w:t>
      </w:r>
      <w:r w:rsidRPr="00825EEB">
        <w:rPr>
          <w:rFonts w:ascii="Sylfaen" w:hAnsi="Sylfaen"/>
          <w:sz w:val="24"/>
          <w:szCs w:val="24"/>
        </w:rPr>
        <w:t xml:space="preserve"> 0,2-ից ոչ ավելի:</w:t>
      </w:r>
    </w:p>
    <w:p w14:paraId="1E90F0A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S1 լուծույթի օգտագործմամբ՝ ալիքների 220 նմ-ից մինչ</w:t>
      </w:r>
      <w:r>
        <w:rPr>
          <w:rFonts w:ascii="Sylfaen" w:hAnsi="Sylfaen"/>
          <w:sz w:val="24"/>
          <w:szCs w:val="24"/>
        </w:rPr>
        <w:t>եւ</w:t>
      </w:r>
      <w:r w:rsidRPr="00825EEB">
        <w:rPr>
          <w:rFonts w:ascii="Sylfaen" w:hAnsi="Sylfaen"/>
          <w:sz w:val="24"/>
          <w:szCs w:val="24"/>
        </w:rPr>
        <w:t xml:space="preserve"> 340 նմ երկարության հատվածում:</w:t>
      </w:r>
    </w:p>
    <w:p w14:paraId="396CDE3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Վերականգնող նյութերը։ </w:t>
      </w:r>
      <w:r w:rsidRPr="00825EEB">
        <w:rPr>
          <w:rFonts w:ascii="Sylfaen" w:hAnsi="Sylfaen"/>
          <w:sz w:val="24"/>
          <w:szCs w:val="24"/>
        </w:rPr>
        <w:t xml:space="preserve">Տ1 լուծույթի 20,0 մլ-ին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0,002 Մ կալիումի պերմանգանատի լուծույթի</w:t>
      </w:r>
      <w:r w:rsidRPr="00825EEB">
        <w:rPr>
          <w:rFonts w:ascii="Sylfaen" w:hAnsi="Sylfaen"/>
          <w:sz w:val="24"/>
          <w:szCs w:val="24"/>
        </w:rPr>
        <w:t xml:space="preserve"> 20,0</w:t>
      </w:r>
      <w:r w:rsidR="002B2475" w:rsidRPr="002B2475">
        <w:rPr>
          <w:rFonts w:ascii="Sylfaen" w:hAnsi="Sylfaen"/>
          <w:sz w:val="24"/>
          <w:szCs w:val="24"/>
        </w:rPr>
        <w:t> </w:t>
      </w:r>
      <w:r w:rsidRPr="00825EEB">
        <w:rPr>
          <w:rFonts w:ascii="Sylfaen" w:hAnsi="Sylfaen"/>
          <w:sz w:val="24"/>
          <w:szCs w:val="24"/>
        </w:rPr>
        <w:t xml:space="preserve">մլ, 3 րոպե եռացնում են հակադարձ սառնարանով </w:t>
      </w:r>
      <w:r>
        <w:rPr>
          <w:rFonts w:ascii="Sylfaen" w:hAnsi="Sylfaen"/>
          <w:sz w:val="24"/>
          <w:szCs w:val="24"/>
        </w:rPr>
        <w:t>եւ</w:t>
      </w:r>
      <w:r w:rsidRPr="00825EEB">
        <w:rPr>
          <w:rFonts w:ascii="Sylfaen" w:hAnsi="Sylfaen"/>
          <w:sz w:val="24"/>
          <w:szCs w:val="24"/>
        </w:rPr>
        <w:t xml:space="preserve"> անմիջապես հովացնում, ավելացնում</w:t>
      </w:r>
      <w:r w:rsidR="00F4254A" w:rsidRPr="00F4254A">
        <w:rPr>
          <w:rFonts w:ascii="Sylfaen" w:hAnsi="Sylfaen"/>
          <w:sz w:val="24"/>
          <w:szCs w:val="24"/>
        </w:rPr>
        <w:t> </w:t>
      </w:r>
      <w:r w:rsidRPr="00825EEB">
        <w:rPr>
          <w:rFonts w:ascii="Sylfaen" w:hAnsi="Sylfaen"/>
          <w:sz w:val="24"/>
          <w:szCs w:val="24"/>
        </w:rPr>
        <w:t xml:space="preserve">են </w:t>
      </w:r>
      <w:r w:rsidRPr="00825EEB">
        <w:rPr>
          <w:rFonts w:ascii="Sylfaen" w:hAnsi="Sylfaen"/>
          <w:i/>
          <w:sz w:val="24"/>
          <w:szCs w:val="24"/>
        </w:rPr>
        <w:t>Ռ կալիումի յոդիդի</w:t>
      </w:r>
      <w:r w:rsidRPr="00825EEB">
        <w:rPr>
          <w:rFonts w:ascii="Sylfaen" w:hAnsi="Sylfaen"/>
          <w:sz w:val="24"/>
          <w:szCs w:val="24"/>
        </w:rPr>
        <w:t xml:space="preserve"> 1 գ </w:t>
      </w:r>
      <w:r>
        <w:rPr>
          <w:rFonts w:ascii="Sylfaen" w:hAnsi="Sylfaen"/>
          <w:sz w:val="24"/>
          <w:szCs w:val="24"/>
        </w:rPr>
        <w:t>եւ</w:t>
      </w:r>
      <w:r w:rsidRPr="00825EEB">
        <w:rPr>
          <w:rFonts w:ascii="Sylfaen" w:hAnsi="Sylfaen"/>
          <w:sz w:val="24"/>
          <w:szCs w:val="24"/>
        </w:rPr>
        <w:t xml:space="preserve"> իսկույն տիտրում </w:t>
      </w:r>
      <w:r w:rsidRPr="00825EEB">
        <w:rPr>
          <w:rFonts w:ascii="Sylfaen" w:hAnsi="Sylfaen"/>
          <w:i/>
          <w:sz w:val="24"/>
          <w:szCs w:val="24"/>
        </w:rPr>
        <w:t>0,01 Մ նատրիումի 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կատարում են ստուգիչ փորձարկում՝ օգտագործելով </w:t>
      </w:r>
      <w:r w:rsidRPr="00825EEB">
        <w:rPr>
          <w:rFonts w:ascii="Sylfaen" w:hAnsi="Sylfaen"/>
          <w:i/>
          <w:sz w:val="24"/>
          <w:szCs w:val="24"/>
        </w:rPr>
        <w:t>ներարկումների համար Ռ ջրի</w:t>
      </w:r>
      <w:r w:rsidRPr="00825EEB">
        <w:rPr>
          <w:rFonts w:ascii="Sylfaen" w:hAnsi="Sylfaen"/>
          <w:sz w:val="24"/>
          <w:szCs w:val="24"/>
        </w:rPr>
        <w:t xml:space="preserve"> 20 մլ: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3,0 մլ-ը:</w:t>
      </w:r>
    </w:p>
    <w:p w14:paraId="209653A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Ալյումին։ </w:t>
      </w:r>
      <w:r w:rsidRPr="00825EEB">
        <w:rPr>
          <w:rFonts w:ascii="Sylfaen" w:hAnsi="Sylfaen"/>
          <w:sz w:val="24"/>
          <w:szCs w:val="24"/>
        </w:rPr>
        <w:t>1 ppm-ից ոչ ավելի։</w:t>
      </w:r>
    </w:p>
    <w:p w14:paraId="4214F04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3853E615"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05AE963D" w14:textId="77777777" w:rsidR="001B3D08" w:rsidRPr="00D35F34" w:rsidRDefault="001B3D08" w:rsidP="0058052E">
      <w:pPr>
        <w:pStyle w:val="a0"/>
        <w:shd w:val="clear" w:color="auto" w:fill="auto"/>
        <w:spacing w:after="160" w:line="360" w:lineRule="auto"/>
        <w:ind w:firstLine="567"/>
        <w:jc w:val="both"/>
        <w:rPr>
          <w:rFonts w:ascii="Sylfaen" w:hAnsi="Sylfaen" w:cs="Sylfaen"/>
          <w:sz w:val="24"/>
          <w:szCs w:val="24"/>
        </w:rPr>
      </w:pPr>
    </w:p>
    <w:p w14:paraId="15C657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ալյումինի իոնների ստանդարտ լուծույթը</w:t>
      </w:r>
      <w:r w:rsidRPr="00825EEB">
        <w:rPr>
          <w:rFonts w:ascii="Sylfaen" w:hAnsi="Sylfaen"/>
          <w:sz w:val="24"/>
          <w:szCs w:val="24"/>
        </w:rPr>
        <w:t xml:space="preserve"> </w:t>
      </w:r>
      <w:r w:rsidRPr="00825EEB">
        <w:rPr>
          <w:rFonts w:ascii="Sylfaen" w:hAnsi="Sylfaen"/>
          <w:i/>
          <w:sz w:val="24"/>
          <w:szCs w:val="24"/>
        </w:rPr>
        <w:t xml:space="preserve">(200 ppm Al </w:t>
      </w:r>
      <w:r w:rsidRPr="00825EEB">
        <w:rPr>
          <w:rFonts w:ascii="Sylfaen" w:hAnsi="Sylfaen"/>
          <w:i/>
          <w:sz w:val="24"/>
          <w:szCs w:val="24"/>
          <w:vertAlign w:val="superscript"/>
        </w:rPr>
        <w:t>3+</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75099D4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ալյումինի էմիսիայի ինտենսիվությունն ալիքի 396,15 նմ երկարությամբ՝ կատարելով սպեկտրալ ֆոնի շտկում ալիքի 396,25 նմ երկարությամբ:</w:t>
      </w:r>
    </w:p>
    <w:p w14:paraId="0CE466A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ալյումինի բացակայությունը:</w:t>
      </w:r>
    </w:p>
    <w:p w14:paraId="314383EA" w14:textId="77777777" w:rsidR="0058052E" w:rsidRPr="00825EEB"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b/>
          <w:sz w:val="24"/>
          <w:szCs w:val="24"/>
        </w:rPr>
        <w:t>Տիտան</w:t>
      </w:r>
      <w:r w:rsidRPr="00825EEB">
        <w:rPr>
          <w:rFonts w:ascii="Sylfaen" w:hAnsi="Sylfaen"/>
          <w:sz w:val="24"/>
          <w:szCs w:val="24"/>
        </w:rPr>
        <w:t xml:space="preserve"> (ոչ տիտանի դիօքսիդից մաքրված պոլիոլեֆինների համար): 1 ppm-ից ոչ ավելի։</w:t>
      </w:r>
    </w:p>
    <w:p w14:paraId="0628810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5AEA94E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7460287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 xml:space="preserve">Ռ տիտանի իոնների ստանդարտ լուծույթը (100 ppm Ti </w:t>
      </w:r>
      <w:r w:rsidRPr="00825EEB">
        <w:rPr>
          <w:rFonts w:ascii="Sylfaen" w:hAnsi="Sylfaen"/>
          <w:i/>
          <w:sz w:val="24"/>
          <w:szCs w:val="24"/>
          <w:vertAlign w:val="superscript"/>
        </w:rPr>
        <w:t>3+</w:t>
      </w:r>
      <w:r w:rsidRPr="00825EEB">
        <w:rPr>
          <w:rFonts w:ascii="Sylfaen" w:hAnsi="Sylfaen"/>
          <w:i/>
          <w:sz w:val="24"/>
          <w:szCs w:val="24"/>
        </w:rPr>
        <w:t>)՝ 0,1 Մ քլորաջրածնային թթվով նոսրացնելով</w:t>
      </w:r>
      <w:r w:rsidRPr="00825EEB">
        <w:rPr>
          <w:rFonts w:ascii="Sylfaen" w:hAnsi="Sylfaen"/>
          <w:sz w:val="24"/>
          <w:szCs w:val="24"/>
        </w:rPr>
        <w:t>:</w:t>
      </w:r>
    </w:p>
    <w:p w14:paraId="27FCDA9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տիտանի էմիսիայի ինտենսիվությունն ալիքի 336,12 նմ երկարությամբ՝ կատարելով սպեկտրալ ֆոնի շտկում ալիքի 336,16 նմ երկարությամբ:</w:t>
      </w:r>
    </w:p>
    <w:p w14:paraId="2A5B5EE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տիտանի բացակայությունը:</w:t>
      </w:r>
    </w:p>
    <w:p w14:paraId="0E5386C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1 ppm-ից ոչ ավելի։</w:t>
      </w:r>
    </w:p>
    <w:p w14:paraId="35672EA1" w14:textId="77777777" w:rsidR="0058052E" w:rsidRPr="00825EEB" w:rsidRDefault="0058052E" w:rsidP="0058052E">
      <w:pPr>
        <w:spacing w:after="160" w:line="360" w:lineRule="auto"/>
        <w:ind w:firstLine="567"/>
        <w:jc w:val="both"/>
        <w:rPr>
          <w:i/>
          <w:iCs/>
        </w:rPr>
      </w:pPr>
      <w:r w:rsidRPr="00825EEB">
        <w:t>Որոշումն անցկացնում են ատոմաաբսորբման սպեկտրաչափության մեթոդով (</w:t>
      </w:r>
      <w:r w:rsidRPr="00825EEB">
        <w:rPr>
          <w:i/>
        </w:rPr>
        <w:t>2.1.2.22, մեթոդ I</w:t>
      </w:r>
      <w:r w:rsidRPr="00825EEB">
        <w:t>)։</w:t>
      </w:r>
    </w:p>
    <w:p w14:paraId="5274AD4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61277D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ցինկի իոնների ստանդարտ լուծույթը (10 ppm Zn</w:t>
      </w:r>
      <w:r w:rsidRPr="00825EEB">
        <w:rPr>
          <w:rFonts w:ascii="Sylfaen" w:hAnsi="Sylfaen"/>
          <w:i/>
          <w:sz w:val="24"/>
          <w:szCs w:val="24"/>
          <w:vertAlign w:val="superscript"/>
        </w:rPr>
        <w:t>2+</w:t>
      </w:r>
      <w:r w:rsidRPr="00825EEB">
        <w:rPr>
          <w:rFonts w:ascii="Sylfaen" w:hAnsi="Sylfaen"/>
          <w:i/>
          <w:sz w:val="24"/>
          <w:szCs w:val="24"/>
        </w:rPr>
        <w:t>) 0,1 Մ քլորաջրածնային թթվով նոսրացնելով</w:t>
      </w:r>
      <w:r w:rsidRPr="00825EEB">
        <w:rPr>
          <w:rFonts w:ascii="Sylfaen" w:hAnsi="Sylfaen"/>
          <w:sz w:val="24"/>
          <w:szCs w:val="24"/>
        </w:rPr>
        <w:t>:</w:t>
      </w:r>
    </w:p>
    <w:p w14:paraId="43060D4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Որոշման պայմանները՝</w:t>
      </w:r>
    </w:p>
    <w:p w14:paraId="5A3974ED" w14:textId="77777777" w:rsidR="0058052E" w:rsidRPr="00825EEB" w:rsidRDefault="0058052E" w:rsidP="00F4254A">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F4254A" w:rsidRPr="00A859E3">
        <w:rPr>
          <w:rFonts w:ascii="Sylfaen" w:hAnsi="Sylfaen"/>
          <w:i/>
          <w:sz w:val="24"/>
          <w:szCs w:val="24"/>
        </w:rPr>
        <w:tab/>
      </w:r>
      <w:r w:rsidRPr="00825EEB">
        <w:rPr>
          <w:rFonts w:ascii="Sylfaen" w:hAnsi="Sylfaen"/>
          <w:i/>
          <w:sz w:val="24"/>
          <w:szCs w:val="24"/>
        </w:rPr>
        <w:t>աղբյուրը՝</w:t>
      </w:r>
      <w:r w:rsidRPr="00825EEB">
        <w:rPr>
          <w:rFonts w:ascii="Sylfaen" w:hAnsi="Sylfaen"/>
          <w:sz w:val="24"/>
          <w:szCs w:val="24"/>
        </w:rPr>
        <w:t xml:space="preserve"> սնամեջ կատոդով ցինկից լամպ.</w:t>
      </w:r>
    </w:p>
    <w:p w14:paraId="69479125" w14:textId="77777777" w:rsidR="0058052E" w:rsidRPr="00825EEB" w:rsidRDefault="0058052E" w:rsidP="00F4254A">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F4254A" w:rsidRPr="00A859E3">
        <w:rPr>
          <w:rFonts w:ascii="Sylfaen" w:hAnsi="Sylfaen"/>
          <w:i/>
          <w:sz w:val="24"/>
          <w:szCs w:val="24"/>
        </w:rPr>
        <w:tab/>
      </w:r>
      <w:r w:rsidRPr="00825EEB">
        <w:rPr>
          <w:rFonts w:ascii="Sylfaen" w:hAnsi="Sylfaen"/>
          <w:i/>
          <w:sz w:val="24"/>
          <w:szCs w:val="24"/>
        </w:rPr>
        <w:t>ալիքի երկարությունը՝</w:t>
      </w:r>
      <w:r w:rsidRPr="00825EEB">
        <w:rPr>
          <w:rFonts w:ascii="Sylfaen" w:hAnsi="Sylfaen"/>
          <w:sz w:val="24"/>
          <w:szCs w:val="24"/>
        </w:rPr>
        <w:t xml:space="preserve"> 213,9 նմ.</w:t>
      </w:r>
    </w:p>
    <w:p w14:paraId="79982B9A" w14:textId="77777777" w:rsidR="0058052E" w:rsidRPr="00825EEB" w:rsidRDefault="0058052E" w:rsidP="001B3D08">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F4254A" w:rsidRPr="00A859E3">
        <w:rPr>
          <w:rFonts w:ascii="Sylfaen" w:hAnsi="Sylfaen"/>
          <w:i/>
          <w:sz w:val="24"/>
          <w:szCs w:val="24"/>
        </w:rPr>
        <w:tab/>
      </w:r>
      <w:r w:rsidRPr="00825EEB">
        <w:rPr>
          <w:rFonts w:ascii="Sylfaen" w:hAnsi="Sylfaen"/>
          <w:i/>
          <w:sz w:val="24"/>
          <w:szCs w:val="24"/>
        </w:rPr>
        <w:t>փոշեցրիչը՝</w:t>
      </w:r>
      <w:r w:rsidRPr="00825EEB">
        <w:rPr>
          <w:rFonts w:ascii="Sylfaen" w:hAnsi="Sylfaen"/>
          <w:sz w:val="24"/>
          <w:szCs w:val="24"/>
        </w:rPr>
        <w:t xml:space="preserve"> օդային-ացետիլենային բոց:</w:t>
      </w:r>
    </w:p>
    <w:p w14:paraId="5DCDBA1D"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ցինկի բացակայությունը:</w:t>
      </w:r>
    </w:p>
    <w:p w14:paraId="3869DE73"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Ծանր մետաղները: </w:t>
      </w:r>
      <w:r w:rsidRPr="00825EEB">
        <w:rPr>
          <w:rFonts w:ascii="Sylfaen" w:hAnsi="Sylfaen"/>
          <w:i/>
          <w:sz w:val="24"/>
          <w:szCs w:val="24"/>
        </w:rPr>
        <w:t>(2.1.4.8)։</w:t>
      </w:r>
      <w:r w:rsidRPr="00825EEB">
        <w:rPr>
          <w:rFonts w:ascii="Sylfaen" w:hAnsi="Sylfaen"/>
          <w:sz w:val="24"/>
          <w:szCs w:val="24"/>
        </w:rPr>
        <w:t xml:space="preserve"> 2,5 ppm-ից ոչ ավելի։</w:t>
      </w:r>
    </w:p>
    <w:p w14:paraId="5087BB8A"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Տ3 լուծույթի 50 մլ ջրային բաղնիքի վրա եռաթանձրացնում են մինչ</w:t>
      </w:r>
      <w:r>
        <w:rPr>
          <w:rFonts w:ascii="Sylfaen" w:hAnsi="Sylfaen"/>
          <w:sz w:val="24"/>
          <w:szCs w:val="24"/>
        </w:rPr>
        <w:t>եւ</w:t>
      </w:r>
      <w:r w:rsidRPr="00825EEB">
        <w:rPr>
          <w:rFonts w:ascii="Sylfaen" w:hAnsi="Sylfaen"/>
          <w:sz w:val="24"/>
          <w:szCs w:val="24"/>
        </w:rPr>
        <w:t xml:space="preserve"> 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ծավալը հասցնում մինչեւ 20,0 մլ-ը: Ստացված լուծույթի 12 մլ պետք է անցնի ծանր մետաղների մասով Ա փորձարկում: Համեմատության լուծույթը պատրաստում են՝ օգտագործելով </w:t>
      </w:r>
      <w:r w:rsidRPr="00825EEB">
        <w:rPr>
          <w:rFonts w:ascii="Sylfaen" w:hAnsi="Sylfaen"/>
          <w:i/>
          <w:sz w:val="24"/>
          <w:szCs w:val="24"/>
        </w:rPr>
        <w:t>Ռ կապարի իոնների ստանդարտ լուծույթի (10</w:t>
      </w:r>
      <w:r w:rsidR="00B77ACE" w:rsidRPr="00B77ACE">
        <w:rPr>
          <w:rFonts w:ascii="Sylfaen" w:hAnsi="Sylfaen"/>
          <w:i/>
          <w:sz w:val="24"/>
          <w:szCs w:val="24"/>
        </w:rPr>
        <w:t> </w:t>
      </w:r>
      <w:r w:rsidRPr="00825EEB">
        <w:rPr>
          <w:rFonts w:ascii="Sylfaen" w:hAnsi="Sylfaen"/>
          <w:i/>
          <w:sz w:val="24"/>
          <w:szCs w:val="24"/>
        </w:rPr>
        <w:t>ppm Pb</w:t>
      </w:r>
      <w:r w:rsidRPr="00825EEB">
        <w:rPr>
          <w:rFonts w:ascii="Sylfaen" w:hAnsi="Sylfaen"/>
          <w:i/>
          <w:sz w:val="24"/>
          <w:szCs w:val="24"/>
          <w:vertAlign w:val="superscript"/>
        </w:rPr>
        <w:t>2+</w:t>
      </w:r>
      <w:r w:rsidRPr="00825EEB">
        <w:rPr>
          <w:rFonts w:ascii="Sylfaen" w:hAnsi="Sylfaen"/>
          <w:i/>
          <w:sz w:val="24"/>
          <w:szCs w:val="24"/>
        </w:rPr>
        <w:t>)</w:t>
      </w:r>
      <w:r w:rsidRPr="00825EEB">
        <w:rPr>
          <w:rFonts w:ascii="Sylfaen" w:hAnsi="Sylfaen"/>
          <w:sz w:val="24"/>
          <w:szCs w:val="24"/>
        </w:rPr>
        <w:t xml:space="preserve"> 2,5 մլ:</w:t>
      </w:r>
    </w:p>
    <w:p w14:paraId="02328E34"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Սուլֆատային մոխիր (</w:t>
      </w:r>
      <w:r w:rsidRPr="00825EEB">
        <w:rPr>
          <w:rFonts w:ascii="Sylfaen" w:hAnsi="Sylfaen"/>
          <w:i/>
          <w:sz w:val="24"/>
          <w:szCs w:val="24"/>
        </w:rPr>
        <w:t>2.1.4.14</w:t>
      </w:r>
      <w:r w:rsidRPr="00825EEB">
        <w:rPr>
          <w:rFonts w:ascii="Sylfaen" w:hAnsi="Sylfaen"/>
          <w:sz w:val="24"/>
          <w:szCs w:val="24"/>
        </w:rPr>
        <w:t>)։ 1,0 %-ից ոչ ավելի:</w:t>
      </w:r>
    </w:p>
    <w:p w14:paraId="68861809"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օգտագործելով փորձարկվող նմուշի 5,0 գ:</w:t>
      </w:r>
    </w:p>
    <w:p w14:paraId="7B55057B"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Նշված թույլատրելի սահմանը չի տարածվում այն պոլիոլեֆինի վրա, որը որպես հավելանյութ պարունակում է նյութին անթափանցություն հաղորդող տիտանի դիօքսիդ:</w:t>
      </w:r>
    </w:p>
    <w:p w14:paraId="07C04C54"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p>
    <w:p w14:paraId="773CE3BE"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ԼՐԱՑՈՒՑԻՉ ՓՈՐՁԱՐԿՈՒՄՆԵՐԸ</w:t>
      </w:r>
    </w:p>
    <w:p w14:paraId="75F9D6D2"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Տվյալ փորձարկումները հարկավոր է անցկացնել ամբողջությամբ կամ մասամբ միայն այն դեպքերում, երբ դա պահանջվում է պոլիոլեֆինի նշված կազմով կամ դրա օգտագործման ոլորտով:</w:t>
      </w:r>
    </w:p>
    <w:p w14:paraId="0CB33E96" w14:textId="77777777" w:rsidR="0058052E" w:rsidRPr="00D35F34" w:rsidRDefault="0058052E" w:rsidP="001B3D08">
      <w:pPr>
        <w:pStyle w:val="a0"/>
        <w:shd w:val="clear" w:color="auto" w:fill="auto"/>
        <w:spacing w:after="160" w:line="360" w:lineRule="auto"/>
        <w:ind w:firstLine="567"/>
        <w:jc w:val="both"/>
        <w:rPr>
          <w:rFonts w:ascii="Sylfaen" w:hAnsi="Sylfaen"/>
          <w:i/>
          <w:sz w:val="24"/>
          <w:szCs w:val="24"/>
        </w:rPr>
      </w:pPr>
      <w:r w:rsidRPr="00825EEB">
        <w:rPr>
          <w:rFonts w:ascii="Sylfaen" w:hAnsi="Sylfaen"/>
          <w:b/>
          <w:sz w:val="24"/>
          <w:szCs w:val="24"/>
        </w:rPr>
        <w:t xml:space="preserve">Ֆենոլային հակաօքսիդիչները։ </w:t>
      </w:r>
      <w:r w:rsidRPr="00825EEB">
        <w:rPr>
          <w:rFonts w:ascii="Sylfaen" w:hAnsi="Sylfaen"/>
          <w:sz w:val="24"/>
          <w:szCs w:val="24"/>
        </w:rPr>
        <w:t xml:space="preserve">Որոշումն անցկացնում են հեղուկային քրոմատագրման մեթոդով </w:t>
      </w:r>
      <w:r w:rsidRPr="00825EEB">
        <w:rPr>
          <w:rFonts w:ascii="Sylfaen" w:hAnsi="Sylfaen"/>
          <w:i/>
          <w:sz w:val="24"/>
          <w:szCs w:val="24"/>
        </w:rPr>
        <w:t>(2.1.2.28):</w:t>
      </w:r>
    </w:p>
    <w:p w14:paraId="5374C38D" w14:textId="77777777" w:rsidR="001B3D08" w:rsidRPr="00D35F34" w:rsidRDefault="001B3D08" w:rsidP="001B3D08">
      <w:pPr>
        <w:pStyle w:val="a0"/>
        <w:shd w:val="clear" w:color="auto" w:fill="auto"/>
        <w:spacing w:after="160" w:line="360" w:lineRule="auto"/>
        <w:ind w:firstLine="567"/>
        <w:jc w:val="both"/>
        <w:rPr>
          <w:rFonts w:ascii="Sylfaen" w:hAnsi="Sylfaen" w:cs="Sylfaen"/>
          <w:sz w:val="24"/>
          <w:szCs w:val="24"/>
        </w:rPr>
      </w:pPr>
    </w:p>
    <w:p w14:paraId="417EE7DE" w14:textId="77777777" w:rsidR="0058052E" w:rsidRPr="00825EEB" w:rsidRDefault="0058052E" w:rsidP="001B3D08">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Լուծիչների խառնուրդը՝ </w:t>
      </w:r>
      <w:r w:rsidRPr="00825EEB">
        <w:rPr>
          <w:rFonts w:ascii="Sylfaen" w:hAnsi="Sylfaen"/>
          <w:i/>
          <w:sz w:val="24"/>
          <w:szCs w:val="24"/>
        </w:rPr>
        <w:t>Ռ ացետոնիտրիլ – Ռ տետրահիդրոֆուրան (50:50, ծավ/ծավ)</w:t>
      </w:r>
      <w:r w:rsidRPr="00825EEB">
        <w:rPr>
          <w:rFonts w:ascii="Sylfaen" w:hAnsi="Sylfaen"/>
          <w:sz w:val="24"/>
          <w:szCs w:val="24"/>
        </w:rPr>
        <w:t>։</w:t>
      </w:r>
    </w:p>
    <w:p w14:paraId="3C91FBD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Տ21 փորձարկվող լուծույթը։</w:t>
      </w:r>
      <w:r w:rsidRPr="00825EEB">
        <w:rPr>
          <w:rFonts w:ascii="Sylfaen" w:hAnsi="Sylfaen"/>
          <w:sz w:val="24"/>
          <w:szCs w:val="24"/>
        </w:rPr>
        <w:t xml:space="preserve"> Տ2 լուծույթի 50 մլ-ը </w:t>
      </w:r>
      <w:smartTag w:uri="urn:schemas-microsoft-com:office:smarttags" w:element="metricconverter">
        <w:smartTagPr>
          <w:attr w:name="ProductID" w:val="45 °C"/>
        </w:smartTagPr>
        <w:r w:rsidRPr="00825EEB">
          <w:rPr>
            <w:rFonts w:ascii="Sylfaen" w:hAnsi="Sylfaen"/>
            <w:sz w:val="24"/>
            <w:szCs w:val="24"/>
          </w:rPr>
          <w:t>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Չոր մնացորդը լուծում են լուծիչների խառնուրդի 5,0 մլ-ի մեջ: Օգտագործում են ստուգիչ լուծույթը (տե՛ս Տ2 լուծույթը):</w:t>
      </w:r>
    </w:p>
    <w:p w14:paraId="4777A99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Տ22 փորձարկվող լուծույթը։</w:t>
      </w:r>
      <w:r w:rsidRPr="00825EEB">
        <w:rPr>
          <w:rFonts w:ascii="Sylfaen" w:hAnsi="Sylfaen"/>
          <w:sz w:val="24"/>
          <w:szCs w:val="24"/>
        </w:rPr>
        <w:t xml:space="preserve"> Տ2 լուծույթի 50 մլ-ը </w:t>
      </w:r>
      <w:smartTag w:uri="urn:schemas-microsoft-com:office:smarttags" w:element="metricconverter">
        <w:smartTagPr>
          <w:attr w:name="ProductID" w:val="45 °C"/>
        </w:smartTagPr>
        <w:r w:rsidRPr="00825EEB">
          <w:rPr>
            <w:rFonts w:ascii="Sylfaen" w:hAnsi="Sylfaen"/>
            <w:sz w:val="24"/>
            <w:szCs w:val="24"/>
          </w:rPr>
          <w:t>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xml:space="preserve">: Չոր մնացորդը լուծում են </w:t>
      </w:r>
      <w:r w:rsidRPr="00825EEB">
        <w:rPr>
          <w:rFonts w:ascii="Sylfaen" w:hAnsi="Sylfaen"/>
          <w:i/>
          <w:sz w:val="24"/>
          <w:szCs w:val="24"/>
        </w:rPr>
        <w:t>Ռ</w:t>
      </w:r>
      <w:r w:rsidR="00B77ACE" w:rsidRPr="00B77ACE">
        <w:rPr>
          <w:rFonts w:ascii="Sylfaen" w:hAnsi="Sylfaen"/>
          <w:i/>
          <w:sz w:val="24"/>
          <w:szCs w:val="24"/>
        </w:rPr>
        <w:t> </w:t>
      </w:r>
      <w:r w:rsidRPr="00825EEB">
        <w:rPr>
          <w:rFonts w:ascii="Sylfaen" w:hAnsi="Sylfaen"/>
          <w:i/>
          <w:sz w:val="24"/>
          <w:szCs w:val="24"/>
        </w:rPr>
        <w:t>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մեջ 10 գ/լ </w:t>
      </w:r>
      <w:r w:rsidRPr="00825EEB">
        <w:rPr>
          <w:rFonts w:ascii="Sylfaen" w:hAnsi="Sylfaen"/>
          <w:i/>
          <w:sz w:val="24"/>
          <w:szCs w:val="24"/>
        </w:rPr>
        <w:t>Ռ տրետ-բութիլհիդրոպերօքսիդի</w:t>
      </w:r>
      <w:r w:rsidRPr="00825EEB">
        <w:rPr>
          <w:rFonts w:ascii="Sylfaen" w:hAnsi="Sylfaen"/>
          <w:sz w:val="24"/>
          <w:szCs w:val="24"/>
        </w:rPr>
        <w:t xml:space="preserve"> հավասար ծավալների խառնուրդի 5,0 մլ-ի մեջ, փակում</w:t>
      </w:r>
      <w:r w:rsidR="00B77ACE" w:rsidRPr="00B77ACE">
        <w:rPr>
          <w:rFonts w:ascii="Sylfaen" w:hAnsi="Sylfaen"/>
          <w:sz w:val="24"/>
          <w:szCs w:val="24"/>
        </w:rPr>
        <w:t> </w:t>
      </w:r>
      <w:r w:rsidRPr="00825EEB">
        <w:rPr>
          <w:rFonts w:ascii="Sylfaen" w:hAnsi="Sylfaen"/>
          <w:sz w:val="24"/>
          <w:szCs w:val="24"/>
        </w:rPr>
        <w:t xml:space="preserve">են փորձանոթը </w:t>
      </w:r>
      <w:r>
        <w:rPr>
          <w:rFonts w:ascii="Sylfaen" w:hAnsi="Sylfaen"/>
          <w:sz w:val="24"/>
          <w:szCs w:val="24"/>
        </w:rPr>
        <w:t>եւ</w:t>
      </w:r>
      <w:r w:rsidRPr="00825EEB">
        <w:rPr>
          <w:rFonts w:ascii="Sylfaen" w:hAnsi="Sylfaen"/>
          <w:sz w:val="24"/>
          <w:szCs w:val="24"/>
        </w:rPr>
        <w:t xml:space="preserve"> թողնում 1 ժամ: Օգտագործում են «Տ2 լուծույթը» փորձարկման ցուցումներին համապատասխան պատրաստված ստուգիչ լուծույթը:</w:t>
      </w:r>
    </w:p>
    <w:p w14:paraId="54B300E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Ստոր</w:t>
      </w:r>
      <w:r>
        <w:rPr>
          <w:rFonts w:ascii="Sylfaen" w:hAnsi="Sylfaen"/>
          <w:i/>
          <w:sz w:val="24"/>
          <w:szCs w:val="24"/>
        </w:rPr>
        <w:t>եւ</w:t>
      </w:r>
      <w:r w:rsidRPr="00825EEB">
        <w:rPr>
          <w:rFonts w:ascii="Sylfaen" w:hAnsi="Sylfaen"/>
          <w:i/>
          <w:sz w:val="24"/>
          <w:szCs w:val="24"/>
        </w:rPr>
        <w:t xml:space="preserve"> նշված համեմատության լուծույթներից պատրաստում են միայն այն լուծույթները, որոնք անհրաժեշտ են փորձարկվող նյութի կազմի մեջ մտնող ֆենոլային հակաօքսիդիչների վերլուծության համար:</w:t>
      </w:r>
    </w:p>
    <w:p w14:paraId="72370E23" w14:textId="77777777" w:rsidR="0058052E" w:rsidRPr="00825EEB" w:rsidRDefault="0058052E" w:rsidP="00B77ACE">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(Ա)</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Բութիլհիդրօքսիտոլուոլի ԵԱՏՄԴ</w:t>
      </w:r>
      <w:r w:rsidRPr="00825EEB">
        <w:rPr>
          <w:rStyle w:val="FootnoteReference"/>
          <w:rFonts w:ascii="Sylfaen" w:hAnsi="Sylfaen"/>
          <w:sz w:val="24"/>
          <w:szCs w:val="24"/>
        </w:rPr>
        <w:footnoteReference w:id="3"/>
      </w:r>
      <w:r w:rsidRPr="00825EEB">
        <w:rPr>
          <w:rFonts w:ascii="Sylfaen" w:hAnsi="Sylfaen"/>
          <w:sz w:val="24"/>
          <w:szCs w:val="24"/>
        </w:rPr>
        <w:t xml:space="preserve"> ՍՆ 25,0</w:t>
      </w:r>
      <w:r w:rsidR="00B77ACE" w:rsidRPr="00B77ACE">
        <w:rPr>
          <w:rFonts w:ascii="Sylfaen" w:hAnsi="Sylfaen"/>
          <w:sz w:val="24"/>
          <w:szCs w:val="24"/>
        </w:rPr>
        <w:t> </w:t>
      </w:r>
      <w:r w:rsidRPr="00825EEB">
        <w:rPr>
          <w:rFonts w:ascii="Sylfaen" w:hAnsi="Sylfaen"/>
          <w:sz w:val="24"/>
          <w:szCs w:val="24"/>
        </w:rPr>
        <w:t xml:space="preserve">մգ-ը (պոլիմերային 07 նյութի հավելանյութ) </w:t>
      </w:r>
      <w:r>
        <w:rPr>
          <w:rFonts w:ascii="Sylfaen" w:hAnsi="Sylfaen"/>
          <w:sz w:val="24"/>
          <w:szCs w:val="24"/>
        </w:rPr>
        <w:t>եւ</w:t>
      </w:r>
      <w:r w:rsidRPr="00825EEB">
        <w:rPr>
          <w:rFonts w:ascii="Sylfaen" w:hAnsi="Sylfaen"/>
          <w:sz w:val="24"/>
          <w:szCs w:val="24"/>
        </w:rPr>
        <w:t xml:space="preserve"> պոլիմերային </w:t>
      </w:r>
      <w:r w:rsidRPr="00825EEB">
        <w:rPr>
          <w:rFonts w:ascii="Sylfaen" w:hAnsi="Sylfaen"/>
          <w:i/>
          <w:sz w:val="24"/>
          <w:szCs w:val="24"/>
        </w:rPr>
        <w:t>08 նյութի հավելանյութերի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w:t>
      </w:r>
      <w:r w:rsidR="00B77ACE" w:rsidRPr="00B77ACE">
        <w:rPr>
          <w:rFonts w:ascii="Sylfaen" w:hAnsi="Sylfaen"/>
          <w:sz w:val="24"/>
          <w:szCs w:val="24"/>
        </w:rPr>
        <w:t> </w:t>
      </w:r>
      <w:r w:rsidRPr="00825EEB">
        <w:rPr>
          <w:rFonts w:ascii="Sylfaen" w:hAnsi="Sylfaen"/>
          <w:sz w:val="24"/>
          <w:szCs w:val="24"/>
        </w:rPr>
        <w:t>մլ ծավալը։</w:t>
      </w:r>
    </w:p>
    <w:p w14:paraId="45263B97"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(Բ)</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09 նյութի հավելանյութի ԵԱՏՄԴ ՍՆ</w:t>
      </w:r>
      <w:r w:rsidRPr="00825EEB">
        <w:rPr>
          <w:rFonts w:ascii="Sylfaen" w:hAnsi="Sylfaen"/>
          <w:sz w:val="24"/>
          <w:szCs w:val="24"/>
        </w:rPr>
        <w:t xml:space="preserve"> 60,0 մգ-ը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պոլիմերային 10-րդ նյութի հավելանյութի ԵԱՏՄԴ ՍՆ</w:t>
      </w:r>
      <w:r w:rsidRPr="00825EEB">
        <w:rPr>
          <w:rFonts w:ascii="Sylfaen" w:hAnsi="Sylfaen"/>
          <w:sz w:val="24"/>
          <w:szCs w:val="24"/>
        </w:rPr>
        <w:t xml:space="preserve"> 60,0</w:t>
      </w:r>
      <w:r w:rsidR="00B77ACE" w:rsidRPr="00B77ACE">
        <w:rPr>
          <w:rFonts w:ascii="Sylfaen" w:hAnsi="Sylfaen"/>
          <w:sz w:val="24"/>
          <w:szCs w:val="24"/>
        </w:rPr>
        <w:t> </w:t>
      </w:r>
      <w:r w:rsidRPr="00825EEB">
        <w:rPr>
          <w:rFonts w:ascii="Sylfaen" w:hAnsi="Sylfaen"/>
          <w:sz w:val="24"/>
          <w:szCs w:val="24"/>
        </w:rPr>
        <w:t>մգ-ը լուծում են լուծիչների խառնուրդի 10,0 մլ-ի մեջ: Ստացված լուծույթի 2,0</w:t>
      </w:r>
      <w:r w:rsidR="00B77ACE" w:rsidRPr="00B77ACE">
        <w:rPr>
          <w:rFonts w:ascii="Sylfaen" w:hAnsi="Sylfaen"/>
          <w:sz w:val="24"/>
          <w:szCs w:val="24"/>
        </w:rPr>
        <w:t> </w:t>
      </w:r>
      <w:r w:rsidRPr="00825EEB">
        <w:rPr>
          <w:rFonts w:ascii="Sylfaen" w:hAnsi="Sylfaen"/>
          <w:sz w:val="24"/>
          <w:szCs w:val="24"/>
        </w:rPr>
        <w:t>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66C8F8D4"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(Գ)</w:t>
      </w:r>
      <w:r w:rsidR="00B77ACE" w:rsidRPr="00A859E3">
        <w:rPr>
          <w:rFonts w:ascii="Sylfaen" w:hAnsi="Sylfaen"/>
          <w:i/>
          <w:sz w:val="24"/>
          <w:szCs w:val="24"/>
        </w:rPr>
        <w:tab/>
      </w:r>
      <w:r w:rsidRPr="00825EEB">
        <w:rPr>
          <w:rFonts w:ascii="Sylfaen" w:hAnsi="Sylfaen"/>
          <w:i/>
          <w:sz w:val="24"/>
          <w:szCs w:val="24"/>
        </w:rPr>
        <w:t>համեմատության լուծույթը։ Պատրաստում են օգտագործելուց անմիջապես առաջ։</w:t>
      </w:r>
      <w:r w:rsidRPr="00825EEB">
        <w:rPr>
          <w:rFonts w:ascii="Sylfaen" w:hAnsi="Sylfaen"/>
          <w:sz w:val="24"/>
          <w:szCs w:val="24"/>
        </w:rPr>
        <w:t xml:space="preserve"> Պոլիմերային 11 նյութի հավելանյութի ԵԱՏՄԴ ՍՆ 60,0 մգ-ը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lastRenderedPageBreak/>
        <w:t>պոլիմերային 12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46FEC936"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B77ACE">
        <w:rPr>
          <w:rFonts w:ascii="Sylfaen" w:hAnsi="Sylfaen"/>
          <w:i/>
          <w:spacing w:val="4"/>
          <w:sz w:val="24"/>
          <w:szCs w:val="24"/>
        </w:rPr>
        <w:t>(Դ)</w:t>
      </w:r>
      <w:r w:rsidR="00B77ACE" w:rsidRPr="00A859E3">
        <w:rPr>
          <w:rFonts w:ascii="Sylfaen" w:hAnsi="Sylfaen"/>
          <w:i/>
          <w:spacing w:val="4"/>
          <w:sz w:val="24"/>
          <w:szCs w:val="24"/>
        </w:rPr>
        <w:tab/>
      </w:r>
      <w:r w:rsidRPr="00B77ACE">
        <w:rPr>
          <w:rFonts w:ascii="Sylfaen" w:hAnsi="Sylfaen"/>
          <w:i/>
          <w:spacing w:val="4"/>
          <w:sz w:val="24"/>
          <w:szCs w:val="24"/>
        </w:rPr>
        <w:t>համեմատության լուծույթը։</w:t>
      </w:r>
      <w:r w:rsidRPr="00B77ACE">
        <w:rPr>
          <w:rFonts w:ascii="Sylfaen" w:hAnsi="Sylfaen"/>
          <w:spacing w:val="4"/>
          <w:sz w:val="24"/>
          <w:szCs w:val="24"/>
        </w:rPr>
        <w:t xml:space="preserve"> </w:t>
      </w:r>
      <w:r w:rsidRPr="00B77ACE">
        <w:rPr>
          <w:rFonts w:ascii="Sylfaen" w:hAnsi="Sylfaen"/>
          <w:i/>
          <w:spacing w:val="4"/>
          <w:sz w:val="24"/>
          <w:szCs w:val="24"/>
        </w:rPr>
        <w:t>Բութիլհիդրօքսիտոլուոլի ԵԱՏՄԴ ՍՆ</w:t>
      </w:r>
      <w:r w:rsidRPr="00B77ACE">
        <w:rPr>
          <w:rFonts w:ascii="Sylfaen" w:hAnsi="Sylfaen"/>
          <w:spacing w:val="4"/>
          <w:sz w:val="24"/>
          <w:szCs w:val="24"/>
        </w:rPr>
        <w:t xml:space="preserve"> 25,0</w:t>
      </w:r>
      <w:r w:rsidR="00B77ACE" w:rsidRPr="00B77ACE">
        <w:rPr>
          <w:rFonts w:ascii="Sylfaen" w:hAnsi="Sylfaen"/>
          <w:spacing w:val="4"/>
          <w:sz w:val="24"/>
          <w:szCs w:val="24"/>
        </w:rPr>
        <w:t> </w:t>
      </w:r>
      <w:r w:rsidRPr="00B77ACE">
        <w:rPr>
          <w:rFonts w:ascii="Sylfaen" w:hAnsi="Sylfaen"/>
          <w:spacing w:val="4"/>
          <w:sz w:val="24"/>
          <w:szCs w:val="24"/>
        </w:rPr>
        <w:t>մգ-ը</w:t>
      </w:r>
      <w:r w:rsidRPr="00B77ACE">
        <w:rPr>
          <w:rFonts w:ascii="Sylfaen" w:hAnsi="Sylfaen"/>
          <w:i/>
          <w:spacing w:val="4"/>
          <w:sz w:val="24"/>
          <w:szCs w:val="24"/>
        </w:rPr>
        <w:t>(պոլիմերային</w:t>
      </w:r>
      <w:r w:rsidRPr="00825EEB">
        <w:rPr>
          <w:rFonts w:ascii="Sylfaen" w:hAnsi="Sylfaen"/>
          <w:i/>
          <w:sz w:val="24"/>
          <w:szCs w:val="24"/>
        </w:rPr>
        <w:t xml:space="preserve"> 07 նյութի հավելանյութ)</w:t>
      </w:r>
      <w:r w:rsidRPr="00825EEB">
        <w:rPr>
          <w:rFonts w:ascii="Sylfaen" w:hAnsi="Sylfaen"/>
          <w:sz w:val="24"/>
          <w:szCs w:val="24"/>
        </w:rPr>
        <w:t xml:space="preserve">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377A018C"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(Ե)</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08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5E9A2509"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(Զ)</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 xml:space="preserve">Պոլիմերային 13-րդ նյութի հավելանյութի ԵԱՏՄԴ ՍՆ </w:t>
      </w:r>
      <w:r w:rsidRPr="00825EEB">
        <w:rPr>
          <w:rFonts w:ascii="Sylfaen" w:hAnsi="Sylfaen"/>
          <w:sz w:val="24"/>
          <w:szCs w:val="24"/>
        </w:rPr>
        <w:t>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5A8BA78E"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(Է)</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09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3AA7D1E5"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(Ը)</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10-րդ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532C19D4"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(Թ)</w:t>
      </w:r>
      <w:r w:rsidR="00B77AC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11-րդ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5DE7B979" w14:textId="77777777" w:rsidR="0058052E" w:rsidRPr="00D35F34" w:rsidRDefault="0058052E" w:rsidP="00B77ACE">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(Ժ)</w:t>
      </w:r>
      <w:r w:rsidR="00B77ACE" w:rsidRPr="00A859E3">
        <w:rPr>
          <w:rFonts w:ascii="Sylfaen" w:hAnsi="Sylfaen"/>
          <w:i/>
          <w:sz w:val="24"/>
          <w:szCs w:val="24"/>
        </w:rPr>
        <w:tab/>
      </w:r>
      <w:r w:rsidRPr="00825EEB">
        <w:rPr>
          <w:rFonts w:ascii="Sylfaen" w:hAnsi="Sylfaen"/>
          <w:i/>
          <w:sz w:val="24"/>
          <w:szCs w:val="24"/>
        </w:rPr>
        <w:t>համեմատության լուծույթը։ Պատրաստում են օգտագործելուց անմիջապես առաջ։</w:t>
      </w:r>
      <w:r w:rsidRPr="00825EEB">
        <w:rPr>
          <w:rFonts w:ascii="Sylfaen" w:hAnsi="Sylfaen"/>
          <w:sz w:val="24"/>
          <w:szCs w:val="24"/>
        </w:rPr>
        <w:t xml:space="preserve"> </w:t>
      </w:r>
      <w:r w:rsidRPr="00825EEB">
        <w:rPr>
          <w:rFonts w:ascii="Sylfaen" w:hAnsi="Sylfaen"/>
          <w:i/>
          <w:sz w:val="24"/>
          <w:szCs w:val="24"/>
        </w:rPr>
        <w:t>Պոլիմերային 12-րդ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1DC34089" w14:textId="77777777" w:rsidR="001B3D08" w:rsidRPr="00D35F34" w:rsidRDefault="001B3D08" w:rsidP="00B77ACE">
      <w:pPr>
        <w:pStyle w:val="a0"/>
        <w:shd w:val="clear" w:color="auto" w:fill="auto"/>
        <w:tabs>
          <w:tab w:val="left" w:pos="1134"/>
        </w:tabs>
        <w:spacing w:after="160" w:line="360" w:lineRule="auto"/>
        <w:ind w:firstLine="567"/>
        <w:jc w:val="both"/>
        <w:rPr>
          <w:rFonts w:ascii="Sylfaen" w:hAnsi="Sylfaen" w:cs="Sylfaen"/>
          <w:sz w:val="24"/>
          <w:szCs w:val="24"/>
        </w:rPr>
      </w:pPr>
    </w:p>
    <w:p w14:paraId="668F789F" w14:textId="77777777" w:rsidR="0058052E" w:rsidRPr="00825EEB" w:rsidRDefault="0058052E" w:rsidP="00B77ACE">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(ԺԱ)</w:t>
      </w:r>
      <w:r w:rsidR="00B77ACE" w:rsidRPr="00B77ACE">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18-րդ նյութի հավելանյութի ԵԱՏՄԴ ՍՆ</w:t>
      </w:r>
      <w:r w:rsidRPr="00825EEB">
        <w:rPr>
          <w:rFonts w:ascii="Sylfaen" w:hAnsi="Sylfaen"/>
          <w:sz w:val="24"/>
          <w:szCs w:val="24"/>
        </w:rPr>
        <w:t xml:space="preserve"> 20,0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Ռ տետրահիդրոֆուրանի մեջ</w:t>
      </w:r>
      <w:r w:rsidR="00B77ACE" w:rsidRPr="00B77ACE">
        <w:rPr>
          <w:rFonts w:ascii="Sylfaen" w:hAnsi="Sylfaen"/>
          <w:sz w:val="24"/>
          <w:szCs w:val="24"/>
        </w:rPr>
        <w:t> </w:t>
      </w:r>
      <w:r w:rsidRPr="00825EEB">
        <w:rPr>
          <w:rFonts w:ascii="Sylfaen" w:hAnsi="Sylfaen"/>
          <w:sz w:val="24"/>
          <w:szCs w:val="24"/>
        </w:rPr>
        <w:t>10 գ/լ Ռ տրետ-բութիլհիդրոպերօքսիդի հավասար ծավալների խառնուրդի 10,0</w:t>
      </w:r>
      <w:r w:rsidR="00B77ACE" w:rsidRPr="00B77ACE">
        <w:rPr>
          <w:rFonts w:ascii="Sylfaen" w:hAnsi="Sylfaen"/>
          <w:sz w:val="24"/>
          <w:szCs w:val="24"/>
        </w:rPr>
        <w:t> </w:t>
      </w:r>
      <w:r w:rsidRPr="00825EEB">
        <w:rPr>
          <w:rFonts w:ascii="Sylfaen" w:hAnsi="Sylfaen"/>
          <w:sz w:val="24"/>
          <w:szCs w:val="24"/>
        </w:rPr>
        <w:t>մլ-ի մեջ: 1 ժամով թողնում են փակ կոնտեյների մեջ: Ստացված լուծույթի 2,0 մլ-ը լուծիչների խառնուրդով հասցնում են մինչ</w:t>
      </w:r>
      <w:r>
        <w:rPr>
          <w:rFonts w:ascii="Sylfaen" w:hAnsi="Sylfaen"/>
          <w:sz w:val="24"/>
          <w:szCs w:val="24"/>
        </w:rPr>
        <w:t>եւ</w:t>
      </w:r>
      <w:r w:rsidRPr="00825EEB">
        <w:rPr>
          <w:rFonts w:ascii="Sylfaen" w:hAnsi="Sylfaen"/>
          <w:sz w:val="24"/>
          <w:szCs w:val="24"/>
        </w:rPr>
        <w:t xml:space="preserve"> 50,0 մլ ծավալը:</w:t>
      </w:r>
    </w:p>
    <w:p w14:paraId="29135616"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B77ACE" w:rsidRPr="00A859E3">
        <w:rPr>
          <w:rFonts w:ascii="Sylfaen" w:hAnsi="Sylfaen"/>
          <w:sz w:val="24"/>
          <w:szCs w:val="24"/>
        </w:rPr>
        <w:tab/>
      </w:r>
      <w:r w:rsidRPr="00825EEB">
        <w:rPr>
          <w:rFonts w:ascii="Sylfaen" w:hAnsi="Sylfaen"/>
          <w:sz w:val="24"/>
          <w:szCs w:val="24"/>
        </w:rPr>
        <w:t xml:space="preserve">Եթե փորձարկվող պոլիոլեֆինը պարունակում է պոլիմերային 07 նյութի հավելանյութ </w:t>
      </w:r>
      <w:r>
        <w:rPr>
          <w:rFonts w:ascii="Sylfaen" w:hAnsi="Sylfaen"/>
          <w:sz w:val="24"/>
          <w:szCs w:val="24"/>
        </w:rPr>
        <w:t>եւ</w:t>
      </w:r>
      <w:r w:rsidRPr="00825EEB">
        <w:rPr>
          <w:rFonts w:ascii="Sylfaen" w:hAnsi="Sylfaen"/>
          <w:sz w:val="24"/>
          <w:szCs w:val="24"/>
        </w:rPr>
        <w:t xml:space="preserve"> (կամ) պոլիմերային 08 նյութի հավելանյութ, ապա քրոմատագրումն իրականացնում են հետ</w:t>
      </w:r>
      <w:r>
        <w:rPr>
          <w:rFonts w:ascii="Sylfaen" w:hAnsi="Sylfaen"/>
          <w:sz w:val="24"/>
          <w:szCs w:val="24"/>
        </w:rPr>
        <w:t>եւ</w:t>
      </w:r>
      <w:r w:rsidRPr="00825EEB">
        <w:rPr>
          <w:rFonts w:ascii="Sylfaen" w:hAnsi="Sylfaen"/>
          <w:sz w:val="24"/>
          <w:szCs w:val="24"/>
        </w:rPr>
        <w:t>յալ պայմաններում.</w:t>
      </w:r>
    </w:p>
    <w:p w14:paraId="65DA5A2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04C1E4BD"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B77ACE" w:rsidRPr="00A859E3">
        <w:rPr>
          <w:rFonts w:ascii="Sylfaen" w:hAnsi="Sylfaen"/>
          <w:i/>
          <w:sz w:val="24"/>
          <w:szCs w:val="24"/>
        </w:rPr>
        <w:tab/>
      </w:r>
      <w:r w:rsidRPr="00825EEB">
        <w:rPr>
          <w:rFonts w:ascii="Sylfaen" w:hAnsi="Sylfaen"/>
          <w:i/>
          <w:sz w:val="24"/>
          <w:szCs w:val="24"/>
        </w:rPr>
        <w:t xml:space="preserve">աշտարակը՝ </w:t>
      </w:r>
      <w:r w:rsidRPr="00825EEB">
        <w:rPr>
          <w:rFonts w:ascii="Sylfaen" w:hAnsi="Sylfaen"/>
          <w:sz w:val="24"/>
          <w:szCs w:val="24"/>
        </w:rPr>
        <w:t xml:space="preserve">0,25 մ երկարությամբ </w:t>
      </w:r>
      <w:r>
        <w:rPr>
          <w:rFonts w:ascii="Sylfaen" w:hAnsi="Sylfaen"/>
          <w:sz w:val="24"/>
          <w:szCs w:val="24"/>
        </w:rPr>
        <w:t>եւ</w:t>
      </w:r>
      <w:r w:rsidRPr="00825EEB">
        <w:rPr>
          <w:rFonts w:ascii="Sylfaen" w:hAnsi="Sylfaen"/>
          <w:sz w:val="24"/>
          <w:szCs w:val="24"/>
        </w:rPr>
        <w:t xml:space="preserve"> 4,6 մմ ներքին տրամագծով, որը լցված է </w:t>
      </w:r>
      <w:r w:rsidRPr="00825EEB">
        <w:rPr>
          <w:rFonts w:ascii="Sylfaen" w:hAnsi="Sylfaen"/>
          <w:i/>
          <w:sz w:val="24"/>
          <w:szCs w:val="24"/>
        </w:rPr>
        <w:t>Ռ քրոմատագրման համար օկտադեցիլսիլիլային սիլիկագելով</w:t>
      </w:r>
      <w:r w:rsidRPr="00825EEB">
        <w:rPr>
          <w:rFonts w:ascii="Sylfaen" w:hAnsi="Sylfaen"/>
          <w:sz w:val="24"/>
          <w:szCs w:val="24"/>
        </w:rPr>
        <w:t>՝ մասնիկների 5 մկմ չափով.</w:t>
      </w:r>
    </w:p>
    <w:p w14:paraId="1D70D438" w14:textId="77777777" w:rsidR="0058052E" w:rsidRPr="00825EEB" w:rsidRDefault="0058052E" w:rsidP="00B77ACE">
      <w:pPr>
        <w:tabs>
          <w:tab w:val="left" w:pos="1134"/>
        </w:tabs>
        <w:spacing w:after="160" w:line="360" w:lineRule="auto"/>
        <w:ind w:firstLine="567"/>
        <w:jc w:val="both"/>
      </w:pPr>
      <w:r w:rsidRPr="00825EEB">
        <w:rPr>
          <w:rFonts w:eastAsia="Times New Roman" w:cs="Times New Roman"/>
          <w:i/>
          <w:color w:val="auto"/>
        </w:rPr>
        <w:t>-</w:t>
      </w:r>
      <w:r w:rsidR="00B77ACE" w:rsidRPr="00B77ACE">
        <w:rPr>
          <w:rFonts w:eastAsia="Times New Roman" w:cs="Times New Roman"/>
          <w:i/>
          <w:color w:val="auto"/>
        </w:rPr>
        <w:tab/>
      </w:r>
      <w:r w:rsidRPr="00825EEB">
        <w:rPr>
          <w:i/>
        </w:rPr>
        <w:t>շարժուն ֆազը</w:t>
      </w:r>
      <w:r w:rsidRPr="00825EEB">
        <w:rPr>
          <w:rFonts w:eastAsia="Times New Roman" w:cs="Times New Roman"/>
          <w:i/>
          <w:color w:val="auto"/>
        </w:rPr>
        <w:t xml:space="preserve">՝ քրոմատագրման Ռ ջուր </w:t>
      </w:r>
      <w:r w:rsidR="00B77ACE" w:rsidRPr="00B77ACE">
        <w:rPr>
          <w:rFonts w:eastAsia="Times New Roman" w:cs="Times New Roman"/>
          <w:i/>
          <w:color w:val="auto"/>
        </w:rPr>
        <w:t>-</w:t>
      </w:r>
      <w:r w:rsidRPr="00825EEB">
        <w:rPr>
          <w:rFonts w:eastAsia="Times New Roman" w:cs="Times New Roman"/>
          <w:i/>
          <w:color w:val="auto"/>
        </w:rPr>
        <w:t xml:space="preserve"> Ռ ացետոնիտրիլ </w:t>
      </w:r>
      <w:r w:rsidRPr="00825EEB">
        <w:rPr>
          <w:rFonts w:eastAsia="Times New Roman" w:cs="Times New Roman"/>
          <w:color w:val="auto"/>
        </w:rPr>
        <w:t xml:space="preserve">(30:70, </w:t>
      </w:r>
      <w:r w:rsidRPr="00825EEB">
        <w:rPr>
          <w:rFonts w:eastAsia="Times New Roman" w:cs="Times New Roman"/>
          <w:i/>
          <w:color w:val="auto"/>
        </w:rPr>
        <w:t>ծավ/ծավ</w:t>
      </w:r>
      <w:r w:rsidRPr="00825EEB">
        <w:rPr>
          <w:rFonts w:eastAsia="Times New Roman" w:cs="Times New Roman"/>
          <w:color w:val="auto"/>
        </w:rPr>
        <w:t>).</w:t>
      </w:r>
    </w:p>
    <w:p w14:paraId="0C8A2C9B"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B77ACE" w:rsidRPr="00A859E3">
        <w:rPr>
          <w:rFonts w:ascii="Sylfaen" w:hAnsi="Sylfaen"/>
          <w:i/>
          <w:sz w:val="24"/>
          <w:szCs w:val="24"/>
        </w:rPr>
        <w:tab/>
      </w:r>
      <w:r w:rsidRPr="00825EEB">
        <w:rPr>
          <w:rFonts w:ascii="Sylfaen" w:hAnsi="Sylfaen"/>
          <w:i/>
          <w:sz w:val="24"/>
          <w:szCs w:val="24"/>
        </w:rPr>
        <w:t>շարժուն ֆազի արագությունը՝</w:t>
      </w:r>
      <w:r w:rsidRPr="00825EEB">
        <w:rPr>
          <w:rFonts w:ascii="Sylfaen" w:hAnsi="Sylfaen"/>
          <w:sz w:val="24"/>
          <w:szCs w:val="24"/>
        </w:rPr>
        <w:t xml:space="preserve"> 2 մլ/րոպե.</w:t>
      </w:r>
    </w:p>
    <w:p w14:paraId="2BDDFBFE"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B77ACE" w:rsidRPr="00A859E3">
        <w:rPr>
          <w:rFonts w:ascii="Sylfaen" w:hAnsi="Sylfaen"/>
          <w:i/>
          <w:sz w:val="24"/>
          <w:szCs w:val="24"/>
        </w:rPr>
        <w:tab/>
      </w:r>
      <w:r w:rsidRPr="00825EEB">
        <w:rPr>
          <w:rFonts w:ascii="Sylfaen" w:hAnsi="Sylfaen"/>
          <w:i/>
          <w:sz w:val="24"/>
          <w:szCs w:val="24"/>
        </w:rPr>
        <w:t>դետեկտորը՝</w:t>
      </w:r>
      <w:r w:rsidRPr="00825EEB">
        <w:rPr>
          <w:rFonts w:ascii="Sylfaen" w:hAnsi="Sylfaen"/>
          <w:sz w:val="24"/>
          <w:szCs w:val="24"/>
        </w:rPr>
        <w:t xml:space="preserve"> սպեկտրալուսաչափական, ալիքի երկարությունը՝ 280 նմ.</w:t>
      </w:r>
    </w:p>
    <w:p w14:paraId="7E191643"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B77ACE" w:rsidRPr="00A859E3">
        <w:rPr>
          <w:rFonts w:ascii="Sylfaen" w:hAnsi="Sylfaen"/>
          <w:i/>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փորձարկվող S21 լուծույթի, համապատասխան ստուգիչ լուծույթի, (ա) համեմատության լուծույթի </w:t>
      </w:r>
      <w:r>
        <w:rPr>
          <w:rFonts w:ascii="Sylfaen" w:hAnsi="Sylfaen"/>
          <w:sz w:val="24"/>
          <w:szCs w:val="24"/>
        </w:rPr>
        <w:t>եւ</w:t>
      </w:r>
      <w:r w:rsidRPr="00825EEB">
        <w:rPr>
          <w:rFonts w:ascii="Sylfaen" w:hAnsi="Sylfaen"/>
          <w:sz w:val="24"/>
          <w:szCs w:val="24"/>
        </w:rPr>
        <w:t xml:space="preserve"> (կամ) (ե) կամ (զ) համեմատության լուծույթի, կամ (ե) </w:t>
      </w:r>
      <w:r>
        <w:rPr>
          <w:rFonts w:ascii="Sylfaen" w:hAnsi="Sylfaen"/>
          <w:sz w:val="24"/>
          <w:szCs w:val="24"/>
        </w:rPr>
        <w:t>եւ</w:t>
      </w:r>
      <w:r w:rsidRPr="00825EEB">
        <w:rPr>
          <w:rFonts w:ascii="Sylfaen" w:hAnsi="Sylfaen"/>
          <w:sz w:val="24"/>
          <w:szCs w:val="24"/>
        </w:rPr>
        <w:t xml:space="preserve"> (զ) համեմատության լուծույթների 20-ական մկլ.</w:t>
      </w:r>
    </w:p>
    <w:p w14:paraId="23780420" w14:textId="77777777" w:rsidR="0058052E" w:rsidRPr="00825EEB" w:rsidRDefault="0058052E" w:rsidP="00B77AC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B77ACE" w:rsidRPr="00A859E3">
        <w:rPr>
          <w:rFonts w:ascii="Sylfaen" w:hAnsi="Sylfaen"/>
          <w:i/>
          <w:sz w:val="24"/>
          <w:szCs w:val="24"/>
        </w:rPr>
        <w:tab/>
      </w:r>
      <w:r w:rsidRPr="00825EEB">
        <w:rPr>
          <w:rFonts w:ascii="Sylfaen" w:hAnsi="Sylfaen"/>
          <w:i/>
          <w:sz w:val="24"/>
          <w:szCs w:val="24"/>
        </w:rPr>
        <w:t>քրոմատագրման ժամանակը՝</w:t>
      </w:r>
      <w:r w:rsidRPr="00825EEB">
        <w:rPr>
          <w:rFonts w:ascii="Sylfaen" w:hAnsi="Sylfaen"/>
          <w:sz w:val="24"/>
          <w:szCs w:val="24"/>
        </w:rPr>
        <w:t xml:space="preserve"> 30 րոպե:</w:t>
      </w:r>
    </w:p>
    <w:p w14:paraId="4E42F5CC" w14:textId="77777777" w:rsidR="0058052E" w:rsidRPr="00825EEB" w:rsidRDefault="0058052E" w:rsidP="00B77AC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79DC7975" w14:textId="77777777" w:rsidR="0058052E" w:rsidRPr="00D35F34"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w:t>
      </w:r>
      <w:r w:rsidR="00D60291" w:rsidRPr="00D60291">
        <w:rPr>
          <w:rFonts w:ascii="Sylfaen" w:hAnsi="Sylfaen"/>
          <w:i/>
          <w:sz w:val="24"/>
          <w:szCs w:val="24"/>
        </w:rPr>
        <w:tab/>
      </w:r>
      <w:r w:rsidRPr="00825EEB">
        <w:rPr>
          <w:rFonts w:ascii="Sylfaen" w:hAnsi="Sylfaen"/>
          <w:i/>
          <w:sz w:val="24"/>
          <w:szCs w:val="24"/>
        </w:rPr>
        <w:t>լուծաչափը՝</w:t>
      </w:r>
      <w:r>
        <w:rPr>
          <w:rFonts w:ascii="Sylfaen" w:hAnsi="Sylfaen"/>
          <w:sz w:val="24"/>
          <w:szCs w:val="24"/>
        </w:rPr>
        <w:t xml:space="preserve"> </w:t>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պոլիմերային 08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5,0՝ (ա) համեմատության լուծույթի քրոմատագրի վրա:</w:t>
      </w:r>
    </w:p>
    <w:p w14:paraId="1A2C825B" w14:textId="77777777" w:rsidR="001B3D08" w:rsidRPr="00D35F34" w:rsidRDefault="001B3D08" w:rsidP="00D60291">
      <w:pPr>
        <w:pStyle w:val="a0"/>
        <w:shd w:val="clear" w:color="auto" w:fill="auto"/>
        <w:tabs>
          <w:tab w:val="left" w:pos="1134"/>
        </w:tabs>
        <w:spacing w:after="160" w:line="360" w:lineRule="auto"/>
        <w:ind w:firstLine="567"/>
        <w:jc w:val="both"/>
        <w:rPr>
          <w:rFonts w:ascii="Sylfaen" w:hAnsi="Sylfaen" w:cs="Sylfaen"/>
          <w:sz w:val="24"/>
          <w:szCs w:val="24"/>
        </w:rPr>
      </w:pPr>
    </w:p>
    <w:p w14:paraId="3891927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Փորձարկվող S21 լուծույթի քրոմատագրի վրա պետք է հայտնաբերվեն պիկեր, որոնք համապատասխանում են պոլիոլեֆինի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43AD66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6E31EE98"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60291" w:rsidRPr="00D60291">
        <w:rPr>
          <w:rFonts w:ascii="Sylfaen" w:hAnsi="Sylfaen"/>
          <w:sz w:val="24"/>
          <w:szCs w:val="24"/>
        </w:rPr>
        <w:tab/>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(կամ) պոլիմերային 08 նյութի հավելանյութի համար օգտագործում են (ե) համեմատության լուծույթների </w:t>
      </w:r>
      <w:r>
        <w:rPr>
          <w:rFonts w:ascii="Sylfaen" w:hAnsi="Sylfaen"/>
          <w:sz w:val="24"/>
          <w:szCs w:val="24"/>
        </w:rPr>
        <w:t>եւ</w:t>
      </w:r>
      <w:r w:rsidRPr="00825EEB">
        <w:rPr>
          <w:rFonts w:ascii="Sylfaen" w:hAnsi="Sylfaen"/>
          <w:sz w:val="24"/>
          <w:szCs w:val="24"/>
        </w:rPr>
        <w:t xml:space="preserve"> կամ (զ) համեմատության լուծույթների մեջ նյութի ՍՆ-ին համապատասխանող կոնցենտրացիան:</w:t>
      </w:r>
    </w:p>
    <w:p w14:paraId="0C9B3B8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3A484D4A"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60291" w:rsidRPr="00A859E3">
        <w:rPr>
          <w:rFonts w:ascii="Sylfaen" w:hAnsi="Sylfaen"/>
          <w:i/>
          <w:sz w:val="24"/>
          <w:szCs w:val="24"/>
        </w:rPr>
        <w:tab/>
      </w:r>
      <w:r w:rsidRPr="00825EEB">
        <w:rPr>
          <w:rFonts w:ascii="Sylfaen" w:hAnsi="Sylfaen"/>
          <w:i/>
          <w:sz w:val="24"/>
          <w:szCs w:val="24"/>
        </w:rPr>
        <w:t>պոլիմերային 07 նյութի հավելանյութ՝</w:t>
      </w:r>
      <w:r w:rsidRPr="00825EEB">
        <w:rPr>
          <w:rFonts w:ascii="Sylfaen" w:hAnsi="Sylfaen"/>
          <w:sz w:val="24"/>
          <w:szCs w:val="24"/>
        </w:rPr>
        <w:t xml:space="preserve"> 0,125 %-ից ոչ ավելի.</w:t>
      </w:r>
    </w:p>
    <w:p w14:paraId="02C9EB26"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60291" w:rsidRPr="00A859E3">
        <w:rPr>
          <w:rFonts w:ascii="Sylfaen" w:hAnsi="Sylfaen"/>
          <w:i/>
          <w:sz w:val="24"/>
          <w:szCs w:val="24"/>
        </w:rPr>
        <w:tab/>
      </w:r>
      <w:r w:rsidRPr="00825EEB">
        <w:rPr>
          <w:rFonts w:ascii="Sylfaen" w:hAnsi="Sylfaen"/>
          <w:i/>
          <w:sz w:val="24"/>
          <w:szCs w:val="24"/>
        </w:rPr>
        <w:t>պոլիմերային 08 նյութի հավելանյութ՝</w:t>
      </w:r>
      <w:r w:rsidRPr="00825EEB">
        <w:rPr>
          <w:rFonts w:ascii="Sylfaen" w:hAnsi="Sylfaen"/>
          <w:sz w:val="24"/>
          <w:szCs w:val="24"/>
        </w:rPr>
        <w:t xml:space="preserve"> 0,3 %-ից ոչ ավելի:</w:t>
      </w:r>
    </w:p>
    <w:p w14:paraId="174ECD6D"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Բ.</w:t>
      </w:r>
      <w:r w:rsidR="00D60291" w:rsidRPr="00A859E3">
        <w:rPr>
          <w:rFonts w:ascii="Sylfaen" w:hAnsi="Sylfaen"/>
          <w:sz w:val="24"/>
          <w:szCs w:val="24"/>
        </w:rPr>
        <w:tab/>
      </w:r>
      <w:r w:rsidRPr="00825EEB">
        <w:rPr>
          <w:rFonts w:ascii="Sylfaen" w:hAnsi="Sylfaen"/>
          <w:sz w:val="24"/>
          <w:szCs w:val="24"/>
        </w:rPr>
        <w:t>Եթե փորձարկվող պոլիոլեֆինը պարունակում է ստոր</w:t>
      </w:r>
      <w:r>
        <w:rPr>
          <w:rFonts w:ascii="Sylfaen" w:hAnsi="Sylfaen"/>
          <w:sz w:val="24"/>
          <w:szCs w:val="24"/>
        </w:rPr>
        <w:t>եւ</w:t>
      </w:r>
      <w:r w:rsidRPr="00825EEB">
        <w:rPr>
          <w:rFonts w:ascii="Sylfaen" w:hAnsi="Sylfaen"/>
          <w:sz w:val="24"/>
          <w:szCs w:val="24"/>
        </w:rPr>
        <w:t xml:space="preserve"> նշված հակաօքսիդիչներից մեկը կամ մի քանիսը՝</w:t>
      </w:r>
    </w:p>
    <w:p w14:paraId="452B800D"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60291" w:rsidRPr="00A859E3">
        <w:rPr>
          <w:rFonts w:ascii="Sylfaen" w:hAnsi="Sylfaen"/>
          <w:sz w:val="24"/>
          <w:szCs w:val="24"/>
        </w:rPr>
        <w:tab/>
      </w:r>
      <w:r w:rsidRPr="00825EEB">
        <w:rPr>
          <w:rFonts w:ascii="Sylfaen" w:hAnsi="Sylfaen"/>
          <w:sz w:val="24"/>
          <w:szCs w:val="24"/>
        </w:rPr>
        <w:t>պոլիմերային 09 նյութի հավելանյութ,</w:t>
      </w:r>
    </w:p>
    <w:p w14:paraId="30DC5F12"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60291" w:rsidRPr="00A859E3">
        <w:rPr>
          <w:rFonts w:ascii="Sylfaen" w:hAnsi="Sylfaen"/>
          <w:sz w:val="24"/>
          <w:szCs w:val="24"/>
        </w:rPr>
        <w:tab/>
      </w:r>
      <w:r w:rsidRPr="00825EEB">
        <w:rPr>
          <w:rFonts w:ascii="Sylfaen" w:hAnsi="Sylfaen"/>
          <w:sz w:val="24"/>
          <w:szCs w:val="24"/>
        </w:rPr>
        <w:t>պոլիմերային 10-րդ նյութի հավելանյութ,</w:t>
      </w:r>
    </w:p>
    <w:p w14:paraId="1138020B"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60291" w:rsidRPr="00A859E3">
        <w:rPr>
          <w:rFonts w:ascii="Sylfaen" w:hAnsi="Sylfaen"/>
          <w:sz w:val="24"/>
          <w:szCs w:val="24"/>
        </w:rPr>
        <w:tab/>
      </w:r>
      <w:r w:rsidRPr="00825EEB">
        <w:rPr>
          <w:rFonts w:ascii="Sylfaen" w:hAnsi="Sylfaen"/>
          <w:sz w:val="24"/>
          <w:szCs w:val="24"/>
        </w:rPr>
        <w:t>պոլիմերային 11-րդ նյութի հավելանյութ,</w:t>
      </w:r>
    </w:p>
    <w:p w14:paraId="2CB324EE"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60291" w:rsidRPr="00A859E3">
        <w:rPr>
          <w:rFonts w:ascii="Sylfaen" w:hAnsi="Sylfaen"/>
          <w:sz w:val="24"/>
          <w:szCs w:val="24"/>
        </w:rPr>
        <w:tab/>
      </w:r>
      <w:r w:rsidRPr="00825EEB">
        <w:rPr>
          <w:rFonts w:ascii="Sylfaen" w:hAnsi="Sylfaen"/>
          <w:sz w:val="24"/>
          <w:szCs w:val="24"/>
        </w:rPr>
        <w:t>պոլիմերային 12-րդ նյութի հավելանյութ,</w:t>
      </w:r>
    </w:p>
    <w:p w14:paraId="6F9C9C7E" w14:textId="77777777" w:rsidR="0058052E" w:rsidRPr="00825EEB" w:rsidRDefault="0058052E" w:rsidP="00D60291">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60291" w:rsidRPr="00A859E3">
        <w:rPr>
          <w:rFonts w:ascii="Sylfaen" w:hAnsi="Sylfaen"/>
          <w:sz w:val="24"/>
          <w:szCs w:val="24"/>
        </w:rPr>
        <w:tab/>
      </w:r>
      <w:r w:rsidRPr="00825EEB">
        <w:rPr>
          <w:rFonts w:ascii="Sylfaen" w:hAnsi="Sylfaen"/>
          <w:sz w:val="24"/>
          <w:szCs w:val="24"/>
        </w:rPr>
        <w:t>պոլիմերային 13-րդ նյութի հավելանյութ,</w:t>
      </w:r>
    </w:p>
    <w:p w14:paraId="662C8C6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ապա քրոմատագրումն իրականացնում են վեր</w:t>
      </w:r>
      <w:r>
        <w:rPr>
          <w:rFonts w:ascii="Sylfaen" w:hAnsi="Sylfaen"/>
          <w:sz w:val="24"/>
          <w:szCs w:val="24"/>
        </w:rPr>
        <w:t>եւ</w:t>
      </w:r>
      <w:r w:rsidRPr="00825EEB">
        <w:rPr>
          <w:rFonts w:ascii="Sylfaen" w:hAnsi="Sylfaen"/>
          <w:sz w:val="24"/>
          <w:szCs w:val="24"/>
        </w:rPr>
        <w:t>ում նկարագրված պայմաններում՝ հետ</w:t>
      </w:r>
      <w:r>
        <w:rPr>
          <w:rFonts w:ascii="Sylfaen" w:hAnsi="Sylfaen"/>
          <w:sz w:val="24"/>
          <w:szCs w:val="24"/>
        </w:rPr>
        <w:t>եւ</w:t>
      </w:r>
      <w:r w:rsidRPr="00825EEB">
        <w:rPr>
          <w:rFonts w:ascii="Sylfaen" w:hAnsi="Sylfaen"/>
          <w:sz w:val="24"/>
          <w:szCs w:val="24"/>
        </w:rPr>
        <w:t>յալ փոփոխություններով.</w:t>
      </w:r>
    </w:p>
    <w:p w14:paraId="5613245B"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 xml:space="preserve">շարժուն ֆազը՝ քրոմատագրման Ռ ջուր </w:t>
      </w:r>
      <w:r w:rsidR="00D910A0" w:rsidRPr="00D910A0">
        <w:rPr>
          <w:rFonts w:ascii="Sylfaen" w:hAnsi="Sylfaen"/>
          <w:i/>
          <w:sz w:val="24"/>
          <w:szCs w:val="24"/>
        </w:rPr>
        <w:t>-</w:t>
      </w:r>
      <w:r w:rsidRPr="00825EEB">
        <w:rPr>
          <w:rFonts w:ascii="Sylfaen" w:hAnsi="Sylfaen"/>
          <w:i/>
          <w:sz w:val="24"/>
          <w:szCs w:val="24"/>
        </w:rPr>
        <w:t xml:space="preserve"> Ռ տետրահիդրոֆուրան </w:t>
      </w:r>
      <w:r w:rsidR="00D910A0" w:rsidRPr="00D910A0">
        <w:rPr>
          <w:rFonts w:ascii="Sylfaen" w:hAnsi="Sylfaen"/>
          <w:i/>
          <w:sz w:val="24"/>
          <w:szCs w:val="24"/>
        </w:rPr>
        <w:t>-</w:t>
      </w:r>
      <w:r w:rsidRPr="00825EEB">
        <w:rPr>
          <w:rFonts w:ascii="Sylfaen" w:hAnsi="Sylfaen"/>
          <w:i/>
          <w:sz w:val="24"/>
          <w:szCs w:val="24"/>
        </w:rPr>
        <w:t xml:space="preserve"> Ռ ացետոնիտրիլ</w:t>
      </w:r>
      <w:r w:rsidRPr="00825EEB">
        <w:rPr>
          <w:rFonts w:ascii="Sylfaen" w:hAnsi="Sylfaen"/>
          <w:sz w:val="24"/>
          <w:szCs w:val="24"/>
        </w:rPr>
        <w:t xml:space="preserve"> (10:30:60</w:t>
      </w:r>
      <w:r w:rsidRPr="00825EEB">
        <w:rPr>
          <w:rFonts w:ascii="Sylfaen" w:hAnsi="Sylfaen"/>
          <w:i/>
          <w:sz w:val="24"/>
          <w:szCs w:val="24"/>
        </w:rPr>
        <w:t xml:space="preserve"> ծավ/ծավ/ծավ).</w:t>
      </w:r>
    </w:p>
    <w:p w14:paraId="3766A833"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շարժուն ֆազի արագությունը՝</w:t>
      </w:r>
      <w:r w:rsidRPr="00825EEB">
        <w:rPr>
          <w:rFonts w:ascii="Sylfaen" w:hAnsi="Sylfaen"/>
          <w:sz w:val="24"/>
          <w:szCs w:val="24"/>
        </w:rPr>
        <w:t xml:space="preserve"> 1,5 մլ/րոպե.</w:t>
      </w:r>
    </w:p>
    <w:p w14:paraId="784F9101"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w:t>
      </w:r>
      <w:r w:rsidR="00D910A0" w:rsidRPr="00A859E3">
        <w:rPr>
          <w:rFonts w:ascii="Sylfaen" w:hAnsi="Sylfaen"/>
          <w:i/>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փորձարկվող S21 լուծույթի, համապատասխան ստուգիչ լուծույթի, (բ) համեմատության լուծույթի, (գ) համեմատության լուծույթի </w:t>
      </w:r>
      <w:r>
        <w:rPr>
          <w:rFonts w:ascii="Sylfaen" w:hAnsi="Sylfaen"/>
          <w:sz w:val="24"/>
          <w:szCs w:val="24"/>
        </w:rPr>
        <w:t>եւ</w:t>
      </w:r>
      <w:r w:rsidRPr="00825EEB">
        <w:rPr>
          <w:rFonts w:ascii="Sylfaen" w:hAnsi="Sylfaen"/>
          <w:sz w:val="24"/>
          <w:szCs w:val="24"/>
        </w:rPr>
        <w:t xml:space="preserve"> փորձարկվող նյութի կազմի մեջ մտնող, վերը ներկայացված ցուցակից հակաօքսիդիչների համեմատության լուծույթների 20-ական մկլ։</w:t>
      </w:r>
    </w:p>
    <w:p w14:paraId="1F7AC37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43A92F27"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D910A0">
        <w:rPr>
          <w:rFonts w:ascii="Sylfaen" w:hAnsi="Sylfaen"/>
          <w:i/>
          <w:spacing w:val="-4"/>
          <w:sz w:val="24"/>
          <w:szCs w:val="24"/>
        </w:rPr>
        <w:t>-</w:t>
      </w:r>
      <w:r w:rsidR="00D910A0" w:rsidRPr="00D910A0">
        <w:rPr>
          <w:rFonts w:ascii="Sylfaen" w:hAnsi="Sylfaen"/>
          <w:i/>
          <w:spacing w:val="-4"/>
          <w:sz w:val="24"/>
          <w:szCs w:val="24"/>
        </w:rPr>
        <w:tab/>
      </w:r>
      <w:r w:rsidRPr="00D910A0">
        <w:rPr>
          <w:rFonts w:ascii="Sylfaen" w:hAnsi="Sylfaen"/>
          <w:i/>
          <w:spacing w:val="-4"/>
          <w:sz w:val="24"/>
          <w:szCs w:val="24"/>
        </w:rPr>
        <w:t>լուծաչափը՝</w:t>
      </w:r>
      <w:r w:rsidRPr="00D910A0">
        <w:rPr>
          <w:rFonts w:ascii="Sylfaen" w:hAnsi="Sylfaen"/>
          <w:spacing w:val="-4"/>
          <w:sz w:val="24"/>
          <w:szCs w:val="24"/>
        </w:rPr>
        <w:t xml:space="preserve"> պոլիմերային 09 նյութի հավելանյութի եւ պոլիմերային 10-րդ նյութի</w:t>
      </w:r>
      <w:r w:rsidRPr="00825EEB">
        <w:rPr>
          <w:rFonts w:ascii="Sylfaen" w:hAnsi="Sylfaen"/>
          <w:sz w:val="24"/>
          <w:szCs w:val="24"/>
        </w:rPr>
        <w:t xml:space="preserve"> հավելանյութի պիկերի միջ</w:t>
      </w:r>
      <w:r>
        <w:rPr>
          <w:rFonts w:ascii="Sylfaen" w:hAnsi="Sylfaen"/>
          <w:sz w:val="24"/>
          <w:szCs w:val="24"/>
        </w:rPr>
        <w:t>եւ</w:t>
      </w:r>
      <w:r w:rsidRPr="00825EEB">
        <w:rPr>
          <w:rFonts w:ascii="Sylfaen" w:hAnsi="Sylfaen"/>
          <w:sz w:val="24"/>
          <w:szCs w:val="24"/>
        </w:rPr>
        <w:t xml:space="preserve"> ոչ պակաս, քան 2,0՝ (բ) համեմատության լուծույթի քրոմատագրի վրա. պոլիմերային 11-րդ նյութի հավելանյութի </w:t>
      </w:r>
      <w:r>
        <w:rPr>
          <w:rFonts w:ascii="Sylfaen" w:hAnsi="Sylfaen"/>
          <w:sz w:val="24"/>
          <w:szCs w:val="24"/>
        </w:rPr>
        <w:t>եւ</w:t>
      </w:r>
      <w:r w:rsidRPr="00825EEB">
        <w:rPr>
          <w:rFonts w:ascii="Sylfaen" w:hAnsi="Sylfaen"/>
          <w:sz w:val="24"/>
          <w:szCs w:val="24"/>
        </w:rPr>
        <w:t xml:space="preserve"> պոլիմերային 12-րդ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2,0՝ (գ) համեմատության լուծույթի քրոմատագրի վրա:</w:t>
      </w:r>
    </w:p>
    <w:p w14:paraId="4C82C83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S21 լուծույթի քրոմատագրի վրա պետք է հայտնաբերվեն պիկեր, որոնք համապատասխանում են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504849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00457EB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 xml:space="preserve">պոլիմերային 09, 10-րդ, 11-րդ, 12-րդ նյութերի հավելանյութերի </w:t>
      </w:r>
      <w:r>
        <w:rPr>
          <w:rFonts w:ascii="Sylfaen" w:hAnsi="Sylfaen"/>
          <w:sz w:val="24"/>
          <w:szCs w:val="24"/>
        </w:rPr>
        <w:t>եւ</w:t>
      </w:r>
      <w:r w:rsidRPr="00825EEB">
        <w:rPr>
          <w:rFonts w:ascii="Sylfaen" w:hAnsi="Sylfaen"/>
          <w:sz w:val="24"/>
          <w:szCs w:val="24"/>
        </w:rPr>
        <w:t xml:space="preserve"> (կամ) պոլիմերային 13-րդ նյութի հավելանյութի համար օգտագործում են (Է), (ը), (թ), (ժ)</w:t>
      </w:r>
      <w:r w:rsidR="00D910A0" w:rsidRPr="00D910A0">
        <w:rPr>
          <w:rFonts w:ascii="Sylfaen" w:hAnsi="Sylfaen"/>
          <w:sz w:val="24"/>
          <w:szCs w:val="24"/>
        </w:rPr>
        <w:t> </w:t>
      </w:r>
      <w:r>
        <w:rPr>
          <w:rFonts w:ascii="Sylfaen" w:hAnsi="Sylfaen"/>
          <w:sz w:val="24"/>
          <w:szCs w:val="24"/>
        </w:rPr>
        <w:t>եւ</w:t>
      </w:r>
      <w:r w:rsidRPr="00825EEB">
        <w:rPr>
          <w:rFonts w:ascii="Sylfaen" w:hAnsi="Sylfaen"/>
          <w:sz w:val="24"/>
          <w:szCs w:val="24"/>
        </w:rPr>
        <w:t xml:space="preserve"> կամ (զ) համեմատության լուծույթների մեջ նյութի համապատասխան ՍՆ կոնցենտրացիան:</w:t>
      </w:r>
    </w:p>
    <w:p w14:paraId="051C1D5D" w14:textId="77777777" w:rsidR="0058052E" w:rsidRPr="00825EEB" w:rsidRDefault="0058052E" w:rsidP="0058052E">
      <w:pPr>
        <w:spacing w:after="160" w:line="360" w:lineRule="auto"/>
        <w:ind w:firstLine="567"/>
        <w:jc w:val="both"/>
      </w:pPr>
      <w:r w:rsidRPr="00825EEB">
        <w:rPr>
          <w:i/>
        </w:rPr>
        <w:t>Պարունակության սահմանները՝</w:t>
      </w:r>
    </w:p>
    <w:p w14:paraId="229F2033"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09 նյութի հավելանյութ՝ 0,3 %-ից ոչ ավելի.</w:t>
      </w:r>
    </w:p>
    <w:p w14:paraId="4DA31B34"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10-րդ նյութի հավելանյութ՝ 0,3 %-ից ոչ ավելի.</w:t>
      </w:r>
    </w:p>
    <w:p w14:paraId="05578947"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11-րդ նյութի հավելանյութ՝ 0,3 %-ից ոչ ավելի.</w:t>
      </w:r>
    </w:p>
    <w:p w14:paraId="0A3A0977"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12-րդ նյութի հավելանյութ՝ 0,3 %-ից ոչ ավելի.</w:t>
      </w:r>
    </w:p>
    <w:p w14:paraId="6F89D532"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13-րդ նյութի հավելանյութ՝ 0,3 %-ից ոչ ավելի:</w:t>
      </w:r>
    </w:p>
    <w:p w14:paraId="15C4DD7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Գ.</w:t>
      </w:r>
      <w:r w:rsidR="00D910A0" w:rsidRPr="00A859E3">
        <w:rPr>
          <w:rFonts w:ascii="Sylfaen" w:hAnsi="Sylfaen"/>
          <w:sz w:val="24"/>
          <w:szCs w:val="24"/>
        </w:rPr>
        <w:tab/>
      </w:r>
      <w:r w:rsidRPr="00825EEB">
        <w:rPr>
          <w:rFonts w:ascii="Sylfaen" w:hAnsi="Sylfaen"/>
          <w:sz w:val="24"/>
          <w:szCs w:val="24"/>
        </w:rPr>
        <w:t xml:space="preserve">Եթե փորձարկվող պոլիոլեֆինը պարունակում է պոլիմերային 18-րդ նյութի հավելանյութ, ապա քրոմատագրումն իրականացնում են պոլիմերային 07 նյութի հավելանյութի </w:t>
      </w:r>
      <w:r>
        <w:rPr>
          <w:rFonts w:ascii="Sylfaen" w:hAnsi="Sylfaen"/>
          <w:sz w:val="24"/>
          <w:szCs w:val="24"/>
        </w:rPr>
        <w:t>եւ</w:t>
      </w:r>
      <w:r w:rsidRPr="00825EEB">
        <w:rPr>
          <w:rFonts w:ascii="Sylfaen" w:hAnsi="Sylfaen"/>
          <w:sz w:val="24"/>
          <w:szCs w:val="24"/>
        </w:rPr>
        <w:t xml:space="preserve"> (կամ) պոլիմերային 08 նյութի հավելանյութի համար նկարագրված պայմաններում՝ հետ</w:t>
      </w:r>
      <w:r>
        <w:rPr>
          <w:rFonts w:ascii="Sylfaen" w:hAnsi="Sylfaen"/>
          <w:sz w:val="24"/>
          <w:szCs w:val="24"/>
        </w:rPr>
        <w:t>եւ</w:t>
      </w:r>
      <w:r w:rsidRPr="00825EEB">
        <w:rPr>
          <w:rFonts w:ascii="Sylfaen" w:hAnsi="Sylfaen"/>
          <w:sz w:val="24"/>
          <w:szCs w:val="24"/>
        </w:rPr>
        <w:t>յալ փոփոխություններով.</w:t>
      </w:r>
    </w:p>
    <w:p w14:paraId="3C720E34"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շարժուն ֆազը՝ Ռ տետրահիդրոֆուրան – Ռ ացետոնիտրիլ (20:80, ծավ/ծավ).</w:t>
      </w:r>
    </w:p>
    <w:p w14:paraId="7E97BC2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շարժուն ֆազի արագությունը՝</w:t>
      </w:r>
      <w:r w:rsidRPr="00825EEB">
        <w:rPr>
          <w:rFonts w:ascii="Sylfaen" w:hAnsi="Sylfaen"/>
          <w:sz w:val="24"/>
          <w:szCs w:val="24"/>
        </w:rPr>
        <w:t xml:space="preserve"> 1,5 մլ/րոպե.</w:t>
      </w:r>
    </w:p>
    <w:p w14:paraId="1E1A0727"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xml:space="preserve"> սպեկտրալուսաչափական, ալիքի երկարությունը՝ 270 նմ.</w:t>
      </w:r>
    </w:p>
    <w:p w14:paraId="679114B2" w14:textId="77777777" w:rsidR="0058052E" w:rsidRPr="00D910A0" w:rsidRDefault="0058052E" w:rsidP="00D910A0">
      <w:pPr>
        <w:pStyle w:val="a0"/>
        <w:shd w:val="clear" w:color="auto" w:fill="auto"/>
        <w:tabs>
          <w:tab w:val="left" w:pos="1134"/>
        </w:tabs>
        <w:spacing w:after="160" w:line="360" w:lineRule="auto"/>
        <w:ind w:firstLine="567"/>
        <w:jc w:val="both"/>
        <w:rPr>
          <w:rFonts w:ascii="Sylfaen" w:hAnsi="Sylfaen" w:cs="Sylfaen"/>
          <w:spacing w:val="-4"/>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փորձարկվող Տ22 լուծույթի, </w:t>
      </w:r>
      <w:r w:rsidRPr="00D910A0">
        <w:rPr>
          <w:rFonts w:ascii="Sylfaen" w:hAnsi="Sylfaen"/>
          <w:spacing w:val="-4"/>
          <w:sz w:val="24"/>
          <w:szCs w:val="24"/>
        </w:rPr>
        <w:t>համապատասխան ստուգիչ լուծույթի եւ (ժա) համեմատության լուծույթի 20-ական մկլ:</w:t>
      </w:r>
    </w:p>
    <w:p w14:paraId="43D3CCF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Պիկերի նույնականացումը՝</w:t>
      </w:r>
      <w:r>
        <w:rPr>
          <w:rFonts w:ascii="Sylfaen" w:hAnsi="Sylfaen"/>
          <w:sz w:val="24"/>
          <w:szCs w:val="24"/>
        </w:rPr>
        <w:t xml:space="preserve"> </w:t>
      </w:r>
      <w:r w:rsidRPr="00825EEB">
        <w:rPr>
          <w:rFonts w:ascii="Sylfaen" w:hAnsi="Sylfaen"/>
          <w:sz w:val="24"/>
          <w:szCs w:val="24"/>
        </w:rPr>
        <w:t xml:space="preserve">նույնականացնում են պոլիմերային 18-րդ նյութի հավելանյութի պիկը՝ օգտագործելով </w:t>
      </w:r>
      <w:r w:rsidRPr="00825EEB">
        <w:rPr>
          <w:rFonts w:ascii="Sylfaen" w:hAnsi="Sylfaen"/>
          <w:i/>
          <w:sz w:val="24"/>
          <w:szCs w:val="24"/>
        </w:rPr>
        <w:t>պոլիմերային 18-րդ նյութի հավելանյութի</w:t>
      </w:r>
      <w:r w:rsidRPr="00825EEB">
        <w:rPr>
          <w:rFonts w:ascii="Sylfaen" w:hAnsi="Sylfaen"/>
          <w:sz w:val="24"/>
          <w:szCs w:val="24"/>
        </w:rPr>
        <w:t xml:space="preserve"> </w:t>
      </w:r>
      <w:r w:rsidRPr="00825EEB">
        <w:rPr>
          <w:rFonts w:ascii="Sylfaen" w:hAnsi="Sylfaen"/>
          <w:i/>
          <w:sz w:val="24"/>
          <w:szCs w:val="24"/>
        </w:rPr>
        <w:t>ԵԱՏՄԴ ՍՆ</w:t>
      </w:r>
      <w:r w:rsidRPr="00825EEB">
        <w:rPr>
          <w:rFonts w:ascii="Sylfaen" w:hAnsi="Sylfaen"/>
          <w:sz w:val="24"/>
          <w:szCs w:val="24"/>
        </w:rPr>
        <w:t xml:space="preserve">-ին կցվող քրոմատագիրը </w:t>
      </w:r>
      <w:r>
        <w:rPr>
          <w:rFonts w:ascii="Sylfaen" w:hAnsi="Sylfaen"/>
          <w:sz w:val="24"/>
          <w:szCs w:val="24"/>
        </w:rPr>
        <w:t>եւ</w:t>
      </w:r>
      <w:r w:rsidRPr="00825EEB">
        <w:rPr>
          <w:rFonts w:ascii="Sylfaen" w:hAnsi="Sylfaen"/>
          <w:sz w:val="24"/>
          <w:szCs w:val="24"/>
        </w:rPr>
        <w:t xml:space="preserve"> (ժա) համեմատության լուծույթի քրոմատագիրը:</w:t>
      </w:r>
    </w:p>
    <w:p w14:paraId="2F6B644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Պահման ժամանակը՝</w:t>
      </w:r>
      <w:r w:rsidRPr="00825EEB">
        <w:rPr>
          <w:rFonts w:ascii="Sylfaen" w:hAnsi="Sylfaen"/>
          <w:sz w:val="24"/>
          <w:szCs w:val="24"/>
        </w:rPr>
        <w:t xml:space="preserve"> պոլիմերային 18-րդ նյութի հավելանյութի երկու հիմնական պիկերի համար կազմում է մոտ 3,3 րոպե </w:t>
      </w:r>
      <w:r>
        <w:rPr>
          <w:rFonts w:ascii="Sylfaen" w:hAnsi="Sylfaen"/>
          <w:sz w:val="24"/>
          <w:szCs w:val="24"/>
        </w:rPr>
        <w:t>եւ</w:t>
      </w:r>
      <w:r w:rsidRPr="00825EEB">
        <w:rPr>
          <w:rFonts w:ascii="Sylfaen" w:hAnsi="Sylfaen"/>
          <w:sz w:val="24"/>
          <w:szCs w:val="24"/>
        </w:rPr>
        <w:t xml:space="preserve"> մոտ 6,6 րոպե:</w:t>
      </w:r>
    </w:p>
    <w:p w14:paraId="45F26F8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Տ22 լուծույթի միջոցով ստացված քրոմատագիրն ունի պոլիմերային 18-րդ նյութի հավելանյութի երկու հիմնական պիկեր: Այդ պիկերի մակերեսների հանրագումարը պետք է կազմի պոլիմերային 18-րդ նյութի հավելանյութի բոլոր պիկերի մակերեսների համագումարի 50 %-ից ոչ պակաս:</w:t>
      </w:r>
    </w:p>
    <w:p w14:paraId="00AE4ED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3A124C31"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D910A0">
        <w:rPr>
          <w:rFonts w:ascii="Sylfaen" w:hAnsi="Sylfaen"/>
          <w:i/>
          <w:sz w:val="24"/>
          <w:szCs w:val="24"/>
        </w:rPr>
        <w:tab/>
      </w:r>
      <w:r w:rsidRPr="00825EEB">
        <w:rPr>
          <w:rFonts w:ascii="Sylfaen" w:hAnsi="Sylfaen"/>
          <w:i/>
          <w:sz w:val="24"/>
          <w:szCs w:val="24"/>
        </w:rPr>
        <w:t>լուծաչափը՝</w:t>
      </w:r>
      <w:r w:rsidRPr="00825EEB">
        <w:rPr>
          <w:rFonts w:ascii="Sylfaen" w:hAnsi="Sylfaen"/>
          <w:sz w:val="24"/>
          <w:szCs w:val="24"/>
        </w:rPr>
        <w:t xml:space="preserve"> (ժա) համեմատության լուծույթի քրոմատագրի վրա երկու հիմնական պիկերի միջ</w:t>
      </w:r>
      <w:r>
        <w:rPr>
          <w:rFonts w:ascii="Sylfaen" w:hAnsi="Sylfaen"/>
          <w:sz w:val="24"/>
          <w:szCs w:val="24"/>
        </w:rPr>
        <w:t>եւ</w:t>
      </w:r>
      <w:r w:rsidRPr="00825EEB">
        <w:rPr>
          <w:rFonts w:ascii="Sylfaen" w:hAnsi="Sylfaen"/>
          <w:sz w:val="24"/>
          <w:szCs w:val="24"/>
        </w:rPr>
        <w:t xml:space="preserve"> առնվազն 6,0:</w:t>
      </w:r>
    </w:p>
    <w:p w14:paraId="6B01CA5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S22 լուծույթի քրոմատագրի վրա պետք է հայտնաբերվեն պիկեր, որոնք համապատասխանում են կազմի մեջ նշված հակաօքսիդիչներին, </w:t>
      </w:r>
      <w:r>
        <w:rPr>
          <w:rFonts w:ascii="Sylfaen" w:hAnsi="Sylfaen"/>
          <w:sz w:val="24"/>
          <w:szCs w:val="24"/>
        </w:rPr>
        <w:t>եւ</w:t>
      </w:r>
      <w:r w:rsidRPr="00825EEB">
        <w:rPr>
          <w:rFonts w:ascii="Sylfaen" w:hAnsi="Sylfaen"/>
          <w:sz w:val="24"/>
          <w:szCs w:val="24"/>
        </w:rPr>
        <w:t xml:space="preserve"> </w:t>
      </w:r>
      <w:r w:rsidRPr="00825EEB">
        <w:rPr>
          <w:rFonts w:ascii="Sylfaen" w:hAnsi="Sylfaen"/>
          <w:sz w:val="24"/>
          <w:szCs w:val="24"/>
        </w:rPr>
        <w:lastRenderedPageBreak/>
        <w:t>կարող են հայտնաբերվել երկրորդական պիկեր, որոնք համապատասխանում են ստուգիչ լուծույթի քրոմատագրի պիկերին:</w:t>
      </w:r>
    </w:p>
    <w:p w14:paraId="3EBC6F6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5E0AAFBD" w14:textId="77777777" w:rsidR="0058052E" w:rsidRPr="00825EEB" w:rsidRDefault="0058052E" w:rsidP="00D910A0">
      <w:pPr>
        <w:tabs>
          <w:tab w:val="left" w:pos="1134"/>
        </w:tabs>
        <w:spacing w:after="160" w:line="360" w:lineRule="auto"/>
        <w:ind w:firstLine="567"/>
        <w:jc w:val="both"/>
        <w:rPr>
          <w:i/>
          <w:iCs/>
        </w:rPr>
      </w:pPr>
      <w:r w:rsidRPr="00825EEB">
        <w:t>-</w:t>
      </w:r>
      <w:r w:rsidR="00D910A0" w:rsidRPr="00A859E3">
        <w:tab/>
      </w:r>
      <w:r w:rsidRPr="00825EEB">
        <w:t xml:space="preserve">գումարում են պոլիմերային 18-րդ նյութի հավելանյութի բոլոր պիկերի մակերեսները (պահման ժամանակը՝ 2,0 </w:t>
      </w:r>
      <w:r>
        <w:t>եւ</w:t>
      </w:r>
      <w:r w:rsidRPr="00825EEB">
        <w:t xml:space="preserve"> 9,5 րոպեների միջ</w:t>
      </w:r>
      <w:r>
        <w:t>եւ</w:t>
      </w:r>
      <w:r w:rsidRPr="00825EEB">
        <w:t>).</w:t>
      </w:r>
    </w:p>
    <w:p w14:paraId="5B04C00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 xml:space="preserve">օգտագործում են (ժա) համեմատության լուծույթի մեջ </w:t>
      </w:r>
      <w:r w:rsidRPr="00825EEB">
        <w:rPr>
          <w:rFonts w:ascii="Sylfaen" w:hAnsi="Sylfaen"/>
          <w:i/>
          <w:sz w:val="24"/>
          <w:szCs w:val="24"/>
        </w:rPr>
        <w:t>պոլիմերային 18-րդ նյութի հավելանյութի ԵԱՏՄԴ ՍՆ</w:t>
      </w:r>
      <w:r w:rsidRPr="00825EEB">
        <w:rPr>
          <w:rFonts w:ascii="Sylfaen" w:hAnsi="Sylfaen"/>
          <w:sz w:val="24"/>
          <w:szCs w:val="24"/>
        </w:rPr>
        <w:t xml:space="preserve"> կոնցենտրացիան.</w:t>
      </w:r>
    </w:p>
    <w:p w14:paraId="6047824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325D4D9C"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 xml:space="preserve">պոլիմերային 18-րդ նյութի հավելանյութերի պիկերի մակերեսների հանրագումարը՝ </w:t>
      </w:r>
      <w:r w:rsidRPr="00825EEB">
        <w:rPr>
          <w:rFonts w:ascii="Sylfaen" w:hAnsi="Sylfaen"/>
          <w:sz w:val="24"/>
          <w:szCs w:val="24"/>
        </w:rPr>
        <w:t>0,1 %-ից ոչ ավելի.</w:t>
      </w:r>
    </w:p>
    <w:p w14:paraId="40772A85"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հաշվի չառնվող սահմանը՝</w:t>
      </w:r>
      <w:r w:rsidRPr="00825EEB">
        <w:rPr>
          <w:rFonts w:ascii="Sylfaen" w:hAnsi="Sylfaen"/>
          <w:sz w:val="24"/>
          <w:szCs w:val="24"/>
        </w:rPr>
        <w:t xml:space="preserve"> ցանկացած պիկ, որի մակերեսը կազմում է ընդհանուր մակերեսի 0,3 %-ից պակաս:</w:t>
      </w:r>
    </w:p>
    <w:p w14:paraId="36A709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Ոչ ֆենոլային հակաօքսիդիչները։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412F12D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Տ23 փորձարկվող լուծույթը։</w:t>
      </w:r>
      <w:r w:rsidRPr="00825EEB">
        <w:rPr>
          <w:rFonts w:ascii="Sylfaen" w:hAnsi="Sylfaen"/>
          <w:sz w:val="24"/>
          <w:szCs w:val="24"/>
        </w:rPr>
        <w:t xml:space="preserve"> Տ2 լուծույթի 100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xml:space="preserve">: Չոր մնացորդը լուծում են </w:t>
      </w:r>
      <w:r w:rsidRPr="00825EEB">
        <w:rPr>
          <w:rFonts w:ascii="Sylfaen" w:hAnsi="Sylfaen"/>
          <w:i/>
          <w:sz w:val="24"/>
          <w:szCs w:val="24"/>
        </w:rPr>
        <w:t>Ռ թթվեցրած մեթիլենքլորիդի</w:t>
      </w:r>
      <w:r w:rsidRPr="00825EEB">
        <w:rPr>
          <w:rFonts w:ascii="Sylfaen" w:hAnsi="Sylfaen"/>
          <w:sz w:val="24"/>
          <w:szCs w:val="24"/>
        </w:rPr>
        <w:t xml:space="preserve"> 2 մլ-ի մեջ:</w:t>
      </w:r>
    </w:p>
    <w:p w14:paraId="45F2FCD4" w14:textId="77777777" w:rsidR="0058052E" w:rsidRPr="00825EEB" w:rsidRDefault="0058052E" w:rsidP="00D910A0">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(ԺԲ)</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14-րդ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w:t>
      </w:r>
      <w:r>
        <w:rPr>
          <w:rFonts w:ascii="Sylfaen" w:hAnsi="Sylfaen"/>
          <w:sz w:val="24"/>
          <w:szCs w:val="24"/>
        </w:rPr>
        <w:t>եւ</w:t>
      </w:r>
      <w:r w:rsidRPr="00825EEB">
        <w:rPr>
          <w:rFonts w:ascii="Sylfaen" w:hAnsi="Sylfaen"/>
          <w:sz w:val="24"/>
          <w:szCs w:val="24"/>
        </w:rPr>
        <w:t xml:space="preserve"> 10 մլ ծավալը։</w:t>
      </w:r>
    </w:p>
    <w:p w14:paraId="15DA1D5F" w14:textId="77777777" w:rsidR="0058052E" w:rsidRPr="00825EEB" w:rsidRDefault="0058052E" w:rsidP="00D910A0">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(ԺԳ)</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15-րդ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w:t>
      </w:r>
      <w:r>
        <w:rPr>
          <w:rFonts w:ascii="Sylfaen" w:hAnsi="Sylfaen"/>
          <w:sz w:val="24"/>
          <w:szCs w:val="24"/>
        </w:rPr>
        <w:t>եւ</w:t>
      </w:r>
      <w:r w:rsidRPr="00825EEB">
        <w:rPr>
          <w:rFonts w:ascii="Sylfaen" w:hAnsi="Sylfaen"/>
          <w:sz w:val="24"/>
          <w:szCs w:val="24"/>
        </w:rPr>
        <w:t xml:space="preserve"> 10 մլ ծավալը։</w:t>
      </w:r>
    </w:p>
    <w:p w14:paraId="6BA57C82" w14:textId="77777777" w:rsidR="0058052E" w:rsidRPr="00825EEB" w:rsidRDefault="0058052E" w:rsidP="00D910A0">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(ԺԴ)</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16-րդ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w:t>
      </w:r>
      <w:r>
        <w:rPr>
          <w:rFonts w:ascii="Sylfaen" w:hAnsi="Sylfaen"/>
          <w:sz w:val="24"/>
          <w:szCs w:val="24"/>
        </w:rPr>
        <w:t>եւ</w:t>
      </w:r>
      <w:r w:rsidRPr="00825EEB">
        <w:rPr>
          <w:rFonts w:ascii="Sylfaen" w:hAnsi="Sylfaen"/>
          <w:sz w:val="24"/>
          <w:szCs w:val="24"/>
        </w:rPr>
        <w:t xml:space="preserve"> 10 մլ ծավալը։</w:t>
      </w:r>
    </w:p>
    <w:p w14:paraId="46A66D81" w14:textId="77777777" w:rsidR="0058052E" w:rsidRPr="00825EEB" w:rsidRDefault="0058052E" w:rsidP="00D910A0">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(ԺԵ)</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17-րդ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w:t>
      </w:r>
      <w:r>
        <w:rPr>
          <w:rFonts w:ascii="Sylfaen" w:hAnsi="Sylfaen"/>
          <w:sz w:val="24"/>
          <w:szCs w:val="24"/>
        </w:rPr>
        <w:t>եւ</w:t>
      </w:r>
      <w:r w:rsidRPr="00825EEB">
        <w:rPr>
          <w:rFonts w:ascii="Sylfaen" w:hAnsi="Sylfaen"/>
          <w:sz w:val="24"/>
          <w:szCs w:val="24"/>
        </w:rPr>
        <w:t xml:space="preserve"> 10 մլ ծավալը։</w:t>
      </w:r>
    </w:p>
    <w:p w14:paraId="79C3C574" w14:textId="77777777" w:rsidR="0058052E" w:rsidRPr="00825EEB" w:rsidRDefault="0058052E" w:rsidP="00D910A0">
      <w:pPr>
        <w:pStyle w:val="a0"/>
        <w:shd w:val="clear" w:color="auto" w:fill="auto"/>
        <w:tabs>
          <w:tab w:val="left" w:pos="1276"/>
        </w:tabs>
        <w:spacing w:after="160" w:line="360" w:lineRule="auto"/>
        <w:ind w:firstLine="567"/>
        <w:jc w:val="both"/>
        <w:rPr>
          <w:rFonts w:ascii="Sylfaen" w:hAnsi="Sylfaen" w:cs="Sylfaen"/>
          <w:sz w:val="24"/>
          <w:szCs w:val="24"/>
        </w:rPr>
      </w:pPr>
      <w:r w:rsidRPr="00D910A0">
        <w:rPr>
          <w:rFonts w:ascii="Sylfaen" w:hAnsi="Sylfaen"/>
          <w:i/>
          <w:spacing w:val="4"/>
          <w:sz w:val="24"/>
          <w:szCs w:val="24"/>
        </w:rPr>
        <w:t>(</w:t>
      </w:r>
      <w:r w:rsidR="00D910A0" w:rsidRPr="00D910A0">
        <w:rPr>
          <w:rFonts w:ascii="Sylfaen" w:hAnsi="Sylfaen"/>
          <w:i/>
          <w:spacing w:val="4"/>
          <w:sz w:val="24"/>
          <w:szCs w:val="24"/>
        </w:rPr>
        <w:t>ԺԶ)</w:t>
      </w:r>
      <w:r w:rsidR="00D910A0" w:rsidRPr="00A859E3">
        <w:rPr>
          <w:rFonts w:ascii="Sylfaen" w:hAnsi="Sylfaen"/>
          <w:i/>
          <w:spacing w:val="4"/>
          <w:sz w:val="24"/>
          <w:szCs w:val="24"/>
        </w:rPr>
        <w:tab/>
      </w:r>
      <w:r w:rsidRPr="00D910A0">
        <w:rPr>
          <w:rFonts w:ascii="Sylfaen" w:hAnsi="Sylfaen"/>
          <w:i/>
          <w:spacing w:val="4"/>
          <w:sz w:val="24"/>
          <w:szCs w:val="24"/>
        </w:rPr>
        <w:t>համեմատության լուծույթը։</w:t>
      </w:r>
      <w:r w:rsidRPr="00D910A0">
        <w:rPr>
          <w:rFonts w:ascii="Sylfaen" w:hAnsi="Sylfaen"/>
          <w:spacing w:val="4"/>
          <w:sz w:val="24"/>
          <w:szCs w:val="24"/>
        </w:rPr>
        <w:t xml:space="preserve"> </w:t>
      </w:r>
      <w:r w:rsidRPr="00D910A0">
        <w:rPr>
          <w:rFonts w:ascii="Sylfaen" w:hAnsi="Sylfaen"/>
          <w:i/>
          <w:spacing w:val="4"/>
          <w:sz w:val="24"/>
          <w:szCs w:val="24"/>
        </w:rPr>
        <w:t>Պոլիմերային 16-րդ նյութի հավելանյութի ԵԱՏՄԴ ՍՆ</w:t>
      </w:r>
      <w:r w:rsidRPr="00825EEB">
        <w:rPr>
          <w:rFonts w:ascii="Sylfaen" w:hAnsi="Sylfaen"/>
          <w:sz w:val="24"/>
          <w:szCs w:val="24"/>
        </w:rPr>
        <w:t xml:space="preserve"> 60 մգ-ը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պոլիմերային 17-րդ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w:t>
      </w:r>
      <w:r w:rsidRPr="00825EEB">
        <w:rPr>
          <w:rFonts w:ascii="Sylfaen" w:hAnsi="Sylfaen"/>
          <w:i/>
          <w:sz w:val="24"/>
          <w:szCs w:val="24"/>
        </w:rPr>
        <w:t xml:space="preserve"> </w:t>
      </w:r>
      <w:r w:rsidRPr="00825EEB">
        <w:rPr>
          <w:rFonts w:ascii="Sylfaen" w:hAnsi="Sylfaen"/>
          <w:sz w:val="24"/>
          <w:szCs w:val="24"/>
        </w:rPr>
        <w:t xml:space="preserve">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w:t>
      </w:r>
      <w:r>
        <w:rPr>
          <w:rFonts w:ascii="Sylfaen" w:hAnsi="Sylfaen"/>
          <w:sz w:val="24"/>
          <w:szCs w:val="24"/>
        </w:rPr>
        <w:t>եւ</w:t>
      </w:r>
      <w:r w:rsidRPr="00825EEB">
        <w:rPr>
          <w:rFonts w:ascii="Sylfaen" w:hAnsi="Sylfaen"/>
          <w:sz w:val="24"/>
          <w:szCs w:val="24"/>
        </w:rPr>
        <w:t xml:space="preserve"> 10 մլ ծավալը։</w:t>
      </w:r>
    </w:p>
    <w:p w14:paraId="667AD9F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1207D47C"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ՆՇՔ թիթեղ՝ GF</w:t>
      </w:r>
      <w:r w:rsidRPr="00825EEB">
        <w:rPr>
          <w:rFonts w:ascii="Sylfaen" w:hAnsi="Sylfaen"/>
          <w:i/>
          <w:sz w:val="24"/>
          <w:szCs w:val="24"/>
          <w:vertAlign w:val="subscript"/>
        </w:rPr>
        <w:t>254</w:t>
      </w:r>
      <w:r w:rsidRPr="00825EEB">
        <w:rPr>
          <w:rFonts w:ascii="Sylfaen" w:hAnsi="Sylfaen"/>
          <w:i/>
          <w:sz w:val="24"/>
          <w:szCs w:val="24"/>
        </w:rPr>
        <w:t xml:space="preserve"> Ռ սիլիկագելի շերտով․</w:t>
      </w:r>
    </w:p>
    <w:p w14:paraId="516F5C08"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D910A0">
        <w:rPr>
          <w:rFonts w:ascii="Sylfaen" w:hAnsi="Sylfaen"/>
          <w:i/>
          <w:sz w:val="24"/>
          <w:szCs w:val="24"/>
        </w:rPr>
        <w:tab/>
      </w:r>
      <w:r w:rsidR="0058052E" w:rsidRPr="00825EEB">
        <w:rPr>
          <w:rFonts w:ascii="Sylfaen" w:hAnsi="Sylfaen"/>
          <w:i/>
          <w:sz w:val="24"/>
          <w:szCs w:val="24"/>
        </w:rPr>
        <w:t>Ա շարժուն ֆազ՝ Ռ հեքսան.</w:t>
      </w:r>
    </w:p>
    <w:p w14:paraId="382A8795"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D910A0">
        <w:rPr>
          <w:rFonts w:ascii="Sylfaen" w:hAnsi="Sylfaen"/>
          <w:i/>
          <w:sz w:val="24"/>
          <w:szCs w:val="24"/>
        </w:rPr>
        <w:tab/>
      </w:r>
      <w:r w:rsidR="0058052E" w:rsidRPr="00825EEB">
        <w:rPr>
          <w:rFonts w:ascii="Sylfaen" w:hAnsi="Sylfaen"/>
          <w:i/>
          <w:sz w:val="24"/>
          <w:szCs w:val="24"/>
        </w:rPr>
        <w:t>Բ շարժուն ֆազ՝ Ռ մեթիլենքլորիդ.</w:t>
      </w:r>
    </w:p>
    <w:p w14:paraId="52A02F74" w14:textId="77777777" w:rsidR="0058052E" w:rsidRPr="00825EEB" w:rsidRDefault="00D910A0" w:rsidP="00D910A0">
      <w:pPr>
        <w:tabs>
          <w:tab w:val="left" w:pos="1134"/>
        </w:tabs>
        <w:spacing w:after="160" w:line="360" w:lineRule="auto"/>
        <w:ind w:firstLine="567"/>
        <w:jc w:val="both"/>
      </w:pPr>
      <w:r>
        <w:rPr>
          <w:i/>
        </w:rPr>
        <w:t>-</w:t>
      </w:r>
      <w:r w:rsidRPr="00D910A0">
        <w:rPr>
          <w:i/>
        </w:rPr>
        <w:tab/>
      </w:r>
      <w:r w:rsidR="0058052E" w:rsidRPr="00825EEB">
        <w:rPr>
          <w:i/>
        </w:rPr>
        <w:t>քսվող փորձանմուշի ծավալ՝</w:t>
      </w:r>
      <w:r w:rsidR="0058052E" w:rsidRPr="00825EEB">
        <w:t xml:space="preserve"> փորձարկվող S23 լուծույթի, (ժզ) համեմատության լուծույթի </w:t>
      </w:r>
      <w:r w:rsidR="0058052E">
        <w:t>եւ</w:t>
      </w:r>
      <w:r w:rsidR="0058052E" w:rsidRPr="00825EEB">
        <w:t xml:space="preserve"> փորձարկվող պոլիոլեֆինի տիպային նմուշի նյութի կազմի մեջ մտնող բոլոր ֆենոլային ու ոչ ֆենոլային հակաօքսիդիչներին համապատասխանող համեմատության լուծույթների 20-ական մկլ.</w:t>
      </w:r>
    </w:p>
    <w:p w14:paraId="66494430"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D910A0">
        <w:rPr>
          <w:rFonts w:ascii="Sylfaen" w:hAnsi="Sylfaen"/>
          <w:i/>
          <w:sz w:val="24"/>
          <w:szCs w:val="24"/>
        </w:rPr>
        <w:tab/>
      </w:r>
      <w:r w:rsidR="0058052E" w:rsidRPr="00825EEB">
        <w:rPr>
          <w:rFonts w:ascii="Sylfaen" w:hAnsi="Sylfaen"/>
          <w:i/>
          <w:sz w:val="24"/>
          <w:szCs w:val="24"/>
        </w:rPr>
        <w:t>շարժուն ֆազի ճակատի վազք՝</w:t>
      </w:r>
      <w:r w:rsidR="0058052E" w:rsidRPr="00825EEB">
        <w:rPr>
          <w:rFonts w:ascii="Sylfaen" w:hAnsi="Sylfaen"/>
          <w:sz w:val="24"/>
          <w:szCs w:val="24"/>
        </w:rPr>
        <w:t xml:space="preserve"> մեկնարկային գծից 18 սմ-ից ոչ պակաս՝ Ա շարժուն ֆազի օգտագործմամբ. չորացնելուց հետո քրոմատագրում են մեկնարկային գծից 17 սմ-ից ոչ պակաս տարածության վրա՝ Բ շարժուն ֆազի օգտագործմամբ. </w:t>
      </w:r>
    </w:p>
    <w:p w14:paraId="23C9D77B"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D910A0">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115C4EB2"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D910A0">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դիտում են ուլտրամանուշակագույն լույսի տակ ալիքի 254</w:t>
      </w:r>
      <w:r w:rsidRPr="00D910A0">
        <w:rPr>
          <w:rFonts w:ascii="Sylfaen" w:hAnsi="Sylfaen"/>
          <w:sz w:val="24"/>
          <w:szCs w:val="24"/>
        </w:rPr>
        <w:t> </w:t>
      </w:r>
      <w:r w:rsidR="0058052E" w:rsidRPr="00825EEB">
        <w:rPr>
          <w:rFonts w:ascii="Sylfaen" w:hAnsi="Sylfaen"/>
          <w:sz w:val="24"/>
          <w:szCs w:val="24"/>
        </w:rPr>
        <w:t xml:space="preserve">նմ երկարությամբ, ցողում </w:t>
      </w:r>
      <w:r w:rsidR="0058052E" w:rsidRPr="00825EEB">
        <w:rPr>
          <w:rFonts w:ascii="Sylfaen" w:hAnsi="Sylfaen"/>
          <w:i/>
          <w:sz w:val="24"/>
          <w:szCs w:val="24"/>
        </w:rPr>
        <w:t>Ռ յոդի սպիրտային լուծույթով</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դիտում 10-15 րոպե հետո ուլտրամանուշակագույն լույսի տակ՝ ալիքի 254 նմ երկարությամբ.</w:t>
      </w:r>
    </w:p>
    <w:p w14:paraId="1D43C14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4B5BA17B"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D910A0">
        <w:rPr>
          <w:rFonts w:ascii="Sylfaen" w:hAnsi="Sylfaen"/>
          <w:sz w:val="24"/>
          <w:szCs w:val="24"/>
        </w:rPr>
        <w:tab/>
      </w:r>
      <w:r w:rsidR="0058052E" w:rsidRPr="00825EEB">
        <w:rPr>
          <w:rFonts w:ascii="Sylfaen" w:hAnsi="Sylfaen"/>
          <w:sz w:val="24"/>
          <w:szCs w:val="24"/>
        </w:rPr>
        <w:t>(ժզ) համեմատության լուծույթի քրոմատագրի վրա պետք է հայտնաբերվեն հստակ բաժանված 2 բծեր:</w:t>
      </w:r>
    </w:p>
    <w:p w14:paraId="154EC4D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Պարունակության սահմանը՝</w:t>
      </w:r>
    </w:p>
    <w:p w14:paraId="09E29885" w14:textId="77777777" w:rsidR="0058052E" w:rsidRPr="00825EEB"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D910A0">
        <w:rPr>
          <w:rFonts w:ascii="Sylfaen" w:hAnsi="Sylfaen"/>
          <w:sz w:val="24"/>
          <w:szCs w:val="24"/>
        </w:rPr>
        <w:tab/>
      </w:r>
      <w:r w:rsidR="0058052E" w:rsidRPr="00825EEB">
        <w:rPr>
          <w:rFonts w:ascii="Sylfaen" w:hAnsi="Sylfaen"/>
          <w:sz w:val="24"/>
          <w:szCs w:val="24"/>
        </w:rPr>
        <w:t xml:space="preserve">փորձարկվող Տ23 լուծույթի քրոմատագրի վրա պետք է հայտնաբերվեն բծեր համեմատության լուծույթների քրոմատագրերի վրա համապատասխան բծերի մակարդակում </w:t>
      </w:r>
      <w:r w:rsidR="0058052E">
        <w:rPr>
          <w:rFonts w:ascii="Sylfaen" w:hAnsi="Sylfaen"/>
          <w:sz w:val="24"/>
          <w:szCs w:val="24"/>
        </w:rPr>
        <w:t>եւ</w:t>
      </w:r>
      <w:r w:rsidR="0058052E" w:rsidRPr="00825EEB">
        <w:rPr>
          <w:rFonts w:ascii="Sylfaen" w:hAnsi="Sylfaen"/>
          <w:sz w:val="24"/>
          <w:szCs w:val="24"/>
        </w:rPr>
        <w:t xml:space="preserve"> չգերազանցեն դրանք ինտենսիվության առումով:</w:t>
      </w:r>
    </w:p>
    <w:p w14:paraId="5501D81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Պոլիմերային 22-րդ նյութի հավելանյութ: </w:t>
      </w:r>
      <w:r w:rsidRPr="00825EEB">
        <w:rPr>
          <w:rFonts w:ascii="Sylfaen" w:hAnsi="Sylfaen"/>
          <w:sz w:val="24"/>
          <w:szCs w:val="24"/>
        </w:rPr>
        <w:t xml:space="preserve">Որոշումն անցկացնում են հեղուկային քրոմատագրման մեթոդով </w:t>
      </w:r>
      <w:r w:rsidRPr="00825EEB">
        <w:rPr>
          <w:rFonts w:ascii="Sylfaen" w:hAnsi="Sylfaen"/>
          <w:i/>
          <w:sz w:val="24"/>
          <w:szCs w:val="24"/>
        </w:rPr>
        <w:t>(2.1.2.28):</w:t>
      </w:r>
    </w:p>
    <w:p w14:paraId="42CAF56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Տ2 լուծույթի 25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w:t>
      </w:r>
      <w:r w:rsidRPr="00D910A0">
        <w:rPr>
          <w:rFonts w:ascii="Sylfaen" w:hAnsi="Sylfaen"/>
          <w:spacing w:val="2"/>
          <w:sz w:val="24"/>
          <w:szCs w:val="24"/>
        </w:rPr>
        <w:t xml:space="preserve">լիաչոր շոգեհանում են </w:t>
      </w:r>
      <w:r w:rsidRPr="00D910A0">
        <w:rPr>
          <w:rFonts w:ascii="Sylfaen" w:hAnsi="Sylfaen"/>
          <w:i/>
          <w:spacing w:val="2"/>
          <w:sz w:val="24"/>
          <w:szCs w:val="24"/>
        </w:rPr>
        <w:t>վակուումի մեջ</w:t>
      </w:r>
      <w:r w:rsidRPr="00D910A0">
        <w:rPr>
          <w:rFonts w:ascii="Sylfaen" w:hAnsi="Sylfaen"/>
          <w:spacing w:val="2"/>
          <w:sz w:val="24"/>
          <w:szCs w:val="24"/>
        </w:rPr>
        <w:t xml:space="preserve">: Չոր մնացորդը լուծում են </w:t>
      </w:r>
      <w:r w:rsidRPr="00D910A0">
        <w:rPr>
          <w:rFonts w:ascii="Sylfaen" w:hAnsi="Sylfaen"/>
          <w:i/>
          <w:spacing w:val="2"/>
          <w:sz w:val="24"/>
          <w:szCs w:val="24"/>
        </w:rPr>
        <w:t>Ռ տոլուոլի</w:t>
      </w:r>
      <w:r w:rsidRPr="00D910A0">
        <w:rPr>
          <w:rFonts w:ascii="Sylfaen" w:hAnsi="Sylfaen"/>
          <w:spacing w:val="2"/>
          <w:sz w:val="24"/>
          <w:szCs w:val="24"/>
        </w:rPr>
        <w:t xml:space="preserve"> 10</w:t>
      </w:r>
      <w:r w:rsidR="00D910A0" w:rsidRPr="00D910A0">
        <w:rPr>
          <w:rFonts w:ascii="Sylfaen" w:hAnsi="Sylfaen"/>
          <w:spacing w:val="2"/>
          <w:sz w:val="24"/>
          <w:szCs w:val="24"/>
        </w:rPr>
        <w:t> </w:t>
      </w:r>
      <w:r w:rsidRPr="00D910A0">
        <w:rPr>
          <w:rFonts w:ascii="Sylfaen" w:hAnsi="Sylfaen"/>
          <w:spacing w:val="2"/>
          <w:sz w:val="24"/>
          <w:szCs w:val="24"/>
        </w:rPr>
        <w:t>մլ-ի եւ</w:t>
      </w:r>
      <w:r w:rsidRPr="00825EEB">
        <w:rPr>
          <w:rFonts w:ascii="Sylfaen" w:hAnsi="Sylfaen"/>
          <w:sz w:val="24"/>
          <w:szCs w:val="24"/>
        </w:rPr>
        <w:t xml:space="preserve"> 10 գ/լ </w:t>
      </w:r>
      <w:r w:rsidRPr="00825EEB">
        <w:rPr>
          <w:rFonts w:ascii="Sylfaen" w:hAnsi="Sylfaen"/>
          <w:i/>
          <w:sz w:val="24"/>
          <w:szCs w:val="24"/>
        </w:rPr>
        <w:t>Ռ տետրաբութիլամոնիումի հիդրօքսիդի</w:t>
      </w:r>
      <w:r w:rsidRPr="00825EEB">
        <w:rPr>
          <w:rFonts w:ascii="Sylfaen" w:hAnsi="Sylfaen"/>
          <w:sz w:val="24"/>
          <w:szCs w:val="24"/>
        </w:rPr>
        <w:t xml:space="preserve"> լուծույթի 10 մլ-ի մեջ՝ </w:t>
      </w:r>
      <w:r w:rsidRPr="00825EEB">
        <w:rPr>
          <w:rFonts w:ascii="Sylfaen" w:hAnsi="Sylfaen"/>
          <w:i/>
          <w:sz w:val="24"/>
          <w:szCs w:val="24"/>
        </w:rPr>
        <w:t>Ռ տոլուոլի – Ռ անջուր էթանոլի</w:t>
      </w:r>
      <w:r w:rsidRPr="00825EEB">
        <w:rPr>
          <w:rFonts w:ascii="Sylfaen" w:hAnsi="Sylfaen"/>
          <w:sz w:val="24"/>
          <w:szCs w:val="24"/>
        </w:rPr>
        <w:t xml:space="preserve"> խառնուրդի մեջ (35:65 </w:t>
      </w:r>
      <w:r w:rsidRPr="00825EEB">
        <w:rPr>
          <w:rFonts w:ascii="Sylfaen" w:hAnsi="Sylfaen"/>
          <w:i/>
          <w:sz w:val="24"/>
          <w:szCs w:val="24"/>
        </w:rPr>
        <w:t xml:space="preserve">ծավ/ծավ), </w:t>
      </w:r>
      <w:r w:rsidRPr="00825EEB">
        <w:rPr>
          <w:rFonts w:ascii="Sylfaen" w:hAnsi="Sylfaen"/>
          <w:sz w:val="24"/>
          <w:szCs w:val="24"/>
        </w:rPr>
        <w:t>3 րոպե եռացնում</w:t>
      </w:r>
      <w:r w:rsidR="00D910A0" w:rsidRPr="00D910A0">
        <w:rPr>
          <w:rFonts w:ascii="Sylfaen" w:hAnsi="Sylfaen"/>
          <w:sz w:val="24"/>
          <w:szCs w:val="24"/>
        </w:rPr>
        <w:t> </w:t>
      </w:r>
      <w:r w:rsidRPr="00825EEB">
        <w:rPr>
          <w:rFonts w:ascii="Sylfaen" w:hAnsi="Sylfaen"/>
          <w:sz w:val="24"/>
          <w:szCs w:val="24"/>
        </w:rPr>
        <w:t xml:space="preserve">են հակադարձ սառնարանով, հովացնում </w:t>
      </w:r>
      <w:r>
        <w:rPr>
          <w:rFonts w:ascii="Sylfaen" w:hAnsi="Sylfaen"/>
          <w:sz w:val="24"/>
          <w:szCs w:val="24"/>
        </w:rPr>
        <w:t>եւ</w:t>
      </w:r>
      <w:r w:rsidRPr="00825EEB">
        <w:rPr>
          <w:rFonts w:ascii="Sylfaen" w:hAnsi="Sylfaen"/>
          <w:sz w:val="24"/>
          <w:szCs w:val="24"/>
        </w:rPr>
        <w:t xml:space="preserve"> անհրաժեշտության դեպքում՝ զտում:</w:t>
      </w:r>
    </w:p>
    <w:p w14:paraId="7F34E8C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 xml:space="preserve">Պոլիմերային 22-րդ նյութի հավելանյութի ԵԱՏՄԴ ՍՆ </w:t>
      </w:r>
      <w:r w:rsidRPr="00825EEB">
        <w:rPr>
          <w:rFonts w:ascii="Sylfaen" w:hAnsi="Sylfaen"/>
          <w:sz w:val="24"/>
          <w:szCs w:val="24"/>
        </w:rPr>
        <w:t xml:space="preserve">30 մգ-ը լուծում են </w:t>
      </w:r>
      <w:r w:rsidRPr="00825EEB">
        <w:rPr>
          <w:rFonts w:ascii="Sylfaen" w:hAnsi="Sylfaen"/>
          <w:i/>
          <w:sz w:val="24"/>
          <w:szCs w:val="24"/>
        </w:rPr>
        <w:t>Ռ տոլուոլի</w:t>
      </w:r>
      <w:r w:rsidRPr="00825EEB">
        <w:rPr>
          <w:rFonts w:ascii="Sylfaen" w:hAnsi="Sylfaen"/>
          <w:sz w:val="24"/>
          <w:szCs w:val="24"/>
        </w:rPr>
        <w:t xml:space="preserve"> 50 մլ-ի մեջ: Ստացված լուծույթի 1 մլ-ը ավելացնում են ստուգիչ Տ2 լուծույթի 25 մլ-ին </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45 °C"/>
        </w:smartTagPr>
        <w:r w:rsidRPr="00825EEB">
          <w:rPr>
            <w:rFonts w:ascii="Sylfaen" w:hAnsi="Sylfaen"/>
            <w:sz w:val="24"/>
            <w:szCs w:val="24"/>
          </w:rPr>
          <w:t>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xml:space="preserve">: Չոր մնացորդը լուծում են </w:t>
      </w:r>
      <w:r w:rsidRPr="00825EEB">
        <w:rPr>
          <w:rFonts w:ascii="Sylfaen" w:hAnsi="Sylfaen"/>
          <w:i/>
          <w:sz w:val="24"/>
          <w:szCs w:val="24"/>
        </w:rPr>
        <w:t>Ռ տոլուոլի</w:t>
      </w:r>
      <w:r w:rsidRPr="00825EEB">
        <w:rPr>
          <w:rFonts w:ascii="Sylfaen" w:hAnsi="Sylfaen"/>
          <w:sz w:val="24"/>
          <w:szCs w:val="24"/>
        </w:rPr>
        <w:t xml:space="preserve"> 10 մլ-ի </w:t>
      </w:r>
      <w:r>
        <w:rPr>
          <w:rFonts w:ascii="Sylfaen" w:hAnsi="Sylfaen"/>
          <w:sz w:val="24"/>
          <w:szCs w:val="24"/>
        </w:rPr>
        <w:t>եւ</w:t>
      </w:r>
      <w:r w:rsidRPr="00825EEB">
        <w:rPr>
          <w:rFonts w:ascii="Sylfaen" w:hAnsi="Sylfaen"/>
          <w:sz w:val="24"/>
          <w:szCs w:val="24"/>
        </w:rPr>
        <w:t xml:space="preserve"> 10</w:t>
      </w:r>
      <w:r w:rsidR="00D910A0" w:rsidRPr="00D910A0">
        <w:rPr>
          <w:rFonts w:ascii="Sylfaen" w:hAnsi="Sylfaen"/>
          <w:sz w:val="24"/>
          <w:szCs w:val="24"/>
        </w:rPr>
        <w:t> </w:t>
      </w:r>
      <w:r w:rsidRPr="00825EEB">
        <w:rPr>
          <w:rFonts w:ascii="Sylfaen" w:hAnsi="Sylfaen"/>
          <w:sz w:val="24"/>
          <w:szCs w:val="24"/>
        </w:rPr>
        <w:t xml:space="preserve">գ/լ </w:t>
      </w:r>
      <w:r w:rsidRPr="00825EEB">
        <w:rPr>
          <w:rFonts w:ascii="Sylfaen" w:hAnsi="Sylfaen"/>
          <w:i/>
          <w:sz w:val="24"/>
          <w:szCs w:val="24"/>
        </w:rPr>
        <w:t>Ռ տետրաբութիլամոնիումի հիդրօքսիդի</w:t>
      </w:r>
      <w:r w:rsidRPr="00825EEB">
        <w:rPr>
          <w:rFonts w:ascii="Sylfaen" w:hAnsi="Sylfaen"/>
          <w:sz w:val="24"/>
          <w:szCs w:val="24"/>
        </w:rPr>
        <w:t xml:space="preserve"> լուծույթի 10 մլ-ի մեջ՝ </w:t>
      </w:r>
      <w:r w:rsidRPr="00825EEB">
        <w:rPr>
          <w:rFonts w:ascii="Sylfaen" w:hAnsi="Sylfaen"/>
          <w:i/>
          <w:sz w:val="24"/>
          <w:szCs w:val="24"/>
        </w:rPr>
        <w:t xml:space="preserve">Ռ տոլուոլի </w:t>
      </w:r>
      <w:r w:rsidR="00D910A0" w:rsidRPr="00D910A0">
        <w:rPr>
          <w:rFonts w:ascii="Sylfaen" w:hAnsi="Sylfaen"/>
          <w:i/>
          <w:sz w:val="24"/>
          <w:szCs w:val="24"/>
        </w:rPr>
        <w:t>-</w:t>
      </w:r>
      <w:r w:rsidRPr="00825EEB">
        <w:rPr>
          <w:rFonts w:ascii="Sylfaen" w:hAnsi="Sylfaen"/>
          <w:i/>
          <w:sz w:val="24"/>
          <w:szCs w:val="24"/>
        </w:rPr>
        <w:t xml:space="preserve"> Ռ անջուր էթանոլի</w:t>
      </w:r>
      <w:r w:rsidRPr="00825EEB">
        <w:rPr>
          <w:rFonts w:ascii="Sylfaen" w:hAnsi="Sylfaen"/>
          <w:sz w:val="24"/>
          <w:szCs w:val="24"/>
        </w:rPr>
        <w:t xml:space="preserve"> խառնուրդի մեջ (35:65 </w:t>
      </w:r>
      <w:r w:rsidRPr="00825EEB">
        <w:rPr>
          <w:rFonts w:ascii="Sylfaen" w:hAnsi="Sylfaen"/>
          <w:i/>
          <w:sz w:val="24"/>
          <w:szCs w:val="24"/>
        </w:rPr>
        <w:t xml:space="preserve">ծավ/ծավ), </w:t>
      </w:r>
      <w:r w:rsidRPr="00825EEB">
        <w:rPr>
          <w:rFonts w:ascii="Sylfaen" w:hAnsi="Sylfaen"/>
          <w:sz w:val="24"/>
          <w:szCs w:val="24"/>
        </w:rPr>
        <w:t xml:space="preserve">3 րոպե եռացնում են հակադարձ սառնարանով, հովացնում </w:t>
      </w:r>
      <w:r>
        <w:rPr>
          <w:rFonts w:ascii="Sylfaen" w:hAnsi="Sylfaen"/>
          <w:sz w:val="24"/>
          <w:szCs w:val="24"/>
        </w:rPr>
        <w:t>եւ</w:t>
      </w:r>
      <w:r w:rsidRPr="00825EEB">
        <w:rPr>
          <w:rFonts w:ascii="Sylfaen" w:hAnsi="Sylfaen"/>
          <w:sz w:val="24"/>
          <w:szCs w:val="24"/>
        </w:rPr>
        <w:t xml:space="preserve"> անհրաժեշտության դեպքում՝ զտում:</w:t>
      </w:r>
    </w:p>
    <w:p w14:paraId="2BD2DFE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53E47104"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աշտարակը՝</w:t>
      </w:r>
      <w:r w:rsidRPr="00825EEB">
        <w:rPr>
          <w:rFonts w:ascii="Sylfaen" w:hAnsi="Sylfaen"/>
          <w:sz w:val="24"/>
          <w:szCs w:val="24"/>
        </w:rPr>
        <w:t xml:space="preserve"> 0,25 մ երկարությամբ </w:t>
      </w:r>
      <w:r>
        <w:rPr>
          <w:rFonts w:ascii="Sylfaen" w:hAnsi="Sylfaen"/>
          <w:sz w:val="24"/>
          <w:szCs w:val="24"/>
        </w:rPr>
        <w:t>եւ</w:t>
      </w:r>
      <w:r w:rsidRPr="00825EEB">
        <w:rPr>
          <w:rFonts w:ascii="Sylfaen" w:hAnsi="Sylfaen"/>
          <w:sz w:val="24"/>
          <w:szCs w:val="24"/>
        </w:rPr>
        <w:t xml:space="preserve"> 4,6 մմ ներքին տրամագծով, որը լցված է </w:t>
      </w:r>
      <w:r w:rsidRPr="00825EEB">
        <w:rPr>
          <w:rFonts w:ascii="Sylfaen" w:hAnsi="Sylfaen"/>
          <w:i/>
          <w:sz w:val="24"/>
          <w:szCs w:val="24"/>
        </w:rPr>
        <w:t>Ռ քրոմատագրման համար ամինո-պրոպիլսիլիլային սիլիկագելով՝</w:t>
      </w:r>
      <w:r w:rsidRPr="00825EEB">
        <w:rPr>
          <w:rFonts w:ascii="Sylfaen" w:hAnsi="Sylfaen"/>
          <w:sz w:val="24"/>
          <w:szCs w:val="24"/>
        </w:rPr>
        <w:t xml:space="preserve"> մասնիկների 5 մկմ չափով.</w:t>
      </w:r>
    </w:p>
    <w:p w14:paraId="7DD086F5"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շարժուն ֆազը՝ Ռ անջուր էթանոլ – Р հեքսան</w:t>
      </w:r>
      <w:r w:rsidRPr="00825EEB">
        <w:rPr>
          <w:rFonts w:ascii="Sylfaen" w:hAnsi="Sylfaen"/>
          <w:sz w:val="24"/>
          <w:szCs w:val="24"/>
        </w:rPr>
        <w:t xml:space="preserve"> (11:89 </w:t>
      </w:r>
      <w:r w:rsidRPr="00825EEB">
        <w:rPr>
          <w:rFonts w:ascii="Sylfaen" w:hAnsi="Sylfaen"/>
          <w:i/>
          <w:sz w:val="24"/>
          <w:szCs w:val="24"/>
        </w:rPr>
        <w:t>ծավ/ծավ</w:t>
      </w:r>
      <w:r w:rsidRPr="00825EEB">
        <w:rPr>
          <w:rFonts w:ascii="Sylfaen" w:hAnsi="Sylfaen"/>
          <w:sz w:val="24"/>
          <w:szCs w:val="24"/>
        </w:rPr>
        <w:t>)։</w:t>
      </w:r>
    </w:p>
    <w:p w14:paraId="43D66368" w14:textId="77777777" w:rsidR="0058052E" w:rsidRPr="00825EEB" w:rsidRDefault="0058052E" w:rsidP="00D910A0">
      <w:pPr>
        <w:tabs>
          <w:tab w:val="left" w:pos="1134"/>
        </w:tabs>
        <w:spacing w:after="160" w:line="360" w:lineRule="auto"/>
        <w:ind w:firstLine="567"/>
        <w:jc w:val="both"/>
      </w:pPr>
      <w:r w:rsidRPr="00825EEB">
        <w:rPr>
          <w:i/>
        </w:rPr>
        <w:t>-</w:t>
      </w:r>
      <w:r w:rsidR="00D910A0" w:rsidRPr="00A859E3">
        <w:rPr>
          <w:i/>
        </w:rPr>
        <w:tab/>
      </w:r>
      <w:r w:rsidRPr="00825EEB">
        <w:rPr>
          <w:i/>
        </w:rPr>
        <w:t>շարժուն ֆազի արագությունը՝</w:t>
      </w:r>
      <w:r w:rsidRPr="00825EEB">
        <w:t xml:space="preserve"> 2 մլ/րոպե.</w:t>
      </w:r>
    </w:p>
    <w:p w14:paraId="12B0771C"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xml:space="preserve"> սպեկտրալուսաչափական, ալիքի երկարությունը՝ 227 նմ.</w:t>
      </w:r>
    </w:p>
    <w:p w14:paraId="16D616FC"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D910A0" w:rsidRPr="00A859E3">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20-ական մկլ.</w:t>
      </w:r>
    </w:p>
    <w:p w14:paraId="2E3C82A9"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քրոմատագրման ժամանակը՝</w:t>
      </w:r>
      <w:r w:rsidRPr="00825EEB">
        <w:rPr>
          <w:rFonts w:ascii="Sylfaen" w:hAnsi="Sylfaen"/>
          <w:sz w:val="24"/>
          <w:szCs w:val="24"/>
        </w:rPr>
        <w:t xml:space="preserve"> 10 րոպե:</w:t>
      </w:r>
    </w:p>
    <w:p w14:paraId="626D615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193B24B0"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i/>
          <w:sz w:val="24"/>
          <w:szCs w:val="24"/>
        </w:rPr>
        <w:t>լուծաչափը՝</w:t>
      </w:r>
      <w:r>
        <w:rPr>
          <w:rFonts w:ascii="Sylfaen" w:hAnsi="Sylfaen"/>
          <w:sz w:val="24"/>
          <w:szCs w:val="24"/>
        </w:rPr>
        <w:t xml:space="preserve"> </w:t>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պոլիմերային 08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7,0՝ (ա) համեմատության լուծույթի քրոմատագրի վրա:</w:t>
      </w:r>
    </w:p>
    <w:p w14:paraId="0CFB39A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1CDE5FC2"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փորձարկվող լուծույթի քրոմատագրի վրա պոլիմերային 22-րդ նյութի հավելանյութում դիոլային բաղադրիչին համապատասխանող պիկի մակերեսը չպետք է գերազանցի համեմատության լուծույթի քրոմատագրի վրա համապատասխան պիկի մակերեսը:</w:t>
      </w:r>
    </w:p>
    <w:p w14:paraId="1A0C448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Ամիդներ </w:t>
      </w:r>
      <w:r>
        <w:rPr>
          <w:rFonts w:ascii="Sylfaen" w:hAnsi="Sylfaen"/>
          <w:b/>
          <w:sz w:val="24"/>
          <w:szCs w:val="24"/>
        </w:rPr>
        <w:t>եւ</w:t>
      </w:r>
      <w:r w:rsidRPr="00825EEB">
        <w:rPr>
          <w:rFonts w:ascii="Sylfaen" w:hAnsi="Sylfaen"/>
          <w:b/>
          <w:sz w:val="24"/>
          <w:szCs w:val="24"/>
        </w:rPr>
        <w:t xml:space="preserve"> ստեարատներ։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63ADF1F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«Ոչ ֆենոլային հակաօքսիդիչներ» փորձարկման ցուցումներին համապատասխան պատրաստված փորձարկվող Տ23 լուծույթը:</w:t>
      </w:r>
    </w:p>
    <w:p w14:paraId="232790E8" w14:textId="77777777" w:rsidR="0058052E" w:rsidRPr="00825EEB" w:rsidRDefault="0058052E" w:rsidP="00D910A0">
      <w:pPr>
        <w:pStyle w:val="a0"/>
        <w:shd w:val="clear" w:color="auto" w:fill="auto"/>
        <w:tabs>
          <w:tab w:val="left" w:pos="1418"/>
        </w:tabs>
        <w:spacing w:after="160" w:line="360" w:lineRule="auto"/>
        <w:ind w:firstLine="567"/>
        <w:jc w:val="both"/>
        <w:rPr>
          <w:rFonts w:ascii="Sylfaen" w:hAnsi="Sylfaen" w:cs="Sylfaen"/>
          <w:sz w:val="24"/>
          <w:szCs w:val="24"/>
        </w:rPr>
      </w:pPr>
      <w:r w:rsidRPr="00825EEB">
        <w:rPr>
          <w:rFonts w:ascii="Sylfaen" w:hAnsi="Sylfaen"/>
          <w:i/>
          <w:sz w:val="24"/>
          <w:szCs w:val="24"/>
        </w:rPr>
        <w:t>(ԺԷ)</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Ստեարինաթթվի (պոլիմերային 19-րդ նյութի հավելանյութ) ԵԱՏՄԴ ՍՆ</w:t>
      </w:r>
      <w:r w:rsidRPr="00825EEB">
        <w:rPr>
          <w:rFonts w:ascii="Sylfaen" w:hAnsi="Sylfaen"/>
          <w:sz w:val="24"/>
          <w:szCs w:val="24"/>
        </w:rPr>
        <w:t xml:space="preserve"> 20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w:t>
      </w:r>
    </w:p>
    <w:p w14:paraId="3FEECC67" w14:textId="77777777" w:rsidR="0058052E" w:rsidRPr="00825EEB" w:rsidRDefault="0058052E" w:rsidP="00D910A0">
      <w:pPr>
        <w:pStyle w:val="a0"/>
        <w:shd w:val="clear" w:color="auto" w:fill="auto"/>
        <w:tabs>
          <w:tab w:val="left" w:pos="1418"/>
        </w:tabs>
        <w:spacing w:after="160" w:line="360" w:lineRule="auto"/>
        <w:ind w:firstLine="567"/>
        <w:jc w:val="both"/>
        <w:rPr>
          <w:rFonts w:ascii="Sylfaen" w:hAnsi="Sylfaen" w:cs="Sylfaen"/>
          <w:sz w:val="24"/>
          <w:szCs w:val="24"/>
        </w:rPr>
      </w:pPr>
      <w:r w:rsidRPr="00825EEB">
        <w:rPr>
          <w:rFonts w:ascii="Sylfaen" w:hAnsi="Sylfaen"/>
          <w:i/>
          <w:sz w:val="24"/>
          <w:szCs w:val="24"/>
        </w:rPr>
        <w:t>(ԺԸ)</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Օլեամիդի </w:t>
      </w:r>
      <w:r w:rsidRPr="00825EEB">
        <w:rPr>
          <w:rFonts w:ascii="Sylfaen" w:hAnsi="Sylfaen"/>
          <w:i/>
          <w:sz w:val="24"/>
          <w:szCs w:val="24"/>
        </w:rPr>
        <w:t>(պոլիմերային 20-րդ նյութի հավելանյութ)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20 մլ-ի մեջ:</w:t>
      </w:r>
    </w:p>
    <w:p w14:paraId="47246721" w14:textId="77777777" w:rsidR="0058052E" w:rsidRPr="00825EEB" w:rsidRDefault="0058052E" w:rsidP="00D910A0">
      <w:pPr>
        <w:pStyle w:val="a0"/>
        <w:shd w:val="clear" w:color="auto" w:fill="auto"/>
        <w:tabs>
          <w:tab w:val="left" w:pos="1418"/>
        </w:tabs>
        <w:spacing w:after="160" w:line="360" w:lineRule="auto"/>
        <w:ind w:firstLine="567"/>
        <w:jc w:val="both"/>
        <w:rPr>
          <w:rFonts w:ascii="Sylfaen" w:hAnsi="Sylfaen" w:cs="Sylfaen"/>
          <w:sz w:val="24"/>
          <w:szCs w:val="24"/>
        </w:rPr>
      </w:pPr>
      <w:r w:rsidRPr="00825EEB">
        <w:rPr>
          <w:rFonts w:ascii="Sylfaen" w:hAnsi="Sylfaen"/>
          <w:i/>
          <w:sz w:val="24"/>
          <w:szCs w:val="24"/>
        </w:rPr>
        <w:t>(ԺԹ)</w:t>
      </w:r>
      <w:r w:rsidR="00D910A0"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Էրուկամիդի (պոլիմերային 21 նյութի հավելանյութի) ԵԱՏՄԴ ՍՆ 40 մգ-ը լուծում են Ռ մեթիլենքլորիդի 20 մլ-ի մեջ:</w:t>
      </w:r>
    </w:p>
    <w:p w14:paraId="5A95436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2B481EF6" w14:textId="77777777" w:rsidR="0058052E" w:rsidRPr="00D35F34" w:rsidRDefault="0058052E" w:rsidP="00D910A0">
      <w:pPr>
        <w:pStyle w:val="a0"/>
        <w:shd w:val="clear" w:color="auto" w:fill="auto"/>
        <w:tabs>
          <w:tab w:val="left" w:pos="1134"/>
        </w:tabs>
        <w:spacing w:after="160" w:line="360" w:lineRule="auto"/>
        <w:ind w:firstLine="567"/>
        <w:jc w:val="both"/>
        <w:rPr>
          <w:rFonts w:ascii="Sylfaen" w:hAnsi="Sylfaen"/>
          <w:i/>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ՆՇՔ թիթեղ՝ GF</w:t>
      </w:r>
      <w:r w:rsidRPr="00825EEB">
        <w:rPr>
          <w:rFonts w:ascii="Sylfaen" w:hAnsi="Sylfaen"/>
          <w:i/>
          <w:sz w:val="24"/>
          <w:szCs w:val="24"/>
          <w:vertAlign w:val="subscript"/>
        </w:rPr>
        <w:t>245</w:t>
      </w:r>
      <w:r w:rsidRPr="00825EEB">
        <w:rPr>
          <w:rFonts w:ascii="Sylfaen" w:hAnsi="Sylfaen"/>
          <w:i/>
          <w:sz w:val="24"/>
          <w:szCs w:val="24"/>
        </w:rPr>
        <w:t xml:space="preserve"> Ռ սիլիկագելի շերտով (2 հատ):</w:t>
      </w:r>
    </w:p>
    <w:p w14:paraId="08D89AF6" w14:textId="77777777" w:rsidR="001B3D08" w:rsidRPr="00D35F34" w:rsidRDefault="001B3D08" w:rsidP="00D910A0">
      <w:pPr>
        <w:pStyle w:val="a0"/>
        <w:shd w:val="clear" w:color="auto" w:fill="auto"/>
        <w:tabs>
          <w:tab w:val="left" w:pos="1134"/>
        </w:tabs>
        <w:spacing w:after="160" w:line="360" w:lineRule="auto"/>
        <w:ind w:firstLine="567"/>
        <w:jc w:val="both"/>
        <w:rPr>
          <w:rFonts w:ascii="Sylfaen" w:hAnsi="Sylfaen"/>
          <w:i/>
          <w:sz w:val="24"/>
          <w:szCs w:val="24"/>
        </w:rPr>
      </w:pPr>
    </w:p>
    <w:p w14:paraId="78BD8FCD"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Ա.</w:t>
      </w:r>
      <w:r w:rsidR="00D910A0" w:rsidRPr="00D910A0">
        <w:rPr>
          <w:rFonts w:ascii="Sylfaen" w:hAnsi="Sylfaen"/>
          <w:sz w:val="24"/>
          <w:szCs w:val="24"/>
        </w:rPr>
        <w:tab/>
      </w:r>
      <w:r w:rsidRPr="00825EEB">
        <w:rPr>
          <w:rFonts w:ascii="Sylfaen" w:hAnsi="Sylfaen"/>
          <w:i/>
          <w:sz w:val="24"/>
          <w:szCs w:val="24"/>
        </w:rPr>
        <w:t>շարժուն ֆազ</w:t>
      </w:r>
      <w:r w:rsidRPr="00825EEB">
        <w:rPr>
          <w:rFonts w:ascii="Sylfaen" w:hAnsi="Sylfaen"/>
          <w:sz w:val="24"/>
          <w:szCs w:val="24"/>
        </w:rPr>
        <w:t>՝</w:t>
      </w:r>
      <w:r w:rsidRPr="00825EEB">
        <w:rPr>
          <w:rFonts w:ascii="Sylfaen" w:hAnsi="Sylfaen"/>
          <w:i/>
          <w:sz w:val="24"/>
          <w:szCs w:val="24"/>
        </w:rPr>
        <w:t xml:space="preserve"> Ռ անջուր էթանոլ </w:t>
      </w:r>
      <w:r w:rsidR="00D910A0" w:rsidRPr="00D910A0">
        <w:rPr>
          <w:rFonts w:ascii="Sylfaen" w:hAnsi="Sylfaen"/>
          <w:i/>
          <w:sz w:val="24"/>
          <w:szCs w:val="24"/>
        </w:rPr>
        <w:t>-</w:t>
      </w:r>
      <w:r w:rsidRPr="00825EEB">
        <w:rPr>
          <w:rFonts w:ascii="Sylfaen" w:hAnsi="Sylfaen"/>
          <w:i/>
          <w:sz w:val="24"/>
          <w:szCs w:val="24"/>
        </w:rPr>
        <w:t xml:space="preserve"> Ռ տրիմեթիլպենտան (25:75, ծավ/ծավ).</w:t>
      </w:r>
    </w:p>
    <w:p w14:paraId="1B42B3C5"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քսվող փորձանմուշի ծավալ</w:t>
      </w:r>
      <w:r w:rsidRPr="00825EEB">
        <w:rPr>
          <w:rFonts w:ascii="Sylfaen" w:hAnsi="Sylfaen"/>
          <w:sz w:val="24"/>
          <w:szCs w:val="24"/>
        </w:rPr>
        <w:t xml:space="preserve">՝ փորձարկվող լուծույթի </w:t>
      </w:r>
      <w:r>
        <w:rPr>
          <w:rFonts w:ascii="Sylfaen" w:hAnsi="Sylfaen"/>
          <w:sz w:val="24"/>
          <w:szCs w:val="24"/>
        </w:rPr>
        <w:t>եւ</w:t>
      </w:r>
      <w:r w:rsidRPr="00825EEB">
        <w:rPr>
          <w:rFonts w:ascii="Sylfaen" w:hAnsi="Sylfaen"/>
          <w:sz w:val="24"/>
          <w:szCs w:val="24"/>
        </w:rPr>
        <w:t xml:space="preserve"> (ժէ) համեմատության լուծույթի 10-ական մկլ.</w:t>
      </w:r>
    </w:p>
    <w:p w14:paraId="68F74FA0"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շարժուն ֆազի ճակատի վազք</w:t>
      </w:r>
      <w:r w:rsidRPr="00825EEB">
        <w:rPr>
          <w:rFonts w:ascii="Sylfaen" w:hAnsi="Sylfaen"/>
          <w:sz w:val="24"/>
          <w:szCs w:val="24"/>
        </w:rPr>
        <w:t>՝ մեկնարկային գծից առնվազն 10 սմ.</w:t>
      </w:r>
    </w:p>
    <w:p w14:paraId="72B69CC4"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չորացումը</w:t>
      </w:r>
      <w:r w:rsidRPr="00825EEB">
        <w:rPr>
          <w:rFonts w:ascii="Sylfaen" w:hAnsi="Sylfaen"/>
          <w:sz w:val="24"/>
          <w:szCs w:val="24"/>
        </w:rPr>
        <w:t>՝ օդում․</w:t>
      </w:r>
    </w:p>
    <w:p w14:paraId="62A8FDC4"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դետեկտումը</w:t>
      </w:r>
      <w:r w:rsidRPr="00825EEB">
        <w:rPr>
          <w:rFonts w:ascii="Sylfaen" w:hAnsi="Sylfaen"/>
          <w:sz w:val="24"/>
          <w:szCs w:val="24"/>
        </w:rPr>
        <w:t xml:space="preserve">՝ ցողում են 2 գ/լ </w:t>
      </w:r>
      <w:r w:rsidRPr="00825EEB">
        <w:rPr>
          <w:rFonts w:ascii="Sylfaen" w:hAnsi="Sylfaen"/>
          <w:i/>
          <w:sz w:val="24"/>
          <w:szCs w:val="24"/>
        </w:rPr>
        <w:t>Ռ դիքլորֆենոլինդոֆենոլ նատրիումի աղի</w:t>
      </w:r>
      <w:r w:rsidRPr="00825EEB">
        <w:rPr>
          <w:rFonts w:ascii="Sylfaen" w:hAnsi="Sylfaen"/>
          <w:sz w:val="24"/>
          <w:szCs w:val="24"/>
        </w:rPr>
        <w:t xml:space="preserve"> լուծույթով՝ </w:t>
      </w:r>
      <w:r w:rsidRPr="00825EEB">
        <w:rPr>
          <w:rFonts w:ascii="Sylfaen" w:hAnsi="Sylfaen"/>
          <w:i/>
          <w:sz w:val="24"/>
          <w:szCs w:val="24"/>
        </w:rPr>
        <w:t>Ռ անջուր էթանոլի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մի քանի րոպե տաքացնում 120 °С ջերմաստիճանի տակ՝ բծերի ինտենսիվությունն ուժեղացնելու համար:</w:t>
      </w:r>
    </w:p>
    <w:p w14:paraId="081C3E12"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Պարունակության սահմանը.</w:t>
      </w:r>
    </w:p>
    <w:p w14:paraId="3E85E14D"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պոլիմերային 19-րդ նյութի հավելանյութին համապատասխանող՝ փորձարկվող լուծույթի քրոմատագրի վրայի բիծը պետք է հայտնաբերվի (ժէ) համեմատության լուծույթի քրոմատագրի բծի մակարդակում (</w:t>
      </w:r>
      <w:r w:rsidRPr="00825EEB">
        <w:rPr>
          <w:rFonts w:ascii="Sylfaen" w:hAnsi="Sylfaen"/>
          <w:i/>
          <w:sz w:val="24"/>
          <w:szCs w:val="24"/>
        </w:rPr>
        <w:t>R</w:t>
      </w:r>
      <w:r w:rsidRPr="00825EEB">
        <w:rPr>
          <w:rFonts w:ascii="Sylfaen" w:hAnsi="Sylfaen"/>
          <w:i/>
          <w:sz w:val="24"/>
          <w:szCs w:val="24"/>
          <w:vertAlign w:val="subscript"/>
        </w:rPr>
        <w:t>ƒ</w:t>
      </w:r>
      <w:r w:rsidRPr="00825EEB">
        <w:rPr>
          <w:rFonts w:ascii="Sylfaen" w:hAnsi="Sylfaen"/>
          <w:sz w:val="24"/>
          <w:szCs w:val="24"/>
        </w:rPr>
        <w:t xml:space="preserve">՝ մոտ 0,5) </w:t>
      </w:r>
      <w:r>
        <w:rPr>
          <w:rFonts w:ascii="Sylfaen" w:hAnsi="Sylfaen"/>
          <w:sz w:val="24"/>
          <w:szCs w:val="24"/>
        </w:rPr>
        <w:t>եւ</w:t>
      </w:r>
      <w:r w:rsidRPr="00825EEB">
        <w:rPr>
          <w:rFonts w:ascii="Sylfaen" w:hAnsi="Sylfaen"/>
          <w:sz w:val="24"/>
          <w:szCs w:val="24"/>
        </w:rPr>
        <w:t xml:space="preserve"> ըստ ինտենսիվության՝ չգերազանցի այն:</w:t>
      </w:r>
    </w:p>
    <w:p w14:paraId="3121199F"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Բ.</w:t>
      </w:r>
      <w:r w:rsidR="00D910A0" w:rsidRPr="00A859E3">
        <w:rPr>
          <w:rFonts w:ascii="Sylfaen" w:hAnsi="Sylfaen"/>
          <w:sz w:val="24"/>
          <w:szCs w:val="24"/>
        </w:rPr>
        <w:tab/>
      </w:r>
      <w:r w:rsidRPr="00825EEB">
        <w:rPr>
          <w:rFonts w:ascii="Sylfaen" w:hAnsi="Sylfaen"/>
          <w:i/>
          <w:sz w:val="24"/>
          <w:szCs w:val="24"/>
        </w:rPr>
        <w:t>Ա շարժուն ֆազ</w:t>
      </w:r>
      <w:r w:rsidRPr="00825EEB">
        <w:rPr>
          <w:rFonts w:ascii="Sylfaen" w:hAnsi="Sylfaen"/>
          <w:sz w:val="24"/>
          <w:szCs w:val="24"/>
        </w:rPr>
        <w:t>՝</w:t>
      </w:r>
      <w:r w:rsidRPr="00825EEB">
        <w:rPr>
          <w:rFonts w:ascii="Sylfaen" w:hAnsi="Sylfaen"/>
          <w:i/>
          <w:sz w:val="24"/>
          <w:szCs w:val="24"/>
        </w:rPr>
        <w:t xml:space="preserve"> Ռ հեքսան.</w:t>
      </w:r>
    </w:p>
    <w:p w14:paraId="5DE0A9A6"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Բ շարժուն ֆազ՝ Ռ մեթանոլ – Ռ մեթիլենքլորիդ (5:95, ծավ/ծավ).</w:t>
      </w:r>
    </w:p>
    <w:p w14:paraId="0ED92AB0"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քսվող փորձանմուշի ծավալ՝</w:t>
      </w:r>
      <w:r w:rsidRPr="00825EEB">
        <w:rPr>
          <w:rFonts w:ascii="Sylfaen" w:hAnsi="Sylfaen"/>
          <w:sz w:val="24"/>
          <w:szCs w:val="24"/>
        </w:rPr>
        <w:t xml:space="preserve"> փորձարկվող լուծույթի </w:t>
      </w:r>
      <w:r>
        <w:rPr>
          <w:rFonts w:ascii="Sylfaen" w:hAnsi="Sylfaen"/>
          <w:sz w:val="24"/>
          <w:szCs w:val="24"/>
        </w:rPr>
        <w:t>եւ</w:t>
      </w:r>
      <w:r w:rsidRPr="00825EEB">
        <w:rPr>
          <w:rFonts w:ascii="Sylfaen" w:hAnsi="Sylfaen"/>
          <w:sz w:val="24"/>
          <w:szCs w:val="24"/>
        </w:rPr>
        <w:t xml:space="preserve"> (ժը) ու (ժթ) համեմատության լուծույթների 10-ական մկլ.</w:t>
      </w:r>
    </w:p>
    <w:p w14:paraId="3C474C33" w14:textId="77777777" w:rsidR="0058052E" w:rsidRPr="00825EEB"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շարժուն ֆազի ճակատի վազք՝</w:t>
      </w:r>
      <w:r w:rsidRPr="00825EEB">
        <w:rPr>
          <w:rFonts w:ascii="Sylfaen" w:hAnsi="Sylfaen"/>
          <w:sz w:val="24"/>
          <w:szCs w:val="24"/>
        </w:rPr>
        <w:t xml:space="preserve"> մեկնարկային գծից 13 սմ-ից ոչ պակաս՝ Ա շարժուն ֆազի օգտագործմամբ. չորացնելուց հետո քրոմատագրում են մեկնարկային գծից 10 սմ-ից ոչ պակաս տարածության վրա՝ Բ շարժուն ֆազի օգտագործմամբ.</w:t>
      </w:r>
    </w:p>
    <w:p w14:paraId="16430517" w14:textId="77777777" w:rsidR="0058052E" w:rsidRPr="00D35F34" w:rsidRDefault="0058052E" w:rsidP="001B3D08">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չորացումը՝</w:t>
      </w:r>
      <w:r w:rsidR="001B3D08">
        <w:rPr>
          <w:rFonts w:ascii="Sylfaen" w:hAnsi="Sylfaen"/>
          <w:sz w:val="24"/>
          <w:szCs w:val="24"/>
        </w:rPr>
        <w:t xml:space="preserve"> օդում</w:t>
      </w:r>
    </w:p>
    <w:p w14:paraId="2426FE8D"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դետեկտումը՝</w:t>
      </w:r>
      <w:r w:rsidRPr="00825EEB">
        <w:rPr>
          <w:rFonts w:ascii="Sylfaen" w:hAnsi="Sylfaen"/>
          <w:sz w:val="24"/>
          <w:szCs w:val="24"/>
        </w:rPr>
        <w:t xml:space="preserve"> ցողում են 40 գ/լ </w:t>
      </w:r>
      <w:r w:rsidRPr="00825EEB">
        <w:rPr>
          <w:rFonts w:ascii="Sylfaen" w:hAnsi="Sylfaen"/>
          <w:i/>
          <w:sz w:val="24"/>
          <w:szCs w:val="24"/>
        </w:rPr>
        <w:t>Ռ ֆոսֆորամոլիբդենային թթվի</w:t>
      </w:r>
      <w:r w:rsidRPr="00825EEB">
        <w:rPr>
          <w:rFonts w:ascii="Sylfaen" w:hAnsi="Sylfaen"/>
          <w:sz w:val="24"/>
          <w:szCs w:val="24"/>
        </w:rPr>
        <w:t xml:space="preserve"> լուծույթով՝ </w:t>
      </w:r>
      <w:r w:rsidRPr="00825EEB">
        <w:rPr>
          <w:rFonts w:ascii="Sylfaen" w:hAnsi="Sylfaen"/>
          <w:i/>
          <w:sz w:val="24"/>
          <w:szCs w:val="24"/>
        </w:rPr>
        <w:t>Ռ անջուր էթանոլի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տաքացնում 120 °С ջերմաստիճանի տակ՝ մինչ</w:t>
      </w:r>
      <w:r>
        <w:rPr>
          <w:rFonts w:ascii="Sylfaen" w:hAnsi="Sylfaen"/>
          <w:sz w:val="24"/>
          <w:szCs w:val="24"/>
        </w:rPr>
        <w:t>եւ</w:t>
      </w:r>
      <w:r w:rsidRPr="00825EEB">
        <w:rPr>
          <w:rFonts w:ascii="Sylfaen" w:hAnsi="Sylfaen"/>
          <w:sz w:val="24"/>
          <w:szCs w:val="24"/>
        </w:rPr>
        <w:t xml:space="preserve"> բծերի հայտնվելը:</w:t>
      </w:r>
    </w:p>
    <w:p w14:paraId="07002DBC"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lastRenderedPageBreak/>
        <w:t>Պարունակության սահմանը՝</w:t>
      </w:r>
    </w:p>
    <w:p w14:paraId="2CE735DA" w14:textId="77777777" w:rsidR="0058052E" w:rsidRPr="00A859E3" w:rsidRDefault="0058052E" w:rsidP="001B3D08">
      <w:pPr>
        <w:pStyle w:val="a0"/>
        <w:shd w:val="clear" w:color="auto" w:fill="auto"/>
        <w:tabs>
          <w:tab w:val="left" w:pos="1134"/>
        </w:tabs>
        <w:spacing w:after="160" w:line="346" w:lineRule="auto"/>
        <w:ind w:firstLine="567"/>
        <w:jc w:val="both"/>
        <w:rPr>
          <w:rFonts w:ascii="Sylfaen" w:hAnsi="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 xml:space="preserve">պոլիմերային 20-րդ նյութի հավելանյութին կամ պոլիմերային 21-րդ նյութի հավելանյութին համապատասխանող՝ փորձարկվող լուծույթի քրոմատագրի վրայի բծերը պետք է հայտնաբերվեն (ժը) </w:t>
      </w:r>
      <w:r>
        <w:rPr>
          <w:rFonts w:ascii="Sylfaen" w:hAnsi="Sylfaen"/>
          <w:sz w:val="24"/>
          <w:szCs w:val="24"/>
        </w:rPr>
        <w:t>եւ</w:t>
      </w:r>
      <w:r w:rsidRPr="00825EEB">
        <w:rPr>
          <w:rFonts w:ascii="Sylfaen" w:hAnsi="Sylfaen"/>
          <w:sz w:val="24"/>
          <w:szCs w:val="24"/>
        </w:rPr>
        <w:t xml:space="preserve"> (ժթ) համեմատության լուծույթների քրոմատագրերի համապատասխան բծերի մակարդակում (</w:t>
      </w:r>
      <w:r w:rsidRPr="00825EEB">
        <w:rPr>
          <w:rFonts w:ascii="Sylfaen" w:hAnsi="Sylfaen"/>
          <w:i/>
          <w:sz w:val="24"/>
          <w:szCs w:val="24"/>
        </w:rPr>
        <w:t>R</w:t>
      </w:r>
      <w:r w:rsidRPr="00825EEB">
        <w:rPr>
          <w:rFonts w:ascii="Sylfaen" w:hAnsi="Sylfaen"/>
          <w:sz w:val="24"/>
          <w:szCs w:val="24"/>
          <w:vertAlign w:val="subscript"/>
        </w:rPr>
        <w:t>ƒ</w:t>
      </w:r>
      <w:r w:rsidRPr="00825EEB">
        <w:rPr>
          <w:rFonts w:ascii="Sylfaen" w:hAnsi="Sylfaen"/>
          <w:sz w:val="24"/>
          <w:szCs w:val="24"/>
        </w:rPr>
        <w:t xml:space="preserve">՝ մոտ 0,2) </w:t>
      </w:r>
      <w:r>
        <w:rPr>
          <w:rFonts w:ascii="Sylfaen" w:hAnsi="Sylfaen"/>
          <w:sz w:val="24"/>
          <w:szCs w:val="24"/>
        </w:rPr>
        <w:t>եւ</w:t>
      </w:r>
      <w:r w:rsidRPr="00825EEB">
        <w:rPr>
          <w:rFonts w:ascii="Sylfaen" w:hAnsi="Sylfaen"/>
          <w:sz w:val="24"/>
          <w:szCs w:val="24"/>
        </w:rPr>
        <w:t xml:space="preserve"> ըստ ինտենսիվության՝ չգերազանցեն դրանք:</w:t>
      </w:r>
    </w:p>
    <w:p w14:paraId="3D09BAA5" w14:textId="77777777" w:rsidR="00D910A0" w:rsidRPr="00A859E3" w:rsidRDefault="00D910A0" w:rsidP="001B3D08">
      <w:pPr>
        <w:pStyle w:val="a0"/>
        <w:shd w:val="clear" w:color="auto" w:fill="auto"/>
        <w:tabs>
          <w:tab w:val="left" w:pos="1134"/>
        </w:tabs>
        <w:spacing w:after="160" w:line="346" w:lineRule="auto"/>
        <w:ind w:firstLine="567"/>
        <w:jc w:val="both"/>
        <w:rPr>
          <w:rFonts w:ascii="Sylfaen" w:hAnsi="Sylfaen" w:cs="Sylfaen"/>
          <w:sz w:val="24"/>
          <w:szCs w:val="24"/>
        </w:rPr>
      </w:pPr>
    </w:p>
    <w:p w14:paraId="394A2C9A" w14:textId="77777777" w:rsidR="0058052E" w:rsidRPr="00A859E3" w:rsidRDefault="0058052E" w:rsidP="001B3D08">
      <w:pPr>
        <w:pStyle w:val="a0"/>
        <w:shd w:val="clear" w:color="auto" w:fill="auto"/>
        <w:spacing w:after="160" w:line="346" w:lineRule="auto"/>
        <w:ind w:firstLine="567"/>
        <w:jc w:val="right"/>
        <w:rPr>
          <w:rFonts w:ascii="Sylfaen" w:hAnsi="Sylfaen"/>
          <w:b/>
          <w:szCs w:val="24"/>
        </w:rPr>
      </w:pPr>
      <w:r w:rsidRPr="00D910A0">
        <w:rPr>
          <w:rFonts w:ascii="Sylfaen" w:hAnsi="Sylfaen"/>
          <w:b/>
          <w:szCs w:val="24"/>
        </w:rPr>
        <w:t>204010002-2022</w:t>
      </w:r>
    </w:p>
    <w:p w14:paraId="6D9DCF8F" w14:textId="77777777" w:rsidR="00D910A0" w:rsidRPr="00A859E3" w:rsidRDefault="00D910A0" w:rsidP="001B3D08">
      <w:pPr>
        <w:pStyle w:val="a0"/>
        <w:shd w:val="clear" w:color="auto" w:fill="auto"/>
        <w:spacing w:after="160" w:line="346" w:lineRule="auto"/>
        <w:ind w:firstLine="567"/>
        <w:jc w:val="right"/>
        <w:rPr>
          <w:rFonts w:ascii="Sylfaen" w:hAnsi="Sylfaen" w:cs="Sylfaen"/>
          <w:szCs w:val="24"/>
        </w:rPr>
      </w:pPr>
    </w:p>
    <w:p w14:paraId="5A3082F4" w14:textId="77777777" w:rsidR="0058052E" w:rsidRPr="00825EEB" w:rsidRDefault="0058052E" w:rsidP="001B3D08">
      <w:pPr>
        <w:pStyle w:val="a0"/>
        <w:shd w:val="clear" w:color="auto" w:fill="auto"/>
        <w:tabs>
          <w:tab w:val="left" w:pos="1843"/>
        </w:tabs>
        <w:spacing w:after="160" w:line="346" w:lineRule="auto"/>
        <w:ind w:firstLine="567"/>
        <w:jc w:val="both"/>
        <w:rPr>
          <w:rFonts w:ascii="Sylfaen" w:hAnsi="Sylfaen" w:cs="Sylfaen"/>
          <w:sz w:val="24"/>
          <w:szCs w:val="24"/>
        </w:rPr>
      </w:pPr>
      <w:r w:rsidRPr="00825EEB">
        <w:rPr>
          <w:rFonts w:ascii="Sylfaen" w:hAnsi="Sylfaen"/>
          <w:b/>
          <w:sz w:val="24"/>
          <w:szCs w:val="24"/>
        </w:rPr>
        <w:t>2.4.1.2.</w:t>
      </w:r>
      <w:r w:rsidR="00D910A0" w:rsidRPr="00A859E3">
        <w:rPr>
          <w:rFonts w:ascii="Sylfaen" w:hAnsi="Sylfaen"/>
          <w:b/>
          <w:sz w:val="24"/>
          <w:szCs w:val="24"/>
        </w:rPr>
        <w:tab/>
      </w:r>
      <w:r w:rsidRPr="00825EEB">
        <w:rPr>
          <w:rFonts w:ascii="Sylfaen" w:hAnsi="Sylfaen"/>
          <w:b/>
          <w:sz w:val="24"/>
          <w:szCs w:val="24"/>
        </w:rPr>
        <w:t>Պոլիէթիլեն՝ առանց հավելանյութերի</w:t>
      </w:r>
    </w:p>
    <w:p w14:paraId="121CBAF6"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Սույն ընդհանուր դեղագրքային հոդվածի պահանջները տարածվում են առանց հավելանյութերի պոլիէթիլենի վրա, որը նախատեսված է պարենտերալ </w:t>
      </w:r>
      <w:r>
        <w:rPr>
          <w:rFonts w:ascii="Sylfaen" w:hAnsi="Sylfaen"/>
          <w:sz w:val="24"/>
          <w:szCs w:val="24"/>
        </w:rPr>
        <w:t>եւ</w:t>
      </w:r>
      <w:r w:rsidRPr="00825EEB">
        <w:rPr>
          <w:rFonts w:ascii="Sylfaen" w:hAnsi="Sylfaen"/>
          <w:sz w:val="24"/>
          <w:szCs w:val="24"/>
        </w:rPr>
        <w:t xml:space="preserve"> ակնաբուժական կիրառման դեղապատրաստուկների փաթեթվածքների արտադրության համար:</w:t>
      </w:r>
    </w:p>
    <w:p w14:paraId="733D2D8E"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Առանց հավելանյութերի պոլիէթիլենն ստանում են էթիլենի պոլիմերացման միջոցով՝ բարձր ճնշման տակ՝ թթվածնի կամ ազատ ռադիկալների առաջացման նախաձեռնիչների առկայությամբ։</w:t>
      </w:r>
    </w:p>
    <w:p w14:paraId="0D0997A7"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p>
    <w:p w14:paraId="440B86E8"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ՀԱՏԿՈՒԹՅՈՒՆՆԵՐԸ</w:t>
      </w:r>
    </w:p>
    <w:p w14:paraId="094356B0"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Միատարր գնդիկներ, հատիկներ, փոշի կամ վերամշակումից հետո՝ տարբեր հաստության կիսաթափանցիկ թիթեղներ, կամ փոխակերպումից հետո՝ առաջնային փաթեթվածքի տեսակներ:</w:t>
      </w:r>
    </w:p>
    <w:p w14:paraId="776160B2" w14:textId="77777777" w:rsidR="0058052E" w:rsidRPr="00825EEB" w:rsidRDefault="0058052E" w:rsidP="001B3D08">
      <w:pPr>
        <w:spacing w:after="160" w:line="346" w:lineRule="auto"/>
        <w:ind w:firstLine="567"/>
        <w:jc w:val="both"/>
      </w:pPr>
      <w:r w:rsidRPr="00825EEB">
        <w:rPr>
          <w:i/>
        </w:rPr>
        <w:t>Լուծելիությունը։</w:t>
      </w:r>
      <w:r w:rsidRPr="00825EEB">
        <w:t xml:space="preserve"> Գրեթե լուծելի չէ ջրի, անջուր էթանոլի, հեքսանի </w:t>
      </w:r>
      <w:r>
        <w:t>եւ</w:t>
      </w:r>
      <w:r w:rsidRPr="00825EEB">
        <w:t xml:space="preserve"> մեթանոլի մեջ, լուծելի է տաք արոմատիկ ածխաջրածիններում:</w:t>
      </w:r>
    </w:p>
    <w:p w14:paraId="6DC786CB" w14:textId="77777777" w:rsidR="0058052E" w:rsidRPr="00825EEB" w:rsidRDefault="0058052E" w:rsidP="001B3D08">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Փափկում է 65 °С-ից բարձր ջերմաստիճանի տակ։</w:t>
      </w:r>
    </w:p>
    <w:p w14:paraId="1A8B1CF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Հարաբերական խտությունը։</w:t>
      </w:r>
      <w:r w:rsidRPr="00825EEB">
        <w:rPr>
          <w:rFonts w:ascii="Sylfaen" w:hAnsi="Sylfaen"/>
          <w:sz w:val="24"/>
          <w:szCs w:val="24"/>
        </w:rPr>
        <w:t xml:space="preserve"> 0,910-ից մինչ</w:t>
      </w:r>
      <w:r>
        <w:rPr>
          <w:rFonts w:ascii="Sylfaen" w:hAnsi="Sylfaen"/>
          <w:sz w:val="24"/>
          <w:szCs w:val="24"/>
        </w:rPr>
        <w:t>եւ</w:t>
      </w:r>
      <w:r w:rsidRPr="00825EEB">
        <w:rPr>
          <w:rFonts w:ascii="Sylfaen" w:hAnsi="Sylfaen"/>
          <w:sz w:val="24"/>
          <w:szCs w:val="24"/>
        </w:rPr>
        <w:t xml:space="preserve"> 0,937։</w:t>
      </w:r>
    </w:p>
    <w:p w14:paraId="65E24BD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ՆՈՒՅՆԱԿԱՆԱՑՈՒՄԸ</w:t>
      </w:r>
    </w:p>
    <w:p w14:paraId="3584BF2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40A68759" w14:textId="77777777" w:rsidR="0058052E" w:rsidRPr="00825EEB" w:rsidRDefault="0058052E" w:rsidP="00107BA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D910A0" w:rsidRPr="00A859E3">
        <w:rPr>
          <w:rFonts w:ascii="Sylfaen" w:hAnsi="Sylfaen"/>
          <w:sz w:val="24"/>
          <w:szCs w:val="24"/>
        </w:rPr>
        <w:tab/>
      </w:r>
      <w:r w:rsidRPr="00825EEB">
        <w:rPr>
          <w:rFonts w:ascii="Sylfaen" w:hAnsi="Sylfaen"/>
          <w:sz w:val="24"/>
          <w:szCs w:val="24"/>
        </w:rPr>
        <w:t>Որոշումն անցկացնում են ինֆրակարմիր հատվածում աբսորբման սպեկտրալուսաչափության մեթոդով (</w:t>
      </w:r>
      <w:r w:rsidRPr="00825EEB">
        <w:rPr>
          <w:rFonts w:ascii="Sylfaen" w:hAnsi="Sylfaen"/>
          <w:i/>
          <w:sz w:val="24"/>
          <w:szCs w:val="24"/>
        </w:rPr>
        <w:t>2.1.2.23</w:t>
      </w:r>
      <w:r w:rsidRPr="00825EEB">
        <w:rPr>
          <w:rFonts w:ascii="Sylfaen" w:hAnsi="Sylfaen"/>
          <w:sz w:val="24"/>
          <w:szCs w:val="24"/>
        </w:rPr>
        <w:t>):</w:t>
      </w:r>
    </w:p>
    <w:p w14:paraId="4FA33A0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Նյութի փորձարկվող նմուշի 0,25 գ-ին ավելացնում են </w:t>
      </w:r>
      <w:r w:rsidRPr="00825EEB">
        <w:rPr>
          <w:rFonts w:ascii="Sylfaen" w:hAnsi="Sylfaen"/>
          <w:i/>
          <w:sz w:val="24"/>
          <w:szCs w:val="24"/>
        </w:rPr>
        <w:t>Ռ տոլուոլի</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15</w:t>
      </w:r>
      <w:r w:rsidR="00D910A0" w:rsidRPr="00D910A0">
        <w:rPr>
          <w:rFonts w:ascii="Sylfaen" w:hAnsi="Sylfaen"/>
          <w:sz w:val="24"/>
          <w:szCs w:val="24"/>
        </w:rPr>
        <w:t> </w:t>
      </w:r>
      <w:r w:rsidRPr="00825EEB">
        <w:rPr>
          <w:rFonts w:ascii="Sylfaen" w:hAnsi="Sylfaen"/>
          <w:sz w:val="24"/>
          <w:szCs w:val="24"/>
        </w:rPr>
        <w:t xml:space="preserve">րոպե եռացնում հակադարձ սառնարանով: Ստացված լուծույթի մի քանի կաթիլ տեղադրում են նատրիումի քլորիդի թիթեղի կամ </w:t>
      </w:r>
      <w:r w:rsidRPr="00825EEB">
        <w:rPr>
          <w:rFonts w:ascii="Sylfaen" w:hAnsi="Sylfaen"/>
          <w:i/>
          <w:sz w:val="24"/>
          <w:szCs w:val="24"/>
        </w:rPr>
        <w:t>Ռ կալիումի բրոմիդի</w:t>
      </w:r>
      <w:r w:rsidRPr="00825EEB">
        <w:rPr>
          <w:rFonts w:ascii="Sylfaen" w:hAnsi="Sylfaen"/>
          <w:sz w:val="24"/>
          <w:szCs w:val="24"/>
        </w:rPr>
        <w:t xml:space="preserve"> սկավառակի վրա </w:t>
      </w:r>
      <w:r>
        <w:rPr>
          <w:rFonts w:ascii="Sylfaen" w:hAnsi="Sylfaen"/>
          <w:sz w:val="24"/>
          <w:szCs w:val="24"/>
        </w:rPr>
        <w:t>եւ</w:t>
      </w:r>
      <w:r w:rsidRPr="00825EEB">
        <w:rPr>
          <w:rFonts w:ascii="Sylfaen" w:hAnsi="Sylfaen"/>
          <w:sz w:val="24"/>
          <w:szCs w:val="24"/>
        </w:rPr>
        <w:t xml:space="preserve"> լիաչոր շոգեհանում չորացման պահարանում </w:t>
      </w:r>
      <w:smartTag w:uri="urn:schemas-microsoft-com:office:smarttags" w:element="metricconverter">
        <w:smartTagPr>
          <w:attr w:name="ProductID" w:val="80 °C"/>
        </w:smartTagPr>
        <w:r w:rsidRPr="00825EEB">
          <w:rPr>
            <w:rFonts w:ascii="Sylfaen" w:hAnsi="Sylfaen"/>
            <w:sz w:val="24"/>
            <w:szCs w:val="24"/>
          </w:rPr>
          <w:t>80 °C</w:t>
        </w:r>
      </w:smartTag>
      <w:r w:rsidRPr="00825EEB">
        <w:rPr>
          <w:rFonts w:ascii="Sylfaen" w:hAnsi="Sylfaen"/>
          <w:sz w:val="24"/>
          <w:szCs w:val="24"/>
        </w:rPr>
        <w:t xml:space="preserve"> ջերմաստիճանի տակ:</w:t>
      </w:r>
    </w:p>
    <w:p w14:paraId="43F6BA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Սպեկտրը նա</w:t>
      </w:r>
      <w:r>
        <w:rPr>
          <w:rFonts w:ascii="Sylfaen" w:hAnsi="Sylfaen"/>
          <w:sz w:val="24"/>
          <w:szCs w:val="24"/>
        </w:rPr>
        <w:t>եւ</w:t>
      </w:r>
      <w:r w:rsidRPr="00825EEB">
        <w:rPr>
          <w:rFonts w:ascii="Sylfaen" w:hAnsi="Sylfaen"/>
          <w:sz w:val="24"/>
          <w:szCs w:val="24"/>
        </w:rPr>
        <w:t xml:space="preserve"> կարող է ուղղակիորեն գրանցվել թիթեղների, հատիկների կամ տաք սեղմման թաղանթների համապատասխան չափով կտրված հատվածի վրա՝ խախտված ընդհանուր ներքին արտացոլման օգտագործմամբ:</w:t>
      </w:r>
    </w:p>
    <w:p w14:paraId="6B614A0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2915 սմ</w:t>
      </w:r>
      <w:r w:rsidRPr="00825EEB">
        <w:rPr>
          <w:rFonts w:ascii="Sylfaen" w:hAnsi="Sylfaen"/>
          <w:sz w:val="24"/>
          <w:szCs w:val="24"/>
          <w:vertAlign w:val="superscript"/>
        </w:rPr>
        <w:t>-1</w:t>
      </w:r>
      <w:r w:rsidRPr="00825EEB">
        <w:rPr>
          <w:rFonts w:ascii="Sylfaen" w:hAnsi="Sylfaen"/>
          <w:b/>
          <w:sz w:val="24"/>
          <w:szCs w:val="24"/>
        </w:rPr>
        <w:t xml:space="preserve">, </w:t>
      </w:r>
      <w:r w:rsidRPr="00825EEB">
        <w:rPr>
          <w:rFonts w:ascii="Sylfaen" w:hAnsi="Sylfaen"/>
          <w:sz w:val="24"/>
          <w:szCs w:val="24"/>
        </w:rPr>
        <w:t>2848 սմ</w:t>
      </w:r>
      <w:r w:rsidRPr="00825EEB">
        <w:rPr>
          <w:rFonts w:ascii="Sylfaen" w:hAnsi="Sylfaen"/>
          <w:sz w:val="24"/>
          <w:szCs w:val="24"/>
          <w:vertAlign w:val="superscript"/>
        </w:rPr>
        <w:t>-1</w:t>
      </w:r>
      <w:r w:rsidRPr="00825EEB">
        <w:rPr>
          <w:rFonts w:ascii="Sylfaen" w:hAnsi="Sylfaen"/>
          <w:sz w:val="24"/>
          <w:szCs w:val="24"/>
        </w:rPr>
        <w:t>, 1471 սմ</w:t>
      </w:r>
      <w:r w:rsidRPr="00825EEB">
        <w:rPr>
          <w:rFonts w:ascii="Sylfaen" w:hAnsi="Sylfaen"/>
          <w:sz w:val="24"/>
          <w:szCs w:val="24"/>
          <w:vertAlign w:val="superscript"/>
        </w:rPr>
        <w:t>-1</w:t>
      </w:r>
      <w:r w:rsidRPr="00825EEB">
        <w:rPr>
          <w:rFonts w:ascii="Sylfaen" w:hAnsi="Sylfaen"/>
          <w:sz w:val="24"/>
          <w:szCs w:val="24"/>
        </w:rPr>
        <w:t>, 1465 սմ</w:t>
      </w:r>
      <w:r w:rsidRPr="00825EEB">
        <w:rPr>
          <w:rFonts w:ascii="Sylfaen" w:hAnsi="Sylfaen"/>
          <w:sz w:val="24"/>
          <w:szCs w:val="24"/>
          <w:vertAlign w:val="superscript"/>
        </w:rPr>
        <w:t>-1</w:t>
      </w:r>
      <w:r w:rsidRPr="00825EEB">
        <w:rPr>
          <w:rFonts w:ascii="Sylfaen" w:hAnsi="Sylfaen"/>
          <w:sz w:val="24"/>
          <w:szCs w:val="24"/>
        </w:rPr>
        <w:t>, 729 սմ</w:t>
      </w:r>
      <w:r w:rsidRPr="00825EEB">
        <w:rPr>
          <w:rFonts w:ascii="Sylfaen" w:hAnsi="Sylfaen"/>
          <w:sz w:val="24"/>
          <w:szCs w:val="24"/>
          <w:vertAlign w:val="superscript"/>
        </w:rPr>
        <w:t>-1</w:t>
      </w:r>
      <w:r w:rsidRPr="00825EEB">
        <w:rPr>
          <w:rFonts w:ascii="Sylfaen" w:hAnsi="Sylfaen"/>
          <w:sz w:val="24"/>
          <w:szCs w:val="24"/>
        </w:rPr>
        <w:t>, 719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0E63106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Ստացված սպեկտրը պետք է համապատասխանի տիպային նմուշի նյութի սպեկտրին:</w:t>
      </w:r>
    </w:p>
    <w:p w14:paraId="0979B32A" w14:textId="77777777" w:rsidR="0058052E" w:rsidRPr="00A859E3" w:rsidRDefault="0058052E" w:rsidP="00D910A0">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Բ.</w:t>
      </w:r>
      <w:r w:rsidR="00D910A0" w:rsidRPr="00A859E3">
        <w:rPr>
          <w:rFonts w:ascii="Sylfaen" w:hAnsi="Sylfaen"/>
          <w:sz w:val="24"/>
          <w:szCs w:val="24"/>
        </w:rPr>
        <w:tab/>
      </w:r>
      <w:r w:rsidRPr="00825EEB">
        <w:rPr>
          <w:rFonts w:ascii="Sylfaen" w:hAnsi="Sylfaen"/>
          <w:sz w:val="24"/>
          <w:szCs w:val="24"/>
        </w:rPr>
        <w:t xml:space="preserve">Փորձարկվող նյութը պետք է անցնի հավելանյութի սահմանային պարունակության լրացուցիչ փորձարկումներ՝ </w:t>
      </w:r>
      <w:r w:rsidRPr="00825EEB">
        <w:rPr>
          <w:rFonts w:ascii="Sylfaen" w:hAnsi="Sylfaen"/>
          <w:i/>
          <w:sz w:val="24"/>
          <w:szCs w:val="24"/>
        </w:rPr>
        <w:t>«Փորձարկումներ»</w:t>
      </w:r>
      <w:r w:rsidRPr="00825EEB">
        <w:rPr>
          <w:rFonts w:ascii="Sylfaen" w:hAnsi="Sylfaen"/>
          <w:sz w:val="24"/>
          <w:szCs w:val="24"/>
        </w:rPr>
        <w:t xml:space="preserve"> բաժնում նշված ցուցումներին համապատասխան:</w:t>
      </w:r>
    </w:p>
    <w:p w14:paraId="1CDB0104" w14:textId="77777777" w:rsidR="00D910A0" w:rsidRPr="00A859E3" w:rsidRDefault="00D910A0" w:rsidP="00D910A0">
      <w:pPr>
        <w:pStyle w:val="a0"/>
        <w:shd w:val="clear" w:color="auto" w:fill="auto"/>
        <w:tabs>
          <w:tab w:val="left" w:pos="1134"/>
        </w:tabs>
        <w:spacing w:after="160" w:line="360" w:lineRule="auto"/>
        <w:ind w:firstLine="567"/>
        <w:jc w:val="both"/>
        <w:rPr>
          <w:rFonts w:ascii="Sylfaen" w:hAnsi="Sylfaen" w:cs="Sylfaen"/>
          <w:sz w:val="24"/>
          <w:szCs w:val="24"/>
        </w:rPr>
      </w:pPr>
    </w:p>
    <w:p w14:paraId="18C2B71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00F7CA60" w14:textId="77777777" w:rsidR="0058052E" w:rsidRPr="00D35F34" w:rsidRDefault="0058052E" w:rsidP="0058052E">
      <w:pPr>
        <w:pStyle w:val="a0"/>
        <w:shd w:val="clear" w:color="auto" w:fill="auto"/>
        <w:spacing w:after="160" w:line="360" w:lineRule="auto"/>
        <w:ind w:firstLine="567"/>
        <w:jc w:val="both"/>
        <w:rPr>
          <w:rFonts w:ascii="Sylfaen" w:hAnsi="Sylfaen"/>
          <w:i/>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3D1B7B80"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625DA0EF" w14:textId="77777777" w:rsidR="0058052E" w:rsidRPr="00825EEB" w:rsidRDefault="0058052E" w:rsidP="0058052E">
      <w:pPr>
        <w:spacing w:after="160" w:line="360" w:lineRule="auto"/>
        <w:ind w:firstLine="567"/>
        <w:jc w:val="both"/>
        <w:rPr>
          <w:i/>
          <w:iCs/>
        </w:rPr>
      </w:pPr>
      <w:r w:rsidRPr="00825EEB">
        <w:rPr>
          <w:b/>
        </w:rPr>
        <w:lastRenderedPageBreak/>
        <w:t xml:space="preserve">Տ1 լուծույթը։ </w:t>
      </w:r>
      <w:r w:rsidRPr="00825EEB">
        <w:rPr>
          <w:i/>
        </w:rPr>
        <w:t>Լուծույթն օգտագործվում է պատրաստելուց հետո 4 ժամվա ընթացքում:</w:t>
      </w:r>
      <w:r w:rsidRPr="00825EEB">
        <w:t xml:space="preserve"> Փորձարկվող նմուշի 25 գ տեղադրում են կիպահղկած խցանով բորասիլիկատային ապակուց փորձանոթի մեջ, ավելացնում են </w:t>
      </w:r>
      <w:r w:rsidRPr="00825EEB">
        <w:rPr>
          <w:i/>
        </w:rPr>
        <w:t>Ռ ջրի</w:t>
      </w:r>
      <w:r w:rsidRPr="00825EEB">
        <w:t xml:space="preserve"> 500 մլ </w:t>
      </w:r>
      <w:r>
        <w:t>եւ</w:t>
      </w:r>
      <w:r w:rsidRPr="00825EEB">
        <w:t xml:space="preserve"> 5</w:t>
      </w:r>
      <w:r w:rsidR="00D910A0" w:rsidRPr="00D910A0">
        <w:t> </w:t>
      </w:r>
      <w:r w:rsidRPr="00825EEB">
        <w:t xml:space="preserve">ժամ եռացնում հակադարձ սառնարանով: Լուծույթը հովացնում </w:t>
      </w:r>
      <w:r>
        <w:t>եւ</w:t>
      </w:r>
      <w:r w:rsidRPr="00825EEB">
        <w:t xml:space="preserve"> պարզվածքազատում են: Լուծույթի մի մասը թողնում են թափանցիկության </w:t>
      </w:r>
      <w:r>
        <w:t>եւ</w:t>
      </w:r>
      <w:r w:rsidRPr="00825EEB">
        <w:t xml:space="preserve"> գունայնության փորձարկում անցկացնելու համար: Մնացած լուծույթը զտում են ապակյա զտիչով (16) (</w:t>
      </w:r>
      <w:r w:rsidRPr="00825EEB">
        <w:rPr>
          <w:i/>
        </w:rPr>
        <w:t>2.1.1.2</w:t>
      </w:r>
      <w:r w:rsidRPr="00825EEB">
        <w:t>)։</w:t>
      </w:r>
    </w:p>
    <w:p w14:paraId="3CF3E86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Փորձարկվող նմուշի 2,0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Ռ</w:t>
      </w:r>
      <w:r w:rsidR="00D910A0" w:rsidRPr="00D910A0">
        <w:rPr>
          <w:rFonts w:ascii="Sylfaen" w:hAnsi="Sylfaen"/>
          <w:i/>
          <w:sz w:val="24"/>
          <w:szCs w:val="24"/>
        </w:rPr>
        <w:t> </w:t>
      </w:r>
      <w:r w:rsidRPr="00825EEB">
        <w:rPr>
          <w:rFonts w:ascii="Sylfaen" w:hAnsi="Sylfaen"/>
          <w:i/>
          <w:sz w:val="24"/>
          <w:szCs w:val="24"/>
        </w:rPr>
        <w:t>տոլուոլի</w:t>
      </w:r>
      <w:r w:rsidRPr="00825EEB">
        <w:rPr>
          <w:rFonts w:ascii="Sylfaen" w:hAnsi="Sylfaen"/>
          <w:sz w:val="24"/>
          <w:szCs w:val="24"/>
        </w:rPr>
        <w:t xml:space="preserve"> 80 մլ </w:t>
      </w:r>
      <w:r>
        <w:rPr>
          <w:rFonts w:ascii="Sylfaen" w:hAnsi="Sylfaen"/>
          <w:sz w:val="24"/>
          <w:szCs w:val="24"/>
        </w:rPr>
        <w:t>եւ</w:t>
      </w:r>
      <w:r w:rsidRPr="00825EEB">
        <w:rPr>
          <w:rFonts w:ascii="Sylfaen" w:hAnsi="Sylfaen"/>
          <w:sz w:val="24"/>
          <w:szCs w:val="24"/>
        </w:rPr>
        <w:t xml:space="preserve"> 1 ժամ 30 րոպե եռացնում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60 °C"/>
        </w:smartTagPr>
        <w:r w:rsidRPr="00825EEB">
          <w:rPr>
            <w:rFonts w:ascii="Sylfaen" w:hAnsi="Sylfaen"/>
            <w:sz w:val="24"/>
            <w:szCs w:val="24"/>
          </w:rPr>
          <w:t>60 °C</w:t>
        </w:r>
      </w:smartTag>
      <w:r w:rsidRPr="00825EEB">
        <w:rPr>
          <w:rFonts w:ascii="Sylfaen" w:hAnsi="Sylfaen"/>
          <w:sz w:val="24"/>
          <w:szCs w:val="24"/>
        </w:rPr>
        <w:t xml:space="preserve"> ջերմաստիճանը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w:t>
      </w:r>
      <w:r w:rsidR="00D910A0" w:rsidRPr="00D910A0">
        <w:rPr>
          <w:rFonts w:ascii="Sylfaen" w:hAnsi="Sylfaen"/>
          <w:i/>
          <w:sz w:val="24"/>
          <w:szCs w:val="24"/>
        </w:rPr>
        <w:t> </w:t>
      </w:r>
      <w:r w:rsidRPr="00825EEB">
        <w:rPr>
          <w:rFonts w:ascii="Sylfaen" w:hAnsi="Sylfaen"/>
          <w:i/>
          <w:sz w:val="24"/>
          <w:szCs w:val="24"/>
        </w:rPr>
        <w:t>մեթանոլի 120 մլ</w:t>
      </w:r>
      <w:r w:rsidRPr="00825EEB">
        <w:rPr>
          <w:rFonts w:ascii="Sylfaen" w:hAnsi="Sylfaen"/>
          <w:sz w:val="24"/>
          <w:szCs w:val="24"/>
        </w:rPr>
        <w:t>՝ անդադար խառնելով: Լուծույթը զտում են ապակյա զտիչով (16) (</w:t>
      </w:r>
      <w:r w:rsidRPr="00825EEB">
        <w:rPr>
          <w:rFonts w:ascii="Sylfaen" w:hAnsi="Sylfaen"/>
          <w:i/>
          <w:sz w:val="24"/>
          <w:szCs w:val="24"/>
        </w:rPr>
        <w:t>2.1.1.2</w:t>
      </w:r>
      <w:r w:rsidRPr="00825EEB">
        <w:rPr>
          <w:rFonts w:ascii="Sylfaen" w:hAnsi="Sylfaen"/>
          <w:sz w:val="24"/>
          <w:szCs w:val="24"/>
        </w:rPr>
        <w:t xml:space="preserve">)։ Փորձանոթն ու զտիչը լվանում են </w:t>
      </w:r>
      <w:r w:rsidRPr="00825EEB">
        <w:rPr>
          <w:rFonts w:ascii="Sylfaen" w:hAnsi="Sylfaen"/>
          <w:i/>
          <w:sz w:val="24"/>
          <w:szCs w:val="24"/>
        </w:rPr>
        <w:t xml:space="preserve">Ռ տոլուոլի </w:t>
      </w:r>
      <w:r w:rsidR="00D910A0" w:rsidRPr="00D910A0">
        <w:rPr>
          <w:rFonts w:ascii="Sylfaen" w:hAnsi="Sylfaen"/>
          <w:i/>
          <w:sz w:val="24"/>
          <w:szCs w:val="24"/>
        </w:rPr>
        <w:t>-</w:t>
      </w:r>
      <w:r w:rsidRPr="00825EEB">
        <w:rPr>
          <w:rFonts w:ascii="Sylfaen" w:hAnsi="Sylfaen"/>
          <w:i/>
          <w:sz w:val="24"/>
          <w:szCs w:val="24"/>
        </w:rPr>
        <w:t xml:space="preserve"> Ռ մեթանոլի</w:t>
      </w:r>
      <w:r w:rsidRPr="00825EEB">
        <w:rPr>
          <w:rFonts w:ascii="Sylfaen" w:hAnsi="Sylfaen"/>
          <w:sz w:val="24"/>
          <w:szCs w:val="24"/>
        </w:rPr>
        <w:t xml:space="preserve"> խառնուրդի 25 մլ-ով (40:60 </w:t>
      </w:r>
      <w:r w:rsidRPr="00825EEB">
        <w:rPr>
          <w:rFonts w:ascii="Sylfaen" w:hAnsi="Sylfaen"/>
          <w:i/>
          <w:sz w:val="24"/>
          <w:szCs w:val="24"/>
        </w:rPr>
        <w:t>ծավ/ծավ</w:t>
      </w:r>
      <w:r w:rsidRPr="00825EEB">
        <w:rPr>
          <w:rFonts w:ascii="Sylfaen" w:hAnsi="Sylfaen"/>
          <w:sz w:val="24"/>
          <w:szCs w:val="24"/>
        </w:rPr>
        <w:t xml:space="preserve">), ողողվածքը ավելացնում են զտվածքին </w:t>
      </w:r>
      <w:r>
        <w:rPr>
          <w:rFonts w:ascii="Sylfaen" w:hAnsi="Sylfaen"/>
          <w:sz w:val="24"/>
          <w:szCs w:val="24"/>
        </w:rPr>
        <w:t>եւ</w:t>
      </w:r>
      <w:r w:rsidRPr="00825EEB">
        <w:rPr>
          <w:rFonts w:ascii="Sylfaen" w:hAnsi="Sylfaen"/>
          <w:sz w:val="24"/>
          <w:szCs w:val="24"/>
        </w:rPr>
        <w:t xml:space="preserve"> ստացված լուծույթի ծավալը լուծիչների նույն խառնուրդով հասցնում մինչ</w:t>
      </w:r>
      <w:r>
        <w:rPr>
          <w:rFonts w:ascii="Sylfaen" w:hAnsi="Sylfaen"/>
          <w:sz w:val="24"/>
          <w:szCs w:val="24"/>
        </w:rPr>
        <w:t>եւ</w:t>
      </w:r>
      <w:r w:rsidRPr="00825EEB">
        <w:rPr>
          <w:rFonts w:ascii="Sylfaen" w:hAnsi="Sylfaen"/>
          <w:sz w:val="24"/>
          <w:szCs w:val="24"/>
        </w:rPr>
        <w:t xml:space="preserve"> 250</w:t>
      </w:r>
      <w:r w:rsidR="00D910A0" w:rsidRPr="00D910A0">
        <w:rPr>
          <w:rFonts w:ascii="Sylfaen" w:hAnsi="Sylfaen"/>
          <w:sz w:val="24"/>
          <w:szCs w:val="24"/>
        </w:rPr>
        <w:t> </w:t>
      </w:r>
      <w:r w:rsidRPr="00825EEB">
        <w:rPr>
          <w:rFonts w:ascii="Sylfaen" w:hAnsi="Sylfaen"/>
          <w:sz w:val="24"/>
          <w:szCs w:val="24"/>
        </w:rPr>
        <w:t>մլ-ը: Նա</w:t>
      </w:r>
      <w:r>
        <w:rPr>
          <w:rFonts w:ascii="Sylfaen" w:hAnsi="Sylfaen"/>
          <w:sz w:val="24"/>
          <w:szCs w:val="24"/>
        </w:rPr>
        <w:t>եւ</w:t>
      </w:r>
      <w:r w:rsidRPr="00825EEB">
        <w:rPr>
          <w:rFonts w:ascii="Sylfaen" w:hAnsi="Sylfaen"/>
          <w:sz w:val="24"/>
          <w:szCs w:val="24"/>
        </w:rPr>
        <w:t xml:space="preserve"> պատրաստում են Տ2 ստուգիչ լուծույթը:</w:t>
      </w:r>
    </w:p>
    <w:p w14:paraId="7427DA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Տ3 լուծույթը: </w:t>
      </w:r>
      <w:r w:rsidRPr="00825EEB">
        <w:rPr>
          <w:rFonts w:ascii="Sylfaen" w:hAnsi="Sylfaen"/>
          <w:sz w:val="24"/>
          <w:szCs w:val="24"/>
        </w:rPr>
        <w:t>Փորձարկվող նմուշի 100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0,1 Մ քլորաջրածնային թթվի</w:t>
      </w:r>
      <w:r w:rsidRPr="00825EEB">
        <w:rPr>
          <w:rFonts w:ascii="Sylfaen" w:hAnsi="Sylfaen"/>
          <w:sz w:val="24"/>
          <w:szCs w:val="24"/>
        </w:rPr>
        <w:t xml:space="preserve"> 250 մլ, 1 ժամ եռացնում հակադարձ սառնարանով՝ անդադար խառնելով: Լուծույթը հովացնում </w:t>
      </w:r>
      <w:r>
        <w:rPr>
          <w:rFonts w:ascii="Sylfaen" w:hAnsi="Sylfaen"/>
          <w:sz w:val="24"/>
          <w:szCs w:val="24"/>
        </w:rPr>
        <w:t>եւ</w:t>
      </w:r>
      <w:r w:rsidRPr="00825EEB">
        <w:rPr>
          <w:rFonts w:ascii="Sylfaen" w:hAnsi="Sylfaen"/>
          <w:sz w:val="24"/>
          <w:szCs w:val="24"/>
        </w:rPr>
        <w:t xml:space="preserve"> պարզվածքազատում են:</w:t>
      </w:r>
    </w:p>
    <w:p w14:paraId="37E664F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լուծույթը պետք է թափանցիկ լինի։</w:t>
      </w:r>
    </w:p>
    <w:p w14:paraId="1CBB619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 Տ1 լուծույթը պետք է լինի անգույն:</w:t>
      </w:r>
    </w:p>
    <w:p w14:paraId="5B9AE6B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Թթվայնությունը </w:t>
      </w:r>
      <w:r>
        <w:rPr>
          <w:rFonts w:ascii="Sylfaen" w:hAnsi="Sylfaen"/>
          <w:b/>
          <w:sz w:val="24"/>
          <w:szCs w:val="24"/>
        </w:rPr>
        <w:t>եւ</w:t>
      </w:r>
      <w:r w:rsidRPr="00825EEB">
        <w:rPr>
          <w:rFonts w:ascii="Sylfaen" w:hAnsi="Sylfaen"/>
          <w:b/>
          <w:sz w:val="24"/>
          <w:szCs w:val="24"/>
        </w:rPr>
        <w:t xml:space="preserve"> ալկալիականությունը։ </w:t>
      </w:r>
      <w:r w:rsidRPr="00825EEB">
        <w:rPr>
          <w:rFonts w:ascii="Sylfaen" w:hAnsi="Sylfaen"/>
          <w:sz w:val="24"/>
          <w:szCs w:val="24"/>
        </w:rPr>
        <w:t>Տ1 լուծույթի 100 մլ-ին ավելացնում</w:t>
      </w:r>
      <w:r w:rsidR="00D910A0" w:rsidRPr="00D910A0">
        <w:rPr>
          <w:rFonts w:ascii="Sylfaen" w:hAnsi="Sylfaen"/>
          <w:sz w:val="24"/>
          <w:szCs w:val="24"/>
        </w:rPr>
        <w:t> </w:t>
      </w:r>
      <w:r w:rsidRPr="00825EEB">
        <w:rPr>
          <w:rFonts w:ascii="Sylfaen" w:hAnsi="Sylfaen"/>
          <w:sz w:val="24"/>
          <w:szCs w:val="24"/>
        </w:rPr>
        <w:t xml:space="preserve">են </w:t>
      </w:r>
      <w:r w:rsidRPr="00825EEB">
        <w:rPr>
          <w:rFonts w:ascii="Sylfaen" w:hAnsi="Sylfaen"/>
          <w:i/>
          <w:sz w:val="24"/>
          <w:szCs w:val="24"/>
        </w:rPr>
        <w:t xml:space="preserve">Ռ ցուցիչի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Ցուցիչի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 xml:space="preserve">0,01 Մ նատրիումի հիդրօքսիդի լուծույթի </w:t>
      </w:r>
      <w:r w:rsidRPr="00825EEB">
        <w:rPr>
          <w:rFonts w:ascii="Sylfaen" w:hAnsi="Sylfaen"/>
          <w:sz w:val="24"/>
          <w:szCs w:val="24"/>
        </w:rPr>
        <w:t>ոչ ավելի, քան 1,5 մլ ավելացնելիս:</w:t>
      </w:r>
      <w:r w:rsidRPr="00825EEB">
        <w:rPr>
          <w:rFonts w:ascii="Sylfaen" w:hAnsi="Sylfaen"/>
          <w:i/>
          <w:sz w:val="24"/>
          <w:szCs w:val="24"/>
        </w:rPr>
        <w:t xml:space="preserve"> </w:t>
      </w:r>
      <w:r w:rsidRPr="00825EEB">
        <w:rPr>
          <w:rFonts w:ascii="Sylfaen" w:hAnsi="Sylfaen"/>
          <w:sz w:val="24"/>
          <w:szCs w:val="24"/>
        </w:rPr>
        <w:t xml:space="preserve">Տ1 լուծույթի 100 մլ-ին ավելացնում են </w:t>
      </w:r>
      <w:r w:rsidRPr="00825EEB">
        <w:rPr>
          <w:rFonts w:ascii="Sylfaen" w:hAnsi="Sylfaen"/>
          <w:i/>
          <w:sz w:val="24"/>
          <w:szCs w:val="24"/>
        </w:rPr>
        <w:t>Ռ մեթիլ նարնջագույնի լուծույթի</w:t>
      </w:r>
      <w:r w:rsidRPr="00825EEB">
        <w:rPr>
          <w:rFonts w:ascii="Sylfaen" w:hAnsi="Sylfaen"/>
          <w:sz w:val="24"/>
          <w:szCs w:val="24"/>
        </w:rPr>
        <w:t xml:space="preserve"> 0,2 մլ. լուծույթը ստանում է դեղին գունավորում: Լուծույթի նարնջագույն </w:t>
      </w:r>
      <w:r w:rsidRPr="00825EEB">
        <w:rPr>
          <w:rFonts w:ascii="Sylfaen" w:hAnsi="Sylfaen"/>
          <w:sz w:val="24"/>
          <w:szCs w:val="24"/>
        </w:rPr>
        <w:lastRenderedPageBreak/>
        <w:t xml:space="preserve">գունավորումը պետք է հայտնվի </w:t>
      </w:r>
      <w:r w:rsidRPr="00825EEB">
        <w:rPr>
          <w:rFonts w:ascii="Sylfaen" w:hAnsi="Sylfaen"/>
          <w:i/>
          <w:sz w:val="24"/>
          <w:szCs w:val="24"/>
        </w:rPr>
        <w:t>0,01 Մ քլորաջրածնային թթվի</w:t>
      </w:r>
      <w:r w:rsidRPr="00825EEB">
        <w:rPr>
          <w:rFonts w:ascii="Sylfaen" w:hAnsi="Sylfaen"/>
          <w:sz w:val="24"/>
          <w:szCs w:val="24"/>
        </w:rPr>
        <w:t xml:space="preserve"> 1,0 մլ-ից ոչ ավելի ավելացնելիս:</w:t>
      </w:r>
    </w:p>
    <w:p w14:paraId="6092020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0,2-ից ոչ ավելի:</w:t>
      </w:r>
    </w:p>
    <w:p w14:paraId="5C64909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S1 լուծույթի օգտագործմամբ՝ ալիքի 220 նմ-ից մինչ</w:t>
      </w:r>
      <w:r>
        <w:rPr>
          <w:rFonts w:ascii="Sylfaen" w:hAnsi="Sylfaen"/>
          <w:sz w:val="24"/>
          <w:szCs w:val="24"/>
        </w:rPr>
        <w:t>եւ</w:t>
      </w:r>
      <w:r w:rsidRPr="00825EEB">
        <w:rPr>
          <w:rFonts w:ascii="Sylfaen" w:hAnsi="Sylfaen"/>
          <w:sz w:val="24"/>
          <w:szCs w:val="24"/>
        </w:rPr>
        <w:t xml:space="preserve"> 340 նմ երկարության հատվածում:</w:t>
      </w:r>
    </w:p>
    <w:p w14:paraId="190B1C90" w14:textId="77777777" w:rsidR="0058052E" w:rsidRPr="00825EEB" w:rsidRDefault="0058052E" w:rsidP="0058052E">
      <w:pPr>
        <w:spacing w:after="160" w:line="360" w:lineRule="auto"/>
        <w:ind w:firstLine="567"/>
        <w:jc w:val="both"/>
        <w:rPr>
          <w:i/>
          <w:iCs/>
        </w:rPr>
      </w:pPr>
      <w:r w:rsidRPr="00825EEB">
        <w:rPr>
          <w:b/>
        </w:rPr>
        <w:t>Վերականգնող նյութերը</w:t>
      </w:r>
      <w:r w:rsidRPr="00825EEB">
        <w:t xml:space="preserve">։ Տ1 լուծույթի 20 մլ-ին ավելացնում են </w:t>
      </w:r>
      <w:r w:rsidRPr="00825EEB">
        <w:rPr>
          <w:i/>
        </w:rPr>
        <w:t>Ռ նոսրացված ծծմբաթթվի</w:t>
      </w:r>
      <w:r w:rsidRPr="00825EEB">
        <w:t xml:space="preserve"> 1 մլ </w:t>
      </w:r>
      <w:r>
        <w:t>եւ</w:t>
      </w:r>
      <w:r w:rsidRPr="00825EEB">
        <w:t xml:space="preserve"> </w:t>
      </w:r>
      <w:r w:rsidRPr="00825EEB">
        <w:rPr>
          <w:i/>
        </w:rPr>
        <w:t>0,002 Մ կալիումի պերմանգանատի</w:t>
      </w:r>
      <w:r w:rsidRPr="00825EEB">
        <w:t xml:space="preserve"> լուծույթի 20 մլ: 3 րոպե եռացնում հակադարձ սառնարանով </w:t>
      </w:r>
      <w:r>
        <w:t>եւ</w:t>
      </w:r>
      <w:r w:rsidRPr="00825EEB">
        <w:t xml:space="preserve"> իսկույն հովացնում, ավելացնում են </w:t>
      </w:r>
      <w:r w:rsidRPr="00825EEB">
        <w:rPr>
          <w:i/>
        </w:rPr>
        <w:t>Ռ</w:t>
      </w:r>
      <w:r w:rsidR="00D910A0" w:rsidRPr="00D910A0">
        <w:rPr>
          <w:i/>
        </w:rPr>
        <w:t> </w:t>
      </w:r>
      <w:r w:rsidRPr="00825EEB">
        <w:rPr>
          <w:i/>
        </w:rPr>
        <w:t xml:space="preserve">կալիումի յոդիդի </w:t>
      </w:r>
      <w:r w:rsidRPr="00825EEB">
        <w:t xml:space="preserve">1 գ </w:t>
      </w:r>
      <w:r>
        <w:t>եւ</w:t>
      </w:r>
      <w:r w:rsidRPr="00825EEB">
        <w:t xml:space="preserve"> անմիջապես տիտրում </w:t>
      </w:r>
      <w:r w:rsidRPr="00825EEB">
        <w:rPr>
          <w:i/>
        </w:rPr>
        <w:t>0,01 Մ նատրիումի թիոսուլֆատի լուծույթով</w:t>
      </w:r>
      <w:r w:rsidRPr="00825EEB">
        <w:t xml:space="preserve">՝ որպես ցուցիչ օգտագործելով </w:t>
      </w:r>
      <w:r w:rsidRPr="00825EEB">
        <w:rPr>
          <w:i/>
        </w:rPr>
        <w:t>Ռ օսլայի լուծույթի</w:t>
      </w:r>
      <w:r w:rsidRPr="00825EEB">
        <w:t xml:space="preserve"> 0,25 մլ: Զուգահեռ անցկացնում են ստուգիչ փորձարկումը։ Տիտրանտի ծավալների միջ</w:t>
      </w:r>
      <w:r>
        <w:t>եւ</w:t>
      </w:r>
      <w:r w:rsidRPr="00825EEB">
        <w:t xml:space="preserve"> տարբերությունը չպետք է գերազանցի 0,5 մլ-ը:</w:t>
      </w:r>
    </w:p>
    <w:p w14:paraId="5A538CE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Հավելանյութերը։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5250D2B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Տ2 լուծույթի 50 մլ-ը </w:t>
      </w:r>
      <w:smartTag w:uri="urn:schemas-microsoft-com:office:smarttags" w:element="metricconverter">
        <w:smartTagPr>
          <w:attr w:name="ProductID" w:val="45 °C"/>
        </w:smartTagPr>
        <w:r w:rsidRPr="00825EEB">
          <w:rPr>
            <w:rFonts w:ascii="Sylfaen" w:hAnsi="Sylfaen"/>
            <w:sz w:val="24"/>
            <w:szCs w:val="24"/>
          </w:rPr>
          <w:t>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xml:space="preserve">: Չոր մնացորդը լուծում են </w:t>
      </w:r>
      <w:r w:rsidRPr="00825EEB">
        <w:rPr>
          <w:rFonts w:ascii="Sylfaen" w:hAnsi="Sylfaen"/>
          <w:i/>
          <w:sz w:val="24"/>
          <w:szCs w:val="24"/>
        </w:rPr>
        <w:t>Ռ</w:t>
      </w:r>
      <w:r w:rsidR="00D910A0" w:rsidRPr="00D910A0">
        <w:rPr>
          <w:rFonts w:ascii="Sylfaen" w:hAnsi="Sylfaen"/>
          <w:i/>
          <w:sz w:val="24"/>
          <w:szCs w:val="24"/>
        </w:rPr>
        <w:t> </w:t>
      </w:r>
      <w:r w:rsidRPr="00825EEB">
        <w:rPr>
          <w:rFonts w:ascii="Sylfaen" w:hAnsi="Sylfaen"/>
          <w:i/>
          <w:sz w:val="24"/>
          <w:szCs w:val="24"/>
        </w:rPr>
        <w:t>մեթիլենքլորիդի</w:t>
      </w:r>
      <w:r w:rsidRPr="00825EEB">
        <w:rPr>
          <w:rFonts w:ascii="Sylfaen" w:hAnsi="Sylfaen"/>
          <w:sz w:val="24"/>
          <w:szCs w:val="24"/>
        </w:rPr>
        <w:t xml:space="preserve"> 5 մլ-ի մեջ: Օգտագործում են «Տ2 լուծույթը» փորձարկման ցուցումներին համապատասխան պատրաստված ստուգիչ լուծույթը:</w:t>
      </w:r>
    </w:p>
    <w:p w14:paraId="01B129DA" w14:textId="77777777" w:rsidR="0058052E" w:rsidRPr="00A84AF4" w:rsidRDefault="0058052E" w:rsidP="0058052E">
      <w:pPr>
        <w:pStyle w:val="a0"/>
        <w:shd w:val="clear" w:color="auto" w:fill="auto"/>
        <w:spacing w:after="160" w:line="360" w:lineRule="auto"/>
        <w:ind w:firstLine="567"/>
        <w:jc w:val="both"/>
        <w:rPr>
          <w:rFonts w:ascii="Sylfaen" w:hAnsi="Sylfaen" w:cs="Sylfaen"/>
          <w:spacing w:val="-4"/>
          <w:sz w:val="24"/>
          <w:szCs w:val="24"/>
        </w:rPr>
      </w:pPr>
      <w:r w:rsidRPr="00A84AF4">
        <w:rPr>
          <w:rFonts w:ascii="Sylfaen" w:hAnsi="Sylfaen"/>
          <w:i/>
          <w:spacing w:val="-4"/>
          <w:sz w:val="24"/>
          <w:szCs w:val="24"/>
        </w:rPr>
        <w:t>Համեմատության լուծույթը:</w:t>
      </w:r>
      <w:r w:rsidRPr="00A84AF4">
        <w:rPr>
          <w:rFonts w:ascii="Sylfaen" w:hAnsi="Sylfaen"/>
          <w:spacing w:val="-4"/>
          <w:sz w:val="24"/>
          <w:szCs w:val="24"/>
        </w:rPr>
        <w:t xml:space="preserve"> </w:t>
      </w:r>
      <w:r w:rsidRPr="00A84AF4">
        <w:rPr>
          <w:rFonts w:ascii="Sylfaen" w:hAnsi="Sylfaen"/>
          <w:i/>
          <w:spacing w:val="-4"/>
          <w:sz w:val="24"/>
          <w:szCs w:val="24"/>
        </w:rPr>
        <w:t>Պոլիմերային 15-րդ նյութի հավելանյութի ԵԱՏՄԴ ՍՆ</w:t>
      </w:r>
      <w:r w:rsidRPr="00A84AF4">
        <w:rPr>
          <w:rFonts w:ascii="Sylfaen" w:hAnsi="Sylfaen"/>
          <w:spacing w:val="-4"/>
          <w:sz w:val="24"/>
          <w:szCs w:val="24"/>
        </w:rPr>
        <w:t xml:space="preserve"> 20 մգ-ը եւ </w:t>
      </w:r>
      <w:r w:rsidRPr="00A84AF4">
        <w:rPr>
          <w:rFonts w:ascii="Sylfaen" w:hAnsi="Sylfaen"/>
          <w:i/>
          <w:spacing w:val="-4"/>
          <w:sz w:val="24"/>
          <w:szCs w:val="24"/>
        </w:rPr>
        <w:t>պոլիմերային 08 նյութի հավելանյութի ԵԱՏՄԴ ՍՆ</w:t>
      </w:r>
      <w:r w:rsidRPr="00A84AF4">
        <w:rPr>
          <w:rFonts w:ascii="Sylfaen" w:hAnsi="Sylfaen"/>
          <w:spacing w:val="-4"/>
          <w:sz w:val="24"/>
          <w:szCs w:val="24"/>
        </w:rPr>
        <w:t xml:space="preserve"> 20 մգ-ը լուծում են </w:t>
      </w:r>
      <w:r w:rsidRPr="00A84AF4">
        <w:rPr>
          <w:rFonts w:ascii="Sylfaen" w:hAnsi="Sylfaen"/>
          <w:i/>
          <w:spacing w:val="-4"/>
          <w:sz w:val="24"/>
          <w:szCs w:val="24"/>
        </w:rPr>
        <w:t>Ռ մեթիլենքլորիդի</w:t>
      </w:r>
      <w:r w:rsidRPr="00A84AF4">
        <w:rPr>
          <w:rFonts w:ascii="Sylfaen" w:hAnsi="Sylfaen"/>
          <w:spacing w:val="-4"/>
          <w:sz w:val="24"/>
          <w:szCs w:val="24"/>
        </w:rPr>
        <w:t xml:space="preserve"> մեջ եւ նույն լուծիչով լուծույթի ծավալը հասցնում մինչեւ 10 մլ:</w:t>
      </w:r>
    </w:p>
    <w:p w14:paraId="049F427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6CC5F13A"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ՆՇՔ թիթեղ՝ G Ռ սիլիկագելի շերտով.</w:t>
      </w:r>
    </w:p>
    <w:p w14:paraId="00C423AB"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Ա շարժուն ֆազ՝ Ռ հեքսան.</w:t>
      </w:r>
    </w:p>
    <w:p w14:paraId="7F99072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Բ շարժուն ֆազ՝ Ռ մեթանոլ – Ռ մեթիլենքլորիդ</w:t>
      </w:r>
      <w:r w:rsidRPr="00825EEB">
        <w:rPr>
          <w:rFonts w:ascii="Sylfaen" w:hAnsi="Sylfaen"/>
          <w:sz w:val="24"/>
          <w:szCs w:val="24"/>
        </w:rPr>
        <w:t xml:space="preserve"> (5:95, </w:t>
      </w:r>
      <w:r w:rsidRPr="00825EEB">
        <w:rPr>
          <w:rFonts w:ascii="Sylfaen" w:hAnsi="Sylfaen"/>
          <w:i/>
          <w:sz w:val="24"/>
          <w:szCs w:val="24"/>
        </w:rPr>
        <w:t>ծավ/ծավ</w:t>
      </w:r>
      <w:r w:rsidRPr="00825EEB">
        <w:rPr>
          <w:rFonts w:ascii="Sylfaen" w:hAnsi="Sylfaen"/>
          <w:sz w:val="24"/>
          <w:szCs w:val="24"/>
        </w:rPr>
        <w:t>).</w:t>
      </w:r>
    </w:p>
    <w:p w14:paraId="2CB42735"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D910A0" w:rsidRPr="00A859E3">
        <w:rPr>
          <w:rFonts w:ascii="Sylfaen" w:hAnsi="Sylfaen"/>
          <w:i/>
          <w:sz w:val="24"/>
          <w:szCs w:val="24"/>
        </w:rPr>
        <w:tab/>
      </w:r>
      <w:r w:rsidRPr="00825EEB">
        <w:rPr>
          <w:rFonts w:ascii="Sylfaen" w:hAnsi="Sylfaen"/>
          <w:i/>
          <w:sz w:val="24"/>
          <w:szCs w:val="24"/>
        </w:rPr>
        <w:t>քսվող փորձանմուշի ծավալը՝</w:t>
      </w:r>
      <w:r w:rsidRPr="00825EEB">
        <w:rPr>
          <w:rFonts w:ascii="Sylfaen" w:hAnsi="Sylfaen"/>
          <w:sz w:val="24"/>
          <w:szCs w:val="24"/>
        </w:rPr>
        <w:t xml:space="preserve"> 10 մկլ.</w:t>
      </w:r>
    </w:p>
    <w:p w14:paraId="1650D893"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D910A0" w:rsidRPr="00D910A0">
        <w:rPr>
          <w:rFonts w:ascii="Sylfaen" w:hAnsi="Sylfaen"/>
          <w:sz w:val="24"/>
          <w:szCs w:val="24"/>
        </w:rPr>
        <w:tab/>
      </w:r>
      <w:r w:rsidRPr="00825EEB">
        <w:rPr>
          <w:rFonts w:ascii="Sylfaen" w:hAnsi="Sylfaen"/>
          <w:i/>
          <w:sz w:val="24"/>
          <w:szCs w:val="24"/>
        </w:rPr>
        <w:t>շարժուն ֆազի ճակատի վազքը</w:t>
      </w:r>
      <w:r w:rsidRPr="00825EEB">
        <w:rPr>
          <w:rFonts w:ascii="Sylfaen" w:hAnsi="Sylfaen"/>
          <w:sz w:val="24"/>
          <w:szCs w:val="24"/>
        </w:rPr>
        <w:t>՝ մեկնարկային գծից 13 սմ-ից ոչ պակաս՝ Ա շարժուն ֆազի օգտագործմամբ. մեկնարկային գծից 10 սմ-ից ոչ պակաս՝ Բ</w:t>
      </w:r>
      <w:r w:rsidR="00D910A0" w:rsidRPr="00D910A0">
        <w:rPr>
          <w:rFonts w:ascii="Sylfaen" w:hAnsi="Sylfaen"/>
          <w:sz w:val="24"/>
          <w:szCs w:val="24"/>
        </w:rPr>
        <w:t> </w:t>
      </w:r>
      <w:r w:rsidRPr="00825EEB">
        <w:rPr>
          <w:rFonts w:ascii="Sylfaen" w:hAnsi="Sylfaen"/>
          <w:sz w:val="24"/>
          <w:szCs w:val="24"/>
        </w:rPr>
        <w:t>շարժուն ֆազի օգտագործմամբ.</w:t>
      </w:r>
    </w:p>
    <w:p w14:paraId="36913B59"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չորացումը</w:t>
      </w:r>
      <w:r w:rsidRPr="00825EEB">
        <w:rPr>
          <w:rFonts w:ascii="Sylfaen" w:hAnsi="Sylfaen"/>
          <w:sz w:val="24"/>
          <w:szCs w:val="24"/>
        </w:rPr>
        <w:t>՝ օդում.</w:t>
      </w:r>
    </w:p>
    <w:p w14:paraId="7C9E84CB"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i/>
          <w:sz w:val="24"/>
          <w:szCs w:val="24"/>
        </w:rPr>
        <w:t>դետեկտումը</w:t>
      </w:r>
      <w:r w:rsidRPr="00825EEB">
        <w:rPr>
          <w:rFonts w:ascii="Sylfaen" w:hAnsi="Sylfaen"/>
          <w:sz w:val="24"/>
          <w:szCs w:val="24"/>
        </w:rPr>
        <w:t xml:space="preserve">՝ ցողում են 40 գ/լ </w:t>
      </w:r>
      <w:r w:rsidRPr="00825EEB">
        <w:rPr>
          <w:rFonts w:ascii="Sylfaen" w:hAnsi="Sylfaen"/>
          <w:i/>
          <w:sz w:val="24"/>
          <w:szCs w:val="24"/>
        </w:rPr>
        <w:t>Ռ ֆոսֆորամոլիբդենային թթվի</w:t>
      </w:r>
      <w:r w:rsidRPr="00825EEB">
        <w:rPr>
          <w:rFonts w:ascii="Sylfaen" w:hAnsi="Sylfaen"/>
          <w:sz w:val="24"/>
          <w:szCs w:val="24"/>
        </w:rPr>
        <w:t xml:space="preserve"> լուծույթով՝ </w:t>
      </w:r>
      <w:r w:rsidRPr="00825EEB">
        <w:rPr>
          <w:rFonts w:ascii="Sylfaen" w:hAnsi="Sylfaen"/>
          <w:i/>
          <w:sz w:val="24"/>
          <w:szCs w:val="24"/>
        </w:rPr>
        <w:t>Ռ (96 %) էթանոլի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տաքացնում 120 °С ջերմաստիճանի տակ՝ մինչ</w:t>
      </w:r>
      <w:r>
        <w:rPr>
          <w:rFonts w:ascii="Sylfaen" w:hAnsi="Sylfaen"/>
          <w:sz w:val="24"/>
          <w:szCs w:val="24"/>
        </w:rPr>
        <w:t>եւ</w:t>
      </w:r>
      <w:r w:rsidRPr="00825EEB">
        <w:rPr>
          <w:rFonts w:ascii="Sylfaen" w:hAnsi="Sylfaen"/>
          <w:sz w:val="24"/>
          <w:szCs w:val="24"/>
        </w:rPr>
        <w:t xml:space="preserve"> բծերի հայտնվելը:</w:t>
      </w:r>
    </w:p>
    <w:p w14:paraId="68595A2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46E5690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համեմատության լուծույթի քրոմատագրի վրա պետք է հայտնաբերվեն հստակ բաժանված 2 բծեր:</w:t>
      </w:r>
    </w:p>
    <w:p w14:paraId="69FC2FD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Պահանջը՝</w:t>
      </w:r>
    </w:p>
    <w:p w14:paraId="0AC3A785"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փորձարկվող լուծույթի քրոմատագրի վրա չպետք է հայտնաբերվեն բծեր՝ բացի օլիգոմերներին համապատասխանող բծից, որը կարող է հայտնվել լուծիչի ճակատում՝ հեքսանով խցում.</w:t>
      </w:r>
    </w:p>
    <w:p w14:paraId="0EFE4215"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հաշվի չի առնվում ստուգիչ լուծույթի քրոմատագրի բծերին համապատասխանող ցանկացած բիծ:</w:t>
      </w:r>
    </w:p>
    <w:p w14:paraId="4B39CBE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Ծանր մետաղները: </w:t>
      </w:r>
      <w:r w:rsidRPr="00825EEB">
        <w:rPr>
          <w:rFonts w:ascii="Sylfaen" w:hAnsi="Sylfaen"/>
          <w:i/>
          <w:sz w:val="24"/>
          <w:szCs w:val="24"/>
        </w:rPr>
        <w:t>(2.1.4.8, Ա մեթոդ):</w:t>
      </w:r>
      <w:r w:rsidRPr="00825EEB">
        <w:rPr>
          <w:rFonts w:ascii="Sylfaen" w:hAnsi="Sylfaen"/>
          <w:sz w:val="24"/>
          <w:szCs w:val="24"/>
        </w:rPr>
        <w:t xml:space="preserve"> 2,5 ppm-ից ոչ ավելի։</w:t>
      </w:r>
    </w:p>
    <w:p w14:paraId="035090E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Տ3 լուծույթի 50 մլ ջրային բաղնիքի վրա եռաթանձրացնում են մոտավորապես մինչ</w:t>
      </w:r>
      <w:r>
        <w:rPr>
          <w:rFonts w:ascii="Sylfaen" w:hAnsi="Sylfaen"/>
          <w:sz w:val="24"/>
          <w:szCs w:val="24"/>
        </w:rPr>
        <w:t>եւ</w:t>
      </w:r>
      <w:r w:rsidRPr="00825EEB">
        <w:rPr>
          <w:rFonts w:ascii="Sylfaen" w:hAnsi="Sylfaen"/>
          <w:sz w:val="24"/>
          <w:szCs w:val="24"/>
        </w:rPr>
        <w:t xml:space="preserve"> 5 մլ ծավալը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20 մլ-ը: Ստացված լուծույթի 12 մլ-ը պետք է անցնի ծանր մետաղների մասով փորձարկումը: Համեմատության լուծույթը պատրաստում են՝ օգտագործելով </w:t>
      </w:r>
      <w:r w:rsidRPr="00825EEB">
        <w:rPr>
          <w:rFonts w:ascii="Sylfaen" w:hAnsi="Sylfaen"/>
          <w:i/>
          <w:sz w:val="24"/>
          <w:szCs w:val="24"/>
        </w:rPr>
        <w:t>Ռ կապարի իոնների ստանդարտ լուծույթի (10 ppm Pb</w:t>
      </w:r>
      <w:r w:rsidRPr="00825EEB">
        <w:rPr>
          <w:rFonts w:ascii="Sylfaen" w:hAnsi="Sylfaen"/>
          <w:i/>
          <w:sz w:val="24"/>
          <w:szCs w:val="24"/>
          <w:vertAlign w:val="superscript"/>
        </w:rPr>
        <w:t>2+</w:t>
      </w:r>
      <w:r w:rsidRPr="00825EEB">
        <w:rPr>
          <w:rFonts w:ascii="Sylfaen" w:hAnsi="Sylfaen"/>
          <w:i/>
          <w:sz w:val="24"/>
          <w:szCs w:val="24"/>
        </w:rPr>
        <w:t xml:space="preserve">) </w:t>
      </w:r>
      <w:r w:rsidRPr="00825EEB">
        <w:rPr>
          <w:rFonts w:ascii="Sylfaen" w:hAnsi="Sylfaen"/>
          <w:sz w:val="24"/>
          <w:szCs w:val="24"/>
        </w:rPr>
        <w:t>2,5 մլ:</w:t>
      </w:r>
    </w:p>
    <w:p w14:paraId="44D38692" w14:textId="77777777" w:rsidR="0058052E" w:rsidRPr="00825EEB" w:rsidRDefault="0058052E" w:rsidP="0058052E">
      <w:pPr>
        <w:spacing w:after="160" w:line="360" w:lineRule="auto"/>
        <w:ind w:firstLine="567"/>
        <w:jc w:val="both"/>
        <w:rPr>
          <w:i/>
          <w:iCs/>
        </w:rPr>
      </w:pPr>
      <w:r w:rsidRPr="00825EEB">
        <w:rPr>
          <w:rFonts w:eastAsia="Times New Roman" w:cs="Times New Roman"/>
          <w:b/>
          <w:color w:val="auto"/>
        </w:rPr>
        <w:t xml:space="preserve">Սուլֆատային10 ppm </w:t>
      </w:r>
      <w:r w:rsidRPr="00825EEB">
        <w:t>(</w:t>
      </w:r>
      <w:r w:rsidRPr="00825EEB">
        <w:rPr>
          <w:i/>
        </w:rPr>
        <w:t>2.1.4.14</w:t>
      </w:r>
      <w:r w:rsidRPr="00825EEB">
        <w:t>)։ 0,02 %-ից ոչ ավելի:</w:t>
      </w:r>
    </w:p>
    <w:p w14:paraId="01DE5FA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օգտագործելով նյութի փորձարկվող նմուշի 5,0 գ:</w:t>
      </w:r>
    </w:p>
    <w:p w14:paraId="4B08D852" w14:textId="77777777" w:rsidR="00A84AF4" w:rsidRPr="00134BE9" w:rsidRDefault="00A84AF4" w:rsidP="00D910A0">
      <w:pPr>
        <w:pStyle w:val="a0"/>
        <w:shd w:val="clear" w:color="auto" w:fill="auto"/>
        <w:spacing w:after="160" w:line="360" w:lineRule="auto"/>
        <w:ind w:firstLine="567"/>
        <w:jc w:val="right"/>
        <w:rPr>
          <w:rFonts w:ascii="Sylfaen" w:hAnsi="Sylfaen"/>
          <w:b/>
          <w:szCs w:val="24"/>
        </w:rPr>
      </w:pPr>
    </w:p>
    <w:p w14:paraId="2D5F9A48" w14:textId="77777777" w:rsidR="0058052E" w:rsidRPr="00A859E3" w:rsidRDefault="0058052E" w:rsidP="00D910A0">
      <w:pPr>
        <w:pStyle w:val="a0"/>
        <w:shd w:val="clear" w:color="auto" w:fill="auto"/>
        <w:spacing w:after="160" w:line="360" w:lineRule="auto"/>
        <w:ind w:firstLine="567"/>
        <w:jc w:val="right"/>
        <w:rPr>
          <w:rFonts w:ascii="Sylfaen" w:hAnsi="Sylfaen"/>
          <w:b/>
          <w:szCs w:val="24"/>
        </w:rPr>
      </w:pPr>
      <w:r w:rsidRPr="00D910A0">
        <w:rPr>
          <w:rFonts w:ascii="Sylfaen" w:hAnsi="Sylfaen"/>
          <w:b/>
          <w:szCs w:val="24"/>
        </w:rPr>
        <w:lastRenderedPageBreak/>
        <w:t>204010003-2022</w:t>
      </w:r>
    </w:p>
    <w:p w14:paraId="47AE9A7E" w14:textId="77777777" w:rsidR="00D910A0" w:rsidRPr="00A859E3" w:rsidRDefault="00D910A0" w:rsidP="00D910A0">
      <w:pPr>
        <w:pStyle w:val="a0"/>
        <w:shd w:val="clear" w:color="auto" w:fill="auto"/>
        <w:spacing w:after="160" w:line="360" w:lineRule="auto"/>
        <w:ind w:firstLine="567"/>
        <w:jc w:val="right"/>
        <w:rPr>
          <w:rFonts w:ascii="Sylfaen" w:hAnsi="Sylfaen" w:cs="Sylfaen"/>
          <w:szCs w:val="24"/>
        </w:rPr>
      </w:pPr>
    </w:p>
    <w:p w14:paraId="1069A18D" w14:textId="77777777" w:rsidR="0058052E" w:rsidRPr="00825EEB" w:rsidRDefault="0058052E" w:rsidP="00F634DB">
      <w:pPr>
        <w:pStyle w:val="a0"/>
        <w:shd w:val="clear" w:color="auto" w:fill="auto"/>
        <w:tabs>
          <w:tab w:val="left" w:pos="1701"/>
        </w:tabs>
        <w:spacing w:after="160" w:line="360" w:lineRule="auto"/>
        <w:ind w:firstLine="567"/>
        <w:jc w:val="both"/>
        <w:rPr>
          <w:rFonts w:ascii="Sylfaen" w:hAnsi="Sylfaen" w:cs="Sylfaen"/>
          <w:sz w:val="24"/>
          <w:szCs w:val="24"/>
        </w:rPr>
      </w:pPr>
      <w:r w:rsidRPr="00825EEB">
        <w:rPr>
          <w:rFonts w:ascii="Sylfaen" w:hAnsi="Sylfaen"/>
          <w:b/>
          <w:sz w:val="24"/>
          <w:szCs w:val="24"/>
        </w:rPr>
        <w:t>2.4.1.3.</w:t>
      </w:r>
      <w:r w:rsidR="00D910A0" w:rsidRPr="00A859E3">
        <w:rPr>
          <w:rFonts w:ascii="Sylfaen" w:hAnsi="Sylfaen"/>
          <w:b/>
          <w:sz w:val="24"/>
          <w:szCs w:val="24"/>
        </w:rPr>
        <w:tab/>
      </w:r>
      <w:r w:rsidRPr="00825EEB">
        <w:rPr>
          <w:rFonts w:ascii="Sylfaen" w:hAnsi="Sylfaen"/>
          <w:b/>
          <w:sz w:val="24"/>
          <w:szCs w:val="24"/>
        </w:rPr>
        <w:t>Պոլիէթիլեն հավելանյութերով</w:t>
      </w:r>
    </w:p>
    <w:p w14:paraId="3F676687" w14:textId="77777777" w:rsidR="00F24391" w:rsidRPr="00D35F34" w:rsidRDefault="00F24391" w:rsidP="0058052E">
      <w:pPr>
        <w:pStyle w:val="a0"/>
        <w:shd w:val="clear" w:color="auto" w:fill="auto"/>
        <w:spacing w:after="160" w:line="360" w:lineRule="auto"/>
        <w:ind w:firstLine="567"/>
        <w:jc w:val="both"/>
        <w:rPr>
          <w:rFonts w:ascii="Sylfaen" w:hAnsi="Sylfaen"/>
          <w:b/>
          <w:sz w:val="24"/>
          <w:szCs w:val="24"/>
        </w:rPr>
      </w:pPr>
    </w:p>
    <w:p w14:paraId="7CD52DB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ՈՐՈՇՈՒՄԸ</w:t>
      </w:r>
    </w:p>
    <w:p w14:paraId="1948D70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Սույն ընդհանուր դեղագրքային հոդվածի պահանջները տարածվում են հավելանյութերով պոլիէթիլենի վրա, որը նախատեսված է պարենտերալ </w:t>
      </w:r>
      <w:r>
        <w:rPr>
          <w:rFonts w:ascii="Sylfaen" w:hAnsi="Sylfaen"/>
          <w:sz w:val="24"/>
          <w:szCs w:val="24"/>
        </w:rPr>
        <w:t>եւ</w:t>
      </w:r>
      <w:r w:rsidRPr="00825EEB">
        <w:rPr>
          <w:rFonts w:ascii="Sylfaen" w:hAnsi="Sylfaen"/>
          <w:sz w:val="24"/>
          <w:szCs w:val="24"/>
        </w:rPr>
        <w:t xml:space="preserve"> ակնաբուժական կիրառման դեղապատրաստուկների փաթեթվածքների արտադրության համար:</w:t>
      </w:r>
    </w:p>
    <w:p w14:paraId="1A6DC48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Հավելանյութերով պոլիէթիլենն ստանում են էթիլենի պոլիմերացման միջոցով՝ ճնշման տակ կատալիզատորի առկայությամբ, կամ բարձրագույն ալկենների հոմոլոգների (С</w:t>
      </w:r>
      <w:r w:rsidRPr="00825EEB">
        <w:rPr>
          <w:rFonts w:ascii="Sylfaen" w:hAnsi="Sylfaen"/>
          <w:sz w:val="24"/>
          <w:szCs w:val="24"/>
          <w:vertAlign w:val="subscript"/>
        </w:rPr>
        <w:t>3</w:t>
      </w:r>
      <w:r w:rsidRPr="00825EEB">
        <w:rPr>
          <w:rFonts w:ascii="Sylfaen" w:hAnsi="Sylfaen"/>
          <w:sz w:val="24"/>
          <w:szCs w:val="24"/>
        </w:rPr>
        <w:t>-ից մինչ</w:t>
      </w:r>
      <w:r>
        <w:rPr>
          <w:rFonts w:ascii="Sylfaen" w:hAnsi="Sylfaen"/>
          <w:sz w:val="24"/>
          <w:szCs w:val="24"/>
        </w:rPr>
        <w:t>եւ</w:t>
      </w:r>
      <w:r w:rsidRPr="00825EEB">
        <w:rPr>
          <w:rFonts w:ascii="Sylfaen" w:hAnsi="Sylfaen"/>
          <w:sz w:val="24"/>
          <w:szCs w:val="24"/>
        </w:rPr>
        <w:t xml:space="preserve"> С</w:t>
      </w:r>
      <w:r w:rsidRPr="00825EEB">
        <w:rPr>
          <w:rFonts w:ascii="Sylfaen" w:hAnsi="Sylfaen"/>
          <w:sz w:val="24"/>
          <w:szCs w:val="24"/>
          <w:vertAlign w:val="subscript"/>
        </w:rPr>
        <w:t>10</w:t>
      </w:r>
      <w:r w:rsidRPr="00825EEB">
        <w:rPr>
          <w:rFonts w:ascii="Sylfaen" w:hAnsi="Sylfaen"/>
          <w:sz w:val="24"/>
          <w:szCs w:val="24"/>
        </w:rPr>
        <w:t>) ոչ ավելի, քան 25 %-ի հետ էթիլենի համապոլիմերացմամբ:</w:t>
      </w:r>
    </w:p>
    <w:p w14:paraId="0019C74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77FF1D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ՏԵԽՆՈԼՈԳԻԱՅԻ ԱՌԱՆՁՆԱՀԱՏԿՈՒԹՅՈՒՆՆԵՐԸ</w:t>
      </w:r>
    </w:p>
    <w:p w14:paraId="111F6DD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Պոլիմերի մեջ ներմուծում են որոշակի քանակությամբ հավելանյութեր՝ դրա մշակումը,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կախված նախատեսվող նշանակության նպատակից:</w:t>
      </w:r>
    </w:p>
    <w:p w14:paraId="7DC6CBDD"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Պոլիէթիլենը կարող է պարունակել ոչ ավելի, քան երեք հակաօքսիդիչ, մեկ կամ մի քանի քսայուղեր կամ հակահարակցանյութեր (կպչունությանը խոչընդոտող նյութեր), ինչպես նա</w:t>
      </w:r>
      <w:r>
        <w:rPr>
          <w:rFonts w:ascii="Sylfaen" w:hAnsi="Sylfaen"/>
          <w:sz w:val="24"/>
          <w:szCs w:val="24"/>
        </w:rPr>
        <w:t>եւ</w:t>
      </w:r>
      <w:r w:rsidRPr="00825EEB">
        <w:rPr>
          <w:rFonts w:ascii="Sylfaen" w:hAnsi="Sylfaen"/>
          <w:sz w:val="24"/>
          <w:szCs w:val="24"/>
        </w:rPr>
        <w:t xml:space="preserve"> տիտանի դիօքսիդ՝ որպես նյութի անթափանցությունն ապահովող միջոց՝ լույսից պաշտպանելու համար: Հավելանյութերն ընտրվում են ստոր</w:t>
      </w:r>
      <w:r>
        <w:rPr>
          <w:rFonts w:ascii="Sylfaen" w:hAnsi="Sylfaen"/>
          <w:sz w:val="24"/>
          <w:szCs w:val="24"/>
        </w:rPr>
        <w:t>եւ</w:t>
      </w:r>
      <w:r w:rsidRPr="00825EEB">
        <w:rPr>
          <w:rFonts w:ascii="Sylfaen" w:hAnsi="Sylfaen"/>
          <w:sz w:val="24"/>
          <w:szCs w:val="24"/>
        </w:rPr>
        <w:t xml:space="preserve"> ներկայացված ցանկից (այլ հիմնավորման </w:t>
      </w:r>
      <w:r>
        <w:rPr>
          <w:rFonts w:ascii="Sylfaen" w:hAnsi="Sylfaen"/>
          <w:sz w:val="24"/>
          <w:szCs w:val="24"/>
        </w:rPr>
        <w:t>եւ</w:t>
      </w:r>
      <w:r w:rsidRPr="00825EEB">
        <w:rPr>
          <w:rFonts w:ascii="Sylfaen" w:hAnsi="Sylfaen"/>
          <w:sz w:val="24"/>
          <w:szCs w:val="24"/>
        </w:rPr>
        <w:t xml:space="preserve"> լիազորված մարմնի թույլտվության բացակայության դեպքում), որում նշված է դրանց առավելագույն թույլատրելի պարունակությունը՝</w:t>
      </w:r>
    </w:p>
    <w:p w14:paraId="4E87E4E8"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4E65696E" w14:textId="77777777" w:rsidR="0058052E" w:rsidRPr="00D910A0" w:rsidRDefault="0058052E" w:rsidP="00D910A0">
      <w:pPr>
        <w:pStyle w:val="a0"/>
        <w:shd w:val="clear" w:color="auto" w:fill="auto"/>
        <w:tabs>
          <w:tab w:val="left" w:pos="1134"/>
        </w:tabs>
        <w:spacing w:after="160" w:line="360" w:lineRule="auto"/>
        <w:ind w:firstLine="567"/>
        <w:jc w:val="both"/>
        <w:rPr>
          <w:rFonts w:ascii="Sylfaen" w:hAnsi="Sylfaen" w:cs="Sylfaen"/>
          <w:spacing w:val="4"/>
          <w:sz w:val="24"/>
          <w:szCs w:val="24"/>
        </w:rPr>
      </w:pPr>
      <w:r w:rsidRPr="00D910A0">
        <w:rPr>
          <w:rFonts w:ascii="Sylfaen" w:hAnsi="Sylfaen"/>
          <w:spacing w:val="4"/>
          <w:sz w:val="24"/>
          <w:szCs w:val="24"/>
        </w:rPr>
        <w:lastRenderedPageBreak/>
        <w:t>-</w:t>
      </w:r>
      <w:r w:rsidR="00D910A0" w:rsidRPr="00D910A0">
        <w:rPr>
          <w:rFonts w:ascii="Sylfaen" w:hAnsi="Sylfaen"/>
          <w:spacing w:val="4"/>
          <w:sz w:val="24"/>
          <w:szCs w:val="24"/>
        </w:rPr>
        <w:tab/>
      </w:r>
      <w:r w:rsidRPr="00D910A0">
        <w:rPr>
          <w:rFonts w:ascii="Sylfaen" w:hAnsi="Sylfaen"/>
          <w:spacing w:val="4"/>
          <w:sz w:val="24"/>
          <w:szCs w:val="24"/>
        </w:rPr>
        <w:t>բութիլհիդրօքսիտոլուոլ (պոլիմերային 07 նյութի հավելանյութ)՝ 0,125</w:t>
      </w:r>
      <w:r w:rsidR="00D910A0" w:rsidRPr="00D910A0">
        <w:rPr>
          <w:rFonts w:ascii="Sylfaen" w:hAnsi="Sylfaen"/>
          <w:spacing w:val="4"/>
          <w:sz w:val="24"/>
          <w:szCs w:val="24"/>
        </w:rPr>
        <w:t> </w:t>
      </w:r>
      <w:r w:rsidRPr="00D910A0">
        <w:rPr>
          <w:rFonts w:ascii="Sylfaen" w:hAnsi="Sylfaen"/>
          <w:spacing w:val="4"/>
          <w:sz w:val="24"/>
          <w:szCs w:val="24"/>
        </w:rPr>
        <w:t>%-ից ոչ ավելի.</w:t>
      </w:r>
    </w:p>
    <w:p w14:paraId="238A6FF0"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պենտաէրիթրիտիլտետրակիս[3-(3,5-դի-</w:t>
      </w:r>
      <w:r w:rsidRPr="00825EEB">
        <w:rPr>
          <w:rFonts w:ascii="Sylfaen" w:hAnsi="Sylfaen"/>
          <w:i/>
          <w:sz w:val="24"/>
          <w:szCs w:val="24"/>
        </w:rPr>
        <w:t>տրետ</w:t>
      </w:r>
      <w:r w:rsidRPr="00825EEB">
        <w:rPr>
          <w:rFonts w:ascii="Sylfaen" w:hAnsi="Sylfaen"/>
          <w:sz w:val="24"/>
          <w:szCs w:val="24"/>
        </w:rPr>
        <w:t>-բութիլ-4-հիդրօքսիֆենիլ)պրոպիոնատ] (պոլիմերային 09 նյութի հավելանյութ)՝ 0,3 %-ից ոչ ավելի.</w:t>
      </w:r>
    </w:p>
    <w:p w14:paraId="10F50EE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1,3,5-տրիս(3,5-դի-</w:t>
      </w:r>
      <w:r w:rsidRPr="00825EEB">
        <w:rPr>
          <w:rFonts w:ascii="Sylfaen" w:hAnsi="Sylfaen"/>
          <w:i/>
          <w:sz w:val="24"/>
          <w:szCs w:val="24"/>
        </w:rPr>
        <w:t>տրետ</w:t>
      </w:r>
      <w:r w:rsidRPr="00825EEB">
        <w:rPr>
          <w:rFonts w:ascii="Sylfaen" w:hAnsi="Sylfaen"/>
          <w:sz w:val="24"/>
          <w:szCs w:val="24"/>
        </w:rPr>
        <w:t>-բութիլ-4-հիդրօքսիբենզիլ)-</w:t>
      </w:r>
      <w:r w:rsidRPr="00825EEB">
        <w:rPr>
          <w:rFonts w:ascii="Sylfaen" w:hAnsi="Sylfaen"/>
          <w:i/>
          <w:sz w:val="24"/>
          <w:szCs w:val="24"/>
        </w:rPr>
        <w:t>s</w:t>
      </w:r>
      <w:r w:rsidRPr="00825EEB">
        <w:rPr>
          <w:rFonts w:ascii="Sylfaen" w:hAnsi="Sylfaen"/>
          <w:sz w:val="24"/>
          <w:szCs w:val="24"/>
        </w:rPr>
        <w:t>-տրիազին-2,4,6(1</w:t>
      </w:r>
      <w:r w:rsidRPr="00825EEB">
        <w:rPr>
          <w:rFonts w:ascii="Sylfaen" w:hAnsi="Sylfaen"/>
          <w:i/>
          <w:sz w:val="24"/>
          <w:szCs w:val="24"/>
        </w:rPr>
        <w:t>H</w:t>
      </w:r>
      <w:r w:rsidRPr="00825EEB">
        <w:rPr>
          <w:rFonts w:ascii="Sylfaen" w:hAnsi="Sylfaen"/>
          <w:sz w:val="24"/>
          <w:szCs w:val="24"/>
        </w:rPr>
        <w:t>,3</w:t>
      </w:r>
      <w:r w:rsidRPr="00825EEB">
        <w:rPr>
          <w:rFonts w:ascii="Sylfaen" w:hAnsi="Sylfaen"/>
          <w:i/>
          <w:sz w:val="24"/>
          <w:szCs w:val="24"/>
        </w:rPr>
        <w:t>H</w:t>
      </w:r>
      <w:r w:rsidRPr="00825EEB">
        <w:rPr>
          <w:rFonts w:ascii="Sylfaen" w:hAnsi="Sylfaen"/>
          <w:sz w:val="24"/>
          <w:szCs w:val="24"/>
        </w:rPr>
        <w:t>,5</w:t>
      </w:r>
      <w:r w:rsidRPr="00825EEB">
        <w:rPr>
          <w:rFonts w:ascii="Sylfaen" w:hAnsi="Sylfaen"/>
          <w:i/>
          <w:sz w:val="24"/>
          <w:szCs w:val="24"/>
        </w:rPr>
        <w:t>H</w:t>
      </w:r>
      <w:r w:rsidRPr="00825EEB">
        <w:rPr>
          <w:rFonts w:ascii="Sylfaen" w:hAnsi="Sylfaen"/>
          <w:sz w:val="24"/>
          <w:szCs w:val="24"/>
        </w:rPr>
        <w:t>)-տրիոն (պոլիմերային 13-րդ նյութի հավելանյութ)՝ 0,3 %-ից ոչ ավելի.</w:t>
      </w:r>
    </w:p>
    <w:p w14:paraId="244956B0"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օկտադեցիլ-3-(3,5-դի-</w:t>
      </w:r>
      <w:r w:rsidRPr="00825EEB">
        <w:rPr>
          <w:rFonts w:ascii="Sylfaen" w:hAnsi="Sylfaen"/>
          <w:i/>
          <w:sz w:val="24"/>
          <w:szCs w:val="24"/>
        </w:rPr>
        <w:t>տրետ</w:t>
      </w:r>
      <w:r w:rsidRPr="00825EEB">
        <w:rPr>
          <w:rFonts w:ascii="Sylfaen" w:hAnsi="Sylfaen"/>
          <w:sz w:val="24"/>
          <w:szCs w:val="24"/>
        </w:rPr>
        <w:t>-բութիլ-4-հիդրօքսիֆենիլ) պրոպիոնատ (պոլիմերային 11-րդ նյութի հավելանյութ)՝ 0,3 %-ից ոչ ավելի.</w:t>
      </w:r>
    </w:p>
    <w:p w14:paraId="2C8F5C34" w14:textId="77777777" w:rsidR="0058052E" w:rsidRPr="00825EEB" w:rsidRDefault="0058052E" w:rsidP="00D910A0">
      <w:pPr>
        <w:tabs>
          <w:tab w:val="left" w:pos="1134"/>
        </w:tabs>
        <w:spacing w:after="160" w:line="360" w:lineRule="auto"/>
        <w:ind w:firstLine="567"/>
        <w:jc w:val="both"/>
        <w:rPr>
          <w:i/>
          <w:iCs/>
        </w:rPr>
      </w:pPr>
      <w:r w:rsidRPr="00825EEB">
        <w:t>-</w:t>
      </w:r>
      <w:r w:rsidR="00D910A0" w:rsidRPr="00A859E3">
        <w:tab/>
      </w:r>
      <w:r w:rsidRPr="00825EEB">
        <w:t>էթիլենբիս[3,3-բիս[3-(1,1-դիմեթիլէթիլ)-4-հիդրօքսիֆենիլ]-բութանոատ] (պոլիմերային 08 նյութի հավելանյութ)՝ 0,3 %-ից ոչ ավելի.</w:t>
      </w:r>
    </w:p>
    <w:p w14:paraId="12D10E8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դիօկտադեցիլդիսուլֆիդ (պոլիմերային 15-րդ նյութի հավելանյութ)՝ 0,3 %-ից ոչ ավելի.</w:t>
      </w:r>
    </w:p>
    <w:p w14:paraId="79284B5A"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,2</w:t>
      </w:r>
      <w:r w:rsidRPr="00825EEB">
        <w:rPr>
          <w:rFonts w:ascii="Sylfaen" w:hAnsi="Sylfaen"/>
          <w:i/>
          <w:sz w:val="24"/>
          <w:szCs w:val="24"/>
        </w:rPr>
        <w:t>"</w:t>
      </w:r>
      <w:r w:rsidRPr="00825EEB">
        <w:rPr>
          <w:rFonts w:ascii="Sylfaen" w:hAnsi="Sylfaen"/>
          <w:sz w:val="24"/>
          <w:szCs w:val="24"/>
        </w:rPr>
        <w:t>,6,6</w:t>
      </w:r>
      <w:r w:rsidRPr="00825EEB">
        <w:rPr>
          <w:rFonts w:ascii="Sylfaen" w:hAnsi="Sylfaen"/>
          <w:i/>
          <w:sz w:val="24"/>
          <w:szCs w:val="24"/>
        </w:rPr>
        <w:t>'</w:t>
      </w:r>
      <w:r w:rsidRPr="00825EEB">
        <w:rPr>
          <w:rFonts w:ascii="Sylfaen" w:hAnsi="Sylfaen"/>
          <w:sz w:val="24"/>
          <w:szCs w:val="24"/>
        </w:rPr>
        <w:t>,6</w:t>
      </w:r>
      <w:r w:rsidRPr="00825EEB">
        <w:rPr>
          <w:rFonts w:ascii="Sylfaen" w:hAnsi="Sylfaen"/>
          <w:i/>
          <w:sz w:val="24"/>
          <w:szCs w:val="24"/>
        </w:rPr>
        <w:t>"</w:t>
      </w:r>
      <w:r w:rsidRPr="00825EEB">
        <w:rPr>
          <w:rFonts w:ascii="Sylfaen" w:hAnsi="Sylfaen"/>
          <w:sz w:val="24"/>
          <w:szCs w:val="24"/>
        </w:rPr>
        <w:t>-հեքսա-</w:t>
      </w:r>
      <w:r w:rsidRPr="00825EEB">
        <w:rPr>
          <w:rFonts w:ascii="Sylfaen" w:hAnsi="Sylfaen"/>
          <w:i/>
          <w:sz w:val="24"/>
          <w:szCs w:val="24"/>
        </w:rPr>
        <w:t>տրետ</w:t>
      </w:r>
      <w:r w:rsidRPr="00825EEB">
        <w:rPr>
          <w:rFonts w:ascii="Sylfaen" w:hAnsi="Sylfaen"/>
          <w:sz w:val="24"/>
          <w:szCs w:val="24"/>
        </w:rPr>
        <w:t>-բութիլ-</w:t>
      </w:r>
      <w:r w:rsidR="00D910A0" w:rsidRPr="00D910A0">
        <w:rPr>
          <w:rFonts w:ascii="Sylfaen" w:hAnsi="Sylfaen"/>
          <w:sz w:val="24"/>
          <w:szCs w:val="24"/>
        </w:rPr>
        <w:t xml:space="preserve"> </w:t>
      </w:r>
      <w:r w:rsidRPr="00825EEB">
        <w:rPr>
          <w:rFonts w:ascii="Sylfaen" w:hAnsi="Sylfaen"/>
          <w:sz w:val="24"/>
          <w:szCs w:val="24"/>
        </w:rPr>
        <w:t>4,4</w:t>
      </w:r>
      <w:r w:rsidRPr="00825EEB">
        <w:rPr>
          <w:rFonts w:ascii="Sylfaen" w:hAnsi="Sylfaen"/>
          <w:i/>
          <w:sz w:val="24"/>
          <w:szCs w:val="24"/>
        </w:rPr>
        <w:t>'</w:t>
      </w:r>
      <w:r w:rsidRPr="00825EEB">
        <w:rPr>
          <w:rFonts w:ascii="Sylfaen" w:hAnsi="Sylfaen"/>
          <w:sz w:val="24"/>
          <w:szCs w:val="24"/>
        </w:rPr>
        <w:t>,4</w:t>
      </w:r>
      <w:r w:rsidRPr="00825EEB">
        <w:rPr>
          <w:rFonts w:ascii="Sylfaen" w:hAnsi="Sylfaen"/>
          <w:i/>
          <w:sz w:val="24"/>
          <w:szCs w:val="24"/>
        </w:rPr>
        <w:t>"</w:t>
      </w:r>
      <w:r w:rsidRPr="00825EEB">
        <w:rPr>
          <w:rFonts w:ascii="Sylfaen" w:hAnsi="Sylfaen"/>
          <w:sz w:val="24"/>
          <w:szCs w:val="24"/>
        </w:rPr>
        <w:t>-</w:t>
      </w:r>
      <w:r w:rsidR="00D910A0" w:rsidRPr="00D910A0">
        <w:rPr>
          <w:rFonts w:ascii="Sylfaen" w:hAnsi="Sylfaen"/>
          <w:sz w:val="24"/>
          <w:szCs w:val="24"/>
        </w:rPr>
        <w:t xml:space="preserve"> </w:t>
      </w:r>
      <w:r w:rsidRPr="00825EEB">
        <w:rPr>
          <w:rFonts w:ascii="Sylfaen" w:hAnsi="Sylfaen"/>
          <w:sz w:val="24"/>
          <w:szCs w:val="24"/>
        </w:rPr>
        <w:t>[(2,4,6-տրիմեթիլ-1,3,5-բենզոլտրիիլ)</w:t>
      </w:r>
      <w:r w:rsidR="00D910A0" w:rsidRPr="00D910A0">
        <w:rPr>
          <w:rFonts w:ascii="Sylfaen" w:hAnsi="Sylfaen"/>
          <w:sz w:val="24"/>
          <w:szCs w:val="24"/>
        </w:rPr>
        <w:t xml:space="preserve"> </w:t>
      </w:r>
      <w:r w:rsidRPr="00825EEB">
        <w:rPr>
          <w:rFonts w:ascii="Sylfaen" w:hAnsi="Sylfaen"/>
          <w:sz w:val="24"/>
          <w:szCs w:val="24"/>
        </w:rPr>
        <w:t>տրիսմեթիլեն]</w:t>
      </w:r>
      <w:r w:rsidR="00D910A0" w:rsidRPr="00D910A0">
        <w:rPr>
          <w:rFonts w:ascii="Sylfaen" w:hAnsi="Sylfaen"/>
          <w:sz w:val="24"/>
          <w:szCs w:val="24"/>
        </w:rPr>
        <w:t xml:space="preserve"> </w:t>
      </w:r>
      <w:r w:rsidRPr="00825EEB">
        <w:rPr>
          <w:rFonts w:ascii="Sylfaen" w:hAnsi="Sylfaen"/>
          <w:sz w:val="24"/>
          <w:szCs w:val="24"/>
        </w:rPr>
        <w:t>տրիֆենոլ (պոլիմերային 10-րդ նյութի հավելանյութ)՝ 0,3 %-ից ոչ ավելի.</w:t>
      </w:r>
    </w:p>
    <w:p w14:paraId="19DFBFD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-բիս(օկտադեցիլօքսի)</w:t>
      </w:r>
      <w:r w:rsidR="00D910A0" w:rsidRPr="00D910A0">
        <w:rPr>
          <w:rFonts w:ascii="Sylfaen" w:hAnsi="Sylfaen"/>
          <w:sz w:val="24"/>
          <w:szCs w:val="24"/>
        </w:rPr>
        <w:t xml:space="preserve"> </w:t>
      </w:r>
      <w:r w:rsidRPr="00825EEB">
        <w:rPr>
          <w:rFonts w:ascii="Sylfaen" w:hAnsi="Sylfaen"/>
          <w:sz w:val="24"/>
          <w:szCs w:val="24"/>
        </w:rPr>
        <w:t>-5,5</w:t>
      </w:r>
      <w:r w:rsidRPr="00825EEB">
        <w:rPr>
          <w:rFonts w:ascii="Sylfaen" w:hAnsi="Sylfaen"/>
          <w:i/>
          <w:sz w:val="24"/>
          <w:szCs w:val="24"/>
        </w:rPr>
        <w:t>'</w:t>
      </w:r>
      <w:r w:rsidRPr="00825EEB">
        <w:rPr>
          <w:rFonts w:ascii="Sylfaen" w:hAnsi="Sylfaen"/>
          <w:sz w:val="24"/>
          <w:szCs w:val="24"/>
        </w:rPr>
        <w:t>-սպիրոբի</w:t>
      </w:r>
      <w:r w:rsidR="00D910A0" w:rsidRPr="00D910A0">
        <w:rPr>
          <w:rFonts w:ascii="Sylfaen" w:hAnsi="Sylfaen"/>
          <w:sz w:val="24"/>
          <w:szCs w:val="24"/>
        </w:rPr>
        <w:t xml:space="preserve"> </w:t>
      </w:r>
      <w:r w:rsidRPr="00825EEB">
        <w:rPr>
          <w:rFonts w:ascii="Sylfaen" w:hAnsi="Sylfaen"/>
          <w:sz w:val="24"/>
          <w:szCs w:val="24"/>
        </w:rPr>
        <w:t>[1,3,2-դիօքսաֆոսֆինան]</w:t>
      </w:r>
      <w:r w:rsidR="00D910A0" w:rsidRPr="00D910A0">
        <w:rPr>
          <w:rFonts w:ascii="Sylfaen" w:hAnsi="Sylfaen"/>
          <w:sz w:val="24"/>
          <w:szCs w:val="24"/>
        </w:rPr>
        <w:t xml:space="preserve"> </w:t>
      </w:r>
      <w:r w:rsidRPr="00825EEB">
        <w:rPr>
          <w:rFonts w:ascii="Sylfaen" w:hAnsi="Sylfaen"/>
          <w:sz w:val="24"/>
          <w:szCs w:val="24"/>
        </w:rPr>
        <w:t>(պոլիմերային 14-րդ նյութի հավելանյութ)՝ 0,3 %-ից ոչ ավելի.</w:t>
      </w:r>
    </w:p>
    <w:p w14:paraId="37D09160"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դիդոդեցիլ3,3</w:t>
      </w:r>
      <w:r w:rsidRPr="00825EEB">
        <w:rPr>
          <w:rFonts w:ascii="Sylfaen" w:hAnsi="Sylfaen"/>
          <w:i/>
          <w:sz w:val="24"/>
          <w:szCs w:val="24"/>
        </w:rPr>
        <w:t>'</w:t>
      </w:r>
      <w:r w:rsidRPr="00825EEB">
        <w:rPr>
          <w:rFonts w:ascii="Sylfaen" w:hAnsi="Sylfaen"/>
          <w:sz w:val="24"/>
          <w:szCs w:val="24"/>
        </w:rPr>
        <w:t>-տրիոդիպրոպիոնատ (պոլիմերային 16-րդ նյութի հավելանյութ)՝ 0,3 %-ից ոչ ավելի.</w:t>
      </w:r>
    </w:p>
    <w:p w14:paraId="5765CEAA"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դիօկտադեցիլ-3,3</w:t>
      </w:r>
      <w:r w:rsidRPr="00825EEB">
        <w:rPr>
          <w:rFonts w:ascii="Sylfaen" w:hAnsi="Sylfaen"/>
          <w:i/>
          <w:sz w:val="24"/>
          <w:szCs w:val="24"/>
        </w:rPr>
        <w:t>'</w:t>
      </w:r>
      <w:r w:rsidRPr="00825EEB">
        <w:rPr>
          <w:rFonts w:ascii="Sylfaen" w:hAnsi="Sylfaen"/>
          <w:sz w:val="24"/>
          <w:szCs w:val="24"/>
        </w:rPr>
        <w:t>-թիոդիպրոպիոնատ (պոլիմերային 17-րդ նյութի հավելանյութ)՝ 0,3 %-ից ոչ ավելի.</w:t>
      </w:r>
    </w:p>
    <w:p w14:paraId="77B631D6" w14:textId="77777777" w:rsidR="0058052E" w:rsidRPr="00D35F34" w:rsidRDefault="0058052E" w:rsidP="00D910A0">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տրիս(2,4-դի-</w:t>
      </w:r>
      <w:r w:rsidRPr="00825EEB">
        <w:rPr>
          <w:rFonts w:ascii="Sylfaen" w:hAnsi="Sylfaen"/>
          <w:i/>
          <w:sz w:val="24"/>
          <w:szCs w:val="24"/>
        </w:rPr>
        <w:t>տրետ</w:t>
      </w:r>
      <w:r w:rsidRPr="00825EEB">
        <w:rPr>
          <w:rFonts w:ascii="Sylfaen" w:hAnsi="Sylfaen"/>
          <w:sz w:val="24"/>
          <w:szCs w:val="24"/>
        </w:rPr>
        <w:t>-բութիլֆենիլ) ֆոսֆիտ (պոլիմերային 12-րդ նյութի հավելանյութ)՝ 0,3 %-ից ոչ ավելի.</w:t>
      </w:r>
    </w:p>
    <w:p w14:paraId="23A2D608" w14:textId="77777777" w:rsidR="00F24391" w:rsidRPr="00D35F34" w:rsidRDefault="00F24391" w:rsidP="00D910A0">
      <w:pPr>
        <w:pStyle w:val="a0"/>
        <w:shd w:val="clear" w:color="auto" w:fill="auto"/>
        <w:tabs>
          <w:tab w:val="left" w:pos="1134"/>
        </w:tabs>
        <w:spacing w:after="160" w:line="360" w:lineRule="auto"/>
        <w:ind w:firstLine="567"/>
        <w:jc w:val="both"/>
        <w:rPr>
          <w:rFonts w:ascii="Sylfaen" w:hAnsi="Sylfaen" w:cs="Sylfaen"/>
          <w:sz w:val="24"/>
          <w:szCs w:val="24"/>
        </w:rPr>
      </w:pPr>
    </w:p>
    <w:p w14:paraId="38F9AAF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Վեր</w:t>
      </w:r>
      <w:r>
        <w:rPr>
          <w:rFonts w:ascii="Sylfaen" w:hAnsi="Sylfaen"/>
          <w:sz w:val="24"/>
          <w:szCs w:val="24"/>
        </w:rPr>
        <w:t>եւ</w:t>
      </w:r>
      <w:r w:rsidRPr="00825EEB">
        <w:rPr>
          <w:rFonts w:ascii="Sylfaen" w:hAnsi="Sylfaen"/>
          <w:sz w:val="24"/>
          <w:szCs w:val="24"/>
        </w:rPr>
        <w:t>ում թվարկված հակաօքսիդիչ հավելանյութերի ընդհանուր պարունակությունը չպետք է գերազանցի 0,3%-ը:</w:t>
      </w:r>
    </w:p>
    <w:p w14:paraId="5D2109E4"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հիդրոտալցիտ՝ 0,5 %-ից ոչ ավելի.</w:t>
      </w:r>
    </w:p>
    <w:p w14:paraId="57855E32"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ալկանամիդներ՝ 0,5 %-ից ոչ ավելի.</w:t>
      </w:r>
    </w:p>
    <w:p w14:paraId="327B935C"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ալկենամիդներ՝ 0,5 %-ից ոչ ավելի.</w:t>
      </w:r>
    </w:p>
    <w:p w14:paraId="49D0F92D"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նատրիումի ալյումասիլիկատ՝ 0,5 %-ից ոչ ավելի.</w:t>
      </w:r>
    </w:p>
    <w:p w14:paraId="70F41B7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սիլիցիումի դիօքսիդ (բնական կամ սինթետիկ, պատվածքով կամ առանց պատվածքի)՝ 0,5 %-ից ոչ ավելի.</w:t>
      </w:r>
    </w:p>
    <w:p w14:paraId="5FCFC368"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նատրիումի բենզոատ՝ 0,5 %-ից ոչ ավելի.</w:t>
      </w:r>
    </w:p>
    <w:p w14:paraId="408858C1"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D910A0">
        <w:rPr>
          <w:rFonts w:ascii="Sylfaen" w:hAnsi="Sylfaen"/>
          <w:sz w:val="24"/>
          <w:szCs w:val="24"/>
        </w:rPr>
        <w:tab/>
      </w:r>
      <w:r w:rsidRPr="00825EEB">
        <w:rPr>
          <w:rFonts w:ascii="Sylfaen" w:hAnsi="Sylfaen"/>
          <w:sz w:val="24"/>
          <w:szCs w:val="24"/>
        </w:rPr>
        <w:t>ճարպաթթուների եթերներ կամ աղեր՝ 0,5 %-ից ոչ ավելի.</w:t>
      </w:r>
    </w:p>
    <w:p w14:paraId="49C1B423"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տրինատրիումի ֆոսֆատ՝ 0,5 %-ից ոչ ավելի.</w:t>
      </w:r>
    </w:p>
    <w:p w14:paraId="27287C42"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հեղուկ պարաֆին (վազելինային յուղ)՝ 0,5 %-ից ոչ ավելի.</w:t>
      </w:r>
    </w:p>
    <w:p w14:paraId="5733A5C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ցինկի օքսիդ՝ 0,5 %-ից ոչ ավելի.</w:t>
      </w:r>
    </w:p>
    <w:p w14:paraId="736B86CD"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մագնեզիումի օքսիդ՝ 0,2 %-ից ոչ ավելի.</w:t>
      </w:r>
    </w:p>
    <w:p w14:paraId="7F1F598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կալցիումի ստեարատ կամ ցինկի ստեարատ կամ դրանց խառնուրդը՝ 0,5 %-ից ոչ ավելի.</w:t>
      </w:r>
    </w:p>
    <w:p w14:paraId="70BBC32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D910A0" w:rsidRPr="00A859E3">
        <w:rPr>
          <w:rFonts w:ascii="Sylfaen" w:hAnsi="Sylfaen"/>
          <w:sz w:val="24"/>
          <w:szCs w:val="24"/>
        </w:rPr>
        <w:tab/>
      </w:r>
      <w:r w:rsidRPr="00825EEB">
        <w:rPr>
          <w:rFonts w:ascii="Sylfaen" w:hAnsi="Sylfaen"/>
          <w:sz w:val="24"/>
          <w:szCs w:val="24"/>
        </w:rPr>
        <w:t>տիտանի դիօքսիդ, միայն ակնաբուժական դեղամիջոցների փաթեթվածքների նյութի համար՝ 4 %-ից ոչ ավելի:</w:t>
      </w:r>
    </w:p>
    <w:p w14:paraId="6E3A80EA"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sz w:val="24"/>
          <w:szCs w:val="24"/>
        </w:rPr>
        <w:t xml:space="preserve">Նյութի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 (</w:t>
      </w:r>
      <w:r w:rsidRPr="00825EEB">
        <w:rPr>
          <w:rFonts w:ascii="Sylfaen" w:hAnsi="Sylfaen"/>
          <w:i/>
          <w:sz w:val="24"/>
          <w:szCs w:val="24"/>
        </w:rPr>
        <w:t>2.4.2.3</w:t>
      </w:r>
      <w:r w:rsidRPr="00825EEB">
        <w:rPr>
          <w:rFonts w:ascii="Sylfaen" w:hAnsi="Sylfaen"/>
          <w:sz w:val="24"/>
          <w:szCs w:val="24"/>
        </w:rPr>
        <w:t>):</w:t>
      </w:r>
    </w:p>
    <w:p w14:paraId="55707171" w14:textId="77777777" w:rsidR="00F24391" w:rsidRDefault="00F24391">
      <w:pPr>
        <w:rPr>
          <w:rFonts w:eastAsia="Times New Roman"/>
          <w:color w:val="auto"/>
        </w:rPr>
      </w:pPr>
      <w:r>
        <w:br w:type="page"/>
      </w:r>
    </w:p>
    <w:p w14:paraId="55BCCD3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ՀԱՏԿՈՒԹՅՈՒՆՆԵՐԸ</w:t>
      </w:r>
    </w:p>
    <w:p w14:paraId="4718EC80" w14:textId="77777777" w:rsidR="0058052E" w:rsidRPr="00825EEB" w:rsidRDefault="0058052E" w:rsidP="0058052E">
      <w:pPr>
        <w:spacing w:after="160" w:line="360" w:lineRule="auto"/>
        <w:ind w:firstLine="567"/>
        <w:jc w:val="both"/>
        <w:rPr>
          <w:i/>
          <w:iCs/>
        </w:rPr>
      </w:pPr>
      <w:r w:rsidRPr="00825EEB">
        <w:rPr>
          <w:i/>
        </w:rPr>
        <w:t>Նկարագրությունը։</w:t>
      </w:r>
      <w:r w:rsidRPr="00825EEB">
        <w:t xml:space="preserve"> Փոշի, միատարր գնդիկներ, հատիկներ կամ վերամշակումից հետո՝ տարբեր հաստության թիթեղներ, փոխակերպումից հետո՝ փաթեթվածքի տեսակներ:</w:t>
      </w:r>
    </w:p>
    <w:p w14:paraId="2235D59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Լուծելիությունը։</w:t>
      </w:r>
      <w:r w:rsidRPr="00825EEB">
        <w:rPr>
          <w:rFonts w:ascii="Sylfaen" w:hAnsi="Sylfaen"/>
          <w:sz w:val="24"/>
          <w:szCs w:val="24"/>
        </w:rPr>
        <w:t xml:space="preserve"> Գրեթե լուծելի չէ ջրի, անջուր էթանոլի, հեքսանի </w:t>
      </w:r>
      <w:r>
        <w:rPr>
          <w:rFonts w:ascii="Sylfaen" w:hAnsi="Sylfaen"/>
          <w:sz w:val="24"/>
          <w:szCs w:val="24"/>
        </w:rPr>
        <w:t>եւ</w:t>
      </w:r>
      <w:r w:rsidRPr="00825EEB">
        <w:rPr>
          <w:rFonts w:ascii="Sylfaen" w:hAnsi="Sylfaen"/>
          <w:sz w:val="24"/>
          <w:szCs w:val="24"/>
        </w:rPr>
        <w:t xml:space="preserve"> մեթանոլի մեջ, լուծելի է տաք արոմատիկ ածխաջրածիններում:</w:t>
      </w:r>
    </w:p>
    <w:p w14:paraId="064F318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Փափկում է 70 °С-ից 140 °С ջերմաստիճանում։</w:t>
      </w:r>
    </w:p>
    <w:p w14:paraId="272C130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Հարաբերական խտությունը։</w:t>
      </w:r>
      <w:r w:rsidRPr="00825EEB">
        <w:rPr>
          <w:rFonts w:ascii="Sylfaen" w:hAnsi="Sylfaen"/>
          <w:sz w:val="24"/>
          <w:szCs w:val="24"/>
        </w:rPr>
        <w:t xml:space="preserve"> 0,890-ից մինչ</w:t>
      </w:r>
      <w:r>
        <w:rPr>
          <w:rFonts w:ascii="Sylfaen" w:hAnsi="Sylfaen"/>
          <w:sz w:val="24"/>
          <w:szCs w:val="24"/>
        </w:rPr>
        <w:t>եւ</w:t>
      </w:r>
      <w:r w:rsidRPr="00825EEB">
        <w:rPr>
          <w:rFonts w:ascii="Sylfaen" w:hAnsi="Sylfaen"/>
          <w:sz w:val="24"/>
          <w:szCs w:val="24"/>
        </w:rPr>
        <w:t xml:space="preserve"> 0,965։</w:t>
      </w:r>
    </w:p>
    <w:p w14:paraId="60E317E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031A19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1B54BA0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1C718846"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D910A0" w:rsidRPr="00A859E3">
        <w:rPr>
          <w:rFonts w:ascii="Sylfaen" w:hAnsi="Sylfaen"/>
          <w:sz w:val="24"/>
          <w:szCs w:val="24"/>
        </w:rPr>
        <w:tab/>
      </w:r>
      <w:r w:rsidRPr="00825EEB">
        <w:rPr>
          <w:rFonts w:ascii="Sylfaen" w:hAnsi="Sylfaen"/>
          <w:sz w:val="24"/>
          <w:szCs w:val="24"/>
        </w:rPr>
        <w:t xml:space="preserve">Որոշումն անցկացնում են ինֆրակարմիր հատվածում աբսորբման սպեկտրալուսաչափության մեթոդով </w:t>
      </w:r>
      <w:r w:rsidRPr="00825EEB">
        <w:rPr>
          <w:rFonts w:ascii="Sylfaen" w:hAnsi="Sylfaen"/>
          <w:i/>
          <w:sz w:val="24"/>
          <w:szCs w:val="24"/>
        </w:rPr>
        <w:t>(2.1.2.23):</w:t>
      </w:r>
    </w:p>
    <w:p w14:paraId="4A8594D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Նյութի փորձարկվող նմուշի 0,25 գ-ին ավելացնում են </w:t>
      </w:r>
      <w:r w:rsidRPr="00825EEB">
        <w:rPr>
          <w:rFonts w:ascii="Sylfaen" w:hAnsi="Sylfaen"/>
          <w:i/>
          <w:sz w:val="24"/>
          <w:szCs w:val="24"/>
        </w:rPr>
        <w:t>Ռ տոլուոլի</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15</w:t>
      </w:r>
      <w:r w:rsidR="00D910A0" w:rsidRPr="00D910A0">
        <w:rPr>
          <w:rFonts w:ascii="Sylfaen" w:hAnsi="Sylfaen"/>
          <w:sz w:val="24"/>
          <w:szCs w:val="24"/>
        </w:rPr>
        <w:t> </w:t>
      </w:r>
      <w:r w:rsidRPr="00825EEB">
        <w:rPr>
          <w:rFonts w:ascii="Sylfaen" w:hAnsi="Sylfaen"/>
          <w:sz w:val="24"/>
          <w:szCs w:val="24"/>
        </w:rPr>
        <w:t xml:space="preserve">րոպե եռացնում հակադարձ սառնարանով: Ստացված լուծույթի մի քանի կաթիլ տեղադրում են նատրիումի քլորիդի թիթեղի կամ </w:t>
      </w:r>
      <w:r w:rsidRPr="00825EEB">
        <w:rPr>
          <w:rFonts w:ascii="Sylfaen" w:hAnsi="Sylfaen"/>
          <w:i/>
          <w:sz w:val="24"/>
          <w:szCs w:val="24"/>
        </w:rPr>
        <w:t>Ռ կալիումի բրոմիդի</w:t>
      </w:r>
      <w:r w:rsidRPr="00825EEB">
        <w:rPr>
          <w:rFonts w:ascii="Sylfaen" w:hAnsi="Sylfaen"/>
          <w:sz w:val="24"/>
          <w:szCs w:val="24"/>
        </w:rPr>
        <w:t xml:space="preserve"> սկավառակի վրա </w:t>
      </w:r>
      <w:r>
        <w:rPr>
          <w:rFonts w:ascii="Sylfaen" w:hAnsi="Sylfaen"/>
          <w:sz w:val="24"/>
          <w:szCs w:val="24"/>
        </w:rPr>
        <w:t>եւ</w:t>
      </w:r>
      <w:r w:rsidRPr="00825EEB">
        <w:rPr>
          <w:rFonts w:ascii="Sylfaen" w:hAnsi="Sylfaen"/>
          <w:sz w:val="24"/>
          <w:szCs w:val="24"/>
        </w:rPr>
        <w:t xml:space="preserve"> լուծիչը լիաչոր շոգեհանում չորացման պահարանում՝ </w:t>
      </w:r>
      <w:smartTag w:uri="urn:schemas-microsoft-com:office:smarttags" w:element="metricconverter">
        <w:smartTagPr>
          <w:attr w:name="ProductID" w:val="80 °C"/>
        </w:smartTagPr>
        <w:r w:rsidRPr="00825EEB">
          <w:rPr>
            <w:rFonts w:ascii="Sylfaen" w:hAnsi="Sylfaen"/>
            <w:sz w:val="24"/>
            <w:szCs w:val="24"/>
          </w:rPr>
          <w:t>80 °C</w:t>
        </w:r>
      </w:smartTag>
      <w:r w:rsidRPr="00825EEB">
        <w:rPr>
          <w:rFonts w:ascii="Sylfaen" w:hAnsi="Sylfaen"/>
          <w:sz w:val="24"/>
          <w:szCs w:val="24"/>
        </w:rPr>
        <w:t xml:space="preserve"> ջերմաստիճանի տակ:</w:t>
      </w:r>
    </w:p>
    <w:p w14:paraId="01AC94F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Սպեկտրը նա</w:t>
      </w:r>
      <w:r>
        <w:rPr>
          <w:rFonts w:ascii="Sylfaen" w:hAnsi="Sylfaen"/>
          <w:sz w:val="24"/>
          <w:szCs w:val="24"/>
        </w:rPr>
        <w:t>եւ</w:t>
      </w:r>
      <w:r w:rsidRPr="00825EEB">
        <w:rPr>
          <w:rFonts w:ascii="Sylfaen" w:hAnsi="Sylfaen"/>
          <w:sz w:val="24"/>
          <w:szCs w:val="24"/>
        </w:rPr>
        <w:t xml:space="preserve"> կարող է ուղղակիորեն գրանցվել թիթեղների, հատիկների կամ տաք սեղմման թաղանթների համապատասխան չափով կտրված հատվածի վրա՝ խախտված ընդհանուր ներքին արտացոլման (ԽԸՆԱ) օգտագործմամբ:</w:t>
      </w:r>
    </w:p>
    <w:p w14:paraId="54DA8CE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2915 սմ</w:t>
      </w:r>
      <w:r w:rsidRPr="00825EEB">
        <w:rPr>
          <w:rFonts w:ascii="Sylfaen" w:hAnsi="Sylfaen"/>
          <w:sz w:val="24"/>
          <w:szCs w:val="24"/>
          <w:vertAlign w:val="superscript"/>
        </w:rPr>
        <w:t>-1</w:t>
      </w:r>
      <w:r w:rsidRPr="00825EEB">
        <w:rPr>
          <w:rFonts w:ascii="Sylfaen" w:hAnsi="Sylfaen"/>
          <w:sz w:val="24"/>
          <w:szCs w:val="24"/>
        </w:rPr>
        <w:t>, 2848 սմ</w:t>
      </w:r>
      <w:r w:rsidRPr="00825EEB">
        <w:rPr>
          <w:rFonts w:ascii="Sylfaen" w:hAnsi="Sylfaen"/>
          <w:sz w:val="24"/>
          <w:szCs w:val="24"/>
          <w:vertAlign w:val="superscript"/>
        </w:rPr>
        <w:t>-1</w:t>
      </w:r>
      <w:r w:rsidRPr="00825EEB">
        <w:rPr>
          <w:rFonts w:ascii="Sylfaen" w:hAnsi="Sylfaen"/>
          <w:sz w:val="24"/>
          <w:szCs w:val="24"/>
        </w:rPr>
        <w:t>, 1471 սմ</w:t>
      </w:r>
      <w:r w:rsidRPr="00825EEB">
        <w:rPr>
          <w:rFonts w:ascii="Sylfaen" w:hAnsi="Sylfaen"/>
          <w:sz w:val="24"/>
          <w:szCs w:val="24"/>
          <w:vertAlign w:val="superscript"/>
        </w:rPr>
        <w:t>-1</w:t>
      </w:r>
      <w:r w:rsidRPr="00825EEB">
        <w:rPr>
          <w:rFonts w:ascii="Sylfaen" w:hAnsi="Sylfaen"/>
          <w:sz w:val="24"/>
          <w:szCs w:val="24"/>
        </w:rPr>
        <w:t>, 1465 սմ</w:t>
      </w:r>
      <w:r w:rsidRPr="00825EEB">
        <w:rPr>
          <w:rFonts w:ascii="Sylfaen" w:hAnsi="Sylfaen"/>
          <w:sz w:val="24"/>
          <w:szCs w:val="24"/>
          <w:vertAlign w:val="superscript"/>
        </w:rPr>
        <w:t>-1</w:t>
      </w:r>
      <w:r w:rsidRPr="00825EEB">
        <w:rPr>
          <w:rFonts w:ascii="Sylfaen" w:hAnsi="Sylfaen"/>
          <w:sz w:val="24"/>
          <w:szCs w:val="24"/>
        </w:rPr>
        <w:t>, 729 սմ</w:t>
      </w:r>
      <w:r w:rsidRPr="00825EEB">
        <w:rPr>
          <w:rFonts w:ascii="Sylfaen" w:hAnsi="Sylfaen"/>
          <w:sz w:val="24"/>
          <w:szCs w:val="24"/>
          <w:vertAlign w:val="superscript"/>
        </w:rPr>
        <w:t>-1</w:t>
      </w:r>
      <w:r w:rsidRPr="00825EEB">
        <w:rPr>
          <w:rFonts w:ascii="Sylfaen" w:hAnsi="Sylfaen"/>
          <w:sz w:val="24"/>
          <w:szCs w:val="24"/>
        </w:rPr>
        <w:t>, 719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5F5D8D2F" w14:textId="77777777" w:rsidR="0058052E" w:rsidRPr="00825EEB" w:rsidRDefault="0058052E" w:rsidP="00D910A0">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Բ.</w:t>
      </w:r>
      <w:r w:rsidR="00D910A0" w:rsidRPr="00A859E3">
        <w:rPr>
          <w:rFonts w:ascii="Sylfaen" w:hAnsi="Sylfaen"/>
          <w:sz w:val="24"/>
          <w:szCs w:val="24"/>
        </w:rPr>
        <w:tab/>
      </w:r>
      <w:r w:rsidRPr="00825EEB">
        <w:rPr>
          <w:rFonts w:ascii="Sylfaen" w:hAnsi="Sylfaen"/>
          <w:sz w:val="24"/>
          <w:szCs w:val="24"/>
        </w:rPr>
        <w:t xml:space="preserve">Փորձարկվող նմուշը պետք է անցնի հավելանյութի սահմանային պարունակության լրացուցիչ փորձարկումներ՝ </w:t>
      </w:r>
      <w:r w:rsidRPr="00825EEB">
        <w:rPr>
          <w:rFonts w:ascii="Sylfaen" w:hAnsi="Sylfaen"/>
          <w:i/>
          <w:sz w:val="24"/>
          <w:szCs w:val="24"/>
        </w:rPr>
        <w:t>«Փորձարկումներ»</w:t>
      </w:r>
      <w:r w:rsidRPr="00825EEB">
        <w:rPr>
          <w:rFonts w:ascii="Sylfaen" w:hAnsi="Sylfaen"/>
          <w:sz w:val="24"/>
          <w:szCs w:val="24"/>
        </w:rPr>
        <w:t xml:space="preserve"> բաժնում նշված ցուցումներին համապատասխան:</w:t>
      </w:r>
    </w:p>
    <w:p w14:paraId="22FE252F" w14:textId="77777777" w:rsidR="0058052E" w:rsidRPr="00825EEB" w:rsidRDefault="0058052E" w:rsidP="00D910A0">
      <w:pPr>
        <w:tabs>
          <w:tab w:val="left" w:pos="1134"/>
        </w:tabs>
        <w:spacing w:after="160" w:line="360" w:lineRule="auto"/>
        <w:ind w:firstLine="567"/>
        <w:jc w:val="both"/>
      </w:pPr>
      <w:r w:rsidRPr="00825EEB">
        <w:t>Գ.</w:t>
      </w:r>
      <w:r w:rsidR="00D910A0" w:rsidRPr="00D910A0">
        <w:tab/>
      </w:r>
      <w:r w:rsidRPr="00825EEB">
        <w:t>(</w:t>
      </w:r>
      <w:r w:rsidRPr="00825EEB">
        <w:rPr>
          <w:i/>
        </w:rPr>
        <w:t>Իրականացվում է միայն անթափանց պոլիմերի վրա</w:t>
      </w:r>
      <w:r w:rsidRPr="00825EEB">
        <w:t xml:space="preserve">): Փորձարկվող նմուշի մոտ 20 մգ տեղադրում են պլատինե հալքանոթի մեջ՝ </w:t>
      </w:r>
      <w:r w:rsidRPr="00825EEB">
        <w:rPr>
          <w:i/>
        </w:rPr>
        <w:t>Ռ կալիումի հիդրոսուլֆատի</w:t>
      </w:r>
      <w:r w:rsidRPr="00825EEB">
        <w:t xml:space="preserve"> 1 գ-ի հետ, տաքացնում մինչ</w:t>
      </w:r>
      <w:r>
        <w:t>եւ</w:t>
      </w:r>
      <w:r w:rsidRPr="00825EEB">
        <w:t xml:space="preserve"> ամբողջովին հալվելը </w:t>
      </w:r>
      <w:r>
        <w:t>եւ</w:t>
      </w:r>
      <w:r w:rsidRPr="00825EEB">
        <w:t xml:space="preserve"> հովացնում</w:t>
      </w:r>
      <w:r w:rsidR="00D910A0" w:rsidRPr="00D910A0">
        <w:t> </w:t>
      </w:r>
      <w:r w:rsidRPr="00825EEB">
        <w:t xml:space="preserve">են: Ավելացնում են </w:t>
      </w:r>
      <w:r w:rsidRPr="00825EEB">
        <w:rPr>
          <w:i/>
        </w:rPr>
        <w:t>Ռ նոսրացված ծծմբաթթվի</w:t>
      </w:r>
      <w:r w:rsidRPr="00825EEB">
        <w:t xml:space="preserve"> 20 մլ, զգուշորեն տաքացնում են </w:t>
      </w:r>
      <w:r>
        <w:t>եւ</w:t>
      </w:r>
      <w:r w:rsidRPr="00825EEB">
        <w:t xml:space="preserve"> զտում: Ստացված զտվածքին ավելացնում են </w:t>
      </w:r>
      <w:r w:rsidRPr="00825EEB">
        <w:rPr>
          <w:i/>
        </w:rPr>
        <w:t>Ռ ֆոսֆորաթթվի</w:t>
      </w:r>
      <w:r w:rsidRPr="00825EEB">
        <w:t xml:space="preserve"> 1</w:t>
      </w:r>
      <w:r w:rsidR="00D910A0" w:rsidRPr="00D910A0">
        <w:t> </w:t>
      </w:r>
      <w:r w:rsidRPr="00825EEB">
        <w:t xml:space="preserve">մլ </w:t>
      </w:r>
      <w:r>
        <w:t>եւ</w:t>
      </w:r>
      <w:r w:rsidRPr="00825EEB">
        <w:t xml:space="preserve"> </w:t>
      </w:r>
      <w:r w:rsidRPr="00825EEB">
        <w:rPr>
          <w:i/>
        </w:rPr>
        <w:t>Ռ կոնցենտրացված ջրածնի պերօքսիդի լուծույթի</w:t>
      </w:r>
      <w:r w:rsidRPr="00825EEB">
        <w:t xml:space="preserve"> 1 մլ. եթե փորձարկվող նմուշը պարունակում է տիտանի դիօքսիդ, ապա պետք է նկատվի նարնջագույն-դեղին գունավորում:</w:t>
      </w:r>
    </w:p>
    <w:p w14:paraId="0AE53F23" w14:textId="77777777" w:rsidR="0058052E" w:rsidRPr="00825EEB" w:rsidRDefault="0058052E" w:rsidP="0058052E">
      <w:pPr>
        <w:spacing w:after="160" w:line="360" w:lineRule="auto"/>
        <w:ind w:firstLine="567"/>
        <w:jc w:val="both"/>
        <w:rPr>
          <w:i/>
          <w:iCs/>
        </w:rPr>
      </w:pPr>
    </w:p>
    <w:p w14:paraId="17B3EAF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6C4B04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15057B8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sz w:val="24"/>
          <w:szCs w:val="24"/>
        </w:rPr>
        <w:t xml:space="preserve">Նյութի փորձարկվող նմուշի 25 գ տեղադրում են կիպահղկած խցանով բորասիլիկատային ապակուց փորձանոթի մեջ: Ավելացնում են 500 մլ </w:t>
      </w:r>
      <w:r w:rsidRPr="00825EEB">
        <w:rPr>
          <w:rFonts w:ascii="Sylfaen" w:hAnsi="Sylfaen"/>
          <w:i/>
          <w:sz w:val="24"/>
          <w:szCs w:val="24"/>
        </w:rPr>
        <w:t>Ռ</w:t>
      </w:r>
      <w:r w:rsidR="00D910A0" w:rsidRPr="00D910A0">
        <w:rPr>
          <w:rFonts w:ascii="Sylfaen" w:hAnsi="Sylfaen"/>
          <w:i/>
          <w:sz w:val="24"/>
          <w:szCs w:val="24"/>
        </w:rPr>
        <w:t> </w:t>
      </w:r>
      <w:r w:rsidRPr="00825EEB">
        <w:rPr>
          <w:rFonts w:ascii="Sylfaen" w:hAnsi="Sylfaen"/>
          <w:i/>
          <w:sz w:val="24"/>
          <w:szCs w:val="24"/>
        </w:rPr>
        <w:t>ջուր</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5 ժամ եռացնում հակադարձ սառնարանով: Լուծույթը հովացնում </w:t>
      </w:r>
      <w:r>
        <w:rPr>
          <w:rFonts w:ascii="Sylfaen" w:hAnsi="Sylfaen"/>
          <w:sz w:val="24"/>
          <w:szCs w:val="24"/>
        </w:rPr>
        <w:t>եւ</w:t>
      </w:r>
      <w:r w:rsidRPr="00825EEB">
        <w:rPr>
          <w:rFonts w:ascii="Sylfaen" w:hAnsi="Sylfaen"/>
          <w:sz w:val="24"/>
          <w:szCs w:val="24"/>
        </w:rPr>
        <w:t xml:space="preserve"> պարզվածքազատում են: Լուծույթի մի մասը պահում են թափանցիկության </w:t>
      </w:r>
      <w:r>
        <w:rPr>
          <w:rFonts w:ascii="Sylfaen" w:hAnsi="Sylfaen"/>
          <w:sz w:val="24"/>
          <w:szCs w:val="24"/>
        </w:rPr>
        <w:t>եւ</w:t>
      </w:r>
      <w:r w:rsidRPr="00825EEB">
        <w:rPr>
          <w:rFonts w:ascii="Sylfaen" w:hAnsi="Sylfaen"/>
          <w:sz w:val="24"/>
          <w:szCs w:val="24"/>
        </w:rPr>
        <w:t xml:space="preserve"> գունայնության փորձարկում անցկացնելու համար: Մնացած լուծույթը զտում են ապակյա զտիչով (16) (</w:t>
      </w:r>
      <w:r w:rsidRPr="00825EEB">
        <w:rPr>
          <w:rFonts w:ascii="Sylfaen" w:hAnsi="Sylfaen"/>
          <w:i/>
          <w:sz w:val="24"/>
          <w:szCs w:val="24"/>
        </w:rPr>
        <w:t>2.1.1.2</w:t>
      </w:r>
      <w:r w:rsidRPr="00825EEB">
        <w:rPr>
          <w:rFonts w:ascii="Sylfaen" w:hAnsi="Sylfaen"/>
          <w:sz w:val="24"/>
          <w:szCs w:val="24"/>
        </w:rPr>
        <w:t>)։ Լուծույթն օգտագործվում է պատրաստելուց հետո 4</w:t>
      </w:r>
      <w:r w:rsidR="00D910A0" w:rsidRPr="00A859E3">
        <w:rPr>
          <w:rFonts w:ascii="Sylfaen" w:hAnsi="Sylfaen"/>
          <w:sz w:val="24"/>
          <w:szCs w:val="24"/>
        </w:rPr>
        <w:t> </w:t>
      </w:r>
      <w:r w:rsidRPr="00825EEB">
        <w:rPr>
          <w:rFonts w:ascii="Sylfaen" w:hAnsi="Sylfaen"/>
          <w:sz w:val="24"/>
          <w:szCs w:val="24"/>
        </w:rPr>
        <w:t>ժամվա ընթացքում:</w:t>
      </w:r>
    </w:p>
    <w:p w14:paraId="0E60D89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Նյութի փորձարկվող նմուշի 2,0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Ռ տոլուոլի</w:t>
      </w:r>
      <w:r w:rsidRPr="00825EEB">
        <w:rPr>
          <w:rFonts w:ascii="Sylfaen" w:hAnsi="Sylfaen"/>
          <w:sz w:val="24"/>
          <w:szCs w:val="24"/>
        </w:rPr>
        <w:t xml:space="preserve"> 80 մլ </w:t>
      </w:r>
      <w:r>
        <w:rPr>
          <w:rFonts w:ascii="Sylfaen" w:hAnsi="Sylfaen"/>
          <w:sz w:val="24"/>
          <w:szCs w:val="24"/>
        </w:rPr>
        <w:t>եւ</w:t>
      </w:r>
      <w:r w:rsidRPr="00825EEB">
        <w:rPr>
          <w:rFonts w:ascii="Sylfaen" w:hAnsi="Sylfaen"/>
          <w:sz w:val="24"/>
          <w:szCs w:val="24"/>
        </w:rPr>
        <w:t xml:space="preserve"> 1 ժամ 30 րոպե եռացնում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60 °C"/>
        </w:smartTagPr>
        <w:r w:rsidRPr="00825EEB">
          <w:rPr>
            <w:rFonts w:ascii="Sylfaen" w:hAnsi="Sylfaen"/>
            <w:sz w:val="24"/>
            <w:szCs w:val="24"/>
          </w:rPr>
          <w:t>60 °C</w:t>
        </w:r>
      </w:smartTag>
      <w:r w:rsidRPr="00825EEB">
        <w:rPr>
          <w:rFonts w:ascii="Sylfaen" w:hAnsi="Sylfaen"/>
          <w:sz w:val="24"/>
          <w:szCs w:val="24"/>
        </w:rPr>
        <w:t xml:space="preserve"> ջերմաստիճանը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 մեթանոլի</w:t>
      </w:r>
      <w:r w:rsidRPr="00825EEB">
        <w:rPr>
          <w:rFonts w:ascii="Sylfaen" w:hAnsi="Sylfaen"/>
          <w:sz w:val="24"/>
          <w:szCs w:val="24"/>
        </w:rPr>
        <w:t xml:space="preserve"> 120 մլ՝ անդադար խառնելով: Լուծույթը զտում են ապակյա զտիչով (16) </w:t>
      </w:r>
      <w:r w:rsidRPr="00825EEB">
        <w:rPr>
          <w:rFonts w:ascii="Sylfaen" w:hAnsi="Sylfaen"/>
          <w:sz w:val="24"/>
          <w:szCs w:val="24"/>
        </w:rPr>
        <w:lastRenderedPageBreak/>
        <w:t>(</w:t>
      </w:r>
      <w:r w:rsidRPr="00825EEB">
        <w:rPr>
          <w:rFonts w:ascii="Sylfaen" w:hAnsi="Sylfaen"/>
          <w:i/>
          <w:sz w:val="24"/>
          <w:szCs w:val="24"/>
        </w:rPr>
        <w:t>2.1.1.2</w:t>
      </w:r>
      <w:r w:rsidRPr="00825EEB">
        <w:rPr>
          <w:rFonts w:ascii="Sylfaen" w:hAnsi="Sylfaen"/>
          <w:sz w:val="24"/>
          <w:szCs w:val="24"/>
        </w:rPr>
        <w:t xml:space="preserve">)։ Փորձանոթն ու զտիչը լվանում են </w:t>
      </w:r>
      <w:r w:rsidRPr="00825EEB">
        <w:rPr>
          <w:rFonts w:ascii="Sylfaen" w:hAnsi="Sylfaen"/>
          <w:i/>
          <w:sz w:val="24"/>
          <w:szCs w:val="24"/>
        </w:rPr>
        <w:t>Ռ տոլուոլի – Ռ մեթանոլի</w:t>
      </w:r>
      <w:r w:rsidRPr="00825EEB">
        <w:rPr>
          <w:rFonts w:ascii="Sylfaen" w:hAnsi="Sylfaen"/>
          <w:sz w:val="24"/>
          <w:szCs w:val="24"/>
        </w:rPr>
        <w:t xml:space="preserve"> խառնուրդի 25 մլ-ով (40:60 </w:t>
      </w:r>
      <w:r w:rsidRPr="00825EEB">
        <w:rPr>
          <w:rFonts w:ascii="Sylfaen" w:hAnsi="Sylfaen"/>
          <w:i/>
          <w:sz w:val="24"/>
          <w:szCs w:val="24"/>
        </w:rPr>
        <w:t>ծավ/ծավ</w:t>
      </w:r>
      <w:r w:rsidRPr="00825EEB">
        <w:rPr>
          <w:rFonts w:ascii="Sylfaen" w:hAnsi="Sylfaen"/>
          <w:sz w:val="24"/>
          <w:szCs w:val="24"/>
        </w:rPr>
        <w:t xml:space="preserve">), ողողվածքն ավելացնում են զտվածքին </w:t>
      </w:r>
      <w:r>
        <w:rPr>
          <w:rFonts w:ascii="Sylfaen" w:hAnsi="Sylfaen"/>
          <w:sz w:val="24"/>
          <w:szCs w:val="24"/>
        </w:rPr>
        <w:t>եւ</w:t>
      </w:r>
      <w:r w:rsidRPr="00825EEB">
        <w:rPr>
          <w:rFonts w:ascii="Sylfaen" w:hAnsi="Sylfaen"/>
          <w:sz w:val="24"/>
          <w:szCs w:val="24"/>
        </w:rPr>
        <w:t xml:space="preserve"> լուծիչների նույն խառնուրդով հասցնում են մինչեւ 250,0 մլ ծավալը: Նա</w:t>
      </w:r>
      <w:r>
        <w:rPr>
          <w:rFonts w:ascii="Sylfaen" w:hAnsi="Sylfaen"/>
          <w:sz w:val="24"/>
          <w:szCs w:val="24"/>
        </w:rPr>
        <w:t>եւ</w:t>
      </w:r>
      <w:r w:rsidRPr="00825EEB">
        <w:rPr>
          <w:rFonts w:ascii="Sylfaen" w:hAnsi="Sylfaen"/>
          <w:sz w:val="24"/>
          <w:szCs w:val="24"/>
        </w:rPr>
        <w:t xml:space="preserve"> պատրաստում են Տ2 ստուգիչ լուծույթը:</w:t>
      </w:r>
    </w:p>
    <w:p w14:paraId="3460E31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Տ3 լուծույթը։ </w:t>
      </w:r>
      <w:r w:rsidRPr="00825EEB">
        <w:rPr>
          <w:rFonts w:ascii="Sylfaen" w:hAnsi="Sylfaen"/>
          <w:sz w:val="24"/>
          <w:szCs w:val="24"/>
        </w:rPr>
        <w:t>Նյութի փորձարկվող նմուշի 100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0,1 Մ քլորաջրածնային թթվի</w:t>
      </w:r>
      <w:r w:rsidRPr="00825EEB">
        <w:rPr>
          <w:rFonts w:ascii="Sylfaen" w:hAnsi="Sylfaen"/>
          <w:sz w:val="24"/>
          <w:szCs w:val="24"/>
        </w:rPr>
        <w:t xml:space="preserve"> 250 մլ </w:t>
      </w:r>
      <w:r>
        <w:rPr>
          <w:rFonts w:ascii="Sylfaen" w:hAnsi="Sylfaen"/>
          <w:sz w:val="24"/>
          <w:szCs w:val="24"/>
        </w:rPr>
        <w:t>եւ</w:t>
      </w:r>
      <w:r w:rsidRPr="00825EEB">
        <w:rPr>
          <w:rFonts w:ascii="Sylfaen" w:hAnsi="Sylfaen"/>
          <w:sz w:val="24"/>
          <w:szCs w:val="24"/>
        </w:rPr>
        <w:t xml:space="preserve"> 1 ժամ եռացնում հակադարձ սառնարանով՝ անդադար խառնելով: Լուծույթը հովացնում </w:t>
      </w:r>
      <w:r>
        <w:rPr>
          <w:rFonts w:ascii="Sylfaen" w:hAnsi="Sylfaen"/>
          <w:sz w:val="24"/>
          <w:szCs w:val="24"/>
        </w:rPr>
        <w:t>եւ</w:t>
      </w:r>
      <w:r w:rsidRPr="00825EEB">
        <w:rPr>
          <w:rFonts w:ascii="Sylfaen" w:hAnsi="Sylfaen"/>
          <w:sz w:val="24"/>
          <w:szCs w:val="24"/>
        </w:rPr>
        <w:t xml:space="preserve"> պարզվածքազատում են:</w:t>
      </w:r>
    </w:p>
    <w:p w14:paraId="03F45D2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լուծույթը պետք է թափանցիկ լինի։</w:t>
      </w:r>
    </w:p>
    <w:p w14:paraId="50A616F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Տ1 լուծույթը պետք է լինի անգույն:</w:t>
      </w:r>
    </w:p>
    <w:p w14:paraId="0ECC5A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35119C">
        <w:rPr>
          <w:rFonts w:ascii="Sylfaen" w:hAnsi="Sylfaen"/>
          <w:b/>
          <w:spacing w:val="4"/>
          <w:sz w:val="24"/>
          <w:szCs w:val="24"/>
        </w:rPr>
        <w:t xml:space="preserve">Թթվայնությունը եւ ալկալիականությունը։ </w:t>
      </w:r>
      <w:r w:rsidRPr="0035119C">
        <w:rPr>
          <w:rFonts w:ascii="Sylfaen" w:hAnsi="Sylfaen"/>
          <w:spacing w:val="4"/>
          <w:sz w:val="24"/>
          <w:szCs w:val="24"/>
        </w:rPr>
        <w:t>Տ1 լուծույթի 100 մլ-ին ավելացնում են</w:t>
      </w:r>
      <w:r w:rsidRPr="00825EEB">
        <w:rPr>
          <w:rFonts w:ascii="Sylfaen" w:hAnsi="Sylfaen"/>
          <w:sz w:val="24"/>
          <w:szCs w:val="24"/>
        </w:rPr>
        <w:t xml:space="preserve"> </w:t>
      </w:r>
      <w:r w:rsidRPr="00825EEB">
        <w:rPr>
          <w:rFonts w:ascii="Sylfaen" w:hAnsi="Sylfaen"/>
          <w:i/>
          <w:sz w:val="24"/>
          <w:szCs w:val="24"/>
        </w:rPr>
        <w:t xml:space="preserve">Ռ ցուցիչի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Ցուցիչի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0,01 Մ նատրիումի հիդրօքսիդի լուծույթի</w:t>
      </w:r>
      <w:r w:rsidRPr="00825EEB">
        <w:rPr>
          <w:rFonts w:ascii="Sylfaen" w:hAnsi="Sylfaen"/>
          <w:sz w:val="24"/>
          <w:szCs w:val="24"/>
        </w:rPr>
        <w:t xml:space="preserve"> ոչ ավելի, քան 1,5 մլ ավելացնելիս:</w:t>
      </w:r>
      <w:r w:rsidRPr="00825EEB">
        <w:rPr>
          <w:rFonts w:ascii="Sylfaen" w:hAnsi="Sylfaen"/>
          <w:i/>
          <w:sz w:val="24"/>
          <w:szCs w:val="24"/>
        </w:rPr>
        <w:t xml:space="preserve"> </w:t>
      </w:r>
      <w:r w:rsidRPr="00825EEB">
        <w:rPr>
          <w:rFonts w:ascii="Sylfaen" w:hAnsi="Sylfaen"/>
          <w:sz w:val="24"/>
          <w:szCs w:val="24"/>
        </w:rPr>
        <w:t xml:space="preserve">Տ1 լուծույթի 100 մլ-ին ավելացնում են </w:t>
      </w:r>
      <w:r w:rsidRPr="00825EEB">
        <w:rPr>
          <w:rFonts w:ascii="Sylfaen" w:hAnsi="Sylfaen"/>
          <w:i/>
          <w:sz w:val="24"/>
          <w:szCs w:val="24"/>
        </w:rPr>
        <w:t>Ռ մեթիլ նարնջագույնի լուծույթի</w:t>
      </w:r>
      <w:r w:rsidRPr="00825EEB">
        <w:rPr>
          <w:rFonts w:ascii="Sylfaen" w:hAnsi="Sylfaen"/>
          <w:sz w:val="24"/>
          <w:szCs w:val="24"/>
        </w:rPr>
        <w:t xml:space="preserve"> 0,2 մլ, </w:t>
      </w:r>
      <w:r w:rsidRPr="00825EEB">
        <w:rPr>
          <w:rFonts w:ascii="Sylfaen" w:hAnsi="Sylfaen"/>
          <w:i/>
          <w:sz w:val="24"/>
          <w:szCs w:val="24"/>
        </w:rPr>
        <w:t>0,01 Մ քլորաջրածնային թթվի</w:t>
      </w:r>
      <w:r w:rsidRPr="00825EEB">
        <w:rPr>
          <w:rFonts w:ascii="Sylfaen" w:hAnsi="Sylfaen"/>
          <w:sz w:val="24"/>
          <w:szCs w:val="24"/>
        </w:rPr>
        <w:t xml:space="preserve"> 1,0 մլ-ից ոչ ավելին պետք է ծախսվի մինչ</w:t>
      </w:r>
      <w:r>
        <w:rPr>
          <w:rFonts w:ascii="Sylfaen" w:hAnsi="Sylfaen"/>
          <w:sz w:val="24"/>
          <w:szCs w:val="24"/>
        </w:rPr>
        <w:t>եւ</w:t>
      </w:r>
      <w:r w:rsidRPr="00825EEB">
        <w:rPr>
          <w:rFonts w:ascii="Sylfaen" w:hAnsi="Sylfaen"/>
          <w:sz w:val="24"/>
          <w:szCs w:val="24"/>
        </w:rPr>
        <w:t xml:space="preserve"> լուծույթի գունավորման դեղինից նարնջագույնն անցնելու պահը:</w:t>
      </w:r>
    </w:p>
    <w:p w14:paraId="50A76768" w14:textId="77777777" w:rsidR="0058052E" w:rsidRPr="00825EEB" w:rsidRDefault="0058052E" w:rsidP="0058052E">
      <w:pPr>
        <w:spacing w:after="160" w:line="360" w:lineRule="auto"/>
        <w:ind w:firstLine="567"/>
        <w:jc w:val="both"/>
      </w:pPr>
      <w:r w:rsidRPr="00825EEB">
        <w:rPr>
          <w:b/>
        </w:rPr>
        <w:t>Կլանումը / Օպտիկական խտությունը</w:t>
      </w:r>
      <w:r w:rsidRPr="00825EEB">
        <w:t xml:space="preserve"> (</w:t>
      </w:r>
      <w:r w:rsidRPr="00825EEB">
        <w:rPr>
          <w:i/>
        </w:rPr>
        <w:t>2.1.2.24</w:t>
      </w:r>
      <w:r w:rsidRPr="00825EEB">
        <w:t>)։ S1 լուծույթի օպտիկական խտությունն ալիքի 220 նմ-ից մինչ</w:t>
      </w:r>
      <w:r>
        <w:t>եւ</w:t>
      </w:r>
      <w:r w:rsidRPr="00825EEB">
        <w:t xml:space="preserve"> 340 նմ երկարության հատվածում չպետք է գերազանցի 0,2-ը:</w:t>
      </w:r>
    </w:p>
    <w:p w14:paraId="4136F3F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Վերականգնող նյութերը</w:t>
      </w:r>
      <w:r w:rsidRPr="00825EEB">
        <w:rPr>
          <w:rFonts w:ascii="Sylfaen" w:hAnsi="Sylfaen"/>
          <w:sz w:val="24"/>
          <w:szCs w:val="24"/>
        </w:rPr>
        <w:t xml:space="preserve">։ Տ1 լուծույթի 20 մլ-ին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0,002 Մ կալիումի պերմանգանատի լուծույթի</w:t>
      </w:r>
      <w:r w:rsidRPr="00825EEB">
        <w:rPr>
          <w:rFonts w:ascii="Sylfaen" w:hAnsi="Sylfaen"/>
          <w:sz w:val="24"/>
          <w:szCs w:val="24"/>
        </w:rPr>
        <w:t xml:space="preserve"> 20 մլ: 3 րոպե եռացնում են հակադարձ սառնարանով </w:t>
      </w:r>
      <w:r>
        <w:rPr>
          <w:rFonts w:ascii="Sylfaen" w:hAnsi="Sylfaen"/>
          <w:sz w:val="24"/>
          <w:szCs w:val="24"/>
        </w:rPr>
        <w:t>եւ</w:t>
      </w:r>
      <w:r w:rsidRPr="00825EEB">
        <w:rPr>
          <w:rFonts w:ascii="Sylfaen" w:hAnsi="Sylfaen"/>
          <w:sz w:val="24"/>
          <w:szCs w:val="24"/>
        </w:rPr>
        <w:t xml:space="preserve"> իսկույն հովացնում: Ավելացնում են </w:t>
      </w:r>
      <w:r w:rsidRPr="00825EEB">
        <w:rPr>
          <w:rFonts w:ascii="Sylfaen" w:hAnsi="Sylfaen"/>
          <w:i/>
          <w:sz w:val="24"/>
          <w:szCs w:val="24"/>
        </w:rPr>
        <w:t>Ռ</w:t>
      </w:r>
      <w:r w:rsidR="0035119C" w:rsidRPr="0035119C">
        <w:rPr>
          <w:rFonts w:ascii="Sylfaen" w:hAnsi="Sylfaen"/>
          <w:i/>
          <w:sz w:val="24"/>
          <w:szCs w:val="24"/>
        </w:rPr>
        <w:t> </w:t>
      </w:r>
      <w:r w:rsidRPr="00825EEB">
        <w:rPr>
          <w:rFonts w:ascii="Sylfaen" w:hAnsi="Sylfaen"/>
          <w:i/>
          <w:sz w:val="24"/>
          <w:szCs w:val="24"/>
        </w:rPr>
        <w:t>կալիումի յոդիդի</w:t>
      </w:r>
      <w:r w:rsidRPr="00825EEB">
        <w:rPr>
          <w:rFonts w:ascii="Sylfaen" w:hAnsi="Sylfaen"/>
          <w:sz w:val="24"/>
          <w:szCs w:val="24"/>
        </w:rPr>
        <w:t xml:space="preserve"> 1 գ </w:t>
      </w:r>
      <w:r>
        <w:rPr>
          <w:rFonts w:ascii="Sylfaen" w:hAnsi="Sylfaen"/>
          <w:sz w:val="24"/>
          <w:szCs w:val="24"/>
        </w:rPr>
        <w:t>եւ</w:t>
      </w:r>
      <w:r w:rsidRPr="00825EEB">
        <w:rPr>
          <w:rFonts w:ascii="Sylfaen" w:hAnsi="Sylfaen"/>
          <w:sz w:val="24"/>
          <w:szCs w:val="24"/>
        </w:rPr>
        <w:t xml:space="preserve"> անմիջապես տիտրում </w:t>
      </w:r>
      <w:r w:rsidRPr="00825EEB">
        <w:rPr>
          <w:rFonts w:ascii="Sylfaen" w:hAnsi="Sylfaen"/>
          <w:i/>
          <w:sz w:val="24"/>
          <w:szCs w:val="24"/>
        </w:rPr>
        <w:t>0,01 Մ նատրիումի 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անցկացնում են ստուգիչ փորձարկումը։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0,5 մլ-ը:</w:t>
      </w:r>
    </w:p>
    <w:p w14:paraId="74396BB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Ալյումին։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59E665C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76DA9D5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ալյումինի իոնների ստանդարտ լուծույթը</w:t>
      </w:r>
      <w:r w:rsidRPr="00825EEB">
        <w:rPr>
          <w:rFonts w:ascii="Sylfaen" w:hAnsi="Sylfaen"/>
          <w:sz w:val="24"/>
          <w:szCs w:val="24"/>
        </w:rPr>
        <w:t xml:space="preserve"> (</w:t>
      </w:r>
      <w:r w:rsidRPr="00825EEB">
        <w:rPr>
          <w:rFonts w:ascii="Sylfaen" w:hAnsi="Sylfaen"/>
          <w:i/>
          <w:sz w:val="24"/>
          <w:szCs w:val="24"/>
        </w:rPr>
        <w:t>200 ppm Al</w:t>
      </w:r>
      <w:r w:rsidRPr="00825EEB">
        <w:rPr>
          <w:rFonts w:ascii="Sylfaen" w:hAnsi="Sylfaen"/>
          <w:i/>
          <w:sz w:val="24"/>
          <w:szCs w:val="24"/>
          <w:vertAlign w:val="superscript"/>
        </w:rPr>
        <w:t>3+</w:t>
      </w:r>
      <w:r w:rsidRPr="00825EEB">
        <w:rPr>
          <w:rFonts w:ascii="Sylfaen" w:hAnsi="Sylfaen"/>
          <w:sz w:val="24"/>
          <w:szCs w:val="24"/>
        </w:rPr>
        <w:t xml:space="preserve">) </w:t>
      </w:r>
      <w:r w:rsidRPr="00825EEB">
        <w:rPr>
          <w:rFonts w:ascii="Sylfaen" w:hAnsi="Sylfaen"/>
          <w:i/>
          <w:sz w:val="24"/>
          <w:szCs w:val="24"/>
        </w:rPr>
        <w:t>0,1 Մ քլորաջրածնային թթվով</w:t>
      </w:r>
      <w:r w:rsidRPr="00825EEB">
        <w:rPr>
          <w:rFonts w:ascii="Sylfaen" w:hAnsi="Sylfaen"/>
          <w:sz w:val="24"/>
          <w:szCs w:val="24"/>
        </w:rPr>
        <w:t xml:space="preserve"> նոսրացնելով:</w:t>
      </w:r>
    </w:p>
    <w:p w14:paraId="3BD1FE1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ալյումինի էմիսիայի ինտենսիվությունն ալիքի 396,15 նմ երկարությամբ՝ կատարելով սպեկտրալ ֆոնի շտկում ալիքի 396,25 նմ երկարությամբ:</w:t>
      </w:r>
    </w:p>
    <w:p w14:paraId="020DDEA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ալյումինի բացակայությունը:</w:t>
      </w:r>
    </w:p>
    <w:p w14:paraId="692255EC" w14:textId="77777777" w:rsidR="0058052E" w:rsidRPr="0035119C" w:rsidRDefault="0058052E" w:rsidP="0058052E">
      <w:pPr>
        <w:pStyle w:val="a0"/>
        <w:shd w:val="clear" w:color="auto" w:fill="auto"/>
        <w:spacing w:after="160" w:line="360" w:lineRule="auto"/>
        <w:ind w:firstLine="567"/>
        <w:jc w:val="both"/>
        <w:rPr>
          <w:rFonts w:ascii="Sylfaen" w:hAnsi="Sylfaen" w:cs="Sylfaen"/>
          <w:i/>
          <w:sz w:val="24"/>
          <w:szCs w:val="24"/>
        </w:rPr>
      </w:pPr>
      <w:r w:rsidRPr="00825EEB">
        <w:rPr>
          <w:rFonts w:ascii="Sylfaen" w:hAnsi="Sylfaen"/>
          <w:b/>
          <w:sz w:val="24"/>
          <w:szCs w:val="24"/>
        </w:rPr>
        <w:t xml:space="preserve">Վանադիում։ </w:t>
      </w:r>
      <w:r w:rsidRPr="00825EEB">
        <w:rPr>
          <w:rFonts w:ascii="Sylfaen" w:hAnsi="Sylfaen"/>
          <w:sz w:val="24"/>
          <w:szCs w:val="24"/>
        </w:rPr>
        <w:t xml:space="preserve">0,1 ppm-ից ոչ ավելի։ Որոշումն անցկացնում են ատոմային էմիսիոն սպեկտրաչափության մեթոդով՝ ինդուկտիվ կապված պլազմայով </w:t>
      </w:r>
      <w:r w:rsidRPr="0035119C">
        <w:rPr>
          <w:rFonts w:ascii="Sylfaen" w:hAnsi="Sylfaen"/>
          <w:i/>
          <w:sz w:val="24"/>
          <w:szCs w:val="24"/>
        </w:rPr>
        <w:t>(2.1.2.41)։</w:t>
      </w:r>
    </w:p>
    <w:p w14:paraId="6547289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75EDCC6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վանադիումի ստանդարտ լուծույթը</w:t>
      </w:r>
      <w:r w:rsidRPr="00825EEB">
        <w:rPr>
          <w:rFonts w:ascii="Sylfaen" w:hAnsi="Sylfaen"/>
          <w:sz w:val="24"/>
          <w:szCs w:val="24"/>
        </w:rPr>
        <w:t xml:space="preserve"> (</w:t>
      </w:r>
      <w:r w:rsidRPr="00825EEB">
        <w:rPr>
          <w:rFonts w:ascii="Sylfaen" w:hAnsi="Sylfaen"/>
          <w:i/>
          <w:sz w:val="24"/>
          <w:szCs w:val="24"/>
        </w:rPr>
        <w:t>1 գ/լ V</w:t>
      </w:r>
      <w:r w:rsidRPr="00825EEB">
        <w:rPr>
          <w:rFonts w:ascii="Sylfaen" w:hAnsi="Sylfaen"/>
          <w:i/>
          <w:sz w:val="24"/>
          <w:szCs w:val="24"/>
          <w:vertAlign w:val="superscript"/>
        </w:rPr>
        <w:t>+5</w:t>
      </w:r>
      <w:r w:rsidRPr="00825EEB">
        <w:rPr>
          <w:rFonts w:ascii="Sylfaen" w:hAnsi="Sylfaen"/>
          <w:sz w:val="24"/>
          <w:szCs w:val="24"/>
        </w:rPr>
        <w:t xml:space="preserve">) </w:t>
      </w:r>
      <w:r w:rsidRPr="00825EEB">
        <w:rPr>
          <w:rFonts w:ascii="Sylfaen" w:hAnsi="Sylfaen"/>
          <w:i/>
          <w:sz w:val="24"/>
          <w:szCs w:val="24"/>
        </w:rPr>
        <w:t xml:space="preserve">Ռ քլորաջրածնային թթու </w:t>
      </w:r>
      <w:r w:rsidR="0035119C" w:rsidRPr="0035119C">
        <w:rPr>
          <w:rFonts w:ascii="Sylfaen" w:hAnsi="Sylfaen"/>
          <w:i/>
          <w:sz w:val="24"/>
          <w:szCs w:val="24"/>
        </w:rPr>
        <w:t>-</w:t>
      </w:r>
      <w:r w:rsidRPr="00825EEB">
        <w:rPr>
          <w:rFonts w:ascii="Sylfaen" w:hAnsi="Sylfaen"/>
          <w:i/>
          <w:sz w:val="24"/>
          <w:szCs w:val="24"/>
        </w:rPr>
        <w:t xml:space="preserve"> Ռ ջուր</w:t>
      </w:r>
      <w:r w:rsidRPr="00825EEB">
        <w:rPr>
          <w:rFonts w:ascii="Sylfaen" w:hAnsi="Sylfaen"/>
          <w:sz w:val="24"/>
          <w:szCs w:val="24"/>
        </w:rPr>
        <w:t xml:space="preserve"> (2:8 </w:t>
      </w:r>
      <w:r w:rsidRPr="00825EEB">
        <w:rPr>
          <w:rFonts w:ascii="Sylfaen" w:hAnsi="Sylfaen"/>
          <w:i/>
          <w:sz w:val="24"/>
          <w:szCs w:val="24"/>
        </w:rPr>
        <w:t>ծավ/ծավ</w:t>
      </w:r>
      <w:r w:rsidRPr="00825EEB">
        <w:rPr>
          <w:rFonts w:ascii="Sylfaen" w:hAnsi="Sylfaen"/>
          <w:sz w:val="24"/>
          <w:szCs w:val="24"/>
        </w:rPr>
        <w:t>) խառնուրդով նոսրացնելով:</w:t>
      </w:r>
    </w:p>
    <w:p w14:paraId="3EC75C3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վանադիումի էմիսիայի ինտենսիվությունն ալիքի 292,40 նմ երկարությամբ՝ կատարելով սպեկտրալ ֆոնի շտկում ալիքի 292,35 նմ երկարությամբ:</w:t>
      </w:r>
    </w:p>
    <w:p w14:paraId="0128967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վանադիումի բացակայությունը:</w:t>
      </w:r>
    </w:p>
    <w:p w14:paraId="0D207AA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Տիտան</w:t>
      </w:r>
      <w:r w:rsidRPr="00825EEB">
        <w:rPr>
          <w:rFonts w:ascii="Sylfaen" w:hAnsi="Sylfaen"/>
          <w:sz w:val="24"/>
          <w:szCs w:val="24"/>
        </w:rPr>
        <w:t xml:space="preserve">։ </w:t>
      </w:r>
      <w:r w:rsidRPr="00825EEB">
        <w:rPr>
          <w:rFonts w:ascii="Sylfaen" w:hAnsi="Sylfaen"/>
          <w:i/>
          <w:sz w:val="24"/>
          <w:szCs w:val="24"/>
        </w:rPr>
        <w:t>(ոչ տիտանի դիօքսիդից մաքրված նյութերի համար):</w:t>
      </w:r>
      <w:r w:rsidRPr="00825EEB">
        <w:rPr>
          <w:rFonts w:ascii="Sylfaen" w:hAnsi="Sylfaen"/>
          <w:sz w:val="24"/>
          <w:szCs w:val="24"/>
        </w:rPr>
        <w:t xml:space="preserve"> 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320EB1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78AE67D6" w14:textId="77777777" w:rsidR="0058052E" w:rsidRPr="00825EEB" w:rsidRDefault="0058052E" w:rsidP="0058052E">
      <w:pPr>
        <w:spacing w:after="160" w:line="360" w:lineRule="auto"/>
        <w:ind w:firstLine="567"/>
        <w:jc w:val="both"/>
      </w:pPr>
      <w:r w:rsidRPr="00825EEB">
        <w:rPr>
          <w:i/>
        </w:rPr>
        <w:lastRenderedPageBreak/>
        <w:t>Համեմատության լուծույթները։</w:t>
      </w:r>
      <w:r w:rsidRPr="00825EEB">
        <w:t xml:space="preserve"> Պատրաստում են </w:t>
      </w:r>
      <w:r w:rsidRPr="00825EEB">
        <w:rPr>
          <w:i/>
        </w:rPr>
        <w:t>Ռ տիտանի իոնների ստանդարտ լուծույթը</w:t>
      </w:r>
      <w:r w:rsidRPr="00825EEB">
        <w:t xml:space="preserve"> (</w:t>
      </w:r>
      <w:r w:rsidRPr="00825EEB">
        <w:rPr>
          <w:i/>
        </w:rPr>
        <w:t>100 ppm Ti</w:t>
      </w:r>
      <w:r w:rsidRPr="00825EEB">
        <w:rPr>
          <w:i/>
          <w:vertAlign w:val="superscript"/>
        </w:rPr>
        <w:t>3+</w:t>
      </w:r>
      <w:r w:rsidRPr="00825EEB">
        <w:t xml:space="preserve">) </w:t>
      </w:r>
      <w:r w:rsidRPr="00825EEB">
        <w:rPr>
          <w:i/>
        </w:rPr>
        <w:t>0,1 Մ քլորաջրածնային թթվով</w:t>
      </w:r>
      <w:r w:rsidRPr="00825EEB">
        <w:t xml:space="preserve"> նոսրացնելով:</w:t>
      </w:r>
    </w:p>
    <w:p w14:paraId="55D2765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տիտանի էմիսիայի ինտենսիվությունն ալիքի 336,12 նմ երկարությամբ՝ կատարելով սպեկտրալ ֆոնի շտկում ալիքի 336,16 նմ երկարությամբ:</w:t>
      </w:r>
    </w:p>
    <w:p w14:paraId="0611BD2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տիտանի բացակայությունը:</w:t>
      </w:r>
    </w:p>
    <w:p w14:paraId="7192055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Քրոմ։ </w:t>
      </w:r>
      <w:r w:rsidRPr="00825EEB">
        <w:rPr>
          <w:rFonts w:ascii="Sylfaen" w:hAnsi="Sylfaen"/>
          <w:sz w:val="24"/>
          <w:szCs w:val="24"/>
        </w:rPr>
        <w:t>0,05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09E4A13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2309B27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քրոմի ստանդարտ լուծույթը</w:t>
      </w:r>
      <w:r w:rsidRPr="00825EEB">
        <w:rPr>
          <w:rFonts w:ascii="Sylfaen" w:hAnsi="Sylfaen"/>
          <w:sz w:val="24"/>
          <w:szCs w:val="24"/>
        </w:rPr>
        <w:t xml:space="preserve"> (</w:t>
      </w:r>
      <w:r w:rsidRPr="00825EEB">
        <w:rPr>
          <w:rFonts w:ascii="Sylfaen" w:hAnsi="Sylfaen"/>
          <w:i/>
          <w:sz w:val="24"/>
          <w:szCs w:val="24"/>
        </w:rPr>
        <w:t>100 ppm Сr</w:t>
      </w:r>
      <w:r w:rsidRPr="00825EEB">
        <w:rPr>
          <w:rFonts w:ascii="Sylfaen" w:hAnsi="Sylfaen"/>
          <w:i/>
          <w:sz w:val="24"/>
          <w:szCs w:val="24"/>
          <w:vertAlign w:val="superscript"/>
        </w:rPr>
        <w:t>+6</w:t>
      </w:r>
      <w:r w:rsidRPr="00825EEB">
        <w:rPr>
          <w:rFonts w:ascii="Sylfaen" w:hAnsi="Sylfaen"/>
          <w:sz w:val="24"/>
          <w:szCs w:val="24"/>
        </w:rPr>
        <w:t xml:space="preserve">) </w:t>
      </w:r>
      <w:r w:rsidRPr="00825EEB">
        <w:rPr>
          <w:rFonts w:ascii="Sylfaen" w:hAnsi="Sylfaen"/>
          <w:i/>
          <w:sz w:val="24"/>
          <w:szCs w:val="24"/>
        </w:rPr>
        <w:t>Ռ քլորաջրածնային թթու – Ռ ջուր</w:t>
      </w:r>
      <w:r w:rsidRPr="00825EEB">
        <w:rPr>
          <w:rFonts w:ascii="Sylfaen" w:hAnsi="Sylfaen"/>
          <w:sz w:val="24"/>
          <w:szCs w:val="24"/>
        </w:rPr>
        <w:t xml:space="preserve"> (2:8 </w:t>
      </w:r>
      <w:r w:rsidRPr="00825EEB">
        <w:rPr>
          <w:rFonts w:ascii="Sylfaen" w:hAnsi="Sylfaen"/>
          <w:i/>
          <w:sz w:val="24"/>
          <w:szCs w:val="24"/>
        </w:rPr>
        <w:t>ծավ/ծավ</w:t>
      </w:r>
      <w:r w:rsidRPr="00825EEB">
        <w:rPr>
          <w:rFonts w:ascii="Sylfaen" w:hAnsi="Sylfaen"/>
          <w:sz w:val="24"/>
          <w:szCs w:val="24"/>
        </w:rPr>
        <w:t>) խառնուրդով նոսրացնելով:</w:t>
      </w:r>
    </w:p>
    <w:p w14:paraId="46115AB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քրոմի էմիսիայի ինտենսիվությունն ալիքի 205,55 նմ երկարությամբ՝ կատարելով սպեկտրալ ֆոնի շտկում ալիքի 205,50 նմ երկարությամբ:</w:t>
      </w:r>
    </w:p>
    <w:p w14:paraId="22D33C7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քրոմի բացակայությունը:</w:t>
      </w:r>
    </w:p>
    <w:p w14:paraId="1CC3440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1 ppm-ից ոչ ավելի։ Որոշումն անցկացնում են ատոմաաբսորբման սպեկտրաչափության մեթոդով (</w:t>
      </w:r>
      <w:r w:rsidRPr="00825EEB">
        <w:rPr>
          <w:rFonts w:ascii="Sylfaen" w:hAnsi="Sylfaen"/>
          <w:i/>
          <w:sz w:val="24"/>
          <w:szCs w:val="24"/>
        </w:rPr>
        <w:t>2.1.2.22, մեթոդ I</w:t>
      </w:r>
      <w:r w:rsidRPr="00825EEB">
        <w:rPr>
          <w:rFonts w:ascii="Sylfaen" w:hAnsi="Sylfaen"/>
          <w:sz w:val="24"/>
          <w:szCs w:val="24"/>
        </w:rPr>
        <w:t>)։</w:t>
      </w:r>
    </w:p>
    <w:p w14:paraId="0A14724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4D70725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ցինկի իոնների ստանդարտ լուծույթը</w:t>
      </w:r>
      <w:r w:rsidRPr="00825EEB">
        <w:rPr>
          <w:rFonts w:ascii="Sylfaen" w:hAnsi="Sylfaen"/>
          <w:sz w:val="24"/>
          <w:szCs w:val="24"/>
        </w:rPr>
        <w:t xml:space="preserve"> (</w:t>
      </w:r>
      <w:r w:rsidRPr="00825EEB">
        <w:rPr>
          <w:rFonts w:ascii="Sylfaen" w:hAnsi="Sylfaen"/>
          <w:i/>
          <w:sz w:val="24"/>
          <w:szCs w:val="24"/>
        </w:rPr>
        <w:t>10 ppm Zn</w:t>
      </w:r>
      <w:r w:rsidRPr="00825EEB">
        <w:rPr>
          <w:rFonts w:ascii="Sylfaen" w:hAnsi="Sylfaen"/>
          <w:i/>
          <w:sz w:val="24"/>
          <w:szCs w:val="24"/>
          <w:vertAlign w:val="superscript"/>
        </w:rPr>
        <w:t>2</w:t>
      </w:r>
      <w:r w:rsidRPr="00825EEB">
        <w:rPr>
          <w:rFonts w:ascii="Sylfaen" w:hAnsi="Sylfaen"/>
          <w:sz w:val="24"/>
          <w:szCs w:val="24"/>
          <w:vertAlign w:val="superscript"/>
        </w:rPr>
        <w:t>+</w:t>
      </w:r>
      <w:r w:rsidRPr="00825EEB">
        <w:rPr>
          <w:rFonts w:ascii="Sylfaen" w:hAnsi="Sylfaen"/>
          <w:sz w:val="24"/>
          <w:szCs w:val="24"/>
        </w:rPr>
        <w:t>) 0,1 Մ քլորաջրածնային թթվով նոսրացնելով:</w:t>
      </w:r>
    </w:p>
    <w:p w14:paraId="6DE06DE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Չափում են ստացված լուծույթների կլանումն ալիքի 213,9 նմ երկարությամբ՝ որպես ճառագայթման աղբյուր օգտագործելով ցինկի սնամեջ կատոդով լամպ </w:t>
      </w:r>
      <w:r>
        <w:rPr>
          <w:rFonts w:ascii="Sylfaen" w:hAnsi="Sylfaen"/>
          <w:sz w:val="24"/>
          <w:szCs w:val="24"/>
        </w:rPr>
        <w:t>եւ</w:t>
      </w:r>
      <w:r w:rsidRPr="00825EEB">
        <w:rPr>
          <w:rFonts w:ascii="Sylfaen" w:hAnsi="Sylfaen"/>
          <w:sz w:val="24"/>
          <w:szCs w:val="24"/>
        </w:rPr>
        <w:t xml:space="preserve"> օդային ացետիլենային բոց։</w:t>
      </w:r>
    </w:p>
    <w:p w14:paraId="55E5AE2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Ստուգում են օգտագործվող քլորաջրածնային թթվի մեջ ցինկի բացակայությունը:</w:t>
      </w:r>
    </w:p>
    <w:p w14:paraId="6758046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Ցիրկոնիում։ </w:t>
      </w:r>
      <w:r w:rsidRPr="00825EEB">
        <w:rPr>
          <w:rFonts w:ascii="Sylfaen" w:hAnsi="Sylfaen"/>
          <w:sz w:val="24"/>
          <w:szCs w:val="24"/>
        </w:rPr>
        <w:t>0,1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36AEFB7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71F2596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ցիրկոնիումի ստանդարտ լուծույթը</w:t>
      </w:r>
      <w:r w:rsidRPr="00825EEB">
        <w:rPr>
          <w:rFonts w:ascii="Sylfaen" w:hAnsi="Sylfaen"/>
          <w:sz w:val="24"/>
          <w:szCs w:val="24"/>
        </w:rPr>
        <w:t xml:space="preserve"> (</w:t>
      </w:r>
      <w:r w:rsidRPr="00825EEB">
        <w:rPr>
          <w:rFonts w:ascii="Sylfaen" w:hAnsi="Sylfaen"/>
          <w:i/>
          <w:sz w:val="24"/>
          <w:szCs w:val="24"/>
        </w:rPr>
        <w:t>1 գ/լ Zr</w:t>
      </w:r>
      <w:r w:rsidRPr="00825EEB">
        <w:rPr>
          <w:rFonts w:ascii="Sylfaen" w:hAnsi="Sylfaen"/>
          <w:i/>
          <w:sz w:val="24"/>
          <w:szCs w:val="24"/>
          <w:vertAlign w:val="superscript"/>
        </w:rPr>
        <w:t>+4</w:t>
      </w:r>
      <w:r w:rsidRPr="00825EEB">
        <w:rPr>
          <w:rFonts w:ascii="Sylfaen" w:hAnsi="Sylfaen"/>
          <w:sz w:val="24"/>
          <w:szCs w:val="24"/>
        </w:rPr>
        <w:t xml:space="preserve">) </w:t>
      </w:r>
      <w:r w:rsidRPr="00825EEB">
        <w:rPr>
          <w:rFonts w:ascii="Sylfaen" w:hAnsi="Sylfaen"/>
          <w:i/>
          <w:sz w:val="24"/>
          <w:szCs w:val="24"/>
        </w:rPr>
        <w:t>Ռ քլորաջրածնային թթու – Ռ ջուր</w:t>
      </w:r>
      <w:r w:rsidRPr="00825EEB">
        <w:rPr>
          <w:rFonts w:ascii="Sylfaen" w:hAnsi="Sylfaen"/>
          <w:sz w:val="24"/>
          <w:szCs w:val="24"/>
        </w:rPr>
        <w:t xml:space="preserve"> (2:8 </w:t>
      </w:r>
      <w:r w:rsidRPr="00825EEB">
        <w:rPr>
          <w:rFonts w:ascii="Sylfaen" w:hAnsi="Sylfaen"/>
          <w:i/>
          <w:sz w:val="24"/>
          <w:szCs w:val="24"/>
        </w:rPr>
        <w:t>ծավ/ծավ</w:t>
      </w:r>
      <w:r w:rsidRPr="00825EEB">
        <w:rPr>
          <w:rFonts w:ascii="Sylfaen" w:hAnsi="Sylfaen"/>
          <w:sz w:val="24"/>
          <w:szCs w:val="24"/>
        </w:rPr>
        <w:t>) խառնուրդով նոսրացնելով:</w:t>
      </w:r>
    </w:p>
    <w:p w14:paraId="795C9556" w14:textId="77777777" w:rsidR="0058052E" w:rsidRPr="00825EEB" w:rsidRDefault="0058052E" w:rsidP="0058052E">
      <w:pPr>
        <w:spacing w:after="160" w:line="360" w:lineRule="auto"/>
        <w:ind w:firstLine="567"/>
        <w:jc w:val="both"/>
      </w:pPr>
      <w:r w:rsidRPr="00825EEB">
        <w:t>Չափում են ցիրկոնիումի էմիսիայի ինտենսիվությունն ալիքի 343,82 նմ երկարությամբ, կատարելով սպեկտրալ ֆոնի շտկում ալիքի 343,92 նմ երկարությամբ:</w:t>
      </w:r>
    </w:p>
    <w:p w14:paraId="6FDA0B0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ցիրկոնիումի բացակայությունը:</w:t>
      </w:r>
    </w:p>
    <w:p w14:paraId="1AE64F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Ծանր մետաղները: </w:t>
      </w:r>
      <w:r w:rsidRPr="00825EEB">
        <w:rPr>
          <w:rFonts w:ascii="Sylfaen" w:hAnsi="Sylfaen"/>
          <w:i/>
          <w:sz w:val="24"/>
          <w:szCs w:val="24"/>
        </w:rPr>
        <w:t>(2.1.4.8, Ա մեթոդ):</w:t>
      </w:r>
      <w:r w:rsidRPr="00825EEB">
        <w:rPr>
          <w:rFonts w:ascii="Sylfaen" w:hAnsi="Sylfaen"/>
          <w:sz w:val="24"/>
          <w:szCs w:val="24"/>
        </w:rPr>
        <w:t xml:space="preserve"> 2,5 ppm-ից ոչ ավելի։</w:t>
      </w:r>
    </w:p>
    <w:p w14:paraId="108F7AB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Տ3 լուծույթի 50 մլ ջրային բաղնիքի վրա եռաթանձրացնում են մոտավորապես մինչ</w:t>
      </w:r>
      <w:r>
        <w:rPr>
          <w:rFonts w:ascii="Sylfaen" w:hAnsi="Sylfaen"/>
          <w:sz w:val="24"/>
          <w:szCs w:val="24"/>
        </w:rPr>
        <w:t>եւ</w:t>
      </w:r>
      <w:r w:rsidRPr="00825EEB">
        <w:rPr>
          <w:rFonts w:ascii="Sylfaen" w:hAnsi="Sylfaen"/>
          <w:sz w:val="24"/>
          <w:szCs w:val="24"/>
        </w:rPr>
        <w:t xml:space="preserve"> 5 մլ ծավալը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20,0 մլ-ը: Ստացված լուծույթի 12 մլ պետք է անցնի ծանր մետաղների մասով փորձարկումը: Համեմատության լուծույթը պատրաստում են՝ օգտագործելով </w:t>
      </w:r>
      <w:r w:rsidRPr="00825EEB">
        <w:rPr>
          <w:rFonts w:ascii="Sylfaen" w:hAnsi="Sylfaen"/>
          <w:i/>
          <w:sz w:val="24"/>
          <w:szCs w:val="24"/>
        </w:rPr>
        <w:t>Ռ կապարի իոնների ստանդարտ լուծույթի</w:t>
      </w:r>
      <w:r w:rsidRPr="00825EEB">
        <w:rPr>
          <w:rFonts w:ascii="Sylfaen" w:hAnsi="Sylfaen"/>
          <w:sz w:val="24"/>
          <w:szCs w:val="24"/>
        </w:rPr>
        <w:t xml:space="preserve"> (</w:t>
      </w:r>
      <w:r w:rsidRPr="00825EEB">
        <w:rPr>
          <w:rFonts w:ascii="Sylfaen" w:hAnsi="Sylfaen"/>
          <w:i/>
          <w:sz w:val="24"/>
          <w:szCs w:val="24"/>
        </w:rPr>
        <w:t>10 ppm</w:t>
      </w:r>
      <w:r w:rsidRPr="00825EEB">
        <w:rPr>
          <w:rFonts w:ascii="Sylfaen" w:hAnsi="Sylfaen"/>
          <w:sz w:val="24"/>
          <w:szCs w:val="24"/>
        </w:rPr>
        <w:t xml:space="preserve"> </w:t>
      </w:r>
      <w:r w:rsidRPr="00825EEB">
        <w:rPr>
          <w:rFonts w:ascii="Sylfaen" w:hAnsi="Sylfaen"/>
          <w:i/>
          <w:sz w:val="24"/>
          <w:szCs w:val="24"/>
        </w:rPr>
        <w:t>Pb</w:t>
      </w:r>
      <w:r w:rsidRPr="00825EEB">
        <w:rPr>
          <w:rFonts w:ascii="Sylfaen" w:hAnsi="Sylfaen"/>
          <w:i/>
          <w:sz w:val="24"/>
          <w:szCs w:val="24"/>
          <w:vertAlign w:val="superscript"/>
        </w:rPr>
        <w:t>2+</w:t>
      </w:r>
      <w:r w:rsidRPr="00825EEB">
        <w:rPr>
          <w:rFonts w:ascii="Sylfaen" w:hAnsi="Sylfaen"/>
          <w:sz w:val="24"/>
          <w:szCs w:val="24"/>
        </w:rPr>
        <w:t>) 2,5 մլ:</w:t>
      </w:r>
    </w:p>
    <w:p w14:paraId="6B633D6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1,0 %-ից ոչ ավելի:</w:t>
      </w:r>
    </w:p>
    <w:p w14:paraId="5938905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նյութի փորձարկվող նմուշի 5,0 գ-ից:</w:t>
      </w:r>
    </w:p>
    <w:p w14:paraId="6A05F1F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Նշված թույլատրելի սահմանը չի տարածվում այն պոլիէթիլենի վրա, որը որպես հավելանյութ պարունակում է նյութին անթափանցություն հաղորդող տիտանի դիօքսիդ:</w:t>
      </w:r>
    </w:p>
    <w:p w14:paraId="01201F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85696F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ԼՐԱՑՈՒՑԻՉ ՓՈՐՁԱՐԿՈՒՄՆԵՐԸ</w:t>
      </w:r>
    </w:p>
    <w:p w14:paraId="3CE97B9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Տվյալ փորձարկումները հարկավոր է անցկացնել ամբողջությամբ կամ մասամբ միայն այն դեպքերում, երբ դա պահանջվում է պոլիէթիլենի նշված կազմով:</w:t>
      </w:r>
    </w:p>
    <w:p w14:paraId="6437EFB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Ֆենոլային հակաօքսիդիչները։ </w:t>
      </w:r>
      <w:r w:rsidRPr="00825EEB">
        <w:rPr>
          <w:rFonts w:ascii="Sylfaen" w:hAnsi="Sylfaen"/>
          <w:sz w:val="24"/>
          <w:szCs w:val="24"/>
        </w:rPr>
        <w:t xml:space="preserve">Որոշումն անցկացնում են հեղուկային քրոմատագրման մեթոդով </w:t>
      </w:r>
      <w:r w:rsidRPr="00825EEB">
        <w:rPr>
          <w:rFonts w:ascii="Sylfaen" w:hAnsi="Sylfaen"/>
          <w:i/>
          <w:sz w:val="24"/>
          <w:szCs w:val="24"/>
        </w:rPr>
        <w:t>(2.1.2.28):</w:t>
      </w:r>
    </w:p>
    <w:p w14:paraId="50F4AD8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Լուծիչների խառնուրդը՝ </w:t>
      </w:r>
      <w:r w:rsidRPr="00825EEB">
        <w:rPr>
          <w:rFonts w:ascii="Sylfaen" w:hAnsi="Sylfaen"/>
          <w:i/>
          <w:sz w:val="24"/>
          <w:szCs w:val="24"/>
        </w:rPr>
        <w:t xml:space="preserve">Ռ ացետոնիտրիլ </w:t>
      </w:r>
      <w:r w:rsidR="0035119C" w:rsidRPr="0035119C">
        <w:rPr>
          <w:rFonts w:ascii="Sylfaen" w:hAnsi="Sylfaen"/>
          <w:i/>
          <w:sz w:val="24"/>
          <w:szCs w:val="24"/>
        </w:rPr>
        <w:t>-</w:t>
      </w:r>
      <w:r w:rsidRPr="00825EEB">
        <w:rPr>
          <w:rFonts w:ascii="Sylfaen" w:hAnsi="Sylfaen"/>
          <w:i/>
          <w:sz w:val="24"/>
          <w:szCs w:val="24"/>
        </w:rPr>
        <w:t xml:space="preserve"> Ռ տետրատիդրոֆուրան</w:t>
      </w:r>
      <w:r w:rsidRPr="00825EEB">
        <w:rPr>
          <w:rFonts w:ascii="Sylfaen" w:hAnsi="Sylfaen"/>
          <w:sz w:val="24"/>
          <w:szCs w:val="24"/>
        </w:rPr>
        <w:t xml:space="preserve"> (50:50, </w:t>
      </w:r>
      <w:r w:rsidRPr="00825EEB">
        <w:rPr>
          <w:rFonts w:ascii="Sylfaen" w:hAnsi="Sylfaen"/>
          <w:i/>
          <w:sz w:val="24"/>
          <w:szCs w:val="24"/>
        </w:rPr>
        <w:t>ծավ/ծավ</w:t>
      </w:r>
      <w:r w:rsidRPr="00825EEB">
        <w:rPr>
          <w:rFonts w:ascii="Sylfaen" w:hAnsi="Sylfaen"/>
          <w:sz w:val="24"/>
          <w:szCs w:val="24"/>
        </w:rPr>
        <w:t>)։</w:t>
      </w:r>
    </w:p>
    <w:p w14:paraId="55B1F0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Տ21 փորձարկվող լուծույթը։</w:t>
      </w:r>
      <w:r w:rsidRPr="00825EEB">
        <w:rPr>
          <w:rFonts w:ascii="Sylfaen" w:hAnsi="Sylfaen"/>
          <w:sz w:val="24"/>
          <w:szCs w:val="24"/>
        </w:rPr>
        <w:t xml:space="preserve"> Տ2 լուծույթի 50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Չոր մնացորդը լուծում են լուծիչների խառնուրդի 5,0 մլ-ի մեջ: Օգտագործում են «Տ2 լուծույթը» փորձարկման ցուցումներին համապատասխան պատրաստված ստուգիչ լուծույթը:</w:t>
      </w:r>
    </w:p>
    <w:p w14:paraId="266A23F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Ստոր</w:t>
      </w:r>
      <w:r>
        <w:rPr>
          <w:rFonts w:ascii="Sylfaen" w:hAnsi="Sylfaen"/>
          <w:i/>
          <w:sz w:val="24"/>
          <w:szCs w:val="24"/>
        </w:rPr>
        <w:t>եւ</w:t>
      </w:r>
      <w:r w:rsidRPr="00825EEB">
        <w:rPr>
          <w:rFonts w:ascii="Sylfaen" w:hAnsi="Sylfaen"/>
          <w:i/>
          <w:sz w:val="24"/>
          <w:szCs w:val="24"/>
        </w:rPr>
        <w:t xml:space="preserve"> նշված համեմատության լուծույթներից պատրաստում են միայն այն լուծույթները, որոնք անհրաժեշտ են փորձարկվող նյութի կազմի մեջ մտնող ֆենոլային հակաօքսիդիչների վերլուծության համար:</w:t>
      </w:r>
    </w:p>
    <w:p w14:paraId="50F37B46" w14:textId="77777777" w:rsidR="0058052E" w:rsidRPr="00825EEB" w:rsidRDefault="0035119C" w:rsidP="0058052E">
      <w:pPr>
        <w:pStyle w:val="a0"/>
        <w:shd w:val="clear" w:color="auto" w:fill="auto"/>
        <w:spacing w:after="160" w:line="360" w:lineRule="auto"/>
        <w:ind w:firstLine="567"/>
        <w:jc w:val="both"/>
        <w:rPr>
          <w:rFonts w:ascii="Sylfaen" w:hAnsi="Sylfaen" w:cs="Sylfaen"/>
          <w:sz w:val="24"/>
          <w:szCs w:val="24"/>
        </w:rPr>
      </w:pPr>
      <w:r>
        <w:rPr>
          <w:rFonts w:ascii="Sylfaen" w:hAnsi="Sylfaen"/>
          <w:i/>
          <w:sz w:val="24"/>
          <w:szCs w:val="24"/>
        </w:rPr>
        <w:t>(Ա)</w:t>
      </w:r>
      <w:r w:rsidRPr="0035119C">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Բութիլհիդրօքսիտոլուոլի ԵԱՏՄԴ ՍՆ</w:t>
      </w:r>
      <w:r w:rsidR="0058052E" w:rsidRPr="00825EEB">
        <w:rPr>
          <w:rFonts w:ascii="Sylfaen" w:hAnsi="Sylfaen"/>
          <w:sz w:val="24"/>
          <w:szCs w:val="24"/>
        </w:rPr>
        <w:t xml:space="preserve"> 25,0 մգ-ը</w:t>
      </w:r>
      <w:r w:rsidR="0058052E" w:rsidRPr="00825EEB">
        <w:rPr>
          <w:rFonts w:ascii="Sylfaen" w:hAnsi="Sylfaen"/>
          <w:i/>
          <w:sz w:val="24"/>
          <w:szCs w:val="24"/>
        </w:rPr>
        <w:t>(պոլիմերային 07 նյութի հավելանյութ)</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պոլիմերային 08 նյութի հավելանյութերի ԵԱՏՄԴ ՍՆ</w:t>
      </w:r>
      <w:r w:rsidR="0058052E"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w:t>
      </w:r>
      <w:r w:rsidR="0058052E">
        <w:rPr>
          <w:rFonts w:ascii="Sylfaen" w:hAnsi="Sylfaen"/>
          <w:sz w:val="24"/>
          <w:szCs w:val="24"/>
        </w:rPr>
        <w:t>եւ</w:t>
      </w:r>
      <w:r w:rsidR="0058052E" w:rsidRPr="00825EEB">
        <w:rPr>
          <w:rFonts w:ascii="Sylfaen" w:hAnsi="Sylfaen"/>
          <w:sz w:val="24"/>
          <w:szCs w:val="24"/>
        </w:rPr>
        <w:t xml:space="preserve"> 50,0</w:t>
      </w:r>
      <w:r w:rsidRPr="0035119C">
        <w:rPr>
          <w:rFonts w:ascii="Sylfaen" w:hAnsi="Sylfaen"/>
          <w:sz w:val="24"/>
          <w:szCs w:val="24"/>
        </w:rPr>
        <w:t> </w:t>
      </w:r>
      <w:r w:rsidR="0058052E" w:rsidRPr="00825EEB">
        <w:rPr>
          <w:rFonts w:ascii="Sylfaen" w:hAnsi="Sylfaen"/>
          <w:sz w:val="24"/>
          <w:szCs w:val="24"/>
        </w:rPr>
        <w:t>մլ ծավալը։</w:t>
      </w:r>
    </w:p>
    <w:p w14:paraId="27CD0885" w14:textId="77777777" w:rsidR="0058052E" w:rsidRPr="00825EEB" w:rsidRDefault="0058052E" w:rsidP="0035119C">
      <w:pPr>
        <w:tabs>
          <w:tab w:val="left" w:pos="1134"/>
        </w:tabs>
        <w:spacing w:after="160" w:line="360" w:lineRule="auto"/>
        <w:ind w:firstLine="567"/>
        <w:jc w:val="both"/>
      </w:pPr>
      <w:r w:rsidRPr="00825EEB">
        <w:rPr>
          <w:i/>
        </w:rPr>
        <w:t>(Բ)</w:t>
      </w:r>
      <w:r w:rsidR="0035119C" w:rsidRPr="0035119C">
        <w:rPr>
          <w:i/>
        </w:rPr>
        <w:tab/>
      </w:r>
      <w:r w:rsidRPr="00825EEB">
        <w:rPr>
          <w:i/>
        </w:rPr>
        <w:t>համեմատության լուծույթը։</w:t>
      </w:r>
      <w:r w:rsidRPr="00825EEB">
        <w:t xml:space="preserve"> </w:t>
      </w:r>
      <w:r w:rsidRPr="00825EEB">
        <w:rPr>
          <w:i/>
        </w:rPr>
        <w:t>Պոլիմերային 09 նյութի հավելանյութի ԵԱՏՄԴ ՍՆ</w:t>
      </w:r>
      <w:r w:rsidRPr="00825EEB">
        <w:t xml:space="preserve"> 60,0 մգ-ը </w:t>
      </w:r>
      <w:r>
        <w:t>եւ</w:t>
      </w:r>
      <w:r w:rsidRPr="00825EEB">
        <w:t xml:space="preserve"> </w:t>
      </w:r>
      <w:r w:rsidRPr="00825EEB">
        <w:rPr>
          <w:i/>
        </w:rPr>
        <w:t>պոլիմերային 10-րդ նյութի հավելանյութի ԵԱՏՄԴ ՍՆ</w:t>
      </w:r>
      <w:r w:rsidRPr="00825EEB">
        <w:t xml:space="preserve"> 60,0</w:t>
      </w:r>
      <w:r w:rsidR="0035119C" w:rsidRPr="0035119C">
        <w:t> </w:t>
      </w:r>
      <w:r w:rsidRPr="00825EEB">
        <w:t>մգ-ը լուծում են լուծիչների խառնուրդի 10,0 մլ-ի մեջ: Ստացված լուծույթի 2,0</w:t>
      </w:r>
      <w:r w:rsidR="0035119C" w:rsidRPr="0035119C">
        <w:t> </w:t>
      </w:r>
      <w:r w:rsidRPr="00825EEB">
        <w:t>մլ-ը լուծիչների խառնուրդով հասցնում են մինչեւ 50,0 մլ ծավալը։</w:t>
      </w:r>
    </w:p>
    <w:p w14:paraId="7FCC92DB"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(Գ)</w:t>
      </w:r>
      <w:r w:rsidR="0035119C" w:rsidRPr="00A859E3">
        <w:rPr>
          <w:rFonts w:ascii="Sylfaen" w:hAnsi="Sylfaen"/>
          <w:i/>
          <w:sz w:val="24"/>
          <w:szCs w:val="24"/>
        </w:rPr>
        <w:tab/>
      </w:r>
      <w:r w:rsidRPr="00825EEB">
        <w:rPr>
          <w:rFonts w:ascii="Sylfaen" w:hAnsi="Sylfaen"/>
          <w:i/>
          <w:sz w:val="24"/>
          <w:szCs w:val="24"/>
        </w:rPr>
        <w:t>համեմատության լուծույթը։ Պատրաստում են օգտագործելուց անմիջապես առաջ։</w:t>
      </w:r>
      <w:r w:rsidRPr="00825EEB">
        <w:rPr>
          <w:rFonts w:ascii="Sylfaen" w:hAnsi="Sylfaen"/>
          <w:sz w:val="24"/>
          <w:szCs w:val="24"/>
        </w:rPr>
        <w:t xml:space="preserve"> </w:t>
      </w:r>
      <w:r w:rsidRPr="00825EEB">
        <w:rPr>
          <w:rFonts w:ascii="Sylfaen" w:hAnsi="Sylfaen"/>
          <w:i/>
          <w:sz w:val="24"/>
          <w:szCs w:val="24"/>
        </w:rPr>
        <w:t>Պոլիմերային 11-րդ նյութի հավելանյութի ԵԱՏՄԴ ՍՆ</w:t>
      </w:r>
      <w:r w:rsidRPr="00825EEB">
        <w:rPr>
          <w:rFonts w:ascii="Sylfaen" w:hAnsi="Sylfaen"/>
          <w:sz w:val="24"/>
          <w:szCs w:val="24"/>
        </w:rPr>
        <w:t xml:space="preserve"> 60,0 մգ-ը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պոլիմերային 12-րդ նյութի հավելանյութի ԵԱՏՄԴ ՍՆ</w:t>
      </w:r>
      <w:r w:rsidRPr="00825EEB">
        <w:rPr>
          <w:rFonts w:ascii="Sylfaen" w:hAnsi="Sylfaen"/>
          <w:sz w:val="24"/>
          <w:szCs w:val="24"/>
        </w:rPr>
        <w:t xml:space="preserve"> 60,0 մգ-ը լուծում են </w:t>
      </w:r>
      <w:r w:rsidRPr="00825EEB">
        <w:rPr>
          <w:rFonts w:ascii="Sylfaen" w:hAnsi="Sylfaen"/>
          <w:sz w:val="24"/>
          <w:szCs w:val="24"/>
        </w:rPr>
        <w:lastRenderedPageBreak/>
        <w:t>լուծիչների խառնուրդի 10,0 մլ-ի մեջ: Ստացված լուծույթի 2,0 մլ-ը լուծիչների խառնուրդով հասցնում են մինչեւ 50,0 մլ ծավալը։</w:t>
      </w:r>
    </w:p>
    <w:p w14:paraId="662AD2C4"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(Դ)</w:t>
      </w:r>
      <w:r w:rsidR="0035119C" w:rsidRPr="0035119C">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Բութիլհիդրօքսիտոլուոլի ԵԱՏՄԴ ՍՆ</w:t>
      </w:r>
      <w:r w:rsidRPr="00825EEB">
        <w:rPr>
          <w:rFonts w:ascii="Sylfaen" w:hAnsi="Sylfaen"/>
          <w:sz w:val="24"/>
          <w:szCs w:val="24"/>
        </w:rPr>
        <w:t xml:space="preserve"> 25,0</w:t>
      </w:r>
      <w:r w:rsidR="0035119C" w:rsidRPr="0035119C">
        <w:rPr>
          <w:rFonts w:ascii="Sylfaen" w:hAnsi="Sylfaen"/>
          <w:sz w:val="24"/>
          <w:szCs w:val="24"/>
        </w:rPr>
        <w:t> </w:t>
      </w:r>
      <w:r w:rsidRPr="00825EEB">
        <w:rPr>
          <w:rFonts w:ascii="Sylfaen" w:hAnsi="Sylfaen"/>
          <w:sz w:val="24"/>
          <w:szCs w:val="24"/>
        </w:rPr>
        <w:t>մգ-ը(</w:t>
      </w:r>
      <w:r w:rsidRPr="00825EEB">
        <w:rPr>
          <w:rFonts w:ascii="Sylfaen" w:hAnsi="Sylfaen"/>
          <w:i/>
          <w:sz w:val="24"/>
          <w:szCs w:val="24"/>
        </w:rPr>
        <w:t>պոլիմերային 07 նյութի հավելանյութ</w:t>
      </w:r>
      <w:r w:rsidRPr="00825EEB">
        <w:rPr>
          <w:rFonts w:ascii="Sylfaen" w:hAnsi="Sylfaen"/>
          <w:sz w:val="24"/>
          <w:szCs w:val="24"/>
        </w:rPr>
        <w:t>) լուծում են լուծիչների խառնուրդի 10,0 մլ-ի մեջ: Ստացված լուծույթի 2,0 մլ-ը լուծիչների խառնուրդով հասցնում են մինչեւ 50,0 մլ ծավալը։</w:t>
      </w:r>
    </w:p>
    <w:p w14:paraId="13E4A91C"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(Ե)</w:t>
      </w:r>
      <w:r w:rsidR="0035119C"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08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46384CF8"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(Զ)</w:t>
      </w:r>
      <w:r w:rsidR="0035119C"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13-րդ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78EDAFF7"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(Է)</w:t>
      </w:r>
      <w:r w:rsidR="0035119C"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09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518489D2"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(Ը)</w:t>
      </w:r>
      <w:r w:rsidR="0035119C"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10-րդ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64A81720"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(Թ)</w:t>
      </w:r>
      <w:r w:rsidR="0035119C"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11-րդ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1F8C1EAA"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(Ժ)</w:t>
      </w:r>
      <w:r w:rsidR="0035119C" w:rsidRPr="00A859E3">
        <w:rPr>
          <w:rFonts w:ascii="Sylfaen" w:hAnsi="Sylfaen"/>
          <w:i/>
          <w:sz w:val="24"/>
          <w:szCs w:val="24"/>
        </w:rPr>
        <w:tab/>
      </w:r>
      <w:r w:rsidRPr="00825EEB">
        <w:rPr>
          <w:rFonts w:ascii="Sylfaen" w:hAnsi="Sylfaen"/>
          <w:i/>
          <w:sz w:val="24"/>
          <w:szCs w:val="24"/>
        </w:rPr>
        <w:t>համեմատության լուծույթը։ Պատրաստում են օգտագործելուց անմիջապես առաջ։</w:t>
      </w:r>
      <w:r w:rsidRPr="00825EEB">
        <w:rPr>
          <w:rFonts w:ascii="Sylfaen" w:hAnsi="Sylfaen"/>
          <w:sz w:val="24"/>
          <w:szCs w:val="24"/>
        </w:rPr>
        <w:t xml:space="preserve"> </w:t>
      </w:r>
      <w:r w:rsidRPr="00825EEB">
        <w:rPr>
          <w:rFonts w:ascii="Sylfaen" w:hAnsi="Sylfaen"/>
          <w:i/>
          <w:sz w:val="24"/>
          <w:szCs w:val="24"/>
        </w:rPr>
        <w:t>Պոլիմերային 12-րդ նյութի հավելանյութի ԵԱՏՄԴ ՍՆ</w:t>
      </w:r>
      <w:r w:rsidRPr="00825EEB">
        <w:rPr>
          <w:rFonts w:ascii="Sylfaen" w:hAnsi="Sylfaen"/>
          <w:sz w:val="24"/>
          <w:szCs w:val="24"/>
        </w:rPr>
        <w:t xml:space="preserve"> 60,0 մգ-ը լուծում են լուծիչների խառնուրդի 10,0 մլ-ի մեջ: Ստացված լուծույթի 2,0 մլ-ը լուծիչների խառնուրդով հասցնում են մինչեւ 50,0 մլ ծավալը։</w:t>
      </w:r>
    </w:p>
    <w:p w14:paraId="5D8112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Տարբերակ 1.</w:t>
      </w:r>
    </w:p>
    <w:p w14:paraId="3BBA773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Եթե փորձարկվող նյութը պարունակում է պոլիմերային 07 նյութերի հավելանյութեր </w:t>
      </w:r>
      <w:r>
        <w:rPr>
          <w:rFonts w:ascii="Sylfaen" w:hAnsi="Sylfaen"/>
          <w:sz w:val="24"/>
          <w:szCs w:val="24"/>
        </w:rPr>
        <w:t>եւ</w:t>
      </w:r>
      <w:r w:rsidRPr="00825EEB">
        <w:rPr>
          <w:rFonts w:ascii="Sylfaen" w:hAnsi="Sylfaen"/>
          <w:sz w:val="24"/>
          <w:szCs w:val="24"/>
        </w:rPr>
        <w:t xml:space="preserve"> (կամ) պոլիմերային 08 նյութերի հավելանյութեր, ապա քրոմատագրումն իրականացնում են հետ</w:t>
      </w:r>
      <w:r>
        <w:rPr>
          <w:rFonts w:ascii="Sylfaen" w:hAnsi="Sylfaen"/>
          <w:sz w:val="24"/>
          <w:szCs w:val="24"/>
        </w:rPr>
        <w:t>եւ</w:t>
      </w:r>
      <w:r w:rsidRPr="00825EEB">
        <w:rPr>
          <w:rFonts w:ascii="Sylfaen" w:hAnsi="Sylfaen"/>
          <w:sz w:val="24"/>
          <w:szCs w:val="24"/>
        </w:rPr>
        <w:t>յալ պայմաններում.</w:t>
      </w:r>
    </w:p>
    <w:p w14:paraId="7B7D77A3" w14:textId="77777777" w:rsidR="0058052E" w:rsidRPr="00825EEB" w:rsidRDefault="0058052E" w:rsidP="0035119C">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5119C" w:rsidRPr="00A859E3">
        <w:rPr>
          <w:rFonts w:ascii="Sylfaen" w:hAnsi="Sylfaen"/>
          <w:sz w:val="24"/>
          <w:szCs w:val="24"/>
        </w:rPr>
        <w:tab/>
      </w:r>
      <w:r w:rsidRPr="00825EEB">
        <w:rPr>
          <w:rFonts w:ascii="Sylfaen" w:hAnsi="Sylfaen"/>
          <w:i/>
          <w:sz w:val="24"/>
          <w:szCs w:val="24"/>
        </w:rPr>
        <w:t>աշտարակը</w:t>
      </w:r>
      <w:r w:rsidRPr="00825EEB">
        <w:rPr>
          <w:rFonts w:ascii="Sylfaen" w:hAnsi="Sylfaen"/>
          <w:sz w:val="24"/>
          <w:szCs w:val="24"/>
        </w:rPr>
        <w:t xml:space="preserve">՝ 0,25 մ երկարությամբ </w:t>
      </w:r>
      <w:r>
        <w:rPr>
          <w:rFonts w:ascii="Sylfaen" w:hAnsi="Sylfaen"/>
          <w:sz w:val="24"/>
          <w:szCs w:val="24"/>
        </w:rPr>
        <w:t>եւ</w:t>
      </w:r>
      <w:r w:rsidRPr="00825EEB">
        <w:rPr>
          <w:rFonts w:ascii="Sylfaen" w:hAnsi="Sylfaen"/>
          <w:sz w:val="24"/>
          <w:szCs w:val="24"/>
        </w:rPr>
        <w:t xml:space="preserve"> 4,6 մմ ներքին տրամագծով, որը լցված է </w:t>
      </w:r>
      <w:r w:rsidRPr="00825EEB">
        <w:rPr>
          <w:rFonts w:ascii="Sylfaen" w:hAnsi="Sylfaen"/>
          <w:i/>
          <w:sz w:val="24"/>
          <w:szCs w:val="24"/>
        </w:rPr>
        <w:t>Ռ քրոմատագրման համար օկտադեցիլսիլիլային սիլիկագելով՝</w:t>
      </w:r>
      <w:r w:rsidRPr="00825EEB">
        <w:rPr>
          <w:rFonts w:ascii="Sylfaen" w:hAnsi="Sylfaen"/>
          <w:sz w:val="24"/>
          <w:szCs w:val="24"/>
        </w:rPr>
        <w:t xml:space="preserve"> մասնիկների 5 մկմ չափով.</w:t>
      </w:r>
    </w:p>
    <w:p w14:paraId="17639A8F"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շարժուն ֆազը՝ քրոմատագրման Ռ ջուր – Ռ ացետոնիտրիլ</w:t>
      </w:r>
      <w:r w:rsidRPr="00825EEB">
        <w:rPr>
          <w:rFonts w:ascii="Sylfaen" w:hAnsi="Sylfaen"/>
          <w:sz w:val="24"/>
          <w:szCs w:val="24"/>
        </w:rPr>
        <w:t xml:space="preserve"> (30:70, </w:t>
      </w:r>
      <w:r w:rsidRPr="00825EEB">
        <w:rPr>
          <w:rFonts w:ascii="Sylfaen" w:hAnsi="Sylfaen"/>
          <w:i/>
          <w:sz w:val="24"/>
          <w:szCs w:val="24"/>
        </w:rPr>
        <w:t>ծավ/ծավ</w:t>
      </w:r>
      <w:r w:rsidRPr="00825EEB">
        <w:rPr>
          <w:rFonts w:ascii="Sylfaen" w:hAnsi="Sylfaen"/>
          <w:sz w:val="24"/>
          <w:szCs w:val="24"/>
        </w:rPr>
        <w:t>).</w:t>
      </w:r>
    </w:p>
    <w:p w14:paraId="632D1A9E"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շարժուն ֆազի արագությունը՝</w:t>
      </w:r>
      <w:r w:rsidRPr="00825EEB">
        <w:rPr>
          <w:rFonts w:ascii="Sylfaen" w:hAnsi="Sylfaen"/>
          <w:sz w:val="24"/>
          <w:szCs w:val="24"/>
        </w:rPr>
        <w:t xml:space="preserve"> 2 մլ/րոպե.</w:t>
      </w:r>
    </w:p>
    <w:p w14:paraId="546301DA"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դետեկտորը՝</w:t>
      </w:r>
      <w:r w:rsidRPr="00825EEB">
        <w:rPr>
          <w:rFonts w:ascii="Sylfaen" w:hAnsi="Sylfaen"/>
          <w:sz w:val="24"/>
          <w:szCs w:val="24"/>
        </w:rPr>
        <w:t xml:space="preserve"> սպեկտրալուսաչափական, ալիքի երկարությունը՝ 280 նմ.</w:t>
      </w:r>
    </w:p>
    <w:p w14:paraId="754AFBF5"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փորձարկվող S21 լուծույթի, համապատասխան ստուգիչ լուծույթի, (ա) համեմատության լուծույթի </w:t>
      </w:r>
      <w:r>
        <w:rPr>
          <w:rFonts w:ascii="Sylfaen" w:hAnsi="Sylfaen"/>
          <w:sz w:val="24"/>
          <w:szCs w:val="24"/>
        </w:rPr>
        <w:t>եւ</w:t>
      </w:r>
      <w:r w:rsidRPr="00825EEB">
        <w:rPr>
          <w:rFonts w:ascii="Sylfaen" w:hAnsi="Sylfaen"/>
          <w:sz w:val="24"/>
          <w:szCs w:val="24"/>
        </w:rPr>
        <w:t xml:space="preserve"> (կամ) (դ) կամ (ե) համեմատության լուծույթի, կամ (դ) </w:t>
      </w:r>
      <w:r>
        <w:rPr>
          <w:rFonts w:ascii="Sylfaen" w:hAnsi="Sylfaen"/>
          <w:sz w:val="24"/>
          <w:szCs w:val="24"/>
        </w:rPr>
        <w:t>եւ</w:t>
      </w:r>
      <w:r w:rsidRPr="00825EEB">
        <w:rPr>
          <w:rFonts w:ascii="Sylfaen" w:hAnsi="Sylfaen"/>
          <w:sz w:val="24"/>
          <w:szCs w:val="24"/>
        </w:rPr>
        <w:t xml:space="preserve"> (ե) համեմատության լուծույթների 20-ական մկլ.</w:t>
      </w:r>
    </w:p>
    <w:p w14:paraId="58B0D832"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քրոմատագրման ժամանակը՝</w:t>
      </w:r>
      <w:r w:rsidRPr="00825EEB">
        <w:rPr>
          <w:rFonts w:ascii="Sylfaen" w:hAnsi="Sylfaen"/>
          <w:sz w:val="24"/>
          <w:szCs w:val="24"/>
        </w:rPr>
        <w:t xml:space="preserve"> 30 րոպե:</w:t>
      </w:r>
    </w:p>
    <w:p w14:paraId="1362C91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4FCA13EF"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4C2E7D">
        <w:rPr>
          <w:rFonts w:ascii="Sylfaen" w:hAnsi="Sylfaen"/>
          <w:i/>
          <w:sz w:val="24"/>
          <w:szCs w:val="24"/>
        </w:rPr>
        <w:tab/>
      </w:r>
      <w:r w:rsidRPr="00825EEB">
        <w:rPr>
          <w:rFonts w:ascii="Sylfaen" w:hAnsi="Sylfaen"/>
          <w:i/>
          <w:sz w:val="24"/>
          <w:szCs w:val="24"/>
        </w:rPr>
        <w:t>լուծաչափը՝</w:t>
      </w:r>
      <w:r>
        <w:rPr>
          <w:rFonts w:ascii="Sylfaen" w:hAnsi="Sylfaen"/>
          <w:sz w:val="24"/>
          <w:szCs w:val="24"/>
        </w:rPr>
        <w:t xml:space="preserve"> </w:t>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պոլիմերային 08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5,0՝ (ա) համեմատության լուծույթի քրոմատագրի վրա:</w:t>
      </w:r>
    </w:p>
    <w:p w14:paraId="166B8CB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S21 լուծույթի քրոմատագրի վրա պետք է հայտնաբերվեն պիկեր, որոնք համապատասխանում են պոլիէթիլենի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370240F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6C832090" w14:textId="77777777" w:rsidR="0058052E" w:rsidRPr="00825EEB" w:rsidRDefault="0058052E" w:rsidP="00A84AF4">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A84AF4" w:rsidRPr="00A84AF4">
        <w:rPr>
          <w:rFonts w:ascii="Sylfaen" w:hAnsi="Sylfaen"/>
          <w:sz w:val="24"/>
          <w:szCs w:val="24"/>
        </w:rPr>
        <w:tab/>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(կամ) պոլիմերային 08 նյութի հավելանյութի պարունակությունը հաշվարկելու համար օգտագործում են (դ) </w:t>
      </w:r>
      <w:r>
        <w:rPr>
          <w:rFonts w:ascii="Sylfaen" w:hAnsi="Sylfaen"/>
          <w:sz w:val="24"/>
          <w:szCs w:val="24"/>
        </w:rPr>
        <w:t>եւ</w:t>
      </w:r>
      <w:r w:rsidRPr="00825EEB">
        <w:rPr>
          <w:rFonts w:ascii="Sylfaen" w:hAnsi="Sylfaen"/>
          <w:sz w:val="24"/>
          <w:szCs w:val="24"/>
        </w:rPr>
        <w:t xml:space="preserve"> </w:t>
      </w:r>
      <w:r w:rsidRPr="00825EEB">
        <w:rPr>
          <w:rFonts w:ascii="Sylfaen" w:hAnsi="Sylfaen"/>
          <w:sz w:val="24"/>
          <w:szCs w:val="24"/>
        </w:rPr>
        <w:lastRenderedPageBreak/>
        <w:t>կամ (ե) համեմատության լուծույթների մեջ նյութի համապատասխան ստանդարտ նմուշի կոնցենտրացիան:</w:t>
      </w:r>
    </w:p>
    <w:p w14:paraId="7D85368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7A8A1A48"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07 նյութի հավելանյութ:</w:t>
      </w:r>
      <w:r w:rsidR="0058052E" w:rsidRPr="00825EEB">
        <w:rPr>
          <w:rFonts w:ascii="Sylfaen" w:hAnsi="Sylfaen"/>
          <w:sz w:val="24"/>
          <w:szCs w:val="24"/>
        </w:rPr>
        <w:t xml:space="preserve"> 0,125 %-ից ոչ ավելի.</w:t>
      </w:r>
    </w:p>
    <w:p w14:paraId="1F1F2762"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08 նյութի հավելանյութ:</w:t>
      </w:r>
      <w:r w:rsidR="0058052E" w:rsidRPr="00825EEB">
        <w:rPr>
          <w:rFonts w:ascii="Sylfaen" w:hAnsi="Sylfaen"/>
          <w:sz w:val="24"/>
          <w:szCs w:val="24"/>
        </w:rPr>
        <w:t xml:space="preserve"> 0,3 %-ից ոչ ավելի:</w:t>
      </w:r>
    </w:p>
    <w:p w14:paraId="09368B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Տարբերակ 2.</w:t>
      </w:r>
    </w:p>
    <w:p w14:paraId="0C8DEB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Եթե փորձարկվող նմուշը պարունակում է ստոր</w:t>
      </w:r>
      <w:r>
        <w:rPr>
          <w:rFonts w:ascii="Sylfaen" w:hAnsi="Sylfaen"/>
          <w:sz w:val="24"/>
          <w:szCs w:val="24"/>
        </w:rPr>
        <w:t>եւ</w:t>
      </w:r>
      <w:r w:rsidRPr="00825EEB">
        <w:rPr>
          <w:rFonts w:ascii="Sylfaen" w:hAnsi="Sylfaen"/>
          <w:sz w:val="24"/>
          <w:szCs w:val="24"/>
        </w:rPr>
        <w:t xml:space="preserve"> նշված հակաօքսիդիչներից մեկը կամ մի քանիսը՝</w:t>
      </w:r>
    </w:p>
    <w:p w14:paraId="3B93FA84"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պոլիմերային 09 նյութի հավելանյութ,</w:t>
      </w:r>
    </w:p>
    <w:p w14:paraId="36FE5AB1"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պոլիմերային 10-րդ նյութի հավելանյութ,</w:t>
      </w:r>
    </w:p>
    <w:p w14:paraId="56EA0FBE"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պոլիմերային 11-րդ նյութի հավելանյութ,</w:t>
      </w:r>
    </w:p>
    <w:p w14:paraId="6C6AC4E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պոլիմերային 12-րդ նյութի հավելանյութ,</w:t>
      </w:r>
    </w:p>
    <w:p w14:paraId="571022A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պոլիմերային 13-րդ նյութի հավելանյութ,</w:t>
      </w:r>
    </w:p>
    <w:p w14:paraId="210DAFE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ապա քրոմատագրումն իրականացնում են վերը նշված պայմաններում՝ հետ</w:t>
      </w:r>
      <w:r>
        <w:rPr>
          <w:rFonts w:ascii="Sylfaen" w:hAnsi="Sylfaen"/>
          <w:sz w:val="24"/>
          <w:szCs w:val="24"/>
        </w:rPr>
        <w:t>եւ</w:t>
      </w:r>
      <w:r w:rsidRPr="00825EEB">
        <w:rPr>
          <w:rFonts w:ascii="Sylfaen" w:hAnsi="Sylfaen"/>
          <w:sz w:val="24"/>
          <w:szCs w:val="24"/>
        </w:rPr>
        <w:t>յալ փոփոխություններով.</w:t>
      </w:r>
    </w:p>
    <w:p w14:paraId="25218E27"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eastAsia="Microsoft Sans Serif" w:hAnsi="Sylfaen" w:cs="Microsoft Sans Serif"/>
          <w:color w:val="000000"/>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շարժուն ֆազը</w:t>
      </w:r>
      <w:r w:rsidR="0058052E" w:rsidRPr="00825EEB">
        <w:rPr>
          <w:rFonts w:ascii="Sylfaen" w:eastAsia="Microsoft Sans Serif" w:hAnsi="Sylfaen" w:cs="Microsoft Sans Serif"/>
          <w:color w:val="000000"/>
          <w:sz w:val="24"/>
          <w:szCs w:val="24"/>
        </w:rPr>
        <w:t xml:space="preserve">՝ </w:t>
      </w:r>
      <w:r w:rsidR="0058052E" w:rsidRPr="00825EEB">
        <w:rPr>
          <w:rFonts w:ascii="Sylfaen" w:eastAsia="Microsoft Sans Serif" w:hAnsi="Sylfaen" w:cs="Microsoft Sans Serif"/>
          <w:i/>
          <w:color w:val="000000"/>
          <w:sz w:val="24"/>
          <w:szCs w:val="24"/>
        </w:rPr>
        <w:t xml:space="preserve">քրոմատագրման Ռ ջուր </w:t>
      </w:r>
      <w:r w:rsidRPr="004C2E7D">
        <w:rPr>
          <w:rFonts w:ascii="Sylfaen" w:eastAsia="Microsoft Sans Serif" w:hAnsi="Sylfaen" w:cs="Microsoft Sans Serif"/>
          <w:i/>
          <w:color w:val="000000"/>
          <w:sz w:val="24"/>
          <w:szCs w:val="24"/>
        </w:rPr>
        <w:t>-</w:t>
      </w:r>
      <w:r w:rsidR="0058052E" w:rsidRPr="00825EEB">
        <w:rPr>
          <w:rFonts w:ascii="Sylfaen" w:eastAsia="Microsoft Sans Serif" w:hAnsi="Sylfaen" w:cs="Microsoft Sans Serif"/>
          <w:i/>
          <w:color w:val="000000"/>
          <w:sz w:val="24"/>
          <w:szCs w:val="24"/>
        </w:rPr>
        <w:t xml:space="preserve"> Ռ տետրահիդրոֆուրան </w:t>
      </w:r>
      <w:r>
        <w:rPr>
          <w:rFonts w:ascii="Sylfaen" w:eastAsia="Microsoft Sans Serif" w:hAnsi="Sylfaen" w:cs="Microsoft Sans Serif"/>
          <w:i/>
          <w:color w:val="000000"/>
          <w:sz w:val="24"/>
          <w:szCs w:val="24"/>
        </w:rPr>
        <w:t>–</w:t>
      </w:r>
      <w:r w:rsidR="0058052E" w:rsidRPr="00825EEB">
        <w:rPr>
          <w:rFonts w:ascii="Sylfaen" w:eastAsia="Microsoft Sans Serif" w:hAnsi="Sylfaen" w:cs="Microsoft Sans Serif"/>
          <w:i/>
          <w:color w:val="000000"/>
          <w:sz w:val="24"/>
          <w:szCs w:val="24"/>
        </w:rPr>
        <w:t xml:space="preserve"> Ռ</w:t>
      </w:r>
      <w:r w:rsidRPr="004C2E7D">
        <w:rPr>
          <w:rFonts w:ascii="Sylfaen" w:eastAsia="Microsoft Sans Serif" w:hAnsi="Sylfaen" w:cs="Microsoft Sans Serif"/>
          <w:i/>
          <w:color w:val="000000"/>
          <w:sz w:val="24"/>
          <w:szCs w:val="24"/>
        </w:rPr>
        <w:t> </w:t>
      </w:r>
      <w:r w:rsidR="0058052E" w:rsidRPr="00825EEB">
        <w:rPr>
          <w:rFonts w:ascii="Sylfaen" w:eastAsia="Microsoft Sans Serif" w:hAnsi="Sylfaen" w:cs="Microsoft Sans Serif"/>
          <w:i/>
          <w:color w:val="000000"/>
          <w:sz w:val="24"/>
          <w:szCs w:val="24"/>
        </w:rPr>
        <w:t>ացետոնիտրիլ</w:t>
      </w:r>
      <w:r w:rsidR="0058052E" w:rsidRPr="00825EEB">
        <w:rPr>
          <w:rFonts w:ascii="Sylfaen" w:eastAsia="Microsoft Sans Serif" w:hAnsi="Sylfaen" w:cs="Microsoft Sans Serif"/>
          <w:color w:val="000000"/>
          <w:sz w:val="24"/>
          <w:szCs w:val="24"/>
        </w:rPr>
        <w:t xml:space="preserve"> (10:30:60, </w:t>
      </w:r>
      <w:r w:rsidR="0058052E" w:rsidRPr="00825EEB">
        <w:rPr>
          <w:rFonts w:ascii="Sylfaen" w:eastAsia="Microsoft Sans Serif" w:hAnsi="Sylfaen" w:cs="Microsoft Sans Serif"/>
          <w:i/>
          <w:color w:val="000000"/>
          <w:sz w:val="24"/>
          <w:szCs w:val="24"/>
        </w:rPr>
        <w:t>ծավ/ծավ/ծավ</w:t>
      </w:r>
      <w:r w:rsidR="0058052E" w:rsidRPr="00825EEB">
        <w:rPr>
          <w:rFonts w:ascii="Sylfaen" w:eastAsia="Microsoft Sans Serif" w:hAnsi="Sylfaen" w:cs="Microsoft Sans Serif"/>
          <w:color w:val="000000"/>
          <w:sz w:val="24"/>
          <w:szCs w:val="24"/>
        </w:rPr>
        <w:t>).</w:t>
      </w:r>
    </w:p>
    <w:p w14:paraId="13573D38"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շարժուն ֆազի արագությունը՝</w:t>
      </w:r>
      <w:r w:rsidR="0058052E" w:rsidRPr="00825EEB">
        <w:rPr>
          <w:rFonts w:ascii="Sylfaen" w:hAnsi="Sylfaen"/>
          <w:sz w:val="24"/>
          <w:szCs w:val="24"/>
        </w:rPr>
        <w:t xml:space="preserve"> 1,5 մլ/րոպե.</w:t>
      </w:r>
    </w:p>
    <w:p w14:paraId="14D45906" w14:textId="77777777" w:rsidR="0058052E" w:rsidRPr="00825EEB" w:rsidRDefault="004C2E7D" w:rsidP="004C2E7D">
      <w:pPr>
        <w:tabs>
          <w:tab w:val="left" w:pos="1134"/>
        </w:tabs>
        <w:spacing w:after="160" w:line="360" w:lineRule="auto"/>
        <w:ind w:firstLine="567"/>
        <w:jc w:val="both"/>
      </w:pPr>
      <w:r>
        <w:rPr>
          <w:i/>
        </w:rPr>
        <w:t>-</w:t>
      </w:r>
      <w:r w:rsidRPr="004C2E7D">
        <w:rPr>
          <w:i/>
        </w:rPr>
        <w:tab/>
      </w:r>
      <w:r w:rsidR="0058052E" w:rsidRPr="00825EEB">
        <w:rPr>
          <w:i/>
        </w:rPr>
        <w:t>ներմուծվող փորձանմուշի ծավալը՝</w:t>
      </w:r>
      <w:r w:rsidR="0058052E" w:rsidRPr="00825EEB">
        <w:t xml:space="preserve"> փորձարկվող S21 լուծույթի, համապատասխան ստուգիչ լուծույթի, (բ) համեմատության լուծույթի, (գ) համեմատության լուծույթի </w:t>
      </w:r>
      <w:r w:rsidR="0058052E">
        <w:t>եւ</w:t>
      </w:r>
      <w:r w:rsidR="0058052E" w:rsidRPr="00825EEB">
        <w:t xml:space="preserve"> փորձարկվող պոլիէթիլենի կազմի մեջ մտնող, վեր</w:t>
      </w:r>
      <w:r w:rsidR="0058052E">
        <w:t>եւ</w:t>
      </w:r>
      <w:r w:rsidR="0058052E" w:rsidRPr="00825EEB">
        <w:t>ում ներկայացված ցուցակից հակաօքսիդիչների համեմատության լուծույթների 20-ական մկլ։</w:t>
      </w:r>
    </w:p>
    <w:p w14:paraId="3168003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7DDC1670"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4C2E7D">
        <w:rPr>
          <w:rFonts w:ascii="Sylfaen" w:hAnsi="Sylfaen"/>
          <w:i/>
          <w:spacing w:val="-4"/>
          <w:sz w:val="24"/>
          <w:szCs w:val="24"/>
        </w:rPr>
        <w:lastRenderedPageBreak/>
        <w:t>-</w:t>
      </w:r>
      <w:r w:rsidR="004C2E7D" w:rsidRPr="004C2E7D">
        <w:rPr>
          <w:rFonts w:ascii="Sylfaen" w:hAnsi="Sylfaen"/>
          <w:i/>
          <w:spacing w:val="-4"/>
          <w:sz w:val="24"/>
          <w:szCs w:val="24"/>
        </w:rPr>
        <w:tab/>
      </w:r>
      <w:r w:rsidRPr="004C2E7D">
        <w:rPr>
          <w:rFonts w:ascii="Sylfaen" w:hAnsi="Sylfaen"/>
          <w:i/>
          <w:spacing w:val="-4"/>
          <w:sz w:val="24"/>
          <w:szCs w:val="24"/>
        </w:rPr>
        <w:t>լուծաչափը՝</w:t>
      </w:r>
      <w:r w:rsidRPr="004C2E7D">
        <w:rPr>
          <w:rFonts w:ascii="Sylfaen" w:hAnsi="Sylfaen"/>
          <w:spacing w:val="-4"/>
          <w:sz w:val="24"/>
          <w:szCs w:val="24"/>
        </w:rPr>
        <w:t xml:space="preserve"> պոլիմերային 09 նյութի հավելանյութի եւ պոլիմերային 10-րդ նյութի</w:t>
      </w:r>
      <w:r w:rsidRPr="00825EEB">
        <w:rPr>
          <w:rFonts w:ascii="Sylfaen" w:hAnsi="Sylfaen"/>
          <w:sz w:val="24"/>
          <w:szCs w:val="24"/>
        </w:rPr>
        <w:t xml:space="preserve"> հավելանյութի պիկերի միջ</w:t>
      </w:r>
      <w:r>
        <w:rPr>
          <w:rFonts w:ascii="Sylfaen" w:hAnsi="Sylfaen"/>
          <w:sz w:val="24"/>
          <w:szCs w:val="24"/>
        </w:rPr>
        <w:t>եւ</w:t>
      </w:r>
      <w:r w:rsidRPr="00825EEB">
        <w:rPr>
          <w:rFonts w:ascii="Sylfaen" w:hAnsi="Sylfaen"/>
          <w:sz w:val="24"/>
          <w:szCs w:val="24"/>
        </w:rPr>
        <w:t xml:space="preserve"> ոչ պակաս, քան 2,0՝ (բ) համեմատության լուծույթի քրոմատագրի վրա. պոլիմերային 11-րդ նյութի հավելանյութի </w:t>
      </w:r>
      <w:r>
        <w:rPr>
          <w:rFonts w:ascii="Sylfaen" w:hAnsi="Sylfaen"/>
          <w:sz w:val="24"/>
          <w:szCs w:val="24"/>
        </w:rPr>
        <w:t>եւ</w:t>
      </w:r>
      <w:r w:rsidRPr="00825EEB">
        <w:rPr>
          <w:rFonts w:ascii="Sylfaen" w:hAnsi="Sylfaen"/>
          <w:sz w:val="24"/>
          <w:szCs w:val="24"/>
        </w:rPr>
        <w:t xml:space="preserve"> պոլիմերային 12-րդ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2,0՝ (գ) համեմատության լուծույթի քրոմատագրի վրա:</w:t>
      </w:r>
    </w:p>
    <w:p w14:paraId="7F55C13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S21 լուծույթի քրոմատագրի վրա պետք է հայտնաբերվեն պիկեր, որոնք համապատասխանում են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17E1746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3F3B7A25"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 xml:space="preserve">պոլիմերային 09, 10-րդ, 11-րդ, 12-րդ նյութերի հավելանյութերի </w:t>
      </w:r>
      <w:r>
        <w:rPr>
          <w:rFonts w:ascii="Sylfaen" w:hAnsi="Sylfaen"/>
          <w:sz w:val="24"/>
          <w:szCs w:val="24"/>
        </w:rPr>
        <w:t>եւ</w:t>
      </w:r>
      <w:r w:rsidRPr="00825EEB">
        <w:rPr>
          <w:rFonts w:ascii="Sylfaen" w:hAnsi="Sylfaen"/>
          <w:sz w:val="24"/>
          <w:szCs w:val="24"/>
        </w:rPr>
        <w:t xml:space="preserve"> (կամ) պոլիմերային 13-րդ նյութի հավելանյութի պարունակությունը հաշվարկելու համար օգտագործում են (է), (ը), (թ), (ժ) </w:t>
      </w:r>
      <w:r>
        <w:rPr>
          <w:rFonts w:ascii="Sylfaen" w:hAnsi="Sylfaen"/>
          <w:sz w:val="24"/>
          <w:szCs w:val="24"/>
        </w:rPr>
        <w:t>եւ</w:t>
      </w:r>
      <w:r w:rsidRPr="00825EEB">
        <w:rPr>
          <w:rFonts w:ascii="Sylfaen" w:hAnsi="Sylfaen"/>
          <w:sz w:val="24"/>
          <w:szCs w:val="24"/>
        </w:rPr>
        <w:t xml:space="preserve"> կամ (զ) համեմատության լուծույթների մեջ համապատասխան ստանդարտ նմուշի կոնցենտրացիան:</w:t>
      </w:r>
    </w:p>
    <w:p w14:paraId="67C9B86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40B434E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09 նյութի հավելանյութ՝</w:t>
      </w:r>
      <w:r w:rsidR="0058052E" w:rsidRPr="00825EEB">
        <w:rPr>
          <w:rFonts w:ascii="Sylfaen" w:hAnsi="Sylfaen"/>
          <w:sz w:val="24"/>
          <w:szCs w:val="24"/>
        </w:rPr>
        <w:t xml:space="preserve"> 0,3 %-ից ոչ ավելի.</w:t>
      </w:r>
    </w:p>
    <w:p w14:paraId="5C5DD0C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10-րդ նյութի հավելանյութ՝</w:t>
      </w:r>
      <w:r w:rsidR="0058052E" w:rsidRPr="00825EEB">
        <w:rPr>
          <w:rFonts w:ascii="Sylfaen" w:hAnsi="Sylfaen"/>
          <w:sz w:val="24"/>
          <w:szCs w:val="24"/>
        </w:rPr>
        <w:t xml:space="preserve"> 0,3 %-ից ոչ ավելի.</w:t>
      </w:r>
    </w:p>
    <w:p w14:paraId="161EC30D"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11-րդ նյութի հավելանյութ՝</w:t>
      </w:r>
      <w:r w:rsidR="0058052E" w:rsidRPr="00825EEB">
        <w:rPr>
          <w:rFonts w:ascii="Sylfaen" w:hAnsi="Sylfaen"/>
          <w:sz w:val="24"/>
          <w:szCs w:val="24"/>
        </w:rPr>
        <w:t xml:space="preserve"> 0,3 %-ից ոչ ավելի.</w:t>
      </w:r>
    </w:p>
    <w:p w14:paraId="352D8704"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12-րդ նյութի հավելանյութ՝</w:t>
      </w:r>
      <w:r w:rsidR="0058052E" w:rsidRPr="00825EEB">
        <w:rPr>
          <w:rFonts w:ascii="Sylfaen" w:hAnsi="Sylfaen"/>
          <w:sz w:val="24"/>
          <w:szCs w:val="24"/>
        </w:rPr>
        <w:t xml:space="preserve"> 0,3 %-ից ոչ ավելի.</w:t>
      </w:r>
    </w:p>
    <w:p w14:paraId="2EA16E42"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պոլիմերային 13-րդ նյութի հավելանյութ՝</w:t>
      </w:r>
      <w:r w:rsidR="0058052E" w:rsidRPr="00825EEB">
        <w:rPr>
          <w:rFonts w:ascii="Sylfaen" w:hAnsi="Sylfaen"/>
          <w:sz w:val="24"/>
          <w:szCs w:val="24"/>
        </w:rPr>
        <w:t xml:space="preserve"> 0,3 %-ից ոչ ավելի:</w:t>
      </w:r>
    </w:p>
    <w:p w14:paraId="020FB0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Ոչ ֆենոլային հակաօքսիդիչները։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2EF6902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Տ22 փորձարկվող լուծույթը</w:t>
      </w:r>
      <w:r w:rsidRPr="00825EEB">
        <w:rPr>
          <w:rFonts w:ascii="Sylfaen" w:hAnsi="Sylfaen"/>
          <w:sz w:val="24"/>
          <w:szCs w:val="24"/>
        </w:rPr>
        <w:t xml:space="preserve">։ Տ2 լուծույթի 100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w:t>
      </w:r>
      <w:r w:rsidRPr="00825EEB">
        <w:rPr>
          <w:rFonts w:ascii="Sylfaen" w:hAnsi="Sylfaen"/>
          <w:sz w:val="24"/>
          <w:szCs w:val="24"/>
        </w:rPr>
        <w:t xml:space="preserve"> </w:t>
      </w:r>
      <w:r w:rsidRPr="00825EEB">
        <w:rPr>
          <w:rFonts w:ascii="Sylfaen" w:hAnsi="Sylfaen"/>
          <w:i/>
          <w:sz w:val="24"/>
          <w:szCs w:val="24"/>
        </w:rPr>
        <w:t>մեջ</w:t>
      </w:r>
      <w:r w:rsidRPr="00825EEB">
        <w:rPr>
          <w:rFonts w:ascii="Sylfaen" w:hAnsi="Sylfaen"/>
          <w:sz w:val="24"/>
          <w:szCs w:val="24"/>
        </w:rPr>
        <w:t xml:space="preserve">: Չոր մնացորդը լուծում են </w:t>
      </w:r>
      <w:r w:rsidRPr="00825EEB">
        <w:rPr>
          <w:rFonts w:ascii="Sylfaen" w:hAnsi="Sylfaen"/>
          <w:i/>
          <w:sz w:val="24"/>
          <w:szCs w:val="24"/>
        </w:rPr>
        <w:t>Ռ թթվեցրած մեթիլենքլորիդի</w:t>
      </w:r>
      <w:r w:rsidRPr="00825EEB">
        <w:rPr>
          <w:rFonts w:ascii="Sylfaen" w:hAnsi="Sylfaen"/>
          <w:sz w:val="24"/>
          <w:szCs w:val="24"/>
        </w:rPr>
        <w:t xml:space="preserve"> 2 մլ-ի մեջ:</w:t>
      </w:r>
    </w:p>
    <w:p w14:paraId="44053FAD" w14:textId="77777777" w:rsidR="0058052E" w:rsidRPr="00825EEB" w:rsidRDefault="0058052E" w:rsidP="004C2E7D">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(ԺԱ)</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14-րդ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մինչեւ 10 մլ ծավալը։</w:t>
      </w:r>
    </w:p>
    <w:p w14:paraId="1868A4F8" w14:textId="77777777" w:rsidR="0058052E" w:rsidRPr="00825EEB" w:rsidRDefault="0058052E" w:rsidP="004C2E7D">
      <w:pPr>
        <w:tabs>
          <w:tab w:val="left" w:pos="1276"/>
        </w:tabs>
        <w:spacing w:after="160" w:line="360" w:lineRule="auto"/>
        <w:ind w:firstLine="567"/>
        <w:jc w:val="both"/>
      </w:pPr>
      <w:r w:rsidRPr="00825EEB">
        <w:rPr>
          <w:i/>
        </w:rPr>
        <w:t>(ԺԲ)</w:t>
      </w:r>
      <w:r w:rsidR="004C2E7D" w:rsidRPr="00A859E3">
        <w:rPr>
          <w:i/>
        </w:rPr>
        <w:tab/>
      </w:r>
      <w:r w:rsidRPr="00825EEB">
        <w:rPr>
          <w:i/>
        </w:rPr>
        <w:t>համեմատության լուծույթը։</w:t>
      </w:r>
      <w:r w:rsidRPr="00825EEB">
        <w:t xml:space="preserve"> </w:t>
      </w:r>
      <w:r w:rsidRPr="00825EEB">
        <w:rPr>
          <w:i/>
        </w:rPr>
        <w:t>Պոլիմերային 15-րդ նյութի հավելանյութի ԵԱՏՄԴ ՍՆ</w:t>
      </w:r>
      <w:r w:rsidRPr="00825EEB">
        <w:t xml:space="preserve"> 60 մգ-ը լուծում են </w:t>
      </w:r>
      <w:r w:rsidRPr="00825EEB">
        <w:rPr>
          <w:i/>
        </w:rPr>
        <w:t>Ռ մեթիլենքլորիդի</w:t>
      </w:r>
      <w:r w:rsidRPr="00825EEB">
        <w:t xml:space="preserve"> մեջ </w:t>
      </w:r>
      <w:r>
        <w:t>եւ</w:t>
      </w:r>
      <w:r w:rsidRPr="00825EEB">
        <w:t xml:space="preserve"> նույն լուծիչով լուծույթի ծավալը հասցնում մինչ</w:t>
      </w:r>
      <w:r>
        <w:t>եւ</w:t>
      </w:r>
      <w:r w:rsidRPr="00825EEB">
        <w:t xml:space="preserve"> 10 մլ: Ստացված լուծույթի 2 մլ-ը </w:t>
      </w:r>
      <w:r w:rsidRPr="00825EEB">
        <w:rPr>
          <w:i/>
        </w:rPr>
        <w:t>Ռ թթվեցրած մեթիլենքլորիդով</w:t>
      </w:r>
      <w:r w:rsidRPr="00825EEB">
        <w:t xml:space="preserve"> հասցնում են մինչեւ10 մլ ծավալը։</w:t>
      </w:r>
    </w:p>
    <w:p w14:paraId="018D7EC3" w14:textId="77777777" w:rsidR="0058052E" w:rsidRPr="00825EEB" w:rsidRDefault="0058052E" w:rsidP="004C2E7D">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(ԺԳ)</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16-րդ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 մեջ</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մինչեւ10 մլ ծավալը։</w:t>
      </w:r>
    </w:p>
    <w:p w14:paraId="2C44A8F3" w14:textId="77777777" w:rsidR="0058052E" w:rsidRPr="00825EEB" w:rsidRDefault="0058052E" w:rsidP="004C2E7D">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(ԺԴ)</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17-րդ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մինչեւ10 մլ ծավալը։</w:t>
      </w:r>
    </w:p>
    <w:p w14:paraId="61124F43" w14:textId="77777777" w:rsidR="0058052E" w:rsidRPr="00825EEB" w:rsidRDefault="0058052E" w:rsidP="004C2E7D">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(ԺԵ)</w:t>
      </w:r>
      <w:r w:rsidR="004C2E7D" w:rsidRPr="004C2E7D">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 xml:space="preserve">Պոլիմերային 16-րդ նյութի հավելանյութի </w:t>
      </w:r>
      <w:r w:rsidRPr="004C2E7D">
        <w:rPr>
          <w:rFonts w:ascii="Sylfaen" w:hAnsi="Sylfaen"/>
          <w:i/>
          <w:spacing w:val="4"/>
          <w:sz w:val="24"/>
          <w:szCs w:val="24"/>
        </w:rPr>
        <w:t>ԵԱՏՄԴ ՍՆ</w:t>
      </w:r>
      <w:r w:rsidRPr="004C2E7D">
        <w:rPr>
          <w:rFonts w:ascii="Sylfaen" w:hAnsi="Sylfaen"/>
          <w:spacing w:val="4"/>
          <w:sz w:val="24"/>
          <w:szCs w:val="24"/>
        </w:rPr>
        <w:t xml:space="preserve"> 60 մգ-ը եւ </w:t>
      </w:r>
      <w:r w:rsidRPr="004C2E7D">
        <w:rPr>
          <w:rFonts w:ascii="Sylfaen" w:hAnsi="Sylfaen"/>
          <w:i/>
          <w:spacing w:val="4"/>
          <w:sz w:val="24"/>
          <w:szCs w:val="24"/>
        </w:rPr>
        <w:t>պոլիմերային 17-րդ նյութի հավելանյութի ԵԱՏՄԴ ՍՆ</w:t>
      </w:r>
      <w:r w:rsidRPr="004C2E7D">
        <w:rPr>
          <w:rFonts w:ascii="Sylfaen" w:hAnsi="Sylfaen"/>
          <w:spacing w:val="4"/>
          <w:sz w:val="24"/>
          <w:szCs w:val="24"/>
        </w:rPr>
        <w:t xml:space="preserve"> 60</w:t>
      </w:r>
      <w:r w:rsidR="004C2E7D" w:rsidRPr="004C2E7D">
        <w:rPr>
          <w:rFonts w:ascii="Sylfaen" w:hAnsi="Sylfaen"/>
          <w:spacing w:val="4"/>
          <w:sz w:val="24"/>
          <w:szCs w:val="24"/>
        </w:rPr>
        <w:t> </w:t>
      </w:r>
      <w:r w:rsidRPr="004C2E7D">
        <w:rPr>
          <w:rFonts w:ascii="Sylfaen" w:hAnsi="Sylfaen"/>
          <w:spacing w:val="4"/>
          <w:sz w:val="24"/>
          <w:szCs w:val="24"/>
        </w:rPr>
        <w:t>մգ-ը լուծում</w:t>
      </w:r>
      <w:r w:rsidRPr="00825EEB">
        <w:rPr>
          <w:rFonts w:ascii="Sylfaen" w:hAnsi="Sylfaen"/>
          <w:sz w:val="24"/>
          <w:szCs w:val="24"/>
        </w:rPr>
        <w:t xml:space="preserve">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մինչեւ10 մլ ծավալը։</w:t>
      </w:r>
    </w:p>
    <w:p w14:paraId="1677B2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090D11F3"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ՆՇՔ թիթեղը՝ GF</w:t>
      </w:r>
      <w:r w:rsidRPr="00825EEB">
        <w:rPr>
          <w:rFonts w:ascii="Sylfaen" w:hAnsi="Sylfaen"/>
          <w:i/>
          <w:sz w:val="24"/>
          <w:szCs w:val="24"/>
          <w:vertAlign w:val="subscript"/>
        </w:rPr>
        <w:t>254</w:t>
      </w:r>
      <w:r w:rsidRPr="00825EEB">
        <w:rPr>
          <w:rFonts w:ascii="Sylfaen" w:hAnsi="Sylfaen"/>
          <w:sz w:val="24"/>
          <w:szCs w:val="24"/>
        </w:rPr>
        <w:t xml:space="preserve"> Ռ սիլիկագելի շերտով.</w:t>
      </w:r>
    </w:p>
    <w:p w14:paraId="55765EFC"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Ա շարժուն ֆազը՝ Ռ հեքսան.</w:t>
      </w:r>
    </w:p>
    <w:p w14:paraId="3926BCDE" w14:textId="77777777" w:rsidR="0058052E" w:rsidRDefault="0058052E" w:rsidP="004C2E7D">
      <w:pPr>
        <w:pStyle w:val="a0"/>
        <w:shd w:val="clear" w:color="auto" w:fill="auto"/>
        <w:tabs>
          <w:tab w:val="left" w:pos="1134"/>
        </w:tabs>
        <w:spacing w:after="160" w:line="360" w:lineRule="auto"/>
        <w:ind w:firstLine="567"/>
        <w:jc w:val="both"/>
        <w:rPr>
          <w:rFonts w:ascii="Sylfaen" w:hAnsi="Sylfaen"/>
          <w:i/>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Բ շարժուն ֆազը՝ Ռ մեթիլենքլորիդ.</w:t>
      </w:r>
    </w:p>
    <w:p w14:paraId="1E2869E4" w14:textId="77777777" w:rsidR="00A84AF4" w:rsidRPr="00825EEB" w:rsidRDefault="00A84AF4" w:rsidP="004C2E7D">
      <w:pPr>
        <w:pStyle w:val="a0"/>
        <w:shd w:val="clear" w:color="auto" w:fill="auto"/>
        <w:tabs>
          <w:tab w:val="left" w:pos="1134"/>
        </w:tabs>
        <w:spacing w:after="160" w:line="360" w:lineRule="auto"/>
        <w:ind w:firstLine="567"/>
        <w:jc w:val="both"/>
        <w:rPr>
          <w:rFonts w:ascii="Sylfaen" w:hAnsi="Sylfaen" w:cs="Sylfaen"/>
          <w:sz w:val="24"/>
          <w:szCs w:val="24"/>
        </w:rPr>
      </w:pPr>
    </w:p>
    <w:p w14:paraId="0F73101F" w14:textId="77777777" w:rsidR="0058052E" w:rsidRPr="00825EEB" w:rsidRDefault="0058052E" w:rsidP="00A84AF4">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w:t>
      </w:r>
      <w:r w:rsidR="004C2E7D" w:rsidRPr="00A859E3">
        <w:rPr>
          <w:rFonts w:ascii="Sylfaen" w:hAnsi="Sylfaen"/>
          <w:i/>
          <w:sz w:val="24"/>
          <w:szCs w:val="24"/>
        </w:rPr>
        <w:tab/>
      </w:r>
      <w:r w:rsidRPr="00825EEB">
        <w:rPr>
          <w:rFonts w:ascii="Sylfaen" w:hAnsi="Sylfaen"/>
          <w:i/>
          <w:sz w:val="24"/>
          <w:szCs w:val="24"/>
        </w:rPr>
        <w:t>քսվող փորձանմուշի ծավալը՝</w:t>
      </w:r>
      <w:r w:rsidRPr="00825EEB">
        <w:rPr>
          <w:rFonts w:ascii="Sylfaen" w:hAnsi="Sylfaen"/>
          <w:sz w:val="24"/>
          <w:szCs w:val="24"/>
        </w:rPr>
        <w:t xml:space="preserve"> փորձարկվող S22 լուծույթի, (ժե) համեմատության լուծույթի </w:t>
      </w:r>
      <w:r>
        <w:rPr>
          <w:rFonts w:ascii="Sylfaen" w:hAnsi="Sylfaen"/>
          <w:sz w:val="24"/>
          <w:szCs w:val="24"/>
        </w:rPr>
        <w:t>եւ</w:t>
      </w:r>
      <w:r w:rsidRPr="00825EEB">
        <w:rPr>
          <w:rFonts w:ascii="Sylfaen" w:hAnsi="Sylfaen"/>
          <w:sz w:val="24"/>
          <w:szCs w:val="24"/>
        </w:rPr>
        <w:t xml:space="preserve"> փորձարկվող պոլիմերի տիպային նմուշի նյութի կազմի մեջ մտնող բոլոր ֆենոլային ու ոչ ֆենոլային հակաօքսիդիչներին համապատասխանող համեմատության լուծույթների 20-ական մկլ.</w:t>
      </w:r>
    </w:p>
    <w:p w14:paraId="4C3E22E5" w14:textId="77777777" w:rsidR="0058052E" w:rsidRPr="00825EEB" w:rsidRDefault="0058052E" w:rsidP="00A84AF4">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i/>
          <w:sz w:val="24"/>
          <w:szCs w:val="24"/>
        </w:rPr>
        <w:t>չորացումը</w:t>
      </w:r>
      <w:r w:rsidRPr="00825EEB">
        <w:rPr>
          <w:rFonts w:ascii="Sylfaen" w:hAnsi="Sylfaen"/>
          <w:sz w:val="24"/>
          <w:szCs w:val="24"/>
        </w:rPr>
        <w:t>՝ օդում.</w:t>
      </w:r>
    </w:p>
    <w:p w14:paraId="06CD766C" w14:textId="77777777" w:rsidR="0058052E" w:rsidRPr="00825EEB" w:rsidRDefault="0058052E" w:rsidP="00A84AF4">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i/>
          <w:sz w:val="24"/>
          <w:szCs w:val="24"/>
        </w:rPr>
        <w:t>դետեկտումը</w:t>
      </w:r>
      <w:r w:rsidRPr="00825EEB">
        <w:rPr>
          <w:rFonts w:ascii="Sylfaen" w:hAnsi="Sylfaen"/>
          <w:sz w:val="24"/>
          <w:szCs w:val="24"/>
        </w:rPr>
        <w:t xml:space="preserve">՝ թիթեղը դիտում են ուլտրամանուշակագույն լույսի տակ </w:t>
      </w:r>
      <w:r w:rsidRPr="004C2E7D">
        <w:rPr>
          <w:rFonts w:ascii="Sylfaen" w:hAnsi="Sylfaen"/>
          <w:spacing w:val="4"/>
          <w:sz w:val="24"/>
          <w:szCs w:val="24"/>
        </w:rPr>
        <w:t xml:space="preserve">ալիքի 254 նմ երկարությամբ, ցողում </w:t>
      </w:r>
      <w:r w:rsidRPr="004C2E7D">
        <w:rPr>
          <w:rFonts w:ascii="Sylfaen" w:hAnsi="Sylfaen"/>
          <w:i/>
          <w:spacing w:val="4"/>
          <w:sz w:val="24"/>
          <w:szCs w:val="24"/>
        </w:rPr>
        <w:t>Ռ յոդի սպիրտային լուծույթով</w:t>
      </w:r>
      <w:r w:rsidRPr="004C2E7D">
        <w:rPr>
          <w:rFonts w:ascii="Sylfaen" w:hAnsi="Sylfaen"/>
          <w:spacing w:val="4"/>
          <w:sz w:val="24"/>
          <w:szCs w:val="24"/>
        </w:rPr>
        <w:t xml:space="preserve"> եւ դիտում 10-15 րոպե</w:t>
      </w:r>
      <w:r w:rsidRPr="00825EEB">
        <w:rPr>
          <w:rFonts w:ascii="Sylfaen" w:hAnsi="Sylfaen"/>
          <w:sz w:val="24"/>
          <w:szCs w:val="24"/>
        </w:rPr>
        <w:t xml:space="preserve"> հետո ուլտրամանուշակագույն լույսի տակ՝ ալիքի 254 նմ երկարությամբ:</w:t>
      </w:r>
    </w:p>
    <w:p w14:paraId="1344CECD" w14:textId="77777777" w:rsidR="0058052E" w:rsidRPr="00825EEB" w:rsidRDefault="0058052E" w:rsidP="00A84AF4">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Քրոմատագրական բաժանումը</w:t>
      </w:r>
      <w:r w:rsidRPr="00825EEB">
        <w:rPr>
          <w:rFonts w:ascii="Sylfaen" w:hAnsi="Sylfaen"/>
          <w:sz w:val="24"/>
          <w:szCs w:val="24"/>
        </w:rPr>
        <w:t>՝ մեկնարկային գծից 18 սմ-ից ոչ պակաս՝ Ա շարժուն ֆազի օգտագործմամբ. չորացնելուց հետո քրոմատագրում են մեկնարկային գծից 17 սմ-ից ոչ պակաս տարածության վրա՝ Բ շարժուն ֆազի օգտագործմամբ.</w:t>
      </w:r>
    </w:p>
    <w:p w14:paraId="51BE3F7A" w14:textId="77777777" w:rsidR="0058052E" w:rsidRPr="00825EEB" w:rsidRDefault="0058052E" w:rsidP="00A84AF4">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0A95FD38" w14:textId="77777777" w:rsidR="0058052E" w:rsidRPr="00825EEB" w:rsidRDefault="004C2E7D" w:rsidP="00A84AF4">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(ժե) համեմատության լուծույթի քրոմատագրի վրա պետք է հայտնաբերվեն հստակ բաժանված 2 բծեր:</w:t>
      </w:r>
    </w:p>
    <w:p w14:paraId="37201547" w14:textId="77777777" w:rsidR="0058052E" w:rsidRPr="00825EEB" w:rsidRDefault="0058052E" w:rsidP="00A84AF4">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64DD06A7" w14:textId="77777777" w:rsidR="0058052E" w:rsidRPr="00825EEB" w:rsidRDefault="004C2E7D" w:rsidP="00A84AF4">
      <w:pPr>
        <w:tabs>
          <w:tab w:val="left" w:pos="1134"/>
        </w:tabs>
        <w:spacing w:after="160" w:line="360" w:lineRule="auto"/>
        <w:ind w:firstLine="567"/>
        <w:jc w:val="both"/>
      </w:pPr>
      <w:r>
        <w:t>-</w:t>
      </w:r>
      <w:r w:rsidRPr="004C2E7D">
        <w:tab/>
      </w:r>
      <w:r w:rsidR="0058052E" w:rsidRPr="00825EEB">
        <w:t xml:space="preserve">փորձարկվող Տ22 լուծույթի քրոմատագրի վրա պետք է հայտնաբերվեն բծեր համեմատության լուծույթների քրոմատագրերի վրա համապատասխան բծերի մակարդակում </w:t>
      </w:r>
      <w:r w:rsidR="0058052E">
        <w:t>եւ</w:t>
      </w:r>
      <w:r w:rsidR="0058052E" w:rsidRPr="00825EEB">
        <w:t xml:space="preserve"> չգերազանցեն դրանք ինտենսիվության առումով:</w:t>
      </w:r>
    </w:p>
    <w:p w14:paraId="0E5527E9" w14:textId="77777777" w:rsidR="0058052E" w:rsidRPr="00825EEB" w:rsidRDefault="0058052E" w:rsidP="00A84AF4">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Ամիդներ </w:t>
      </w:r>
      <w:r>
        <w:rPr>
          <w:rFonts w:ascii="Sylfaen" w:hAnsi="Sylfaen"/>
          <w:b/>
          <w:sz w:val="24"/>
          <w:szCs w:val="24"/>
        </w:rPr>
        <w:t>եւ</w:t>
      </w:r>
      <w:r w:rsidRPr="00825EEB">
        <w:rPr>
          <w:rFonts w:ascii="Sylfaen" w:hAnsi="Sylfaen"/>
          <w:b/>
          <w:sz w:val="24"/>
          <w:szCs w:val="24"/>
        </w:rPr>
        <w:t xml:space="preserve"> ստեարատներ։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73E8D70E" w14:textId="77777777" w:rsidR="0058052E" w:rsidRDefault="0058052E" w:rsidP="00A84AF4">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«Ոչ ֆենոլային հակաօքսիդիչներ» փորձարկման ցուցումներին համապատասխան պատրաստված փորձարկվող Տ22 լուծույթը:</w:t>
      </w:r>
    </w:p>
    <w:p w14:paraId="468F23E1" w14:textId="77777777" w:rsidR="00A84AF4" w:rsidRPr="00825EEB" w:rsidRDefault="00A84AF4" w:rsidP="00A84AF4">
      <w:pPr>
        <w:pStyle w:val="a0"/>
        <w:shd w:val="clear" w:color="auto" w:fill="auto"/>
        <w:spacing w:after="160" w:line="360" w:lineRule="auto"/>
        <w:ind w:firstLine="567"/>
        <w:jc w:val="both"/>
        <w:rPr>
          <w:rFonts w:ascii="Sylfaen" w:hAnsi="Sylfaen" w:cs="Sylfaen"/>
          <w:sz w:val="24"/>
          <w:szCs w:val="24"/>
        </w:rPr>
      </w:pPr>
    </w:p>
    <w:p w14:paraId="7C6048E0" w14:textId="77777777" w:rsidR="0058052E" w:rsidRPr="00825EEB" w:rsidRDefault="0058052E" w:rsidP="00A84AF4">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(ԺԶ)</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 xml:space="preserve">Ստեարինաթթվի </w:t>
      </w:r>
      <w:r w:rsidRPr="00825EEB">
        <w:rPr>
          <w:rFonts w:ascii="Sylfaen" w:hAnsi="Sylfaen"/>
          <w:sz w:val="24"/>
          <w:szCs w:val="24"/>
        </w:rPr>
        <w:t xml:space="preserve">(պոլիմերային 19-րդ նյութի հավելանյութի) </w:t>
      </w:r>
      <w:r w:rsidRPr="00825EEB">
        <w:rPr>
          <w:rFonts w:ascii="Sylfaen" w:hAnsi="Sylfaen"/>
          <w:i/>
          <w:sz w:val="24"/>
          <w:szCs w:val="24"/>
        </w:rPr>
        <w:t>ԵԱՏՄԴ ՍՆ</w:t>
      </w:r>
      <w:r w:rsidRPr="00825EEB">
        <w:rPr>
          <w:rFonts w:ascii="Sylfaen" w:hAnsi="Sylfaen"/>
          <w:sz w:val="24"/>
          <w:szCs w:val="24"/>
        </w:rPr>
        <w:t xml:space="preserve"> 20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w:t>
      </w:r>
    </w:p>
    <w:p w14:paraId="14D8A6EC" w14:textId="77777777" w:rsidR="0058052E" w:rsidRPr="00825EEB" w:rsidRDefault="0058052E" w:rsidP="00A84AF4">
      <w:pPr>
        <w:pStyle w:val="a0"/>
        <w:shd w:val="clear" w:color="auto" w:fill="auto"/>
        <w:tabs>
          <w:tab w:val="left" w:pos="1276"/>
        </w:tabs>
        <w:spacing w:after="160" w:line="346" w:lineRule="auto"/>
        <w:ind w:firstLine="567"/>
        <w:jc w:val="both"/>
        <w:rPr>
          <w:rFonts w:ascii="Sylfaen" w:hAnsi="Sylfaen" w:cs="Sylfaen"/>
          <w:sz w:val="24"/>
          <w:szCs w:val="24"/>
        </w:rPr>
      </w:pPr>
      <w:r w:rsidRPr="00825EEB">
        <w:rPr>
          <w:rFonts w:ascii="Sylfaen" w:hAnsi="Sylfaen"/>
          <w:i/>
          <w:sz w:val="24"/>
          <w:szCs w:val="24"/>
        </w:rPr>
        <w:t>(ԺԷ)</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20-րդ նյութի հավելանյութի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20 մլ:</w:t>
      </w:r>
    </w:p>
    <w:p w14:paraId="568874CA" w14:textId="77777777" w:rsidR="0058052E" w:rsidRPr="00825EEB" w:rsidRDefault="0058052E" w:rsidP="00A84AF4">
      <w:pPr>
        <w:pStyle w:val="a0"/>
        <w:shd w:val="clear" w:color="auto" w:fill="auto"/>
        <w:tabs>
          <w:tab w:val="left" w:pos="1276"/>
        </w:tabs>
        <w:spacing w:after="160" w:line="346" w:lineRule="auto"/>
        <w:ind w:firstLine="567"/>
        <w:jc w:val="both"/>
        <w:rPr>
          <w:rFonts w:ascii="Sylfaen" w:hAnsi="Sylfaen" w:cs="Sylfaen"/>
          <w:sz w:val="24"/>
          <w:szCs w:val="24"/>
        </w:rPr>
      </w:pPr>
      <w:r w:rsidRPr="00825EEB">
        <w:rPr>
          <w:rFonts w:ascii="Sylfaen" w:hAnsi="Sylfaen"/>
          <w:i/>
          <w:sz w:val="24"/>
          <w:szCs w:val="24"/>
        </w:rPr>
        <w:t>(ԺԸ)</w:t>
      </w:r>
      <w:r w:rsidR="004C2E7D"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21-րդ նյութի հավելանյութի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20 մլ:</w:t>
      </w:r>
    </w:p>
    <w:p w14:paraId="4BF5470B" w14:textId="77777777" w:rsidR="0058052E" w:rsidRPr="00825EEB" w:rsidRDefault="0058052E" w:rsidP="00A84AF4">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1BB34CC9" w14:textId="77777777" w:rsidR="0058052E" w:rsidRPr="00825EEB" w:rsidRDefault="0058052E" w:rsidP="00A84AF4">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i/>
          <w:sz w:val="24"/>
          <w:szCs w:val="24"/>
        </w:rPr>
        <w:t>-</w:t>
      </w:r>
      <w:r w:rsidR="004C2E7D" w:rsidRPr="00A859E3">
        <w:rPr>
          <w:rFonts w:ascii="Sylfaen" w:hAnsi="Sylfaen"/>
          <w:i/>
          <w:sz w:val="24"/>
          <w:szCs w:val="24"/>
        </w:rPr>
        <w:tab/>
      </w:r>
      <w:r w:rsidRPr="00825EEB">
        <w:rPr>
          <w:rFonts w:ascii="Sylfaen" w:hAnsi="Sylfaen"/>
          <w:i/>
          <w:sz w:val="24"/>
          <w:szCs w:val="24"/>
        </w:rPr>
        <w:t>ՆՇՔ թիթեղը՝ GF</w:t>
      </w:r>
      <w:r w:rsidRPr="00825EEB">
        <w:rPr>
          <w:rFonts w:ascii="Sylfaen" w:hAnsi="Sylfaen"/>
          <w:i/>
          <w:sz w:val="24"/>
          <w:szCs w:val="24"/>
          <w:vertAlign w:val="subscript"/>
        </w:rPr>
        <w:t>254</w:t>
      </w:r>
      <w:r w:rsidRPr="00825EEB">
        <w:rPr>
          <w:rFonts w:ascii="Sylfaen" w:hAnsi="Sylfaen"/>
          <w:i/>
          <w:sz w:val="24"/>
          <w:szCs w:val="24"/>
        </w:rPr>
        <w:t xml:space="preserve"> Ռ սիլիկագելի շերտով</w:t>
      </w:r>
      <w:r w:rsidRPr="00825EEB">
        <w:rPr>
          <w:rFonts w:ascii="Sylfaen" w:hAnsi="Sylfaen"/>
          <w:sz w:val="24"/>
          <w:szCs w:val="24"/>
        </w:rPr>
        <w:t xml:space="preserve"> (2 հատ):</w:t>
      </w:r>
    </w:p>
    <w:p w14:paraId="4895820D" w14:textId="77777777" w:rsidR="0058052E" w:rsidRPr="00825EEB" w:rsidRDefault="0058052E" w:rsidP="00A84AF4">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Ա.</w:t>
      </w:r>
    </w:p>
    <w:p w14:paraId="2AAB0E0E"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i/>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շարժուն ֆազը՝ Ռ անջուր էթանոլ – Ռ տրիմեթիլպենտան (</w:t>
      </w:r>
      <w:r w:rsidR="0058052E" w:rsidRPr="00825EEB">
        <w:rPr>
          <w:rFonts w:ascii="Sylfaen" w:hAnsi="Sylfaen"/>
          <w:sz w:val="24"/>
          <w:szCs w:val="24"/>
        </w:rPr>
        <w:t>25:75,</w:t>
      </w:r>
      <w:r w:rsidR="0058052E" w:rsidRPr="00825EEB">
        <w:rPr>
          <w:rFonts w:ascii="Sylfaen" w:hAnsi="Sylfaen"/>
          <w:i/>
          <w:sz w:val="24"/>
          <w:szCs w:val="24"/>
        </w:rPr>
        <w:t xml:space="preserve"> ծավ/ծավ).</w:t>
      </w:r>
    </w:p>
    <w:p w14:paraId="7F47070C"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փորձարկվող Տ22 լուծույթի </w:t>
      </w:r>
      <w:r w:rsidR="0058052E">
        <w:rPr>
          <w:rFonts w:ascii="Sylfaen" w:hAnsi="Sylfaen"/>
          <w:sz w:val="24"/>
          <w:szCs w:val="24"/>
        </w:rPr>
        <w:t>եւ</w:t>
      </w:r>
      <w:r w:rsidR="0058052E" w:rsidRPr="00825EEB">
        <w:rPr>
          <w:rFonts w:ascii="Sylfaen" w:hAnsi="Sylfaen"/>
          <w:sz w:val="24"/>
          <w:szCs w:val="24"/>
        </w:rPr>
        <w:t xml:space="preserve"> (ժէ) համեմատության լուծույթի 10-ական մկլ.</w:t>
      </w:r>
    </w:p>
    <w:p w14:paraId="62E66100"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առնվազն 10 սմ.</w:t>
      </w:r>
    </w:p>
    <w:p w14:paraId="3B2430C4"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766F9B07"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ցողում են </w:t>
      </w:r>
      <w:r w:rsidR="0058052E" w:rsidRPr="00825EEB">
        <w:rPr>
          <w:rFonts w:ascii="Sylfaen" w:hAnsi="Sylfaen"/>
          <w:i/>
          <w:sz w:val="24"/>
          <w:szCs w:val="24"/>
        </w:rPr>
        <w:t>Ռ անջուր էթանոլի</w:t>
      </w:r>
      <w:r w:rsidR="0058052E" w:rsidRPr="00825EEB">
        <w:rPr>
          <w:rFonts w:ascii="Sylfaen" w:hAnsi="Sylfaen"/>
          <w:sz w:val="24"/>
          <w:szCs w:val="24"/>
        </w:rPr>
        <w:t xml:space="preserve"> մեջ 2 գ/լ </w:t>
      </w:r>
      <w:r w:rsidR="0058052E" w:rsidRPr="00825EEB">
        <w:rPr>
          <w:rFonts w:ascii="Sylfaen" w:hAnsi="Sylfaen"/>
          <w:i/>
          <w:sz w:val="24"/>
          <w:szCs w:val="24"/>
        </w:rPr>
        <w:t>Ռ նատրիումի աղի դիքլորֆենոլինդոֆենոլի</w:t>
      </w:r>
      <w:r w:rsidR="0058052E" w:rsidRPr="00825EEB">
        <w:rPr>
          <w:rFonts w:ascii="Sylfaen" w:hAnsi="Sylfaen"/>
          <w:sz w:val="24"/>
          <w:szCs w:val="24"/>
        </w:rPr>
        <w:t xml:space="preserve"> լուծույթով </w:t>
      </w:r>
      <w:r w:rsidR="0058052E">
        <w:rPr>
          <w:rFonts w:ascii="Sylfaen" w:hAnsi="Sylfaen"/>
          <w:sz w:val="24"/>
          <w:szCs w:val="24"/>
        </w:rPr>
        <w:t>եւ</w:t>
      </w:r>
      <w:r w:rsidR="0058052E" w:rsidRPr="00825EEB">
        <w:rPr>
          <w:rFonts w:ascii="Sylfaen" w:hAnsi="Sylfaen"/>
          <w:sz w:val="24"/>
          <w:szCs w:val="24"/>
        </w:rPr>
        <w:t xml:space="preserve"> մի քանի րոպե տաքացնում 120 °С ջերմաստիճանի տակ՝ բծերի ինտենսիվությունն ուժեղացնելու համար:</w:t>
      </w:r>
    </w:p>
    <w:p w14:paraId="329B54DA" w14:textId="77777777" w:rsidR="0058052E" w:rsidRPr="00825EEB" w:rsidRDefault="0058052E" w:rsidP="00A84AF4">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0C130C09" w14:textId="77777777" w:rsidR="0058052E" w:rsidRPr="00825EEB" w:rsidRDefault="004C2E7D" w:rsidP="00A84AF4">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պոլիմերային 19-րդ նյութի հավելանյութին համապատասխանող՝ փորձարկվող Տ22 լուծույթի քրոմատագրի բծերը պետք է հայտնաբերվեն (ժզ) համեմատության լուծույթի քրոմատագրի վրայի բծի մակարդակում (R</w:t>
      </w:r>
      <w:r w:rsidR="0058052E" w:rsidRPr="00825EEB">
        <w:rPr>
          <w:rFonts w:ascii="Sylfaen" w:hAnsi="Sylfaen"/>
          <w:sz w:val="24"/>
          <w:szCs w:val="24"/>
          <w:vertAlign w:val="subscript"/>
        </w:rPr>
        <w:t>F</w:t>
      </w:r>
      <w:r w:rsidR="0058052E" w:rsidRPr="00825EEB">
        <w:rPr>
          <w:rFonts w:ascii="Sylfaen" w:hAnsi="Sylfaen"/>
          <w:sz w:val="24"/>
          <w:szCs w:val="24"/>
        </w:rPr>
        <w:t xml:space="preserve">՝ մոտ 0,5) </w:t>
      </w:r>
      <w:r w:rsidR="0058052E">
        <w:rPr>
          <w:rFonts w:ascii="Sylfaen" w:hAnsi="Sylfaen"/>
          <w:sz w:val="24"/>
          <w:szCs w:val="24"/>
        </w:rPr>
        <w:t>եւ</w:t>
      </w:r>
      <w:r w:rsidR="0058052E" w:rsidRPr="00825EEB">
        <w:rPr>
          <w:rFonts w:ascii="Sylfaen" w:hAnsi="Sylfaen"/>
          <w:sz w:val="24"/>
          <w:szCs w:val="24"/>
        </w:rPr>
        <w:t xml:space="preserve"> ըստ ինտենսիվության՝ չգերազանցեն այն:</w:t>
      </w:r>
    </w:p>
    <w:p w14:paraId="51C16AC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Բ.</w:t>
      </w:r>
    </w:p>
    <w:p w14:paraId="0429D592"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Ա շարժուն ֆազ՝ Ռ հեքսան.</w:t>
      </w:r>
    </w:p>
    <w:p w14:paraId="53F2F8E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i/>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Բ շարժուն ֆազ՝ Ռ մեթանոլ – Ռ մեթիլենքլորիդ (</w:t>
      </w:r>
      <w:r w:rsidR="0058052E" w:rsidRPr="00825EEB">
        <w:rPr>
          <w:rFonts w:ascii="Sylfaen" w:hAnsi="Sylfaen"/>
          <w:sz w:val="24"/>
          <w:szCs w:val="24"/>
        </w:rPr>
        <w:t>5:95,</w:t>
      </w:r>
      <w:r w:rsidR="0058052E" w:rsidRPr="00825EEB">
        <w:rPr>
          <w:rFonts w:ascii="Sylfaen" w:hAnsi="Sylfaen"/>
          <w:i/>
          <w:sz w:val="24"/>
          <w:szCs w:val="24"/>
        </w:rPr>
        <w:t xml:space="preserve"> ծավ/ծավ).</w:t>
      </w:r>
    </w:p>
    <w:p w14:paraId="2B42F4CF" w14:textId="77777777" w:rsidR="0058052E" w:rsidRPr="00825EEB" w:rsidRDefault="004C2E7D" w:rsidP="004C2E7D">
      <w:pPr>
        <w:tabs>
          <w:tab w:val="left" w:pos="1134"/>
        </w:tabs>
        <w:spacing w:after="160" w:line="360" w:lineRule="auto"/>
        <w:ind w:firstLine="567"/>
        <w:jc w:val="both"/>
      </w:pPr>
      <w:r>
        <w:rPr>
          <w:i/>
        </w:rPr>
        <w:t>-</w:t>
      </w:r>
      <w:r w:rsidRPr="004C2E7D">
        <w:rPr>
          <w:i/>
        </w:rPr>
        <w:tab/>
      </w:r>
      <w:r w:rsidR="0058052E" w:rsidRPr="00825EEB">
        <w:rPr>
          <w:i/>
        </w:rPr>
        <w:t>քսվող փորձանմուշի ծավալը՝</w:t>
      </w:r>
      <w:r w:rsidR="0058052E" w:rsidRPr="00825EEB">
        <w:t xml:space="preserve"> փորձարկվող Տ22 լուծույթի </w:t>
      </w:r>
      <w:r w:rsidR="0058052E">
        <w:t>եւ</w:t>
      </w:r>
      <w:r w:rsidR="0058052E" w:rsidRPr="00825EEB">
        <w:t xml:space="preserve"> (ժը) ու (ժթ) համեմատության լուծույթների 10-ական մկլ.</w:t>
      </w:r>
    </w:p>
    <w:p w14:paraId="42B66298"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13 սմ-ից ոչ պակաս՝ Ա շարժուն ֆազի օգտագործմամբ. չորացնելուց հետո քրոմատագրում են մեկնարկային գծից 10 սմ-ից ոչ պակաս տարածության վրա՝ Բ շարժուն ֆազի օգտագործմամբ.</w:t>
      </w:r>
    </w:p>
    <w:p w14:paraId="69F1404D"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673CB711"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C2E7D">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ցողում են 40 գ/լ Ռ ֆոսֆորամոլիբդենային թթվի լուծույթով՝ Ռ անջուր էթանոլի մեջ, </w:t>
      </w:r>
      <w:r w:rsidR="0058052E">
        <w:rPr>
          <w:rFonts w:ascii="Sylfaen" w:hAnsi="Sylfaen"/>
          <w:sz w:val="24"/>
          <w:szCs w:val="24"/>
        </w:rPr>
        <w:t>եւ</w:t>
      </w:r>
      <w:r w:rsidR="0058052E" w:rsidRPr="00825EEB">
        <w:rPr>
          <w:rFonts w:ascii="Sylfaen" w:hAnsi="Sylfaen"/>
          <w:sz w:val="24"/>
          <w:szCs w:val="24"/>
        </w:rPr>
        <w:t xml:space="preserve"> տաքացնում 120 °С ջերմաստիճանի տակ՝ մինչ</w:t>
      </w:r>
      <w:r w:rsidR="0058052E">
        <w:rPr>
          <w:rFonts w:ascii="Sylfaen" w:hAnsi="Sylfaen"/>
          <w:sz w:val="24"/>
          <w:szCs w:val="24"/>
        </w:rPr>
        <w:t>եւ</w:t>
      </w:r>
      <w:r w:rsidR="0058052E" w:rsidRPr="00825EEB">
        <w:rPr>
          <w:rFonts w:ascii="Sylfaen" w:hAnsi="Sylfaen"/>
          <w:sz w:val="24"/>
          <w:szCs w:val="24"/>
        </w:rPr>
        <w:t xml:space="preserve"> բծերի հայտնվելը:</w:t>
      </w:r>
    </w:p>
    <w:p w14:paraId="1F47F30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26420917"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 xml:space="preserve">պոլիմերային 20-րդ նյութի հավելանյութին կամ պոլիմերային 21-րդ նյութի հավելանյութին համապատասխանող՝ փորձարկվող Տ22 լուծույթի քրոմատագրի վրայի բծերը պետք է հայտնաբերվեն (ժը) </w:t>
      </w:r>
      <w:r w:rsidR="0058052E">
        <w:rPr>
          <w:rFonts w:ascii="Sylfaen" w:hAnsi="Sylfaen"/>
          <w:sz w:val="24"/>
          <w:szCs w:val="24"/>
        </w:rPr>
        <w:t>եւ</w:t>
      </w:r>
      <w:r w:rsidR="0058052E" w:rsidRPr="00825EEB">
        <w:rPr>
          <w:rFonts w:ascii="Sylfaen" w:hAnsi="Sylfaen"/>
          <w:sz w:val="24"/>
          <w:szCs w:val="24"/>
        </w:rPr>
        <w:t xml:space="preserve"> (ժթ) համեմատության լուծույթների քրոմատագրերի համապատասխան բծերի մակարդակում (R</w:t>
      </w:r>
      <w:r w:rsidR="0058052E" w:rsidRPr="00825EEB">
        <w:rPr>
          <w:rFonts w:ascii="Sylfaen" w:hAnsi="Sylfaen"/>
          <w:sz w:val="24"/>
          <w:szCs w:val="24"/>
          <w:vertAlign w:val="subscript"/>
        </w:rPr>
        <w:t>F</w:t>
      </w:r>
      <w:r w:rsidR="0058052E" w:rsidRPr="00825EEB">
        <w:rPr>
          <w:rFonts w:ascii="Sylfaen" w:hAnsi="Sylfaen"/>
          <w:sz w:val="24"/>
          <w:szCs w:val="24"/>
        </w:rPr>
        <w:t xml:space="preserve">՝ մոտ 0,2) </w:t>
      </w:r>
      <w:r w:rsidR="0058052E">
        <w:rPr>
          <w:rFonts w:ascii="Sylfaen" w:hAnsi="Sylfaen"/>
          <w:sz w:val="24"/>
          <w:szCs w:val="24"/>
        </w:rPr>
        <w:t>եւ</w:t>
      </w:r>
      <w:r w:rsidR="0058052E" w:rsidRPr="00825EEB">
        <w:rPr>
          <w:rFonts w:ascii="Sylfaen" w:hAnsi="Sylfaen"/>
          <w:sz w:val="24"/>
          <w:szCs w:val="24"/>
        </w:rPr>
        <w:t xml:space="preserve"> ըստ ինտենսիվության՝ չգերազանցեն դրանք:</w:t>
      </w:r>
    </w:p>
    <w:p w14:paraId="4E6372C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5836F157" w14:textId="77777777" w:rsidR="00F24391" w:rsidRDefault="00F24391">
      <w:pPr>
        <w:rPr>
          <w:rFonts w:eastAsia="Times New Roman" w:cs="Times New Roman"/>
          <w:b/>
          <w:color w:val="auto"/>
          <w:sz w:val="20"/>
        </w:rPr>
      </w:pPr>
      <w:r>
        <w:rPr>
          <w:b/>
        </w:rPr>
        <w:br w:type="page"/>
      </w:r>
    </w:p>
    <w:p w14:paraId="4ED58786" w14:textId="77777777" w:rsidR="0058052E" w:rsidRPr="00A859E3" w:rsidRDefault="0058052E" w:rsidP="004C2E7D">
      <w:pPr>
        <w:pStyle w:val="a0"/>
        <w:shd w:val="clear" w:color="auto" w:fill="auto"/>
        <w:spacing w:after="160" w:line="360" w:lineRule="auto"/>
        <w:ind w:firstLine="567"/>
        <w:jc w:val="right"/>
        <w:rPr>
          <w:rFonts w:ascii="Sylfaen" w:hAnsi="Sylfaen"/>
          <w:b/>
          <w:szCs w:val="24"/>
        </w:rPr>
      </w:pPr>
      <w:r w:rsidRPr="004C2E7D">
        <w:rPr>
          <w:rFonts w:ascii="Sylfaen" w:hAnsi="Sylfaen"/>
          <w:b/>
          <w:szCs w:val="24"/>
        </w:rPr>
        <w:lastRenderedPageBreak/>
        <w:t>204010004-2022</w:t>
      </w:r>
    </w:p>
    <w:p w14:paraId="70BCEF40" w14:textId="77777777" w:rsidR="004C2E7D" w:rsidRPr="00A859E3" w:rsidRDefault="004C2E7D" w:rsidP="004C2E7D">
      <w:pPr>
        <w:pStyle w:val="a0"/>
        <w:shd w:val="clear" w:color="auto" w:fill="auto"/>
        <w:tabs>
          <w:tab w:val="left" w:pos="1560"/>
        </w:tabs>
        <w:spacing w:after="160" w:line="360" w:lineRule="auto"/>
        <w:ind w:firstLine="567"/>
        <w:jc w:val="right"/>
        <w:rPr>
          <w:rFonts w:ascii="Sylfaen" w:hAnsi="Sylfaen" w:cs="Sylfaen"/>
          <w:szCs w:val="24"/>
        </w:rPr>
      </w:pPr>
    </w:p>
    <w:p w14:paraId="1B3366B5" w14:textId="77777777" w:rsidR="0058052E" w:rsidRPr="00A859E3" w:rsidRDefault="004C2E7D" w:rsidP="00F634DB">
      <w:pPr>
        <w:pStyle w:val="a0"/>
        <w:shd w:val="clear" w:color="auto" w:fill="auto"/>
        <w:tabs>
          <w:tab w:val="left" w:pos="1701"/>
        </w:tabs>
        <w:spacing w:after="160" w:line="360" w:lineRule="auto"/>
        <w:ind w:firstLine="567"/>
        <w:jc w:val="both"/>
        <w:rPr>
          <w:rFonts w:ascii="Sylfaen" w:hAnsi="Sylfaen"/>
          <w:b/>
          <w:sz w:val="24"/>
          <w:szCs w:val="24"/>
        </w:rPr>
      </w:pPr>
      <w:r>
        <w:rPr>
          <w:rFonts w:ascii="Sylfaen" w:hAnsi="Sylfaen"/>
          <w:b/>
          <w:sz w:val="24"/>
          <w:szCs w:val="24"/>
        </w:rPr>
        <w:t>2.4.1.4.</w:t>
      </w:r>
      <w:r w:rsidRPr="00A859E3">
        <w:rPr>
          <w:rFonts w:ascii="Sylfaen" w:hAnsi="Sylfaen"/>
          <w:b/>
          <w:sz w:val="24"/>
          <w:szCs w:val="24"/>
        </w:rPr>
        <w:tab/>
      </w:r>
      <w:r w:rsidR="0058052E" w:rsidRPr="00825EEB">
        <w:rPr>
          <w:rFonts w:ascii="Sylfaen" w:hAnsi="Sylfaen"/>
          <w:b/>
          <w:sz w:val="24"/>
          <w:szCs w:val="24"/>
        </w:rPr>
        <w:t>Պոլիպրոպիլեն</w:t>
      </w:r>
    </w:p>
    <w:p w14:paraId="1DF7FC5B" w14:textId="77777777" w:rsidR="004C2E7D" w:rsidRPr="00A859E3" w:rsidRDefault="004C2E7D" w:rsidP="004C2E7D">
      <w:pPr>
        <w:pStyle w:val="a0"/>
        <w:shd w:val="clear" w:color="auto" w:fill="auto"/>
        <w:tabs>
          <w:tab w:val="left" w:pos="1843"/>
        </w:tabs>
        <w:spacing w:after="160" w:line="360" w:lineRule="auto"/>
        <w:ind w:firstLine="567"/>
        <w:jc w:val="both"/>
        <w:rPr>
          <w:rFonts w:ascii="Sylfaen" w:hAnsi="Sylfaen" w:cs="Sylfaen"/>
          <w:sz w:val="24"/>
          <w:szCs w:val="24"/>
        </w:rPr>
      </w:pPr>
    </w:p>
    <w:p w14:paraId="4D98F74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ՈՐՈՇՈՒՄԸ</w:t>
      </w:r>
    </w:p>
    <w:p w14:paraId="0053AF9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Սույն ընդհանուր դեղագրքային հոդվածի պահանջները տարածվում են պարենտերալ </w:t>
      </w:r>
      <w:r>
        <w:rPr>
          <w:rFonts w:ascii="Sylfaen" w:hAnsi="Sylfaen"/>
          <w:sz w:val="24"/>
          <w:szCs w:val="24"/>
        </w:rPr>
        <w:t>եւ</w:t>
      </w:r>
      <w:r w:rsidRPr="00825EEB">
        <w:rPr>
          <w:rFonts w:ascii="Sylfaen" w:hAnsi="Sylfaen"/>
          <w:sz w:val="24"/>
          <w:szCs w:val="24"/>
        </w:rPr>
        <w:t xml:space="preserve"> ակնաբուժական կիրառման դեղապատրաստուկների փաթեթվածքների </w:t>
      </w:r>
      <w:r>
        <w:rPr>
          <w:rFonts w:ascii="Sylfaen" w:hAnsi="Sylfaen"/>
          <w:sz w:val="24"/>
          <w:szCs w:val="24"/>
        </w:rPr>
        <w:t>եւ</w:t>
      </w:r>
      <w:r w:rsidRPr="00825EEB">
        <w:rPr>
          <w:rFonts w:ascii="Sylfaen" w:hAnsi="Sylfaen"/>
          <w:sz w:val="24"/>
          <w:szCs w:val="24"/>
        </w:rPr>
        <w:t xml:space="preserve"> խցանափակման միջոցների համար նախատեսված պոլիպրոպիլենի վրա:</w:t>
      </w:r>
    </w:p>
    <w:p w14:paraId="25852328" w14:textId="77777777" w:rsidR="0058052E" w:rsidRPr="00A859E3"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Պոլիպրոպիլենը բաղկացած է պրոպիլենի հոմոպոլիմերից կամ պրոպիլենի համապոլիմերից՝ էթիլենի 25%-ից ոչ ավելի պարունակությամբ, կամ պոլիպրոպիլենի խառնուրդից (համաձուլվածքից)՝ պոլիէթիլենի 25%-ից ոչ ավելի պարունակությամբ: Պոլիմերը կարող է հավելանյութեր պարունակել:</w:t>
      </w:r>
    </w:p>
    <w:p w14:paraId="7FA27871" w14:textId="77777777" w:rsidR="004C2E7D" w:rsidRPr="00A859E3" w:rsidRDefault="004C2E7D" w:rsidP="0058052E">
      <w:pPr>
        <w:pStyle w:val="a0"/>
        <w:shd w:val="clear" w:color="auto" w:fill="auto"/>
        <w:spacing w:after="160" w:line="360" w:lineRule="auto"/>
        <w:ind w:firstLine="567"/>
        <w:jc w:val="both"/>
        <w:rPr>
          <w:rFonts w:ascii="Sylfaen" w:hAnsi="Sylfaen" w:cs="Sylfaen"/>
          <w:sz w:val="24"/>
          <w:szCs w:val="24"/>
        </w:rPr>
      </w:pPr>
    </w:p>
    <w:p w14:paraId="16F3772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ՏԵԽՆՈԼՈԳԻԱՅԻ ԱՌԱՆՁՆԱՀԱՏԿՈՒԹՅՈՒՆՆԵՐԸ</w:t>
      </w:r>
    </w:p>
    <w:p w14:paraId="152E961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Պոլիմերի մեջ ներմուծում են որոշակի քանակությամբ հավելանյութեր՝ կախված նախատեսվող նշանակության նպատակից՝ դրա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հատկությունների օպտիմալացման նպատակով: Պոլիպրոպիլենը կարող է պարունակել երեքից ոչ ավելի հակաօքսիդիչներ, մեկ կամ մի քանի քսայուղեր կամ հակահարակցանյութեր (կպչունությանը խոչընդոտող նյութեր), ինչպես նա</w:t>
      </w:r>
      <w:r>
        <w:rPr>
          <w:rFonts w:ascii="Sylfaen" w:hAnsi="Sylfaen"/>
          <w:sz w:val="24"/>
          <w:szCs w:val="24"/>
        </w:rPr>
        <w:t>եւ</w:t>
      </w:r>
      <w:r w:rsidRPr="00825EEB">
        <w:rPr>
          <w:rFonts w:ascii="Sylfaen" w:hAnsi="Sylfaen"/>
          <w:sz w:val="24"/>
          <w:szCs w:val="24"/>
        </w:rPr>
        <w:t xml:space="preserve"> տիտանի դիօքսիդ՝ որպես անթափանցությունն ապահովող միջոց, երբ պոլիմերը պետք է ապահովի լույսից պաշտպանությունը:</w:t>
      </w:r>
    </w:p>
    <w:p w14:paraId="3740CD6B" w14:textId="77777777" w:rsidR="0058052E" w:rsidRPr="00825EEB" w:rsidRDefault="0058052E" w:rsidP="0058052E">
      <w:pPr>
        <w:spacing w:after="160" w:line="360" w:lineRule="auto"/>
        <w:ind w:firstLine="567"/>
        <w:jc w:val="both"/>
      </w:pPr>
      <w:r w:rsidRPr="00825EEB">
        <w:t>Հավելանյութերն ընտրվում են ստոր</w:t>
      </w:r>
      <w:r>
        <w:t>եւ</w:t>
      </w:r>
      <w:r w:rsidRPr="00825EEB">
        <w:t xml:space="preserve"> ներկայացված ցանկից (այլ հիմնավորման </w:t>
      </w:r>
      <w:r>
        <w:t>եւ</w:t>
      </w:r>
      <w:r w:rsidRPr="00825EEB">
        <w:t xml:space="preserve"> լիազորված մարմնի թույլտվության բացակայության դեպքում), որում նշված է դրանց առավելագույն թույլատրելի պարունակությունը՝</w:t>
      </w:r>
    </w:p>
    <w:p w14:paraId="4C154C46"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4C2E7D" w:rsidRPr="00A859E3">
        <w:rPr>
          <w:rFonts w:ascii="Sylfaen" w:hAnsi="Sylfaen"/>
          <w:sz w:val="24"/>
          <w:szCs w:val="24"/>
        </w:rPr>
        <w:tab/>
      </w:r>
      <w:r w:rsidRPr="00825EEB">
        <w:rPr>
          <w:rFonts w:ascii="Sylfaen" w:hAnsi="Sylfaen"/>
          <w:sz w:val="24"/>
          <w:szCs w:val="24"/>
        </w:rPr>
        <w:t>բութիլհիդրօքսիտոլուոլի (պոլիմերային 07 նյութի հավելանյութ)՝ 0,125 %-ից ոչ ավելի.</w:t>
      </w:r>
    </w:p>
    <w:p w14:paraId="681C016E"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պենտաէրիթրիտիլտետրակիս</w:t>
      </w:r>
      <w:r w:rsidR="004C2E7D" w:rsidRPr="004C2E7D">
        <w:rPr>
          <w:rFonts w:ascii="Sylfaen" w:hAnsi="Sylfaen"/>
          <w:sz w:val="24"/>
          <w:szCs w:val="24"/>
        </w:rPr>
        <w:t xml:space="preserve"> </w:t>
      </w:r>
      <w:r w:rsidRPr="00825EEB">
        <w:rPr>
          <w:rFonts w:ascii="Sylfaen" w:hAnsi="Sylfaen"/>
          <w:sz w:val="24"/>
          <w:szCs w:val="24"/>
        </w:rPr>
        <w:t>[3-(3,5-դի-</w:t>
      </w:r>
      <w:r w:rsidRPr="00825EEB">
        <w:rPr>
          <w:rFonts w:ascii="Sylfaen" w:hAnsi="Sylfaen"/>
          <w:i/>
          <w:sz w:val="24"/>
          <w:szCs w:val="24"/>
        </w:rPr>
        <w:t>տրետ</w:t>
      </w:r>
      <w:r w:rsidRPr="00825EEB">
        <w:rPr>
          <w:rFonts w:ascii="Sylfaen" w:hAnsi="Sylfaen"/>
          <w:sz w:val="24"/>
          <w:szCs w:val="24"/>
        </w:rPr>
        <w:t>-բութիլ-4-հիդրօքսիֆենիլ)պրոպիոնատ] (պոլիմերային 09 նյութի հավելանյութ)՝ 0,3 %-ից ոչ ավելի.</w:t>
      </w:r>
    </w:p>
    <w:p w14:paraId="156FB74C"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1,3,5-տրիս</w:t>
      </w:r>
      <w:r w:rsidR="004C2E7D" w:rsidRPr="004C2E7D">
        <w:rPr>
          <w:rFonts w:ascii="Sylfaen" w:hAnsi="Sylfaen"/>
          <w:sz w:val="24"/>
          <w:szCs w:val="24"/>
        </w:rPr>
        <w:t xml:space="preserve"> </w:t>
      </w:r>
      <w:r w:rsidRPr="00825EEB">
        <w:rPr>
          <w:rFonts w:ascii="Sylfaen" w:hAnsi="Sylfaen"/>
          <w:sz w:val="24"/>
          <w:szCs w:val="24"/>
        </w:rPr>
        <w:t>(3,5-դի-</w:t>
      </w:r>
      <w:r w:rsidRPr="00825EEB">
        <w:rPr>
          <w:rFonts w:ascii="Sylfaen" w:hAnsi="Sylfaen"/>
          <w:i/>
          <w:sz w:val="24"/>
          <w:szCs w:val="24"/>
        </w:rPr>
        <w:t>տրետ</w:t>
      </w:r>
      <w:r w:rsidRPr="00825EEB">
        <w:rPr>
          <w:rFonts w:ascii="Sylfaen" w:hAnsi="Sylfaen"/>
          <w:sz w:val="24"/>
          <w:szCs w:val="24"/>
        </w:rPr>
        <w:t>-բութիլ-4-հիդրօքսիբենզիլ)</w:t>
      </w:r>
      <w:r w:rsidR="004C2E7D" w:rsidRPr="004C2E7D">
        <w:rPr>
          <w:rFonts w:ascii="Sylfaen" w:hAnsi="Sylfaen"/>
          <w:sz w:val="24"/>
          <w:szCs w:val="24"/>
        </w:rPr>
        <w:t xml:space="preserve"> </w:t>
      </w:r>
      <w:r w:rsidRPr="00825EEB">
        <w:rPr>
          <w:rFonts w:ascii="Sylfaen" w:hAnsi="Sylfaen"/>
          <w:sz w:val="24"/>
          <w:szCs w:val="24"/>
        </w:rPr>
        <w:t>-</w:t>
      </w:r>
      <w:r w:rsidRPr="00825EEB">
        <w:rPr>
          <w:rFonts w:ascii="Sylfaen" w:hAnsi="Sylfaen"/>
          <w:i/>
          <w:sz w:val="24"/>
          <w:szCs w:val="24"/>
        </w:rPr>
        <w:t>s</w:t>
      </w:r>
      <w:r w:rsidRPr="00825EEB">
        <w:rPr>
          <w:rFonts w:ascii="Sylfaen" w:hAnsi="Sylfaen"/>
          <w:sz w:val="24"/>
          <w:szCs w:val="24"/>
        </w:rPr>
        <w:t>-տրիազին-2,4,6</w:t>
      </w:r>
      <w:r w:rsidR="004C2E7D" w:rsidRPr="004C2E7D">
        <w:rPr>
          <w:rFonts w:ascii="Sylfaen" w:hAnsi="Sylfaen"/>
          <w:sz w:val="24"/>
          <w:szCs w:val="24"/>
        </w:rPr>
        <w:t xml:space="preserve"> </w:t>
      </w:r>
      <w:r w:rsidRPr="00825EEB">
        <w:rPr>
          <w:rFonts w:ascii="Sylfaen" w:hAnsi="Sylfaen"/>
          <w:sz w:val="24"/>
          <w:szCs w:val="24"/>
        </w:rPr>
        <w:t>(1</w:t>
      </w:r>
      <w:r w:rsidRPr="00825EEB">
        <w:rPr>
          <w:rFonts w:ascii="Sylfaen" w:hAnsi="Sylfaen"/>
          <w:i/>
          <w:sz w:val="24"/>
          <w:szCs w:val="24"/>
        </w:rPr>
        <w:t>H</w:t>
      </w:r>
      <w:r w:rsidRPr="00825EEB">
        <w:rPr>
          <w:rFonts w:ascii="Sylfaen" w:hAnsi="Sylfaen"/>
          <w:sz w:val="24"/>
          <w:szCs w:val="24"/>
        </w:rPr>
        <w:t>,3</w:t>
      </w:r>
      <w:r w:rsidRPr="00825EEB">
        <w:rPr>
          <w:rFonts w:ascii="Sylfaen" w:hAnsi="Sylfaen"/>
          <w:i/>
          <w:sz w:val="24"/>
          <w:szCs w:val="24"/>
        </w:rPr>
        <w:t>H</w:t>
      </w:r>
      <w:r w:rsidRPr="00825EEB">
        <w:rPr>
          <w:rFonts w:ascii="Sylfaen" w:hAnsi="Sylfaen"/>
          <w:sz w:val="24"/>
          <w:szCs w:val="24"/>
        </w:rPr>
        <w:t>,5</w:t>
      </w:r>
      <w:r w:rsidRPr="00825EEB">
        <w:rPr>
          <w:rFonts w:ascii="Sylfaen" w:hAnsi="Sylfaen"/>
          <w:i/>
          <w:sz w:val="24"/>
          <w:szCs w:val="24"/>
        </w:rPr>
        <w:t>H</w:t>
      </w:r>
      <w:r w:rsidRPr="00825EEB">
        <w:rPr>
          <w:rFonts w:ascii="Sylfaen" w:hAnsi="Sylfaen"/>
          <w:sz w:val="24"/>
          <w:szCs w:val="24"/>
        </w:rPr>
        <w:t>)</w:t>
      </w:r>
      <w:r w:rsidR="004C2E7D" w:rsidRPr="004C2E7D">
        <w:rPr>
          <w:rFonts w:ascii="Sylfaen" w:hAnsi="Sylfaen"/>
          <w:sz w:val="24"/>
          <w:szCs w:val="24"/>
        </w:rPr>
        <w:t xml:space="preserve"> </w:t>
      </w:r>
      <w:r w:rsidRPr="00825EEB">
        <w:rPr>
          <w:rFonts w:ascii="Sylfaen" w:hAnsi="Sylfaen"/>
          <w:sz w:val="24"/>
          <w:szCs w:val="24"/>
        </w:rPr>
        <w:t>-տրիոն (պոլիմերային 13-րդ նյութի հավելանյութ)՝ 0,3 %-ից ոչ ավելի.</w:t>
      </w:r>
    </w:p>
    <w:p w14:paraId="79D7AC62"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օկտացեդիլ-3-</w:t>
      </w:r>
      <w:r w:rsidR="004C2E7D" w:rsidRPr="004C2E7D">
        <w:rPr>
          <w:rFonts w:ascii="Sylfaen" w:hAnsi="Sylfaen"/>
          <w:sz w:val="24"/>
          <w:szCs w:val="24"/>
        </w:rPr>
        <w:t xml:space="preserve"> </w:t>
      </w:r>
      <w:r w:rsidRPr="00825EEB">
        <w:rPr>
          <w:rFonts w:ascii="Sylfaen" w:hAnsi="Sylfaen"/>
          <w:sz w:val="24"/>
          <w:szCs w:val="24"/>
        </w:rPr>
        <w:t>(3,5-դի-</w:t>
      </w:r>
      <w:r w:rsidRPr="00825EEB">
        <w:rPr>
          <w:rFonts w:ascii="Sylfaen" w:hAnsi="Sylfaen"/>
          <w:i/>
          <w:sz w:val="24"/>
          <w:szCs w:val="24"/>
        </w:rPr>
        <w:t>տրետ</w:t>
      </w:r>
      <w:r w:rsidRPr="00825EEB">
        <w:rPr>
          <w:rFonts w:ascii="Sylfaen" w:hAnsi="Sylfaen"/>
          <w:sz w:val="24"/>
          <w:szCs w:val="24"/>
        </w:rPr>
        <w:t>-բութիլ-4-հիդրօքսիֆենիլ)</w:t>
      </w:r>
      <w:r w:rsidR="004C2E7D" w:rsidRPr="004C2E7D">
        <w:rPr>
          <w:rFonts w:ascii="Sylfaen" w:hAnsi="Sylfaen"/>
          <w:sz w:val="24"/>
          <w:szCs w:val="24"/>
        </w:rPr>
        <w:t xml:space="preserve"> </w:t>
      </w:r>
      <w:r w:rsidRPr="00825EEB">
        <w:rPr>
          <w:rFonts w:ascii="Sylfaen" w:hAnsi="Sylfaen"/>
          <w:sz w:val="24"/>
          <w:szCs w:val="24"/>
        </w:rPr>
        <w:t>պրոպիոնատ (պոլիմերային 11-րդ նյութի հավելանյութ)՝ 0,3 %-ից ոչ ավելի.</w:t>
      </w:r>
    </w:p>
    <w:p w14:paraId="61FD1A45"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էթիլենբիս</w:t>
      </w:r>
      <w:r w:rsidR="004C2E7D" w:rsidRPr="004C2E7D">
        <w:rPr>
          <w:rFonts w:ascii="Sylfaen" w:hAnsi="Sylfaen"/>
          <w:sz w:val="24"/>
          <w:szCs w:val="24"/>
        </w:rPr>
        <w:t xml:space="preserve"> </w:t>
      </w:r>
      <w:r w:rsidRPr="00825EEB">
        <w:rPr>
          <w:rFonts w:ascii="Sylfaen" w:hAnsi="Sylfaen"/>
          <w:sz w:val="24"/>
          <w:szCs w:val="24"/>
        </w:rPr>
        <w:t>[3,3-բիս[3-(1,1-դիմեթիլէթիլ)</w:t>
      </w:r>
      <w:r w:rsidR="004C2E7D" w:rsidRPr="004C2E7D">
        <w:rPr>
          <w:rFonts w:ascii="Sylfaen" w:hAnsi="Sylfaen"/>
          <w:sz w:val="24"/>
          <w:szCs w:val="24"/>
        </w:rPr>
        <w:t xml:space="preserve"> </w:t>
      </w:r>
      <w:r w:rsidRPr="00825EEB">
        <w:rPr>
          <w:rFonts w:ascii="Sylfaen" w:hAnsi="Sylfaen"/>
          <w:sz w:val="24"/>
          <w:szCs w:val="24"/>
        </w:rPr>
        <w:t>-4-հիդրօքսիֆենիլ]-բութանոատ] (պոլիմերային 08 նյութի հավելանյութ)՝ 0,3 %-ից ոչ ավելի.</w:t>
      </w:r>
    </w:p>
    <w:p w14:paraId="45E5ADD8"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դիօկտադեցիլդիսուլֆիդ (պոլիմերային 15-րդ նյութի հավելանյութ)՝ 0,3</w:t>
      </w:r>
      <w:r w:rsidR="00107BA1" w:rsidRPr="00107BA1">
        <w:rPr>
          <w:rFonts w:ascii="Sylfaen" w:hAnsi="Sylfaen"/>
          <w:sz w:val="24"/>
          <w:szCs w:val="24"/>
        </w:rPr>
        <w:t> </w:t>
      </w:r>
      <w:r w:rsidR="0058052E" w:rsidRPr="00825EEB">
        <w:rPr>
          <w:rFonts w:ascii="Sylfaen" w:hAnsi="Sylfaen"/>
          <w:sz w:val="24"/>
          <w:szCs w:val="24"/>
        </w:rPr>
        <w:t>%-ից ոչ ավելի.</w:t>
      </w:r>
    </w:p>
    <w:p w14:paraId="174B1D13"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,2</w:t>
      </w:r>
      <w:r w:rsidRPr="00825EEB">
        <w:rPr>
          <w:rFonts w:ascii="Sylfaen" w:hAnsi="Sylfaen"/>
          <w:i/>
          <w:sz w:val="24"/>
          <w:szCs w:val="24"/>
        </w:rPr>
        <w:t>"</w:t>
      </w:r>
      <w:r w:rsidRPr="00825EEB">
        <w:rPr>
          <w:rFonts w:ascii="Sylfaen" w:hAnsi="Sylfaen"/>
          <w:sz w:val="24"/>
          <w:szCs w:val="24"/>
        </w:rPr>
        <w:t>,6,6</w:t>
      </w:r>
      <w:r w:rsidRPr="00825EEB">
        <w:rPr>
          <w:rFonts w:ascii="Sylfaen" w:hAnsi="Sylfaen"/>
          <w:i/>
          <w:sz w:val="24"/>
          <w:szCs w:val="24"/>
        </w:rPr>
        <w:t>'</w:t>
      </w:r>
      <w:r w:rsidRPr="00825EEB">
        <w:rPr>
          <w:rFonts w:ascii="Sylfaen" w:hAnsi="Sylfaen"/>
          <w:sz w:val="24"/>
          <w:szCs w:val="24"/>
        </w:rPr>
        <w:t>,6</w:t>
      </w:r>
      <w:r w:rsidRPr="00825EEB">
        <w:rPr>
          <w:rFonts w:ascii="Sylfaen" w:hAnsi="Sylfaen"/>
          <w:i/>
          <w:sz w:val="24"/>
          <w:szCs w:val="24"/>
        </w:rPr>
        <w:t>"</w:t>
      </w:r>
      <w:r w:rsidRPr="00825EEB">
        <w:rPr>
          <w:rFonts w:ascii="Sylfaen" w:hAnsi="Sylfaen"/>
          <w:sz w:val="24"/>
          <w:szCs w:val="24"/>
        </w:rPr>
        <w:t>-հեքսա-</w:t>
      </w:r>
      <w:r w:rsidRPr="00825EEB">
        <w:rPr>
          <w:rFonts w:ascii="Sylfaen" w:hAnsi="Sylfaen"/>
          <w:i/>
          <w:sz w:val="24"/>
          <w:szCs w:val="24"/>
        </w:rPr>
        <w:t>տրետ</w:t>
      </w:r>
      <w:r w:rsidRPr="00825EEB">
        <w:rPr>
          <w:rFonts w:ascii="Sylfaen" w:hAnsi="Sylfaen"/>
          <w:sz w:val="24"/>
          <w:szCs w:val="24"/>
        </w:rPr>
        <w:t>-բութիլ-4,4</w:t>
      </w:r>
      <w:r w:rsidRPr="00825EEB">
        <w:rPr>
          <w:rFonts w:ascii="Sylfaen" w:hAnsi="Sylfaen"/>
          <w:i/>
          <w:sz w:val="24"/>
          <w:szCs w:val="24"/>
        </w:rPr>
        <w:t>'</w:t>
      </w:r>
      <w:r w:rsidRPr="00825EEB">
        <w:rPr>
          <w:rFonts w:ascii="Sylfaen" w:hAnsi="Sylfaen"/>
          <w:sz w:val="24"/>
          <w:szCs w:val="24"/>
        </w:rPr>
        <w:t>,4</w:t>
      </w:r>
      <w:r w:rsidRPr="00825EEB">
        <w:rPr>
          <w:rFonts w:ascii="Sylfaen" w:hAnsi="Sylfaen"/>
          <w:i/>
          <w:sz w:val="24"/>
          <w:szCs w:val="24"/>
        </w:rPr>
        <w:t>"</w:t>
      </w:r>
      <w:r w:rsidRPr="00825EEB">
        <w:rPr>
          <w:rFonts w:ascii="Sylfaen" w:hAnsi="Sylfaen"/>
          <w:sz w:val="24"/>
          <w:szCs w:val="24"/>
        </w:rPr>
        <w:t>-[(2,4,6-տրիմեթիլ-1,3,5-բենզոլտրիիլ)տրիսմեթիլեն]տրիֆենոլ (պոլիմերային 10-րդ նյութի հավելանյութ)՝ 0,3 %-ից ոչ ավելի.</w:t>
      </w:r>
    </w:p>
    <w:p w14:paraId="37A72111"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-բիս(օկտադեցիլօքսի)-5,5</w:t>
      </w:r>
      <w:r w:rsidRPr="00825EEB">
        <w:rPr>
          <w:rFonts w:ascii="Sylfaen" w:hAnsi="Sylfaen"/>
          <w:i/>
          <w:sz w:val="24"/>
          <w:szCs w:val="24"/>
        </w:rPr>
        <w:t>'</w:t>
      </w:r>
      <w:r w:rsidRPr="00825EEB">
        <w:rPr>
          <w:rFonts w:ascii="Sylfaen" w:hAnsi="Sylfaen"/>
          <w:sz w:val="24"/>
          <w:szCs w:val="24"/>
        </w:rPr>
        <w:t>-սպիրոբի[1,3,2-դիօքսաֆոսֆինան] (պոլիմերային 14-րդ նյութի հավելանյութ)՝ 0,3 %-ից ոչ ավելի.</w:t>
      </w:r>
    </w:p>
    <w:p w14:paraId="21AC67BD"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դիդոդեցիլ 3,3</w:t>
      </w:r>
      <w:r w:rsidRPr="00825EEB">
        <w:rPr>
          <w:rFonts w:ascii="Sylfaen" w:hAnsi="Sylfaen"/>
          <w:i/>
          <w:sz w:val="24"/>
          <w:szCs w:val="24"/>
        </w:rPr>
        <w:t>'</w:t>
      </w:r>
      <w:r w:rsidRPr="00825EEB">
        <w:rPr>
          <w:rFonts w:ascii="Sylfaen" w:hAnsi="Sylfaen"/>
          <w:sz w:val="24"/>
          <w:szCs w:val="24"/>
        </w:rPr>
        <w:t>-թիոդիպրոպիոնատ (պոլիմերային 16-րդ նյութի հավելանյութ)՝ 0,3 %-ից ոչ ավելի.</w:t>
      </w:r>
    </w:p>
    <w:p w14:paraId="6E1479FA"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դիօքտադեցիլ-3,3</w:t>
      </w:r>
      <w:r w:rsidRPr="00825EEB">
        <w:rPr>
          <w:rFonts w:ascii="Sylfaen" w:hAnsi="Sylfaen"/>
          <w:i/>
          <w:sz w:val="24"/>
          <w:szCs w:val="24"/>
        </w:rPr>
        <w:t>'</w:t>
      </w:r>
      <w:r w:rsidRPr="00825EEB">
        <w:rPr>
          <w:rFonts w:ascii="Sylfaen" w:hAnsi="Sylfaen"/>
          <w:sz w:val="24"/>
          <w:szCs w:val="24"/>
        </w:rPr>
        <w:t>-թիոդիպրոպիոնատ (պոլիմերային 17-րդ նյութի հավելանյութ)՝ 0,3 %-ից ոչ ավելի.</w:t>
      </w:r>
    </w:p>
    <w:p w14:paraId="22984E21"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տրիս(2,4-դի-</w:t>
      </w:r>
      <w:r w:rsidRPr="00825EEB">
        <w:rPr>
          <w:rFonts w:ascii="Sylfaen" w:hAnsi="Sylfaen"/>
          <w:i/>
          <w:sz w:val="24"/>
          <w:szCs w:val="24"/>
        </w:rPr>
        <w:t>տրետ</w:t>
      </w:r>
      <w:r w:rsidRPr="00825EEB">
        <w:rPr>
          <w:rFonts w:ascii="Sylfaen" w:hAnsi="Sylfaen"/>
          <w:sz w:val="24"/>
          <w:szCs w:val="24"/>
        </w:rPr>
        <w:t>-բութիլֆենիլ) ֆոսֆիտ (պոլիմերային 12-րդ նյութի հավելանյութ)՝ 0,3 %-ից ոչ ավելի.</w:t>
      </w:r>
    </w:p>
    <w:p w14:paraId="47FA0774"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Վեր</w:t>
      </w:r>
      <w:r>
        <w:rPr>
          <w:rFonts w:ascii="Sylfaen" w:hAnsi="Sylfaen"/>
          <w:sz w:val="24"/>
          <w:szCs w:val="24"/>
        </w:rPr>
        <w:t>եւ</w:t>
      </w:r>
      <w:r w:rsidRPr="00825EEB">
        <w:rPr>
          <w:rFonts w:ascii="Sylfaen" w:hAnsi="Sylfaen"/>
          <w:sz w:val="24"/>
          <w:szCs w:val="24"/>
        </w:rPr>
        <w:t>ում թվարկված հակաօքսիդիչ հավելանյութերի ընդհանուր պարունակությունը չպետք է գերազանցի 0,3%-ը:</w:t>
      </w:r>
    </w:p>
    <w:p w14:paraId="5DFCC135"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4C2E7D" w:rsidRPr="00A859E3">
        <w:rPr>
          <w:rFonts w:ascii="Sylfaen" w:hAnsi="Sylfaen"/>
          <w:sz w:val="24"/>
          <w:szCs w:val="24"/>
        </w:rPr>
        <w:tab/>
      </w:r>
      <w:r w:rsidRPr="00825EEB">
        <w:rPr>
          <w:rFonts w:ascii="Sylfaen" w:hAnsi="Sylfaen"/>
          <w:sz w:val="24"/>
          <w:szCs w:val="24"/>
        </w:rPr>
        <w:t>հիդրոտալցիտ՝ 0,5 %-ից ոչ ավելի.</w:t>
      </w:r>
    </w:p>
    <w:p w14:paraId="448D06D0"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A859E3">
        <w:rPr>
          <w:rFonts w:ascii="Sylfaen" w:hAnsi="Sylfaen"/>
          <w:sz w:val="24"/>
          <w:szCs w:val="24"/>
        </w:rPr>
        <w:tab/>
      </w:r>
      <w:r w:rsidRPr="00825EEB">
        <w:rPr>
          <w:rFonts w:ascii="Sylfaen" w:hAnsi="Sylfaen"/>
          <w:sz w:val="24"/>
          <w:szCs w:val="24"/>
        </w:rPr>
        <w:t>ալկանամիդներ՝ 0,5 %-ից ոչ ավելի.</w:t>
      </w:r>
    </w:p>
    <w:p w14:paraId="714B3D5D"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ալկենամիդներ՝ 0,5 %-ից ոչ ավելի.</w:t>
      </w:r>
    </w:p>
    <w:p w14:paraId="6E7E16E3"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նատրիումի ալյումասիլիկատ՝ 0,5 %-ից ոչ ավելի.</w:t>
      </w:r>
    </w:p>
    <w:p w14:paraId="7640F746"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C2E7D" w:rsidRPr="004C2E7D">
        <w:rPr>
          <w:rFonts w:ascii="Sylfaen" w:hAnsi="Sylfaen"/>
          <w:sz w:val="24"/>
          <w:szCs w:val="24"/>
        </w:rPr>
        <w:tab/>
      </w:r>
      <w:r w:rsidRPr="00825EEB">
        <w:rPr>
          <w:rFonts w:ascii="Sylfaen" w:hAnsi="Sylfaen"/>
          <w:sz w:val="24"/>
          <w:szCs w:val="24"/>
        </w:rPr>
        <w:t>սիլիցիումի դիօքսիդ (բնական կամ սինթետիկ, պատվածքով կամ առանց պատվածքի)՝ 0,5 %-ից ոչ ավելի.</w:t>
      </w:r>
    </w:p>
    <w:p w14:paraId="355B3F87"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նատրիումի բենզոատ՝ 0,5 %-ից ոչ ավելի.</w:t>
      </w:r>
    </w:p>
    <w:p w14:paraId="08A0E4B4"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ճարպաթթուների եթերներ կամ աղեր՝ 0,5 %-ից ոչ ավելի.</w:t>
      </w:r>
    </w:p>
    <w:p w14:paraId="1F728BE2"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տրինատրիումի ֆոսֆատ՝ 0,5 %-ից ոչ ավելի.</w:t>
      </w:r>
    </w:p>
    <w:p w14:paraId="086D2350"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հեղուկ պարաֆին (վազելինային յուղ)՝ 0,5 %-ից ոչ ավելի.</w:t>
      </w:r>
    </w:p>
    <w:p w14:paraId="5DF06F1B" w14:textId="77777777" w:rsidR="0058052E" w:rsidRPr="00825EEB" w:rsidRDefault="004C2E7D" w:rsidP="004C2E7D">
      <w:pPr>
        <w:tabs>
          <w:tab w:val="left" w:pos="1134"/>
        </w:tabs>
        <w:spacing w:after="160" w:line="360" w:lineRule="auto"/>
        <w:ind w:firstLine="567"/>
        <w:jc w:val="both"/>
      </w:pPr>
      <w:r>
        <w:t>-</w:t>
      </w:r>
      <w:r w:rsidRPr="004C2E7D">
        <w:tab/>
      </w:r>
      <w:r w:rsidR="0058052E" w:rsidRPr="00825EEB">
        <w:t>ցինկի օքսիդ՝ 0,5 %-ից ոչ ավելի.</w:t>
      </w:r>
    </w:p>
    <w:p w14:paraId="6BE33DBE"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մագնեզիումի օքսիդ՝ 0,2 %-ից ոչ ավելի.</w:t>
      </w:r>
    </w:p>
    <w:p w14:paraId="07C48130"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կալցիումի ստեարատ կամ ցինկի ստեարատ կամ դրանց խառնուրդը՝ 0,5 %-ից ոչ ավելի.</w:t>
      </w:r>
    </w:p>
    <w:p w14:paraId="189CB5ED" w14:textId="77777777" w:rsidR="0058052E" w:rsidRPr="00825EEB" w:rsidRDefault="004C2E7D" w:rsidP="004C2E7D">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C2E7D">
        <w:rPr>
          <w:rFonts w:ascii="Sylfaen" w:hAnsi="Sylfaen"/>
          <w:sz w:val="24"/>
          <w:szCs w:val="24"/>
        </w:rPr>
        <w:tab/>
      </w:r>
      <w:r w:rsidR="0058052E" w:rsidRPr="00825EEB">
        <w:rPr>
          <w:rFonts w:ascii="Sylfaen" w:hAnsi="Sylfaen"/>
          <w:sz w:val="24"/>
          <w:szCs w:val="24"/>
        </w:rPr>
        <w:t>տիտանի դիօքսիդ՝ միայն ակնաբուժական դեղապատրաստուկների համար նախատեսված փաթեթվածքների նյութերի համար, 4 %-ից ոչ ավելի:</w:t>
      </w:r>
    </w:p>
    <w:p w14:paraId="4EFC145F"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sz w:val="24"/>
          <w:szCs w:val="24"/>
        </w:rPr>
        <w:t xml:space="preserve">Նյութի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 (</w:t>
      </w:r>
      <w:r w:rsidRPr="00825EEB">
        <w:rPr>
          <w:rFonts w:ascii="Sylfaen" w:hAnsi="Sylfaen"/>
          <w:i/>
          <w:sz w:val="24"/>
          <w:szCs w:val="24"/>
        </w:rPr>
        <w:t>2.4.2.3</w:t>
      </w:r>
      <w:r w:rsidRPr="00825EEB">
        <w:rPr>
          <w:rFonts w:ascii="Sylfaen" w:hAnsi="Sylfaen"/>
          <w:sz w:val="24"/>
          <w:szCs w:val="24"/>
        </w:rPr>
        <w:t>):</w:t>
      </w:r>
    </w:p>
    <w:p w14:paraId="37A6611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04E7B4B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480D29B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Փոշի, միատարր գնդիկներ, հատիկներ կամ վերամշակումից հետո՝ տարբեր հաստության թիթեղներ, կամ փոխակերպումից հետո՝ փաթեթվածքի տեսակներ:</w:t>
      </w:r>
    </w:p>
    <w:p w14:paraId="3C05819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Լուծելիությունը։</w:t>
      </w:r>
      <w:r w:rsidRPr="00825EEB">
        <w:rPr>
          <w:rFonts w:ascii="Sylfaen" w:hAnsi="Sylfaen"/>
          <w:sz w:val="24"/>
          <w:szCs w:val="24"/>
        </w:rPr>
        <w:t xml:space="preserve"> Գրեթե լուծելի չէ ջրի, անջուր էթանոլի, հեքսանի </w:t>
      </w:r>
      <w:r>
        <w:rPr>
          <w:rFonts w:ascii="Sylfaen" w:hAnsi="Sylfaen"/>
          <w:sz w:val="24"/>
          <w:szCs w:val="24"/>
        </w:rPr>
        <w:t>եւ</w:t>
      </w:r>
      <w:r w:rsidRPr="00825EEB">
        <w:rPr>
          <w:rFonts w:ascii="Sylfaen" w:hAnsi="Sylfaen"/>
          <w:sz w:val="24"/>
          <w:szCs w:val="24"/>
        </w:rPr>
        <w:t xml:space="preserve"> մեթանոլի մեջ, լուծելի է տաք արոմատիկ ածխաջրածիններում:</w:t>
      </w:r>
    </w:p>
    <w:p w14:paraId="3A49FF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Փափկում է մոտ 120 °С ջերմաստիճանի տակ։</w:t>
      </w:r>
    </w:p>
    <w:p w14:paraId="43D737E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328888F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3AFA27D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պոլիպրոպիլենի նմուշներն անհրաժեշտության դեպքում կտրատում են մասերի, որոնց կողմերի չափը 1 սմ-ից ոչ ավելի է:</w:t>
      </w:r>
    </w:p>
    <w:p w14:paraId="29D850D5"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4C2E7D" w:rsidRPr="00A859E3">
        <w:rPr>
          <w:rFonts w:ascii="Sylfaen" w:hAnsi="Sylfaen"/>
          <w:sz w:val="24"/>
          <w:szCs w:val="24"/>
        </w:rPr>
        <w:tab/>
      </w:r>
      <w:r w:rsidRPr="00825EEB">
        <w:rPr>
          <w:rFonts w:ascii="Sylfaen" w:hAnsi="Sylfaen"/>
          <w:sz w:val="24"/>
          <w:szCs w:val="24"/>
        </w:rPr>
        <w:t>Որոշումն անցկացնում են ինֆրակարմիր հատվածում աբսորբման սպեկտրալուսաչափության մեթոդով (</w:t>
      </w:r>
      <w:r w:rsidRPr="00825EEB">
        <w:rPr>
          <w:rFonts w:ascii="Sylfaen" w:hAnsi="Sylfaen"/>
          <w:i/>
          <w:sz w:val="24"/>
          <w:szCs w:val="24"/>
        </w:rPr>
        <w:t>2.1.2.23</w:t>
      </w:r>
      <w:r w:rsidRPr="00825EEB">
        <w:rPr>
          <w:rFonts w:ascii="Sylfaen" w:hAnsi="Sylfaen"/>
          <w:sz w:val="24"/>
          <w:szCs w:val="24"/>
        </w:rPr>
        <w:t>):</w:t>
      </w:r>
    </w:p>
    <w:p w14:paraId="6AA1C56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Նյութի փորձարկվող նմուշի 0,25 գ-ին ավելացնում են </w:t>
      </w:r>
      <w:r w:rsidRPr="00825EEB">
        <w:rPr>
          <w:rFonts w:ascii="Sylfaen" w:hAnsi="Sylfaen"/>
          <w:i/>
          <w:sz w:val="24"/>
          <w:szCs w:val="24"/>
        </w:rPr>
        <w:t>Ռ տոլուոլի</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15</w:t>
      </w:r>
      <w:r w:rsidR="004C2E7D" w:rsidRPr="004C2E7D">
        <w:rPr>
          <w:rFonts w:ascii="Sylfaen" w:hAnsi="Sylfaen"/>
          <w:sz w:val="24"/>
          <w:szCs w:val="24"/>
        </w:rPr>
        <w:t> </w:t>
      </w:r>
      <w:r w:rsidRPr="00825EEB">
        <w:rPr>
          <w:rFonts w:ascii="Sylfaen" w:hAnsi="Sylfaen"/>
          <w:sz w:val="24"/>
          <w:szCs w:val="24"/>
        </w:rPr>
        <w:t xml:space="preserve">րոպե եռացնում հակադարձ սառնարանով: Ստացված տաք լուծույթից մի քանի կաթիլ տեղադրում են նատրիումի քլորիդի թիթեղի կամ </w:t>
      </w:r>
      <w:r w:rsidRPr="00825EEB">
        <w:rPr>
          <w:rFonts w:ascii="Sylfaen" w:hAnsi="Sylfaen"/>
          <w:i/>
          <w:sz w:val="24"/>
          <w:szCs w:val="24"/>
        </w:rPr>
        <w:t xml:space="preserve">Ռ կալիումի բրոմիդի </w:t>
      </w:r>
      <w:r w:rsidRPr="00825EEB">
        <w:rPr>
          <w:rFonts w:ascii="Sylfaen" w:hAnsi="Sylfaen"/>
          <w:sz w:val="24"/>
          <w:szCs w:val="24"/>
        </w:rPr>
        <w:t xml:space="preserve">սկավառակի վրա </w:t>
      </w:r>
      <w:r>
        <w:rPr>
          <w:rFonts w:ascii="Sylfaen" w:hAnsi="Sylfaen"/>
          <w:sz w:val="24"/>
          <w:szCs w:val="24"/>
        </w:rPr>
        <w:t>եւ</w:t>
      </w:r>
      <w:r w:rsidRPr="00825EEB">
        <w:rPr>
          <w:rFonts w:ascii="Sylfaen" w:hAnsi="Sylfaen"/>
          <w:sz w:val="24"/>
          <w:szCs w:val="24"/>
        </w:rPr>
        <w:t xml:space="preserve"> չորացնում </w:t>
      </w:r>
      <w:smartTag w:uri="urn:schemas-microsoft-com:office:smarttags" w:element="metricconverter">
        <w:smartTagPr>
          <w:attr w:name="ProductID" w:val="80 °C"/>
        </w:smartTagPr>
        <w:r w:rsidRPr="00825EEB">
          <w:rPr>
            <w:rFonts w:ascii="Sylfaen" w:hAnsi="Sylfaen"/>
            <w:sz w:val="24"/>
            <w:szCs w:val="24"/>
          </w:rPr>
          <w:t>80 °C</w:t>
        </w:r>
      </w:smartTag>
      <w:r w:rsidRPr="00825EEB">
        <w:rPr>
          <w:rFonts w:ascii="Sylfaen" w:hAnsi="Sylfaen"/>
          <w:sz w:val="24"/>
          <w:szCs w:val="24"/>
        </w:rPr>
        <w:t xml:space="preserve"> ջերմաստիճանի տակ:</w:t>
      </w:r>
    </w:p>
    <w:p w14:paraId="5B1F124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Սպեկտրը նա</w:t>
      </w:r>
      <w:r>
        <w:rPr>
          <w:rFonts w:ascii="Sylfaen" w:hAnsi="Sylfaen"/>
          <w:sz w:val="24"/>
          <w:szCs w:val="24"/>
        </w:rPr>
        <w:t>եւ</w:t>
      </w:r>
      <w:r w:rsidRPr="00825EEB">
        <w:rPr>
          <w:rFonts w:ascii="Sylfaen" w:hAnsi="Sylfaen"/>
          <w:sz w:val="24"/>
          <w:szCs w:val="24"/>
        </w:rPr>
        <w:t xml:space="preserve"> կարող է ուղղակիորեն գրանցվել թիթեղների, հատիկների կամ տաք սեղմման թաղանթների համապատասխան չափով կտրված հատվածի վրա՝ խախտված ընդհանուր ներքին արտացոլման (ԽԸՆԱ) օգտագործմամբ:</w:t>
      </w:r>
    </w:p>
    <w:p w14:paraId="520E06E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2915 սմ</w:t>
      </w:r>
      <w:r w:rsidRPr="00825EEB">
        <w:rPr>
          <w:rFonts w:ascii="Sylfaen" w:hAnsi="Sylfaen"/>
          <w:sz w:val="24"/>
          <w:szCs w:val="24"/>
          <w:vertAlign w:val="superscript"/>
        </w:rPr>
        <w:t>-1</w:t>
      </w:r>
      <w:r w:rsidRPr="00825EEB">
        <w:rPr>
          <w:rFonts w:ascii="Sylfaen" w:hAnsi="Sylfaen"/>
          <w:sz w:val="24"/>
          <w:szCs w:val="24"/>
        </w:rPr>
        <w:t>, 2848 սմ</w:t>
      </w:r>
      <w:r w:rsidRPr="00825EEB">
        <w:rPr>
          <w:rFonts w:ascii="Sylfaen" w:hAnsi="Sylfaen"/>
          <w:sz w:val="24"/>
          <w:szCs w:val="24"/>
          <w:vertAlign w:val="superscript"/>
        </w:rPr>
        <w:t>-1</w:t>
      </w:r>
      <w:r w:rsidRPr="00825EEB">
        <w:rPr>
          <w:rFonts w:ascii="Sylfaen" w:hAnsi="Sylfaen"/>
          <w:sz w:val="24"/>
          <w:szCs w:val="24"/>
        </w:rPr>
        <w:t>, 1471 սմ</w:t>
      </w:r>
      <w:r w:rsidRPr="00825EEB">
        <w:rPr>
          <w:rFonts w:ascii="Sylfaen" w:hAnsi="Sylfaen"/>
          <w:sz w:val="24"/>
          <w:szCs w:val="24"/>
          <w:vertAlign w:val="superscript"/>
        </w:rPr>
        <w:t>-1</w:t>
      </w:r>
      <w:r w:rsidRPr="00825EEB">
        <w:rPr>
          <w:rFonts w:ascii="Sylfaen" w:hAnsi="Sylfaen"/>
          <w:sz w:val="24"/>
          <w:szCs w:val="24"/>
        </w:rPr>
        <w:t>, 1465 սմ</w:t>
      </w:r>
      <w:r w:rsidRPr="00825EEB">
        <w:rPr>
          <w:rFonts w:ascii="Sylfaen" w:hAnsi="Sylfaen"/>
          <w:sz w:val="24"/>
          <w:szCs w:val="24"/>
          <w:vertAlign w:val="superscript"/>
        </w:rPr>
        <w:t>-1</w:t>
      </w:r>
      <w:r w:rsidRPr="00825EEB">
        <w:rPr>
          <w:rFonts w:ascii="Sylfaen" w:hAnsi="Sylfaen"/>
          <w:sz w:val="24"/>
          <w:szCs w:val="24"/>
        </w:rPr>
        <w:t>, 729 սմ</w:t>
      </w:r>
      <w:r w:rsidRPr="00825EEB">
        <w:rPr>
          <w:rFonts w:ascii="Sylfaen" w:hAnsi="Sylfaen"/>
          <w:sz w:val="24"/>
          <w:szCs w:val="24"/>
          <w:vertAlign w:val="superscript"/>
        </w:rPr>
        <w:t>-1</w:t>
      </w:r>
      <w:r w:rsidRPr="00825EEB">
        <w:rPr>
          <w:rFonts w:ascii="Sylfaen" w:hAnsi="Sylfaen"/>
          <w:sz w:val="24"/>
          <w:szCs w:val="24"/>
        </w:rPr>
        <w:t>, 719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7F2C0AE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Ստացված սպեկտրը պետք է համապատասխանի տիպային նմուշի նյութի սպեկտրին:</w:t>
      </w:r>
    </w:p>
    <w:p w14:paraId="57AB668F" w14:textId="77777777" w:rsidR="0058052E" w:rsidRPr="00825EEB" w:rsidRDefault="0058052E" w:rsidP="004C2E7D">
      <w:pPr>
        <w:tabs>
          <w:tab w:val="left" w:pos="1134"/>
        </w:tabs>
        <w:spacing w:after="160" w:line="360" w:lineRule="auto"/>
        <w:ind w:firstLine="567"/>
        <w:jc w:val="both"/>
      </w:pPr>
      <w:r w:rsidRPr="00825EEB">
        <w:t>Բ.</w:t>
      </w:r>
      <w:r w:rsidR="004C2E7D" w:rsidRPr="00A859E3">
        <w:tab/>
      </w:r>
      <w:r w:rsidRPr="00825EEB">
        <w:t xml:space="preserve">Փորձարկվող նյութը պետք է անցնի հավելանյութի սահմանային պարունակության լրացուցիչ փորձարկումներ՝ </w:t>
      </w:r>
      <w:r w:rsidRPr="00825EEB">
        <w:rPr>
          <w:i/>
        </w:rPr>
        <w:t>«Փորձարկումներ»</w:t>
      </w:r>
      <w:r w:rsidRPr="00825EEB">
        <w:t xml:space="preserve"> բաժնում նշված ցուցումներին համապատասխան:</w:t>
      </w:r>
    </w:p>
    <w:p w14:paraId="658A5496" w14:textId="77777777" w:rsidR="0058052E" w:rsidRPr="00825EEB" w:rsidRDefault="0058052E" w:rsidP="004C2E7D">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Գ.</w:t>
      </w:r>
      <w:r w:rsidR="004C2E7D" w:rsidRPr="00A859E3">
        <w:rPr>
          <w:rFonts w:ascii="Sylfaen" w:hAnsi="Sylfaen"/>
          <w:sz w:val="24"/>
          <w:szCs w:val="24"/>
        </w:rPr>
        <w:tab/>
      </w:r>
      <w:r w:rsidRPr="00825EEB">
        <w:rPr>
          <w:rFonts w:ascii="Sylfaen" w:hAnsi="Sylfaen"/>
          <w:i/>
          <w:sz w:val="24"/>
          <w:szCs w:val="24"/>
        </w:rPr>
        <w:t>(Իրականացվում է միայն անթափանց պոլիպրոպիլենի վրա):</w:t>
      </w:r>
      <w:r w:rsidRPr="00825EEB">
        <w:rPr>
          <w:rFonts w:ascii="Sylfaen" w:hAnsi="Sylfaen"/>
          <w:sz w:val="24"/>
          <w:szCs w:val="24"/>
        </w:rPr>
        <w:t xml:space="preserve"> Նյութի փորձարկվող նմուշի 20 մգ տեղադրում են պլատինե հալքանոթի մեջ՝ </w:t>
      </w:r>
      <w:r w:rsidRPr="00825EEB">
        <w:rPr>
          <w:rFonts w:ascii="Sylfaen" w:hAnsi="Sylfaen"/>
          <w:i/>
          <w:sz w:val="24"/>
          <w:szCs w:val="24"/>
        </w:rPr>
        <w:t xml:space="preserve">Ռ կալիումի </w:t>
      </w:r>
      <w:r w:rsidRPr="00825EEB">
        <w:rPr>
          <w:rFonts w:ascii="Sylfaen" w:hAnsi="Sylfaen"/>
          <w:i/>
          <w:sz w:val="24"/>
          <w:szCs w:val="24"/>
        </w:rPr>
        <w:lastRenderedPageBreak/>
        <w:t>հիդրոսուլֆատի</w:t>
      </w:r>
      <w:r w:rsidRPr="00825EEB">
        <w:rPr>
          <w:rFonts w:ascii="Sylfaen" w:hAnsi="Sylfaen"/>
          <w:sz w:val="24"/>
          <w:szCs w:val="24"/>
        </w:rPr>
        <w:t xml:space="preserve"> 1 գ-ի հետ, խառնում են եւ տաքացնում մինչ</w:t>
      </w:r>
      <w:r>
        <w:rPr>
          <w:rFonts w:ascii="Sylfaen" w:hAnsi="Sylfaen"/>
          <w:sz w:val="24"/>
          <w:szCs w:val="24"/>
        </w:rPr>
        <w:t>եւ</w:t>
      </w:r>
      <w:r w:rsidRPr="00825EEB">
        <w:rPr>
          <w:rFonts w:ascii="Sylfaen" w:hAnsi="Sylfaen"/>
          <w:sz w:val="24"/>
          <w:szCs w:val="24"/>
        </w:rPr>
        <w:t xml:space="preserve"> ամբողջովին հալվելը </w:t>
      </w:r>
      <w:r>
        <w:rPr>
          <w:rFonts w:ascii="Sylfaen" w:hAnsi="Sylfaen"/>
          <w:sz w:val="24"/>
          <w:szCs w:val="24"/>
        </w:rPr>
        <w:t>եւ</w:t>
      </w:r>
      <w:r w:rsidRPr="00825EEB">
        <w:rPr>
          <w:rFonts w:ascii="Sylfaen" w:hAnsi="Sylfaen"/>
          <w:sz w:val="24"/>
          <w:szCs w:val="24"/>
        </w:rPr>
        <w:t xml:space="preserve"> հովացնում են: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20 մլ, զգուշորեն տաքացնում են </w:t>
      </w:r>
      <w:r>
        <w:rPr>
          <w:rFonts w:ascii="Sylfaen" w:hAnsi="Sylfaen"/>
          <w:sz w:val="24"/>
          <w:szCs w:val="24"/>
        </w:rPr>
        <w:t>եւ</w:t>
      </w:r>
      <w:r w:rsidRPr="00825EEB">
        <w:rPr>
          <w:rFonts w:ascii="Sylfaen" w:hAnsi="Sylfaen"/>
          <w:sz w:val="24"/>
          <w:szCs w:val="24"/>
        </w:rPr>
        <w:t xml:space="preserve"> զտում: Ստացված զտվածքին ավելացնում են </w:t>
      </w:r>
      <w:r w:rsidRPr="00825EEB">
        <w:rPr>
          <w:rFonts w:ascii="Sylfaen" w:hAnsi="Sylfaen"/>
          <w:i/>
          <w:sz w:val="24"/>
          <w:szCs w:val="24"/>
        </w:rPr>
        <w:t>Ռ ֆոսֆորաթթվի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կոնցենտրացված ջրածնի պերօքսիդի լուծույթի</w:t>
      </w:r>
      <w:r w:rsidRPr="00825EEB">
        <w:rPr>
          <w:rFonts w:ascii="Sylfaen" w:hAnsi="Sylfaen"/>
          <w:sz w:val="24"/>
          <w:szCs w:val="24"/>
        </w:rPr>
        <w:t xml:space="preserve"> 1 մլ. եթե նյութի փորձարկվող նմուշը պարունակում է տիտանի դիօքսիդ, ապա պետք է նկատվի նարնջագույն-դեղին գունավորում:</w:t>
      </w:r>
    </w:p>
    <w:p w14:paraId="06DBFA2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0176C3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5D9FB54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պոլիպրոպիլենի նմուշներն անհրաժեշտության դեպքում կտրատում են մասերի, որոնց կողմերի չափը 1 սմ-ից ոչ ավելի է:</w:t>
      </w:r>
    </w:p>
    <w:p w14:paraId="52FB28B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i/>
          <w:sz w:val="24"/>
          <w:szCs w:val="24"/>
        </w:rPr>
        <w:t>Տ1 լուծույթը կարող է օգտագործվել պատրաստելուց հետո 4</w:t>
      </w:r>
      <w:r w:rsidR="004C2E7D" w:rsidRPr="004C2E7D">
        <w:rPr>
          <w:rFonts w:ascii="Sylfaen" w:hAnsi="Sylfaen"/>
          <w:i/>
          <w:sz w:val="24"/>
          <w:szCs w:val="24"/>
        </w:rPr>
        <w:t> </w:t>
      </w:r>
      <w:r w:rsidRPr="00825EEB">
        <w:rPr>
          <w:rFonts w:ascii="Sylfaen" w:hAnsi="Sylfaen"/>
          <w:i/>
          <w:sz w:val="24"/>
          <w:szCs w:val="24"/>
        </w:rPr>
        <w:t xml:space="preserve">ժամվա ընթացքում: </w:t>
      </w:r>
      <w:r w:rsidRPr="00825EEB">
        <w:rPr>
          <w:rFonts w:ascii="Sylfaen" w:hAnsi="Sylfaen"/>
          <w:sz w:val="24"/>
          <w:szCs w:val="24"/>
        </w:rPr>
        <w:t xml:space="preserve">Նյութի փորձարկվող նմուշի 25 գ տեղադրում են կիպահղկած խցանով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500</w:t>
      </w:r>
      <w:r w:rsidR="004C2E7D" w:rsidRPr="004C2E7D">
        <w:rPr>
          <w:rFonts w:ascii="Sylfaen" w:hAnsi="Sylfaen"/>
          <w:sz w:val="24"/>
          <w:szCs w:val="24"/>
        </w:rPr>
        <w:t> </w:t>
      </w:r>
      <w:r w:rsidRPr="00825EEB">
        <w:rPr>
          <w:rFonts w:ascii="Sylfaen" w:hAnsi="Sylfaen"/>
          <w:sz w:val="24"/>
          <w:szCs w:val="24"/>
        </w:rPr>
        <w:t xml:space="preserve">մլ </w:t>
      </w:r>
      <w:r>
        <w:rPr>
          <w:rFonts w:ascii="Sylfaen" w:hAnsi="Sylfaen"/>
          <w:sz w:val="24"/>
          <w:szCs w:val="24"/>
        </w:rPr>
        <w:t>եւ</w:t>
      </w:r>
      <w:r w:rsidRPr="00825EEB">
        <w:rPr>
          <w:rFonts w:ascii="Sylfaen" w:hAnsi="Sylfaen"/>
          <w:sz w:val="24"/>
          <w:szCs w:val="24"/>
        </w:rPr>
        <w:t xml:space="preserve"> 5 ժամ եռացնում հակադարձ սառնարանով: Լուծույթը հովացնում </w:t>
      </w:r>
      <w:r>
        <w:rPr>
          <w:rFonts w:ascii="Sylfaen" w:hAnsi="Sylfaen"/>
          <w:sz w:val="24"/>
          <w:szCs w:val="24"/>
        </w:rPr>
        <w:t>եւ</w:t>
      </w:r>
      <w:r w:rsidRPr="00825EEB">
        <w:rPr>
          <w:rFonts w:ascii="Sylfaen" w:hAnsi="Sylfaen"/>
          <w:sz w:val="24"/>
          <w:szCs w:val="24"/>
        </w:rPr>
        <w:t xml:space="preserve"> պարզվածքազատում են: Լուծույթի մի մասը պահում են թափանցիկության </w:t>
      </w:r>
      <w:r>
        <w:rPr>
          <w:rFonts w:ascii="Sylfaen" w:hAnsi="Sylfaen"/>
          <w:sz w:val="24"/>
          <w:szCs w:val="24"/>
        </w:rPr>
        <w:t>եւ</w:t>
      </w:r>
      <w:r w:rsidRPr="00825EEB">
        <w:rPr>
          <w:rFonts w:ascii="Sylfaen" w:hAnsi="Sylfaen"/>
          <w:sz w:val="24"/>
          <w:szCs w:val="24"/>
        </w:rPr>
        <w:t xml:space="preserve"> գունայնության փորձարկում անցկացնելու համար: Մնացած լուծույթը զտում են ապակյա զտիչով (16) (</w:t>
      </w:r>
      <w:r w:rsidRPr="00825EEB">
        <w:rPr>
          <w:rFonts w:ascii="Sylfaen" w:hAnsi="Sylfaen"/>
          <w:i/>
          <w:sz w:val="24"/>
          <w:szCs w:val="24"/>
        </w:rPr>
        <w:t>2.1.1.2</w:t>
      </w:r>
      <w:r w:rsidRPr="00825EEB">
        <w:rPr>
          <w:rFonts w:ascii="Sylfaen" w:hAnsi="Sylfaen"/>
          <w:sz w:val="24"/>
          <w:szCs w:val="24"/>
        </w:rPr>
        <w:t>)։</w:t>
      </w:r>
    </w:p>
    <w:p w14:paraId="08558A8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Նյութի փորձարկվող նմուշի 2,0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Ռ տոլուոլի</w:t>
      </w:r>
      <w:r w:rsidRPr="00825EEB">
        <w:rPr>
          <w:rFonts w:ascii="Sylfaen" w:hAnsi="Sylfaen"/>
          <w:sz w:val="24"/>
          <w:szCs w:val="24"/>
        </w:rPr>
        <w:t xml:space="preserve"> 80 մլ </w:t>
      </w:r>
      <w:r>
        <w:rPr>
          <w:rFonts w:ascii="Sylfaen" w:hAnsi="Sylfaen"/>
          <w:sz w:val="24"/>
          <w:szCs w:val="24"/>
        </w:rPr>
        <w:t>եւ</w:t>
      </w:r>
      <w:r w:rsidRPr="00825EEB">
        <w:rPr>
          <w:rFonts w:ascii="Sylfaen" w:hAnsi="Sylfaen"/>
          <w:sz w:val="24"/>
          <w:szCs w:val="24"/>
        </w:rPr>
        <w:t xml:space="preserve"> 90 րոպե եռացնում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60 °C"/>
        </w:smartTagPr>
        <w:r w:rsidRPr="00825EEB">
          <w:rPr>
            <w:rFonts w:ascii="Sylfaen" w:hAnsi="Sylfaen"/>
            <w:sz w:val="24"/>
            <w:szCs w:val="24"/>
          </w:rPr>
          <w:t>60 °C</w:t>
        </w:r>
      </w:smartTag>
      <w:r w:rsidRPr="00825EEB">
        <w:rPr>
          <w:rFonts w:ascii="Sylfaen" w:hAnsi="Sylfaen"/>
          <w:sz w:val="24"/>
          <w:szCs w:val="24"/>
        </w:rPr>
        <w:t xml:space="preserve"> ջերմաստիճանը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 մեթանոլի</w:t>
      </w:r>
      <w:r w:rsidRPr="00825EEB">
        <w:rPr>
          <w:rFonts w:ascii="Sylfaen" w:hAnsi="Sylfaen"/>
          <w:sz w:val="24"/>
          <w:szCs w:val="24"/>
        </w:rPr>
        <w:t xml:space="preserve"> 120 մլ՝ անդադար խառնելով: Լուծույթը զտում են ապակյա զտիչով (16) (</w:t>
      </w:r>
      <w:r w:rsidRPr="00825EEB">
        <w:rPr>
          <w:rFonts w:ascii="Sylfaen" w:hAnsi="Sylfaen"/>
          <w:i/>
          <w:sz w:val="24"/>
          <w:szCs w:val="24"/>
        </w:rPr>
        <w:t>2.1.1.2</w:t>
      </w:r>
      <w:r w:rsidRPr="00825EEB">
        <w:rPr>
          <w:rFonts w:ascii="Sylfaen" w:hAnsi="Sylfaen"/>
          <w:sz w:val="24"/>
          <w:szCs w:val="24"/>
        </w:rPr>
        <w:t xml:space="preserve">)։ Փորձանոթն ու զտիչը լվանում են </w:t>
      </w:r>
      <w:r w:rsidRPr="00825EEB">
        <w:rPr>
          <w:rFonts w:ascii="Sylfaen" w:hAnsi="Sylfaen"/>
          <w:i/>
          <w:sz w:val="24"/>
          <w:szCs w:val="24"/>
        </w:rPr>
        <w:t>Ռ տոլուոլի – Ռ մեթանոլի</w:t>
      </w:r>
      <w:r w:rsidRPr="00825EEB">
        <w:rPr>
          <w:rFonts w:ascii="Sylfaen" w:hAnsi="Sylfaen"/>
          <w:sz w:val="24"/>
          <w:szCs w:val="24"/>
        </w:rPr>
        <w:t xml:space="preserve"> խառնուրդի 25 մլ-ով (40:60 </w:t>
      </w:r>
      <w:r w:rsidRPr="00825EEB">
        <w:rPr>
          <w:rFonts w:ascii="Sylfaen" w:hAnsi="Sylfaen"/>
          <w:i/>
          <w:sz w:val="24"/>
          <w:szCs w:val="24"/>
        </w:rPr>
        <w:t>ծավ/ծավ</w:t>
      </w:r>
      <w:r w:rsidRPr="00825EEB">
        <w:rPr>
          <w:rFonts w:ascii="Sylfaen" w:hAnsi="Sylfaen"/>
          <w:sz w:val="24"/>
          <w:szCs w:val="24"/>
        </w:rPr>
        <w:t xml:space="preserve">), ողողվածքը ավելացնում են զտվածքին </w:t>
      </w:r>
      <w:r>
        <w:rPr>
          <w:rFonts w:ascii="Sylfaen" w:hAnsi="Sylfaen"/>
          <w:sz w:val="24"/>
          <w:szCs w:val="24"/>
        </w:rPr>
        <w:t>եւ</w:t>
      </w:r>
      <w:r w:rsidRPr="00825EEB">
        <w:rPr>
          <w:rFonts w:ascii="Sylfaen" w:hAnsi="Sylfaen"/>
          <w:sz w:val="24"/>
          <w:szCs w:val="24"/>
        </w:rPr>
        <w:t xml:space="preserve"> ստացված լուծույթի ծավալը լուծիչների նույն խառնուրդով հասցնում մինչեւ 250,0 մլ-ը: Նա</w:t>
      </w:r>
      <w:r>
        <w:rPr>
          <w:rFonts w:ascii="Sylfaen" w:hAnsi="Sylfaen"/>
          <w:sz w:val="24"/>
          <w:szCs w:val="24"/>
        </w:rPr>
        <w:t>եւ</w:t>
      </w:r>
      <w:r w:rsidRPr="00825EEB">
        <w:rPr>
          <w:rFonts w:ascii="Sylfaen" w:hAnsi="Sylfaen"/>
          <w:sz w:val="24"/>
          <w:szCs w:val="24"/>
        </w:rPr>
        <w:t xml:space="preserve"> պատրաստում են Տ2 ստուգիչ լուծույթը:</w:t>
      </w:r>
    </w:p>
    <w:p w14:paraId="54AF8680" w14:textId="77777777" w:rsidR="00F24391" w:rsidRPr="00D35F34" w:rsidRDefault="00F24391" w:rsidP="0058052E">
      <w:pPr>
        <w:spacing w:after="160" w:line="360" w:lineRule="auto"/>
        <w:ind w:firstLine="567"/>
        <w:jc w:val="both"/>
        <w:rPr>
          <w:b/>
        </w:rPr>
      </w:pPr>
    </w:p>
    <w:p w14:paraId="6CC7BE34" w14:textId="77777777" w:rsidR="0058052E" w:rsidRPr="00825EEB" w:rsidRDefault="0058052E" w:rsidP="0058052E">
      <w:pPr>
        <w:spacing w:after="160" w:line="360" w:lineRule="auto"/>
        <w:ind w:firstLine="567"/>
        <w:jc w:val="both"/>
      </w:pPr>
      <w:r w:rsidRPr="00825EEB">
        <w:rPr>
          <w:b/>
        </w:rPr>
        <w:lastRenderedPageBreak/>
        <w:t xml:space="preserve">Տ3 լուծույթը։ </w:t>
      </w:r>
      <w:r w:rsidRPr="00825EEB">
        <w:t>Նյութի փորձարկվող նմուշի 100 գ տեղադրում են կիպահղկած խցանով բորասիլիկատային ապակուց կոնաձ</w:t>
      </w:r>
      <w:r>
        <w:t>եւ</w:t>
      </w:r>
      <w:r w:rsidRPr="00825EEB">
        <w:t xml:space="preserve"> փորձանոթի մեջ, ավելացնում են </w:t>
      </w:r>
      <w:r w:rsidRPr="00825EEB">
        <w:rPr>
          <w:i/>
        </w:rPr>
        <w:t>0,1 Մ քլորաջրածնային թթվի</w:t>
      </w:r>
      <w:r w:rsidRPr="00825EEB">
        <w:t xml:space="preserve"> 250 մլ </w:t>
      </w:r>
      <w:r>
        <w:t>եւ</w:t>
      </w:r>
      <w:r w:rsidRPr="00825EEB">
        <w:t xml:space="preserve"> 1 ժամ եռացնում հակադարձ սառնարանով՝ անդադար խառնելով: Լուծույթը հովացնում </w:t>
      </w:r>
      <w:r>
        <w:t>եւ</w:t>
      </w:r>
      <w:r w:rsidRPr="00825EEB">
        <w:t xml:space="preserve"> պարզվածքազատում են:</w:t>
      </w:r>
    </w:p>
    <w:p w14:paraId="45D8CBB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Տ1 լուծույթի թափանցիկությունը</w:t>
      </w:r>
      <w:r w:rsidRPr="00825EEB">
        <w:rPr>
          <w:rFonts w:ascii="Sylfaen" w:hAnsi="Sylfaen"/>
          <w:sz w:val="24"/>
          <w:szCs w:val="24"/>
        </w:rPr>
        <w:t xml:space="preserve"> </w:t>
      </w:r>
      <w:r w:rsidRPr="00825EEB">
        <w:rPr>
          <w:rFonts w:ascii="Sylfaen" w:eastAsia="Microsoft Sans Serif" w:hAnsi="Sylfaen" w:cs="Microsoft Sans Serif"/>
          <w:color w:val="000000"/>
          <w:sz w:val="24"/>
          <w:szCs w:val="24"/>
        </w:rPr>
        <w:t>(</w:t>
      </w:r>
      <w:r w:rsidRPr="00825EEB">
        <w:rPr>
          <w:rFonts w:ascii="Sylfaen" w:eastAsia="Microsoft Sans Serif" w:hAnsi="Sylfaen" w:cs="Microsoft Sans Serif"/>
          <w:i/>
          <w:color w:val="000000"/>
          <w:sz w:val="24"/>
          <w:szCs w:val="24"/>
        </w:rPr>
        <w:t>2.1.2.1</w:t>
      </w:r>
      <w:r w:rsidRPr="00825EEB">
        <w:rPr>
          <w:rFonts w:ascii="Sylfaen" w:eastAsia="Microsoft Sans Serif" w:hAnsi="Sylfaen" w:cs="Microsoft Sans Serif"/>
          <w:color w:val="000000"/>
          <w:sz w:val="24"/>
          <w:szCs w:val="24"/>
        </w:rPr>
        <w:t>)։</w:t>
      </w:r>
      <w:r w:rsidRPr="00825EEB">
        <w:rPr>
          <w:rFonts w:ascii="Sylfaen" w:hAnsi="Sylfaen"/>
          <w:sz w:val="24"/>
          <w:szCs w:val="24"/>
        </w:rPr>
        <w:t xml:space="preserve"> Տ1 լուծույթի օպալեսցենցիան չպետք</w:t>
      </w:r>
      <w:r w:rsidR="004C2E7D" w:rsidRPr="004C2E7D">
        <w:rPr>
          <w:rFonts w:ascii="Sylfaen" w:hAnsi="Sylfaen"/>
          <w:sz w:val="24"/>
          <w:szCs w:val="24"/>
        </w:rPr>
        <w:t> </w:t>
      </w:r>
      <w:r w:rsidRPr="00825EEB">
        <w:rPr>
          <w:rFonts w:ascii="Sylfaen" w:hAnsi="Sylfaen"/>
          <w:sz w:val="24"/>
          <w:szCs w:val="24"/>
        </w:rPr>
        <w:t>է գերազանցի II համեմատության դեղակախույթի օպալեսցենցիան:</w:t>
      </w:r>
    </w:p>
    <w:p w14:paraId="290B60C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Տ1 լուծույթի գունայնությունը</w:t>
      </w:r>
      <w:r w:rsidRPr="00825EEB">
        <w:rPr>
          <w:rFonts w:ascii="Sylfaen" w:hAnsi="Sylfaen"/>
          <w:sz w:val="24"/>
          <w:szCs w:val="24"/>
        </w:rPr>
        <w:t xml:space="preserve"> </w:t>
      </w:r>
      <w:r w:rsidRPr="00825EEB">
        <w:rPr>
          <w:rFonts w:ascii="Sylfaen" w:eastAsia="Microsoft Sans Serif" w:hAnsi="Sylfaen" w:cs="Microsoft Sans Serif"/>
          <w:color w:val="000000"/>
          <w:sz w:val="24"/>
          <w:szCs w:val="24"/>
        </w:rPr>
        <w:t>(</w:t>
      </w:r>
      <w:r w:rsidRPr="00825EEB">
        <w:rPr>
          <w:rFonts w:ascii="Sylfaen" w:eastAsia="Microsoft Sans Serif" w:hAnsi="Sylfaen" w:cs="Microsoft Sans Serif"/>
          <w:i/>
          <w:color w:val="000000"/>
          <w:sz w:val="24"/>
          <w:szCs w:val="24"/>
        </w:rPr>
        <w:t>2.1.2.2, մեթոդ II</w:t>
      </w:r>
      <w:r w:rsidRPr="00825EEB">
        <w:rPr>
          <w:rFonts w:ascii="Sylfaen" w:eastAsia="Microsoft Sans Serif" w:hAnsi="Sylfaen" w:cs="Microsoft Sans Serif"/>
          <w:color w:val="000000"/>
          <w:sz w:val="24"/>
          <w:szCs w:val="24"/>
        </w:rPr>
        <w:t>)։</w:t>
      </w:r>
      <w:r w:rsidRPr="00825EEB">
        <w:rPr>
          <w:rFonts w:ascii="Sylfaen" w:hAnsi="Sylfaen"/>
          <w:i/>
          <w:sz w:val="24"/>
          <w:szCs w:val="24"/>
        </w:rPr>
        <w:t xml:space="preserve"> </w:t>
      </w:r>
      <w:r w:rsidRPr="00825EEB">
        <w:rPr>
          <w:rFonts w:ascii="Sylfaen" w:hAnsi="Sylfaen"/>
          <w:sz w:val="24"/>
          <w:szCs w:val="24"/>
        </w:rPr>
        <w:t>Տ1 լուծույթը պետք է լինի անգույն:</w:t>
      </w:r>
    </w:p>
    <w:p w14:paraId="348C887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4C2E7D">
        <w:rPr>
          <w:rFonts w:ascii="Sylfaen" w:hAnsi="Sylfaen"/>
          <w:b/>
          <w:spacing w:val="-2"/>
          <w:sz w:val="24"/>
          <w:szCs w:val="24"/>
        </w:rPr>
        <w:t xml:space="preserve">Թթվայնությունը եւ ալկալիականությունը։ </w:t>
      </w:r>
      <w:r w:rsidRPr="004C2E7D">
        <w:rPr>
          <w:rFonts w:ascii="Sylfaen" w:hAnsi="Sylfaen"/>
          <w:spacing w:val="-2"/>
          <w:sz w:val="24"/>
          <w:szCs w:val="24"/>
        </w:rPr>
        <w:t>Տ1 լուծույթի 100 մլ-ին ավելացնում</w:t>
      </w:r>
      <w:r w:rsidR="004C2E7D" w:rsidRPr="004C2E7D">
        <w:rPr>
          <w:rFonts w:ascii="Sylfaen" w:hAnsi="Sylfaen"/>
          <w:spacing w:val="-2"/>
          <w:sz w:val="24"/>
          <w:szCs w:val="24"/>
        </w:rPr>
        <w:t> </w:t>
      </w:r>
      <w:r w:rsidRPr="004C2E7D">
        <w:rPr>
          <w:rFonts w:ascii="Sylfaen" w:hAnsi="Sylfaen"/>
          <w:spacing w:val="-2"/>
          <w:sz w:val="24"/>
          <w:szCs w:val="24"/>
        </w:rPr>
        <w:t xml:space="preserve">են </w:t>
      </w:r>
      <w:r w:rsidRPr="004C2E7D">
        <w:rPr>
          <w:rFonts w:ascii="Sylfaen" w:hAnsi="Sylfaen"/>
          <w:i/>
          <w:spacing w:val="-2"/>
          <w:sz w:val="24"/>
          <w:szCs w:val="24"/>
        </w:rPr>
        <w:t>Ռ</w:t>
      </w:r>
      <w:r w:rsidRPr="00825EEB">
        <w:rPr>
          <w:rFonts w:ascii="Sylfaen" w:hAnsi="Sylfaen"/>
          <w:i/>
          <w:sz w:val="24"/>
          <w:szCs w:val="24"/>
        </w:rPr>
        <w:t xml:space="preserve"> ցուցիչի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Ցուցիչի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0,01 Մ նատրիումի հիդրօքսիդի լուծույթի</w:t>
      </w:r>
      <w:r w:rsidRPr="00825EEB">
        <w:rPr>
          <w:rFonts w:ascii="Sylfaen" w:hAnsi="Sylfaen"/>
          <w:sz w:val="24"/>
          <w:szCs w:val="24"/>
        </w:rPr>
        <w:t xml:space="preserve"> ոչ ավելի, քան 1,5 մլ ավելացնելիս:</w:t>
      </w:r>
      <w:r w:rsidRPr="00825EEB">
        <w:rPr>
          <w:rFonts w:ascii="Sylfaen" w:hAnsi="Sylfaen"/>
          <w:i/>
          <w:sz w:val="24"/>
          <w:szCs w:val="24"/>
        </w:rPr>
        <w:t xml:space="preserve"> </w:t>
      </w:r>
      <w:r w:rsidRPr="00825EEB">
        <w:rPr>
          <w:rFonts w:ascii="Sylfaen" w:hAnsi="Sylfaen"/>
          <w:sz w:val="24"/>
          <w:szCs w:val="24"/>
        </w:rPr>
        <w:t xml:space="preserve">Տ1 լուծույթի 100 մլ-ին ավելացնում են </w:t>
      </w:r>
      <w:r w:rsidRPr="00825EEB">
        <w:rPr>
          <w:rFonts w:ascii="Sylfaen" w:hAnsi="Sylfaen"/>
          <w:i/>
          <w:sz w:val="24"/>
          <w:szCs w:val="24"/>
        </w:rPr>
        <w:t>Ռ մեթիլ նարնջագույնի լուծույթի</w:t>
      </w:r>
      <w:r>
        <w:rPr>
          <w:rFonts w:ascii="Sylfaen" w:hAnsi="Sylfaen"/>
          <w:sz w:val="24"/>
          <w:szCs w:val="24"/>
        </w:rPr>
        <w:t xml:space="preserve"> </w:t>
      </w:r>
      <w:r w:rsidRPr="00825EEB">
        <w:rPr>
          <w:rFonts w:ascii="Sylfaen" w:hAnsi="Sylfaen"/>
          <w:sz w:val="24"/>
          <w:szCs w:val="24"/>
        </w:rPr>
        <w:t xml:space="preserve">0,2 մլ, </w:t>
      </w:r>
      <w:r w:rsidRPr="00825EEB">
        <w:rPr>
          <w:rFonts w:ascii="Sylfaen" w:hAnsi="Sylfaen"/>
          <w:i/>
          <w:sz w:val="24"/>
          <w:szCs w:val="24"/>
        </w:rPr>
        <w:t>0,01 Մ քլորաջրածնային թթվի</w:t>
      </w:r>
      <w:r w:rsidRPr="00825EEB">
        <w:rPr>
          <w:rFonts w:ascii="Sylfaen" w:hAnsi="Sylfaen"/>
          <w:sz w:val="24"/>
          <w:szCs w:val="24"/>
        </w:rPr>
        <w:t xml:space="preserve"> 1,0 մլ-ից ոչ ավելին պետք է ծախսվի մինչ</w:t>
      </w:r>
      <w:r>
        <w:rPr>
          <w:rFonts w:ascii="Sylfaen" w:hAnsi="Sylfaen"/>
          <w:sz w:val="24"/>
          <w:szCs w:val="24"/>
        </w:rPr>
        <w:t>եւ</w:t>
      </w:r>
      <w:r w:rsidRPr="00825EEB">
        <w:rPr>
          <w:rFonts w:ascii="Sylfaen" w:hAnsi="Sylfaen"/>
          <w:sz w:val="24"/>
          <w:szCs w:val="24"/>
        </w:rPr>
        <w:t xml:space="preserve"> լուծույթի գունավորման դեղինից նարնջագույնն անցնելու պահը:</w:t>
      </w:r>
    </w:p>
    <w:p w14:paraId="0E5BEC5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Տ1 լուծույթի օպտիկական խտությունը 220 նմ-ից մինչ</w:t>
      </w:r>
      <w:r>
        <w:rPr>
          <w:rFonts w:ascii="Sylfaen" w:hAnsi="Sylfaen"/>
          <w:sz w:val="24"/>
          <w:szCs w:val="24"/>
        </w:rPr>
        <w:t>եւ</w:t>
      </w:r>
      <w:r w:rsidRPr="00825EEB">
        <w:rPr>
          <w:rFonts w:ascii="Sylfaen" w:hAnsi="Sylfaen"/>
          <w:sz w:val="24"/>
          <w:szCs w:val="24"/>
        </w:rPr>
        <w:t xml:space="preserve"> 340 նմ հատվածում չպետք է գերազանցի 0,2-ը:</w:t>
      </w:r>
    </w:p>
    <w:p w14:paraId="778768E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Վերականգնող նյութերը։ </w:t>
      </w:r>
      <w:r w:rsidRPr="00825EEB">
        <w:rPr>
          <w:rFonts w:ascii="Sylfaen" w:hAnsi="Sylfaen"/>
          <w:sz w:val="24"/>
          <w:szCs w:val="24"/>
        </w:rPr>
        <w:t xml:space="preserve">Տ1 լուծույթի 20 մլ-ին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0,002 Մ կալիումի պերմանգանատի լուծույթի</w:t>
      </w:r>
      <w:r w:rsidRPr="00825EEB">
        <w:rPr>
          <w:rFonts w:ascii="Sylfaen" w:hAnsi="Sylfaen"/>
          <w:sz w:val="24"/>
          <w:szCs w:val="24"/>
        </w:rPr>
        <w:t xml:space="preserve"> 20 մլ: 3 րոպե եռացնում են հակադարձ սառնարանով </w:t>
      </w:r>
      <w:r>
        <w:rPr>
          <w:rFonts w:ascii="Sylfaen" w:hAnsi="Sylfaen"/>
          <w:sz w:val="24"/>
          <w:szCs w:val="24"/>
        </w:rPr>
        <w:t>եւ</w:t>
      </w:r>
      <w:r w:rsidRPr="00825EEB">
        <w:rPr>
          <w:rFonts w:ascii="Sylfaen" w:hAnsi="Sylfaen"/>
          <w:sz w:val="24"/>
          <w:szCs w:val="24"/>
        </w:rPr>
        <w:t xml:space="preserve"> իսկույն հովացնում: Ավելացնում են </w:t>
      </w:r>
      <w:r w:rsidRPr="00825EEB">
        <w:rPr>
          <w:rFonts w:ascii="Sylfaen" w:hAnsi="Sylfaen"/>
          <w:i/>
          <w:sz w:val="24"/>
          <w:szCs w:val="24"/>
        </w:rPr>
        <w:t>Ռ կալիումի յոդի</w:t>
      </w:r>
      <w:r w:rsidRPr="00825EEB">
        <w:rPr>
          <w:rFonts w:ascii="Sylfaen" w:hAnsi="Sylfaen"/>
          <w:sz w:val="24"/>
          <w:szCs w:val="24"/>
        </w:rPr>
        <w:t xml:space="preserve"> 1 գ </w:t>
      </w:r>
      <w:r>
        <w:rPr>
          <w:rFonts w:ascii="Sylfaen" w:hAnsi="Sylfaen"/>
          <w:sz w:val="24"/>
          <w:szCs w:val="24"/>
        </w:rPr>
        <w:t>եւ</w:t>
      </w:r>
      <w:r w:rsidRPr="00825EEB">
        <w:rPr>
          <w:rFonts w:ascii="Sylfaen" w:hAnsi="Sylfaen"/>
          <w:sz w:val="24"/>
          <w:szCs w:val="24"/>
        </w:rPr>
        <w:t xml:space="preserve"> անմիջապես տիտրում </w:t>
      </w:r>
      <w:r w:rsidRPr="00825EEB">
        <w:rPr>
          <w:rFonts w:ascii="Sylfaen" w:hAnsi="Sylfaen"/>
          <w:i/>
          <w:sz w:val="24"/>
          <w:szCs w:val="24"/>
        </w:rPr>
        <w:t>0,01 Մ նատրիումի 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անցկացնում են ստուգիչ փորձարկումը։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0,5 մլ-ը:</w:t>
      </w:r>
    </w:p>
    <w:p w14:paraId="20D12E5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Ալյումին։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13EB2B74"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3FEEB9F0"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445FF9E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Համեմատության լուծույթները։</w:t>
      </w:r>
      <w:r w:rsidRPr="00825EEB">
        <w:rPr>
          <w:rFonts w:ascii="Sylfaen" w:hAnsi="Sylfaen"/>
          <w:sz w:val="24"/>
          <w:szCs w:val="24"/>
        </w:rPr>
        <w:t xml:space="preserve"> Պատրաստում են</w:t>
      </w:r>
      <w:r w:rsidRPr="00825EEB">
        <w:rPr>
          <w:rFonts w:ascii="Sylfaen" w:hAnsi="Sylfaen"/>
          <w:i/>
          <w:sz w:val="24"/>
          <w:szCs w:val="24"/>
        </w:rPr>
        <w:t xml:space="preserve"> Ռ ալյումինի իոնների ստանդարտ լուծույթը (200 ppm Al</w:t>
      </w:r>
      <w:r w:rsidRPr="00825EEB">
        <w:rPr>
          <w:rFonts w:ascii="Sylfaen" w:hAnsi="Sylfaen"/>
          <w:i/>
          <w:sz w:val="24"/>
          <w:szCs w:val="24"/>
          <w:vertAlign w:val="superscript"/>
        </w:rPr>
        <w:t>3+</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3102612B"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ալյումինի էմիսիայի ինտենսիվությունն ալիքի 396,15 նմ երկարությամբ՝ կատարելով սպեկտրալ ֆոնի շտկում ալիքի 396,25 նմ երկարությամբ:</w:t>
      </w:r>
    </w:p>
    <w:p w14:paraId="43567115"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ալյումինի բացակայությունը:</w:t>
      </w:r>
    </w:p>
    <w:p w14:paraId="663D10E3"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Վանադիում։ </w:t>
      </w:r>
      <w:r w:rsidRPr="00825EEB">
        <w:rPr>
          <w:rFonts w:ascii="Sylfaen" w:hAnsi="Sylfaen"/>
          <w:sz w:val="24"/>
          <w:szCs w:val="24"/>
        </w:rPr>
        <w:t>0,1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4FBDC1A2" w14:textId="77777777" w:rsidR="0058052E" w:rsidRPr="00825EEB" w:rsidRDefault="0058052E" w:rsidP="00F24391">
      <w:pPr>
        <w:spacing w:after="160" w:line="346" w:lineRule="auto"/>
        <w:ind w:firstLine="567"/>
        <w:jc w:val="both"/>
      </w:pPr>
      <w:r w:rsidRPr="00825EEB">
        <w:rPr>
          <w:i/>
        </w:rPr>
        <w:t>Փորձարկվող լուծույթը։</w:t>
      </w:r>
      <w:r w:rsidRPr="00825EEB">
        <w:t xml:space="preserve"> Օգտագործում են Տ3 լուծույթը:</w:t>
      </w:r>
    </w:p>
    <w:p w14:paraId="3DBA56A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վանադիումի ստանդարտ լուծույթը (1 գ/լ V</w:t>
      </w:r>
      <w:r w:rsidRPr="00825EEB">
        <w:rPr>
          <w:rFonts w:ascii="Sylfaen" w:hAnsi="Sylfaen"/>
          <w:i/>
          <w:sz w:val="24"/>
          <w:szCs w:val="24"/>
          <w:vertAlign w:val="superscript"/>
        </w:rPr>
        <w:t>+5</w:t>
      </w:r>
      <w:r w:rsidRPr="00825EEB">
        <w:rPr>
          <w:rFonts w:ascii="Sylfaen" w:hAnsi="Sylfaen"/>
          <w:i/>
          <w:sz w:val="24"/>
          <w:szCs w:val="24"/>
        </w:rPr>
        <w:t xml:space="preserve">) Ռ քլորաջրածնային թթու – Ռ ջուր </w:t>
      </w:r>
      <w:r w:rsidRPr="00825EEB">
        <w:rPr>
          <w:rFonts w:ascii="Sylfaen" w:hAnsi="Sylfaen"/>
          <w:sz w:val="24"/>
          <w:szCs w:val="24"/>
        </w:rPr>
        <w:t>(2:8</w:t>
      </w:r>
      <w:r w:rsidRPr="00825EEB">
        <w:rPr>
          <w:rFonts w:ascii="Sylfaen" w:hAnsi="Sylfaen"/>
          <w:i/>
          <w:sz w:val="24"/>
          <w:szCs w:val="24"/>
        </w:rPr>
        <w:t xml:space="preserve"> ծավ/ծավ</w:t>
      </w:r>
      <w:r w:rsidRPr="00825EEB">
        <w:rPr>
          <w:rFonts w:ascii="Sylfaen" w:hAnsi="Sylfaen"/>
          <w:sz w:val="24"/>
          <w:szCs w:val="24"/>
        </w:rPr>
        <w:t>) խառնուրդով նոսրացնելով:</w:t>
      </w:r>
    </w:p>
    <w:p w14:paraId="309AB5E9"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վանադիումի էմիսիայի ինտենսիվությունն ալիքի 292,40 նմ երկարությամբ՝ կատարելով սպեկտրալ ֆոնի շտկում ալիքի 292,35 նմ երկարությամբ:</w:t>
      </w:r>
    </w:p>
    <w:p w14:paraId="3A41677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վանադիումի բացակայությունը:</w:t>
      </w:r>
    </w:p>
    <w:p w14:paraId="7A2A0B93"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Տիտան։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3A0B091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546815B6"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տիտանի իոնների ստանդարտ լուծույթը (100 ppm Ti</w:t>
      </w:r>
      <w:r w:rsidRPr="00825EEB">
        <w:rPr>
          <w:rFonts w:ascii="Sylfaen" w:hAnsi="Sylfaen"/>
          <w:i/>
          <w:sz w:val="24"/>
          <w:szCs w:val="24"/>
          <w:vertAlign w:val="superscript"/>
        </w:rPr>
        <w:t>3+</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3815D1F7"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տիտանի էմիսիայի ինտենսիվությունն ալիքի 336,12 նմ երկարությամբ՝ կատարելով սպեկտրալ ֆոնի շտկում ալիքի 336,16 նմ երկարությամբ:</w:t>
      </w:r>
    </w:p>
    <w:p w14:paraId="3824CB5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Ստուգում են օգտագործվող քլորաջրածնային թթվի մեջ տիտանի բացակայությունը:</w:t>
      </w:r>
    </w:p>
    <w:p w14:paraId="7698D36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Քրոմ։ </w:t>
      </w:r>
      <w:r w:rsidRPr="00825EEB">
        <w:rPr>
          <w:rFonts w:ascii="Sylfaen" w:hAnsi="Sylfaen"/>
          <w:sz w:val="24"/>
          <w:szCs w:val="24"/>
        </w:rPr>
        <w:t>0,05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2.1.2.21</w:t>
      </w:r>
      <w:r w:rsidRPr="00825EEB">
        <w:rPr>
          <w:rFonts w:ascii="Sylfaen" w:hAnsi="Sylfaen"/>
          <w:sz w:val="24"/>
          <w:szCs w:val="24"/>
        </w:rPr>
        <w:t>)։</w:t>
      </w:r>
    </w:p>
    <w:p w14:paraId="5FF3866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1C78628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քրոմի ստանդարտ լուծույթը (100 ppm Сr</w:t>
      </w:r>
      <w:r w:rsidRPr="00825EEB">
        <w:rPr>
          <w:rFonts w:ascii="Sylfaen" w:hAnsi="Sylfaen"/>
          <w:i/>
          <w:sz w:val="24"/>
          <w:szCs w:val="24"/>
          <w:vertAlign w:val="superscript"/>
        </w:rPr>
        <w:t>+6</w:t>
      </w:r>
      <w:r w:rsidRPr="00825EEB">
        <w:rPr>
          <w:rFonts w:ascii="Sylfaen" w:hAnsi="Sylfaen"/>
          <w:i/>
          <w:sz w:val="24"/>
          <w:szCs w:val="24"/>
        </w:rPr>
        <w:t>) Ռ քլորաջրածնային թթու – Ռ ջուր</w:t>
      </w:r>
      <w:r w:rsidRPr="00825EEB">
        <w:rPr>
          <w:rFonts w:ascii="Sylfaen" w:hAnsi="Sylfaen"/>
          <w:sz w:val="24"/>
          <w:szCs w:val="24"/>
        </w:rPr>
        <w:t xml:space="preserve"> (2:8 </w:t>
      </w:r>
      <w:r w:rsidRPr="00825EEB">
        <w:rPr>
          <w:rFonts w:ascii="Sylfaen" w:hAnsi="Sylfaen"/>
          <w:i/>
          <w:sz w:val="24"/>
          <w:szCs w:val="24"/>
        </w:rPr>
        <w:t>ծավ/ծավ</w:t>
      </w:r>
      <w:r w:rsidRPr="00825EEB">
        <w:rPr>
          <w:rFonts w:ascii="Sylfaen" w:hAnsi="Sylfaen"/>
          <w:sz w:val="24"/>
          <w:szCs w:val="24"/>
        </w:rPr>
        <w:t>) խառնուրդով նոսրացնելով:</w:t>
      </w:r>
    </w:p>
    <w:p w14:paraId="5169B77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քրոմի էմիսիայի ինտենսիվությունն ալիքի 205,55 նմ երկարությամբ՝ կատարելով սպեկտրալ ֆոնի շտկում ալիքի 205,50 նմ երկարությամբ:</w:t>
      </w:r>
    </w:p>
    <w:p w14:paraId="5FAFBD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քրոմի բացակայությունը:</w:t>
      </w:r>
    </w:p>
    <w:p w14:paraId="73F7423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1 ppm-ից ոչ ավելի։ Որոշումն անցկացնում են ատոմաաբսորբման սպեկտրաչափության մեթոդով (</w:t>
      </w:r>
      <w:r w:rsidRPr="00825EEB">
        <w:rPr>
          <w:rFonts w:ascii="Sylfaen" w:hAnsi="Sylfaen"/>
          <w:i/>
          <w:sz w:val="24"/>
          <w:szCs w:val="24"/>
        </w:rPr>
        <w:t>2.1.2.22, մեթոդ I</w:t>
      </w:r>
      <w:r w:rsidRPr="00825EEB">
        <w:rPr>
          <w:rFonts w:ascii="Sylfaen" w:hAnsi="Sylfaen"/>
          <w:sz w:val="24"/>
          <w:szCs w:val="24"/>
        </w:rPr>
        <w:t>)։</w:t>
      </w:r>
    </w:p>
    <w:p w14:paraId="6FB571F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1EE2973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ցինկի իոնների ստանդարտ լուծույթը (10 ppm Zn</w:t>
      </w:r>
      <w:r w:rsidRPr="00825EEB">
        <w:rPr>
          <w:rFonts w:ascii="Sylfaen" w:hAnsi="Sylfaen"/>
          <w:i/>
          <w:sz w:val="24"/>
          <w:szCs w:val="24"/>
          <w:vertAlign w:val="superscript"/>
        </w:rPr>
        <w:t>2+</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75CF8AD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Չափում են ստացված լուծույթների կլանումն ալիքի 213,9 նմ երկարությամբ՝ որպես ճառագայթման աղբյուր օգտագործելով ցինկի սնամեջ կատոդով լամպ </w:t>
      </w:r>
      <w:r>
        <w:rPr>
          <w:rFonts w:ascii="Sylfaen" w:hAnsi="Sylfaen"/>
          <w:sz w:val="24"/>
          <w:szCs w:val="24"/>
        </w:rPr>
        <w:t>եւ</w:t>
      </w:r>
      <w:r w:rsidRPr="00825EEB">
        <w:rPr>
          <w:rFonts w:ascii="Sylfaen" w:hAnsi="Sylfaen"/>
          <w:sz w:val="24"/>
          <w:szCs w:val="24"/>
        </w:rPr>
        <w:t xml:space="preserve"> օդային ացետիլենային բոց։</w:t>
      </w:r>
    </w:p>
    <w:p w14:paraId="360D6777" w14:textId="77777777" w:rsidR="0058052E" w:rsidRPr="00825EEB" w:rsidRDefault="0058052E" w:rsidP="0058052E">
      <w:pPr>
        <w:spacing w:after="160" w:line="360" w:lineRule="auto"/>
        <w:ind w:firstLine="567"/>
        <w:jc w:val="both"/>
      </w:pPr>
      <w:r w:rsidRPr="00825EEB">
        <w:t>Ստուգում են օգտագործվող քլորաջրածնային թթվի մեջ ցինկի բացակայությունը:</w:t>
      </w:r>
    </w:p>
    <w:p w14:paraId="3B471DA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Ծանր մետաղները </w:t>
      </w:r>
      <w:r w:rsidRPr="00825EEB">
        <w:rPr>
          <w:rFonts w:ascii="Sylfaen" w:hAnsi="Sylfaen"/>
          <w:i/>
          <w:sz w:val="24"/>
          <w:szCs w:val="24"/>
        </w:rPr>
        <w:t>(2.1.4.8, Ա մեթոդ):</w:t>
      </w:r>
      <w:r w:rsidRPr="00825EEB">
        <w:rPr>
          <w:rFonts w:ascii="Sylfaen" w:hAnsi="Sylfaen"/>
          <w:sz w:val="24"/>
          <w:szCs w:val="24"/>
        </w:rPr>
        <w:t xml:space="preserve"> 2,5 ppm-ից ոչ ավելի։</w:t>
      </w:r>
    </w:p>
    <w:p w14:paraId="3249F0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Տ3 լուծույթի 50 մլ ջրային բաղնիքի վրա եռաթանձրացնում են մոտավորապես </w:t>
      </w:r>
      <w:r w:rsidRPr="00825EEB">
        <w:rPr>
          <w:rFonts w:ascii="Sylfaen" w:hAnsi="Sylfaen"/>
          <w:sz w:val="24"/>
          <w:szCs w:val="24"/>
        </w:rPr>
        <w:lastRenderedPageBreak/>
        <w:t>մինչ</w:t>
      </w:r>
      <w:r>
        <w:rPr>
          <w:rFonts w:ascii="Sylfaen" w:hAnsi="Sylfaen"/>
          <w:sz w:val="24"/>
          <w:szCs w:val="24"/>
        </w:rPr>
        <w:t>եւ</w:t>
      </w:r>
      <w:r w:rsidRPr="00825EEB">
        <w:rPr>
          <w:rFonts w:ascii="Sylfaen" w:hAnsi="Sylfaen"/>
          <w:sz w:val="24"/>
          <w:szCs w:val="24"/>
        </w:rPr>
        <w:t xml:space="preserve"> 5 մլ ծավալը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մինչեւ 20,0 մլ-ը: Ստացված լուծույթի 12</w:t>
      </w:r>
      <w:r w:rsidR="004C2E7D" w:rsidRPr="004C2E7D">
        <w:rPr>
          <w:rFonts w:ascii="Sylfaen" w:hAnsi="Sylfaen"/>
          <w:sz w:val="24"/>
          <w:szCs w:val="24"/>
        </w:rPr>
        <w:t> </w:t>
      </w:r>
      <w:r w:rsidRPr="00825EEB">
        <w:rPr>
          <w:rFonts w:ascii="Sylfaen" w:hAnsi="Sylfaen"/>
          <w:sz w:val="24"/>
          <w:szCs w:val="24"/>
        </w:rPr>
        <w:t xml:space="preserve">մլ-ը պետք է անցնի ծանր մետաղների մասով փորձարկումը: Համեմատության լուծույթը պատրաստում են՝ օգտագործելով </w:t>
      </w:r>
      <w:r w:rsidRPr="00825EEB">
        <w:rPr>
          <w:rFonts w:ascii="Sylfaen" w:hAnsi="Sylfaen"/>
          <w:i/>
          <w:sz w:val="24"/>
          <w:szCs w:val="24"/>
        </w:rPr>
        <w:t>Ռ կապարի իոնների ստանդարտ լուծույթի (10 ppm Pb</w:t>
      </w:r>
      <w:r w:rsidRPr="00825EEB">
        <w:rPr>
          <w:rFonts w:ascii="Sylfaen" w:hAnsi="Sylfaen"/>
          <w:i/>
          <w:sz w:val="24"/>
          <w:szCs w:val="24"/>
          <w:vertAlign w:val="superscript"/>
        </w:rPr>
        <w:t>2+</w:t>
      </w:r>
      <w:r w:rsidRPr="00825EEB">
        <w:rPr>
          <w:rFonts w:ascii="Sylfaen" w:hAnsi="Sylfaen"/>
          <w:i/>
          <w:sz w:val="24"/>
          <w:szCs w:val="24"/>
        </w:rPr>
        <w:t>)</w:t>
      </w:r>
      <w:r w:rsidRPr="00825EEB">
        <w:rPr>
          <w:rFonts w:ascii="Sylfaen" w:hAnsi="Sylfaen"/>
          <w:sz w:val="24"/>
          <w:szCs w:val="24"/>
        </w:rPr>
        <w:t xml:space="preserve"> 2,5 մլ:</w:t>
      </w:r>
    </w:p>
    <w:p w14:paraId="598929C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1,0 %-ից ոչ ավելի:</w:t>
      </w:r>
    </w:p>
    <w:p w14:paraId="7E13D7A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նյութի փորձարկվող նմուշի 5,0 գ-ով: Նշված թույլատրելի սահմանը չի տարածվում այն պոլիպրոպիլենի վրա, որը որպես հավելանյութ պարունակում է նյութին անթափանցություն հաղորդող տիտանի դիօքսիդ:</w:t>
      </w:r>
    </w:p>
    <w:p w14:paraId="5A46371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52BCDB4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ԼՐԱՑՈՒՑԻՉ ՓՈՐՁԱՐԿՈՒՄՆԵՐԸ</w:t>
      </w:r>
    </w:p>
    <w:p w14:paraId="32341B4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Տվյալ փորձարկումները հարկավոր է իրականացնել ամբողջությամբ կամ մասամբ միայն այն դեպքերում, երբ դա պահանջվում է պոլիպրոպիլենի նշված կազմով կամ դրա օգտագործման ոլորտով:</w:t>
      </w:r>
    </w:p>
    <w:p w14:paraId="1407B5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Ֆենոլային հակաօքսիդիչները։ </w:t>
      </w:r>
      <w:r w:rsidRPr="00825EEB">
        <w:rPr>
          <w:rFonts w:ascii="Sylfaen" w:hAnsi="Sylfaen"/>
          <w:sz w:val="24"/>
          <w:szCs w:val="24"/>
        </w:rPr>
        <w:t>Փորձարկումն անցկացնում են հեղուկային քրոմատագրման մեթոդով (</w:t>
      </w:r>
      <w:r w:rsidRPr="00825EEB">
        <w:rPr>
          <w:rFonts w:ascii="Sylfaen" w:hAnsi="Sylfaen"/>
          <w:i/>
          <w:sz w:val="24"/>
          <w:szCs w:val="24"/>
        </w:rPr>
        <w:t>2.1.2.28</w:t>
      </w:r>
      <w:r w:rsidRPr="00825EEB">
        <w:rPr>
          <w:rFonts w:ascii="Sylfaen" w:hAnsi="Sylfaen"/>
          <w:sz w:val="24"/>
          <w:szCs w:val="24"/>
        </w:rPr>
        <w:t>):</w:t>
      </w:r>
    </w:p>
    <w:p w14:paraId="06BAC03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Տ21 փորձարկվող լուծույթը։ Տ2 լուծույթի 50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w:t>
      </w:r>
      <w:r w:rsidRPr="00825EEB">
        <w:rPr>
          <w:rFonts w:ascii="Sylfaen" w:hAnsi="Sylfaen"/>
          <w:sz w:val="24"/>
          <w:szCs w:val="24"/>
        </w:rPr>
        <w:t xml:space="preserve"> </w:t>
      </w:r>
      <w:r w:rsidRPr="00825EEB">
        <w:rPr>
          <w:rFonts w:ascii="Sylfaen" w:hAnsi="Sylfaen"/>
          <w:i/>
          <w:sz w:val="24"/>
          <w:szCs w:val="24"/>
        </w:rPr>
        <w:t>մեջ</w:t>
      </w:r>
      <w:r w:rsidRPr="00825EEB">
        <w:rPr>
          <w:rFonts w:ascii="Sylfaen" w:hAnsi="Sylfaen"/>
          <w:sz w:val="24"/>
          <w:szCs w:val="24"/>
        </w:rPr>
        <w:t xml:space="preserve">: Չոր մնացորդը լուծում են </w:t>
      </w:r>
      <w:r w:rsidRPr="00825EEB">
        <w:rPr>
          <w:rFonts w:ascii="Sylfaen" w:hAnsi="Sylfaen"/>
          <w:i/>
          <w:sz w:val="24"/>
          <w:szCs w:val="24"/>
        </w:rPr>
        <w:t xml:space="preserve">Ռ ացետոնիտրիլի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5,0 մլ-ի մեջ: Օգտագործում են «Տ2 լուծույթը» փորձարկման ցուցումներին համապատասխան պատրաստված ստուգիչ լուծույթը:</w:t>
      </w:r>
    </w:p>
    <w:p w14:paraId="456DED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Ստոր</w:t>
      </w:r>
      <w:r>
        <w:rPr>
          <w:rFonts w:ascii="Sylfaen" w:hAnsi="Sylfaen"/>
          <w:i/>
          <w:sz w:val="24"/>
          <w:szCs w:val="24"/>
        </w:rPr>
        <w:t>եւ</w:t>
      </w:r>
      <w:r w:rsidRPr="00825EEB">
        <w:rPr>
          <w:rFonts w:ascii="Sylfaen" w:hAnsi="Sylfaen"/>
          <w:i/>
          <w:sz w:val="24"/>
          <w:szCs w:val="24"/>
        </w:rPr>
        <w:t xml:space="preserve"> ներկայացված համեմատության լուծույթներից պատրաստվում են միայն այն լուծույթները, որոնք անհրաժեշտ են նյութի փորձարկվող նմուշի կազմի մեջ մտնող ֆենոլային հակաօքսիդիչների վերլուծության համար:</w:t>
      </w:r>
    </w:p>
    <w:p w14:paraId="2543056C" w14:textId="77777777" w:rsidR="0058052E" w:rsidRPr="00825EEB" w:rsidRDefault="0038485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38485E">
        <w:rPr>
          <w:rFonts w:ascii="Sylfaen" w:hAnsi="Sylfaen"/>
          <w:i/>
          <w:spacing w:val="4"/>
          <w:sz w:val="24"/>
          <w:szCs w:val="24"/>
        </w:rPr>
        <w:t>(Ա)</w:t>
      </w:r>
      <w:r w:rsidRPr="0038485E">
        <w:rPr>
          <w:rFonts w:ascii="Sylfaen" w:hAnsi="Sylfaen"/>
          <w:i/>
          <w:spacing w:val="4"/>
          <w:sz w:val="24"/>
          <w:szCs w:val="24"/>
        </w:rPr>
        <w:tab/>
      </w:r>
      <w:r w:rsidR="0058052E" w:rsidRPr="0038485E">
        <w:rPr>
          <w:rFonts w:ascii="Sylfaen" w:hAnsi="Sylfaen"/>
          <w:i/>
          <w:spacing w:val="4"/>
          <w:sz w:val="24"/>
          <w:szCs w:val="24"/>
        </w:rPr>
        <w:t>համեմատության լուծույթը։</w:t>
      </w:r>
      <w:r w:rsidR="0058052E" w:rsidRPr="0038485E">
        <w:rPr>
          <w:rFonts w:ascii="Sylfaen" w:hAnsi="Sylfaen"/>
          <w:spacing w:val="4"/>
          <w:sz w:val="24"/>
          <w:szCs w:val="24"/>
        </w:rPr>
        <w:t xml:space="preserve"> </w:t>
      </w:r>
      <w:r w:rsidR="0058052E" w:rsidRPr="0038485E">
        <w:rPr>
          <w:rFonts w:ascii="Sylfaen" w:hAnsi="Sylfaen"/>
          <w:i/>
          <w:spacing w:val="4"/>
          <w:sz w:val="24"/>
          <w:szCs w:val="24"/>
        </w:rPr>
        <w:t>Բութիլհիդրօքսիտոլուոլի ԵԱՏՄԴ ՍՆ</w:t>
      </w:r>
      <w:r w:rsidR="0058052E" w:rsidRPr="0038485E">
        <w:rPr>
          <w:rFonts w:ascii="Sylfaen" w:hAnsi="Sylfaen"/>
          <w:spacing w:val="4"/>
          <w:sz w:val="24"/>
          <w:szCs w:val="24"/>
        </w:rPr>
        <w:t xml:space="preserve"> 25,0</w:t>
      </w:r>
      <w:r w:rsidRPr="0038485E">
        <w:rPr>
          <w:rFonts w:ascii="Sylfaen" w:hAnsi="Sylfaen"/>
          <w:spacing w:val="4"/>
          <w:sz w:val="24"/>
          <w:szCs w:val="24"/>
        </w:rPr>
        <w:t> </w:t>
      </w:r>
      <w:r w:rsidR="0058052E" w:rsidRPr="0038485E">
        <w:rPr>
          <w:rFonts w:ascii="Sylfaen" w:hAnsi="Sylfaen"/>
          <w:spacing w:val="4"/>
          <w:sz w:val="24"/>
          <w:szCs w:val="24"/>
        </w:rPr>
        <w:t>մգ-ը (</w:t>
      </w:r>
      <w:r w:rsidR="0058052E" w:rsidRPr="0038485E">
        <w:rPr>
          <w:rFonts w:ascii="Sylfaen" w:hAnsi="Sylfaen"/>
          <w:i/>
          <w:spacing w:val="4"/>
          <w:sz w:val="24"/>
          <w:szCs w:val="24"/>
        </w:rPr>
        <w:t>պոլիմերային</w:t>
      </w:r>
      <w:r w:rsidR="0058052E" w:rsidRPr="00825EEB">
        <w:rPr>
          <w:rFonts w:ascii="Sylfaen" w:hAnsi="Sylfaen"/>
          <w:i/>
          <w:sz w:val="24"/>
          <w:szCs w:val="24"/>
        </w:rPr>
        <w:t xml:space="preserve"> 07 նյութի հավելանյութ</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 xml:space="preserve">պոլիմերային 08 նյութի </w:t>
      </w:r>
      <w:r w:rsidR="0058052E" w:rsidRPr="00825EEB">
        <w:rPr>
          <w:rFonts w:ascii="Sylfaen" w:hAnsi="Sylfaen"/>
          <w:i/>
          <w:sz w:val="24"/>
          <w:szCs w:val="24"/>
        </w:rPr>
        <w:lastRenderedPageBreak/>
        <w:t>հավելանյութերի ԵԱՏՄԴ ՍՆ</w:t>
      </w:r>
      <w:r w:rsidR="0058052E" w:rsidRPr="00825EEB">
        <w:rPr>
          <w:rFonts w:ascii="Sylfaen" w:hAnsi="Sylfaen"/>
          <w:sz w:val="24"/>
          <w:szCs w:val="24"/>
        </w:rPr>
        <w:t xml:space="preserve"> 60,0 մգ-ը լուծում են </w:t>
      </w:r>
      <w:r w:rsidR="0058052E" w:rsidRPr="00825EEB">
        <w:rPr>
          <w:rFonts w:ascii="Sylfaen" w:hAnsi="Sylfaen"/>
          <w:i/>
          <w:sz w:val="24"/>
          <w:szCs w:val="24"/>
        </w:rPr>
        <w:t xml:space="preserve">Ռ ացետոնիտրիլի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10,0 մլ-ի մեջ: Ստացված լուծույթի 2,0 մլ-ը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խառնուրդով հասցնում են մինչեւ 50,0 մլ ծավալը:</w:t>
      </w:r>
    </w:p>
    <w:p w14:paraId="1733CD57" w14:textId="77777777" w:rsidR="0058052E" w:rsidRPr="00825EEB" w:rsidRDefault="0038485E" w:rsidP="0038485E">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(Բ)</w:t>
      </w:r>
      <w:r w:rsidRPr="0038485E">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 xml:space="preserve">Պոլիմերային 09 նյութի հավելանյութի ԵԱՏՄԴ ՍՆ </w:t>
      </w:r>
      <w:r w:rsidR="0058052E" w:rsidRPr="00825EEB">
        <w:rPr>
          <w:rFonts w:ascii="Sylfaen" w:hAnsi="Sylfaen"/>
          <w:sz w:val="24"/>
          <w:szCs w:val="24"/>
        </w:rPr>
        <w:t xml:space="preserve">60,0 մգ-ը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պոլիմերային 10-րդ նյութի հավելանյութերի ԵԱՏՄԴ ՍՆ</w:t>
      </w:r>
      <w:r w:rsidR="0058052E" w:rsidRPr="00825EEB">
        <w:rPr>
          <w:rFonts w:ascii="Sylfaen" w:hAnsi="Sylfaen"/>
          <w:sz w:val="24"/>
          <w:szCs w:val="24"/>
        </w:rPr>
        <w:t xml:space="preserve"> 60,0 մգ-ը լուծում են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10,0 մլ-ի մեջ:</w:t>
      </w:r>
      <w:r w:rsidR="0058052E" w:rsidRPr="00825EEB">
        <w:rPr>
          <w:rFonts w:ascii="Sylfaen" w:hAnsi="Sylfaen"/>
          <w:i/>
          <w:sz w:val="24"/>
          <w:szCs w:val="24"/>
        </w:rPr>
        <w:t xml:space="preserve"> </w:t>
      </w:r>
      <w:r w:rsidR="0058052E" w:rsidRPr="00825EEB">
        <w:rPr>
          <w:rFonts w:ascii="Sylfaen" w:hAnsi="Sylfaen"/>
          <w:sz w:val="24"/>
          <w:szCs w:val="24"/>
        </w:rPr>
        <w:t xml:space="preserve">Ստացված լուծույթի 2,0 մլ-ը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խառնուրդով հասցնում են մինչ</w:t>
      </w:r>
      <w:r w:rsidR="0058052E">
        <w:rPr>
          <w:rFonts w:ascii="Sylfaen" w:hAnsi="Sylfaen"/>
          <w:sz w:val="24"/>
          <w:szCs w:val="24"/>
        </w:rPr>
        <w:t>եւ</w:t>
      </w:r>
      <w:r w:rsidR="0058052E" w:rsidRPr="00825EEB">
        <w:rPr>
          <w:rFonts w:ascii="Sylfaen" w:hAnsi="Sylfaen"/>
          <w:sz w:val="24"/>
          <w:szCs w:val="24"/>
        </w:rPr>
        <w:t xml:space="preserve"> 50,0 մլ ծավալը:</w:t>
      </w:r>
    </w:p>
    <w:p w14:paraId="3959328F" w14:textId="77777777" w:rsidR="0058052E" w:rsidRPr="00825EEB" w:rsidRDefault="0038485E" w:rsidP="0038485E">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(Գ)</w:t>
      </w:r>
      <w:r w:rsidRPr="0038485E">
        <w:rPr>
          <w:rFonts w:ascii="Sylfaen" w:hAnsi="Sylfaen"/>
          <w:i/>
          <w:sz w:val="24"/>
          <w:szCs w:val="24"/>
        </w:rPr>
        <w:tab/>
      </w:r>
      <w:r w:rsidR="0058052E" w:rsidRPr="00825EEB">
        <w:rPr>
          <w:rFonts w:ascii="Sylfaen" w:hAnsi="Sylfaen"/>
          <w:i/>
          <w:sz w:val="24"/>
          <w:szCs w:val="24"/>
        </w:rPr>
        <w:t>համեմատության լուծույթը։ Պատրաստում են կիրառելուց անմիջապես առաջ:</w:t>
      </w:r>
      <w:r w:rsidR="0058052E" w:rsidRPr="00825EEB">
        <w:rPr>
          <w:rFonts w:ascii="Sylfaen" w:hAnsi="Sylfaen"/>
          <w:sz w:val="24"/>
          <w:szCs w:val="24"/>
        </w:rPr>
        <w:t xml:space="preserve"> </w:t>
      </w:r>
      <w:r w:rsidR="0058052E" w:rsidRPr="00825EEB">
        <w:rPr>
          <w:rFonts w:ascii="Sylfaen" w:hAnsi="Sylfaen"/>
          <w:i/>
          <w:sz w:val="24"/>
          <w:szCs w:val="24"/>
        </w:rPr>
        <w:t>Պոլիմերային 11-րդ նյութի հավելանյութի ԵԱՏՄԴ ՍՆ</w:t>
      </w:r>
      <w:r w:rsidR="0058052E" w:rsidRPr="00825EEB">
        <w:rPr>
          <w:rFonts w:ascii="Sylfaen" w:hAnsi="Sylfaen"/>
          <w:sz w:val="24"/>
          <w:szCs w:val="24"/>
        </w:rPr>
        <w:t xml:space="preserve"> 60,0 մգ-ը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պոլիմերային 12-րդ նյութի հավելանյութի ԵԱՏՄԴ ՍՆ</w:t>
      </w:r>
      <w:r w:rsidR="0058052E" w:rsidRPr="00825EEB">
        <w:rPr>
          <w:rFonts w:ascii="Sylfaen" w:hAnsi="Sylfaen"/>
          <w:sz w:val="24"/>
          <w:szCs w:val="24"/>
        </w:rPr>
        <w:t xml:space="preserve"> 60,0 մգ-ը լուծում են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10,0 մլ-ի մեջ:</w:t>
      </w:r>
      <w:r w:rsidR="0058052E" w:rsidRPr="00825EEB">
        <w:rPr>
          <w:rFonts w:ascii="Sylfaen" w:hAnsi="Sylfaen"/>
          <w:i/>
          <w:sz w:val="24"/>
          <w:szCs w:val="24"/>
        </w:rPr>
        <w:t xml:space="preserve"> </w:t>
      </w:r>
      <w:r w:rsidR="0058052E" w:rsidRPr="00825EEB">
        <w:rPr>
          <w:rFonts w:ascii="Sylfaen" w:hAnsi="Sylfaen"/>
          <w:sz w:val="24"/>
          <w:szCs w:val="24"/>
        </w:rPr>
        <w:t xml:space="preserve">Ստացված լուծույթի 2,0 մլ-ը </w:t>
      </w:r>
      <w:r w:rsidR="0058052E" w:rsidRPr="00825EEB">
        <w:rPr>
          <w:rFonts w:ascii="Sylfaen" w:hAnsi="Sylfaen"/>
          <w:i/>
          <w:sz w:val="24"/>
          <w:szCs w:val="24"/>
        </w:rPr>
        <w:t xml:space="preserve">Ռ ացետոնիտրիլի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խառնուրդով հասցնում են մինչեւ 50,0 մլ ծավալը:</w:t>
      </w:r>
    </w:p>
    <w:p w14:paraId="2DF57B61" w14:textId="77777777" w:rsidR="0058052E" w:rsidRPr="00825EEB" w:rsidRDefault="0038485E" w:rsidP="0038485E">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(Դ)</w:t>
      </w:r>
      <w:r w:rsidRPr="0038485E">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 xml:space="preserve">Բութիլհիդրօքսիտոլուոլի ԵԱՏՄԴ ՍՆ </w:t>
      </w:r>
      <w:r w:rsidR="0058052E" w:rsidRPr="00825EEB">
        <w:rPr>
          <w:rFonts w:ascii="Sylfaen" w:hAnsi="Sylfaen"/>
          <w:sz w:val="24"/>
          <w:szCs w:val="24"/>
        </w:rPr>
        <w:t>25,0</w:t>
      </w:r>
      <w:r w:rsidRPr="0038485E">
        <w:rPr>
          <w:rFonts w:ascii="Sylfaen" w:hAnsi="Sylfaen"/>
          <w:sz w:val="24"/>
          <w:szCs w:val="24"/>
        </w:rPr>
        <w:t> </w:t>
      </w:r>
      <w:r w:rsidR="0058052E" w:rsidRPr="00825EEB">
        <w:rPr>
          <w:rFonts w:ascii="Sylfaen" w:hAnsi="Sylfaen"/>
          <w:sz w:val="24"/>
          <w:szCs w:val="24"/>
        </w:rPr>
        <w:t xml:space="preserve">մգ-ը </w:t>
      </w:r>
      <w:r w:rsidR="0058052E" w:rsidRPr="00825EEB">
        <w:rPr>
          <w:rFonts w:ascii="Sylfaen" w:hAnsi="Sylfaen"/>
          <w:i/>
          <w:sz w:val="24"/>
          <w:szCs w:val="24"/>
        </w:rPr>
        <w:t>(պոլիմերային 07 նյութի հավելանյութ)</w:t>
      </w:r>
      <w:r w:rsidR="0058052E" w:rsidRPr="00825EEB">
        <w:rPr>
          <w:rFonts w:ascii="Sylfaen" w:hAnsi="Sylfaen"/>
          <w:sz w:val="24"/>
          <w:szCs w:val="24"/>
        </w:rPr>
        <w:t xml:space="preserve"> լուծում են </w:t>
      </w:r>
      <w:r w:rsidR="0058052E" w:rsidRPr="00825EEB">
        <w:rPr>
          <w:rFonts w:ascii="Sylfaen" w:hAnsi="Sylfaen"/>
          <w:i/>
          <w:sz w:val="24"/>
          <w:szCs w:val="24"/>
        </w:rPr>
        <w:t xml:space="preserve">Ռ ացետոնիտրիլի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10,0 մլ-ի մեջ: Ստացված լուծույթի 2,0 մլ-ը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խառնուրդով հասցնում են մինչեւ 50,0 մլ ծավալը:</w:t>
      </w:r>
    </w:p>
    <w:p w14:paraId="3D8B1380" w14:textId="77777777" w:rsidR="0058052E" w:rsidRPr="00D35F34" w:rsidRDefault="0058052E" w:rsidP="0038485E">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i/>
          <w:sz w:val="24"/>
          <w:szCs w:val="24"/>
        </w:rPr>
        <w:t>(Ե)</w:t>
      </w:r>
      <w:r w:rsidR="0038485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08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1B77F87C" w14:textId="77777777" w:rsidR="00F24391" w:rsidRPr="00D35F34" w:rsidRDefault="00F24391" w:rsidP="0038485E">
      <w:pPr>
        <w:pStyle w:val="a0"/>
        <w:shd w:val="clear" w:color="auto" w:fill="auto"/>
        <w:tabs>
          <w:tab w:val="left" w:pos="1134"/>
        </w:tabs>
        <w:spacing w:after="160" w:line="360" w:lineRule="auto"/>
        <w:ind w:firstLine="567"/>
        <w:jc w:val="both"/>
        <w:rPr>
          <w:rFonts w:ascii="Sylfaen" w:hAnsi="Sylfaen" w:cs="Sylfaen"/>
          <w:sz w:val="24"/>
          <w:szCs w:val="24"/>
        </w:rPr>
      </w:pPr>
    </w:p>
    <w:p w14:paraId="64845E7F"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(Զ)</w:t>
      </w:r>
      <w:r w:rsidR="0038485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13-րդ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452A29D8"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(Է)</w:t>
      </w:r>
      <w:r w:rsidR="0038485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09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7D941909"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(Ը)</w:t>
      </w:r>
      <w:r w:rsidR="0038485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10-րդ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359158BE"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(Թ)</w:t>
      </w:r>
      <w:r w:rsidR="0038485E"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11-րդ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24064F36"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(Ժ)</w:t>
      </w:r>
      <w:r w:rsidR="0038485E" w:rsidRPr="00A859E3">
        <w:rPr>
          <w:rFonts w:ascii="Sylfaen" w:hAnsi="Sylfaen"/>
          <w:i/>
          <w:sz w:val="24"/>
          <w:szCs w:val="24"/>
        </w:rPr>
        <w:tab/>
      </w:r>
      <w:r w:rsidRPr="00825EEB">
        <w:rPr>
          <w:rFonts w:ascii="Sylfaen" w:hAnsi="Sylfaen"/>
          <w:i/>
          <w:sz w:val="24"/>
          <w:szCs w:val="24"/>
        </w:rPr>
        <w:t>համեմատության լուծույթը։ Պատրաստում են կիրառելուց անմիջապես առաջ:</w:t>
      </w:r>
      <w:r w:rsidRPr="00825EEB">
        <w:rPr>
          <w:rFonts w:ascii="Sylfaen" w:hAnsi="Sylfaen"/>
          <w:sz w:val="24"/>
          <w:szCs w:val="24"/>
        </w:rPr>
        <w:t xml:space="preserve"> </w:t>
      </w:r>
      <w:r w:rsidRPr="00825EEB">
        <w:rPr>
          <w:rFonts w:ascii="Sylfaen" w:hAnsi="Sylfaen"/>
          <w:i/>
          <w:sz w:val="24"/>
          <w:szCs w:val="24"/>
        </w:rPr>
        <w:t>Պոլիմերային 12-րդ նյութի հավելանյութի ԵԱՏՄԴ ՍՆ</w:t>
      </w:r>
      <w:r w:rsidRPr="00825EEB">
        <w:rPr>
          <w:rFonts w:ascii="Sylfaen" w:hAnsi="Sylfaen"/>
          <w:sz w:val="24"/>
          <w:szCs w:val="24"/>
        </w:rPr>
        <w:t xml:space="preserve"> 60,0 մգ-ը լուծում են </w:t>
      </w:r>
      <w:r w:rsidRPr="00825EEB">
        <w:rPr>
          <w:rFonts w:ascii="Sylfaen" w:hAnsi="Sylfaen"/>
          <w:i/>
          <w:sz w:val="24"/>
          <w:szCs w:val="24"/>
        </w:rPr>
        <w:t>Ռ ացետոնիտրիլի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խառնուրդի 10,0 մլ-ի մեջ: Ստացված լուծույթի 2,0 մլ-ը </w:t>
      </w:r>
      <w:r w:rsidRPr="00825EEB">
        <w:rPr>
          <w:rFonts w:ascii="Sylfaen" w:hAnsi="Sylfaen"/>
          <w:i/>
          <w:sz w:val="24"/>
          <w:szCs w:val="24"/>
        </w:rPr>
        <w:t xml:space="preserve">Ռ ացետոնիտրիլի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տետրահիդրոֆուրանի</w:t>
      </w:r>
      <w:r w:rsidRPr="00825EEB">
        <w:rPr>
          <w:rFonts w:ascii="Sylfaen" w:hAnsi="Sylfaen"/>
          <w:sz w:val="24"/>
          <w:szCs w:val="24"/>
        </w:rPr>
        <w:t xml:space="preserve"> հավասար ծավալներով խառնուրդով հասցնում են մինչեւ 50,0 մլ ծավալը:</w:t>
      </w:r>
    </w:p>
    <w:p w14:paraId="21198A7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Տարբերակ 1. Եթե փորձարկվող պոլիպրոպիլենը պարունակում է պոլիմերային 07 նյութի հավելանյութ </w:t>
      </w:r>
      <w:r>
        <w:rPr>
          <w:rFonts w:ascii="Sylfaen" w:hAnsi="Sylfaen"/>
          <w:sz w:val="24"/>
          <w:szCs w:val="24"/>
        </w:rPr>
        <w:t>եւ</w:t>
      </w:r>
      <w:r w:rsidRPr="00825EEB">
        <w:rPr>
          <w:rFonts w:ascii="Sylfaen" w:hAnsi="Sylfaen"/>
          <w:sz w:val="24"/>
          <w:szCs w:val="24"/>
        </w:rPr>
        <w:t xml:space="preserve"> (կամ) պոլիմերային 08 նյութի </w:t>
      </w:r>
      <w:r w:rsidRPr="00825EEB">
        <w:rPr>
          <w:rFonts w:ascii="Sylfaen" w:hAnsi="Sylfaen"/>
          <w:sz w:val="24"/>
          <w:szCs w:val="24"/>
        </w:rPr>
        <w:lastRenderedPageBreak/>
        <w:t>հավելանյութ, ապա քրոմատագրումն իրականացնում են հետ</w:t>
      </w:r>
      <w:r>
        <w:rPr>
          <w:rFonts w:ascii="Sylfaen" w:hAnsi="Sylfaen"/>
          <w:sz w:val="24"/>
          <w:szCs w:val="24"/>
        </w:rPr>
        <w:t>եւ</w:t>
      </w:r>
      <w:r w:rsidRPr="00825EEB">
        <w:rPr>
          <w:rFonts w:ascii="Sylfaen" w:hAnsi="Sylfaen"/>
          <w:sz w:val="24"/>
          <w:szCs w:val="24"/>
        </w:rPr>
        <w:t>յալ պայմաններում.</w:t>
      </w:r>
    </w:p>
    <w:p w14:paraId="6BE17B0D" w14:textId="77777777" w:rsidR="0058052E" w:rsidRPr="00825EEB" w:rsidRDefault="0058052E" w:rsidP="00F24391">
      <w:pPr>
        <w:pStyle w:val="a0"/>
        <w:shd w:val="clear" w:color="auto" w:fill="auto"/>
        <w:tabs>
          <w:tab w:val="left" w:pos="1134"/>
        </w:tabs>
        <w:spacing w:after="160" w:line="341" w:lineRule="auto"/>
        <w:ind w:firstLine="567"/>
        <w:jc w:val="both"/>
        <w:rPr>
          <w:rFonts w:ascii="Sylfaen" w:hAnsi="Sylfaen" w:cs="Sylfaen"/>
          <w:sz w:val="24"/>
          <w:szCs w:val="24"/>
        </w:rPr>
      </w:pPr>
      <w:r w:rsidRPr="00825EEB">
        <w:rPr>
          <w:rFonts w:ascii="Sylfaen" w:hAnsi="Sylfaen"/>
          <w:i/>
          <w:sz w:val="24"/>
          <w:szCs w:val="24"/>
        </w:rPr>
        <w:t>-</w:t>
      </w:r>
      <w:r w:rsidR="0038485E" w:rsidRPr="00A859E3">
        <w:rPr>
          <w:rFonts w:ascii="Sylfaen" w:hAnsi="Sylfaen"/>
          <w:i/>
          <w:sz w:val="24"/>
          <w:szCs w:val="24"/>
        </w:rPr>
        <w:tab/>
      </w:r>
      <w:r w:rsidRPr="00825EEB">
        <w:rPr>
          <w:rFonts w:ascii="Sylfaen" w:hAnsi="Sylfaen"/>
          <w:i/>
          <w:sz w:val="24"/>
          <w:szCs w:val="24"/>
        </w:rPr>
        <w:t>աշտարակը՝</w:t>
      </w:r>
      <w:r w:rsidRPr="00825EEB">
        <w:rPr>
          <w:rFonts w:ascii="Sylfaen" w:hAnsi="Sylfaen"/>
          <w:sz w:val="24"/>
          <w:szCs w:val="24"/>
        </w:rPr>
        <w:t xml:space="preserve"> 0,25 մ երկարությամբ </w:t>
      </w:r>
      <w:r>
        <w:rPr>
          <w:rFonts w:ascii="Sylfaen" w:hAnsi="Sylfaen"/>
          <w:sz w:val="24"/>
          <w:szCs w:val="24"/>
        </w:rPr>
        <w:t>եւ</w:t>
      </w:r>
      <w:r w:rsidRPr="00825EEB">
        <w:rPr>
          <w:rFonts w:ascii="Sylfaen" w:hAnsi="Sylfaen"/>
          <w:sz w:val="24"/>
          <w:szCs w:val="24"/>
        </w:rPr>
        <w:t xml:space="preserve"> 4,6 մմ ներքին տրամագծով, որը լցված է </w:t>
      </w:r>
      <w:r w:rsidRPr="00825EEB">
        <w:rPr>
          <w:rFonts w:ascii="Sylfaen" w:hAnsi="Sylfaen"/>
          <w:i/>
          <w:sz w:val="24"/>
          <w:szCs w:val="24"/>
        </w:rPr>
        <w:t>Ռ քրոմատագրման համար օկտադեցիլսիլիլային սիլիկագելով՝</w:t>
      </w:r>
      <w:r w:rsidRPr="00825EEB">
        <w:rPr>
          <w:rFonts w:ascii="Sylfaen" w:hAnsi="Sylfaen"/>
          <w:sz w:val="24"/>
          <w:szCs w:val="24"/>
        </w:rPr>
        <w:t xml:space="preserve"> մասնիկների 5 մկմ չափով.</w:t>
      </w:r>
    </w:p>
    <w:p w14:paraId="443A85AD" w14:textId="77777777" w:rsidR="0058052E" w:rsidRPr="00825EEB" w:rsidRDefault="0038485E" w:rsidP="00F24391">
      <w:pPr>
        <w:pStyle w:val="a0"/>
        <w:shd w:val="clear" w:color="auto" w:fill="auto"/>
        <w:tabs>
          <w:tab w:val="left" w:pos="1134"/>
        </w:tabs>
        <w:spacing w:after="160" w:line="341" w:lineRule="auto"/>
        <w:ind w:firstLine="567"/>
        <w:jc w:val="both"/>
        <w:rPr>
          <w:rFonts w:ascii="Sylfaen" w:hAnsi="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շարժուն ֆազը՝ քրոմատագրման Ռ ջուր – Ռ ացետոնիտրիլ</w:t>
      </w:r>
      <w:r w:rsidR="0058052E" w:rsidRPr="00825EEB">
        <w:rPr>
          <w:rFonts w:ascii="Sylfaen" w:hAnsi="Sylfaen"/>
          <w:sz w:val="24"/>
          <w:szCs w:val="24"/>
        </w:rPr>
        <w:t xml:space="preserve"> (30:70 </w:t>
      </w:r>
      <w:r w:rsidR="0058052E" w:rsidRPr="00825EEB">
        <w:rPr>
          <w:rFonts w:ascii="Sylfaen" w:hAnsi="Sylfaen"/>
          <w:i/>
          <w:sz w:val="24"/>
          <w:szCs w:val="24"/>
        </w:rPr>
        <w:t>ծավ/ծավ</w:t>
      </w:r>
      <w:r w:rsidR="0058052E" w:rsidRPr="00825EEB">
        <w:rPr>
          <w:rFonts w:ascii="Sylfaen" w:hAnsi="Sylfaen"/>
          <w:sz w:val="24"/>
          <w:szCs w:val="24"/>
        </w:rPr>
        <w:t>).</w:t>
      </w:r>
    </w:p>
    <w:p w14:paraId="142723AE" w14:textId="77777777" w:rsidR="0058052E" w:rsidRPr="00825EEB" w:rsidRDefault="0038485E" w:rsidP="00F24391">
      <w:pPr>
        <w:pStyle w:val="a0"/>
        <w:shd w:val="clear" w:color="auto" w:fill="auto"/>
        <w:tabs>
          <w:tab w:val="left" w:pos="1134"/>
        </w:tabs>
        <w:spacing w:after="160" w:line="341" w:lineRule="auto"/>
        <w:ind w:firstLine="567"/>
        <w:jc w:val="both"/>
        <w:rPr>
          <w:rFonts w:ascii="Sylfaen" w:hAnsi="Sylfaen" w:cs="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շարժուն ֆազի արագությունը՝</w:t>
      </w:r>
      <w:r w:rsidR="0058052E" w:rsidRPr="00825EEB">
        <w:rPr>
          <w:rFonts w:ascii="Sylfaen" w:hAnsi="Sylfaen"/>
          <w:sz w:val="24"/>
          <w:szCs w:val="24"/>
        </w:rPr>
        <w:t xml:space="preserve"> 2 մլ/րոպե.</w:t>
      </w:r>
    </w:p>
    <w:p w14:paraId="3C9077EB" w14:textId="77777777" w:rsidR="0058052E" w:rsidRPr="00825EEB" w:rsidRDefault="0038485E" w:rsidP="00F24391">
      <w:pPr>
        <w:pStyle w:val="a0"/>
        <w:shd w:val="clear" w:color="auto" w:fill="auto"/>
        <w:tabs>
          <w:tab w:val="left" w:pos="1134"/>
        </w:tabs>
        <w:spacing w:after="160" w:line="341" w:lineRule="auto"/>
        <w:ind w:firstLine="567"/>
        <w:jc w:val="both"/>
        <w:rPr>
          <w:rFonts w:ascii="Sylfaen" w:hAnsi="Sylfaen" w:cs="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դետեկտորը՝</w:t>
      </w:r>
      <w:r w:rsidR="0058052E" w:rsidRPr="00825EEB">
        <w:rPr>
          <w:rFonts w:ascii="Sylfaen" w:hAnsi="Sylfaen"/>
          <w:sz w:val="24"/>
          <w:szCs w:val="24"/>
        </w:rPr>
        <w:t xml:space="preserve"> սպեկտրալուսաչափական, ալիքի երկարությունը՝ 280 նմ.</w:t>
      </w:r>
    </w:p>
    <w:p w14:paraId="0D554492" w14:textId="77777777" w:rsidR="0058052E" w:rsidRPr="00825EEB" w:rsidRDefault="0038485E" w:rsidP="00F24391">
      <w:pPr>
        <w:pStyle w:val="a0"/>
        <w:shd w:val="clear" w:color="auto" w:fill="auto"/>
        <w:tabs>
          <w:tab w:val="left" w:pos="1134"/>
        </w:tabs>
        <w:spacing w:after="160" w:line="341" w:lineRule="auto"/>
        <w:ind w:firstLine="567"/>
        <w:jc w:val="both"/>
        <w:rPr>
          <w:rFonts w:ascii="Sylfaen" w:hAnsi="Sylfaen" w:cs="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ներմուծվող փորձանմուշի ծավալը՝</w:t>
      </w:r>
      <w:r w:rsidR="0058052E" w:rsidRPr="00825EEB">
        <w:rPr>
          <w:rFonts w:ascii="Sylfaen" w:hAnsi="Sylfaen"/>
          <w:sz w:val="24"/>
          <w:szCs w:val="24"/>
        </w:rPr>
        <w:t xml:space="preserve"> փորձարկվող S21 լուծույթի, համապատասխան ստուգիչ լուծույթի, (ա) համեմատության լուծույթի </w:t>
      </w:r>
      <w:r w:rsidR="0058052E">
        <w:rPr>
          <w:rFonts w:ascii="Sylfaen" w:hAnsi="Sylfaen"/>
          <w:sz w:val="24"/>
          <w:szCs w:val="24"/>
        </w:rPr>
        <w:t>եւ</w:t>
      </w:r>
      <w:r w:rsidR="0058052E" w:rsidRPr="00825EEB">
        <w:rPr>
          <w:rFonts w:ascii="Sylfaen" w:hAnsi="Sylfaen"/>
          <w:sz w:val="24"/>
          <w:szCs w:val="24"/>
        </w:rPr>
        <w:t xml:space="preserve"> (կամ) (դ) կամ (ե) համեմատության լուծույթի, կամ (դ) </w:t>
      </w:r>
      <w:r w:rsidR="0058052E">
        <w:rPr>
          <w:rFonts w:ascii="Sylfaen" w:hAnsi="Sylfaen"/>
          <w:sz w:val="24"/>
          <w:szCs w:val="24"/>
        </w:rPr>
        <w:t>եւ</w:t>
      </w:r>
      <w:r w:rsidR="0058052E" w:rsidRPr="00825EEB">
        <w:rPr>
          <w:rFonts w:ascii="Sylfaen" w:hAnsi="Sylfaen"/>
          <w:sz w:val="24"/>
          <w:szCs w:val="24"/>
        </w:rPr>
        <w:t xml:space="preserve"> (ե) համեմատության լուծույթների 20-ական մկլ.</w:t>
      </w:r>
    </w:p>
    <w:p w14:paraId="1B34527C" w14:textId="77777777" w:rsidR="0058052E" w:rsidRPr="00825EEB" w:rsidRDefault="0038485E" w:rsidP="00F24391">
      <w:pPr>
        <w:pStyle w:val="a0"/>
        <w:shd w:val="clear" w:color="auto" w:fill="auto"/>
        <w:tabs>
          <w:tab w:val="left" w:pos="1134"/>
        </w:tabs>
        <w:spacing w:after="160" w:line="341" w:lineRule="auto"/>
        <w:ind w:firstLine="567"/>
        <w:jc w:val="both"/>
        <w:rPr>
          <w:rFonts w:ascii="Sylfaen" w:hAnsi="Sylfaen" w:cs="Sylfaen"/>
          <w:sz w:val="24"/>
          <w:szCs w:val="24"/>
        </w:rPr>
      </w:pPr>
      <w:r>
        <w:rPr>
          <w:rFonts w:ascii="Sylfaen" w:hAnsi="Sylfaen"/>
          <w:i/>
          <w:sz w:val="24"/>
          <w:szCs w:val="24"/>
        </w:rPr>
        <w:t>-</w:t>
      </w:r>
      <w:r w:rsidRPr="00A859E3">
        <w:rPr>
          <w:rFonts w:ascii="Sylfaen" w:hAnsi="Sylfaen"/>
          <w:i/>
          <w:sz w:val="24"/>
          <w:szCs w:val="24"/>
        </w:rPr>
        <w:tab/>
      </w:r>
      <w:r w:rsidR="0058052E" w:rsidRPr="00825EEB">
        <w:rPr>
          <w:rFonts w:ascii="Sylfaen" w:hAnsi="Sylfaen"/>
          <w:i/>
          <w:sz w:val="24"/>
          <w:szCs w:val="24"/>
        </w:rPr>
        <w:t>քրոմատագրման ժամանակը՝</w:t>
      </w:r>
      <w:r w:rsidR="0058052E" w:rsidRPr="00825EEB">
        <w:rPr>
          <w:rFonts w:ascii="Sylfaen" w:hAnsi="Sylfaen"/>
          <w:sz w:val="24"/>
          <w:szCs w:val="24"/>
        </w:rPr>
        <w:t xml:space="preserve"> 30 րոպե:</w:t>
      </w:r>
    </w:p>
    <w:p w14:paraId="414D106D" w14:textId="77777777" w:rsidR="0058052E" w:rsidRPr="00825EEB" w:rsidRDefault="0058052E" w:rsidP="00F24391">
      <w:pPr>
        <w:pStyle w:val="a0"/>
        <w:shd w:val="clear" w:color="auto" w:fill="auto"/>
        <w:spacing w:after="160" w:line="341"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447BF3F9" w14:textId="77777777" w:rsidR="0058052E" w:rsidRPr="00825EEB" w:rsidRDefault="0058052E" w:rsidP="00107BA1">
      <w:pPr>
        <w:pStyle w:val="a0"/>
        <w:shd w:val="clear" w:color="auto" w:fill="auto"/>
        <w:tabs>
          <w:tab w:val="left" w:pos="1134"/>
        </w:tabs>
        <w:spacing w:after="160" w:line="341" w:lineRule="auto"/>
        <w:ind w:firstLine="567"/>
        <w:jc w:val="both"/>
        <w:rPr>
          <w:rFonts w:ascii="Sylfaen" w:hAnsi="Sylfaen" w:cs="Sylfaen"/>
          <w:sz w:val="24"/>
          <w:szCs w:val="24"/>
        </w:rPr>
      </w:pPr>
      <w:r w:rsidRPr="00825EEB">
        <w:rPr>
          <w:rFonts w:ascii="Sylfaen" w:hAnsi="Sylfaen"/>
          <w:i/>
          <w:sz w:val="24"/>
          <w:szCs w:val="24"/>
        </w:rPr>
        <w:t>-</w:t>
      </w:r>
      <w:r w:rsidR="00107BA1" w:rsidRPr="00107BA1">
        <w:rPr>
          <w:rFonts w:ascii="Sylfaen" w:hAnsi="Sylfaen"/>
          <w:i/>
          <w:sz w:val="24"/>
          <w:szCs w:val="24"/>
        </w:rPr>
        <w:tab/>
      </w:r>
      <w:r w:rsidRPr="00825EEB">
        <w:rPr>
          <w:rFonts w:ascii="Sylfaen" w:hAnsi="Sylfaen"/>
          <w:i/>
          <w:sz w:val="24"/>
          <w:szCs w:val="24"/>
        </w:rPr>
        <w:t>լուծաչափը՝</w:t>
      </w:r>
      <w:r>
        <w:rPr>
          <w:rFonts w:ascii="Sylfaen" w:hAnsi="Sylfaen"/>
          <w:sz w:val="24"/>
          <w:szCs w:val="24"/>
        </w:rPr>
        <w:t xml:space="preserve"> </w:t>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պոլիմերային 08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5,0՝ (ա) համեմատության լուծույթի քրոմատագրի վրա:</w:t>
      </w:r>
    </w:p>
    <w:p w14:paraId="624B7125" w14:textId="77777777" w:rsidR="0058052E" w:rsidRPr="00825EEB" w:rsidRDefault="0058052E" w:rsidP="00F24391">
      <w:pPr>
        <w:pStyle w:val="a0"/>
        <w:shd w:val="clear" w:color="auto" w:fill="auto"/>
        <w:spacing w:after="160" w:line="341" w:lineRule="auto"/>
        <w:ind w:firstLine="567"/>
        <w:jc w:val="both"/>
        <w:rPr>
          <w:rFonts w:ascii="Sylfaen" w:hAnsi="Sylfaen" w:cs="Sylfaen"/>
          <w:sz w:val="24"/>
          <w:szCs w:val="24"/>
        </w:rPr>
      </w:pPr>
      <w:r w:rsidRPr="00825EEB">
        <w:rPr>
          <w:rFonts w:ascii="Sylfaen" w:hAnsi="Sylfaen"/>
          <w:sz w:val="24"/>
          <w:szCs w:val="24"/>
        </w:rPr>
        <w:t xml:space="preserve">Փորձարկվող S21 լուծույթի քրոմատագրի վրա պետք է հայտնաբերվեն պիկեր, որոնք համապատասխանում են պոլիոլեֆինի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0340828B" w14:textId="77777777" w:rsidR="0058052E" w:rsidRPr="00825EEB" w:rsidRDefault="0058052E" w:rsidP="00F24391">
      <w:pPr>
        <w:pStyle w:val="a0"/>
        <w:shd w:val="clear" w:color="auto" w:fill="auto"/>
        <w:spacing w:after="160" w:line="341"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5CDCC9C3" w14:textId="77777777" w:rsidR="0058052E" w:rsidRPr="00825EEB" w:rsidRDefault="0058052E" w:rsidP="0038485E">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38485E" w:rsidRPr="0038485E">
        <w:rPr>
          <w:rFonts w:ascii="Sylfaen" w:hAnsi="Sylfaen"/>
          <w:sz w:val="24"/>
          <w:szCs w:val="24"/>
        </w:rPr>
        <w:tab/>
      </w:r>
      <w:r w:rsidRPr="00825EEB">
        <w:rPr>
          <w:rFonts w:ascii="Sylfaen" w:hAnsi="Sylfaen"/>
          <w:sz w:val="24"/>
          <w:szCs w:val="24"/>
        </w:rPr>
        <w:t xml:space="preserve">պոլիմերային 07 նյութի հավելանյութի </w:t>
      </w:r>
      <w:r>
        <w:rPr>
          <w:rFonts w:ascii="Sylfaen" w:hAnsi="Sylfaen"/>
          <w:sz w:val="24"/>
          <w:szCs w:val="24"/>
        </w:rPr>
        <w:t>եւ</w:t>
      </w:r>
      <w:r w:rsidRPr="00825EEB">
        <w:rPr>
          <w:rFonts w:ascii="Sylfaen" w:hAnsi="Sylfaen"/>
          <w:sz w:val="24"/>
          <w:szCs w:val="24"/>
        </w:rPr>
        <w:t xml:space="preserve"> (կամ) պոլիմերային 08 նյութի հավելանյութի պարունակությունը հաշվարկելու համար օգտագործում են (դ) </w:t>
      </w:r>
      <w:r>
        <w:rPr>
          <w:rFonts w:ascii="Sylfaen" w:hAnsi="Sylfaen"/>
          <w:sz w:val="24"/>
          <w:szCs w:val="24"/>
        </w:rPr>
        <w:t>եւ</w:t>
      </w:r>
      <w:r w:rsidRPr="00825EEB">
        <w:rPr>
          <w:rFonts w:ascii="Sylfaen" w:hAnsi="Sylfaen"/>
          <w:sz w:val="24"/>
          <w:szCs w:val="24"/>
        </w:rPr>
        <w:t xml:space="preserve"> կամ (ե) համեմատության լուծույթների մեջ նյութի համապատասխան ստանդարտ նմուշի կոնցենտրացիան:</w:t>
      </w:r>
    </w:p>
    <w:p w14:paraId="1D3531AF"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lastRenderedPageBreak/>
        <w:t>Պարունակության սահմանները՝</w:t>
      </w:r>
    </w:p>
    <w:p w14:paraId="1CBFCA03" w14:textId="77777777" w:rsidR="0058052E" w:rsidRPr="00825EEB" w:rsidRDefault="0038485E" w:rsidP="00F24391">
      <w:pPr>
        <w:tabs>
          <w:tab w:val="left" w:pos="1134"/>
        </w:tabs>
        <w:spacing w:after="160" w:line="346" w:lineRule="auto"/>
        <w:ind w:firstLine="567"/>
        <w:jc w:val="both"/>
      </w:pPr>
      <w:r>
        <w:rPr>
          <w:i/>
        </w:rPr>
        <w:t>-</w:t>
      </w:r>
      <w:r w:rsidRPr="0038485E">
        <w:rPr>
          <w:i/>
        </w:rPr>
        <w:tab/>
      </w:r>
      <w:r w:rsidR="0058052E" w:rsidRPr="00825EEB">
        <w:rPr>
          <w:i/>
        </w:rPr>
        <w:t>պոլիմերային 07 նյութի հավելանյութ՝</w:t>
      </w:r>
      <w:r w:rsidR="0058052E" w:rsidRPr="00825EEB">
        <w:t xml:space="preserve"> 0,125 %-ից ոչ ավելի.</w:t>
      </w:r>
    </w:p>
    <w:p w14:paraId="04B59ADA"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պոլիմերային 08 նյութի հավելանյութ՝</w:t>
      </w:r>
      <w:r w:rsidR="0058052E" w:rsidRPr="00825EEB">
        <w:rPr>
          <w:rFonts w:ascii="Sylfaen" w:hAnsi="Sylfaen"/>
          <w:sz w:val="24"/>
          <w:szCs w:val="24"/>
        </w:rPr>
        <w:t xml:space="preserve"> 0,3 %-ից ոչ ավելի:</w:t>
      </w:r>
    </w:p>
    <w:p w14:paraId="460254CB"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Տարբերակ 2. Եթե փորձարկվող պոլիպրոպիլենը պարունակում է հետեւյալ հակաօքսիդիչներից մեկը կամ մի քանիսը՝</w:t>
      </w:r>
    </w:p>
    <w:p w14:paraId="627BC10B"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պոլիմերային 09 նյութի հավելանյութ,</w:t>
      </w:r>
    </w:p>
    <w:p w14:paraId="40A99FE8"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պոլիմերային 10-րդ նյութի հավելանյութ,</w:t>
      </w:r>
    </w:p>
    <w:p w14:paraId="46686A1D"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38485E">
        <w:rPr>
          <w:rFonts w:ascii="Sylfaen" w:hAnsi="Sylfaen"/>
          <w:sz w:val="24"/>
          <w:szCs w:val="24"/>
        </w:rPr>
        <w:tab/>
      </w:r>
      <w:r w:rsidR="0058052E" w:rsidRPr="00825EEB">
        <w:rPr>
          <w:rFonts w:ascii="Sylfaen" w:hAnsi="Sylfaen"/>
          <w:sz w:val="24"/>
          <w:szCs w:val="24"/>
        </w:rPr>
        <w:t>պոլիմերային 11-րդ նյութի հավելանյութ,</w:t>
      </w:r>
    </w:p>
    <w:p w14:paraId="2EBBA46A"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38485E">
        <w:rPr>
          <w:rFonts w:ascii="Sylfaen" w:hAnsi="Sylfaen"/>
          <w:sz w:val="24"/>
          <w:szCs w:val="24"/>
        </w:rPr>
        <w:tab/>
      </w:r>
      <w:r w:rsidR="0058052E" w:rsidRPr="00825EEB">
        <w:rPr>
          <w:rFonts w:ascii="Sylfaen" w:hAnsi="Sylfaen"/>
          <w:sz w:val="24"/>
          <w:szCs w:val="24"/>
        </w:rPr>
        <w:t>պոլիմերային 12-րդ նյութի հավելանյութ,</w:t>
      </w:r>
    </w:p>
    <w:p w14:paraId="6F9F5417"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պոլիմերային 13-րդ նյութի հավելանյութ,</w:t>
      </w:r>
    </w:p>
    <w:p w14:paraId="4E69F189"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ապա քրոմատագրումն իրականացնում են վերեւում նշված պայմաններում՝ հետ</w:t>
      </w:r>
      <w:r>
        <w:rPr>
          <w:rFonts w:ascii="Sylfaen" w:hAnsi="Sylfaen"/>
          <w:sz w:val="24"/>
          <w:szCs w:val="24"/>
        </w:rPr>
        <w:t>եւ</w:t>
      </w:r>
      <w:r w:rsidRPr="00825EEB">
        <w:rPr>
          <w:rFonts w:ascii="Sylfaen" w:hAnsi="Sylfaen"/>
          <w:sz w:val="24"/>
          <w:szCs w:val="24"/>
        </w:rPr>
        <w:t>յալ փոփոխություններով.</w:t>
      </w:r>
    </w:p>
    <w:p w14:paraId="51640649"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 xml:space="preserve">շարժուն ֆազը՝ քրոմատագրման Ռ ջուր – Ռ տետրահիդրոֆուրան – Ռ ացետոնիտրիլ </w:t>
      </w:r>
      <w:r w:rsidR="0058052E" w:rsidRPr="00825EEB">
        <w:rPr>
          <w:rFonts w:ascii="Sylfaen" w:hAnsi="Sylfaen"/>
          <w:sz w:val="24"/>
          <w:szCs w:val="24"/>
        </w:rPr>
        <w:t xml:space="preserve">(10:30:60 </w:t>
      </w:r>
      <w:r w:rsidR="0058052E" w:rsidRPr="00825EEB">
        <w:rPr>
          <w:rFonts w:ascii="Sylfaen" w:hAnsi="Sylfaen"/>
          <w:i/>
          <w:sz w:val="24"/>
          <w:szCs w:val="24"/>
        </w:rPr>
        <w:t>ծավ/ծավ/ծավ</w:t>
      </w:r>
      <w:r w:rsidR="0058052E" w:rsidRPr="00825EEB">
        <w:rPr>
          <w:rFonts w:ascii="Sylfaen" w:hAnsi="Sylfaen"/>
          <w:sz w:val="24"/>
          <w:szCs w:val="24"/>
        </w:rPr>
        <w:t>).</w:t>
      </w:r>
    </w:p>
    <w:p w14:paraId="0551FF7B"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sz w:val="24"/>
          <w:szCs w:val="24"/>
        </w:rPr>
      </w:pPr>
      <w:r>
        <w:rPr>
          <w:rFonts w:ascii="Sylfaen" w:hAnsi="Sylfaen"/>
          <w:sz w:val="24"/>
          <w:szCs w:val="24"/>
        </w:rPr>
        <w:t>-</w:t>
      </w:r>
      <w:r w:rsidRPr="0038485E">
        <w:rPr>
          <w:rFonts w:ascii="Sylfaen" w:hAnsi="Sylfaen"/>
          <w:sz w:val="24"/>
          <w:szCs w:val="24"/>
        </w:rPr>
        <w:tab/>
      </w:r>
      <w:r w:rsidR="0058052E" w:rsidRPr="00825EEB">
        <w:rPr>
          <w:rFonts w:ascii="Sylfaen" w:hAnsi="Sylfaen"/>
          <w:sz w:val="24"/>
          <w:szCs w:val="24"/>
        </w:rPr>
        <w:t>շարժուն ֆազի արագությունը՝ 1,5 մլ/րոպե.</w:t>
      </w:r>
    </w:p>
    <w:p w14:paraId="35C2C6CF" w14:textId="77777777" w:rsidR="0058052E" w:rsidRPr="0038485E" w:rsidRDefault="0038485E" w:rsidP="00F24391">
      <w:pPr>
        <w:pStyle w:val="a0"/>
        <w:shd w:val="clear" w:color="auto" w:fill="auto"/>
        <w:tabs>
          <w:tab w:val="left" w:pos="1134"/>
        </w:tabs>
        <w:spacing w:after="160" w:line="346" w:lineRule="auto"/>
        <w:ind w:firstLine="567"/>
        <w:jc w:val="both"/>
        <w:rPr>
          <w:rFonts w:ascii="Sylfaen" w:hAnsi="Sylfaen" w:cs="Sylfaen"/>
          <w:spacing w:val="-4"/>
          <w:sz w:val="24"/>
          <w:szCs w:val="24"/>
        </w:rPr>
      </w:pPr>
      <w:r>
        <w:rPr>
          <w:rFonts w:ascii="Sylfaen" w:hAnsi="Sylfaen"/>
          <w:i/>
          <w:sz w:val="24"/>
          <w:szCs w:val="24"/>
        </w:rPr>
        <w:t>-</w:t>
      </w:r>
      <w:r w:rsidRPr="0038485E">
        <w:rPr>
          <w:rFonts w:ascii="Sylfaen" w:hAnsi="Sylfaen"/>
          <w:i/>
          <w:sz w:val="24"/>
          <w:szCs w:val="24"/>
        </w:rPr>
        <w:tab/>
      </w:r>
      <w:r w:rsidR="0058052E" w:rsidRPr="00825EEB">
        <w:rPr>
          <w:rFonts w:ascii="Sylfaen" w:hAnsi="Sylfaen"/>
          <w:i/>
          <w:sz w:val="24"/>
          <w:szCs w:val="24"/>
        </w:rPr>
        <w:t>ներմուծվող փորձանմուշի ծավալը՝</w:t>
      </w:r>
      <w:r w:rsidR="0058052E" w:rsidRPr="00825EEB">
        <w:rPr>
          <w:rFonts w:ascii="Sylfaen" w:hAnsi="Sylfaen"/>
          <w:sz w:val="24"/>
          <w:szCs w:val="24"/>
        </w:rPr>
        <w:t xml:space="preserve"> փորձարկվող S21 լուծույթի, համապատասխան ստուգիչ լուծույթի, (բ) համեմատության լուծույթի, (գ) համեմատության լուծույթի </w:t>
      </w:r>
      <w:r w:rsidR="0058052E">
        <w:rPr>
          <w:rFonts w:ascii="Sylfaen" w:hAnsi="Sylfaen"/>
          <w:sz w:val="24"/>
          <w:szCs w:val="24"/>
        </w:rPr>
        <w:t>եւ</w:t>
      </w:r>
      <w:r w:rsidR="0058052E" w:rsidRPr="00825EEB">
        <w:rPr>
          <w:rFonts w:ascii="Sylfaen" w:hAnsi="Sylfaen"/>
          <w:sz w:val="24"/>
          <w:szCs w:val="24"/>
        </w:rPr>
        <w:t xml:space="preserve"> փորձարկվող նյութի կազմի մեջ մտնող, վերեւում </w:t>
      </w:r>
      <w:r w:rsidR="0058052E" w:rsidRPr="0038485E">
        <w:rPr>
          <w:rFonts w:ascii="Sylfaen" w:hAnsi="Sylfaen"/>
          <w:spacing w:val="-4"/>
          <w:sz w:val="24"/>
          <w:szCs w:val="24"/>
        </w:rPr>
        <w:t>ներկայացված ցուցակից հակաօքսիդիչների համեմատության լուծույթների 20-ական մկլ.</w:t>
      </w:r>
    </w:p>
    <w:p w14:paraId="0C51C4BA"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37F4B8A9" w14:textId="77777777" w:rsidR="0058052E" w:rsidRPr="00825EEB" w:rsidRDefault="0038485E" w:rsidP="00F24391">
      <w:pPr>
        <w:pStyle w:val="a0"/>
        <w:shd w:val="clear" w:color="auto" w:fill="auto"/>
        <w:tabs>
          <w:tab w:val="left" w:pos="1134"/>
        </w:tabs>
        <w:spacing w:after="160" w:line="346" w:lineRule="auto"/>
        <w:ind w:firstLine="567"/>
        <w:jc w:val="both"/>
        <w:rPr>
          <w:rFonts w:ascii="Sylfaen" w:hAnsi="Sylfaen" w:cs="Sylfaen"/>
          <w:sz w:val="24"/>
          <w:szCs w:val="24"/>
        </w:rPr>
      </w:pPr>
      <w:r w:rsidRPr="0038485E">
        <w:rPr>
          <w:rFonts w:ascii="Sylfaen" w:hAnsi="Sylfaen"/>
          <w:i/>
          <w:spacing w:val="4"/>
          <w:sz w:val="24"/>
          <w:szCs w:val="24"/>
        </w:rPr>
        <w:t>-</w:t>
      </w:r>
      <w:r w:rsidRPr="0038485E">
        <w:rPr>
          <w:rFonts w:ascii="Sylfaen" w:hAnsi="Sylfaen"/>
          <w:i/>
          <w:spacing w:val="4"/>
          <w:sz w:val="24"/>
          <w:szCs w:val="24"/>
        </w:rPr>
        <w:tab/>
      </w:r>
      <w:r w:rsidR="0058052E" w:rsidRPr="0038485E">
        <w:rPr>
          <w:rFonts w:ascii="Sylfaen" w:hAnsi="Sylfaen"/>
          <w:i/>
          <w:spacing w:val="4"/>
          <w:sz w:val="24"/>
          <w:szCs w:val="24"/>
        </w:rPr>
        <w:t>լուծաչափը՝</w:t>
      </w:r>
      <w:r w:rsidR="0058052E" w:rsidRPr="0038485E">
        <w:rPr>
          <w:rFonts w:ascii="Sylfaen" w:hAnsi="Sylfaen"/>
          <w:spacing w:val="4"/>
          <w:sz w:val="24"/>
          <w:szCs w:val="24"/>
        </w:rPr>
        <w:t xml:space="preserve"> պոլիմերային 09 նյութի հավելանյութի եւ պոլիմերային 10-րդ նյութի</w:t>
      </w:r>
      <w:r w:rsidR="0058052E" w:rsidRPr="00825EEB">
        <w:rPr>
          <w:rFonts w:ascii="Sylfaen" w:hAnsi="Sylfaen"/>
          <w:sz w:val="24"/>
          <w:szCs w:val="24"/>
        </w:rPr>
        <w:t xml:space="preserve"> հավելանյութի պիկերի միջ</w:t>
      </w:r>
      <w:r w:rsidR="0058052E">
        <w:rPr>
          <w:rFonts w:ascii="Sylfaen" w:hAnsi="Sylfaen"/>
          <w:sz w:val="24"/>
          <w:szCs w:val="24"/>
        </w:rPr>
        <w:t>եւ</w:t>
      </w:r>
      <w:r w:rsidR="0058052E" w:rsidRPr="00825EEB">
        <w:rPr>
          <w:rFonts w:ascii="Sylfaen" w:hAnsi="Sylfaen"/>
          <w:sz w:val="24"/>
          <w:szCs w:val="24"/>
        </w:rPr>
        <w:t xml:space="preserve"> ոչ պակաս, քան 2,0՝ (բ) համեմատության լուծույթի քրոմատագրի վրա. պոլիմերային 11-րդ նյութի հավելանյութի </w:t>
      </w:r>
      <w:r w:rsidR="0058052E">
        <w:rPr>
          <w:rFonts w:ascii="Sylfaen" w:hAnsi="Sylfaen"/>
          <w:sz w:val="24"/>
          <w:szCs w:val="24"/>
        </w:rPr>
        <w:t>եւ</w:t>
      </w:r>
      <w:r w:rsidR="0058052E" w:rsidRPr="00825EEB">
        <w:rPr>
          <w:rFonts w:ascii="Sylfaen" w:hAnsi="Sylfaen"/>
          <w:sz w:val="24"/>
          <w:szCs w:val="24"/>
        </w:rPr>
        <w:t xml:space="preserve"> պոլիմերային 12-րդ նյութի հավելանյութի պիկերի միջ</w:t>
      </w:r>
      <w:r w:rsidR="0058052E">
        <w:rPr>
          <w:rFonts w:ascii="Sylfaen" w:hAnsi="Sylfaen"/>
          <w:sz w:val="24"/>
          <w:szCs w:val="24"/>
        </w:rPr>
        <w:t>եւ</w:t>
      </w:r>
      <w:r w:rsidR="0058052E" w:rsidRPr="00825EEB">
        <w:rPr>
          <w:rFonts w:ascii="Sylfaen" w:hAnsi="Sylfaen"/>
          <w:sz w:val="24"/>
          <w:szCs w:val="24"/>
        </w:rPr>
        <w:t xml:space="preserve"> ոչ պակաս, քան 2,0՝ (գ) համեմատության լուծույթի քրոմատագրի վրա:</w:t>
      </w:r>
    </w:p>
    <w:p w14:paraId="425D01D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Փորձարկվող S21 լուծույթի քրոմատագրի վրա պետք է հայտնաբերվեն պիկեր, որոնք համապատասխանում են կազմի մեջ նշված հակաօքսիդիչներին, </w:t>
      </w:r>
      <w:r>
        <w:rPr>
          <w:rFonts w:ascii="Sylfaen" w:hAnsi="Sylfaen"/>
          <w:sz w:val="24"/>
          <w:szCs w:val="24"/>
        </w:rPr>
        <w:t>եւ</w:t>
      </w:r>
      <w:r w:rsidRPr="00825EEB">
        <w:rPr>
          <w:rFonts w:ascii="Sylfaen" w:hAnsi="Sylfaen"/>
          <w:sz w:val="24"/>
          <w:szCs w:val="24"/>
        </w:rPr>
        <w:t xml:space="preserve"> կարող են հայտնաբերվել երկրորդական պիկեր, որոնք համապատասխանում են ստուգիչ լուծույթի քրոմատագրի պիկերին:</w:t>
      </w:r>
    </w:p>
    <w:p w14:paraId="051D464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4F1E57E7" w14:textId="77777777" w:rsidR="0058052E" w:rsidRPr="00825EEB" w:rsidRDefault="0038485E" w:rsidP="0038485E">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38485E">
        <w:rPr>
          <w:rFonts w:ascii="Sylfaen" w:hAnsi="Sylfaen"/>
          <w:sz w:val="24"/>
          <w:szCs w:val="24"/>
        </w:rPr>
        <w:tab/>
      </w:r>
      <w:r w:rsidR="0058052E" w:rsidRPr="00825EEB">
        <w:rPr>
          <w:rFonts w:ascii="Sylfaen" w:hAnsi="Sylfaen"/>
          <w:sz w:val="24"/>
          <w:szCs w:val="24"/>
        </w:rPr>
        <w:t xml:space="preserve">պոլիմերային 09, 10-րդ, 11-րդ, 12-րդ նյութերի հավելանյութերի </w:t>
      </w:r>
      <w:r w:rsidR="0058052E">
        <w:rPr>
          <w:rFonts w:ascii="Sylfaen" w:hAnsi="Sylfaen"/>
          <w:sz w:val="24"/>
          <w:szCs w:val="24"/>
        </w:rPr>
        <w:t>եւ</w:t>
      </w:r>
      <w:r w:rsidR="0058052E" w:rsidRPr="00825EEB">
        <w:rPr>
          <w:rFonts w:ascii="Sylfaen" w:hAnsi="Sylfaen"/>
          <w:sz w:val="24"/>
          <w:szCs w:val="24"/>
        </w:rPr>
        <w:t xml:space="preserve"> (կամ) պոլիմերային 13-րդ նյութի հավելանյութի պարունակությունը հաշվարկելու համար օգտագործում են (Է), (ը), (թ), (ժ) </w:t>
      </w:r>
      <w:r w:rsidR="0058052E">
        <w:rPr>
          <w:rFonts w:ascii="Sylfaen" w:hAnsi="Sylfaen"/>
          <w:sz w:val="24"/>
          <w:szCs w:val="24"/>
        </w:rPr>
        <w:t>եւ</w:t>
      </w:r>
      <w:r w:rsidR="0058052E" w:rsidRPr="00825EEB">
        <w:rPr>
          <w:rFonts w:ascii="Sylfaen" w:hAnsi="Sylfaen"/>
          <w:sz w:val="24"/>
          <w:szCs w:val="24"/>
        </w:rPr>
        <w:t xml:space="preserve"> (կամ) (զ) համեմատության լուծույթների մեջ նյութի համապատասխան ստանդարտ նմուշի կոնցենտրացիան:</w:t>
      </w:r>
    </w:p>
    <w:p w14:paraId="5A1F1C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769ADD13"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5C3039">
        <w:rPr>
          <w:rFonts w:ascii="Sylfaen" w:hAnsi="Sylfaen"/>
          <w:sz w:val="24"/>
          <w:szCs w:val="24"/>
        </w:rPr>
        <w:tab/>
      </w:r>
      <w:r w:rsidR="0058052E" w:rsidRPr="00825EEB">
        <w:rPr>
          <w:rFonts w:ascii="Sylfaen" w:hAnsi="Sylfaen"/>
          <w:sz w:val="24"/>
          <w:szCs w:val="24"/>
        </w:rPr>
        <w:t>պոլիմերային 09 նյութի հավելանյութ՝ 0,3 %-ից ոչ ավելի.</w:t>
      </w:r>
    </w:p>
    <w:p w14:paraId="2E201AC3"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պոլիմերային 10-րդ նյութի հավելանյութ՝</w:t>
      </w:r>
      <w:r w:rsidR="0058052E" w:rsidRPr="00825EEB">
        <w:rPr>
          <w:rFonts w:ascii="Sylfaen" w:hAnsi="Sylfaen"/>
          <w:sz w:val="24"/>
          <w:szCs w:val="24"/>
        </w:rPr>
        <w:t xml:space="preserve"> 0,3 %-ից ոչ ավելի.</w:t>
      </w:r>
    </w:p>
    <w:p w14:paraId="20AF843B"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պոլիմերային 11-րդ նյութի հավելանյութ՝</w:t>
      </w:r>
      <w:r w:rsidR="0058052E" w:rsidRPr="00825EEB">
        <w:rPr>
          <w:rFonts w:ascii="Sylfaen" w:hAnsi="Sylfaen"/>
          <w:sz w:val="24"/>
          <w:szCs w:val="24"/>
        </w:rPr>
        <w:t xml:space="preserve"> 0,3 %-ից ոչ ավելի.</w:t>
      </w:r>
    </w:p>
    <w:p w14:paraId="087099AA" w14:textId="77777777" w:rsidR="0058052E" w:rsidRPr="00825EEB" w:rsidRDefault="005C3039" w:rsidP="005C3039">
      <w:pPr>
        <w:tabs>
          <w:tab w:val="left" w:pos="1134"/>
        </w:tabs>
        <w:spacing w:after="160" w:line="360" w:lineRule="auto"/>
        <w:ind w:firstLine="567"/>
        <w:jc w:val="both"/>
      </w:pPr>
      <w:r>
        <w:rPr>
          <w:i/>
        </w:rPr>
        <w:t>-</w:t>
      </w:r>
      <w:r w:rsidRPr="005C3039">
        <w:rPr>
          <w:i/>
        </w:rPr>
        <w:tab/>
      </w:r>
      <w:r w:rsidR="0058052E" w:rsidRPr="00825EEB">
        <w:rPr>
          <w:i/>
        </w:rPr>
        <w:t>պոլիմերային 12-րդ նյութի հավելանյութ՝</w:t>
      </w:r>
      <w:r w:rsidR="0058052E" w:rsidRPr="00825EEB">
        <w:t xml:space="preserve"> 0,3 %-ից ոչ ավելի.</w:t>
      </w:r>
    </w:p>
    <w:p w14:paraId="62C3B425"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պոլիմերային 13-րդ նյութի հավելանյութ՝</w:t>
      </w:r>
      <w:r w:rsidR="0058052E" w:rsidRPr="00825EEB">
        <w:rPr>
          <w:rFonts w:ascii="Sylfaen" w:hAnsi="Sylfaen"/>
          <w:sz w:val="24"/>
          <w:szCs w:val="24"/>
        </w:rPr>
        <w:t xml:space="preserve"> 0,3 %-ից ոչ ավելի:</w:t>
      </w:r>
    </w:p>
    <w:p w14:paraId="08E2E1C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Ոչ ֆենոլային հակաօքսիդիչները։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02FC968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Տ22 փորձարկվող լուծույթը։</w:t>
      </w:r>
      <w:r w:rsidRPr="00825EEB">
        <w:rPr>
          <w:rFonts w:ascii="Sylfaen" w:hAnsi="Sylfaen"/>
          <w:sz w:val="24"/>
          <w:szCs w:val="24"/>
        </w:rPr>
        <w:t xml:space="preserve"> Տ2 լուծույթի 100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w:t>
      </w:r>
      <w:r w:rsidRPr="00825EEB">
        <w:rPr>
          <w:rFonts w:ascii="Sylfaen" w:hAnsi="Sylfaen"/>
          <w:sz w:val="24"/>
          <w:szCs w:val="24"/>
        </w:rPr>
        <w:t xml:space="preserve"> </w:t>
      </w:r>
      <w:r w:rsidRPr="00825EEB">
        <w:rPr>
          <w:rFonts w:ascii="Sylfaen" w:hAnsi="Sylfaen"/>
          <w:i/>
          <w:sz w:val="24"/>
          <w:szCs w:val="24"/>
        </w:rPr>
        <w:t>մեջ</w:t>
      </w:r>
      <w:r w:rsidRPr="00825EEB">
        <w:rPr>
          <w:rFonts w:ascii="Sylfaen" w:hAnsi="Sylfaen"/>
          <w:sz w:val="24"/>
          <w:szCs w:val="24"/>
        </w:rPr>
        <w:t xml:space="preserve">: Չոր մնացորդը լուծում են </w:t>
      </w:r>
      <w:r w:rsidRPr="00825EEB">
        <w:rPr>
          <w:rFonts w:ascii="Sylfaen" w:hAnsi="Sylfaen"/>
          <w:i/>
          <w:sz w:val="24"/>
          <w:szCs w:val="24"/>
        </w:rPr>
        <w:t xml:space="preserve">Ռ թթվեցրած մեթիլենքլորիդի </w:t>
      </w:r>
      <w:r w:rsidRPr="00825EEB">
        <w:rPr>
          <w:rFonts w:ascii="Sylfaen" w:hAnsi="Sylfaen"/>
          <w:sz w:val="24"/>
          <w:szCs w:val="24"/>
        </w:rPr>
        <w:t>2 մլ-ի մեջ:</w:t>
      </w:r>
    </w:p>
    <w:p w14:paraId="2F2800A7" w14:textId="77777777" w:rsidR="0058052E" w:rsidRPr="00D35F34" w:rsidRDefault="005C3039" w:rsidP="005C3039">
      <w:pPr>
        <w:pStyle w:val="a0"/>
        <w:shd w:val="clear" w:color="auto" w:fill="auto"/>
        <w:tabs>
          <w:tab w:val="left" w:pos="1276"/>
        </w:tabs>
        <w:spacing w:after="160" w:line="360" w:lineRule="auto"/>
        <w:ind w:firstLine="567"/>
        <w:jc w:val="both"/>
        <w:rPr>
          <w:rFonts w:ascii="Sylfaen" w:hAnsi="Sylfaen"/>
          <w:sz w:val="24"/>
          <w:szCs w:val="24"/>
        </w:rPr>
      </w:pPr>
      <w:r>
        <w:rPr>
          <w:rFonts w:ascii="Sylfaen" w:hAnsi="Sylfaen"/>
          <w:i/>
          <w:sz w:val="24"/>
          <w:szCs w:val="24"/>
        </w:rPr>
        <w:t>(ԺԱ)</w:t>
      </w:r>
      <w:r w:rsidRPr="005C3039">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Պոլիմերային 14-րդ նյութի հավելանյութի ԵԱՏՄԴ ՍՆ</w:t>
      </w:r>
      <w:r w:rsidR="0058052E" w:rsidRPr="00825EEB">
        <w:rPr>
          <w:rFonts w:ascii="Sylfaen" w:hAnsi="Sylfaen"/>
          <w:sz w:val="24"/>
          <w:szCs w:val="24"/>
        </w:rPr>
        <w:t xml:space="preserve"> 60 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10 մլ: Ստացված լուծույթի 2 մլ-ը </w:t>
      </w:r>
      <w:r w:rsidR="0058052E" w:rsidRPr="00825EEB">
        <w:rPr>
          <w:rFonts w:ascii="Sylfaen" w:hAnsi="Sylfaen"/>
          <w:i/>
          <w:sz w:val="24"/>
          <w:szCs w:val="24"/>
        </w:rPr>
        <w:t>Ռ թթվեցրած մեթիլենքլորիդով</w:t>
      </w:r>
      <w:r w:rsidR="0058052E" w:rsidRPr="00825EEB">
        <w:rPr>
          <w:rFonts w:ascii="Sylfaen" w:hAnsi="Sylfaen"/>
          <w:sz w:val="24"/>
          <w:szCs w:val="24"/>
        </w:rPr>
        <w:t xml:space="preserve"> հասցնում են մինչեւ 10 մլ ծավալը։</w:t>
      </w:r>
    </w:p>
    <w:p w14:paraId="2CADDC51" w14:textId="77777777" w:rsidR="00F24391" w:rsidRPr="00D35F34" w:rsidRDefault="00F24391" w:rsidP="005C3039">
      <w:pPr>
        <w:pStyle w:val="a0"/>
        <w:shd w:val="clear" w:color="auto" w:fill="auto"/>
        <w:tabs>
          <w:tab w:val="left" w:pos="1276"/>
        </w:tabs>
        <w:spacing w:after="160" w:line="360" w:lineRule="auto"/>
        <w:ind w:firstLine="567"/>
        <w:jc w:val="both"/>
        <w:rPr>
          <w:rFonts w:ascii="Sylfaen" w:hAnsi="Sylfaen" w:cs="Sylfaen"/>
          <w:sz w:val="24"/>
          <w:szCs w:val="24"/>
        </w:rPr>
      </w:pPr>
    </w:p>
    <w:p w14:paraId="24E9CB25" w14:textId="77777777" w:rsidR="0058052E" w:rsidRPr="00825EEB" w:rsidRDefault="005C3039" w:rsidP="005C3039">
      <w:pPr>
        <w:pStyle w:val="a0"/>
        <w:shd w:val="clear" w:color="auto" w:fill="auto"/>
        <w:tabs>
          <w:tab w:val="left" w:pos="1276"/>
        </w:tabs>
        <w:spacing w:after="160" w:line="360" w:lineRule="auto"/>
        <w:ind w:firstLine="567"/>
        <w:jc w:val="both"/>
        <w:rPr>
          <w:rFonts w:ascii="Sylfaen" w:hAnsi="Sylfaen" w:cs="Sylfaen"/>
          <w:sz w:val="24"/>
          <w:szCs w:val="24"/>
        </w:rPr>
      </w:pPr>
      <w:r>
        <w:rPr>
          <w:rFonts w:ascii="Sylfaen" w:hAnsi="Sylfaen"/>
          <w:i/>
          <w:sz w:val="24"/>
          <w:szCs w:val="24"/>
        </w:rPr>
        <w:lastRenderedPageBreak/>
        <w:t>(ԺԲ)</w:t>
      </w:r>
      <w:r w:rsidRPr="00A859E3">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Պոլիմերային 15-րդ նյութի հավելանյութի ԵԱՏՄԴ ՍՆ</w:t>
      </w:r>
      <w:r w:rsidR="0058052E" w:rsidRPr="00825EEB">
        <w:rPr>
          <w:rFonts w:ascii="Sylfaen" w:hAnsi="Sylfaen"/>
          <w:sz w:val="24"/>
          <w:szCs w:val="24"/>
        </w:rPr>
        <w:t xml:space="preserve"> 60 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10 մլ: Ստացված լուծույթի 2 մլ-ը </w:t>
      </w:r>
      <w:r w:rsidR="0058052E" w:rsidRPr="00825EEB">
        <w:rPr>
          <w:rFonts w:ascii="Sylfaen" w:hAnsi="Sylfaen"/>
          <w:i/>
          <w:sz w:val="24"/>
          <w:szCs w:val="24"/>
        </w:rPr>
        <w:t>Ռ թթվեցրած մեթիլենքլորիդով</w:t>
      </w:r>
      <w:r w:rsidR="0058052E" w:rsidRPr="00825EEB">
        <w:rPr>
          <w:rFonts w:ascii="Sylfaen" w:hAnsi="Sylfaen"/>
          <w:sz w:val="24"/>
          <w:szCs w:val="24"/>
        </w:rPr>
        <w:t xml:space="preserve"> հասցնում են մինչեւ 10 մլ ծավալը։</w:t>
      </w:r>
    </w:p>
    <w:p w14:paraId="38231B5D" w14:textId="77777777" w:rsidR="0058052E" w:rsidRPr="00825EEB" w:rsidRDefault="005C3039" w:rsidP="005C3039">
      <w:pPr>
        <w:pStyle w:val="a0"/>
        <w:shd w:val="clear" w:color="auto" w:fill="auto"/>
        <w:tabs>
          <w:tab w:val="left" w:pos="1276"/>
        </w:tabs>
        <w:spacing w:after="160" w:line="360" w:lineRule="auto"/>
        <w:ind w:firstLine="567"/>
        <w:jc w:val="both"/>
        <w:rPr>
          <w:rFonts w:ascii="Sylfaen" w:hAnsi="Sylfaen" w:cs="Sylfaen"/>
          <w:sz w:val="24"/>
          <w:szCs w:val="24"/>
        </w:rPr>
      </w:pPr>
      <w:r>
        <w:rPr>
          <w:rFonts w:ascii="Sylfaen" w:hAnsi="Sylfaen"/>
          <w:i/>
          <w:sz w:val="24"/>
          <w:szCs w:val="24"/>
        </w:rPr>
        <w:t>(ԺԳ)</w:t>
      </w:r>
      <w:r w:rsidRPr="005C3039">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Պոլիմերային 16-րդ նյութի հավելանյութի ԵԱՏՄԴ ՍՆ</w:t>
      </w:r>
      <w:r w:rsidR="0058052E" w:rsidRPr="00825EEB">
        <w:rPr>
          <w:rFonts w:ascii="Sylfaen" w:hAnsi="Sylfaen"/>
          <w:sz w:val="24"/>
          <w:szCs w:val="24"/>
        </w:rPr>
        <w:t xml:space="preserve"> 60 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10 մլ: Ստացված լուծույթի 2 մլ-ը </w:t>
      </w:r>
      <w:r w:rsidR="0058052E" w:rsidRPr="00825EEB">
        <w:rPr>
          <w:rFonts w:ascii="Sylfaen" w:hAnsi="Sylfaen"/>
          <w:i/>
          <w:sz w:val="24"/>
          <w:szCs w:val="24"/>
        </w:rPr>
        <w:t>Ռ թթվեցրած մեթիլենքլորիդով</w:t>
      </w:r>
      <w:r w:rsidR="0058052E" w:rsidRPr="00825EEB">
        <w:rPr>
          <w:rFonts w:ascii="Sylfaen" w:hAnsi="Sylfaen"/>
          <w:sz w:val="24"/>
          <w:szCs w:val="24"/>
        </w:rPr>
        <w:t xml:space="preserve"> հասցնում են մինչեւ 10 մլ ծավալը։</w:t>
      </w:r>
    </w:p>
    <w:p w14:paraId="35DD9F38" w14:textId="77777777" w:rsidR="0058052E" w:rsidRPr="00825EEB" w:rsidRDefault="0058052E" w:rsidP="005C3039">
      <w:pPr>
        <w:pStyle w:val="a0"/>
        <w:shd w:val="clear" w:color="auto" w:fill="auto"/>
        <w:tabs>
          <w:tab w:val="left" w:pos="1276"/>
        </w:tabs>
        <w:spacing w:after="160" w:line="360" w:lineRule="auto"/>
        <w:ind w:firstLine="567"/>
        <w:jc w:val="both"/>
        <w:rPr>
          <w:rFonts w:ascii="Sylfaen" w:hAnsi="Sylfaen" w:cs="Sylfaen"/>
          <w:sz w:val="24"/>
          <w:szCs w:val="24"/>
        </w:rPr>
      </w:pPr>
      <w:r w:rsidRPr="00825EEB">
        <w:rPr>
          <w:rFonts w:ascii="Sylfaen" w:hAnsi="Sylfaen"/>
          <w:i/>
          <w:sz w:val="24"/>
          <w:szCs w:val="24"/>
        </w:rPr>
        <w:t>(ԺԴ)</w:t>
      </w:r>
      <w:r w:rsidR="005C3039" w:rsidRPr="005C3039">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17-րդ նյութի հավելանյութի ԵԱՏՄԴ ՍՆ</w:t>
      </w:r>
      <w:r w:rsidRPr="00825EEB">
        <w:rPr>
          <w:rFonts w:ascii="Sylfaen" w:hAnsi="Sylfaen"/>
          <w:sz w:val="24"/>
          <w:szCs w:val="24"/>
        </w:rPr>
        <w:t xml:space="preserve"> 60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 մլ: Ստացված լուծույթի 2 մլ-ը </w:t>
      </w:r>
      <w:r w:rsidRPr="00825EEB">
        <w:rPr>
          <w:rFonts w:ascii="Sylfaen" w:hAnsi="Sylfaen"/>
          <w:i/>
          <w:sz w:val="24"/>
          <w:szCs w:val="24"/>
        </w:rPr>
        <w:t>Ռ թթվեցրած մեթիլենքլորիդով</w:t>
      </w:r>
      <w:r w:rsidRPr="00825EEB">
        <w:rPr>
          <w:rFonts w:ascii="Sylfaen" w:hAnsi="Sylfaen"/>
          <w:sz w:val="24"/>
          <w:szCs w:val="24"/>
        </w:rPr>
        <w:t xml:space="preserve"> հասցնում են մինչեւ 10 մլ ծավալը։</w:t>
      </w:r>
    </w:p>
    <w:p w14:paraId="1231F86B" w14:textId="77777777" w:rsidR="0058052E" w:rsidRPr="00825EEB" w:rsidRDefault="005C3039" w:rsidP="005C3039">
      <w:pPr>
        <w:pStyle w:val="a0"/>
        <w:shd w:val="clear" w:color="auto" w:fill="auto"/>
        <w:tabs>
          <w:tab w:val="left" w:pos="1276"/>
        </w:tabs>
        <w:spacing w:after="160" w:line="360" w:lineRule="auto"/>
        <w:ind w:firstLine="567"/>
        <w:jc w:val="both"/>
        <w:rPr>
          <w:rFonts w:ascii="Sylfaen" w:hAnsi="Sylfaen" w:cs="Sylfaen"/>
          <w:sz w:val="24"/>
          <w:szCs w:val="24"/>
        </w:rPr>
      </w:pPr>
      <w:r>
        <w:rPr>
          <w:rFonts w:ascii="Sylfaen" w:hAnsi="Sylfaen"/>
          <w:i/>
          <w:sz w:val="24"/>
          <w:szCs w:val="24"/>
        </w:rPr>
        <w:t>(ԺԵ)</w:t>
      </w:r>
      <w:r w:rsidRPr="005C3039">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Պոլիմերային </w:t>
      </w:r>
      <w:r w:rsidR="0058052E" w:rsidRPr="00825EEB">
        <w:rPr>
          <w:rFonts w:ascii="Sylfaen" w:hAnsi="Sylfaen"/>
          <w:i/>
          <w:sz w:val="24"/>
          <w:szCs w:val="24"/>
        </w:rPr>
        <w:t xml:space="preserve">16-րդ նյութի հավելանյութի </w:t>
      </w:r>
      <w:r w:rsidR="0058052E" w:rsidRPr="005C3039">
        <w:rPr>
          <w:rFonts w:ascii="Sylfaen" w:hAnsi="Sylfaen"/>
          <w:i/>
          <w:spacing w:val="4"/>
          <w:sz w:val="24"/>
          <w:szCs w:val="24"/>
        </w:rPr>
        <w:t>ԵԱՏՄԴ ՍՆ</w:t>
      </w:r>
      <w:r w:rsidR="0058052E" w:rsidRPr="005C3039">
        <w:rPr>
          <w:rFonts w:ascii="Sylfaen" w:hAnsi="Sylfaen"/>
          <w:spacing w:val="4"/>
          <w:sz w:val="24"/>
          <w:szCs w:val="24"/>
        </w:rPr>
        <w:t xml:space="preserve"> 60 մգ-ը եւ </w:t>
      </w:r>
      <w:r w:rsidR="0058052E" w:rsidRPr="005C3039">
        <w:rPr>
          <w:rFonts w:ascii="Sylfaen" w:hAnsi="Sylfaen"/>
          <w:i/>
          <w:spacing w:val="4"/>
          <w:sz w:val="24"/>
          <w:szCs w:val="24"/>
        </w:rPr>
        <w:t>պոլիմերային 17-րդ նյութի հավելանյութի ԵԱՏՄԴ ՍՆ</w:t>
      </w:r>
      <w:r w:rsidR="0058052E" w:rsidRPr="005C3039">
        <w:rPr>
          <w:rFonts w:ascii="Sylfaen" w:hAnsi="Sylfaen"/>
          <w:spacing w:val="4"/>
          <w:sz w:val="24"/>
          <w:szCs w:val="24"/>
        </w:rPr>
        <w:t xml:space="preserve"> 60</w:t>
      </w:r>
      <w:r w:rsidRPr="005C3039">
        <w:rPr>
          <w:rFonts w:ascii="Sylfaen" w:hAnsi="Sylfaen"/>
          <w:spacing w:val="4"/>
          <w:sz w:val="24"/>
          <w:szCs w:val="24"/>
        </w:rPr>
        <w:t> </w:t>
      </w:r>
      <w:r w:rsidR="0058052E" w:rsidRPr="005C3039">
        <w:rPr>
          <w:rFonts w:ascii="Sylfaen" w:hAnsi="Sylfaen"/>
          <w:spacing w:val="4"/>
          <w:sz w:val="24"/>
          <w:szCs w:val="24"/>
        </w:rPr>
        <w:t>մգ-ը լուծում</w:t>
      </w:r>
      <w:r w:rsidR="0058052E" w:rsidRPr="00825EEB">
        <w:rPr>
          <w:rFonts w:ascii="Sylfaen" w:hAnsi="Sylfaen"/>
          <w:sz w:val="24"/>
          <w:szCs w:val="24"/>
        </w:rPr>
        <w:t xml:space="preserve">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10 մլ: Ստացված լուծույթի 2 մլ-ը </w:t>
      </w:r>
      <w:r w:rsidR="0058052E" w:rsidRPr="00825EEB">
        <w:rPr>
          <w:rFonts w:ascii="Sylfaen" w:hAnsi="Sylfaen"/>
          <w:i/>
          <w:sz w:val="24"/>
          <w:szCs w:val="24"/>
        </w:rPr>
        <w:t>Ռ թթվեցրած մեթիլենքլորիդով</w:t>
      </w:r>
      <w:r w:rsidR="0058052E" w:rsidRPr="00825EEB">
        <w:rPr>
          <w:rFonts w:ascii="Sylfaen" w:hAnsi="Sylfaen"/>
          <w:sz w:val="24"/>
          <w:szCs w:val="24"/>
        </w:rPr>
        <w:t xml:space="preserve"> հասցնում են մինչեւ 10 մլ ծավալը։</w:t>
      </w:r>
    </w:p>
    <w:p w14:paraId="2213E8E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70D9C891"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ՆՇՔ թիթեղը՝ GF</w:t>
      </w:r>
      <w:r w:rsidR="0058052E" w:rsidRPr="00825EEB">
        <w:rPr>
          <w:rFonts w:ascii="Sylfaen" w:hAnsi="Sylfaen"/>
          <w:i/>
          <w:sz w:val="24"/>
          <w:szCs w:val="24"/>
          <w:vertAlign w:val="subscript"/>
        </w:rPr>
        <w:t>254</w:t>
      </w:r>
      <w:r w:rsidR="0058052E" w:rsidRPr="00825EEB">
        <w:rPr>
          <w:rFonts w:ascii="Sylfaen" w:hAnsi="Sylfaen"/>
          <w:i/>
          <w:sz w:val="24"/>
          <w:szCs w:val="24"/>
        </w:rPr>
        <w:t xml:space="preserve"> Ռ սիլիկագելի շերտով.</w:t>
      </w:r>
    </w:p>
    <w:p w14:paraId="6DF051CB"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Ա շարժուն ֆազը՝ Ռ հեքսան.</w:t>
      </w:r>
    </w:p>
    <w:p w14:paraId="377EC0F9"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Բ շարժուն ֆազը՝ Ռ մեթիլենքլորիդ.</w:t>
      </w:r>
    </w:p>
    <w:p w14:paraId="14BDDD69" w14:textId="77777777" w:rsidR="0058052E" w:rsidRPr="00D35F34" w:rsidRDefault="005C3039" w:rsidP="005C3039">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i/>
          <w:sz w:val="24"/>
          <w:szCs w:val="24"/>
        </w:rPr>
        <w:t>-</w:t>
      </w:r>
      <w:r w:rsidRPr="005C3039">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փորձարկվող S22 լուծույթի, (ժդ) համեմատության լուծույթի </w:t>
      </w:r>
      <w:r w:rsidR="0058052E">
        <w:rPr>
          <w:rFonts w:ascii="Sylfaen" w:hAnsi="Sylfaen"/>
          <w:sz w:val="24"/>
          <w:szCs w:val="24"/>
        </w:rPr>
        <w:t>եւ</w:t>
      </w:r>
      <w:r w:rsidR="0058052E" w:rsidRPr="00825EEB">
        <w:rPr>
          <w:rFonts w:ascii="Sylfaen" w:hAnsi="Sylfaen"/>
          <w:sz w:val="24"/>
          <w:szCs w:val="24"/>
        </w:rPr>
        <w:t xml:space="preserve"> փորձարկվող պոլիոլեֆինի տիպային նմուշի կազմի մեջ մտնող բոլոր ֆենոլային ու ոչ ֆենոլային հակաօքսիդիչներին համապատասխանող համեմատության լուծույթների 20-ական մկլ.</w:t>
      </w:r>
    </w:p>
    <w:p w14:paraId="52E3CD86" w14:textId="77777777" w:rsidR="00F24391" w:rsidRPr="00D35F34" w:rsidRDefault="00F24391" w:rsidP="005C3039">
      <w:pPr>
        <w:pStyle w:val="a0"/>
        <w:shd w:val="clear" w:color="auto" w:fill="auto"/>
        <w:tabs>
          <w:tab w:val="left" w:pos="1134"/>
        </w:tabs>
        <w:spacing w:after="160" w:line="360" w:lineRule="auto"/>
        <w:ind w:firstLine="567"/>
        <w:jc w:val="both"/>
        <w:rPr>
          <w:rFonts w:ascii="Sylfaen" w:hAnsi="Sylfaen" w:cs="Sylfaen"/>
          <w:sz w:val="24"/>
          <w:szCs w:val="24"/>
        </w:rPr>
      </w:pPr>
    </w:p>
    <w:p w14:paraId="0850795B" w14:textId="77777777" w:rsidR="0058052E" w:rsidRPr="00825EEB" w:rsidRDefault="005C3039" w:rsidP="005C3039">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lastRenderedPageBreak/>
        <w:t>-</w:t>
      </w:r>
      <w:r w:rsidRPr="005C3039">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18 սմ-ից ոչ պակաս՝ Ա շարժուն ֆազի օգտագործմամբ. չորացնելուց հետո քրոմատագրում են մեկնարկային գծից 17 սմ-ից ոչ պակաս տարածության վրա՝ Բ շարժուն ֆազի օգտագործմամբ.</w:t>
      </w:r>
    </w:p>
    <w:p w14:paraId="124C4C36" w14:textId="77777777" w:rsidR="0058052E" w:rsidRPr="00825EEB" w:rsidRDefault="0058052E" w:rsidP="005C3039">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5C3039" w:rsidRPr="005C3039">
        <w:rPr>
          <w:rFonts w:ascii="Sylfaen" w:hAnsi="Sylfaen"/>
          <w:sz w:val="24"/>
          <w:szCs w:val="24"/>
        </w:rPr>
        <w:tab/>
      </w:r>
      <w:r w:rsidRPr="00825EEB">
        <w:rPr>
          <w:rFonts w:ascii="Sylfaen" w:hAnsi="Sylfaen"/>
          <w:i/>
          <w:sz w:val="24"/>
          <w:szCs w:val="24"/>
        </w:rPr>
        <w:t>չորացումը՝</w:t>
      </w:r>
      <w:r w:rsidRPr="00825EEB">
        <w:rPr>
          <w:rFonts w:ascii="Sylfaen" w:hAnsi="Sylfaen"/>
          <w:sz w:val="24"/>
          <w:szCs w:val="24"/>
        </w:rPr>
        <w:t xml:space="preserve"> օդում.</w:t>
      </w:r>
    </w:p>
    <w:p w14:paraId="14147748" w14:textId="77777777" w:rsidR="0058052E" w:rsidRPr="00825EEB" w:rsidRDefault="005C3039"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5C3039">
        <w:rPr>
          <w:rFonts w:ascii="Sylfaen" w:hAnsi="Sylfaen"/>
          <w:sz w:val="24"/>
          <w:szCs w:val="24"/>
        </w:rPr>
        <w:tab/>
      </w:r>
      <w:r w:rsidR="0058052E" w:rsidRPr="00825EEB">
        <w:rPr>
          <w:rFonts w:ascii="Sylfaen" w:hAnsi="Sylfaen"/>
          <w:sz w:val="24"/>
          <w:szCs w:val="24"/>
        </w:rPr>
        <w:t xml:space="preserve">դետեկտումը՝ թիթեղը դիտում են ուլտրամանուշակագույն լույսի տակ ալիքի 254 նմ երկարությամբ, այնուհետեւ ցողում են </w:t>
      </w:r>
      <w:r w:rsidR="0058052E" w:rsidRPr="00825EEB">
        <w:rPr>
          <w:rFonts w:ascii="Sylfaen" w:hAnsi="Sylfaen"/>
          <w:i/>
          <w:sz w:val="24"/>
          <w:szCs w:val="24"/>
        </w:rPr>
        <w:t>Ռ յոդի սպիրտային լուծույթով</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10-15 րոպե հետո դիտում ուլտրամանուշակագույն լույսի տակ՝ ալիքի 254 նմ երկարությամբ:</w:t>
      </w:r>
    </w:p>
    <w:p w14:paraId="7030B97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p>
    <w:p w14:paraId="18478F1B" w14:textId="77777777" w:rsidR="0058052E" w:rsidRPr="00825EEB" w:rsidRDefault="005C3039"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5C3039">
        <w:rPr>
          <w:rFonts w:ascii="Sylfaen" w:hAnsi="Sylfaen"/>
          <w:sz w:val="24"/>
          <w:szCs w:val="24"/>
        </w:rPr>
        <w:tab/>
      </w:r>
      <w:r w:rsidR="0058052E" w:rsidRPr="00825EEB">
        <w:rPr>
          <w:rFonts w:ascii="Sylfaen" w:hAnsi="Sylfaen"/>
          <w:sz w:val="24"/>
          <w:szCs w:val="24"/>
        </w:rPr>
        <w:t>(ժե) համեմատության լուծույթի քրոմատագրի վրա պետք է հայտնաբերվեն հստակ բաժանված 2 բծեր:</w:t>
      </w:r>
    </w:p>
    <w:p w14:paraId="0C49AAF2"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012FB8DF"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 փորձարկվող Տ22 լուծույթի քրոմատագրի վրա պետք է հայտնաբերվեն բծեր համեմատության լուծույթների քրոմատագրերի վրա համապատասխան բծերի մակարդակում </w:t>
      </w:r>
      <w:r>
        <w:rPr>
          <w:rFonts w:ascii="Sylfaen" w:hAnsi="Sylfaen"/>
          <w:sz w:val="24"/>
          <w:szCs w:val="24"/>
        </w:rPr>
        <w:t>եւ</w:t>
      </w:r>
      <w:r w:rsidRPr="00825EEB">
        <w:rPr>
          <w:rFonts w:ascii="Sylfaen" w:hAnsi="Sylfaen"/>
          <w:sz w:val="24"/>
          <w:szCs w:val="24"/>
        </w:rPr>
        <w:t xml:space="preserve"> չգերազանցեն դրանք ինտենսիվության առումով:</w:t>
      </w:r>
    </w:p>
    <w:p w14:paraId="1ED3E3E8"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Ամիդներ </w:t>
      </w:r>
      <w:r>
        <w:rPr>
          <w:rFonts w:ascii="Sylfaen" w:hAnsi="Sylfaen"/>
          <w:b/>
          <w:sz w:val="24"/>
          <w:szCs w:val="24"/>
        </w:rPr>
        <w:t>եւ</w:t>
      </w:r>
      <w:r w:rsidRPr="00825EEB">
        <w:rPr>
          <w:rFonts w:ascii="Sylfaen" w:hAnsi="Sylfaen"/>
          <w:b/>
          <w:sz w:val="24"/>
          <w:szCs w:val="24"/>
        </w:rPr>
        <w:t xml:space="preserve"> ստեարատներ։ </w:t>
      </w: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41DB0B28"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Փորձարկվող լուծույթը։ Օգտագործում են </w:t>
      </w:r>
      <w:r w:rsidRPr="00825EEB">
        <w:rPr>
          <w:rFonts w:ascii="Sylfaen" w:hAnsi="Sylfaen"/>
          <w:i/>
          <w:sz w:val="24"/>
          <w:szCs w:val="24"/>
        </w:rPr>
        <w:t>«Ոչ ֆենոլային հակաօքսիդիչներ»</w:t>
      </w:r>
      <w:r w:rsidRPr="00825EEB">
        <w:rPr>
          <w:rFonts w:ascii="Sylfaen" w:hAnsi="Sylfaen"/>
          <w:sz w:val="24"/>
          <w:szCs w:val="24"/>
        </w:rPr>
        <w:t xml:space="preserve"> փորձարկման ցուցումներին համապատասխան պատրաստված փորձարկվող Տ22 լուծույթը:</w:t>
      </w:r>
    </w:p>
    <w:p w14:paraId="0B47D4A4" w14:textId="77777777" w:rsidR="0058052E" w:rsidRPr="00825EEB" w:rsidRDefault="00722E3E" w:rsidP="00F24391">
      <w:pPr>
        <w:pStyle w:val="a0"/>
        <w:shd w:val="clear" w:color="auto" w:fill="auto"/>
        <w:tabs>
          <w:tab w:val="left" w:pos="1276"/>
        </w:tabs>
        <w:spacing w:after="160" w:line="346" w:lineRule="auto"/>
        <w:ind w:firstLine="567"/>
        <w:jc w:val="both"/>
        <w:rPr>
          <w:rFonts w:ascii="Sylfaen" w:hAnsi="Sylfaen" w:cs="Sylfaen"/>
          <w:sz w:val="24"/>
          <w:szCs w:val="24"/>
        </w:rPr>
      </w:pPr>
      <w:r>
        <w:rPr>
          <w:rFonts w:ascii="Sylfaen" w:hAnsi="Sylfaen"/>
          <w:i/>
          <w:sz w:val="24"/>
          <w:szCs w:val="24"/>
        </w:rPr>
        <w:t>(ԺԶ)</w:t>
      </w:r>
      <w:r w:rsidRPr="00A859E3">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Ստեարինաթթվի (պոլիմերային 19-րդ նյութի հավելանյութի) ԵԱՏՄԴ ՍՆ</w:t>
      </w:r>
      <w:r w:rsidR="0058052E" w:rsidRPr="00825EEB">
        <w:rPr>
          <w:rFonts w:ascii="Sylfaen" w:hAnsi="Sylfaen"/>
          <w:sz w:val="24"/>
          <w:szCs w:val="24"/>
        </w:rPr>
        <w:t xml:space="preserve"> 20 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10 մլ:</w:t>
      </w:r>
    </w:p>
    <w:p w14:paraId="5DB53DF1" w14:textId="77777777" w:rsidR="0058052E" w:rsidRPr="00825EEB" w:rsidRDefault="0058052E" w:rsidP="00F24391">
      <w:pPr>
        <w:pStyle w:val="a0"/>
        <w:shd w:val="clear" w:color="auto" w:fill="auto"/>
        <w:tabs>
          <w:tab w:val="left" w:pos="1276"/>
        </w:tabs>
        <w:spacing w:after="160" w:line="346" w:lineRule="auto"/>
        <w:ind w:firstLine="567"/>
        <w:jc w:val="both"/>
        <w:rPr>
          <w:rFonts w:ascii="Sylfaen" w:hAnsi="Sylfaen" w:cs="Sylfaen"/>
          <w:sz w:val="24"/>
          <w:szCs w:val="24"/>
        </w:rPr>
      </w:pPr>
      <w:r w:rsidRPr="00825EEB">
        <w:rPr>
          <w:rFonts w:ascii="Sylfaen" w:hAnsi="Sylfaen"/>
          <w:i/>
          <w:sz w:val="24"/>
          <w:szCs w:val="24"/>
        </w:rPr>
        <w:t>(ԺԷ)</w:t>
      </w:r>
      <w:r w:rsidR="00722E3E" w:rsidRPr="00722E3E">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20-րդ նյութի հավելանյութի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20 մլ:</w:t>
      </w:r>
    </w:p>
    <w:p w14:paraId="0D162065" w14:textId="77777777" w:rsidR="0058052E" w:rsidRPr="00825EEB" w:rsidRDefault="00722E3E" w:rsidP="00722E3E">
      <w:pPr>
        <w:pStyle w:val="a0"/>
        <w:shd w:val="clear" w:color="auto" w:fill="auto"/>
        <w:tabs>
          <w:tab w:val="left" w:pos="1276"/>
        </w:tabs>
        <w:spacing w:after="160" w:line="360" w:lineRule="auto"/>
        <w:ind w:firstLine="567"/>
        <w:jc w:val="both"/>
        <w:rPr>
          <w:rFonts w:ascii="Sylfaen" w:hAnsi="Sylfaen" w:cs="Sylfaen"/>
          <w:sz w:val="24"/>
          <w:szCs w:val="24"/>
        </w:rPr>
      </w:pPr>
      <w:r>
        <w:rPr>
          <w:rFonts w:ascii="Sylfaen" w:hAnsi="Sylfaen"/>
          <w:i/>
          <w:sz w:val="24"/>
          <w:szCs w:val="24"/>
        </w:rPr>
        <w:lastRenderedPageBreak/>
        <w:t>(ԺԸ)</w:t>
      </w:r>
      <w:r w:rsidRPr="00722E3E">
        <w:rPr>
          <w:rFonts w:ascii="Sylfaen" w:hAnsi="Sylfaen"/>
          <w:i/>
          <w:sz w:val="24"/>
          <w:szCs w:val="24"/>
        </w:rPr>
        <w:tab/>
      </w:r>
      <w:r w:rsidR="0058052E" w:rsidRPr="00825EEB">
        <w:rPr>
          <w:rFonts w:ascii="Sylfaen" w:hAnsi="Sylfaen"/>
          <w:i/>
          <w:sz w:val="24"/>
          <w:szCs w:val="24"/>
        </w:rPr>
        <w:t>համեմատման լուծույթը։</w:t>
      </w:r>
      <w:r w:rsidR="0058052E" w:rsidRPr="00825EEB">
        <w:rPr>
          <w:rFonts w:ascii="Sylfaen" w:hAnsi="Sylfaen"/>
          <w:sz w:val="24"/>
          <w:szCs w:val="24"/>
        </w:rPr>
        <w:t xml:space="preserve"> </w:t>
      </w:r>
      <w:r w:rsidR="0058052E" w:rsidRPr="00825EEB">
        <w:rPr>
          <w:rFonts w:ascii="Sylfaen" w:hAnsi="Sylfaen"/>
          <w:i/>
          <w:sz w:val="24"/>
          <w:szCs w:val="24"/>
        </w:rPr>
        <w:t>Պոլիմերային 21-րդ նյութի հավելանյութի ԵԱՏՄԴ ՍՆ</w:t>
      </w:r>
      <w:r w:rsidR="0058052E" w:rsidRPr="00825EEB">
        <w:rPr>
          <w:rFonts w:ascii="Sylfaen" w:hAnsi="Sylfaen"/>
          <w:sz w:val="24"/>
          <w:szCs w:val="24"/>
        </w:rPr>
        <w:t xml:space="preserve"> 40 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նույն լուծիչով լուծույթի ծավալը հասցնում մինչ</w:t>
      </w:r>
      <w:r w:rsidR="0058052E">
        <w:rPr>
          <w:rFonts w:ascii="Sylfaen" w:hAnsi="Sylfaen"/>
          <w:sz w:val="24"/>
          <w:szCs w:val="24"/>
        </w:rPr>
        <w:t>եւ</w:t>
      </w:r>
      <w:r w:rsidR="0058052E" w:rsidRPr="00825EEB">
        <w:rPr>
          <w:rFonts w:ascii="Sylfaen" w:hAnsi="Sylfaen"/>
          <w:sz w:val="24"/>
          <w:szCs w:val="24"/>
        </w:rPr>
        <w:t xml:space="preserve"> 20 մլ:</w:t>
      </w:r>
    </w:p>
    <w:p w14:paraId="24E56E0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10B9CF65"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ՆՇՔ թիթեղը՝ GF</w:t>
      </w:r>
      <w:r w:rsidR="0058052E" w:rsidRPr="00825EEB">
        <w:rPr>
          <w:rFonts w:ascii="Sylfaen" w:hAnsi="Sylfaen"/>
          <w:i/>
          <w:sz w:val="24"/>
          <w:szCs w:val="24"/>
          <w:vertAlign w:val="subscript"/>
        </w:rPr>
        <w:t>254</w:t>
      </w:r>
      <w:r w:rsidR="0058052E" w:rsidRPr="00825EEB">
        <w:rPr>
          <w:rFonts w:ascii="Sylfaen" w:hAnsi="Sylfaen"/>
          <w:i/>
          <w:sz w:val="24"/>
          <w:szCs w:val="24"/>
        </w:rPr>
        <w:t xml:space="preserve"> Ռ սիլիկագելի շերտով (2 հատ):</w:t>
      </w:r>
    </w:p>
    <w:p w14:paraId="4355FD8E" w14:textId="77777777" w:rsidR="0058052E" w:rsidRPr="00825EEB" w:rsidRDefault="0058052E" w:rsidP="00854AA5">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Տարբերակ 1.</w:t>
      </w:r>
    </w:p>
    <w:p w14:paraId="54ECFC56"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շարժուն ֆազը՝ Ռ անջուր էթանոլ – Ռ տրիմեթիլպենտան</w:t>
      </w:r>
      <w:r w:rsidR="0058052E" w:rsidRPr="00825EEB">
        <w:rPr>
          <w:rFonts w:ascii="Sylfaen" w:hAnsi="Sylfaen"/>
          <w:sz w:val="24"/>
          <w:szCs w:val="24"/>
        </w:rPr>
        <w:t xml:space="preserve"> (25:75 </w:t>
      </w:r>
      <w:r w:rsidR="0058052E" w:rsidRPr="00825EEB">
        <w:rPr>
          <w:rFonts w:ascii="Sylfaen" w:hAnsi="Sylfaen"/>
          <w:i/>
          <w:sz w:val="24"/>
          <w:szCs w:val="24"/>
        </w:rPr>
        <w:t>ծավ/ծավ</w:t>
      </w:r>
      <w:r w:rsidR="0058052E" w:rsidRPr="00825EEB">
        <w:rPr>
          <w:rFonts w:ascii="Sylfaen" w:hAnsi="Sylfaen"/>
          <w:sz w:val="24"/>
          <w:szCs w:val="24"/>
        </w:rPr>
        <w:t>).</w:t>
      </w:r>
    </w:p>
    <w:p w14:paraId="22996196"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Տ22 լուծույթի </w:t>
      </w:r>
      <w:r w:rsidR="0058052E">
        <w:rPr>
          <w:rFonts w:ascii="Sylfaen" w:hAnsi="Sylfaen"/>
          <w:sz w:val="24"/>
          <w:szCs w:val="24"/>
        </w:rPr>
        <w:t>եւ</w:t>
      </w:r>
      <w:r w:rsidR="0058052E" w:rsidRPr="00825EEB">
        <w:rPr>
          <w:rFonts w:ascii="Sylfaen" w:hAnsi="Sylfaen"/>
          <w:sz w:val="24"/>
          <w:szCs w:val="24"/>
        </w:rPr>
        <w:t xml:space="preserve"> (ժզ) համեմատության լուծույթի 10-ական մկլ.</w:t>
      </w:r>
    </w:p>
    <w:p w14:paraId="71417202"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առնվազն 10 սմ.</w:t>
      </w:r>
    </w:p>
    <w:p w14:paraId="76BFB19B" w14:textId="77777777" w:rsidR="0058052E" w:rsidRPr="00825EEB" w:rsidRDefault="00854AA5" w:rsidP="00854AA5">
      <w:pPr>
        <w:tabs>
          <w:tab w:val="left" w:pos="1134"/>
        </w:tabs>
        <w:spacing w:after="160" w:line="360" w:lineRule="auto"/>
        <w:ind w:firstLine="567"/>
        <w:jc w:val="both"/>
      </w:pPr>
      <w:r>
        <w:rPr>
          <w:i/>
        </w:rPr>
        <w:t>-</w:t>
      </w:r>
      <w:r w:rsidRPr="00854AA5">
        <w:rPr>
          <w:i/>
        </w:rPr>
        <w:tab/>
      </w:r>
      <w:r w:rsidR="0058052E" w:rsidRPr="00825EEB">
        <w:rPr>
          <w:i/>
        </w:rPr>
        <w:t>չորացումը՝</w:t>
      </w:r>
      <w:r w:rsidR="0058052E" w:rsidRPr="00825EEB">
        <w:t xml:space="preserve"> օդում.</w:t>
      </w:r>
    </w:p>
    <w:p w14:paraId="330D8351"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ցողում են </w:t>
      </w:r>
      <w:r w:rsidR="0058052E" w:rsidRPr="00825EEB">
        <w:rPr>
          <w:rFonts w:ascii="Sylfaen" w:hAnsi="Sylfaen"/>
          <w:i/>
          <w:sz w:val="24"/>
          <w:szCs w:val="24"/>
        </w:rPr>
        <w:t>Ռ անջուր էթանոլի</w:t>
      </w:r>
      <w:r w:rsidR="0058052E" w:rsidRPr="00825EEB">
        <w:rPr>
          <w:rFonts w:ascii="Sylfaen" w:hAnsi="Sylfaen"/>
          <w:sz w:val="24"/>
          <w:szCs w:val="24"/>
        </w:rPr>
        <w:t xml:space="preserve"> մեջ 2 գ/լ </w:t>
      </w:r>
      <w:r w:rsidR="0058052E" w:rsidRPr="00825EEB">
        <w:rPr>
          <w:rFonts w:ascii="Sylfaen" w:hAnsi="Sylfaen"/>
          <w:i/>
          <w:sz w:val="24"/>
          <w:szCs w:val="24"/>
        </w:rPr>
        <w:t>Ռ նատրիումի աղի դիքլորֆենոլինդոֆենոլի</w:t>
      </w:r>
      <w:r w:rsidR="0058052E" w:rsidRPr="00825EEB">
        <w:rPr>
          <w:rFonts w:ascii="Sylfaen" w:hAnsi="Sylfaen"/>
          <w:sz w:val="24"/>
          <w:szCs w:val="24"/>
        </w:rPr>
        <w:t xml:space="preserve"> լուծույթով </w:t>
      </w:r>
      <w:r w:rsidR="0058052E">
        <w:rPr>
          <w:rFonts w:ascii="Sylfaen" w:hAnsi="Sylfaen"/>
          <w:sz w:val="24"/>
          <w:szCs w:val="24"/>
        </w:rPr>
        <w:t>եւ</w:t>
      </w:r>
      <w:r w:rsidR="0058052E" w:rsidRPr="00825EEB">
        <w:rPr>
          <w:rFonts w:ascii="Sylfaen" w:hAnsi="Sylfaen"/>
          <w:sz w:val="24"/>
          <w:szCs w:val="24"/>
        </w:rPr>
        <w:t xml:space="preserve"> մի քանի րոպե տաքացնում 120 °С ջերմաստիճանի տակ՝ բծերի ինտենսիվության ուժեղացման համար:</w:t>
      </w:r>
    </w:p>
    <w:p w14:paraId="2873859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72D85FB8" w14:textId="77777777" w:rsidR="0058052E" w:rsidRPr="00825EEB" w:rsidRDefault="0058052E" w:rsidP="00854AA5">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54AA5" w:rsidRPr="00854AA5">
        <w:rPr>
          <w:rFonts w:ascii="Sylfaen" w:hAnsi="Sylfaen"/>
          <w:sz w:val="24"/>
          <w:szCs w:val="24"/>
        </w:rPr>
        <w:tab/>
      </w:r>
      <w:r w:rsidRPr="00825EEB">
        <w:rPr>
          <w:rFonts w:ascii="Sylfaen" w:hAnsi="Sylfaen"/>
          <w:i/>
          <w:sz w:val="24"/>
          <w:szCs w:val="24"/>
        </w:rPr>
        <w:t>պոլիմերային 19-րդ նյութի հավելանյութին</w:t>
      </w:r>
      <w:r w:rsidRPr="00825EEB">
        <w:rPr>
          <w:rFonts w:ascii="Sylfaen" w:hAnsi="Sylfaen"/>
          <w:sz w:val="24"/>
          <w:szCs w:val="24"/>
        </w:rPr>
        <w:t xml:space="preserve"> համապատասխանող՝ փորձարկվող Տ22 լուծույթի քրոմատագրի բիծը պետք է հայտնաբերվի (ժզ) համեմատության լուծույթի քրոմատագրի բծի մակարդակում (R</w:t>
      </w:r>
      <w:r w:rsidRPr="00825EEB">
        <w:rPr>
          <w:rFonts w:ascii="Sylfaen" w:hAnsi="Sylfaen"/>
          <w:sz w:val="24"/>
          <w:szCs w:val="24"/>
          <w:vertAlign w:val="subscript"/>
        </w:rPr>
        <w:t>F</w:t>
      </w:r>
      <w:r w:rsidRPr="00825EEB">
        <w:rPr>
          <w:rFonts w:ascii="Sylfaen" w:hAnsi="Sylfaen"/>
          <w:sz w:val="24"/>
          <w:szCs w:val="24"/>
        </w:rPr>
        <w:t xml:space="preserve">՝ մոտ 0,5) </w:t>
      </w:r>
      <w:r>
        <w:rPr>
          <w:rFonts w:ascii="Sylfaen" w:hAnsi="Sylfaen"/>
          <w:sz w:val="24"/>
          <w:szCs w:val="24"/>
        </w:rPr>
        <w:t>եւ</w:t>
      </w:r>
      <w:r w:rsidRPr="00825EEB">
        <w:rPr>
          <w:rFonts w:ascii="Sylfaen" w:hAnsi="Sylfaen"/>
          <w:sz w:val="24"/>
          <w:szCs w:val="24"/>
        </w:rPr>
        <w:t xml:space="preserve"> ըստ ինտենսիվության՝ չգերազանցի այն:</w:t>
      </w:r>
    </w:p>
    <w:p w14:paraId="71DD17B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Տարբերակ 2.</w:t>
      </w:r>
    </w:p>
    <w:p w14:paraId="49E2D943"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Ա շարժուն ֆազը՝ Ռ հեքսան.</w:t>
      </w:r>
    </w:p>
    <w:p w14:paraId="1EB5B1D7"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Բ շարժուն ֆազը՝ Ռ մեթանոլ – Ռ մեթիլենքլորիդ</w:t>
      </w:r>
      <w:r w:rsidR="0058052E" w:rsidRPr="00825EEB">
        <w:rPr>
          <w:rFonts w:ascii="Sylfaen" w:hAnsi="Sylfaen"/>
          <w:sz w:val="24"/>
          <w:szCs w:val="24"/>
        </w:rPr>
        <w:t xml:space="preserve"> (5:95 </w:t>
      </w:r>
      <w:r w:rsidR="0058052E" w:rsidRPr="00825EEB">
        <w:rPr>
          <w:rFonts w:ascii="Sylfaen" w:hAnsi="Sylfaen"/>
          <w:i/>
          <w:sz w:val="24"/>
          <w:szCs w:val="24"/>
        </w:rPr>
        <w:t>ծավ/ծավ</w:t>
      </w:r>
      <w:r w:rsidR="0058052E" w:rsidRPr="00825EEB">
        <w:rPr>
          <w:rFonts w:ascii="Sylfaen" w:hAnsi="Sylfaen"/>
          <w:sz w:val="24"/>
          <w:szCs w:val="24"/>
        </w:rPr>
        <w:t>).</w:t>
      </w:r>
    </w:p>
    <w:p w14:paraId="3B74380F" w14:textId="77777777" w:rsidR="0058052E" w:rsidRPr="00825EEB" w:rsidRDefault="00854AA5" w:rsidP="00854AA5">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Տ22 լուծույթի </w:t>
      </w:r>
      <w:r w:rsidR="0058052E">
        <w:rPr>
          <w:rFonts w:ascii="Sylfaen" w:hAnsi="Sylfaen"/>
          <w:sz w:val="24"/>
          <w:szCs w:val="24"/>
        </w:rPr>
        <w:t>եւ</w:t>
      </w:r>
      <w:r w:rsidR="0058052E" w:rsidRPr="00825EEB">
        <w:rPr>
          <w:rFonts w:ascii="Sylfaen" w:hAnsi="Sylfaen"/>
          <w:sz w:val="24"/>
          <w:szCs w:val="24"/>
        </w:rPr>
        <w:t xml:space="preserve"> (ժէ) </w:t>
      </w:r>
      <w:r w:rsidR="0058052E">
        <w:rPr>
          <w:rFonts w:ascii="Sylfaen" w:hAnsi="Sylfaen"/>
          <w:sz w:val="24"/>
          <w:szCs w:val="24"/>
        </w:rPr>
        <w:t>եւ</w:t>
      </w:r>
      <w:r w:rsidR="0058052E" w:rsidRPr="00825EEB">
        <w:rPr>
          <w:rFonts w:ascii="Sylfaen" w:hAnsi="Sylfaen"/>
          <w:sz w:val="24"/>
          <w:szCs w:val="24"/>
        </w:rPr>
        <w:t xml:space="preserve"> (ժը) համեմատության լուծույթների 10-ական մկլ.</w:t>
      </w:r>
    </w:p>
    <w:p w14:paraId="74975EB4" w14:textId="77777777" w:rsidR="0058052E" w:rsidRPr="00825EEB" w:rsidRDefault="00854AA5" w:rsidP="00F24391">
      <w:pPr>
        <w:pStyle w:val="a0"/>
        <w:shd w:val="clear" w:color="auto" w:fill="auto"/>
        <w:tabs>
          <w:tab w:val="left" w:pos="1134"/>
        </w:tabs>
        <w:spacing w:after="160" w:line="350" w:lineRule="auto"/>
        <w:ind w:firstLine="567"/>
        <w:jc w:val="both"/>
        <w:rPr>
          <w:rFonts w:ascii="Sylfaen" w:hAnsi="Sylfaen" w:cs="Sylfaen"/>
          <w:sz w:val="24"/>
          <w:szCs w:val="24"/>
        </w:rPr>
      </w:pPr>
      <w:r>
        <w:rPr>
          <w:rFonts w:ascii="Sylfaen" w:hAnsi="Sylfaen"/>
          <w:i/>
          <w:sz w:val="24"/>
          <w:szCs w:val="24"/>
        </w:rPr>
        <w:lastRenderedPageBreak/>
        <w:t>-</w:t>
      </w:r>
      <w:r w:rsidRPr="00854AA5">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13 սմ-ից ոչ պակաս՝ Ա շարժուն ֆազի օգտագործմամբ. չորացնելուց հետո քրոմատագրում են մեկնարկային գծից 10 սմ-ից ոչ պակաս տարածության վրա՝ Բ շարժուն ֆազի օգտագործմամբ.</w:t>
      </w:r>
    </w:p>
    <w:p w14:paraId="6E1915A0" w14:textId="77777777" w:rsidR="0058052E" w:rsidRPr="00825EEB" w:rsidRDefault="00854AA5" w:rsidP="00F24391">
      <w:pPr>
        <w:pStyle w:val="a0"/>
        <w:shd w:val="clear" w:color="auto" w:fill="auto"/>
        <w:tabs>
          <w:tab w:val="left" w:pos="1134"/>
        </w:tabs>
        <w:spacing w:after="160" w:line="35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535F8D3D" w14:textId="77777777" w:rsidR="0058052E" w:rsidRPr="00825EEB" w:rsidRDefault="00854AA5" w:rsidP="00F24391">
      <w:pPr>
        <w:pStyle w:val="a0"/>
        <w:shd w:val="clear" w:color="auto" w:fill="auto"/>
        <w:tabs>
          <w:tab w:val="left" w:pos="1134"/>
        </w:tabs>
        <w:spacing w:after="160" w:line="350" w:lineRule="auto"/>
        <w:ind w:firstLine="567"/>
        <w:jc w:val="both"/>
        <w:rPr>
          <w:rFonts w:ascii="Sylfaen" w:hAnsi="Sylfaen" w:cs="Sylfaen"/>
          <w:sz w:val="24"/>
          <w:szCs w:val="24"/>
        </w:rPr>
      </w:pPr>
      <w:r>
        <w:rPr>
          <w:rFonts w:ascii="Sylfaen" w:hAnsi="Sylfaen"/>
          <w:i/>
          <w:sz w:val="24"/>
          <w:szCs w:val="24"/>
        </w:rPr>
        <w:t>-</w:t>
      </w:r>
      <w:r w:rsidRPr="00854AA5">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ցողում են 40 գ/լ </w:t>
      </w:r>
      <w:r w:rsidR="0058052E" w:rsidRPr="00825EEB">
        <w:rPr>
          <w:rFonts w:ascii="Sylfaen" w:hAnsi="Sylfaen"/>
          <w:i/>
          <w:sz w:val="24"/>
          <w:szCs w:val="24"/>
        </w:rPr>
        <w:t>Ռ ֆոսֆորամոլիբդենային թթվի</w:t>
      </w:r>
      <w:r w:rsidR="0058052E" w:rsidRPr="00825EEB">
        <w:rPr>
          <w:rFonts w:ascii="Sylfaen" w:hAnsi="Sylfaen"/>
          <w:sz w:val="24"/>
          <w:szCs w:val="24"/>
        </w:rPr>
        <w:t xml:space="preserve"> լուծույթով </w:t>
      </w:r>
      <w:r w:rsidR="0058052E" w:rsidRPr="00825EEB">
        <w:rPr>
          <w:rFonts w:ascii="Sylfaen" w:hAnsi="Sylfaen"/>
          <w:i/>
          <w:sz w:val="24"/>
          <w:szCs w:val="24"/>
        </w:rPr>
        <w:t>Ռ անջուր էթանոլի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տաքացնում 120 °С ջերմաստիճանի տակ՝ մինչ</w:t>
      </w:r>
      <w:r w:rsidR="0058052E">
        <w:rPr>
          <w:rFonts w:ascii="Sylfaen" w:hAnsi="Sylfaen"/>
          <w:sz w:val="24"/>
          <w:szCs w:val="24"/>
        </w:rPr>
        <w:t>եւ</w:t>
      </w:r>
      <w:r w:rsidR="0058052E" w:rsidRPr="00825EEB">
        <w:rPr>
          <w:rFonts w:ascii="Sylfaen" w:hAnsi="Sylfaen"/>
          <w:sz w:val="24"/>
          <w:szCs w:val="24"/>
        </w:rPr>
        <w:t xml:space="preserve"> բծերը հայտնվելը:</w:t>
      </w:r>
    </w:p>
    <w:p w14:paraId="13BA4F94" w14:textId="77777777" w:rsidR="0058052E" w:rsidRPr="00825EEB" w:rsidRDefault="0058052E" w:rsidP="00F24391">
      <w:pPr>
        <w:pStyle w:val="a0"/>
        <w:shd w:val="clear" w:color="auto" w:fill="auto"/>
        <w:spacing w:after="160" w:line="35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6D8BA240" w14:textId="77777777" w:rsidR="0058052E" w:rsidRPr="00825EEB" w:rsidRDefault="00854AA5" w:rsidP="00F24391">
      <w:pPr>
        <w:pStyle w:val="a0"/>
        <w:shd w:val="clear" w:color="auto" w:fill="auto"/>
        <w:tabs>
          <w:tab w:val="left" w:pos="1134"/>
        </w:tabs>
        <w:spacing w:after="160" w:line="350" w:lineRule="auto"/>
        <w:ind w:firstLine="567"/>
        <w:jc w:val="both"/>
        <w:rPr>
          <w:rFonts w:ascii="Sylfaen" w:hAnsi="Sylfaen" w:cs="Sylfaen"/>
          <w:sz w:val="24"/>
          <w:szCs w:val="24"/>
        </w:rPr>
      </w:pPr>
      <w:r>
        <w:rPr>
          <w:rFonts w:ascii="Sylfaen" w:hAnsi="Sylfaen"/>
          <w:sz w:val="24"/>
          <w:szCs w:val="24"/>
        </w:rPr>
        <w:t>-</w:t>
      </w:r>
      <w:r w:rsidRPr="00854AA5">
        <w:rPr>
          <w:rFonts w:ascii="Sylfaen" w:hAnsi="Sylfaen"/>
          <w:sz w:val="24"/>
          <w:szCs w:val="24"/>
        </w:rPr>
        <w:tab/>
      </w:r>
      <w:r w:rsidR="0058052E" w:rsidRPr="00825EEB">
        <w:rPr>
          <w:rFonts w:ascii="Sylfaen" w:hAnsi="Sylfaen"/>
          <w:sz w:val="24"/>
          <w:szCs w:val="24"/>
        </w:rPr>
        <w:t xml:space="preserve">պոլիմերային 20-րդ նյութերի հավելանյութին կամ պոլիմերային 21-րդ նյութերի հավելանյութին համապատասխանող՝ փորձարկվող Տ22 լուծույթի քրոմատագրի վրայի բծերը պետք է հայտնաբերվեն (ժէ) </w:t>
      </w:r>
      <w:r w:rsidR="0058052E">
        <w:rPr>
          <w:rFonts w:ascii="Sylfaen" w:hAnsi="Sylfaen"/>
          <w:sz w:val="24"/>
          <w:szCs w:val="24"/>
        </w:rPr>
        <w:t>եւ</w:t>
      </w:r>
      <w:r w:rsidR="0058052E" w:rsidRPr="00825EEB">
        <w:rPr>
          <w:rFonts w:ascii="Sylfaen" w:hAnsi="Sylfaen"/>
          <w:sz w:val="24"/>
          <w:szCs w:val="24"/>
        </w:rPr>
        <w:t xml:space="preserve"> (ժը) համեմատության լուծույթների քրոմատագրերի համապատասխան բծերի մակարդակում (R</w:t>
      </w:r>
      <w:r w:rsidR="0058052E" w:rsidRPr="00825EEB">
        <w:rPr>
          <w:rFonts w:ascii="Sylfaen" w:hAnsi="Sylfaen"/>
          <w:sz w:val="24"/>
          <w:szCs w:val="24"/>
          <w:vertAlign w:val="subscript"/>
        </w:rPr>
        <w:t>F</w:t>
      </w:r>
      <w:r w:rsidR="0058052E" w:rsidRPr="00825EEB">
        <w:rPr>
          <w:rFonts w:ascii="Sylfaen" w:hAnsi="Sylfaen"/>
          <w:sz w:val="24"/>
          <w:szCs w:val="24"/>
        </w:rPr>
        <w:t xml:space="preserve">՝ մոտ 0,2) </w:t>
      </w:r>
      <w:r w:rsidR="0058052E">
        <w:rPr>
          <w:rFonts w:ascii="Sylfaen" w:hAnsi="Sylfaen"/>
          <w:sz w:val="24"/>
          <w:szCs w:val="24"/>
        </w:rPr>
        <w:t>եւ</w:t>
      </w:r>
      <w:r w:rsidR="0058052E" w:rsidRPr="00825EEB">
        <w:rPr>
          <w:rFonts w:ascii="Sylfaen" w:hAnsi="Sylfaen"/>
          <w:sz w:val="24"/>
          <w:szCs w:val="24"/>
        </w:rPr>
        <w:t xml:space="preserve"> ըստ ինտենսիվության՝ չգերազանցեն դրանք:</w:t>
      </w:r>
    </w:p>
    <w:p w14:paraId="20DC6803" w14:textId="77777777" w:rsidR="0058052E" w:rsidRPr="00825EEB" w:rsidRDefault="0058052E" w:rsidP="00F24391">
      <w:pPr>
        <w:pStyle w:val="a0"/>
        <w:shd w:val="clear" w:color="auto" w:fill="auto"/>
        <w:spacing w:after="160" w:line="350" w:lineRule="auto"/>
        <w:ind w:firstLine="567"/>
        <w:jc w:val="both"/>
        <w:rPr>
          <w:rFonts w:ascii="Sylfaen" w:hAnsi="Sylfaen" w:cs="Sylfaen"/>
          <w:sz w:val="24"/>
          <w:szCs w:val="24"/>
        </w:rPr>
      </w:pPr>
    </w:p>
    <w:p w14:paraId="428F112F" w14:textId="77777777" w:rsidR="0058052E" w:rsidRPr="00A859E3" w:rsidRDefault="0058052E" w:rsidP="00F24391">
      <w:pPr>
        <w:pStyle w:val="a0"/>
        <w:shd w:val="clear" w:color="auto" w:fill="auto"/>
        <w:spacing w:after="160" w:line="350" w:lineRule="auto"/>
        <w:ind w:firstLine="567"/>
        <w:jc w:val="right"/>
        <w:rPr>
          <w:rFonts w:ascii="Sylfaen" w:hAnsi="Sylfaen"/>
          <w:b/>
          <w:szCs w:val="24"/>
        </w:rPr>
      </w:pPr>
      <w:r w:rsidRPr="00854AA5">
        <w:rPr>
          <w:rFonts w:ascii="Sylfaen" w:hAnsi="Sylfaen"/>
          <w:b/>
          <w:szCs w:val="24"/>
        </w:rPr>
        <w:t>204010005-2022</w:t>
      </w:r>
    </w:p>
    <w:p w14:paraId="0593069A" w14:textId="77777777" w:rsidR="00854AA5" w:rsidRPr="00A859E3" w:rsidRDefault="00854AA5" w:rsidP="00F24391">
      <w:pPr>
        <w:pStyle w:val="a0"/>
        <w:shd w:val="clear" w:color="auto" w:fill="auto"/>
        <w:spacing w:after="160" w:line="350" w:lineRule="auto"/>
        <w:ind w:firstLine="567"/>
        <w:jc w:val="right"/>
        <w:rPr>
          <w:rFonts w:ascii="Sylfaen" w:hAnsi="Sylfaen" w:cs="Sylfaen"/>
          <w:szCs w:val="24"/>
        </w:rPr>
      </w:pPr>
    </w:p>
    <w:p w14:paraId="74710334" w14:textId="77777777" w:rsidR="0058052E" w:rsidRPr="00825EEB" w:rsidRDefault="0058052E" w:rsidP="00F24391">
      <w:pPr>
        <w:pStyle w:val="a0"/>
        <w:shd w:val="clear" w:color="auto" w:fill="auto"/>
        <w:tabs>
          <w:tab w:val="left" w:pos="1701"/>
        </w:tabs>
        <w:spacing w:after="160" w:line="350" w:lineRule="auto"/>
        <w:ind w:firstLine="567"/>
        <w:jc w:val="both"/>
        <w:rPr>
          <w:rFonts w:ascii="Sylfaen" w:hAnsi="Sylfaen" w:cs="Sylfaen"/>
          <w:sz w:val="24"/>
          <w:szCs w:val="24"/>
        </w:rPr>
      </w:pPr>
      <w:r w:rsidRPr="00825EEB">
        <w:rPr>
          <w:rFonts w:ascii="Sylfaen" w:hAnsi="Sylfaen"/>
          <w:b/>
          <w:sz w:val="24"/>
          <w:szCs w:val="24"/>
        </w:rPr>
        <w:t>2.4.1.5.</w:t>
      </w:r>
      <w:r w:rsidR="00854AA5" w:rsidRPr="00A859E3">
        <w:rPr>
          <w:rFonts w:ascii="Sylfaen" w:hAnsi="Sylfaen"/>
          <w:b/>
          <w:sz w:val="24"/>
          <w:szCs w:val="24"/>
        </w:rPr>
        <w:tab/>
      </w:r>
      <w:r w:rsidRPr="00825EEB">
        <w:rPr>
          <w:rFonts w:ascii="Sylfaen" w:hAnsi="Sylfaen"/>
          <w:b/>
          <w:sz w:val="24"/>
          <w:szCs w:val="24"/>
        </w:rPr>
        <w:t>Պոլիէթիլենվինիլացետատ</w:t>
      </w:r>
    </w:p>
    <w:p w14:paraId="2E94EA1D" w14:textId="77777777" w:rsidR="0058052E" w:rsidRPr="00825EEB" w:rsidRDefault="0058052E" w:rsidP="00F24391">
      <w:pPr>
        <w:pStyle w:val="a0"/>
        <w:shd w:val="clear" w:color="auto" w:fill="auto"/>
        <w:spacing w:after="160" w:line="350" w:lineRule="auto"/>
        <w:ind w:firstLine="567"/>
        <w:jc w:val="both"/>
        <w:rPr>
          <w:rFonts w:ascii="Sylfaen" w:hAnsi="Sylfaen" w:cs="Sylfaen"/>
          <w:sz w:val="24"/>
          <w:szCs w:val="24"/>
        </w:rPr>
      </w:pPr>
      <w:r w:rsidRPr="00825EEB">
        <w:rPr>
          <w:rFonts w:ascii="Sylfaen" w:hAnsi="Sylfaen"/>
          <w:b/>
          <w:sz w:val="24"/>
          <w:szCs w:val="24"/>
        </w:rPr>
        <w:t>ՈՐՈՇՈՒՄԸ</w:t>
      </w:r>
    </w:p>
    <w:p w14:paraId="21E616B4" w14:textId="77777777" w:rsidR="0058052E" w:rsidRPr="00825EEB" w:rsidRDefault="0058052E" w:rsidP="00F24391">
      <w:pPr>
        <w:pStyle w:val="a0"/>
        <w:shd w:val="clear" w:color="auto" w:fill="auto"/>
        <w:spacing w:after="160" w:line="350" w:lineRule="auto"/>
        <w:ind w:firstLine="567"/>
        <w:jc w:val="both"/>
        <w:rPr>
          <w:rFonts w:ascii="Sylfaen" w:hAnsi="Sylfaen" w:cs="Sylfaen"/>
          <w:sz w:val="24"/>
          <w:szCs w:val="24"/>
        </w:rPr>
      </w:pPr>
      <w:r w:rsidRPr="00825EEB">
        <w:rPr>
          <w:rFonts w:ascii="Sylfaen" w:hAnsi="Sylfaen"/>
          <w:sz w:val="24"/>
          <w:szCs w:val="24"/>
        </w:rPr>
        <w:t xml:space="preserve">Սույն ընդհանուր դեղագրքային հոդվածի պահանջները տարածվում են ընդհանուր պարենտերալ սնուցման դեղապատրաստուկների փաթեթվածքների </w:t>
      </w:r>
      <w:r>
        <w:rPr>
          <w:rFonts w:ascii="Sylfaen" w:hAnsi="Sylfaen"/>
          <w:sz w:val="24"/>
          <w:szCs w:val="24"/>
        </w:rPr>
        <w:t>եւ</w:t>
      </w:r>
      <w:r w:rsidRPr="00825EEB">
        <w:rPr>
          <w:rFonts w:ascii="Sylfaen" w:hAnsi="Sylfaen"/>
          <w:sz w:val="24"/>
          <w:szCs w:val="24"/>
        </w:rPr>
        <w:t xml:space="preserve"> խողովակների համար նախատեսված պոլիէթիլենվինիլացետատի վրա:</w:t>
      </w:r>
    </w:p>
    <w:p w14:paraId="1301CBC3" w14:textId="77777777" w:rsidR="0058052E" w:rsidRPr="00825EEB" w:rsidRDefault="0058052E" w:rsidP="00F24391">
      <w:pPr>
        <w:pStyle w:val="a0"/>
        <w:shd w:val="clear" w:color="auto" w:fill="auto"/>
        <w:spacing w:after="160" w:line="350" w:lineRule="auto"/>
        <w:ind w:firstLine="567"/>
        <w:jc w:val="both"/>
        <w:rPr>
          <w:rFonts w:ascii="Sylfaen" w:hAnsi="Sylfaen" w:cs="Sylfaen"/>
          <w:sz w:val="24"/>
          <w:szCs w:val="24"/>
        </w:rPr>
      </w:pPr>
      <w:r w:rsidRPr="00825EEB">
        <w:rPr>
          <w:rFonts w:ascii="Sylfaen" w:hAnsi="Sylfaen"/>
          <w:sz w:val="24"/>
          <w:szCs w:val="24"/>
        </w:rPr>
        <w:t xml:space="preserve">Պոլիէթիլենվինիլացետատը ստանում են էթիլենի </w:t>
      </w:r>
      <w:r>
        <w:rPr>
          <w:rFonts w:ascii="Sylfaen" w:hAnsi="Sylfaen"/>
          <w:sz w:val="24"/>
          <w:szCs w:val="24"/>
        </w:rPr>
        <w:t>եւ</w:t>
      </w:r>
      <w:r w:rsidRPr="00825EEB">
        <w:rPr>
          <w:rFonts w:ascii="Sylfaen" w:hAnsi="Sylfaen"/>
          <w:sz w:val="24"/>
          <w:szCs w:val="24"/>
        </w:rPr>
        <w:t xml:space="preserve"> վինիլացետատի խառնուրդի համապոլիմերացմամբ: Փաթեթվածքների արտադրության համար նախատեսված պոլիէթիլենվինիլացետատում պետք է պարունակվի 25 %-ից ոչ ավելի վինիլացետատ, իսկ խողովակների արտադրության համար՝ 30 %-ից ոչ ավելի վինիլացետատ:</w:t>
      </w:r>
    </w:p>
    <w:p w14:paraId="46F2BF8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ՏԵԽՆՈԼՈԳԻԱՅԻ ԱՌԱՆՁՆԱՀԱՏԿՈՒԹՅՈՒՆՆԵՐԸ</w:t>
      </w:r>
    </w:p>
    <w:p w14:paraId="69AB312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Պոլիմերի մեջ ներմուծում են որոշակի քանակությամբ հավելանյութեր՝ կախված նախատեսվող նշանակության նպատակից՝ դրա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հատկությունների օպտիմալացման նպատակով: Հավելանյութերն ընտրվում են ստոր</w:t>
      </w:r>
      <w:r>
        <w:rPr>
          <w:rFonts w:ascii="Sylfaen" w:hAnsi="Sylfaen"/>
          <w:sz w:val="24"/>
          <w:szCs w:val="24"/>
        </w:rPr>
        <w:t>եւ</w:t>
      </w:r>
      <w:r w:rsidRPr="00825EEB">
        <w:rPr>
          <w:rFonts w:ascii="Sylfaen" w:hAnsi="Sylfaen"/>
          <w:sz w:val="24"/>
          <w:szCs w:val="24"/>
        </w:rPr>
        <w:t xml:space="preserve"> ներկայացված ցանկից (այլ հիմնավորման </w:t>
      </w:r>
      <w:r>
        <w:rPr>
          <w:rFonts w:ascii="Sylfaen" w:hAnsi="Sylfaen"/>
          <w:sz w:val="24"/>
          <w:szCs w:val="24"/>
        </w:rPr>
        <w:t>եւ</w:t>
      </w:r>
      <w:r w:rsidRPr="00825EEB">
        <w:rPr>
          <w:rFonts w:ascii="Sylfaen" w:hAnsi="Sylfaen"/>
          <w:sz w:val="24"/>
          <w:szCs w:val="24"/>
        </w:rPr>
        <w:t xml:space="preserve"> լիազորված մարմնի թույլտվության բացակայության դեպքում), որում նշված է դրանց առավելագույն թույլատրելի պարունակությունը: Պոլիէթիլենվինիլացետատը կարող է պարունակել հետ</w:t>
      </w:r>
      <w:r>
        <w:rPr>
          <w:rFonts w:ascii="Sylfaen" w:hAnsi="Sylfaen"/>
          <w:sz w:val="24"/>
          <w:szCs w:val="24"/>
        </w:rPr>
        <w:t>եւ</w:t>
      </w:r>
      <w:r w:rsidRPr="00825EEB">
        <w:rPr>
          <w:rFonts w:ascii="Sylfaen" w:hAnsi="Sylfaen"/>
          <w:sz w:val="24"/>
          <w:szCs w:val="24"/>
        </w:rPr>
        <w:t>յալ հակաօքսիդիչներից երեքից ոչ ավելի.</w:t>
      </w:r>
    </w:p>
    <w:p w14:paraId="678A8AF3"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բութիլհիդրօքսիտոլուոլի (պոլիմերային 07 նյութի հավելանյութ)՝ 0,125</w:t>
      </w:r>
      <w:r w:rsidR="00F24391" w:rsidRPr="00F24391">
        <w:rPr>
          <w:rFonts w:ascii="Sylfaen" w:hAnsi="Sylfaen"/>
          <w:sz w:val="24"/>
          <w:szCs w:val="24"/>
        </w:rPr>
        <w:t> </w:t>
      </w:r>
      <w:r w:rsidR="0058052E" w:rsidRPr="00825EEB">
        <w:rPr>
          <w:rFonts w:ascii="Sylfaen" w:hAnsi="Sylfaen"/>
          <w:sz w:val="24"/>
          <w:szCs w:val="24"/>
        </w:rPr>
        <w:t>%-ից ոչ ավելի.</w:t>
      </w:r>
    </w:p>
    <w:p w14:paraId="490172EE" w14:textId="77777777" w:rsidR="0058052E" w:rsidRPr="00825EEB" w:rsidRDefault="0058052E" w:rsidP="00BA63D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BA63D1" w:rsidRPr="00BA63D1">
        <w:rPr>
          <w:rFonts w:ascii="Sylfaen" w:hAnsi="Sylfaen"/>
          <w:sz w:val="24"/>
          <w:szCs w:val="24"/>
        </w:rPr>
        <w:tab/>
      </w:r>
      <w:r w:rsidRPr="00825EEB">
        <w:rPr>
          <w:rFonts w:ascii="Sylfaen" w:hAnsi="Sylfaen"/>
          <w:sz w:val="24"/>
          <w:szCs w:val="24"/>
        </w:rPr>
        <w:t>պենտաէրիթրիտիլտետրակիս[3-(3,5-դի-</w:t>
      </w:r>
      <w:r w:rsidRPr="00825EEB">
        <w:rPr>
          <w:rFonts w:ascii="Sylfaen" w:hAnsi="Sylfaen"/>
          <w:i/>
          <w:sz w:val="24"/>
          <w:szCs w:val="24"/>
        </w:rPr>
        <w:t>տրետ</w:t>
      </w:r>
      <w:r w:rsidRPr="00825EEB">
        <w:rPr>
          <w:rFonts w:ascii="Sylfaen" w:hAnsi="Sylfaen"/>
          <w:sz w:val="24"/>
          <w:szCs w:val="24"/>
        </w:rPr>
        <w:t>-բութիլ-4-հիդրօքսիֆենիլ)պրոպիոնատ] (պոլիմերային 09 նյութի հավելանյութ)՝ 0,2 %-ից ոչ ավելի.</w:t>
      </w:r>
    </w:p>
    <w:p w14:paraId="57A2E874"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օկտադեցիլ-3-(3,5-դի-</w:t>
      </w:r>
      <w:r w:rsidR="0058052E" w:rsidRPr="00825EEB">
        <w:rPr>
          <w:rFonts w:ascii="Sylfaen" w:hAnsi="Sylfaen"/>
          <w:i/>
          <w:sz w:val="24"/>
          <w:szCs w:val="24"/>
        </w:rPr>
        <w:t>տրետ</w:t>
      </w:r>
      <w:r w:rsidR="0058052E" w:rsidRPr="00825EEB">
        <w:rPr>
          <w:rFonts w:ascii="Sylfaen" w:hAnsi="Sylfaen"/>
          <w:sz w:val="24"/>
          <w:szCs w:val="24"/>
        </w:rPr>
        <w:t>-բութիլ-4-հիդրօքսիֆենիլ) պրոպիոնատ] (պոլիմերային 11-րդ նյութի հավելանյութ)՝ 0,2 %-ից ոչ ավելի.</w:t>
      </w:r>
    </w:p>
    <w:p w14:paraId="1FBC9BBC"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տրիս(2,4-դի-</w:t>
      </w:r>
      <w:r w:rsidR="0058052E" w:rsidRPr="00825EEB">
        <w:rPr>
          <w:rFonts w:ascii="Sylfaen" w:hAnsi="Sylfaen"/>
          <w:i/>
          <w:sz w:val="24"/>
          <w:szCs w:val="24"/>
        </w:rPr>
        <w:t>տրետ</w:t>
      </w:r>
      <w:r w:rsidR="0058052E" w:rsidRPr="00825EEB">
        <w:rPr>
          <w:rFonts w:ascii="Sylfaen" w:hAnsi="Sylfaen"/>
          <w:sz w:val="24"/>
          <w:szCs w:val="24"/>
        </w:rPr>
        <w:t>-բութիլֆենիլ)ֆոսֆիտ (պոլիմերային 12-րդ նյութի հավելանյութ)՝ 0,2 %-ից ոչ ավելի.</w:t>
      </w:r>
    </w:p>
    <w:p w14:paraId="21AF3CDC" w14:textId="77777777" w:rsidR="0058052E" w:rsidRPr="00825EEB" w:rsidRDefault="0058052E" w:rsidP="00BA63D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BA63D1" w:rsidRPr="00BA63D1">
        <w:rPr>
          <w:rFonts w:ascii="Sylfaen" w:hAnsi="Sylfaen"/>
          <w:sz w:val="24"/>
          <w:szCs w:val="24"/>
        </w:rPr>
        <w:tab/>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,2</w:t>
      </w:r>
      <w:r w:rsidRPr="00825EEB">
        <w:rPr>
          <w:rFonts w:ascii="Sylfaen" w:hAnsi="Sylfaen"/>
          <w:i/>
          <w:sz w:val="24"/>
          <w:szCs w:val="24"/>
        </w:rPr>
        <w:t>"</w:t>
      </w:r>
      <w:r w:rsidRPr="00825EEB">
        <w:rPr>
          <w:rFonts w:ascii="Sylfaen" w:hAnsi="Sylfaen"/>
          <w:sz w:val="24"/>
          <w:szCs w:val="24"/>
        </w:rPr>
        <w:t>,6,6</w:t>
      </w:r>
      <w:r w:rsidRPr="00825EEB">
        <w:rPr>
          <w:rFonts w:ascii="Sylfaen" w:hAnsi="Sylfaen"/>
          <w:i/>
          <w:sz w:val="24"/>
          <w:szCs w:val="24"/>
        </w:rPr>
        <w:t>'</w:t>
      </w:r>
      <w:r w:rsidRPr="00825EEB">
        <w:rPr>
          <w:rFonts w:ascii="Sylfaen" w:hAnsi="Sylfaen"/>
          <w:sz w:val="24"/>
          <w:szCs w:val="24"/>
        </w:rPr>
        <w:t>,6</w:t>
      </w:r>
      <w:r w:rsidRPr="00825EEB">
        <w:rPr>
          <w:rFonts w:ascii="Sylfaen" w:hAnsi="Sylfaen"/>
          <w:i/>
          <w:sz w:val="24"/>
          <w:szCs w:val="24"/>
        </w:rPr>
        <w:t>"</w:t>
      </w:r>
      <w:r w:rsidRPr="00825EEB">
        <w:rPr>
          <w:rFonts w:ascii="Sylfaen" w:hAnsi="Sylfaen"/>
          <w:sz w:val="24"/>
          <w:szCs w:val="24"/>
        </w:rPr>
        <w:t>հեքսա-</w:t>
      </w:r>
      <w:r w:rsidRPr="00825EEB">
        <w:rPr>
          <w:rFonts w:ascii="Sylfaen" w:hAnsi="Sylfaen"/>
          <w:i/>
          <w:sz w:val="24"/>
          <w:szCs w:val="24"/>
        </w:rPr>
        <w:t>տրետ</w:t>
      </w:r>
      <w:r w:rsidRPr="00825EEB">
        <w:rPr>
          <w:rFonts w:ascii="Sylfaen" w:hAnsi="Sylfaen"/>
          <w:sz w:val="24"/>
          <w:szCs w:val="24"/>
        </w:rPr>
        <w:t>-բութիլ-4,4</w:t>
      </w:r>
      <w:r w:rsidRPr="00825EEB">
        <w:rPr>
          <w:rFonts w:ascii="Sylfaen" w:hAnsi="Sylfaen"/>
          <w:i/>
          <w:sz w:val="24"/>
          <w:szCs w:val="24"/>
        </w:rPr>
        <w:t>'</w:t>
      </w:r>
      <w:r w:rsidRPr="00825EEB">
        <w:rPr>
          <w:rFonts w:ascii="Sylfaen" w:hAnsi="Sylfaen"/>
          <w:sz w:val="24"/>
          <w:szCs w:val="24"/>
        </w:rPr>
        <w:t>,4</w:t>
      </w:r>
      <w:r w:rsidRPr="00825EEB">
        <w:rPr>
          <w:rFonts w:ascii="Sylfaen" w:hAnsi="Sylfaen"/>
          <w:i/>
          <w:sz w:val="24"/>
          <w:szCs w:val="24"/>
        </w:rPr>
        <w:t>"</w:t>
      </w:r>
      <w:r w:rsidRPr="00825EEB">
        <w:rPr>
          <w:rFonts w:ascii="Sylfaen" w:hAnsi="Sylfaen"/>
          <w:sz w:val="24"/>
          <w:szCs w:val="24"/>
        </w:rPr>
        <w:t>-[(2,4,6-տրիմեթիլ-1,3,5-բենզոլտրիիլ)տրիսմեթիլեն]տրիֆենոլ (պոլիմերային 10-րդ նյութի հավելանյութ)՝ 0,2 %-ից ոչ ավելի:</w:t>
      </w:r>
    </w:p>
    <w:p w14:paraId="5ABE9B4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Պոլիէթիլենվինիլացետատը կարող է պարունակել նա</w:t>
      </w:r>
      <w:r>
        <w:rPr>
          <w:rFonts w:ascii="Sylfaen" w:hAnsi="Sylfaen"/>
          <w:sz w:val="24"/>
          <w:szCs w:val="24"/>
        </w:rPr>
        <w:t>եւ</w:t>
      </w:r>
      <w:r w:rsidRPr="00825EEB">
        <w:rPr>
          <w:rFonts w:ascii="Sylfaen" w:hAnsi="Sylfaen"/>
          <w:sz w:val="24"/>
          <w:szCs w:val="24"/>
        </w:rPr>
        <w:t>՝</w:t>
      </w:r>
    </w:p>
    <w:p w14:paraId="5D5837C7"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օլեամիդ (պոլիմերային 20-րդ նյութի հավելանյութ)՝ 0,5 %-ից ոչ ավելի.</w:t>
      </w:r>
    </w:p>
    <w:p w14:paraId="1C60BB97"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էրուկամիդ (պոլիմերային 21-րդ նյութի հավելանյութ)՝ 0,5%-ից ոչ ավելի.</w:t>
      </w:r>
    </w:p>
    <w:p w14:paraId="460951B8"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կալցիումի ստեարատ կամ ցինկի ստեարատ կամ այդ բաղադրիչների խառնուրդը՝ 0,5%-ից ոչ ավելի.</w:t>
      </w:r>
    </w:p>
    <w:p w14:paraId="6E90CCB8"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BA63D1">
        <w:rPr>
          <w:rFonts w:ascii="Sylfaen" w:hAnsi="Sylfaen"/>
          <w:sz w:val="24"/>
          <w:szCs w:val="24"/>
        </w:rPr>
        <w:tab/>
      </w:r>
      <w:r w:rsidR="0058052E" w:rsidRPr="00825EEB">
        <w:rPr>
          <w:rFonts w:ascii="Sylfaen" w:hAnsi="Sylfaen"/>
          <w:sz w:val="24"/>
          <w:szCs w:val="24"/>
        </w:rPr>
        <w:t>կալցիումի կարբոնատ կամ կալիումի հիդրօքսիդ՝ 0,5%-ից ոչ ավելի.</w:t>
      </w:r>
    </w:p>
    <w:p w14:paraId="440A969F" w14:textId="77777777" w:rsidR="0058052E" w:rsidRPr="00825EEB" w:rsidRDefault="00BA63D1" w:rsidP="00BA63D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BA63D1">
        <w:rPr>
          <w:rFonts w:ascii="Sylfaen" w:hAnsi="Sylfaen"/>
          <w:sz w:val="24"/>
          <w:szCs w:val="24"/>
        </w:rPr>
        <w:tab/>
      </w:r>
      <w:r w:rsidR="0058052E" w:rsidRPr="00825EEB">
        <w:rPr>
          <w:rFonts w:ascii="Sylfaen" w:hAnsi="Sylfaen"/>
          <w:sz w:val="24"/>
          <w:szCs w:val="24"/>
        </w:rPr>
        <w:t>կոլոիդային սիլիցիումի դիօքսիդ՝ 0,2 %-ից ոչ ավելի:</w:t>
      </w:r>
    </w:p>
    <w:p w14:paraId="65411B44"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sz w:val="24"/>
          <w:szCs w:val="24"/>
        </w:rPr>
        <w:t xml:space="preserve">Պոլիէթիլենվինիլացետատի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 (</w:t>
      </w:r>
      <w:r w:rsidRPr="00825EEB">
        <w:rPr>
          <w:rFonts w:ascii="Sylfaen" w:hAnsi="Sylfaen"/>
          <w:i/>
          <w:sz w:val="24"/>
          <w:szCs w:val="24"/>
        </w:rPr>
        <w:t>2.4.2.3</w:t>
      </w:r>
      <w:r w:rsidRPr="00825EEB">
        <w:rPr>
          <w:rFonts w:ascii="Sylfaen" w:hAnsi="Sylfaen"/>
          <w:sz w:val="24"/>
          <w:szCs w:val="24"/>
        </w:rPr>
        <w:t>):</w:t>
      </w:r>
    </w:p>
    <w:p w14:paraId="0DBFE0D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15204EA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1375196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Միատարր գնդիկներ, հատիկներ կամ վերամշակումից հետո՝ կիսաթափանցիկ թիթեղներ, կամ տարբեր հաստության խողովակներ, կամ պատրաստի արտադրատեսակների նմուշներ:</w:t>
      </w:r>
    </w:p>
    <w:p w14:paraId="0E5C76F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Լուծելիությունը։</w:t>
      </w:r>
      <w:r w:rsidRPr="00825EEB">
        <w:rPr>
          <w:rFonts w:ascii="Sylfaen" w:hAnsi="Sylfaen"/>
          <w:sz w:val="24"/>
          <w:szCs w:val="24"/>
        </w:rPr>
        <w:t xml:space="preserve"> Լուծելի է տաք արոմատիկ ածխաջրածիններում, գրեթե լուծելի չէ ջրի, անջուր էթանոլի, մեթանոլի </w:t>
      </w:r>
      <w:r>
        <w:rPr>
          <w:rFonts w:ascii="Sylfaen" w:hAnsi="Sylfaen"/>
          <w:sz w:val="24"/>
          <w:szCs w:val="24"/>
        </w:rPr>
        <w:t>եւ</w:t>
      </w:r>
      <w:r w:rsidRPr="00825EEB">
        <w:rPr>
          <w:rFonts w:ascii="Sylfaen" w:hAnsi="Sylfaen"/>
          <w:sz w:val="24"/>
          <w:szCs w:val="24"/>
        </w:rPr>
        <w:t xml:space="preserve"> հեքսանի մեջ, սակայն հեքսանը լուծում է ցածրամոլեկուլյար պոլիմերները։</w:t>
      </w:r>
    </w:p>
    <w:p w14:paraId="0C4D70F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Այրվելիս բոցը գունավորվում է կապույտով:</w:t>
      </w:r>
    </w:p>
    <w:p w14:paraId="11F3C89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պոլիէթիլենվինիլացետատի փափկեցման ջերմաստիճանը փոփոխվում է՝ կախված վինիլացետատի պարունակությունից. այն նվազում է մոտավորապես 100 °C-ից (վինիլացետատի մի քանի տոկոս պարունակելու դեպքում)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70 °C"/>
        </w:smartTagPr>
        <w:r w:rsidRPr="00825EEB">
          <w:rPr>
            <w:rFonts w:ascii="Sylfaen" w:hAnsi="Sylfaen"/>
            <w:sz w:val="24"/>
            <w:szCs w:val="24"/>
          </w:rPr>
          <w:t>70 °C</w:t>
        </w:r>
      </w:smartTag>
      <w:r w:rsidRPr="00825EEB">
        <w:rPr>
          <w:rFonts w:ascii="Sylfaen" w:hAnsi="Sylfaen"/>
          <w:sz w:val="24"/>
          <w:szCs w:val="24"/>
        </w:rPr>
        <w:t xml:space="preserve"> (վինիլացետատի 30 % պարունակելու դեպքում):</w:t>
      </w:r>
    </w:p>
    <w:p w14:paraId="506405C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283F705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24C5EF3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պոլիէթիլենվինիլացետատի նմուշներն անհրաժեշտության դեպքում կտրատում են մասերի, որոնց կողմերի չափը 1 սմ-ից ոչ ավելի է:</w:t>
      </w:r>
    </w:p>
    <w:p w14:paraId="58778FA9" w14:textId="77777777" w:rsidR="0058052E" w:rsidRPr="00D35F34" w:rsidRDefault="0058052E" w:rsidP="0058052E">
      <w:pPr>
        <w:pStyle w:val="a0"/>
        <w:shd w:val="clear" w:color="auto" w:fill="auto"/>
        <w:spacing w:after="160" w:line="360" w:lineRule="auto"/>
        <w:ind w:firstLine="567"/>
        <w:jc w:val="both"/>
        <w:rPr>
          <w:rFonts w:ascii="Sylfaen" w:hAnsi="Sylfaen"/>
          <w:i/>
          <w:sz w:val="24"/>
          <w:szCs w:val="24"/>
        </w:rPr>
      </w:pPr>
      <w:r w:rsidRPr="00825EEB">
        <w:rPr>
          <w:rFonts w:ascii="Sylfaen" w:hAnsi="Sylfaen"/>
          <w:sz w:val="24"/>
          <w:szCs w:val="24"/>
        </w:rPr>
        <w:t xml:space="preserve">Որոշումն անցկացնում են ինֆրակարմիր հատվածում աբսորբման սպեկտրալուսաչափության մեթոդով </w:t>
      </w:r>
      <w:r w:rsidRPr="00825EEB">
        <w:rPr>
          <w:rFonts w:ascii="Sylfaen" w:hAnsi="Sylfaen"/>
          <w:i/>
          <w:sz w:val="24"/>
          <w:szCs w:val="24"/>
        </w:rPr>
        <w:t>(2.1.2.23):</w:t>
      </w:r>
    </w:p>
    <w:p w14:paraId="7DCF2F71"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105BF53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Փորձարկվող նմուշի 0,25 գ-ին ավելացնում են </w:t>
      </w:r>
      <w:r w:rsidRPr="00825EEB">
        <w:rPr>
          <w:rFonts w:ascii="Sylfaen" w:hAnsi="Sylfaen"/>
          <w:i/>
          <w:sz w:val="24"/>
          <w:szCs w:val="24"/>
        </w:rPr>
        <w:t>Ռ տոլուոլի</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15 րոպե եռացնում հակադարձ սառնարանով: Ստացված լուծույթի մի քանի կաթիլ տեղադրում են նատրիումի քլորիդի թիթեղի կամ </w:t>
      </w:r>
      <w:r w:rsidRPr="00825EEB">
        <w:rPr>
          <w:rFonts w:ascii="Sylfaen" w:hAnsi="Sylfaen"/>
          <w:i/>
          <w:sz w:val="24"/>
          <w:szCs w:val="24"/>
        </w:rPr>
        <w:t>Ռ կալիումի բրոմիդի</w:t>
      </w:r>
      <w:r w:rsidRPr="00825EEB">
        <w:rPr>
          <w:rFonts w:ascii="Sylfaen" w:hAnsi="Sylfaen"/>
          <w:sz w:val="24"/>
          <w:szCs w:val="24"/>
        </w:rPr>
        <w:t xml:space="preserve"> սկավառակի վրա </w:t>
      </w:r>
      <w:r>
        <w:rPr>
          <w:rFonts w:ascii="Sylfaen" w:hAnsi="Sylfaen"/>
          <w:sz w:val="24"/>
          <w:szCs w:val="24"/>
        </w:rPr>
        <w:t>եւ</w:t>
      </w:r>
      <w:r w:rsidRPr="00825EEB">
        <w:rPr>
          <w:rFonts w:ascii="Sylfaen" w:hAnsi="Sylfaen"/>
          <w:sz w:val="24"/>
          <w:szCs w:val="24"/>
        </w:rPr>
        <w:t xml:space="preserve"> լուծիչը լիաչոր շոգեհանում չորացման պահարանում </w:t>
      </w:r>
      <w:smartTag w:uri="urn:schemas-microsoft-com:office:smarttags" w:element="metricconverter">
        <w:smartTagPr>
          <w:attr w:name="ProductID" w:val="80 °C"/>
        </w:smartTagPr>
        <w:r w:rsidRPr="00825EEB">
          <w:rPr>
            <w:rFonts w:ascii="Sylfaen" w:hAnsi="Sylfaen"/>
            <w:sz w:val="24"/>
            <w:szCs w:val="24"/>
          </w:rPr>
          <w:t>80 °C</w:t>
        </w:r>
      </w:smartTag>
      <w:r w:rsidRPr="00825EEB">
        <w:rPr>
          <w:rFonts w:ascii="Sylfaen" w:hAnsi="Sylfaen"/>
          <w:sz w:val="24"/>
          <w:szCs w:val="24"/>
        </w:rPr>
        <w:t xml:space="preserve"> ջերմաստիճանի տակ:</w:t>
      </w:r>
    </w:p>
    <w:p w14:paraId="32DB1FD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Սպեկտրը նա</w:t>
      </w:r>
      <w:r>
        <w:rPr>
          <w:rFonts w:ascii="Sylfaen" w:hAnsi="Sylfaen"/>
          <w:sz w:val="24"/>
          <w:szCs w:val="24"/>
        </w:rPr>
        <w:t>եւ</w:t>
      </w:r>
      <w:r w:rsidRPr="00825EEB">
        <w:rPr>
          <w:rFonts w:ascii="Sylfaen" w:hAnsi="Sylfaen"/>
          <w:sz w:val="24"/>
          <w:szCs w:val="24"/>
        </w:rPr>
        <w:t xml:space="preserve"> կարող է ուղղակիորեն գրանցվել թիթեղների, հատիկների կամ տաք սեղմման թաղանթների համապատասխան չափով կտրված հատվածի վրա՝ խախտված ընդհանուր ներքին արտացոլման (ԽԸՆԱ) օգտագործմամբ:</w:t>
      </w:r>
    </w:p>
    <w:p w14:paraId="1B6235C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2920 սմ</w:t>
      </w:r>
      <w:r w:rsidRPr="00825EEB">
        <w:rPr>
          <w:rFonts w:ascii="Sylfaen" w:hAnsi="Sylfaen"/>
          <w:sz w:val="24"/>
          <w:szCs w:val="24"/>
          <w:vertAlign w:val="superscript"/>
        </w:rPr>
        <w:t xml:space="preserve">-1, </w:t>
      </w:r>
      <w:r w:rsidRPr="00825EEB">
        <w:rPr>
          <w:rFonts w:ascii="Sylfaen" w:hAnsi="Sylfaen"/>
          <w:sz w:val="24"/>
          <w:szCs w:val="24"/>
        </w:rPr>
        <w:t>2850 սմ</w:t>
      </w:r>
      <w:r w:rsidRPr="00825EEB">
        <w:rPr>
          <w:rFonts w:ascii="Sylfaen" w:hAnsi="Sylfaen"/>
          <w:sz w:val="24"/>
          <w:szCs w:val="24"/>
          <w:vertAlign w:val="superscript"/>
        </w:rPr>
        <w:t>-1</w:t>
      </w:r>
      <w:r w:rsidRPr="00825EEB">
        <w:rPr>
          <w:rFonts w:ascii="Sylfaen" w:hAnsi="Sylfaen"/>
          <w:sz w:val="24"/>
          <w:szCs w:val="24"/>
        </w:rPr>
        <w:t>, 1740 սմ</w:t>
      </w:r>
      <w:r w:rsidRPr="00825EEB">
        <w:rPr>
          <w:rFonts w:ascii="Sylfaen" w:hAnsi="Sylfaen"/>
          <w:sz w:val="24"/>
          <w:szCs w:val="24"/>
          <w:vertAlign w:val="superscript"/>
        </w:rPr>
        <w:t>-1</w:t>
      </w:r>
      <w:r w:rsidRPr="00825EEB">
        <w:rPr>
          <w:rFonts w:ascii="Sylfaen" w:hAnsi="Sylfaen"/>
          <w:sz w:val="24"/>
          <w:szCs w:val="24"/>
        </w:rPr>
        <w:t>, 1240 սմ</w:t>
      </w:r>
      <w:r w:rsidRPr="00825EEB">
        <w:rPr>
          <w:rFonts w:ascii="Sylfaen" w:hAnsi="Sylfaen"/>
          <w:sz w:val="24"/>
          <w:szCs w:val="24"/>
          <w:vertAlign w:val="superscript"/>
        </w:rPr>
        <w:t>-1</w:t>
      </w:r>
      <w:r w:rsidRPr="00825EEB">
        <w:rPr>
          <w:rFonts w:ascii="Sylfaen" w:hAnsi="Sylfaen"/>
          <w:sz w:val="24"/>
          <w:szCs w:val="24"/>
        </w:rPr>
        <w:t>, 1020 սմ</w:t>
      </w:r>
      <w:r w:rsidRPr="00825EEB">
        <w:rPr>
          <w:rFonts w:ascii="Sylfaen" w:hAnsi="Sylfaen"/>
          <w:sz w:val="24"/>
          <w:szCs w:val="24"/>
          <w:vertAlign w:val="superscript"/>
        </w:rPr>
        <w:t>-1</w:t>
      </w:r>
      <w:r w:rsidRPr="00825EEB">
        <w:rPr>
          <w:rFonts w:ascii="Sylfaen" w:hAnsi="Sylfaen"/>
          <w:sz w:val="24"/>
          <w:szCs w:val="24"/>
        </w:rPr>
        <w:t>, 720 սմ</w:t>
      </w:r>
      <w:r w:rsidRPr="00825EEB">
        <w:rPr>
          <w:rFonts w:ascii="Sylfaen" w:hAnsi="Sylfaen"/>
          <w:sz w:val="24"/>
          <w:szCs w:val="24"/>
          <w:vertAlign w:val="superscript"/>
        </w:rPr>
        <w:t>-1</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610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21B6F57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Ստացված սպեկտրը պետք է համապատասխանի տիպային նմուշի նյութի սպեկտրին:</w:t>
      </w:r>
    </w:p>
    <w:p w14:paraId="02F43AC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6E7F24D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1EB4B8A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պոլիէթիլենվինիլացետատի նմուշներն անհրաժեշտության դեպքում կտրատում են մասերի, որոնց կողմերի չափը 1 սմ-ից ոչ ավելի է:</w:t>
      </w:r>
    </w:p>
    <w:p w14:paraId="161BBA5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sz w:val="24"/>
          <w:szCs w:val="24"/>
        </w:rPr>
        <w:t>Փորձարկվող նմուշի 2,0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 xml:space="preserve">Ռ տոլուոլի </w:t>
      </w:r>
      <w:r w:rsidRPr="00825EEB">
        <w:rPr>
          <w:rFonts w:ascii="Sylfaen" w:hAnsi="Sylfaen"/>
          <w:sz w:val="24"/>
          <w:szCs w:val="24"/>
        </w:rPr>
        <w:t xml:space="preserve">80 մլ </w:t>
      </w:r>
      <w:r>
        <w:rPr>
          <w:rFonts w:ascii="Sylfaen" w:hAnsi="Sylfaen"/>
          <w:sz w:val="24"/>
          <w:szCs w:val="24"/>
        </w:rPr>
        <w:t>եւ</w:t>
      </w:r>
      <w:r w:rsidRPr="00825EEB">
        <w:rPr>
          <w:rFonts w:ascii="Sylfaen" w:hAnsi="Sylfaen"/>
          <w:sz w:val="24"/>
          <w:szCs w:val="24"/>
        </w:rPr>
        <w:t xml:space="preserve"> 90 րոպե տաքացնում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60 °C"/>
        </w:smartTagPr>
        <w:r w:rsidRPr="00825EEB">
          <w:rPr>
            <w:rFonts w:ascii="Sylfaen" w:hAnsi="Sylfaen"/>
            <w:sz w:val="24"/>
            <w:szCs w:val="24"/>
          </w:rPr>
          <w:t>60 °C</w:t>
        </w:r>
      </w:smartTag>
      <w:r w:rsidRPr="00825EEB">
        <w:rPr>
          <w:rFonts w:ascii="Sylfaen" w:hAnsi="Sylfaen"/>
          <w:sz w:val="24"/>
          <w:szCs w:val="24"/>
        </w:rPr>
        <w:t xml:space="preserve"> ջերմաստիճանը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 մեթանոլի</w:t>
      </w:r>
      <w:r w:rsidRPr="00825EEB">
        <w:rPr>
          <w:rFonts w:ascii="Sylfaen" w:hAnsi="Sylfaen"/>
          <w:sz w:val="24"/>
          <w:szCs w:val="24"/>
        </w:rPr>
        <w:t xml:space="preserve"> 120 մլ՝ անդադար խառնելով: Լուծույթը զտում են ապակյա զտիչով (16) (</w:t>
      </w:r>
      <w:r w:rsidRPr="00825EEB">
        <w:rPr>
          <w:rFonts w:ascii="Sylfaen" w:hAnsi="Sylfaen"/>
          <w:i/>
          <w:sz w:val="24"/>
          <w:szCs w:val="24"/>
        </w:rPr>
        <w:t>2.1.1.2</w:t>
      </w:r>
      <w:r w:rsidRPr="00825EEB">
        <w:rPr>
          <w:rFonts w:ascii="Sylfaen" w:hAnsi="Sylfaen"/>
          <w:sz w:val="24"/>
          <w:szCs w:val="24"/>
        </w:rPr>
        <w:t xml:space="preserve">)։ Փորձանոթն ու զտիչը լվանում են </w:t>
      </w:r>
      <w:r w:rsidRPr="00825EEB">
        <w:rPr>
          <w:rFonts w:ascii="Sylfaen" w:hAnsi="Sylfaen"/>
          <w:i/>
          <w:sz w:val="24"/>
          <w:szCs w:val="24"/>
        </w:rPr>
        <w:t>Ռ տոլուոլի – Ռ մեթանոլի</w:t>
      </w:r>
      <w:r w:rsidRPr="00825EEB">
        <w:rPr>
          <w:rFonts w:ascii="Sylfaen" w:hAnsi="Sylfaen"/>
          <w:sz w:val="24"/>
          <w:szCs w:val="24"/>
        </w:rPr>
        <w:t xml:space="preserve"> խառնուրդի 25 մլ-ով (40:60 </w:t>
      </w:r>
      <w:r w:rsidRPr="00825EEB">
        <w:rPr>
          <w:rFonts w:ascii="Sylfaen" w:hAnsi="Sylfaen"/>
          <w:i/>
          <w:sz w:val="24"/>
          <w:szCs w:val="24"/>
        </w:rPr>
        <w:t>ծավ/ծավ</w:t>
      </w:r>
      <w:r w:rsidRPr="00825EEB">
        <w:rPr>
          <w:rFonts w:ascii="Sylfaen" w:hAnsi="Sylfaen"/>
          <w:sz w:val="24"/>
          <w:szCs w:val="24"/>
        </w:rPr>
        <w:t xml:space="preserve">), դրանք ավելացնում են զտվածքին </w:t>
      </w:r>
      <w:r>
        <w:rPr>
          <w:rFonts w:ascii="Sylfaen" w:hAnsi="Sylfaen"/>
          <w:sz w:val="24"/>
          <w:szCs w:val="24"/>
        </w:rPr>
        <w:t>եւ</w:t>
      </w:r>
      <w:r w:rsidRPr="00825EEB">
        <w:rPr>
          <w:rFonts w:ascii="Sylfaen" w:hAnsi="Sylfaen"/>
          <w:sz w:val="24"/>
          <w:szCs w:val="24"/>
        </w:rPr>
        <w:t xml:space="preserve"> լուծիչների նույն խառնուրդով հասցնում են մինչեւ 250 մլ ծավալը:</w:t>
      </w:r>
    </w:p>
    <w:p w14:paraId="40C8DB92"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 xml:space="preserve">Փորձարկվող նմուշի 25 գ տեղադրում են կիպահղկած կափարիչով բորասիլիկատային ապակուց փորձանոթի մեջ: Ավելացնում են 500 մլ </w:t>
      </w:r>
      <w:r w:rsidRPr="00825EEB">
        <w:rPr>
          <w:rFonts w:ascii="Sylfaen" w:hAnsi="Sylfaen"/>
          <w:i/>
          <w:sz w:val="24"/>
          <w:szCs w:val="24"/>
        </w:rPr>
        <w:lastRenderedPageBreak/>
        <w:t>Ռ ջուր</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5 ժամ եռացնում հակադարձ սառնարանով: Լուծույթը հովացնում </w:t>
      </w:r>
      <w:r>
        <w:rPr>
          <w:rFonts w:ascii="Sylfaen" w:hAnsi="Sylfaen"/>
          <w:sz w:val="24"/>
          <w:szCs w:val="24"/>
        </w:rPr>
        <w:t>եւ</w:t>
      </w:r>
      <w:r w:rsidRPr="00825EEB">
        <w:rPr>
          <w:rFonts w:ascii="Sylfaen" w:hAnsi="Sylfaen"/>
          <w:sz w:val="24"/>
          <w:szCs w:val="24"/>
        </w:rPr>
        <w:t xml:space="preserve"> պարզվածքազատում են: Լուծույթի մի մասը պահում են՝ թափանցիկության </w:t>
      </w:r>
      <w:r>
        <w:rPr>
          <w:rFonts w:ascii="Sylfaen" w:hAnsi="Sylfaen"/>
          <w:sz w:val="24"/>
          <w:szCs w:val="24"/>
        </w:rPr>
        <w:t>եւ</w:t>
      </w:r>
      <w:r w:rsidRPr="00825EEB">
        <w:rPr>
          <w:rFonts w:ascii="Sylfaen" w:hAnsi="Sylfaen"/>
          <w:sz w:val="24"/>
          <w:szCs w:val="24"/>
        </w:rPr>
        <w:t xml:space="preserve"> գունայնության փորձարկում անցկացնելու համար: Լուծույթի մնացորդը զտում են ապակյա զտիչով (16) (</w:t>
      </w:r>
      <w:r w:rsidRPr="00825EEB">
        <w:rPr>
          <w:rFonts w:ascii="Sylfaen" w:hAnsi="Sylfaen"/>
          <w:i/>
          <w:sz w:val="24"/>
          <w:szCs w:val="24"/>
        </w:rPr>
        <w:t>2.1.1.2</w:t>
      </w:r>
      <w:r w:rsidRPr="00825EEB">
        <w:rPr>
          <w:rFonts w:ascii="Sylfaen" w:hAnsi="Sylfaen"/>
          <w:sz w:val="24"/>
          <w:szCs w:val="24"/>
        </w:rPr>
        <w:t>)։ Տ2 լուծույթը կարող է օգտագործվել պատրաստելուց հետո 4 ժամվա ընթացքում:</w:t>
      </w:r>
    </w:p>
    <w:p w14:paraId="749C57D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Տ2 լուծույթը պետք է թափանցիկ լինի:</w:t>
      </w:r>
    </w:p>
    <w:p w14:paraId="2CE1B65B"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Տ2 լուծույթը պետք է լինի անգույն:</w:t>
      </w:r>
    </w:p>
    <w:p w14:paraId="6A1D9B32"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Թթվայնությունը </w:t>
      </w:r>
      <w:r>
        <w:rPr>
          <w:rFonts w:ascii="Sylfaen" w:hAnsi="Sylfaen"/>
          <w:b/>
          <w:sz w:val="24"/>
          <w:szCs w:val="24"/>
        </w:rPr>
        <w:t>եւ</w:t>
      </w:r>
      <w:r w:rsidRPr="00825EEB">
        <w:rPr>
          <w:rFonts w:ascii="Sylfaen" w:hAnsi="Sylfaen"/>
          <w:b/>
          <w:sz w:val="24"/>
          <w:szCs w:val="24"/>
        </w:rPr>
        <w:t xml:space="preserve"> ալկալիականությունը։ </w:t>
      </w:r>
      <w:r w:rsidRPr="00825EEB">
        <w:rPr>
          <w:rFonts w:ascii="Sylfaen" w:hAnsi="Sylfaen"/>
          <w:sz w:val="24"/>
          <w:szCs w:val="24"/>
        </w:rPr>
        <w:t>Տ2 լուծույթի 100 մլ-ին ավելացնում</w:t>
      </w:r>
      <w:r w:rsidR="00BA63D1" w:rsidRPr="00BA63D1">
        <w:rPr>
          <w:rFonts w:ascii="Sylfaen" w:hAnsi="Sylfaen"/>
          <w:sz w:val="24"/>
          <w:szCs w:val="24"/>
        </w:rPr>
        <w:t> </w:t>
      </w:r>
      <w:r w:rsidRPr="00825EEB">
        <w:rPr>
          <w:rFonts w:ascii="Sylfaen" w:hAnsi="Sylfaen"/>
          <w:sz w:val="24"/>
          <w:szCs w:val="24"/>
        </w:rPr>
        <w:t xml:space="preserve">են </w:t>
      </w:r>
      <w:r w:rsidRPr="00825EEB">
        <w:rPr>
          <w:rFonts w:ascii="Sylfaen" w:hAnsi="Sylfaen"/>
          <w:i/>
          <w:sz w:val="24"/>
          <w:szCs w:val="24"/>
        </w:rPr>
        <w:t xml:space="preserve">Ռ ցուցիչի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ցուցիչի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0,01 Մ նատրիումի հիդրօքսիդի լուծույթի</w:t>
      </w:r>
      <w:r w:rsidRPr="00825EEB">
        <w:rPr>
          <w:rFonts w:ascii="Sylfaen" w:hAnsi="Sylfaen"/>
          <w:sz w:val="24"/>
          <w:szCs w:val="24"/>
        </w:rPr>
        <w:t xml:space="preserve"> ոչ ավելի, քան 1,0 մլ ավելացնելիս:</w:t>
      </w:r>
      <w:r w:rsidRPr="00825EEB">
        <w:rPr>
          <w:rFonts w:ascii="Sylfaen" w:hAnsi="Sylfaen"/>
          <w:i/>
          <w:sz w:val="24"/>
          <w:szCs w:val="24"/>
        </w:rPr>
        <w:t xml:space="preserve"> </w:t>
      </w:r>
      <w:r w:rsidRPr="00825EEB">
        <w:rPr>
          <w:rFonts w:ascii="Sylfaen" w:hAnsi="Sylfaen"/>
          <w:sz w:val="24"/>
          <w:szCs w:val="24"/>
        </w:rPr>
        <w:t xml:space="preserve">Տ2 լուծույթի 100 մլ-ին ավելացնում են </w:t>
      </w:r>
      <w:r w:rsidRPr="00825EEB">
        <w:rPr>
          <w:rFonts w:ascii="Sylfaen" w:hAnsi="Sylfaen"/>
          <w:i/>
          <w:sz w:val="24"/>
          <w:szCs w:val="24"/>
        </w:rPr>
        <w:t>Ռ մեթիլ նարնջագույնի լուծույթի</w:t>
      </w:r>
      <w:r w:rsidRPr="00825EEB">
        <w:rPr>
          <w:rFonts w:ascii="Sylfaen" w:hAnsi="Sylfaen"/>
          <w:sz w:val="24"/>
          <w:szCs w:val="24"/>
        </w:rPr>
        <w:t xml:space="preserve"> 0,2 մլ, </w:t>
      </w:r>
      <w:r w:rsidRPr="00825EEB">
        <w:rPr>
          <w:rFonts w:ascii="Sylfaen" w:hAnsi="Sylfaen"/>
          <w:i/>
          <w:sz w:val="24"/>
          <w:szCs w:val="24"/>
        </w:rPr>
        <w:t>0,01 Մ քլորաջրածնային թթվի</w:t>
      </w:r>
      <w:r w:rsidRPr="00825EEB">
        <w:rPr>
          <w:rFonts w:ascii="Sylfaen" w:hAnsi="Sylfaen"/>
          <w:sz w:val="24"/>
          <w:szCs w:val="24"/>
        </w:rPr>
        <w:t xml:space="preserve"> 1,0 մլ-ից ոչ ավելին պետք է ծախսվի մինչ</w:t>
      </w:r>
      <w:r>
        <w:rPr>
          <w:rFonts w:ascii="Sylfaen" w:hAnsi="Sylfaen"/>
          <w:sz w:val="24"/>
          <w:szCs w:val="24"/>
        </w:rPr>
        <w:t>եւ</w:t>
      </w:r>
      <w:r w:rsidRPr="00825EEB">
        <w:rPr>
          <w:rFonts w:ascii="Sylfaen" w:hAnsi="Sylfaen"/>
          <w:sz w:val="24"/>
          <w:szCs w:val="24"/>
        </w:rPr>
        <w:t xml:space="preserve"> լուծույթի գունավորումը դեղինից նարնջագույն անցնելու պահը:</w:t>
      </w:r>
    </w:p>
    <w:p w14:paraId="0CD7BAB6"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Տ2 լուծույթի օպտիկական խտությունը 220 նմ-ից մինչ</w:t>
      </w:r>
      <w:r>
        <w:rPr>
          <w:rFonts w:ascii="Sylfaen" w:hAnsi="Sylfaen"/>
          <w:sz w:val="24"/>
          <w:szCs w:val="24"/>
        </w:rPr>
        <w:t>եւ</w:t>
      </w:r>
      <w:r w:rsidRPr="00825EEB">
        <w:rPr>
          <w:rFonts w:ascii="Sylfaen" w:hAnsi="Sylfaen"/>
          <w:sz w:val="24"/>
          <w:szCs w:val="24"/>
        </w:rPr>
        <w:t xml:space="preserve"> 340 նմ հատվածում չպետք է գերազանցի 0,2-ը:</w:t>
      </w:r>
    </w:p>
    <w:p w14:paraId="4B22A106"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Վերականգնող նյութերը։ </w:t>
      </w:r>
      <w:r w:rsidRPr="00825EEB">
        <w:rPr>
          <w:rFonts w:ascii="Sylfaen" w:hAnsi="Sylfaen"/>
          <w:sz w:val="24"/>
          <w:szCs w:val="24"/>
        </w:rPr>
        <w:t xml:space="preserve">Տ2 լուծույթի 20,0 մլ-ին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0,002 Մ կալիումի պերմանգանատի լուծույթի</w:t>
      </w:r>
      <w:r w:rsidRPr="00825EEB">
        <w:rPr>
          <w:rFonts w:ascii="Sylfaen" w:hAnsi="Sylfaen"/>
          <w:sz w:val="24"/>
          <w:szCs w:val="24"/>
        </w:rPr>
        <w:t xml:space="preserve"> 20,0 մլ: 3 րոպե եռացնում են հակադարձ սառնարանով </w:t>
      </w:r>
      <w:r>
        <w:rPr>
          <w:rFonts w:ascii="Sylfaen" w:hAnsi="Sylfaen"/>
          <w:sz w:val="24"/>
          <w:szCs w:val="24"/>
        </w:rPr>
        <w:t>եւ</w:t>
      </w:r>
      <w:r w:rsidRPr="00825EEB">
        <w:rPr>
          <w:rFonts w:ascii="Sylfaen" w:hAnsi="Sylfaen"/>
          <w:sz w:val="24"/>
          <w:szCs w:val="24"/>
        </w:rPr>
        <w:t xml:space="preserve"> իսկույն հովացնում: Ավելացնում են </w:t>
      </w:r>
      <w:r w:rsidRPr="00825EEB">
        <w:rPr>
          <w:rFonts w:ascii="Sylfaen" w:hAnsi="Sylfaen"/>
          <w:i/>
          <w:sz w:val="24"/>
          <w:szCs w:val="24"/>
        </w:rPr>
        <w:t>Ռ կալիումի յոդիդի</w:t>
      </w:r>
      <w:r w:rsidRPr="00825EEB">
        <w:rPr>
          <w:rFonts w:ascii="Sylfaen" w:hAnsi="Sylfaen"/>
          <w:sz w:val="24"/>
          <w:szCs w:val="24"/>
        </w:rPr>
        <w:t xml:space="preserve"> 1 գ </w:t>
      </w:r>
      <w:r>
        <w:rPr>
          <w:rFonts w:ascii="Sylfaen" w:hAnsi="Sylfaen"/>
          <w:sz w:val="24"/>
          <w:szCs w:val="24"/>
        </w:rPr>
        <w:t>եւ</w:t>
      </w:r>
      <w:r w:rsidRPr="00825EEB">
        <w:rPr>
          <w:rFonts w:ascii="Sylfaen" w:hAnsi="Sylfaen"/>
          <w:sz w:val="24"/>
          <w:szCs w:val="24"/>
        </w:rPr>
        <w:t xml:space="preserve"> անմիջապես տիտրում </w:t>
      </w:r>
      <w:r w:rsidRPr="00825EEB">
        <w:rPr>
          <w:rFonts w:ascii="Sylfaen" w:hAnsi="Sylfaen"/>
          <w:i/>
          <w:sz w:val="24"/>
          <w:szCs w:val="24"/>
        </w:rPr>
        <w:t>0,01 Մ նատրիումի 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անցկացնում են ստուգիչ փորձարկումը։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0,5 մլ-ը:</w:t>
      </w:r>
    </w:p>
    <w:p w14:paraId="0A8832E8" w14:textId="77777777" w:rsidR="0058052E" w:rsidRPr="00825EEB" w:rsidRDefault="0058052E" w:rsidP="00F24391">
      <w:pPr>
        <w:spacing w:after="160" w:line="346" w:lineRule="auto"/>
        <w:ind w:firstLine="567"/>
        <w:jc w:val="both"/>
      </w:pPr>
      <w:r w:rsidRPr="00825EEB">
        <w:rPr>
          <w:b/>
        </w:rPr>
        <w:t xml:space="preserve">Ամիդներ </w:t>
      </w:r>
      <w:r>
        <w:rPr>
          <w:b/>
        </w:rPr>
        <w:t>եւ</w:t>
      </w:r>
      <w:r w:rsidRPr="00825EEB">
        <w:rPr>
          <w:b/>
        </w:rPr>
        <w:t xml:space="preserve"> ստեարատներ։ </w:t>
      </w:r>
      <w:r w:rsidRPr="00825EEB">
        <w:t>Փորձարկումն անցկացնում են նրբաշերտ քրոմատագրման մեթոդով (</w:t>
      </w:r>
      <w:r w:rsidRPr="00825EEB">
        <w:rPr>
          <w:i/>
        </w:rPr>
        <w:t>2.1.2.26</w:t>
      </w:r>
      <w:r w:rsidRPr="00825EEB">
        <w:t>)։</w:t>
      </w:r>
    </w:p>
    <w:p w14:paraId="2615ABF3"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Տ1 լուծույթի 100 </w:t>
      </w:r>
      <w:smartTag w:uri="urn:schemas-microsoft-com:office:smarttags" w:element="metricconverter">
        <w:smartTagPr>
          <w:attr w:name="ProductID" w:val="45 °C"/>
        </w:smartTagPr>
        <w:r w:rsidRPr="00825EEB">
          <w:rPr>
            <w:rFonts w:ascii="Sylfaen" w:hAnsi="Sylfaen"/>
            <w:sz w:val="24"/>
            <w:szCs w:val="24"/>
          </w:rPr>
          <w:t>մլ-ը 45 °C</w:t>
        </w:r>
      </w:smartTag>
      <w:r w:rsidRPr="00825EEB">
        <w:rPr>
          <w:rFonts w:ascii="Sylfaen" w:hAnsi="Sylfaen"/>
          <w:sz w:val="24"/>
          <w:szCs w:val="24"/>
        </w:rPr>
        <w:t xml:space="preserve"> ջերմաստիճանի տակ լիաչոր շոգեհանում են </w:t>
      </w:r>
      <w:r w:rsidRPr="00825EEB">
        <w:rPr>
          <w:rFonts w:ascii="Sylfaen" w:hAnsi="Sylfaen"/>
          <w:i/>
          <w:sz w:val="24"/>
          <w:szCs w:val="24"/>
        </w:rPr>
        <w:t>վակուումի մեջ</w:t>
      </w:r>
      <w:r w:rsidRPr="00825EEB">
        <w:rPr>
          <w:rFonts w:ascii="Sylfaen" w:hAnsi="Sylfaen"/>
          <w:sz w:val="24"/>
          <w:szCs w:val="24"/>
        </w:rPr>
        <w:t xml:space="preserve">: Չոր մնացորդը լուծում են </w:t>
      </w:r>
      <w:r w:rsidRPr="00825EEB">
        <w:rPr>
          <w:rFonts w:ascii="Sylfaen" w:hAnsi="Sylfaen"/>
          <w:i/>
          <w:sz w:val="24"/>
          <w:szCs w:val="24"/>
        </w:rPr>
        <w:t>Ռ թթվեցրած մեթիլենքլորիդի</w:t>
      </w:r>
      <w:r w:rsidRPr="00825EEB">
        <w:rPr>
          <w:rFonts w:ascii="Sylfaen" w:hAnsi="Sylfaen"/>
          <w:sz w:val="24"/>
          <w:szCs w:val="24"/>
        </w:rPr>
        <w:t xml:space="preserve"> 2 մլ-ի մեջ:</w:t>
      </w:r>
    </w:p>
    <w:p w14:paraId="28724F90" w14:textId="77777777" w:rsidR="0058052E" w:rsidRPr="00825EEB" w:rsidRDefault="0058052E" w:rsidP="00BA63D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(Ա)</w:t>
      </w:r>
      <w:r w:rsidR="00BA63D1"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Ստեարինաթթվի (պոլիմերային 19-րդ նյութի հավելանյութի) ԵԱՏՄԴ ՍՆ</w:t>
      </w:r>
      <w:r w:rsidRPr="00825EEB">
        <w:rPr>
          <w:rFonts w:ascii="Sylfaen" w:hAnsi="Sylfaen"/>
          <w:sz w:val="24"/>
          <w:szCs w:val="24"/>
        </w:rPr>
        <w:t xml:space="preserve"> 20 մգ-ը լուծում են </w:t>
      </w:r>
      <w:r w:rsidRPr="00825EEB">
        <w:rPr>
          <w:rFonts w:ascii="Sylfaen" w:hAnsi="Sylfaen"/>
          <w:i/>
          <w:sz w:val="24"/>
          <w:szCs w:val="24"/>
        </w:rPr>
        <w:t>Ռ մեթիլենքլորիդի</w:t>
      </w:r>
      <w:r w:rsidRPr="00825EEB">
        <w:rPr>
          <w:rFonts w:ascii="Sylfaen" w:hAnsi="Sylfaen"/>
          <w:sz w:val="24"/>
          <w:szCs w:val="24"/>
        </w:rPr>
        <w:t xml:space="preserve"> 10 մլ-ի մեջ:</w:t>
      </w:r>
    </w:p>
    <w:p w14:paraId="44630953" w14:textId="77777777" w:rsidR="0058052E" w:rsidRPr="00825EEB" w:rsidRDefault="0058052E" w:rsidP="00BA63D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(Բ)</w:t>
      </w:r>
      <w:r w:rsidR="00BA63D1"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20-րդ նյութի հավելանյութի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20 մլ-ի մեջ:</w:t>
      </w:r>
    </w:p>
    <w:p w14:paraId="26698FF8" w14:textId="77777777" w:rsidR="0058052E" w:rsidRPr="00825EEB" w:rsidRDefault="0058052E" w:rsidP="00BA63D1">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(Գ)</w:t>
      </w:r>
      <w:r w:rsidR="00BA63D1" w:rsidRPr="00A859E3">
        <w:rPr>
          <w:rFonts w:ascii="Sylfaen" w:hAnsi="Sylfaen"/>
          <w:i/>
          <w:sz w:val="24"/>
          <w:szCs w:val="24"/>
        </w:rPr>
        <w:tab/>
      </w: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Պոլիմերային 21-րդ նյութի հավելանյութի ԵԱՏՄԴ ՍՆ</w:t>
      </w:r>
      <w:r w:rsidRPr="00825EEB">
        <w:rPr>
          <w:rFonts w:ascii="Sylfaen" w:hAnsi="Sylfaen"/>
          <w:sz w:val="24"/>
          <w:szCs w:val="24"/>
        </w:rPr>
        <w:t xml:space="preserve"> 40 մգ-ը լուծում են </w:t>
      </w:r>
      <w:r w:rsidRPr="00825EEB">
        <w:rPr>
          <w:rFonts w:ascii="Sylfaen" w:hAnsi="Sylfaen"/>
          <w:i/>
          <w:sz w:val="24"/>
          <w:szCs w:val="24"/>
        </w:rPr>
        <w:t>Ռ մեթիլենքլորիդի</w:t>
      </w:r>
      <w:r w:rsidRPr="00825EEB">
        <w:rPr>
          <w:rFonts w:ascii="Sylfaen" w:hAnsi="Sylfaen"/>
          <w:sz w:val="24"/>
          <w:szCs w:val="24"/>
        </w:rPr>
        <w:t xml:space="preserve"> 20 մլ-ի մեջ:</w:t>
      </w:r>
    </w:p>
    <w:p w14:paraId="3AC4D64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Քրոմատագրման պայմանները՝</w:t>
      </w:r>
    </w:p>
    <w:p w14:paraId="2C5CB8E2"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i/>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ՆՇՔ թիթեղ՝ GF</w:t>
      </w:r>
      <w:r w:rsidR="0058052E" w:rsidRPr="00825EEB">
        <w:rPr>
          <w:rFonts w:ascii="Sylfaen" w:hAnsi="Sylfaen"/>
          <w:i/>
          <w:sz w:val="24"/>
          <w:szCs w:val="24"/>
          <w:vertAlign w:val="subscript"/>
        </w:rPr>
        <w:t>254</w:t>
      </w:r>
      <w:r w:rsidR="0058052E" w:rsidRPr="00825EEB">
        <w:rPr>
          <w:rFonts w:ascii="Sylfaen" w:hAnsi="Sylfaen"/>
          <w:i/>
          <w:sz w:val="24"/>
          <w:szCs w:val="24"/>
        </w:rPr>
        <w:t xml:space="preserve"> Ռ սիլիկագելի շերտով (2 հատ):</w:t>
      </w:r>
    </w:p>
    <w:p w14:paraId="7C2D8932"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Տարբերակ 1.</w:t>
      </w:r>
    </w:p>
    <w:p w14:paraId="79F52DDC"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i/>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 xml:space="preserve">շարժուն ֆազը՝ Ռ անջուր էթանոլ – Ռ տրիմեթիլպենտան </w:t>
      </w:r>
      <w:r w:rsidR="0058052E" w:rsidRPr="00825EEB">
        <w:rPr>
          <w:rFonts w:ascii="Sylfaen" w:hAnsi="Sylfaen"/>
          <w:sz w:val="24"/>
          <w:szCs w:val="24"/>
        </w:rPr>
        <w:t>(25:75</w:t>
      </w:r>
      <w:r w:rsidR="0058052E" w:rsidRPr="00825EEB">
        <w:rPr>
          <w:rFonts w:ascii="Sylfaen" w:hAnsi="Sylfaen"/>
          <w:i/>
          <w:sz w:val="24"/>
          <w:szCs w:val="24"/>
        </w:rPr>
        <w:t xml:space="preserve"> ծավ/ծավ</w:t>
      </w:r>
      <w:r w:rsidR="0058052E" w:rsidRPr="00825EEB">
        <w:rPr>
          <w:rFonts w:ascii="Sylfaen" w:hAnsi="Sylfaen"/>
          <w:sz w:val="24"/>
          <w:szCs w:val="24"/>
        </w:rPr>
        <w:t>)</w:t>
      </w:r>
      <w:r w:rsidR="0058052E" w:rsidRPr="00825EEB">
        <w:rPr>
          <w:rFonts w:ascii="Sylfaen" w:hAnsi="Sylfaen"/>
          <w:i/>
          <w:sz w:val="24"/>
          <w:szCs w:val="24"/>
        </w:rPr>
        <w:t>.</w:t>
      </w:r>
    </w:p>
    <w:p w14:paraId="4DED43F0"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փորձարկվող լուծույթի </w:t>
      </w:r>
      <w:r w:rsidR="0058052E">
        <w:rPr>
          <w:rFonts w:ascii="Sylfaen" w:hAnsi="Sylfaen"/>
          <w:sz w:val="24"/>
          <w:szCs w:val="24"/>
        </w:rPr>
        <w:t>եւ</w:t>
      </w:r>
      <w:r w:rsidR="0058052E" w:rsidRPr="00825EEB">
        <w:rPr>
          <w:rFonts w:ascii="Sylfaen" w:hAnsi="Sylfaen"/>
          <w:sz w:val="24"/>
          <w:szCs w:val="24"/>
        </w:rPr>
        <w:t xml:space="preserve"> (ա) համեմատության լուծույթի 10-ական մկլ.</w:t>
      </w:r>
    </w:p>
    <w:p w14:paraId="22542123"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առնվազն 10 սմ.</w:t>
      </w:r>
    </w:p>
    <w:p w14:paraId="1087F21E"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4A60176E"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ցողում են </w:t>
      </w:r>
      <w:r w:rsidR="0058052E" w:rsidRPr="00825EEB">
        <w:rPr>
          <w:rFonts w:ascii="Sylfaen" w:hAnsi="Sylfaen"/>
          <w:i/>
          <w:sz w:val="24"/>
          <w:szCs w:val="24"/>
        </w:rPr>
        <w:t>Ռ անջուր էթանոլի</w:t>
      </w:r>
      <w:r w:rsidR="0058052E" w:rsidRPr="00825EEB">
        <w:rPr>
          <w:rFonts w:ascii="Sylfaen" w:hAnsi="Sylfaen"/>
          <w:sz w:val="24"/>
          <w:szCs w:val="24"/>
        </w:rPr>
        <w:t xml:space="preserve"> մեջ 2 գ/լ </w:t>
      </w:r>
      <w:r w:rsidR="0058052E" w:rsidRPr="00825EEB">
        <w:rPr>
          <w:rFonts w:ascii="Sylfaen" w:hAnsi="Sylfaen"/>
          <w:i/>
          <w:sz w:val="24"/>
          <w:szCs w:val="24"/>
        </w:rPr>
        <w:t>Ռ նատրիումի աղի դիքլորֆենոլինդոֆենոլի</w:t>
      </w:r>
      <w:r w:rsidR="0058052E" w:rsidRPr="00825EEB">
        <w:rPr>
          <w:rFonts w:ascii="Sylfaen" w:hAnsi="Sylfaen"/>
          <w:sz w:val="24"/>
          <w:szCs w:val="24"/>
        </w:rPr>
        <w:t xml:space="preserve"> լուծույթով </w:t>
      </w:r>
      <w:r w:rsidR="0058052E">
        <w:rPr>
          <w:rFonts w:ascii="Sylfaen" w:hAnsi="Sylfaen"/>
          <w:sz w:val="24"/>
          <w:szCs w:val="24"/>
        </w:rPr>
        <w:t>եւ</w:t>
      </w:r>
      <w:r w:rsidR="0058052E" w:rsidRPr="00825EEB">
        <w:rPr>
          <w:rFonts w:ascii="Sylfaen" w:hAnsi="Sylfaen"/>
          <w:sz w:val="24"/>
          <w:szCs w:val="24"/>
        </w:rPr>
        <w:t xml:space="preserve"> մի քանի րոպե տաքացնում 120 °С ջերմաստիճանի տակ՝ բծերի ինտենսիվության ուժեղացման համար:</w:t>
      </w:r>
    </w:p>
    <w:p w14:paraId="636FA91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Պարունակության սահմանը՝</w:t>
      </w:r>
    </w:p>
    <w:p w14:paraId="4DB66777"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5284F">
        <w:rPr>
          <w:rFonts w:ascii="Sylfaen" w:hAnsi="Sylfaen"/>
          <w:sz w:val="24"/>
          <w:szCs w:val="24"/>
        </w:rPr>
        <w:tab/>
      </w:r>
      <w:r w:rsidR="0058052E" w:rsidRPr="00825EEB">
        <w:rPr>
          <w:rFonts w:ascii="Sylfaen" w:hAnsi="Sylfaen"/>
          <w:sz w:val="24"/>
          <w:szCs w:val="24"/>
        </w:rPr>
        <w:t>պոլիմերային 19-րդ նյութի հավելանյութին համապատասխանող՝ փորձարկվող լուծույթի քրոմատագրի վրայի բիծը չպետք է լինի (ա) համեմատության լուծույթի քրոմատագրի վրայի բծից ավելի ինտենսիվ:</w:t>
      </w:r>
    </w:p>
    <w:p w14:paraId="69AC1C1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Տարբերակ 2.</w:t>
      </w:r>
    </w:p>
    <w:p w14:paraId="0ABE92B9"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Ա շարժուն ֆազը՝ Ռ հեքսան.</w:t>
      </w:r>
    </w:p>
    <w:p w14:paraId="4C0F7A0E"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lastRenderedPageBreak/>
        <w:t>-</w:t>
      </w:r>
      <w:r w:rsidRPr="00A5284F">
        <w:rPr>
          <w:rFonts w:ascii="Sylfaen" w:hAnsi="Sylfaen"/>
          <w:i/>
          <w:sz w:val="24"/>
          <w:szCs w:val="24"/>
        </w:rPr>
        <w:tab/>
      </w:r>
      <w:r w:rsidR="0058052E" w:rsidRPr="00825EEB">
        <w:rPr>
          <w:rFonts w:ascii="Sylfaen" w:hAnsi="Sylfaen"/>
          <w:i/>
          <w:sz w:val="24"/>
          <w:szCs w:val="24"/>
        </w:rPr>
        <w:t>Բ շարժուն ֆազը՝ Ռ մեթանոլ – Ռ մեթիլենքլորիդ</w:t>
      </w:r>
      <w:r w:rsidR="0058052E" w:rsidRPr="00825EEB">
        <w:rPr>
          <w:rFonts w:ascii="Sylfaen" w:hAnsi="Sylfaen"/>
          <w:sz w:val="24"/>
          <w:szCs w:val="24"/>
        </w:rPr>
        <w:t xml:space="preserve"> (5:95 </w:t>
      </w:r>
      <w:r w:rsidR="0058052E" w:rsidRPr="00825EEB">
        <w:rPr>
          <w:rFonts w:ascii="Sylfaen" w:hAnsi="Sylfaen"/>
          <w:i/>
          <w:sz w:val="24"/>
          <w:szCs w:val="24"/>
        </w:rPr>
        <w:t>ծավ/ծավ</w:t>
      </w:r>
      <w:r w:rsidR="0058052E" w:rsidRPr="00825EEB">
        <w:rPr>
          <w:rFonts w:ascii="Sylfaen" w:hAnsi="Sylfaen"/>
          <w:sz w:val="24"/>
          <w:szCs w:val="24"/>
        </w:rPr>
        <w:t>).</w:t>
      </w:r>
    </w:p>
    <w:p w14:paraId="08CA436E"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փորձարկվող լուծույթի </w:t>
      </w:r>
      <w:r w:rsidR="0058052E">
        <w:rPr>
          <w:rFonts w:ascii="Sylfaen" w:hAnsi="Sylfaen"/>
          <w:sz w:val="24"/>
          <w:szCs w:val="24"/>
        </w:rPr>
        <w:t>եւ</w:t>
      </w:r>
      <w:r w:rsidR="0058052E" w:rsidRPr="00825EEB">
        <w:rPr>
          <w:rFonts w:ascii="Sylfaen" w:hAnsi="Sylfaen"/>
          <w:sz w:val="24"/>
          <w:szCs w:val="24"/>
        </w:rPr>
        <w:t xml:space="preserve"> (բ) ու (գ) համեմատության լուծույթների 10-ական մկլ.</w:t>
      </w:r>
    </w:p>
    <w:p w14:paraId="52898C5B"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քրոմատագրական բաժանումը՝</w:t>
      </w:r>
      <w:r w:rsidR="0058052E" w:rsidRPr="00825EEB">
        <w:rPr>
          <w:rFonts w:ascii="Sylfaen" w:hAnsi="Sylfaen"/>
          <w:sz w:val="24"/>
          <w:szCs w:val="24"/>
        </w:rPr>
        <w:t xml:space="preserve"> մեկնարկային գծից 13 սմ-ից ոչ պակաս՝ Ա շարժուն ֆազի օգտագործմամբ. չորացնելուց հետո քրոմատագրում են մեկնարկային գծից 10 սմ-ից ոչ պակաս տարածության վրա՝ Բ շարժուն ֆազի օգտագործմամբ.</w:t>
      </w:r>
    </w:p>
    <w:p w14:paraId="01DA5E26"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i/>
          <w:sz w:val="24"/>
          <w:szCs w:val="24"/>
        </w:rPr>
        <w:t>-</w:t>
      </w:r>
      <w:r w:rsidRPr="00A859E3">
        <w:rPr>
          <w:rFonts w:ascii="Sylfaen" w:hAnsi="Sylfaen"/>
          <w:i/>
          <w:sz w:val="24"/>
          <w:szCs w:val="24"/>
        </w:rPr>
        <w:tab/>
      </w:r>
      <w:r w:rsidR="0058052E" w:rsidRPr="00825EEB">
        <w:rPr>
          <w:rFonts w:ascii="Sylfaen" w:hAnsi="Sylfaen"/>
          <w:i/>
          <w:sz w:val="24"/>
          <w:szCs w:val="24"/>
        </w:rPr>
        <w:t>չորացումը՝</w:t>
      </w:r>
      <w:r w:rsidR="0058052E" w:rsidRPr="00825EEB">
        <w:rPr>
          <w:rFonts w:ascii="Sylfaen" w:hAnsi="Sylfaen"/>
          <w:sz w:val="24"/>
          <w:szCs w:val="24"/>
        </w:rPr>
        <w:t xml:space="preserve"> օդում.</w:t>
      </w:r>
    </w:p>
    <w:p w14:paraId="315A782D"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ցողում են 40 գ/լ </w:t>
      </w:r>
      <w:r w:rsidR="0058052E" w:rsidRPr="00825EEB">
        <w:rPr>
          <w:rFonts w:ascii="Sylfaen" w:hAnsi="Sylfaen"/>
          <w:i/>
          <w:sz w:val="24"/>
          <w:szCs w:val="24"/>
        </w:rPr>
        <w:t>Ռ ֆոսֆորամոլիբդենային թթվի</w:t>
      </w:r>
      <w:r w:rsidR="0058052E" w:rsidRPr="00825EEB">
        <w:rPr>
          <w:rFonts w:ascii="Sylfaen" w:hAnsi="Sylfaen"/>
          <w:sz w:val="24"/>
          <w:szCs w:val="24"/>
        </w:rPr>
        <w:t xml:space="preserve"> լուծույթով </w:t>
      </w:r>
      <w:r w:rsidR="0058052E" w:rsidRPr="00825EEB">
        <w:rPr>
          <w:rFonts w:ascii="Sylfaen" w:hAnsi="Sylfaen"/>
          <w:i/>
          <w:sz w:val="24"/>
          <w:szCs w:val="24"/>
        </w:rPr>
        <w:t>Ռ անջուր էթանոլի</w:t>
      </w:r>
      <w:r w:rsidR="0058052E" w:rsidRPr="00825EEB">
        <w:rPr>
          <w:rFonts w:ascii="Sylfaen" w:hAnsi="Sylfaen"/>
          <w:sz w:val="24"/>
          <w:szCs w:val="24"/>
        </w:rPr>
        <w:t xml:space="preserve"> մեջ </w:t>
      </w:r>
      <w:r w:rsidR="0058052E">
        <w:rPr>
          <w:rFonts w:ascii="Sylfaen" w:hAnsi="Sylfaen"/>
          <w:sz w:val="24"/>
          <w:szCs w:val="24"/>
        </w:rPr>
        <w:t>եւ</w:t>
      </w:r>
      <w:r w:rsidR="0058052E" w:rsidRPr="00825EEB">
        <w:rPr>
          <w:rFonts w:ascii="Sylfaen" w:hAnsi="Sylfaen"/>
          <w:sz w:val="24"/>
          <w:szCs w:val="24"/>
        </w:rPr>
        <w:t xml:space="preserve"> տաքացնում 120 °С ջերմաստիճանի տակ՝ մինչ</w:t>
      </w:r>
      <w:r w:rsidR="0058052E">
        <w:rPr>
          <w:rFonts w:ascii="Sylfaen" w:hAnsi="Sylfaen"/>
          <w:sz w:val="24"/>
          <w:szCs w:val="24"/>
        </w:rPr>
        <w:t>եւ</w:t>
      </w:r>
      <w:r w:rsidR="0058052E" w:rsidRPr="00825EEB">
        <w:rPr>
          <w:rFonts w:ascii="Sylfaen" w:hAnsi="Sylfaen"/>
          <w:sz w:val="24"/>
          <w:szCs w:val="24"/>
        </w:rPr>
        <w:t xml:space="preserve"> բծերի հայտնվելը:</w:t>
      </w:r>
    </w:p>
    <w:p w14:paraId="76C11BCE" w14:textId="77777777" w:rsidR="0058052E" w:rsidRPr="00825EEB" w:rsidRDefault="0058052E" w:rsidP="00F24391">
      <w:pPr>
        <w:pStyle w:val="a0"/>
        <w:shd w:val="clear" w:color="auto" w:fill="auto"/>
        <w:spacing w:after="160" w:line="348"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6954AD49"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sz w:val="24"/>
          <w:szCs w:val="24"/>
        </w:rPr>
        <w:t>-</w:t>
      </w:r>
      <w:r w:rsidRPr="00A5284F">
        <w:rPr>
          <w:rFonts w:ascii="Sylfaen" w:hAnsi="Sylfaen"/>
          <w:sz w:val="24"/>
          <w:szCs w:val="24"/>
        </w:rPr>
        <w:tab/>
        <w:t>`</w:t>
      </w:r>
      <w:r w:rsidR="0058052E" w:rsidRPr="00825EEB">
        <w:rPr>
          <w:rFonts w:ascii="Sylfaen" w:hAnsi="Sylfaen"/>
          <w:sz w:val="24"/>
          <w:szCs w:val="24"/>
        </w:rPr>
        <w:t xml:space="preserve">պոլիմերային 21-րդ նյութի հավելանյութին կամ պոլիմերային 20-րդ նյութի հավելանյութին համապատասխանող՝ փորձարկվող լուծույթի քրոմատագրի վրայի բծերը չպետք է լինեն համապատասխանաբար (բ) </w:t>
      </w:r>
      <w:r w:rsidR="0058052E">
        <w:rPr>
          <w:rFonts w:ascii="Sylfaen" w:hAnsi="Sylfaen"/>
          <w:sz w:val="24"/>
          <w:szCs w:val="24"/>
        </w:rPr>
        <w:t>եւ</w:t>
      </w:r>
      <w:r w:rsidR="0058052E" w:rsidRPr="00825EEB">
        <w:rPr>
          <w:rFonts w:ascii="Sylfaen" w:hAnsi="Sylfaen"/>
          <w:sz w:val="24"/>
          <w:szCs w:val="24"/>
        </w:rPr>
        <w:t xml:space="preserve"> (գ) համեմատության լուծույթների քրոմատագրերի վրայի բծերից ավելի ինտենսիվ:</w:t>
      </w:r>
    </w:p>
    <w:p w14:paraId="7088C8AC" w14:textId="77777777" w:rsidR="0058052E" w:rsidRPr="00825EEB" w:rsidRDefault="0058052E" w:rsidP="00F24391">
      <w:pPr>
        <w:pStyle w:val="a0"/>
        <w:shd w:val="clear" w:color="auto" w:fill="auto"/>
        <w:spacing w:after="160" w:line="348" w:lineRule="auto"/>
        <w:ind w:firstLine="567"/>
        <w:jc w:val="both"/>
        <w:rPr>
          <w:rFonts w:ascii="Sylfaen" w:hAnsi="Sylfaen" w:cs="Sylfaen"/>
          <w:sz w:val="24"/>
          <w:szCs w:val="24"/>
        </w:rPr>
      </w:pPr>
      <w:r w:rsidRPr="00825EEB">
        <w:rPr>
          <w:rFonts w:ascii="Sylfaen" w:hAnsi="Sylfaen"/>
          <w:b/>
          <w:sz w:val="24"/>
          <w:szCs w:val="24"/>
        </w:rPr>
        <w:t xml:space="preserve">Ֆենոլային հակաօքսիդիչները։ </w:t>
      </w:r>
      <w:r w:rsidRPr="00825EEB">
        <w:rPr>
          <w:rFonts w:ascii="Sylfaen" w:hAnsi="Sylfaen"/>
          <w:sz w:val="24"/>
          <w:szCs w:val="24"/>
        </w:rPr>
        <w:t xml:space="preserve">Որոշումն անցկացնում են հեղուկային քրոմատագրման մեթոդով </w:t>
      </w:r>
      <w:r w:rsidRPr="00825EEB">
        <w:rPr>
          <w:rFonts w:ascii="Sylfaen" w:hAnsi="Sylfaen"/>
          <w:i/>
          <w:sz w:val="24"/>
          <w:szCs w:val="24"/>
        </w:rPr>
        <w:t>(2.1.2.28):</w:t>
      </w:r>
    </w:p>
    <w:p w14:paraId="4A8751B0" w14:textId="77777777" w:rsidR="0058052E" w:rsidRPr="00825EEB" w:rsidRDefault="0058052E" w:rsidP="00F24391">
      <w:pPr>
        <w:pStyle w:val="a0"/>
        <w:shd w:val="clear" w:color="auto" w:fill="auto"/>
        <w:spacing w:after="160" w:line="348" w:lineRule="auto"/>
        <w:ind w:firstLine="567"/>
        <w:jc w:val="both"/>
        <w:rPr>
          <w:rFonts w:ascii="Sylfaen" w:hAnsi="Sylfaen" w:cs="Sylfaen"/>
          <w:sz w:val="24"/>
          <w:szCs w:val="24"/>
        </w:rPr>
      </w:pPr>
      <w:r w:rsidRPr="00825EEB">
        <w:rPr>
          <w:rFonts w:ascii="Sylfaen" w:hAnsi="Sylfaen"/>
          <w:sz w:val="24"/>
          <w:szCs w:val="24"/>
        </w:rPr>
        <w:t xml:space="preserve">Լուծիչների խառնուրդը՝ Ռ ացետոնիտրիլ, Ռ տետրահիդրոֆուրան (50:50 </w:t>
      </w:r>
      <w:r w:rsidRPr="00825EEB">
        <w:rPr>
          <w:rFonts w:ascii="Sylfaen" w:hAnsi="Sylfaen"/>
          <w:i/>
          <w:sz w:val="24"/>
          <w:szCs w:val="24"/>
        </w:rPr>
        <w:t>ծավ/ծավ</w:t>
      </w:r>
      <w:r w:rsidRPr="00825EEB">
        <w:rPr>
          <w:rFonts w:ascii="Sylfaen" w:hAnsi="Sylfaen"/>
          <w:sz w:val="24"/>
          <w:szCs w:val="24"/>
        </w:rPr>
        <w:t>)։</w:t>
      </w:r>
    </w:p>
    <w:p w14:paraId="4455B9A9" w14:textId="77777777" w:rsidR="0058052E" w:rsidRPr="00825EEB" w:rsidRDefault="00A5284F" w:rsidP="00F24391">
      <w:pPr>
        <w:pStyle w:val="a0"/>
        <w:shd w:val="clear" w:color="auto" w:fill="auto"/>
        <w:tabs>
          <w:tab w:val="left" w:pos="1134"/>
        </w:tabs>
        <w:spacing w:after="160" w:line="348" w:lineRule="auto"/>
        <w:ind w:firstLine="567"/>
        <w:jc w:val="both"/>
        <w:rPr>
          <w:rFonts w:ascii="Sylfaen" w:hAnsi="Sylfaen" w:cs="Sylfaen"/>
          <w:sz w:val="24"/>
          <w:szCs w:val="24"/>
        </w:rPr>
      </w:pPr>
      <w:r>
        <w:rPr>
          <w:rFonts w:ascii="Sylfaen" w:hAnsi="Sylfaen"/>
          <w:i/>
          <w:sz w:val="24"/>
          <w:szCs w:val="24"/>
        </w:rPr>
        <w:t>(Ա)</w:t>
      </w:r>
      <w:r w:rsidRPr="00A5284F">
        <w:rPr>
          <w:rFonts w:ascii="Sylfaen" w:hAnsi="Sylfaen"/>
          <w:i/>
          <w:sz w:val="24"/>
          <w:szCs w:val="24"/>
        </w:rPr>
        <w:tab/>
      </w:r>
      <w:r w:rsidR="0058052E" w:rsidRPr="00825EEB">
        <w:rPr>
          <w:rFonts w:ascii="Sylfaen" w:hAnsi="Sylfaen"/>
          <w:i/>
          <w:sz w:val="24"/>
          <w:szCs w:val="24"/>
        </w:rPr>
        <w:t>փորձարկվող լուծույթը:</w:t>
      </w:r>
      <w:r w:rsidR="0058052E" w:rsidRPr="00825EEB">
        <w:rPr>
          <w:rFonts w:ascii="Sylfaen" w:hAnsi="Sylfaen"/>
          <w:sz w:val="24"/>
          <w:szCs w:val="24"/>
        </w:rPr>
        <w:t xml:space="preserve"> Տ1 լուծույթի 50 </w:t>
      </w:r>
      <w:smartTag w:uri="urn:schemas-microsoft-com:office:smarttags" w:element="metricconverter">
        <w:smartTagPr>
          <w:attr w:name="ProductID" w:val="45 °C"/>
        </w:smartTagPr>
        <w:r w:rsidR="0058052E" w:rsidRPr="00825EEB">
          <w:rPr>
            <w:rFonts w:ascii="Sylfaen" w:hAnsi="Sylfaen"/>
            <w:sz w:val="24"/>
            <w:szCs w:val="24"/>
          </w:rPr>
          <w:t>մլ-ը 45 °C</w:t>
        </w:r>
      </w:smartTag>
      <w:r w:rsidR="0058052E" w:rsidRPr="00825EEB">
        <w:rPr>
          <w:rFonts w:ascii="Sylfaen" w:hAnsi="Sylfaen"/>
          <w:sz w:val="24"/>
          <w:szCs w:val="24"/>
        </w:rPr>
        <w:t xml:space="preserve"> ջերմաստիճանի տակ լիաչոր շոգեհանում են </w:t>
      </w:r>
      <w:r w:rsidR="0058052E" w:rsidRPr="00825EEB">
        <w:rPr>
          <w:rFonts w:ascii="Sylfaen" w:hAnsi="Sylfaen"/>
          <w:i/>
          <w:sz w:val="24"/>
          <w:szCs w:val="24"/>
        </w:rPr>
        <w:t>վակուումի մեջ</w:t>
      </w:r>
      <w:r w:rsidR="0058052E" w:rsidRPr="00825EEB">
        <w:rPr>
          <w:rFonts w:ascii="Sylfaen" w:hAnsi="Sylfaen"/>
          <w:sz w:val="24"/>
          <w:szCs w:val="24"/>
        </w:rPr>
        <w:t xml:space="preserve">: Չոր մնացորդը լուծում են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5,0 մլ-ի մեջ:</w:t>
      </w:r>
    </w:p>
    <w:p w14:paraId="27C05160"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(Բ)</w:t>
      </w:r>
      <w:r w:rsidRPr="00A5284F">
        <w:rPr>
          <w:rFonts w:ascii="Sylfaen" w:hAnsi="Sylfaen"/>
          <w:i/>
          <w:sz w:val="24"/>
          <w:szCs w:val="24"/>
        </w:rPr>
        <w:tab/>
      </w:r>
      <w:r w:rsidR="0058052E" w:rsidRPr="00825EEB">
        <w:rPr>
          <w:rFonts w:ascii="Sylfaen" w:hAnsi="Sylfaen"/>
          <w:i/>
          <w:sz w:val="24"/>
          <w:szCs w:val="24"/>
        </w:rPr>
        <w:t>փորձարկվող լուծույթը։</w:t>
      </w:r>
      <w:r w:rsidR="0058052E" w:rsidRPr="00825EEB">
        <w:rPr>
          <w:rFonts w:ascii="Sylfaen" w:hAnsi="Sylfaen"/>
          <w:sz w:val="24"/>
          <w:szCs w:val="24"/>
        </w:rPr>
        <w:t xml:space="preserve"> Տ1 լուծույթի 50 </w:t>
      </w:r>
      <w:smartTag w:uri="urn:schemas-microsoft-com:office:smarttags" w:element="metricconverter">
        <w:smartTagPr>
          <w:attr w:name="ProductID" w:val="45 °C"/>
        </w:smartTagPr>
        <w:r w:rsidR="0058052E" w:rsidRPr="00825EEB">
          <w:rPr>
            <w:rFonts w:ascii="Sylfaen" w:hAnsi="Sylfaen"/>
            <w:sz w:val="24"/>
            <w:szCs w:val="24"/>
          </w:rPr>
          <w:t>մլ-ը 45 °C</w:t>
        </w:r>
      </w:smartTag>
      <w:r w:rsidR="0058052E" w:rsidRPr="00825EEB">
        <w:rPr>
          <w:rFonts w:ascii="Sylfaen" w:hAnsi="Sylfaen"/>
          <w:sz w:val="24"/>
          <w:szCs w:val="24"/>
        </w:rPr>
        <w:t xml:space="preserve"> ջերմաստիճանի տակ լիաչոր շոգեհանում են </w:t>
      </w:r>
      <w:r w:rsidR="0058052E" w:rsidRPr="00825EEB">
        <w:rPr>
          <w:rFonts w:ascii="Sylfaen" w:hAnsi="Sylfaen"/>
          <w:i/>
          <w:sz w:val="24"/>
          <w:szCs w:val="24"/>
        </w:rPr>
        <w:t>վակուումի մեջ</w:t>
      </w:r>
      <w:r w:rsidR="0058052E" w:rsidRPr="00825EEB">
        <w:rPr>
          <w:rFonts w:ascii="Sylfaen" w:hAnsi="Sylfaen"/>
          <w:sz w:val="24"/>
          <w:szCs w:val="24"/>
        </w:rPr>
        <w:t xml:space="preserve">: Չոր մնացորդը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5,0 մլ-ի մեջ:</w:t>
      </w:r>
    </w:p>
    <w:p w14:paraId="17FEA692"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lastRenderedPageBreak/>
        <w:t>(Ա)</w:t>
      </w:r>
      <w:r w:rsidRPr="00A5284F">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Բութիլհիդրօքսիտոլուոլի ԵԱՏՄԴ ՍՆ</w:t>
      </w:r>
      <w:r w:rsidR="0058052E" w:rsidRPr="00825EEB">
        <w:rPr>
          <w:rFonts w:ascii="Sylfaen" w:hAnsi="Sylfaen"/>
          <w:sz w:val="24"/>
          <w:szCs w:val="24"/>
        </w:rPr>
        <w:t xml:space="preserve"> 25,0</w:t>
      </w:r>
      <w:r w:rsidRPr="00A5284F">
        <w:rPr>
          <w:rFonts w:ascii="Sylfaen" w:hAnsi="Sylfaen"/>
          <w:sz w:val="24"/>
          <w:szCs w:val="24"/>
        </w:rPr>
        <w:t> </w:t>
      </w:r>
      <w:r w:rsidR="0058052E" w:rsidRPr="00825EEB">
        <w:rPr>
          <w:rFonts w:ascii="Sylfaen" w:hAnsi="Sylfaen"/>
          <w:sz w:val="24"/>
          <w:szCs w:val="24"/>
        </w:rPr>
        <w:t>մգ-ը (</w:t>
      </w:r>
      <w:r w:rsidR="0058052E" w:rsidRPr="00825EEB">
        <w:rPr>
          <w:rFonts w:ascii="Sylfaen" w:hAnsi="Sylfaen"/>
          <w:i/>
          <w:sz w:val="24"/>
          <w:szCs w:val="24"/>
        </w:rPr>
        <w:t>պոլիմերային 07 նյութի հավելանյութ</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պոլիմերային 10-րդ նյութի հավելանյութի ԵԱՏՄԴ ՍՆ</w:t>
      </w:r>
      <w:r w:rsidR="0058052E" w:rsidRPr="00825EEB">
        <w:rPr>
          <w:rFonts w:ascii="Sylfaen" w:hAnsi="Sylfaen"/>
          <w:sz w:val="24"/>
          <w:szCs w:val="24"/>
        </w:rPr>
        <w:t xml:space="preserve"> 40,0 մգ-ը, </w:t>
      </w:r>
      <w:r w:rsidR="0058052E" w:rsidRPr="00825EEB">
        <w:rPr>
          <w:rFonts w:ascii="Sylfaen" w:hAnsi="Sylfaen"/>
          <w:i/>
          <w:sz w:val="24"/>
          <w:szCs w:val="24"/>
        </w:rPr>
        <w:t xml:space="preserve">պոլիմերային 09 նյութի հավելանյութի </w:t>
      </w:r>
      <w:r w:rsidR="0058052E" w:rsidRPr="00A5284F">
        <w:rPr>
          <w:rFonts w:ascii="Sylfaen" w:hAnsi="Sylfaen"/>
          <w:i/>
          <w:spacing w:val="-4"/>
          <w:sz w:val="24"/>
          <w:szCs w:val="24"/>
        </w:rPr>
        <w:t>ԵԱՏՄԴ ՍՆ</w:t>
      </w:r>
      <w:r w:rsidR="0058052E" w:rsidRPr="00A5284F">
        <w:rPr>
          <w:rFonts w:ascii="Sylfaen" w:hAnsi="Sylfaen"/>
          <w:spacing w:val="-4"/>
          <w:sz w:val="24"/>
          <w:szCs w:val="24"/>
        </w:rPr>
        <w:t xml:space="preserve"> 40 մգ-ը եւ </w:t>
      </w:r>
      <w:r w:rsidR="0058052E" w:rsidRPr="00A5284F">
        <w:rPr>
          <w:rFonts w:ascii="Sylfaen" w:hAnsi="Sylfaen"/>
          <w:i/>
          <w:spacing w:val="-4"/>
          <w:sz w:val="24"/>
          <w:szCs w:val="24"/>
        </w:rPr>
        <w:t>պոլիմերային 11-րդ նյութի հավելանյութի ԵԱՏՄԴ ՍՆ</w:t>
      </w:r>
      <w:r w:rsidR="0058052E" w:rsidRPr="00A5284F">
        <w:rPr>
          <w:rFonts w:ascii="Sylfaen" w:hAnsi="Sylfaen"/>
          <w:spacing w:val="-4"/>
          <w:sz w:val="24"/>
          <w:szCs w:val="24"/>
        </w:rPr>
        <w:t xml:space="preserve"> 40 մգ-ը լուծում</w:t>
      </w:r>
      <w:r w:rsidR="0058052E" w:rsidRPr="00825EEB">
        <w:rPr>
          <w:rFonts w:ascii="Sylfaen" w:hAnsi="Sylfaen"/>
          <w:sz w:val="24"/>
          <w:szCs w:val="24"/>
        </w:rPr>
        <w:t xml:space="preserve"> են </w:t>
      </w:r>
      <w:r w:rsidR="0058052E" w:rsidRPr="00825EEB">
        <w:rPr>
          <w:rFonts w:ascii="Sylfaen" w:hAnsi="Sylfaen"/>
          <w:i/>
          <w:sz w:val="24"/>
          <w:szCs w:val="24"/>
        </w:rPr>
        <w:t>Ռ ացետոնիտրիլի</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խառնուրդի 10,0 մլ-ի մեջ: Ստացված լուծույթի 2,0 մլ-ը </w:t>
      </w:r>
      <w:r w:rsidR="0058052E" w:rsidRPr="00825EEB">
        <w:rPr>
          <w:rFonts w:ascii="Sylfaen" w:hAnsi="Sylfaen"/>
          <w:i/>
          <w:sz w:val="24"/>
          <w:szCs w:val="24"/>
        </w:rPr>
        <w:t xml:space="preserve">Ռ ացետոնիտրիլի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Ռ տետրահիդրոֆուրանի</w:t>
      </w:r>
      <w:r w:rsidR="0058052E" w:rsidRPr="00825EEB">
        <w:rPr>
          <w:rFonts w:ascii="Sylfaen" w:hAnsi="Sylfaen"/>
          <w:sz w:val="24"/>
          <w:szCs w:val="24"/>
        </w:rPr>
        <w:t xml:space="preserve"> հավասար ծավալներով խառնուրդով հասցնում են մինչեւ 50,0 մլ ծավալը:</w:t>
      </w:r>
    </w:p>
    <w:p w14:paraId="1F48E896"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(Բ)</w:t>
      </w:r>
      <w:r w:rsidRPr="00A5284F">
        <w:rPr>
          <w:rFonts w:ascii="Sylfaen" w:hAnsi="Sylfaen"/>
          <w:i/>
          <w:sz w:val="24"/>
          <w:szCs w:val="24"/>
        </w:rPr>
        <w:tab/>
      </w:r>
      <w:r w:rsidR="0058052E" w:rsidRPr="00825EEB">
        <w:rPr>
          <w:rFonts w:ascii="Sylfaen" w:hAnsi="Sylfaen"/>
          <w:i/>
          <w:sz w:val="24"/>
          <w:szCs w:val="24"/>
        </w:rPr>
        <w:t>համեմատության լուծույթը։</w:t>
      </w:r>
      <w:r w:rsidR="0058052E" w:rsidRPr="00825EEB">
        <w:rPr>
          <w:rFonts w:ascii="Sylfaen" w:hAnsi="Sylfaen"/>
          <w:sz w:val="24"/>
          <w:szCs w:val="24"/>
        </w:rPr>
        <w:t xml:space="preserve"> </w:t>
      </w:r>
      <w:r w:rsidR="0058052E" w:rsidRPr="00825EEB">
        <w:rPr>
          <w:rFonts w:ascii="Sylfaen" w:hAnsi="Sylfaen"/>
          <w:i/>
          <w:sz w:val="24"/>
          <w:szCs w:val="24"/>
        </w:rPr>
        <w:t>Պոլիմերային 11-րդ նյութի հավելանյութի ԵԱՏՄԴ ՍՆ</w:t>
      </w:r>
      <w:r w:rsidR="0058052E" w:rsidRPr="00825EEB">
        <w:rPr>
          <w:rFonts w:ascii="Sylfaen" w:hAnsi="Sylfaen"/>
          <w:sz w:val="24"/>
          <w:szCs w:val="24"/>
        </w:rPr>
        <w:t xml:space="preserve"> 40,0 մգ-ը </w:t>
      </w:r>
      <w:r w:rsidR="0058052E">
        <w:rPr>
          <w:rFonts w:ascii="Sylfaen" w:hAnsi="Sylfaen"/>
          <w:sz w:val="24"/>
          <w:szCs w:val="24"/>
        </w:rPr>
        <w:t>եւ</w:t>
      </w:r>
      <w:r w:rsidR="0058052E" w:rsidRPr="00825EEB">
        <w:rPr>
          <w:rFonts w:ascii="Sylfaen" w:hAnsi="Sylfaen"/>
          <w:sz w:val="24"/>
          <w:szCs w:val="24"/>
        </w:rPr>
        <w:t xml:space="preserve"> </w:t>
      </w:r>
      <w:r w:rsidR="0058052E" w:rsidRPr="00825EEB">
        <w:rPr>
          <w:rFonts w:ascii="Sylfaen" w:hAnsi="Sylfaen"/>
          <w:i/>
          <w:sz w:val="24"/>
          <w:szCs w:val="24"/>
        </w:rPr>
        <w:t>պոլիմերային 12-րդ նյութի հավելանյութի ԵԱՏՄԴ ՍՆ</w:t>
      </w:r>
      <w:r w:rsidR="0058052E" w:rsidRPr="00825EEB">
        <w:rPr>
          <w:rFonts w:ascii="Sylfaen" w:hAnsi="Sylfaen"/>
          <w:sz w:val="24"/>
          <w:szCs w:val="24"/>
        </w:rPr>
        <w:t xml:space="preserve"> 40,0</w:t>
      </w:r>
      <w:r w:rsidRPr="00A5284F">
        <w:rPr>
          <w:rFonts w:ascii="Sylfaen" w:hAnsi="Sylfaen"/>
          <w:sz w:val="24"/>
          <w:szCs w:val="24"/>
        </w:rPr>
        <w:t> </w:t>
      </w:r>
      <w:r w:rsidR="0058052E" w:rsidRPr="00825EEB">
        <w:rPr>
          <w:rFonts w:ascii="Sylfaen" w:hAnsi="Sylfaen"/>
          <w:sz w:val="24"/>
          <w:szCs w:val="24"/>
        </w:rPr>
        <w:t xml:space="preserve">մգ-ը լուծում են </w:t>
      </w:r>
      <w:r w:rsidR="0058052E" w:rsidRPr="00825EEB">
        <w:rPr>
          <w:rFonts w:ascii="Sylfaen" w:hAnsi="Sylfaen"/>
          <w:i/>
          <w:sz w:val="24"/>
          <w:szCs w:val="24"/>
        </w:rPr>
        <w:t>Ռ մեթիլենքլորիդի</w:t>
      </w:r>
      <w:r w:rsidR="0058052E" w:rsidRPr="00825EEB">
        <w:rPr>
          <w:rFonts w:ascii="Sylfaen" w:hAnsi="Sylfaen"/>
          <w:sz w:val="24"/>
          <w:szCs w:val="24"/>
        </w:rPr>
        <w:t xml:space="preserve"> 10,0 մլ-ի մեջ:</w:t>
      </w:r>
      <w:r w:rsidR="0058052E" w:rsidRPr="00825EEB">
        <w:rPr>
          <w:rFonts w:ascii="Sylfaen" w:hAnsi="Sylfaen"/>
          <w:i/>
          <w:sz w:val="24"/>
          <w:szCs w:val="24"/>
        </w:rPr>
        <w:t xml:space="preserve"> </w:t>
      </w:r>
      <w:r w:rsidR="0058052E" w:rsidRPr="00825EEB">
        <w:rPr>
          <w:rFonts w:ascii="Sylfaen" w:hAnsi="Sylfaen"/>
          <w:sz w:val="24"/>
          <w:szCs w:val="24"/>
        </w:rPr>
        <w:t xml:space="preserve">Ստացված լուծույթի 2 մլ-ը </w:t>
      </w:r>
      <w:r w:rsidR="0058052E" w:rsidRPr="00825EEB">
        <w:rPr>
          <w:rFonts w:ascii="Sylfaen" w:hAnsi="Sylfaen"/>
          <w:i/>
          <w:sz w:val="24"/>
          <w:szCs w:val="24"/>
        </w:rPr>
        <w:t>Ռ մեթիլենքլորիդով</w:t>
      </w:r>
      <w:r w:rsidR="0058052E" w:rsidRPr="00825EEB">
        <w:rPr>
          <w:rFonts w:ascii="Sylfaen" w:hAnsi="Sylfaen"/>
          <w:sz w:val="24"/>
          <w:szCs w:val="24"/>
        </w:rPr>
        <w:t xml:space="preserve"> հասցնում են մինչեւ 50,0 մլ ծավալը։</w:t>
      </w:r>
    </w:p>
    <w:p w14:paraId="4B0F892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2E0D5BA9"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sz w:val="24"/>
          <w:szCs w:val="24"/>
        </w:rPr>
      </w:pPr>
      <w:r w:rsidRPr="00825EEB">
        <w:rPr>
          <w:rFonts w:ascii="Sylfaen" w:hAnsi="Sylfaen"/>
          <w:sz w:val="24"/>
          <w:szCs w:val="24"/>
        </w:rPr>
        <w:t>-</w:t>
      </w:r>
      <w:r w:rsidR="00A5284F" w:rsidRPr="00A5284F">
        <w:rPr>
          <w:rFonts w:ascii="Sylfaen" w:hAnsi="Sylfaen"/>
          <w:sz w:val="24"/>
          <w:szCs w:val="24"/>
        </w:rPr>
        <w:tab/>
      </w:r>
      <w:r w:rsidRPr="00825EEB">
        <w:rPr>
          <w:rFonts w:ascii="Sylfaen" w:hAnsi="Sylfaen"/>
          <w:i/>
          <w:sz w:val="24"/>
          <w:szCs w:val="24"/>
        </w:rPr>
        <w:t>աշտարակը՝</w:t>
      </w:r>
      <w:r w:rsidRPr="00825EEB">
        <w:rPr>
          <w:rFonts w:ascii="Sylfaen" w:hAnsi="Sylfaen"/>
          <w:sz w:val="24"/>
          <w:szCs w:val="24"/>
        </w:rPr>
        <w:t xml:space="preserve"> 0,25 մ երկարությամբ </w:t>
      </w:r>
      <w:r>
        <w:rPr>
          <w:rFonts w:ascii="Sylfaen" w:hAnsi="Sylfaen"/>
          <w:sz w:val="24"/>
          <w:szCs w:val="24"/>
        </w:rPr>
        <w:t>եւ</w:t>
      </w:r>
      <w:r w:rsidRPr="00825EEB">
        <w:rPr>
          <w:rFonts w:ascii="Sylfaen" w:hAnsi="Sylfaen"/>
          <w:sz w:val="24"/>
          <w:szCs w:val="24"/>
        </w:rPr>
        <w:t xml:space="preserve"> 4,6 մմ ներքին տրամագծով, որը լցված է </w:t>
      </w:r>
      <w:r w:rsidRPr="00825EEB">
        <w:rPr>
          <w:rFonts w:ascii="Sylfaen" w:hAnsi="Sylfaen"/>
          <w:i/>
          <w:sz w:val="24"/>
          <w:szCs w:val="24"/>
        </w:rPr>
        <w:t>Ռ քրոմատագրման համար օկտադեցիլսիլիլային սիլիկագելով՝</w:t>
      </w:r>
      <w:r>
        <w:rPr>
          <w:rFonts w:ascii="Sylfaen" w:hAnsi="Sylfaen"/>
          <w:sz w:val="24"/>
          <w:szCs w:val="24"/>
        </w:rPr>
        <w:t xml:space="preserve"> </w:t>
      </w:r>
      <w:r w:rsidRPr="00825EEB">
        <w:rPr>
          <w:rFonts w:ascii="Sylfaen" w:hAnsi="Sylfaen"/>
          <w:sz w:val="24"/>
          <w:szCs w:val="24"/>
        </w:rPr>
        <w:t>մասնիկների 5 մկմ չափով.</w:t>
      </w:r>
    </w:p>
    <w:p w14:paraId="5182289A"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i/>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 xml:space="preserve">շարժուն ֆազը՝ Ռ ջուր – Ռ տետրահիդրոֆուրան – Ռ ացետոնիտրիլ </w:t>
      </w:r>
      <w:r w:rsidR="0058052E" w:rsidRPr="00825EEB">
        <w:rPr>
          <w:rFonts w:ascii="Sylfaen" w:hAnsi="Sylfaen"/>
          <w:sz w:val="24"/>
          <w:szCs w:val="24"/>
        </w:rPr>
        <w:t xml:space="preserve">(10:30:60 </w:t>
      </w:r>
      <w:r w:rsidR="0058052E" w:rsidRPr="00825EEB">
        <w:rPr>
          <w:rFonts w:ascii="Sylfaen" w:hAnsi="Sylfaen"/>
          <w:i/>
          <w:sz w:val="24"/>
          <w:szCs w:val="24"/>
        </w:rPr>
        <w:t>ծավ/ծավ/ծավ</w:t>
      </w:r>
      <w:r w:rsidR="0058052E" w:rsidRPr="00825EEB">
        <w:rPr>
          <w:rFonts w:ascii="Sylfaen" w:hAnsi="Sylfaen"/>
          <w:sz w:val="24"/>
          <w:szCs w:val="24"/>
        </w:rPr>
        <w:t>)</w:t>
      </w:r>
      <w:r w:rsidR="0058052E" w:rsidRPr="00825EEB">
        <w:rPr>
          <w:rFonts w:ascii="Sylfaen" w:hAnsi="Sylfaen"/>
          <w:i/>
          <w:sz w:val="24"/>
          <w:szCs w:val="24"/>
        </w:rPr>
        <w:t>.</w:t>
      </w:r>
    </w:p>
    <w:p w14:paraId="095C7D5B"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շարժուն ֆազի արագությունը՝</w:t>
      </w:r>
      <w:r w:rsidR="0058052E" w:rsidRPr="00825EEB">
        <w:rPr>
          <w:rFonts w:ascii="Sylfaen" w:hAnsi="Sylfaen"/>
          <w:sz w:val="24"/>
          <w:szCs w:val="24"/>
        </w:rPr>
        <w:t xml:space="preserve"> 1,5 մլ/րոպե.</w:t>
      </w:r>
    </w:p>
    <w:p w14:paraId="3C41C4A1"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5284F">
        <w:rPr>
          <w:rFonts w:ascii="Sylfaen" w:hAnsi="Sylfaen"/>
          <w:i/>
          <w:sz w:val="24"/>
          <w:szCs w:val="24"/>
        </w:rPr>
        <w:tab/>
      </w:r>
      <w:r w:rsidR="0058052E" w:rsidRPr="00825EEB">
        <w:rPr>
          <w:rFonts w:ascii="Sylfaen" w:hAnsi="Sylfaen"/>
          <w:i/>
          <w:sz w:val="24"/>
          <w:szCs w:val="24"/>
        </w:rPr>
        <w:t>դետեկտորը՝</w:t>
      </w:r>
      <w:r w:rsidR="0058052E" w:rsidRPr="00825EEB">
        <w:rPr>
          <w:rFonts w:ascii="Sylfaen" w:hAnsi="Sylfaen"/>
          <w:sz w:val="24"/>
          <w:szCs w:val="24"/>
        </w:rPr>
        <w:t xml:space="preserve"> սպեկտրալուսաչափական, ալիքի երկարությունը՝ 280 նմ.</w:t>
      </w:r>
    </w:p>
    <w:p w14:paraId="422133A6" w14:textId="77777777" w:rsidR="0058052E" w:rsidRPr="00825EEB" w:rsidRDefault="00A5284F" w:rsidP="00A5284F">
      <w:pPr>
        <w:tabs>
          <w:tab w:val="left" w:pos="1134"/>
        </w:tabs>
        <w:spacing w:after="160" w:line="360" w:lineRule="auto"/>
        <w:ind w:firstLine="567"/>
        <w:jc w:val="both"/>
      </w:pPr>
      <w:r>
        <w:rPr>
          <w:i/>
        </w:rPr>
        <w:t>-</w:t>
      </w:r>
      <w:r w:rsidRPr="00A5284F">
        <w:rPr>
          <w:i/>
        </w:rPr>
        <w:tab/>
      </w:r>
      <w:r w:rsidR="0058052E" w:rsidRPr="00825EEB">
        <w:rPr>
          <w:i/>
        </w:rPr>
        <w:t>ներմուծվող փորձանմուշի ծավալը՝</w:t>
      </w:r>
      <w:r w:rsidR="0058052E" w:rsidRPr="00825EEB">
        <w:t xml:space="preserve"> (ա) փորձարկվող լուծույթի </w:t>
      </w:r>
      <w:r w:rsidR="0058052E">
        <w:t>եւ</w:t>
      </w:r>
      <w:r w:rsidR="0058052E" w:rsidRPr="00825EEB">
        <w:t xml:space="preserve"> (ա) համեմատության լուծույթի 20-ական մկլ:</w:t>
      </w:r>
    </w:p>
    <w:p w14:paraId="0EC7350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r w:rsidRPr="00825EEB">
        <w:rPr>
          <w:rFonts w:ascii="Sylfaen" w:hAnsi="Sylfaen"/>
          <w:sz w:val="24"/>
          <w:szCs w:val="24"/>
        </w:rPr>
        <w:t xml:space="preserve"> (ա) համեմատության լուծույթը՝</w:t>
      </w:r>
    </w:p>
    <w:p w14:paraId="0B494F11"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5284F">
        <w:rPr>
          <w:rFonts w:ascii="Sylfaen" w:hAnsi="Sylfaen"/>
          <w:sz w:val="24"/>
          <w:szCs w:val="24"/>
        </w:rPr>
        <w:tab/>
      </w:r>
      <w:r w:rsidRPr="00825EEB">
        <w:rPr>
          <w:rFonts w:ascii="Sylfaen" w:hAnsi="Sylfaen"/>
          <w:i/>
          <w:sz w:val="24"/>
          <w:szCs w:val="24"/>
        </w:rPr>
        <w:t>լուծաչափը՝</w:t>
      </w:r>
      <w:r w:rsidRPr="00825EEB">
        <w:rPr>
          <w:rFonts w:ascii="Sylfaen" w:hAnsi="Sylfaen"/>
          <w:sz w:val="24"/>
          <w:szCs w:val="24"/>
        </w:rPr>
        <w:t xml:space="preserve"> պոլիմերային 09 նյութի հավելանյութի </w:t>
      </w:r>
      <w:r>
        <w:rPr>
          <w:rFonts w:ascii="Sylfaen" w:hAnsi="Sylfaen"/>
          <w:sz w:val="24"/>
          <w:szCs w:val="24"/>
        </w:rPr>
        <w:t>եւ</w:t>
      </w:r>
      <w:r w:rsidRPr="00825EEB">
        <w:rPr>
          <w:rFonts w:ascii="Sylfaen" w:hAnsi="Sylfaen"/>
          <w:sz w:val="24"/>
          <w:szCs w:val="24"/>
        </w:rPr>
        <w:t xml:space="preserve"> պոլիմերային 10-րդ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2,0.</w:t>
      </w:r>
    </w:p>
    <w:p w14:paraId="166B01A4"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A5284F" w:rsidRPr="00A5284F">
        <w:rPr>
          <w:rFonts w:ascii="Sylfaen" w:hAnsi="Sylfaen"/>
          <w:sz w:val="24"/>
          <w:szCs w:val="24"/>
        </w:rPr>
        <w:tab/>
      </w:r>
      <w:r w:rsidRPr="00825EEB">
        <w:rPr>
          <w:rFonts w:ascii="Sylfaen" w:hAnsi="Sylfaen"/>
          <w:i/>
          <w:sz w:val="24"/>
          <w:szCs w:val="24"/>
        </w:rPr>
        <w:t>տեսական ափսեների թիվը՝</w:t>
      </w:r>
      <w:r>
        <w:rPr>
          <w:rFonts w:ascii="Sylfaen" w:hAnsi="Sylfaen"/>
          <w:sz w:val="24"/>
          <w:szCs w:val="24"/>
        </w:rPr>
        <w:t xml:space="preserve"> </w:t>
      </w:r>
      <w:r w:rsidRPr="00825EEB">
        <w:rPr>
          <w:rFonts w:ascii="Sylfaen" w:hAnsi="Sylfaen"/>
          <w:sz w:val="24"/>
          <w:szCs w:val="24"/>
        </w:rPr>
        <w:t>2500-ից ոչ պակաս՝ պոլիմերի 07 հավելանյութի պիկով հաշվարկված:</w:t>
      </w:r>
    </w:p>
    <w:p w14:paraId="222AA87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598E1720"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5284F">
        <w:rPr>
          <w:rFonts w:ascii="Sylfaen" w:hAnsi="Sylfaen"/>
          <w:sz w:val="24"/>
          <w:szCs w:val="24"/>
        </w:rPr>
        <w:tab/>
      </w:r>
      <w:r w:rsidR="0058052E" w:rsidRPr="00825EEB">
        <w:rPr>
          <w:rFonts w:ascii="Sylfaen" w:hAnsi="Sylfaen"/>
          <w:sz w:val="24"/>
          <w:szCs w:val="24"/>
        </w:rPr>
        <w:t>(ա) փորձարկվող լուծույթի քրոմատագրի վրա պետք է հայտնաբերվեն միայն հիմնական պիկերը, որոնք համապատասխանում են (ա) համեմատության լուծույթի պիկերին՝ պահման 2 րոպեից ավելի ժամանակով.</w:t>
      </w:r>
    </w:p>
    <w:p w14:paraId="3B1A196A"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5284F">
        <w:rPr>
          <w:rFonts w:ascii="Sylfaen" w:hAnsi="Sylfaen"/>
          <w:sz w:val="24"/>
          <w:szCs w:val="24"/>
        </w:rPr>
        <w:tab/>
      </w:r>
      <w:r w:rsidR="0058052E" w:rsidRPr="00825EEB">
        <w:rPr>
          <w:rFonts w:ascii="Sylfaen" w:hAnsi="Sylfaen"/>
          <w:sz w:val="24"/>
          <w:szCs w:val="24"/>
        </w:rPr>
        <w:t>(ա) փորձարկվող լուծույթի քրոմատագրի վրա պիկերի մակերեսները չպետք է գերազանցեն (ա) համեմատության լուծույթի քրոմատագրի վրայի համապատասխան պիկերի մակերեսները՝ բացի վերջին պիկից:</w:t>
      </w:r>
    </w:p>
    <w:p w14:paraId="734DDB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Եթե (ա) փորձարկվող լուծույթի քրոմատագրի վրա հայտնաբերվում է պիկ՝ պահման նույն ժամանակով, ինչ (ա) համեմատության լուծույթից լվացված հակաօքսիդիչինն է, ապա փորձարկումներն անցկացնում են հետ</w:t>
      </w:r>
      <w:r>
        <w:rPr>
          <w:rFonts w:ascii="Sylfaen" w:hAnsi="Sylfaen"/>
          <w:sz w:val="24"/>
          <w:szCs w:val="24"/>
        </w:rPr>
        <w:t>եւ</w:t>
      </w:r>
      <w:r w:rsidRPr="00825EEB">
        <w:rPr>
          <w:rFonts w:ascii="Sylfaen" w:hAnsi="Sylfaen"/>
          <w:sz w:val="24"/>
          <w:szCs w:val="24"/>
        </w:rPr>
        <w:t>յալ փոփոխություններով.</w:t>
      </w:r>
    </w:p>
    <w:p w14:paraId="0CF782E7"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5284F">
        <w:rPr>
          <w:rFonts w:ascii="Sylfaen" w:hAnsi="Sylfaen"/>
          <w:sz w:val="24"/>
          <w:szCs w:val="24"/>
        </w:rPr>
        <w:tab/>
      </w:r>
      <w:r w:rsidRPr="00825EEB">
        <w:rPr>
          <w:rFonts w:ascii="Sylfaen" w:hAnsi="Sylfaen"/>
          <w:i/>
          <w:sz w:val="24"/>
          <w:szCs w:val="24"/>
        </w:rPr>
        <w:t>շարժուն ֆազը՝ Ռ ջուր – Ռ 2-պրոպանոլ – Ռ մեթանոլ</w:t>
      </w:r>
      <w:r w:rsidRPr="00825EEB">
        <w:rPr>
          <w:rFonts w:ascii="Sylfaen" w:hAnsi="Sylfaen"/>
          <w:sz w:val="24"/>
          <w:szCs w:val="24"/>
        </w:rPr>
        <w:t xml:space="preserve"> (5:45:50 </w:t>
      </w:r>
      <w:r w:rsidRPr="00825EEB">
        <w:rPr>
          <w:rFonts w:ascii="Sylfaen" w:hAnsi="Sylfaen"/>
          <w:i/>
          <w:sz w:val="24"/>
          <w:szCs w:val="24"/>
        </w:rPr>
        <w:t>ծավ/ծավ/ծավ</w:t>
      </w:r>
      <w:r w:rsidRPr="00825EEB">
        <w:rPr>
          <w:rFonts w:ascii="Sylfaen" w:hAnsi="Sylfaen"/>
          <w:sz w:val="24"/>
          <w:szCs w:val="24"/>
        </w:rPr>
        <w:t>).</w:t>
      </w:r>
    </w:p>
    <w:p w14:paraId="0E658999"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5284F">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(բ) փորձարկվող լուծույթի </w:t>
      </w:r>
      <w:r>
        <w:rPr>
          <w:rFonts w:ascii="Sylfaen" w:hAnsi="Sylfaen"/>
          <w:sz w:val="24"/>
          <w:szCs w:val="24"/>
        </w:rPr>
        <w:t>եւ</w:t>
      </w:r>
      <w:r w:rsidRPr="00825EEB">
        <w:rPr>
          <w:rFonts w:ascii="Sylfaen" w:hAnsi="Sylfaen"/>
          <w:sz w:val="24"/>
          <w:szCs w:val="24"/>
        </w:rPr>
        <w:t xml:space="preserve"> (բ) համեմատության լուծույթի 20-ական մկլ:</w:t>
      </w:r>
    </w:p>
    <w:p w14:paraId="685C767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համակարգի պիտանիությունը՝</w:t>
      </w:r>
      <w:r w:rsidRPr="00825EEB">
        <w:rPr>
          <w:rFonts w:ascii="Sylfaen" w:hAnsi="Sylfaen"/>
          <w:sz w:val="24"/>
          <w:szCs w:val="24"/>
        </w:rPr>
        <w:t xml:space="preserve"> (բ) համեմատության լուծույթը՝</w:t>
      </w:r>
    </w:p>
    <w:p w14:paraId="3E39A2CD"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5284F">
        <w:rPr>
          <w:rFonts w:ascii="Sylfaen" w:hAnsi="Sylfaen"/>
          <w:sz w:val="24"/>
          <w:szCs w:val="24"/>
        </w:rPr>
        <w:tab/>
      </w:r>
      <w:r w:rsidRPr="00825EEB">
        <w:rPr>
          <w:rFonts w:ascii="Sylfaen" w:hAnsi="Sylfaen"/>
          <w:i/>
          <w:sz w:val="24"/>
          <w:szCs w:val="24"/>
        </w:rPr>
        <w:t>լուծաչափը՝</w:t>
      </w:r>
      <w:r w:rsidRPr="00825EEB">
        <w:rPr>
          <w:rFonts w:ascii="Sylfaen" w:hAnsi="Sylfaen"/>
          <w:sz w:val="24"/>
          <w:szCs w:val="24"/>
        </w:rPr>
        <w:t xml:space="preserve"> պոլիմերային 11-րդ նյութի հավելանյութի </w:t>
      </w:r>
      <w:r>
        <w:rPr>
          <w:rFonts w:ascii="Sylfaen" w:hAnsi="Sylfaen"/>
          <w:sz w:val="24"/>
          <w:szCs w:val="24"/>
        </w:rPr>
        <w:t>եւ</w:t>
      </w:r>
      <w:r w:rsidRPr="00825EEB">
        <w:rPr>
          <w:rFonts w:ascii="Sylfaen" w:hAnsi="Sylfaen"/>
          <w:sz w:val="24"/>
          <w:szCs w:val="24"/>
        </w:rPr>
        <w:t xml:space="preserve"> պոլիմերային 12-րդ նյութի հավելանյութի պիկերի միջ</w:t>
      </w:r>
      <w:r>
        <w:rPr>
          <w:rFonts w:ascii="Sylfaen" w:hAnsi="Sylfaen"/>
          <w:sz w:val="24"/>
          <w:szCs w:val="24"/>
        </w:rPr>
        <w:t>եւ</w:t>
      </w:r>
      <w:r w:rsidRPr="00825EEB">
        <w:rPr>
          <w:rFonts w:ascii="Sylfaen" w:hAnsi="Sylfaen"/>
          <w:sz w:val="24"/>
          <w:szCs w:val="24"/>
        </w:rPr>
        <w:t xml:space="preserve"> ոչ պակաս, քան 2,0:</w:t>
      </w:r>
    </w:p>
    <w:p w14:paraId="442757B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սահմանը՝</w:t>
      </w:r>
    </w:p>
    <w:p w14:paraId="345C8E4D" w14:textId="77777777" w:rsidR="0058052E" w:rsidRPr="00D35F34" w:rsidRDefault="00A5284F" w:rsidP="00A5284F">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5284F">
        <w:rPr>
          <w:rFonts w:ascii="Sylfaen" w:hAnsi="Sylfaen"/>
          <w:sz w:val="24"/>
          <w:szCs w:val="24"/>
        </w:rPr>
        <w:tab/>
      </w:r>
      <w:r w:rsidR="0058052E" w:rsidRPr="00825EEB">
        <w:rPr>
          <w:rFonts w:ascii="Sylfaen" w:hAnsi="Sylfaen"/>
          <w:sz w:val="24"/>
          <w:szCs w:val="24"/>
        </w:rPr>
        <w:t>(բ) փորձարկվող լուծույթի քրոմատագրի վրա պետք է հայտնաբերվեն միայն հիմնական պիկերը, որոնք համապատասխանում են (բ) համեմատության լուծույթի քրոմատագրի պիկերին՝ պահման 3 րոպեից ավելի ժամանակով.</w:t>
      </w:r>
    </w:p>
    <w:p w14:paraId="5DCBE7C1" w14:textId="77777777" w:rsidR="00F24391" w:rsidRPr="00D35F34" w:rsidRDefault="00F24391" w:rsidP="00A5284F">
      <w:pPr>
        <w:pStyle w:val="a0"/>
        <w:shd w:val="clear" w:color="auto" w:fill="auto"/>
        <w:tabs>
          <w:tab w:val="left" w:pos="1134"/>
        </w:tabs>
        <w:spacing w:after="160" w:line="360" w:lineRule="auto"/>
        <w:ind w:firstLine="567"/>
        <w:jc w:val="both"/>
        <w:rPr>
          <w:rFonts w:ascii="Sylfaen" w:hAnsi="Sylfaen" w:cs="Sylfaen"/>
          <w:sz w:val="24"/>
          <w:szCs w:val="24"/>
        </w:rPr>
      </w:pPr>
    </w:p>
    <w:p w14:paraId="7286B166" w14:textId="77777777" w:rsidR="0058052E" w:rsidRPr="00825EEB" w:rsidRDefault="00A5284F" w:rsidP="00A5284F">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A5284F">
        <w:rPr>
          <w:rFonts w:ascii="Sylfaen" w:hAnsi="Sylfaen"/>
          <w:sz w:val="24"/>
          <w:szCs w:val="24"/>
        </w:rPr>
        <w:tab/>
      </w:r>
      <w:r w:rsidR="0058052E" w:rsidRPr="00825EEB">
        <w:rPr>
          <w:rFonts w:ascii="Sylfaen" w:hAnsi="Sylfaen"/>
          <w:sz w:val="24"/>
          <w:szCs w:val="24"/>
        </w:rPr>
        <w:t>(բ) փորձարկվող լուծույթի քրոմատագրի վրա պիկերի մակերեսները չպետք է գերազանցեն (բ) համեմատության լուծույթի քրոմատագրի վրայի համապատասխան պիկերի մակերեսները:</w:t>
      </w:r>
    </w:p>
    <w:p w14:paraId="3450918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1,2 %-ից ոչ ավելի: Որոշումն անցկացնում են փորձարկվող պոլիէթիլենվինիլացետատի 5,0 գ-ով:</w:t>
      </w:r>
    </w:p>
    <w:p w14:paraId="11EC1BCD" w14:textId="77777777" w:rsidR="0058052E" w:rsidRPr="00825EEB" w:rsidRDefault="0058052E" w:rsidP="0058052E">
      <w:pPr>
        <w:pStyle w:val="a0"/>
        <w:shd w:val="clear" w:color="auto" w:fill="auto"/>
        <w:spacing w:after="160" w:line="360" w:lineRule="auto"/>
        <w:ind w:firstLine="0"/>
        <w:jc w:val="both"/>
        <w:rPr>
          <w:rFonts w:ascii="Sylfaen" w:hAnsi="Sylfaen" w:cs="Sylfaen"/>
          <w:sz w:val="24"/>
          <w:szCs w:val="24"/>
        </w:rPr>
      </w:pPr>
    </w:p>
    <w:p w14:paraId="29F3319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ՔԱՆԱԿԱԿԱՆ ՈՐՈՇՈՒՄԸ</w:t>
      </w:r>
    </w:p>
    <w:p w14:paraId="71C1FE1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Համապոլիմերում վինիլացետատի պարունակությանը համապատասխան՝ փորձարկվող պոլիէթիլենվինիլացետատի 0,250-ից 1,000 գ տեղադրվում է կիպահղկված խցանով, 300 մլ տարողությամբ, մագնիսական խառնիչով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Ռ քսիլոլի</w:t>
      </w:r>
      <w:r w:rsidRPr="00825EEB">
        <w:rPr>
          <w:rFonts w:ascii="Sylfaen" w:hAnsi="Sylfaen"/>
          <w:sz w:val="24"/>
          <w:szCs w:val="24"/>
        </w:rPr>
        <w:t xml:space="preserve"> 40 մլ: Խառնելով՝ 4 ժամ եռացնում են հակադարձ սառնարանով: Անդադար խառնելով՝ հովացնում են մինչ</w:t>
      </w:r>
      <w:r>
        <w:rPr>
          <w:rFonts w:ascii="Sylfaen" w:hAnsi="Sylfaen"/>
          <w:sz w:val="24"/>
          <w:szCs w:val="24"/>
        </w:rPr>
        <w:t>եւ</w:t>
      </w:r>
      <w:r w:rsidRPr="00825EEB">
        <w:rPr>
          <w:rFonts w:ascii="Sylfaen" w:hAnsi="Sylfaen"/>
          <w:sz w:val="24"/>
          <w:szCs w:val="24"/>
        </w:rPr>
        <w:t xml:space="preserve"> նստվածքի առաջացումը </w:t>
      </w:r>
      <w:r>
        <w:rPr>
          <w:rFonts w:ascii="Sylfaen" w:hAnsi="Sylfaen"/>
          <w:sz w:val="24"/>
          <w:szCs w:val="24"/>
        </w:rPr>
        <w:t>եւ</w:t>
      </w:r>
      <w:r w:rsidRPr="00825EEB">
        <w:rPr>
          <w:rFonts w:ascii="Sylfaen" w:hAnsi="Sylfaen"/>
          <w:sz w:val="24"/>
          <w:szCs w:val="24"/>
        </w:rPr>
        <w:t xml:space="preserve"> դանդաղ ավելացնում </w:t>
      </w:r>
      <w:r w:rsidRPr="00825EEB">
        <w:rPr>
          <w:rFonts w:ascii="Sylfaen" w:hAnsi="Sylfaen"/>
          <w:i/>
          <w:sz w:val="24"/>
          <w:szCs w:val="24"/>
        </w:rPr>
        <w:t>Ռ1 կալիումի հիդրօքսիդի սպիրտային լուծույթի</w:t>
      </w:r>
      <w:r w:rsidRPr="00825EEB">
        <w:rPr>
          <w:rFonts w:ascii="Sylfaen" w:hAnsi="Sylfaen"/>
          <w:sz w:val="24"/>
          <w:szCs w:val="24"/>
        </w:rPr>
        <w:t xml:space="preserve"> 25,0 մլ: Խառնելով՝ կրկին եռացնում են 3 ժամ հակադարձ սառնարանով: Անդադար խառնելով՝ հովացնում են, սառնարանը լվանում </w:t>
      </w:r>
      <w:r w:rsidRPr="00825EEB">
        <w:rPr>
          <w:rFonts w:ascii="Sylfaen" w:hAnsi="Sylfaen"/>
          <w:i/>
          <w:sz w:val="24"/>
          <w:szCs w:val="24"/>
        </w:rPr>
        <w:t>Ռ ջրի</w:t>
      </w:r>
      <w:r w:rsidRPr="00825EEB">
        <w:rPr>
          <w:rFonts w:ascii="Sylfaen" w:hAnsi="Sylfaen"/>
          <w:sz w:val="24"/>
          <w:szCs w:val="24"/>
        </w:rPr>
        <w:t xml:space="preserve"> 50 մլ-ով </w:t>
      </w:r>
      <w:r>
        <w:rPr>
          <w:rFonts w:ascii="Sylfaen" w:hAnsi="Sylfaen"/>
          <w:sz w:val="24"/>
          <w:szCs w:val="24"/>
        </w:rPr>
        <w:t>եւ</w:t>
      </w:r>
      <w:r w:rsidRPr="00825EEB">
        <w:rPr>
          <w:rFonts w:ascii="Sylfaen" w:hAnsi="Sylfaen"/>
          <w:sz w:val="24"/>
          <w:szCs w:val="24"/>
        </w:rPr>
        <w:t xml:space="preserve"> փորձանոթի մեջ ավելացնում </w:t>
      </w:r>
      <w:r w:rsidRPr="00825EEB">
        <w:rPr>
          <w:rFonts w:ascii="Sylfaen" w:hAnsi="Sylfaen"/>
          <w:i/>
          <w:sz w:val="24"/>
          <w:szCs w:val="24"/>
        </w:rPr>
        <w:t>0,05 Մ ծծմբաթթվի լուծույթի</w:t>
      </w:r>
      <w:r w:rsidRPr="00825EEB">
        <w:rPr>
          <w:rFonts w:ascii="Sylfaen" w:hAnsi="Sylfaen"/>
          <w:sz w:val="24"/>
          <w:szCs w:val="24"/>
        </w:rPr>
        <w:t xml:space="preserve"> 30,0 մլ: Փորձանոթի պարունակությունը տեղափոխում են 400 մլ տարողությամբ լաբորատոր բաժակի մեջ: Փորձանոթը երկու անգամ ողողում են 200 գ/լ </w:t>
      </w:r>
      <w:r w:rsidRPr="00825EEB">
        <w:rPr>
          <w:rFonts w:ascii="Sylfaen" w:hAnsi="Sylfaen"/>
          <w:i/>
          <w:sz w:val="24"/>
          <w:szCs w:val="24"/>
        </w:rPr>
        <w:t>Ռ անջուր նատրիումի սուլֆատի</w:t>
      </w:r>
      <w:r w:rsidRPr="00825EEB">
        <w:rPr>
          <w:rFonts w:ascii="Sylfaen" w:hAnsi="Sylfaen"/>
          <w:sz w:val="24"/>
          <w:szCs w:val="24"/>
        </w:rPr>
        <w:t xml:space="preserve"> լուծույթի 50-ական մլ բաժիններով </w:t>
      </w:r>
      <w:r>
        <w:rPr>
          <w:rFonts w:ascii="Sylfaen" w:hAnsi="Sylfaen"/>
          <w:sz w:val="24"/>
          <w:szCs w:val="24"/>
        </w:rPr>
        <w:t>եւ</w:t>
      </w:r>
      <w:r w:rsidRPr="00825EEB">
        <w:rPr>
          <w:rFonts w:ascii="Sylfaen" w:hAnsi="Sylfaen"/>
          <w:sz w:val="24"/>
          <w:szCs w:val="24"/>
        </w:rPr>
        <w:t xml:space="preserve"> երեք անգամ՝ </w:t>
      </w:r>
      <w:r w:rsidRPr="00825EEB">
        <w:rPr>
          <w:rFonts w:ascii="Sylfaen" w:hAnsi="Sylfaen"/>
          <w:i/>
          <w:sz w:val="24"/>
          <w:szCs w:val="24"/>
        </w:rPr>
        <w:t>Ռ ջրի</w:t>
      </w:r>
      <w:r w:rsidRPr="00825EEB">
        <w:rPr>
          <w:rFonts w:ascii="Sylfaen" w:hAnsi="Sylfaen"/>
          <w:sz w:val="24"/>
          <w:szCs w:val="24"/>
        </w:rPr>
        <w:t xml:space="preserve"> 20-ական մլ բաժիններով </w:t>
      </w:r>
      <w:r>
        <w:rPr>
          <w:rFonts w:ascii="Sylfaen" w:hAnsi="Sylfaen"/>
          <w:sz w:val="24"/>
          <w:szCs w:val="24"/>
        </w:rPr>
        <w:t>եւ</w:t>
      </w:r>
      <w:r w:rsidRPr="00825EEB">
        <w:rPr>
          <w:rFonts w:ascii="Sylfaen" w:hAnsi="Sylfaen"/>
          <w:sz w:val="24"/>
          <w:szCs w:val="24"/>
        </w:rPr>
        <w:t xml:space="preserve"> ողողվածքներն ավելացնում նույն լաբորատոր բաժակի մեջ: Ծծմբաթթվի ավելցուկը պոտենցաչափորեն տիտրում են </w:t>
      </w:r>
      <w:r w:rsidRPr="00825EEB">
        <w:rPr>
          <w:rFonts w:ascii="Sylfaen" w:hAnsi="Sylfaen"/>
          <w:i/>
          <w:sz w:val="24"/>
          <w:szCs w:val="24"/>
        </w:rPr>
        <w:t xml:space="preserve">0,1 Մ նատրիումի հիդրօքսիդի լուծույթով </w:t>
      </w:r>
      <w:r w:rsidRPr="00825EEB">
        <w:rPr>
          <w:rFonts w:ascii="Sylfaen" w:hAnsi="Sylfaen"/>
          <w:sz w:val="24"/>
          <w:szCs w:val="24"/>
        </w:rPr>
        <w:t>(</w:t>
      </w:r>
      <w:r w:rsidRPr="00825EEB">
        <w:rPr>
          <w:rFonts w:ascii="Sylfaen" w:hAnsi="Sylfaen"/>
          <w:i/>
          <w:sz w:val="24"/>
          <w:szCs w:val="24"/>
        </w:rPr>
        <w:t>2.1.2.19</w:t>
      </w:r>
      <w:r w:rsidRPr="00825EEB">
        <w:rPr>
          <w:rFonts w:ascii="Sylfaen" w:hAnsi="Sylfaen"/>
          <w:sz w:val="24"/>
          <w:szCs w:val="24"/>
        </w:rPr>
        <w:t>): Զուգահեռ անցկացնում են ստուգիչ փորձարկումը։</w:t>
      </w:r>
    </w:p>
    <w:p w14:paraId="3A3E88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0,05 Մ ծծմբաթթվի լուծույթի</w:t>
      </w:r>
      <w:r w:rsidRPr="00825EEB">
        <w:rPr>
          <w:rFonts w:ascii="Sylfaen" w:hAnsi="Sylfaen"/>
          <w:sz w:val="24"/>
          <w:szCs w:val="24"/>
        </w:rPr>
        <w:t xml:space="preserve"> 1 մլ-ը համապատասխանում է վինիլացետատի 8,609 մգ-ին։</w:t>
      </w:r>
    </w:p>
    <w:p w14:paraId="0C0111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1FF60AF6" w14:textId="77777777" w:rsidR="00F24391" w:rsidRDefault="00F24391">
      <w:pPr>
        <w:rPr>
          <w:rFonts w:eastAsia="Times New Roman" w:cs="Times New Roman"/>
          <w:b/>
          <w:color w:val="auto"/>
          <w:sz w:val="20"/>
        </w:rPr>
      </w:pPr>
      <w:r>
        <w:rPr>
          <w:b/>
        </w:rPr>
        <w:br w:type="page"/>
      </w:r>
    </w:p>
    <w:p w14:paraId="3D0F50AA" w14:textId="77777777" w:rsidR="0058052E" w:rsidRPr="00A859E3" w:rsidRDefault="0058052E" w:rsidP="00A5284F">
      <w:pPr>
        <w:pStyle w:val="a0"/>
        <w:shd w:val="clear" w:color="auto" w:fill="auto"/>
        <w:spacing w:after="160" w:line="360" w:lineRule="auto"/>
        <w:ind w:firstLine="567"/>
        <w:jc w:val="right"/>
        <w:rPr>
          <w:rFonts w:ascii="Sylfaen" w:hAnsi="Sylfaen"/>
          <w:b/>
          <w:szCs w:val="24"/>
        </w:rPr>
      </w:pPr>
      <w:r w:rsidRPr="00A5284F">
        <w:rPr>
          <w:rFonts w:ascii="Sylfaen" w:hAnsi="Sylfaen"/>
          <w:b/>
          <w:szCs w:val="24"/>
        </w:rPr>
        <w:lastRenderedPageBreak/>
        <w:t>204010006-2022</w:t>
      </w:r>
    </w:p>
    <w:p w14:paraId="0F9666AC" w14:textId="77777777" w:rsidR="00A5284F" w:rsidRPr="00A859E3" w:rsidRDefault="00A5284F" w:rsidP="00A5284F">
      <w:pPr>
        <w:pStyle w:val="a0"/>
        <w:shd w:val="clear" w:color="auto" w:fill="auto"/>
        <w:spacing w:after="160" w:line="360" w:lineRule="auto"/>
        <w:ind w:firstLine="567"/>
        <w:jc w:val="right"/>
        <w:rPr>
          <w:rFonts w:ascii="Sylfaen" w:hAnsi="Sylfaen" w:cs="Sylfaen"/>
          <w:szCs w:val="24"/>
        </w:rPr>
      </w:pPr>
    </w:p>
    <w:p w14:paraId="17ED90F4" w14:textId="77777777" w:rsidR="0058052E" w:rsidRPr="00825EEB" w:rsidRDefault="0058052E" w:rsidP="00F634DB">
      <w:pPr>
        <w:pStyle w:val="a0"/>
        <w:shd w:val="clear" w:color="auto" w:fill="auto"/>
        <w:tabs>
          <w:tab w:val="left" w:pos="1701"/>
        </w:tabs>
        <w:spacing w:after="160" w:line="360" w:lineRule="auto"/>
        <w:ind w:firstLine="567"/>
        <w:jc w:val="both"/>
        <w:rPr>
          <w:rFonts w:ascii="Sylfaen" w:hAnsi="Sylfaen" w:cs="Sylfaen"/>
          <w:sz w:val="24"/>
          <w:szCs w:val="24"/>
        </w:rPr>
      </w:pPr>
      <w:r w:rsidRPr="00825EEB">
        <w:rPr>
          <w:rFonts w:ascii="Sylfaen" w:hAnsi="Sylfaen"/>
          <w:b/>
          <w:sz w:val="24"/>
          <w:szCs w:val="24"/>
        </w:rPr>
        <w:t>2.4.1.6.</w:t>
      </w:r>
      <w:r w:rsidR="00F634DB" w:rsidRPr="00903268">
        <w:rPr>
          <w:rFonts w:ascii="Sylfaen" w:hAnsi="Sylfaen"/>
          <w:b/>
          <w:sz w:val="24"/>
          <w:szCs w:val="24"/>
        </w:rPr>
        <w:tab/>
      </w:r>
      <w:r w:rsidRPr="00825EEB">
        <w:rPr>
          <w:rFonts w:ascii="Sylfaen" w:hAnsi="Sylfaen"/>
          <w:b/>
          <w:sz w:val="24"/>
          <w:szCs w:val="24"/>
        </w:rPr>
        <w:t>Որպես քսայուղային հավելանյութ օգտագործվող սիլիկոնային յուղը</w:t>
      </w:r>
    </w:p>
    <w:p w14:paraId="0FDEAA8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lang w:val="en-US" w:eastAsia="en-US" w:bidi="ar-SA"/>
        </w:rPr>
        <w:drawing>
          <wp:inline distT="0" distB="0" distL="0" distR="0" wp14:anchorId="1C71B741" wp14:editId="518FF1B5">
            <wp:extent cx="2059131" cy="764835"/>
            <wp:effectExtent l="1905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srcRect/>
                    <a:stretch>
                      <a:fillRect/>
                    </a:stretch>
                  </pic:blipFill>
                  <pic:spPr bwMode="auto">
                    <a:xfrm>
                      <a:off x="0" y="0"/>
                      <a:ext cx="2062085" cy="765932"/>
                    </a:xfrm>
                    <a:prstGeom prst="rect">
                      <a:avLst/>
                    </a:prstGeom>
                    <a:noFill/>
                    <a:ln w="9525">
                      <a:noFill/>
                      <a:miter lim="800000"/>
                      <a:headEnd/>
                      <a:tailEnd/>
                    </a:ln>
                  </pic:spPr>
                </pic:pic>
              </a:graphicData>
            </a:graphic>
          </wp:inline>
        </w:drawing>
      </w:r>
    </w:p>
    <w:p w14:paraId="6C408DE6" w14:textId="77777777" w:rsidR="0058052E" w:rsidRPr="00825EEB" w:rsidRDefault="0058052E" w:rsidP="0058052E">
      <w:pPr>
        <w:pStyle w:val="a0"/>
        <w:shd w:val="clear" w:color="auto" w:fill="auto"/>
        <w:spacing w:after="160" w:line="360" w:lineRule="auto"/>
        <w:ind w:firstLine="567"/>
        <w:jc w:val="both"/>
        <w:rPr>
          <w:rFonts w:ascii="Sylfaen" w:hAnsi="Sylfaen" w:cs="Sylfaen"/>
          <w:b/>
          <w:bCs/>
          <w:sz w:val="24"/>
          <w:szCs w:val="24"/>
        </w:rPr>
      </w:pPr>
    </w:p>
    <w:p w14:paraId="0390ABB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ՆԿԱՐԱԳՐՈՒԹՅՈՒՆ</w:t>
      </w:r>
    </w:p>
    <w:p w14:paraId="60193CD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Որպես քսայուղային հավելանյութ օգտագործվող սիլիկոնային յուղը դիքլորդիմեթիլսիլանի ու քլորտրիմեթլսիլանի հիդրոլիզով </w:t>
      </w:r>
      <w:r>
        <w:rPr>
          <w:rFonts w:ascii="Sylfaen" w:hAnsi="Sylfaen"/>
          <w:sz w:val="24"/>
          <w:szCs w:val="24"/>
        </w:rPr>
        <w:t>եւ</w:t>
      </w:r>
      <w:r w:rsidRPr="00825EEB">
        <w:rPr>
          <w:rFonts w:ascii="Sylfaen" w:hAnsi="Sylfaen"/>
          <w:sz w:val="24"/>
          <w:szCs w:val="24"/>
        </w:rPr>
        <w:t xml:space="preserve"> պոլիկոնդենսացմամբ ստացված պոլիդիմեթիլսիլօքսան է: Գոյություն ունեն սիլիկոնային յուղի տարբեր մակնիշներ, որոնք բնութագրվում են դրա անվանական մածուցիկության մեծությունը ներկայացնող թվով, եւ որը նշում են անվանումից հետո:</w:t>
      </w:r>
    </w:p>
    <w:p w14:paraId="433ED88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vertAlign w:val="superscript"/>
        </w:rPr>
      </w:pPr>
      <w:r w:rsidRPr="00825EEB">
        <w:rPr>
          <w:rFonts w:ascii="Sylfaen" w:hAnsi="Sylfaen"/>
          <w:sz w:val="24"/>
          <w:szCs w:val="24"/>
        </w:rPr>
        <w:t xml:space="preserve">Որպես քսայուղային հավելանյութ օգտագործվող սիլիկոնային յուղերի պոլիմերացման աստիճանը </w:t>
      </w:r>
      <w:r w:rsidRPr="00825EEB">
        <w:rPr>
          <w:rFonts w:ascii="Sylfaen" w:hAnsi="Sylfaen"/>
          <w:i/>
          <w:sz w:val="24"/>
          <w:szCs w:val="24"/>
        </w:rPr>
        <w:t>(n =</w:t>
      </w:r>
      <w:r w:rsidRPr="00825EEB">
        <w:rPr>
          <w:rFonts w:ascii="Sylfaen" w:hAnsi="Sylfaen"/>
          <w:sz w:val="24"/>
          <w:szCs w:val="24"/>
        </w:rPr>
        <w:t xml:space="preserve"> 400-ից մինչ</w:t>
      </w:r>
      <w:r>
        <w:rPr>
          <w:rFonts w:ascii="Sylfaen" w:hAnsi="Sylfaen"/>
          <w:sz w:val="24"/>
          <w:szCs w:val="24"/>
        </w:rPr>
        <w:t>եւ</w:t>
      </w:r>
      <w:r w:rsidRPr="00825EEB">
        <w:rPr>
          <w:rFonts w:ascii="Sylfaen" w:hAnsi="Sylfaen"/>
          <w:sz w:val="24"/>
          <w:szCs w:val="24"/>
        </w:rPr>
        <w:t xml:space="preserve"> 1200) պետք է այնպիսին լինի, որ դրանց կինեմատիկ մածուցիկությունը գտնվի 10</w:t>
      </w:r>
      <w:r w:rsidRPr="00825EEB">
        <w:rPr>
          <w:rFonts w:ascii="Sylfaen" w:hAnsi="Sylfaen"/>
          <w:sz w:val="24"/>
          <w:szCs w:val="24"/>
          <w:vertAlign w:val="superscript"/>
        </w:rPr>
        <w:t>3</w:t>
      </w:r>
      <w:r w:rsidRPr="00825EEB">
        <w:rPr>
          <w:rFonts w:ascii="Sylfaen" w:hAnsi="Sylfaen"/>
          <w:sz w:val="24"/>
          <w:szCs w:val="24"/>
        </w:rPr>
        <w:t xml:space="preserve"> մմ</w:t>
      </w:r>
      <w:r w:rsidRPr="00825EEB">
        <w:rPr>
          <w:rFonts w:ascii="Sylfaen" w:hAnsi="Sylfaen"/>
          <w:sz w:val="24"/>
          <w:szCs w:val="24"/>
          <w:vertAlign w:val="superscript"/>
        </w:rPr>
        <w:t>2</w:t>
      </w:r>
      <w:r w:rsidRPr="00825EEB">
        <w:rPr>
          <w:rFonts w:ascii="Sylfaen" w:hAnsi="Sylfaen"/>
          <w:sz w:val="24"/>
          <w:szCs w:val="24"/>
        </w:rPr>
        <w:t>•ս</w:t>
      </w:r>
      <w:r w:rsidRPr="00825EEB">
        <w:rPr>
          <w:rFonts w:ascii="Sylfaen" w:hAnsi="Sylfaen"/>
          <w:sz w:val="24"/>
          <w:szCs w:val="24"/>
          <w:vertAlign w:val="superscript"/>
        </w:rPr>
        <w:t>-1</w:t>
      </w:r>
      <w:r w:rsidRPr="00825EEB">
        <w:rPr>
          <w:rFonts w:ascii="Sylfaen" w:hAnsi="Sylfaen"/>
          <w:sz w:val="24"/>
          <w:szCs w:val="24"/>
        </w:rPr>
        <w:t>-ից մինչ</w:t>
      </w:r>
      <w:r>
        <w:rPr>
          <w:rFonts w:ascii="Sylfaen" w:hAnsi="Sylfaen"/>
          <w:sz w:val="24"/>
          <w:szCs w:val="24"/>
        </w:rPr>
        <w:t>եւ</w:t>
      </w:r>
      <w:r w:rsidRPr="00825EEB">
        <w:rPr>
          <w:rFonts w:ascii="Sylfaen" w:hAnsi="Sylfaen"/>
          <w:sz w:val="24"/>
          <w:szCs w:val="24"/>
        </w:rPr>
        <w:t xml:space="preserve"> 30•10</w:t>
      </w:r>
      <w:r w:rsidRPr="00825EEB">
        <w:rPr>
          <w:rFonts w:ascii="Sylfaen" w:hAnsi="Sylfaen"/>
          <w:sz w:val="24"/>
          <w:szCs w:val="24"/>
          <w:vertAlign w:val="superscript"/>
        </w:rPr>
        <w:t>3</w:t>
      </w:r>
      <w:r w:rsidRPr="00825EEB">
        <w:rPr>
          <w:rFonts w:ascii="Sylfaen" w:hAnsi="Sylfaen"/>
          <w:sz w:val="24"/>
          <w:szCs w:val="24"/>
        </w:rPr>
        <w:t xml:space="preserve"> մմ</w:t>
      </w:r>
      <w:r w:rsidRPr="00825EEB">
        <w:rPr>
          <w:rFonts w:ascii="Sylfaen" w:hAnsi="Sylfaen"/>
          <w:sz w:val="24"/>
          <w:szCs w:val="24"/>
          <w:vertAlign w:val="superscript"/>
        </w:rPr>
        <w:t>2</w:t>
      </w:r>
      <w:r w:rsidRPr="00825EEB">
        <w:rPr>
          <w:rFonts w:ascii="Sylfaen" w:hAnsi="Sylfaen"/>
          <w:sz w:val="24"/>
          <w:szCs w:val="24"/>
        </w:rPr>
        <w:t>•ս</w:t>
      </w:r>
      <w:r w:rsidRPr="00825EEB">
        <w:rPr>
          <w:rFonts w:ascii="Sylfaen" w:hAnsi="Sylfaen"/>
          <w:sz w:val="24"/>
          <w:szCs w:val="24"/>
          <w:vertAlign w:val="superscript"/>
        </w:rPr>
        <w:t>-1</w:t>
      </w:r>
      <w:r w:rsidRPr="00825EEB">
        <w:rPr>
          <w:rFonts w:ascii="Sylfaen" w:hAnsi="Sylfaen"/>
          <w:sz w:val="24"/>
          <w:szCs w:val="24"/>
        </w:rPr>
        <w:t xml:space="preserve"> անվանական սահմաններում:</w:t>
      </w:r>
    </w:p>
    <w:p w14:paraId="5D0541C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2DBA4D5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5F368DE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Նկարագրությունը։ </w:t>
      </w:r>
      <w:r w:rsidRPr="00825EEB">
        <w:rPr>
          <w:rFonts w:ascii="Sylfaen" w:hAnsi="Sylfaen"/>
          <w:sz w:val="24"/>
          <w:szCs w:val="24"/>
        </w:rPr>
        <w:t xml:space="preserve">Տարբեր մածուցիկության թափանցիկ, անգույն հեղուկ, գրեթե լուծելի չէ ջրի </w:t>
      </w:r>
      <w:r>
        <w:rPr>
          <w:rFonts w:ascii="Sylfaen" w:hAnsi="Sylfaen"/>
          <w:sz w:val="24"/>
          <w:szCs w:val="24"/>
        </w:rPr>
        <w:t>եւ</w:t>
      </w:r>
      <w:r w:rsidRPr="00825EEB">
        <w:rPr>
          <w:rFonts w:ascii="Sylfaen" w:hAnsi="Sylfaen"/>
          <w:sz w:val="24"/>
          <w:szCs w:val="24"/>
        </w:rPr>
        <w:t xml:space="preserve"> մեթանոլի մեջ, խառնվում է էթիլացետատի, մեթիլէթիլկետոնի </w:t>
      </w:r>
      <w:r>
        <w:rPr>
          <w:rFonts w:ascii="Sylfaen" w:hAnsi="Sylfaen"/>
          <w:sz w:val="24"/>
          <w:szCs w:val="24"/>
        </w:rPr>
        <w:t>եւ</w:t>
      </w:r>
      <w:r w:rsidRPr="00825EEB">
        <w:rPr>
          <w:rFonts w:ascii="Sylfaen" w:hAnsi="Sylfaen"/>
          <w:sz w:val="24"/>
          <w:szCs w:val="24"/>
        </w:rPr>
        <w:t xml:space="preserve"> տոլուոլի հետ, շատ քիչ լուծելի է անջուր էթանոլի մեջ:</w:t>
      </w:r>
    </w:p>
    <w:p w14:paraId="4AEDA0D8" w14:textId="77777777" w:rsidR="0058052E" w:rsidRPr="00D35F34" w:rsidRDefault="0058052E" w:rsidP="0058052E">
      <w:pPr>
        <w:pStyle w:val="a0"/>
        <w:shd w:val="clear" w:color="auto" w:fill="auto"/>
        <w:spacing w:after="160" w:line="360" w:lineRule="auto"/>
        <w:ind w:firstLine="567"/>
        <w:jc w:val="both"/>
        <w:rPr>
          <w:rFonts w:ascii="Sylfaen" w:hAnsi="Sylfaen" w:cs="Sylfaen"/>
          <w:sz w:val="24"/>
          <w:szCs w:val="24"/>
        </w:rPr>
      </w:pPr>
    </w:p>
    <w:p w14:paraId="1940497A"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524F79F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ՆՈՒՅՆԱԿԱՆԱՑՈՒՄԸ</w:t>
      </w:r>
    </w:p>
    <w:p w14:paraId="4E074F8D"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A5284F" w:rsidRPr="00A859E3">
        <w:rPr>
          <w:rFonts w:ascii="Sylfaen" w:hAnsi="Sylfaen"/>
          <w:sz w:val="24"/>
          <w:szCs w:val="24"/>
        </w:rPr>
        <w:tab/>
      </w:r>
      <w:r w:rsidRPr="00825EEB">
        <w:rPr>
          <w:rFonts w:ascii="Sylfaen" w:hAnsi="Sylfaen"/>
          <w:sz w:val="24"/>
          <w:szCs w:val="24"/>
        </w:rPr>
        <w:t xml:space="preserve">Փորձարկվող նմուշը պետք է համապատասխանի </w:t>
      </w:r>
      <w:r w:rsidRPr="00825EEB">
        <w:rPr>
          <w:rFonts w:ascii="Sylfaen" w:hAnsi="Sylfaen"/>
          <w:i/>
          <w:sz w:val="24"/>
          <w:szCs w:val="24"/>
        </w:rPr>
        <w:t>«Փորձարկումներ»</w:t>
      </w:r>
      <w:r w:rsidRPr="00825EEB">
        <w:rPr>
          <w:rFonts w:ascii="Sylfaen" w:hAnsi="Sylfaen"/>
          <w:sz w:val="24"/>
          <w:szCs w:val="24"/>
        </w:rPr>
        <w:t xml:space="preserve"> բաժնում նշված՝ </w:t>
      </w:r>
      <w:smartTag w:uri="urn:schemas-microsoft-com:office:smarttags" w:element="metricconverter">
        <w:smartTagPr>
          <w:attr w:name="ProductID" w:val="25 °C"/>
        </w:smartTagPr>
        <w:r w:rsidRPr="00825EEB">
          <w:rPr>
            <w:rFonts w:ascii="Sylfaen" w:hAnsi="Sylfaen"/>
            <w:sz w:val="24"/>
            <w:szCs w:val="24"/>
          </w:rPr>
          <w:t>25 °C</w:t>
        </w:r>
      </w:smartTag>
      <w:r w:rsidRPr="00825EEB">
        <w:rPr>
          <w:rFonts w:ascii="Sylfaen" w:hAnsi="Sylfaen"/>
          <w:sz w:val="24"/>
          <w:szCs w:val="24"/>
        </w:rPr>
        <w:t xml:space="preserve"> ջերմաստիճանում կինեմատիկական մածուցիկության պահանջներին:</w:t>
      </w:r>
    </w:p>
    <w:p w14:paraId="0983A500"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A5284F">
        <w:rPr>
          <w:rFonts w:ascii="Sylfaen" w:hAnsi="Sylfaen"/>
          <w:spacing w:val="4"/>
          <w:sz w:val="24"/>
          <w:szCs w:val="24"/>
        </w:rPr>
        <w:t>Բ.</w:t>
      </w:r>
      <w:r w:rsidR="00A5284F" w:rsidRPr="00A5284F">
        <w:rPr>
          <w:rFonts w:ascii="Sylfaen" w:hAnsi="Sylfaen"/>
          <w:spacing w:val="4"/>
          <w:sz w:val="24"/>
          <w:szCs w:val="24"/>
        </w:rPr>
        <w:tab/>
      </w:r>
      <w:r w:rsidRPr="00A5284F">
        <w:rPr>
          <w:rFonts w:ascii="Sylfaen" w:hAnsi="Sylfaen"/>
          <w:spacing w:val="4"/>
          <w:sz w:val="24"/>
          <w:szCs w:val="24"/>
        </w:rPr>
        <w:t xml:space="preserve">Փորձարկվող նմուշի ինֆրակարմիր սպեկտրը </w:t>
      </w:r>
      <w:r w:rsidRPr="00A5284F">
        <w:rPr>
          <w:rFonts w:ascii="Sylfaen" w:hAnsi="Sylfaen"/>
          <w:i/>
          <w:spacing w:val="4"/>
          <w:sz w:val="24"/>
          <w:szCs w:val="24"/>
        </w:rPr>
        <w:t>(2.1.2.23)</w:t>
      </w:r>
      <w:r w:rsidRPr="00A5284F">
        <w:rPr>
          <w:rFonts w:ascii="Sylfaen" w:hAnsi="Sylfaen"/>
          <w:spacing w:val="4"/>
          <w:sz w:val="24"/>
          <w:szCs w:val="24"/>
        </w:rPr>
        <w:t xml:space="preserve"> պետք է համապատասխանի </w:t>
      </w:r>
      <w:r w:rsidRPr="00A5284F">
        <w:rPr>
          <w:rFonts w:ascii="Sylfaen" w:hAnsi="Sylfaen"/>
          <w:i/>
          <w:spacing w:val="4"/>
          <w:sz w:val="24"/>
          <w:szCs w:val="24"/>
        </w:rPr>
        <w:t>սիլիկոնային յուղի ԵԱՏՄԴ ՍՆ</w:t>
      </w:r>
      <w:r w:rsidRPr="00A5284F">
        <w:rPr>
          <w:rFonts w:ascii="Sylfaen" w:hAnsi="Sylfaen"/>
          <w:spacing w:val="4"/>
          <w:sz w:val="24"/>
          <w:szCs w:val="24"/>
        </w:rPr>
        <w:t xml:space="preserve"> սպեկտրին: Սպեկտրի 850</w:t>
      </w:r>
      <w:r w:rsidR="00A5284F" w:rsidRPr="00A5284F">
        <w:rPr>
          <w:rFonts w:ascii="Sylfaen" w:hAnsi="Sylfaen"/>
          <w:spacing w:val="4"/>
          <w:sz w:val="24"/>
          <w:szCs w:val="24"/>
        </w:rPr>
        <w:t> </w:t>
      </w:r>
      <w:r w:rsidRPr="00A5284F">
        <w:rPr>
          <w:rFonts w:ascii="Sylfaen" w:hAnsi="Sylfaen"/>
          <w:spacing w:val="4"/>
          <w:sz w:val="24"/>
          <w:szCs w:val="24"/>
        </w:rPr>
        <w:t>սմ</w:t>
      </w:r>
      <w:r w:rsidRPr="00A5284F">
        <w:rPr>
          <w:rFonts w:ascii="Sylfaen" w:hAnsi="Sylfaen"/>
          <w:spacing w:val="4"/>
          <w:sz w:val="24"/>
          <w:szCs w:val="24"/>
          <w:vertAlign w:val="superscript"/>
        </w:rPr>
        <w:t>-1</w:t>
      </w:r>
      <w:r w:rsidRPr="00A5284F">
        <w:rPr>
          <w:rFonts w:ascii="Sylfaen" w:hAnsi="Sylfaen"/>
          <w:spacing w:val="4"/>
          <w:sz w:val="24"/>
          <w:szCs w:val="24"/>
        </w:rPr>
        <w:t>-ից մինչեւ 750</w:t>
      </w:r>
      <w:r w:rsidRPr="00825EEB">
        <w:rPr>
          <w:rFonts w:ascii="Sylfaen" w:hAnsi="Sylfaen"/>
          <w:sz w:val="24"/>
          <w:szCs w:val="24"/>
        </w:rPr>
        <w:t xml:space="preserve"> սմ</w:t>
      </w:r>
      <w:r w:rsidRPr="00825EEB">
        <w:rPr>
          <w:rFonts w:ascii="Sylfaen" w:hAnsi="Sylfaen"/>
          <w:sz w:val="24"/>
          <w:szCs w:val="24"/>
          <w:vertAlign w:val="superscript"/>
        </w:rPr>
        <w:t>-1</w:t>
      </w:r>
      <w:r w:rsidRPr="00825EEB">
        <w:rPr>
          <w:rFonts w:ascii="Sylfaen" w:hAnsi="Sylfaen"/>
          <w:sz w:val="24"/>
          <w:szCs w:val="24"/>
        </w:rPr>
        <w:t xml:space="preserve"> հատվածը հաշվի չեն առնում, քանի որ դրանում կարող</w:t>
      </w:r>
      <w:r w:rsidR="00A5284F" w:rsidRPr="00A5284F">
        <w:rPr>
          <w:rFonts w:ascii="Sylfaen" w:hAnsi="Sylfaen"/>
          <w:sz w:val="24"/>
          <w:szCs w:val="24"/>
        </w:rPr>
        <w:t> </w:t>
      </w:r>
      <w:r w:rsidRPr="00825EEB">
        <w:rPr>
          <w:rFonts w:ascii="Sylfaen" w:hAnsi="Sylfaen"/>
          <w:sz w:val="24"/>
          <w:szCs w:val="24"/>
        </w:rPr>
        <w:t>են դրս</w:t>
      </w:r>
      <w:r>
        <w:rPr>
          <w:rFonts w:ascii="Sylfaen" w:hAnsi="Sylfaen"/>
          <w:sz w:val="24"/>
          <w:szCs w:val="24"/>
        </w:rPr>
        <w:t>եւ</w:t>
      </w:r>
      <w:r w:rsidRPr="00825EEB">
        <w:rPr>
          <w:rFonts w:ascii="Sylfaen" w:hAnsi="Sylfaen"/>
          <w:sz w:val="24"/>
          <w:szCs w:val="24"/>
        </w:rPr>
        <w:t>որվել պոլիմերացման աստիճանով պայմանավորված ոչ մեծ տարբերություններ:</w:t>
      </w:r>
    </w:p>
    <w:p w14:paraId="1A5D9D23"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Գ.</w:t>
      </w:r>
      <w:r w:rsidR="00A5284F" w:rsidRPr="00A859E3">
        <w:rPr>
          <w:rFonts w:ascii="Sylfaen" w:hAnsi="Sylfaen"/>
          <w:sz w:val="24"/>
          <w:szCs w:val="24"/>
        </w:rPr>
        <w:tab/>
      </w:r>
      <w:r w:rsidRPr="00825EEB">
        <w:rPr>
          <w:rFonts w:ascii="Sylfaen" w:hAnsi="Sylfaen"/>
          <w:sz w:val="24"/>
          <w:szCs w:val="24"/>
        </w:rPr>
        <w:t xml:space="preserve">Փորձարկվող նմուշի 0,5 գ տեղադրում են փորձասրվակի մեջ </w:t>
      </w:r>
      <w:r>
        <w:rPr>
          <w:rFonts w:ascii="Sylfaen" w:hAnsi="Sylfaen"/>
          <w:sz w:val="24"/>
          <w:szCs w:val="24"/>
        </w:rPr>
        <w:t>եւ</w:t>
      </w:r>
      <w:r w:rsidRPr="00825EEB">
        <w:rPr>
          <w:rFonts w:ascii="Sylfaen" w:hAnsi="Sylfaen"/>
          <w:sz w:val="24"/>
          <w:szCs w:val="24"/>
        </w:rPr>
        <w:t xml:space="preserve"> թույլ կրակի վրա տաքացնում մինչ</w:t>
      </w:r>
      <w:r>
        <w:rPr>
          <w:rFonts w:ascii="Sylfaen" w:hAnsi="Sylfaen"/>
          <w:sz w:val="24"/>
          <w:szCs w:val="24"/>
        </w:rPr>
        <w:t>եւ</w:t>
      </w:r>
      <w:r w:rsidRPr="00825EEB">
        <w:rPr>
          <w:rFonts w:ascii="Sylfaen" w:hAnsi="Sylfaen"/>
          <w:sz w:val="24"/>
          <w:szCs w:val="24"/>
        </w:rPr>
        <w:t xml:space="preserve"> սպիտակ գոլորշիների առաջացումը: Փորձասրվակը շրջում են </w:t>
      </w:r>
      <w:r w:rsidRPr="00825EEB">
        <w:rPr>
          <w:rFonts w:ascii="Sylfaen" w:hAnsi="Sylfaen"/>
          <w:i/>
          <w:sz w:val="24"/>
          <w:szCs w:val="24"/>
        </w:rPr>
        <w:t>Ռ ծծմբաթթվի</w:t>
      </w:r>
      <w:r w:rsidRPr="00825EEB">
        <w:rPr>
          <w:rFonts w:ascii="Sylfaen" w:hAnsi="Sylfaen"/>
          <w:sz w:val="24"/>
          <w:szCs w:val="24"/>
        </w:rPr>
        <w:t xml:space="preserve"> մեջ </w:t>
      </w:r>
      <w:r w:rsidRPr="00825EEB">
        <w:rPr>
          <w:rFonts w:ascii="Sylfaen" w:hAnsi="Sylfaen"/>
          <w:i/>
          <w:sz w:val="24"/>
          <w:szCs w:val="24"/>
        </w:rPr>
        <w:t>Ռ նատրիումի աղի քրոմոտրոպաթթվի</w:t>
      </w:r>
      <w:r w:rsidRPr="00825EEB">
        <w:rPr>
          <w:rFonts w:ascii="Sylfaen" w:hAnsi="Sylfaen"/>
          <w:sz w:val="24"/>
          <w:szCs w:val="24"/>
        </w:rPr>
        <w:t xml:space="preserve"> 1 գ/լ լուծույթի 1 մլ պարունակող մեկ այլ փորձասրվակի վրայով այնպես, որ գոլորշիները հասնեն լուծույթին: Երկրորդ փորձասրվակը 10 վայրկյան թափահարում են </w:t>
      </w:r>
      <w:r>
        <w:rPr>
          <w:rFonts w:ascii="Sylfaen" w:hAnsi="Sylfaen"/>
          <w:sz w:val="24"/>
          <w:szCs w:val="24"/>
        </w:rPr>
        <w:t>եւ</w:t>
      </w:r>
      <w:r w:rsidRPr="00825EEB">
        <w:rPr>
          <w:rFonts w:ascii="Sylfaen" w:hAnsi="Sylfaen"/>
          <w:sz w:val="24"/>
          <w:szCs w:val="24"/>
        </w:rPr>
        <w:t xml:space="preserve"> 5 րոպե տաքացնում ջրային բաղնիքի վրա. առաջանում է մանուշակագույն գունավորում:</w:t>
      </w:r>
    </w:p>
    <w:p w14:paraId="1461FAAB"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i/>
          <w:iCs/>
          <w:sz w:val="24"/>
          <w:szCs w:val="24"/>
        </w:rPr>
      </w:pPr>
      <w:r w:rsidRPr="00825EEB">
        <w:rPr>
          <w:rFonts w:ascii="Sylfaen" w:hAnsi="Sylfaen"/>
          <w:sz w:val="24"/>
          <w:szCs w:val="24"/>
        </w:rPr>
        <w:t>Դ</w:t>
      </w:r>
      <w:r w:rsidR="00F24391" w:rsidRPr="00F24391">
        <w:rPr>
          <w:rFonts w:ascii="Sylfaen" w:hAnsi="Sylfaen"/>
          <w:sz w:val="24"/>
          <w:szCs w:val="24"/>
        </w:rPr>
        <w:t>.</w:t>
      </w:r>
      <w:r w:rsidR="00A5284F" w:rsidRPr="00A859E3">
        <w:rPr>
          <w:rFonts w:ascii="Sylfaen" w:hAnsi="Sylfaen"/>
          <w:sz w:val="24"/>
          <w:szCs w:val="24"/>
        </w:rPr>
        <w:tab/>
      </w:r>
      <w:r w:rsidRPr="00825EEB">
        <w:rPr>
          <w:rFonts w:ascii="Sylfaen" w:hAnsi="Sylfaen"/>
          <w:sz w:val="24"/>
          <w:szCs w:val="24"/>
        </w:rPr>
        <w:t>Փորձարկվող նմուշի 50 մգ-ով պլատինե հալքանոթում ստացված սուլֆատային մոխիրը (</w:t>
      </w:r>
      <w:r w:rsidRPr="00825EEB">
        <w:rPr>
          <w:rFonts w:ascii="Sylfaen" w:hAnsi="Sylfaen"/>
          <w:i/>
          <w:sz w:val="24"/>
          <w:szCs w:val="24"/>
        </w:rPr>
        <w:t>2.1.4.14</w:t>
      </w:r>
      <w:r w:rsidRPr="00825EEB">
        <w:rPr>
          <w:rFonts w:ascii="Sylfaen" w:hAnsi="Sylfaen"/>
          <w:sz w:val="24"/>
          <w:szCs w:val="24"/>
        </w:rPr>
        <w:t xml:space="preserve">) պետք է լինի սիլիկատներին ռեակցիա տվող սպիտակ փոշի </w:t>
      </w:r>
      <w:r w:rsidRPr="00825EEB">
        <w:rPr>
          <w:rFonts w:ascii="Sylfaen" w:hAnsi="Sylfaen"/>
          <w:i/>
          <w:sz w:val="24"/>
          <w:szCs w:val="24"/>
        </w:rPr>
        <w:t>(2.1.3.1):</w:t>
      </w:r>
    </w:p>
    <w:p w14:paraId="0DDA39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07D80E1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06A23A24"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b/>
          <w:sz w:val="24"/>
          <w:szCs w:val="24"/>
        </w:rPr>
        <w:t xml:space="preserve">Թթվայնությունը։ </w:t>
      </w:r>
      <w:r w:rsidRPr="00825EEB">
        <w:rPr>
          <w:rFonts w:ascii="Sylfaen" w:hAnsi="Sylfaen"/>
          <w:sz w:val="24"/>
          <w:szCs w:val="24"/>
        </w:rPr>
        <w:t xml:space="preserve">Փորձարկվող նմուշի 2,0 գ-ին ավելացնում են </w:t>
      </w:r>
      <w:r w:rsidRPr="00825EEB">
        <w:rPr>
          <w:rFonts w:ascii="Sylfaen" w:hAnsi="Sylfaen"/>
          <w:i/>
          <w:sz w:val="24"/>
          <w:szCs w:val="24"/>
        </w:rPr>
        <w:t>Ռ անջուր էթանոլի</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եթերի</w:t>
      </w:r>
      <w:r w:rsidRPr="00825EEB">
        <w:rPr>
          <w:rFonts w:ascii="Sylfaen" w:hAnsi="Sylfaen"/>
          <w:sz w:val="24"/>
          <w:szCs w:val="24"/>
        </w:rPr>
        <w:t xml:space="preserve"> հավասար ծավալների 25 մլ խառնուրդ, ավելացնում են </w:t>
      </w:r>
      <w:r w:rsidRPr="00825EEB">
        <w:rPr>
          <w:rFonts w:ascii="Sylfaen" w:hAnsi="Sylfaen"/>
          <w:i/>
          <w:sz w:val="24"/>
          <w:szCs w:val="24"/>
        </w:rPr>
        <w:t>Ռ1</w:t>
      </w:r>
      <w:r w:rsidR="00A5284F" w:rsidRPr="00A5284F">
        <w:rPr>
          <w:rFonts w:ascii="Sylfaen" w:hAnsi="Sylfaen"/>
          <w:i/>
          <w:sz w:val="24"/>
          <w:szCs w:val="24"/>
        </w:rPr>
        <w:t> </w:t>
      </w:r>
      <w:r w:rsidRPr="00825EEB">
        <w:rPr>
          <w:rFonts w:ascii="Sylfaen" w:hAnsi="Sylfaen"/>
          <w:i/>
          <w:sz w:val="24"/>
          <w:szCs w:val="24"/>
        </w:rPr>
        <w:t>բրոմթիմոլային կապույտի լուծույթի</w:t>
      </w:r>
      <w:r w:rsidRPr="00825EEB">
        <w:rPr>
          <w:rFonts w:ascii="Sylfaen" w:hAnsi="Sylfaen"/>
          <w:sz w:val="24"/>
          <w:szCs w:val="24"/>
        </w:rPr>
        <w:t xml:space="preserve"> 0,2 մլ </w:t>
      </w:r>
      <w:r>
        <w:rPr>
          <w:rFonts w:ascii="Sylfaen" w:hAnsi="Sylfaen"/>
          <w:sz w:val="24"/>
          <w:szCs w:val="24"/>
        </w:rPr>
        <w:t>եւ</w:t>
      </w:r>
      <w:r w:rsidRPr="00825EEB">
        <w:rPr>
          <w:rFonts w:ascii="Sylfaen" w:hAnsi="Sylfaen"/>
          <w:sz w:val="24"/>
          <w:szCs w:val="24"/>
        </w:rPr>
        <w:t xml:space="preserve"> թափահարում. պետք է ծախսվի </w:t>
      </w:r>
      <w:r w:rsidRPr="00825EEB">
        <w:rPr>
          <w:rFonts w:ascii="Sylfaen" w:hAnsi="Sylfaen"/>
          <w:i/>
          <w:sz w:val="24"/>
          <w:szCs w:val="24"/>
        </w:rPr>
        <w:t>0,01 Մ</w:t>
      </w:r>
      <w:r w:rsidRPr="00825EEB">
        <w:rPr>
          <w:rFonts w:ascii="Sylfaen" w:hAnsi="Sylfaen"/>
          <w:sz w:val="24"/>
          <w:szCs w:val="24"/>
        </w:rPr>
        <w:t xml:space="preserve"> </w:t>
      </w:r>
      <w:r w:rsidRPr="00825EEB">
        <w:rPr>
          <w:rFonts w:ascii="Sylfaen" w:hAnsi="Sylfaen"/>
          <w:i/>
          <w:sz w:val="24"/>
          <w:szCs w:val="24"/>
        </w:rPr>
        <w:t>նատրիումի հիդրօքսիդի լուծույթի</w:t>
      </w:r>
      <w:r w:rsidRPr="00825EEB">
        <w:rPr>
          <w:rFonts w:ascii="Sylfaen" w:hAnsi="Sylfaen"/>
          <w:sz w:val="24"/>
          <w:szCs w:val="24"/>
        </w:rPr>
        <w:t xml:space="preserve"> 0,15 մլ-ից ոչ ավելի՝ մինչ</w:t>
      </w:r>
      <w:r>
        <w:rPr>
          <w:rFonts w:ascii="Sylfaen" w:hAnsi="Sylfaen"/>
          <w:sz w:val="24"/>
          <w:szCs w:val="24"/>
        </w:rPr>
        <w:t>եւ</w:t>
      </w:r>
      <w:r w:rsidRPr="00825EEB">
        <w:rPr>
          <w:rFonts w:ascii="Sylfaen" w:hAnsi="Sylfaen"/>
          <w:sz w:val="24"/>
          <w:szCs w:val="24"/>
        </w:rPr>
        <w:t xml:space="preserve"> լուծույթը կապույտ գույնով գունավորվելը:</w:t>
      </w:r>
    </w:p>
    <w:p w14:paraId="189D351F"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620BA905" w14:textId="77777777" w:rsidR="0058052E" w:rsidRPr="00825EEB" w:rsidRDefault="0058052E" w:rsidP="0058052E">
      <w:pPr>
        <w:spacing w:after="160" w:line="360" w:lineRule="auto"/>
        <w:ind w:firstLine="567"/>
        <w:jc w:val="both"/>
      </w:pPr>
      <w:r w:rsidRPr="00825EEB">
        <w:rPr>
          <w:rFonts w:eastAsia="Times New Roman" w:cs="Times New Roman"/>
          <w:b/>
          <w:color w:val="auto"/>
        </w:rPr>
        <w:lastRenderedPageBreak/>
        <w:t xml:space="preserve">Մածուցիկությունը </w:t>
      </w:r>
      <w:r w:rsidRPr="00825EEB">
        <w:rPr>
          <w:i/>
        </w:rPr>
        <w:t>(2.1.2.8)։</w:t>
      </w:r>
      <w:r w:rsidRPr="00825EEB">
        <w:t xml:space="preserve"> Դինամիկ մածուցիկությունը որոշում են 25 °С ջերմաստիճանի տակ:</w:t>
      </w:r>
    </w:p>
    <w:p w14:paraId="74601EF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Կինեմատիկ մածուցիկությունը հաշվարկում են՝ հաշվի առնելով 0,97-ին հավասար հարաբերական խտությունը: Կինեմատիկ մածուցիկությունը պետք է լինի փաթեթվածքի վրա նշված անվանական մածուցիկության 95 %-ից ոչ պակաս </w:t>
      </w:r>
      <w:r>
        <w:rPr>
          <w:rFonts w:ascii="Sylfaen" w:hAnsi="Sylfaen"/>
          <w:sz w:val="24"/>
          <w:szCs w:val="24"/>
        </w:rPr>
        <w:t>եւ</w:t>
      </w:r>
      <w:r w:rsidRPr="00825EEB">
        <w:rPr>
          <w:rFonts w:ascii="Sylfaen" w:hAnsi="Sylfaen"/>
          <w:sz w:val="24"/>
          <w:szCs w:val="24"/>
        </w:rPr>
        <w:t xml:space="preserve"> 105 %-ից ոչ ավելի:</w:t>
      </w:r>
    </w:p>
    <w:p w14:paraId="26902CF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Հանքային յուղերը։ </w:t>
      </w:r>
      <w:r w:rsidRPr="00825EEB">
        <w:rPr>
          <w:rFonts w:ascii="Sylfaen" w:hAnsi="Sylfaen"/>
          <w:sz w:val="24"/>
          <w:szCs w:val="24"/>
        </w:rPr>
        <w:t xml:space="preserve">Փորձարկվող նմուշի 2 մլ-ը տեղադրում են փորձասրվակի մեջ </w:t>
      </w:r>
      <w:r>
        <w:rPr>
          <w:rFonts w:ascii="Sylfaen" w:hAnsi="Sylfaen"/>
          <w:sz w:val="24"/>
          <w:szCs w:val="24"/>
        </w:rPr>
        <w:t>եւ</w:t>
      </w:r>
      <w:r w:rsidRPr="00825EEB">
        <w:rPr>
          <w:rFonts w:ascii="Sylfaen" w:hAnsi="Sylfaen"/>
          <w:sz w:val="24"/>
          <w:szCs w:val="24"/>
        </w:rPr>
        <w:t xml:space="preserve"> դիտում ուլտրամանուշակագույն լույսի ներքո՝ ալիքի 365 նմ երկարությամբ. փորձարկվող նմուշի ֆլուորեսցենտումը չպետք է լինի ավելի ինտենսիվ, քան </w:t>
      </w:r>
      <w:r w:rsidRPr="00825EEB">
        <w:rPr>
          <w:rFonts w:ascii="Sylfaen" w:hAnsi="Sylfaen"/>
          <w:i/>
          <w:sz w:val="24"/>
          <w:szCs w:val="24"/>
        </w:rPr>
        <w:t>0,005</w:t>
      </w:r>
      <w:r w:rsidR="00A5284F" w:rsidRPr="00A5284F">
        <w:rPr>
          <w:rFonts w:ascii="Sylfaen" w:hAnsi="Sylfaen"/>
          <w:i/>
          <w:sz w:val="24"/>
          <w:szCs w:val="24"/>
        </w:rPr>
        <w:t> </w:t>
      </w:r>
      <w:r w:rsidRPr="00825EEB">
        <w:rPr>
          <w:rFonts w:ascii="Sylfaen" w:hAnsi="Sylfaen"/>
          <w:i/>
          <w:sz w:val="24"/>
          <w:szCs w:val="24"/>
        </w:rPr>
        <w:t>Մ ծծմբաթթվի լուծույթի</w:t>
      </w:r>
      <w:r w:rsidRPr="00825EEB">
        <w:rPr>
          <w:rFonts w:ascii="Sylfaen" w:hAnsi="Sylfaen"/>
          <w:sz w:val="24"/>
          <w:szCs w:val="24"/>
        </w:rPr>
        <w:t xml:space="preserve"> մեջ </w:t>
      </w:r>
      <w:r w:rsidRPr="00825EEB">
        <w:rPr>
          <w:rFonts w:ascii="Sylfaen" w:hAnsi="Sylfaen"/>
          <w:i/>
          <w:sz w:val="24"/>
          <w:szCs w:val="24"/>
        </w:rPr>
        <w:t>Ռ քինինի սուլֆատի</w:t>
      </w:r>
      <w:r w:rsidRPr="00825EEB">
        <w:rPr>
          <w:rFonts w:ascii="Sylfaen" w:hAnsi="Sylfaen"/>
          <w:sz w:val="24"/>
          <w:szCs w:val="24"/>
        </w:rPr>
        <w:t xml:space="preserve"> 0,1 ppm պարունակող լուծույթի ֆլուորեսցենտումը՝ նույն պայմաններում հետազոտելու դեպքում:</w:t>
      </w:r>
    </w:p>
    <w:p w14:paraId="0419CDB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Ֆենիլացված միացությունները։ </w:t>
      </w:r>
      <w:r w:rsidRPr="00825EEB">
        <w:rPr>
          <w:rFonts w:ascii="Sylfaen" w:hAnsi="Sylfaen"/>
          <w:sz w:val="24"/>
          <w:szCs w:val="24"/>
        </w:rPr>
        <w:t xml:space="preserve">Բեկման ցուցանիշը </w:t>
      </w:r>
      <w:r w:rsidRPr="00825EEB">
        <w:rPr>
          <w:rFonts w:ascii="Sylfaen" w:hAnsi="Sylfaen"/>
          <w:i/>
          <w:sz w:val="24"/>
          <w:szCs w:val="24"/>
        </w:rPr>
        <w:t>(2.1.2.6)</w:t>
      </w:r>
      <w:r w:rsidRPr="00825EEB">
        <w:rPr>
          <w:rFonts w:ascii="Sylfaen" w:hAnsi="Sylfaen"/>
          <w:sz w:val="24"/>
          <w:szCs w:val="24"/>
        </w:rPr>
        <w:t xml:space="preserve"> պետք է լինի 1,410-ից ոչ ավելի:</w:t>
      </w:r>
    </w:p>
    <w:p w14:paraId="6CF65C2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Ծանր մետաղները: </w:t>
      </w:r>
      <w:r w:rsidRPr="00825EEB">
        <w:rPr>
          <w:rFonts w:ascii="Sylfaen" w:hAnsi="Sylfaen"/>
          <w:sz w:val="24"/>
          <w:szCs w:val="24"/>
        </w:rPr>
        <w:t>5 ppm-ից ոչ ավելի։</w:t>
      </w:r>
    </w:p>
    <w:p w14:paraId="4239CF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նմուշի 1,0 գ-ը խառնում են </w:t>
      </w:r>
      <w:r w:rsidRPr="00825EEB">
        <w:rPr>
          <w:rFonts w:ascii="Sylfaen" w:hAnsi="Sylfaen"/>
          <w:i/>
          <w:sz w:val="24"/>
          <w:szCs w:val="24"/>
        </w:rPr>
        <w:t>Ռ մեթիլենքլորիդի</w:t>
      </w:r>
      <w:r w:rsidRPr="00825EEB">
        <w:rPr>
          <w:rFonts w:ascii="Sylfaen" w:hAnsi="Sylfaen"/>
          <w:sz w:val="24"/>
          <w:szCs w:val="24"/>
        </w:rPr>
        <w:t xml:space="preserve"> հետ եւ նույն լուծիչով հասցնում մինչ</w:t>
      </w:r>
      <w:r>
        <w:rPr>
          <w:rFonts w:ascii="Sylfaen" w:hAnsi="Sylfaen"/>
          <w:sz w:val="24"/>
          <w:szCs w:val="24"/>
        </w:rPr>
        <w:t>եւ</w:t>
      </w:r>
      <w:r w:rsidRPr="00825EEB">
        <w:rPr>
          <w:rFonts w:ascii="Sylfaen" w:hAnsi="Sylfaen"/>
          <w:sz w:val="24"/>
          <w:szCs w:val="24"/>
        </w:rPr>
        <w:t xml:space="preserve"> 20 մլ ծավալը: Ավելացնում են </w:t>
      </w:r>
      <w:r w:rsidRPr="00825EEB">
        <w:rPr>
          <w:rFonts w:ascii="Sylfaen" w:hAnsi="Sylfaen"/>
          <w:i/>
          <w:sz w:val="24"/>
          <w:szCs w:val="24"/>
        </w:rPr>
        <w:t>Ռ մեթիլենքլորիդի</w:t>
      </w:r>
      <w:r w:rsidRPr="00825EEB">
        <w:rPr>
          <w:rFonts w:ascii="Sylfaen" w:hAnsi="Sylfaen"/>
          <w:sz w:val="24"/>
          <w:szCs w:val="24"/>
        </w:rPr>
        <w:t xml:space="preserve"> մեջ 0,02 գ/լ </w:t>
      </w:r>
      <w:r w:rsidRPr="00825EEB">
        <w:rPr>
          <w:rFonts w:ascii="Sylfaen" w:hAnsi="Sylfaen"/>
          <w:i/>
          <w:sz w:val="24"/>
          <w:szCs w:val="24"/>
        </w:rPr>
        <w:t>Ռ դիթիզոնի</w:t>
      </w:r>
      <w:r w:rsidRPr="00825EEB">
        <w:rPr>
          <w:rFonts w:ascii="Sylfaen" w:hAnsi="Sylfaen"/>
          <w:sz w:val="24"/>
          <w:szCs w:val="24"/>
        </w:rPr>
        <w:t xml:space="preserve"> թարմ պատրաստված լուծույթի 1,0 մլ, </w:t>
      </w:r>
      <w:r w:rsidRPr="00825EEB">
        <w:rPr>
          <w:rFonts w:ascii="Sylfaen" w:hAnsi="Sylfaen"/>
          <w:i/>
          <w:sz w:val="24"/>
          <w:szCs w:val="24"/>
        </w:rPr>
        <w:t>Ռ ջրի</w:t>
      </w:r>
      <w:r w:rsidRPr="00825EEB">
        <w:rPr>
          <w:rFonts w:ascii="Sylfaen" w:hAnsi="Sylfaen"/>
          <w:sz w:val="24"/>
          <w:szCs w:val="24"/>
        </w:rPr>
        <w:t xml:space="preserve"> 0,5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Ռ2 նոսրացված ամոնիակի լուծույթ</w:t>
      </w:r>
      <w:r w:rsidRPr="00825EEB">
        <w:rPr>
          <w:rFonts w:ascii="Sylfaen" w:hAnsi="Sylfaen"/>
          <w:sz w:val="24"/>
          <w:szCs w:val="24"/>
        </w:rPr>
        <w:t xml:space="preserve"> – 2 գ/լ </w:t>
      </w:r>
      <w:r w:rsidRPr="00825EEB">
        <w:rPr>
          <w:rFonts w:ascii="Sylfaen" w:hAnsi="Sylfaen"/>
          <w:i/>
          <w:sz w:val="24"/>
          <w:szCs w:val="24"/>
        </w:rPr>
        <w:t>Ռ հիդրօքսիլամինի հիդրոքլորիդի</w:t>
      </w:r>
      <w:r w:rsidRPr="00825EEB">
        <w:rPr>
          <w:rFonts w:ascii="Sylfaen" w:hAnsi="Sylfaen"/>
          <w:sz w:val="24"/>
          <w:szCs w:val="24"/>
        </w:rPr>
        <w:t xml:space="preserve"> լուծույթ խառնուրդի 0,5 մլ (1:9 </w:t>
      </w:r>
      <w:r w:rsidRPr="00825EEB">
        <w:rPr>
          <w:rFonts w:ascii="Sylfaen" w:hAnsi="Sylfaen"/>
          <w:i/>
          <w:sz w:val="24"/>
          <w:szCs w:val="24"/>
        </w:rPr>
        <w:t>ծավ/ծավ):</w:t>
      </w:r>
    </w:p>
    <w:p w14:paraId="3EE50B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Զուգահեռ պատրաստում են համեմատության լուծույթը: </w:t>
      </w:r>
      <w:r w:rsidRPr="00825EEB">
        <w:rPr>
          <w:rFonts w:ascii="Sylfaen" w:hAnsi="Sylfaen"/>
          <w:i/>
          <w:sz w:val="24"/>
          <w:szCs w:val="24"/>
        </w:rPr>
        <w:t>Ռ մեթիլենքլորիդի</w:t>
      </w:r>
      <w:r w:rsidRPr="00825EEB">
        <w:rPr>
          <w:rFonts w:ascii="Sylfaen" w:hAnsi="Sylfaen"/>
          <w:sz w:val="24"/>
          <w:szCs w:val="24"/>
        </w:rPr>
        <w:t xml:space="preserve"> 20 մլ-ին ավելացնում են </w:t>
      </w:r>
      <w:r w:rsidRPr="00825EEB">
        <w:rPr>
          <w:rFonts w:ascii="Sylfaen" w:hAnsi="Sylfaen"/>
          <w:i/>
          <w:sz w:val="24"/>
          <w:szCs w:val="24"/>
        </w:rPr>
        <w:t>Ռ մեթիլենքլորիդի</w:t>
      </w:r>
      <w:r w:rsidRPr="00825EEB">
        <w:rPr>
          <w:rFonts w:ascii="Sylfaen" w:hAnsi="Sylfaen"/>
          <w:sz w:val="24"/>
          <w:szCs w:val="24"/>
        </w:rPr>
        <w:t xml:space="preserve"> մեջ 0,02 գ/լ </w:t>
      </w:r>
      <w:r w:rsidRPr="00825EEB">
        <w:rPr>
          <w:rFonts w:ascii="Sylfaen" w:hAnsi="Sylfaen"/>
          <w:i/>
          <w:sz w:val="24"/>
          <w:szCs w:val="24"/>
        </w:rPr>
        <w:t>Ռ դիթիզոնի</w:t>
      </w:r>
      <w:r w:rsidRPr="00825EEB">
        <w:rPr>
          <w:rFonts w:ascii="Sylfaen" w:hAnsi="Sylfaen"/>
          <w:sz w:val="24"/>
          <w:szCs w:val="24"/>
        </w:rPr>
        <w:t xml:space="preserve"> թարմ պատրաստված լուծույթի 1,0 մլ</w:t>
      </w:r>
      <w:r w:rsidRPr="00825EEB">
        <w:rPr>
          <w:rFonts w:ascii="Sylfaen" w:hAnsi="Sylfaen"/>
          <w:i/>
          <w:sz w:val="24"/>
          <w:szCs w:val="24"/>
        </w:rPr>
        <w:t>, Ռ կապարի իոնների ստանդարտ լուծույթի (10 ppm Pb</w:t>
      </w:r>
      <w:r w:rsidRPr="00825EEB">
        <w:rPr>
          <w:rFonts w:ascii="Sylfaen" w:hAnsi="Sylfaen"/>
          <w:i/>
          <w:sz w:val="24"/>
          <w:szCs w:val="24"/>
          <w:vertAlign w:val="superscript"/>
        </w:rPr>
        <w:t>2+</w:t>
      </w:r>
      <w:r w:rsidRPr="00825EEB">
        <w:rPr>
          <w:rFonts w:ascii="Sylfaen" w:hAnsi="Sylfaen"/>
          <w:i/>
          <w:sz w:val="24"/>
          <w:szCs w:val="24"/>
        </w:rPr>
        <w:t>)</w:t>
      </w:r>
      <w:r w:rsidRPr="00825EEB">
        <w:rPr>
          <w:rFonts w:ascii="Sylfaen" w:hAnsi="Sylfaen"/>
          <w:sz w:val="24"/>
          <w:szCs w:val="24"/>
        </w:rPr>
        <w:t xml:space="preserve"> 0,5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Ռ2 նոսրացված ամոնիակի լուծույթ</w:t>
      </w:r>
      <w:r w:rsidRPr="00825EEB">
        <w:rPr>
          <w:rFonts w:ascii="Sylfaen" w:hAnsi="Sylfaen"/>
          <w:sz w:val="24"/>
          <w:szCs w:val="24"/>
        </w:rPr>
        <w:t xml:space="preserve"> – 2 գ/լ </w:t>
      </w:r>
      <w:r w:rsidRPr="00825EEB">
        <w:rPr>
          <w:rFonts w:ascii="Sylfaen" w:hAnsi="Sylfaen"/>
          <w:i/>
          <w:sz w:val="24"/>
          <w:szCs w:val="24"/>
        </w:rPr>
        <w:t>Ռ հիդրօքսիլամինի հիդրոքլորիդի</w:t>
      </w:r>
      <w:r w:rsidRPr="00825EEB">
        <w:rPr>
          <w:rFonts w:ascii="Sylfaen" w:hAnsi="Sylfaen"/>
          <w:sz w:val="24"/>
          <w:szCs w:val="24"/>
        </w:rPr>
        <w:t xml:space="preserve"> լուծույթ խառնուրդի 0,5 մլ (1:9 </w:t>
      </w:r>
      <w:r w:rsidRPr="00825EEB">
        <w:rPr>
          <w:rFonts w:ascii="Sylfaen" w:hAnsi="Sylfaen"/>
          <w:i/>
          <w:sz w:val="24"/>
          <w:szCs w:val="24"/>
        </w:rPr>
        <w:t>ծավ/ծավ):</w:t>
      </w:r>
      <w:r w:rsidRPr="00825EEB">
        <w:rPr>
          <w:rFonts w:ascii="Sylfaen" w:hAnsi="Sylfaen"/>
          <w:sz w:val="24"/>
          <w:szCs w:val="24"/>
        </w:rPr>
        <w:t xml:space="preserve"> Ստացված լուծույթը ակտիվորեն թափահարում են 1 րոպե: Փորձարկվող նմուշի լուծույթի կարմիր գունավորումը չպետք է ավելի ինտենսիվ լինի, քան համեմատության լուծույթի գունավորումը:</w:t>
      </w:r>
    </w:p>
    <w:p w14:paraId="73F6A07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Ցնդող նյութեր։ </w:t>
      </w:r>
      <w:r w:rsidRPr="00825EEB">
        <w:rPr>
          <w:rFonts w:ascii="Sylfaen" w:hAnsi="Sylfaen"/>
          <w:sz w:val="24"/>
          <w:szCs w:val="24"/>
        </w:rPr>
        <w:t>2,0 %-ից ոչ ավելի:</w:t>
      </w:r>
    </w:p>
    <w:p w14:paraId="5776B7D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Փորձարկումն անցկացնում են փորձարկվող նմուշի 2,00 գ-ով՝ 24 ժամվա ընթացքում վառարանի մեջ տաքացնելով 150 °С ջերմաստիճանի տակ։ Փորձարկումն անցկացնում են՝ օգտագործելով 60 մմ տրամագծով </w:t>
      </w:r>
      <w:r>
        <w:rPr>
          <w:rFonts w:ascii="Sylfaen" w:hAnsi="Sylfaen"/>
          <w:sz w:val="24"/>
          <w:szCs w:val="24"/>
        </w:rPr>
        <w:t>եւ</w:t>
      </w:r>
      <w:r w:rsidRPr="00825EEB">
        <w:rPr>
          <w:rFonts w:ascii="Sylfaen" w:hAnsi="Sylfaen"/>
          <w:sz w:val="24"/>
          <w:szCs w:val="24"/>
        </w:rPr>
        <w:t xml:space="preserve"> 10 մմ խորությամբ բաժակ:</w:t>
      </w:r>
    </w:p>
    <w:p w14:paraId="00779F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082A11C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ՄԱԿՆՇՈՒՄԸ</w:t>
      </w:r>
    </w:p>
    <w:p w14:paraId="50F8A1F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Նշում են՝</w:t>
      </w:r>
    </w:p>
    <w:p w14:paraId="6D6B29B5"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859E3">
        <w:rPr>
          <w:rFonts w:ascii="Sylfaen" w:hAnsi="Sylfaen"/>
          <w:sz w:val="24"/>
          <w:szCs w:val="24"/>
        </w:rPr>
        <w:tab/>
      </w:r>
      <w:r w:rsidRPr="00825EEB">
        <w:rPr>
          <w:rFonts w:ascii="Sylfaen" w:hAnsi="Sylfaen"/>
          <w:sz w:val="24"/>
          <w:szCs w:val="24"/>
        </w:rPr>
        <w:t>արտադրատեսակի անվանումից հետո նշված՝ թվի տեսքով անվանական մածուցիկությունը.</w:t>
      </w:r>
    </w:p>
    <w:p w14:paraId="432BEF27" w14:textId="77777777" w:rsidR="0058052E" w:rsidRPr="00825EEB" w:rsidRDefault="0058052E" w:rsidP="00A5284F">
      <w:pPr>
        <w:tabs>
          <w:tab w:val="left" w:pos="1134"/>
        </w:tabs>
        <w:spacing w:after="160" w:line="360" w:lineRule="auto"/>
        <w:ind w:firstLine="567"/>
        <w:jc w:val="both"/>
      </w:pPr>
      <w:r w:rsidRPr="00825EEB">
        <w:t>-</w:t>
      </w:r>
      <w:r w:rsidR="00A5284F" w:rsidRPr="00A859E3">
        <w:tab/>
      </w:r>
      <w:r w:rsidRPr="00825EEB">
        <w:t>որ պարունակությունը հարկավոր է օգտագործել որպես քսայուղային հավելանյութ:</w:t>
      </w:r>
    </w:p>
    <w:p w14:paraId="07828250" w14:textId="77777777" w:rsidR="0058052E" w:rsidRPr="00825EEB" w:rsidRDefault="0058052E" w:rsidP="0058052E">
      <w:pPr>
        <w:spacing w:after="160" w:line="360" w:lineRule="auto"/>
        <w:ind w:firstLine="567"/>
        <w:jc w:val="both"/>
      </w:pPr>
    </w:p>
    <w:p w14:paraId="34CDF40E" w14:textId="77777777" w:rsidR="0058052E" w:rsidRPr="00A859E3" w:rsidRDefault="0058052E" w:rsidP="00A5284F">
      <w:pPr>
        <w:pStyle w:val="a0"/>
        <w:shd w:val="clear" w:color="auto" w:fill="auto"/>
        <w:spacing w:after="160" w:line="360" w:lineRule="auto"/>
        <w:ind w:firstLine="567"/>
        <w:jc w:val="right"/>
        <w:rPr>
          <w:rFonts w:ascii="Sylfaen" w:hAnsi="Sylfaen"/>
          <w:b/>
          <w:szCs w:val="24"/>
        </w:rPr>
      </w:pPr>
      <w:r w:rsidRPr="00A5284F">
        <w:rPr>
          <w:rFonts w:ascii="Sylfaen" w:hAnsi="Sylfaen"/>
          <w:b/>
          <w:szCs w:val="24"/>
        </w:rPr>
        <w:t>04010007-2022</w:t>
      </w:r>
    </w:p>
    <w:p w14:paraId="5C189161" w14:textId="77777777" w:rsidR="00A5284F" w:rsidRPr="00A859E3" w:rsidRDefault="00A5284F" w:rsidP="00A5284F">
      <w:pPr>
        <w:pStyle w:val="a0"/>
        <w:shd w:val="clear" w:color="auto" w:fill="auto"/>
        <w:spacing w:after="160" w:line="360" w:lineRule="auto"/>
        <w:ind w:firstLine="567"/>
        <w:jc w:val="right"/>
        <w:rPr>
          <w:rFonts w:ascii="Sylfaen" w:hAnsi="Sylfaen" w:cs="Sylfaen"/>
          <w:szCs w:val="24"/>
        </w:rPr>
      </w:pPr>
    </w:p>
    <w:p w14:paraId="358E1D57" w14:textId="77777777" w:rsidR="0058052E" w:rsidRPr="00A859E3" w:rsidRDefault="00A5284F" w:rsidP="00A5284F">
      <w:pPr>
        <w:pStyle w:val="a0"/>
        <w:shd w:val="clear" w:color="auto" w:fill="auto"/>
        <w:tabs>
          <w:tab w:val="left" w:pos="1701"/>
        </w:tabs>
        <w:spacing w:after="160" w:line="360" w:lineRule="auto"/>
        <w:ind w:firstLine="567"/>
        <w:jc w:val="both"/>
        <w:rPr>
          <w:rFonts w:ascii="Sylfaen" w:hAnsi="Sylfaen"/>
          <w:b/>
          <w:sz w:val="24"/>
          <w:szCs w:val="24"/>
        </w:rPr>
      </w:pPr>
      <w:r>
        <w:rPr>
          <w:rFonts w:ascii="Sylfaen" w:hAnsi="Sylfaen"/>
          <w:b/>
          <w:sz w:val="24"/>
          <w:szCs w:val="24"/>
        </w:rPr>
        <w:t>2.4.1.7.</w:t>
      </w:r>
      <w:r w:rsidRPr="00A859E3">
        <w:rPr>
          <w:rFonts w:ascii="Sylfaen" w:hAnsi="Sylfaen"/>
          <w:b/>
          <w:sz w:val="24"/>
          <w:szCs w:val="24"/>
        </w:rPr>
        <w:tab/>
      </w:r>
      <w:r w:rsidR="0058052E" w:rsidRPr="00825EEB">
        <w:rPr>
          <w:rFonts w:ascii="Sylfaen" w:hAnsi="Sylfaen"/>
          <w:b/>
          <w:sz w:val="24"/>
          <w:szCs w:val="24"/>
        </w:rPr>
        <w:t xml:space="preserve">Խցանափակման միջոցների </w:t>
      </w:r>
      <w:r w:rsidR="0058052E">
        <w:rPr>
          <w:rFonts w:ascii="Sylfaen" w:hAnsi="Sylfaen"/>
          <w:b/>
          <w:sz w:val="24"/>
          <w:szCs w:val="24"/>
        </w:rPr>
        <w:t>եւ</w:t>
      </w:r>
      <w:r w:rsidR="0058052E" w:rsidRPr="00825EEB">
        <w:rPr>
          <w:rFonts w:ascii="Sylfaen" w:hAnsi="Sylfaen"/>
          <w:b/>
          <w:sz w:val="24"/>
          <w:szCs w:val="24"/>
        </w:rPr>
        <w:t xml:space="preserve"> խողովակների համար սիլիկոնային էլաստոմերները</w:t>
      </w:r>
    </w:p>
    <w:p w14:paraId="28086A0C" w14:textId="77777777" w:rsidR="00A5284F" w:rsidRPr="00A859E3" w:rsidRDefault="00A5284F" w:rsidP="00A5284F">
      <w:pPr>
        <w:pStyle w:val="a0"/>
        <w:shd w:val="clear" w:color="auto" w:fill="auto"/>
        <w:tabs>
          <w:tab w:val="left" w:pos="1701"/>
        </w:tabs>
        <w:spacing w:after="160" w:line="360" w:lineRule="auto"/>
        <w:ind w:firstLine="567"/>
        <w:jc w:val="both"/>
        <w:rPr>
          <w:rFonts w:ascii="Sylfaen" w:hAnsi="Sylfaen" w:cs="Sylfaen"/>
          <w:sz w:val="24"/>
          <w:szCs w:val="24"/>
        </w:rPr>
      </w:pPr>
    </w:p>
    <w:p w14:paraId="65D9273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ՈՐՈՇՈՒՄԸ</w:t>
      </w:r>
    </w:p>
    <w:p w14:paraId="56C29FE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Խցանափակման միջոցների </w:t>
      </w:r>
      <w:r>
        <w:rPr>
          <w:rFonts w:ascii="Sylfaen" w:hAnsi="Sylfaen"/>
          <w:sz w:val="24"/>
          <w:szCs w:val="24"/>
        </w:rPr>
        <w:t>եւ</w:t>
      </w:r>
      <w:r w:rsidRPr="00825EEB">
        <w:rPr>
          <w:rFonts w:ascii="Sylfaen" w:hAnsi="Sylfaen"/>
          <w:sz w:val="24"/>
          <w:szCs w:val="24"/>
        </w:rPr>
        <w:t xml:space="preserve"> խողովակների արտադրության համար հարմար է ստոր</w:t>
      </w:r>
      <w:r>
        <w:rPr>
          <w:rFonts w:ascii="Sylfaen" w:hAnsi="Sylfaen"/>
          <w:sz w:val="24"/>
          <w:szCs w:val="24"/>
        </w:rPr>
        <w:t>եւ</w:t>
      </w:r>
      <w:r w:rsidRPr="00825EEB">
        <w:rPr>
          <w:rFonts w:ascii="Sylfaen" w:hAnsi="Sylfaen"/>
          <w:sz w:val="24"/>
          <w:szCs w:val="24"/>
        </w:rPr>
        <w:t xml:space="preserve"> նշված պահանջներին համապատասխանող սիլիկոնային էլաստոմերը:</w:t>
      </w:r>
    </w:p>
    <w:p w14:paraId="037C635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Սիլիկոնային էլաստոմերը ստանում են գծային պոլիսիլոքսանի լայնական կարմամբ, որը հիմնականում բաղկացած է դիմեթիլսիլօքսի խմբերից՝ մեթիլվինիլսիլօքսի խմբերի փոքր քանակությամբ. շղթաների ծայրերը </w:t>
      </w:r>
      <w:r w:rsidRPr="00825EEB">
        <w:rPr>
          <w:rFonts w:ascii="Sylfaen" w:hAnsi="Sylfaen"/>
          <w:sz w:val="24"/>
          <w:szCs w:val="24"/>
        </w:rPr>
        <w:lastRenderedPageBreak/>
        <w:t>արգելափակված են տրիմեթիլսիլօքսի- կամ դիմեթիլվինիլսիլօքսի խմբերով:</w:t>
      </w:r>
    </w:p>
    <w:p w14:paraId="55FBC9F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Պոլիսիլոքսանի ընդհանուր բանաձ</w:t>
      </w:r>
      <w:r>
        <w:rPr>
          <w:rFonts w:ascii="Sylfaen" w:hAnsi="Sylfaen"/>
          <w:sz w:val="24"/>
          <w:szCs w:val="24"/>
        </w:rPr>
        <w:t>եւ</w:t>
      </w:r>
      <w:r w:rsidRPr="00825EEB">
        <w:rPr>
          <w:rFonts w:ascii="Sylfaen" w:hAnsi="Sylfaen"/>
          <w:sz w:val="24"/>
          <w:szCs w:val="24"/>
        </w:rPr>
        <w:t>ը՝</w:t>
      </w:r>
    </w:p>
    <w:p w14:paraId="377FB58A"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hAnsi="Sylfaen" w:cs="Sylfaen"/>
          <w:b/>
          <w:bCs/>
          <w:noProof/>
          <w:sz w:val="24"/>
          <w:szCs w:val="24"/>
        </w:rPr>
        <w:pict w14:anchorId="1A389655">
          <v:rect id="_x0000_s1412" style="position:absolute;left:0;text-align:left;margin-left:108.55pt;margin-top:71.8pt;width:30.55pt;height:15.8pt;z-index:251960320" stroked="f">
            <v:textbox>
              <w:txbxContent>
                <w:p w14:paraId="5B378EF5" w14:textId="77777777" w:rsidR="008D6E8B" w:rsidRPr="00285A4A" w:rsidRDefault="008D6E8B" w:rsidP="0058052E">
                  <w:pPr>
                    <w:rPr>
                      <w:sz w:val="12"/>
                      <w:szCs w:val="12"/>
                    </w:rPr>
                  </w:pPr>
                  <w:r>
                    <w:rPr>
                      <w:sz w:val="12"/>
                    </w:rPr>
                    <w:t>կամ</w:t>
                  </w:r>
                </w:p>
              </w:txbxContent>
            </v:textbox>
          </v:rect>
        </w:pict>
      </w:r>
      <w:r w:rsidR="0058052E" w:rsidRPr="00825EEB">
        <w:rPr>
          <w:rFonts w:ascii="Sylfaen" w:hAnsi="Sylfaen" w:cs="Sylfaen"/>
          <w:b/>
          <w:bCs/>
          <w:noProof/>
          <w:sz w:val="24"/>
          <w:szCs w:val="24"/>
          <w:lang w:val="en-US" w:eastAsia="en-US" w:bidi="ar-SA"/>
        </w:rPr>
        <w:drawing>
          <wp:inline distT="0" distB="0" distL="0" distR="0" wp14:anchorId="07EBEBBC" wp14:editId="00BF4F43">
            <wp:extent cx="2249274" cy="1274619"/>
            <wp:effectExtent l="19050" t="0" r="0" b="0"/>
            <wp:docPr id="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srcRect/>
                    <a:stretch>
                      <a:fillRect/>
                    </a:stretch>
                  </pic:blipFill>
                  <pic:spPr bwMode="auto">
                    <a:xfrm>
                      <a:off x="0" y="0"/>
                      <a:ext cx="2252338" cy="1276355"/>
                    </a:xfrm>
                    <a:prstGeom prst="rect">
                      <a:avLst/>
                    </a:prstGeom>
                    <a:noFill/>
                    <a:ln w="9525">
                      <a:noFill/>
                      <a:miter lim="800000"/>
                      <a:headEnd/>
                      <a:tailEnd/>
                    </a:ln>
                  </pic:spPr>
                </pic:pic>
              </a:graphicData>
            </a:graphic>
          </wp:inline>
        </w:drawing>
      </w:r>
    </w:p>
    <w:p w14:paraId="39643A7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5522A33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Լայնական կարումն իրականացվում է տաք վիճակում կամ օգտագործելով՝</w:t>
      </w:r>
    </w:p>
    <w:p w14:paraId="2CDC6E97"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859E3">
        <w:rPr>
          <w:rFonts w:ascii="Sylfaen" w:hAnsi="Sylfaen"/>
          <w:sz w:val="24"/>
          <w:szCs w:val="24"/>
        </w:rPr>
        <w:tab/>
      </w:r>
      <w:r w:rsidRPr="00825EEB">
        <w:rPr>
          <w:rFonts w:ascii="Sylfaen" w:hAnsi="Sylfaen"/>
          <w:sz w:val="24"/>
          <w:szCs w:val="24"/>
        </w:rPr>
        <w:t>արտամղվող արգասիքների համար՝ 2,4-դիքլորբենզոիլպերօքսիդ.</w:t>
      </w:r>
    </w:p>
    <w:p w14:paraId="1F8B6921"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859E3">
        <w:rPr>
          <w:rFonts w:ascii="Sylfaen" w:hAnsi="Sylfaen"/>
          <w:sz w:val="24"/>
          <w:szCs w:val="24"/>
        </w:rPr>
        <w:tab/>
      </w:r>
      <w:r w:rsidRPr="00825EEB">
        <w:rPr>
          <w:rFonts w:ascii="Sylfaen" w:hAnsi="Sylfaen"/>
          <w:sz w:val="24"/>
          <w:szCs w:val="24"/>
        </w:rPr>
        <w:t xml:space="preserve">կաղապարված արգասիքների համար՝ 2,4-դիքլորբենզոիլպերօքսիդ կամ դիկումիլպերօքսիդ, կամ </w:t>
      </w:r>
      <w:r w:rsidRPr="00825EEB">
        <w:rPr>
          <w:rFonts w:ascii="Sylfaen" w:hAnsi="Sylfaen"/>
          <w:i/>
          <w:sz w:val="24"/>
          <w:szCs w:val="24"/>
        </w:rPr>
        <w:t>ОО-(</w:t>
      </w:r>
      <w:r w:rsidRPr="00825EEB">
        <w:rPr>
          <w:rFonts w:ascii="Sylfaen" w:hAnsi="Sylfaen"/>
          <w:sz w:val="24"/>
          <w:szCs w:val="24"/>
        </w:rPr>
        <w:t>1,1-դիմեթիլէթիլ)</w:t>
      </w:r>
      <w:r w:rsidRPr="00825EEB">
        <w:rPr>
          <w:rFonts w:ascii="Sylfaen" w:hAnsi="Sylfaen"/>
          <w:i/>
          <w:sz w:val="24"/>
          <w:szCs w:val="24"/>
        </w:rPr>
        <w:t>O-</w:t>
      </w:r>
      <w:r w:rsidRPr="00825EEB">
        <w:rPr>
          <w:rFonts w:ascii="Sylfaen" w:hAnsi="Sylfaen"/>
          <w:sz w:val="24"/>
          <w:szCs w:val="24"/>
        </w:rPr>
        <w:t>իզո-պրոպիլմոնոպերօքսիկարբոնատ, կամ 2,5-բիս[(1,1-դիմեթիլէթիլ)դիօքսի]-2,5-դիմեթիլհեքսան.</w:t>
      </w:r>
    </w:p>
    <w:p w14:paraId="424CDB66"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5284F" w:rsidRPr="00A859E3">
        <w:rPr>
          <w:rFonts w:ascii="Sylfaen" w:hAnsi="Sylfaen"/>
          <w:sz w:val="24"/>
          <w:szCs w:val="24"/>
        </w:rPr>
        <w:tab/>
      </w:r>
      <w:r w:rsidRPr="00825EEB">
        <w:rPr>
          <w:rFonts w:ascii="Sylfaen" w:hAnsi="Sylfaen"/>
          <w:sz w:val="24"/>
          <w:szCs w:val="24"/>
        </w:rPr>
        <w:t>կամ պոլիսիլօքսանի -SiH խմբերի հիդրոսիլիրացմամբ՝ որպես կատալիզատոր օգտագործելով պլատինը:</w:t>
      </w:r>
    </w:p>
    <w:p w14:paraId="1989ABA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Բոլոր դեպքերում օգտագործում են համապատասխան հավելումներ, ինչպիսիք են սիլիցիումի դիօքսիդը </w:t>
      </w:r>
      <w:r>
        <w:rPr>
          <w:rFonts w:ascii="Sylfaen" w:hAnsi="Sylfaen"/>
          <w:sz w:val="24"/>
          <w:szCs w:val="24"/>
        </w:rPr>
        <w:t>եւ</w:t>
      </w:r>
      <w:r w:rsidRPr="00825EEB">
        <w:rPr>
          <w:rFonts w:ascii="Sylfaen" w:hAnsi="Sylfaen"/>
          <w:sz w:val="24"/>
          <w:szCs w:val="24"/>
        </w:rPr>
        <w:t xml:space="preserve"> փոքր քանակությամբ օրգանոսիլիկոնային հավելումները (</w:t>
      </w:r>
      <m:oMath>
        <m:r>
          <w:rPr>
            <w:rFonts w:ascii="Cambria Math" w:hAnsi="Cambria Math" w:cs="Sylfaen"/>
            <w:sz w:val="24"/>
            <w:szCs w:val="24"/>
          </w:rPr>
          <m:t>α</m:t>
        </m:r>
        <m:r>
          <w:rPr>
            <w:rFonts w:ascii="Cambria Math" w:hAnsi="Sylfaen" w:cs="Sylfaen"/>
            <w:sz w:val="24"/>
            <w:szCs w:val="24"/>
          </w:rPr>
          <m:t>,</m:t>
        </m:r>
        <m:r>
          <w:rPr>
            <w:rFonts w:ascii="Cambria Math" w:hAnsi="Cambria Math" w:cs="Sylfaen"/>
            <w:sz w:val="24"/>
            <w:szCs w:val="24"/>
          </w:rPr>
          <m:t>ω</m:t>
        </m:r>
      </m:oMath>
      <w:r w:rsidRPr="00825EEB">
        <w:rPr>
          <w:rFonts w:ascii="Sylfaen" w:hAnsi="Sylfaen"/>
          <w:sz w:val="24"/>
          <w:szCs w:val="24"/>
        </w:rPr>
        <w:t>-դիհիդրօքսիպոլիդիմեթիլսիլոքսան):</w:t>
      </w:r>
    </w:p>
    <w:p w14:paraId="518BDA9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7D4DF5B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32D99C3F" w14:textId="77777777" w:rsidR="0058052E" w:rsidRPr="00825EEB" w:rsidRDefault="0058052E" w:rsidP="0058052E">
      <w:pPr>
        <w:spacing w:after="160" w:line="360" w:lineRule="auto"/>
        <w:ind w:firstLine="567"/>
        <w:jc w:val="both"/>
      </w:pPr>
      <w:r w:rsidRPr="00825EEB">
        <w:t xml:space="preserve">Թափանցիկ կամ կիսաթափանցիկ նյութ, որը գրեթե լուծելի չէ օրգանական լուծիչներում, դրանցից մի քանիսը, օրինակ՝ ցիկլոհեքսանը, հեքսանը </w:t>
      </w:r>
      <w:r>
        <w:t>եւ</w:t>
      </w:r>
      <w:r w:rsidRPr="00825EEB">
        <w:t xml:space="preserve"> մեթիլենքլորիդն առաջացնում են նյութի դարձելի ուռչում:</w:t>
      </w:r>
    </w:p>
    <w:p w14:paraId="614BDA1A" w14:textId="77777777" w:rsidR="0058052E" w:rsidRPr="00825EEB" w:rsidRDefault="0058052E" w:rsidP="0058052E">
      <w:pPr>
        <w:spacing w:after="160" w:line="360" w:lineRule="auto"/>
        <w:ind w:firstLine="567"/>
        <w:jc w:val="both"/>
      </w:pPr>
    </w:p>
    <w:p w14:paraId="35FB00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ՆՈՒՅՆԱԿԱՆԱՑՈՒՄԸ</w:t>
      </w:r>
    </w:p>
    <w:p w14:paraId="795494AD"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A5284F" w:rsidRPr="00A859E3">
        <w:rPr>
          <w:rFonts w:ascii="Sylfaen" w:hAnsi="Sylfaen"/>
          <w:sz w:val="24"/>
          <w:szCs w:val="24"/>
        </w:rPr>
        <w:tab/>
      </w:r>
      <w:r w:rsidRPr="00825EEB">
        <w:rPr>
          <w:rFonts w:ascii="Sylfaen" w:hAnsi="Sylfaen"/>
          <w:sz w:val="24"/>
          <w:szCs w:val="24"/>
        </w:rPr>
        <w:t>Նյութի փորձարկվող նմուշի կլանման ինֆրակարմիր սպեկտրը (</w:t>
      </w:r>
      <w:r w:rsidRPr="00825EEB">
        <w:rPr>
          <w:rFonts w:ascii="Sylfaen" w:hAnsi="Sylfaen"/>
          <w:i/>
          <w:sz w:val="24"/>
          <w:szCs w:val="24"/>
        </w:rPr>
        <w:t>2.1.2.23</w:t>
      </w:r>
      <w:r w:rsidRPr="00825EEB">
        <w:rPr>
          <w:rFonts w:ascii="Sylfaen" w:hAnsi="Sylfaen"/>
          <w:sz w:val="24"/>
          <w:szCs w:val="24"/>
        </w:rPr>
        <w:t xml:space="preserve">), որը գրանցված է պինդ նյութերի համար բազմակի արտացոլման մեթոդիկայով, պետք է համապատասխանի </w:t>
      </w:r>
      <w:r w:rsidRPr="00825EEB">
        <w:rPr>
          <w:rFonts w:ascii="Sylfaen" w:hAnsi="Sylfaen"/>
          <w:i/>
          <w:sz w:val="24"/>
          <w:szCs w:val="24"/>
        </w:rPr>
        <w:t>սիլիկոնային էլաստոմերի ԵԱՏՄԴ ՍՆ</w:t>
      </w:r>
      <w:r w:rsidRPr="00825EEB">
        <w:rPr>
          <w:rFonts w:ascii="Sylfaen" w:hAnsi="Sylfaen"/>
          <w:sz w:val="24"/>
          <w:szCs w:val="24"/>
        </w:rPr>
        <w:t xml:space="preserve"> սպեկտրին:</w:t>
      </w:r>
    </w:p>
    <w:p w14:paraId="3CD8AFC7"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Բ.</w:t>
      </w:r>
      <w:r w:rsidR="00A5284F" w:rsidRPr="00A859E3">
        <w:rPr>
          <w:rFonts w:ascii="Sylfaen" w:hAnsi="Sylfaen"/>
          <w:sz w:val="24"/>
          <w:szCs w:val="24"/>
        </w:rPr>
        <w:tab/>
      </w:r>
      <w:r w:rsidRPr="00825EEB">
        <w:rPr>
          <w:rFonts w:ascii="Sylfaen" w:hAnsi="Sylfaen"/>
          <w:sz w:val="24"/>
          <w:szCs w:val="24"/>
        </w:rPr>
        <w:t xml:space="preserve">Նյութի փորձարկվող նմուշի 1,0 գ տեղադրում են փորձասրվակի մեջ </w:t>
      </w:r>
      <w:r>
        <w:rPr>
          <w:rFonts w:ascii="Sylfaen" w:hAnsi="Sylfaen"/>
          <w:sz w:val="24"/>
          <w:szCs w:val="24"/>
        </w:rPr>
        <w:t>եւ</w:t>
      </w:r>
      <w:r w:rsidRPr="00825EEB">
        <w:rPr>
          <w:rFonts w:ascii="Sylfaen" w:hAnsi="Sylfaen"/>
          <w:sz w:val="24"/>
          <w:szCs w:val="24"/>
        </w:rPr>
        <w:t xml:space="preserve"> թույլ կրակի վրա տաքացնում մինչ</w:t>
      </w:r>
      <w:r>
        <w:rPr>
          <w:rFonts w:ascii="Sylfaen" w:hAnsi="Sylfaen"/>
          <w:sz w:val="24"/>
          <w:szCs w:val="24"/>
        </w:rPr>
        <w:t>եւ</w:t>
      </w:r>
      <w:r w:rsidRPr="00825EEB">
        <w:rPr>
          <w:rFonts w:ascii="Sylfaen" w:hAnsi="Sylfaen"/>
          <w:sz w:val="24"/>
          <w:szCs w:val="24"/>
        </w:rPr>
        <w:t xml:space="preserve"> սպիտակ գոլորշիների առաջացումը: Փորձասրվակը շրջում են </w:t>
      </w:r>
      <w:r w:rsidRPr="00825EEB">
        <w:rPr>
          <w:rFonts w:ascii="Sylfaen" w:hAnsi="Sylfaen"/>
          <w:i/>
          <w:sz w:val="24"/>
          <w:szCs w:val="24"/>
        </w:rPr>
        <w:t>Ռ ծծմբաթթվի</w:t>
      </w:r>
      <w:r w:rsidRPr="00825EEB">
        <w:rPr>
          <w:rFonts w:ascii="Sylfaen" w:hAnsi="Sylfaen"/>
          <w:sz w:val="24"/>
          <w:szCs w:val="24"/>
        </w:rPr>
        <w:t xml:space="preserve"> մեջ </w:t>
      </w:r>
      <w:r w:rsidRPr="00825EEB">
        <w:rPr>
          <w:rFonts w:ascii="Sylfaen" w:hAnsi="Sylfaen"/>
          <w:i/>
          <w:sz w:val="24"/>
          <w:szCs w:val="24"/>
        </w:rPr>
        <w:t>Ռ նատրիումի աղի քրոմոտրոպաթթվի</w:t>
      </w:r>
      <w:r w:rsidRPr="00825EEB">
        <w:rPr>
          <w:rFonts w:ascii="Sylfaen" w:hAnsi="Sylfaen"/>
          <w:sz w:val="24"/>
          <w:szCs w:val="24"/>
        </w:rPr>
        <w:t xml:space="preserve"> 1 գ/լ լուծույթի 1 մլ պարունակող մեկ այլ փորձասրվակի վրայով այնպես, որ գոլորշիները հասնեն լուծույթին: Երկրորդ փորձասրվակը թափահարում են մոտ 10 վայրկյան </w:t>
      </w:r>
      <w:r>
        <w:rPr>
          <w:rFonts w:ascii="Sylfaen" w:hAnsi="Sylfaen"/>
          <w:sz w:val="24"/>
          <w:szCs w:val="24"/>
        </w:rPr>
        <w:t>եւ</w:t>
      </w:r>
      <w:r w:rsidRPr="00825EEB">
        <w:rPr>
          <w:rFonts w:ascii="Sylfaen" w:hAnsi="Sylfaen"/>
          <w:sz w:val="24"/>
          <w:szCs w:val="24"/>
        </w:rPr>
        <w:t xml:space="preserve"> 5 րոպե տաքացնում ջրային բաղնիքի վրա. առաջանում է մանուշակագույն գունավորում:</w:t>
      </w:r>
    </w:p>
    <w:p w14:paraId="5FDC33BE" w14:textId="77777777" w:rsidR="0058052E" w:rsidRPr="00825EEB" w:rsidRDefault="0058052E" w:rsidP="00A5284F">
      <w:pPr>
        <w:pStyle w:val="a0"/>
        <w:shd w:val="clear" w:color="auto" w:fill="auto"/>
        <w:tabs>
          <w:tab w:val="left" w:pos="1134"/>
        </w:tabs>
        <w:spacing w:after="160" w:line="360" w:lineRule="auto"/>
        <w:ind w:firstLine="567"/>
        <w:jc w:val="both"/>
        <w:rPr>
          <w:rFonts w:ascii="Sylfaen" w:hAnsi="Sylfaen" w:cs="Sylfaen"/>
          <w:i/>
          <w:iCs/>
          <w:sz w:val="24"/>
          <w:szCs w:val="24"/>
        </w:rPr>
      </w:pPr>
      <w:r w:rsidRPr="00825EEB">
        <w:rPr>
          <w:rFonts w:ascii="Sylfaen" w:hAnsi="Sylfaen"/>
          <w:sz w:val="24"/>
          <w:szCs w:val="24"/>
        </w:rPr>
        <w:t>Գ.</w:t>
      </w:r>
      <w:r w:rsidR="00A5284F" w:rsidRPr="00A5284F">
        <w:rPr>
          <w:rFonts w:ascii="Sylfaen" w:hAnsi="Sylfaen"/>
          <w:sz w:val="24"/>
          <w:szCs w:val="24"/>
        </w:rPr>
        <w:tab/>
      </w:r>
      <w:r w:rsidRPr="00825EEB">
        <w:rPr>
          <w:rFonts w:ascii="Sylfaen" w:hAnsi="Sylfaen"/>
          <w:sz w:val="24"/>
          <w:szCs w:val="24"/>
        </w:rPr>
        <w:t>Մնացորդի 50 մգ-ն այրելուց հետո սիլիկատների նկատմամբ ռեակցիա</w:t>
      </w:r>
      <w:r w:rsidR="00A5284F" w:rsidRPr="00A5284F">
        <w:rPr>
          <w:rFonts w:ascii="Sylfaen" w:hAnsi="Sylfaen"/>
          <w:sz w:val="24"/>
          <w:szCs w:val="24"/>
        </w:rPr>
        <w:t> </w:t>
      </w:r>
      <w:r w:rsidRPr="00825EEB">
        <w:rPr>
          <w:rFonts w:ascii="Sylfaen" w:hAnsi="Sylfaen"/>
          <w:sz w:val="24"/>
          <w:szCs w:val="24"/>
        </w:rPr>
        <w:t>են տալիս (</w:t>
      </w:r>
      <w:r w:rsidRPr="00825EEB">
        <w:rPr>
          <w:rFonts w:ascii="Sylfaen" w:hAnsi="Sylfaen"/>
          <w:i/>
          <w:sz w:val="24"/>
          <w:szCs w:val="24"/>
        </w:rPr>
        <w:t>2.1.3.1</w:t>
      </w:r>
      <w:r w:rsidRPr="00825EEB">
        <w:rPr>
          <w:rFonts w:ascii="Sylfaen" w:hAnsi="Sylfaen"/>
          <w:sz w:val="24"/>
          <w:szCs w:val="24"/>
        </w:rPr>
        <w:t>):</w:t>
      </w:r>
    </w:p>
    <w:p w14:paraId="1DB9E0A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7EED592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7283687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364AA75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 լուծույթը։ </w:t>
      </w:r>
      <w:r w:rsidRPr="00825EEB">
        <w:rPr>
          <w:rFonts w:ascii="Sylfaen" w:hAnsi="Sylfaen"/>
          <w:sz w:val="24"/>
          <w:szCs w:val="24"/>
        </w:rPr>
        <w:t xml:space="preserve">Փորձարկվող նմուշի 25 գ տեղադրում են կիպահղկած խցանով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500 մլ, 5 ժամ եռացնում են հակադարձ սառնարանով, հովացնում </w:t>
      </w:r>
      <w:r>
        <w:rPr>
          <w:rFonts w:ascii="Sylfaen" w:hAnsi="Sylfaen"/>
          <w:sz w:val="24"/>
          <w:szCs w:val="24"/>
        </w:rPr>
        <w:t>եւ</w:t>
      </w:r>
      <w:r w:rsidRPr="00825EEB">
        <w:rPr>
          <w:rFonts w:ascii="Sylfaen" w:hAnsi="Sylfaen"/>
          <w:sz w:val="24"/>
          <w:szCs w:val="24"/>
        </w:rPr>
        <w:t xml:space="preserve"> պարզվածքազատում են:</w:t>
      </w:r>
    </w:p>
    <w:p w14:paraId="6903A5C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 լուծույթը պետք է թափանցիկ լինի:</w:t>
      </w:r>
    </w:p>
    <w:p w14:paraId="4BFB9AF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Թթվայնությունը </w:t>
      </w:r>
      <w:r>
        <w:rPr>
          <w:rFonts w:ascii="Sylfaen" w:hAnsi="Sylfaen"/>
          <w:b/>
          <w:sz w:val="24"/>
          <w:szCs w:val="24"/>
        </w:rPr>
        <w:t>եւ</w:t>
      </w:r>
      <w:r w:rsidRPr="00825EEB">
        <w:rPr>
          <w:rFonts w:ascii="Sylfaen" w:hAnsi="Sylfaen"/>
          <w:b/>
          <w:sz w:val="24"/>
          <w:szCs w:val="24"/>
        </w:rPr>
        <w:t xml:space="preserve"> ալկալիականությունը։ </w:t>
      </w:r>
      <w:r w:rsidRPr="00825EEB">
        <w:rPr>
          <w:rFonts w:ascii="Sylfaen" w:hAnsi="Sylfaen"/>
          <w:sz w:val="24"/>
          <w:szCs w:val="24"/>
        </w:rPr>
        <w:t>Տ լուծույթի 100 մլ-ին ավելացնում</w:t>
      </w:r>
      <w:r w:rsidR="00A5284F" w:rsidRPr="00A5284F">
        <w:rPr>
          <w:rFonts w:ascii="Sylfaen" w:hAnsi="Sylfaen"/>
          <w:sz w:val="24"/>
          <w:szCs w:val="24"/>
        </w:rPr>
        <w:t> </w:t>
      </w:r>
      <w:r w:rsidRPr="00825EEB">
        <w:rPr>
          <w:rFonts w:ascii="Sylfaen" w:hAnsi="Sylfaen"/>
          <w:sz w:val="24"/>
          <w:szCs w:val="24"/>
        </w:rPr>
        <w:t xml:space="preserve">են </w:t>
      </w:r>
      <w:r w:rsidRPr="00825EEB">
        <w:rPr>
          <w:rFonts w:ascii="Sylfaen" w:hAnsi="Sylfaen"/>
          <w:i/>
          <w:sz w:val="24"/>
          <w:szCs w:val="24"/>
        </w:rPr>
        <w:t>Ռ1 բրոմթիմոլային կապույտի լուծույթի</w:t>
      </w:r>
      <w:r w:rsidRPr="00825EEB">
        <w:rPr>
          <w:rFonts w:ascii="Sylfaen" w:hAnsi="Sylfaen"/>
          <w:sz w:val="24"/>
          <w:szCs w:val="24"/>
        </w:rPr>
        <w:t xml:space="preserve"> 0,15 մլ: Ցուցիչի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0,01 Մ նատրիումի հիդրօքսիդի լուծույթի</w:t>
      </w:r>
      <w:r w:rsidRPr="00825EEB">
        <w:rPr>
          <w:rFonts w:ascii="Sylfaen" w:hAnsi="Sylfaen"/>
          <w:sz w:val="24"/>
          <w:szCs w:val="24"/>
        </w:rPr>
        <w:t xml:space="preserve"> ոչ ավելի, քան 2,5 մլ ավելացնելիս: Տ լուծույթի 100 մլ-ին ավելացնում են </w:t>
      </w:r>
      <w:r w:rsidRPr="00825EEB">
        <w:rPr>
          <w:rFonts w:ascii="Sylfaen" w:hAnsi="Sylfaen"/>
          <w:i/>
          <w:sz w:val="24"/>
          <w:szCs w:val="24"/>
        </w:rPr>
        <w:t xml:space="preserve">Ռ մեթիլ </w:t>
      </w:r>
      <w:r w:rsidRPr="00825EEB">
        <w:rPr>
          <w:rFonts w:ascii="Sylfaen" w:hAnsi="Sylfaen"/>
          <w:i/>
          <w:sz w:val="24"/>
          <w:szCs w:val="24"/>
        </w:rPr>
        <w:lastRenderedPageBreak/>
        <w:t>նարնջագույնի լուծույթի</w:t>
      </w:r>
      <w:r w:rsidRPr="00825EEB">
        <w:rPr>
          <w:rFonts w:ascii="Sylfaen" w:hAnsi="Sylfaen"/>
          <w:sz w:val="24"/>
          <w:szCs w:val="24"/>
        </w:rPr>
        <w:t xml:space="preserve"> 0,2 մլ. լուծույթը ստանում է դեղին գունավորում: Լուծույթի նարնջագույն գունավորումը պետք է հայտնվի </w:t>
      </w:r>
      <w:r w:rsidRPr="00825EEB">
        <w:rPr>
          <w:rFonts w:ascii="Sylfaen" w:hAnsi="Sylfaen"/>
          <w:i/>
          <w:sz w:val="24"/>
          <w:szCs w:val="24"/>
        </w:rPr>
        <w:t>0,01 Մ քլորաջրածնային թթուն</w:t>
      </w:r>
      <w:r w:rsidRPr="00825EEB">
        <w:rPr>
          <w:rFonts w:ascii="Sylfaen" w:hAnsi="Sylfaen"/>
          <w:sz w:val="24"/>
          <w:szCs w:val="24"/>
        </w:rPr>
        <w:t xml:space="preserve"> 1,0 մլ-ից ոչ ավելի ավելացնելիս:</w:t>
      </w:r>
    </w:p>
    <w:p w14:paraId="0E7496C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Հարաբերական խտությունը</w:t>
      </w:r>
      <w:r w:rsidRPr="00825EEB">
        <w:rPr>
          <w:rFonts w:ascii="Sylfaen" w:hAnsi="Sylfaen"/>
          <w:sz w:val="24"/>
          <w:szCs w:val="24"/>
        </w:rPr>
        <w:t xml:space="preserve"> (</w:t>
      </w:r>
      <w:r w:rsidRPr="00825EEB">
        <w:rPr>
          <w:rFonts w:ascii="Sylfaen" w:hAnsi="Sylfaen"/>
          <w:i/>
          <w:sz w:val="24"/>
          <w:szCs w:val="24"/>
        </w:rPr>
        <w:t>2.1.2.5</w:t>
      </w:r>
      <w:r w:rsidRPr="00825EEB">
        <w:rPr>
          <w:rFonts w:ascii="Sylfaen" w:hAnsi="Sylfaen"/>
          <w:sz w:val="24"/>
          <w:szCs w:val="24"/>
        </w:rPr>
        <w:t>)։ 1,05-ից մինչ</w:t>
      </w:r>
      <w:r>
        <w:rPr>
          <w:rFonts w:ascii="Sylfaen" w:hAnsi="Sylfaen"/>
          <w:sz w:val="24"/>
          <w:szCs w:val="24"/>
        </w:rPr>
        <w:t>եւ</w:t>
      </w:r>
      <w:r w:rsidRPr="00825EEB">
        <w:rPr>
          <w:rFonts w:ascii="Sylfaen" w:hAnsi="Sylfaen"/>
          <w:sz w:val="24"/>
          <w:szCs w:val="24"/>
        </w:rPr>
        <w:t xml:space="preserve"> 1,25։</w:t>
      </w:r>
    </w:p>
    <w:p w14:paraId="29C907B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Փորձարկումն անցկացնում են՝ որպես համեմատության հեղուկ օգտագործելով </w:t>
      </w:r>
      <w:r w:rsidRPr="00825EEB">
        <w:rPr>
          <w:rFonts w:ascii="Sylfaen" w:hAnsi="Sylfaen"/>
          <w:i/>
          <w:sz w:val="24"/>
          <w:szCs w:val="24"/>
        </w:rPr>
        <w:t>Ռ անջուր էթանոլով</w:t>
      </w:r>
      <w:r w:rsidRPr="00825EEB">
        <w:rPr>
          <w:rFonts w:ascii="Sylfaen" w:hAnsi="Sylfaen"/>
          <w:sz w:val="24"/>
          <w:szCs w:val="24"/>
        </w:rPr>
        <w:t xml:space="preserve"> պիկնոմետրը:</w:t>
      </w:r>
    </w:p>
    <w:p w14:paraId="203AC76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Վերականգնող նյութերը։ </w:t>
      </w:r>
      <w:r w:rsidRPr="00825EEB">
        <w:rPr>
          <w:rFonts w:ascii="Sylfaen" w:hAnsi="Sylfaen"/>
          <w:sz w:val="24"/>
          <w:szCs w:val="24"/>
        </w:rPr>
        <w:t xml:space="preserve">S լուծույթի 20 մլ-ին ավելացնում են </w:t>
      </w:r>
      <w:r w:rsidRPr="00825EEB">
        <w:rPr>
          <w:rFonts w:ascii="Sylfaen" w:hAnsi="Sylfaen"/>
          <w:i/>
          <w:sz w:val="24"/>
          <w:szCs w:val="24"/>
        </w:rPr>
        <w:t>Ռ նոսրացված ծծմբաթթվի</w:t>
      </w:r>
      <w:r w:rsidRPr="00825EEB">
        <w:rPr>
          <w:rFonts w:ascii="Sylfaen" w:hAnsi="Sylfaen"/>
          <w:sz w:val="24"/>
          <w:szCs w:val="24"/>
        </w:rPr>
        <w:t xml:space="preserve"> 1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0,002 Մ կալիումի պերմանգանատի լուծույթի</w:t>
      </w:r>
      <w:r w:rsidRPr="00825EEB">
        <w:rPr>
          <w:rFonts w:ascii="Sylfaen" w:hAnsi="Sylfaen"/>
          <w:sz w:val="24"/>
          <w:szCs w:val="24"/>
        </w:rPr>
        <w:t xml:space="preserve"> 20 մլ, պահում են 15 րոպե, ավելացնում </w:t>
      </w:r>
      <w:r w:rsidRPr="00825EEB">
        <w:rPr>
          <w:rFonts w:ascii="Sylfaen" w:hAnsi="Sylfaen"/>
          <w:i/>
          <w:sz w:val="24"/>
          <w:szCs w:val="24"/>
        </w:rPr>
        <w:t>Ռ կալիումի յոդիդի</w:t>
      </w:r>
      <w:r w:rsidRPr="00825EEB">
        <w:rPr>
          <w:rFonts w:ascii="Sylfaen" w:hAnsi="Sylfaen"/>
          <w:sz w:val="24"/>
          <w:szCs w:val="24"/>
        </w:rPr>
        <w:t xml:space="preserve"> 1 գ </w:t>
      </w:r>
      <w:r>
        <w:rPr>
          <w:rFonts w:ascii="Sylfaen" w:hAnsi="Sylfaen"/>
          <w:sz w:val="24"/>
          <w:szCs w:val="24"/>
        </w:rPr>
        <w:t>եւ</w:t>
      </w:r>
      <w:r w:rsidRPr="00825EEB">
        <w:rPr>
          <w:rFonts w:ascii="Sylfaen" w:hAnsi="Sylfaen"/>
          <w:sz w:val="24"/>
          <w:szCs w:val="24"/>
        </w:rPr>
        <w:t xml:space="preserve"> իսկույն տիտրում են </w:t>
      </w:r>
      <w:r w:rsidRPr="00825EEB">
        <w:rPr>
          <w:rFonts w:ascii="Sylfaen" w:hAnsi="Sylfaen"/>
          <w:i/>
          <w:sz w:val="24"/>
          <w:szCs w:val="24"/>
        </w:rPr>
        <w:t>0,01 Մ նատրիումի 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անցկացնում են ստուգիչ փորձարկում՝ S լուծույթի փոխարեն օգտագործելով 20 մլ </w:t>
      </w:r>
      <w:r w:rsidRPr="00825EEB">
        <w:rPr>
          <w:rFonts w:ascii="Sylfaen" w:hAnsi="Sylfaen"/>
          <w:i/>
          <w:sz w:val="24"/>
          <w:szCs w:val="24"/>
        </w:rPr>
        <w:t>Ռ ջուր</w:t>
      </w:r>
      <w:r w:rsidRPr="00825EEB">
        <w:rPr>
          <w:rFonts w:ascii="Sylfaen" w:hAnsi="Sylfaen"/>
          <w:sz w:val="24"/>
          <w:szCs w:val="24"/>
        </w:rPr>
        <w:t>: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1,0 մլ-ը:</w:t>
      </w:r>
    </w:p>
    <w:p w14:paraId="09FFDFC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Հեքսանի մեջ լուծվող նյութերը։ </w:t>
      </w:r>
      <w:r w:rsidRPr="00825EEB">
        <w:rPr>
          <w:rFonts w:ascii="Sylfaen" w:hAnsi="Sylfaen"/>
          <w:sz w:val="24"/>
          <w:szCs w:val="24"/>
        </w:rPr>
        <w:t>3 %-ից ոչ ավելի:</w:t>
      </w:r>
    </w:p>
    <w:p w14:paraId="3837D13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«Ֆենիլացված միացություններ»</w:t>
      </w:r>
      <w:r w:rsidRPr="00825EEB">
        <w:rPr>
          <w:rFonts w:ascii="Sylfaen" w:hAnsi="Sylfaen"/>
          <w:sz w:val="24"/>
          <w:szCs w:val="24"/>
        </w:rPr>
        <w:t xml:space="preserve"> փորձարկման ժամանակ ստացված լուծույթի 25 մլ-ը ջրային բաղնիքի վրա շոգեհանում են շոգեհանման ապակյա բաժակի մեջ </w:t>
      </w:r>
      <w:r>
        <w:rPr>
          <w:rFonts w:ascii="Sylfaen" w:hAnsi="Sylfaen"/>
          <w:sz w:val="24"/>
          <w:szCs w:val="24"/>
        </w:rPr>
        <w:t>եւ</w:t>
      </w:r>
      <w:r w:rsidRPr="00825EEB">
        <w:rPr>
          <w:rFonts w:ascii="Sylfaen" w:hAnsi="Sylfaen"/>
          <w:sz w:val="24"/>
          <w:szCs w:val="24"/>
        </w:rPr>
        <w:t xml:space="preserve"> 1 ժամ չորացնում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ջերմաստիճանի տակ: Ստացված մնացորդի զանգվածը չպետք է գերազանցի 15 մգ-ը:</w:t>
      </w:r>
    </w:p>
    <w:p w14:paraId="50613C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Ֆենիլացված միացությունները։ </w:t>
      </w:r>
      <w:r w:rsidRPr="00825EEB">
        <w:rPr>
          <w:rFonts w:ascii="Sylfaen" w:hAnsi="Sylfaen"/>
          <w:sz w:val="24"/>
          <w:szCs w:val="24"/>
        </w:rPr>
        <w:t>Փորձարկվող նմուշի 2,0 գ տեղադրում են կիպահղկած խցանով բորասիլիկատային ապակուց փորձանոթի մեջ, ավելացնում</w:t>
      </w:r>
      <w:r w:rsidR="00A5284F" w:rsidRPr="00A5284F">
        <w:rPr>
          <w:rFonts w:ascii="Sylfaen" w:hAnsi="Sylfaen"/>
          <w:sz w:val="24"/>
          <w:szCs w:val="24"/>
        </w:rPr>
        <w:t> </w:t>
      </w:r>
      <w:r w:rsidRPr="00825EEB">
        <w:rPr>
          <w:rFonts w:ascii="Sylfaen" w:hAnsi="Sylfaen"/>
          <w:sz w:val="24"/>
          <w:szCs w:val="24"/>
        </w:rPr>
        <w:t xml:space="preserve">են </w:t>
      </w:r>
      <w:r w:rsidRPr="00825EEB">
        <w:rPr>
          <w:rFonts w:ascii="Sylfaen" w:hAnsi="Sylfaen"/>
          <w:i/>
          <w:sz w:val="24"/>
          <w:szCs w:val="24"/>
        </w:rPr>
        <w:t>Ռ հեքսանի</w:t>
      </w:r>
      <w:r w:rsidRPr="00825EEB">
        <w:rPr>
          <w:rFonts w:ascii="Sylfaen" w:hAnsi="Sylfaen"/>
          <w:sz w:val="24"/>
          <w:szCs w:val="24"/>
        </w:rPr>
        <w:t xml:space="preserve"> 100 մլ, 4 ժամ եռացնում են հակադարձ սառնարանով, հովացնում, հետո արագ զտում են ապակյա զտիչով (16) (</w:t>
      </w:r>
      <w:r w:rsidRPr="00825EEB">
        <w:rPr>
          <w:rFonts w:ascii="Sylfaen" w:hAnsi="Sylfaen"/>
          <w:i/>
          <w:sz w:val="24"/>
          <w:szCs w:val="24"/>
        </w:rPr>
        <w:t>2.1.1.2</w:t>
      </w:r>
      <w:r w:rsidRPr="00825EEB">
        <w:rPr>
          <w:rFonts w:ascii="Sylfaen" w:hAnsi="Sylfaen"/>
          <w:sz w:val="24"/>
          <w:szCs w:val="24"/>
        </w:rPr>
        <w:t>)՝ խցանով պինդ փակվող փորձանոթի մեջ: Ստացված զտվածքն իսկույն փակում են գոլորշիացումից խուսափելու համար:</w:t>
      </w:r>
    </w:p>
    <w:p w14:paraId="3D4AF86D"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Ստացված զտվածքի՝ ալիքների երկարության 250 նմ-ից մինչ</w:t>
      </w:r>
      <w:r>
        <w:rPr>
          <w:rFonts w:ascii="Sylfaen" w:hAnsi="Sylfaen"/>
          <w:sz w:val="24"/>
          <w:szCs w:val="24"/>
        </w:rPr>
        <w:t>եւ</w:t>
      </w:r>
      <w:r w:rsidRPr="00825EEB">
        <w:rPr>
          <w:rFonts w:ascii="Sylfaen" w:hAnsi="Sylfaen"/>
          <w:sz w:val="24"/>
          <w:szCs w:val="24"/>
        </w:rPr>
        <w:t xml:space="preserve"> 340 նմ հատվածում չափված օպտիկական խտությունը չպետք է գերազանցի 0,4-ը:</w:t>
      </w:r>
    </w:p>
    <w:p w14:paraId="00293EAD"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495614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Հանքային յուղերը։ </w:t>
      </w:r>
      <w:r w:rsidRPr="00825EEB">
        <w:rPr>
          <w:rFonts w:ascii="Sylfaen" w:hAnsi="Sylfaen"/>
          <w:sz w:val="24"/>
          <w:szCs w:val="24"/>
        </w:rPr>
        <w:t>Փորձարկվող նմուշի 2 գ տեղադրում են 100 մլ տարողությամբ կոնաձ</w:t>
      </w:r>
      <w:r>
        <w:rPr>
          <w:rFonts w:ascii="Sylfaen" w:hAnsi="Sylfaen"/>
          <w:sz w:val="24"/>
          <w:szCs w:val="24"/>
        </w:rPr>
        <w:t>եւ</w:t>
      </w:r>
      <w:r w:rsidRPr="00825EEB">
        <w:rPr>
          <w:rFonts w:ascii="Sylfaen" w:hAnsi="Sylfaen"/>
          <w:sz w:val="24"/>
          <w:szCs w:val="24"/>
        </w:rPr>
        <w:t xml:space="preserve"> փորձանոթի մեջ, որը պարունակում է </w:t>
      </w:r>
      <w:r w:rsidRPr="00825EEB">
        <w:rPr>
          <w:rFonts w:ascii="Sylfaen" w:hAnsi="Sylfaen"/>
          <w:i/>
          <w:sz w:val="24"/>
          <w:szCs w:val="24"/>
        </w:rPr>
        <w:t>Ռ ամոնիակի լուծույթ – Ռ պիրիդին</w:t>
      </w:r>
      <w:r w:rsidRPr="00825EEB">
        <w:rPr>
          <w:rFonts w:ascii="Sylfaen" w:hAnsi="Sylfaen"/>
          <w:sz w:val="24"/>
          <w:szCs w:val="24"/>
        </w:rPr>
        <w:t xml:space="preserve"> խառնուրդի (5:95 </w:t>
      </w:r>
      <w:r w:rsidRPr="00825EEB">
        <w:rPr>
          <w:rFonts w:ascii="Sylfaen" w:hAnsi="Sylfaen"/>
          <w:i/>
          <w:sz w:val="24"/>
          <w:szCs w:val="24"/>
        </w:rPr>
        <w:t>ծավ/ծավ</w:t>
      </w:r>
      <w:r w:rsidRPr="00825EEB">
        <w:rPr>
          <w:rFonts w:ascii="Sylfaen" w:hAnsi="Sylfaen"/>
          <w:sz w:val="24"/>
          <w:szCs w:val="24"/>
        </w:rPr>
        <w:t xml:space="preserve">) 30 մլ, </w:t>
      </w:r>
      <w:r>
        <w:rPr>
          <w:rFonts w:ascii="Sylfaen" w:hAnsi="Sylfaen"/>
          <w:sz w:val="24"/>
          <w:szCs w:val="24"/>
        </w:rPr>
        <w:t>եւ</w:t>
      </w:r>
      <w:r w:rsidRPr="00825EEB">
        <w:rPr>
          <w:rFonts w:ascii="Sylfaen" w:hAnsi="Sylfaen"/>
          <w:sz w:val="24"/>
          <w:szCs w:val="24"/>
        </w:rPr>
        <w:t xml:space="preserve"> պահում են 2 ժամ՝ </w:t>
      </w:r>
      <w:r w:rsidRPr="00A5284F">
        <w:rPr>
          <w:rFonts w:ascii="Sylfaen" w:hAnsi="Sylfaen"/>
          <w:spacing w:val="4"/>
          <w:sz w:val="24"/>
          <w:szCs w:val="24"/>
        </w:rPr>
        <w:t>հաճախակի թափահարմամբ: Պիրիդինի ստացված լուծույթը պարզվածքազատում են եւ</w:t>
      </w:r>
      <w:r w:rsidRPr="00825EEB">
        <w:rPr>
          <w:rFonts w:ascii="Sylfaen" w:hAnsi="Sylfaen"/>
          <w:sz w:val="24"/>
          <w:szCs w:val="24"/>
        </w:rPr>
        <w:t xml:space="preserve"> դիտում ուլտրամանուշակագույն լույսի ներքո՝ ալիքի 365 նմ երկարությամբ. ստացված լուծույթի ֆլուորեսցենտումը չպետք է լինի ավելի ինտենսիվ, քան </w:t>
      </w:r>
      <w:r w:rsidRPr="00825EEB">
        <w:rPr>
          <w:rFonts w:ascii="Sylfaen" w:hAnsi="Sylfaen"/>
          <w:i/>
          <w:sz w:val="24"/>
          <w:szCs w:val="24"/>
        </w:rPr>
        <w:t>0,005 Մ ծծմբաթթվի լուծույթի</w:t>
      </w:r>
      <w:r w:rsidRPr="00825EEB">
        <w:rPr>
          <w:rFonts w:ascii="Sylfaen" w:hAnsi="Sylfaen"/>
          <w:sz w:val="24"/>
          <w:szCs w:val="24"/>
        </w:rPr>
        <w:t xml:space="preserve"> </w:t>
      </w:r>
      <w:r w:rsidRPr="00825EEB">
        <w:rPr>
          <w:rFonts w:ascii="Sylfaen" w:hAnsi="Sylfaen"/>
          <w:i/>
          <w:sz w:val="24"/>
          <w:szCs w:val="24"/>
        </w:rPr>
        <w:t>մեջ</w:t>
      </w:r>
      <w:r w:rsidRPr="00825EEB">
        <w:rPr>
          <w:rFonts w:ascii="Sylfaen" w:hAnsi="Sylfaen"/>
          <w:sz w:val="24"/>
          <w:szCs w:val="24"/>
        </w:rPr>
        <w:t xml:space="preserve"> </w:t>
      </w:r>
      <w:r w:rsidRPr="00825EEB">
        <w:rPr>
          <w:rFonts w:ascii="Sylfaen" w:hAnsi="Sylfaen"/>
          <w:i/>
          <w:sz w:val="24"/>
          <w:szCs w:val="24"/>
        </w:rPr>
        <w:t>Ռ քինինի սուլֆատի</w:t>
      </w:r>
      <w:r w:rsidRPr="00825EEB">
        <w:rPr>
          <w:rFonts w:ascii="Sylfaen" w:hAnsi="Sylfaen"/>
          <w:sz w:val="24"/>
          <w:szCs w:val="24"/>
        </w:rPr>
        <w:t xml:space="preserve"> 1 ppm պարունակող լուծույթի ֆլուորեսցենտումը՝ նույն պայմաններում հետազոտելու դեպքում:</w:t>
      </w:r>
    </w:p>
    <w:p w14:paraId="065CEE9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Ցնդող նյութեր։ </w:t>
      </w:r>
      <w:r w:rsidRPr="00825EEB">
        <w:rPr>
          <w:rFonts w:ascii="Sylfaen" w:hAnsi="Sylfaen"/>
          <w:sz w:val="24"/>
          <w:szCs w:val="24"/>
        </w:rPr>
        <w:t xml:space="preserve">Կշռում են փորձարկվող նմուշի 10,0 գ, որը նախապես 48 ժամ </w:t>
      </w:r>
      <w:r w:rsidRPr="00A5284F">
        <w:rPr>
          <w:rFonts w:ascii="Sylfaen" w:hAnsi="Sylfaen"/>
          <w:spacing w:val="-4"/>
          <w:sz w:val="24"/>
          <w:szCs w:val="24"/>
        </w:rPr>
        <w:t xml:space="preserve">պահվել է էքսիկատորում՝ </w:t>
      </w:r>
      <w:r w:rsidRPr="00A5284F">
        <w:rPr>
          <w:rFonts w:ascii="Sylfaen" w:hAnsi="Sylfaen"/>
          <w:i/>
          <w:spacing w:val="-4"/>
          <w:sz w:val="24"/>
          <w:szCs w:val="24"/>
        </w:rPr>
        <w:t>Ռ անջուր կալցիումի քլորիդի</w:t>
      </w:r>
      <w:r w:rsidRPr="00A5284F">
        <w:rPr>
          <w:rFonts w:ascii="Sylfaen" w:hAnsi="Sylfaen"/>
          <w:spacing w:val="-4"/>
          <w:sz w:val="24"/>
          <w:szCs w:val="24"/>
        </w:rPr>
        <w:t xml:space="preserve"> վրա, 4 ժամ տաքացնում են </w:t>
      </w:r>
      <w:smartTag w:uri="urn:schemas-microsoft-com:office:smarttags" w:element="metricconverter">
        <w:smartTagPr>
          <w:attr w:name="ProductID" w:val="200 °C"/>
        </w:smartTagPr>
        <w:r w:rsidRPr="00A5284F">
          <w:rPr>
            <w:rFonts w:ascii="Sylfaen" w:hAnsi="Sylfaen"/>
            <w:spacing w:val="-4"/>
            <w:sz w:val="24"/>
            <w:szCs w:val="24"/>
          </w:rPr>
          <w:t>2</w:t>
        </w:r>
        <w:r w:rsidRPr="00825EEB">
          <w:rPr>
            <w:rFonts w:ascii="Sylfaen" w:hAnsi="Sylfaen"/>
            <w:sz w:val="24"/>
            <w:szCs w:val="24"/>
          </w:rPr>
          <w:t>00 °C</w:t>
        </w:r>
      </w:smartTag>
      <w:r w:rsidRPr="00825EEB">
        <w:rPr>
          <w:rFonts w:ascii="Sylfaen" w:hAnsi="Sylfaen"/>
          <w:sz w:val="24"/>
          <w:szCs w:val="24"/>
        </w:rPr>
        <w:t xml:space="preserve"> ջերմաստիճանում, էքսիկատորի մեջ հովացնում </w:t>
      </w:r>
      <w:r>
        <w:rPr>
          <w:rFonts w:ascii="Sylfaen" w:hAnsi="Sylfaen"/>
          <w:sz w:val="24"/>
          <w:szCs w:val="24"/>
        </w:rPr>
        <w:t>եւ</w:t>
      </w:r>
      <w:r w:rsidRPr="00825EEB">
        <w:rPr>
          <w:rFonts w:ascii="Sylfaen" w:hAnsi="Sylfaen"/>
          <w:sz w:val="24"/>
          <w:szCs w:val="24"/>
        </w:rPr>
        <w:t xml:space="preserve"> կրկին կշռում են: Պերօքսիդների օգտագործմամբ պատրաստված սիլիկոնային էլաստոմերի համար ցնդող նյութերի պարունակությունը չպետք է գերազանցի 0,5 %-ը: Պլատինի օգտագործմամբ պատրաստված սիլիկոնային էլաստոմերի համար ցնդող նյութերի պարունակությունը չպետք է գերազանցի 2,0 %-ը:</w:t>
      </w:r>
    </w:p>
    <w:p w14:paraId="363A877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Պերօքսիդների օգտագործմամբ պատրաստված սիլիկոնային էլաստոմերը պետք է անցնի ստոր</w:t>
      </w:r>
      <w:r>
        <w:rPr>
          <w:rFonts w:ascii="Sylfaen" w:hAnsi="Sylfaen"/>
          <w:i/>
          <w:sz w:val="24"/>
          <w:szCs w:val="24"/>
        </w:rPr>
        <w:t>եւ</w:t>
      </w:r>
      <w:r w:rsidRPr="00825EEB">
        <w:rPr>
          <w:rFonts w:ascii="Sylfaen" w:hAnsi="Sylfaen"/>
          <w:i/>
          <w:sz w:val="24"/>
          <w:szCs w:val="24"/>
        </w:rPr>
        <w:t xml:space="preserve"> ներկայացված լրացուցիչ փորձարկումները։</w:t>
      </w:r>
    </w:p>
    <w:p w14:paraId="7E6B2A2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Մնացորդային պերօքսիդներ։ </w:t>
      </w:r>
      <w:r w:rsidRPr="00825EEB">
        <w:rPr>
          <w:rFonts w:ascii="Sylfaen" w:hAnsi="Sylfaen"/>
          <w:sz w:val="24"/>
          <w:szCs w:val="24"/>
        </w:rPr>
        <w:t>0,08 %-ից ոչ ավելի՝ դիքլորբենզոիլի պերօքսիդի վերահաշվարկով:</w:t>
      </w:r>
    </w:p>
    <w:p w14:paraId="703C2E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նմուշի 5 գ տեղադրում են բորասիլիկատային ապակուց փորձանոթի մեջ, ավելացնում են </w:t>
      </w:r>
      <w:r w:rsidRPr="00825EEB">
        <w:rPr>
          <w:rFonts w:ascii="Sylfaen" w:hAnsi="Sylfaen"/>
          <w:i/>
          <w:sz w:val="24"/>
          <w:szCs w:val="24"/>
        </w:rPr>
        <w:t>Ռ մեթիլենքլորիդի</w:t>
      </w:r>
      <w:r w:rsidRPr="00825EEB">
        <w:rPr>
          <w:rFonts w:ascii="Sylfaen" w:hAnsi="Sylfaen"/>
          <w:sz w:val="24"/>
          <w:szCs w:val="24"/>
        </w:rPr>
        <w:t xml:space="preserve"> 150 մլ, փակում են փորձանոթը </w:t>
      </w:r>
      <w:r>
        <w:rPr>
          <w:rFonts w:ascii="Sylfaen" w:hAnsi="Sylfaen"/>
          <w:sz w:val="24"/>
          <w:szCs w:val="24"/>
        </w:rPr>
        <w:t>եւ</w:t>
      </w:r>
      <w:r w:rsidRPr="00825EEB">
        <w:rPr>
          <w:rFonts w:ascii="Sylfaen" w:hAnsi="Sylfaen"/>
          <w:sz w:val="24"/>
          <w:szCs w:val="24"/>
        </w:rPr>
        <w:t xml:space="preserve"> 16 ժամ խառնում մեխանիկական խառնիչով: Հետո արագ զտում են՝ զտվածքը հավաքելով կիպահղկած խցանով փորձանոթի մեջ: Փորձանոթում օդը փոխարինում են </w:t>
      </w:r>
      <w:r w:rsidRPr="00825EEB">
        <w:rPr>
          <w:rFonts w:ascii="Sylfaen" w:hAnsi="Sylfaen"/>
          <w:i/>
          <w:sz w:val="24"/>
          <w:szCs w:val="24"/>
        </w:rPr>
        <w:t>Ռ թթվածնից զերծ ազոտով</w:t>
      </w:r>
      <w:r w:rsidRPr="00825EEB">
        <w:rPr>
          <w:rFonts w:ascii="Sylfaen" w:hAnsi="Sylfaen"/>
          <w:sz w:val="24"/>
          <w:szCs w:val="24"/>
        </w:rPr>
        <w:t xml:space="preserve">, ավելացնում են </w:t>
      </w:r>
      <w:r w:rsidRPr="00825EEB">
        <w:rPr>
          <w:rFonts w:ascii="Sylfaen" w:hAnsi="Sylfaen"/>
          <w:i/>
          <w:sz w:val="24"/>
          <w:szCs w:val="24"/>
        </w:rPr>
        <w:t>Ռ անջուր քացախաթթվի մեջ</w:t>
      </w:r>
      <w:r w:rsidRPr="00825EEB">
        <w:rPr>
          <w:rFonts w:ascii="Sylfaen" w:hAnsi="Sylfaen"/>
          <w:sz w:val="24"/>
          <w:szCs w:val="24"/>
        </w:rPr>
        <w:t xml:space="preserve"> 200 գ/լ </w:t>
      </w:r>
      <w:r w:rsidRPr="00825EEB">
        <w:rPr>
          <w:rFonts w:ascii="Sylfaen" w:hAnsi="Sylfaen"/>
          <w:i/>
          <w:sz w:val="24"/>
          <w:szCs w:val="24"/>
        </w:rPr>
        <w:t>Ռ նատրիումի յոդիդի</w:t>
      </w:r>
      <w:r w:rsidRPr="00825EEB">
        <w:rPr>
          <w:rFonts w:ascii="Sylfaen" w:hAnsi="Sylfaen"/>
          <w:sz w:val="24"/>
          <w:szCs w:val="24"/>
        </w:rPr>
        <w:t xml:space="preserve"> 1 մլ, փակում են փորձանոթը, մանրակրկիտ թափահարում </w:t>
      </w:r>
      <w:r>
        <w:rPr>
          <w:rFonts w:ascii="Sylfaen" w:hAnsi="Sylfaen"/>
          <w:sz w:val="24"/>
          <w:szCs w:val="24"/>
        </w:rPr>
        <w:t>եւ</w:t>
      </w:r>
      <w:r w:rsidRPr="00825EEB">
        <w:rPr>
          <w:rFonts w:ascii="Sylfaen" w:hAnsi="Sylfaen"/>
          <w:sz w:val="24"/>
          <w:szCs w:val="24"/>
        </w:rPr>
        <w:t xml:space="preserve"> պահում 30 րոպե լույսից պաշտպանված տեղում։ Ավելացնում են </w:t>
      </w:r>
      <w:r w:rsidRPr="00825EEB">
        <w:rPr>
          <w:rFonts w:ascii="Sylfaen" w:hAnsi="Sylfaen"/>
          <w:i/>
          <w:sz w:val="24"/>
          <w:szCs w:val="24"/>
        </w:rPr>
        <w:t>Ռ ջրի</w:t>
      </w:r>
      <w:r w:rsidRPr="00825EEB">
        <w:rPr>
          <w:rFonts w:ascii="Sylfaen" w:hAnsi="Sylfaen"/>
          <w:sz w:val="24"/>
          <w:szCs w:val="24"/>
        </w:rPr>
        <w:t xml:space="preserve"> 50 մլ </w:t>
      </w:r>
      <w:r>
        <w:rPr>
          <w:rFonts w:ascii="Sylfaen" w:hAnsi="Sylfaen"/>
          <w:sz w:val="24"/>
          <w:szCs w:val="24"/>
        </w:rPr>
        <w:t>եւ</w:t>
      </w:r>
      <w:r w:rsidRPr="00825EEB">
        <w:rPr>
          <w:rFonts w:ascii="Sylfaen" w:hAnsi="Sylfaen"/>
          <w:sz w:val="24"/>
          <w:szCs w:val="24"/>
        </w:rPr>
        <w:t xml:space="preserve"> անմիջապես տիտրում </w:t>
      </w:r>
      <w:r w:rsidRPr="00825EEB">
        <w:rPr>
          <w:rFonts w:ascii="Sylfaen" w:hAnsi="Sylfaen"/>
          <w:i/>
          <w:sz w:val="24"/>
          <w:szCs w:val="24"/>
        </w:rPr>
        <w:t xml:space="preserve">0,01 Մ նատրիումի </w:t>
      </w:r>
      <w:r w:rsidRPr="00825EEB">
        <w:rPr>
          <w:rFonts w:ascii="Sylfaen" w:hAnsi="Sylfaen"/>
          <w:i/>
          <w:sz w:val="24"/>
          <w:szCs w:val="24"/>
        </w:rPr>
        <w:lastRenderedPageBreak/>
        <w:t>թիոսուլֆատի լուծույթով՝</w:t>
      </w:r>
      <w:r w:rsidRPr="00825EEB">
        <w:rPr>
          <w:rFonts w:ascii="Sylfaen" w:hAnsi="Sylfaen"/>
          <w:sz w:val="24"/>
          <w:szCs w:val="24"/>
        </w:rPr>
        <w:t xml:space="preserve"> որպես ցուցիչ օգտագործելով </w:t>
      </w:r>
      <w:r w:rsidRPr="00825EEB">
        <w:rPr>
          <w:rFonts w:ascii="Sylfaen" w:hAnsi="Sylfaen"/>
          <w:i/>
          <w:sz w:val="24"/>
          <w:szCs w:val="24"/>
        </w:rPr>
        <w:t>Ռ օսլայի լուծույթի</w:t>
      </w:r>
      <w:r w:rsidRPr="00825EEB">
        <w:rPr>
          <w:rFonts w:ascii="Sylfaen" w:hAnsi="Sylfaen"/>
          <w:sz w:val="24"/>
          <w:szCs w:val="24"/>
        </w:rPr>
        <w:t xml:space="preserve"> 0,25 մլ: Զուգահեռ անցկացնում են ստուգիչ փորձարկումը։ Տիտրանտի ծավալների միջ</w:t>
      </w:r>
      <w:r>
        <w:rPr>
          <w:rFonts w:ascii="Sylfaen" w:hAnsi="Sylfaen"/>
          <w:sz w:val="24"/>
          <w:szCs w:val="24"/>
        </w:rPr>
        <w:t>եւ</w:t>
      </w:r>
      <w:r w:rsidRPr="00825EEB">
        <w:rPr>
          <w:rFonts w:ascii="Sylfaen" w:hAnsi="Sylfaen"/>
          <w:sz w:val="24"/>
          <w:szCs w:val="24"/>
        </w:rPr>
        <w:t xml:space="preserve"> տարբերությունը չպետք է գերազանցի 2,0 մլ-ը:</w:t>
      </w:r>
    </w:p>
    <w:p w14:paraId="4FD6571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Պլատինի օգտագործմամբ պատրաստված սիլիկոնային էլաստոմերը պետք է անցնի ստոր</w:t>
      </w:r>
      <w:r>
        <w:rPr>
          <w:rFonts w:ascii="Sylfaen" w:hAnsi="Sylfaen"/>
          <w:i/>
          <w:sz w:val="24"/>
          <w:szCs w:val="24"/>
        </w:rPr>
        <w:t>եւ</w:t>
      </w:r>
      <w:r w:rsidRPr="00825EEB">
        <w:rPr>
          <w:rFonts w:ascii="Sylfaen" w:hAnsi="Sylfaen"/>
          <w:i/>
          <w:sz w:val="24"/>
          <w:szCs w:val="24"/>
        </w:rPr>
        <w:t xml:space="preserve"> ներկայացված լրացուցիչ փորձարկումները։</w:t>
      </w:r>
    </w:p>
    <w:p w14:paraId="6CD8F86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Պլատին։ </w:t>
      </w:r>
      <w:r w:rsidRPr="00825EEB">
        <w:rPr>
          <w:rFonts w:ascii="Sylfaen" w:hAnsi="Sylfaen"/>
          <w:sz w:val="24"/>
          <w:szCs w:val="24"/>
        </w:rPr>
        <w:t>30 ppm-ից ոչ ավելի։</w:t>
      </w:r>
    </w:p>
    <w:p w14:paraId="5ABDA350" w14:textId="77777777" w:rsidR="0058052E" w:rsidRPr="00825EEB" w:rsidRDefault="0058052E" w:rsidP="0058052E">
      <w:pPr>
        <w:spacing w:after="160" w:line="360" w:lineRule="auto"/>
        <w:ind w:firstLine="567"/>
        <w:jc w:val="both"/>
      </w:pPr>
      <w:r w:rsidRPr="00825EEB">
        <w:t>Փորձարկվող նմուշի 1,0 գ-ն այրում են քվարցային հալքանոթում՝ աստիճանաբար բարձրացնելով ջերմաստիճանը, մինչ</w:t>
      </w:r>
      <w:r>
        <w:t>եւ</w:t>
      </w:r>
      <w:r w:rsidRPr="00825EEB">
        <w:t xml:space="preserve"> սպիտակ մնացորդ ստանալը: Մնացորդը տեղափոխում են գրաֆիտային հալքանոթի մեջ: Քվարցային հալքանոթի մեջ ավելացնում են </w:t>
      </w:r>
      <w:r w:rsidRPr="00825EEB">
        <w:rPr>
          <w:i/>
        </w:rPr>
        <w:t xml:space="preserve">Ռ ազոտաթթու </w:t>
      </w:r>
      <w:r w:rsidR="00A5284F" w:rsidRPr="00A5284F">
        <w:rPr>
          <w:i/>
        </w:rPr>
        <w:t>-</w:t>
      </w:r>
      <w:r w:rsidRPr="00825EEB">
        <w:rPr>
          <w:i/>
        </w:rPr>
        <w:t xml:space="preserve"> Ռ քլորաջրածնային թթու</w:t>
      </w:r>
      <w:r w:rsidRPr="00825EEB">
        <w:t xml:space="preserve"> (1:3</w:t>
      </w:r>
      <w:r w:rsidRPr="00825EEB">
        <w:rPr>
          <w:i/>
        </w:rPr>
        <w:t xml:space="preserve"> ծավ/ծավ</w:t>
      </w:r>
      <w:r w:rsidRPr="00825EEB">
        <w:t>)</w:t>
      </w:r>
      <w:r w:rsidRPr="00825EEB">
        <w:rPr>
          <w:i/>
        </w:rPr>
        <w:t xml:space="preserve"> </w:t>
      </w:r>
      <w:r w:rsidRPr="00825EEB">
        <w:t xml:space="preserve">թարմ պատրաստված խառնուրդի 10 մլ, 1-2 րոպե տաքացնում են ջրային բաղնիքի վրա </w:t>
      </w:r>
      <w:r>
        <w:t>եւ</w:t>
      </w:r>
      <w:r w:rsidRPr="00825EEB">
        <w:t xml:space="preserve"> տեղափոխում գրաֆիտային հալքանոթի մեջ: Ավելացնում</w:t>
      </w:r>
      <w:r w:rsidR="00A5284F" w:rsidRPr="00A5284F">
        <w:t> </w:t>
      </w:r>
      <w:r w:rsidRPr="00825EEB">
        <w:t xml:space="preserve">են </w:t>
      </w:r>
      <w:r w:rsidRPr="00825EEB">
        <w:rPr>
          <w:i/>
        </w:rPr>
        <w:t>Ռ կալիումի քլորիդի</w:t>
      </w:r>
      <w:r w:rsidRPr="00825EEB">
        <w:t xml:space="preserve"> 5 մգ </w:t>
      </w:r>
      <w:r>
        <w:t>եւ</w:t>
      </w:r>
      <w:r w:rsidRPr="00825EEB">
        <w:t xml:space="preserve"> </w:t>
      </w:r>
      <w:r w:rsidRPr="00825EEB">
        <w:rPr>
          <w:i/>
        </w:rPr>
        <w:t>Ռ ֆտորաջրածնային թթվի</w:t>
      </w:r>
      <w:r w:rsidRPr="00825EEB">
        <w:t xml:space="preserve"> 5 մլ ու լիաչոր շոգեհանում են ջրային բաղնիքի վրա: Ավելացնում են </w:t>
      </w:r>
      <w:r w:rsidRPr="00825EEB">
        <w:rPr>
          <w:i/>
        </w:rPr>
        <w:t>Ռ ֆտորաջրածնային թթվի</w:t>
      </w:r>
      <w:r w:rsidRPr="00825EEB">
        <w:t xml:space="preserve"> 5 մլ </w:t>
      </w:r>
      <w:r>
        <w:t>եւ</w:t>
      </w:r>
      <w:r w:rsidRPr="00825EEB">
        <w:t xml:space="preserve"> կրկին լիաչոր շոգեհանում: Գործողությունը կրկնում են երկու անգամ: Ստացված մնացորդը լուծում են </w:t>
      </w:r>
      <w:r w:rsidRPr="00825EEB">
        <w:rPr>
          <w:i/>
        </w:rPr>
        <w:t>1 Մ քլորաջրածնային թթվի</w:t>
      </w:r>
      <w:r w:rsidRPr="00825EEB">
        <w:t xml:space="preserve"> 5 մլ-ի մեջ՝ ջրային բաղնիքի վրա տաքացնելով, </w:t>
      </w:r>
      <w:r>
        <w:t>եւ</w:t>
      </w:r>
      <w:r w:rsidRPr="00825EEB">
        <w:t xml:space="preserve"> հովացնում են: Ստացված լուծույթն ավելացնում են </w:t>
      </w:r>
      <w:r w:rsidRPr="00825EEB">
        <w:rPr>
          <w:i/>
        </w:rPr>
        <w:t>1 Մ քլորաջրածնային թթվի</w:t>
      </w:r>
      <w:r w:rsidRPr="00825EEB">
        <w:t xml:space="preserve"> մեջ 250 գ/լ </w:t>
      </w:r>
      <w:r w:rsidRPr="00825EEB">
        <w:rPr>
          <w:i/>
        </w:rPr>
        <w:t>անագի (II) քլորիդի</w:t>
      </w:r>
      <w:r w:rsidRPr="00825EEB">
        <w:t xml:space="preserve"> լուծույթի 1 մլ-ին, գրաֆիտային հալքանոթը լվանում են </w:t>
      </w:r>
      <w:r w:rsidRPr="00825EEB">
        <w:rPr>
          <w:i/>
        </w:rPr>
        <w:t>1 Մ քլորաջրածնային թթվի</w:t>
      </w:r>
      <w:r w:rsidRPr="00825EEB">
        <w:t xml:space="preserve"> մի քանի միլիլիտրով, ողողվածքները միացնում են լուծույթին </w:t>
      </w:r>
      <w:r>
        <w:t>եւ</w:t>
      </w:r>
      <w:r w:rsidRPr="00825EEB">
        <w:t xml:space="preserve"> համանման թթվով լուծույթի ծավալը հասցնում մինչեւ 10,0 մլ-ը:</w:t>
      </w:r>
    </w:p>
    <w:p w14:paraId="382F1A7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Զուգահեռ պատրաստում են համեմատության լուծույթը. </w:t>
      </w:r>
      <w:r w:rsidR="00A5284F">
        <w:rPr>
          <w:rFonts w:ascii="Sylfaen" w:hAnsi="Sylfaen"/>
          <w:i/>
          <w:sz w:val="24"/>
          <w:szCs w:val="24"/>
        </w:rPr>
        <w:t>1</w:t>
      </w:r>
      <w:r w:rsidR="00A5284F" w:rsidRPr="00A5284F">
        <w:rPr>
          <w:rFonts w:ascii="Sylfaen" w:hAnsi="Sylfaen"/>
          <w:i/>
          <w:sz w:val="24"/>
          <w:szCs w:val="24"/>
        </w:rPr>
        <w:t xml:space="preserve"> </w:t>
      </w:r>
      <w:r w:rsidRPr="00825EEB">
        <w:rPr>
          <w:rFonts w:ascii="Sylfaen" w:hAnsi="Sylfaen"/>
          <w:i/>
          <w:sz w:val="24"/>
          <w:szCs w:val="24"/>
        </w:rPr>
        <w:t>Մ քլորաջրածնային թթվի</w:t>
      </w:r>
      <w:r w:rsidRPr="00825EEB">
        <w:rPr>
          <w:rFonts w:ascii="Sylfaen" w:hAnsi="Sylfaen"/>
          <w:sz w:val="24"/>
          <w:szCs w:val="24"/>
        </w:rPr>
        <w:t xml:space="preserve"> մեջ 250 գ/լ </w:t>
      </w:r>
      <w:r w:rsidRPr="00825EEB">
        <w:rPr>
          <w:rFonts w:ascii="Sylfaen" w:hAnsi="Sylfaen"/>
          <w:i/>
          <w:sz w:val="24"/>
          <w:szCs w:val="24"/>
        </w:rPr>
        <w:t>անագի (II) քլորիդի</w:t>
      </w:r>
      <w:r w:rsidRPr="00825EEB">
        <w:rPr>
          <w:rFonts w:ascii="Sylfaen" w:hAnsi="Sylfaen"/>
          <w:sz w:val="24"/>
          <w:szCs w:val="24"/>
        </w:rPr>
        <w:t xml:space="preserve"> լուծույթի 1 մլ-ին ավելացնում են </w:t>
      </w:r>
      <w:r w:rsidRPr="00825EEB">
        <w:rPr>
          <w:rFonts w:ascii="Sylfaen" w:hAnsi="Sylfaen"/>
          <w:i/>
          <w:sz w:val="24"/>
          <w:szCs w:val="24"/>
        </w:rPr>
        <w:t>Ռ պլատինի ստանդարտ լուծույթի (30 ppm Pt</w:t>
      </w:r>
      <w:r w:rsidRPr="00825EEB">
        <w:rPr>
          <w:rFonts w:ascii="Sylfaen" w:hAnsi="Sylfaen"/>
          <w:i/>
          <w:sz w:val="24"/>
          <w:szCs w:val="24"/>
          <w:vertAlign w:val="superscript"/>
        </w:rPr>
        <w:t>+4</w:t>
      </w:r>
      <w:r w:rsidRPr="00825EEB">
        <w:rPr>
          <w:rFonts w:ascii="Sylfaen" w:hAnsi="Sylfaen"/>
          <w:i/>
          <w:sz w:val="24"/>
          <w:szCs w:val="24"/>
        </w:rPr>
        <w:t>)</w:t>
      </w:r>
      <w:r w:rsidRPr="00825EEB">
        <w:rPr>
          <w:rFonts w:ascii="Sylfaen" w:hAnsi="Sylfaen"/>
          <w:sz w:val="24"/>
          <w:szCs w:val="24"/>
        </w:rPr>
        <w:t xml:space="preserve"> 1,0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1 Մ քլորաջրածնային թթվով</w:t>
      </w:r>
      <w:r w:rsidRPr="00825EEB">
        <w:rPr>
          <w:rFonts w:ascii="Sylfaen" w:hAnsi="Sylfaen"/>
          <w:sz w:val="24"/>
          <w:szCs w:val="24"/>
        </w:rPr>
        <w:t xml:space="preserve"> լուծույթի ծավալը հասցնում մինչ</w:t>
      </w:r>
      <w:r>
        <w:rPr>
          <w:rFonts w:ascii="Sylfaen" w:hAnsi="Sylfaen"/>
          <w:sz w:val="24"/>
          <w:szCs w:val="24"/>
        </w:rPr>
        <w:t>եւ</w:t>
      </w:r>
      <w:r w:rsidRPr="00825EEB">
        <w:rPr>
          <w:rFonts w:ascii="Sylfaen" w:hAnsi="Sylfaen"/>
          <w:sz w:val="24"/>
          <w:szCs w:val="24"/>
        </w:rPr>
        <w:t xml:space="preserve"> 10,0 մլ-ը:</w:t>
      </w:r>
    </w:p>
    <w:p w14:paraId="021812D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լուծույթի գունավորումը պետք է լինի համեմատության լուծույթի գունավորումից ոչ ինտենսիվ:</w:t>
      </w:r>
    </w:p>
    <w:p w14:paraId="70987FE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ՄԱԿՆՇՈՒՄԸ</w:t>
      </w:r>
    </w:p>
    <w:p w14:paraId="256E9B2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Նշում են, որ նյութը ստացված է պերօքսիդների կամ պլատինի օգտագործմամբ:</w:t>
      </w:r>
    </w:p>
    <w:p w14:paraId="1F44065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0FB4B850" w14:textId="77777777" w:rsidR="0058052E" w:rsidRPr="00A859E3" w:rsidRDefault="0058052E" w:rsidP="00A5284F">
      <w:pPr>
        <w:pStyle w:val="a0"/>
        <w:shd w:val="clear" w:color="auto" w:fill="auto"/>
        <w:spacing w:after="160" w:line="360" w:lineRule="auto"/>
        <w:ind w:firstLine="567"/>
        <w:jc w:val="right"/>
        <w:rPr>
          <w:rFonts w:ascii="Sylfaen" w:hAnsi="Sylfaen"/>
          <w:b/>
          <w:szCs w:val="24"/>
        </w:rPr>
      </w:pPr>
      <w:r w:rsidRPr="00A5284F">
        <w:rPr>
          <w:rFonts w:ascii="Sylfaen" w:hAnsi="Sylfaen"/>
          <w:b/>
          <w:szCs w:val="24"/>
        </w:rPr>
        <w:t>204010008-2022</w:t>
      </w:r>
    </w:p>
    <w:p w14:paraId="230F9414" w14:textId="77777777" w:rsidR="00A5284F" w:rsidRPr="00A859E3" w:rsidRDefault="00A5284F" w:rsidP="00A5284F">
      <w:pPr>
        <w:pStyle w:val="a0"/>
        <w:shd w:val="clear" w:color="auto" w:fill="auto"/>
        <w:spacing w:after="160" w:line="360" w:lineRule="auto"/>
        <w:ind w:firstLine="567"/>
        <w:jc w:val="right"/>
        <w:rPr>
          <w:rFonts w:ascii="Sylfaen" w:hAnsi="Sylfaen" w:cs="Sylfaen"/>
          <w:szCs w:val="24"/>
        </w:rPr>
      </w:pPr>
    </w:p>
    <w:p w14:paraId="27B093E4" w14:textId="77777777" w:rsidR="0058052E" w:rsidRPr="00825EEB" w:rsidRDefault="00A5284F" w:rsidP="00A5284F">
      <w:pPr>
        <w:pStyle w:val="a0"/>
        <w:shd w:val="clear" w:color="auto" w:fill="auto"/>
        <w:tabs>
          <w:tab w:val="left" w:pos="1701"/>
        </w:tabs>
        <w:spacing w:after="160" w:line="360" w:lineRule="auto"/>
        <w:ind w:firstLine="567"/>
        <w:jc w:val="both"/>
        <w:rPr>
          <w:rFonts w:ascii="Sylfaen" w:hAnsi="Sylfaen" w:cs="Sylfaen"/>
          <w:sz w:val="24"/>
          <w:szCs w:val="24"/>
        </w:rPr>
      </w:pPr>
      <w:r>
        <w:rPr>
          <w:rFonts w:ascii="Sylfaen" w:hAnsi="Sylfaen"/>
          <w:b/>
          <w:sz w:val="24"/>
          <w:szCs w:val="24"/>
        </w:rPr>
        <w:t>2.4.1.8.</w:t>
      </w:r>
      <w:r w:rsidRPr="00A859E3">
        <w:rPr>
          <w:rFonts w:ascii="Sylfaen" w:hAnsi="Sylfaen"/>
          <w:b/>
          <w:sz w:val="24"/>
          <w:szCs w:val="24"/>
        </w:rPr>
        <w:tab/>
      </w:r>
      <w:r w:rsidR="0058052E" w:rsidRPr="00825EEB">
        <w:rPr>
          <w:rFonts w:ascii="Sylfaen" w:hAnsi="Sylfaen"/>
          <w:b/>
          <w:sz w:val="24"/>
          <w:szCs w:val="24"/>
        </w:rPr>
        <w:t>Ոչ պարենտերալ ջրային լուծույթների փաթեթվածքների համար նախատեսված ոչ պլաստիկացված պոլիվինիլքլորիդի հիմքով նյութերը</w:t>
      </w:r>
    </w:p>
    <w:p w14:paraId="3C26566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Սույն ընդհանուր դեղագրքային հոդվածի պահանջները տարածվում են ոչ պարենտերալ ջրային լուծույթների փաթեթվածքների համար նախատեսված ոչ պլաստիկացված պոլիվինիլքլորիդի հիման վրա պատրաստված նյութերի վրա: Դրանք կարող են օգտագործվել նա</w:t>
      </w:r>
      <w:r>
        <w:rPr>
          <w:rFonts w:ascii="Sylfaen" w:hAnsi="Sylfaen"/>
          <w:sz w:val="24"/>
          <w:szCs w:val="24"/>
        </w:rPr>
        <w:t>եւ</w:t>
      </w:r>
      <w:r w:rsidRPr="00825EEB">
        <w:rPr>
          <w:rFonts w:ascii="Sylfaen" w:hAnsi="Sylfaen"/>
          <w:sz w:val="24"/>
          <w:szCs w:val="24"/>
        </w:rPr>
        <w:t xml:space="preserve"> ներքին կիրառման պինդ դեղաձ</w:t>
      </w:r>
      <w:r>
        <w:rPr>
          <w:rFonts w:ascii="Sylfaen" w:hAnsi="Sylfaen"/>
          <w:sz w:val="24"/>
          <w:szCs w:val="24"/>
        </w:rPr>
        <w:t>եւ</w:t>
      </w:r>
      <w:r w:rsidRPr="00825EEB">
        <w:rPr>
          <w:rFonts w:ascii="Sylfaen" w:hAnsi="Sylfaen"/>
          <w:sz w:val="24"/>
          <w:szCs w:val="24"/>
        </w:rPr>
        <w:t xml:space="preserve">երի համար: Որոշ դեպքերում փաթեթվածքի </w:t>
      </w:r>
      <w:r>
        <w:rPr>
          <w:rFonts w:ascii="Sylfaen" w:hAnsi="Sylfaen"/>
          <w:sz w:val="24"/>
          <w:szCs w:val="24"/>
        </w:rPr>
        <w:t>եւ</w:t>
      </w:r>
      <w:r w:rsidRPr="00825EEB">
        <w:rPr>
          <w:rFonts w:ascii="Sylfaen" w:hAnsi="Sylfaen"/>
          <w:sz w:val="24"/>
          <w:szCs w:val="24"/>
        </w:rPr>
        <w:t xml:space="preserve"> դրա պարունակության համատեղելիության հատուկ փորձարկումներ անցկացնելուց հետո այդ նյութերը կարող են հարմար լինել մոմիկների փաթեթվածքների արտադրության համար: Դրանք բաղկացած են մեկ պոլիմերից՝ պոլիվինիլքլորիդից կամ պոլիվինիլացետատից կամ պոլիվինիլքլորիդի </w:t>
      </w:r>
      <w:r>
        <w:rPr>
          <w:rFonts w:ascii="Sylfaen" w:hAnsi="Sylfaen"/>
          <w:sz w:val="24"/>
          <w:szCs w:val="24"/>
        </w:rPr>
        <w:t>եւ</w:t>
      </w:r>
      <w:r w:rsidRPr="00825EEB">
        <w:rPr>
          <w:rFonts w:ascii="Sylfaen" w:hAnsi="Sylfaen"/>
          <w:sz w:val="24"/>
          <w:szCs w:val="24"/>
        </w:rPr>
        <w:t xml:space="preserve"> պոլիվինիլացետատի խառնուրդից:</w:t>
      </w:r>
    </w:p>
    <w:p w14:paraId="25CCF58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Ըստ քլորի պարունակության հաշվարկված պոլիվինիլքլորիդի պարունակությունը պետք է լինի առնվազն 80 %։</w:t>
      </w:r>
    </w:p>
    <w:p w14:paraId="42F3DC3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Ոչ պլաստիկացված պոլիվինիլքլորիդը կարող է պարունակել ոչ ավելի, քան համապոլիմերների 15 %՝</w:t>
      </w:r>
    </w:p>
    <w:p w14:paraId="2052F45B"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ակրիլային </w:t>
      </w:r>
      <w:r w:rsidR="0058052E">
        <w:rPr>
          <w:rFonts w:ascii="Sylfaen" w:hAnsi="Sylfaen"/>
          <w:sz w:val="24"/>
          <w:szCs w:val="24"/>
        </w:rPr>
        <w:t>եւ</w:t>
      </w:r>
      <w:r w:rsidR="0058052E" w:rsidRPr="00825EEB">
        <w:rPr>
          <w:rFonts w:ascii="Sylfaen" w:hAnsi="Sylfaen"/>
          <w:sz w:val="24"/>
          <w:szCs w:val="24"/>
        </w:rPr>
        <w:t xml:space="preserve"> (կամ) մետակրիլային թթուների </w:t>
      </w:r>
      <w:r w:rsidR="0058052E">
        <w:rPr>
          <w:rFonts w:ascii="Sylfaen" w:hAnsi="Sylfaen"/>
          <w:sz w:val="24"/>
          <w:szCs w:val="24"/>
        </w:rPr>
        <w:t>եւ</w:t>
      </w:r>
      <w:r w:rsidR="0058052E" w:rsidRPr="00825EEB">
        <w:rPr>
          <w:rFonts w:ascii="Sylfaen" w:hAnsi="Sylfaen"/>
          <w:sz w:val="24"/>
          <w:szCs w:val="24"/>
        </w:rPr>
        <w:t xml:space="preserve"> (կամ) դրանց եթերների հիման վրա.</w:t>
      </w:r>
    </w:p>
    <w:p w14:paraId="29751583"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ստիրոլի </w:t>
      </w:r>
      <w:r w:rsidR="0058052E">
        <w:rPr>
          <w:rFonts w:ascii="Sylfaen" w:hAnsi="Sylfaen"/>
          <w:sz w:val="24"/>
          <w:szCs w:val="24"/>
        </w:rPr>
        <w:t>եւ</w:t>
      </w:r>
      <w:r w:rsidR="0058052E" w:rsidRPr="00825EEB">
        <w:rPr>
          <w:rFonts w:ascii="Sylfaen" w:hAnsi="Sylfaen"/>
          <w:sz w:val="24"/>
          <w:szCs w:val="24"/>
        </w:rPr>
        <w:t xml:space="preserve"> (կամ) բութադիենի հիման վրա:</w:t>
      </w:r>
    </w:p>
    <w:p w14:paraId="0BC6FCE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6BE050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ՏԵԽՆՈԼՈԳԻԱՅԻ ԱՌԱՆՁՆԱՀԱՏԿՈՒԹՅՈՒՆՆԵՐԸ</w:t>
      </w:r>
    </w:p>
    <w:p w14:paraId="176CF14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Ոչ պլաստիկացված պոլիվինիլքլորիդի հիմքով նյութերն ստանում են պոլիմերացման մեթոդով, որը երաշխավորում է վինիլային քլորիդի 1 ppm-ից պակաս մնացորդային պարունակությունը: Ստացման տվյալ մեթոդը պետք է վալիդացված լինի՝ հաստատելու համար, որ նյութը համապատասխանում է հաջորդ փորձարկման պահանջներին:</w:t>
      </w:r>
    </w:p>
    <w:p w14:paraId="4970D4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Վինիլքլորիդ։ </w:t>
      </w:r>
      <w:r w:rsidRPr="00825EEB">
        <w:rPr>
          <w:rFonts w:ascii="Sylfaen" w:hAnsi="Sylfaen"/>
          <w:sz w:val="24"/>
          <w:szCs w:val="24"/>
        </w:rPr>
        <w:t>1 ppm-ից ոչ ավելի։</w:t>
      </w:r>
    </w:p>
    <w:p w14:paraId="0890982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շոգեֆազային գազային քրոմատագրման մեթոդով (</w:t>
      </w:r>
      <w:r w:rsidRPr="00825EEB">
        <w:rPr>
          <w:rFonts w:ascii="Sylfaen" w:hAnsi="Sylfaen"/>
          <w:i/>
          <w:sz w:val="24"/>
          <w:szCs w:val="24"/>
        </w:rPr>
        <w:t>2.1.2.27</w:t>
      </w:r>
      <w:r w:rsidRPr="00825EEB">
        <w:rPr>
          <w:rFonts w:ascii="Sylfaen" w:hAnsi="Sylfaen"/>
          <w:sz w:val="24"/>
          <w:szCs w:val="24"/>
        </w:rPr>
        <w:t>):</w:t>
      </w:r>
    </w:p>
    <w:p w14:paraId="2E2A073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Ներքին ստանդարտի լուծույթը</w:t>
      </w:r>
      <w:r w:rsidRPr="00825EEB">
        <w:rPr>
          <w:rFonts w:ascii="Sylfaen" w:hAnsi="Sylfaen"/>
          <w:sz w:val="24"/>
          <w:szCs w:val="24"/>
        </w:rPr>
        <w:t xml:space="preserve"> </w:t>
      </w:r>
      <w:r w:rsidRPr="00825EEB">
        <w:rPr>
          <w:rFonts w:ascii="Sylfaen" w:hAnsi="Sylfaen"/>
          <w:i/>
          <w:sz w:val="24"/>
          <w:szCs w:val="24"/>
        </w:rPr>
        <w:t>Ռ եթերի</w:t>
      </w:r>
      <w:r w:rsidRPr="00825EEB">
        <w:rPr>
          <w:rFonts w:ascii="Sylfaen" w:hAnsi="Sylfaen"/>
          <w:sz w:val="24"/>
          <w:szCs w:val="24"/>
        </w:rPr>
        <w:t xml:space="preserve"> 10 մկլ-ն միկրոներարկիչով ներմուծում են </w:t>
      </w:r>
      <w:r w:rsidRPr="00825EEB">
        <w:rPr>
          <w:rFonts w:ascii="Sylfaen" w:hAnsi="Sylfaen"/>
          <w:i/>
          <w:sz w:val="24"/>
          <w:szCs w:val="24"/>
        </w:rPr>
        <w:t>Ռ դիմեթիլացետամիդի</w:t>
      </w:r>
      <w:r w:rsidRPr="00825EEB">
        <w:rPr>
          <w:rFonts w:ascii="Sylfaen" w:hAnsi="Sylfaen"/>
          <w:sz w:val="24"/>
          <w:szCs w:val="24"/>
        </w:rPr>
        <w:t xml:space="preserve"> 20 մլ-ի մեջ՝ ասեղի ծայրն ընկղմելով լուծիչի մեջ: Օգտագործելուց անմիջապես առաջ լուծույթը նոսրացնում են </w:t>
      </w:r>
      <w:r w:rsidRPr="00825EEB">
        <w:rPr>
          <w:rFonts w:ascii="Sylfaen" w:hAnsi="Sylfaen"/>
          <w:i/>
          <w:sz w:val="24"/>
          <w:szCs w:val="24"/>
        </w:rPr>
        <w:t>Ռ դիմեթիլացետամիդով՝</w:t>
      </w:r>
      <w:r w:rsidRPr="00825EEB">
        <w:rPr>
          <w:rFonts w:ascii="Sylfaen" w:hAnsi="Sylfaen"/>
          <w:sz w:val="24"/>
          <w:szCs w:val="24"/>
        </w:rPr>
        <w:t xml:space="preserve"> 1000 անգամ:</w:t>
      </w:r>
    </w:p>
    <w:p w14:paraId="1D642DF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Նյութի փորձարկվող նմուշի 1,000 գ-ը տեղադրում են 50 մլ տարողությամբ սրվակի մեջ </w:t>
      </w:r>
      <w:r>
        <w:rPr>
          <w:rFonts w:ascii="Sylfaen" w:hAnsi="Sylfaen"/>
          <w:sz w:val="24"/>
          <w:szCs w:val="24"/>
        </w:rPr>
        <w:t>եւ</w:t>
      </w:r>
      <w:r w:rsidRPr="00825EEB">
        <w:rPr>
          <w:rFonts w:ascii="Sylfaen" w:hAnsi="Sylfaen"/>
          <w:sz w:val="24"/>
          <w:szCs w:val="24"/>
        </w:rPr>
        <w:t xml:space="preserve"> ավելացնում ներքին ստանդարտի լուծույթի 10,0 մլ: Սրվակը հերմետիկորեն փակում են խցանով, թափահարում՝ 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մեջ (60 ±1) °C ջերմաստիճանի տակ </w:t>
      </w:r>
      <w:r>
        <w:rPr>
          <w:rFonts w:ascii="Sylfaen" w:hAnsi="Sylfaen"/>
          <w:sz w:val="24"/>
          <w:szCs w:val="24"/>
        </w:rPr>
        <w:t>եւ</w:t>
      </w:r>
      <w:r w:rsidRPr="00825EEB">
        <w:rPr>
          <w:rFonts w:ascii="Sylfaen" w:hAnsi="Sylfaen"/>
          <w:sz w:val="24"/>
          <w:szCs w:val="24"/>
        </w:rPr>
        <w:t xml:space="preserve"> պահում 2 ժամ:</w:t>
      </w:r>
    </w:p>
    <w:p w14:paraId="274413C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Վինիլքլորիդի հիմնական լուծույթը։ Պատրաստում են օդաքաշ պահարանում:</w:t>
      </w:r>
    </w:p>
    <w:p w14:paraId="79B88CB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Ռ դիմեթիլացետամիդի</w:t>
      </w:r>
      <w:r w:rsidRPr="00825EEB">
        <w:rPr>
          <w:rFonts w:ascii="Sylfaen" w:hAnsi="Sylfaen"/>
          <w:sz w:val="24"/>
          <w:szCs w:val="24"/>
        </w:rPr>
        <w:t xml:space="preserve"> 50,0 մլ-ը տեղադրում են 50 մլ տարողությամբ սրվակի մեջ, հերմետիկորեն փակում են խցանով </w:t>
      </w:r>
      <w:r>
        <w:rPr>
          <w:rFonts w:ascii="Sylfaen" w:hAnsi="Sylfaen"/>
          <w:sz w:val="24"/>
          <w:szCs w:val="24"/>
        </w:rPr>
        <w:t>եւ</w:t>
      </w:r>
      <w:r w:rsidRPr="00825EEB">
        <w:rPr>
          <w:rFonts w:ascii="Sylfaen" w:hAnsi="Sylfaen"/>
          <w:sz w:val="24"/>
          <w:szCs w:val="24"/>
        </w:rPr>
        <w:t xml:space="preserve"> կշռում՝ մինչ</w:t>
      </w:r>
      <w:r>
        <w:rPr>
          <w:rFonts w:ascii="Sylfaen" w:hAnsi="Sylfaen"/>
          <w:sz w:val="24"/>
          <w:szCs w:val="24"/>
        </w:rPr>
        <w:t>եւ</w:t>
      </w:r>
      <w:r w:rsidRPr="00825EEB">
        <w:rPr>
          <w:rFonts w:ascii="Sylfaen" w:hAnsi="Sylfaen"/>
          <w:sz w:val="24"/>
          <w:szCs w:val="24"/>
        </w:rPr>
        <w:t xml:space="preserve"> 0,1 մգ ճշգրտությամբ: 50</w:t>
      </w:r>
      <w:r w:rsidR="00AA234B" w:rsidRPr="00AA234B">
        <w:rPr>
          <w:rFonts w:ascii="Sylfaen" w:hAnsi="Sylfaen"/>
          <w:sz w:val="24"/>
          <w:szCs w:val="24"/>
        </w:rPr>
        <w:t> </w:t>
      </w:r>
      <w:r w:rsidRPr="00825EEB">
        <w:rPr>
          <w:rFonts w:ascii="Sylfaen" w:hAnsi="Sylfaen"/>
          <w:sz w:val="24"/>
          <w:szCs w:val="24"/>
        </w:rPr>
        <w:t xml:space="preserve">մլ տարողությամբ պոլիէթիլենային կամ պոլիպրոպիլենային ներարկիչը լցավորում են գազակերպ </w:t>
      </w:r>
      <w:r w:rsidRPr="00825EEB">
        <w:rPr>
          <w:rFonts w:ascii="Sylfaen" w:hAnsi="Sylfaen"/>
          <w:i/>
          <w:sz w:val="24"/>
          <w:szCs w:val="24"/>
        </w:rPr>
        <w:t>Ռ վինիլքլորիդով</w:t>
      </w:r>
      <w:r w:rsidRPr="00825EEB">
        <w:rPr>
          <w:rFonts w:ascii="Sylfaen" w:hAnsi="Sylfaen"/>
          <w:sz w:val="24"/>
          <w:szCs w:val="24"/>
        </w:rPr>
        <w:t>, գազը թողնում են ներարկիչի հետ շփման մեջ մոտ 3 րոպե, այնուհետ</w:t>
      </w:r>
      <w:r>
        <w:rPr>
          <w:rFonts w:ascii="Sylfaen" w:hAnsi="Sylfaen"/>
          <w:sz w:val="24"/>
          <w:szCs w:val="24"/>
        </w:rPr>
        <w:t>եւ</w:t>
      </w:r>
      <w:r w:rsidRPr="00825EEB">
        <w:rPr>
          <w:rFonts w:ascii="Sylfaen" w:hAnsi="Sylfaen"/>
          <w:sz w:val="24"/>
          <w:szCs w:val="24"/>
        </w:rPr>
        <w:t xml:space="preserve"> գազը հեռացնում են </w:t>
      </w:r>
      <w:r>
        <w:rPr>
          <w:rFonts w:ascii="Sylfaen" w:hAnsi="Sylfaen"/>
          <w:sz w:val="24"/>
          <w:szCs w:val="24"/>
        </w:rPr>
        <w:t>եւ</w:t>
      </w:r>
      <w:r w:rsidRPr="00825EEB">
        <w:rPr>
          <w:rFonts w:ascii="Sylfaen" w:hAnsi="Sylfaen"/>
          <w:sz w:val="24"/>
          <w:szCs w:val="24"/>
        </w:rPr>
        <w:t xml:space="preserve"> ներարկիչը կրկին լցավորում են գազակերպ </w:t>
      </w:r>
      <w:r w:rsidRPr="00825EEB">
        <w:rPr>
          <w:rFonts w:ascii="Sylfaen" w:hAnsi="Sylfaen"/>
          <w:i/>
          <w:sz w:val="24"/>
          <w:szCs w:val="24"/>
        </w:rPr>
        <w:t>Ռ վինիլքլորիդի</w:t>
      </w:r>
      <w:r w:rsidRPr="00825EEB">
        <w:rPr>
          <w:rFonts w:ascii="Sylfaen" w:hAnsi="Sylfaen"/>
          <w:sz w:val="24"/>
          <w:szCs w:val="24"/>
        </w:rPr>
        <w:t xml:space="preserve"> 50 մլ-ով: Ներարկիչին ամրացնում են հիպոդերմալ ասեղը </w:t>
      </w:r>
      <w:r>
        <w:rPr>
          <w:rFonts w:ascii="Sylfaen" w:hAnsi="Sylfaen"/>
          <w:sz w:val="24"/>
          <w:szCs w:val="24"/>
        </w:rPr>
        <w:t>եւ</w:t>
      </w:r>
      <w:r w:rsidRPr="00825EEB">
        <w:rPr>
          <w:rFonts w:ascii="Sylfaen" w:hAnsi="Sylfaen"/>
          <w:sz w:val="24"/>
          <w:szCs w:val="24"/>
        </w:rPr>
        <w:t xml:space="preserve"> ներարկիչի մեջ եղած գազի ծավալն իջեցնում 50 մլ-ից </w:t>
      </w:r>
      <w:r w:rsidRPr="00825EEB">
        <w:rPr>
          <w:rFonts w:ascii="Sylfaen" w:hAnsi="Sylfaen"/>
          <w:sz w:val="24"/>
          <w:szCs w:val="24"/>
        </w:rPr>
        <w:lastRenderedPageBreak/>
        <w:t>մինչ</w:t>
      </w:r>
      <w:r>
        <w:rPr>
          <w:rFonts w:ascii="Sylfaen" w:hAnsi="Sylfaen"/>
          <w:sz w:val="24"/>
          <w:szCs w:val="24"/>
        </w:rPr>
        <w:t>եւ</w:t>
      </w:r>
      <w:r w:rsidRPr="00825EEB">
        <w:rPr>
          <w:rFonts w:ascii="Sylfaen" w:hAnsi="Sylfaen"/>
          <w:sz w:val="24"/>
          <w:szCs w:val="24"/>
        </w:rPr>
        <w:t xml:space="preserve"> 25 մլ: Ստացված վինիլքլորիդի 25 մլ-ը դանդաղ ներմուծում են սրվակի մեջ՝ զգուշորեն թափահարելով </w:t>
      </w:r>
      <w:r>
        <w:rPr>
          <w:rFonts w:ascii="Sylfaen" w:hAnsi="Sylfaen"/>
          <w:sz w:val="24"/>
          <w:szCs w:val="24"/>
        </w:rPr>
        <w:t>եւ</w:t>
      </w:r>
      <w:r w:rsidRPr="00825EEB">
        <w:rPr>
          <w:rFonts w:ascii="Sylfaen" w:hAnsi="Sylfaen"/>
          <w:sz w:val="24"/>
          <w:szCs w:val="24"/>
        </w:rPr>
        <w:t xml:space="preserve"> խուսափելով հեղուկի </w:t>
      </w:r>
      <w:r>
        <w:rPr>
          <w:rFonts w:ascii="Sylfaen" w:hAnsi="Sylfaen"/>
          <w:sz w:val="24"/>
          <w:szCs w:val="24"/>
        </w:rPr>
        <w:t>եւ</w:t>
      </w:r>
      <w:r w:rsidRPr="00825EEB">
        <w:rPr>
          <w:rFonts w:ascii="Sylfaen" w:hAnsi="Sylfaen"/>
          <w:sz w:val="24"/>
          <w:szCs w:val="24"/>
        </w:rPr>
        <w:t xml:space="preserve"> ասեղի միջեւ շփումից: Սրվակը կրկին կշռում են: Զանգվածի ավելացումը պետք է լինի մոտ 60 մգ (ստացված լուծույթի 1 մկլ-ն պարունակում է մոտ 1,2 մկգ վինիլքլորիդ): Թողնում</w:t>
      </w:r>
      <w:r w:rsidR="00AA234B" w:rsidRPr="00AA234B">
        <w:rPr>
          <w:rFonts w:ascii="Sylfaen" w:hAnsi="Sylfaen"/>
          <w:sz w:val="24"/>
          <w:szCs w:val="24"/>
        </w:rPr>
        <w:t> </w:t>
      </w:r>
      <w:r w:rsidRPr="00825EEB">
        <w:rPr>
          <w:rFonts w:ascii="Sylfaen" w:hAnsi="Sylfaen"/>
          <w:sz w:val="24"/>
          <w:szCs w:val="24"/>
        </w:rPr>
        <w:t>են 2 ժամ: Հիմնական լուծույթը պահում են սառնարանում:</w:t>
      </w:r>
    </w:p>
    <w:p w14:paraId="37FB423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Վինիլքլորիդի ստանդարտ լուծույթը։</w:t>
      </w:r>
      <w:r w:rsidRPr="00825EEB">
        <w:rPr>
          <w:rFonts w:ascii="Sylfaen" w:hAnsi="Sylfaen"/>
          <w:sz w:val="24"/>
          <w:szCs w:val="24"/>
        </w:rPr>
        <w:t xml:space="preserve"> Վինիլքլորիդի հիմնական լուծույթը </w:t>
      </w:r>
      <w:r w:rsidRPr="00825EEB">
        <w:rPr>
          <w:rFonts w:ascii="Sylfaen" w:hAnsi="Sylfaen"/>
          <w:i/>
          <w:sz w:val="24"/>
          <w:szCs w:val="24"/>
        </w:rPr>
        <w:t xml:space="preserve">Ռ դիմեթիլացետամիդն </w:t>
      </w:r>
      <w:r w:rsidRPr="00825EEB">
        <w:rPr>
          <w:rFonts w:ascii="Sylfaen" w:hAnsi="Sylfaen"/>
          <w:sz w:val="24"/>
          <w:szCs w:val="24"/>
        </w:rPr>
        <w:t xml:space="preserve">է (1:3, </w:t>
      </w:r>
      <w:r w:rsidRPr="00825EEB">
        <w:rPr>
          <w:rFonts w:ascii="Sylfaen" w:hAnsi="Sylfaen"/>
          <w:i/>
          <w:sz w:val="24"/>
          <w:szCs w:val="24"/>
        </w:rPr>
        <w:t>ծավ/ծավ</w:t>
      </w:r>
      <w:r w:rsidRPr="00825EEB">
        <w:rPr>
          <w:rFonts w:ascii="Sylfaen" w:hAnsi="Sylfaen"/>
          <w:sz w:val="24"/>
          <w:szCs w:val="24"/>
        </w:rPr>
        <w:t>):</w:t>
      </w:r>
    </w:p>
    <w:p w14:paraId="3D28FE7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Ներքին ստանդարտի լուծույթի 10-ական մլ տեղադրում են 50 մլ տարողությամբ վեց սրվակների մեջ: Սրվակները հերմետիկորեն փակում են խցաններով: Հինգ սրվակների մեջ միկրոներարկիչի օգնությամբ ներմուծում են վինիլքլորիդի ստանդարտ լուծույթի համապատասխանաբար 1 մկլ, 2 մկլ, 3 մկլ, 5 մկլ </w:t>
      </w:r>
      <w:r>
        <w:rPr>
          <w:rFonts w:ascii="Sylfaen" w:hAnsi="Sylfaen"/>
          <w:sz w:val="24"/>
          <w:szCs w:val="24"/>
        </w:rPr>
        <w:t>եւ</w:t>
      </w:r>
      <w:r w:rsidRPr="00825EEB">
        <w:rPr>
          <w:rFonts w:ascii="Sylfaen" w:hAnsi="Sylfaen"/>
          <w:sz w:val="24"/>
          <w:szCs w:val="24"/>
        </w:rPr>
        <w:t xml:space="preserve"> 10 մկլ: Այդ եղանակով ստացված վեց լուծույթները պարունակում են վինիլքլորիդի համապատասխանաբար 0 մկգ, 0,3 մկգ, 0,6 մկգ, 0,9 մկգ, 1,5 մկգ </w:t>
      </w:r>
      <w:r>
        <w:rPr>
          <w:rFonts w:ascii="Sylfaen" w:hAnsi="Sylfaen"/>
          <w:sz w:val="24"/>
          <w:szCs w:val="24"/>
        </w:rPr>
        <w:t>եւ</w:t>
      </w:r>
      <w:r w:rsidRPr="00825EEB">
        <w:rPr>
          <w:rFonts w:ascii="Sylfaen" w:hAnsi="Sylfaen"/>
          <w:sz w:val="24"/>
          <w:szCs w:val="24"/>
        </w:rPr>
        <w:t xml:space="preserve"> 3 մկգ: Սրվակները թափահարում են՝ 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մեջ (60 ±1) °C ջերմաստիճանի տակ </w:t>
      </w:r>
      <w:r>
        <w:rPr>
          <w:rFonts w:ascii="Sylfaen" w:hAnsi="Sylfaen"/>
          <w:sz w:val="24"/>
          <w:szCs w:val="24"/>
        </w:rPr>
        <w:t>եւ</w:t>
      </w:r>
      <w:r w:rsidRPr="00825EEB">
        <w:rPr>
          <w:rFonts w:ascii="Sylfaen" w:hAnsi="Sylfaen"/>
          <w:sz w:val="24"/>
          <w:szCs w:val="24"/>
        </w:rPr>
        <w:t xml:space="preserve"> պահում 2 ժամ:</w:t>
      </w:r>
    </w:p>
    <w:p w14:paraId="68B61E8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2DBED779"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 xml:space="preserve">- </w:t>
      </w:r>
      <w:r w:rsidR="00AA234B" w:rsidRPr="00AA234B">
        <w:rPr>
          <w:rFonts w:ascii="Sylfaen" w:hAnsi="Sylfaen"/>
          <w:sz w:val="24"/>
          <w:szCs w:val="24"/>
        </w:rPr>
        <w:tab/>
      </w:r>
      <w:r w:rsidRPr="00825EEB">
        <w:rPr>
          <w:rFonts w:ascii="Sylfaen" w:hAnsi="Sylfaen"/>
          <w:sz w:val="24"/>
          <w:szCs w:val="24"/>
        </w:rPr>
        <w:t xml:space="preserve">չժանգոտող պողպատից, 3 մ երկարությամբ </w:t>
      </w:r>
      <w:r>
        <w:rPr>
          <w:rFonts w:ascii="Sylfaen" w:hAnsi="Sylfaen"/>
          <w:sz w:val="24"/>
          <w:szCs w:val="24"/>
        </w:rPr>
        <w:t>եւ</w:t>
      </w:r>
      <w:r w:rsidRPr="00825EEB">
        <w:rPr>
          <w:rFonts w:ascii="Sylfaen" w:hAnsi="Sylfaen"/>
          <w:sz w:val="24"/>
          <w:szCs w:val="24"/>
        </w:rPr>
        <w:t xml:space="preserve"> 3 մմ ներքին տրամագծով </w:t>
      </w:r>
      <w:r w:rsidRPr="00825EEB">
        <w:rPr>
          <w:rFonts w:ascii="Sylfaen" w:hAnsi="Sylfaen"/>
          <w:i/>
          <w:sz w:val="24"/>
          <w:szCs w:val="24"/>
        </w:rPr>
        <w:t>աշտարակ</w:t>
      </w:r>
      <w:r w:rsidRPr="00825EEB">
        <w:rPr>
          <w:rFonts w:ascii="Sylfaen" w:hAnsi="Sylfaen"/>
          <w:sz w:val="24"/>
          <w:szCs w:val="24"/>
        </w:rPr>
        <w:t xml:space="preserve">, որը լցված է </w:t>
      </w:r>
      <w:r w:rsidRPr="00825EEB">
        <w:rPr>
          <w:rFonts w:ascii="Sylfaen" w:hAnsi="Sylfaen"/>
          <w:i/>
          <w:sz w:val="24"/>
          <w:szCs w:val="24"/>
        </w:rPr>
        <w:t>Ռ գազային քրոմատագրման համար սիլանիզացված դիատոմիտով</w:t>
      </w:r>
      <w:r w:rsidRPr="00825EEB">
        <w:rPr>
          <w:rFonts w:ascii="Sylfaen" w:hAnsi="Sylfaen"/>
          <w:sz w:val="24"/>
          <w:szCs w:val="24"/>
        </w:rPr>
        <w:t xml:space="preserve">, իմպրեգնացված 5 % </w:t>
      </w:r>
      <w:r w:rsidRPr="00825EEB">
        <w:rPr>
          <w:rFonts w:ascii="Sylfaen" w:hAnsi="Sylfaen"/>
          <w:i/>
          <w:sz w:val="24"/>
          <w:szCs w:val="24"/>
        </w:rPr>
        <w:t>(զ/զ) Ռ դիմեթիլստեարիլամիդով</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5 % </w:t>
      </w:r>
      <w:r w:rsidRPr="00825EEB">
        <w:rPr>
          <w:rFonts w:ascii="Sylfaen" w:hAnsi="Sylfaen"/>
          <w:i/>
          <w:sz w:val="24"/>
          <w:szCs w:val="24"/>
        </w:rPr>
        <w:t>(զ/զ) Ռ 400 մակրոգոլով</w:t>
      </w:r>
      <w:r w:rsidRPr="00825EEB">
        <w:rPr>
          <w:rFonts w:ascii="Sylfaen" w:hAnsi="Sylfaen"/>
          <w:sz w:val="24"/>
          <w:szCs w:val="24"/>
        </w:rPr>
        <w:t>.</w:t>
      </w:r>
    </w:p>
    <w:p w14:paraId="0D5D050B"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A234B">
        <w:rPr>
          <w:rFonts w:ascii="Sylfaen" w:hAnsi="Sylfaen"/>
          <w:i/>
          <w:sz w:val="24"/>
          <w:szCs w:val="24"/>
        </w:rPr>
        <w:tab/>
      </w:r>
      <w:r w:rsidR="0058052E" w:rsidRPr="00825EEB">
        <w:rPr>
          <w:rFonts w:ascii="Sylfaen" w:hAnsi="Sylfaen"/>
          <w:i/>
          <w:sz w:val="24"/>
          <w:szCs w:val="24"/>
        </w:rPr>
        <w:t>կրող գազը՝ Ռ քրոմատագրման համար ազոտ.</w:t>
      </w:r>
    </w:p>
    <w:p w14:paraId="4497206E"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կրող գազի</w:t>
      </w:r>
      <w:r w:rsidRPr="00825EEB">
        <w:rPr>
          <w:rFonts w:ascii="Sylfaen" w:hAnsi="Sylfaen"/>
          <w:sz w:val="24"/>
          <w:szCs w:val="24"/>
        </w:rPr>
        <w:t xml:space="preserve"> </w:t>
      </w:r>
      <w:r w:rsidRPr="00825EEB">
        <w:rPr>
          <w:rFonts w:ascii="Sylfaen" w:hAnsi="Sylfaen"/>
          <w:i/>
          <w:sz w:val="24"/>
          <w:szCs w:val="24"/>
        </w:rPr>
        <w:t>արագությունը</w:t>
      </w:r>
      <w:r w:rsidRPr="00825EEB">
        <w:rPr>
          <w:rFonts w:ascii="Sylfaen" w:hAnsi="Sylfaen"/>
          <w:sz w:val="24"/>
          <w:szCs w:val="24"/>
        </w:rPr>
        <w:t>՝ 30 մլ/րոպե.</w:t>
      </w:r>
    </w:p>
    <w:p w14:paraId="74C406F5"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ջերմաստիճանը՝</w:t>
      </w:r>
    </w:p>
    <w:p w14:paraId="1F4BCD8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A234B">
        <w:rPr>
          <w:rFonts w:ascii="Sylfaen" w:hAnsi="Sylfaen"/>
          <w:i/>
          <w:sz w:val="24"/>
          <w:szCs w:val="24"/>
        </w:rPr>
        <w:tab/>
      </w:r>
      <w:r w:rsidR="0058052E" w:rsidRPr="00825EEB">
        <w:rPr>
          <w:rFonts w:ascii="Sylfaen" w:hAnsi="Sylfaen"/>
          <w:i/>
          <w:sz w:val="24"/>
          <w:szCs w:val="24"/>
        </w:rPr>
        <w:t>աշտարակը՝</w:t>
      </w:r>
      <w:r w:rsidR="0058052E" w:rsidRPr="00825EEB">
        <w:rPr>
          <w:rFonts w:ascii="Sylfaen" w:hAnsi="Sylfaen"/>
          <w:sz w:val="24"/>
          <w:szCs w:val="24"/>
        </w:rPr>
        <w:t xml:space="preserve"> </w:t>
      </w:r>
      <w:smartTag w:uri="urn:schemas-microsoft-com:office:smarttags" w:element="metricconverter">
        <w:smartTagPr>
          <w:attr w:name="ProductID" w:val="45 °C"/>
        </w:smartTagPr>
        <w:r w:rsidR="0058052E" w:rsidRPr="00825EEB">
          <w:rPr>
            <w:rFonts w:ascii="Sylfaen" w:hAnsi="Sylfaen"/>
            <w:sz w:val="24"/>
            <w:szCs w:val="24"/>
          </w:rPr>
          <w:t>45 °C</w:t>
        </w:r>
      </w:smartTag>
      <w:r w:rsidR="0058052E" w:rsidRPr="00825EEB">
        <w:rPr>
          <w:rFonts w:ascii="Sylfaen" w:hAnsi="Sylfaen"/>
          <w:sz w:val="24"/>
          <w:szCs w:val="24"/>
        </w:rPr>
        <w:t>.</w:t>
      </w:r>
    </w:p>
    <w:p w14:paraId="3A189CDE"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AA234B" w:rsidRPr="00AA234B">
        <w:rPr>
          <w:rFonts w:ascii="Sylfaen" w:hAnsi="Sylfaen"/>
          <w:sz w:val="24"/>
          <w:szCs w:val="24"/>
        </w:rPr>
        <w:tab/>
      </w:r>
      <w:r w:rsidRPr="00825EEB">
        <w:rPr>
          <w:rFonts w:ascii="Sylfaen" w:hAnsi="Sylfaen"/>
          <w:i/>
          <w:sz w:val="24"/>
          <w:szCs w:val="24"/>
        </w:rPr>
        <w:t>փորձանմուշների ներմուծման բլոկը՝</w:t>
      </w:r>
      <w:r w:rsidRPr="00825EEB">
        <w:rPr>
          <w:rFonts w:ascii="Sylfaen" w:hAnsi="Sylfaen"/>
          <w:sz w:val="24"/>
          <w:szCs w:val="24"/>
        </w:rPr>
        <w:t xml:space="preserve"> </w:t>
      </w:r>
      <w:smartTag w:uri="urn:schemas-microsoft-com:office:smarttags" w:element="metricconverter">
        <w:smartTagPr>
          <w:attr w:name="ProductID" w:val="100 °C"/>
        </w:smartTagPr>
        <w:r w:rsidRPr="00825EEB">
          <w:rPr>
            <w:rFonts w:ascii="Sylfaen" w:hAnsi="Sylfaen"/>
            <w:sz w:val="24"/>
            <w:szCs w:val="24"/>
          </w:rPr>
          <w:t>100 °C</w:t>
        </w:r>
      </w:smartTag>
      <w:r w:rsidRPr="00825EEB">
        <w:rPr>
          <w:rFonts w:ascii="Sylfaen" w:hAnsi="Sylfaen"/>
          <w:sz w:val="24"/>
          <w:szCs w:val="24"/>
        </w:rPr>
        <w:t>.</w:t>
      </w:r>
    </w:p>
    <w:p w14:paraId="5D46CEE8"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xml:space="preserve"> </w:t>
      </w:r>
      <w:smartTag w:uri="urn:schemas-microsoft-com:office:smarttags" w:element="metricconverter">
        <w:smartTagPr>
          <w:attr w:name="ProductID" w:val="150 °C"/>
        </w:smartTagPr>
        <w:r w:rsidRPr="00825EEB">
          <w:rPr>
            <w:rFonts w:ascii="Sylfaen" w:hAnsi="Sylfaen"/>
            <w:sz w:val="24"/>
            <w:szCs w:val="24"/>
          </w:rPr>
          <w:t>150 °C</w:t>
        </w:r>
      </w:smartTag>
      <w:r w:rsidRPr="00825EEB">
        <w:rPr>
          <w:rFonts w:ascii="Sylfaen" w:hAnsi="Sylfaen"/>
          <w:sz w:val="24"/>
          <w:szCs w:val="24"/>
        </w:rPr>
        <w:t>.</w:t>
      </w:r>
    </w:p>
    <w:p w14:paraId="007C8775"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xml:space="preserve"> բոցաիոնացման.</w:t>
      </w:r>
    </w:p>
    <w:p w14:paraId="44653991"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յուրաքանչյուր սրվակի գազային ֆազի 1 մլ:</w:t>
      </w:r>
    </w:p>
    <w:p w14:paraId="7A5E54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Հաշվարկում են վինիլքլորիդի պարունակությունը:</w:t>
      </w:r>
    </w:p>
    <w:p w14:paraId="0FC997FD"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43D86E7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Հավելանյութերը</w:t>
      </w:r>
    </w:p>
    <w:p w14:paraId="6113D0B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Պոլիմերները կարող են պարունակել հավելանյութեր՝ դրանց մշակումը կամ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կախված նշանակությունից: Հավելանյութերն ընտրվում են ստոր</w:t>
      </w:r>
      <w:r>
        <w:rPr>
          <w:rFonts w:ascii="Sylfaen" w:hAnsi="Sylfaen"/>
          <w:sz w:val="24"/>
          <w:szCs w:val="24"/>
        </w:rPr>
        <w:t>եւ</w:t>
      </w:r>
      <w:r w:rsidRPr="00825EEB">
        <w:rPr>
          <w:rFonts w:ascii="Sylfaen" w:hAnsi="Sylfaen"/>
          <w:sz w:val="24"/>
          <w:szCs w:val="24"/>
        </w:rPr>
        <w:t xml:space="preserve"> ներկայացված ցանկից, որում յուրաքանչյուր նյութի համար նշված է առավելագույն թույլատրելի պարունակությունը՝</w:t>
      </w:r>
    </w:p>
    <w:p w14:paraId="503A9009"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էպօքսիդացված սոյայի յուղ՝ էպօքսիդային խմբում թթվածնի 6%-ից մինչեւ 8 % պարունակությամբ </w:t>
      </w:r>
      <w:r w:rsidR="0058052E">
        <w:rPr>
          <w:rFonts w:ascii="Sylfaen" w:hAnsi="Sylfaen"/>
          <w:sz w:val="24"/>
          <w:szCs w:val="24"/>
        </w:rPr>
        <w:t>եւ</w:t>
      </w:r>
      <w:r w:rsidR="0058052E" w:rsidRPr="00825EEB">
        <w:rPr>
          <w:rFonts w:ascii="Sylfaen" w:hAnsi="Sylfaen"/>
          <w:sz w:val="24"/>
          <w:szCs w:val="24"/>
        </w:rPr>
        <w:t xml:space="preserve"> 6-ից ոչ բարձր յոդային թվով: 8%-ից ոչ ավելի.</w:t>
      </w:r>
    </w:p>
    <w:p w14:paraId="71B492C4"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ալիֆատիկ ճարպաթթուների կալցիումի աղ կամ ցինկի աղեր, որոնք պարունակում են ավելի քան յոթ ածխածնային ատոմներ կամ այդ նյութերի խառնուրդներ՝ 1,5 %-ից ոչ ավելի.</w:t>
      </w:r>
    </w:p>
    <w:p w14:paraId="376F5FD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հեղուկ պարաֆին (վազելինային յուղ)՝ 1,5 %-ից ոչ ավելի.</w:t>
      </w:r>
    </w:p>
    <w:p w14:paraId="46BB9D15"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մոմ՝ 1,5 %-ից ոչ ավելի.</w:t>
      </w:r>
    </w:p>
    <w:p w14:paraId="26860566"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sz w:val="24"/>
          <w:szCs w:val="24"/>
        </w:rPr>
        <w:t>ալիֆատիկ ճարպաթթուների հիդրոգենացված յուղեր կամ եթերներ՝ 2</w:t>
      </w:r>
      <w:r w:rsidR="00107BA1" w:rsidRPr="00107BA1">
        <w:rPr>
          <w:rFonts w:ascii="Sylfaen" w:hAnsi="Sylfaen"/>
          <w:sz w:val="24"/>
          <w:szCs w:val="24"/>
        </w:rPr>
        <w:t> </w:t>
      </w:r>
      <w:r w:rsidRPr="00825EEB">
        <w:rPr>
          <w:rFonts w:ascii="Sylfaen" w:hAnsi="Sylfaen"/>
          <w:sz w:val="24"/>
          <w:szCs w:val="24"/>
        </w:rPr>
        <w:t>%-ից ոչ ավելի.</w:t>
      </w:r>
    </w:p>
    <w:p w14:paraId="7E89DA9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մակրոգոլի եթերներ՝ 1,5 %-ից ոչ ավելի.</w:t>
      </w:r>
    </w:p>
    <w:p w14:paraId="0992D594"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սորբիտ՝ 1,5 %-ից ոչ ավելի.</w:t>
      </w:r>
    </w:p>
    <w:p w14:paraId="61184DA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AA234B">
        <w:rPr>
          <w:rFonts w:ascii="Sylfaen" w:hAnsi="Sylfaen"/>
          <w:sz w:val="24"/>
          <w:szCs w:val="24"/>
        </w:rPr>
        <w:tab/>
      </w:r>
      <w:r w:rsidR="0058052E" w:rsidRPr="00825EEB">
        <w:rPr>
          <w:rFonts w:ascii="Sylfaen" w:hAnsi="Sylfaen"/>
          <w:sz w:val="24"/>
          <w:szCs w:val="24"/>
        </w:rPr>
        <w:t>2,4-դինոնիլֆենիլֆոսֆիտ կամ դի(4-նոնիլֆենիլ)ֆոսֆիտ կամ տրիս(նոնիլֆենիլ)ֆոսֆիտ՝ 1 %-ից ոչ ավելի:</w:t>
      </w:r>
    </w:p>
    <w:p w14:paraId="7C670289" w14:textId="77777777" w:rsidR="0058052E" w:rsidRPr="00825EEB" w:rsidRDefault="0058052E" w:rsidP="0058052E">
      <w:pPr>
        <w:spacing w:after="160" w:line="360" w:lineRule="auto"/>
        <w:ind w:firstLine="567"/>
        <w:jc w:val="both"/>
      </w:pPr>
      <w:r w:rsidRPr="00825EEB">
        <w:t>Ոչ պլաստիկացված պոլիվինիլքլորիդի հիմքով նյութերը կարող են պարունակել հետ</w:t>
      </w:r>
      <w:r>
        <w:t>եւ</w:t>
      </w:r>
      <w:r w:rsidRPr="00825EEB">
        <w:t>յալ խմբերից մեկում ներառված կայունացուցիչները.</w:t>
      </w:r>
    </w:p>
    <w:p w14:paraId="16D934F0" w14:textId="77777777" w:rsidR="0058052E" w:rsidRPr="00825EEB" w:rsidRDefault="00AA234B"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անագ՝ դի(իզոօկտիլ) 2,2</w:t>
      </w:r>
      <w:r w:rsidR="0058052E" w:rsidRPr="00825EEB">
        <w:rPr>
          <w:rFonts w:ascii="Sylfaen" w:hAnsi="Sylfaen"/>
          <w:i/>
          <w:sz w:val="24"/>
          <w:szCs w:val="24"/>
        </w:rPr>
        <w:t>'</w:t>
      </w:r>
      <w:r w:rsidR="0058052E" w:rsidRPr="00825EEB">
        <w:rPr>
          <w:rFonts w:ascii="Sylfaen" w:hAnsi="Sylfaen"/>
          <w:sz w:val="24"/>
          <w:szCs w:val="24"/>
        </w:rPr>
        <w:t>-[(դիօկտիլստաննիլեն)բիս(թիո)]դիացետատի ձ</w:t>
      </w:r>
      <w:r w:rsidR="0058052E">
        <w:rPr>
          <w:rFonts w:ascii="Sylfaen" w:hAnsi="Sylfaen"/>
          <w:sz w:val="24"/>
          <w:szCs w:val="24"/>
        </w:rPr>
        <w:t>եւ</w:t>
      </w:r>
      <w:r w:rsidR="0058052E" w:rsidRPr="00825EEB">
        <w:rPr>
          <w:rFonts w:ascii="Sylfaen" w:hAnsi="Sylfaen"/>
          <w:sz w:val="24"/>
          <w:szCs w:val="24"/>
        </w:rPr>
        <w:t>ով, որը պարունակում է մոտ 27 % տրի(իզոօկտիլ)2,2</w:t>
      </w:r>
      <w:r w:rsidR="0058052E" w:rsidRPr="00825EEB">
        <w:rPr>
          <w:rFonts w:ascii="Sylfaen" w:hAnsi="Sylfaen"/>
          <w:i/>
          <w:sz w:val="24"/>
          <w:szCs w:val="24"/>
        </w:rPr>
        <w:t>'</w:t>
      </w:r>
      <w:r w:rsidR="0058052E" w:rsidRPr="00825EEB">
        <w:rPr>
          <w:rFonts w:ascii="Sylfaen" w:hAnsi="Sylfaen"/>
          <w:sz w:val="24"/>
          <w:szCs w:val="24"/>
        </w:rPr>
        <w:t>,2</w:t>
      </w:r>
      <w:r w:rsidR="0058052E" w:rsidRPr="00825EEB">
        <w:rPr>
          <w:rFonts w:ascii="Sylfaen" w:hAnsi="Sylfaen"/>
          <w:i/>
          <w:sz w:val="24"/>
          <w:szCs w:val="24"/>
        </w:rPr>
        <w:t>''</w:t>
      </w:r>
      <w:r w:rsidR="0058052E" w:rsidRPr="00825EEB">
        <w:rPr>
          <w:rFonts w:ascii="Sylfaen" w:hAnsi="Sylfaen"/>
          <w:sz w:val="24"/>
          <w:szCs w:val="24"/>
        </w:rPr>
        <w:t>-[(մոնոօկտիլ-ստաննիլիդեն)տրիս(թիո)]տրիացետատ՝ 0,25 %-ից ոչ ավելի.</w:t>
      </w:r>
    </w:p>
    <w:p w14:paraId="25D095B5" w14:textId="77777777" w:rsidR="0058052E" w:rsidRPr="00825EEB" w:rsidRDefault="00AA234B"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անագ՝ խառնուրդի ձ</w:t>
      </w:r>
      <w:r w:rsidR="0058052E">
        <w:rPr>
          <w:rFonts w:ascii="Sylfaen" w:hAnsi="Sylfaen"/>
          <w:sz w:val="24"/>
          <w:szCs w:val="24"/>
        </w:rPr>
        <w:t>եւ</w:t>
      </w:r>
      <w:r w:rsidR="0058052E" w:rsidRPr="00825EEB">
        <w:rPr>
          <w:rFonts w:ascii="Sylfaen" w:hAnsi="Sylfaen"/>
          <w:sz w:val="24"/>
          <w:szCs w:val="24"/>
        </w:rPr>
        <w:t>ով, որը պարունակում է ոչ ավելի, քան 76 % դի(իզոօկտիլ) 2,2</w:t>
      </w:r>
      <w:r w:rsidR="0058052E" w:rsidRPr="00825EEB">
        <w:rPr>
          <w:rFonts w:ascii="Sylfaen" w:hAnsi="Sylfaen"/>
          <w:i/>
          <w:sz w:val="24"/>
          <w:szCs w:val="24"/>
        </w:rPr>
        <w:t>'</w:t>
      </w:r>
      <w:r w:rsidR="0058052E" w:rsidRPr="00825EEB">
        <w:rPr>
          <w:rFonts w:ascii="Sylfaen" w:hAnsi="Sylfaen"/>
          <w:sz w:val="24"/>
          <w:szCs w:val="24"/>
        </w:rPr>
        <w:t xml:space="preserve">-[(դիմեթիլ-ստաննիլեն)-բիս(թիո)]դիացետատ </w:t>
      </w:r>
      <w:r w:rsidR="0058052E">
        <w:rPr>
          <w:rFonts w:ascii="Sylfaen" w:hAnsi="Sylfaen"/>
          <w:sz w:val="24"/>
          <w:szCs w:val="24"/>
        </w:rPr>
        <w:t>եւ</w:t>
      </w:r>
      <w:r w:rsidR="0058052E" w:rsidRPr="00825EEB">
        <w:rPr>
          <w:rFonts w:ascii="Sylfaen" w:hAnsi="Sylfaen"/>
          <w:sz w:val="24"/>
          <w:szCs w:val="24"/>
        </w:rPr>
        <w:t xml:space="preserve"> ոչ ավելի, քան 85 % տրի(իզոօկտիլ)2,2</w:t>
      </w:r>
      <w:r w:rsidR="0058052E" w:rsidRPr="00825EEB">
        <w:rPr>
          <w:rFonts w:ascii="Sylfaen" w:hAnsi="Sylfaen"/>
          <w:i/>
          <w:sz w:val="24"/>
          <w:szCs w:val="24"/>
        </w:rPr>
        <w:t>'</w:t>
      </w:r>
      <w:r w:rsidR="0058052E" w:rsidRPr="00825EEB">
        <w:rPr>
          <w:rFonts w:ascii="Sylfaen" w:hAnsi="Sylfaen"/>
          <w:sz w:val="24"/>
          <w:szCs w:val="24"/>
        </w:rPr>
        <w:t>,2</w:t>
      </w:r>
      <w:r w:rsidR="0058052E" w:rsidRPr="00825EEB">
        <w:rPr>
          <w:rFonts w:ascii="Sylfaen" w:hAnsi="Sylfaen"/>
          <w:i/>
          <w:sz w:val="24"/>
          <w:szCs w:val="24"/>
        </w:rPr>
        <w:t>''</w:t>
      </w:r>
      <w:r w:rsidR="0058052E" w:rsidRPr="00825EEB">
        <w:rPr>
          <w:rFonts w:ascii="Sylfaen" w:hAnsi="Sylfaen"/>
          <w:sz w:val="24"/>
          <w:szCs w:val="24"/>
        </w:rPr>
        <w:t>-[(մոնոմեթիլստաննիլիդին)տրիս(թիո)] տրիացետատ՝ 0,25 %-ից ոչ ավելի.</w:t>
      </w:r>
    </w:p>
    <w:p w14:paraId="4E0C1546" w14:textId="77777777" w:rsidR="0058052E" w:rsidRPr="00825EEB" w:rsidRDefault="00AA234B" w:rsidP="00F24391">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1-ֆենիլէյկոզան-1,3-դիոն(բենզոիլստերաո-իլմեթան) կամ 2-(4-դոդեցիլֆենիլ)ինդոլ կամ դիդոդեցիլ1,4-դիհիդրոպիրիդին-2,6-դիմեթիլ-3,5-դիկարբօքսիլատ կամ այդ նյութերի խառնուրդ՝ 1 %-ից ոչ ավելի:</w:t>
      </w:r>
    </w:p>
    <w:p w14:paraId="4098F413"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Ոչ պլաստիկացված պոլիվինիլքլորիդի հիմքով նյութերը կարող են պարունակել ներկանյութ կամ գունանյութ՝ պայմանով, որ դրանց անվտանգությունը հաստատված է: Նյութի անթափանցությունն ապահովելու համար ավելացնում են տիտանի դիօքսիդ: </w:t>
      </w:r>
    </w:p>
    <w:p w14:paraId="46D847FB" w14:textId="77777777" w:rsidR="0058052E" w:rsidRPr="00825EEB" w:rsidRDefault="0058052E" w:rsidP="00F24391">
      <w:pPr>
        <w:pStyle w:val="a0"/>
        <w:shd w:val="clear" w:color="auto" w:fill="auto"/>
        <w:spacing w:after="160" w:line="346" w:lineRule="auto"/>
        <w:ind w:firstLine="567"/>
        <w:jc w:val="both"/>
        <w:rPr>
          <w:rFonts w:ascii="Sylfaen" w:hAnsi="Sylfaen" w:cs="Sylfaen"/>
          <w:i/>
          <w:iCs/>
          <w:sz w:val="24"/>
          <w:szCs w:val="24"/>
        </w:rPr>
      </w:pPr>
      <w:r w:rsidRPr="00825EEB">
        <w:rPr>
          <w:rFonts w:ascii="Sylfaen" w:hAnsi="Sylfaen"/>
          <w:sz w:val="24"/>
          <w:szCs w:val="24"/>
        </w:rPr>
        <w:t xml:space="preserve">Նյութի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 (</w:t>
      </w:r>
      <w:r w:rsidRPr="00825EEB">
        <w:rPr>
          <w:rFonts w:ascii="Sylfaen" w:hAnsi="Sylfaen"/>
          <w:i/>
          <w:sz w:val="24"/>
          <w:szCs w:val="24"/>
        </w:rPr>
        <w:t>2.4.2.3</w:t>
      </w:r>
      <w:r w:rsidRPr="00825EEB">
        <w:rPr>
          <w:rFonts w:ascii="Sylfaen" w:hAnsi="Sylfaen"/>
          <w:sz w:val="24"/>
          <w:szCs w:val="24"/>
        </w:rPr>
        <w:t>):</w:t>
      </w:r>
    </w:p>
    <w:p w14:paraId="724E422B"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p>
    <w:p w14:paraId="3F4D7198"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ՀԱՏԿՈՒԹՅՈՒՆՆԵՐԸ</w:t>
      </w:r>
    </w:p>
    <w:p w14:paraId="190BA55E"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Փոշի, միատարր գնդիկներ, հատիկներ կամ տարբեր հաստության թիթեղներ կամ պատրաստի օբյեկտներից ընտրված նմուշներ:</w:t>
      </w:r>
    </w:p>
    <w:p w14:paraId="6ED3D61F"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Լուծելիությունը։</w:t>
      </w:r>
      <w:r w:rsidRPr="00825EEB">
        <w:rPr>
          <w:rFonts w:ascii="Sylfaen" w:hAnsi="Sylfaen"/>
          <w:sz w:val="24"/>
          <w:szCs w:val="24"/>
        </w:rPr>
        <w:t xml:space="preserve"> Գրեթե լուծելի չէ ջրում, անջուր էթանոլում, լուծելի է տետրահիդրոֆուրանում, քիչ լուծելի է մեթիլենքլորիդում։</w:t>
      </w:r>
    </w:p>
    <w:p w14:paraId="4FCA4E55"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lastRenderedPageBreak/>
        <w:t xml:space="preserve">Այրվելիս բոցը գունավորվում է նարնջագույն-դեղինով՝ կանաչ եզրագծով, </w:t>
      </w:r>
      <w:r>
        <w:rPr>
          <w:rFonts w:ascii="Sylfaen" w:hAnsi="Sylfaen"/>
          <w:sz w:val="24"/>
          <w:szCs w:val="24"/>
        </w:rPr>
        <w:t>եւ</w:t>
      </w:r>
      <w:r w:rsidRPr="00825EEB">
        <w:rPr>
          <w:rFonts w:ascii="Sylfaen" w:hAnsi="Sylfaen"/>
          <w:sz w:val="24"/>
          <w:szCs w:val="24"/>
        </w:rPr>
        <w:t xml:space="preserve"> արձակվում է խիտ ս</w:t>
      </w:r>
      <w:r>
        <w:rPr>
          <w:rFonts w:ascii="Sylfaen" w:hAnsi="Sylfaen"/>
          <w:sz w:val="24"/>
          <w:szCs w:val="24"/>
        </w:rPr>
        <w:t>եւ</w:t>
      </w:r>
      <w:r w:rsidRPr="00825EEB">
        <w:rPr>
          <w:rFonts w:ascii="Sylfaen" w:hAnsi="Sylfaen"/>
          <w:sz w:val="24"/>
          <w:szCs w:val="24"/>
        </w:rPr>
        <w:t xml:space="preserve"> ծուխ։</w:t>
      </w:r>
    </w:p>
    <w:p w14:paraId="1F2C0273"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7666BB0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5E2135A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Որոշումն անցկացնում են ինֆրակարմիր հատվածում աբսորբման սպեկտրալուսաչափության մեթոդով </w:t>
      </w:r>
      <w:r w:rsidRPr="00825EEB">
        <w:rPr>
          <w:rFonts w:ascii="Sylfaen" w:hAnsi="Sylfaen"/>
          <w:i/>
          <w:sz w:val="24"/>
          <w:szCs w:val="24"/>
        </w:rPr>
        <w:t>(2.1.2.23):</w:t>
      </w:r>
    </w:p>
    <w:p w14:paraId="3B13761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«Փորձարկումներ»</w:t>
      </w:r>
      <w:r w:rsidRPr="00825EEB">
        <w:rPr>
          <w:rFonts w:ascii="Sylfaen" w:hAnsi="Sylfaen"/>
          <w:sz w:val="24"/>
          <w:szCs w:val="24"/>
        </w:rPr>
        <w:t xml:space="preserve"> բաժնում Տ2 լուծույթը պատրաստելիս ստացված Ա մնացորդը լուծում են </w:t>
      </w:r>
      <w:r w:rsidRPr="00825EEB">
        <w:rPr>
          <w:rFonts w:ascii="Sylfaen" w:hAnsi="Sylfaen"/>
          <w:i/>
          <w:sz w:val="24"/>
          <w:szCs w:val="24"/>
        </w:rPr>
        <w:t>Ռ տետրահիդրոֆուրանի</w:t>
      </w:r>
      <w:r w:rsidRPr="00825EEB">
        <w:rPr>
          <w:rFonts w:ascii="Sylfaen" w:hAnsi="Sylfaen"/>
          <w:sz w:val="24"/>
          <w:szCs w:val="24"/>
        </w:rPr>
        <w:t xml:space="preserve"> 5 մլ-ի մեջ: Ստացված լուծույթի մի քանի կաթիլ տեղադրում են նատրիումի քլորիդի սկավառակի վրա </w:t>
      </w:r>
      <w:r>
        <w:rPr>
          <w:rFonts w:ascii="Sylfaen" w:hAnsi="Sylfaen"/>
          <w:sz w:val="24"/>
          <w:szCs w:val="24"/>
        </w:rPr>
        <w:t>եւ</w:t>
      </w:r>
      <w:r w:rsidRPr="00825EEB">
        <w:rPr>
          <w:rFonts w:ascii="Sylfaen" w:hAnsi="Sylfaen"/>
          <w:sz w:val="24"/>
          <w:szCs w:val="24"/>
        </w:rPr>
        <w:t xml:space="preserve"> լուծիչը լիաչոր եռաթանձրացնում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ջերմաստիճանում:</w:t>
      </w:r>
    </w:p>
    <w:p w14:paraId="74A571C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2910 սմ</w:t>
      </w:r>
      <w:r w:rsidRPr="00825EEB">
        <w:rPr>
          <w:rFonts w:ascii="Sylfaen" w:hAnsi="Sylfaen"/>
          <w:sz w:val="24"/>
          <w:szCs w:val="24"/>
          <w:vertAlign w:val="superscript"/>
        </w:rPr>
        <w:t>-1</w:t>
      </w:r>
      <w:r w:rsidRPr="00825EEB">
        <w:rPr>
          <w:rFonts w:ascii="Sylfaen" w:hAnsi="Sylfaen"/>
          <w:sz w:val="24"/>
          <w:szCs w:val="24"/>
        </w:rPr>
        <w:t>, 1425 սմ</w:t>
      </w:r>
      <w:r w:rsidRPr="00825EEB">
        <w:rPr>
          <w:rFonts w:ascii="Sylfaen" w:hAnsi="Sylfaen"/>
          <w:sz w:val="24"/>
          <w:szCs w:val="24"/>
          <w:vertAlign w:val="superscript"/>
        </w:rPr>
        <w:t>-1</w:t>
      </w:r>
      <w:r w:rsidRPr="00825EEB">
        <w:rPr>
          <w:rFonts w:ascii="Sylfaen" w:hAnsi="Sylfaen"/>
          <w:sz w:val="24"/>
          <w:szCs w:val="24"/>
        </w:rPr>
        <w:t>, 1330 սմ</w:t>
      </w:r>
      <w:r w:rsidRPr="00825EEB">
        <w:rPr>
          <w:rFonts w:ascii="Sylfaen" w:hAnsi="Sylfaen"/>
          <w:sz w:val="24"/>
          <w:szCs w:val="24"/>
          <w:vertAlign w:val="superscript"/>
        </w:rPr>
        <w:t>-1</w:t>
      </w:r>
      <w:r w:rsidRPr="00825EEB">
        <w:rPr>
          <w:rFonts w:ascii="Sylfaen" w:hAnsi="Sylfaen"/>
          <w:sz w:val="24"/>
          <w:szCs w:val="24"/>
        </w:rPr>
        <w:t>, 1252 սմ</w:t>
      </w:r>
      <w:r w:rsidRPr="00825EEB">
        <w:rPr>
          <w:rFonts w:ascii="Sylfaen" w:hAnsi="Sylfaen"/>
          <w:sz w:val="24"/>
          <w:szCs w:val="24"/>
          <w:vertAlign w:val="superscript"/>
        </w:rPr>
        <w:t>-1</w:t>
      </w:r>
      <w:r w:rsidRPr="00825EEB">
        <w:rPr>
          <w:rFonts w:ascii="Sylfaen" w:hAnsi="Sylfaen"/>
          <w:sz w:val="24"/>
          <w:szCs w:val="24"/>
        </w:rPr>
        <w:t>, 958 սմ</w:t>
      </w:r>
      <w:r w:rsidRPr="00825EEB">
        <w:rPr>
          <w:rFonts w:ascii="Sylfaen" w:hAnsi="Sylfaen"/>
          <w:sz w:val="24"/>
          <w:szCs w:val="24"/>
          <w:vertAlign w:val="superscript"/>
        </w:rPr>
        <w:t>-1</w:t>
      </w:r>
      <w:r w:rsidRPr="00825EEB">
        <w:rPr>
          <w:rFonts w:ascii="Sylfaen" w:hAnsi="Sylfaen"/>
          <w:sz w:val="24"/>
          <w:szCs w:val="24"/>
        </w:rPr>
        <w:t>, 690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0A0B701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Ստացված սպեկտրը պետք է համապատասխանի նաեւ տիպային նմուշի սպեկտրին:</w:t>
      </w:r>
    </w:p>
    <w:p w14:paraId="73D8A34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58FCFB7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7C46E24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նյութի փորձարկվող նմուշները կտրատում են մասերի, որոնց կողմերի չափը 1 սմ-ից ոչ ավելի է:</w:t>
      </w:r>
    </w:p>
    <w:p w14:paraId="4664DCBF"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b/>
          <w:sz w:val="24"/>
          <w:szCs w:val="24"/>
        </w:rPr>
        <w:t xml:space="preserve">Տ1 լուծույթը։ </w:t>
      </w:r>
      <w:r w:rsidRPr="00825EEB">
        <w:rPr>
          <w:rFonts w:ascii="Sylfaen" w:hAnsi="Sylfaen"/>
          <w:sz w:val="24"/>
          <w:szCs w:val="24"/>
        </w:rPr>
        <w:t xml:space="preserve">Նյութի փորձարկվող նմուշի 25 գ տեղադրում են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500 մլ </w:t>
      </w:r>
      <w:r>
        <w:rPr>
          <w:rFonts w:ascii="Sylfaen" w:hAnsi="Sylfaen"/>
          <w:sz w:val="24"/>
          <w:szCs w:val="24"/>
        </w:rPr>
        <w:t>եւ</w:t>
      </w:r>
      <w:r w:rsidRPr="00825EEB">
        <w:rPr>
          <w:rFonts w:ascii="Sylfaen" w:hAnsi="Sylfaen"/>
          <w:sz w:val="24"/>
          <w:szCs w:val="24"/>
        </w:rPr>
        <w:t xml:space="preserve"> փորձանոթի բկանցքը փակում են բորասիլիկատային ապակուց լաբորատոր բաժակով: Ավտոկլավում 20 րոպե տաքացնում են (121 ±2) °C ջերմաստիճանի տակ, որից հետո հովացնում են, թափում վերնստվածքային հեղուկը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500 մլ ծավալը:</w:t>
      </w:r>
    </w:p>
    <w:p w14:paraId="26756288"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0051B86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Տ2 լուծույթը։ </w:t>
      </w:r>
      <w:r w:rsidRPr="00825EEB">
        <w:rPr>
          <w:rFonts w:ascii="Sylfaen" w:hAnsi="Sylfaen"/>
          <w:sz w:val="24"/>
          <w:szCs w:val="24"/>
        </w:rPr>
        <w:t xml:space="preserve">Նյութի փորձարկվող նմուշի 5,0 գ-ը լուծում են </w:t>
      </w:r>
      <w:r w:rsidRPr="00825EEB">
        <w:rPr>
          <w:rFonts w:ascii="Sylfaen" w:hAnsi="Sylfaen"/>
          <w:i/>
          <w:sz w:val="24"/>
          <w:szCs w:val="24"/>
        </w:rPr>
        <w:t>Ռ տետրահիդրոֆուրանի</w:t>
      </w:r>
      <w:r w:rsidRPr="00825EEB">
        <w:rPr>
          <w:rFonts w:ascii="Sylfaen" w:hAnsi="Sylfaen"/>
          <w:sz w:val="24"/>
          <w:szCs w:val="24"/>
        </w:rPr>
        <w:t xml:space="preserve"> 80 մլ-ի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100 մլ: Անհրաժեշտության դեպքում զտում են (լուծույթը կարող է մնալ օպալեսցենտող): Ստացված լուծույթի 20 մլ-ը նոսրացնում են </w:t>
      </w:r>
      <w:r w:rsidRPr="00825EEB">
        <w:rPr>
          <w:rFonts w:ascii="Sylfaen" w:hAnsi="Sylfaen"/>
          <w:i/>
          <w:sz w:val="24"/>
          <w:szCs w:val="24"/>
        </w:rPr>
        <w:t>Ռ էթանոլի (96 %)</w:t>
      </w:r>
      <w:r w:rsidRPr="00825EEB">
        <w:rPr>
          <w:rFonts w:ascii="Sylfaen" w:hAnsi="Sylfaen"/>
          <w:sz w:val="24"/>
          <w:szCs w:val="24"/>
        </w:rPr>
        <w:t xml:space="preserve"> 70 մլ-ով՝ այն կաթիլ առ կաթիլ ավելացնելով </w:t>
      </w:r>
      <w:r>
        <w:rPr>
          <w:rFonts w:ascii="Sylfaen" w:hAnsi="Sylfaen"/>
          <w:sz w:val="24"/>
          <w:szCs w:val="24"/>
        </w:rPr>
        <w:t>եւ</w:t>
      </w:r>
      <w:r w:rsidRPr="00825EEB">
        <w:rPr>
          <w:rFonts w:ascii="Sylfaen" w:hAnsi="Sylfaen"/>
          <w:sz w:val="24"/>
          <w:szCs w:val="24"/>
        </w:rPr>
        <w:t xml:space="preserve"> թեթ</w:t>
      </w:r>
      <w:r>
        <w:rPr>
          <w:rFonts w:ascii="Sylfaen" w:hAnsi="Sylfaen"/>
          <w:sz w:val="24"/>
          <w:szCs w:val="24"/>
        </w:rPr>
        <w:t>եւ</w:t>
      </w:r>
      <w:r w:rsidRPr="00825EEB">
        <w:rPr>
          <w:rFonts w:ascii="Sylfaen" w:hAnsi="Sylfaen"/>
          <w:sz w:val="24"/>
          <w:szCs w:val="24"/>
        </w:rPr>
        <w:t xml:space="preserve"> թափահարելով: 1 ժամ հովացնում են սառցային բաղնիքի վրա: Այնուհետ</w:t>
      </w:r>
      <w:r>
        <w:rPr>
          <w:rFonts w:ascii="Sylfaen" w:hAnsi="Sylfaen"/>
          <w:sz w:val="24"/>
          <w:szCs w:val="24"/>
        </w:rPr>
        <w:t>եւ</w:t>
      </w:r>
      <w:r w:rsidRPr="00825EEB">
        <w:rPr>
          <w:rFonts w:ascii="Sylfaen" w:hAnsi="Sylfaen"/>
          <w:sz w:val="24"/>
          <w:szCs w:val="24"/>
        </w:rPr>
        <w:t xml:space="preserve"> զտում կամ ցենտրիֆուգում են (Ա մնացորդ): Ա մնացորդը ողողում են </w:t>
      </w:r>
      <w:r w:rsidRPr="00825EEB">
        <w:rPr>
          <w:rFonts w:ascii="Sylfaen" w:hAnsi="Sylfaen"/>
          <w:i/>
          <w:sz w:val="24"/>
          <w:szCs w:val="24"/>
        </w:rPr>
        <w:t>Ռ էթանոլով (96 %)</w:t>
      </w:r>
      <w:r w:rsidRPr="00825EEB">
        <w:rPr>
          <w:rFonts w:ascii="Sylfaen" w:hAnsi="Sylfaen"/>
          <w:sz w:val="24"/>
          <w:szCs w:val="24"/>
        </w:rPr>
        <w:t xml:space="preserve">, ողողման էթանոլն ավելացնում են զտվածքին կամ վերնստվածքային հեղուկին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էթանոլով (96 %)</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100 մլ ծավալը:</w:t>
      </w:r>
    </w:p>
    <w:p w14:paraId="5A1BF55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Տ3 լուծույթը։ </w:t>
      </w:r>
      <w:r w:rsidRPr="00825EEB">
        <w:rPr>
          <w:rFonts w:ascii="Sylfaen" w:hAnsi="Sylfaen"/>
          <w:sz w:val="24"/>
          <w:szCs w:val="24"/>
        </w:rPr>
        <w:t xml:space="preserve">Նյութի փորձարկվող նմուշի 5 գ տեղադրում են կիպահղկած խցանով բորասիլիկատային ապակուց փորձանոթի մեջ, ավելացնում են </w:t>
      </w:r>
      <w:r w:rsidRPr="00825EEB">
        <w:rPr>
          <w:rFonts w:ascii="Sylfaen" w:hAnsi="Sylfaen"/>
          <w:i/>
          <w:sz w:val="24"/>
          <w:szCs w:val="24"/>
        </w:rPr>
        <w:t>0,1 Մ քլորաջրածնային թթվի</w:t>
      </w:r>
      <w:r w:rsidRPr="00825EEB">
        <w:rPr>
          <w:rFonts w:ascii="Sylfaen" w:hAnsi="Sylfaen"/>
          <w:sz w:val="24"/>
          <w:szCs w:val="24"/>
        </w:rPr>
        <w:t xml:space="preserve"> 100 մլ </w:t>
      </w:r>
      <w:r>
        <w:rPr>
          <w:rFonts w:ascii="Sylfaen" w:hAnsi="Sylfaen"/>
          <w:sz w:val="24"/>
          <w:szCs w:val="24"/>
        </w:rPr>
        <w:t>եւ</w:t>
      </w:r>
      <w:r w:rsidRPr="00825EEB">
        <w:rPr>
          <w:rFonts w:ascii="Sylfaen" w:hAnsi="Sylfaen"/>
          <w:sz w:val="24"/>
          <w:szCs w:val="24"/>
        </w:rPr>
        <w:t xml:space="preserve"> 1 ժամ եռացնում հակադարձ սառնարանով: Հետո հովացնում են </w:t>
      </w:r>
      <w:r>
        <w:rPr>
          <w:rFonts w:ascii="Sylfaen" w:hAnsi="Sylfaen"/>
          <w:sz w:val="24"/>
          <w:szCs w:val="24"/>
        </w:rPr>
        <w:t>եւ</w:t>
      </w:r>
      <w:r w:rsidRPr="00825EEB">
        <w:rPr>
          <w:rFonts w:ascii="Sylfaen" w:hAnsi="Sylfaen"/>
          <w:sz w:val="24"/>
          <w:szCs w:val="24"/>
        </w:rPr>
        <w:t xml:space="preserve"> պահում մինչ</w:t>
      </w:r>
      <w:r>
        <w:rPr>
          <w:rFonts w:ascii="Sylfaen" w:hAnsi="Sylfaen"/>
          <w:sz w:val="24"/>
          <w:szCs w:val="24"/>
        </w:rPr>
        <w:t>եւ</w:t>
      </w:r>
      <w:r w:rsidRPr="00825EEB">
        <w:rPr>
          <w:rFonts w:ascii="Sylfaen" w:hAnsi="Sylfaen"/>
          <w:sz w:val="24"/>
          <w:szCs w:val="24"/>
        </w:rPr>
        <w:t xml:space="preserve"> պինդ ֆազի նստեցումը:</w:t>
      </w:r>
    </w:p>
    <w:p w14:paraId="7DA03E6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լուծույթի օպալեսցենցիան չպետք է գերազանցի II համեմատության դեղակախույթի օպալեսցենցիան:</w:t>
      </w:r>
    </w:p>
    <w:p w14:paraId="07880E2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Տ1 լուծույթը պետք է լինի անգույն:</w:t>
      </w:r>
    </w:p>
    <w:p w14:paraId="0993C25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xml:space="preserve">)։ Տ1 լուծույթի 100 մլ-ը լիաչոր շոգեհանում են: Չոր մնացորդը լուծում են </w:t>
      </w:r>
      <w:r w:rsidRPr="00825EEB">
        <w:rPr>
          <w:rFonts w:ascii="Sylfaen" w:hAnsi="Sylfaen"/>
          <w:i/>
          <w:sz w:val="24"/>
          <w:szCs w:val="24"/>
        </w:rPr>
        <w:t>Ռ հեքսանի</w:t>
      </w:r>
      <w:r w:rsidRPr="00825EEB">
        <w:rPr>
          <w:rFonts w:ascii="Sylfaen" w:hAnsi="Sylfaen"/>
          <w:sz w:val="24"/>
          <w:szCs w:val="24"/>
        </w:rPr>
        <w:t xml:space="preserve"> 5 մլ-ի մեջ:</w:t>
      </w:r>
      <w:r w:rsidRPr="00825EEB">
        <w:rPr>
          <w:rFonts w:ascii="Sylfaen" w:hAnsi="Sylfaen"/>
          <w:i/>
          <w:sz w:val="24"/>
          <w:szCs w:val="24"/>
        </w:rPr>
        <w:t xml:space="preserve"> </w:t>
      </w:r>
      <w:r w:rsidRPr="00825EEB">
        <w:rPr>
          <w:rFonts w:ascii="Sylfaen" w:hAnsi="Sylfaen"/>
          <w:sz w:val="24"/>
          <w:szCs w:val="24"/>
        </w:rPr>
        <w:t xml:space="preserve">Անհրաժեշտության դեպքում զտում են </w:t>
      </w:r>
      <w:r w:rsidRPr="00825EEB">
        <w:rPr>
          <w:rFonts w:ascii="Sylfaen" w:hAnsi="Sylfaen"/>
          <w:i/>
          <w:sz w:val="24"/>
          <w:szCs w:val="24"/>
        </w:rPr>
        <w:t>Ռ հեքսանով</w:t>
      </w:r>
      <w:r w:rsidRPr="00825EEB">
        <w:rPr>
          <w:rFonts w:ascii="Sylfaen" w:hAnsi="Sylfaen"/>
          <w:sz w:val="24"/>
          <w:szCs w:val="24"/>
        </w:rPr>
        <w:t xml:space="preserve"> նախապես լվացված զտիչի միջոցով: Ստացված զտվածքի օպտիկական խտությունը 250 նմ-ից մինչ</w:t>
      </w:r>
      <w:r>
        <w:rPr>
          <w:rFonts w:ascii="Sylfaen" w:hAnsi="Sylfaen"/>
          <w:sz w:val="24"/>
          <w:szCs w:val="24"/>
        </w:rPr>
        <w:t>եւ</w:t>
      </w:r>
      <w:r w:rsidRPr="00825EEB">
        <w:rPr>
          <w:rFonts w:ascii="Sylfaen" w:hAnsi="Sylfaen"/>
          <w:sz w:val="24"/>
          <w:szCs w:val="24"/>
        </w:rPr>
        <w:t xml:space="preserve"> 310 նմ հատվածում չպետք է գերազանցի 0,25-ը:</w:t>
      </w:r>
    </w:p>
    <w:p w14:paraId="0492503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S2 լուծույթի օպտիկական խտությունը 250 նմ-ից մինչ</w:t>
      </w:r>
      <w:r>
        <w:rPr>
          <w:rFonts w:ascii="Sylfaen" w:hAnsi="Sylfaen"/>
          <w:sz w:val="24"/>
          <w:szCs w:val="24"/>
        </w:rPr>
        <w:t>եւ</w:t>
      </w:r>
      <w:r w:rsidRPr="00825EEB">
        <w:rPr>
          <w:rFonts w:ascii="Sylfaen" w:hAnsi="Sylfaen"/>
          <w:sz w:val="24"/>
          <w:szCs w:val="24"/>
        </w:rPr>
        <w:t xml:space="preserve"> 330 նմ հատվածում չպետք է գերազանցի 0,2-ը՝ անագով կայունացված նյութերի համար, կամ 0,4-ը՝ այլ նյութերի համար:</w:t>
      </w:r>
    </w:p>
    <w:p w14:paraId="7C1CA0C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Բարիում։ </w:t>
      </w:r>
      <w:r w:rsidRPr="00825EEB">
        <w:rPr>
          <w:rFonts w:ascii="Sylfaen" w:hAnsi="Sylfaen"/>
          <w:sz w:val="24"/>
          <w:szCs w:val="24"/>
        </w:rPr>
        <w:t>2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714FE43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Փորձարկվող լուծույթը։</w:t>
      </w:r>
      <w:r w:rsidRPr="00825EEB">
        <w:rPr>
          <w:rFonts w:ascii="Sylfaen" w:hAnsi="Sylfaen"/>
          <w:sz w:val="24"/>
          <w:szCs w:val="24"/>
        </w:rPr>
        <w:t xml:space="preserve"> Օգտագործում են Տ3 լուծույթը:</w:t>
      </w:r>
    </w:p>
    <w:p w14:paraId="20F3764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Բարիումի 0,1 ppm պարունակող լուծույթը պատրաստում են </w:t>
      </w:r>
      <w:r w:rsidRPr="00825EEB">
        <w:rPr>
          <w:rFonts w:ascii="Sylfaen" w:hAnsi="Sylfaen"/>
          <w:i/>
          <w:sz w:val="24"/>
          <w:szCs w:val="24"/>
        </w:rPr>
        <w:t>Ռ բարիումի իոնների ստանդարտ լուծույթը (50 ppm Ва</w:t>
      </w:r>
      <w:r w:rsidRPr="00825EEB">
        <w:rPr>
          <w:rFonts w:ascii="Sylfaen" w:hAnsi="Sylfaen"/>
          <w:i/>
          <w:sz w:val="24"/>
          <w:szCs w:val="24"/>
          <w:vertAlign w:val="superscript"/>
        </w:rPr>
        <w:t>2+</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370DBA0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էմիսիայի ինտենսիվությունն ալիքի 455,40 նմ երկարությամբ՝ կատարելով սպեկտրալ ֆոնի շտկում ալիքի 455,30 նմ երկարությամբ:</w:t>
      </w:r>
    </w:p>
    <w:p w14:paraId="24A7049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բարիումի բացակայությունը:</w:t>
      </w:r>
    </w:p>
    <w:p w14:paraId="3667474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Ալիքի 455,40 նմ երկարության դեպքում փորձարկվող լուծույթի կլանումը չպետք է գերազանցի համեմատության լուծույթի կլանման ինտենսիվությունը:</w:t>
      </w:r>
    </w:p>
    <w:p w14:paraId="3327554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Կադմիում։ </w:t>
      </w:r>
      <w:r w:rsidRPr="00825EEB">
        <w:rPr>
          <w:rFonts w:ascii="Sylfaen" w:hAnsi="Sylfaen"/>
          <w:sz w:val="24"/>
          <w:szCs w:val="24"/>
        </w:rPr>
        <w:t>0,6 ppm-ից ոչ ավելի։ Որոշումն անցկացնում են ատոմաաբսորբման սպեկտրաչափության մեթոդով (</w:t>
      </w:r>
      <w:r w:rsidRPr="00825EEB">
        <w:rPr>
          <w:rFonts w:ascii="Sylfaen" w:hAnsi="Sylfaen"/>
          <w:i/>
          <w:sz w:val="24"/>
          <w:szCs w:val="24"/>
        </w:rPr>
        <w:t>2.1.2.22., մեթոդ I</w:t>
      </w:r>
      <w:r w:rsidRPr="00825EEB">
        <w:rPr>
          <w:rFonts w:ascii="Sylfaen" w:hAnsi="Sylfaen"/>
          <w:sz w:val="24"/>
          <w:szCs w:val="24"/>
        </w:rPr>
        <w:t>)։</w:t>
      </w:r>
    </w:p>
    <w:p w14:paraId="06FE50E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6572101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Կադմիումի 0,03 ppm պարունակող լուծույթը պատրաստում են </w:t>
      </w:r>
      <w:r w:rsidRPr="00825EEB">
        <w:rPr>
          <w:rFonts w:ascii="Sylfaen" w:hAnsi="Sylfaen"/>
          <w:i/>
          <w:sz w:val="24"/>
          <w:szCs w:val="24"/>
        </w:rPr>
        <w:t>Ռ կադմիումի իոնների ստանդարտ լուծույթը (0,1 % Сd</w:t>
      </w:r>
      <w:r w:rsidRPr="00825EEB">
        <w:rPr>
          <w:rFonts w:ascii="Sylfaen" w:hAnsi="Sylfaen"/>
          <w:i/>
          <w:sz w:val="24"/>
          <w:szCs w:val="24"/>
          <w:vertAlign w:val="superscript"/>
        </w:rPr>
        <w:t>2+</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63E05DA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կադմիումի բացակայությունը:</w:t>
      </w:r>
    </w:p>
    <w:p w14:paraId="3176CAC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Ալիքի 228,8 նմ երկարության դեպքում փորձարկվող լուծույթի կլանումը չպետք է գերազանցի համեմատության լուծույթի կլանման ինտենսիվությունը:</w:t>
      </w:r>
    </w:p>
    <w:p w14:paraId="354F1E9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Անագով կայունացված նյութերը։ </w:t>
      </w:r>
      <w:r w:rsidRPr="00825EEB">
        <w:rPr>
          <w:rFonts w:ascii="Sylfaen" w:hAnsi="Sylfaen"/>
          <w:sz w:val="24"/>
          <w:szCs w:val="24"/>
        </w:rPr>
        <w:t>0,25 %-ից ոչ ավելի Sn:</w:t>
      </w:r>
    </w:p>
    <w:p w14:paraId="3754A9CC"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Անագի հիմնական լուծույթը։</w:t>
      </w:r>
      <w:r w:rsidRPr="00825EEB">
        <w:rPr>
          <w:rFonts w:ascii="Sylfaen" w:hAnsi="Sylfaen"/>
          <w:sz w:val="24"/>
          <w:szCs w:val="24"/>
        </w:rPr>
        <w:t xml:space="preserve"> </w:t>
      </w:r>
      <w:r w:rsidRPr="00825EEB">
        <w:rPr>
          <w:rFonts w:ascii="Sylfaen" w:hAnsi="Sylfaen"/>
          <w:i/>
          <w:sz w:val="24"/>
          <w:szCs w:val="24"/>
        </w:rPr>
        <w:t>Պոլիմերային 23-րդ նյութերի հավելանյութի ԵԱՏՄԴ ՍՆ</w:t>
      </w:r>
      <w:r w:rsidRPr="00825EEB">
        <w:rPr>
          <w:rFonts w:ascii="Sylfaen" w:hAnsi="Sylfaen"/>
          <w:sz w:val="24"/>
          <w:szCs w:val="24"/>
        </w:rPr>
        <w:t xml:space="preserve"> 81 մգ-ը լուծում են </w:t>
      </w:r>
      <w:r w:rsidRPr="00825EEB">
        <w:rPr>
          <w:rFonts w:ascii="Sylfaen" w:hAnsi="Sylfaen"/>
          <w:i/>
          <w:sz w:val="24"/>
          <w:szCs w:val="24"/>
        </w:rPr>
        <w:t>Ռ տետրահիդրոֆուրանի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հասցնում մինչ</w:t>
      </w:r>
      <w:r>
        <w:rPr>
          <w:rFonts w:ascii="Sylfaen" w:hAnsi="Sylfaen"/>
          <w:sz w:val="24"/>
          <w:szCs w:val="24"/>
        </w:rPr>
        <w:t>եւ</w:t>
      </w:r>
      <w:r w:rsidRPr="00825EEB">
        <w:rPr>
          <w:rFonts w:ascii="Sylfaen" w:hAnsi="Sylfaen"/>
          <w:sz w:val="24"/>
          <w:szCs w:val="24"/>
        </w:rPr>
        <w:t xml:space="preserve"> 100,0 մլ-ը:</w:t>
      </w:r>
    </w:p>
    <w:p w14:paraId="4602BA05"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71A7338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Անագի ստանդարտ լուծույթը։</w:t>
      </w:r>
      <w:r w:rsidRPr="00825EEB">
        <w:rPr>
          <w:rFonts w:ascii="Sylfaen" w:hAnsi="Sylfaen"/>
          <w:sz w:val="24"/>
          <w:szCs w:val="24"/>
        </w:rPr>
        <w:t xml:space="preserve"> Անագի հիմնական լուծույթի 20 մլ-ը </w:t>
      </w:r>
      <w:r w:rsidRPr="00825EEB">
        <w:rPr>
          <w:rFonts w:ascii="Sylfaen" w:hAnsi="Sylfaen"/>
          <w:i/>
          <w:sz w:val="24"/>
          <w:szCs w:val="24"/>
        </w:rPr>
        <w:t>Ռ էթանոլով (96 %)</w:t>
      </w:r>
      <w:r w:rsidRPr="00825EEB">
        <w:rPr>
          <w:rFonts w:ascii="Sylfaen" w:hAnsi="Sylfaen"/>
          <w:sz w:val="24"/>
          <w:szCs w:val="24"/>
        </w:rPr>
        <w:t xml:space="preserve"> հասցնում են մինչեւ 100,0 մլ ծավալը։</w:t>
      </w:r>
    </w:p>
    <w:p w14:paraId="3670702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 լուծույթի 0,10 մլ-ին փորձասրվակի մեջ ավելացնում են </w:t>
      </w:r>
      <w:r w:rsidRPr="00825EEB">
        <w:rPr>
          <w:rFonts w:ascii="Sylfaen" w:hAnsi="Sylfaen"/>
          <w:i/>
          <w:sz w:val="24"/>
          <w:szCs w:val="24"/>
        </w:rPr>
        <w:t>1 Մ քլորաջրածնային թթվի</w:t>
      </w:r>
      <w:r w:rsidRPr="00825EEB">
        <w:rPr>
          <w:rFonts w:ascii="Sylfaen" w:hAnsi="Sylfaen"/>
          <w:sz w:val="24"/>
          <w:szCs w:val="24"/>
        </w:rPr>
        <w:t xml:space="preserve"> 0,05 մլ, </w:t>
      </w:r>
      <w:r w:rsidRPr="00825EEB">
        <w:rPr>
          <w:rFonts w:ascii="Sylfaen" w:hAnsi="Sylfaen"/>
          <w:i/>
          <w:sz w:val="24"/>
          <w:szCs w:val="24"/>
        </w:rPr>
        <w:t>Ռ կալիումի յոդիդի լուծույթի</w:t>
      </w:r>
      <w:r w:rsidRPr="00825EEB">
        <w:rPr>
          <w:rFonts w:ascii="Sylfaen" w:hAnsi="Sylfaen"/>
          <w:sz w:val="24"/>
          <w:szCs w:val="24"/>
        </w:rPr>
        <w:t xml:space="preserve"> 0,5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 xml:space="preserve">Ռ էթանոլի (96 %) </w:t>
      </w:r>
      <w:r w:rsidRPr="00825EEB">
        <w:rPr>
          <w:rFonts w:ascii="Sylfaen" w:hAnsi="Sylfaen"/>
          <w:sz w:val="24"/>
          <w:szCs w:val="24"/>
        </w:rPr>
        <w:t xml:space="preserve">5 մլ, մանրակրկիտ խառնում են </w:t>
      </w:r>
      <w:r>
        <w:rPr>
          <w:rFonts w:ascii="Sylfaen" w:hAnsi="Sylfaen"/>
          <w:sz w:val="24"/>
          <w:szCs w:val="24"/>
        </w:rPr>
        <w:t>եւ</w:t>
      </w:r>
      <w:r w:rsidRPr="00825EEB">
        <w:rPr>
          <w:rFonts w:ascii="Sylfaen" w:hAnsi="Sylfaen"/>
          <w:sz w:val="24"/>
          <w:szCs w:val="24"/>
        </w:rPr>
        <w:t xml:space="preserve"> թողնում 5 րոպե: Ստացված լուծույթին ավելացնում են </w:t>
      </w:r>
      <w:r w:rsidRPr="00825EEB">
        <w:rPr>
          <w:rFonts w:ascii="Sylfaen" w:hAnsi="Sylfaen"/>
          <w:i/>
          <w:sz w:val="24"/>
          <w:szCs w:val="24"/>
        </w:rPr>
        <w:t>Ռ ջրի</w:t>
      </w:r>
      <w:r w:rsidRPr="00825EEB">
        <w:rPr>
          <w:rFonts w:ascii="Sylfaen" w:hAnsi="Sylfaen"/>
          <w:sz w:val="24"/>
          <w:szCs w:val="24"/>
        </w:rPr>
        <w:t xml:space="preserve"> 9 մլ </w:t>
      </w:r>
      <w:r>
        <w:rPr>
          <w:rFonts w:ascii="Sylfaen" w:hAnsi="Sylfaen"/>
          <w:sz w:val="24"/>
          <w:szCs w:val="24"/>
        </w:rPr>
        <w:t>եւ</w:t>
      </w:r>
      <w:r w:rsidRPr="00825EEB">
        <w:rPr>
          <w:rFonts w:ascii="Sylfaen" w:hAnsi="Sylfaen"/>
          <w:sz w:val="24"/>
          <w:szCs w:val="24"/>
        </w:rPr>
        <w:t xml:space="preserve"> 5 գ/լ </w:t>
      </w:r>
      <w:r w:rsidRPr="00825EEB">
        <w:rPr>
          <w:rFonts w:ascii="Sylfaen" w:hAnsi="Sylfaen"/>
          <w:i/>
          <w:sz w:val="24"/>
          <w:szCs w:val="24"/>
        </w:rPr>
        <w:t>Ռ նատրիումի սուլֆիտի</w:t>
      </w:r>
      <w:r w:rsidRPr="00825EEB">
        <w:rPr>
          <w:rFonts w:ascii="Sylfaen" w:hAnsi="Sylfaen"/>
          <w:sz w:val="24"/>
          <w:szCs w:val="24"/>
        </w:rPr>
        <w:t xml:space="preserve"> լուծույթի 0,1 մլ, մանրակրկիտ խառնում են, ավելացնում </w:t>
      </w:r>
      <w:r w:rsidRPr="00825EEB">
        <w:rPr>
          <w:rFonts w:ascii="Sylfaen" w:hAnsi="Sylfaen"/>
          <w:i/>
          <w:sz w:val="24"/>
          <w:szCs w:val="24"/>
        </w:rPr>
        <w:t>Ռ մեթիլենքլորիդով</w:t>
      </w:r>
      <w:r w:rsidRPr="00825EEB">
        <w:rPr>
          <w:rFonts w:ascii="Sylfaen" w:hAnsi="Sylfaen"/>
          <w:sz w:val="24"/>
          <w:szCs w:val="24"/>
        </w:rPr>
        <w:t xml:space="preserve"> 100 անգամ թարմ նոսրացված </w:t>
      </w:r>
      <w:r w:rsidRPr="00825EEB">
        <w:rPr>
          <w:rFonts w:ascii="Sylfaen" w:hAnsi="Sylfaen"/>
          <w:i/>
          <w:sz w:val="24"/>
          <w:szCs w:val="24"/>
        </w:rPr>
        <w:t>Ռ դիթիզոնի լուծույթի</w:t>
      </w:r>
      <w:r w:rsidRPr="00825EEB">
        <w:rPr>
          <w:rFonts w:ascii="Sylfaen" w:hAnsi="Sylfaen"/>
          <w:sz w:val="24"/>
          <w:szCs w:val="24"/>
        </w:rPr>
        <w:t xml:space="preserve"> 1,5 մլ, թափահարում են 15 վրկ </w:t>
      </w:r>
      <w:r>
        <w:rPr>
          <w:rFonts w:ascii="Sylfaen" w:hAnsi="Sylfaen"/>
          <w:sz w:val="24"/>
          <w:szCs w:val="24"/>
        </w:rPr>
        <w:t>եւ</w:t>
      </w:r>
      <w:r w:rsidRPr="00825EEB">
        <w:rPr>
          <w:rFonts w:ascii="Sylfaen" w:hAnsi="Sylfaen"/>
          <w:sz w:val="24"/>
          <w:szCs w:val="24"/>
        </w:rPr>
        <w:t xml:space="preserve"> թողնում 2 րոպե:</w:t>
      </w:r>
    </w:p>
    <w:p w14:paraId="128A4A6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Զուգահեռ պատրաստում են համեմատության լուծույթը՝ օգտագործելով անագի ստանդարտ լուծույթի 0,1 մլ:</w:t>
      </w:r>
    </w:p>
    <w:p w14:paraId="5E541B0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S2 լուծույթով ստացված ստորին շերտի մանուշակագույն գունավորումը չպետք է ավելի ինտենսիվ լինի, քան համեմատության լուծույթի գունավորումը: Անագի առկայությամբ դիթիզոնի լուծույթի կանաչավուն կապույտ գունավորումն անցնում է վարդագույնի:</w:t>
      </w:r>
    </w:p>
    <w:p w14:paraId="5B9E4A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Անագով չկայունացված նյութերը։ </w:t>
      </w:r>
      <w:r w:rsidRPr="00825EEB">
        <w:rPr>
          <w:rFonts w:ascii="Sylfaen" w:hAnsi="Sylfaen"/>
          <w:sz w:val="24"/>
          <w:szCs w:val="24"/>
        </w:rPr>
        <w:t>25 ppm-ից ոչ ավելի Sn։</w:t>
      </w:r>
    </w:p>
    <w:p w14:paraId="629C80EA"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 xml:space="preserve">Տ2 լուծույթի 5 մլ-ին փորձասրվակի մեջ ավելացնում են </w:t>
      </w:r>
      <w:r w:rsidRPr="00825EEB">
        <w:rPr>
          <w:rFonts w:ascii="Sylfaen" w:hAnsi="Sylfaen"/>
          <w:i/>
          <w:sz w:val="24"/>
          <w:szCs w:val="24"/>
        </w:rPr>
        <w:t>1 Մ քլորաջրածնային թթվի</w:t>
      </w:r>
      <w:r w:rsidRPr="00825EEB">
        <w:rPr>
          <w:rFonts w:ascii="Sylfaen" w:hAnsi="Sylfaen"/>
          <w:sz w:val="24"/>
          <w:szCs w:val="24"/>
        </w:rPr>
        <w:t xml:space="preserve"> 0,05 մլ, </w:t>
      </w:r>
      <w:r w:rsidRPr="00825EEB">
        <w:rPr>
          <w:rFonts w:ascii="Sylfaen" w:hAnsi="Sylfaen"/>
          <w:i/>
          <w:sz w:val="24"/>
          <w:szCs w:val="24"/>
        </w:rPr>
        <w:t>Ռ կալիումի յոդիդի լուծույթի</w:t>
      </w:r>
      <w:r w:rsidRPr="00825EEB">
        <w:rPr>
          <w:rFonts w:ascii="Sylfaen" w:hAnsi="Sylfaen"/>
          <w:sz w:val="24"/>
          <w:szCs w:val="24"/>
        </w:rPr>
        <w:t xml:space="preserve"> 0,5 մլ, մանրակրկիտ խառնում են </w:t>
      </w:r>
      <w:r>
        <w:rPr>
          <w:rFonts w:ascii="Sylfaen" w:hAnsi="Sylfaen"/>
          <w:sz w:val="24"/>
          <w:szCs w:val="24"/>
        </w:rPr>
        <w:t>եւ</w:t>
      </w:r>
      <w:r w:rsidRPr="00825EEB">
        <w:rPr>
          <w:rFonts w:ascii="Sylfaen" w:hAnsi="Sylfaen"/>
          <w:sz w:val="24"/>
          <w:szCs w:val="24"/>
        </w:rPr>
        <w:t xml:space="preserve"> թողնում 5 րոպե: Ստացված լուծույթին ավելացվում է </w:t>
      </w:r>
      <w:r w:rsidRPr="00825EEB">
        <w:rPr>
          <w:rFonts w:ascii="Sylfaen" w:hAnsi="Sylfaen"/>
          <w:i/>
          <w:sz w:val="24"/>
          <w:szCs w:val="24"/>
        </w:rPr>
        <w:t>Ռ ջրի</w:t>
      </w:r>
      <w:r w:rsidRPr="00825EEB">
        <w:rPr>
          <w:rFonts w:ascii="Sylfaen" w:hAnsi="Sylfaen"/>
          <w:sz w:val="24"/>
          <w:szCs w:val="24"/>
        </w:rPr>
        <w:t xml:space="preserve"> 9 մլ </w:t>
      </w:r>
      <w:r>
        <w:rPr>
          <w:rFonts w:ascii="Sylfaen" w:hAnsi="Sylfaen"/>
          <w:sz w:val="24"/>
          <w:szCs w:val="24"/>
        </w:rPr>
        <w:t>եւ</w:t>
      </w:r>
      <w:r w:rsidRPr="00825EEB">
        <w:rPr>
          <w:rFonts w:ascii="Sylfaen" w:hAnsi="Sylfaen"/>
          <w:sz w:val="24"/>
          <w:szCs w:val="24"/>
        </w:rPr>
        <w:t xml:space="preserve"> 5 գ/լ </w:t>
      </w:r>
      <w:r w:rsidRPr="00825EEB">
        <w:rPr>
          <w:rFonts w:ascii="Sylfaen" w:hAnsi="Sylfaen"/>
          <w:i/>
          <w:sz w:val="24"/>
          <w:szCs w:val="24"/>
        </w:rPr>
        <w:t>Ռ</w:t>
      </w:r>
      <w:r w:rsidR="00AA234B" w:rsidRPr="00AA234B">
        <w:rPr>
          <w:rFonts w:ascii="Sylfaen" w:hAnsi="Sylfaen"/>
          <w:i/>
          <w:sz w:val="24"/>
          <w:szCs w:val="24"/>
        </w:rPr>
        <w:t> </w:t>
      </w:r>
      <w:r w:rsidRPr="00825EEB">
        <w:rPr>
          <w:rFonts w:ascii="Sylfaen" w:hAnsi="Sylfaen"/>
          <w:i/>
          <w:sz w:val="24"/>
          <w:szCs w:val="24"/>
        </w:rPr>
        <w:t>նատրիումի սուլֆիտի</w:t>
      </w:r>
      <w:r w:rsidRPr="00825EEB">
        <w:rPr>
          <w:rFonts w:ascii="Sylfaen" w:hAnsi="Sylfaen"/>
          <w:sz w:val="24"/>
          <w:szCs w:val="24"/>
        </w:rPr>
        <w:t xml:space="preserve"> լուծույթի 0,1 մլ, ու մանրակրկիտ խառնում են: Եթե</w:t>
      </w:r>
      <w:r w:rsidR="00AA234B" w:rsidRPr="00AA234B">
        <w:rPr>
          <w:rFonts w:ascii="Sylfaen" w:hAnsi="Sylfaen"/>
          <w:sz w:val="24"/>
          <w:szCs w:val="24"/>
        </w:rPr>
        <w:t> </w:t>
      </w:r>
      <w:r w:rsidRPr="00825EEB">
        <w:rPr>
          <w:rFonts w:ascii="Sylfaen" w:hAnsi="Sylfaen"/>
          <w:sz w:val="24"/>
          <w:szCs w:val="24"/>
        </w:rPr>
        <w:t>ստացված լուծույթն անգույն չէ, ապա նատրիումի սուլֆիտի լուծույթն ավելացնում են 0,05-ական մլ բաժիններով՝ մինչ</w:t>
      </w:r>
      <w:r>
        <w:rPr>
          <w:rFonts w:ascii="Sylfaen" w:hAnsi="Sylfaen"/>
          <w:sz w:val="24"/>
          <w:szCs w:val="24"/>
        </w:rPr>
        <w:t>եւ</w:t>
      </w:r>
      <w:r w:rsidRPr="00825EEB">
        <w:rPr>
          <w:rFonts w:ascii="Sylfaen" w:hAnsi="Sylfaen"/>
          <w:sz w:val="24"/>
          <w:szCs w:val="24"/>
        </w:rPr>
        <w:t xml:space="preserve"> գունաթափումը: Այնուհետ</w:t>
      </w:r>
      <w:r>
        <w:rPr>
          <w:rFonts w:ascii="Sylfaen" w:hAnsi="Sylfaen"/>
          <w:sz w:val="24"/>
          <w:szCs w:val="24"/>
        </w:rPr>
        <w:t>եւ</w:t>
      </w:r>
      <w:r w:rsidRPr="00825EEB">
        <w:rPr>
          <w:rFonts w:ascii="Sylfaen" w:hAnsi="Sylfaen"/>
          <w:sz w:val="24"/>
          <w:szCs w:val="24"/>
        </w:rPr>
        <w:t xml:space="preserve"> ավելացնում են </w:t>
      </w:r>
      <w:r w:rsidRPr="00825EEB">
        <w:rPr>
          <w:rFonts w:ascii="Sylfaen" w:hAnsi="Sylfaen"/>
          <w:i/>
          <w:sz w:val="24"/>
          <w:szCs w:val="24"/>
        </w:rPr>
        <w:t>Ռ մեթիլենքլորիդով</w:t>
      </w:r>
      <w:r w:rsidRPr="00825EEB">
        <w:rPr>
          <w:rFonts w:ascii="Sylfaen" w:hAnsi="Sylfaen"/>
          <w:sz w:val="24"/>
          <w:szCs w:val="24"/>
        </w:rPr>
        <w:t xml:space="preserve"> 100 անգամ թարմ նոսրացված </w:t>
      </w:r>
      <w:r w:rsidRPr="00825EEB">
        <w:rPr>
          <w:rFonts w:ascii="Sylfaen" w:hAnsi="Sylfaen"/>
          <w:i/>
          <w:sz w:val="24"/>
          <w:szCs w:val="24"/>
        </w:rPr>
        <w:t>Ռ դիթիզոնի լուծույթի</w:t>
      </w:r>
      <w:r w:rsidRPr="00825EEB">
        <w:rPr>
          <w:rFonts w:ascii="Sylfaen" w:hAnsi="Sylfaen"/>
          <w:sz w:val="24"/>
          <w:szCs w:val="24"/>
        </w:rPr>
        <w:t xml:space="preserve"> 1,5 մլ, թափահարում են 15 վրկ </w:t>
      </w:r>
      <w:r>
        <w:rPr>
          <w:rFonts w:ascii="Sylfaen" w:hAnsi="Sylfaen"/>
          <w:sz w:val="24"/>
          <w:szCs w:val="24"/>
        </w:rPr>
        <w:t>եւ</w:t>
      </w:r>
      <w:r w:rsidRPr="00825EEB">
        <w:rPr>
          <w:rFonts w:ascii="Sylfaen" w:hAnsi="Sylfaen"/>
          <w:sz w:val="24"/>
          <w:szCs w:val="24"/>
        </w:rPr>
        <w:t xml:space="preserve"> թողնում 2 րոպե: Զուգահեռ պատրաստում են համեմատության լուծույթը՝ օգտագործելով անագի </w:t>
      </w:r>
      <w:r w:rsidRPr="00825EEB">
        <w:rPr>
          <w:rFonts w:ascii="Sylfaen" w:hAnsi="Sylfaen"/>
          <w:i/>
          <w:sz w:val="24"/>
          <w:szCs w:val="24"/>
        </w:rPr>
        <w:t>ստանդարտ</w:t>
      </w:r>
      <w:r w:rsidRPr="00825EEB">
        <w:rPr>
          <w:rFonts w:ascii="Sylfaen" w:hAnsi="Sylfaen"/>
          <w:sz w:val="24"/>
          <w:szCs w:val="24"/>
        </w:rPr>
        <w:t xml:space="preserve"> լուծույթի 0,05 մլ (տե՛ս վեր</w:t>
      </w:r>
      <w:r>
        <w:rPr>
          <w:rFonts w:ascii="Sylfaen" w:hAnsi="Sylfaen"/>
          <w:sz w:val="24"/>
          <w:szCs w:val="24"/>
        </w:rPr>
        <w:t>եւ</w:t>
      </w:r>
      <w:r w:rsidRPr="00825EEB">
        <w:rPr>
          <w:rFonts w:ascii="Sylfaen" w:hAnsi="Sylfaen"/>
          <w:sz w:val="24"/>
          <w:szCs w:val="24"/>
        </w:rPr>
        <w:t>ում ներկայացված փորձարկումը):</w:t>
      </w:r>
    </w:p>
    <w:p w14:paraId="290A733E"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10F3CA0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S2 լուծույթով ստացված ստորին շերտի մանուշակագույն գունավորումը պետք է լինի ոչ ինտենսիվ, քան համեմատության լուծույթի գունավորումն է:</w:t>
      </w:r>
    </w:p>
    <w:p w14:paraId="7399FA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100 ppm-ից ոչ ավելի։</w:t>
      </w:r>
    </w:p>
    <w:p w14:paraId="7518F08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ատոմաաբսորբման սպեկտրաչափության մեթոդով (</w:t>
      </w:r>
      <w:r w:rsidRPr="00825EEB">
        <w:rPr>
          <w:rFonts w:ascii="Sylfaen" w:hAnsi="Sylfaen"/>
          <w:i/>
          <w:sz w:val="24"/>
          <w:szCs w:val="24"/>
        </w:rPr>
        <w:t>2.1.2.22, մեթոդ I</w:t>
      </w:r>
      <w:r w:rsidRPr="00825EEB">
        <w:rPr>
          <w:rFonts w:ascii="Sylfaen" w:hAnsi="Sylfaen"/>
          <w:sz w:val="24"/>
          <w:szCs w:val="24"/>
        </w:rPr>
        <w:t>)։</w:t>
      </w:r>
    </w:p>
    <w:p w14:paraId="58D1122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Տ3 լուծույթը 10 անգամ նոսրացնում են </w:t>
      </w:r>
      <w:r w:rsidRPr="00825EEB">
        <w:rPr>
          <w:rFonts w:ascii="Sylfaen" w:hAnsi="Sylfaen"/>
          <w:i/>
          <w:sz w:val="24"/>
          <w:szCs w:val="24"/>
        </w:rPr>
        <w:t>Ռ ջրով</w:t>
      </w:r>
      <w:r w:rsidRPr="00825EEB">
        <w:rPr>
          <w:rFonts w:ascii="Sylfaen" w:hAnsi="Sylfaen"/>
          <w:sz w:val="24"/>
          <w:szCs w:val="24"/>
        </w:rPr>
        <w:t>:</w:t>
      </w:r>
    </w:p>
    <w:p w14:paraId="67B3817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Ցինկի 0,50 ppm պարունակող լուծույթը պատրաստում են </w:t>
      </w:r>
      <w:r w:rsidRPr="00825EEB">
        <w:rPr>
          <w:rFonts w:ascii="Sylfaen" w:hAnsi="Sylfaen"/>
          <w:i/>
          <w:sz w:val="24"/>
          <w:szCs w:val="24"/>
        </w:rPr>
        <w:t>Ռ ցինկի իոնների ստանդարտ լուծույթը (5 մգ/մլ Zn</w:t>
      </w:r>
      <w:r w:rsidRPr="00825EEB">
        <w:rPr>
          <w:rFonts w:ascii="Sylfaen" w:hAnsi="Sylfaen"/>
          <w:i/>
          <w:sz w:val="24"/>
          <w:szCs w:val="24"/>
          <w:vertAlign w:val="superscript"/>
        </w:rPr>
        <w:t>2+</w:t>
      </w:r>
      <w:r w:rsidRPr="00825EEB">
        <w:rPr>
          <w:rFonts w:ascii="Sylfaen" w:hAnsi="Sylfaen"/>
          <w:i/>
          <w:sz w:val="24"/>
          <w:szCs w:val="24"/>
        </w:rPr>
        <w:t>) 0,01 Մ քլորաջրածնային թթվով</w:t>
      </w:r>
      <w:r w:rsidRPr="00825EEB">
        <w:rPr>
          <w:rFonts w:ascii="Sylfaen" w:hAnsi="Sylfaen"/>
          <w:sz w:val="24"/>
          <w:szCs w:val="24"/>
        </w:rPr>
        <w:t xml:space="preserve"> նոսրացնելով:</w:t>
      </w:r>
    </w:p>
    <w:p w14:paraId="6C7BB89B"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ցինկի բացակայությունը:</w:t>
      </w:r>
    </w:p>
    <w:p w14:paraId="6165F97C"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Ալիքի 214,0 նմ երկարության դեպքում փորձարկվող լուծույթի կլանումը չպետք է գերազանցի համեմատության լուծույթի կլանման ինտենսիվությունը:</w:t>
      </w:r>
    </w:p>
    <w:p w14:paraId="2020E889"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Ծանր մետաղներ</w:t>
      </w:r>
      <w:r w:rsidRPr="00825EEB">
        <w:rPr>
          <w:rFonts w:ascii="Sylfaen" w:hAnsi="Sylfaen"/>
          <w:sz w:val="24"/>
          <w:szCs w:val="24"/>
        </w:rPr>
        <w:t xml:space="preserve"> </w:t>
      </w:r>
      <w:r w:rsidRPr="00825EEB">
        <w:rPr>
          <w:rFonts w:ascii="Sylfaen" w:hAnsi="Sylfaen"/>
          <w:i/>
          <w:sz w:val="24"/>
          <w:szCs w:val="24"/>
        </w:rPr>
        <w:t>(2.1.4.8, Ա մեթոդ)։</w:t>
      </w:r>
      <w:r w:rsidRPr="00825EEB">
        <w:rPr>
          <w:rFonts w:ascii="Sylfaen" w:hAnsi="Sylfaen"/>
          <w:sz w:val="24"/>
          <w:szCs w:val="24"/>
        </w:rPr>
        <w:t xml:space="preserve"> 20 ppm-ից ոչ ավելի։</w:t>
      </w:r>
    </w:p>
    <w:p w14:paraId="2985851F" w14:textId="77777777" w:rsidR="0058052E" w:rsidRPr="00825EEB" w:rsidRDefault="0058052E" w:rsidP="00F24391">
      <w:pPr>
        <w:spacing w:after="160" w:line="346" w:lineRule="auto"/>
        <w:ind w:firstLine="567"/>
        <w:jc w:val="both"/>
      </w:pPr>
      <w:r w:rsidRPr="00825EEB">
        <w:t xml:space="preserve">Տ3 լուծույթի 12 մլ-ը պետք է անցնի ծանր մետաղների մասով փորձարկումը: Համեմատության լուծույթը պատրաստում են՝ օգտագործելով </w:t>
      </w:r>
      <w:r w:rsidRPr="00825EEB">
        <w:rPr>
          <w:i/>
        </w:rPr>
        <w:t>Ռ կապարի իոնների ստանդարտ լուծույթը (1 ppm Рb</w:t>
      </w:r>
      <w:r w:rsidRPr="00825EEB">
        <w:rPr>
          <w:i/>
          <w:vertAlign w:val="superscript"/>
        </w:rPr>
        <w:t>2+</w:t>
      </w:r>
      <w:r w:rsidRPr="00825EEB">
        <w:rPr>
          <w:i/>
        </w:rPr>
        <w:t>)</w:t>
      </w:r>
      <w:r w:rsidRPr="00825EEB">
        <w:t>:</w:t>
      </w:r>
    </w:p>
    <w:p w14:paraId="0250B65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1,0 %-ից ոչ ավելի:</w:t>
      </w:r>
    </w:p>
    <w:p w14:paraId="6D6F739A"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Որոշումն անցկացնում են փորձարկվող նմուշի 1,0 գ-ով: Այն նյութերի համար, որոնք որպես հավելանյութ պարունակում են տիտանի դիօքսիդ, որով պայմանավորվում է անթափանցությունը, սուլֆատային մոխրի պարունակությունը չպետք է գերազանցի 4,0 %-ը:</w:t>
      </w:r>
    </w:p>
    <w:p w14:paraId="67B2D8E6"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p>
    <w:p w14:paraId="5337ED5C"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ՔԱՆԱԿԱԿԱՆ ՈՐՈՇՈՒՄԸ</w:t>
      </w:r>
    </w:p>
    <w:p w14:paraId="2399BB4A"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Որոշումն անցկացնում են թթվածնով փորձանոթի մեջ այրման մեթոդով (</w:t>
      </w:r>
      <w:r w:rsidRPr="00825EEB">
        <w:rPr>
          <w:rFonts w:ascii="Sylfaen" w:hAnsi="Sylfaen"/>
          <w:i/>
          <w:sz w:val="24"/>
          <w:szCs w:val="24"/>
        </w:rPr>
        <w:t>2.1.5.10</w:t>
      </w:r>
      <w:r w:rsidRPr="00825EEB">
        <w:rPr>
          <w:rFonts w:ascii="Sylfaen" w:hAnsi="Sylfaen"/>
          <w:sz w:val="24"/>
          <w:szCs w:val="24"/>
        </w:rPr>
        <w:t xml:space="preserve">)՝ օգտագործելով նյութի փորձարկվող նմուշի 50,0 մգ-ը: Այրման </w:t>
      </w:r>
      <w:r w:rsidRPr="00825EEB">
        <w:rPr>
          <w:rFonts w:ascii="Sylfaen" w:hAnsi="Sylfaen"/>
          <w:sz w:val="24"/>
          <w:szCs w:val="24"/>
        </w:rPr>
        <w:lastRenderedPageBreak/>
        <w:t xml:space="preserve">արգասիքները լուծում են </w:t>
      </w:r>
      <w:r w:rsidRPr="00825EEB">
        <w:rPr>
          <w:rFonts w:ascii="Sylfaen" w:hAnsi="Sylfaen"/>
          <w:i/>
          <w:sz w:val="24"/>
          <w:szCs w:val="24"/>
        </w:rPr>
        <w:t>1 Մ նատրիումի հիդրօքսիդի լուծույթի</w:t>
      </w:r>
      <w:r w:rsidRPr="00825EEB">
        <w:rPr>
          <w:rFonts w:ascii="Sylfaen" w:hAnsi="Sylfaen"/>
          <w:sz w:val="24"/>
          <w:szCs w:val="24"/>
        </w:rPr>
        <w:t xml:space="preserve"> 20 մլ-ի մեջ: Ստացված լուծույթին ավելացնում են </w:t>
      </w:r>
      <w:r w:rsidRPr="00825EEB">
        <w:rPr>
          <w:rFonts w:ascii="Sylfaen" w:hAnsi="Sylfaen"/>
          <w:i/>
          <w:sz w:val="24"/>
          <w:szCs w:val="24"/>
        </w:rPr>
        <w:t>Ռ ազոտաթթվի</w:t>
      </w:r>
      <w:r w:rsidRPr="00825EEB">
        <w:rPr>
          <w:rFonts w:ascii="Sylfaen" w:hAnsi="Sylfaen"/>
          <w:sz w:val="24"/>
          <w:szCs w:val="24"/>
        </w:rPr>
        <w:t xml:space="preserve"> 2,5 մլ </w:t>
      </w:r>
      <w:r>
        <w:rPr>
          <w:rFonts w:ascii="Sylfaen" w:hAnsi="Sylfaen"/>
          <w:sz w:val="24"/>
          <w:szCs w:val="24"/>
        </w:rPr>
        <w:t>եւ</w:t>
      </w:r>
      <w:r w:rsidRPr="00825EEB">
        <w:rPr>
          <w:rFonts w:ascii="Sylfaen" w:hAnsi="Sylfaen"/>
          <w:sz w:val="24"/>
          <w:szCs w:val="24"/>
        </w:rPr>
        <w:t xml:space="preserve"> տիտրում են </w:t>
      </w:r>
      <w:r w:rsidRPr="00825EEB">
        <w:rPr>
          <w:rFonts w:ascii="Sylfaen" w:hAnsi="Sylfaen"/>
          <w:i/>
          <w:sz w:val="24"/>
          <w:szCs w:val="24"/>
        </w:rPr>
        <w:t>0,1 Մ արծաթի նիտրատի լուծույթով՝</w:t>
      </w:r>
      <w:r w:rsidRPr="00825EEB">
        <w:rPr>
          <w:rFonts w:ascii="Sylfaen" w:hAnsi="Sylfaen"/>
          <w:sz w:val="24"/>
          <w:szCs w:val="24"/>
        </w:rPr>
        <w:t xml:space="preserve"> </w:t>
      </w:r>
      <w:r w:rsidRPr="00825EEB">
        <w:rPr>
          <w:rFonts w:ascii="Sylfaen" w:hAnsi="Sylfaen"/>
          <w:i/>
          <w:sz w:val="24"/>
          <w:szCs w:val="24"/>
        </w:rPr>
        <w:t xml:space="preserve">պոտենցաչափորեն որոշելով տիտրման վերջնակետը </w:t>
      </w:r>
      <w:r w:rsidRPr="00825EEB">
        <w:rPr>
          <w:rFonts w:ascii="Sylfaen" w:hAnsi="Sylfaen"/>
          <w:sz w:val="24"/>
          <w:szCs w:val="24"/>
        </w:rPr>
        <w:t>(</w:t>
      </w:r>
      <w:r w:rsidRPr="00825EEB">
        <w:rPr>
          <w:rFonts w:ascii="Sylfaen" w:hAnsi="Sylfaen"/>
          <w:i/>
          <w:sz w:val="24"/>
          <w:szCs w:val="24"/>
        </w:rPr>
        <w:t>2.1.2.19</w:t>
      </w:r>
      <w:r w:rsidRPr="00825EEB">
        <w:rPr>
          <w:rFonts w:ascii="Sylfaen" w:hAnsi="Sylfaen"/>
          <w:sz w:val="24"/>
          <w:szCs w:val="24"/>
        </w:rPr>
        <w:t>):</w:t>
      </w:r>
    </w:p>
    <w:p w14:paraId="5BB2C9B1"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Զուգահեռ անցկացնում են ստուգիչ փորձարկումը։</w:t>
      </w:r>
    </w:p>
    <w:p w14:paraId="74F073E6"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0,1 Մ</w:t>
      </w:r>
      <w:r w:rsidRPr="00825EEB">
        <w:rPr>
          <w:rFonts w:ascii="Sylfaen" w:hAnsi="Sylfaen"/>
          <w:sz w:val="24"/>
          <w:szCs w:val="24"/>
        </w:rPr>
        <w:t xml:space="preserve"> </w:t>
      </w:r>
      <w:r w:rsidRPr="00825EEB">
        <w:rPr>
          <w:rFonts w:ascii="Sylfaen" w:hAnsi="Sylfaen"/>
          <w:i/>
          <w:sz w:val="24"/>
          <w:szCs w:val="24"/>
        </w:rPr>
        <w:t>արծաթի նիտրատի լուծույթի</w:t>
      </w:r>
      <w:r w:rsidRPr="00825EEB">
        <w:rPr>
          <w:rFonts w:ascii="Sylfaen" w:hAnsi="Sylfaen"/>
          <w:sz w:val="24"/>
          <w:szCs w:val="24"/>
        </w:rPr>
        <w:t xml:space="preserve"> 1 մլ-ը համապատասխանում է պոլիվինիլքլորիդի 6,25 մգ-ին։</w:t>
      </w:r>
    </w:p>
    <w:p w14:paraId="479B2E46" w14:textId="77777777" w:rsidR="0058052E" w:rsidRPr="00A859E3" w:rsidRDefault="0058052E" w:rsidP="00AA234B">
      <w:pPr>
        <w:pStyle w:val="a0"/>
        <w:shd w:val="clear" w:color="auto" w:fill="auto"/>
        <w:spacing w:after="160" w:line="360" w:lineRule="auto"/>
        <w:ind w:firstLine="567"/>
        <w:jc w:val="right"/>
        <w:rPr>
          <w:rFonts w:ascii="Sylfaen" w:hAnsi="Sylfaen"/>
          <w:b/>
          <w:szCs w:val="24"/>
        </w:rPr>
      </w:pPr>
      <w:r w:rsidRPr="00AA234B">
        <w:rPr>
          <w:rFonts w:ascii="Sylfaen" w:hAnsi="Sylfaen"/>
          <w:b/>
          <w:szCs w:val="24"/>
        </w:rPr>
        <w:t>204010009-2022</w:t>
      </w:r>
    </w:p>
    <w:p w14:paraId="274B06AD" w14:textId="77777777" w:rsidR="00AA234B" w:rsidRPr="00A859E3" w:rsidRDefault="00AA234B" w:rsidP="00AA234B">
      <w:pPr>
        <w:pStyle w:val="a0"/>
        <w:shd w:val="clear" w:color="auto" w:fill="auto"/>
        <w:spacing w:after="160" w:line="360" w:lineRule="auto"/>
        <w:ind w:firstLine="567"/>
        <w:jc w:val="right"/>
        <w:rPr>
          <w:rFonts w:ascii="Sylfaen" w:hAnsi="Sylfaen" w:cs="Sylfaen"/>
          <w:szCs w:val="24"/>
        </w:rPr>
      </w:pPr>
    </w:p>
    <w:p w14:paraId="044BED1F" w14:textId="77777777" w:rsidR="0058052E" w:rsidRPr="00825EEB" w:rsidRDefault="00AA234B" w:rsidP="00AA234B">
      <w:pPr>
        <w:pStyle w:val="a0"/>
        <w:shd w:val="clear" w:color="auto" w:fill="auto"/>
        <w:tabs>
          <w:tab w:val="left" w:pos="1701"/>
        </w:tabs>
        <w:spacing w:after="160" w:line="360" w:lineRule="auto"/>
        <w:ind w:firstLine="567"/>
        <w:jc w:val="both"/>
        <w:rPr>
          <w:rFonts w:ascii="Sylfaen" w:hAnsi="Sylfaen" w:cs="Sylfaen"/>
          <w:sz w:val="24"/>
          <w:szCs w:val="24"/>
        </w:rPr>
      </w:pPr>
      <w:r>
        <w:rPr>
          <w:rFonts w:ascii="Sylfaen" w:hAnsi="Sylfaen"/>
          <w:b/>
          <w:sz w:val="24"/>
          <w:szCs w:val="24"/>
        </w:rPr>
        <w:t>2.4.1.9.</w:t>
      </w:r>
      <w:r w:rsidRPr="00A859E3">
        <w:rPr>
          <w:rFonts w:ascii="Sylfaen" w:hAnsi="Sylfaen"/>
          <w:b/>
          <w:sz w:val="24"/>
          <w:szCs w:val="24"/>
        </w:rPr>
        <w:tab/>
      </w:r>
      <w:r w:rsidR="0058052E" w:rsidRPr="00825EEB">
        <w:rPr>
          <w:rFonts w:ascii="Sylfaen" w:hAnsi="Sylfaen"/>
          <w:b/>
          <w:sz w:val="24"/>
          <w:szCs w:val="24"/>
        </w:rPr>
        <w:t>Ներքին ընդունման պինդ դեղաձ</w:t>
      </w:r>
      <w:r w:rsidR="0058052E">
        <w:rPr>
          <w:rFonts w:ascii="Sylfaen" w:hAnsi="Sylfaen"/>
          <w:b/>
          <w:sz w:val="24"/>
          <w:szCs w:val="24"/>
        </w:rPr>
        <w:t>եւ</w:t>
      </w:r>
      <w:r w:rsidR="0058052E" w:rsidRPr="00825EEB">
        <w:rPr>
          <w:rFonts w:ascii="Sylfaen" w:hAnsi="Sylfaen"/>
          <w:b/>
          <w:sz w:val="24"/>
          <w:szCs w:val="24"/>
        </w:rPr>
        <w:t>ով դեղապատրաստուկների փաթեթվածքների համար նախատեսված ոչ պլաստիկացված պոլիվինիլքլորիդի հիմքով նյութերը</w:t>
      </w:r>
    </w:p>
    <w:p w14:paraId="6FD482A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Սույն ընդհանուր դեղագրքային հոդվածի պահանջները տարածվում են ներքին ընդունման պինդ դեղաձ</w:t>
      </w:r>
      <w:r>
        <w:rPr>
          <w:rFonts w:ascii="Sylfaen" w:hAnsi="Sylfaen"/>
          <w:sz w:val="24"/>
          <w:szCs w:val="24"/>
        </w:rPr>
        <w:t>եւ</w:t>
      </w:r>
      <w:r w:rsidRPr="00825EEB">
        <w:rPr>
          <w:rFonts w:ascii="Sylfaen" w:hAnsi="Sylfaen"/>
          <w:sz w:val="24"/>
          <w:szCs w:val="24"/>
        </w:rPr>
        <w:t xml:space="preserve">ով դեղապատրաստուկների փաթեթվածքների համար նախատեսված ոչ պլաստիկացված պոլիվինիլքլորիդի հիմքով նյութերի վրա: Այս նյութերն օգտագործում են ժապավենների կամ փաթեթվածքների այլ տեսակների համար: Դրանք բաղկացած են մեկ պոլիվինիլքլորիդից/պոլիվինիլացետատից կամ պոլիվինիլքլորիդի </w:t>
      </w:r>
      <w:r>
        <w:rPr>
          <w:rFonts w:ascii="Sylfaen" w:hAnsi="Sylfaen"/>
          <w:sz w:val="24"/>
          <w:szCs w:val="24"/>
        </w:rPr>
        <w:t>եւ</w:t>
      </w:r>
      <w:r w:rsidRPr="00825EEB">
        <w:rPr>
          <w:rFonts w:ascii="Sylfaen" w:hAnsi="Sylfaen"/>
          <w:sz w:val="24"/>
          <w:szCs w:val="24"/>
        </w:rPr>
        <w:t xml:space="preserve"> պոլիվինիլացետատի խառնուրդից:</w:t>
      </w:r>
    </w:p>
    <w:p w14:paraId="46A5D41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Ըստ քլորի պարունակության հաշվարկված պոլիվինիլքլորիդի պարունակությունը պետք է լինի առնվազն 80 %։</w:t>
      </w:r>
    </w:p>
    <w:p w14:paraId="62C6DE8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Ոչ պլաստիկացված պոլիվինիլքլորիդը կարող է պարունակել ոչ ավելի, քան համապոլիմերների 15 %՝</w:t>
      </w:r>
    </w:p>
    <w:p w14:paraId="0254EA1F"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ակրիլային </w:t>
      </w:r>
      <w:r w:rsidR="0058052E">
        <w:rPr>
          <w:rFonts w:ascii="Sylfaen" w:hAnsi="Sylfaen"/>
          <w:sz w:val="24"/>
          <w:szCs w:val="24"/>
        </w:rPr>
        <w:t>եւ</w:t>
      </w:r>
      <w:r w:rsidR="0058052E" w:rsidRPr="00825EEB">
        <w:rPr>
          <w:rFonts w:ascii="Sylfaen" w:hAnsi="Sylfaen"/>
          <w:sz w:val="24"/>
          <w:szCs w:val="24"/>
        </w:rPr>
        <w:t xml:space="preserve"> (կամ) մետակրիլային թթուների </w:t>
      </w:r>
      <w:r w:rsidR="0058052E">
        <w:rPr>
          <w:rFonts w:ascii="Sylfaen" w:hAnsi="Sylfaen"/>
          <w:sz w:val="24"/>
          <w:szCs w:val="24"/>
        </w:rPr>
        <w:t>եւ</w:t>
      </w:r>
      <w:r w:rsidR="0058052E" w:rsidRPr="00825EEB">
        <w:rPr>
          <w:rFonts w:ascii="Sylfaen" w:hAnsi="Sylfaen"/>
          <w:sz w:val="24"/>
          <w:szCs w:val="24"/>
        </w:rPr>
        <w:t xml:space="preserve"> (կամ) դրանց եթերների հիման վրա.</w:t>
      </w:r>
    </w:p>
    <w:p w14:paraId="0EA65665" w14:textId="77777777" w:rsidR="0058052E" w:rsidRPr="00825EEB" w:rsidRDefault="00AA234B" w:rsidP="00AA234B">
      <w:pPr>
        <w:tabs>
          <w:tab w:val="left" w:pos="1134"/>
        </w:tabs>
        <w:spacing w:after="160" w:line="360" w:lineRule="auto"/>
        <w:ind w:firstLine="567"/>
        <w:jc w:val="both"/>
      </w:pPr>
      <w:r>
        <w:t>-</w:t>
      </w:r>
      <w:r w:rsidRPr="00AA234B">
        <w:tab/>
      </w:r>
      <w:r w:rsidR="0058052E" w:rsidRPr="00825EEB">
        <w:t xml:space="preserve">ստիրոլի </w:t>
      </w:r>
      <w:r w:rsidR="0058052E">
        <w:t>եւ</w:t>
      </w:r>
      <w:r w:rsidR="0058052E" w:rsidRPr="00825EEB">
        <w:t xml:space="preserve"> (կամ) բութադիենի հիման վրա:</w:t>
      </w:r>
    </w:p>
    <w:p w14:paraId="1E4D1D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ՏԵԽՆՈԼՈԳԻԱՅԻ ԱՌԱՆՁՆԱՀԱՏԿՈՒԹՅՈՒՆՆԵՐԸ</w:t>
      </w:r>
    </w:p>
    <w:p w14:paraId="0F7E6D9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Ոչ պլաստիկացված պոլիվինիլքլորիդի հիմքով նյութերն ստանում են պոլիմերացման մեթոդով, որը երաշխավորում է վինիլային քլորիդի 1 ppm-ից պակաս մնացորդային պարունակությունը: Ստացման տվյալ մեթոդը պետք է վալիդացված լինի՝ հաստատելու համար, որ նյութը համապատասխանում է հաջորդ փորձարկման պահանջներին:</w:t>
      </w:r>
    </w:p>
    <w:p w14:paraId="003FF5D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Վինիլքլորիդ։ </w:t>
      </w:r>
      <w:r w:rsidRPr="00825EEB">
        <w:rPr>
          <w:rFonts w:ascii="Sylfaen" w:hAnsi="Sylfaen"/>
          <w:sz w:val="24"/>
          <w:szCs w:val="24"/>
        </w:rPr>
        <w:t>1 ppm-ից ոչ ավելի։</w:t>
      </w:r>
    </w:p>
    <w:p w14:paraId="30C69F0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շոգեֆազային գազային քրոմատագրման մեթոդով (</w:t>
      </w:r>
      <w:r w:rsidRPr="00825EEB">
        <w:rPr>
          <w:rFonts w:ascii="Sylfaen" w:hAnsi="Sylfaen"/>
          <w:i/>
          <w:sz w:val="24"/>
          <w:szCs w:val="24"/>
        </w:rPr>
        <w:t>2.1.2.27</w:t>
      </w:r>
      <w:r w:rsidRPr="00825EEB">
        <w:rPr>
          <w:rFonts w:ascii="Sylfaen" w:hAnsi="Sylfaen"/>
          <w:sz w:val="24"/>
          <w:szCs w:val="24"/>
        </w:rPr>
        <w:t>):</w:t>
      </w:r>
    </w:p>
    <w:p w14:paraId="4ECFC7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Ներքին ստանդարտի լուծույթը</w:t>
      </w:r>
      <w:r w:rsidRPr="00825EEB">
        <w:rPr>
          <w:rFonts w:ascii="Sylfaen" w:hAnsi="Sylfaen"/>
          <w:sz w:val="24"/>
          <w:szCs w:val="24"/>
        </w:rPr>
        <w:t xml:space="preserve"> </w:t>
      </w:r>
      <w:r w:rsidRPr="00825EEB">
        <w:rPr>
          <w:rFonts w:ascii="Sylfaen" w:hAnsi="Sylfaen"/>
          <w:i/>
          <w:sz w:val="24"/>
          <w:szCs w:val="24"/>
        </w:rPr>
        <w:t>Ռ եթերի</w:t>
      </w:r>
      <w:r w:rsidRPr="00825EEB">
        <w:rPr>
          <w:rFonts w:ascii="Sylfaen" w:hAnsi="Sylfaen"/>
          <w:sz w:val="24"/>
          <w:szCs w:val="24"/>
        </w:rPr>
        <w:t xml:space="preserve"> 10 մկլ-ն միկրոներարկիչով ներմուծում են </w:t>
      </w:r>
      <w:r w:rsidRPr="00825EEB">
        <w:rPr>
          <w:rFonts w:ascii="Sylfaen" w:hAnsi="Sylfaen"/>
          <w:i/>
          <w:sz w:val="24"/>
          <w:szCs w:val="24"/>
        </w:rPr>
        <w:t>Ռ դիմեթիլացետամիդի</w:t>
      </w:r>
      <w:r w:rsidRPr="00825EEB">
        <w:rPr>
          <w:rFonts w:ascii="Sylfaen" w:hAnsi="Sylfaen"/>
          <w:sz w:val="24"/>
          <w:szCs w:val="24"/>
        </w:rPr>
        <w:t xml:space="preserve"> 20,0 մլ-ի մեջ՝ ասեղի ծայրն ընկղմելով լուծիչի մեջ: Օգտագործելուց անմիջապես առաջ լուծույթը նոսրացնում են </w:t>
      </w:r>
      <w:r w:rsidRPr="00825EEB">
        <w:rPr>
          <w:rFonts w:ascii="Sylfaen" w:hAnsi="Sylfaen"/>
          <w:i/>
          <w:sz w:val="24"/>
          <w:szCs w:val="24"/>
        </w:rPr>
        <w:t>Ռ դիմեթիլացետամիդով՝</w:t>
      </w:r>
      <w:r w:rsidRPr="00825EEB">
        <w:rPr>
          <w:rFonts w:ascii="Sylfaen" w:hAnsi="Sylfaen"/>
          <w:sz w:val="24"/>
          <w:szCs w:val="24"/>
        </w:rPr>
        <w:t xml:space="preserve"> 1000 անգամ:</w:t>
      </w:r>
    </w:p>
    <w:p w14:paraId="142B406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Փորձարկվող նմուշի 1,000 գ-ը տեղադրում են 50 մլ տարողությամբ սրվակի մեջ </w:t>
      </w:r>
      <w:r>
        <w:rPr>
          <w:rFonts w:ascii="Sylfaen" w:hAnsi="Sylfaen"/>
          <w:sz w:val="24"/>
          <w:szCs w:val="24"/>
        </w:rPr>
        <w:t>եւ</w:t>
      </w:r>
      <w:r w:rsidRPr="00825EEB">
        <w:rPr>
          <w:rFonts w:ascii="Sylfaen" w:hAnsi="Sylfaen"/>
          <w:sz w:val="24"/>
          <w:szCs w:val="24"/>
        </w:rPr>
        <w:t xml:space="preserve"> ավելացնում ներքին ստանդարտի լուծույթի 10,0 մլ: Սրվակը հերմետիկորեն փակում են խցանով, թափահարում՝ 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մեջ (60±1) °C ջերմաստիճանի տակ </w:t>
      </w:r>
      <w:r>
        <w:rPr>
          <w:rFonts w:ascii="Sylfaen" w:hAnsi="Sylfaen"/>
          <w:sz w:val="24"/>
          <w:szCs w:val="24"/>
        </w:rPr>
        <w:t>եւ</w:t>
      </w:r>
      <w:r w:rsidRPr="00825EEB">
        <w:rPr>
          <w:rFonts w:ascii="Sylfaen" w:hAnsi="Sylfaen"/>
          <w:sz w:val="24"/>
          <w:szCs w:val="24"/>
        </w:rPr>
        <w:t xml:space="preserve"> պահում 2 ժամ:</w:t>
      </w:r>
    </w:p>
    <w:p w14:paraId="5A52E7D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Վինիլքլորիդի հիմնական լուծույթը։ Պատրաստում են օդաքաշ պահարանում:</w:t>
      </w:r>
    </w:p>
    <w:p w14:paraId="39941771"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Ռ դիմեթիլացետամիդի</w:t>
      </w:r>
      <w:r w:rsidRPr="00825EEB">
        <w:rPr>
          <w:rFonts w:ascii="Sylfaen" w:hAnsi="Sylfaen"/>
          <w:sz w:val="24"/>
          <w:szCs w:val="24"/>
        </w:rPr>
        <w:t xml:space="preserve"> 50,0 մլ-ը տեղադրում են 50 մլ տարողությամբ սրվակի մեջ, հերմետիկորեն փակում են խցանով </w:t>
      </w:r>
      <w:r>
        <w:rPr>
          <w:rFonts w:ascii="Sylfaen" w:hAnsi="Sylfaen"/>
          <w:sz w:val="24"/>
          <w:szCs w:val="24"/>
        </w:rPr>
        <w:t>եւ</w:t>
      </w:r>
      <w:r w:rsidRPr="00825EEB">
        <w:rPr>
          <w:rFonts w:ascii="Sylfaen" w:hAnsi="Sylfaen"/>
          <w:sz w:val="24"/>
          <w:szCs w:val="24"/>
        </w:rPr>
        <w:t xml:space="preserve"> կշռում՝ մինչ</w:t>
      </w:r>
      <w:r>
        <w:rPr>
          <w:rFonts w:ascii="Sylfaen" w:hAnsi="Sylfaen"/>
          <w:sz w:val="24"/>
          <w:szCs w:val="24"/>
        </w:rPr>
        <w:t>եւ</w:t>
      </w:r>
      <w:r w:rsidRPr="00825EEB">
        <w:rPr>
          <w:rFonts w:ascii="Sylfaen" w:hAnsi="Sylfaen"/>
          <w:sz w:val="24"/>
          <w:szCs w:val="24"/>
        </w:rPr>
        <w:t xml:space="preserve"> 0,1 մգ ճշգրտությամբ: 50</w:t>
      </w:r>
      <w:r w:rsidR="00AA234B" w:rsidRPr="00AA234B">
        <w:rPr>
          <w:rFonts w:ascii="Sylfaen" w:hAnsi="Sylfaen"/>
          <w:sz w:val="24"/>
          <w:szCs w:val="24"/>
        </w:rPr>
        <w:t> </w:t>
      </w:r>
      <w:r w:rsidRPr="00825EEB">
        <w:rPr>
          <w:rFonts w:ascii="Sylfaen" w:hAnsi="Sylfaen"/>
          <w:sz w:val="24"/>
          <w:szCs w:val="24"/>
        </w:rPr>
        <w:t xml:space="preserve">մլ տարողությամբ պոլիէթիլենային կամ պոլիպրոպիլենային ներարկիչը լցավորում են գազակերպ </w:t>
      </w:r>
      <w:r w:rsidRPr="00825EEB">
        <w:rPr>
          <w:rFonts w:ascii="Sylfaen" w:hAnsi="Sylfaen"/>
          <w:i/>
          <w:sz w:val="24"/>
          <w:szCs w:val="24"/>
        </w:rPr>
        <w:t>Ռ վինիլքլորիդով</w:t>
      </w:r>
      <w:r w:rsidRPr="00825EEB">
        <w:rPr>
          <w:rFonts w:ascii="Sylfaen" w:hAnsi="Sylfaen"/>
          <w:sz w:val="24"/>
          <w:szCs w:val="24"/>
        </w:rPr>
        <w:t>, գազը թողնում են ներարկիչի հետ շփման մեջ մոտ 3 րոպե, այնուհետ</w:t>
      </w:r>
      <w:r>
        <w:rPr>
          <w:rFonts w:ascii="Sylfaen" w:hAnsi="Sylfaen"/>
          <w:sz w:val="24"/>
          <w:szCs w:val="24"/>
        </w:rPr>
        <w:t>եւ</w:t>
      </w:r>
      <w:r w:rsidRPr="00825EEB">
        <w:rPr>
          <w:rFonts w:ascii="Sylfaen" w:hAnsi="Sylfaen"/>
          <w:sz w:val="24"/>
          <w:szCs w:val="24"/>
        </w:rPr>
        <w:t xml:space="preserve"> գազը հեռացնում են </w:t>
      </w:r>
      <w:r>
        <w:rPr>
          <w:rFonts w:ascii="Sylfaen" w:hAnsi="Sylfaen"/>
          <w:sz w:val="24"/>
          <w:szCs w:val="24"/>
        </w:rPr>
        <w:t>եւ</w:t>
      </w:r>
      <w:r w:rsidRPr="00825EEB">
        <w:rPr>
          <w:rFonts w:ascii="Sylfaen" w:hAnsi="Sylfaen"/>
          <w:sz w:val="24"/>
          <w:szCs w:val="24"/>
        </w:rPr>
        <w:t xml:space="preserve"> ներարկիչը կրկին լցավորում գազակերպ </w:t>
      </w:r>
      <w:r w:rsidRPr="00825EEB">
        <w:rPr>
          <w:rFonts w:ascii="Sylfaen" w:hAnsi="Sylfaen"/>
          <w:i/>
          <w:sz w:val="24"/>
          <w:szCs w:val="24"/>
        </w:rPr>
        <w:t>Ռ վինիլքլորիդի</w:t>
      </w:r>
      <w:r w:rsidRPr="00825EEB">
        <w:rPr>
          <w:rFonts w:ascii="Sylfaen" w:hAnsi="Sylfaen"/>
          <w:sz w:val="24"/>
          <w:szCs w:val="24"/>
        </w:rPr>
        <w:t xml:space="preserve"> 50 մլ-ով: Ներարկիչին ամրացնում են հիպոդերմալ ասեղը </w:t>
      </w:r>
      <w:r>
        <w:rPr>
          <w:rFonts w:ascii="Sylfaen" w:hAnsi="Sylfaen"/>
          <w:sz w:val="24"/>
          <w:szCs w:val="24"/>
        </w:rPr>
        <w:t>եւ</w:t>
      </w:r>
      <w:r w:rsidRPr="00825EEB">
        <w:rPr>
          <w:rFonts w:ascii="Sylfaen" w:hAnsi="Sylfaen"/>
          <w:sz w:val="24"/>
          <w:szCs w:val="24"/>
        </w:rPr>
        <w:t xml:space="preserve"> ներարկիչի մեջ եղած գազի ծավալն իջեցնում 50 մլ-ից </w:t>
      </w:r>
      <w:r w:rsidRPr="00825EEB">
        <w:rPr>
          <w:rFonts w:ascii="Sylfaen" w:hAnsi="Sylfaen"/>
          <w:sz w:val="24"/>
          <w:szCs w:val="24"/>
        </w:rPr>
        <w:lastRenderedPageBreak/>
        <w:t>մինչ</w:t>
      </w:r>
      <w:r>
        <w:rPr>
          <w:rFonts w:ascii="Sylfaen" w:hAnsi="Sylfaen"/>
          <w:sz w:val="24"/>
          <w:szCs w:val="24"/>
        </w:rPr>
        <w:t>եւ</w:t>
      </w:r>
      <w:r w:rsidRPr="00825EEB">
        <w:rPr>
          <w:rFonts w:ascii="Sylfaen" w:hAnsi="Sylfaen"/>
          <w:sz w:val="24"/>
          <w:szCs w:val="24"/>
        </w:rPr>
        <w:t xml:space="preserve"> 25 մլ: Ստացված վինիլքլորիդի 25 մլ-ը դանդաղ ներմուծում են սրվակի մեջ՝ զգուշորեն թափահարելով </w:t>
      </w:r>
      <w:r>
        <w:rPr>
          <w:rFonts w:ascii="Sylfaen" w:hAnsi="Sylfaen"/>
          <w:sz w:val="24"/>
          <w:szCs w:val="24"/>
        </w:rPr>
        <w:t>եւ</w:t>
      </w:r>
      <w:r w:rsidRPr="00825EEB">
        <w:rPr>
          <w:rFonts w:ascii="Sylfaen" w:hAnsi="Sylfaen"/>
          <w:sz w:val="24"/>
          <w:szCs w:val="24"/>
        </w:rPr>
        <w:t xml:space="preserve"> խուսափելով հեղուկի </w:t>
      </w:r>
      <w:r>
        <w:rPr>
          <w:rFonts w:ascii="Sylfaen" w:hAnsi="Sylfaen"/>
          <w:sz w:val="24"/>
          <w:szCs w:val="24"/>
        </w:rPr>
        <w:t>եւ</w:t>
      </w:r>
      <w:r w:rsidRPr="00825EEB">
        <w:rPr>
          <w:rFonts w:ascii="Sylfaen" w:hAnsi="Sylfaen"/>
          <w:sz w:val="24"/>
          <w:szCs w:val="24"/>
        </w:rPr>
        <w:t xml:space="preserve"> ասեղի միջեւ շփումից: Սրվակը կրկին կշռում են: Զանգվածի ավելացումը պետք է լինի մոտ 60 մգ (ստացված լուծույթի 1 մկլ-ն պարունակում է մոտ 1,2 մկգ վինիլքլորիդ): Թողնում</w:t>
      </w:r>
      <w:r w:rsidR="00AA234B" w:rsidRPr="00AA234B">
        <w:rPr>
          <w:rFonts w:ascii="Sylfaen" w:hAnsi="Sylfaen"/>
          <w:sz w:val="24"/>
          <w:szCs w:val="24"/>
        </w:rPr>
        <w:t> </w:t>
      </w:r>
      <w:r w:rsidRPr="00825EEB">
        <w:rPr>
          <w:rFonts w:ascii="Sylfaen" w:hAnsi="Sylfaen"/>
          <w:sz w:val="24"/>
          <w:szCs w:val="24"/>
        </w:rPr>
        <w:t>են 2 ժամ: Հիմնական լուծույթը պահում են սառնարանում:</w:t>
      </w:r>
    </w:p>
    <w:p w14:paraId="01540DB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Վինիլքլորիդի ստանդարտ լուծույթը։</w:t>
      </w:r>
      <w:r w:rsidRPr="00825EEB">
        <w:rPr>
          <w:rFonts w:ascii="Sylfaen" w:hAnsi="Sylfaen"/>
          <w:sz w:val="24"/>
          <w:szCs w:val="24"/>
        </w:rPr>
        <w:t xml:space="preserve"> Վինիլքլորիդի հիմնական լուծույթը </w:t>
      </w:r>
      <w:r w:rsidRPr="00825EEB">
        <w:rPr>
          <w:rFonts w:ascii="Sylfaen" w:hAnsi="Sylfaen"/>
          <w:i/>
          <w:sz w:val="24"/>
          <w:szCs w:val="24"/>
        </w:rPr>
        <w:t>Ռ դիմեթիլացետամիդն է</w:t>
      </w:r>
      <w:r w:rsidRPr="00825EEB">
        <w:rPr>
          <w:rFonts w:ascii="Sylfaen" w:hAnsi="Sylfaen"/>
          <w:sz w:val="24"/>
          <w:szCs w:val="24"/>
        </w:rPr>
        <w:t xml:space="preserve"> (1:3 </w:t>
      </w:r>
      <w:r w:rsidRPr="00825EEB">
        <w:rPr>
          <w:rFonts w:ascii="Sylfaen" w:hAnsi="Sylfaen"/>
          <w:i/>
          <w:sz w:val="24"/>
          <w:szCs w:val="24"/>
        </w:rPr>
        <w:t>ծավ/ծավ</w:t>
      </w:r>
      <w:r w:rsidRPr="00825EEB">
        <w:rPr>
          <w:rFonts w:ascii="Sylfaen" w:hAnsi="Sylfaen"/>
          <w:sz w:val="24"/>
          <w:szCs w:val="24"/>
        </w:rPr>
        <w:t>):</w:t>
      </w:r>
    </w:p>
    <w:p w14:paraId="109ED9C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Ներքին ստանդարտի լուծույթի 10-ական մլ տեղադրում են 50 մլ տարողությամբ վեց սրվակների մեջ: Սրվակները հերմետիկորեն փակում են խցաններով: Հինգ սրվակների մեջ միկրոներարկիչի օգնությամբ ներմուծում են վինիլքլորիդի ստանդարտ լուծույթի համապատասխանաբար 1 մկլ, 2 մկլ, 3 մկլ, 5 մկլ </w:t>
      </w:r>
      <w:r>
        <w:rPr>
          <w:rFonts w:ascii="Sylfaen" w:hAnsi="Sylfaen"/>
          <w:sz w:val="24"/>
          <w:szCs w:val="24"/>
        </w:rPr>
        <w:t>եւ</w:t>
      </w:r>
      <w:r w:rsidRPr="00825EEB">
        <w:rPr>
          <w:rFonts w:ascii="Sylfaen" w:hAnsi="Sylfaen"/>
          <w:sz w:val="24"/>
          <w:szCs w:val="24"/>
        </w:rPr>
        <w:t xml:space="preserve"> 10 մկլ: Այդ եղանակով ստացված վեց լուծույթները պարունակում են վինիլքլորիդի համապատասխանաբար 0 մկգ, 0,3 մկգ, 0,6 մկգ, 0,9 մկգ, 1,5 մկգ </w:t>
      </w:r>
      <w:r>
        <w:rPr>
          <w:rFonts w:ascii="Sylfaen" w:hAnsi="Sylfaen"/>
          <w:sz w:val="24"/>
          <w:szCs w:val="24"/>
        </w:rPr>
        <w:t>եւ</w:t>
      </w:r>
      <w:r w:rsidRPr="00825EEB">
        <w:rPr>
          <w:rFonts w:ascii="Sylfaen" w:hAnsi="Sylfaen"/>
          <w:sz w:val="24"/>
          <w:szCs w:val="24"/>
        </w:rPr>
        <w:t xml:space="preserve"> 3 մկգ: Սրվակները թափահարում են՝ 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մեջ 60 ±</w:t>
      </w:r>
      <w:smartTag w:uri="urn:schemas-microsoft-com:office:smarttags" w:element="metricconverter">
        <w:smartTagPr>
          <w:attr w:name="ProductID" w:val="1 °C"/>
        </w:smartTagPr>
        <w:r w:rsidRPr="00825EEB">
          <w:rPr>
            <w:rFonts w:ascii="Sylfaen" w:hAnsi="Sylfaen"/>
            <w:sz w:val="24"/>
            <w:szCs w:val="24"/>
          </w:rPr>
          <w:t>1 °C</w:t>
        </w:r>
      </w:smartTag>
      <w:r w:rsidRPr="00825EEB">
        <w:rPr>
          <w:rFonts w:ascii="Sylfaen" w:hAnsi="Sylfaen"/>
          <w:sz w:val="24"/>
          <w:szCs w:val="24"/>
        </w:rPr>
        <w:t xml:space="preserve"> ջերմաստիճանի տակ </w:t>
      </w:r>
      <w:r>
        <w:rPr>
          <w:rFonts w:ascii="Sylfaen" w:hAnsi="Sylfaen"/>
          <w:sz w:val="24"/>
          <w:szCs w:val="24"/>
        </w:rPr>
        <w:t>եւ</w:t>
      </w:r>
      <w:r w:rsidRPr="00825EEB">
        <w:rPr>
          <w:rFonts w:ascii="Sylfaen" w:hAnsi="Sylfaen"/>
          <w:sz w:val="24"/>
          <w:szCs w:val="24"/>
        </w:rPr>
        <w:t xml:space="preserve"> պահում 2</w:t>
      </w:r>
      <w:r w:rsidR="00AA234B" w:rsidRPr="00AA234B">
        <w:rPr>
          <w:rFonts w:ascii="Sylfaen" w:hAnsi="Sylfaen"/>
          <w:sz w:val="24"/>
          <w:szCs w:val="24"/>
        </w:rPr>
        <w:t> </w:t>
      </w:r>
      <w:r w:rsidRPr="00825EEB">
        <w:rPr>
          <w:rFonts w:ascii="Sylfaen" w:hAnsi="Sylfaen"/>
          <w:sz w:val="24"/>
          <w:szCs w:val="24"/>
        </w:rPr>
        <w:t>ժամ:</w:t>
      </w:r>
    </w:p>
    <w:p w14:paraId="39159F4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0D8B5E8A"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 xml:space="preserve">- </w:t>
      </w:r>
      <w:r w:rsidR="00AA234B" w:rsidRPr="00AA234B">
        <w:rPr>
          <w:rFonts w:ascii="Sylfaen" w:hAnsi="Sylfaen"/>
          <w:sz w:val="24"/>
          <w:szCs w:val="24"/>
        </w:rPr>
        <w:tab/>
      </w:r>
      <w:r w:rsidRPr="00825EEB">
        <w:rPr>
          <w:rFonts w:ascii="Sylfaen" w:hAnsi="Sylfaen"/>
          <w:i/>
          <w:sz w:val="24"/>
          <w:szCs w:val="24"/>
        </w:rPr>
        <w:t>չժանգոտող պողպատից</w:t>
      </w:r>
      <w:r w:rsidRPr="00825EEB">
        <w:rPr>
          <w:rFonts w:ascii="Sylfaen" w:hAnsi="Sylfaen"/>
          <w:sz w:val="24"/>
          <w:szCs w:val="24"/>
        </w:rPr>
        <w:t xml:space="preserve">, 3 մ երկարությամբ </w:t>
      </w:r>
      <w:r>
        <w:rPr>
          <w:rFonts w:ascii="Sylfaen" w:hAnsi="Sylfaen"/>
          <w:sz w:val="24"/>
          <w:szCs w:val="24"/>
        </w:rPr>
        <w:t>եւ</w:t>
      </w:r>
      <w:r w:rsidRPr="00825EEB">
        <w:rPr>
          <w:rFonts w:ascii="Sylfaen" w:hAnsi="Sylfaen"/>
          <w:sz w:val="24"/>
          <w:szCs w:val="24"/>
        </w:rPr>
        <w:t xml:space="preserve"> 3 մմ ներքին տրամագծով </w:t>
      </w:r>
      <w:r w:rsidRPr="00825EEB">
        <w:rPr>
          <w:rFonts w:ascii="Sylfaen" w:hAnsi="Sylfaen"/>
          <w:i/>
          <w:sz w:val="24"/>
          <w:szCs w:val="24"/>
        </w:rPr>
        <w:t>աշտարակ</w:t>
      </w:r>
      <w:r w:rsidRPr="00825EEB">
        <w:rPr>
          <w:rFonts w:ascii="Sylfaen" w:hAnsi="Sylfaen"/>
          <w:sz w:val="24"/>
          <w:szCs w:val="24"/>
        </w:rPr>
        <w:t xml:space="preserve">, որը լցված է </w:t>
      </w:r>
      <w:r w:rsidRPr="00825EEB">
        <w:rPr>
          <w:rFonts w:ascii="Sylfaen" w:hAnsi="Sylfaen"/>
          <w:i/>
          <w:sz w:val="24"/>
          <w:szCs w:val="24"/>
        </w:rPr>
        <w:t>Ռ գազային քրոմատագրման համար սիլանիզացված դիատոմիտով</w:t>
      </w:r>
      <w:r w:rsidRPr="00825EEB">
        <w:rPr>
          <w:rFonts w:ascii="Sylfaen" w:hAnsi="Sylfaen"/>
          <w:sz w:val="24"/>
          <w:szCs w:val="24"/>
        </w:rPr>
        <w:t xml:space="preserve">, իմպրեգնացված 5 % </w:t>
      </w:r>
      <w:r w:rsidRPr="00825EEB">
        <w:rPr>
          <w:rFonts w:ascii="Sylfaen" w:hAnsi="Sylfaen"/>
          <w:i/>
          <w:sz w:val="24"/>
          <w:szCs w:val="24"/>
        </w:rPr>
        <w:t>(զ/զ) Ռ դիմեթիլստեարիլամիդով</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5 % </w:t>
      </w:r>
      <w:r w:rsidRPr="00825EEB">
        <w:rPr>
          <w:rFonts w:ascii="Sylfaen" w:hAnsi="Sylfaen"/>
          <w:i/>
          <w:sz w:val="24"/>
          <w:szCs w:val="24"/>
        </w:rPr>
        <w:t>(զ/զ) Ռ 400 մակրոգոլով</w:t>
      </w:r>
      <w:r w:rsidRPr="00825EEB">
        <w:rPr>
          <w:rFonts w:ascii="Sylfaen" w:hAnsi="Sylfaen"/>
          <w:sz w:val="24"/>
          <w:szCs w:val="24"/>
        </w:rPr>
        <w:t>.</w:t>
      </w:r>
    </w:p>
    <w:p w14:paraId="36B68EBA"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A234B">
        <w:rPr>
          <w:rFonts w:ascii="Sylfaen" w:hAnsi="Sylfaen"/>
          <w:i/>
          <w:sz w:val="24"/>
          <w:szCs w:val="24"/>
        </w:rPr>
        <w:tab/>
      </w:r>
      <w:r w:rsidR="0058052E" w:rsidRPr="00825EEB">
        <w:rPr>
          <w:rFonts w:ascii="Sylfaen" w:hAnsi="Sylfaen"/>
          <w:i/>
          <w:sz w:val="24"/>
          <w:szCs w:val="24"/>
        </w:rPr>
        <w:t>կրող գազը՝ Ռ քրոմատագրման համար ազոտ.</w:t>
      </w:r>
    </w:p>
    <w:p w14:paraId="148E5110"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կրող գազի արագությունը</w:t>
      </w:r>
      <w:r w:rsidRPr="00825EEB">
        <w:rPr>
          <w:rFonts w:ascii="Sylfaen" w:hAnsi="Sylfaen"/>
          <w:sz w:val="24"/>
          <w:szCs w:val="24"/>
        </w:rPr>
        <w:t>՝ 30 մլ/րոպե.</w:t>
      </w:r>
    </w:p>
    <w:p w14:paraId="32C87DF9"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ջերմաստիճանը՝</w:t>
      </w:r>
    </w:p>
    <w:p w14:paraId="509584E9"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A234B">
        <w:rPr>
          <w:rFonts w:ascii="Sylfaen" w:hAnsi="Sylfaen"/>
          <w:i/>
          <w:sz w:val="24"/>
          <w:szCs w:val="24"/>
        </w:rPr>
        <w:tab/>
      </w:r>
      <w:r w:rsidR="0058052E" w:rsidRPr="00825EEB">
        <w:rPr>
          <w:rFonts w:ascii="Sylfaen" w:hAnsi="Sylfaen"/>
          <w:i/>
          <w:sz w:val="24"/>
          <w:szCs w:val="24"/>
        </w:rPr>
        <w:t>աշտարակը՝</w:t>
      </w:r>
      <w:r w:rsidR="0058052E" w:rsidRPr="00825EEB">
        <w:rPr>
          <w:rFonts w:ascii="Sylfaen" w:hAnsi="Sylfaen"/>
          <w:sz w:val="24"/>
          <w:szCs w:val="24"/>
        </w:rPr>
        <w:t xml:space="preserve"> </w:t>
      </w:r>
      <w:smartTag w:uri="urn:schemas-microsoft-com:office:smarttags" w:element="metricconverter">
        <w:smartTagPr>
          <w:attr w:name="ProductID" w:val="45 °C"/>
        </w:smartTagPr>
        <w:r w:rsidR="0058052E" w:rsidRPr="00825EEB">
          <w:rPr>
            <w:rFonts w:ascii="Sylfaen" w:hAnsi="Sylfaen"/>
            <w:sz w:val="24"/>
            <w:szCs w:val="24"/>
          </w:rPr>
          <w:t>45 °C</w:t>
        </w:r>
      </w:smartTag>
      <w:r w:rsidR="0058052E" w:rsidRPr="00825EEB">
        <w:rPr>
          <w:rFonts w:ascii="Sylfaen" w:hAnsi="Sylfaen"/>
          <w:sz w:val="24"/>
          <w:szCs w:val="24"/>
        </w:rPr>
        <w:t>.</w:t>
      </w:r>
    </w:p>
    <w:p w14:paraId="1318B51D"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lastRenderedPageBreak/>
        <w:t>-</w:t>
      </w:r>
      <w:r w:rsidR="00AA234B" w:rsidRPr="00AA234B">
        <w:rPr>
          <w:rFonts w:ascii="Sylfaen" w:hAnsi="Sylfaen"/>
          <w:sz w:val="24"/>
          <w:szCs w:val="24"/>
        </w:rPr>
        <w:tab/>
      </w:r>
      <w:r w:rsidRPr="00825EEB">
        <w:rPr>
          <w:rFonts w:ascii="Sylfaen" w:hAnsi="Sylfaen"/>
          <w:i/>
          <w:sz w:val="24"/>
          <w:szCs w:val="24"/>
        </w:rPr>
        <w:t>փորձանմուշների ներմուծման բլոկը</w:t>
      </w:r>
      <w:r w:rsidRPr="00825EEB">
        <w:rPr>
          <w:rFonts w:ascii="Sylfaen" w:hAnsi="Sylfaen"/>
          <w:sz w:val="24"/>
          <w:szCs w:val="24"/>
        </w:rPr>
        <w:t>՝ 100 °С.</w:t>
      </w:r>
    </w:p>
    <w:p w14:paraId="35E8E48A"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xml:space="preserve">՝ </w:t>
      </w:r>
      <w:smartTag w:uri="urn:schemas-microsoft-com:office:smarttags" w:element="metricconverter">
        <w:smartTagPr>
          <w:attr w:name="ProductID" w:val="150 °C"/>
        </w:smartTagPr>
        <w:r w:rsidRPr="00825EEB">
          <w:rPr>
            <w:rFonts w:ascii="Sylfaen" w:hAnsi="Sylfaen"/>
            <w:sz w:val="24"/>
            <w:szCs w:val="24"/>
          </w:rPr>
          <w:t>150 °C</w:t>
        </w:r>
      </w:smartTag>
      <w:r w:rsidRPr="00825EEB">
        <w:rPr>
          <w:rFonts w:ascii="Sylfaen" w:hAnsi="Sylfaen"/>
          <w:sz w:val="24"/>
          <w:szCs w:val="24"/>
        </w:rPr>
        <w:t>.</w:t>
      </w:r>
    </w:p>
    <w:p w14:paraId="42945527"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դետեկտորը</w:t>
      </w:r>
      <w:r w:rsidRPr="00825EEB">
        <w:rPr>
          <w:rFonts w:ascii="Sylfaen" w:hAnsi="Sylfaen"/>
          <w:sz w:val="24"/>
          <w:szCs w:val="24"/>
        </w:rPr>
        <w:t>՝ բոցաիոնացման.</w:t>
      </w:r>
    </w:p>
    <w:p w14:paraId="4F939CE6"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յուրաքանչյուր սրվակի գազային ֆազի 1 մլ:</w:t>
      </w:r>
    </w:p>
    <w:p w14:paraId="6CF6F45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Հաշվարկում են վինիլքլորիդի պարունակությունը:</w:t>
      </w:r>
    </w:p>
    <w:p w14:paraId="59080D03"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24E8057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Հավելանյութերը</w:t>
      </w:r>
    </w:p>
    <w:p w14:paraId="74270DE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Պոլիմերները կարող են պարունակել հավելանյութեր՝ դրանց մշակումը կամ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կախված նշանակությունից: Այդ հավելանյութերն ընտրվում են ստոր</w:t>
      </w:r>
      <w:r>
        <w:rPr>
          <w:rFonts w:ascii="Sylfaen" w:hAnsi="Sylfaen"/>
          <w:sz w:val="24"/>
          <w:szCs w:val="24"/>
        </w:rPr>
        <w:t>եւ</w:t>
      </w:r>
      <w:r w:rsidRPr="00825EEB">
        <w:rPr>
          <w:rFonts w:ascii="Sylfaen" w:hAnsi="Sylfaen"/>
          <w:sz w:val="24"/>
          <w:szCs w:val="24"/>
        </w:rPr>
        <w:t xml:space="preserve"> ներկայացված ցանկից, որում յուրաքանչյուր նյութի համար նշված է առավելագույն թույլատրելի պարունակությունը՝</w:t>
      </w:r>
    </w:p>
    <w:p w14:paraId="194D6F66"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էպօքսիդացված սոյայի յուղ՝ էպօքսիդային խմբում թթվածնի 6%-ից մինչեւ 8 % պարունակությամբ </w:t>
      </w:r>
      <w:r w:rsidR="0058052E">
        <w:rPr>
          <w:rFonts w:ascii="Sylfaen" w:hAnsi="Sylfaen"/>
          <w:sz w:val="24"/>
          <w:szCs w:val="24"/>
        </w:rPr>
        <w:t>եւ</w:t>
      </w:r>
      <w:r w:rsidR="0058052E" w:rsidRPr="00825EEB">
        <w:rPr>
          <w:rFonts w:ascii="Sylfaen" w:hAnsi="Sylfaen"/>
          <w:sz w:val="24"/>
          <w:szCs w:val="24"/>
        </w:rPr>
        <w:t xml:space="preserve"> 6-ից ոչ բարձր յոդային թվով՝ անագով կայունացված նյութերի համար՝ 2%-ից ոչ ավելի.</w:t>
      </w:r>
    </w:p>
    <w:p w14:paraId="4AB7681B"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 xml:space="preserve">էպօքսիդացված սոյայի յուղ՝ էպօքսիդային խմբում թթվածնի 6%-ից մինչեւ 8 % պարունակությամբ </w:t>
      </w:r>
      <w:r w:rsidR="0058052E">
        <w:rPr>
          <w:rFonts w:ascii="Sylfaen" w:hAnsi="Sylfaen"/>
          <w:sz w:val="24"/>
          <w:szCs w:val="24"/>
        </w:rPr>
        <w:t>եւ</w:t>
      </w:r>
      <w:r w:rsidR="0058052E" w:rsidRPr="00825EEB">
        <w:rPr>
          <w:rFonts w:ascii="Sylfaen" w:hAnsi="Sylfaen"/>
          <w:sz w:val="24"/>
          <w:szCs w:val="24"/>
        </w:rPr>
        <w:t xml:space="preserve"> 6-ից ոչ բարձր յոդային թվով՝ անագով չկայունացված նյութերի համար՝ 3 %-ից ոչ ավելի.</w:t>
      </w:r>
    </w:p>
    <w:p w14:paraId="7921BBA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ալիֆատիկ ճարպաթթուների կալցիումի, մագնեզիումի կամ ցինկի աղեր, որոնք պարունակում են ածխածնի ավելի քան յոթ ատոմներ կամ այդ նյութերի խառնուրդներ՝ 1,5 %-ից ոչ ավելի.</w:t>
      </w:r>
    </w:p>
    <w:p w14:paraId="1E2912CC" w14:textId="77777777" w:rsidR="0058052E" w:rsidRPr="00825EEB" w:rsidRDefault="00AA234B" w:rsidP="00AA234B">
      <w:pPr>
        <w:tabs>
          <w:tab w:val="left" w:pos="1134"/>
        </w:tabs>
        <w:spacing w:after="160" w:line="360" w:lineRule="auto"/>
        <w:ind w:firstLine="567"/>
        <w:jc w:val="both"/>
      </w:pPr>
      <w:r>
        <w:t>-</w:t>
      </w:r>
      <w:r w:rsidRPr="00AA234B">
        <w:tab/>
      </w:r>
      <w:r w:rsidR="0058052E" w:rsidRPr="00825EEB">
        <w:t>մոմ՝ 4 %-ից ոչ ավելի.</w:t>
      </w:r>
    </w:p>
    <w:p w14:paraId="28C2CBD7" w14:textId="77777777" w:rsidR="0058052E" w:rsidRPr="00903268" w:rsidRDefault="00AA234B" w:rsidP="00AA234B">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հեղուկ պարաֆին (վազելինային յուղ)՝ 1,5 %-ից ոչ ավելի.</w:t>
      </w:r>
    </w:p>
    <w:p w14:paraId="5412C5A1" w14:textId="77777777" w:rsidR="001827DA" w:rsidRPr="00903268" w:rsidRDefault="001827DA" w:rsidP="00AA234B">
      <w:pPr>
        <w:pStyle w:val="a0"/>
        <w:shd w:val="clear" w:color="auto" w:fill="auto"/>
        <w:tabs>
          <w:tab w:val="left" w:pos="1134"/>
        </w:tabs>
        <w:spacing w:after="160" w:line="360" w:lineRule="auto"/>
        <w:ind w:firstLine="567"/>
        <w:jc w:val="both"/>
        <w:rPr>
          <w:rFonts w:ascii="Sylfaen" w:hAnsi="Sylfaen" w:cs="Sylfaen"/>
          <w:sz w:val="24"/>
          <w:szCs w:val="24"/>
        </w:rPr>
      </w:pPr>
    </w:p>
    <w:p w14:paraId="6F34991D" w14:textId="77777777" w:rsidR="0058052E" w:rsidRPr="00AA234B" w:rsidRDefault="00AA234B" w:rsidP="00AA234B">
      <w:pPr>
        <w:pStyle w:val="a0"/>
        <w:shd w:val="clear" w:color="auto" w:fill="auto"/>
        <w:tabs>
          <w:tab w:val="left" w:pos="1134"/>
        </w:tabs>
        <w:spacing w:after="160" w:line="360" w:lineRule="auto"/>
        <w:ind w:firstLine="567"/>
        <w:jc w:val="both"/>
        <w:rPr>
          <w:rFonts w:ascii="Sylfaen" w:hAnsi="Sylfaen" w:cs="Sylfaen"/>
          <w:spacing w:val="4"/>
          <w:sz w:val="24"/>
          <w:szCs w:val="24"/>
        </w:rPr>
      </w:pPr>
      <w:r w:rsidRPr="00AA234B">
        <w:rPr>
          <w:rFonts w:ascii="Sylfaen" w:hAnsi="Sylfaen"/>
          <w:spacing w:val="4"/>
          <w:sz w:val="24"/>
          <w:szCs w:val="24"/>
        </w:rPr>
        <w:lastRenderedPageBreak/>
        <w:t>-</w:t>
      </w:r>
      <w:r w:rsidRPr="00AA234B">
        <w:rPr>
          <w:rFonts w:ascii="Sylfaen" w:hAnsi="Sylfaen"/>
          <w:spacing w:val="4"/>
          <w:sz w:val="24"/>
          <w:szCs w:val="24"/>
        </w:rPr>
        <w:tab/>
      </w:r>
      <w:r w:rsidR="0058052E" w:rsidRPr="00AA234B">
        <w:rPr>
          <w:rFonts w:ascii="Sylfaen" w:hAnsi="Sylfaen"/>
          <w:spacing w:val="4"/>
          <w:sz w:val="24"/>
          <w:szCs w:val="24"/>
        </w:rPr>
        <w:t>ալիֆատիկ ճարպաթթուների հիդրոգենացված յուղեր կամ եթերներ՝ 2%-ից ոչ ավելի.</w:t>
      </w:r>
    </w:p>
    <w:p w14:paraId="4FE2CF64"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վերեւում նշված երեք քսայուղային հավելանյութերի հանրագումարային պարունակությունը՝ 4 %-ից ոչ ավելի.</w:t>
      </w:r>
    </w:p>
    <w:p w14:paraId="4B3B11DC"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մակրոգոլի եթերներ՝ 1,5 %-ից ոչ ավելի.</w:t>
      </w:r>
    </w:p>
    <w:p w14:paraId="3428F94B" w14:textId="77777777" w:rsidR="0058052E" w:rsidRPr="00D35F34" w:rsidRDefault="00AA234B" w:rsidP="00AA234B">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սորբիտ՝ 1,5 %-ից ոչ ավելի.</w:t>
      </w:r>
    </w:p>
    <w:p w14:paraId="22F079F4"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2,4-դինոնիլֆենիլֆոսֆիտ կամ դի(4-նոնիլ-ֆենիլ)ֆոսֆիտ կամ տրիս(նոնիլֆենիլ) ֆոսֆիտ՝ 1 %-ից ոչ ավելի.</w:t>
      </w:r>
    </w:p>
    <w:p w14:paraId="7E8358F5"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կալցիումի կարբոնատ՝ 1 %-ից ոչ ավելի.</w:t>
      </w:r>
    </w:p>
    <w:p w14:paraId="0FF8AE9C"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սիլիցիումի դիօքսիդ, 1 %-ից ոչ ավելի:</w:t>
      </w:r>
    </w:p>
    <w:p w14:paraId="524F5709" w14:textId="77777777" w:rsidR="0058052E" w:rsidRPr="00825EEB" w:rsidRDefault="0058052E" w:rsidP="001827DA">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Ոչ պլաստիկացված պոլիվինիլքլորիդի հիմքով նյութերը կարող են պարունակել հետ</w:t>
      </w:r>
      <w:r>
        <w:rPr>
          <w:rFonts w:ascii="Sylfaen" w:hAnsi="Sylfaen"/>
          <w:sz w:val="24"/>
          <w:szCs w:val="24"/>
        </w:rPr>
        <w:t>եւ</w:t>
      </w:r>
      <w:r w:rsidRPr="00825EEB">
        <w:rPr>
          <w:rFonts w:ascii="Sylfaen" w:hAnsi="Sylfaen"/>
          <w:sz w:val="24"/>
          <w:szCs w:val="24"/>
        </w:rPr>
        <w:t>յալ խմբերից մեկում ներառված կայունացուցիչները (որտեղ իզոօկտիլը, օրինակ՝ 2-էթիլհեքսիլն է).</w:t>
      </w:r>
    </w:p>
    <w:p w14:paraId="48CACF3B"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անագ՝ դի(իզոօկտիլ) 2,2</w:t>
      </w:r>
      <w:r w:rsidR="0058052E" w:rsidRPr="00825EEB">
        <w:rPr>
          <w:rFonts w:ascii="Sylfaen" w:hAnsi="Sylfaen"/>
          <w:i/>
          <w:sz w:val="24"/>
          <w:szCs w:val="24"/>
        </w:rPr>
        <w:t>'</w:t>
      </w:r>
      <w:r w:rsidR="0058052E" w:rsidRPr="00825EEB">
        <w:rPr>
          <w:rFonts w:ascii="Sylfaen" w:hAnsi="Sylfaen"/>
          <w:sz w:val="24"/>
          <w:szCs w:val="24"/>
        </w:rPr>
        <w:t>-[(դիօկտիլ-ստաննիլեն)բիս(թիո)]դիացետատի ձ</w:t>
      </w:r>
      <w:r w:rsidR="0058052E">
        <w:rPr>
          <w:rFonts w:ascii="Sylfaen" w:hAnsi="Sylfaen"/>
          <w:sz w:val="24"/>
          <w:szCs w:val="24"/>
        </w:rPr>
        <w:t>եւ</w:t>
      </w:r>
      <w:r w:rsidR="0058052E" w:rsidRPr="00825EEB">
        <w:rPr>
          <w:rFonts w:ascii="Sylfaen" w:hAnsi="Sylfaen"/>
          <w:sz w:val="24"/>
          <w:szCs w:val="24"/>
        </w:rPr>
        <w:t>ով, որը պարունակում է մոտ 27 % տրի(իզոօկտիլ)2,2</w:t>
      </w:r>
      <w:r w:rsidR="0058052E" w:rsidRPr="00825EEB">
        <w:rPr>
          <w:rFonts w:ascii="Sylfaen" w:hAnsi="Sylfaen"/>
          <w:i/>
          <w:sz w:val="24"/>
          <w:szCs w:val="24"/>
        </w:rPr>
        <w:t>'</w:t>
      </w:r>
      <w:r w:rsidR="0058052E" w:rsidRPr="00825EEB">
        <w:rPr>
          <w:rFonts w:ascii="Sylfaen" w:hAnsi="Sylfaen"/>
          <w:sz w:val="24"/>
          <w:szCs w:val="24"/>
        </w:rPr>
        <w:t>,2</w:t>
      </w:r>
      <w:r w:rsidR="0058052E" w:rsidRPr="00825EEB">
        <w:rPr>
          <w:rFonts w:ascii="Sylfaen" w:hAnsi="Sylfaen"/>
          <w:i/>
          <w:sz w:val="24"/>
          <w:szCs w:val="24"/>
        </w:rPr>
        <w:t>''</w:t>
      </w:r>
      <w:r w:rsidR="0058052E" w:rsidRPr="00825EEB">
        <w:rPr>
          <w:rFonts w:ascii="Sylfaen" w:hAnsi="Sylfaen"/>
          <w:sz w:val="24"/>
          <w:szCs w:val="24"/>
        </w:rPr>
        <w:t>-[մոնոօկտիլստաննիլիդին)տրիս(թիո)]տրիացետատ՝ 0,25 %-ից ոչ ավելի.</w:t>
      </w:r>
    </w:p>
    <w:p w14:paraId="277CF7E8" w14:textId="77777777" w:rsidR="0058052E" w:rsidRPr="00825EEB" w:rsidRDefault="0058052E" w:rsidP="001827DA">
      <w:pPr>
        <w:pStyle w:val="a0"/>
        <w:shd w:val="clear" w:color="auto" w:fill="auto"/>
        <w:tabs>
          <w:tab w:val="left" w:pos="1134"/>
        </w:tabs>
        <w:spacing w:after="160" w:line="346" w:lineRule="auto"/>
        <w:ind w:firstLine="567"/>
        <w:jc w:val="both"/>
        <w:rPr>
          <w:rFonts w:ascii="Sylfaen" w:hAnsi="Sylfaen" w:cs="Sylfaen"/>
          <w:sz w:val="24"/>
          <w:szCs w:val="24"/>
        </w:rPr>
      </w:pPr>
      <w:r w:rsidRPr="00825EEB">
        <w:rPr>
          <w:rFonts w:ascii="Sylfaen" w:hAnsi="Sylfaen"/>
          <w:sz w:val="24"/>
          <w:szCs w:val="24"/>
        </w:rPr>
        <w:t>-</w:t>
      </w:r>
      <w:r w:rsidR="00AA234B" w:rsidRPr="00AA234B">
        <w:rPr>
          <w:rFonts w:ascii="Sylfaen" w:hAnsi="Sylfaen"/>
          <w:sz w:val="24"/>
          <w:szCs w:val="24"/>
        </w:rPr>
        <w:tab/>
      </w:r>
      <w:r w:rsidRPr="00825EEB">
        <w:rPr>
          <w:rFonts w:ascii="Sylfaen" w:hAnsi="Sylfaen"/>
          <w:sz w:val="24"/>
          <w:szCs w:val="24"/>
        </w:rPr>
        <w:t>անագ՝ տրի</w:t>
      </w:r>
      <w:r w:rsidR="00AA234B" w:rsidRPr="00AA234B">
        <w:rPr>
          <w:rFonts w:ascii="Sylfaen" w:hAnsi="Sylfaen"/>
          <w:sz w:val="24"/>
          <w:szCs w:val="24"/>
        </w:rPr>
        <w:t xml:space="preserve"> </w:t>
      </w:r>
      <w:r w:rsidRPr="00825EEB">
        <w:rPr>
          <w:rFonts w:ascii="Sylfaen" w:hAnsi="Sylfaen"/>
          <w:sz w:val="24"/>
          <w:szCs w:val="24"/>
        </w:rPr>
        <w:t>(իզոօկտիլ)</w:t>
      </w:r>
      <w:r w:rsidR="00AA234B" w:rsidRPr="00AA234B">
        <w:rPr>
          <w:rFonts w:ascii="Sylfaen" w:hAnsi="Sylfaen"/>
          <w:sz w:val="24"/>
          <w:szCs w:val="24"/>
        </w:rPr>
        <w:t xml:space="preserve"> </w:t>
      </w:r>
      <w:r w:rsidRPr="00825EEB">
        <w:rPr>
          <w:rFonts w:ascii="Sylfaen" w:hAnsi="Sylfaen"/>
          <w:sz w:val="24"/>
          <w:szCs w:val="24"/>
        </w:rPr>
        <w:t>2,2</w:t>
      </w:r>
      <w:r w:rsidRPr="00825EEB">
        <w:rPr>
          <w:rFonts w:ascii="Sylfaen" w:hAnsi="Sylfaen"/>
          <w:i/>
          <w:sz w:val="24"/>
          <w:szCs w:val="24"/>
        </w:rPr>
        <w:t>'</w:t>
      </w:r>
      <w:r w:rsidRPr="00825EEB">
        <w:rPr>
          <w:rFonts w:ascii="Sylfaen" w:hAnsi="Sylfaen"/>
          <w:sz w:val="24"/>
          <w:szCs w:val="24"/>
        </w:rPr>
        <w:t>,2</w:t>
      </w:r>
      <w:r w:rsidRPr="00825EEB">
        <w:rPr>
          <w:rFonts w:ascii="Sylfaen" w:hAnsi="Sylfaen"/>
          <w:i/>
          <w:sz w:val="24"/>
          <w:szCs w:val="24"/>
        </w:rPr>
        <w:t>''</w:t>
      </w:r>
      <w:r w:rsidRPr="00825EEB">
        <w:rPr>
          <w:rFonts w:ascii="Sylfaen" w:hAnsi="Sylfaen"/>
          <w:sz w:val="24"/>
          <w:szCs w:val="24"/>
        </w:rPr>
        <w:t>-[մոնոօկտիլստաննիլիդին)տրիս(թիո)]տրիացետատի ձ</w:t>
      </w:r>
      <w:r>
        <w:rPr>
          <w:rFonts w:ascii="Sylfaen" w:hAnsi="Sylfaen"/>
          <w:sz w:val="24"/>
          <w:szCs w:val="24"/>
        </w:rPr>
        <w:t>եւ</w:t>
      </w:r>
      <w:r w:rsidRPr="00825EEB">
        <w:rPr>
          <w:rFonts w:ascii="Sylfaen" w:hAnsi="Sylfaen"/>
          <w:sz w:val="24"/>
          <w:szCs w:val="24"/>
        </w:rPr>
        <w:t>ով՝ 0,25%-ից ոչ ավելի.</w:t>
      </w:r>
    </w:p>
    <w:p w14:paraId="003F4139"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անագ՝ խառնուրդի ձ</w:t>
      </w:r>
      <w:r w:rsidR="0058052E">
        <w:rPr>
          <w:rFonts w:ascii="Sylfaen" w:hAnsi="Sylfaen"/>
          <w:sz w:val="24"/>
          <w:szCs w:val="24"/>
        </w:rPr>
        <w:t>եւ</w:t>
      </w:r>
      <w:r w:rsidR="0058052E" w:rsidRPr="00825EEB">
        <w:rPr>
          <w:rFonts w:ascii="Sylfaen" w:hAnsi="Sylfaen"/>
          <w:sz w:val="24"/>
          <w:szCs w:val="24"/>
        </w:rPr>
        <w:t>ով, որը պարունակում է ոչ ավելի քան 76 % դի(իզոօկտիլ) 2,2</w:t>
      </w:r>
      <w:r w:rsidR="0058052E" w:rsidRPr="00825EEB">
        <w:rPr>
          <w:rFonts w:ascii="Sylfaen" w:hAnsi="Sylfaen"/>
          <w:i/>
          <w:sz w:val="24"/>
          <w:szCs w:val="24"/>
        </w:rPr>
        <w:t>'</w:t>
      </w:r>
      <w:r w:rsidR="0058052E" w:rsidRPr="00825EEB">
        <w:rPr>
          <w:rFonts w:ascii="Sylfaen" w:hAnsi="Sylfaen"/>
          <w:sz w:val="24"/>
          <w:szCs w:val="24"/>
        </w:rPr>
        <w:t xml:space="preserve">-[(դիմեթիլ-ստաննիլեն)-բիս(թիո)]դիացետատ </w:t>
      </w:r>
      <w:r w:rsidR="0058052E">
        <w:rPr>
          <w:rFonts w:ascii="Sylfaen" w:hAnsi="Sylfaen"/>
          <w:sz w:val="24"/>
          <w:szCs w:val="24"/>
        </w:rPr>
        <w:t>եւ</w:t>
      </w:r>
      <w:r w:rsidR="0058052E" w:rsidRPr="00825EEB">
        <w:rPr>
          <w:rFonts w:ascii="Sylfaen" w:hAnsi="Sylfaen"/>
          <w:sz w:val="24"/>
          <w:szCs w:val="24"/>
        </w:rPr>
        <w:t xml:space="preserve"> ոչ ավելի, քան 85 % տրի(իզոօկտիլ)2,2</w:t>
      </w:r>
      <w:r w:rsidR="0058052E" w:rsidRPr="00825EEB">
        <w:rPr>
          <w:rFonts w:ascii="Sylfaen" w:hAnsi="Sylfaen"/>
          <w:i/>
          <w:sz w:val="24"/>
          <w:szCs w:val="24"/>
        </w:rPr>
        <w:t>'</w:t>
      </w:r>
      <w:r w:rsidR="0058052E" w:rsidRPr="00825EEB">
        <w:rPr>
          <w:rFonts w:ascii="Sylfaen" w:hAnsi="Sylfaen"/>
          <w:sz w:val="24"/>
          <w:szCs w:val="24"/>
        </w:rPr>
        <w:t>,2</w:t>
      </w:r>
      <w:r w:rsidR="0058052E" w:rsidRPr="00825EEB">
        <w:rPr>
          <w:rFonts w:ascii="Sylfaen" w:hAnsi="Sylfaen"/>
          <w:i/>
          <w:sz w:val="24"/>
          <w:szCs w:val="24"/>
        </w:rPr>
        <w:t>''</w:t>
      </w:r>
      <w:r w:rsidR="0058052E" w:rsidRPr="00825EEB">
        <w:rPr>
          <w:rFonts w:ascii="Sylfaen" w:hAnsi="Sylfaen"/>
          <w:sz w:val="24"/>
          <w:szCs w:val="24"/>
        </w:rPr>
        <w:t>-[(մոնոմեթիլստաննիլիդին)տրիս(թիո)] տրիացետատ՝ 0,25%-ից ոչ ավելի.</w:t>
      </w:r>
    </w:p>
    <w:p w14:paraId="15B5D531" w14:textId="77777777" w:rsidR="0058052E" w:rsidRPr="00825EEB" w:rsidRDefault="00AA234B" w:rsidP="001827DA">
      <w:pPr>
        <w:pStyle w:val="a0"/>
        <w:shd w:val="clear" w:color="auto" w:fill="auto"/>
        <w:tabs>
          <w:tab w:val="left" w:pos="1134"/>
        </w:tabs>
        <w:spacing w:after="160" w:line="346"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1-ֆենիլէյկոզան-1,3-դիոն (բենզոիլստեարոիլմեթան)՝ 1 %-ից ոչ ավելի:</w:t>
      </w:r>
    </w:p>
    <w:p w14:paraId="7BC07617"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Թույլատրվում է ներկանյութերի ավելացումը՝ դրանց անվտանգության հաստատման պայմանով: Տիտանի դիօքսիդն ավելացնելիս նյութը կարող է անթափանց լինել:</w:t>
      </w:r>
    </w:p>
    <w:p w14:paraId="217F4EE5"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sz w:val="24"/>
          <w:szCs w:val="24"/>
        </w:rPr>
        <w:lastRenderedPageBreak/>
        <w:t xml:space="preserve">Նյութի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 (</w:t>
      </w:r>
      <w:r w:rsidRPr="00825EEB">
        <w:rPr>
          <w:rFonts w:ascii="Sylfaen" w:hAnsi="Sylfaen"/>
          <w:i/>
          <w:sz w:val="24"/>
          <w:szCs w:val="24"/>
        </w:rPr>
        <w:t>2.4.2.3</w:t>
      </w:r>
      <w:r w:rsidRPr="00825EEB">
        <w:rPr>
          <w:rFonts w:ascii="Sylfaen" w:hAnsi="Sylfaen"/>
          <w:sz w:val="24"/>
          <w:szCs w:val="24"/>
        </w:rPr>
        <w:t>):</w:t>
      </w:r>
    </w:p>
    <w:p w14:paraId="2C025A85"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715764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40A6285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Փոշի, միատարր գնդիկներ, հատիկներ կամ տարբեր հաստության թիթեղներ կամ պատրաստի օբյեկտներից ընտրված նմուշներ:</w:t>
      </w:r>
    </w:p>
    <w:p w14:paraId="4166F89C" w14:textId="77777777" w:rsidR="0058052E" w:rsidRPr="00825EEB" w:rsidRDefault="0058052E" w:rsidP="0058052E">
      <w:pPr>
        <w:spacing w:after="160" w:line="360" w:lineRule="auto"/>
        <w:ind w:firstLine="567"/>
        <w:jc w:val="both"/>
      </w:pPr>
      <w:r w:rsidRPr="00825EEB">
        <w:rPr>
          <w:i/>
        </w:rPr>
        <w:t>Լուծելիությունը։</w:t>
      </w:r>
      <w:r w:rsidRPr="00825EEB">
        <w:t xml:space="preserve"> Գրեթե լուծելի չէ ջրում </w:t>
      </w:r>
      <w:r>
        <w:t>եւ</w:t>
      </w:r>
      <w:r w:rsidRPr="00825EEB">
        <w:t xml:space="preserve"> անջուր էթանոլում, լուծելի է տետրահիդրոֆուրանում, քիչ լուծելի է մեթիլենքլորիդում։</w:t>
      </w:r>
    </w:p>
    <w:p w14:paraId="265C527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Այրվելիս բոցը գունավորվում է նարնջագույն-դեղինով՝ կանաչ եզրագծով, խիտ ս</w:t>
      </w:r>
      <w:r>
        <w:rPr>
          <w:rFonts w:ascii="Sylfaen" w:hAnsi="Sylfaen"/>
          <w:sz w:val="24"/>
          <w:szCs w:val="24"/>
        </w:rPr>
        <w:t>եւ</w:t>
      </w:r>
      <w:r w:rsidRPr="00825EEB">
        <w:rPr>
          <w:rFonts w:ascii="Sylfaen" w:hAnsi="Sylfaen"/>
          <w:sz w:val="24"/>
          <w:szCs w:val="24"/>
        </w:rPr>
        <w:t xml:space="preserve"> ծխի արձակմամբ։</w:t>
      </w:r>
    </w:p>
    <w:p w14:paraId="3ED35D6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DB2A2D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591DDFF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Որոշումն անցկացնում են ինֆրակարմիր հատվածում աբսորբման սպեկտրալուսաչափության մեթոդով </w:t>
      </w:r>
      <w:r w:rsidRPr="00825EEB">
        <w:rPr>
          <w:rFonts w:ascii="Sylfaen" w:hAnsi="Sylfaen"/>
          <w:i/>
          <w:sz w:val="24"/>
          <w:szCs w:val="24"/>
        </w:rPr>
        <w:t>(2.1.2.23):</w:t>
      </w:r>
    </w:p>
    <w:p w14:paraId="6A25894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«Փորձարկումներ»</w:t>
      </w:r>
      <w:r w:rsidRPr="00825EEB">
        <w:rPr>
          <w:rFonts w:ascii="Sylfaen" w:hAnsi="Sylfaen"/>
          <w:sz w:val="24"/>
          <w:szCs w:val="24"/>
        </w:rPr>
        <w:t xml:space="preserve"> բաժնում Տ2 լուծույթը պատրաստելիս ստացված Ա մնացորդը լուծում են </w:t>
      </w:r>
      <w:r w:rsidRPr="00825EEB">
        <w:rPr>
          <w:rFonts w:ascii="Sylfaen" w:hAnsi="Sylfaen"/>
          <w:i/>
          <w:sz w:val="24"/>
          <w:szCs w:val="24"/>
        </w:rPr>
        <w:t>Ռ տետրահիդրոֆուրանի</w:t>
      </w:r>
      <w:r w:rsidRPr="00825EEB">
        <w:rPr>
          <w:rFonts w:ascii="Sylfaen" w:hAnsi="Sylfaen"/>
          <w:sz w:val="24"/>
          <w:szCs w:val="24"/>
        </w:rPr>
        <w:t xml:space="preserve"> 5 մլ-ի մեջ: Ստացված լուծույթի մի քանի կաթիլ տեղադրում են նատրիումի քլորիդի սկավառակի վրա </w:t>
      </w:r>
      <w:r>
        <w:rPr>
          <w:rFonts w:ascii="Sylfaen" w:hAnsi="Sylfaen"/>
          <w:sz w:val="24"/>
          <w:szCs w:val="24"/>
        </w:rPr>
        <w:t>եւ</w:t>
      </w:r>
      <w:r w:rsidRPr="00825EEB">
        <w:rPr>
          <w:rFonts w:ascii="Sylfaen" w:hAnsi="Sylfaen"/>
          <w:sz w:val="24"/>
          <w:szCs w:val="24"/>
        </w:rPr>
        <w:t xml:space="preserve"> լուծիչը լիաչոր շոգեհանում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ջերմաստիճանում:</w:t>
      </w:r>
    </w:p>
    <w:p w14:paraId="3D10496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ինֆրակարմիր սպեկտրի վրա պետք է հայտնաբերվեն կլանման մաքսիմումները՝ բոլոր ալիքային թվերի դեպքում՝ 2910 սմ</w:t>
      </w:r>
      <w:r w:rsidRPr="00825EEB">
        <w:rPr>
          <w:rFonts w:ascii="Sylfaen" w:hAnsi="Sylfaen"/>
          <w:sz w:val="24"/>
          <w:szCs w:val="24"/>
          <w:vertAlign w:val="superscript"/>
        </w:rPr>
        <w:t>-1</w:t>
      </w:r>
      <w:r w:rsidRPr="00825EEB">
        <w:rPr>
          <w:rFonts w:ascii="Sylfaen" w:hAnsi="Sylfaen"/>
          <w:sz w:val="24"/>
          <w:szCs w:val="24"/>
        </w:rPr>
        <w:t>, 1425 սմ</w:t>
      </w:r>
      <w:r w:rsidRPr="00825EEB">
        <w:rPr>
          <w:rFonts w:ascii="Sylfaen" w:hAnsi="Sylfaen"/>
          <w:sz w:val="24"/>
          <w:szCs w:val="24"/>
          <w:vertAlign w:val="superscript"/>
        </w:rPr>
        <w:t>-1</w:t>
      </w:r>
      <w:r w:rsidRPr="00825EEB">
        <w:rPr>
          <w:rFonts w:ascii="Sylfaen" w:hAnsi="Sylfaen"/>
          <w:sz w:val="24"/>
          <w:szCs w:val="24"/>
        </w:rPr>
        <w:t>, 1330 սմ</w:t>
      </w:r>
      <w:r w:rsidRPr="00825EEB">
        <w:rPr>
          <w:rFonts w:ascii="Sylfaen" w:hAnsi="Sylfaen"/>
          <w:sz w:val="24"/>
          <w:szCs w:val="24"/>
          <w:vertAlign w:val="superscript"/>
        </w:rPr>
        <w:t>-1</w:t>
      </w:r>
      <w:r w:rsidRPr="00825EEB">
        <w:rPr>
          <w:rFonts w:ascii="Sylfaen" w:hAnsi="Sylfaen"/>
          <w:sz w:val="24"/>
          <w:szCs w:val="24"/>
        </w:rPr>
        <w:t>, 1252 սմ</w:t>
      </w:r>
      <w:r w:rsidRPr="00825EEB">
        <w:rPr>
          <w:rFonts w:ascii="Sylfaen" w:hAnsi="Sylfaen"/>
          <w:sz w:val="24"/>
          <w:szCs w:val="24"/>
          <w:vertAlign w:val="superscript"/>
        </w:rPr>
        <w:t>-1</w:t>
      </w:r>
      <w:r w:rsidRPr="00825EEB">
        <w:rPr>
          <w:rFonts w:ascii="Sylfaen" w:hAnsi="Sylfaen"/>
          <w:sz w:val="24"/>
          <w:szCs w:val="24"/>
        </w:rPr>
        <w:t>, 958 սմ</w:t>
      </w:r>
      <w:r w:rsidRPr="00825EEB">
        <w:rPr>
          <w:rFonts w:ascii="Sylfaen" w:hAnsi="Sylfaen"/>
          <w:sz w:val="24"/>
          <w:szCs w:val="24"/>
          <w:vertAlign w:val="superscript"/>
        </w:rPr>
        <w:t>-1</w:t>
      </w:r>
      <w:r w:rsidRPr="00825EEB">
        <w:rPr>
          <w:rFonts w:ascii="Sylfaen" w:hAnsi="Sylfaen"/>
          <w:sz w:val="24"/>
          <w:szCs w:val="24"/>
        </w:rPr>
        <w:t xml:space="preserve"> եւ 690 սմ</w:t>
      </w:r>
      <w:r w:rsidRPr="00825EEB">
        <w:rPr>
          <w:rFonts w:ascii="Sylfaen" w:hAnsi="Sylfaen"/>
          <w:sz w:val="24"/>
          <w:szCs w:val="24"/>
          <w:vertAlign w:val="superscript"/>
        </w:rPr>
        <w:t>-1</w:t>
      </w:r>
      <w:r w:rsidRPr="00825EEB">
        <w:rPr>
          <w:rFonts w:ascii="Sylfaen" w:hAnsi="Sylfaen"/>
          <w:sz w:val="24"/>
          <w:szCs w:val="24"/>
        </w:rPr>
        <w:t xml:space="preserve"> (թույլատրելի շեղում՝ ±5 սմ</w:t>
      </w:r>
      <w:r w:rsidRPr="00825EEB">
        <w:rPr>
          <w:rFonts w:ascii="Sylfaen" w:hAnsi="Sylfaen"/>
          <w:sz w:val="24"/>
          <w:szCs w:val="24"/>
          <w:vertAlign w:val="superscript"/>
        </w:rPr>
        <w:t>-1</w:t>
      </w:r>
      <w:r w:rsidRPr="00825EEB">
        <w:rPr>
          <w:rFonts w:ascii="Sylfaen" w:hAnsi="Sylfaen"/>
          <w:sz w:val="24"/>
          <w:szCs w:val="24"/>
        </w:rPr>
        <w:t>):</w:t>
      </w:r>
    </w:p>
    <w:p w14:paraId="34DBC6E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Ստացված սպեկտրը պետք է համապատասխանի տիպային նմուշի սպեկտրին:</w:t>
      </w:r>
    </w:p>
    <w:p w14:paraId="6E69B23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67E74B0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ՓՈՐՁԱՐԿՈՒՄՆԵՐԸ</w:t>
      </w:r>
    </w:p>
    <w:p w14:paraId="2F359A51" w14:textId="77777777" w:rsidR="0058052E" w:rsidRPr="00D35F34" w:rsidRDefault="0058052E" w:rsidP="0058052E">
      <w:pPr>
        <w:pStyle w:val="a0"/>
        <w:shd w:val="clear" w:color="auto" w:fill="auto"/>
        <w:spacing w:after="160" w:line="360" w:lineRule="auto"/>
        <w:ind w:firstLine="567"/>
        <w:jc w:val="both"/>
        <w:rPr>
          <w:rFonts w:ascii="Sylfaen" w:hAnsi="Sylfaen"/>
          <w:i/>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366DE24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sz w:val="24"/>
          <w:szCs w:val="24"/>
        </w:rPr>
        <w:t xml:space="preserve">Նյութի փորձարկվող նմուշի 25 գ տեղադրում են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500 մլ </w:t>
      </w:r>
      <w:r>
        <w:rPr>
          <w:rFonts w:ascii="Sylfaen" w:hAnsi="Sylfaen"/>
          <w:sz w:val="24"/>
          <w:szCs w:val="24"/>
        </w:rPr>
        <w:t>եւ</w:t>
      </w:r>
      <w:r w:rsidRPr="00825EEB">
        <w:rPr>
          <w:rFonts w:ascii="Sylfaen" w:hAnsi="Sylfaen"/>
          <w:sz w:val="24"/>
          <w:szCs w:val="24"/>
        </w:rPr>
        <w:t xml:space="preserve"> փորձանոթի բկանցքը փակում են բորասիլիկատային ապակուց լաբորատոր բաժակով: Ավտոկլավում 20 րոպե տաքացնում են (121 ±2) °C ջերմաստիճանի տակ, որից հետո հովացնում են, թափում վերնստվածքային հեղուկը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500 մլ ծավալը:</w:t>
      </w:r>
    </w:p>
    <w:p w14:paraId="308F8BC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Նյութի</w:t>
      </w:r>
      <w:r w:rsidRPr="00825EEB">
        <w:rPr>
          <w:rFonts w:ascii="Sylfaen" w:hAnsi="Sylfaen"/>
          <w:b/>
          <w:sz w:val="24"/>
          <w:szCs w:val="24"/>
        </w:rPr>
        <w:t xml:space="preserve"> </w:t>
      </w:r>
      <w:r w:rsidRPr="00825EEB">
        <w:rPr>
          <w:rFonts w:ascii="Sylfaen" w:hAnsi="Sylfaen"/>
          <w:sz w:val="24"/>
          <w:szCs w:val="24"/>
        </w:rPr>
        <w:t xml:space="preserve">փորձարկվող նմուշի 5,0 գ լուծում են </w:t>
      </w:r>
      <w:r w:rsidRPr="00825EEB">
        <w:rPr>
          <w:rFonts w:ascii="Sylfaen" w:hAnsi="Sylfaen"/>
          <w:i/>
          <w:sz w:val="24"/>
          <w:szCs w:val="24"/>
        </w:rPr>
        <w:t>Ռ տետրահիդրոֆուրանի</w:t>
      </w:r>
      <w:r w:rsidRPr="00825EEB">
        <w:rPr>
          <w:rFonts w:ascii="Sylfaen" w:hAnsi="Sylfaen"/>
          <w:sz w:val="24"/>
          <w:szCs w:val="24"/>
        </w:rPr>
        <w:t xml:space="preserve"> 80 մլ-ի մեջ </w:t>
      </w:r>
      <w:r>
        <w:rPr>
          <w:rFonts w:ascii="Sylfaen" w:hAnsi="Sylfaen"/>
          <w:sz w:val="24"/>
          <w:szCs w:val="24"/>
        </w:rPr>
        <w:t>եւ</w:t>
      </w:r>
      <w:r w:rsidRPr="00825EEB">
        <w:rPr>
          <w:rFonts w:ascii="Sylfaen" w:hAnsi="Sylfaen"/>
          <w:sz w:val="24"/>
          <w:szCs w:val="24"/>
        </w:rPr>
        <w:t xml:space="preserve"> նույն լուծիչով լուծույթի ծավալը հասցնում մինչ</w:t>
      </w:r>
      <w:r>
        <w:rPr>
          <w:rFonts w:ascii="Sylfaen" w:hAnsi="Sylfaen"/>
          <w:sz w:val="24"/>
          <w:szCs w:val="24"/>
        </w:rPr>
        <w:t>եւ</w:t>
      </w:r>
      <w:r w:rsidRPr="00825EEB">
        <w:rPr>
          <w:rFonts w:ascii="Sylfaen" w:hAnsi="Sylfaen"/>
          <w:sz w:val="24"/>
          <w:szCs w:val="24"/>
        </w:rPr>
        <w:t xml:space="preserve"> 100 մլ-ը: Անհրաժեշտության դեպքում զտում են (լուծույթը կարող է մնալ օպալեսցենտող): Ստացված լուծույթի 20 մլ-ը նոսրացնում են </w:t>
      </w:r>
      <w:r w:rsidRPr="00825EEB">
        <w:rPr>
          <w:rFonts w:ascii="Sylfaen" w:hAnsi="Sylfaen"/>
          <w:i/>
          <w:sz w:val="24"/>
          <w:szCs w:val="24"/>
        </w:rPr>
        <w:t>Ռ էթանոլի (96 %)</w:t>
      </w:r>
      <w:r w:rsidRPr="00825EEB">
        <w:rPr>
          <w:rFonts w:ascii="Sylfaen" w:hAnsi="Sylfaen"/>
          <w:sz w:val="24"/>
          <w:szCs w:val="24"/>
        </w:rPr>
        <w:t xml:space="preserve"> 70</w:t>
      </w:r>
      <w:r w:rsidR="00AA234B" w:rsidRPr="00AA234B">
        <w:rPr>
          <w:rFonts w:ascii="Sylfaen" w:hAnsi="Sylfaen"/>
          <w:sz w:val="24"/>
          <w:szCs w:val="24"/>
        </w:rPr>
        <w:t> </w:t>
      </w:r>
      <w:r w:rsidRPr="00825EEB">
        <w:rPr>
          <w:rFonts w:ascii="Sylfaen" w:hAnsi="Sylfaen"/>
          <w:sz w:val="24"/>
          <w:szCs w:val="24"/>
        </w:rPr>
        <w:t xml:space="preserve">մլ-ով՝ այն կաթիլ առ կաթիլ ավելացնելով </w:t>
      </w:r>
      <w:r>
        <w:rPr>
          <w:rFonts w:ascii="Sylfaen" w:hAnsi="Sylfaen"/>
          <w:sz w:val="24"/>
          <w:szCs w:val="24"/>
        </w:rPr>
        <w:t>եւ</w:t>
      </w:r>
      <w:r w:rsidRPr="00825EEB">
        <w:rPr>
          <w:rFonts w:ascii="Sylfaen" w:hAnsi="Sylfaen"/>
          <w:sz w:val="24"/>
          <w:szCs w:val="24"/>
        </w:rPr>
        <w:t xml:space="preserve"> թեթ</w:t>
      </w:r>
      <w:r>
        <w:rPr>
          <w:rFonts w:ascii="Sylfaen" w:hAnsi="Sylfaen"/>
          <w:sz w:val="24"/>
          <w:szCs w:val="24"/>
        </w:rPr>
        <w:t>եւ</w:t>
      </w:r>
      <w:r w:rsidRPr="00825EEB">
        <w:rPr>
          <w:rFonts w:ascii="Sylfaen" w:hAnsi="Sylfaen"/>
          <w:sz w:val="24"/>
          <w:szCs w:val="24"/>
        </w:rPr>
        <w:t xml:space="preserve"> թափահարելով: 1 ժամ հովացնում են սառցային բաղնիքի վրա: Այնուհետ</w:t>
      </w:r>
      <w:r>
        <w:rPr>
          <w:rFonts w:ascii="Sylfaen" w:hAnsi="Sylfaen"/>
          <w:sz w:val="24"/>
          <w:szCs w:val="24"/>
        </w:rPr>
        <w:t>եւ</w:t>
      </w:r>
      <w:r w:rsidRPr="00825EEB">
        <w:rPr>
          <w:rFonts w:ascii="Sylfaen" w:hAnsi="Sylfaen"/>
          <w:sz w:val="24"/>
          <w:szCs w:val="24"/>
        </w:rPr>
        <w:t xml:space="preserve"> զտում կամ ցենտրիֆուգում են (Ա մնացորդ): Ա մնացորդը ողողում են </w:t>
      </w:r>
      <w:r w:rsidRPr="00825EEB">
        <w:rPr>
          <w:rFonts w:ascii="Sylfaen" w:hAnsi="Sylfaen"/>
          <w:i/>
          <w:sz w:val="24"/>
          <w:szCs w:val="24"/>
        </w:rPr>
        <w:t>Ռ էթանոլով (96 %)</w:t>
      </w:r>
      <w:r w:rsidRPr="00825EEB">
        <w:rPr>
          <w:rFonts w:ascii="Sylfaen" w:hAnsi="Sylfaen"/>
          <w:sz w:val="24"/>
          <w:szCs w:val="24"/>
        </w:rPr>
        <w:t xml:space="preserve">, ողողման էթանոլն ավելացնում են զտվածքին կամ վերնստվածքային հեղուկին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էթանոլով (96%)</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100 մլ-ը:</w:t>
      </w:r>
    </w:p>
    <w:p w14:paraId="0DF10E2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Տ3 լուծույթը։ </w:t>
      </w:r>
      <w:r w:rsidRPr="00825EEB">
        <w:rPr>
          <w:rFonts w:ascii="Sylfaen" w:hAnsi="Sylfaen"/>
          <w:sz w:val="24"/>
          <w:szCs w:val="24"/>
        </w:rPr>
        <w:t xml:space="preserve">Նյութի փորձարկվող նմուշի 5 գ տեղադրում են կիպահղկած խցանով բորասիլիկատային ապակուց փորձանոթի մեջ, ավելացնում են </w:t>
      </w:r>
      <w:r w:rsidRPr="00825EEB">
        <w:rPr>
          <w:rFonts w:ascii="Sylfaen" w:hAnsi="Sylfaen"/>
          <w:i/>
          <w:sz w:val="24"/>
          <w:szCs w:val="24"/>
        </w:rPr>
        <w:t>0,1 Մ քլորաջրածնային թթվի</w:t>
      </w:r>
      <w:r w:rsidRPr="00825EEB">
        <w:rPr>
          <w:rFonts w:ascii="Sylfaen" w:hAnsi="Sylfaen"/>
          <w:sz w:val="24"/>
          <w:szCs w:val="24"/>
        </w:rPr>
        <w:t xml:space="preserve"> 100 մլ </w:t>
      </w:r>
      <w:r>
        <w:rPr>
          <w:rFonts w:ascii="Sylfaen" w:hAnsi="Sylfaen"/>
          <w:sz w:val="24"/>
          <w:szCs w:val="24"/>
        </w:rPr>
        <w:t>եւ</w:t>
      </w:r>
      <w:r w:rsidRPr="00825EEB">
        <w:rPr>
          <w:rFonts w:ascii="Sylfaen" w:hAnsi="Sylfaen"/>
          <w:sz w:val="24"/>
          <w:szCs w:val="24"/>
        </w:rPr>
        <w:t xml:space="preserve"> 1 ժամ եռացնում հակադարձ սառնարանով: Հետո հովացնում են </w:t>
      </w:r>
      <w:r>
        <w:rPr>
          <w:rFonts w:ascii="Sylfaen" w:hAnsi="Sylfaen"/>
          <w:sz w:val="24"/>
          <w:szCs w:val="24"/>
        </w:rPr>
        <w:t>եւ</w:t>
      </w:r>
      <w:r w:rsidRPr="00825EEB">
        <w:rPr>
          <w:rFonts w:ascii="Sylfaen" w:hAnsi="Sylfaen"/>
          <w:sz w:val="24"/>
          <w:szCs w:val="24"/>
        </w:rPr>
        <w:t xml:space="preserve"> պահում մինչ</w:t>
      </w:r>
      <w:r>
        <w:rPr>
          <w:rFonts w:ascii="Sylfaen" w:hAnsi="Sylfaen"/>
          <w:sz w:val="24"/>
          <w:szCs w:val="24"/>
        </w:rPr>
        <w:t>եւ</w:t>
      </w:r>
      <w:r w:rsidRPr="00825EEB">
        <w:rPr>
          <w:rFonts w:ascii="Sylfaen" w:hAnsi="Sylfaen"/>
          <w:sz w:val="24"/>
          <w:szCs w:val="24"/>
        </w:rPr>
        <w:t xml:space="preserve"> պինդ ֆազի նստեցումը:</w:t>
      </w:r>
    </w:p>
    <w:p w14:paraId="73B9D4D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Տ1 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լուծույթի օպալեսցենցիան չպետք</w:t>
      </w:r>
      <w:r w:rsidR="00AA234B" w:rsidRPr="00AA234B">
        <w:rPr>
          <w:rFonts w:ascii="Sylfaen" w:hAnsi="Sylfaen"/>
          <w:sz w:val="24"/>
          <w:szCs w:val="24"/>
        </w:rPr>
        <w:t> </w:t>
      </w:r>
      <w:r w:rsidRPr="00825EEB">
        <w:rPr>
          <w:rFonts w:ascii="Sylfaen" w:hAnsi="Sylfaen"/>
          <w:sz w:val="24"/>
          <w:szCs w:val="24"/>
        </w:rPr>
        <w:t>է գերազանցի II համեմատության դեղակախույթի օպալեսցենցիան:</w:t>
      </w:r>
    </w:p>
    <w:p w14:paraId="3B277661"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b/>
          <w:sz w:val="24"/>
          <w:szCs w:val="24"/>
        </w:rPr>
        <w:t>Տ1 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Տ1 լուծույթը պետք է լինի անգույն:</w:t>
      </w:r>
    </w:p>
    <w:p w14:paraId="73F5304A"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204A8AE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xml:space="preserve">)։ Տ1 լուծույթի 100 մլ-ը լիաչոր շոգեհանում են: Չոր մնացորդը լուծում են </w:t>
      </w:r>
      <w:r w:rsidRPr="00825EEB">
        <w:rPr>
          <w:rFonts w:ascii="Sylfaen" w:hAnsi="Sylfaen"/>
          <w:i/>
          <w:sz w:val="24"/>
          <w:szCs w:val="24"/>
        </w:rPr>
        <w:t>Ռ հեքսանի</w:t>
      </w:r>
      <w:r w:rsidRPr="00825EEB">
        <w:rPr>
          <w:rFonts w:ascii="Sylfaen" w:hAnsi="Sylfaen"/>
          <w:sz w:val="24"/>
          <w:szCs w:val="24"/>
        </w:rPr>
        <w:t xml:space="preserve"> 5 մլ-ի մեջ:</w:t>
      </w:r>
      <w:r w:rsidRPr="00825EEB">
        <w:rPr>
          <w:rFonts w:ascii="Sylfaen" w:hAnsi="Sylfaen"/>
          <w:i/>
          <w:sz w:val="24"/>
          <w:szCs w:val="24"/>
        </w:rPr>
        <w:t xml:space="preserve"> </w:t>
      </w:r>
      <w:r w:rsidRPr="00825EEB">
        <w:rPr>
          <w:rFonts w:ascii="Sylfaen" w:hAnsi="Sylfaen"/>
          <w:sz w:val="24"/>
          <w:szCs w:val="24"/>
        </w:rPr>
        <w:t xml:space="preserve">Անհրաժեշտության դեպքում զտում են </w:t>
      </w:r>
      <w:r w:rsidRPr="00825EEB">
        <w:rPr>
          <w:rFonts w:ascii="Sylfaen" w:hAnsi="Sylfaen"/>
          <w:i/>
          <w:sz w:val="24"/>
          <w:szCs w:val="24"/>
        </w:rPr>
        <w:t>Ռ հեքսանով</w:t>
      </w:r>
      <w:r w:rsidRPr="00825EEB">
        <w:rPr>
          <w:rFonts w:ascii="Sylfaen" w:hAnsi="Sylfaen"/>
          <w:sz w:val="24"/>
          <w:szCs w:val="24"/>
        </w:rPr>
        <w:t xml:space="preserve"> նախապես լվացված զտիչի միջոցով: Ստացված զտվածքի կլանումը 250 նմ-ից մինչ</w:t>
      </w:r>
      <w:r>
        <w:rPr>
          <w:rFonts w:ascii="Sylfaen" w:hAnsi="Sylfaen"/>
          <w:sz w:val="24"/>
          <w:szCs w:val="24"/>
        </w:rPr>
        <w:t>եւ</w:t>
      </w:r>
      <w:r w:rsidRPr="00825EEB">
        <w:rPr>
          <w:rFonts w:ascii="Sylfaen" w:hAnsi="Sylfaen"/>
          <w:sz w:val="24"/>
          <w:szCs w:val="24"/>
        </w:rPr>
        <w:t xml:space="preserve"> 310 նմ հատվածում չպետք է գերազանցի 0,3-ը:</w:t>
      </w:r>
    </w:p>
    <w:p w14:paraId="66BFC23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1-ֆենիլէյկոզան-1,3-դիոն չպարունակող նյութի նմուշի համար S2 լուծույթի կլանումը 250 նմ-ից մինչ</w:t>
      </w:r>
      <w:r>
        <w:rPr>
          <w:rFonts w:ascii="Sylfaen" w:hAnsi="Sylfaen"/>
          <w:sz w:val="24"/>
          <w:szCs w:val="24"/>
        </w:rPr>
        <w:t>եւ</w:t>
      </w:r>
      <w:r w:rsidRPr="00825EEB">
        <w:rPr>
          <w:rFonts w:ascii="Sylfaen" w:hAnsi="Sylfaen"/>
          <w:sz w:val="24"/>
          <w:szCs w:val="24"/>
        </w:rPr>
        <w:t xml:space="preserve"> 330</w:t>
      </w:r>
      <w:r w:rsidR="00AA234B" w:rsidRPr="00AA234B">
        <w:rPr>
          <w:rFonts w:ascii="Sylfaen" w:hAnsi="Sylfaen"/>
          <w:sz w:val="24"/>
          <w:szCs w:val="24"/>
        </w:rPr>
        <w:t> </w:t>
      </w:r>
      <w:r w:rsidRPr="00825EEB">
        <w:rPr>
          <w:rFonts w:ascii="Sylfaen" w:hAnsi="Sylfaen"/>
          <w:sz w:val="24"/>
          <w:szCs w:val="24"/>
        </w:rPr>
        <w:t xml:space="preserve">նմ հատվածում չպետք է գերազանցի 1,0-ն: 1-ֆենիլէյկոզան-1,3-դիոն պարունակող նյութի նմուշի համար </w:t>
      </w:r>
      <w:r w:rsidRPr="00825EEB">
        <w:rPr>
          <w:rFonts w:ascii="Sylfaen" w:hAnsi="Sylfaen"/>
          <w:i/>
          <w:sz w:val="24"/>
          <w:szCs w:val="24"/>
        </w:rPr>
        <w:t>Ռ էթանոլով (96 %)</w:t>
      </w:r>
      <w:r w:rsidRPr="00825EEB">
        <w:rPr>
          <w:rFonts w:ascii="Sylfaen" w:hAnsi="Sylfaen"/>
          <w:sz w:val="24"/>
          <w:szCs w:val="24"/>
        </w:rPr>
        <w:t xml:space="preserve"> 10 անգամ նոսրացված S2</w:t>
      </w:r>
      <w:r w:rsidR="00AA234B" w:rsidRPr="00AA234B">
        <w:rPr>
          <w:rFonts w:ascii="Sylfaen" w:hAnsi="Sylfaen"/>
          <w:sz w:val="24"/>
          <w:szCs w:val="24"/>
        </w:rPr>
        <w:t> </w:t>
      </w:r>
      <w:r w:rsidRPr="00825EEB">
        <w:rPr>
          <w:rFonts w:ascii="Sylfaen" w:hAnsi="Sylfaen"/>
          <w:sz w:val="24"/>
          <w:szCs w:val="24"/>
        </w:rPr>
        <w:t>լուծույթի կլանումը 250 նմ-ից մինչ</w:t>
      </w:r>
      <w:r>
        <w:rPr>
          <w:rFonts w:ascii="Sylfaen" w:hAnsi="Sylfaen"/>
          <w:sz w:val="24"/>
          <w:szCs w:val="24"/>
        </w:rPr>
        <w:t>եւ</w:t>
      </w:r>
      <w:r w:rsidRPr="00825EEB">
        <w:rPr>
          <w:rFonts w:ascii="Sylfaen" w:hAnsi="Sylfaen"/>
          <w:sz w:val="24"/>
          <w:szCs w:val="24"/>
        </w:rPr>
        <w:t xml:space="preserve"> 330 նմ հատվածում չպետք է գերազանցի 0,4-ը:</w:t>
      </w:r>
    </w:p>
    <w:p w14:paraId="658AB34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Անագով կայունացված նյութերը։ </w:t>
      </w:r>
      <w:r w:rsidRPr="00825EEB">
        <w:rPr>
          <w:rFonts w:ascii="Sylfaen" w:hAnsi="Sylfaen"/>
          <w:sz w:val="24"/>
          <w:szCs w:val="24"/>
        </w:rPr>
        <w:t>0,25 %-ց ոչ ավելի Sn:</w:t>
      </w:r>
    </w:p>
    <w:p w14:paraId="150DDD2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Անագի հիմնական լուծույթը։</w:t>
      </w:r>
      <w:r w:rsidRPr="00825EEB">
        <w:rPr>
          <w:rFonts w:ascii="Sylfaen" w:hAnsi="Sylfaen"/>
          <w:sz w:val="24"/>
          <w:szCs w:val="24"/>
        </w:rPr>
        <w:t xml:space="preserve"> </w:t>
      </w:r>
      <w:r w:rsidRPr="00825EEB">
        <w:rPr>
          <w:rFonts w:ascii="Sylfaen" w:hAnsi="Sylfaen"/>
          <w:i/>
          <w:sz w:val="24"/>
          <w:szCs w:val="24"/>
        </w:rPr>
        <w:t>Պոլիմերային 23-րդ նյութերի հավելանյութի ԵԱՏՄԴ ՍՆ</w:t>
      </w:r>
      <w:r w:rsidRPr="00825EEB">
        <w:rPr>
          <w:rFonts w:ascii="Sylfaen" w:hAnsi="Sylfaen"/>
          <w:sz w:val="24"/>
          <w:szCs w:val="24"/>
        </w:rPr>
        <w:t xml:space="preserve"> 81 մգ-ը լուծում են </w:t>
      </w:r>
      <w:r w:rsidRPr="00825EEB">
        <w:rPr>
          <w:rFonts w:ascii="Sylfaen" w:hAnsi="Sylfaen"/>
          <w:i/>
          <w:sz w:val="24"/>
          <w:szCs w:val="24"/>
        </w:rPr>
        <w:t>Ռ տետրահիդրոֆուրանի</w:t>
      </w:r>
      <w:r w:rsidRPr="00825EEB">
        <w:rPr>
          <w:rFonts w:ascii="Sylfaen" w:hAnsi="Sylfaen"/>
          <w:sz w:val="24"/>
          <w:szCs w:val="24"/>
        </w:rPr>
        <w:t xml:space="preserve"> մեջ </w:t>
      </w:r>
      <w:r>
        <w:rPr>
          <w:rFonts w:ascii="Sylfaen" w:hAnsi="Sylfaen"/>
          <w:sz w:val="24"/>
          <w:szCs w:val="24"/>
        </w:rPr>
        <w:t>եւ</w:t>
      </w:r>
      <w:r w:rsidRPr="00825EEB">
        <w:rPr>
          <w:rFonts w:ascii="Sylfaen" w:hAnsi="Sylfaen"/>
          <w:sz w:val="24"/>
          <w:szCs w:val="24"/>
        </w:rPr>
        <w:t xml:space="preserve"> նույն լուծիչով հասցնում մինչ</w:t>
      </w:r>
      <w:r>
        <w:rPr>
          <w:rFonts w:ascii="Sylfaen" w:hAnsi="Sylfaen"/>
          <w:sz w:val="24"/>
          <w:szCs w:val="24"/>
        </w:rPr>
        <w:t>եւ</w:t>
      </w:r>
      <w:r w:rsidRPr="00825EEB">
        <w:rPr>
          <w:rFonts w:ascii="Sylfaen" w:hAnsi="Sylfaen"/>
          <w:sz w:val="24"/>
          <w:szCs w:val="24"/>
        </w:rPr>
        <w:t xml:space="preserve"> 100,0 մլ-ը:</w:t>
      </w:r>
    </w:p>
    <w:p w14:paraId="4FE9F9E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Անագի ստանդարտ լուծույթը։</w:t>
      </w:r>
      <w:r w:rsidRPr="00825EEB">
        <w:rPr>
          <w:rFonts w:ascii="Sylfaen" w:hAnsi="Sylfaen"/>
          <w:sz w:val="24"/>
          <w:szCs w:val="24"/>
        </w:rPr>
        <w:t xml:space="preserve"> Անագի հիմնական լուծույթի 20 մլ-ը </w:t>
      </w:r>
      <w:r w:rsidRPr="00825EEB">
        <w:rPr>
          <w:rFonts w:ascii="Sylfaen" w:hAnsi="Sylfaen"/>
          <w:i/>
          <w:sz w:val="24"/>
          <w:szCs w:val="24"/>
        </w:rPr>
        <w:t>Ռ էթանոլով (96 %)</w:t>
      </w:r>
      <w:r w:rsidRPr="00825EEB">
        <w:rPr>
          <w:rFonts w:ascii="Sylfaen" w:hAnsi="Sylfaen"/>
          <w:sz w:val="24"/>
          <w:szCs w:val="24"/>
        </w:rPr>
        <w:t xml:space="preserve"> հասցնում են մինչեւ 100,0 մլ ծավալը։</w:t>
      </w:r>
    </w:p>
    <w:p w14:paraId="5E242F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 լուծույթի 0,10 մլ-ին փորձասրվակի մեջ ավելացնում են </w:t>
      </w:r>
      <w:r w:rsidRPr="00825EEB">
        <w:rPr>
          <w:rFonts w:ascii="Sylfaen" w:hAnsi="Sylfaen"/>
          <w:i/>
          <w:sz w:val="24"/>
          <w:szCs w:val="24"/>
        </w:rPr>
        <w:t>1 Մ քլորաջրածնային թթվի</w:t>
      </w:r>
      <w:r w:rsidRPr="00825EEB">
        <w:rPr>
          <w:rFonts w:ascii="Sylfaen" w:hAnsi="Sylfaen"/>
          <w:sz w:val="24"/>
          <w:szCs w:val="24"/>
        </w:rPr>
        <w:t xml:space="preserve"> 0,05 մլ, </w:t>
      </w:r>
      <w:r w:rsidRPr="00825EEB">
        <w:rPr>
          <w:rFonts w:ascii="Sylfaen" w:hAnsi="Sylfaen"/>
          <w:i/>
          <w:sz w:val="24"/>
          <w:szCs w:val="24"/>
        </w:rPr>
        <w:t>Ռ կալիումի յոդիդի լուծույթի</w:t>
      </w:r>
      <w:r w:rsidRPr="00825EEB">
        <w:rPr>
          <w:rFonts w:ascii="Sylfaen" w:hAnsi="Sylfaen"/>
          <w:sz w:val="24"/>
          <w:szCs w:val="24"/>
        </w:rPr>
        <w:t xml:space="preserve"> 0,5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էթանոլի (96 %)</w:t>
      </w:r>
      <w:r w:rsidRPr="00825EEB">
        <w:rPr>
          <w:rFonts w:ascii="Sylfaen" w:hAnsi="Sylfaen"/>
          <w:sz w:val="24"/>
          <w:szCs w:val="24"/>
        </w:rPr>
        <w:t xml:space="preserve"> 5 մլ, մանրակրկիտ խառնում են </w:t>
      </w:r>
      <w:r>
        <w:rPr>
          <w:rFonts w:ascii="Sylfaen" w:hAnsi="Sylfaen"/>
          <w:sz w:val="24"/>
          <w:szCs w:val="24"/>
        </w:rPr>
        <w:t>եւ</w:t>
      </w:r>
      <w:r w:rsidRPr="00825EEB">
        <w:rPr>
          <w:rFonts w:ascii="Sylfaen" w:hAnsi="Sylfaen"/>
          <w:sz w:val="24"/>
          <w:szCs w:val="24"/>
        </w:rPr>
        <w:t xml:space="preserve"> թողնում 5 րոպե: Ստացված լուծույթին ավելացվում է </w:t>
      </w:r>
      <w:r w:rsidRPr="00825EEB">
        <w:rPr>
          <w:rFonts w:ascii="Sylfaen" w:hAnsi="Sylfaen"/>
          <w:i/>
          <w:sz w:val="24"/>
          <w:szCs w:val="24"/>
        </w:rPr>
        <w:t>Ռ ջրի</w:t>
      </w:r>
      <w:r w:rsidRPr="00825EEB">
        <w:rPr>
          <w:rFonts w:ascii="Sylfaen" w:hAnsi="Sylfaen"/>
          <w:sz w:val="24"/>
          <w:szCs w:val="24"/>
        </w:rPr>
        <w:t xml:space="preserve"> 9 մլ </w:t>
      </w:r>
      <w:r>
        <w:rPr>
          <w:rFonts w:ascii="Sylfaen" w:hAnsi="Sylfaen"/>
          <w:sz w:val="24"/>
          <w:szCs w:val="24"/>
        </w:rPr>
        <w:t>եւ</w:t>
      </w:r>
      <w:r w:rsidRPr="00825EEB">
        <w:rPr>
          <w:rFonts w:ascii="Sylfaen" w:hAnsi="Sylfaen"/>
          <w:sz w:val="24"/>
          <w:szCs w:val="24"/>
        </w:rPr>
        <w:t xml:space="preserve"> 5 գ/լ </w:t>
      </w:r>
      <w:r w:rsidRPr="00825EEB">
        <w:rPr>
          <w:rFonts w:ascii="Sylfaen" w:hAnsi="Sylfaen"/>
          <w:i/>
          <w:sz w:val="24"/>
          <w:szCs w:val="24"/>
        </w:rPr>
        <w:t>Ռ նատրիումի սուլֆիտի</w:t>
      </w:r>
      <w:r w:rsidRPr="00825EEB">
        <w:rPr>
          <w:rFonts w:ascii="Sylfaen" w:hAnsi="Sylfaen"/>
          <w:sz w:val="24"/>
          <w:szCs w:val="24"/>
        </w:rPr>
        <w:t xml:space="preserve"> լուծույթի 0,1 մլ, մանրակրկիտ խառնում են, ավելացնում </w:t>
      </w:r>
      <w:r w:rsidRPr="00825EEB">
        <w:rPr>
          <w:rFonts w:ascii="Sylfaen" w:hAnsi="Sylfaen"/>
          <w:i/>
          <w:sz w:val="24"/>
          <w:szCs w:val="24"/>
        </w:rPr>
        <w:t>Ռ մեթիլենքլորիդով</w:t>
      </w:r>
      <w:r w:rsidRPr="00825EEB">
        <w:rPr>
          <w:rFonts w:ascii="Sylfaen" w:hAnsi="Sylfaen"/>
          <w:sz w:val="24"/>
          <w:szCs w:val="24"/>
        </w:rPr>
        <w:t xml:space="preserve"> 100 անգամ թարմ նոսրացված </w:t>
      </w:r>
      <w:r w:rsidRPr="00825EEB">
        <w:rPr>
          <w:rFonts w:ascii="Sylfaen" w:hAnsi="Sylfaen"/>
          <w:i/>
          <w:sz w:val="24"/>
          <w:szCs w:val="24"/>
        </w:rPr>
        <w:t xml:space="preserve">Ռ դիթիզոնի լուծույթի </w:t>
      </w:r>
      <w:r w:rsidRPr="00825EEB">
        <w:rPr>
          <w:rFonts w:ascii="Sylfaen" w:hAnsi="Sylfaen"/>
          <w:sz w:val="24"/>
          <w:szCs w:val="24"/>
        </w:rPr>
        <w:t xml:space="preserve">1,5 մլ, թափահարում են 15 վրկ </w:t>
      </w:r>
      <w:r>
        <w:rPr>
          <w:rFonts w:ascii="Sylfaen" w:hAnsi="Sylfaen"/>
          <w:sz w:val="24"/>
          <w:szCs w:val="24"/>
        </w:rPr>
        <w:t>եւ</w:t>
      </w:r>
      <w:r w:rsidRPr="00825EEB">
        <w:rPr>
          <w:rFonts w:ascii="Sylfaen" w:hAnsi="Sylfaen"/>
          <w:sz w:val="24"/>
          <w:szCs w:val="24"/>
        </w:rPr>
        <w:t xml:space="preserve"> թողնում 2</w:t>
      </w:r>
      <w:r w:rsidR="00AA234B" w:rsidRPr="00AA234B">
        <w:rPr>
          <w:rFonts w:ascii="Sylfaen" w:hAnsi="Sylfaen"/>
          <w:sz w:val="24"/>
          <w:szCs w:val="24"/>
        </w:rPr>
        <w:t> </w:t>
      </w:r>
      <w:r w:rsidRPr="00825EEB">
        <w:rPr>
          <w:rFonts w:ascii="Sylfaen" w:hAnsi="Sylfaen"/>
          <w:sz w:val="24"/>
          <w:szCs w:val="24"/>
        </w:rPr>
        <w:t>րոպե:</w:t>
      </w:r>
    </w:p>
    <w:p w14:paraId="2D38E7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Զուգահեռ պատրաստում են համեմատության լուծույթը՝ օգտագործելով անագի ստանդարտ լուծույթի 0,1 մլ: S2 լուծույթով ստացված ստորին շերտի մանուշակագույն գունավորումը չպետք է ավելի ինտենսիվ լինի, քան </w:t>
      </w:r>
      <w:r w:rsidRPr="00825EEB">
        <w:rPr>
          <w:rFonts w:ascii="Sylfaen" w:hAnsi="Sylfaen"/>
          <w:sz w:val="24"/>
          <w:szCs w:val="24"/>
        </w:rPr>
        <w:lastRenderedPageBreak/>
        <w:t>համեմատության լուծույթի գունավորումը: Անագի առկայությամբ դիթիզոնի լուծույթի կանաչավուն կապույտ գունավորումն անցնում է վարդագույնի:</w:t>
      </w:r>
    </w:p>
    <w:p w14:paraId="7B05FF9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Անագով չկայունացված նյութերը։ </w:t>
      </w:r>
      <w:r w:rsidRPr="00825EEB">
        <w:rPr>
          <w:rFonts w:ascii="Sylfaen" w:hAnsi="Sylfaen"/>
          <w:sz w:val="24"/>
          <w:szCs w:val="24"/>
        </w:rPr>
        <w:t>25 ppm-ից ոչ ավելի Sn։</w:t>
      </w:r>
    </w:p>
    <w:p w14:paraId="302B6AC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 լուծույթի 5 մլ-ին փորձասրվակի մեջ ավելացնում են </w:t>
      </w:r>
      <w:r w:rsidRPr="00825EEB">
        <w:rPr>
          <w:rFonts w:ascii="Sylfaen" w:hAnsi="Sylfaen"/>
          <w:i/>
          <w:sz w:val="24"/>
          <w:szCs w:val="24"/>
        </w:rPr>
        <w:t>1 Մ քլորաջրածնային թթվի</w:t>
      </w:r>
      <w:r w:rsidRPr="00825EEB">
        <w:rPr>
          <w:rFonts w:ascii="Sylfaen" w:hAnsi="Sylfaen"/>
          <w:sz w:val="24"/>
          <w:szCs w:val="24"/>
        </w:rPr>
        <w:t xml:space="preserve"> 0,05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կալիումի յոդիդի լուծույթի</w:t>
      </w:r>
      <w:r w:rsidRPr="00825EEB">
        <w:rPr>
          <w:rFonts w:ascii="Sylfaen" w:hAnsi="Sylfaen"/>
          <w:sz w:val="24"/>
          <w:szCs w:val="24"/>
        </w:rPr>
        <w:t xml:space="preserve"> 0,5 մլ: Մանրակրկիտ խառնում են </w:t>
      </w:r>
      <w:r>
        <w:rPr>
          <w:rFonts w:ascii="Sylfaen" w:hAnsi="Sylfaen"/>
          <w:sz w:val="24"/>
          <w:szCs w:val="24"/>
        </w:rPr>
        <w:t>եւ</w:t>
      </w:r>
      <w:r w:rsidRPr="00825EEB">
        <w:rPr>
          <w:rFonts w:ascii="Sylfaen" w:hAnsi="Sylfaen"/>
          <w:sz w:val="24"/>
          <w:szCs w:val="24"/>
        </w:rPr>
        <w:t xml:space="preserve"> թողնում 5 րոպե: Ստացված լուծույթին ավելացվում է </w:t>
      </w:r>
      <w:r w:rsidRPr="00825EEB">
        <w:rPr>
          <w:rFonts w:ascii="Sylfaen" w:hAnsi="Sylfaen"/>
          <w:i/>
          <w:sz w:val="24"/>
          <w:szCs w:val="24"/>
        </w:rPr>
        <w:t>Ռ ջրի</w:t>
      </w:r>
      <w:r w:rsidRPr="00825EEB">
        <w:rPr>
          <w:rFonts w:ascii="Sylfaen" w:hAnsi="Sylfaen"/>
          <w:sz w:val="24"/>
          <w:szCs w:val="24"/>
        </w:rPr>
        <w:t xml:space="preserve"> 9 մլ </w:t>
      </w:r>
      <w:r>
        <w:rPr>
          <w:rFonts w:ascii="Sylfaen" w:hAnsi="Sylfaen"/>
          <w:sz w:val="24"/>
          <w:szCs w:val="24"/>
        </w:rPr>
        <w:t>եւ</w:t>
      </w:r>
      <w:r w:rsidRPr="00825EEB">
        <w:rPr>
          <w:rFonts w:ascii="Sylfaen" w:hAnsi="Sylfaen"/>
          <w:sz w:val="24"/>
          <w:szCs w:val="24"/>
        </w:rPr>
        <w:t xml:space="preserve"> 5 գ/լ </w:t>
      </w:r>
      <w:r w:rsidRPr="00825EEB">
        <w:rPr>
          <w:rFonts w:ascii="Sylfaen" w:hAnsi="Sylfaen"/>
          <w:i/>
          <w:sz w:val="24"/>
          <w:szCs w:val="24"/>
        </w:rPr>
        <w:t>Ռ նատրիումի սուլֆիտի</w:t>
      </w:r>
      <w:r w:rsidRPr="00825EEB">
        <w:rPr>
          <w:rFonts w:ascii="Sylfaen" w:hAnsi="Sylfaen"/>
          <w:sz w:val="24"/>
          <w:szCs w:val="24"/>
        </w:rPr>
        <w:t xml:space="preserve"> լուծույթի 0,1 մլ, ու մանրակրկիտ խառնում են: Եթե ստացված լուծույթն անգույն չէ, ապա նատրիումի սուլֆիտի լուծույթն ավելացնում են 0,05-ական մլ բաժիններով՝ մինչ</w:t>
      </w:r>
      <w:r>
        <w:rPr>
          <w:rFonts w:ascii="Sylfaen" w:hAnsi="Sylfaen"/>
          <w:sz w:val="24"/>
          <w:szCs w:val="24"/>
        </w:rPr>
        <w:t>եւ</w:t>
      </w:r>
      <w:r w:rsidRPr="00825EEB">
        <w:rPr>
          <w:rFonts w:ascii="Sylfaen" w:hAnsi="Sylfaen"/>
          <w:sz w:val="24"/>
          <w:szCs w:val="24"/>
        </w:rPr>
        <w:t xml:space="preserve"> գունաթափումը: Այնուհետ</w:t>
      </w:r>
      <w:r>
        <w:rPr>
          <w:rFonts w:ascii="Sylfaen" w:hAnsi="Sylfaen"/>
          <w:sz w:val="24"/>
          <w:szCs w:val="24"/>
        </w:rPr>
        <w:t>եւ</w:t>
      </w:r>
      <w:r w:rsidRPr="00825EEB">
        <w:rPr>
          <w:rFonts w:ascii="Sylfaen" w:hAnsi="Sylfaen"/>
          <w:sz w:val="24"/>
          <w:szCs w:val="24"/>
        </w:rPr>
        <w:t xml:space="preserve"> ավելացնում են </w:t>
      </w:r>
      <w:r w:rsidRPr="00825EEB">
        <w:rPr>
          <w:rFonts w:ascii="Sylfaen" w:hAnsi="Sylfaen"/>
          <w:i/>
          <w:sz w:val="24"/>
          <w:szCs w:val="24"/>
        </w:rPr>
        <w:t>Ռ մեթիլեն քլորիդով</w:t>
      </w:r>
      <w:r w:rsidRPr="00825EEB">
        <w:rPr>
          <w:rFonts w:ascii="Sylfaen" w:hAnsi="Sylfaen"/>
          <w:sz w:val="24"/>
          <w:szCs w:val="24"/>
        </w:rPr>
        <w:t xml:space="preserve"> 100 անգամ թարմ նոսրացված </w:t>
      </w:r>
      <w:r w:rsidRPr="00825EEB">
        <w:rPr>
          <w:rFonts w:ascii="Sylfaen" w:hAnsi="Sylfaen"/>
          <w:i/>
          <w:sz w:val="24"/>
          <w:szCs w:val="24"/>
        </w:rPr>
        <w:t>Ռ դիթիզոնի լուծույթի</w:t>
      </w:r>
      <w:r w:rsidRPr="00825EEB">
        <w:rPr>
          <w:rFonts w:ascii="Sylfaen" w:hAnsi="Sylfaen"/>
          <w:sz w:val="24"/>
          <w:szCs w:val="24"/>
        </w:rPr>
        <w:t xml:space="preserve"> 1,5 մլ, թափահարում են 15 վրկ </w:t>
      </w:r>
      <w:r>
        <w:rPr>
          <w:rFonts w:ascii="Sylfaen" w:hAnsi="Sylfaen"/>
          <w:sz w:val="24"/>
          <w:szCs w:val="24"/>
        </w:rPr>
        <w:t>եւ</w:t>
      </w:r>
      <w:r w:rsidRPr="00825EEB">
        <w:rPr>
          <w:rFonts w:ascii="Sylfaen" w:hAnsi="Sylfaen"/>
          <w:sz w:val="24"/>
          <w:szCs w:val="24"/>
        </w:rPr>
        <w:t xml:space="preserve"> թողնում 2 րոպե: Զուգահեռ պատրաստում են համեմատության լուծույթը՝ օգտագործելով անագի ստանդարտ լուծույթի 0,05 մլ (տե՛ս վերեւում ներկայացված փորձարկումը):</w:t>
      </w:r>
    </w:p>
    <w:p w14:paraId="0CACE24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S2 լուծույթով ստացված ստորին շերտի մանուշակագույն գունավորումը պետք է լինի ոչ ինտենսիվ, քան համեմատության լուծույթի գունավորումն է:</w:t>
      </w:r>
    </w:p>
    <w:p w14:paraId="5F70E9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100 ppm-ից ոչ ավելի։ Որոշումն անցկացնում են ատոմաաբսորբման սպեկտրալուսաչափության մեթոդով (</w:t>
      </w:r>
      <w:r w:rsidRPr="00825EEB">
        <w:rPr>
          <w:rFonts w:ascii="Sylfaen" w:hAnsi="Sylfaen"/>
          <w:i/>
          <w:sz w:val="24"/>
          <w:szCs w:val="24"/>
        </w:rPr>
        <w:t>2.1.2.22, մեթոդ I</w:t>
      </w:r>
      <w:r w:rsidRPr="00825EEB">
        <w:rPr>
          <w:rFonts w:ascii="Sylfaen" w:hAnsi="Sylfaen"/>
          <w:sz w:val="24"/>
          <w:szCs w:val="24"/>
        </w:rPr>
        <w:t>)։</w:t>
      </w:r>
    </w:p>
    <w:p w14:paraId="09AC40B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Տ3 լուծույթը 10 անգամ նոսրացնում են </w:t>
      </w:r>
      <w:r w:rsidRPr="00825EEB">
        <w:rPr>
          <w:rFonts w:ascii="Sylfaen" w:hAnsi="Sylfaen"/>
          <w:i/>
          <w:sz w:val="24"/>
          <w:szCs w:val="24"/>
        </w:rPr>
        <w:t>Ռ ջրով</w:t>
      </w:r>
      <w:r w:rsidRPr="00825EEB">
        <w:rPr>
          <w:rFonts w:ascii="Sylfaen" w:hAnsi="Sylfaen"/>
          <w:sz w:val="24"/>
          <w:szCs w:val="24"/>
        </w:rPr>
        <w:t>:</w:t>
      </w:r>
    </w:p>
    <w:p w14:paraId="303BD9B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Ցինկի 0,50 ppm պարունակող լուծույթը պատրաստում են </w:t>
      </w:r>
      <w:r w:rsidRPr="00825EEB">
        <w:rPr>
          <w:rFonts w:ascii="Sylfaen" w:hAnsi="Sylfaen"/>
          <w:i/>
          <w:sz w:val="24"/>
          <w:szCs w:val="24"/>
        </w:rPr>
        <w:t>Ռ ցինկի իոնների ստանդարտ լուծույթը (5 մգ/մլ Zn</w:t>
      </w:r>
      <w:r w:rsidRPr="00825EEB">
        <w:rPr>
          <w:rFonts w:ascii="Sylfaen" w:hAnsi="Sylfaen"/>
          <w:i/>
          <w:sz w:val="24"/>
          <w:szCs w:val="24"/>
          <w:vertAlign w:val="superscript"/>
        </w:rPr>
        <w:t>2+</w:t>
      </w:r>
      <w:r w:rsidRPr="00825EEB">
        <w:rPr>
          <w:rFonts w:ascii="Sylfaen" w:hAnsi="Sylfaen"/>
          <w:i/>
          <w:sz w:val="24"/>
          <w:szCs w:val="24"/>
        </w:rPr>
        <w:t>) 0,01 Մ քլորաջրածնային թթվով</w:t>
      </w:r>
      <w:r w:rsidRPr="00825EEB">
        <w:rPr>
          <w:rFonts w:ascii="Sylfaen" w:hAnsi="Sylfaen"/>
          <w:sz w:val="24"/>
          <w:szCs w:val="24"/>
        </w:rPr>
        <w:t xml:space="preserve"> նոսրացնելով:</w:t>
      </w:r>
    </w:p>
    <w:p w14:paraId="031C198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ցինկի բացակայությունը:</w:t>
      </w:r>
    </w:p>
    <w:p w14:paraId="680BED9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Ալիքի 214,0 նմ երկարության դեպքում փորձարկվող լուծույթի կլանումը չպետք է գերազանցի համեմատության լուծույթի կլանման ինտենսիվությունը:</w:t>
      </w:r>
    </w:p>
    <w:p w14:paraId="2CA59CE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Ծանր մետաղներ</w:t>
      </w:r>
      <w:r w:rsidRPr="00825EEB">
        <w:rPr>
          <w:rFonts w:ascii="Sylfaen" w:hAnsi="Sylfaen"/>
          <w:sz w:val="24"/>
          <w:szCs w:val="24"/>
        </w:rPr>
        <w:t xml:space="preserve"> (</w:t>
      </w:r>
      <w:r w:rsidRPr="00825EEB">
        <w:rPr>
          <w:rFonts w:ascii="Sylfaen" w:hAnsi="Sylfaen"/>
          <w:i/>
          <w:sz w:val="24"/>
          <w:szCs w:val="24"/>
        </w:rPr>
        <w:t>2.1.4.8, Ա մեթոդ</w:t>
      </w:r>
      <w:r w:rsidRPr="00825EEB">
        <w:rPr>
          <w:rFonts w:ascii="Sylfaen" w:hAnsi="Sylfaen"/>
          <w:sz w:val="24"/>
          <w:szCs w:val="24"/>
        </w:rPr>
        <w:t>)։ 20 ppm-ից ոչ ավելի։</w:t>
      </w:r>
    </w:p>
    <w:p w14:paraId="688066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Տ3 լուծույթի 12 մլ պետք է անցնի ծանր մետաղների մասով փորձարկումները: Համեմատության լուծույթը պատրաստում են՝ օգտագործելով </w:t>
      </w:r>
      <w:r w:rsidRPr="00825EEB">
        <w:rPr>
          <w:rFonts w:ascii="Sylfaen" w:hAnsi="Sylfaen"/>
          <w:i/>
          <w:sz w:val="24"/>
          <w:szCs w:val="24"/>
        </w:rPr>
        <w:t>Ռ կապարի իոնների ստանդարտ լուծույթի (1 ppm Pb</w:t>
      </w:r>
      <w:r w:rsidRPr="00825EEB">
        <w:rPr>
          <w:rFonts w:ascii="Sylfaen" w:hAnsi="Sylfaen"/>
          <w:i/>
          <w:sz w:val="24"/>
          <w:szCs w:val="24"/>
          <w:vertAlign w:val="superscript"/>
        </w:rPr>
        <w:t>2+</w:t>
      </w:r>
      <w:r w:rsidRPr="00825EEB">
        <w:rPr>
          <w:rFonts w:ascii="Sylfaen" w:hAnsi="Sylfaen"/>
          <w:i/>
          <w:sz w:val="24"/>
          <w:szCs w:val="24"/>
        </w:rPr>
        <w:t>)</w:t>
      </w:r>
      <w:r w:rsidRPr="00825EEB">
        <w:rPr>
          <w:rFonts w:ascii="Sylfaen" w:hAnsi="Sylfaen"/>
          <w:sz w:val="24"/>
          <w:szCs w:val="24"/>
        </w:rPr>
        <w:t xml:space="preserve"> 10 մլ:</w:t>
      </w:r>
    </w:p>
    <w:p w14:paraId="20E2E2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1,0 %-ից ոչ ավելի:</w:t>
      </w:r>
    </w:p>
    <w:p w14:paraId="3B082E99" w14:textId="77777777" w:rsidR="0058052E" w:rsidRPr="00825EEB" w:rsidRDefault="0058052E" w:rsidP="0058052E">
      <w:pPr>
        <w:spacing w:after="160" w:line="360" w:lineRule="auto"/>
        <w:ind w:firstLine="567"/>
        <w:jc w:val="both"/>
      </w:pPr>
      <w:r w:rsidRPr="00825EEB">
        <w:t>Որոշումն անցկացնում են փորձարկվող նմուշի 1,0 գ-ով: Այն նյութերի համար, որոնք որպես հավելանյութ պարունակում են տիտանի դիօքսիդ, որն անթափանցություն է հաղորդում, սուլֆատային մոխրի պարունակությունը չպետք</w:t>
      </w:r>
      <w:r w:rsidR="00AA234B" w:rsidRPr="00AA234B">
        <w:t> </w:t>
      </w:r>
      <w:r w:rsidRPr="00825EEB">
        <w:t>է գերազանցի 4,0 %-ը:</w:t>
      </w:r>
    </w:p>
    <w:p w14:paraId="43F07DCC" w14:textId="77777777" w:rsidR="0058052E" w:rsidRPr="00825EEB" w:rsidRDefault="0058052E" w:rsidP="00F24391">
      <w:pPr>
        <w:spacing w:after="160" w:line="346" w:lineRule="auto"/>
        <w:ind w:firstLine="567"/>
        <w:jc w:val="both"/>
      </w:pPr>
    </w:p>
    <w:p w14:paraId="7C16C942"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ՔԱՆԱԿԱԿԱՆ ՈՐՈՇՈՒՄԸ</w:t>
      </w:r>
    </w:p>
    <w:p w14:paraId="1133D421"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Որոշումն անցկացնում են թթվածնով փորձանոթի մեջ այրման մեթոդով (</w:t>
      </w:r>
      <w:r w:rsidRPr="00825EEB">
        <w:rPr>
          <w:rFonts w:ascii="Sylfaen" w:hAnsi="Sylfaen"/>
          <w:i/>
          <w:sz w:val="24"/>
          <w:szCs w:val="24"/>
        </w:rPr>
        <w:t>2.1.5.10</w:t>
      </w:r>
      <w:r w:rsidRPr="00825EEB">
        <w:rPr>
          <w:rFonts w:ascii="Sylfaen" w:hAnsi="Sylfaen"/>
          <w:sz w:val="24"/>
          <w:szCs w:val="24"/>
        </w:rPr>
        <w:t xml:space="preserve">)՝ օգտագործելով նյութի փորձարկվող նմուշի 50,0 մգ-ը: Այրման արգասիքները լուծում են </w:t>
      </w:r>
      <w:r w:rsidRPr="00825EEB">
        <w:rPr>
          <w:rFonts w:ascii="Sylfaen" w:hAnsi="Sylfaen"/>
          <w:i/>
          <w:sz w:val="24"/>
          <w:szCs w:val="24"/>
        </w:rPr>
        <w:t>1 Մ նատրիումի հիդրօքսիդի լուծույթի</w:t>
      </w:r>
      <w:r w:rsidRPr="00825EEB">
        <w:rPr>
          <w:rFonts w:ascii="Sylfaen" w:hAnsi="Sylfaen"/>
          <w:sz w:val="24"/>
          <w:szCs w:val="24"/>
        </w:rPr>
        <w:t xml:space="preserve"> 20 մլ-ի մեջ: Ստացված լուծույթին ավելացնում են </w:t>
      </w:r>
      <w:r w:rsidRPr="00825EEB">
        <w:rPr>
          <w:rFonts w:ascii="Sylfaen" w:hAnsi="Sylfaen"/>
          <w:i/>
          <w:sz w:val="24"/>
          <w:szCs w:val="24"/>
        </w:rPr>
        <w:t>Ռ ազոտաթթվի</w:t>
      </w:r>
      <w:r w:rsidRPr="00825EEB">
        <w:rPr>
          <w:rFonts w:ascii="Sylfaen" w:hAnsi="Sylfaen"/>
          <w:sz w:val="24"/>
          <w:szCs w:val="24"/>
        </w:rPr>
        <w:t xml:space="preserve"> 2,5 մլ </w:t>
      </w:r>
      <w:r>
        <w:rPr>
          <w:rFonts w:ascii="Sylfaen" w:hAnsi="Sylfaen"/>
          <w:sz w:val="24"/>
          <w:szCs w:val="24"/>
        </w:rPr>
        <w:t>եւ</w:t>
      </w:r>
      <w:r w:rsidRPr="00825EEB">
        <w:rPr>
          <w:rFonts w:ascii="Sylfaen" w:hAnsi="Sylfaen"/>
          <w:sz w:val="24"/>
          <w:szCs w:val="24"/>
        </w:rPr>
        <w:t xml:space="preserve"> տիտրում են </w:t>
      </w:r>
      <w:r w:rsidRPr="00825EEB">
        <w:rPr>
          <w:rFonts w:ascii="Sylfaen" w:hAnsi="Sylfaen"/>
          <w:i/>
          <w:sz w:val="24"/>
          <w:szCs w:val="24"/>
        </w:rPr>
        <w:t>0,1 Մ</w:t>
      </w:r>
      <w:r w:rsidRPr="00825EEB">
        <w:rPr>
          <w:rFonts w:ascii="Sylfaen" w:hAnsi="Sylfaen"/>
          <w:sz w:val="24"/>
          <w:szCs w:val="24"/>
        </w:rPr>
        <w:t xml:space="preserve"> </w:t>
      </w:r>
      <w:r w:rsidRPr="00825EEB">
        <w:rPr>
          <w:rFonts w:ascii="Sylfaen" w:hAnsi="Sylfaen"/>
          <w:i/>
          <w:sz w:val="24"/>
          <w:szCs w:val="24"/>
        </w:rPr>
        <w:t>արծաթի նիտրատի լուծույթով՝</w:t>
      </w:r>
      <w:r w:rsidRPr="00825EEB">
        <w:rPr>
          <w:rFonts w:ascii="Sylfaen" w:hAnsi="Sylfaen"/>
          <w:sz w:val="24"/>
          <w:szCs w:val="24"/>
        </w:rPr>
        <w:t xml:space="preserve"> պոտենցաչափորեն որոշելով տիտրման վերջնակետը (</w:t>
      </w:r>
      <w:r w:rsidRPr="00825EEB">
        <w:rPr>
          <w:rFonts w:ascii="Sylfaen" w:hAnsi="Sylfaen"/>
          <w:i/>
          <w:sz w:val="24"/>
          <w:szCs w:val="24"/>
        </w:rPr>
        <w:t>2.1.2.19</w:t>
      </w:r>
      <w:r w:rsidRPr="00825EEB">
        <w:rPr>
          <w:rFonts w:ascii="Sylfaen" w:hAnsi="Sylfaen"/>
          <w:sz w:val="24"/>
          <w:szCs w:val="24"/>
        </w:rPr>
        <w:t>):</w:t>
      </w:r>
    </w:p>
    <w:p w14:paraId="0C5D9FE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Զուգահեռ անցկացնում են ստուգիչ փորձարկումը։</w:t>
      </w:r>
    </w:p>
    <w:p w14:paraId="7ECB1C7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0,1 Մ արծաթի նիտրատի լուծույթի</w:t>
      </w:r>
      <w:r w:rsidRPr="00825EEB">
        <w:rPr>
          <w:rFonts w:ascii="Sylfaen" w:hAnsi="Sylfaen"/>
          <w:sz w:val="24"/>
          <w:szCs w:val="24"/>
        </w:rPr>
        <w:t xml:space="preserve"> 1 մլ-ը համապատասխանում է պոլիվինիլքլորիդի 6,25 մգ-ին։</w:t>
      </w:r>
    </w:p>
    <w:p w14:paraId="510F844D"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p>
    <w:p w14:paraId="5B53690B" w14:textId="77777777" w:rsidR="0058052E" w:rsidRPr="00A859E3" w:rsidRDefault="0058052E" w:rsidP="00F24391">
      <w:pPr>
        <w:pStyle w:val="a0"/>
        <w:shd w:val="clear" w:color="auto" w:fill="auto"/>
        <w:spacing w:after="160" w:line="346" w:lineRule="auto"/>
        <w:ind w:firstLine="567"/>
        <w:jc w:val="right"/>
        <w:rPr>
          <w:rFonts w:ascii="Sylfaen" w:hAnsi="Sylfaen"/>
          <w:b/>
          <w:szCs w:val="24"/>
        </w:rPr>
      </w:pPr>
      <w:r w:rsidRPr="00AA234B">
        <w:rPr>
          <w:rFonts w:ascii="Sylfaen" w:hAnsi="Sylfaen"/>
          <w:b/>
          <w:szCs w:val="24"/>
        </w:rPr>
        <w:t>204010010-2022</w:t>
      </w:r>
    </w:p>
    <w:p w14:paraId="29F1BA7E" w14:textId="77777777" w:rsidR="00AA234B" w:rsidRPr="00A859E3" w:rsidRDefault="00AA234B" w:rsidP="00F24391">
      <w:pPr>
        <w:pStyle w:val="a0"/>
        <w:shd w:val="clear" w:color="auto" w:fill="auto"/>
        <w:spacing w:after="160" w:line="346" w:lineRule="auto"/>
        <w:ind w:firstLine="567"/>
        <w:jc w:val="right"/>
        <w:rPr>
          <w:rFonts w:ascii="Sylfaen" w:hAnsi="Sylfaen" w:cs="Sylfaen"/>
          <w:szCs w:val="24"/>
        </w:rPr>
      </w:pPr>
    </w:p>
    <w:p w14:paraId="398C320A" w14:textId="77777777" w:rsidR="0058052E" w:rsidRPr="00825EEB" w:rsidRDefault="00AA234B" w:rsidP="00F24391">
      <w:pPr>
        <w:pStyle w:val="a0"/>
        <w:shd w:val="clear" w:color="auto" w:fill="auto"/>
        <w:tabs>
          <w:tab w:val="left" w:pos="1843"/>
        </w:tabs>
        <w:spacing w:after="160" w:line="346" w:lineRule="auto"/>
        <w:ind w:firstLine="567"/>
        <w:jc w:val="both"/>
        <w:rPr>
          <w:rFonts w:ascii="Sylfaen" w:hAnsi="Sylfaen" w:cs="Sylfaen"/>
          <w:sz w:val="24"/>
          <w:szCs w:val="24"/>
        </w:rPr>
      </w:pPr>
      <w:r>
        <w:rPr>
          <w:rFonts w:ascii="Sylfaen" w:hAnsi="Sylfaen"/>
          <w:b/>
          <w:sz w:val="24"/>
          <w:szCs w:val="24"/>
        </w:rPr>
        <w:t>2.4.1.10.</w:t>
      </w:r>
      <w:r w:rsidRPr="00A859E3">
        <w:rPr>
          <w:rFonts w:ascii="Sylfaen" w:hAnsi="Sylfaen"/>
          <w:b/>
          <w:sz w:val="24"/>
          <w:szCs w:val="24"/>
        </w:rPr>
        <w:tab/>
      </w:r>
      <w:r w:rsidR="0058052E" w:rsidRPr="00825EEB">
        <w:rPr>
          <w:rFonts w:ascii="Sylfaen" w:hAnsi="Sylfaen"/>
          <w:b/>
          <w:sz w:val="24"/>
          <w:szCs w:val="24"/>
        </w:rPr>
        <w:t>Պոլիմերային նյութերի հավելանյութերը</w:t>
      </w:r>
    </w:p>
    <w:p w14:paraId="5268814C"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Սույն ընդհանուր դեղագրքային հոդվածում ներկայացված է պոլիմերային նյութերի հավելանյութերի ցանկը: Հավելանյութերին են դասվում այն նյութերը, որոնք նպատակաուղղված ներմուծվում են պոլիմերային նյութերի մեջ՝ դրանց </w:t>
      </w:r>
      <w:r w:rsidRPr="00825EEB">
        <w:rPr>
          <w:rFonts w:ascii="Sylfaen" w:hAnsi="Sylfaen"/>
          <w:sz w:val="24"/>
          <w:szCs w:val="24"/>
        </w:rPr>
        <w:lastRenderedPageBreak/>
        <w:t xml:space="preserve">մշակումը կամ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Անհրաժեշտ ֆունկցիոնալ հատկություններով հավելանյութի ընտրությունը կախված է պոլիմերային նյութի նշանակությունից: Ըստ կազմի՝ պոլիմերային նյութերի հավելանյութերը կարող են լինել առանձին վերցված մեկ քիմիական նյութ, պոլիմերային նյութ կամ տարբեր բաղադրիչների որոշակի խառնուրդ: </w:t>
      </w:r>
    </w:p>
    <w:p w14:paraId="0E352E6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Փաթեթավորման վերջնական նյութի մեջ առկա նյութերը, որոնք դիտավորյալ չեն ավելացվել, համարվում են խառնուկներ </w:t>
      </w:r>
      <w:r>
        <w:rPr>
          <w:rFonts w:ascii="Sylfaen" w:hAnsi="Sylfaen"/>
          <w:sz w:val="24"/>
          <w:szCs w:val="24"/>
        </w:rPr>
        <w:t>եւ</w:t>
      </w:r>
      <w:r w:rsidRPr="00825EEB">
        <w:rPr>
          <w:rFonts w:ascii="Sylfaen" w:hAnsi="Sylfaen"/>
          <w:sz w:val="24"/>
          <w:szCs w:val="24"/>
        </w:rPr>
        <w:t xml:space="preserve"> ներառում են սինթեզի </w:t>
      </w:r>
      <w:r>
        <w:rPr>
          <w:rFonts w:ascii="Sylfaen" w:hAnsi="Sylfaen"/>
          <w:sz w:val="24"/>
          <w:szCs w:val="24"/>
        </w:rPr>
        <w:t>եւ</w:t>
      </w:r>
      <w:r w:rsidRPr="00825EEB">
        <w:rPr>
          <w:rFonts w:ascii="Sylfaen" w:hAnsi="Sylfaen"/>
          <w:sz w:val="24"/>
          <w:szCs w:val="24"/>
        </w:rPr>
        <w:t xml:space="preserve"> դեգրադացման արգասիքներ: Խառնուկների պարունակությունը կարող է սահմանափակվել համապատասխան մասնագրով:</w:t>
      </w:r>
    </w:p>
    <w:p w14:paraId="29411D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2043F1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ԸՆԴՀԱՆՈՒՐ ՊԱՀԱՆՋՆԵՐԸ</w:t>
      </w:r>
    </w:p>
    <w:p w14:paraId="37F4ED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Հավելանյութերը </w:t>
      </w:r>
      <w:r>
        <w:rPr>
          <w:rFonts w:ascii="Sylfaen" w:hAnsi="Sylfaen"/>
          <w:sz w:val="24"/>
          <w:szCs w:val="24"/>
        </w:rPr>
        <w:t>եւ</w:t>
      </w:r>
      <w:r w:rsidRPr="00825EEB">
        <w:rPr>
          <w:rFonts w:ascii="Sylfaen" w:hAnsi="Sylfaen"/>
          <w:sz w:val="24"/>
          <w:szCs w:val="24"/>
        </w:rPr>
        <w:t xml:space="preserve"> փաթեթավորման վերջնական նյութում առկայության հավանականության դեպքում՝ դրանց խառնուկները, ինչպես նա</w:t>
      </w:r>
      <w:r>
        <w:rPr>
          <w:rFonts w:ascii="Sylfaen" w:hAnsi="Sylfaen"/>
          <w:sz w:val="24"/>
          <w:szCs w:val="24"/>
        </w:rPr>
        <w:t>եւ</w:t>
      </w:r>
      <w:r w:rsidRPr="00825EEB">
        <w:rPr>
          <w:rFonts w:ascii="Sylfaen" w:hAnsi="Sylfaen"/>
          <w:sz w:val="24"/>
          <w:szCs w:val="24"/>
        </w:rPr>
        <w:t xml:space="preserve"> սինթեզի </w:t>
      </w:r>
      <w:r>
        <w:rPr>
          <w:rFonts w:ascii="Sylfaen" w:hAnsi="Sylfaen"/>
          <w:sz w:val="24"/>
          <w:szCs w:val="24"/>
        </w:rPr>
        <w:t>եւ</w:t>
      </w:r>
      <w:r w:rsidRPr="00825EEB">
        <w:rPr>
          <w:rFonts w:ascii="Sylfaen" w:hAnsi="Sylfaen"/>
          <w:sz w:val="24"/>
          <w:szCs w:val="24"/>
        </w:rPr>
        <w:t xml:space="preserve"> դեգրադացման արգասիքները պետք է ունենան կիրառման անվտանգության հաստատում՝ հաշվի առնելով փաթեթվածքի պարունակության մեջ լվացահանման արդյունքում դրանց հնարավոր առավելագույն անբարենպաստ ազդեցությունը:</w:t>
      </w:r>
    </w:p>
    <w:p w14:paraId="4A52F3BD" w14:textId="77777777" w:rsidR="0058052E" w:rsidRPr="00825EEB" w:rsidRDefault="0058052E" w:rsidP="0058052E">
      <w:pPr>
        <w:spacing w:after="160" w:line="360" w:lineRule="auto"/>
        <w:ind w:firstLine="567"/>
        <w:jc w:val="both"/>
      </w:pPr>
      <w:r w:rsidRPr="00825EEB">
        <w:t xml:space="preserve">Ընդունելիության չափորոշիչները պետք է սահմանված լինեն փաթեթվածքի յուրաքանչյուր բաղադրիչի համար նույնականացման, ֆիզիկաքիմիական բնութագրերի, խառնուկների </w:t>
      </w:r>
      <w:r>
        <w:t>եւ</w:t>
      </w:r>
      <w:r w:rsidRPr="00825EEB">
        <w:t xml:space="preserve"> պարունակության որոշման համար:</w:t>
      </w:r>
    </w:p>
    <w:p w14:paraId="6B5D6A9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Փաթեթվածքի նյութի մեջ հավելանյութերի պարունակությունը չպետք է գերազանցի նախատեսվող օգտագործման </w:t>
      </w:r>
      <w:r>
        <w:rPr>
          <w:rFonts w:ascii="Sylfaen" w:hAnsi="Sylfaen"/>
          <w:sz w:val="24"/>
          <w:szCs w:val="24"/>
        </w:rPr>
        <w:t>եւ</w:t>
      </w:r>
      <w:r w:rsidRPr="00825EEB">
        <w:rPr>
          <w:rFonts w:ascii="Sylfaen" w:hAnsi="Sylfaen"/>
          <w:sz w:val="24"/>
          <w:szCs w:val="24"/>
        </w:rPr>
        <w:t xml:space="preserve"> վերջնական արտադրանքի կայունության ու որակի ապահովման համար սահմանված նվազագույն արդյունավետ կոնցենտրացիան:</w:t>
      </w:r>
    </w:p>
    <w:p w14:paraId="79CEB68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Դեղագրքում չներկայացված պոլիմերային նյութերի հավելանյութերը կարող</w:t>
      </w:r>
      <w:r w:rsidR="00AA234B" w:rsidRPr="00AA234B">
        <w:rPr>
          <w:rFonts w:ascii="Sylfaen" w:hAnsi="Sylfaen"/>
          <w:sz w:val="24"/>
          <w:szCs w:val="24"/>
        </w:rPr>
        <w:t> </w:t>
      </w:r>
      <w:r w:rsidRPr="00825EEB">
        <w:rPr>
          <w:rFonts w:ascii="Sylfaen" w:hAnsi="Sylfaen"/>
          <w:sz w:val="24"/>
          <w:szCs w:val="24"/>
        </w:rPr>
        <w:t>են օգտագործվել լիազորված մարմնի հետ համաձայնեցմամբ՝ յուրաքանչյուր կոնկրետ դեպքում:</w:t>
      </w:r>
    </w:p>
    <w:p w14:paraId="0A3E837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ՑԱՆԿ</w:t>
      </w:r>
    </w:p>
    <w:p w14:paraId="1B4614E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Սկզբում նշված անվանումները համապատասխանում են IUPAC անվանացանկին։ Թավ տառատեսակով առանձնացված հոմանիշները համապատասխանում են 2.2 բաժնում նշված անվանումներին: Ցանկը ներառում է նա</w:t>
      </w:r>
      <w:r>
        <w:rPr>
          <w:rFonts w:ascii="Sylfaen" w:hAnsi="Sylfaen"/>
          <w:sz w:val="24"/>
          <w:szCs w:val="24"/>
        </w:rPr>
        <w:t>եւ</w:t>
      </w:r>
      <w:r w:rsidRPr="00825EEB">
        <w:rPr>
          <w:rFonts w:ascii="Sylfaen" w:hAnsi="Sylfaen"/>
          <w:sz w:val="24"/>
          <w:szCs w:val="24"/>
        </w:rPr>
        <w:t xml:space="preserve"> գրանցման համարը (</w:t>
      </w:r>
      <w:smartTag w:uri="urn:schemas-microsoft-com:office:smarttags" w:element="stockticker">
        <w:r w:rsidRPr="00825EEB">
          <w:rPr>
            <w:rFonts w:ascii="Sylfaen" w:hAnsi="Sylfaen"/>
            <w:sz w:val="24"/>
            <w:szCs w:val="24"/>
          </w:rPr>
          <w:t>CAS</w:t>
        </w:r>
      </w:smartTag>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հոմանիշները՝ Քիմիական ռեֆերատիվ ծառայության (Chemical Abstracts (СА) Index) անվանացանկի կանոններին համապատասխան:</w:t>
      </w:r>
    </w:p>
    <w:p w14:paraId="6A9D470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01։ </w:t>
      </w:r>
      <w:r w:rsidRPr="00825EEB">
        <w:rPr>
          <w:rFonts w:ascii="Sylfaen" w:hAnsi="Sylfaen"/>
          <w:sz w:val="24"/>
          <w:szCs w:val="24"/>
        </w:rPr>
        <w:t>С</w:t>
      </w:r>
      <w:r w:rsidRPr="00825EEB">
        <w:rPr>
          <w:rFonts w:ascii="Sylfaen" w:hAnsi="Sylfaen"/>
          <w:sz w:val="24"/>
          <w:szCs w:val="24"/>
          <w:vertAlign w:val="subscript"/>
        </w:rPr>
        <w:t>24</w:t>
      </w:r>
      <w:r w:rsidRPr="00825EEB">
        <w:rPr>
          <w:rFonts w:ascii="Sylfaen" w:hAnsi="Sylfaen"/>
          <w:sz w:val="24"/>
          <w:szCs w:val="24"/>
        </w:rPr>
        <w:t>Н</w:t>
      </w:r>
      <w:r w:rsidRPr="00825EEB">
        <w:rPr>
          <w:rFonts w:ascii="Sylfaen" w:hAnsi="Sylfaen"/>
          <w:sz w:val="24"/>
          <w:szCs w:val="24"/>
          <w:vertAlign w:val="subscript"/>
        </w:rPr>
        <w:t>38</w:t>
      </w:r>
      <w:r w:rsidRPr="00825EEB">
        <w:rPr>
          <w:rFonts w:ascii="Sylfaen" w:hAnsi="Sylfaen"/>
          <w:sz w:val="24"/>
          <w:szCs w:val="24"/>
        </w:rPr>
        <w:t>О</w:t>
      </w:r>
      <w:r w:rsidRPr="00825EEB">
        <w:rPr>
          <w:rFonts w:ascii="Sylfaen" w:hAnsi="Sylfaen"/>
          <w:sz w:val="24"/>
          <w:szCs w:val="24"/>
          <w:vertAlign w:val="subscript"/>
        </w:rPr>
        <w:t>4</w:t>
      </w:r>
      <w:r w:rsidRPr="00825EEB">
        <w:rPr>
          <w:rFonts w:ascii="Sylfaen" w:hAnsi="Sylfaen"/>
          <w:sz w:val="24"/>
          <w:szCs w:val="24"/>
        </w:rPr>
        <w:t>. [117-81-7]։</w:t>
      </w:r>
    </w:p>
    <w:p w14:paraId="2EBB82BC"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hAnsi="Sylfaen" w:cs="Sylfaen"/>
          <w:noProof/>
          <w:sz w:val="24"/>
          <w:szCs w:val="24"/>
        </w:rPr>
        <w:pict w14:anchorId="46506726">
          <v:rect id="_x0000_s1413" style="position:absolute;left:0;text-align:left;margin-left:164.75pt;margin-top:36.45pt;width:105.25pt;height:40.35pt;z-index:251961344" stroked="f">
            <v:textbox>
              <w:txbxContent>
                <w:p w14:paraId="6F7B362D" w14:textId="77777777" w:rsidR="008D6E8B" w:rsidRPr="00425B0F" w:rsidRDefault="008D6E8B" w:rsidP="00AA234B">
                  <w:pPr>
                    <w:jc w:val="center"/>
                    <w:rPr>
                      <w:sz w:val="16"/>
                      <w:szCs w:val="16"/>
                    </w:rPr>
                  </w:pPr>
                  <w:r>
                    <w:rPr>
                      <w:sz w:val="16"/>
                    </w:rPr>
                    <w:t>Դրա էպիմերը՝ ըստ С*, և էնանտիոմերը</w:t>
                  </w:r>
                </w:p>
              </w:txbxContent>
            </v:textbox>
          </v:rect>
        </w:pict>
      </w:r>
      <w:r w:rsidR="0058052E" w:rsidRPr="00825EEB">
        <w:rPr>
          <w:rFonts w:ascii="Sylfaen" w:hAnsi="Sylfaen" w:cs="Sylfaen"/>
          <w:noProof/>
          <w:sz w:val="24"/>
          <w:szCs w:val="24"/>
          <w:lang w:val="en-US" w:eastAsia="en-US" w:bidi="ar-SA"/>
        </w:rPr>
        <w:drawing>
          <wp:inline distT="0" distB="0" distL="0" distR="0" wp14:anchorId="15920449" wp14:editId="1DBB1D8B">
            <wp:extent cx="3190591" cy="1350818"/>
            <wp:effectExtent l="19050" t="0" r="0" b="0"/>
            <wp:docPr id="2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cstate="print"/>
                    <a:srcRect/>
                    <a:stretch>
                      <a:fillRect/>
                    </a:stretch>
                  </pic:blipFill>
                  <pic:spPr bwMode="auto">
                    <a:xfrm>
                      <a:off x="0" y="0"/>
                      <a:ext cx="3191583" cy="1351238"/>
                    </a:xfrm>
                    <a:prstGeom prst="rect">
                      <a:avLst/>
                    </a:prstGeom>
                    <a:noFill/>
                    <a:ln w="9525">
                      <a:noFill/>
                      <a:miter lim="800000"/>
                      <a:headEnd/>
                      <a:tailEnd/>
                    </a:ln>
                  </pic:spPr>
                </pic:pic>
              </a:graphicData>
            </a:graphic>
          </wp:inline>
        </w:drawing>
      </w:r>
    </w:p>
    <w:p w14:paraId="6A9324E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29FCDF5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բիս[(2</w:t>
      </w:r>
      <w:r w:rsidRPr="00825EEB">
        <w:rPr>
          <w:rFonts w:ascii="Sylfaen" w:hAnsi="Sylfaen"/>
          <w:i/>
          <w:sz w:val="24"/>
          <w:szCs w:val="24"/>
        </w:rPr>
        <w:t>RS</w:t>
      </w:r>
      <w:r w:rsidRPr="00825EEB">
        <w:rPr>
          <w:rFonts w:ascii="Sylfaen" w:hAnsi="Sylfaen"/>
          <w:sz w:val="24"/>
          <w:szCs w:val="24"/>
        </w:rPr>
        <w:t>)-2-էթիլհեքսիլ]բենզոլ-1,2-դիկաբօքսիլատ</w:t>
      </w:r>
    </w:p>
    <w:p w14:paraId="6510990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b/>
          <w:sz w:val="24"/>
          <w:szCs w:val="24"/>
        </w:rPr>
        <w:t>-</w:t>
      </w:r>
      <w:r w:rsidRPr="00825EEB">
        <w:rPr>
          <w:rFonts w:ascii="Sylfaen" w:hAnsi="Sylfaen"/>
          <w:b/>
          <w:sz w:val="24"/>
          <w:szCs w:val="24"/>
        </w:rPr>
        <w:t xml:space="preserve"> դի(2-էթիլհեքսիլ)ֆտալատ, դի(2-էթիլհեքսիլ)բենզոլ-1,2-դիկաբօքսիլատ.</w:t>
      </w:r>
    </w:p>
    <w:p w14:paraId="48CC1AAE"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1,2-բենզոլդիկարբոնային թթվի բիս(2-էթիլհեքսիլ) եթեր.</w:t>
      </w:r>
    </w:p>
    <w:p w14:paraId="59285D53"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DEHP:</w:t>
      </w:r>
    </w:p>
    <w:p w14:paraId="7C912A5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02։ </w:t>
      </w:r>
      <w:r w:rsidRPr="00825EEB">
        <w:rPr>
          <w:rFonts w:ascii="Sylfaen" w:hAnsi="Sylfaen"/>
          <w:sz w:val="24"/>
          <w:szCs w:val="24"/>
        </w:rPr>
        <w:t>C</w:t>
      </w:r>
      <w:r w:rsidRPr="00825EEB">
        <w:rPr>
          <w:rFonts w:ascii="Sylfaen" w:hAnsi="Sylfaen"/>
          <w:sz w:val="24"/>
          <w:szCs w:val="24"/>
          <w:vertAlign w:val="subscript"/>
        </w:rPr>
        <w:t>16</w:t>
      </w:r>
      <w:r w:rsidRPr="00825EEB">
        <w:rPr>
          <w:rFonts w:ascii="Sylfaen" w:hAnsi="Sylfaen"/>
          <w:sz w:val="24"/>
          <w:szCs w:val="24"/>
        </w:rPr>
        <w:t>H</w:t>
      </w:r>
      <w:r w:rsidRPr="00825EEB">
        <w:rPr>
          <w:rFonts w:ascii="Sylfaen" w:hAnsi="Sylfaen"/>
          <w:sz w:val="24"/>
          <w:szCs w:val="24"/>
          <w:vertAlign w:val="subscript"/>
        </w:rPr>
        <w:t>30</w:t>
      </w:r>
      <w:r w:rsidRPr="00825EEB">
        <w:rPr>
          <w:rFonts w:ascii="Sylfaen" w:hAnsi="Sylfaen"/>
          <w:sz w:val="24"/>
          <w:szCs w:val="24"/>
        </w:rPr>
        <w:t>O</w:t>
      </w:r>
      <w:r w:rsidRPr="00825EEB">
        <w:rPr>
          <w:rFonts w:ascii="Sylfaen" w:hAnsi="Sylfaen"/>
          <w:sz w:val="24"/>
          <w:szCs w:val="24"/>
          <w:vertAlign w:val="subscript"/>
        </w:rPr>
        <w:t>4</w:t>
      </w:r>
      <w:r w:rsidRPr="00825EEB">
        <w:rPr>
          <w:rFonts w:ascii="Sylfaen" w:hAnsi="Sylfaen"/>
          <w:sz w:val="24"/>
          <w:szCs w:val="24"/>
        </w:rPr>
        <w:t>Zn. [136-53-8]։</w:t>
      </w:r>
    </w:p>
    <w:p w14:paraId="6813439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2E6919BD" wp14:editId="110D4300">
            <wp:extent cx="2883970" cy="616527"/>
            <wp:effectExtent l="19050" t="0" r="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cstate="print"/>
                    <a:srcRect/>
                    <a:stretch>
                      <a:fillRect/>
                    </a:stretch>
                  </pic:blipFill>
                  <pic:spPr bwMode="auto">
                    <a:xfrm>
                      <a:off x="0" y="0"/>
                      <a:ext cx="2883556" cy="616439"/>
                    </a:xfrm>
                    <a:prstGeom prst="rect">
                      <a:avLst/>
                    </a:prstGeom>
                    <a:noFill/>
                    <a:ln w="9525">
                      <a:noFill/>
                      <a:miter lim="800000"/>
                      <a:headEnd/>
                      <a:tailEnd/>
                    </a:ln>
                  </pic:spPr>
                </pic:pic>
              </a:graphicData>
            </a:graphic>
          </wp:inline>
        </w:drawing>
      </w:r>
    </w:p>
    <w:p w14:paraId="46150A5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դրա էպիմերը՝ ըստ С*, </w:t>
      </w:r>
      <w:r>
        <w:rPr>
          <w:rFonts w:ascii="Sylfaen" w:hAnsi="Sylfaen"/>
          <w:sz w:val="24"/>
          <w:szCs w:val="24"/>
        </w:rPr>
        <w:t>եւ</w:t>
      </w:r>
      <w:r w:rsidRPr="00825EEB">
        <w:rPr>
          <w:rFonts w:ascii="Sylfaen" w:hAnsi="Sylfaen"/>
          <w:sz w:val="24"/>
          <w:szCs w:val="24"/>
        </w:rPr>
        <w:t xml:space="preserve"> էնանտիոմերը</w:t>
      </w:r>
    </w:p>
    <w:p w14:paraId="303A899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ցինկի բիս[(2</w:t>
      </w:r>
      <w:r w:rsidRPr="00825EEB">
        <w:rPr>
          <w:rFonts w:ascii="Sylfaen" w:hAnsi="Sylfaen"/>
          <w:i/>
          <w:sz w:val="24"/>
          <w:szCs w:val="24"/>
        </w:rPr>
        <w:t>RS</w:t>
      </w:r>
      <w:r w:rsidRPr="00825EEB">
        <w:rPr>
          <w:rFonts w:ascii="Sylfaen" w:hAnsi="Sylfaen"/>
          <w:sz w:val="24"/>
          <w:szCs w:val="24"/>
        </w:rPr>
        <w:t>)-2-էթիլհեքսանոատ]</w:t>
      </w:r>
    </w:p>
    <w:p w14:paraId="50BC50F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ցինկի օկտանոատ</w:t>
      </w:r>
      <w:r w:rsidRPr="00825EEB">
        <w:rPr>
          <w:rFonts w:ascii="Sylfaen" w:hAnsi="Sylfaen"/>
          <w:sz w:val="24"/>
          <w:szCs w:val="24"/>
        </w:rPr>
        <w:t>.</w:t>
      </w:r>
    </w:p>
    <w:p w14:paraId="637B3D5E"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AA234B">
        <w:rPr>
          <w:rFonts w:ascii="Sylfaen" w:hAnsi="Sylfaen"/>
          <w:sz w:val="24"/>
          <w:szCs w:val="24"/>
        </w:rPr>
        <w:tab/>
      </w:r>
      <w:r w:rsidR="0058052E" w:rsidRPr="00825EEB">
        <w:rPr>
          <w:rFonts w:ascii="Sylfaen" w:hAnsi="Sylfaen"/>
          <w:sz w:val="24"/>
          <w:szCs w:val="24"/>
        </w:rPr>
        <w:t>2-էթիլհեքսանային թթվի ցինկի աղ (2:1).</w:t>
      </w:r>
    </w:p>
    <w:p w14:paraId="09EE21FC" w14:textId="77777777" w:rsidR="0058052E" w:rsidRPr="00D35F34" w:rsidRDefault="00AA234B" w:rsidP="00AA234B">
      <w:pPr>
        <w:tabs>
          <w:tab w:val="left" w:pos="1134"/>
        </w:tabs>
        <w:spacing w:after="160" w:line="360" w:lineRule="auto"/>
        <w:ind w:firstLine="567"/>
        <w:jc w:val="both"/>
      </w:pPr>
      <w:r>
        <w:t>-</w:t>
      </w:r>
      <w:r w:rsidRPr="00AA234B">
        <w:tab/>
      </w:r>
      <w:r w:rsidR="0058052E" w:rsidRPr="00825EEB">
        <w:t>ցինկի 2-էթիլկապրոատ։</w:t>
      </w:r>
    </w:p>
    <w:p w14:paraId="0F9A6411" w14:textId="77777777" w:rsidR="00F24391" w:rsidRPr="00D35F34" w:rsidRDefault="00F24391" w:rsidP="00AA234B">
      <w:pPr>
        <w:tabs>
          <w:tab w:val="left" w:pos="1134"/>
        </w:tabs>
        <w:spacing w:after="160" w:line="360" w:lineRule="auto"/>
        <w:ind w:firstLine="567"/>
        <w:jc w:val="both"/>
      </w:pPr>
    </w:p>
    <w:p w14:paraId="30FD976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03։ </w:t>
      </w:r>
      <w:r w:rsidRPr="00825EEB">
        <w:rPr>
          <w:rFonts w:ascii="Sylfaen" w:hAnsi="Sylfaen"/>
          <w:sz w:val="24"/>
          <w:szCs w:val="24"/>
        </w:rPr>
        <w:t>[05518-18-3]/[00110-30-5]։</w:t>
      </w:r>
    </w:p>
    <w:p w14:paraId="0BA5F8E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44D01A96" wp14:editId="7E98C02F">
            <wp:extent cx="3016326" cy="886691"/>
            <wp:effectExtent l="19050" t="0" r="0" b="0"/>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7" cstate="print"/>
                    <a:srcRect/>
                    <a:stretch>
                      <a:fillRect/>
                    </a:stretch>
                  </pic:blipFill>
                  <pic:spPr bwMode="auto">
                    <a:xfrm>
                      <a:off x="0" y="0"/>
                      <a:ext cx="3021683" cy="888266"/>
                    </a:xfrm>
                    <a:prstGeom prst="rect">
                      <a:avLst/>
                    </a:prstGeom>
                    <a:noFill/>
                    <a:ln w="9525">
                      <a:noFill/>
                      <a:miter lim="800000"/>
                      <a:headEnd/>
                      <a:tailEnd/>
                    </a:ln>
                  </pic:spPr>
                </pic:pic>
              </a:graphicData>
            </a:graphic>
          </wp:inline>
        </w:drawing>
      </w:r>
    </w:p>
    <w:p w14:paraId="7949748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N, N'</w:t>
      </w:r>
      <w:r w:rsidRPr="00825EEB">
        <w:rPr>
          <w:rFonts w:ascii="Sylfaen" w:hAnsi="Sylfaen"/>
          <w:sz w:val="24"/>
          <w:szCs w:val="24"/>
        </w:rPr>
        <w:t>-(էթան-1,2-դիիլ)դիալկանամիդ (</w:t>
      </w:r>
      <w:r w:rsidRPr="00825EEB">
        <w:rPr>
          <w:rFonts w:ascii="Sylfaen" w:hAnsi="Sylfaen"/>
          <w:i/>
          <w:sz w:val="24"/>
          <w:szCs w:val="24"/>
        </w:rPr>
        <w:t xml:space="preserve">n-ով </w:t>
      </w:r>
      <w:r>
        <w:rPr>
          <w:rFonts w:ascii="Sylfaen" w:hAnsi="Sylfaen"/>
          <w:i/>
          <w:sz w:val="24"/>
          <w:szCs w:val="24"/>
        </w:rPr>
        <w:t>եւ</w:t>
      </w:r>
      <w:r w:rsidRPr="00825EEB">
        <w:rPr>
          <w:rFonts w:ascii="Sylfaen" w:hAnsi="Sylfaen"/>
          <w:sz w:val="24"/>
          <w:szCs w:val="24"/>
        </w:rPr>
        <w:t xml:space="preserve"> </w:t>
      </w:r>
      <w:r w:rsidRPr="00825EEB">
        <w:rPr>
          <w:rFonts w:ascii="Sylfaen" w:hAnsi="Sylfaen"/>
          <w:i/>
          <w:sz w:val="24"/>
          <w:szCs w:val="24"/>
        </w:rPr>
        <w:t>m-ով =</w:t>
      </w:r>
      <w:r w:rsidRPr="00825EEB">
        <w:rPr>
          <w:rFonts w:ascii="Sylfaen" w:hAnsi="Sylfaen"/>
          <w:sz w:val="24"/>
          <w:szCs w:val="24"/>
        </w:rPr>
        <w:t xml:space="preserve"> 14 կամ 16)</w:t>
      </w:r>
    </w:p>
    <w:p w14:paraId="120840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i/>
          <w:sz w:val="24"/>
          <w:szCs w:val="24"/>
        </w:rPr>
        <w:t>N,N'</w:t>
      </w:r>
      <w:r w:rsidRPr="00825EEB">
        <w:rPr>
          <w:rFonts w:ascii="Sylfaen" w:hAnsi="Sylfaen"/>
          <w:b/>
          <w:sz w:val="24"/>
          <w:szCs w:val="24"/>
        </w:rPr>
        <w:t>-դիացիլէթիլենդիամիններ.</w:t>
      </w:r>
    </w:p>
    <w:p w14:paraId="618C1BA3"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t>`</w:t>
      </w:r>
      <w:r w:rsidR="0058052E" w:rsidRPr="00825EEB">
        <w:rPr>
          <w:rFonts w:ascii="Sylfaen" w:hAnsi="Sylfaen"/>
          <w:i/>
          <w:sz w:val="24"/>
          <w:szCs w:val="24"/>
        </w:rPr>
        <w:t>N,N'</w:t>
      </w:r>
      <w:r w:rsidR="0058052E" w:rsidRPr="00825EEB">
        <w:rPr>
          <w:rFonts w:ascii="Sylfaen" w:hAnsi="Sylfaen"/>
          <w:sz w:val="24"/>
          <w:szCs w:val="24"/>
        </w:rPr>
        <w:t xml:space="preserve">-դիացիլէթիլենդիամին (տվյալ ենթատեքստում ացիլը- մասնավորապես, նշանակում է պալմիտոիլ </w:t>
      </w:r>
      <w:r w:rsidR="0058052E">
        <w:rPr>
          <w:rFonts w:ascii="Sylfaen" w:hAnsi="Sylfaen"/>
          <w:sz w:val="24"/>
          <w:szCs w:val="24"/>
        </w:rPr>
        <w:t>եւ</w:t>
      </w:r>
      <w:r w:rsidR="0058052E" w:rsidRPr="00825EEB">
        <w:rPr>
          <w:rFonts w:ascii="Sylfaen" w:hAnsi="Sylfaen"/>
          <w:sz w:val="24"/>
          <w:szCs w:val="24"/>
        </w:rPr>
        <w:t xml:space="preserve"> ստեարոիլ):</w:t>
      </w:r>
    </w:p>
    <w:p w14:paraId="570D1BA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04: </w:t>
      </w:r>
      <w:r w:rsidRPr="00825EEB">
        <w:rPr>
          <w:rFonts w:ascii="Sylfaen" w:hAnsi="Sylfaen"/>
          <w:sz w:val="24"/>
          <w:szCs w:val="24"/>
        </w:rPr>
        <w:t>[8013-07-8]:</w:t>
      </w:r>
    </w:p>
    <w:p w14:paraId="2CEB7F0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էպօքսիդացված սոյայի յուղ</w:t>
      </w:r>
    </w:p>
    <w:p w14:paraId="617639A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05: </w:t>
      </w:r>
      <w:r w:rsidRPr="00825EEB">
        <w:rPr>
          <w:rFonts w:ascii="Sylfaen" w:hAnsi="Sylfaen"/>
          <w:sz w:val="24"/>
          <w:szCs w:val="24"/>
        </w:rPr>
        <w:t>[8016-11-3]:</w:t>
      </w:r>
    </w:p>
    <w:p w14:paraId="0F8F191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էպօքսիդացված կտավատի յուղ</w:t>
      </w:r>
    </w:p>
    <w:p w14:paraId="7FC20AC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Հավելանյութ 06:</w:t>
      </w:r>
    </w:p>
    <w:p w14:paraId="522541F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[57455-37-5](ТSСА)/[101357-30-6] EINECS / </w:t>
      </w:r>
    </w:p>
    <w:p w14:paraId="7A5FDB4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Կապույտ գունանյութ 29 (СI 77007)</w:t>
      </w:r>
    </w:p>
    <w:p w14:paraId="4A6BD7A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կապույտ ուլտրամարին </w:t>
      </w:r>
    </w:p>
    <w:p w14:paraId="263D2FF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07: </w:t>
      </w:r>
      <w:r w:rsidRPr="00825EEB">
        <w:rPr>
          <w:rFonts w:ascii="Sylfaen" w:hAnsi="Sylfaen"/>
          <w:sz w:val="24"/>
          <w:szCs w:val="24"/>
        </w:rPr>
        <w:t>С</w:t>
      </w:r>
      <w:r w:rsidRPr="00825EEB">
        <w:rPr>
          <w:rFonts w:ascii="Sylfaen" w:hAnsi="Sylfaen"/>
          <w:sz w:val="24"/>
          <w:szCs w:val="24"/>
          <w:vertAlign w:val="subscript"/>
        </w:rPr>
        <w:t>15</w:t>
      </w:r>
      <w:r w:rsidRPr="00825EEB">
        <w:rPr>
          <w:rFonts w:ascii="Sylfaen" w:hAnsi="Sylfaen"/>
          <w:sz w:val="24"/>
          <w:szCs w:val="24"/>
        </w:rPr>
        <w:t>Н</w:t>
      </w:r>
      <w:r w:rsidRPr="00825EEB">
        <w:rPr>
          <w:rFonts w:ascii="Sylfaen" w:hAnsi="Sylfaen"/>
          <w:sz w:val="24"/>
          <w:szCs w:val="24"/>
          <w:vertAlign w:val="subscript"/>
        </w:rPr>
        <w:t>24</w:t>
      </w:r>
      <w:r w:rsidRPr="00825EEB">
        <w:rPr>
          <w:rFonts w:ascii="Sylfaen" w:hAnsi="Sylfaen"/>
          <w:sz w:val="24"/>
          <w:szCs w:val="24"/>
        </w:rPr>
        <w:t>О: [128-37-0]:</w:t>
      </w:r>
    </w:p>
    <w:p w14:paraId="1465A16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lastRenderedPageBreak/>
        <w:drawing>
          <wp:inline distT="0" distB="0" distL="0" distR="0" wp14:anchorId="4511C728" wp14:editId="56121B94">
            <wp:extent cx="1817771" cy="1108364"/>
            <wp:effectExtent l="1905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cstate="print"/>
                    <a:srcRect/>
                    <a:stretch>
                      <a:fillRect/>
                    </a:stretch>
                  </pic:blipFill>
                  <pic:spPr bwMode="auto">
                    <a:xfrm>
                      <a:off x="0" y="0"/>
                      <a:ext cx="1817737" cy="1108343"/>
                    </a:xfrm>
                    <a:prstGeom prst="rect">
                      <a:avLst/>
                    </a:prstGeom>
                    <a:noFill/>
                    <a:ln w="9525">
                      <a:noFill/>
                      <a:miter lim="800000"/>
                      <a:headEnd/>
                      <a:tailEnd/>
                    </a:ln>
                  </pic:spPr>
                </pic:pic>
              </a:graphicData>
            </a:graphic>
          </wp:inline>
        </w:drawing>
      </w:r>
    </w:p>
    <w:p w14:paraId="19EC8B6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2,6-դի-</w:t>
      </w:r>
      <w:r w:rsidRPr="00825EEB">
        <w:rPr>
          <w:rFonts w:ascii="Sylfaen" w:hAnsi="Sylfaen"/>
          <w:i/>
          <w:sz w:val="24"/>
          <w:szCs w:val="24"/>
        </w:rPr>
        <w:t>տրետ</w:t>
      </w:r>
      <w:r w:rsidRPr="00825EEB">
        <w:rPr>
          <w:rFonts w:ascii="Sylfaen" w:hAnsi="Sylfaen"/>
          <w:sz w:val="24"/>
          <w:szCs w:val="24"/>
        </w:rPr>
        <w:t>-բութիլ-4-մեթիլֆենոլ</w:t>
      </w:r>
    </w:p>
    <w:p w14:paraId="22AD03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բութիլհիդրօքսիտոլուոլ.</w:t>
      </w:r>
    </w:p>
    <w:p w14:paraId="625BD820"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ֆենոլ, 2,6-բիս(1,1-դիմեթիլ-էթիլ)-4 մեթիլ-.</w:t>
      </w:r>
    </w:p>
    <w:p w14:paraId="787F36DD"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2,6-բիս(1,1-դիմեթիլէթիլ)-4-մեթիլֆենոլ։</w:t>
      </w:r>
    </w:p>
    <w:p w14:paraId="4368A41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08։ </w:t>
      </w:r>
      <w:r w:rsidRPr="00825EEB">
        <w:rPr>
          <w:rFonts w:ascii="Sylfaen" w:hAnsi="Sylfaen"/>
          <w:sz w:val="24"/>
          <w:szCs w:val="24"/>
        </w:rPr>
        <w:t>С</w:t>
      </w:r>
      <w:r w:rsidRPr="00825EEB">
        <w:rPr>
          <w:rFonts w:ascii="Sylfaen" w:hAnsi="Sylfaen"/>
          <w:sz w:val="24"/>
          <w:szCs w:val="24"/>
          <w:vertAlign w:val="subscript"/>
        </w:rPr>
        <w:t>50</w:t>
      </w:r>
      <w:r w:rsidRPr="00825EEB">
        <w:rPr>
          <w:rFonts w:ascii="Sylfaen" w:hAnsi="Sylfaen"/>
          <w:sz w:val="24"/>
          <w:szCs w:val="24"/>
        </w:rPr>
        <w:t>Н</w:t>
      </w:r>
      <w:r w:rsidRPr="00825EEB">
        <w:rPr>
          <w:rFonts w:ascii="Sylfaen" w:hAnsi="Sylfaen"/>
          <w:sz w:val="24"/>
          <w:szCs w:val="24"/>
          <w:vertAlign w:val="subscript"/>
        </w:rPr>
        <w:t>66</w:t>
      </w:r>
      <w:r w:rsidRPr="00825EEB">
        <w:rPr>
          <w:rFonts w:ascii="Sylfaen" w:hAnsi="Sylfaen"/>
          <w:sz w:val="24"/>
          <w:szCs w:val="24"/>
        </w:rPr>
        <w:t>О</w:t>
      </w:r>
      <w:r w:rsidRPr="00825EEB">
        <w:rPr>
          <w:rFonts w:ascii="Sylfaen" w:hAnsi="Sylfaen"/>
          <w:sz w:val="24"/>
          <w:szCs w:val="24"/>
          <w:vertAlign w:val="subscript"/>
        </w:rPr>
        <w:t>8</w:t>
      </w:r>
      <w:r w:rsidRPr="00825EEB">
        <w:rPr>
          <w:rFonts w:ascii="Sylfaen" w:hAnsi="Sylfaen"/>
          <w:sz w:val="24"/>
          <w:szCs w:val="24"/>
        </w:rPr>
        <w:t>. [32509-66-3]։</w:t>
      </w:r>
    </w:p>
    <w:p w14:paraId="206AC35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0FB8D2A3" wp14:editId="407570D6">
            <wp:extent cx="2623785" cy="1385454"/>
            <wp:effectExtent l="19050" t="0" r="5115" b="0"/>
            <wp:docPr id="4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9" cstate="print"/>
                    <a:srcRect/>
                    <a:stretch>
                      <a:fillRect/>
                    </a:stretch>
                  </pic:blipFill>
                  <pic:spPr bwMode="auto">
                    <a:xfrm>
                      <a:off x="0" y="0"/>
                      <a:ext cx="2624601" cy="1385885"/>
                    </a:xfrm>
                    <a:prstGeom prst="rect">
                      <a:avLst/>
                    </a:prstGeom>
                    <a:noFill/>
                    <a:ln w="9525">
                      <a:noFill/>
                      <a:miter lim="800000"/>
                      <a:headEnd/>
                      <a:tailEnd/>
                    </a:ln>
                  </pic:spPr>
                </pic:pic>
              </a:graphicData>
            </a:graphic>
          </wp:inline>
        </w:drawing>
      </w:r>
    </w:p>
    <w:p w14:paraId="3AD3DB89" w14:textId="77777777" w:rsidR="0058052E" w:rsidRPr="00825EEB" w:rsidRDefault="0058052E" w:rsidP="0058052E">
      <w:pPr>
        <w:spacing w:after="160" w:line="360" w:lineRule="auto"/>
        <w:ind w:firstLine="567"/>
        <w:jc w:val="both"/>
      </w:pPr>
      <w:r w:rsidRPr="00825EEB">
        <w:t>էթան-1,2-դիիլ բիս[3,3-բիս(3</w:t>
      </w:r>
      <w:r w:rsidRPr="00825EEB">
        <w:rPr>
          <w:i/>
        </w:rPr>
        <w:t>-տրետ</w:t>
      </w:r>
      <w:r w:rsidRPr="00825EEB">
        <w:t>-բութիլ-4-հիդրօքսիֆենիլ)բութանոատ]</w:t>
      </w:r>
    </w:p>
    <w:p w14:paraId="6C99D9D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էթիլենբիս[3,3-բիս(3-(1,1-դիմեթիլէթիլ)-4-հիդրօքսիֆենիլ] բուտիրատ].</w:t>
      </w:r>
    </w:p>
    <w:p w14:paraId="654689A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բենզոլպրոպանաթթվի 3-(1,1-դիմեթիլէթիլ)-</w:t>
      </w:r>
      <m:oMath>
        <m:r>
          <w:rPr>
            <w:rFonts w:ascii="Cambria Math" w:hAnsi="Cambria Math" w:cs="Sylfaen"/>
            <w:sz w:val="24"/>
            <w:szCs w:val="24"/>
          </w:rPr>
          <m:t>β</m:t>
        </m:r>
      </m:oMath>
      <w:r w:rsidR="0058052E" w:rsidRPr="00825EEB">
        <w:rPr>
          <w:rFonts w:ascii="Sylfaen" w:hAnsi="Sylfaen"/>
          <w:sz w:val="24"/>
          <w:szCs w:val="24"/>
        </w:rPr>
        <w:t>-[3-(1,1-դիմեթիլէթիլ)-4-հիդրօքսիֆենիլ]-4-հիդրօքսի-</w:t>
      </w:r>
      <m:oMath>
        <m:r>
          <w:rPr>
            <w:rFonts w:ascii="Cambria Math" w:hAnsi="Cambria Math" w:cs="Sylfaen"/>
            <w:sz w:val="24"/>
            <w:szCs w:val="24"/>
          </w:rPr>
          <m:t>β</m:t>
        </m:r>
      </m:oMath>
      <w:r w:rsidR="0058052E" w:rsidRPr="00825EEB">
        <w:rPr>
          <w:rFonts w:ascii="Sylfaen" w:hAnsi="Sylfaen"/>
          <w:sz w:val="24"/>
          <w:szCs w:val="24"/>
        </w:rPr>
        <w:t>-մեթիլ-,1,1</w:t>
      </w:r>
      <w:r w:rsidR="0058052E" w:rsidRPr="00825EEB">
        <w:rPr>
          <w:rFonts w:ascii="Sylfaen" w:hAnsi="Sylfaen"/>
          <w:i/>
          <w:sz w:val="24"/>
          <w:szCs w:val="24"/>
        </w:rPr>
        <w:t>'</w:t>
      </w:r>
      <w:r w:rsidR="0058052E" w:rsidRPr="00825EEB">
        <w:rPr>
          <w:rFonts w:ascii="Sylfaen" w:hAnsi="Sylfaen"/>
          <w:sz w:val="24"/>
          <w:szCs w:val="24"/>
        </w:rPr>
        <w:t>-(1,2-էթանդիիլ)եթեր.</w:t>
      </w:r>
    </w:p>
    <w:p w14:paraId="5E1BE4BF"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էթիլենբիս[3,3-բիս(3</w:t>
      </w:r>
      <w:r w:rsidR="0058052E" w:rsidRPr="00825EEB">
        <w:rPr>
          <w:rFonts w:ascii="Sylfaen" w:hAnsi="Sylfaen"/>
          <w:i/>
          <w:sz w:val="24"/>
          <w:szCs w:val="24"/>
        </w:rPr>
        <w:t>-տրետ-</w:t>
      </w:r>
      <w:r w:rsidR="0058052E" w:rsidRPr="00825EEB">
        <w:rPr>
          <w:rFonts w:ascii="Sylfaen" w:hAnsi="Sylfaen"/>
          <w:sz w:val="24"/>
          <w:szCs w:val="24"/>
        </w:rPr>
        <w:t>բութիլ-4-հիդրօքսիֆենիլ)բուտիրատ]:</w:t>
      </w:r>
    </w:p>
    <w:p w14:paraId="6F2350B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09։ </w:t>
      </w:r>
      <w:r w:rsidRPr="00825EEB">
        <w:rPr>
          <w:rFonts w:ascii="Sylfaen" w:hAnsi="Sylfaen"/>
          <w:sz w:val="24"/>
          <w:szCs w:val="24"/>
        </w:rPr>
        <w:t>C</w:t>
      </w:r>
      <w:r w:rsidRPr="00825EEB">
        <w:rPr>
          <w:rFonts w:ascii="Sylfaen" w:hAnsi="Sylfaen"/>
          <w:sz w:val="24"/>
          <w:szCs w:val="24"/>
          <w:vertAlign w:val="subscript"/>
        </w:rPr>
        <w:t>73</w:t>
      </w:r>
      <w:r w:rsidRPr="00825EEB">
        <w:rPr>
          <w:rFonts w:ascii="Sylfaen" w:hAnsi="Sylfaen"/>
          <w:sz w:val="24"/>
          <w:szCs w:val="24"/>
        </w:rPr>
        <w:t>H</w:t>
      </w:r>
      <w:r w:rsidRPr="00825EEB">
        <w:rPr>
          <w:rFonts w:ascii="Sylfaen" w:hAnsi="Sylfaen"/>
          <w:sz w:val="24"/>
          <w:szCs w:val="24"/>
          <w:vertAlign w:val="subscript"/>
        </w:rPr>
        <w:t>108</w:t>
      </w:r>
      <w:r w:rsidRPr="00825EEB">
        <w:rPr>
          <w:rFonts w:ascii="Sylfaen" w:hAnsi="Sylfaen"/>
          <w:sz w:val="24"/>
          <w:szCs w:val="24"/>
        </w:rPr>
        <w:t>O</w:t>
      </w:r>
      <w:r w:rsidRPr="00825EEB">
        <w:rPr>
          <w:rFonts w:ascii="Sylfaen" w:hAnsi="Sylfaen"/>
          <w:sz w:val="24"/>
          <w:szCs w:val="24"/>
          <w:vertAlign w:val="subscript"/>
        </w:rPr>
        <w:t>12</w:t>
      </w:r>
      <w:r w:rsidRPr="00825EEB">
        <w:rPr>
          <w:rFonts w:ascii="Sylfaen" w:hAnsi="Sylfaen"/>
          <w:sz w:val="24"/>
          <w:szCs w:val="24"/>
        </w:rPr>
        <w:t>. [6683-19-8]</w:t>
      </w:r>
      <w:r w:rsidRPr="00825EEB">
        <w:rPr>
          <w:rFonts w:ascii="Sylfaen" w:eastAsia="MS Mincho" w:hAnsi="Sylfaen" w:cs="Tahoma"/>
          <w:sz w:val="24"/>
          <w:szCs w:val="24"/>
        </w:rPr>
        <w:t>։</w:t>
      </w:r>
    </w:p>
    <w:p w14:paraId="38DD95A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74768F5D" wp14:editId="0366E9E3">
            <wp:extent cx="2751859" cy="994547"/>
            <wp:effectExtent l="19050" t="0" r="0" b="0"/>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0" cstate="print"/>
                    <a:srcRect/>
                    <a:stretch>
                      <a:fillRect/>
                    </a:stretch>
                  </pic:blipFill>
                  <pic:spPr bwMode="auto">
                    <a:xfrm>
                      <a:off x="0" y="0"/>
                      <a:ext cx="2752714" cy="994856"/>
                    </a:xfrm>
                    <a:prstGeom prst="rect">
                      <a:avLst/>
                    </a:prstGeom>
                    <a:noFill/>
                    <a:ln w="9525">
                      <a:noFill/>
                      <a:miter lim="800000"/>
                      <a:headEnd/>
                      <a:tailEnd/>
                    </a:ln>
                  </pic:spPr>
                </pic:pic>
              </a:graphicData>
            </a:graphic>
          </wp:inline>
        </w:drawing>
      </w:r>
    </w:p>
    <w:p w14:paraId="27C3725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2,2-բիս[[[3-(3,5-դի-</w:t>
      </w:r>
      <w:r w:rsidRPr="00825EEB">
        <w:rPr>
          <w:rFonts w:ascii="Sylfaen" w:hAnsi="Sylfaen"/>
          <w:i/>
          <w:sz w:val="24"/>
          <w:szCs w:val="24"/>
        </w:rPr>
        <w:t>տրետ-բութիլ</w:t>
      </w:r>
      <w:r w:rsidRPr="00825EEB">
        <w:rPr>
          <w:rFonts w:ascii="Sylfaen" w:hAnsi="Sylfaen"/>
          <w:sz w:val="24"/>
          <w:szCs w:val="24"/>
        </w:rPr>
        <w:t>-4-հիդրօքսիֆենիլ)պրոպանոիլ]օքսի]մեթիլ]պրոպան-1,3-դիիլ բիս[3-(3,5-դի-</w:t>
      </w:r>
      <w:r w:rsidRPr="00825EEB">
        <w:rPr>
          <w:rFonts w:ascii="Sylfaen" w:hAnsi="Sylfaen"/>
          <w:i/>
          <w:sz w:val="24"/>
          <w:szCs w:val="24"/>
        </w:rPr>
        <w:t>տրետ-</w:t>
      </w:r>
      <w:r w:rsidRPr="00825EEB">
        <w:rPr>
          <w:rFonts w:ascii="Sylfaen" w:hAnsi="Sylfaen"/>
          <w:sz w:val="24"/>
          <w:szCs w:val="24"/>
        </w:rPr>
        <w:t>բութիլ-4-հիդրօքսիֆենիլ)պրոպանոատ]</w:t>
      </w:r>
    </w:p>
    <w:p w14:paraId="1006A7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պենտաէրիտրիտիլտետրակիս[3-(3,5-դի-(1,1-դիմեթիլէթիլ)-4-հիդրօքսիֆենիլ)պրոպիոնատ].</w:t>
      </w:r>
    </w:p>
    <w:p w14:paraId="6A46A54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b/>
          <w:sz w:val="24"/>
          <w:szCs w:val="24"/>
        </w:rPr>
        <w:t>պենտաէրիտրիտիլտետրակիս[3-(3,5-դի</w:t>
      </w:r>
      <w:r w:rsidR="0058052E" w:rsidRPr="00825EEB">
        <w:rPr>
          <w:rFonts w:ascii="Sylfaen" w:hAnsi="Sylfaen"/>
          <w:i/>
          <w:sz w:val="24"/>
          <w:szCs w:val="24"/>
        </w:rPr>
        <w:t>-</w:t>
      </w:r>
      <w:r w:rsidR="0058052E" w:rsidRPr="00825EEB">
        <w:rPr>
          <w:rFonts w:ascii="Sylfaen" w:hAnsi="Sylfaen"/>
          <w:b/>
          <w:i/>
          <w:sz w:val="24"/>
          <w:szCs w:val="24"/>
        </w:rPr>
        <w:t>տրետ</w:t>
      </w:r>
      <w:r w:rsidR="0058052E" w:rsidRPr="00825EEB">
        <w:rPr>
          <w:rFonts w:ascii="Sylfaen" w:hAnsi="Sylfaen"/>
          <w:b/>
          <w:sz w:val="24"/>
          <w:szCs w:val="24"/>
        </w:rPr>
        <w:t>-բութիլ-4-հիդրօքսիֆենիլ)-պրոպիոնատ].</w:t>
      </w:r>
    </w:p>
    <w:p w14:paraId="333FA482"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բենզոլպրոպանաթթվի 3,5-բիս(1,1-դիմեթիլէթիլ)-4-հիդրօքսի-,1,1</w:t>
      </w:r>
      <w:r w:rsidR="0058052E" w:rsidRPr="00825EEB">
        <w:rPr>
          <w:rFonts w:ascii="Sylfaen" w:hAnsi="Sylfaen"/>
          <w:i/>
          <w:sz w:val="24"/>
          <w:szCs w:val="24"/>
        </w:rPr>
        <w:t>'</w:t>
      </w:r>
      <w:r w:rsidR="0058052E" w:rsidRPr="00825EEB">
        <w:rPr>
          <w:rFonts w:ascii="Sylfaen" w:hAnsi="Sylfaen"/>
          <w:sz w:val="24"/>
          <w:szCs w:val="24"/>
        </w:rPr>
        <w:t>-[2,2-բիս[[3-[3,5-բիս(1,1-դիմեթիլէթիլ)-4-հիդրօքսիֆենիլ]-1-օքսոպրոպօքսի]մեթիլ]-1,3-պրոպանդիիլ]եթեր.</w:t>
      </w:r>
    </w:p>
    <w:p w14:paraId="2B96D18A"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2,2-բիս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3-</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3,5բիս</w:t>
      </w:r>
      <w:r w:rsidRPr="00AA234B">
        <w:rPr>
          <w:rFonts w:ascii="Sylfaen" w:hAnsi="Sylfaen"/>
          <w:sz w:val="24"/>
          <w:szCs w:val="24"/>
        </w:rPr>
        <w:t xml:space="preserve"> </w:t>
      </w:r>
      <w:r w:rsidR="0058052E" w:rsidRPr="00825EEB">
        <w:rPr>
          <w:rFonts w:ascii="Sylfaen" w:hAnsi="Sylfaen"/>
          <w:sz w:val="24"/>
          <w:szCs w:val="24"/>
        </w:rPr>
        <w:t>(1,1-դիմեթիլ-էթիլ)</w:t>
      </w:r>
      <w:r w:rsidRPr="00AA234B">
        <w:rPr>
          <w:rFonts w:ascii="Sylfaen" w:hAnsi="Sylfaen"/>
          <w:sz w:val="24"/>
          <w:szCs w:val="24"/>
        </w:rPr>
        <w:t xml:space="preserve"> </w:t>
      </w:r>
      <w:r w:rsidR="0058052E" w:rsidRPr="00825EEB">
        <w:rPr>
          <w:rFonts w:ascii="Sylfaen" w:hAnsi="Sylfaen"/>
          <w:sz w:val="24"/>
          <w:szCs w:val="24"/>
        </w:rPr>
        <w:t>-4-</w:t>
      </w:r>
      <w:r w:rsidRPr="00AA234B">
        <w:rPr>
          <w:rFonts w:ascii="Sylfaen" w:hAnsi="Sylfaen"/>
          <w:sz w:val="24"/>
          <w:szCs w:val="24"/>
        </w:rPr>
        <w:t xml:space="preserve"> </w:t>
      </w:r>
      <w:r w:rsidR="0058052E" w:rsidRPr="00825EEB">
        <w:rPr>
          <w:rFonts w:ascii="Sylfaen" w:hAnsi="Sylfaen"/>
          <w:sz w:val="24"/>
          <w:szCs w:val="24"/>
        </w:rPr>
        <w:t>հիդրօքսիֆենիլ]պրոպանոիլ]օքսի]մեթիլ]պրոպան-1,3-դիիլ3-[3,5-բիս(1,1-դիմեթիլ-էթիլ)-4-հիդրօքսիֆենիլ]պրոպանոատ.</w:t>
      </w:r>
    </w:p>
    <w:p w14:paraId="53F16B74" w14:textId="77777777" w:rsidR="0058052E" w:rsidRPr="00825EEB" w:rsidRDefault="00AA234B" w:rsidP="00AA234B">
      <w:pPr>
        <w:tabs>
          <w:tab w:val="left" w:pos="1134"/>
        </w:tabs>
        <w:spacing w:after="160" w:line="360" w:lineRule="auto"/>
        <w:ind w:firstLine="567"/>
        <w:jc w:val="both"/>
      </w:pPr>
      <w:r>
        <w:t>-</w:t>
      </w:r>
      <w:r w:rsidRPr="00AA234B">
        <w:tab/>
      </w:r>
      <w:r w:rsidR="0058052E" w:rsidRPr="00825EEB">
        <w:t>2,2-բիս(Հիդրօքսիմեթիլ)պրոպան-1,3-դիոլտետրակիս[3-(3,5-դի-</w:t>
      </w:r>
      <w:r w:rsidR="0058052E" w:rsidRPr="00825EEB">
        <w:rPr>
          <w:i/>
        </w:rPr>
        <w:t>տրետ</w:t>
      </w:r>
      <w:r w:rsidR="0058052E" w:rsidRPr="00825EEB">
        <w:t>-բութիլ-4-հիդրօքսիֆենիլ)պրոպիոնատ]:</w:t>
      </w:r>
    </w:p>
    <w:p w14:paraId="6FB4368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10։ </w:t>
      </w:r>
      <w:r w:rsidRPr="00825EEB">
        <w:rPr>
          <w:rFonts w:ascii="Sylfaen" w:hAnsi="Sylfaen"/>
          <w:sz w:val="24"/>
          <w:szCs w:val="24"/>
        </w:rPr>
        <w:t>С</w:t>
      </w:r>
      <w:r w:rsidRPr="00825EEB">
        <w:rPr>
          <w:rFonts w:ascii="Sylfaen" w:hAnsi="Sylfaen"/>
          <w:sz w:val="24"/>
          <w:szCs w:val="24"/>
          <w:vertAlign w:val="subscript"/>
        </w:rPr>
        <w:t>54</w:t>
      </w:r>
      <w:r w:rsidRPr="00825EEB">
        <w:rPr>
          <w:rFonts w:ascii="Sylfaen" w:hAnsi="Sylfaen"/>
          <w:sz w:val="24"/>
          <w:szCs w:val="24"/>
        </w:rPr>
        <w:t>Н</w:t>
      </w:r>
      <w:r w:rsidRPr="00825EEB">
        <w:rPr>
          <w:rFonts w:ascii="Sylfaen" w:hAnsi="Sylfaen"/>
          <w:sz w:val="24"/>
          <w:szCs w:val="24"/>
          <w:vertAlign w:val="subscript"/>
        </w:rPr>
        <w:t>78</w:t>
      </w:r>
      <w:r w:rsidRPr="00825EEB">
        <w:rPr>
          <w:rFonts w:ascii="Sylfaen" w:hAnsi="Sylfaen"/>
          <w:sz w:val="24"/>
          <w:szCs w:val="24"/>
        </w:rPr>
        <w:t>О</w:t>
      </w:r>
      <w:r w:rsidRPr="00825EEB">
        <w:rPr>
          <w:rFonts w:ascii="Sylfaen" w:hAnsi="Sylfaen"/>
          <w:sz w:val="24"/>
          <w:szCs w:val="24"/>
          <w:vertAlign w:val="subscript"/>
        </w:rPr>
        <w:t>3</w:t>
      </w:r>
      <w:r w:rsidRPr="00825EEB">
        <w:rPr>
          <w:rFonts w:ascii="Sylfaen" w:hAnsi="Sylfaen"/>
          <w:sz w:val="24"/>
          <w:szCs w:val="24"/>
        </w:rPr>
        <w:t>։ [1709-70-2]։</w:t>
      </w:r>
    </w:p>
    <w:p w14:paraId="6F9DB14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vertAlign w:val="subscript"/>
          <w:lang w:val="en-US" w:eastAsia="en-US" w:bidi="ar-SA"/>
        </w:rPr>
        <w:drawing>
          <wp:inline distT="0" distB="0" distL="0" distR="0" wp14:anchorId="1E2749C3" wp14:editId="64457C54">
            <wp:extent cx="2911186" cy="1100868"/>
            <wp:effectExtent l="19050" t="0" r="3464" b="0"/>
            <wp:docPr id="4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1" cstate="print"/>
                    <a:srcRect/>
                    <a:stretch>
                      <a:fillRect/>
                    </a:stretch>
                  </pic:blipFill>
                  <pic:spPr bwMode="auto">
                    <a:xfrm>
                      <a:off x="0" y="0"/>
                      <a:ext cx="2915227" cy="1102396"/>
                    </a:xfrm>
                    <a:prstGeom prst="rect">
                      <a:avLst/>
                    </a:prstGeom>
                    <a:noFill/>
                    <a:ln w="9525">
                      <a:noFill/>
                      <a:miter lim="800000"/>
                      <a:headEnd/>
                      <a:tailEnd/>
                    </a:ln>
                  </pic:spPr>
                </pic:pic>
              </a:graphicData>
            </a:graphic>
          </wp:inline>
        </w:drawing>
      </w:r>
    </w:p>
    <w:p w14:paraId="0FA642D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4,4</w:t>
      </w:r>
      <w:r w:rsidRPr="00825EEB">
        <w:rPr>
          <w:rFonts w:ascii="Sylfaen" w:hAnsi="Sylfaen"/>
          <w:i/>
          <w:sz w:val="24"/>
          <w:szCs w:val="24"/>
        </w:rPr>
        <w:t>'</w:t>
      </w:r>
      <w:r w:rsidRPr="00825EEB">
        <w:rPr>
          <w:rFonts w:ascii="Sylfaen" w:hAnsi="Sylfaen"/>
          <w:sz w:val="24"/>
          <w:szCs w:val="24"/>
        </w:rPr>
        <w:t>,4</w:t>
      </w:r>
      <w:r w:rsidRPr="00825EEB">
        <w:rPr>
          <w:rFonts w:ascii="Sylfaen" w:hAnsi="Sylfaen"/>
          <w:i/>
          <w:sz w:val="24"/>
          <w:szCs w:val="24"/>
        </w:rPr>
        <w:t>''</w:t>
      </w:r>
      <w:r w:rsidRPr="00825EEB">
        <w:rPr>
          <w:rFonts w:ascii="Sylfaen" w:hAnsi="Sylfaen"/>
          <w:sz w:val="24"/>
          <w:szCs w:val="24"/>
        </w:rPr>
        <w:t>-[(2,4,6-տրիմեթիլբենզոլ-1,3,5-տրիիլ)տրիս(մեթիլեն)]տրիս(2,6-դի-</w:t>
      </w:r>
      <w:r w:rsidRPr="00825EEB">
        <w:rPr>
          <w:rFonts w:ascii="Sylfaen" w:hAnsi="Sylfaen"/>
          <w:i/>
          <w:sz w:val="24"/>
          <w:szCs w:val="24"/>
        </w:rPr>
        <w:t>տրետ</w:t>
      </w:r>
      <w:r w:rsidRPr="00825EEB">
        <w:rPr>
          <w:rFonts w:ascii="Sylfaen" w:hAnsi="Sylfaen"/>
          <w:sz w:val="24"/>
          <w:szCs w:val="24"/>
        </w:rPr>
        <w:t>-բութիլֆենոլ)</w:t>
      </w:r>
    </w:p>
    <w:p w14:paraId="785FE4E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2,2</w:t>
      </w:r>
      <w:r w:rsidRPr="00825EEB">
        <w:rPr>
          <w:rFonts w:ascii="Sylfaen" w:hAnsi="Sylfaen"/>
          <w:b/>
          <w:i/>
          <w:sz w:val="24"/>
          <w:szCs w:val="24"/>
        </w:rPr>
        <w:t>'</w:t>
      </w:r>
      <w:r w:rsidRPr="00825EEB">
        <w:rPr>
          <w:rFonts w:ascii="Sylfaen" w:hAnsi="Sylfaen"/>
          <w:b/>
          <w:sz w:val="24"/>
          <w:szCs w:val="24"/>
        </w:rPr>
        <w:t>,2</w:t>
      </w:r>
      <w:r w:rsidRPr="00825EEB">
        <w:rPr>
          <w:rFonts w:ascii="Sylfaen" w:hAnsi="Sylfaen"/>
          <w:b/>
          <w:i/>
          <w:sz w:val="24"/>
          <w:szCs w:val="24"/>
        </w:rPr>
        <w:t>''</w:t>
      </w:r>
      <w:r w:rsidRPr="00825EEB">
        <w:rPr>
          <w:rFonts w:ascii="Sylfaen" w:hAnsi="Sylfaen"/>
          <w:b/>
          <w:sz w:val="24"/>
          <w:szCs w:val="24"/>
        </w:rPr>
        <w:t>,6,6</w:t>
      </w:r>
      <w:r w:rsidRPr="00825EEB">
        <w:rPr>
          <w:rFonts w:ascii="Sylfaen" w:hAnsi="Sylfaen"/>
          <w:b/>
          <w:i/>
          <w:sz w:val="24"/>
          <w:szCs w:val="24"/>
        </w:rPr>
        <w:t>'</w:t>
      </w:r>
      <w:r w:rsidRPr="00825EEB">
        <w:rPr>
          <w:rFonts w:ascii="Sylfaen" w:hAnsi="Sylfaen"/>
          <w:b/>
          <w:sz w:val="24"/>
          <w:szCs w:val="24"/>
        </w:rPr>
        <w:t>,6</w:t>
      </w:r>
      <w:r w:rsidRPr="00825EEB">
        <w:rPr>
          <w:rFonts w:ascii="Sylfaen" w:hAnsi="Sylfaen"/>
          <w:b/>
          <w:i/>
          <w:sz w:val="24"/>
          <w:szCs w:val="24"/>
        </w:rPr>
        <w:t>''</w:t>
      </w:r>
      <w:r w:rsidRPr="00825EEB">
        <w:rPr>
          <w:rFonts w:ascii="Sylfaen" w:hAnsi="Sylfaen"/>
          <w:b/>
          <w:sz w:val="24"/>
          <w:szCs w:val="24"/>
        </w:rPr>
        <w:t>-հեքսա(1,1-դիմեթիլ-էթիլ)-4,4</w:t>
      </w:r>
      <w:r w:rsidRPr="00825EEB">
        <w:rPr>
          <w:rFonts w:ascii="Sylfaen" w:hAnsi="Sylfaen"/>
          <w:b/>
          <w:i/>
          <w:sz w:val="24"/>
          <w:szCs w:val="24"/>
        </w:rPr>
        <w:t>'</w:t>
      </w:r>
      <w:r w:rsidRPr="00825EEB">
        <w:rPr>
          <w:rFonts w:ascii="Sylfaen" w:hAnsi="Sylfaen"/>
          <w:b/>
          <w:sz w:val="24"/>
          <w:szCs w:val="24"/>
        </w:rPr>
        <w:t>,4</w:t>
      </w:r>
      <w:r w:rsidRPr="00825EEB">
        <w:rPr>
          <w:rFonts w:ascii="Sylfaen" w:hAnsi="Sylfaen"/>
          <w:b/>
          <w:i/>
          <w:sz w:val="24"/>
          <w:szCs w:val="24"/>
        </w:rPr>
        <w:t>''</w:t>
      </w:r>
      <w:r w:rsidRPr="00825EEB">
        <w:rPr>
          <w:rFonts w:ascii="Sylfaen" w:hAnsi="Sylfaen"/>
          <w:b/>
          <w:sz w:val="24"/>
          <w:szCs w:val="24"/>
        </w:rPr>
        <w:t>-[(2,4,6-տրիմեթիլ-1,3,5- բենզոլտրիիլ)տրիսմեթիլեն]տրիֆենոլ.</w:t>
      </w:r>
    </w:p>
    <w:p w14:paraId="11DE9E10"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b/>
          <w:sz w:val="24"/>
          <w:szCs w:val="24"/>
        </w:rPr>
        <w:t>2,2</w:t>
      </w:r>
      <w:r w:rsidR="0058052E" w:rsidRPr="00825EEB">
        <w:rPr>
          <w:rFonts w:ascii="Sylfaen" w:hAnsi="Sylfaen"/>
          <w:b/>
          <w:i/>
          <w:sz w:val="24"/>
          <w:szCs w:val="24"/>
        </w:rPr>
        <w:t>'</w:t>
      </w:r>
      <w:r w:rsidR="0058052E" w:rsidRPr="00825EEB">
        <w:rPr>
          <w:rFonts w:ascii="Sylfaen" w:hAnsi="Sylfaen"/>
          <w:b/>
          <w:sz w:val="24"/>
          <w:szCs w:val="24"/>
        </w:rPr>
        <w:t>,2</w:t>
      </w:r>
      <w:r w:rsidR="0058052E" w:rsidRPr="00825EEB">
        <w:rPr>
          <w:rFonts w:ascii="Sylfaen" w:hAnsi="Sylfaen"/>
          <w:b/>
          <w:i/>
          <w:sz w:val="24"/>
          <w:szCs w:val="24"/>
        </w:rPr>
        <w:t>"</w:t>
      </w:r>
      <w:r w:rsidR="0058052E" w:rsidRPr="00825EEB">
        <w:rPr>
          <w:rFonts w:ascii="Sylfaen" w:hAnsi="Sylfaen"/>
          <w:b/>
          <w:sz w:val="24"/>
          <w:szCs w:val="24"/>
        </w:rPr>
        <w:t>,6,6</w:t>
      </w:r>
      <w:r w:rsidR="0058052E" w:rsidRPr="00825EEB">
        <w:rPr>
          <w:rFonts w:ascii="Sylfaen" w:hAnsi="Sylfaen"/>
          <w:b/>
          <w:i/>
          <w:sz w:val="24"/>
          <w:szCs w:val="24"/>
        </w:rPr>
        <w:t>'</w:t>
      </w:r>
      <w:r w:rsidR="0058052E" w:rsidRPr="00825EEB">
        <w:rPr>
          <w:rFonts w:ascii="Sylfaen" w:hAnsi="Sylfaen"/>
          <w:b/>
          <w:sz w:val="24"/>
          <w:szCs w:val="24"/>
        </w:rPr>
        <w:t>,6</w:t>
      </w:r>
      <w:r w:rsidR="0058052E" w:rsidRPr="00825EEB">
        <w:rPr>
          <w:rFonts w:ascii="Sylfaen" w:hAnsi="Sylfaen"/>
          <w:b/>
          <w:i/>
          <w:sz w:val="24"/>
          <w:szCs w:val="24"/>
        </w:rPr>
        <w:t>"</w:t>
      </w:r>
      <w:r w:rsidR="0058052E" w:rsidRPr="00825EEB">
        <w:rPr>
          <w:rFonts w:ascii="Sylfaen" w:hAnsi="Sylfaen"/>
          <w:b/>
          <w:sz w:val="24"/>
          <w:szCs w:val="24"/>
        </w:rPr>
        <w:t>-հեքսա-</w:t>
      </w:r>
      <w:r w:rsidR="0058052E" w:rsidRPr="00825EEB">
        <w:rPr>
          <w:rFonts w:ascii="Sylfaen" w:hAnsi="Sylfaen"/>
          <w:b/>
          <w:i/>
          <w:sz w:val="24"/>
          <w:szCs w:val="24"/>
        </w:rPr>
        <w:t>տրետ</w:t>
      </w:r>
      <w:r w:rsidR="0058052E" w:rsidRPr="00825EEB">
        <w:rPr>
          <w:rFonts w:ascii="Sylfaen" w:hAnsi="Sylfaen"/>
          <w:b/>
          <w:sz w:val="24"/>
          <w:szCs w:val="24"/>
        </w:rPr>
        <w:t>-բութիլ-4,4</w:t>
      </w:r>
      <w:r w:rsidR="0058052E" w:rsidRPr="00825EEB">
        <w:rPr>
          <w:rFonts w:ascii="Sylfaen" w:hAnsi="Sylfaen"/>
          <w:b/>
          <w:i/>
          <w:sz w:val="24"/>
          <w:szCs w:val="24"/>
        </w:rPr>
        <w:t>'</w:t>
      </w:r>
      <w:r w:rsidR="0058052E" w:rsidRPr="00825EEB">
        <w:rPr>
          <w:rFonts w:ascii="Sylfaen" w:hAnsi="Sylfaen"/>
          <w:b/>
          <w:sz w:val="24"/>
          <w:szCs w:val="24"/>
        </w:rPr>
        <w:t>,4</w:t>
      </w:r>
      <w:r w:rsidR="0058052E" w:rsidRPr="00825EEB">
        <w:rPr>
          <w:rFonts w:ascii="Sylfaen" w:hAnsi="Sylfaen"/>
          <w:b/>
          <w:i/>
          <w:sz w:val="24"/>
          <w:szCs w:val="24"/>
        </w:rPr>
        <w:t>"</w:t>
      </w:r>
      <w:r w:rsidR="0058052E" w:rsidRPr="00825EEB">
        <w:rPr>
          <w:rFonts w:ascii="Sylfaen" w:hAnsi="Sylfaen"/>
          <w:b/>
          <w:sz w:val="24"/>
          <w:szCs w:val="24"/>
        </w:rPr>
        <w:t>-[(2,4,6-տրիմեթիլ-1,3,5-բենզոլտրիիլ)տրիսմեթիլեն] տրիֆենոլ.</w:t>
      </w:r>
    </w:p>
    <w:p w14:paraId="24627B65"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AA234B">
        <w:rPr>
          <w:rFonts w:ascii="Sylfaen" w:hAnsi="Sylfaen"/>
          <w:sz w:val="24"/>
          <w:szCs w:val="24"/>
        </w:rPr>
        <w:tab/>
      </w:r>
      <w:r w:rsidR="0058052E" w:rsidRPr="00825EEB">
        <w:rPr>
          <w:rFonts w:ascii="Sylfaen" w:hAnsi="Sylfaen"/>
          <w:sz w:val="24"/>
          <w:szCs w:val="24"/>
        </w:rPr>
        <w:t>ֆենոլ, 4,4</w:t>
      </w:r>
      <w:r w:rsidR="0058052E" w:rsidRPr="00825EEB">
        <w:rPr>
          <w:rFonts w:ascii="Sylfaen" w:hAnsi="Sylfaen"/>
          <w:i/>
          <w:sz w:val="24"/>
          <w:szCs w:val="24"/>
        </w:rPr>
        <w:t>'</w:t>
      </w:r>
      <w:r w:rsidR="0058052E" w:rsidRPr="00825EEB">
        <w:rPr>
          <w:rFonts w:ascii="Sylfaen" w:hAnsi="Sylfaen"/>
          <w:sz w:val="24"/>
          <w:szCs w:val="24"/>
        </w:rPr>
        <w:t>,4</w:t>
      </w:r>
      <w:r w:rsidR="0058052E" w:rsidRPr="00825EEB">
        <w:rPr>
          <w:rFonts w:ascii="Sylfaen" w:hAnsi="Sylfaen"/>
          <w:i/>
          <w:sz w:val="24"/>
          <w:szCs w:val="24"/>
        </w:rPr>
        <w:t>"</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2,4,6-տրիմեթիլ-1,3,5-բենզոլտրիիլ)տրիս(մեթիլեն)]</w:t>
      </w:r>
      <w:r w:rsidRPr="00AA234B">
        <w:rPr>
          <w:rFonts w:ascii="Sylfaen" w:hAnsi="Sylfaen"/>
          <w:sz w:val="24"/>
          <w:szCs w:val="24"/>
        </w:rPr>
        <w:t xml:space="preserve"> </w:t>
      </w:r>
      <w:r w:rsidR="0058052E" w:rsidRPr="00825EEB">
        <w:rPr>
          <w:rFonts w:ascii="Sylfaen" w:hAnsi="Sylfaen"/>
          <w:sz w:val="24"/>
          <w:szCs w:val="24"/>
        </w:rPr>
        <w:t>տրիս</w:t>
      </w:r>
      <w:r w:rsidRPr="00AA234B">
        <w:rPr>
          <w:rFonts w:ascii="Sylfaen" w:hAnsi="Sylfaen"/>
          <w:sz w:val="24"/>
          <w:szCs w:val="24"/>
        </w:rPr>
        <w:t xml:space="preserve"> </w:t>
      </w:r>
      <w:r w:rsidR="0058052E" w:rsidRPr="00825EEB">
        <w:rPr>
          <w:rFonts w:ascii="Sylfaen" w:hAnsi="Sylfaen"/>
          <w:sz w:val="24"/>
          <w:szCs w:val="24"/>
        </w:rPr>
        <w:t>[2,6-բիս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1,1-դիմեթիլէթիլ</w:t>
      </w:r>
      <w:r w:rsidRPr="00AA234B">
        <w:rPr>
          <w:rFonts w:ascii="Sylfaen" w:hAnsi="Sylfaen"/>
          <w:sz w:val="24"/>
          <w:szCs w:val="24"/>
        </w:rPr>
        <w:t xml:space="preserve"> </w:t>
      </w:r>
      <w:r w:rsidR="0058052E" w:rsidRPr="00825EEB">
        <w:rPr>
          <w:rFonts w:ascii="Sylfaen" w:hAnsi="Sylfaen"/>
          <w:sz w:val="24"/>
          <w:szCs w:val="24"/>
        </w:rPr>
        <w:t>)-.</w:t>
      </w:r>
    </w:p>
    <w:p w14:paraId="71249247"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1,3,5-տրիս[3,5-դի</w:t>
      </w:r>
      <w:r w:rsidR="0058052E" w:rsidRPr="00825EEB">
        <w:rPr>
          <w:rFonts w:ascii="Sylfaen" w:hAnsi="Sylfaen"/>
          <w:i/>
          <w:sz w:val="24"/>
          <w:szCs w:val="24"/>
        </w:rPr>
        <w:t>-տրետ</w:t>
      </w:r>
      <w:r w:rsidR="0058052E" w:rsidRPr="00825EEB">
        <w:rPr>
          <w:rFonts w:ascii="Sylfaen" w:hAnsi="Sylfaen"/>
          <w:sz w:val="24"/>
          <w:szCs w:val="24"/>
        </w:rPr>
        <w:t>-բութիլ-4-հիդրօքսիբենզիլ]-2,4,6-տրիմեթիլ-բենզոլ:</w:t>
      </w:r>
    </w:p>
    <w:p w14:paraId="230C9DAA" w14:textId="77777777" w:rsidR="00F24391" w:rsidRPr="00D35F34" w:rsidRDefault="00F24391" w:rsidP="0058052E">
      <w:pPr>
        <w:pStyle w:val="a0"/>
        <w:shd w:val="clear" w:color="auto" w:fill="auto"/>
        <w:spacing w:after="160" w:line="360" w:lineRule="auto"/>
        <w:ind w:firstLine="567"/>
        <w:jc w:val="both"/>
        <w:rPr>
          <w:rFonts w:ascii="Sylfaen" w:hAnsi="Sylfaen"/>
          <w:b/>
          <w:sz w:val="24"/>
          <w:szCs w:val="24"/>
        </w:rPr>
      </w:pPr>
    </w:p>
    <w:p w14:paraId="36093D9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11։ </w:t>
      </w:r>
      <w:r w:rsidRPr="00825EEB">
        <w:rPr>
          <w:rFonts w:ascii="Sylfaen" w:hAnsi="Sylfaen"/>
          <w:sz w:val="24"/>
          <w:szCs w:val="24"/>
        </w:rPr>
        <w:t>С</w:t>
      </w:r>
      <w:r w:rsidRPr="00825EEB">
        <w:rPr>
          <w:rFonts w:ascii="Sylfaen" w:hAnsi="Sylfaen"/>
          <w:sz w:val="24"/>
          <w:szCs w:val="24"/>
          <w:vertAlign w:val="subscript"/>
        </w:rPr>
        <w:t>35</w:t>
      </w:r>
      <w:r w:rsidRPr="00825EEB">
        <w:rPr>
          <w:rFonts w:ascii="Sylfaen" w:hAnsi="Sylfaen"/>
          <w:sz w:val="24"/>
          <w:szCs w:val="24"/>
        </w:rPr>
        <w:t>Н</w:t>
      </w:r>
      <w:r w:rsidRPr="00825EEB">
        <w:rPr>
          <w:rFonts w:ascii="Sylfaen" w:hAnsi="Sylfaen"/>
          <w:sz w:val="24"/>
          <w:szCs w:val="24"/>
          <w:vertAlign w:val="subscript"/>
        </w:rPr>
        <w:t>62</w:t>
      </w:r>
      <w:r w:rsidRPr="00825EEB">
        <w:rPr>
          <w:rFonts w:ascii="Sylfaen" w:hAnsi="Sylfaen"/>
          <w:sz w:val="24"/>
          <w:szCs w:val="24"/>
        </w:rPr>
        <w:t>О</w:t>
      </w:r>
      <w:r w:rsidRPr="00825EEB">
        <w:rPr>
          <w:rFonts w:ascii="Sylfaen" w:hAnsi="Sylfaen"/>
          <w:sz w:val="24"/>
          <w:szCs w:val="24"/>
          <w:vertAlign w:val="subscript"/>
        </w:rPr>
        <w:t>3</w:t>
      </w:r>
      <w:r w:rsidRPr="00825EEB">
        <w:rPr>
          <w:rFonts w:ascii="Sylfaen" w:hAnsi="Sylfaen"/>
          <w:sz w:val="24"/>
          <w:szCs w:val="24"/>
        </w:rPr>
        <w:t>։ [2082-79-3]։</w:t>
      </w:r>
    </w:p>
    <w:p w14:paraId="1B8C20C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58BF8F16" wp14:editId="47E12066">
            <wp:extent cx="2672865" cy="1295400"/>
            <wp:effectExtent l="19050" t="0" r="0" b="0"/>
            <wp:docPr id="5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cstate="print"/>
                    <a:srcRect/>
                    <a:stretch>
                      <a:fillRect/>
                    </a:stretch>
                  </pic:blipFill>
                  <pic:spPr bwMode="auto">
                    <a:xfrm>
                      <a:off x="0" y="0"/>
                      <a:ext cx="2673696" cy="1295803"/>
                    </a:xfrm>
                    <a:prstGeom prst="rect">
                      <a:avLst/>
                    </a:prstGeom>
                    <a:noFill/>
                    <a:ln w="9525">
                      <a:noFill/>
                      <a:miter lim="800000"/>
                      <a:headEnd/>
                      <a:tailEnd/>
                    </a:ln>
                  </pic:spPr>
                </pic:pic>
              </a:graphicData>
            </a:graphic>
          </wp:inline>
        </w:drawing>
      </w:r>
    </w:p>
    <w:p w14:paraId="69D2F74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օկտադեցիլ 3-(3,5-դի</w:t>
      </w:r>
      <w:r w:rsidRPr="00825EEB">
        <w:rPr>
          <w:rFonts w:ascii="Sylfaen" w:hAnsi="Sylfaen"/>
          <w:i/>
          <w:sz w:val="24"/>
          <w:szCs w:val="24"/>
        </w:rPr>
        <w:t>-տրետ</w:t>
      </w:r>
      <w:r w:rsidRPr="00825EEB">
        <w:rPr>
          <w:rFonts w:ascii="Sylfaen" w:hAnsi="Sylfaen"/>
          <w:sz w:val="24"/>
          <w:szCs w:val="24"/>
        </w:rPr>
        <w:t>-բութիլ-4-հիդրօքսիֆենիլ)պրոպանոատ</w:t>
      </w:r>
    </w:p>
    <w:p w14:paraId="5D64DEA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օկտադեցիլ 3-(3,5-դի</w:t>
      </w:r>
      <w:r w:rsidRPr="00825EEB">
        <w:rPr>
          <w:rFonts w:ascii="Sylfaen" w:hAnsi="Sylfaen"/>
          <w:i/>
          <w:sz w:val="24"/>
          <w:szCs w:val="24"/>
        </w:rPr>
        <w:t>-</w:t>
      </w:r>
      <w:r w:rsidRPr="00825EEB">
        <w:rPr>
          <w:rFonts w:ascii="Sylfaen" w:hAnsi="Sylfaen"/>
          <w:b/>
          <w:i/>
          <w:sz w:val="24"/>
          <w:szCs w:val="24"/>
        </w:rPr>
        <w:t>տրետ</w:t>
      </w:r>
      <w:r w:rsidRPr="00825EEB">
        <w:rPr>
          <w:rFonts w:ascii="Sylfaen" w:hAnsi="Sylfaen"/>
          <w:b/>
          <w:sz w:val="24"/>
          <w:szCs w:val="24"/>
        </w:rPr>
        <w:t>-բութիլ-4-հիդրօքսիֆենիլ) պրոպիոնատ.</w:t>
      </w:r>
    </w:p>
    <w:p w14:paraId="01BE2BD9"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բենզոլպրոպանաթթվի 3-</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3,5-բիս</w:t>
      </w:r>
      <w:r w:rsidRPr="00AA234B">
        <w:rPr>
          <w:rFonts w:ascii="Sylfaen" w:hAnsi="Sylfaen"/>
          <w:sz w:val="24"/>
          <w:szCs w:val="24"/>
        </w:rPr>
        <w:t xml:space="preserve"> </w:t>
      </w:r>
      <w:r w:rsidR="0058052E" w:rsidRPr="00825EEB">
        <w:rPr>
          <w:rFonts w:ascii="Sylfaen" w:hAnsi="Sylfaen"/>
          <w:sz w:val="24"/>
          <w:szCs w:val="24"/>
        </w:rPr>
        <w:t>(1,1-դիմեթիլէթիլ)</w:t>
      </w:r>
      <w:r w:rsidRPr="00AA234B">
        <w:rPr>
          <w:rFonts w:ascii="Sylfaen" w:hAnsi="Sylfaen"/>
          <w:sz w:val="24"/>
          <w:szCs w:val="24"/>
        </w:rPr>
        <w:t xml:space="preserve"> </w:t>
      </w:r>
      <w:r w:rsidR="0058052E" w:rsidRPr="00825EEB">
        <w:rPr>
          <w:rFonts w:ascii="Sylfaen" w:hAnsi="Sylfaen"/>
          <w:sz w:val="24"/>
          <w:szCs w:val="24"/>
        </w:rPr>
        <w:t>-4-հիդրօքսի</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օկտադեցիլային եթեր:</w:t>
      </w:r>
    </w:p>
    <w:p w14:paraId="77A4D761" w14:textId="77777777" w:rsidR="0058052E" w:rsidRDefault="0058052E" w:rsidP="0058052E">
      <w:pPr>
        <w:pStyle w:val="a0"/>
        <w:shd w:val="clear" w:color="auto" w:fill="auto"/>
        <w:spacing w:after="160" w:line="360" w:lineRule="auto"/>
        <w:ind w:firstLine="567"/>
        <w:jc w:val="both"/>
        <w:rPr>
          <w:rFonts w:ascii="Sylfaen" w:hAnsi="Sylfaen" w:cs="Sylfaen"/>
          <w:sz w:val="24"/>
          <w:szCs w:val="24"/>
          <w:lang w:val="en-US"/>
        </w:rPr>
      </w:pPr>
      <w:r w:rsidRPr="00825EEB">
        <w:rPr>
          <w:rFonts w:ascii="Sylfaen" w:hAnsi="Sylfaen" w:cs="Sylfaen"/>
          <w:b/>
          <w:bCs/>
          <w:noProof/>
          <w:sz w:val="24"/>
          <w:szCs w:val="24"/>
          <w:lang w:val="en-US" w:eastAsia="en-US" w:bidi="ar-SA"/>
        </w:rPr>
        <w:drawing>
          <wp:inline distT="0" distB="0" distL="0" distR="0" wp14:anchorId="22A4C7FE" wp14:editId="26991412">
            <wp:extent cx="1788968" cy="1589584"/>
            <wp:effectExtent l="19050" t="0" r="1732" b="0"/>
            <wp:docPr id="5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3" cstate="print"/>
                    <a:srcRect/>
                    <a:stretch>
                      <a:fillRect/>
                    </a:stretch>
                  </pic:blipFill>
                  <pic:spPr bwMode="auto">
                    <a:xfrm>
                      <a:off x="0" y="0"/>
                      <a:ext cx="1789524" cy="1590078"/>
                    </a:xfrm>
                    <a:prstGeom prst="rect">
                      <a:avLst/>
                    </a:prstGeom>
                    <a:noFill/>
                    <a:ln w="9525">
                      <a:noFill/>
                      <a:miter lim="800000"/>
                      <a:headEnd/>
                      <a:tailEnd/>
                    </a:ln>
                  </pic:spPr>
                </pic:pic>
              </a:graphicData>
            </a:graphic>
          </wp:inline>
        </w:drawing>
      </w:r>
    </w:p>
    <w:p w14:paraId="09E7A33F" w14:textId="77777777" w:rsidR="001827DA" w:rsidRDefault="001827DA">
      <w:pPr>
        <w:rPr>
          <w:rFonts w:eastAsia="Times New Roman"/>
          <w:color w:val="auto"/>
          <w:lang w:val="en-US"/>
        </w:rPr>
      </w:pPr>
      <w:r>
        <w:rPr>
          <w:lang w:val="en-US"/>
        </w:rPr>
        <w:br w:type="page"/>
      </w:r>
    </w:p>
    <w:p w14:paraId="166E6DC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Հավելանյութ 12։ </w:t>
      </w:r>
      <w:r w:rsidRPr="00825EEB">
        <w:rPr>
          <w:rFonts w:ascii="Sylfaen" w:hAnsi="Sylfaen"/>
          <w:sz w:val="24"/>
          <w:szCs w:val="24"/>
        </w:rPr>
        <w:t>С</w:t>
      </w:r>
      <w:r w:rsidRPr="00825EEB">
        <w:rPr>
          <w:rFonts w:ascii="Sylfaen" w:hAnsi="Sylfaen"/>
          <w:sz w:val="24"/>
          <w:szCs w:val="24"/>
          <w:vertAlign w:val="subscript"/>
        </w:rPr>
        <w:t>42</w:t>
      </w:r>
      <w:r w:rsidRPr="00825EEB">
        <w:rPr>
          <w:rFonts w:ascii="Sylfaen" w:hAnsi="Sylfaen"/>
          <w:sz w:val="24"/>
          <w:szCs w:val="24"/>
        </w:rPr>
        <w:t>Н</w:t>
      </w:r>
      <w:r w:rsidRPr="00825EEB">
        <w:rPr>
          <w:rFonts w:ascii="Sylfaen" w:hAnsi="Sylfaen"/>
          <w:sz w:val="24"/>
          <w:szCs w:val="24"/>
          <w:vertAlign w:val="subscript"/>
        </w:rPr>
        <w:t>63</w:t>
      </w:r>
      <w:r w:rsidRPr="00825EEB">
        <w:rPr>
          <w:rFonts w:ascii="Sylfaen" w:hAnsi="Sylfaen"/>
          <w:sz w:val="24"/>
          <w:szCs w:val="24"/>
        </w:rPr>
        <w:t>О</w:t>
      </w:r>
      <w:r w:rsidRPr="00825EEB">
        <w:rPr>
          <w:rFonts w:ascii="Sylfaen" w:hAnsi="Sylfaen"/>
          <w:sz w:val="24"/>
          <w:szCs w:val="24"/>
          <w:vertAlign w:val="subscript"/>
        </w:rPr>
        <w:t>3</w:t>
      </w:r>
      <w:r w:rsidRPr="00825EEB">
        <w:rPr>
          <w:rFonts w:ascii="Sylfaen" w:hAnsi="Sylfaen"/>
          <w:sz w:val="24"/>
          <w:szCs w:val="24"/>
        </w:rPr>
        <w:t>Р։ [31570-04-4]։</w:t>
      </w:r>
    </w:p>
    <w:p w14:paraId="2576F0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59A3C43D" wp14:editId="7AAC3FDC">
            <wp:extent cx="2031422" cy="1564818"/>
            <wp:effectExtent l="19050" t="0" r="6928" b="0"/>
            <wp:docPr id="5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4" cstate="print"/>
                    <a:srcRect/>
                    <a:stretch>
                      <a:fillRect/>
                    </a:stretch>
                  </pic:blipFill>
                  <pic:spPr bwMode="auto">
                    <a:xfrm>
                      <a:off x="0" y="0"/>
                      <a:ext cx="2032053" cy="1565304"/>
                    </a:xfrm>
                    <a:prstGeom prst="rect">
                      <a:avLst/>
                    </a:prstGeom>
                    <a:noFill/>
                    <a:ln w="9525">
                      <a:noFill/>
                      <a:miter lim="800000"/>
                      <a:headEnd/>
                      <a:tailEnd/>
                    </a:ln>
                  </pic:spPr>
                </pic:pic>
              </a:graphicData>
            </a:graphic>
          </wp:inline>
        </w:drawing>
      </w:r>
    </w:p>
    <w:p w14:paraId="5EFAB2F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տրիս(2,4-դի</w:t>
      </w:r>
      <w:r w:rsidRPr="00825EEB">
        <w:rPr>
          <w:rFonts w:ascii="Sylfaen" w:hAnsi="Sylfaen"/>
          <w:i/>
          <w:sz w:val="24"/>
          <w:szCs w:val="24"/>
        </w:rPr>
        <w:t>-տրետ</w:t>
      </w:r>
      <w:r w:rsidRPr="00825EEB">
        <w:rPr>
          <w:rFonts w:ascii="Sylfaen" w:hAnsi="Sylfaen"/>
          <w:sz w:val="24"/>
          <w:szCs w:val="24"/>
        </w:rPr>
        <w:t>-բութիլֆենիլ)ֆոսֆիտ</w:t>
      </w:r>
    </w:p>
    <w:p w14:paraId="52B1BE4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b/>
          <w:sz w:val="24"/>
          <w:szCs w:val="24"/>
        </w:rPr>
        <w:t>-</w:t>
      </w:r>
      <w:r w:rsidRPr="00825EEB">
        <w:rPr>
          <w:rFonts w:ascii="Sylfaen" w:hAnsi="Sylfaen"/>
          <w:b/>
          <w:sz w:val="24"/>
          <w:szCs w:val="24"/>
        </w:rPr>
        <w:t xml:space="preserve"> տրիս(2,4-դի</w:t>
      </w:r>
      <w:r w:rsidRPr="00825EEB">
        <w:rPr>
          <w:rFonts w:ascii="Sylfaen" w:hAnsi="Sylfaen"/>
          <w:i/>
          <w:sz w:val="24"/>
          <w:szCs w:val="24"/>
        </w:rPr>
        <w:t>-</w:t>
      </w:r>
      <w:r w:rsidRPr="00825EEB">
        <w:rPr>
          <w:rFonts w:ascii="Sylfaen" w:hAnsi="Sylfaen"/>
          <w:b/>
          <w:i/>
          <w:sz w:val="24"/>
          <w:szCs w:val="24"/>
        </w:rPr>
        <w:t>տրետ</w:t>
      </w:r>
      <w:r w:rsidRPr="00825EEB">
        <w:rPr>
          <w:rFonts w:ascii="Sylfaen" w:hAnsi="Sylfaen"/>
          <w:b/>
          <w:sz w:val="24"/>
          <w:szCs w:val="24"/>
        </w:rPr>
        <w:t>-բութիլֆենիլ) ֆոսֆիտ.</w:t>
      </w:r>
    </w:p>
    <w:p w14:paraId="07DE4566"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ֆենոլ, 2,4-բիս(1,1-դիմեթիլէթիլ)-,1,1</w:t>
      </w:r>
      <w:r w:rsidR="0058052E" w:rsidRPr="00825EEB">
        <w:rPr>
          <w:rFonts w:ascii="Sylfaen" w:hAnsi="Sylfaen"/>
          <w:i/>
          <w:sz w:val="24"/>
          <w:szCs w:val="24"/>
        </w:rPr>
        <w:t>'</w:t>
      </w:r>
      <w:r w:rsidR="0058052E" w:rsidRPr="00825EEB">
        <w:rPr>
          <w:rFonts w:ascii="Sylfaen" w:hAnsi="Sylfaen"/>
          <w:sz w:val="24"/>
          <w:szCs w:val="24"/>
        </w:rPr>
        <w:t>,1</w:t>
      </w:r>
      <w:r w:rsidR="0058052E" w:rsidRPr="00825EEB">
        <w:rPr>
          <w:rFonts w:ascii="Sylfaen" w:hAnsi="Sylfaen"/>
          <w:i/>
          <w:sz w:val="24"/>
          <w:szCs w:val="24"/>
        </w:rPr>
        <w:t>"</w:t>
      </w:r>
      <w:r w:rsidR="0058052E" w:rsidRPr="00825EEB">
        <w:rPr>
          <w:rFonts w:ascii="Sylfaen" w:hAnsi="Sylfaen"/>
          <w:sz w:val="24"/>
          <w:szCs w:val="24"/>
        </w:rPr>
        <w:t>-ֆոսֆիտ.</w:t>
      </w:r>
    </w:p>
    <w:p w14:paraId="75192115"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2,4-բիս(1,1-դիմեթիլէթիլ)ֆենիլ, ֆոսֆիտ:</w:t>
      </w:r>
    </w:p>
    <w:p w14:paraId="60172A5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13։ </w:t>
      </w:r>
      <w:r w:rsidRPr="00825EEB">
        <w:rPr>
          <w:rFonts w:ascii="Sylfaen" w:hAnsi="Sylfaen"/>
          <w:sz w:val="24"/>
          <w:szCs w:val="24"/>
        </w:rPr>
        <w:t>С</w:t>
      </w:r>
      <w:r w:rsidRPr="00825EEB">
        <w:rPr>
          <w:rFonts w:ascii="Sylfaen" w:hAnsi="Sylfaen"/>
          <w:sz w:val="24"/>
          <w:szCs w:val="24"/>
          <w:vertAlign w:val="subscript"/>
        </w:rPr>
        <w:t>48</w:t>
      </w:r>
      <w:r w:rsidRPr="00825EEB">
        <w:rPr>
          <w:rFonts w:ascii="Sylfaen" w:hAnsi="Sylfaen"/>
          <w:sz w:val="24"/>
          <w:szCs w:val="24"/>
        </w:rPr>
        <w:t>Н</w:t>
      </w:r>
      <w:r w:rsidRPr="00825EEB">
        <w:rPr>
          <w:rFonts w:ascii="Sylfaen" w:hAnsi="Sylfaen"/>
          <w:sz w:val="24"/>
          <w:szCs w:val="24"/>
          <w:vertAlign w:val="subscript"/>
        </w:rPr>
        <w:t>69</w:t>
      </w:r>
      <w:r w:rsidRPr="00825EEB">
        <w:rPr>
          <w:rFonts w:ascii="Sylfaen" w:hAnsi="Sylfaen"/>
          <w:sz w:val="24"/>
          <w:szCs w:val="24"/>
        </w:rPr>
        <w:t>N</w:t>
      </w:r>
      <w:r w:rsidRPr="00825EEB">
        <w:rPr>
          <w:rFonts w:ascii="Sylfaen" w:hAnsi="Sylfaen"/>
          <w:sz w:val="24"/>
          <w:szCs w:val="24"/>
          <w:vertAlign w:val="subscript"/>
        </w:rPr>
        <w:t>3</w:t>
      </w:r>
      <w:r w:rsidRPr="00825EEB">
        <w:rPr>
          <w:rFonts w:ascii="Sylfaen" w:hAnsi="Sylfaen"/>
          <w:sz w:val="24"/>
          <w:szCs w:val="24"/>
        </w:rPr>
        <w:t>О</w:t>
      </w:r>
      <w:r w:rsidRPr="00825EEB">
        <w:rPr>
          <w:rFonts w:ascii="Sylfaen" w:hAnsi="Sylfaen"/>
          <w:sz w:val="24"/>
          <w:szCs w:val="24"/>
          <w:vertAlign w:val="subscript"/>
        </w:rPr>
        <w:t>6</w:t>
      </w:r>
      <w:r w:rsidRPr="00825EEB">
        <w:rPr>
          <w:rFonts w:ascii="Sylfaen" w:hAnsi="Sylfaen"/>
          <w:sz w:val="24"/>
          <w:szCs w:val="24"/>
        </w:rPr>
        <w:t>։ [27676-62-6]։</w:t>
      </w:r>
    </w:p>
    <w:p w14:paraId="73BF8A3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3D1AC3BF" wp14:editId="46D454B9">
            <wp:extent cx="2743567" cy="1184564"/>
            <wp:effectExtent l="19050" t="0" r="0" b="0"/>
            <wp:docPr id="5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5" cstate="print"/>
                    <a:srcRect/>
                    <a:stretch>
                      <a:fillRect/>
                    </a:stretch>
                  </pic:blipFill>
                  <pic:spPr bwMode="auto">
                    <a:xfrm>
                      <a:off x="0" y="0"/>
                      <a:ext cx="2744420" cy="1184932"/>
                    </a:xfrm>
                    <a:prstGeom prst="rect">
                      <a:avLst/>
                    </a:prstGeom>
                    <a:noFill/>
                    <a:ln w="9525">
                      <a:noFill/>
                      <a:miter lim="800000"/>
                      <a:headEnd/>
                      <a:tailEnd/>
                    </a:ln>
                  </pic:spPr>
                </pic:pic>
              </a:graphicData>
            </a:graphic>
          </wp:inline>
        </w:drawing>
      </w:r>
    </w:p>
    <w:p w14:paraId="162564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1,3,5-տրիս(3,5-դի</w:t>
      </w:r>
      <w:r w:rsidRPr="00825EEB">
        <w:rPr>
          <w:rFonts w:ascii="Sylfaen" w:hAnsi="Sylfaen"/>
          <w:i/>
          <w:sz w:val="24"/>
          <w:szCs w:val="24"/>
        </w:rPr>
        <w:t>-տրետ</w:t>
      </w:r>
      <w:r w:rsidRPr="00825EEB">
        <w:rPr>
          <w:rFonts w:ascii="Sylfaen" w:hAnsi="Sylfaen"/>
          <w:sz w:val="24"/>
          <w:szCs w:val="24"/>
        </w:rPr>
        <w:t>-բութիլ-4-հիդրօքսիֆենիլ)մեթիլ]-1,3,5-տրիազին-2,4,6(</w:t>
      </w:r>
      <w:r w:rsidRPr="00825EEB">
        <w:rPr>
          <w:rFonts w:ascii="Sylfaen" w:hAnsi="Sylfaen"/>
          <w:i/>
          <w:sz w:val="24"/>
          <w:szCs w:val="24"/>
        </w:rPr>
        <w:t>1H,2H,3H</w:t>
      </w:r>
      <w:r w:rsidRPr="00825EEB">
        <w:rPr>
          <w:rFonts w:ascii="Sylfaen" w:hAnsi="Sylfaen"/>
          <w:sz w:val="24"/>
          <w:szCs w:val="24"/>
        </w:rPr>
        <w:t>)-տրիոն</w:t>
      </w:r>
    </w:p>
    <w:p w14:paraId="337C10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1,3,5-տրիս(3,5-դի</w:t>
      </w:r>
      <w:r w:rsidRPr="00825EEB">
        <w:rPr>
          <w:rFonts w:ascii="Sylfaen" w:hAnsi="Sylfaen"/>
          <w:i/>
          <w:sz w:val="24"/>
          <w:szCs w:val="24"/>
        </w:rPr>
        <w:t>-</w:t>
      </w:r>
      <w:r w:rsidRPr="00825EEB">
        <w:rPr>
          <w:rFonts w:ascii="Sylfaen" w:hAnsi="Sylfaen"/>
          <w:b/>
          <w:i/>
          <w:sz w:val="24"/>
          <w:szCs w:val="24"/>
        </w:rPr>
        <w:t>տրետ</w:t>
      </w:r>
      <w:r w:rsidRPr="00825EEB">
        <w:rPr>
          <w:rFonts w:ascii="Sylfaen" w:hAnsi="Sylfaen"/>
          <w:b/>
          <w:sz w:val="24"/>
          <w:szCs w:val="24"/>
        </w:rPr>
        <w:t>-բութիլ-4-հիդրօքսիբենզիլ)-</w:t>
      </w:r>
      <w:r w:rsidRPr="00825EEB">
        <w:rPr>
          <w:rFonts w:ascii="Sylfaen" w:hAnsi="Sylfaen"/>
          <w:b/>
          <w:i/>
          <w:sz w:val="24"/>
          <w:szCs w:val="24"/>
        </w:rPr>
        <w:t>s</w:t>
      </w:r>
      <w:r w:rsidRPr="00825EEB">
        <w:rPr>
          <w:rFonts w:ascii="Sylfaen" w:hAnsi="Sylfaen"/>
          <w:b/>
          <w:sz w:val="24"/>
          <w:szCs w:val="24"/>
        </w:rPr>
        <w:t>-տրիազին-2,4,6(1</w:t>
      </w:r>
      <w:r w:rsidRPr="00825EEB">
        <w:rPr>
          <w:rFonts w:ascii="Sylfaen" w:hAnsi="Sylfaen"/>
          <w:b/>
          <w:i/>
          <w:sz w:val="24"/>
          <w:szCs w:val="24"/>
        </w:rPr>
        <w:t>H</w:t>
      </w:r>
      <w:r w:rsidRPr="00825EEB">
        <w:rPr>
          <w:rFonts w:ascii="Sylfaen" w:hAnsi="Sylfaen"/>
          <w:b/>
          <w:sz w:val="24"/>
          <w:szCs w:val="24"/>
        </w:rPr>
        <w:t>,2</w:t>
      </w:r>
      <w:r w:rsidRPr="00825EEB">
        <w:rPr>
          <w:rFonts w:ascii="Sylfaen" w:hAnsi="Sylfaen"/>
          <w:b/>
          <w:i/>
          <w:sz w:val="24"/>
          <w:szCs w:val="24"/>
        </w:rPr>
        <w:t>H</w:t>
      </w:r>
      <w:r w:rsidRPr="00825EEB">
        <w:rPr>
          <w:rFonts w:ascii="Sylfaen" w:hAnsi="Sylfaen"/>
          <w:b/>
          <w:sz w:val="24"/>
          <w:szCs w:val="24"/>
        </w:rPr>
        <w:t>,3</w:t>
      </w:r>
      <w:r w:rsidRPr="00825EEB">
        <w:rPr>
          <w:rFonts w:ascii="Sylfaen" w:hAnsi="Sylfaen"/>
          <w:b/>
          <w:i/>
          <w:sz w:val="24"/>
          <w:szCs w:val="24"/>
        </w:rPr>
        <w:t>H</w:t>
      </w:r>
      <w:r w:rsidRPr="00825EEB">
        <w:rPr>
          <w:rFonts w:ascii="Sylfaen" w:hAnsi="Sylfaen"/>
          <w:sz w:val="24"/>
          <w:szCs w:val="24"/>
        </w:rPr>
        <w:t>)</w:t>
      </w:r>
      <w:r w:rsidRPr="00825EEB">
        <w:rPr>
          <w:rFonts w:ascii="Sylfaen" w:hAnsi="Sylfaen"/>
          <w:b/>
          <w:sz w:val="24"/>
          <w:szCs w:val="24"/>
        </w:rPr>
        <w:t>-տրիոն</w:t>
      </w:r>
    </w:p>
    <w:p w14:paraId="3981A270"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1,3,5-տրիազին-2,4,6</w:t>
      </w:r>
      <w:r w:rsidRPr="00AA234B">
        <w:rPr>
          <w:rFonts w:ascii="Sylfaen" w:hAnsi="Sylfaen"/>
          <w:sz w:val="24"/>
          <w:szCs w:val="24"/>
        </w:rPr>
        <w:t xml:space="preserve"> </w:t>
      </w:r>
      <w:r w:rsidR="0058052E" w:rsidRPr="00825EEB">
        <w:rPr>
          <w:rFonts w:ascii="Sylfaen" w:hAnsi="Sylfaen"/>
          <w:sz w:val="24"/>
          <w:szCs w:val="24"/>
        </w:rPr>
        <w:t>(1</w:t>
      </w:r>
      <w:r w:rsidR="0058052E" w:rsidRPr="00825EEB">
        <w:rPr>
          <w:rFonts w:ascii="Sylfaen" w:hAnsi="Sylfaen"/>
          <w:i/>
          <w:sz w:val="24"/>
          <w:szCs w:val="24"/>
        </w:rPr>
        <w:t>H</w:t>
      </w:r>
      <w:r w:rsidR="0058052E" w:rsidRPr="00825EEB">
        <w:rPr>
          <w:rFonts w:ascii="Sylfaen" w:hAnsi="Sylfaen"/>
          <w:sz w:val="24"/>
          <w:szCs w:val="24"/>
        </w:rPr>
        <w:t>,2</w:t>
      </w:r>
      <w:r w:rsidR="0058052E" w:rsidRPr="00825EEB">
        <w:rPr>
          <w:rFonts w:ascii="Sylfaen" w:hAnsi="Sylfaen"/>
          <w:i/>
          <w:sz w:val="24"/>
          <w:szCs w:val="24"/>
        </w:rPr>
        <w:t>H</w:t>
      </w:r>
      <w:r w:rsidR="0058052E" w:rsidRPr="00825EEB">
        <w:rPr>
          <w:rFonts w:ascii="Sylfaen" w:hAnsi="Sylfaen"/>
          <w:sz w:val="24"/>
          <w:szCs w:val="24"/>
        </w:rPr>
        <w:t>,3</w:t>
      </w:r>
      <w:r w:rsidR="0058052E" w:rsidRPr="00825EEB">
        <w:rPr>
          <w:rFonts w:ascii="Sylfaen" w:hAnsi="Sylfaen"/>
          <w:i/>
          <w:sz w:val="24"/>
          <w:szCs w:val="24"/>
        </w:rPr>
        <w:t>H</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-տրիոն,1,3,5-տրիս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3,5-բիս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1,1-դիմեթիլէթիլ)</w:t>
      </w:r>
      <w:r w:rsidRPr="00AA234B">
        <w:rPr>
          <w:rFonts w:ascii="Sylfaen" w:hAnsi="Sylfaen"/>
          <w:sz w:val="24"/>
          <w:szCs w:val="24"/>
        </w:rPr>
        <w:t xml:space="preserve"> </w:t>
      </w:r>
      <w:r w:rsidR="0058052E" w:rsidRPr="00825EEB">
        <w:rPr>
          <w:rFonts w:ascii="Sylfaen" w:hAnsi="Sylfaen"/>
          <w:sz w:val="24"/>
          <w:szCs w:val="24"/>
        </w:rPr>
        <w:t>-4-</w:t>
      </w:r>
      <w:r w:rsidRPr="00AA234B">
        <w:rPr>
          <w:rFonts w:ascii="Sylfaen" w:hAnsi="Sylfaen"/>
          <w:sz w:val="24"/>
          <w:szCs w:val="24"/>
        </w:rPr>
        <w:t xml:space="preserve"> </w:t>
      </w:r>
      <w:r w:rsidR="0058052E" w:rsidRPr="00825EEB">
        <w:rPr>
          <w:rFonts w:ascii="Sylfaen" w:hAnsi="Sylfaen"/>
          <w:sz w:val="24"/>
          <w:szCs w:val="24"/>
        </w:rPr>
        <w:t>հիդրօքսիֆենիլ]</w:t>
      </w:r>
      <w:r w:rsidRPr="00AA234B">
        <w:rPr>
          <w:rFonts w:ascii="Sylfaen" w:hAnsi="Sylfaen"/>
          <w:sz w:val="24"/>
          <w:szCs w:val="24"/>
        </w:rPr>
        <w:t xml:space="preserve"> </w:t>
      </w:r>
      <w:r w:rsidR="0058052E" w:rsidRPr="00825EEB">
        <w:rPr>
          <w:rFonts w:ascii="Sylfaen" w:hAnsi="Sylfaen"/>
          <w:sz w:val="24"/>
          <w:szCs w:val="24"/>
        </w:rPr>
        <w:t>մեթիլ]</w:t>
      </w:r>
      <w:r w:rsidRPr="00AA234B">
        <w:rPr>
          <w:rFonts w:ascii="Sylfaen" w:hAnsi="Sylfaen"/>
          <w:sz w:val="24"/>
          <w:szCs w:val="24"/>
        </w:rPr>
        <w:t xml:space="preserve"> </w:t>
      </w:r>
      <w:r w:rsidR="0058052E" w:rsidRPr="00825EEB">
        <w:rPr>
          <w:rFonts w:ascii="Sylfaen" w:hAnsi="Sylfaen"/>
          <w:sz w:val="24"/>
          <w:szCs w:val="24"/>
        </w:rPr>
        <w:t>-։</w:t>
      </w:r>
    </w:p>
    <w:p w14:paraId="3D416DF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14։ </w:t>
      </w:r>
      <w:r w:rsidRPr="00825EEB">
        <w:rPr>
          <w:rFonts w:ascii="Sylfaen" w:hAnsi="Sylfaen"/>
          <w:sz w:val="24"/>
          <w:szCs w:val="24"/>
        </w:rPr>
        <w:t>С</w:t>
      </w:r>
      <w:r w:rsidRPr="00825EEB">
        <w:rPr>
          <w:rFonts w:ascii="Sylfaen" w:hAnsi="Sylfaen"/>
          <w:sz w:val="24"/>
          <w:szCs w:val="24"/>
          <w:vertAlign w:val="subscript"/>
        </w:rPr>
        <w:t>41</w:t>
      </w:r>
      <w:r w:rsidRPr="00825EEB">
        <w:rPr>
          <w:rFonts w:ascii="Sylfaen" w:hAnsi="Sylfaen"/>
          <w:sz w:val="24"/>
          <w:szCs w:val="24"/>
        </w:rPr>
        <w:t>Н</w:t>
      </w:r>
      <w:r w:rsidRPr="00825EEB">
        <w:rPr>
          <w:rFonts w:ascii="Sylfaen" w:hAnsi="Sylfaen"/>
          <w:sz w:val="24"/>
          <w:szCs w:val="24"/>
          <w:vertAlign w:val="subscript"/>
        </w:rPr>
        <w:t>82</w:t>
      </w:r>
      <w:r w:rsidRPr="00825EEB">
        <w:rPr>
          <w:rFonts w:ascii="Sylfaen" w:hAnsi="Sylfaen"/>
          <w:sz w:val="24"/>
          <w:szCs w:val="24"/>
        </w:rPr>
        <w:t>О</w:t>
      </w:r>
      <w:r w:rsidRPr="00825EEB">
        <w:rPr>
          <w:rFonts w:ascii="Sylfaen" w:hAnsi="Sylfaen"/>
          <w:sz w:val="24"/>
          <w:szCs w:val="24"/>
          <w:vertAlign w:val="subscript"/>
        </w:rPr>
        <w:t>6</w:t>
      </w:r>
      <w:r w:rsidRPr="00825EEB">
        <w:rPr>
          <w:rFonts w:ascii="Sylfaen" w:hAnsi="Sylfaen"/>
          <w:sz w:val="24"/>
          <w:szCs w:val="24"/>
        </w:rPr>
        <w:t>Р</w:t>
      </w:r>
      <w:r w:rsidRPr="00825EEB">
        <w:rPr>
          <w:rFonts w:ascii="Sylfaen" w:hAnsi="Sylfaen"/>
          <w:sz w:val="24"/>
          <w:szCs w:val="24"/>
          <w:vertAlign w:val="subscript"/>
        </w:rPr>
        <w:t>2</w:t>
      </w:r>
      <w:r w:rsidRPr="00825EEB">
        <w:rPr>
          <w:rFonts w:ascii="Sylfaen" w:hAnsi="Sylfaen"/>
          <w:sz w:val="24"/>
          <w:szCs w:val="24"/>
        </w:rPr>
        <w:t>։ [3806-34-6]։</w:t>
      </w:r>
    </w:p>
    <w:p w14:paraId="122571C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lang w:val="en-US" w:eastAsia="en-US" w:bidi="ar-SA"/>
        </w:rPr>
        <w:drawing>
          <wp:inline distT="0" distB="0" distL="0" distR="0" wp14:anchorId="5AC30AFB" wp14:editId="07892DDB">
            <wp:extent cx="1879022" cy="602865"/>
            <wp:effectExtent l="19050" t="0" r="6928" b="0"/>
            <wp:docPr id="6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cstate="print"/>
                    <a:srcRect/>
                    <a:stretch>
                      <a:fillRect/>
                    </a:stretch>
                  </pic:blipFill>
                  <pic:spPr bwMode="auto">
                    <a:xfrm>
                      <a:off x="0" y="0"/>
                      <a:ext cx="1879606" cy="603052"/>
                    </a:xfrm>
                    <a:prstGeom prst="rect">
                      <a:avLst/>
                    </a:prstGeom>
                    <a:noFill/>
                    <a:ln w="9525">
                      <a:noFill/>
                      <a:miter lim="800000"/>
                      <a:headEnd/>
                      <a:tailEnd/>
                    </a:ln>
                  </pic:spPr>
                </pic:pic>
              </a:graphicData>
            </a:graphic>
          </wp:inline>
        </w:drawing>
      </w:r>
    </w:p>
    <w:p w14:paraId="418BBF1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3,9-բիս(օկտադեցիլօքսի)-2,4,8,10-տետրաօքսա-</w:t>
      </w:r>
    </w:p>
    <w:p w14:paraId="292E5AE7" w14:textId="77777777" w:rsidR="0058052E" w:rsidRPr="00825EEB" w:rsidRDefault="0058052E" w:rsidP="0058052E">
      <w:pPr>
        <w:spacing w:after="160" w:line="360" w:lineRule="auto"/>
        <w:ind w:firstLine="567"/>
        <w:jc w:val="both"/>
      </w:pPr>
      <w:r w:rsidRPr="00825EEB">
        <w:t>3,9-դիֆոսֆասպիրո[5.5]ունդեկան</w:t>
      </w:r>
    </w:p>
    <w:p w14:paraId="7262145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2,2</w:t>
      </w:r>
      <w:r w:rsidRPr="00825EEB">
        <w:rPr>
          <w:rFonts w:ascii="Sylfaen" w:hAnsi="Sylfaen"/>
          <w:b/>
          <w:i/>
          <w:sz w:val="24"/>
          <w:szCs w:val="24"/>
        </w:rPr>
        <w:t>'</w:t>
      </w:r>
      <w:r w:rsidRPr="00825EEB">
        <w:rPr>
          <w:rFonts w:ascii="Sylfaen" w:hAnsi="Sylfaen"/>
          <w:b/>
          <w:sz w:val="24"/>
          <w:szCs w:val="24"/>
        </w:rPr>
        <w:t>-բիս(օկտադեցիլօքսի)-5,5</w:t>
      </w:r>
      <w:r w:rsidRPr="00825EEB">
        <w:rPr>
          <w:rFonts w:ascii="Sylfaen" w:hAnsi="Sylfaen"/>
          <w:b/>
          <w:i/>
          <w:sz w:val="24"/>
          <w:szCs w:val="24"/>
        </w:rPr>
        <w:t>'</w:t>
      </w:r>
      <w:r w:rsidRPr="00825EEB">
        <w:rPr>
          <w:rFonts w:ascii="Sylfaen" w:hAnsi="Sylfaen"/>
          <w:b/>
          <w:sz w:val="24"/>
          <w:szCs w:val="24"/>
        </w:rPr>
        <w:t>-սպիրոբի[1,3,2-դիօքսաֆոսֆորինան]</w:t>
      </w:r>
    </w:p>
    <w:p w14:paraId="37B2AE23"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2,4,8,10-տետրաօքսա-3,9-դիֆոսֆասպիրո[5.5]ունդեկան, 3,9-բիս(օկտադեցիլօքսի)-:</w:t>
      </w:r>
    </w:p>
    <w:p w14:paraId="5CCF437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15։ </w:t>
      </w:r>
      <w:r w:rsidRPr="00825EEB">
        <w:rPr>
          <w:rFonts w:ascii="Sylfaen" w:hAnsi="Sylfaen"/>
          <w:sz w:val="24"/>
          <w:szCs w:val="24"/>
        </w:rPr>
        <w:t>С</w:t>
      </w:r>
      <w:r w:rsidRPr="00825EEB">
        <w:rPr>
          <w:rFonts w:ascii="Sylfaen" w:hAnsi="Sylfaen"/>
          <w:sz w:val="24"/>
          <w:szCs w:val="24"/>
          <w:vertAlign w:val="subscript"/>
        </w:rPr>
        <w:t>36</w:t>
      </w:r>
      <w:r w:rsidRPr="00825EEB">
        <w:rPr>
          <w:rFonts w:ascii="Sylfaen" w:hAnsi="Sylfaen"/>
          <w:sz w:val="24"/>
          <w:szCs w:val="24"/>
        </w:rPr>
        <w:t>.Н</w:t>
      </w:r>
      <w:r w:rsidRPr="00825EEB">
        <w:rPr>
          <w:rFonts w:ascii="Sylfaen" w:hAnsi="Sylfaen"/>
          <w:sz w:val="24"/>
          <w:szCs w:val="24"/>
          <w:vertAlign w:val="subscript"/>
        </w:rPr>
        <w:t>74</w:t>
      </w:r>
      <w:r w:rsidRPr="00825EEB">
        <w:rPr>
          <w:rFonts w:ascii="Sylfaen" w:hAnsi="Sylfaen"/>
          <w:sz w:val="24"/>
          <w:szCs w:val="24"/>
        </w:rPr>
        <w:t>S</w:t>
      </w:r>
      <w:r w:rsidRPr="00825EEB">
        <w:rPr>
          <w:rFonts w:ascii="Sylfaen" w:hAnsi="Sylfaen"/>
          <w:sz w:val="24"/>
          <w:szCs w:val="24"/>
          <w:vertAlign w:val="subscript"/>
        </w:rPr>
        <w:t>2</w:t>
      </w:r>
      <w:r w:rsidRPr="00825EEB">
        <w:rPr>
          <w:rFonts w:ascii="Sylfaen" w:hAnsi="Sylfaen"/>
          <w:sz w:val="24"/>
          <w:szCs w:val="24"/>
        </w:rPr>
        <w:t>։ [2500-88-1]։</w:t>
      </w:r>
    </w:p>
    <w:p w14:paraId="165C026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34B0E8E6" wp14:editId="01E39E31">
            <wp:extent cx="3117792" cy="568036"/>
            <wp:effectExtent l="19050" t="0" r="6408" b="0"/>
            <wp:docPr id="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7" cstate="print"/>
                    <a:srcRect/>
                    <a:stretch>
                      <a:fillRect/>
                    </a:stretch>
                  </pic:blipFill>
                  <pic:spPr bwMode="auto">
                    <a:xfrm>
                      <a:off x="0" y="0"/>
                      <a:ext cx="3127992" cy="569894"/>
                    </a:xfrm>
                    <a:prstGeom prst="rect">
                      <a:avLst/>
                    </a:prstGeom>
                    <a:noFill/>
                    <a:ln w="9525">
                      <a:noFill/>
                      <a:miter lim="800000"/>
                      <a:headEnd/>
                      <a:tailEnd/>
                    </a:ln>
                  </pic:spPr>
                </pic:pic>
              </a:graphicData>
            </a:graphic>
          </wp:inline>
        </w:drawing>
      </w:r>
    </w:p>
    <w:p w14:paraId="62D4D88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(օկտադեցիլդիսուլֆանիլ)օկտադեկան</w:t>
      </w:r>
    </w:p>
    <w:p w14:paraId="1A84565E" w14:textId="77777777" w:rsidR="0058052E" w:rsidRPr="00825EEB" w:rsidRDefault="0058052E" w:rsidP="0058052E">
      <w:pPr>
        <w:pStyle w:val="a0"/>
        <w:shd w:val="clear" w:color="auto" w:fill="auto"/>
        <w:spacing w:after="160" w:line="360" w:lineRule="auto"/>
        <w:ind w:firstLine="567"/>
        <w:jc w:val="both"/>
        <w:rPr>
          <w:rFonts w:ascii="Sylfaen" w:hAnsi="Sylfaen" w:cs="Sylfaen"/>
          <w:b/>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դիօկտադեցիլդիսուլֆիդ.</w:t>
      </w:r>
    </w:p>
    <w:p w14:paraId="61F21004"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1,1</w:t>
      </w:r>
      <w:r w:rsidR="0058052E" w:rsidRPr="00825EEB">
        <w:rPr>
          <w:rFonts w:ascii="Sylfaen" w:hAnsi="Sylfaen"/>
          <w:i/>
          <w:sz w:val="24"/>
          <w:szCs w:val="24"/>
        </w:rPr>
        <w:t>'</w:t>
      </w:r>
      <w:r w:rsidR="0058052E" w:rsidRPr="00825EEB">
        <w:rPr>
          <w:rFonts w:ascii="Sylfaen" w:hAnsi="Sylfaen"/>
          <w:sz w:val="24"/>
          <w:szCs w:val="24"/>
        </w:rPr>
        <w:t>-դիթիո-օկտադեկան:</w:t>
      </w:r>
    </w:p>
    <w:p w14:paraId="1E5D485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16։ </w:t>
      </w:r>
      <w:r w:rsidRPr="00825EEB">
        <w:rPr>
          <w:rFonts w:ascii="Sylfaen" w:hAnsi="Sylfaen"/>
          <w:sz w:val="24"/>
          <w:szCs w:val="24"/>
        </w:rPr>
        <w:t>С</w:t>
      </w:r>
      <w:r w:rsidRPr="00825EEB">
        <w:rPr>
          <w:rFonts w:ascii="Sylfaen" w:hAnsi="Sylfaen"/>
          <w:sz w:val="24"/>
          <w:szCs w:val="24"/>
          <w:vertAlign w:val="subscript"/>
        </w:rPr>
        <w:t>30</w:t>
      </w:r>
      <w:r w:rsidRPr="00825EEB">
        <w:rPr>
          <w:rFonts w:ascii="Sylfaen" w:hAnsi="Sylfaen"/>
          <w:sz w:val="24"/>
          <w:szCs w:val="24"/>
        </w:rPr>
        <w:t>Н</w:t>
      </w:r>
      <w:r w:rsidRPr="00825EEB">
        <w:rPr>
          <w:rFonts w:ascii="Sylfaen" w:hAnsi="Sylfaen"/>
          <w:sz w:val="24"/>
          <w:szCs w:val="24"/>
          <w:vertAlign w:val="subscript"/>
        </w:rPr>
        <w:t>58</w:t>
      </w:r>
      <w:r w:rsidRPr="00825EEB">
        <w:rPr>
          <w:rFonts w:ascii="Sylfaen" w:hAnsi="Sylfaen"/>
          <w:sz w:val="24"/>
          <w:szCs w:val="24"/>
        </w:rPr>
        <w:t>O</w:t>
      </w:r>
      <w:r w:rsidRPr="00825EEB">
        <w:rPr>
          <w:rFonts w:ascii="Sylfaen" w:hAnsi="Sylfaen"/>
          <w:sz w:val="24"/>
          <w:szCs w:val="24"/>
          <w:vertAlign w:val="subscript"/>
        </w:rPr>
        <w:t>4</w:t>
      </w:r>
      <w:r w:rsidRPr="00825EEB">
        <w:rPr>
          <w:rFonts w:ascii="Sylfaen" w:hAnsi="Sylfaen"/>
          <w:sz w:val="24"/>
          <w:szCs w:val="24"/>
        </w:rPr>
        <w:t>S։ [123-28-4]։</w:t>
      </w:r>
    </w:p>
    <w:p w14:paraId="7BABFD4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14388117" wp14:editId="56BD072E">
            <wp:extent cx="3119581" cy="556884"/>
            <wp:effectExtent l="19050" t="0" r="4619" b="0"/>
            <wp:docPr id="6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8" cstate="print"/>
                    <a:srcRect/>
                    <a:stretch>
                      <a:fillRect/>
                    </a:stretch>
                  </pic:blipFill>
                  <pic:spPr bwMode="auto">
                    <a:xfrm>
                      <a:off x="0" y="0"/>
                      <a:ext cx="3130174" cy="558775"/>
                    </a:xfrm>
                    <a:prstGeom prst="rect">
                      <a:avLst/>
                    </a:prstGeom>
                    <a:noFill/>
                    <a:ln w="9525">
                      <a:noFill/>
                      <a:miter lim="800000"/>
                      <a:headEnd/>
                      <a:tailEnd/>
                    </a:ln>
                  </pic:spPr>
                </pic:pic>
              </a:graphicData>
            </a:graphic>
          </wp:inline>
        </w:drawing>
      </w:r>
    </w:p>
    <w:p w14:paraId="101F787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Դիդոդեցիլ 3,3</w:t>
      </w:r>
      <w:r w:rsidRPr="00825EEB">
        <w:rPr>
          <w:rFonts w:ascii="Sylfaen" w:hAnsi="Sylfaen"/>
          <w:i/>
          <w:sz w:val="24"/>
          <w:szCs w:val="24"/>
        </w:rPr>
        <w:t>'</w:t>
      </w:r>
      <w:r w:rsidRPr="00825EEB">
        <w:rPr>
          <w:rFonts w:ascii="Sylfaen" w:hAnsi="Sylfaen"/>
          <w:sz w:val="24"/>
          <w:szCs w:val="24"/>
        </w:rPr>
        <w:t>-սուլֆանդիիլդիպրոպանոատ</w:t>
      </w:r>
    </w:p>
    <w:p w14:paraId="225C21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դիդոդեցիլ-3,3</w:t>
      </w:r>
      <w:r w:rsidRPr="00825EEB">
        <w:rPr>
          <w:rFonts w:ascii="Sylfaen" w:hAnsi="Sylfaen"/>
          <w:b/>
          <w:i/>
          <w:sz w:val="24"/>
          <w:szCs w:val="24"/>
        </w:rPr>
        <w:t>'</w:t>
      </w:r>
      <w:r w:rsidRPr="00825EEB">
        <w:rPr>
          <w:rFonts w:ascii="Sylfaen" w:hAnsi="Sylfaen"/>
          <w:b/>
          <w:sz w:val="24"/>
          <w:szCs w:val="24"/>
        </w:rPr>
        <w:t>-թիոդիպրոպանատ.</w:t>
      </w:r>
    </w:p>
    <w:p w14:paraId="4383C9A7"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պրոպանաթթվի 3,3</w:t>
      </w:r>
      <w:r w:rsidR="0058052E" w:rsidRPr="00825EEB">
        <w:rPr>
          <w:rFonts w:ascii="Sylfaen" w:hAnsi="Sylfaen"/>
          <w:i/>
          <w:sz w:val="24"/>
          <w:szCs w:val="24"/>
        </w:rPr>
        <w:t>'</w:t>
      </w:r>
      <w:r w:rsidR="0058052E" w:rsidRPr="00825EEB">
        <w:rPr>
          <w:rFonts w:ascii="Sylfaen" w:hAnsi="Sylfaen"/>
          <w:sz w:val="24"/>
          <w:szCs w:val="24"/>
        </w:rPr>
        <w:t>-թիոբիս-,1,1</w:t>
      </w:r>
      <w:r w:rsidR="0058052E" w:rsidRPr="00825EEB">
        <w:rPr>
          <w:rFonts w:ascii="Sylfaen" w:hAnsi="Sylfaen"/>
          <w:i/>
          <w:sz w:val="24"/>
          <w:szCs w:val="24"/>
        </w:rPr>
        <w:t>'</w:t>
      </w:r>
      <w:r w:rsidR="0058052E" w:rsidRPr="00825EEB">
        <w:rPr>
          <w:rFonts w:ascii="Sylfaen" w:hAnsi="Sylfaen"/>
          <w:sz w:val="24"/>
          <w:szCs w:val="24"/>
        </w:rPr>
        <w:t>-դիդոդեցիլային եթեր.</w:t>
      </w:r>
    </w:p>
    <w:p w14:paraId="31DBD82C"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լաուրիլթիոդիպրոպիոնատ:</w:t>
      </w:r>
    </w:p>
    <w:p w14:paraId="5A00D4E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17։ </w:t>
      </w:r>
      <w:r w:rsidRPr="00825EEB">
        <w:rPr>
          <w:rFonts w:ascii="Sylfaen" w:hAnsi="Sylfaen"/>
          <w:sz w:val="24"/>
          <w:szCs w:val="24"/>
        </w:rPr>
        <w:t>С</w:t>
      </w:r>
      <w:r w:rsidRPr="00825EEB">
        <w:rPr>
          <w:rFonts w:ascii="Sylfaen" w:hAnsi="Sylfaen"/>
          <w:sz w:val="24"/>
          <w:szCs w:val="24"/>
          <w:vertAlign w:val="subscript"/>
        </w:rPr>
        <w:t>42</w:t>
      </w:r>
      <w:r w:rsidRPr="00825EEB">
        <w:rPr>
          <w:rFonts w:ascii="Sylfaen" w:hAnsi="Sylfaen"/>
          <w:sz w:val="24"/>
          <w:szCs w:val="24"/>
        </w:rPr>
        <w:t>Н</w:t>
      </w:r>
      <w:r w:rsidRPr="00825EEB">
        <w:rPr>
          <w:rFonts w:ascii="Sylfaen" w:hAnsi="Sylfaen"/>
          <w:sz w:val="24"/>
          <w:szCs w:val="24"/>
          <w:vertAlign w:val="subscript"/>
        </w:rPr>
        <w:t>82</w:t>
      </w:r>
      <w:r w:rsidRPr="00825EEB">
        <w:rPr>
          <w:rFonts w:ascii="Sylfaen" w:hAnsi="Sylfaen"/>
          <w:sz w:val="24"/>
          <w:szCs w:val="24"/>
        </w:rPr>
        <w:t>О</w:t>
      </w:r>
      <w:r w:rsidRPr="00825EEB">
        <w:rPr>
          <w:rFonts w:ascii="Sylfaen" w:hAnsi="Sylfaen"/>
          <w:sz w:val="24"/>
          <w:szCs w:val="24"/>
          <w:vertAlign w:val="subscript"/>
        </w:rPr>
        <w:t>4</w:t>
      </w:r>
      <w:r w:rsidRPr="00825EEB">
        <w:rPr>
          <w:rFonts w:ascii="Sylfaen" w:hAnsi="Sylfaen"/>
          <w:sz w:val="24"/>
          <w:szCs w:val="24"/>
        </w:rPr>
        <w:t>S։ [693-36-7].</w:t>
      </w:r>
    </w:p>
    <w:p w14:paraId="6CF5196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2CC9468E" wp14:editId="40A47D11">
            <wp:extent cx="3128408" cy="678873"/>
            <wp:effectExtent l="19050" t="0" r="0" b="0"/>
            <wp:docPr id="6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9" cstate="print"/>
                    <a:srcRect/>
                    <a:stretch>
                      <a:fillRect/>
                    </a:stretch>
                  </pic:blipFill>
                  <pic:spPr bwMode="auto">
                    <a:xfrm>
                      <a:off x="0" y="0"/>
                      <a:ext cx="3136045" cy="680530"/>
                    </a:xfrm>
                    <a:prstGeom prst="rect">
                      <a:avLst/>
                    </a:prstGeom>
                    <a:noFill/>
                    <a:ln w="9525">
                      <a:noFill/>
                      <a:miter lim="800000"/>
                      <a:headEnd/>
                      <a:tailEnd/>
                    </a:ln>
                  </pic:spPr>
                </pic:pic>
              </a:graphicData>
            </a:graphic>
          </wp:inline>
        </w:drawing>
      </w:r>
    </w:p>
    <w:p w14:paraId="11DC830D" w14:textId="77777777" w:rsidR="0058052E" w:rsidRPr="00825EEB"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Դիօկտադեցիլ-3,3</w:t>
      </w:r>
      <w:r w:rsidRPr="00825EEB">
        <w:rPr>
          <w:rFonts w:ascii="Sylfaen" w:hAnsi="Sylfaen"/>
          <w:i/>
          <w:sz w:val="24"/>
          <w:szCs w:val="24"/>
        </w:rPr>
        <w:t>'</w:t>
      </w:r>
      <w:r w:rsidRPr="00825EEB">
        <w:rPr>
          <w:rFonts w:ascii="Sylfaen" w:hAnsi="Sylfaen"/>
          <w:sz w:val="24"/>
          <w:szCs w:val="24"/>
        </w:rPr>
        <w:t>-սուլֆանդիիլդիպրոպանոատ</w:t>
      </w:r>
    </w:p>
    <w:p w14:paraId="539C3C4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դի(օկտադեցիլ)-3,3'-թիոդիպրոպանատ.</w:t>
      </w:r>
    </w:p>
    <w:p w14:paraId="2BC220C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պրոպանաթթվի 3,3'-թիոբիս-,1,1</w:t>
      </w:r>
      <w:r w:rsidR="0058052E" w:rsidRPr="00825EEB">
        <w:rPr>
          <w:rFonts w:ascii="Sylfaen" w:hAnsi="Sylfaen"/>
          <w:i/>
          <w:sz w:val="24"/>
          <w:szCs w:val="24"/>
        </w:rPr>
        <w:t>'</w:t>
      </w:r>
      <w:r w:rsidR="0058052E" w:rsidRPr="00825EEB">
        <w:rPr>
          <w:rFonts w:ascii="Sylfaen" w:hAnsi="Sylfaen"/>
          <w:sz w:val="24"/>
          <w:szCs w:val="24"/>
        </w:rPr>
        <w:t>-դիօկտադեցիլային եթեր.</w:t>
      </w:r>
    </w:p>
    <w:p w14:paraId="516F4A3A"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ստեարիլթիոդիպրոպիոնատ:</w:t>
      </w:r>
    </w:p>
    <w:p w14:paraId="357F832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18։ </w:t>
      </w:r>
      <w:r w:rsidRPr="00825EEB">
        <w:rPr>
          <w:rFonts w:ascii="Sylfaen" w:hAnsi="Sylfaen"/>
          <w:sz w:val="24"/>
          <w:szCs w:val="24"/>
        </w:rPr>
        <w:t>[119345-01-6]։</w:t>
      </w:r>
    </w:p>
    <w:p w14:paraId="77D7B1E7" w14:textId="77777777" w:rsidR="0058052E" w:rsidRPr="00825EEB" w:rsidRDefault="0058052E" w:rsidP="0058052E">
      <w:pPr>
        <w:pStyle w:val="a0"/>
        <w:shd w:val="clear" w:color="auto" w:fill="auto"/>
        <w:spacing w:after="160" w:line="360" w:lineRule="auto"/>
        <w:ind w:firstLine="567"/>
        <w:jc w:val="both"/>
        <w:rPr>
          <w:rFonts w:ascii="Sylfaen" w:eastAsia="Arial" w:hAnsi="Sylfaen" w:cs="Sylfaen"/>
          <w:i/>
          <w:iCs/>
          <w:sz w:val="24"/>
          <w:szCs w:val="24"/>
        </w:rPr>
      </w:pPr>
      <w:r w:rsidRPr="00825EEB">
        <w:rPr>
          <w:rFonts w:ascii="Sylfaen" w:eastAsia="Arial" w:hAnsi="Sylfaen" w:cs="Sylfaen"/>
          <w:i/>
          <w:iCs/>
          <w:noProof/>
          <w:sz w:val="24"/>
          <w:szCs w:val="24"/>
          <w:lang w:val="en-US" w:eastAsia="en-US" w:bidi="ar-SA"/>
        </w:rPr>
        <w:drawing>
          <wp:inline distT="0" distB="0" distL="0" distR="0" wp14:anchorId="015ED9F5" wp14:editId="2EDC4B3F">
            <wp:extent cx="1601931" cy="602702"/>
            <wp:effectExtent l="19050" t="0" r="0" b="0"/>
            <wp:docPr id="6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0" cstate="print"/>
                    <a:srcRect/>
                    <a:stretch>
                      <a:fillRect/>
                    </a:stretch>
                  </pic:blipFill>
                  <pic:spPr bwMode="auto">
                    <a:xfrm>
                      <a:off x="0" y="0"/>
                      <a:ext cx="1602429" cy="602889"/>
                    </a:xfrm>
                    <a:prstGeom prst="rect">
                      <a:avLst/>
                    </a:prstGeom>
                    <a:noFill/>
                    <a:ln w="9525">
                      <a:noFill/>
                      <a:miter lim="800000"/>
                      <a:headEnd/>
                      <a:tailEnd/>
                    </a:ln>
                  </pic:spPr>
                </pic:pic>
              </a:graphicData>
            </a:graphic>
          </wp:inline>
        </w:drawing>
      </w:r>
    </w:p>
    <w:p w14:paraId="28D0EE5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Դի-</w:t>
      </w:r>
      <w:r w:rsidRPr="00825EEB">
        <w:rPr>
          <w:rFonts w:ascii="Sylfaen" w:hAnsi="Sylfaen"/>
          <w:i/>
          <w:sz w:val="24"/>
          <w:szCs w:val="24"/>
        </w:rPr>
        <w:t>տրետ</w:t>
      </w:r>
      <w:r w:rsidRPr="00825EEB">
        <w:rPr>
          <w:rFonts w:ascii="Sylfaen" w:hAnsi="Sylfaen"/>
          <w:sz w:val="24"/>
          <w:szCs w:val="24"/>
        </w:rPr>
        <w:t>-բութիլֆոսֆոնիտի՝ բի-ֆոսֆոր տրիքլորիդի հետ ռեակցիայի արգասիքին, 1,1</w:t>
      </w:r>
      <w:r w:rsidRPr="00825EEB">
        <w:rPr>
          <w:rFonts w:ascii="Sylfaen" w:hAnsi="Sylfaen"/>
          <w:i/>
          <w:sz w:val="24"/>
          <w:szCs w:val="24"/>
        </w:rPr>
        <w:t>'</w:t>
      </w:r>
      <w:r w:rsidRPr="00825EEB">
        <w:rPr>
          <w:rFonts w:ascii="Sylfaen" w:hAnsi="Sylfaen"/>
          <w:sz w:val="24"/>
          <w:szCs w:val="24"/>
        </w:rPr>
        <w:t xml:space="preserve">-բիֆենիլի </w:t>
      </w:r>
      <w:r>
        <w:rPr>
          <w:rFonts w:ascii="Sylfaen" w:hAnsi="Sylfaen"/>
          <w:sz w:val="24"/>
          <w:szCs w:val="24"/>
        </w:rPr>
        <w:t>եւ</w:t>
      </w:r>
      <w:r w:rsidRPr="00825EEB">
        <w:rPr>
          <w:rFonts w:ascii="Sylfaen" w:hAnsi="Sylfaen"/>
          <w:sz w:val="24"/>
          <w:szCs w:val="24"/>
        </w:rPr>
        <w:t xml:space="preserve"> 2,4-դի</w:t>
      </w:r>
      <w:r w:rsidRPr="00825EEB">
        <w:rPr>
          <w:rFonts w:ascii="Sylfaen" w:hAnsi="Sylfaen"/>
          <w:i/>
          <w:sz w:val="24"/>
          <w:szCs w:val="24"/>
        </w:rPr>
        <w:t>-տրետ</w:t>
      </w:r>
      <w:r w:rsidRPr="00825EEB">
        <w:rPr>
          <w:rFonts w:ascii="Sylfaen" w:hAnsi="Sylfaen"/>
          <w:sz w:val="24"/>
          <w:szCs w:val="24"/>
        </w:rPr>
        <w:t>-բութիլֆենոլի հետ ռեակցիայի արգասիքներին համապատասխանող յոթ արգասիքների խառնուրդ՝</w:t>
      </w:r>
    </w:p>
    <w:p w14:paraId="72547085"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i/>
          <w:sz w:val="24"/>
          <w:szCs w:val="24"/>
        </w:rPr>
        <w:t>բաղադրիչ I</w:t>
      </w:r>
    </w:p>
    <w:p w14:paraId="2C6D944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543F6F0D" wp14:editId="20942FC9">
            <wp:extent cx="1407968" cy="728000"/>
            <wp:effectExtent l="19050" t="0" r="1732" b="0"/>
            <wp:docPr id="7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1" cstate="print"/>
                    <a:srcRect/>
                    <a:stretch>
                      <a:fillRect/>
                    </a:stretch>
                  </pic:blipFill>
                  <pic:spPr bwMode="auto">
                    <a:xfrm>
                      <a:off x="0" y="0"/>
                      <a:ext cx="1408000" cy="728016"/>
                    </a:xfrm>
                    <a:prstGeom prst="rect">
                      <a:avLst/>
                    </a:prstGeom>
                    <a:noFill/>
                    <a:ln w="9525">
                      <a:noFill/>
                      <a:miter lim="800000"/>
                      <a:headEnd/>
                      <a:tailEnd/>
                    </a:ln>
                  </pic:spPr>
                </pic:pic>
              </a:graphicData>
            </a:graphic>
          </wp:inline>
        </w:drawing>
      </w:r>
    </w:p>
    <w:p w14:paraId="02DD57DC" w14:textId="77777777" w:rsidR="0058052E" w:rsidRPr="00825EEB" w:rsidRDefault="00AA234B"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w:t>
      </w:r>
      <w:r w:rsidR="0058052E" w:rsidRPr="00825EEB">
        <w:rPr>
          <w:rFonts w:ascii="Sylfaen" w:hAnsi="Sylfaen"/>
          <w:sz w:val="24"/>
          <w:szCs w:val="24"/>
        </w:rPr>
        <w:t>ետրակիս</w:t>
      </w:r>
      <w:r w:rsidRPr="00AA234B">
        <w:rPr>
          <w:rFonts w:ascii="Sylfaen" w:hAnsi="Sylfaen"/>
          <w:sz w:val="24"/>
          <w:szCs w:val="24"/>
        </w:rPr>
        <w:t xml:space="preserve"> </w:t>
      </w:r>
      <w:r w:rsidR="0058052E" w:rsidRPr="00825EEB">
        <w:rPr>
          <w:rFonts w:ascii="Sylfaen" w:hAnsi="Sylfaen"/>
          <w:sz w:val="24"/>
          <w:szCs w:val="24"/>
        </w:rPr>
        <w:t>(2,4-դի</w:t>
      </w:r>
      <w:r w:rsidR="0058052E" w:rsidRPr="00825EEB">
        <w:rPr>
          <w:rFonts w:ascii="Sylfaen" w:hAnsi="Sylfaen"/>
          <w:i/>
          <w:sz w:val="24"/>
          <w:szCs w:val="24"/>
        </w:rPr>
        <w:t>-տրետ</w:t>
      </w:r>
      <w:r w:rsidR="0058052E" w:rsidRPr="00825EEB">
        <w:rPr>
          <w:rFonts w:ascii="Sylfaen" w:hAnsi="Sylfaen"/>
          <w:sz w:val="24"/>
          <w:szCs w:val="24"/>
        </w:rPr>
        <w:t>-բութիլֆենիլ) ([1,1</w:t>
      </w:r>
      <w:r w:rsidR="0058052E" w:rsidRPr="00825EEB">
        <w:rPr>
          <w:rFonts w:ascii="Sylfaen" w:hAnsi="Sylfaen"/>
          <w:i/>
          <w:sz w:val="24"/>
          <w:szCs w:val="24"/>
        </w:rPr>
        <w:t>'</w:t>
      </w:r>
      <w:r w:rsidR="0058052E" w:rsidRPr="00825EEB">
        <w:rPr>
          <w:rFonts w:ascii="Sylfaen" w:hAnsi="Sylfaen"/>
          <w:sz w:val="24"/>
          <w:szCs w:val="24"/>
        </w:rPr>
        <w:t>-բիֆենիլ]</w:t>
      </w:r>
      <w:r w:rsidRPr="00AA234B">
        <w:rPr>
          <w:rFonts w:ascii="Sylfaen" w:hAnsi="Sylfaen"/>
          <w:sz w:val="24"/>
          <w:szCs w:val="24"/>
        </w:rPr>
        <w:t xml:space="preserve"> </w:t>
      </w:r>
      <w:r w:rsidR="0058052E" w:rsidRPr="00825EEB">
        <w:rPr>
          <w:rFonts w:ascii="Sylfaen" w:hAnsi="Sylfaen"/>
          <w:sz w:val="24"/>
          <w:szCs w:val="24"/>
        </w:rPr>
        <w:t>-4,4</w:t>
      </w:r>
      <w:r w:rsidR="0058052E" w:rsidRPr="00825EEB">
        <w:rPr>
          <w:rFonts w:ascii="Sylfaen" w:hAnsi="Sylfaen"/>
          <w:i/>
          <w:sz w:val="24"/>
          <w:szCs w:val="24"/>
        </w:rPr>
        <w:t>'</w:t>
      </w:r>
      <w:r w:rsidR="0058052E" w:rsidRPr="00825EEB">
        <w:rPr>
          <w:rFonts w:ascii="Sylfaen" w:hAnsi="Sylfaen"/>
          <w:sz w:val="24"/>
          <w:szCs w:val="24"/>
        </w:rPr>
        <w:t xml:space="preserve">-դիիլ)բիս(ֆոսֆոնիտ) </w:t>
      </w:r>
    </w:p>
    <w:p w14:paraId="0080490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II</w:t>
      </w:r>
    </w:p>
    <w:p w14:paraId="547E243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drawing>
          <wp:inline distT="0" distB="0" distL="0" distR="0" wp14:anchorId="6FF9FCF2" wp14:editId="6469C254">
            <wp:extent cx="1310986" cy="978920"/>
            <wp:effectExtent l="19050" t="0" r="3464" b="0"/>
            <wp:docPr id="7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2" cstate="print"/>
                    <a:srcRect/>
                    <a:stretch>
                      <a:fillRect/>
                    </a:stretch>
                  </pic:blipFill>
                  <pic:spPr bwMode="auto">
                    <a:xfrm>
                      <a:off x="0" y="0"/>
                      <a:ext cx="1311307" cy="979159"/>
                    </a:xfrm>
                    <a:prstGeom prst="rect">
                      <a:avLst/>
                    </a:prstGeom>
                    <a:noFill/>
                    <a:ln w="9525">
                      <a:noFill/>
                      <a:miter lim="800000"/>
                      <a:headEnd/>
                      <a:tailEnd/>
                    </a:ln>
                  </pic:spPr>
                </pic:pic>
              </a:graphicData>
            </a:graphic>
          </wp:inline>
        </w:drawing>
      </w:r>
    </w:p>
    <w:p w14:paraId="063FB222" w14:textId="77777777" w:rsidR="0058052E" w:rsidRPr="00825EEB" w:rsidRDefault="00AA234B"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w:t>
      </w:r>
      <w:r w:rsidR="0058052E" w:rsidRPr="00825EEB">
        <w:rPr>
          <w:rFonts w:ascii="Sylfaen" w:hAnsi="Sylfaen"/>
          <w:sz w:val="24"/>
          <w:szCs w:val="24"/>
        </w:rPr>
        <w:t>ետրակիս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2,4-դի-</w:t>
      </w:r>
      <w:r w:rsidR="0058052E" w:rsidRPr="00825EEB">
        <w:rPr>
          <w:rFonts w:ascii="Sylfaen" w:hAnsi="Sylfaen"/>
          <w:i/>
          <w:sz w:val="24"/>
          <w:szCs w:val="24"/>
        </w:rPr>
        <w:t>տրետ</w:t>
      </w:r>
      <w:r w:rsidR="0058052E" w:rsidRPr="00825EEB">
        <w:rPr>
          <w:rFonts w:ascii="Sylfaen" w:hAnsi="Sylfaen"/>
          <w:sz w:val="24"/>
          <w:szCs w:val="24"/>
        </w:rPr>
        <w:t>-բութիլֆենիլ) (</w:t>
      </w:r>
      <w:r w:rsidRPr="00AA234B">
        <w:rPr>
          <w:rFonts w:ascii="Sylfaen" w:hAnsi="Sylfaen"/>
          <w:sz w:val="24"/>
          <w:szCs w:val="24"/>
        </w:rPr>
        <w:t xml:space="preserve"> </w:t>
      </w:r>
      <w:r w:rsidR="0058052E" w:rsidRPr="00825EEB">
        <w:rPr>
          <w:rFonts w:ascii="Sylfaen" w:hAnsi="Sylfaen"/>
          <w:sz w:val="24"/>
          <w:szCs w:val="24"/>
        </w:rPr>
        <w:t>[1,1</w:t>
      </w:r>
      <w:r w:rsidR="0058052E" w:rsidRPr="00825EEB">
        <w:rPr>
          <w:rFonts w:ascii="Sylfaen" w:hAnsi="Sylfaen"/>
          <w:i/>
          <w:sz w:val="24"/>
          <w:szCs w:val="24"/>
        </w:rPr>
        <w:t>'</w:t>
      </w:r>
      <w:r w:rsidR="0058052E" w:rsidRPr="00825EEB">
        <w:rPr>
          <w:rFonts w:ascii="Sylfaen" w:hAnsi="Sylfaen"/>
          <w:sz w:val="24"/>
          <w:szCs w:val="24"/>
        </w:rPr>
        <w:t>-բիֆենիլ]</w:t>
      </w:r>
      <w:r w:rsidRPr="00AA234B">
        <w:rPr>
          <w:rFonts w:ascii="Sylfaen" w:hAnsi="Sylfaen"/>
          <w:sz w:val="24"/>
          <w:szCs w:val="24"/>
        </w:rPr>
        <w:t xml:space="preserve"> </w:t>
      </w:r>
      <w:r w:rsidR="0058052E" w:rsidRPr="00825EEB">
        <w:rPr>
          <w:rFonts w:ascii="Sylfaen" w:hAnsi="Sylfaen"/>
          <w:sz w:val="24"/>
          <w:szCs w:val="24"/>
        </w:rPr>
        <w:t>-3,4</w:t>
      </w:r>
      <w:r w:rsidR="0058052E" w:rsidRPr="00825EEB">
        <w:rPr>
          <w:rFonts w:ascii="Sylfaen" w:hAnsi="Sylfaen"/>
          <w:i/>
          <w:sz w:val="24"/>
          <w:szCs w:val="24"/>
        </w:rPr>
        <w:t>'</w:t>
      </w:r>
      <w:r w:rsidR="0058052E" w:rsidRPr="00825EEB">
        <w:rPr>
          <w:rFonts w:ascii="Sylfaen" w:hAnsi="Sylfaen"/>
          <w:sz w:val="24"/>
          <w:szCs w:val="24"/>
        </w:rPr>
        <w:t>-դիիլ)բիս(ֆոսֆոնիտ)</w:t>
      </w:r>
    </w:p>
    <w:p w14:paraId="54A1818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III</w:t>
      </w:r>
    </w:p>
    <w:p w14:paraId="52F2838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b/>
          <w:bCs/>
          <w:noProof/>
          <w:sz w:val="24"/>
          <w:szCs w:val="24"/>
          <w:lang w:val="en-US" w:eastAsia="en-US" w:bidi="ar-SA"/>
        </w:rPr>
        <w:lastRenderedPageBreak/>
        <w:drawing>
          <wp:inline distT="0" distB="0" distL="0" distR="0" wp14:anchorId="4850F871" wp14:editId="6557DE6A">
            <wp:extent cx="1650422" cy="1117930"/>
            <wp:effectExtent l="19050" t="0" r="6928" b="0"/>
            <wp:docPr id="78"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3" cstate="print"/>
                    <a:srcRect/>
                    <a:stretch>
                      <a:fillRect/>
                    </a:stretch>
                  </pic:blipFill>
                  <pic:spPr bwMode="auto">
                    <a:xfrm flipH="1">
                      <a:off x="0" y="0"/>
                      <a:ext cx="1651097" cy="1118387"/>
                    </a:xfrm>
                    <a:prstGeom prst="rect">
                      <a:avLst/>
                    </a:prstGeom>
                    <a:noFill/>
                    <a:ln w="9525">
                      <a:noFill/>
                      <a:miter lim="800000"/>
                      <a:headEnd/>
                      <a:tailEnd/>
                    </a:ln>
                  </pic:spPr>
                </pic:pic>
              </a:graphicData>
            </a:graphic>
          </wp:inline>
        </w:drawing>
      </w:r>
    </w:p>
    <w:p w14:paraId="3CAC1B45" w14:textId="77777777" w:rsidR="0058052E" w:rsidRPr="00825EEB" w:rsidRDefault="00AA234B"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w:t>
      </w:r>
      <w:r w:rsidR="0058052E" w:rsidRPr="00825EEB">
        <w:rPr>
          <w:rFonts w:ascii="Sylfaen" w:hAnsi="Sylfaen"/>
          <w:sz w:val="24"/>
          <w:szCs w:val="24"/>
        </w:rPr>
        <w:t>ետրակիս</w:t>
      </w:r>
      <w:r w:rsidRPr="00AA234B">
        <w:rPr>
          <w:rFonts w:ascii="Sylfaen" w:hAnsi="Sylfaen"/>
          <w:sz w:val="24"/>
          <w:szCs w:val="24"/>
        </w:rPr>
        <w:t xml:space="preserve"> </w:t>
      </w:r>
      <w:r w:rsidR="0058052E" w:rsidRPr="00825EEB">
        <w:rPr>
          <w:rFonts w:ascii="Sylfaen" w:hAnsi="Sylfaen"/>
          <w:sz w:val="24"/>
          <w:szCs w:val="24"/>
        </w:rPr>
        <w:t>(2,4-դի-</w:t>
      </w:r>
      <w:r w:rsidR="0058052E" w:rsidRPr="00825EEB">
        <w:rPr>
          <w:rFonts w:ascii="Sylfaen" w:hAnsi="Sylfaen"/>
          <w:i/>
          <w:sz w:val="24"/>
          <w:szCs w:val="24"/>
        </w:rPr>
        <w:t>տրետ</w:t>
      </w:r>
      <w:r w:rsidR="0058052E" w:rsidRPr="00825EEB">
        <w:rPr>
          <w:rFonts w:ascii="Sylfaen" w:hAnsi="Sylfaen"/>
          <w:sz w:val="24"/>
          <w:szCs w:val="24"/>
        </w:rPr>
        <w:t>-բութիլֆենիլ) ([1,1</w:t>
      </w:r>
      <w:r w:rsidR="0058052E" w:rsidRPr="00825EEB">
        <w:rPr>
          <w:rFonts w:ascii="Sylfaen" w:hAnsi="Sylfaen"/>
          <w:i/>
          <w:sz w:val="24"/>
          <w:szCs w:val="24"/>
        </w:rPr>
        <w:t>'</w:t>
      </w:r>
      <w:r w:rsidR="0058052E" w:rsidRPr="00825EEB">
        <w:rPr>
          <w:rFonts w:ascii="Sylfaen" w:hAnsi="Sylfaen"/>
          <w:sz w:val="24"/>
          <w:szCs w:val="24"/>
        </w:rPr>
        <w:t>-բիֆենիլ]</w:t>
      </w:r>
      <w:r w:rsidRPr="00AA234B">
        <w:rPr>
          <w:rFonts w:ascii="Sylfaen" w:hAnsi="Sylfaen"/>
          <w:sz w:val="24"/>
          <w:szCs w:val="24"/>
        </w:rPr>
        <w:t xml:space="preserve"> </w:t>
      </w:r>
      <w:r w:rsidR="0058052E" w:rsidRPr="00825EEB">
        <w:rPr>
          <w:rFonts w:ascii="Sylfaen" w:hAnsi="Sylfaen"/>
          <w:sz w:val="24"/>
          <w:szCs w:val="24"/>
        </w:rPr>
        <w:t>-3,3</w:t>
      </w:r>
      <w:r w:rsidRPr="00AA234B">
        <w:rPr>
          <w:rFonts w:ascii="Sylfaen" w:hAnsi="Sylfaen"/>
          <w:sz w:val="24"/>
          <w:szCs w:val="24"/>
        </w:rPr>
        <w:t xml:space="preserve"> </w:t>
      </w:r>
      <w:r w:rsidR="0058052E" w:rsidRPr="00825EEB">
        <w:rPr>
          <w:rFonts w:ascii="Sylfaen" w:hAnsi="Sylfaen"/>
          <w:i/>
          <w:sz w:val="24"/>
          <w:szCs w:val="24"/>
        </w:rPr>
        <w:t>'</w:t>
      </w:r>
      <w:r w:rsidR="0058052E" w:rsidRPr="00825EEB">
        <w:rPr>
          <w:rFonts w:ascii="Sylfaen" w:hAnsi="Sylfaen"/>
          <w:sz w:val="24"/>
          <w:szCs w:val="24"/>
        </w:rPr>
        <w:t>-դիիլ)բիս(ֆոսֆոնիտ)</w:t>
      </w:r>
    </w:p>
    <w:p w14:paraId="319F086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IV</w:t>
      </w:r>
    </w:p>
    <w:p w14:paraId="3D110A5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i/>
          <w:iCs/>
          <w:noProof/>
          <w:sz w:val="24"/>
          <w:szCs w:val="24"/>
          <w:lang w:val="en-US" w:eastAsia="en-US" w:bidi="ar-SA"/>
        </w:rPr>
        <w:drawing>
          <wp:inline distT="0" distB="0" distL="0" distR="0" wp14:anchorId="76FC80C4" wp14:editId="4FE4CD7F">
            <wp:extent cx="1475211" cy="526473"/>
            <wp:effectExtent l="19050" t="0" r="0" b="0"/>
            <wp:docPr id="8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4" cstate="print"/>
                    <a:srcRect/>
                    <a:stretch>
                      <a:fillRect/>
                    </a:stretch>
                  </pic:blipFill>
                  <pic:spPr bwMode="auto">
                    <a:xfrm>
                      <a:off x="0" y="0"/>
                      <a:ext cx="1478230" cy="527550"/>
                    </a:xfrm>
                    <a:prstGeom prst="rect">
                      <a:avLst/>
                    </a:prstGeom>
                    <a:noFill/>
                    <a:ln w="9525">
                      <a:noFill/>
                      <a:miter lim="800000"/>
                      <a:headEnd/>
                      <a:tailEnd/>
                    </a:ln>
                  </pic:spPr>
                </pic:pic>
              </a:graphicData>
            </a:graphic>
          </wp:inline>
        </w:drawing>
      </w:r>
    </w:p>
    <w:p w14:paraId="51C67FAD" w14:textId="77777777" w:rsidR="0058052E" w:rsidRPr="00825EEB" w:rsidRDefault="00AA234B"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Բ</w:t>
      </w:r>
      <w:r w:rsidR="0058052E" w:rsidRPr="00825EEB">
        <w:rPr>
          <w:rFonts w:ascii="Sylfaen" w:hAnsi="Sylfaen"/>
          <w:sz w:val="24"/>
          <w:szCs w:val="24"/>
        </w:rPr>
        <w:t>իս</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2,4-դի-</w:t>
      </w:r>
      <w:r w:rsidR="0058052E" w:rsidRPr="00825EEB">
        <w:rPr>
          <w:rFonts w:ascii="Sylfaen" w:hAnsi="Sylfaen"/>
          <w:i/>
          <w:sz w:val="24"/>
          <w:szCs w:val="24"/>
        </w:rPr>
        <w:t>տրետ</w:t>
      </w:r>
      <w:r w:rsidR="0058052E" w:rsidRPr="00825EEB">
        <w:rPr>
          <w:rFonts w:ascii="Sylfaen" w:hAnsi="Sylfaen"/>
          <w:sz w:val="24"/>
          <w:szCs w:val="24"/>
        </w:rPr>
        <w:t>-բութիլֆենիլ) ([1,1</w:t>
      </w:r>
      <w:r w:rsidR="0058052E" w:rsidRPr="00825EEB">
        <w:rPr>
          <w:rFonts w:ascii="Sylfaen" w:hAnsi="Sylfaen"/>
          <w:i/>
          <w:sz w:val="24"/>
          <w:szCs w:val="24"/>
        </w:rPr>
        <w:t>'</w:t>
      </w:r>
      <w:r w:rsidR="0058052E" w:rsidRPr="00825EEB">
        <w:rPr>
          <w:rFonts w:ascii="Sylfaen" w:hAnsi="Sylfaen"/>
          <w:sz w:val="24"/>
          <w:szCs w:val="24"/>
        </w:rPr>
        <w:t>-բիֆենիլ]-4-իլ)ֆոսֆոնիտ</w:t>
      </w:r>
    </w:p>
    <w:p w14:paraId="471CE20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V</w:t>
      </w:r>
    </w:p>
    <w:p w14:paraId="3A18A3C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lang w:val="en-US" w:eastAsia="en-US" w:bidi="ar-SA"/>
        </w:rPr>
        <w:drawing>
          <wp:inline distT="0" distB="0" distL="0" distR="0" wp14:anchorId="17AC695D" wp14:editId="4C52E1A9">
            <wp:extent cx="1255914" cy="768927"/>
            <wp:effectExtent l="19050" t="0" r="1386" b="0"/>
            <wp:docPr id="8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5" cstate="print"/>
                    <a:srcRect/>
                    <a:stretch>
                      <a:fillRect/>
                    </a:stretch>
                  </pic:blipFill>
                  <pic:spPr bwMode="auto">
                    <a:xfrm>
                      <a:off x="0" y="0"/>
                      <a:ext cx="1255914" cy="768927"/>
                    </a:xfrm>
                    <a:prstGeom prst="rect">
                      <a:avLst/>
                    </a:prstGeom>
                    <a:noFill/>
                    <a:ln w="9525">
                      <a:noFill/>
                      <a:miter lim="800000"/>
                      <a:headEnd/>
                      <a:tailEnd/>
                    </a:ln>
                  </pic:spPr>
                </pic:pic>
              </a:graphicData>
            </a:graphic>
          </wp:inline>
        </w:drawing>
      </w:r>
    </w:p>
    <w:p w14:paraId="5E50C73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տրիս(2,4-դի-</w:t>
      </w:r>
      <w:r w:rsidRPr="00825EEB">
        <w:rPr>
          <w:rFonts w:ascii="Sylfaen" w:hAnsi="Sylfaen"/>
          <w:i/>
          <w:sz w:val="24"/>
          <w:szCs w:val="24"/>
        </w:rPr>
        <w:t>տրետ</w:t>
      </w:r>
      <w:r w:rsidRPr="00825EEB">
        <w:rPr>
          <w:rFonts w:ascii="Sylfaen" w:hAnsi="Sylfaen"/>
          <w:sz w:val="24"/>
          <w:szCs w:val="24"/>
        </w:rPr>
        <w:t>-բութիլֆենիլ)ֆոսֆիտ</w:t>
      </w:r>
    </w:p>
    <w:p w14:paraId="5BF7575B" w14:textId="77777777" w:rsidR="0058052E" w:rsidRPr="00825EEB" w:rsidRDefault="0058052E" w:rsidP="0058052E">
      <w:pPr>
        <w:pStyle w:val="a0"/>
        <w:shd w:val="clear" w:color="auto" w:fill="auto"/>
        <w:spacing w:after="160" w:line="360" w:lineRule="auto"/>
        <w:ind w:firstLine="567"/>
        <w:jc w:val="both"/>
        <w:rPr>
          <w:rFonts w:ascii="Sylfaen" w:hAnsi="Sylfaen" w:cs="Sylfaen"/>
          <w:i/>
          <w:iCs/>
          <w:sz w:val="24"/>
          <w:szCs w:val="24"/>
        </w:rPr>
      </w:pPr>
      <w:r w:rsidRPr="00825EEB">
        <w:rPr>
          <w:rFonts w:ascii="Sylfaen" w:hAnsi="Sylfaen"/>
          <w:i/>
          <w:sz w:val="24"/>
          <w:szCs w:val="24"/>
        </w:rPr>
        <w:t>բաղադրիչ VI</w:t>
      </w:r>
    </w:p>
    <w:p w14:paraId="3ADF17C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22A7F82C" wp14:editId="20E8796B">
            <wp:extent cx="2047004" cy="512618"/>
            <wp:effectExtent l="19050" t="0" r="0" b="0"/>
            <wp:docPr id="8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6" cstate="print"/>
                    <a:srcRect/>
                    <a:stretch>
                      <a:fillRect/>
                    </a:stretch>
                  </pic:blipFill>
                  <pic:spPr bwMode="auto">
                    <a:xfrm>
                      <a:off x="0" y="0"/>
                      <a:ext cx="2049261" cy="513183"/>
                    </a:xfrm>
                    <a:prstGeom prst="rect">
                      <a:avLst/>
                    </a:prstGeom>
                    <a:noFill/>
                    <a:ln w="9525">
                      <a:noFill/>
                      <a:miter lim="800000"/>
                      <a:headEnd/>
                      <a:tailEnd/>
                    </a:ln>
                  </pic:spPr>
                </pic:pic>
              </a:graphicData>
            </a:graphic>
          </wp:inline>
        </w:drawing>
      </w:r>
    </w:p>
    <w:p w14:paraId="1B9EE4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բիս(2,4-դի-</w:t>
      </w:r>
      <w:r w:rsidRPr="00825EEB">
        <w:rPr>
          <w:rFonts w:ascii="Sylfaen" w:hAnsi="Sylfaen"/>
          <w:i/>
          <w:sz w:val="24"/>
          <w:szCs w:val="24"/>
        </w:rPr>
        <w:t>տրետ</w:t>
      </w:r>
      <w:r w:rsidRPr="00825EEB">
        <w:rPr>
          <w:rFonts w:ascii="Sylfaen" w:hAnsi="Sylfaen"/>
          <w:sz w:val="24"/>
          <w:szCs w:val="24"/>
        </w:rPr>
        <w:t>-բութիլֆենիլ)-4</w:t>
      </w:r>
      <w:r w:rsidRPr="00825EEB">
        <w:rPr>
          <w:rFonts w:ascii="Sylfaen" w:hAnsi="Sylfaen"/>
          <w:i/>
          <w:sz w:val="24"/>
          <w:szCs w:val="24"/>
        </w:rPr>
        <w:t>'</w:t>
      </w:r>
      <w:r w:rsidRPr="00825EEB">
        <w:rPr>
          <w:rFonts w:ascii="Sylfaen" w:hAnsi="Sylfaen"/>
          <w:sz w:val="24"/>
          <w:szCs w:val="24"/>
        </w:rPr>
        <w:t>-[բիս(2,4-դի-</w:t>
      </w:r>
      <w:r w:rsidRPr="00825EEB">
        <w:rPr>
          <w:rFonts w:ascii="Sylfaen" w:hAnsi="Sylfaen"/>
          <w:i/>
          <w:sz w:val="24"/>
          <w:szCs w:val="24"/>
        </w:rPr>
        <w:t>տրետ</w:t>
      </w:r>
      <w:r w:rsidRPr="00825EEB">
        <w:rPr>
          <w:rFonts w:ascii="Sylfaen" w:hAnsi="Sylfaen"/>
          <w:sz w:val="24"/>
          <w:szCs w:val="24"/>
        </w:rPr>
        <w:t>-բութիլֆենօքսի)ֆոսֆանիլ]([1,1</w:t>
      </w:r>
      <w:r w:rsidRPr="00825EEB">
        <w:rPr>
          <w:rFonts w:ascii="Sylfaen" w:hAnsi="Sylfaen"/>
          <w:i/>
          <w:sz w:val="24"/>
          <w:szCs w:val="24"/>
        </w:rPr>
        <w:t>'</w:t>
      </w:r>
      <w:r w:rsidRPr="00825EEB">
        <w:rPr>
          <w:rFonts w:ascii="Sylfaen" w:hAnsi="Sylfaen"/>
          <w:sz w:val="24"/>
          <w:szCs w:val="24"/>
        </w:rPr>
        <w:t>-բիֆենիլ]-4-իլ)ֆոսֆոնատ</w:t>
      </w:r>
    </w:p>
    <w:p w14:paraId="39B04AA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 xml:space="preserve">բաղադրիչ </w:t>
      </w:r>
      <w:smartTag w:uri="urn:schemas-microsoft-com:office:smarttags" w:element="stockticker">
        <w:r w:rsidRPr="00825EEB">
          <w:rPr>
            <w:rFonts w:ascii="Sylfaen" w:hAnsi="Sylfaen"/>
            <w:i/>
            <w:sz w:val="24"/>
            <w:szCs w:val="24"/>
          </w:rPr>
          <w:t>VII</w:t>
        </w:r>
      </w:smartTag>
    </w:p>
    <w:p w14:paraId="3B2DC2B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R-OH՝ 2,4-դի-</w:t>
      </w:r>
      <w:r w:rsidRPr="00825EEB">
        <w:rPr>
          <w:rFonts w:ascii="Sylfaen" w:hAnsi="Sylfaen"/>
          <w:i/>
          <w:sz w:val="24"/>
          <w:szCs w:val="24"/>
        </w:rPr>
        <w:t>տրետ</w:t>
      </w:r>
      <w:r w:rsidRPr="00825EEB">
        <w:rPr>
          <w:rFonts w:ascii="Sylfaen" w:hAnsi="Sylfaen"/>
          <w:sz w:val="24"/>
          <w:szCs w:val="24"/>
        </w:rPr>
        <w:t>-բութիլֆենոլ</w:t>
      </w:r>
    </w:p>
    <w:p w14:paraId="6592ACB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19։ </w:t>
      </w:r>
      <w:r w:rsidRPr="00825EEB">
        <w:rPr>
          <w:rFonts w:ascii="Sylfaen" w:hAnsi="Sylfaen"/>
          <w:sz w:val="24"/>
          <w:szCs w:val="24"/>
        </w:rPr>
        <w:t>С</w:t>
      </w:r>
      <w:r w:rsidRPr="00825EEB">
        <w:rPr>
          <w:rFonts w:ascii="Sylfaen" w:hAnsi="Sylfaen"/>
          <w:sz w:val="24"/>
          <w:szCs w:val="24"/>
          <w:vertAlign w:val="subscript"/>
        </w:rPr>
        <w:t>18</w:t>
      </w:r>
      <w:r w:rsidRPr="00825EEB">
        <w:rPr>
          <w:rFonts w:ascii="Sylfaen" w:hAnsi="Sylfaen"/>
          <w:sz w:val="24"/>
          <w:szCs w:val="24"/>
        </w:rPr>
        <w:t>Н</w:t>
      </w:r>
      <w:r w:rsidRPr="00825EEB">
        <w:rPr>
          <w:rFonts w:ascii="Sylfaen" w:hAnsi="Sylfaen"/>
          <w:sz w:val="24"/>
          <w:szCs w:val="24"/>
          <w:vertAlign w:val="subscript"/>
        </w:rPr>
        <w:t>36</w:t>
      </w:r>
      <w:r w:rsidRPr="00825EEB">
        <w:rPr>
          <w:rFonts w:ascii="Sylfaen" w:hAnsi="Sylfaen"/>
          <w:sz w:val="24"/>
          <w:szCs w:val="24"/>
        </w:rPr>
        <w:t>О</w:t>
      </w:r>
      <w:r w:rsidRPr="00825EEB">
        <w:rPr>
          <w:rFonts w:ascii="Sylfaen" w:hAnsi="Sylfaen"/>
          <w:sz w:val="24"/>
          <w:szCs w:val="24"/>
          <w:vertAlign w:val="subscript"/>
        </w:rPr>
        <w:t>2</w:t>
      </w:r>
      <w:r w:rsidRPr="00825EEB">
        <w:rPr>
          <w:rFonts w:ascii="Sylfaen" w:hAnsi="Sylfaen"/>
          <w:sz w:val="24"/>
          <w:szCs w:val="24"/>
        </w:rPr>
        <w:t>։ [57-11-4]։</w:t>
      </w:r>
    </w:p>
    <w:p w14:paraId="46F977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vertAlign w:val="subscript"/>
          <w:lang w:val="en-US" w:eastAsia="en-US" w:bidi="ar-SA"/>
        </w:rPr>
        <w:drawing>
          <wp:inline distT="0" distB="0" distL="0" distR="0" wp14:anchorId="1186B1A6" wp14:editId="7759F47C">
            <wp:extent cx="1324051" cy="484909"/>
            <wp:effectExtent l="19050" t="0" r="9449" b="0"/>
            <wp:docPr id="8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7" cstate="print"/>
                    <a:srcRect/>
                    <a:stretch>
                      <a:fillRect/>
                    </a:stretch>
                  </pic:blipFill>
                  <pic:spPr bwMode="auto">
                    <a:xfrm>
                      <a:off x="0" y="0"/>
                      <a:ext cx="1324192" cy="484961"/>
                    </a:xfrm>
                    <a:prstGeom prst="rect">
                      <a:avLst/>
                    </a:prstGeom>
                    <a:noFill/>
                    <a:ln w="9525">
                      <a:noFill/>
                      <a:miter lim="800000"/>
                      <a:headEnd/>
                      <a:tailEnd/>
                    </a:ln>
                  </pic:spPr>
                </pic:pic>
              </a:graphicData>
            </a:graphic>
          </wp:inline>
        </w:drawing>
      </w:r>
    </w:p>
    <w:p w14:paraId="6B5BBD6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օկտադեկանային թթու</w:t>
      </w:r>
    </w:p>
    <w:p w14:paraId="397DC36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ստեարինային թթու:</w:t>
      </w:r>
    </w:p>
    <w:p w14:paraId="28BF10A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20։ </w:t>
      </w:r>
      <w:r w:rsidRPr="00825EEB">
        <w:rPr>
          <w:rFonts w:ascii="Sylfaen" w:hAnsi="Sylfaen"/>
          <w:sz w:val="24"/>
          <w:szCs w:val="24"/>
        </w:rPr>
        <w:t>С</w:t>
      </w:r>
      <w:r w:rsidRPr="00825EEB">
        <w:rPr>
          <w:rFonts w:ascii="Sylfaen" w:hAnsi="Sylfaen"/>
          <w:sz w:val="24"/>
          <w:szCs w:val="24"/>
          <w:vertAlign w:val="subscript"/>
        </w:rPr>
        <w:t>18</w:t>
      </w:r>
      <w:r w:rsidRPr="00825EEB">
        <w:rPr>
          <w:rFonts w:ascii="Sylfaen" w:hAnsi="Sylfaen"/>
          <w:sz w:val="24"/>
          <w:szCs w:val="24"/>
        </w:rPr>
        <w:t>Н</w:t>
      </w:r>
      <w:r w:rsidRPr="00825EEB">
        <w:rPr>
          <w:rFonts w:ascii="Sylfaen" w:hAnsi="Sylfaen"/>
          <w:sz w:val="24"/>
          <w:szCs w:val="24"/>
          <w:vertAlign w:val="subscript"/>
        </w:rPr>
        <w:t>35</w:t>
      </w:r>
      <w:r w:rsidRPr="00825EEB">
        <w:rPr>
          <w:rFonts w:ascii="Sylfaen" w:hAnsi="Sylfaen"/>
          <w:sz w:val="24"/>
          <w:szCs w:val="24"/>
        </w:rPr>
        <w:t>NО։ [301-02-0]։</w:t>
      </w:r>
    </w:p>
    <w:p w14:paraId="44EDB6C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51052851" wp14:editId="4DE87B39">
            <wp:extent cx="2237942" cy="824345"/>
            <wp:effectExtent l="19050" t="0" r="0" b="0"/>
            <wp:docPr id="8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8" cstate="print"/>
                    <a:srcRect/>
                    <a:stretch>
                      <a:fillRect/>
                    </a:stretch>
                  </pic:blipFill>
                  <pic:spPr bwMode="auto">
                    <a:xfrm>
                      <a:off x="0" y="0"/>
                      <a:ext cx="2237942" cy="824345"/>
                    </a:xfrm>
                    <a:prstGeom prst="rect">
                      <a:avLst/>
                    </a:prstGeom>
                    <a:noFill/>
                    <a:ln w="9525">
                      <a:noFill/>
                      <a:miter lim="800000"/>
                      <a:headEnd/>
                      <a:tailEnd/>
                    </a:ln>
                  </pic:spPr>
                </pic:pic>
              </a:graphicData>
            </a:graphic>
          </wp:inline>
        </w:drawing>
      </w:r>
    </w:p>
    <w:p w14:paraId="6E898BF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(9</w:t>
      </w:r>
      <w:r w:rsidRPr="00825EEB">
        <w:rPr>
          <w:rFonts w:ascii="Sylfaen" w:hAnsi="Sylfaen"/>
          <w:i/>
          <w:sz w:val="24"/>
          <w:szCs w:val="24"/>
        </w:rPr>
        <w:t>Z</w:t>
      </w:r>
      <w:r w:rsidRPr="00825EEB">
        <w:rPr>
          <w:rFonts w:ascii="Sylfaen" w:hAnsi="Sylfaen"/>
          <w:sz w:val="24"/>
          <w:szCs w:val="24"/>
        </w:rPr>
        <w:t>)-օկտադեց-9-ենոամիդ</w:t>
      </w:r>
    </w:p>
    <w:p w14:paraId="2DCA775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օլեամիդ.</w:t>
      </w:r>
    </w:p>
    <w:p w14:paraId="4B520A52"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9-օկտադեցենամիդ, (9</w:t>
      </w:r>
      <w:r w:rsidR="0058052E" w:rsidRPr="00825EEB">
        <w:rPr>
          <w:rFonts w:ascii="Sylfaen" w:hAnsi="Sylfaen"/>
          <w:i/>
          <w:sz w:val="24"/>
          <w:szCs w:val="24"/>
        </w:rPr>
        <w:t>Z</w:t>
      </w:r>
      <w:r w:rsidR="0058052E" w:rsidRPr="00825EEB">
        <w:rPr>
          <w:rFonts w:ascii="Sylfaen" w:hAnsi="Sylfaen"/>
          <w:sz w:val="24"/>
          <w:szCs w:val="24"/>
        </w:rPr>
        <w:t>)-.</w:t>
      </w:r>
    </w:p>
    <w:p w14:paraId="2562B5F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9-</w:t>
      </w:r>
      <w:r w:rsidR="0058052E" w:rsidRPr="00825EEB">
        <w:rPr>
          <w:rFonts w:ascii="Sylfaen" w:hAnsi="Sylfaen"/>
          <w:i/>
          <w:sz w:val="24"/>
          <w:szCs w:val="24"/>
        </w:rPr>
        <w:t>ցիս</w:t>
      </w:r>
      <w:r w:rsidR="0058052E" w:rsidRPr="00825EEB">
        <w:rPr>
          <w:rFonts w:ascii="Sylfaen" w:hAnsi="Sylfaen"/>
          <w:sz w:val="24"/>
          <w:szCs w:val="24"/>
        </w:rPr>
        <w:t>-օլեամիդ:</w:t>
      </w:r>
    </w:p>
    <w:p w14:paraId="56EBBE3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21: </w:t>
      </w:r>
      <w:r w:rsidRPr="00825EEB">
        <w:rPr>
          <w:rFonts w:ascii="Sylfaen" w:hAnsi="Sylfaen"/>
          <w:sz w:val="24"/>
          <w:szCs w:val="24"/>
        </w:rPr>
        <w:t>С</w:t>
      </w:r>
      <w:r w:rsidRPr="00825EEB">
        <w:rPr>
          <w:rFonts w:ascii="Sylfaen" w:hAnsi="Sylfaen"/>
          <w:sz w:val="24"/>
          <w:szCs w:val="24"/>
          <w:vertAlign w:val="subscript"/>
        </w:rPr>
        <w:t>22</w:t>
      </w:r>
      <w:r w:rsidRPr="00825EEB">
        <w:rPr>
          <w:rFonts w:ascii="Sylfaen" w:hAnsi="Sylfaen"/>
          <w:sz w:val="24"/>
          <w:szCs w:val="24"/>
        </w:rPr>
        <w:t>Н</w:t>
      </w:r>
      <w:r w:rsidRPr="00825EEB">
        <w:rPr>
          <w:rFonts w:ascii="Sylfaen" w:hAnsi="Sylfaen"/>
          <w:sz w:val="24"/>
          <w:szCs w:val="24"/>
          <w:vertAlign w:val="subscript"/>
        </w:rPr>
        <w:t>43</w:t>
      </w:r>
      <w:r w:rsidRPr="00825EEB">
        <w:rPr>
          <w:rFonts w:ascii="Sylfaen" w:hAnsi="Sylfaen"/>
          <w:sz w:val="24"/>
          <w:szCs w:val="24"/>
        </w:rPr>
        <w:t>NО: [112-84-5]:</w:t>
      </w:r>
    </w:p>
    <w:p w14:paraId="2CEC22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6ACC24B4" wp14:editId="34A8F5EB">
            <wp:extent cx="1868449" cy="630382"/>
            <wp:effectExtent l="19050" t="0" r="0" b="0"/>
            <wp:docPr id="8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9" cstate="print"/>
                    <a:srcRect/>
                    <a:stretch>
                      <a:fillRect/>
                    </a:stretch>
                  </pic:blipFill>
                  <pic:spPr bwMode="auto">
                    <a:xfrm>
                      <a:off x="0" y="0"/>
                      <a:ext cx="1869030" cy="630578"/>
                    </a:xfrm>
                    <a:prstGeom prst="rect">
                      <a:avLst/>
                    </a:prstGeom>
                    <a:noFill/>
                    <a:ln w="9525">
                      <a:noFill/>
                      <a:miter lim="800000"/>
                      <a:headEnd/>
                      <a:tailEnd/>
                    </a:ln>
                  </pic:spPr>
                </pic:pic>
              </a:graphicData>
            </a:graphic>
          </wp:inline>
        </w:drawing>
      </w:r>
    </w:p>
    <w:p w14:paraId="79E6655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(13</w:t>
      </w:r>
      <w:r w:rsidRPr="00825EEB">
        <w:rPr>
          <w:rFonts w:ascii="Sylfaen" w:hAnsi="Sylfaen"/>
          <w:i/>
          <w:sz w:val="24"/>
          <w:szCs w:val="24"/>
        </w:rPr>
        <w:t>Z</w:t>
      </w:r>
      <w:r w:rsidRPr="00825EEB">
        <w:rPr>
          <w:rFonts w:ascii="Sylfaen" w:hAnsi="Sylfaen"/>
          <w:sz w:val="24"/>
          <w:szCs w:val="24"/>
        </w:rPr>
        <w:t>)-դոկոզ-13-ենոամիդ</w:t>
      </w:r>
    </w:p>
    <w:p w14:paraId="16CB9A0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էրուկամիդ.</w:t>
      </w:r>
    </w:p>
    <w:p w14:paraId="1BE087C3"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w:t>
      </w:r>
      <w:r w:rsidR="0058052E" w:rsidRPr="00825EEB">
        <w:rPr>
          <w:rFonts w:ascii="Sylfaen" w:hAnsi="Sylfaen"/>
          <w:i/>
          <w:sz w:val="24"/>
          <w:szCs w:val="24"/>
        </w:rPr>
        <w:t>Z</w:t>
      </w:r>
      <w:r w:rsidR="0058052E" w:rsidRPr="00825EEB">
        <w:rPr>
          <w:rFonts w:ascii="Sylfaen" w:hAnsi="Sylfaen"/>
          <w:sz w:val="24"/>
          <w:szCs w:val="24"/>
        </w:rPr>
        <w:t>)-Դոկոզ-13-ենոամիդ.</w:t>
      </w:r>
    </w:p>
    <w:p w14:paraId="0FC5046E"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13-դոկոցենամիդ, (13</w:t>
      </w:r>
      <w:r w:rsidR="0058052E" w:rsidRPr="00825EEB">
        <w:rPr>
          <w:rFonts w:ascii="Sylfaen" w:hAnsi="Sylfaen"/>
          <w:i/>
          <w:sz w:val="24"/>
          <w:szCs w:val="24"/>
        </w:rPr>
        <w:t>Z</w:t>
      </w:r>
      <w:r w:rsidR="0058052E" w:rsidRPr="00825EEB">
        <w:rPr>
          <w:rFonts w:ascii="Sylfaen" w:hAnsi="Sylfaen"/>
          <w:sz w:val="24"/>
          <w:szCs w:val="24"/>
        </w:rPr>
        <w:t>)-.</w:t>
      </w:r>
    </w:p>
    <w:p w14:paraId="1447B97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Pr>
          <w:rFonts w:ascii="Sylfaen" w:hAnsi="Sylfaen"/>
          <w:sz w:val="24"/>
          <w:szCs w:val="24"/>
          <w:lang w:val="en-US"/>
        </w:rPr>
        <w:tab/>
      </w:r>
      <w:r w:rsidR="0058052E" w:rsidRPr="00825EEB">
        <w:rPr>
          <w:rFonts w:ascii="Sylfaen" w:hAnsi="Sylfaen"/>
          <w:sz w:val="24"/>
          <w:szCs w:val="24"/>
        </w:rPr>
        <w:t>13</w:t>
      </w:r>
      <w:r w:rsidR="0058052E" w:rsidRPr="00825EEB">
        <w:rPr>
          <w:rFonts w:ascii="Sylfaen" w:hAnsi="Sylfaen"/>
          <w:b/>
          <w:sz w:val="24"/>
          <w:szCs w:val="24"/>
        </w:rPr>
        <w:t>-</w:t>
      </w:r>
      <w:r w:rsidR="0058052E" w:rsidRPr="00825EEB">
        <w:rPr>
          <w:rFonts w:ascii="Sylfaen" w:hAnsi="Sylfaen"/>
          <w:i/>
          <w:sz w:val="24"/>
          <w:szCs w:val="24"/>
        </w:rPr>
        <w:t>ցիս</w:t>
      </w:r>
      <w:r w:rsidR="0058052E" w:rsidRPr="00825EEB">
        <w:rPr>
          <w:rFonts w:ascii="Sylfaen" w:hAnsi="Sylfaen"/>
          <w:sz w:val="24"/>
          <w:szCs w:val="24"/>
        </w:rPr>
        <w:t>-դոկոզենամիդ:</w:t>
      </w:r>
    </w:p>
    <w:p w14:paraId="1EA2EB5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22։ </w:t>
      </w:r>
      <w:r w:rsidRPr="00825EEB">
        <w:rPr>
          <w:rFonts w:ascii="Sylfaen" w:hAnsi="Sylfaen"/>
          <w:sz w:val="24"/>
          <w:szCs w:val="24"/>
        </w:rPr>
        <w:t>[65447-77-0]։</w:t>
      </w:r>
    </w:p>
    <w:p w14:paraId="6B2B2BA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lang w:val="en-US" w:eastAsia="en-US" w:bidi="ar-SA"/>
        </w:rPr>
        <w:drawing>
          <wp:inline distT="0" distB="0" distL="0" distR="0" wp14:anchorId="50EEFAD5" wp14:editId="7B199BA3">
            <wp:extent cx="2142697" cy="837197"/>
            <wp:effectExtent l="19050" t="0" r="0" b="0"/>
            <wp:docPr id="8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50" cstate="print"/>
                    <a:srcRect/>
                    <a:stretch>
                      <a:fillRect/>
                    </a:stretch>
                  </pic:blipFill>
                  <pic:spPr bwMode="auto">
                    <a:xfrm>
                      <a:off x="0" y="0"/>
                      <a:ext cx="2151186" cy="840514"/>
                    </a:xfrm>
                    <a:prstGeom prst="rect">
                      <a:avLst/>
                    </a:prstGeom>
                    <a:noFill/>
                    <a:ln w="9525">
                      <a:noFill/>
                      <a:miter lim="800000"/>
                      <a:headEnd/>
                      <a:tailEnd/>
                    </a:ln>
                  </pic:spPr>
                </pic:pic>
              </a:graphicData>
            </a:graphic>
          </wp:inline>
        </w:drawing>
      </w:r>
    </w:p>
    <w:p w14:paraId="7237086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դիմեթիլբութանդիոատի </w:t>
      </w:r>
      <w:r>
        <w:rPr>
          <w:rFonts w:ascii="Sylfaen" w:hAnsi="Sylfaen"/>
          <w:sz w:val="24"/>
          <w:szCs w:val="24"/>
        </w:rPr>
        <w:t>եւ</w:t>
      </w:r>
      <w:r w:rsidRPr="00825EEB">
        <w:rPr>
          <w:rFonts w:ascii="Sylfaen" w:hAnsi="Sylfaen"/>
          <w:sz w:val="24"/>
          <w:szCs w:val="24"/>
        </w:rPr>
        <w:t xml:space="preserve"> 1-(2-հիդրօքսիէթիլ)-2,2,6,6-տետրամեթիլ-</w:t>
      </w:r>
    </w:p>
    <w:p w14:paraId="444A23C5" w14:textId="77777777" w:rsidR="0058052E" w:rsidRPr="00825EEB" w:rsidRDefault="0058052E" w:rsidP="0058052E">
      <w:pPr>
        <w:spacing w:after="160" w:line="360" w:lineRule="auto"/>
        <w:ind w:firstLine="567"/>
        <w:jc w:val="both"/>
      </w:pPr>
      <w:r w:rsidRPr="00825EEB">
        <w:lastRenderedPageBreak/>
        <w:t>պիպերիդին-4-ոլի համապոլիմեր</w:t>
      </w:r>
    </w:p>
    <w:p w14:paraId="6B4B1A0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 xml:space="preserve">դիմեթիլսուկցինատի </w:t>
      </w:r>
      <w:r>
        <w:rPr>
          <w:rFonts w:ascii="Sylfaen" w:hAnsi="Sylfaen"/>
          <w:b/>
          <w:sz w:val="24"/>
          <w:szCs w:val="24"/>
        </w:rPr>
        <w:t>եւ</w:t>
      </w:r>
      <w:r w:rsidRPr="00825EEB">
        <w:rPr>
          <w:rFonts w:ascii="Sylfaen" w:hAnsi="Sylfaen"/>
          <w:b/>
          <w:sz w:val="24"/>
          <w:szCs w:val="24"/>
        </w:rPr>
        <w:t xml:space="preserve"> (4-հիդրօքսի-2,2,6,6-տետրա-մեթիլ պիպերիդին-1-իլ) էթանոլի համապոլիմեր.</w:t>
      </w:r>
    </w:p>
    <w:p w14:paraId="3B315F3F"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բութանդիոնաթթվի 1,4-դիմեթիլային եթեր, 4-հիդրօքսի-2,2,6,6-տետրամեթիլ-1-պիպերիդինէթանոլի հետ պոլիմեր:</w:t>
      </w:r>
    </w:p>
    <w:p w14:paraId="701FC76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23։ </w:t>
      </w:r>
      <w:r w:rsidRPr="00825EEB">
        <w:rPr>
          <w:rFonts w:ascii="Sylfaen" w:hAnsi="Sylfaen"/>
          <w:sz w:val="24"/>
          <w:szCs w:val="24"/>
        </w:rPr>
        <w:t xml:space="preserve">Բաղադրիչ I-ի </w:t>
      </w:r>
      <w:r>
        <w:rPr>
          <w:rFonts w:ascii="Sylfaen" w:hAnsi="Sylfaen"/>
          <w:sz w:val="24"/>
          <w:szCs w:val="24"/>
        </w:rPr>
        <w:t>եւ</w:t>
      </w:r>
      <w:r w:rsidRPr="00825EEB">
        <w:rPr>
          <w:rFonts w:ascii="Sylfaen" w:hAnsi="Sylfaen"/>
          <w:sz w:val="24"/>
          <w:szCs w:val="24"/>
        </w:rPr>
        <w:t xml:space="preserve"> բաղադրիչ II-ի մոտ 27 % խառնուրդ</w:t>
      </w:r>
    </w:p>
    <w:p w14:paraId="0E32B51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I</w:t>
      </w:r>
      <w:r w:rsidRPr="00825EEB">
        <w:rPr>
          <w:rFonts w:ascii="Sylfaen" w:hAnsi="Sylfaen"/>
          <w:sz w:val="24"/>
          <w:szCs w:val="24"/>
        </w:rPr>
        <w:t xml:space="preserve"> [26401-97-08]</w:t>
      </w:r>
    </w:p>
    <w:p w14:paraId="4A5AA73F"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hAnsi="Sylfaen" w:cs="Sylfaen"/>
          <w:noProof/>
          <w:sz w:val="24"/>
          <w:szCs w:val="24"/>
          <w:lang w:val="en-US" w:eastAsia="en-US" w:bidi="ar-SA"/>
        </w:rPr>
        <w:pict w14:anchorId="2074A963">
          <v:rect id="_x0000_s1417" style="position:absolute;left:0;text-align:left;margin-left:203.85pt;margin-top:50.45pt;width:87.6pt;height:19.4pt;z-index:251965440" stroked="f">
            <v:textbox>
              <w:txbxContent>
                <w:p w14:paraId="26F26C6C" w14:textId="77777777" w:rsidR="008D6E8B" w:rsidRPr="00F24391" w:rsidRDefault="008D6E8B" w:rsidP="00F24391">
                  <w:pPr>
                    <w:pStyle w:val="a0"/>
                    <w:shd w:val="clear" w:color="auto" w:fill="auto"/>
                    <w:spacing w:after="0" w:line="240" w:lineRule="auto"/>
                    <w:ind w:firstLine="0"/>
                    <w:jc w:val="center"/>
                    <w:rPr>
                      <w:rFonts w:ascii="Sylfaen" w:hAnsi="Sylfaen"/>
                      <w:sz w:val="16"/>
                    </w:rPr>
                  </w:pPr>
                  <w:r w:rsidRPr="00F24391">
                    <w:rPr>
                      <w:rFonts w:ascii="Sylfaen" w:hAnsi="Sylfaen"/>
                      <w:sz w:val="16"/>
                    </w:rPr>
                    <w:t>եւ էնանտիոմեր</w:t>
                  </w:r>
                </w:p>
              </w:txbxContent>
            </v:textbox>
          </v:rect>
        </w:pict>
      </w:r>
      <w:r w:rsidR="0058052E" w:rsidRPr="00825EEB">
        <w:rPr>
          <w:rFonts w:ascii="Sylfaen" w:hAnsi="Sylfaen" w:cs="Sylfaen"/>
          <w:noProof/>
          <w:sz w:val="24"/>
          <w:szCs w:val="24"/>
          <w:lang w:val="en-US" w:eastAsia="en-US" w:bidi="ar-SA"/>
        </w:rPr>
        <w:drawing>
          <wp:inline distT="0" distB="0" distL="0" distR="0" wp14:anchorId="36930778" wp14:editId="41924B87">
            <wp:extent cx="3072168" cy="893929"/>
            <wp:effectExtent l="19050" t="0" r="0" b="0"/>
            <wp:docPr id="9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51" cstate="print"/>
                    <a:srcRect/>
                    <a:stretch>
                      <a:fillRect/>
                    </a:stretch>
                  </pic:blipFill>
                  <pic:spPr bwMode="auto">
                    <a:xfrm>
                      <a:off x="0" y="0"/>
                      <a:ext cx="3075589" cy="894924"/>
                    </a:xfrm>
                    <a:prstGeom prst="rect">
                      <a:avLst/>
                    </a:prstGeom>
                    <a:noFill/>
                    <a:ln w="9525">
                      <a:noFill/>
                      <a:miter lim="800000"/>
                      <a:headEnd/>
                      <a:tailEnd/>
                    </a:ln>
                  </pic:spPr>
                </pic:pic>
              </a:graphicData>
            </a:graphic>
          </wp:inline>
        </w:drawing>
      </w:r>
    </w:p>
    <w:p w14:paraId="12CEFEF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բիս [(2</w:t>
      </w:r>
      <w:r w:rsidRPr="00825EEB">
        <w:rPr>
          <w:rFonts w:ascii="Sylfaen" w:hAnsi="Sylfaen"/>
          <w:i/>
          <w:sz w:val="24"/>
          <w:szCs w:val="24"/>
        </w:rPr>
        <w:t>RS</w:t>
      </w:r>
      <w:r w:rsidRPr="00825EEB">
        <w:rPr>
          <w:rFonts w:ascii="Sylfaen" w:hAnsi="Sylfaen"/>
          <w:sz w:val="24"/>
          <w:szCs w:val="24"/>
        </w:rPr>
        <w:t>)-2-էթիլհեքսիլ] [(դիօկտիլստաննանտրիիլ)բիս(սուլֆանդիիլ)] դիացետատ</w:t>
      </w:r>
    </w:p>
    <w:p w14:paraId="2A1742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Pr="00825EEB">
        <w:rPr>
          <w:rFonts w:ascii="Sylfaen" w:hAnsi="Sylfaen"/>
          <w:b/>
          <w:sz w:val="24"/>
          <w:szCs w:val="24"/>
        </w:rPr>
        <w:t>դի(իզոօկտիլ)-2,2</w:t>
      </w:r>
      <w:r w:rsidRPr="00825EEB">
        <w:rPr>
          <w:rFonts w:ascii="Sylfaen" w:hAnsi="Sylfaen"/>
          <w:b/>
          <w:i/>
          <w:sz w:val="24"/>
          <w:szCs w:val="24"/>
        </w:rPr>
        <w:t>'</w:t>
      </w:r>
      <w:r w:rsidRPr="00825EEB">
        <w:rPr>
          <w:rFonts w:ascii="Sylfaen" w:hAnsi="Sylfaen"/>
          <w:b/>
          <w:sz w:val="24"/>
          <w:szCs w:val="24"/>
        </w:rPr>
        <w:t>-[(դիօկտիլ-ստաննիլեն)-բիս(թիո)դիացետատ.</w:t>
      </w:r>
    </w:p>
    <w:p w14:paraId="5958AE77"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քացախաթթվի 2,2</w:t>
      </w:r>
      <w:r w:rsidR="0058052E" w:rsidRPr="00825EEB">
        <w:rPr>
          <w:rFonts w:ascii="Sylfaen" w:hAnsi="Sylfaen"/>
          <w:i/>
          <w:sz w:val="24"/>
          <w:szCs w:val="24"/>
        </w:rPr>
        <w:t>'</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w:t>
      </w:r>
      <w:r w:rsidRPr="00AA234B">
        <w:rPr>
          <w:rFonts w:ascii="Sylfaen" w:hAnsi="Sylfaen"/>
          <w:sz w:val="24"/>
          <w:szCs w:val="24"/>
        </w:rPr>
        <w:t xml:space="preserve"> </w:t>
      </w:r>
      <w:r w:rsidR="0058052E" w:rsidRPr="00825EEB">
        <w:rPr>
          <w:rFonts w:ascii="Sylfaen" w:hAnsi="Sylfaen"/>
          <w:sz w:val="24"/>
          <w:szCs w:val="24"/>
        </w:rPr>
        <w:t>(դիօկտիլ-ստաննիլեն)բիս(թիո)]</w:t>
      </w:r>
      <w:r w:rsidRPr="00AA234B">
        <w:rPr>
          <w:rFonts w:ascii="Sylfaen" w:hAnsi="Sylfaen"/>
          <w:sz w:val="24"/>
          <w:szCs w:val="24"/>
        </w:rPr>
        <w:t xml:space="preserve"> </w:t>
      </w:r>
      <w:r w:rsidR="0058052E" w:rsidRPr="00825EEB">
        <w:rPr>
          <w:rFonts w:ascii="Sylfaen" w:hAnsi="Sylfaen"/>
          <w:sz w:val="24"/>
          <w:szCs w:val="24"/>
        </w:rPr>
        <w:t>բիս-,1,1</w:t>
      </w:r>
      <w:r w:rsidR="0058052E" w:rsidRPr="00825EEB">
        <w:rPr>
          <w:rFonts w:ascii="Sylfaen" w:hAnsi="Sylfaen"/>
          <w:i/>
          <w:sz w:val="24"/>
          <w:szCs w:val="24"/>
        </w:rPr>
        <w:t>'</w:t>
      </w:r>
      <w:r w:rsidR="0058052E" w:rsidRPr="00825EEB">
        <w:rPr>
          <w:rFonts w:ascii="Sylfaen" w:hAnsi="Sylfaen"/>
          <w:sz w:val="24"/>
          <w:szCs w:val="24"/>
        </w:rPr>
        <w:t>-դիիզոօկտիլային եթեր:</w:t>
      </w:r>
    </w:p>
    <w:p w14:paraId="3A29E12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բաղադրիչ II</w:t>
      </w:r>
      <w:r w:rsidRPr="00825EEB">
        <w:rPr>
          <w:rFonts w:ascii="Sylfaen" w:hAnsi="Sylfaen"/>
          <w:sz w:val="24"/>
          <w:szCs w:val="24"/>
        </w:rPr>
        <w:t xml:space="preserve"> [26401-86-5]</w:t>
      </w:r>
    </w:p>
    <w:p w14:paraId="73B03BEF"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eastAsia="Arial" w:hAnsi="Sylfaen" w:cs="Sylfaen"/>
          <w:b/>
          <w:bCs/>
          <w:noProof/>
          <w:sz w:val="24"/>
          <w:szCs w:val="24"/>
          <w:lang w:val="en-US" w:eastAsia="en-US" w:bidi="ar-SA"/>
        </w:rPr>
        <w:pict w14:anchorId="24685814">
          <v:rect id="_x0000_s1418" style="position:absolute;left:0;text-align:left;margin-left:189.4pt;margin-top:47.75pt;width:87.6pt;height:19.4pt;z-index:251966464" stroked="f">
            <v:textbox>
              <w:txbxContent>
                <w:p w14:paraId="623C0728" w14:textId="77777777" w:rsidR="008D6E8B" w:rsidRPr="00CB6CF6" w:rsidRDefault="008D6E8B" w:rsidP="0058052E">
                  <w:pPr>
                    <w:pStyle w:val="a0"/>
                    <w:shd w:val="clear" w:color="auto" w:fill="auto"/>
                    <w:spacing w:after="0" w:line="240" w:lineRule="auto"/>
                    <w:ind w:firstLine="0"/>
                    <w:rPr>
                      <w:rFonts w:ascii="Sylfaen" w:hAnsi="Sylfaen"/>
                    </w:rPr>
                  </w:pPr>
                  <w:r w:rsidRPr="00CB6CF6">
                    <w:rPr>
                      <w:rFonts w:ascii="Sylfaen" w:hAnsi="Sylfaen"/>
                    </w:rPr>
                    <w:t xml:space="preserve">եւ </w:t>
                  </w:r>
                  <w:r w:rsidRPr="00E30FBC">
                    <w:rPr>
                      <w:rFonts w:ascii="Sylfaen" w:hAnsi="Sylfaen"/>
                    </w:rPr>
                    <w:t>էնանտիոմեր</w:t>
                  </w:r>
                </w:p>
              </w:txbxContent>
            </v:textbox>
          </v:rect>
        </w:pict>
      </w:r>
      <w:r w:rsidR="0058052E" w:rsidRPr="00825EEB">
        <w:rPr>
          <w:rFonts w:ascii="Sylfaen" w:eastAsia="Arial" w:hAnsi="Sylfaen" w:cs="Sylfaen"/>
          <w:b/>
          <w:bCs/>
          <w:noProof/>
          <w:sz w:val="24"/>
          <w:szCs w:val="24"/>
          <w:lang w:val="en-US" w:eastAsia="en-US" w:bidi="ar-SA"/>
        </w:rPr>
        <w:drawing>
          <wp:inline distT="0" distB="0" distL="0" distR="0" wp14:anchorId="5207CF88" wp14:editId="10B16D33">
            <wp:extent cx="2995794" cy="852054"/>
            <wp:effectExtent l="19050" t="0" r="0" b="0"/>
            <wp:docPr id="9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52" cstate="print"/>
                    <a:srcRect/>
                    <a:stretch>
                      <a:fillRect/>
                    </a:stretch>
                  </pic:blipFill>
                  <pic:spPr bwMode="auto">
                    <a:xfrm>
                      <a:off x="0" y="0"/>
                      <a:ext cx="3002078" cy="853841"/>
                    </a:xfrm>
                    <a:prstGeom prst="rect">
                      <a:avLst/>
                    </a:prstGeom>
                    <a:noFill/>
                    <a:ln w="9525">
                      <a:noFill/>
                      <a:miter lim="800000"/>
                      <a:headEnd/>
                      <a:tailEnd/>
                    </a:ln>
                  </pic:spPr>
                </pic:pic>
              </a:graphicData>
            </a:graphic>
          </wp:inline>
        </w:drawing>
      </w:r>
    </w:p>
    <w:p w14:paraId="4AF82FB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տրիս</w:t>
      </w:r>
      <w:r w:rsidRPr="00825EEB">
        <w:rPr>
          <w:rFonts w:ascii="Sylfaen" w:hAnsi="Sylfaen"/>
          <w:sz w:val="24"/>
          <w:szCs w:val="24"/>
        </w:rPr>
        <w:t>[(2</w:t>
      </w:r>
      <w:r w:rsidRPr="00825EEB">
        <w:rPr>
          <w:rFonts w:ascii="Sylfaen" w:hAnsi="Sylfaen"/>
          <w:i/>
          <w:sz w:val="24"/>
          <w:szCs w:val="24"/>
        </w:rPr>
        <w:t>RS</w:t>
      </w:r>
      <w:r w:rsidRPr="00825EEB">
        <w:rPr>
          <w:rFonts w:ascii="Sylfaen" w:hAnsi="Sylfaen"/>
          <w:sz w:val="24"/>
          <w:szCs w:val="24"/>
        </w:rPr>
        <w:t xml:space="preserve">)-2-էթիլհեքսիլ][(օկտիլստաննան-էթրիլ)տրիս-(սուլֆանդիիլ)]տրիացետատ </w:t>
      </w:r>
    </w:p>
    <w:p w14:paraId="2E4A7A7C" w14:textId="77777777" w:rsidR="0058052E" w:rsidRPr="00903268" w:rsidRDefault="0058052E" w:rsidP="0058052E">
      <w:pPr>
        <w:pStyle w:val="a0"/>
        <w:shd w:val="clear" w:color="auto" w:fill="auto"/>
        <w:spacing w:after="160" w:line="360" w:lineRule="auto"/>
        <w:ind w:firstLine="567"/>
        <w:jc w:val="both"/>
        <w:rPr>
          <w:rFonts w:ascii="Sylfaen" w:hAnsi="Sylfaen"/>
          <w:b/>
          <w:sz w:val="24"/>
          <w:szCs w:val="24"/>
        </w:rPr>
      </w:pPr>
      <w:r w:rsidRPr="00825EEB">
        <w:rPr>
          <w:rFonts w:ascii="Sylfaen" w:hAnsi="Sylfaen"/>
          <w:sz w:val="24"/>
          <w:szCs w:val="24"/>
        </w:rPr>
        <w:t xml:space="preserve">հոմանիշները՝ </w:t>
      </w:r>
      <w:r w:rsidRPr="00825EEB">
        <w:rPr>
          <w:rFonts w:ascii="Sylfaen" w:hAnsi="Sylfaen"/>
          <w:b/>
          <w:sz w:val="24"/>
          <w:szCs w:val="24"/>
        </w:rPr>
        <w:t>տրի(իզոօկտիլ)2,2</w:t>
      </w:r>
      <w:r w:rsidRPr="00825EEB">
        <w:rPr>
          <w:rFonts w:ascii="Sylfaen" w:hAnsi="Sylfaen"/>
          <w:b/>
          <w:i/>
          <w:sz w:val="24"/>
          <w:szCs w:val="24"/>
        </w:rPr>
        <w:t>'</w:t>
      </w:r>
      <w:r w:rsidRPr="00825EEB">
        <w:rPr>
          <w:rFonts w:ascii="Sylfaen" w:hAnsi="Sylfaen"/>
          <w:b/>
          <w:sz w:val="24"/>
          <w:szCs w:val="24"/>
        </w:rPr>
        <w:t>,2</w:t>
      </w:r>
      <w:r w:rsidRPr="00825EEB">
        <w:rPr>
          <w:rFonts w:ascii="Sylfaen" w:hAnsi="Sylfaen"/>
          <w:b/>
          <w:i/>
          <w:sz w:val="24"/>
          <w:szCs w:val="24"/>
        </w:rPr>
        <w:t>''</w:t>
      </w:r>
      <w:r w:rsidRPr="00825EEB">
        <w:rPr>
          <w:rFonts w:ascii="Sylfaen" w:hAnsi="Sylfaen"/>
          <w:b/>
          <w:sz w:val="24"/>
          <w:szCs w:val="24"/>
        </w:rPr>
        <w:t>-[(մոնոօկտիլստաննիլիդեն)-տրիս(թիո)տրիացետատ.</w:t>
      </w:r>
    </w:p>
    <w:p w14:paraId="7A49B113" w14:textId="77777777" w:rsidR="001827DA" w:rsidRPr="00903268" w:rsidRDefault="001827DA" w:rsidP="0058052E">
      <w:pPr>
        <w:pStyle w:val="a0"/>
        <w:shd w:val="clear" w:color="auto" w:fill="auto"/>
        <w:spacing w:after="160" w:line="360" w:lineRule="auto"/>
        <w:ind w:firstLine="567"/>
        <w:jc w:val="both"/>
        <w:rPr>
          <w:rFonts w:ascii="Sylfaen" w:hAnsi="Sylfaen" w:cs="Sylfaen"/>
          <w:b/>
          <w:sz w:val="24"/>
          <w:szCs w:val="24"/>
        </w:rPr>
      </w:pPr>
    </w:p>
    <w:p w14:paraId="781B116C"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sidRPr="00AA234B">
        <w:rPr>
          <w:rFonts w:ascii="Sylfaen" w:hAnsi="Sylfaen"/>
          <w:sz w:val="24"/>
          <w:szCs w:val="24"/>
        </w:rPr>
        <w:tab/>
      </w:r>
      <w:r w:rsidR="0058052E" w:rsidRPr="00825EEB">
        <w:rPr>
          <w:rFonts w:ascii="Sylfaen" w:hAnsi="Sylfaen"/>
          <w:sz w:val="24"/>
          <w:szCs w:val="24"/>
        </w:rPr>
        <w:t>քացախաթթվի 2,2</w:t>
      </w:r>
      <w:r w:rsidR="0058052E" w:rsidRPr="00825EEB">
        <w:rPr>
          <w:rFonts w:ascii="Sylfaen" w:hAnsi="Sylfaen"/>
          <w:i/>
          <w:sz w:val="24"/>
          <w:szCs w:val="24"/>
        </w:rPr>
        <w:t>'</w:t>
      </w:r>
      <w:r w:rsidR="0058052E" w:rsidRPr="00825EEB">
        <w:rPr>
          <w:rFonts w:ascii="Sylfaen" w:hAnsi="Sylfaen"/>
          <w:sz w:val="24"/>
          <w:szCs w:val="24"/>
        </w:rPr>
        <w:t>,2</w:t>
      </w:r>
      <w:r w:rsidR="0058052E" w:rsidRPr="00825EEB">
        <w:rPr>
          <w:rFonts w:ascii="Sylfaen" w:hAnsi="Sylfaen"/>
          <w:i/>
          <w:sz w:val="24"/>
          <w:szCs w:val="24"/>
        </w:rPr>
        <w:t>"</w:t>
      </w:r>
      <w:r w:rsidR="0058052E" w:rsidRPr="00825EEB">
        <w:rPr>
          <w:rFonts w:ascii="Sylfaen" w:hAnsi="Sylfaen"/>
          <w:sz w:val="24"/>
          <w:szCs w:val="24"/>
        </w:rPr>
        <w:t>-[(օկտիլստաննիլիդին)տրիս(թիո)] տրիս-, 1,1</w:t>
      </w:r>
      <w:r w:rsidR="0058052E" w:rsidRPr="00825EEB">
        <w:rPr>
          <w:rFonts w:ascii="Sylfaen" w:hAnsi="Sylfaen"/>
          <w:i/>
          <w:sz w:val="24"/>
          <w:szCs w:val="24"/>
        </w:rPr>
        <w:t>'</w:t>
      </w:r>
      <w:r w:rsidR="0058052E" w:rsidRPr="00825EEB">
        <w:rPr>
          <w:rFonts w:ascii="Sylfaen" w:hAnsi="Sylfaen"/>
          <w:sz w:val="24"/>
          <w:szCs w:val="24"/>
        </w:rPr>
        <w:t>, 1</w:t>
      </w:r>
      <w:r w:rsidR="0058052E" w:rsidRPr="00825EEB">
        <w:rPr>
          <w:rFonts w:ascii="Sylfaen" w:hAnsi="Sylfaen"/>
          <w:i/>
          <w:sz w:val="24"/>
          <w:szCs w:val="24"/>
        </w:rPr>
        <w:t>''</w:t>
      </w:r>
      <w:r w:rsidR="0058052E" w:rsidRPr="00825EEB">
        <w:rPr>
          <w:rFonts w:ascii="Sylfaen" w:hAnsi="Sylfaen"/>
          <w:sz w:val="24"/>
          <w:szCs w:val="24"/>
        </w:rPr>
        <w:t>-տրի-իզոօկտիլային եթեր:</w:t>
      </w:r>
    </w:p>
    <w:p w14:paraId="41784F4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24։ </w:t>
      </w:r>
      <w:r w:rsidRPr="00825EEB">
        <w:rPr>
          <w:rFonts w:ascii="Sylfaen" w:hAnsi="Sylfaen"/>
          <w:sz w:val="24"/>
          <w:szCs w:val="24"/>
        </w:rPr>
        <w:t>C</w:t>
      </w:r>
      <w:r w:rsidRPr="00825EEB">
        <w:rPr>
          <w:rFonts w:ascii="Sylfaen" w:hAnsi="Sylfaen"/>
          <w:sz w:val="24"/>
          <w:szCs w:val="24"/>
          <w:vertAlign w:val="subscript"/>
        </w:rPr>
        <w:t>26</w:t>
      </w:r>
      <w:r w:rsidRPr="00825EEB">
        <w:rPr>
          <w:rFonts w:ascii="Sylfaen" w:hAnsi="Sylfaen"/>
          <w:sz w:val="24"/>
          <w:szCs w:val="24"/>
        </w:rPr>
        <w:t>H</w:t>
      </w:r>
      <w:r w:rsidRPr="00825EEB">
        <w:rPr>
          <w:rFonts w:ascii="Sylfaen" w:hAnsi="Sylfaen"/>
          <w:sz w:val="24"/>
          <w:szCs w:val="24"/>
          <w:vertAlign w:val="subscript"/>
        </w:rPr>
        <w:t>48</w:t>
      </w:r>
      <w:r w:rsidRPr="00825EEB">
        <w:rPr>
          <w:rFonts w:ascii="Sylfaen" w:hAnsi="Sylfaen"/>
          <w:sz w:val="24"/>
          <w:szCs w:val="24"/>
        </w:rPr>
        <w:t>O</w:t>
      </w:r>
      <w:r w:rsidRPr="00825EEB">
        <w:rPr>
          <w:rFonts w:ascii="Sylfaen" w:hAnsi="Sylfaen"/>
          <w:sz w:val="24"/>
          <w:szCs w:val="24"/>
          <w:vertAlign w:val="subscript"/>
        </w:rPr>
        <w:t>4</w:t>
      </w:r>
      <w:r w:rsidRPr="00825EEB">
        <w:rPr>
          <w:rFonts w:ascii="Sylfaen" w:hAnsi="Sylfaen"/>
          <w:sz w:val="24"/>
          <w:szCs w:val="24"/>
        </w:rPr>
        <w:t>։ [166412-78-8]։</w:t>
      </w:r>
    </w:p>
    <w:p w14:paraId="3F851D32" w14:textId="77777777" w:rsidR="0058052E" w:rsidRPr="00825EEB" w:rsidRDefault="00000000" w:rsidP="0058052E">
      <w:pPr>
        <w:spacing w:after="160" w:line="360" w:lineRule="auto"/>
        <w:ind w:firstLine="567"/>
        <w:jc w:val="both"/>
      </w:pPr>
      <w:r>
        <w:rPr>
          <w:rFonts w:eastAsia="Times New Roman"/>
          <w:noProof/>
          <w:color w:val="auto"/>
        </w:rPr>
        <w:pict w14:anchorId="01B6FA60">
          <v:rect id="_x0000_s1414" style="position:absolute;left:0;text-align:left;margin-left:181.1pt;margin-top:18.95pt;width:110.2pt;height:21.7pt;z-index:251962368" stroked="f">
            <v:textbox>
              <w:txbxContent>
                <w:p w14:paraId="6966D8A3" w14:textId="77777777" w:rsidR="008D6E8B" w:rsidRPr="009E3443" w:rsidRDefault="008D6E8B" w:rsidP="0058052E">
                  <w:pPr>
                    <w:rPr>
                      <w:sz w:val="14"/>
                      <w:szCs w:val="12"/>
                    </w:rPr>
                  </w:pPr>
                  <w:r w:rsidRPr="00CB6CF6">
                    <w:rPr>
                      <w:sz w:val="14"/>
                    </w:rPr>
                    <w:t>Կառուցվածքային իզոմերներ</w:t>
                  </w:r>
                </w:p>
              </w:txbxContent>
            </v:textbox>
          </v:rect>
        </w:pict>
      </w:r>
      <w:r w:rsidR="0058052E" w:rsidRPr="00825EEB">
        <w:rPr>
          <w:rFonts w:eastAsia="Times New Roman"/>
          <w:noProof/>
          <w:color w:val="auto"/>
          <w:lang w:val="en-US" w:eastAsia="en-US" w:bidi="ar-SA"/>
        </w:rPr>
        <w:drawing>
          <wp:inline distT="0" distB="0" distL="0" distR="0" wp14:anchorId="63AFD4DE" wp14:editId="6B8637FE">
            <wp:extent cx="3341435" cy="990600"/>
            <wp:effectExtent l="19050" t="0" r="0" b="0"/>
            <wp:docPr id="9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3" cstate="print"/>
                    <a:srcRect/>
                    <a:stretch>
                      <a:fillRect/>
                    </a:stretch>
                  </pic:blipFill>
                  <pic:spPr bwMode="auto">
                    <a:xfrm>
                      <a:off x="0" y="0"/>
                      <a:ext cx="3342474" cy="990908"/>
                    </a:xfrm>
                    <a:prstGeom prst="rect">
                      <a:avLst/>
                    </a:prstGeom>
                    <a:noFill/>
                    <a:ln w="9525">
                      <a:noFill/>
                      <a:miter lim="800000"/>
                      <a:headEnd/>
                      <a:tailEnd/>
                    </a:ln>
                  </pic:spPr>
                </pic:pic>
              </a:graphicData>
            </a:graphic>
          </wp:inline>
        </w:drawing>
      </w:r>
    </w:p>
    <w:p w14:paraId="70BDE3E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Դիիզոնոնիլ(1Θ,2Θ)-ցիկլոհեքսան-1,2-դիկարբօքսիլատ կառուցվածքային իզոմերների խառնուրդ </w:t>
      </w:r>
    </w:p>
    <w:p w14:paraId="3FDDCFF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Հոմանշները՝ ցիկլոհեքսան 1,2-դիկարբոնաթթվի դիիզոնոնիլային եթեր.</w:t>
      </w:r>
    </w:p>
    <w:p w14:paraId="3B81157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1,2-ցիկլոհեքսանկարբոնաթթվի 1,2-դիիզոնոնիլային եթեր:</w:t>
      </w:r>
    </w:p>
    <w:p w14:paraId="6221806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25։ </w:t>
      </w:r>
      <w:r w:rsidRPr="00825EEB">
        <w:rPr>
          <w:rFonts w:ascii="Sylfaen" w:hAnsi="Sylfaen"/>
          <w:sz w:val="24"/>
          <w:szCs w:val="24"/>
        </w:rPr>
        <w:t>С</w:t>
      </w:r>
      <w:r w:rsidRPr="00825EEB">
        <w:rPr>
          <w:rFonts w:ascii="Sylfaen" w:hAnsi="Sylfaen"/>
          <w:sz w:val="24"/>
          <w:szCs w:val="24"/>
          <w:vertAlign w:val="subscript"/>
        </w:rPr>
        <w:t>28</w:t>
      </w:r>
      <w:r w:rsidRPr="00825EEB">
        <w:rPr>
          <w:rFonts w:ascii="Sylfaen" w:hAnsi="Sylfaen"/>
          <w:sz w:val="24"/>
          <w:szCs w:val="24"/>
        </w:rPr>
        <w:t>Н</w:t>
      </w:r>
      <w:r w:rsidRPr="00825EEB">
        <w:rPr>
          <w:rFonts w:ascii="Sylfaen" w:hAnsi="Sylfaen"/>
          <w:sz w:val="24"/>
          <w:szCs w:val="24"/>
          <w:vertAlign w:val="subscript"/>
        </w:rPr>
        <w:t>50</w:t>
      </w:r>
      <w:r w:rsidRPr="00825EEB">
        <w:rPr>
          <w:rFonts w:ascii="Sylfaen" w:hAnsi="Sylfaen"/>
          <w:sz w:val="24"/>
          <w:szCs w:val="24"/>
        </w:rPr>
        <w:t>O</w:t>
      </w:r>
      <w:r w:rsidRPr="00825EEB">
        <w:rPr>
          <w:rFonts w:ascii="Sylfaen" w:hAnsi="Sylfaen"/>
          <w:sz w:val="24"/>
          <w:szCs w:val="24"/>
          <w:vertAlign w:val="subscript"/>
        </w:rPr>
        <w:t>8</w:t>
      </w:r>
      <w:r w:rsidRPr="00825EEB">
        <w:rPr>
          <w:rFonts w:ascii="Sylfaen" w:hAnsi="Sylfaen"/>
          <w:sz w:val="24"/>
          <w:szCs w:val="24"/>
        </w:rPr>
        <w:t>։ [82469-79-2]։</w:t>
      </w:r>
    </w:p>
    <w:p w14:paraId="3A47A0C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Arial" w:hAnsi="Sylfaen" w:cs="Sylfaen"/>
          <w:noProof/>
          <w:sz w:val="24"/>
          <w:szCs w:val="24"/>
          <w:lang w:val="en-US" w:eastAsia="en-US" w:bidi="ar-SA"/>
        </w:rPr>
        <w:drawing>
          <wp:inline distT="0" distB="0" distL="0" distR="0" wp14:anchorId="171EF8F9" wp14:editId="1A4218F0">
            <wp:extent cx="1802822" cy="2090602"/>
            <wp:effectExtent l="19050" t="0" r="6928" b="0"/>
            <wp:docPr id="9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4" cstate="print"/>
                    <a:srcRect/>
                    <a:stretch>
                      <a:fillRect/>
                    </a:stretch>
                  </pic:blipFill>
                  <pic:spPr bwMode="auto">
                    <a:xfrm>
                      <a:off x="0" y="0"/>
                      <a:ext cx="1802822" cy="2090602"/>
                    </a:xfrm>
                    <a:prstGeom prst="rect">
                      <a:avLst/>
                    </a:prstGeom>
                    <a:noFill/>
                    <a:ln w="9525">
                      <a:noFill/>
                      <a:miter lim="800000"/>
                      <a:headEnd/>
                      <a:tailEnd/>
                    </a:ln>
                  </pic:spPr>
                </pic:pic>
              </a:graphicData>
            </a:graphic>
          </wp:inline>
        </w:drawing>
      </w:r>
    </w:p>
    <w:p w14:paraId="68F0807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տրիհեքսիլ-2-(բութանոիլօքսի)պրոպան-1,2,3-տրիկարբօքսիլատ </w:t>
      </w:r>
    </w:p>
    <w:p w14:paraId="6D7DEEB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բութիրիլ տրի-</w:t>
      </w:r>
      <w:r w:rsidRPr="00825EEB">
        <w:rPr>
          <w:rFonts w:ascii="Sylfaen" w:hAnsi="Sylfaen"/>
          <w:i/>
          <w:sz w:val="24"/>
          <w:szCs w:val="24"/>
        </w:rPr>
        <w:t>н</w:t>
      </w:r>
      <w:r w:rsidRPr="00825EEB">
        <w:rPr>
          <w:rFonts w:ascii="Sylfaen" w:hAnsi="Sylfaen"/>
          <w:sz w:val="24"/>
          <w:szCs w:val="24"/>
        </w:rPr>
        <w:t>-հեքսիլ ցիտրատ</w:t>
      </w:r>
    </w:p>
    <w:p w14:paraId="133C8C66" w14:textId="77777777" w:rsidR="0058052E" w:rsidRPr="00903268" w:rsidRDefault="00AA234B" w:rsidP="00AA234B">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sidRPr="00A859E3">
        <w:rPr>
          <w:rFonts w:ascii="Sylfaen" w:hAnsi="Sylfaen"/>
          <w:sz w:val="24"/>
          <w:szCs w:val="24"/>
        </w:rPr>
        <w:tab/>
      </w:r>
      <w:r w:rsidR="0058052E" w:rsidRPr="00825EEB">
        <w:rPr>
          <w:rFonts w:ascii="Sylfaen" w:hAnsi="Sylfaen"/>
          <w:sz w:val="24"/>
          <w:szCs w:val="24"/>
        </w:rPr>
        <w:t>1,2,3-պրոպանտրիկարբոնաթթվի 2-(1-օքսոբութօքսի)-1,2,3-տրիհեքսիլային եթեր:</w:t>
      </w:r>
    </w:p>
    <w:p w14:paraId="14E2E053" w14:textId="77777777" w:rsidR="001827DA" w:rsidRPr="00903268" w:rsidRDefault="001827DA">
      <w:pPr>
        <w:rPr>
          <w:rFonts w:eastAsia="Times New Roman" w:cs="Times New Roman"/>
          <w:color w:val="auto"/>
        </w:rPr>
      </w:pPr>
      <w:r w:rsidRPr="00903268">
        <w:br w:type="page"/>
      </w:r>
    </w:p>
    <w:p w14:paraId="5EC49DA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Հավելանյութ 26։ </w:t>
      </w:r>
      <w:r w:rsidRPr="00825EEB">
        <w:rPr>
          <w:rFonts w:ascii="Sylfaen" w:hAnsi="Sylfaen"/>
          <w:sz w:val="24"/>
          <w:szCs w:val="24"/>
        </w:rPr>
        <w:t>С</w:t>
      </w:r>
      <w:r w:rsidRPr="00825EEB">
        <w:rPr>
          <w:rFonts w:ascii="Sylfaen" w:hAnsi="Sylfaen"/>
          <w:sz w:val="24"/>
          <w:szCs w:val="24"/>
          <w:vertAlign w:val="subscript"/>
        </w:rPr>
        <w:t>33</w:t>
      </w:r>
      <w:r w:rsidRPr="00825EEB">
        <w:rPr>
          <w:rFonts w:ascii="Sylfaen" w:hAnsi="Sylfaen"/>
          <w:sz w:val="24"/>
          <w:szCs w:val="24"/>
        </w:rPr>
        <w:t>Н</w:t>
      </w:r>
      <w:r w:rsidRPr="00825EEB">
        <w:rPr>
          <w:rFonts w:ascii="Sylfaen" w:hAnsi="Sylfaen"/>
          <w:sz w:val="24"/>
          <w:szCs w:val="24"/>
          <w:vertAlign w:val="subscript"/>
        </w:rPr>
        <w:t>54</w:t>
      </w:r>
      <w:r w:rsidRPr="00825EEB">
        <w:rPr>
          <w:rFonts w:ascii="Sylfaen" w:hAnsi="Sylfaen"/>
          <w:sz w:val="24"/>
          <w:szCs w:val="24"/>
        </w:rPr>
        <w:t>О</w:t>
      </w:r>
      <w:r w:rsidRPr="00825EEB">
        <w:rPr>
          <w:rFonts w:ascii="Sylfaen" w:hAnsi="Sylfaen"/>
          <w:sz w:val="24"/>
          <w:szCs w:val="24"/>
          <w:vertAlign w:val="subscript"/>
        </w:rPr>
        <w:t>6</w:t>
      </w:r>
      <w:r w:rsidRPr="00825EEB">
        <w:rPr>
          <w:rFonts w:ascii="Sylfaen" w:hAnsi="Sylfaen"/>
          <w:sz w:val="24"/>
          <w:szCs w:val="24"/>
        </w:rPr>
        <w:t>։ [3319-31-1]։</w:t>
      </w:r>
    </w:p>
    <w:p w14:paraId="37DFFC49"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eastAsia="Arial" w:hAnsi="Sylfaen" w:cs="Sylfaen"/>
          <w:b/>
          <w:bCs/>
          <w:noProof/>
          <w:sz w:val="24"/>
          <w:szCs w:val="24"/>
        </w:rPr>
        <w:pict w14:anchorId="74C376AB">
          <v:rect id="_x0000_s1415" style="position:absolute;left:0;text-align:left;margin-left:118.9pt;margin-top:48.2pt;width:78.55pt;height:15.25pt;z-index:251963392" stroked="f">
            <v:textbox>
              <w:txbxContent>
                <w:p w14:paraId="5A9FC81F" w14:textId="77777777" w:rsidR="008D6E8B" w:rsidRPr="00145350" w:rsidRDefault="008D6E8B" w:rsidP="0058052E">
                  <w:pPr>
                    <w:rPr>
                      <w:sz w:val="12"/>
                      <w:szCs w:val="12"/>
                    </w:rPr>
                  </w:pPr>
                  <w:r w:rsidRPr="00CB6CF6">
                    <w:rPr>
                      <w:sz w:val="14"/>
                    </w:rPr>
                    <w:t>և էնանտիոմեր</w:t>
                  </w:r>
                  <w:r>
                    <w:rPr>
                      <w:noProof/>
                      <w:sz w:val="12"/>
                      <w:szCs w:val="12"/>
                      <w:lang w:val="en-US" w:eastAsia="en-US" w:bidi="ar-SA"/>
                    </w:rPr>
                    <w:drawing>
                      <wp:inline distT="0" distB="0" distL="0" distR="0" wp14:anchorId="0061029A" wp14:editId="24AD89D1">
                        <wp:extent cx="805180" cy="165282"/>
                        <wp:effectExtent l="19050" t="0" r="0" b="0"/>
                        <wp:docPr id="1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5"/>
                                <a:srcRect/>
                                <a:stretch>
                                  <a:fillRect/>
                                </a:stretch>
                              </pic:blipFill>
                              <pic:spPr bwMode="auto">
                                <a:xfrm>
                                  <a:off x="0" y="0"/>
                                  <a:ext cx="805180" cy="165282"/>
                                </a:xfrm>
                                <a:prstGeom prst="rect">
                                  <a:avLst/>
                                </a:prstGeom>
                                <a:noFill/>
                                <a:ln w="9525">
                                  <a:noFill/>
                                  <a:miter lim="800000"/>
                                  <a:headEnd/>
                                  <a:tailEnd/>
                                </a:ln>
                              </pic:spPr>
                            </pic:pic>
                          </a:graphicData>
                        </a:graphic>
                      </wp:inline>
                    </w:drawing>
                  </w:r>
                </w:p>
              </w:txbxContent>
            </v:textbox>
          </v:rect>
        </w:pict>
      </w:r>
      <w:r w:rsidR="0058052E" w:rsidRPr="00825EEB">
        <w:rPr>
          <w:rFonts w:ascii="Sylfaen" w:eastAsia="Arial" w:hAnsi="Sylfaen" w:cs="Sylfaen"/>
          <w:b/>
          <w:bCs/>
          <w:noProof/>
          <w:sz w:val="24"/>
          <w:szCs w:val="24"/>
          <w:lang w:val="en-US" w:eastAsia="en-US" w:bidi="ar-SA"/>
        </w:rPr>
        <w:drawing>
          <wp:inline distT="0" distB="0" distL="0" distR="0" wp14:anchorId="09AC62E7" wp14:editId="355AF73C">
            <wp:extent cx="2544080" cy="852055"/>
            <wp:effectExtent l="19050" t="0" r="8620" b="0"/>
            <wp:docPr id="9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6" cstate="print"/>
                    <a:srcRect/>
                    <a:stretch>
                      <a:fillRect/>
                    </a:stretch>
                  </pic:blipFill>
                  <pic:spPr bwMode="auto">
                    <a:xfrm>
                      <a:off x="0" y="0"/>
                      <a:ext cx="2548528" cy="853545"/>
                    </a:xfrm>
                    <a:prstGeom prst="rect">
                      <a:avLst/>
                    </a:prstGeom>
                    <a:noFill/>
                    <a:ln w="9525">
                      <a:noFill/>
                      <a:miter lim="800000"/>
                      <a:headEnd/>
                      <a:tailEnd/>
                    </a:ln>
                  </pic:spPr>
                </pic:pic>
              </a:graphicData>
            </a:graphic>
          </wp:inline>
        </w:drawing>
      </w:r>
    </w:p>
    <w:p w14:paraId="26DE4B5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տրիս[(2</w:t>
      </w:r>
      <w:r w:rsidRPr="00825EEB">
        <w:rPr>
          <w:rFonts w:ascii="Sylfaen" w:hAnsi="Sylfaen"/>
          <w:i/>
          <w:sz w:val="24"/>
          <w:szCs w:val="24"/>
        </w:rPr>
        <w:t>RS</w:t>
      </w:r>
      <w:r w:rsidRPr="00825EEB">
        <w:rPr>
          <w:rFonts w:ascii="Sylfaen" w:hAnsi="Sylfaen"/>
          <w:sz w:val="24"/>
          <w:szCs w:val="24"/>
        </w:rPr>
        <w:t xml:space="preserve">)-2-էթիլհեքսիլ] բենզոլ-1,2,4-տրիկարբօքսիլատ </w:t>
      </w:r>
    </w:p>
    <w:p w14:paraId="38FD4C1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sz w:val="24"/>
          <w:szCs w:val="24"/>
        </w:rPr>
        <w:t>-</w:t>
      </w:r>
      <w:r w:rsidRPr="00825EEB">
        <w:rPr>
          <w:rFonts w:ascii="Sylfaen" w:hAnsi="Sylfaen"/>
          <w:sz w:val="24"/>
          <w:szCs w:val="24"/>
        </w:rPr>
        <w:t xml:space="preserve"> </w:t>
      </w:r>
      <w:r w:rsidRPr="00825EEB">
        <w:rPr>
          <w:rFonts w:ascii="Sylfaen" w:hAnsi="Sylfaen"/>
          <w:b/>
          <w:sz w:val="24"/>
          <w:szCs w:val="24"/>
        </w:rPr>
        <w:t>տրիս(2-էթիլհեքսիլ)տրիմելլի-տատ.</w:t>
      </w:r>
    </w:p>
    <w:p w14:paraId="685D792E"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AA234B">
        <w:rPr>
          <w:rFonts w:ascii="Sylfaen" w:hAnsi="Sylfaen"/>
          <w:sz w:val="24"/>
          <w:szCs w:val="24"/>
        </w:rPr>
        <w:tab/>
      </w:r>
      <w:r w:rsidR="0058052E" w:rsidRPr="00825EEB">
        <w:rPr>
          <w:rFonts w:ascii="Sylfaen" w:hAnsi="Sylfaen"/>
          <w:sz w:val="24"/>
          <w:szCs w:val="24"/>
        </w:rPr>
        <w:t>1,2,4-բենզենտրիկարբոնաթթվի 1,2,4-տրիս(2-էթիլհեքսիլ) տրիկարբօքսիլատ եթեր:</w:t>
      </w:r>
    </w:p>
    <w:p w14:paraId="64FEBD9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Հավելանյութ 27։ </w:t>
      </w:r>
      <w:r w:rsidRPr="00825EEB">
        <w:rPr>
          <w:rFonts w:ascii="Sylfaen" w:hAnsi="Sylfaen"/>
          <w:sz w:val="24"/>
          <w:szCs w:val="24"/>
        </w:rPr>
        <w:t>С</w:t>
      </w:r>
      <w:r w:rsidRPr="00825EEB">
        <w:rPr>
          <w:rFonts w:ascii="Sylfaen" w:hAnsi="Sylfaen"/>
          <w:sz w:val="24"/>
          <w:szCs w:val="24"/>
          <w:vertAlign w:val="subscript"/>
        </w:rPr>
        <w:t>24</w:t>
      </w:r>
      <w:r w:rsidRPr="00825EEB">
        <w:rPr>
          <w:rFonts w:ascii="Sylfaen" w:hAnsi="Sylfaen"/>
          <w:sz w:val="24"/>
          <w:szCs w:val="24"/>
        </w:rPr>
        <w:t>Н</w:t>
      </w:r>
      <w:r w:rsidRPr="00825EEB">
        <w:rPr>
          <w:rFonts w:ascii="Sylfaen" w:hAnsi="Sylfaen"/>
          <w:sz w:val="24"/>
          <w:szCs w:val="24"/>
          <w:vertAlign w:val="subscript"/>
        </w:rPr>
        <w:t>38</w:t>
      </w:r>
      <w:r w:rsidRPr="00825EEB">
        <w:rPr>
          <w:rFonts w:ascii="Sylfaen" w:hAnsi="Sylfaen"/>
          <w:sz w:val="24"/>
          <w:szCs w:val="24"/>
        </w:rPr>
        <w:t>О</w:t>
      </w:r>
      <w:r w:rsidRPr="00825EEB">
        <w:rPr>
          <w:rFonts w:ascii="Sylfaen" w:hAnsi="Sylfaen"/>
          <w:sz w:val="24"/>
          <w:szCs w:val="24"/>
          <w:vertAlign w:val="subscript"/>
        </w:rPr>
        <w:t>4</w:t>
      </w:r>
      <w:r w:rsidRPr="00825EEB">
        <w:rPr>
          <w:rFonts w:ascii="Sylfaen" w:hAnsi="Sylfaen"/>
          <w:sz w:val="24"/>
          <w:szCs w:val="24"/>
        </w:rPr>
        <w:t>։ [6422-86-2]։</w:t>
      </w:r>
    </w:p>
    <w:p w14:paraId="1BBC2891" w14:textId="77777777" w:rsidR="0058052E" w:rsidRPr="00825EEB" w:rsidRDefault="00000000" w:rsidP="0058052E">
      <w:pPr>
        <w:pStyle w:val="a0"/>
        <w:shd w:val="clear" w:color="auto" w:fill="auto"/>
        <w:spacing w:after="160" w:line="360" w:lineRule="auto"/>
        <w:ind w:firstLine="567"/>
        <w:jc w:val="both"/>
        <w:rPr>
          <w:rFonts w:ascii="Sylfaen" w:hAnsi="Sylfaen" w:cs="Sylfaen"/>
          <w:sz w:val="24"/>
          <w:szCs w:val="24"/>
        </w:rPr>
      </w:pPr>
      <w:r>
        <w:rPr>
          <w:rFonts w:ascii="Sylfaen" w:hAnsi="Sylfaen" w:cs="Sylfaen"/>
          <w:noProof/>
          <w:sz w:val="24"/>
          <w:szCs w:val="24"/>
        </w:rPr>
        <w:pict w14:anchorId="7DCB7EED">
          <v:rect id="_x0000_s1416" style="position:absolute;left:0;text-align:left;margin-left:197.3pt;margin-top:59.15pt;width:1in;height:18pt;z-index:251964416" stroked="f">
            <v:textbox>
              <w:txbxContent>
                <w:p w14:paraId="639211E0" w14:textId="77777777" w:rsidR="008D6E8B" w:rsidRPr="00145350" w:rsidRDefault="008D6E8B" w:rsidP="0058052E">
                  <w:pPr>
                    <w:rPr>
                      <w:sz w:val="12"/>
                      <w:szCs w:val="12"/>
                    </w:rPr>
                  </w:pPr>
                  <w:r>
                    <w:rPr>
                      <w:sz w:val="12"/>
                    </w:rPr>
                    <w:t>և էնանտիոմեր</w:t>
                  </w:r>
                </w:p>
              </w:txbxContent>
            </v:textbox>
          </v:rect>
        </w:pict>
      </w:r>
      <w:r w:rsidR="0058052E" w:rsidRPr="00825EEB">
        <w:rPr>
          <w:rFonts w:ascii="Sylfaen" w:hAnsi="Sylfaen" w:cs="Sylfaen"/>
          <w:noProof/>
          <w:sz w:val="24"/>
          <w:szCs w:val="24"/>
          <w:lang w:val="en-US" w:eastAsia="en-US" w:bidi="ar-SA"/>
        </w:rPr>
        <w:drawing>
          <wp:inline distT="0" distB="0" distL="0" distR="0" wp14:anchorId="02D14AE7" wp14:editId="32333CB0">
            <wp:extent cx="3120069" cy="1115291"/>
            <wp:effectExtent l="19050" t="0" r="4131" b="0"/>
            <wp:docPr id="9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7" cstate="print"/>
                    <a:srcRect/>
                    <a:stretch>
                      <a:fillRect/>
                    </a:stretch>
                  </pic:blipFill>
                  <pic:spPr bwMode="auto">
                    <a:xfrm>
                      <a:off x="0" y="0"/>
                      <a:ext cx="3122471" cy="1116150"/>
                    </a:xfrm>
                    <a:prstGeom prst="rect">
                      <a:avLst/>
                    </a:prstGeom>
                    <a:noFill/>
                    <a:ln w="9525">
                      <a:noFill/>
                      <a:miter lim="800000"/>
                      <a:headEnd/>
                      <a:tailEnd/>
                    </a:ln>
                  </pic:spPr>
                </pic:pic>
              </a:graphicData>
            </a:graphic>
          </wp:inline>
        </w:drawing>
      </w:r>
    </w:p>
    <w:p w14:paraId="1C6D0CE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բիս[(2</w:t>
      </w:r>
      <w:r w:rsidRPr="00825EEB">
        <w:rPr>
          <w:rFonts w:ascii="Sylfaen" w:hAnsi="Sylfaen"/>
          <w:i/>
          <w:sz w:val="24"/>
          <w:szCs w:val="24"/>
        </w:rPr>
        <w:t>RS</w:t>
      </w:r>
      <w:r w:rsidRPr="00825EEB">
        <w:rPr>
          <w:rFonts w:ascii="Sylfaen" w:hAnsi="Sylfaen"/>
          <w:sz w:val="24"/>
          <w:szCs w:val="24"/>
        </w:rPr>
        <w:t xml:space="preserve">)-2-էթիլհեքսիլ]բենզոլ-1,4-դիկարբօքսիլատ </w:t>
      </w:r>
    </w:p>
    <w:p w14:paraId="1E95E08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հոմանիշները՝ </w:t>
      </w:r>
      <w:r w:rsidR="00AA234B">
        <w:rPr>
          <w:rFonts w:ascii="Sylfaen" w:hAnsi="Sylfaen"/>
          <w:b/>
          <w:sz w:val="24"/>
          <w:szCs w:val="24"/>
        </w:rPr>
        <w:t>-</w:t>
      </w:r>
      <w:r w:rsidRPr="00825EEB">
        <w:rPr>
          <w:rFonts w:ascii="Sylfaen" w:hAnsi="Sylfaen"/>
          <w:b/>
          <w:sz w:val="24"/>
          <w:szCs w:val="24"/>
        </w:rPr>
        <w:t xml:space="preserve"> բիս(2-էթիլհեքսիլ)տերեֆտալատ.</w:t>
      </w:r>
    </w:p>
    <w:p w14:paraId="76D35B4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Pr>
          <w:rFonts w:ascii="Sylfaen" w:hAnsi="Sylfaen"/>
          <w:sz w:val="24"/>
          <w:szCs w:val="24"/>
        </w:rPr>
        <w:tab/>
      </w:r>
      <w:r w:rsidR="0058052E" w:rsidRPr="00825EEB">
        <w:rPr>
          <w:rFonts w:ascii="Sylfaen" w:hAnsi="Sylfaen"/>
          <w:sz w:val="24"/>
          <w:szCs w:val="24"/>
        </w:rPr>
        <w:t>1,4-բենզոլդիկարբոնաթթու.</w:t>
      </w:r>
    </w:p>
    <w:p w14:paraId="2560C001"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Pr>
          <w:rFonts w:ascii="Sylfaen" w:hAnsi="Sylfaen"/>
          <w:sz w:val="24"/>
          <w:szCs w:val="24"/>
        </w:rPr>
        <w:tab/>
      </w:r>
      <w:r w:rsidR="0058052E" w:rsidRPr="00825EEB">
        <w:rPr>
          <w:rFonts w:ascii="Sylfaen" w:hAnsi="Sylfaen"/>
          <w:sz w:val="24"/>
          <w:szCs w:val="24"/>
        </w:rPr>
        <w:t>1,4-</w:t>
      </w:r>
      <w:r>
        <w:rPr>
          <w:rFonts w:ascii="Sylfaen" w:hAnsi="Sylfaen"/>
          <w:sz w:val="24"/>
          <w:szCs w:val="24"/>
        </w:rPr>
        <w:t>բ</w:t>
      </w:r>
      <w:r w:rsidR="0058052E" w:rsidRPr="00825EEB">
        <w:rPr>
          <w:rFonts w:ascii="Sylfaen" w:hAnsi="Sylfaen"/>
          <w:sz w:val="24"/>
          <w:szCs w:val="24"/>
        </w:rPr>
        <w:t>իս(2-էթիլհեքսիլի) եթեր:</w:t>
      </w:r>
    </w:p>
    <w:p w14:paraId="0BB2B5B7" w14:textId="77777777" w:rsidR="001827DA" w:rsidRDefault="001827DA">
      <w:pPr>
        <w:rPr>
          <w:rFonts w:eastAsia="Times New Roman" w:cs="Times New Roman"/>
          <w:b/>
          <w:color w:val="auto"/>
          <w:sz w:val="20"/>
        </w:rPr>
      </w:pPr>
      <w:r>
        <w:rPr>
          <w:b/>
        </w:rPr>
        <w:br w:type="page"/>
      </w:r>
    </w:p>
    <w:p w14:paraId="61F1EEAB" w14:textId="77777777" w:rsidR="0058052E" w:rsidRPr="00AA234B" w:rsidRDefault="0058052E" w:rsidP="00AA234B">
      <w:pPr>
        <w:pStyle w:val="a0"/>
        <w:shd w:val="clear" w:color="auto" w:fill="auto"/>
        <w:spacing w:after="160" w:line="360" w:lineRule="auto"/>
        <w:ind w:firstLine="567"/>
        <w:jc w:val="right"/>
        <w:rPr>
          <w:rFonts w:ascii="Sylfaen" w:hAnsi="Sylfaen"/>
          <w:b/>
          <w:szCs w:val="24"/>
        </w:rPr>
      </w:pPr>
      <w:r w:rsidRPr="00AA234B">
        <w:rPr>
          <w:rFonts w:ascii="Sylfaen" w:hAnsi="Sylfaen"/>
          <w:b/>
          <w:szCs w:val="24"/>
        </w:rPr>
        <w:lastRenderedPageBreak/>
        <w:t>204010011-2022</w:t>
      </w:r>
    </w:p>
    <w:p w14:paraId="195DF103" w14:textId="77777777" w:rsidR="00AA234B" w:rsidRPr="00AA234B" w:rsidRDefault="00AA234B" w:rsidP="00AA234B">
      <w:pPr>
        <w:pStyle w:val="a0"/>
        <w:shd w:val="clear" w:color="auto" w:fill="auto"/>
        <w:spacing w:after="160" w:line="360" w:lineRule="auto"/>
        <w:ind w:firstLine="567"/>
        <w:jc w:val="right"/>
        <w:rPr>
          <w:rFonts w:ascii="Sylfaen" w:hAnsi="Sylfaen" w:cs="Sylfaen"/>
          <w:szCs w:val="24"/>
        </w:rPr>
      </w:pPr>
    </w:p>
    <w:p w14:paraId="43F3C03B" w14:textId="77777777" w:rsidR="0058052E" w:rsidRPr="00825EEB" w:rsidRDefault="0058052E" w:rsidP="001827DA">
      <w:pPr>
        <w:pStyle w:val="a0"/>
        <w:shd w:val="clear" w:color="auto" w:fill="auto"/>
        <w:tabs>
          <w:tab w:val="left" w:pos="1701"/>
        </w:tabs>
        <w:spacing w:after="160" w:line="360" w:lineRule="auto"/>
        <w:ind w:firstLine="567"/>
        <w:jc w:val="both"/>
        <w:rPr>
          <w:rFonts w:ascii="Sylfaen" w:hAnsi="Sylfaen" w:cs="Sylfaen"/>
          <w:sz w:val="24"/>
          <w:szCs w:val="24"/>
        </w:rPr>
      </w:pPr>
      <w:r w:rsidRPr="00825EEB">
        <w:rPr>
          <w:rFonts w:ascii="Sylfaen" w:hAnsi="Sylfaen"/>
          <w:b/>
          <w:sz w:val="24"/>
          <w:szCs w:val="24"/>
        </w:rPr>
        <w:t>2.4.1.11.</w:t>
      </w:r>
      <w:r w:rsidR="00AA234B">
        <w:rPr>
          <w:rFonts w:ascii="Sylfaen" w:hAnsi="Sylfaen"/>
          <w:b/>
          <w:sz w:val="24"/>
          <w:szCs w:val="24"/>
        </w:rPr>
        <w:tab/>
      </w:r>
      <w:r w:rsidRPr="00825EEB">
        <w:rPr>
          <w:rFonts w:ascii="Sylfaen" w:hAnsi="Sylfaen"/>
          <w:b/>
          <w:sz w:val="24"/>
          <w:szCs w:val="24"/>
        </w:rPr>
        <w:t>Ներերակային ինֆուզիաների համար նախատեսված դեղապատրաստուկների ջրային լուծույթների փաթեթվածքների՝ պլաստիկացված պոլիվինիլքլորիդի հիմքով նյութեր</w:t>
      </w:r>
    </w:p>
    <w:p w14:paraId="79225D7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Պլաստիկացված պոլիվինիլքլորիդի հիմքով նյութերը պարունակում են վինիլքլորիդի պոլիմերացումից ստացված բարձր մոլեկուլային պոլիվինիլքլորիդի առնվազն 55% </w:t>
      </w:r>
      <w:r>
        <w:rPr>
          <w:rFonts w:ascii="Sylfaen" w:hAnsi="Sylfaen"/>
          <w:sz w:val="24"/>
          <w:szCs w:val="24"/>
        </w:rPr>
        <w:t>եւ</w:t>
      </w:r>
      <w:r w:rsidRPr="00825EEB">
        <w:rPr>
          <w:rFonts w:ascii="Sylfaen" w:hAnsi="Sylfaen"/>
          <w:sz w:val="24"/>
          <w:szCs w:val="24"/>
        </w:rPr>
        <w:t xml:space="preserve"> տարբեր հավելանյութեր:</w:t>
      </w:r>
    </w:p>
    <w:p w14:paraId="36697E3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Ներերակային ինֆուզիաների համար նախատեսված դեղապատրաստուկների ջրային լուծույթների փաթեթվածքների՝ պլաստիկացված պոլիվինիլքլորիդի հիմքով նյութերի հատկությունները որոշվում են դրանց կազմի մեջ մտնող բաղադրամասերի բնույթով </w:t>
      </w:r>
      <w:r>
        <w:rPr>
          <w:rFonts w:ascii="Sylfaen" w:hAnsi="Sylfaen"/>
          <w:sz w:val="24"/>
          <w:szCs w:val="24"/>
        </w:rPr>
        <w:t>եւ</w:t>
      </w:r>
      <w:r w:rsidRPr="00825EEB">
        <w:rPr>
          <w:rFonts w:ascii="Sylfaen" w:hAnsi="Sylfaen"/>
          <w:sz w:val="24"/>
          <w:szCs w:val="24"/>
        </w:rPr>
        <w:t xml:space="preserve"> հարաբերակցությամբ: </w:t>
      </w:r>
    </w:p>
    <w:p w14:paraId="081CF7D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5A5D2C2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ՏԵԽՆՈԼՈԳԻԱՅԻ ԱՌԱՆՁՆԱՀԱՏԿՈՒԹՅՈՒՆՆԵՐԸ</w:t>
      </w:r>
    </w:p>
    <w:p w14:paraId="4374AD3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Պլաստիկացված պոլիվինիլքլորիդի հիմքով նյութերն ստանում են պոլիմերացման մեթոդներով, որոնցով երաշխավորվում է վինիլքլորիդի 1 ppm-ից պակաս մնացորդային պարունակությունը:</w:t>
      </w:r>
    </w:p>
    <w:p w14:paraId="6E25DBE9"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b/>
          <w:sz w:val="24"/>
          <w:szCs w:val="24"/>
        </w:rPr>
        <w:t xml:space="preserve">Վինիլքլորիդ։ </w:t>
      </w:r>
      <w:r w:rsidRPr="00825EEB">
        <w:rPr>
          <w:rFonts w:ascii="Sylfaen" w:hAnsi="Sylfaen"/>
          <w:sz w:val="24"/>
          <w:szCs w:val="24"/>
        </w:rPr>
        <w:t>Որոշումն անցկացնում են շոգեֆազային գազային քրոմատագրման մեթոդով (</w:t>
      </w:r>
      <w:r w:rsidRPr="00825EEB">
        <w:rPr>
          <w:rFonts w:ascii="Sylfaen" w:hAnsi="Sylfaen"/>
          <w:i/>
          <w:sz w:val="24"/>
          <w:szCs w:val="24"/>
        </w:rPr>
        <w:t>2.1.2.27</w:t>
      </w:r>
      <w:r w:rsidRPr="00825EEB">
        <w:rPr>
          <w:rFonts w:ascii="Sylfaen" w:hAnsi="Sylfaen"/>
          <w:sz w:val="24"/>
          <w:szCs w:val="24"/>
        </w:rPr>
        <w:t>):</w:t>
      </w:r>
    </w:p>
    <w:p w14:paraId="3D727E0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Ներքին ստանդարտի լուծույթը։</w:t>
      </w:r>
      <w:r w:rsidRPr="00825EEB">
        <w:rPr>
          <w:rFonts w:ascii="Sylfaen" w:hAnsi="Sylfaen"/>
          <w:sz w:val="24"/>
          <w:szCs w:val="24"/>
        </w:rPr>
        <w:t xml:space="preserve"> </w:t>
      </w:r>
      <w:r w:rsidRPr="00825EEB">
        <w:rPr>
          <w:rFonts w:ascii="Sylfaen" w:hAnsi="Sylfaen"/>
          <w:i/>
          <w:sz w:val="24"/>
          <w:szCs w:val="24"/>
        </w:rPr>
        <w:t>Ռ եթերի</w:t>
      </w:r>
      <w:r w:rsidRPr="00825EEB">
        <w:rPr>
          <w:rFonts w:ascii="Sylfaen" w:hAnsi="Sylfaen"/>
          <w:sz w:val="24"/>
          <w:szCs w:val="24"/>
        </w:rPr>
        <w:t xml:space="preserve"> 10 մկլ-ն միկրոներարկիչով ներմուծում են </w:t>
      </w:r>
      <w:r w:rsidRPr="00825EEB">
        <w:rPr>
          <w:rFonts w:ascii="Sylfaen" w:hAnsi="Sylfaen"/>
          <w:i/>
          <w:sz w:val="24"/>
          <w:szCs w:val="24"/>
        </w:rPr>
        <w:t>Ռ դիմեթիլացետամիդի</w:t>
      </w:r>
      <w:r w:rsidRPr="00825EEB">
        <w:rPr>
          <w:rFonts w:ascii="Sylfaen" w:hAnsi="Sylfaen"/>
          <w:sz w:val="24"/>
          <w:szCs w:val="24"/>
        </w:rPr>
        <w:t xml:space="preserve"> 20 մլ-ի մեջ՝ ասեղի ծայրն ընկղմելով լուծիչի մեջ: Օգտագործելուց անմիջապես առաջ լուծույթը նոսրացնում են </w:t>
      </w:r>
      <w:r w:rsidRPr="00825EEB">
        <w:rPr>
          <w:rFonts w:ascii="Sylfaen" w:hAnsi="Sylfaen"/>
          <w:i/>
          <w:sz w:val="24"/>
          <w:szCs w:val="24"/>
        </w:rPr>
        <w:t>Ռ դիմեթիլացետամիդով՝</w:t>
      </w:r>
      <w:r w:rsidRPr="00825EEB">
        <w:rPr>
          <w:rFonts w:ascii="Sylfaen" w:hAnsi="Sylfaen"/>
          <w:sz w:val="24"/>
          <w:szCs w:val="24"/>
        </w:rPr>
        <w:t xml:space="preserve"> 1000 անգամ:</w:t>
      </w:r>
    </w:p>
    <w:p w14:paraId="6C5A44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Նյութի փորձարկվող նմուշի 1,000 գ տեղադրում են 50</w:t>
      </w:r>
      <w:r w:rsidR="00AA234B">
        <w:rPr>
          <w:rFonts w:ascii="Sylfaen" w:hAnsi="Sylfaen"/>
          <w:sz w:val="24"/>
          <w:szCs w:val="24"/>
        </w:rPr>
        <w:t> </w:t>
      </w:r>
      <w:r w:rsidRPr="00825EEB">
        <w:rPr>
          <w:rFonts w:ascii="Sylfaen" w:hAnsi="Sylfaen"/>
          <w:sz w:val="24"/>
          <w:szCs w:val="24"/>
        </w:rPr>
        <w:t xml:space="preserve">մլ տարողությամբ սրվակի մեջ </w:t>
      </w:r>
      <w:r>
        <w:rPr>
          <w:rFonts w:ascii="Sylfaen" w:hAnsi="Sylfaen"/>
          <w:sz w:val="24"/>
          <w:szCs w:val="24"/>
        </w:rPr>
        <w:t>եւ</w:t>
      </w:r>
      <w:r w:rsidRPr="00825EEB">
        <w:rPr>
          <w:rFonts w:ascii="Sylfaen" w:hAnsi="Sylfaen"/>
          <w:sz w:val="24"/>
          <w:szCs w:val="24"/>
        </w:rPr>
        <w:t xml:space="preserve"> ավելացնում են ներքին ստանդարտի լուծույթի 10,0 մլ: Սրվակը հերմետիկորեն փակում են խցանով, թափահարում՝ </w:t>
      </w:r>
      <w:r w:rsidRPr="00825EEB">
        <w:rPr>
          <w:rFonts w:ascii="Sylfaen" w:hAnsi="Sylfaen"/>
          <w:sz w:val="24"/>
          <w:szCs w:val="24"/>
        </w:rPr>
        <w:lastRenderedPageBreak/>
        <w:t xml:space="preserve">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մեջ (60 ±1) °C ջերմաստիճանի տակ </w:t>
      </w:r>
      <w:r>
        <w:rPr>
          <w:rFonts w:ascii="Sylfaen" w:hAnsi="Sylfaen"/>
          <w:sz w:val="24"/>
          <w:szCs w:val="24"/>
        </w:rPr>
        <w:t>եւ</w:t>
      </w:r>
      <w:r w:rsidRPr="00825EEB">
        <w:rPr>
          <w:rFonts w:ascii="Sylfaen" w:hAnsi="Sylfaen"/>
          <w:sz w:val="24"/>
          <w:szCs w:val="24"/>
        </w:rPr>
        <w:t xml:space="preserve"> պահում 2 ժամ:</w:t>
      </w:r>
    </w:p>
    <w:p w14:paraId="5DFC7700" w14:textId="77777777" w:rsidR="0058052E" w:rsidRPr="00825EEB" w:rsidRDefault="0058052E" w:rsidP="0058052E">
      <w:pPr>
        <w:spacing w:after="160" w:line="360" w:lineRule="auto"/>
        <w:ind w:firstLine="567"/>
        <w:jc w:val="both"/>
      </w:pPr>
      <w:r w:rsidRPr="00825EEB">
        <w:rPr>
          <w:i/>
        </w:rPr>
        <w:t>Վինիլքլորիդի հիմնական լուծույթը։ Պատրաստում են օդաքաշ պահարանում:</w:t>
      </w:r>
    </w:p>
    <w:p w14:paraId="396E1A3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Ռ դիմեթիլացետամիդի</w:t>
      </w:r>
      <w:r w:rsidRPr="00825EEB">
        <w:rPr>
          <w:rFonts w:ascii="Sylfaen" w:hAnsi="Sylfaen"/>
          <w:sz w:val="24"/>
          <w:szCs w:val="24"/>
        </w:rPr>
        <w:t xml:space="preserve"> 50,0 մլ-ը տեղադրում են 50 մլ տարողությամբ սրվակի մեջ, հերմետիկորեն փակում են խցանով </w:t>
      </w:r>
      <w:r>
        <w:rPr>
          <w:rFonts w:ascii="Sylfaen" w:hAnsi="Sylfaen"/>
          <w:sz w:val="24"/>
          <w:szCs w:val="24"/>
        </w:rPr>
        <w:t>եւ</w:t>
      </w:r>
      <w:r w:rsidRPr="00825EEB">
        <w:rPr>
          <w:rFonts w:ascii="Sylfaen" w:hAnsi="Sylfaen"/>
          <w:sz w:val="24"/>
          <w:szCs w:val="24"/>
        </w:rPr>
        <w:t xml:space="preserve"> կշռում մինչ</w:t>
      </w:r>
      <w:r>
        <w:rPr>
          <w:rFonts w:ascii="Sylfaen" w:hAnsi="Sylfaen"/>
          <w:sz w:val="24"/>
          <w:szCs w:val="24"/>
        </w:rPr>
        <w:t>եւ</w:t>
      </w:r>
      <w:r w:rsidRPr="00825EEB">
        <w:rPr>
          <w:rFonts w:ascii="Sylfaen" w:hAnsi="Sylfaen"/>
          <w:sz w:val="24"/>
          <w:szCs w:val="24"/>
        </w:rPr>
        <w:t xml:space="preserve"> 0,1 մգ ճշգրտությամբ: 50</w:t>
      </w:r>
      <w:r w:rsidR="00AA234B">
        <w:rPr>
          <w:rFonts w:ascii="Sylfaen" w:hAnsi="Sylfaen"/>
          <w:sz w:val="24"/>
          <w:szCs w:val="24"/>
        </w:rPr>
        <w:t> </w:t>
      </w:r>
      <w:r w:rsidRPr="00825EEB">
        <w:rPr>
          <w:rFonts w:ascii="Sylfaen" w:hAnsi="Sylfaen"/>
          <w:sz w:val="24"/>
          <w:szCs w:val="24"/>
        </w:rPr>
        <w:t xml:space="preserve">մլ տարողությամբ պոլիէթիլենային կամ պոլիպրոպիլենային ներարկիչը լցավորում են գազակերպ </w:t>
      </w:r>
      <w:r w:rsidRPr="00825EEB">
        <w:rPr>
          <w:rFonts w:ascii="Sylfaen" w:hAnsi="Sylfaen"/>
          <w:i/>
          <w:sz w:val="24"/>
          <w:szCs w:val="24"/>
        </w:rPr>
        <w:t>Ռ վինիլքլորիդով</w:t>
      </w:r>
      <w:r w:rsidRPr="00825EEB">
        <w:rPr>
          <w:rFonts w:ascii="Sylfaen" w:hAnsi="Sylfaen"/>
          <w:sz w:val="24"/>
          <w:szCs w:val="24"/>
        </w:rPr>
        <w:t>, գազը թողնում են ներարկիչի հետ շփման մեջ մոտ 3 րոպե, այնուհետ</w:t>
      </w:r>
      <w:r>
        <w:rPr>
          <w:rFonts w:ascii="Sylfaen" w:hAnsi="Sylfaen"/>
          <w:sz w:val="24"/>
          <w:szCs w:val="24"/>
        </w:rPr>
        <w:t>եւ</w:t>
      </w:r>
      <w:r w:rsidRPr="00825EEB">
        <w:rPr>
          <w:rFonts w:ascii="Sylfaen" w:hAnsi="Sylfaen"/>
          <w:sz w:val="24"/>
          <w:szCs w:val="24"/>
        </w:rPr>
        <w:t xml:space="preserve"> գազը հեռացնում են </w:t>
      </w:r>
      <w:r>
        <w:rPr>
          <w:rFonts w:ascii="Sylfaen" w:hAnsi="Sylfaen"/>
          <w:sz w:val="24"/>
          <w:szCs w:val="24"/>
        </w:rPr>
        <w:t>եւ</w:t>
      </w:r>
      <w:r w:rsidRPr="00825EEB">
        <w:rPr>
          <w:rFonts w:ascii="Sylfaen" w:hAnsi="Sylfaen"/>
          <w:sz w:val="24"/>
          <w:szCs w:val="24"/>
        </w:rPr>
        <w:t xml:space="preserve"> ներարկիչը կրկին լցավորում են գազակերպ </w:t>
      </w:r>
      <w:r w:rsidRPr="00825EEB">
        <w:rPr>
          <w:rFonts w:ascii="Sylfaen" w:hAnsi="Sylfaen"/>
          <w:i/>
          <w:sz w:val="24"/>
          <w:szCs w:val="24"/>
        </w:rPr>
        <w:t>Ռ վինիլքլորիդի</w:t>
      </w:r>
      <w:r w:rsidRPr="00825EEB">
        <w:rPr>
          <w:rFonts w:ascii="Sylfaen" w:hAnsi="Sylfaen"/>
          <w:sz w:val="24"/>
          <w:szCs w:val="24"/>
        </w:rPr>
        <w:t xml:space="preserve"> 50 մլ-ով: Ներարկիչին ամրացնում են հիպոդերմալ ասեղը </w:t>
      </w:r>
      <w:r>
        <w:rPr>
          <w:rFonts w:ascii="Sylfaen" w:hAnsi="Sylfaen"/>
          <w:sz w:val="24"/>
          <w:szCs w:val="24"/>
        </w:rPr>
        <w:t>եւ</w:t>
      </w:r>
      <w:r w:rsidRPr="00825EEB">
        <w:rPr>
          <w:rFonts w:ascii="Sylfaen" w:hAnsi="Sylfaen"/>
          <w:sz w:val="24"/>
          <w:szCs w:val="24"/>
        </w:rPr>
        <w:t xml:space="preserve"> ներարկիչի մեջ եղած գազի ծավալն իջեցնում 50 մլ-ից մինչ</w:t>
      </w:r>
      <w:r>
        <w:rPr>
          <w:rFonts w:ascii="Sylfaen" w:hAnsi="Sylfaen"/>
          <w:sz w:val="24"/>
          <w:szCs w:val="24"/>
        </w:rPr>
        <w:t>եւ</w:t>
      </w:r>
      <w:r w:rsidRPr="00825EEB">
        <w:rPr>
          <w:rFonts w:ascii="Sylfaen" w:hAnsi="Sylfaen"/>
          <w:sz w:val="24"/>
          <w:szCs w:val="24"/>
        </w:rPr>
        <w:t xml:space="preserve"> 25 մլ-ը: Վինիլքլորիդի մնացած 25 մլ-ը դանդաղ ներմուծում են սրվակի մեջ՝ զգուշորեն թափահարելով </w:t>
      </w:r>
      <w:r>
        <w:rPr>
          <w:rFonts w:ascii="Sylfaen" w:hAnsi="Sylfaen"/>
          <w:sz w:val="24"/>
          <w:szCs w:val="24"/>
        </w:rPr>
        <w:t>եւ</w:t>
      </w:r>
      <w:r w:rsidRPr="00825EEB">
        <w:rPr>
          <w:rFonts w:ascii="Sylfaen" w:hAnsi="Sylfaen"/>
          <w:sz w:val="24"/>
          <w:szCs w:val="24"/>
        </w:rPr>
        <w:t xml:space="preserve"> խուսափելով հեղուկի </w:t>
      </w:r>
      <w:r>
        <w:rPr>
          <w:rFonts w:ascii="Sylfaen" w:hAnsi="Sylfaen"/>
          <w:sz w:val="24"/>
          <w:szCs w:val="24"/>
        </w:rPr>
        <w:t>եւ</w:t>
      </w:r>
      <w:r w:rsidRPr="00825EEB">
        <w:rPr>
          <w:rFonts w:ascii="Sylfaen" w:hAnsi="Sylfaen"/>
          <w:sz w:val="24"/>
          <w:szCs w:val="24"/>
        </w:rPr>
        <w:t xml:space="preserve"> ասեղի միջեւ շփումից: Սրվակը կրկին կշռում են: Զանգվածի ավելացումը պետք է լինի մոտ 60 մգ (ստացված լուծույթի 1 մկլ-ն պարունակում է մոտ 1,2 մկգ վինիլքլորիդ): Թողնում</w:t>
      </w:r>
      <w:r w:rsidR="00AA234B">
        <w:rPr>
          <w:rFonts w:ascii="Sylfaen" w:hAnsi="Sylfaen"/>
          <w:sz w:val="24"/>
          <w:szCs w:val="24"/>
        </w:rPr>
        <w:t> </w:t>
      </w:r>
      <w:r w:rsidRPr="00825EEB">
        <w:rPr>
          <w:rFonts w:ascii="Sylfaen" w:hAnsi="Sylfaen"/>
          <w:sz w:val="24"/>
          <w:szCs w:val="24"/>
        </w:rPr>
        <w:t>են 2 ժամ: Հիմնական լուծույթը պահում են սառնարանում:</w:t>
      </w:r>
    </w:p>
    <w:p w14:paraId="4FF1447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Վինիլքլորիդի ստանդարտ լուծույթը։</w:t>
      </w:r>
      <w:r w:rsidRPr="00825EEB">
        <w:rPr>
          <w:rFonts w:ascii="Sylfaen" w:hAnsi="Sylfaen"/>
          <w:sz w:val="24"/>
          <w:szCs w:val="24"/>
        </w:rPr>
        <w:t xml:space="preserve"> Վինիլքլորիդի հիմնական լուծույթը </w:t>
      </w:r>
      <w:r w:rsidRPr="00825EEB">
        <w:rPr>
          <w:rFonts w:ascii="Sylfaen" w:hAnsi="Sylfaen"/>
          <w:i/>
          <w:sz w:val="24"/>
          <w:szCs w:val="24"/>
        </w:rPr>
        <w:t>Ռ դիմեթիլացետամիդն է</w:t>
      </w:r>
      <w:r w:rsidRPr="00825EEB">
        <w:rPr>
          <w:rFonts w:ascii="Sylfaen" w:hAnsi="Sylfaen"/>
          <w:sz w:val="24"/>
          <w:szCs w:val="24"/>
        </w:rPr>
        <w:t xml:space="preserve"> (1:3 </w:t>
      </w:r>
      <w:r w:rsidRPr="00825EEB">
        <w:rPr>
          <w:rFonts w:ascii="Sylfaen" w:hAnsi="Sylfaen"/>
          <w:i/>
          <w:sz w:val="24"/>
          <w:szCs w:val="24"/>
        </w:rPr>
        <w:t>ծավ/ծավ</w:t>
      </w:r>
      <w:r w:rsidRPr="00825EEB">
        <w:rPr>
          <w:rFonts w:ascii="Sylfaen" w:hAnsi="Sylfaen"/>
          <w:sz w:val="24"/>
          <w:szCs w:val="24"/>
        </w:rPr>
        <w:t>):</w:t>
      </w:r>
    </w:p>
    <w:p w14:paraId="75DC6CC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Ներքին ստանդարտի լուծույթի 10-ական մլ տեղադրում են 50 մլ տարողությամբ վեց սրվակների մեջ: Սրվակները հերմետիկորեն փակում են խցաններով: Հինգ սրվակների մեջ միկրոներարկիչի օգնությամբ ներմուծում են վինիլքլորիդի ստանդարտ լուծույթի համապատասխանաբար 1 մկլ, 2 մկլ, 3 մկլ, 5 մկլ </w:t>
      </w:r>
      <w:r>
        <w:rPr>
          <w:rFonts w:ascii="Sylfaen" w:hAnsi="Sylfaen"/>
          <w:sz w:val="24"/>
          <w:szCs w:val="24"/>
        </w:rPr>
        <w:t>եւ</w:t>
      </w:r>
      <w:r w:rsidRPr="00825EEB">
        <w:rPr>
          <w:rFonts w:ascii="Sylfaen" w:hAnsi="Sylfaen"/>
          <w:sz w:val="24"/>
          <w:szCs w:val="24"/>
        </w:rPr>
        <w:t xml:space="preserve"> 10 մկլ: Այդ եղանակով ստացված վեց լուծույթները պարունակում են վինիլքլորիդի համապատասխանաբար 0 մկգ, 0,3 մկգ, 0,6 մկգ, 0,9 մկգ, 1,5 մկգ </w:t>
      </w:r>
      <w:r>
        <w:rPr>
          <w:rFonts w:ascii="Sylfaen" w:hAnsi="Sylfaen"/>
          <w:sz w:val="24"/>
          <w:szCs w:val="24"/>
        </w:rPr>
        <w:t>եւ</w:t>
      </w:r>
      <w:r w:rsidRPr="00825EEB">
        <w:rPr>
          <w:rFonts w:ascii="Sylfaen" w:hAnsi="Sylfaen"/>
          <w:sz w:val="24"/>
          <w:szCs w:val="24"/>
        </w:rPr>
        <w:t xml:space="preserve"> 3 մկգ: Սրվակները թափահարում են՝ խուսափելով խցանի </w:t>
      </w:r>
      <w:r>
        <w:rPr>
          <w:rFonts w:ascii="Sylfaen" w:hAnsi="Sylfaen"/>
          <w:sz w:val="24"/>
          <w:szCs w:val="24"/>
        </w:rPr>
        <w:t>եւ</w:t>
      </w:r>
      <w:r w:rsidRPr="00825EEB">
        <w:rPr>
          <w:rFonts w:ascii="Sylfaen" w:hAnsi="Sylfaen"/>
          <w:sz w:val="24"/>
          <w:szCs w:val="24"/>
        </w:rPr>
        <w:t xml:space="preserve"> հեղուկի միջ</w:t>
      </w:r>
      <w:r>
        <w:rPr>
          <w:rFonts w:ascii="Sylfaen" w:hAnsi="Sylfaen"/>
          <w:sz w:val="24"/>
          <w:szCs w:val="24"/>
        </w:rPr>
        <w:t>եւ</w:t>
      </w:r>
      <w:r w:rsidRPr="00825EEB">
        <w:rPr>
          <w:rFonts w:ascii="Sylfaen" w:hAnsi="Sylfaen"/>
          <w:sz w:val="24"/>
          <w:szCs w:val="24"/>
        </w:rPr>
        <w:t xml:space="preserve"> շփումից, տեղադրում են ջրային բաղնիքի վրա (60 ±1) °C ջերմաստիճանի տակ </w:t>
      </w:r>
      <w:r>
        <w:rPr>
          <w:rFonts w:ascii="Sylfaen" w:hAnsi="Sylfaen"/>
          <w:sz w:val="24"/>
          <w:szCs w:val="24"/>
        </w:rPr>
        <w:t>եւ</w:t>
      </w:r>
      <w:r w:rsidRPr="00825EEB">
        <w:rPr>
          <w:rFonts w:ascii="Sylfaen" w:hAnsi="Sylfaen"/>
          <w:sz w:val="24"/>
          <w:szCs w:val="24"/>
        </w:rPr>
        <w:t xml:space="preserve"> պահում 2 ժամ:</w:t>
      </w:r>
    </w:p>
    <w:p w14:paraId="24472A6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Քրոմատագրման պայմանները՝</w:t>
      </w:r>
    </w:p>
    <w:p w14:paraId="593265CB"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w:t>
      </w:r>
      <w:r>
        <w:rPr>
          <w:rFonts w:ascii="Sylfaen" w:hAnsi="Sylfaen"/>
          <w:sz w:val="24"/>
          <w:szCs w:val="24"/>
        </w:rPr>
        <w:tab/>
      </w:r>
      <w:r w:rsidR="0058052E" w:rsidRPr="00825EEB">
        <w:rPr>
          <w:rFonts w:ascii="Sylfaen" w:hAnsi="Sylfaen"/>
          <w:sz w:val="24"/>
          <w:szCs w:val="24"/>
        </w:rPr>
        <w:t xml:space="preserve">չժանգոտող պողպատից, 3 մ երկարությամբ </w:t>
      </w:r>
      <w:r w:rsidR="0058052E">
        <w:rPr>
          <w:rFonts w:ascii="Sylfaen" w:hAnsi="Sylfaen"/>
          <w:sz w:val="24"/>
          <w:szCs w:val="24"/>
        </w:rPr>
        <w:t>եւ</w:t>
      </w:r>
      <w:r w:rsidR="0058052E" w:rsidRPr="00825EEB">
        <w:rPr>
          <w:rFonts w:ascii="Sylfaen" w:hAnsi="Sylfaen"/>
          <w:sz w:val="24"/>
          <w:szCs w:val="24"/>
        </w:rPr>
        <w:t xml:space="preserve"> 3 մմ ներքին տրամագծով </w:t>
      </w:r>
      <w:r w:rsidR="0058052E" w:rsidRPr="00825EEB">
        <w:rPr>
          <w:rFonts w:ascii="Sylfaen" w:hAnsi="Sylfaen"/>
          <w:i/>
          <w:sz w:val="24"/>
          <w:szCs w:val="24"/>
        </w:rPr>
        <w:t>աշտարակ</w:t>
      </w:r>
      <w:r w:rsidR="0058052E" w:rsidRPr="00825EEB">
        <w:rPr>
          <w:rFonts w:ascii="Sylfaen" w:hAnsi="Sylfaen"/>
          <w:sz w:val="24"/>
          <w:szCs w:val="24"/>
        </w:rPr>
        <w:t xml:space="preserve">, որը լցված է </w:t>
      </w:r>
      <w:r w:rsidR="0058052E" w:rsidRPr="00825EEB">
        <w:rPr>
          <w:rFonts w:ascii="Sylfaen" w:hAnsi="Sylfaen"/>
          <w:i/>
          <w:sz w:val="24"/>
          <w:szCs w:val="24"/>
        </w:rPr>
        <w:t>Ռ գազային քրոմատագրման համար սիլանիզացված դիատոմիտով</w:t>
      </w:r>
      <w:r w:rsidR="0058052E" w:rsidRPr="00825EEB">
        <w:rPr>
          <w:rFonts w:ascii="Sylfaen" w:hAnsi="Sylfaen"/>
          <w:sz w:val="24"/>
          <w:szCs w:val="24"/>
        </w:rPr>
        <w:t xml:space="preserve"> եւ իմպրեգնացված 5 % (</w:t>
      </w:r>
      <w:r w:rsidR="0058052E" w:rsidRPr="00825EEB">
        <w:rPr>
          <w:rFonts w:ascii="Sylfaen" w:hAnsi="Sylfaen"/>
          <w:i/>
          <w:sz w:val="24"/>
          <w:szCs w:val="24"/>
        </w:rPr>
        <w:t>զ/զ</w:t>
      </w:r>
      <w:r w:rsidR="0058052E" w:rsidRPr="00825EEB">
        <w:rPr>
          <w:rFonts w:ascii="Sylfaen" w:hAnsi="Sylfaen"/>
          <w:sz w:val="24"/>
          <w:szCs w:val="24"/>
        </w:rPr>
        <w:t xml:space="preserve">) </w:t>
      </w:r>
      <w:r w:rsidR="0058052E" w:rsidRPr="00825EEB">
        <w:rPr>
          <w:rFonts w:ascii="Sylfaen" w:hAnsi="Sylfaen"/>
          <w:i/>
          <w:sz w:val="24"/>
          <w:szCs w:val="24"/>
        </w:rPr>
        <w:t>Ռ դիմեթիլստեարիլամիդով</w:t>
      </w:r>
      <w:r w:rsidR="0058052E" w:rsidRPr="00825EEB">
        <w:rPr>
          <w:rFonts w:ascii="Sylfaen" w:hAnsi="Sylfaen"/>
          <w:sz w:val="24"/>
          <w:szCs w:val="24"/>
        </w:rPr>
        <w:t xml:space="preserve"> </w:t>
      </w:r>
      <w:r w:rsidR="0058052E">
        <w:rPr>
          <w:rFonts w:ascii="Sylfaen" w:hAnsi="Sylfaen"/>
          <w:sz w:val="24"/>
          <w:szCs w:val="24"/>
        </w:rPr>
        <w:t>եւ</w:t>
      </w:r>
      <w:r w:rsidR="0058052E" w:rsidRPr="00825EEB">
        <w:rPr>
          <w:rFonts w:ascii="Sylfaen" w:hAnsi="Sylfaen"/>
          <w:sz w:val="24"/>
          <w:szCs w:val="24"/>
        </w:rPr>
        <w:t xml:space="preserve"> 5 % (</w:t>
      </w:r>
      <w:r w:rsidR="0058052E" w:rsidRPr="00825EEB">
        <w:rPr>
          <w:rFonts w:ascii="Sylfaen" w:hAnsi="Sylfaen"/>
          <w:i/>
          <w:sz w:val="24"/>
          <w:szCs w:val="24"/>
        </w:rPr>
        <w:t>զ/զ</w:t>
      </w:r>
      <w:r w:rsidR="0058052E" w:rsidRPr="00825EEB">
        <w:rPr>
          <w:rFonts w:ascii="Sylfaen" w:hAnsi="Sylfaen"/>
          <w:sz w:val="24"/>
          <w:szCs w:val="24"/>
        </w:rPr>
        <w:t xml:space="preserve">) </w:t>
      </w:r>
      <w:r w:rsidR="0058052E" w:rsidRPr="00825EEB">
        <w:rPr>
          <w:rFonts w:ascii="Sylfaen" w:hAnsi="Sylfaen"/>
          <w:i/>
          <w:sz w:val="24"/>
          <w:szCs w:val="24"/>
        </w:rPr>
        <w:t>Ռ 400 մակրոգոլով</w:t>
      </w:r>
      <w:r w:rsidR="0058052E" w:rsidRPr="00825EEB">
        <w:rPr>
          <w:rFonts w:ascii="Sylfaen" w:hAnsi="Sylfaen"/>
          <w:sz w:val="24"/>
          <w:szCs w:val="24"/>
        </w:rPr>
        <w:t>.</w:t>
      </w:r>
    </w:p>
    <w:p w14:paraId="7D77F54F"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կրող գազը՝ Ռ քրոմատագրման համար ազոտ.</w:t>
      </w:r>
    </w:p>
    <w:p w14:paraId="7E0ACC5C"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կրող գազի արագությունը՝</w:t>
      </w:r>
      <w:r w:rsidR="0058052E" w:rsidRPr="00825EEB">
        <w:rPr>
          <w:rFonts w:ascii="Sylfaen" w:hAnsi="Sylfaen"/>
          <w:sz w:val="24"/>
          <w:szCs w:val="24"/>
        </w:rPr>
        <w:t xml:space="preserve"> 30 մլ/րոպե.</w:t>
      </w:r>
    </w:p>
    <w:p w14:paraId="7F4EDE94"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ջերմաստիճանը՝</w:t>
      </w:r>
    </w:p>
    <w:p w14:paraId="0FBDC90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աշտարակը՝</w:t>
      </w:r>
      <w:r w:rsidR="0058052E" w:rsidRPr="00825EEB">
        <w:rPr>
          <w:rFonts w:ascii="Sylfaen" w:hAnsi="Sylfaen"/>
          <w:sz w:val="24"/>
          <w:szCs w:val="24"/>
        </w:rPr>
        <w:t xml:space="preserve"> </w:t>
      </w:r>
      <w:smartTag w:uri="urn:schemas-microsoft-com:office:smarttags" w:element="metricconverter">
        <w:smartTagPr>
          <w:attr w:name="ProductID" w:val="45 °C"/>
        </w:smartTagPr>
        <w:r w:rsidR="0058052E" w:rsidRPr="00825EEB">
          <w:rPr>
            <w:rFonts w:ascii="Sylfaen" w:hAnsi="Sylfaen"/>
            <w:sz w:val="24"/>
            <w:szCs w:val="24"/>
          </w:rPr>
          <w:t>45 °C</w:t>
        </w:r>
      </w:smartTag>
      <w:r w:rsidR="0058052E" w:rsidRPr="00825EEB">
        <w:rPr>
          <w:rFonts w:ascii="Sylfaen" w:hAnsi="Sylfaen"/>
          <w:sz w:val="24"/>
          <w:szCs w:val="24"/>
        </w:rPr>
        <w:t>.</w:t>
      </w:r>
    </w:p>
    <w:p w14:paraId="7ED5F5B8"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փորձանմուշների ներմուծման բլոկը՝</w:t>
      </w:r>
      <w:r w:rsidR="0058052E" w:rsidRPr="00825EEB">
        <w:rPr>
          <w:rFonts w:ascii="Sylfaen" w:hAnsi="Sylfaen"/>
          <w:sz w:val="24"/>
          <w:szCs w:val="24"/>
        </w:rPr>
        <w:t xml:space="preserve"> </w:t>
      </w:r>
      <w:smartTag w:uri="urn:schemas-microsoft-com:office:smarttags" w:element="metricconverter">
        <w:smartTagPr>
          <w:attr w:name="ProductID" w:val="100 °C"/>
        </w:smartTagPr>
        <w:r w:rsidR="0058052E" w:rsidRPr="00825EEB">
          <w:rPr>
            <w:rFonts w:ascii="Sylfaen" w:hAnsi="Sylfaen"/>
            <w:sz w:val="24"/>
            <w:szCs w:val="24"/>
          </w:rPr>
          <w:t>100 °C</w:t>
        </w:r>
      </w:smartTag>
      <w:r w:rsidR="0058052E" w:rsidRPr="00825EEB">
        <w:rPr>
          <w:rFonts w:ascii="Sylfaen" w:hAnsi="Sylfaen"/>
          <w:sz w:val="24"/>
          <w:szCs w:val="24"/>
        </w:rPr>
        <w:t xml:space="preserve">. </w:t>
      </w:r>
    </w:p>
    <w:p w14:paraId="71408E6C"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Pr>
          <w:rFonts w:ascii="Sylfaen" w:hAnsi="Sylfaen"/>
          <w:i/>
          <w:sz w:val="24"/>
          <w:szCs w:val="24"/>
        </w:rPr>
        <w:tab/>
      </w:r>
      <w:r w:rsidR="0058052E" w:rsidRPr="00825EEB">
        <w:rPr>
          <w:rFonts w:ascii="Sylfaen" w:hAnsi="Sylfaen"/>
          <w:i/>
          <w:sz w:val="24"/>
          <w:szCs w:val="24"/>
        </w:rPr>
        <w:t>դետեկտորը՝</w:t>
      </w:r>
      <w:r w:rsidR="0058052E" w:rsidRPr="00825EEB">
        <w:rPr>
          <w:rFonts w:ascii="Sylfaen" w:hAnsi="Sylfaen"/>
          <w:sz w:val="24"/>
          <w:szCs w:val="24"/>
        </w:rPr>
        <w:t xml:space="preserve"> </w:t>
      </w:r>
      <w:smartTag w:uri="urn:schemas-microsoft-com:office:smarttags" w:element="metricconverter">
        <w:smartTagPr>
          <w:attr w:name="ProductID" w:val="150 °C"/>
        </w:smartTagPr>
        <w:r w:rsidR="0058052E" w:rsidRPr="00825EEB">
          <w:rPr>
            <w:rFonts w:ascii="Sylfaen" w:hAnsi="Sylfaen"/>
            <w:sz w:val="24"/>
            <w:szCs w:val="24"/>
          </w:rPr>
          <w:t>150 °C</w:t>
        </w:r>
      </w:smartTag>
      <w:r w:rsidR="0058052E" w:rsidRPr="00825EEB">
        <w:rPr>
          <w:rFonts w:ascii="Sylfaen" w:hAnsi="Sylfaen"/>
          <w:sz w:val="24"/>
          <w:szCs w:val="24"/>
        </w:rPr>
        <w:t>.</w:t>
      </w:r>
    </w:p>
    <w:p w14:paraId="54A4CBBB" w14:textId="77777777" w:rsidR="0058052E" w:rsidRPr="00825EEB" w:rsidRDefault="00AA234B" w:rsidP="00AA234B">
      <w:pPr>
        <w:tabs>
          <w:tab w:val="left" w:pos="1134"/>
        </w:tabs>
        <w:spacing w:after="160" w:line="360" w:lineRule="auto"/>
        <w:ind w:firstLine="567"/>
        <w:jc w:val="both"/>
      </w:pPr>
      <w:r>
        <w:rPr>
          <w:i/>
        </w:rPr>
        <w:t>-</w:t>
      </w:r>
      <w:r>
        <w:rPr>
          <w:i/>
        </w:rPr>
        <w:tab/>
      </w:r>
      <w:r w:rsidR="0058052E" w:rsidRPr="00825EEB">
        <w:rPr>
          <w:i/>
        </w:rPr>
        <w:t>դետեկտորը՝</w:t>
      </w:r>
      <w:r w:rsidR="0058052E" w:rsidRPr="00825EEB">
        <w:t xml:space="preserve"> բոցաիոնացման.</w:t>
      </w:r>
    </w:p>
    <w:p w14:paraId="5128A092" w14:textId="77777777" w:rsidR="0058052E" w:rsidRPr="00825EEB" w:rsidRDefault="0058052E" w:rsidP="00AA234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AA234B">
        <w:rPr>
          <w:rFonts w:ascii="Sylfaen" w:hAnsi="Sylfaen"/>
          <w:sz w:val="24"/>
          <w:szCs w:val="24"/>
        </w:rPr>
        <w:tab/>
      </w:r>
      <w:r w:rsidRPr="00825EEB">
        <w:rPr>
          <w:rFonts w:ascii="Sylfaen" w:hAnsi="Sylfaen"/>
          <w:i/>
          <w:sz w:val="24"/>
          <w:szCs w:val="24"/>
        </w:rPr>
        <w:t>ներմուծվող փորձանմուշի ծավալը՝</w:t>
      </w:r>
      <w:r w:rsidRPr="00825EEB">
        <w:rPr>
          <w:rFonts w:ascii="Sylfaen" w:hAnsi="Sylfaen"/>
          <w:sz w:val="24"/>
          <w:szCs w:val="24"/>
        </w:rPr>
        <w:t xml:space="preserve"> յուրաքանչյուր սրվակի գազային ֆազի 1 մլ (ներմուծումը՝ անմիջապես աշտարակի սկզբնամասում):</w:t>
      </w:r>
    </w:p>
    <w:p w14:paraId="1EA4E080"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364551B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Հավելանյութերը</w:t>
      </w:r>
    </w:p>
    <w:p w14:paraId="1C5C8A5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Պոլիմերային նյութերը կարող են պարունակել տարբեր հավելանյութեր՝ դրանց մշակումը կամ քիմիական, ֆիզիկական </w:t>
      </w:r>
      <w:r>
        <w:rPr>
          <w:rFonts w:ascii="Sylfaen" w:hAnsi="Sylfaen"/>
          <w:sz w:val="24"/>
          <w:szCs w:val="24"/>
        </w:rPr>
        <w:t>եւ</w:t>
      </w:r>
      <w:r w:rsidRPr="00825EEB">
        <w:rPr>
          <w:rFonts w:ascii="Sylfaen" w:hAnsi="Sylfaen"/>
          <w:sz w:val="24"/>
          <w:szCs w:val="24"/>
        </w:rPr>
        <w:t xml:space="preserve"> մեխանիկական հատկությունները բարելավելու համար՝ կախված նշանակությունից: Հավելանյութերն ընտրվում են ստորեւ ներկայացված ցանկից (այլ հիմնավորման </w:t>
      </w:r>
      <w:r>
        <w:rPr>
          <w:rFonts w:ascii="Sylfaen" w:hAnsi="Sylfaen"/>
          <w:sz w:val="24"/>
          <w:szCs w:val="24"/>
        </w:rPr>
        <w:t>եւ</w:t>
      </w:r>
      <w:r w:rsidRPr="00825EEB">
        <w:rPr>
          <w:rFonts w:ascii="Sylfaen" w:hAnsi="Sylfaen"/>
          <w:sz w:val="24"/>
          <w:szCs w:val="24"/>
        </w:rPr>
        <w:t xml:space="preserve"> լիազորված մարմնի թույլտվության բացակայության դեպքում), որում նշված է առավելագույն թույլատրելի պարունակությունը՝ յուրաքանչյուր նյութի համար: </w:t>
      </w:r>
    </w:p>
    <w:p w14:paraId="2533C93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4EBAA010" w14:textId="77777777" w:rsidR="0058052E" w:rsidRPr="008C66AB" w:rsidRDefault="00AA234B" w:rsidP="00AA234B">
      <w:pPr>
        <w:pStyle w:val="a0"/>
        <w:shd w:val="clear" w:color="auto" w:fill="auto"/>
        <w:tabs>
          <w:tab w:val="left" w:pos="1134"/>
        </w:tabs>
        <w:spacing w:after="160" w:line="360" w:lineRule="auto"/>
        <w:ind w:firstLine="567"/>
        <w:jc w:val="both"/>
        <w:rPr>
          <w:rFonts w:ascii="Sylfaen" w:hAnsi="Sylfaen" w:cs="Sylfaen"/>
          <w:spacing w:val="4"/>
          <w:sz w:val="24"/>
          <w:szCs w:val="24"/>
        </w:rPr>
      </w:pPr>
      <w:r w:rsidRPr="008C66AB">
        <w:rPr>
          <w:rFonts w:ascii="Sylfaen" w:hAnsi="Sylfaen"/>
          <w:spacing w:val="4"/>
          <w:sz w:val="24"/>
          <w:szCs w:val="24"/>
        </w:rPr>
        <w:t>-</w:t>
      </w:r>
      <w:r w:rsidRPr="008C66AB">
        <w:rPr>
          <w:rFonts w:ascii="Sylfaen" w:hAnsi="Sylfaen"/>
          <w:spacing w:val="4"/>
          <w:sz w:val="24"/>
          <w:szCs w:val="24"/>
        </w:rPr>
        <w:tab/>
      </w:r>
      <w:r w:rsidR="0058052E" w:rsidRPr="008C66AB">
        <w:rPr>
          <w:rFonts w:ascii="Sylfaen" w:hAnsi="Sylfaen"/>
          <w:spacing w:val="4"/>
          <w:sz w:val="24"/>
          <w:szCs w:val="24"/>
        </w:rPr>
        <w:t>դի(2-էթիլհեքսիլ)ֆտալատ (պոլիմերային 01 նյութի հավելանյութ)՝ 40</w:t>
      </w:r>
      <w:r w:rsidR="008C66AB">
        <w:rPr>
          <w:rFonts w:ascii="Sylfaen" w:hAnsi="Sylfaen"/>
          <w:spacing w:val="4"/>
          <w:sz w:val="24"/>
          <w:szCs w:val="24"/>
        </w:rPr>
        <w:t> </w:t>
      </w:r>
      <w:r w:rsidR="0058052E" w:rsidRPr="008C66AB">
        <w:rPr>
          <w:rFonts w:ascii="Sylfaen" w:hAnsi="Sylfaen"/>
          <w:spacing w:val="4"/>
          <w:sz w:val="24"/>
          <w:szCs w:val="24"/>
        </w:rPr>
        <w:t>%-ից ոչ ավելի.</w:t>
      </w:r>
    </w:p>
    <w:p w14:paraId="689B6D49" w14:textId="77777777" w:rsidR="0058052E" w:rsidRPr="00825EEB" w:rsidRDefault="00AA234B" w:rsidP="00AA234B">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lastRenderedPageBreak/>
        <w:t>-</w:t>
      </w:r>
      <w:r>
        <w:rPr>
          <w:rFonts w:ascii="Sylfaen" w:hAnsi="Sylfaen"/>
          <w:sz w:val="24"/>
          <w:szCs w:val="24"/>
        </w:rPr>
        <w:tab/>
      </w:r>
      <w:r w:rsidR="0058052E" w:rsidRPr="00825EEB">
        <w:rPr>
          <w:rFonts w:ascii="Sylfaen" w:hAnsi="Sylfaen"/>
          <w:sz w:val="24"/>
          <w:szCs w:val="24"/>
        </w:rPr>
        <w:t>ցինկ 2-էթիլհեքսանոատ (ցինկի օկտանոատ) (պոլիմերային 02 նյութի հավելանյութ)՝ 1 %-ից ոչ ավելի.</w:t>
      </w:r>
    </w:p>
    <w:p w14:paraId="2DBC83CE" w14:textId="77777777" w:rsidR="0058052E" w:rsidRPr="00825EEB" w:rsidRDefault="0058052E" w:rsidP="008C66A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C66AB" w:rsidRPr="00A859E3">
        <w:rPr>
          <w:rFonts w:ascii="Sylfaen" w:hAnsi="Sylfaen"/>
          <w:sz w:val="24"/>
          <w:szCs w:val="24"/>
        </w:rPr>
        <w:tab/>
      </w:r>
      <w:r w:rsidRPr="00825EEB">
        <w:rPr>
          <w:rFonts w:ascii="Sylfaen" w:hAnsi="Sylfaen"/>
          <w:sz w:val="24"/>
          <w:szCs w:val="24"/>
        </w:rPr>
        <w:t>կալցիումի ստեարատ կամ ցինկի ստեարատ կամ այդ բաղադրիչների խառնուրդներ՝ 1 %-ից ոչ ավելի.</w:t>
      </w:r>
    </w:p>
    <w:p w14:paraId="34193A19" w14:textId="77777777" w:rsidR="0058052E" w:rsidRPr="00825EEB" w:rsidRDefault="0058052E" w:rsidP="008C66A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C66AB" w:rsidRPr="008C66AB">
        <w:rPr>
          <w:rFonts w:ascii="Sylfaen" w:hAnsi="Sylfaen"/>
          <w:sz w:val="24"/>
          <w:szCs w:val="24"/>
        </w:rPr>
        <w:tab/>
      </w:r>
      <w:r w:rsidRPr="00825EEB">
        <w:rPr>
          <w:rFonts w:ascii="Sylfaen" w:hAnsi="Sylfaen"/>
          <w:i/>
          <w:sz w:val="24"/>
          <w:szCs w:val="24"/>
        </w:rPr>
        <w:t>N,N'</w:t>
      </w:r>
      <w:r w:rsidRPr="00825EEB">
        <w:rPr>
          <w:rFonts w:ascii="Sylfaen" w:hAnsi="Sylfaen"/>
          <w:sz w:val="24"/>
          <w:szCs w:val="24"/>
        </w:rPr>
        <w:t>-դիացիլէթիլենդիամիններ (պոլիմերային 03 նյութի հավելանյութ)՝ 1</w:t>
      </w:r>
      <w:r w:rsidR="008C66AB" w:rsidRPr="008C66AB">
        <w:rPr>
          <w:rFonts w:ascii="Sylfaen" w:hAnsi="Sylfaen"/>
          <w:sz w:val="24"/>
          <w:szCs w:val="24"/>
        </w:rPr>
        <w:t> </w:t>
      </w:r>
      <w:r w:rsidRPr="00825EEB">
        <w:rPr>
          <w:rFonts w:ascii="Sylfaen" w:hAnsi="Sylfaen"/>
          <w:sz w:val="24"/>
          <w:szCs w:val="24"/>
        </w:rPr>
        <w:t>%-ից ոչ ավելի.</w:t>
      </w:r>
    </w:p>
    <w:p w14:paraId="46D696C4" w14:textId="77777777" w:rsidR="0058052E" w:rsidRPr="00825EEB" w:rsidRDefault="0058052E" w:rsidP="008C66A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C66AB" w:rsidRPr="00A859E3">
        <w:rPr>
          <w:rFonts w:ascii="Sylfaen" w:hAnsi="Sylfaen"/>
          <w:sz w:val="24"/>
          <w:szCs w:val="24"/>
        </w:rPr>
        <w:tab/>
      </w:r>
      <w:r w:rsidRPr="00825EEB">
        <w:rPr>
          <w:rFonts w:ascii="Sylfaen" w:hAnsi="Sylfaen"/>
          <w:sz w:val="24"/>
          <w:szCs w:val="24"/>
        </w:rPr>
        <w:t>հետ</w:t>
      </w:r>
      <w:r>
        <w:rPr>
          <w:rFonts w:ascii="Sylfaen" w:hAnsi="Sylfaen"/>
          <w:sz w:val="24"/>
          <w:szCs w:val="24"/>
        </w:rPr>
        <w:t>եւ</w:t>
      </w:r>
      <w:r w:rsidRPr="00825EEB">
        <w:rPr>
          <w:rFonts w:ascii="Sylfaen" w:hAnsi="Sylfaen"/>
          <w:sz w:val="24"/>
          <w:szCs w:val="24"/>
        </w:rPr>
        <w:t>յալ էպօքսիդացված յուղերից մեկը կամ այդ երկու բաղադրիչների խառնուրդները՝ 10 %-ից ոչ ավելի.</w:t>
      </w:r>
    </w:p>
    <w:p w14:paraId="3162B432" w14:textId="77777777" w:rsidR="0058052E" w:rsidRPr="00825EEB" w:rsidRDefault="0058052E" w:rsidP="008C66A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C66AB" w:rsidRPr="00A859E3">
        <w:rPr>
          <w:rFonts w:ascii="Sylfaen" w:hAnsi="Sylfaen"/>
          <w:sz w:val="24"/>
          <w:szCs w:val="24"/>
        </w:rPr>
        <w:tab/>
      </w:r>
      <w:r w:rsidRPr="00825EEB">
        <w:rPr>
          <w:rFonts w:ascii="Sylfaen" w:hAnsi="Sylfaen"/>
          <w:sz w:val="24"/>
          <w:szCs w:val="24"/>
        </w:rPr>
        <w:t xml:space="preserve">էպօքսիդացված սոյայի յուղ (պոլիմերային 04 նյութի հավելանյութ)՝ էպօքսիդային խմբում թթվածնի 6%-ից մինչեւ 8 % պարունակությամբ </w:t>
      </w:r>
      <w:r>
        <w:rPr>
          <w:rFonts w:ascii="Sylfaen" w:hAnsi="Sylfaen"/>
          <w:sz w:val="24"/>
          <w:szCs w:val="24"/>
        </w:rPr>
        <w:t>եւ</w:t>
      </w:r>
      <w:r w:rsidRPr="00825EEB">
        <w:rPr>
          <w:rFonts w:ascii="Sylfaen" w:hAnsi="Sylfaen"/>
          <w:sz w:val="24"/>
          <w:szCs w:val="24"/>
        </w:rPr>
        <w:t xml:space="preserve"> 6-ից ոչ բարձր յոդային թվով:</w:t>
      </w:r>
    </w:p>
    <w:p w14:paraId="32A7B795" w14:textId="77777777" w:rsidR="0058052E" w:rsidRPr="00825EEB" w:rsidRDefault="0058052E" w:rsidP="008C66AB">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8C66AB" w:rsidRPr="00A859E3">
        <w:rPr>
          <w:rFonts w:ascii="Sylfaen" w:hAnsi="Sylfaen"/>
          <w:sz w:val="24"/>
          <w:szCs w:val="24"/>
        </w:rPr>
        <w:tab/>
      </w:r>
      <w:r w:rsidRPr="00825EEB">
        <w:rPr>
          <w:rFonts w:ascii="Sylfaen" w:hAnsi="Sylfaen"/>
          <w:sz w:val="24"/>
          <w:szCs w:val="24"/>
        </w:rPr>
        <w:t xml:space="preserve">էպօքսիդացված կտավատի յուղ (պոլիմերային 05 նյութի հավելանյութ)՝ էպօքսիդային խմբում թթվածնի 10%-ից ոչ ավելի պարունակությամբ </w:t>
      </w:r>
      <w:r>
        <w:rPr>
          <w:rFonts w:ascii="Sylfaen" w:hAnsi="Sylfaen"/>
          <w:sz w:val="24"/>
          <w:szCs w:val="24"/>
        </w:rPr>
        <w:t>եւ</w:t>
      </w:r>
      <w:r w:rsidRPr="00825EEB">
        <w:rPr>
          <w:rFonts w:ascii="Sylfaen" w:hAnsi="Sylfaen"/>
          <w:sz w:val="24"/>
          <w:szCs w:val="24"/>
        </w:rPr>
        <w:t xml:space="preserve"> 7-ից ոչ բարձր յոդային թվով:</w:t>
      </w:r>
    </w:p>
    <w:p w14:paraId="673AABA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Ներկանյութեր ավելացնելիս օգտագործում են կապույտ ուլտրամարինը (պոլիմերային 06 նյութի հավելանյութ): Թույլատրվում է այլ ներկերի օգտագործումը՝ պայմանով, որ նյութի անվտանգությունը հաստատված է:</w:t>
      </w:r>
    </w:p>
    <w:p w14:paraId="50D87F1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Նյութի մատակարարը պետք է երաշխավորի, որ յուրաքանչյուր արտադրական սերիայի որակական </w:t>
      </w:r>
      <w:r>
        <w:rPr>
          <w:rFonts w:ascii="Sylfaen" w:hAnsi="Sylfaen"/>
          <w:sz w:val="24"/>
          <w:szCs w:val="24"/>
        </w:rPr>
        <w:t>եւ</w:t>
      </w:r>
      <w:r w:rsidRPr="00825EEB">
        <w:rPr>
          <w:rFonts w:ascii="Sylfaen" w:hAnsi="Sylfaen"/>
          <w:sz w:val="24"/>
          <w:szCs w:val="24"/>
        </w:rPr>
        <w:t xml:space="preserve"> քանակական կազմերը համապատասխանում են տիպային նմուշին:</w:t>
      </w:r>
    </w:p>
    <w:p w14:paraId="1C9133A9"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09778FB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4AD25273" w14:textId="77777777" w:rsidR="0058052E" w:rsidRPr="00825EEB" w:rsidRDefault="0058052E" w:rsidP="0058052E">
      <w:pPr>
        <w:spacing w:after="160" w:line="360" w:lineRule="auto"/>
        <w:ind w:firstLine="567"/>
        <w:jc w:val="both"/>
      </w:pPr>
      <w:r w:rsidRPr="00825EEB">
        <w:t>Փոշի, միատարր գնդիկներ, գրեթե անգույն հատիկներ՝ թեթ</w:t>
      </w:r>
      <w:r>
        <w:t>եւ</w:t>
      </w:r>
      <w:r w:rsidRPr="00825EEB">
        <w:t xml:space="preserve"> երկնագույն կամ գունատ դեղին, կամ տարբեր հաստության կիսաթափանցիկ թիթեղներ՝ թույլ հոտով: Այրվելիս արձակում են խիտ ս</w:t>
      </w:r>
      <w:r>
        <w:t>եւ</w:t>
      </w:r>
      <w:r w:rsidRPr="00825EEB">
        <w:t xml:space="preserve"> ծուխ։</w:t>
      </w:r>
    </w:p>
    <w:p w14:paraId="01B1EB3C" w14:textId="77777777" w:rsidR="0058052E" w:rsidRPr="00825EEB" w:rsidRDefault="0058052E" w:rsidP="0058052E">
      <w:pPr>
        <w:spacing w:after="160" w:line="360" w:lineRule="auto"/>
        <w:ind w:firstLine="567"/>
        <w:jc w:val="both"/>
      </w:pPr>
    </w:p>
    <w:p w14:paraId="219A0E0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ՆՈՒՅՆԱԿԱՆԱՑՈՒՄԸ</w:t>
      </w:r>
    </w:p>
    <w:p w14:paraId="2E18E2F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նյութի նմուշներն անհրաժեշտության դեպքում կտրատում են մասերի, որոնց կողմերի չափը 1 սմ-ից ոչ ավելի է:</w:t>
      </w:r>
    </w:p>
    <w:p w14:paraId="0BC8B0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Նյութի փորձարկվող նմուշի 2,0 գ-ին ավելացնում են </w:t>
      </w:r>
      <w:r w:rsidRPr="00825EEB">
        <w:rPr>
          <w:rFonts w:ascii="Sylfaen" w:hAnsi="Sylfaen"/>
          <w:i/>
          <w:sz w:val="24"/>
          <w:szCs w:val="24"/>
        </w:rPr>
        <w:t>պերօքսիդներից զերծ Ռ</w:t>
      </w:r>
      <w:r w:rsidR="00492AA6" w:rsidRPr="00492AA6">
        <w:rPr>
          <w:rFonts w:ascii="Sylfaen" w:hAnsi="Sylfaen"/>
          <w:i/>
          <w:sz w:val="24"/>
          <w:szCs w:val="24"/>
        </w:rPr>
        <w:t> </w:t>
      </w:r>
      <w:r w:rsidRPr="00825EEB">
        <w:rPr>
          <w:rFonts w:ascii="Sylfaen" w:hAnsi="Sylfaen"/>
          <w:i/>
          <w:sz w:val="24"/>
          <w:szCs w:val="24"/>
        </w:rPr>
        <w:t>եթերի</w:t>
      </w:r>
      <w:r w:rsidRPr="00825EEB">
        <w:rPr>
          <w:rFonts w:ascii="Sylfaen" w:hAnsi="Sylfaen"/>
          <w:sz w:val="24"/>
          <w:szCs w:val="24"/>
        </w:rPr>
        <w:t xml:space="preserve"> 200 մլ </w:t>
      </w:r>
      <w:r>
        <w:rPr>
          <w:rFonts w:ascii="Sylfaen" w:hAnsi="Sylfaen"/>
          <w:sz w:val="24"/>
          <w:szCs w:val="24"/>
        </w:rPr>
        <w:t>եւ</w:t>
      </w:r>
      <w:r w:rsidRPr="00825EEB">
        <w:rPr>
          <w:rFonts w:ascii="Sylfaen" w:hAnsi="Sylfaen"/>
          <w:sz w:val="24"/>
          <w:szCs w:val="24"/>
        </w:rPr>
        <w:t xml:space="preserve"> 8 ժամ տաքացնում հակադարձ սառնարանով: Ա լուծույթը զտմամբ առանձնացնում են Բ մնացորդից:</w:t>
      </w:r>
    </w:p>
    <w:p w14:paraId="2D194F2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Ա լուծույթը ցածր ճնշման տակ լիաչոր շոգեհանում են ջրային բաղնիքի վրա՝ </w:t>
      </w:r>
      <w:smartTag w:uri="urn:schemas-microsoft-com:office:smarttags" w:element="metricconverter">
        <w:smartTagPr>
          <w:attr w:name="ProductID" w:val="30 °C"/>
        </w:smartTagPr>
        <w:r w:rsidRPr="00825EEB">
          <w:rPr>
            <w:rFonts w:ascii="Sylfaen" w:hAnsi="Sylfaen"/>
            <w:sz w:val="24"/>
            <w:szCs w:val="24"/>
          </w:rPr>
          <w:t>30 °C</w:t>
        </w:r>
      </w:smartTag>
      <w:r w:rsidRPr="00825EEB">
        <w:rPr>
          <w:rFonts w:ascii="Sylfaen" w:hAnsi="Sylfaen"/>
          <w:sz w:val="24"/>
          <w:szCs w:val="24"/>
        </w:rPr>
        <w:t xml:space="preserve"> ջերմաստիճանի տակ: Ստացված մնացորդը լուծում են </w:t>
      </w:r>
      <w:r w:rsidRPr="00825EEB">
        <w:rPr>
          <w:rFonts w:ascii="Sylfaen" w:hAnsi="Sylfaen"/>
          <w:i/>
          <w:sz w:val="24"/>
          <w:szCs w:val="24"/>
        </w:rPr>
        <w:t>Ռ տոլուոլի</w:t>
      </w:r>
      <w:r w:rsidRPr="00825EEB">
        <w:rPr>
          <w:rFonts w:ascii="Sylfaen" w:hAnsi="Sylfaen"/>
          <w:sz w:val="24"/>
          <w:szCs w:val="24"/>
        </w:rPr>
        <w:t xml:space="preserve"> 10 մլ-ի մեջ (Ա1 լուծույթ): Բ մնացորդը լուծում են </w:t>
      </w:r>
      <w:r w:rsidRPr="00825EEB">
        <w:rPr>
          <w:rFonts w:ascii="Sylfaen" w:hAnsi="Sylfaen"/>
          <w:i/>
          <w:sz w:val="24"/>
          <w:szCs w:val="24"/>
        </w:rPr>
        <w:t>Ռ էթիլենքլորիդի</w:t>
      </w:r>
      <w:r w:rsidRPr="00825EEB">
        <w:rPr>
          <w:rFonts w:ascii="Sylfaen" w:hAnsi="Sylfaen"/>
          <w:sz w:val="24"/>
          <w:szCs w:val="24"/>
        </w:rPr>
        <w:t xml:space="preserve"> 60 մլ-ի մեջ՝ ջրային բաղնիքի վրա տաքացնելով հակադարձ սառնարանով, </w:t>
      </w:r>
      <w:r>
        <w:rPr>
          <w:rFonts w:ascii="Sylfaen" w:hAnsi="Sylfaen"/>
          <w:sz w:val="24"/>
          <w:szCs w:val="24"/>
        </w:rPr>
        <w:t>եւ</w:t>
      </w:r>
      <w:r w:rsidRPr="00825EEB">
        <w:rPr>
          <w:rFonts w:ascii="Sylfaen" w:hAnsi="Sylfaen"/>
          <w:sz w:val="24"/>
          <w:szCs w:val="24"/>
        </w:rPr>
        <w:t xml:space="preserve"> հետո զտում: Ստացված լուծույթը, ակտիվ թափահարելով, կաթիլ առ կաթիլ ավելացնում են մինչ</w:t>
      </w:r>
      <w:r>
        <w:rPr>
          <w:rFonts w:ascii="Sylfaen" w:hAnsi="Sylfaen"/>
          <w:sz w:val="24"/>
          <w:szCs w:val="24"/>
        </w:rPr>
        <w:t>եւ</w:t>
      </w:r>
      <w:r w:rsidRPr="00825EEB">
        <w:rPr>
          <w:rFonts w:ascii="Sylfaen" w:hAnsi="Sylfaen"/>
          <w:sz w:val="24"/>
          <w:szCs w:val="24"/>
        </w:rPr>
        <w:t xml:space="preserve"> եռալու աստիճան տաքացրած </w:t>
      </w:r>
      <w:r w:rsidRPr="00825EEB">
        <w:rPr>
          <w:rFonts w:ascii="Sylfaen" w:hAnsi="Sylfaen"/>
          <w:i/>
          <w:sz w:val="24"/>
          <w:szCs w:val="24"/>
        </w:rPr>
        <w:t>Ռ հեպտանի</w:t>
      </w:r>
      <w:r w:rsidRPr="00825EEB">
        <w:rPr>
          <w:rFonts w:ascii="Sylfaen" w:hAnsi="Sylfaen"/>
          <w:sz w:val="24"/>
          <w:szCs w:val="24"/>
        </w:rPr>
        <w:t xml:space="preserve"> 600 մլ-ին: Տաք զտմամբ Բ1 մակարդուկն առանձնացնում են լուծույթից </w:t>
      </w:r>
      <w:r w:rsidRPr="00825EEB">
        <w:rPr>
          <w:rFonts w:ascii="Sylfaen" w:hAnsi="Sylfaen"/>
          <w:i/>
          <w:sz w:val="24"/>
          <w:szCs w:val="24"/>
        </w:rPr>
        <w:t>Ռ հեպտանի</w:t>
      </w:r>
      <w:r w:rsidRPr="00825EEB">
        <w:rPr>
          <w:rFonts w:ascii="Sylfaen" w:hAnsi="Sylfaen"/>
          <w:sz w:val="24"/>
          <w:szCs w:val="24"/>
        </w:rPr>
        <w:t xml:space="preserve"> մեջ: Լուծույթը հովացնում են, առանձնացնում Բ2 նստվածքը </w:t>
      </w:r>
      <w:r>
        <w:rPr>
          <w:rFonts w:ascii="Sylfaen" w:hAnsi="Sylfaen"/>
          <w:sz w:val="24"/>
          <w:szCs w:val="24"/>
        </w:rPr>
        <w:t>եւ</w:t>
      </w:r>
      <w:r w:rsidRPr="00825EEB">
        <w:rPr>
          <w:rFonts w:ascii="Sylfaen" w:hAnsi="Sylfaen"/>
          <w:sz w:val="24"/>
          <w:szCs w:val="24"/>
        </w:rPr>
        <w:t xml:space="preserve"> զտում ապակյա զտիչով (40) (</w:t>
      </w:r>
      <w:r w:rsidRPr="00825EEB">
        <w:rPr>
          <w:rFonts w:ascii="Sylfaen" w:hAnsi="Sylfaen"/>
          <w:i/>
          <w:sz w:val="24"/>
          <w:szCs w:val="24"/>
        </w:rPr>
        <w:t>2.1.1.2</w:t>
      </w:r>
      <w:r w:rsidRPr="00825EEB">
        <w:rPr>
          <w:rFonts w:ascii="Sylfaen" w:hAnsi="Sylfaen"/>
          <w:sz w:val="24"/>
          <w:szCs w:val="24"/>
        </w:rPr>
        <w:t>):</w:t>
      </w:r>
    </w:p>
    <w:p w14:paraId="3EFF8136"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Ա.</w:t>
      </w:r>
      <w:r w:rsidR="00492AA6" w:rsidRPr="00A859E3">
        <w:rPr>
          <w:rFonts w:ascii="Sylfaen" w:hAnsi="Sylfaen"/>
          <w:sz w:val="24"/>
          <w:szCs w:val="24"/>
        </w:rPr>
        <w:tab/>
      </w:r>
      <w:r w:rsidRPr="00825EEB">
        <w:rPr>
          <w:rFonts w:ascii="Sylfaen" w:hAnsi="Sylfaen"/>
          <w:sz w:val="24"/>
          <w:szCs w:val="24"/>
        </w:rPr>
        <w:t>Որոշումն անցկացնում են ինֆրակարմիր հատվածում աբսորբման սպեկտրալուսաչափության մեթոդով (</w:t>
      </w:r>
      <w:r w:rsidRPr="00825EEB">
        <w:rPr>
          <w:rFonts w:ascii="Sylfaen" w:hAnsi="Sylfaen"/>
          <w:i/>
          <w:sz w:val="24"/>
          <w:szCs w:val="24"/>
        </w:rPr>
        <w:t>2.1.2.23</w:t>
      </w:r>
      <w:r w:rsidRPr="00825EEB">
        <w:rPr>
          <w:rFonts w:ascii="Sylfaen" w:hAnsi="Sylfaen"/>
          <w:sz w:val="24"/>
          <w:szCs w:val="24"/>
        </w:rPr>
        <w:t>):</w:t>
      </w:r>
    </w:p>
    <w:p w14:paraId="6B0CC4DD"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Բ1</w:t>
      </w:r>
      <w:r w:rsidR="00492AA6" w:rsidRPr="00A859E3">
        <w:rPr>
          <w:rFonts w:ascii="Sylfaen" w:hAnsi="Sylfaen"/>
          <w:sz w:val="24"/>
          <w:szCs w:val="24"/>
        </w:rPr>
        <w:tab/>
      </w:r>
      <w:r w:rsidRPr="00825EEB">
        <w:rPr>
          <w:rFonts w:ascii="Sylfaen" w:hAnsi="Sylfaen"/>
          <w:sz w:val="24"/>
          <w:szCs w:val="24"/>
        </w:rPr>
        <w:t xml:space="preserve">մակարդուկը լուծում են </w:t>
      </w:r>
      <w:r w:rsidRPr="00825EEB">
        <w:rPr>
          <w:rFonts w:ascii="Sylfaen" w:hAnsi="Sylfaen"/>
          <w:i/>
          <w:sz w:val="24"/>
          <w:szCs w:val="24"/>
        </w:rPr>
        <w:t>Ռ տետրահիդրոֆուրանի</w:t>
      </w:r>
      <w:r w:rsidRPr="00825EEB">
        <w:rPr>
          <w:rFonts w:ascii="Sylfaen" w:hAnsi="Sylfaen"/>
          <w:sz w:val="24"/>
          <w:szCs w:val="24"/>
        </w:rPr>
        <w:t xml:space="preserve"> 30 մլ-ի մեջ, ստացված լուծույթին փոքր բաժիններով ավելացնում են </w:t>
      </w:r>
      <w:r w:rsidRPr="00825EEB">
        <w:rPr>
          <w:rFonts w:ascii="Sylfaen" w:hAnsi="Sylfaen"/>
          <w:i/>
          <w:sz w:val="24"/>
          <w:szCs w:val="24"/>
        </w:rPr>
        <w:t>Ռ անջուր էթանոլի</w:t>
      </w:r>
      <w:r w:rsidRPr="00825EEB">
        <w:rPr>
          <w:rFonts w:ascii="Sylfaen" w:hAnsi="Sylfaen"/>
          <w:sz w:val="24"/>
          <w:szCs w:val="24"/>
        </w:rPr>
        <w:t xml:space="preserve"> 40 մլ՝ թափահարելով: Բ3 նստվածքը զտմամբ առանձնացնում են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վակուումի</w:t>
      </w:r>
      <w:r w:rsidRPr="00825EEB">
        <w:rPr>
          <w:rFonts w:ascii="Sylfaen" w:hAnsi="Sylfaen"/>
          <w:sz w:val="24"/>
          <w:szCs w:val="24"/>
        </w:rPr>
        <w:t xml:space="preserve"> </w:t>
      </w:r>
      <w:r w:rsidRPr="00825EEB">
        <w:rPr>
          <w:rFonts w:ascii="Sylfaen" w:hAnsi="Sylfaen"/>
          <w:i/>
          <w:sz w:val="24"/>
          <w:szCs w:val="24"/>
        </w:rPr>
        <w:t>մեջ</w:t>
      </w:r>
      <w:r w:rsidRPr="00825EEB">
        <w:rPr>
          <w:rFonts w:ascii="Sylfaen" w:hAnsi="Sylfaen"/>
          <w:sz w:val="24"/>
          <w:szCs w:val="24"/>
        </w:rPr>
        <w:t xml:space="preserve"> չորացնում 50 °C-ից ոչ ավելի ջերմաստիճանի տակ՝ </w:t>
      </w:r>
      <w:r w:rsidRPr="00825EEB">
        <w:rPr>
          <w:rFonts w:ascii="Sylfaen" w:hAnsi="Sylfaen"/>
          <w:i/>
          <w:sz w:val="24"/>
          <w:szCs w:val="24"/>
        </w:rPr>
        <w:t>Ռ ֆոսֆորի (V) օքսիդի</w:t>
      </w:r>
      <w:r w:rsidRPr="00825EEB">
        <w:rPr>
          <w:rFonts w:ascii="Sylfaen" w:hAnsi="Sylfaen"/>
          <w:sz w:val="24"/>
          <w:szCs w:val="24"/>
        </w:rPr>
        <w:t xml:space="preserve"> վրա: Բ3 նստվածքի մի քանի միլիգրամ լուծում են </w:t>
      </w:r>
      <w:r w:rsidRPr="00825EEB">
        <w:rPr>
          <w:rFonts w:ascii="Sylfaen" w:hAnsi="Sylfaen"/>
          <w:i/>
          <w:sz w:val="24"/>
          <w:szCs w:val="24"/>
        </w:rPr>
        <w:t>Ռ տետրահիդրոֆուրանի</w:t>
      </w:r>
      <w:r w:rsidRPr="00825EEB">
        <w:rPr>
          <w:rFonts w:ascii="Sylfaen" w:hAnsi="Sylfaen"/>
          <w:sz w:val="24"/>
          <w:szCs w:val="24"/>
        </w:rPr>
        <w:t xml:space="preserve"> 1 մլ-ի մեջ, ստացված լուծույթի մի քանի կաթիլ տեղադրում են նատրիումի քլորիդի սկավառակի վրա </w:t>
      </w:r>
      <w:r>
        <w:rPr>
          <w:rFonts w:ascii="Sylfaen" w:hAnsi="Sylfaen"/>
          <w:sz w:val="24"/>
          <w:szCs w:val="24"/>
        </w:rPr>
        <w:t>եւ</w:t>
      </w:r>
      <w:r w:rsidRPr="00825EEB">
        <w:rPr>
          <w:rFonts w:ascii="Sylfaen" w:hAnsi="Sylfaen"/>
          <w:sz w:val="24"/>
          <w:szCs w:val="24"/>
        </w:rPr>
        <w:t xml:space="preserve"> լուծիչը լիաչոր եռաթանձրացնում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ջերմաստիճանում:</w:t>
      </w:r>
    </w:p>
    <w:p w14:paraId="63E940BA"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 xml:space="preserve">Մնացորդի ինֆրակարմիր սպեկտրը </w:t>
      </w:r>
      <w:r w:rsidRPr="00825EEB">
        <w:rPr>
          <w:rFonts w:ascii="Sylfaen" w:hAnsi="Sylfaen"/>
          <w:i/>
          <w:sz w:val="24"/>
          <w:szCs w:val="24"/>
        </w:rPr>
        <w:t>(2.1.2.23)</w:t>
      </w:r>
      <w:r w:rsidRPr="00825EEB">
        <w:rPr>
          <w:rFonts w:ascii="Sylfaen" w:hAnsi="Sylfaen"/>
          <w:sz w:val="24"/>
          <w:szCs w:val="24"/>
        </w:rPr>
        <w:t xml:space="preserve"> պետք է համապատասխանի </w:t>
      </w:r>
      <w:r w:rsidRPr="00825EEB">
        <w:rPr>
          <w:rFonts w:ascii="Sylfaen" w:hAnsi="Sylfaen"/>
          <w:i/>
          <w:sz w:val="24"/>
          <w:szCs w:val="24"/>
        </w:rPr>
        <w:t>պոլիվինիլքլորիդի ԵԱՏՄԴ ՍՆ</w:t>
      </w:r>
      <w:r w:rsidRPr="00825EEB">
        <w:rPr>
          <w:rFonts w:ascii="Sylfaen" w:hAnsi="Sylfaen"/>
          <w:sz w:val="24"/>
          <w:szCs w:val="24"/>
        </w:rPr>
        <w:t xml:space="preserve"> սպեկտրին:</w:t>
      </w:r>
    </w:p>
    <w:p w14:paraId="066515E3"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6F0551AC"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i/>
          <w:iCs/>
          <w:sz w:val="24"/>
          <w:szCs w:val="24"/>
        </w:rPr>
      </w:pPr>
      <w:r w:rsidRPr="00825EEB">
        <w:rPr>
          <w:rFonts w:ascii="Sylfaen" w:hAnsi="Sylfaen"/>
          <w:sz w:val="24"/>
          <w:szCs w:val="24"/>
        </w:rPr>
        <w:lastRenderedPageBreak/>
        <w:t>Բ.</w:t>
      </w:r>
      <w:r w:rsidR="00492AA6" w:rsidRPr="00A859E3">
        <w:rPr>
          <w:rFonts w:ascii="Sylfaen" w:hAnsi="Sylfaen"/>
          <w:sz w:val="24"/>
          <w:szCs w:val="24"/>
        </w:rPr>
        <w:tab/>
      </w:r>
      <w:r w:rsidRPr="00825EEB">
        <w:rPr>
          <w:rFonts w:ascii="Sylfaen" w:hAnsi="Sylfaen"/>
          <w:sz w:val="24"/>
          <w:szCs w:val="24"/>
        </w:rPr>
        <w:t xml:space="preserve">Պոլիմերային 01 նյութի հավելանյութ (տե՛ս </w:t>
      </w:r>
      <w:r w:rsidRPr="00825EEB">
        <w:rPr>
          <w:rFonts w:ascii="Sylfaen" w:hAnsi="Sylfaen"/>
          <w:i/>
          <w:sz w:val="24"/>
          <w:szCs w:val="24"/>
        </w:rPr>
        <w:t>«Փորձարկումներ»</w:t>
      </w:r>
      <w:r w:rsidRPr="00825EEB">
        <w:rPr>
          <w:rFonts w:ascii="Sylfaen" w:hAnsi="Sylfaen"/>
          <w:sz w:val="24"/>
          <w:szCs w:val="24"/>
        </w:rPr>
        <w:t xml:space="preserve"> բաժինը):</w:t>
      </w:r>
    </w:p>
    <w:p w14:paraId="3A1B13C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3BD22FC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097FBC8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046FB18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sz w:val="24"/>
          <w:szCs w:val="24"/>
        </w:rPr>
        <w:t xml:space="preserve">Նյութի փորձարկվող նմուշի 5,0 գ տեղադրում են այրման համար նախատեսված փորձանոթի մեջ, ավելացնում են </w:t>
      </w:r>
      <w:r w:rsidRPr="00825EEB">
        <w:rPr>
          <w:rFonts w:ascii="Sylfaen" w:hAnsi="Sylfaen"/>
          <w:i/>
          <w:sz w:val="24"/>
          <w:szCs w:val="24"/>
        </w:rPr>
        <w:t>Ռ ծծմբաթթվի</w:t>
      </w:r>
      <w:r w:rsidRPr="00825EEB">
        <w:rPr>
          <w:rFonts w:ascii="Sylfaen" w:hAnsi="Sylfaen"/>
          <w:sz w:val="24"/>
          <w:szCs w:val="24"/>
        </w:rPr>
        <w:t xml:space="preserve"> 30 մլ, տաքացնում մինչ</w:t>
      </w:r>
      <w:r>
        <w:rPr>
          <w:rFonts w:ascii="Sylfaen" w:hAnsi="Sylfaen"/>
          <w:sz w:val="24"/>
          <w:szCs w:val="24"/>
        </w:rPr>
        <w:t>եւ</w:t>
      </w:r>
      <w:r w:rsidRPr="00825EEB">
        <w:rPr>
          <w:rFonts w:ascii="Sylfaen" w:hAnsi="Sylfaen"/>
          <w:sz w:val="24"/>
          <w:szCs w:val="24"/>
        </w:rPr>
        <w:t xml:space="preserve"> ս</w:t>
      </w:r>
      <w:r>
        <w:rPr>
          <w:rFonts w:ascii="Sylfaen" w:hAnsi="Sylfaen"/>
          <w:sz w:val="24"/>
          <w:szCs w:val="24"/>
        </w:rPr>
        <w:t>եւ</w:t>
      </w:r>
      <w:r w:rsidRPr="00825EEB">
        <w:rPr>
          <w:rFonts w:ascii="Sylfaen" w:hAnsi="Sylfaen"/>
          <w:sz w:val="24"/>
          <w:szCs w:val="24"/>
        </w:rPr>
        <w:t xml:space="preserve"> օշարականման զանգված ստանալը, հովացնում են </w:t>
      </w:r>
      <w:r>
        <w:rPr>
          <w:rFonts w:ascii="Sylfaen" w:hAnsi="Sylfaen"/>
          <w:sz w:val="24"/>
          <w:szCs w:val="24"/>
        </w:rPr>
        <w:t>եւ</w:t>
      </w:r>
      <w:r w:rsidRPr="00825EEB">
        <w:rPr>
          <w:rFonts w:ascii="Sylfaen" w:hAnsi="Sylfaen"/>
          <w:sz w:val="24"/>
          <w:szCs w:val="24"/>
        </w:rPr>
        <w:t xml:space="preserve"> զգուշորեն ավելացնում </w:t>
      </w:r>
      <w:r w:rsidRPr="00825EEB">
        <w:rPr>
          <w:rFonts w:ascii="Sylfaen" w:hAnsi="Sylfaen"/>
          <w:i/>
          <w:sz w:val="24"/>
          <w:szCs w:val="24"/>
        </w:rPr>
        <w:t>Ռ կոնցենտրացված ջրածնի պերօքսիդի լուծույթի</w:t>
      </w:r>
      <w:r w:rsidRPr="00825EEB">
        <w:rPr>
          <w:rFonts w:ascii="Sylfaen" w:hAnsi="Sylfaen"/>
          <w:sz w:val="24"/>
          <w:szCs w:val="24"/>
        </w:rPr>
        <w:t xml:space="preserve"> 10 մլ: Զգուշորեն տաքացնում են, հետո թողնում հովանալու </w:t>
      </w:r>
      <w:r>
        <w:rPr>
          <w:rFonts w:ascii="Sylfaen" w:hAnsi="Sylfaen"/>
          <w:sz w:val="24"/>
          <w:szCs w:val="24"/>
        </w:rPr>
        <w:t>եւ</w:t>
      </w:r>
      <w:r w:rsidRPr="00825EEB">
        <w:rPr>
          <w:rFonts w:ascii="Sylfaen" w:hAnsi="Sylfaen"/>
          <w:sz w:val="24"/>
          <w:szCs w:val="24"/>
        </w:rPr>
        <w:t xml:space="preserve"> ավելացնում </w:t>
      </w:r>
      <w:r w:rsidRPr="00825EEB">
        <w:rPr>
          <w:rFonts w:ascii="Sylfaen" w:hAnsi="Sylfaen"/>
          <w:i/>
          <w:sz w:val="24"/>
          <w:szCs w:val="24"/>
        </w:rPr>
        <w:t>Ռ կոնցենտրացված ջրածնի պերօքսիդի լուծույթի</w:t>
      </w:r>
      <w:r w:rsidRPr="00825EEB">
        <w:rPr>
          <w:rFonts w:ascii="Sylfaen" w:hAnsi="Sylfaen"/>
          <w:sz w:val="24"/>
          <w:szCs w:val="24"/>
        </w:rPr>
        <w:t xml:space="preserve"> 1 մլ: Պրոցեդուրաները կրկնում են՝ հերթափոխելով տաքացումն ու գոլորշիացումը՝ ջրածնի պերօքսիդի կոնցենտրացված լուծույթն </w:t>
      </w:r>
      <w:r w:rsidRPr="00492AA6">
        <w:rPr>
          <w:rFonts w:ascii="Sylfaen" w:hAnsi="Sylfaen"/>
          <w:spacing w:val="2"/>
          <w:sz w:val="24"/>
          <w:szCs w:val="24"/>
        </w:rPr>
        <w:t>ավելացնելով՝ մինչեւ անգույն հեղուկ ստանալը։ Լուծույթի ծավալը պակասեցնում են մոտավորապես</w:t>
      </w:r>
      <w:r w:rsidRPr="00825EEB">
        <w:rPr>
          <w:rFonts w:ascii="Sylfaen" w:hAnsi="Sylfaen"/>
          <w:sz w:val="24"/>
          <w:szCs w:val="24"/>
        </w:rPr>
        <w:t xml:space="preserve"> մինչ</w:t>
      </w:r>
      <w:r>
        <w:rPr>
          <w:rFonts w:ascii="Sylfaen" w:hAnsi="Sylfaen"/>
          <w:sz w:val="24"/>
          <w:szCs w:val="24"/>
        </w:rPr>
        <w:t>եւ</w:t>
      </w:r>
      <w:r w:rsidRPr="00825EEB">
        <w:rPr>
          <w:rFonts w:ascii="Sylfaen" w:hAnsi="Sylfaen"/>
          <w:sz w:val="24"/>
          <w:szCs w:val="24"/>
        </w:rPr>
        <w:t xml:space="preserve"> 10 մլ, հովացնում են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ծավալը հասցնում մինչ</w:t>
      </w:r>
      <w:r>
        <w:rPr>
          <w:rFonts w:ascii="Sylfaen" w:hAnsi="Sylfaen"/>
          <w:sz w:val="24"/>
          <w:szCs w:val="24"/>
        </w:rPr>
        <w:t>եւ</w:t>
      </w:r>
      <w:r w:rsidRPr="00825EEB">
        <w:rPr>
          <w:rFonts w:ascii="Sylfaen" w:hAnsi="Sylfaen"/>
          <w:sz w:val="24"/>
          <w:szCs w:val="24"/>
        </w:rPr>
        <w:t xml:space="preserve"> 50,0 մլ:</w:t>
      </w:r>
    </w:p>
    <w:p w14:paraId="4BFB3E6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sz w:val="24"/>
          <w:szCs w:val="24"/>
        </w:rPr>
        <w:t xml:space="preserve">Նյութի փորձարկվող նմուշի 25 գ տեղադրում են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500 մլ </w:t>
      </w:r>
      <w:r>
        <w:rPr>
          <w:rFonts w:ascii="Sylfaen" w:hAnsi="Sylfaen"/>
          <w:sz w:val="24"/>
          <w:szCs w:val="24"/>
        </w:rPr>
        <w:t>եւ</w:t>
      </w:r>
      <w:r w:rsidRPr="00825EEB">
        <w:rPr>
          <w:rFonts w:ascii="Sylfaen" w:hAnsi="Sylfaen"/>
          <w:sz w:val="24"/>
          <w:szCs w:val="24"/>
        </w:rPr>
        <w:t xml:space="preserve"> փորձանոթի բկանցքը փակում են բորասիլիկատային ապակուց լաբորատոր բաժակով: Ավտոկլավում 20 րոպե տաքացնում են (121 ±2) °C ջերմաստիճանի տակ, որից հետո հովացնում են, թափում վերնստվածքային հեղուկը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լուծույթի ծավալը հասցնում մինչ</w:t>
      </w:r>
      <w:r>
        <w:rPr>
          <w:rFonts w:ascii="Sylfaen" w:hAnsi="Sylfaen"/>
          <w:sz w:val="24"/>
          <w:szCs w:val="24"/>
        </w:rPr>
        <w:t>եւ</w:t>
      </w:r>
      <w:r w:rsidRPr="00825EEB">
        <w:rPr>
          <w:rFonts w:ascii="Sylfaen" w:hAnsi="Sylfaen"/>
          <w:sz w:val="24"/>
          <w:szCs w:val="24"/>
        </w:rPr>
        <w:t xml:space="preserve"> 500 մլ:</w:t>
      </w:r>
    </w:p>
    <w:p w14:paraId="0095902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Տ2 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Տ2 լուծույթը պետք է թափանցիկ լինի:</w:t>
      </w:r>
    </w:p>
    <w:p w14:paraId="04C8958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Տ2 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Տ2 լուծույթը պետք է լինի անգույն:</w:t>
      </w:r>
    </w:p>
    <w:p w14:paraId="1E1DB9C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492AA6">
        <w:rPr>
          <w:rFonts w:ascii="Sylfaen" w:hAnsi="Sylfaen"/>
          <w:b/>
          <w:spacing w:val="4"/>
          <w:sz w:val="24"/>
          <w:szCs w:val="24"/>
        </w:rPr>
        <w:t xml:space="preserve">Թթվայնությունը եւ ալկալիականությունը։ </w:t>
      </w:r>
      <w:r w:rsidRPr="00492AA6">
        <w:rPr>
          <w:rFonts w:ascii="Sylfaen" w:hAnsi="Sylfaen"/>
          <w:spacing w:val="4"/>
          <w:sz w:val="24"/>
          <w:szCs w:val="24"/>
        </w:rPr>
        <w:t xml:space="preserve">Տ2 լուծույթի 100 մլ-ին ավելացնում են </w:t>
      </w:r>
      <w:r w:rsidRPr="00492AA6">
        <w:rPr>
          <w:rFonts w:ascii="Sylfaen" w:hAnsi="Sylfaen"/>
          <w:i/>
          <w:spacing w:val="4"/>
          <w:sz w:val="24"/>
          <w:szCs w:val="24"/>
        </w:rPr>
        <w:t>Ռ ցուցիչի</w:t>
      </w:r>
      <w:r w:rsidRPr="00825EEB">
        <w:rPr>
          <w:rFonts w:ascii="Sylfaen" w:hAnsi="Sylfaen"/>
          <w:i/>
          <w:sz w:val="24"/>
          <w:szCs w:val="24"/>
        </w:rPr>
        <w:t xml:space="preserve">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երանգը պետք է փոխվի մինչ</w:t>
      </w:r>
      <w:r>
        <w:rPr>
          <w:rFonts w:ascii="Sylfaen" w:hAnsi="Sylfaen"/>
          <w:sz w:val="24"/>
          <w:szCs w:val="24"/>
        </w:rPr>
        <w:t>եւ</w:t>
      </w:r>
      <w:r w:rsidRPr="00825EEB">
        <w:rPr>
          <w:rFonts w:ascii="Sylfaen" w:hAnsi="Sylfaen"/>
          <w:sz w:val="24"/>
          <w:szCs w:val="24"/>
        </w:rPr>
        <w:t xml:space="preserve"> </w:t>
      </w:r>
      <w:r w:rsidRPr="00825EEB">
        <w:rPr>
          <w:rFonts w:ascii="Sylfaen" w:hAnsi="Sylfaen"/>
          <w:sz w:val="24"/>
          <w:szCs w:val="24"/>
        </w:rPr>
        <w:lastRenderedPageBreak/>
        <w:t xml:space="preserve">կապույտը՝ </w:t>
      </w:r>
      <w:r w:rsidRPr="00825EEB">
        <w:rPr>
          <w:rFonts w:ascii="Sylfaen" w:hAnsi="Sylfaen"/>
          <w:i/>
          <w:sz w:val="24"/>
          <w:szCs w:val="24"/>
        </w:rPr>
        <w:t>0,01 Մ նատրիումի հիդրօքսիդի</w:t>
      </w:r>
      <w:r w:rsidRPr="00825EEB">
        <w:rPr>
          <w:rFonts w:ascii="Sylfaen" w:hAnsi="Sylfaen"/>
          <w:sz w:val="24"/>
          <w:szCs w:val="24"/>
        </w:rPr>
        <w:t xml:space="preserve"> լուծույթի ոչ ավելի, քան 1,5 մլ ավելացնելիս:</w:t>
      </w:r>
    </w:p>
    <w:p w14:paraId="756C18A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 լուծույթի 100 մլ-ին ավելացնում են </w:t>
      </w:r>
      <w:r w:rsidRPr="00825EEB">
        <w:rPr>
          <w:rFonts w:ascii="Sylfaen" w:hAnsi="Sylfaen"/>
          <w:i/>
          <w:sz w:val="24"/>
          <w:szCs w:val="24"/>
        </w:rPr>
        <w:t>Ռ մեթիլ նարնջագույնի լուծույթի</w:t>
      </w:r>
      <w:r w:rsidRPr="00825EEB">
        <w:rPr>
          <w:rFonts w:ascii="Sylfaen" w:hAnsi="Sylfaen"/>
          <w:sz w:val="24"/>
          <w:szCs w:val="24"/>
        </w:rPr>
        <w:t xml:space="preserve"> 0,2 մլ. լուծույթի երանգը պետք է փոխվի դեղինից նարնջագույնի՝ </w:t>
      </w:r>
      <w:r w:rsidRPr="00825EEB">
        <w:rPr>
          <w:rFonts w:ascii="Sylfaen" w:hAnsi="Sylfaen"/>
          <w:i/>
          <w:sz w:val="24"/>
          <w:szCs w:val="24"/>
        </w:rPr>
        <w:t>0,01 Մ քլորաջրածնային թթվի</w:t>
      </w:r>
      <w:r w:rsidRPr="00825EEB">
        <w:rPr>
          <w:rFonts w:ascii="Sylfaen" w:hAnsi="Sylfaen"/>
          <w:sz w:val="24"/>
          <w:szCs w:val="24"/>
        </w:rPr>
        <w:t xml:space="preserve"> ոչ ավելի քան 1,0 մլ ավելացնելիս:</w:t>
      </w:r>
    </w:p>
    <w:p w14:paraId="4EFAC30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xml:space="preserve">)։ Տ2 լուծույթի 100,0 մլ-ը լիաչոր շոգեհանում են: Չոր մնացորդը լուծում են </w:t>
      </w:r>
      <w:r w:rsidRPr="00825EEB">
        <w:rPr>
          <w:rFonts w:ascii="Sylfaen" w:hAnsi="Sylfaen"/>
          <w:i/>
          <w:sz w:val="24"/>
          <w:szCs w:val="24"/>
        </w:rPr>
        <w:t>Ռ հեքսանի</w:t>
      </w:r>
      <w:r w:rsidRPr="00825EEB">
        <w:rPr>
          <w:rFonts w:ascii="Sylfaen" w:hAnsi="Sylfaen"/>
          <w:sz w:val="24"/>
          <w:szCs w:val="24"/>
        </w:rPr>
        <w:t xml:space="preserve"> 5,0 մլ-ի մեջ: Լուծույթի օպտիկական խտությունը ալիքների 250 նմ-ից մինչ</w:t>
      </w:r>
      <w:r>
        <w:rPr>
          <w:rFonts w:ascii="Sylfaen" w:hAnsi="Sylfaen"/>
          <w:sz w:val="24"/>
          <w:szCs w:val="24"/>
        </w:rPr>
        <w:t>եւ</w:t>
      </w:r>
      <w:r w:rsidRPr="00825EEB">
        <w:rPr>
          <w:rFonts w:ascii="Sylfaen" w:hAnsi="Sylfaen"/>
          <w:sz w:val="24"/>
          <w:szCs w:val="24"/>
        </w:rPr>
        <w:t xml:space="preserve"> 310 նմ երկարության հատվածում չպետք է գերազանցի 0,25-ը:</w:t>
      </w:r>
    </w:p>
    <w:p w14:paraId="0518CB9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Վերականգնող նյութերը։ </w:t>
      </w:r>
      <w:r w:rsidRPr="00825EEB">
        <w:rPr>
          <w:rFonts w:ascii="Sylfaen" w:hAnsi="Sylfaen"/>
          <w:i/>
          <w:sz w:val="24"/>
          <w:szCs w:val="24"/>
        </w:rPr>
        <w:t>Փորձարկումն անցկացնում են Տ2 լուծույթը պատրաստելուց հետո 4 ժամվա ընթացքում:</w:t>
      </w:r>
    </w:p>
    <w:p w14:paraId="234851B4" w14:textId="77777777" w:rsidR="0058052E" w:rsidRPr="00825EEB" w:rsidRDefault="0058052E" w:rsidP="0058052E">
      <w:pPr>
        <w:spacing w:after="160" w:line="360" w:lineRule="auto"/>
        <w:ind w:firstLine="567"/>
        <w:jc w:val="both"/>
      </w:pPr>
      <w:r w:rsidRPr="00825EEB">
        <w:t xml:space="preserve">Տ2 լուծույթի 20,0 մլ-ին ավելացնում են </w:t>
      </w:r>
      <w:r w:rsidRPr="00825EEB">
        <w:rPr>
          <w:i/>
        </w:rPr>
        <w:t>Ռ նոսրացված ծծմբաթթվի</w:t>
      </w:r>
      <w:r w:rsidRPr="00825EEB">
        <w:t xml:space="preserve"> 1 մլ </w:t>
      </w:r>
      <w:r>
        <w:t>եւ</w:t>
      </w:r>
      <w:r w:rsidRPr="00825EEB">
        <w:t xml:space="preserve"> </w:t>
      </w:r>
      <w:r w:rsidRPr="00825EEB">
        <w:rPr>
          <w:i/>
        </w:rPr>
        <w:t>0,002 Մ կալիումի պերմանգանատի լուծույթի 20,0 մլ</w:t>
      </w:r>
      <w:r w:rsidRPr="00825EEB">
        <w:t xml:space="preserve">: 3 րոպե եռացնում են հակադարձ սառնարանով </w:t>
      </w:r>
      <w:r>
        <w:t>եւ</w:t>
      </w:r>
      <w:r w:rsidRPr="00825EEB">
        <w:t xml:space="preserve"> իսկույն հովացնում: Ավելացնում են </w:t>
      </w:r>
      <w:r w:rsidRPr="00825EEB">
        <w:rPr>
          <w:i/>
        </w:rPr>
        <w:t>Ռ կալիումի յոդիդի</w:t>
      </w:r>
      <w:r w:rsidRPr="00825EEB">
        <w:t xml:space="preserve"> 1 գ </w:t>
      </w:r>
      <w:r>
        <w:t>եւ</w:t>
      </w:r>
      <w:r w:rsidRPr="00825EEB">
        <w:t xml:space="preserve"> անմիջապես տիտրում </w:t>
      </w:r>
      <w:r w:rsidRPr="00825EEB">
        <w:rPr>
          <w:i/>
        </w:rPr>
        <w:t>0,01 Մ նատրիումի թիոսուլֆատի</w:t>
      </w:r>
      <w:r w:rsidRPr="00825EEB">
        <w:t xml:space="preserve"> լուծույթով՝ որպես ցուցիչ օգտագործելով </w:t>
      </w:r>
      <w:r w:rsidRPr="00825EEB">
        <w:rPr>
          <w:i/>
        </w:rPr>
        <w:t>Ռ օսլայի լուծույթի 0,25 մլ</w:t>
      </w:r>
      <w:r w:rsidRPr="00825EEB">
        <w:t xml:space="preserve">: Զուգահեռ կատարում են ստուգիչ փորձարկում՝ օգտագործելով </w:t>
      </w:r>
      <w:r w:rsidRPr="00825EEB">
        <w:rPr>
          <w:i/>
        </w:rPr>
        <w:t>Ռ ջրի</w:t>
      </w:r>
      <w:r w:rsidRPr="00825EEB">
        <w:t xml:space="preserve"> 20 մլ: Տիտրանտների ծավալների միջ</w:t>
      </w:r>
      <w:r>
        <w:t>եւ</w:t>
      </w:r>
      <w:r w:rsidRPr="00825EEB">
        <w:t xml:space="preserve"> տարբերությունը չպետք է գերազանցի 2,0 մլ-ը:</w:t>
      </w:r>
    </w:p>
    <w:p w14:paraId="2873300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Առաջնային արոմատիկ ամինները։ </w:t>
      </w:r>
      <w:r w:rsidRPr="00825EEB">
        <w:rPr>
          <w:rFonts w:ascii="Sylfaen" w:hAnsi="Sylfaen"/>
          <w:sz w:val="24"/>
          <w:szCs w:val="24"/>
        </w:rPr>
        <w:t>20 ppm-ից ոչ ավելի։</w:t>
      </w:r>
    </w:p>
    <w:p w14:paraId="6607050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«Նույնականացում»</w:t>
      </w:r>
      <w:r w:rsidRPr="00825EEB">
        <w:rPr>
          <w:rFonts w:ascii="Sylfaen" w:hAnsi="Sylfaen"/>
          <w:sz w:val="24"/>
          <w:szCs w:val="24"/>
        </w:rPr>
        <w:t xml:space="preserve"> փորձարկումն անցկացնելու ընթացքում ստացված Ա1 լուծույթի 2,5 մլ-ին ավելացնում են </w:t>
      </w:r>
      <w:r w:rsidRPr="00825EEB">
        <w:rPr>
          <w:rFonts w:ascii="Sylfaen" w:hAnsi="Sylfaen"/>
          <w:i/>
          <w:sz w:val="24"/>
          <w:szCs w:val="24"/>
        </w:rPr>
        <w:t>Ռ ջրի</w:t>
      </w:r>
      <w:r w:rsidRPr="00825EEB">
        <w:rPr>
          <w:rFonts w:ascii="Sylfaen" w:hAnsi="Sylfaen"/>
          <w:sz w:val="24"/>
          <w:szCs w:val="24"/>
        </w:rPr>
        <w:t xml:space="preserve"> 6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0,1 Մ քլորաջրածնային թթվի</w:t>
      </w:r>
      <w:r w:rsidRPr="00825EEB">
        <w:rPr>
          <w:rFonts w:ascii="Sylfaen" w:hAnsi="Sylfaen"/>
          <w:sz w:val="24"/>
          <w:szCs w:val="24"/>
        </w:rPr>
        <w:t xml:space="preserve"> 4 մլ: Ստացված ջրային լուծույթն ինտենսիվորեն թափահարում են </w:t>
      </w:r>
      <w:r>
        <w:rPr>
          <w:rFonts w:ascii="Sylfaen" w:hAnsi="Sylfaen"/>
          <w:sz w:val="24"/>
          <w:szCs w:val="24"/>
        </w:rPr>
        <w:t>եւ</w:t>
      </w:r>
      <w:r w:rsidRPr="00825EEB">
        <w:rPr>
          <w:rFonts w:ascii="Sylfaen" w:hAnsi="Sylfaen"/>
          <w:sz w:val="24"/>
          <w:szCs w:val="24"/>
        </w:rPr>
        <w:t xml:space="preserve"> հեռացնում վեր</w:t>
      </w:r>
      <w:r>
        <w:rPr>
          <w:rFonts w:ascii="Sylfaen" w:hAnsi="Sylfaen"/>
          <w:sz w:val="24"/>
          <w:szCs w:val="24"/>
        </w:rPr>
        <w:t>եւ</w:t>
      </w:r>
      <w:r w:rsidRPr="00825EEB">
        <w:rPr>
          <w:rFonts w:ascii="Sylfaen" w:hAnsi="Sylfaen"/>
          <w:sz w:val="24"/>
          <w:szCs w:val="24"/>
        </w:rPr>
        <w:t xml:space="preserve">ի շերտը: Ավելացնում են 10 գ/լ </w:t>
      </w:r>
      <w:r w:rsidRPr="00825EEB">
        <w:rPr>
          <w:rFonts w:ascii="Sylfaen" w:hAnsi="Sylfaen"/>
          <w:i/>
          <w:sz w:val="24"/>
          <w:szCs w:val="24"/>
        </w:rPr>
        <w:t>Ռ նատրիումի նիտրիտի</w:t>
      </w:r>
      <w:r w:rsidRPr="00825EEB">
        <w:rPr>
          <w:rFonts w:ascii="Sylfaen" w:hAnsi="Sylfaen"/>
          <w:sz w:val="24"/>
          <w:szCs w:val="24"/>
        </w:rPr>
        <w:t xml:space="preserve"> թարմ պատրաստված լուծույթի 0,4 մլ, խառնում են </w:t>
      </w:r>
      <w:r>
        <w:rPr>
          <w:rFonts w:ascii="Sylfaen" w:hAnsi="Sylfaen"/>
          <w:sz w:val="24"/>
          <w:szCs w:val="24"/>
        </w:rPr>
        <w:t>եւ</w:t>
      </w:r>
      <w:r w:rsidRPr="00825EEB">
        <w:rPr>
          <w:rFonts w:ascii="Sylfaen" w:hAnsi="Sylfaen"/>
          <w:sz w:val="24"/>
          <w:szCs w:val="24"/>
        </w:rPr>
        <w:t xml:space="preserve"> թողնում 1 րոպե: Ավելացնում են 25 գ/լ </w:t>
      </w:r>
      <w:r w:rsidRPr="00825EEB">
        <w:rPr>
          <w:rFonts w:ascii="Sylfaen" w:hAnsi="Sylfaen"/>
          <w:i/>
          <w:sz w:val="24"/>
          <w:szCs w:val="24"/>
        </w:rPr>
        <w:t>Ռ ամոնիումի սուլֆամատի</w:t>
      </w:r>
      <w:r w:rsidRPr="00825EEB">
        <w:rPr>
          <w:rFonts w:ascii="Sylfaen" w:hAnsi="Sylfaen"/>
          <w:sz w:val="24"/>
          <w:szCs w:val="24"/>
        </w:rPr>
        <w:t xml:space="preserve"> լուծույթի 0,8 մլ, թողնում 1 րոպե </w:t>
      </w:r>
      <w:r>
        <w:rPr>
          <w:rFonts w:ascii="Sylfaen" w:hAnsi="Sylfaen"/>
          <w:sz w:val="24"/>
          <w:szCs w:val="24"/>
        </w:rPr>
        <w:t>եւ</w:t>
      </w:r>
      <w:r w:rsidRPr="00825EEB">
        <w:rPr>
          <w:rFonts w:ascii="Sylfaen" w:hAnsi="Sylfaen"/>
          <w:sz w:val="24"/>
          <w:szCs w:val="24"/>
        </w:rPr>
        <w:t xml:space="preserve"> ավելացնում 5 գ/լ </w:t>
      </w:r>
      <w:r w:rsidRPr="00825EEB">
        <w:rPr>
          <w:rFonts w:ascii="Sylfaen" w:hAnsi="Sylfaen"/>
          <w:i/>
          <w:sz w:val="24"/>
          <w:szCs w:val="24"/>
        </w:rPr>
        <w:t>Ռ նաֆթիլէթիլենդիամինի դիհիդրոքլորիդի</w:t>
      </w:r>
      <w:r w:rsidRPr="00825EEB">
        <w:rPr>
          <w:rFonts w:ascii="Sylfaen" w:hAnsi="Sylfaen"/>
          <w:sz w:val="24"/>
          <w:szCs w:val="24"/>
        </w:rPr>
        <w:t xml:space="preserve"> լուծույթի 2 մլ: Ստացված լուծույթի ցանկացած գունավորում 30 րոպե անց պետք է լինի</w:t>
      </w:r>
      <w:r w:rsidRPr="00825EEB" w:rsidDel="00A30209">
        <w:rPr>
          <w:rFonts w:ascii="Sylfaen" w:hAnsi="Sylfaen"/>
          <w:sz w:val="24"/>
          <w:szCs w:val="24"/>
        </w:rPr>
        <w:t xml:space="preserve"> </w:t>
      </w:r>
      <w:r w:rsidRPr="00825EEB">
        <w:rPr>
          <w:rFonts w:ascii="Sylfaen" w:hAnsi="Sylfaen"/>
          <w:sz w:val="24"/>
          <w:szCs w:val="24"/>
        </w:rPr>
        <w:t xml:space="preserve">ոչ ինտենսիվ, քան </w:t>
      </w:r>
      <w:r w:rsidRPr="00825EEB">
        <w:rPr>
          <w:rFonts w:ascii="Sylfaen" w:hAnsi="Sylfaen"/>
          <w:sz w:val="24"/>
          <w:szCs w:val="24"/>
        </w:rPr>
        <w:lastRenderedPageBreak/>
        <w:t xml:space="preserve">համեմատության լուծույթի գունավորումն է: Համեմատության լուծույթը պատրաստում են փորձարկվող լուծույթին զուգահեռ՝ նույն եղանակով, բայց ջրային լուծույթի փոխարեն օգտագործում են </w:t>
      </w:r>
      <w:r w:rsidRPr="00825EEB">
        <w:rPr>
          <w:rFonts w:ascii="Sylfaen" w:hAnsi="Sylfaen"/>
          <w:i/>
          <w:sz w:val="24"/>
          <w:szCs w:val="24"/>
        </w:rPr>
        <w:t>0,1 Մ քլորաջրածնային թթվի</w:t>
      </w:r>
      <w:r w:rsidRPr="00825EEB">
        <w:rPr>
          <w:rFonts w:ascii="Sylfaen" w:hAnsi="Sylfaen"/>
          <w:sz w:val="24"/>
          <w:szCs w:val="24"/>
        </w:rPr>
        <w:t xml:space="preserve"> մեջ 0,01</w:t>
      </w:r>
      <w:r w:rsidR="00492AA6" w:rsidRPr="00492AA6">
        <w:rPr>
          <w:rFonts w:ascii="Sylfaen" w:hAnsi="Sylfaen"/>
          <w:sz w:val="24"/>
          <w:szCs w:val="24"/>
        </w:rPr>
        <w:t> </w:t>
      </w:r>
      <w:r w:rsidRPr="00825EEB">
        <w:rPr>
          <w:rFonts w:ascii="Sylfaen" w:hAnsi="Sylfaen"/>
          <w:sz w:val="24"/>
          <w:szCs w:val="24"/>
        </w:rPr>
        <w:t xml:space="preserve">գ/լ </w:t>
      </w:r>
      <w:r w:rsidRPr="00825EEB">
        <w:rPr>
          <w:rFonts w:ascii="Sylfaen" w:hAnsi="Sylfaen"/>
          <w:i/>
          <w:sz w:val="24"/>
          <w:szCs w:val="24"/>
        </w:rPr>
        <w:t>Ռ նաֆթիլամինի</w:t>
      </w:r>
      <w:r w:rsidRPr="00825EEB">
        <w:rPr>
          <w:rFonts w:ascii="Sylfaen" w:hAnsi="Sylfaen"/>
          <w:sz w:val="24"/>
          <w:szCs w:val="24"/>
        </w:rPr>
        <w:t xml:space="preserve"> 1 մլ, </w:t>
      </w:r>
      <w:r w:rsidRPr="00825EEB">
        <w:rPr>
          <w:rFonts w:ascii="Sylfaen" w:hAnsi="Sylfaen"/>
          <w:i/>
          <w:sz w:val="24"/>
          <w:szCs w:val="24"/>
        </w:rPr>
        <w:t>Ռ ջրի</w:t>
      </w:r>
      <w:r w:rsidRPr="00825EEB">
        <w:rPr>
          <w:rFonts w:ascii="Sylfaen" w:hAnsi="Sylfaen"/>
          <w:sz w:val="24"/>
          <w:szCs w:val="24"/>
        </w:rPr>
        <w:t xml:space="preserve"> 5 մլ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0,1 Մ քլորաջրածնային թթվի</w:t>
      </w:r>
      <w:r w:rsidRPr="00825EEB">
        <w:rPr>
          <w:rFonts w:ascii="Sylfaen" w:hAnsi="Sylfaen"/>
          <w:sz w:val="24"/>
          <w:szCs w:val="24"/>
        </w:rPr>
        <w:t xml:space="preserve"> 4 մլ խառնուրդը:</w:t>
      </w:r>
    </w:p>
    <w:p w14:paraId="365931D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Պոլիմերային 01 նյութի հավելանյութ: </w:t>
      </w:r>
      <w:r w:rsidRPr="00825EEB">
        <w:rPr>
          <w:rFonts w:ascii="Sylfaen" w:hAnsi="Sylfaen"/>
          <w:sz w:val="24"/>
          <w:szCs w:val="24"/>
        </w:rPr>
        <w:t>Որոշումն անցկացնում են գազային քրոմատագրման մեթոդով (</w:t>
      </w:r>
      <w:r w:rsidRPr="00825EEB">
        <w:rPr>
          <w:rFonts w:ascii="Sylfaen" w:hAnsi="Sylfaen"/>
          <w:i/>
          <w:sz w:val="24"/>
          <w:szCs w:val="24"/>
        </w:rPr>
        <w:t>2.1.2.27</w:t>
      </w:r>
      <w:r w:rsidRPr="00825EEB">
        <w:rPr>
          <w:rFonts w:ascii="Sylfaen" w:hAnsi="Sylfaen"/>
          <w:sz w:val="24"/>
          <w:szCs w:val="24"/>
        </w:rPr>
        <w:t>)՝ զանգվածասպեկտրաչափության հետ համակցմամբ (</w:t>
      </w:r>
      <w:r w:rsidRPr="00825EEB">
        <w:rPr>
          <w:rFonts w:ascii="Sylfaen" w:hAnsi="Sylfaen"/>
          <w:i/>
          <w:sz w:val="24"/>
          <w:szCs w:val="24"/>
        </w:rPr>
        <w:t>2.1.2.51</w:t>
      </w:r>
      <w:r w:rsidRPr="00825EEB">
        <w:rPr>
          <w:rFonts w:ascii="Sylfaen" w:hAnsi="Sylfaen"/>
          <w:sz w:val="24"/>
          <w:szCs w:val="24"/>
        </w:rPr>
        <w:t>)։</w:t>
      </w:r>
    </w:p>
    <w:p w14:paraId="16D8E8F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Տ3 ներքին ստանդարտի լուծույթը։ Ռ քրոմատագրման համար տետրահիդրոֆուրանի մեջ Ռ դի-ն-օկտիլֆտալատի</w:t>
      </w:r>
      <w:r w:rsidRPr="00825EEB">
        <w:rPr>
          <w:rFonts w:ascii="Sylfaen" w:hAnsi="Sylfaen"/>
          <w:sz w:val="24"/>
          <w:szCs w:val="24"/>
        </w:rPr>
        <w:t xml:space="preserve"> լուծույթի 1 մգ/մլ:</w:t>
      </w:r>
    </w:p>
    <w:p w14:paraId="1A6DC42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Տ4 ներքին ստանդարտի լուծույթը։ Ռ անջուր էթանոլի</w:t>
      </w:r>
      <w:r w:rsidRPr="00825EEB">
        <w:rPr>
          <w:rFonts w:ascii="Sylfaen" w:hAnsi="Sylfaen"/>
          <w:sz w:val="24"/>
          <w:szCs w:val="24"/>
        </w:rPr>
        <w:t xml:space="preserve"> մեջ </w:t>
      </w:r>
      <w:r w:rsidRPr="00825EEB">
        <w:rPr>
          <w:rFonts w:ascii="Sylfaen" w:hAnsi="Sylfaen"/>
          <w:i/>
          <w:sz w:val="24"/>
          <w:szCs w:val="24"/>
        </w:rPr>
        <w:t>Ռ դի-ն-օկտիլֆտալատի</w:t>
      </w:r>
      <w:r w:rsidRPr="00825EEB">
        <w:rPr>
          <w:rFonts w:ascii="Sylfaen" w:hAnsi="Sylfaen"/>
          <w:sz w:val="24"/>
          <w:szCs w:val="24"/>
        </w:rPr>
        <w:t xml:space="preserve"> լուծույթի 5 մկգ/մլ:</w:t>
      </w:r>
    </w:p>
    <w:p w14:paraId="000B4BD7" w14:textId="77777777" w:rsidR="00F24391"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Նյութի փորձարկվող նմուշի 0,2 գ-ը կտրատել մոտ 0,5</w:t>
      </w:r>
      <w:r w:rsidR="00492AA6" w:rsidRPr="00492AA6">
        <w:rPr>
          <w:rFonts w:ascii="Sylfaen" w:hAnsi="Sylfaen"/>
          <w:sz w:val="24"/>
          <w:szCs w:val="24"/>
        </w:rPr>
        <w:t> </w:t>
      </w:r>
      <w:r w:rsidRPr="00825EEB">
        <w:rPr>
          <w:rFonts w:ascii="Sylfaen" w:hAnsi="Sylfaen"/>
          <w:sz w:val="24"/>
          <w:szCs w:val="24"/>
        </w:rPr>
        <w:t>սմ երկարությամբ շերտերի: Շերտերը լուծել Տ3 ներքին ստանդարտի լուծույթի 12,5 մլ-ի մեջ՝ օգտագործելով պոլիտետրաֆտորէթիլենով պատված մագնիսով մագնիսական խառնիչը: Խառնում են 20-ից 30 րոպե՝ մինչ</w:t>
      </w:r>
      <w:r>
        <w:rPr>
          <w:rFonts w:ascii="Sylfaen" w:hAnsi="Sylfaen"/>
          <w:sz w:val="24"/>
          <w:szCs w:val="24"/>
        </w:rPr>
        <w:t>եւ</w:t>
      </w:r>
      <w:r w:rsidRPr="00825EEB">
        <w:rPr>
          <w:rFonts w:ascii="Sylfaen" w:hAnsi="Sylfaen"/>
          <w:sz w:val="24"/>
          <w:szCs w:val="24"/>
        </w:rPr>
        <w:t xml:space="preserve"> նյութի փորձարկվող նմուշի լրիվ լուծվելը: Ստացված լուծույթի մեջ վինիլքլորիդի նստեցման համար կաթիլ առ կաթիլ ավելացնում են </w:t>
      </w:r>
      <w:r w:rsidRPr="00825EEB">
        <w:rPr>
          <w:rFonts w:ascii="Sylfaen" w:hAnsi="Sylfaen"/>
          <w:i/>
          <w:sz w:val="24"/>
          <w:szCs w:val="24"/>
        </w:rPr>
        <w:t>Ռ անջուր էթանոլի</w:t>
      </w:r>
      <w:r w:rsidRPr="00825EEB">
        <w:rPr>
          <w:rFonts w:ascii="Sylfaen" w:hAnsi="Sylfaen"/>
          <w:sz w:val="24"/>
          <w:szCs w:val="24"/>
        </w:rPr>
        <w:t xml:space="preserve"> 37,5 մլ:</w:t>
      </w:r>
      <w:r w:rsidRPr="00825EEB">
        <w:rPr>
          <w:rFonts w:ascii="Sylfaen" w:hAnsi="Sylfaen"/>
          <w:i/>
          <w:sz w:val="24"/>
          <w:szCs w:val="24"/>
        </w:rPr>
        <w:t xml:space="preserve"> </w:t>
      </w:r>
      <w:r w:rsidRPr="00825EEB">
        <w:rPr>
          <w:rFonts w:ascii="Sylfaen" w:hAnsi="Sylfaen"/>
          <w:sz w:val="24"/>
          <w:szCs w:val="24"/>
        </w:rPr>
        <w:t xml:space="preserve">Ցենտրիֆուգում են: Վերնստվածքային հեղուկի 1,0 մլ-ը </w:t>
      </w:r>
      <w:r w:rsidRPr="00825EEB">
        <w:rPr>
          <w:rFonts w:ascii="Sylfaen" w:hAnsi="Sylfaen"/>
          <w:i/>
          <w:sz w:val="24"/>
          <w:szCs w:val="24"/>
        </w:rPr>
        <w:t>Ռ անջուր էթանոլով</w:t>
      </w:r>
      <w:r w:rsidRPr="00825EEB">
        <w:rPr>
          <w:rFonts w:ascii="Sylfaen" w:hAnsi="Sylfaen"/>
          <w:sz w:val="24"/>
          <w:szCs w:val="24"/>
        </w:rPr>
        <w:t xml:space="preserve"> հասցնում են մինչեւ 50,0</w:t>
      </w:r>
      <w:r w:rsidR="00492AA6" w:rsidRPr="00492AA6">
        <w:rPr>
          <w:rFonts w:ascii="Sylfaen" w:hAnsi="Sylfaen"/>
          <w:sz w:val="24"/>
          <w:szCs w:val="24"/>
        </w:rPr>
        <w:t> </w:t>
      </w:r>
      <w:r w:rsidRPr="00825EEB">
        <w:rPr>
          <w:rFonts w:ascii="Sylfaen" w:hAnsi="Sylfaen"/>
          <w:sz w:val="24"/>
          <w:szCs w:val="24"/>
        </w:rPr>
        <w:t>մլ ծավալը։ Փորձարկվող լուծույթի մեջ ներքին ստանդարտի վերջնական կոնցենտրացիան կազմում է 5</w:t>
      </w:r>
      <w:r w:rsidR="00492AA6">
        <w:rPr>
          <w:rFonts w:ascii="Sylfaen" w:hAnsi="Sylfaen"/>
          <w:sz w:val="24"/>
          <w:szCs w:val="24"/>
        </w:rPr>
        <w:t xml:space="preserve"> մկգ/մլ: Փորձարկվող լուծույթը 4</w:t>
      </w:r>
      <w:r w:rsidRPr="00825EEB">
        <w:rPr>
          <w:rFonts w:ascii="Sylfaen" w:hAnsi="Sylfaen"/>
          <w:sz w:val="24"/>
          <w:szCs w:val="24"/>
        </w:rPr>
        <w:t>°C ջերմաստիճանում կարելի է պահել մինչ</w:t>
      </w:r>
      <w:r>
        <w:rPr>
          <w:rFonts w:ascii="Sylfaen" w:hAnsi="Sylfaen"/>
          <w:sz w:val="24"/>
          <w:szCs w:val="24"/>
        </w:rPr>
        <w:t>եւ</w:t>
      </w:r>
      <w:r w:rsidRPr="00825EEB">
        <w:rPr>
          <w:rFonts w:ascii="Sylfaen" w:hAnsi="Sylfaen"/>
          <w:sz w:val="24"/>
          <w:szCs w:val="24"/>
        </w:rPr>
        <w:t xml:space="preserve"> 2 շաբաթ։</w:t>
      </w:r>
    </w:p>
    <w:p w14:paraId="4C691CA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Հիմնական լուծույթը։</w:t>
      </w:r>
      <w:r w:rsidRPr="00825EEB">
        <w:rPr>
          <w:rFonts w:ascii="Sylfaen" w:hAnsi="Sylfaen"/>
          <w:sz w:val="24"/>
          <w:szCs w:val="24"/>
        </w:rPr>
        <w:t xml:space="preserve"> </w:t>
      </w:r>
      <w:r w:rsidRPr="00825EEB">
        <w:rPr>
          <w:rFonts w:ascii="Sylfaen" w:hAnsi="Sylfaen"/>
          <w:i/>
          <w:sz w:val="24"/>
          <w:szCs w:val="24"/>
        </w:rPr>
        <w:t>Պոլիմերային 01 նյութի հավելանյութի ԵԱՏՄԴ ՍՆ</w:t>
      </w:r>
      <w:r w:rsidRPr="00825EEB">
        <w:rPr>
          <w:rFonts w:ascii="Sylfaen" w:hAnsi="Sylfaen"/>
          <w:sz w:val="24"/>
          <w:szCs w:val="24"/>
        </w:rPr>
        <w:t xml:space="preserve"> 20,0</w:t>
      </w:r>
      <w:r w:rsidR="00492AA6" w:rsidRPr="00492AA6">
        <w:rPr>
          <w:rFonts w:ascii="Sylfaen" w:hAnsi="Sylfaen"/>
          <w:sz w:val="24"/>
          <w:szCs w:val="24"/>
        </w:rPr>
        <w:t> </w:t>
      </w:r>
      <w:r w:rsidRPr="00825EEB">
        <w:rPr>
          <w:rFonts w:ascii="Sylfaen" w:hAnsi="Sylfaen"/>
          <w:sz w:val="24"/>
          <w:szCs w:val="24"/>
        </w:rPr>
        <w:t xml:space="preserve">մգ-ը լուծում են Տ4 ներքին ստանդարտի լուծույթի մեջ </w:t>
      </w:r>
      <w:r>
        <w:rPr>
          <w:rFonts w:ascii="Sylfaen" w:hAnsi="Sylfaen"/>
          <w:sz w:val="24"/>
          <w:szCs w:val="24"/>
        </w:rPr>
        <w:t>եւ</w:t>
      </w:r>
      <w:r w:rsidRPr="00825EEB">
        <w:rPr>
          <w:rFonts w:ascii="Sylfaen" w:hAnsi="Sylfaen"/>
          <w:sz w:val="24"/>
          <w:szCs w:val="24"/>
        </w:rPr>
        <w:t xml:space="preserve"> նույն լուծիչով հասցնում մինչ</w:t>
      </w:r>
      <w:r>
        <w:rPr>
          <w:rFonts w:ascii="Sylfaen" w:hAnsi="Sylfaen"/>
          <w:sz w:val="24"/>
          <w:szCs w:val="24"/>
        </w:rPr>
        <w:t>եւ</w:t>
      </w:r>
      <w:r w:rsidRPr="00825EEB">
        <w:rPr>
          <w:rFonts w:ascii="Sylfaen" w:hAnsi="Sylfaen"/>
          <w:sz w:val="24"/>
          <w:szCs w:val="24"/>
        </w:rPr>
        <w:t xml:space="preserve"> 20,0 մլ:</w:t>
      </w:r>
    </w:p>
    <w:p w14:paraId="777CBFD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(ա1) – (ա5) լուծույթները։</w:t>
      </w:r>
      <w:r w:rsidRPr="00825EEB">
        <w:rPr>
          <w:rFonts w:ascii="Sylfaen" w:hAnsi="Sylfaen"/>
          <w:sz w:val="24"/>
          <w:szCs w:val="24"/>
        </w:rPr>
        <w:t xml:space="preserve"> Հիմնական լուծույթը նոսրացնում</w:t>
      </w:r>
      <w:r w:rsidR="00492AA6" w:rsidRPr="00492AA6">
        <w:rPr>
          <w:rFonts w:ascii="Sylfaen" w:hAnsi="Sylfaen"/>
          <w:sz w:val="24"/>
          <w:szCs w:val="24"/>
        </w:rPr>
        <w:t> </w:t>
      </w:r>
      <w:r w:rsidRPr="00825EEB">
        <w:rPr>
          <w:rFonts w:ascii="Sylfaen" w:hAnsi="Sylfaen"/>
          <w:sz w:val="24"/>
          <w:szCs w:val="24"/>
        </w:rPr>
        <w:t xml:space="preserve">են S4 ներքին ստանդարտի լուծույթով՝ </w:t>
      </w:r>
      <w:r w:rsidRPr="00825EEB">
        <w:rPr>
          <w:rFonts w:ascii="Sylfaen" w:hAnsi="Sylfaen"/>
          <w:i/>
          <w:sz w:val="24"/>
          <w:szCs w:val="24"/>
        </w:rPr>
        <w:t xml:space="preserve">պոլիմերային 01 նյութի </w:t>
      </w:r>
      <w:r w:rsidRPr="00825EEB">
        <w:rPr>
          <w:rFonts w:ascii="Sylfaen" w:hAnsi="Sylfaen"/>
          <w:i/>
          <w:sz w:val="24"/>
          <w:szCs w:val="24"/>
        </w:rPr>
        <w:lastRenderedPageBreak/>
        <w:t>հավելանյութի ԵԱՏՄԴ ՍՆ</w:t>
      </w:r>
      <w:r w:rsidRPr="00825EEB">
        <w:rPr>
          <w:rFonts w:ascii="Sylfaen" w:hAnsi="Sylfaen"/>
          <w:sz w:val="24"/>
          <w:szCs w:val="24"/>
        </w:rPr>
        <w:t>-ի 10-ից 40 մկգ/մլ պարունակող հինգ համեմատության լուծույթներ ստանալու համար:</w:t>
      </w:r>
    </w:p>
    <w:p w14:paraId="07D91AD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2EE75B56"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i/>
          <w:sz w:val="24"/>
          <w:szCs w:val="24"/>
        </w:rPr>
      </w:pPr>
      <w:r w:rsidRPr="00825EEB">
        <w:rPr>
          <w:rFonts w:ascii="Sylfaen" w:hAnsi="Sylfaen"/>
          <w:i/>
          <w:sz w:val="24"/>
          <w:szCs w:val="24"/>
        </w:rPr>
        <w:t>-</w:t>
      </w:r>
      <w:r w:rsidR="00492AA6" w:rsidRPr="00492AA6">
        <w:rPr>
          <w:rFonts w:ascii="Sylfaen" w:hAnsi="Sylfaen"/>
          <w:i/>
          <w:sz w:val="24"/>
          <w:szCs w:val="24"/>
        </w:rPr>
        <w:tab/>
      </w:r>
      <w:r w:rsidRPr="00825EEB">
        <w:rPr>
          <w:rFonts w:ascii="Sylfaen" w:hAnsi="Sylfaen"/>
          <w:sz w:val="24"/>
          <w:szCs w:val="24"/>
        </w:rPr>
        <w:t xml:space="preserve">չժանգոտող պողպատից, 3 մ երկարությամբ </w:t>
      </w:r>
      <w:r>
        <w:rPr>
          <w:rFonts w:ascii="Sylfaen" w:hAnsi="Sylfaen"/>
          <w:sz w:val="24"/>
          <w:szCs w:val="24"/>
        </w:rPr>
        <w:t>եւ</w:t>
      </w:r>
      <w:r w:rsidRPr="00825EEB">
        <w:rPr>
          <w:rFonts w:ascii="Sylfaen" w:hAnsi="Sylfaen"/>
          <w:sz w:val="24"/>
          <w:szCs w:val="24"/>
        </w:rPr>
        <w:t xml:space="preserve"> 3 մմ ներքին տրամագծով</w:t>
      </w:r>
      <w:r w:rsidRPr="00825EEB">
        <w:rPr>
          <w:rFonts w:ascii="Sylfaen" w:hAnsi="Sylfaen"/>
          <w:i/>
          <w:sz w:val="24"/>
          <w:szCs w:val="24"/>
        </w:rPr>
        <w:t xml:space="preserve"> աշտարակ, </w:t>
      </w:r>
      <w:r w:rsidRPr="00825EEB">
        <w:rPr>
          <w:rFonts w:ascii="Sylfaen" w:hAnsi="Sylfaen"/>
          <w:sz w:val="24"/>
          <w:szCs w:val="24"/>
        </w:rPr>
        <w:t>որը պատված է</w:t>
      </w:r>
      <w:r w:rsidRPr="00825EEB">
        <w:rPr>
          <w:rFonts w:ascii="Sylfaen" w:hAnsi="Sylfaen"/>
          <w:i/>
          <w:sz w:val="24"/>
          <w:szCs w:val="24"/>
        </w:rPr>
        <w:t xml:space="preserve"> </w:t>
      </w:r>
      <w:r w:rsidRPr="00825EEB">
        <w:rPr>
          <w:rFonts w:ascii="Sylfaen" w:hAnsi="Sylfaen"/>
          <w:sz w:val="24"/>
          <w:szCs w:val="24"/>
        </w:rPr>
        <w:t>0,25 մկմ հաստությամբ</w:t>
      </w:r>
      <w:r w:rsidRPr="00825EEB">
        <w:rPr>
          <w:rFonts w:ascii="Sylfaen" w:hAnsi="Sylfaen"/>
          <w:i/>
          <w:sz w:val="24"/>
          <w:szCs w:val="24"/>
        </w:rPr>
        <w:t xml:space="preserve"> Ռ ֆենիլ(5)մեթիլ(95)պոլիսիլօքսանով.</w:t>
      </w:r>
    </w:p>
    <w:p w14:paraId="7CA7B2AD"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t>-</w:t>
      </w:r>
      <w:r w:rsidR="00492AA6" w:rsidRPr="00A859E3">
        <w:rPr>
          <w:rFonts w:ascii="Sylfaen" w:hAnsi="Sylfaen"/>
          <w:i/>
          <w:sz w:val="24"/>
          <w:szCs w:val="24"/>
        </w:rPr>
        <w:tab/>
      </w:r>
      <w:r w:rsidRPr="00825EEB">
        <w:rPr>
          <w:rFonts w:ascii="Sylfaen" w:hAnsi="Sylfaen"/>
          <w:i/>
          <w:sz w:val="24"/>
          <w:szCs w:val="24"/>
        </w:rPr>
        <w:t>կրող գազը՝ քրոմատագրման Ռ հելիում.</w:t>
      </w:r>
    </w:p>
    <w:p w14:paraId="487E9F24"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կրող գազի արագությունը՝</w:t>
      </w:r>
      <w:r w:rsidR="0058052E" w:rsidRPr="00825EEB">
        <w:rPr>
          <w:rFonts w:ascii="Sylfaen" w:hAnsi="Sylfaen"/>
          <w:sz w:val="24"/>
          <w:szCs w:val="24"/>
        </w:rPr>
        <w:t xml:space="preserve"> 1 մլ/րոպե.</w:t>
      </w:r>
    </w:p>
    <w:p w14:paraId="3CAC1181"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հոսքի բաժանումը՝</w:t>
      </w:r>
      <w:r w:rsidR="0058052E" w:rsidRPr="00825EEB">
        <w:rPr>
          <w:rFonts w:ascii="Sylfaen" w:hAnsi="Sylfaen"/>
          <w:sz w:val="24"/>
          <w:szCs w:val="24"/>
        </w:rPr>
        <w:t xml:space="preserve"> 1:20.</w:t>
      </w:r>
    </w:p>
    <w:p w14:paraId="30284B25"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i/>
          <w:iCs/>
          <w:sz w:val="24"/>
          <w:szCs w:val="24"/>
        </w:rPr>
      </w:pPr>
      <w:r>
        <w:rPr>
          <w:rFonts w:ascii="Sylfaen" w:hAnsi="Sylfaen"/>
          <w:i/>
          <w:sz w:val="24"/>
          <w:szCs w:val="24"/>
        </w:rPr>
        <w:t>-</w:t>
      </w:r>
      <w:r w:rsidRPr="00A859E3">
        <w:rPr>
          <w:rFonts w:ascii="Sylfaen" w:hAnsi="Sylfaen"/>
          <w:i/>
          <w:sz w:val="24"/>
          <w:szCs w:val="24"/>
        </w:rPr>
        <w:tab/>
      </w:r>
      <w:r w:rsidR="0058052E" w:rsidRPr="00825EEB">
        <w:rPr>
          <w:rFonts w:ascii="Sylfaen" w:hAnsi="Sylfaen"/>
          <w:i/>
          <w:sz w:val="24"/>
          <w:szCs w:val="24"/>
        </w:rPr>
        <w:t>ջերմաստիճանի փոփոխման ռեժիմը՝</w:t>
      </w:r>
    </w:p>
    <w:tbl>
      <w:tblPr>
        <w:tblW w:w="0" w:type="auto"/>
        <w:tblLayout w:type="fixed"/>
        <w:tblCellMar>
          <w:left w:w="0" w:type="dxa"/>
          <w:right w:w="0" w:type="dxa"/>
        </w:tblCellMar>
        <w:tblLook w:val="0000" w:firstRow="0" w:lastRow="0" w:firstColumn="0" w:lastColumn="0" w:noHBand="0" w:noVBand="0"/>
      </w:tblPr>
      <w:tblGrid>
        <w:gridCol w:w="2410"/>
        <w:gridCol w:w="1843"/>
        <w:gridCol w:w="2126"/>
      </w:tblGrid>
      <w:tr w:rsidR="0058052E" w:rsidRPr="00492AA6" w14:paraId="25D2AC1B" w14:textId="77777777" w:rsidTr="00DA21D0">
        <w:trPr>
          <w:trHeight w:val="398"/>
        </w:trPr>
        <w:tc>
          <w:tcPr>
            <w:tcW w:w="2410" w:type="dxa"/>
            <w:tcBorders>
              <w:top w:val="single" w:sz="4" w:space="0" w:color="auto"/>
              <w:left w:val="nil"/>
              <w:bottom w:val="nil"/>
              <w:right w:val="nil"/>
            </w:tcBorders>
            <w:shd w:val="clear" w:color="auto" w:fill="FFFFFF"/>
          </w:tcPr>
          <w:p w14:paraId="14D796A5" w14:textId="77777777" w:rsidR="0058052E" w:rsidRPr="00492AA6" w:rsidRDefault="0058052E" w:rsidP="00492AA6">
            <w:pPr>
              <w:spacing w:after="120"/>
              <w:jc w:val="center"/>
              <w:rPr>
                <w:rFonts w:eastAsia="Times New Roman" w:cs="Times New Roman"/>
                <w:color w:val="auto"/>
                <w:sz w:val="20"/>
                <w:szCs w:val="20"/>
              </w:rPr>
            </w:pPr>
          </w:p>
        </w:tc>
        <w:tc>
          <w:tcPr>
            <w:tcW w:w="1843" w:type="dxa"/>
            <w:tcBorders>
              <w:top w:val="single" w:sz="4" w:space="0" w:color="auto"/>
              <w:left w:val="nil"/>
              <w:bottom w:val="nil"/>
              <w:right w:val="nil"/>
            </w:tcBorders>
            <w:shd w:val="clear" w:color="auto" w:fill="FFFFFF"/>
            <w:vAlign w:val="bottom"/>
          </w:tcPr>
          <w:p w14:paraId="2DBB075E"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Ժամանակը (րոպե)</w:t>
            </w:r>
          </w:p>
        </w:tc>
        <w:tc>
          <w:tcPr>
            <w:tcW w:w="2126" w:type="dxa"/>
            <w:tcBorders>
              <w:top w:val="single" w:sz="4" w:space="0" w:color="auto"/>
              <w:left w:val="nil"/>
              <w:bottom w:val="nil"/>
              <w:right w:val="nil"/>
            </w:tcBorders>
            <w:shd w:val="clear" w:color="auto" w:fill="FFFFFF"/>
            <w:vAlign w:val="bottom"/>
          </w:tcPr>
          <w:p w14:paraId="7B16694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Ջերմաստիճանը (°С)</w:t>
            </w:r>
          </w:p>
        </w:tc>
      </w:tr>
      <w:tr w:rsidR="0058052E" w:rsidRPr="00492AA6" w14:paraId="70C68FC9" w14:textId="77777777" w:rsidTr="00DA21D0">
        <w:trPr>
          <w:trHeight w:val="250"/>
        </w:trPr>
        <w:tc>
          <w:tcPr>
            <w:tcW w:w="2410" w:type="dxa"/>
            <w:tcBorders>
              <w:top w:val="single" w:sz="4" w:space="0" w:color="auto"/>
              <w:left w:val="nil"/>
              <w:bottom w:val="nil"/>
              <w:right w:val="nil"/>
            </w:tcBorders>
            <w:shd w:val="clear" w:color="auto" w:fill="FFFFFF"/>
            <w:vAlign w:val="center"/>
          </w:tcPr>
          <w:p w14:paraId="1E214879" w14:textId="77777777" w:rsidR="0058052E" w:rsidRPr="00492AA6" w:rsidRDefault="0058052E" w:rsidP="00492AA6">
            <w:pPr>
              <w:spacing w:after="120"/>
              <w:rPr>
                <w:rFonts w:eastAsia="Times New Roman" w:cs="Times New Roman"/>
                <w:color w:val="auto"/>
                <w:sz w:val="20"/>
                <w:szCs w:val="20"/>
              </w:rPr>
            </w:pPr>
            <w:r w:rsidRPr="00492AA6">
              <w:rPr>
                <w:sz w:val="20"/>
                <w:szCs w:val="20"/>
              </w:rPr>
              <w:t>Աշտարակը</w:t>
            </w:r>
          </w:p>
        </w:tc>
        <w:tc>
          <w:tcPr>
            <w:tcW w:w="1843" w:type="dxa"/>
            <w:tcBorders>
              <w:top w:val="single" w:sz="4" w:space="0" w:color="auto"/>
              <w:left w:val="nil"/>
              <w:bottom w:val="nil"/>
              <w:right w:val="nil"/>
            </w:tcBorders>
            <w:shd w:val="clear" w:color="auto" w:fill="FFFFFF"/>
            <w:vAlign w:val="bottom"/>
          </w:tcPr>
          <w:p w14:paraId="7DE61A6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0</w:t>
            </w:r>
          </w:p>
        </w:tc>
        <w:tc>
          <w:tcPr>
            <w:tcW w:w="2126" w:type="dxa"/>
            <w:tcBorders>
              <w:top w:val="single" w:sz="4" w:space="0" w:color="auto"/>
              <w:left w:val="nil"/>
              <w:bottom w:val="nil"/>
              <w:right w:val="nil"/>
            </w:tcBorders>
            <w:shd w:val="clear" w:color="auto" w:fill="FFFFFF"/>
            <w:vAlign w:val="bottom"/>
          </w:tcPr>
          <w:p w14:paraId="7F90CAF2"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100</w:t>
            </w:r>
          </w:p>
        </w:tc>
      </w:tr>
      <w:tr w:rsidR="0058052E" w:rsidRPr="00492AA6" w14:paraId="7C700552" w14:textId="77777777" w:rsidTr="00DA21D0">
        <w:trPr>
          <w:trHeight w:val="336"/>
        </w:trPr>
        <w:tc>
          <w:tcPr>
            <w:tcW w:w="2410" w:type="dxa"/>
            <w:tcBorders>
              <w:top w:val="nil"/>
              <w:left w:val="nil"/>
              <w:bottom w:val="nil"/>
              <w:right w:val="nil"/>
            </w:tcBorders>
            <w:shd w:val="clear" w:color="auto" w:fill="FFFFFF"/>
          </w:tcPr>
          <w:p w14:paraId="0C870530"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center"/>
          </w:tcPr>
          <w:p w14:paraId="32DEBCF5"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0-3,3</w:t>
            </w:r>
          </w:p>
        </w:tc>
        <w:tc>
          <w:tcPr>
            <w:tcW w:w="2126" w:type="dxa"/>
            <w:tcBorders>
              <w:top w:val="nil"/>
              <w:left w:val="nil"/>
              <w:bottom w:val="nil"/>
              <w:right w:val="nil"/>
            </w:tcBorders>
            <w:shd w:val="clear" w:color="auto" w:fill="FFFFFF"/>
            <w:vAlign w:val="center"/>
          </w:tcPr>
          <w:p w14:paraId="2603D786"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100</w:t>
            </w:r>
            <m:oMath>
              <m:r>
                <w:rPr>
                  <w:rFonts w:ascii="Cambria Math" w:eastAsia="Times New Roman" w:hAnsi="Cambria Math" w:cs="Times New Roman"/>
                  <w:sz w:val="20"/>
                  <w:szCs w:val="20"/>
                </w:rPr>
                <m:t>→</m:t>
              </m:r>
            </m:oMath>
            <w:r w:rsidRPr="00492AA6">
              <w:rPr>
                <w:sz w:val="20"/>
                <w:szCs w:val="20"/>
              </w:rPr>
              <w:t>200</w:t>
            </w:r>
          </w:p>
        </w:tc>
      </w:tr>
      <w:tr w:rsidR="0058052E" w:rsidRPr="00492AA6" w14:paraId="20212E45" w14:textId="77777777" w:rsidTr="00DA21D0">
        <w:trPr>
          <w:trHeight w:val="288"/>
        </w:trPr>
        <w:tc>
          <w:tcPr>
            <w:tcW w:w="2410" w:type="dxa"/>
            <w:tcBorders>
              <w:top w:val="nil"/>
              <w:left w:val="nil"/>
              <w:bottom w:val="nil"/>
              <w:right w:val="nil"/>
            </w:tcBorders>
            <w:shd w:val="clear" w:color="auto" w:fill="FFFFFF"/>
          </w:tcPr>
          <w:p w14:paraId="70890C3A"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54A70D92"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3,3-20</w:t>
            </w:r>
          </w:p>
        </w:tc>
        <w:tc>
          <w:tcPr>
            <w:tcW w:w="2126" w:type="dxa"/>
            <w:tcBorders>
              <w:top w:val="nil"/>
              <w:left w:val="nil"/>
              <w:bottom w:val="nil"/>
              <w:right w:val="nil"/>
            </w:tcBorders>
            <w:shd w:val="clear" w:color="auto" w:fill="FFFFFF"/>
            <w:vAlign w:val="bottom"/>
          </w:tcPr>
          <w:p w14:paraId="27C087A9"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200</w:t>
            </w:r>
            <m:oMath>
              <m:r>
                <w:rPr>
                  <w:rFonts w:ascii="Cambria Math" w:eastAsia="Times New Roman" w:hAnsi="Cambria Math" w:cs="Times New Roman"/>
                  <w:sz w:val="20"/>
                  <w:szCs w:val="20"/>
                </w:rPr>
                <m:t>→</m:t>
              </m:r>
            </m:oMath>
            <w:r w:rsidRPr="00492AA6">
              <w:rPr>
                <w:sz w:val="20"/>
                <w:szCs w:val="20"/>
              </w:rPr>
              <w:t>250</w:t>
            </w:r>
          </w:p>
        </w:tc>
      </w:tr>
      <w:tr w:rsidR="0058052E" w:rsidRPr="00492AA6" w14:paraId="0D0377AF" w14:textId="77777777" w:rsidTr="00DA21D0">
        <w:trPr>
          <w:trHeight w:val="302"/>
        </w:trPr>
        <w:tc>
          <w:tcPr>
            <w:tcW w:w="2410" w:type="dxa"/>
            <w:tcBorders>
              <w:top w:val="nil"/>
              <w:left w:val="nil"/>
              <w:bottom w:val="nil"/>
              <w:right w:val="nil"/>
            </w:tcBorders>
            <w:shd w:val="clear" w:color="auto" w:fill="FFFFFF"/>
          </w:tcPr>
          <w:p w14:paraId="33F8D8AC"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6C9CFC86"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20-22,5</w:t>
            </w:r>
          </w:p>
        </w:tc>
        <w:tc>
          <w:tcPr>
            <w:tcW w:w="2126" w:type="dxa"/>
            <w:tcBorders>
              <w:top w:val="nil"/>
              <w:left w:val="nil"/>
              <w:bottom w:val="nil"/>
              <w:right w:val="nil"/>
            </w:tcBorders>
            <w:shd w:val="clear" w:color="auto" w:fill="FFFFFF"/>
            <w:vAlign w:val="bottom"/>
          </w:tcPr>
          <w:p w14:paraId="5D9089C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250</w:t>
            </w:r>
          </w:p>
        </w:tc>
      </w:tr>
      <w:tr w:rsidR="0058052E" w:rsidRPr="00492AA6" w14:paraId="599B366A" w14:textId="77777777" w:rsidTr="00DA21D0">
        <w:trPr>
          <w:trHeight w:val="322"/>
        </w:trPr>
        <w:tc>
          <w:tcPr>
            <w:tcW w:w="2410" w:type="dxa"/>
            <w:tcBorders>
              <w:top w:val="nil"/>
              <w:left w:val="nil"/>
              <w:bottom w:val="nil"/>
              <w:right w:val="nil"/>
            </w:tcBorders>
            <w:shd w:val="clear" w:color="auto" w:fill="FFFFFF"/>
          </w:tcPr>
          <w:p w14:paraId="591331DD"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506CDB74"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22,5-23</w:t>
            </w:r>
          </w:p>
        </w:tc>
        <w:tc>
          <w:tcPr>
            <w:tcW w:w="2126" w:type="dxa"/>
            <w:tcBorders>
              <w:top w:val="nil"/>
              <w:left w:val="nil"/>
              <w:bottom w:val="nil"/>
              <w:right w:val="nil"/>
            </w:tcBorders>
            <w:shd w:val="clear" w:color="auto" w:fill="FFFFFF"/>
            <w:vAlign w:val="bottom"/>
          </w:tcPr>
          <w:p w14:paraId="7B2BC7C1"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250</w:t>
            </w:r>
            <m:oMath>
              <m:r>
                <w:rPr>
                  <w:rFonts w:ascii="Cambria Math" w:eastAsia="Times New Roman" w:hAnsi="Cambria Math" w:cs="Times New Roman"/>
                  <w:sz w:val="20"/>
                  <w:szCs w:val="20"/>
                </w:rPr>
                <m:t>→</m:t>
              </m:r>
            </m:oMath>
            <w:r w:rsidRPr="00492AA6">
              <w:rPr>
                <w:sz w:val="20"/>
                <w:szCs w:val="20"/>
              </w:rPr>
              <w:t>270</w:t>
            </w:r>
          </w:p>
        </w:tc>
      </w:tr>
      <w:tr w:rsidR="0058052E" w:rsidRPr="00492AA6" w14:paraId="19B046AE" w14:textId="77777777" w:rsidTr="00DA21D0">
        <w:trPr>
          <w:trHeight w:val="302"/>
        </w:trPr>
        <w:tc>
          <w:tcPr>
            <w:tcW w:w="2410" w:type="dxa"/>
            <w:tcBorders>
              <w:top w:val="nil"/>
              <w:left w:val="nil"/>
              <w:bottom w:val="nil"/>
              <w:right w:val="nil"/>
            </w:tcBorders>
            <w:shd w:val="clear" w:color="auto" w:fill="FFFFFF"/>
          </w:tcPr>
          <w:p w14:paraId="328371BA"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77AEB1A7"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23-25</w:t>
            </w:r>
          </w:p>
        </w:tc>
        <w:tc>
          <w:tcPr>
            <w:tcW w:w="2126" w:type="dxa"/>
            <w:tcBorders>
              <w:top w:val="nil"/>
              <w:left w:val="nil"/>
              <w:bottom w:val="nil"/>
              <w:right w:val="nil"/>
            </w:tcBorders>
            <w:shd w:val="clear" w:color="auto" w:fill="FFFFFF"/>
            <w:vAlign w:val="bottom"/>
          </w:tcPr>
          <w:p w14:paraId="03E23FA5"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270</w:t>
            </w:r>
          </w:p>
        </w:tc>
      </w:tr>
      <w:tr w:rsidR="0058052E" w:rsidRPr="00492AA6" w14:paraId="76D3A515" w14:textId="77777777" w:rsidTr="00DA21D0">
        <w:trPr>
          <w:trHeight w:val="322"/>
        </w:trPr>
        <w:tc>
          <w:tcPr>
            <w:tcW w:w="2410" w:type="dxa"/>
            <w:tcBorders>
              <w:top w:val="nil"/>
              <w:left w:val="nil"/>
              <w:bottom w:val="nil"/>
              <w:right w:val="nil"/>
            </w:tcBorders>
            <w:shd w:val="clear" w:color="auto" w:fill="FFFFFF"/>
          </w:tcPr>
          <w:p w14:paraId="1A943B5C"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43B5EA19"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25-25,6</w:t>
            </w:r>
          </w:p>
        </w:tc>
        <w:tc>
          <w:tcPr>
            <w:tcW w:w="2126" w:type="dxa"/>
            <w:tcBorders>
              <w:top w:val="nil"/>
              <w:left w:val="nil"/>
              <w:bottom w:val="nil"/>
              <w:right w:val="nil"/>
            </w:tcBorders>
            <w:shd w:val="clear" w:color="auto" w:fill="FFFFFF"/>
            <w:vAlign w:val="bottom"/>
          </w:tcPr>
          <w:p w14:paraId="34E2AB55"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270</w:t>
            </w:r>
            <m:oMath>
              <m:r>
                <w:rPr>
                  <w:rFonts w:ascii="Cambria Math" w:eastAsia="Times New Roman" w:hAnsi="Cambria Math" w:cs="Times New Roman"/>
                  <w:sz w:val="20"/>
                  <w:szCs w:val="20"/>
                </w:rPr>
                <m:t>→</m:t>
              </m:r>
            </m:oMath>
            <w:r w:rsidRPr="00492AA6">
              <w:rPr>
                <w:sz w:val="20"/>
                <w:szCs w:val="20"/>
              </w:rPr>
              <w:t>320</w:t>
            </w:r>
          </w:p>
        </w:tc>
      </w:tr>
      <w:tr w:rsidR="0058052E" w:rsidRPr="00492AA6" w14:paraId="64CDEE26" w14:textId="77777777" w:rsidTr="00DA21D0">
        <w:trPr>
          <w:trHeight w:val="312"/>
        </w:trPr>
        <w:tc>
          <w:tcPr>
            <w:tcW w:w="2410" w:type="dxa"/>
            <w:tcBorders>
              <w:top w:val="nil"/>
              <w:left w:val="nil"/>
              <w:bottom w:val="nil"/>
              <w:right w:val="nil"/>
            </w:tcBorders>
            <w:shd w:val="clear" w:color="auto" w:fill="FFFFFF"/>
          </w:tcPr>
          <w:p w14:paraId="3071023A" w14:textId="77777777" w:rsidR="0058052E" w:rsidRPr="00492AA6" w:rsidRDefault="0058052E" w:rsidP="00492AA6">
            <w:pPr>
              <w:spacing w:after="120"/>
              <w:rPr>
                <w:rFonts w:eastAsia="Times New Roman" w:cs="Times New Roman"/>
                <w:color w:val="auto"/>
                <w:sz w:val="20"/>
                <w:szCs w:val="20"/>
              </w:rPr>
            </w:pPr>
          </w:p>
        </w:tc>
        <w:tc>
          <w:tcPr>
            <w:tcW w:w="1843" w:type="dxa"/>
            <w:tcBorders>
              <w:top w:val="nil"/>
              <w:left w:val="nil"/>
              <w:bottom w:val="nil"/>
              <w:right w:val="nil"/>
            </w:tcBorders>
            <w:shd w:val="clear" w:color="auto" w:fill="FFFFFF"/>
            <w:vAlign w:val="bottom"/>
          </w:tcPr>
          <w:p w14:paraId="7A6F3E9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25,6-30,6</w:t>
            </w:r>
          </w:p>
        </w:tc>
        <w:tc>
          <w:tcPr>
            <w:tcW w:w="2126" w:type="dxa"/>
            <w:tcBorders>
              <w:top w:val="nil"/>
              <w:left w:val="nil"/>
              <w:bottom w:val="nil"/>
              <w:right w:val="nil"/>
            </w:tcBorders>
            <w:shd w:val="clear" w:color="auto" w:fill="FFFFFF"/>
            <w:vAlign w:val="bottom"/>
          </w:tcPr>
          <w:p w14:paraId="18C1FB2F"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320</w:t>
            </w:r>
          </w:p>
        </w:tc>
      </w:tr>
      <w:tr w:rsidR="0058052E" w:rsidRPr="00492AA6" w14:paraId="2C2DB4C4" w14:textId="77777777" w:rsidTr="00DA21D0">
        <w:trPr>
          <w:trHeight w:val="552"/>
        </w:trPr>
        <w:tc>
          <w:tcPr>
            <w:tcW w:w="2410" w:type="dxa"/>
            <w:tcBorders>
              <w:top w:val="nil"/>
              <w:left w:val="nil"/>
              <w:bottom w:val="single" w:sz="4" w:space="0" w:color="auto"/>
              <w:right w:val="nil"/>
            </w:tcBorders>
            <w:shd w:val="clear" w:color="auto" w:fill="FFFFFF"/>
            <w:vAlign w:val="bottom"/>
          </w:tcPr>
          <w:p w14:paraId="4B360ADC" w14:textId="77777777" w:rsidR="0058052E" w:rsidRPr="00492AA6" w:rsidRDefault="0058052E" w:rsidP="00492AA6">
            <w:pPr>
              <w:spacing w:after="120"/>
              <w:rPr>
                <w:rFonts w:eastAsia="Times New Roman" w:cs="Times New Roman"/>
                <w:color w:val="auto"/>
                <w:sz w:val="20"/>
                <w:szCs w:val="20"/>
              </w:rPr>
            </w:pPr>
            <w:r w:rsidRPr="00492AA6">
              <w:rPr>
                <w:sz w:val="20"/>
                <w:szCs w:val="20"/>
              </w:rPr>
              <w:t>Փորձանմուշների ներմուծման բլոկը (ինժեկտորը)</w:t>
            </w:r>
          </w:p>
        </w:tc>
        <w:tc>
          <w:tcPr>
            <w:tcW w:w="1843" w:type="dxa"/>
            <w:tcBorders>
              <w:top w:val="nil"/>
              <w:left w:val="nil"/>
              <w:bottom w:val="single" w:sz="4" w:space="0" w:color="auto"/>
              <w:right w:val="nil"/>
            </w:tcBorders>
            <w:shd w:val="clear" w:color="auto" w:fill="FFFFFF"/>
          </w:tcPr>
          <w:p w14:paraId="734B78B4" w14:textId="77777777" w:rsidR="0058052E" w:rsidRPr="00492AA6" w:rsidRDefault="0058052E" w:rsidP="00492AA6">
            <w:pPr>
              <w:spacing w:after="120"/>
              <w:jc w:val="center"/>
              <w:rPr>
                <w:rFonts w:eastAsia="Times New Roman" w:cs="Times New Roman"/>
                <w:color w:val="auto"/>
                <w:sz w:val="20"/>
                <w:szCs w:val="20"/>
              </w:rPr>
            </w:pPr>
          </w:p>
        </w:tc>
        <w:tc>
          <w:tcPr>
            <w:tcW w:w="2126" w:type="dxa"/>
            <w:tcBorders>
              <w:top w:val="nil"/>
              <w:left w:val="nil"/>
              <w:bottom w:val="single" w:sz="4" w:space="0" w:color="auto"/>
              <w:right w:val="nil"/>
            </w:tcBorders>
            <w:shd w:val="clear" w:color="auto" w:fill="FFFFFF"/>
          </w:tcPr>
          <w:p w14:paraId="316288FA"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300</w:t>
            </w:r>
          </w:p>
        </w:tc>
      </w:tr>
    </w:tbl>
    <w:p w14:paraId="707C83C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73D8CC3F"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դետեկտորը՝</w:t>
      </w:r>
      <w:r w:rsidR="0058052E" w:rsidRPr="00825EEB">
        <w:rPr>
          <w:rFonts w:ascii="Sylfaen" w:hAnsi="Sylfaen"/>
          <w:sz w:val="24"/>
          <w:szCs w:val="24"/>
        </w:rPr>
        <w:t xml:space="preserve"> կարգաբերվում է ըստ համակարգի պիտանիության չափորոշիչների.</w:t>
      </w:r>
    </w:p>
    <w:p w14:paraId="5F20946E"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անալիզարարի տեսակը՝</w:t>
      </w:r>
      <w:r w:rsidR="0058052E" w:rsidRPr="00825EEB">
        <w:rPr>
          <w:rFonts w:ascii="Sylfaen" w:hAnsi="Sylfaen"/>
          <w:sz w:val="24"/>
          <w:szCs w:val="24"/>
        </w:rPr>
        <w:t xml:space="preserve"> էլեկտրոնային իոնացմամբ քառաբ</w:t>
      </w:r>
      <w:r w:rsidR="0058052E">
        <w:rPr>
          <w:rFonts w:ascii="Sylfaen" w:hAnsi="Sylfaen"/>
          <w:sz w:val="24"/>
          <w:szCs w:val="24"/>
        </w:rPr>
        <w:t>եւ</w:t>
      </w:r>
      <w:r w:rsidR="0058052E" w:rsidRPr="00825EEB">
        <w:rPr>
          <w:rFonts w:ascii="Sylfaen" w:hAnsi="Sylfaen"/>
          <w:sz w:val="24"/>
          <w:szCs w:val="24"/>
        </w:rPr>
        <w:t>եռ զանգվածասպեկտրաչափ (70 էՎ).</w:t>
      </w:r>
    </w:p>
    <w:p w14:paraId="7FEB306D"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A859E3">
        <w:rPr>
          <w:rFonts w:ascii="Sylfaen" w:hAnsi="Sylfaen"/>
          <w:i/>
          <w:sz w:val="24"/>
          <w:szCs w:val="24"/>
        </w:rPr>
        <w:tab/>
      </w:r>
      <w:r w:rsidR="0058052E" w:rsidRPr="00825EEB">
        <w:rPr>
          <w:rFonts w:ascii="Sylfaen" w:hAnsi="Sylfaen"/>
          <w:i/>
          <w:sz w:val="24"/>
          <w:szCs w:val="24"/>
        </w:rPr>
        <w:t>իոնների աղբյուրի ջերմաստիճանը՝</w:t>
      </w:r>
      <w:r w:rsidR="0058052E" w:rsidRPr="00825EEB">
        <w:rPr>
          <w:rFonts w:ascii="Sylfaen" w:hAnsi="Sylfaen"/>
          <w:sz w:val="24"/>
          <w:szCs w:val="24"/>
        </w:rPr>
        <w:t xml:space="preserve"> 230 °С.</w:t>
      </w:r>
    </w:p>
    <w:p w14:paraId="7CADB816"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i/>
          <w:sz w:val="24"/>
          <w:szCs w:val="24"/>
        </w:rPr>
        <w:lastRenderedPageBreak/>
        <w:t>-</w:t>
      </w:r>
      <w:r w:rsidR="00492AA6" w:rsidRPr="00492AA6">
        <w:rPr>
          <w:rFonts w:ascii="Sylfaen" w:hAnsi="Sylfaen"/>
          <w:i/>
          <w:sz w:val="24"/>
          <w:szCs w:val="24"/>
        </w:rPr>
        <w:tab/>
      </w:r>
      <w:r w:rsidRPr="00825EEB">
        <w:rPr>
          <w:rFonts w:ascii="Sylfaen" w:hAnsi="Sylfaen"/>
          <w:i/>
          <w:sz w:val="24"/>
          <w:szCs w:val="24"/>
        </w:rPr>
        <w:t>տվյալների հավաքման համակարգը՝</w:t>
      </w:r>
      <w:r w:rsidRPr="00825EEB">
        <w:rPr>
          <w:rFonts w:ascii="Sylfaen" w:hAnsi="Sylfaen"/>
          <w:sz w:val="24"/>
          <w:szCs w:val="24"/>
        </w:rPr>
        <w:t xml:space="preserve"> կատարվում է ամբողջական սկանավորման ռեժիմում </w:t>
      </w:r>
      <w:r w:rsidRPr="00825EEB">
        <w:rPr>
          <w:rFonts w:ascii="Sylfaen" w:hAnsi="Sylfaen"/>
          <w:i/>
          <w:sz w:val="24"/>
          <w:szCs w:val="24"/>
        </w:rPr>
        <w:t>(m/z</w:t>
      </w:r>
      <w:r w:rsidRPr="00825EEB">
        <w:rPr>
          <w:rFonts w:ascii="Sylfaen" w:hAnsi="Sylfaen"/>
          <w:sz w:val="24"/>
          <w:szCs w:val="24"/>
        </w:rPr>
        <w:t xml:space="preserve"> 40-ից մինչ</w:t>
      </w:r>
      <w:r>
        <w:rPr>
          <w:rFonts w:ascii="Sylfaen" w:hAnsi="Sylfaen"/>
          <w:sz w:val="24"/>
          <w:szCs w:val="24"/>
        </w:rPr>
        <w:t>եւ</w:t>
      </w:r>
      <w:r w:rsidRPr="00825EEB">
        <w:rPr>
          <w:rFonts w:ascii="Sylfaen" w:hAnsi="Sylfaen"/>
          <w:sz w:val="24"/>
          <w:szCs w:val="24"/>
        </w:rPr>
        <w:t xml:space="preserve"> 350) </w:t>
      </w:r>
      <w:r>
        <w:rPr>
          <w:rFonts w:ascii="Sylfaen" w:hAnsi="Sylfaen"/>
          <w:sz w:val="24"/>
          <w:szCs w:val="24"/>
        </w:rPr>
        <w:t>եւ</w:t>
      </w:r>
      <w:r w:rsidRPr="00825EEB">
        <w:rPr>
          <w:rFonts w:ascii="Sylfaen" w:hAnsi="Sylfaen"/>
          <w:sz w:val="24"/>
          <w:szCs w:val="24"/>
        </w:rPr>
        <w:t xml:space="preserve"> մեկ իոնի սկանավորման ռեժիմում (SIМ).</w:t>
      </w:r>
    </w:p>
    <w:p w14:paraId="2F7C12D0"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 xml:space="preserve">լուծիչի ելքի հետաձգումը՝ </w:t>
      </w:r>
      <w:r w:rsidR="0058052E" w:rsidRPr="00825EEB">
        <w:rPr>
          <w:rFonts w:ascii="Sylfaen" w:hAnsi="Sylfaen"/>
          <w:sz w:val="24"/>
          <w:szCs w:val="24"/>
        </w:rPr>
        <w:t>2,5 րոպե.</w:t>
      </w:r>
    </w:p>
    <w:p w14:paraId="45EA81EA"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i/>
          <w:iCs/>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իոնների ընտրողական գրանցման համար զանգվածասպեկտրաչափի պարամետրերը.</w:t>
      </w:r>
    </w:p>
    <w:tbl>
      <w:tblPr>
        <w:tblW w:w="0" w:type="auto"/>
        <w:tblLayout w:type="fixed"/>
        <w:tblCellMar>
          <w:left w:w="0" w:type="dxa"/>
          <w:right w:w="0" w:type="dxa"/>
        </w:tblCellMar>
        <w:tblLook w:val="0000" w:firstRow="0" w:lastRow="0" w:firstColumn="0" w:lastColumn="0" w:noHBand="0" w:noVBand="0"/>
      </w:tblPr>
      <w:tblGrid>
        <w:gridCol w:w="2410"/>
        <w:gridCol w:w="1134"/>
        <w:gridCol w:w="1418"/>
        <w:gridCol w:w="1559"/>
      </w:tblGrid>
      <w:tr w:rsidR="0058052E" w:rsidRPr="00492AA6" w14:paraId="0FED5034" w14:textId="77777777" w:rsidTr="00AF2D51">
        <w:trPr>
          <w:trHeight w:val="394"/>
        </w:trPr>
        <w:tc>
          <w:tcPr>
            <w:tcW w:w="2410" w:type="dxa"/>
            <w:tcBorders>
              <w:top w:val="single" w:sz="4" w:space="0" w:color="auto"/>
              <w:left w:val="nil"/>
              <w:bottom w:val="nil"/>
              <w:right w:val="nil"/>
            </w:tcBorders>
            <w:shd w:val="clear" w:color="auto" w:fill="FFFFFF"/>
            <w:vAlign w:val="center"/>
          </w:tcPr>
          <w:p w14:paraId="5086CB5E"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Նյութը</w:t>
            </w:r>
          </w:p>
        </w:tc>
        <w:tc>
          <w:tcPr>
            <w:tcW w:w="1134" w:type="dxa"/>
            <w:tcBorders>
              <w:top w:val="single" w:sz="4" w:space="0" w:color="auto"/>
              <w:left w:val="nil"/>
              <w:bottom w:val="nil"/>
              <w:right w:val="nil"/>
            </w:tcBorders>
            <w:shd w:val="clear" w:color="auto" w:fill="FFFFFF"/>
            <w:vAlign w:val="center"/>
          </w:tcPr>
          <w:p w14:paraId="5E34BB6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1 (</w:t>
            </w:r>
            <w:r w:rsidRPr="00492AA6">
              <w:rPr>
                <w:i/>
                <w:sz w:val="20"/>
                <w:szCs w:val="20"/>
              </w:rPr>
              <w:t>m/z</w:t>
            </w:r>
            <w:r w:rsidRPr="00492AA6">
              <w:rPr>
                <w:sz w:val="20"/>
                <w:szCs w:val="20"/>
              </w:rPr>
              <w:t>)</w:t>
            </w:r>
          </w:p>
        </w:tc>
        <w:tc>
          <w:tcPr>
            <w:tcW w:w="1418" w:type="dxa"/>
            <w:tcBorders>
              <w:top w:val="single" w:sz="4" w:space="0" w:color="auto"/>
              <w:left w:val="nil"/>
              <w:bottom w:val="nil"/>
              <w:right w:val="nil"/>
            </w:tcBorders>
            <w:shd w:val="clear" w:color="auto" w:fill="FFFFFF"/>
            <w:vAlign w:val="center"/>
          </w:tcPr>
          <w:p w14:paraId="28071C1E"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2 (</w:t>
            </w:r>
            <w:r w:rsidRPr="00492AA6">
              <w:rPr>
                <w:i/>
                <w:sz w:val="20"/>
                <w:szCs w:val="20"/>
              </w:rPr>
              <w:t>m/z</w:t>
            </w:r>
            <w:r w:rsidRPr="00492AA6">
              <w:rPr>
                <w:sz w:val="20"/>
                <w:szCs w:val="20"/>
              </w:rPr>
              <w:t>)</w:t>
            </w:r>
          </w:p>
        </w:tc>
        <w:tc>
          <w:tcPr>
            <w:tcW w:w="1559" w:type="dxa"/>
            <w:tcBorders>
              <w:top w:val="single" w:sz="4" w:space="0" w:color="auto"/>
              <w:left w:val="nil"/>
              <w:bottom w:val="nil"/>
              <w:right w:val="nil"/>
            </w:tcBorders>
            <w:shd w:val="clear" w:color="auto" w:fill="FFFFFF"/>
            <w:vAlign w:val="center"/>
          </w:tcPr>
          <w:p w14:paraId="33CE645F"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3 (</w:t>
            </w:r>
            <w:r w:rsidRPr="00492AA6">
              <w:rPr>
                <w:i/>
                <w:sz w:val="20"/>
                <w:szCs w:val="20"/>
              </w:rPr>
              <w:t>m/z</w:t>
            </w:r>
            <w:r w:rsidRPr="00492AA6">
              <w:rPr>
                <w:sz w:val="20"/>
                <w:szCs w:val="20"/>
              </w:rPr>
              <w:t>)</w:t>
            </w:r>
          </w:p>
        </w:tc>
      </w:tr>
      <w:tr w:rsidR="0058052E" w:rsidRPr="00492AA6" w14:paraId="66044BFA" w14:textId="77777777" w:rsidTr="00AF2D51">
        <w:trPr>
          <w:trHeight w:val="312"/>
        </w:trPr>
        <w:tc>
          <w:tcPr>
            <w:tcW w:w="2410" w:type="dxa"/>
            <w:tcBorders>
              <w:top w:val="single" w:sz="4" w:space="0" w:color="auto"/>
              <w:left w:val="nil"/>
              <w:bottom w:val="nil"/>
              <w:right w:val="nil"/>
            </w:tcBorders>
            <w:shd w:val="clear" w:color="auto" w:fill="FFFFFF"/>
          </w:tcPr>
          <w:p w14:paraId="1E2A9D81" w14:textId="77777777" w:rsidR="0058052E" w:rsidRPr="00492AA6" w:rsidRDefault="0058052E" w:rsidP="00492AA6">
            <w:pPr>
              <w:spacing w:after="120"/>
              <w:rPr>
                <w:rFonts w:eastAsia="Times New Roman" w:cs="Times New Roman"/>
                <w:color w:val="auto"/>
                <w:sz w:val="20"/>
                <w:szCs w:val="20"/>
              </w:rPr>
            </w:pPr>
            <w:r w:rsidRPr="00492AA6">
              <w:rPr>
                <w:sz w:val="20"/>
                <w:szCs w:val="20"/>
              </w:rPr>
              <w:t>հավելանյութ 01</w:t>
            </w:r>
          </w:p>
        </w:tc>
        <w:tc>
          <w:tcPr>
            <w:tcW w:w="1134" w:type="dxa"/>
            <w:tcBorders>
              <w:top w:val="single" w:sz="4" w:space="0" w:color="auto"/>
              <w:left w:val="nil"/>
              <w:bottom w:val="nil"/>
              <w:right w:val="nil"/>
            </w:tcBorders>
            <w:shd w:val="clear" w:color="auto" w:fill="FFFFFF"/>
          </w:tcPr>
          <w:p w14:paraId="63E923B2"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149</w:t>
            </w:r>
          </w:p>
        </w:tc>
        <w:tc>
          <w:tcPr>
            <w:tcW w:w="1418" w:type="dxa"/>
            <w:tcBorders>
              <w:top w:val="single" w:sz="4" w:space="0" w:color="auto"/>
              <w:left w:val="nil"/>
              <w:bottom w:val="nil"/>
              <w:right w:val="nil"/>
            </w:tcBorders>
            <w:shd w:val="clear" w:color="auto" w:fill="FFFFFF"/>
          </w:tcPr>
          <w:p w14:paraId="020B4899"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167</w:t>
            </w:r>
          </w:p>
        </w:tc>
        <w:tc>
          <w:tcPr>
            <w:tcW w:w="1559" w:type="dxa"/>
            <w:tcBorders>
              <w:top w:val="single" w:sz="4" w:space="0" w:color="auto"/>
              <w:left w:val="nil"/>
              <w:bottom w:val="nil"/>
              <w:right w:val="nil"/>
            </w:tcBorders>
            <w:shd w:val="clear" w:color="auto" w:fill="FFFFFF"/>
          </w:tcPr>
          <w:p w14:paraId="05ECBC66"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279</w:t>
            </w:r>
          </w:p>
        </w:tc>
      </w:tr>
      <w:tr w:rsidR="0058052E" w:rsidRPr="00492AA6" w14:paraId="6C388DE4" w14:textId="77777777" w:rsidTr="00AF2D51">
        <w:trPr>
          <w:trHeight w:val="782"/>
        </w:trPr>
        <w:tc>
          <w:tcPr>
            <w:tcW w:w="2410" w:type="dxa"/>
            <w:tcBorders>
              <w:top w:val="nil"/>
              <w:left w:val="nil"/>
              <w:bottom w:val="single" w:sz="4" w:space="0" w:color="auto"/>
              <w:right w:val="nil"/>
            </w:tcBorders>
            <w:shd w:val="clear" w:color="auto" w:fill="FFFFFF"/>
            <w:vAlign w:val="bottom"/>
          </w:tcPr>
          <w:p w14:paraId="4DE3AC1F" w14:textId="77777777" w:rsidR="0058052E" w:rsidRPr="00492AA6" w:rsidRDefault="0058052E" w:rsidP="00492AA6">
            <w:pPr>
              <w:spacing w:after="120"/>
              <w:rPr>
                <w:rFonts w:eastAsia="Times New Roman" w:cs="Times New Roman"/>
                <w:color w:val="auto"/>
                <w:sz w:val="20"/>
                <w:szCs w:val="20"/>
              </w:rPr>
            </w:pPr>
            <w:r w:rsidRPr="00492AA6">
              <w:rPr>
                <w:sz w:val="20"/>
                <w:szCs w:val="20"/>
              </w:rPr>
              <w:t>դի-</w:t>
            </w:r>
            <w:r w:rsidRPr="00492AA6">
              <w:rPr>
                <w:i/>
                <w:sz w:val="20"/>
                <w:szCs w:val="20"/>
              </w:rPr>
              <w:t>ն</w:t>
            </w:r>
            <w:r w:rsidRPr="00492AA6">
              <w:rPr>
                <w:sz w:val="20"/>
                <w:szCs w:val="20"/>
              </w:rPr>
              <w:t>-օկտիլֆտալատ (ներքին ստանդարտ)</w:t>
            </w:r>
          </w:p>
        </w:tc>
        <w:tc>
          <w:tcPr>
            <w:tcW w:w="1134" w:type="dxa"/>
            <w:tcBorders>
              <w:top w:val="nil"/>
              <w:left w:val="nil"/>
              <w:bottom w:val="single" w:sz="4" w:space="0" w:color="auto"/>
              <w:right w:val="nil"/>
            </w:tcBorders>
            <w:shd w:val="clear" w:color="auto" w:fill="FFFFFF"/>
          </w:tcPr>
          <w:p w14:paraId="324F0AE9"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149</w:t>
            </w:r>
          </w:p>
        </w:tc>
        <w:tc>
          <w:tcPr>
            <w:tcW w:w="1418" w:type="dxa"/>
            <w:tcBorders>
              <w:top w:val="nil"/>
              <w:left w:val="nil"/>
              <w:bottom w:val="single" w:sz="4" w:space="0" w:color="auto"/>
              <w:right w:val="nil"/>
            </w:tcBorders>
            <w:shd w:val="clear" w:color="auto" w:fill="FFFFFF"/>
          </w:tcPr>
          <w:p w14:paraId="1D626AD5"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279</w:t>
            </w:r>
          </w:p>
        </w:tc>
        <w:tc>
          <w:tcPr>
            <w:tcW w:w="1559" w:type="dxa"/>
            <w:tcBorders>
              <w:top w:val="nil"/>
              <w:left w:val="nil"/>
              <w:bottom w:val="single" w:sz="4" w:space="0" w:color="auto"/>
              <w:right w:val="nil"/>
            </w:tcBorders>
            <w:shd w:val="clear" w:color="auto" w:fill="FFFFFF"/>
          </w:tcPr>
          <w:p w14:paraId="63A92D37"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167</w:t>
            </w:r>
          </w:p>
        </w:tc>
      </w:tr>
    </w:tbl>
    <w:p w14:paraId="50A847C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62D6A97B"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ներմուծվող փորձանմուշի ծավալը՝</w:t>
      </w:r>
      <w:r w:rsidR="0058052E" w:rsidRPr="00825EEB">
        <w:rPr>
          <w:rFonts w:ascii="Sylfaen" w:hAnsi="Sylfaen"/>
          <w:sz w:val="24"/>
          <w:szCs w:val="24"/>
        </w:rPr>
        <w:t xml:space="preserve"> 1 մկլ։</w:t>
      </w:r>
    </w:p>
    <w:p w14:paraId="6030CE1D" w14:textId="77777777" w:rsidR="0058052E" w:rsidRPr="00825EEB" w:rsidRDefault="0058052E" w:rsidP="0058052E">
      <w:pPr>
        <w:spacing w:after="160" w:line="360" w:lineRule="auto"/>
        <w:ind w:firstLine="567"/>
        <w:jc w:val="both"/>
      </w:pPr>
      <w:r w:rsidRPr="00825EEB">
        <w:t>Դի-</w:t>
      </w:r>
      <w:r w:rsidRPr="00825EEB">
        <w:rPr>
          <w:i/>
        </w:rPr>
        <w:t>ն</w:t>
      </w:r>
      <w:r w:rsidRPr="00825EEB">
        <w:t xml:space="preserve">-օկտիլֆթալատի նկատմամբ </w:t>
      </w:r>
      <w:r w:rsidRPr="00825EEB">
        <w:rPr>
          <w:i/>
        </w:rPr>
        <w:t>հարաբերական պահումը</w:t>
      </w:r>
      <w:r w:rsidRPr="00825EEB">
        <w:t xml:space="preserve"> (պահման ժամանակը մոտ 22 րոպե). պոլիմերային 01 նյութերի հավելանյութը՝ մոտ 0,80:</w:t>
      </w:r>
    </w:p>
    <w:p w14:paraId="4B602718"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Դետեկտման առանձնահատկությունը ստուգվում է յուրաքանչյուր նյութի համար երեք տարբեր իոնների մշտադիտարկմամբ՝ մեկ իոնի սկանավորման ռեժիմում զանգվածասպեկտրաչափի օգնությամբ: Իոնային հարաբերակցությունները որոշվում են ըստ պիկային հատվածների՝ ստանդարտ լուծույթի ներմուծումից հետո:</w:t>
      </w:r>
    </w:p>
    <w:p w14:paraId="42C8A78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Իոնների հարաբերակցության գործակիցները ներկայացված են ի գիտություն՝</w:t>
      </w:r>
    </w:p>
    <w:tbl>
      <w:tblPr>
        <w:tblW w:w="9498" w:type="dxa"/>
        <w:tblInd w:w="-142" w:type="dxa"/>
        <w:tblLayout w:type="fixed"/>
        <w:tblCellMar>
          <w:left w:w="0" w:type="dxa"/>
          <w:right w:w="0" w:type="dxa"/>
        </w:tblCellMar>
        <w:tblLook w:val="0000" w:firstRow="0" w:lastRow="0" w:firstColumn="0" w:lastColumn="0" w:noHBand="0" w:noVBand="0"/>
      </w:tblPr>
      <w:tblGrid>
        <w:gridCol w:w="2127"/>
        <w:gridCol w:w="850"/>
        <w:gridCol w:w="851"/>
        <w:gridCol w:w="992"/>
        <w:gridCol w:w="2268"/>
        <w:gridCol w:w="2410"/>
      </w:tblGrid>
      <w:tr w:rsidR="0058052E" w:rsidRPr="00492AA6" w14:paraId="6AA911E8" w14:textId="77777777" w:rsidTr="00A84AF4">
        <w:trPr>
          <w:trHeight w:val="768"/>
        </w:trPr>
        <w:tc>
          <w:tcPr>
            <w:tcW w:w="2127" w:type="dxa"/>
            <w:tcBorders>
              <w:top w:val="single" w:sz="4" w:space="0" w:color="auto"/>
              <w:left w:val="nil"/>
              <w:bottom w:val="nil"/>
              <w:right w:val="nil"/>
            </w:tcBorders>
            <w:shd w:val="clear" w:color="auto" w:fill="FFFFFF"/>
            <w:vAlign w:val="center"/>
          </w:tcPr>
          <w:p w14:paraId="26CF976C"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Նյութը</w:t>
            </w:r>
          </w:p>
        </w:tc>
        <w:tc>
          <w:tcPr>
            <w:tcW w:w="850" w:type="dxa"/>
            <w:tcBorders>
              <w:top w:val="single" w:sz="4" w:space="0" w:color="auto"/>
              <w:left w:val="nil"/>
              <w:bottom w:val="nil"/>
              <w:right w:val="nil"/>
            </w:tcBorders>
            <w:shd w:val="clear" w:color="auto" w:fill="FFFFFF"/>
            <w:vAlign w:val="center"/>
          </w:tcPr>
          <w:p w14:paraId="04F0D89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1 (</w:t>
            </w:r>
            <w:r w:rsidRPr="00492AA6">
              <w:rPr>
                <w:i/>
                <w:sz w:val="20"/>
                <w:szCs w:val="20"/>
              </w:rPr>
              <w:t>m/z</w:t>
            </w:r>
            <w:r w:rsidRPr="00492AA6">
              <w:rPr>
                <w:sz w:val="20"/>
                <w:szCs w:val="20"/>
              </w:rPr>
              <w:t>)</w:t>
            </w:r>
          </w:p>
        </w:tc>
        <w:tc>
          <w:tcPr>
            <w:tcW w:w="851" w:type="dxa"/>
            <w:tcBorders>
              <w:top w:val="single" w:sz="4" w:space="0" w:color="auto"/>
              <w:left w:val="nil"/>
              <w:bottom w:val="nil"/>
              <w:right w:val="nil"/>
            </w:tcBorders>
            <w:shd w:val="clear" w:color="auto" w:fill="FFFFFF"/>
            <w:vAlign w:val="center"/>
          </w:tcPr>
          <w:p w14:paraId="26B2B25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2 (</w:t>
            </w:r>
            <w:r w:rsidRPr="00492AA6">
              <w:rPr>
                <w:i/>
                <w:sz w:val="20"/>
                <w:szCs w:val="20"/>
              </w:rPr>
              <w:t>m/z</w:t>
            </w:r>
            <w:r w:rsidRPr="00492AA6">
              <w:rPr>
                <w:sz w:val="20"/>
                <w:szCs w:val="20"/>
              </w:rPr>
              <w:t>)</w:t>
            </w:r>
          </w:p>
        </w:tc>
        <w:tc>
          <w:tcPr>
            <w:tcW w:w="992" w:type="dxa"/>
            <w:tcBorders>
              <w:top w:val="single" w:sz="4" w:space="0" w:color="auto"/>
              <w:left w:val="nil"/>
              <w:bottom w:val="nil"/>
              <w:right w:val="nil"/>
            </w:tcBorders>
            <w:shd w:val="clear" w:color="auto" w:fill="FFFFFF"/>
            <w:vAlign w:val="center"/>
          </w:tcPr>
          <w:p w14:paraId="30715D86"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 3 (</w:t>
            </w:r>
            <w:r w:rsidRPr="00492AA6">
              <w:rPr>
                <w:i/>
                <w:sz w:val="20"/>
                <w:szCs w:val="20"/>
              </w:rPr>
              <w:t>m/z</w:t>
            </w:r>
            <w:r w:rsidRPr="00492AA6">
              <w:rPr>
                <w:sz w:val="20"/>
                <w:szCs w:val="20"/>
              </w:rPr>
              <w:t>)</w:t>
            </w:r>
          </w:p>
        </w:tc>
        <w:tc>
          <w:tcPr>
            <w:tcW w:w="2268" w:type="dxa"/>
            <w:tcBorders>
              <w:top w:val="single" w:sz="4" w:space="0" w:color="auto"/>
              <w:left w:val="nil"/>
              <w:bottom w:val="nil"/>
              <w:right w:val="nil"/>
            </w:tcBorders>
            <w:shd w:val="clear" w:color="auto" w:fill="FFFFFF"/>
            <w:vAlign w:val="center"/>
          </w:tcPr>
          <w:p w14:paraId="081D98F4"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Իոնների հարաբերակցությունը՝ 2/1 (%)</w:t>
            </w:r>
          </w:p>
        </w:tc>
        <w:tc>
          <w:tcPr>
            <w:tcW w:w="2410" w:type="dxa"/>
            <w:tcBorders>
              <w:top w:val="single" w:sz="4" w:space="0" w:color="auto"/>
              <w:left w:val="nil"/>
              <w:bottom w:val="nil"/>
              <w:right w:val="nil"/>
            </w:tcBorders>
            <w:shd w:val="clear" w:color="auto" w:fill="FFFFFF"/>
            <w:vAlign w:val="center"/>
          </w:tcPr>
          <w:p w14:paraId="72816FC0" w14:textId="77777777" w:rsidR="0058052E" w:rsidRPr="00492AA6" w:rsidRDefault="0058052E" w:rsidP="00A84AF4">
            <w:pPr>
              <w:spacing w:after="120"/>
              <w:ind w:right="142"/>
              <w:jc w:val="center"/>
              <w:rPr>
                <w:rFonts w:eastAsia="Times New Roman" w:cs="Times New Roman"/>
                <w:color w:val="auto"/>
                <w:sz w:val="20"/>
                <w:szCs w:val="20"/>
              </w:rPr>
            </w:pPr>
            <w:r w:rsidRPr="00492AA6">
              <w:rPr>
                <w:sz w:val="20"/>
                <w:szCs w:val="20"/>
              </w:rPr>
              <w:t>Իոնների հարաբերակցությունը՝ 3/1 (%)</w:t>
            </w:r>
          </w:p>
        </w:tc>
      </w:tr>
      <w:tr w:rsidR="0058052E" w:rsidRPr="00492AA6" w14:paraId="41D5C6CE" w14:textId="77777777" w:rsidTr="00A84AF4">
        <w:trPr>
          <w:trHeight w:val="494"/>
        </w:trPr>
        <w:tc>
          <w:tcPr>
            <w:tcW w:w="2127" w:type="dxa"/>
            <w:tcBorders>
              <w:top w:val="single" w:sz="4" w:space="0" w:color="auto"/>
              <w:left w:val="nil"/>
              <w:bottom w:val="nil"/>
              <w:right w:val="nil"/>
            </w:tcBorders>
            <w:shd w:val="clear" w:color="auto" w:fill="FFFFFF"/>
            <w:vAlign w:val="bottom"/>
          </w:tcPr>
          <w:p w14:paraId="7320E68B" w14:textId="77777777" w:rsidR="0058052E" w:rsidRPr="00492AA6" w:rsidRDefault="0058052E" w:rsidP="00492AA6">
            <w:pPr>
              <w:spacing w:after="120"/>
              <w:rPr>
                <w:rFonts w:eastAsia="Times New Roman" w:cs="Times New Roman"/>
                <w:color w:val="auto"/>
                <w:sz w:val="20"/>
                <w:szCs w:val="20"/>
              </w:rPr>
            </w:pPr>
            <w:r w:rsidRPr="00492AA6">
              <w:rPr>
                <w:sz w:val="20"/>
                <w:szCs w:val="20"/>
              </w:rPr>
              <w:t>հավելանյութ 01</w:t>
            </w:r>
          </w:p>
        </w:tc>
        <w:tc>
          <w:tcPr>
            <w:tcW w:w="850" w:type="dxa"/>
            <w:tcBorders>
              <w:top w:val="single" w:sz="4" w:space="0" w:color="auto"/>
              <w:left w:val="nil"/>
              <w:bottom w:val="nil"/>
              <w:right w:val="nil"/>
            </w:tcBorders>
            <w:shd w:val="clear" w:color="auto" w:fill="FFFFFF"/>
          </w:tcPr>
          <w:p w14:paraId="5039469A"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149</w:t>
            </w:r>
          </w:p>
        </w:tc>
        <w:tc>
          <w:tcPr>
            <w:tcW w:w="851" w:type="dxa"/>
            <w:tcBorders>
              <w:top w:val="single" w:sz="4" w:space="0" w:color="auto"/>
              <w:left w:val="nil"/>
              <w:bottom w:val="nil"/>
              <w:right w:val="nil"/>
            </w:tcBorders>
            <w:shd w:val="clear" w:color="auto" w:fill="FFFFFF"/>
          </w:tcPr>
          <w:p w14:paraId="40564F32"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167</w:t>
            </w:r>
          </w:p>
        </w:tc>
        <w:tc>
          <w:tcPr>
            <w:tcW w:w="992" w:type="dxa"/>
            <w:tcBorders>
              <w:top w:val="single" w:sz="4" w:space="0" w:color="auto"/>
              <w:left w:val="nil"/>
              <w:bottom w:val="nil"/>
              <w:right w:val="nil"/>
            </w:tcBorders>
            <w:shd w:val="clear" w:color="auto" w:fill="FFFFFF"/>
          </w:tcPr>
          <w:p w14:paraId="4A29156B"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279</w:t>
            </w:r>
          </w:p>
        </w:tc>
        <w:tc>
          <w:tcPr>
            <w:tcW w:w="2268" w:type="dxa"/>
            <w:tcBorders>
              <w:top w:val="single" w:sz="4" w:space="0" w:color="auto"/>
              <w:left w:val="nil"/>
              <w:bottom w:val="nil"/>
              <w:right w:val="nil"/>
            </w:tcBorders>
            <w:shd w:val="clear" w:color="auto" w:fill="FFFFFF"/>
          </w:tcPr>
          <w:p w14:paraId="25278510"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50</w:t>
            </w:r>
          </w:p>
        </w:tc>
        <w:tc>
          <w:tcPr>
            <w:tcW w:w="2410" w:type="dxa"/>
            <w:tcBorders>
              <w:top w:val="single" w:sz="4" w:space="0" w:color="auto"/>
              <w:left w:val="nil"/>
              <w:bottom w:val="nil"/>
              <w:right w:val="nil"/>
            </w:tcBorders>
            <w:shd w:val="clear" w:color="auto" w:fill="FFFFFF"/>
          </w:tcPr>
          <w:p w14:paraId="78286C75"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30</w:t>
            </w:r>
          </w:p>
        </w:tc>
      </w:tr>
      <w:tr w:rsidR="0058052E" w:rsidRPr="00492AA6" w14:paraId="4078D541" w14:textId="77777777" w:rsidTr="00A84AF4">
        <w:trPr>
          <w:trHeight w:val="552"/>
        </w:trPr>
        <w:tc>
          <w:tcPr>
            <w:tcW w:w="2127" w:type="dxa"/>
            <w:tcBorders>
              <w:top w:val="nil"/>
              <w:left w:val="nil"/>
              <w:bottom w:val="nil"/>
              <w:right w:val="nil"/>
            </w:tcBorders>
            <w:shd w:val="clear" w:color="auto" w:fill="FFFFFF"/>
            <w:vAlign w:val="bottom"/>
          </w:tcPr>
          <w:p w14:paraId="4138A1E1" w14:textId="77777777" w:rsidR="0058052E" w:rsidRPr="00492AA6" w:rsidRDefault="0058052E" w:rsidP="00492AA6">
            <w:pPr>
              <w:spacing w:after="120"/>
              <w:rPr>
                <w:rFonts w:eastAsia="Times New Roman" w:cs="Times New Roman"/>
                <w:color w:val="auto"/>
                <w:sz w:val="20"/>
                <w:szCs w:val="20"/>
              </w:rPr>
            </w:pPr>
            <w:r w:rsidRPr="00492AA6">
              <w:rPr>
                <w:sz w:val="20"/>
                <w:szCs w:val="20"/>
              </w:rPr>
              <w:t>դի-</w:t>
            </w:r>
            <w:r w:rsidRPr="00492AA6">
              <w:rPr>
                <w:i/>
                <w:sz w:val="20"/>
                <w:szCs w:val="20"/>
              </w:rPr>
              <w:t>ն</w:t>
            </w:r>
            <w:r w:rsidRPr="00492AA6">
              <w:rPr>
                <w:sz w:val="20"/>
                <w:szCs w:val="20"/>
              </w:rPr>
              <w:t xml:space="preserve">-օկտիլֆտալատ </w:t>
            </w:r>
          </w:p>
        </w:tc>
        <w:tc>
          <w:tcPr>
            <w:tcW w:w="850" w:type="dxa"/>
            <w:tcBorders>
              <w:top w:val="nil"/>
              <w:left w:val="nil"/>
              <w:bottom w:val="nil"/>
              <w:right w:val="nil"/>
            </w:tcBorders>
            <w:shd w:val="clear" w:color="auto" w:fill="FFFFFF"/>
          </w:tcPr>
          <w:p w14:paraId="34A714CC" w14:textId="77777777" w:rsidR="0058052E" w:rsidRPr="00492AA6" w:rsidRDefault="0058052E" w:rsidP="00492AA6">
            <w:pPr>
              <w:spacing w:after="120"/>
              <w:jc w:val="center"/>
              <w:rPr>
                <w:rFonts w:eastAsia="Times New Roman" w:cs="Times New Roman"/>
                <w:color w:val="auto"/>
                <w:sz w:val="20"/>
                <w:szCs w:val="20"/>
              </w:rPr>
            </w:pPr>
          </w:p>
        </w:tc>
        <w:tc>
          <w:tcPr>
            <w:tcW w:w="851" w:type="dxa"/>
            <w:tcBorders>
              <w:top w:val="nil"/>
              <w:left w:val="nil"/>
              <w:bottom w:val="nil"/>
              <w:right w:val="nil"/>
            </w:tcBorders>
            <w:shd w:val="clear" w:color="auto" w:fill="FFFFFF"/>
          </w:tcPr>
          <w:p w14:paraId="08D5AAB5" w14:textId="77777777" w:rsidR="0058052E" w:rsidRPr="00492AA6" w:rsidRDefault="0058052E" w:rsidP="00492AA6">
            <w:pPr>
              <w:spacing w:after="120"/>
              <w:jc w:val="center"/>
              <w:rPr>
                <w:rFonts w:eastAsia="Times New Roman" w:cs="Times New Roman"/>
                <w:color w:val="auto"/>
                <w:sz w:val="20"/>
                <w:szCs w:val="20"/>
              </w:rPr>
            </w:pPr>
          </w:p>
        </w:tc>
        <w:tc>
          <w:tcPr>
            <w:tcW w:w="992" w:type="dxa"/>
            <w:tcBorders>
              <w:top w:val="nil"/>
              <w:left w:val="nil"/>
              <w:bottom w:val="nil"/>
              <w:right w:val="nil"/>
            </w:tcBorders>
            <w:shd w:val="clear" w:color="auto" w:fill="FFFFFF"/>
          </w:tcPr>
          <w:p w14:paraId="08029801" w14:textId="77777777" w:rsidR="0058052E" w:rsidRPr="00492AA6" w:rsidRDefault="0058052E" w:rsidP="00492AA6">
            <w:pPr>
              <w:spacing w:after="120"/>
              <w:jc w:val="center"/>
              <w:rPr>
                <w:rFonts w:eastAsia="Times New Roman" w:cs="Times New Roman"/>
                <w:color w:val="auto"/>
                <w:sz w:val="20"/>
                <w:szCs w:val="20"/>
              </w:rPr>
            </w:pPr>
          </w:p>
        </w:tc>
        <w:tc>
          <w:tcPr>
            <w:tcW w:w="2268" w:type="dxa"/>
            <w:tcBorders>
              <w:top w:val="nil"/>
              <w:left w:val="nil"/>
              <w:bottom w:val="nil"/>
              <w:right w:val="nil"/>
            </w:tcBorders>
            <w:shd w:val="clear" w:color="auto" w:fill="FFFFFF"/>
          </w:tcPr>
          <w:p w14:paraId="668E2551" w14:textId="77777777" w:rsidR="0058052E" w:rsidRPr="00492AA6" w:rsidRDefault="0058052E" w:rsidP="00492AA6">
            <w:pPr>
              <w:spacing w:after="120"/>
              <w:jc w:val="center"/>
              <w:rPr>
                <w:rFonts w:eastAsia="Times New Roman" w:cs="Times New Roman"/>
                <w:color w:val="auto"/>
                <w:sz w:val="20"/>
                <w:szCs w:val="20"/>
              </w:rPr>
            </w:pPr>
          </w:p>
        </w:tc>
        <w:tc>
          <w:tcPr>
            <w:tcW w:w="2410" w:type="dxa"/>
            <w:tcBorders>
              <w:top w:val="nil"/>
              <w:left w:val="nil"/>
              <w:bottom w:val="nil"/>
              <w:right w:val="nil"/>
            </w:tcBorders>
            <w:shd w:val="clear" w:color="auto" w:fill="FFFFFF"/>
          </w:tcPr>
          <w:p w14:paraId="763A9526" w14:textId="77777777" w:rsidR="0058052E" w:rsidRPr="00492AA6" w:rsidRDefault="0058052E" w:rsidP="00492AA6">
            <w:pPr>
              <w:spacing w:after="120"/>
              <w:jc w:val="center"/>
              <w:rPr>
                <w:rFonts w:eastAsia="Times New Roman" w:cs="Times New Roman"/>
                <w:color w:val="auto"/>
                <w:sz w:val="20"/>
                <w:szCs w:val="20"/>
              </w:rPr>
            </w:pPr>
          </w:p>
        </w:tc>
      </w:tr>
      <w:tr w:rsidR="0058052E" w:rsidRPr="00492AA6" w14:paraId="06E21E6C" w14:textId="77777777" w:rsidTr="00A84AF4">
        <w:trPr>
          <w:trHeight w:val="778"/>
        </w:trPr>
        <w:tc>
          <w:tcPr>
            <w:tcW w:w="2127" w:type="dxa"/>
            <w:tcBorders>
              <w:top w:val="nil"/>
              <w:left w:val="nil"/>
              <w:bottom w:val="single" w:sz="4" w:space="0" w:color="auto"/>
              <w:right w:val="nil"/>
            </w:tcBorders>
            <w:shd w:val="clear" w:color="auto" w:fill="FFFFFF"/>
            <w:vAlign w:val="bottom"/>
          </w:tcPr>
          <w:p w14:paraId="769A0197" w14:textId="77777777" w:rsidR="0058052E" w:rsidRPr="00492AA6" w:rsidRDefault="0058052E" w:rsidP="00492AA6">
            <w:pPr>
              <w:spacing w:after="120"/>
              <w:rPr>
                <w:rFonts w:eastAsia="Times New Roman" w:cs="Times New Roman"/>
                <w:color w:val="auto"/>
                <w:sz w:val="20"/>
                <w:szCs w:val="20"/>
              </w:rPr>
            </w:pPr>
            <w:r w:rsidRPr="00492AA6">
              <w:rPr>
                <w:sz w:val="20"/>
                <w:szCs w:val="20"/>
              </w:rPr>
              <w:t>(ներքին ստանդարտ)</w:t>
            </w:r>
          </w:p>
        </w:tc>
        <w:tc>
          <w:tcPr>
            <w:tcW w:w="850" w:type="dxa"/>
            <w:tcBorders>
              <w:top w:val="nil"/>
              <w:left w:val="nil"/>
              <w:bottom w:val="single" w:sz="4" w:space="0" w:color="auto"/>
              <w:right w:val="nil"/>
            </w:tcBorders>
            <w:shd w:val="clear" w:color="auto" w:fill="FFFFFF"/>
          </w:tcPr>
          <w:p w14:paraId="0D3BFC0A"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149</w:t>
            </w:r>
          </w:p>
        </w:tc>
        <w:tc>
          <w:tcPr>
            <w:tcW w:w="851" w:type="dxa"/>
            <w:tcBorders>
              <w:top w:val="nil"/>
              <w:left w:val="nil"/>
              <w:bottom w:val="single" w:sz="4" w:space="0" w:color="auto"/>
              <w:right w:val="nil"/>
            </w:tcBorders>
            <w:shd w:val="clear" w:color="auto" w:fill="FFFFFF"/>
          </w:tcPr>
          <w:p w14:paraId="5140BA9D"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279</w:t>
            </w:r>
          </w:p>
        </w:tc>
        <w:tc>
          <w:tcPr>
            <w:tcW w:w="992" w:type="dxa"/>
            <w:tcBorders>
              <w:top w:val="nil"/>
              <w:left w:val="nil"/>
              <w:bottom w:val="single" w:sz="4" w:space="0" w:color="auto"/>
              <w:right w:val="nil"/>
            </w:tcBorders>
            <w:shd w:val="clear" w:color="auto" w:fill="FFFFFF"/>
          </w:tcPr>
          <w:p w14:paraId="3B43EE9B"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167</w:t>
            </w:r>
          </w:p>
        </w:tc>
        <w:tc>
          <w:tcPr>
            <w:tcW w:w="2268" w:type="dxa"/>
            <w:tcBorders>
              <w:top w:val="nil"/>
              <w:left w:val="nil"/>
              <w:bottom w:val="single" w:sz="4" w:space="0" w:color="auto"/>
              <w:right w:val="nil"/>
            </w:tcBorders>
            <w:shd w:val="clear" w:color="auto" w:fill="FFFFFF"/>
          </w:tcPr>
          <w:p w14:paraId="3825746B"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w:t>
            </w:r>
          </w:p>
        </w:tc>
        <w:tc>
          <w:tcPr>
            <w:tcW w:w="2410" w:type="dxa"/>
            <w:tcBorders>
              <w:top w:val="nil"/>
              <w:left w:val="nil"/>
              <w:bottom w:val="single" w:sz="4" w:space="0" w:color="auto"/>
              <w:right w:val="nil"/>
            </w:tcBorders>
            <w:shd w:val="clear" w:color="auto" w:fill="FFFFFF"/>
          </w:tcPr>
          <w:p w14:paraId="0FF00AFC" w14:textId="77777777" w:rsidR="0058052E" w:rsidRPr="00492AA6" w:rsidRDefault="0058052E" w:rsidP="00492AA6">
            <w:pPr>
              <w:spacing w:after="120"/>
              <w:jc w:val="center"/>
              <w:rPr>
                <w:rFonts w:eastAsia="Times New Roman" w:cs="Times New Roman"/>
                <w:color w:val="auto"/>
                <w:sz w:val="20"/>
                <w:szCs w:val="20"/>
              </w:rPr>
            </w:pPr>
            <w:r w:rsidRPr="00492AA6">
              <w:rPr>
                <w:sz w:val="20"/>
                <w:szCs w:val="20"/>
              </w:rPr>
              <w:t>/</w:t>
            </w:r>
          </w:p>
        </w:tc>
      </w:tr>
    </w:tbl>
    <w:p w14:paraId="2BB5C38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771B68B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Քրոմատագրման համակարգի պիտանիությունը՝</w:t>
      </w:r>
    </w:p>
    <w:p w14:paraId="718CF750"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w:t>
      </w:r>
      <w:r w:rsidR="00492AA6" w:rsidRPr="00492AA6">
        <w:rPr>
          <w:rFonts w:ascii="Sylfaen" w:hAnsi="Sylfaen"/>
          <w:sz w:val="24"/>
          <w:szCs w:val="24"/>
        </w:rPr>
        <w:tab/>
      </w:r>
      <w:r w:rsidRPr="00825EEB">
        <w:rPr>
          <w:rFonts w:ascii="Sylfaen" w:hAnsi="Sylfaen"/>
          <w:i/>
          <w:sz w:val="24"/>
          <w:szCs w:val="24"/>
        </w:rPr>
        <w:t>կրկնելիությունը՝</w:t>
      </w:r>
      <w:r w:rsidRPr="00825EEB">
        <w:rPr>
          <w:rFonts w:ascii="Sylfaen" w:hAnsi="Sylfaen"/>
          <w:sz w:val="24"/>
          <w:szCs w:val="24"/>
        </w:rPr>
        <w:t xml:space="preserve"> պոլիմերային 01 նյութի հավելանյութի պիկի պահման ժամանակի հարաբերական ստանդարտ շեղումը, որը հաշվարկված է ստուգաճշտման միջակայքի մեջտեղում ներմուծվող համեմատության լուծույթների վեց ներմուծումներով (օրինակ՝ 20 մկգ/մլ)՝ 1,0 %-ից ոչ ավելի.</w:t>
      </w:r>
    </w:p>
    <w:p w14:paraId="47F8B92A"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92AA6">
        <w:rPr>
          <w:rFonts w:ascii="Sylfaen" w:hAnsi="Sylfaen"/>
          <w:sz w:val="24"/>
          <w:szCs w:val="24"/>
        </w:rPr>
        <w:tab/>
      </w:r>
      <w:r w:rsidR="0058052E" w:rsidRPr="00825EEB">
        <w:rPr>
          <w:rFonts w:ascii="Sylfaen" w:hAnsi="Sylfaen"/>
          <w:sz w:val="24"/>
          <w:szCs w:val="24"/>
        </w:rPr>
        <w:t xml:space="preserve">պոլիմերային 01 նյութի հավելանյութի պիկի մակերեսի </w:t>
      </w:r>
      <w:r w:rsidR="0058052E">
        <w:rPr>
          <w:rFonts w:ascii="Sylfaen" w:hAnsi="Sylfaen"/>
          <w:sz w:val="24"/>
          <w:szCs w:val="24"/>
        </w:rPr>
        <w:t>եւ</w:t>
      </w:r>
      <w:r w:rsidR="0058052E" w:rsidRPr="00825EEB">
        <w:rPr>
          <w:rFonts w:ascii="Sylfaen" w:hAnsi="Sylfaen"/>
          <w:sz w:val="24"/>
          <w:szCs w:val="24"/>
        </w:rPr>
        <w:t xml:space="preserve"> ներքին ստանդարտի հարաբերական ստանդարտ շեղումը, որը հաշվարկված է ստուգաճշտման միջակայքի մեջտեղում ներմուծվող համեմատության լուծույթների վեց ներմուծումներով (օրինակ՝ 20 մկգ/մլ)՝ 3,0 %-ից ոչ ավելի:</w:t>
      </w:r>
    </w:p>
    <w:p w14:paraId="2BE458E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հաշվարկումը՝</w:t>
      </w:r>
    </w:p>
    <w:p w14:paraId="723344D2"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492AA6">
        <w:rPr>
          <w:rFonts w:ascii="Sylfaen" w:hAnsi="Sylfaen"/>
          <w:sz w:val="24"/>
          <w:szCs w:val="24"/>
        </w:rPr>
        <w:tab/>
      </w:r>
      <w:r w:rsidR="0058052E" w:rsidRPr="00825EEB">
        <w:rPr>
          <w:rFonts w:ascii="Sylfaen" w:hAnsi="Sylfaen"/>
          <w:sz w:val="24"/>
          <w:szCs w:val="24"/>
        </w:rPr>
        <w:t>պոլիմերային 01 նյութի հավելանյութի տոկոսային պարունակությունը նյութի փորձարկվող նմուշի մեջ հաշվարկում են համեմատության լուծույթների ստուգաճշտման կորերով:</w:t>
      </w:r>
    </w:p>
    <w:p w14:paraId="33E42141" w14:textId="77777777" w:rsidR="0058052E" w:rsidRPr="00825EEB" w:rsidRDefault="0058052E" w:rsidP="00492AA6">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Պարունակության սահմանները՝</w:t>
      </w:r>
    </w:p>
    <w:p w14:paraId="51DC82EB"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պոլիմերային 01 նյութի հավելանյութ:</w:t>
      </w:r>
      <w:r w:rsidR="0058052E" w:rsidRPr="00825EEB">
        <w:rPr>
          <w:rFonts w:ascii="Sylfaen" w:hAnsi="Sylfaen"/>
          <w:sz w:val="24"/>
          <w:szCs w:val="24"/>
        </w:rPr>
        <w:t xml:space="preserve"> 40 %-ից ոչ ավելի:</w:t>
      </w:r>
    </w:p>
    <w:p w14:paraId="139756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Պոլիմերային 03 նյութերի հավելանյութ։</w:t>
      </w:r>
    </w:p>
    <w:p w14:paraId="2FCDF58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«Նույնականացում»</w:t>
      </w:r>
      <w:r w:rsidRPr="00825EEB">
        <w:rPr>
          <w:rFonts w:ascii="Sylfaen" w:hAnsi="Sylfaen"/>
          <w:sz w:val="24"/>
          <w:szCs w:val="24"/>
        </w:rPr>
        <w:t xml:space="preserve"> փորձարկման ժամանակ ստացված՝ ապակե ծակոտկեն զտիչի վրայի Բ2 նստվածքը ողողում են </w:t>
      </w:r>
      <w:r w:rsidRPr="00825EEB">
        <w:rPr>
          <w:rFonts w:ascii="Sylfaen" w:hAnsi="Sylfaen"/>
          <w:i/>
          <w:sz w:val="24"/>
          <w:szCs w:val="24"/>
        </w:rPr>
        <w:t>Ռ անջուր էթանոլով</w:t>
      </w:r>
      <w:r w:rsidRPr="00825EEB">
        <w:rPr>
          <w:rFonts w:ascii="Sylfaen" w:hAnsi="Sylfaen"/>
          <w:sz w:val="24"/>
          <w:szCs w:val="24"/>
        </w:rPr>
        <w:t xml:space="preserve">: Չորացնում են </w:t>
      </w:r>
      <w:r w:rsidRPr="00825EEB">
        <w:rPr>
          <w:rFonts w:ascii="Sylfaen" w:hAnsi="Sylfaen"/>
          <w:i/>
          <w:sz w:val="24"/>
          <w:szCs w:val="24"/>
        </w:rPr>
        <w:t>Ռ</w:t>
      </w:r>
      <w:r w:rsidRPr="00825EEB">
        <w:rPr>
          <w:rFonts w:ascii="Sylfaen" w:hAnsi="Sylfaen"/>
          <w:sz w:val="24"/>
          <w:szCs w:val="24"/>
        </w:rPr>
        <w:t xml:space="preserve"> </w:t>
      </w:r>
      <w:r w:rsidRPr="00825EEB">
        <w:rPr>
          <w:rFonts w:ascii="Sylfaen" w:hAnsi="Sylfaen"/>
          <w:i/>
          <w:sz w:val="24"/>
          <w:szCs w:val="24"/>
        </w:rPr>
        <w:t xml:space="preserve">ֆոսֆորի (V) օքսիդի </w:t>
      </w:r>
      <w:r w:rsidRPr="00825EEB">
        <w:rPr>
          <w:rFonts w:ascii="Sylfaen" w:hAnsi="Sylfaen"/>
          <w:sz w:val="24"/>
          <w:szCs w:val="24"/>
        </w:rPr>
        <w:t>(դիֆոսֆորի պենտաօքսիդի) վրա մինչ</w:t>
      </w:r>
      <w:r>
        <w:rPr>
          <w:rFonts w:ascii="Sylfaen" w:hAnsi="Sylfaen"/>
          <w:sz w:val="24"/>
          <w:szCs w:val="24"/>
        </w:rPr>
        <w:t>եւ</w:t>
      </w:r>
      <w:r w:rsidRPr="00825EEB">
        <w:rPr>
          <w:rFonts w:ascii="Sylfaen" w:hAnsi="Sylfaen"/>
          <w:sz w:val="24"/>
          <w:szCs w:val="24"/>
        </w:rPr>
        <w:t xml:space="preserve"> կայուն զանգված ստանալը </w:t>
      </w:r>
      <w:r>
        <w:rPr>
          <w:rFonts w:ascii="Sylfaen" w:hAnsi="Sylfaen"/>
          <w:sz w:val="24"/>
          <w:szCs w:val="24"/>
        </w:rPr>
        <w:t>եւ</w:t>
      </w:r>
      <w:r w:rsidRPr="00825EEB">
        <w:rPr>
          <w:rFonts w:ascii="Sylfaen" w:hAnsi="Sylfaen"/>
          <w:sz w:val="24"/>
          <w:szCs w:val="24"/>
        </w:rPr>
        <w:t xml:space="preserve"> կշռում են: Մնացորդի զանգվածը չպետք է գերազանցի 20 մգ-ը:</w:t>
      </w:r>
    </w:p>
    <w:p w14:paraId="0B51726C" w14:textId="77777777" w:rsidR="0058052E" w:rsidRPr="00825EEB" w:rsidRDefault="0058052E" w:rsidP="0058052E">
      <w:pPr>
        <w:spacing w:after="160" w:line="360" w:lineRule="auto"/>
        <w:ind w:firstLine="567"/>
        <w:jc w:val="both"/>
      </w:pPr>
      <w:r w:rsidRPr="00825EEB">
        <w:t xml:space="preserve">Որոշումն անցկացնում են ինֆրակարմիր հատվածում աբսորբման սպեկտրալուսաչափության մեթոդով </w:t>
      </w:r>
      <w:r w:rsidRPr="00825EEB">
        <w:rPr>
          <w:i/>
        </w:rPr>
        <w:t>(2.1.2.23):</w:t>
      </w:r>
    </w:p>
    <w:p w14:paraId="4E9F510E" w14:textId="77777777" w:rsidR="0058052E" w:rsidRPr="00903268"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sz w:val="24"/>
          <w:szCs w:val="24"/>
        </w:rPr>
        <w:t xml:space="preserve">Մնացորդի ինֆրակարմիր սպեկտրը պետք է համապատասխանի </w:t>
      </w:r>
      <w:r w:rsidRPr="00825EEB">
        <w:rPr>
          <w:rFonts w:ascii="Sylfaen" w:hAnsi="Sylfaen"/>
          <w:i/>
          <w:sz w:val="24"/>
          <w:szCs w:val="24"/>
        </w:rPr>
        <w:t>պոլիմերային 03 նյութի հավելանյութի ԵԱՏՄԴ ՍՆ</w:t>
      </w:r>
      <w:r w:rsidRPr="00825EEB">
        <w:rPr>
          <w:rFonts w:ascii="Sylfaen" w:hAnsi="Sylfaen"/>
          <w:sz w:val="24"/>
          <w:szCs w:val="24"/>
        </w:rPr>
        <w:t xml:space="preserve"> սպեկտրին:</w:t>
      </w:r>
    </w:p>
    <w:p w14:paraId="50F56C4A" w14:textId="77777777" w:rsidR="001827DA" w:rsidRPr="00903268" w:rsidRDefault="001827DA" w:rsidP="0058052E">
      <w:pPr>
        <w:pStyle w:val="a0"/>
        <w:shd w:val="clear" w:color="auto" w:fill="auto"/>
        <w:spacing w:after="160" w:line="360" w:lineRule="auto"/>
        <w:ind w:firstLine="567"/>
        <w:jc w:val="both"/>
        <w:rPr>
          <w:rFonts w:ascii="Sylfaen" w:hAnsi="Sylfaen" w:cs="Sylfaen"/>
          <w:sz w:val="24"/>
          <w:szCs w:val="24"/>
        </w:rPr>
      </w:pPr>
    </w:p>
    <w:p w14:paraId="7248236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Պոլիմերային 04 </w:t>
      </w:r>
      <w:r>
        <w:rPr>
          <w:rFonts w:ascii="Sylfaen" w:hAnsi="Sylfaen"/>
          <w:b/>
          <w:sz w:val="24"/>
          <w:szCs w:val="24"/>
        </w:rPr>
        <w:t>եւ</w:t>
      </w:r>
      <w:r w:rsidRPr="00825EEB">
        <w:rPr>
          <w:rFonts w:ascii="Sylfaen" w:hAnsi="Sylfaen"/>
          <w:b/>
          <w:sz w:val="24"/>
          <w:szCs w:val="24"/>
        </w:rPr>
        <w:t xml:space="preserve"> 05 նյութերի հավելանյութերը։</w:t>
      </w:r>
    </w:p>
    <w:p w14:paraId="548416E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Որոշումն անցկացնում են նրբաշերտ քրոմատագրման մեթոդով </w:t>
      </w:r>
      <w:r w:rsidRPr="00825EEB">
        <w:rPr>
          <w:rFonts w:ascii="Sylfaen" w:hAnsi="Sylfaen"/>
          <w:i/>
          <w:sz w:val="24"/>
          <w:szCs w:val="24"/>
        </w:rPr>
        <w:t>(2.1.2.26):</w:t>
      </w:r>
    </w:p>
    <w:p w14:paraId="6A6FF4D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w:t>
      </w:r>
      <w:r w:rsidRPr="00825EEB">
        <w:rPr>
          <w:rFonts w:ascii="Sylfaen" w:hAnsi="Sylfaen"/>
          <w:i/>
          <w:sz w:val="24"/>
          <w:szCs w:val="24"/>
        </w:rPr>
        <w:t>Պոլիմերային 04 նյութի հավելանյութի ԵԱՏՄԴ ՍՆ</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պոլիմերային 05 նյութի հավելանյութի ԵԱՏՄԴ ՍՆ</w:t>
      </w:r>
      <w:r w:rsidRPr="00825EEB">
        <w:rPr>
          <w:rFonts w:ascii="Sylfaen" w:hAnsi="Sylfaen"/>
          <w:sz w:val="24"/>
          <w:szCs w:val="24"/>
        </w:rPr>
        <w:t xml:space="preserve"> 10 մգ/մլ պարունակող լուծույթներ՝ համապատասխանաբար </w:t>
      </w:r>
      <w:r w:rsidRPr="00825EEB">
        <w:rPr>
          <w:rFonts w:ascii="Sylfaen" w:hAnsi="Sylfaen"/>
          <w:i/>
          <w:sz w:val="24"/>
          <w:szCs w:val="24"/>
        </w:rPr>
        <w:t>Ռ տոլուոլի</w:t>
      </w:r>
      <w:r w:rsidRPr="00825EEB">
        <w:rPr>
          <w:rFonts w:ascii="Sylfaen" w:hAnsi="Sylfaen"/>
          <w:sz w:val="24"/>
          <w:szCs w:val="24"/>
        </w:rPr>
        <w:t xml:space="preserve"> մեջ:</w:t>
      </w:r>
      <w:r w:rsidRPr="00825EEB">
        <w:rPr>
          <w:rFonts w:ascii="Sylfaen" w:hAnsi="Sylfaen"/>
          <w:i/>
          <w:sz w:val="24"/>
          <w:szCs w:val="24"/>
        </w:rPr>
        <w:t xml:space="preserve"> </w:t>
      </w:r>
    </w:p>
    <w:p w14:paraId="641089C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Քրոմատագրման պայմանները՝</w:t>
      </w:r>
    </w:p>
    <w:p w14:paraId="6983C2C2"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ՆՇՔ թիթեղը՝ GF</w:t>
      </w:r>
      <w:r w:rsidR="0058052E" w:rsidRPr="00825EEB">
        <w:rPr>
          <w:rFonts w:ascii="Sylfaen" w:hAnsi="Sylfaen"/>
          <w:i/>
          <w:sz w:val="24"/>
          <w:szCs w:val="24"/>
          <w:vertAlign w:val="subscript"/>
        </w:rPr>
        <w:t>254</w:t>
      </w:r>
      <w:r w:rsidR="0058052E" w:rsidRPr="00825EEB">
        <w:rPr>
          <w:rFonts w:ascii="Sylfaen" w:hAnsi="Sylfaen"/>
          <w:i/>
          <w:sz w:val="24"/>
          <w:szCs w:val="24"/>
        </w:rPr>
        <w:t xml:space="preserve"> Ռ սիլիկագելի շերտով.</w:t>
      </w:r>
    </w:p>
    <w:p w14:paraId="7ED37047"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շարժուն ֆազը՝ Ռ տոլուոլ.</w:t>
      </w:r>
    </w:p>
    <w:p w14:paraId="108751E7"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քսվող փորձանմուշի ծավալը՝</w:t>
      </w:r>
      <w:r w:rsidR="0058052E" w:rsidRPr="00825EEB">
        <w:rPr>
          <w:rFonts w:ascii="Sylfaen" w:hAnsi="Sylfaen"/>
          <w:sz w:val="24"/>
          <w:szCs w:val="24"/>
        </w:rPr>
        <w:t xml:space="preserve"> </w:t>
      </w:r>
      <w:r w:rsidR="0058052E" w:rsidRPr="00825EEB">
        <w:rPr>
          <w:rFonts w:ascii="Sylfaen" w:hAnsi="Sylfaen"/>
          <w:i/>
          <w:sz w:val="24"/>
          <w:szCs w:val="24"/>
        </w:rPr>
        <w:t>«Նույնականացում»</w:t>
      </w:r>
      <w:r w:rsidR="0058052E" w:rsidRPr="00825EEB">
        <w:rPr>
          <w:rFonts w:ascii="Sylfaen" w:hAnsi="Sylfaen"/>
          <w:sz w:val="24"/>
          <w:szCs w:val="24"/>
        </w:rPr>
        <w:t xml:space="preserve"> փորձարկման ժամանակ ստացված Ա1 լուծույթի 0,5 մլ՝ 30 մմ x 3 մմ չափի շերտի տեսքով </w:t>
      </w:r>
      <w:r w:rsidR="0058052E">
        <w:rPr>
          <w:rFonts w:ascii="Sylfaen" w:hAnsi="Sylfaen"/>
          <w:sz w:val="24"/>
          <w:szCs w:val="24"/>
        </w:rPr>
        <w:t>եւ</w:t>
      </w:r>
      <w:r w:rsidR="0058052E" w:rsidRPr="00825EEB">
        <w:rPr>
          <w:rFonts w:ascii="Sylfaen" w:hAnsi="Sylfaen"/>
          <w:sz w:val="24"/>
          <w:szCs w:val="24"/>
        </w:rPr>
        <w:t xml:space="preserve"> համեմատության յուրաքանչյուր լուծույթի 5-ական մկլ.</w:t>
      </w:r>
    </w:p>
    <w:p w14:paraId="325DB301"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քրոմատագրական բաժանումը՝ թիթեղի 2/3-ից ավելի.</w:t>
      </w:r>
    </w:p>
    <w:p w14:paraId="4FA90E05"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չորացումը՝ օդում.</w:t>
      </w:r>
    </w:p>
    <w:p w14:paraId="238BBBCC" w14:textId="77777777" w:rsidR="0058052E" w:rsidRPr="00825EEB" w:rsidRDefault="00492AA6" w:rsidP="00492AA6">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i/>
          <w:sz w:val="24"/>
          <w:szCs w:val="24"/>
        </w:rPr>
        <w:t>-</w:t>
      </w:r>
      <w:r w:rsidRPr="00492AA6">
        <w:rPr>
          <w:rFonts w:ascii="Sylfaen" w:hAnsi="Sylfaen"/>
          <w:i/>
          <w:sz w:val="24"/>
          <w:szCs w:val="24"/>
        </w:rPr>
        <w:tab/>
      </w:r>
      <w:r w:rsidR="0058052E" w:rsidRPr="00825EEB">
        <w:rPr>
          <w:rFonts w:ascii="Sylfaen" w:hAnsi="Sylfaen"/>
          <w:i/>
          <w:sz w:val="24"/>
          <w:szCs w:val="24"/>
        </w:rPr>
        <w:t>դետեկտումը՝</w:t>
      </w:r>
      <w:r w:rsidR="0058052E" w:rsidRPr="00825EEB">
        <w:rPr>
          <w:rFonts w:ascii="Sylfaen" w:hAnsi="Sylfaen"/>
          <w:sz w:val="24"/>
          <w:szCs w:val="24"/>
        </w:rPr>
        <w:t xml:space="preserve"> թիթեղը 5 րոպե պահում են յոդի գոլորշիների մեջ:</w:t>
      </w:r>
    </w:p>
    <w:p w14:paraId="42B03CC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Ա1 լուծույթի քրոմատագրի վրա գտնում են գոտու այն դիրքը, որը համապատասխանում է պոլիմերային 04 </w:t>
      </w:r>
      <w:r>
        <w:rPr>
          <w:rFonts w:ascii="Sylfaen" w:hAnsi="Sylfaen"/>
          <w:sz w:val="24"/>
          <w:szCs w:val="24"/>
        </w:rPr>
        <w:t>եւ</w:t>
      </w:r>
      <w:r w:rsidRPr="00825EEB">
        <w:rPr>
          <w:rFonts w:ascii="Sylfaen" w:hAnsi="Sylfaen"/>
          <w:sz w:val="24"/>
          <w:szCs w:val="24"/>
        </w:rPr>
        <w:t xml:space="preserve"> 05 նյութերի հավելանյութերին (R</w:t>
      </w:r>
      <w:r w:rsidRPr="00825EEB">
        <w:rPr>
          <w:rFonts w:ascii="Sylfaen" w:hAnsi="Sylfaen"/>
          <w:sz w:val="24"/>
          <w:szCs w:val="24"/>
          <w:vertAlign w:val="subscript"/>
        </w:rPr>
        <w:t>f</w:t>
      </w:r>
      <w:r w:rsidRPr="00825EEB">
        <w:rPr>
          <w:rFonts w:ascii="Sylfaen" w:hAnsi="Sylfaen"/>
          <w:sz w:val="24"/>
          <w:szCs w:val="24"/>
        </w:rPr>
        <w:t xml:space="preserve"> </w:t>
      </w:r>
      <w:r w:rsidR="00AA234B">
        <w:rPr>
          <w:rFonts w:ascii="Sylfaen" w:hAnsi="Sylfaen"/>
          <w:sz w:val="24"/>
          <w:szCs w:val="24"/>
        </w:rPr>
        <w:t>-</w:t>
      </w:r>
      <w:r w:rsidRPr="00825EEB">
        <w:rPr>
          <w:rFonts w:ascii="Sylfaen" w:hAnsi="Sylfaen"/>
          <w:sz w:val="24"/>
          <w:szCs w:val="24"/>
        </w:rPr>
        <w:t xml:space="preserve"> 0,4) </w:t>
      </w:r>
      <w:r>
        <w:rPr>
          <w:rFonts w:ascii="Sylfaen" w:hAnsi="Sylfaen"/>
          <w:sz w:val="24"/>
          <w:szCs w:val="24"/>
        </w:rPr>
        <w:t>եւ</w:t>
      </w:r>
      <w:r w:rsidRPr="00825EEB">
        <w:rPr>
          <w:rFonts w:ascii="Sylfaen" w:hAnsi="Sylfaen"/>
          <w:sz w:val="24"/>
          <w:szCs w:val="24"/>
        </w:rPr>
        <w:t xml:space="preserve"> հանում են այդ գոտուն համապատասխանող սիլիկագելի շերտը: Նույն կերպ հեռացնում են ստուգիչ նմուշին համապատասխանող սիլիկագելի շերտը: Երկու </w:t>
      </w:r>
      <w:r w:rsidRPr="00492AA6">
        <w:rPr>
          <w:rFonts w:ascii="Sylfaen" w:hAnsi="Sylfaen"/>
          <w:spacing w:val="4"/>
          <w:sz w:val="24"/>
          <w:szCs w:val="24"/>
        </w:rPr>
        <w:t xml:space="preserve">նմուշներն իրարից առանձին 15 րոպե թափահարում են </w:t>
      </w:r>
      <w:r w:rsidRPr="00492AA6">
        <w:rPr>
          <w:rFonts w:ascii="Sylfaen" w:hAnsi="Sylfaen"/>
          <w:i/>
          <w:spacing w:val="4"/>
          <w:sz w:val="24"/>
          <w:szCs w:val="24"/>
        </w:rPr>
        <w:t>Ռ մեթանոլի</w:t>
      </w:r>
      <w:r w:rsidRPr="00492AA6">
        <w:rPr>
          <w:rFonts w:ascii="Sylfaen" w:hAnsi="Sylfaen"/>
          <w:spacing w:val="4"/>
          <w:sz w:val="24"/>
          <w:szCs w:val="24"/>
        </w:rPr>
        <w:t xml:space="preserve"> 40 մլ-ի </w:t>
      </w:r>
      <w:r w:rsidRPr="00492AA6">
        <w:rPr>
          <w:rFonts w:ascii="Sylfaen" w:hAnsi="Sylfaen"/>
          <w:spacing w:val="-4"/>
          <w:sz w:val="24"/>
          <w:szCs w:val="24"/>
        </w:rPr>
        <w:t xml:space="preserve">հետ եւ զտում: Զտիչի վրայի մնացորդը երկու անգամ լվանում են </w:t>
      </w:r>
      <w:r w:rsidRPr="00492AA6">
        <w:rPr>
          <w:rFonts w:ascii="Sylfaen" w:hAnsi="Sylfaen"/>
          <w:i/>
          <w:spacing w:val="-4"/>
          <w:sz w:val="24"/>
          <w:szCs w:val="24"/>
        </w:rPr>
        <w:t>Ռ մեթանոլի</w:t>
      </w:r>
      <w:r w:rsidRPr="00492AA6">
        <w:rPr>
          <w:rFonts w:ascii="Sylfaen" w:hAnsi="Sylfaen"/>
          <w:spacing w:val="-4"/>
          <w:sz w:val="24"/>
          <w:szCs w:val="24"/>
        </w:rPr>
        <w:t xml:space="preserve"> 10-ական մլ</w:t>
      </w:r>
      <w:r w:rsidRPr="00825EEB">
        <w:rPr>
          <w:rFonts w:ascii="Sylfaen" w:hAnsi="Sylfaen"/>
          <w:sz w:val="24"/>
          <w:szCs w:val="24"/>
        </w:rPr>
        <w:t xml:space="preserve"> բաժիններով, ողողվածքները միացնում են զտվածքին: Ստացված հեղուկները լիաչոր եռաթանձրացնում են: Զանգվածների միջ</w:t>
      </w:r>
      <w:r>
        <w:rPr>
          <w:rFonts w:ascii="Sylfaen" w:hAnsi="Sylfaen"/>
          <w:sz w:val="24"/>
          <w:szCs w:val="24"/>
        </w:rPr>
        <w:t>եւ</w:t>
      </w:r>
      <w:r w:rsidRPr="00825EEB">
        <w:rPr>
          <w:rFonts w:ascii="Sylfaen" w:hAnsi="Sylfaen"/>
          <w:sz w:val="24"/>
          <w:szCs w:val="24"/>
        </w:rPr>
        <w:t xml:space="preserve"> տարբերությունը պետք է լինի 10 մգ-ից ոչ ավելի:</w:t>
      </w:r>
    </w:p>
    <w:p w14:paraId="7E178210" w14:textId="77777777" w:rsidR="001827DA" w:rsidRDefault="001827DA">
      <w:pPr>
        <w:rPr>
          <w:rFonts w:eastAsia="Times New Roman" w:cs="Times New Roman"/>
          <w:b/>
          <w:color w:val="auto"/>
        </w:rPr>
      </w:pPr>
      <w:r>
        <w:rPr>
          <w:b/>
        </w:rPr>
        <w:br w:type="page"/>
      </w:r>
    </w:p>
    <w:p w14:paraId="66E5AAB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 xml:space="preserve">Բարիում։ </w:t>
      </w:r>
      <w:r w:rsidRPr="00825EEB">
        <w:rPr>
          <w:rFonts w:ascii="Sylfaen" w:hAnsi="Sylfaen"/>
          <w:sz w:val="24"/>
          <w:szCs w:val="24"/>
        </w:rPr>
        <w:t>5 ppm-ից ոչ ավելի։</w:t>
      </w:r>
    </w:p>
    <w:p w14:paraId="13D398C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37990A1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Փորձարկվող նմուշի 1,0 գ-ն այրում են քվարցային հալքանոթում: Մնացորդը լուծում են </w:t>
      </w:r>
      <w:r w:rsidRPr="00825EEB">
        <w:rPr>
          <w:rFonts w:ascii="Sylfaen" w:hAnsi="Sylfaen"/>
          <w:i/>
          <w:sz w:val="24"/>
          <w:szCs w:val="24"/>
        </w:rPr>
        <w:t>Ռ քլորաջրածնային թթվի</w:t>
      </w:r>
      <w:r w:rsidRPr="00825EEB">
        <w:rPr>
          <w:rFonts w:ascii="Sylfaen" w:hAnsi="Sylfaen"/>
          <w:sz w:val="24"/>
          <w:szCs w:val="24"/>
        </w:rPr>
        <w:t xml:space="preserve"> 10 մլ-ի մեջ </w:t>
      </w:r>
      <w:r>
        <w:rPr>
          <w:rFonts w:ascii="Sylfaen" w:hAnsi="Sylfaen"/>
          <w:sz w:val="24"/>
          <w:szCs w:val="24"/>
        </w:rPr>
        <w:t>եւ</w:t>
      </w:r>
      <w:r w:rsidRPr="00825EEB">
        <w:rPr>
          <w:rFonts w:ascii="Sylfaen" w:hAnsi="Sylfaen"/>
          <w:sz w:val="24"/>
          <w:szCs w:val="24"/>
        </w:rPr>
        <w:t xml:space="preserve"> լիաչոր շոգեհանում ջրային բաղնիքի վրա: Մնացորդը լուծում են </w:t>
      </w:r>
      <w:r w:rsidRPr="00825EEB">
        <w:rPr>
          <w:rFonts w:ascii="Sylfaen" w:hAnsi="Sylfaen"/>
          <w:i/>
          <w:sz w:val="24"/>
          <w:szCs w:val="24"/>
        </w:rPr>
        <w:t>0,1 Մ քլորաջրածնային թթվի</w:t>
      </w:r>
      <w:r w:rsidRPr="00825EEB">
        <w:rPr>
          <w:rFonts w:ascii="Sylfaen" w:hAnsi="Sylfaen"/>
          <w:sz w:val="24"/>
          <w:szCs w:val="24"/>
        </w:rPr>
        <w:t xml:space="preserve"> 20 մլ-ի մեջ:</w:t>
      </w:r>
    </w:p>
    <w:p w14:paraId="05261C76" w14:textId="77777777" w:rsidR="0058052E" w:rsidRPr="00825EEB" w:rsidRDefault="0058052E" w:rsidP="0058052E">
      <w:pPr>
        <w:spacing w:after="160" w:line="360" w:lineRule="auto"/>
        <w:ind w:firstLine="567"/>
        <w:jc w:val="both"/>
        <w:rPr>
          <w:i/>
          <w:iCs/>
        </w:rPr>
      </w:pPr>
      <w:r w:rsidRPr="00825EEB">
        <w:rPr>
          <w:i/>
        </w:rPr>
        <w:t>Համեմատության լուծույթը:</w:t>
      </w:r>
      <w:r w:rsidRPr="00825EEB">
        <w:t xml:space="preserve"> Բարիումի 0,25 ppm պարունակող լուծույթը պատրաստում են </w:t>
      </w:r>
      <w:r w:rsidRPr="00825EEB">
        <w:rPr>
          <w:i/>
        </w:rPr>
        <w:t>Ռ բարիումի իոնների ստանդարտ լուծույթը (50 ppm Ва</w:t>
      </w:r>
      <w:r w:rsidRPr="00825EEB">
        <w:rPr>
          <w:i/>
          <w:vertAlign w:val="superscript"/>
        </w:rPr>
        <w:t>2+</w:t>
      </w:r>
      <w:r w:rsidRPr="00825EEB">
        <w:rPr>
          <w:i/>
        </w:rPr>
        <w:t>) 0,1 Մ քլորաջրածնային թթվով</w:t>
      </w:r>
      <w:r w:rsidRPr="00825EEB">
        <w:t xml:space="preserve"> նոսրացնելով:</w:t>
      </w:r>
    </w:p>
    <w:p w14:paraId="221E7C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բարիումի էմիսիայի ինտենսիվությունն ալիքի 455,40 նմ երկարությամբ՝ կատարելով սպեկտրալ ֆոնի շտկում ալիքի 455,30 նմ երկարությամբ:</w:t>
      </w:r>
    </w:p>
    <w:p w14:paraId="068D171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բարիումի բացակայությունը:</w:t>
      </w:r>
    </w:p>
    <w:p w14:paraId="6DBAC48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Կադմիում։ </w:t>
      </w:r>
      <w:r w:rsidRPr="00825EEB">
        <w:rPr>
          <w:rFonts w:ascii="Sylfaen" w:hAnsi="Sylfaen"/>
          <w:sz w:val="24"/>
          <w:szCs w:val="24"/>
        </w:rPr>
        <w:t>0,6 ppm-ից ոչ ավելի։</w:t>
      </w:r>
    </w:p>
    <w:p w14:paraId="3112A20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ատոմաաբսորբման սպեկտրաչափության մեթոդով (</w:t>
      </w:r>
      <w:r w:rsidRPr="00825EEB">
        <w:rPr>
          <w:rFonts w:ascii="Sylfaen" w:hAnsi="Sylfaen"/>
          <w:i/>
          <w:sz w:val="24"/>
          <w:szCs w:val="24"/>
        </w:rPr>
        <w:t>2.1.2.22, մեթոդ I</w:t>
      </w:r>
      <w:r w:rsidRPr="00825EEB">
        <w:rPr>
          <w:rFonts w:ascii="Sylfaen" w:hAnsi="Sylfaen"/>
          <w:sz w:val="24"/>
          <w:szCs w:val="24"/>
        </w:rPr>
        <w:t>)։</w:t>
      </w:r>
    </w:p>
    <w:p w14:paraId="32DF7DF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Տ1 լուծույթի 10 մլ-ը լիաչոր եռաթանձրացնում են: Մնացորդը տոգորում են </w:t>
      </w:r>
      <w:r w:rsidRPr="00825EEB">
        <w:rPr>
          <w:rFonts w:ascii="Sylfaen" w:hAnsi="Sylfaen"/>
          <w:i/>
          <w:sz w:val="24"/>
          <w:szCs w:val="24"/>
        </w:rPr>
        <w:t>Ռ քլորաջրածնային</w:t>
      </w:r>
      <w:r w:rsidRPr="00825EEB">
        <w:rPr>
          <w:rFonts w:ascii="Sylfaen" w:hAnsi="Sylfaen"/>
          <w:sz w:val="24"/>
          <w:szCs w:val="24"/>
        </w:rPr>
        <w:t xml:space="preserve"> թթվի 1 % (</w:t>
      </w:r>
      <w:r w:rsidRPr="00825EEB">
        <w:rPr>
          <w:rFonts w:ascii="Sylfaen" w:hAnsi="Sylfaen"/>
          <w:i/>
          <w:sz w:val="24"/>
          <w:szCs w:val="24"/>
        </w:rPr>
        <w:t>ծավ/ծավ</w:t>
      </w:r>
      <w:r w:rsidRPr="00825EEB">
        <w:rPr>
          <w:rFonts w:ascii="Sylfaen" w:hAnsi="Sylfaen"/>
          <w:sz w:val="24"/>
          <w:szCs w:val="24"/>
        </w:rPr>
        <w:t xml:space="preserve">) լուծույթի 5 մլ-ով, զտում են </w:t>
      </w:r>
      <w:r>
        <w:rPr>
          <w:rFonts w:ascii="Sylfaen" w:hAnsi="Sylfaen"/>
          <w:sz w:val="24"/>
          <w:szCs w:val="24"/>
        </w:rPr>
        <w:t>եւ</w:t>
      </w:r>
      <w:r w:rsidRPr="00825EEB">
        <w:rPr>
          <w:rFonts w:ascii="Sylfaen" w:hAnsi="Sylfaen"/>
          <w:sz w:val="24"/>
          <w:szCs w:val="24"/>
        </w:rPr>
        <w:t xml:space="preserve"> զտվածքի ծավալը նույն լուծիչով հասցնում մինչ</w:t>
      </w:r>
      <w:r>
        <w:rPr>
          <w:rFonts w:ascii="Sylfaen" w:hAnsi="Sylfaen"/>
          <w:sz w:val="24"/>
          <w:szCs w:val="24"/>
        </w:rPr>
        <w:t>եւ</w:t>
      </w:r>
      <w:r w:rsidRPr="00825EEB">
        <w:rPr>
          <w:rFonts w:ascii="Sylfaen" w:hAnsi="Sylfaen"/>
          <w:sz w:val="24"/>
          <w:szCs w:val="24"/>
        </w:rPr>
        <w:t xml:space="preserve"> 10,0 մլ։</w:t>
      </w:r>
    </w:p>
    <w:p w14:paraId="42EFBA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քլորաջրածնային թթվի</w:t>
      </w:r>
      <w:r w:rsidRPr="00825EEB">
        <w:rPr>
          <w:rFonts w:ascii="Sylfaen" w:hAnsi="Sylfaen"/>
          <w:sz w:val="24"/>
          <w:szCs w:val="24"/>
        </w:rPr>
        <w:t xml:space="preserve"> 1 % (</w:t>
      </w:r>
      <w:r w:rsidRPr="00825EEB">
        <w:rPr>
          <w:rFonts w:ascii="Sylfaen" w:hAnsi="Sylfaen"/>
          <w:i/>
          <w:sz w:val="24"/>
          <w:szCs w:val="24"/>
        </w:rPr>
        <w:t>ծավ/ծավ</w:t>
      </w:r>
      <w:r w:rsidRPr="00825EEB">
        <w:rPr>
          <w:rFonts w:ascii="Sylfaen" w:hAnsi="Sylfaen"/>
          <w:sz w:val="24"/>
          <w:szCs w:val="24"/>
        </w:rPr>
        <w:t xml:space="preserve">) լուծույթի մեջ </w:t>
      </w:r>
      <w:r w:rsidRPr="00825EEB">
        <w:rPr>
          <w:rFonts w:ascii="Sylfaen" w:hAnsi="Sylfaen"/>
          <w:i/>
          <w:sz w:val="24"/>
          <w:szCs w:val="24"/>
        </w:rPr>
        <w:t>Ռ կադմիումի իոնների (0,1 % Cd</w:t>
      </w:r>
      <w:r w:rsidRPr="00825EEB">
        <w:rPr>
          <w:rFonts w:ascii="Sylfaen" w:hAnsi="Sylfaen"/>
          <w:i/>
          <w:sz w:val="24"/>
          <w:szCs w:val="24"/>
          <w:vertAlign w:val="superscript"/>
        </w:rPr>
        <w:t>2+</w:t>
      </w:r>
      <w:r w:rsidRPr="00825EEB">
        <w:rPr>
          <w:rFonts w:ascii="Sylfaen" w:hAnsi="Sylfaen"/>
          <w:i/>
          <w:sz w:val="24"/>
          <w:szCs w:val="24"/>
        </w:rPr>
        <w:t>) ստանդարտ լուծույթը</w:t>
      </w:r>
      <w:r w:rsidRPr="00825EEB">
        <w:rPr>
          <w:rFonts w:ascii="Sylfaen" w:hAnsi="Sylfaen"/>
          <w:sz w:val="24"/>
          <w:szCs w:val="24"/>
        </w:rPr>
        <w:t xml:space="preserve"> նոսրացնելով:</w:t>
      </w:r>
    </w:p>
    <w:p w14:paraId="01C2733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ստացված լուծույթների կլանումը:</w:t>
      </w:r>
    </w:p>
    <w:p w14:paraId="1BCA2E8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Աղբյուրը՝</w:t>
      </w:r>
      <w:r w:rsidRPr="00825EEB">
        <w:rPr>
          <w:rFonts w:ascii="Sylfaen" w:hAnsi="Sylfaen"/>
          <w:sz w:val="24"/>
          <w:szCs w:val="24"/>
        </w:rPr>
        <w:t xml:space="preserve"> կադմիումային կատոդով սնամեջ լամպ:</w:t>
      </w:r>
    </w:p>
    <w:p w14:paraId="3667404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Ալիքի երկարությունը՝</w:t>
      </w:r>
      <w:r w:rsidRPr="00825EEB">
        <w:rPr>
          <w:rFonts w:ascii="Sylfaen" w:hAnsi="Sylfaen"/>
          <w:sz w:val="24"/>
          <w:szCs w:val="24"/>
        </w:rPr>
        <w:t xml:space="preserve"> 228,8 նմ.</w:t>
      </w:r>
    </w:p>
    <w:p w14:paraId="3219580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Փոշեցրիչը՝</w:t>
      </w:r>
      <w:r w:rsidRPr="00825EEB">
        <w:rPr>
          <w:rFonts w:ascii="Sylfaen" w:hAnsi="Sylfaen"/>
          <w:sz w:val="24"/>
          <w:szCs w:val="24"/>
        </w:rPr>
        <w:t xml:space="preserve"> օդային ացետիլենային բոց:</w:t>
      </w:r>
    </w:p>
    <w:p w14:paraId="1152F0E4"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կադմիումի բացակայությունը:</w:t>
      </w:r>
    </w:p>
    <w:p w14:paraId="35F02755"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Կալցիում։ </w:t>
      </w:r>
      <w:r w:rsidRPr="00825EEB">
        <w:rPr>
          <w:rFonts w:ascii="Sylfaen" w:hAnsi="Sylfaen"/>
          <w:sz w:val="24"/>
          <w:szCs w:val="24"/>
        </w:rPr>
        <w:t>0,07 %-ից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5921ACD0"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բարիումի որոշման համար պատրաստված փորձարկվող լուծույթը:</w:t>
      </w:r>
    </w:p>
    <w:p w14:paraId="7BEF8598"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Կալցիումի 50,0 ppm պարունակող լուծույթը պատրաստում են </w:t>
      </w:r>
      <w:r w:rsidRPr="00825EEB">
        <w:rPr>
          <w:rFonts w:ascii="Sylfaen" w:hAnsi="Sylfaen"/>
          <w:i/>
          <w:sz w:val="24"/>
          <w:szCs w:val="24"/>
        </w:rPr>
        <w:t>Ռ կալցիումի իոնների ստանդարտ լուծույթը (400 ppm Са</w:t>
      </w:r>
      <w:r w:rsidRPr="00825EEB">
        <w:rPr>
          <w:rFonts w:ascii="Sylfaen" w:hAnsi="Sylfaen"/>
          <w:i/>
          <w:sz w:val="24"/>
          <w:szCs w:val="24"/>
          <w:vertAlign w:val="superscript"/>
        </w:rPr>
        <w:t>2+</w:t>
      </w:r>
      <w:r w:rsidRPr="00825EEB">
        <w:rPr>
          <w:rFonts w:ascii="Sylfaen" w:hAnsi="Sylfaen"/>
          <w:i/>
          <w:sz w:val="24"/>
          <w:szCs w:val="24"/>
        </w:rPr>
        <w:t>) 0,1 Մ քլորաջրածնային թթվի մեջ</w:t>
      </w:r>
      <w:r w:rsidRPr="00825EEB">
        <w:rPr>
          <w:rFonts w:ascii="Sylfaen" w:hAnsi="Sylfaen"/>
          <w:sz w:val="24"/>
          <w:szCs w:val="24"/>
        </w:rPr>
        <w:t xml:space="preserve"> նոսրացնելով:</w:t>
      </w:r>
    </w:p>
    <w:p w14:paraId="2EE516D9"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Ալիքի երկարությունը՝</w:t>
      </w:r>
      <w:r w:rsidRPr="00825EEB">
        <w:rPr>
          <w:rFonts w:ascii="Sylfaen" w:hAnsi="Sylfaen"/>
          <w:sz w:val="24"/>
          <w:szCs w:val="24"/>
        </w:rPr>
        <w:t xml:space="preserve"> չափում են կալցիումի էմիսիայի ինտենսիվությունն ալիքի 315,89 նմ երկարությամբ՝ կատարելով սպեկտրալ ֆոնի շտկում ալիքի 315,60 նմ երկարությամբ:</w:t>
      </w:r>
    </w:p>
    <w:p w14:paraId="25AA5BC6"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կալցիումի բացակայությունը:</w:t>
      </w:r>
    </w:p>
    <w:p w14:paraId="138F85B6"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Անագ։ </w:t>
      </w:r>
      <w:r w:rsidRPr="00825EEB">
        <w:rPr>
          <w:rFonts w:ascii="Sylfaen" w:hAnsi="Sylfaen"/>
          <w:sz w:val="24"/>
          <w:szCs w:val="24"/>
        </w:rPr>
        <w:t>20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0409553D" w14:textId="77777777" w:rsidR="0058052E" w:rsidRPr="00825EEB" w:rsidRDefault="0058052E" w:rsidP="001827DA">
      <w:pPr>
        <w:spacing w:after="160" w:line="346" w:lineRule="auto"/>
        <w:ind w:firstLine="567"/>
        <w:jc w:val="both"/>
        <w:rPr>
          <w:i/>
          <w:iCs/>
        </w:rPr>
      </w:pPr>
      <w:r w:rsidRPr="00825EEB">
        <w:rPr>
          <w:i/>
        </w:rPr>
        <w:t>Փորձարկվող լուծույթը։</w:t>
      </w:r>
      <w:r w:rsidRPr="00825EEB">
        <w:t xml:space="preserve"> Տ1 լուծույթը 10 անգամ նոսրացնում են </w:t>
      </w:r>
      <w:r w:rsidRPr="00825EEB">
        <w:rPr>
          <w:i/>
        </w:rPr>
        <w:t>Ռ ջրով՝</w:t>
      </w:r>
      <w:r w:rsidRPr="00825EEB">
        <w:t xml:space="preserve"> օգտագործելուց անմիջապես առաջ։</w:t>
      </w:r>
    </w:p>
    <w:p w14:paraId="7517A886"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w:t>
      </w:r>
      <w:r w:rsidRPr="00825EEB">
        <w:rPr>
          <w:rFonts w:ascii="Sylfaen" w:hAnsi="Sylfaen"/>
          <w:i/>
          <w:sz w:val="24"/>
          <w:szCs w:val="24"/>
        </w:rPr>
        <w:t>Ռ անագի իոնների (5 ppm Sn</w:t>
      </w:r>
      <w:r w:rsidRPr="00825EEB">
        <w:rPr>
          <w:rFonts w:ascii="Sylfaen" w:hAnsi="Sylfaen"/>
          <w:i/>
          <w:sz w:val="24"/>
          <w:szCs w:val="24"/>
          <w:vertAlign w:val="superscript"/>
        </w:rPr>
        <w:t>2+</w:t>
      </w:r>
      <w:r w:rsidRPr="00825EEB">
        <w:rPr>
          <w:rFonts w:ascii="Sylfaen" w:hAnsi="Sylfaen"/>
          <w:i/>
          <w:sz w:val="24"/>
          <w:szCs w:val="24"/>
        </w:rPr>
        <w:t>) ստանդարտ լուծույթի</w:t>
      </w:r>
      <w:r w:rsidRPr="00825EEB">
        <w:rPr>
          <w:rFonts w:ascii="Sylfaen" w:hAnsi="Sylfaen"/>
          <w:sz w:val="24"/>
          <w:szCs w:val="24"/>
        </w:rPr>
        <w:t xml:space="preserve"> 2 մլ-ը տեղադրում են 50 մլ տարողությամբ փորձանոթի մեջ, որը պարունակում է 20 % (</w:t>
      </w:r>
      <w:r w:rsidRPr="00825EEB">
        <w:rPr>
          <w:rFonts w:ascii="Sylfaen" w:hAnsi="Sylfaen"/>
          <w:i/>
          <w:sz w:val="24"/>
          <w:szCs w:val="24"/>
        </w:rPr>
        <w:t>ծավ/ծավ</w:t>
      </w:r>
      <w:r w:rsidRPr="00825EEB">
        <w:rPr>
          <w:rFonts w:ascii="Sylfaen" w:hAnsi="Sylfaen"/>
          <w:sz w:val="24"/>
          <w:szCs w:val="24"/>
        </w:rPr>
        <w:t xml:space="preserve">) </w:t>
      </w:r>
      <w:r w:rsidRPr="00825EEB">
        <w:rPr>
          <w:rFonts w:ascii="Sylfaen" w:hAnsi="Sylfaen"/>
          <w:i/>
          <w:sz w:val="24"/>
          <w:szCs w:val="24"/>
        </w:rPr>
        <w:t>Ռ ծծմբաթթվի</w:t>
      </w:r>
      <w:r w:rsidRPr="00825EEB">
        <w:rPr>
          <w:rFonts w:ascii="Sylfaen" w:hAnsi="Sylfaen"/>
          <w:sz w:val="24"/>
          <w:szCs w:val="24"/>
        </w:rPr>
        <w:t xml:space="preserve"> լուծույթի 5 մլ </w:t>
      </w:r>
      <w:r>
        <w:rPr>
          <w:rFonts w:ascii="Sylfaen" w:hAnsi="Sylfaen"/>
          <w:sz w:val="24"/>
          <w:szCs w:val="24"/>
        </w:rPr>
        <w:t>եւ</w:t>
      </w:r>
      <w:r w:rsidRPr="00825EEB">
        <w:rPr>
          <w:rFonts w:ascii="Sylfaen" w:hAnsi="Sylfaen"/>
          <w:sz w:val="24"/>
          <w:szCs w:val="24"/>
        </w:rPr>
        <w:t xml:space="preserve"> օգտագործելուց անմիջապես առաջ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50 մլ ծավալը:</w:t>
      </w:r>
    </w:p>
    <w:p w14:paraId="27A912B2"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Ալիքի երկարությունը՝</w:t>
      </w:r>
      <w:r w:rsidRPr="00825EEB">
        <w:rPr>
          <w:rFonts w:ascii="Sylfaen" w:hAnsi="Sylfaen"/>
          <w:sz w:val="24"/>
          <w:szCs w:val="24"/>
        </w:rPr>
        <w:t xml:space="preserve"> չափում են անագի էմիսիայի ինտենսիվությունն ալիքի 189,99 նմ-ի դեպքում, սպեկտրալ ֆոնը՝ 190,10 նմ՝ կատարելով սպեկտրալ ֆոնի շտկում ալիքի 190,10 նմ երկարությամբ:</w:t>
      </w:r>
    </w:p>
    <w:p w14:paraId="1C3EED7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lastRenderedPageBreak/>
        <w:t>Ստուգում են օգտագործվող քլորաջրածնային թթվի մեջ անագի բացակայությունը:</w:t>
      </w:r>
    </w:p>
    <w:p w14:paraId="3527B31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Ցինկ։ </w:t>
      </w:r>
      <w:r w:rsidRPr="00825EEB">
        <w:rPr>
          <w:rFonts w:ascii="Sylfaen" w:hAnsi="Sylfaen"/>
          <w:sz w:val="24"/>
          <w:szCs w:val="24"/>
        </w:rPr>
        <w:t>0,2 %-ից ոչ ավելի: Որոշումն անցկացնում են ատոմաաբսորբման սպեկտրաչափության մեթոդով (</w:t>
      </w:r>
      <w:r w:rsidRPr="00825EEB">
        <w:rPr>
          <w:rFonts w:ascii="Sylfaen" w:hAnsi="Sylfaen"/>
          <w:i/>
          <w:sz w:val="24"/>
          <w:szCs w:val="24"/>
        </w:rPr>
        <w:t>2.2.22, մեթոդ I</w:t>
      </w:r>
      <w:r w:rsidRPr="00825EEB">
        <w:rPr>
          <w:rFonts w:ascii="Sylfaen" w:hAnsi="Sylfaen"/>
          <w:sz w:val="24"/>
          <w:szCs w:val="24"/>
        </w:rPr>
        <w:t>)։</w:t>
      </w:r>
    </w:p>
    <w:p w14:paraId="4F0D2A54"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Տ1 լուծույթը 100 անգամ նոսրացնում են </w:t>
      </w:r>
      <w:r w:rsidRPr="00825EEB">
        <w:rPr>
          <w:rFonts w:ascii="Sylfaen" w:hAnsi="Sylfaen"/>
          <w:i/>
          <w:sz w:val="24"/>
          <w:szCs w:val="24"/>
        </w:rPr>
        <w:t>0,1 Մ քլորաջրածնային թթվով</w:t>
      </w:r>
      <w:r w:rsidRPr="00825EEB">
        <w:rPr>
          <w:rFonts w:ascii="Sylfaen" w:hAnsi="Sylfaen"/>
          <w:sz w:val="24"/>
          <w:szCs w:val="24"/>
        </w:rPr>
        <w:t>:</w:t>
      </w:r>
    </w:p>
    <w:p w14:paraId="471DB73A"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ցինկի իոնների ստանդարտ լուծույթը (100 ppm Zn</w:t>
      </w:r>
      <w:r w:rsidRPr="00825EEB">
        <w:rPr>
          <w:rFonts w:ascii="Sylfaen" w:hAnsi="Sylfaen"/>
          <w:i/>
          <w:sz w:val="24"/>
          <w:szCs w:val="24"/>
          <w:vertAlign w:val="superscript"/>
        </w:rPr>
        <w:t>2+</w:t>
      </w:r>
      <w:r w:rsidRPr="00825EEB">
        <w:rPr>
          <w:rFonts w:ascii="Sylfaen" w:hAnsi="Sylfaen"/>
          <w:i/>
          <w:sz w:val="24"/>
          <w:szCs w:val="24"/>
        </w:rPr>
        <w:t>) 0,1 Մ քլորաջրածնային թթվի</w:t>
      </w:r>
      <w:r w:rsidRPr="00825EEB">
        <w:rPr>
          <w:rFonts w:ascii="Sylfaen" w:hAnsi="Sylfaen"/>
          <w:sz w:val="24"/>
          <w:szCs w:val="24"/>
        </w:rPr>
        <w:t xml:space="preserve"> մեջ նոսրացնելով:</w:t>
      </w:r>
    </w:p>
    <w:p w14:paraId="5A0AF653"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Աղբյուրը՝</w:t>
      </w:r>
      <w:r w:rsidRPr="00825EEB">
        <w:rPr>
          <w:rFonts w:ascii="Sylfaen" w:hAnsi="Sylfaen"/>
          <w:sz w:val="24"/>
          <w:szCs w:val="24"/>
        </w:rPr>
        <w:t xml:space="preserve"> ցինկային կատոդով սնամեջ լամպ:</w:t>
      </w:r>
    </w:p>
    <w:p w14:paraId="7198A837"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Ալիքի երկարությունը՝</w:t>
      </w:r>
      <w:r w:rsidRPr="00825EEB">
        <w:rPr>
          <w:rFonts w:ascii="Sylfaen" w:hAnsi="Sylfaen"/>
          <w:sz w:val="24"/>
          <w:szCs w:val="24"/>
        </w:rPr>
        <w:t xml:space="preserve"> 213,9 նմ.</w:t>
      </w:r>
    </w:p>
    <w:p w14:paraId="087A2C90"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Փոշեցրիչը՝</w:t>
      </w:r>
      <w:r w:rsidRPr="00825EEB">
        <w:rPr>
          <w:rFonts w:ascii="Sylfaen" w:hAnsi="Sylfaen"/>
          <w:sz w:val="24"/>
          <w:szCs w:val="24"/>
        </w:rPr>
        <w:t xml:space="preserve"> օդային ացետիլենային բոց:</w:t>
      </w:r>
    </w:p>
    <w:p w14:paraId="520C370D"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Ստուգում են օգտագործվող քլորաջրածնային թթվի մեջ ցինկի բացակայությունը:</w:t>
      </w:r>
    </w:p>
    <w:p w14:paraId="39A8C40A"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Ծանր մետաղներ</w:t>
      </w:r>
      <w:r w:rsidRPr="00825EEB">
        <w:rPr>
          <w:rFonts w:ascii="Sylfaen" w:hAnsi="Sylfaen"/>
          <w:sz w:val="24"/>
          <w:szCs w:val="24"/>
        </w:rPr>
        <w:t xml:space="preserve"> </w:t>
      </w:r>
      <w:r w:rsidRPr="00825EEB">
        <w:rPr>
          <w:rFonts w:ascii="Sylfaen" w:hAnsi="Sylfaen"/>
          <w:i/>
          <w:sz w:val="24"/>
          <w:szCs w:val="24"/>
        </w:rPr>
        <w:t>(2.1.4.8, Ա մեթոդ)։</w:t>
      </w:r>
      <w:r w:rsidRPr="00825EEB">
        <w:rPr>
          <w:rFonts w:ascii="Sylfaen" w:hAnsi="Sylfaen"/>
          <w:sz w:val="24"/>
          <w:szCs w:val="24"/>
        </w:rPr>
        <w:t xml:space="preserve"> 50 ppm-ից ոչ ավելի։</w:t>
      </w:r>
    </w:p>
    <w:p w14:paraId="1A759711" w14:textId="77777777" w:rsidR="0058052E" w:rsidRPr="00825EEB" w:rsidRDefault="0058052E" w:rsidP="00F24391">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Տ1 լուծույթի 10 մլ-ին ավելացնում են </w:t>
      </w:r>
      <w:r w:rsidRPr="00825EEB">
        <w:rPr>
          <w:rFonts w:ascii="Sylfaen" w:hAnsi="Sylfaen"/>
          <w:i/>
          <w:sz w:val="24"/>
          <w:szCs w:val="24"/>
        </w:rPr>
        <w:t>Ռ ֆենոլֆտալեինի լուծույթի</w:t>
      </w:r>
      <w:r w:rsidRPr="00825EEB">
        <w:rPr>
          <w:rFonts w:ascii="Sylfaen" w:hAnsi="Sylfaen"/>
          <w:sz w:val="24"/>
          <w:szCs w:val="24"/>
        </w:rPr>
        <w:t xml:space="preserve"> 10 մլ, հետո </w:t>
      </w:r>
      <w:r w:rsidRPr="00825EEB">
        <w:rPr>
          <w:rFonts w:ascii="Sylfaen" w:hAnsi="Sylfaen"/>
          <w:i/>
          <w:sz w:val="24"/>
          <w:szCs w:val="24"/>
        </w:rPr>
        <w:t>Ռ նատրիումի հիդրօքսիդի խտացված լուծույթ</w:t>
      </w:r>
      <w:r w:rsidRPr="00825EEB">
        <w:rPr>
          <w:rFonts w:ascii="Sylfaen" w:hAnsi="Sylfaen"/>
          <w:sz w:val="24"/>
          <w:szCs w:val="24"/>
        </w:rPr>
        <w:t>՝ մինչ</w:t>
      </w:r>
      <w:r>
        <w:rPr>
          <w:rFonts w:ascii="Sylfaen" w:hAnsi="Sylfaen"/>
          <w:sz w:val="24"/>
          <w:szCs w:val="24"/>
        </w:rPr>
        <w:t>եւ</w:t>
      </w:r>
      <w:r w:rsidRPr="00825EEB">
        <w:rPr>
          <w:rFonts w:ascii="Sylfaen" w:hAnsi="Sylfaen"/>
          <w:sz w:val="24"/>
          <w:szCs w:val="24"/>
        </w:rPr>
        <w:t xml:space="preserve"> բաց վարդագույն գունավորման առաջացումը, </w:t>
      </w:r>
      <w:r>
        <w:rPr>
          <w:rFonts w:ascii="Sylfaen" w:hAnsi="Sylfaen"/>
          <w:sz w:val="24"/>
          <w:szCs w:val="24"/>
        </w:rPr>
        <w:t>եւ</w:t>
      </w:r>
      <w:r w:rsidRPr="00825EEB">
        <w:rPr>
          <w:rFonts w:ascii="Sylfaen" w:hAnsi="Sylfaen"/>
          <w:sz w:val="24"/>
          <w:szCs w:val="24"/>
        </w:rPr>
        <w:t xml:space="preserve"> </w:t>
      </w:r>
      <w:r w:rsidRPr="00825EEB">
        <w:rPr>
          <w:rFonts w:ascii="Sylfaen" w:hAnsi="Sylfaen"/>
          <w:i/>
          <w:sz w:val="24"/>
          <w:szCs w:val="24"/>
        </w:rPr>
        <w:t>Ռ ջրով</w:t>
      </w:r>
      <w:r w:rsidRPr="00825EEB">
        <w:rPr>
          <w:rFonts w:ascii="Sylfaen" w:hAnsi="Sylfaen"/>
          <w:sz w:val="24"/>
          <w:szCs w:val="24"/>
        </w:rPr>
        <w:t xml:space="preserve"> հասցնում մինչ</w:t>
      </w:r>
      <w:r>
        <w:rPr>
          <w:rFonts w:ascii="Sylfaen" w:hAnsi="Sylfaen"/>
          <w:sz w:val="24"/>
          <w:szCs w:val="24"/>
        </w:rPr>
        <w:t>եւ</w:t>
      </w:r>
      <w:r w:rsidRPr="00825EEB">
        <w:rPr>
          <w:rFonts w:ascii="Sylfaen" w:hAnsi="Sylfaen"/>
          <w:sz w:val="24"/>
          <w:szCs w:val="24"/>
        </w:rPr>
        <w:t xml:space="preserve"> 25 մլ ծավալը: Ստացված լուծույթի 12 մլ-ը պետք է անցնի Ա փորձարկումը: Համեմատության լուծույթը պատրաստում են </w:t>
      </w:r>
      <w:r w:rsidRPr="00825EEB">
        <w:rPr>
          <w:rFonts w:ascii="Sylfaen" w:hAnsi="Sylfaen"/>
          <w:i/>
          <w:sz w:val="24"/>
          <w:szCs w:val="24"/>
        </w:rPr>
        <w:t>Ռ կապարի իոնների ստանդարտ լուծույթի (2 ppm Pb</w:t>
      </w:r>
      <w:r w:rsidRPr="00825EEB">
        <w:rPr>
          <w:rFonts w:ascii="Sylfaen" w:hAnsi="Sylfaen"/>
          <w:i/>
          <w:sz w:val="24"/>
          <w:szCs w:val="24"/>
          <w:vertAlign w:val="superscript"/>
        </w:rPr>
        <w:t>2+</w:t>
      </w:r>
      <w:r w:rsidRPr="00825EEB">
        <w:rPr>
          <w:rFonts w:ascii="Sylfaen" w:hAnsi="Sylfaen"/>
          <w:i/>
          <w:sz w:val="24"/>
          <w:szCs w:val="24"/>
        </w:rPr>
        <w:t>)</w:t>
      </w:r>
      <w:r w:rsidRPr="00825EEB">
        <w:rPr>
          <w:rFonts w:ascii="Sylfaen" w:hAnsi="Sylfaen"/>
          <w:sz w:val="24"/>
          <w:szCs w:val="24"/>
        </w:rPr>
        <w:t xml:space="preserve"> օգտագործմամբ:</w:t>
      </w:r>
    </w:p>
    <w:p w14:paraId="2C311C1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Ջրով լուծամզվող նյութերը: </w:t>
      </w:r>
      <w:r w:rsidRPr="00825EEB">
        <w:rPr>
          <w:rFonts w:ascii="Sylfaen" w:hAnsi="Sylfaen"/>
          <w:sz w:val="24"/>
          <w:szCs w:val="24"/>
        </w:rPr>
        <w:t>0,3%-ից ոչ ավելի:</w:t>
      </w:r>
    </w:p>
    <w:p w14:paraId="730EE7E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Տ2 լուծույթի 50,0 մլ-ը լիաչոր շոգեհանում են ջրային բաղնիքի վրա </w:t>
      </w:r>
      <w:r>
        <w:rPr>
          <w:rFonts w:ascii="Sylfaen" w:hAnsi="Sylfaen"/>
          <w:sz w:val="24"/>
          <w:szCs w:val="24"/>
        </w:rPr>
        <w:t>եւ</w:t>
      </w:r>
      <w:r w:rsidRPr="00825EEB">
        <w:rPr>
          <w:rFonts w:ascii="Sylfaen" w:hAnsi="Sylfaen"/>
          <w:sz w:val="24"/>
          <w:szCs w:val="24"/>
        </w:rPr>
        <w:t xml:space="preserve"> չորացնում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ջերմաստիճանի տակ՝ մինչ</w:t>
      </w:r>
      <w:r>
        <w:rPr>
          <w:rFonts w:ascii="Sylfaen" w:hAnsi="Sylfaen"/>
          <w:sz w:val="24"/>
          <w:szCs w:val="24"/>
        </w:rPr>
        <w:t>եւ</w:t>
      </w:r>
      <w:r w:rsidRPr="00825EEB">
        <w:rPr>
          <w:rFonts w:ascii="Sylfaen" w:hAnsi="Sylfaen"/>
          <w:sz w:val="24"/>
          <w:szCs w:val="24"/>
        </w:rPr>
        <w:t xml:space="preserve"> հաստատուն զանգվածը: Զուգահեռ անցկացնում են ստուգիչ փորձարկումը՝ օգտագործելով </w:t>
      </w:r>
      <w:r w:rsidRPr="00825EEB">
        <w:rPr>
          <w:rFonts w:ascii="Sylfaen" w:hAnsi="Sylfaen"/>
          <w:i/>
          <w:sz w:val="24"/>
          <w:szCs w:val="24"/>
        </w:rPr>
        <w:t>Ռ ջրի</w:t>
      </w:r>
      <w:r w:rsidRPr="00825EEB">
        <w:rPr>
          <w:rFonts w:ascii="Sylfaen" w:hAnsi="Sylfaen"/>
          <w:sz w:val="24"/>
          <w:szCs w:val="24"/>
        </w:rPr>
        <w:t xml:space="preserve"> 50,0 մլ: Չոր մնացորդի զանգվածը չպետք է գերազանցի 7,5 մգ-ը՝ ստուգիչ փորձի համեմատ:</w:t>
      </w:r>
    </w:p>
    <w:p w14:paraId="1DE2A0E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ՔԱՆԱԿԱԿԱՆ ՈՐՈՇՈՒՄԸ</w:t>
      </w:r>
    </w:p>
    <w:p w14:paraId="1A442CB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թթվածնով փորձանոթի մեջ այրման մեթոդով (</w:t>
      </w:r>
      <w:r w:rsidRPr="00825EEB">
        <w:rPr>
          <w:rFonts w:ascii="Sylfaen" w:hAnsi="Sylfaen"/>
          <w:i/>
          <w:sz w:val="24"/>
          <w:szCs w:val="24"/>
        </w:rPr>
        <w:t>2.1.5.10</w:t>
      </w:r>
      <w:r w:rsidRPr="00825EEB">
        <w:rPr>
          <w:rFonts w:ascii="Sylfaen" w:hAnsi="Sylfaen"/>
          <w:sz w:val="24"/>
          <w:szCs w:val="24"/>
        </w:rPr>
        <w:t xml:space="preserve">)՝ օգտագործելով նյութի փորձարկվող նմուշի 50,0 մգ-ը: Այրման արգասիքների կլանման համար օգտագործում են </w:t>
      </w:r>
      <w:r w:rsidRPr="00825EEB">
        <w:rPr>
          <w:rFonts w:ascii="Sylfaen" w:hAnsi="Sylfaen"/>
          <w:i/>
          <w:sz w:val="24"/>
          <w:szCs w:val="24"/>
        </w:rPr>
        <w:t>1 Մ նատրիումի հիդրօքսիդի լուծույթի</w:t>
      </w:r>
      <w:r w:rsidRPr="00825EEB">
        <w:rPr>
          <w:rFonts w:ascii="Sylfaen" w:hAnsi="Sylfaen"/>
          <w:sz w:val="24"/>
          <w:szCs w:val="24"/>
        </w:rPr>
        <w:t xml:space="preserve"> 20 մլ: Ստացված լուծույթին ավելացնում են </w:t>
      </w:r>
      <w:r w:rsidRPr="00825EEB">
        <w:rPr>
          <w:rFonts w:ascii="Sylfaen" w:hAnsi="Sylfaen"/>
          <w:i/>
          <w:sz w:val="24"/>
          <w:szCs w:val="24"/>
        </w:rPr>
        <w:t>Ռ ազոտաթթվի</w:t>
      </w:r>
      <w:r w:rsidRPr="00825EEB">
        <w:rPr>
          <w:rFonts w:ascii="Sylfaen" w:hAnsi="Sylfaen"/>
          <w:sz w:val="24"/>
          <w:szCs w:val="24"/>
        </w:rPr>
        <w:t xml:space="preserve"> 2,5 մլ </w:t>
      </w:r>
      <w:r>
        <w:rPr>
          <w:rFonts w:ascii="Sylfaen" w:hAnsi="Sylfaen"/>
          <w:sz w:val="24"/>
          <w:szCs w:val="24"/>
        </w:rPr>
        <w:t>եւ</w:t>
      </w:r>
      <w:r w:rsidRPr="00825EEB">
        <w:rPr>
          <w:rFonts w:ascii="Sylfaen" w:hAnsi="Sylfaen"/>
          <w:sz w:val="24"/>
          <w:szCs w:val="24"/>
        </w:rPr>
        <w:t xml:space="preserve"> տիտրում են </w:t>
      </w:r>
      <w:r w:rsidRPr="00825EEB">
        <w:rPr>
          <w:rFonts w:ascii="Sylfaen" w:hAnsi="Sylfaen"/>
          <w:i/>
          <w:sz w:val="24"/>
          <w:szCs w:val="24"/>
        </w:rPr>
        <w:t>0,1 Մ</w:t>
      </w:r>
      <w:r w:rsidRPr="00825EEB">
        <w:rPr>
          <w:rFonts w:ascii="Sylfaen" w:hAnsi="Sylfaen"/>
          <w:sz w:val="24"/>
          <w:szCs w:val="24"/>
        </w:rPr>
        <w:t xml:space="preserve"> </w:t>
      </w:r>
      <w:r w:rsidRPr="00825EEB">
        <w:rPr>
          <w:rFonts w:ascii="Sylfaen" w:hAnsi="Sylfaen"/>
          <w:i/>
          <w:sz w:val="24"/>
          <w:szCs w:val="24"/>
        </w:rPr>
        <w:t>արծաթի նիտրատի լուծույթով</w:t>
      </w:r>
      <w:r w:rsidRPr="00825EEB">
        <w:rPr>
          <w:rFonts w:ascii="Sylfaen" w:hAnsi="Sylfaen"/>
          <w:sz w:val="24"/>
          <w:szCs w:val="24"/>
        </w:rPr>
        <w:t>՝ պոտենցաչափորեն որոշելով տիտրման վերջնակետը (</w:t>
      </w:r>
      <w:r w:rsidRPr="00825EEB">
        <w:rPr>
          <w:rFonts w:ascii="Sylfaen" w:hAnsi="Sylfaen"/>
          <w:i/>
          <w:sz w:val="24"/>
          <w:szCs w:val="24"/>
        </w:rPr>
        <w:t>2.1.2.19</w:t>
      </w:r>
      <w:r w:rsidRPr="00825EEB">
        <w:rPr>
          <w:rFonts w:ascii="Sylfaen" w:hAnsi="Sylfaen"/>
          <w:sz w:val="24"/>
          <w:szCs w:val="24"/>
        </w:rPr>
        <w:t>):</w:t>
      </w:r>
    </w:p>
    <w:p w14:paraId="44743E0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Զուգահեռ անցկացնում են ստուգիչ փորձարկումը։</w:t>
      </w:r>
    </w:p>
    <w:p w14:paraId="3A7D3CD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0,1 Մ արծաթի նիտրատի լուծույթի</w:t>
      </w:r>
      <w:r w:rsidRPr="00825EEB">
        <w:rPr>
          <w:rFonts w:ascii="Sylfaen" w:hAnsi="Sylfaen"/>
          <w:sz w:val="24"/>
          <w:szCs w:val="24"/>
        </w:rPr>
        <w:t xml:space="preserve"> 1 մլ-ը համապատասխանում է պոլիվինիլքլորիդի 6,25 մգ-ին։</w:t>
      </w:r>
    </w:p>
    <w:p w14:paraId="7193957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5DABBA5" w14:textId="77777777" w:rsidR="0058052E" w:rsidRPr="00A859E3" w:rsidRDefault="0058052E" w:rsidP="00492AA6">
      <w:pPr>
        <w:pStyle w:val="a0"/>
        <w:shd w:val="clear" w:color="auto" w:fill="auto"/>
        <w:spacing w:after="160" w:line="360" w:lineRule="auto"/>
        <w:ind w:firstLine="567"/>
        <w:jc w:val="right"/>
        <w:rPr>
          <w:rFonts w:ascii="Sylfaen" w:hAnsi="Sylfaen"/>
          <w:b/>
          <w:szCs w:val="24"/>
        </w:rPr>
      </w:pPr>
      <w:r w:rsidRPr="00492AA6">
        <w:rPr>
          <w:rFonts w:ascii="Sylfaen" w:hAnsi="Sylfaen"/>
          <w:b/>
          <w:szCs w:val="24"/>
        </w:rPr>
        <w:t>204010012-2022</w:t>
      </w:r>
    </w:p>
    <w:p w14:paraId="735D7DAF" w14:textId="77777777" w:rsidR="00492AA6" w:rsidRPr="00A859E3" w:rsidRDefault="00492AA6" w:rsidP="00492AA6">
      <w:pPr>
        <w:pStyle w:val="a0"/>
        <w:shd w:val="clear" w:color="auto" w:fill="auto"/>
        <w:spacing w:after="160" w:line="360" w:lineRule="auto"/>
        <w:ind w:firstLine="567"/>
        <w:jc w:val="right"/>
        <w:rPr>
          <w:rFonts w:ascii="Sylfaen" w:hAnsi="Sylfaen" w:cs="Sylfaen"/>
          <w:szCs w:val="24"/>
        </w:rPr>
      </w:pPr>
    </w:p>
    <w:p w14:paraId="64AB8D1F" w14:textId="77777777" w:rsidR="0058052E" w:rsidRPr="00825EEB" w:rsidRDefault="0058052E" w:rsidP="00AF2D51">
      <w:pPr>
        <w:pStyle w:val="a0"/>
        <w:shd w:val="clear" w:color="auto" w:fill="auto"/>
        <w:tabs>
          <w:tab w:val="left" w:pos="1701"/>
        </w:tabs>
        <w:spacing w:after="160" w:line="360" w:lineRule="auto"/>
        <w:ind w:firstLine="567"/>
        <w:jc w:val="both"/>
        <w:rPr>
          <w:rFonts w:ascii="Sylfaen" w:hAnsi="Sylfaen" w:cs="Sylfaen"/>
          <w:b/>
          <w:bCs/>
          <w:sz w:val="24"/>
          <w:szCs w:val="24"/>
        </w:rPr>
      </w:pPr>
      <w:r w:rsidRPr="00825EEB">
        <w:rPr>
          <w:rFonts w:ascii="Sylfaen" w:hAnsi="Sylfaen"/>
          <w:b/>
          <w:sz w:val="24"/>
          <w:szCs w:val="24"/>
        </w:rPr>
        <w:t>2.4.1.12.</w:t>
      </w:r>
      <w:r w:rsidR="00492AA6" w:rsidRPr="00A859E3">
        <w:rPr>
          <w:rFonts w:ascii="Sylfaen" w:hAnsi="Sylfaen"/>
          <w:b/>
          <w:sz w:val="24"/>
          <w:szCs w:val="24"/>
        </w:rPr>
        <w:tab/>
      </w:r>
      <w:r w:rsidRPr="00825EEB">
        <w:rPr>
          <w:rFonts w:ascii="Sylfaen" w:hAnsi="Sylfaen"/>
          <w:b/>
          <w:sz w:val="24"/>
          <w:szCs w:val="24"/>
        </w:rPr>
        <w:t>Ոչ պարենտերալ կիրառման դեղապատրաստուկների փաթեթվածքների համար նախատեսված պոլիէթիլենտերեֆտալատը</w:t>
      </w:r>
    </w:p>
    <w:p w14:paraId="2451C37E" w14:textId="77777777" w:rsidR="0058052E" w:rsidRPr="00825EEB" w:rsidRDefault="0058052E" w:rsidP="0058052E">
      <w:pPr>
        <w:pStyle w:val="a0"/>
        <w:shd w:val="clear" w:color="auto" w:fill="auto"/>
        <w:spacing w:after="160" w:line="360" w:lineRule="auto"/>
        <w:jc w:val="both"/>
        <w:rPr>
          <w:rFonts w:ascii="Sylfaen" w:hAnsi="Sylfaen" w:cs="Sylfaen"/>
          <w:sz w:val="24"/>
          <w:szCs w:val="24"/>
        </w:rPr>
      </w:pPr>
      <w:r w:rsidRPr="00825EEB">
        <w:rPr>
          <w:rFonts w:ascii="Sylfaen" w:hAnsi="Sylfaen" w:cs="Sylfaen"/>
          <w:noProof/>
          <w:sz w:val="24"/>
          <w:szCs w:val="24"/>
          <w:lang w:val="en-US" w:eastAsia="en-US" w:bidi="ar-SA"/>
        </w:rPr>
        <w:drawing>
          <wp:inline distT="0" distB="0" distL="0" distR="0" wp14:anchorId="72ABEB54" wp14:editId="486FD99F">
            <wp:extent cx="2557896" cy="1210833"/>
            <wp:effectExtent l="1905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8" cstate="print"/>
                    <a:srcRect/>
                    <a:stretch>
                      <a:fillRect/>
                    </a:stretch>
                  </pic:blipFill>
                  <pic:spPr bwMode="auto">
                    <a:xfrm>
                      <a:off x="0" y="0"/>
                      <a:ext cx="2558691" cy="1211209"/>
                    </a:xfrm>
                    <a:prstGeom prst="rect">
                      <a:avLst/>
                    </a:prstGeom>
                    <a:noFill/>
                    <a:ln w="9525">
                      <a:noFill/>
                      <a:miter lim="800000"/>
                      <a:headEnd/>
                      <a:tailEnd/>
                    </a:ln>
                  </pic:spPr>
                </pic:pic>
              </a:graphicData>
            </a:graphic>
          </wp:inline>
        </w:drawing>
      </w:r>
    </w:p>
    <w:p w14:paraId="6FC57B7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Պոլիէթիլենտերեֆտալատն ստանում են էթիլենգլիկոլի հետ տերեֆտալային թթվի կամ դիմեթիլտերեֆտալատի պոլիմերացմամբ: Պոլիմերացման համար կարող են օգտագործվել իզոֆտալաթթու, դիմեթիլիզոֆտալատ, 1,4-բիս(հիդրօքսիմեթիլ)ցիկլոհեքսան (ցիկլոհեքսան-1,4-դիմեթանոլ) կամ դիէթիլենգլիկոլ: Պոլիէթիլենտերեֆտալատը կարող է պարունակել ոչ ավելի, քան 0,5 % սիլիցիումի երկօքսիդ կամ սիլիկատներ </w:t>
      </w:r>
      <w:r>
        <w:rPr>
          <w:rFonts w:ascii="Sylfaen" w:hAnsi="Sylfaen"/>
          <w:sz w:val="24"/>
          <w:szCs w:val="24"/>
        </w:rPr>
        <w:t>եւ</w:t>
      </w:r>
      <w:r w:rsidRPr="00825EEB">
        <w:rPr>
          <w:rFonts w:ascii="Sylfaen" w:hAnsi="Sylfaen"/>
          <w:sz w:val="24"/>
          <w:szCs w:val="24"/>
        </w:rPr>
        <w:t xml:space="preserve"> օգտագործման համար թույլատրված ներկանյութեր:</w:t>
      </w:r>
    </w:p>
    <w:p w14:paraId="061E2AA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lastRenderedPageBreak/>
        <w:t>ՏԵԽՆՈԼՈԳԻԱՅԻ ԱՌԱՆՁՆԱՀԱՏԿՈՒԹՅՈՒՆՆԵՐԸ</w:t>
      </w:r>
    </w:p>
    <w:p w14:paraId="4E57C30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Պոլիէթիլենտերեֆտալատի ստացման մեթոդով պետք է երաշխավորվի հատիկներում ացետալդեհիդի 10 ppm-ից ոչ ավելի մնացորդային պարունակություն:</w:t>
      </w:r>
    </w:p>
    <w:p w14:paraId="17E0D1E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26E0A0B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ՀԱՏԿՈՒԹՅՈՒՆՆԵՐԸ</w:t>
      </w:r>
    </w:p>
    <w:p w14:paraId="12838A78" w14:textId="77777777" w:rsidR="0058052E" w:rsidRPr="00D35F34" w:rsidRDefault="0058052E" w:rsidP="0058052E">
      <w:pPr>
        <w:pStyle w:val="a0"/>
        <w:shd w:val="clear" w:color="auto" w:fill="auto"/>
        <w:spacing w:after="160" w:line="360" w:lineRule="auto"/>
        <w:ind w:firstLine="567"/>
        <w:jc w:val="both"/>
        <w:rPr>
          <w:rFonts w:ascii="Sylfaen" w:hAnsi="Sylfaen"/>
          <w:sz w:val="24"/>
          <w:szCs w:val="24"/>
        </w:rPr>
      </w:pPr>
      <w:r w:rsidRPr="00825EEB">
        <w:rPr>
          <w:rFonts w:ascii="Sylfaen" w:hAnsi="Sylfaen"/>
          <w:i/>
          <w:sz w:val="24"/>
          <w:szCs w:val="24"/>
        </w:rPr>
        <w:t>Նկարագրությունը։</w:t>
      </w:r>
      <w:r w:rsidRPr="00825EEB">
        <w:rPr>
          <w:rFonts w:ascii="Sylfaen" w:hAnsi="Sylfaen"/>
          <w:sz w:val="24"/>
          <w:szCs w:val="24"/>
        </w:rPr>
        <w:t xml:space="preserve"> Թափանցիկ կամ փայլատ հատիկներ:</w:t>
      </w:r>
    </w:p>
    <w:p w14:paraId="5B63D138" w14:textId="77777777" w:rsidR="00F24391" w:rsidRPr="00D35F34" w:rsidRDefault="00F24391" w:rsidP="0058052E">
      <w:pPr>
        <w:pStyle w:val="a0"/>
        <w:shd w:val="clear" w:color="auto" w:fill="auto"/>
        <w:spacing w:after="160" w:line="360" w:lineRule="auto"/>
        <w:ind w:firstLine="567"/>
        <w:jc w:val="both"/>
        <w:rPr>
          <w:rFonts w:ascii="Sylfaen" w:hAnsi="Sylfaen" w:cs="Sylfaen"/>
          <w:sz w:val="24"/>
          <w:szCs w:val="24"/>
        </w:rPr>
      </w:pPr>
    </w:p>
    <w:p w14:paraId="1F5E30F4" w14:textId="77777777" w:rsidR="0058052E" w:rsidRPr="00DA21D0" w:rsidRDefault="0058052E" w:rsidP="0058052E">
      <w:pPr>
        <w:pStyle w:val="a0"/>
        <w:shd w:val="clear" w:color="auto" w:fill="auto"/>
        <w:spacing w:after="160" w:line="360" w:lineRule="auto"/>
        <w:ind w:firstLine="567"/>
        <w:jc w:val="both"/>
        <w:rPr>
          <w:rFonts w:ascii="Sylfaen" w:hAnsi="Sylfaen" w:cs="Sylfaen"/>
          <w:spacing w:val="-6"/>
          <w:sz w:val="24"/>
          <w:szCs w:val="24"/>
        </w:rPr>
      </w:pPr>
      <w:r w:rsidRPr="00DA21D0">
        <w:rPr>
          <w:rFonts w:ascii="Sylfaen" w:hAnsi="Sylfaen"/>
          <w:i/>
          <w:spacing w:val="-6"/>
          <w:sz w:val="24"/>
          <w:szCs w:val="24"/>
        </w:rPr>
        <w:t>Լուծելիությունը։</w:t>
      </w:r>
      <w:r w:rsidRPr="00DA21D0">
        <w:rPr>
          <w:rFonts w:ascii="Sylfaen" w:hAnsi="Sylfaen"/>
          <w:spacing w:val="-6"/>
          <w:sz w:val="24"/>
          <w:szCs w:val="24"/>
        </w:rPr>
        <w:t xml:space="preserve"> Գրեթե լուծելի չեն ջրի, (96 %) էթանոլի եւ մեթիլենքլորիդի մեջ։</w:t>
      </w:r>
    </w:p>
    <w:p w14:paraId="7B88D1C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Հիդրոլիզացվում են ամուր հիմքերով:</w:t>
      </w:r>
    </w:p>
    <w:p w14:paraId="4AE5015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p>
    <w:p w14:paraId="4E71EB4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ՆՈՒՅՆԱԿԱՆԱՑՈՒՄԸ</w:t>
      </w:r>
    </w:p>
    <w:p w14:paraId="035C003A" w14:textId="77777777" w:rsidR="0058052E" w:rsidRPr="00825EEB" w:rsidRDefault="0058052E" w:rsidP="00492AA6">
      <w:pPr>
        <w:tabs>
          <w:tab w:val="left" w:pos="1134"/>
        </w:tabs>
        <w:spacing w:after="160" w:line="360" w:lineRule="auto"/>
        <w:ind w:firstLine="567"/>
        <w:jc w:val="both"/>
      </w:pPr>
      <w:r w:rsidRPr="00825EEB">
        <w:t>Ա.</w:t>
      </w:r>
      <w:r w:rsidR="00492AA6" w:rsidRPr="00A859E3">
        <w:tab/>
      </w:r>
      <w:r w:rsidRPr="00825EEB">
        <w:t xml:space="preserve">Նյութի փորձարկվող նմուշի 0,10 գ տեղադրում են կիպահղկած խցանով բորասիլիկատային ապակուց փորձանոթի մեջ, ավելացնում են </w:t>
      </w:r>
      <w:r w:rsidRPr="00825EEB">
        <w:rPr>
          <w:i/>
        </w:rPr>
        <w:t>Ռ անջուր էթանոլի</w:t>
      </w:r>
      <w:r w:rsidRPr="00825EEB">
        <w:t xml:space="preserve"> 50 % (</w:t>
      </w:r>
      <w:r w:rsidRPr="00825EEB">
        <w:rPr>
          <w:i/>
        </w:rPr>
        <w:t>ծավ/ծավ</w:t>
      </w:r>
      <w:r w:rsidRPr="00825EEB">
        <w:t xml:space="preserve">) մեջ 200 գ/լ </w:t>
      </w:r>
      <w:r w:rsidRPr="00825EEB">
        <w:rPr>
          <w:i/>
        </w:rPr>
        <w:t>Ռ կալիումի հիդրօքսիդի</w:t>
      </w:r>
      <w:r w:rsidRPr="00825EEB">
        <w:t xml:space="preserve"> լուծույթի 25 մլ: 30 րոպե եռացնում են հակադարձ սառնարանով, հովացնում </w:t>
      </w:r>
      <w:r>
        <w:t>եւ</w:t>
      </w:r>
      <w:r w:rsidRPr="00825EEB">
        <w:t xml:space="preserve"> </w:t>
      </w:r>
      <w:r w:rsidRPr="00825EEB">
        <w:rPr>
          <w:i/>
        </w:rPr>
        <w:t>Ռ ջրով</w:t>
      </w:r>
      <w:r w:rsidRPr="00825EEB">
        <w:t xml:space="preserve"> հասցնում մինչ</w:t>
      </w:r>
      <w:r>
        <w:t>եւ</w:t>
      </w:r>
      <w:r w:rsidRPr="00825EEB">
        <w:t xml:space="preserve"> 100 մլ ծավալը: Անհրաժեշտության դեպքում զտում են: Զտվածքի 1,0 մլ-ը </w:t>
      </w:r>
      <w:r w:rsidRPr="00825EEB">
        <w:rPr>
          <w:i/>
        </w:rPr>
        <w:t>Ռ ջրով</w:t>
      </w:r>
      <w:r w:rsidRPr="00825EEB">
        <w:t xml:space="preserve"> հասցնում մինչ</w:t>
      </w:r>
      <w:r>
        <w:t>եւ</w:t>
      </w:r>
      <w:r w:rsidRPr="00825EEB">
        <w:t xml:space="preserve"> 100 մլ ծավալը: Ստացված լուծույթի ուլտրամանուշակագույն սպեկտրը (</w:t>
      </w:r>
      <w:r w:rsidRPr="00825EEB">
        <w:rPr>
          <w:i/>
        </w:rPr>
        <w:t>2.1.2.24</w:t>
      </w:r>
      <w:r w:rsidRPr="00825EEB">
        <w:t>) 210 նմ-ից մինչ</w:t>
      </w:r>
      <w:r>
        <w:t>եւ</w:t>
      </w:r>
      <w:r w:rsidRPr="00825EEB">
        <w:t xml:space="preserve"> 330 նմ հատվածում պետք է ունենա մաքսիմում՝ ալիքի 240 նմ երկարությամբ:</w:t>
      </w:r>
    </w:p>
    <w:p w14:paraId="7B816717" w14:textId="77777777" w:rsidR="0058052E" w:rsidRPr="00825EEB" w:rsidRDefault="0058052E" w:rsidP="00492AA6">
      <w:pPr>
        <w:pStyle w:val="a0"/>
        <w:shd w:val="clear" w:color="auto" w:fill="auto"/>
        <w:tabs>
          <w:tab w:val="left" w:pos="1134"/>
        </w:tabs>
        <w:spacing w:after="160" w:line="360" w:lineRule="auto"/>
        <w:ind w:firstLine="567"/>
        <w:jc w:val="both"/>
        <w:rPr>
          <w:rFonts w:ascii="Sylfaen" w:hAnsi="Sylfaen" w:cs="Sylfaen"/>
          <w:sz w:val="24"/>
          <w:szCs w:val="24"/>
        </w:rPr>
      </w:pPr>
      <w:r w:rsidRPr="00825EEB">
        <w:rPr>
          <w:rFonts w:ascii="Sylfaen" w:hAnsi="Sylfaen"/>
          <w:sz w:val="24"/>
          <w:szCs w:val="24"/>
        </w:rPr>
        <w:t>Բ.</w:t>
      </w:r>
      <w:r w:rsidR="00492AA6" w:rsidRPr="00A859E3">
        <w:rPr>
          <w:rFonts w:ascii="Sylfaen" w:hAnsi="Sylfaen"/>
          <w:sz w:val="24"/>
          <w:szCs w:val="24"/>
        </w:rPr>
        <w:tab/>
      </w:r>
      <w:r w:rsidRPr="00825EEB">
        <w:rPr>
          <w:rFonts w:ascii="Sylfaen" w:hAnsi="Sylfaen"/>
          <w:sz w:val="24"/>
          <w:szCs w:val="24"/>
        </w:rPr>
        <w:t xml:space="preserve">Նյութի փորձարկվող նմուշի 0,05 գ լուծում են </w:t>
      </w:r>
      <w:r w:rsidRPr="00825EEB">
        <w:rPr>
          <w:rFonts w:ascii="Sylfaen" w:hAnsi="Sylfaen"/>
          <w:i/>
          <w:sz w:val="24"/>
          <w:szCs w:val="24"/>
        </w:rPr>
        <w:t xml:space="preserve">Ռ 1,1,1,3,3,3-հեքսաֆտորպրոպան-2-օլի </w:t>
      </w:r>
      <w:r w:rsidRPr="00825EEB">
        <w:rPr>
          <w:rFonts w:ascii="Sylfaen" w:hAnsi="Sylfaen"/>
          <w:sz w:val="24"/>
          <w:szCs w:val="24"/>
        </w:rPr>
        <w:t xml:space="preserve">2 մլ-ի մեջ: Լուծույթի մի քանի կաթիլ քսում են օդաքաշ պահարանում ջրային բաղնիքի վրա գտնվող ապակյա թիթեղի վրա՝ 15 մմ x 15 մմ չափով բիծ ստանալու համար: Լուծիչի շոգեհանումից հետո բիծը հավաքում են՝ օգտագործելով ջրի հոսքը </w:t>
      </w:r>
      <w:r>
        <w:rPr>
          <w:rFonts w:ascii="Sylfaen" w:hAnsi="Sylfaen"/>
          <w:sz w:val="24"/>
          <w:szCs w:val="24"/>
        </w:rPr>
        <w:t>եւ</w:t>
      </w:r>
      <w:r w:rsidRPr="00825EEB">
        <w:rPr>
          <w:rFonts w:ascii="Sylfaen" w:hAnsi="Sylfaen"/>
          <w:sz w:val="24"/>
          <w:szCs w:val="24"/>
        </w:rPr>
        <w:t xml:space="preserve"> քերակը: Չորացնում են 100 °С-ից մինչ</w:t>
      </w:r>
      <w:r>
        <w:rPr>
          <w:rFonts w:ascii="Sylfaen" w:hAnsi="Sylfaen"/>
          <w:sz w:val="24"/>
          <w:szCs w:val="24"/>
        </w:rPr>
        <w:t>եւ</w:t>
      </w:r>
      <w:r w:rsidRPr="00825EEB">
        <w:rPr>
          <w:rFonts w:ascii="Sylfaen" w:hAnsi="Sylfaen"/>
          <w:sz w:val="24"/>
          <w:szCs w:val="24"/>
        </w:rPr>
        <w:t xml:space="preserve"> 105 °С ջերմաստիճանի տակ՝ 1-ից 2 ժամ:</w:t>
      </w:r>
    </w:p>
    <w:p w14:paraId="2E5CDC2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Փորձարկվող նմուշի ինֆրակարմիր սպեկտրի վրա </w:t>
      </w:r>
      <w:r w:rsidRPr="00825EEB">
        <w:rPr>
          <w:rFonts w:ascii="Sylfaen" w:hAnsi="Sylfaen"/>
          <w:i/>
          <w:sz w:val="24"/>
          <w:szCs w:val="24"/>
        </w:rPr>
        <w:t>(2.1.2.23)</w:t>
      </w:r>
      <w:r w:rsidRPr="00825EEB">
        <w:rPr>
          <w:rFonts w:ascii="Sylfaen" w:hAnsi="Sylfaen"/>
          <w:sz w:val="24"/>
          <w:szCs w:val="24"/>
        </w:rPr>
        <w:t xml:space="preserve"> պետք է հայտնաբերվեն կլանման մաքսիմումները՝ բոլոր ալիքային թվերի դեպքում՝ 1725</w:t>
      </w:r>
      <w:r w:rsidR="00492AA6" w:rsidRPr="00492AA6">
        <w:rPr>
          <w:rFonts w:ascii="Sylfaen" w:hAnsi="Sylfaen"/>
          <w:sz w:val="24"/>
          <w:szCs w:val="24"/>
        </w:rPr>
        <w:t> </w:t>
      </w:r>
      <w:r w:rsidRPr="00825EEB">
        <w:rPr>
          <w:rFonts w:ascii="Sylfaen" w:hAnsi="Sylfaen"/>
          <w:sz w:val="24"/>
          <w:szCs w:val="24"/>
        </w:rPr>
        <w:t>սմ</w:t>
      </w:r>
      <w:r w:rsidRPr="00825EEB">
        <w:rPr>
          <w:rFonts w:ascii="Sylfaen" w:hAnsi="Sylfaen"/>
          <w:sz w:val="24"/>
          <w:szCs w:val="24"/>
          <w:vertAlign w:val="superscript"/>
        </w:rPr>
        <w:t>-1</w:t>
      </w:r>
      <w:r w:rsidRPr="00825EEB">
        <w:rPr>
          <w:rFonts w:ascii="Sylfaen" w:hAnsi="Sylfaen"/>
          <w:sz w:val="24"/>
          <w:szCs w:val="24"/>
        </w:rPr>
        <w:t>, 1410 սմ</w:t>
      </w:r>
      <w:r w:rsidRPr="00825EEB">
        <w:rPr>
          <w:rFonts w:ascii="Sylfaen" w:hAnsi="Sylfaen"/>
          <w:sz w:val="24"/>
          <w:szCs w:val="24"/>
          <w:vertAlign w:val="superscript"/>
        </w:rPr>
        <w:t>-1</w:t>
      </w:r>
      <w:r w:rsidRPr="00825EEB">
        <w:rPr>
          <w:rFonts w:ascii="Sylfaen" w:hAnsi="Sylfaen"/>
          <w:sz w:val="24"/>
          <w:szCs w:val="24"/>
        </w:rPr>
        <w:t>, 1265 սմ</w:t>
      </w:r>
      <w:r w:rsidRPr="00825EEB">
        <w:rPr>
          <w:rFonts w:ascii="Sylfaen" w:hAnsi="Sylfaen"/>
          <w:sz w:val="24"/>
          <w:szCs w:val="24"/>
          <w:vertAlign w:val="superscript"/>
        </w:rPr>
        <w:t>-1</w:t>
      </w:r>
      <w:r w:rsidRPr="00825EEB">
        <w:rPr>
          <w:rFonts w:ascii="Sylfaen" w:hAnsi="Sylfaen"/>
          <w:sz w:val="24"/>
          <w:szCs w:val="24"/>
        </w:rPr>
        <w:t>, 1120 սմ</w:t>
      </w:r>
      <w:r w:rsidRPr="00825EEB">
        <w:rPr>
          <w:rFonts w:ascii="Sylfaen" w:hAnsi="Sylfaen"/>
          <w:sz w:val="24"/>
          <w:szCs w:val="24"/>
          <w:vertAlign w:val="superscript"/>
        </w:rPr>
        <w:t>-1</w:t>
      </w:r>
      <w:r w:rsidRPr="00825EEB">
        <w:rPr>
          <w:rFonts w:ascii="Sylfaen" w:hAnsi="Sylfaen"/>
          <w:sz w:val="24"/>
          <w:szCs w:val="24"/>
        </w:rPr>
        <w:t>, 1100 սմ</w:t>
      </w:r>
      <w:r w:rsidRPr="00825EEB">
        <w:rPr>
          <w:rFonts w:ascii="Sylfaen" w:hAnsi="Sylfaen"/>
          <w:sz w:val="24"/>
          <w:szCs w:val="24"/>
          <w:vertAlign w:val="superscript"/>
        </w:rPr>
        <w:t>-1</w:t>
      </w:r>
      <w:r w:rsidRPr="00825EEB">
        <w:rPr>
          <w:rFonts w:ascii="Sylfaen" w:hAnsi="Sylfaen"/>
          <w:sz w:val="24"/>
          <w:szCs w:val="24"/>
        </w:rPr>
        <w:t>, 1020 սմ</w:t>
      </w:r>
      <w:r w:rsidRPr="00825EEB">
        <w:rPr>
          <w:rFonts w:ascii="Sylfaen" w:hAnsi="Sylfaen"/>
          <w:sz w:val="24"/>
          <w:szCs w:val="24"/>
          <w:vertAlign w:val="superscript"/>
        </w:rPr>
        <w:t>-1</w:t>
      </w:r>
      <w:r w:rsidRPr="00825EEB">
        <w:rPr>
          <w:rFonts w:ascii="Sylfaen" w:hAnsi="Sylfaen"/>
          <w:sz w:val="24"/>
          <w:szCs w:val="24"/>
        </w:rPr>
        <w:t>, 875 սմ</w:t>
      </w:r>
      <w:r w:rsidRPr="00825EEB">
        <w:rPr>
          <w:rFonts w:ascii="Sylfaen" w:hAnsi="Sylfaen"/>
          <w:sz w:val="24"/>
          <w:szCs w:val="24"/>
          <w:vertAlign w:val="superscript"/>
        </w:rPr>
        <w:t>-1</w:t>
      </w:r>
      <w:r w:rsidRPr="00825EEB">
        <w:rPr>
          <w:rFonts w:ascii="Sylfaen" w:hAnsi="Sylfaen"/>
          <w:sz w:val="24"/>
          <w:szCs w:val="24"/>
        </w:rPr>
        <w:t xml:space="preserve"> </w:t>
      </w:r>
      <w:r>
        <w:rPr>
          <w:rFonts w:ascii="Sylfaen" w:hAnsi="Sylfaen"/>
          <w:sz w:val="24"/>
          <w:szCs w:val="24"/>
        </w:rPr>
        <w:t>եւ</w:t>
      </w:r>
      <w:r w:rsidRPr="00825EEB">
        <w:rPr>
          <w:rFonts w:ascii="Sylfaen" w:hAnsi="Sylfaen"/>
          <w:sz w:val="24"/>
          <w:szCs w:val="24"/>
        </w:rPr>
        <w:t xml:space="preserve"> 725 սմ</w:t>
      </w:r>
      <w:r w:rsidRPr="00825EEB">
        <w:rPr>
          <w:rFonts w:ascii="Sylfaen" w:hAnsi="Sylfaen"/>
          <w:sz w:val="24"/>
          <w:szCs w:val="24"/>
          <w:vertAlign w:val="superscript"/>
        </w:rPr>
        <w:t>-1</w:t>
      </w:r>
      <w:r w:rsidRPr="00825EEB">
        <w:rPr>
          <w:rFonts w:ascii="Sylfaen" w:hAnsi="Sylfaen"/>
          <w:sz w:val="24"/>
          <w:szCs w:val="24"/>
        </w:rPr>
        <w:t>: Ստացված սպեկտրը պետք է համապատասխանի տիպային նմուշի սպեկտրին:</w:t>
      </w:r>
    </w:p>
    <w:p w14:paraId="3B75EB14" w14:textId="77777777" w:rsidR="001827DA" w:rsidRPr="00903268" w:rsidRDefault="001827DA" w:rsidP="0058052E">
      <w:pPr>
        <w:pStyle w:val="a0"/>
        <w:shd w:val="clear" w:color="auto" w:fill="auto"/>
        <w:spacing w:after="160" w:line="360" w:lineRule="auto"/>
        <w:ind w:firstLine="567"/>
        <w:jc w:val="both"/>
        <w:rPr>
          <w:rFonts w:ascii="Sylfaen" w:hAnsi="Sylfaen"/>
          <w:b/>
          <w:sz w:val="24"/>
          <w:szCs w:val="24"/>
        </w:rPr>
      </w:pPr>
    </w:p>
    <w:p w14:paraId="35C8393B"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ՓՈՐՁԱՐԿՈՒՄՆԵՐԸ</w:t>
      </w:r>
    </w:p>
    <w:p w14:paraId="5D48538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Անհրաժեշտության դեպքում փորձարկվող նյութի նմուշները կտրատում են մասերի, որոնց կողմերի չափը 1 սմ-ից ոչ ավելի է:</w:t>
      </w:r>
    </w:p>
    <w:p w14:paraId="3AB9BD6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Տ1 լուծույթը։ </w:t>
      </w:r>
      <w:r w:rsidRPr="00825EEB">
        <w:rPr>
          <w:rFonts w:ascii="Sylfaen" w:hAnsi="Sylfaen"/>
          <w:sz w:val="24"/>
          <w:szCs w:val="24"/>
        </w:rPr>
        <w:t xml:space="preserve">Փորձարկվող նմուշի 10 գ տեղադրում են կիպահղկած խցանով բորասիլիկատային ապակուց փորձանոթի մեջ, ավելացնում են </w:t>
      </w:r>
      <w:r w:rsidRPr="00825EEB">
        <w:rPr>
          <w:rFonts w:ascii="Sylfaen" w:hAnsi="Sylfaen"/>
          <w:i/>
          <w:sz w:val="24"/>
          <w:szCs w:val="24"/>
        </w:rPr>
        <w:t>Ռ ջրի</w:t>
      </w:r>
      <w:r w:rsidRPr="00825EEB">
        <w:rPr>
          <w:rFonts w:ascii="Sylfaen" w:hAnsi="Sylfaen"/>
          <w:sz w:val="24"/>
          <w:szCs w:val="24"/>
        </w:rPr>
        <w:t xml:space="preserve"> 200 մլ </w:t>
      </w:r>
      <w:r>
        <w:rPr>
          <w:rFonts w:ascii="Sylfaen" w:hAnsi="Sylfaen"/>
          <w:sz w:val="24"/>
          <w:szCs w:val="24"/>
        </w:rPr>
        <w:t>եւ</w:t>
      </w:r>
      <w:r w:rsidRPr="00825EEB">
        <w:rPr>
          <w:rFonts w:ascii="Sylfaen" w:hAnsi="Sylfaen"/>
          <w:sz w:val="24"/>
          <w:szCs w:val="24"/>
        </w:rPr>
        <w:t xml:space="preserve"> 5</w:t>
      </w:r>
      <w:r w:rsidR="00492AA6" w:rsidRPr="00492AA6">
        <w:rPr>
          <w:rFonts w:ascii="Sylfaen" w:hAnsi="Sylfaen"/>
          <w:sz w:val="24"/>
          <w:szCs w:val="24"/>
        </w:rPr>
        <w:t> </w:t>
      </w:r>
      <w:r w:rsidRPr="00825EEB">
        <w:rPr>
          <w:rFonts w:ascii="Sylfaen" w:hAnsi="Sylfaen"/>
          <w:sz w:val="24"/>
          <w:szCs w:val="24"/>
        </w:rPr>
        <w:t xml:space="preserve">ժամ տաքացնում 50 °С ջերմաստիճանի տակ, հետո հովացնում </w:t>
      </w:r>
      <w:r>
        <w:rPr>
          <w:rFonts w:ascii="Sylfaen" w:hAnsi="Sylfaen"/>
          <w:sz w:val="24"/>
          <w:szCs w:val="24"/>
        </w:rPr>
        <w:t>եւ</w:t>
      </w:r>
      <w:r w:rsidRPr="00825EEB">
        <w:rPr>
          <w:rFonts w:ascii="Sylfaen" w:hAnsi="Sylfaen"/>
          <w:sz w:val="24"/>
          <w:szCs w:val="24"/>
        </w:rPr>
        <w:t xml:space="preserve"> պարզվածքազատում են: </w:t>
      </w:r>
      <w:r w:rsidRPr="00825EEB">
        <w:rPr>
          <w:rFonts w:ascii="Sylfaen" w:hAnsi="Sylfaen"/>
          <w:i/>
          <w:sz w:val="24"/>
          <w:szCs w:val="24"/>
        </w:rPr>
        <w:t>Տ1 լուծույթն օգտագործում են պատրաստելուց հետո 4 ժամվա ընթացքում:</w:t>
      </w:r>
    </w:p>
    <w:p w14:paraId="02A51F2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Տ2 լուծույթը։ </w:t>
      </w:r>
      <w:r w:rsidRPr="00825EEB">
        <w:rPr>
          <w:rFonts w:ascii="Sylfaen" w:hAnsi="Sylfaen"/>
          <w:i/>
          <w:sz w:val="24"/>
          <w:szCs w:val="24"/>
        </w:rPr>
        <w:t>Տ2 լուծույթն օգտագործում են պատրաստելուց հետո 4 ժամվա ընթացքում:</w:t>
      </w:r>
    </w:p>
    <w:p w14:paraId="13A9984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Փորձարկվող նմուշի 10 գ տեղադրում են կիպահղկած խցանով բորասիլիկատային ապակուց փորձանոթի մեջ, ավելացնում են </w:t>
      </w:r>
      <w:r w:rsidRPr="00825EEB">
        <w:rPr>
          <w:rFonts w:ascii="Sylfaen" w:hAnsi="Sylfaen"/>
          <w:i/>
          <w:sz w:val="24"/>
          <w:szCs w:val="24"/>
        </w:rPr>
        <w:t>Ռ էթանոլի (96 %)</w:t>
      </w:r>
      <w:r w:rsidRPr="00825EEB">
        <w:rPr>
          <w:rFonts w:ascii="Sylfaen" w:hAnsi="Sylfaen"/>
          <w:sz w:val="24"/>
          <w:szCs w:val="24"/>
        </w:rPr>
        <w:t xml:space="preserve"> 100 մլ </w:t>
      </w:r>
      <w:r>
        <w:rPr>
          <w:rFonts w:ascii="Sylfaen" w:hAnsi="Sylfaen"/>
          <w:sz w:val="24"/>
          <w:szCs w:val="24"/>
        </w:rPr>
        <w:t>եւ</w:t>
      </w:r>
      <w:r w:rsidRPr="00825EEB">
        <w:rPr>
          <w:rFonts w:ascii="Sylfaen" w:hAnsi="Sylfaen"/>
          <w:sz w:val="24"/>
          <w:szCs w:val="24"/>
        </w:rPr>
        <w:t xml:space="preserve"> 5 ժամ տաքացնում 50 °С ջերմաստիճանի տակ, հովացնում են </w:t>
      </w:r>
      <w:r>
        <w:rPr>
          <w:rFonts w:ascii="Sylfaen" w:hAnsi="Sylfaen"/>
          <w:sz w:val="24"/>
          <w:szCs w:val="24"/>
        </w:rPr>
        <w:t>եւ</w:t>
      </w:r>
      <w:r w:rsidRPr="00825EEB">
        <w:rPr>
          <w:rFonts w:ascii="Sylfaen" w:hAnsi="Sylfaen"/>
          <w:sz w:val="24"/>
          <w:szCs w:val="24"/>
        </w:rPr>
        <w:t xml:space="preserve"> թափում վերնստվածքային հեղուկը:</w:t>
      </w:r>
    </w:p>
    <w:p w14:paraId="6C43A599" w14:textId="77777777" w:rsidR="0058052E" w:rsidRPr="00903268" w:rsidRDefault="0058052E" w:rsidP="0058052E">
      <w:pPr>
        <w:spacing w:after="160" w:line="360" w:lineRule="auto"/>
        <w:ind w:firstLine="567"/>
        <w:jc w:val="both"/>
      </w:pPr>
      <w:r w:rsidRPr="00825EEB">
        <w:rPr>
          <w:b/>
        </w:rPr>
        <w:t xml:space="preserve">Տ3 լուծույթը։ </w:t>
      </w:r>
      <w:r w:rsidRPr="00825EEB">
        <w:rPr>
          <w:i/>
        </w:rPr>
        <w:t>Տ3 լուծույթն օգտագործում են պատրաստելուց հետո 4 ժամվա ընթացքում:</w:t>
      </w:r>
      <w:r w:rsidRPr="00825EEB">
        <w:t xml:space="preserve"> Փորձարկվող նմուշի 20 գ տեղադրում են կիպահղկած խցանով բորասիլիկատային ապակուց փորձանոթի մեջ, ավելացնում են </w:t>
      </w:r>
      <w:r w:rsidRPr="00825EEB">
        <w:rPr>
          <w:i/>
        </w:rPr>
        <w:t>0,1 Մ քլորաջրածնային թթվի</w:t>
      </w:r>
      <w:r w:rsidRPr="00825EEB">
        <w:t xml:space="preserve"> 50 մլ </w:t>
      </w:r>
      <w:r>
        <w:t>եւ</w:t>
      </w:r>
      <w:r w:rsidRPr="00825EEB">
        <w:t xml:space="preserve"> 5 ժամ տաքացնում 50 °С ջերմաստիճանի տակ, հովացնում են </w:t>
      </w:r>
      <w:r>
        <w:t>եւ</w:t>
      </w:r>
      <w:r w:rsidRPr="00825EEB">
        <w:t xml:space="preserve"> թափում վերնստվածքային հեղուկը:</w:t>
      </w:r>
    </w:p>
    <w:p w14:paraId="7A34CC3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Տ4 լուծույթը։ </w:t>
      </w:r>
      <w:r w:rsidRPr="00825EEB">
        <w:rPr>
          <w:rFonts w:ascii="Sylfaen" w:hAnsi="Sylfaen"/>
          <w:i/>
          <w:sz w:val="24"/>
          <w:szCs w:val="24"/>
        </w:rPr>
        <w:t>Տ4 լուծույթն օգտագործում են պատրաստելուց հետո 4 ժամվա ընթացքում:</w:t>
      </w:r>
      <w:r w:rsidRPr="00825EEB">
        <w:rPr>
          <w:rFonts w:ascii="Sylfaen" w:hAnsi="Sylfaen"/>
          <w:sz w:val="24"/>
          <w:szCs w:val="24"/>
        </w:rPr>
        <w:t xml:space="preserve"> Փորձարկվող նմուշի 20 գ տեղադրում են կիպահղկած խցանով բորասիլիկատային ապակուց փորձանոթի մեջ, ավելացնում են </w:t>
      </w:r>
      <w:r w:rsidRPr="00825EEB">
        <w:rPr>
          <w:rFonts w:ascii="Sylfaen" w:hAnsi="Sylfaen"/>
          <w:i/>
          <w:sz w:val="24"/>
          <w:szCs w:val="24"/>
        </w:rPr>
        <w:t xml:space="preserve">0,01 Մ նատրիումի </w:t>
      </w:r>
      <w:r w:rsidRPr="00825EEB">
        <w:rPr>
          <w:rFonts w:ascii="Sylfaen" w:hAnsi="Sylfaen"/>
          <w:i/>
          <w:sz w:val="24"/>
          <w:szCs w:val="24"/>
        </w:rPr>
        <w:lastRenderedPageBreak/>
        <w:t>հիդրօքսիդի լուծույթի</w:t>
      </w:r>
      <w:r w:rsidRPr="00825EEB">
        <w:rPr>
          <w:rFonts w:ascii="Sylfaen" w:hAnsi="Sylfaen"/>
          <w:sz w:val="24"/>
          <w:szCs w:val="24"/>
        </w:rPr>
        <w:t xml:space="preserve"> 50 մլ </w:t>
      </w:r>
      <w:r>
        <w:rPr>
          <w:rFonts w:ascii="Sylfaen" w:hAnsi="Sylfaen"/>
          <w:sz w:val="24"/>
          <w:szCs w:val="24"/>
        </w:rPr>
        <w:t>եւ</w:t>
      </w:r>
      <w:r w:rsidRPr="00825EEB">
        <w:rPr>
          <w:rFonts w:ascii="Sylfaen" w:hAnsi="Sylfaen"/>
          <w:sz w:val="24"/>
          <w:szCs w:val="24"/>
        </w:rPr>
        <w:t xml:space="preserve"> 5 ժամ տաքացնում 50 °С ջերմաստիճանի տակ, հովացնում են </w:t>
      </w:r>
      <w:r>
        <w:rPr>
          <w:rFonts w:ascii="Sylfaen" w:hAnsi="Sylfaen"/>
          <w:sz w:val="24"/>
          <w:szCs w:val="24"/>
        </w:rPr>
        <w:t>եւ</w:t>
      </w:r>
      <w:r w:rsidRPr="00825EEB">
        <w:rPr>
          <w:rFonts w:ascii="Sylfaen" w:hAnsi="Sylfaen"/>
          <w:sz w:val="24"/>
          <w:szCs w:val="24"/>
        </w:rPr>
        <w:t xml:space="preserve"> թափում վերնստվածքային հեղուկը:</w:t>
      </w:r>
    </w:p>
    <w:p w14:paraId="568AB6D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Տ1 լուծույթը պետք է թափանցիկ լինի։</w:t>
      </w:r>
    </w:p>
    <w:p w14:paraId="229528C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թափանցիկությունը</w:t>
      </w:r>
      <w:r w:rsidRPr="00825EEB">
        <w:rPr>
          <w:rFonts w:ascii="Sylfaen" w:hAnsi="Sylfaen"/>
          <w:sz w:val="24"/>
          <w:szCs w:val="24"/>
        </w:rPr>
        <w:t xml:space="preserve"> (</w:t>
      </w:r>
      <w:r w:rsidRPr="00825EEB">
        <w:rPr>
          <w:rFonts w:ascii="Sylfaen" w:hAnsi="Sylfaen"/>
          <w:i/>
          <w:sz w:val="24"/>
          <w:szCs w:val="24"/>
        </w:rPr>
        <w:t>2.1.2.1</w:t>
      </w:r>
      <w:r w:rsidRPr="00825EEB">
        <w:rPr>
          <w:rFonts w:ascii="Sylfaen" w:hAnsi="Sylfaen"/>
          <w:sz w:val="24"/>
          <w:szCs w:val="24"/>
        </w:rPr>
        <w:t>)։ Տ2 լուծույթը պետք է թափանցիկ լինի:</w:t>
      </w:r>
    </w:p>
    <w:p w14:paraId="4F493500"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Լուծույթի գունայնությունը</w:t>
      </w:r>
      <w:r w:rsidRPr="00825EEB">
        <w:rPr>
          <w:rFonts w:ascii="Sylfaen" w:hAnsi="Sylfaen"/>
          <w:sz w:val="24"/>
          <w:szCs w:val="24"/>
        </w:rPr>
        <w:t xml:space="preserve"> (</w:t>
      </w:r>
      <w:r w:rsidRPr="00825EEB">
        <w:rPr>
          <w:rFonts w:ascii="Sylfaen" w:hAnsi="Sylfaen"/>
          <w:i/>
          <w:sz w:val="24"/>
          <w:szCs w:val="24"/>
        </w:rPr>
        <w:t>2.1.2.2, մեթոդ II</w:t>
      </w:r>
      <w:r w:rsidRPr="00825EEB">
        <w:rPr>
          <w:rFonts w:ascii="Sylfaen" w:hAnsi="Sylfaen"/>
          <w:sz w:val="24"/>
          <w:szCs w:val="24"/>
        </w:rPr>
        <w:t>)։</w:t>
      </w:r>
      <w:r w:rsidRPr="00825EEB">
        <w:rPr>
          <w:rFonts w:ascii="Sylfaen" w:hAnsi="Sylfaen"/>
          <w:i/>
          <w:sz w:val="24"/>
          <w:szCs w:val="24"/>
        </w:rPr>
        <w:t xml:space="preserve"> </w:t>
      </w:r>
      <w:r w:rsidRPr="00825EEB">
        <w:rPr>
          <w:rFonts w:ascii="Sylfaen" w:hAnsi="Sylfaen"/>
          <w:sz w:val="24"/>
          <w:szCs w:val="24"/>
        </w:rPr>
        <w:t>Տ2 լուծույթը պետք է լինի անգույն:</w:t>
      </w:r>
    </w:p>
    <w:p w14:paraId="4683266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492AA6">
        <w:rPr>
          <w:rFonts w:ascii="Sylfaen" w:hAnsi="Sylfaen"/>
          <w:b/>
          <w:spacing w:val="4"/>
          <w:sz w:val="24"/>
          <w:szCs w:val="24"/>
        </w:rPr>
        <w:t xml:space="preserve">Թթվայնությունը եւ ալկալիականությունը։ </w:t>
      </w:r>
      <w:r w:rsidRPr="00492AA6">
        <w:rPr>
          <w:rFonts w:ascii="Sylfaen" w:hAnsi="Sylfaen"/>
          <w:spacing w:val="4"/>
          <w:sz w:val="24"/>
          <w:szCs w:val="24"/>
        </w:rPr>
        <w:t xml:space="preserve">Տ1 լուծույթի 50 մլ-ին ավելացնում են </w:t>
      </w:r>
      <w:r w:rsidRPr="00492AA6">
        <w:rPr>
          <w:rFonts w:ascii="Sylfaen" w:hAnsi="Sylfaen"/>
          <w:i/>
          <w:spacing w:val="4"/>
          <w:sz w:val="24"/>
          <w:szCs w:val="24"/>
        </w:rPr>
        <w:t>Ռ ցուցիչի</w:t>
      </w:r>
      <w:r w:rsidRPr="00825EEB">
        <w:rPr>
          <w:rFonts w:ascii="Sylfaen" w:hAnsi="Sylfaen"/>
          <w:i/>
          <w:sz w:val="24"/>
          <w:szCs w:val="24"/>
        </w:rPr>
        <w:t xml:space="preserve"> </w:t>
      </w:r>
      <w:smartTag w:uri="urn:schemas-microsoft-com:office:smarttags" w:element="stockticker">
        <w:r w:rsidRPr="00825EEB">
          <w:rPr>
            <w:rFonts w:ascii="Sylfaen" w:hAnsi="Sylfaen"/>
            <w:i/>
            <w:sz w:val="24"/>
            <w:szCs w:val="24"/>
          </w:rPr>
          <w:t>BRP</w:t>
        </w:r>
      </w:smartTag>
      <w:r w:rsidRPr="00825EEB">
        <w:rPr>
          <w:rFonts w:ascii="Sylfaen" w:hAnsi="Sylfaen"/>
          <w:i/>
          <w:sz w:val="24"/>
          <w:szCs w:val="24"/>
        </w:rPr>
        <w:t xml:space="preserve"> լուծույթի</w:t>
      </w:r>
      <w:r w:rsidRPr="00825EEB">
        <w:rPr>
          <w:rFonts w:ascii="Sylfaen" w:hAnsi="Sylfaen"/>
          <w:sz w:val="24"/>
          <w:szCs w:val="24"/>
        </w:rPr>
        <w:t xml:space="preserve"> 0,15 մլ. լուծույթն ստանում է դեղին գունավորում: Լուծույթի երանգը պետք է փոխվի մինչ</w:t>
      </w:r>
      <w:r>
        <w:rPr>
          <w:rFonts w:ascii="Sylfaen" w:hAnsi="Sylfaen"/>
          <w:sz w:val="24"/>
          <w:szCs w:val="24"/>
        </w:rPr>
        <w:t>եւ</w:t>
      </w:r>
      <w:r w:rsidRPr="00825EEB">
        <w:rPr>
          <w:rFonts w:ascii="Sylfaen" w:hAnsi="Sylfaen"/>
          <w:sz w:val="24"/>
          <w:szCs w:val="24"/>
        </w:rPr>
        <w:t xml:space="preserve"> կապույտը՝ </w:t>
      </w:r>
      <w:r w:rsidRPr="00825EEB">
        <w:rPr>
          <w:rFonts w:ascii="Sylfaen" w:hAnsi="Sylfaen"/>
          <w:i/>
          <w:sz w:val="24"/>
          <w:szCs w:val="24"/>
        </w:rPr>
        <w:t>0,01 Մ նատրիումի հիդրօքսիդի լուծույթի</w:t>
      </w:r>
      <w:r w:rsidRPr="00825EEB">
        <w:rPr>
          <w:rFonts w:ascii="Sylfaen" w:hAnsi="Sylfaen"/>
          <w:sz w:val="24"/>
          <w:szCs w:val="24"/>
        </w:rPr>
        <w:t xml:space="preserve"> ոչ ավելի, քան 0,5 մլ ավելացնելիս:</w:t>
      </w:r>
      <w:r w:rsidRPr="00825EEB">
        <w:rPr>
          <w:rFonts w:ascii="Sylfaen" w:hAnsi="Sylfaen"/>
          <w:i/>
          <w:sz w:val="24"/>
          <w:szCs w:val="24"/>
        </w:rPr>
        <w:t xml:space="preserve"> </w:t>
      </w:r>
      <w:r w:rsidRPr="00825EEB">
        <w:rPr>
          <w:rFonts w:ascii="Sylfaen" w:hAnsi="Sylfaen"/>
          <w:sz w:val="24"/>
          <w:szCs w:val="24"/>
        </w:rPr>
        <w:t xml:space="preserve">Տ1 լուծույթի 50 մլ-ին ավելացնում են </w:t>
      </w:r>
      <w:r w:rsidRPr="00825EEB">
        <w:rPr>
          <w:rFonts w:ascii="Sylfaen" w:hAnsi="Sylfaen"/>
          <w:i/>
          <w:sz w:val="24"/>
          <w:szCs w:val="24"/>
        </w:rPr>
        <w:t>Ռ մեթիլ նարնջագույնի լուծույթի</w:t>
      </w:r>
      <w:r w:rsidRPr="00825EEB">
        <w:rPr>
          <w:rFonts w:ascii="Sylfaen" w:hAnsi="Sylfaen"/>
          <w:sz w:val="24"/>
          <w:szCs w:val="24"/>
        </w:rPr>
        <w:t xml:space="preserve"> 0,2 մլ. լուծույթն ստանում է դեղին գունավորում: Լուծույթի երանգը պետք է փոխվի դեղինից նարնջագույնի՝ </w:t>
      </w:r>
      <w:r w:rsidRPr="00825EEB">
        <w:rPr>
          <w:rFonts w:ascii="Sylfaen" w:hAnsi="Sylfaen"/>
          <w:i/>
          <w:sz w:val="24"/>
          <w:szCs w:val="24"/>
        </w:rPr>
        <w:t>0,01 Մ քլորաջրածնային թթվի</w:t>
      </w:r>
      <w:r w:rsidRPr="00825EEB">
        <w:rPr>
          <w:rFonts w:ascii="Sylfaen" w:hAnsi="Sylfaen"/>
          <w:sz w:val="24"/>
          <w:szCs w:val="24"/>
        </w:rPr>
        <w:t xml:space="preserve"> ոչ ավելի, քան 0,5 մլ ավելացնելիս:</w:t>
      </w:r>
    </w:p>
    <w:p w14:paraId="306427D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Տ1 լուծույթի օպտիկական խտությունն ալիքների 220 նմ-ից մինչ</w:t>
      </w:r>
      <w:r>
        <w:rPr>
          <w:rFonts w:ascii="Sylfaen" w:hAnsi="Sylfaen"/>
          <w:sz w:val="24"/>
          <w:szCs w:val="24"/>
        </w:rPr>
        <w:t>եւ</w:t>
      </w:r>
      <w:r w:rsidRPr="00825EEB">
        <w:rPr>
          <w:rFonts w:ascii="Sylfaen" w:hAnsi="Sylfaen"/>
          <w:sz w:val="24"/>
          <w:szCs w:val="24"/>
        </w:rPr>
        <w:t xml:space="preserve"> 340 նմ երկարության հատվածում չպետք է գերազանցի 0,2-ը: Ներկված պոլիէթիլենտերեֆտալատի համար Տ1 լուծույթի օպտիկական խտությունը 400 նմ-ից մինչ</w:t>
      </w:r>
      <w:r>
        <w:rPr>
          <w:rFonts w:ascii="Sylfaen" w:hAnsi="Sylfaen"/>
          <w:sz w:val="24"/>
          <w:szCs w:val="24"/>
        </w:rPr>
        <w:t>եւ</w:t>
      </w:r>
      <w:r w:rsidRPr="00825EEB">
        <w:rPr>
          <w:rFonts w:ascii="Sylfaen" w:hAnsi="Sylfaen"/>
          <w:sz w:val="24"/>
          <w:szCs w:val="24"/>
        </w:rPr>
        <w:t xml:space="preserve"> 800 նմ հատվածում չպետք է գերազանցի 0,05-ը:</w:t>
      </w:r>
    </w:p>
    <w:p w14:paraId="0D5A0DD9"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Microsoft Sans Serif" w:hAnsi="Sylfaen" w:cs="Microsoft Sans Serif"/>
          <w:b/>
          <w:color w:val="000000"/>
          <w:sz w:val="24"/>
          <w:szCs w:val="24"/>
        </w:rPr>
        <w:t>Կլանումը / Օպտիկական խտությունը</w:t>
      </w:r>
      <w:r w:rsidRPr="00825EEB">
        <w:rPr>
          <w:rFonts w:ascii="Sylfaen" w:hAnsi="Sylfaen"/>
          <w:sz w:val="24"/>
          <w:szCs w:val="24"/>
        </w:rPr>
        <w:t xml:space="preserve"> (</w:t>
      </w:r>
      <w:r w:rsidRPr="00825EEB">
        <w:rPr>
          <w:rFonts w:ascii="Sylfaen" w:hAnsi="Sylfaen"/>
          <w:i/>
          <w:sz w:val="24"/>
          <w:szCs w:val="24"/>
        </w:rPr>
        <w:t>2.1.2.24</w:t>
      </w:r>
      <w:r w:rsidRPr="00825EEB">
        <w:rPr>
          <w:rFonts w:ascii="Sylfaen" w:hAnsi="Sylfaen"/>
          <w:sz w:val="24"/>
          <w:szCs w:val="24"/>
        </w:rPr>
        <w:t>)։ Տ2 լուծույթի օպտիկական խտությունն ալիքների 400 նմ-ից մինչ</w:t>
      </w:r>
      <w:r>
        <w:rPr>
          <w:rFonts w:ascii="Sylfaen" w:hAnsi="Sylfaen"/>
          <w:sz w:val="24"/>
          <w:szCs w:val="24"/>
        </w:rPr>
        <w:t>եւ</w:t>
      </w:r>
      <w:r w:rsidRPr="00825EEB">
        <w:rPr>
          <w:rFonts w:ascii="Sylfaen" w:hAnsi="Sylfaen"/>
          <w:sz w:val="24"/>
          <w:szCs w:val="24"/>
        </w:rPr>
        <w:t xml:space="preserve"> 800 նմ երկարության հատվածում չպետք է գերազանցի 0,05-ը:</w:t>
      </w:r>
    </w:p>
    <w:p w14:paraId="52D1F906" w14:textId="77777777" w:rsidR="0058052E" w:rsidRPr="00825EEB" w:rsidRDefault="0058052E" w:rsidP="0058052E">
      <w:pPr>
        <w:spacing w:after="160" w:line="360" w:lineRule="auto"/>
        <w:ind w:firstLine="567"/>
        <w:jc w:val="both"/>
        <w:rPr>
          <w:i/>
          <w:iCs/>
        </w:rPr>
      </w:pPr>
      <w:r w:rsidRPr="00825EEB">
        <w:rPr>
          <w:b/>
        </w:rPr>
        <w:t xml:space="preserve">Վերականգնող նյութերը։ </w:t>
      </w:r>
      <w:r w:rsidRPr="00825EEB">
        <w:t xml:space="preserve">Տ1 լուծույթի 20,0 մլ-ին ավելացնում են </w:t>
      </w:r>
      <w:r w:rsidRPr="00825EEB">
        <w:rPr>
          <w:i/>
        </w:rPr>
        <w:t>0,5 Մ ծծմբաթթվի</w:t>
      </w:r>
      <w:r w:rsidRPr="00825EEB">
        <w:t xml:space="preserve"> լուծույթի 2 մլ </w:t>
      </w:r>
      <w:r>
        <w:t>եւ</w:t>
      </w:r>
      <w:r w:rsidRPr="00825EEB">
        <w:t xml:space="preserve"> </w:t>
      </w:r>
      <w:r w:rsidRPr="00825EEB">
        <w:rPr>
          <w:i/>
        </w:rPr>
        <w:t>0,002 Մ կալիումի պերմանգանատի լուծույթի</w:t>
      </w:r>
      <w:r w:rsidRPr="00825EEB">
        <w:t xml:space="preserve"> 20,0 մլ, 3 րոպե եռացնում են </w:t>
      </w:r>
      <w:r>
        <w:t>եւ</w:t>
      </w:r>
      <w:r w:rsidRPr="00825EEB">
        <w:t xml:space="preserve"> անմիջապես հովացնում մինչ</w:t>
      </w:r>
      <w:r>
        <w:t>եւ</w:t>
      </w:r>
      <w:r w:rsidRPr="00825EEB">
        <w:t xml:space="preserve"> սենյակային ջերմաստիճանը: Որպես ցուցիչ ավելացնում են </w:t>
      </w:r>
      <w:r w:rsidRPr="00825EEB">
        <w:rPr>
          <w:i/>
        </w:rPr>
        <w:t>Ռ կալիումի յոդիդի</w:t>
      </w:r>
      <w:r w:rsidRPr="00825EEB">
        <w:t xml:space="preserve"> 1 գ, </w:t>
      </w:r>
      <w:r w:rsidRPr="00825EEB">
        <w:rPr>
          <w:i/>
        </w:rPr>
        <w:t>Ռ օսլայի լուծույթի</w:t>
      </w:r>
      <w:r w:rsidRPr="00825EEB">
        <w:t xml:space="preserve"> 0,25 մլ </w:t>
      </w:r>
      <w:r>
        <w:t>եւ</w:t>
      </w:r>
      <w:r w:rsidRPr="00825EEB">
        <w:t xml:space="preserve"> իսկույն տիտրում են </w:t>
      </w:r>
      <w:r w:rsidRPr="00825EEB">
        <w:rPr>
          <w:i/>
        </w:rPr>
        <w:t xml:space="preserve">0,01 Մ նատրիումի թիոսուլֆատի </w:t>
      </w:r>
      <w:r w:rsidRPr="00492AA6">
        <w:rPr>
          <w:i/>
          <w:spacing w:val="4"/>
        </w:rPr>
        <w:t>լուծույթով</w:t>
      </w:r>
      <w:r w:rsidRPr="00492AA6">
        <w:rPr>
          <w:spacing w:val="4"/>
        </w:rPr>
        <w:t xml:space="preserve">: Զուգահեռ անցկացնում են ստուգիչ փորձարկում՝ օգտագործելով </w:t>
      </w:r>
      <w:r w:rsidRPr="00492AA6">
        <w:rPr>
          <w:i/>
          <w:spacing w:val="4"/>
        </w:rPr>
        <w:t xml:space="preserve">Ռ </w:t>
      </w:r>
      <w:r w:rsidRPr="00492AA6">
        <w:rPr>
          <w:i/>
          <w:spacing w:val="4"/>
        </w:rPr>
        <w:lastRenderedPageBreak/>
        <w:t>ջրի</w:t>
      </w:r>
      <w:r w:rsidRPr="00492AA6">
        <w:rPr>
          <w:spacing w:val="4"/>
        </w:rPr>
        <w:t xml:space="preserve"> 20,0 մլ</w:t>
      </w:r>
      <w:r w:rsidRPr="00825EEB">
        <w:t>: Տիտրանտի ծավալների միջ</w:t>
      </w:r>
      <w:r>
        <w:t>եւ</w:t>
      </w:r>
      <w:r w:rsidRPr="00825EEB">
        <w:t xml:space="preserve"> տարբերությունը չպետք է գերազանցի 0,5 մլ-ը:</w:t>
      </w:r>
    </w:p>
    <w:p w14:paraId="5C4B48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Դիօքսանի մեջ լուծվող նյութերը։ </w:t>
      </w:r>
      <w:r w:rsidRPr="00825EEB">
        <w:rPr>
          <w:rFonts w:ascii="Sylfaen" w:hAnsi="Sylfaen"/>
          <w:sz w:val="24"/>
          <w:szCs w:val="24"/>
        </w:rPr>
        <w:t>3 %-ից ոչ ավելի:</w:t>
      </w:r>
    </w:p>
    <w:p w14:paraId="4F17F1A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Փորձարկվող նմուշի 2 գ տեղադրում են կիպահղկած խցանով բորասիլիկատային ապակուց կոնաձ</w:t>
      </w:r>
      <w:r>
        <w:rPr>
          <w:rFonts w:ascii="Sylfaen" w:hAnsi="Sylfaen"/>
          <w:sz w:val="24"/>
          <w:szCs w:val="24"/>
        </w:rPr>
        <w:t>եւ</w:t>
      </w:r>
      <w:r w:rsidRPr="00825EEB">
        <w:rPr>
          <w:rFonts w:ascii="Sylfaen" w:hAnsi="Sylfaen"/>
          <w:sz w:val="24"/>
          <w:szCs w:val="24"/>
        </w:rPr>
        <w:t xml:space="preserve"> փորձանոթի մեջ, ավելացնում են </w:t>
      </w:r>
      <w:r w:rsidRPr="00825EEB">
        <w:rPr>
          <w:rFonts w:ascii="Sylfaen" w:hAnsi="Sylfaen"/>
          <w:i/>
          <w:sz w:val="24"/>
          <w:szCs w:val="24"/>
        </w:rPr>
        <w:t>Ռ դիօքսանի</w:t>
      </w:r>
      <w:r w:rsidRPr="00825EEB">
        <w:rPr>
          <w:rFonts w:ascii="Sylfaen" w:hAnsi="Sylfaen"/>
          <w:sz w:val="24"/>
          <w:szCs w:val="24"/>
        </w:rPr>
        <w:t xml:space="preserve"> 20 մլ </w:t>
      </w:r>
      <w:r>
        <w:rPr>
          <w:rFonts w:ascii="Sylfaen" w:hAnsi="Sylfaen"/>
          <w:sz w:val="24"/>
          <w:szCs w:val="24"/>
        </w:rPr>
        <w:t>եւ</w:t>
      </w:r>
      <w:r w:rsidRPr="00825EEB">
        <w:rPr>
          <w:rFonts w:ascii="Sylfaen" w:hAnsi="Sylfaen"/>
          <w:sz w:val="24"/>
          <w:szCs w:val="24"/>
        </w:rPr>
        <w:t xml:space="preserve"> 2 ժամ տաքացնում հակադարձ սառնարանով՝ ջրային բաղնիքի վրա: Ստացված լուծույթի 10 մլ-ը լիաչոր շոգեհանում են ջրային բաղնիքի վրա </w:t>
      </w:r>
      <w:r>
        <w:rPr>
          <w:rFonts w:ascii="Sylfaen" w:hAnsi="Sylfaen"/>
          <w:sz w:val="24"/>
          <w:szCs w:val="24"/>
        </w:rPr>
        <w:t>եւ</w:t>
      </w:r>
      <w:r w:rsidRPr="00825EEB">
        <w:rPr>
          <w:rFonts w:ascii="Sylfaen" w:hAnsi="Sylfaen"/>
          <w:sz w:val="24"/>
          <w:szCs w:val="24"/>
        </w:rPr>
        <w:t xml:space="preserve"> մնացորդը չորացնում 100 °C-ից մինչ</w:t>
      </w:r>
      <w:r>
        <w:rPr>
          <w:rFonts w:ascii="Sylfaen" w:hAnsi="Sylfaen"/>
          <w:sz w:val="24"/>
          <w:szCs w:val="24"/>
        </w:rPr>
        <w:t>եւ</w:t>
      </w:r>
      <w:r w:rsidRPr="00825EEB">
        <w:rPr>
          <w:rFonts w:ascii="Sylfaen" w:hAnsi="Sylfaen"/>
          <w:sz w:val="24"/>
          <w:szCs w:val="24"/>
        </w:rPr>
        <w:t xml:space="preserve"> </w:t>
      </w:r>
      <w:smartTag w:uri="urn:schemas-microsoft-com:office:smarttags" w:element="metricconverter">
        <w:smartTagPr>
          <w:attr w:name="ProductID" w:val="105 °C"/>
        </w:smartTagPr>
        <w:r w:rsidRPr="00825EEB">
          <w:rPr>
            <w:rFonts w:ascii="Sylfaen" w:hAnsi="Sylfaen"/>
            <w:sz w:val="24"/>
            <w:szCs w:val="24"/>
          </w:rPr>
          <w:t>105 °C</w:t>
        </w:r>
      </w:smartTag>
      <w:r w:rsidRPr="00825EEB">
        <w:rPr>
          <w:rFonts w:ascii="Sylfaen" w:hAnsi="Sylfaen"/>
          <w:sz w:val="24"/>
          <w:szCs w:val="24"/>
        </w:rPr>
        <w:t xml:space="preserve"> ջերմաստիճանի տակ: Ստացված մնացորդի զանգվածը չպետք է գերազանցի 30 մգ-ը։</w:t>
      </w:r>
    </w:p>
    <w:p w14:paraId="649DEF0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Ալյումին։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19E7C03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6AC54A8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ալյումինի իոնների ստանդարտ լուծույթը (200 ppm Al</w:t>
      </w:r>
      <w:r w:rsidRPr="00825EEB">
        <w:rPr>
          <w:rFonts w:ascii="Sylfaen" w:hAnsi="Sylfaen"/>
          <w:i/>
          <w:sz w:val="24"/>
          <w:szCs w:val="24"/>
          <w:vertAlign w:val="superscript"/>
        </w:rPr>
        <w:t>3+</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2DC818D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էմիսիայի ինտենսիվությունն ալիքի 396,15 նմ երկարությամբ՝ կատարելով սպեկտրալ ֆոնի շտկում ալիքի 396,25 նմ երկարությամբ: Ստուգում</w:t>
      </w:r>
      <w:r w:rsidR="00C636AD" w:rsidRPr="00C636AD">
        <w:rPr>
          <w:rFonts w:ascii="Sylfaen" w:hAnsi="Sylfaen"/>
          <w:sz w:val="24"/>
          <w:szCs w:val="24"/>
        </w:rPr>
        <w:t> </w:t>
      </w:r>
      <w:r w:rsidRPr="00825EEB">
        <w:rPr>
          <w:rFonts w:ascii="Sylfaen" w:hAnsi="Sylfaen"/>
          <w:sz w:val="24"/>
          <w:szCs w:val="24"/>
        </w:rPr>
        <w:t xml:space="preserve">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ալյումինի բացակայությունը:</w:t>
      </w:r>
    </w:p>
    <w:p w14:paraId="706EECF7"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Բարիում։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6A85A44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23FC555F"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բարիումի իոնների ստանդարտ լուծույթը (50 ppm Ва</w:t>
      </w:r>
      <w:r w:rsidRPr="00825EEB">
        <w:rPr>
          <w:rFonts w:ascii="Sylfaen" w:hAnsi="Sylfaen"/>
          <w:i/>
          <w:sz w:val="24"/>
          <w:szCs w:val="24"/>
          <w:vertAlign w:val="superscript"/>
        </w:rPr>
        <w:t>2+</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2263D09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բարիումի էմիսիայի ինտենսիվությունն ալիքի 455,40 նմ երկարությամբ՝ կատարելով սպեկտրալ ֆոնի շտկում ալիքի 455,30 նմ երկարությամբ:</w:t>
      </w:r>
    </w:p>
    <w:p w14:paraId="6A46EC3A"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lastRenderedPageBreak/>
        <w:t xml:space="preserve">Ստուգում 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բարիումի բացակայությունը:</w:t>
      </w:r>
    </w:p>
    <w:p w14:paraId="3DE15B11"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Գերմանիում։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096F678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Տ4 լուծույթը:</w:t>
      </w:r>
    </w:p>
    <w:p w14:paraId="11E3836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գերմանիումի ստանդարտ լուծույթը (100 ppm Ge</w:t>
      </w:r>
      <w:r w:rsidRPr="00825EEB">
        <w:rPr>
          <w:rFonts w:ascii="Sylfaen" w:hAnsi="Sylfaen"/>
          <w:i/>
          <w:sz w:val="24"/>
          <w:szCs w:val="24"/>
          <w:vertAlign w:val="superscript"/>
        </w:rPr>
        <w:t>+4</w:t>
      </w:r>
      <w:r w:rsidRPr="00825EEB">
        <w:rPr>
          <w:rFonts w:ascii="Sylfaen" w:hAnsi="Sylfaen"/>
          <w:i/>
          <w:sz w:val="24"/>
          <w:szCs w:val="24"/>
        </w:rPr>
        <w:t>) 0,01 Մ նատրիումի հիդրոքսիդի լուծույթով</w:t>
      </w:r>
      <w:r w:rsidRPr="00825EEB">
        <w:rPr>
          <w:rFonts w:ascii="Sylfaen" w:hAnsi="Sylfaen"/>
          <w:sz w:val="24"/>
          <w:szCs w:val="24"/>
        </w:rPr>
        <w:t xml:space="preserve"> նոսրացնելով:</w:t>
      </w:r>
    </w:p>
    <w:p w14:paraId="6034ECB2"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գերմանիումի էմիսիայի ինտենսիվությունն ալիքի 206,87 նմ կամ 265,12 նմ երկարությամբ՝ կատարելով սպեկտրալ ֆոնի շտկում ալիքի 206,75 նմ երկարությամբ:</w:t>
      </w:r>
    </w:p>
    <w:p w14:paraId="6969402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Կոբալտ։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05D0048C"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184B2E8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կոբալտի իոնների ստանդարտ լուծույթը (100 ppm Со</w:t>
      </w:r>
      <w:r w:rsidRPr="00825EEB">
        <w:rPr>
          <w:rFonts w:ascii="Sylfaen" w:hAnsi="Sylfaen"/>
          <w:i/>
          <w:sz w:val="24"/>
          <w:szCs w:val="24"/>
          <w:vertAlign w:val="superscript"/>
        </w:rPr>
        <w:t>2+</w:t>
      </w:r>
      <w:r w:rsidRPr="00825EEB">
        <w:rPr>
          <w:rFonts w:ascii="Sylfaen" w:hAnsi="Sylfaen"/>
          <w:i/>
          <w:sz w:val="24"/>
          <w:szCs w:val="24"/>
        </w:rPr>
        <w:t>) 0,1 Մ քլորաջրածնային թթվի մեջ</w:t>
      </w:r>
      <w:r w:rsidRPr="00825EEB">
        <w:rPr>
          <w:rFonts w:ascii="Sylfaen" w:hAnsi="Sylfaen"/>
          <w:sz w:val="24"/>
          <w:szCs w:val="24"/>
        </w:rPr>
        <w:t xml:space="preserve"> նոսրացնելով:</w:t>
      </w:r>
    </w:p>
    <w:p w14:paraId="174599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կոբալտի էմիսիայի ինտենսիվությունն ալիքի 228,62 նմ երկարությամբ՝ կատարելով սպեկտրալ ֆոնի շտկում ալիքի 228,50 նմ երկարությամբ:</w:t>
      </w:r>
    </w:p>
    <w:p w14:paraId="642B6C9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Ստուգում 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կոբալտի բացակայությունը:</w:t>
      </w:r>
    </w:p>
    <w:p w14:paraId="70F1285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b/>
          <w:sz w:val="24"/>
          <w:szCs w:val="24"/>
        </w:rPr>
        <w:t xml:space="preserve">Մանգան։ </w:t>
      </w:r>
      <w:r w:rsidRPr="00825EEB">
        <w:rPr>
          <w:rFonts w:ascii="Sylfaen" w:hAnsi="Sylfaen"/>
          <w:sz w:val="24"/>
          <w:szCs w:val="24"/>
        </w:rPr>
        <w:t>1 ppm-ից ոչ ավելի։</w:t>
      </w:r>
    </w:p>
    <w:p w14:paraId="6EA5120D"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4DB28085"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lastRenderedPageBreak/>
        <w:t>Փորձարկվող լուծույթը։</w:t>
      </w:r>
      <w:r w:rsidRPr="00825EEB">
        <w:rPr>
          <w:rFonts w:ascii="Sylfaen" w:hAnsi="Sylfaen"/>
          <w:sz w:val="24"/>
          <w:szCs w:val="24"/>
        </w:rPr>
        <w:t xml:space="preserve"> Օգտագործում են Տ3 լուծույթը:</w:t>
      </w:r>
    </w:p>
    <w:p w14:paraId="53F95BA3"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մանգանի իոնների ստանդարտ լուծույթը (100 ppm Мn</w:t>
      </w:r>
      <w:r w:rsidRPr="00825EEB">
        <w:rPr>
          <w:rFonts w:ascii="Sylfaen" w:hAnsi="Sylfaen"/>
          <w:i/>
          <w:sz w:val="24"/>
          <w:szCs w:val="24"/>
          <w:vertAlign w:val="superscript"/>
        </w:rPr>
        <w:t>+</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203D5695"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մանգանի էմիսիայի ինտենսիվությունն ալիքի 257,61 նմ երկարությամբ՝ կատարելով սպեկտրալ ֆոնի շտկում ալիքի 257,50 նմ երկարությամբ:</w:t>
      </w:r>
    </w:p>
    <w:p w14:paraId="6C2F47DA"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 xml:space="preserve">Ստուգում 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մանգանի բացակայությունը:</w:t>
      </w:r>
    </w:p>
    <w:p w14:paraId="6CE45919"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b/>
          <w:sz w:val="24"/>
          <w:szCs w:val="24"/>
        </w:rPr>
        <w:t xml:space="preserve">Ծարիր։ </w:t>
      </w:r>
      <w:r w:rsidRPr="00825EEB">
        <w:rPr>
          <w:rFonts w:ascii="Sylfaen" w:hAnsi="Sylfaen"/>
          <w:sz w:val="24"/>
          <w:szCs w:val="24"/>
        </w:rPr>
        <w:t>1 ppm-ից ոչ ավելի։ Որոշումն անցկացնում են ատոմային էմիսիոն սպեկտրաչափության մեթոդով՝ ինդուկտիվ կապված պլազմայով (</w:t>
      </w:r>
      <w:r w:rsidRPr="00825EEB">
        <w:rPr>
          <w:rFonts w:ascii="Sylfaen" w:hAnsi="Sylfaen"/>
          <w:i/>
          <w:sz w:val="24"/>
          <w:szCs w:val="24"/>
        </w:rPr>
        <w:t>2.1.2.41</w:t>
      </w:r>
      <w:r w:rsidRPr="00825EEB">
        <w:rPr>
          <w:rFonts w:ascii="Sylfaen" w:hAnsi="Sylfaen"/>
          <w:sz w:val="24"/>
          <w:szCs w:val="24"/>
        </w:rPr>
        <w:t>)։</w:t>
      </w:r>
    </w:p>
    <w:p w14:paraId="0F3B0B4C"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Տ4 լուծույթը:</w:t>
      </w:r>
    </w:p>
    <w:p w14:paraId="672D15C9"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լուծույթը:</w:t>
      </w:r>
      <w:r w:rsidRPr="00825EEB">
        <w:rPr>
          <w:rFonts w:ascii="Sylfaen" w:hAnsi="Sylfaen"/>
          <w:sz w:val="24"/>
          <w:szCs w:val="24"/>
        </w:rPr>
        <w:t xml:space="preserve"> Պատրաստում են </w:t>
      </w:r>
      <w:r w:rsidRPr="00825EEB">
        <w:rPr>
          <w:rFonts w:ascii="Sylfaen" w:hAnsi="Sylfaen"/>
          <w:i/>
          <w:sz w:val="24"/>
          <w:szCs w:val="24"/>
        </w:rPr>
        <w:t>Ռ ծարիրի ստանդարտ լուծույթը (100 ppm Sb</w:t>
      </w:r>
      <w:r w:rsidRPr="00825EEB">
        <w:rPr>
          <w:rFonts w:ascii="Sylfaen" w:hAnsi="Sylfaen"/>
          <w:i/>
          <w:sz w:val="24"/>
          <w:szCs w:val="24"/>
          <w:vertAlign w:val="superscript"/>
        </w:rPr>
        <w:t>+5</w:t>
      </w:r>
      <w:r w:rsidRPr="00825EEB">
        <w:rPr>
          <w:rFonts w:ascii="Sylfaen" w:hAnsi="Sylfaen"/>
          <w:i/>
          <w:sz w:val="24"/>
          <w:szCs w:val="24"/>
        </w:rPr>
        <w:t>) 0,01 Մ նատրիումի հիդրոքսիդի լուծույթով</w:t>
      </w:r>
      <w:r w:rsidRPr="00825EEB">
        <w:rPr>
          <w:rFonts w:ascii="Sylfaen" w:hAnsi="Sylfaen"/>
          <w:sz w:val="24"/>
          <w:szCs w:val="24"/>
        </w:rPr>
        <w:t xml:space="preserve"> նոսրացնելով:</w:t>
      </w:r>
    </w:p>
    <w:p w14:paraId="47A99C2E"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ծարիրի էմիսիայի ինտենսիվությունն ալիքի 231,15 նմ կամ 217,58</w:t>
      </w:r>
      <w:r w:rsidR="00C636AD" w:rsidRPr="00C636AD">
        <w:rPr>
          <w:rFonts w:ascii="Sylfaen" w:hAnsi="Sylfaen"/>
          <w:sz w:val="24"/>
          <w:szCs w:val="24"/>
        </w:rPr>
        <w:t> </w:t>
      </w:r>
      <w:r w:rsidRPr="00825EEB">
        <w:rPr>
          <w:rFonts w:ascii="Sylfaen" w:hAnsi="Sylfaen"/>
          <w:sz w:val="24"/>
          <w:szCs w:val="24"/>
        </w:rPr>
        <w:t>նմ երկարությամբ՝ կատարելով սպեկտրալ ֆոնի շտկում ալիքի 231,05 նմ երկարությամբ:</w:t>
      </w:r>
    </w:p>
    <w:p w14:paraId="50D97A95" w14:textId="77777777" w:rsidR="0058052E" w:rsidRPr="00825EEB" w:rsidRDefault="0058052E" w:rsidP="001827DA">
      <w:pPr>
        <w:spacing w:after="160" w:line="346" w:lineRule="auto"/>
        <w:ind w:firstLine="567"/>
        <w:jc w:val="both"/>
        <w:rPr>
          <w:i/>
          <w:iCs/>
        </w:rPr>
      </w:pPr>
      <w:r w:rsidRPr="00825EEB">
        <w:rPr>
          <w:b/>
        </w:rPr>
        <w:t xml:space="preserve">Տիտան։ </w:t>
      </w:r>
      <w:r w:rsidRPr="00825EEB">
        <w:t>1 ppm-ից ոչ ավելի։ Որոշումն անցկացնում են ատոմային էմիսիոն սպեկտրաչափության մեթոդով՝ ինդուկտիվ կապված պլազմայով (</w:t>
      </w:r>
      <w:r w:rsidRPr="00825EEB">
        <w:rPr>
          <w:i/>
        </w:rPr>
        <w:t>2.1.2.41</w:t>
      </w:r>
      <w:r w:rsidRPr="00825EEB">
        <w:t>)։</w:t>
      </w:r>
    </w:p>
    <w:p w14:paraId="42409938"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4342D32F"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տիտանի իոնների ստանդարտ լուծույթը (100 ppm Ti</w:t>
      </w:r>
      <w:r w:rsidRPr="00825EEB">
        <w:rPr>
          <w:rFonts w:ascii="Sylfaen" w:hAnsi="Sylfaen"/>
          <w:i/>
          <w:sz w:val="24"/>
          <w:szCs w:val="24"/>
          <w:vertAlign w:val="superscript"/>
        </w:rPr>
        <w:t>+</w:t>
      </w:r>
      <w:r w:rsidRPr="00825EEB">
        <w:rPr>
          <w:rFonts w:ascii="Sylfaen" w:hAnsi="Sylfaen"/>
          <w:i/>
          <w:sz w:val="24"/>
          <w:szCs w:val="24"/>
        </w:rPr>
        <w:t>) 0,1 Մ քլորաջրածնային թթվով</w:t>
      </w:r>
      <w:r w:rsidRPr="00825EEB">
        <w:rPr>
          <w:rFonts w:ascii="Sylfaen" w:hAnsi="Sylfaen"/>
          <w:sz w:val="24"/>
          <w:szCs w:val="24"/>
        </w:rPr>
        <w:t xml:space="preserve"> նոսրացնելով:</w:t>
      </w:r>
    </w:p>
    <w:p w14:paraId="75AC83BE" w14:textId="77777777" w:rsidR="0058052E" w:rsidRPr="00825EEB" w:rsidRDefault="0058052E" w:rsidP="001827DA">
      <w:pPr>
        <w:pStyle w:val="a0"/>
        <w:shd w:val="clear" w:color="auto" w:fill="auto"/>
        <w:spacing w:after="160" w:line="346" w:lineRule="auto"/>
        <w:ind w:firstLine="567"/>
        <w:jc w:val="both"/>
        <w:rPr>
          <w:rFonts w:ascii="Sylfaen" w:hAnsi="Sylfaen" w:cs="Sylfaen"/>
          <w:sz w:val="24"/>
          <w:szCs w:val="24"/>
        </w:rPr>
      </w:pPr>
      <w:r w:rsidRPr="00825EEB">
        <w:rPr>
          <w:rFonts w:ascii="Sylfaen" w:hAnsi="Sylfaen"/>
          <w:sz w:val="24"/>
          <w:szCs w:val="24"/>
        </w:rPr>
        <w:t>Չափում են տիտանի էմիսիայի ինտենսիվությունն ալիքի 323,45 նմ կամ 334,94 նմ երկարությամբ՝ կատարելով սպեկտրալ ֆոնի շտկում ալիքի 323,35 նմ երկարությամբ:</w:t>
      </w:r>
    </w:p>
    <w:p w14:paraId="76470FC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Ստուգում 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տիտանի բացակայությունը:</w:t>
      </w:r>
    </w:p>
    <w:p w14:paraId="1F351398" w14:textId="77777777" w:rsidR="0058052E" w:rsidRPr="00825EEB" w:rsidRDefault="0058052E" w:rsidP="0058052E">
      <w:pPr>
        <w:spacing w:after="160" w:line="360" w:lineRule="auto"/>
        <w:ind w:firstLine="567"/>
        <w:jc w:val="both"/>
      </w:pPr>
      <w:r w:rsidRPr="00825EEB">
        <w:rPr>
          <w:b/>
        </w:rPr>
        <w:lastRenderedPageBreak/>
        <w:t xml:space="preserve">Ցինկ։ </w:t>
      </w:r>
      <w:r w:rsidRPr="00825EEB">
        <w:t>1 ppm-ից ոչ ավելի։ Որոշումն անցկացնում են ատոմային էմիսիոն սպեկտրաչափության մեթոդով՝ ինդուկտիվ կապված պլազմայով (</w:t>
      </w:r>
      <w:r w:rsidRPr="00825EEB">
        <w:rPr>
          <w:i/>
        </w:rPr>
        <w:t>2.1.2.41</w:t>
      </w:r>
      <w:r w:rsidRPr="00825EEB">
        <w:t>)։</w:t>
      </w:r>
    </w:p>
    <w:p w14:paraId="523D8104"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Փորձարկվող լուծույթը։</w:t>
      </w:r>
      <w:r w:rsidRPr="00825EEB">
        <w:rPr>
          <w:rFonts w:ascii="Sylfaen" w:hAnsi="Sylfaen"/>
          <w:sz w:val="24"/>
          <w:szCs w:val="24"/>
        </w:rPr>
        <w:t xml:space="preserve"> Օգտագործում են Տ3 լուծույթը:</w:t>
      </w:r>
    </w:p>
    <w:p w14:paraId="1C8B4548"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i/>
          <w:sz w:val="24"/>
          <w:szCs w:val="24"/>
        </w:rPr>
        <w:t>Համեմատության լուծույթները։</w:t>
      </w:r>
      <w:r w:rsidRPr="00825EEB">
        <w:rPr>
          <w:rFonts w:ascii="Sylfaen" w:hAnsi="Sylfaen"/>
          <w:sz w:val="24"/>
          <w:szCs w:val="24"/>
        </w:rPr>
        <w:t xml:space="preserve"> Պատրաստում են </w:t>
      </w:r>
      <w:r w:rsidRPr="00825EEB">
        <w:rPr>
          <w:rFonts w:ascii="Sylfaen" w:hAnsi="Sylfaen"/>
          <w:i/>
          <w:sz w:val="24"/>
          <w:szCs w:val="24"/>
        </w:rPr>
        <w:t>Ռ ցինկի իոնների ստանդարտ լուծույթը (100 ppm Zn</w:t>
      </w:r>
      <w:r w:rsidRPr="00825EEB">
        <w:rPr>
          <w:rFonts w:ascii="Sylfaen" w:hAnsi="Sylfaen"/>
          <w:i/>
          <w:sz w:val="24"/>
          <w:szCs w:val="24"/>
          <w:vertAlign w:val="superscript"/>
        </w:rPr>
        <w:t>2+</w:t>
      </w:r>
      <w:r w:rsidRPr="00825EEB">
        <w:rPr>
          <w:rFonts w:ascii="Sylfaen" w:hAnsi="Sylfaen"/>
          <w:i/>
          <w:sz w:val="24"/>
          <w:szCs w:val="24"/>
        </w:rPr>
        <w:t xml:space="preserve">) 0,1 Մ քլորաջրածնային թթվով </w:t>
      </w:r>
      <w:r w:rsidRPr="00825EEB">
        <w:rPr>
          <w:rFonts w:ascii="Sylfaen" w:hAnsi="Sylfaen"/>
          <w:sz w:val="24"/>
          <w:szCs w:val="24"/>
        </w:rPr>
        <w:t>նոսրացնելով:</w:t>
      </w:r>
    </w:p>
    <w:p w14:paraId="25ED91EE"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Չափում են ցինկի էմիսիայի ինտենսիվությունն ալիքի 213,86 նմ երկարությամբ՝ կատարելով սպեկտրալ ֆոնի շտկում ալիքի 213,75 նմ երկարությամբ:</w:t>
      </w:r>
    </w:p>
    <w:p w14:paraId="260428D6"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hAnsi="Sylfaen"/>
          <w:sz w:val="24"/>
          <w:szCs w:val="24"/>
        </w:rPr>
        <w:t xml:space="preserve">Ստուգում են օգտագործվող </w:t>
      </w:r>
      <w:r w:rsidRPr="00825EEB">
        <w:rPr>
          <w:rFonts w:ascii="Sylfaen" w:hAnsi="Sylfaen"/>
          <w:i/>
          <w:sz w:val="24"/>
          <w:szCs w:val="24"/>
        </w:rPr>
        <w:t>0,1 Մ քլորաջրածնային թթվի</w:t>
      </w:r>
      <w:r w:rsidRPr="00825EEB">
        <w:rPr>
          <w:rFonts w:ascii="Sylfaen" w:hAnsi="Sylfaen"/>
          <w:sz w:val="24"/>
          <w:szCs w:val="24"/>
        </w:rPr>
        <w:t xml:space="preserve"> մեջ ցինկի բացակայությունը:</w:t>
      </w:r>
    </w:p>
    <w:p w14:paraId="089F5743" w14:textId="77777777" w:rsidR="0058052E" w:rsidRPr="00825EEB" w:rsidRDefault="0058052E" w:rsidP="0058052E">
      <w:pPr>
        <w:pStyle w:val="a0"/>
        <w:shd w:val="clear" w:color="auto" w:fill="auto"/>
        <w:spacing w:after="160" w:line="360" w:lineRule="auto"/>
        <w:ind w:firstLine="567"/>
        <w:jc w:val="both"/>
        <w:rPr>
          <w:rFonts w:ascii="Sylfaen" w:hAnsi="Sylfaen" w:cs="Sylfaen"/>
          <w:sz w:val="24"/>
          <w:szCs w:val="24"/>
        </w:rPr>
      </w:pPr>
      <w:r w:rsidRPr="00825EEB">
        <w:rPr>
          <w:rFonts w:ascii="Sylfaen" w:eastAsia="Microsoft Sans Serif" w:hAnsi="Sylfaen" w:cs="Microsoft Sans Serif"/>
          <w:b/>
          <w:color w:val="000000"/>
          <w:sz w:val="24"/>
          <w:szCs w:val="24"/>
        </w:rPr>
        <w:t>Սուլֆատային մոխիր</w:t>
      </w:r>
      <w:r w:rsidRPr="00825EEB">
        <w:rPr>
          <w:rFonts w:ascii="Sylfaen" w:hAnsi="Sylfaen"/>
          <w:sz w:val="24"/>
          <w:szCs w:val="24"/>
        </w:rPr>
        <w:t xml:space="preserve"> (</w:t>
      </w:r>
      <w:r w:rsidRPr="00825EEB">
        <w:rPr>
          <w:rFonts w:ascii="Sylfaen" w:hAnsi="Sylfaen"/>
          <w:i/>
          <w:sz w:val="24"/>
          <w:szCs w:val="24"/>
        </w:rPr>
        <w:t>2.1.4.14</w:t>
      </w:r>
      <w:r w:rsidRPr="00825EEB">
        <w:rPr>
          <w:rFonts w:ascii="Sylfaen" w:hAnsi="Sylfaen"/>
          <w:sz w:val="24"/>
          <w:szCs w:val="24"/>
        </w:rPr>
        <w:t>)։ 0,5 %-ից ոչ ավելի:</w:t>
      </w:r>
    </w:p>
    <w:p w14:paraId="63E35DAF" w14:textId="77777777" w:rsidR="00D35F34" w:rsidRDefault="0058052E" w:rsidP="0058052E">
      <w:pPr>
        <w:spacing w:after="160" w:line="360" w:lineRule="auto"/>
        <w:ind w:firstLine="567"/>
        <w:jc w:val="both"/>
      </w:pPr>
      <w:r w:rsidRPr="00825EEB">
        <w:t>Որոշումն անցկացնում են փորձարկվող նմուշի 1,0 գ-ի օգտագործմամբ:</w:t>
      </w:r>
    </w:p>
    <w:p w14:paraId="248DF332" w14:textId="77777777" w:rsidR="00D35F34" w:rsidRDefault="00D35F34">
      <w:r>
        <w:br w:type="page"/>
      </w:r>
    </w:p>
    <w:p w14:paraId="74B778DD" w14:textId="77777777" w:rsidR="00AF2D51" w:rsidRPr="00394A09" w:rsidRDefault="00AF2D51" w:rsidP="00AF2D51">
      <w:pPr>
        <w:spacing w:after="160" w:line="360" w:lineRule="auto"/>
        <w:jc w:val="center"/>
        <w:rPr>
          <w:b/>
        </w:rPr>
      </w:pPr>
      <w:r w:rsidRPr="00394A09">
        <w:rPr>
          <w:b/>
        </w:rPr>
        <w:lastRenderedPageBreak/>
        <w:t>2.4.2. ՓԱԹԵԹՎԱԾՔԸ</w:t>
      </w:r>
    </w:p>
    <w:p w14:paraId="3DA49CDD" w14:textId="77777777" w:rsidR="00AF2D51" w:rsidRPr="00AF2D51" w:rsidRDefault="00AF2D51" w:rsidP="00AF2D51">
      <w:pPr>
        <w:pStyle w:val="a0"/>
        <w:shd w:val="clear" w:color="auto" w:fill="auto"/>
        <w:spacing w:after="160" w:line="360" w:lineRule="auto"/>
        <w:ind w:firstLine="567"/>
        <w:jc w:val="right"/>
        <w:rPr>
          <w:rFonts w:ascii="Sylfaen" w:hAnsi="Sylfaen"/>
          <w:b/>
          <w:color w:val="000000"/>
          <w:szCs w:val="24"/>
        </w:rPr>
      </w:pPr>
      <w:r w:rsidRPr="00394A09">
        <w:rPr>
          <w:rFonts w:ascii="Sylfaen" w:hAnsi="Sylfaen"/>
          <w:b/>
          <w:color w:val="000000"/>
          <w:szCs w:val="24"/>
        </w:rPr>
        <w:t>204020001-2022</w:t>
      </w:r>
    </w:p>
    <w:p w14:paraId="6F229762" w14:textId="77777777" w:rsidR="00AF2D51" w:rsidRPr="00AF2D51" w:rsidRDefault="00AF2D51" w:rsidP="00AF2D51">
      <w:pPr>
        <w:pStyle w:val="a0"/>
        <w:shd w:val="clear" w:color="auto" w:fill="auto"/>
        <w:spacing w:after="160" w:line="360" w:lineRule="auto"/>
        <w:ind w:firstLine="567"/>
        <w:jc w:val="right"/>
        <w:rPr>
          <w:rFonts w:ascii="Sylfaen" w:hAnsi="Sylfaen" w:cs="Sylfaen"/>
          <w:szCs w:val="24"/>
        </w:rPr>
      </w:pPr>
    </w:p>
    <w:p w14:paraId="1D168749" w14:textId="77777777" w:rsidR="00AF2D51" w:rsidRPr="00394A09" w:rsidRDefault="00AF2D51" w:rsidP="00AF2D51">
      <w:pPr>
        <w:pStyle w:val="a0"/>
        <w:shd w:val="clear" w:color="auto" w:fill="auto"/>
        <w:tabs>
          <w:tab w:val="left" w:pos="1701"/>
        </w:tabs>
        <w:spacing w:after="160" w:line="360" w:lineRule="auto"/>
        <w:ind w:firstLine="567"/>
        <w:jc w:val="both"/>
        <w:rPr>
          <w:rFonts w:ascii="Sylfaen" w:hAnsi="Sylfaen" w:cs="Sylfaen"/>
          <w:sz w:val="24"/>
          <w:szCs w:val="24"/>
        </w:rPr>
      </w:pPr>
      <w:r w:rsidRPr="00394A09">
        <w:rPr>
          <w:rFonts w:ascii="Sylfaen" w:hAnsi="Sylfaen"/>
          <w:b/>
          <w:color w:val="000000"/>
          <w:sz w:val="24"/>
          <w:szCs w:val="24"/>
        </w:rPr>
        <w:t>2.4.2.1.</w:t>
      </w:r>
      <w:r w:rsidRPr="00AF2D51">
        <w:rPr>
          <w:rFonts w:ascii="Sylfaen" w:hAnsi="Sylfaen"/>
          <w:b/>
          <w:color w:val="000000"/>
          <w:sz w:val="24"/>
          <w:szCs w:val="24"/>
        </w:rPr>
        <w:tab/>
      </w:r>
      <w:r w:rsidRPr="00394A09">
        <w:rPr>
          <w:rFonts w:ascii="Sylfaen" w:hAnsi="Sylfaen"/>
          <w:b/>
          <w:color w:val="000000"/>
          <w:sz w:val="24"/>
          <w:szCs w:val="24"/>
        </w:rPr>
        <w:t>Դեղամիջոցների փաթեթվածքը</w:t>
      </w:r>
    </w:p>
    <w:p w14:paraId="0450B89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Սույն ընդհանուր դեղագրքային հոդվածը սահմանում է դեղագործական կիրառման սուբստանցիաների </w:t>
      </w:r>
      <w:r>
        <w:rPr>
          <w:rFonts w:ascii="Sylfaen" w:hAnsi="Sylfaen"/>
          <w:color w:val="000000"/>
          <w:sz w:val="24"/>
          <w:szCs w:val="24"/>
        </w:rPr>
        <w:t>եւ</w:t>
      </w:r>
      <w:r w:rsidRPr="00394A09">
        <w:rPr>
          <w:rFonts w:ascii="Sylfaen" w:hAnsi="Sylfaen"/>
          <w:color w:val="000000"/>
          <w:sz w:val="24"/>
          <w:szCs w:val="24"/>
        </w:rPr>
        <w:t xml:space="preserve"> բժշկական կիրառման դեղապատրաստուկների փաթեթվածքին ներկայացվող ընդհանուր պահանջները:</w:t>
      </w:r>
    </w:p>
    <w:p w14:paraId="27C62DC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Փաթեթվածք՝</w:t>
      </w:r>
      <w:r w:rsidRPr="00394A09">
        <w:rPr>
          <w:rFonts w:ascii="Sylfaen" w:hAnsi="Sylfaen"/>
          <w:sz w:val="24"/>
          <w:szCs w:val="24"/>
        </w:rPr>
        <w:t xml:space="preserve"> նյութ կամ սարքվածք, որով երաշխավորվում է բժշկական կիրառման համար նախատեսված դեղամիջոցի որակի պահպանումը պիտանիության (պահման) սահմանված ժամկետի ընթացքում, ապահովվում դրանց պաշտպանությունը վնասվելուց </w:t>
      </w:r>
      <w:r>
        <w:rPr>
          <w:rFonts w:ascii="Sylfaen" w:hAnsi="Sylfaen"/>
          <w:sz w:val="24"/>
          <w:szCs w:val="24"/>
        </w:rPr>
        <w:t>եւ</w:t>
      </w:r>
      <w:r w:rsidRPr="00394A09">
        <w:rPr>
          <w:rFonts w:ascii="Sylfaen" w:hAnsi="Sylfaen"/>
          <w:sz w:val="24"/>
          <w:szCs w:val="24"/>
        </w:rPr>
        <w:t xml:space="preserve"> կորուստներից, ինչպես նա</w:t>
      </w:r>
      <w:r>
        <w:rPr>
          <w:rFonts w:ascii="Sylfaen" w:hAnsi="Sylfaen"/>
          <w:sz w:val="24"/>
          <w:szCs w:val="24"/>
        </w:rPr>
        <w:t>եւ</w:t>
      </w:r>
      <w:r w:rsidRPr="00394A09">
        <w:rPr>
          <w:rFonts w:ascii="Sylfaen" w:hAnsi="Sylfaen"/>
          <w:sz w:val="24"/>
          <w:szCs w:val="24"/>
        </w:rPr>
        <w:t xml:space="preserve"> շրջակա միջավայրի պաշտպանությունը՝ աղտոտումներից:</w:t>
      </w:r>
    </w:p>
    <w:p w14:paraId="78D6281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Կախված դեղամիջոցի հետ անմիջական շփումից՝ առանձնացնում են առաջնային </w:t>
      </w:r>
      <w:r>
        <w:rPr>
          <w:rFonts w:ascii="Sylfaen" w:hAnsi="Sylfaen"/>
          <w:color w:val="000000"/>
          <w:sz w:val="24"/>
          <w:szCs w:val="24"/>
        </w:rPr>
        <w:t>եւ</w:t>
      </w:r>
      <w:r w:rsidRPr="00394A09">
        <w:rPr>
          <w:rFonts w:ascii="Sylfaen" w:hAnsi="Sylfaen"/>
          <w:color w:val="000000"/>
          <w:sz w:val="24"/>
          <w:szCs w:val="24"/>
        </w:rPr>
        <w:t xml:space="preserve"> երկրորդային փաթեթվածքը:</w:t>
      </w:r>
    </w:p>
    <w:p w14:paraId="4ACCF889" w14:textId="77777777" w:rsidR="00AF2D51" w:rsidRPr="00394A09" w:rsidRDefault="00AF2D51" w:rsidP="00AF2D51">
      <w:pPr>
        <w:pStyle w:val="a0"/>
        <w:shd w:val="clear" w:color="auto" w:fill="auto"/>
        <w:spacing w:after="160" w:line="360" w:lineRule="auto"/>
        <w:ind w:firstLine="567"/>
        <w:jc w:val="both"/>
        <w:rPr>
          <w:rFonts w:ascii="Sylfaen" w:hAnsi="Sylfaen" w:cs="Sylfaen"/>
          <w:i/>
          <w:iCs/>
          <w:color w:val="000000"/>
          <w:sz w:val="24"/>
          <w:szCs w:val="24"/>
        </w:rPr>
      </w:pPr>
      <w:r w:rsidRPr="00394A09">
        <w:rPr>
          <w:rFonts w:ascii="Sylfaen" w:hAnsi="Sylfaen"/>
          <w:i/>
          <w:color w:val="000000"/>
          <w:sz w:val="24"/>
          <w:szCs w:val="24"/>
        </w:rPr>
        <w:t>Ծանոթագրություն.</w:t>
      </w:r>
      <w:r w:rsidRPr="00394A09">
        <w:rPr>
          <w:rFonts w:ascii="Sylfaen" w:hAnsi="Sylfaen"/>
          <w:color w:val="000000"/>
          <w:sz w:val="24"/>
          <w:szCs w:val="24"/>
        </w:rPr>
        <w:t xml:space="preserve"> Սույն ընդհանուր դեղագրքային հոդվածում օգտագործվող այլ եզրույթներ ու սահմանումներ տեղ են գտել </w:t>
      </w:r>
      <w:r w:rsidRPr="00394A09">
        <w:rPr>
          <w:rFonts w:ascii="Sylfaen" w:hAnsi="Sylfaen"/>
          <w:i/>
          <w:color w:val="000000"/>
          <w:sz w:val="24"/>
          <w:szCs w:val="24"/>
        </w:rPr>
        <w:t xml:space="preserve">2.1.7.1. Նմուշներ վերցնելը </w:t>
      </w:r>
      <w:r w:rsidRPr="00394A09">
        <w:rPr>
          <w:rFonts w:ascii="Sylfaen" w:hAnsi="Sylfaen"/>
          <w:color w:val="000000"/>
          <w:sz w:val="24"/>
          <w:szCs w:val="24"/>
        </w:rPr>
        <w:t>ընդհանուր դեղագրքային հոդվածում։</w:t>
      </w:r>
    </w:p>
    <w:p w14:paraId="3467751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0004AF1C"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ՓԱԹԵԹՎԱԾՔԻ ԴԱՍԱԿԱՐԳՈՒՄԸ</w:t>
      </w:r>
    </w:p>
    <w:p w14:paraId="4EBE62EB" w14:textId="77777777" w:rsidR="00AF2D51" w:rsidRPr="00394A09" w:rsidRDefault="00AF2D51" w:rsidP="00AF2D51">
      <w:pPr>
        <w:pStyle w:val="a0"/>
        <w:shd w:val="clear" w:color="auto" w:fill="auto"/>
        <w:spacing w:after="160" w:line="360" w:lineRule="auto"/>
        <w:ind w:firstLine="567"/>
        <w:jc w:val="both"/>
        <w:rPr>
          <w:rFonts w:ascii="Sylfaen" w:hAnsi="Sylfaen" w:cs="Sylfaen"/>
          <w:color w:val="000000"/>
          <w:sz w:val="24"/>
          <w:szCs w:val="24"/>
        </w:rPr>
      </w:pPr>
      <w:r w:rsidRPr="00394A09">
        <w:rPr>
          <w:rFonts w:ascii="Sylfaen" w:hAnsi="Sylfaen"/>
          <w:sz w:val="24"/>
          <w:szCs w:val="24"/>
        </w:rPr>
        <w:t xml:space="preserve">Դեղամիջոցների փաթեթվածքը կազմող միջոցների համալիրին, այսինքն՝ փաթեթվածքի տարրերին են դասում տարաները, խցանափակման միջոցները, լրակազմող միջոցները </w:t>
      </w:r>
      <w:r>
        <w:rPr>
          <w:rFonts w:ascii="Sylfaen" w:hAnsi="Sylfaen"/>
          <w:sz w:val="24"/>
          <w:szCs w:val="24"/>
        </w:rPr>
        <w:t>եւ</w:t>
      </w:r>
      <w:r w:rsidRPr="00394A09">
        <w:rPr>
          <w:rFonts w:ascii="Sylfaen" w:hAnsi="Sylfaen"/>
          <w:sz w:val="24"/>
          <w:szCs w:val="24"/>
        </w:rPr>
        <w:t xml:space="preserve"> փաթեթվածքի այլ օժանդակ, լրացուցիչ տարրեր, որոնք կանոնակարգված են մասնավոր դեղագրքային հոդվածի կամ կոնկրետ դեղամիջոցի որակի վերաբերյալ նորմատիվ փաստաթղթի պահանջներով:</w:t>
      </w:r>
    </w:p>
    <w:p w14:paraId="78E5AF7B" w14:textId="77777777" w:rsidR="001827DA" w:rsidRDefault="001827DA">
      <w:pPr>
        <w:rPr>
          <w:rFonts w:eastAsia="Times New Roman" w:cs="Times New Roman"/>
          <w:b/>
        </w:rPr>
      </w:pPr>
      <w:r>
        <w:rPr>
          <w:b/>
        </w:rPr>
        <w:br w:type="page"/>
      </w:r>
    </w:p>
    <w:p w14:paraId="1E89EEC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lastRenderedPageBreak/>
        <w:t>ԸՍՏ ՊԱՇՏՊԱՆՈՒԹՅԱՆ ԱՍՏԻՃԱՆԻ</w:t>
      </w:r>
    </w:p>
    <w:p w14:paraId="2C9A341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Փաթեթվածքը կարող է ունենալ դեղամիջոցի պաշտպանության մի քանի շերտեր:</w:t>
      </w:r>
    </w:p>
    <w:p w14:paraId="32CE24FC"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i/>
          <w:color w:val="000000"/>
          <w:sz w:val="24"/>
          <w:szCs w:val="24"/>
        </w:rPr>
        <w:t>Առաջնային (ներքին) փաթեթվածքի</w:t>
      </w:r>
      <w:r w:rsidRPr="00394A09">
        <w:rPr>
          <w:rFonts w:ascii="Sylfaen" w:hAnsi="Sylfaen"/>
          <w:color w:val="000000"/>
          <w:sz w:val="24"/>
          <w:szCs w:val="24"/>
        </w:rPr>
        <w:t xml:space="preserve"> տարրերն անմիջական ֆիզիկական շփման մեջ են գտնվում դեղամիջոցի հետ </w:t>
      </w:r>
      <w:r>
        <w:rPr>
          <w:rFonts w:ascii="Sylfaen" w:hAnsi="Sylfaen"/>
          <w:color w:val="000000"/>
          <w:sz w:val="24"/>
          <w:szCs w:val="24"/>
        </w:rPr>
        <w:t>եւ</w:t>
      </w:r>
      <w:r w:rsidRPr="00394A09">
        <w:rPr>
          <w:rFonts w:ascii="Sylfaen" w:hAnsi="Sylfaen"/>
          <w:color w:val="000000"/>
          <w:sz w:val="24"/>
          <w:szCs w:val="24"/>
        </w:rPr>
        <w:t xml:space="preserve"> ապահովում են դրա պաշտպանությունը դեղամիջոցի շրջանառության ընթացքում շրջակա միջավայրի ազդեցությունից: Որոշ դեպքերում առաջնային փաթեթվածքը դեղամիջոցի առաքման մասնագիտացված համակարգ է, օրինակ՝ աերոզոլ կամ դեղաչափող սարքվածք, որը հարմարեցված է դեղամիջոցի մեկ դեղաչափի բացթողման համար: </w:t>
      </w:r>
    </w:p>
    <w:p w14:paraId="296DB954"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i/>
          <w:color w:val="000000"/>
          <w:sz w:val="24"/>
          <w:szCs w:val="24"/>
        </w:rPr>
        <w:t>Երկրորդային (արտաքին) փաթեթվածքի</w:t>
      </w:r>
      <w:r w:rsidRPr="00394A09">
        <w:rPr>
          <w:rFonts w:ascii="Sylfaen" w:hAnsi="Sylfaen"/>
          <w:color w:val="000000"/>
          <w:sz w:val="24"/>
          <w:szCs w:val="24"/>
        </w:rPr>
        <w:t xml:space="preserve"> տարրերն անմիջական շփման մեջ չեն մտնում դեղամիջոցի հետ, սակայն ապահովում են անհրաժեշտ պաշտպանությունը՝ կայունությունը պահպանելու նպատակով: Երկրորդային փաթեթվածքը պարունակում է առաջնային փաթեթվածքի մեկ կամ մի քանի միավորներ, սահմանված դեպքերում այն կարող է պարունակել լրակազմող միջոցներ (չափիչ բաժակներ, գլխադիրներ, ամպուլային դանակ, կախելու սարքվածք </w:t>
      </w:r>
      <w:r>
        <w:rPr>
          <w:rFonts w:ascii="Sylfaen" w:hAnsi="Sylfaen"/>
          <w:color w:val="000000"/>
          <w:sz w:val="24"/>
          <w:szCs w:val="24"/>
        </w:rPr>
        <w:t>եւ</w:t>
      </w:r>
      <w:r w:rsidRPr="00394A09">
        <w:rPr>
          <w:rFonts w:ascii="Sylfaen" w:hAnsi="Sylfaen"/>
          <w:color w:val="000000"/>
          <w:sz w:val="24"/>
          <w:szCs w:val="24"/>
        </w:rPr>
        <w:t xml:space="preserve"> այլն): Ըստ նշանակության կիրառելու համար անհրաժեշտ տեղեկատվությունը պարունակող երկրորդային փաթեթվածքը </w:t>
      </w:r>
      <w:r w:rsidRPr="00394A09">
        <w:rPr>
          <w:rFonts w:ascii="Sylfaen" w:hAnsi="Sylfaen"/>
          <w:i/>
          <w:color w:val="000000"/>
          <w:sz w:val="24"/>
          <w:szCs w:val="24"/>
        </w:rPr>
        <w:t>սպառողական փաթեթվածքն</w:t>
      </w:r>
      <w:r w:rsidRPr="00394A09">
        <w:rPr>
          <w:rFonts w:ascii="Sylfaen" w:hAnsi="Sylfaen"/>
          <w:color w:val="000000"/>
          <w:sz w:val="24"/>
          <w:szCs w:val="24"/>
        </w:rPr>
        <w:t xml:space="preserve"> </w:t>
      </w:r>
      <w:r w:rsidRPr="00394A09">
        <w:rPr>
          <w:rFonts w:ascii="Sylfaen" w:hAnsi="Sylfaen"/>
          <w:i/>
          <w:color w:val="000000"/>
          <w:sz w:val="24"/>
          <w:szCs w:val="24"/>
        </w:rPr>
        <w:t>է</w:t>
      </w:r>
      <w:r w:rsidRPr="00394A09">
        <w:rPr>
          <w:rFonts w:ascii="Sylfaen" w:hAnsi="Sylfaen"/>
          <w:color w:val="000000"/>
          <w:sz w:val="24"/>
          <w:szCs w:val="24"/>
        </w:rPr>
        <w:t>:</w:t>
      </w:r>
    </w:p>
    <w:p w14:paraId="716BA6ED"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t xml:space="preserve">Դեղապատրաստուկի լրացուցիչ պաշտպանության համար կամ ելնելով դրա կիրառման առանձնահատկություններից՝ առաջնային փաթեթվածքը կարող է տեղադրվել </w:t>
      </w:r>
      <w:r w:rsidRPr="00394A09">
        <w:rPr>
          <w:rFonts w:ascii="Sylfaen" w:hAnsi="Sylfaen"/>
          <w:i/>
          <w:color w:val="000000"/>
          <w:sz w:val="24"/>
          <w:szCs w:val="24"/>
        </w:rPr>
        <w:t>միջանկյալ փաթեթվածքի</w:t>
      </w:r>
      <w:r w:rsidRPr="00394A09">
        <w:rPr>
          <w:rFonts w:ascii="Sylfaen" w:hAnsi="Sylfaen"/>
          <w:color w:val="000000"/>
          <w:sz w:val="24"/>
          <w:szCs w:val="24"/>
        </w:rPr>
        <w:t xml:space="preserve"> մեջ:</w:t>
      </w:r>
    </w:p>
    <w:p w14:paraId="49EFC304"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t xml:space="preserve">Երկրորդային (սպառողական) փաթեթվածքով դեղամիջոցները կարող են տեղադրվել </w:t>
      </w:r>
      <w:r w:rsidRPr="00394A09">
        <w:rPr>
          <w:rFonts w:ascii="Sylfaen" w:hAnsi="Sylfaen"/>
          <w:i/>
          <w:color w:val="000000"/>
          <w:sz w:val="24"/>
          <w:szCs w:val="24"/>
        </w:rPr>
        <w:t>խմբային (միավորված) փաթեթվածքի</w:t>
      </w:r>
      <w:r w:rsidRPr="00394A09">
        <w:rPr>
          <w:rFonts w:ascii="Sylfaen" w:hAnsi="Sylfaen"/>
          <w:color w:val="000000"/>
          <w:sz w:val="24"/>
          <w:szCs w:val="24"/>
        </w:rPr>
        <w:t xml:space="preserve"> մեջ, որը, որպես կանոն, ստվարաթղթե տուփ կամ կիտուկ է՝ որակի վերաբերյալ նորմատիվ փաստաթղթի ցուցումներին համապատասխան՝ կիտուկը թղթով կամ ջերմակծկումային թաղանթով հետագա փաթաթմամբ: Անհրաժեշտության դեպքում խմբային փաթեթվածքը կարող է սոսնձվել կամ շրջակապվել՝ փաթեթվածքի ամրությունն ապահովող՝ փաթեթավորման </w:t>
      </w:r>
      <w:r>
        <w:rPr>
          <w:rFonts w:ascii="Sylfaen" w:hAnsi="Sylfaen"/>
          <w:color w:val="000000"/>
          <w:sz w:val="24"/>
          <w:szCs w:val="24"/>
        </w:rPr>
        <w:t>եւ</w:t>
      </w:r>
      <w:r w:rsidRPr="00394A09">
        <w:rPr>
          <w:rFonts w:ascii="Sylfaen" w:hAnsi="Sylfaen"/>
          <w:color w:val="000000"/>
          <w:sz w:val="24"/>
          <w:szCs w:val="24"/>
        </w:rPr>
        <w:t xml:space="preserve"> շրջակապման օժանդակ միջոցների օգտագործմամբ:</w:t>
      </w:r>
    </w:p>
    <w:p w14:paraId="0E19401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Դեղապատրաստուկները միայն բուժական կանխարգելիչ հաստատություններում իրացնելու դեպքում թույլատրվում է օգտագործել </w:t>
      </w:r>
      <w:r w:rsidRPr="00394A09">
        <w:rPr>
          <w:rFonts w:ascii="Sylfaen" w:hAnsi="Sylfaen"/>
          <w:i/>
          <w:color w:val="000000"/>
          <w:sz w:val="24"/>
          <w:szCs w:val="24"/>
        </w:rPr>
        <w:t>«ստացիոնարների համար»</w:t>
      </w:r>
      <w:r w:rsidRPr="00394A09">
        <w:rPr>
          <w:rFonts w:ascii="Sylfaen" w:hAnsi="Sylfaen"/>
          <w:color w:val="000000"/>
          <w:sz w:val="24"/>
          <w:szCs w:val="24"/>
        </w:rPr>
        <w:t xml:space="preserve"> փաթեթվածքը, որը միավորում է առաջնային փաթեթվածքում դեղապատրաստուկների սահմանված քանակը, որոնք տեղադրված են խմբային փաթեթվածքի մեջ՝ որակի վերաբերյալ նորմատիվ փաստաթղթի ցուցումներին համապատասխան:</w:t>
      </w:r>
    </w:p>
    <w:p w14:paraId="79BD028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Ցանկացած ձ</w:t>
      </w:r>
      <w:r>
        <w:rPr>
          <w:rFonts w:ascii="Sylfaen" w:hAnsi="Sylfaen"/>
          <w:color w:val="000000"/>
          <w:sz w:val="24"/>
          <w:szCs w:val="24"/>
        </w:rPr>
        <w:t>եւ</w:t>
      </w:r>
      <w:r w:rsidRPr="00394A09">
        <w:rPr>
          <w:rFonts w:ascii="Sylfaen" w:hAnsi="Sylfaen"/>
          <w:color w:val="000000"/>
          <w:sz w:val="24"/>
          <w:szCs w:val="24"/>
        </w:rPr>
        <w:t xml:space="preserve">ի խմբային փաթեթվածքի յուրաքանչյուր </w:t>
      </w:r>
      <w:r w:rsidRPr="00394A09">
        <w:rPr>
          <w:rFonts w:ascii="Sylfaen" w:hAnsi="Sylfaen"/>
          <w:i/>
          <w:color w:val="000000"/>
          <w:sz w:val="24"/>
          <w:szCs w:val="24"/>
        </w:rPr>
        <w:t>փաթեթավորման միավոր</w:t>
      </w:r>
      <w:r w:rsidRPr="00394A09">
        <w:rPr>
          <w:rFonts w:ascii="Sylfaen" w:hAnsi="Sylfaen"/>
          <w:color w:val="000000"/>
          <w:sz w:val="24"/>
          <w:szCs w:val="24"/>
        </w:rPr>
        <w:t xml:space="preserve"> պետք է ունենա պիտակ կամ դրա վրա պետք է փակցված լինի ծանրոցային ժապավեն՝ վրան զետեղված մականշվածքով: Խմբային փաթեթվածքը սոսնձելիս կամ շրջակապելիս կապերի ծայրերը պետք է փակված լինեն սոսնձված պիտակով, որով ապահովվում է դրա բացվելու նկատմամբ հսկողությունը:</w:t>
      </w:r>
    </w:p>
    <w:p w14:paraId="6315FFA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Սպառողական կամ խմբային փաթեթվածքում գտնվող դեղամիջոցները փոխադրելիս դրանք տեղադրում են </w:t>
      </w:r>
      <w:r w:rsidRPr="00394A09">
        <w:rPr>
          <w:rFonts w:ascii="Sylfaen" w:hAnsi="Sylfaen"/>
          <w:i/>
          <w:color w:val="000000"/>
          <w:sz w:val="24"/>
          <w:szCs w:val="24"/>
        </w:rPr>
        <w:t>տրանսպորտային փաթեթվածքի</w:t>
      </w:r>
      <w:r w:rsidRPr="00394A09">
        <w:rPr>
          <w:rFonts w:ascii="Sylfaen" w:hAnsi="Sylfaen"/>
          <w:color w:val="000000"/>
          <w:sz w:val="24"/>
          <w:szCs w:val="24"/>
        </w:rPr>
        <w:t xml:space="preserve"> մեջ, որը նախատեսված է դեղամիջոցների պահման </w:t>
      </w:r>
      <w:r>
        <w:rPr>
          <w:rFonts w:ascii="Sylfaen" w:hAnsi="Sylfaen"/>
          <w:color w:val="000000"/>
          <w:sz w:val="24"/>
          <w:szCs w:val="24"/>
        </w:rPr>
        <w:t>եւ</w:t>
      </w:r>
      <w:r w:rsidRPr="00394A09">
        <w:rPr>
          <w:rFonts w:ascii="Sylfaen" w:hAnsi="Sylfaen"/>
          <w:color w:val="000000"/>
          <w:sz w:val="24"/>
          <w:szCs w:val="24"/>
        </w:rPr>
        <w:t xml:space="preserve"> տրանսպորտային փոխադրման </w:t>
      </w:r>
      <w:r w:rsidRPr="00394A09">
        <w:rPr>
          <w:rFonts w:ascii="Sylfaen" w:hAnsi="Sylfaen"/>
          <w:color w:val="000000"/>
          <w:spacing w:val="-4"/>
          <w:sz w:val="24"/>
          <w:szCs w:val="24"/>
        </w:rPr>
        <w:t>համար՝ տեղափոխման ընթացքում դրանք վնասվելուց պաշտպանելու համար: Սահմանված դեպքերում խմբային փաթեթվածքով դեղամիջոցները թույլատրվում է փոխադրել</w:t>
      </w:r>
      <w:r w:rsidRPr="00394A09">
        <w:rPr>
          <w:rFonts w:ascii="Sylfaen" w:hAnsi="Sylfaen"/>
          <w:color w:val="000000"/>
          <w:sz w:val="24"/>
          <w:szCs w:val="24"/>
        </w:rPr>
        <w:t xml:space="preserve"> </w:t>
      </w:r>
      <w:r w:rsidRPr="00394A09">
        <w:rPr>
          <w:rFonts w:ascii="Sylfaen" w:hAnsi="Sylfaen"/>
          <w:i/>
          <w:color w:val="000000"/>
          <w:sz w:val="24"/>
          <w:szCs w:val="24"/>
        </w:rPr>
        <w:t>բեռնատար կոնտեյներների</w:t>
      </w:r>
      <w:r w:rsidRPr="00394A09">
        <w:rPr>
          <w:rFonts w:ascii="Sylfaen" w:hAnsi="Sylfaen"/>
          <w:color w:val="000000"/>
          <w:sz w:val="24"/>
          <w:szCs w:val="24"/>
        </w:rPr>
        <w:t xml:space="preserve"> մեջ՝ առանց տրանսպորտային փաթեթվածքի մեջ տեղադրելու:</w:t>
      </w:r>
    </w:p>
    <w:p w14:paraId="5DFCAB90" w14:textId="77777777" w:rsidR="00AF2D51" w:rsidRPr="00394A09" w:rsidRDefault="00AF2D51" w:rsidP="00AF2D51">
      <w:pPr>
        <w:pStyle w:val="a0"/>
        <w:shd w:val="clear" w:color="auto" w:fill="auto"/>
        <w:spacing w:after="160" w:line="360" w:lineRule="auto"/>
        <w:ind w:firstLine="567"/>
        <w:rPr>
          <w:rFonts w:ascii="Sylfaen" w:hAnsi="Sylfaen"/>
          <w:b/>
          <w:color w:val="000000"/>
          <w:sz w:val="24"/>
          <w:szCs w:val="24"/>
        </w:rPr>
      </w:pPr>
    </w:p>
    <w:p w14:paraId="414E989E"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Ըստ բացվելուց պաշտպանության</w:t>
      </w:r>
    </w:p>
    <w:p w14:paraId="7F41AF0D" w14:textId="77777777" w:rsidR="00AF2D51" w:rsidRPr="00AF2D51"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i/>
          <w:sz w:val="24"/>
          <w:szCs w:val="24"/>
        </w:rPr>
        <w:t>Չարտոնված բացումից պաշտպանված փաթեթվածք (առաջին բացման հսկողությամբ փաթեթվածք)՝</w:t>
      </w:r>
      <w:r w:rsidRPr="00394A09">
        <w:rPr>
          <w:rFonts w:ascii="Sylfaen" w:hAnsi="Sylfaen"/>
          <w:sz w:val="24"/>
          <w:szCs w:val="24"/>
        </w:rPr>
        <w:t xml:space="preserve"> փաթեթվածք, որը նախատեսում է դրա պարունակության օգտագործման անհնարինություն՝ առանց փաթեթվածքի հատուկ տարրի ակնհայտ խախտման, որն առաջին անգամ բացելուց անդառնալիորեն փոխվում է, ինչը թույլ է տալիս տեսնել փաթեթվածքի ամբողջականության ցանկացած խախտման նշան:</w:t>
      </w:r>
    </w:p>
    <w:p w14:paraId="15E574C5"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1EBD648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Երեխաների կողմից բացվելուց պաշտպանված փաթեթվածք՝</w:t>
      </w:r>
      <w:r w:rsidRPr="00394A09">
        <w:rPr>
          <w:rFonts w:ascii="Sylfaen" w:hAnsi="Sylfaen"/>
          <w:sz w:val="24"/>
          <w:szCs w:val="24"/>
        </w:rPr>
        <w:t xml:space="preserve"> փոքրահասակ երեխաների համար դժվար բացվող փաթեթվածք, որը, այդուհանդերձ, կարող են օգտագործել մեծահասակները:</w:t>
      </w:r>
    </w:p>
    <w:p w14:paraId="62C6B3BC" w14:textId="77777777" w:rsidR="00AF2D51" w:rsidRPr="00394A09" w:rsidRDefault="00AF2D51" w:rsidP="00AF2D51">
      <w:pPr>
        <w:pStyle w:val="a0"/>
        <w:shd w:val="clear" w:color="auto" w:fill="auto"/>
        <w:spacing w:after="160" w:line="360" w:lineRule="auto"/>
        <w:ind w:firstLine="567"/>
        <w:rPr>
          <w:rFonts w:ascii="Sylfaen" w:hAnsi="Sylfaen"/>
          <w:b/>
          <w:color w:val="000000"/>
          <w:sz w:val="24"/>
          <w:szCs w:val="24"/>
        </w:rPr>
      </w:pPr>
    </w:p>
    <w:p w14:paraId="7BEA1693"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Ըստ արտաքին ազդեցության գործոններից պաշտպանության</w:t>
      </w:r>
    </w:p>
    <w:p w14:paraId="5E70F91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Լավ խցանափակված փաթեթվածք՝</w:t>
      </w:r>
      <w:r w:rsidRPr="00394A09">
        <w:rPr>
          <w:rFonts w:ascii="Sylfaen" w:hAnsi="Sylfaen"/>
          <w:sz w:val="24"/>
          <w:szCs w:val="24"/>
        </w:rPr>
        <w:t xml:space="preserve"> փաթեթվածք, որն ապահովում է պարունակության պաշտպանությունը պինդ </w:t>
      </w:r>
      <w:r>
        <w:rPr>
          <w:rFonts w:ascii="Sylfaen" w:hAnsi="Sylfaen"/>
          <w:sz w:val="24"/>
          <w:szCs w:val="24"/>
        </w:rPr>
        <w:t>եւ</w:t>
      </w:r>
      <w:r w:rsidRPr="00394A09">
        <w:rPr>
          <w:rFonts w:ascii="Sylfaen" w:hAnsi="Sylfaen"/>
          <w:sz w:val="24"/>
          <w:szCs w:val="24"/>
        </w:rPr>
        <w:t xml:space="preserve"> հեղուկ կողմնակի նյութերի դրսից ներթափանցումից </w:t>
      </w:r>
      <w:r>
        <w:rPr>
          <w:rFonts w:ascii="Sylfaen" w:hAnsi="Sylfaen"/>
          <w:sz w:val="24"/>
          <w:szCs w:val="24"/>
        </w:rPr>
        <w:t>եւ</w:t>
      </w:r>
      <w:r w:rsidRPr="00394A09">
        <w:rPr>
          <w:rFonts w:ascii="Sylfaen" w:hAnsi="Sylfaen"/>
          <w:sz w:val="24"/>
          <w:szCs w:val="24"/>
        </w:rPr>
        <w:t xml:space="preserve"> (կամ) պահման, փոխադրման </w:t>
      </w:r>
      <w:r>
        <w:rPr>
          <w:rFonts w:ascii="Sylfaen" w:hAnsi="Sylfaen"/>
          <w:sz w:val="24"/>
          <w:szCs w:val="24"/>
        </w:rPr>
        <w:t>եւ</w:t>
      </w:r>
      <w:r w:rsidRPr="00394A09">
        <w:rPr>
          <w:rFonts w:ascii="Sylfaen" w:hAnsi="Sylfaen"/>
          <w:sz w:val="24"/>
          <w:szCs w:val="24"/>
        </w:rPr>
        <w:t xml:space="preserve"> իրացման սովորական պայմաններում պարունակության կորստից:</w:t>
      </w:r>
    </w:p>
    <w:p w14:paraId="2F10D294"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r w:rsidRPr="00394A09">
        <w:rPr>
          <w:rFonts w:ascii="Sylfaen" w:hAnsi="Sylfaen"/>
          <w:color w:val="000000"/>
          <w:szCs w:val="24"/>
        </w:rPr>
        <w:t xml:space="preserve"> Տվյալ համատեքստի համար սովորական են համարվում սենքում 65 տոկոսից ոչ ավելի հարաբերական խոնավության եւ (15-25) °С կամ կլիմայական գոտուց կախված՝ մինչեւ 30 °С ջերմաստիճանում պահման պայմանները՝ բացառելով կողմնակի հոտերը, աղտոտման աղբյուրները եւ ինտենսիվ լուսավորությունը:</w:t>
      </w:r>
    </w:p>
    <w:p w14:paraId="336B4ED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Կիպ խցանափակված փաթեթվածք՝</w:t>
      </w:r>
      <w:r w:rsidRPr="00394A09">
        <w:rPr>
          <w:rFonts w:ascii="Sylfaen" w:hAnsi="Sylfaen"/>
          <w:sz w:val="24"/>
          <w:szCs w:val="24"/>
        </w:rPr>
        <w:t xml:space="preserve"> փաթեթվածք, որն ապահովում է պարունակության պաշտպանությունը պինդ, հեղուկ </w:t>
      </w:r>
      <w:r>
        <w:rPr>
          <w:rFonts w:ascii="Sylfaen" w:hAnsi="Sylfaen"/>
          <w:sz w:val="24"/>
          <w:szCs w:val="24"/>
        </w:rPr>
        <w:t>եւ</w:t>
      </w:r>
      <w:r w:rsidRPr="00394A09">
        <w:rPr>
          <w:rFonts w:ascii="Sylfaen" w:hAnsi="Sylfaen"/>
          <w:sz w:val="24"/>
          <w:szCs w:val="24"/>
        </w:rPr>
        <w:t xml:space="preserve"> գազանման կողմնակի նյութերի դրսից ներթափանցումից </w:t>
      </w:r>
      <w:r>
        <w:rPr>
          <w:rFonts w:ascii="Sylfaen" w:hAnsi="Sylfaen"/>
          <w:sz w:val="24"/>
          <w:szCs w:val="24"/>
        </w:rPr>
        <w:t>եւ</w:t>
      </w:r>
      <w:r w:rsidRPr="00394A09">
        <w:rPr>
          <w:rFonts w:ascii="Sylfaen" w:hAnsi="Sylfaen"/>
          <w:sz w:val="24"/>
          <w:szCs w:val="24"/>
        </w:rPr>
        <w:t xml:space="preserve"> (կամ) պահման, փոխադրման </w:t>
      </w:r>
      <w:r>
        <w:rPr>
          <w:rFonts w:ascii="Sylfaen" w:hAnsi="Sylfaen"/>
          <w:sz w:val="24"/>
          <w:szCs w:val="24"/>
        </w:rPr>
        <w:t>եւ</w:t>
      </w:r>
      <w:r w:rsidRPr="00394A09">
        <w:rPr>
          <w:rFonts w:ascii="Sylfaen" w:hAnsi="Sylfaen"/>
          <w:sz w:val="24"/>
          <w:szCs w:val="24"/>
        </w:rPr>
        <w:t xml:space="preserve"> իրացման սովորական պայմաններում պարունակության կորստից, հողմահարումից, տարհոսումից </w:t>
      </w:r>
      <w:r>
        <w:rPr>
          <w:rFonts w:ascii="Sylfaen" w:hAnsi="Sylfaen"/>
          <w:sz w:val="24"/>
          <w:szCs w:val="24"/>
        </w:rPr>
        <w:t>եւ</w:t>
      </w:r>
      <w:r w:rsidRPr="00394A09">
        <w:rPr>
          <w:rFonts w:ascii="Sylfaen" w:hAnsi="Sylfaen"/>
          <w:sz w:val="24"/>
          <w:szCs w:val="24"/>
        </w:rPr>
        <w:t xml:space="preserve"> գոլորշիացումից:</w:t>
      </w:r>
    </w:p>
    <w:p w14:paraId="36BC1DC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Հերմետիկ խցանափակված փաթեթվածք՝</w:t>
      </w:r>
      <w:r w:rsidRPr="00394A09">
        <w:rPr>
          <w:rFonts w:ascii="Sylfaen" w:hAnsi="Sylfaen"/>
          <w:sz w:val="24"/>
          <w:szCs w:val="24"/>
        </w:rPr>
        <w:t xml:space="preserve"> փաթեթվածք, որն ապահովում է </w:t>
      </w:r>
      <w:r w:rsidRPr="00394A09">
        <w:rPr>
          <w:rFonts w:ascii="Sylfaen" w:hAnsi="Sylfaen"/>
          <w:spacing w:val="-4"/>
          <w:sz w:val="24"/>
          <w:szCs w:val="24"/>
        </w:rPr>
        <w:t>պարունակության պաշտպանությունը կողմնակի նյութերի դրսից ներթափանցումից եւ (կամ) պարունակության կորստից, ինչպես նաեւ ապահովում է պահման</w:t>
      </w:r>
      <w:r w:rsidRPr="00394A09">
        <w:rPr>
          <w:rFonts w:ascii="Sylfaen" w:hAnsi="Sylfaen"/>
          <w:sz w:val="24"/>
          <w:szCs w:val="24"/>
        </w:rPr>
        <w:t xml:space="preserve">, փոխադրման </w:t>
      </w:r>
      <w:r>
        <w:rPr>
          <w:rFonts w:ascii="Sylfaen" w:hAnsi="Sylfaen"/>
          <w:sz w:val="24"/>
          <w:szCs w:val="24"/>
        </w:rPr>
        <w:t>եւ</w:t>
      </w:r>
      <w:r w:rsidRPr="00394A09">
        <w:rPr>
          <w:rFonts w:ascii="Sylfaen" w:hAnsi="Sylfaen"/>
          <w:sz w:val="24"/>
          <w:szCs w:val="24"/>
        </w:rPr>
        <w:t xml:space="preserve"> իրացման սովորական պայմաններում պինդ, հեղուկ </w:t>
      </w:r>
      <w:r>
        <w:rPr>
          <w:rFonts w:ascii="Sylfaen" w:hAnsi="Sylfaen"/>
          <w:sz w:val="24"/>
          <w:szCs w:val="24"/>
        </w:rPr>
        <w:t>եւ</w:t>
      </w:r>
      <w:r w:rsidRPr="00394A09">
        <w:rPr>
          <w:rFonts w:ascii="Sylfaen" w:hAnsi="Sylfaen"/>
          <w:sz w:val="24"/>
          <w:szCs w:val="24"/>
        </w:rPr>
        <w:t xml:space="preserve"> գազանման նյութերի դրսից անթափանցելիությունը:</w:t>
      </w:r>
    </w:p>
    <w:p w14:paraId="69CEC09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Եթե նշված է կիպ խցանափակված փաթեթվածք, ապա այն կարելի է փոխարինել հերմետիկ խցանափակված փաթեթվածքով, բայց ոչ հակառակը:</w:t>
      </w:r>
    </w:p>
    <w:p w14:paraId="3BC0542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Հերմետիկ եռակցված փաթեթվածք՝</w:t>
      </w:r>
      <w:r w:rsidRPr="00394A09">
        <w:rPr>
          <w:rFonts w:ascii="Sylfaen" w:hAnsi="Sylfaen"/>
          <w:sz w:val="24"/>
          <w:szCs w:val="24"/>
        </w:rPr>
        <w:t xml:space="preserve"> հերմետիկություն ապահովող փաթեթվածք, որը խցանափակված է փաթեթվածքի նյութի հալեցմամբ:</w:t>
      </w:r>
    </w:p>
    <w:p w14:paraId="5C682A9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Անօդանցիկ փաթեթվածք՝</w:t>
      </w:r>
      <w:r w:rsidRPr="00394A09">
        <w:rPr>
          <w:rFonts w:ascii="Sylfaen" w:hAnsi="Sylfaen"/>
          <w:sz w:val="24"/>
          <w:szCs w:val="24"/>
        </w:rPr>
        <w:t xml:space="preserve"> կիպ խցանափակված փաթեթվածք, որն ապահովում է պահման, փոխադրման </w:t>
      </w:r>
      <w:r>
        <w:rPr>
          <w:rFonts w:ascii="Sylfaen" w:hAnsi="Sylfaen"/>
          <w:sz w:val="24"/>
          <w:szCs w:val="24"/>
        </w:rPr>
        <w:t>եւ</w:t>
      </w:r>
      <w:r w:rsidRPr="00394A09">
        <w:rPr>
          <w:rFonts w:ascii="Sylfaen" w:hAnsi="Sylfaen"/>
          <w:sz w:val="24"/>
          <w:szCs w:val="24"/>
        </w:rPr>
        <w:t xml:space="preserve"> իրացման սովորական պայմաններում օդի, գազերի, գոլորշիների </w:t>
      </w:r>
      <w:r>
        <w:rPr>
          <w:rFonts w:ascii="Sylfaen" w:hAnsi="Sylfaen"/>
          <w:sz w:val="24"/>
          <w:szCs w:val="24"/>
        </w:rPr>
        <w:t>եւ</w:t>
      </w:r>
      <w:r w:rsidRPr="00394A09">
        <w:rPr>
          <w:rFonts w:ascii="Sylfaen" w:hAnsi="Sylfaen"/>
          <w:sz w:val="24"/>
          <w:szCs w:val="24"/>
        </w:rPr>
        <w:t xml:space="preserve"> այլ գազանման նյութերի անթափանցելիությունը:</w:t>
      </w:r>
    </w:p>
    <w:p w14:paraId="2336A9F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Անխոնավանցիկ փաթեթվածք՝</w:t>
      </w:r>
      <w:r w:rsidRPr="00394A09">
        <w:rPr>
          <w:rFonts w:ascii="Sylfaen" w:hAnsi="Sylfaen"/>
          <w:sz w:val="24"/>
          <w:szCs w:val="24"/>
        </w:rPr>
        <w:t xml:space="preserve"> կիպ խցանափակված փաթեթվածք, որն ապահովում է պահման, փոխադրման </w:t>
      </w:r>
      <w:r>
        <w:rPr>
          <w:rFonts w:ascii="Sylfaen" w:hAnsi="Sylfaen"/>
          <w:sz w:val="24"/>
          <w:szCs w:val="24"/>
        </w:rPr>
        <w:t>եւ</w:t>
      </w:r>
      <w:r w:rsidRPr="00394A09">
        <w:rPr>
          <w:rFonts w:ascii="Sylfaen" w:hAnsi="Sylfaen"/>
          <w:sz w:val="24"/>
          <w:szCs w:val="24"/>
        </w:rPr>
        <w:t xml:space="preserve"> իրացման սովորական պայմաններում ջրի, խոնավության </w:t>
      </w:r>
      <w:r>
        <w:rPr>
          <w:rFonts w:ascii="Sylfaen" w:hAnsi="Sylfaen"/>
          <w:sz w:val="24"/>
          <w:szCs w:val="24"/>
        </w:rPr>
        <w:t>եւ</w:t>
      </w:r>
      <w:r w:rsidRPr="00394A09">
        <w:rPr>
          <w:rFonts w:ascii="Sylfaen" w:hAnsi="Sylfaen"/>
          <w:sz w:val="24"/>
          <w:szCs w:val="24"/>
        </w:rPr>
        <w:t xml:space="preserve"> այլ հեղուկ նյութերի անթափանցելիությունը:</w:t>
      </w:r>
    </w:p>
    <w:p w14:paraId="03232AA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Եթե նշված է «անօդանցիկ» կամ «անխոնավանցիկ» փաթեթվածք, ապա այն կարելի է փոխարինել «հերմետիկ խցանափակված փաթեթվածքով»:</w:t>
      </w:r>
    </w:p>
    <w:p w14:paraId="7728B5F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Լուսապաշտպանիչ փաթեթվածք</w:t>
      </w:r>
      <w:r w:rsidRPr="00394A09">
        <w:rPr>
          <w:rFonts w:ascii="Sylfaen" w:hAnsi="Sylfaen"/>
          <w:sz w:val="24"/>
          <w:szCs w:val="24"/>
        </w:rPr>
        <w:t>՝ փաթեթվածք, որն ապահովում է պարունակության պաշտպանությունը լույսի էներգիայի ազդեցությունից՝ օգտագործված փաթեթավորման նյութի հատուկ հատկությունների կամ փաթեթվածքի հատուկ պատվածքի հաշվին:</w:t>
      </w:r>
      <w:r w:rsidRPr="00394A09">
        <w:rPr>
          <w:rFonts w:ascii="Sylfaen" w:hAnsi="Sylfaen"/>
          <w:color w:val="000000"/>
          <w:sz w:val="24"/>
          <w:szCs w:val="24"/>
        </w:rPr>
        <w:t xml:space="preserve"> Փաթեթվածքի անլուսանթափանցելությունը կարելի է նա</w:t>
      </w:r>
      <w:r>
        <w:rPr>
          <w:rFonts w:ascii="Sylfaen" w:hAnsi="Sylfaen"/>
          <w:color w:val="000000"/>
          <w:sz w:val="24"/>
          <w:szCs w:val="24"/>
        </w:rPr>
        <w:t>եւ</w:t>
      </w:r>
      <w:r w:rsidRPr="00394A09">
        <w:rPr>
          <w:rFonts w:ascii="Sylfaen" w:hAnsi="Sylfaen"/>
          <w:color w:val="000000"/>
          <w:sz w:val="24"/>
          <w:szCs w:val="24"/>
        </w:rPr>
        <w:t xml:space="preserve"> ապահովել՝ լուսանցիկ փաթեթվածքը համապատասխան լուսապաշտպանիչ նյութի մեջ տեղավորելով:</w:t>
      </w:r>
    </w:p>
    <w:p w14:paraId="6FD9A86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Իզոթերմիկ փաթեթվածք՝</w:t>
      </w:r>
      <w:r w:rsidRPr="00394A09">
        <w:rPr>
          <w:rFonts w:ascii="Sylfaen" w:hAnsi="Sylfaen"/>
          <w:sz w:val="24"/>
          <w:szCs w:val="24"/>
        </w:rPr>
        <w:t xml:space="preserve"> փաթեթվածք, որի ներսում նախապես տրված ջերմաստիճանը պահպանվում է սահմանված ժամանակի ընթացքում: </w:t>
      </w:r>
    </w:p>
    <w:p w14:paraId="0C1DBED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Վակուումային փաթեթվածք՝</w:t>
      </w:r>
      <w:r w:rsidRPr="00394A09">
        <w:rPr>
          <w:rFonts w:ascii="Sylfaen" w:hAnsi="Sylfaen"/>
          <w:sz w:val="24"/>
          <w:szCs w:val="24"/>
        </w:rPr>
        <w:t xml:space="preserve"> փաթեթվածք, որում ներքին ճնշումը ցածր է մթնոլորտային ճնշումից:</w:t>
      </w:r>
    </w:p>
    <w:p w14:paraId="6C2F5F6C" w14:textId="77777777" w:rsidR="00AF2D51" w:rsidRPr="00AF2D51" w:rsidRDefault="00AF2D51" w:rsidP="00AF2D51">
      <w:pPr>
        <w:pStyle w:val="a0"/>
        <w:shd w:val="clear" w:color="auto" w:fill="auto"/>
        <w:spacing w:after="160" w:line="360" w:lineRule="auto"/>
        <w:ind w:firstLine="567"/>
        <w:jc w:val="both"/>
        <w:rPr>
          <w:rFonts w:ascii="Sylfaen" w:hAnsi="Sylfaen"/>
          <w:b/>
          <w:color w:val="000000"/>
          <w:sz w:val="24"/>
          <w:szCs w:val="24"/>
        </w:rPr>
      </w:pPr>
    </w:p>
    <w:p w14:paraId="706CB53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color w:val="000000"/>
          <w:sz w:val="24"/>
          <w:szCs w:val="24"/>
        </w:rPr>
        <w:t xml:space="preserve">Ըստ օգտագործման թվի </w:t>
      </w:r>
      <w:r>
        <w:rPr>
          <w:rFonts w:ascii="Sylfaen" w:hAnsi="Sylfaen"/>
          <w:b/>
          <w:color w:val="000000"/>
          <w:sz w:val="24"/>
          <w:szCs w:val="24"/>
        </w:rPr>
        <w:t>եւ</w:t>
      </w:r>
      <w:r w:rsidRPr="00394A09">
        <w:rPr>
          <w:rFonts w:ascii="Sylfaen" w:hAnsi="Sylfaen"/>
          <w:b/>
          <w:color w:val="000000"/>
          <w:sz w:val="24"/>
          <w:szCs w:val="24"/>
        </w:rPr>
        <w:t xml:space="preserve"> դեղաչափերի քանակի</w:t>
      </w:r>
    </w:p>
    <w:p w14:paraId="15709F9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pacing w:val="-4"/>
          <w:sz w:val="24"/>
          <w:szCs w:val="24"/>
        </w:rPr>
        <w:t>Մեկանգամյա օգտագործման փաթեթվածք՝</w:t>
      </w:r>
      <w:r w:rsidRPr="00394A09">
        <w:rPr>
          <w:rFonts w:ascii="Sylfaen" w:hAnsi="Sylfaen"/>
          <w:spacing w:val="-4"/>
          <w:sz w:val="24"/>
          <w:szCs w:val="24"/>
        </w:rPr>
        <w:t xml:space="preserve"> փաթեթվածք, որը պարունակում է դեղամիջոցի այնպիսի քանակություն, որը նախատեսված է փաթեթվածքը բացելուց</w:t>
      </w:r>
      <w:r w:rsidRPr="00394A09">
        <w:rPr>
          <w:rFonts w:ascii="Sylfaen" w:hAnsi="Sylfaen"/>
          <w:sz w:val="24"/>
          <w:szCs w:val="24"/>
        </w:rPr>
        <w:t xml:space="preserve"> անմիջապես հետո ամբողջովին օգտագործելու համար:</w:t>
      </w:r>
    </w:p>
    <w:p w14:paraId="1CA6A4D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Բազմակի օգտագործման փաթեթվածք՝</w:t>
      </w:r>
      <w:r w:rsidRPr="00394A09">
        <w:rPr>
          <w:rFonts w:ascii="Sylfaen" w:hAnsi="Sylfaen"/>
          <w:sz w:val="24"/>
          <w:szCs w:val="24"/>
        </w:rPr>
        <w:t xml:space="preserve"> փաթեթվածք, որը պարունակում է դեղամիջոցի այնպիսի քանակություն, որը ենթադրվում է օգտագործել բազմակի, մաս-մաս, հաջորդաբար ընտրելով դրանում պարունակվող դեղամիջոցը՝ առանց </w:t>
      </w:r>
      <w:r w:rsidRPr="00394A09">
        <w:rPr>
          <w:rFonts w:ascii="Sylfaen" w:hAnsi="Sylfaen"/>
          <w:sz w:val="24"/>
          <w:szCs w:val="24"/>
        </w:rPr>
        <w:lastRenderedPageBreak/>
        <w:t>դեղամիջոցի մնացած մասի անվտանգությունը, որակը կամ մաքրությունը փոխելու՝ մինչ</w:t>
      </w:r>
      <w:r>
        <w:rPr>
          <w:rFonts w:ascii="Sylfaen" w:hAnsi="Sylfaen"/>
          <w:sz w:val="24"/>
          <w:szCs w:val="24"/>
        </w:rPr>
        <w:t>եւ</w:t>
      </w:r>
      <w:r w:rsidRPr="00394A09">
        <w:rPr>
          <w:rFonts w:ascii="Sylfaen" w:hAnsi="Sylfaen"/>
          <w:sz w:val="24"/>
          <w:szCs w:val="24"/>
        </w:rPr>
        <w:t xml:space="preserve"> դրա ամբողջովին օգտագործումը:</w:t>
      </w:r>
    </w:p>
    <w:p w14:paraId="400EAF2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Միադեղաչափ փաթեթվածք՝</w:t>
      </w:r>
      <w:r w:rsidRPr="00394A09">
        <w:rPr>
          <w:rFonts w:ascii="Sylfaen" w:hAnsi="Sylfaen"/>
          <w:sz w:val="24"/>
          <w:szCs w:val="24"/>
        </w:rPr>
        <w:t xml:space="preserve"> փաթեթվածք, որը պարունակում է պինդ, փափուկ կամ հեղուկ դեղաձ</w:t>
      </w:r>
      <w:r>
        <w:rPr>
          <w:rFonts w:ascii="Sylfaen" w:hAnsi="Sylfaen"/>
          <w:sz w:val="24"/>
          <w:szCs w:val="24"/>
        </w:rPr>
        <w:t>եւ</w:t>
      </w:r>
      <w:r w:rsidRPr="00394A09">
        <w:rPr>
          <w:rFonts w:ascii="Sylfaen" w:hAnsi="Sylfaen"/>
          <w:sz w:val="24"/>
          <w:szCs w:val="24"/>
        </w:rPr>
        <w:t>ի դեղապատրաստուկ՝ մեկանգամյա կիրառման համար մեկ դեղաչափին կամ դեղաչափի մի մասին համապատասխանող քանակությամբ:</w:t>
      </w:r>
    </w:p>
    <w:p w14:paraId="0E6296A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Բազմադեղաչափ փաթեթվածք՝</w:t>
      </w:r>
      <w:r w:rsidRPr="00394A09">
        <w:rPr>
          <w:rFonts w:ascii="Sylfaen" w:hAnsi="Sylfaen"/>
          <w:sz w:val="24"/>
          <w:szCs w:val="24"/>
        </w:rPr>
        <w:t xml:space="preserve"> փաթեթվածք, որը պարունակում է դեղապատրաստուկի այնպիսի քանակություն, որը համապատասխանում է դեղապատրաստուկի ավելի քան մեկ դեղաչափին:</w:t>
      </w:r>
      <w:r w:rsidRPr="00394A09">
        <w:rPr>
          <w:rFonts w:ascii="Sylfaen" w:hAnsi="Sylfaen"/>
          <w:color w:val="000000"/>
          <w:sz w:val="24"/>
          <w:szCs w:val="24"/>
        </w:rPr>
        <w:t xml:space="preserve"> Բազմադեղաչափ փաթեթվածքը կարող է պարունակել դեղաչափված կամ չդեղաչափված դեղաձ</w:t>
      </w:r>
      <w:r>
        <w:rPr>
          <w:rFonts w:ascii="Sylfaen" w:hAnsi="Sylfaen"/>
          <w:color w:val="000000"/>
          <w:sz w:val="24"/>
          <w:szCs w:val="24"/>
        </w:rPr>
        <w:t>եւ</w:t>
      </w:r>
      <w:r w:rsidRPr="00394A09">
        <w:rPr>
          <w:rFonts w:ascii="Sylfaen" w:hAnsi="Sylfaen"/>
          <w:color w:val="000000"/>
          <w:sz w:val="24"/>
          <w:szCs w:val="24"/>
        </w:rPr>
        <w:t>ով դեղապատրաստուկ: Չդեղաչափված դեղաձ</w:t>
      </w:r>
      <w:r>
        <w:rPr>
          <w:rFonts w:ascii="Sylfaen" w:hAnsi="Sylfaen"/>
          <w:color w:val="000000"/>
          <w:sz w:val="24"/>
          <w:szCs w:val="24"/>
        </w:rPr>
        <w:t>եւ</w:t>
      </w:r>
      <w:r w:rsidRPr="00394A09">
        <w:rPr>
          <w:rFonts w:ascii="Sylfaen" w:hAnsi="Sylfaen"/>
          <w:color w:val="000000"/>
          <w:sz w:val="24"/>
          <w:szCs w:val="24"/>
        </w:rPr>
        <w:t>ով դեղապատրաստուկ պարունակող բազմադեղաչափ փաթեթվածքը բազմակի օգտագործման փաթեթվածք է:</w:t>
      </w:r>
    </w:p>
    <w:p w14:paraId="773B626E" w14:textId="77777777" w:rsidR="00AF2D51" w:rsidRPr="00AF2D51" w:rsidRDefault="00AF2D51" w:rsidP="00AF2D51">
      <w:pPr>
        <w:pStyle w:val="a0"/>
        <w:shd w:val="clear" w:color="auto" w:fill="auto"/>
        <w:spacing w:after="160" w:line="360" w:lineRule="auto"/>
        <w:ind w:firstLine="567"/>
        <w:jc w:val="both"/>
        <w:rPr>
          <w:rFonts w:ascii="Sylfaen" w:hAnsi="Sylfaen"/>
          <w:b/>
          <w:color w:val="000000"/>
          <w:sz w:val="24"/>
          <w:szCs w:val="24"/>
        </w:rPr>
      </w:pPr>
    </w:p>
    <w:p w14:paraId="3C3C124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color w:val="000000"/>
          <w:sz w:val="24"/>
          <w:szCs w:val="24"/>
        </w:rPr>
        <w:t xml:space="preserve">Ըստ տեսակի </w:t>
      </w:r>
      <w:r>
        <w:rPr>
          <w:rFonts w:ascii="Sylfaen" w:hAnsi="Sylfaen"/>
          <w:b/>
          <w:color w:val="000000"/>
          <w:sz w:val="24"/>
          <w:szCs w:val="24"/>
        </w:rPr>
        <w:t>եւ</w:t>
      </w:r>
      <w:r w:rsidRPr="00394A09">
        <w:rPr>
          <w:rFonts w:ascii="Sylfaen" w:hAnsi="Sylfaen"/>
          <w:b/>
          <w:color w:val="000000"/>
          <w:sz w:val="24"/>
          <w:szCs w:val="24"/>
        </w:rPr>
        <w:t xml:space="preserve"> ձ</w:t>
      </w:r>
      <w:r>
        <w:rPr>
          <w:rFonts w:ascii="Sylfaen" w:hAnsi="Sylfaen"/>
          <w:b/>
          <w:color w:val="000000"/>
          <w:sz w:val="24"/>
          <w:szCs w:val="24"/>
        </w:rPr>
        <w:t>եւ</w:t>
      </w:r>
      <w:r w:rsidRPr="00394A09">
        <w:rPr>
          <w:rFonts w:ascii="Sylfaen" w:hAnsi="Sylfaen"/>
          <w:b/>
          <w:color w:val="000000"/>
          <w:sz w:val="24"/>
          <w:szCs w:val="24"/>
        </w:rPr>
        <w:t>ի</w:t>
      </w:r>
    </w:p>
    <w:p w14:paraId="6795A1B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Փաթեթվածքն ըստ նյութի </w:t>
      </w:r>
      <w:r>
        <w:rPr>
          <w:rFonts w:ascii="Sylfaen" w:hAnsi="Sylfaen"/>
          <w:color w:val="000000"/>
          <w:sz w:val="24"/>
          <w:szCs w:val="24"/>
        </w:rPr>
        <w:t>եւ</w:t>
      </w:r>
      <w:r w:rsidRPr="00394A09">
        <w:rPr>
          <w:rFonts w:ascii="Sylfaen" w:hAnsi="Sylfaen"/>
          <w:color w:val="000000"/>
          <w:sz w:val="24"/>
          <w:szCs w:val="24"/>
        </w:rPr>
        <w:t xml:space="preserve"> կառուցվածքի բնութագրող դասակարգման միավորով որոշվում է փաթեթվածքի տեսակը: Փաթեթվածքն ըստ ձ</w:t>
      </w:r>
      <w:r>
        <w:rPr>
          <w:rFonts w:ascii="Sylfaen" w:hAnsi="Sylfaen"/>
          <w:color w:val="000000"/>
          <w:sz w:val="24"/>
          <w:szCs w:val="24"/>
        </w:rPr>
        <w:t>եւ</w:t>
      </w:r>
      <w:r w:rsidRPr="00394A09">
        <w:rPr>
          <w:rFonts w:ascii="Sylfaen" w:hAnsi="Sylfaen"/>
          <w:color w:val="000000"/>
          <w:sz w:val="24"/>
          <w:szCs w:val="24"/>
        </w:rPr>
        <w:t>ի բնութագրող դասակարգման միավորով որոշվում է փաթեթվածքի ձ</w:t>
      </w:r>
      <w:r>
        <w:rPr>
          <w:rFonts w:ascii="Sylfaen" w:hAnsi="Sylfaen"/>
          <w:color w:val="000000"/>
          <w:sz w:val="24"/>
          <w:szCs w:val="24"/>
        </w:rPr>
        <w:t>եւ</w:t>
      </w:r>
      <w:r w:rsidRPr="00394A09">
        <w:rPr>
          <w:rFonts w:ascii="Sylfaen" w:hAnsi="Sylfaen"/>
          <w:color w:val="000000"/>
          <w:sz w:val="24"/>
          <w:szCs w:val="24"/>
        </w:rPr>
        <w:t>ը:</w:t>
      </w:r>
    </w:p>
    <w:p w14:paraId="726A536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Ամպուլ՝ բժշկական անգույն կամ լուսապաշտպանիչ ապակուց կամ պոլիմերային նյութից պատրաստված առաջնային փաթեթվածք, որն ունի երկարացված բկանցքով գլանաձ</w:t>
      </w:r>
      <w:r>
        <w:rPr>
          <w:rFonts w:ascii="Sylfaen" w:hAnsi="Sylfaen"/>
          <w:color w:val="000000"/>
          <w:sz w:val="24"/>
          <w:szCs w:val="24"/>
        </w:rPr>
        <w:t>եւ</w:t>
      </w:r>
      <w:r w:rsidRPr="00394A09">
        <w:rPr>
          <w:rFonts w:ascii="Sylfaen" w:hAnsi="Sylfaen"/>
          <w:color w:val="000000"/>
          <w:sz w:val="24"/>
          <w:szCs w:val="24"/>
        </w:rPr>
        <w:t xml:space="preserve"> իրան, բկանցքը հերմետիկորեն զոդակցվում է դեղապատրաստուկով լցվելուց հետո, հարթ կամ ուռուցիկ (գոգավոր) հատակով, </w:t>
      </w:r>
      <w:r>
        <w:rPr>
          <w:rFonts w:ascii="Sylfaen" w:hAnsi="Sylfaen"/>
          <w:color w:val="000000"/>
          <w:sz w:val="24"/>
          <w:szCs w:val="24"/>
        </w:rPr>
        <w:t>եւ</w:t>
      </w:r>
      <w:r w:rsidRPr="00394A09">
        <w:rPr>
          <w:rFonts w:ascii="Sylfaen" w:hAnsi="Sylfaen"/>
          <w:color w:val="000000"/>
          <w:sz w:val="24"/>
          <w:szCs w:val="24"/>
        </w:rPr>
        <w:t xml:space="preserve"> որը բացվում է բացառապես կոտրման եղանակով: Պարունակությունը նախատեսված է մեկանգամյա կիրառման համար:</w:t>
      </w:r>
    </w:p>
    <w:p w14:paraId="740E99C4" w14:textId="77777777" w:rsidR="00AF2D51" w:rsidRPr="00AF2D51"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i/>
          <w:sz w:val="24"/>
          <w:szCs w:val="24"/>
        </w:rPr>
        <w:t>Գլանանոթ՝</w:t>
      </w:r>
      <w:r w:rsidRPr="00394A09">
        <w:rPr>
          <w:rFonts w:ascii="Sylfaen" w:hAnsi="Sylfaen"/>
          <w:sz w:val="24"/>
          <w:szCs w:val="24"/>
        </w:rPr>
        <w:t xml:space="preserve"> կաթիլանման, գնդաձ</w:t>
      </w:r>
      <w:r>
        <w:rPr>
          <w:rFonts w:ascii="Sylfaen" w:hAnsi="Sylfaen"/>
          <w:sz w:val="24"/>
          <w:szCs w:val="24"/>
        </w:rPr>
        <w:t>եւ</w:t>
      </w:r>
      <w:r w:rsidRPr="00394A09">
        <w:rPr>
          <w:rFonts w:ascii="Sylfaen" w:hAnsi="Sylfaen"/>
          <w:sz w:val="24"/>
          <w:szCs w:val="24"/>
        </w:rPr>
        <w:t xml:space="preserve"> կամ գլանաձ</w:t>
      </w:r>
      <w:r>
        <w:rPr>
          <w:rFonts w:ascii="Sylfaen" w:hAnsi="Sylfaen"/>
          <w:sz w:val="24"/>
          <w:szCs w:val="24"/>
        </w:rPr>
        <w:t>եւ</w:t>
      </w:r>
      <w:r w:rsidRPr="00394A09">
        <w:rPr>
          <w:rFonts w:ascii="Sylfaen" w:hAnsi="Sylfaen"/>
          <w:sz w:val="24"/>
          <w:szCs w:val="24"/>
        </w:rPr>
        <w:t xml:space="preserve"> իրանով փաթեթվածք, գնդային կամ գոգավոր հատակով, նեղ բկանցքով:</w:t>
      </w:r>
    </w:p>
    <w:p w14:paraId="6F2DDE13"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r w:rsidRPr="00394A09">
        <w:rPr>
          <w:rFonts w:ascii="Sylfaen" w:hAnsi="Sylfaen"/>
          <w:color w:val="000000"/>
          <w:szCs w:val="24"/>
        </w:rPr>
        <w:t xml:space="preserve"> Ապակե գլանանոթը թույլատրվում է դեղաշիշ անվանել:</w:t>
      </w:r>
    </w:p>
    <w:p w14:paraId="4DAD721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Աերոզոլային գլանանոթ (աերոզոլային փաթեթվածք)՝</w:t>
      </w:r>
      <w:r w:rsidRPr="00394A09">
        <w:rPr>
          <w:rFonts w:ascii="Sylfaen" w:hAnsi="Sylfaen"/>
          <w:sz w:val="24"/>
          <w:szCs w:val="24"/>
        </w:rPr>
        <w:t xml:space="preserve"> ապակուց, </w:t>
      </w:r>
      <w:r w:rsidRPr="00394A09">
        <w:rPr>
          <w:rFonts w:ascii="Sylfaen" w:hAnsi="Sylfaen"/>
          <w:spacing w:val="-4"/>
          <w:sz w:val="24"/>
          <w:szCs w:val="24"/>
        </w:rPr>
        <w:t>պոլիմերային նյութերից կամ մետաղից հերմետիկորեն փակ առաջնային փաթեթվածք, որն ունի նեղ բկանցքով գլանաձեւ իրան, բկանցքը խցանափակվում է փականային</w:t>
      </w:r>
      <w:r w:rsidRPr="00394A09">
        <w:rPr>
          <w:rFonts w:ascii="Sylfaen" w:hAnsi="Sylfaen"/>
          <w:sz w:val="24"/>
          <w:szCs w:val="24"/>
        </w:rPr>
        <w:t>-փոշիացնող համակարգով (դեղաչափող կամ չդեղաչափող), որի ներսում պահպանվում է տրված ճնշումը, որը թույլ է տալիս կատարել փոշիացումը:</w:t>
      </w:r>
    </w:p>
    <w:p w14:paraId="11FDD71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Գազային գլանանոթ՝</w:t>
      </w:r>
      <w:r w:rsidRPr="00394A09">
        <w:rPr>
          <w:rFonts w:ascii="Sylfaen" w:hAnsi="Sylfaen"/>
          <w:sz w:val="24"/>
          <w:szCs w:val="24"/>
        </w:rPr>
        <w:t xml:space="preserve"> մետաղյա փաթեթվածք, սովորաբար գլանաձ</w:t>
      </w:r>
      <w:r>
        <w:rPr>
          <w:rFonts w:ascii="Sylfaen" w:hAnsi="Sylfaen"/>
          <w:sz w:val="24"/>
          <w:szCs w:val="24"/>
        </w:rPr>
        <w:t>եւ</w:t>
      </w:r>
      <w:r w:rsidRPr="00394A09">
        <w:rPr>
          <w:rFonts w:ascii="Sylfaen" w:hAnsi="Sylfaen"/>
          <w:sz w:val="24"/>
          <w:szCs w:val="24"/>
        </w:rPr>
        <w:t xml:space="preserve">, որը նախատեսված է սեղմված, հեղուկացված կամ լուծված գազի համար, հագեցած է մթնոլորտային ճնշման </w:t>
      </w:r>
      <w:r>
        <w:rPr>
          <w:rFonts w:ascii="Sylfaen" w:hAnsi="Sylfaen"/>
          <w:sz w:val="24"/>
          <w:szCs w:val="24"/>
        </w:rPr>
        <w:t>եւ</w:t>
      </w:r>
      <w:r w:rsidRPr="00394A09">
        <w:rPr>
          <w:rFonts w:ascii="Sylfaen" w:hAnsi="Sylfaen"/>
          <w:sz w:val="24"/>
          <w:szCs w:val="24"/>
        </w:rPr>
        <w:t xml:space="preserve"> սենյակային ջերմաստիճանի պայմաններում գազի ինքնաբուխ արտահոսման կարգավորման հարմարանքով:</w:t>
      </w:r>
    </w:p>
    <w:p w14:paraId="52302EF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Բանկա՝</w:t>
      </w:r>
      <w:r w:rsidRPr="00394A09">
        <w:rPr>
          <w:rFonts w:ascii="Sylfaen" w:hAnsi="Sylfaen"/>
          <w:sz w:val="24"/>
          <w:szCs w:val="24"/>
        </w:rPr>
        <w:t xml:space="preserve"> բժշկական անգույն կամ լուսապաշտպանիչ ապակուց կամ պոլիմերային նյութից պատրաստված առաջնային փաթեթվածք, որն ունի առավելապես գլանաձ</w:t>
      </w:r>
      <w:r>
        <w:rPr>
          <w:rFonts w:ascii="Sylfaen" w:hAnsi="Sylfaen"/>
          <w:sz w:val="24"/>
          <w:szCs w:val="24"/>
        </w:rPr>
        <w:t>եւ</w:t>
      </w:r>
      <w:r w:rsidRPr="00394A09">
        <w:rPr>
          <w:rFonts w:ascii="Sylfaen" w:hAnsi="Sylfaen"/>
          <w:sz w:val="24"/>
          <w:szCs w:val="24"/>
        </w:rPr>
        <w:t xml:space="preserve"> կամ այլ ձ</w:t>
      </w:r>
      <w:r>
        <w:rPr>
          <w:rFonts w:ascii="Sylfaen" w:hAnsi="Sylfaen"/>
          <w:sz w:val="24"/>
          <w:szCs w:val="24"/>
        </w:rPr>
        <w:t>եւ</w:t>
      </w:r>
      <w:r w:rsidRPr="00394A09">
        <w:rPr>
          <w:rFonts w:ascii="Sylfaen" w:hAnsi="Sylfaen"/>
          <w:sz w:val="24"/>
          <w:szCs w:val="24"/>
        </w:rPr>
        <w:t>ի իրան՝ բկանցքով, որի տրամագիծը հավասար է իրանի տրամագծին կամ դրանից փոքր է, հարթ կամ գոգավոր հատակով:</w:t>
      </w:r>
    </w:p>
    <w:p w14:paraId="1D86B5B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Թմբկագլան՝</w:t>
      </w:r>
      <w:r w:rsidRPr="00394A09">
        <w:rPr>
          <w:rFonts w:ascii="Sylfaen" w:hAnsi="Sylfaen"/>
          <w:sz w:val="24"/>
          <w:szCs w:val="24"/>
        </w:rPr>
        <w:t xml:space="preserve"> պոլիմերային նյութից, մետաղից կամ մանրաթելային ստվարաթղթից պատրաստված փաթեթվածք, որն ունի գլանաձ</w:t>
      </w:r>
      <w:r>
        <w:rPr>
          <w:rFonts w:ascii="Sylfaen" w:hAnsi="Sylfaen"/>
          <w:sz w:val="24"/>
          <w:szCs w:val="24"/>
        </w:rPr>
        <w:t>եւ</w:t>
      </w:r>
      <w:r w:rsidRPr="00394A09">
        <w:rPr>
          <w:rFonts w:ascii="Sylfaen" w:hAnsi="Sylfaen"/>
          <w:sz w:val="24"/>
          <w:szCs w:val="24"/>
        </w:rPr>
        <w:t xml:space="preserve"> իրան՝ առանց օղակների կամ գլորման ծալքագոտիների, հարթ հատակով </w:t>
      </w:r>
      <w:r>
        <w:rPr>
          <w:rFonts w:ascii="Sylfaen" w:hAnsi="Sylfaen"/>
          <w:sz w:val="24"/>
          <w:szCs w:val="24"/>
        </w:rPr>
        <w:t>եւ</w:t>
      </w:r>
      <w:r w:rsidRPr="00394A09">
        <w:rPr>
          <w:rFonts w:ascii="Sylfaen" w:hAnsi="Sylfaen"/>
          <w:sz w:val="24"/>
          <w:szCs w:val="24"/>
        </w:rPr>
        <w:t xml:space="preserve"> հանովի կամ ոչ հանովի կափարիչով:</w:t>
      </w:r>
    </w:p>
    <w:p w14:paraId="53F6DEB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t>Ծանոթագրություն.</w:t>
      </w:r>
      <w:r w:rsidRPr="00394A09">
        <w:rPr>
          <w:rFonts w:ascii="Sylfaen" w:hAnsi="Sylfaen"/>
          <w:color w:val="000000"/>
          <w:sz w:val="24"/>
          <w:szCs w:val="24"/>
        </w:rPr>
        <w:t xml:space="preserve"> Տակառները որպես թմբկագլան չեն դասակարգվում:</w:t>
      </w:r>
    </w:p>
    <w:p w14:paraId="40CBD2A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Տակառ՝</w:t>
      </w:r>
      <w:r w:rsidRPr="00394A09">
        <w:rPr>
          <w:rFonts w:ascii="Sylfaen" w:hAnsi="Sylfaen"/>
          <w:sz w:val="24"/>
          <w:szCs w:val="24"/>
        </w:rPr>
        <w:t xml:space="preserve"> տրանսպորտային փաթեթվածք, որն ունի գլանաձ</w:t>
      </w:r>
      <w:r>
        <w:rPr>
          <w:rFonts w:ascii="Sylfaen" w:hAnsi="Sylfaen"/>
          <w:sz w:val="24"/>
          <w:szCs w:val="24"/>
        </w:rPr>
        <w:t>եւ</w:t>
      </w:r>
      <w:r w:rsidRPr="00394A09">
        <w:rPr>
          <w:rFonts w:ascii="Sylfaen" w:hAnsi="Sylfaen"/>
          <w:sz w:val="24"/>
          <w:szCs w:val="24"/>
        </w:rPr>
        <w:t xml:space="preserve"> կամ պարաբոլաձ</w:t>
      </w:r>
      <w:r>
        <w:rPr>
          <w:rFonts w:ascii="Sylfaen" w:hAnsi="Sylfaen"/>
          <w:sz w:val="24"/>
          <w:szCs w:val="24"/>
        </w:rPr>
        <w:t>եւ</w:t>
      </w:r>
      <w:r w:rsidRPr="00394A09">
        <w:rPr>
          <w:rFonts w:ascii="Sylfaen" w:hAnsi="Sylfaen"/>
          <w:sz w:val="24"/>
          <w:szCs w:val="24"/>
        </w:rPr>
        <w:t xml:space="preserve"> իրան, օղակներով կամ գլորման ծալքագոտիներով՝ հավասար տրամագծով երկու հարթ կողաճակատներով (հատակներով):</w:t>
      </w:r>
    </w:p>
    <w:p w14:paraId="665D09E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Շիշ՝</w:t>
      </w:r>
      <w:r w:rsidRPr="00394A09">
        <w:rPr>
          <w:rFonts w:ascii="Sylfaen" w:hAnsi="Sylfaen"/>
          <w:sz w:val="24"/>
          <w:szCs w:val="24"/>
        </w:rPr>
        <w:t xml:space="preserve"> բժշկական անգույն կամ լուսապաշտպանիչ ապակուց կամ պոլիմերային նյութից պատրաստված առաջնային փաթեթվածք, որն ունի տարբեր տեսքերի առավելապես գլանաձ</w:t>
      </w:r>
      <w:r>
        <w:rPr>
          <w:rFonts w:ascii="Sylfaen" w:hAnsi="Sylfaen"/>
          <w:sz w:val="24"/>
          <w:szCs w:val="24"/>
        </w:rPr>
        <w:t>եւ</w:t>
      </w:r>
      <w:r w:rsidRPr="00394A09">
        <w:rPr>
          <w:rFonts w:ascii="Sylfaen" w:hAnsi="Sylfaen"/>
          <w:sz w:val="24"/>
          <w:szCs w:val="24"/>
        </w:rPr>
        <w:t xml:space="preserve"> իրան՝ դեպի նեղ բկանցք անցումով, հարթ կամ գոգավոր հատակով:</w:t>
      </w:r>
    </w:p>
    <w:p w14:paraId="1A52272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Դեղաշիշ՝</w:t>
      </w:r>
      <w:r w:rsidRPr="00394A09">
        <w:rPr>
          <w:rFonts w:ascii="Sylfaen" w:hAnsi="Sylfaen"/>
          <w:sz w:val="24"/>
          <w:szCs w:val="24"/>
        </w:rPr>
        <w:t xml:space="preserve"> բժշկական անգույն կամ լուսապաշտպանիչ ապակուց կամ պոլիմերային նյութից պատրաստված փաթեթվածք, գլանաձ</w:t>
      </w:r>
      <w:r>
        <w:rPr>
          <w:rFonts w:ascii="Sylfaen" w:hAnsi="Sylfaen"/>
          <w:sz w:val="24"/>
          <w:szCs w:val="24"/>
        </w:rPr>
        <w:t>եւ</w:t>
      </w:r>
      <w:r w:rsidRPr="00394A09">
        <w:rPr>
          <w:rFonts w:ascii="Sylfaen" w:hAnsi="Sylfaen"/>
          <w:sz w:val="24"/>
          <w:szCs w:val="24"/>
        </w:rPr>
        <w:t xml:space="preserve"> իրանով, որն անցնում է դեպի քիչ թե շատ արտահայտված նեղ բկանցք, հարթ կամ գոգավոր հատակով, 3000 մլ-ից ավելի տարողությամբ:</w:t>
      </w:r>
    </w:p>
    <w:p w14:paraId="5CB4F88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Բեռնատար կոնտեյներ՝</w:t>
      </w:r>
      <w:r w:rsidRPr="00394A09">
        <w:rPr>
          <w:rFonts w:ascii="Sylfaen" w:hAnsi="Sylfaen"/>
          <w:sz w:val="24"/>
          <w:szCs w:val="24"/>
        </w:rPr>
        <w:t xml:space="preserve"> տրանսպորտային սարքավորումների բազմակի կիրառման միավոր, որը նախատեսված է բեռների փոխադրման </w:t>
      </w:r>
      <w:r>
        <w:rPr>
          <w:rFonts w:ascii="Sylfaen" w:hAnsi="Sylfaen"/>
          <w:sz w:val="24"/>
          <w:szCs w:val="24"/>
        </w:rPr>
        <w:t>եւ</w:t>
      </w:r>
      <w:r w:rsidRPr="00394A09">
        <w:rPr>
          <w:rFonts w:ascii="Sylfaen" w:hAnsi="Sylfaen"/>
          <w:sz w:val="24"/>
          <w:szCs w:val="24"/>
        </w:rPr>
        <w:t xml:space="preserve"> ժամանակավոր պահման համար՝ առանց միջանկյալ ծանրաբեռնվածությունների, հարմար է մեքենայացված լիցքավորման եւ լիցքաթափման, բեռնման եւ բեռնաթափման համար՝ 1 մ</w:t>
      </w:r>
      <w:r w:rsidRPr="00394A09">
        <w:rPr>
          <w:rFonts w:ascii="Sylfaen" w:hAnsi="Sylfaen"/>
          <w:sz w:val="24"/>
          <w:szCs w:val="24"/>
          <w:vertAlign w:val="superscript"/>
        </w:rPr>
        <w:t>3</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ավելի ներքին ծավալով:</w:t>
      </w:r>
    </w:p>
    <w:p w14:paraId="25AE57F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Ներարկիչ՝</w:t>
      </w:r>
      <w:r w:rsidRPr="00394A09">
        <w:rPr>
          <w:rFonts w:ascii="Sylfaen" w:hAnsi="Sylfaen"/>
          <w:sz w:val="24"/>
          <w:szCs w:val="24"/>
        </w:rPr>
        <w:t xml:space="preserve"> բժշկական ապակուց կամ պոլիմերային նյութից պատրաստված առաջնային փաթեթվածք, գլանաձ</w:t>
      </w:r>
      <w:r>
        <w:rPr>
          <w:rFonts w:ascii="Sylfaen" w:hAnsi="Sylfaen"/>
          <w:sz w:val="24"/>
          <w:szCs w:val="24"/>
        </w:rPr>
        <w:t>եւ</w:t>
      </w:r>
      <w:r w:rsidRPr="00394A09">
        <w:rPr>
          <w:rFonts w:ascii="Sylfaen" w:hAnsi="Sylfaen"/>
          <w:sz w:val="24"/>
          <w:szCs w:val="24"/>
        </w:rPr>
        <w:t xml:space="preserve"> իրանով՝ փողակաձ</w:t>
      </w:r>
      <w:r>
        <w:rPr>
          <w:rFonts w:ascii="Sylfaen" w:hAnsi="Sylfaen"/>
          <w:sz w:val="24"/>
          <w:szCs w:val="24"/>
        </w:rPr>
        <w:t>եւ</w:t>
      </w:r>
      <w:r w:rsidRPr="00394A09">
        <w:rPr>
          <w:rFonts w:ascii="Sylfaen" w:hAnsi="Sylfaen"/>
          <w:sz w:val="24"/>
          <w:szCs w:val="24"/>
        </w:rPr>
        <w:t xml:space="preserve"> ծորակով, ֆիքսված ասեղով կամ առանց դրա, կոթով շարժական մխոցով, պաշտպանիչ թասակով, որը սովորաբար օգտագործվում է պարենտերալ դեղաձ</w:t>
      </w:r>
      <w:r>
        <w:rPr>
          <w:rFonts w:ascii="Sylfaen" w:hAnsi="Sylfaen"/>
          <w:sz w:val="24"/>
          <w:szCs w:val="24"/>
        </w:rPr>
        <w:t>եւ</w:t>
      </w:r>
      <w:r w:rsidRPr="00394A09">
        <w:rPr>
          <w:rFonts w:ascii="Sylfaen" w:hAnsi="Sylfaen"/>
          <w:sz w:val="24"/>
          <w:szCs w:val="24"/>
        </w:rPr>
        <w:t>երի ներարկման համար:</w:t>
      </w:r>
      <w:r w:rsidRPr="00394A09">
        <w:rPr>
          <w:rFonts w:ascii="Sylfaen" w:hAnsi="Sylfaen"/>
          <w:color w:val="000000"/>
          <w:sz w:val="24"/>
          <w:szCs w:val="24"/>
        </w:rPr>
        <w:t xml:space="preserve"> Դեղապատրաստուկով ներարկիչը նախապես լիցքավորված ներարկիչն է:</w:t>
      </w:r>
    </w:p>
    <w:p w14:paraId="2C705B52" w14:textId="77777777" w:rsidR="00AF2D51" w:rsidRPr="00394A09" w:rsidRDefault="00AF2D51" w:rsidP="00AF2D51">
      <w:pPr>
        <w:spacing w:after="160" w:line="360" w:lineRule="auto"/>
        <w:ind w:firstLine="567"/>
        <w:jc w:val="both"/>
      </w:pPr>
      <w:r w:rsidRPr="00394A09">
        <w:rPr>
          <w:i/>
        </w:rPr>
        <w:t>Կանիստր՝</w:t>
      </w:r>
      <w:r w:rsidRPr="00394A09">
        <w:t xml:space="preserve"> պոլիմերային նյութից կամ մետաղից պատրաստված փաթեթվածք, որը հատակին զուգահեռ հատույթում ունի ուղղանկյուն կամ բազմանկյուն ձ</w:t>
      </w:r>
      <w:r>
        <w:t>եւ</w:t>
      </w:r>
      <w:r w:rsidRPr="00394A09">
        <w:t xml:space="preserve"> ունեցող իրան, տեղափոխման հարմարանքով, հեղուկաթափ բկանցքով </w:t>
      </w:r>
      <w:r>
        <w:t>եւ</w:t>
      </w:r>
      <w:r w:rsidRPr="00394A09">
        <w:t xml:space="preserve"> փակվող կափարիչով: </w:t>
      </w:r>
    </w:p>
    <w:p w14:paraId="6D6C170D"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r w:rsidRPr="00394A09">
        <w:rPr>
          <w:rFonts w:ascii="Sylfaen" w:hAnsi="Sylfaen"/>
          <w:color w:val="000000"/>
          <w:szCs w:val="24"/>
        </w:rPr>
        <w:t xml:space="preserve"> Հեղուկաթափ անցքն ու տեղափոխման հարմարանքը սովորաբար գտնվում են իրանի վերին կամ կողմնային մասում:</w:t>
      </w:r>
    </w:p>
    <w:p w14:paraId="66BD4B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Քարթրիջ՝</w:t>
      </w:r>
      <w:r w:rsidRPr="00394A09">
        <w:rPr>
          <w:rFonts w:ascii="Sylfaen" w:hAnsi="Sylfaen"/>
          <w:sz w:val="24"/>
          <w:szCs w:val="24"/>
        </w:rPr>
        <w:t xml:space="preserve"> բժշկական ապակուց կամ պոլիմերային նյութից պատրաստված առաջնային փաթեթվածք, սովորաբար գլանաձ</w:t>
      </w:r>
      <w:r>
        <w:rPr>
          <w:rFonts w:ascii="Sylfaen" w:hAnsi="Sylfaen"/>
          <w:sz w:val="24"/>
          <w:szCs w:val="24"/>
        </w:rPr>
        <w:t>եւ</w:t>
      </w:r>
      <w:r w:rsidRPr="00394A09">
        <w:rPr>
          <w:rFonts w:ascii="Sylfaen" w:hAnsi="Sylfaen"/>
          <w:sz w:val="24"/>
          <w:szCs w:val="24"/>
        </w:rPr>
        <w:t xml:space="preserve">, որը հարմար է դեղաչափված հեղուկ </w:t>
      </w:r>
      <w:r>
        <w:rPr>
          <w:rFonts w:ascii="Sylfaen" w:hAnsi="Sylfaen"/>
          <w:sz w:val="24"/>
          <w:szCs w:val="24"/>
        </w:rPr>
        <w:t>եւ</w:t>
      </w:r>
      <w:r w:rsidRPr="00394A09">
        <w:rPr>
          <w:rFonts w:ascii="Sylfaen" w:hAnsi="Sylfaen"/>
          <w:sz w:val="24"/>
          <w:szCs w:val="24"/>
        </w:rPr>
        <w:t xml:space="preserve"> պինդ դեղաձ</w:t>
      </w:r>
      <w:r>
        <w:rPr>
          <w:rFonts w:ascii="Sylfaen" w:hAnsi="Sylfaen"/>
          <w:sz w:val="24"/>
          <w:szCs w:val="24"/>
        </w:rPr>
        <w:t>եւ</w:t>
      </w:r>
      <w:r w:rsidRPr="00394A09">
        <w:rPr>
          <w:rFonts w:ascii="Sylfaen" w:hAnsi="Sylfaen"/>
          <w:sz w:val="24"/>
          <w:szCs w:val="24"/>
        </w:rPr>
        <w:t>երի համար, հիմնականում նախատեսված է հատուկ ապարատներում օգտագործման համար (օրինակ՝ գրիչ-ներարկիչներում):</w:t>
      </w:r>
    </w:p>
    <w:p w14:paraId="070FF2A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Պոլիմերային կոնտեյներ՝ արյան եւ դրա մեկանգամյա կիրառման բաղադրիչների համար՝</w:t>
      </w:r>
      <w:r w:rsidRPr="00394A09">
        <w:rPr>
          <w:rFonts w:ascii="Sylfaen" w:hAnsi="Sylfaen"/>
          <w:sz w:val="24"/>
          <w:szCs w:val="24"/>
        </w:rPr>
        <w:t xml:space="preserve"> փակ առաձգական, հերմետիկ, մանրէազերծ մեկանգամյա կիրառման համակարգ հանդիսացող փաթեթվածք, որը նախատեսված է արյուն վերցնելու, այն բաղադրիչների բաժանելու, արյան </w:t>
      </w:r>
      <w:r>
        <w:rPr>
          <w:rFonts w:ascii="Sylfaen" w:hAnsi="Sylfaen"/>
          <w:sz w:val="24"/>
          <w:szCs w:val="24"/>
        </w:rPr>
        <w:t>եւ</w:t>
      </w:r>
      <w:r w:rsidRPr="00394A09">
        <w:rPr>
          <w:rFonts w:ascii="Sylfaen" w:hAnsi="Sylfaen"/>
          <w:sz w:val="24"/>
          <w:szCs w:val="24"/>
        </w:rPr>
        <w:t xml:space="preserve"> դրա բաղադրիչների </w:t>
      </w:r>
      <w:r w:rsidRPr="00394A09">
        <w:rPr>
          <w:rFonts w:ascii="Sylfaen" w:hAnsi="Sylfaen"/>
          <w:sz w:val="24"/>
          <w:szCs w:val="24"/>
        </w:rPr>
        <w:lastRenderedPageBreak/>
        <w:t xml:space="preserve">պահման, փոխադրման </w:t>
      </w:r>
      <w:r>
        <w:rPr>
          <w:rFonts w:ascii="Sylfaen" w:hAnsi="Sylfaen"/>
          <w:sz w:val="24"/>
          <w:szCs w:val="24"/>
        </w:rPr>
        <w:t>եւ</w:t>
      </w:r>
      <w:r w:rsidRPr="00394A09">
        <w:rPr>
          <w:rFonts w:ascii="Sylfaen" w:hAnsi="Sylfaen"/>
          <w:sz w:val="24"/>
          <w:szCs w:val="24"/>
        </w:rPr>
        <w:t xml:space="preserve"> փոխներարկման համար. բաղկացած է արյան համար նախատեսված հիմնական տարայից </w:t>
      </w:r>
      <w:r>
        <w:rPr>
          <w:rFonts w:ascii="Sylfaen" w:hAnsi="Sylfaen"/>
          <w:sz w:val="24"/>
          <w:szCs w:val="24"/>
        </w:rPr>
        <w:t>եւ</w:t>
      </w:r>
      <w:r w:rsidRPr="00394A09">
        <w:rPr>
          <w:rFonts w:ascii="Sylfaen" w:hAnsi="Sylfaen"/>
          <w:sz w:val="24"/>
          <w:szCs w:val="24"/>
        </w:rPr>
        <w:t xml:space="preserve"> արյան բաղադրիչների համար նախատեսված լրացուցիչ տարաներից </w:t>
      </w:r>
      <w:r>
        <w:rPr>
          <w:rFonts w:ascii="Sylfaen" w:hAnsi="Sylfaen"/>
          <w:sz w:val="24"/>
          <w:szCs w:val="24"/>
        </w:rPr>
        <w:t>եւ</w:t>
      </w:r>
      <w:r w:rsidRPr="00394A09">
        <w:rPr>
          <w:rFonts w:ascii="Sylfaen" w:hAnsi="Sylfaen"/>
          <w:sz w:val="24"/>
          <w:szCs w:val="24"/>
        </w:rPr>
        <w:t xml:space="preserve"> միացնող խողովակներից: </w:t>
      </w:r>
      <w:r w:rsidRPr="00394A09">
        <w:rPr>
          <w:rFonts w:ascii="Sylfaen" w:hAnsi="Sylfaen"/>
          <w:color w:val="000000"/>
          <w:sz w:val="24"/>
          <w:szCs w:val="24"/>
        </w:rPr>
        <w:t xml:space="preserve">Արյան եւ դրա մեկանգամյա կիրառման բաղադրիչների համար նախատեսված պոլիմերային կոնտեյները բաղկացած է արյան համար նախատեսված հիմնական տարայից </w:t>
      </w:r>
      <w:r>
        <w:rPr>
          <w:rFonts w:ascii="Sylfaen" w:hAnsi="Sylfaen"/>
          <w:color w:val="000000"/>
          <w:sz w:val="24"/>
          <w:szCs w:val="24"/>
        </w:rPr>
        <w:t>եւ</w:t>
      </w:r>
      <w:r w:rsidRPr="00394A09">
        <w:rPr>
          <w:rFonts w:ascii="Sylfaen" w:hAnsi="Sylfaen"/>
          <w:color w:val="000000"/>
          <w:sz w:val="24"/>
          <w:szCs w:val="24"/>
        </w:rPr>
        <w:t xml:space="preserve"> արյան բաղադրիչների համար նախատեսված լրացուցիչ տարաներից </w:t>
      </w:r>
      <w:r>
        <w:rPr>
          <w:rFonts w:ascii="Sylfaen" w:hAnsi="Sylfaen"/>
          <w:color w:val="000000"/>
          <w:sz w:val="24"/>
          <w:szCs w:val="24"/>
        </w:rPr>
        <w:t>եւ</w:t>
      </w:r>
      <w:r w:rsidRPr="00394A09">
        <w:rPr>
          <w:rFonts w:ascii="Sylfaen" w:hAnsi="Sylfaen"/>
          <w:color w:val="000000"/>
          <w:sz w:val="24"/>
          <w:szCs w:val="24"/>
        </w:rPr>
        <w:t xml:space="preserve"> միացնող խողովակներից: Փաթեթվածքի յուրաքանչյուր տարա ունի խողովակապտուկներ՝ ներքին թաղանթային փականով, հիմնական տարան ունի արյուն վերցնելու հանգույց: Տարբերում են հակամակարդիչ </w:t>
      </w:r>
      <w:r>
        <w:rPr>
          <w:rFonts w:ascii="Sylfaen" w:hAnsi="Sylfaen"/>
          <w:color w:val="000000"/>
          <w:sz w:val="24"/>
          <w:szCs w:val="24"/>
        </w:rPr>
        <w:t>եւ</w:t>
      </w:r>
      <w:r w:rsidRPr="00394A09">
        <w:rPr>
          <w:rFonts w:ascii="Sylfaen" w:hAnsi="Sylfaen"/>
          <w:color w:val="000000"/>
          <w:sz w:val="24"/>
          <w:szCs w:val="24"/>
        </w:rPr>
        <w:t xml:space="preserve"> (կամ) կոնսերվանտի լուծույթ պարունակող </w:t>
      </w:r>
      <w:r>
        <w:rPr>
          <w:rFonts w:ascii="Sylfaen" w:hAnsi="Sylfaen"/>
          <w:color w:val="000000"/>
          <w:sz w:val="24"/>
          <w:szCs w:val="24"/>
        </w:rPr>
        <w:t>եւ</w:t>
      </w:r>
      <w:r w:rsidRPr="00394A09">
        <w:rPr>
          <w:rFonts w:ascii="Sylfaen" w:hAnsi="Sylfaen"/>
          <w:color w:val="000000"/>
          <w:sz w:val="24"/>
          <w:szCs w:val="24"/>
        </w:rPr>
        <w:t xml:space="preserve"> չպարունակող փաթեթվածքներ, ինչպես նա</w:t>
      </w:r>
      <w:r>
        <w:rPr>
          <w:rFonts w:ascii="Sylfaen" w:hAnsi="Sylfaen"/>
          <w:color w:val="000000"/>
          <w:sz w:val="24"/>
          <w:szCs w:val="24"/>
        </w:rPr>
        <w:t>եւ</w:t>
      </w:r>
      <w:r w:rsidRPr="00394A09">
        <w:rPr>
          <w:rFonts w:ascii="Sylfaen" w:hAnsi="Sylfaen"/>
          <w:color w:val="000000"/>
          <w:sz w:val="24"/>
          <w:szCs w:val="24"/>
        </w:rPr>
        <w:t xml:space="preserve"> միախուց, երկխուց, եռախուց </w:t>
      </w:r>
      <w:r>
        <w:rPr>
          <w:rFonts w:ascii="Sylfaen" w:hAnsi="Sylfaen"/>
          <w:color w:val="000000"/>
          <w:sz w:val="24"/>
          <w:szCs w:val="24"/>
        </w:rPr>
        <w:t>եւ</w:t>
      </w:r>
      <w:r w:rsidRPr="00394A09">
        <w:rPr>
          <w:rFonts w:ascii="Sylfaen" w:hAnsi="Sylfaen"/>
          <w:color w:val="000000"/>
          <w:sz w:val="24"/>
          <w:szCs w:val="24"/>
        </w:rPr>
        <w:t xml:space="preserve"> քառախուց փաթեթվածքներ:</w:t>
      </w:r>
    </w:p>
    <w:p w14:paraId="09DD75D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Տուփ՝</w:t>
      </w:r>
      <w:r w:rsidRPr="00394A09">
        <w:rPr>
          <w:rFonts w:ascii="Sylfaen" w:hAnsi="Sylfaen"/>
          <w:sz w:val="24"/>
          <w:szCs w:val="24"/>
        </w:rPr>
        <w:t xml:space="preserve"> ստվարաթղթե կամ պոլիմերային նյութից պատրաստված փաթեթվածք, որն ունի տարբեր ձ</w:t>
      </w:r>
      <w:r>
        <w:rPr>
          <w:rFonts w:ascii="Sylfaen" w:hAnsi="Sylfaen"/>
          <w:sz w:val="24"/>
          <w:szCs w:val="24"/>
        </w:rPr>
        <w:t>եւ</w:t>
      </w:r>
      <w:r w:rsidRPr="00394A09">
        <w:rPr>
          <w:rFonts w:ascii="Sylfaen" w:hAnsi="Sylfaen"/>
          <w:sz w:val="24"/>
          <w:szCs w:val="24"/>
        </w:rPr>
        <w:t>երի իրաններ՝ հարթ հատակով, փակվում է փականներով կամ հանովի կափարիչով կամ հոդակապերով կամ խեմի ձ</w:t>
      </w:r>
      <w:r>
        <w:rPr>
          <w:rFonts w:ascii="Sylfaen" w:hAnsi="Sylfaen"/>
          <w:sz w:val="24"/>
          <w:szCs w:val="24"/>
        </w:rPr>
        <w:t>եւ</w:t>
      </w:r>
      <w:r w:rsidRPr="00394A09">
        <w:rPr>
          <w:rFonts w:ascii="Sylfaen" w:hAnsi="Sylfaen"/>
          <w:sz w:val="24"/>
          <w:szCs w:val="24"/>
        </w:rPr>
        <w:t xml:space="preserve"> ունեցող կափարիչով:</w:t>
      </w:r>
    </w:p>
    <w:p w14:paraId="0FFFA722"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p>
    <w:p w14:paraId="5DBB82E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Cs w:val="24"/>
        </w:rPr>
      </w:pPr>
      <w:r w:rsidRPr="00394A09">
        <w:rPr>
          <w:rFonts w:ascii="Sylfaen" w:hAnsi="Sylfaen"/>
          <w:szCs w:val="24"/>
        </w:rPr>
        <w:t>1.</w:t>
      </w:r>
      <w:r w:rsidRPr="00394A09">
        <w:rPr>
          <w:rFonts w:ascii="Sylfaen" w:hAnsi="Sylfaen"/>
          <w:szCs w:val="24"/>
        </w:rPr>
        <w:tab/>
      </w:r>
      <w:r w:rsidRPr="00394A09">
        <w:rPr>
          <w:rFonts w:ascii="Sylfaen" w:hAnsi="Sylfaen"/>
          <w:color w:val="000000"/>
          <w:szCs w:val="24"/>
        </w:rPr>
        <w:t xml:space="preserve">Մեկ նախապատրաստվածքից սարքված եւ փականներով փակվող տուփը թույլատրվում է </w:t>
      </w:r>
      <w:r w:rsidRPr="00394A09">
        <w:rPr>
          <w:rFonts w:ascii="Sylfaen" w:hAnsi="Sylfaen"/>
          <w:i/>
          <w:color w:val="000000"/>
          <w:szCs w:val="24"/>
        </w:rPr>
        <w:t>փաթեթ</w:t>
      </w:r>
      <w:r w:rsidRPr="00394A09">
        <w:rPr>
          <w:rFonts w:ascii="Sylfaen" w:hAnsi="Sylfaen"/>
          <w:color w:val="000000"/>
          <w:szCs w:val="24"/>
        </w:rPr>
        <w:t xml:space="preserve"> անվանել:</w:t>
      </w:r>
    </w:p>
    <w:p w14:paraId="7D993FD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Cs w:val="24"/>
        </w:rPr>
      </w:pPr>
      <w:r w:rsidRPr="00394A09">
        <w:rPr>
          <w:rFonts w:ascii="Sylfaen" w:hAnsi="Sylfaen"/>
          <w:szCs w:val="24"/>
        </w:rPr>
        <w:t>2.</w:t>
      </w:r>
      <w:r w:rsidRPr="00394A09">
        <w:rPr>
          <w:rFonts w:ascii="Sylfaen" w:hAnsi="Sylfaen"/>
          <w:szCs w:val="24"/>
        </w:rPr>
        <w:tab/>
      </w:r>
      <w:r w:rsidRPr="00394A09">
        <w:rPr>
          <w:rFonts w:ascii="Sylfaen" w:hAnsi="Sylfaen"/>
          <w:color w:val="000000"/>
          <w:szCs w:val="24"/>
        </w:rPr>
        <w:t xml:space="preserve">Խեմի ձեւ ունեցող կափարիչով փակվող տուփը թույլատրվում է անվանել </w:t>
      </w:r>
      <w:r w:rsidRPr="00394A09">
        <w:rPr>
          <w:rFonts w:ascii="Sylfaen" w:hAnsi="Sylfaen"/>
          <w:i/>
          <w:color w:val="000000"/>
          <w:szCs w:val="24"/>
        </w:rPr>
        <w:t>պահատուփ</w:t>
      </w:r>
      <w:r w:rsidRPr="00394A09">
        <w:rPr>
          <w:rFonts w:ascii="Sylfaen" w:hAnsi="Sylfaen"/>
          <w:color w:val="000000"/>
          <w:szCs w:val="24"/>
        </w:rPr>
        <w:t>:</w:t>
      </w:r>
    </w:p>
    <w:p w14:paraId="7B33F5B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Պարկ՝</w:t>
      </w:r>
      <w:r w:rsidRPr="00394A09">
        <w:rPr>
          <w:rFonts w:ascii="Sylfaen" w:hAnsi="Sylfaen"/>
          <w:sz w:val="24"/>
          <w:szCs w:val="24"/>
        </w:rPr>
        <w:t xml:space="preserve"> տրանսպորտային փափուկ փաթեթվածք, որն ունի թ</w:t>
      </w:r>
      <w:r>
        <w:rPr>
          <w:rFonts w:ascii="Sylfaen" w:hAnsi="Sylfaen"/>
          <w:sz w:val="24"/>
          <w:szCs w:val="24"/>
        </w:rPr>
        <w:t>եւ</w:t>
      </w:r>
      <w:r w:rsidRPr="00394A09">
        <w:rPr>
          <w:rFonts w:ascii="Sylfaen" w:hAnsi="Sylfaen"/>
          <w:sz w:val="24"/>
          <w:szCs w:val="24"/>
        </w:rPr>
        <w:t>աձ</w:t>
      </w:r>
      <w:r>
        <w:rPr>
          <w:rFonts w:ascii="Sylfaen" w:hAnsi="Sylfaen"/>
          <w:sz w:val="24"/>
          <w:szCs w:val="24"/>
        </w:rPr>
        <w:t>եւ</w:t>
      </w:r>
      <w:r w:rsidRPr="00394A09">
        <w:rPr>
          <w:rFonts w:ascii="Sylfaen" w:hAnsi="Sylfaen"/>
          <w:sz w:val="24"/>
          <w:szCs w:val="24"/>
        </w:rPr>
        <w:t xml:space="preserve"> իրան, հատակով </w:t>
      </w:r>
      <w:r>
        <w:rPr>
          <w:rFonts w:ascii="Sylfaen" w:hAnsi="Sylfaen"/>
          <w:sz w:val="24"/>
          <w:szCs w:val="24"/>
        </w:rPr>
        <w:t>եւ</w:t>
      </w:r>
      <w:r w:rsidRPr="00394A09">
        <w:rPr>
          <w:rFonts w:ascii="Sylfaen" w:hAnsi="Sylfaen"/>
          <w:sz w:val="24"/>
          <w:szCs w:val="24"/>
        </w:rPr>
        <w:t xml:space="preserve"> բաց վերին մասով (բկանցքով) կամ փակ վերին մասով՝ փականով:</w:t>
      </w:r>
    </w:p>
    <w:p w14:paraId="13669E8A" w14:textId="77777777" w:rsidR="00AF2D51" w:rsidRPr="00903268"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i/>
          <w:sz w:val="24"/>
          <w:szCs w:val="24"/>
        </w:rPr>
        <w:t>Փաթեթ՝</w:t>
      </w:r>
      <w:r w:rsidRPr="00394A09">
        <w:rPr>
          <w:rFonts w:ascii="Sylfaen" w:hAnsi="Sylfaen"/>
          <w:sz w:val="24"/>
          <w:szCs w:val="24"/>
        </w:rPr>
        <w:t xml:space="preserve"> թղթի, փայլաթիթեղի, պոլիմերային նյութի հիմքով պատրաստված փաթեթվածք, որն ունի թ</w:t>
      </w:r>
      <w:r>
        <w:rPr>
          <w:rFonts w:ascii="Sylfaen" w:hAnsi="Sylfaen"/>
          <w:sz w:val="24"/>
          <w:szCs w:val="24"/>
        </w:rPr>
        <w:t>եւ</w:t>
      </w:r>
      <w:r w:rsidRPr="00394A09">
        <w:rPr>
          <w:rFonts w:ascii="Sylfaen" w:hAnsi="Sylfaen"/>
          <w:sz w:val="24"/>
          <w:szCs w:val="24"/>
        </w:rPr>
        <w:t>աձ</w:t>
      </w:r>
      <w:r>
        <w:rPr>
          <w:rFonts w:ascii="Sylfaen" w:hAnsi="Sylfaen"/>
          <w:sz w:val="24"/>
          <w:szCs w:val="24"/>
        </w:rPr>
        <w:t>եւ</w:t>
      </w:r>
      <w:r w:rsidRPr="00394A09">
        <w:rPr>
          <w:rFonts w:ascii="Sylfaen" w:hAnsi="Sylfaen"/>
          <w:sz w:val="24"/>
          <w:szCs w:val="24"/>
        </w:rPr>
        <w:t xml:space="preserve"> իրան, հատակով </w:t>
      </w:r>
      <w:r>
        <w:rPr>
          <w:rFonts w:ascii="Sylfaen" w:hAnsi="Sylfaen"/>
          <w:sz w:val="24"/>
          <w:szCs w:val="24"/>
        </w:rPr>
        <w:t>եւ</w:t>
      </w:r>
      <w:r w:rsidRPr="00394A09">
        <w:rPr>
          <w:rFonts w:ascii="Sylfaen" w:hAnsi="Sylfaen"/>
          <w:sz w:val="24"/>
          <w:szCs w:val="24"/>
        </w:rPr>
        <w:t xml:space="preserve"> բաց վերին մասով, հիմնականում ճկուն, բաղկացած է մակերեւույթներից, հարթ հատակով կամ առանց դրա, որը հատակի կամ կողմնային մասերում փակվում է սոսնձման, ջերմաեռակցման կամ կարման եղանակով, վեր</w:t>
      </w:r>
      <w:r>
        <w:rPr>
          <w:rFonts w:ascii="Sylfaen" w:hAnsi="Sylfaen"/>
          <w:sz w:val="24"/>
          <w:szCs w:val="24"/>
        </w:rPr>
        <w:t>եւ</w:t>
      </w:r>
      <w:r w:rsidRPr="00394A09">
        <w:rPr>
          <w:rFonts w:ascii="Sylfaen" w:hAnsi="Sylfaen"/>
          <w:sz w:val="24"/>
          <w:szCs w:val="24"/>
        </w:rPr>
        <w:t>ի մասը կարող է փակվել նյութերի միաձուլման միջոցով՝ կախված դրա նշանակությունից:</w:t>
      </w:r>
    </w:p>
    <w:p w14:paraId="62DCD000" w14:textId="77777777" w:rsidR="00AF2D51" w:rsidRPr="00AF2D51" w:rsidRDefault="00AF2D51" w:rsidP="00AF2D51">
      <w:pPr>
        <w:pStyle w:val="a0"/>
        <w:shd w:val="clear" w:color="auto" w:fill="auto"/>
        <w:spacing w:after="160" w:line="360" w:lineRule="auto"/>
        <w:ind w:firstLine="567"/>
        <w:jc w:val="both"/>
        <w:rPr>
          <w:rFonts w:ascii="Sylfaen" w:hAnsi="Sylfaen"/>
          <w:color w:val="000000"/>
          <w:spacing w:val="-4"/>
          <w:szCs w:val="24"/>
        </w:rPr>
      </w:pPr>
      <w:r w:rsidRPr="00394A09">
        <w:rPr>
          <w:rFonts w:ascii="Sylfaen" w:hAnsi="Sylfaen"/>
          <w:i/>
          <w:color w:val="000000"/>
          <w:spacing w:val="-4"/>
          <w:szCs w:val="24"/>
        </w:rPr>
        <w:t>Ծանոթագրություն.</w:t>
      </w:r>
      <w:r w:rsidRPr="00394A09">
        <w:rPr>
          <w:rFonts w:ascii="Sylfaen" w:hAnsi="Sylfaen"/>
          <w:color w:val="000000"/>
          <w:spacing w:val="-4"/>
          <w:szCs w:val="24"/>
        </w:rPr>
        <w:t xml:space="preserve"> Փոքր տարողությամբ փաթեթը թույլատրվում է անվանել </w:t>
      </w:r>
      <w:r w:rsidRPr="00394A09">
        <w:rPr>
          <w:rFonts w:ascii="Sylfaen" w:hAnsi="Sylfaen"/>
          <w:i/>
          <w:color w:val="000000"/>
          <w:spacing w:val="-4"/>
          <w:szCs w:val="24"/>
        </w:rPr>
        <w:t>փաթեթիկ, սաշե</w:t>
      </w:r>
      <w:r w:rsidRPr="00394A09">
        <w:rPr>
          <w:rFonts w:ascii="Sylfaen" w:hAnsi="Sylfaen"/>
          <w:color w:val="000000"/>
          <w:spacing w:val="-4"/>
          <w:szCs w:val="24"/>
        </w:rPr>
        <w:t>:</w:t>
      </w:r>
    </w:p>
    <w:p w14:paraId="4C246ED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Փորձասրվակ՝ բժշկական անգույն ապակուց, պոլիմերային նյութից կամ մետաղից (ալյումինից) պատրաստված առաջնային փաթեթվածք, գլանաձ</w:t>
      </w:r>
      <w:r>
        <w:rPr>
          <w:rFonts w:ascii="Sylfaen" w:hAnsi="Sylfaen"/>
          <w:sz w:val="24"/>
          <w:szCs w:val="24"/>
        </w:rPr>
        <w:t>եւ</w:t>
      </w:r>
      <w:r w:rsidRPr="00394A09">
        <w:rPr>
          <w:rFonts w:ascii="Sylfaen" w:hAnsi="Sylfaen"/>
          <w:sz w:val="24"/>
          <w:szCs w:val="24"/>
        </w:rPr>
        <w:t xml:space="preserve"> իրանով, հարթ կամ գոգավոր հատակով, բկանցքով, որի տրամագիծը հավասար է իրանի տրամագծին, խցանափակվում է մինչ</w:t>
      </w:r>
      <w:r>
        <w:rPr>
          <w:rFonts w:ascii="Sylfaen" w:hAnsi="Sylfaen"/>
          <w:sz w:val="24"/>
          <w:szCs w:val="24"/>
        </w:rPr>
        <w:t>եւ</w:t>
      </w:r>
      <w:r w:rsidRPr="00394A09">
        <w:rPr>
          <w:rFonts w:ascii="Sylfaen" w:hAnsi="Sylfaen"/>
          <w:sz w:val="24"/>
          <w:szCs w:val="24"/>
        </w:rPr>
        <w:t xml:space="preserve"> 5 մլ տարողությամբ խցանով կամ կափարիչով:</w:t>
      </w:r>
    </w:p>
    <w:p w14:paraId="2CBDC61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Կիտուկ՝</w:t>
      </w:r>
      <w:r w:rsidRPr="00394A09">
        <w:rPr>
          <w:rFonts w:ascii="Sylfaen" w:hAnsi="Sylfaen"/>
          <w:sz w:val="24"/>
          <w:szCs w:val="24"/>
        </w:rPr>
        <w:t xml:space="preserve"> խմբային փաթեթվածք, որը բաղկացած է մեկը մյուսի վրա շարված, որպես կանոն, հարթ, նույն չափի սպառողական փաթեթվածքներից, օրինակ՝ կապոցներից:</w:t>
      </w:r>
    </w:p>
    <w:p w14:paraId="0766185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Պարկուճ՝</w:t>
      </w:r>
      <w:r w:rsidRPr="00394A09">
        <w:rPr>
          <w:rFonts w:ascii="Sylfaen" w:hAnsi="Sylfaen"/>
          <w:sz w:val="24"/>
          <w:szCs w:val="24"/>
        </w:rPr>
        <w:t xml:space="preserve"> առաջնային փաթեթվածք, որը պատրաստված է ճկուն մետաղական, պոլիմերային կամ համակցված նյութերից, առավելապես ունի գլանաձ</w:t>
      </w:r>
      <w:r>
        <w:rPr>
          <w:rFonts w:ascii="Sylfaen" w:hAnsi="Sylfaen"/>
          <w:sz w:val="24"/>
          <w:szCs w:val="24"/>
        </w:rPr>
        <w:t>եւ</w:t>
      </w:r>
      <w:r w:rsidRPr="00394A09">
        <w:rPr>
          <w:rFonts w:ascii="Sylfaen" w:hAnsi="Sylfaen"/>
          <w:sz w:val="24"/>
          <w:szCs w:val="24"/>
        </w:rPr>
        <w:t xml:space="preserve"> իրան՝ նեղ բկանցքով, որը խցանափակվում է թասակով (բշտիկով), </w:t>
      </w:r>
      <w:r>
        <w:rPr>
          <w:rFonts w:ascii="Sylfaen" w:hAnsi="Sylfaen"/>
          <w:sz w:val="24"/>
          <w:szCs w:val="24"/>
        </w:rPr>
        <w:t>եւ</w:t>
      </w:r>
      <w:r w:rsidRPr="00394A09">
        <w:rPr>
          <w:rFonts w:ascii="Sylfaen" w:hAnsi="Sylfaen"/>
          <w:sz w:val="24"/>
          <w:szCs w:val="24"/>
        </w:rPr>
        <w:t xml:space="preserve"> հատակով, որը փակվում է դեղապատրաստուկով լցնելուց հետո: </w:t>
      </w:r>
      <w:r w:rsidRPr="00394A09">
        <w:rPr>
          <w:rFonts w:ascii="Sylfaen" w:hAnsi="Sylfaen"/>
          <w:color w:val="000000"/>
          <w:sz w:val="24"/>
          <w:szCs w:val="24"/>
        </w:rPr>
        <w:t>Դեղապատրաստուկի դուրսբերումն իրականացվում է բկանցքից՝ փաթեթվածքի սեղմման միջոցով:</w:t>
      </w:r>
    </w:p>
    <w:p w14:paraId="72C1426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Պարկուճ-կաթոցիչ՝ առաջնային փաթեթվածք, որը պատրաստված է առաձգական պոլիմերային նյութից՝ փականով կամ պտուտակային բկանցքով, պաշտպանիչ թասակով, որն ապահովում է դրա մեջ պարունակվող դեղապատրաստուկի (հեղուկի) հարկադրված արտահոսքը՝ կաթիլագոյացուցչի միջոցով՝ փաթեթվածքի իրանի սեղմման դեպքում:</w:t>
      </w:r>
    </w:p>
    <w:p w14:paraId="7B1C95F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Փաթեթվածք եզրագծային՝ առանց խորշերի (սթրիփ)՝</w:t>
      </w:r>
      <w:r w:rsidRPr="00394A09">
        <w:rPr>
          <w:rFonts w:ascii="Sylfaen" w:hAnsi="Sylfaen"/>
          <w:sz w:val="24"/>
          <w:szCs w:val="24"/>
        </w:rPr>
        <w:t xml:space="preserve"> համակցված նյութերից պատրաստված ճկուն փաթեթվածք՝ դրա երկու շերտերի միջ</w:t>
      </w:r>
      <w:r>
        <w:rPr>
          <w:rFonts w:ascii="Sylfaen" w:hAnsi="Sylfaen"/>
          <w:sz w:val="24"/>
          <w:szCs w:val="24"/>
        </w:rPr>
        <w:t>եւ</w:t>
      </w:r>
      <w:r w:rsidRPr="00394A09">
        <w:rPr>
          <w:rFonts w:ascii="Sylfaen" w:hAnsi="Sylfaen"/>
          <w:sz w:val="24"/>
          <w:szCs w:val="24"/>
        </w:rPr>
        <w:t xml:space="preserve"> տեղադրված դեղապատրաստուկով, որից դեղապատրաստուկը հանվում է փաթեթվածքի պատռման միջոցով:</w:t>
      </w:r>
    </w:p>
    <w:p w14:paraId="12B157E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Փաթեթվածք եզրագծային՝ խորշերով (բլիստեր)՝</w:t>
      </w:r>
      <w:r w:rsidRPr="00394A09">
        <w:rPr>
          <w:rFonts w:ascii="Sylfaen" w:hAnsi="Sylfaen"/>
          <w:sz w:val="24"/>
          <w:szCs w:val="24"/>
        </w:rPr>
        <w:t xml:space="preserve"> համակցված նյութերից պատրաստված ճկուն փաթեթվածք, որը կազմված է երկու շերտերից, որոնցից մեկը ջերմակաղապարված խորշեր են, որոնցից դեղապատրաստուկը հանվում է արտաճզմման կամ բացման միջոցով:</w:t>
      </w:r>
    </w:p>
    <w:p w14:paraId="38871868" w14:textId="77777777" w:rsidR="00AF2D51" w:rsidRPr="00394A09" w:rsidRDefault="00AF2D51" w:rsidP="00AF2D51">
      <w:pPr>
        <w:tabs>
          <w:tab w:val="left" w:pos="2568"/>
        </w:tabs>
        <w:spacing w:after="160" w:line="360" w:lineRule="auto"/>
        <w:ind w:firstLine="567"/>
        <w:jc w:val="both"/>
      </w:pPr>
      <w:r w:rsidRPr="00394A09">
        <w:rPr>
          <w:i/>
        </w:rPr>
        <w:lastRenderedPageBreak/>
        <w:t>Սրվակ՝</w:t>
      </w:r>
      <w:r w:rsidRPr="00394A09">
        <w:t xml:space="preserve"> բժշկական անգույն կամ լուսապաշտպանիչ ապակուց կամ պոլիմերային նյութից պատրաստված առաջնային փաթեթվածք, որն ունի տարբեր ձ</w:t>
      </w:r>
      <w:r>
        <w:t>եւ</w:t>
      </w:r>
      <w:r w:rsidRPr="00394A09">
        <w:t xml:space="preserve">երի իրան՝ դեպի բկանցք կտրուկ անցնող, որի պսակի տրամագիծը զգալիորեն փոքր է իրանի տրամագծից, հարթ կամ գոգավոր հատակով: </w:t>
      </w:r>
    </w:p>
    <w:p w14:paraId="31C02A8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Սրվակ-կաթոցիչ՝</w:t>
      </w:r>
      <w:r w:rsidRPr="00394A09">
        <w:rPr>
          <w:rFonts w:ascii="Sylfaen" w:hAnsi="Sylfaen"/>
          <w:sz w:val="24"/>
          <w:szCs w:val="24"/>
        </w:rPr>
        <w:t xml:space="preserve"> բժշկական անգույն կամ լուսապաշտպանիչ ապակուց կամ պոլիմերային նյութից պատրաստված սրվակ հանդիսացող փաթեթվածքի համակարգ՝ պտուտակային բկանցքով, հագեցած է ներպտուտակվող կափարիչով </w:t>
      </w:r>
      <w:r>
        <w:rPr>
          <w:rFonts w:ascii="Sylfaen" w:hAnsi="Sylfaen"/>
          <w:sz w:val="24"/>
          <w:szCs w:val="24"/>
        </w:rPr>
        <w:t>եւ</w:t>
      </w:r>
      <w:r w:rsidRPr="00394A09">
        <w:rPr>
          <w:rFonts w:ascii="Sylfaen" w:hAnsi="Sylfaen"/>
          <w:sz w:val="24"/>
          <w:szCs w:val="24"/>
        </w:rPr>
        <w:t xml:space="preserve"> կաթիլային խցանով, որն ապահովում է հեղուկ դեղապատրաստուկների ազատ կամ հարկադրված արտահոսքը՝ տրված արագությամբ:</w:t>
      </w:r>
    </w:p>
    <w:p w14:paraId="342CEB6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Ապակե խողովակից կազմված սրվակ (դրոտա)՝</w:t>
      </w:r>
      <w:r w:rsidRPr="00394A09">
        <w:rPr>
          <w:rFonts w:ascii="Sylfaen" w:hAnsi="Sylfaen"/>
          <w:sz w:val="24"/>
          <w:szCs w:val="24"/>
        </w:rPr>
        <w:t xml:space="preserve"> հարթ բկանցքով </w:t>
      </w:r>
      <w:r>
        <w:rPr>
          <w:rFonts w:ascii="Sylfaen" w:hAnsi="Sylfaen"/>
          <w:sz w:val="24"/>
          <w:szCs w:val="24"/>
        </w:rPr>
        <w:t>եւ</w:t>
      </w:r>
      <w:r w:rsidRPr="00394A09">
        <w:rPr>
          <w:rFonts w:ascii="Sylfaen" w:hAnsi="Sylfaen"/>
          <w:sz w:val="24"/>
          <w:szCs w:val="24"/>
        </w:rPr>
        <w:t xml:space="preserve"> ուղղանկյուն պսակով սրվակ հանդիսացող առաջնային փաթեթվածք, որը նախատեսված է խցանով </w:t>
      </w:r>
      <w:r>
        <w:rPr>
          <w:rFonts w:ascii="Sylfaen" w:hAnsi="Sylfaen"/>
          <w:sz w:val="24"/>
          <w:szCs w:val="24"/>
        </w:rPr>
        <w:t>եւ</w:t>
      </w:r>
      <w:r w:rsidRPr="00394A09">
        <w:rPr>
          <w:rFonts w:ascii="Sylfaen" w:hAnsi="Sylfaen"/>
          <w:sz w:val="24"/>
          <w:szCs w:val="24"/>
        </w:rPr>
        <w:t xml:space="preserve"> ալյումինե գլոցածալմամբ կամ շրջասեղմիչ թասակով խցանափակման համար, 5-ից 30 մլ տարողությամբ:</w:t>
      </w:r>
      <w:r w:rsidRPr="00394A09">
        <w:rPr>
          <w:rFonts w:ascii="Sylfaen" w:hAnsi="Sylfaen"/>
          <w:color w:val="000000"/>
          <w:sz w:val="24"/>
          <w:szCs w:val="24"/>
        </w:rPr>
        <w:t xml:space="preserve"> Ռետինե խցանով փակված սրվակից պարենտերալ կիրառման համար նախատեսված դեղապատրաստուկի պարունակության դուրսբերումն իրականացվում է խցանն ասեղով ծակելու եղանակով:</w:t>
      </w:r>
    </w:p>
    <w:p w14:paraId="3A4F2D7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Տափաշիշ՝</w:t>
      </w:r>
      <w:r w:rsidRPr="00394A09">
        <w:rPr>
          <w:rFonts w:ascii="Sylfaen" w:hAnsi="Sylfaen"/>
          <w:sz w:val="24"/>
          <w:szCs w:val="24"/>
        </w:rPr>
        <w:t xml:space="preserve"> տրանսպորտային բազմապտույտ փաթեթվածք, որը նախատեսված է բազմակի կիրառման համար, ունի գլանաձեւ իրան </w:t>
      </w:r>
      <w:r>
        <w:rPr>
          <w:rFonts w:ascii="Sylfaen" w:hAnsi="Sylfaen"/>
          <w:sz w:val="24"/>
          <w:szCs w:val="24"/>
        </w:rPr>
        <w:t>եւ</w:t>
      </w:r>
      <w:r w:rsidRPr="00394A09">
        <w:rPr>
          <w:rFonts w:ascii="Sylfaen" w:hAnsi="Sylfaen"/>
          <w:sz w:val="24"/>
          <w:szCs w:val="24"/>
        </w:rPr>
        <w:t xml:space="preserve"> լայն գլանաձեւ բկանցք, որի տրամագիծն իրանի տրամագծից փոքր է՝ փոխադրման հարմարանքով </w:t>
      </w:r>
      <w:r>
        <w:rPr>
          <w:rFonts w:ascii="Sylfaen" w:hAnsi="Sylfaen"/>
          <w:sz w:val="24"/>
          <w:szCs w:val="24"/>
        </w:rPr>
        <w:t>եւ</w:t>
      </w:r>
      <w:r w:rsidRPr="00394A09">
        <w:rPr>
          <w:rFonts w:ascii="Sylfaen" w:hAnsi="Sylfaen"/>
          <w:sz w:val="24"/>
          <w:szCs w:val="24"/>
        </w:rPr>
        <w:t xml:space="preserve"> փակվող կափարիչով:</w:t>
      </w:r>
    </w:p>
    <w:p w14:paraId="0A8F719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Ներարկիչ-պարկուճ՝ առաձգական պոլիմերային նյութից պատրաստված առաջնային փաթեթվածք՝ բկանցքի վրա պարուրակով </w:t>
      </w:r>
      <w:r>
        <w:rPr>
          <w:rFonts w:ascii="Sylfaen" w:hAnsi="Sylfaen"/>
          <w:sz w:val="24"/>
          <w:szCs w:val="24"/>
        </w:rPr>
        <w:t>եւ</w:t>
      </w:r>
      <w:r w:rsidRPr="00394A09">
        <w:rPr>
          <w:rFonts w:ascii="Sylfaen" w:hAnsi="Sylfaen"/>
          <w:sz w:val="24"/>
          <w:szCs w:val="24"/>
        </w:rPr>
        <w:t xml:space="preserve"> պաշտպանիչ թասակ ունեցող ներարկման ասեղով, որն ապահովում է դրա պարունակության (ներարկման համար լուծույթների) հարկադրված արտահոսքն ասեղի միջով՝ փաթեթվածքի իրանի սեղմման միջոցով:</w:t>
      </w:r>
    </w:p>
    <w:p w14:paraId="3C066FE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Արկղ՝</w:t>
      </w:r>
      <w:r w:rsidRPr="00394A09">
        <w:rPr>
          <w:rFonts w:ascii="Sylfaen" w:hAnsi="Sylfaen"/>
          <w:sz w:val="24"/>
          <w:szCs w:val="24"/>
        </w:rPr>
        <w:t xml:space="preserve"> տրանսպորտային կոշտ փաթեթվածք՝ ուղղանկյուն կամ բազմանկյուն կողմերով, հատակով, երկու ճակատային </w:t>
      </w:r>
      <w:r>
        <w:rPr>
          <w:rFonts w:ascii="Sylfaen" w:hAnsi="Sylfaen"/>
          <w:sz w:val="24"/>
          <w:szCs w:val="24"/>
        </w:rPr>
        <w:t>եւ</w:t>
      </w:r>
      <w:r w:rsidRPr="00394A09">
        <w:rPr>
          <w:rFonts w:ascii="Sylfaen" w:hAnsi="Sylfaen"/>
          <w:sz w:val="24"/>
          <w:szCs w:val="24"/>
        </w:rPr>
        <w:t xml:space="preserve"> կողմնային պատերով, կափարիչով կամ առանց դրա:</w:t>
      </w:r>
    </w:p>
    <w:p w14:paraId="5DFF988E"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lastRenderedPageBreak/>
        <w:t>Ծանոթագրություն.</w:t>
      </w:r>
    </w:p>
    <w:p w14:paraId="318C5CC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Cs w:val="24"/>
        </w:rPr>
      </w:pPr>
      <w:r w:rsidRPr="00394A09">
        <w:rPr>
          <w:rFonts w:ascii="Sylfaen" w:hAnsi="Sylfaen"/>
          <w:szCs w:val="24"/>
        </w:rPr>
        <w:t>1.</w:t>
      </w:r>
      <w:r w:rsidRPr="00394A09">
        <w:rPr>
          <w:rFonts w:ascii="Sylfaen" w:hAnsi="Sylfaen"/>
          <w:szCs w:val="24"/>
        </w:rPr>
        <w:tab/>
      </w:r>
      <w:r w:rsidRPr="00394A09">
        <w:rPr>
          <w:rFonts w:ascii="Sylfaen" w:hAnsi="Sylfaen"/>
          <w:color w:val="000000"/>
          <w:szCs w:val="24"/>
        </w:rPr>
        <w:t>130 մմ-ից ոչ ավելի բարձրությամբ ցցվող կամ ոչ ցցվող անկյունային զոլակներով առանց կափարիչի արկղ, թույլատրվում է անվանել վաք:</w:t>
      </w:r>
    </w:p>
    <w:p w14:paraId="70D0D67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Cs w:val="24"/>
        </w:rPr>
      </w:pPr>
      <w:r w:rsidRPr="00394A09">
        <w:rPr>
          <w:rFonts w:ascii="Sylfaen" w:hAnsi="Sylfaen"/>
          <w:szCs w:val="24"/>
        </w:rPr>
        <w:t>2.</w:t>
      </w:r>
      <w:r w:rsidRPr="00394A09">
        <w:rPr>
          <w:rFonts w:ascii="Sylfaen" w:hAnsi="Sylfaen"/>
          <w:szCs w:val="24"/>
        </w:rPr>
        <w:tab/>
      </w:r>
      <w:r w:rsidRPr="00394A09">
        <w:rPr>
          <w:rFonts w:ascii="Sylfaen" w:hAnsi="Sylfaen"/>
          <w:color w:val="000000"/>
          <w:szCs w:val="24"/>
        </w:rPr>
        <w:t>Արկղի կողմերը կարող են ունենալ գործողությունների կատարման, օդափոխության, պարունակության ցուցադրման համար անցքեր:</w:t>
      </w:r>
    </w:p>
    <w:p w14:paraId="16BFD98A"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r w:rsidRPr="00394A09">
        <w:rPr>
          <w:rFonts w:ascii="Sylfaen" w:hAnsi="Sylfaen"/>
          <w:color w:val="000000"/>
          <w:szCs w:val="24"/>
        </w:rPr>
        <w:t xml:space="preserve"> Փաթեթվածքի ներկայացված տեսակների ու ձեւերի ցանկը սպառիչ չէ, այն կարող է լրացվել գործող նորմատիվ փաստաթղթերի ցուցումներին համապատասխան:</w:t>
      </w:r>
    </w:p>
    <w:p w14:paraId="59093C01" w14:textId="77777777" w:rsidR="00AF2D51" w:rsidRPr="00AF2D51" w:rsidRDefault="00AF2D51" w:rsidP="00AF2D51">
      <w:pPr>
        <w:pStyle w:val="a0"/>
        <w:shd w:val="clear" w:color="auto" w:fill="auto"/>
        <w:spacing w:after="160" w:line="360" w:lineRule="auto"/>
        <w:ind w:firstLine="567"/>
        <w:rPr>
          <w:rFonts w:ascii="Sylfaen" w:hAnsi="Sylfaen"/>
          <w:b/>
          <w:color w:val="000000"/>
          <w:sz w:val="24"/>
          <w:szCs w:val="24"/>
        </w:rPr>
      </w:pPr>
    </w:p>
    <w:p w14:paraId="524FC70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Ըստ մեխանիկական հատկությունների</w:t>
      </w:r>
    </w:p>
    <w:p w14:paraId="5993617C" w14:textId="77777777" w:rsidR="00AF2D51" w:rsidRPr="00394A09" w:rsidRDefault="00AF2D51" w:rsidP="00AF2D51">
      <w:pPr>
        <w:tabs>
          <w:tab w:val="left" w:pos="2568"/>
        </w:tabs>
        <w:spacing w:after="160" w:line="360" w:lineRule="auto"/>
        <w:ind w:firstLine="567"/>
        <w:jc w:val="both"/>
      </w:pPr>
      <w:r w:rsidRPr="00394A09">
        <w:rPr>
          <w:i/>
        </w:rPr>
        <w:t>Կոշտ փաթեթվածք</w:t>
      </w:r>
      <w:r w:rsidRPr="00394A09">
        <w:t>՝ փաթեթվածք, որի ձ</w:t>
      </w:r>
      <w:r>
        <w:t>եւ</w:t>
      </w:r>
      <w:r w:rsidRPr="00394A09">
        <w:t>ն ու չափսերը չեն փոխվում լիցքավորելիս կամ պարունակությունը հեռացնելիս:</w:t>
      </w:r>
    </w:p>
    <w:p w14:paraId="060FBB4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Փափուկ փաթեթվածք</w:t>
      </w:r>
      <w:r w:rsidRPr="00394A09">
        <w:rPr>
          <w:rFonts w:ascii="Sylfaen" w:hAnsi="Sylfaen"/>
          <w:sz w:val="24"/>
          <w:szCs w:val="24"/>
        </w:rPr>
        <w:t>՝ փաթեթվածք, որի ձ</w:t>
      </w:r>
      <w:r>
        <w:rPr>
          <w:rFonts w:ascii="Sylfaen" w:hAnsi="Sylfaen"/>
          <w:sz w:val="24"/>
          <w:szCs w:val="24"/>
        </w:rPr>
        <w:t>եւ</w:t>
      </w:r>
      <w:r w:rsidRPr="00394A09">
        <w:rPr>
          <w:rFonts w:ascii="Sylfaen" w:hAnsi="Sylfaen"/>
          <w:sz w:val="24"/>
          <w:szCs w:val="24"/>
        </w:rPr>
        <w:t>ն ու չափսերը փոխվում են լիցքավորելիս կամ պարունակությունը հեռացնելիս:</w:t>
      </w:r>
    </w:p>
    <w:p w14:paraId="248F3AA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Փխրուն փաթեթվածք</w:t>
      </w:r>
      <w:r w:rsidRPr="00394A09">
        <w:rPr>
          <w:rFonts w:ascii="Sylfaen" w:hAnsi="Sylfaen"/>
          <w:sz w:val="24"/>
          <w:szCs w:val="24"/>
        </w:rPr>
        <w:t>՝ փաթեթվածք, որը զգայուն է դինամիկ բեռնվածության ազդեցության նկատմամբ:</w:t>
      </w:r>
    </w:p>
    <w:p w14:paraId="25C8E4B1" w14:textId="77777777" w:rsidR="00AF2D51" w:rsidRPr="00394A09" w:rsidRDefault="00AF2D51" w:rsidP="00AF2D51">
      <w:pPr>
        <w:pStyle w:val="a0"/>
        <w:shd w:val="clear" w:color="auto" w:fill="auto"/>
        <w:spacing w:after="160" w:line="360" w:lineRule="auto"/>
        <w:ind w:firstLine="567"/>
        <w:jc w:val="both"/>
        <w:rPr>
          <w:rFonts w:ascii="Sylfaen" w:hAnsi="Sylfaen" w:cs="Sylfaen"/>
          <w:color w:val="000000"/>
          <w:sz w:val="24"/>
          <w:szCs w:val="24"/>
        </w:rPr>
      </w:pPr>
      <w:r w:rsidRPr="00394A09">
        <w:rPr>
          <w:rFonts w:ascii="Sylfaen" w:hAnsi="Sylfaen"/>
          <w:i/>
          <w:sz w:val="24"/>
          <w:szCs w:val="24"/>
        </w:rPr>
        <w:t>Ճկուն փաթեթվածք</w:t>
      </w:r>
      <w:r w:rsidRPr="00394A09">
        <w:rPr>
          <w:rFonts w:ascii="Sylfaen" w:hAnsi="Sylfaen"/>
          <w:sz w:val="24"/>
          <w:szCs w:val="24"/>
        </w:rPr>
        <w:t>՝ փաթեթվածք, որը պատրաստված է հեշտ ծալվող փաթեթավորման նյութերից՝ թղթի, փայլաթիթեղի, պոլիմերների, ստվարաթղթի հիմքով:</w:t>
      </w:r>
    </w:p>
    <w:p w14:paraId="26FA289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65F46EAA"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ՓԱԹԵԹՎԱԾՔԻ ՏԱՐՐԵՐԸ</w:t>
      </w:r>
    </w:p>
    <w:p w14:paraId="6D465DF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Տարա</w:t>
      </w:r>
      <w:r w:rsidRPr="00394A09">
        <w:rPr>
          <w:rFonts w:ascii="Sylfaen" w:hAnsi="Sylfaen"/>
          <w:sz w:val="24"/>
          <w:szCs w:val="24"/>
        </w:rPr>
        <w:t>՝ դեղամիջոցների տեղադրման համար նախատեսված՝ փաթեթվածքի հիմնական տարրն է, որի կառուցվածքը կարող է նախատեսել խցանափակման միջոցների առկայություն՝ հերմետիկության կամ փակ տարածության ստեղծման համար:</w:t>
      </w:r>
    </w:p>
    <w:p w14:paraId="3F90211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Խցանափակման միջոց</w:t>
      </w:r>
      <w:r w:rsidRPr="00394A09">
        <w:rPr>
          <w:rFonts w:ascii="Sylfaen" w:hAnsi="Sylfaen"/>
          <w:sz w:val="24"/>
          <w:szCs w:val="24"/>
        </w:rPr>
        <w:t xml:space="preserve">՝ փաթեթվածքի խցանափակման </w:t>
      </w:r>
      <w:r>
        <w:rPr>
          <w:rFonts w:ascii="Sylfaen" w:hAnsi="Sylfaen"/>
          <w:sz w:val="24"/>
          <w:szCs w:val="24"/>
        </w:rPr>
        <w:t>եւ</w:t>
      </w:r>
      <w:r w:rsidRPr="00394A09">
        <w:rPr>
          <w:rFonts w:ascii="Sylfaen" w:hAnsi="Sylfaen"/>
          <w:sz w:val="24"/>
          <w:szCs w:val="24"/>
        </w:rPr>
        <w:t xml:space="preserve"> դրա պարունակության պահպանման համար նախատեսված արտադրատեսակ:</w:t>
      </w:r>
    </w:p>
    <w:p w14:paraId="1751CD6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Խցանափակման միջոցներն ունեն տարբեր տեսքեր (ձ</w:t>
      </w:r>
      <w:r>
        <w:rPr>
          <w:rFonts w:ascii="Sylfaen" w:hAnsi="Sylfaen"/>
          <w:color w:val="000000"/>
          <w:sz w:val="24"/>
          <w:szCs w:val="24"/>
        </w:rPr>
        <w:t>եւ</w:t>
      </w:r>
      <w:r w:rsidRPr="00394A09">
        <w:rPr>
          <w:rFonts w:ascii="Sylfaen" w:hAnsi="Sylfaen"/>
          <w:color w:val="000000"/>
          <w:sz w:val="24"/>
          <w:szCs w:val="24"/>
        </w:rPr>
        <w:t xml:space="preserve">եր, արտաքին ուրվագծեր) </w:t>
      </w:r>
      <w:r>
        <w:rPr>
          <w:rFonts w:ascii="Sylfaen" w:hAnsi="Sylfaen"/>
          <w:color w:val="000000"/>
          <w:sz w:val="24"/>
          <w:szCs w:val="24"/>
        </w:rPr>
        <w:t>եւ</w:t>
      </w:r>
      <w:r w:rsidRPr="00394A09">
        <w:rPr>
          <w:rFonts w:ascii="Sylfaen" w:hAnsi="Sylfaen"/>
          <w:color w:val="000000"/>
          <w:sz w:val="24"/>
          <w:szCs w:val="24"/>
        </w:rPr>
        <w:t xml:space="preserve"> տեսակներ (նյութեր </w:t>
      </w:r>
      <w:r>
        <w:rPr>
          <w:rFonts w:ascii="Sylfaen" w:hAnsi="Sylfaen"/>
          <w:color w:val="000000"/>
          <w:sz w:val="24"/>
          <w:szCs w:val="24"/>
        </w:rPr>
        <w:t>եւ</w:t>
      </w:r>
      <w:r w:rsidRPr="00394A09">
        <w:rPr>
          <w:rFonts w:ascii="Sylfaen" w:hAnsi="Sylfaen"/>
          <w:color w:val="000000"/>
          <w:sz w:val="24"/>
          <w:szCs w:val="24"/>
        </w:rPr>
        <w:t xml:space="preserve"> մոդելներ)։</w:t>
      </w:r>
    </w:p>
    <w:p w14:paraId="38422A7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Խցանափակման միջոցների հիմնական ձ</w:t>
      </w:r>
      <w:r>
        <w:rPr>
          <w:rFonts w:ascii="Sylfaen" w:hAnsi="Sylfaen"/>
          <w:color w:val="000000"/>
          <w:sz w:val="24"/>
          <w:szCs w:val="24"/>
        </w:rPr>
        <w:t>եւ</w:t>
      </w:r>
      <w:r w:rsidRPr="00394A09">
        <w:rPr>
          <w:rFonts w:ascii="Sylfaen" w:hAnsi="Sylfaen"/>
          <w:color w:val="000000"/>
          <w:sz w:val="24"/>
          <w:szCs w:val="24"/>
        </w:rPr>
        <w:t>երն ու տեսակներն են.</w:t>
      </w:r>
    </w:p>
    <w:p w14:paraId="5D649BC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Խցան</w:t>
      </w:r>
      <w:r w:rsidRPr="00394A09">
        <w:rPr>
          <w:rFonts w:ascii="Sylfaen" w:hAnsi="Sylfaen"/>
          <w:sz w:val="24"/>
          <w:szCs w:val="24"/>
        </w:rPr>
        <w:t>՝ տարայի բկանցքի ներսում տեղադրվող խցանափակման միջոց:</w:t>
      </w:r>
    </w:p>
    <w:p w14:paraId="77B82A9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Կափարիչ</w:t>
      </w:r>
      <w:r w:rsidRPr="00394A09">
        <w:rPr>
          <w:rFonts w:ascii="Sylfaen" w:hAnsi="Sylfaen"/>
          <w:sz w:val="24"/>
          <w:szCs w:val="24"/>
        </w:rPr>
        <w:t>՝ փաթեթվածքի կամ տարայի վեր</w:t>
      </w:r>
      <w:r>
        <w:rPr>
          <w:rFonts w:ascii="Sylfaen" w:hAnsi="Sylfaen"/>
          <w:sz w:val="24"/>
          <w:szCs w:val="24"/>
        </w:rPr>
        <w:t>եւ</w:t>
      </w:r>
      <w:r w:rsidRPr="00394A09">
        <w:rPr>
          <w:rFonts w:ascii="Sylfaen" w:hAnsi="Sylfaen"/>
          <w:sz w:val="24"/>
          <w:szCs w:val="24"/>
        </w:rPr>
        <w:t>ի մասի ամբողջ արտաքին պարագծով ամրացվող խցանափակման միջոց:</w:t>
      </w:r>
    </w:p>
    <w:p w14:paraId="6F4760E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Բուշոն</w:t>
      </w:r>
      <w:r w:rsidRPr="00394A09">
        <w:rPr>
          <w:rFonts w:ascii="Sylfaen" w:hAnsi="Sylfaen"/>
          <w:sz w:val="24"/>
          <w:szCs w:val="24"/>
        </w:rPr>
        <w:t>՝ պարկուճի բկանցքի վրա ներպտուտակվող կափարիչ:</w:t>
      </w:r>
    </w:p>
    <w:p w14:paraId="205EAEEE"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Խցան-կափարիչ</w:t>
      </w:r>
      <w:r w:rsidRPr="00394A09">
        <w:rPr>
          <w:rFonts w:ascii="Sylfaen" w:hAnsi="Sylfaen"/>
          <w:sz w:val="24"/>
          <w:szCs w:val="24"/>
        </w:rPr>
        <w:t>՝ երկու մասերից՝ վերին կափարիչից ու ներքին խցանից բաղկացած խցանափակման միջոց:</w:t>
      </w:r>
    </w:p>
    <w:p w14:paraId="6B69AEE9"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Թասակ</w:t>
      </w:r>
      <w:r w:rsidRPr="00394A09">
        <w:rPr>
          <w:rFonts w:ascii="Sylfaen" w:hAnsi="Sylfaen"/>
          <w:sz w:val="24"/>
          <w:szCs w:val="24"/>
        </w:rPr>
        <w:t>՝ տարայի բկանցքի պսակի վրա հագցվող կամ ներպտուտակվող խցանափակման միջոց:</w:t>
      </w:r>
    </w:p>
    <w:p w14:paraId="5068014D"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Լրակազմող միջոց</w:t>
      </w:r>
      <w:r w:rsidRPr="00394A09">
        <w:rPr>
          <w:rFonts w:ascii="Sylfaen" w:hAnsi="Sylfaen"/>
          <w:sz w:val="24"/>
          <w:szCs w:val="24"/>
        </w:rPr>
        <w:t xml:space="preserve">՝ դեղապատրաստուկի երկրորդային (սպառողական) փաթեթվածքի մեջ տեղադրվող </w:t>
      </w:r>
      <w:r>
        <w:rPr>
          <w:rFonts w:ascii="Sylfaen" w:hAnsi="Sylfaen"/>
          <w:sz w:val="24"/>
          <w:szCs w:val="24"/>
        </w:rPr>
        <w:t>եւ</w:t>
      </w:r>
      <w:r w:rsidRPr="00394A09">
        <w:rPr>
          <w:rFonts w:ascii="Sylfaen" w:hAnsi="Sylfaen"/>
          <w:sz w:val="24"/>
          <w:szCs w:val="24"/>
        </w:rPr>
        <w:t xml:space="preserve"> դեղապատրաստուկի ճիշտ դեղաչափման, ներմուծման կամ կիրառման համար օգտագործվող արտադրատեսակ:</w:t>
      </w:r>
    </w:p>
    <w:p w14:paraId="4106CD1A"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Դեղաչափման միջոց (բաժնավորիչ, դեղաչափող սարքվածք)</w:t>
      </w:r>
      <w:r w:rsidRPr="00394A09">
        <w:rPr>
          <w:rFonts w:ascii="Sylfaen" w:hAnsi="Sylfaen"/>
          <w:sz w:val="24"/>
          <w:szCs w:val="24"/>
        </w:rPr>
        <w:t xml:space="preserve">՝ դեղապատրաստուկի տրված զանգվածը կամ ծավալը չափելու (դեղաչափելու) համար ֆունկցիոնալ սարքվածք, որը կարող է լինել առաջնային փաթեթվածքի տարր, օրինակ՝ խցանափակման միջոցի տարր (ներդիր-կաթոցիչներ, աչքի </w:t>
      </w:r>
      <w:r>
        <w:rPr>
          <w:rFonts w:ascii="Sylfaen" w:hAnsi="Sylfaen"/>
          <w:sz w:val="24"/>
          <w:szCs w:val="24"/>
        </w:rPr>
        <w:t>եւ</w:t>
      </w:r>
      <w:r w:rsidRPr="00394A09">
        <w:rPr>
          <w:rFonts w:ascii="Sylfaen" w:hAnsi="Sylfaen"/>
          <w:sz w:val="24"/>
          <w:szCs w:val="24"/>
        </w:rPr>
        <w:t xml:space="preserve"> քթի կաթոցիչներ </w:t>
      </w:r>
      <w:r>
        <w:rPr>
          <w:rFonts w:ascii="Sylfaen" w:hAnsi="Sylfaen"/>
          <w:sz w:val="24"/>
          <w:szCs w:val="24"/>
        </w:rPr>
        <w:t>եւ</w:t>
      </w:r>
      <w:r w:rsidRPr="00394A09">
        <w:rPr>
          <w:rFonts w:ascii="Sylfaen" w:hAnsi="Sylfaen"/>
          <w:sz w:val="24"/>
          <w:szCs w:val="24"/>
        </w:rPr>
        <w:t xml:space="preserve"> այլն) կամ երկրորդային փաթեթվածքի տարր, այսինքն՝ լրակազմող միջոց (չափիչ գդալներ/գդալիկներ, չափիչ թասակներ/բաժակներ, ներարկիչային բաժնավորիչներ, կաթոցիկներ, հեշտոցային </w:t>
      </w:r>
      <w:r>
        <w:rPr>
          <w:rFonts w:ascii="Sylfaen" w:hAnsi="Sylfaen"/>
          <w:sz w:val="24"/>
          <w:szCs w:val="24"/>
        </w:rPr>
        <w:t>եւ</w:t>
      </w:r>
      <w:r w:rsidRPr="00394A09">
        <w:rPr>
          <w:rFonts w:ascii="Sylfaen" w:hAnsi="Sylfaen"/>
          <w:sz w:val="24"/>
          <w:szCs w:val="24"/>
        </w:rPr>
        <w:t xml:space="preserve"> ռեկտալ ներդրուկներ (ապլիկատոր) </w:t>
      </w:r>
      <w:r>
        <w:rPr>
          <w:rFonts w:ascii="Sylfaen" w:hAnsi="Sylfaen"/>
          <w:sz w:val="24"/>
          <w:szCs w:val="24"/>
        </w:rPr>
        <w:t>եւ</w:t>
      </w:r>
      <w:r w:rsidRPr="00394A09">
        <w:rPr>
          <w:rFonts w:ascii="Sylfaen" w:hAnsi="Sylfaen"/>
          <w:sz w:val="24"/>
          <w:szCs w:val="24"/>
        </w:rPr>
        <w:t xml:space="preserve"> այլն):</w:t>
      </w:r>
    </w:p>
    <w:p w14:paraId="3CF72807"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color w:val="000000"/>
          <w:sz w:val="24"/>
          <w:szCs w:val="24"/>
        </w:rPr>
        <w:t xml:space="preserve">Դեղաչափման միջոցների աստիճանավորումը պետք է լինի հստակ, չջնջվող: </w:t>
      </w:r>
      <w:r w:rsidRPr="00394A09">
        <w:rPr>
          <w:rFonts w:ascii="Sylfaen" w:hAnsi="Sylfaen"/>
          <w:sz w:val="24"/>
          <w:szCs w:val="24"/>
        </w:rPr>
        <w:t xml:space="preserve">Պետք է երաշխավորված լինի ընդունման համար հրահանգված՝ դեղապատրաստուկի դեղաչափի համապատասխանությունն այն դեղաչափին, որը չափվելու է </w:t>
      </w:r>
      <w:r>
        <w:rPr>
          <w:rFonts w:ascii="Sylfaen" w:hAnsi="Sylfaen"/>
          <w:sz w:val="24"/>
          <w:szCs w:val="24"/>
        </w:rPr>
        <w:t>եւ</w:t>
      </w:r>
      <w:r w:rsidRPr="00394A09">
        <w:rPr>
          <w:rFonts w:ascii="Sylfaen" w:hAnsi="Sylfaen"/>
          <w:sz w:val="24"/>
          <w:szCs w:val="24"/>
        </w:rPr>
        <w:t xml:space="preserve"> հասցվելու է պացիենտին փաթեթվածքի դեղաչափման սարքվածքի միջոցով:</w:t>
      </w:r>
    </w:p>
    <w:p w14:paraId="70C7564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Գլխադիր-բաժնավորիչ</w:t>
      </w:r>
      <w:r w:rsidRPr="00394A09">
        <w:rPr>
          <w:rFonts w:ascii="Sylfaen" w:hAnsi="Sylfaen"/>
          <w:sz w:val="24"/>
          <w:szCs w:val="24"/>
        </w:rPr>
        <w:t xml:space="preserve">՝ խցանափակման միջոց, որի մի մասը սեղմվում է փաթեթվածքի (տարայի) բկանցքի մեջ </w:t>
      </w:r>
      <w:r>
        <w:rPr>
          <w:rFonts w:ascii="Sylfaen" w:hAnsi="Sylfaen"/>
          <w:sz w:val="24"/>
          <w:szCs w:val="24"/>
        </w:rPr>
        <w:t>եւ</w:t>
      </w:r>
      <w:r w:rsidRPr="00394A09">
        <w:rPr>
          <w:rFonts w:ascii="Sylfaen" w:hAnsi="Sylfaen"/>
          <w:sz w:val="24"/>
          <w:szCs w:val="24"/>
        </w:rPr>
        <w:t xml:space="preserve"> այդ փաթեթվածքի (տարայի) առաձգական իրանին սեղմումով ապահովում է հեղուկ դեղապատրաստուկի հարկադրված արտահոսքը՝ դեղաչափերով:</w:t>
      </w:r>
    </w:p>
    <w:p w14:paraId="2A44E0E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Բաժնավորիչ-սահմանափակիչ</w:t>
      </w:r>
      <w:r w:rsidRPr="00394A09">
        <w:rPr>
          <w:rFonts w:ascii="Sylfaen" w:hAnsi="Sylfaen"/>
          <w:sz w:val="24"/>
          <w:szCs w:val="24"/>
        </w:rPr>
        <w:t xml:space="preserve">՝ փաթեթվածքի ֆունկցիոնալ սարքվածք, որը նախատեսված է հեղուկ դեղապատրաստուկի չափման համար՝ ըստ ծավալի, </w:t>
      </w:r>
      <w:r>
        <w:rPr>
          <w:rFonts w:ascii="Sylfaen" w:hAnsi="Sylfaen"/>
          <w:sz w:val="24"/>
          <w:szCs w:val="24"/>
        </w:rPr>
        <w:t>եւ</w:t>
      </w:r>
      <w:r w:rsidRPr="00394A09">
        <w:rPr>
          <w:rFonts w:ascii="Sylfaen" w:hAnsi="Sylfaen"/>
          <w:sz w:val="24"/>
          <w:szCs w:val="24"/>
        </w:rPr>
        <w:t xml:space="preserve"> խոչընդոտում կամ դժվարացնում է փաթեթվածքի կրկնակի լիցքավորումը:</w:t>
      </w:r>
    </w:p>
    <w:p w14:paraId="2F75610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Դեղապատրաստուկը հասցնելու միջոց</w:t>
      </w:r>
      <w:r w:rsidRPr="00394A09">
        <w:rPr>
          <w:rFonts w:ascii="Sylfaen" w:hAnsi="Sylfaen"/>
          <w:sz w:val="24"/>
          <w:szCs w:val="24"/>
        </w:rPr>
        <w:t>՝ փաթեթվածքի (խցանափակման միջոցի) ֆունկցիոնալ սարք, տարր, որն ապահովում է դեղապատրաստուկը դրա ներմուծման հատված հասցնելը:</w:t>
      </w:r>
    </w:p>
    <w:p w14:paraId="4518123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Աերոզոլային կափույր</w:t>
      </w:r>
      <w:r w:rsidRPr="00394A09">
        <w:rPr>
          <w:rFonts w:ascii="Sylfaen" w:hAnsi="Sylfaen"/>
          <w:sz w:val="24"/>
          <w:szCs w:val="24"/>
        </w:rPr>
        <w:t xml:space="preserve">՝ աերոզոլային փաթեթվածքի փական, որը պահպանում է փաթեթվածքի ներսում ճնշումը </w:t>
      </w:r>
      <w:r>
        <w:rPr>
          <w:rFonts w:ascii="Sylfaen" w:hAnsi="Sylfaen"/>
          <w:sz w:val="24"/>
          <w:szCs w:val="24"/>
        </w:rPr>
        <w:t>եւ</w:t>
      </w:r>
      <w:r w:rsidRPr="00394A09">
        <w:rPr>
          <w:rFonts w:ascii="Sylfaen" w:hAnsi="Sylfaen"/>
          <w:sz w:val="24"/>
          <w:szCs w:val="24"/>
        </w:rPr>
        <w:t xml:space="preserve"> սեղմման ժամանակ թույլ է տալիս կատարել փաթեթավորված արտադրանքի փոշիացումը:</w:t>
      </w:r>
    </w:p>
    <w:p w14:paraId="477FF5E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Աերոզոլների համար դեղաչափող կափույրը</w:t>
      </w:r>
      <w:r w:rsidRPr="00394A09">
        <w:rPr>
          <w:rFonts w:ascii="Sylfaen" w:hAnsi="Sylfaen"/>
          <w:sz w:val="24"/>
          <w:szCs w:val="24"/>
        </w:rPr>
        <w:t xml:space="preserve"> փաթեթվածքի բարդ տարր է, որն ապահովում է դեղապատրաստուկի դեղաչափումն ու այն դրա ներմուծման հատված հասցնելը:</w:t>
      </w:r>
    </w:p>
    <w:p w14:paraId="1308F5D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Դեղապատրաստուկը հասցնելու միջոց կարող են լինել լրակազմող միջոցները՝ շնչառման (ինհալացիոն) սարք, նեբուլայզեր, ցողաշթի պոմպ, փողածայրոց </w:t>
      </w:r>
      <w:r>
        <w:rPr>
          <w:rFonts w:ascii="Sylfaen" w:hAnsi="Sylfaen"/>
          <w:color w:val="000000"/>
          <w:sz w:val="24"/>
          <w:szCs w:val="24"/>
        </w:rPr>
        <w:t>եւ</w:t>
      </w:r>
      <w:r w:rsidRPr="00394A09">
        <w:rPr>
          <w:rFonts w:ascii="Sylfaen" w:hAnsi="Sylfaen"/>
          <w:color w:val="000000"/>
          <w:sz w:val="24"/>
          <w:szCs w:val="24"/>
        </w:rPr>
        <w:t xml:space="preserve"> այլն:</w:t>
      </w:r>
    </w:p>
    <w:p w14:paraId="59CCBE14" w14:textId="77777777" w:rsidR="00AF2D51" w:rsidRPr="00394A09" w:rsidRDefault="00AF2D51" w:rsidP="00AF2D51">
      <w:pPr>
        <w:pStyle w:val="a0"/>
        <w:shd w:val="clear" w:color="auto" w:fill="auto"/>
        <w:spacing w:after="160" w:line="360" w:lineRule="auto"/>
        <w:ind w:firstLine="567"/>
        <w:jc w:val="both"/>
        <w:rPr>
          <w:rFonts w:ascii="Sylfaen" w:hAnsi="Sylfaen" w:cs="Sylfaen"/>
          <w:spacing w:val="-4"/>
          <w:sz w:val="24"/>
          <w:szCs w:val="24"/>
        </w:rPr>
      </w:pPr>
      <w:r w:rsidRPr="00394A09">
        <w:rPr>
          <w:rFonts w:ascii="Sylfaen" w:hAnsi="Sylfaen"/>
          <w:i/>
          <w:spacing w:val="-4"/>
          <w:sz w:val="24"/>
          <w:szCs w:val="24"/>
        </w:rPr>
        <w:t>Պաշտպանիչ հարմարանք</w:t>
      </w:r>
      <w:r w:rsidRPr="00394A09">
        <w:rPr>
          <w:rFonts w:ascii="Sylfaen" w:hAnsi="Sylfaen"/>
          <w:spacing w:val="-4"/>
          <w:sz w:val="24"/>
          <w:szCs w:val="24"/>
        </w:rPr>
        <w:t>՝ խցանափակող միջոցի տարր, որը պաշտպանում է փաթեթվածքը չարտոնված բացելուց եւ ապահովում է առաջին բացման վիզուալ հսկողությունը:</w:t>
      </w:r>
    </w:p>
    <w:p w14:paraId="1EA4F83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Փաթեթվածքի պաշտպանիչ հարմարանքներն են դուրսքաշովի կափույրի սկավառակը, պահպանական օղակը, վերահսկման ս</w:t>
      </w:r>
      <w:r>
        <w:rPr>
          <w:rFonts w:ascii="Sylfaen" w:hAnsi="Sylfaen"/>
          <w:color w:val="000000"/>
          <w:sz w:val="24"/>
          <w:szCs w:val="24"/>
        </w:rPr>
        <w:t>եւ</w:t>
      </w:r>
      <w:r w:rsidRPr="00394A09">
        <w:rPr>
          <w:rFonts w:ascii="Sylfaen" w:hAnsi="Sylfaen"/>
          <w:color w:val="000000"/>
          <w:sz w:val="24"/>
          <w:szCs w:val="24"/>
        </w:rPr>
        <w:t xml:space="preserve">եռակապնդման օղակը, պոկվող գոտին, ծակատումը, փայլաթիթեղային թաղանթը </w:t>
      </w:r>
      <w:r>
        <w:rPr>
          <w:rFonts w:ascii="Sylfaen" w:hAnsi="Sylfaen"/>
          <w:color w:val="000000"/>
          <w:sz w:val="24"/>
          <w:szCs w:val="24"/>
        </w:rPr>
        <w:t>եւ</w:t>
      </w:r>
      <w:r w:rsidRPr="00394A09">
        <w:rPr>
          <w:rFonts w:ascii="Sylfaen" w:hAnsi="Sylfaen"/>
          <w:color w:val="000000"/>
          <w:sz w:val="24"/>
          <w:szCs w:val="24"/>
        </w:rPr>
        <w:t xml:space="preserve"> այլն:</w:t>
      </w:r>
    </w:p>
    <w:p w14:paraId="39D2D52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Պիտակ-ծանրոցածրար</w:t>
      </w:r>
      <w:r w:rsidRPr="00394A09">
        <w:rPr>
          <w:rFonts w:ascii="Sylfaen" w:hAnsi="Sylfaen"/>
          <w:sz w:val="24"/>
          <w:szCs w:val="24"/>
        </w:rPr>
        <w:t xml:space="preserve">՝ փաթեթվածքի </w:t>
      </w:r>
      <w:r>
        <w:rPr>
          <w:rFonts w:ascii="Sylfaen" w:hAnsi="Sylfaen"/>
          <w:sz w:val="24"/>
          <w:szCs w:val="24"/>
        </w:rPr>
        <w:t>եւ</w:t>
      </w:r>
      <w:r w:rsidRPr="00394A09">
        <w:rPr>
          <w:rFonts w:ascii="Sylfaen" w:hAnsi="Sylfaen"/>
          <w:sz w:val="24"/>
          <w:szCs w:val="24"/>
        </w:rPr>
        <w:t xml:space="preserve"> մակնշման տարր՝ թղթից կամ համակցված նյութերից պատրաստված փաթեթավորման նյութի շերտ (ժապավեն), </w:t>
      </w:r>
      <w:r w:rsidRPr="00394A09">
        <w:rPr>
          <w:rFonts w:ascii="Sylfaen" w:hAnsi="Sylfaen"/>
          <w:sz w:val="24"/>
          <w:szCs w:val="24"/>
        </w:rPr>
        <w:lastRenderedPageBreak/>
        <w:t>որը նախատեսված է խմբակային կամ սպառողական փաթեթվածքի (տուփի) ամբողջ պարագծով սոսնձման (ծրարավորման) համար՝ շերտի ծայրերի միացմամբ՝ առաջին բացման հսկողությունն ու շերտի (ծանրոցածրարի) վրա հետագա մակնշումն ապահովելու համար:</w:t>
      </w:r>
    </w:p>
    <w:p w14:paraId="6848397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Հերմետիկացնող հարմարանք</w:t>
      </w:r>
      <w:r w:rsidRPr="00394A09">
        <w:rPr>
          <w:rFonts w:ascii="Sylfaen" w:hAnsi="Sylfaen"/>
          <w:sz w:val="24"/>
          <w:szCs w:val="24"/>
        </w:rPr>
        <w:t xml:space="preserve">՝ խցանափակման միջոցի տարր, որը պաշտպանում է փաթեթվածքի պարունակությունը կորստից </w:t>
      </w:r>
      <w:r>
        <w:rPr>
          <w:rFonts w:ascii="Sylfaen" w:hAnsi="Sylfaen"/>
          <w:sz w:val="24"/>
          <w:szCs w:val="24"/>
        </w:rPr>
        <w:t>եւ</w:t>
      </w:r>
      <w:r w:rsidRPr="00394A09">
        <w:rPr>
          <w:rFonts w:ascii="Sylfaen" w:hAnsi="Sylfaen"/>
          <w:sz w:val="24"/>
          <w:szCs w:val="24"/>
        </w:rPr>
        <w:t xml:space="preserve"> արտաքին կլիմայական գործոնների ազդեցությունից (ինքնախտացվող կափարիչ, հերմետիկացնող միջադիրներով կափարիչներ, սիլիկագելից ներդիրով կափարիչներ </w:t>
      </w:r>
      <w:r>
        <w:rPr>
          <w:rFonts w:ascii="Sylfaen" w:hAnsi="Sylfaen"/>
          <w:sz w:val="24"/>
          <w:szCs w:val="24"/>
        </w:rPr>
        <w:t>եւ</w:t>
      </w:r>
      <w:r w:rsidRPr="00394A09">
        <w:rPr>
          <w:rFonts w:ascii="Sylfaen" w:hAnsi="Sylfaen"/>
          <w:sz w:val="24"/>
          <w:szCs w:val="24"/>
        </w:rPr>
        <w:t xml:space="preserve"> այլն):</w:t>
      </w:r>
    </w:p>
    <w:p w14:paraId="35D0A30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Խտացնող միջադիր</w:t>
      </w:r>
      <w:r w:rsidRPr="00394A09">
        <w:rPr>
          <w:rFonts w:ascii="Sylfaen" w:hAnsi="Sylfaen"/>
          <w:sz w:val="24"/>
          <w:szCs w:val="24"/>
        </w:rPr>
        <w:t>՝ փաթեթվածքի տարր՝ սկավառակի կամ օղակի ձ</w:t>
      </w:r>
      <w:r>
        <w:rPr>
          <w:rFonts w:ascii="Sylfaen" w:hAnsi="Sylfaen"/>
          <w:sz w:val="24"/>
          <w:szCs w:val="24"/>
        </w:rPr>
        <w:t>եւ</w:t>
      </w:r>
      <w:r w:rsidRPr="00394A09">
        <w:rPr>
          <w:rFonts w:ascii="Sylfaen" w:hAnsi="Sylfaen"/>
          <w:sz w:val="24"/>
          <w:szCs w:val="24"/>
        </w:rPr>
        <w:t>ով հարթ կամ ռելիեֆային հորիզոնական ներդիր, որը նախատեսված է խցանափակման միջոցը տարայի մակերեւույթի հետ կիպ միացնելու (հերմետիկացնելու) համար:</w:t>
      </w:r>
    </w:p>
    <w:p w14:paraId="200C255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Առաջնային փաթեթվածքի օժանդակ տարրերն</w:t>
      </w:r>
      <w:r w:rsidRPr="00394A09">
        <w:rPr>
          <w:rFonts w:ascii="Sylfaen" w:hAnsi="Sylfaen"/>
          <w:sz w:val="24"/>
          <w:szCs w:val="24"/>
        </w:rPr>
        <w:t xml:space="preserve"> օգտագործվում են փաթեթվածքի նախատեսված ֆունկցիաները պահպանելու </w:t>
      </w:r>
      <w:r>
        <w:rPr>
          <w:rFonts w:ascii="Sylfaen" w:hAnsi="Sylfaen"/>
          <w:sz w:val="24"/>
          <w:szCs w:val="24"/>
        </w:rPr>
        <w:t>եւ</w:t>
      </w:r>
      <w:r w:rsidRPr="00394A09">
        <w:rPr>
          <w:rFonts w:ascii="Sylfaen" w:hAnsi="Sylfaen"/>
          <w:sz w:val="24"/>
          <w:szCs w:val="24"/>
        </w:rPr>
        <w:t xml:space="preserve"> բարելավելու համար:</w:t>
      </w:r>
    </w:p>
    <w:p w14:paraId="0D01E2A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Ներդիրներ, խտարարներ, հարվածամեղմիչ-խտարարներ, լցավորիչներ</w:t>
      </w:r>
      <w:r w:rsidRPr="00394A09">
        <w:rPr>
          <w:rFonts w:ascii="Sylfaen" w:hAnsi="Sylfaen"/>
          <w:sz w:val="24"/>
          <w:szCs w:val="24"/>
        </w:rPr>
        <w:t>՝ պինդ դեղաձ</w:t>
      </w:r>
      <w:r>
        <w:rPr>
          <w:rFonts w:ascii="Sylfaen" w:hAnsi="Sylfaen"/>
          <w:sz w:val="24"/>
          <w:szCs w:val="24"/>
        </w:rPr>
        <w:t>եւ</w:t>
      </w:r>
      <w:r w:rsidRPr="00394A09">
        <w:rPr>
          <w:rFonts w:ascii="Sylfaen" w:hAnsi="Sylfaen"/>
          <w:sz w:val="24"/>
          <w:szCs w:val="24"/>
        </w:rPr>
        <w:t>ով դեղապատրաստուկի առաջնային փաթեթվածքի ներսում տեղադրվող օժանդակ տարրեր՝ տեղափոխման, հարվածների, հպումների պատճառով փաթեթվածքի պարունակությունը վնասվելուց պաշտպանելու նպատակով:</w:t>
      </w:r>
    </w:p>
    <w:p w14:paraId="1C6135A1" w14:textId="77777777" w:rsidR="00AF2D51" w:rsidRPr="00394A09" w:rsidRDefault="00AF2D51" w:rsidP="00AF2D51">
      <w:pPr>
        <w:pStyle w:val="a0"/>
        <w:shd w:val="clear" w:color="auto" w:fill="auto"/>
        <w:spacing w:after="160" w:line="360" w:lineRule="auto"/>
        <w:ind w:firstLine="567"/>
        <w:jc w:val="both"/>
        <w:rPr>
          <w:rFonts w:ascii="Sylfaen" w:hAnsi="Sylfaen" w:cs="Sylfaen"/>
          <w:color w:val="000000"/>
          <w:sz w:val="24"/>
          <w:szCs w:val="24"/>
        </w:rPr>
      </w:pPr>
      <w:r w:rsidRPr="00394A09">
        <w:rPr>
          <w:rFonts w:ascii="Sylfaen" w:hAnsi="Sylfaen"/>
          <w:i/>
          <w:sz w:val="24"/>
          <w:szCs w:val="24"/>
        </w:rPr>
        <w:t>Չորացուցիչներ, խոնավակլանիչներ</w:t>
      </w:r>
      <w:r w:rsidRPr="00394A09">
        <w:rPr>
          <w:rFonts w:ascii="Sylfaen" w:hAnsi="Sylfaen"/>
          <w:sz w:val="24"/>
          <w:szCs w:val="24"/>
        </w:rPr>
        <w:t>՝ պինդ դեղաձ</w:t>
      </w:r>
      <w:r>
        <w:rPr>
          <w:rFonts w:ascii="Sylfaen" w:hAnsi="Sylfaen"/>
          <w:sz w:val="24"/>
          <w:szCs w:val="24"/>
        </w:rPr>
        <w:t>եւ</w:t>
      </w:r>
      <w:r w:rsidRPr="00394A09">
        <w:rPr>
          <w:rFonts w:ascii="Sylfaen" w:hAnsi="Sylfaen"/>
          <w:sz w:val="24"/>
          <w:szCs w:val="24"/>
        </w:rPr>
        <w:t xml:space="preserve">ով դեղապատրաստուկի առաջնային փաթեթվածքի ներսում տեղադրվող օժանդակ տարրեր՝ փաթեթվածքի պարունակությունը մթնոլորտային օդի խոնավությունից պաշտպանելու </w:t>
      </w:r>
      <w:r>
        <w:rPr>
          <w:rFonts w:ascii="Sylfaen" w:hAnsi="Sylfaen"/>
          <w:sz w:val="24"/>
          <w:szCs w:val="24"/>
        </w:rPr>
        <w:t>եւ</w:t>
      </w:r>
      <w:r w:rsidRPr="00394A09">
        <w:rPr>
          <w:rFonts w:ascii="Sylfaen" w:hAnsi="Sylfaen"/>
          <w:sz w:val="24"/>
          <w:szCs w:val="24"/>
        </w:rPr>
        <w:t xml:space="preserve"> (կամ) փաթեթվածքի օդից խոնավությունը հեռացնելու համար:</w:t>
      </w:r>
    </w:p>
    <w:p w14:paraId="585318DC" w14:textId="77777777" w:rsidR="00AF2D51" w:rsidRDefault="00AF2D51" w:rsidP="00AF2D51">
      <w:pPr>
        <w:rPr>
          <w:rFonts w:eastAsia="Times New Roman"/>
        </w:rPr>
      </w:pPr>
      <w:r>
        <w:br w:type="page"/>
      </w:r>
    </w:p>
    <w:p w14:paraId="06ED92AE"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lastRenderedPageBreak/>
        <w:t>ԴԵՂԱՄԻՋՈՑՆԵՐԻ ՓԱԹԵԹՎԱԾՔԻՆ ՆԵՐԿԱՅԱՑՎՈՂ ԸՆԴՀԱՆՈՒՐ ՊԱՀԱՆՋՆԵՐԸ</w:t>
      </w:r>
    </w:p>
    <w:p w14:paraId="6320E01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Դեղամիջոցի փաթեթվածքը պետք է պատշաճ որակ ունենա:</w:t>
      </w:r>
    </w:p>
    <w:p w14:paraId="7F42E6F7" w14:textId="77777777" w:rsidR="00AF2D51" w:rsidRPr="00394A09" w:rsidRDefault="00AF2D51" w:rsidP="00AF2D51">
      <w:pPr>
        <w:pStyle w:val="a0"/>
        <w:shd w:val="clear" w:color="auto" w:fill="auto"/>
        <w:spacing w:after="160" w:line="35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w:t>
      </w:r>
      <w:r>
        <w:rPr>
          <w:rFonts w:ascii="Sylfaen" w:hAnsi="Sylfaen"/>
          <w:color w:val="000000"/>
          <w:sz w:val="24"/>
          <w:szCs w:val="24"/>
        </w:rPr>
        <w:t>եւ</w:t>
      </w:r>
      <w:r w:rsidRPr="00394A09">
        <w:rPr>
          <w:rFonts w:ascii="Sylfaen" w:hAnsi="Sylfaen"/>
          <w:color w:val="000000"/>
          <w:sz w:val="24"/>
          <w:szCs w:val="24"/>
        </w:rPr>
        <w:t xml:space="preserve"> այն կազմող տարրերը (տարան, խցանափակման միջոցները </w:t>
      </w:r>
      <w:r>
        <w:rPr>
          <w:rFonts w:ascii="Sylfaen" w:hAnsi="Sylfaen"/>
          <w:color w:val="000000"/>
          <w:sz w:val="24"/>
          <w:szCs w:val="24"/>
        </w:rPr>
        <w:t>եւ</w:t>
      </w:r>
      <w:r w:rsidRPr="00394A09">
        <w:rPr>
          <w:rFonts w:ascii="Sylfaen" w:hAnsi="Sylfaen"/>
          <w:color w:val="000000"/>
          <w:sz w:val="24"/>
          <w:szCs w:val="24"/>
        </w:rPr>
        <w:t xml:space="preserve"> այլն) պետք է պատրաստված լինեն Եվրասիական տնտեսական միությունում գործող ստանդարտների պահանջներին համապատասխան՝ արտադրանքի կոնկրետ տեսակների համար փաթեթվածքի (տարայի, խցանափակման միջոցների </w:t>
      </w:r>
      <w:r>
        <w:rPr>
          <w:rFonts w:ascii="Sylfaen" w:hAnsi="Sylfaen"/>
          <w:color w:val="000000"/>
          <w:sz w:val="24"/>
          <w:szCs w:val="24"/>
        </w:rPr>
        <w:t>եւ</w:t>
      </w:r>
      <w:r w:rsidRPr="00394A09">
        <w:rPr>
          <w:rFonts w:ascii="Sylfaen" w:hAnsi="Sylfaen"/>
          <w:color w:val="000000"/>
          <w:sz w:val="24"/>
          <w:szCs w:val="24"/>
        </w:rPr>
        <w:t xml:space="preserve"> այլնի) մասով սահմանված կարգով հաստատված փաստաթղթերով </w:t>
      </w:r>
      <w:r>
        <w:rPr>
          <w:rFonts w:ascii="Sylfaen" w:hAnsi="Sylfaen"/>
          <w:color w:val="000000"/>
          <w:sz w:val="24"/>
          <w:szCs w:val="24"/>
        </w:rPr>
        <w:t>եւ</w:t>
      </w:r>
      <w:r w:rsidRPr="00394A09">
        <w:rPr>
          <w:rFonts w:ascii="Sylfaen" w:hAnsi="Sylfaen"/>
          <w:color w:val="000000"/>
          <w:sz w:val="24"/>
          <w:szCs w:val="24"/>
        </w:rPr>
        <w:t xml:space="preserve"> (կամ) գծագրերով: Փաթեթվածքի </w:t>
      </w:r>
      <w:r>
        <w:rPr>
          <w:rFonts w:ascii="Sylfaen" w:hAnsi="Sylfaen"/>
          <w:color w:val="000000"/>
          <w:sz w:val="24"/>
          <w:szCs w:val="24"/>
        </w:rPr>
        <w:t>եւ</w:t>
      </w:r>
      <w:r w:rsidRPr="00394A09">
        <w:rPr>
          <w:rFonts w:ascii="Sylfaen" w:hAnsi="Sylfaen"/>
          <w:color w:val="000000"/>
          <w:sz w:val="24"/>
          <w:szCs w:val="24"/>
        </w:rPr>
        <w:t xml:space="preserve"> այն կազմող տարրերի ձ</w:t>
      </w:r>
      <w:r>
        <w:rPr>
          <w:rFonts w:ascii="Sylfaen" w:hAnsi="Sylfaen"/>
          <w:color w:val="000000"/>
          <w:sz w:val="24"/>
          <w:szCs w:val="24"/>
        </w:rPr>
        <w:t>եւ</w:t>
      </w:r>
      <w:r w:rsidRPr="00394A09">
        <w:rPr>
          <w:rFonts w:ascii="Sylfaen" w:hAnsi="Sylfaen"/>
          <w:color w:val="000000"/>
          <w:sz w:val="24"/>
          <w:szCs w:val="24"/>
        </w:rPr>
        <w:t>ը (կառուցվածքը), չափսերը, չափսերից թույլատրելի շեղումները, ինչպես նա</w:t>
      </w:r>
      <w:r>
        <w:rPr>
          <w:rFonts w:ascii="Sylfaen" w:hAnsi="Sylfaen"/>
          <w:color w:val="000000"/>
          <w:sz w:val="24"/>
          <w:szCs w:val="24"/>
        </w:rPr>
        <w:t>եւ</w:t>
      </w:r>
      <w:r w:rsidRPr="00394A09">
        <w:rPr>
          <w:rFonts w:ascii="Sylfaen" w:hAnsi="Sylfaen"/>
          <w:color w:val="000000"/>
          <w:sz w:val="24"/>
          <w:szCs w:val="24"/>
        </w:rPr>
        <w:t xml:space="preserve">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որակի </w:t>
      </w:r>
      <w:r>
        <w:rPr>
          <w:rFonts w:ascii="Sylfaen" w:hAnsi="Sylfaen"/>
          <w:color w:val="000000"/>
          <w:sz w:val="24"/>
          <w:szCs w:val="24"/>
        </w:rPr>
        <w:t>եւ</w:t>
      </w:r>
      <w:r w:rsidRPr="00394A09">
        <w:rPr>
          <w:rFonts w:ascii="Sylfaen" w:hAnsi="Sylfaen"/>
          <w:color w:val="000000"/>
          <w:sz w:val="24"/>
          <w:szCs w:val="24"/>
        </w:rPr>
        <w:t xml:space="preserve"> անվտանգության կանոնակարգվող ցուցանիշները պետք է համապատասխանեն գործող ստանդարտների պահանջներին:</w:t>
      </w:r>
    </w:p>
    <w:p w14:paraId="44A38C8A" w14:textId="77777777" w:rsidR="00AF2D51" w:rsidRPr="00394A09" w:rsidRDefault="00AF2D51" w:rsidP="00AF2D51">
      <w:pPr>
        <w:pStyle w:val="a0"/>
        <w:shd w:val="clear" w:color="auto" w:fill="auto"/>
        <w:spacing w:after="160" w:line="35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Փաթեթվածքի </w:t>
      </w:r>
      <w:r>
        <w:rPr>
          <w:rFonts w:ascii="Sylfaen" w:hAnsi="Sylfaen"/>
          <w:color w:val="000000"/>
          <w:sz w:val="24"/>
          <w:szCs w:val="24"/>
        </w:rPr>
        <w:t>եւ</w:t>
      </w:r>
      <w:r w:rsidRPr="00394A09">
        <w:rPr>
          <w:rFonts w:ascii="Sylfaen" w:hAnsi="Sylfaen"/>
          <w:color w:val="000000"/>
          <w:sz w:val="24"/>
          <w:szCs w:val="24"/>
        </w:rPr>
        <w:t xml:space="preserve"> այն կազմող տարրերի արտադրության համար պետք է օգտագործվեն փաթեթավորվող արտադրանքի հետ շփման համար պիտանի փաթեթավորման նյութեր՝ Միության դեղագրքի ընդհանուր դեղագրքային հոդվածներում նշված պահանջներին, փաթեթավորման կոնկրետ տեսակների ստանդարտներին ու տեխնիկական փաստաթղթերին </w:t>
      </w:r>
      <w:r>
        <w:rPr>
          <w:rFonts w:ascii="Sylfaen" w:hAnsi="Sylfaen"/>
          <w:color w:val="000000"/>
          <w:sz w:val="24"/>
          <w:szCs w:val="24"/>
        </w:rPr>
        <w:t>եւ</w:t>
      </w:r>
      <w:r w:rsidRPr="00394A09">
        <w:rPr>
          <w:rFonts w:ascii="Sylfaen" w:hAnsi="Sylfaen"/>
          <w:color w:val="000000"/>
          <w:sz w:val="24"/>
          <w:szCs w:val="24"/>
        </w:rPr>
        <w:t xml:space="preserve"> դեղամիջոցների փաթեթավորման համար փաթեթավորման նյութերի որոշակի տեսակների օգտագործման մասով տրված առաջարկներին համապատասխան: Փաթեթավորման նյութերը պետք է լինեն ոչ թունավոր, դեղամիջոցների հետ համադրելի, առաջնային փաթեթվածքի արտադրման համար պիտանի՝ հաշվի առնելով այն դեղապատրաստուկների ներմուծման ուղիները, որոնց համար նախատեսված է առաջնային փաթեթվածքը:</w:t>
      </w:r>
    </w:p>
    <w:p w14:paraId="515358E2" w14:textId="77777777" w:rsidR="00AF2D51" w:rsidRPr="00394A09" w:rsidRDefault="00AF2D51" w:rsidP="00AF2D51">
      <w:pPr>
        <w:pStyle w:val="a0"/>
        <w:shd w:val="clear" w:color="auto" w:fill="auto"/>
        <w:spacing w:after="160" w:line="350" w:lineRule="auto"/>
        <w:ind w:firstLine="567"/>
        <w:jc w:val="both"/>
        <w:rPr>
          <w:rFonts w:ascii="Sylfaen" w:hAnsi="Sylfaen" w:cs="Sylfaen"/>
          <w:sz w:val="24"/>
          <w:szCs w:val="24"/>
        </w:rPr>
      </w:pPr>
      <w:r w:rsidRPr="00394A09">
        <w:rPr>
          <w:rFonts w:ascii="Sylfaen" w:hAnsi="Sylfaen"/>
          <w:color w:val="000000"/>
          <w:sz w:val="24"/>
          <w:szCs w:val="24"/>
        </w:rPr>
        <w:t xml:space="preserve">Դեղագործական կիրառման սուբստանցիաների </w:t>
      </w:r>
      <w:r>
        <w:rPr>
          <w:rFonts w:ascii="Sylfaen" w:hAnsi="Sylfaen"/>
          <w:color w:val="000000"/>
          <w:sz w:val="24"/>
          <w:szCs w:val="24"/>
        </w:rPr>
        <w:t>եւ</w:t>
      </w:r>
      <w:r w:rsidRPr="00394A09">
        <w:rPr>
          <w:rFonts w:ascii="Sylfaen" w:hAnsi="Sylfaen"/>
          <w:color w:val="000000"/>
          <w:sz w:val="24"/>
          <w:szCs w:val="24"/>
        </w:rPr>
        <w:t xml:space="preserve"> բժշկական կիրառման դեղապատրաստուկների առաջնային </w:t>
      </w:r>
      <w:r>
        <w:rPr>
          <w:rFonts w:ascii="Sylfaen" w:hAnsi="Sylfaen"/>
          <w:color w:val="000000"/>
          <w:sz w:val="24"/>
          <w:szCs w:val="24"/>
        </w:rPr>
        <w:t>եւ</w:t>
      </w:r>
      <w:r w:rsidRPr="00394A09">
        <w:rPr>
          <w:rFonts w:ascii="Sylfaen" w:hAnsi="Sylfaen"/>
          <w:color w:val="000000"/>
          <w:sz w:val="24"/>
          <w:szCs w:val="24"/>
        </w:rPr>
        <w:t xml:space="preserve"> երկրորդային փաթեթվածքի համար օգտագործվող փաթեթավորման նյութերի ֆիզիկաքիմիական </w:t>
      </w:r>
      <w:r>
        <w:rPr>
          <w:rFonts w:ascii="Sylfaen" w:hAnsi="Sylfaen"/>
          <w:color w:val="000000"/>
          <w:sz w:val="24"/>
          <w:szCs w:val="24"/>
        </w:rPr>
        <w:t>եւ</w:t>
      </w:r>
      <w:r w:rsidRPr="00394A09">
        <w:rPr>
          <w:rFonts w:ascii="Sylfaen" w:hAnsi="Sylfaen"/>
          <w:color w:val="000000"/>
          <w:sz w:val="24"/>
          <w:szCs w:val="24"/>
        </w:rPr>
        <w:t xml:space="preserve"> մեխանիկական հատկությունները որոշվում են դեղամիջոցների դեղագործական մշակման </w:t>
      </w:r>
      <w:r>
        <w:rPr>
          <w:rFonts w:ascii="Sylfaen" w:hAnsi="Sylfaen"/>
          <w:color w:val="000000"/>
          <w:sz w:val="24"/>
          <w:szCs w:val="24"/>
        </w:rPr>
        <w:t>եւ</w:t>
      </w:r>
      <w:r w:rsidRPr="00394A09">
        <w:rPr>
          <w:rFonts w:ascii="Sylfaen" w:hAnsi="Sylfaen"/>
          <w:color w:val="000000"/>
          <w:sz w:val="24"/>
          <w:szCs w:val="24"/>
        </w:rPr>
        <w:t xml:space="preserve"> դրանց արտադրական գործընթացի փուլում՝ փաթեթավորման նյութերի նորմատիվ փաստաթղթերին համապատասխան:</w:t>
      </w:r>
    </w:p>
    <w:p w14:paraId="0585AC4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Փաթեթավորվող դեղամիջոցների յուրաքանչյուր սերիայի համար փաթեթվածքը պետք է լինի համանման:</w:t>
      </w:r>
    </w:p>
    <w:p w14:paraId="742EA88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Դեղամիջոցների փաթեթվածքը պետք է լինի մաքուր, չոր, առանց կողմնակի հոտերի:</w:t>
      </w:r>
    </w:p>
    <w:p w14:paraId="3D05597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պետք է ապահովի դեղամիջոցի արդյունավետության, որակի </w:t>
      </w:r>
      <w:r>
        <w:rPr>
          <w:rFonts w:ascii="Sylfaen" w:hAnsi="Sylfaen"/>
          <w:color w:val="000000"/>
          <w:sz w:val="24"/>
          <w:szCs w:val="24"/>
        </w:rPr>
        <w:t>եւ</w:t>
      </w:r>
      <w:r w:rsidRPr="00394A09">
        <w:rPr>
          <w:rFonts w:ascii="Sylfaen" w:hAnsi="Sylfaen"/>
          <w:color w:val="000000"/>
          <w:sz w:val="24"/>
          <w:szCs w:val="24"/>
        </w:rPr>
        <w:t xml:space="preserve"> անվտանգության պահպանումը դրա շրջանառության բոլոր փուլերում. այն չպետք է հանգեցնի դեղամիջոցի կորստին, այդ թվում՝ դիֆուզիայի կամ դրա միջով դեղամիջոցի ներթափանցման միջոցով, պետք է լինի բավարար ամուր՝ սովորական օգտագործման ժամանակ պարունակությունը ներսում պահելու համար, չփոփոխվի դեղապատրաստուկների բաղադրիչների ազդեցության տակ:</w:t>
      </w:r>
    </w:p>
    <w:p w14:paraId="1145996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պետք է ունենա դեղամիջոցն արտաքին միջավայրի այն գործոնների անբարենպաստ ազդեցությունից պաշտպանող հատկություններ, որոնք կարող են ազդել դրա որակի կամ արդյունավետության վրա, ինչպիսիք են լույսը, ջերմաստիճանը, մթնոլորտային գազերը </w:t>
      </w:r>
      <w:r>
        <w:rPr>
          <w:rFonts w:ascii="Sylfaen" w:hAnsi="Sylfaen"/>
          <w:color w:val="000000"/>
          <w:sz w:val="24"/>
          <w:szCs w:val="24"/>
        </w:rPr>
        <w:t>եւ</w:t>
      </w:r>
      <w:r w:rsidRPr="00394A09">
        <w:rPr>
          <w:rFonts w:ascii="Sylfaen" w:hAnsi="Sylfaen"/>
          <w:color w:val="000000"/>
          <w:sz w:val="24"/>
          <w:szCs w:val="24"/>
        </w:rPr>
        <w:t xml:space="preserve"> օդի գոլորշիները (թթվածին, ածխածնի օքսիդներ, խոնավություն </w:t>
      </w:r>
      <w:r>
        <w:rPr>
          <w:rFonts w:ascii="Sylfaen" w:hAnsi="Sylfaen"/>
          <w:color w:val="000000"/>
          <w:sz w:val="24"/>
          <w:szCs w:val="24"/>
        </w:rPr>
        <w:t>եւ</w:t>
      </w:r>
      <w:r w:rsidRPr="00394A09">
        <w:rPr>
          <w:rFonts w:ascii="Sylfaen" w:hAnsi="Sylfaen"/>
          <w:color w:val="000000"/>
          <w:sz w:val="24"/>
          <w:szCs w:val="24"/>
        </w:rPr>
        <w:t xml:space="preserve"> այլն), մանրէաբանական կոնտամինացումը, ինչպես նա</w:t>
      </w:r>
      <w:r>
        <w:rPr>
          <w:rFonts w:ascii="Sylfaen" w:hAnsi="Sylfaen"/>
          <w:color w:val="000000"/>
          <w:sz w:val="24"/>
          <w:szCs w:val="24"/>
        </w:rPr>
        <w:t>եւ</w:t>
      </w:r>
      <w:r w:rsidRPr="00394A09">
        <w:rPr>
          <w:rFonts w:ascii="Sylfaen" w:hAnsi="Sylfaen"/>
          <w:color w:val="000000"/>
          <w:sz w:val="24"/>
          <w:szCs w:val="24"/>
        </w:rPr>
        <w:t xml:space="preserve"> պետք է խոչընդոտի նշված գործոնների թափանցելիությունը (ներթափանցումը) դեղամիջոցի մեջ՝ փաթեթվածքի նյութերի </w:t>
      </w:r>
      <w:r>
        <w:rPr>
          <w:rFonts w:ascii="Sylfaen" w:hAnsi="Sylfaen"/>
          <w:color w:val="000000"/>
          <w:sz w:val="24"/>
          <w:szCs w:val="24"/>
        </w:rPr>
        <w:t>եւ</w:t>
      </w:r>
      <w:r w:rsidRPr="00394A09">
        <w:rPr>
          <w:rFonts w:ascii="Sylfaen" w:hAnsi="Sylfaen"/>
          <w:color w:val="000000"/>
          <w:sz w:val="24"/>
          <w:szCs w:val="24"/>
        </w:rPr>
        <w:t xml:space="preserve"> խցանափակման միջոցների միջով: Փաթեթվածքը պետք է պաշտպանի դեղամիջոցը ֆիզիկական (մեխանիկական) վնասումից:</w:t>
      </w:r>
    </w:p>
    <w:p w14:paraId="3619B05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պետք է ապահովի պիտանիության սահմանված ժամկետի ընթացքում դեղամիջոցի զանգվածի (ծավալի), որակի </w:t>
      </w:r>
      <w:r>
        <w:rPr>
          <w:rFonts w:ascii="Sylfaen" w:hAnsi="Sylfaen"/>
          <w:color w:val="000000"/>
          <w:sz w:val="24"/>
          <w:szCs w:val="24"/>
        </w:rPr>
        <w:t>եւ</w:t>
      </w:r>
      <w:r w:rsidRPr="00394A09">
        <w:rPr>
          <w:rFonts w:ascii="Sylfaen" w:hAnsi="Sylfaen"/>
          <w:color w:val="000000"/>
          <w:sz w:val="24"/>
          <w:szCs w:val="24"/>
        </w:rPr>
        <w:t xml:space="preserve"> կայունության պահպանումը պահման հայտագրված պայմաններում:</w:t>
      </w:r>
    </w:p>
    <w:p w14:paraId="129004B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Փաթեթվածքի ընտրված ձ</w:t>
      </w:r>
      <w:r>
        <w:rPr>
          <w:rFonts w:ascii="Sylfaen" w:hAnsi="Sylfaen"/>
          <w:color w:val="000000"/>
          <w:sz w:val="24"/>
          <w:szCs w:val="24"/>
        </w:rPr>
        <w:t>եւ</w:t>
      </w:r>
      <w:r w:rsidRPr="00394A09">
        <w:rPr>
          <w:rFonts w:ascii="Sylfaen" w:hAnsi="Sylfaen"/>
          <w:color w:val="000000"/>
          <w:sz w:val="24"/>
          <w:szCs w:val="24"/>
        </w:rPr>
        <w:t>ն ու տեսակը չպետք է ֆիզիկապես կամ քիմիապես փոխազդեն դրանում գտնվող դեղամիջոցի հետ, քանի որ դա կարող է հանգեցնել վերջինիս որակի փոփոխությանը:</w:t>
      </w:r>
    </w:p>
    <w:p w14:paraId="3A113F3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Դեղապատրաստուկի փաթեթավորման համար ընտրված խցանափակման միջոցները պետք է իներտ լինեն փաթեթվածքի պարունակության նկատմամբ, </w:t>
      </w:r>
      <w:r w:rsidRPr="00394A09">
        <w:rPr>
          <w:rFonts w:ascii="Sylfaen" w:hAnsi="Sylfaen"/>
          <w:color w:val="000000"/>
          <w:sz w:val="24"/>
          <w:szCs w:val="24"/>
        </w:rPr>
        <w:lastRenderedPageBreak/>
        <w:t xml:space="preserve">ապահովեն խցանափակման հուսալիությունը </w:t>
      </w:r>
      <w:r>
        <w:rPr>
          <w:rFonts w:ascii="Sylfaen" w:hAnsi="Sylfaen"/>
          <w:color w:val="000000"/>
          <w:sz w:val="24"/>
          <w:szCs w:val="24"/>
        </w:rPr>
        <w:t>եւ</w:t>
      </w:r>
      <w:r w:rsidRPr="00394A09">
        <w:rPr>
          <w:rFonts w:ascii="Sylfaen" w:hAnsi="Sylfaen"/>
          <w:color w:val="000000"/>
          <w:sz w:val="24"/>
          <w:szCs w:val="24"/>
        </w:rPr>
        <w:t xml:space="preserve"> չդառնան փաթեթվածքի պարունակության </w:t>
      </w:r>
      <w:r>
        <w:rPr>
          <w:rFonts w:ascii="Sylfaen" w:hAnsi="Sylfaen"/>
          <w:color w:val="000000"/>
          <w:sz w:val="24"/>
          <w:szCs w:val="24"/>
        </w:rPr>
        <w:t>եւ</w:t>
      </w:r>
      <w:r w:rsidRPr="00394A09">
        <w:rPr>
          <w:rFonts w:ascii="Sylfaen" w:hAnsi="Sylfaen"/>
          <w:color w:val="000000"/>
          <w:sz w:val="24"/>
          <w:szCs w:val="24"/>
        </w:rPr>
        <w:t xml:space="preserve"> արտաքին միջավայրի միջ</w:t>
      </w:r>
      <w:r>
        <w:rPr>
          <w:rFonts w:ascii="Sylfaen" w:hAnsi="Sylfaen"/>
          <w:color w:val="000000"/>
          <w:sz w:val="24"/>
          <w:szCs w:val="24"/>
        </w:rPr>
        <w:t>եւ</w:t>
      </w:r>
      <w:r w:rsidRPr="00394A09">
        <w:rPr>
          <w:rFonts w:ascii="Sylfaen" w:hAnsi="Sylfaen"/>
          <w:color w:val="000000"/>
          <w:sz w:val="24"/>
          <w:szCs w:val="24"/>
        </w:rPr>
        <w:t xml:space="preserve"> անցանկալի փոխազդեցության պատճառ:</w:t>
      </w:r>
    </w:p>
    <w:p w14:paraId="42B2E1F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Առաջնային փաթեթվածքի տարրերի </w:t>
      </w:r>
      <w:r>
        <w:rPr>
          <w:rFonts w:ascii="Sylfaen" w:hAnsi="Sylfaen"/>
          <w:color w:val="000000"/>
          <w:sz w:val="24"/>
          <w:szCs w:val="24"/>
        </w:rPr>
        <w:t>եւ</w:t>
      </w:r>
      <w:r w:rsidRPr="00394A09">
        <w:rPr>
          <w:rFonts w:ascii="Sylfaen" w:hAnsi="Sylfaen"/>
          <w:color w:val="000000"/>
          <w:sz w:val="24"/>
          <w:szCs w:val="24"/>
        </w:rPr>
        <w:t xml:space="preserve"> դեղամիջոցի բաղադրիչների միջ</w:t>
      </w:r>
      <w:r>
        <w:rPr>
          <w:rFonts w:ascii="Sylfaen" w:hAnsi="Sylfaen"/>
          <w:color w:val="000000"/>
          <w:sz w:val="24"/>
          <w:szCs w:val="24"/>
        </w:rPr>
        <w:t>եւ</w:t>
      </w:r>
      <w:r w:rsidRPr="00394A09">
        <w:rPr>
          <w:rFonts w:ascii="Sylfaen" w:hAnsi="Sylfaen"/>
          <w:color w:val="000000"/>
          <w:sz w:val="24"/>
          <w:szCs w:val="24"/>
        </w:rPr>
        <w:t xml:space="preserve">, որոնք ներառում են ազդող </w:t>
      </w:r>
      <w:r>
        <w:rPr>
          <w:rFonts w:ascii="Sylfaen" w:hAnsi="Sylfaen"/>
          <w:color w:val="000000"/>
          <w:sz w:val="24"/>
          <w:szCs w:val="24"/>
        </w:rPr>
        <w:t>եւ</w:t>
      </w:r>
      <w:r w:rsidRPr="00394A09">
        <w:rPr>
          <w:rFonts w:ascii="Sylfaen" w:hAnsi="Sylfaen"/>
          <w:color w:val="000000"/>
          <w:sz w:val="24"/>
          <w:szCs w:val="24"/>
        </w:rPr>
        <w:t xml:space="preserve"> օժանդակ նյութեր, այդ թվում՝ տարբեր դեղաձ</w:t>
      </w:r>
      <w:r>
        <w:rPr>
          <w:rFonts w:ascii="Sylfaen" w:hAnsi="Sylfaen"/>
          <w:color w:val="000000"/>
          <w:sz w:val="24"/>
          <w:szCs w:val="24"/>
        </w:rPr>
        <w:t>եւ</w:t>
      </w:r>
      <w:r w:rsidRPr="00394A09">
        <w:rPr>
          <w:rFonts w:ascii="Sylfaen" w:hAnsi="Sylfaen"/>
          <w:color w:val="000000"/>
          <w:sz w:val="24"/>
          <w:szCs w:val="24"/>
        </w:rPr>
        <w:t>երում օգտագործվող լուծիչներ, հնարավոր է մեծ թվով հավանական փոխազդեցություններ, ներառյալ՝</w:t>
      </w:r>
    </w:p>
    <w:p w14:paraId="6392C6E5"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փաթեթվածքի տարրերից քիմիական նյութերի ձերբազատումը (օրինակ՝ ալկալահանումը).</w:t>
      </w:r>
    </w:p>
    <w:p w14:paraId="10E5320F"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տեսանելի/անտեսանելի մասնիկների ձերբազատումը.</w:t>
      </w:r>
    </w:p>
    <w:p w14:paraId="43BE2E6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դեղամիջոցի բաղադրիչների սորբումը (կլանումը)՝ փաթեթվածքի նյութերով </w:t>
      </w:r>
      <w:r>
        <w:rPr>
          <w:rFonts w:ascii="Sylfaen" w:hAnsi="Sylfaen"/>
          <w:sz w:val="24"/>
          <w:szCs w:val="24"/>
        </w:rPr>
        <w:t>եւ</w:t>
      </w:r>
      <w:r w:rsidRPr="00394A09">
        <w:rPr>
          <w:rFonts w:ascii="Sylfaen" w:hAnsi="Sylfaen"/>
          <w:sz w:val="24"/>
          <w:szCs w:val="24"/>
        </w:rPr>
        <w:t xml:space="preserve"> դրա տարրերով.</w:t>
      </w:r>
    </w:p>
    <w:p w14:paraId="720643A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դեղամիջոցի </w:t>
      </w:r>
      <w:r>
        <w:rPr>
          <w:rFonts w:ascii="Sylfaen" w:hAnsi="Sylfaen"/>
          <w:sz w:val="24"/>
          <w:szCs w:val="24"/>
        </w:rPr>
        <w:t>եւ</w:t>
      </w:r>
      <w:r w:rsidRPr="00394A09">
        <w:rPr>
          <w:rFonts w:ascii="Sylfaen" w:hAnsi="Sylfaen"/>
          <w:sz w:val="24"/>
          <w:szCs w:val="24"/>
        </w:rPr>
        <w:t xml:space="preserve"> փաթեթվածքի տարրերի միջ</w:t>
      </w:r>
      <w:r>
        <w:rPr>
          <w:rFonts w:ascii="Sylfaen" w:hAnsi="Sylfaen"/>
          <w:sz w:val="24"/>
          <w:szCs w:val="24"/>
        </w:rPr>
        <w:t>եւ</w:t>
      </w:r>
      <w:r w:rsidRPr="00394A09">
        <w:rPr>
          <w:rFonts w:ascii="Sylfaen" w:hAnsi="Sylfaen"/>
          <w:sz w:val="24"/>
          <w:szCs w:val="24"/>
        </w:rPr>
        <w:t xml:space="preserve"> քիմիական փոխազդեցությունը.</w:t>
      </w:r>
    </w:p>
    <w:p w14:paraId="755D9C7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դեղամիջոցի հետ շփման ժամանակ փաթեթվածքի տարրերի քայքայումը.</w:t>
      </w:r>
    </w:p>
    <w:p w14:paraId="2348F3A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փաթեթվածքի վրա արտադրական գործընթացի (օրինակ՝ մանրէազերծման) ազդեցությունը </w:t>
      </w:r>
      <w:r>
        <w:rPr>
          <w:rFonts w:ascii="Sylfaen" w:hAnsi="Sylfaen"/>
          <w:sz w:val="24"/>
          <w:szCs w:val="24"/>
        </w:rPr>
        <w:t>եւ</w:t>
      </w:r>
      <w:r w:rsidRPr="00394A09">
        <w:rPr>
          <w:rFonts w:ascii="Sylfaen" w:hAnsi="Sylfaen"/>
          <w:sz w:val="24"/>
          <w:szCs w:val="24"/>
        </w:rPr>
        <w:t xml:space="preserve"> այլն:</w:t>
      </w:r>
    </w:p>
    <w:p w14:paraId="40B70BF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Փաթեթվածքը պետք է ապահովի դեղամիջոցի պահման պայմանների պահպանումը՝ մասնավոր դեղագրքային հոդվածի «Պահում» բաժնին կամ որակի վերաբերյալ նորմատիվ փաստաթղթի «Պահման պայմանները» բաժնին համապատասխան:</w:t>
      </w:r>
    </w:p>
    <w:p w14:paraId="4953614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Փաթեթվածքի վրա զետեղված մակնշումը պետք է ապահովի դեղամիջոցի նույնականացումը </w:t>
      </w:r>
      <w:r>
        <w:rPr>
          <w:rFonts w:ascii="Sylfaen" w:hAnsi="Sylfaen"/>
          <w:color w:val="000000"/>
          <w:sz w:val="24"/>
          <w:szCs w:val="24"/>
        </w:rPr>
        <w:t>եւ</w:t>
      </w:r>
      <w:r w:rsidRPr="00394A09">
        <w:rPr>
          <w:rFonts w:ascii="Sylfaen" w:hAnsi="Sylfaen"/>
          <w:color w:val="000000"/>
          <w:sz w:val="24"/>
          <w:szCs w:val="24"/>
        </w:rPr>
        <w:t xml:space="preserve"> սպառողներին ու դեղամիջոցի հետ աշխատանք կատարող մասնագետներին տրամադրի դեղամիջոցի մասին նորմատիվ փաստաթղթերով սահմանված տեղեկատվությունը:</w:t>
      </w:r>
    </w:p>
    <w:p w14:paraId="1EC759A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Փաթեթվածքը պետք է ապահովի սպառողի պաշտպանվածությունը դեղամիջոցը նմանակելուց, կեղծելուց, այն մինչ</w:t>
      </w:r>
      <w:r>
        <w:rPr>
          <w:rFonts w:ascii="Sylfaen" w:hAnsi="Sylfaen"/>
          <w:color w:val="000000"/>
          <w:sz w:val="24"/>
          <w:szCs w:val="24"/>
        </w:rPr>
        <w:t>եւ</w:t>
      </w:r>
      <w:r w:rsidRPr="00394A09">
        <w:rPr>
          <w:rFonts w:ascii="Sylfaen" w:hAnsi="Sylfaen"/>
          <w:color w:val="000000"/>
          <w:sz w:val="24"/>
          <w:szCs w:val="24"/>
        </w:rPr>
        <w:t xml:space="preserve"> օգտագործելը բացելուց, ինչպես նա</w:t>
      </w:r>
      <w:r>
        <w:rPr>
          <w:rFonts w:ascii="Sylfaen" w:hAnsi="Sylfaen"/>
          <w:color w:val="000000"/>
          <w:sz w:val="24"/>
          <w:szCs w:val="24"/>
        </w:rPr>
        <w:t>եւ</w:t>
      </w:r>
      <w:r w:rsidRPr="00394A09">
        <w:rPr>
          <w:rFonts w:ascii="Sylfaen" w:hAnsi="Sylfaen"/>
          <w:color w:val="000000"/>
          <w:sz w:val="24"/>
          <w:szCs w:val="24"/>
        </w:rPr>
        <w:t xml:space="preserve"> ապահովի դեղամիջոցն օգտագործելիս հարմարությունն ու անվտանգությունը: Պետք է ապահովված լինի բազմադեղաչափ փաթեթվածքից դեղապատրաստուկի դեղաչափված կամ հատով դուրսհանումը:</w:t>
      </w:r>
    </w:p>
    <w:p w14:paraId="60C811DF"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պետք է ունենա էսթետիկ արտաքին տեսք, հարմար լինի փոխադրման ու պահման համար, պետք է լինի խնայողական </w:t>
      </w:r>
      <w:r>
        <w:rPr>
          <w:rFonts w:ascii="Sylfaen" w:hAnsi="Sylfaen"/>
          <w:color w:val="000000"/>
          <w:sz w:val="24"/>
          <w:szCs w:val="24"/>
        </w:rPr>
        <w:t>եւ</w:t>
      </w:r>
      <w:r w:rsidRPr="00394A09">
        <w:rPr>
          <w:rFonts w:ascii="Sylfaen" w:hAnsi="Sylfaen"/>
          <w:color w:val="000000"/>
          <w:sz w:val="24"/>
          <w:szCs w:val="24"/>
        </w:rPr>
        <w:t xml:space="preserve"> համապատասխանի ժամանակակից բնապահպանական նորմերին, պահանջի օգտահանման նվազագույն ծախսեր:</w:t>
      </w:r>
    </w:p>
    <w:p w14:paraId="7662718C" w14:textId="77777777" w:rsidR="00AF2D51" w:rsidRPr="00394A09" w:rsidRDefault="00AF2D51" w:rsidP="00AF2D51">
      <w:pPr>
        <w:pStyle w:val="a0"/>
        <w:shd w:val="clear" w:color="auto" w:fill="auto"/>
        <w:spacing w:after="160" w:line="341" w:lineRule="auto"/>
        <w:ind w:firstLine="567"/>
        <w:jc w:val="both"/>
        <w:rPr>
          <w:rFonts w:ascii="Sylfaen" w:hAnsi="Sylfaen" w:cs="Sylfaen"/>
          <w:color w:val="000000"/>
          <w:sz w:val="24"/>
          <w:szCs w:val="24"/>
        </w:rPr>
      </w:pPr>
      <w:r w:rsidRPr="00394A09">
        <w:rPr>
          <w:rFonts w:ascii="Sylfaen" w:hAnsi="Sylfaen"/>
          <w:color w:val="000000"/>
          <w:sz w:val="24"/>
          <w:szCs w:val="24"/>
        </w:rPr>
        <w:t xml:space="preserve">Թմրամիջոցների </w:t>
      </w:r>
      <w:r>
        <w:rPr>
          <w:rFonts w:ascii="Sylfaen" w:hAnsi="Sylfaen"/>
          <w:color w:val="000000"/>
          <w:sz w:val="24"/>
          <w:szCs w:val="24"/>
        </w:rPr>
        <w:t>եւ</w:t>
      </w:r>
      <w:r w:rsidRPr="00394A09">
        <w:rPr>
          <w:rFonts w:ascii="Sylfaen" w:hAnsi="Sylfaen"/>
          <w:color w:val="000000"/>
          <w:sz w:val="24"/>
          <w:szCs w:val="24"/>
        </w:rPr>
        <w:t xml:space="preserve"> հոգեմետ (հոգեներգործուն) դեղամիջոցների, ռադիոդեղագործական դեղապատրաստուկների </w:t>
      </w:r>
      <w:r>
        <w:rPr>
          <w:rFonts w:ascii="Sylfaen" w:hAnsi="Sylfaen"/>
          <w:color w:val="000000"/>
          <w:sz w:val="24"/>
          <w:szCs w:val="24"/>
        </w:rPr>
        <w:t>եւ</w:t>
      </w:r>
      <w:r w:rsidRPr="00394A09">
        <w:rPr>
          <w:rFonts w:ascii="Sylfaen" w:hAnsi="Sylfaen"/>
          <w:color w:val="000000"/>
          <w:sz w:val="24"/>
          <w:szCs w:val="24"/>
        </w:rPr>
        <w:t xml:space="preserve"> որոշ այլ դեղամիջոցների համար նախատեսված փաթեթվածքը պետք է համապատասխանի դրան առնչվող՝ Եվրասիական տնտեսական միության անդամ պետությունների նորմատիվ իրավական ակտերով ներկայացվող պահանջներին:</w:t>
      </w:r>
    </w:p>
    <w:p w14:paraId="39AB0A63"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p>
    <w:p w14:paraId="71BA3B9F" w14:textId="77777777" w:rsidR="00AF2D51" w:rsidRPr="00394A09" w:rsidRDefault="00AF2D51" w:rsidP="00AF2D51">
      <w:pPr>
        <w:pStyle w:val="a0"/>
        <w:shd w:val="clear" w:color="auto" w:fill="auto"/>
        <w:spacing w:after="160" w:line="341" w:lineRule="auto"/>
        <w:ind w:firstLine="567"/>
        <w:rPr>
          <w:rFonts w:ascii="Sylfaen" w:hAnsi="Sylfaen" w:cs="Sylfaen"/>
          <w:sz w:val="24"/>
          <w:szCs w:val="24"/>
        </w:rPr>
      </w:pPr>
      <w:r w:rsidRPr="00394A09">
        <w:rPr>
          <w:rFonts w:ascii="Sylfaen" w:hAnsi="Sylfaen"/>
          <w:b/>
          <w:color w:val="000000"/>
          <w:sz w:val="24"/>
          <w:szCs w:val="24"/>
        </w:rPr>
        <w:t>ՓԱԹԵԹԱՎՈՐՄԱՆ ՆՅՈՒԹԵՐԸ</w:t>
      </w:r>
    </w:p>
    <w:p w14:paraId="108E43CB"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t xml:space="preserve">Փաթեթավորման նյութն այն ցանկացած նյութն է, որն օգտագործվում է դեղագործական կիրառման սուբստանցիաների, բժշկական կիրառման դեղապատրաստուկների կամ միջանկյալ արտադրանքի համար նախատեսված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արտադրման համար:</w:t>
      </w:r>
    </w:p>
    <w:p w14:paraId="3CCB6E21"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համար փաթեթավորման հիմնական նյութերն են ապակին, պոլիմերային </w:t>
      </w:r>
      <w:r>
        <w:rPr>
          <w:rFonts w:ascii="Sylfaen" w:hAnsi="Sylfaen"/>
          <w:color w:val="000000"/>
          <w:sz w:val="24"/>
          <w:szCs w:val="24"/>
        </w:rPr>
        <w:t>եւ</w:t>
      </w:r>
      <w:r w:rsidRPr="00394A09">
        <w:rPr>
          <w:rFonts w:ascii="Sylfaen" w:hAnsi="Sylfaen"/>
          <w:color w:val="000000"/>
          <w:sz w:val="24"/>
          <w:szCs w:val="24"/>
        </w:rPr>
        <w:t xml:space="preserve"> էլաստոմերային նյութերը, մետաղը, թուղթը, ստվարաթուղթը: Հումքի երկու </w:t>
      </w:r>
      <w:r>
        <w:rPr>
          <w:rFonts w:ascii="Sylfaen" w:hAnsi="Sylfaen"/>
          <w:color w:val="000000"/>
          <w:sz w:val="24"/>
          <w:szCs w:val="24"/>
        </w:rPr>
        <w:t>եւ</w:t>
      </w:r>
      <w:r w:rsidRPr="00394A09">
        <w:rPr>
          <w:rFonts w:ascii="Sylfaen" w:hAnsi="Sylfaen"/>
          <w:color w:val="000000"/>
          <w:sz w:val="24"/>
          <w:szCs w:val="24"/>
        </w:rPr>
        <w:t xml:space="preserve"> ավելի տեսակներից բաղկացած փաթեթավորման նյութերը դասվում են համակցված փաթեթավորման նյութերին:</w:t>
      </w:r>
    </w:p>
    <w:p w14:paraId="634CC858" w14:textId="77777777" w:rsidR="00AF2D51" w:rsidRPr="00394A09" w:rsidRDefault="00AF2D51" w:rsidP="00AF2D51">
      <w:pPr>
        <w:pStyle w:val="a0"/>
        <w:shd w:val="clear" w:color="auto" w:fill="auto"/>
        <w:spacing w:after="160" w:line="341" w:lineRule="auto"/>
        <w:ind w:firstLine="567"/>
        <w:rPr>
          <w:rFonts w:ascii="Sylfaen" w:hAnsi="Sylfaen" w:cs="Sylfaen"/>
          <w:sz w:val="24"/>
          <w:szCs w:val="24"/>
        </w:rPr>
      </w:pPr>
      <w:r w:rsidRPr="00394A09">
        <w:rPr>
          <w:rFonts w:ascii="Sylfaen" w:hAnsi="Sylfaen"/>
          <w:i/>
          <w:color w:val="000000"/>
          <w:sz w:val="24"/>
          <w:szCs w:val="24"/>
        </w:rPr>
        <w:t>Ապակի</w:t>
      </w:r>
    </w:p>
    <w:p w14:paraId="13AEC87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Ապակին դեղամիջոցների առաջնային փաթեթվածքի հիմնական տարրերից մեկի՝ ապակե տարայի արտադրման համար նախատեսված փաթեթավորման նյութն է:</w:t>
      </w:r>
    </w:p>
    <w:p w14:paraId="334C3CD1" w14:textId="77777777" w:rsidR="00AF2D51" w:rsidRPr="00394A09" w:rsidRDefault="00AF2D51" w:rsidP="00AF2D51">
      <w:pPr>
        <w:tabs>
          <w:tab w:val="left" w:pos="2568"/>
        </w:tabs>
        <w:spacing w:after="160" w:line="360" w:lineRule="auto"/>
        <w:ind w:firstLine="567"/>
        <w:jc w:val="both"/>
      </w:pPr>
      <w:r w:rsidRPr="00394A09">
        <w:lastRenderedPageBreak/>
        <w:t xml:space="preserve">Դեղագործական կիրառման փաթեթվածքի արտադրման համար օգտագործում են միմյանցից քիմիական կազմով տարբերվող ապակիների տարբեր տեսակներ: Ապակու տեսակի ընտրությունը կախված է ապակու հետ շփում ունեցող դեղամիջոցի </w:t>
      </w:r>
      <w:r>
        <w:t>եւ</w:t>
      </w:r>
      <w:r w:rsidRPr="00394A09">
        <w:t xml:space="preserve"> (կամ) դեղաձ</w:t>
      </w:r>
      <w:r>
        <w:t>եւ</w:t>
      </w:r>
      <w:r w:rsidRPr="00394A09">
        <w:t xml:space="preserve">ի ֆիզիկաքիմիական հատկություններից, կիրառման եղանակից </w:t>
      </w:r>
      <w:r>
        <w:t>եւ</w:t>
      </w:r>
      <w:r w:rsidRPr="00394A09">
        <w:t xml:space="preserve"> այլ բնութագրերից:</w:t>
      </w:r>
    </w:p>
    <w:p w14:paraId="0EC5E66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Դեղագործական կիրառման փաթեթվածքի արտադրման համար օգտագործվող ապակու տեսակների բնութագրերն ու դասակարգումը, ապակյա փաթեթվածքի արտադրության առանձնահատկությունները, ինչպես նա</w:t>
      </w:r>
      <w:r>
        <w:rPr>
          <w:rFonts w:ascii="Sylfaen" w:hAnsi="Sylfaen"/>
          <w:color w:val="000000"/>
          <w:sz w:val="24"/>
          <w:szCs w:val="24"/>
        </w:rPr>
        <w:t>եւ</w:t>
      </w:r>
      <w:r w:rsidRPr="00394A09">
        <w:rPr>
          <w:rFonts w:ascii="Sylfaen" w:hAnsi="Sylfaen"/>
          <w:color w:val="000000"/>
          <w:sz w:val="24"/>
          <w:szCs w:val="24"/>
        </w:rPr>
        <w:t xml:space="preserve"> ըստ հիդրոլիտիկ կայունության, լիցքավորման ծավալի, արսենի պարունակության </w:t>
      </w:r>
      <w:r>
        <w:rPr>
          <w:rFonts w:ascii="Sylfaen" w:hAnsi="Sylfaen"/>
          <w:color w:val="000000"/>
          <w:sz w:val="24"/>
          <w:szCs w:val="24"/>
        </w:rPr>
        <w:t>եւ</w:t>
      </w:r>
      <w:r w:rsidRPr="00394A09">
        <w:rPr>
          <w:rFonts w:ascii="Sylfaen" w:hAnsi="Sylfaen"/>
          <w:color w:val="000000"/>
          <w:sz w:val="24"/>
          <w:szCs w:val="24"/>
        </w:rPr>
        <w:t xml:space="preserve"> լուսանցանելիության՝ ապակյա փաթեթվածքին ներկայացվող հիմնական պահանջները կանոնակարգված են </w:t>
      </w:r>
      <w:r w:rsidRPr="00394A09">
        <w:rPr>
          <w:rFonts w:ascii="Sylfaen" w:hAnsi="Sylfaen"/>
          <w:i/>
          <w:color w:val="000000"/>
          <w:sz w:val="24"/>
          <w:szCs w:val="24"/>
        </w:rPr>
        <w:t>2.4.2.2. Դեղագործական կիրառման ապակյա փաթեթվածք</w:t>
      </w:r>
      <w:r w:rsidRPr="00394A09">
        <w:rPr>
          <w:rFonts w:ascii="Sylfaen" w:hAnsi="Sylfaen"/>
          <w:color w:val="000000"/>
          <w:sz w:val="24"/>
          <w:szCs w:val="24"/>
        </w:rPr>
        <w:t xml:space="preserve"> ընդհանուր դեղագրքային հոդվածով:</w:t>
      </w:r>
    </w:p>
    <w:p w14:paraId="592409E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t>Պոլիմերային նյութեր</w:t>
      </w:r>
    </w:p>
    <w:p w14:paraId="569BD32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Պոլիմերային նյութերը լայնորեն կիրառվում են դեղամիջոցների փաթեթվածքի </w:t>
      </w:r>
      <w:r>
        <w:rPr>
          <w:rFonts w:ascii="Sylfaen" w:hAnsi="Sylfaen"/>
          <w:color w:val="000000"/>
          <w:sz w:val="24"/>
          <w:szCs w:val="24"/>
        </w:rPr>
        <w:t>եւ</w:t>
      </w:r>
      <w:r w:rsidRPr="00394A09">
        <w:rPr>
          <w:rFonts w:ascii="Sylfaen" w:hAnsi="Sylfaen"/>
          <w:color w:val="000000"/>
          <w:sz w:val="24"/>
          <w:szCs w:val="24"/>
        </w:rPr>
        <w:t xml:space="preserve"> դրա տարբեր տարրերի՝ տարայի, խցանափակման միջոցների, դեղաչափման </w:t>
      </w:r>
      <w:r>
        <w:rPr>
          <w:rFonts w:ascii="Sylfaen" w:hAnsi="Sylfaen"/>
          <w:color w:val="000000"/>
          <w:sz w:val="24"/>
          <w:szCs w:val="24"/>
        </w:rPr>
        <w:t>եւ</w:t>
      </w:r>
      <w:r w:rsidRPr="00394A09">
        <w:rPr>
          <w:rFonts w:ascii="Sylfaen" w:hAnsi="Sylfaen"/>
          <w:color w:val="000000"/>
          <w:sz w:val="24"/>
          <w:szCs w:val="24"/>
        </w:rPr>
        <w:t xml:space="preserve"> տեղ հասցնելու միջոցների, խցանափակման օժանդակ միջոցների </w:t>
      </w:r>
      <w:r>
        <w:rPr>
          <w:rFonts w:ascii="Sylfaen" w:hAnsi="Sylfaen"/>
          <w:color w:val="000000"/>
          <w:sz w:val="24"/>
          <w:szCs w:val="24"/>
        </w:rPr>
        <w:t>եւ</w:t>
      </w:r>
      <w:r w:rsidRPr="00394A09">
        <w:rPr>
          <w:rFonts w:ascii="Sylfaen" w:hAnsi="Sylfaen"/>
          <w:color w:val="000000"/>
          <w:sz w:val="24"/>
          <w:szCs w:val="24"/>
        </w:rPr>
        <w:t xml:space="preserve"> այլնի արտադրության մեջ:</w:t>
      </w:r>
    </w:p>
    <w:p w14:paraId="32FF836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համար որպես փաթեթավորման նյութեր օգտագործվում են պոլիմերային նյութերի միայն որոշակի տեսակներ </w:t>
      </w:r>
      <w:r>
        <w:rPr>
          <w:rFonts w:ascii="Sylfaen" w:hAnsi="Sylfaen"/>
          <w:color w:val="000000"/>
          <w:sz w:val="24"/>
          <w:szCs w:val="24"/>
        </w:rPr>
        <w:t>եւ</w:t>
      </w:r>
      <w:r w:rsidRPr="00394A09">
        <w:rPr>
          <w:rFonts w:ascii="Sylfaen" w:hAnsi="Sylfaen"/>
          <w:color w:val="000000"/>
          <w:sz w:val="24"/>
          <w:szCs w:val="24"/>
        </w:rPr>
        <w:t xml:space="preserve"> մակնիշներ: Կոնկրետ դեղամիջոցի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արտադրության համար նախատեսված պոլիմերային նյութի համապատասխան տեսակն ու մակնիշն ընտրելիս անհրաժեշտ է տեղեկատվություն ունենալ դրա քիմիական կազմի, ֆիզիկաքիմիական </w:t>
      </w:r>
      <w:r>
        <w:rPr>
          <w:rFonts w:ascii="Sylfaen" w:hAnsi="Sylfaen"/>
          <w:color w:val="000000"/>
          <w:sz w:val="24"/>
          <w:szCs w:val="24"/>
        </w:rPr>
        <w:t>եւ</w:t>
      </w:r>
      <w:r w:rsidRPr="00394A09">
        <w:rPr>
          <w:rFonts w:ascii="Sylfaen" w:hAnsi="Sylfaen"/>
          <w:color w:val="000000"/>
          <w:sz w:val="24"/>
          <w:szCs w:val="24"/>
        </w:rPr>
        <w:t xml:space="preserve"> թունաբանական հատկությունների մասին որպես փաթեթավորման նյութ՝ հատկապես առաջնային փաթեթվածքի արտադրության համար օգտագործելու դեպքում դրա հնարավոր ռիսկը գնահատելու նպատակով:</w:t>
      </w:r>
    </w:p>
    <w:p w14:paraId="0F60441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Դեղագործական կիրառման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արտադրման համար օգտագործում են տարբեր պոլիմերային նյութեր՝ պոլիպրոպիլեն, ցածր </w:t>
      </w:r>
      <w:r>
        <w:rPr>
          <w:rFonts w:ascii="Sylfaen" w:hAnsi="Sylfaen"/>
          <w:color w:val="000000"/>
          <w:sz w:val="24"/>
          <w:szCs w:val="24"/>
        </w:rPr>
        <w:t>եւ</w:t>
      </w:r>
      <w:r w:rsidRPr="00394A09">
        <w:rPr>
          <w:rFonts w:ascii="Sylfaen" w:hAnsi="Sylfaen"/>
          <w:color w:val="000000"/>
          <w:sz w:val="24"/>
          <w:szCs w:val="24"/>
        </w:rPr>
        <w:t xml:space="preserve"> բարձր ճնշման պոլիէթիլեն </w:t>
      </w:r>
      <w:r>
        <w:rPr>
          <w:rFonts w:ascii="Sylfaen" w:hAnsi="Sylfaen"/>
          <w:color w:val="000000"/>
          <w:sz w:val="24"/>
          <w:szCs w:val="24"/>
        </w:rPr>
        <w:t>եւ</w:t>
      </w:r>
      <w:r w:rsidRPr="00394A09">
        <w:rPr>
          <w:rFonts w:ascii="Sylfaen" w:hAnsi="Sylfaen"/>
          <w:color w:val="000000"/>
          <w:sz w:val="24"/>
          <w:szCs w:val="24"/>
        </w:rPr>
        <w:t xml:space="preserve"> դրանց խառնուրդները, պլաստիկացված </w:t>
      </w:r>
      <w:r>
        <w:rPr>
          <w:rFonts w:ascii="Sylfaen" w:hAnsi="Sylfaen"/>
          <w:color w:val="000000"/>
          <w:sz w:val="24"/>
          <w:szCs w:val="24"/>
        </w:rPr>
        <w:t>եւ</w:t>
      </w:r>
      <w:r w:rsidRPr="00394A09">
        <w:rPr>
          <w:rFonts w:ascii="Sylfaen" w:hAnsi="Sylfaen"/>
          <w:color w:val="000000"/>
          <w:sz w:val="24"/>
          <w:szCs w:val="24"/>
        </w:rPr>
        <w:t xml:space="preserve"> ոչ </w:t>
      </w:r>
      <w:r w:rsidRPr="00394A09">
        <w:rPr>
          <w:rFonts w:ascii="Sylfaen" w:hAnsi="Sylfaen"/>
          <w:color w:val="000000"/>
          <w:sz w:val="24"/>
          <w:szCs w:val="24"/>
        </w:rPr>
        <w:lastRenderedPageBreak/>
        <w:t xml:space="preserve">պլաստիկացված պոլիվինիլքլորիդ, պոլիէթիլենտերեֆտալատ, պոլիէթիլենվինիլացետատ </w:t>
      </w:r>
      <w:r>
        <w:rPr>
          <w:rFonts w:ascii="Sylfaen" w:hAnsi="Sylfaen"/>
          <w:color w:val="000000"/>
          <w:sz w:val="24"/>
          <w:szCs w:val="24"/>
        </w:rPr>
        <w:t>եւ</w:t>
      </w:r>
      <w:r w:rsidRPr="00394A09">
        <w:rPr>
          <w:rFonts w:ascii="Sylfaen" w:hAnsi="Sylfaen"/>
          <w:color w:val="000000"/>
          <w:sz w:val="24"/>
          <w:szCs w:val="24"/>
        </w:rPr>
        <w:t xml:space="preserve"> այլն:</w:t>
      </w:r>
    </w:p>
    <w:p w14:paraId="7B21A32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Դեղագործական պրակտիկայում օգտագործվող պոլիմերային նյութերին ներկայացվող պահանջները կախված են արտադրվող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նշանակությունից, ընդ որում, առավել խիստ պահանջներ ներկայացվում են պարենտերալ </w:t>
      </w:r>
      <w:r>
        <w:rPr>
          <w:rFonts w:ascii="Sylfaen" w:hAnsi="Sylfaen"/>
          <w:color w:val="000000"/>
          <w:sz w:val="24"/>
          <w:szCs w:val="24"/>
        </w:rPr>
        <w:t>եւ</w:t>
      </w:r>
      <w:r w:rsidRPr="00394A09">
        <w:rPr>
          <w:rFonts w:ascii="Sylfaen" w:hAnsi="Sylfaen"/>
          <w:color w:val="000000"/>
          <w:sz w:val="24"/>
          <w:szCs w:val="24"/>
        </w:rPr>
        <w:t xml:space="preserve"> ակնաբուժական կիրառման դեղապատրաստուկների համար նախատեսված փաթեթվածքի պոլիմերային նյութերին:</w:t>
      </w:r>
    </w:p>
    <w:p w14:paraId="547D568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Պարենտերալ կիրառման լուծույթների տեսքով դեղապատրաստուկների համար առաջնային պոլիմերային փաթեթվածքը սահմանված դեպքերում պոլիմերային թաղանթով պարկի մեջ տեղադրված սրվակն է, շիշը կամ փաթեթը: </w:t>
      </w:r>
      <w:r w:rsidRPr="00394A09">
        <w:rPr>
          <w:rFonts w:ascii="Sylfaen" w:hAnsi="Sylfaen"/>
          <w:color w:val="000000"/>
          <w:spacing w:val="-4"/>
          <w:sz w:val="24"/>
          <w:szCs w:val="24"/>
        </w:rPr>
        <w:t>Ապակյա փաթեթվածքի համեմատ պոլիմերային փաթեթվածքն ունի որոշ առավելություններ. այն չի կոտրվում, ճկուն է եւ թեթեւ, ինչը հատկապես կարեւոր է պարենտերալ</w:t>
      </w:r>
      <w:r w:rsidRPr="00394A09">
        <w:rPr>
          <w:rFonts w:ascii="Sylfaen" w:hAnsi="Sylfaen"/>
          <w:color w:val="000000"/>
          <w:sz w:val="24"/>
          <w:szCs w:val="24"/>
        </w:rPr>
        <w:t xml:space="preserve"> կիրառման լուծույթների համար փաթեթվածքն ընտրելիս: Միաժամանակ պարենտերալ կիրառման լուծույթների տեսքով դեղապատրաստուկների համար փաթեթվածքն ընտրելիս հարկավոր է հաշվի առնել պոլիմերային փաթեթավորման նյութերի կիսաթափանցելիությունը:</w:t>
      </w:r>
    </w:p>
    <w:p w14:paraId="676E466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Պարենտերալ, ակնաբուժական կիրառման, պարենտերալ սնուցման դեղապատրաստուկների համար նախատեսված փաթեթվածքի համար օգտագործվող պոլիմերային նյութերը պետք է համապատասխանեն հետեւյալ ընդհանուր դեղագրքային հոդվածներում նշված պահանջներին.</w:t>
      </w:r>
    </w:p>
    <w:p w14:paraId="0C8F957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i/>
          <w:iCs/>
          <w:color w:val="000000"/>
          <w:sz w:val="24"/>
          <w:szCs w:val="24"/>
        </w:rPr>
      </w:pPr>
      <w:r w:rsidRPr="00394A09">
        <w:rPr>
          <w:rFonts w:ascii="Sylfaen" w:hAnsi="Sylfaen"/>
          <w:i/>
          <w:sz w:val="24"/>
          <w:szCs w:val="24"/>
        </w:rPr>
        <w:t>-</w:t>
      </w:r>
      <w:r w:rsidRPr="00AF2D51">
        <w:rPr>
          <w:rFonts w:ascii="Sylfaen" w:hAnsi="Sylfaen"/>
          <w:i/>
          <w:sz w:val="24"/>
          <w:szCs w:val="24"/>
        </w:rPr>
        <w:tab/>
      </w:r>
      <w:r w:rsidRPr="00394A09">
        <w:rPr>
          <w:rFonts w:ascii="Sylfaen" w:hAnsi="Sylfaen"/>
          <w:i/>
          <w:color w:val="000000"/>
          <w:sz w:val="24"/>
          <w:szCs w:val="24"/>
        </w:rPr>
        <w:t>2.4.1.2. Պոլիէթիլեն՝ առանց հավելանյութերի.</w:t>
      </w:r>
    </w:p>
    <w:p w14:paraId="7B65CAF9"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i/>
          <w:iCs/>
          <w:color w:val="000000"/>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2.4.1.3. Պոլիէթիլեն հավելանյութերով.</w:t>
      </w:r>
    </w:p>
    <w:p w14:paraId="0B289D0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2.4.1.4. Պոլիպրոպիլեն.</w:t>
      </w:r>
    </w:p>
    <w:p w14:paraId="301C149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2.4.1.1. Պոլիոլեֆիններ.</w:t>
      </w:r>
    </w:p>
    <w:p w14:paraId="404ECDE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F2D51">
        <w:rPr>
          <w:rFonts w:ascii="Sylfaen" w:hAnsi="Sylfaen"/>
          <w:i/>
          <w:sz w:val="24"/>
          <w:szCs w:val="24"/>
        </w:rPr>
        <w:tab/>
      </w:r>
      <w:r w:rsidRPr="00394A09">
        <w:rPr>
          <w:rFonts w:ascii="Sylfaen" w:hAnsi="Sylfaen"/>
          <w:i/>
          <w:color w:val="000000"/>
          <w:sz w:val="24"/>
          <w:szCs w:val="24"/>
        </w:rPr>
        <w:t>2.4.1.5. Պոլիէթիլենվինիլացետատ.</w:t>
      </w:r>
    </w:p>
    <w:p w14:paraId="2A3E0A16"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lastRenderedPageBreak/>
        <w:t>-</w:t>
      </w:r>
      <w:r w:rsidRPr="00AF2D51">
        <w:rPr>
          <w:rFonts w:ascii="Sylfaen" w:hAnsi="Sylfaen"/>
          <w:i/>
          <w:sz w:val="24"/>
          <w:szCs w:val="24"/>
        </w:rPr>
        <w:tab/>
      </w:r>
      <w:r w:rsidRPr="00394A09">
        <w:rPr>
          <w:rFonts w:ascii="Sylfaen" w:hAnsi="Sylfaen"/>
          <w:i/>
          <w:color w:val="000000"/>
          <w:sz w:val="24"/>
          <w:szCs w:val="24"/>
        </w:rPr>
        <w:t>2.4.1.11. Ներերակային ինֆուզիաների համար նախատեսված դեղապատրաստուկների ջրային լուծույթների փաթեթվածքների համար նախատեսված պլաստիկացված պոլիվինիլքլորիդի հիմքով նյութեր:</w:t>
      </w:r>
    </w:p>
    <w:p w14:paraId="2915A87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Ոչ պարենտերալ կիրառման դեղապատրաստուկների համար նախատեսված փաթեթվածքի համար օգտագործվող պոլիմերային նյութերը պետք է համապատասխանեն հետեւյալ ընդհանուր դեղագրքային հոդվածներում նշված պահանջներին.</w:t>
      </w:r>
    </w:p>
    <w:p w14:paraId="3EEB9E3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F2D51">
        <w:rPr>
          <w:rFonts w:ascii="Sylfaen" w:hAnsi="Sylfaen"/>
          <w:i/>
          <w:sz w:val="24"/>
          <w:szCs w:val="24"/>
        </w:rPr>
        <w:tab/>
      </w:r>
      <w:r w:rsidRPr="00394A09">
        <w:rPr>
          <w:rFonts w:ascii="Sylfaen" w:hAnsi="Sylfaen"/>
          <w:i/>
          <w:color w:val="000000"/>
          <w:sz w:val="24"/>
          <w:szCs w:val="24"/>
        </w:rPr>
        <w:t>2.4.1.8. Ոչ պարենտերալ ջրային լուծույթների փաթեթվածքների համար նախատեսված ոչ պլաստիկացված պոլիվինիլքլորիդի հիմքով նյութեր.</w:t>
      </w:r>
    </w:p>
    <w:p w14:paraId="702263E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2.4.1.9. Ներքին ընդունման պինդ դեղաձ</w:t>
      </w:r>
      <w:r>
        <w:rPr>
          <w:rFonts w:ascii="Sylfaen" w:hAnsi="Sylfaen"/>
          <w:i/>
          <w:color w:val="000000"/>
          <w:sz w:val="24"/>
          <w:szCs w:val="24"/>
        </w:rPr>
        <w:t>եւ</w:t>
      </w:r>
      <w:r w:rsidRPr="00394A09">
        <w:rPr>
          <w:rFonts w:ascii="Sylfaen" w:hAnsi="Sylfaen"/>
          <w:i/>
          <w:color w:val="000000"/>
          <w:sz w:val="24"/>
          <w:szCs w:val="24"/>
        </w:rPr>
        <w:t>ով դեղապատրաստուկների փաթեթվածքների համար նախատեսված ոչ պլաստիկացված պոլիվինիլքլորիդի հիմքով նյութեր.</w:t>
      </w:r>
    </w:p>
    <w:p w14:paraId="726045C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 xml:space="preserve">- </w:t>
      </w:r>
      <w:r w:rsidRPr="00AF2D51">
        <w:rPr>
          <w:rFonts w:ascii="Sylfaen" w:hAnsi="Sylfaen"/>
          <w:i/>
          <w:color w:val="000000"/>
          <w:sz w:val="24"/>
          <w:szCs w:val="24"/>
        </w:rPr>
        <w:tab/>
      </w:r>
      <w:r w:rsidRPr="00394A09">
        <w:rPr>
          <w:rFonts w:ascii="Sylfaen" w:hAnsi="Sylfaen"/>
          <w:i/>
          <w:color w:val="000000"/>
          <w:sz w:val="24"/>
          <w:szCs w:val="24"/>
        </w:rPr>
        <w:t>2.4.1.12. Ոչ պարենտերալ կիրառման դեղապատրաստուկների փաթեթվածքների համար նախատեսված պոլիէթիլենտերեֆտալատ:</w:t>
      </w:r>
    </w:p>
    <w:p w14:paraId="7262A70E"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color w:val="000000"/>
          <w:sz w:val="24"/>
          <w:szCs w:val="24"/>
        </w:rPr>
        <w:t xml:space="preserve">Փաթեթավորման պոլիմերային նյութերի կազմի մեջ կարող են ընդգրկվել հակաօքսիդիչներից, կայունացուցիչներից, պլաստիկացնողներից, քսանյութերից, ներկանյութերից, հարվածադիմացկունության վերափոխիչներից (մոդիֆիկատոր) </w:t>
      </w:r>
      <w:r>
        <w:rPr>
          <w:rFonts w:ascii="Sylfaen" w:hAnsi="Sylfaen"/>
          <w:color w:val="000000"/>
          <w:sz w:val="24"/>
          <w:szCs w:val="24"/>
        </w:rPr>
        <w:t>եւ</w:t>
      </w:r>
      <w:r w:rsidRPr="00394A09">
        <w:rPr>
          <w:rFonts w:ascii="Sylfaen" w:hAnsi="Sylfaen"/>
          <w:color w:val="000000"/>
          <w:sz w:val="24"/>
          <w:szCs w:val="24"/>
        </w:rPr>
        <w:t xml:space="preserve"> այլ նյութերից բաղկացած հատուկ հավելանյութեր: Դեղագործական կիրառման պոլիմերային նյութերում օգտագործման համար թույլատրված հավելանյութերի ցանկը՝ նյութի բանաձ</w:t>
      </w:r>
      <w:r>
        <w:rPr>
          <w:rFonts w:ascii="Sylfaen" w:hAnsi="Sylfaen"/>
          <w:color w:val="000000"/>
          <w:sz w:val="24"/>
          <w:szCs w:val="24"/>
        </w:rPr>
        <w:t>եւ</w:t>
      </w:r>
      <w:r w:rsidRPr="00394A09">
        <w:rPr>
          <w:rFonts w:ascii="Sylfaen" w:hAnsi="Sylfaen"/>
          <w:color w:val="000000"/>
          <w:sz w:val="24"/>
          <w:szCs w:val="24"/>
        </w:rPr>
        <w:t xml:space="preserve">երի </w:t>
      </w:r>
      <w:r>
        <w:rPr>
          <w:rFonts w:ascii="Sylfaen" w:hAnsi="Sylfaen"/>
          <w:color w:val="000000"/>
          <w:sz w:val="24"/>
          <w:szCs w:val="24"/>
        </w:rPr>
        <w:t>եւ</w:t>
      </w:r>
      <w:r w:rsidRPr="00394A09">
        <w:rPr>
          <w:rFonts w:ascii="Sylfaen" w:hAnsi="Sylfaen"/>
          <w:color w:val="000000"/>
          <w:sz w:val="24"/>
          <w:szCs w:val="24"/>
        </w:rPr>
        <w:t xml:space="preserve"> ըստ IUPAC անվանացանկի հնարավոր անվանումների նշմամբ, ըստ քիմիական ռեֆերատիվ ծառայության անվանացանկի՝ CAS գրանցման համարի նշմամբ, ներկայացված է </w:t>
      </w:r>
      <w:r w:rsidRPr="00394A09">
        <w:rPr>
          <w:rFonts w:ascii="Sylfaen" w:hAnsi="Sylfaen"/>
          <w:i/>
          <w:color w:val="000000"/>
          <w:sz w:val="24"/>
          <w:szCs w:val="24"/>
        </w:rPr>
        <w:t>2.4.1.10.</w:t>
      </w:r>
      <w:r w:rsidRPr="00394A09">
        <w:rPr>
          <w:rFonts w:ascii="Sylfaen" w:hAnsi="Sylfaen"/>
          <w:color w:val="000000"/>
          <w:sz w:val="24"/>
          <w:szCs w:val="24"/>
        </w:rPr>
        <w:t xml:space="preserve"> </w:t>
      </w:r>
      <w:r w:rsidRPr="00394A09">
        <w:rPr>
          <w:rFonts w:ascii="Sylfaen" w:hAnsi="Sylfaen"/>
          <w:i/>
          <w:color w:val="000000"/>
          <w:sz w:val="24"/>
          <w:szCs w:val="24"/>
        </w:rPr>
        <w:t xml:space="preserve">Պոլիմերային նյութերի հավելանյութեր </w:t>
      </w:r>
      <w:r w:rsidRPr="00394A09">
        <w:rPr>
          <w:rFonts w:ascii="Sylfaen" w:hAnsi="Sylfaen"/>
          <w:color w:val="000000"/>
          <w:sz w:val="24"/>
          <w:szCs w:val="24"/>
        </w:rPr>
        <w:t xml:space="preserve">ընդհանուր դեղագրքային հոդվածում: </w:t>
      </w:r>
      <w:r w:rsidRPr="00394A09">
        <w:rPr>
          <w:rFonts w:ascii="Sylfaen" w:hAnsi="Sylfaen"/>
          <w:i/>
          <w:color w:val="000000"/>
          <w:sz w:val="24"/>
          <w:szCs w:val="24"/>
        </w:rPr>
        <w:t>2.4.1.6.</w:t>
      </w:r>
      <w:r w:rsidRPr="00394A09">
        <w:rPr>
          <w:rFonts w:ascii="Sylfaen" w:hAnsi="Sylfaen"/>
          <w:color w:val="000000"/>
          <w:sz w:val="24"/>
          <w:szCs w:val="24"/>
        </w:rPr>
        <w:t xml:space="preserve"> </w:t>
      </w:r>
      <w:r w:rsidRPr="00394A09">
        <w:rPr>
          <w:rFonts w:ascii="Sylfaen" w:hAnsi="Sylfaen"/>
          <w:i/>
          <w:color w:val="000000"/>
          <w:sz w:val="24"/>
          <w:szCs w:val="24"/>
        </w:rPr>
        <w:t>Որպես քսայուղային հավելանյութ օգտագործվող սիլիկոնային յուղ</w:t>
      </w:r>
      <w:r w:rsidRPr="00394A09">
        <w:rPr>
          <w:rFonts w:ascii="Sylfaen" w:hAnsi="Sylfaen"/>
          <w:color w:val="000000"/>
          <w:sz w:val="24"/>
          <w:szCs w:val="24"/>
        </w:rPr>
        <w:t xml:space="preserve"> ընդհանուր դեղագրքային հոդվածում տրված է նշված հավելանյութի բնութագիրը </w:t>
      </w:r>
      <w:r>
        <w:rPr>
          <w:rFonts w:ascii="Sylfaen" w:hAnsi="Sylfaen"/>
          <w:color w:val="000000"/>
          <w:sz w:val="24"/>
          <w:szCs w:val="24"/>
        </w:rPr>
        <w:t>եւ</w:t>
      </w:r>
      <w:r w:rsidRPr="00394A09">
        <w:rPr>
          <w:rFonts w:ascii="Sylfaen" w:hAnsi="Sylfaen"/>
          <w:color w:val="000000"/>
          <w:sz w:val="24"/>
          <w:szCs w:val="24"/>
        </w:rPr>
        <w:t xml:space="preserve"> դրա որակին ներկայացվող պահանջները:</w:t>
      </w:r>
    </w:p>
    <w:p w14:paraId="4DAFBF58"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6A4C652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Պոլիմերային փաթեթվածքն ու դրա տարրերը պետք է համապատասխանեն փաթեթվածքի այդ տեսակի մասով գործող ստանդարտների պահանջներին: Որակի ցուցանիշներն ու ընդունելիության չափորոշիչները սահմանված են փաթեթվածքի կոնկրետ տեսակների վերաբերյալ նորմատիվ փաստաթղթերում՝ կախված դրա նշանակությունից </w:t>
      </w:r>
      <w:r>
        <w:rPr>
          <w:rFonts w:ascii="Sylfaen" w:hAnsi="Sylfaen"/>
          <w:color w:val="000000"/>
          <w:sz w:val="24"/>
          <w:szCs w:val="24"/>
        </w:rPr>
        <w:t>եւ</w:t>
      </w:r>
      <w:r w:rsidRPr="00394A09">
        <w:rPr>
          <w:rFonts w:ascii="Sylfaen" w:hAnsi="Sylfaen"/>
          <w:color w:val="000000"/>
          <w:sz w:val="24"/>
          <w:szCs w:val="24"/>
        </w:rPr>
        <w:t xml:space="preserve"> փաթեթավորվող դեղամիջոցների բնույթից:</w:t>
      </w:r>
    </w:p>
    <w:p w14:paraId="0FD1E01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Պոլիմերային նյութերից պատրաստված փաթեթվածքին </w:t>
      </w:r>
      <w:r>
        <w:rPr>
          <w:rFonts w:ascii="Sylfaen" w:hAnsi="Sylfaen"/>
          <w:color w:val="000000"/>
          <w:sz w:val="24"/>
          <w:szCs w:val="24"/>
        </w:rPr>
        <w:t>եւ</w:t>
      </w:r>
      <w:r w:rsidRPr="00394A09">
        <w:rPr>
          <w:rFonts w:ascii="Sylfaen" w:hAnsi="Sylfaen"/>
          <w:color w:val="000000"/>
          <w:sz w:val="24"/>
          <w:szCs w:val="24"/>
        </w:rPr>
        <w:t xml:space="preserve"> խցանափակման միջոցներին ներկայացվող հիմնական ընդհանուր պահանջները, ինչպես նա</w:t>
      </w:r>
      <w:r>
        <w:rPr>
          <w:rFonts w:ascii="Sylfaen" w:hAnsi="Sylfaen"/>
          <w:color w:val="000000"/>
          <w:sz w:val="24"/>
          <w:szCs w:val="24"/>
        </w:rPr>
        <w:t>եւ</w:t>
      </w:r>
      <w:r w:rsidRPr="00394A09">
        <w:rPr>
          <w:rFonts w:ascii="Sylfaen" w:hAnsi="Sylfaen"/>
          <w:color w:val="000000"/>
          <w:sz w:val="24"/>
          <w:szCs w:val="24"/>
        </w:rPr>
        <w:t xml:space="preserve"> ինֆուզիաների համար նախատեսված ջրային լուծույթների փաթեթվածքին ներկայացվող լրացուցիչ պահանջները նշված են հետ</w:t>
      </w:r>
      <w:r>
        <w:rPr>
          <w:rFonts w:ascii="Sylfaen" w:hAnsi="Sylfaen"/>
          <w:color w:val="000000"/>
          <w:sz w:val="24"/>
          <w:szCs w:val="24"/>
        </w:rPr>
        <w:t>եւ</w:t>
      </w:r>
      <w:r w:rsidRPr="00394A09">
        <w:rPr>
          <w:rFonts w:ascii="Sylfaen" w:hAnsi="Sylfaen"/>
          <w:color w:val="000000"/>
          <w:sz w:val="24"/>
          <w:szCs w:val="24"/>
        </w:rPr>
        <w:t>յալ ընդհանուր դեղագրքային հոդվածներում.</w:t>
      </w:r>
    </w:p>
    <w:p w14:paraId="018D9D8F"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2.4.2.3. Դեղագործական կիրառման պոլիմերային փաթեթվածքներն ու խցանափակման միջոցները.</w:t>
      </w:r>
    </w:p>
    <w:p w14:paraId="30E21EF6"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color w:val="000000"/>
          <w:sz w:val="24"/>
          <w:szCs w:val="24"/>
        </w:rPr>
        <w:t>-</w:t>
      </w:r>
      <w:r w:rsidRPr="00AF2D51">
        <w:rPr>
          <w:rFonts w:ascii="Sylfaen" w:hAnsi="Sylfaen"/>
          <w:i/>
          <w:color w:val="000000"/>
          <w:sz w:val="24"/>
          <w:szCs w:val="24"/>
        </w:rPr>
        <w:tab/>
      </w:r>
      <w:r w:rsidRPr="00394A09">
        <w:rPr>
          <w:rFonts w:ascii="Sylfaen" w:hAnsi="Sylfaen"/>
          <w:i/>
          <w:color w:val="000000"/>
          <w:sz w:val="24"/>
          <w:szCs w:val="24"/>
        </w:rPr>
        <w:t>2.4.2.4. Ինֆուզիաների համար նախատեսված ջրային լուծույթների պոլիմերային փաթեթվածքը</w:t>
      </w:r>
      <w:r w:rsidRPr="00394A09">
        <w:rPr>
          <w:rFonts w:ascii="Sylfaen" w:eastAsia="MS Mincho" w:hAnsi="Sylfaen" w:cs="MS Mincho"/>
          <w:i/>
          <w:color w:val="000000"/>
          <w:sz w:val="24"/>
          <w:szCs w:val="24"/>
        </w:rPr>
        <w:t>:</w:t>
      </w:r>
    </w:p>
    <w:p w14:paraId="6DCA9D0E"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color w:val="000000"/>
          <w:sz w:val="24"/>
          <w:szCs w:val="24"/>
        </w:rPr>
        <w:t>Էլաստոմերային նյութերը</w:t>
      </w:r>
    </w:p>
    <w:p w14:paraId="10F817B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Դեղագործական պրակտիկայում ռետինե </w:t>
      </w:r>
      <w:r>
        <w:rPr>
          <w:rFonts w:ascii="Sylfaen" w:hAnsi="Sylfaen"/>
          <w:color w:val="000000"/>
          <w:sz w:val="24"/>
          <w:szCs w:val="24"/>
        </w:rPr>
        <w:t>եւ</w:t>
      </w:r>
      <w:r w:rsidRPr="00394A09">
        <w:rPr>
          <w:rFonts w:ascii="Sylfaen" w:hAnsi="Sylfaen"/>
          <w:color w:val="000000"/>
          <w:sz w:val="24"/>
          <w:szCs w:val="24"/>
        </w:rPr>
        <w:t xml:space="preserve"> սիլիկոնե էլաստոմերային նյութերը հիմնականում օգտագործվում են որպես առաջնային փաթեթվածքի որոշ տեսակների խցանափակման միջոցների </w:t>
      </w:r>
      <w:r>
        <w:rPr>
          <w:rFonts w:ascii="Sylfaen" w:hAnsi="Sylfaen"/>
          <w:color w:val="000000"/>
          <w:sz w:val="24"/>
          <w:szCs w:val="24"/>
        </w:rPr>
        <w:t>եւ</w:t>
      </w:r>
      <w:r w:rsidRPr="00394A09">
        <w:rPr>
          <w:rFonts w:ascii="Sylfaen" w:hAnsi="Sylfaen"/>
          <w:color w:val="000000"/>
          <w:sz w:val="24"/>
          <w:szCs w:val="24"/>
        </w:rPr>
        <w:t xml:space="preserve"> միացնող խողովակների արտադրման համար փաթեթավորման նյութ:</w:t>
      </w:r>
    </w:p>
    <w:p w14:paraId="18B184E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Էլաստոմերային նյութերը բարդ բազմաբաղադրիչ պոլիմերային առաձգական նյութեր են, որոնք ներառում են էլաստոմերային բաղադրիչ </w:t>
      </w:r>
      <w:r>
        <w:rPr>
          <w:rFonts w:ascii="Sylfaen" w:hAnsi="Sylfaen"/>
          <w:color w:val="000000"/>
          <w:sz w:val="24"/>
          <w:szCs w:val="24"/>
        </w:rPr>
        <w:t>եւ</w:t>
      </w:r>
      <w:r w:rsidRPr="00394A09">
        <w:rPr>
          <w:rFonts w:ascii="Sylfaen" w:hAnsi="Sylfaen"/>
          <w:color w:val="000000"/>
          <w:sz w:val="24"/>
          <w:szCs w:val="24"/>
        </w:rPr>
        <w:t xml:space="preserve"> տարբեր հավելումներ: Էլաստոմերային նյութի հիմնական հատկություններն ու բնութագրերը էապես կախված են դրա բազային էլաստոմերի վուլկանացման (կարման) կազմից </w:t>
      </w:r>
      <w:r>
        <w:rPr>
          <w:rFonts w:ascii="Sylfaen" w:hAnsi="Sylfaen"/>
          <w:color w:val="000000"/>
          <w:sz w:val="24"/>
          <w:szCs w:val="24"/>
        </w:rPr>
        <w:t>եւ</w:t>
      </w:r>
      <w:r w:rsidRPr="00394A09">
        <w:rPr>
          <w:rFonts w:ascii="Sylfaen" w:hAnsi="Sylfaen"/>
          <w:color w:val="000000"/>
          <w:sz w:val="24"/>
          <w:szCs w:val="24"/>
        </w:rPr>
        <w:t xml:space="preserve"> տեսակից, ինչպես նա</w:t>
      </w:r>
      <w:r>
        <w:rPr>
          <w:rFonts w:ascii="Sylfaen" w:hAnsi="Sylfaen"/>
          <w:color w:val="000000"/>
          <w:sz w:val="24"/>
          <w:szCs w:val="24"/>
        </w:rPr>
        <w:t>եւ</w:t>
      </w:r>
      <w:r w:rsidRPr="00394A09">
        <w:rPr>
          <w:rFonts w:ascii="Sylfaen" w:hAnsi="Sylfaen"/>
          <w:color w:val="000000"/>
          <w:sz w:val="24"/>
          <w:szCs w:val="24"/>
        </w:rPr>
        <w:t xml:space="preserve"> տրված հատկություններն ապահովելու համար ներմուծվող հավելանյութերից (արագացուցիչներ, լցանյութեր, պլաստիֆիկատորներ, փափկեցուցիչներ, կայունացուցիչներ, հակաօքսիդիչներ </w:t>
      </w:r>
      <w:r>
        <w:rPr>
          <w:rFonts w:ascii="Sylfaen" w:hAnsi="Sylfaen"/>
          <w:color w:val="000000"/>
          <w:sz w:val="24"/>
          <w:szCs w:val="24"/>
        </w:rPr>
        <w:t>եւ</w:t>
      </w:r>
      <w:r w:rsidRPr="00394A09">
        <w:rPr>
          <w:rFonts w:ascii="Sylfaen" w:hAnsi="Sylfaen"/>
          <w:color w:val="000000"/>
          <w:sz w:val="24"/>
          <w:szCs w:val="24"/>
        </w:rPr>
        <w:t xml:space="preserve"> այլն), որոնք կարող են կազմել էլաստոմերային խառնուրդի </w:t>
      </w:r>
      <w:r w:rsidRPr="00394A09">
        <w:rPr>
          <w:rFonts w:ascii="Sylfaen" w:hAnsi="Sylfaen"/>
          <w:color w:val="000000"/>
          <w:sz w:val="24"/>
          <w:szCs w:val="24"/>
        </w:rPr>
        <w:lastRenderedPageBreak/>
        <w:t>մինչ</w:t>
      </w:r>
      <w:r>
        <w:rPr>
          <w:rFonts w:ascii="Sylfaen" w:hAnsi="Sylfaen"/>
          <w:color w:val="000000"/>
          <w:sz w:val="24"/>
          <w:szCs w:val="24"/>
        </w:rPr>
        <w:t>եւ</w:t>
      </w:r>
      <w:r w:rsidRPr="00394A09">
        <w:rPr>
          <w:rFonts w:ascii="Sylfaen" w:hAnsi="Sylfaen"/>
          <w:color w:val="000000"/>
          <w:sz w:val="24"/>
          <w:szCs w:val="24"/>
        </w:rPr>
        <w:t xml:space="preserve"> 50%-ը: Ռետինե </w:t>
      </w:r>
      <w:r>
        <w:rPr>
          <w:rFonts w:ascii="Sylfaen" w:hAnsi="Sylfaen"/>
          <w:color w:val="000000"/>
          <w:sz w:val="24"/>
          <w:szCs w:val="24"/>
        </w:rPr>
        <w:t>եւ</w:t>
      </w:r>
      <w:r w:rsidRPr="00394A09">
        <w:rPr>
          <w:rFonts w:ascii="Sylfaen" w:hAnsi="Sylfaen"/>
          <w:color w:val="000000"/>
          <w:sz w:val="24"/>
          <w:szCs w:val="24"/>
        </w:rPr>
        <w:t xml:space="preserve"> սիլիկոնե խցանափակման միջոցների </w:t>
      </w:r>
      <w:r>
        <w:rPr>
          <w:rFonts w:ascii="Sylfaen" w:hAnsi="Sylfaen"/>
          <w:color w:val="000000"/>
          <w:sz w:val="24"/>
          <w:szCs w:val="24"/>
        </w:rPr>
        <w:t>եւ</w:t>
      </w:r>
      <w:r w:rsidRPr="00394A09">
        <w:rPr>
          <w:rFonts w:ascii="Sylfaen" w:hAnsi="Sylfaen"/>
          <w:color w:val="000000"/>
          <w:sz w:val="24"/>
          <w:szCs w:val="24"/>
        </w:rPr>
        <w:t xml:space="preserve"> միացնող խողովակների արտադրության համար նյութի մակնիշն ընտրելիս անհրաժեշտ է հաշվի առնել էլաստոմերային խառնուրդի կազմի բացասական ազդեցության հնարավորությունը դեղամիջոցի արդյունավետության, մաքրության, կայունության </w:t>
      </w:r>
      <w:r>
        <w:rPr>
          <w:rFonts w:ascii="Sylfaen" w:hAnsi="Sylfaen"/>
          <w:color w:val="000000"/>
          <w:sz w:val="24"/>
          <w:szCs w:val="24"/>
        </w:rPr>
        <w:t>եւ</w:t>
      </w:r>
      <w:r w:rsidRPr="00394A09">
        <w:rPr>
          <w:rFonts w:ascii="Sylfaen" w:hAnsi="Sylfaen"/>
          <w:color w:val="000000"/>
          <w:sz w:val="24"/>
          <w:szCs w:val="24"/>
        </w:rPr>
        <w:t xml:space="preserve"> անվտանգության վրա:</w:t>
      </w:r>
    </w:p>
    <w:p w14:paraId="6D44036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փաթեթվածքի խցանափակման միջոցների </w:t>
      </w:r>
      <w:r>
        <w:rPr>
          <w:rFonts w:ascii="Sylfaen" w:hAnsi="Sylfaen"/>
          <w:color w:val="000000"/>
          <w:sz w:val="24"/>
          <w:szCs w:val="24"/>
        </w:rPr>
        <w:t>եւ</w:t>
      </w:r>
      <w:r w:rsidRPr="00394A09">
        <w:rPr>
          <w:rFonts w:ascii="Sylfaen" w:hAnsi="Sylfaen"/>
          <w:color w:val="000000"/>
          <w:sz w:val="24"/>
          <w:szCs w:val="24"/>
        </w:rPr>
        <w:t xml:space="preserve"> միացնող խողովակների արտադրության համար կիրառվող սիլիկոնե </w:t>
      </w:r>
      <w:r>
        <w:rPr>
          <w:rFonts w:ascii="Sylfaen" w:hAnsi="Sylfaen"/>
          <w:color w:val="000000"/>
          <w:sz w:val="24"/>
          <w:szCs w:val="24"/>
        </w:rPr>
        <w:t>եւ</w:t>
      </w:r>
      <w:r w:rsidRPr="00394A09">
        <w:rPr>
          <w:rFonts w:ascii="Sylfaen" w:hAnsi="Sylfaen"/>
          <w:color w:val="000000"/>
          <w:sz w:val="24"/>
          <w:szCs w:val="24"/>
        </w:rPr>
        <w:t xml:space="preserve"> ռետինե էլաստոմերների բնութագիրը, էլաստոմերային նյութերի </w:t>
      </w:r>
      <w:r>
        <w:rPr>
          <w:rFonts w:ascii="Sylfaen" w:hAnsi="Sylfaen"/>
          <w:color w:val="000000"/>
          <w:sz w:val="24"/>
          <w:szCs w:val="24"/>
        </w:rPr>
        <w:t>եւ</w:t>
      </w:r>
      <w:r w:rsidRPr="00394A09">
        <w:rPr>
          <w:rFonts w:ascii="Sylfaen" w:hAnsi="Sylfaen"/>
          <w:color w:val="000000"/>
          <w:sz w:val="24"/>
          <w:szCs w:val="24"/>
        </w:rPr>
        <w:t xml:space="preserve"> էլաստոմերային նյութերից պատրաստված փաթեթվածքի առանձին տարրերի որակին ներկայացվող պահանջները, ներառյալ` ռետինե խցանափակման միջոցների փորձարկումը՝ ֆունկցիոնալ պարամետրերի համապատասխանության առումով (թափանցելիություն, հատվածայնություն, ինքնախցանում), ներկայացված են ընդհանուր դեղագրքային հոդվածներում՝</w:t>
      </w:r>
    </w:p>
    <w:p w14:paraId="6542974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F2D51">
        <w:rPr>
          <w:rFonts w:ascii="Sylfaen" w:hAnsi="Sylfaen"/>
          <w:i/>
          <w:sz w:val="24"/>
          <w:szCs w:val="24"/>
        </w:rPr>
        <w:tab/>
      </w:r>
      <w:r w:rsidRPr="00394A09">
        <w:rPr>
          <w:rFonts w:ascii="Sylfaen" w:hAnsi="Sylfaen"/>
          <w:i/>
          <w:color w:val="000000"/>
          <w:sz w:val="24"/>
          <w:szCs w:val="24"/>
        </w:rPr>
        <w:t xml:space="preserve">2.4.1.7. Խցանափակման միջոցների </w:t>
      </w:r>
      <w:r>
        <w:rPr>
          <w:rFonts w:ascii="Sylfaen" w:hAnsi="Sylfaen"/>
          <w:i/>
          <w:color w:val="000000"/>
          <w:sz w:val="24"/>
          <w:szCs w:val="24"/>
        </w:rPr>
        <w:t>եւ</w:t>
      </w:r>
      <w:r w:rsidRPr="00394A09">
        <w:rPr>
          <w:rFonts w:ascii="Sylfaen" w:hAnsi="Sylfaen"/>
          <w:i/>
          <w:color w:val="000000"/>
          <w:sz w:val="24"/>
          <w:szCs w:val="24"/>
        </w:rPr>
        <w:t xml:space="preserve"> խողովակների համար սիլիկոնե էլաստոմերներ.</w:t>
      </w:r>
    </w:p>
    <w:p w14:paraId="46B33093"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F2D51">
        <w:rPr>
          <w:rFonts w:ascii="Sylfaen" w:hAnsi="Sylfaen"/>
          <w:i/>
          <w:sz w:val="24"/>
          <w:szCs w:val="24"/>
        </w:rPr>
        <w:tab/>
      </w:r>
      <w:r w:rsidRPr="00394A09">
        <w:rPr>
          <w:rFonts w:ascii="Sylfaen" w:hAnsi="Sylfaen"/>
          <w:i/>
          <w:color w:val="000000"/>
          <w:sz w:val="24"/>
          <w:szCs w:val="24"/>
        </w:rPr>
        <w:t xml:space="preserve">2.4.2.5. Պարենտերալ կիրառման ջրային լուծույթների, փոշիների </w:t>
      </w:r>
      <w:r>
        <w:rPr>
          <w:rFonts w:ascii="Sylfaen" w:hAnsi="Sylfaen"/>
          <w:i/>
          <w:color w:val="000000"/>
          <w:sz w:val="24"/>
          <w:szCs w:val="24"/>
        </w:rPr>
        <w:t>եւ</w:t>
      </w:r>
      <w:r w:rsidRPr="00394A09">
        <w:rPr>
          <w:rFonts w:ascii="Sylfaen" w:hAnsi="Sylfaen"/>
          <w:i/>
          <w:color w:val="000000"/>
          <w:sz w:val="24"/>
          <w:szCs w:val="24"/>
        </w:rPr>
        <w:t xml:space="preserve"> լիոֆիլիզատների ձ</w:t>
      </w:r>
      <w:r>
        <w:rPr>
          <w:rFonts w:ascii="Sylfaen" w:hAnsi="Sylfaen"/>
          <w:i/>
          <w:color w:val="000000"/>
          <w:sz w:val="24"/>
          <w:szCs w:val="24"/>
        </w:rPr>
        <w:t>եւ</w:t>
      </w:r>
      <w:r w:rsidRPr="00394A09">
        <w:rPr>
          <w:rFonts w:ascii="Sylfaen" w:hAnsi="Sylfaen"/>
          <w:i/>
          <w:color w:val="000000"/>
          <w:sz w:val="24"/>
          <w:szCs w:val="24"/>
        </w:rPr>
        <w:t>ով դեղապատրաստուկների համար նախատեսված փաթեթվածքի համար ռետինե խցանափակման միջոցներ:</w:t>
      </w:r>
    </w:p>
    <w:p w14:paraId="635B5BC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t>Մետաղ</w:t>
      </w:r>
    </w:p>
    <w:p w14:paraId="42DDD6F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փաթեթվածքի </w:t>
      </w:r>
      <w:r>
        <w:rPr>
          <w:rFonts w:ascii="Sylfaen" w:hAnsi="Sylfaen"/>
          <w:color w:val="000000"/>
          <w:sz w:val="24"/>
          <w:szCs w:val="24"/>
        </w:rPr>
        <w:t>եւ</w:t>
      </w:r>
      <w:r w:rsidRPr="00394A09">
        <w:rPr>
          <w:rFonts w:ascii="Sylfaen" w:hAnsi="Sylfaen"/>
          <w:color w:val="000000"/>
          <w:sz w:val="24"/>
          <w:szCs w:val="24"/>
        </w:rPr>
        <w:t xml:space="preserve"> դրա որոշ տարրերի արտադրության համար որպես փաթեթավորման նյութ օգտագործվում են պողպատե </w:t>
      </w:r>
      <w:r>
        <w:rPr>
          <w:rFonts w:ascii="Sylfaen" w:hAnsi="Sylfaen"/>
          <w:color w:val="000000"/>
          <w:sz w:val="24"/>
          <w:szCs w:val="24"/>
        </w:rPr>
        <w:t>եւ</w:t>
      </w:r>
      <w:r w:rsidRPr="00394A09">
        <w:rPr>
          <w:rFonts w:ascii="Sylfaen" w:hAnsi="Sylfaen"/>
          <w:color w:val="000000"/>
          <w:sz w:val="24"/>
          <w:szCs w:val="24"/>
        </w:rPr>
        <w:t xml:space="preserve"> ալյումինե մետաղների համաձուլվածքներ:</w:t>
      </w:r>
    </w:p>
    <w:p w14:paraId="538C6F2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Ալյումինն առաջնային փաթեթվածքի (աերոզոլային գլանանոթների, պարկուճների, բանկաների, փորձասրվակների </w:t>
      </w:r>
      <w:r>
        <w:rPr>
          <w:rFonts w:ascii="Sylfaen" w:hAnsi="Sylfaen"/>
          <w:color w:val="000000"/>
          <w:sz w:val="24"/>
          <w:szCs w:val="24"/>
        </w:rPr>
        <w:t>եւ</w:t>
      </w:r>
      <w:r w:rsidRPr="00394A09">
        <w:rPr>
          <w:rFonts w:ascii="Sylfaen" w:hAnsi="Sylfaen"/>
          <w:color w:val="000000"/>
          <w:sz w:val="24"/>
          <w:szCs w:val="24"/>
        </w:rPr>
        <w:t xml:space="preserve"> այլնի), տրանսպորտային փաթեթվածքի (թմբկագլանների, տակառների, տափաշշերի), խցանափակման միջոցների (թասակների, կափարիչների) </w:t>
      </w:r>
      <w:r>
        <w:rPr>
          <w:rFonts w:ascii="Sylfaen" w:hAnsi="Sylfaen"/>
          <w:color w:val="000000"/>
          <w:sz w:val="24"/>
          <w:szCs w:val="24"/>
        </w:rPr>
        <w:t>եւ</w:t>
      </w:r>
      <w:r w:rsidRPr="00394A09">
        <w:rPr>
          <w:rFonts w:ascii="Sylfaen" w:hAnsi="Sylfaen"/>
          <w:color w:val="000000"/>
          <w:sz w:val="24"/>
          <w:szCs w:val="24"/>
        </w:rPr>
        <w:t xml:space="preserve"> փաթեթվածքի այլ տարրերի ստացման համար օգտագործվող ալյումինե համաձուլվածքների հիմնական բաղադրիչն է:</w:t>
      </w:r>
    </w:p>
    <w:p w14:paraId="4D906E6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Ալյումինե փայլաթիթեղն օգտագործվում է ճկուն եզրագծային փաթեթվածքի, դրա հերմետիկացնող </w:t>
      </w:r>
      <w:r>
        <w:rPr>
          <w:rFonts w:ascii="Sylfaen" w:hAnsi="Sylfaen"/>
          <w:color w:val="000000"/>
          <w:sz w:val="24"/>
          <w:szCs w:val="24"/>
        </w:rPr>
        <w:t>եւ</w:t>
      </w:r>
      <w:r w:rsidRPr="00394A09">
        <w:rPr>
          <w:rFonts w:ascii="Sylfaen" w:hAnsi="Sylfaen"/>
          <w:color w:val="000000"/>
          <w:sz w:val="24"/>
          <w:szCs w:val="24"/>
        </w:rPr>
        <w:t xml:space="preserve"> պաշտպանիչ տարբեր տարրերի արտադրության մեջ, ինչպես նա</w:t>
      </w:r>
      <w:r>
        <w:rPr>
          <w:rFonts w:ascii="Sylfaen" w:hAnsi="Sylfaen"/>
          <w:color w:val="000000"/>
          <w:sz w:val="24"/>
          <w:szCs w:val="24"/>
        </w:rPr>
        <w:t>եւ</w:t>
      </w:r>
      <w:r w:rsidRPr="00394A09">
        <w:rPr>
          <w:rFonts w:ascii="Sylfaen" w:hAnsi="Sylfaen"/>
          <w:color w:val="000000"/>
          <w:sz w:val="24"/>
          <w:szCs w:val="24"/>
        </w:rPr>
        <w:t xml:space="preserve"> կիրառվում է թղթի </w:t>
      </w:r>
      <w:r>
        <w:rPr>
          <w:rFonts w:ascii="Sylfaen" w:hAnsi="Sylfaen"/>
          <w:color w:val="000000"/>
          <w:sz w:val="24"/>
          <w:szCs w:val="24"/>
        </w:rPr>
        <w:t>եւ</w:t>
      </w:r>
      <w:r w:rsidRPr="00394A09">
        <w:rPr>
          <w:rFonts w:ascii="Sylfaen" w:hAnsi="Sylfaen"/>
          <w:color w:val="000000"/>
          <w:sz w:val="24"/>
          <w:szCs w:val="24"/>
        </w:rPr>
        <w:t xml:space="preserve"> (կամ) պոլիմերային նյութի հետ համատեղ՝ համակցված փաթեթվածքի արտադրման համար:</w:t>
      </w:r>
    </w:p>
    <w:p w14:paraId="38E8335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Տարբեր մակնիշների պողպատից, ներառյալ՝ չժանգոտվող պողպատը, հիմնականում արտադրվում է խոշորաեզրաչափ փաթեթվածքը՝ տակառները, տափաշշերը </w:t>
      </w:r>
      <w:r>
        <w:rPr>
          <w:rFonts w:ascii="Sylfaen" w:hAnsi="Sylfaen"/>
          <w:color w:val="000000"/>
          <w:sz w:val="24"/>
          <w:szCs w:val="24"/>
        </w:rPr>
        <w:t>եւ</w:t>
      </w:r>
      <w:r w:rsidRPr="00394A09">
        <w:rPr>
          <w:rFonts w:ascii="Sylfaen" w:hAnsi="Sylfaen"/>
          <w:color w:val="000000"/>
          <w:sz w:val="24"/>
          <w:szCs w:val="24"/>
        </w:rPr>
        <w:t xml:space="preserve"> այլն: Թիթեղը մետաղյա համապատասխան պատվածքով պողպատի համաձուլվածք է, որը հիմնականում օգտագործվում է առաջնային փաթեթվածքի՝ մետաղյա, թիթեղյա բանկաների </w:t>
      </w:r>
      <w:r>
        <w:rPr>
          <w:rFonts w:ascii="Sylfaen" w:hAnsi="Sylfaen"/>
          <w:color w:val="000000"/>
          <w:sz w:val="24"/>
          <w:szCs w:val="24"/>
        </w:rPr>
        <w:t>եւ</w:t>
      </w:r>
      <w:r w:rsidRPr="00394A09">
        <w:rPr>
          <w:rFonts w:ascii="Sylfaen" w:hAnsi="Sylfaen"/>
          <w:color w:val="000000"/>
          <w:sz w:val="24"/>
          <w:szCs w:val="24"/>
        </w:rPr>
        <w:t xml:space="preserve"> դրանց կափարիչների արտադրման համար:</w:t>
      </w:r>
    </w:p>
    <w:p w14:paraId="3F068D3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Պոլիմերային նյութերից </w:t>
      </w:r>
      <w:r>
        <w:rPr>
          <w:rFonts w:ascii="Sylfaen" w:hAnsi="Sylfaen"/>
          <w:color w:val="000000"/>
          <w:sz w:val="24"/>
          <w:szCs w:val="24"/>
        </w:rPr>
        <w:t>եւ</w:t>
      </w:r>
      <w:r w:rsidRPr="00394A09">
        <w:rPr>
          <w:rFonts w:ascii="Sylfaen" w:hAnsi="Sylfaen"/>
          <w:color w:val="000000"/>
          <w:sz w:val="24"/>
          <w:szCs w:val="24"/>
        </w:rPr>
        <w:t xml:space="preserve"> ապակուց պատրաստված փաթեթվածքի համեմատ մետաղյա փաթեթվածքն ավելի ամուր է, գազերի համար անթափանց, չկոտրվող, ապահովում է բարձր պաշտպանություն փաթեթվածքը բացվելուց:</w:t>
      </w:r>
    </w:p>
    <w:p w14:paraId="79642D1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pacing w:val="-4"/>
          <w:sz w:val="24"/>
          <w:szCs w:val="24"/>
        </w:rPr>
        <w:t>Մետաղների համաձուլվածքների համապատասխան մակնիշները խորհուրդ են տրվում ճնշման տակ օգտագործվող դեղապատրաստուկների փաթեթվածքի արտադրության համար, օրինակ՝ այնպիսի դեղաձեւերի տեսքով, ինչպիսիք են աերոզոլները,</w:t>
      </w:r>
      <w:r w:rsidRPr="00394A09">
        <w:rPr>
          <w:rFonts w:ascii="Sylfaen" w:hAnsi="Sylfaen"/>
          <w:color w:val="000000"/>
          <w:sz w:val="24"/>
          <w:szCs w:val="24"/>
        </w:rPr>
        <w:t xml:space="preserve"> փրփուրները, հեղուկացված գազերը </w:t>
      </w:r>
      <w:r>
        <w:rPr>
          <w:rFonts w:ascii="Sylfaen" w:hAnsi="Sylfaen"/>
          <w:color w:val="000000"/>
          <w:sz w:val="24"/>
          <w:szCs w:val="24"/>
        </w:rPr>
        <w:t>եւ</w:t>
      </w:r>
      <w:r w:rsidRPr="00394A09">
        <w:rPr>
          <w:rFonts w:ascii="Sylfaen" w:hAnsi="Sylfaen"/>
          <w:color w:val="000000"/>
          <w:sz w:val="24"/>
          <w:szCs w:val="24"/>
        </w:rPr>
        <w:t xml:space="preserve"> այլն:</w:t>
      </w:r>
    </w:p>
    <w:p w14:paraId="132237A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Այնուհանդերձ, մետաղը նախատեսված չէ պարենտերալ կիրառման դեղապատրաստուկների առաջնային փաթեթվածքի համար:</w:t>
      </w:r>
    </w:p>
    <w:p w14:paraId="22BDBDF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Շիշը կամ սրվակը դեղապատրաստուկով լիցքավորելուց </w:t>
      </w:r>
      <w:r>
        <w:rPr>
          <w:rFonts w:ascii="Sylfaen" w:hAnsi="Sylfaen"/>
          <w:color w:val="000000"/>
          <w:sz w:val="24"/>
          <w:szCs w:val="24"/>
        </w:rPr>
        <w:t>եւ</w:t>
      </w:r>
      <w:r w:rsidRPr="00394A09">
        <w:rPr>
          <w:rFonts w:ascii="Sylfaen" w:hAnsi="Sylfaen"/>
          <w:color w:val="000000"/>
          <w:sz w:val="24"/>
          <w:szCs w:val="24"/>
        </w:rPr>
        <w:t xml:space="preserve"> ռետինե </w:t>
      </w:r>
      <w:r w:rsidRPr="00394A09">
        <w:rPr>
          <w:rFonts w:ascii="Sylfaen" w:hAnsi="Sylfaen"/>
          <w:color w:val="000000"/>
          <w:spacing w:val="-4"/>
          <w:sz w:val="24"/>
          <w:szCs w:val="24"/>
        </w:rPr>
        <w:t>խցաններով փակելուց հետո դրանց բկանցքի վրա գլոցածալվող կամ սեղմվող եւ որպես խցանափակման միջոց օգտագործվող ալյումինե թասակներն ապահովում են խցանափակման հերմետիկությունն ու առաջին բացման հսկողությունը եւ կարող</w:t>
      </w:r>
      <w:r w:rsidRPr="00394A09">
        <w:rPr>
          <w:rFonts w:ascii="Sylfaen" w:hAnsi="Sylfaen"/>
          <w:color w:val="000000"/>
          <w:sz w:val="24"/>
          <w:szCs w:val="24"/>
        </w:rPr>
        <w:t xml:space="preserve"> են պատրաստված լինել ալյումինե փայլաթիթեղից կամ երկու նյութերից՝ ալյումինից </w:t>
      </w:r>
      <w:r>
        <w:rPr>
          <w:rFonts w:ascii="Sylfaen" w:hAnsi="Sylfaen"/>
          <w:color w:val="000000"/>
          <w:sz w:val="24"/>
          <w:szCs w:val="24"/>
        </w:rPr>
        <w:t>եւ</w:t>
      </w:r>
      <w:r w:rsidRPr="00394A09">
        <w:rPr>
          <w:rFonts w:ascii="Sylfaen" w:hAnsi="Sylfaen"/>
          <w:color w:val="000000"/>
          <w:sz w:val="24"/>
          <w:szCs w:val="24"/>
        </w:rPr>
        <w:t xml:space="preserve"> պոլիմերային նյութից (պոլիպրոպիլենից)՝ ներկանյութերի հավելմամբ:</w:t>
      </w:r>
    </w:p>
    <w:p w14:paraId="642E4ED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համար նախատեսված փաթեթվածքի </w:t>
      </w:r>
      <w:r>
        <w:rPr>
          <w:rFonts w:ascii="Sylfaen" w:hAnsi="Sylfaen"/>
          <w:color w:val="000000"/>
          <w:sz w:val="24"/>
          <w:szCs w:val="24"/>
        </w:rPr>
        <w:t>եւ</w:t>
      </w:r>
      <w:r w:rsidRPr="00394A09">
        <w:rPr>
          <w:rFonts w:ascii="Sylfaen" w:hAnsi="Sylfaen"/>
          <w:color w:val="000000"/>
          <w:sz w:val="24"/>
          <w:szCs w:val="24"/>
        </w:rPr>
        <w:t xml:space="preserve"> դրա տարրերի արտադրության համար մետաղների մակնիշների ընտրությունն իրականացվում է </w:t>
      </w:r>
      <w:r w:rsidRPr="00394A09">
        <w:rPr>
          <w:rFonts w:ascii="Sylfaen" w:hAnsi="Sylfaen"/>
          <w:color w:val="000000"/>
          <w:sz w:val="24"/>
          <w:szCs w:val="24"/>
        </w:rPr>
        <w:lastRenderedPageBreak/>
        <w:t>փաթեթվածքի կոնկրետ տեսակի մասով գործող ստանդարտների ցուցումներին համապատասխան:</w:t>
      </w:r>
    </w:p>
    <w:p w14:paraId="5F93E70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Ընտրված նյութերը պետք է ունենան ֆիզիկական </w:t>
      </w:r>
      <w:r>
        <w:rPr>
          <w:rFonts w:ascii="Sylfaen" w:hAnsi="Sylfaen"/>
          <w:color w:val="000000"/>
          <w:sz w:val="24"/>
          <w:szCs w:val="24"/>
        </w:rPr>
        <w:t>եւ</w:t>
      </w:r>
      <w:r w:rsidRPr="00394A09">
        <w:rPr>
          <w:rFonts w:ascii="Sylfaen" w:hAnsi="Sylfaen"/>
          <w:color w:val="000000"/>
          <w:sz w:val="24"/>
          <w:szCs w:val="24"/>
        </w:rPr>
        <w:t xml:space="preserve"> մեխանիկական այնպիսի հատկություններ, որոնք ապահովում են այդ նյութերի արտադրության, փոխադրման, պահման </w:t>
      </w:r>
      <w:r>
        <w:rPr>
          <w:rFonts w:ascii="Sylfaen" w:hAnsi="Sylfaen"/>
          <w:color w:val="000000"/>
          <w:sz w:val="24"/>
          <w:szCs w:val="24"/>
        </w:rPr>
        <w:t>եւ</w:t>
      </w:r>
      <w:r w:rsidRPr="00394A09">
        <w:rPr>
          <w:rFonts w:ascii="Sylfaen" w:hAnsi="Sylfaen"/>
          <w:color w:val="000000"/>
          <w:sz w:val="24"/>
          <w:szCs w:val="24"/>
        </w:rPr>
        <w:t xml:space="preserve"> օգտագործման տեխնոլոգիական գործընթացների անբարենպաստ գործոնների ազդեցության նկատմամբ կայունությունը: Ըստ անվտանգության ցուցանիշների՝ նյութերը պետք է համապատասխանեն գործող տեխնիկական կանոնակարգերին կամ սանիտարական կանոններին, նորմերին </w:t>
      </w:r>
      <w:r>
        <w:rPr>
          <w:rFonts w:ascii="Sylfaen" w:hAnsi="Sylfaen"/>
          <w:color w:val="000000"/>
          <w:sz w:val="24"/>
          <w:szCs w:val="24"/>
        </w:rPr>
        <w:t>եւ</w:t>
      </w:r>
      <w:r w:rsidRPr="00394A09">
        <w:rPr>
          <w:rFonts w:ascii="Sylfaen" w:hAnsi="Sylfaen"/>
          <w:color w:val="000000"/>
          <w:sz w:val="24"/>
          <w:szCs w:val="24"/>
        </w:rPr>
        <w:t xml:space="preserve"> հիգիենիկ նորմատիվներին:</w:t>
      </w:r>
    </w:p>
    <w:p w14:paraId="4812A54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Պատրաստի փաթեթվածքի (դրա տարրի) ձ</w:t>
      </w:r>
      <w:r>
        <w:rPr>
          <w:rFonts w:ascii="Sylfaen" w:hAnsi="Sylfaen"/>
          <w:color w:val="000000"/>
          <w:sz w:val="24"/>
          <w:szCs w:val="24"/>
        </w:rPr>
        <w:t>եւ</w:t>
      </w:r>
      <w:r w:rsidRPr="00394A09">
        <w:rPr>
          <w:rFonts w:ascii="Sylfaen" w:hAnsi="Sylfaen"/>
          <w:color w:val="000000"/>
          <w:sz w:val="24"/>
          <w:szCs w:val="24"/>
        </w:rPr>
        <w:t xml:space="preserve">ը, արտաքին տեսքը, հիմնական պարամետրերը </w:t>
      </w:r>
      <w:r>
        <w:rPr>
          <w:rFonts w:ascii="Sylfaen" w:hAnsi="Sylfaen"/>
          <w:color w:val="000000"/>
          <w:sz w:val="24"/>
          <w:szCs w:val="24"/>
        </w:rPr>
        <w:t>եւ</w:t>
      </w:r>
      <w:r w:rsidRPr="00394A09">
        <w:rPr>
          <w:rFonts w:ascii="Sylfaen" w:hAnsi="Sylfaen"/>
          <w:color w:val="000000"/>
          <w:sz w:val="24"/>
          <w:szCs w:val="24"/>
        </w:rPr>
        <w:t xml:space="preserve"> չափսերը, տարողունակությունը, զանգվածը, ինչպես նա</w:t>
      </w:r>
      <w:r>
        <w:rPr>
          <w:rFonts w:ascii="Sylfaen" w:hAnsi="Sylfaen"/>
          <w:color w:val="000000"/>
          <w:sz w:val="24"/>
          <w:szCs w:val="24"/>
        </w:rPr>
        <w:t>եւ</w:t>
      </w:r>
      <w:r w:rsidRPr="00394A09">
        <w:rPr>
          <w:rFonts w:ascii="Sylfaen" w:hAnsi="Sylfaen"/>
          <w:color w:val="000000"/>
          <w:sz w:val="24"/>
          <w:szCs w:val="24"/>
        </w:rPr>
        <w:t xml:space="preserve"> որակի այլ ցուցանիշներ պետք է համապատասխանեն փաթեթվածքի (դրա տարրի) տվյալ տեսակի մասով գործող ստանդարտների պահանջներին:</w:t>
      </w:r>
    </w:p>
    <w:p w14:paraId="0E5A5A73"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color w:val="000000"/>
          <w:sz w:val="24"/>
          <w:szCs w:val="24"/>
        </w:rPr>
        <w:t xml:space="preserve">Թուղթ </w:t>
      </w:r>
      <w:r>
        <w:rPr>
          <w:rFonts w:ascii="Sylfaen" w:hAnsi="Sylfaen"/>
          <w:i/>
          <w:color w:val="000000"/>
          <w:sz w:val="24"/>
          <w:szCs w:val="24"/>
        </w:rPr>
        <w:t>եւ</w:t>
      </w:r>
      <w:r w:rsidRPr="00394A09">
        <w:rPr>
          <w:rFonts w:ascii="Sylfaen" w:hAnsi="Sylfaen"/>
          <w:i/>
          <w:color w:val="000000"/>
          <w:sz w:val="24"/>
          <w:szCs w:val="24"/>
        </w:rPr>
        <w:t xml:space="preserve"> ստվարաթուղթ</w:t>
      </w:r>
    </w:p>
    <w:p w14:paraId="3B4CAB3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առաջնային </w:t>
      </w:r>
      <w:r>
        <w:rPr>
          <w:rFonts w:ascii="Sylfaen" w:hAnsi="Sylfaen"/>
          <w:color w:val="000000"/>
          <w:sz w:val="24"/>
          <w:szCs w:val="24"/>
        </w:rPr>
        <w:t>եւ</w:t>
      </w:r>
      <w:r w:rsidRPr="00394A09">
        <w:rPr>
          <w:rFonts w:ascii="Sylfaen" w:hAnsi="Sylfaen"/>
          <w:color w:val="000000"/>
          <w:sz w:val="24"/>
          <w:szCs w:val="24"/>
        </w:rPr>
        <w:t xml:space="preserve"> երկրորդային փաթեթվածքի արտադրության համար կիրառում են թղթի տարբեր տեսակների որոշակի մակնիշներ՝ պարաֆինացված թուղթ, բուսական մագաղաթ </w:t>
      </w:r>
      <w:r>
        <w:rPr>
          <w:rFonts w:ascii="Sylfaen" w:hAnsi="Sylfaen"/>
          <w:color w:val="000000"/>
          <w:sz w:val="24"/>
          <w:szCs w:val="24"/>
        </w:rPr>
        <w:t>եւ</w:t>
      </w:r>
      <w:r w:rsidRPr="00394A09">
        <w:rPr>
          <w:rFonts w:ascii="Sylfaen" w:hAnsi="Sylfaen"/>
          <w:color w:val="000000"/>
          <w:sz w:val="24"/>
          <w:szCs w:val="24"/>
        </w:rPr>
        <w:t xml:space="preserve"> այլն: Ստվարաթուղթը (սպառողական տարաների համար ստվարաթուղթը, ծալքավոր ստվարաթուղթը </w:t>
      </w:r>
      <w:r>
        <w:rPr>
          <w:rFonts w:ascii="Sylfaen" w:hAnsi="Sylfaen"/>
          <w:color w:val="000000"/>
          <w:sz w:val="24"/>
          <w:szCs w:val="24"/>
        </w:rPr>
        <w:t>եւ</w:t>
      </w:r>
      <w:r w:rsidRPr="00394A09">
        <w:rPr>
          <w:rFonts w:ascii="Sylfaen" w:hAnsi="Sylfaen"/>
          <w:color w:val="000000"/>
          <w:sz w:val="24"/>
          <w:szCs w:val="24"/>
        </w:rPr>
        <w:t xml:space="preserve"> այլն) հաճախ կիրառվում է երկրորդային (սպառողական), խմբային կամ տրանսպորտային փաթեթվածքի (տուփերի, փաթեթների </w:t>
      </w:r>
      <w:r>
        <w:rPr>
          <w:rFonts w:ascii="Sylfaen" w:hAnsi="Sylfaen"/>
          <w:color w:val="000000"/>
          <w:sz w:val="24"/>
          <w:szCs w:val="24"/>
        </w:rPr>
        <w:t>եւ</w:t>
      </w:r>
      <w:r w:rsidRPr="00394A09">
        <w:rPr>
          <w:rFonts w:ascii="Sylfaen" w:hAnsi="Sylfaen"/>
          <w:color w:val="000000"/>
          <w:sz w:val="24"/>
          <w:szCs w:val="24"/>
        </w:rPr>
        <w:t xml:space="preserve"> այլնի) արտադրության ժամանակ:</w:t>
      </w:r>
    </w:p>
    <w:p w14:paraId="07515B1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Դեղամիջոցների փաթեթվածքի արտադրության մեջ օգտագործվող թղթի </w:t>
      </w:r>
      <w:r>
        <w:rPr>
          <w:rFonts w:ascii="Sylfaen" w:hAnsi="Sylfaen"/>
          <w:color w:val="000000"/>
          <w:sz w:val="24"/>
          <w:szCs w:val="24"/>
        </w:rPr>
        <w:t>եւ</w:t>
      </w:r>
      <w:r w:rsidRPr="00394A09">
        <w:rPr>
          <w:rFonts w:ascii="Sylfaen" w:hAnsi="Sylfaen"/>
          <w:color w:val="000000"/>
          <w:sz w:val="24"/>
          <w:szCs w:val="24"/>
        </w:rPr>
        <w:t xml:space="preserve"> ստվարաթղթի որակը պետք է համապատասխանի գործող ստանդարտների պահանջներին, իսկ այդ նյութերի օգտագործմամբ պատրաստված փաթեթվածքի որակի ցուցանիշները պետք է համապատասխանեն սահմանված կարգով հաստատված փաթեթվածքի այդ ձ</w:t>
      </w:r>
      <w:r>
        <w:rPr>
          <w:rFonts w:ascii="Sylfaen" w:hAnsi="Sylfaen"/>
          <w:color w:val="000000"/>
          <w:sz w:val="24"/>
          <w:szCs w:val="24"/>
        </w:rPr>
        <w:t>եւ</w:t>
      </w:r>
      <w:r w:rsidRPr="00394A09">
        <w:rPr>
          <w:rFonts w:ascii="Sylfaen" w:hAnsi="Sylfaen"/>
          <w:color w:val="000000"/>
          <w:sz w:val="24"/>
          <w:szCs w:val="24"/>
        </w:rPr>
        <w:t xml:space="preserve">ի </w:t>
      </w:r>
      <w:r>
        <w:rPr>
          <w:rFonts w:ascii="Sylfaen" w:hAnsi="Sylfaen"/>
          <w:color w:val="000000"/>
          <w:sz w:val="24"/>
          <w:szCs w:val="24"/>
        </w:rPr>
        <w:t>եւ</w:t>
      </w:r>
      <w:r w:rsidRPr="00394A09">
        <w:rPr>
          <w:rFonts w:ascii="Sylfaen" w:hAnsi="Sylfaen"/>
          <w:color w:val="000000"/>
          <w:sz w:val="24"/>
          <w:szCs w:val="24"/>
        </w:rPr>
        <w:t xml:space="preserve"> տեսակի մասով փաստաթղթերին: </w:t>
      </w:r>
    </w:p>
    <w:p w14:paraId="5720295E"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color w:val="000000"/>
          <w:sz w:val="24"/>
          <w:szCs w:val="24"/>
        </w:rPr>
        <w:t>Փաթեթավորման համակցված նյութեր</w:t>
      </w:r>
    </w:p>
    <w:p w14:paraId="07DFD4D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Թուղթը, ստվարաթուղթը, փայլաթիթեղը, պոլիմերային նյութերը փաթեթվածքների արտադրության համար օգտագործվող համակցված փաթեթավորման նյութերի հիմքն են՝ առաջնային (ճկուն եզրագծային փաթեթվածքներ (բլիստերներ, ստրիփներ), պարկուճներ </w:t>
      </w:r>
      <w:r>
        <w:rPr>
          <w:rFonts w:ascii="Sylfaen" w:hAnsi="Sylfaen"/>
          <w:color w:val="000000"/>
          <w:sz w:val="24"/>
          <w:szCs w:val="24"/>
        </w:rPr>
        <w:t>եւ</w:t>
      </w:r>
      <w:r w:rsidRPr="00394A09">
        <w:rPr>
          <w:rFonts w:ascii="Sylfaen" w:hAnsi="Sylfaen"/>
          <w:color w:val="000000"/>
          <w:sz w:val="24"/>
          <w:szCs w:val="24"/>
        </w:rPr>
        <w:t xml:space="preserve"> այլն), երկրորդային (փաթեթներ, տուփեր </w:t>
      </w:r>
      <w:r>
        <w:rPr>
          <w:rFonts w:ascii="Sylfaen" w:hAnsi="Sylfaen"/>
          <w:color w:val="000000"/>
          <w:sz w:val="24"/>
          <w:szCs w:val="24"/>
        </w:rPr>
        <w:t>եւ</w:t>
      </w:r>
      <w:r w:rsidRPr="00394A09">
        <w:rPr>
          <w:rFonts w:ascii="Sylfaen" w:hAnsi="Sylfaen"/>
          <w:color w:val="000000"/>
          <w:sz w:val="24"/>
          <w:szCs w:val="24"/>
        </w:rPr>
        <w:t xml:space="preserve"> այլն), խմբային </w:t>
      </w:r>
      <w:r>
        <w:rPr>
          <w:rFonts w:ascii="Sylfaen" w:hAnsi="Sylfaen"/>
          <w:color w:val="000000"/>
          <w:sz w:val="24"/>
          <w:szCs w:val="24"/>
        </w:rPr>
        <w:t>եւ</w:t>
      </w:r>
      <w:r w:rsidRPr="00394A09">
        <w:rPr>
          <w:rFonts w:ascii="Sylfaen" w:hAnsi="Sylfaen"/>
          <w:color w:val="000000"/>
          <w:sz w:val="24"/>
          <w:szCs w:val="24"/>
        </w:rPr>
        <w:t xml:space="preserve"> այլն:</w:t>
      </w:r>
    </w:p>
    <w:p w14:paraId="30F4FFD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Թղթի կամ ստվարաթղթի հիմքով համակցված նյութը երկշերտ կամ բազմաշերտ նյութ է, որի մեջ թուղթը կամ ստվարաթուղթը սոսնձման միջոցով, մամլմամբ կամ այլ եղանակներով ամուր միացված է պոլիմերային թաղանթների, ալյումինե փայլաթիթեղի կամ այլ նյութերի հետ՝ տարբեր շերտերի համակցություններով, շերտերի լրացուցիչ մակերեւութային մշակմամբ կամ առանց դրա:</w:t>
      </w:r>
    </w:p>
    <w:p w14:paraId="4207BCBD" w14:textId="77777777" w:rsidR="00AF2D51" w:rsidRPr="00394A09" w:rsidRDefault="00AF2D51" w:rsidP="00AF2D51">
      <w:pPr>
        <w:pStyle w:val="a0"/>
        <w:shd w:val="clear" w:color="auto" w:fill="auto"/>
        <w:spacing w:after="160" w:line="360" w:lineRule="auto"/>
        <w:ind w:firstLine="567"/>
        <w:jc w:val="both"/>
        <w:rPr>
          <w:rFonts w:ascii="Sylfaen" w:hAnsi="Sylfaen" w:cs="Sylfaen"/>
          <w:szCs w:val="24"/>
        </w:rPr>
      </w:pPr>
      <w:r w:rsidRPr="00394A09">
        <w:rPr>
          <w:rFonts w:ascii="Sylfaen" w:hAnsi="Sylfaen"/>
          <w:i/>
          <w:color w:val="000000"/>
          <w:szCs w:val="24"/>
        </w:rPr>
        <w:t>Ծանոթագրություն.</w:t>
      </w:r>
      <w:r w:rsidRPr="00394A09">
        <w:rPr>
          <w:rFonts w:ascii="Sylfaen" w:hAnsi="Sylfaen"/>
          <w:color w:val="000000"/>
          <w:szCs w:val="24"/>
        </w:rPr>
        <w:t xml:space="preserve"> թղթի եւ ստվարաթղթի սոսնձված շերտերը համակցված նյութեր չեն:</w:t>
      </w:r>
    </w:p>
    <w:p w14:paraId="3DE06C2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Փայլաթիթեղի հիմքով համակցված նյութերը եռաշերտ կամ քառաշերտ նյութեր են, որոնք տարբեր համադրություններով ներառում են ալյումինե փայլաթիթեղ, պոլիէթիլենային թաղանթ </w:t>
      </w:r>
      <w:r>
        <w:rPr>
          <w:rFonts w:ascii="Sylfaen" w:hAnsi="Sylfaen"/>
          <w:color w:val="000000"/>
          <w:sz w:val="24"/>
          <w:szCs w:val="24"/>
        </w:rPr>
        <w:t>եւ</w:t>
      </w:r>
      <w:r w:rsidRPr="00394A09">
        <w:rPr>
          <w:rFonts w:ascii="Sylfaen" w:hAnsi="Sylfaen"/>
          <w:color w:val="000000"/>
          <w:sz w:val="24"/>
          <w:szCs w:val="24"/>
        </w:rPr>
        <w:t xml:space="preserve"> թուղթ՝ կախված նյութի մակնիշից:</w:t>
      </w:r>
    </w:p>
    <w:p w14:paraId="65A14D82" w14:textId="77777777" w:rsidR="00AF2D51" w:rsidRPr="00394A09" w:rsidRDefault="00AF2D51" w:rsidP="00AF2D51">
      <w:pPr>
        <w:pStyle w:val="a0"/>
        <w:shd w:val="clear" w:color="auto" w:fill="auto"/>
        <w:spacing w:after="160" w:line="360" w:lineRule="auto"/>
        <w:ind w:firstLine="567"/>
        <w:jc w:val="both"/>
        <w:rPr>
          <w:rFonts w:ascii="Sylfaen" w:hAnsi="Sylfaen" w:cs="Sylfaen"/>
          <w:color w:val="000000"/>
          <w:sz w:val="24"/>
          <w:szCs w:val="24"/>
        </w:rPr>
      </w:pPr>
      <w:r w:rsidRPr="00394A09">
        <w:rPr>
          <w:rFonts w:ascii="Sylfaen" w:hAnsi="Sylfaen"/>
          <w:color w:val="000000"/>
          <w:sz w:val="24"/>
          <w:szCs w:val="24"/>
        </w:rPr>
        <w:t xml:space="preserve">Լամինատ՝ փաթեթավորման համակցված նյութ է, որն օգտագործվում է բժշկական կիրառման դեղապատրաստուկների պարկուճների արտադրության մեջ, բազմաշերտ նյութ է, որը բաղկացած է միջնագծային արգելափակող շերտից (ալյումինե փայլաթիթեղից կամ պոլիմերային նյութից), պոլիմերային նյութերի արտաքին </w:t>
      </w:r>
      <w:r>
        <w:rPr>
          <w:rFonts w:ascii="Sylfaen" w:hAnsi="Sylfaen"/>
          <w:color w:val="000000"/>
          <w:sz w:val="24"/>
          <w:szCs w:val="24"/>
        </w:rPr>
        <w:t>եւ</w:t>
      </w:r>
      <w:r w:rsidRPr="00394A09">
        <w:rPr>
          <w:rFonts w:ascii="Sylfaen" w:hAnsi="Sylfaen"/>
          <w:color w:val="000000"/>
          <w:sz w:val="24"/>
          <w:szCs w:val="24"/>
        </w:rPr>
        <w:t xml:space="preserve"> ներքին շերտերից (պոլիէթիլենից) </w:t>
      </w:r>
      <w:r>
        <w:rPr>
          <w:rFonts w:ascii="Sylfaen" w:hAnsi="Sylfaen"/>
          <w:color w:val="000000"/>
          <w:sz w:val="24"/>
          <w:szCs w:val="24"/>
        </w:rPr>
        <w:t>եւ</w:t>
      </w:r>
      <w:r w:rsidRPr="00394A09">
        <w:rPr>
          <w:rFonts w:ascii="Sylfaen" w:hAnsi="Sylfaen"/>
          <w:color w:val="000000"/>
          <w:sz w:val="24"/>
          <w:szCs w:val="24"/>
        </w:rPr>
        <w:t xml:space="preserve"> երկու հարակցային շերտերից, որոնք իրար են կապում երեք հիմնական շերտերը: </w:t>
      </w:r>
    </w:p>
    <w:p w14:paraId="7827696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1B03E4A5"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color w:val="000000"/>
          <w:sz w:val="24"/>
          <w:szCs w:val="24"/>
        </w:rPr>
        <w:t>ՓԱԹԵԹՎԱԾՔԻ ԸՆՏՐՈՒԹՅԱՆ ՉԱՓՈՐՈՇԻՉՆԵՐԸ</w:t>
      </w:r>
    </w:p>
    <w:p w14:paraId="7F675F63"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color w:val="000000"/>
          <w:sz w:val="24"/>
          <w:szCs w:val="24"/>
        </w:rPr>
        <w:t xml:space="preserve">Կոնկրետ դեղամիջոցի համար օպտիմալ փաթեթվածքը </w:t>
      </w:r>
      <w:r>
        <w:rPr>
          <w:rFonts w:ascii="Sylfaen" w:hAnsi="Sylfaen"/>
          <w:color w:val="000000"/>
          <w:sz w:val="24"/>
          <w:szCs w:val="24"/>
        </w:rPr>
        <w:t>եւ</w:t>
      </w:r>
      <w:r w:rsidRPr="00394A09">
        <w:rPr>
          <w:rFonts w:ascii="Sylfaen" w:hAnsi="Sylfaen"/>
          <w:color w:val="000000"/>
          <w:sz w:val="24"/>
          <w:szCs w:val="24"/>
        </w:rPr>
        <w:t xml:space="preserve"> փաթեթավորման նյութեր, տարա, խցանափակման միջոցներ </w:t>
      </w:r>
      <w:r>
        <w:rPr>
          <w:rFonts w:ascii="Sylfaen" w:hAnsi="Sylfaen"/>
          <w:color w:val="000000"/>
          <w:sz w:val="24"/>
          <w:szCs w:val="24"/>
        </w:rPr>
        <w:t>եւ</w:t>
      </w:r>
      <w:r w:rsidRPr="00394A09">
        <w:rPr>
          <w:rFonts w:ascii="Sylfaen" w:hAnsi="Sylfaen"/>
          <w:color w:val="000000"/>
          <w:sz w:val="24"/>
          <w:szCs w:val="24"/>
        </w:rPr>
        <w:t xml:space="preserve"> այլ նյութեր ներառող դրա տարրերն ընտրելիս անհրաժեշտ է հաշվի առնել՝</w:t>
      </w:r>
    </w:p>
    <w:p w14:paraId="3BC343D0"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4D0D5D4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lastRenderedPageBreak/>
        <w:t>-</w:t>
      </w:r>
      <w:r w:rsidRPr="00AF2D51">
        <w:rPr>
          <w:rFonts w:ascii="Sylfaen" w:hAnsi="Sylfaen"/>
          <w:sz w:val="24"/>
          <w:szCs w:val="24"/>
        </w:rPr>
        <w:tab/>
      </w:r>
      <w:r w:rsidRPr="00394A09">
        <w:rPr>
          <w:rFonts w:ascii="Sylfaen" w:hAnsi="Sylfaen"/>
          <w:sz w:val="24"/>
          <w:szCs w:val="24"/>
        </w:rPr>
        <w:t xml:space="preserve">փաթեթվածքի նշանակությունը (առաջնային, երկրորդային (սպառողական), խմբային </w:t>
      </w:r>
      <w:r>
        <w:rPr>
          <w:rFonts w:ascii="Sylfaen" w:hAnsi="Sylfaen"/>
          <w:sz w:val="24"/>
          <w:szCs w:val="24"/>
        </w:rPr>
        <w:t>եւ</w:t>
      </w:r>
      <w:r w:rsidRPr="00394A09">
        <w:rPr>
          <w:rFonts w:ascii="Sylfaen" w:hAnsi="Sylfaen"/>
          <w:sz w:val="24"/>
          <w:szCs w:val="24"/>
        </w:rPr>
        <w:t xml:space="preserve"> այլն).</w:t>
      </w:r>
    </w:p>
    <w:p w14:paraId="14C12B8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փաթեթավորվող դեղամիջոցի նշանակությունը </w:t>
      </w:r>
      <w:r>
        <w:rPr>
          <w:rFonts w:ascii="Sylfaen" w:hAnsi="Sylfaen"/>
          <w:sz w:val="24"/>
          <w:szCs w:val="24"/>
        </w:rPr>
        <w:t>եւ</w:t>
      </w:r>
      <w:r w:rsidRPr="00394A09">
        <w:rPr>
          <w:rFonts w:ascii="Sylfaen" w:hAnsi="Sylfaen"/>
          <w:sz w:val="24"/>
          <w:szCs w:val="24"/>
        </w:rPr>
        <w:t xml:space="preserve"> դրա քանակը.</w:t>
      </w:r>
    </w:p>
    <w:p w14:paraId="51B01B6F"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ակտիվ դեղագործական բաղադրամասի </w:t>
      </w:r>
      <w:r>
        <w:rPr>
          <w:rFonts w:ascii="Sylfaen" w:hAnsi="Sylfaen"/>
          <w:sz w:val="24"/>
          <w:szCs w:val="24"/>
        </w:rPr>
        <w:t>եւ</w:t>
      </w:r>
      <w:r w:rsidRPr="00394A09">
        <w:rPr>
          <w:rFonts w:ascii="Sylfaen" w:hAnsi="Sylfaen"/>
          <w:sz w:val="24"/>
          <w:szCs w:val="24"/>
        </w:rPr>
        <w:t xml:space="preserve"> դեղապատրաստուկների բաղադրիչների հատկությունները, ներառյալ՝ ազդող </w:t>
      </w:r>
      <w:r>
        <w:rPr>
          <w:rFonts w:ascii="Sylfaen" w:hAnsi="Sylfaen"/>
          <w:sz w:val="24"/>
          <w:szCs w:val="24"/>
        </w:rPr>
        <w:t>եւ</w:t>
      </w:r>
      <w:r w:rsidRPr="00394A09">
        <w:rPr>
          <w:rFonts w:ascii="Sylfaen" w:hAnsi="Sylfaen"/>
          <w:sz w:val="24"/>
          <w:szCs w:val="24"/>
        </w:rPr>
        <w:t xml:space="preserve"> օժանդակ նյութերը, այդ թվում՝ լուծիչները.</w:t>
      </w:r>
    </w:p>
    <w:p w14:paraId="6C19440B"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Pr>
          <w:rFonts w:ascii="Sylfaen" w:hAnsi="Sylfaen"/>
          <w:sz w:val="24"/>
          <w:szCs w:val="24"/>
        </w:rPr>
        <w:t>-</w:t>
      </w:r>
      <w:r w:rsidRPr="00394A09">
        <w:rPr>
          <w:rFonts w:ascii="Sylfaen" w:hAnsi="Sylfaen"/>
          <w:sz w:val="24"/>
          <w:szCs w:val="24"/>
        </w:rPr>
        <w:tab/>
        <w:t>դեղապատրաստուկի դեղաձ</w:t>
      </w:r>
      <w:r>
        <w:rPr>
          <w:rFonts w:ascii="Sylfaen" w:hAnsi="Sylfaen"/>
          <w:sz w:val="24"/>
          <w:szCs w:val="24"/>
        </w:rPr>
        <w:t>եւ</w:t>
      </w:r>
      <w:r w:rsidRPr="00394A09">
        <w:rPr>
          <w:rFonts w:ascii="Sylfaen" w:hAnsi="Sylfaen"/>
          <w:sz w:val="24"/>
          <w:szCs w:val="24"/>
        </w:rPr>
        <w:t>ի հատկությունները.</w:t>
      </w:r>
    </w:p>
    <w:p w14:paraId="2054483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առաջնային փաթեթվածքի յուրաքանչյուր բաղադրիչի համատեղելիությունը դեղամիջոցի բաղադրիչների հետ.</w:t>
      </w:r>
    </w:p>
    <w:p w14:paraId="5C63475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արտաքին (մթնոլորտային, մանրէաբանական, ֆիզիկական) գործոնների ազդեցությունից դեղամիջոցի պաշտպանության անհրաժեշտ աստիճանը՝ շրջանառության բոլոր փուլերում, ներառյալ՝ պահումը, փոխադրումն ու իրացումը.</w:t>
      </w:r>
    </w:p>
    <w:p w14:paraId="67B3A007"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փաթեթավորման նյութերի, տարայի, խցանափակման նյութերի, փաթեթվածքի կառուցվածքի </w:t>
      </w:r>
      <w:r>
        <w:rPr>
          <w:rFonts w:ascii="Sylfaen" w:hAnsi="Sylfaen"/>
          <w:sz w:val="24"/>
          <w:szCs w:val="24"/>
        </w:rPr>
        <w:t>եւ</w:t>
      </w:r>
      <w:r w:rsidRPr="00394A09">
        <w:rPr>
          <w:rFonts w:ascii="Sylfaen" w:hAnsi="Sylfaen"/>
          <w:sz w:val="24"/>
          <w:szCs w:val="24"/>
        </w:rPr>
        <w:t xml:space="preserve"> այլնի պաշտպանիչ բնութագրերը.</w:t>
      </w:r>
    </w:p>
    <w:p w14:paraId="710F0FD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դեղամիջոցի պահման տ</w:t>
      </w:r>
      <w:r>
        <w:rPr>
          <w:rFonts w:ascii="Sylfaen" w:hAnsi="Sylfaen"/>
          <w:sz w:val="24"/>
          <w:szCs w:val="24"/>
        </w:rPr>
        <w:t>եւ</w:t>
      </w:r>
      <w:r w:rsidRPr="00394A09">
        <w:rPr>
          <w:rFonts w:ascii="Sylfaen" w:hAnsi="Sylfaen"/>
          <w:sz w:val="24"/>
          <w:szCs w:val="24"/>
        </w:rPr>
        <w:t>ողությունը.</w:t>
      </w:r>
    </w:p>
    <w:p w14:paraId="69DEDEF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փաթեթվածքի լիցքավորման մեթոդը.</w:t>
      </w:r>
    </w:p>
    <w:p w14:paraId="261D080B"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դեղամիջոցի մակնշման եղանակը.</w:t>
      </w:r>
    </w:p>
    <w:p w14:paraId="42CA651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սպառողի համար դեղապատրաստուկի փաթեթվածքի օգտագործման հարմարավետությունը (դեղաչափերի քանակը, փաթեթվածքի պարամետրերը, բացելու/փակելու եղանակը, մակնշման ընթերցելիությունը, դեղապատրաստուկի</w:t>
      </w:r>
      <w:r w:rsidRPr="00394A09" w:rsidDel="00257174">
        <w:rPr>
          <w:rFonts w:ascii="Sylfaen" w:hAnsi="Sylfaen"/>
          <w:sz w:val="24"/>
          <w:szCs w:val="24"/>
        </w:rPr>
        <w:t xml:space="preserve"> </w:t>
      </w:r>
      <w:r w:rsidRPr="00394A09">
        <w:rPr>
          <w:rFonts w:ascii="Sylfaen" w:hAnsi="Sylfaen"/>
          <w:sz w:val="24"/>
          <w:szCs w:val="24"/>
        </w:rPr>
        <w:t xml:space="preserve">դեղաչափման </w:t>
      </w:r>
      <w:r>
        <w:rPr>
          <w:rFonts w:ascii="Sylfaen" w:hAnsi="Sylfaen"/>
          <w:sz w:val="24"/>
          <w:szCs w:val="24"/>
        </w:rPr>
        <w:t>եւ</w:t>
      </w:r>
      <w:r w:rsidRPr="00394A09">
        <w:rPr>
          <w:rFonts w:ascii="Sylfaen" w:hAnsi="Sylfaen"/>
          <w:sz w:val="24"/>
          <w:szCs w:val="24"/>
        </w:rPr>
        <w:t xml:space="preserve"> կիրառման եղանակը):</w:t>
      </w:r>
    </w:p>
    <w:p w14:paraId="6993F33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Որոշակի ժամանակահատվածի ընթացքում դեղամիջոցի պահանջվող կայունությունն ապահովելու հնարավորություն ունեցող փաթեթվածքի ընտրությունը որոշվում է արտադրողի (մշակողի) կողմից՝ դեղամիջոցի մշակման փուլում կայունության ուսումնասիրման ընթացքում:</w:t>
      </w:r>
    </w:p>
    <w:p w14:paraId="6BE5C3F1"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Դեղամիջոցների փաթեթվածքն ընտրելիս անհրաժեշտ է օգտագործել փաթեթվածքի/տարայի, խցանափակման նյութերի, փաթեթավորման նյութերի </w:t>
      </w:r>
      <w:r>
        <w:rPr>
          <w:rFonts w:ascii="Sylfaen" w:hAnsi="Sylfaen"/>
          <w:color w:val="000000"/>
          <w:sz w:val="24"/>
          <w:szCs w:val="24"/>
        </w:rPr>
        <w:t>եւ</w:t>
      </w:r>
      <w:r w:rsidRPr="00394A09">
        <w:rPr>
          <w:rFonts w:ascii="Sylfaen" w:hAnsi="Sylfaen"/>
          <w:color w:val="000000"/>
          <w:sz w:val="24"/>
          <w:szCs w:val="24"/>
        </w:rPr>
        <w:t xml:space="preserve"> փաթեթվածքի այլ տարրերի ձ</w:t>
      </w:r>
      <w:r>
        <w:rPr>
          <w:rFonts w:ascii="Sylfaen" w:hAnsi="Sylfaen"/>
          <w:color w:val="000000"/>
          <w:sz w:val="24"/>
          <w:szCs w:val="24"/>
        </w:rPr>
        <w:t>եւ</w:t>
      </w:r>
      <w:r w:rsidRPr="00394A09">
        <w:rPr>
          <w:rFonts w:ascii="Sylfaen" w:hAnsi="Sylfaen"/>
          <w:color w:val="000000"/>
          <w:sz w:val="24"/>
          <w:szCs w:val="24"/>
        </w:rPr>
        <w:t xml:space="preserve">երի </w:t>
      </w:r>
      <w:r>
        <w:rPr>
          <w:rFonts w:ascii="Sylfaen" w:hAnsi="Sylfaen"/>
          <w:color w:val="000000"/>
          <w:sz w:val="24"/>
          <w:szCs w:val="24"/>
        </w:rPr>
        <w:t>եւ</w:t>
      </w:r>
      <w:r w:rsidRPr="00394A09">
        <w:rPr>
          <w:rFonts w:ascii="Sylfaen" w:hAnsi="Sylfaen"/>
          <w:color w:val="000000"/>
          <w:sz w:val="24"/>
          <w:szCs w:val="24"/>
        </w:rPr>
        <w:t xml:space="preserve"> տեսակների մասին սույն ընդհանուր դեղագրքային հոդվածում ներկայացված տվյալները:</w:t>
      </w:r>
    </w:p>
    <w:p w14:paraId="689ADB46" w14:textId="77777777" w:rsidR="00AF2D51" w:rsidRPr="00394A09" w:rsidRDefault="00AF2D51" w:rsidP="00AF2D51">
      <w:pPr>
        <w:tabs>
          <w:tab w:val="left" w:pos="2568"/>
        </w:tabs>
        <w:spacing w:after="160" w:line="346" w:lineRule="auto"/>
        <w:ind w:firstLine="567"/>
        <w:jc w:val="both"/>
      </w:pPr>
      <w:r w:rsidRPr="00394A09">
        <w:t>Ընտրված փաթեթվածքը (փաթեթվածքի համակարգը) պետք է համապատասխանի սույն ընդհանուր դեղագրքային հոդվածի «Փաթեթվածքին ներկայացվող ընդհանուր պահանջները» բաժնի պահանջներին՝ դեղամիջոցի պիտանիության հայտագրված ամբողջ ժամկետի ընթացքում:</w:t>
      </w:r>
    </w:p>
    <w:p w14:paraId="17DB0DD5"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color w:val="000000"/>
          <w:sz w:val="24"/>
          <w:szCs w:val="24"/>
        </w:rPr>
        <w:t xml:space="preserve">Փաթեթվածքի պարունակությունը կարող է նախատեսված լինել դեղամիջոցների հետագա արտադրության/պատրաստման համար (ակտիվ դեղագործական բաղադրամասեր, օժանդակ նյութեր), վերջնական բաժնեծրարման </w:t>
      </w:r>
      <w:r>
        <w:rPr>
          <w:rFonts w:ascii="Sylfaen" w:hAnsi="Sylfaen"/>
          <w:color w:val="000000"/>
          <w:sz w:val="24"/>
          <w:szCs w:val="24"/>
        </w:rPr>
        <w:t>եւ</w:t>
      </w:r>
      <w:r w:rsidRPr="00394A09">
        <w:rPr>
          <w:rFonts w:ascii="Sylfaen" w:hAnsi="Sylfaen"/>
          <w:color w:val="000000"/>
          <w:sz w:val="24"/>
          <w:szCs w:val="24"/>
        </w:rPr>
        <w:t xml:space="preserve"> հետագա մակնշման (չբաժնեծրարված դեղամիջոցներ) համար, բժշկական անձնակազմի կողմից ըստ նշանակման ստացիոնար հիվանդներին բաժանելու («ստացիոնարների համար» փաթեթվածք), պացիենտի կողմից անհատական ընդունման համար:</w:t>
      </w:r>
    </w:p>
    <w:p w14:paraId="49AE7274"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color w:val="000000"/>
          <w:sz w:val="24"/>
          <w:szCs w:val="24"/>
        </w:rPr>
        <w:t>Դեղատնային կազմակերպությունների կողմից պատրաստված</w:t>
      </w:r>
      <w:r w:rsidRPr="00394A09">
        <w:rPr>
          <w:rFonts w:ascii="Sylfaen" w:hAnsi="Sylfaen"/>
          <w:color w:val="000000"/>
          <w:sz w:val="24"/>
          <w:szCs w:val="24"/>
        </w:rPr>
        <w:t xml:space="preserve"> դեղապատրաստուկների փաթեթվածքը պետք է համապատասխանի դեղատներում դեղապատրաստուկների պատրաստման </w:t>
      </w:r>
      <w:r>
        <w:rPr>
          <w:rFonts w:ascii="Sylfaen" w:hAnsi="Sylfaen"/>
          <w:color w:val="000000"/>
          <w:sz w:val="24"/>
          <w:szCs w:val="24"/>
        </w:rPr>
        <w:t>եւ</w:t>
      </w:r>
      <w:r w:rsidRPr="00394A09">
        <w:rPr>
          <w:rFonts w:ascii="Sylfaen" w:hAnsi="Sylfaen"/>
          <w:color w:val="000000"/>
          <w:sz w:val="24"/>
          <w:szCs w:val="24"/>
        </w:rPr>
        <w:t xml:space="preserve"> դեղատներից դեղապատրաստուկների բացթողման կանոններին:</w:t>
      </w:r>
    </w:p>
    <w:p w14:paraId="4469B052"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color w:val="000000"/>
          <w:spacing w:val="-4"/>
          <w:sz w:val="24"/>
          <w:szCs w:val="24"/>
        </w:rPr>
        <w:t>Արտահանման համար նախատեսված դեղամիջոցների</w:t>
      </w:r>
      <w:r w:rsidRPr="00394A09">
        <w:rPr>
          <w:rFonts w:ascii="Sylfaen" w:hAnsi="Sylfaen"/>
          <w:color w:val="000000"/>
          <w:spacing w:val="-4"/>
          <w:sz w:val="24"/>
          <w:szCs w:val="24"/>
        </w:rPr>
        <w:t xml:space="preserve"> փաթեթվածքը պետք է համապատասխանի մատակարարի՝ արտաքին տնտեսական կազմակերպության</w:t>
      </w:r>
      <w:r w:rsidRPr="00394A09">
        <w:rPr>
          <w:rFonts w:ascii="Sylfaen" w:hAnsi="Sylfaen"/>
          <w:color w:val="000000"/>
          <w:sz w:val="24"/>
          <w:szCs w:val="24"/>
        </w:rPr>
        <w:t xml:space="preserve"> կամ օտարերկրյա գնորդի հետ կնքված պայմանագրի պահանջներին:</w:t>
      </w:r>
    </w:p>
    <w:p w14:paraId="259E0E03"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color w:val="000000"/>
          <w:sz w:val="24"/>
          <w:szCs w:val="24"/>
        </w:rPr>
        <w:t xml:space="preserve">Դեղագործական կիրառման սուբստանցիաների </w:t>
      </w:r>
      <w:r>
        <w:rPr>
          <w:rFonts w:ascii="Sylfaen" w:hAnsi="Sylfaen"/>
          <w:color w:val="000000"/>
          <w:sz w:val="24"/>
          <w:szCs w:val="24"/>
        </w:rPr>
        <w:t>եւ</w:t>
      </w:r>
      <w:r w:rsidRPr="00394A09">
        <w:rPr>
          <w:rFonts w:ascii="Sylfaen" w:hAnsi="Sylfaen"/>
          <w:color w:val="000000"/>
          <w:sz w:val="24"/>
          <w:szCs w:val="24"/>
        </w:rPr>
        <w:t xml:space="preserve"> վտանգավոր հատկություններ (հրավտանգ, պայթյունավտանգ, ռադիոդեղագործական, այրիչ, քայքայիչ, սեղմված </w:t>
      </w:r>
      <w:r>
        <w:rPr>
          <w:rFonts w:ascii="Sylfaen" w:hAnsi="Sylfaen"/>
          <w:color w:val="000000"/>
          <w:sz w:val="24"/>
          <w:szCs w:val="24"/>
        </w:rPr>
        <w:t>եւ</w:t>
      </w:r>
      <w:r w:rsidRPr="00394A09">
        <w:rPr>
          <w:rFonts w:ascii="Sylfaen" w:hAnsi="Sylfaen"/>
          <w:color w:val="000000"/>
          <w:sz w:val="24"/>
          <w:szCs w:val="24"/>
        </w:rPr>
        <w:t xml:space="preserve"> հեղուկացված գազեր </w:t>
      </w:r>
      <w:r>
        <w:rPr>
          <w:rFonts w:ascii="Sylfaen" w:hAnsi="Sylfaen"/>
          <w:color w:val="000000"/>
          <w:sz w:val="24"/>
          <w:szCs w:val="24"/>
        </w:rPr>
        <w:t>եւ</w:t>
      </w:r>
      <w:r w:rsidRPr="00394A09">
        <w:rPr>
          <w:rFonts w:ascii="Sylfaen" w:hAnsi="Sylfaen"/>
          <w:color w:val="000000"/>
          <w:sz w:val="24"/>
          <w:szCs w:val="24"/>
        </w:rPr>
        <w:t xml:space="preserve"> այլն) ունեցող բժշկական կիրառման դեղապատրաստուկների համար փաթեթվածք ընտրելիս հարկավոր է ղեկավարվել մասնավոր դեղագրքային հոդվածի ու Եվրասիական տնտեսական միության անդամ պետությունների համապատասխան նորմատիվ իրավական ակտերի պահանջներով:</w:t>
      </w:r>
    </w:p>
    <w:p w14:paraId="3B8C42D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lastRenderedPageBreak/>
        <w:t>Ցնդող, հողմահարվող, հիգրոսկոպիկ կամ օքսիդացվող նյութեր</w:t>
      </w:r>
      <w:r w:rsidRPr="00394A09">
        <w:rPr>
          <w:rFonts w:ascii="Sylfaen" w:hAnsi="Sylfaen"/>
          <w:color w:val="000000"/>
          <w:sz w:val="24"/>
          <w:szCs w:val="24"/>
        </w:rPr>
        <w:t xml:space="preserve"> պարունակող դեղամիջոցները պետք է փաթեթավորվեն բանկաների կամ սրվակների մեջ, որոնք խցանափակվում են պտուտակվող կափարիչներով՝ լրակազմող խցաններով կամ խտացնող տարրեր ունեցող միջադիրներով. խտացնող տարրեր ունեցող խցաններով. գլոցածալվող մետաղական թասակներով՝ լրակազմող խցաններով կամ խտացնող տարրեր ունեցող միջադիրներով, գլոցածալվող մետաղական կափարիչներով:</w:t>
      </w:r>
    </w:p>
    <w:p w14:paraId="0EEDCD7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Ցնդող նյութ պարունակող կամ հոտ ունեցող յուրաքանչյուր դեղամիջոց պետք է փաթեթավորվի այլ դեղամիջոցներից առանձին:</w:t>
      </w:r>
    </w:p>
    <w:p w14:paraId="53F0E689" w14:textId="77777777" w:rsidR="00AF2D51" w:rsidRPr="00394A09" w:rsidRDefault="00AF2D51" w:rsidP="00AF2D51">
      <w:pPr>
        <w:spacing w:after="160" w:line="360" w:lineRule="auto"/>
        <w:ind w:firstLine="567"/>
        <w:jc w:val="both"/>
      </w:pPr>
      <w:r w:rsidRPr="00394A09">
        <w:t>Լույսի ազդեցության նկատմամբ զգայուն դեղամիջոցները պետք է փաթեթավորվեն լուսապաշտպանիչ փաթեթվածքի մեջ: Լույսից պաշտպանությունը կարող է ապահովվել նա</w:t>
      </w:r>
      <w:r>
        <w:t>եւ</w:t>
      </w:r>
      <w:r w:rsidRPr="00394A09">
        <w:t xml:space="preserve"> դեղամիջոցը լույսի համար թափանցելի փաթեթվածքի մեջ տեղադրելով՝ համապատասխան լուսապաշտպանիչ նյութի ներսում:</w:t>
      </w:r>
    </w:p>
    <w:p w14:paraId="5BC90377"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color w:val="000000"/>
          <w:sz w:val="24"/>
          <w:szCs w:val="24"/>
        </w:rPr>
        <w:t xml:space="preserve">Որպես </w:t>
      </w:r>
      <w:r w:rsidRPr="00394A09">
        <w:rPr>
          <w:rFonts w:ascii="Sylfaen" w:hAnsi="Sylfaen"/>
          <w:i/>
          <w:color w:val="000000"/>
          <w:sz w:val="24"/>
          <w:szCs w:val="24"/>
        </w:rPr>
        <w:t>դեղագործական կիրառման սուբստանցիաների</w:t>
      </w:r>
      <w:r w:rsidRPr="00394A09">
        <w:rPr>
          <w:rFonts w:ascii="Sylfaen" w:hAnsi="Sylfaen"/>
          <w:color w:val="000000"/>
          <w:sz w:val="24"/>
          <w:szCs w:val="24"/>
        </w:rPr>
        <w:t xml:space="preserve"> առաջնային փաթեթվածք առաջարկվում են բանկաները, բժշկական անգույն </w:t>
      </w:r>
      <w:r>
        <w:rPr>
          <w:rFonts w:ascii="Sylfaen" w:hAnsi="Sylfaen"/>
          <w:color w:val="000000"/>
          <w:sz w:val="24"/>
          <w:szCs w:val="24"/>
        </w:rPr>
        <w:t>եւ</w:t>
      </w:r>
      <w:r w:rsidRPr="00394A09">
        <w:rPr>
          <w:rFonts w:ascii="Sylfaen" w:hAnsi="Sylfaen"/>
          <w:color w:val="000000"/>
          <w:sz w:val="24"/>
          <w:szCs w:val="24"/>
        </w:rPr>
        <w:t xml:space="preserve"> լուսապաշտպանիչ ապակուց շշերը կամ պոլիմերային նյութերից պատրաստված բանկաներն ու կանիստրները, պոլիմերային, համակցված նյութերից կամ թղթից պատրաստված փաթեթներն ու պարկերը, մետաղական տափաշշերը, գազի գլանանոթները </w:t>
      </w:r>
      <w:r>
        <w:rPr>
          <w:rFonts w:ascii="Sylfaen" w:hAnsi="Sylfaen"/>
          <w:color w:val="000000"/>
          <w:sz w:val="24"/>
          <w:szCs w:val="24"/>
        </w:rPr>
        <w:t>եւ</w:t>
      </w:r>
      <w:r w:rsidRPr="00394A09">
        <w:rPr>
          <w:rFonts w:ascii="Sylfaen" w:hAnsi="Sylfaen"/>
          <w:color w:val="000000"/>
          <w:sz w:val="24"/>
          <w:szCs w:val="24"/>
        </w:rPr>
        <w:t xml:space="preserve"> այլն: Որոշ ակտիվ դեղագործական բաղադրամասերի, օրինակ՝ էթանոլի պահման </w:t>
      </w:r>
      <w:r>
        <w:rPr>
          <w:rFonts w:ascii="Sylfaen" w:hAnsi="Sylfaen"/>
          <w:color w:val="000000"/>
          <w:sz w:val="24"/>
          <w:szCs w:val="24"/>
        </w:rPr>
        <w:t>եւ</w:t>
      </w:r>
      <w:r w:rsidRPr="00394A09">
        <w:rPr>
          <w:rFonts w:ascii="Sylfaen" w:hAnsi="Sylfaen"/>
          <w:color w:val="000000"/>
          <w:sz w:val="24"/>
          <w:szCs w:val="24"/>
        </w:rPr>
        <w:t xml:space="preserve"> փոխադրման համար մեծ ծավալի տարաներ օգտագործելու անհրաժեշտության դեպքում, որոշակի ժամանակահատվածի ընթացքում ակտիվ դեղագործական բաղադրամասի պահանջվող կայունությունն ապահովող առաջնային փաթեթվածքի նյութի ընտրությունը որոշվում է արտադրողի (մշակողի) կողմից՝ դեղամիջոցի մշակման փուլում: Երկրորդային փաթեթվածքներն են թմբկագլանները, տակառները, արկղերը, տուփերը, պոլիմերային դույլերը </w:t>
      </w:r>
      <w:r>
        <w:rPr>
          <w:rFonts w:ascii="Sylfaen" w:hAnsi="Sylfaen"/>
          <w:color w:val="000000"/>
          <w:sz w:val="24"/>
          <w:szCs w:val="24"/>
        </w:rPr>
        <w:t>եւ</w:t>
      </w:r>
      <w:r w:rsidRPr="00394A09">
        <w:rPr>
          <w:rFonts w:ascii="Sylfaen" w:hAnsi="Sylfaen"/>
          <w:color w:val="000000"/>
          <w:sz w:val="24"/>
          <w:szCs w:val="24"/>
        </w:rPr>
        <w:t xml:space="preserve"> այլն:</w:t>
      </w:r>
    </w:p>
    <w:p w14:paraId="4996C312"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37C6776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Մանրէազերծ դեղապատրաստուկների արտադրման/պատրաստման համար նախատեսված դեղագործական կիրառման սուբստանցիաների փաթեթվածքն ընտրելիս անհրաժեշտ է ապահովել դրանց առավելագույն պաշտպանությունը մանրէաբանական աղտոտումից, սահմանված դեպքերում՝ ապահովել մանրէազերծությունը:</w:t>
      </w:r>
    </w:p>
    <w:p w14:paraId="53DECF6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Ակտիվ դեղագործական բաղադրամասերի համար, որպես կանոն, օգտագործվում է ամուր խցանափակված կամ հերմետիկորեն խցանափակված, անհրաժեշտության դեպքում՝ լրացուցիչ լուսանթափանց փաթեթվածքը: Սովորաբար խոշորածավալ (խոշորաեզրաչափ) բաժնեծրարում ունեցող օժանդակ նյութերի համար ի սկզբանե հարմար է համարվում ամուր խցանափակված փաթեթվածքը:</w:t>
      </w:r>
    </w:p>
    <w:p w14:paraId="25C6A1D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Դեղագործական կիրառման սուբստանցիաների համար պատշաճ փաթեթվածքի ընտրությունը կախված է նա</w:t>
      </w:r>
      <w:r>
        <w:rPr>
          <w:rFonts w:ascii="Sylfaen" w:hAnsi="Sylfaen"/>
          <w:color w:val="000000"/>
          <w:sz w:val="24"/>
          <w:szCs w:val="24"/>
        </w:rPr>
        <w:t>եւ</w:t>
      </w:r>
      <w:r w:rsidRPr="00394A09">
        <w:rPr>
          <w:rFonts w:ascii="Sylfaen" w:hAnsi="Sylfaen"/>
          <w:color w:val="000000"/>
          <w:sz w:val="24"/>
          <w:szCs w:val="24"/>
        </w:rPr>
        <w:t xml:space="preserve"> դրա՝ շրջանառության մեջ դրվող զանգվածից (ծավալից):</w:t>
      </w:r>
    </w:p>
    <w:p w14:paraId="503B9AA2" w14:textId="77777777" w:rsidR="00AF2D51" w:rsidRPr="00394A09" w:rsidRDefault="00AF2D51" w:rsidP="00AF2D51">
      <w:pPr>
        <w:spacing w:after="160" w:line="360" w:lineRule="auto"/>
        <w:ind w:firstLine="567"/>
        <w:jc w:val="both"/>
      </w:pPr>
      <w:r w:rsidRPr="00394A09">
        <w:rPr>
          <w:i/>
        </w:rPr>
        <w:t>Դեղապատրաստուկի</w:t>
      </w:r>
      <w:r w:rsidRPr="00394A09">
        <w:t xml:space="preserve"> առաջնային </w:t>
      </w:r>
      <w:r>
        <w:t>եւ</w:t>
      </w:r>
      <w:r w:rsidRPr="00394A09">
        <w:t xml:space="preserve"> երկրորդային (սպառողական) փաթեթվածքն ընտրելիս </w:t>
      </w:r>
      <w:r>
        <w:t>եւ</w:t>
      </w:r>
      <w:r w:rsidRPr="00394A09">
        <w:t xml:space="preserve"> սպառողի կողմից դրա օգտագործման հարմարավետությունը գնահատելիս անհրաժեշտ է հաշվի առնել, որ միադեղաչափ, մեկանգամյա օգտագործման, ինչպես նա</w:t>
      </w:r>
      <w:r>
        <w:t>եւ</w:t>
      </w:r>
      <w:r w:rsidRPr="00394A09">
        <w:t xml:space="preserve"> դեղաչափված դեղաձ</w:t>
      </w:r>
      <w:r>
        <w:t>եւ</w:t>
      </w:r>
      <w:r w:rsidRPr="00394A09">
        <w:t>ով դեղապատրաստուկ պարունակող բազմադեղաչափ փաթեթվածքները երաշխավորում են դեղապատրաստուկի ավելի անվտանգ կիրառումը, նվազեցնում են կիրառման հնարավոր սխալները, այսինքն՝ ավելի պրակտիկ են պացիենտի համար: Մեկանգամյա օգտագործման փաթեթվածքը կարող է նա</w:t>
      </w:r>
      <w:r>
        <w:t>եւ</w:t>
      </w:r>
      <w:r w:rsidRPr="00394A09">
        <w:t xml:space="preserve"> օգտակար լինել պիտանիության սահմանափակ ժամկետ ունեցող դեղապատրաստուկների համար:</w:t>
      </w:r>
    </w:p>
    <w:p w14:paraId="19A8176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Խցանափակման միջոցները պետք է ապահովեն դեղապատրաստուկի արագ ու անվտանգ օգտագործումը: Դրանք կարող են լինել հեռացվող </w:t>
      </w:r>
      <w:r>
        <w:rPr>
          <w:rFonts w:ascii="Sylfaen" w:hAnsi="Sylfaen"/>
          <w:color w:val="000000"/>
          <w:sz w:val="24"/>
          <w:szCs w:val="24"/>
        </w:rPr>
        <w:t>եւ</w:t>
      </w:r>
      <w:r w:rsidRPr="00394A09">
        <w:rPr>
          <w:rFonts w:ascii="Sylfaen" w:hAnsi="Sylfaen"/>
          <w:color w:val="000000"/>
          <w:sz w:val="24"/>
          <w:szCs w:val="24"/>
        </w:rPr>
        <w:t xml:space="preserve"> ոչ հեռացվող: Կիրառման ժամանակ խցանափակման միջոցի հեռացում չպահանջող փաթեթվածքի տեսակն ավելի նախընտրելի է, քանի որ նման փաթեթվածքը </w:t>
      </w:r>
      <w:r w:rsidRPr="00394A09">
        <w:rPr>
          <w:rFonts w:ascii="Sylfaen" w:hAnsi="Sylfaen"/>
          <w:color w:val="000000"/>
          <w:sz w:val="24"/>
          <w:szCs w:val="24"/>
        </w:rPr>
        <w:lastRenderedPageBreak/>
        <w:t xml:space="preserve">նվազեցնում է դեղապատրաստուկի մանրէաբանական </w:t>
      </w:r>
      <w:r>
        <w:rPr>
          <w:rFonts w:ascii="Sylfaen" w:hAnsi="Sylfaen"/>
          <w:color w:val="000000"/>
          <w:sz w:val="24"/>
          <w:szCs w:val="24"/>
        </w:rPr>
        <w:t>եւ</w:t>
      </w:r>
      <w:r w:rsidRPr="00394A09">
        <w:rPr>
          <w:rFonts w:ascii="Sylfaen" w:hAnsi="Sylfaen"/>
          <w:color w:val="000000"/>
          <w:sz w:val="24"/>
          <w:szCs w:val="24"/>
        </w:rPr>
        <w:t xml:space="preserve"> այլ աղտոտման </w:t>
      </w:r>
      <w:r>
        <w:rPr>
          <w:rFonts w:ascii="Sylfaen" w:hAnsi="Sylfaen"/>
          <w:color w:val="000000"/>
          <w:sz w:val="24"/>
          <w:szCs w:val="24"/>
        </w:rPr>
        <w:t>եւ</w:t>
      </w:r>
      <w:r w:rsidRPr="00394A09">
        <w:rPr>
          <w:rFonts w:ascii="Sylfaen" w:hAnsi="Sylfaen"/>
          <w:color w:val="000000"/>
          <w:sz w:val="24"/>
          <w:szCs w:val="24"/>
        </w:rPr>
        <w:t xml:space="preserve"> (կամ) կեղծման ռիսկերը:</w:t>
      </w:r>
    </w:p>
    <w:p w14:paraId="6096F9D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Փաթեթվածքը կարող է ունենալ կրկնակի փակվող խցանափակման միջոց կամ չունենալ կրկին փակելու հնարավորություն՝ զոդման, սոսնձման, ջերմաեռակցման </w:t>
      </w:r>
      <w:r>
        <w:rPr>
          <w:rFonts w:ascii="Sylfaen" w:hAnsi="Sylfaen"/>
          <w:color w:val="000000"/>
          <w:sz w:val="24"/>
          <w:szCs w:val="24"/>
        </w:rPr>
        <w:t>եւ</w:t>
      </w:r>
      <w:r w:rsidRPr="00394A09">
        <w:rPr>
          <w:rFonts w:ascii="Sylfaen" w:hAnsi="Sylfaen"/>
          <w:color w:val="000000"/>
          <w:sz w:val="24"/>
          <w:szCs w:val="24"/>
        </w:rPr>
        <w:t xml:space="preserve"> այլ մեթոդներով խցանափակված փաթեթվածք:</w:t>
      </w:r>
    </w:p>
    <w:p w14:paraId="1AFAF5F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t>Դեղապատրաստուկի</w:t>
      </w:r>
      <w:r w:rsidRPr="00394A09">
        <w:rPr>
          <w:rFonts w:ascii="Sylfaen" w:hAnsi="Sylfaen"/>
          <w:color w:val="000000"/>
          <w:sz w:val="24"/>
          <w:szCs w:val="24"/>
        </w:rPr>
        <w:t xml:space="preserve"> համար փաթեթվածք ընտրելիս անհրաժեշտ է հաշվի առնել այն </w:t>
      </w:r>
      <w:r w:rsidRPr="00394A09">
        <w:rPr>
          <w:rFonts w:ascii="Sylfaen" w:hAnsi="Sylfaen"/>
          <w:i/>
          <w:color w:val="000000"/>
          <w:sz w:val="24"/>
          <w:szCs w:val="24"/>
        </w:rPr>
        <w:t>դեղաձ</w:t>
      </w:r>
      <w:r>
        <w:rPr>
          <w:rFonts w:ascii="Sylfaen" w:hAnsi="Sylfaen"/>
          <w:i/>
          <w:color w:val="000000"/>
          <w:sz w:val="24"/>
          <w:szCs w:val="24"/>
        </w:rPr>
        <w:t>եւ</w:t>
      </w:r>
      <w:r w:rsidRPr="00394A09">
        <w:rPr>
          <w:rFonts w:ascii="Sylfaen" w:hAnsi="Sylfaen"/>
          <w:i/>
          <w:color w:val="000000"/>
          <w:sz w:val="24"/>
          <w:szCs w:val="24"/>
        </w:rPr>
        <w:t>ի</w:t>
      </w:r>
      <w:r w:rsidRPr="00394A09">
        <w:rPr>
          <w:rFonts w:ascii="Sylfaen" w:hAnsi="Sylfaen"/>
          <w:color w:val="000000"/>
          <w:sz w:val="24"/>
          <w:szCs w:val="24"/>
        </w:rPr>
        <w:t xml:space="preserve"> հատկությունները, որի տեսքով պետք է օգտագործվի դեղապատրաստուկը, դրա ագրեգատային վիճակը, կիրառման եղանակը, արտադրման/պատրաստման պայմանները, դեղաչափերի քանակը </w:t>
      </w:r>
      <w:r>
        <w:rPr>
          <w:rFonts w:ascii="Sylfaen" w:hAnsi="Sylfaen"/>
          <w:color w:val="000000"/>
          <w:sz w:val="24"/>
          <w:szCs w:val="24"/>
        </w:rPr>
        <w:t>եւ</w:t>
      </w:r>
      <w:r w:rsidRPr="00394A09">
        <w:rPr>
          <w:rFonts w:ascii="Sylfaen" w:hAnsi="Sylfaen"/>
          <w:color w:val="000000"/>
          <w:sz w:val="24"/>
          <w:szCs w:val="24"/>
        </w:rPr>
        <w:t xml:space="preserve"> այլ բնութագրեր:</w:t>
      </w:r>
    </w:p>
    <w:p w14:paraId="28BA9DD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color w:val="000000"/>
          <w:sz w:val="24"/>
          <w:szCs w:val="24"/>
        </w:rPr>
        <w:t xml:space="preserve">Պինդ դեղաձեւերի փաթեթավորման առանձնահատկությունները (հաբեր, դրաժե, պատիճներ, հատիկներ, փոշիներ, մոմիկներ, դեղորայքային սառնաշաքար, դեղորայքային պաստեղներ </w:t>
      </w:r>
      <w:r>
        <w:rPr>
          <w:rFonts w:ascii="Sylfaen" w:hAnsi="Sylfaen"/>
          <w:i/>
          <w:color w:val="000000"/>
          <w:sz w:val="24"/>
          <w:szCs w:val="24"/>
        </w:rPr>
        <w:t>եւ</w:t>
      </w:r>
      <w:r w:rsidRPr="00394A09">
        <w:rPr>
          <w:rFonts w:ascii="Sylfaen" w:hAnsi="Sylfaen"/>
          <w:i/>
          <w:color w:val="000000"/>
          <w:sz w:val="24"/>
          <w:szCs w:val="24"/>
        </w:rPr>
        <w:t xml:space="preserve"> այլն):</w:t>
      </w:r>
      <w:r w:rsidRPr="00394A09">
        <w:rPr>
          <w:rFonts w:ascii="Sylfaen" w:hAnsi="Sylfaen"/>
          <w:color w:val="000000"/>
          <w:sz w:val="24"/>
          <w:szCs w:val="24"/>
        </w:rPr>
        <w:t xml:space="preserve"> Պինդ դեղաձ</w:t>
      </w:r>
      <w:r>
        <w:rPr>
          <w:rFonts w:ascii="Sylfaen" w:hAnsi="Sylfaen"/>
          <w:color w:val="000000"/>
          <w:sz w:val="24"/>
          <w:szCs w:val="24"/>
        </w:rPr>
        <w:t>եւ</w:t>
      </w:r>
      <w:r w:rsidRPr="00394A09">
        <w:rPr>
          <w:rFonts w:ascii="Sylfaen" w:hAnsi="Sylfaen"/>
          <w:color w:val="000000"/>
          <w:sz w:val="24"/>
          <w:szCs w:val="24"/>
        </w:rPr>
        <w:t xml:space="preserve">երի համար առաջնային բազմադեղաչափ փաթեթվածքներն են բանկաները, սրվակները, անգույն կամ լուսապաշտպանիչ ապակուց, պոլիմերային նյութից կամ մետաղից փորձասրվակները, որոնք խցանափակված են խցաններով, կափարիչներով, թասակներով </w:t>
      </w:r>
      <w:r>
        <w:rPr>
          <w:rFonts w:ascii="Sylfaen" w:hAnsi="Sylfaen"/>
          <w:color w:val="000000"/>
          <w:sz w:val="24"/>
          <w:szCs w:val="24"/>
        </w:rPr>
        <w:t>եւ</w:t>
      </w:r>
      <w:r w:rsidRPr="00394A09">
        <w:rPr>
          <w:rFonts w:ascii="Sylfaen" w:hAnsi="Sylfaen"/>
          <w:color w:val="000000"/>
          <w:sz w:val="24"/>
          <w:szCs w:val="24"/>
        </w:rPr>
        <w:t xml:space="preserve"> որպես կանոն, ունեն խտարար-հարվածամեղմիչներ:</w:t>
      </w:r>
    </w:p>
    <w:p w14:paraId="1A45C87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Պինդ դեղաձ</w:t>
      </w:r>
      <w:r>
        <w:rPr>
          <w:rFonts w:ascii="Sylfaen" w:hAnsi="Sylfaen"/>
          <w:color w:val="000000"/>
          <w:sz w:val="24"/>
          <w:szCs w:val="24"/>
        </w:rPr>
        <w:t>եւ</w:t>
      </w:r>
      <w:r w:rsidRPr="00394A09">
        <w:rPr>
          <w:rFonts w:ascii="Sylfaen" w:hAnsi="Sylfaen"/>
          <w:color w:val="000000"/>
          <w:sz w:val="24"/>
          <w:szCs w:val="24"/>
        </w:rPr>
        <w:t>երի անհատական դեղաչափերի համար ծակատում կամ խորշեր ունեցող առաջնային բազմադեղաչափ փաթեթվածքներն են եզրագծային փաթեթվածքները՝ ջերմաեռակցման մեթոդով խցանափակված, ալյումինե փայլաթիթեղից, փայլաթիթեղի, թղթի, պոլիմերային նյութերի հիմքով համակցված նյութերից պատրաստված ստրիփներն ու բլիստերները:</w:t>
      </w:r>
    </w:p>
    <w:p w14:paraId="0227B5FA" w14:textId="77777777" w:rsidR="00AF2D51" w:rsidRPr="00903268"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color w:val="000000"/>
          <w:sz w:val="24"/>
          <w:szCs w:val="24"/>
        </w:rPr>
        <w:t xml:space="preserve">Փոշիների </w:t>
      </w:r>
      <w:r>
        <w:rPr>
          <w:rFonts w:ascii="Sylfaen" w:hAnsi="Sylfaen"/>
          <w:color w:val="000000"/>
          <w:sz w:val="24"/>
          <w:szCs w:val="24"/>
        </w:rPr>
        <w:t>եւ</w:t>
      </w:r>
      <w:r w:rsidRPr="00394A09">
        <w:rPr>
          <w:rFonts w:ascii="Sylfaen" w:hAnsi="Sylfaen"/>
          <w:color w:val="000000"/>
          <w:sz w:val="24"/>
          <w:szCs w:val="24"/>
        </w:rPr>
        <w:t xml:space="preserve"> հատիկների համար որպես առաջնային միադեղաչափ փաթեթվածք, որպես կանոն, օգտագործվում են թղթի, ալյումինե փայլաթիթեղի, պոլիմերային նյութերի հիմքով համակցված նյութերից պատրաստված </w:t>
      </w:r>
      <w:r>
        <w:rPr>
          <w:rFonts w:ascii="Sylfaen" w:hAnsi="Sylfaen"/>
          <w:color w:val="000000"/>
          <w:sz w:val="24"/>
          <w:szCs w:val="24"/>
        </w:rPr>
        <w:t>եւ</w:t>
      </w:r>
      <w:r w:rsidRPr="00394A09">
        <w:rPr>
          <w:rFonts w:ascii="Sylfaen" w:hAnsi="Sylfaen"/>
          <w:color w:val="000000"/>
          <w:sz w:val="24"/>
          <w:szCs w:val="24"/>
        </w:rPr>
        <w:t xml:space="preserve"> ջերմաեռակցման մեթոդով խցանափակված փաթեթիկները, սաշեն:</w:t>
      </w:r>
    </w:p>
    <w:p w14:paraId="487CF543" w14:textId="77777777" w:rsidR="001827DA" w:rsidRPr="00903268" w:rsidRDefault="001827DA" w:rsidP="00AF2D51">
      <w:pPr>
        <w:pStyle w:val="a0"/>
        <w:shd w:val="clear" w:color="auto" w:fill="auto"/>
        <w:spacing w:after="160" w:line="360" w:lineRule="auto"/>
        <w:ind w:firstLine="567"/>
        <w:jc w:val="both"/>
        <w:rPr>
          <w:rFonts w:ascii="Sylfaen" w:hAnsi="Sylfaen" w:cs="Sylfaen"/>
          <w:sz w:val="24"/>
          <w:szCs w:val="24"/>
        </w:rPr>
      </w:pPr>
    </w:p>
    <w:p w14:paraId="7CD9E314" w14:textId="77777777" w:rsidR="00AF2D51" w:rsidRPr="00394A09" w:rsidRDefault="00AF2D51" w:rsidP="00AF2D51">
      <w:pPr>
        <w:tabs>
          <w:tab w:val="left" w:pos="2568"/>
        </w:tabs>
        <w:spacing w:after="160" w:line="360" w:lineRule="auto"/>
        <w:ind w:firstLine="567"/>
        <w:jc w:val="both"/>
      </w:pPr>
      <w:r w:rsidRPr="00394A09">
        <w:lastRenderedPageBreak/>
        <w:t>Պինդ դեղաձ</w:t>
      </w:r>
      <w:r>
        <w:t>եւ</w:t>
      </w:r>
      <w:r w:rsidRPr="00394A09">
        <w:t xml:space="preserve">երի փաթեթվածքը պետք է լինի լավ կամ ամուր խցանափակված, պաշտպանություն ապահովի մանրէաբանական աղտոտումից </w:t>
      </w:r>
      <w:r>
        <w:t>եւ</w:t>
      </w:r>
      <w:r w:rsidRPr="00394A09">
        <w:t xml:space="preserve"> մթնոլորտային գործոնի այն տեսակից, որի նկատմամբ զգայուն է փաթեթվածքում պարունակվող դեղապատրաստուկը:</w:t>
      </w:r>
    </w:p>
    <w:p w14:paraId="4DE9820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Խոնավության ազդեցության նկատմամբ զգայուն փրփրուն պինդ դեղաձ</w:t>
      </w:r>
      <w:r>
        <w:rPr>
          <w:rFonts w:ascii="Sylfaen" w:hAnsi="Sylfaen"/>
          <w:color w:val="000000"/>
          <w:sz w:val="24"/>
          <w:szCs w:val="24"/>
        </w:rPr>
        <w:t>եւ</w:t>
      </w:r>
      <w:r w:rsidRPr="00394A09">
        <w:rPr>
          <w:rFonts w:ascii="Sylfaen" w:hAnsi="Sylfaen"/>
          <w:color w:val="000000"/>
          <w:sz w:val="24"/>
          <w:szCs w:val="24"/>
        </w:rPr>
        <w:t>երը (հաբերը, հատիկները, փոշիները) պետք է պահվեն խոնավության ներթափանցումից պաշտպանություն ապահովող (անխոնավաթափանց), ամուր խցանափակված փաթեթվածքի մեջ: Այդպիսի դեղաձ</w:t>
      </w:r>
      <w:r>
        <w:rPr>
          <w:rFonts w:ascii="Sylfaen" w:hAnsi="Sylfaen"/>
          <w:color w:val="000000"/>
          <w:sz w:val="24"/>
          <w:szCs w:val="24"/>
        </w:rPr>
        <w:t>եւ</w:t>
      </w:r>
      <w:r w:rsidRPr="00394A09">
        <w:rPr>
          <w:rFonts w:ascii="Sylfaen" w:hAnsi="Sylfaen"/>
          <w:color w:val="000000"/>
          <w:sz w:val="24"/>
          <w:szCs w:val="24"/>
        </w:rPr>
        <w:t>երի փաթեթվածքը կարող է պարունակել խոնավակլանիչ ագենտներ, օրինակ՝ սիլիկագել:</w:t>
      </w:r>
    </w:p>
    <w:p w14:paraId="122D576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Եթե հատիկների </w:t>
      </w:r>
      <w:r>
        <w:rPr>
          <w:rFonts w:ascii="Sylfaen" w:hAnsi="Sylfaen"/>
          <w:color w:val="000000"/>
          <w:sz w:val="24"/>
          <w:szCs w:val="24"/>
        </w:rPr>
        <w:t>եւ</w:t>
      </w:r>
      <w:r w:rsidRPr="00394A09">
        <w:rPr>
          <w:rFonts w:ascii="Sylfaen" w:hAnsi="Sylfaen"/>
          <w:color w:val="000000"/>
          <w:sz w:val="24"/>
          <w:szCs w:val="24"/>
        </w:rPr>
        <w:t xml:space="preserve"> այլ պինդ դեղաձ</w:t>
      </w:r>
      <w:r>
        <w:rPr>
          <w:rFonts w:ascii="Sylfaen" w:hAnsi="Sylfaen"/>
          <w:color w:val="000000"/>
          <w:sz w:val="24"/>
          <w:szCs w:val="24"/>
        </w:rPr>
        <w:t>եւ</w:t>
      </w:r>
      <w:r w:rsidRPr="00394A09">
        <w:rPr>
          <w:rFonts w:ascii="Sylfaen" w:hAnsi="Sylfaen"/>
          <w:color w:val="000000"/>
          <w:sz w:val="24"/>
          <w:szCs w:val="24"/>
        </w:rPr>
        <w:t>երի կազմում ընդգրկված են ցնդող նյութեր կամ օդի ազդեցությունից պաշտպանություն պահանջող նյութեր, ապա փաթեթվածքը պետք է լինի անօդանցիկ:</w:t>
      </w:r>
    </w:p>
    <w:p w14:paraId="707FBC1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Եթերային յուղեր պարունակող </w:t>
      </w:r>
      <w:r>
        <w:rPr>
          <w:rFonts w:ascii="Sylfaen" w:hAnsi="Sylfaen"/>
          <w:color w:val="000000"/>
          <w:sz w:val="24"/>
          <w:szCs w:val="24"/>
        </w:rPr>
        <w:t>եւ</w:t>
      </w:r>
      <w:r w:rsidRPr="00394A09">
        <w:rPr>
          <w:rFonts w:ascii="Sylfaen" w:hAnsi="Sylfaen"/>
          <w:color w:val="000000"/>
          <w:sz w:val="24"/>
          <w:szCs w:val="24"/>
        </w:rPr>
        <w:t xml:space="preserve"> փորձասրվակներում փաթեթավորվող հաբերը պետք է փաթաթված լինեն պարաֆինացված թղթով կամ մագաղաթով:</w:t>
      </w:r>
    </w:p>
    <w:p w14:paraId="6F60F50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Մոմիկների առաջնային փաթեթվածքը խորշավոր կամ ոչ խորշավոր եզրագծային փաթեթվածքն է կամ ջերմաեռակցման մեթոդով խցանափակված, տարբեր պատվածքներով </w:t>
      </w:r>
      <w:r>
        <w:rPr>
          <w:rFonts w:ascii="Sylfaen" w:hAnsi="Sylfaen"/>
          <w:color w:val="000000"/>
          <w:sz w:val="24"/>
          <w:szCs w:val="24"/>
        </w:rPr>
        <w:t>եւ</w:t>
      </w:r>
      <w:r w:rsidRPr="00394A09">
        <w:rPr>
          <w:rFonts w:ascii="Sylfaen" w:hAnsi="Sylfaen"/>
          <w:color w:val="000000"/>
          <w:sz w:val="24"/>
          <w:szCs w:val="24"/>
        </w:rPr>
        <w:t xml:space="preserve"> տարբեր չափսերի՝ համակցված նյութերից պատրաստված բաց պոչիկով խորշավոր փաթեթվածքն է: </w:t>
      </w:r>
    </w:p>
    <w:p w14:paraId="75A62DC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Պինդ դեղաձ</w:t>
      </w:r>
      <w:r>
        <w:rPr>
          <w:rFonts w:ascii="Sylfaen" w:hAnsi="Sylfaen"/>
          <w:color w:val="000000"/>
          <w:sz w:val="24"/>
          <w:szCs w:val="24"/>
        </w:rPr>
        <w:t>եւ</w:t>
      </w:r>
      <w:r w:rsidRPr="00394A09">
        <w:rPr>
          <w:rFonts w:ascii="Sylfaen" w:hAnsi="Sylfaen"/>
          <w:color w:val="000000"/>
          <w:sz w:val="24"/>
          <w:szCs w:val="24"/>
        </w:rPr>
        <w:t xml:space="preserve">երի երկրորդային (սպառողական) փաթեթվածքներն են, որպես կանոն, փաթեթը, կապոցը կամ տուփը: </w:t>
      </w:r>
    </w:p>
    <w:p w14:paraId="0336B902"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i/>
          <w:color w:val="000000"/>
          <w:sz w:val="24"/>
          <w:szCs w:val="24"/>
        </w:rPr>
        <w:t>Փափուկ դեղաձ</w:t>
      </w:r>
      <w:r>
        <w:rPr>
          <w:rFonts w:ascii="Sylfaen" w:hAnsi="Sylfaen"/>
          <w:i/>
          <w:color w:val="000000"/>
          <w:sz w:val="24"/>
          <w:szCs w:val="24"/>
        </w:rPr>
        <w:t>եւ</w:t>
      </w:r>
      <w:r w:rsidRPr="00394A09">
        <w:rPr>
          <w:rFonts w:ascii="Sylfaen" w:hAnsi="Sylfaen"/>
          <w:i/>
          <w:color w:val="000000"/>
          <w:sz w:val="24"/>
          <w:szCs w:val="24"/>
        </w:rPr>
        <w:t>երի (քսուքներ, մածուկներ, լինիմենտներ, գելեր, կրեմներ) եւ սպեղանիների փաթեթավորման առանձնահատկությունները:</w:t>
      </w:r>
      <w:r w:rsidRPr="00394A09">
        <w:rPr>
          <w:rFonts w:ascii="Sylfaen" w:hAnsi="Sylfaen"/>
          <w:color w:val="000000"/>
          <w:sz w:val="24"/>
          <w:szCs w:val="24"/>
        </w:rPr>
        <w:t xml:space="preserve"> Փափուկ դեղաձ</w:t>
      </w:r>
      <w:r>
        <w:rPr>
          <w:rFonts w:ascii="Sylfaen" w:hAnsi="Sylfaen"/>
          <w:color w:val="000000"/>
          <w:sz w:val="24"/>
          <w:szCs w:val="24"/>
        </w:rPr>
        <w:t>եւ</w:t>
      </w:r>
      <w:r w:rsidRPr="00394A09">
        <w:rPr>
          <w:rFonts w:ascii="Sylfaen" w:hAnsi="Sylfaen"/>
          <w:color w:val="000000"/>
          <w:sz w:val="24"/>
          <w:szCs w:val="24"/>
        </w:rPr>
        <w:t xml:space="preserve">երի փաթեթվածքը պետք է լինի լավ խցանափակված, պաշտպանություն ապահովի մանրէաբանական աղտոտումից </w:t>
      </w:r>
      <w:r>
        <w:rPr>
          <w:rFonts w:ascii="Sylfaen" w:hAnsi="Sylfaen"/>
          <w:color w:val="000000"/>
          <w:sz w:val="24"/>
          <w:szCs w:val="24"/>
        </w:rPr>
        <w:t>եւ</w:t>
      </w:r>
      <w:r w:rsidRPr="00394A09">
        <w:rPr>
          <w:rFonts w:ascii="Sylfaen" w:hAnsi="Sylfaen"/>
          <w:color w:val="000000"/>
          <w:sz w:val="24"/>
          <w:szCs w:val="24"/>
        </w:rPr>
        <w:t xml:space="preserve"> մթնոլորտային գործոնի այն տեսակից, որի նկատմամբ զգայուն է փաթեթվածքում պարունակվող դեղապատրաստուկը:</w:t>
      </w:r>
    </w:p>
    <w:p w14:paraId="65643E7E"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51BE4D8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lastRenderedPageBreak/>
        <w:t>Փափուկ դեղաձ</w:t>
      </w:r>
      <w:r>
        <w:rPr>
          <w:rFonts w:ascii="Sylfaen" w:hAnsi="Sylfaen"/>
          <w:color w:val="000000"/>
          <w:sz w:val="24"/>
          <w:szCs w:val="24"/>
        </w:rPr>
        <w:t>եւ</w:t>
      </w:r>
      <w:r w:rsidRPr="00394A09">
        <w:rPr>
          <w:rFonts w:ascii="Sylfaen" w:hAnsi="Sylfaen"/>
          <w:color w:val="000000"/>
          <w:sz w:val="24"/>
          <w:szCs w:val="24"/>
        </w:rPr>
        <w:t>երի փաթեթվածքի առաջնային բազմադեղաչափ փաթեթվածքներն առավել հաճախ փափուկ մետաղներից՝ մետաղից (ալյումինից), պոլիմերային կամ համակցված մետաղներից պատրաստված պարկուճներն են, որոնք խցանափակվում են պոլիմերային մետաղներից պատրաստված բուշոններով, կափարիչներով, թասակներով. ավելի հազվադեպ օգտագործվում են անգույն կամ լուսապաշտպանիչ ապակուց պատրաստված բանկաները, որոնք խցանափակվում են պլաստմասսայե կափարիչով՝ միջադիրով կամ առանց դրա:</w:t>
      </w:r>
    </w:p>
    <w:p w14:paraId="0CB1182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Պարկուճներ օգտագործելիս նախընտրելի է ներքին լաքապատվածքով մետաղական պարկուճների կամ պաշտպանիչ թաղանթով </w:t>
      </w:r>
      <w:r>
        <w:rPr>
          <w:rFonts w:ascii="Sylfaen" w:hAnsi="Sylfaen"/>
          <w:color w:val="000000"/>
          <w:sz w:val="24"/>
          <w:szCs w:val="24"/>
        </w:rPr>
        <w:t>եւ</w:t>
      </w:r>
      <w:r w:rsidRPr="00394A09">
        <w:rPr>
          <w:rFonts w:ascii="Sylfaen" w:hAnsi="Sylfaen"/>
          <w:color w:val="000000"/>
          <w:sz w:val="24"/>
          <w:szCs w:val="24"/>
        </w:rPr>
        <w:t xml:space="preserve"> լատեքսային օղակով, պոլիմերային նյութերից պատրաստված պարկուճների օգտագործումը:</w:t>
      </w:r>
    </w:p>
    <w:p w14:paraId="00F8370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Փափուկ դեղաձ</w:t>
      </w:r>
      <w:r>
        <w:rPr>
          <w:rFonts w:ascii="Sylfaen" w:hAnsi="Sylfaen"/>
          <w:sz w:val="24"/>
          <w:szCs w:val="24"/>
        </w:rPr>
        <w:t>եւ</w:t>
      </w:r>
      <w:r w:rsidRPr="00394A09">
        <w:rPr>
          <w:rFonts w:ascii="Sylfaen" w:hAnsi="Sylfaen"/>
          <w:sz w:val="24"/>
          <w:szCs w:val="24"/>
        </w:rPr>
        <w:t>երի փաթեթվածքի համար պարկուճների օգտագործումն ապահովում է դեղապատրաստուկի՝ դրա օգտագործման ժամանակ մանրէաբանական աղտոտումից պաշտպանությունը, դեղապատրաստուկը քսելու հատվածին հասցնելու միջոցով եւ պաշտպանիչ հարմարանքով փաթեթվածքը համալրելու հնարավորությունը:</w:t>
      </w:r>
    </w:p>
    <w:p w14:paraId="4D64F85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Մանրէազերծ փափուկ դեղաձ</w:t>
      </w:r>
      <w:r>
        <w:rPr>
          <w:rFonts w:ascii="Sylfaen" w:hAnsi="Sylfaen"/>
          <w:sz w:val="24"/>
          <w:szCs w:val="24"/>
        </w:rPr>
        <w:t>եւ</w:t>
      </w:r>
      <w:r w:rsidRPr="00394A09">
        <w:rPr>
          <w:rFonts w:ascii="Sylfaen" w:hAnsi="Sylfaen"/>
          <w:sz w:val="24"/>
          <w:szCs w:val="24"/>
        </w:rPr>
        <w:t xml:space="preserve">երի փաթեթվածքը պետք է լինի հերմետիկորեն խցանափակված </w:t>
      </w:r>
      <w:r>
        <w:rPr>
          <w:rFonts w:ascii="Sylfaen" w:hAnsi="Sylfaen"/>
          <w:sz w:val="24"/>
          <w:szCs w:val="24"/>
        </w:rPr>
        <w:t>եւ</w:t>
      </w:r>
      <w:r w:rsidRPr="00394A09">
        <w:rPr>
          <w:rFonts w:ascii="Sylfaen" w:hAnsi="Sylfaen"/>
          <w:sz w:val="24"/>
          <w:szCs w:val="24"/>
        </w:rPr>
        <w:t xml:space="preserve"> անպայման ունենա պաշտպանիչ հարմարանք՝ առաջին բացման հսկողության համար:</w:t>
      </w:r>
    </w:p>
    <w:p w14:paraId="3597FCC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Քթի, ականջի, հեշտոցային </w:t>
      </w:r>
      <w:r>
        <w:rPr>
          <w:rFonts w:ascii="Sylfaen" w:hAnsi="Sylfaen"/>
          <w:sz w:val="24"/>
          <w:szCs w:val="24"/>
        </w:rPr>
        <w:t>եւ</w:t>
      </w:r>
      <w:r w:rsidRPr="00394A09">
        <w:rPr>
          <w:rFonts w:ascii="Sylfaen" w:hAnsi="Sylfaen"/>
          <w:sz w:val="24"/>
          <w:szCs w:val="24"/>
        </w:rPr>
        <w:t xml:space="preserve"> ռեկտալ օգտագործման համար նախատեսված փափուկ դեղաձ</w:t>
      </w:r>
      <w:r>
        <w:rPr>
          <w:rFonts w:ascii="Sylfaen" w:hAnsi="Sylfaen"/>
          <w:sz w:val="24"/>
          <w:szCs w:val="24"/>
        </w:rPr>
        <w:t>եւ</w:t>
      </w:r>
      <w:r w:rsidRPr="00394A09">
        <w:rPr>
          <w:rFonts w:ascii="Sylfaen" w:hAnsi="Sylfaen"/>
          <w:sz w:val="24"/>
          <w:szCs w:val="24"/>
        </w:rPr>
        <w:t>երի փաթեթվածքը կարող է լրացուցիչ հարմարանք ունենալ՝ դեղապատրաստուկը ներմուծելու համար, կամ լրակազմված լինի համապատասխան ներդրուկով:</w:t>
      </w:r>
    </w:p>
    <w:p w14:paraId="22C9DF3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Սպեղանիների առաջնային փաթեթվածք կարող են լինել տարբեր չափսերի ոչ խորշավոր եզրագծային փաթեթվածքները, ինչպես նա</w:t>
      </w:r>
      <w:r>
        <w:rPr>
          <w:rFonts w:ascii="Sylfaen" w:hAnsi="Sylfaen"/>
          <w:sz w:val="24"/>
          <w:szCs w:val="24"/>
        </w:rPr>
        <w:t>եւ</w:t>
      </w:r>
      <w:r w:rsidRPr="00394A09">
        <w:rPr>
          <w:rFonts w:ascii="Sylfaen" w:hAnsi="Sylfaen"/>
          <w:sz w:val="24"/>
          <w:szCs w:val="24"/>
        </w:rPr>
        <w:t xml:space="preserve"> համապատասխան ձ</w:t>
      </w:r>
      <w:r>
        <w:rPr>
          <w:rFonts w:ascii="Sylfaen" w:hAnsi="Sylfaen"/>
          <w:sz w:val="24"/>
          <w:szCs w:val="24"/>
        </w:rPr>
        <w:t>եւ</w:t>
      </w:r>
      <w:r w:rsidRPr="00394A09">
        <w:rPr>
          <w:rFonts w:ascii="Sylfaen" w:hAnsi="Sylfaen"/>
          <w:sz w:val="24"/>
          <w:szCs w:val="24"/>
        </w:rPr>
        <w:t xml:space="preserve">ով խցանափակված կապոցները, փականով փաթեթները, պոլիմերային նյութերից բանկաները: Յուրաքանչյուր տրանսդերմալ սպեղանի </w:t>
      </w:r>
      <w:r>
        <w:rPr>
          <w:rFonts w:ascii="Sylfaen" w:hAnsi="Sylfaen"/>
          <w:sz w:val="24"/>
          <w:szCs w:val="24"/>
        </w:rPr>
        <w:t>եւ</w:t>
      </w:r>
      <w:r w:rsidRPr="00394A09">
        <w:rPr>
          <w:rFonts w:ascii="Sylfaen" w:hAnsi="Sylfaen"/>
          <w:sz w:val="24"/>
          <w:szCs w:val="24"/>
        </w:rPr>
        <w:t xml:space="preserve"> դեղորայքային սպեղանի պետք է տեղադրված լինի անհատական առաջնային փաթեթվածքի մեջ:</w:t>
      </w:r>
    </w:p>
    <w:p w14:paraId="358561A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Փափուկ դեղաձ</w:t>
      </w:r>
      <w:r>
        <w:rPr>
          <w:rFonts w:ascii="Sylfaen" w:hAnsi="Sylfaen"/>
          <w:sz w:val="24"/>
          <w:szCs w:val="24"/>
        </w:rPr>
        <w:t>եւ</w:t>
      </w:r>
      <w:r w:rsidRPr="00394A09">
        <w:rPr>
          <w:rFonts w:ascii="Sylfaen" w:hAnsi="Sylfaen"/>
          <w:sz w:val="24"/>
          <w:szCs w:val="24"/>
        </w:rPr>
        <w:t xml:space="preserve">երով կամ սպեղանիներով պարկուճները, բանկաները </w:t>
      </w:r>
      <w:r>
        <w:rPr>
          <w:rFonts w:ascii="Sylfaen" w:hAnsi="Sylfaen"/>
          <w:sz w:val="24"/>
          <w:szCs w:val="24"/>
        </w:rPr>
        <w:t>եւ</w:t>
      </w:r>
      <w:r w:rsidRPr="00394A09">
        <w:rPr>
          <w:rFonts w:ascii="Sylfaen" w:hAnsi="Sylfaen"/>
          <w:sz w:val="24"/>
          <w:szCs w:val="24"/>
        </w:rPr>
        <w:t xml:space="preserve"> եզրագծային փաթեթվածքները, որպես կանոն, տեղադրում են կապոցի կամ տուփի տեսքով երկրորդային (սպառողական) փաթեթվածքի մեջ:</w:t>
      </w:r>
    </w:p>
    <w:p w14:paraId="58FF21B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Հեղուկ ոչ մանրէազերծ դեղաձ</w:t>
      </w:r>
      <w:r>
        <w:rPr>
          <w:rFonts w:ascii="Sylfaen" w:hAnsi="Sylfaen"/>
          <w:i/>
          <w:sz w:val="24"/>
          <w:szCs w:val="24"/>
        </w:rPr>
        <w:t>եւ</w:t>
      </w:r>
      <w:r w:rsidRPr="00394A09">
        <w:rPr>
          <w:rFonts w:ascii="Sylfaen" w:hAnsi="Sylfaen"/>
          <w:i/>
          <w:sz w:val="24"/>
          <w:szCs w:val="24"/>
        </w:rPr>
        <w:t xml:space="preserve">երի (լուծույթներ, օշարակներ, կաթիլներ, դեղակախույթներ, էմուլսիաներ, թուրմեր, բուժահեղուկներ </w:t>
      </w:r>
      <w:r>
        <w:rPr>
          <w:rFonts w:ascii="Sylfaen" w:hAnsi="Sylfaen"/>
          <w:i/>
          <w:sz w:val="24"/>
          <w:szCs w:val="24"/>
        </w:rPr>
        <w:t>եւ</w:t>
      </w:r>
      <w:r w:rsidRPr="00394A09">
        <w:rPr>
          <w:rFonts w:ascii="Sylfaen" w:hAnsi="Sylfaen"/>
          <w:i/>
          <w:sz w:val="24"/>
          <w:szCs w:val="24"/>
        </w:rPr>
        <w:t xml:space="preserve"> այլն) փաթեթավորման առանձնահատկությունները։</w:t>
      </w:r>
      <w:r w:rsidRPr="00394A09">
        <w:rPr>
          <w:rFonts w:ascii="Sylfaen" w:hAnsi="Sylfaen"/>
          <w:sz w:val="24"/>
          <w:szCs w:val="24"/>
        </w:rPr>
        <w:t xml:space="preserve"> Հեղուկ ոչ մանրէազերծ դեղաձ</w:t>
      </w:r>
      <w:r>
        <w:rPr>
          <w:rFonts w:ascii="Sylfaen" w:hAnsi="Sylfaen"/>
          <w:sz w:val="24"/>
          <w:szCs w:val="24"/>
        </w:rPr>
        <w:t>եւ</w:t>
      </w:r>
      <w:r w:rsidRPr="00394A09">
        <w:rPr>
          <w:rFonts w:ascii="Sylfaen" w:hAnsi="Sylfaen"/>
          <w:sz w:val="24"/>
          <w:szCs w:val="24"/>
        </w:rPr>
        <w:t xml:space="preserve">երի առաջնային փաթեթվածքներն առավել հաճախ բազմադեղաչափ սրվակներ են՝ անգույն </w:t>
      </w:r>
      <w:r>
        <w:rPr>
          <w:rFonts w:ascii="Sylfaen" w:hAnsi="Sylfaen"/>
          <w:sz w:val="24"/>
          <w:szCs w:val="24"/>
        </w:rPr>
        <w:t>եւ</w:t>
      </w:r>
      <w:r w:rsidRPr="00394A09">
        <w:rPr>
          <w:rFonts w:ascii="Sylfaen" w:hAnsi="Sylfaen"/>
          <w:sz w:val="24"/>
          <w:szCs w:val="24"/>
        </w:rPr>
        <w:t xml:space="preserve"> լուսապաշտպանիչ ապակուց կամ պոլիմերային նյութից պատրաստված, տարբեր ծավալների </w:t>
      </w:r>
      <w:r>
        <w:rPr>
          <w:rFonts w:ascii="Sylfaen" w:hAnsi="Sylfaen"/>
          <w:sz w:val="24"/>
          <w:szCs w:val="24"/>
        </w:rPr>
        <w:t>եւ</w:t>
      </w:r>
      <w:r w:rsidRPr="00394A09">
        <w:rPr>
          <w:rFonts w:ascii="Sylfaen" w:hAnsi="Sylfaen"/>
          <w:sz w:val="24"/>
          <w:szCs w:val="24"/>
        </w:rPr>
        <w:t xml:space="preserve"> դիզայնների, որոնք խցանափակված են չարտոնված բացվելուց պաշտպանություն ունեցող </w:t>
      </w:r>
      <w:r>
        <w:rPr>
          <w:rFonts w:ascii="Sylfaen" w:hAnsi="Sylfaen"/>
          <w:sz w:val="24"/>
          <w:szCs w:val="24"/>
        </w:rPr>
        <w:t>եւ</w:t>
      </w:r>
      <w:r w:rsidRPr="00394A09">
        <w:rPr>
          <w:rFonts w:ascii="Sylfaen" w:hAnsi="Sylfaen"/>
          <w:sz w:val="24"/>
          <w:szCs w:val="24"/>
        </w:rPr>
        <w:t xml:space="preserve"> (կամ) չունեցող միջոցներով (կափարիչներով, խցաններով </w:t>
      </w:r>
      <w:r>
        <w:rPr>
          <w:rFonts w:ascii="Sylfaen" w:hAnsi="Sylfaen"/>
          <w:sz w:val="24"/>
          <w:szCs w:val="24"/>
        </w:rPr>
        <w:t>եւ</w:t>
      </w:r>
      <w:r w:rsidRPr="00394A09">
        <w:rPr>
          <w:rFonts w:ascii="Sylfaen" w:hAnsi="Sylfaen"/>
          <w:sz w:val="24"/>
          <w:szCs w:val="24"/>
        </w:rPr>
        <w:t xml:space="preserve"> այլն), ինչպես նա</w:t>
      </w:r>
      <w:r>
        <w:rPr>
          <w:rFonts w:ascii="Sylfaen" w:hAnsi="Sylfaen"/>
          <w:sz w:val="24"/>
          <w:szCs w:val="24"/>
        </w:rPr>
        <w:t>եւ</w:t>
      </w:r>
      <w:r w:rsidRPr="00394A09">
        <w:rPr>
          <w:rFonts w:ascii="Sylfaen" w:hAnsi="Sylfaen"/>
          <w:sz w:val="24"/>
          <w:szCs w:val="24"/>
        </w:rPr>
        <w:t xml:space="preserve"> երեխաների կողմից բացումը կանխող պաշտպանիչ սարքվածքով:</w:t>
      </w:r>
    </w:p>
    <w:p w14:paraId="4EBE886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Ներքին ընդունման համար նախատեսված հեղուկ դեղապատրաստուկների բազմադեղաչափ փաթեթվածքի խցանափակման միջոցի տարր է դեղապատրաստուկի նշանակված դեղաչափի չափման, այդ թվում՝ կաթիլներով չափման համար նախատեսված դեղաչափող սարքվածքը: Դեղաչափող սարքվածքը</w:t>
      </w:r>
      <w:r w:rsidRPr="00394A09" w:rsidDel="00655581">
        <w:rPr>
          <w:rFonts w:ascii="Sylfaen" w:hAnsi="Sylfaen"/>
          <w:sz w:val="24"/>
          <w:szCs w:val="24"/>
        </w:rPr>
        <w:t xml:space="preserve"> </w:t>
      </w:r>
      <w:r w:rsidRPr="00394A09">
        <w:rPr>
          <w:rFonts w:ascii="Sylfaen" w:hAnsi="Sylfaen"/>
          <w:sz w:val="24"/>
          <w:szCs w:val="24"/>
        </w:rPr>
        <w:t>կարող է նա</w:t>
      </w:r>
      <w:r>
        <w:rPr>
          <w:rFonts w:ascii="Sylfaen" w:hAnsi="Sylfaen"/>
          <w:sz w:val="24"/>
          <w:szCs w:val="24"/>
        </w:rPr>
        <w:t>եւ</w:t>
      </w:r>
      <w:r w:rsidRPr="00394A09">
        <w:rPr>
          <w:rFonts w:ascii="Sylfaen" w:hAnsi="Sylfaen"/>
          <w:sz w:val="24"/>
          <w:szCs w:val="24"/>
        </w:rPr>
        <w:t xml:space="preserve"> փաթեթվածքի ինքնուրույն տարր լինել՝ չափիչ գդալ, չափիչ բաժակ, կաթոցիկ </w:t>
      </w:r>
      <w:r>
        <w:rPr>
          <w:rFonts w:ascii="Sylfaen" w:hAnsi="Sylfaen"/>
          <w:sz w:val="24"/>
          <w:szCs w:val="24"/>
        </w:rPr>
        <w:t>եւ</w:t>
      </w:r>
      <w:r w:rsidRPr="00394A09">
        <w:rPr>
          <w:rFonts w:ascii="Sylfaen" w:hAnsi="Sylfaen"/>
          <w:sz w:val="24"/>
          <w:szCs w:val="24"/>
        </w:rPr>
        <w:t xml:space="preserve"> այլն:</w:t>
      </w:r>
    </w:p>
    <w:p w14:paraId="7E84E15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Ներքին օգտագործման դեղակախույթների </w:t>
      </w:r>
      <w:r>
        <w:rPr>
          <w:rFonts w:ascii="Sylfaen" w:hAnsi="Sylfaen"/>
          <w:sz w:val="24"/>
          <w:szCs w:val="24"/>
        </w:rPr>
        <w:t>եւ</w:t>
      </w:r>
      <w:r w:rsidRPr="00394A09">
        <w:rPr>
          <w:rFonts w:ascii="Sylfaen" w:hAnsi="Sylfaen"/>
          <w:sz w:val="24"/>
          <w:szCs w:val="24"/>
        </w:rPr>
        <w:t xml:space="preserve"> էմուլսիաների առաջնային փաթեթվածքը կարող է լինել միադեղաչափ </w:t>
      </w:r>
      <w:r>
        <w:rPr>
          <w:rFonts w:ascii="Sylfaen" w:hAnsi="Sylfaen"/>
          <w:sz w:val="24"/>
          <w:szCs w:val="24"/>
        </w:rPr>
        <w:t>եւ</w:t>
      </w:r>
      <w:r w:rsidRPr="00394A09">
        <w:rPr>
          <w:rFonts w:ascii="Sylfaen" w:hAnsi="Sylfaen"/>
          <w:sz w:val="24"/>
          <w:szCs w:val="24"/>
        </w:rPr>
        <w:t xml:space="preserve"> անհրաժեշտության դեպքում համալրված լինել դեղապատրաստուկի կիրառման հարմարավետությունն ապահովող հարմարանքով, ինչպես նա</w:t>
      </w:r>
      <w:r>
        <w:rPr>
          <w:rFonts w:ascii="Sylfaen" w:hAnsi="Sylfaen"/>
          <w:sz w:val="24"/>
          <w:szCs w:val="24"/>
        </w:rPr>
        <w:t>եւ</w:t>
      </w:r>
      <w:r w:rsidRPr="00394A09">
        <w:rPr>
          <w:rFonts w:ascii="Sylfaen" w:hAnsi="Sylfaen"/>
          <w:sz w:val="24"/>
          <w:szCs w:val="24"/>
        </w:rPr>
        <w:t xml:space="preserve"> երեխաների կողմից բացումը կանխող պաշտպանիչ սարքվածքով:</w:t>
      </w:r>
    </w:p>
    <w:p w14:paraId="4AC4B5D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pacing w:val="-4"/>
          <w:sz w:val="24"/>
          <w:szCs w:val="24"/>
        </w:rPr>
        <w:t>Հեղուկ ոչ մանրէազերծ դեղաձեւերով սրվակները, որպես կանոն, տեղադրում են կապոցի կամ</w:t>
      </w:r>
      <w:r w:rsidRPr="00394A09">
        <w:rPr>
          <w:rFonts w:ascii="Sylfaen" w:hAnsi="Sylfaen"/>
          <w:sz w:val="24"/>
          <w:szCs w:val="24"/>
        </w:rPr>
        <w:t xml:space="preserve"> տուփի տեսքով երկրորդային (սպառողական) փաթեթվածքի մեջ:</w:t>
      </w:r>
    </w:p>
    <w:p w14:paraId="7780FC0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Աերոզոլների, փրփուրների, ցողաշթերի, շնչառման դեղապատրաստուկների փաթեթավորման առանձնահատկությունները:</w:t>
      </w:r>
      <w:r w:rsidRPr="00394A09">
        <w:rPr>
          <w:rFonts w:ascii="Sylfaen" w:hAnsi="Sylfaen"/>
          <w:sz w:val="24"/>
          <w:szCs w:val="24"/>
        </w:rPr>
        <w:t xml:space="preserve"> Աերոզոլների, փրփուրների առաջնային փաթեթվածքը, որպես կանոն, աերոզոլային մետաղյա կամ ապակե </w:t>
      </w:r>
      <w:r w:rsidRPr="00394A09">
        <w:rPr>
          <w:rFonts w:ascii="Sylfaen" w:hAnsi="Sylfaen"/>
          <w:sz w:val="24"/>
          <w:szCs w:val="24"/>
        </w:rPr>
        <w:lastRenderedPageBreak/>
        <w:t xml:space="preserve">գլանանոթն է՝ պաշտպանիչ պոլիմերային ծածկույթով, իսկ ցողաշթերի համար կարող է լինել պոլիմերային նյութերից սրվակը: Աերոզոլային գլանանոթի խցանափակման </w:t>
      </w:r>
      <w:r>
        <w:rPr>
          <w:rFonts w:ascii="Sylfaen" w:hAnsi="Sylfaen"/>
          <w:sz w:val="24"/>
          <w:szCs w:val="24"/>
        </w:rPr>
        <w:t>եւ</w:t>
      </w:r>
      <w:r w:rsidRPr="00394A09">
        <w:rPr>
          <w:rFonts w:ascii="Sylfaen" w:hAnsi="Sylfaen"/>
          <w:sz w:val="24"/>
          <w:szCs w:val="24"/>
        </w:rPr>
        <w:t xml:space="preserve"> միաժամանակ դրանից դեղապատրաստուկը հասցնելու ու դեղաչափման միջոցը սեղմովի (փոշեցրիչ) կափույրն է, որը կարող է լինել թե՛ անդադար գործող, թե՛ դեղաչափող: Փաթեթվածքի համակարգի մեջ է մտնում նա</w:t>
      </w:r>
      <w:r>
        <w:rPr>
          <w:rFonts w:ascii="Sylfaen" w:hAnsi="Sylfaen"/>
          <w:sz w:val="24"/>
          <w:szCs w:val="24"/>
        </w:rPr>
        <w:t>եւ</w:t>
      </w:r>
      <w:r w:rsidRPr="00394A09">
        <w:rPr>
          <w:rFonts w:ascii="Sylfaen" w:hAnsi="Sylfaen"/>
          <w:sz w:val="24"/>
          <w:szCs w:val="24"/>
        </w:rPr>
        <w:t xml:space="preserve"> ապահովիչ թասակը, որոշ դեպքերում էլ՝ փոշեցրիչ գլխադիրը (փոշարարը):</w:t>
      </w:r>
    </w:p>
    <w:p w14:paraId="2A5098B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Աերոզոլների, փրփուրների, ցողաշթերի փոշեցրման </w:t>
      </w:r>
      <w:r>
        <w:rPr>
          <w:rFonts w:ascii="Sylfaen" w:hAnsi="Sylfaen"/>
          <w:sz w:val="24"/>
          <w:szCs w:val="24"/>
        </w:rPr>
        <w:t>եւ</w:t>
      </w:r>
      <w:r w:rsidRPr="00394A09">
        <w:rPr>
          <w:rFonts w:ascii="Sylfaen" w:hAnsi="Sylfaen"/>
          <w:sz w:val="24"/>
          <w:szCs w:val="24"/>
        </w:rPr>
        <w:t xml:space="preserve"> դեղաչափման համակարգերը կարող են տարբեր տեսակների </w:t>
      </w:r>
      <w:r>
        <w:rPr>
          <w:rFonts w:ascii="Sylfaen" w:hAnsi="Sylfaen"/>
          <w:sz w:val="24"/>
          <w:szCs w:val="24"/>
        </w:rPr>
        <w:t>եւ</w:t>
      </w:r>
      <w:r w:rsidRPr="00394A09">
        <w:rPr>
          <w:rFonts w:ascii="Sylfaen" w:hAnsi="Sylfaen"/>
          <w:sz w:val="24"/>
          <w:szCs w:val="24"/>
        </w:rPr>
        <w:t xml:space="preserve"> ձ</w:t>
      </w:r>
      <w:r>
        <w:rPr>
          <w:rFonts w:ascii="Sylfaen" w:hAnsi="Sylfaen"/>
          <w:sz w:val="24"/>
          <w:szCs w:val="24"/>
        </w:rPr>
        <w:t>եւ</w:t>
      </w:r>
      <w:r w:rsidRPr="00394A09">
        <w:rPr>
          <w:rFonts w:ascii="Sylfaen" w:hAnsi="Sylfaen"/>
          <w:sz w:val="24"/>
          <w:szCs w:val="24"/>
        </w:rPr>
        <w:t>երի լինել, օրինակ՝ սրվակը կարող է խցանափակվել շրջասեղմիչ միկրոցողաշթով՝ բաժնավորիչով, ուղղորդող փոշեցրիչ խողովակ ունեցող գլխադիրով եւ այլ սարքվածքներով:</w:t>
      </w:r>
    </w:p>
    <w:p w14:paraId="70FF831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Շնչառման դեղապատրաստուկների փաթեթվածքը կարող է ներառել դեղաչափող սարքվածքը </w:t>
      </w:r>
      <w:r>
        <w:rPr>
          <w:rFonts w:ascii="Sylfaen" w:hAnsi="Sylfaen"/>
          <w:sz w:val="24"/>
          <w:szCs w:val="24"/>
        </w:rPr>
        <w:t>եւ</w:t>
      </w:r>
      <w:r w:rsidRPr="00394A09">
        <w:rPr>
          <w:rFonts w:ascii="Sylfaen" w:hAnsi="Sylfaen"/>
          <w:sz w:val="24"/>
          <w:szCs w:val="24"/>
        </w:rPr>
        <w:t xml:space="preserve"> լինել բազմադեղաչափ </w:t>
      </w:r>
      <w:r>
        <w:rPr>
          <w:rFonts w:ascii="Sylfaen" w:hAnsi="Sylfaen"/>
          <w:sz w:val="24"/>
          <w:szCs w:val="24"/>
        </w:rPr>
        <w:t>եւ</w:t>
      </w:r>
      <w:r w:rsidRPr="00394A09">
        <w:rPr>
          <w:rFonts w:ascii="Sylfaen" w:hAnsi="Sylfaen"/>
          <w:sz w:val="24"/>
          <w:szCs w:val="24"/>
        </w:rPr>
        <w:t xml:space="preserve"> միադեղաչափ:</w:t>
      </w:r>
    </w:p>
    <w:p w14:paraId="1555D93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Շնչառման դեղաչափված փոշիների փաթեթվածքներն անհատական շնչառման սարքերն են՝ կապսուլային (սպինհալեր, ռոտահալեր, դիսկhալեր), պահոցային (տուրբուհալեր, ցիկլոհալեր, իզիհալեր), բազմադեղաչափված (մուլտիդիսկ), որոնք ապահովում են ազդող նյութի դեղաչափումը </w:t>
      </w:r>
      <w:r>
        <w:rPr>
          <w:rFonts w:ascii="Sylfaen" w:hAnsi="Sylfaen"/>
          <w:sz w:val="24"/>
          <w:szCs w:val="24"/>
        </w:rPr>
        <w:t>եւ</w:t>
      </w:r>
      <w:r w:rsidRPr="00394A09">
        <w:rPr>
          <w:rFonts w:ascii="Sylfaen" w:hAnsi="Sylfaen"/>
          <w:sz w:val="24"/>
          <w:szCs w:val="24"/>
        </w:rPr>
        <w:t xml:space="preserve"> ներարկումը (հասցնելը) դեպի շնչառական ուղիներ:</w:t>
      </w:r>
    </w:p>
    <w:p w14:paraId="1979BE6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Աերոզոլների, փրփուրների, ցողաշթերի, շնչառման դեղապատրաստուկների երկրորդային (սպառողական) փաթեթվածքները ստվարաթղթե կապոցներն են:</w:t>
      </w:r>
    </w:p>
    <w:p w14:paraId="6E8A8FE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 xml:space="preserve">Մանրէազերծ դեղապատրաստուկների, ներառյալ՝ պարենտերալ կիրառման, ակնաբուժական կիրառման </w:t>
      </w:r>
      <w:r>
        <w:rPr>
          <w:rFonts w:ascii="Sylfaen" w:hAnsi="Sylfaen"/>
          <w:i/>
          <w:sz w:val="24"/>
          <w:szCs w:val="24"/>
        </w:rPr>
        <w:t>եւ</w:t>
      </w:r>
      <w:r w:rsidRPr="00394A09">
        <w:rPr>
          <w:rFonts w:ascii="Sylfaen" w:hAnsi="Sylfaen"/>
          <w:i/>
          <w:sz w:val="24"/>
          <w:szCs w:val="24"/>
        </w:rPr>
        <w:t xml:space="preserve"> այլ դեղապատրաստուկների համար նախատեսված փաթեթավորման առանձնահատկությունները:</w:t>
      </w:r>
      <w:r w:rsidRPr="00394A09">
        <w:rPr>
          <w:rFonts w:ascii="Sylfaen" w:hAnsi="Sylfaen"/>
          <w:sz w:val="24"/>
          <w:szCs w:val="24"/>
        </w:rPr>
        <w:t xml:space="preserve"> Մանրէազերծ դեղապատրաստուկների փաթեթվածքի ընտրությունը կախված է դեղապատրաստուկի արտադրության տեխնոլոգիական գործընթացից, դրա նշանակությունից </w:t>
      </w:r>
      <w:r>
        <w:rPr>
          <w:rFonts w:ascii="Sylfaen" w:hAnsi="Sylfaen"/>
          <w:sz w:val="24"/>
          <w:szCs w:val="24"/>
        </w:rPr>
        <w:t>եւ</w:t>
      </w:r>
      <w:r w:rsidRPr="00394A09">
        <w:rPr>
          <w:rFonts w:ascii="Sylfaen" w:hAnsi="Sylfaen"/>
          <w:sz w:val="24"/>
          <w:szCs w:val="24"/>
        </w:rPr>
        <w:t xml:space="preserve"> այլ գործոններից:</w:t>
      </w:r>
    </w:p>
    <w:p w14:paraId="54C0190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Արտադրության տեխնոլոգիական գործընթացին համապատասխան՝ մանրէազերծ դեղապատրաստուկները կարող են ենթարկվել վերջնական </w:t>
      </w:r>
      <w:r w:rsidRPr="00394A09">
        <w:rPr>
          <w:rFonts w:ascii="Sylfaen" w:hAnsi="Sylfaen"/>
          <w:sz w:val="24"/>
          <w:szCs w:val="24"/>
        </w:rPr>
        <w:lastRenderedPageBreak/>
        <w:t xml:space="preserve">մանրէազերծման, ստացվել ասեպտիկ արտադրության պայմաններում, արտադրվել «փչում-լիցքավորում-մանրէազերծում» տեխնոլոգիայով </w:t>
      </w:r>
      <w:r>
        <w:rPr>
          <w:rFonts w:ascii="Sylfaen" w:hAnsi="Sylfaen"/>
          <w:sz w:val="24"/>
          <w:szCs w:val="24"/>
        </w:rPr>
        <w:t>եւ</w:t>
      </w:r>
      <w:r w:rsidRPr="00394A09">
        <w:rPr>
          <w:rFonts w:ascii="Sylfaen" w:hAnsi="Sylfaen"/>
          <w:sz w:val="24"/>
          <w:szCs w:val="24"/>
        </w:rPr>
        <w:t xml:space="preserve"> այլն:</w:t>
      </w:r>
    </w:p>
    <w:p w14:paraId="688D796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Վերջնական մանրէազերծման ենթարկվող դեղապատրաստուկների փաթեթվածքը պետք է թույլ տա դեղապատրաստուկները մանրէազերծել  մանրէազերծման կիրառվող մեթոդներից առնվազն մեկով:</w:t>
      </w:r>
    </w:p>
    <w:p w14:paraId="167796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 xml:space="preserve">Պարենտերալ կիրառման դեղապատրաստուկների </w:t>
      </w:r>
      <w:r w:rsidRPr="00394A09">
        <w:rPr>
          <w:rFonts w:ascii="Sylfaen" w:hAnsi="Sylfaen"/>
          <w:sz w:val="24"/>
          <w:szCs w:val="24"/>
        </w:rPr>
        <w:t>համար օգտագործվում են առաջնային փաթեթվածքի տարբեր տեսակներ ու ձ</w:t>
      </w:r>
      <w:r>
        <w:rPr>
          <w:rFonts w:ascii="Sylfaen" w:hAnsi="Sylfaen"/>
          <w:sz w:val="24"/>
          <w:szCs w:val="24"/>
        </w:rPr>
        <w:t>եւ</w:t>
      </w:r>
      <w:r w:rsidRPr="00394A09">
        <w:rPr>
          <w:rFonts w:ascii="Sylfaen" w:hAnsi="Sylfaen"/>
          <w:sz w:val="24"/>
          <w:szCs w:val="24"/>
        </w:rPr>
        <w:t>եր՝</w:t>
      </w:r>
    </w:p>
    <w:p w14:paraId="04DF02EB"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ապակուց </w:t>
      </w:r>
      <w:r>
        <w:rPr>
          <w:rFonts w:ascii="Sylfaen" w:hAnsi="Sylfaen"/>
          <w:sz w:val="24"/>
          <w:szCs w:val="24"/>
        </w:rPr>
        <w:t>եւ</w:t>
      </w:r>
      <w:r w:rsidRPr="00394A09">
        <w:rPr>
          <w:rFonts w:ascii="Sylfaen" w:hAnsi="Sylfaen"/>
          <w:sz w:val="24"/>
          <w:szCs w:val="24"/>
        </w:rPr>
        <w:t xml:space="preserve"> պոլիմերային նյութից պատրաստված տարբեր կոնֆիգուրացիաների զոդված ամպուլներ.</w:t>
      </w:r>
    </w:p>
    <w:p w14:paraId="7A7FA99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 դրոտից կամ ապակեզանգվածից պատրաստված սրվակներ՝ ռետինե խցաններով խցանափակված, թասակներով շրջասեղմված.</w:t>
      </w:r>
    </w:p>
    <w:p w14:paraId="0E99025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արյան, փոխներարկման </w:t>
      </w:r>
      <w:r>
        <w:rPr>
          <w:rFonts w:ascii="Sylfaen" w:hAnsi="Sylfaen"/>
          <w:sz w:val="24"/>
          <w:szCs w:val="24"/>
        </w:rPr>
        <w:t>եւ</w:t>
      </w:r>
      <w:r w:rsidRPr="00394A09">
        <w:rPr>
          <w:rFonts w:ascii="Sylfaen" w:hAnsi="Sylfaen"/>
          <w:sz w:val="24"/>
          <w:szCs w:val="24"/>
        </w:rPr>
        <w:t xml:space="preserve"> ինֆուզիոն պատրաստուկների համար ապակյա շշեր՝ ռետինե խցաններով խցանափակված, ալյումինե թասակներով կամ երկու թասակով, կամ ալյումինե միջադիրով </w:t>
      </w:r>
      <w:r>
        <w:rPr>
          <w:rFonts w:ascii="Sylfaen" w:hAnsi="Sylfaen"/>
          <w:sz w:val="24"/>
          <w:szCs w:val="24"/>
        </w:rPr>
        <w:t>եւ</w:t>
      </w:r>
      <w:r w:rsidRPr="00394A09">
        <w:rPr>
          <w:rFonts w:ascii="Sylfaen" w:hAnsi="Sylfaen"/>
          <w:sz w:val="24"/>
          <w:szCs w:val="24"/>
        </w:rPr>
        <w:t xml:space="preserve"> երկու ալյումինե թասակներով տոփանված.</w:t>
      </w:r>
    </w:p>
    <w:p w14:paraId="1EFC3F71"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պոլիմերային նյութից շշեր (սրվակներ)՝ հերմետիկ զոդված.</w:t>
      </w:r>
    </w:p>
    <w:p w14:paraId="4E1A987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պոլիմերային նյութից փաթեթներ (պարկեր)՝ հերմետիկ զոդված.</w:t>
      </w:r>
    </w:p>
    <w:p w14:paraId="6D589CFE"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ներարկիչ-պարկուճներ.</w:t>
      </w:r>
    </w:p>
    <w:p w14:paraId="7B8BB53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նախապես լցված ներարկիչներ.</w:t>
      </w:r>
    </w:p>
    <w:p w14:paraId="39B392B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F2D51">
        <w:rPr>
          <w:rFonts w:ascii="Sylfaen" w:hAnsi="Sylfaen"/>
          <w:sz w:val="24"/>
          <w:szCs w:val="24"/>
        </w:rPr>
        <w:tab/>
      </w:r>
      <w:r w:rsidRPr="00394A09">
        <w:rPr>
          <w:rFonts w:ascii="Sylfaen" w:hAnsi="Sylfaen"/>
          <w:sz w:val="24"/>
          <w:szCs w:val="24"/>
        </w:rPr>
        <w:t xml:space="preserve">քարթրիջներ </w:t>
      </w:r>
      <w:r>
        <w:rPr>
          <w:rFonts w:ascii="Sylfaen" w:hAnsi="Sylfaen"/>
          <w:sz w:val="24"/>
          <w:szCs w:val="24"/>
        </w:rPr>
        <w:t>եւ</w:t>
      </w:r>
      <w:r w:rsidRPr="00394A09">
        <w:rPr>
          <w:rFonts w:ascii="Sylfaen" w:hAnsi="Sylfaen"/>
          <w:sz w:val="24"/>
          <w:szCs w:val="24"/>
        </w:rPr>
        <w:t xml:space="preserve"> այլն:</w:t>
      </w:r>
    </w:p>
    <w:p w14:paraId="390F3B1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Պարենտերալ կիրառման դեղապատրաստուկների փաթեթվածքը կարող է լինել միադեղաչափ (ամպուլներ, քարթրիջներ, ներարկիչ-պարկուճներ, նախապես լցված ներարկիչներ, փաթեթներ) կամ բազմադեղաչափ (սրվակներ, շշեր):</w:t>
      </w:r>
    </w:p>
    <w:p w14:paraId="185A89F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Եթե մասնավոր դեղագրքային հոդվածում կամ որակի վերաբերյալ նորմատիվ փաստաթղթում այլ բան նշված չէ, ապա պարենտերալ կիրառման </w:t>
      </w:r>
      <w:r w:rsidRPr="00394A09">
        <w:rPr>
          <w:rFonts w:ascii="Sylfaen" w:hAnsi="Sylfaen"/>
          <w:sz w:val="24"/>
          <w:szCs w:val="24"/>
        </w:rPr>
        <w:lastRenderedPageBreak/>
        <w:t>դեղապատրաստուկների փաթեթվածքը պետք է բավականաչափ թափանցիկ լինի՝ պարունակության վիզուալ գնահատում անցկացնելու համար՝ բացառությամբ իմպլանտների համար փաթեթվածքի:</w:t>
      </w:r>
    </w:p>
    <w:p w14:paraId="646BB3CD"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Պարենտերալ կիրառման դեղապատրաստուկների առաջնային փաթեթվածքները պետք է խցանափակված լինեն վալիդացում անցած համապատասխան եղանակներով (զոդում, ռետինե կամ սիլիկոնե խցանով խցանափակում, թասակով շրջասեղմում): Օգտագործվող էլաստոմերային խցանափակման միջոցները կարող են տարբերվել ըստ ձ</w:t>
      </w:r>
      <w:r>
        <w:rPr>
          <w:rFonts w:ascii="Sylfaen" w:hAnsi="Sylfaen"/>
          <w:sz w:val="24"/>
          <w:szCs w:val="24"/>
        </w:rPr>
        <w:t>եւ</w:t>
      </w:r>
      <w:r w:rsidRPr="00394A09">
        <w:rPr>
          <w:rFonts w:ascii="Sylfaen" w:hAnsi="Sylfaen"/>
          <w:sz w:val="24"/>
          <w:szCs w:val="24"/>
        </w:rPr>
        <w:t xml:space="preserve">ի, չափսի, ունենալ հատուկ դիզայն, ինչը պայմանավորված է արտադրական գործընթացներով, օրինակ՝ լիոֆիլիզացմամբ: Ռետինե </w:t>
      </w:r>
      <w:r>
        <w:rPr>
          <w:rFonts w:ascii="Sylfaen" w:hAnsi="Sylfaen"/>
          <w:sz w:val="24"/>
          <w:szCs w:val="24"/>
        </w:rPr>
        <w:t>եւ</w:t>
      </w:r>
      <w:r w:rsidRPr="00394A09">
        <w:rPr>
          <w:rFonts w:ascii="Sylfaen" w:hAnsi="Sylfaen"/>
          <w:sz w:val="24"/>
          <w:szCs w:val="24"/>
        </w:rPr>
        <w:t xml:space="preserve"> սիլիկոնե խցանափակման միջոցները պետք է լինեն բավականաչափ առաձգական, ամուր, որպեսզի դրանք ասեղով ծակելու դեպքում պահպանվի ամբողջականությունը </w:t>
      </w:r>
      <w:r>
        <w:rPr>
          <w:rFonts w:ascii="Sylfaen" w:hAnsi="Sylfaen"/>
          <w:sz w:val="24"/>
          <w:szCs w:val="24"/>
        </w:rPr>
        <w:t>եւ</w:t>
      </w:r>
      <w:r w:rsidRPr="00394A09">
        <w:rPr>
          <w:rFonts w:ascii="Sylfaen" w:hAnsi="Sylfaen"/>
          <w:sz w:val="24"/>
          <w:szCs w:val="24"/>
        </w:rPr>
        <w:t xml:space="preserve"> ապահովվի փաթեթվածքի հերմետիկությունը՝ ասեղը խցանափակման միջոցից հանելուց հետո:</w:t>
      </w:r>
    </w:p>
    <w:p w14:paraId="12DDAEF8"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Պարենտերալ կիրառման դեղապատրաստուկների առաջնային փաթեթվածքի՝ ռետինե </w:t>
      </w:r>
      <w:r>
        <w:rPr>
          <w:rFonts w:ascii="Sylfaen" w:hAnsi="Sylfaen"/>
          <w:sz w:val="24"/>
          <w:szCs w:val="24"/>
        </w:rPr>
        <w:t>եւ</w:t>
      </w:r>
      <w:r w:rsidRPr="00394A09">
        <w:rPr>
          <w:rFonts w:ascii="Sylfaen" w:hAnsi="Sylfaen"/>
          <w:sz w:val="24"/>
          <w:szCs w:val="24"/>
        </w:rPr>
        <w:t xml:space="preserve"> սիլիկոնե խցաններով խցանափակման համակարգը ամբողջական է համարվում միայն այն բանից հետո, երբ խցանով խցանափակված փաթեթվածքի (սրվակի, շշի) վրա կշրջասեղմվի թասակը: Ալյումինե կամ պոլիմերային թասակները, որպես կանոն, ապահովում են փաթեթվածքի առաջին բացման հսկողությունը:</w:t>
      </w:r>
    </w:p>
    <w:p w14:paraId="5D8E1E5C"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Պարենտերալ կիրառման դեղապատրաստուկների սպառողական փաթեթվածքները տուփերն են (ներառյալ միջնապատերով տուփերը), կապոցները. ընդ որում, առաջնային փաթեթվածքով դեղապատրաստուկները (ամպուլներ, սրվակներ, քարթրիջներ </w:t>
      </w:r>
      <w:r>
        <w:rPr>
          <w:rFonts w:ascii="Sylfaen" w:hAnsi="Sylfaen"/>
          <w:sz w:val="24"/>
          <w:szCs w:val="24"/>
        </w:rPr>
        <w:t>եւ</w:t>
      </w:r>
      <w:r w:rsidRPr="00394A09">
        <w:rPr>
          <w:rFonts w:ascii="Sylfaen" w:hAnsi="Sylfaen"/>
          <w:sz w:val="24"/>
          <w:szCs w:val="24"/>
        </w:rPr>
        <w:t xml:space="preserve"> այլն) նախապես կարող են տեղադրվել միջանկյալ փաթեթվածքի մեջ (բլիստերներ </w:t>
      </w:r>
      <w:r>
        <w:rPr>
          <w:rFonts w:ascii="Sylfaen" w:hAnsi="Sylfaen"/>
          <w:sz w:val="24"/>
          <w:szCs w:val="24"/>
        </w:rPr>
        <w:t>եւ</w:t>
      </w:r>
      <w:r w:rsidRPr="00394A09">
        <w:rPr>
          <w:rFonts w:ascii="Sylfaen" w:hAnsi="Sylfaen"/>
          <w:sz w:val="24"/>
          <w:szCs w:val="24"/>
        </w:rPr>
        <w:t xml:space="preserve"> այլն):</w:t>
      </w:r>
    </w:p>
    <w:p w14:paraId="302F8717"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Քլորէթիլով</w:t>
      </w:r>
      <w:r w:rsidRPr="00394A09">
        <w:rPr>
          <w:rFonts w:ascii="Sylfaen" w:hAnsi="Sylfaen"/>
          <w:sz w:val="24"/>
          <w:szCs w:val="24"/>
        </w:rPr>
        <w:t xml:space="preserve"> ամպուլները փաթեթավորելիս որպես հարվածամեղմիչ թույլատրվում է կիրառել բժշկական ալիգնինը:</w:t>
      </w:r>
    </w:p>
    <w:p w14:paraId="2A5E44C4"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Լրակազմի մեջ լուծիչ պարունակող՝ </w:t>
      </w:r>
      <w:r w:rsidRPr="00394A09">
        <w:rPr>
          <w:rFonts w:ascii="Sylfaen" w:hAnsi="Sylfaen"/>
          <w:i/>
          <w:sz w:val="24"/>
          <w:szCs w:val="24"/>
        </w:rPr>
        <w:t>ներարկումների համար նախատեսված դեղապատրաստուկների</w:t>
      </w:r>
      <w:r w:rsidRPr="00394A09">
        <w:rPr>
          <w:rFonts w:ascii="Sylfaen" w:hAnsi="Sylfaen"/>
          <w:sz w:val="24"/>
          <w:szCs w:val="24"/>
        </w:rPr>
        <w:t xml:space="preserve"> փաթեթվածքը նշվում է մասնավոր դեղագրքային հոդվածում կամ որակի վերաբերյալ նորմատիվ փաստաթղթում։</w:t>
      </w:r>
    </w:p>
    <w:p w14:paraId="7D80CAA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Կոտրելու օղակ չունեցող ամպուլների փաթեթվածքի մեջ պետք է տեղադրված լինի ամպուլները բացելու համար հարմարանք՝ ամպուլային դանակ, սկարիֆիկատոր </w:t>
      </w:r>
      <w:r>
        <w:rPr>
          <w:rFonts w:ascii="Sylfaen" w:hAnsi="Sylfaen"/>
          <w:sz w:val="24"/>
          <w:szCs w:val="24"/>
        </w:rPr>
        <w:t>եւ</w:t>
      </w:r>
      <w:r w:rsidRPr="00394A09">
        <w:rPr>
          <w:rFonts w:ascii="Sylfaen" w:hAnsi="Sylfaen"/>
          <w:sz w:val="24"/>
          <w:szCs w:val="24"/>
        </w:rPr>
        <w:t xml:space="preserve"> այլն:</w:t>
      </w:r>
    </w:p>
    <w:p w14:paraId="50EB2C0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Իմպլանտները </w:t>
      </w:r>
      <w:r>
        <w:rPr>
          <w:rFonts w:ascii="Sylfaen" w:hAnsi="Sylfaen"/>
          <w:sz w:val="24"/>
          <w:szCs w:val="24"/>
        </w:rPr>
        <w:t>եւ</w:t>
      </w:r>
      <w:r w:rsidRPr="00394A09">
        <w:rPr>
          <w:rFonts w:ascii="Sylfaen" w:hAnsi="Sylfaen"/>
          <w:sz w:val="24"/>
          <w:szCs w:val="24"/>
        </w:rPr>
        <w:t xml:space="preserve"> ներպատվաստման հաբերը փաթեթավորվում են անհատական մանրէազերծ փաթեթվածքների մեջ: </w:t>
      </w:r>
    </w:p>
    <w:p w14:paraId="6904EDC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pacing w:val="-4"/>
          <w:sz w:val="24"/>
          <w:szCs w:val="24"/>
        </w:rPr>
        <w:t>Ակնաբուժական կիրառման դեղապատրաստուկների</w:t>
      </w:r>
      <w:r w:rsidRPr="00394A09">
        <w:rPr>
          <w:rFonts w:ascii="Sylfaen" w:hAnsi="Sylfaen"/>
          <w:spacing w:val="-4"/>
          <w:sz w:val="24"/>
          <w:szCs w:val="24"/>
        </w:rPr>
        <w:t xml:space="preserve"> համար օգտագործվում է միադեղաչափ եւ բազմադեղաչափ փաթեթվածք՝ չարտոնված բացելուց պաշտպանությամբ</w:t>
      </w:r>
      <w:r w:rsidRPr="00394A09">
        <w:rPr>
          <w:rFonts w:ascii="Sylfaen" w:hAnsi="Sylfaen"/>
          <w:sz w:val="24"/>
          <w:szCs w:val="24"/>
        </w:rPr>
        <w:t>:</w:t>
      </w:r>
    </w:p>
    <w:p w14:paraId="7D22879D" w14:textId="77777777" w:rsidR="00AF2D51" w:rsidRPr="00394A09" w:rsidRDefault="00AF2D51" w:rsidP="00AF2D51">
      <w:pPr>
        <w:spacing w:after="160" w:line="341" w:lineRule="auto"/>
        <w:ind w:firstLine="567"/>
        <w:jc w:val="both"/>
      </w:pPr>
      <w:r w:rsidRPr="00394A09">
        <w:t xml:space="preserve">Աչքի կաթիլների առաջնային փաթեթվածքները մանրէազերծ սրվակներն են, սրվակ-կաթոցիչները, պարկուճ-կաթոցիչները: Աչքի կաթիլների միադեղաչափ փաթեթվածքն ապահովում է պարունակության մանրէազերծության </w:t>
      </w:r>
      <w:r>
        <w:t>եւ</w:t>
      </w:r>
      <w:r w:rsidRPr="00394A09">
        <w:t xml:space="preserve"> դեղաչափող սարքվածքի պահպանումը՝ մինչ</w:t>
      </w:r>
      <w:r>
        <w:t>եւ</w:t>
      </w:r>
      <w:r w:rsidRPr="00394A09">
        <w:t xml:space="preserve"> օգտագործման պահը:</w:t>
      </w:r>
    </w:p>
    <w:p w14:paraId="30B98534"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 xml:space="preserve">Աչքի քսուքների </w:t>
      </w:r>
      <w:r>
        <w:rPr>
          <w:rFonts w:ascii="Sylfaen" w:hAnsi="Sylfaen"/>
          <w:sz w:val="24"/>
          <w:szCs w:val="24"/>
        </w:rPr>
        <w:t>եւ</w:t>
      </w:r>
      <w:r w:rsidRPr="00394A09">
        <w:rPr>
          <w:rFonts w:ascii="Sylfaen" w:hAnsi="Sylfaen"/>
          <w:sz w:val="24"/>
          <w:szCs w:val="24"/>
        </w:rPr>
        <w:t xml:space="preserve"> գելերի առաջնային փաթեթվածքը մանրէազերծ, սեղմվող պարկուճներ են՝ ներկառուցված կամ կցված ծայրակալով:</w:t>
      </w:r>
    </w:p>
    <w:p w14:paraId="5837D669"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Աչքի յուրաքանչյուր թաղանթ/իմպլանտատ բլիստերների, պատյանների եւ այլնի մեջ տեղադրելուց առաջ փաթեթավորում են առանձին:</w:t>
      </w:r>
    </w:p>
    <w:p w14:paraId="71294EA9"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Պարենտերալ, ակնաբուժական կիրառման կամ վնասված մաշկի վրա քսելու համար նախատեսված դեղակախույթներն ու էմուլսիաները պետք է տեղադրվեն մանրէազերծ, հերմետիկորեն խցանափակված փաթեթվածքի մեջ:</w:t>
      </w:r>
    </w:p>
    <w:p w14:paraId="58BBA566"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 xml:space="preserve">Արտաքին գործոնների ազդեցությունից դեղամիջոցի պահանջվող պաշտպանությունն ապահովելու համար փաթեթվածքն ընտրելիս անհրաժեշտ է իմանալ </w:t>
      </w:r>
      <w:r>
        <w:rPr>
          <w:rFonts w:ascii="Sylfaen" w:hAnsi="Sylfaen"/>
          <w:sz w:val="24"/>
          <w:szCs w:val="24"/>
        </w:rPr>
        <w:t>եւ</w:t>
      </w:r>
      <w:r w:rsidRPr="00394A09">
        <w:rPr>
          <w:rFonts w:ascii="Sylfaen" w:hAnsi="Sylfaen"/>
          <w:sz w:val="24"/>
          <w:szCs w:val="24"/>
        </w:rPr>
        <w:t xml:space="preserve"> հաշվի առնել </w:t>
      </w:r>
      <w:r w:rsidRPr="00394A09">
        <w:rPr>
          <w:rFonts w:ascii="Sylfaen" w:hAnsi="Sylfaen"/>
          <w:i/>
          <w:sz w:val="24"/>
          <w:szCs w:val="24"/>
        </w:rPr>
        <w:t>փաթեթվածքի տարրերի</w:t>
      </w:r>
      <w:r w:rsidRPr="00394A09">
        <w:rPr>
          <w:rFonts w:ascii="Sylfaen" w:hAnsi="Sylfaen"/>
          <w:sz w:val="24"/>
          <w:szCs w:val="24"/>
        </w:rPr>
        <w:t xml:space="preserve">՝ փաթեթավորման նյութերի, խցանափակման միջոցների </w:t>
      </w:r>
      <w:r w:rsidRPr="00394A09">
        <w:rPr>
          <w:rFonts w:ascii="Sylfaen" w:hAnsi="Sylfaen"/>
          <w:i/>
          <w:sz w:val="24"/>
          <w:szCs w:val="24"/>
        </w:rPr>
        <w:t>պաշտպանական հատկությունները</w:t>
      </w:r>
      <w:r w:rsidRPr="00394A09">
        <w:rPr>
          <w:rFonts w:ascii="Sylfaen" w:hAnsi="Sylfaen"/>
          <w:sz w:val="24"/>
          <w:szCs w:val="24"/>
        </w:rPr>
        <w:t>:</w:t>
      </w:r>
    </w:p>
    <w:p w14:paraId="31C52B92"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 xml:space="preserve">Ապակե </w:t>
      </w:r>
      <w:r>
        <w:rPr>
          <w:rFonts w:ascii="Sylfaen" w:hAnsi="Sylfaen"/>
          <w:sz w:val="24"/>
          <w:szCs w:val="24"/>
        </w:rPr>
        <w:t>եւ</w:t>
      </w:r>
      <w:r w:rsidRPr="00394A09">
        <w:rPr>
          <w:rFonts w:ascii="Sylfaen" w:hAnsi="Sylfaen"/>
          <w:sz w:val="24"/>
          <w:szCs w:val="24"/>
        </w:rPr>
        <w:t xml:space="preserve"> մետաղյա փաթեթավորման նյութերը, ալյումինե փայլաթիթեղի հիմքով համակցված փաթեթավորման նյութերը պաշտպանում են փաթեթվածքի պարունակությունը ցնդելուց (գոլորշիացումից, թափանցելիությունից), խոնավափոխանակումից ու գազափոխանակումից, դրսից միկրոօրգանիզմների ներթափանցումից:</w:t>
      </w:r>
    </w:p>
    <w:p w14:paraId="742560F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Պոլիմերային նյութերը </w:t>
      </w:r>
      <w:r>
        <w:rPr>
          <w:rFonts w:ascii="Sylfaen" w:hAnsi="Sylfaen"/>
          <w:sz w:val="24"/>
          <w:szCs w:val="24"/>
        </w:rPr>
        <w:t>եւ</w:t>
      </w:r>
      <w:r w:rsidRPr="00394A09">
        <w:rPr>
          <w:rFonts w:ascii="Sylfaen" w:hAnsi="Sylfaen"/>
          <w:sz w:val="24"/>
          <w:szCs w:val="24"/>
        </w:rPr>
        <w:t xml:space="preserve"> թղթի </w:t>
      </w:r>
      <w:r>
        <w:rPr>
          <w:rFonts w:ascii="Sylfaen" w:hAnsi="Sylfaen"/>
          <w:sz w:val="24"/>
          <w:szCs w:val="24"/>
        </w:rPr>
        <w:t>եւ</w:t>
      </w:r>
      <w:r w:rsidRPr="00394A09">
        <w:rPr>
          <w:rFonts w:ascii="Sylfaen" w:hAnsi="Sylfaen"/>
          <w:sz w:val="24"/>
          <w:szCs w:val="24"/>
        </w:rPr>
        <w:t xml:space="preserve"> ստվարաթղթի հիմքով համակցված նյութերը պաշտպանում են փաթեթվածքի պարունակությունը մթնոլորտային միկրոֆլորայի ներթափանցումից. դեղամիջոցների ցնդելուց պաշտպանության աստիճանը, այդ նյութերի խոնավաթափանցելիությունը, գոլորշաթափանցելիությունն ու գազաթափանցելիությունը կախված են ինչպես կիրառվող փաթեթավորման նյութի տեսակից, այնպես էլ դեղապատրաստուկի բաղադրության մեջ մտնող ազդող </w:t>
      </w:r>
      <w:r>
        <w:rPr>
          <w:rFonts w:ascii="Sylfaen" w:hAnsi="Sylfaen"/>
          <w:sz w:val="24"/>
          <w:szCs w:val="24"/>
        </w:rPr>
        <w:t>եւ</w:t>
      </w:r>
      <w:r w:rsidRPr="00394A09">
        <w:rPr>
          <w:rFonts w:ascii="Sylfaen" w:hAnsi="Sylfaen"/>
          <w:sz w:val="24"/>
          <w:szCs w:val="24"/>
        </w:rPr>
        <w:t xml:space="preserve"> օժանդակ նյութերի հատկություններից, դեղամիջոցի կայունությանն ու պիտանիության ժամկետին ներկայացվող պահանջներից, դրա պահման պայմաններից:</w:t>
      </w:r>
    </w:p>
    <w:p w14:paraId="5906F21F"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Պոլիմերային նյութերի գոլորշաթափանցելիությունն ու գազաթափանցելիությունն անհրաժեշտ է հաշվի առնել մանրէազերծման ենթակա դեղապատրաստուկների համար օպտիմալ փաթեթվածքն ընտրելիս, քանի որ պոլիմերային նյութերի առանձին մակնիշներից պատրաստված փաթեթվածքները կիսաթափանցելի են:</w:t>
      </w:r>
    </w:p>
    <w:p w14:paraId="7A838738"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pacing w:val="-4"/>
          <w:sz w:val="24"/>
          <w:szCs w:val="24"/>
        </w:rPr>
        <w:t>Թղթից եւ ստվարաթղթից պատրաստված փաթեթվածքը նվազագույն չափով է պաշտպանում</w:t>
      </w:r>
      <w:r w:rsidRPr="00394A09">
        <w:rPr>
          <w:rFonts w:ascii="Sylfaen" w:hAnsi="Sylfaen"/>
          <w:sz w:val="24"/>
          <w:szCs w:val="24"/>
        </w:rPr>
        <w:t xml:space="preserve"> դեղամիջոցները մթնոլորտային միջավայրի հետ փոխազդելուց:</w:t>
      </w:r>
    </w:p>
    <w:p w14:paraId="22E76821" w14:textId="77777777" w:rsidR="00AF2D51" w:rsidRPr="00394A09" w:rsidRDefault="00AF2D51" w:rsidP="00AF2D51">
      <w:pPr>
        <w:tabs>
          <w:tab w:val="left" w:pos="2568"/>
        </w:tabs>
        <w:spacing w:after="160" w:line="341" w:lineRule="auto"/>
        <w:ind w:firstLine="567"/>
        <w:jc w:val="both"/>
      </w:pPr>
      <w:r w:rsidRPr="00394A09">
        <w:t>Լուսային հոսքից դեղամիջոցի պաշտպանությունն ապահովում է նարնջագույն լուսապաշտպանիչ ապակուց, մետաղից, ալյումինե փայլաթիթեղից, տիտանի դիօքսիդով գունավորված կամ պղտորված պոլիմերային նյութերից պատրաստված փաթեթվածքը:</w:t>
      </w:r>
    </w:p>
    <w:p w14:paraId="22928C56"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Լույսի նկատմամբ առանձնապես զգայուն ակտիվ դեղագործական բաղադրամասերի (արծաթի նիտրատի, պրոզերինի)՝ լուսապաշտպանիչ ապակուց փաթեթվածքն առաջարկվում է սոսնձապատել ս</w:t>
      </w:r>
      <w:r>
        <w:rPr>
          <w:rFonts w:ascii="Sylfaen" w:hAnsi="Sylfaen"/>
          <w:sz w:val="24"/>
          <w:szCs w:val="24"/>
        </w:rPr>
        <w:t>եւ</w:t>
      </w:r>
      <w:r w:rsidRPr="00394A09">
        <w:rPr>
          <w:rFonts w:ascii="Sylfaen" w:hAnsi="Sylfaen"/>
          <w:sz w:val="24"/>
          <w:szCs w:val="24"/>
        </w:rPr>
        <w:t xml:space="preserve"> լուսանթափանց թղթով:</w:t>
      </w:r>
    </w:p>
    <w:p w14:paraId="6B1E8A9E"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 xml:space="preserve">Լույսի ճառագայթման ազդեցությունից դեղամիջոցի պաշտպանությունն ապահովելու համար ստվարաթղթից, թղթից պատրաստված փաթեթվածքի օգտագործումը հնարավոր է ստվարաթղթից </w:t>
      </w:r>
      <w:r>
        <w:rPr>
          <w:rFonts w:ascii="Sylfaen" w:hAnsi="Sylfaen"/>
          <w:sz w:val="24"/>
          <w:szCs w:val="24"/>
        </w:rPr>
        <w:t>եւ</w:t>
      </w:r>
      <w:r w:rsidRPr="00394A09">
        <w:rPr>
          <w:rFonts w:ascii="Sylfaen" w:hAnsi="Sylfaen"/>
          <w:sz w:val="24"/>
          <w:szCs w:val="24"/>
        </w:rPr>
        <w:t xml:space="preserve"> թղթից պատրաստված փաթեթավորման նյութերի օգտագործվող մակնիշների լուսապաշտպանիչ հատկությունները սպեկտրի համապատասխան հատվածում հաստատվելու դեպքում:</w:t>
      </w:r>
    </w:p>
    <w:p w14:paraId="0DB8C54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Եթե դեղամիջոցի պահման </w:t>
      </w:r>
      <w:r>
        <w:rPr>
          <w:rFonts w:ascii="Sylfaen" w:hAnsi="Sylfaen"/>
          <w:sz w:val="24"/>
          <w:szCs w:val="24"/>
        </w:rPr>
        <w:t>եւ</w:t>
      </w:r>
      <w:r w:rsidRPr="00394A09">
        <w:rPr>
          <w:rFonts w:ascii="Sylfaen" w:hAnsi="Sylfaen"/>
          <w:sz w:val="24"/>
          <w:szCs w:val="24"/>
        </w:rPr>
        <w:t xml:space="preserve"> փոխադրման ժամանակ թույլատրվում է ցածր ջերմաստիճանի ազդեցությունը, ապա փաթեթավորման նյութն ընտրելիս անհրաժեշտ է հաշվի առնել փաթեթվածքի վնասման </w:t>
      </w:r>
      <w:r>
        <w:rPr>
          <w:rFonts w:ascii="Sylfaen" w:hAnsi="Sylfaen"/>
          <w:sz w:val="24"/>
          <w:szCs w:val="24"/>
        </w:rPr>
        <w:t>եւ</w:t>
      </w:r>
      <w:r w:rsidRPr="00394A09">
        <w:rPr>
          <w:rFonts w:ascii="Sylfaen" w:hAnsi="Sylfaen"/>
          <w:sz w:val="24"/>
          <w:szCs w:val="24"/>
        </w:rPr>
        <w:t xml:space="preserve"> այն սառելու դեպքում՝ պարունակության կորստի ռիսկը:</w:t>
      </w:r>
    </w:p>
    <w:p w14:paraId="04746A8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Պաշտպանիչ հատկություններն ավելանում են փաթեթվածքի նյութի (պատերի) հաստության </w:t>
      </w:r>
      <w:r>
        <w:rPr>
          <w:rFonts w:ascii="Sylfaen" w:hAnsi="Sylfaen"/>
          <w:sz w:val="24"/>
          <w:szCs w:val="24"/>
        </w:rPr>
        <w:t>եւ</w:t>
      </w:r>
      <w:r w:rsidRPr="00394A09">
        <w:rPr>
          <w:rFonts w:ascii="Sylfaen" w:hAnsi="Sylfaen"/>
          <w:sz w:val="24"/>
          <w:szCs w:val="24"/>
        </w:rPr>
        <w:t xml:space="preserve"> փաթեթվածքի խցանափակման հերմետիկության ավելացմանը զուգահեռ:</w:t>
      </w:r>
    </w:p>
    <w:p w14:paraId="012809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Ռետինե խցանների նյութը կարող է ապահովել լույսի ազդեցությունից, միկրոօրգանիզմների ներթափանցումից, ցնդելուց (գոլորշիացումից, թափանցելիությունից) պաշտպանությունը. գազաթափանցելիությունից պաշտպանության աստիճանը կախված է ռետինե նյութի ֆիզիկական </w:t>
      </w:r>
      <w:r>
        <w:rPr>
          <w:rFonts w:ascii="Sylfaen" w:hAnsi="Sylfaen"/>
          <w:sz w:val="24"/>
          <w:szCs w:val="24"/>
        </w:rPr>
        <w:t>եւ</w:t>
      </w:r>
      <w:r w:rsidRPr="00394A09">
        <w:rPr>
          <w:rFonts w:ascii="Sylfaen" w:hAnsi="Sylfaen"/>
          <w:sz w:val="24"/>
          <w:szCs w:val="24"/>
        </w:rPr>
        <w:t xml:space="preserve"> քիմիական հատկություններից, դեղամիջոցի բաղադրությունից </w:t>
      </w:r>
      <w:r>
        <w:rPr>
          <w:rFonts w:ascii="Sylfaen" w:hAnsi="Sylfaen"/>
          <w:sz w:val="24"/>
          <w:szCs w:val="24"/>
        </w:rPr>
        <w:t>եւ</w:t>
      </w:r>
      <w:r w:rsidRPr="00394A09">
        <w:rPr>
          <w:rFonts w:ascii="Sylfaen" w:hAnsi="Sylfaen"/>
          <w:sz w:val="24"/>
          <w:szCs w:val="24"/>
        </w:rPr>
        <w:t xml:space="preserve"> հատկություններից, դրա քանակությունից, ջերմաստիճանից:</w:t>
      </w:r>
    </w:p>
    <w:p w14:paraId="780AC78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5094F8B5" w14:textId="77777777" w:rsidR="00AF2D51" w:rsidRPr="00AF2D51" w:rsidRDefault="00AF2D51" w:rsidP="00AF2D51">
      <w:pPr>
        <w:pStyle w:val="a0"/>
        <w:shd w:val="clear" w:color="auto" w:fill="auto"/>
        <w:spacing w:after="160" w:line="360" w:lineRule="auto"/>
        <w:ind w:firstLine="567"/>
        <w:jc w:val="right"/>
        <w:rPr>
          <w:rFonts w:ascii="Sylfaen" w:hAnsi="Sylfaen"/>
          <w:b/>
          <w:szCs w:val="24"/>
        </w:rPr>
      </w:pPr>
      <w:r w:rsidRPr="00394A09">
        <w:rPr>
          <w:rFonts w:ascii="Sylfaen" w:hAnsi="Sylfaen"/>
          <w:b/>
          <w:szCs w:val="24"/>
        </w:rPr>
        <w:t>204020002-2022</w:t>
      </w:r>
    </w:p>
    <w:p w14:paraId="7E161064" w14:textId="77777777" w:rsidR="00AF2D51" w:rsidRPr="00AF2D51" w:rsidRDefault="00AF2D51" w:rsidP="00AF2D51">
      <w:pPr>
        <w:pStyle w:val="a0"/>
        <w:shd w:val="clear" w:color="auto" w:fill="auto"/>
        <w:spacing w:after="160" w:line="360" w:lineRule="auto"/>
        <w:ind w:firstLine="567"/>
        <w:jc w:val="right"/>
        <w:rPr>
          <w:rFonts w:ascii="Sylfaen" w:hAnsi="Sylfaen" w:cs="Sylfaen"/>
          <w:szCs w:val="24"/>
        </w:rPr>
      </w:pPr>
    </w:p>
    <w:p w14:paraId="2F7FC7F6" w14:textId="77777777" w:rsidR="00AF2D51" w:rsidRPr="00394A09" w:rsidRDefault="00AF2D51" w:rsidP="00AF2D51">
      <w:pPr>
        <w:pStyle w:val="a0"/>
        <w:shd w:val="clear" w:color="auto" w:fill="auto"/>
        <w:tabs>
          <w:tab w:val="left" w:pos="1701"/>
        </w:tabs>
        <w:spacing w:after="160" w:line="360" w:lineRule="auto"/>
        <w:ind w:firstLine="567"/>
        <w:jc w:val="both"/>
        <w:rPr>
          <w:rFonts w:ascii="Sylfaen" w:hAnsi="Sylfaen" w:cs="Sylfaen"/>
          <w:sz w:val="24"/>
          <w:szCs w:val="24"/>
        </w:rPr>
      </w:pPr>
      <w:r w:rsidRPr="00394A09">
        <w:rPr>
          <w:rFonts w:ascii="Sylfaen" w:hAnsi="Sylfaen"/>
          <w:b/>
          <w:sz w:val="24"/>
          <w:szCs w:val="24"/>
        </w:rPr>
        <w:t>2.4.2.2</w:t>
      </w:r>
      <w:r w:rsidRPr="00AF2D51">
        <w:rPr>
          <w:rFonts w:ascii="Sylfaen" w:hAnsi="Sylfaen"/>
          <w:b/>
          <w:sz w:val="24"/>
          <w:szCs w:val="24"/>
        </w:rPr>
        <w:t>.</w:t>
      </w:r>
      <w:r w:rsidRPr="00AF2D51">
        <w:rPr>
          <w:rFonts w:ascii="Sylfaen" w:hAnsi="Sylfaen"/>
          <w:b/>
          <w:sz w:val="24"/>
          <w:szCs w:val="24"/>
        </w:rPr>
        <w:tab/>
      </w:r>
      <w:r w:rsidRPr="00394A09">
        <w:rPr>
          <w:rFonts w:ascii="Sylfaen" w:hAnsi="Sylfaen"/>
          <w:b/>
          <w:sz w:val="24"/>
          <w:szCs w:val="24"/>
        </w:rPr>
        <w:t>Դեղագործական կիրառման ապակյա փաթեթվածք</w:t>
      </w:r>
    </w:p>
    <w:p w14:paraId="5426F71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Դեղագործական կիրառման համար ապակուց պատրաստված փաթեթվածքները (փաթեթվածքներ) դեղապատրաստուկների հետ անմիջական շփման մեջ գտնվող ապակուց արտադրատեսակներն են:</w:t>
      </w:r>
    </w:p>
    <w:p w14:paraId="75E3101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Անգույն ապակին</w:t>
      </w:r>
      <w:r w:rsidRPr="00394A09">
        <w:rPr>
          <w:rFonts w:ascii="Sylfaen" w:hAnsi="Sylfaen"/>
          <w:sz w:val="24"/>
          <w:szCs w:val="24"/>
        </w:rPr>
        <w:t xml:space="preserve"> ունի բարձր լուսանթափանցելիություն սպեկտրի տեսանելի հատվածում:</w:t>
      </w:r>
    </w:p>
    <w:p w14:paraId="22EC31AC" w14:textId="77777777" w:rsidR="00AF2D51" w:rsidRPr="00AF2D51"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i/>
          <w:sz w:val="24"/>
          <w:szCs w:val="24"/>
        </w:rPr>
        <w:t>Գունավորված ապակին</w:t>
      </w:r>
      <w:r w:rsidRPr="00394A09">
        <w:rPr>
          <w:rFonts w:ascii="Sylfaen" w:hAnsi="Sylfaen"/>
          <w:sz w:val="24"/>
          <w:szCs w:val="24"/>
        </w:rPr>
        <w:t xml:space="preserve"> ստանում են անհրաժեշտ սպեկտրային կլանմանը համապատասխան ընտրված՝ մետաղների օքսիդների փոքր քանակությունների ավելացմամբ:</w:t>
      </w:r>
    </w:p>
    <w:p w14:paraId="5A3A50B3" w14:textId="77777777" w:rsidR="00AF2D51" w:rsidRPr="00AF2D51" w:rsidRDefault="00AF2D51" w:rsidP="00AF2D51">
      <w:pPr>
        <w:pStyle w:val="a0"/>
        <w:shd w:val="clear" w:color="auto" w:fill="auto"/>
        <w:spacing w:after="160" w:line="360" w:lineRule="auto"/>
        <w:ind w:firstLine="567"/>
        <w:jc w:val="both"/>
        <w:rPr>
          <w:rFonts w:ascii="Sylfaen" w:hAnsi="Sylfaen" w:cs="Sylfaen"/>
          <w:sz w:val="24"/>
          <w:szCs w:val="24"/>
        </w:rPr>
      </w:pPr>
    </w:p>
    <w:p w14:paraId="0A36CC3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Չեզոք ապակին</w:t>
      </w:r>
      <w:r w:rsidRPr="00394A09">
        <w:rPr>
          <w:rFonts w:ascii="Sylfaen" w:hAnsi="Sylfaen"/>
          <w:sz w:val="24"/>
          <w:szCs w:val="24"/>
        </w:rPr>
        <w:t xml:space="preserve"> բորասիլիկատային ապակին է, որը պարունակում է բորի օքսիդի, ալյումինի օքսիդի, ալկալիական մետաղների օքսիդների </w:t>
      </w:r>
      <w:r>
        <w:rPr>
          <w:rFonts w:ascii="Sylfaen" w:hAnsi="Sylfaen"/>
          <w:sz w:val="24"/>
          <w:szCs w:val="24"/>
        </w:rPr>
        <w:t>եւ</w:t>
      </w:r>
      <w:r w:rsidRPr="00394A09">
        <w:rPr>
          <w:rFonts w:ascii="Sylfaen" w:hAnsi="Sylfaen"/>
          <w:sz w:val="24"/>
          <w:szCs w:val="24"/>
        </w:rPr>
        <w:t xml:space="preserve"> (կամ) հողալկալիական մետաղների օքսիդների զգալի քանակություն: Ըստ իր կազմի՝ չեզոք ապակին բնութագրվում է բարձր հիդրոլիտիկ </w:t>
      </w:r>
      <w:r>
        <w:rPr>
          <w:rFonts w:ascii="Sylfaen" w:hAnsi="Sylfaen"/>
          <w:sz w:val="24"/>
          <w:szCs w:val="24"/>
        </w:rPr>
        <w:t>եւ</w:t>
      </w:r>
      <w:r w:rsidRPr="00394A09">
        <w:rPr>
          <w:rFonts w:ascii="Sylfaen" w:hAnsi="Sylfaen"/>
          <w:sz w:val="24"/>
          <w:szCs w:val="24"/>
        </w:rPr>
        <w:t xml:space="preserve"> ջերմային կայունությամբ:</w:t>
      </w:r>
    </w:p>
    <w:p w14:paraId="7345A7C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Սիլիկատային ապակին</w:t>
      </w:r>
      <w:r w:rsidRPr="00394A09">
        <w:rPr>
          <w:rFonts w:ascii="Sylfaen" w:hAnsi="Sylfaen"/>
          <w:sz w:val="24"/>
          <w:szCs w:val="24"/>
        </w:rPr>
        <w:t xml:space="preserve"> սիլիցիումի դիօքսիդի հիմքով ապակին է, որը պարունակում է ալկալիական մետաղների օքսիդներ, հիմնականում՝ նատրիումի օքսիդ եւ հողալկալիական մետաղների օքսիդներ, հիմնականում՝ կալցիումի օքսիդ: Ըստ իր կազմի՝ սիլիկատային ապակին բնութագրվում է միայն միջին հիդրոլիտիկ կայունությամբ:</w:t>
      </w:r>
    </w:p>
    <w:p w14:paraId="524388C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Դեղագործական կիրառման համար ապակուց պատրաստված փաթեթվածքների քիմիական կայունությունն արտահայտվում է հիդրոլիտիկ կայունությամբ, այսինքն՝ փաթեթվածքի ներքին մակերեւույթի կամ մանրացված ապակու՝ ջրի հետ շփման որոշակի պայմաններում ջրում լուծվող հանքանյութերի ձերբազատման նկատմամբ կայունությամբ:</w:t>
      </w:r>
    </w:p>
    <w:p w14:paraId="03E295A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Հիդրոլիտիկ կայունությունը որոշում են ձերբազատված ալկալիների տիտրման միջոցով:</w:t>
      </w:r>
    </w:p>
    <w:p w14:paraId="2694085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Ըստ հիդրոլիտիկ կայունության՝ փաթեթվածքները դասակարգվում են հետ</w:t>
      </w:r>
      <w:r>
        <w:rPr>
          <w:rFonts w:ascii="Sylfaen" w:hAnsi="Sylfaen"/>
          <w:sz w:val="24"/>
          <w:szCs w:val="24"/>
        </w:rPr>
        <w:t>եւ</w:t>
      </w:r>
      <w:r w:rsidRPr="00394A09">
        <w:rPr>
          <w:rFonts w:ascii="Sylfaen" w:hAnsi="Sylfaen"/>
          <w:sz w:val="24"/>
          <w:szCs w:val="24"/>
        </w:rPr>
        <w:t>յալ կերպ.</w:t>
      </w:r>
    </w:p>
    <w:p w14:paraId="18103E2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I տիպի ապակուց փաթեթվածքներ՝ պատրաստված են չեզոք ապակուց </w:t>
      </w:r>
      <w:r>
        <w:rPr>
          <w:rFonts w:ascii="Sylfaen" w:hAnsi="Sylfaen"/>
          <w:sz w:val="24"/>
          <w:szCs w:val="24"/>
        </w:rPr>
        <w:t>եւ</w:t>
      </w:r>
      <w:r w:rsidRPr="00394A09">
        <w:rPr>
          <w:rFonts w:ascii="Sylfaen" w:hAnsi="Sylfaen"/>
          <w:sz w:val="24"/>
          <w:szCs w:val="24"/>
        </w:rPr>
        <w:t xml:space="preserve"> ունեն բարձր հիդրոլիտիկ կայունություն, որը պայմանավորված է զուտ ապակու բաղադրությամբ.</w:t>
      </w:r>
    </w:p>
    <w:p w14:paraId="422C59FF"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394A09">
        <w:rPr>
          <w:rFonts w:ascii="Sylfaen" w:hAnsi="Sylfaen"/>
          <w:sz w:val="24"/>
          <w:szCs w:val="24"/>
        </w:rPr>
        <w:tab/>
        <w:t xml:space="preserve">II տիպի ապակուց փաթեթվածքներ՝ սովորաբար պատրաստված են սիլիկատային ապակուց </w:t>
      </w:r>
      <w:r>
        <w:rPr>
          <w:rFonts w:ascii="Sylfaen" w:hAnsi="Sylfaen"/>
          <w:sz w:val="24"/>
          <w:szCs w:val="24"/>
        </w:rPr>
        <w:t>եւ</w:t>
      </w:r>
      <w:r w:rsidRPr="00394A09">
        <w:rPr>
          <w:rFonts w:ascii="Sylfaen" w:hAnsi="Sylfaen"/>
          <w:sz w:val="24"/>
          <w:szCs w:val="24"/>
        </w:rPr>
        <w:t xml:space="preserve"> ունեն բարձր հիդրոլիտիկ կայունություն, որը պայմանավորված է մակերեւույթի համապատասխան մշակմամբ.</w:t>
      </w:r>
    </w:p>
    <w:p w14:paraId="3A855597" w14:textId="77777777" w:rsidR="00AF2D51" w:rsidRPr="00AF2D51" w:rsidRDefault="00AF2D51" w:rsidP="00AF2D51">
      <w:pPr>
        <w:pStyle w:val="a0"/>
        <w:shd w:val="clear" w:color="auto" w:fill="auto"/>
        <w:tabs>
          <w:tab w:val="left" w:pos="1134"/>
        </w:tabs>
        <w:spacing w:after="160" w:line="360" w:lineRule="auto"/>
        <w:ind w:firstLine="567"/>
        <w:jc w:val="both"/>
        <w:rPr>
          <w:rFonts w:ascii="Sylfaen" w:hAnsi="Sylfaen"/>
          <w:sz w:val="24"/>
          <w:szCs w:val="24"/>
        </w:rPr>
      </w:pPr>
      <w:r w:rsidRPr="00394A09">
        <w:rPr>
          <w:rFonts w:ascii="Sylfaen" w:hAnsi="Sylfaen"/>
          <w:sz w:val="24"/>
          <w:szCs w:val="24"/>
        </w:rPr>
        <w:t>-</w:t>
      </w:r>
      <w:r w:rsidRPr="00394A09">
        <w:rPr>
          <w:rFonts w:ascii="Sylfaen" w:hAnsi="Sylfaen"/>
          <w:sz w:val="24"/>
          <w:szCs w:val="24"/>
        </w:rPr>
        <w:tab/>
        <w:t xml:space="preserve">III տիպի ապակուց փաթեթվածքներ՝ սովորաբար պատրաստված են սիլիկատային ապակուց </w:t>
      </w:r>
      <w:r>
        <w:rPr>
          <w:rFonts w:ascii="Sylfaen" w:hAnsi="Sylfaen"/>
          <w:sz w:val="24"/>
          <w:szCs w:val="24"/>
        </w:rPr>
        <w:t>եւ</w:t>
      </w:r>
      <w:r w:rsidRPr="00394A09">
        <w:rPr>
          <w:rFonts w:ascii="Sylfaen" w:hAnsi="Sylfaen"/>
          <w:sz w:val="24"/>
          <w:szCs w:val="24"/>
        </w:rPr>
        <w:t xml:space="preserve"> ունեն չափավոր հիդրոլիտիկ կայունություն։</w:t>
      </w:r>
    </w:p>
    <w:p w14:paraId="28316669" w14:textId="77777777" w:rsidR="00AF2D51" w:rsidRPr="00AF2D51"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p>
    <w:p w14:paraId="0A329AD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Շեղատառով ընդգծված ստոր</w:t>
      </w:r>
      <w:r>
        <w:rPr>
          <w:rFonts w:ascii="Sylfaen" w:hAnsi="Sylfaen"/>
          <w:sz w:val="24"/>
          <w:szCs w:val="24"/>
        </w:rPr>
        <w:t>եւ</w:t>
      </w:r>
      <w:r w:rsidRPr="00394A09">
        <w:rPr>
          <w:rFonts w:ascii="Sylfaen" w:hAnsi="Sylfaen"/>
          <w:sz w:val="24"/>
          <w:szCs w:val="24"/>
        </w:rPr>
        <w:t xml:space="preserve"> ներկայացված ձ</w:t>
      </w:r>
      <w:r>
        <w:rPr>
          <w:rFonts w:ascii="Sylfaen" w:hAnsi="Sylfaen"/>
          <w:sz w:val="24"/>
          <w:szCs w:val="24"/>
        </w:rPr>
        <w:t>եւ</w:t>
      </w:r>
      <w:r w:rsidRPr="00394A09">
        <w:rPr>
          <w:rFonts w:ascii="Sylfaen" w:hAnsi="Sylfaen"/>
          <w:sz w:val="24"/>
          <w:szCs w:val="24"/>
        </w:rPr>
        <w:t>ակերպումներն ապակուց պատրաստված փաթեթվածքի այն տեսակին վերաբերող ընդհանուր առաջարկներն են, որը կարող է օգտագործվել դեղապատրաստուկների տարբեր ձ</w:t>
      </w:r>
      <w:r>
        <w:rPr>
          <w:rFonts w:ascii="Sylfaen" w:hAnsi="Sylfaen"/>
          <w:sz w:val="24"/>
          <w:szCs w:val="24"/>
        </w:rPr>
        <w:t>եւ</w:t>
      </w:r>
      <w:r w:rsidRPr="00394A09">
        <w:rPr>
          <w:rFonts w:ascii="Sylfaen" w:hAnsi="Sylfaen"/>
          <w:sz w:val="24"/>
          <w:szCs w:val="24"/>
        </w:rPr>
        <w:t>երի համար: Դեղապատրաստուկն արտադրողը պատասխանատվություն է կրում ընտրված փաթեթվածքի համապատասխանության ապահովման համար:</w:t>
      </w:r>
    </w:p>
    <w:p w14:paraId="526B1BF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I տիպի ապակուց փաթեթվածքները պիտանի են դեղապատրաստուկների մեծամասնության համար, այդ թվում՝ պարենտերալ կիրառման համար:</w:t>
      </w:r>
    </w:p>
    <w:p w14:paraId="721DE31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 xml:space="preserve">II տիպի ապակուց փաթեթվածքները պիտանի են թթու </w:t>
      </w:r>
      <w:r>
        <w:rPr>
          <w:rFonts w:ascii="Sylfaen" w:hAnsi="Sylfaen"/>
          <w:i/>
          <w:sz w:val="24"/>
          <w:szCs w:val="24"/>
        </w:rPr>
        <w:t>եւ</w:t>
      </w:r>
      <w:r w:rsidRPr="00394A09">
        <w:rPr>
          <w:rFonts w:ascii="Sylfaen" w:hAnsi="Sylfaen"/>
          <w:i/>
          <w:sz w:val="24"/>
          <w:szCs w:val="24"/>
        </w:rPr>
        <w:t xml:space="preserve"> չեզոք միջավայրով դեղապատրաստուկների համար, այդ թվում՝ պարենտերալ կիրառման համար:</w:t>
      </w:r>
    </w:p>
    <w:p w14:paraId="7F9D16C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III տիպի ապակուց փաթեթվածքները պիտանի են պարենտերալ կիրառման ոչ ջրային դեղապատրաստուկների, պարենտերալ կիրառման փոշիների (բացառությամբ լիոֆիլիզացված փոշիների), ինչպես նա</w:t>
      </w:r>
      <w:r>
        <w:rPr>
          <w:rFonts w:ascii="Sylfaen" w:hAnsi="Sylfaen"/>
          <w:i/>
          <w:sz w:val="24"/>
          <w:szCs w:val="24"/>
        </w:rPr>
        <w:t>եւ</w:t>
      </w:r>
      <w:r w:rsidRPr="00394A09">
        <w:rPr>
          <w:rFonts w:ascii="Sylfaen" w:hAnsi="Sylfaen"/>
          <w:i/>
          <w:sz w:val="24"/>
          <w:szCs w:val="24"/>
        </w:rPr>
        <w:t xml:space="preserve"> պարենտերալ կիրառման համար չնախատեսված դեղապատրաստուկների համար:</w:t>
      </w:r>
    </w:p>
    <w:p w14:paraId="487FF09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Որպես կանոն, կարող են նա</w:t>
      </w:r>
      <w:r>
        <w:rPr>
          <w:rFonts w:ascii="Sylfaen" w:hAnsi="Sylfaen"/>
          <w:sz w:val="24"/>
          <w:szCs w:val="24"/>
        </w:rPr>
        <w:t>եւ</w:t>
      </w:r>
      <w:r w:rsidRPr="00394A09">
        <w:rPr>
          <w:rFonts w:ascii="Sylfaen" w:hAnsi="Sylfaen"/>
          <w:sz w:val="24"/>
          <w:szCs w:val="24"/>
        </w:rPr>
        <w:t xml:space="preserve"> օգտագործվել այնպիսի ապակյա փաթեթվածքներ, որոնք ունեն դեղապատրաստուկների կոնկրետ տեսակների համար վերեւում առաջարկվող հիդրոլիտիկ կայունությունից ավելի բարձր հիդրոլիտիկ կայունություն:</w:t>
      </w:r>
    </w:p>
    <w:p w14:paraId="6F3CB28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Տվյալ դեղապատրաստուկի համար ընտրված փաթեթվածքը պետք է պատրաստված լինի դեղապատրաստուկի կայունության վրա ազդող կամ թունավոր ազդեցություն ունեցող քանակությամբ նյութեր չարտադրող ապակուց: Հիմնավորված դեպքերում կարող է պահանջվել ապակու բաղադրության մասին մանրամասն տեղեկատվություն՝ պացիենտների կամ պացիենտների խոցելի խմբերի կողմից դեղապատրաստուկի երկարատ</w:t>
      </w:r>
      <w:r>
        <w:rPr>
          <w:rFonts w:ascii="Sylfaen" w:hAnsi="Sylfaen"/>
          <w:sz w:val="24"/>
          <w:szCs w:val="24"/>
        </w:rPr>
        <w:t>եւ</w:t>
      </w:r>
      <w:r w:rsidRPr="00394A09">
        <w:rPr>
          <w:rFonts w:ascii="Sylfaen" w:hAnsi="Sylfaen"/>
          <w:sz w:val="24"/>
          <w:szCs w:val="24"/>
        </w:rPr>
        <w:t xml:space="preserve"> կիրառման դեպքում փաթեթվածքի ազդեցությունը գնահատելու համար:</w:t>
      </w:r>
    </w:p>
    <w:p w14:paraId="0699ECA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pacing w:val="-6"/>
          <w:sz w:val="24"/>
          <w:szCs w:val="24"/>
        </w:rPr>
        <w:t>Պարենտերալ կիրառման դեղապատրաստուկները սովորաբար արտադրվում են անգույն ապակուց փաթեթվածքներով, սակայն լուսազգայուն դեղապատրաստուկների</w:t>
      </w:r>
      <w:r w:rsidRPr="00394A09">
        <w:rPr>
          <w:rFonts w:ascii="Sylfaen" w:hAnsi="Sylfaen"/>
          <w:sz w:val="24"/>
          <w:szCs w:val="24"/>
        </w:rPr>
        <w:t xml:space="preserve"> համար նպատակահարմար է օգտագործել գունավորված ապակի: Խորհուրդ է </w:t>
      </w:r>
      <w:r w:rsidRPr="00394A09">
        <w:rPr>
          <w:rFonts w:ascii="Sylfaen" w:hAnsi="Sylfaen"/>
          <w:sz w:val="24"/>
          <w:szCs w:val="24"/>
        </w:rPr>
        <w:lastRenderedPageBreak/>
        <w:t xml:space="preserve">տրվում, որ պարենտերալ կիրառման հեղուկ դեղապատրաստուկների </w:t>
      </w:r>
      <w:r>
        <w:rPr>
          <w:rFonts w:ascii="Sylfaen" w:hAnsi="Sylfaen"/>
          <w:sz w:val="24"/>
          <w:szCs w:val="24"/>
        </w:rPr>
        <w:t>եւ</w:t>
      </w:r>
      <w:r w:rsidRPr="00394A09">
        <w:rPr>
          <w:rFonts w:ascii="Sylfaen" w:hAnsi="Sylfaen"/>
          <w:sz w:val="24"/>
          <w:szCs w:val="24"/>
        </w:rPr>
        <w:t xml:space="preserve"> փոշիների համար ապակյա բոլոր փաթեթվածքները թույլ տան վիզուալ վերահսկել պարունակությունը:</w:t>
      </w:r>
    </w:p>
    <w:p w14:paraId="5A1906E7"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Ապակյա փաթեթվածքի ներքին մակերեւույթը կարող է հատուկ մշակված լինել հիդրոլիտիկ կայունության բարելավման, ջրամերժ հատկությունների հաղորդման </w:t>
      </w:r>
      <w:r>
        <w:rPr>
          <w:rFonts w:ascii="Sylfaen" w:hAnsi="Sylfaen"/>
          <w:sz w:val="24"/>
          <w:szCs w:val="24"/>
        </w:rPr>
        <w:t>եւ</w:t>
      </w:r>
      <w:r w:rsidRPr="00394A09">
        <w:rPr>
          <w:rFonts w:ascii="Sylfaen" w:hAnsi="Sylfaen"/>
          <w:sz w:val="24"/>
          <w:szCs w:val="24"/>
        </w:rPr>
        <w:t xml:space="preserve"> այլնի համար, արտաքին մակերեւույթը նույնպես կարող է մշակված լինել, օրինակ՝ շփման նվազեցման </w:t>
      </w:r>
      <w:r>
        <w:rPr>
          <w:rFonts w:ascii="Sylfaen" w:hAnsi="Sylfaen"/>
          <w:sz w:val="24"/>
          <w:szCs w:val="24"/>
        </w:rPr>
        <w:t>եւ</w:t>
      </w:r>
      <w:r w:rsidRPr="00394A09">
        <w:rPr>
          <w:rFonts w:ascii="Sylfaen" w:hAnsi="Sylfaen"/>
          <w:sz w:val="24"/>
          <w:szCs w:val="24"/>
        </w:rPr>
        <w:t xml:space="preserve"> քերամաշման նկատմամբ կայունության բարձրացման համար:</w:t>
      </w:r>
    </w:p>
    <w:p w14:paraId="0D2AC142"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Արտաքին մակերեւույթի մշակումը չպետք է առաջացնի փաթեթվածքի ներքին մակերեւույթի աղտոտում:</w:t>
      </w:r>
    </w:p>
    <w:p w14:paraId="3C44C5B0"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Դեղապատրաստուկների համար ապակյա փաթեթվածքները չեն կարող կրկնակի օգտագործվել՝ բացառությամբ I տիպի ապակյա փաթեթվածքների:</w:t>
      </w:r>
    </w:p>
    <w:p w14:paraId="3560BA12"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Արյան բաղադրիչների ապակյա փաթեթվածքը չպետք է կրկնակի օգտագործվի:</w:t>
      </w:r>
    </w:p>
    <w:p w14:paraId="5ACF02CE"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p>
    <w:p w14:paraId="52AB7080" w14:textId="77777777" w:rsidR="00AF2D51" w:rsidRPr="00394A09" w:rsidRDefault="00AF2D51" w:rsidP="00AF2D51">
      <w:pPr>
        <w:pStyle w:val="a0"/>
        <w:shd w:val="clear" w:color="auto" w:fill="auto"/>
        <w:spacing w:after="160" w:line="346" w:lineRule="auto"/>
        <w:ind w:firstLine="567"/>
        <w:rPr>
          <w:rFonts w:ascii="Sylfaen" w:hAnsi="Sylfaen" w:cs="Sylfaen"/>
          <w:sz w:val="24"/>
          <w:szCs w:val="24"/>
        </w:rPr>
      </w:pPr>
      <w:r w:rsidRPr="00394A09">
        <w:rPr>
          <w:rFonts w:ascii="Sylfaen" w:hAnsi="Sylfaen"/>
          <w:b/>
          <w:sz w:val="24"/>
          <w:szCs w:val="24"/>
        </w:rPr>
        <w:t>ՏԵԽՆՈԼՈԳԻԱՅԻ ԱՌԱՆՁՆԱՀԱՏԿՈՒԹՅՈՒՆՆԵՐԸ</w:t>
      </w:r>
    </w:p>
    <w:p w14:paraId="1607CC46" w14:textId="77777777" w:rsidR="00AF2D51" w:rsidRPr="00394A09" w:rsidRDefault="00AF2D51" w:rsidP="00AF2D51">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Դեղագործական կիրառման ապակյա այն փաթեթվածքները, որոնք արտադրվել են անբարենպաստ պայմաններում (օրինակ՝ ջերմաժամանակային գործոնը) </w:t>
      </w:r>
      <w:r>
        <w:rPr>
          <w:rFonts w:ascii="Sylfaen" w:hAnsi="Sylfaen"/>
          <w:sz w:val="24"/>
          <w:szCs w:val="24"/>
        </w:rPr>
        <w:t>եւ</w:t>
      </w:r>
      <w:r w:rsidRPr="00394A09">
        <w:rPr>
          <w:rFonts w:ascii="Sylfaen" w:hAnsi="Sylfaen"/>
          <w:sz w:val="24"/>
          <w:szCs w:val="24"/>
        </w:rPr>
        <w:t xml:space="preserve"> (կամ) գտնվում են առանձնապես ագրեսիվ դեղապատրաստուկների հետ շփման մեջ, կարող են շերտավորման ենթարկվել, այսինքն՝ ներքին ապակյա մակերեւույթի՝ թիթեղիկներ կամ թեփուկներ կոչվող բարակ շերտերի բաժանման: Ապակու շերտավորումը կարող է տեղի ունենալ քիմիական քայքայման արդյունքում՝ քաջ հայտնի մեխանիզմներին համապատասխան, ինչպիսիք են հիդրոլիզի արդյունքում լուծումը </w:t>
      </w:r>
      <w:r>
        <w:rPr>
          <w:rFonts w:ascii="Sylfaen" w:hAnsi="Sylfaen"/>
          <w:sz w:val="24"/>
          <w:szCs w:val="24"/>
        </w:rPr>
        <w:t>եւ</w:t>
      </w:r>
      <w:r w:rsidRPr="00394A09">
        <w:rPr>
          <w:rFonts w:ascii="Sylfaen" w:hAnsi="Sylfaen"/>
          <w:sz w:val="24"/>
          <w:szCs w:val="24"/>
        </w:rPr>
        <w:t xml:space="preserve"> pH-ից կախված իոնային փոխանակումը (ալկալահանումը): Ապակյա մակերեւույթի </w:t>
      </w:r>
      <w:r>
        <w:rPr>
          <w:rFonts w:ascii="Sylfaen" w:hAnsi="Sylfaen"/>
          <w:sz w:val="24"/>
          <w:szCs w:val="24"/>
        </w:rPr>
        <w:t>եւ</w:t>
      </w:r>
      <w:r w:rsidRPr="00394A09">
        <w:rPr>
          <w:rFonts w:ascii="Sylfaen" w:hAnsi="Sylfaen"/>
          <w:sz w:val="24"/>
          <w:szCs w:val="24"/>
        </w:rPr>
        <w:t xml:space="preserve"> դեղապատրաստուկի միջ</w:t>
      </w:r>
      <w:r>
        <w:rPr>
          <w:rFonts w:ascii="Sylfaen" w:hAnsi="Sylfaen"/>
          <w:sz w:val="24"/>
          <w:szCs w:val="24"/>
        </w:rPr>
        <w:t>եւ</w:t>
      </w:r>
      <w:r w:rsidRPr="00394A09">
        <w:rPr>
          <w:rFonts w:ascii="Sylfaen" w:hAnsi="Sylfaen"/>
          <w:sz w:val="24"/>
          <w:szCs w:val="24"/>
        </w:rPr>
        <w:t xml:space="preserve"> փոխազդեցության գործընթացը պահանջում է ինկուբացման ժամանակ, </w:t>
      </w:r>
      <w:r>
        <w:rPr>
          <w:rFonts w:ascii="Sylfaen" w:hAnsi="Sylfaen"/>
          <w:sz w:val="24"/>
          <w:szCs w:val="24"/>
        </w:rPr>
        <w:t>եւ</w:t>
      </w:r>
      <w:r w:rsidRPr="00394A09">
        <w:rPr>
          <w:rFonts w:ascii="Sylfaen" w:hAnsi="Sylfaen"/>
          <w:sz w:val="24"/>
          <w:szCs w:val="24"/>
        </w:rPr>
        <w:t xml:space="preserve"> շերտավորումը կարող է տեսանելի դառնալ միայն փաթեթվածքը լիցքավորելուց հետո մի քանի ամիս անց:</w:t>
      </w:r>
    </w:p>
    <w:p w14:paraId="443450E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Հայտնի են ռիսկի մի քանի գործոններ, որոնք ավելացնում են ապակու՝ շերտավորվելուն հակվածությունը: Ապակու շերտավորմանը զգալիորեն կարող են նպաստել դեղապատրաստուկի քիմիական կազմը, ցիտրատ իոններ կամ ֆոսֆատ իոններ պարունակող բուֆերային լուծույթների առկայությունը </w:t>
      </w:r>
      <w:r>
        <w:rPr>
          <w:rFonts w:ascii="Sylfaen" w:hAnsi="Sylfaen"/>
          <w:sz w:val="24"/>
          <w:szCs w:val="24"/>
        </w:rPr>
        <w:t>եւ</w:t>
      </w:r>
      <w:r w:rsidRPr="00394A09">
        <w:rPr>
          <w:rFonts w:ascii="Sylfaen" w:hAnsi="Sylfaen"/>
          <w:sz w:val="24"/>
          <w:szCs w:val="24"/>
        </w:rPr>
        <w:t xml:space="preserve"> հեղուկ միջավայրի իոնային ուժը: Փաթեթվածքի արտադրման գործընթացը, ներքին մակերեւույթի քիմիական մշակումը, ինչպես նա</w:t>
      </w:r>
      <w:r>
        <w:rPr>
          <w:rFonts w:ascii="Sylfaen" w:hAnsi="Sylfaen"/>
          <w:sz w:val="24"/>
          <w:szCs w:val="24"/>
        </w:rPr>
        <w:t>եւ</w:t>
      </w:r>
      <w:r w:rsidRPr="00394A09">
        <w:rPr>
          <w:rFonts w:ascii="Sylfaen" w:hAnsi="Sylfaen"/>
          <w:sz w:val="24"/>
          <w:szCs w:val="24"/>
        </w:rPr>
        <w:t xml:space="preserve"> դեղապատրաստուկների լցավորման գծերում դրանց վերջնական մանրէազերծումն ու մշակումը ռիսկի այլ կար</w:t>
      </w:r>
      <w:r>
        <w:rPr>
          <w:rFonts w:ascii="Sylfaen" w:hAnsi="Sylfaen"/>
          <w:sz w:val="24"/>
          <w:szCs w:val="24"/>
        </w:rPr>
        <w:t>եւ</w:t>
      </w:r>
      <w:r w:rsidRPr="00394A09">
        <w:rPr>
          <w:rFonts w:ascii="Sylfaen" w:hAnsi="Sylfaen"/>
          <w:sz w:val="24"/>
          <w:szCs w:val="24"/>
        </w:rPr>
        <w:t xml:space="preserve">որ գործոններ են, որոնք անհրաժեշտ է հաշվի առնել: Անհրաժեշտ է, որ արտադրողը գնահատի ապակյա փաթեթվածքի </w:t>
      </w:r>
      <w:r>
        <w:rPr>
          <w:rFonts w:ascii="Sylfaen" w:hAnsi="Sylfaen"/>
          <w:sz w:val="24"/>
          <w:szCs w:val="24"/>
        </w:rPr>
        <w:t>եւ</w:t>
      </w:r>
      <w:r w:rsidRPr="00394A09">
        <w:rPr>
          <w:rFonts w:ascii="Sylfaen" w:hAnsi="Sylfaen"/>
          <w:sz w:val="24"/>
          <w:szCs w:val="24"/>
        </w:rPr>
        <w:t xml:space="preserve"> դեղապատրաստուկի համատեղելիությունը՝ հաշվի առնելով, օրինակ, դեղաձ</w:t>
      </w:r>
      <w:r>
        <w:rPr>
          <w:rFonts w:ascii="Sylfaen" w:hAnsi="Sylfaen"/>
          <w:sz w:val="24"/>
          <w:szCs w:val="24"/>
        </w:rPr>
        <w:t>եւ</w:t>
      </w:r>
      <w:r w:rsidRPr="00394A09">
        <w:rPr>
          <w:rFonts w:ascii="Sylfaen" w:hAnsi="Sylfaen"/>
          <w:sz w:val="24"/>
          <w:szCs w:val="24"/>
        </w:rPr>
        <w:t xml:space="preserve">ը, պատրաստուկի հատկությունները </w:t>
      </w:r>
      <w:r>
        <w:rPr>
          <w:rFonts w:ascii="Sylfaen" w:hAnsi="Sylfaen"/>
          <w:sz w:val="24"/>
          <w:szCs w:val="24"/>
        </w:rPr>
        <w:t>եւ</w:t>
      </w:r>
      <w:r w:rsidRPr="00394A09">
        <w:rPr>
          <w:rFonts w:ascii="Sylfaen" w:hAnsi="Sylfaen"/>
          <w:sz w:val="24"/>
          <w:szCs w:val="24"/>
        </w:rPr>
        <w:t xml:space="preserve"> ապակու որակը:</w:t>
      </w:r>
    </w:p>
    <w:p w14:paraId="260F8B1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Տարբեր արտադրողներից ապակյա փաթեթվածքների շերտավորման հակվածությունը կարելի է գնահատել՝ կարճ ժամանակահատվածում որոշակի ջերմաստիճանի տակ քայքայման մասով արագացված փորձարկումների ենթարկելով՝ որպես էքստրագենտ օգտագործելով դեղապատրաստուկի արտադրման </w:t>
      </w:r>
      <w:r>
        <w:rPr>
          <w:rFonts w:ascii="Sylfaen" w:hAnsi="Sylfaen"/>
          <w:sz w:val="24"/>
          <w:szCs w:val="24"/>
        </w:rPr>
        <w:t>եւ</w:t>
      </w:r>
      <w:r w:rsidRPr="00394A09">
        <w:rPr>
          <w:rFonts w:ascii="Sylfaen" w:hAnsi="Sylfaen"/>
          <w:sz w:val="24"/>
          <w:szCs w:val="24"/>
        </w:rPr>
        <w:t xml:space="preserve"> կիրառման ժամանակ օգտագործվող լուծույթները: Լուծամզվածքային լուծույթի մեջ մասնիկների առկայությունը, ներքին մակերեւույթի վրա ֆազային բաժանման առաջացումը </w:t>
      </w:r>
      <w:r>
        <w:rPr>
          <w:rFonts w:ascii="Sylfaen" w:hAnsi="Sylfaen"/>
          <w:sz w:val="24"/>
          <w:szCs w:val="24"/>
        </w:rPr>
        <w:t>եւ</w:t>
      </w:r>
      <w:r w:rsidRPr="00394A09">
        <w:rPr>
          <w:rFonts w:ascii="Sylfaen" w:hAnsi="Sylfaen"/>
          <w:sz w:val="24"/>
          <w:szCs w:val="24"/>
        </w:rPr>
        <w:t xml:space="preserve"> լուծամզվածքային լուծույթի մեջ սիլիցիումի օքսիդի կոնցենտրացիայի կտրուկ ավելացումը մատնանշում են ապակու՝ շերտավորվելու հնարավոր հակվածությունը: Ապակու արագացված դեգրադացման փորձարկումը կարող է օգտագործվել որպես կանխատեսող գործիք՝ ենթադրվող պատրաստուկի առավել հարմար փաթեթվածքի ընտրության համար, սակայն ալկալահանման արգասիքների հետ ազդող նյութի ամբողջական համատեղելիությունը կարելի է գնահատել միայն օգտագործման նորմալ պայմաններում կայունության փորձարկման օգնությամբ:</w:t>
      </w:r>
    </w:p>
    <w:p w14:paraId="3D58233C" w14:textId="77777777" w:rsidR="00AF2D51" w:rsidRDefault="00AF2D51" w:rsidP="00AF2D51">
      <w:pPr>
        <w:rPr>
          <w:rFonts w:eastAsia="Times New Roman"/>
        </w:rPr>
      </w:pPr>
      <w:r>
        <w:br w:type="page"/>
      </w:r>
    </w:p>
    <w:p w14:paraId="794C96E0"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lastRenderedPageBreak/>
        <w:t>ՓՈՐՁԱՐԿՈՒՄՆԵՐԸ</w:t>
      </w:r>
    </w:p>
    <w:p w14:paraId="0A4506A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Դեղագործական կիրառման ապակյա փաթեթվածքները պետք է անցնեն հիդրոլիտիկ կայունության փորձարկումները: Եթե ապակյա փաթեթվածքներն ունեն այլ նյութերից պատրաստված դետալներ, ապա փորձարկման է ենթակա միայն փաթեթվածքի ապակյա մասը:</w:t>
      </w:r>
    </w:p>
    <w:p w14:paraId="151D61D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Ապակյա փաթեթվածքի որակը որոշելու համար անհրաժեշտ է անցկացնել ստորեւ ներկայացված փորձարկումներից մեկը կամ մի քանիսը՝ կախված ենթադրվող կիրառումից։</w:t>
      </w:r>
    </w:p>
    <w:p w14:paraId="233ED31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Հիդրոլիտիկ կայունության փորձարկումներն անցկացվում են վերահսկողության </w:t>
      </w:r>
      <w:r>
        <w:rPr>
          <w:rFonts w:ascii="Sylfaen" w:hAnsi="Sylfaen"/>
          <w:sz w:val="24"/>
          <w:szCs w:val="24"/>
        </w:rPr>
        <w:t>եւ</w:t>
      </w:r>
      <w:r w:rsidRPr="00394A09">
        <w:rPr>
          <w:rFonts w:ascii="Sylfaen" w:hAnsi="Sylfaen"/>
          <w:sz w:val="24"/>
          <w:szCs w:val="24"/>
        </w:rPr>
        <w:t xml:space="preserve"> ապակու տիպի (I, II կամ III) որոշման նպատակով:</w:t>
      </w:r>
    </w:p>
    <w:p w14:paraId="3C34E15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Բացի այդ, ջրային պարենտերալ դեղապատրաստուկների համար նախատեսված փաթեթվածքները փորձարկում են արսենի առկայության, իսկ ապակյա գունավորված փաթեթվածքները՝ լուսանցանելիության մասով:</w:t>
      </w:r>
    </w:p>
    <w:p w14:paraId="53B6759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19CAF72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sz w:val="24"/>
          <w:szCs w:val="24"/>
        </w:rPr>
        <w:t>ՀԻԴՐՈԼԻՏԻԿ ԿԱՅՈՒՆՈՒԹՅՈՒՆԸ</w:t>
      </w:r>
    </w:p>
    <w:p w14:paraId="1A787B52" w14:textId="77777777" w:rsidR="00AF2D51" w:rsidRPr="00AF2D51" w:rsidRDefault="00AF2D51" w:rsidP="00AF2D51">
      <w:pPr>
        <w:tabs>
          <w:tab w:val="left" w:pos="2568"/>
        </w:tabs>
        <w:spacing w:after="160" w:line="360" w:lineRule="auto"/>
        <w:ind w:firstLine="567"/>
        <w:jc w:val="both"/>
      </w:pPr>
      <w:r w:rsidRPr="00394A09">
        <w:t xml:space="preserve">Փորձարկումներն անցկացնում են այն լուծամզվածքային լուծույթների տիտրման եղանակով, որոնք ստացվել են Ա, Բ </w:t>
      </w:r>
      <w:r>
        <w:t>եւ</w:t>
      </w:r>
      <w:r w:rsidRPr="00394A09">
        <w:t xml:space="preserve"> Գ փորձարկումներում նկարագրված պայմաններում: «Գ» փորձարկումն անցկացնում են ապակու տիպի մասին տեղեկատվության բացակայության դեպքում:</w:t>
      </w:r>
      <w:r w:rsidRPr="00AA4CFB">
        <w:t xml:space="preserve"> </w:t>
      </w:r>
    </w:p>
    <w:p w14:paraId="1B1FBEB3" w14:textId="77777777" w:rsidR="00AF2D51" w:rsidRPr="00AF2D51" w:rsidRDefault="00AF2D51" w:rsidP="00AF2D51">
      <w:pPr>
        <w:tabs>
          <w:tab w:val="left" w:pos="2568"/>
        </w:tabs>
        <w:spacing w:after="160" w:line="360" w:lineRule="auto"/>
        <w:ind w:firstLine="567"/>
        <w:jc w:val="both"/>
      </w:pPr>
    </w:p>
    <w:p w14:paraId="2BE39E90" w14:textId="77777777" w:rsidR="00AF2D51" w:rsidRPr="00394A09" w:rsidRDefault="00AF2D51" w:rsidP="00AF2D51">
      <w:pPr>
        <w:tabs>
          <w:tab w:val="left" w:pos="2568"/>
        </w:tabs>
        <w:spacing w:after="160" w:line="360" w:lineRule="auto"/>
        <w:ind w:firstLine="567"/>
        <w:jc w:val="both"/>
      </w:pPr>
      <w:r w:rsidRPr="00394A09">
        <w:t>Աղյուսակ 2.4.2.2-1. Ապակյա փաթեթվածքների տեսակները</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4910"/>
        <w:gridCol w:w="4714"/>
      </w:tblGrid>
      <w:tr w:rsidR="00AF2D51" w:rsidRPr="00AA4CFB" w14:paraId="6C8E42FC" w14:textId="77777777" w:rsidTr="00AF2D51">
        <w:trPr>
          <w:tblHeader/>
          <w:jc w:val="center"/>
        </w:trPr>
        <w:tc>
          <w:tcPr>
            <w:tcW w:w="4910" w:type="dxa"/>
            <w:tcBorders>
              <w:top w:val="single" w:sz="4" w:space="0" w:color="auto"/>
            </w:tcBorders>
            <w:shd w:val="clear" w:color="auto" w:fill="FFFFFF"/>
            <w:vAlign w:val="center"/>
          </w:tcPr>
          <w:p w14:paraId="5646C35E" w14:textId="77777777" w:rsidR="00AF2D51" w:rsidRPr="00AA4CFB" w:rsidRDefault="00AF2D51" w:rsidP="00AF2D51">
            <w:pPr>
              <w:pStyle w:val="a0"/>
              <w:shd w:val="clear" w:color="auto" w:fill="auto"/>
              <w:spacing w:after="120" w:line="240" w:lineRule="auto"/>
              <w:ind w:firstLine="125"/>
              <w:jc w:val="center"/>
              <w:rPr>
                <w:rFonts w:ascii="Sylfaen" w:hAnsi="Sylfaen" w:cs="Sylfaen"/>
                <w:szCs w:val="24"/>
              </w:rPr>
            </w:pPr>
            <w:r w:rsidRPr="00AA4CFB">
              <w:rPr>
                <w:rFonts w:ascii="Sylfaen" w:hAnsi="Sylfaen"/>
                <w:szCs w:val="24"/>
              </w:rPr>
              <w:t>Փաթեթվածքի տեսակը</w:t>
            </w:r>
          </w:p>
        </w:tc>
        <w:tc>
          <w:tcPr>
            <w:tcW w:w="4714" w:type="dxa"/>
            <w:tcBorders>
              <w:top w:val="single" w:sz="4" w:space="0" w:color="auto"/>
            </w:tcBorders>
            <w:shd w:val="clear" w:color="auto" w:fill="FFFFFF"/>
            <w:vAlign w:val="center"/>
          </w:tcPr>
          <w:p w14:paraId="73C1CACE" w14:textId="77777777" w:rsidR="00AF2D51" w:rsidRPr="00AA4CFB" w:rsidRDefault="00AF2D51" w:rsidP="00AF2D51">
            <w:pPr>
              <w:pStyle w:val="a0"/>
              <w:shd w:val="clear" w:color="auto" w:fill="auto"/>
              <w:spacing w:after="120" w:line="240" w:lineRule="auto"/>
              <w:ind w:firstLine="125"/>
              <w:jc w:val="center"/>
              <w:rPr>
                <w:rFonts w:ascii="Sylfaen" w:hAnsi="Sylfaen" w:cs="Sylfaen"/>
                <w:szCs w:val="24"/>
              </w:rPr>
            </w:pPr>
            <w:r w:rsidRPr="00AA4CFB">
              <w:rPr>
                <w:rFonts w:ascii="Sylfaen" w:hAnsi="Sylfaen"/>
                <w:szCs w:val="24"/>
              </w:rPr>
              <w:t>Փորձարկումները</w:t>
            </w:r>
          </w:p>
        </w:tc>
      </w:tr>
      <w:tr w:rsidR="00AF2D51" w:rsidRPr="00AA4CFB" w14:paraId="6F0BBFD3" w14:textId="77777777" w:rsidTr="00AF2D51">
        <w:trPr>
          <w:jc w:val="center"/>
        </w:trPr>
        <w:tc>
          <w:tcPr>
            <w:tcW w:w="4910" w:type="dxa"/>
            <w:tcBorders>
              <w:top w:val="single" w:sz="4" w:space="0" w:color="auto"/>
            </w:tcBorders>
            <w:shd w:val="clear" w:color="auto" w:fill="FFFFFF"/>
          </w:tcPr>
          <w:p w14:paraId="28ACAB05"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t>I եւ II տիպի ապակուց փաթեթվածքներ (III տիպի ապակուց պատրաստված փաթեթվածքներից տարբերելու համար)</w:t>
            </w:r>
          </w:p>
        </w:tc>
        <w:tc>
          <w:tcPr>
            <w:tcW w:w="4714" w:type="dxa"/>
            <w:tcBorders>
              <w:top w:val="single" w:sz="4" w:space="0" w:color="auto"/>
            </w:tcBorders>
            <w:shd w:val="clear" w:color="auto" w:fill="FFFFFF"/>
          </w:tcPr>
          <w:p w14:paraId="0329A0D5"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t>Ա (մակերեւութային հիդրոլիտիկ կայունության փորձարկում)</w:t>
            </w:r>
          </w:p>
        </w:tc>
      </w:tr>
      <w:tr w:rsidR="00AF2D51" w:rsidRPr="00AA4CFB" w14:paraId="6F5698CF" w14:textId="77777777" w:rsidTr="00AF2D51">
        <w:trPr>
          <w:jc w:val="center"/>
        </w:trPr>
        <w:tc>
          <w:tcPr>
            <w:tcW w:w="4910" w:type="dxa"/>
            <w:shd w:val="clear" w:color="auto" w:fill="FFFFFF"/>
          </w:tcPr>
          <w:p w14:paraId="30CB078E"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t>I տիպի ապակուց փաթեթվածքներ (II եւ III տիպի ապակուց պատրաստված փաթեթվածքներից տարբերելու համար)</w:t>
            </w:r>
          </w:p>
        </w:tc>
        <w:tc>
          <w:tcPr>
            <w:tcW w:w="4714" w:type="dxa"/>
            <w:shd w:val="clear" w:color="auto" w:fill="FFFFFF"/>
          </w:tcPr>
          <w:p w14:paraId="77ED8D67"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t>Բ (փոշիացված ապակու փորձարկումներ) կամ Գ (մշակված մակերեւույթներով փաթեթվածքների փորձարկում)</w:t>
            </w:r>
          </w:p>
        </w:tc>
      </w:tr>
      <w:tr w:rsidR="00AF2D51" w:rsidRPr="00AA4CFB" w14:paraId="6DC483CA" w14:textId="77777777" w:rsidTr="00AF2D51">
        <w:trPr>
          <w:jc w:val="center"/>
        </w:trPr>
        <w:tc>
          <w:tcPr>
            <w:tcW w:w="4910" w:type="dxa"/>
            <w:tcBorders>
              <w:bottom w:val="single" w:sz="4" w:space="0" w:color="auto"/>
            </w:tcBorders>
            <w:shd w:val="clear" w:color="auto" w:fill="FFFFFF"/>
            <w:vAlign w:val="bottom"/>
          </w:tcPr>
          <w:p w14:paraId="683128B8"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lastRenderedPageBreak/>
              <w:t>I եւ II տիպի ապակուց փաթեթվածքներ (հիդրոլիտիկ կայունության վրա ապակու քիմիական կազմի կամ մակերեւույթի մշակման աստիճանի ազդեցության որոշումը)</w:t>
            </w:r>
          </w:p>
        </w:tc>
        <w:tc>
          <w:tcPr>
            <w:tcW w:w="4714" w:type="dxa"/>
            <w:tcBorders>
              <w:bottom w:val="single" w:sz="4" w:space="0" w:color="auto"/>
            </w:tcBorders>
            <w:shd w:val="clear" w:color="auto" w:fill="FFFFFF"/>
          </w:tcPr>
          <w:p w14:paraId="40F40DDC" w14:textId="77777777" w:rsidR="00AF2D51" w:rsidRPr="00AA4CFB" w:rsidRDefault="00AF2D51" w:rsidP="00AF2D51">
            <w:pPr>
              <w:pStyle w:val="a0"/>
              <w:shd w:val="clear" w:color="auto" w:fill="auto"/>
              <w:spacing w:after="120" w:line="240" w:lineRule="auto"/>
              <w:ind w:firstLine="0"/>
              <w:rPr>
                <w:rFonts w:ascii="Sylfaen" w:hAnsi="Sylfaen" w:cs="Sylfaen"/>
                <w:szCs w:val="24"/>
              </w:rPr>
            </w:pPr>
            <w:r w:rsidRPr="00AA4CFB">
              <w:rPr>
                <w:rFonts w:ascii="Sylfaen" w:hAnsi="Sylfaen"/>
                <w:szCs w:val="24"/>
              </w:rPr>
              <w:t>Ա եւ Բ կամ Ա եւ Գ</w:t>
            </w:r>
          </w:p>
        </w:tc>
      </w:tr>
    </w:tbl>
    <w:p w14:paraId="2700D88A" w14:textId="77777777" w:rsidR="00AF2D51" w:rsidRPr="00394A09" w:rsidRDefault="00AF2D51" w:rsidP="00AF2D51">
      <w:pPr>
        <w:tabs>
          <w:tab w:val="left" w:pos="2568"/>
        </w:tabs>
        <w:spacing w:after="160" w:line="360" w:lineRule="auto"/>
        <w:ind w:firstLine="567"/>
      </w:pPr>
    </w:p>
    <w:p w14:paraId="667FFF3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ՍԱՐՔԱՎՈՐՈՒՄՆԵՐԸ</w:t>
      </w:r>
    </w:p>
    <w:p w14:paraId="576F066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Օգտագործելուց առաջ ավտոկլավն ու բոլոր օժանդակ սարքավորումները հարկավոր է մաքրել Ռ ջրով:</w:t>
      </w:r>
    </w:p>
    <w:p w14:paraId="5956397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(121 ±1) °С ջերմաստիճանն ու 2,5•10</w:t>
      </w:r>
      <w:r w:rsidRPr="00394A09">
        <w:rPr>
          <w:rFonts w:ascii="Sylfaen" w:hAnsi="Sylfaen"/>
          <w:sz w:val="24"/>
          <w:szCs w:val="24"/>
          <w:vertAlign w:val="superscript"/>
        </w:rPr>
        <w:t>5</w:t>
      </w:r>
      <w:r w:rsidRPr="00394A09">
        <w:rPr>
          <w:rFonts w:ascii="Sylfaen" w:hAnsi="Sylfaen"/>
          <w:sz w:val="24"/>
          <w:szCs w:val="24"/>
        </w:rPr>
        <w:t>Н/մ</w:t>
      </w:r>
      <w:r w:rsidRPr="00394A09">
        <w:rPr>
          <w:rFonts w:ascii="Sylfaen" w:hAnsi="Sylfaen"/>
          <w:sz w:val="24"/>
          <w:szCs w:val="24"/>
          <w:vertAlign w:val="superscript"/>
        </w:rPr>
        <w:t>2</w:t>
      </w:r>
      <w:r w:rsidRPr="00394A09">
        <w:rPr>
          <w:rFonts w:ascii="Sylfaen" w:hAnsi="Sylfaen"/>
          <w:sz w:val="24"/>
          <w:szCs w:val="24"/>
        </w:rPr>
        <w:t xml:space="preserve"> ճնշումը պահպանելու ունակ ավտոկլավ (ինչը համապատասխանում է 0,25 ՄՊա-ին կամ 2,5 բարին), որը սարքավորված է ջերմաչափով կամ մանոմետրով, օդափոխիչ ծորակով </w:t>
      </w:r>
      <w:r>
        <w:rPr>
          <w:rFonts w:ascii="Sylfaen" w:hAnsi="Sylfaen"/>
          <w:sz w:val="24"/>
          <w:szCs w:val="24"/>
        </w:rPr>
        <w:t>եւ</w:t>
      </w:r>
      <w:r w:rsidRPr="00394A09">
        <w:rPr>
          <w:rFonts w:ascii="Sylfaen" w:hAnsi="Sylfaen"/>
          <w:sz w:val="24"/>
          <w:szCs w:val="24"/>
        </w:rPr>
        <w:t xml:space="preserve"> տակդիրով, ինչպես նա</w:t>
      </w:r>
      <w:r>
        <w:rPr>
          <w:rFonts w:ascii="Sylfaen" w:hAnsi="Sylfaen"/>
          <w:sz w:val="24"/>
          <w:szCs w:val="24"/>
        </w:rPr>
        <w:t>եւ</w:t>
      </w:r>
      <w:r w:rsidRPr="00394A09">
        <w:rPr>
          <w:rFonts w:ascii="Sylfaen" w:hAnsi="Sylfaen"/>
          <w:sz w:val="24"/>
          <w:szCs w:val="24"/>
        </w:rPr>
        <w:t xml:space="preserve"> բավարար տարողունակություն ունի ջրի մակեր</w:t>
      </w:r>
      <w:r>
        <w:rPr>
          <w:rFonts w:ascii="Sylfaen" w:hAnsi="Sylfaen"/>
          <w:sz w:val="24"/>
          <w:szCs w:val="24"/>
        </w:rPr>
        <w:t>եւ</w:t>
      </w:r>
      <w:r w:rsidRPr="00394A09">
        <w:rPr>
          <w:rFonts w:ascii="Sylfaen" w:hAnsi="Sylfaen"/>
          <w:sz w:val="24"/>
          <w:szCs w:val="24"/>
        </w:rPr>
        <w:t>ույթից վեր</w:t>
      </w:r>
      <w:r>
        <w:rPr>
          <w:rFonts w:ascii="Sylfaen" w:hAnsi="Sylfaen"/>
          <w:sz w:val="24"/>
          <w:szCs w:val="24"/>
        </w:rPr>
        <w:t>եւ</w:t>
      </w:r>
      <w:r w:rsidRPr="00394A09">
        <w:rPr>
          <w:rFonts w:ascii="Sylfaen" w:hAnsi="Sylfaen"/>
          <w:sz w:val="24"/>
          <w:szCs w:val="24"/>
        </w:rPr>
        <w:t xml:space="preserve"> ապակյա փաթեթվածքների այն քանակությունը տեղադրելու համար, որն անհրաժեշտ է փորձարկումն անցկացնելու համար.</w:t>
      </w:r>
    </w:p>
    <w:p w14:paraId="5BE7A16F" w14:textId="77777777" w:rsidR="00AF2D51" w:rsidRPr="00394A09" w:rsidRDefault="00AF2D51" w:rsidP="00AF2D51">
      <w:pPr>
        <w:pStyle w:val="a0"/>
        <w:shd w:val="clear" w:color="auto" w:fill="auto"/>
        <w:tabs>
          <w:tab w:val="left" w:pos="1134"/>
        </w:tabs>
        <w:spacing w:after="160" w:line="360" w:lineRule="auto"/>
        <w:ind w:firstLine="567"/>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համապատասխան տարողունակության բյուրետներ.</w:t>
      </w:r>
    </w:p>
    <w:p w14:paraId="60290E4B" w14:textId="77777777" w:rsidR="00AF2D51" w:rsidRPr="00394A09" w:rsidRDefault="00AF2D51" w:rsidP="00AF2D51">
      <w:pPr>
        <w:pStyle w:val="a0"/>
        <w:shd w:val="clear" w:color="auto" w:fill="auto"/>
        <w:tabs>
          <w:tab w:val="left" w:pos="1134"/>
        </w:tabs>
        <w:spacing w:after="160" w:line="360" w:lineRule="auto"/>
        <w:ind w:firstLine="567"/>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1000 մլ տարողությամբ չափանոթներ.</w:t>
      </w:r>
    </w:p>
    <w:p w14:paraId="22162D76" w14:textId="77777777" w:rsidR="00AF2D51" w:rsidRPr="00394A09" w:rsidRDefault="00AF2D51" w:rsidP="00AF2D51">
      <w:pPr>
        <w:pStyle w:val="a0"/>
        <w:shd w:val="clear" w:color="auto" w:fill="auto"/>
        <w:tabs>
          <w:tab w:val="left" w:pos="1134"/>
        </w:tabs>
        <w:spacing w:after="160" w:line="360" w:lineRule="auto"/>
        <w:ind w:firstLine="567"/>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 xml:space="preserve">կաթոցիկներ </w:t>
      </w:r>
      <w:r>
        <w:rPr>
          <w:rFonts w:ascii="Sylfaen" w:hAnsi="Sylfaen"/>
          <w:sz w:val="24"/>
          <w:szCs w:val="24"/>
        </w:rPr>
        <w:t>եւ</w:t>
      </w:r>
      <w:r w:rsidRPr="00394A09">
        <w:rPr>
          <w:rFonts w:ascii="Sylfaen" w:hAnsi="Sylfaen"/>
          <w:sz w:val="24"/>
          <w:szCs w:val="24"/>
        </w:rPr>
        <w:t xml:space="preserve"> բաժակներ.</w:t>
      </w:r>
    </w:p>
    <w:p w14:paraId="47DAD60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 xml:space="preserve">100 մլ </w:t>
      </w:r>
      <w:r>
        <w:rPr>
          <w:rFonts w:ascii="Sylfaen" w:hAnsi="Sylfaen"/>
          <w:sz w:val="24"/>
          <w:szCs w:val="24"/>
        </w:rPr>
        <w:t>եւ</w:t>
      </w:r>
      <w:r w:rsidRPr="00394A09">
        <w:rPr>
          <w:rFonts w:ascii="Sylfaen" w:hAnsi="Sylfaen"/>
          <w:sz w:val="24"/>
          <w:szCs w:val="24"/>
        </w:rPr>
        <w:t xml:space="preserve"> 250 մլ տարողությամբ կոնաձ</w:t>
      </w:r>
      <w:r>
        <w:rPr>
          <w:rFonts w:ascii="Sylfaen" w:hAnsi="Sylfaen"/>
          <w:sz w:val="24"/>
          <w:szCs w:val="24"/>
        </w:rPr>
        <w:t>եւ</w:t>
      </w:r>
      <w:r w:rsidRPr="00394A09">
        <w:rPr>
          <w:rFonts w:ascii="Sylfaen" w:hAnsi="Sylfaen"/>
          <w:sz w:val="24"/>
          <w:szCs w:val="24"/>
        </w:rPr>
        <w:t xml:space="preserve"> փորձանոթներ.</w:t>
      </w:r>
    </w:p>
    <w:p w14:paraId="3151429A" w14:textId="77777777" w:rsidR="00AF2D51" w:rsidRPr="00394A09" w:rsidRDefault="00AF2D51" w:rsidP="00AF2D51">
      <w:pPr>
        <w:pStyle w:val="a0"/>
        <w:shd w:val="clear" w:color="auto" w:fill="auto"/>
        <w:tabs>
          <w:tab w:val="left" w:pos="1134"/>
        </w:tabs>
        <w:spacing w:after="160" w:line="360" w:lineRule="auto"/>
        <w:ind w:firstLine="567"/>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ջրային բաղնիք.</w:t>
      </w:r>
    </w:p>
    <w:p w14:paraId="1574DE0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մետաղական փայլաթիթեղ (օրինակ՝ ալյումինից, չժանգոտվող պողպատից):</w:t>
      </w:r>
    </w:p>
    <w:p w14:paraId="3F772C8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Փորձանոթներն ու բաժակներն օգտագործելուց առաջ հարկավոր է լցնել </w:t>
      </w:r>
      <w:r w:rsidRPr="00394A09">
        <w:rPr>
          <w:rFonts w:ascii="Sylfaen" w:hAnsi="Sylfaen"/>
          <w:i/>
          <w:sz w:val="24"/>
          <w:szCs w:val="24"/>
        </w:rPr>
        <w:t>Ռ ջրով</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ոչ պակաս քան 1 ժամ պահել ավտակլավի մեջ՝ 121 °С ջերմաստիճանի տակ:</w:t>
      </w:r>
    </w:p>
    <w:p w14:paraId="59F328E7" w14:textId="77777777" w:rsidR="00AF2D51" w:rsidRDefault="00AF2D51" w:rsidP="00AF2D51">
      <w:pPr>
        <w:rPr>
          <w:rFonts w:eastAsia="Times New Roman" w:cs="Times New Roman"/>
          <w:b/>
        </w:rPr>
      </w:pPr>
      <w:r>
        <w:rPr>
          <w:b/>
        </w:rPr>
        <w:br w:type="page"/>
      </w:r>
    </w:p>
    <w:p w14:paraId="6075102A"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lastRenderedPageBreak/>
        <w:t>ԼՑԱՎՈՐՄԱՆ ԾԱՎԱԼԻ ՍԱՀՄԱՆՈՒՄԸ</w:t>
      </w:r>
    </w:p>
    <w:p w14:paraId="05FA0AD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Լցավորման ծավալը ջրի այն ծավալն է, որով պետք է լցվի փաթեթվածքը՝ փորձարկումն անցկացնելու համար: Շշերի </w:t>
      </w:r>
      <w:r>
        <w:rPr>
          <w:rFonts w:ascii="Sylfaen" w:hAnsi="Sylfaen"/>
          <w:sz w:val="24"/>
          <w:szCs w:val="24"/>
        </w:rPr>
        <w:t>եւ</w:t>
      </w:r>
      <w:r w:rsidRPr="00394A09">
        <w:rPr>
          <w:rFonts w:ascii="Sylfaen" w:hAnsi="Sylfaen"/>
          <w:sz w:val="24"/>
          <w:szCs w:val="24"/>
        </w:rPr>
        <w:t xml:space="preserve"> սրվակների համար լցավորման ծավալը կազմում է փաթեթվածքի ամբողջ տարողունակության 90 տոկոսը (մինչ</w:t>
      </w:r>
      <w:r>
        <w:rPr>
          <w:rFonts w:ascii="Sylfaen" w:hAnsi="Sylfaen"/>
          <w:sz w:val="24"/>
          <w:szCs w:val="24"/>
        </w:rPr>
        <w:t>եւ</w:t>
      </w:r>
      <w:r w:rsidRPr="00394A09">
        <w:rPr>
          <w:rFonts w:ascii="Sylfaen" w:hAnsi="Sylfaen"/>
          <w:sz w:val="24"/>
          <w:szCs w:val="24"/>
        </w:rPr>
        <w:t xml:space="preserve"> եզրերը): Ամպուլների համար լցավորման ծավալը համապատասխանում է մինչ</w:t>
      </w:r>
      <w:r>
        <w:rPr>
          <w:rFonts w:ascii="Sylfaen" w:hAnsi="Sylfaen"/>
          <w:sz w:val="24"/>
          <w:szCs w:val="24"/>
        </w:rPr>
        <w:t>եւ</w:t>
      </w:r>
      <w:r w:rsidRPr="00394A09">
        <w:rPr>
          <w:rFonts w:ascii="Sylfaen" w:hAnsi="Sylfaen"/>
          <w:sz w:val="24"/>
          <w:szCs w:val="24"/>
        </w:rPr>
        <w:t xml:space="preserve"> ուսը բարձրության ծավալին:</w:t>
      </w:r>
    </w:p>
    <w:p w14:paraId="647E2C3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Սրվակները </w:t>
      </w:r>
      <w:r>
        <w:rPr>
          <w:rFonts w:ascii="Sylfaen" w:hAnsi="Sylfaen"/>
          <w:b/>
          <w:sz w:val="24"/>
          <w:szCs w:val="24"/>
        </w:rPr>
        <w:t>եւ</w:t>
      </w:r>
      <w:r w:rsidRPr="00394A09">
        <w:rPr>
          <w:rFonts w:ascii="Sylfaen" w:hAnsi="Sylfaen"/>
          <w:b/>
          <w:sz w:val="24"/>
          <w:szCs w:val="24"/>
        </w:rPr>
        <w:t xml:space="preserve"> շշերը։ </w:t>
      </w:r>
      <w:r w:rsidRPr="00394A09">
        <w:rPr>
          <w:rFonts w:ascii="Sylfaen" w:hAnsi="Sylfaen"/>
          <w:sz w:val="24"/>
          <w:szCs w:val="24"/>
        </w:rPr>
        <w:t xml:space="preserve">Ընտրում են պատահական սկզբունքով՝ 6 </w:t>
      </w:r>
      <w:r w:rsidRPr="00AA4CFB">
        <w:rPr>
          <w:rFonts w:ascii="Sylfaen" w:hAnsi="Sylfaen"/>
          <w:spacing w:val="-4"/>
          <w:sz w:val="24"/>
          <w:szCs w:val="24"/>
        </w:rPr>
        <w:t>փաթեթվածքների խմբաքանակից (կամ 3, եթե դրանց տարողունակությունը 100 մլ-ից ավելի</w:t>
      </w:r>
      <w:r w:rsidRPr="00394A09">
        <w:rPr>
          <w:rFonts w:ascii="Sylfaen" w:hAnsi="Sylfaen"/>
          <w:sz w:val="24"/>
          <w:szCs w:val="24"/>
        </w:rPr>
        <w:t xml:space="preserve"> է) </w:t>
      </w:r>
      <w:r>
        <w:rPr>
          <w:rFonts w:ascii="Sylfaen" w:hAnsi="Sylfaen"/>
          <w:sz w:val="24"/>
          <w:szCs w:val="24"/>
        </w:rPr>
        <w:t>եւ</w:t>
      </w:r>
      <w:r w:rsidRPr="00394A09">
        <w:rPr>
          <w:rFonts w:ascii="Sylfaen" w:hAnsi="Sylfaen"/>
          <w:sz w:val="24"/>
          <w:szCs w:val="24"/>
        </w:rPr>
        <w:t xml:space="preserve"> մաքրում են կեղտից ու բեկորներից: Դատարկ փաթեթվածքները կշռում են մինչ</w:t>
      </w:r>
      <w:r>
        <w:rPr>
          <w:rFonts w:ascii="Sylfaen" w:hAnsi="Sylfaen"/>
          <w:sz w:val="24"/>
          <w:szCs w:val="24"/>
        </w:rPr>
        <w:t>եւ</w:t>
      </w:r>
      <w:r w:rsidRPr="00394A09">
        <w:rPr>
          <w:rFonts w:ascii="Sylfaen" w:hAnsi="Sylfaen"/>
          <w:sz w:val="24"/>
          <w:szCs w:val="24"/>
        </w:rPr>
        <w:t xml:space="preserve"> 0,1 գ ճշգրտությամբ, տեղադրում են հորիզոնական մակեր</w:t>
      </w:r>
      <w:r>
        <w:rPr>
          <w:rFonts w:ascii="Sylfaen" w:hAnsi="Sylfaen"/>
          <w:sz w:val="24"/>
          <w:szCs w:val="24"/>
        </w:rPr>
        <w:t>եւ</w:t>
      </w:r>
      <w:r w:rsidRPr="00394A09">
        <w:rPr>
          <w:rFonts w:ascii="Sylfaen" w:hAnsi="Sylfaen"/>
          <w:sz w:val="24"/>
          <w:szCs w:val="24"/>
        </w:rPr>
        <w:t xml:space="preserve">ույթի վրա </w:t>
      </w:r>
      <w:r>
        <w:rPr>
          <w:rFonts w:ascii="Sylfaen" w:hAnsi="Sylfaen"/>
          <w:sz w:val="24"/>
          <w:szCs w:val="24"/>
        </w:rPr>
        <w:t>եւ</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եզրերը լցնում են </w:t>
      </w:r>
      <w:r w:rsidRPr="00394A09">
        <w:rPr>
          <w:rFonts w:ascii="Sylfaen" w:hAnsi="Sylfaen"/>
          <w:i/>
          <w:sz w:val="24"/>
          <w:szCs w:val="24"/>
        </w:rPr>
        <w:t>Ռ ջրով</w:t>
      </w:r>
      <w:r w:rsidRPr="00394A09">
        <w:rPr>
          <w:rFonts w:ascii="Sylfaen" w:hAnsi="Sylfaen"/>
          <w:sz w:val="24"/>
          <w:szCs w:val="24"/>
        </w:rPr>
        <w:t xml:space="preserve">՝ խուսափելով գերլցնելուց </w:t>
      </w:r>
      <w:r>
        <w:rPr>
          <w:rFonts w:ascii="Sylfaen" w:hAnsi="Sylfaen"/>
          <w:sz w:val="24"/>
          <w:szCs w:val="24"/>
        </w:rPr>
        <w:t>եւ</w:t>
      </w:r>
      <w:r w:rsidRPr="00394A09">
        <w:rPr>
          <w:rFonts w:ascii="Sylfaen" w:hAnsi="Sylfaen"/>
          <w:sz w:val="24"/>
          <w:szCs w:val="24"/>
        </w:rPr>
        <w:t xml:space="preserve"> օդի պղպջակներից: Հեղուկի մակարդակը կարգավորում են ըստ ստորին մենիսկի </w:t>
      </w:r>
      <w:r>
        <w:rPr>
          <w:rFonts w:ascii="Sylfaen" w:hAnsi="Sylfaen"/>
          <w:sz w:val="24"/>
          <w:szCs w:val="24"/>
        </w:rPr>
        <w:t>եւ</w:t>
      </w:r>
      <w:r w:rsidRPr="00394A09">
        <w:rPr>
          <w:rFonts w:ascii="Sylfaen" w:hAnsi="Sylfaen"/>
          <w:sz w:val="24"/>
          <w:szCs w:val="24"/>
        </w:rPr>
        <w:t xml:space="preserve"> կշռում լցված փաթեթվածքները մինչ</w:t>
      </w:r>
      <w:r>
        <w:rPr>
          <w:rFonts w:ascii="Sylfaen" w:hAnsi="Sylfaen"/>
          <w:sz w:val="24"/>
          <w:szCs w:val="24"/>
        </w:rPr>
        <w:t>եւ</w:t>
      </w:r>
      <w:r w:rsidRPr="00394A09">
        <w:rPr>
          <w:rFonts w:ascii="Sylfaen" w:hAnsi="Sylfaen"/>
          <w:sz w:val="24"/>
          <w:szCs w:val="24"/>
        </w:rPr>
        <w:t xml:space="preserve"> 0,01 գ ճշգրտությամբ՝ 30 մլ-ից պակաս կամ դրան հավասար նոմինալ ծավալ ունեցող փաթեթվածքների համար, </w:t>
      </w:r>
      <w:r>
        <w:rPr>
          <w:rFonts w:ascii="Sylfaen" w:hAnsi="Sylfaen"/>
          <w:sz w:val="24"/>
          <w:szCs w:val="24"/>
        </w:rPr>
        <w:t>եւ</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0,1 գ ճշգրտությամբ՝ 30 մլ-ից ավելի նոմինալ ծավալ ունեցող փաթեթվածքների համար, </w:t>
      </w:r>
      <w:r>
        <w:rPr>
          <w:rFonts w:ascii="Sylfaen" w:hAnsi="Sylfaen"/>
          <w:sz w:val="24"/>
          <w:szCs w:val="24"/>
        </w:rPr>
        <w:t>եւ</w:t>
      </w:r>
      <w:r w:rsidRPr="00394A09">
        <w:rPr>
          <w:rFonts w:ascii="Sylfaen" w:hAnsi="Sylfaen"/>
          <w:sz w:val="24"/>
          <w:szCs w:val="24"/>
        </w:rPr>
        <w:t xml:space="preserve"> ստանում ջրի զանգվածը: Միլիլիտրերով հաշվարկում են ամբողջական տարողունակության միջին արժեքը </w:t>
      </w:r>
      <w:r>
        <w:rPr>
          <w:rFonts w:ascii="Sylfaen" w:hAnsi="Sylfaen"/>
          <w:sz w:val="24"/>
          <w:szCs w:val="24"/>
        </w:rPr>
        <w:t>եւ</w:t>
      </w:r>
      <w:r w:rsidRPr="00394A09">
        <w:rPr>
          <w:rFonts w:ascii="Sylfaen" w:hAnsi="Sylfaen"/>
          <w:sz w:val="24"/>
          <w:szCs w:val="24"/>
        </w:rPr>
        <w:t xml:space="preserve"> բազմապատկում 0,9-ով: Մինչ</w:t>
      </w:r>
      <w:r>
        <w:rPr>
          <w:rFonts w:ascii="Sylfaen" w:hAnsi="Sylfaen"/>
          <w:sz w:val="24"/>
          <w:szCs w:val="24"/>
        </w:rPr>
        <w:t>եւ</w:t>
      </w:r>
      <w:r w:rsidRPr="00394A09">
        <w:rPr>
          <w:rFonts w:ascii="Sylfaen" w:hAnsi="Sylfaen"/>
          <w:sz w:val="24"/>
          <w:szCs w:val="24"/>
        </w:rPr>
        <w:t xml:space="preserve"> 0,1 մլ ճշգրտությամբ ստացված ծավալը կոնկրետ փաթեթվածքի համար լցավորման ծավալն է:</w:t>
      </w:r>
    </w:p>
    <w:p w14:paraId="577466C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s="Sylfaen"/>
          <w:noProof/>
          <w:sz w:val="24"/>
          <w:szCs w:val="24"/>
          <w:lang w:val="en-US" w:eastAsia="en-US" w:bidi="ar-SA"/>
        </w:rPr>
        <w:drawing>
          <wp:inline distT="0" distB="0" distL="0" distR="0" wp14:anchorId="05FC7604" wp14:editId="41483558">
            <wp:extent cx="1745252" cy="1341120"/>
            <wp:effectExtent l="19050" t="0" r="7348" b="0"/>
            <wp:docPr id="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cstate="print"/>
                    <a:srcRect/>
                    <a:stretch>
                      <a:fillRect/>
                    </a:stretch>
                  </pic:blipFill>
                  <pic:spPr bwMode="auto">
                    <a:xfrm>
                      <a:off x="0" y="0"/>
                      <a:ext cx="1745434" cy="1341260"/>
                    </a:xfrm>
                    <a:prstGeom prst="rect">
                      <a:avLst/>
                    </a:prstGeom>
                    <a:noFill/>
                    <a:ln w="9525">
                      <a:noFill/>
                      <a:miter lim="800000"/>
                      <a:headEnd/>
                      <a:tailEnd/>
                    </a:ln>
                  </pic:spPr>
                </pic:pic>
              </a:graphicData>
            </a:graphic>
          </wp:inline>
        </w:drawing>
      </w:r>
    </w:p>
    <w:p w14:paraId="279867E4" w14:textId="77777777" w:rsidR="00AF2D51" w:rsidRPr="00AA4CFB" w:rsidRDefault="00AF2D51" w:rsidP="00AF2D51">
      <w:pPr>
        <w:pStyle w:val="a0"/>
        <w:shd w:val="clear" w:color="auto" w:fill="auto"/>
        <w:spacing w:after="160" w:line="360" w:lineRule="auto"/>
        <w:ind w:firstLine="567"/>
        <w:jc w:val="both"/>
        <w:rPr>
          <w:rFonts w:ascii="Sylfaen" w:hAnsi="Sylfaen" w:cs="Sylfaen"/>
          <w:szCs w:val="24"/>
        </w:rPr>
      </w:pPr>
      <w:r w:rsidRPr="00AA4CFB">
        <w:rPr>
          <w:rFonts w:ascii="Sylfaen" w:hAnsi="Sylfaen"/>
          <w:szCs w:val="24"/>
        </w:rPr>
        <w:t xml:space="preserve">Նկար 2.4.2.2-1. </w:t>
      </w:r>
      <w:r w:rsidRPr="00AA4CFB">
        <w:rPr>
          <w:rFonts w:ascii="Sylfaen" w:hAnsi="Sylfaen"/>
          <w:i/>
          <w:szCs w:val="24"/>
        </w:rPr>
        <w:t>Ամպուլների լցավորման ծավալը (մինչեւ Ա կետը)</w:t>
      </w:r>
    </w:p>
    <w:p w14:paraId="1CD6701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6998040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Ամպուլները։ </w:t>
      </w:r>
      <w:r w:rsidRPr="00394A09">
        <w:rPr>
          <w:rFonts w:ascii="Sylfaen" w:hAnsi="Sylfaen"/>
          <w:sz w:val="24"/>
          <w:szCs w:val="24"/>
        </w:rPr>
        <w:t>6-ից ոչ պակաս չոր ամպուլ տեղադրում են հորիզոնական մակեր</w:t>
      </w:r>
      <w:r>
        <w:rPr>
          <w:rFonts w:ascii="Sylfaen" w:hAnsi="Sylfaen"/>
          <w:sz w:val="24"/>
          <w:szCs w:val="24"/>
        </w:rPr>
        <w:t>եւ</w:t>
      </w:r>
      <w:r w:rsidRPr="00394A09">
        <w:rPr>
          <w:rFonts w:ascii="Sylfaen" w:hAnsi="Sylfaen"/>
          <w:sz w:val="24"/>
          <w:szCs w:val="24"/>
        </w:rPr>
        <w:t xml:space="preserve">ույթի վրա </w:t>
      </w:r>
      <w:r>
        <w:rPr>
          <w:rFonts w:ascii="Sylfaen" w:hAnsi="Sylfaen"/>
          <w:sz w:val="24"/>
          <w:szCs w:val="24"/>
        </w:rPr>
        <w:t>եւ</w:t>
      </w:r>
      <w:r w:rsidRPr="00394A09">
        <w:rPr>
          <w:rFonts w:ascii="Sylfaen" w:hAnsi="Sylfaen"/>
          <w:sz w:val="24"/>
          <w:szCs w:val="24"/>
        </w:rPr>
        <w:t xml:space="preserve"> բյուրետից լցնում </w:t>
      </w:r>
      <w:r w:rsidRPr="00394A09">
        <w:rPr>
          <w:rFonts w:ascii="Sylfaen" w:hAnsi="Sylfaen"/>
          <w:i/>
          <w:sz w:val="24"/>
          <w:szCs w:val="24"/>
        </w:rPr>
        <w:t>Ռ ջրով՝</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ուսի բարձրությունը </w:t>
      </w:r>
      <w:r w:rsidRPr="00394A09">
        <w:rPr>
          <w:rFonts w:ascii="Sylfaen" w:hAnsi="Sylfaen"/>
          <w:sz w:val="24"/>
          <w:szCs w:val="24"/>
        </w:rPr>
        <w:lastRenderedPageBreak/>
        <w:t>(Ա</w:t>
      </w:r>
      <w:r w:rsidRPr="00AA4CFB">
        <w:rPr>
          <w:rFonts w:ascii="Sylfaen" w:hAnsi="Sylfaen"/>
          <w:sz w:val="24"/>
          <w:szCs w:val="24"/>
        </w:rPr>
        <w:t> </w:t>
      </w:r>
      <w:r w:rsidRPr="00394A09">
        <w:rPr>
          <w:rFonts w:ascii="Sylfaen" w:hAnsi="Sylfaen"/>
          <w:sz w:val="24"/>
          <w:szCs w:val="24"/>
        </w:rPr>
        <w:t>կետ) (տե՛ս նկար 2.4.2.2-1-ը): Որոշում են տարողունակությունը (մինչ</w:t>
      </w:r>
      <w:r>
        <w:rPr>
          <w:rFonts w:ascii="Sylfaen" w:hAnsi="Sylfaen"/>
          <w:sz w:val="24"/>
          <w:szCs w:val="24"/>
        </w:rPr>
        <w:t>եւ</w:t>
      </w:r>
      <w:r w:rsidRPr="00394A09">
        <w:rPr>
          <w:rFonts w:ascii="Sylfaen" w:hAnsi="Sylfaen"/>
          <w:sz w:val="24"/>
          <w:szCs w:val="24"/>
        </w:rPr>
        <w:t xml:space="preserve"> 0,01 ճշգրտությամբ) </w:t>
      </w:r>
      <w:r>
        <w:rPr>
          <w:rFonts w:ascii="Sylfaen" w:hAnsi="Sylfaen"/>
          <w:sz w:val="24"/>
          <w:szCs w:val="24"/>
        </w:rPr>
        <w:t>եւ</w:t>
      </w:r>
      <w:r w:rsidRPr="00394A09">
        <w:rPr>
          <w:rFonts w:ascii="Sylfaen" w:hAnsi="Sylfaen"/>
          <w:sz w:val="24"/>
          <w:szCs w:val="24"/>
        </w:rPr>
        <w:t xml:space="preserve"> հաշվարկում միջին արժեքը: Մինչեւ մեկ տասնորդական նշան ճշգրտությամբ արտահայտված ծավալը ամպուլների կոնկրետ խմբաքանակի համար լցավորման ծավալն է: Լցավորման ծավալը կարող է նա</w:t>
      </w:r>
      <w:r>
        <w:rPr>
          <w:rFonts w:ascii="Sylfaen" w:hAnsi="Sylfaen"/>
          <w:sz w:val="24"/>
          <w:szCs w:val="24"/>
        </w:rPr>
        <w:t>եւ</w:t>
      </w:r>
      <w:r w:rsidRPr="00394A09">
        <w:rPr>
          <w:rFonts w:ascii="Sylfaen" w:hAnsi="Sylfaen"/>
          <w:sz w:val="24"/>
          <w:szCs w:val="24"/>
        </w:rPr>
        <w:t xml:space="preserve"> որոշվել կշռման միջոցով:</w:t>
      </w:r>
    </w:p>
    <w:p w14:paraId="07DEF47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Ներարկիչներ </w:t>
      </w:r>
      <w:r>
        <w:rPr>
          <w:rFonts w:ascii="Sylfaen" w:hAnsi="Sylfaen"/>
          <w:b/>
          <w:sz w:val="24"/>
          <w:szCs w:val="24"/>
        </w:rPr>
        <w:t>եւ</w:t>
      </w:r>
      <w:r w:rsidRPr="00394A09">
        <w:rPr>
          <w:rFonts w:ascii="Sylfaen" w:hAnsi="Sylfaen"/>
          <w:b/>
          <w:sz w:val="24"/>
          <w:szCs w:val="24"/>
        </w:rPr>
        <w:t xml:space="preserve"> քարթրիջներ։ </w:t>
      </w:r>
      <w:r w:rsidRPr="00394A09">
        <w:rPr>
          <w:rFonts w:ascii="Sylfaen" w:hAnsi="Sylfaen"/>
          <w:sz w:val="24"/>
          <w:szCs w:val="24"/>
        </w:rPr>
        <w:t xml:space="preserve">Ընտրում են 6 ներարկիչ կամ քարթրիջ, փակում են անցքը (քարթրիջների բկանցքն ու ասեղը եւ (կամ) Լուերի նստեցման կոնը)՝ օգտագործելով իներտ նյութ (օրինակ՝ պաշտպանիչ թասակ): Որոշում են լցավորման միջին ծավալը՝ </w:t>
      </w:r>
      <w:r w:rsidRPr="00394A09">
        <w:rPr>
          <w:rFonts w:ascii="Sylfaen" w:hAnsi="Sylfaen"/>
          <w:i/>
          <w:sz w:val="24"/>
          <w:szCs w:val="24"/>
        </w:rPr>
        <w:t xml:space="preserve">Սրվակներ </w:t>
      </w:r>
      <w:r>
        <w:rPr>
          <w:rFonts w:ascii="Sylfaen" w:hAnsi="Sylfaen"/>
          <w:i/>
          <w:sz w:val="24"/>
          <w:szCs w:val="24"/>
        </w:rPr>
        <w:t>եւ</w:t>
      </w:r>
      <w:r w:rsidRPr="00394A09">
        <w:rPr>
          <w:rFonts w:ascii="Sylfaen" w:hAnsi="Sylfaen"/>
          <w:i/>
          <w:sz w:val="24"/>
          <w:szCs w:val="24"/>
        </w:rPr>
        <w:t xml:space="preserve"> շշեր</w:t>
      </w:r>
      <w:r w:rsidRPr="00394A09">
        <w:rPr>
          <w:rFonts w:ascii="Sylfaen" w:hAnsi="Sylfaen"/>
          <w:sz w:val="24"/>
          <w:szCs w:val="24"/>
        </w:rPr>
        <w:t xml:space="preserve"> բաժնում նկարագրված ընթացակարգին համապատասխան, </w:t>
      </w:r>
      <w:r>
        <w:rPr>
          <w:rFonts w:ascii="Sylfaen" w:hAnsi="Sylfaen"/>
          <w:sz w:val="24"/>
          <w:szCs w:val="24"/>
        </w:rPr>
        <w:t>եւ</w:t>
      </w:r>
      <w:r w:rsidRPr="00394A09">
        <w:rPr>
          <w:rFonts w:ascii="Sylfaen" w:hAnsi="Sylfaen"/>
          <w:sz w:val="24"/>
          <w:szCs w:val="24"/>
        </w:rPr>
        <w:t xml:space="preserve"> բազմապատկում են 0,9-ով: Մինչ</w:t>
      </w:r>
      <w:r>
        <w:rPr>
          <w:rFonts w:ascii="Sylfaen" w:hAnsi="Sylfaen"/>
          <w:sz w:val="24"/>
          <w:szCs w:val="24"/>
        </w:rPr>
        <w:t>եւ</w:t>
      </w:r>
      <w:r w:rsidRPr="00394A09">
        <w:rPr>
          <w:rFonts w:ascii="Sylfaen" w:hAnsi="Sylfaen"/>
          <w:sz w:val="24"/>
          <w:szCs w:val="24"/>
        </w:rPr>
        <w:t xml:space="preserve"> 0,1 մլ ճշգրտությամբ արտահայտված՝ տրված ծավալը փաթեթվածքների կոնկրետ խմբաքանակի համար լցավորման ծավալն է:</w:t>
      </w:r>
    </w:p>
    <w:p w14:paraId="0F55E32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6CF8528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ՓՈՐՁԱՐԿՈՒՄ Ա</w:t>
      </w:r>
    </w:p>
    <w:p w14:paraId="0D827BC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ԱՊԱԿՅԱ ՓԱԹԵԹՎԱԾՔՆԵՐԻ ՆԵՐՔԻՆ ՄԱԿԵՐԵՎՈՒՅԹՆԵՐԻ ՀԻԴՐՈԼԻՏԻԿ ԿԱՅՈՒՆՈՒԹՅՈՒՆԸ (ՄԱԿԵՐԵՎՈՒՅԹԻ ՓՈՐՁԱՐԿՈՒՄ)</w:t>
      </w:r>
    </w:p>
    <w:p w14:paraId="61D260DF" w14:textId="77777777" w:rsidR="00AF2D51" w:rsidRPr="00AF2D51" w:rsidRDefault="00AF2D51" w:rsidP="00AF2D51">
      <w:pPr>
        <w:spacing w:after="160" w:line="360" w:lineRule="auto"/>
        <w:ind w:firstLine="567"/>
        <w:jc w:val="both"/>
      </w:pPr>
      <w:r w:rsidRPr="00394A09">
        <w:t>Որոշումն անցկացնում են նախկինում չօգտագործված փաթեթվածքներով: Վերջնական որոշման համար անհրաժեշտ՝ փորձարկվող հեղուկի ծավալները ներկայացված են 2.4.2.2-2 աղյուսակում:</w:t>
      </w:r>
      <w:r w:rsidRPr="00AA4CFB">
        <w:t xml:space="preserve"> </w:t>
      </w:r>
    </w:p>
    <w:p w14:paraId="5EDB28F8" w14:textId="77777777" w:rsidR="00AF2D51" w:rsidRPr="00AF2D51" w:rsidRDefault="00AF2D51" w:rsidP="00AF2D51">
      <w:pPr>
        <w:ind w:firstLine="567"/>
        <w:jc w:val="both"/>
        <w:rPr>
          <w:sz w:val="20"/>
        </w:rPr>
      </w:pPr>
    </w:p>
    <w:p w14:paraId="18BFA9C2" w14:textId="77777777" w:rsidR="00AF2D51" w:rsidRPr="00394A09" w:rsidRDefault="00AF2D51" w:rsidP="00AF2D51">
      <w:pPr>
        <w:spacing w:after="160" w:line="360" w:lineRule="auto"/>
        <w:ind w:firstLine="567"/>
        <w:jc w:val="both"/>
      </w:pPr>
      <w:r w:rsidRPr="00394A09">
        <w:t xml:space="preserve">Աղյուսակ 2.4.2.2-2. </w:t>
      </w:r>
      <w:r w:rsidRPr="00394A09">
        <w:rPr>
          <w:i/>
        </w:rPr>
        <w:t xml:space="preserve">Փորձարկվող հեղուկի ծավալները </w:t>
      </w:r>
      <w:r>
        <w:rPr>
          <w:i/>
        </w:rPr>
        <w:t>եւ</w:t>
      </w:r>
      <w:r w:rsidRPr="00394A09">
        <w:rPr>
          <w:i/>
        </w:rPr>
        <w:t xml:space="preserve"> տիտրումների քանակը</w:t>
      </w:r>
    </w:p>
    <w:tbl>
      <w:tblPr>
        <w:tblW w:w="7938" w:type="dxa"/>
        <w:tblLayout w:type="fixed"/>
        <w:tblCellMar>
          <w:left w:w="0" w:type="dxa"/>
          <w:right w:w="0" w:type="dxa"/>
        </w:tblCellMar>
        <w:tblLook w:val="0000" w:firstRow="0" w:lastRow="0" w:firstColumn="0" w:lastColumn="0" w:noHBand="0" w:noVBand="0"/>
      </w:tblPr>
      <w:tblGrid>
        <w:gridCol w:w="2127"/>
        <w:gridCol w:w="2551"/>
        <w:gridCol w:w="3260"/>
      </w:tblGrid>
      <w:tr w:rsidR="00AF2D51" w:rsidRPr="00AA4CFB" w14:paraId="11718AAF" w14:textId="77777777" w:rsidTr="00DA21D0">
        <w:trPr>
          <w:trHeight w:val="758"/>
        </w:trPr>
        <w:tc>
          <w:tcPr>
            <w:tcW w:w="2127" w:type="dxa"/>
            <w:tcBorders>
              <w:top w:val="single" w:sz="4" w:space="0" w:color="auto"/>
              <w:left w:val="nil"/>
              <w:bottom w:val="nil"/>
              <w:right w:val="nil"/>
            </w:tcBorders>
            <w:shd w:val="clear" w:color="auto" w:fill="FFFFFF"/>
            <w:vAlign w:val="center"/>
          </w:tcPr>
          <w:p w14:paraId="0BE02E07" w14:textId="77777777" w:rsidR="00AF2D51" w:rsidRPr="00AA4CFB" w:rsidRDefault="00AF2D51" w:rsidP="00AF2D51">
            <w:pPr>
              <w:spacing w:after="120"/>
              <w:jc w:val="center"/>
              <w:rPr>
                <w:rFonts w:eastAsia="Times New Roman" w:cs="Times New Roman"/>
                <w:sz w:val="20"/>
              </w:rPr>
            </w:pPr>
            <w:r w:rsidRPr="00AA4CFB">
              <w:rPr>
                <w:sz w:val="20"/>
              </w:rPr>
              <w:t>Լցավորման ծավալը (մլ)</w:t>
            </w:r>
          </w:p>
        </w:tc>
        <w:tc>
          <w:tcPr>
            <w:tcW w:w="2551" w:type="dxa"/>
            <w:tcBorders>
              <w:top w:val="single" w:sz="4" w:space="0" w:color="auto"/>
              <w:left w:val="nil"/>
              <w:bottom w:val="nil"/>
              <w:right w:val="nil"/>
            </w:tcBorders>
            <w:shd w:val="clear" w:color="auto" w:fill="FFFFFF"/>
            <w:vAlign w:val="bottom"/>
          </w:tcPr>
          <w:p w14:paraId="32527F03" w14:textId="77777777" w:rsidR="00AF2D51" w:rsidRPr="00AA4CFB" w:rsidRDefault="00AF2D51" w:rsidP="00AF2D51">
            <w:pPr>
              <w:spacing w:after="120"/>
              <w:jc w:val="center"/>
              <w:rPr>
                <w:rFonts w:eastAsia="Times New Roman" w:cs="Times New Roman"/>
                <w:sz w:val="20"/>
              </w:rPr>
            </w:pPr>
            <w:r w:rsidRPr="00AA4CFB">
              <w:rPr>
                <w:sz w:val="20"/>
              </w:rPr>
              <w:t xml:space="preserve">Տիտրման համար փորձարկվող հեղուկի ծավալը (մլ) </w:t>
            </w:r>
          </w:p>
        </w:tc>
        <w:tc>
          <w:tcPr>
            <w:tcW w:w="3260" w:type="dxa"/>
            <w:tcBorders>
              <w:top w:val="single" w:sz="4" w:space="0" w:color="auto"/>
              <w:left w:val="nil"/>
              <w:bottom w:val="nil"/>
              <w:right w:val="nil"/>
            </w:tcBorders>
            <w:shd w:val="clear" w:color="auto" w:fill="FFFFFF"/>
            <w:vAlign w:val="center"/>
          </w:tcPr>
          <w:p w14:paraId="21DF5FF9" w14:textId="77777777" w:rsidR="00AF2D51" w:rsidRPr="00AA4CFB" w:rsidRDefault="00AF2D51" w:rsidP="00AF2D51">
            <w:pPr>
              <w:spacing w:after="120"/>
              <w:jc w:val="center"/>
              <w:rPr>
                <w:rFonts w:eastAsia="Times New Roman" w:cs="Times New Roman"/>
                <w:sz w:val="20"/>
              </w:rPr>
            </w:pPr>
            <w:r w:rsidRPr="00AA4CFB">
              <w:rPr>
                <w:sz w:val="20"/>
              </w:rPr>
              <w:t>Տիտրումների քանակը</w:t>
            </w:r>
          </w:p>
        </w:tc>
      </w:tr>
      <w:tr w:rsidR="00AF2D51" w:rsidRPr="00AA4CFB" w14:paraId="1417B146" w14:textId="77777777" w:rsidTr="00DA21D0">
        <w:trPr>
          <w:trHeight w:val="274"/>
        </w:trPr>
        <w:tc>
          <w:tcPr>
            <w:tcW w:w="2127" w:type="dxa"/>
            <w:tcBorders>
              <w:top w:val="single" w:sz="4" w:space="0" w:color="auto"/>
              <w:left w:val="nil"/>
              <w:bottom w:val="nil"/>
              <w:right w:val="nil"/>
            </w:tcBorders>
            <w:shd w:val="clear" w:color="auto" w:fill="FFFFFF"/>
            <w:vAlign w:val="bottom"/>
          </w:tcPr>
          <w:p w14:paraId="4BE20A08" w14:textId="77777777" w:rsidR="00AF2D51" w:rsidRPr="00AA4CFB" w:rsidRDefault="00AF2D51" w:rsidP="00AF2D51">
            <w:pPr>
              <w:spacing w:after="120"/>
              <w:rPr>
                <w:rFonts w:eastAsia="Times New Roman" w:cs="Times New Roman"/>
                <w:b/>
                <w:bCs/>
                <w:i/>
                <w:iCs/>
                <w:sz w:val="20"/>
              </w:rPr>
            </w:pPr>
            <w:r w:rsidRPr="00AA4CFB">
              <w:rPr>
                <w:sz w:val="20"/>
              </w:rPr>
              <w:t>Մինչեւ 3</w:t>
            </w:r>
          </w:p>
        </w:tc>
        <w:tc>
          <w:tcPr>
            <w:tcW w:w="2551" w:type="dxa"/>
            <w:tcBorders>
              <w:top w:val="single" w:sz="4" w:space="0" w:color="auto"/>
              <w:left w:val="nil"/>
              <w:bottom w:val="nil"/>
              <w:right w:val="nil"/>
            </w:tcBorders>
            <w:shd w:val="clear" w:color="auto" w:fill="FFFFFF"/>
            <w:vAlign w:val="bottom"/>
          </w:tcPr>
          <w:p w14:paraId="39A7A00F" w14:textId="77777777" w:rsidR="00AF2D51" w:rsidRPr="00AA4CFB" w:rsidRDefault="00AF2D51" w:rsidP="00AF2D51">
            <w:pPr>
              <w:spacing w:after="120"/>
              <w:jc w:val="center"/>
              <w:rPr>
                <w:rFonts w:eastAsia="Times New Roman" w:cs="Times New Roman"/>
                <w:sz w:val="20"/>
              </w:rPr>
            </w:pPr>
            <w:r w:rsidRPr="00AA4CFB">
              <w:rPr>
                <w:sz w:val="20"/>
              </w:rPr>
              <w:t>25,0</w:t>
            </w:r>
          </w:p>
        </w:tc>
        <w:tc>
          <w:tcPr>
            <w:tcW w:w="3260" w:type="dxa"/>
            <w:tcBorders>
              <w:top w:val="single" w:sz="4" w:space="0" w:color="auto"/>
              <w:left w:val="nil"/>
              <w:bottom w:val="nil"/>
              <w:right w:val="nil"/>
            </w:tcBorders>
            <w:shd w:val="clear" w:color="auto" w:fill="FFFFFF"/>
            <w:vAlign w:val="bottom"/>
          </w:tcPr>
          <w:p w14:paraId="6EB44067" w14:textId="77777777" w:rsidR="00AF2D51" w:rsidRPr="00AA4CFB" w:rsidRDefault="00AF2D51" w:rsidP="00AF2D51">
            <w:pPr>
              <w:spacing w:after="120"/>
              <w:jc w:val="center"/>
              <w:rPr>
                <w:rFonts w:eastAsia="Times New Roman" w:cs="Times New Roman"/>
                <w:sz w:val="20"/>
              </w:rPr>
            </w:pPr>
            <w:r w:rsidRPr="00AA4CFB">
              <w:rPr>
                <w:sz w:val="20"/>
              </w:rPr>
              <w:t>1</w:t>
            </w:r>
          </w:p>
        </w:tc>
      </w:tr>
      <w:tr w:rsidR="00AF2D51" w:rsidRPr="00AA4CFB" w14:paraId="4FD27AD4" w14:textId="77777777" w:rsidTr="00DA21D0">
        <w:trPr>
          <w:trHeight w:val="312"/>
        </w:trPr>
        <w:tc>
          <w:tcPr>
            <w:tcW w:w="2127" w:type="dxa"/>
            <w:tcBorders>
              <w:top w:val="nil"/>
              <w:left w:val="nil"/>
              <w:bottom w:val="nil"/>
              <w:right w:val="nil"/>
            </w:tcBorders>
            <w:shd w:val="clear" w:color="auto" w:fill="FFFFFF"/>
            <w:vAlign w:val="bottom"/>
          </w:tcPr>
          <w:p w14:paraId="6BF875A9" w14:textId="77777777" w:rsidR="00AF2D51" w:rsidRPr="00AA4CFB" w:rsidRDefault="00AF2D51" w:rsidP="00AF2D51">
            <w:pPr>
              <w:spacing w:after="120"/>
              <w:rPr>
                <w:rFonts w:eastAsia="Times New Roman" w:cs="Times New Roman"/>
                <w:sz w:val="20"/>
              </w:rPr>
            </w:pPr>
            <w:r w:rsidRPr="00AA4CFB">
              <w:rPr>
                <w:sz w:val="20"/>
              </w:rPr>
              <w:t>3-ից մինչեւ 30</w:t>
            </w:r>
          </w:p>
        </w:tc>
        <w:tc>
          <w:tcPr>
            <w:tcW w:w="2551" w:type="dxa"/>
            <w:tcBorders>
              <w:top w:val="nil"/>
              <w:left w:val="nil"/>
              <w:bottom w:val="nil"/>
              <w:right w:val="nil"/>
            </w:tcBorders>
            <w:shd w:val="clear" w:color="auto" w:fill="FFFFFF"/>
            <w:vAlign w:val="bottom"/>
          </w:tcPr>
          <w:p w14:paraId="35C6CD2E" w14:textId="77777777" w:rsidR="00AF2D51" w:rsidRPr="00AA4CFB" w:rsidRDefault="00AF2D51" w:rsidP="00AF2D51">
            <w:pPr>
              <w:spacing w:after="120"/>
              <w:jc w:val="center"/>
              <w:rPr>
                <w:rFonts w:eastAsia="Times New Roman" w:cs="Times New Roman"/>
                <w:sz w:val="20"/>
              </w:rPr>
            </w:pPr>
            <w:r w:rsidRPr="00AA4CFB">
              <w:rPr>
                <w:sz w:val="20"/>
              </w:rPr>
              <w:t>50,0</w:t>
            </w:r>
          </w:p>
        </w:tc>
        <w:tc>
          <w:tcPr>
            <w:tcW w:w="3260" w:type="dxa"/>
            <w:tcBorders>
              <w:top w:val="nil"/>
              <w:left w:val="nil"/>
              <w:bottom w:val="nil"/>
              <w:right w:val="nil"/>
            </w:tcBorders>
            <w:shd w:val="clear" w:color="auto" w:fill="FFFFFF"/>
            <w:vAlign w:val="bottom"/>
          </w:tcPr>
          <w:p w14:paraId="26BA300F" w14:textId="77777777" w:rsidR="00AF2D51" w:rsidRPr="00AA4CFB" w:rsidRDefault="00AF2D51" w:rsidP="00AF2D51">
            <w:pPr>
              <w:spacing w:after="120"/>
              <w:jc w:val="center"/>
              <w:rPr>
                <w:rFonts w:eastAsia="Times New Roman" w:cs="Times New Roman"/>
                <w:sz w:val="20"/>
              </w:rPr>
            </w:pPr>
            <w:r w:rsidRPr="00AA4CFB">
              <w:rPr>
                <w:sz w:val="20"/>
              </w:rPr>
              <w:t>2</w:t>
            </w:r>
          </w:p>
        </w:tc>
      </w:tr>
      <w:tr w:rsidR="00AF2D51" w:rsidRPr="00AA4CFB" w14:paraId="3F70CBE5" w14:textId="77777777" w:rsidTr="00DA21D0">
        <w:trPr>
          <w:trHeight w:val="336"/>
        </w:trPr>
        <w:tc>
          <w:tcPr>
            <w:tcW w:w="2127" w:type="dxa"/>
            <w:tcBorders>
              <w:top w:val="nil"/>
              <w:left w:val="nil"/>
              <w:bottom w:val="nil"/>
              <w:right w:val="nil"/>
            </w:tcBorders>
            <w:shd w:val="clear" w:color="auto" w:fill="FFFFFF"/>
            <w:vAlign w:val="bottom"/>
          </w:tcPr>
          <w:p w14:paraId="58BEE683" w14:textId="77777777" w:rsidR="00AF2D51" w:rsidRPr="00AA4CFB" w:rsidRDefault="00AF2D51" w:rsidP="00AF2D51">
            <w:pPr>
              <w:spacing w:after="120"/>
              <w:rPr>
                <w:rFonts w:eastAsia="Times New Roman" w:cs="Times New Roman"/>
                <w:sz w:val="20"/>
              </w:rPr>
            </w:pPr>
            <w:r w:rsidRPr="00AA4CFB">
              <w:rPr>
                <w:sz w:val="20"/>
              </w:rPr>
              <w:t>30-ից մինչեւ 100</w:t>
            </w:r>
          </w:p>
        </w:tc>
        <w:tc>
          <w:tcPr>
            <w:tcW w:w="2551" w:type="dxa"/>
            <w:tcBorders>
              <w:top w:val="nil"/>
              <w:left w:val="nil"/>
              <w:bottom w:val="nil"/>
              <w:right w:val="nil"/>
            </w:tcBorders>
            <w:shd w:val="clear" w:color="auto" w:fill="FFFFFF"/>
            <w:vAlign w:val="bottom"/>
          </w:tcPr>
          <w:p w14:paraId="2E9E2514" w14:textId="77777777" w:rsidR="00AF2D51" w:rsidRPr="00AA4CFB" w:rsidRDefault="00AF2D51" w:rsidP="00AF2D51">
            <w:pPr>
              <w:spacing w:after="120"/>
              <w:jc w:val="center"/>
              <w:rPr>
                <w:rFonts w:eastAsia="Times New Roman" w:cs="Times New Roman"/>
                <w:sz w:val="20"/>
              </w:rPr>
            </w:pPr>
            <w:r w:rsidRPr="00AA4CFB">
              <w:rPr>
                <w:sz w:val="20"/>
              </w:rPr>
              <w:t>100,0</w:t>
            </w:r>
          </w:p>
        </w:tc>
        <w:tc>
          <w:tcPr>
            <w:tcW w:w="3260" w:type="dxa"/>
            <w:tcBorders>
              <w:top w:val="nil"/>
              <w:left w:val="nil"/>
              <w:bottom w:val="nil"/>
              <w:right w:val="nil"/>
            </w:tcBorders>
            <w:shd w:val="clear" w:color="auto" w:fill="FFFFFF"/>
            <w:vAlign w:val="bottom"/>
          </w:tcPr>
          <w:p w14:paraId="040142EA" w14:textId="77777777" w:rsidR="00AF2D51" w:rsidRPr="00AA4CFB" w:rsidRDefault="00AF2D51" w:rsidP="00AF2D51">
            <w:pPr>
              <w:spacing w:after="120"/>
              <w:jc w:val="center"/>
              <w:rPr>
                <w:rFonts w:eastAsia="Times New Roman" w:cs="Times New Roman"/>
                <w:sz w:val="20"/>
              </w:rPr>
            </w:pPr>
            <w:r w:rsidRPr="00AA4CFB">
              <w:rPr>
                <w:sz w:val="20"/>
              </w:rPr>
              <w:t>2</w:t>
            </w:r>
          </w:p>
        </w:tc>
      </w:tr>
      <w:tr w:rsidR="00AF2D51" w:rsidRPr="00AA4CFB" w14:paraId="17FA4CFC" w14:textId="77777777" w:rsidTr="00DA21D0">
        <w:trPr>
          <w:trHeight w:val="350"/>
        </w:trPr>
        <w:tc>
          <w:tcPr>
            <w:tcW w:w="2127" w:type="dxa"/>
            <w:tcBorders>
              <w:top w:val="nil"/>
              <w:left w:val="nil"/>
              <w:bottom w:val="single" w:sz="4" w:space="0" w:color="auto"/>
              <w:right w:val="nil"/>
            </w:tcBorders>
            <w:shd w:val="clear" w:color="auto" w:fill="FFFFFF"/>
            <w:vAlign w:val="center"/>
          </w:tcPr>
          <w:p w14:paraId="654AF591" w14:textId="77777777" w:rsidR="00AF2D51" w:rsidRPr="00AA4CFB" w:rsidRDefault="00AF2D51" w:rsidP="00AF2D51">
            <w:pPr>
              <w:spacing w:after="120"/>
              <w:rPr>
                <w:rFonts w:eastAsia="Times New Roman" w:cs="Times New Roman"/>
                <w:sz w:val="20"/>
              </w:rPr>
            </w:pPr>
            <w:r w:rsidRPr="00AA4CFB">
              <w:rPr>
                <w:sz w:val="20"/>
              </w:rPr>
              <w:t>100-ից ավելի</w:t>
            </w:r>
          </w:p>
        </w:tc>
        <w:tc>
          <w:tcPr>
            <w:tcW w:w="2551" w:type="dxa"/>
            <w:tcBorders>
              <w:top w:val="nil"/>
              <w:left w:val="nil"/>
              <w:bottom w:val="single" w:sz="4" w:space="0" w:color="auto"/>
              <w:right w:val="nil"/>
            </w:tcBorders>
            <w:shd w:val="clear" w:color="auto" w:fill="FFFFFF"/>
            <w:vAlign w:val="center"/>
          </w:tcPr>
          <w:p w14:paraId="07BBB2AA" w14:textId="77777777" w:rsidR="00AF2D51" w:rsidRPr="00AA4CFB" w:rsidRDefault="00AF2D51" w:rsidP="00AF2D51">
            <w:pPr>
              <w:spacing w:after="120"/>
              <w:jc w:val="center"/>
              <w:rPr>
                <w:rFonts w:eastAsia="Times New Roman" w:cs="Times New Roman"/>
                <w:sz w:val="20"/>
              </w:rPr>
            </w:pPr>
            <w:r w:rsidRPr="00AA4CFB">
              <w:rPr>
                <w:sz w:val="20"/>
              </w:rPr>
              <w:t>100,0</w:t>
            </w:r>
          </w:p>
        </w:tc>
        <w:tc>
          <w:tcPr>
            <w:tcW w:w="3260" w:type="dxa"/>
            <w:tcBorders>
              <w:top w:val="nil"/>
              <w:left w:val="nil"/>
              <w:bottom w:val="single" w:sz="4" w:space="0" w:color="auto"/>
              <w:right w:val="nil"/>
            </w:tcBorders>
            <w:shd w:val="clear" w:color="auto" w:fill="FFFFFF"/>
            <w:vAlign w:val="center"/>
          </w:tcPr>
          <w:p w14:paraId="46C1E851" w14:textId="77777777" w:rsidR="00AF2D51" w:rsidRPr="00AA4CFB" w:rsidRDefault="00AF2D51" w:rsidP="00AF2D51">
            <w:pPr>
              <w:spacing w:after="120"/>
              <w:jc w:val="center"/>
              <w:rPr>
                <w:rFonts w:eastAsia="Times New Roman" w:cs="Times New Roman"/>
                <w:sz w:val="20"/>
              </w:rPr>
            </w:pPr>
            <w:r w:rsidRPr="00AA4CFB">
              <w:rPr>
                <w:sz w:val="20"/>
              </w:rPr>
              <w:t>3</w:t>
            </w:r>
          </w:p>
        </w:tc>
      </w:tr>
    </w:tbl>
    <w:p w14:paraId="7868260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lastRenderedPageBreak/>
        <w:t xml:space="preserve">Մաքրումը։ </w:t>
      </w:r>
      <w:r w:rsidRPr="00394A09">
        <w:rPr>
          <w:rFonts w:ascii="Sylfaen" w:hAnsi="Sylfaen"/>
          <w:sz w:val="24"/>
          <w:szCs w:val="24"/>
        </w:rPr>
        <w:t xml:space="preserve">Փաթեթվածքները մաքրում են կեղտից ու բեկորներից: </w:t>
      </w:r>
      <w:r w:rsidRPr="00AA4CFB">
        <w:rPr>
          <w:rFonts w:ascii="Sylfaen" w:hAnsi="Sylfaen"/>
          <w:spacing w:val="-4"/>
          <w:sz w:val="24"/>
          <w:szCs w:val="24"/>
        </w:rPr>
        <w:t xml:space="preserve">Փորձարկման անցկացումից անմիջապես առաջ յուրաքանչյուր փաթեթվածք մինչեւ եզր լցնում են </w:t>
      </w:r>
      <w:r w:rsidRPr="00AA4CFB">
        <w:rPr>
          <w:rFonts w:ascii="Sylfaen" w:hAnsi="Sylfaen"/>
          <w:i/>
          <w:spacing w:val="-4"/>
          <w:sz w:val="24"/>
          <w:szCs w:val="24"/>
        </w:rPr>
        <w:t>Ռ</w:t>
      </w:r>
      <w:r w:rsidRPr="00AA4CFB">
        <w:rPr>
          <w:rFonts w:ascii="Sylfaen" w:hAnsi="Sylfaen"/>
          <w:spacing w:val="-4"/>
          <w:sz w:val="24"/>
          <w:szCs w:val="24"/>
        </w:rPr>
        <w:t xml:space="preserve"> </w:t>
      </w:r>
      <w:r w:rsidRPr="00AA4CFB">
        <w:rPr>
          <w:rFonts w:ascii="Sylfaen" w:hAnsi="Sylfaen"/>
          <w:i/>
          <w:spacing w:val="-4"/>
          <w:sz w:val="24"/>
          <w:szCs w:val="24"/>
        </w:rPr>
        <w:t>ջրով</w:t>
      </w:r>
      <w:r w:rsidRPr="00AA4CFB">
        <w:rPr>
          <w:rFonts w:ascii="Sylfaen" w:hAnsi="Sylfaen"/>
          <w:spacing w:val="-4"/>
          <w:sz w:val="24"/>
          <w:szCs w:val="24"/>
        </w:rPr>
        <w:t>, թողնում են պարզվի (20 ±5) րոպե: Ջուրը դատարկում են փաթեթվածքներից</w:t>
      </w:r>
      <w:r w:rsidRPr="00394A09">
        <w:rPr>
          <w:rFonts w:ascii="Sylfaen" w:hAnsi="Sylfaen"/>
          <w:sz w:val="24"/>
          <w:szCs w:val="24"/>
        </w:rPr>
        <w:t xml:space="preserve">, հետո դրանք երկու անգամ մանրակրկտորեն լվանում են </w:t>
      </w:r>
      <w:r w:rsidRPr="00394A09">
        <w:rPr>
          <w:rFonts w:ascii="Sylfaen" w:hAnsi="Sylfaen"/>
          <w:i/>
          <w:sz w:val="24"/>
          <w:szCs w:val="24"/>
        </w:rPr>
        <w:t>Ռ</w:t>
      </w:r>
      <w:r w:rsidRPr="00394A09">
        <w:rPr>
          <w:rFonts w:ascii="Sylfaen" w:hAnsi="Sylfaen"/>
          <w:sz w:val="24"/>
          <w:szCs w:val="24"/>
        </w:rPr>
        <w:t xml:space="preserve"> </w:t>
      </w:r>
      <w:r w:rsidRPr="00394A09">
        <w:rPr>
          <w:rFonts w:ascii="Sylfaen" w:hAnsi="Sylfaen"/>
          <w:i/>
          <w:sz w:val="24"/>
          <w:szCs w:val="24"/>
        </w:rPr>
        <w:t>ջրով</w:t>
      </w:r>
      <w:r w:rsidRPr="00394A09">
        <w:rPr>
          <w:rFonts w:ascii="Sylfaen" w:hAnsi="Sylfaen"/>
          <w:sz w:val="24"/>
          <w:szCs w:val="24"/>
        </w:rPr>
        <w:t xml:space="preserve">, մեկ անգամ՝ </w:t>
      </w:r>
      <w:r w:rsidRPr="00394A09">
        <w:rPr>
          <w:rFonts w:ascii="Sylfaen" w:hAnsi="Sylfaen"/>
          <w:i/>
          <w:sz w:val="24"/>
          <w:szCs w:val="24"/>
        </w:rPr>
        <w:t>Ռ1</w:t>
      </w:r>
      <w:r w:rsidRPr="00394A09">
        <w:rPr>
          <w:rFonts w:ascii="Sylfaen" w:hAnsi="Sylfaen"/>
          <w:sz w:val="24"/>
          <w:szCs w:val="24"/>
        </w:rPr>
        <w:t xml:space="preserve"> </w:t>
      </w:r>
      <w:r w:rsidRPr="00394A09">
        <w:rPr>
          <w:rFonts w:ascii="Sylfaen" w:hAnsi="Sylfaen"/>
          <w:i/>
          <w:sz w:val="24"/>
          <w:szCs w:val="24"/>
        </w:rPr>
        <w:t>ջրով</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թողնում են, որ ջուրն առհոսի:</w:t>
      </w:r>
    </w:p>
    <w:p w14:paraId="4E88BE0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Փորձարկումից առաջ փակ ամպուլները չպետք է լվացվեն: Բացելուց առաջ փակ ամպուլները կարող են տաքացվել ջրային բաղնիքի վրա կամ չորացման պահարանում՝ մոտ 40 °С ջերմաստիճանում 2 րոպե՝ ամպուլների ներսում ճնշումը հավասարեցնելու համար:</w:t>
      </w:r>
    </w:p>
    <w:p w14:paraId="6EEDFAD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Լցավորումը։ </w:t>
      </w:r>
      <w:r w:rsidRPr="00394A09">
        <w:rPr>
          <w:rFonts w:ascii="Sylfaen" w:hAnsi="Sylfaen"/>
          <w:sz w:val="24"/>
          <w:szCs w:val="24"/>
        </w:rPr>
        <w:t xml:space="preserve">Փաթեթվածքները լցավորում են </w:t>
      </w:r>
      <w:r w:rsidRPr="00394A09">
        <w:rPr>
          <w:rFonts w:ascii="Sylfaen" w:hAnsi="Sylfaen"/>
          <w:i/>
          <w:sz w:val="24"/>
          <w:szCs w:val="24"/>
        </w:rPr>
        <w:t>Ռ1 ջրով՝</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համապատասխան ծավալը: Քարթրիջների կամ ներարկիչների ձ</w:t>
      </w:r>
      <w:r>
        <w:rPr>
          <w:rFonts w:ascii="Sylfaen" w:hAnsi="Sylfaen"/>
          <w:sz w:val="24"/>
          <w:szCs w:val="24"/>
        </w:rPr>
        <w:t>եւ</w:t>
      </w:r>
      <w:r w:rsidRPr="00394A09">
        <w:rPr>
          <w:rFonts w:ascii="Sylfaen" w:hAnsi="Sylfaen"/>
          <w:sz w:val="24"/>
          <w:szCs w:val="24"/>
        </w:rPr>
        <w:t xml:space="preserve">ով փաթեթվածքները նախնական լցավորման համար փակում են համապատասխան նյութով, որը չի ազդում չափումների արդյունքների վրա: Յուրաքանչյուր փաթեթվածք, այդ թվում՝ ամպուլները, պետք է ոչ ամուր փակված լինեն նախապես </w:t>
      </w:r>
      <w:r w:rsidRPr="00394A09">
        <w:rPr>
          <w:rFonts w:ascii="Sylfaen" w:hAnsi="Sylfaen"/>
          <w:i/>
          <w:sz w:val="24"/>
          <w:szCs w:val="24"/>
        </w:rPr>
        <w:t>Ռ ջրով</w:t>
      </w:r>
      <w:r w:rsidRPr="00394A09">
        <w:rPr>
          <w:rFonts w:ascii="Sylfaen" w:hAnsi="Sylfaen"/>
          <w:sz w:val="24"/>
          <w:szCs w:val="24"/>
        </w:rPr>
        <w:t xml:space="preserve"> լվացած, չեզոք ապակուց կամ ալյումինե փայլաթիթեղից իներտ նյութերով: Շշերն ու սրվակները փակում են նախապես </w:t>
      </w:r>
      <w:r w:rsidRPr="00394A09">
        <w:rPr>
          <w:rFonts w:ascii="Sylfaen" w:hAnsi="Sylfaen"/>
          <w:i/>
          <w:sz w:val="24"/>
          <w:szCs w:val="24"/>
        </w:rPr>
        <w:t>Ռ ջրով</w:t>
      </w:r>
      <w:r w:rsidRPr="00394A09">
        <w:rPr>
          <w:rFonts w:ascii="Sylfaen" w:hAnsi="Sylfaen"/>
          <w:sz w:val="24"/>
          <w:szCs w:val="24"/>
        </w:rPr>
        <w:t xml:space="preserve"> լվացած, չեզոք ապակուց կամ ալյումինե փայլաթիթեղից խցաններով:</w:t>
      </w:r>
      <w:r w:rsidRPr="00394A09">
        <w:rPr>
          <w:rFonts w:ascii="Sylfaen" w:hAnsi="Sylfaen"/>
          <w:i/>
          <w:sz w:val="24"/>
          <w:szCs w:val="24"/>
        </w:rPr>
        <w:t xml:space="preserve"> </w:t>
      </w:r>
      <w:r w:rsidRPr="00394A09">
        <w:rPr>
          <w:rFonts w:ascii="Sylfaen" w:hAnsi="Sylfaen"/>
          <w:sz w:val="24"/>
          <w:szCs w:val="24"/>
        </w:rPr>
        <w:t xml:space="preserve">Ներարկիչներն ու քարթրիջները տեղադրում են բաժակի մեջ </w:t>
      </w:r>
      <w:r>
        <w:rPr>
          <w:rFonts w:ascii="Sylfaen" w:hAnsi="Sylfaen"/>
          <w:sz w:val="24"/>
          <w:szCs w:val="24"/>
        </w:rPr>
        <w:t>եւ</w:t>
      </w:r>
      <w:r w:rsidRPr="00394A09">
        <w:rPr>
          <w:rFonts w:ascii="Sylfaen" w:hAnsi="Sylfaen"/>
          <w:sz w:val="24"/>
          <w:szCs w:val="24"/>
        </w:rPr>
        <w:t xml:space="preserve"> բաժակը փակում ալյումինե փայլաթիթեղով: 2 մլ </w:t>
      </w:r>
      <w:r>
        <w:rPr>
          <w:rFonts w:ascii="Sylfaen" w:hAnsi="Sylfaen"/>
          <w:sz w:val="24"/>
          <w:szCs w:val="24"/>
        </w:rPr>
        <w:t>եւ</w:t>
      </w:r>
      <w:r w:rsidRPr="00394A09">
        <w:rPr>
          <w:rFonts w:ascii="Sylfaen" w:hAnsi="Sylfaen"/>
          <w:sz w:val="24"/>
          <w:szCs w:val="24"/>
        </w:rPr>
        <w:t xml:space="preserve"> ավելի քիչ տարողությամբ փաթեթվածքները, որոնցում ավտոկլավացման ընթացքում ջուրը չի պահվում բավարար քանակությամբ, կարող են խցանափակված լինել համապատասխան եղանակով, օրինակ՝ իներտ նյութից (սիլիկոնից) պատրաստված, սուզակով կամ սեղմակով ս</w:t>
      </w:r>
      <w:r>
        <w:rPr>
          <w:rFonts w:ascii="Sylfaen" w:hAnsi="Sylfaen"/>
          <w:sz w:val="24"/>
          <w:szCs w:val="24"/>
        </w:rPr>
        <w:t>եւ</w:t>
      </w:r>
      <w:r w:rsidRPr="00394A09">
        <w:rPr>
          <w:rFonts w:ascii="Sylfaen" w:hAnsi="Sylfaen"/>
          <w:sz w:val="24"/>
          <w:szCs w:val="24"/>
        </w:rPr>
        <w:t xml:space="preserve">եռվող խցանով: Փաթեթվածքները տեղադրում են ավտոկլավի տակդիրի վրա, ներբեռնում են </w:t>
      </w:r>
      <w:r w:rsidRPr="00394A09">
        <w:rPr>
          <w:rFonts w:ascii="Sylfaen" w:hAnsi="Sylfaen"/>
          <w:i/>
          <w:sz w:val="24"/>
          <w:szCs w:val="24"/>
        </w:rPr>
        <w:t>Ռ</w:t>
      </w:r>
      <w:r w:rsidRPr="00394A09">
        <w:rPr>
          <w:rFonts w:ascii="Sylfaen" w:hAnsi="Sylfaen"/>
          <w:sz w:val="24"/>
          <w:szCs w:val="24"/>
        </w:rPr>
        <w:t xml:space="preserve"> </w:t>
      </w:r>
      <w:r w:rsidRPr="00394A09">
        <w:rPr>
          <w:rFonts w:ascii="Sylfaen" w:hAnsi="Sylfaen"/>
          <w:i/>
          <w:sz w:val="24"/>
          <w:szCs w:val="24"/>
        </w:rPr>
        <w:t>ջուր</w:t>
      </w:r>
      <w:r w:rsidRPr="00394A09">
        <w:rPr>
          <w:rFonts w:ascii="Sylfaen" w:hAnsi="Sylfaen"/>
          <w:sz w:val="24"/>
          <w:szCs w:val="24"/>
        </w:rPr>
        <w:t xml:space="preserve"> պարունակող ավտոկլավի մեջ այնպես, որ դրանք ավտոկլավի ջրի մակարդակից բարձր գտնվեն:</w:t>
      </w:r>
    </w:p>
    <w:p w14:paraId="3ABBDE38" w14:textId="77777777" w:rsidR="001827DA" w:rsidRDefault="001827DA">
      <w:pPr>
        <w:rPr>
          <w:rFonts w:eastAsia="Times New Roman" w:cs="Times New Roman"/>
          <w:b/>
          <w:color w:val="auto"/>
        </w:rPr>
      </w:pPr>
      <w:r>
        <w:rPr>
          <w:b/>
        </w:rPr>
        <w:br w:type="page"/>
      </w:r>
    </w:p>
    <w:p w14:paraId="5448F07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lastRenderedPageBreak/>
        <w:t>Ավտոկլավացման գործընթացը։</w:t>
      </w:r>
    </w:p>
    <w:p w14:paraId="0D3E1B8A" w14:textId="77777777" w:rsidR="00AF2D51" w:rsidRPr="00AF2D51" w:rsidRDefault="00AF2D51" w:rsidP="00AF2D51">
      <w:pPr>
        <w:tabs>
          <w:tab w:val="left" w:pos="2568"/>
        </w:tabs>
        <w:spacing w:after="160" w:line="360" w:lineRule="auto"/>
        <w:ind w:firstLine="567"/>
      </w:pPr>
      <w:r w:rsidRPr="00394A09">
        <w:t xml:space="preserve">Ավտոկլավը փակում են </w:t>
      </w:r>
      <w:r>
        <w:t>եւ</w:t>
      </w:r>
      <w:r w:rsidRPr="00394A09">
        <w:t xml:space="preserve"> կատարում հետ</w:t>
      </w:r>
      <w:r>
        <w:t>եւ</w:t>
      </w:r>
      <w:r w:rsidRPr="00394A09">
        <w:t>յալ գործողությունները.</w:t>
      </w:r>
    </w:p>
    <w:p w14:paraId="22B33ED9"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ավտոկլավը տաքացնում են հաստատուն արագությամբ 20-30 րոպե՝ մինչ</w:t>
      </w:r>
      <w:r>
        <w:rPr>
          <w:rFonts w:ascii="Sylfaen" w:hAnsi="Sylfaen"/>
          <w:sz w:val="24"/>
          <w:szCs w:val="24"/>
        </w:rPr>
        <w:t>եւ</w:t>
      </w:r>
      <w:r w:rsidRPr="00394A09">
        <w:rPr>
          <w:rFonts w:ascii="Sylfaen" w:hAnsi="Sylfaen"/>
          <w:sz w:val="24"/>
          <w:szCs w:val="24"/>
        </w:rPr>
        <w:t xml:space="preserve"> 100 °C ջերմաստիճանը.</w:t>
      </w:r>
    </w:p>
    <w:p w14:paraId="517EC9C5"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(10 ±1) րոպե պահպանում են (100 ±1) °С ջերմաստիճանը․</w:t>
      </w:r>
    </w:p>
    <w:p w14:paraId="080F7A97"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ջերմաստիճանը բարձրացնում են 100 °C-ից մինչ</w:t>
      </w:r>
      <w:r>
        <w:rPr>
          <w:rFonts w:ascii="Sylfaen" w:hAnsi="Sylfaen"/>
          <w:sz w:val="24"/>
          <w:szCs w:val="24"/>
        </w:rPr>
        <w:t>եւ</w:t>
      </w:r>
      <w:r w:rsidRPr="00394A09">
        <w:rPr>
          <w:rFonts w:ascii="Sylfaen" w:hAnsi="Sylfaen"/>
          <w:sz w:val="24"/>
          <w:szCs w:val="24"/>
        </w:rPr>
        <w:t xml:space="preserve"> 121 °C-ը՝ 20-22 րոպե.</w:t>
      </w:r>
    </w:p>
    <w:p w14:paraId="54DE952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(60 ±1) րոպե պահպանում են (121 ±1) °С ջերմաստիճանը.</w:t>
      </w:r>
    </w:p>
    <w:p w14:paraId="7A0D9A2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ջերմաստիճանն իջեցնում են 121 °C-ից մինչ</w:t>
      </w:r>
      <w:r>
        <w:rPr>
          <w:rFonts w:ascii="Sylfaen" w:hAnsi="Sylfaen"/>
          <w:sz w:val="24"/>
          <w:szCs w:val="24"/>
        </w:rPr>
        <w:t>եւ</w:t>
      </w:r>
      <w:r w:rsidRPr="00394A09">
        <w:rPr>
          <w:rFonts w:ascii="Sylfaen" w:hAnsi="Sylfaen"/>
          <w:sz w:val="24"/>
          <w:szCs w:val="24"/>
        </w:rPr>
        <w:t xml:space="preserve"> 100 °C-ը՝ 40-44 րոպե, խուսափելով վակուումի առաջացումից.</w:t>
      </w:r>
    </w:p>
    <w:p w14:paraId="76E02DA6"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pacing w:val="-4"/>
          <w:sz w:val="24"/>
          <w:szCs w:val="24"/>
        </w:rPr>
      </w:pPr>
      <w:r w:rsidRPr="00394A09">
        <w:rPr>
          <w:rFonts w:ascii="Sylfaen" w:hAnsi="Sylfaen"/>
          <w:spacing w:val="-4"/>
          <w:sz w:val="24"/>
          <w:szCs w:val="24"/>
        </w:rPr>
        <w:t>-</w:t>
      </w:r>
      <w:r w:rsidRPr="00AA4CFB">
        <w:rPr>
          <w:rFonts w:ascii="Sylfaen" w:hAnsi="Sylfaen"/>
          <w:spacing w:val="-4"/>
          <w:sz w:val="24"/>
          <w:szCs w:val="24"/>
        </w:rPr>
        <w:tab/>
      </w:r>
      <w:r w:rsidRPr="00394A09">
        <w:rPr>
          <w:rFonts w:ascii="Sylfaen" w:hAnsi="Sylfaen"/>
          <w:spacing w:val="-4"/>
          <w:sz w:val="24"/>
          <w:szCs w:val="24"/>
        </w:rPr>
        <w:t>ավտոկլավը չեն բացում՝ մինչ</w:t>
      </w:r>
      <w:r>
        <w:rPr>
          <w:rFonts w:ascii="Sylfaen" w:hAnsi="Sylfaen"/>
          <w:spacing w:val="-4"/>
          <w:sz w:val="24"/>
          <w:szCs w:val="24"/>
        </w:rPr>
        <w:t>եւ</w:t>
      </w:r>
      <w:r w:rsidRPr="00394A09">
        <w:rPr>
          <w:rFonts w:ascii="Sylfaen" w:hAnsi="Sylfaen"/>
          <w:spacing w:val="-4"/>
          <w:sz w:val="24"/>
          <w:szCs w:val="24"/>
        </w:rPr>
        <w:t xml:space="preserve"> փաթեթվածքներում ջրի ջերմաստիճանը չհասնի 95 °C.</w:t>
      </w:r>
    </w:p>
    <w:p w14:paraId="114424D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փաթեթվածքները հանում են ավտոկլավից՝ պահպանելով սովորական նախազգուշական միջոցները, 30 րոպե հովացնում են մինչ</w:t>
      </w:r>
      <w:r>
        <w:rPr>
          <w:rFonts w:ascii="Sylfaen" w:hAnsi="Sylfaen"/>
          <w:sz w:val="24"/>
          <w:szCs w:val="24"/>
        </w:rPr>
        <w:t>եւ</w:t>
      </w:r>
      <w:r w:rsidRPr="00394A09">
        <w:rPr>
          <w:rFonts w:ascii="Sylfaen" w:hAnsi="Sylfaen"/>
          <w:sz w:val="24"/>
          <w:szCs w:val="24"/>
        </w:rPr>
        <w:t xml:space="preserve"> սենյակային ջերմաստիճանը:</w:t>
      </w:r>
    </w:p>
    <w:p w14:paraId="7E45A5A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Առաջին անգամ օգտագործելուց առաջ ավտոկլավն ու ջերմաստիճանի չափման համակարգերը ստուգաճշտում են՝ փաթեթվածքների ներսում (121 ±1) °C ջերմաստիճանը երաշխավորելու համար:</w:t>
      </w:r>
    </w:p>
    <w:p w14:paraId="50F163FE" w14:textId="77777777" w:rsidR="00AF2D51" w:rsidRPr="00AA4CFB" w:rsidRDefault="00AF2D51" w:rsidP="00AF2D51">
      <w:pPr>
        <w:pStyle w:val="a0"/>
        <w:shd w:val="clear" w:color="auto" w:fill="auto"/>
        <w:spacing w:after="160" w:line="360" w:lineRule="auto"/>
        <w:ind w:firstLine="567"/>
        <w:jc w:val="both"/>
        <w:rPr>
          <w:rFonts w:ascii="Sylfaen" w:hAnsi="Sylfaen" w:cs="Sylfaen"/>
          <w:szCs w:val="24"/>
        </w:rPr>
      </w:pPr>
      <w:r w:rsidRPr="00AA4CFB">
        <w:rPr>
          <w:rFonts w:ascii="Sylfaen" w:hAnsi="Sylfaen"/>
          <w:i/>
          <w:szCs w:val="24"/>
        </w:rPr>
        <w:t>Ծանոթագրություն. ավտոկլավի ներսում եւ փաթեթվածքներում կարող են ջերմաստիճանի զգալի տարբերություններ նկատվել:</w:t>
      </w:r>
    </w:p>
    <w:p w14:paraId="5795DD3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Լուծամզվածքային լուծույթները վերլուծում են տիտրման միջոցով՝ ստոր</w:t>
      </w:r>
      <w:r>
        <w:rPr>
          <w:rFonts w:ascii="Sylfaen" w:hAnsi="Sylfaen"/>
          <w:sz w:val="24"/>
          <w:szCs w:val="24"/>
        </w:rPr>
        <w:t>եւ</w:t>
      </w:r>
      <w:r w:rsidRPr="00394A09">
        <w:rPr>
          <w:rFonts w:ascii="Sylfaen" w:hAnsi="Sylfaen"/>
          <w:sz w:val="24"/>
          <w:szCs w:val="24"/>
        </w:rPr>
        <w:t xml:space="preserve"> նկարագրված մեթոդիկային համապատասխան:</w:t>
      </w:r>
    </w:p>
    <w:p w14:paraId="2B546DE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Մեթոդիկա։ </w:t>
      </w:r>
      <w:r w:rsidRPr="00394A09">
        <w:rPr>
          <w:rFonts w:ascii="Sylfaen" w:hAnsi="Sylfaen"/>
          <w:sz w:val="24"/>
          <w:szCs w:val="24"/>
        </w:rPr>
        <w:t xml:space="preserve">Տիտրումն անցկացնում են փաթեթվածքներն ավտոկլավից հանելուց հետո 1 ժամվա ընթացքում: Փաթեթվածքներից ստացված լուծամզվածքային լուծույթները միավորում </w:t>
      </w:r>
      <w:r>
        <w:rPr>
          <w:rFonts w:ascii="Sylfaen" w:hAnsi="Sylfaen"/>
          <w:sz w:val="24"/>
          <w:szCs w:val="24"/>
        </w:rPr>
        <w:t>եւ</w:t>
      </w:r>
      <w:r w:rsidRPr="00394A09">
        <w:rPr>
          <w:rFonts w:ascii="Sylfaen" w:hAnsi="Sylfaen"/>
          <w:sz w:val="24"/>
          <w:szCs w:val="24"/>
        </w:rPr>
        <w:t xml:space="preserve"> խառնում են: Հեղուկի անհրաժեշտ ծավալը (Աղյուսակ 2.4.2.2-1) տեղադրում են կոնաձ</w:t>
      </w:r>
      <w:r>
        <w:rPr>
          <w:rFonts w:ascii="Sylfaen" w:hAnsi="Sylfaen"/>
          <w:sz w:val="24"/>
          <w:szCs w:val="24"/>
        </w:rPr>
        <w:t>եւ</w:t>
      </w:r>
      <w:r w:rsidRPr="00394A09">
        <w:rPr>
          <w:rFonts w:ascii="Sylfaen" w:hAnsi="Sylfaen"/>
          <w:sz w:val="24"/>
          <w:szCs w:val="24"/>
        </w:rPr>
        <w:t xml:space="preserve"> փորձանոթի մեջ: Երկրորդ համանման փորձանոթի մեջ ավելացնում են </w:t>
      </w:r>
      <w:r w:rsidRPr="00394A09">
        <w:rPr>
          <w:rFonts w:ascii="Sylfaen" w:hAnsi="Sylfaen"/>
          <w:i/>
          <w:sz w:val="24"/>
          <w:szCs w:val="24"/>
        </w:rPr>
        <w:t>Ռ1</w:t>
      </w:r>
      <w:r w:rsidRPr="00394A09">
        <w:rPr>
          <w:rFonts w:ascii="Sylfaen" w:hAnsi="Sylfaen"/>
          <w:sz w:val="24"/>
          <w:szCs w:val="24"/>
        </w:rPr>
        <w:t xml:space="preserve"> </w:t>
      </w:r>
      <w:r w:rsidRPr="00394A09">
        <w:rPr>
          <w:rFonts w:ascii="Sylfaen" w:hAnsi="Sylfaen"/>
          <w:i/>
          <w:sz w:val="24"/>
          <w:szCs w:val="24"/>
        </w:rPr>
        <w:t>ջրի</w:t>
      </w:r>
      <w:r w:rsidRPr="00394A09">
        <w:rPr>
          <w:rFonts w:ascii="Sylfaen" w:hAnsi="Sylfaen"/>
          <w:sz w:val="24"/>
          <w:szCs w:val="24"/>
        </w:rPr>
        <w:t xml:space="preserve"> նույն ծավալը (ստուգիչ </w:t>
      </w:r>
      <w:r w:rsidRPr="00394A09">
        <w:rPr>
          <w:rFonts w:ascii="Sylfaen" w:hAnsi="Sylfaen"/>
          <w:sz w:val="24"/>
          <w:szCs w:val="24"/>
        </w:rPr>
        <w:lastRenderedPageBreak/>
        <w:t xml:space="preserve">լուծույթը): Յուրաքանչյուր փորձանոթի մեջ ավելացնում են </w:t>
      </w:r>
      <w:r w:rsidRPr="00394A09">
        <w:rPr>
          <w:rFonts w:ascii="Sylfaen" w:hAnsi="Sylfaen"/>
          <w:i/>
          <w:sz w:val="24"/>
          <w:szCs w:val="24"/>
        </w:rPr>
        <w:t>Ռ մեթիլային կարմիրի</w:t>
      </w:r>
      <w:r w:rsidRPr="00394A09">
        <w:rPr>
          <w:rFonts w:ascii="Sylfaen" w:hAnsi="Sylfaen"/>
          <w:sz w:val="24"/>
          <w:szCs w:val="24"/>
        </w:rPr>
        <w:t xml:space="preserve"> 0,05 մլ </w:t>
      </w:r>
      <w:r w:rsidRPr="00394A09">
        <w:rPr>
          <w:rFonts w:ascii="Sylfaen" w:hAnsi="Sylfaen"/>
          <w:i/>
          <w:sz w:val="24"/>
          <w:szCs w:val="24"/>
        </w:rPr>
        <w:t>լուծույթ</w:t>
      </w:r>
      <w:r w:rsidRPr="00394A09">
        <w:rPr>
          <w:rFonts w:ascii="Sylfaen" w:hAnsi="Sylfaen"/>
          <w:sz w:val="24"/>
          <w:szCs w:val="24"/>
        </w:rPr>
        <w:t xml:space="preserve">՝ հեղուկի յուրաքանչյուր 25 մլ-ի համար: Ստուգիչ լուծույթը տիտրում են </w:t>
      </w:r>
      <w:r w:rsidRPr="00394A09">
        <w:rPr>
          <w:rFonts w:ascii="Sylfaen" w:hAnsi="Sylfaen"/>
          <w:i/>
          <w:sz w:val="24"/>
          <w:szCs w:val="24"/>
        </w:rPr>
        <w:t>0,01 Մ քլորաջրածնային թթվով</w:t>
      </w:r>
      <w:r w:rsidRPr="00394A09">
        <w:rPr>
          <w:rFonts w:ascii="Sylfaen" w:hAnsi="Sylfaen"/>
          <w:sz w:val="24"/>
          <w:szCs w:val="24"/>
        </w:rPr>
        <w:t>: Փորձարկվող հեղուկը տիտրում են նույն թթվով՝ մինչ</w:t>
      </w:r>
      <w:r>
        <w:rPr>
          <w:rFonts w:ascii="Sylfaen" w:hAnsi="Sylfaen"/>
          <w:sz w:val="24"/>
          <w:szCs w:val="24"/>
        </w:rPr>
        <w:t>եւ</w:t>
      </w:r>
      <w:r w:rsidRPr="00394A09">
        <w:rPr>
          <w:rFonts w:ascii="Sylfaen" w:hAnsi="Sylfaen"/>
          <w:sz w:val="24"/>
          <w:szCs w:val="24"/>
        </w:rPr>
        <w:t xml:space="preserve"> ստուգիչ լուծույթի գունավորումը: Տիտրանտի ծավալների միջ</w:t>
      </w:r>
      <w:r>
        <w:rPr>
          <w:rFonts w:ascii="Sylfaen" w:hAnsi="Sylfaen"/>
          <w:sz w:val="24"/>
          <w:szCs w:val="24"/>
        </w:rPr>
        <w:t>եւ</w:t>
      </w:r>
      <w:r w:rsidRPr="00394A09">
        <w:rPr>
          <w:rFonts w:ascii="Sylfaen" w:hAnsi="Sylfaen"/>
          <w:sz w:val="24"/>
          <w:szCs w:val="24"/>
        </w:rPr>
        <w:t xml:space="preserve"> տարբերությունն արտահայտվում է </w:t>
      </w:r>
      <w:r w:rsidRPr="00394A09">
        <w:rPr>
          <w:rFonts w:ascii="Sylfaen" w:hAnsi="Sylfaen"/>
          <w:i/>
          <w:sz w:val="24"/>
          <w:szCs w:val="24"/>
        </w:rPr>
        <w:t>0,01 Մ</w:t>
      </w:r>
      <w:r w:rsidRPr="00394A09">
        <w:rPr>
          <w:rFonts w:ascii="Sylfaen" w:hAnsi="Sylfaen"/>
          <w:sz w:val="24"/>
          <w:szCs w:val="24"/>
        </w:rPr>
        <w:t xml:space="preserve"> </w:t>
      </w:r>
      <w:r w:rsidRPr="00394A09">
        <w:rPr>
          <w:rFonts w:ascii="Sylfaen" w:hAnsi="Sylfaen"/>
          <w:i/>
          <w:sz w:val="24"/>
          <w:szCs w:val="24"/>
        </w:rPr>
        <w:t>քլորաջրածնային թթվի</w:t>
      </w:r>
      <w:r w:rsidRPr="00394A09">
        <w:rPr>
          <w:rFonts w:ascii="Sylfaen" w:hAnsi="Sylfaen"/>
          <w:sz w:val="24"/>
          <w:szCs w:val="24"/>
        </w:rPr>
        <w:t xml:space="preserve"> միլիլիտրերով՝ 100 մլ համար: Տիտրանտի 1,0 մլ-ից պակաս ծավալը նշում են մինչ</w:t>
      </w:r>
      <w:r>
        <w:rPr>
          <w:rFonts w:ascii="Sylfaen" w:hAnsi="Sylfaen"/>
          <w:sz w:val="24"/>
          <w:szCs w:val="24"/>
        </w:rPr>
        <w:t>եւ</w:t>
      </w:r>
      <w:r w:rsidRPr="00394A09">
        <w:rPr>
          <w:rFonts w:ascii="Sylfaen" w:hAnsi="Sylfaen"/>
          <w:sz w:val="24"/>
          <w:szCs w:val="24"/>
        </w:rPr>
        <w:t xml:space="preserve"> երկու տասնորդական նշանների ճշգրտությամբ, իսկ տիտրանտի 1,0 մլ-ից ավելի կամ դրան հավասար ծավալը նշում են մինչ</w:t>
      </w:r>
      <w:r>
        <w:rPr>
          <w:rFonts w:ascii="Sylfaen" w:hAnsi="Sylfaen"/>
          <w:sz w:val="24"/>
          <w:szCs w:val="24"/>
        </w:rPr>
        <w:t>եւ</w:t>
      </w:r>
      <w:r w:rsidRPr="00394A09">
        <w:rPr>
          <w:rFonts w:ascii="Sylfaen" w:hAnsi="Sylfaen"/>
          <w:sz w:val="24"/>
          <w:szCs w:val="24"/>
        </w:rPr>
        <w:t xml:space="preserve"> մեկ տասնորդական նշանի ճշգրտությամբ:</w:t>
      </w:r>
    </w:p>
    <w:p w14:paraId="610A3354" w14:textId="77777777" w:rsidR="00AF2D51" w:rsidRPr="00AF2D51" w:rsidRDefault="00AF2D51" w:rsidP="00AF2D51">
      <w:pPr>
        <w:tabs>
          <w:tab w:val="left" w:pos="2568"/>
        </w:tabs>
        <w:spacing w:after="160" w:line="360" w:lineRule="auto"/>
        <w:ind w:firstLine="567"/>
      </w:pPr>
      <w:r w:rsidRPr="00394A09">
        <w:rPr>
          <w:b/>
        </w:rPr>
        <w:t xml:space="preserve">Պարունակության սահմանները։ </w:t>
      </w:r>
      <w:r w:rsidRPr="00394A09">
        <w:t>Ստացված արդյունքները չպետք է գերազանցեն 2.4.2.2-3 աղյուսակում ներկայացված արժեքները:</w:t>
      </w:r>
      <w:r w:rsidRPr="00AA4CFB">
        <w:t xml:space="preserve"> </w:t>
      </w:r>
    </w:p>
    <w:p w14:paraId="5F5FFE9F" w14:textId="77777777" w:rsidR="00AF2D51" w:rsidRPr="00AF2D51" w:rsidRDefault="00AF2D51" w:rsidP="00AF2D51">
      <w:pPr>
        <w:tabs>
          <w:tab w:val="left" w:pos="2568"/>
        </w:tabs>
        <w:spacing w:after="160" w:line="360" w:lineRule="auto"/>
        <w:ind w:firstLine="567"/>
        <w:jc w:val="both"/>
      </w:pPr>
    </w:p>
    <w:p w14:paraId="00B80331" w14:textId="77777777" w:rsidR="00AF2D51" w:rsidRPr="00394A09" w:rsidRDefault="00AF2D51" w:rsidP="00AF2D51">
      <w:pPr>
        <w:tabs>
          <w:tab w:val="left" w:pos="2568"/>
        </w:tabs>
        <w:spacing w:after="160" w:line="360" w:lineRule="auto"/>
        <w:ind w:firstLine="567"/>
        <w:jc w:val="both"/>
      </w:pPr>
      <w:r w:rsidRPr="00394A09">
        <w:t xml:space="preserve">Աղյուսակ 2.4.2.2-3. </w:t>
      </w:r>
      <w:r w:rsidRPr="00394A09">
        <w:rPr>
          <w:i/>
        </w:rPr>
        <w:t>Մակերեւութային հիդրոլիտիկ կայունության փորձարկման ժամանակ թույլատրելի սահմանները</w:t>
      </w:r>
    </w:p>
    <w:tbl>
      <w:tblPr>
        <w:tblW w:w="0" w:type="auto"/>
        <w:tblLayout w:type="fixed"/>
        <w:tblCellMar>
          <w:left w:w="0" w:type="dxa"/>
          <w:right w:w="0" w:type="dxa"/>
        </w:tblCellMar>
        <w:tblLook w:val="0000" w:firstRow="0" w:lastRow="0" w:firstColumn="0" w:lastColumn="0" w:noHBand="0" w:noVBand="0"/>
      </w:tblPr>
      <w:tblGrid>
        <w:gridCol w:w="2127"/>
        <w:gridCol w:w="1984"/>
        <w:gridCol w:w="3686"/>
      </w:tblGrid>
      <w:tr w:rsidR="00AF2D51" w:rsidRPr="00AA4CFB" w14:paraId="3E048349" w14:textId="77777777" w:rsidTr="00AF2D51">
        <w:trPr>
          <w:trHeight w:val="528"/>
        </w:trPr>
        <w:tc>
          <w:tcPr>
            <w:tcW w:w="2127" w:type="dxa"/>
            <w:vMerge w:val="restart"/>
            <w:tcBorders>
              <w:top w:val="single" w:sz="4" w:space="0" w:color="auto"/>
              <w:left w:val="nil"/>
              <w:bottom w:val="nil"/>
              <w:right w:val="nil"/>
            </w:tcBorders>
            <w:shd w:val="clear" w:color="auto" w:fill="FFFFFF"/>
            <w:vAlign w:val="center"/>
          </w:tcPr>
          <w:p w14:paraId="2E5F11B8" w14:textId="77777777" w:rsidR="00AF2D51" w:rsidRPr="00AA4CFB" w:rsidRDefault="00AF2D51" w:rsidP="00AF2D51">
            <w:pPr>
              <w:spacing w:after="120"/>
              <w:jc w:val="center"/>
              <w:rPr>
                <w:rFonts w:eastAsia="Times New Roman" w:cs="Times New Roman"/>
                <w:sz w:val="20"/>
                <w:szCs w:val="20"/>
              </w:rPr>
            </w:pPr>
            <w:r w:rsidRPr="00AA4CFB">
              <w:rPr>
                <w:sz w:val="20"/>
                <w:szCs w:val="20"/>
              </w:rPr>
              <w:t>Լցավորման ծավալը (մլ)</w:t>
            </w:r>
          </w:p>
        </w:tc>
        <w:tc>
          <w:tcPr>
            <w:tcW w:w="5670" w:type="dxa"/>
            <w:gridSpan w:val="2"/>
            <w:tcBorders>
              <w:top w:val="single" w:sz="4" w:space="0" w:color="auto"/>
              <w:left w:val="nil"/>
              <w:bottom w:val="nil"/>
              <w:right w:val="nil"/>
            </w:tcBorders>
            <w:shd w:val="clear" w:color="auto" w:fill="FFFFFF"/>
            <w:vAlign w:val="bottom"/>
          </w:tcPr>
          <w:p w14:paraId="10378C0D" w14:textId="77777777" w:rsidR="00AF2D51" w:rsidRPr="00AA4CFB" w:rsidRDefault="00AF2D51" w:rsidP="00AF2D51">
            <w:pPr>
              <w:spacing w:after="120"/>
              <w:jc w:val="center"/>
              <w:rPr>
                <w:rFonts w:eastAsia="Times New Roman" w:cs="Times New Roman"/>
                <w:sz w:val="20"/>
                <w:szCs w:val="20"/>
              </w:rPr>
            </w:pPr>
            <w:r w:rsidRPr="00AA4CFB">
              <w:rPr>
                <w:sz w:val="20"/>
                <w:szCs w:val="20"/>
              </w:rPr>
              <w:t xml:space="preserve">0,01 Մ НСl առավելագույն ծավալ՝ փորձարկվող հեղուկի </w:t>
            </w:r>
            <w:r w:rsidRPr="00AA4CFB">
              <w:rPr>
                <w:sz w:val="20"/>
                <w:szCs w:val="20"/>
              </w:rPr>
              <w:br/>
              <w:t>100 մլ-ի համար (մլ)</w:t>
            </w:r>
          </w:p>
        </w:tc>
      </w:tr>
      <w:tr w:rsidR="00AF2D51" w:rsidRPr="00AA4CFB" w14:paraId="35D89979" w14:textId="77777777" w:rsidTr="00AF2D51">
        <w:trPr>
          <w:trHeight w:val="446"/>
        </w:trPr>
        <w:tc>
          <w:tcPr>
            <w:tcW w:w="2127" w:type="dxa"/>
            <w:vMerge/>
            <w:tcBorders>
              <w:top w:val="nil"/>
              <w:left w:val="nil"/>
              <w:bottom w:val="nil"/>
              <w:right w:val="nil"/>
            </w:tcBorders>
            <w:shd w:val="clear" w:color="auto" w:fill="FFFFFF"/>
            <w:vAlign w:val="center"/>
          </w:tcPr>
          <w:p w14:paraId="4E2D5E53" w14:textId="77777777" w:rsidR="00AF2D51" w:rsidRPr="00AA4CFB" w:rsidRDefault="00AF2D51" w:rsidP="00AF2D51">
            <w:pPr>
              <w:spacing w:after="120"/>
              <w:jc w:val="center"/>
              <w:rPr>
                <w:rFonts w:eastAsia="Times New Roman" w:cs="Times New Roman"/>
                <w:sz w:val="20"/>
                <w:szCs w:val="20"/>
              </w:rPr>
            </w:pPr>
          </w:p>
        </w:tc>
        <w:tc>
          <w:tcPr>
            <w:tcW w:w="5670" w:type="dxa"/>
            <w:gridSpan w:val="2"/>
            <w:tcBorders>
              <w:top w:val="single" w:sz="4" w:space="0" w:color="auto"/>
              <w:left w:val="nil"/>
              <w:bottom w:val="nil"/>
              <w:right w:val="nil"/>
            </w:tcBorders>
            <w:shd w:val="clear" w:color="auto" w:fill="FFFFFF"/>
            <w:vAlign w:val="center"/>
          </w:tcPr>
          <w:p w14:paraId="3D886D5F" w14:textId="77777777" w:rsidR="00AF2D51" w:rsidRPr="00AA4CFB" w:rsidRDefault="00AF2D51" w:rsidP="00AF2D51">
            <w:pPr>
              <w:spacing w:after="120"/>
              <w:jc w:val="center"/>
              <w:rPr>
                <w:rFonts w:eastAsia="Times New Roman" w:cs="Times New Roman"/>
                <w:sz w:val="20"/>
                <w:szCs w:val="20"/>
              </w:rPr>
            </w:pPr>
            <w:r w:rsidRPr="00AA4CFB">
              <w:rPr>
                <w:sz w:val="20"/>
                <w:szCs w:val="20"/>
              </w:rPr>
              <w:t>Փաթեթվածքների համար ապակու դասը</w:t>
            </w:r>
          </w:p>
        </w:tc>
      </w:tr>
      <w:tr w:rsidR="00AF2D51" w:rsidRPr="00AA4CFB" w14:paraId="3D93056E" w14:textId="77777777" w:rsidTr="00AF2D51">
        <w:trPr>
          <w:trHeight w:val="274"/>
        </w:trPr>
        <w:tc>
          <w:tcPr>
            <w:tcW w:w="2127" w:type="dxa"/>
            <w:vMerge/>
            <w:tcBorders>
              <w:top w:val="nil"/>
              <w:left w:val="nil"/>
              <w:bottom w:val="nil"/>
              <w:right w:val="nil"/>
            </w:tcBorders>
            <w:shd w:val="clear" w:color="auto" w:fill="FFFFFF"/>
            <w:vAlign w:val="center"/>
          </w:tcPr>
          <w:p w14:paraId="51848721" w14:textId="77777777" w:rsidR="00AF2D51" w:rsidRPr="00AA4CFB" w:rsidRDefault="00AF2D51" w:rsidP="00AF2D51">
            <w:pPr>
              <w:spacing w:after="120"/>
              <w:jc w:val="center"/>
              <w:rPr>
                <w:rFonts w:eastAsia="Times New Roman" w:cs="Times New Roman"/>
                <w:sz w:val="20"/>
                <w:szCs w:val="20"/>
              </w:rPr>
            </w:pPr>
          </w:p>
        </w:tc>
        <w:tc>
          <w:tcPr>
            <w:tcW w:w="1984" w:type="dxa"/>
            <w:tcBorders>
              <w:top w:val="single" w:sz="4" w:space="0" w:color="auto"/>
              <w:left w:val="nil"/>
              <w:bottom w:val="nil"/>
              <w:right w:val="nil"/>
            </w:tcBorders>
            <w:shd w:val="clear" w:color="auto" w:fill="FFFFFF"/>
          </w:tcPr>
          <w:p w14:paraId="6440E476" w14:textId="77777777" w:rsidR="00AF2D51" w:rsidRPr="00AA4CFB" w:rsidRDefault="00AF2D51" w:rsidP="00AF2D51">
            <w:pPr>
              <w:spacing w:after="120"/>
              <w:jc w:val="center"/>
              <w:rPr>
                <w:rFonts w:eastAsia="Times New Roman" w:cs="Times New Roman"/>
                <w:sz w:val="20"/>
                <w:szCs w:val="20"/>
              </w:rPr>
            </w:pPr>
            <w:r w:rsidRPr="00AA4CFB">
              <w:rPr>
                <w:sz w:val="20"/>
                <w:szCs w:val="20"/>
              </w:rPr>
              <w:t>I եւ II տիպ</w:t>
            </w:r>
          </w:p>
        </w:tc>
        <w:tc>
          <w:tcPr>
            <w:tcW w:w="3686" w:type="dxa"/>
            <w:tcBorders>
              <w:top w:val="single" w:sz="4" w:space="0" w:color="auto"/>
              <w:left w:val="nil"/>
              <w:bottom w:val="nil"/>
              <w:right w:val="nil"/>
            </w:tcBorders>
            <w:shd w:val="clear" w:color="auto" w:fill="FFFFFF"/>
          </w:tcPr>
          <w:p w14:paraId="28897D27" w14:textId="77777777" w:rsidR="00AF2D51" w:rsidRPr="00AA4CFB" w:rsidRDefault="00AF2D51" w:rsidP="00AF2D51">
            <w:pPr>
              <w:spacing w:after="120"/>
              <w:jc w:val="center"/>
              <w:rPr>
                <w:rFonts w:eastAsia="Times New Roman" w:cs="Times New Roman"/>
                <w:sz w:val="20"/>
                <w:szCs w:val="20"/>
              </w:rPr>
            </w:pPr>
            <w:r w:rsidRPr="00AA4CFB">
              <w:rPr>
                <w:sz w:val="20"/>
                <w:szCs w:val="20"/>
              </w:rPr>
              <w:t>III տիպ</w:t>
            </w:r>
          </w:p>
        </w:tc>
      </w:tr>
      <w:tr w:rsidR="00AF2D51" w:rsidRPr="00AA4CFB" w14:paraId="3198DF10" w14:textId="77777777" w:rsidTr="00AF2D51">
        <w:trPr>
          <w:trHeight w:val="312"/>
        </w:trPr>
        <w:tc>
          <w:tcPr>
            <w:tcW w:w="2127" w:type="dxa"/>
            <w:tcBorders>
              <w:top w:val="single" w:sz="4" w:space="0" w:color="auto"/>
              <w:left w:val="nil"/>
              <w:bottom w:val="nil"/>
              <w:right w:val="nil"/>
            </w:tcBorders>
            <w:shd w:val="clear" w:color="auto" w:fill="FFFFFF"/>
            <w:vAlign w:val="bottom"/>
          </w:tcPr>
          <w:p w14:paraId="4C4412A5" w14:textId="77777777" w:rsidR="00AF2D51" w:rsidRPr="00AA4CFB" w:rsidRDefault="00AF2D51" w:rsidP="00AF2D51">
            <w:pPr>
              <w:spacing w:after="120"/>
              <w:rPr>
                <w:rFonts w:eastAsia="Times New Roman" w:cs="Times New Roman"/>
                <w:sz w:val="20"/>
                <w:szCs w:val="20"/>
              </w:rPr>
            </w:pPr>
            <w:r w:rsidRPr="00AA4CFB">
              <w:rPr>
                <w:sz w:val="20"/>
                <w:szCs w:val="20"/>
              </w:rPr>
              <w:t>Մինչեւ 0,5</w:t>
            </w:r>
          </w:p>
        </w:tc>
        <w:tc>
          <w:tcPr>
            <w:tcW w:w="1984" w:type="dxa"/>
            <w:tcBorders>
              <w:top w:val="single" w:sz="4" w:space="0" w:color="auto"/>
              <w:left w:val="nil"/>
              <w:bottom w:val="nil"/>
              <w:right w:val="nil"/>
            </w:tcBorders>
            <w:shd w:val="clear" w:color="auto" w:fill="FFFFFF"/>
            <w:vAlign w:val="bottom"/>
          </w:tcPr>
          <w:p w14:paraId="6A8C1AEE" w14:textId="77777777" w:rsidR="00AF2D51" w:rsidRPr="00AA4CFB" w:rsidRDefault="00AF2D51" w:rsidP="00AF2D51">
            <w:pPr>
              <w:spacing w:after="120"/>
              <w:jc w:val="center"/>
              <w:rPr>
                <w:rFonts w:eastAsia="Times New Roman" w:cs="Times New Roman"/>
                <w:sz w:val="20"/>
                <w:szCs w:val="20"/>
              </w:rPr>
            </w:pPr>
            <w:r w:rsidRPr="00AA4CFB">
              <w:rPr>
                <w:sz w:val="20"/>
                <w:szCs w:val="20"/>
              </w:rPr>
              <w:t>3,0</w:t>
            </w:r>
          </w:p>
        </w:tc>
        <w:tc>
          <w:tcPr>
            <w:tcW w:w="3686" w:type="dxa"/>
            <w:tcBorders>
              <w:top w:val="single" w:sz="4" w:space="0" w:color="auto"/>
              <w:left w:val="nil"/>
              <w:bottom w:val="nil"/>
              <w:right w:val="nil"/>
            </w:tcBorders>
            <w:shd w:val="clear" w:color="auto" w:fill="FFFFFF"/>
            <w:vAlign w:val="bottom"/>
          </w:tcPr>
          <w:p w14:paraId="1BF2183F" w14:textId="77777777" w:rsidR="00AF2D51" w:rsidRPr="00AA4CFB" w:rsidRDefault="00AF2D51" w:rsidP="00AF2D51">
            <w:pPr>
              <w:spacing w:after="120"/>
              <w:jc w:val="center"/>
              <w:rPr>
                <w:rFonts w:eastAsia="Times New Roman" w:cs="Times New Roman"/>
                <w:sz w:val="20"/>
                <w:szCs w:val="20"/>
              </w:rPr>
            </w:pPr>
            <w:r w:rsidRPr="00AA4CFB">
              <w:rPr>
                <w:sz w:val="20"/>
                <w:szCs w:val="20"/>
              </w:rPr>
              <w:t>30,0</w:t>
            </w:r>
          </w:p>
        </w:tc>
      </w:tr>
      <w:tr w:rsidR="00AF2D51" w:rsidRPr="00AA4CFB" w14:paraId="7F87EAE7" w14:textId="77777777" w:rsidTr="00AF2D51">
        <w:trPr>
          <w:trHeight w:val="312"/>
        </w:trPr>
        <w:tc>
          <w:tcPr>
            <w:tcW w:w="2127" w:type="dxa"/>
            <w:tcBorders>
              <w:top w:val="nil"/>
              <w:left w:val="nil"/>
              <w:bottom w:val="nil"/>
              <w:right w:val="nil"/>
            </w:tcBorders>
            <w:shd w:val="clear" w:color="auto" w:fill="FFFFFF"/>
            <w:vAlign w:val="center"/>
          </w:tcPr>
          <w:p w14:paraId="50B228CD" w14:textId="77777777" w:rsidR="00AF2D51" w:rsidRPr="00AA4CFB" w:rsidRDefault="00AF2D51" w:rsidP="00AF2D51">
            <w:pPr>
              <w:spacing w:after="120"/>
              <w:rPr>
                <w:rFonts w:eastAsia="Times New Roman" w:cs="Times New Roman"/>
                <w:sz w:val="20"/>
                <w:szCs w:val="20"/>
              </w:rPr>
            </w:pPr>
            <w:r w:rsidRPr="00AA4CFB">
              <w:rPr>
                <w:sz w:val="20"/>
                <w:szCs w:val="20"/>
              </w:rPr>
              <w:t>0,5-ից մինչեւ 1</w:t>
            </w:r>
          </w:p>
        </w:tc>
        <w:tc>
          <w:tcPr>
            <w:tcW w:w="1984" w:type="dxa"/>
            <w:tcBorders>
              <w:top w:val="nil"/>
              <w:left w:val="nil"/>
              <w:bottom w:val="nil"/>
              <w:right w:val="nil"/>
            </w:tcBorders>
            <w:shd w:val="clear" w:color="auto" w:fill="FFFFFF"/>
            <w:vAlign w:val="bottom"/>
          </w:tcPr>
          <w:p w14:paraId="5DD41EF5" w14:textId="77777777" w:rsidR="00AF2D51" w:rsidRPr="00AA4CFB" w:rsidRDefault="00AF2D51" w:rsidP="00AF2D51">
            <w:pPr>
              <w:spacing w:after="120"/>
              <w:jc w:val="center"/>
              <w:rPr>
                <w:rFonts w:eastAsia="Times New Roman" w:cs="Times New Roman"/>
                <w:sz w:val="20"/>
                <w:szCs w:val="20"/>
              </w:rPr>
            </w:pPr>
            <w:r w:rsidRPr="00AA4CFB">
              <w:rPr>
                <w:sz w:val="20"/>
                <w:szCs w:val="20"/>
              </w:rPr>
              <w:t>2,0</w:t>
            </w:r>
          </w:p>
        </w:tc>
        <w:tc>
          <w:tcPr>
            <w:tcW w:w="3686" w:type="dxa"/>
            <w:tcBorders>
              <w:top w:val="nil"/>
              <w:left w:val="nil"/>
              <w:bottom w:val="nil"/>
              <w:right w:val="nil"/>
            </w:tcBorders>
            <w:shd w:val="clear" w:color="auto" w:fill="FFFFFF"/>
            <w:vAlign w:val="bottom"/>
          </w:tcPr>
          <w:p w14:paraId="2DB478B8" w14:textId="77777777" w:rsidR="00AF2D51" w:rsidRPr="00AA4CFB" w:rsidRDefault="00AF2D51" w:rsidP="00AF2D51">
            <w:pPr>
              <w:spacing w:after="120"/>
              <w:jc w:val="center"/>
              <w:rPr>
                <w:rFonts w:eastAsia="Times New Roman" w:cs="Times New Roman"/>
                <w:sz w:val="20"/>
                <w:szCs w:val="20"/>
              </w:rPr>
            </w:pPr>
            <w:r w:rsidRPr="00AA4CFB">
              <w:rPr>
                <w:sz w:val="20"/>
                <w:szCs w:val="20"/>
              </w:rPr>
              <w:t>20,0</w:t>
            </w:r>
          </w:p>
        </w:tc>
      </w:tr>
      <w:tr w:rsidR="00AF2D51" w:rsidRPr="00AA4CFB" w14:paraId="420DF76A" w14:textId="77777777" w:rsidTr="00AF2D51">
        <w:trPr>
          <w:trHeight w:val="278"/>
        </w:trPr>
        <w:tc>
          <w:tcPr>
            <w:tcW w:w="2127" w:type="dxa"/>
            <w:tcBorders>
              <w:top w:val="nil"/>
              <w:left w:val="nil"/>
              <w:bottom w:val="nil"/>
              <w:right w:val="nil"/>
            </w:tcBorders>
            <w:shd w:val="clear" w:color="auto" w:fill="FFFFFF"/>
            <w:vAlign w:val="bottom"/>
          </w:tcPr>
          <w:p w14:paraId="1C4BABBD" w14:textId="77777777" w:rsidR="00AF2D51" w:rsidRPr="00AA4CFB" w:rsidRDefault="00AF2D51" w:rsidP="00AF2D51">
            <w:pPr>
              <w:spacing w:after="120"/>
              <w:rPr>
                <w:rFonts w:eastAsia="Times New Roman" w:cs="Times New Roman"/>
                <w:sz w:val="20"/>
                <w:szCs w:val="20"/>
              </w:rPr>
            </w:pPr>
            <w:r w:rsidRPr="00AA4CFB">
              <w:rPr>
                <w:sz w:val="20"/>
                <w:szCs w:val="20"/>
              </w:rPr>
              <w:t>1-ից մինչեւ 2</w:t>
            </w:r>
          </w:p>
        </w:tc>
        <w:tc>
          <w:tcPr>
            <w:tcW w:w="1984" w:type="dxa"/>
            <w:tcBorders>
              <w:top w:val="nil"/>
              <w:left w:val="nil"/>
              <w:bottom w:val="nil"/>
              <w:right w:val="nil"/>
            </w:tcBorders>
            <w:shd w:val="clear" w:color="auto" w:fill="FFFFFF"/>
            <w:vAlign w:val="bottom"/>
          </w:tcPr>
          <w:p w14:paraId="1E08230A" w14:textId="77777777" w:rsidR="00AF2D51" w:rsidRPr="00AA4CFB" w:rsidRDefault="00AF2D51" w:rsidP="00AF2D51">
            <w:pPr>
              <w:spacing w:after="120"/>
              <w:jc w:val="center"/>
              <w:rPr>
                <w:rFonts w:eastAsia="Times New Roman" w:cs="Times New Roman"/>
                <w:sz w:val="20"/>
                <w:szCs w:val="20"/>
              </w:rPr>
            </w:pPr>
            <w:r w:rsidRPr="00AA4CFB">
              <w:rPr>
                <w:sz w:val="20"/>
                <w:szCs w:val="20"/>
              </w:rPr>
              <w:t>1,8</w:t>
            </w:r>
          </w:p>
        </w:tc>
        <w:tc>
          <w:tcPr>
            <w:tcW w:w="3686" w:type="dxa"/>
            <w:tcBorders>
              <w:top w:val="nil"/>
              <w:left w:val="nil"/>
              <w:bottom w:val="nil"/>
              <w:right w:val="nil"/>
            </w:tcBorders>
            <w:shd w:val="clear" w:color="auto" w:fill="FFFFFF"/>
            <w:vAlign w:val="bottom"/>
          </w:tcPr>
          <w:p w14:paraId="39350502" w14:textId="77777777" w:rsidR="00AF2D51" w:rsidRPr="00AA4CFB" w:rsidRDefault="00AF2D51" w:rsidP="00AF2D51">
            <w:pPr>
              <w:spacing w:after="120"/>
              <w:jc w:val="center"/>
              <w:rPr>
                <w:rFonts w:eastAsia="Times New Roman" w:cs="Times New Roman"/>
                <w:sz w:val="20"/>
                <w:szCs w:val="20"/>
              </w:rPr>
            </w:pPr>
            <w:r w:rsidRPr="00AA4CFB">
              <w:rPr>
                <w:sz w:val="20"/>
                <w:szCs w:val="20"/>
              </w:rPr>
              <w:t>17,6</w:t>
            </w:r>
          </w:p>
        </w:tc>
      </w:tr>
      <w:tr w:rsidR="00AF2D51" w:rsidRPr="00AA4CFB" w14:paraId="71B51456" w14:textId="77777777" w:rsidTr="00AF2D51">
        <w:trPr>
          <w:trHeight w:val="360"/>
        </w:trPr>
        <w:tc>
          <w:tcPr>
            <w:tcW w:w="2127" w:type="dxa"/>
            <w:tcBorders>
              <w:top w:val="nil"/>
              <w:left w:val="nil"/>
              <w:bottom w:val="nil"/>
              <w:right w:val="nil"/>
            </w:tcBorders>
            <w:shd w:val="clear" w:color="auto" w:fill="FFFFFF"/>
            <w:vAlign w:val="center"/>
          </w:tcPr>
          <w:p w14:paraId="2CD9879C" w14:textId="77777777" w:rsidR="00AF2D51" w:rsidRPr="00AA4CFB" w:rsidRDefault="00AF2D51" w:rsidP="00AF2D51">
            <w:pPr>
              <w:spacing w:after="120"/>
              <w:rPr>
                <w:rFonts w:eastAsia="Times New Roman" w:cs="Times New Roman"/>
                <w:sz w:val="20"/>
                <w:szCs w:val="20"/>
              </w:rPr>
            </w:pPr>
            <w:r w:rsidRPr="00AA4CFB">
              <w:rPr>
                <w:sz w:val="20"/>
                <w:szCs w:val="20"/>
              </w:rPr>
              <w:t>2-ից մինչեւ 3</w:t>
            </w:r>
          </w:p>
        </w:tc>
        <w:tc>
          <w:tcPr>
            <w:tcW w:w="1984" w:type="dxa"/>
            <w:tcBorders>
              <w:top w:val="nil"/>
              <w:left w:val="nil"/>
              <w:bottom w:val="nil"/>
              <w:right w:val="nil"/>
            </w:tcBorders>
            <w:shd w:val="clear" w:color="auto" w:fill="FFFFFF"/>
            <w:vAlign w:val="bottom"/>
          </w:tcPr>
          <w:p w14:paraId="303426F1" w14:textId="77777777" w:rsidR="00AF2D51" w:rsidRPr="00AA4CFB" w:rsidRDefault="00AF2D51" w:rsidP="00AF2D51">
            <w:pPr>
              <w:spacing w:after="120"/>
              <w:jc w:val="center"/>
              <w:rPr>
                <w:rFonts w:eastAsia="Times New Roman" w:cs="Times New Roman"/>
                <w:sz w:val="20"/>
                <w:szCs w:val="20"/>
              </w:rPr>
            </w:pPr>
            <w:r w:rsidRPr="00AA4CFB">
              <w:rPr>
                <w:sz w:val="20"/>
                <w:szCs w:val="20"/>
              </w:rPr>
              <w:t>1,6</w:t>
            </w:r>
          </w:p>
        </w:tc>
        <w:tc>
          <w:tcPr>
            <w:tcW w:w="3686" w:type="dxa"/>
            <w:tcBorders>
              <w:top w:val="nil"/>
              <w:left w:val="nil"/>
              <w:bottom w:val="nil"/>
              <w:right w:val="nil"/>
            </w:tcBorders>
            <w:shd w:val="clear" w:color="auto" w:fill="FFFFFF"/>
            <w:vAlign w:val="bottom"/>
          </w:tcPr>
          <w:p w14:paraId="5BC6B906" w14:textId="77777777" w:rsidR="00AF2D51" w:rsidRPr="00AA4CFB" w:rsidRDefault="00AF2D51" w:rsidP="00AF2D51">
            <w:pPr>
              <w:spacing w:after="120"/>
              <w:jc w:val="center"/>
              <w:rPr>
                <w:rFonts w:eastAsia="Times New Roman" w:cs="Times New Roman"/>
                <w:sz w:val="20"/>
                <w:szCs w:val="20"/>
              </w:rPr>
            </w:pPr>
            <w:r w:rsidRPr="00AA4CFB">
              <w:rPr>
                <w:sz w:val="20"/>
                <w:szCs w:val="20"/>
              </w:rPr>
              <w:t>16,1</w:t>
            </w:r>
          </w:p>
        </w:tc>
      </w:tr>
      <w:tr w:rsidR="00AF2D51" w:rsidRPr="00AA4CFB" w14:paraId="31650305" w14:textId="77777777" w:rsidTr="00AF2D51">
        <w:trPr>
          <w:trHeight w:val="288"/>
        </w:trPr>
        <w:tc>
          <w:tcPr>
            <w:tcW w:w="2127" w:type="dxa"/>
            <w:tcBorders>
              <w:top w:val="nil"/>
              <w:left w:val="nil"/>
              <w:bottom w:val="nil"/>
              <w:right w:val="nil"/>
            </w:tcBorders>
            <w:shd w:val="clear" w:color="auto" w:fill="FFFFFF"/>
          </w:tcPr>
          <w:p w14:paraId="4ADA1C6E" w14:textId="77777777" w:rsidR="00AF2D51" w:rsidRPr="00AA4CFB" w:rsidRDefault="00AF2D51" w:rsidP="00AF2D51">
            <w:pPr>
              <w:spacing w:after="120"/>
              <w:rPr>
                <w:rFonts w:eastAsia="Times New Roman" w:cs="Times New Roman"/>
                <w:sz w:val="20"/>
                <w:szCs w:val="20"/>
              </w:rPr>
            </w:pPr>
            <w:r w:rsidRPr="00AA4CFB">
              <w:rPr>
                <w:sz w:val="20"/>
                <w:szCs w:val="20"/>
              </w:rPr>
              <w:t>3-ից մինչեւ 5</w:t>
            </w:r>
          </w:p>
        </w:tc>
        <w:tc>
          <w:tcPr>
            <w:tcW w:w="1984" w:type="dxa"/>
            <w:tcBorders>
              <w:top w:val="nil"/>
              <w:left w:val="nil"/>
              <w:bottom w:val="nil"/>
              <w:right w:val="nil"/>
            </w:tcBorders>
            <w:shd w:val="clear" w:color="auto" w:fill="FFFFFF"/>
          </w:tcPr>
          <w:p w14:paraId="2C818519" w14:textId="77777777" w:rsidR="00AF2D51" w:rsidRPr="00AA4CFB" w:rsidRDefault="00AF2D51" w:rsidP="00AF2D51">
            <w:pPr>
              <w:spacing w:after="120"/>
              <w:jc w:val="center"/>
              <w:rPr>
                <w:rFonts w:eastAsia="Times New Roman" w:cs="Times New Roman"/>
                <w:sz w:val="20"/>
                <w:szCs w:val="20"/>
              </w:rPr>
            </w:pPr>
            <w:r w:rsidRPr="00AA4CFB">
              <w:rPr>
                <w:sz w:val="20"/>
                <w:szCs w:val="20"/>
              </w:rPr>
              <w:t>1,3</w:t>
            </w:r>
          </w:p>
        </w:tc>
        <w:tc>
          <w:tcPr>
            <w:tcW w:w="3686" w:type="dxa"/>
            <w:tcBorders>
              <w:top w:val="nil"/>
              <w:left w:val="nil"/>
              <w:bottom w:val="nil"/>
              <w:right w:val="nil"/>
            </w:tcBorders>
            <w:shd w:val="clear" w:color="auto" w:fill="FFFFFF"/>
          </w:tcPr>
          <w:p w14:paraId="7FDBE173" w14:textId="77777777" w:rsidR="00AF2D51" w:rsidRPr="00AA4CFB" w:rsidRDefault="00AF2D51" w:rsidP="00AF2D51">
            <w:pPr>
              <w:spacing w:after="120"/>
              <w:jc w:val="center"/>
              <w:rPr>
                <w:rFonts w:eastAsia="Times New Roman" w:cs="Times New Roman"/>
                <w:sz w:val="20"/>
                <w:szCs w:val="20"/>
              </w:rPr>
            </w:pPr>
            <w:r w:rsidRPr="00AA4CFB">
              <w:rPr>
                <w:sz w:val="20"/>
                <w:szCs w:val="20"/>
              </w:rPr>
              <w:t>13,2</w:t>
            </w:r>
          </w:p>
        </w:tc>
      </w:tr>
      <w:tr w:rsidR="00AF2D51" w:rsidRPr="00AA4CFB" w14:paraId="344D9C44" w14:textId="77777777" w:rsidTr="00AF2D51">
        <w:trPr>
          <w:trHeight w:val="312"/>
        </w:trPr>
        <w:tc>
          <w:tcPr>
            <w:tcW w:w="2127" w:type="dxa"/>
            <w:tcBorders>
              <w:top w:val="nil"/>
              <w:left w:val="nil"/>
              <w:bottom w:val="nil"/>
              <w:right w:val="nil"/>
            </w:tcBorders>
            <w:shd w:val="clear" w:color="auto" w:fill="FFFFFF"/>
            <w:vAlign w:val="center"/>
          </w:tcPr>
          <w:p w14:paraId="0B31B59B" w14:textId="77777777" w:rsidR="00AF2D51" w:rsidRPr="00AA4CFB" w:rsidRDefault="00AF2D51" w:rsidP="00AF2D51">
            <w:pPr>
              <w:spacing w:after="120"/>
              <w:rPr>
                <w:rFonts w:eastAsia="Times New Roman" w:cs="Times New Roman"/>
                <w:b/>
                <w:bCs/>
                <w:sz w:val="20"/>
                <w:szCs w:val="20"/>
              </w:rPr>
            </w:pPr>
            <w:r w:rsidRPr="00AA4CFB">
              <w:rPr>
                <w:sz w:val="20"/>
                <w:szCs w:val="20"/>
              </w:rPr>
              <w:t>5-ից մինչեւ 10</w:t>
            </w:r>
          </w:p>
        </w:tc>
        <w:tc>
          <w:tcPr>
            <w:tcW w:w="1984" w:type="dxa"/>
            <w:tcBorders>
              <w:top w:val="nil"/>
              <w:left w:val="nil"/>
              <w:bottom w:val="nil"/>
              <w:right w:val="nil"/>
            </w:tcBorders>
            <w:shd w:val="clear" w:color="auto" w:fill="FFFFFF"/>
            <w:vAlign w:val="bottom"/>
          </w:tcPr>
          <w:p w14:paraId="0D10A62C" w14:textId="77777777" w:rsidR="00AF2D51" w:rsidRPr="00AA4CFB" w:rsidRDefault="00AF2D51" w:rsidP="00AF2D51">
            <w:pPr>
              <w:spacing w:after="120"/>
              <w:jc w:val="center"/>
              <w:rPr>
                <w:rFonts w:eastAsia="Times New Roman" w:cs="Times New Roman"/>
                <w:sz w:val="20"/>
                <w:szCs w:val="20"/>
              </w:rPr>
            </w:pPr>
            <w:r w:rsidRPr="00AA4CFB">
              <w:rPr>
                <w:sz w:val="20"/>
                <w:szCs w:val="20"/>
              </w:rPr>
              <w:t>1,0</w:t>
            </w:r>
          </w:p>
        </w:tc>
        <w:tc>
          <w:tcPr>
            <w:tcW w:w="3686" w:type="dxa"/>
            <w:tcBorders>
              <w:top w:val="nil"/>
              <w:left w:val="nil"/>
              <w:bottom w:val="nil"/>
              <w:right w:val="nil"/>
            </w:tcBorders>
            <w:shd w:val="clear" w:color="auto" w:fill="FFFFFF"/>
            <w:vAlign w:val="bottom"/>
          </w:tcPr>
          <w:p w14:paraId="52C39590" w14:textId="77777777" w:rsidR="00AF2D51" w:rsidRPr="00AA4CFB" w:rsidRDefault="00AF2D51" w:rsidP="00AF2D51">
            <w:pPr>
              <w:spacing w:after="120"/>
              <w:jc w:val="center"/>
              <w:rPr>
                <w:rFonts w:eastAsia="Times New Roman" w:cs="Times New Roman"/>
                <w:sz w:val="20"/>
                <w:szCs w:val="20"/>
              </w:rPr>
            </w:pPr>
            <w:r w:rsidRPr="00AA4CFB">
              <w:rPr>
                <w:sz w:val="20"/>
                <w:szCs w:val="20"/>
              </w:rPr>
              <w:t>10,2</w:t>
            </w:r>
          </w:p>
        </w:tc>
      </w:tr>
      <w:tr w:rsidR="00AF2D51" w:rsidRPr="00AA4CFB" w14:paraId="3092181D" w14:textId="77777777" w:rsidTr="00AF2D51">
        <w:trPr>
          <w:trHeight w:val="312"/>
        </w:trPr>
        <w:tc>
          <w:tcPr>
            <w:tcW w:w="2127" w:type="dxa"/>
            <w:tcBorders>
              <w:top w:val="nil"/>
              <w:left w:val="nil"/>
              <w:bottom w:val="nil"/>
              <w:right w:val="nil"/>
            </w:tcBorders>
            <w:shd w:val="clear" w:color="auto" w:fill="FFFFFF"/>
            <w:vAlign w:val="center"/>
          </w:tcPr>
          <w:p w14:paraId="2070A636" w14:textId="77777777" w:rsidR="00AF2D51" w:rsidRPr="00AA4CFB" w:rsidRDefault="00AF2D51" w:rsidP="00AF2D51">
            <w:pPr>
              <w:spacing w:after="120"/>
              <w:rPr>
                <w:rFonts w:eastAsia="Times New Roman" w:cs="Times New Roman"/>
                <w:b/>
                <w:bCs/>
                <w:sz w:val="20"/>
                <w:szCs w:val="20"/>
              </w:rPr>
            </w:pPr>
            <w:r w:rsidRPr="00AA4CFB">
              <w:rPr>
                <w:sz w:val="20"/>
                <w:szCs w:val="20"/>
              </w:rPr>
              <w:t>10-ից մինչեւ 20</w:t>
            </w:r>
          </w:p>
        </w:tc>
        <w:tc>
          <w:tcPr>
            <w:tcW w:w="1984" w:type="dxa"/>
            <w:tcBorders>
              <w:top w:val="nil"/>
              <w:left w:val="nil"/>
              <w:bottom w:val="nil"/>
              <w:right w:val="nil"/>
            </w:tcBorders>
            <w:shd w:val="clear" w:color="auto" w:fill="FFFFFF"/>
            <w:vAlign w:val="bottom"/>
          </w:tcPr>
          <w:p w14:paraId="1CA5205D" w14:textId="77777777" w:rsidR="00AF2D51" w:rsidRPr="00AA4CFB" w:rsidRDefault="00AF2D51" w:rsidP="00AF2D51">
            <w:pPr>
              <w:spacing w:after="120"/>
              <w:jc w:val="center"/>
              <w:rPr>
                <w:rFonts w:eastAsia="Times New Roman" w:cs="Times New Roman"/>
                <w:sz w:val="20"/>
                <w:szCs w:val="20"/>
              </w:rPr>
            </w:pPr>
            <w:r w:rsidRPr="00AA4CFB">
              <w:rPr>
                <w:sz w:val="20"/>
                <w:szCs w:val="20"/>
              </w:rPr>
              <w:t>0,80</w:t>
            </w:r>
          </w:p>
        </w:tc>
        <w:tc>
          <w:tcPr>
            <w:tcW w:w="3686" w:type="dxa"/>
            <w:tcBorders>
              <w:top w:val="nil"/>
              <w:left w:val="nil"/>
              <w:bottom w:val="nil"/>
              <w:right w:val="nil"/>
            </w:tcBorders>
            <w:shd w:val="clear" w:color="auto" w:fill="FFFFFF"/>
            <w:vAlign w:val="bottom"/>
          </w:tcPr>
          <w:p w14:paraId="05D752DA" w14:textId="77777777" w:rsidR="00AF2D51" w:rsidRPr="00AA4CFB" w:rsidRDefault="00AF2D51" w:rsidP="00AF2D51">
            <w:pPr>
              <w:spacing w:after="120"/>
              <w:jc w:val="center"/>
              <w:rPr>
                <w:rFonts w:eastAsia="Times New Roman" w:cs="Times New Roman"/>
                <w:sz w:val="20"/>
                <w:szCs w:val="20"/>
              </w:rPr>
            </w:pPr>
            <w:r w:rsidRPr="00AA4CFB">
              <w:rPr>
                <w:sz w:val="20"/>
                <w:szCs w:val="20"/>
              </w:rPr>
              <w:t>8,1</w:t>
            </w:r>
          </w:p>
        </w:tc>
      </w:tr>
      <w:tr w:rsidR="00AF2D51" w:rsidRPr="00AA4CFB" w14:paraId="68AACA92" w14:textId="77777777" w:rsidTr="00AF2D51">
        <w:trPr>
          <w:trHeight w:val="274"/>
        </w:trPr>
        <w:tc>
          <w:tcPr>
            <w:tcW w:w="2127" w:type="dxa"/>
            <w:tcBorders>
              <w:top w:val="nil"/>
              <w:left w:val="nil"/>
              <w:bottom w:val="nil"/>
              <w:right w:val="nil"/>
            </w:tcBorders>
            <w:shd w:val="clear" w:color="auto" w:fill="FFFFFF"/>
            <w:vAlign w:val="bottom"/>
          </w:tcPr>
          <w:p w14:paraId="6FB3DCBC" w14:textId="77777777" w:rsidR="00AF2D51" w:rsidRPr="00AA4CFB" w:rsidRDefault="00AF2D51" w:rsidP="00AF2D51">
            <w:pPr>
              <w:spacing w:after="120"/>
              <w:rPr>
                <w:rFonts w:eastAsia="Times New Roman" w:cs="Times New Roman"/>
                <w:b/>
                <w:bCs/>
                <w:sz w:val="20"/>
                <w:szCs w:val="20"/>
              </w:rPr>
            </w:pPr>
            <w:r w:rsidRPr="00AA4CFB">
              <w:rPr>
                <w:sz w:val="20"/>
                <w:szCs w:val="20"/>
              </w:rPr>
              <w:t>20-ից մինչեւ 50</w:t>
            </w:r>
          </w:p>
        </w:tc>
        <w:tc>
          <w:tcPr>
            <w:tcW w:w="1984" w:type="dxa"/>
            <w:tcBorders>
              <w:top w:val="nil"/>
              <w:left w:val="nil"/>
              <w:bottom w:val="nil"/>
              <w:right w:val="nil"/>
            </w:tcBorders>
            <w:shd w:val="clear" w:color="auto" w:fill="FFFFFF"/>
            <w:vAlign w:val="bottom"/>
          </w:tcPr>
          <w:p w14:paraId="62280E15" w14:textId="77777777" w:rsidR="00AF2D51" w:rsidRPr="00AA4CFB" w:rsidRDefault="00AF2D51" w:rsidP="00AF2D51">
            <w:pPr>
              <w:spacing w:after="120"/>
              <w:jc w:val="center"/>
              <w:rPr>
                <w:rFonts w:eastAsia="Times New Roman" w:cs="Times New Roman"/>
                <w:sz w:val="20"/>
                <w:szCs w:val="20"/>
              </w:rPr>
            </w:pPr>
            <w:r w:rsidRPr="00AA4CFB">
              <w:rPr>
                <w:sz w:val="20"/>
                <w:szCs w:val="20"/>
              </w:rPr>
              <w:t>0,60</w:t>
            </w:r>
          </w:p>
        </w:tc>
        <w:tc>
          <w:tcPr>
            <w:tcW w:w="3686" w:type="dxa"/>
            <w:tcBorders>
              <w:top w:val="nil"/>
              <w:left w:val="nil"/>
              <w:bottom w:val="nil"/>
              <w:right w:val="nil"/>
            </w:tcBorders>
            <w:shd w:val="clear" w:color="auto" w:fill="FFFFFF"/>
            <w:vAlign w:val="bottom"/>
          </w:tcPr>
          <w:p w14:paraId="35B12A26" w14:textId="77777777" w:rsidR="00AF2D51" w:rsidRPr="00AA4CFB" w:rsidRDefault="00AF2D51" w:rsidP="00AF2D51">
            <w:pPr>
              <w:spacing w:after="120"/>
              <w:jc w:val="center"/>
              <w:rPr>
                <w:rFonts w:eastAsia="Times New Roman" w:cs="Times New Roman"/>
                <w:sz w:val="20"/>
                <w:szCs w:val="20"/>
              </w:rPr>
            </w:pPr>
            <w:r w:rsidRPr="00AA4CFB">
              <w:rPr>
                <w:sz w:val="20"/>
                <w:szCs w:val="20"/>
              </w:rPr>
              <w:t>6,1</w:t>
            </w:r>
          </w:p>
        </w:tc>
      </w:tr>
      <w:tr w:rsidR="00AF2D51" w:rsidRPr="00AA4CFB" w14:paraId="3BE11747" w14:textId="77777777" w:rsidTr="00AF2D51">
        <w:trPr>
          <w:trHeight w:val="336"/>
        </w:trPr>
        <w:tc>
          <w:tcPr>
            <w:tcW w:w="2127" w:type="dxa"/>
            <w:tcBorders>
              <w:top w:val="nil"/>
              <w:left w:val="nil"/>
              <w:bottom w:val="nil"/>
              <w:right w:val="nil"/>
            </w:tcBorders>
            <w:shd w:val="clear" w:color="auto" w:fill="FFFFFF"/>
            <w:vAlign w:val="bottom"/>
          </w:tcPr>
          <w:p w14:paraId="7B2A29EA" w14:textId="77777777" w:rsidR="00AF2D51" w:rsidRPr="00AA4CFB" w:rsidRDefault="00AF2D51" w:rsidP="00AF2D51">
            <w:pPr>
              <w:spacing w:after="120"/>
              <w:rPr>
                <w:rFonts w:eastAsia="Times New Roman" w:cs="Times New Roman"/>
                <w:b/>
                <w:bCs/>
                <w:sz w:val="20"/>
                <w:szCs w:val="20"/>
              </w:rPr>
            </w:pPr>
            <w:r w:rsidRPr="00AA4CFB">
              <w:rPr>
                <w:sz w:val="20"/>
                <w:szCs w:val="20"/>
              </w:rPr>
              <w:t>50-ից մինչեւ 100</w:t>
            </w:r>
          </w:p>
        </w:tc>
        <w:tc>
          <w:tcPr>
            <w:tcW w:w="1984" w:type="dxa"/>
            <w:tcBorders>
              <w:top w:val="nil"/>
              <w:left w:val="nil"/>
              <w:bottom w:val="nil"/>
              <w:right w:val="nil"/>
            </w:tcBorders>
            <w:shd w:val="clear" w:color="auto" w:fill="FFFFFF"/>
            <w:vAlign w:val="bottom"/>
          </w:tcPr>
          <w:p w14:paraId="1B96DEE9" w14:textId="77777777" w:rsidR="00AF2D51" w:rsidRPr="00AA4CFB" w:rsidRDefault="00AF2D51" w:rsidP="00AF2D51">
            <w:pPr>
              <w:spacing w:after="120"/>
              <w:jc w:val="center"/>
              <w:rPr>
                <w:rFonts w:eastAsia="Times New Roman" w:cs="Times New Roman"/>
                <w:sz w:val="20"/>
                <w:szCs w:val="20"/>
              </w:rPr>
            </w:pPr>
            <w:r w:rsidRPr="00AA4CFB">
              <w:rPr>
                <w:sz w:val="20"/>
                <w:szCs w:val="20"/>
              </w:rPr>
              <w:t>0,50</w:t>
            </w:r>
          </w:p>
        </w:tc>
        <w:tc>
          <w:tcPr>
            <w:tcW w:w="3686" w:type="dxa"/>
            <w:tcBorders>
              <w:top w:val="nil"/>
              <w:left w:val="nil"/>
              <w:bottom w:val="nil"/>
              <w:right w:val="nil"/>
            </w:tcBorders>
            <w:shd w:val="clear" w:color="auto" w:fill="FFFFFF"/>
            <w:vAlign w:val="bottom"/>
          </w:tcPr>
          <w:p w14:paraId="05F24F83" w14:textId="77777777" w:rsidR="00AF2D51" w:rsidRPr="00AA4CFB" w:rsidRDefault="00AF2D51" w:rsidP="00AF2D51">
            <w:pPr>
              <w:spacing w:after="120"/>
              <w:jc w:val="center"/>
              <w:rPr>
                <w:rFonts w:eastAsia="Times New Roman" w:cs="Times New Roman"/>
                <w:sz w:val="20"/>
                <w:szCs w:val="20"/>
              </w:rPr>
            </w:pPr>
            <w:r w:rsidRPr="00AA4CFB">
              <w:rPr>
                <w:sz w:val="20"/>
                <w:szCs w:val="20"/>
              </w:rPr>
              <w:t>4,8</w:t>
            </w:r>
          </w:p>
        </w:tc>
      </w:tr>
      <w:tr w:rsidR="00AF2D51" w:rsidRPr="00AA4CFB" w14:paraId="7175837B" w14:textId="77777777" w:rsidTr="00AF2D51">
        <w:trPr>
          <w:trHeight w:val="360"/>
        </w:trPr>
        <w:tc>
          <w:tcPr>
            <w:tcW w:w="2127" w:type="dxa"/>
            <w:tcBorders>
              <w:top w:val="nil"/>
              <w:left w:val="nil"/>
              <w:bottom w:val="nil"/>
              <w:right w:val="nil"/>
            </w:tcBorders>
            <w:shd w:val="clear" w:color="auto" w:fill="FFFFFF"/>
          </w:tcPr>
          <w:p w14:paraId="4546CB98" w14:textId="77777777" w:rsidR="00AF2D51" w:rsidRPr="00AA4CFB" w:rsidRDefault="00AF2D51" w:rsidP="00AF2D51">
            <w:pPr>
              <w:spacing w:after="120"/>
              <w:rPr>
                <w:rFonts w:eastAsia="Times New Roman" w:cs="Times New Roman"/>
                <w:b/>
                <w:bCs/>
                <w:sz w:val="20"/>
                <w:szCs w:val="20"/>
              </w:rPr>
            </w:pPr>
            <w:r w:rsidRPr="00AA4CFB">
              <w:rPr>
                <w:sz w:val="20"/>
                <w:szCs w:val="20"/>
              </w:rPr>
              <w:t>100-ից մինչեւ 200</w:t>
            </w:r>
          </w:p>
        </w:tc>
        <w:tc>
          <w:tcPr>
            <w:tcW w:w="1984" w:type="dxa"/>
            <w:tcBorders>
              <w:top w:val="nil"/>
              <w:left w:val="nil"/>
              <w:bottom w:val="nil"/>
              <w:right w:val="nil"/>
            </w:tcBorders>
            <w:shd w:val="clear" w:color="auto" w:fill="FFFFFF"/>
          </w:tcPr>
          <w:p w14:paraId="47FD6707" w14:textId="77777777" w:rsidR="00AF2D51" w:rsidRPr="00AA4CFB" w:rsidRDefault="00AF2D51" w:rsidP="00AF2D51">
            <w:pPr>
              <w:spacing w:after="120"/>
              <w:jc w:val="center"/>
              <w:rPr>
                <w:rFonts w:eastAsia="Times New Roman" w:cs="Times New Roman"/>
                <w:sz w:val="20"/>
                <w:szCs w:val="20"/>
              </w:rPr>
            </w:pPr>
            <w:r w:rsidRPr="00AA4CFB">
              <w:rPr>
                <w:sz w:val="20"/>
                <w:szCs w:val="20"/>
              </w:rPr>
              <w:t>0,40</w:t>
            </w:r>
          </w:p>
        </w:tc>
        <w:tc>
          <w:tcPr>
            <w:tcW w:w="3686" w:type="dxa"/>
            <w:tcBorders>
              <w:top w:val="nil"/>
              <w:left w:val="nil"/>
              <w:bottom w:val="nil"/>
              <w:right w:val="nil"/>
            </w:tcBorders>
            <w:shd w:val="clear" w:color="auto" w:fill="FFFFFF"/>
          </w:tcPr>
          <w:p w14:paraId="5F664518" w14:textId="77777777" w:rsidR="00AF2D51" w:rsidRPr="00AA4CFB" w:rsidRDefault="00AF2D51" w:rsidP="00AF2D51">
            <w:pPr>
              <w:spacing w:after="120"/>
              <w:jc w:val="center"/>
              <w:rPr>
                <w:rFonts w:eastAsia="Times New Roman" w:cs="Times New Roman"/>
                <w:sz w:val="20"/>
                <w:szCs w:val="20"/>
              </w:rPr>
            </w:pPr>
            <w:r w:rsidRPr="00AA4CFB">
              <w:rPr>
                <w:sz w:val="20"/>
                <w:szCs w:val="20"/>
              </w:rPr>
              <w:t>3,8</w:t>
            </w:r>
          </w:p>
        </w:tc>
      </w:tr>
      <w:tr w:rsidR="00AF2D51" w:rsidRPr="00AA4CFB" w14:paraId="1238D1F8" w14:textId="77777777" w:rsidTr="00AF2D51">
        <w:trPr>
          <w:trHeight w:val="312"/>
        </w:trPr>
        <w:tc>
          <w:tcPr>
            <w:tcW w:w="2127" w:type="dxa"/>
            <w:tcBorders>
              <w:top w:val="nil"/>
              <w:left w:val="nil"/>
              <w:bottom w:val="nil"/>
              <w:right w:val="nil"/>
            </w:tcBorders>
            <w:shd w:val="clear" w:color="auto" w:fill="FFFFFF"/>
          </w:tcPr>
          <w:p w14:paraId="4441F6C0" w14:textId="77777777" w:rsidR="00AF2D51" w:rsidRPr="00AA4CFB" w:rsidRDefault="00AF2D51" w:rsidP="00AF2D51">
            <w:pPr>
              <w:spacing w:after="120"/>
              <w:rPr>
                <w:rFonts w:eastAsia="Times New Roman" w:cs="Times New Roman"/>
                <w:b/>
                <w:bCs/>
                <w:sz w:val="20"/>
                <w:szCs w:val="20"/>
              </w:rPr>
            </w:pPr>
            <w:r w:rsidRPr="00AA4CFB">
              <w:rPr>
                <w:sz w:val="20"/>
                <w:szCs w:val="20"/>
              </w:rPr>
              <w:t>200-ից մինչեւ 500</w:t>
            </w:r>
          </w:p>
        </w:tc>
        <w:tc>
          <w:tcPr>
            <w:tcW w:w="1984" w:type="dxa"/>
            <w:tcBorders>
              <w:top w:val="nil"/>
              <w:left w:val="nil"/>
              <w:bottom w:val="nil"/>
              <w:right w:val="nil"/>
            </w:tcBorders>
            <w:shd w:val="clear" w:color="auto" w:fill="FFFFFF"/>
          </w:tcPr>
          <w:p w14:paraId="31A40156" w14:textId="77777777" w:rsidR="00AF2D51" w:rsidRPr="00AA4CFB" w:rsidRDefault="00AF2D51" w:rsidP="00AF2D51">
            <w:pPr>
              <w:spacing w:after="120"/>
              <w:jc w:val="center"/>
              <w:rPr>
                <w:rFonts w:eastAsia="Times New Roman" w:cs="Times New Roman"/>
                <w:sz w:val="20"/>
                <w:szCs w:val="20"/>
              </w:rPr>
            </w:pPr>
            <w:r w:rsidRPr="00AA4CFB">
              <w:rPr>
                <w:sz w:val="20"/>
                <w:szCs w:val="20"/>
              </w:rPr>
              <w:t>0,30</w:t>
            </w:r>
          </w:p>
        </w:tc>
        <w:tc>
          <w:tcPr>
            <w:tcW w:w="3686" w:type="dxa"/>
            <w:tcBorders>
              <w:top w:val="nil"/>
              <w:left w:val="nil"/>
              <w:bottom w:val="nil"/>
              <w:right w:val="nil"/>
            </w:tcBorders>
            <w:shd w:val="clear" w:color="auto" w:fill="FFFFFF"/>
          </w:tcPr>
          <w:p w14:paraId="7BD4150F" w14:textId="77777777" w:rsidR="00AF2D51" w:rsidRPr="00AA4CFB" w:rsidRDefault="00AF2D51" w:rsidP="00AF2D51">
            <w:pPr>
              <w:spacing w:after="120"/>
              <w:jc w:val="center"/>
              <w:rPr>
                <w:rFonts w:eastAsia="Times New Roman" w:cs="Times New Roman"/>
                <w:sz w:val="20"/>
                <w:szCs w:val="20"/>
              </w:rPr>
            </w:pPr>
            <w:r w:rsidRPr="00AA4CFB">
              <w:rPr>
                <w:sz w:val="20"/>
                <w:szCs w:val="20"/>
              </w:rPr>
              <w:t>2,9</w:t>
            </w:r>
          </w:p>
        </w:tc>
      </w:tr>
      <w:tr w:rsidR="00AF2D51" w:rsidRPr="00AA4CFB" w14:paraId="63AE53EA" w14:textId="77777777" w:rsidTr="00AF2D51">
        <w:trPr>
          <w:trHeight w:val="240"/>
        </w:trPr>
        <w:tc>
          <w:tcPr>
            <w:tcW w:w="2127" w:type="dxa"/>
            <w:tcBorders>
              <w:top w:val="nil"/>
              <w:left w:val="nil"/>
              <w:bottom w:val="single" w:sz="4" w:space="0" w:color="auto"/>
              <w:right w:val="nil"/>
            </w:tcBorders>
            <w:shd w:val="clear" w:color="auto" w:fill="FFFFFF"/>
            <w:vAlign w:val="center"/>
          </w:tcPr>
          <w:p w14:paraId="28DBD1C4" w14:textId="77777777" w:rsidR="00AF2D51" w:rsidRPr="00AA4CFB" w:rsidRDefault="00AF2D51" w:rsidP="00AF2D51">
            <w:pPr>
              <w:spacing w:after="120"/>
              <w:rPr>
                <w:rFonts w:eastAsia="Times New Roman" w:cs="Times New Roman"/>
                <w:sz w:val="20"/>
                <w:szCs w:val="20"/>
              </w:rPr>
            </w:pPr>
            <w:r w:rsidRPr="00AA4CFB">
              <w:rPr>
                <w:sz w:val="20"/>
                <w:szCs w:val="20"/>
              </w:rPr>
              <w:t>500-ից ավելի</w:t>
            </w:r>
          </w:p>
        </w:tc>
        <w:tc>
          <w:tcPr>
            <w:tcW w:w="1984" w:type="dxa"/>
            <w:tcBorders>
              <w:top w:val="nil"/>
              <w:left w:val="nil"/>
              <w:bottom w:val="single" w:sz="4" w:space="0" w:color="auto"/>
              <w:right w:val="nil"/>
            </w:tcBorders>
            <w:shd w:val="clear" w:color="auto" w:fill="FFFFFF"/>
            <w:vAlign w:val="center"/>
          </w:tcPr>
          <w:p w14:paraId="140B084C" w14:textId="77777777" w:rsidR="00AF2D51" w:rsidRPr="00AA4CFB" w:rsidRDefault="00AF2D51" w:rsidP="00AF2D51">
            <w:pPr>
              <w:spacing w:after="120"/>
              <w:jc w:val="center"/>
              <w:rPr>
                <w:rFonts w:eastAsia="Times New Roman" w:cs="Times New Roman"/>
                <w:sz w:val="20"/>
                <w:szCs w:val="20"/>
              </w:rPr>
            </w:pPr>
            <w:r w:rsidRPr="00AA4CFB">
              <w:rPr>
                <w:sz w:val="20"/>
                <w:szCs w:val="20"/>
              </w:rPr>
              <w:t>0,20</w:t>
            </w:r>
          </w:p>
        </w:tc>
        <w:tc>
          <w:tcPr>
            <w:tcW w:w="3686" w:type="dxa"/>
            <w:tcBorders>
              <w:top w:val="nil"/>
              <w:left w:val="nil"/>
              <w:bottom w:val="single" w:sz="4" w:space="0" w:color="auto"/>
              <w:right w:val="nil"/>
            </w:tcBorders>
            <w:shd w:val="clear" w:color="auto" w:fill="FFFFFF"/>
            <w:vAlign w:val="center"/>
          </w:tcPr>
          <w:p w14:paraId="064A1904" w14:textId="77777777" w:rsidR="00AF2D51" w:rsidRPr="00AA4CFB" w:rsidRDefault="00AF2D51" w:rsidP="00AF2D51">
            <w:pPr>
              <w:spacing w:after="120"/>
              <w:jc w:val="center"/>
              <w:rPr>
                <w:rFonts w:eastAsia="Times New Roman" w:cs="Times New Roman"/>
                <w:sz w:val="20"/>
                <w:szCs w:val="20"/>
              </w:rPr>
            </w:pPr>
            <w:r w:rsidRPr="00AA4CFB">
              <w:rPr>
                <w:sz w:val="20"/>
                <w:szCs w:val="20"/>
              </w:rPr>
              <w:t>2,2</w:t>
            </w:r>
          </w:p>
        </w:tc>
      </w:tr>
    </w:tbl>
    <w:p w14:paraId="31D63151" w14:textId="77777777" w:rsidR="00AF2D51" w:rsidRDefault="00AF2D51" w:rsidP="00AF2D51">
      <w:pPr>
        <w:tabs>
          <w:tab w:val="left" w:pos="2568"/>
        </w:tabs>
        <w:spacing w:after="160" w:line="360" w:lineRule="auto"/>
        <w:ind w:firstLine="567"/>
      </w:pPr>
    </w:p>
    <w:p w14:paraId="012ECD3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lastRenderedPageBreak/>
        <w:t>ՓՈՐՁԱՐԿՈՒՄ Բ</w:t>
      </w:r>
    </w:p>
    <w:p w14:paraId="7B827F5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ՓՈՇԻԱՑՎԱԾ ԱՊԱԿՈՒ ՀԻԴՐՈԼԻՏԻԿ ԿԱՅՈՒՆՈՒԹՅՈՒՆԸ (ՓՈՇԻԱՑՎԱԾ ԱՊԱԿՈՒ ՓՈՐՁԱՐԿՈՒՄԸ)</w:t>
      </w:r>
    </w:p>
    <w:p w14:paraId="585BB20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Ստուգում են՝ արդյոք արտադրատեսակները ենթարկվել են թրծման՝ կոմերցիոն տեսանկյունից ընդունելի որակ ստանալու համար:</w:t>
      </w:r>
    </w:p>
    <w:p w14:paraId="50C8926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Փորձարկումը կարող է անցկացվել ապակուց փաթեթվածքների արտադրության համար օգտագործվող խողովակների վրա կամ հենց փաթեթվածքների վրա:</w:t>
      </w:r>
    </w:p>
    <w:p w14:paraId="39A447B0"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Սարքավորումները</w:t>
      </w:r>
    </w:p>
    <w:p w14:paraId="6E5F0A7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 xml:space="preserve">սանդ, սանդաթակ (տե՛ս 2.4.2.2-2 նկարը) </w:t>
      </w:r>
      <w:r>
        <w:rPr>
          <w:rFonts w:ascii="Sylfaen" w:hAnsi="Sylfaen"/>
          <w:sz w:val="24"/>
          <w:szCs w:val="24"/>
        </w:rPr>
        <w:t>եւ</w:t>
      </w:r>
      <w:r w:rsidRPr="00394A09">
        <w:rPr>
          <w:rFonts w:ascii="Sylfaen" w:hAnsi="Sylfaen"/>
          <w:sz w:val="24"/>
          <w:szCs w:val="24"/>
        </w:rPr>
        <w:t xml:space="preserve"> կոփված մագնիսական պողպատից մուրճ.</w:t>
      </w:r>
    </w:p>
    <w:p w14:paraId="4F218E23"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 xml:space="preserve">որպես սանդի, սանդաթակի </w:t>
      </w:r>
      <w:r>
        <w:rPr>
          <w:rFonts w:ascii="Sylfaen" w:hAnsi="Sylfaen"/>
          <w:sz w:val="24"/>
          <w:szCs w:val="24"/>
        </w:rPr>
        <w:t>եւ</w:t>
      </w:r>
      <w:r w:rsidRPr="00394A09">
        <w:rPr>
          <w:rFonts w:ascii="Sylfaen" w:hAnsi="Sylfaen"/>
          <w:sz w:val="24"/>
          <w:szCs w:val="24"/>
        </w:rPr>
        <w:t xml:space="preserve"> մուրճի այլընտրանք կարող է օգտագործվել ագատից, ցիրկոնիումի դիօքսիդից կամ չժանգոտվող պողպատից գնդավոր աղացը՝ 250 մլ ծավալով. օգտագործվում են 40 մմ տրամագծով 2 գունդ կամ 30 մմ տրամագծով 3 գունդ. </w:t>
      </w:r>
    </w:p>
    <w:p w14:paraId="5556A7F6"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 xml:space="preserve">չժանգոտվող պողպատից քառակուսի անցքերով երեք մաղերի հավաքածու, որոնք տեղադրվում են նույն նյութից պատրաստված երեք շրջանակների վրա </w:t>
      </w:r>
      <w:r>
        <w:rPr>
          <w:rFonts w:ascii="Sylfaen" w:hAnsi="Sylfaen"/>
          <w:sz w:val="24"/>
          <w:szCs w:val="24"/>
        </w:rPr>
        <w:t>եւ</w:t>
      </w:r>
      <w:r w:rsidRPr="00394A09">
        <w:rPr>
          <w:rFonts w:ascii="Sylfaen" w:hAnsi="Sylfaen"/>
          <w:sz w:val="24"/>
          <w:szCs w:val="24"/>
        </w:rPr>
        <w:t xml:space="preserve"> բաղկացած են՝</w:t>
      </w:r>
    </w:p>
    <w:p w14:paraId="78765AA3" w14:textId="77777777" w:rsidR="00AF2D51" w:rsidRPr="00394A09" w:rsidRDefault="00AF2D51" w:rsidP="00AF2D51">
      <w:pPr>
        <w:tabs>
          <w:tab w:val="left" w:pos="1134"/>
        </w:tabs>
        <w:spacing w:after="160" w:line="360" w:lineRule="auto"/>
        <w:ind w:firstLine="567"/>
      </w:pPr>
      <w:r w:rsidRPr="00394A09">
        <w:t>(ա)</w:t>
      </w:r>
      <w:r w:rsidRPr="00AA4CFB">
        <w:tab/>
      </w:r>
      <w:r w:rsidRPr="00394A09">
        <w:t>մաղից՝ թիվ 710.</w:t>
      </w:r>
    </w:p>
    <w:p w14:paraId="6F8009F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(բ)</w:t>
      </w:r>
      <w:r w:rsidRPr="00AA4CFB">
        <w:rPr>
          <w:rFonts w:ascii="Sylfaen" w:hAnsi="Sylfaen"/>
          <w:sz w:val="24"/>
          <w:szCs w:val="24"/>
        </w:rPr>
        <w:tab/>
      </w:r>
      <w:r w:rsidRPr="00394A09">
        <w:rPr>
          <w:rFonts w:ascii="Sylfaen" w:hAnsi="Sylfaen"/>
          <w:sz w:val="24"/>
          <w:szCs w:val="24"/>
        </w:rPr>
        <w:t>մաղից՝ թիվ 425.</w:t>
      </w:r>
    </w:p>
    <w:p w14:paraId="1E0C029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(գ)</w:t>
      </w:r>
      <w:r w:rsidRPr="00AA4CFB">
        <w:rPr>
          <w:rFonts w:ascii="Sylfaen" w:hAnsi="Sylfaen"/>
          <w:sz w:val="24"/>
          <w:szCs w:val="24"/>
        </w:rPr>
        <w:tab/>
      </w:r>
      <w:r w:rsidRPr="00394A09">
        <w:rPr>
          <w:rFonts w:ascii="Sylfaen" w:hAnsi="Sylfaen"/>
          <w:sz w:val="24"/>
          <w:szCs w:val="24"/>
        </w:rPr>
        <w:t>մաղից՝ թիվ 300.</w:t>
      </w:r>
    </w:p>
    <w:p w14:paraId="4DCCCA1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ապակին մաղելու համար կարելի է օգտագործել մեխանիկական մաղիչը կամ մաղիչ մեքենան.</w:t>
      </w:r>
    </w:p>
    <w:p w14:paraId="44722076"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հաստատուն մագնիս.</w:t>
      </w:r>
    </w:p>
    <w:p w14:paraId="6954209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մետաղական փայլաթիթեղ (օրինակ՝ ալյումին, չժանգոտվող պողպատ).</w:t>
      </w:r>
    </w:p>
    <w:p w14:paraId="5B74076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lastRenderedPageBreak/>
        <w:t>-</w:t>
      </w:r>
      <w:r w:rsidRPr="00AA4CFB">
        <w:rPr>
          <w:rFonts w:ascii="Sylfaen" w:hAnsi="Sylfaen"/>
          <w:sz w:val="24"/>
          <w:szCs w:val="24"/>
        </w:rPr>
        <w:tab/>
      </w:r>
      <w:r w:rsidRPr="00394A09">
        <w:rPr>
          <w:rFonts w:ascii="Sylfaen" w:hAnsi="Sylfaen"/>
          <w:sz w:val="24"/>
          <w:szCs w:val="24"/>
        </w:rPr>
        <w:t>չորացման պահարան, որը կարող է պահպանել (140 ±5) °C ջերմաստիճանը.</w:t>
      </w:r>
    </w:p>
    <w:p w14:paraId="0D4C77C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էքսիկատոր.</w:t>
      </w:r>
    </w:p>
    <w:p w14:paraId="499C993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A4CFB">
        <w:rPr>
          <w:rFonts w:ascii="Sylfaen" w:hAnsi="Sylfaen"/>
          <w:sz w:val="24"/>
          <w:szCs w:val="24"/>
        </w:rPr>
        <w:tab/>
      </w:r>
      <w:r w:rsidRPr="00394A09">
        <w:rPr>
          <w:rFonts w:ascii="Sylfaen" w:hAnsi="Sylfaen"/>
          <w:sz w:val="24"/>
          <w:szCs w:val="24"/>
        </w:rPr>
        <w:t>կշեռք՝ մինչ</w:t>
      </w:r>
      <w:r>
        <w:rPr>
          <w:rFonts w:ascii="Sylfaen" w:hAnsi="Sylfaen"/>
          <w:sz w:val="24"/>
          <w:szCs w:val="24"/>
        </w:rPr>
        <w:t>եւ</w:t>
      </w:r>
      <w:r w:rsidRPr="00394A09">
        <w:rPr>
          <w:rFonts w:ascii="Sylfaen" w:hAnsi="Sylfaen"/>
          <w:sz w:val="24"/>
          <w:szCs w:val="24"/>
        </w:rPr>
        <w:t xml:space="preserve"> 500 գ կշռելու համար՝ 0,005 գ ճշգրտությամբ.</w:t>
      </w:r>
    </w:p>
    <w:p w14:paraId="17AF819E"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F2D51">
        <w:rPr>
          <w:rFonts w:ascii="Sylfaen" w:hAnsi="Sylfaen"/>
          <w:sz w:val="24"/>
          <w:szCs w:val="24"/>
        </w:rPr>
        <w:tab/>
      </w:r>
      <w:r w:rsidRPr="00394A09">
        <w:rPr>
          <w:rFonts w:ascii="Sylfaen" w:hAnsi="Sylfaen"/>
          <w:sz w:val="24"/>
          <w:szCs w:val="24"/>
        </w:rPr>
        <w:t>ուլտրաձայնային բաղնիք:</w:t>
      </w:r>
    </w:p>
    <w:p w14:paraId="430C56A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Մեթոդիկա։ </w:t>
      </w:r>
      <w:r w:rsidRPr="00394A09">
        <w:rPr>
          <w:rFonts w:ascii="Sylfaen" w:hAnsi="Sylfaen"/>
          <w:sz w:val="24"/>
          <w:szCs w:val="24"/>
        </w:rPr>
        <w:t xml:space="preserve">Փորձարկվող նմուշները լվանում են </w:t>
      </w:r>
      <w:r w:rsidRPr="00394A09">
        <w:rPr>
          <w:rFonts w:ascii="Sylfaen" w:hAnsi="Sylfaen"/>
          <w:i/>
          <w:sz w:val="24"/>
          <w:szCs w:val="24"/>
        </w:rPr>
        <w:t>Ռ ջրով</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չորացնում չորացման պահարանում: Ապակու՝ յուրաքանչյուրը մոտ 100 գ զանգվածով երկու նմուշ ստանալու համար երեքից ոչ պակաս փաթեթվածք փաթաթում են մաքուր թղթի մեջ </w:t>
      </w:r>
      <w:r>
        <w:rPr>
          <w:rFonts w:ascii="Sylfaen" w:hAnsi="Sylfaen"/>
          <w:sz w:val="24"/>
          <w:szCs w:val="24"/>
        </w:rPr>
        <w:t>եւ</w:t>
      </w:r>
      <w:r w:rsidRPr="00394A09">
        <w:rPr>
          <w:rFonts w:ascii="Sylfaen" w:hAnsi="Sylfaen"/>
          <w:sz w:val="24"/>
          <w:szCs w:val="24"/>
        </w:rPr>
        <w:t xml:space="preserve"> մուրճով կոտրատում այնպես, որ ստացվեն 30 մմ-ը չգերազանցող չափսերի բեկորներ:</w:t>
      </w:r>
    </w:p>
    <w:p w14:paraId="4B66013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Սանդ, սանդաթակ </w:t>
      </w:r>
      <w:r>
        <w:rPr>
          <w:rFonts w:ascii="Sylfaen" w:hAnsi="Sylfaen"/>
          <w:sz w:val="24"/>
          <w:szCs w:val="24"/>
        </w:rPr>
        <w:t>եւ</w:t>
      </w:r>
      <w:r w:rsidRPr="00394A09">
        <w:rPr>
          <w:rFonts w:ascii="Sylfaen" w:hAnsi="Sylfaen"/>
          <w:sz w:val="24"/>
          <w:szCs w:val="24"/>
        </w:rPr>
        <w:t xml:space="preserve"> մուրճ օգտագործելիս գործում են հետ</w:t>
      </w:r>
      <w:r>
        <w:rPr>
          <w:rFonts w:ascii="Sylfaen" w:hAnsi="Sylfaen"/>
          <w:sz w:val="24"/>
          <w:szCs w:val="24"/>
        </w:rPr>
        <w:t>եւ</w:t>
      </w:r>
      <w:r w:rsidRPr="00394A09">
        <w:rPr>
          <w:rFonts w:ascii="Sylfaen" w:hAnsi="Sylfaen"/>
          <w:sz w:val="24"/>
          <w:szCs w:val="24"/>
        </w:rPr>
        <w:t xml:space="preserve">յալ կերպ. մեկ նմուշի 30-40 գ 10-30 մմ չափսերի բեկորներով տեղափոխում են սանդի մեջ, դնում սանդաթակը </w:t>
      </w:r>
      <w:r>
        <w:rPr>
          <w:rFonts w:ascii="Sylfaen" w:hAnsi="Sylfaen"/>
          <w:sz w:val="24"/>
          <w:szCs w:val="24"/>
        </w:rPr>
        <w:t>եւ</w:t>
      </w:r>
      <w:r w:rsidRPr="00394A09">
        <w:rPr>
          <w:rFonts w:ascii="Sylfaen" w:hAnsi="Sylfaen"/>
          <w:sz w:val="24"/>
          <w:szCs w:val="24"/>
        </w:rPr>
        <w:t xml:space="preserve"> մեկ անգամ ուժգին հարվածում մուրճով: Սանդի պարունակությունը տեղափոխում են հավաքածուի մեծ (ա) մաղի վրա: Գործողությունը կրկնում են մի քանի անգամ, մինչ</w:t>
      </w:r>
      <w:r>
        <w:rPr>
          <w:rFonts w:ascii="Sylfaen" w:hAnsi="Sylfaen"/>
          <w:sz w:val="24"/>
          <w:szCs w:val="24"/>
        </w:rPr>
        <w:t>եւ</w:t>
      </w:r>
      <w:r w:rsidRPr="00394A09">
        <w:rPr>
          <w:rFonts w:ascii="Sylfaen" w:hAnsi="Sylfaen"/>
          <w:sz w:val="24"/>
          <w:szCs w:val="24"/>
        </w:rPr>
        <w:t xml:space="preserve"> բոլոր բեկորները կտեղափոխվեն մաղի վրա, </w:t>
      </w:r>
      <w:r>
        <w:rPr>
          <w:rFonts w:ascii="Sylfaen" w:hAnsi="Sylfaen"/>
          <w:sz w:val="24"/>
          <w:szCs w:val="24"/>
        </w:rPr>
        <w:t>եւ</w:t>
      </w:r>
      <w:r w:rsidRPr="00394A09">
        <w:rPr>
          <w:rFonts w:ascii="Sylfaen" w:hAnsi="Sylfaen"/>
          <w:sz w:val="24"/>
          <w:szCs w:val="24"/>
        </w:rPr>
        <w:t xml:space="preserve"> արագ մաղում են: (ա) </w:t>
      </w:r>
      <w:r>
        <w:rPr>
          <w:rFonts w:ascii="Sylfaen" w:hAnsi="Sylfaen"/>
          <w:sz w:val="24"/>
          <w:szCs w:val="24"/>
        </w:rPr>
        <w:t>եւ</w:t>
      </w:r>
      <w:r w:rsidRPr="00394A09">
        <w:rPr>
          <w:rFonts w:ascii="Sylfaen" w:hAnsi="Sylfaen"/>
          <w:sz w:val="24"/>
          <w:szCs w:val="24"/>
        </w:rPr>
        <w:t xml:space="preserve"> (բ) մաղերի վրա մնացած ապակու մասը հեռացնում են: Այնուհետ</w:t>
      </w:r>
      <w:r>
        <w:rPr>
          <w:rFonts w:ascii="Sylfaen" w:hAnsi="Sylfaen"/>
          <w:sz w:val="24"/>
          <w:szCs w:val="24"/>
        </w:rPr>
        <w:t>եւ</w:t>
      </w:r>
      <w:r w:rsidRPr="00394A09">
        <w:rPr>
          <w:rFonts w:ascii="Sylfaen" w:hAnsi="Sylfaen"/>
          <w:sz w:val="24"/>
          <w:szCs w:val="24"/>
        </w:rPr>
        <w:t xml:space="preserve"> չափազատում են՝ կրկնելով գործողությունն այնքան ժամանակ, մինչեւ (ա) մաղի վրա մնա մոտ 10 գ ապակի: Դեն են նետում այդ մասը </w:t>
      </w:r>
      <w:r>
        <w:rPr>
          <w:rFonts w:ascii="Sylfaen" w:hAnsi="Sylfaen"/>
          <w:sz w:val="24"/>
          <w:szCs w:val="24"/>
        </w:rPr>
        <w:t>եւ</w:t>
      </w:r>
      <w:r w:rsidRPr="00394A09">
        <w:rPr>
          <w:rFonts w:ascii="Sylfaen" w:hAnsi="Sylfaen"/>
          <w:sz w:val="24"/>
          <w:szCs w:val="24"/>
        </w:rPr>
        <w:t xml:space="preserve"> (գ) մաղի միջով անցնող մասը: Թափահարում են մաղերի հավաքածուն մոտ 5 րոպե:</w:t>
      </w:r>
    </w:p>
    <w:p w14:paraId="234A6B8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Պահոցի մեջ են թողնում (բ) մաղի միջով անցնող </w:t>
      </w:r>
      <w:r>
        <w:rPr>
          <w:rFonts w:ascii="Sylfaen" w:hAnsi="Sylfaen"/>
          <w:sz w:val="24"/>
          <w:szCs w:val="24"/>
        </w:rPr>
        <w:t>եւ</w:t>
      </w:r>
      <w:r w:rsidRPr="00394A09">
        <w:rPr>
          <w:rFonts w:ascii="Sylfaen" w:hAnsi="Sylfaen"/>
          <w:sz w:val="24"/>
          <w:szCs w:val="24"/>
        </w:rPr>
        <w:t xml:space="preserve"> (գ) մաղի վրա մնացած ապակե բեկորների մասը:</w:t>
      </w:r>
    </w:p>
    <w:p w14:paraId="790D2416" w14:textId="77777777" w:rsidR="00AF2D51" w:rsidRPr="00394A09" w:rsidRDefault="00AF2D51" w:rsidP="00AF2D51">
      <w:pPr>
        <w:tabs>
          <w:tab w:val="left" w:pos="2568"/>
        </w:tabs>
        <w:spacing w:after="160" w:line="360" w:lineRule="auto"/>
        <w:ind w:firstLine="567"/>
        <w:jc w:val="both"/>
      </w:pPr>
      <w:r w:rsidRPr="00394A09">
        <w:t>Գնդային աղացներ օգտագործելիս գործում են հետ</w:t>
      </w:r>
      <w:r>
        <w:t>եւ</w:t>
      </w:r>
      <w:r w:rsidRPr="00394A09">
        <w:t xml:space="preserve">յալ կերպ. 1-ին նմուշից վերցված 10-30 մմ չափսերի բեկորների մոտ 50 գ-ին ավելացնում են գնդիկներ </w:t>
      </w:r>
      <w:r>
        <w:t>եւ</w:t>
      </w:r>
      <w:r w:rsidRPr="00394A09">
        <w:t xml:space="preserve"> 2 րոպեի ընթացքում մանրացնում են նրբապատ ապակին (պատի հաստությունը մոտ 1,5 մմ), իսկ հաստապատ ապակին (պատի հաստությունը 1,5 մմ-ից ավելի)՝ 5 րոպեի ընթացքում: Ապակին տեղափոխում են (ա) մաղի վրա, մաղում 30 վրկ </w:t>
      </w:r>
      <w:r>
        <w:t>եւ</w:t>
      </w:r>
      <w:r w:rsidRPr="00394A09">
        <w:t xml:space="preserve"> </w:t>
      </w:r>
      <w:r w:rsidRPr="00394A09">
        <w:lastRenderedPageBreak/>
        <w:t xml:space="preserve">մնացած մասը հավաքում (գ) մաղի վրա: (ա) </w:t>
      </w:r>
      <w:r>
        <w:t>եւ</w:t>
      </w:r>
      <w:r w:rsidRPr="00394A09">
        <w:t xml:space="preserve"> (բ) մաղերի վրա մնացած ապակին տեղափոխում են գնդային աղացի մեջ </w:t>
      </w:r>
      <w:r>
        <w:t>եւ</w:t>
      </w:r>
      <w:r w:rsidRPr="00394A09">
        <w:t xml:space="preserve"> նորից մանրացնում ու մաղում՝ վերեւում նշվածի պես: Միավորում են (գ) մաղի վրա մնացած բոլոր մասերը:</w:t>
      </w:r>
    </w:p>
    <w:p w14:paraId="082E69B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Մանրացման </w:t>
      </w:r>
      <w:r>
        <w:rPr>
          <w:rFonts w:ascii="Sylfaen" w:hAnsi="Sylfaen"/>
          <w:sz w:val="24"/>
          <w:szCs w:val="24"/>
        </w:rPr>
        <w:t>եւ</w:t>
      </w:r>
      <w:r w:rsidRPr="00394A09">
        <w:rPr>
          <w:rFonts w:ascii="Sylfaen" w:hAnsi="Sylfaen"/>
          <w:sz w:val="24"/>
          <w:szCs w:val="24"/>
        </w:rPr>
        <w:t xml:space="preserve"> մաղման գործողությունը կրկնում են ապակու երկրորդ նմուշով, մինչ</w:t>
      </w:r>
      <w:r>
        <w:rPr>
          <w:rFonts w:ascii="Sylfaen" w:hAnsi="Sylfaen"/>
          <w:sz w:val="24"/>
          <w:szCs w:val="24"/>
        </w:rPr>
        <w:t>եւ</w:t>
      </w:r>
      <w:r w:rsidRPr="00394A09">
        <w:rPr>
          <w:rFonts w:ascii="Sylfaen" w:hAnsi="Sylfaen"/>
          <w:sz w:val="24"/>
          <w:szCs w:val="24"/>
        </w:rPr>
        <w:t xml:space="preserve"> մաղի վրա կմնա ապակու մոտ 10 գ:</w:t>
      </w:r>
    </w:p>
    <w:p w14:paraId="779A3F8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Այդպիսով ստանում են 2 նմուշ՝ յուրաքանչյուրը 10 գ-ից ոչ պակաս զանգվածով: Յուրաքանչյուր նմուշ տեղադրում են մաքուր փայլուն թղթի վրա </w:t>
      </w:r>
      <w:r>
        <w:rPr>
          <w:rFonts w:ascii="Sylfaen" w:hAnsi="Sylfaen"/>
          <w:sz w:val="24"/>
          <w:szCs w:val="24"/>
        </w:rPr>
        <w:t>եւ</w:t>
      </w:r>
      <w:r w:rsidRPr="00394A09">
        <w:rPr>
          <w:rFonts w:ascii="Sylfaen" w:hAnsi="Sylfaen"/>
          <w:sz w:val="24"/>
          <w:szCs w:val="24"/>
        </w:rPr>
        <w:t xml:space="preserve"> ապակու բեկորներից հեռացնում են բոլոր մետաղական խառնուկները՝ դրանց վրայով մագնիս անցկացնելով: Ապակու նմուշները տեղափոխում են բաժակի մեջ, ավելացնում </w:t>
      </w:r>
      <w:r w:rsidRPr="00394A09">
        <w:rPr>
          <w:rFonts w:ascii="Sylfaen" w:hAnsi="Sylfaen"/>
          <w:i/>
          <w:sz w:val="24"/>
          <w:szCs w:val="24"/>
        </w:rPr>
        <w:t>Ռ ացետոնի</w:t>
      </w:r>
      <w:r w:rsidRPr="00394A09">
        <w:rPr>
          <w:rFonts w:ascii="Sylfaen" w:hAnsi="Sylfaen"/>
          <w:sz w:val="24"/>
          <w:szCs w:val="24"/>
        </w:rPr>
        <w:t xml:space="preserve"> 30 մլ </w:t>
      </w:r>
      <w:r>
        <w:rPr>
          <w:rFonts w:ascii="Sylfaen" w:hAnsi="Sylfaen"/>
          <w:sz w:val="24"/>
          <w:szCs w:val="24"/>
        </w:rPr>
        <w:t>եւ</w:t>
      </w:r>
      <w:r w:rsidRPr="00394A09">
        <w:rPr>
          <w:rFonts w:ascii="Sylfaen" w:hAnsi="Sylfaen"/>
          <w:sz w:val="24"/>
          <w:szCs w:val="24"/>
        </w:rPr>
        <w:t xml:space="preserve"> մաքրում բեկորները ռետինով կամ պլաստիկով պատված ապակյա փայտիկի օգնությամբ: Այնուհետ</w:t>
      </w:r>
      <w:r>
        <w:rPr>
          <w:rFonts w:ascii="Sylfaen" w:hAnsi="Sylfaen"/>
          <w:sz w:val="24"/>
          <w:szCs w:val="24"/>
        </w:rPr>
        <w:t>եւ</w:t>
      </w:r>
      <w:r w:rsidRPr="00394A09">
        <w:rPr>
          <w:rFonts w:ascii="Sylfaen" w:hAnsi="Sylfaen"/>
          <w:sz w:val="24"/>
          <w:szCs w:val="24"/>
        </w:rPr>
        <w:t xml:space="preserve"> թողնում են նստեցման </w:t>
      </w:r>
      <w:r>
        <w:rPr>
          <w:rFonts w:ascii="Sylfaen" w:hAnsi="Sylfaen"/>
          <w:sz w:val="24"/>
          <w:szCs w:val="24"/>
        </w:rPr>
        <w:t>եւ</w:t>
      </w:r>
      <w:r w:rsidRPr="00394A09">
        <w:rPr>
          <w:rFonts w:ascii="Sylfaen" w:hAnsi="Sylfaen"/>
          <w:sz w:val="24"/>
          <w:szCs w:val="24"/>
        </w:rPr>
        <w:t xml:space="preserve"> պարզվածքազատում են ացետոնի շերտը: Ավելացնում են </w:t>
      </w:r>
      <w:r w:rsidRPr="00394A09">
        <w:rPr>
          <w:rFonts w:ascii="Sylfaen" w:hAnsi="Sylfaen"/>
          <w:i/>
          <w:sz w:val="24"/>
          <w:szCs w:val="24"/>
        </w:rPr>
        <w:t>Ռ ացետոնի</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ս 30 մլ, թափահարում, դատարկում </w:t>
      </w:r>
      <w:r>
        <w:rPr>
          <w:rFonts w:ascii="Sylfaen" w:hAnsi="Sylfaen"/>
          <w:sz w:val="24"/>
          <w:szCs w:val="24"/>
        </w:rPr>
        <w:t>եւ</w:t>
      </w:r>
      <w:r w:rsidRPr="00394A09">
        <w:rPr>
          <w:rFonts w:ascii="Sylfaen" w:hAnsi="Sylfaen"/>
          <w:sz w:val="24"/>
          <w:szCs w:val="24"/>
        </w:rPr>
        <w:t xml:space="preserve"> ավելացնում </w:t>
      </w:r>
      <w:r w:rsidRPr="00394A09">
        <w:rPr>
          <w:rFonts w:ascii="Sylfaen" w:hAnsi="Sylfaen"/>
          <w:i/>
          <w:sz w:val="24"/>
          <w:szCs w:val="24"/>
        </w:rPr>
        <w:t>Ռ ացետոնի</w:t>
      </w:r>
      <w:r w:rsidRPr="00394A09">
        <w:rPr>
          <w:rFonts w:ascii="Sylfaen" w:hAnsi="Sylfaen"/>
          <w:sz w:val="24"/>
          <w:szCs w:val="24"/>
        </w:rPr>
        <w:t xml:space="preserve"> 30 մլ նոր բաժինը:</w:t>
      </w:r>
    </w:p>
    <w:p w14:paraId="738545F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5ADACA4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Pr>
          <w:rFonts w:ascii="Sylfaen" w:hAnsi="Sylfaen" w:cs="Sylfaen"/>
          <w:noProof/>
          <w:sz w:val="24"/>
          <w:szCs w:val="24"/>
          <w:lang w:val="en-US" w:eastAsia="en-US" w:bidi="ar-SA"/>
        </w:rPr>
        <w:drawing>
          <wp:anchor distT="0" distB="0" distL="114300" distR="114300" simplePos="0" relativeHeight="252038144" behindDoc="0" locked="0" layoutInCell="1" allowOverlap="1" wp14:anchorId="0A334C29" wp14:editId="6CFD768A">
            <wp:simplePos x="0" y="0"/>
            <wp:positionH relativeFrom="column">
              <wp:posOffset>464185</wp:posOffset>
            </wp:positionH>
            <wp:positionV relativeFrom="paragraph">
              <wp:posOffset>220980</wp:posOffset>
            </wp:positionV>
            <wp:extent cx="1765300" cy="2294890"/>
            <wp:effectExtent l="19050" t="0" r="6350" b="0"/>
            <wp:wrapSquare wrapText="bothSides"/>
            <wp:docPr id="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cstate="print"/>
                    <a:srcRect/>
                    <a:stretch>
                      <a:fillRect/>
                    </a:stretch>
                  </pic:blipFill>
                  <pic:spPr bwMode="auto">
                    <a:xfrm>
                      <a:off x="0" y="0"/>
                      <a:ext cx="1765300" cy="2294890"/>
                    </a:xfrm>
                    <a:prstGeom prst="rect">
                      <a:avLst/>
                    </a:prstGeom>
                    <a:noFill/>
                    <a:ln w="9525">
                      <a:noFill/>
                      <a:miter lim="800000"/>
                      <a:headEnd/>
                      <a:tailEnd/>
                    </a:ln>
                  </pic:spPr>
                </pic:pic>
              </a:graphicData>
            </a:graphic>
          </wp:anchor>
        </w:drawing>
      </w:r>
    </w:p>
    <w:p w14:paraId="168E2D9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67784EC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0D73F0D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33EBC7F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77642B3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58DAFC47" w14:textId="77777777" w:rsidR="00AF2D51" w:rsidRPr="00AF2D51" w:rsidRDefault="00AF2D51" w:rsidP="00AF2D51">
      <w:pPr>
        <w:tabs>
          <w:tab w:val="left" w:pos="2568"/>
        </w:tabs>
        <w:spacing w:after="160" w:line="360" w:lineRule="auto"/>
        <w:ind w:firstLine="567"/>
      </w:pPr>
    </w:p>
    <w:p w14:paraId="640D1039" w14:textId="77777777" w:rsidR="00AF2D51" w:rsidRPr="00AA4CFB" w:rsidRDefault="00AF2D51" w:rsidP="00AF2D51">
      <w:pPr>
        <w:tabs>
          <w:tab w:val="left" w:pos="2568"/>
        </w:tabs>
        <w:spacing w:after="160" w:line="360" w:lineRule="auto"/>
        <w:ind w:firstLine="567"/>
        <w:rPr>
          <w:i/>
          <w:iCs/>
          <w:sz w:val="20"/>
        </w:rPr>
      </w:pPr>
      <w:r w:rsidRPr="00AA4CFB">
        <w:rPr>
          <w:sz w:val="20"/>
        </w:rPr>
        <w:t xml:space="preserve">Նկար 2.4.2.2-2. </w:t>
      </w:r>
      <w:r w:rsidRPr="00AA4CFB">
        <w:rPr>
          <w:i/>
          <w:sz w:val="20"/>
        </w:rPr>
        <w:t>Ապակու մանրացման սարք։ Չափսերը նշված են միլիմետրերով:</w:t>
      </w:r>
    </w:p>
    <w:p w14:paraId="64345224" w14:textId="77777777" w:rsidR="008D6E8B" w:rsidRPr="00B5542D" w:rsidRDefault="008D6E8B" w:rsidP="00AF2D51">
      <w:pPr>
        <w:pStyle w:val="a0"/>
        <w:shd w:val="clear" w:color="auto" w:fill="auto"/>
        <w:spacing w:after="160" w:line="360" w:lineRule="auto"/>
        <w:ind w:firstLine="567"/>
        <w:jc w:val="both"/>
        <w:rPr>
          <w:rFonts w:ascii="Sylfaen" w:hAnsi="Sylfaen"/>
          <w:sz w:val="24"/>
          <w:szCs w:val="24"/>
        </w:rPr>
      </w:pPr>
    </w:p>
    <w:p w14:paraId="46401D7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Ուլտրաձայնային բաղնիքը լցնում են սենյակային ջերմաստիճանի ջրով, տեղադրում ապակու նմուշներով բաժակը, ամրացնում են այնպես, որ ջրի </w:t>
      </w:r>
      <w:r w:rsidRPr="00394A09">
        <w:rPr>
          <w:rFonts w:ascii="Sylfaen" w:hAnsi="Sylfaen"/>
          <w:sz w:val="24"/>
          <w:szCs w:val="24"/>
        </w:rPr>
        <w:lastRenderedPageBreak/>
        <w:t xml:space="preserve">մակարդակը լինի ացետոնի մակարդակի վրա </w:t>
      </w:r>
      <w:r>
        <w:rPr>
          <w:rFonts w:ascii="Sylfaen" w:hAnsi="Sylfaen"/>
          <w:sz w:val="24"/>
          <w:szCs w:val="24"/>
        </w:rPr>
        <w:t>եւ</w:t>
      </w:r>
      <w:r w:rsidRPr="00394A09">
        <w:rPr>
          <w:rFonts w:ascii="Sylfaen" w:hAnsi="Sylfaen"/>
          <w:sz w:val="24"/>
          <w:szCs w:val="24"/>
        </w:rPr>
        <w:t xml:space="preserve"> մշակում 1 րոպե: Բաժակների հեղուկները նստեցնում են, հնարավորինս դատարկում ացետոնը, հետո ավելացնում են </w:t>
      </w:r>
      <w:r w:rsidRPr="00394A09">
        <w:rPr>
          <w:rFonts w:ascii="Sylfaen" w:hAnsi="Sylfaen"/>
          <w:i/>
          <w:sz w:val="24"/>
          <w:szCs w:val="24"/>
        </w:rPr>
        <w:t>Ռ ացետոնի</w:t>
      </w:r>
      <w:r w:rsidRPr="00394A09">
        <w:rPr>
          <w:rFonts w:ascii="Sylfaen" w:hAnsi="Sylfaen"/>
          <w:sz w:val="24"/>
          <w:szCs w:val="24"/>
        </w:rPr>
        <w:t xml:space="preserve"> 30 մլ </w:t>
      </w:r>
      <w:r>
        <w:rPr>
          <w:rFonts w:ascii="Sylfaen" w:hAnsi="Sylfaen"/>
          <w:sz w:val="24"/>
          <w:szCs w:val="24"/>
        </w:rPr>
        <w:t>եւ</w:t>
      </w:r>
      <w:r w:rsidRPr="00394A09">
        <w:rPr>
          <w:rFonts w:ascii="Sylfaen" w:hAnsi="Sylfaen"/>
          <w:sz w:val="24"/>
          <w:szCs w:val="24"/>
        </w:rPr>
        <w:t xml:space="preserve"> կրկին մշակում ուլտրաձայնային բաղնիքի վրա: Ացետոնով լվացումն անցկացնում են այնքան, մինչ</w:t>
      </w:r>
      <w:r>
        <w:rPr>
          <w:rFonts w:ascii="Sylfaen" w:hAnsi="Sylfaen"/>
          <w:sz w:val="24"/>
          <w:szCs w:val="24"/>
        </w:rPr>
        <w:t>եւ</w:t>
      </w:r>
      <w:r w:rsidRPr="00394A09">
        <w:rPr>
          <w:rFonts w:ascii="Sylfaen" w:hAnsi="Sylfaen"/>
          <w:sz w:val="24"/>
          <w:szCs w:val="24"/>
        </w:rPr>
        <w:t xml:space="preserve"> լուծույթը դառնա թափանցիկ: Հետո ացետոնը պարզվածքազատում են, շոգեհանում դրա մնացորդները տաք սալիկի վրա, ապակյա բեկորները 140 °С ջերմաստիճանի տակ չորացնում են չորացման պահարանում 20 րոպե: Յուրաքանչյուր բաժակից ապակու չորացած բեկորները տեղադրում են իրարից առանձին՝ կշռված բյուքսերի մեջ, փակում են կափարիչներով </w:t>
      </w:r>
      <w:r>
        <w:rPr>
          <w:rFonts w:ascii="Sylfaen" w:hAnsi="Sylfaen"/>
          <w:sz w:val="24"/>
          <w:szCs w:val="24"/>
        </w:rPr>
        <w:t>եւ</w:t>
      </w:r>
      <w:r w:rsidRPr="00394A09">
        <w:rPr>
          <w:rFonts w:ascii="Sylfaen" w:hAnsi="Sylfaen"/>
          <w:sz w:val="24"/>
          <w:szCs w:val="24"/>
        </w:rPr>
        <w:t xml:space="preserve"> հովացնում էքսիկատորի մեջ: Կշռում են չորացած ապակյա բեկորների 10,00-ական գ, տեղադրում են երկու կոնաձ</w:t>
      </w:r>
      <w:r>
        <w:rPr>
          <w:rFonts w:ascii="Sylfaen" w:hAnsi="Sylfaen"/>
          <w:sz w:val="24"/>
          <w:szCs w:val="24"/>
        </w:rPr>
        <w:t>եւ</w:t>
      </w:r>
      <w:r w:rsidRPr="00394A09">
        <w:rPr>
          <w:rFonts w:ascii="Sylfaen" w:hAnsi="Sylfaen"/>
          <w:sz w:val="24"/>
          <w:szCs w:val="24"/>
        </w:rPr>
        <w:t xml:space="preserve"> փորձանոթների մեջ </w:t>
      </w:r>
      <w:r>
        <w:rPr>
          <w:rFonts w:ascii="Sylfaen" w:hAnsi="Sylfaen"/>
          <w:sz w:val="24"/>
          <w:szCs w:val="24"/>
        </w:rPr>
        <w:t>եւ</w:t>
      </w:r>
      <w:r w:rsidRPr="00394A09">
        <w:rPr>
          <w:rFonts w:ascii="Sylfaen" w:hAnsi="Sylfaen"/>
          <w:sz w:val="24"/>
          <w:szCs w:val="24"/>
        </w:rPr>
        <w:t xml:space="preserve"> կաթոցիկի օգնությամբ ավելացնում </w:t>
      </w:r>
      <w:r w:rsidRPr="00394A09">
        <w:rPr>
          <w:rFonts w:ascii="Sylfaen" w:hAnsi="Sylfaen"/>
          <w:i/>
          <w:sz w:val="24"/>
          <w:szCs w:val="24"/>
        </w:rPr>
        <w:t>Ռ1</w:t>
      </w:r>
      <w:r w:rsidRPr="00394A09">
        <w:rPr>
          <w:rFonts w:ascii="Sylfaen" w:hAnsi="Sylfaen"/>
          <w:sz w:val="24"/>
          <w:szCs w:val="24"/>
        </w:rPr>
        <w:t xml:space="preserve"> </w:t>
      </w:r>
      <w:r w:rsidRPr="00394A09">
        <w:rPr>
          <w:rFonts w:ascii="Sylfaen" w:hAnsi="Sylfaen"/>
          <w:i/>
          <w:sz w:val="24"/>
          <w:szCs w:val="24"/>
        </w:rPr>
        <w:t>ջրի</w:t>
      </w:r>
      <w:r w:rsidRPr="00394A09">
        <w:rPr>
          <w:rFonts w:ascii="Sylfaen" w:hAnsi="Sylfaen"/>
          <w:sz w:val="24"/>
          <w:szCs w:val="24"/>
        </w:rPr>
        <w:t xml:space="preserve"> 50-ական մլ (փորձարկվող լուծույթներ): Երրորդ կոնաձ</w:t>
      </w:r>
      <w:r>
        <w:rPr>
          <w:rFonts w:ascii="Sylfaen" w:hAnsi="Sylfaen"/>
          <w:sz w:val="24"/>
          <w:szCs w:val="24"/>
        </w:rPr>
        <w:t>եւ</w:t>
      </w:r>
      <w:r w:rsidRPr="00394A09">
        <w:rPr>
          <w:rFonts w:ascii="Sylfaen" w:hAnsi="Sylfaen"/>
          <w:sz w:val="24"/>
          <w:szCs w:val="24"/>
        </w:rPr>
        <w:t xml:space="preserve"> փորձանոթի մեջ ավելացնում են </w:t>
      </w:r>
      <w:r w:rsidRPr="00394A09">
        <w:rPr>
          <w:rFonts w:ascii="Sylfaen" w:hAnsi="Sylfaen"/>
          <w:i/>
          <w:sz w:val="24"/>
          <w:szCs w:val="24"/>
        </w:rPr>
        <w:t>Ռ1</w:t>
      </w:r>
      <w:r w:rsidRPr="00394A09">
        <w:rPr>
          <w:rFonts w:ascii="Sylfaen" w:hAnsi="Sylfaen"/>
          <w:sz w:val="24"/>
          <w:szCs w:val="24"/>
        </w:rPr>
        <w:t xml:space="preserve"> </w:t>
      </w:r>
      <w:r w:rsidRPr="00394A09">
        <w:rPr>
          <w:rFonts w:ascii="Sylfaen" w:hAnsi="Sylfaen"/>
          <w:i/>
          <w:sz w:val="24"/>
          <w:szCs w:val="24"/>
        </w:rPr>
        <w:t>ջրի</w:t>
      </w:r>
      <w:r w:rsidRPr="00394A09">
        <w:rPr>
          <w:rFonts w:ascii="Sylfaen" w:hAnsi="Sylfaen"/>
          <w:sz w:val="24"/>
          <w:szCs w:val="24"/>
        </w:rPr>
        <w:t xml:space="preserve"> 50 մլ (ստուգիչ լուծույթ): Ապակյա բեկորները հավասարաչափ բաշխում են փորձանոթի հատակին՝ այն զգուշորեն թափահարելով: Փորձանոթները փակում են չեզոք ապակուց խցաններով կամ ալյումինե փայլաթիթեղով, </w:t>
      </w:r>
      <w:r w:rsidRPr="00394A09">
        <w:rPr>
          <w:rFonts w:ascii="Sylfaen" w:hAnsi="Sylfaen"/>
          <w:i/>
          <w:sz w:val="24"/>
          <w:szCs w:val="24"/>
        </w:rPr>
        <w:t>Ռ ջրով</w:t>
      </w:r>
      <w:r w:rsidRPr="00394A09">
        <w:rPr>
          <w:rFonts w:ascii="Sylfaen" w:hAnsi="Sylfaen"/>
          <w:sz w:val="24"/>
          <w:szCs w:val="24"/>
        </w:rPr>
        <w:t xml:space="preserve"> լվացված կամ կողաշրջված բաժակներով այնպես, որ բաժակի ներսի մասը կիպ հպված լինի փորձանոթի բկանցքին: Փորձանոթները տեղադրում են սենյակային ջերմաստիճանի ջրով ավտոկլավի մեջ այնպես, որ փորձանոթի ջրի մակարդակն ավելի բարձր լինի, քան ավտոկլավի ներսում եղած ջրինը, </w:t>
      </w:r>
      <w:r>
        <w:rPr>
          <w:rFonts w:ascii="Sylfaen" w:hAnsi="Sylfaen"/>
          <w:sz w:val="24"/>
          <w:szCs w:val="24"/>
        </w:rPr>
        <w:t>եւ</w:t>
      </w:r>
      <w:r w:rsidRPr="00394A09">
        <w:rPr>
          <w:rFonts w:ascii="Sylfaen" w:hAnsi="Sylfaen"/>
          <w:sz w:val="24"/>
          <w:szCs w:val="24"/>
        </w:rPr>
        <w:t xml:space="preserve"> (121 ±1) °С ջերմաստիճանի տակ պահում են (30 ±1) րոպե՝ կատարելով այն նույն գործողությունները, որոնք կատարվում են մակերեւութային հիդրոլիտիկ կայունության Ա փորձարկումն անցկացնելիս: Ավտոկլավը չեն բացում, մինչ</w:t>
      </w:r>
      <w:r>
        <w:rPr>
          <w:rFonts w:ascii="Sylfaen" w:hAnsi="Sylfaen"/>
          <w:sz w:val="24"/>
          <w:szCs w:val="24"/>
        </w:rPr>
        <w:t>եւ</w:t>
      </w:r>
      <w:r w:rsidR="001827DA">
        <w:rPr>
          <w:rFonts w:ascii="Sylfaen" w:hAnsi="Sylfaen"/>
          <w:sz w:val="24"/>
          <w:szCs w:val="24"/>
        </w:rPr>
        <w:t xml:space="preserve"> ջրի ջերմաստիճանը իջնի </w:t>
      </w:r>
      <w:r w:rsidRPr="00394A09">
        <w:rPr>
          <w:rFonts w:ascii="Sylfaen" w:hAnsi="Sylfaen"/>
          <w:sz w:val="24"/>
          <w:szCs w:val="24"/>
        </w:rPr>
        <w:t xml:space="preserve">95 °С: Փորձանոթները հանում են ավտոկլավից </w:t>
      </w:r>
      <w:r>
        <w:rPr>
          <w:rFonts w:ascii="Sylfaen" w:hAnsi="Sylfaen"/>
          <w:sz w:val="24"/>
          <w:szCs w:val="24"/>
        </w:rPr>
        <w:t>եւ</w:t>
      </w:r>
      <w:r w:rsidRPr="00394A09">
        <w:rPr>
          <w:rFonts w:ascii="Sylfaen" w:hAnsi="Sylfaen"/>
          <w:sz w:val="24"/>
          <w:szCs w:val="24"/>
        </w:rPr>
        <w:t xml:space="preserve"> իսկույն հովացնում հոսող ջրի տակ:</w:t>
      </w:r>
    </w:p>
    <w:p w14:paraId="24B68D9C" w14:textId="77777777" w:rsidR="00AF2D51" w:rsidRPr="00AF2D51"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sz w:val="24"/>
          <w:szCs w:val="24"/>
        </w:rPr>
        <w:t xml:space="preserve">Յուրաքանչյուր փորձանոթի մեջ ավելացնում են </w:t>
      </w:r>
      <w:r w:rsidRPr="00394A09">
        <w:rPr>
          <w:rFonts w:ascii="Sylfaen" w:hAnsi="Sylfaen"/>
          <w:i/>
          <w:sz w:val="24"/>
          <w:szCs w:val="24"/>
        </w:rPr>
        <w:t xml:space="preserve">Ռ մեթիլային կարմիրի </w:t>
      </w:r>
      <w:r w:rsidRPr="00394A09">
        <w:rPr>
          <w:rFonts w:ascii="Sylfaen" w:hAnsi="Sylfaen"/>
          <w:sz w:val="24"/>
          <w:szCs w:val="24"/>
        </w:rPr>
        <w:t xml:space="preserve">0,05 մլ </w:t>
      </w:r>
      <w:r w:rsidRPr="00394A09">
        <w:rPr>
          <w:rFonts w:ascii="Sylfaen" w:hAnsi="Sylfaen"/>
          <w:i/>
          <w:sz w:val="24"/>
          <w:szCs w:val="24"/>
        </w:rPr>
        <w:t>լուծույթ</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անմիջապես տիտրում են </w:t>
      </w:r>
      <w:r w:rsidRPr="00394A09">
        <w:rPr>
          <w:rFonts w:ascii="Sylfaen" w:hAnsi="Sylfaen"/>
          <w:i/>
          <w:sz w:val="24"/>
          <w:szCs w:val="24"/>
        </w:rPr>
        <w:t>0,02 Մ քլորաջրածնային թթվով՝</w:t>
      </w:r>
      <w:r w:rsidRPr="00394A09">
        <w:rPr>
          <w:rFonts w:ascii="Sylfaen" w:hAnsi="Sylfaen"/>
          <w:sz w:val="24"/>
          <w:szCs w:val="24"/>
        </w:rPr>
        <w:t xml:space="preserve"> առաջին հերթին ստուգիչ լուծույթը: Փորձարկվող լուծույթները տիտրում են նույն թթվով՝ մինչ</w:t>
      </w:r>
      <w:r>
        <w:rPr>
          <w:rFonts w:ascii="Sylfaen" w:hAnsi="Sylfaen"/>
          <w:sz w:val="24"/>
          <w:szCs w:val="24"/>
        </w:rPr>
        <w:t>եւ</w:t>
      </w:r>
      <w:r w:rsidRPr="00394A09">
        <w:rPr>
          <w:rFonts w:ascii="Sylfaen" w:hAnsi="Sylfaen"/>
          <w:sz w:val="24"/>
          <w:szCs w:val="24"/>
        </w:rPr>
        <w:t xml:space="preserve"> ստուգիչ լուծույթի գունավորումը: Հաշվարկում են փորձարկվող լուծույթի տիտրանտի </w:t>
      </w:r>
      <w:r>
        <w:rPr>
          <w:rFonts w:ascii="Sylfaen" w:hAnsi="Sylfaen"/>
          <w:sz w:val="24"/>
          <w:szCs w:val="24"/>
        </w:rPr>
        <w:t>եւ</w:t>
      </w:r>
      <w:r w:rsidRPr="00394A09">
        <w:rPr>
          <w:rFonts w:ascii="Sylfaen" w:hAnsi="Sylfaen"/>
          <w:sz w:val="24"/>
          <w:szCs w:val="24"/>
        </w:rPr>
        <w:t xml:space="preserve"> ստուգիչ լուծույթի ծավալների միջ</w:t>
      </w:r>
      <w:r>
        <w:rPr>
          <w:rFonts w:ascii="Sylfaen" w:hAnsi="Sylfaen"/>
          <w:sz w:val="24"/>
          <w:szCs w:val="24"/>
        </w:rPr>
        <w:t>եւ</w:t>
      </w:r>
      <w:r w:rsidRPr="00394A09">
        <w:rPr>
          <w:rFonts w:ascii="Sylfaen" w:hAnsi="Sylfaen"/>
          <w:sz w:val="24"/>
          <w:szCs w:val="24"/>
        </w:rPr>
        <w:t xml:space="preserve"> տարբերությունը:</w:t>
      </w:r>
    </w:p>
    <w:p w14:paraId="0A63626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Տիտրման վերջնակետի հստակ որոշման համար անհրաժեշտ է վերնստվածքային հեղուկը պարզվածքազատել 250 մլ տարողությամբ առանձին փորձանոթի մեջ. յուրաքանչյուր նմուշի մեջ ապակյա բեկորները երեք անգամ լվանալ շրջանաձ</w:t>
      </w:r>
      <w:r>
        <w:rPr>
          <w:rFonts w:ascii="Sylfaen" w:hAnsi="Sylfaen"/>
          <w:i/>
          <w:sz w:val="24"/>
          <w:szCs w:val="24"/>
        </w:rPr>
        <w:t>եւ</w:t>
      </w:r>
      <w:r w:rsidRPr="00394A09">
        <w:rPr>
          <w:rFonts w:ascii="Sylfaen" w:hAnsi="Sylfaen"/>
          <w:i/>
          <w:sz w:val="24"/>
          <w:szCs w:val="24"/>
        </w:rPr>
        <w:t xml:space="preserve"> շարժումներով՝ 15-ական մլ</w:t>
      </w:r>
      <w:r w:rsidRPr="00394A09" w:rsidDel="004F7188">
        <w:rPr>
          <w:rFonts w:ascii="Sylfaen" w:hAnsi="Sylfaen"/>
          <w:i/>
          <w:sz w:val="24"/>
          <w:szCs w:val="24"/>
        </w:rPr>
        <w:t xml:space="preserve"> </w:t>
      </w:r>
      <w:r w:rsidRPr="00394A09">
        <w:rPr>
          <w:rFonts w:ascii="Sylfaen" w:hAnsi="Sylfaen"/>
          <w:i/>
          <w:sz w:val="24"/>
          <w:szCs w:val="24"/>
        </w:rPr>
        <w:t xml:space="preserve">Ռ1 ջրով, ավելացնելով լվացաջրերը հիմնական լուծույթին: Փորձարկվող լուծույթներին </w:t>
      </w:r>
      <w:r>
        <w:rPr>
          <w:rFonts w:ascii="Sylfaen" w:hAnsi="Sylfaen"/>
          <w:i/>
          <w:sz w:val="24"/>
          <w:szCs w:val="24"/>
        </w:rPr>
        <w:t>եւ</w:t>
      </w:r>
      <w:r w:rsidRPr="00394A09">
        <w:rPr>
          <w:rFonts w:ascii="Sylfaen" w:hAnsi="Sylfaen"/>
          <w:i/>
          <w:sz w:val="24"/>
          <w:szCs w:val="24"/>
        </w:rPr>
        <w:t xml:space="preserve"> ստուգիչ լուծույթին ավելացնում են Ռ մեթիլային կարմիրի 0,05 մլ լուծույթ: Տիտրում </w:t>
      </w:r>
      <w:r>
        <w:rPr>
          <w:rFonts w:ascii="Sylfaen" w:hAnsi="Sylfaen"/>
          <w:i/>
          <w:sz w:val="24"/>
          <w:szCs w:val="24"/>
        </w:rPr>
        <w:t>եւ</w:t>
      </w:r>
      <w:r w:rsidRPr="00394A09">
        <w:rPr>
          <w:rFonts w:ascii="Sylfaen" w:hAnsi="Sylfaen"/>
          <w:i/>
          <w:sz w:val="24"/>
          <w:szCs w:val="24"/>
        </w:rPr>
        <w:t xml:space="preserve"> հաշվարկում են՝ ստոր</w:t>
      </w:r>
      <w:r>
        <w:rPr>
          <w:rFonts w:ascii="Sylfaen" w:hAnsi="Sylfaen"/>
          <w:i/>
          <w:sz w:val="24"/>
          <w:szCs w:val="24"/>
        </w:rPr>
        <w:t>եւ</w:t>
      </w:r>
      <w:r w:rsidRPr="00394A09">
        <w:rPr>
          <w:rFonts w:ascii="Sylfaen" w:hAnsi="Sylfaen"/>
          <w:i/>
          <w:sz w:val="24"/>
          <w:szCs w:val="24"/>
        </w:rPr>
        <w:t xml:space="preserve"> նկարագրվածին համապատասխան: Ստուգիչ լուծույթի մեջ հարկավոր է ավելացնել նա</w:t>
      </w:r>
      <w:r>
        <w:rPr>
          <w:rFonts w:ascii="Sylfaen" w:hAnsi="Sylfaen"/>
          <w:i/>
          <w:sz w:val="24"/>
          <w:szCs w:val="24"/>
        </w:rPr>
        <w:t>եւ</w:t>
      </w:r>
      <w:r w:rsidRPr="00394A09">
        <w:rPr>
          <w:rFonts w:ascii="Sylfaen" w:hAnsi="Sylfaen"/>
          <w:i/>
          <w:sz w:val="24"/>
          <w:szCs w:val="24"/>
        </w:rPr>
        <w:t xml:space="preserve"> Ռ1 ջրի 45 մլ </w:t>
      </w:r>
      <w:r>
        <w:rPr>
          <w:rFonts w:ascii="Sylfaen" w:hAnsi="Sylfaen"/>
          <w:i/>
          <w:sz w:val="24"/>
          <w:szCs w:val="24"/>
        </w:rPr>
        <w:t>եւ</w:t>
      </w:r>
      <w:r w:rsidRPr="00394A09">
        <w:rPr>
          <w:rFonts w:ascii="Sylfaen" w:hAnsi="Sylfaen"/>
          <w:i/>
          <w:sz w:val="24"/>
          <w:szCs w:val="24"/>
        </w:rPr>
        <w:t xml:space="preserve"> Ռ մեթիլային կարմիրի 0,05 մլ լուծույթ:</w:t>
      </w:r>
    </w:p>
    <w:p w14:paraId="21C3D7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Միլիլիտրերով հաշվարկում են 0,02 </w:t>
      </w:r>
      <w:r w:rsidRPr="00394A09">
        <w:rPr>
          <w:rFonts w:ascii="Sylfaen" w:hAnsi="Sylfaen"/>
          <w:i/>
          <w:sz w:val="24"/>
          <w:szCs w:val="24"/>
        </w:rPr>
        <w:t>Մ քլորաջրածնային թթվի</w:t>
      </w:r>
      <w:r w:rsidRPr="00394A09">
        <w:rPr>
          <w:rFonts w:ascii="Sylfaen" w:hAnsi="Sylfaen"/>
          <w:sz w:val="24"/>
          <w:szCs w:val="24"/>
        </w:rPr>
        <w:t xml:space="preserve"> միջին արժեքը՝ երեք որոշումների արդյունքների նմուշի մեկ գրամի համար: Միջին արժեքից յուրաքանչյուր որոշման շեղումը չպետք է գերազանցի ±10%-ը՝ I </w:t>
      </w:r>
      <w:r>
        <w:rPr>
          <w:rFonts w:ascii="Sylfaen" w:hAnsi="Sylfaen"/>
          <w:sz w:val="24"/>
          <w:szCs w:val="24"/>
        </w:rPr>
        <w:t>եւ</w:t>
      </w:r>
      <w:r w:rsidRPr="00394A09">
        <w:rPr>
          <w:rFonts w:ascii="Sylfaen" w:hAnsi="Sylfaen"/>
          <w:sz w:val="24"/>
          <w:szCs w:val="24"/>
        </w:rPr>
        <w:t xml:space="preserve"> II տիպի ապակու համար, ±5%-ը՝ III տիպի ապակու համար: Անհրաժեշտության դեպքում հաշվարկում են դրա համարժեքը՝ ձերբազատվող ալկալիների վերահաշվարկով, որը հաշվարկված է նատրիումի օքսիդի միկրոգրամներով՝ ապակյա հատիկների գրամի համար:</w:t>
      </w:r>
    </w:p>
    <w:p w14:paraId="7138A6A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0,02 Մ քլորաջրածնային թթվի</w:t>
      </w:r>
      <w:r w:rsidRPr="00394A09">
        <w:rPr>
          <w:rFonts w:ascii="Sylfaen" w:hAnsi="Sylfaen"/>
          <w:sz w:val="24"/>
          <w:szCs w:val="24"/>
        </w:rPr>
        <w:t xml:space="preserve"> 1 մլ-ն համարժեք է նատրիումի օքսիդի 620 մկգ-ին:</w:t>
      </w:r>
    </w:p>
    <w:p w14:paraId="255E66E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Պարունակության սահմանները։ </w:t>
      </w:r>
      <w:r w:rsidRPr="00394A09">
        <w:rPr>
          <w:rFonts w:ascii="Sylfaen" w:hAnsi="Sylfaen"/>
          <w:sz w:val="24"/>
          <w:szCs w:val="24"/>
        </w:rPr>
        <w:t xml:space="preserve">I տիպի ապակու 1 գ-ի համար պետք է ծախսվի 1 մլ-ից ոչ ավելի </w:t>
      </w:r>
      <w:r w:rsidRPr="00394A09">
        <w:rPr>
          <w:rFonts w:ascii="Sylfaen" w:hAnsi="Sylfaen"/>
          <w:i/>
          <w:sz w:val="24"/>
          <w:szCs w:val="24"/>
        </w:rPr>
        <w:t>0,02 Մ քլորաջրածնային թթու</w:t>
      </w:r>
      <w:r w:rsidRPr="00394A09">
        <w:rPr>
          <w:rFonts w:ascii="Sylfaen" w:hAnsi="Sylfaen"/>
          <w:sz w:val="24"/>
          <w:szCs w:val="24"/>
        </w:rPr>
        <w:t>, II կամ III տիպի ապակու 1</w:t>
      </w:r>
      <w:r w:rsidRPr="00AA4CFB">
        <w:rPr>
          <w:rFonts w:ascii="Sylfaen" w:hAnsi="Sylfaen"/>
          <w:sz w:val="24"/>
          <w:szCs w:val="24"/>
        </w:rPr>
        <w:t> </w:t>
      </w:r>
      <w:r w:rsidRPr="00394A09">
        <w:rPr>
          <w:rFonts w:ascii="Sylfaen" w:hAnsi="Sylfaen"/>
          <w:sz w:val="24"/>
          <w:szCs w:val="24"/>
        </w:rPr>
        <w:t xml:space="preserve">գ-ի համար՝ 0,85 մլ-ից ոչ ավելի </w:t>
      </w:r>
      <w:r w:rsidRPr="00394A09">
        <w:rPr>
          <w:rFonts w:ascii="Sylfaen" w:hAnsi="Sylfaen"/>
          <w:i/>
          <w:sz w:val="24"/>
          <w:szCs w:val="24"/>
        </w:rPr>
        <w:t>0,02 Մ քլորաջրածնային թթու</w:t>
      </w:r>
      <w:r w:rsidRPr="00394A09">
        <w:rPr>
          <w:rFonts w:ascii="Sylfaen" w:hAnsi="Sylfaen"/>
          <w:sz w:val="24"/>
          <w:szCs w:val="24"/>
        </w:rPr>
        <w:t>:</w:t>
      </w:r>
    </w:p>
    <w:p w14:paraId="319F818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4F38829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ՓՈՐՁԱՐԿՈՒՄ Գ. ՄՇԱԿՎԱԾ ՄԱԿԵՐԵՎՈՒՅԹՈՎ ՓԱԹԵԹՎԱԾՔՆԵՐԻ ՓՈՐՁԱՐԿՈՒՄ (ՄՇԱԿՎԱԾ ՄԱԿԵՐԵՎՈՒՅԹԻ ՓՈՐՁԱՐԿՈՒՄ)</w:t>
      </w:r>
    </w:p>
    <w:p w14:paraId="45F79CD3" w14:textId="77777777" w:rsidR="00AF2D51" w:rsidRPr="00394A09" w:rsidRDefault="00AF2D51" w:rsidP="00AF2D51">
      <w:pPr>
        <w:pStyle w:val="a0"/>
        <w:shd w:val="clear" w:color="auto" w:fill="auto"/>
        <w:spacing w:after="160" w:line="360" w:lineRule="auto"/>
        <w:ind w:firstLine="567"/>
        <w:jc w:val="both"/>
        <w:rPr>
          <w:rFonts w:ascii="Sylfaen" w:hAnsi="Sylfaen" w:cs="Sylfaen"/>
          <w:spacing w:val="-4"/>
          <w:sz w:val="24"/>
          <w:szCs w:val="24"/>
        </w:rPr>
      </w:pPr>
      <w:r w:rsidRPr="00394A09">
        <w:rPr>
          <w:rFonts w:ascii="Sylfaen" w:hAnsi="Sylfaen"/>
          <w:i/>
          <w:sz w:val="24"/>
          <w:szCs w:val="24"/>
        </w:rPr>
        <w:t xml:space="preserve">Մշակված մակերեւույթով փաթեթվածքների Գ փորձարկումն անցկացվում է ի լրումն Ա փորձարկման՝ որոշելու համար, թե արդյոք մշակվել է ապակու մակերեւույթը </w:t>
      </w:r>
      <w:r>
        <w:rPr>
          <w:rFonts w:ascii="Sylfaen" w:hAnsi="Sylfaen"/>
          <w:i/>
          <w:sz w:val="24"/>
          <w:szCs w:val="24"/>
        </w:rPr>
        <w:t>եւ</w:t>
      </w:r>
      <w:r w:rsidRPr="00394A09">
        <w:rPr>
          <w:rFonts w:ascii="Sylfaen" w:hAnsi="Sylfaen"/>
          <w:i/>
          <w:sz w:val="24"/>
          <w:szCs w:val="24"/>
        </w:rPr>
        <w:t xml:space="preserve"> (կամ) II կամ III տիպի ապակու տարբերությունները պարզելու </w:t>
      </w:r>
      <w:r w:rsidRPr="00394A09">
        <w:rPr>
          <w:rFonts w:ascii="Sylfaen" w:hAnsi="Sylfaen"/>
          <w:i/>
          <w:sz w:val="24"/>
          <w:szCs w:val="24"/>
        </w:rPr>
        <w:lastRenderedPageBreak/>
        <w:t xml:space="preserve">համար: Որպես այլընտրանք կարող են օգտագործվել Ա </w:t>
      </w:r>
      <w:r>
        <w:rPr>
          <w:rFonts w:ascii="Sylfaen" w:hAnsi="Sylfaen"/>
          <w:i/>
          <w:sz w:val="24"/>
          <w:szCs w:val="24"/>
        </w:rPr>
        <w:t>եւ</w:t>
      </w:r>
      <w:r w:rsidRPr="00394A09">
        <w:rPr>
          <w:rFonts w:ascii="Sylfaen" w:hAnsi="Sylfaen"/>
          <w:i/>
          <w:sz w:val="24"/>
          <w:szCs w:val="24"/>
        </w:rPr>
        <w:t xml:space="preserve"> Բ փորձարկումները: Գ</w:t>
      </w:r>
      <w:r w:rsidRPr="00AA4CFB">
        <w:rPr>
          <w:rFonts w:ascii="Sylfaen" w:hAnsi="Sylfaen"/>
          <w:i/>
          <w:sz w:val="24"/>
          <w:szCs w:val="24"/>
        </w:rPr>
        <w:t> </w:t>
      </w:r>
      <w:r w:rsidRPr="00394A09">
        <w:rPr>
          <w:rFonts w:ascii="Sylfaen" w:hAnsi="Sylfaen"/>
          <w:i/>
          <w:sz w:val="24"/>
          <w:szCs w:val="24"/>
        </w:rPr>
        <w:t>փորձարկումը կարող է անցկացվել չօգտագործված նմուշների վրա կամ Ա</w:t>
      </w:r>
      <w:r w:rsidRPr="00AA4CFB">
        <w:rPr>
          <w:rFonts w:ascii="Sylfaen" w:hAnsi="Sylfaen"/>
          <w:i/>
          <w:sz w:val="24"/>
          <w:szCs w:val="24"/>
        </w:rPr>
        <w:t> </w:t>
      </w:r>
      <w:r w:rsidRPr="00394A09">
        <w:rPr>
          <w:rFonts w:ascii="Sylfaen" w:hAnsi="Sylfaen"/>
          <w:i/>
          <w:sz w:val="24"/>
          <w:szCs w:val="24"/>
        </w:rPr>
        <w:t>փորձարկման ժամանակ նախկինում օգտագործված նմուշների վրա:</w:t>
      </w:r>
    </w:p>
    <w:p w14:paraId="474811A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AA4CFB">
        <w:rPr>
          <w:rFonts w:ascii="Sylfaen" w:hAnsi="Sylfaen"/>
          <w:b/>
          <w:spacing w:val="-4"/>
          <w:sz w:val="24"/>
          <w:szCs w:val="24"/>
        </w:rPr>
        <w:t xml:space="preserve">Սրվակները եւ շշերը։ </w:t>
      </w:r>
      <w:r w:rsidRPr="00AA4CFB">
        <w:rPr>
          <w:rFonts w:ascii="Sylfaen" w:hAnsi="Sylfaen"/>
          <w:spacing w:val="-4"/>
          <w:sz w:val="24"/>
          <w:szCs w:val="24"/>
        </w:rPr>
        <w:t xml:space="preserve">Անհրաժեշտ փորձարկվող հեղուկի ծավալները բերված են 2.4.2.2-2 աղյուսակում: Փաթեթվածքները երկու անգամ լվանում են </w:t>
      </w:r>
      <w:r w:rsidRPr="00AA4CFB">
        <w:rPr>
          <w:rFonts w:ascii="Sylfaen" w:hAnsi="Sylfaen"/>
          <w:i/>
          <w:spacing w:val="-4"/>
          <w:sz w:val="24"/>
          <w:szCs w:val="24"/>
        </w:rPr>
        <w:t>Ռ ջրով</w:t>
      </w:r>
      <w:r w:rsidRPr="00AA4CFB">
        <w:rPr>
          <w:rFonts w:ascii="Sylfaen" w:hAnsi="Sylfaen"/>
          <w:spacing w:val="-4"/>
          <w:sz w:val="24"/>
          <w:szCs w:val="24"/>
        </w:rPr>
        <w:t>, մինչեւ եզրերը</w:t>
      </w:r>
      <w:r w:rsidRPr="00394A09">
        <w:rPr>
          <w:rFonts w:ascii="Sylfaen" w:hAnsi="Sylfaen"/>
          <w:sz w:val="24"/>
          <w:szCs w:val="24"/>
        </w:rPr>
        <w:t xml:space="preserve"> լցնում են </w:t>
      </w:r>
      <w:r w:rsidRPr="00394A09">
        <w:rPr>
          <w:rFonts w:ascii="Sylfaen" w:hAnsi="Sylfaen"/>
          <w:i/>
          <w:sz w:val="24"/>
          <w:szCs w:val="24"/>
        </w:rPr>
        <w:t>Ռ ֆտորջրածնային թթվի</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Ռ քլորջրածնային թթվի</w:t>
      </w:r>
      <w:r w:rsidRPr="00394A09">
        <w:rPr>
          <w:rFonts w:ascii="Sylfaen" w:hAnsi="Sylfaen"/>
          <w:sz w:val="24"/>
          <w:szCs w:val="24"/>
        </w:rPr>
        <w:t xml:space="preserve"> խառնուրդով (1:9 </w:t>
      </w:r>
      <w:r w:rsidRPr="00394A09">
        <w:rPr>
          <w:rFonts w:ascii="Sylfaen" w:hAnsi="Sylfaen"/>
          <w:i/>
          <w:sz w:val="24"/>
          <w:szCs w:val="24"/>
        </w:rPr>
        <w:t xml:space="preserve">ծավ/ծավ) </w:t>
      </w:r>
      <w:r>
        <w:rPr>
          <w:rFonts w:ascii="Sylfaen" w:hAnsi="Sylfaen"/>
          <w:sz w:val="24"/>
          <w:szCs w:val="24"/>
        </w:rPr>
        <w:t>եւ</w:t>
      </w:r>
      <w:r w:rsidRPr="00394A09">
        <w:rPr>
          <w:rFonts w:ascii="Sylfaen" w:hAnsi="Sylfaen"/>
          <w:sz w:val="24"/>
          <w:szCs w:val="24"/>
        </w:rPr>
        <w:t xml:space="preserve"> պահում 10 րոպե: Այնուհետ</w:t>
      </w:r>
      <w:r>
        <w:rPr>
          <w:rFonts w:ascii="Sylfaen" w:hAnsi="Sylfaen"/>
          <w:sz w:val="24"/>
          <w:szCs w:val="24"/>
        </w:rPr>
        <w:t>եւ</w:t>
      </w:r>
      <w:r w:rsidRPr="00394A09">
        <w:rPr>
          <w:rFonts w:ascii="Sylfaen" w:hAnsi="Sylfaen"/>
          <w:sz w:val="24"/>
          <w:szCs w:val="24"/>
        </w:rPr>
        <w:t xml:space="preserve"> փաթեթվածքներն ազատում են պարունակությունից </w:t>
      </w:r>
      <w:r>
        <w:rPr>
          <w:rFonts w:ascii="Sylfaen" w:hAnsi="Sylfaen"/>
          <w:sz w:val="24"/>
          <w:szCs w:val="24"/>
        </w:rPr>
        <w:t>եւ</w:t>
      </w:r>
      <w:r w:rsidRPr="00394A09">
        <w:rPr>
          <w:rFonts w:ascii="Sylfaen" w:hAnsi="Sylfaen"/>
          <w:sz w:val="24"/>
          <w:szCs w:val="24"/>
        </w:rPr>
        <w:t xml:space="preserve"> մանրակրկտորեն լվանում են</w:t>
      </w:r>
      <w:r w:rsidRPr="00394A09">
        <w:rPr>
          <w:rFonts w:ascii="Sylfaen" w:hAnsi="Sylfaen"/>
          <w:i/>
          <w:sz w:val="24"/>
          <w:szCs w:val="24"/>
        </w:rPr>
        <w:t xml:space="preserve"> Ռ ջրով </w:t>
      </w:r>
      <w:r w:rsidRPr="00394A09">
        <w:rPr>
          <w:rFonts w:ascii="Sylfaen" w:hAnsi="Sylfaen"/>
          <w:sz w:val="24"/>
          <w:szCs w:val="24"/>
        </w:rPr>
        <w:t xml:space="preserve">5 անգամ: Փորձարկումից անմիջապես առաջ նորից լվանում են </w:t>
      </w:r>
      <w:r w:rsidRPr="00394A09">
        <w:rPr>
          <w:rFonts w:ascii="Sylfaen" w:hAnsi="Sylfaen"/>
          <w:i/>
          <w:sz w:val="24"/>
          <w:szCs w:val="24"/>
        </w:rPr>
        <w:t>Ռ ջրով</w:t>
      </w:r>
      <w:r w:rsidRPr="00394A09">
        <w:rPr>
          <w:rFonts w:ascii="Sylfaen" w:hAnsi="Sylfaen"/>
          <w:sz w:val="24"/>
          <w:szCs w:val="24"/>
        </w:rPr>
        <w:t>: Նման ձ</w:t>
      </w:r>
      <w:r>
        <w:rPr>
          <w:rFonts w:ascii="Sylfaen" w:hAnsi="Sylfaen"/>
          <w:sz w:val="24"/>
          <w:szCs w:val="24"/>
        </w:rPr>
        <w:t>եւ</w:t>
      </w:r>
      <w:r w:rsidRPr="00394A09">
        <w:rPr>
          <w:rFonts w:ascii="Sylfaen" w:hAnsi="Sylfaen"/>
          <w:sz w:val="24"/>
          <w:szCs w:val="24"/>
        </w:rPr>
        <w:t xml:space="preserve">ով նախապատրաստված փաթեթվածքները ենթարկում են ավտոկլավացման </w:t>
      </w:r>
      <w:r>
        <w:rPr>
          <w:rFonts w:ascii="Sylfaen" w:hAnsi="Sylfaen"/>
          <w:sz w:val="24"/>
          <w:szCs w:val="24"/>
        </w:rPr>
        <w:t>եւ</w:t>
      </w:r>
      <w:r w:rsidRPr="00394A09">
        <w:rPr>
          <w:rFonts w:ascii="Sylfaen" w:hAnsi="Sylfaen"/>
          <w:sz w:val="24"/>
          <w:szCs w:val="24"/>
        </w:rPr>
        <w:t xml:space="preserve"> Ա փորձարկման ցուցումներին համապատասխան՝ որոշում մակերեւութային հիդրոլիտիկ կայունությունը: Եթե ստացված արդյունքները զգալիորեն բարձր են չմշակված մակերեւույթների փորձարկմամբ ստացված արդյունքներից (մոտավորապես 5-10 անգամ), ապա համարվում է, որ նմուշներն ունեն մշակված մակերեւույթ:</w:t>
      </w:r>
    </w:p>
    <w:p w14:paraId="32DB47E8"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Ամպուլները, քարթրիջները, ներարկիչները</w:t>
      </w:r>
    </w:p>
    <w:p w14:paraId="21626740"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i/>
          <w:sz w:val="24"/>
          <w:szCs w:val="24"/>
        </w:rPr>
        <w:t>Ապակյա խողովակներից արտադրված ամպուլները, քարթրիջները, ներարկիչները սովորաբար չեն ենթարկվում մակերեւույթի ներքին մշակման, քանի որ դրանց քիմիական բարձր կայունությունը կախված է ապակու՝ որպես նյութի քիմիական կազմից:</w:t>
      </w:r>
      <w:r w:rsidRPr="00AA4CFB">
        <w:rPr>
          <w:rFonts w:ascii="Sylfaen" w:hAnsi="Sylfaen"/>
          <w:color w:val="000000"/>
          <w:sz w:val="24"/>
          <w:szCs w:val="24"/>
        </w:rPr>
        <w:t xml:space="preserve"> </w:t>
      </w:r>
    </w:p>
    <w:p w14:paraId="571FBF2A" w14:textId="77777777" w:rsidR="00AF2D51" w:rsidRPr="00394A09" w:rsidRDefault="00AF2D51" w:rsidP="00AF2D51">
      <w:pPr>
        <w:pStyle w:val="a0"/>
        <w:shd w:val="clear" w:color="auto" w:fill="auto"/>
        <w:spacing w:after="160" w:line="360" w:lineRule="auto"/>
        <w:ind w:firstLine="567"/>
        <w:jc w:val="both"/>
        <w:rPr>
          <w:rFonts w:ascii="Sylfaen" w:hAnsi="Sylfaen" w:cs="Sylfaen"/>
          <w:i/>
          <w:iCs/>
          <w:color w:val="000000" w:themeColor="text1"/>
          <w:sz w:val="24"/>
          <w:szCs w:val="24"/>
        </w:rPr>
      </w:pPr>
      <w:r w:rsidRPr="00394A09">
        <w:rPr>
          <w:rFonts w:ascii="Sylfaen" w:hAnsi="Sylfaen"/>
          <w:color w:val="000000"/>
          <w:sz w:val="24"/>
          <w:szCs w:val="24"/>
        </w:rPr>
        <w:t xml:space="preserve">Աղյուսակ 2.4.2.2-4. </w:t>
      </w:r>
      <w:r w:rsidRPr="00394A09">
        <w:rPr>
          <w:rFonts w:ascii="Sylfaen" w:hAnsi="Sylfaen"/>
          <w:i/>
          <w:color w:val="000000"/>
          <w:sz w:val="24"/>
          <w:szCs w:val="24"/>
        </w:rPr>
        <w:t xml:space="preserve">I տիպի </w:t>
      </w:r>
      <w:r>
        <w:rPr>
          <w:rFonts w:ascii="Sylfaen" w:hAnsi="Sylfaen"/>
          <w:i/>
          <w:color w:val="000000"/>
          <w:sz w:val="24"/>
          <w:szCs w:val="24"/>
        </w:rPr>
        <w:t>եւ</w:t>
      </w:r>
      <w:r w:rsidRPr="00394A09">
        <w:rPr>
          <w:rFonts w:ascii="Sylfaen" w:hAnsi="Sylfaen"/>
          <w:i/>
          <w:color w:val="000000"/>
          <w:sz w:val="24"/>
          <w:szCs w:val="24"/>
        </w:rPr>
        <w:t xml:space="preserve"> II տիպի ապակուց փաթեթվածքների միջ</w:t>
      </w:r>
      <w:r>
        <w:rPr>
          <w:rFonts w:ascii="Sylfaen" w:hAnsi="Sylfaen"/>
          <w:i/>
          <w:color w:val="000000"/>
          <w:sz w:val="24"/>
          <w:szCs w:val="24"/>
        </w:rPr>
        <w:t>եւ</w:t>
      </w:r>
      <w:r w:rsidRPr="00394A09">
        <w:rPr>
          <w:rFonts w:ascii="Sylfaen" w:hAnsi="Sylfaen"/>
          <w:i/>
          <w:color w:val="000000"/>
          <w:sz w:val="24"/>
          <w:szCs w:val="24"/>
        </w:rPr>
        <w:t xml:space="preserve"> տարբերությունները</w:t>
      </w:r>
    </w:p>
    <w:tbl>
      <w:tblPr>
        <w:tblW w:w="0" w:type="auto"/>
        <w:tblLayout w:type="fixed"/>
        <w:tblCellMar>
          <w:left w:w="0" w:type="dxa"/>
          <w:right w:w="0" w:type="dxa"/>
        </w:tblCellMar>
        <w:tblLook w:val="0000" w:firstRow="0" w:lastRow="0" w:firstColumn="0" w:lastColumn="0" w:noHBand="0" w:noVBand="0"/>
      </w:tblPr>
      <w:tblGrid>
        <w:gridCol w:w="3969"/>
        <w:gridCol w:w="4253"/>
      </w:tblGrid>
      <w:tr w:rsidR="00AF2D51" w:rsidRPr="00AA4CFB" w14:paraId="6FA291DB" w14:textId="77777777" w:rsidTr="00AF2D51">
        <w:trPr>
          <w:trHeight w:val="360"/>
        </w:trPr>
        <w:tc>
          <w:tcPr>
            <w:tcW w:w="3969" w:type="dxa"/>
            <w:tcBorders>
              <w:top w:val="single" w:sz="4" w:space="0" w:color="auto"/>
              <w:left w:val="nil"/>
              <w:bottom w:val="nil"/>
              <w:right w:val="nil"/>
            </w:tcBorders>
            <w:shd w:val="clear" w:color="auto" w:fill="FFFFFF"/>
            <w:vAlign w:val="center"/>
          </w:tcPr>
          <w:p w14:paraId="77F5A1F2" w14:textId="77777777" w:rsidR="00AF2D51" w:rsidRPr="00AA4CFB" w:rsidRDefault="00AF2D51" w:rsidP="00AF2D51">
            <w:pPr>
              <w:spacing w:after="120"/>
              <w:jc w:val="center"/>
              <w:rPr>
                <w:rFonts w:eastAsia="Times New Roman" w:cs="Times New Roman"/>
                <w:sz w:val="20"/>
              </w:rPr>
            </w:pPr>
            <w:r w:rsidRPr="00AA4CFB">
              <w:rPr>
                <w:sz w:val="20"/>
              </w:rPr>
              <w:t>Տիպ I</w:t>
            </w:r>
          </w:p>
        </w:tc>
        <w:tc>
          <w:tcPr>
            <w:tcW w:w="4253" w:type="dxa"/>
            <w:tcBorders>
              <w:top w:val="single" w:sz="4" w:space="0" w:color="auto"/>
              <w:left w:val="nil"/>
              <w:bottom w:val="nil"/>
              <w:right w:val="nil"/>
            </w:tcBorders>
            <w:shd w:val="clear" w:color="auto" w:fill="FFFFFF"/>
            <w:vAlign w:val="center"/>
          </w:tcPr>
          <w:p w14:paraId="2552AC23" w14:textId="77777777" w:rsidR="00AF2D51" w:rsidRPr="00AA4CFB" w:rsidRDefault="00AF2D51" w:rsidP="00AF2D51">
            <w:pPr>
              <w:spacing w:after="120"/>
              <w:jc w:val="center"/>
              <w:rPr>
                <w:rFonts w:eastAsia="Times New Roman" w:cs="Times New Roman"/>
                <w:sz w:val="20"/>
              </w:rPr>
            </w:pPr>
            <w:r w:rsidRPr="00AA4CFB">
              <w:rPr>
                <w:sz w:val="20"/>
              </w:rPr>
              <w:t>Տիպ II</w:t>
            </w:r>
          </w:p>
        </w:tc>
      </w:tr>
      <w:tr w:rsidR="00AF2D51" w:rsidRPr="00AA4CFB" w14:paraId="2ABD8AD1" w14:textId="77777777" w:rsidTr="00AF2D51">
        <w:trPr>
          <w:trHeight w:val="2126"/>
        </w:trPr>
        <w:tc>
          <w:tcPr>
            <w:tcW w:w="3969" w:type="dxa"/>
            <w:tcBorders>
              <w:top w:val="single" w:sz="4" w:space="0" w:color="auto"/>
              <w:left w:val="nil"/>
              <w:bottom w:val="single" w:sz="4" w:space="0" w:color="auto"/>
              <w:right w:val="nil"/>
            </w:tcBorders>
            <w:shd w:val="clear" w:color="auto" w:fill="FFFFFF"/>
          </w:tcPr>
          <w:p w14:paraId="4AC261EA" w14:textId="77777777" w:rsidR="00AF2D51" w:rsidRPr="00AA4CFB" w:rsidRDefault="00AF2D51" w:rsidP="00AF2D51">
            <w:pPr>
              <w:spacing w:after="120"/>
              <w:jc w:val="center"/>
              <w:rPr>
                <w:rFonts w:eastAsia="Times New Roman" w:cs="Times New Roman"/>
                <w:sz w:val="20"/>
              </w:rPr>
            </w:pPr>
            <w:r w:rsidRPr="00AA4CFB">
              <w:rPr>
                <w:sz w:val="20"/>
              </w:rPr>
              <w:t>Արժեքները շատ մոտ են I տիպի ապակուց փաթեթվածքների մակերեւութային հիդրոլիտիկ կայունության փորձարկումների ընթացքում ստացված մեծություններին</w:t>
            </w:r>
          </w:p>
        </w:tc>
        <w:tc>
          <w:tcPr>
            <w:tcW w:w="4253" w:type="dxa"/>
            <w:tcBorders>
              <w:top w:val="single" w:sz="4" w:space="0" w:color="auto"/>
              <w:left w:val="nil"/>
              <w:bottom w:val="single" w:sz="4" w:space="0" w:color="auto"/>
              <w:right w:val="nil"/>
            </w:tcBorders>
            <w:shd w:val="clear" w:color="auto" w:fill="FFFFFF"/>
          </w:tcPr>
          <w:p w14:paraId="1E332274" w14:textId="77777777" w:rsidR="00AF2D51" w:rsidRPr="00AA4CFB" w:rsidRDefault="00AF2D51" w:rsidP="00AF2D51">
            <w:pPr>
              <w:spacing w:after="120"/>
              <w:jc w:val="center"/>
              <w:rPr>
                <w:rFonts w:eastAsia="Times New Roman" w:cs="Times New Roman"/>
                <w:sz w:val="20"/>
              </w:rPr>
            </w:pPr>
            <w:r w:rsidRPr="00AA4CFB">
              <w:rPr>
                <w:sz w:val="20"/>
              </w:rPr>
              <w:t>Արժեքները զգալիորեն գերազանցում են մակերեւութային հիդրոլիտիկ կայունության փորձարկումների ընթացքում ստացված մեծությունները եւ նման են III տիպի ապակուց փաթեթվածքների համար ստացված մեծություններին, բայց չեն գերազանցում դրանք</w:t>
            </w:r>
          </w:p>
        </w:tc>
      </w:tr>
    </w:tbl>
    <w:p w14:paraId="44834320"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Մեթոդիկաները նույնն են, ինչ սրվակների </w:t>
      </w:r>
      <w:r>
        <w:rPr>
          <w:rFonts w:ascii="Sylfaen" w:hAnsi="Sylfaen"/>
          <w:sz w:val="24"/>
          <w:szCs w:val="24"/>
        </w:rPr>
        <w:t>եւ</w:t>
      </w:r>
      <w:r w:rsidRPr="00394A09">
        <w:rPr>
          <w:rFonts w:ascii="Sylfaen" w:hAnsi="Sylfaen"/>
          <w:sz w:val="24"/>
          <w:szCs w:val="24"/>
        </w:rPr>
        <w:t xml:space="preserve"> շշերի համար Բ փորձարկման դեպքում: Չմշակված մակերեւույթով ամպուլների դեպքում ստացվող արժեքները փոքր-ինչ ցածր են, քան վերեւում նկարագրված փորձարկումներում ստացված արժեքները:</w:t>
      </w:r>
    </w:p>
    <w:p w14:paraId="7AB2FC3C"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I տիպի </w:t>
      </w:r>
      <w:r>
        <w:rPr>
          <w:rFonts w:ascii="Sylfaen" w:hAnsi="Sylfaen"/>
          <w:b/>
          <w:sz w:val="24"/>
          <w:szCs w:val="24"/>
        </w:rPr>
        <w:t>եւ</w:t>
      </w:r>
      <w:r w:rsidRPr="00394A09">
        <w:rPr>
          <w:rFonts w:ascii="Sylfaen" w:hAnsi="Sylfaen"/>
          <w:b/>
          <w:sz w:val="24"/>
          <w:szCs w:val="24"/>
        </w:rPr>
        <w:t xml:space="preserve"> II տիպի ապակուց փաթեթվածքների միջ</w:t>
      </w:r>
      <w:r>
        <w:rPr>
          <w:rFonts w:ascii="Sylfaen" w:hAnsi="Sylfaen"/>
          <w:b/>
          <w:sz w:val="24"/>
          <w:szCs w:val="24"/>
        </w:rPr>
        <w:t>եւ</w:t>
      </w:r>
      <w:r w:rsidRPr="00394A09">
        <w:rPr>
          <w:rFonts w:ascii="Sylfaen" w:hAnsi="Sylfaen"/>
          <w:b/>
          <w:sz w:val="24"/>
          <w:szCs w:val="24"/>
        </w:rPr>
        <w:t xml:space="preserve"> տարբերությունները</w:t>
      </w:r>
    </w:p>
    <w:p w14:paraId="3F83934A" w14:textId="77777777" w:rsidR="00AF2D51" w:rsidRPr="00394A09" w:rsidRDefault="00AF2D51" w:rsidP="001827DA">
      <w:pPr>
        <w:pStyle w:val="a0"/>
        <w:shd w:val="clear" w:color="auto" w:fill="auto"/>
        <w:spacing w:after="160" w:line="360" w:lineRule="auto"/>
        <w:ind w:firstLine="567"/>
        <w:jc w:val="both"/>
        <w:rPr>
          <w:rFonts w:ascii="Sylfaen" w:hAnsi="Sylfaen" w:cs="Sylfaen"/>
          <w:spacing w:val="-6"/>
          <w:sz w:val="24"/>
          <w:szCs w:val="24"/>
        </w:rPr>
      </w:pPr>
      <w:r w:rsidRPr="00394A09">
        <w:rPr>
          <w:rFonts w:ascii="Sylfaen" w:hAnsi="Sylfaen"/>
          <w:spacing w:val="-6"/>
          <w:sz w:val="24"/>
          <w:szCs w:val="24"/>
        </w:rPr>
        <w:t>Բ փորձարկմամբ ստացված արդյունքները՝ Ա փորձարկմամբ ստացված արդյունքների համեմատությամբ: Արդյունքների մեկնաբանությունը ներկայացված է 2.4.2.2-4. աղյուսակում:</w:t>
      </w:r>
    </w:p>
    <w:p w14:paraId="35B663B6" w14:textId="77777777" w:rsidR="001827DA" w:rsidRPr="00903268" w:rsidRDefault="001827DA" w:rsidP="001827DA">
      <w:pPr>
        <w:pStyle w:val="a0"/>
        <w:shd w:val="clear" w:color="auto" w:fill="auto"/>
        <w:spacing w:after="160" w:line="360" w:lineRule="auto"/>
        <w:ind w:firstLine="567"/>
        <w:rPr>
          <w:rFonts w:ascii="Sylfaen" w:hAnsi="Sylfaen"/>
          <w:b/>
          <w:sz w:val="24"/>
          <w:szCs w:val="24"/>
        </w:rPr>
      </w:pPr>
    </w:p>
    <w:p w14:paraId="311C1130" w14:textId="77777777" w:rsidR="00AF2D51" w:rsidRPr="00394A09" w:rsidRDefault="00AF2D51" w:rsidP="001827DA">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ԱՐՍԵՆ</w:t>
      </w:r>
    </w:p>
    <w:p w14:paraId="1CCC30A3"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Փորձարկումը կիրառվում է պարենտերալ կիրառման դեղապատրաստուկների ջրային լուծույթների համար նախատեսված փաթեթվածքների համար:</w:t>
      </w:r>
    </w:p>
    <w:p w14:paraId="60729AA8"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Որոշումն անցկացնում են ատոմային աբսորբման սպեկտրալուսաչափության մեթոդով՝ հիդրիդի ստացման կցուրդով </w:t>
      </w:r>
      <w:r w:rsidRPr="00394A09">
        <w:rPr>
          <w:rFonts w:ascii="Sylfaen" w:hAnsi="Sylfaen"/>
          <w:i/>
          <w:sz w:val="24"/>
          <w:szCs w:val="24"/>
        </w:rPr>
        <w:t>(2.1.2.22, մեթոդ I):</w:t>
      </w:r>
    </w:p>
    <w:p w14:paraId="27A3F6C6"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Փորձարկվող լուծույթ։</w:t>
      </w:r>
      <w:r w:rsidRPr="00394A09">
        <w:rPr>
          <w:rFonts w:ascii="Sylfaen" w:hAnsi="Sylfaen"/>
          <w:sz w:val="24"/>
          <w:szCs w:val="24"/>
        </w:rPr>
        <w:t xml:space="preserve"> 100 մլ տարողությամբ չափանոթի մեջ ավելացնում են 121 °C ջերմաստիճանում ավտոկլավի մեջ 1 ժամ մշակված (ինչպես որ նկարագրված է մակերեւութային հիդրոլիտիկ կայունության Ա փորձարկման մեջ) I </w:t>
      </w:r>
      <w:r>
        <w:rPr>
          <w:rFonts w:ascii="Sylfaen" w:hAnsi="Sylfaen"/>
          <w:sz w:val="24"/>
          <w:szCs w:val="24"/>
        </w:rPr>
        <w:t>եւ</w:t>
      </w:r>
      <w:r w:rsidRPr="00394A09">
        <w:rPr>
          <w:rFonts w:ascii="Sylfaen" w:hAnsi="Sylfaen"/>
          <w:sz w:val="24"/>
          <w:szCs w:val="24"/>
        </w:rPr>
        <w:t xml:space="preserve"> II տիպի ապակուց փաթեթվածքներից ստացված լուծամզուկային լուծույթի 10,0 մլ, ավելացվում է </w:t>
      </w:r>
      <w:r w:rsidRPr="00394A09">
        <w:rPr>
          <w:rFonts w:ascii="Sylfaen" w:hAnsi="Sylfaen"/>
          <w:i/>
          <w:sz w:val="24"/>
          <w:szCs w:val="24"/>
        </w:rPr>
        <w:t>Ռ քլորաջրածնային թթվի</w:t>
      </w:r>
      <w:r w:rsidRPr="00394A09">
        <w:rPr>
          <w:rFonts w:ascii="Sylfaen" w:hAnsi="Sylfaen"/>
          <w:sz w:val="24"/>
          <w:szCs w:val="24"/>
        </w:rPr>
        <w:t xml:space="preserve"> 10 մլ, </w:t>
      </w:r>
      <w:r w:rsidRPr="00394A09">
        <w:rPr>
          <w:rFonts w:ascii="Sylfaen" w:hAnsi="Sylfaen"/>
          <w:i/>
          <w:sz w:val="24"/>
          <w:szCs w:val="24"/>
        </w:rPr>
        <w:t xml:space="preserve">Ռ կալիումի յոդիդի </w:t>
      </w:r>
      <w:r w:rsidRPr="00394A09">
        <w:rPr>
          <w:rFonts w:ascii="Sylfaen" w:hAnsi="Sylfaen"/>
          <w:sz w:val="24"/>
          <w:szCs w:val="24"/>
        </w:rPr>
        <w:t xml:space="preserve">200 գ/լ </w:t>
      </w:r>
      <w:r w:rsidRPr="00394A09">
        <w:rPr>
          <w:rFonts w:ascii="Sylfaen" w:hAnsi="Sylfaen"/>
          <w:i/>
          <w:sz w:val="24"/>
          <w:szCs w:val="24"/>
        </w:rPr>
        <w:t>լուծույթի</w:t>
      </w:r>
      <w:r w:rsidRPr="00394A09">
        <w:rPr>
          <w:rFonts w:ascii="Sylfaen" w:hAnsi="Sylfaen"/>
          <w:sz w:val="24"/>
          <w:szCs w:val="24"/>
        </w:rPr>
        <w:t xml:space="preserve"> 5 մլ, տաքացնում են 80 °C-ի տակ 20 րոպե, հովացնում </w:t>
      </w:r>
      <w:r>
        <w:rPr>
          <w:rFonts w:ascii="Sylfaen" w:hAnsi="Sylfaen"/>
          <w:sz w:val="24"/>
          <w:szCs w:val="24"/>
        </w:rPr>
        <w:t>եւ</w:t>
      </w:r>
      <w:r w:rsidRPr="00394A09">
        <w:rPr>
          <w:rFonts w:ascii="Sylfaen" w:hAnsi="Sylfaen"/>
          <w:sz w:val="24"/>
          <w:szCs w:val="24"/>
        </w:rPr>
        <w:t xml:space="preserve"> նոսրացնում են </w:t>
      </w:r>
      <w:r w:rsidRPr="00394A09">
        <w:rPr>
          <w:rFonts w:ascii="Sylfaen" w:hAnsi="Sylfaen"/>
          <w:i/>
          <w:sz w:val="24"/>
          <w:szCs w:val="24"/>
        </w:rPr>
        <w:t>Ռ ջրով</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100,0 մլ-ը:</w:t>
      </w:r>
    </w:p>
    <w:p w14:paraId="583ED84E"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Համեմատության լուծույթները։</w:t>
      </w:r>
      <w:r w:rsidRPr="00394A09">
        <w:rPr>
          <w:rFonts w:ascii="Sylfaen" w:hAnsi="Sylfaen"/>
          <w:sz w:val="24"/>
          <w:szCs w:val="24"/>
        </w:rPr>
        <w:t xml:space="preserve"> Լուծույթները պատրաստում են </w:t>
      </w:r>
      <w:r w:rsidRPr="00394A09">
        <w:rPr>
          <w:rFonts w:ascii="Sylfaen" w:hAnsi="Sylfaen"/>
          <w:i/>
          <w:sz w:val="24"/>
          <w:szCs w:val="24"/>
        </w:rPr>
        <w:t>Ռ</w:t>
      </w:r>
      <w:r w:rsidRPr="00394A09">
        <w:rPr>
          <w:rFonts w:ascii="Sylfaen" w:hAnsi="Sylfaen"/>
          <w:sz w:val="24"/>
          <w:szCs w:val="24"/>
        </w:rPr>
        <w:t xml:space="preserve"> </w:t>
      </w:r>
      <w:r w:rsidRPr="00394A09">
        <w:rPr>
          <w:rFonts w:ascii="Sylfaen" w:hAnsi="Sylfaen"/>
          <w:i/>
          <w:sz w:val="24"/>
          <w:szCs w:val="24"/>
        </w:rPr>
        <w:t>արսենի ստանդարտ լուծույթի</w:t>
      </w:r>
      <w:r w:rsidRPr="00394A09">
        <w:rPr>
          <w:rFonts w:ascii="Sylfaen" w:hAnsi="Sylfaen"/>
          <w:sz w:val="24"/>
          <w:szCs w:val="24"/>
        </w:rPr>
        <w:t xml:space="preserve"> օգտագործմամբ </w:t>
      </w:r>
      <w:r w:rsidRPr="00394A09">
        <w:rPr>
          <w:rFonts w:ascii="Sylfaen" w:hAnsi="Sylfaen"/>
          <w:i/>
          <w:sz w:val="24"/>
          <w:szCs w:val="24"/>
        </w:rPr>
        <w:t>(1 ppm As</w:t>
      </w:r>
      <w:r w:rsidRPr="00394A09">
        <w:rPr>
          <w:rFonts w:ascii="Sylfaen" w:hAnsi="Sylfaen"/>
          <w:i/>
          <w:sz w:val="24"/>
          <w:szCs w:val="24"/>
          <w:vertAlign w:val="superscript"/>
        </w:rPr>
        <w:t>+3</w:t>
      </w:r>
      <w:r w:rsidRPr="00394A09">
        <w:rPr>
          <w:rFonts w:ascii="Sylfaen" w:hAnsi="Sylfaen"/>
          <w:i/>
          <w:sz w:val="24"/>
          <w:szCs w:val="24"/>
        </w:rPr>
        <w:t>),</w:t>
      </w:r>
      <w:r w:rsidRPr="00394A09">
        <w:rPr>
          <w:rFonts w:ascii="Sylfaen" w:hAnsi="Sylfaen"/>
          <w:sz w:val="24"/>
          <w:szCs w:val="24"/>
        </w:rPr>
        <w:t xml:space="preserve"> դրան ավելացնում են </w:t>
      </w:r>
      <w:r w:rsidRPr="00394A09">
        <w:rPr>
          <w:rFonts w:ascii="Sylfaen" w:hAnsi="Sylfaen"/>
          <w:i/>
          <w:sz w:val="24"/>
          <w:szCs w:val="24"/>
        </w:rPr>
        <w:t>Ռ</w:t>
      </w:r>
      <w:r w:rsidRPr="00AA4CFB">
        <w:rPr>
          <w:rFonts w:ascii="Sylfaen" w:hAnsi="Sylfaen"/>
          <w:i/>
          <w:sz w:val="24"/>
          <w:szCs w:val="24"/>
        </w:rPr>
        <w:t> </w:t>
      </w:r>
      <w:r w:rsidRPr="00394A09">
        <w:rPr>
          <w:rFonts w:ascii="Sylfaen" w:hAnsi="Sylfaen"/>
          <w:i/>
          <w:sz w:val="24"/>
          <w:szCs w:val="24"/>
        </w:rPr>
        <w:t>քլորաջրածնային թթվի</w:t>
      </w:r>
      <w:r w:rsidRPr="00394A09">
        <w:rPr>
          <w:rFonts w:ascii="Sylfaen" w:hAnsi="Sylfaen"/>
          <w:sz w:val="24"/>
          <w:szCs w:val="24"/>
        </w:rPr>
        <w:t xml:space="preserve"> 10 մլ, </w:t>
      </w:r>
      <w:r w:rsidRPr="00394A09">
        <w:rPr>
          <w:rFonts w:ascii="Sylfaen" w:hAnsi="Sylfaen"/>
          <w:i/>
          <w:sz w:val="24"/>
          <w:szCs w:val="24"/>
        </w:rPr>
        <w:t xml:space="preserve">Ռ կալիումի յոդիդի </w:t>
      </w:r>
      <w:r w:rsidRPr="00394A09">
        <w:rPr>
          <w:rFonts w:ascii="Sylfaen" w:hAnsi="Sylfaen"/>
          <w:sz w:val="24"/>
          <w:szCs w:val="24"/>
        </w:rPr>
        <w:t xml:space="preserve">200 գ/լ </w:t>
      </w:r>
      <w:r w:rsidRPr="00394A09">
        <w:rPr>
          <w:rFonts w:ascii="Sylfaen" w:hAnsi="Sylfaen"/>
          <w:i/>
          <w:sz w:val="24"/>
          <w:szCs w:val="24"/>
        </w:rPr>
        <w:t>լուծույթի</w:t>
      </w:r>
      <w:r w:rsidRPr="00394A09">
        <w:rPr>
          <w:rFonts w:ascii="Sylfaen" w:hAnsi="Sylfaen"/>
          <w:sz w:val="24"/>
          <w:szCs w:val="24"/>
        </w:rPr>
        <w:t xml:space="preserve"> 5 մլ: Լուծույթները ջրային բաղնիքի վրա 20 րոպե տաքացնում են 80 °C-ի տակ, </w:t>
      </w:r>
      <w:r w:rsidRPr="00394A09">
        <w:rPr>
          <w:rFonts w:ascii="Sylfaen" w:hAnsi="Sylfaen"/>
          <w:sz w:val="24"/>
          <w:szCs w:val="24"/>
        </w:rPr>
        <w:lastRenderedPageBreak/>
        <w:t xml:space="preserve">հովացնում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Ռ ջրով</w:t>
      </w:r>
      <w:r w:rsidRPr="00394A09">
        <w:rPr>
          <w:rFonts w:ascii="Sylfaen" w:hAnsi="Sylfaen"/>
          <w:sz w:val="24"/>
          <w:szCs w:val="24"/>
        </w:rPr>
        <w:t xml:space="preserve"> հասցնում մինչ</w:t>
      </w:r>
      <w:r>
        <w:rPr>
          <w:rFonts w:ascii="Sylfaen" w:hAnsi="Sylfaen"/>
          <w:sz w:val="24"/>
          <w:szCs w:val="24"/>
        </w:rPr>
        <w:t>եւ</w:t>
      </w:r>
      <w:r w:rsidRPr="00394A09">
        <w:rPr>
          <w:rFonts w:ascii="Sylfaen" w:hAnsi="Sylfaen"/>
          <w:sz w:val="24"/>
          <w:szCs w:val="24"/>
        </w:rPr>
        <w:t xml:space="preserve"> 100,0 մլ-ը: Համեմատության լուծույթների կոնցենտրացիաների ընդգրկույթը, որպես կանոն, 0,005 ppm-ից մինչ</w:t>
      </w:r>
      <w:r>
        <w:rPr>
          <w:rFonts w:ascii="Sylfaen" w:hAnsi="Sylfaen"/>
          <w:sz w:val="24"/>
          <w:szCs w:val="24"/>
        </w:rPr>
        <w:t>եւ</w:t>
      </w:r>
      <w:r w:rsidRPr="00394A09">
        <w:rPr>
          <w:rFonts w:ascii="Sylfaen" w:hAnsi="Sylfaen"/>
          <w:sz w:val="24"/>
          <w:szCs w:val="24"/>
        </w:rPr>
        <w:t xml:space="preserve"> 0,015 ppm է:</w:t>
      </w:r>
    </w:p>
    <w:p w14:paraId="7DFD020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Թթվային ռեակտիվ՝ Ռ քլորաջրածնային թթու:</w:t>
      </w:r>
    </w:p>
    <w:p w14:paraId="6E438A4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Վերականգնող ռեակտիվ՝ Ռ նատրիումի տետրահիդրոբորատի լուծույթ:</w:t>
      </w:r>
    </w:p>
    <w:p w14:paraId="301CA76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Օգտագործում են արսենի հիդրիդի ստացման սարքվածքը: Ստացված արսենի հիդրիդը ներմուծում են ատոմային աբսորբման սպեկտրաչափի կյուվետի մեջ: Տեղադրում </w:t>
      </w:r>
      <w:r>
        <w:rPr>
          <w:rFonts w:ascii="Sylfaen" w:hAnsi="Sylfaen"/>
          <w:sz w:val="24"/>
          <w:szCs w:val="24"/>
        </w:rPr>
        <w:t>եւ</w:t>
      </w:r>
      <w:r w:rsidRPr="00394A09">
        <w:rPr>
          <w:rFonts w:ascii="Sylfaen" w:hAnsi="Sylfaen"/>
          <w:sz w:val="24"/>
          <w:szCs w:val="24"/>
        </w:rPr>
        <w:t xml:space="preserve"> ստանդարտացնում են գործիքային </w:t>
      </w:r>
      <w:r>
        <w:rPr>
          <w:rFonts w:ascii="Sylfaen" w:hAnsi="Sylfaen"/>
          <w:sz w:val="24"/>
          <w:szCs w:val="24"/>
        </w:rPr>
        <w:t>եւ</w:t>
      </w:r>
      <w:r w:rsidRPr="00394A09">
        <w:rPr>
          <w:rFonts w:ascii="Sylfaen" w:hAnsi="Sylfaen"/>
          <w:sz w:val="24"/>
          <w:szCs w:val="24"/>
        </w:rPr>
        <w:t xml:space="preserve"> շահագործման ռեժիմները՝ արտադրողի հրահանգների համաձայն, կարգաբերում են պերիստալտիկ պոմպի արագությունը, այնուհետ</w:t>
      </w:r>
      <w:r>
        <w:rPr>
          <w:rFonts w:ascii="Sylfaen" w:hAnsi="Sylfaen"/>
          <w:sz w:val="24"/>
          <w:szCs w:val="24"/>
        </w:rPr>
        <w:t>եւ</w:t>
      </w:r>
      <w:r w:rsidRPr="00394A09">
        <w:rPr>
          <w:rFonts w:ascii="Sylfaen" w:hAnsi="Sylfaen"/>
          <w:sz w:val="24"/>
          <w:szCs w:val="24"/>
        </w:rPr>
        <w:t xml:space="preserve"> խողովակները միացնում են թթվային ռեակտիվով, նվազեցնող ռեակտիվով </w:t>
      </w:r>
      <w:r>
        <w:rPr>
          <w:rFonts w:ascii="Sylfaen" w:hAnsi="Sylfaen"/>
          <w:sz w:val="24"/>
          <w:szCs w:val="24"/>
        </w:rPr>
        <w:t>եւ</w:t>
      </w:r>
      <w:r w:rsidRPr="00394A09">
        <w:rPr>
          <w:rFonts w:ascii="Sylfaen" w:hAnsi="Sylfaen"/>
          <w:sz w:val="24"/>
          <w:szCs w:val="24"/>
        </w:rPr>
        <w:t xml:space="preserve"> փորձարկվող լուծույթով պահոցներին:</w:t>
      </w:r>
    </w:p>
    <w:p w14:paraId="564FCE2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Որոշման պայմանները՝</w:t>
      </w:r>
    </w:p>
    <w:p w14:paraId="4EA46191"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A4CFB">
        <w:rPr>
          <w:rFonts w:ascii="Sylfaen" w:hAnsi="Sylfaen"/>
          <w:i/>
          <w:sz w:val="24"/>
          <w:szCs w:val="24"/>
        </w:rPr>
        <w:tab/>
      </w:r>
      <w:r w:rsidRPr="00394A09">
        <w:rPr>
          <w:rFonts w:ascii="Sylfaen" w:hAnsi="Sylfaen"/>
          <w:i/>
          <w:sz w:val="24"/>
          <w:szCs w:val="24"/>
        </w:rPr>
        <w:t>աղբյուրը՝ արսենական կատոդով սնամեջ լամպ.</w:t>
      </w:r>
    </w:p>
    <w:p w14:paraId="133FE8BF"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A4CFB">
        <w:rPr>
          <w:rFonts w:ascii="Sylfaen" w:hAnsi="Sylfaen"/>
          <w:i/>
          <w:sz w:val="24"/>
          <w:szCs w:val="24"/>
        </w:rPr>
        <w:tab/>
      </w:r>
      <w:r w:rsidRPr="00394A09">
        <w:rPr>
          <w:rFonts w:ascii="Sylfaen" w:hAnsi="Sylfaen"/>
          <w:i/>
          <w:sz w:val="24"/>
          <w:szCs w:val="24"/>
        </w:rPr>
        <w:t>ալիքի երկարությունը՝ 193,7 նմ.</w:t>
      </w:r>
    </w:p>
    <w:p w14:paraId="15D09E89"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i/>
          <w:sz w:val="24"/>
          <w:szCs w:val="24"/>
        </w:rPr>
        <w:t>-</w:t>
      </w:r>
      <w:r w:rsidRPr="00AA4CFB">
        <w:rPr>
          <w:rFonts w:ascii="Sylfaen" w:hAnsi="Sylfaen"/>
          <w:i/>
          <w:sz w:val="24"/>
          <w:szCs w:val="24"/>
        </w:rPr>
        <w:tab/>
      </w:r>
      <w:r w:rsidRPr="00394A09">
        <w:rPr>
          <w:rFonts w:ascii="Sylfaen" w:hAnsi="Sylfaen"/>
          <w:i/>
          <w:sz w:val="24"/>
          <w:szCs w:val="24"/>
        </w:rPr>
        <w:t>փոշեցրիչը՝ օդային ացետիլենային բոց:</w:t>
      </w:r>
    </w:p>
    <w:p w14:paraId="7F5EBB9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 xml:space="preserve">Սահմանային պարունակությունը՝ </w:t>
      </w:r>
      <w:r w:rsidRPr="00394A09">
        <w:rPr>
          <w:rFonts w:ascii="Sylfaen" w:hAnsi="Sylfaen"/>
          <w:sz w:val="24"/>
          <w:szCs w:val="24"/>
        </w:rPr>
        <w:t>0,1 ppm-ից ոչ ավելի As:</w:t>
      </w:r>
    </w:p>
    <w:p w14:paraId="7050920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5DFF4400"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 xml:space="preserve">ԼՈՒՍԱՆՑԱՆԵԼԻՈՒԹՅՈՒՆԸ </w:t>
      </w:r>
    </w:p>
    <w:p w14:paraId="24E0A10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Փորձարկումը կիրառվում է գունավորված ապակյա փաթեթվածքների համար:</w:t>
      </w:r>
    </w:p>
    <w:p w14:paraId="588E21A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Որոշումն անցկացնում են աբսորբման սպեկտրալուսաչափության մեթոդով՝ ուլտրամանուշակագույն </w:t>
      </w:r>
      <w:r>
        <w:rPr>
          <w:rFonts w:ascii="Sylfaen" w:hAnsi="Sylfaen"/>
          <w:sz w:val="24"/>
          <w:szCs w:val="24"/>
        </w:rPr>
        <w:t>եւ</w:t>
      </w:r>
      <w:r w:rsidRPr="00394A09">
        <w:rPr>
          <w:rFonts w:ascii="Sylfaen" w:hAnsi="Sylfaen"/>
          <w:sz w:val="24"/>
          <w:szCs w:val="24"/>
        </w:rPr>
        <w:t xml:space="preserve"> տեսանելի հատվածներում </w:t>
      </w:r>
      <w:r w:rsidRPr="00394A09">
        <w:rPr>
          <w:rFonts w:ascii="Sylfaen" w:hAnsi="Sylfaen"/>
          <w:i/>
          <w:sz w:val="24"/>
          <w:szCs w:val="24"/>
        </w:rPr>
        <w:t>(2.1.2.24):</w:t>
      </w:r>
    </w:p>
    <w:p w14:paraId="5FAE89B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Սարքավորումները։ </w:t>
      </w:r>
      <w:r w:rsidRPr="00394A09">
        <w:rPr>
          <w:rFonts w:ascii="Sylfaen" w:hAnsi="Sylfaen"/>
          <w:sz w:val="24"/>
          <w:szCs w:val="24"/>
        </w:rPr>
        <w:t>Լուսադիոդային դետեկտորով կամ երկկողմանի լուսաէլեկտրոնային բազմապատկիչով սարքավորված սպեկտրալուսաչափ՝ ինտեգրող գնդոլորտի հետ համակցմամբ:</w:t>
      </w:r>
    </w:p>
    <w:p w14:paraId="45E52CB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lastRenderedPageBreak/>
        <w:t xml:space="preserve">Նմուշի պատրաստումը։ </w:t>
      </w:r>
      <w:r w:rsidRPr="00394A09">
        <w:rPr>
          <w:rFonts w:ascii="Sylfaen" w:hAnsi="Sylfaen"/>
          <w:sz w:val="24"/>
          <w:szCs w:val="24"/>
        </w:rPr>
        <w:t xml:space="preserve">Ապակյա փաթեթվածքը կոտրում կամ կտրատում են խոնավ հղկման համար սկավառակ ունեցող, օրինակ՝ կարբորունդային կամ մետաղացված ալմաստային սկավառակով շրջապտուտական սղոցով: Ընտրում են համապատասխան հաստություն ունեցող պատերով հատվածները </w:t>
      </w:r>
      <w:r>
        <w:rPr>
          <w:rFonts w:ascii="Sylfaen" w:hAnsi="Sylfaen"/>
          <w:sz w:val="24"/>
          <w:szCs w:val="24"/>
        </w:rPr>
        <w:t>եւ</w:t>
      </w:r>
      <w:r w:rsidRPr="00394A09">
        <w:rPr>
          <w:rFonts w:ascii="Sylfaen" w:hAnsi="Sylfaen"/>
          <w:sz w:val="24"/>
          <w:szCs w:val="24"/>
        </w:rPr>
        <w:t xml:space="preserve"> կտրում դրանք համապատասխան ձ</w:t>
      </w:r>
      <w:r>
        <w:rPr>
          <w:rFonts w:ascii="Sylfaen" w:hAnsi="Sylfaen"/>
          <w:sz w:val="24"/>
          <w:szCs w:val="24"/>
        </w:rPr>
        <w:t>եւ</w:t>
      </w:r>
      <w:r w:rsidRPr="00394A09">
        <w:rPr>
          <w:rFonts w:ascii="Sylfaen" w:hAnsi="Sylfaen"/>
          <w:sz w:val="24"/>
          <w:szCs w:val="24"/>
        </w:rPr>
        <w:t xml:space="preserve">ով՝ սպեկտրալուսաչափի մեջ տեղադրելու համար: Եթե նմուշը չափազանց փոքր է նմուշի կալանի անցքը փակելու համար, ապա չփակվող մասը քողարկում են անթափանց թղթով կամ ժապավենով այն պայմանով, որ փորձարկվող նմուշի երկարությունը ճեղքի երկարությունից մեծ է: Կալանի մեջ տեղադրելուց առաջ նմուշը լվանում են, չորացնում </w:t>
      </w:r>
      <w:r>
        <w:rPr>
          <w:rFonts w:ascii="Sylfaen" w:hAnsi="Sylfaen"/>
          <w:sz w:val="24"/>
          <w:szCs w:val="24"/>
        </w:rPr>
        <w:t>եւ</w:t>
      </w:r>
      <w:r w:rsidRPr="00394A09">
        <w:rPr>
          <w:rFonts w:ascii="Sylfaen" w:hAnsi="Sylfaen"/>
          <w:sz w:val="24"/>
          <w:szCs w:val="24"/>
        </w:rPr>
        <w:t xml:space="preserve"> մաքրում ոսպնյակների մաքրման համար նախատեսված կտորով: Նմուշն ամրացնում են մոմով կամ այլ համապատասխան նյութերով՝ ուշադիր լինելով, որ նմուշի վրա մատնահետքեր կամ այլ հետքեր չմնան:</w:t>
      </w:r>
    </w:p>
    <w:p w14:paraId="03F0FAB1" w14:textId="77777777" w:rsidR="00AF2D51" w:rsidRPr="00AF2D51" w:rsidRDefault="00AF2D51" w:rsidP="00AF2D51">
      <w:pPr>
        <w:tabs>
          <w:tab w:val="left" w:pos="2568"/>
        </w:tabs>
        <w:spacing w:after="160" w:line="360" w:lineRule="auto"/>
        <w:ind w:firstLine="567"/>
        <w:jc w:val="both"/>
      </w:pPr>
    </w:p>
    <w:p w14:paraId="4ECE1119" w14:textId="77777777" w:rsidR="00AF2D51" w:rsidRPr="00394A09" w:rsidRDefault="00AF2D51" w:rsidP="00AF2D51">
      <w:pPr>
        <w:tabs>
          <w:tab w:val="left" w:pos="2568"/>
        </w:tabs>
        <w:spacing w:after="160" w:line="360" w:lineRule="auto"/>
        <w:ind w:firstLine="567"/>
        <w:jc w:val="both"/>
      </w:pPr>
      <w:r w:rsidRPr="00394A09">
        <w:t xml:space="preserve">Աղյուսակ 2.4.2.2-5. </w:t>
      </w:r>
      <w:r w:rsidRPr="00394A09">
        <w:rPr>
          <w:i/>
        </w:rPr>
        <w:t>Պարենտերալ կիրառման համար նախատեսված դեղապատրաստուկների՝ գունավորված ապակուց փաթեթվածքների համար լուանցանելիության թույլատրելի սահմանները</w:t>
      </w:r>
    </w:p>
    <w:tbl>
      <w:tblPr>
        <w:tblW w:w="0" w:type="auto"/>
        <w:tblLayout w:type="fixed"/>
        <w:tblCellMar>
          <w:left w:w="0" w:type="dxa"/>
          <w:right w:w="0" w:type="dxa"/>
        </w:tblCellMar>
        <w:tblLook w:val="0000" w:firstRow="0" w:lastRow="0" w:firstColumn="0" w:lastColumn="0" w:noHBand="0" w:noVBand="0"/>
      </w:tblPr>
      <w:tblGrid>
        <w:gridCol w:w="1985"/>
        <w:gridCol w:w="2835"/>
        <w:gridCol w:w="2551"/>
      </w:tblGrid>
      <w:tr w:rsidR="00AF2D51" w:rsidRPr="00AA4CFB" w14:paraId="4C962CE2" w14:textId="77777777" w:rsidTr="00AF2D51">
        <w:trPr>
          <w:trHeight w:val="768"/>
        </w:trPr>
        <w:tc>
          <w:tcPr>
            <w:tcW w:w="1985" w:type="dxa"/>
            <w:vMerge w:val="restart"/>
            <w:tcBorders>
              <w:top w:val="single" w:sz="4" w:space="0" w:color="auto"/>
              <w:left w:val="nil"/>
              <w:bottom w:val="nil"/>
              <w:right w:val="nil"/>
            </w:tcBorders>
            <w:shd w:val="clear" w:color="auto" w:fill="FFFFFF"/>
            <w:vAlign w:val="center"/>
          </w:tcPr>
          <w:p w14:paraId="5272B9C8" w14:textId="77777777" w:rsidR="00AF2D51" w:rsidRPr="00AA4CFB" w:rsidRDefault="00AF2D51" w:rsidP="00AF2D51">
            <w:pPr>
              <w:spacing w:after="120"/>
              <w:jc w:val="center"/>
              <w:rPr>
                <w:rFonts w:eastAsia="Times New Roman" w:cs="Times New Roman"/>
                <w:sz w:val="20"/>
              </w:rPr>
            </w:pPr>
            <w:r w:rsidRPr="00AA4CFB">
              <w:rPr>
                <w:sz w:val="20"/>
              </w:rPr>
              <w:t>Նոմինալ ծավալը (մլ)</w:t>
            </w:r>
          </w:p>
        </w:tc>
        <w:tc>
          <w:tcPr>
            <w:tcW w:w="5386" w:type="dxa"/>
            <w:gridSpan w:val="2"/>
            <w:tcBorders>
              <w:top w:val="single" w:sz="4" w:space="0" w:color="auto"/>
              <w:left w:val="nil"/>
              <w:bottom w:val="nil"/>
              <w:right w:val="nil"/>
            </w:tcBorders>
            <w:shd w:val="clear" w:color="auto" w:fill="FFFFFF"/>
            <w:vAlign w:val="bottom"/>
          </w:tcPr>
          <w:p w14:paraId="164E155C" w14:textId="77777777" w:rsidR="00AF2D51" w:rsidRPr="00AA4CFB" w:rsidRDefault="00AF2D51" w:rsidP="00AF2D51">
            <w:pPr>
              <w:spacing w:after="120"/>
              <w:jc w:val="center"/>
              <w:rPr>
                <w:rFonts w:eastAsia="Times New Roman" w:cs="Times New Roman"/>
                <w:sz w:val="20"/>
              </w:rPr>
            </w:pPr>
            <w:r w:rsidRPr="00AA4CFB">
              <w:rPr>
                <w:sz w:val="20"/>
              </w:rPr>
              <w:t xml:space="preserve">Առավելագույն լուսանցանելիությունը (%)՝ 290 նմ-ից մինչեւ 450 նմ միջակայքում ալիքի ցանկացած երկարության դեպքում </w:t>
            </w:r>
          </w:p>
        </w:tc>
      </w:tr>
      <w:tr w:rsidR="00AF2D51" w:rsidRPr="00AA4CFB" w14:paraId="7A528344" w14:textId="77777777" w:rsidTr="00AF2D51">
        <w:trPr>
          <w:trHeight w:val="562"/>
        </w:trPr>
        <w:tc>
          <w:tcPr>
            <w:tcW w:w="1985" w:type="dxa"/>
            <w:vMerge/>
            <w:tcBorders>
              <w:top w:val="nil"/>
              <w:left w:val="nil"/>
              <w:bottom w:val="nil"/>
              <w:right w:val="nil"/>
            </w:tcBorders>
            <w:shd w:val="clear" w:color="auto" w:fill="FFFFFF"/>
            <w:vAlign w:val="center"/>
          </w:tcPr>
          <w:p w14:paraId="3844B85D" w14:textId="77777777" w:rsidR="00AF2D51" w:rsidRPr="00AA4CFB" w:rsidRDefault="00AF2D51" w:rsidP="00AF2D51">
            <w:pPr>
              <w:spacing w:after="120"/>
              <w:jc w:val="center"/>
              <w:rPr>
                <w:rFonts w:eastAsia="Times New Roman" w:cs="Times New Roman"/>
                <w:sz w:val="20"/>
              </w:rPr>
            </w:pPr>
          </w:p>
        </w:tc>
        <w:tc>
          <w:tcPr>
            <w:tcW w:w="2835" w:type="dxa"/>
            <w:tcBorders>
              <w:top w:val="single" w:sz="4" w:space="0" w:color="auto"/>
              <w:left w:val="nil"/>
              <w:bottom w:val="nil"/>
              <w:right w:val="nil"/>
            </w:tcBorders>
            <w:shd w:val="clear" w:color="auto" w:fill="FFFFFF"/>
            <w:vAlign w:val="bottom"/>
          </w:tcPr>
          <w:p w14:paraId="3F618E98" w14:textId="77777777" w:rsidR="00AF2D51" w:rsidRPr="00AA4CFB" w:rsidRDefault="00AF2D51" w:rsidP="00AF2D51">
            <w:pPr>
              <w:spacing w:after="120"/>
              <w:jc w:val="center"/>
              <w:rPr>
                <w:rFonts w:eastAsia="Times New Roman" w:cs="Times New Roman"/>
                <w:sz w:val="20"/>
              </w:rPr>
            </w:pPr>
            <w:r w:rsidRPr="00AA4CFB">
              <w:rPr>
                <w:sz w:val="20"/>
              </w:rPr>
              <w:t>Զոդմամբ հերմետիկացված փաթեթվածքներ</w:t>
            </w:r>
          </w:p>
        </w:tc>
        <w:tc>
          <w:tcPr>
            <w:tcW w:w="2551" w:type="dxa"/>
            <w:tcBorders>
              <w:top w:val="single" w:sz="4" w:space="0" w:color="auto"/>
              <w:left w:val="nil"/>
              <w:bottom w:val="nil"/>
              <w:right w:val="nil"/>
            </w:tcBorders>
            <w:shd w:val="clear" w:color="auto" w:fill="FFFFFF"/>
            <w:vAlign w:val="bottom"/>
          </w:tcPr>
          <w:p w14:paraId="1CA829A6" w14:textId="77777777" w:rsidR="00AF2D51" w:rsidRPr="00AA4CFB" w:rsidRDefault="00AF2D51" w:rsidP="00AF2D51">
            <w:pPr>
              <w:spacing w:after="120"/>
              <w:jc w:val="center"/>
              <w:rPr>
                <w:rFonts w:eastAsia="Times New Roman" w:cs="Times New Roman"/>
                <w:sz w:val="20"/>
              </w:rPr>
            </w:pPr>
            <w:r w:rsidRPr="00AA4CFB">
              <w:rPr>
                <w:sz w:val="20"/>
              </w:rPr>
              <w:t>Խցաններով փաթեթվածքներ</w:t>
            </w:r>
          </w:p>
        </w:tc>
      </w:tr>
      <w:tr w:rsidR="00AF2D51" w:rsidRPr="00AA4CFB" w14:paraId="65C3FD6B" w14:textId="77777777" w:rsidTr="00AF2D51">
        <w:trPr>
          <w:trHeight w:val="322"/>
        </w:trPr>
        <w:tc>
          <w:tcPr>
            <w:tcW w:w="1985" w:type="dxa"/>
            <w:tcBorders>
              <w:top w:val="single" w:sz="4" w:space="0" w:color="auto"/>
              <w:left w:val="nil"/>
              <w:bottom w:val="nil"/>
              <w:right w:val="nil"/>
            </w:tcBorders>
            <w:shd w:val="clear" w:color="auto" w:fill="FFFFFF"/>
          </w:tcPr>
          <w:p w14:paraId="4A82D039" w14:textId="77777777" w:rsidR="00AF2D51" w:rsidRPr="00AA4CFB" w:rsidRDefault="00AF2D51" w:rsidP="00AF2D51">
            <w:pPr>
              <w:spacing w:after="120"/>
              <w:rPr>
                <w:rFonts w:eastAsia="Times New Roman" w:cs="Times New Roman"/>
                <w:sz w:val="20"/>
              </w:rPr>
            </w:pPr>
            <w:r w:rsidRPr="00AA4CFB">
              <w:rPr>
                <w:sz w:val="20"/>
              </w:rPr>
              <w:t>Մինչեւ 1</w:t>
            </w:r>
          </w:p>
        </w:tc>
        <w:tc>
          <w:tcPr>
            <w:tcW w:w="2835" w:type="dxa"/>
            <w:tcBorders>
              <w:top w:val="single" w:sz="4" w:space="0" w:color="auto"/>
              <w:left w:val="nil"/>
              <w:bottom w:val="nil"/>
              <w:right w:val="nil"/>
            </w:tcBorders>
            <w:shd w:val="clear" w:color="auto" w:fill="FFFFFF"/>
          </w:tcPr>
          <w:p w14:paraId="177AF2C0" w14:textId="77777777" w:rsidR="00AF2D51" w:rsidRPr="00AA4CFB" w:rsidRDefault="00AF2D51" w:rsidP="00AF2D51">
            <w:pPr>
              <w:spacing w:after="120"/>
              <w:jc w:val="center"/>
              <w:rPr>
                <w:rFonts w:eastAsia="Times New Roman" w:cs="Times New Roman"/>
                <w:sz w:val="20"/>
              </w:rPr>
            </w:pPr>
            <w:r w:rsidRPr="00AA4CFB">
              <w:rPr>
                <w:sz w:val="20"/>
              </w:rPr>
              <w:t>50</w:t>
            </w:r>
          </w:p>
        </w:tc>
        <w:tc>
          <w:tcPr>
            <w:tcW w:w="2551" w:type="dxa"/>
            <w:tcBorders>
              <w:top w:val="single" w:sz="4" w:space="0" w:color="auto"/>
              <w:left w:val="nil"/>
              <w:bottom w:val="nil"/>
              <w:right w:val="nil"/>
            </w:tcBorders>
            <w:shd w:val="clear" w:color="auto" w:fill="FFFFFF"/>
          </w:tcPr>
          <w:p w14:paraId="62BF73A2" w14:textId="77777777" w:rsidR="00AF2D51" w:rsidRPr="00AA4CFB" w:rsidRDefault="00AF2D51" w:rsidP="00AF2D51">
            <w:pPr>
              <w:spacing w:after="120"/>
              <w:jc w:val="center"/>
              <w:rPr>
                <w:rFonts w:eastAsia="Times New Roman" w:cs="Times New Roman"/>
                <w:sz w:val="20"/>
              </w:rPr>
            </w:pPr>
            <w:r w:rsidRPr="00AA4CFB">
              <w:rPr>
                <w:sz w:val="20"/>
              </w:rPr>
              <w:t>25</w:t>
            </w:r>
          </w:p>
        </w:tc>
      </w:tr>
      <w:tr w:rsidR="00AF2D51" w:rsidRPr="00AA4CFB" w14:paraId="7050A635" w14:textId="77777777" w:rsidTr="00AF2D51">
        <w:trPr>
          <w:trHeight w:val="298"/>
        </w:trPr>
        <w:tc>
          <w:tcPr>
            <w:tcW w:w="1985" w:type="dxa"/>
            <w:tcBorders>
              <w:top w:val="nil"/>
              <w:left w:val="nil"/>
              <w:bottom w:val="nil"/>
              <w:right w:val="nil"/>
            </w:tcBorders>
            <w:shd w:val="clear" w:color="auto" w:fill="FFFFFF"/>
            <w:vAlign w:val="center"/>
          </w:tcPr>
          <w:p w14:paraId="2ADDDD78" w14:textId="77777777" w:rsidR="00AF2D51" w:rsidRPr="00AA4CFB" w:rsidRDefault="00AF2D51" w:rsidP="00AF2D51">
            <w:pPr>
              <w:spacing w:after="120"/>
              <w:rPr>
                <w:rFonts w:eastAsia="Times New Roman" w:cs="Times New Roman"/>
                <w:sz w:val="20"/>
              </w:rPr>
            </w:pPr>
            <w:r w:rsidRPr="00AA4CFB">
              <w:rPr>
                <w:sz w:val="20"/>
              </w:rPr>
              <w:t>1-ից մինչեւ 2</w:t>
            </w:r>
          </w:p>
        </w:tc>
        <w:tc>
          <w:tcPr>
            <w:tcW w:w="2835" w:type="dxa"/>
            <w:tcBorders>
              <w:top w:val="nil"/>
              <w:left w:val="nil"/>
              <w:bottom w:val="nil"/>
              <w:right w:val="nil"/>
            </w:tcBorders>
            <w:shd w:val="clear" w:color="auto" w:fill="FFFFFF"/>
            <w:vAlign w:val="center"/>
          </w:tcPr>
          <w:p w14:paraId="1C861824" w14:textId="77777777" w:rsidR="00AF2D51" w:rsidRPr="00AA4CFB" w:rsidRDefault="00AF2D51" w:rsidP="00AF2D51">
            <w:pPr>
              <w:spacing w:after="120"/>
              <w:jc w:val="center"/>
              <w:rPr>
                <w:rFonts w:eastAsia="Times New Roman" w:cs="Times New Roman"/>
                <w:sz w:val="20"/>
              </w:rPr>
            </w:pPr>
            <w:r w:rsidRPr="00AA4CFB">
              <w:rPr>
                <w:sz w:val="20"/>
              </w:rPr>
              <w:t>45</w:t>
            </w:r>
          </w:p>
        </w:tc>
        <w:tc>
          <w:tcPr>
            <w:tcW w:w="2551" w:type="dxa"/>
            <w:tcBorders>
              <w:top w:val="nil"/>
              <w:left w:val="nil"/>
              <w:bottom w:val="nil"/>
              <w:right w:val="nil"/>
            </w:tcBorders>
            <w:shd w:val="clear" w:color="auto" w:fill="FFFFFF"/>
            <w:vAlign w:val="center"/>
          </w:tcPr>
          <w:p w14:paraId="5F58E4DC" w14:textId="77777777" w:rsidR="00AF2D51" w:rsidRPr="00AA4CFB" w:rsidRDefault="00AF2D51" w:rsidP="00AF2D51">
            <w:pPr>
              <w:spacing w:after="120"/>
              <w:jc w:val="center"/>
              <w:rPr>
                <w:rFonts w:eastAsia="Times New Roman" w:cs="Times New Roman"/>
                <w:sz w:val="20"/>
              </w:rPr>
            </w:pPr>
            <w:r w:rsidRPr="00AA4CFB">
              <w:rPr>
                <w:sz w:val="20"/>
              </w:rPr>
              <w:t>20</w:t>
            </w:r>
          </w:p>
        </w:tc>
      </w:tr>
      <w:tr w:rsidR="00AF2D51" w:rsidRPr="00AA4CFB" w14:paraId="4E82241C" w14:textId="77777777" w:rsidTr="00AF2D51">
        <w:trPr>
          <w:trHeight w:val="312"/>
        </w:trPr>
        <w:tc>
          <w:tcPr>
            <w:tcW w:w="1985" w:type="dxa"/>
            <w:tcBorders>
              <w:top w:val="nil"/>
              <w:left w:val="nil"/>
              <w:bottom w:val="nil"/>
              <w:right w:val="nil"/>
            </w:tcBorders>
            <w:shd w:val="clear" w:color="auto" w:fill="FFFFFF"/>
          </w:tcPr>
          <w:p w14:paraId="61053ABC" w14:textId="77777777" w:rsidR="00AF2D51" w:rsidRPr="00AA4CFB" w:rsidRDefault="00AF2D51" w:rsidP="00AF2D51">
            <w:pPr>
              <w:spacing w:after="120"/>
              <w:rPr>
                <w:rFonts w:eastAsia="Times New Roman" w:cs="Times New Roman"/>
                <w:sz w:val="20"/>
              </w:rPr>
            </w:pPr>
            <w:r w:rsidRPr="00AA4CFB">
              <w:rPr>
                <w:sz w:val="20"/>
              </w:rPr>
              <w:t>2-ից մինչեւ 5</w:t>
            </w:r>
          </w:p>
        </w:tc>
        <w:tc>
          <w:tcPr>
            <w:tcW w:w="2835" w:type="dxa"/>
            <w:tcBorders>
              <w:top w:val="nil"/>
              <w:left w:val="nil"/>
              <w:bottom w:val="nil"/>
              <w:right w:val="nil"/>
            </w:tcBorders>
            <w:shd w:val="clear" w:color="auto" w:fill="FFFFFF"/>
          </w:tcPr>
          <w:p w14:paraId="20AB2553" w14:textId="77777777" w:rsidR="00AF2D51" w:rsidRPr="00AA4CFB" w:rsidRDefault="00AF2D51" w:rsidP="00AF2D51">
            <w:pPr>
              <w:spacing w:after="120"/>
              <w:jc w:val="center"/>
              <w:rPr>
                <w:rFonts w:eastAsia="Times New Roman" w:cs="Times New Roman"/>
                <w:sz w:val="20"/>
              </w:rPr>
            </w:pPr>
            <w:r w:rsidRPr="00AA4CFB">
              <w:rPr>
                <w:sz w:val="20"/>
              </w:rPr>
              <w:t>40</w:t>
            </w:r>
          </w:p>
        </w:tc>
        <w:tc>
          <w:tcPr>
            <w:tcW w:w="2551" w:type="dxa"/>
            <w:tcBorders>
              <w:top w:val="nil"/>
              <w:left w:val="nil"/>
              <w:bottom w:val="nil"/>
              <w:right w:val="nil"/>
            </w:tcBorders>
            <w:shd w:val="clear" w:color="auto" w:fill="FFFFFF"/>
          </w:tcPr>
          <w:p w14:paraId="60C3B1A0" w14:textId="77777777" w:rsidR="00AF2D51" w:rsidRPr="00AA4CFB" w:rsidRDefault="00AF2D51" w:rsidP="00AF2D51">
            <w:pPr>
              <w:spacing w:after="120"/>
              <w:jc w:val="center"/>
              <w:rPr>
                <w:rFonts w:eastAsia="Times New Roman" w:cs="Times New Roman"/>
                <w:sz w:val="20"/>
              </w:rPr>
            </w:pPr>
            <w:r w:rsidRPr="00AA4CFB">
              <w:rPr>
                <w:sz w:val="20"/>
              </w:rPr>
              <w:t>15</w:t>
            </w:r>
          </w:p>
        </w:tc>
      </w:tr>
      <w:tr w:rsidR="00AF2D51" w:rsidRPr="00AA4CFB" w14:paraId="6C9ACEB7" w14:textId="77777777" w:rsidTr="00AF2D51">
        <w:trPr>
          <w:trHeight w:val="312"/>
        </w:trPr>
        <w:tc>
          <w:tcPr>
            <w:tcW w:w="1985" w:type="dxa"/>
            <w:tcBorders>
              <w:top w:val="nil"/>
              <w:left w:val="nil"/>
              <w:bottom w:val="nil"/>
              <w:right w:val="nil"/>
            </w:tcBorders>
            <w:shd w:val="clear" w:color="auto" w:fill="FFFFFF"/>
          </w:tcPr>
          <w:p w14:paraId="71B02FF8" w14:textId="77777777" w:rsidR="00AF2D51" w:rsidRPr="00AA4CFB" w:rsidRDefault="00AF2D51" w:rsidP="00AF2D51">
            <w:pPr>
              <w:spacing w:after="120"/>
              <w:rPr>
                <w:rFonts w:eastAsia="Times New Roman" w:cs="Times New Roman"/>
                <w:sz w:val="20"/>
              </w:rPr>
            </w:pPr>
            <w:r w:rsidRPr="00AA4CFB">
              <w:rPr>
                <w:sz w:val="20"/>
              </w:rPr>
              <w:t>5-ից մինչեւ 10</w:t>
            </w:r>
          </w:p>
        </w:tc>
        <w:tc>
          <w:tcPr>
            <w:tcW w:w="2835" w:type="dxa"/>
            <w:tcBorders>
              <w:top w:val="nil"/>
              <w:left w:val="nil"/>
              <w:bottom w:val="nil"/>
              <w:right w:val="nil"/>
            </w:tcBorders>
            <w:shd w:val="clear" w:color="auto" w:fill="FFFFFF"/>
          </w:tcPr>
          <w:p w14:paraId="0F2D2938" w14:textId="77777777" w:rsidR="00AF2D51" w:rsidRPr="00AA4CFB" w:rsidRDefault="00AF2D51" w:rsidP="00AF2D51">
            <w:pPr>
              <w:spacing w:after="120"/>
              <w:jc w:val="center"/>
              <w:rPr>
                <w:rFonts w:eastAsia="Times New Roman" w:cs="Times New Roman"/>
                <w:sz w:val="20"/>
              </w:rPr>
            </w:pPr>
            <w:r w:rsidRPr="00AA4CFB">
              <w:rPr>
                <w:sz w:val="20"/>
              </w:rPr>
              <w:t>35</w:t>
            </w:r>
          </w:p>
        </w:tc>
        <w:tc>
          <w:tcPr>
            <w:tcW w:w="2551" w:type="dxa"/>
            <w:tcBorders>
              <w:top w:val="nil"/>
              <w:left w:val="nil"/>
              <w:bottom w:val="nil"/>
              <w:right w:val="nil"/>
            </w:tcBorders>
            <w:shd w:val="clear" w:color="auto" w:fill="FFFFFF"/>
          </w:tcPr>
          <w:p w14:paraId="52930104" w14:textId="77777777" w:rsidR="00AF2D51" w:rsidRPr="00AA4CFB" w:rsidRDefault="00AF2D51" w:rsidP="00AF2D51">
            <w:pPr>
              <w:spacing w:after="120"/>
              <w:jc w:val="center"/>
              <w:rPr>
                <w:rFonts w:eastAsia="Times New Roman" w:cs="Times New Roman"/>
                <w:sz w:val="20"/>
              </w:rPr>
            </w:pPr>
            <w:r w:rsidRPr="00AA4CFB">
              <w:rPr>
                <w:sz w:val="20"/>
              </w:rPr>
              <w:t>13</w:t>
            </w:r>
          </w:p>
        </w:tc>
      </w:tr>
      <w:tr w:rsidR="00AF2D51" w:rsidRPr="00AA4CFB" w14:paraId="2E7B4812" w14:textId="77777777" w:rsidTr="00AF2D51">
        <w:trPr>
          <w:trHeight w:val="302"/>
        </w:trPr>
        <w:tc>
          <w:tcPr>
            <w:tcW w:w="1985" w:type="dxa"/>
            <w:tcBorders>
              <w:top w:val="nil"/>
              <w:left w:val="nil"/>
              <w:bottom w:val="nil"/>
              <w:right w:val="nil"/>
            </w:tcBorders>
            <w:shd w:val="clear" w:color="auto" w:fill="FFFFFF"/>
            <w:vAlign w:val="center"/>
          </w:tcPr>
          <w:p w14:paraId="09F941A3" w14:textId="77777777" w:rsidR="00AF2D51" w:rsidRPr="00AA4CFB" w:rsidRDefault="00AF2D51" w:rsidP="00AF2D51">
            <w:pPr>
              <w:spacing w:after="120"/>
              <w:rPr>
                <w:rFonts w:eastAsia="Times New Roman" w:cs="Times New Roman"/>
                <w:sz w:val="20"/>
              </w:rPr>
            </w:pPr>
            <w:r w:rsidRPr="00AA4CFB">
              <w:rPr>
                <w:sz w:val="20"/>
              </w:rPr>
              <w:t>10-ից մինչեւ 20</w:t>
            </w:r>
          </w:p>
        </w:tc>
        <w:tc>
          <w:tcPr>
            <w:tcW w:w="2835" w:type="dxa"/>
            <w:tcBorders>
              <w:top w:val="nil"/>
              <w:left w:val="nil"/>
              <w:bottom w:val="nil"/>
              <w:right w:val="nil"/>
            </w:tcBorders>
            <w:shd w:val="clear" w:color="auto" w:fill="FFFFFF"/>
            <w:vAlign w:val="center"/>
          </w:tcPr>
          <w:p w14:paraId="3A57C722" w14:textId="77777777" w:rsidR="00AF2D51" w:rsidRPr="00AA4CFB" w:rsidRDefault="00AF2D51" w:rsidP="00AF2D51">
            <w:pPr>
              <w:spacing w:after="120"/>
              <w:jc w:val="center"/>
              <w:rPr>
                <w:rFonts w:eastAsia="Times New Roman" w:cs="Times New Roman"/>
                <w:sz w:val="20"/>
              </w:rPr>
            </w:pPr>
            <w:r w:rsidRPr="00AA4CFB">
              <w:rPr>
                <w:sz w:val="20"/>
              </w:rPr>
              <w:t>30</w:t>
            </w:r>
          </w:p>
        </w:tc>
        <w:tc>
          <w:tcPr>
            <w:tcW w:w="2551" w:type="dxa"/>
            <w:tcBorders>
              <w:top w:val="nil"/>
              <w:left w:val="nil"/>
              <w:bottom w:val="nil"/>
              <w:right w:val="nil"/>
            </w:tcBorders>
            <w:shd w:val="clear" w:color="auto" w:fill="FFFFFF"/>
            <w:vAlign w:val="center"/>
          </w:tcPr>
          <w:p w14:paraId="547F30AD" w14:textId="77777777" w:rsidR="00AF2D51" w:rsidRPr="00AA4CFB" w:rsidRDefault="00AF2D51" w:rsidP="00AF2D51">
            <w:pPr>
              <w:spacing w:after="120"/>
              <w:jc w:val="center"/>
              <w:rPr>
                <w:rFonts w:eastAsia="Times New Roman" w:cs="Times New Roman"/>
                <w:sz w:val="20"/>
              </w:rPr>
            </w:pPr>
            <w:r w:rsidRPr="00AA4CFB">
              <w:rPr>
                <w:sz w:val="20"/>
              </w:rPr>
              <w:t>12</w:t>
            </w:r>
          </w:p>
        </w:tc>
      </w:tr>
      <w:tr w:rsidR="00AF2D51" w:rsidRPr="00AA4CFB" w14:paraId="55AFF1FE" w14:textId="77777777" w:rsidTr="00AF2D51">
        <w:trPr>
          <w:trHeight w:val="307"/>
        </w:trPr>
        <w:tc>
          <w:tcPr>
            <w:tcW w:w="1985" w:type="dxa"/>
            <w:tcBorders>
              <w:top w:val="nil"/>
              <w:left w:val="nil"/>
              <w:bottom w:val="single" w:sz="4" w:space="0" w:color="auto"/>
              <w:right w:val="nil"/>
            </w:tcBorders>
            <w:shd w:val="clear" w:color="auto" w:fill="FFFFFF"/>
            <w:vAlign w:val="center"/>
          </w:tcPr>
          <w:p w14:paraId="4A88B19B" w14:textId="77777777" w:rsidR="00AF2D51" w:rsidRPr="00AA4CFB" w:rsidRDefault="00AF2D51" w:rsidP="00AF2D51">
            <w:pPr>
              <w:spacing w:after="120"/>
              <w:rPr>
                <w:rFonts w:eastAsia="Times New Roman" w:cs="Times New Roman"/>
                <w:sz w:val="20"/>
              </w:rPr>
            </w:pPr>
            <w:r w:rsidRPr="00AA4CFB">
              <w:rPr>
                <w:sz w:val="20"/>
              </w:rPr>
              <w:t>20-ից ավելի</w:t>
            </w:r>
          </w:p>
        </w:tc>
        <w:tc>
          <w:tcPr>
            <w:tcW w:w="2835" w:type="dxa"/>
            <w:tcBorders>
              <w:top w:val="nil"/>
              <w:left w:val="nil"/>
              <w:bottom w:val="single" w:sz="4" w:space="0" w:color="auto"/>
              <w:right w:val="nil"/>
            </w:tcBorders>
            <w:shd w:val="clear" w:color="auto" w:fill="FFFFFF"/>
            <w:vAlign w:val="center"/>
          </w:tcPr>
          <w:p w14:paraId="791263B1" w14:textId="77777777" w:rsidR="00AF2D51" w:rsidRPr="00AA4CFB" w:rsidRDefault="00AF2D51" w:rsidP="00AF2D51">
            <w:pPr>
              <w:spacing w:after="120"/>
              <w:jc w:val="center"/>
              <w:rPr>
                <w:rFonts w:eastAsia="Times New Roman" w:cs="Times New Roman"/>
                <w:sz w:val="20"/>
              </w:rPr>
            </w:pPr>
            <w:r w:rsidRPr="00AA4CFB">
              <w:rPr>
                <w:sz w:val="20"/>
              </w:rPr>
              <w:t>25</w:t>
            </w:r>
          </w:p>
        </w:tc>
        <w:tc>
          <w:tcPr>
            <w:tcW w:w="2551" w:type="dxa"/>
            <w:tcBorders>
              <w:top w:val="nil"/>
              <w:left w:val="nil"/>
              <w:bottom w:val="single" w:sz="4" w:space="0" w:color="auto"/>
              <w:right w:val="nil"/>
            </w:tcBorders>
            <w:shd w:val="clear" w:color="auto" w:fill="FFFFFF"/>
            <w:vAlign w:val="center"/>
          </w:tcPr>
          <w:p w14:paraId="51877C14" w14:textId="77777777" w:rsidR="00AF2D51" w:rsidRPr="00AA4CFB" w:rsidRDefault="00AF2D51" w:rsidP="00AF2D51">
            <w:pPr>
              <w:spacing w:after="120"/>
              <w:jc w:val="center"/>
              <w:rPr>
                <w:rFonts w:eastAsia="Times New Roman" w:cs="Times New Roman"/>
                <w:sz w:val="20"/>
              </w:rPr>
            </w:pPr>
            <w:r w:rsidRPr="00AA4CFB">
              <w:rPr>
                <w:sz w:val="20"/>
              </w:rPr>
              <w:t>10</w:t>
            </w:r>
          </w:p>
        </w:tc>
      </w:tr>
    </w:tbl>
    <w:p w14:paraId="59E3783C" w14:textId="77777777" w:rsidR="00AF2D51" w:rsidRPr="00394A09" w:rsidRDefault="00AF2D51" w:rsidP="001827DA">
      <w:pPr>
        <w:tabs>
          <w:tab w:val="left" w:pos="2568"/>
        </w:tabs>
        <w:spacing w:after="160" w:line="360" w:lineRule="auto"/>
        <w:ind w:firstLine="567"/>
        <w:jc w:val="center"/>
      </w:pPr>
    </w:p>
    <w:p w14:paraId="06888345"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Մեթոդիկան։ </w:t>
      </w:r>
      <w:r w:rsidRPr="00394A09">
        <w:rPr>
          <w:rFonts w:ascii="Sylfaen" w:hAnsi="Sylfaen"/>
          <w:sz w:val="24"/>
          <w:szCs w:val="24"/>
        </w:rPr>
        <w:t>Նմուշը սպեկտրալուսաչափի մեջ տեղադրում են այնպես, որ դրա գլանաձ</w:t>
      </w:r>
      <w:r>
        <w:rPr>
          <w:rFonts w:ascii="Sylfaen" w:hAnsi="Sylfaen"/>
          <w:sz w:val="24"/>
          <w:szCs w:val="24"/>
        </w:rPr>
        <w:t>եւ</w:t>
      </w:r>
      <w:r w:rsidRPr="00394A09">
        <w:rPr>
          <w:rFonts w:ascii="Sylfaen" w:hAnsi="Sylfaen"/>
          <w:sz w:val="24"/>
          <w:szCs w:val="24"/>
        </w:rPr>
        <w:t xml:space="preserve"> առանցքը զուգահեռ լինի ճեղքվածքին, որպեսզի անցնող լույսի ճառագայթը ուղղահայաց լինի ապակու մակերեւույթին </w:t>
      </w:r>
      <w:r>
        <w:rPr>
          <w:rFonts w:ascii="Sylfaen" w:hAnsi="Sylfaen"/>
          <w:sz w:val="24"/>
          <w:szCs w:val="24"/>
        </w:rPr>
        <w:t>եւ</w:t>
      </w:r>
      <w:r w:rsidRPr="00394A09">
        <w:rPr>
          <w:rFonts w:ascii="Sylfaen" w:hAnsi="Sylfaen"/>
          <w:sz w:val="24"/>
          <w:szCs w:val="24"/>
        </w:rPr>
        <w:t xml:space="preserve"> անդրադարձման </w:t>
      </w:r>
      <w:r w:rsidRPr="00394A09">
        <w:rPr>
          <w:rFonts w:ascii="Sylfaen" w:hAnsi="Sylfaen"/>
          <w:sz w:val="24"/>
          <w:szCs w:val="24"/>
        </w:rPr>
        <w:lastRenderedPageBreak/>
        <w:t>պատճառով առաջացած կորուստները հասցվեն նվազագույնի: Չափում են նմուշի լուսանցանելիությունը 290 նմ-ից մինչ</w:t>
      </w:r>
      <w:r>
        <w:rPr>
          <w:rFonts w:ascii="Sylfaen" w:hAnsi="Sylfaen"/>
          <w:sz w:val="24"/>
          <w:szCs w:val="24"/>
        </w:rPr>
        <w:t>եւ</w:t>
      </w:r>
      <w:r w:rsidRPr="00394A09">
        <w:rPr>
          <w:rFonts w:ascii="Sylfaen" w:hAnsi="Sylfaen"/>
          <w:sz w:val="24"/>
          <w:szCs w:val="24"/>
        </w:rPr>
        <w:t xml:space="preserve"> 450 նմ միջակայքում՝ անդադար կամ 20 նմ դադարներով:</w:t>
      </w:r>
    </w:p>
    <w:p w14:paraId="3E20B00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Պարունակության սահմանները։ </w:t>
      </w:r>
      <w:r w:rsidRPr="00394A09">
        <w:rPr>
          <w:rFonts w:ascii="Sylfaen" w:hAnsi="Sylfaen"/>
          <w:sz w:val="24"/>
          <w:szCs w:val="24"/>
        </w:rPr>
        <w:t>Պարենտերալ կիրառման համար չնախատեսված դեղապատրաստուկների համար օգտագործվող գունավորված ապակուց փաթեթվածքների թույլատրելի լուսանցանելիությունը չպետք է գերազանցի 10 %-ը՝ 290 նմ-ից մինչ</w:t>
      </w:r>
      <w:r>
        <w:rPr>
          <w:rFonts w:ascii="Sylfaen" w:hAnsi="Sylfaen"/>
          <w:sz w:val="24"/>
          <w:szCs w:val="24"/>
        </w:rPr>
        <w:t>եւ</w:t>
      </w:r>
      <w:r w:rsidRPr="00394A09">
        <w:rPr>
          <w:rFonts w:ascii="Sylfaen" w:hAnsi="Sylfaen"/>
          <w:sz w:val="24"/>
          <w:szCs w:val="24"/>
        </w:rPr>
        <w:t xml:space="preserve"> 450 նմ միջակայքում ալիքի ցանկացած երկարության դեպքում՝ անկախ ապակյա փաթեթվածքի տեսակից </w:t>
      </w:r>
      <w:r>
        <w:rPr>
          <w:rFonts w:ascii="Sylfaen" w:hAnsi="Sylfaen"/>
          <w:sz w:val="24"/>
          <w:szCs w:val="24"/>
        </w:rPr>
        <w:t>եւ</w:t>
      </w:r>
      <w:r w:rsidRPr="00394A09">
        <w:rPr>
          <w:rFonts w:ascii="Sylfaen" w:hAnsi="Sylfaen"/>
          <w:sz w:val="24"/>
          <w:szCs w:val="24"/>
        </w:rPr>
        <w:t xml:space="preserve"> ծավալից:</w:t>
      </w:r>
    </w:p>
    <w:p w14:paraId="070CEA3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Պարենտերալ կիրառման համար նախատեսված դեղապատրաստուկների համար օգտագործվող գունավորված ապակուց փաթեթվածքների համար թույլատրելի լուսանցանելիությունը չպետք է գերազանցի 2.4.2.2-5 աղյուսակում բերված սահմանները:</w:t>
      </w:r>
    </w:p>
    <w:p w14:paraId="1581D6E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Հավելված</w:t>
      </w:r>
      <w:r w:rsidRPr="00394A09">
        <w:rPr>
          <w:rFonts w:ascii="Sylfaen" w:hAnsi="Sylfaen"/>
          <w:sz w:val="24"/>
          <w:szCs w:val="24"/>
        </w:rPr>
        <w:t>՝ Մակերեւութային հիդրոլիտիկ կայունության փորձարկում՝ բոցային ատոմաաբսորբման սպեկտրաչափով (ԲԱԱՍ) որոշումը:</w:t>
      </w:r>
    </w:p>
    <w:p w14:paraId="311E7273" w14:textId="77777777" w:rsidR="00AF2D51" w:rsidRPr="00394A09" w:rsidRDefault="00AF2D51" w:rsidP="001827DA">
      <w:pPr>
        <w:spacing w:after="160" w:line="360" w:lineRule="auto"/>
        <w:ind w:firstLine="567"/>
        <w:jc w:val="both"/>
      </w:pPr>
      <w:r w:rsidRPr="00E36B76">
        <w:rPr>
          <w:i/>
          <w:spacing w:val="-4"/>
        </w:rPr>
        <w:t>I եւ II տիպերի ապակու մակերեւութային հիդրոլիտիկ կայունությունը կարող է որոշվել</w:t>
      </w:r>
      <w:r w:rsidRPr="00394A09">
        <w:rPr>
          <w:i/>
        </w:rPr>
        <w:t xml:space="preserve"> ալկալիական լուծույթների անալիզով՝ ԲԱԱՍ մեթոդով ապակու ալկալահանումից հետո: Հաստատված է, որ օքսիդների տեսքով ապակու մեջ առկա մի շարք քիմիական տարրեր </w:t>
      </w:r>
      <w:r w:rsidRPr="00394A09">
        <w:t xml:space="preserve">ազդում են լուծույթի ալկալիության վրա, ինչն էլ օգտագործվում է տվյալ մեթոդով ալկալիության համարժեքը որոշելու համար: Սպեկտրաչափական մեթոդն առավելություն ունի, քանի որ թույլ է տալիս օգտագործել դուրսբերման զգալիորեն ավելի փոքր ծավալներ </w:t>
      </w:r>
      <w:r>
        <w:t>եւ</w:t>
      </w:r>
      <w:r w:rsidRPr="00394A09">
        <w:t xml:space="preserve"> կարող է կիրառվել փոքր անհատական փաթեթվածքների անալիզի համար: Դա թույլ է տալիս օբյեկտիվորեն գնահատել կոնկրետ այն խմբաքանակի փաթեթվածքների որակը, որում նման ցուցանիշը կարող է կրիտիկական լինել: Երկու մեթոդները չեն կարող փոխադարձ փոխարինելի համարվել, </w:t>
      </w:r>
      <w:r>
        <w:t>եւ</w:t>
      </w:r>
      <w:r w:rsidRPr="00394A09">
        <w:t xml:space="preserve"> այդ չափումների արդյունքները համարժեք չեն տիտրաչափության մեթոդով ստացված արժեքներին: Երկու մեթոդների միջ</w:t>
      </w:r>
      <w:r>
        <w:t>եւ</w:t>
      </w:r>
      <w:r w:rsidRPr="00394A09">
        <w:t xml:space="preserve"> հարաբերակցությունը (կոռելյացիա) կախված է ապակու տեսակից, ինչպես նա</w:t>
      </w:r>
      <w:r>
        <w:t>եւ</w:t>
      </w:r>
      <w:r w:rsidRPr="00394A09">
        <w:t xml:space="preserve"> փաթեթվածքի չափից </w:t>
      </w:r>
      <w:r>
        <w:t>եւ</w:t>
      </w:r>
      <w:r w:rsidRPr="00394A09">
        <w:t xml:space="preserve"> ձ</w:t>
      </w:r>
      <w:r>
        <w:t>եւ</w:t>
      </w:r>
      <w:r w:rsidRPr="00394A09">
        <w:t>ից:</w:t>
      </w:r>
    </w:p>
    <w:p w14:paraId="78197C64"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lastRenderedPageBreak/>
        <w:t xml:space="preserve">Տիտրաչափական մեթոդը Միության Դեղագրքի ստանդարտ մեթոդն է. սպեկտրաչափական մեթոդը կարող է օգտագործվել անհրաժեշտության դեպքում </w:t>
      </w:r>
      <w:r>
        <w:rPr>
          <w:rFonts w:ascii="Sylfaen" w:hAnsi="Sylfaen"/>
          <w:i/>
          <w:sz w:val="24"/>
          <w:szCs w:val="24"/>
        </w:rPr>
        <w:t>եւ</w:t>
      </w:r>
      <w:r w:rsidRPr="00394A09">
        <w:rPr>
          <w:rFonts w:ascii="Sylfaen" w:hAnsi="Sylfaen"/>
          <w:i/>
          <w:sz w:val="24"/>
          <w:szCs w:val="24"/>
        </w:rPr>
        <w:t xml:space="preserve"> հիմնավորված դեպքերում:</w:t>
      </w:r>
    </w:p>
    <w:p w14:paraId="04C607A3" w14:textId="77777777" w:rsidR="00AF2D51" w:rsidRPr="00E36B76" w:rsidRDefault="00AF2D51" w:rsidP="001827DA">
      <w:pPr>
        <w:pStyle w:val="a0"/>
        <w:shd w:val="clear" w:color="auto" w:fill="auto"/>
        <w:spacing w:after="160" w:line="360" w:lineRule="auto"/>
        <w:ind w:firstLine="567"/>
        <w:jc w:val="both"/>
        <w:rPr>
          <w:rFonts w:ascii="Sylfaen" w:hAnsi="Sylfaen" w:cs="Sylfaen"/>
          <w:spacing w:val="-4"/>
          <w:sz w:val="24"/>
          <w:szCs w:val="24"/>
        </w:rPr>
      </w:pPr>
      <w:r w:rsidRPr="00E36B76">
        <w:rPr>
          <w:rFonts w:ascii="Sylfaen" w:hAnsi="Sylfaen"/>
          <w:i/>
          <w:spacing w:val="-4"/>
          <w:sz w:val="24"/>
          <w:szCs w:val="24"/>
        </w:rPr>
        <w:t>Այս տեսակի անալիզի համար համապատասխան մեթոդիկան ներկայացված է ստորեւ:</w:t>
      </w:r>
    </w:p>
    <w:p w14:paraId="3C1F9CB5"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Որոշումն իրականացնում են նախկինում չօգտագործված փաթեթվածքներով: Փորձարկումների համար փաթեթվածքների քանակը ներկայացված է 2.4.2.2-6 աղյուսակում:</w:t>
      </w:r>
    </w:p>
    <w:p w14:paraId="23CB90D7" w14:textId="77777777" w:rsidR="00AF2D51" w:rsidRPr="00394A09" w:rsidRDefault="00AF2D51" w:rsidP="001827DA">
      <w:pPr>
        <w:pStyle w:val="a0"/>
        <w:shd w:val="clear" w:color="auto" w:fill="auto"/>
        <w:spacing w:after="160" w:line="360" w:lineRule="auto"/>
        <w:ind w:firstLine="567"/>
        <w:jc w:val="both"/>
        <w:rPr>
          <w:rFonts w:ascii="Sylfaen" w:hAnsi="Sylfaen" w:cs="Sylfaen"/>
          <w:spacing w:val="-4"/>
          <w:sz w:val="24"/>
          <w:szCs w:val="24"/>
        </w:rPr>
      </w:pPr>
      <w:r w:rsidRPr="00394A09">
        <w:rPr>
          <w:rFonts w:ascii="Sylfaen" w:hAnsi="Sylfaen"/>
          <w:sz w:val="24"/>
          <w:szCs w:val="24"/>
        </w:rPr>
        <w:t xml:space="preserve">Լցավորման փաթեթվածքի մաքրման, լցավորման </w:t>
      </w:r>
      <w:r>
        <w:rPr>
          <w:rFonts w:ascii="Sylfaen" w:hAnsi="Sylfaen"/>
          <w:sz w:val="24"/>
          <w:szCs w:val="24"/>
        </w:rPr>
        <w:t>եւ</w:t>
      </w:r>
      <w:r w:rsidRPr="00394A09">
        <w:rPr>
          <w:rFonts w:ascii="Sylfaen" w:hAnsi="Sylfaen"/>
          <w:sz w:val="24"/>
          <w:szCs w:val="24"/>
        </w:rPr>
        <w:t xml:space="preserve"> տաքացման ծավալի որոշման մեթոդիկան ներկայացված է </w:t>
      </w:r>
      <w:r w:rsidRPr="00394A09">
        <w:rPr>
          <w:rFonts w:ascii="Sylfaen" w:hAnsi="Sylfaen"/>
          <w:i/>
          <w:sz w:val="24"/>
          <w:szCs w:val="24"/>
        </w:rPr>
        <w:t>Հիդրոլիտիկ կայունության</w:t>
      </w:r>
      <w:r w:rsidRPr="00394A09">
        <w:rPr>
          <w:rFonts w:ascii="Sylfaen" w:hAnsi="Sylfaen"/>
          <w:sz w:val="24"/>
          <w:szCs w:val="24"/>
        </w:rPr>
        <w:t xml:space="preserve"> փորձարկման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Ա փորձարկման</w:t>
      </w:r>
      <w:r w:rsidRPr="00394A09">
        <w:rPr>
          <w:rFonts w:ascii="Sylfaen" w:hAnsi="Sylfaen"/>
          <w:sz w:val="24"/>
          <w:szCs w:val="24"/>
        </w:rPr>
        <w:t xml:space="preserve"> մեջ:</w:t>
      </w:r>
    </w:p>
    <w:p w14:paraId="53804DB7"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p>
    <w:p w14:paraId="7C323580" w14:textId="77777777" w:rsidR="00AF2D51" w:rsidRPr="00394A09" w:rsidRDefault="00AF2D51" w:rsidP="001827DA">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ԼՈՒԾՈՒՅԹՆԵՐԸ</w:t>
      </w:r>
    </w:p>
    <w:p w14:paraId="2D3B6F67" w14:textId="77777777" w:rsidR="00AF2D51" w:rsidRPr="00394A09" w:rsidRDefault="00AF2D51" w:rsidP="001827DA">
      <w:pPr>
        <w:pStyle w:val="a0"/>
        <w:shd w:val="clear" w:color="auto" w:fill="auto"/>
        <w:spacing w:after="160" w:line="360" w:lineRule="auto"/>
        <w:ind w:firstLine="567"/>
        <w:jc w:val="both"/>
        <w:rPr>
          <w:rFonts w:ascii="Sylfaen" w:hAnsi="Sylfaen" w:cs="Sylfaen"/>
          <w:sz w:val="24"/>
          <w:szCs w:val="24"/>
        </w:rPr>
      </w:pPr>
      <w:r w:rsidRPr="00E36B76">
        <w:rPr>
          <w:rFonts w:ascii="Sylfaen" w:hAnsi="Sylfaen"/>
          <w:i/>
          <w:spacing w:val="-4"/>
          <w:sz w:val="24"/>
          <w:szCs w:val="24"/>
        </w:rPr>
        <w:t>Սպեկտրաքիմիական բուֆերային լուծույթ: Ռ ցեզիումի քլորիդի</w:t>
      </w:r>
      <w:r w:rsidRPr="00E36B76">
        <w:rPr>
          <w:rFonts w:ascii="Sylfaen" w:hAnsi="Sylfaen"/>
          <w:spacing w:val="-4"/>
          <w:sz w:val="24"/>
          <w:szCs w:val="24"/>
        </w:rPr>
        <w:t xml:space="preserve"> 80 գ լուծում են </w:t>
      </w:r>
      <w:r w:rsidRPr="00E36B76">
        <w:rPr>
          <w:rFonts w:ascii="Sylfaen" w:hAnsi="Sylfaen"/>
          <w:i/>
          <w:spacing w:val="-4"/>
          <w:sz w:val="24"/>
          <w:szCs w:val="24"/>
        </w:rPr>
        <w:t>Ռ1 ջրի</w:t>
      </w:r>
      <w:r w:rsidRPr="00E36B76">
        <w:rPr>
          <w:rFonts w:ascii="Sylfaen" w:hAnsi="Sylfaen"/>
          <w:spacing w:val="-4"/>
          <w:sz w:val="24"/>
          <w:szCs w:val="24"/>
        </w:rPr>
        <w:t xml:space="preserve"> մոտ 300 մլ-ի մեջ, ավելացնում են </w:t>
      </w:r>
      <w:r w:rsidRPr="00E36B76">
        <w:rPr>
          <w:rFonts w:ascii="Sylfaen" w:hAnsi="Sylfaen"/>
          <w:i/>
          <w:spacing w:val="-4"/>
          <w:sz w:val="24"/>
          <w:szCs w:val="24"/>
        </w:rPr>
        <w:t>6 Մ Ռ քլորաջրածնային թթվի</w:t>
      </w:r>
      <w:r w:rsidRPr="00E36B76">
        <w:rPr>
          <w:rFonts w:ascii="Sylfaen" w:hAnsi="Sylfaen"/>
          <w:spacing w:val="-4"/>
          <w:sz w:val="24"/>
          <w:szCs w:val="24"/>
        </w:rPr>
        <w:t xml:space="preserve"> 10 մլ եւ </w:t>
      </w:r>
      <w:r w:rsidRPr="00E36B76">
        <w:rPr>
          <w:rFonts w:ascii="Sylfaen" w:hAnsi="Sylfaen"/>
          <w:i/>
          <w:spacing w:val="-4"/>
          <w:sz w:val="24"/>
          <w:szCs w:val="24"/>
        </w:rPr>
        <w:t>Ռ1 ջրով</w:t>
      </w:r>
      <w:r w:rsidRPr="00E36B76">
        <w:rPr>
          <w:rFonts w:ascii="Sylfaen" w:hAnsi="Sylfaen"/>
          <w:spacing w:val="-4"/>
          <w:sz w:val="24"/>
          <w:szCs w:val="24"/>
        </w:rPr>
        <w:t xml:space="preserve"> հասցնում</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1000 մլ-ը ու խառնում:</w:t>
      </w:r>
    </w:p>
    <w:p w14:paraId="5C2D9EA7" w14:textId="77777777" w:rsidR="00AF2D51" w:rsidRPr="00394A09" w:rsidRDefault="00AF2D51" w:rsidP="001827DA">
      <w:pPr>
        <w:pStyle w:val="a0"/>
        <w:shd w:val="clear" w:color="auto" w:fill="auto"/>
        <w:spacing w:after="160" w:line="360" w:lineRule="auto"/>
        <w:ind w:firstLine="567"/>
        <w:rPr>
          <w:rFonts w:ascii="Sylfaen" w:hAnsi="Sylfaen" w:cs="Sylfaen"/>
          <w:sz w:val="24"/>
          <w:szCs w:val="24"/>
        </w:rPr>
      </w:pPr>
      <w:r w:rsidRPr="00394A09">
        <w:rPr>
          <w:rFonts w:ascii="Sylfaen" w:hAnsi="Sylfaen"/>
          <w:i/>
          <w:sz w:val="24"/>
          <w:szCs w:val="24"/>
        </w:rPr>
        <w:t>Հիմնական լուծույթները՝</w:t>
      </w:r>
    </w:p>
    <w:p w14:paraId="5D2C5D82" w14:textId="77777777" w:rsidR="00AF2D51" w:rsidRPr="00394A09" w:rsidRDefault="00AF2D51" w:rsidP="001827DA">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նատրիումի օքսիդի լուծույթ, </w:t>
      </w:r>
      <w:r w:rsidRPr="00394A09">
        <w:rPr>
          <w:rFonts w:ascii="Sylfaen" w:hAnsi="Sylfaen"/>
          <w:i/>
          <w:sz w:val="24"/>
          <w:szCs w:val="24"/>
        </w:rPr>
        <w:t>С</w:t>
      </w:r>
      <w:r w:rsidRPr="00394A09">
        <w:rPr>
          <w:rFonts w:ascii="Sylfaen" w:hAnsi="Sylfaen"/>
          <w:sz w:val="24"/>
          <w:szCs w:val="24"/>
        </w:rPr>
        <w:t>(Na</w:t>
      </w:r>
      <w:r w:rsidRPr="00394A09">
        <w:rPr>
          <w:rFonts w:ascii="Sylfaen" w:hAnsi="Sylfaen"/>
          <w:sz w:val="24"/>
          <w:szCs w:val="24"/>
          <w:vertAlign w:val="subscript"/>
        </w:rPr>
        <w:t>2</w:t>
      </w:r>
      <w:r w:rsidRPr="00394A09">
        <w:rPr>
          <w:rFonts w:ascii="Sylfaen" w:hAnsi="Sylfaen"/>
          <w:sz w:val="24"/>
          <w:szCs w:val="24"/>
        </w:rPr>
        <w:t>О)՝ 1 մգ/մլ.</w:t>
      </w:r>
    </w:p>
    <w:p w14:paraId="0A0C3333" w14:textId="77777777" w:rsidR="00AF2D51" w:rsidRPr="00394A09" w:rsidRDefault="00AF2D51" w:rsidP="001827DA">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կալիումի օքսիդի լուծույթ, </w:t>
      </w:r>
      <w:r w:rsidRPr="00394A09">
        <w:rPr>
          <w:rFonts w:ascii="Sylfaen" w:hAnsi="Sylfaen"/>
          <w:i/>
          <w:sz w:val="24"/>
          <w:szCs w:val="24"/>
        </w:rPr>
        <w:t>С</w:t>
      </w:r>
      <w:r w:rsidRPr="00394A09">
        <w:rPr>
          <w:rFonts w:ascii="Sylfaen" w:hAnsi="Sylfaen"/>
          <w:sz w:val="24"/>
          <w:szCs w:val="24"/>
        </w:rPr>
        <w:t>(К</w:t>
      </w:r>
      <w:r w:rsidRPr="00394A09">
        <w:rPr>
          <w:rFonts w:ascii="Sylfaen" w:hAnsi="Sylfaen"/>
          <w:sz w:val="24"/>
          <w:szCs w:val="24"/>
          <w:vertAlign w:val="subscript"/>
        </w:rPr>
        <w:t>2</w:t>
      </w:r>
      <w:r w:rsidRPr="00394A09">
        <w:rPr>
          <w:rFonts w:ascii="Sylfaen" w:hAnsi="Sylfaen"/>
          <w:sz w:val="24"/>
          <w:szCs w:val="24"/>
        </w:rPr>
        <w:t>О)՝ 1 մգ/մլ.</w:t>
      </w:r>
    </w:p>
    <w:p w14:paraId="1114DF62" w14:textId="77777777" w:rsidR="00AF2D51" w:rsidRPr="00394A09" w:rsidRDefault="00AF2D51" w:rsidP="00AF2D51">
      <w:pPr>
        <w:pStyle w:val="a0"/>
        <w:shd w:val="clear" w:color="auto" w:fill="auto"/>
        <w:tabs>
          <w:tab w:val="left" w:pos="1134"/>
        </w:tabs>
        <w:spacing w:after="160" w:line="341"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կալցիումի օքսիդի լուծույթ, </w:t>
      </w:r>
      <w:r w:rsidRPr="00394A09">
        <w:rPr>
          <w:rFonts w:ascii="Sylfaen" w:hAnsi="Sylfaen"/>
          <w:i/>
          <w:sz w:val="24"/>
          <w:szCs w:val="24"/>
        </w:rPr>
        <w:t>С</w:t>
      </w:r>
      <w:r w:rsidRPr="00394A09">
        <w:rPr>
          <w:rFonts w:ascii="Sylfaen" w:hAnsi="Sylfaen"/>
          <w:sz w:val="24"/>
          <w:szCs w:val="24"/>
        </w:rPr>
        <w:t>(СаО)՝ 1 մգ/մլ:</w:t>
      </w:r>
    </w:p>
    <w:p w14:paraId="68CA5A63" w14:textId="77777777" w:rsidR="001827DA" w:rsidRDefault="001827DA">
      <w:pPr>
        <w:rPr>
          <w:rFonts w:eastAsia="Times New Roman" w:cs="Times New Roman"/>
        </w:rPr>
      </w:pPr>
      <w:r>
        <w:br w:type="page"/>
      </w:r>
    </w:p>
    <w:p w14:paraId="35FA731D" w14:textId="77777777" w:rsidR="00AF2D51" w:rsidRPr="00394A09" w:rsidRDefault="00AF2D51" w:rsidP="00AF2D51">
      <w:pPr>
        <w:pStyle w:val="a0"/>
        <w:shd w:val="clear" w:color="auto" w:fill="auto"/>
        <w:spacing w:after="160" w:line="341" w:lineRule="auto"/>
        <w:ind w:firstLine="567"/>
        <w:jc w:val="both"/>
        <w:rPr>
          <w:rFonts w:ascii="Sylfaen" w:hAnsi="Sylfaen" w:cs="Sylfaen"/>
          <w:sz w:val="24"/>
          <w:szCs w:val="24"/>
        </w:rPr>
      </w:pPr>
      <w:r w:rsidRPr="00394A09">
        <w:rPr>
          <w:rFonts w:ascii="Sylfaen" w:hAnsi="Sylfaen"/>
          <w:color w:val="000000"/>
          <w:sz w:val="24"/>
          <w:szCs w:val="24"/>
        </w:rPr>
        <w:lastRenderedPageBreak/>
        <w:t xml:space="preserve">Աղյուսակ 2.4.2.2-6. </w:t>
      </w:r>
      <w:r w:rsidRPr="00394A09">
        <w:rPr>
          <w:rFonts w:ascii="Sylfaen" w:hAnsi="Sylfaen"/>
          <w:i/>
          <w:color w:val="000000"/>
          <w:sz w:val="24"/>
          <w:szCs w:val="24"/>
        </w:rPr>
        <w:t>Այն փաթեթվածքների քանակը, որոնք կարող են օգտագործվել սպեկտրաչափական մեթոդի համար</w:t>
      </w:r>
    </w:p>
    <w:tbl>
      <w:tblPr>
        <w:tblW w:w="0" w:type="auto"/>
        <w:tblLayout w:type="fixed"/>
        <w:tblCellMar>
          <w:left w:w="0" w:type="dxa"/>
          <w:right w:w="0" w:type="dxa"/>
        </w:tblCellMar>
        <w:tblLook w:val="0000" w:firstRow="0" w:lastRow="0" w:firstColumn="0" w:lastColumn="0" w:noHBand="0" w:noVBand="0"/>
      </w:tblPr>
      <w:tblGrid>
        <w:gridCol w:w="2127"/>
        <w:gridCol w:w="2126"/>
        <w:gridCol w:w="2551"/>
      </w:tblGrid>
      <w:tr w:rsidR="00AF2D51" w:rsidRPr="00E36B76" w14:paraId="5AFA601D" w14:textId="77777777" w:rsidTr="00AF2D51">
        <w:trPr>
          <w:trHeight w:val="768"/>
        </w:trPr>
        <w:tc>
          <w:tcPr>
            <w:tcW w:w="2127" w:type="dxa"/>
            <w:tcBorders>
              <w:top w:val="single" w:sz="4" w:space="0" w:color="auto"/>
              <w:left w:val="nil"/>
              <w:bottom w:val="nil"/>
              <w:right w:val="nil"/>
            </w:tcBorders>
            <w:shd w:val="clear" w:color="auto" w:fill="FFFFFF"/>
          </w:tcPr>
          <w:p w14:paraId="641EEFA2" w14:textId="77777777" w:rsidR="00AF2D51" w:rsidRPr="00E36B76" w:rsidRDefault="00AF2D51" w:rsidP="00AF2D51">
            <w:pPr>
              <w:spacing w:after="120"/>
              <w:jc w:val="center"/>
              <w:rPr>
                <w:rFonts w:eastAsia="Times New Roman" w:cs="Times New Roman"/>
                <w:sz w:val="20"/>
              </w:rPr>
            </w:pPr>
            <w:r w:rsidRPr="00E36B76">
              <w:rPr>
                <w:sz w:val="20"/>
              </w:rPr>
              <w:t>Լցավորման ծավալը (մլ)</w:t>
            </w:r>
          </w:p>
        </w:tc>
        <w:tc>
          <w:tcPr>
            <w:tcW w:w="2126" w:type="dxa"/>
            <w:tcBorders>
              <w:top w:val="single" w:sz="4" w:space="0" w:color="auto"/>
              <w:left w:val="nil"/>
              <w:bottom w:val="nil"/>
              <w:right w:val="nil"/>
            </w:tcBorders>
            <w:shd w:val="clear" w:color="auto" w:fill="FFFFFF"/>
          </w:tcPr>
          <w:p w14:paraId="11DBFA5D" w14:textId="77777777" w:rsidR="00AF2D51" w:rsidRPr="00E36B76" w:rsidRDefault="00AF2D51" w:rsidP="00AF2D51">
            <w:pPr>
              <w:spacing w:after="120"/>
              <w:jc w:val="center"/>
              <w:rPr>
                <w:rFonts w:eastAsia="Times New Roman" w:cs="Times New Roman"/>
                <w:sz w:val="20"/>
              </w:rPr>
            </w:pPr>
            <w:r w:rsidRPr="00E36B76">
              <w:rPr>
                <w:sz w:val="20"/>
              </w:rPr>
              <w:t>Փաթեթվածքների քանակը</w:t>
            </w:r>
          </w:p>
        </w:tc>
        <w:tc>
          <w:tcPr>
            <w:tcW w:w="2551" w:type="dxa"/>
            <w:tcBorders>
              <w:top w:val="single" w:sz="4" w:space="0" w:color="auto"/>
              <w:left w:val="nil"/>
              <w:bottom w:val="nil"/>
              <w:right w:val="nil"/>
            </w:tcBorders>
            <w:shd w:val="clear" w:color="auto" w:fill="FFFFFF"/>
          </w:tcPr>
          <w:p w14:paraId="3F207377" w14:textId="77777777" w:rsidR="00AF2D51" w:rsidRPr="00E36B76" w:rsidRDefault="00AF2D51" w:rsidP="00AF2D51">
            <w:pPr>
              <w:spacing w:after="120"/>
              <w:jc w:val="center"/>
              <w:rPr>
                <w:rFonts w:eastAsia="Times New Roman" w:cs="Times New Roman"/>
                <w:sz w:val="20"/>
              </w:rPr>
            </w:pPr>
            <w:r w:rsidRPr="00E36B76">
              <w:rPr>
                <w:sz w:val="20"/>
              </w:rPr>
              <w:t>Փաթեթվածքների՝ լրացուցիչ չափումների համար անհրաժեշտ քանակը</w:t>
            </w:r>
          </w:p>
        </w:tc>
      </w:tr>
      <w:tr w:rsidR="00AF2D51" w:rsidRPr="00E36B76" w14:paraId="11797248" w14:textId="77777777" w:rsidTr="00AF2D51">
        <w:trPr>
          <w:trHeight w:val="326"/>
        </w:trPr>
        <w:tc>
          <w:tcPr>
            <w:tcW w:w="2127" w:type="dxa"/>
            <w:tcBorders>
              <w:top w:val="single" w:sz="4" w:space="0" w:color="auto"/>
              <w:left w:val="nil"/>
              <w:bottom w:val="nil"/>
              <w:right w:val="nil"/>
            </w:tcBorders>
            <w:shd w:val="clear" w:color="auto" w:fill="FFFFFF"/>
            <w:vAlign w:val="center"/>
          </w:tcPr>
          <w:p w14:paraId="5246281A" w14:textId="77777777" w:rsidR="00AF2D51" w:rsidRPr="00E36B76" w:rsidRDefault="00AF2D51" w:rsidP="00AF2D51">
            <w:pPr>
              <w:spacing w:after="120"/>
              <w:rPr>
                <w:rFonts w:eastAsia="Times New Roman" w:cs="Times New Roman"/>
                <w:sz w:val="20"/>
              </w:rPr>
            </w:pPr>
            <w:r w:rsidRPr="00E36B76">
              <w:rPr>
                <w:sz w:val="20"/>
              </w:rPr>
              <w:t>Մինչեւ 2</w:t>
            </w:r>
          </w:p>
        </w:tc>
        <w:tc>
          <w:tcPr>
            <w:tcW w:w="2126" w:type="dxa"/>
            <w:tcBorders>
              <w:top w:val="single" w:sz="4" w:space="0" w:color="auto"/>
              <w:left w:val="nil"/>
              <w:bottom w:val="nil"/>
              <w:right w:val="nil"/>
            </w:tcBorders>
            <w:shd w:val="clear" w:color="auto" w:fill="FFFFFF"/>
            <w:vAlign w:val="center"/>
          </w:tcPr>
          <w:p w14:paraId="687D590A" w14:textId="77777777" w:rsidR="00AF2D51" w:rsidRPr="00E36B76" w:rsidRDefault="00AF2D51" w:rsidP="00AF2D51">
            <w:pPr>
              <w:spacing w:after="120"/>
              <w:jc w:val="center"/>
              <w:rPr>
                <w:rFonts w:eastAsia="Times New Roman" w:cs="Times New Roman"/>
                <w:sz w:val="20"/>
              </w:rPr>
            </w:pPr>
            <w:r w:rsidRPr="00E36B76">
              <w:rPr>
                <w:sz w:val="20"/>
              </w:rPr>
              <w:t>20</w:t>
            </w:r>
          </w:p>
        </w:tc>
        <w:tc>
          <w:tcPr>
            <w:tcW w:w="2551" w:type="dxa"/>
            <w:tcBorders>
              <w:top w:val="single" w:sz="4" w:space="0" w:color="auto"/>
              <w:left w:val="nil"/>
              <w:bottom w:val="nil"/>
              <w:right w:val="nil"/>
            </w:tcBorders>
            <w:shd w:val="clear" w:color="auto" w:fill="FFFFFF"/>
            <w:vAlign w:val="center"/>
          </w:tcPr>
          <w:p w14:paraId="2BCDCE8B" w14:textId="77777777" w:rsidR="00AF2D51" w:rsidRPr="00E36B76" w:rsidRDefault="00AF2D51" w:rsidP="00AF2D51">
            <w:pPr>
              <w:spacing w:after="120"/>
              <w:jc w:val="center"/>
              <w:rPr>
                <w:rFonts w:eastAsia="Times New Roman" w:cs="Times New Roman"/>
                <w:sz w:val="20"/>
              </w:rPr>
            </w:pPr>
            <w:r w:rsidRPr="00E36B76">
              <w:rPr>
                <w:sz w:val="20"/>
              </w:rPr>
              <w:t>2</w:t>
            </w:r>
          </w:p>
        </w:tc>
      </w:tr>
      <w:tr w:rsidR="00AF2D51" w:rsidRPr="00E36B76" w14:paraId="511D32FB" w14:textId="77777777" w:rsidTr="00AF2D51">
        <w:trPr>
          <w:trHeight w:val="298"/>
        </w:trPr>
        <w:tc>
          <w:tcPr>
            <w:tcW w:w="2127" w:type="dxa"/>
            <w:tcBorders>
              <w:top w:val="nil"/>
              <w:left w:val="nil"/>
              <w:bottom w:val="nil"/>
              <w:right w:val="nil"/>
            </w:tcBorders>
            <w:shd w:val="clear" w:color="auto" w:fill="FFFFFF"/>
            <w:vAlign w:val="center"/>
          </w:tcPr>
          <w:p w14:paraId="7B21E814" w14:textId="77777777" w:rsidR="00AF2D51" w:rsidRPr="00E36B76" w:rsidRDefault="00AF2D51" w:rsidP="00AF2D51">
            <w:pPr>
              <w:spacing w:after="120"/>
              <w:rPr>
                <w:rFonts w:eastAsia="Times New Roman" w:cs="Times New Roman"/>
                <w:sz w:val="20"/>
              </w:rPr>
            </w:pPr>
            <w:r w:rsidRPr="00E36B76">
              <w:rPr>
                <w:sz w:val="20"/>
              </w:rPr>
              <w:t>2-ից մինչեւ 5</w:t>
            </w:r>
          </w:p>
        </w:tc>
        <w:tc>
          <w:tcPr>
            <w:tcW w:w="2126" w:type="dxa"/>
            <w:tcBorders>
              <w:top w:val="nil"/>
              <w:left w:val="nil"/>
              <w:bottom w:val="nil"/>
              <w:right w:val="nil"/>
            </w:tcBorders>
            <w:shd w:val="clear" w:color="auto" w:fill="FFFFFF"/>
            <w:vAlign w:val="center"/>
          </w:tcPr>
          <w:p w14:paraId="5ED142BF" w14:textId="77777777" w:rsidR="00AF2D51" w:rsidRPr="00E36B76" w:rsidRDefault="00AF2D51" w:rsidP="00AF2D51">
            <w:pPr>
              <w:spacing w:after="120"/>
              <w:jc w:val="center"/>
              <w:rPr>
                <w:rFonts w:eastAsia="Times New Roman" w:cs="Times New Roman"/>
                <w:sz w:val="20"/>
              </w:rPr>
            </w:pPr>
            <w:r w:rsidRPr="00E36B76">
              <w:rPr>
                <w:sz w:val="20"/>
              </w:rPr>
              <w:t>15</w:t>
            </w:r>
          </w:p>
        </w:tc>
        <w:tc>
          <w:tcPr>
            <w:tcW w:w="2551" w:type="dxa"/>
            <w:tcBorders>
              <w:top w:val="nil"/>
              <w:left w:val="nil"/>
              <w:bottom w:val="nil"/>
              <w:right w:val="nil"/>
            </w:tcBorders>
            <w:shd w:val="clear" w:color="auto" w:fill="FFFFFF"/>
            <w:vAlign w:val="center"/>
          </w:tcPr>
          <w:p w14:paraId="1CFA806A" w14:textId="77777777" w:rsidR="00AF2D51" w:rsidRPr="00E36B76" w:rsidRDefault="00AF2D51" w:rsidP="00AF2D51">
            <w:pPr>
              <w:spacing w:after="120"/>
              <w:jc w:val="center"/>
              <w:rPr>
                <w:rFonts w:eastAsia="Times New Roman" w:cs="Times New Roman"/>
                <w:sz w:val="20"/>
              </w:rPr>
            </w:pPr>
            <w:r w:rsidRPr="00E36B76">
              <w:rPr>
                <w:sz w:val="20"/>
              </w:rPr>
              <w:t>2</w:t>
            </w:r>
          </w:p>
        </w:tc>
      </w:tr>
      <w:tr w:rsidR="00AF2D51" w:rsidRPr="00E36B76" w14:paraId="6F91393B" w14:textId="77777777" w:rsidTr="00AF2D51">
        <w:trPr>
          <w:trHeight w:val="312"/>
        </w:trPr>
        <w:tc>
          <w:tcPr>
            <w:tcW w:w="2127" w:type="dxa"/>
            <w:tcBorders>
              <w:top w:val="nil"/>
              <w:left w:val="nil"/>
              <w:bottom w:val="nil"/>
              <w:right w:val="nil"/>
            </w:tcBorders>
            <w:shd w:val="clear" w:color="auto" w:fill="FFFFFF"/>
            <w:vAlign w:val="center"/>
          </w:tcPr>
          <w:p w14:paraId="6839A42B" w14:textId="77777777" w:rsidR="00AF2D51" w:rsidRPr="00E36B76" w:rsidRDefault="00AF2D51" w:rsidP="00AF2D51">
            <w:pPr>
              <w:spacing w:after="120"/>
              <w:rPr>
                <w:rFonts w:eastAsia="Times New Roman" w:cs="Times New Roman"/>
                <w:sz w:val="20"/>
              </w:rPr>
            </w:pPr>
            <w:r w:rsidRPr="00E36B76">
              <w:rPr>
                <w:sz w:val="20"/>
              </w:rPr>
              <w:t>5-ից մինչեւ 30</w:t>
            </w:r>
          </w:p>
        </w:tc>
        <w:tc>
          <w:tcPr>
            <w:tcW w:w="2126" w:type="dxa"/>
            <w:tcBorders>
              <w:top w:val="nil"/>
              <w:left w:val="nil"/>
              <w:bottom w:val="nil"/>
              <w:right w:val="nil"/>
            </w:tcBorders>
            <w:shd w:val="clear" w:color="auto" w:fill="FFFFFF"/>
            <w:vAlign w:val="center"/>
          </w:tcPr>
          <w:p w14:paraId="065BEF6C" w14:textId="77777777" w:rsidR="00AF2D51" w:rsidRPr="00E36B76" w:rsidRDefault="00AF2D51" w:rsidP="00AF2D51">
            <w:pPr>
              <w:spacing w:after="120"/>
              <w:jc w:val="center"/>
              <w:rPr>
                <w:rFonts w:eastAsia="Times New Roman" w:cs="Times New Roman"/>
                <w:sz w:val="20"/>
              </w:rPr>
            </w:pPr>
            <w:r w:rsidRPr="00E36B76">
              <w:rPr>
                <w:sz w:val="20"/>
              </w:rPr>
              <w:t>10</w:t>
            </w:r>
          </w:p>
        </w:tc>
        <w:tc>
          <w:tcPr>
            <w:tcW w:w="2551" w:type="dxa"/>
            <w:tcBorders>
              <w:top w:val="nil"/>
              <w:left w:val="nil"/>
              <w:bottom w:val="nil"/>
              <w:right w:val="nil"/>
            </w:tcBorders>
            <w:shd w:val="clear" w:color="auto" w:fill="FFFFFF"/>
            <w:vAlign w:val="center"/>
          </w:tcPr>
          <w:p w14:paraId="0FFCC7FF" w14:textId="77777777" w:rsidR="00AF2D51" w:rsidRPr="00E36B76" w:rsidRDefault="00AF2D51" w:rsidP="00AF2D51">
            <w:pPr>
              <w:spacing w:after="120"/>
              <w:jc w:val="center"/>
              <w:rPr>
                <w:rFonts w:eastAsia="Times New Roman" w:cs="Times New Roman"/>
                <w:sz w:val="20"/>
              </w:rPr>
            </w:pPr>
            <w:r w:rsidRPr="00E36B76">
              <w:rPr>
                <w:sz w:val="20"/>
              </w:rPr>
              <w:t>2</w:t>
            </w:r>
          </w:p>
        </w:tc>
      </w:tr>
      <w:tr w:rsidR="00AF2D51" w:rsidRPr="00E36B76" w14:paraId="6734058F" w14:textId="77777777" w:rsidTr="00AF2D51">
        <w:trPr>
          <w:trHeight w:val="312"/>
        </w:trPr>
        <w:tc>
          <w:tcPr>
            <w:tcW w:w="2127" w:type="dxa"/>
            <w:tcBorders>
              <w:top w:val="nil"/>
              <w:left w:val="nil"/>
              <w:bottom w:val="nil"/>
              <w:right w:val="nil"/>
            </w:tcBorders>
            <w:shd w:val="clear" w:color="auto" w:fill="FFFFFF"/>
            <w:vAlign w:val="center"/>
          </w:tcPr>
          <w:p w14:paraId="314D8418" w14:textId="77777777" w:rsidR="00AF2D51" w:rsidRPr="00E36B76" w:rsidRDefault="00AF2D51" w:rsidP="00AF2D51">
            <w:pPr>
              <w:spacing w:after="120"/>
              <w:rPr>
                <w:rFonts w:eastAsia="Times New Roman" w:cs="Times New Roman"/>
                <w:sz w:val="20"/>
              </w:rPr>
            </w:pPr>
            <w:r w:rsidRPr="00E36B76">
              <w:rPr>
                <w:sz w:val="20"/>
              </w:rPr>
              <w:t>30-ից մինչեւ 100</w:t>
            </w:r>
          </w:p>
        </w:tc>
        <w:tc>
          <w:tcPr>
            <w:tcW w:w="2126" w:type="dxa"/>
            <w:tcBorders>
              <w:top w:val="nil"/>
              <w:left w:val="nil"/>
              <w:bottom w:val="nil"/>
              <w:right w:val="nil"/>
            </w:tcBorders>
            <w:shd w:val="clear" w:color="auto" w:fill="FFFFFF"/>
            <w:vAlign w:val="center"/>
          </w:tcPr>
          <w:p w14:paraId="05D169B5" w14:textId="77777777" w:rsidR="00AF2D51" w:rsidRPr="00E36B76" w:rsidRDefault="00AF2D51" w:rsidP="00AF2D51">
            <w:pPr>
              <w:spacing w:after="120"/>
              <w:jc w:val="center"/>
              <w:rPr>
                <w:rFonts w:eastAsia="Times New Roman" w:cs="Times New Roman"/>
                <w:sz w:val="20"/>
              </w:rPr>
            </w:pPr>
            <w:r w:rsidRPr="00E36B76">
              <w:rPr>
                <w:sz w:val="20"/>
              </w:rPr>
              <w:t>5</w:t>
            </w:r>
          </w:p>
        </w:tc>
        <w:tc>
          <w:tcPr>
            <w:tcW w:w="2551" w:type="dxa"/>
            <w:tcBorders>
              <w:top w:val="nil"/>
              <w:left w:val="nil"/>
              <w:bottom w:val="nil"/>
              <w:right w:val="nil"/>
            </w:tcBorders>
            <w:shd w:val="clear" w:color="auto" w:fill="FFFFFF"/>
            <w:vAlign w:val="center"/>
          </w:tcPr>
          <w:p w14:paraId="4DD10830" w14:textId="77777777" w:rsidR="00AF2D51" w:rsidRPr="00E36B76" w:rsidRDefault="00AF2D51" w:rsidP="00AF2D51">
            <w:pPr>
              <w:spacing w:after="120"/>
              <w:jc w:val="center"/>
              <w:rPr>
                <w:rFonts w:eastAsia="Times New Roman" w:cs="Times New Roman"/>
                <w:sz w:val="20"/>
              </w:rPr>
            </w:pPr>
            <w:r w:rsidRPr="00E36B76">
              <w:rPr>
                <w:sz w:val="20"/>
              </w:rPr>
              <w:t>1</w:t>
            </w:r>
          </w:p>
        </w:tc>
      </w:tr>
      <w:tr w:rsidR="00AF2D51" w:rsidRPr="00E36B76" w14:paraId="4E4CC2B2" w14:textId="77777777" w:rsidTr="00AF2D51">
        <w:trPr>
          <w:trHeight w:val="298"/>
        </w:trPr>
        <w:tc>
          <w:tcPr>
            <w:tcW w:w="2127" w:type="dxa"/>
            <w:tcBorders>
              <w:top w:val="nil"/>
              <w:left w:val="nil"/>
              <w:bottom w:val="single" w:sz="4" w:space="0" w:color="auto"/>
              <w:right w:val="nil"/>
            </w:tcBorders>
            <w:shd w:val="clear" w:color="auto" w:fill="FFFFFF"/>
            <w:vAlign w:val="center"/>
          </w:tcPr>
          <w:p w14:paraId="51C61CE9" w14:textId="77777777" w:rsidR="00AF2D51" w:rsidRPr="00E36B76" w:rsidRDefault="00AF2D51" w:rsidP="00AF2D51">
            <w:pPr>
              <w:spacing w:after="120"/>
              <w:rPr>
                <w:rFonts w:eastAsia="Times New Roman" w:cs="Times New Roman"/>
                <w:sz w:val="20"/>
              </w:rPr>
            </w:pPr>
            <w:r w:rsidRPr="00E36B76">
              <w:rPr>
                <w:sz w:val="20"/>
              </w:rPr>
              <w:t>100-ից ավելի</w:t>
            </w:r>
          </w:p>
        </w:tc>
        <w:tc>
          <w:tcPr>
            <w:tcW w:w="2126" w:type="dxa"/>
            <w:tcBorders>
              <w:top w:val="nil"/>
              <w:left w:val="nil"/>
              <w:bottom w:val="single" w:sz="4" w:space="0" w:color="auto"/>
              <w:right w:val="nil"/>
            </w:tcBorders>
            <w:shd w:val="clear" w:color="auto" w:fill="FFFFFF"/>
            <w:vAlign w:val="center"/>
          </w:tcPr>
          <w:p w14:paraId="384FE7F1" w14:textId="77777777" w:rsidR="00AF2D51" w:rsidRPr="00E36B76" w:rsidRDefault="00AF2D51" w:rsidP="00AF2D51">
            <w:pPr>
              <w:spacing w:after="120"/>
              <w:jc w:val="center"/>
              <w:rPr>
                <w:rFonts w:eastAsia="Times New Roman" w:cs="Times New Roman"/>
                <w:sz w:val="20"/>
              </w:rPr>
            </w:pPr>
            <w:r w:rsidRPr="00E36B76">
              <w:rPr>
                <w:sz w:val="20"/>
              </w:rPr>
              <w:t>3</w:t>
            </w:r>
          </w:p>
        </w:tc>
        <w:tc>
          <w:tcPr>
            <w:tcW w:w="2551" w:type="dxa"/>
            <w:tcBorders>
              <w:top w:val="nil"/>
              <w:left w:val="nil"/>
              <w:bottom w:val="single" w:sz="4" w:space="0" w:color="auto"/>
              <w:right w:val="nil"/>
            </w:tcBorders>
            <w:shd w:val="clear" w:color="auto" w:fill="FFFFFF"/>
            <w:vAlign w:val="center"/>
          </w:tcPr>
          <w:p w14:paraId="6C81E576" w14:textId="77777777" w:rsidR="00AF2D51" w:rsidRPr="00E36B76" w:rsidRDefault="00AF2D51" w:rsidP="00AF2D51">
            <w:pPr>
              <w:spacing w:after="120"/>
              <w:jc w:val="center"/>
              <w:rPr>
                <w:rFonts w:eastAsia="Times New Roman" w:cs="Times New Roman"/>
                <w:sz w:val="20"/>
              </w:rPr>
            </w:pPr>
            <w:r w:rsidRPr="00E36B76">
              <w:rPr>
                <w:sz w:val="20"/>
              </w:rPr>
              <w:t>1</w:t>
            </w:r>
          </w:p>
        </w:tc>
      </w:tr>
    </w:tbl>
    <w:p w14:paraId="71D616FB" w14:textId="77777777" w:rsidR="001827DA" w:rsidRDefault="001827DA" w:rsidP="00AF2D51">
      <w:pPr>
        <w:pStyle w:val="a0"/>
        <w:shd w:val="clear" w:color="auto" w:fill="auto"/>
        <w:spacing w:after="160" w:line="360" w:lineRule="auto"/>
        <w:ind w:firstLine="567"/>
        <w:jc w:val="both"/>
        <w:rPr>
          <w:rFonts w:ascii="Sylfaen" w:hAnsi="Sylfaen"/>
          <w:sz w:val="24"/>
          <w:szCs w:val="24"/>
          <w:lang w:val="en-US"/>
        </w:rPr>
      </w:pPr>
    </w:p>
    <w:p w14:paraId="3D3C7FB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Կարող են նա</w:t>
      </w:r>
      <w:r>
        <w:rPr>
          <w:rFonts w:ascii="Sylfaen" w:hAnsi="Sylfaen"/>
          <w:sz w:val="24"/>
          <w:szCs w:val="24"/>
        </w:rPr>
        <w:t>եւ</w:t>
      </w:r>
      <w:r w:rsidRPr="00394A09">
        <w:rPr>
          <w:rFonts w:ascii="Sylfaen" w:hAnsi="Sylfaen"/>
          <w:sz w:val="24"/>
          <w:szCs w:val="24"/>
        </w:rPr>
        <w:t xml:space="preserve"> օգտագործվել լուծույթների առ</w:t>
      </w:r>
      <w:r>
        <w:rPr>
          <w:rFonts w:ascii="Sylfaen" w:hAnsi="Sylfaen"/>
          <w:sz w:val="24"/>
          <w:szCs w:val="24"/>
        </w:rPr>
        <w:t>եւ</w:t>
      </w:r>
      <w:r w:rsidRPr="00394A09">
        <w:rPr>
          <w:rFonts w:ascii="Sylfaen" w:hAnsi="Sylfaen"/>
          <w:sz w:val="24"/>
          <w:szCs w:val="24"/>
        </w:rPr>
        <w:t>տրային նմուշները:</w:t>
      </w:r>
    </w:p>
    <w:p w14:paraId="54FD468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Համեմատության լուծույթը։</w:t>
      </w:r>
      <w:r w:rsidRPr="00394A09">
        <w:rPr>
          <w:rFonts w:ascii="Sylfaen" w:hAnsi="Sylfaen"/>
          <w:sz w:val="24"/>
          <w:szCs w:val="24"/>
        </w:rPr>
        <w:t xml:space="preserve"> Համեմատության լուծույթները պատրաստում են սկզբնական լուծույթները </w:t>
      </w:r>
      <w:r w:rsidRPr="00394A09">
        <w:rPr>
          <w:rFonts w:ascii="Sylfaen" w:hAnsi="Sylfaen"/>
          <w:i/>
          <w:sz w:val="24"/>
          <w:szCs w:val="24"/>
        </w:rPr>
        <w:t>Ռ1 ջրով</w:t>
      </w:r>
      <w:r w:rsidRPr="00394A09">
        <w:rPr>
          <w:rFonts w:ascii="Sylfaen" w:hAnsi="Sylfaen"/>
          <w:sz w:val="24"/>
          <w:szCs w:val="24"/>
        </w:rPr>
        <w:t xml:space="preserve"> նոսրացնելով՝ մինչ</w:t>
      </w:r>
      <w:r>
        <w:rPr>
          <w:rFonts w:ascii="Sylfaen" w:hAnsi="Sylfaen"/>
          <w:sz w:val="24"/>
          <w:szCs w:val="24"/>
        </w:rPr>
        <w:t>եւ</w:t>
      </w:r>
      <w:r w:rsidRPr="00394A09">
        <w:rPr>
          <w:rFonts w:ascii="Sylfaen" w:hAnsi="Sylfaen"/>
          <w:sz w:val="24"/>
          <w:szCs w:val="24"/>
        </w:rPr>
        <w:t xml:space="preserve"> համապատասխան կոնցենտրացիաների չափանմուշային լուծույթներ ստանալը, օրինակ՝ համապատասխանաբար՝ նատրիումի օքսիդի, կալիումի օքսիդի </w:t>
      </w:r>
      <w:r>
        <w:rPr>
          <w:rFonts w:ascii="Sylfaen" w:hAnsi="Sylfaen"/>
          <w:sz w:val="24"/>
          <w:szCs w:val="24"/>
        </w:rPr>
        <w:t>եւ</w:t>
      </w:r>
      <w:r w:rsidRPr="00394A09">
        <w:rPr>
          <w:rFonts w:ascii="Sylfaen" w:hAnsi="Sylfaen"/>
          <w:sz w:val="24"/>
          <w:szCs w:val="24"/>
        </w:rPr>
        <w:t xml:space="preserve"> կալցիումի օքսիդի 20 մկգ/մլ: Կարող են նա</w:t>
      </w:r>
      <w:r>
        <w:rPr>
          <w:rFonts w:ascii="Sylfaen" w:hAnsi="Sylfaen"/>
          <w:sz w:val="24"/>
          <w:szCs w:val="24"/>
        </w:rPr>
        <w:t>եւ</w:t>
      </w:r>
      <w:r w:rsidRPr="00394A09">
        <w:rPr>
          <w:rFonts w:ascii="Sylfaen" w:hAnsi="Sylfaen"/>
          <w:sz w:val="24"/>
          <w:szCs w:val="24"/>
        </w:rPr>
        <w:t xml:space="preserve"> օգտագործվել ստանդարտ լուծույթների առ</w:t>
      </w:r>
      <w:r>
        <w:rPr>
          <w:rFonts w:ascii="Sylfaen" w:hAnsi="Sylfaen"/>
          <w:sz w:val="24"/>
          <w:szCs w:val="24"/>
        </w:rPr>
        <w:t>եւ</w:t>
      </w:r>
      <w:r w:rsidRPr="00394A09">
        <w:rPr>
          <w:rFonts w:ascii="Sylfaen" w:hAnsi="Sylfaen"/>
          <w:sz w:val="24"/>
          <w:szCs w:val="24"/>
        </w:rPr>
        <w:t>տրային նմուշները:</w:t>
      </w:r>
    </w:p>
    <w:p w14:paraId="1386C2B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Ստուգիչ լուծույթը։</w:t>
      </w:r>
      <w:r w:rsidRPr="00394A09">
        <w:rPr>
          <w:rFonts w:ascii="Sylfaen" w:hAnsi="Sylfaen"/>
          <w:sz w:val="24"/>
          <w:szCs w:val="24"/>
        </w:rPr>
        <w:t xml:space="preserve"> Պատրաստում են չափաբերման կորի կառուցման համար լուծույթներ (չափաբերման լուծույթների հավաքածու)՝ համապատասխան կոնցենտրացված ստանդարտ լուծույթները </w:t>
      </w:r>
      <w:r w:rsidRPr="00394A09">
        <w:rPr>
          <w:rFonts w:ascii="Sylfaen" w:hAnsi="Sylfaen"/>
          <w:i/>
          <w:sz w:val="24"/>
          <w:szCs w:val="24"/>
        </w:rPr>
        <w:t>Ռ1 ջրով</w:t>
      </w:r>
      <w:r w:rsidRPr="00394A09">
        <w:rPr>
          <w:rFonts w:ascii="Sylfaen" w:hAnsi="Sylfaen"/>
          <w:sz w:val="24"/>
          <w:szCs w:val="24"/>
        </w:rPr>
        <w:t xml:space="preserve"> նոսրացնելու միջոցով՝ հաշվի առնելով կոնկրետ տարրերի բնականոն աշխատանքային ընդգրկույթները եւ չափման համար օգտագործվող սարքը:</w:t>
      </w:r>
    </w:p>
    <w:p w14:paraId="33E7D57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Սկզբնական լուծույթների կոնցենտրացիաների տիպիկ ընդգրկույթները՝ ատոմային էմիսիոն սպեկտրաչափական մեթոդով որոշելու համար.</w:t>
      </w:r>
    </w:p>
    <w:p w14:paraId="5FF630C4"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նատրիումի օքսիդի </w:t>
      </w:r>
      <w:r>
        <w:rPr>
          <w:rFonts w:ascii="Sylfaen" w:hAnsi="Sylfaen"/>
          <w:sz w:val="24"/>
          <w:szCs w:val="24"/>
        </w:rPr>
        <w:t>եւ</w:t>
      </w:r>
      <w:r w:rsidRPr="00394A09">
        <w:rPr>
          <w:rFonts w:ascii="Sylfaen" w:hAnsi="Sylfaen"/>
          <w:sz w:val="24"/>
          <w:szCs w:val="24"/>
        </w:rPr>
        <w:t xml:space="preserve"> կալիումի օքսիդի՝ մինչեւ 10 մկգ/մլ.</w:t>
      </w:r>
    </w:p>
    <w:p w14:paraId="02B9C1E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նատրիումի օքսիդի </w:t>
      </w:r>
      <w:r>
        <w:rPr>
          <w:rFonts w:ascii="Sylfaen" w:hAnsi="Sylfaen"/>
          <w:sz w:val="24"/>
          <w:szCs w:val="24"/>
        </w:rPr>
        <w:t>եւ</w:t>
      </w:r>
      <w:r w:rsidRPr="00394A09">
        <w:rPr>
          <w:rFonts w:ascii="Sylfaen" w:hAnsi="Sylfaen"/>
          <w:sz w:val="24"/>
          <w:szCs w:val="24"/>
        </w:rPr>
        <w:t xml:space="preserve"> կալիումի օքսիդի՝ մինչեւ 3 մկգ/մլ.</w:t>
      </w:r>
    </w:p>
    <w:p w14:paraId="2B5131BC"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կալցիումի օքսիդի՝ մինչեւ 7 մկգ/մլ։</w:t>
      </w:r>
    </w:p>
    <w:p w14:paraId="64EDB93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Կարող են օգտագործվել սպեկտրաքիմիական բուֆերային լուծույթի 5 % պարունակող </w:t>
      </w:r>
      <w:r w:rsidRPr="00394A09">
        <w:rPr>
          <w:rFonts w:ascii="Sylfaen" w:hAnsi="Sylfaen"/>
          <w:i/>
          <w:sz w:val="24"/>
          <w:szCs w:val="24"/>
        </w:rPr>
        <w:t>(ծավ/ծավ)</w:t>
      </w:r>
      <w:r w:rsidRPr="00394A09">
        <w:rPr>
          <w:rFonts w:ascii="Sylfaen" w:hAnsi="Sylfaen"/>
          <w:sz w:val="24"/>
          <w:szCs w:val="24"/>
        </w:rPr>
        <w:t xml:space="preserve"> ստանդարտ լուծույթները:</w:t>
      </w:r>
    </w:p>
    <w:p w14:paraId="0EE73B2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57D4847B"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ՄԵԹՈԴԻԿԱՆ</w:t>
      </w:r>
    </w:p>
    <w:p w14:paraId="0EEB499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Նախապես որոշում են փորձարկվող լուծույթի մեջ կալիումի օքսիդի </w:t>
      </w:r>
      <w:r>
        <w:rPr>
          <w:rFonts w:ascii="Sylfaen" w:hAnsi="Sylfaen"/>
          <w:sz w:val="24"/>
          <w:szCs w:val="24"/>
        </w:rPr>
        <w:t>եւ</w:t>
      </w:r>
      <w:r w:rsidRPr="00394A09">
        <w:rPr>
          <w:rFonts w:ascii="Sylfaen" w:hAnsi="Sylfaen"/>
          <w:sz w:val="24"/>
          <w:szCs w:val="24"/>
        </w:rPr>
        <w:t xml:space="preserve"> կալցիումի օքսիդի կոնցենտրացիան: Եթե կալիումի օքսիդի կոնցենտրացիան 0,2 մկգ/մլ-ից պակաս է, իսկ կալցիումի օքսիդի կոնցենտրացիան կազմում է 0,1 մկգ/մլ-ից պակաս, այս տեսակի փաթեթվածքների մնացած լուծամզվածքային լուծույթները չեն հետազոտվում այդ իոնների պարունակության մասով: Յուրաքանչյուր նմուշից լուծամզվածքային լուծույթը ներմուծում են անմիջապես ատոմիզատորի կամ ատոմային էմիսիոն կցուրդի կլանող գոտու մեջ </w:t>
      </w:r>
      <w:r>
        <w:rPr>
          <w:rFonts w:ascii="Sylfaen" w:hAnsi="Sylfaen"/>
          <w:sz w:val="24"/>
          <w:szCs w:val="24"/>
        </w:rPr>
        <w:t>եւ</w:t>
      </w:r>
      <w:r w:rsidRPr="00394A09">
        <w:rPr>
          <w:rFonts w:ascii="Sylfaen" w:hAnsi="Sylfaen"/>
          <w:sz w:val="24"/>
          <w:szCs w:val="24"/>
        </w:rPr>
        <w:t xml:space="preserve"> որոշում են նատրիումի օքսիդի (առկայության դեպքում՝ կալիումի օքսիդի </w:t>
      </w:r>
      <w:r>
        <w:rPr>
          <w:rFonts w:ascii="Sylfaen" w:hAnsi="Sylfaen"/>
          <w:sz w:val="24"/>
          <w:szCs w:val="24"/>
        </w:rPr>
        <w:t>եւ</w:t>
      </w:r>
      <w:r w:rsidRPr="00394A09">
        <w:rPr>
          <w:rFonts w:ascii="Sylfaen" w:hAnsi="Sylfaen"/>
          <w:sz w:val="24"/>
          <w:szCs w:val="24"/>
        </w:rPr>
        <w:t xml:space="preserve"> կալցիումի օքսիդի) մոտավոր կոնցենտրացիան՝ ըստ ստուգաճշտման ժամանակացույցի։</w:t>
      </w:r>
    </w:p>
    <w:p w14:paraId="7371DBD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720BF90F"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ՎԵՐՋՆԱԿԱՆ ՈՐՈՇՈՒՄԸ</w:t>
      </w:r>
    </w:p>
    <w:p w14:paraId="505E9D9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Եթե նոսրացում չի պահանջվում, ապա յուրաքանչյուր փաթեթվածքի մեջ ավելացնում են լցավորման ծավալի 5 տոկոսին հավասար սպեկտրաքիմիական բուֆերային լուծույթը, մանրակրկիտ խառնում են </w:t>
      </w:r>
      <w:r>
        <w:rPr>
          <w:rFonts w:ascii="Sylfaen" w:hAnsi="Sylfaen"/>
          <w:sz w:val="24"/>
          <w:szCs w:val="24"/>
        </w:rPr>
        <w:t>եւ</w:t>
      </w:r>
      <w:r w:rsidRPr="00394A09">
        <w:rPr>
          <w:rFonts w:ascii="Sylfaen" w:hAnsi="Sylfaen"/>
          <w:sz w:val="24"/>
          <w:szCs w:val="24"/>
        </w:rPr>
        <w:t xml:space="preserve"> առկայության դեպքում որոշում նատրիումի օքսիդը, կալիումի օքսիդն ու կալցիումի օքսիդը՝ ըստ ստուգաճշտման ժամանակացույցի։ Բոցային ատոմային սպեկտրաչափության մեթոդով կալցիումի օքսիդի կոնցենտրացիան որոշելու համար օգտագործվում է ացետիլեն/ազոտի օքսիդի բոցը:</w:t>
      </w:r>
    </w:p>
    <w:p w14:paraId="58CFE43F"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Եթե անհրաժեշտ է նոսրացում, ապա նատրիումի օքսիդի, կալիումի օքսիդի </w:t>
      </w:r>
      <w:r>
        <w:rPr>
          <w:rFonts w:ascii="Sylfaen" w:hAnsi="Sylfaen"/>
          <w:sz w:val="24"/>
          <w:szCs w:val="24"/>
        </w:rPr>
        <w:t>եւ</w:t>
      </w:r>
      <w:r w:rsidRPr="00394A09">
        <w:rPr>
          <w:rFonts w:ascii="Sylfaen" w:hAnsi="Sylfaen"/>
          <w:sz w:val="24"/>
          <w:szCs w:val="24"/>
        </w:rPr>
        <w:t xml:space="preserve"> կալցիումի օքսիդի որոշումը (դրանց առկայության դեպքում) կատարում են վերեւում նկարագրված ընթացակարգերին համապատասխան: Փորձարկվող լուծույթները պետք է պարունակեն սպեկտրաքիմիական բուֆերային լուծույթի 5 % </w:t>
      </w:r>
      <w:r w:rsidRPr="00394A09">
        <w:rPr>
          <w:rFonts w:ascii="Sylfaen" w:hAnsi="Sylfaen"/>
          <w:i/>
          <w:sz w:val="24"/>
          <w:szCs w:val="24"/>
        </w:rPr>
        <w:t>(ծավ/ծավ)</w:t>
      </w:r>
      <w:r w:rsidRPr="00394A09">
        <w:rPr>
          <w:rFonts w:ascii="Sylfaen" w:hAnsi="Sylfaen"/>
          <w:sz w:val="24"/>
          <w:szCs w:val="24"/>
        </w:rPr>
        <w:t xml:space="preserve">: 1,0 մկգ/մլ-ից պակաս կոնցենտրացիաների արժեքները պետք է </w:t>
      </w:r>
      <w:r w:rsidRPr="00394A09">
        <w:rPr>
          <w:rFonts w:ascii="Sylfaen" w:hAnsi="Sylfaen"/>
          <w:sz w:val="24"/>
          <w:szCs w:val="24"/>
        </w:rPr>
        <w:lastRenderedPageBreak/>
        <w:t>արտահայտվեն մինչ</w:t>
      </w:r>
      <w:r>
        <w:rPr>
          <w:rFonts w:ascii="Sylfaen" w:hAnsi="Sylfaen"/>
          <w:sz w:val="24"/>
          <w:szCs w:val="24"/>
        </w:rPr>
        <w:t>եւ</w:t>
      </w:r>
      <w:r w:rsidRPr="00394A09">
        <w:rPr>
          <w:rFonts w:ascii="Sylfaen" w:hAnsi="Sylfaen"/>
          <w:sz w:val="24"/>
          <w:szCs w:val="24"/>
        </w:rPr>
        <w:t xml:space="preserve"> 0,01 ճշգրտությամբ, 1,0 մկգ/մլ-ից ավելի կամ հավասար արժեքները՝ մինչ</w:t>
      </w:r>
      <w:r>
        <w:rPr>
          <w:rFonts w:ascii="Sylfaen" w:hAnsi="Sylfaen"/>
          <w:sz w:val="24"/>
          <w:szCs w:val="24"/>
        </w:rPr>
        <w:t>եւ</w:t>
      </w:r>
      <w:r w:rsidRPr="00394A09">
        <w:rPr>
          <w:rFonts w:ascii="Sylfaen" w:hAnsi="Sylfaen"/>
          <w:sz w:val="24"/>
          <w:szCs w:val="24"/>
        </w:rPr>
        <w:t xml:space="preserve"> 0,1 ճշգրտությամբ:</w:t>
      </w:r>
    </w:p>
    <w:p w14:paraId="3A74288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Հաշվարկների ընթացքում անհրաժեշտ է հաշվի առնել սպեկտրաքիմիական բուֆերային լուծույթի ավելացումն ու լրացուցիչ նոսրացումները:</w:t>
      </w:r>
    </w:p>
    <w:p w14:paraId="1544264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727E2E9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ՀԱՇՎԱՐԿՆԵՐԸ</w:t>
      </w:r>
    </w:p>
    <w:p w14:paraId="6DCE2FCB"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r w:rsidRPr="00394A09">
        <w:rPr>
          <w:rFonts w:ascii="Sylfaen" w:hAnsi="Sylfaen"/>
          <w:sz w:val="24"/>
          <w:szCs w:val="24"/>
        </w:rPr>
        <w:t xml:space="preserve">Հաշվարկում են փորձարկված նմուշներից յուրաքանչյուրում հայտնաբերված առանձին օքսիդների կոնցենտրացիայի միջին արժեքը՝ լուծամզուկային լուծույթի մկգ/մլ-ով, </w:t>
      </w:r>
      <w:r>
        <w:rPr>
          <w:rFonts w:ascii="Sylfaen" w:hAnsi="Sylfaen"/>
          <w:sz w:val="24"/>
          <w:szCs w:val="24"/>
        </w:rPr>
        <w:t>եւ</w:t>
      </w:r>
      <w:r w:rsidRPr="00394A09">
        <w:rPr>
          <w:rFonts w:ascii="Sylfaen" w:hAnsi="Sylfaen"/>
          <w:sz w:val="24"/>
          <w:szCs w:val="24"/>
        </w:rPr>
        <w:t xml:space="preserve"> հաշվում առանձին օքսիդների գումարը, որն արտահայտված է նատրիումի օքսիդի միկրոգրամներով՝ լուծամզուկային լուծույթի մեկ միլիլիտրի համար՝ օգտագործելով վերահաշվարկի հետ</w:t>
      </w:r>
      <w:r>
        <w:rPr>
          <w:rFonts w:ascii="Sylfaen" w:hAnsi="Sylfaen"/>
          <w:sz w:val="24"/>
          <w:szCs w:val="24"/>
        </w:rPr>
        <w:t>եւ</w:t>
      </w:r>
      <w:r w:rsidRPr="00394A09">
        <w:rPr>
          <w:rFonts w:ascii="Sylfaen" w:hAnsi="Sylfaen"/>
          <w:sz w:val="24"/>
          <w:szCs w:val="24"/>
        </w:rPr>
        <w:t>յալ զանգվածային գործակիցները.</w:t>
      </w:r>
      <w:r w:rsidRPr="00E36B76">
        <w:rPr>
          <w:rFonts w:ascii="Sylfaen" w:hAnsi="Sylfaen"/>
          <w:color w:val="000000"/>
          <w:sz w:val="24"/>
          <w:szCs w:val="24"/>
        </w:rPr>
        <w:t xml:space="preserve"> </w:t>
      </w:r>
    </w:p>
    <w:p w14:paraId="1A0C6FF7"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p>
    <w:p w14:paraId="6A301BE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Աղյուսակ 2.4.2.2-7. </w:t>
      </w:r>
      <w:r w:rsidRPr="00394A09">
        <w:rPr>
          <w:rFonts w:ascii="Sylfaen" w:hAnsi="Sylfaen"/>
          <w:i/>
          <w:color w:val="000000"/>
          <w:sz w:val="24"/>
          <w:szCs w:val="24"/>
        </w:rPr>
        <w:t>Մակերեւութային հիդրոլիտիկ կայունության սահմանային արժեքները՝ բոցային ատոմաաբսորբման սպեկտրաչափության մեթոդով</w:t>
      </w:r>
    </w:p>
    <w:tbl>
      <w:tblPr>
        <w:tblW w:w="0" w:type="auto"/>
        <w:tblLayout w:type="fixed"/>
        <w:tblCellMar>
          <w:left w:w="0" w:type="dxa"/>
          <w:right w:w="0" w:type="dxa"/>
        </w:tblCellMar>
        <w:tblLook w:val="0000" w:firstRow="0" w:lastRow="0" w:firstColumn="0" w:lastColumn="0" w:noHBand="0" w:noVBand="0"/>
      </w:tblPr>
      <w:tblGrid>
        <w:gridCol w:w="2410"/>
        <w:gridCol w:w="5387"/>
      </w:tblGrid>
      <w:tr w:rsidR="00AF2D51" w:rsidRPr="00E36B76" w14:paraId="611FC67D" w14:textId="77777777" w:rsidTr="008D6E8B">
        <w:trPr>
          <w:trHeight w:val="383"/>
          <w:tblHeader/>
        </w:trPr>
        <w:tc>
          <w:tcPr>
            <w:tcW w:w="2410" w:type="dxa"/>
            <w:vMerge w:val="restart"/>
            <w:tcBorders>
              <w:top w:val="single" w:sz="4" w:space="0" w:color="auto"/>
              <w:left w:val="nil"/>
              <w:bottom w:val="nil"/>
              <w:right w:val="nil"/>
            </w:tcBorders>
            <w:shd w:val="clear" w:color="auto" w:fill="FFFFFF"/>
          </w:tcPr>
          <w:p w14:paraId="52AAC667" w14:textId="77777777" w:rsidR="00AF2D51" w:rsidRPr="00E36B76" w:rsidRDefault="00AF2D51" w:rsidP="00AF2D51">
            <w:pPr>
              <w:spacing w:after="120"/>
              <w:jc w:val="center"/>
              <w:rPr>
                <w:rFonts w:eastAsia="Times New Roman" w:cs="Times New Roman"/>
                <w:sz w:val="20"/>
                <w:szCs w:val="20"/>
              </w:rPr>
            </w:pPr>
            <w:r w:rsidRPr="00E36B76">
              <w:rPr>
                <w:sz w:val="20"/>
                <w:szCs w:val="20"/>
              </w:rPr>
              <w:t>Լցավորման ծավալը (մլ)</w:t>
            </w:r>
          </w:p>
        </w:tc>
        <w:tc>
          <w:tcPr>
            <w:tcW w:w="5387" w:type="dxa"/>
            <w:vMerge w:val="restart"/>
            <w:tcBorders>
              <w:top w:val="single" w:sz="4" w:space="0" w:color="auto"/>
              <w:left w:val="nil"/>
              <w:bottom w:val="nil"/>
              <w:right w:val="nil"/>
            </w:tcBorders>
            <w:shd w:val="clear" w:color="auto" w:fill="FFFFFF"/>
          </w:tcPr>
          <w:p w14:paraId="7C8A4FAE" w14:textId="77777777" w:rsidR="00AF2D51" w:rsidRPr="00E36B76" w:rsidRDefault="00AF2D51" w:rsidP="00AF2D51">
            <w:pPr>
              <w:spacing w:after="120"/>
              <w:jc w:val="center"/>
              <w:rPr>
                <w:rFonts w:eastAsia="Times New Roman" w:cs="Times New Roman"/>
                <w:sz w:val="20"/>
                <w:szCs w:val="20"/>
              </w:rPr>
            </w:pPr>
            <w:r w:rsidRPr="00E36B76">
              <w:rPr>
                <w:sz w:val="20"/>
                <w:szCs w:val="20"/>
              </w:rPr>
              <w:t>Նատրիումի օքսիդի տեսքով արտահայտված (մկգ/մլ)՝ օքսիդների կոնցենտրացիայի սահմանային արժեքները</w:t>
            </w:r>
          </w:p>
        </w:tc>
      </w:tr>
      <w:tr w:rsidR="00AF2D51" w:rsidRPr="00E36B76" w14:paraId="13793BE0" w14:textId="77777777" w:rsidTr="008D6E8B">
        <w:trPr>
          <w:trHeight w:val="383"/>
          <w:tblHeader/>
        </w:trPr>
        <w:tc>
          <w:tcPr>
            <w:tcW w:w="2410" w:type="dxa"/>
            <w:vMerge/>
            <w:tcBorders>
              <w:top w:val="nil"/>
              <w:left w:val="nil"/>
              <w:bottom w:val="nil"/>
              <w:right w:val="nil"/>
            </w:tcBorders>
            <w:shd w:val="clear" w:color="auto" w:fill="FFFFFF"/>
          </w:tcPr>
          <w:p w14:paraId="1B0E820E" w14:textId="77777777" w:rsidR="00AF2D51" w:rsidRPr="00E36B76" w:rsidRDefault="00AF2D51" w:rsidP="00AF2D51">
            <w:pPr>
              <w:spacing w:after="120"/>
              <w:jc w:val="center"/>
              <w:rPr>
                <w:rFonts w:eastAsia="Times New Roman" w:cs="Times New Roman"/>
                <w:sz w:val="20"/>
                <w:szCs w:val="20"/>
              </w:rPr>
            </w:pPr>
          </w:p>
        </w:tc>
        <w:tc>
          <w:tcPr>
            <w:tcW w:w="5387" w:type="dxa"/>
            <w:vMerge/>
            <w:tcBorders>
              <w:top w:val="nil"/>
              <w:left w:val="nil"/>
              <w:bottom w:val="nil"/>
              <w:right w:val="nil"/>
            </w:tcBorders>
            <w:shd w:val="clear" w:color="auto" w:fill="FFFFFF"/>
          </w:tcPr>
          <w:p w14:paraId="16A001FE" w14:textId="77777777" w:rsidR="00AF2D51" w:rsidRPr="00E36B76" w:rsidRDefault="00AF2D51" w:rsidP="00AF2D51">
            <w:pPr>
              <w:spacing w:after="120"/>
              <w:jc w:val="center"/>
              <w:rPr>
                <w:rFonts w:eastAsia="Times New Roman" w:cs="Times New Roman"/>
                <w:sz w:val="20"/>
                <w:szCs w:val="20"/>
              </w:rPr>
            </w:pPr>
          </w:p>
        </w:tc>
      </w:tr>
      <w:tr w:rsidR="00AF2D51" w:rsidRPr="00E36B76" w14:paraId="014A48C1" w14:textId="77777777" w:rsidTr="008D6E8B">
        <w:trPr>
          <w:trHeight w:val="383"/>
          <w:tblHeader/>
        </w:trPr>
        <w:tc>
          <w:tcPr>
            <w:tcW w:w="2410" w:type="dxa"/>
            <w:vMerge/>
            <w:tcBorders>
              <w:top w:val="nil"/>
              <w:left w:val="nil"/>
              <w:bottom w:val="nil"/>
              <w:right w:val="nil"/>
            </w:tcBorders>
            <w:shd w:val="clear" w:color="auto" w:fill="FFFFFF"/>
          </w:tcPr>
          <w:p w14:paraId="2CFAC89B" w14:textId="77777777" w:rsidR="00AF2D51" w:rsidRPr="00E36B76" w:rsidRDefault="00AF2D51" w:rsidP="00AF2D51">
            <w:pPr>
              <w:spacing w:after="120"/>
              <w:jc w:val="center"/>
              <w:rPr>
                <w:rFonts w:eastAsia="Times New Roman" w:cs="Times New Roman"/>
                <w:sz w:val="20"/>
                <w:szCs w:val="20"/>
              </w:rPr>
            </w:pPr>
          </w:p>
        </w:tc>
        <w:tc>
          <w:tcPr>
            <w:tcW w:w="5387" w:type="dxa"/>
            <w:vMerge/>
            <w:tcBorders>
              <w:top w:val="nil"/>
              <w:left w:val="nil"/>
              <w:bottom w:val="nil"/>
              <w:right w:val="nil"/>
            </w:tcBorders>
            <w:shd w:val="clear" w:color="auto" w:fill="FFFFFF"/>
          </w:tcPr>
          <w:p w14:paraId="2BEEC00C" w14:textId="77777777" w:rsidR="00AF2D51" w:rsidRPr="00E36B76" w:rsidRDefault="00AF2D51" w:rsidP="00AF2D51">
            <w:pPr>
              <w:spacing w:after="120"/>
              <w:jc w:val="center"/>
              <w:rPr>
                <w:rFonts w:eastAsia="Times New Roman" w:cs="Times New Roman"/>
                <w:sz w:val="20"/>
                <w:szCs w:val="20"/>
              </w:rPr>
            </w:pPr>
          </w:p>
        </w:tc>
      </w:tr>
      <w:tr w:rsidR="00AF2D51" w:rsidRPr="00E36B76" w14:paraId="0C5AFE6A" w14:textId="77777777" w:rsidTr="008D6E8B">
        <w:trPr>
          <w:trHeight w:val="383"/>
          <w:tblHeader/>
        </w:trPr>
        <w:tc>
          <w:tcPr>
            <w:tcW w:w="2410" w:type="dxa"/>
            <w:vMerge/>
            <w:tcBorders>
              <w:top w:val="nil"/>
              <w:left w:val="nil"/>
              <w:bottom w:val="nil"/>
              <w:right w:val="nil"/>
            </w:tcBorders>
            <w:shd w:val="clear" w:color="auto" w:fill="FFFFFF"/>
          </w:tcPr>
          <w:p w14:paraId="19D5D707" w14:textId="77777777" w:rsidR="00AF2D51" w:rsidRPr="00E36B76" w:rsidRDefault="00AF2D51" w:rsidP="00AF2D51">
            <w:pPr>
              <w:spacing w:after="120"/>
              <w:jc w:val="center"/>
              <w:rPr>
                <w:rFonts w:eastAsia="Times New Roman" w:cs="Times New Roman"/>
                <w:sz w:val="20"/>
                <w:szCs w:val="20"/>
              </w:rPr>
            </w:pPr>
          </w:p>
        </w:tc>
        <w:tc>
          <w:tcPr>
            <w:tcW w:w="5387" w:type="dxa"/>
            <w:vMerge w:val="restart"/>
            <w:tcBorders>
              <w:top w:val="single" w:sz="4" w:space="0" w:color="auto"/>
              <w:left w:val="nil"/>
              <w:bottom w:val="nil"/>
              <w:right w:val="nil"/>
            </w:tcBorders>
            <w:shd w:val="clear" w:color="auto" w:fill="FFFFFF"/>
          </w:tcPr>
          <w:p w14:paraId="3BA6E2E3" w14:textId="77777777" w:rsidR="00AF2D51" w:rsidRPr="00E36B76" w:rsidRDefault="00AF2D51" w:rsidP="00AF2D51">
            <w:pPr>
              <w:spacing w:after="120"/>
              <w:jc w:val="center"/>
              <w:rPr>
                <w:rFonts w:eastAsia="Times New Roman" w:cs="Times New Roman"/>
                <w:sz w:val="20"/>
                <w:szCs w:val="20"/>
              </w:rPr>
            </w:pPr>
            <w:r w:rsidRPr="00E36B76">
              <w:rPr>
                <w:sz w:val="20"/>
                <w:szCs w:val="20"/>
              </w:rPr>
              <w:t>Փաթեթվածքի ապակու տեսակը՝ I եւ II տիպի</w:t>
            </w:r>
          </w:p>
        </w:tc>
      </w:tr>
      <w:tr w:rsidR="00AF2D51" w:rsidRPr="00E36B76" w14:paraId="7A29C297" w14:textId="77777777" w:rsidTr="008D6E8B">
        <w:trPr>
          <w:trHeight w:val="383"/>
          <w:tblHeader/>
        </w:trPr>
        <w:tc>
          <w:tcPr>
            <w:tcW w:w="2410" w:type="dxa"/>
            <w:vMerge/>
            <w:tcBorders>
              <w:top w:val="nil"/>
              <w:left w:val="nil"/>
              <w:bottom w:val="nil"/>
              <w:right w:val="nil"/>
            </w:tcBorders>
            <w:shd w:val="clear" w:color="auto" w:fill="FFFFFF"/>
            <w:vAlign w:val="center"/>
          </w:tcPr>
          <w:p w14:paraId="19DEDF82" w14:textId="77777777" w:rsidR="00AF2D51" w:rsidRPr="00E36B76" w:rsidRDefault="00AF2D51" w:rsidP="00AF2D51">
            <w:pPr>
              <w:spacing w:after="120"/>
              <w:rPr>
                <w:rFonts w:eastAsia="Times New Roman" w:cs="Times New Roman"/>
                <w:sz w:val="20"/>
                <w:szCs w:val="20"/>
              </w:rPr>
            </w:pPr>
          </w:p>
        </w:tc>
        <w:tc>
          <w:tcPr>
            <w:tcW w:w="5387" w:type="dxa"/>
            <w:vMerge/>
            <w:tcBorders>
              <w:top w:val="nil"/>
              <w:left w:val="nil"/>
              <w:bottom w:val="nil"/>
              <w:right w:val="nil"/>
            </w:tcBorders>
            <w:shd w:val="clear" w:color="auto" w:fill="FFFFFF"/>
            <w:vAlign w:val="bottom"/>
          </w:tcPr>
          <w:p w14:paraId="16313E25" w14:textId="77777777" w:rsidR="00AF2D51" w:rsidRPr="00E36B76" w:rsidRDefault="00AF2D51" w:rsidP="00AF2D51">
            <w:pPr>
              <w:spacing w:after="120"/>
              <w:rPr>
                <w:rFonts w:eastAsia="Times New Roman" w:cs="Times New Roman"/>
                <w:sz w:val="20"/>
                <w:szCs w:val="20"/>
              </w:rPr>
            </w:pPr>
          </w:p>
        </w:tc>
      </w:tr>
      <w:tr w:rsidR="00AF2D51" w:rsidRPr="00E36B76" w14:paraId="464BD5C6" w14:textId="77777777" w:rsidTr="008D6E8B">
        <w:tc>
          <w:tcPr>
            <w:tcW w:w="2410" w:type="dxa"/>
            <w:tcBorders>
              <w:top w:val="single" w:sz="4" w:space="0" w:color="auto"/>
              <w:left w:val="nil"/>
              <w:bottom w:val="nil"/>
              <w:right w:val="nil"/>
            </w:tcBorders>
            <w:shd w:val="clear" w:color="auto" w:fill="FFFFFF"/>
            <w:vAlign w:val="bottom"/>
          </w:tcPr>
          <w:p w14:paraId="2F1B210E" w14:textId="77777777" w:rsidR="00AF2D51" w:rsidRPr="00E36B76" w:rsidRDefault="00AF2D51" w:rsidP="00AF2D51">
            <w:pPr>
              <w:spacing w:after="120"/>
              <w:rPr>
                <w:rFonts w:eastAsia="Times New Roman" w:cs="Times New Roman"/>
                <w:sz w:val="20"/>
                <w:szCs w:val="20"/>
              </w:rPr>
            </w:pPr>
            <w:r w:rsidRPr="00E36B76">
              <w:rPr>
                <w:sz w:val="20"/>
                <w:szCs w:val="20"/>
              </w:rPr>
              <w:t>Մինչեւ 0,5</w:t>
            </w:r>
          </w:p>
        </w:tc>
        <w:tc>
          <w:tcPr>
            <w:tcW w:w="5387" w:type="dxa"/>
            <w:tcBorders>
              <w:top w:val="single" w:sz="4" w:space="0" w:color="auto"/>
              <w:left w:val="nil"/>
              <w:bottom w:val="nil"/>
              <w:right w:val="nil"/>
            </w:tcBorders>
            <w:shd w:val="clear" w:color="auto" w:fill="FFFFFF"/>
            <w:vAlign w:val="bottom"/>
          </w:tcPr>
          <w:p w14:paraId="3ECFD5DA" w14:textId="77777777" w:rsidR="00AF2D51" w:rsidRPr="00E36B76" w:rsidRDefault="00AF2D51" w:rsidP="00AF2D51">
            <w:pPr>
              <w:spacing w:after="120"/>
              <w:jc w:val="center"/>
              <w:rPr>
                <w:rFonts w:eastAsia="Times New Roman" w:cs="Times New Roman"/>
                <w:sz w:val="20"/>
                <w:szCs w:val="20"/>
              </w:rPr>
            </w:pPr>
            <w:r w:rsidRPr="00E36B76">
              <w:rPr>
                <w:sz w:val="20"/>
                <w:szCs w:val="20"/>
              </w:rPr>
              <w:t>7,50</w:t>
            </w:r>
          </w:p>
        </w:tc>
      </w:tr>
      <w:tr w:rsidR="00AF2D51" w:rsidRPr="00E36B76" w14:paraId="3B1AC5C7" w14:textId="77777777" w:rsidTr="008D6E8B">
        <w:tc>
          <w:tcPr>
            <w:tcW w:w="2410" w:type="dxa"/>
            <w:tcBorders>
              <w:top w:val="nil"/>
              <w:left w:val="nil"/>
              <w:bottom w:val="nil"/>
              <w:right w:val="nil"/>
            </w:tcBorders>
            <w:shd w:val="clear" w:color="auto" w:fill="FFFFFF"/>
            <w:vAlign w:val="bottom"/>
          </w:tcPr>
          <w:p w14:paraId="6654F501" w14:textId="77777777" w:rsidR="00AF2D51" w:rsidRPr="00E36B76" w:rsidRDefault="00AF2D51" w:rsidP="00AF2D51">
            <w:pPr>
              <w:spacing w:after="120"/>
              <w:rPr>
                <w:rFonts w:eastAsia="Times New Roman" w:cs="Times New Roman"/>
                <w:sz w:val="20"/>
                <w:szCs w:val="20"/>
              </w:rPr>
            </w:pPr>
            <w:r w:rsidRPr="00E36B76">
              <w:rPr>
                <w:sz w:val="20"/>
                <w:szCs w:val="20"/>
              </w:rPr>
              <w:t>0,5-ից մինչեւ 1</w:t>
            </w:r>
          </w:p>
        </w:tc>
        <w:tc>
          <w:tcPr>
            <w:tcW w:w="5387" w:type="dxa"/>
            <w:tcBorders>
              <w:top w:val="nil"/>
              <w:left w:val="nil"/>
              <w:bottom w:val="nil"/>
              <w:right w:val="nil"/>
            </w:tcBorders>
            <w:shd w:val="clear" w:color="auto" w:fill="FFFFFF"/>
            <w:vAlign w:val="bottom"/>
          </w:tcPr>
          <w:p w14:paraId="64480CAA" w14:textId="77777777" w:rsidR="00AF2D51" w:rsidRPr="00E36B76" w:rsidRDefault="00AF2D51" w:rsidP="00AF2D51">
            <w:pPr>
              <w:spacing w:after="120"/>
              <w:jc w:val="center"/>
              <w:rPr>
                <w:rFonts w:eastAsia="Times New Roman" w:cs="Times New Roman"/>
                <w:sz w:val="20"/>
                <w:szCs w:val="20"/>
              </w:rPr>
            </w:pPr>
            <w:r w:rsidRPr="00E36B76">
              <w:rPr>
                <w:sz w:val="20"/>
                <w:szCs w:val="20"/>
              </w:rPr>
              <w:t>5,00</w:t>
            </w:r>
          </w:p>
        </w:tc>
      </w:tr>
      <w:tr w:rsidR="00AF2D51" w:rsidRPr="00E36B76" w14:paraId="0E39ED9C" w14:textId="77777777" w:rsidTr="008D6E8B">
        <w:tc>
          <w:tcPr>
            <w:tcW w:w="2410" w:type="dxa"/>
            <w:tcBorders>
              <w:top w:val="nil"/>
              <w:left w:val="nil"/>
              <w:bottom w:val="nil"/>
              <w:right w:val="nil"/>
            </w:tcBorders>
            <w:shd w:val="clear" w:color="auto" w:fill="FFFFFF"/>
          </w:tcPr>
          <w:p w14:paraId="0D222BFA" w14:textId="77777777" w:rsidR="00AF2D51" w:rsidRPr="00E36B76" w:rsidRDefault="00AF2D51" w:rsidP="00AF2D51">
            <w:pPr>
              <w:spacing w:after="120"/>
              <w:rPr>
                <w:rFonts w:eastAsia="Times New Roman" w:cs="Times New Roman"/>
                <w:sz w:val="20"/>
                <w:szCs w:val="20"/>
              </w:rPr>
            </w:pPr>
            <w:r w:rsidRPr="00E36B76">
              <w:rPr>
                <w:sz w:val="20"/>
                <w:szCs w:val="20"/>
              </w:rPr>
              <w:t>1-ից մինչեւ 2</w:t>
            </w:r>
          </w:p>
        </w:tc>
        <w:tc>
          <w:tcPr>
            <w:tcW w:w="5387" w:type="dxa"/>
            <w:tcBorders>
              <w:top w:val="nil"/>
              <w:left w:val="nil"/>
              <w:bottom w:val="nil"/>
              <w:right w:val="nil"/>
            </w:tcBorders>
            <w:shd w:val="clear" w:color="auto" w:fill="FFFFFF"/>
          </w:tcPr>
          <w:p w14:paraId="72FDD0A3" w14:textId="77777777" w:rsidR="00AF2D51" w:rsidRPr="00E36B76" w:rsidRDefault="00AF2D51" w:rsidP="00AF2D51">
            <w:pPr>
              <w:spacing w:after="120"/>
              <w:jc w:val="center"/>
              <w:rPr>
                <w:rFonts w:eastAsia="Times New Roman" w:cs="Times New Roman"/>
                <w:sz w:val="20"/>
                <w:szCs w:val="20"/>
              </w:rPr>
            </w:pPr>
            <w:r w:rsidRPr="00E36B76">
              <w:rPr>
                <w:sz w:val="20"/>
                <w:szCs w:val="20"/>
              </w:rPr>
              <w:t>4,50</w:t>
            </w:r>
          </w:p>
        </w:tc>
      </w:tr>
      <w:tr w:rsidR="00AF2D51" w:rsidRPr="00E36B76" w14:paraId="1695ABE9" w14:textId="77777777" w:rsidTr="008D6E8B">
        <w:tc>
          <w:tcPr>
            <w:tcW w:w="2410" w:type="dxa"/>
            <w:tcBorders>
              <w:top w:val="nil"/>
              <w:left w:val="nil"/>
              <w:bottom w:val="nil"/>
              <w:right w:val="nil"/>
            </w:tcBorders>
            <w:shd w:val="clear" w:color="auto" w:fill="FFFFFF"/>
            <w:vAlign w:val="bottom"/>
          </w:tcPr>
          <w:p w14:paraId="5F5D3ED4" w14:textId="77777777" w:rsidR="00AF2D51" w:rsidRPr="00E36B76" w:rsidRDefault="00AF2D51" w:rsidP="00AF2D51">
            <w:pPr>
              <w:spacing w:after="120"/>
              <w:rPr>
                <w:rFonts w:eastAsia="Times New Roman" w:cs="Times New Roman"/>
                <w:sz w:val="20"/>
                <w:szCs w:val="20"/>
              </w:rPr>
            </w:pPr>
            <w:r w:rsidRPr="00E36B76">
              <w:rPr>
                <w:sz w:val="20"/>
                <w:szCs w:val="20"/>
              </w:rPr>
              <w:t>2-ից մինչեւ 3</w:t>
            </w:r>
          </w:p>
        </w:tc>
        <w:tc>
          <w:tcPr>
            <w:tcW w:w="5387" w:type="dxa"/>
            <w:tcBorders>
              <w:top w:val="nil"/>
              <w:left w:val="nil"/>
              <w:bottom w:val="nil"/>
              <w:right w:val="nil"/>
            </w:tcBorders>
            <w:shd w:val="clear" w:color="auto" w:fill="FFFFFF"/>
            <w:vAlign w:val="bottom"/>
          </w:tcPr>
          <w:p w14:paraId="17403DF5" w14:textId="77777777" w:rsidR="00AF2D51" w:rsidRPr="00E36B76" w:rsidRDefault="00AF2D51" w:rsidP="00AF2D51">
            <w:pPr>
              <w:spacing w:after="120"/>
              <w:jc w:val="center"/>
              <w:rPr>
                <w:rFonts w:eastAsia="Times New Roman" w:cs="Times New Roman"/>
                <w:sz w:val="20"/>
                <w:szCs w:val="20"/>
              </w:rPr>
            </w:pPr>
            <w:r w:rsidRPr="00E36B76">
              <w:rPr>
                <w:sz w:val="20"/>
                <w:szCs w:val="20"/>
              </w:rPr>
              <w:t>4,10</w:t>
            </w:r>
          </w:p>
        </w:tc>
      </w:tr>
      <w:tr w:rsidR="00AF2D51" w:rsidRPr="00E36B76" w14:paraId="27E0571B" w14:textId="77777777" w:rsidTr="008D6E8B">
        <w:tc>
          <w:tcPr>
            <w:tcW w:w="2410" w:type="dxa"/>
            <w:tcBorders>
              <w:top w:val="nil"/>
              <w:left w:val="nil"/>
              <w:bottom w:val="nil"/>
              <w:right w:val="nil"/>
            </w:tcBorders>
            <w:shd w:val="clear" w:color="auto" w:fill="FFFFFF"/>
            <w:vAlign w:val="bottom"/>
          </w:tcPr>
          <w:p w14:paraId="06F0BD33" w14:textId="77777777" w:rsidR="00AF2D51" w:rsidRPr="00E36B76" w:rsidRDefault="00AF2D51" w:rsidP="00AF2D51">
            <w:pPr>
              <w:spacing w:after="120"/>
              <w:rPr>
                <w:rFonts w:eastAsia="Times New Roman" w:cs="Times New Roman"/>
                <w:sz w:val="20"/>
                <w:szCs w:val="20"/>
              </w:rPr>
            </w:pPr>
            <w:r w:rsidRPr="00E36B76">
              <w:rPr>
                <w:sz w:val="20"/>
                <w:szCs w:val="20"/>
              </w:rPr>
              <w:t>3-ից մինչեւ 5</w:t>
            </w:r>
          </w:p>
        </w:tc>
        <w:tc>
          <w:tcPr>
            <w:tcW w:w="5387" w:type="dxa"/>
            <w:tcBorders>
              <w:top w:val="nil"/>
              <w:left w:val="nil"/>
              <w:bottom w:val="nil"/>
              <w:right w:val="nil"/>
            </w:tcBorders>
            <w:shd w:val="clear" w:color="auto" w:fill="FFFFFF"/>
            <w:vAlign w:val="bottom"/>
          </w:tcPr>
          <w:p w14:paraId="5C96FFCE" w14:textId="77777777" w:rsidR="00AF2D51" w:rsidRPr="00E36B76" w:rsidRDefault="00AF2D51" w:rsidP="00AF2D51">
            <w:pPr>
              <w:spacing w:after="120"/>
              <w:jc w:val="center"/>
              <w:rPr>
                <w:rFonts w:eastAsia="Times New Roman" w:cs="Times New Roman"/>
                <w:sz w:val="20"/>
                <w:szCs w:val="20"/>
              </w:rPr>
            </w:pPr>
            <w:r w:rsidRPr="00E36B76">
              <w:rPr>
                <w:sz w:val="20"/>
                <w:szCs w:val="20"/>
              </w:rPr>
              <w:t>3,20</w:t>
            </w:r>
          </w:p>
        </w:tc>
      </w:tr>
      <w:tr w:rsidR="00AF2D51" w:rsidRPr="00E36B76" w14:paraId="4796119C" w14:textId="77777777" w:rsidTr="008D6E8B">
        <w:tc>
          <w:tcPr>
            <w:tcW w:w="2410" w:type="dxa"/>
            <w:tcBorders>
              <w:top w:val="nil"/>
              <w:left w:val="nil"/>
              <w:bottom w:val="nil"/>
              <w:right w:val="nil"/>
            </w:tcBorders>
            <w:shd w:val="clear" w:color="auto" w:fill="FFFFFF"/>
            <w:vAlign w:val="bottom"/>
          </w:tcPr>
          <w:p w14:paraId="647A7568" w14:textId="77777777" w:rsidR="00AF2D51" w:rsidRPr="00E36B76" w:rsidRDefault="00AF2D51" w:rsidP="00AF2D51">
            <w:pPr>
              <w:spacing w:after="120"/>
              <w:rPr>
                <w:rFonts w:eastAsia="Times New Roman" w:cs="Times New Roman"/>
                <w:sz w:val="20"/>
                <w:szCs w:val="20"/>
              </w:rPr>
            </w:pPr>
            <w:r w:rsidRPr="00E36B76">
              <w:rPr>
                <w:sz w:val="20"/>
                <w:szCs w:val="20"/>
              </w:rPr>
              <w:t>5-ից մինչեւ 10</w:t>
            </w:r>
          </w:p>
        </w:tc>
        <w:tc>
          <w:tcPr>
            <w:tcW w:w="5387" w:type="dxa"/>
            <w:tcBorders>
              <w:top w:val="nil"/>
              <w:left w:val="nil"/>
              <w:bottom w:val="nil"/>
              <w:right w:val="nil"/>
            </w:tcBorders>
            <w:shd w:val="clear" w:color="auto" w:fill="FFFFFF"/>
            <w:vAlign w:val="bottom"/>
          </w:tcPr>
          <w:p w14:paraId="48F70560" w14:textId="77777777" w:rsidR="00AF2D51" w:rsidRPr="00E36B76" w:rsidRDefault="00AF2D51" w:rsidP="00AF2D51">
            <w:pPr>
              <w:spacing w:after="120"/>
              <w:jc w:val="center"/>
              <w:rPr>
                <w:rFonts w:eastAsia="Times New Roman" w:cs="Times New Roman"/>
                <w:sz w:val="20"/>
                <w:szCs w:val="20"/>
              </w:rPr>
            </w:pPr>
            <w:r w:rsidRPr="00E36B76">
              <w:rPr>
                <w:sz w:val="20"/>
                <w:szCs w:val="20"/>
              </w:rPr>
              <w:t>2,50</w:t>
            </w:r>
          </w:p>
        </w:tc>
      </w:tr>
      <w:tr w:rsidR="00AF2D51" w:rsidRPr="00E36B76" w14:paraId="0427C2B9" w14:textId="77777777" w:rsidTr="008D6E8B">
        <w:tc>
          <w:tcPr>
            <w:tcW w:w="2410" w:type="dxa"/>
            <w:tcBorders>
              <w:top w:val="nil"/>
              <w:left w:val="nil"/>
              <w:bottom w:val="nil"/>
              <w:right w:val="nil"/>
            </w:tcBorders>
            <w:shd w:val="clear" w:color="auto" w:fill="FFFFFF"/>
            <w:vAlign w:val="center"/>
          </w:tcPr>
          <w:p w14:paraId="632E706D" w14:textId="77777777" w:rsidR="00AF2D51" w:rsidRPr="00E36B76" w:rsidRDefault="00AF2D51" w:rsidP="00AF2D51">
            <w:pPr>
              <w:spacing w:after="120"/>
              <w:rPr>
                <w:rFonts w:eastAsia="Times New Roman" w:cs="Times New Roman"/>
                <w:sz w:val="20"/>
                <w:szCs w:val="20"/>
              </w:rPr>
            </w:pPr>
            <w:r w:rsidRPr="00E36B76">
              <w:rPr>
                <w:sz w:val="20"/>
                <w:szCs w:val="20"/>
              </w:rPr>
              <w:t>10-ից մինչեւ 20</w:t>
            </w:r>
          </w:p>
        </w:tc>
        <w:tc>
          <w:tcPr>
            <w:tcW w:w="5387" w:type="dxa"/>
            <w:tcBorders>
              <w:top w:val="nil"/>
              <w:left w:val="nil"/>
              <w:bottom w:val="nil"/>
              <w:right w:val="nil"/>
            </w:tcBorders>
            <w:shd w:val="clear" w:color="auto" w:fill="FFFFFF"/>
            <w:vAlign w:val="center"/>
          </w:tcPr>
          <w:p w14:paraId="079BEEE0" w14:textId="77777777" w:rsidR="00AF2D51" w:rsidRPr="00E36B76" w:rsidRDefault="00AF2D51" w:rsidP="00AF2D51">
            <w:pPr>
              <w:spacing w:after="120"/>
              <w:jc w:val="center"/>
              <w:rPr>
                <w:rFonts w:eastAsia="Times New Roman" w:cs="Times New Roman"/>
                <w:sz w:val="20"/>
                <w:szCs w:val="20"/>
              </w:rPr>
            </w:pPr>
            <w:r w:rsidRPr="00E36B76">
              <w:rPr>
                <w:sz w:val="20"/>
                <w:szCs w:val="20"/>
              </w:rPr>
              <w:t>2,00</w:t>
            </w:r>
          </w:p>
        </w:tc>
      </w:tr>
      <w:tr w:rsidR="00AF2D51" w:rsidRPr="00E36B76" w14:paraId="08E91727" w14:textId="77777777" w:rsidTr="008D6E8B">
        <w:tc>
          <w:tcPr>
            <w:tcW w:w="2410" w:type="dxa"/>
            <w:tcBorders>
              <w:top w:val="nil"/>
              <w:left w:val="nil"/>
              <w:bottom w:val="nil"/>
              <w:right w:val="nil"/>
            </w:tcBorders>
            <w:shd w:val="clear" w:color="auto" w:fill="FFFFFF"/>
            <w:vAlign w:val="bottom"/>
          </w:tcPr>
          <w:p w14:paraId="0465E14B" w14:textId="77777777" w:rsidR="00AF2D51" w:rsidRPr="00E36B76" w:rsidRDefault="00AF2D51" w:rsidP="00AF2D51">
            <w:pPr>
              <w:spacing w:after="120"/>
              <w:rPr>
                <w:rFonts w:eastAsia="Times New Roman" w:cs="Times New Roman"/>
                <w:sz w:val="20"/>
                <w:szCs w:val="20"/>
              </w:rPr>
            </w:pPr>
            <w:r w:rsidRPr="00E36B76">
              <w:rPr>
                <w:sz w:val="20"/>
                <w:szCs w:val="20"/>
              </w:rPr>
              <w:t>20-ից մինչեւ 50</w:t>
            </w:r>
          </w:p>
        </w:tc>
        <w:tc>
          <w:tcPr>
            <w:tcW w:w="5387" w:type="dxa"/>
            <w:tcBorders>
              <w:top w:val="nil"/>
              <w:left w:val="nil"/>
              <w:bottom w:val="nil"/>
              <w:right w:val="nil"/>
            </w:tcBorders>
            <w:shd w:val="clear" w:color="auto" w:fill="FFFFFF"/>
            <w:vAlign w:val="bottom"/>
          </w:tcPr>
          <w:p w14:paraId="5380A28F" w14:textId="77777777" w:rsidR="00AF2D51" w:rsidRPr="00E36B76" w:rsidRDefault="00AF2D51" w:rsidP="00AF2D51">
            <w:pPr>
              <w:spacing w:after="120"/>
              <w:jc w:val="center"/>
              <w:rPr>
                <w:rFonts w:eastAsia="Times New Roman" w:cs="Times New Roman"/>
                <w:sz w:val="20"/>
                <w:szCs w:val="20"/>
              </w:rPr>
            </w:pPr>
            <w:r w:rsidRPr="00E36B76">
              <w:rPr>
                <w:sz w:val="20"/>
                <w:szCs w:val="20"/>
              </w:rPr>
              <w:t>1,50</w:t>
            </w:r>
          </w:p>
        </w:tc>
      </w:tr>
      <w:tr w:rsidR="00AF2D51" w:rsidRPr="00E36B76" w14:paraId="224A37D4" w14:textId="77777777" w:rsidTr="008D6E8B">
        <w:tc>
          <w:tcPr>
            <w:tcW w:w="2410" w:type="dxa"/>
            <w:tcBorders>
              <w:top w:val="nil"/>
              <w:left w:val="nil"/>
              <w:bottom w:val="nil"/>
              <w:right w:val="nil"/>
            </w:tcBorders>
            <w:shd w:val="clear" w:color="auto" w:fill="FFFFFF"/>
            <w:vAlign w:val="center"/>
          </w:tcPr>
          <w:p w14:paraId="7129E66B" w14:textId="77777777" w:rsidR="00AF2D51" w:rsidRPr="00E36B76" w:rsidRDefault="00AF2D51" w:rsidP="00AF2D51">
            <w:pPr>
              <w:spacing w:after="120"/>
              <w:rPr>
                <w:rFonts w:eastAsia="Times New Roman" w:cs="Times New Roman"/>
                <w:sz w:val="20"/>
                <w:szCs w:val="20"/>
              </w:rPr>
            </w:pPr>
            <w:r w:rsidRPr="00E36B76">
              <w:rPr>
                <w:sz w:val="20"/>
                <w:szCs w:val="20"/>
              </w:rPr>
              <w:t>50-ից մինչեւ 100</w:t>
            </w:r>
          </w:p>
        </w:tc>
        <w:tc>
          <w:tcPr>
            <w:tcW w:w="5387" w:type="dxa"/>
            <w:tcBorders>
              <w:top w:val="nil"/>
              <w:left w:val="nil"/>
              <w:bottom w:val="nil"/>
              <w:right w:val="nil"/>
            </w:tcBorders>
            <w:shd w:val="clear" w:color="auto" w:fill="FFFFFF"/>
            <w:vAlign w:val="center"/>
          </w:tcPr>
          <w:p w14:paraId="6F797A00" w14:textId="77777777" w:rsidR="00AF2D51" w:rsidRPr="00E36B76" w:rsidRDefault="00AF2D51" w:rsidP="00AF2D51">
            <w:pPr>
              <w:spacing w:after="120"/>
              <w:jc w:val="center"/>
              <w:rPr>
                <w:rFonts w:eastAsia="Times New Roman" w:cs="Times New Roman"/>
                <w:sz w:val="20"/>
                <w:szCs w:val="20"/>
              </w:rPr>
            </w:pPr>
            <w:r w:rsidRPr="00E36B76">
              <w:rPr>
                <w:sz w:val="20"/>
                <w:szCs w:val="20"/>
              </w:rPr>
              <w:t>1,20</w:t>
            </w:r>
          </w:p>
        </w:tc>
      </w:tr>
      <w:tr w:rsidR="00AF2D51" w:rsidRPr="00E36B76" w14:paraId="280D9922" w14:textId="77777777" w:rsidTr="008D6E8B">
        <w:tc>
          <w:tcPr>
            <w:tcW w:w="2410" w:type="dxa"/>
            <w:tcBorders>
              <w:top w:val="nil"/>
              <w:left w:val="nil"/>
              <w:bottom w:val="nil"/>
              <w:right w:val="nil"/>
            </w:tcBorders>
            <w:shd w:val="clear" w:color="auto" w:fill="FFFFFF"/>
            <w:vAlign w:val="center"/>
          </w:tcPr>
          <w:p w14:paraId="144C942A" w14:textId="77777777" w:rsidR="00AF2D51" w:rsidRPr="00E36B76" w:rsidRDefault="00AF2D51" w:rsidP="00AF2D51">
            <w:pPr>
              <w:spacing w:after="120"/>
              <w:rPr>
                <w:rFonts w:eastAsia="Times New Roman" w:cs="Times New Roman"/>
                <w:sz w:val="20"/>
                <w:szCs w:val="20"/>
              </w:rPr>
            </w:pPr>
            <w:r w:rsidRPr="00E36B76">
              <w:rPr>
                <w:sz w:val="20"/>
                <w:szCs w:val="20"/>
              </w:rPr>
              <w:lastRenderedPageBreak/>
              <w:t>100-ից մինչեւ 200</w:t>
            </w:r>
          </w:p>
        </w:tc>
        <w:tc>
          <w:tcPr>
            <w:tcW w:w="5387" w:type="dxa"/>
            <w:tcBorders>
              <w:top w:val="nil"/>
              <w:left w:val="nil"/>
              <w:bottom w:val="nil"/>
              <w:right w:val="nil"/>
            </w:tcBorders>
            <w:shd w:val="clear" w:color="auto" w:fill="FFFFFF"/>
            <w:vAlign w:val="center"/>
          </w:tcPr>
          <w:p w14:paraId="58DCC20F" w14:textId="77777777" w:rsidR="00AF2D51" w:rsidRPr="00E36B76" w:rsidRDefault="00AF2D51" w:rsidP="00AF2D51">
            <w:pPr>
              <w:spacing w:after="120"/>
              <w:jc w:val="center"/>
              <w:rPr>
                <w:rFonts w:eastAsia="Times New Roman" w:cs="Times New Roman"/>
                <w:sz w:val="20"/>
                <w:szCs w:val="20"/>
              </w:rPr>
            </w:pPr>
            <w:r w:rsidRPr="00E36B76">
              <w:rPr>
                <w:sz w:val="20"/>
                <w:szCs w:val="20"/>
              </w:rPr>
              <w:t>1,00</w:t>
            </w:r>
          </w:p>
        </w:tc>
      </w:tr>
      <w:tr w:rsidR="00AF2D51" w:rsidRPr="00E36B76" w14:paraId="18C15BDD" w14:textId="77777777" w:rsidTr="008D6E8B">
        <w:tc>
          <w:tcPr>
            <w:tcW w:w="2410" w:type="dxa"/>
            <w:tcBorders>
              <w:top w:val="nil"/>
              <w:left w:val="nil"/>
              <w:bottom w:val="nil"/>
              <w:right w:val="nil"/>
            </w:tcBorders>
            <w:shd w:val="clear" w:color="auto" w:fill="FFFFFF"/>
            <w:vAlign w:val="bottom"/>
          </w:tcPr>
          <w:p w14:paraId="2CB88578" w14:textId="77777777" w:rsidR="00AF2D51" w:rsidRPr="00E36B76" w:rsidRDefault="00AF2D51" w:rsidP="00AF2D51">
            <w:pPr>
              <w:spacing w:after="120"/>
              <w:rPr>
                <w:rFonts w:eastAsia="Times New Roman" w:cs="Times New Roman"/>
                <w:sz w:val="20"/>
                <w:szCs w:val="20"/>
              </w:rPr>
            </w:pPr>
            <w:r w:rsidRPr="00E36B76">
              <w:rPr>
                <w:sz w:val="20"/>
                <w:szCs w:val="20"/>
              </w:rPr>
              <w:t>200-ից մինչեւ 500</w:t>
            </w:r>
          </w:p>
        </w:tc>
        <w:tc>
          <w:tcPr>
            <w:tcW w:w="5387" w:type="dxa"/>
            <w:tcBorders>
              <w:top w:val="nil"/>
              <w:left w:val="nil"/>
              <w:bottom w:val="nil"/>
              <w:right w:val="nil"/>
            </w:tcBorders>
            <w:shd w:val="clear" w:color="auto" w:fill="FFFFFF"/>
            <w:vAlign w:val="bottom"/>
          </w:tcPr>
          <w:p w14:paraId="3DE51773" w14:textId="77777777" w:rsidR="00AF2D51" w:rsidRPr="00E36B76" w:rsidRDefault="00AF2D51" w:rsidP="00AF2D51">
            <w:pPr>
              <w:spacing w:after="120"/>
              <w:jc w:val="center"/>
              <w:rPr>
                <w:rFonts w:eastAsia="Times New Roman" w:cs="Times New Roman"/>
                <w:sz w:val="20"/>
                <w:szCs w:val="20"/>
              </w:rPr>
            </w:pPr>
            <w:r w:rsidRPr="00E36B76">
              <w:rPr>
                <w:sz w:val="20"/>
                <w:szCs w:val="20"/>
              </w:rPr>
              <w:t>0,75</w:t>
            </w:r>
          </w:p>
        </w:tc>
      </w:tr>
      <w:tr w:rsidR="00AF2D51" w:rsidRPr="00E36B76" w14:paraId="1A971686" w14:textId="77777777" w:rsidTr="008D6E8B">
        <w:tc>
          <w:tcPr>
            <w:tcW w:w="2410" w:type="dxa"/>
            <w:tcBorders>
              <w:top w:val="nil"/>
              <w:left w:val="nil"/>
              <w:bottom w:val="single" w:sz="4" w:space="0" w:color="auto"/>
              <w:right w:val="nil"/>
            </w:tcBorders>
            <w:shd w:val="clear" w:color="auto" w:fill="FFFFFF"/>
            <w:vAlign w:val="bottom"/>
          </w:tcPr>
          <w:p w14:paraId="4CEDF2E5" w14:textId="77777777" w:rsidR="00AF2D51" w:rsidRPr="00E36B76" w:rsidRDefault="00AF2D51" w:rsidP="00AF2D51">
            <w:pPr>
              <w:spacing w:after="120"/>
              <w:rPr>
                <w:rFonts w:eastAsia="Times New Roman" w:cs="Times New Roman"/>
                <w:sz w:val="20"/>
                <w:szCs w:val="20"/>
              </w:rPr>
            </w:pPr>
            <w:r w:rsidRPr="00E36B76">
              <w:rPr>
                <w:sz w:val="20"/>
                <w:szCs w:val="20"/>
              </w:rPr>
              <w:t>500-ից ավելի</w:t>
            </w:r>
          </w:p>
        </w:tc>
        <w:tc>
          <w:tcPr>
            <w:tcW w:w="5387" w:type="dxa"/>
            <w:tcBorders>
              <w:top w:val="nil"/>
              <w:left w:val="nil"/>
              <w:bottom w:val="single" w:sz="4" w:space="0" w:color="auto"/>
              <w:right w:val="nil"/>
            </w:tcBorders>
            <w:shd w:val="clear" w:color="auto" w:fill="FFFFFF"/>
            <w:vAlign w:val="bottom"/>
          </w:tcPr>
          <w:p w14:paraId="5F8C0B37" w14:textId="77777777" w:rsidR="00AF2D51" w:rsidRPr="00E36B76" w:rsidRDefault="00AF2D51" w:rsidP="00AF2D51">
            <w:pPr>
              <w:spacing w:after="120"/>
              <w:jc w:val="center"/>
              <w:rPr>
                <w:rFonts w:eastAsia="Times New Roman" w:cs="Times New Roman"/>
                <w:sz w:val="20"/>
                <w:szCs w:val="20"/>
              </w:rPr>
            </w:pPr>
            <w:r w:rsidRPr="00E36B76">
              <w:rPr>
                <w:sz w:val="20"/>
                <w:szCs w:val="20"/>
              </w:rPr>
              <w:t>0,50</w:t>
            </w:r>
          </w:p>
        </w:tc>
      </w:tr>
    </w:tbl>
    <w:p w14:paraId="3147C87B"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p>
    <w:p w14:paraId="29E2DA32"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կալիումի օքսիդի 1 մկգ-ը համապատասխանում է նատրիումի օքսիդի 0,658 մկգ-ին.</w:t>
      </w:r>
    </w:p>
    <w:p w14:paraId="7ED97CE3"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կալցիումի օքսիդի 1 մկգ-ը համապատասխանում է նատրիումի օքսիդի 1,105 մկգ-ին:</w:t>
      </w:r>
    </w:p>
    <w:p w14:paraId="789910A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Պարունակության սահմանները. </w:t>
      </w:r>
      <w:r w:rsidRPr="00394A09">
        <w:rPr>
          <w:rFonts w:ascii="Sylfaen" w:hAnsi="Sylfaen"/>
          <w:sz w:val="24"/>
          <w:szCs w:val="24"/>
        </w:rPr>
        <w:t>Մակերեւութային հիդրոլիտիկ կայունության սահմանային արժեքները յուրաքանչյուր փորձարկվող փաթեթվածքի համար ներկայացված են 2.4.2.2-7 աղյուսակում:</w:t>
      </w:r>
    </w:p>
    <w:p w14:paraId="232141DF" w14:textId="77777777" w:rsidR="001827DA" w:rsidRPr="00903268" w:rsidRDefault="001827DA" w:rsidP="00AF2D51">
      <w:pPr>
        <w:pStyle w:val="a0"/>
        <w:shd w:val="clear" w:color="auto" w:fill="auto"/>
        <w:spacing w:after="160" w:line="360" w:lineRule="auto"/>
        <w:ind w:firstLine="567"/>
        <w:jc w:val="right"/>
        <w:rPr>
          <w:rFonts w:ascii="Sylfaen" w:hAnsi="Sylfaen"/>
          <w:b/>
          <w:szCs w:val="24"/>
        </w:rPr>
      </w:pPr>
    </w:p>
    <w:p w14:paraId="4DE8C215" w14:textId="77777777" w:rsidR="00AF2D51" w:rsidRPr="00AF2D51" w:rsidRDefault="00AF2D51" w:rsidP="00AF2D51">
      <w:pPr>
        <w:pStyle w:val="a0"/>
        <w:shd w:val="clear" w:color="auto" w:fill="auto"/>
        <w:spacing w:after="160" w:line="360" w:lineRule="auto"/>
        <w:ind w:firstLine="567"/>
        <w:jc w:val="right"/>
        <w:rPr>
          <w:rFonts w:ascii="Sylfaen" w:hAnsi="Sylfaen"/>
          <w:b/>
          <w:szCs w:val="24"/>
        </w:rPr>
      </w:pPr>
      <w:r w:rsidRPr="00E36B76">
        <w:rPr>
          <w:rFonts w:ascii="Sylfaen" w:hAnsi="Sylfaen"/>
          <w:b/>
          <w:szCs w:val="24"/>
        </w:rPr>
        <w:t>204020003-2022</w:t>
      </w:r>
    </w:p>
    <w:p w14:paraId="756A70B3" w14:textId="77777777" w:rsidR="00AF2D51" w:rsidRPr="00AF2D51" w:rsidRDefault="00AF2D51" w:rsidP="00AF2D51">
      <w:pPr>
        <w:pStyle w:val="a0"/>
        <w:shd w:val="clear" w:color="auto" w:fill="auto"/>
        <w:spacing w:after="160" w:line="360" w:lineRule="auto"/>
        <w:ind w:firstLine="567"/>
        <w:jc w:val="right"/>
        <w:rPr>
          <w:rFonts w:ascii="Sylfaen" w:hAnsi="Sylfaen" w:cs="Sylfaen"/>
          <w:szCs w:val="24"/>
        </w:rPr>
      </w:pPr>
    </w:p>
    <w:p w14:paraId="0F727166" w14:textId="77777777" w:rsidR="00AF2D51" w:rsidRPr="00394A09" w:rsidRDefault="00AF2D51" w:rsidP="00AF2D51">
      <w:pPr>
        <w:pStyle w:val="a0"/>
        <w:shd w:val="clear" w:color="auto" w:fill="auto"/>
        <w:tabs>
          <w:tab w:val="left" w:pos="1701"/>
        </w:tabs>
        <w:spacing w:after="160" w:line="360" w:lineRule="auto"/>
        <w:ind w:firstLine="567"/>
        <w:jc w:val="both"/>
        <w:rPr>
          <w:rFonts w:ascii="Sylfaen" w:hAnsi="Sylfaen" w:cs="Sylfaen"/>
          <w:sz w:val="24"/>
          <w:szCs w:val="24"/>
        </w:rPr>
      </w:pPr>
      <w:r w:rsidRPr="00394A09">
        <w:rPr>
          <w:rFonts w:ascii="Sylfaen" w:hAnsi="Sylfaen"/>
          <w:b/>
          <w:sz w:val="24"/>
          <w:szCs w:val="24"/>
        </w:rPr>
        <w:t>2.4.2.З.</w:t>
      </w:r>
      <w:r w:rsidRPr="00AF2D51">
        <w:rPr>
          <w:rFonts w:ascii="Sylfaen" w:hAnsi="Sylfaen"/>
          <w:b/>
          <w:sz w:val="24"/>
          <w:szCs w:val="24"/>
        </w:rPr>
        <w:tab/>
      </w:r>
      <w:r w:rsidRPr="00394A09">
        <w:rPr>
          <w:rFonts w:ascii="Sylfaen" w:hAnsi="Sylfaen"/>
          <w:b/>
          <w:sz w:val="24"/>
          <w:szCs w:val="24"/>
        </w:rPr>
        <w:t>Դեղագործական կիրառման պոլիմերային փաթեթվածքներն ու խցանափակման միջոցները</w:t>
      </w:r>
    </w:p>
    <w:p w14:paraId="34751EF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Դեղագործական կիրառման պոլիմերային փաթեթվածքը պոլիմերային նյութից պատրաստված արտադրատեսակ է, որը պարունակում է կամ կարող է պարունակել ակտիվ դեղագործական բաղադրամաս կամ դեղապատրաստուկ </w:t>
      </w:r>
      <w:r>
        <w:rPr>
          <w:rFonts w:ascii="Sylfaen" w:hAnsi="Sylfaen"/>
          <w:sz w:val="24"/>
          <w:szCs w:val="24"/>
        </w:rPr>
        <w:t>եւ</w:t>
      </w:r>
      <w:r w:rsidRPr="00394A09">
        <w:rPr>
          <w:rFonts w:ascii="Sylfaen" w:hAnsi="Sylfaen"/>
          <w:sz w:val="24"/>
          <w:szCs w:val="24"/>
        </w:rPr>
        <w:t xml:space="preserve"> գտնվում է կամ կարող է գտնվել դրանց հետ անմիջական շփման մեջ: Խցանափակման միջոցը փաթեթվածքի մի մասն է:</w:t>
      </w:r>
    </w:p>
    <w:p w14:paraId="0C31931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Դեղագործական կիրառման պոլիմերային փաթեթվածքները </w:t>
      </w:r>
      <w:r>
        <w:rPr>
          <w:rFonts w:ascii="Sylfaen" w:hAnsi="Sylfaen"/>
          <w:sz w:val="24"/>
          <w:szCs w:val="24"/>
        </w:rPr>
        <w:t>եւ</w:t>
      </w:r>
      <w:r w:rsidRPr="00394A09">
        <w:rPr>
          <w:rFonts w:ascii="Sylfaen" w:hAnsi="Sylfaen"/>
          <w:sz w:val="24"/>
          <w:szCs w:val="24"/>
        </w:rPr>
        <w:t xml:space="preserve"> խցանափակման միջոցներն արտադրվում են այնպիսի նյութերից, որոնք կարող են </w:t>
      </w:r>
      <w:r w:rsidRPr="00394A09">
        <w:rPr>
          <w:rFonts w:ascii="Sylfaen" w:hAnsi="Sylfaen"/>
          <w:sz w:val="24"/>
          <w:szCs w:val="24"/>
        </w:rPr>
        <w:lastRenderedPageBreak/>
        <w:t>որոշակի հավելանյութեր պարունակել: Պոլիմերային փաթեթվածքները չպետք է պարունակեն որ</w:t>
      </w:r>
      <w:r>
        <w:rPr>
          <w:rFonts w:ascii="Sylfaen" w:hAnsi="Sylfaen"/>
          <w:sz w:val="24"/>
          <w:szCs w:val="24"/>
        </w:rPr>
        <w:t>եւ</w:t>
      </w:r>
      <w:r w:rsidRPr="00394A09">
        <w:rPr>
          <w:rFonts w:ascii="Sylfaen" w:hAnsi="Sylfaen"/>
          <w:sz w:val="24"/>
          <w:szCs w:val="24"/>
        </w:rPr>
        <w:t>է նյութ, որի միգրացիան դեղապատրաստուկի մեջ կարող է էապես ազդել վերջինիս անվտանգության, արդյունավետության կամ կայունության վրա:</w:t>
      </w:r>
    </w:p>
    <w:p w14:paraId="64E4BD6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Առավել հաճախ օգտագործվող պոլիմերներն են պոլիէթիլենը (հավելանյութ պարունակող կամ չպարունակող), պոլիպրոպիլենը, պոլիվինիլքլորիդը, պոլիէթիլենտերեֆտալատը </w:t>
      </w:r>
      <w:r>
        <w:rPr>
          <w:rFonts w:ascii="Sylfaen" w:hAnsi="Sylfaen"/>
          <w:sz w:val="24"/>
          <w:szCs w:val="24"/>
        </w:rPr>
        <w:t>եւ</w:t>
      </w:r>
      <w:r w:rsidRPr="00394A09">
        <w:rPr>
          <w:rFonts w:ascii="Sylfaen" w:hAnsi="Sylfaen"/>
          <w:sz w:val="24"/>
          <w:szCs w:val="24"/>
        </w:rPr>
        <w:t xml:space="preserve"> պոլիէթիլենվինիլացետատը:</w:t>
      </w:r>
    </w:p>
    <w:p w14:paraId="3642454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Հավելանյութերի բնույթն ու քանակը որոշվում են պոլիմերի տեսակով, պոլիմերից փաթեթվածքի արտադրության տեխնոլոգիայով </w:t>
      </w:r>
      <w:r>
        <w:rPr>
          <w:rFonts w:ascii="Sylfaen" w:hAnsi="Sylfaen"/>
          <w:sz w:val="24"/>
          <w:szCs w:val="24"/>
        </w:rPr>
        <w:t>եւ</w:t>
      </w:r>
      <w:r w:rsidRPr="00394A09">
        <w:rPr>
          <w:rFonts w:ascii="Sylfaen" w:hAnsi="Sylfaen"/>
          <w:sz w:val="24"/>
          <w:szCs w:val="24"/>
        </w:rPr>
        <w:t xml:space="preserve"> ենթադրվող կիրառմամբ: Հավելանյութերը հակաօքսիդիչներ են, կայունացուցիչներ, պլաստիֆիկատորներ, քսանյութեր, ներկանյութեր </w:t>
      </w:r>
      <w:r>
        <w:rPr>
          <w:rFonts w:ascii="Sylfaen" w:hAnsi="Sylfaen"/>
          <w:sz w:val="24"/>
          <w:szCs w:val="24"/>
        </w:rPr>
        <w:t>եւ</w:t>
      </w:r>
      <w:r w:rsidRPr="00394A09">
        <w:rPr>
          <w:rFonts w:ascii="Sylfaen" w:hAnsi="Sylfaen"/>
          <w:sz w:val="24"/>
          <w:szCs w:val="24"/>
        </w:rPr>
        <w:t xml:space="preserve"> հարվածադիմացկունության վերափոխիչներ: Կաղապարից հեռացումը հեշտացնող հակաստատիկները </w:t>
      </w:r>
      <w:r>
        <w:rPr>
          <w:rFonts w:ascii="Sylfaen" w:hAnsi="Sylfaen"/>
          <w:sz w:val="24"/>
          <w:szCs w:val="24"/>
        </w:rPr>
        <w:t>եւ</w:t>
      </w:r>
      <w:r w:rsidRPr="00394A09">
        <w:rPr>
          <w:rFonts w:ascii="Sylfaen" w:hAnsi="Sylfaen"/>
          <w:sz w:val="24"/>
          <w:szCs w:val="24"/>
        </w:rPr>
        <w:t xml:space="preserve"> հակահարակցանյութերը կարող են օգտագործվել միայն ներքին ընդունման կամ արտաքին կիրառման դեղապատրաստուկների փաթեթվածքների արտադրության համար նախատեսված պոլիմերների կազմում, որոնց համար թույլատրվում է դրանց օգտագործումը: Թույլատրելի հավելանյութերը նշվում են Միության Դեղագրքում նկարագրված յուրաքանչյուր նյութի մասնագրերում: Այլ հավելանյութեր կարող են կիրառվել պայմանով, որ յուրաքանչյուր կոնկրետ դեպքում դրանք թույլատրված են լիազորված մարմնի կողմից:</w:t>
      </w:r>
    </w:p>
    <w:p w14:paraId="27676A4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Հնարավոր վտանգը գնահատելու համար համապատասխան պոլիմերային փաթեթվածքն ընտրելիս անհրաժեշտ է իմանալ պոլիմերային նյութի արտադրության ժամանակ օգտագործված դրա</w:t>
      </w:r>
      <w:r w:rsidRPr="00394A09" w:rsidDel="004E77CF">
        <w:rPr>
          <w:rFonts w:ascii="Sylfaen" w:hAnsi="Sylfaen"/>
          <w:sz w:val="24"/>
          <w:szCs w:val="24"/>
        </w:rPr>
        <w:t xml:space="preserve"> </w:t>
      </w:r>
      <w:r w:rsidRPr="00394A09">
        <w:rPr>
          <w:rFonts w:ascii="Sylfaen" w:hAnsi="Sylfaen"/>
          <w:sz w:val="24"/>
          <w:szCs w:val="24"/>
        </w:rPr>
        <w:t>ամբողջական կազմը, ներառյալ՝ փաթեթվածքի կաղապարման գործընթացում օգտագործվող բոլոր նյութերը:</w:t>
      </w:r>
    </w:p>
    <w:p w14:paraId="45646727" w14:textId="77777777" w:rsidR="00AF2D51" w:rsidRPr="00903268"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sz w:val="24"/>
          <w:szCs w:val="24"/>
        </w:rPr>
        <w:t>Հիմնավորված դեպքերում կարող է պահանջվել մանրամասն տեղեկատվություն՝ պացիենտների կամ պացիենտների խոցելի խմբերի կողմից դեղապատրաստուկի երկարատ</w:t>
      </w:r>
      <w:r>
        <w:rPr>
          <w:rFonts w:ascii="Sylfaen" w:hAnsi="Sylfaen"/>
          <w:sz w:val="24"/>
          <w:szCs w:val="24"/>
        </w:rPr>
        <w:t>եւ</w:t>
      </w:r>
      <w:r w:rsidRPr="00394A09">
        <w:rPr>
          <w:rFonts w:ascii="Sylfaen" w:hAnsi="Sylfaen"/>
          <w:sz w:val="24"/>
          <w:szCs w:val="24"/>
        </w:rPr>
        <w:t xml:space="preserve"> օգտագործման դեպքում պոլիմերային փաթեթվածքի ազդեցությունը գնահատելու համար:</w:t>
      </w:r>
    </w:p>
    <w:p w14:paraId="37D622B4" w14:textId="77777777" w:rsidR="001827DA" w:rsidRPr="00903268" w:rsidRDefault="001827DA" w:rsidP="00AF2D51">
      <w:pPr>
        <w:pStyle w:val="a0"/>
        <w:shd w:val="clear" w:color="auto" w:fill="auto"/>
        <w:spacing w:after="160" w:line="360" w:lineRule="auto"/>
        <w:ind w:firstLine="567"/>
        <w:jc w:val="both"/>
        <w:rPr>
          <w:rFonts w:ascii="Sylfaen" w:hAnsi="Sylfaen" w:cs="Sylfaen"/>
          <w:sz w:val="24"/>
          <w:szCs w:val="24"/>
        </w:rPr>
      </w:pPr>
    </w:p>
    <w:p w14:paraId="2CFE1D9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Ցանկացած կոնկրետ դեղամիջոցի համար ընտրված պոլիմերային փաթեթվածք պետք է համապատասխանի հետ</w:t>
      </w:r>
      <w:r>
        <w:rPr>
          <w:rFonts w:ascii="Sylfaen" w:hAnsi="Sylfaen"/>
          <w:sz w:val="24"/>
          <w:szCs w:val="24"/>
        </w:rPr>
        <w:t>եւ</w:t>
      </w:r>
      <w:r w:rsidRPr="00394A09">
        <w:rPr>
          <w:rFonts w:ascii="Sylfaen" w:hAnsi="Sylfaen"/>
          <w:sz w:val="24"/>
          <w:szCs w:val="24"/>
        </w:rPr>
        <w:t>յալ պահանջներին.</w:t>
      </w:r>
    </w:p>
    <w:p w14:paraId="2BC13D23"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պոլիմերային նյութի հետ շփման մեջ գտնվող դեղամիջոցի բաղադրիչները չպետք է զգալի չափով ադսորբվեն (կլանվեն) դրա մակեր</w:t>
      </w:r>
      <w:r>
        <w:rPr>
          <w:rFonts w:ascii="Sylfaen" w:hAnsi="Sylfaen"/>
          <w:sz w:val="24"/>
          <w:szCs w:val="24"/>
        </w:rPr>
        <w:t>եւ</w:t>
      </w:r>
      <w:r w:rsidRPr="00394A09">
        <w:rPr>
          <w:rFonts w:ascii="Sylfaen" w:hAnsi="Sylfaen"/>
          <w:sz w:val="24"/>
          <w:szCs w:val="24"/>
        </w:rPr>
        <w:t xml:space="preserve">ույթով </w:t>
      </w:r>
      <w:r>
        <w:rPr>
          <w:rFonts w:ascii="Sylfaen" w:hAnsi="Sylfaen"/>
          <w:sz w:val="24"/>
          <w:szCs w:val="24"/>
        </w:rPr>
        <w:t>եւ</w:t>
      </w:r>
      <w:r w:rsidRPr="00394A09">
        <w:rPr>
          <w:rFonts w:ascii="Sylfaen" w:hAnsi="Sylfaen"/>
          <w:sz w:val="24"/>
          <w:szCs w:val="24"/>
        </w:rPr>
        <w:t xml:space="preserve"> էապես տարաշարժվեն պոլիմերի ներսում կամ դրա միջով.</w:t>
      </w:r>
    </w:p>
    <w:p w14:paraId="2F532C0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պոլիմերային նյութը փաթեթվածքի պարունակության մեջ չպետք է արտազատի այնպիսի քանակությամբ նյութեր, որը ազդեցություն կունենա դեղամիջոցի արդյունավետության կամ կայունության վրա կամ հնարավոր է, որ վտանգավոր լինի թունավորության տեսանկյունից:</w:t>
      </w:r>
    </w:p>
    <w:p w14:paraId="24CDBB6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Օգտագործելով այս չափորոշիչներին համապատասխան ընտրված նյութը կամ նյութերը՝ պատրաստում են փաթեթվածքների բավարար քանակությամբ տիպային նմուշներ՝ կիրառելով հստակ սահմանված ընթացակարգը, </w:t>
      </w:r>
      <w:r>
        <w:rPr>
          <w:rFonts w:ascii="Sylfaen" w:hAnsi="Sylfaen"/>
          <w:sz w:val="24"/>
          <w:szCs w:val="24"/>
        </w:rPr>
        <w:t>եւ</w:t>
      </w:r>
      <w:r w:rsidRPr="00394A09">
        <w:rPr>
          <w:rFonts w:ascii="Sylfaen" w:hAnsi="Sylfaen"/>
          <w:sz w:val="24"/>
          <w:szCs w:val="24"/>
        </w:rPr>
        <w:t xml:space="preserve"> դրանք գործնական փորձարկումների են ենթարկում այնպիսի պայմաններում, որոնք վերարտադրում են դրանց ենթադրվող օգտագործման պայմանները, անհրաժեշտության դեպքում՝ նա</w:t>
      </w:r>
      <w:r>
        <w:rPr>
          <w:rFonts w:ascii="Sylfaen" w:hAnsi="Sylfaen"/>
          <w:sz w:val="24"/>
          <w:szCs w:val="24"/>
        </w:rPr>
        <w:t>եւ</w:t>
      </w:r>
      <w:r w:rsidRPr="00394A09">
        <w:rPr>
          <w:rFonts w:ascii="Sylfaen" w:hAnsi="Sylfaen"/>
          <w:sz w:val="24"/>
          <w:szCs w:val="24"/>
        </w:rPr>
        <w:t xml:space="preserve"> մանրէազերծումը: Փաթեթվածքի </w:t>
      </w:r>
      <w:r>
        <w:rPr>
          <w:rFonts w:ascii="Sylfaen" w:hAnsi="Sylfaen"/>
          <w:sz w:val="24"/>
          <w:szCs w:val="24"/>
        </w:rPr>
        <w:t>եւ</w:t>
      </w:r>
      <w:r w:rsidRPr="00394A09">
        <w:rPr>
          <w:rFonts w:ascii="Sylfaen" w:hAnsi="Sylfaen"/>
          <w:sz w:val="24"/>
          <w:szCs w:val="24"/>
        </w:rPr>
        <w:t xml:space="preserve"> դրա պարունակության համատեղելիությունը հաստատելու </w:t>
      </w:r>
      <w:r>
        <w:rPr>
          <w:rFonts w:ascii="Sylfaen" w:hAnsi="Sylfaen"/>
          <w:sz w:val="24"/>
          <w:szCs w:val="24"/>
        </w:rPr>
        <w:t>եւ</w:t>
      </w:r>
      <w:r w:rsidRPr="00394A09">
        <w:rPr>
          <w:rFonts w:ascii="Sylfaen" w:hAnsi="Sylfaen"/>
          <w:sz w:val="24"/>
          <w:szCs w:val="24"/>
        </w:rPr>
        <w:t xml:space="preserve"> դեղամիջոցների որակի վրա բացասաբար ազդող փոփոխությունների բացակայության մեջ համոզվելու համար անցկացվում են տարբեր փորձարկումներ, ինչպիսիք են ֆիզիկական բնութագրերի փոփոխությունների բացակայության հսկողությունը, փաթեթվածքի թափանցելիության պատճառով դրա պարունակության որ</w:t>
      </w:r>
      <w:r>
        <w:rPr>
          <w:rFonts w:ascii="Sylfaen" w:hAnsi="Sylfaen"/>
          <w:sz w:val="24"/>
          <w:szCs w:val="24"/>
        </w:rPr>
        <w:t>եւ</w:t>
      </w:r>
      <w:r w:rsidRPr="00394A09">
        <w:rPr>
          <w:rFonts w:ascii="Sylfaen" w:hAnsi="Sylfaen"/>
          <w:sz w:val="24"/>
          <w:szCs w:val="24"/>
        </w:rPr>
        <w:t xml:space="preserve">է կորստի կամ աճի գնահատումը, pH-ի փոփոխության որոշումը, լույսի ազդեցությամբ առաջացած փոփոխությունների գնահատումը, քիմիական փորձարկումները </w:t>
      </w:r>
      <w:r>
        <w:rPr>
          <w:rFonts w:ascii="Sylfaen" w:hAnsi="Sylfaen"/>
          <w:sz w:val="24"/>
          <w:szCs w:val="24"/>
        </w:rPr>
        <w:t>եւ</w:t>
      </w:r>
      <w:r w:rsidRPr="00394A09">
        <w:rPr>
          <w:rFonts w:ascii="Sylfaen" w:hAnsi="Sylfaen"/>
          <w:sz w:val="24"/>
          <w:szCs w:val="24"/>
        </w:rPr>
        <w:t xml:space="preserve"> անհրաժեշտության դեպքում՝ կենսաբանական փորձարկումները:</w:t>
      </w:r>
    </w:p>
    <w:p w14:paraId="039A24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Արտադրության մեթոդը պետք է երաշխավորի դրա վերարտադրության հնարավորությունը՝ հետագայում մեծ ծավալներով արտադրության ընթացքում, իսկ արտադրության պայմաններն ընտրվում են այնպես, որ կանխվի այլ պոլիմերային նյութերով կամ դրանց բաղադրիչներով աղտոտման հնարավորությունը: Արտադրողը պետք է երաշխավորի, որ արդյունաբերական </w:t>
      </w:r>
      <w:r w:rsidRPr="00394A09">
        <w:rPr>
          <w:rFonts w:ascii="Sylfaen" w:hAnsi="Sylfaen"/>
          <w:sz w:val="24"/>
          <w:szCs w:val="24"/>
        </w:rPr>
        <w:lastRenderedPageBreak/>
        <w:t>արտադրության փաթեթվածքները բոլոր ցուցանիշներով համանման են տիպային նմուշներին:</w:t>
      </w:r>
    </w:p>
    <w:p w14:paraId="4B80892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Տիպային նմուշների փորձարկման արդյունքների հավաստիության համար կար</w:t>
      </w:r>
      <w:r>
        <w:rPr>
          <w:rFonts w:ascii="Sylfaen" w:hAnsi="Sylfaen"/>
          <w:sz w:val="24"/>
          <w:szCs w:val="24"/>
        </w:rPr>
        <w:t>եւ</w:t>
      </w:r>
      <w:r w:rsidRPr="00394A09">
        <w:rPr>
          <w:rFonts w:ascii="Sylfaen" w:hAnsi="Sylfaen"/>
          <w:sz w:val="24"/>
          <w:szCs w:val="24"/>
        </w:rPr>
        <w:t>որ է, որ՝</w:t>
      </w:r>
    </w:p>
    <w:p w14:paraId="1D1B82BA" w14:textId="77777777" w:rsidR="00AF2D51" w:rsidRPr="00394A09" w:rsidRDefault="00AF2D51" w:rsidP="001827DA">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չլինեն տիպային նմուշների համար նշված նյութի կազմում փոփոխություններ.</w:t>
      </w:r>
    </w:p>
    <w:p w14:paraId="4372EB51" w14:textId="77777777" w:rsidR="00AF2D51" w:rsidRPr="00394A09" w:rsidRDefault="00AF2D51" w:rsidP="001827DA">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չլինեն տիպային նմուշների համար նշված արտադրական գործընթացի, հատկապես՝ նյութի վերամշակման գործընթացում կամ հետագա ընթացակարգերի, օրինակ՝ մանրէազերծման ընթացքում փոփոխություններ.</w:t>
      </w:r>
    </w:p>
    <w:p w14:paraId="2ABA62C9" w14:textId="77777777" w:rsidR="00AF2D51" w:rsidRPr="00394A09" w:rsidRDefault="00AF2D51" w:rsidP="001827DA">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չօգտագործվի թափոններից կամ խոտանված նյութը:</w:t>
      </w:r>
    </w:p>
    <w:p w14:paraId="4B6C8320" w14:textId="77777777" w:rsidR="00AF2D51" w:rsidRPr="00394A09" w:rsidRDefault="00AF2D51" w:rsidP="001827DA">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Նյութի ավելցուկների վերաօգտագործումը, որի բնույթն ու կազմը լավ հայտնի են, կարող է թույլատրվել համապատասխան վալիդացումից հետո:</w:t>
      </w:r>
    </w:p>
    <w:p w14:paraId="1CEF2EC1" w14:textId="77777777" w:rsidR="00AF2D51" w:rsidRPr="00394A09" w:rsidRDefault="00AF2D51" w:rsidP="001827DA">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 xml:space="preserve">Փաթեթվածքի </w:t>
      </w:r>
      <w:r>
        <w:rPr>
          <w:rFonts w:ascii="Sylfaen" w:hAnsi="Sylfaen"/>
          <w:sz w:val="24"/>
          <w:szCs w:val="24"/>
        </w:rPr>
        <w:t>եւ</w:t>
      </w:r>
      <w:r w:rsidRPr="00394A09">
        <w:rPr>
          <w:rFonts w:ascii="Sylfaen" w:hAnsi="Sylfaen"/>
          <w:sz w:val="24"/>
          <w:szCs w:val="24"/>
        </w:rPr>
        <w:t xml:space="preserve"> դրա պարունակության յուրաքանչյուր համակցության համատեղելիության մասով բավարար փորձարկումների դեպքում Միության Դեղագրքում նկարագրված նյութերը համարվում են նախատեսված օգտագործման համար պիտանի։</w:t>
      </w:r>
    </w:p>
    <w:p w14:paraId="1EE16A92" w14:textId="77777777" w:rsidR="001827DA" w:rsidRPr="00903268" w:rsidRDefault="001827DA" w:rsidP="001827DA">
      <w:pPr>
        <w:pStyle w:val="a0"/>
        <w:shd w:val="clear" w:color="auto" w:fill="auto"/>
        <w:spacing w:after="160" w:line="346" w:lineRule="auto"/>
        <w:ind w:firstLine="567"/>
        <w:jc w:val="right"/>
        <w:rPr>
          <w:rFonts w:ascii="Sylfaen" w:hAnsi="Sylfaen"/>
          <w:b/>
          <w:szCs w:val="24"/>
        </w:rPr>
      </w:pPr>
    </w:p>
    <w:p w14:paraId="48C22F51" w14:textId="77777777" w:rsidR="00AF2D51" w:rsidRPr="00AF2D51" w:rsidRDefault="00AF2D51" w:rsidP="001827DA">
      <w:pPr>
        <w:pStyle w:val="a0"/>
        <w:shd w:val="clear" w:color="auto" w:fill="auto"/>
        <w:spacing w:after="160" w:line="346" w:lineRule="auto"/>
        <w:ind w:firstLine="567"/>
        <w:jc w:val="right"/>
        <w:rPr>
          <w:rFonts w:ascii="Sylfaen" w:hAnsi="Sylfaen"/>
          <w:b/>
          <w:szCs w:val="24"/>
        </w:rPr>
      </w:pPr>
      <w:r w:rsidRPr="00E36B76">
        <w:rPr>
          <w:rFonts w:ascii="Sylfaen" w:hAnsi="Sylfaen"/>
          <w:b/>
          <w:szCs w:val="24"/>
        </w:rPr>
        <w:t>204020004-2022</w:t>
      </w:r>
    </w:p>
    <w:p w14:paraId="5C9E0CD1" w14:textId="77777777" w:rsidR="00AF2D51" w:rsidRPr="00AF2D51" w:rsidRDefault="00AF2D51" w:rsidP="001827DA">
      <w:pPr>
        <w:pStyle w:val="a0"/>
        <w:shd w:val="clear" w:color="auto" w:fill="auto"/>
        <w:spacing w:after="160" w:line="346" w:lineRule="auto"/>
        <w:ind w:firstLine="567"/>
        <w:jc w:val="right"/>
        <w:rPr>
          <w:rFonts w:ascii="Sylfaen" w:hAnsi="Sylfaen" w:cs="Sylfaen"/>
          <w:szCs w:val="24"/>
        </w:rPr>
      </w:pPr>
    </w:p>
    <w:p w14:paraId="365E9853" w14:textId="77777777" w:rsidR="00AF2D51" w:rsidRPr="00394A09" w:rsidRDefault="00AF2D51" w:rsidP="001827DA">
      <w:pPr>
        <w:pStyle w:val="a0"/>
        <w:shd w:val="clear" w:color="auto" w:fill="auto"/>
        <w:tabs>
          <w:tab w:val="left" w:pos="1701"/>
        </w:tabs>
        <w:spacing w:after="160" w:line="346" w:lineRule="auto"/>
        <w:ind w:firstLine="567"/>
        <w:jc w:val="both"/>
        <w:rPr>
          <w:rFonts w:ascii="Sylfaen" w:hAnsi="Sylfaen" w:cs="Sylfaen"/>
          <w:sz w:val="24"/>
          <w:szCs w:val="24"/>
        </w:rPr>
      </w:pPr>
      <w:r w:rsidRPr="00394A09">
        <w:rPr>
          <w:rFonts w:ascii="Sylfaen" w:hAnsi="Sylfaen"/>
          <w:b/>
          <w:sz w:val="24"/>
          <w:szCs w:val="24"/>
        </w:rPr>
        <w:t>2.4.2.4.</w:t>
      </w:r>
      <w:r w:rsidRPr="00AF2D51">
        <w:rPr>
          <w:rFonts w:ascii="Sylfaen" w:hAnsi="Sylfaen"/>
          <w:b/>
          <w:sz w:val="24"/>
          <w:szCs w:val="24"/>
        </w:rPr>
        <w:tab/>
      </w:r>
      <w:r w:rsidRPr="00394A09">
        <w:rPr>
          <w:rFonts w:ascii="Sylfaen" w:hAnsi="Sylfaen"/>
          <w:b/>
          <w:sz w:val="24"/>
          <w:szCs w:val="24"/>
        </w:rPr>
        <w:t>Ինֆուզիաների համար նախատեսված ջրային լուծույթների պոլիմերային փաթեթվածքը</w:t>
      </w:r>
    </w:p>
    <w:p w14:paraId="66067F4B" w14:textId="77777777" w:rsidR="00AF2D51" w:rsidRPr="00AF2D51" w:rsidRDefault="00AF2D51" w:rsidP="001827DA">
      <w:pPr>
        <w:pStyle w:val="a0"/>
        <w:shd w:val="clear" w:color="auto" w:fill="auto"/>
        <w:spacing w:after="160" w:line="346" w:lineRule="auto"/>
        <w:ind w:firstLine="567"/>
        <w:rPr>
          <w:rFonts w:ascii="Sylfaen" w:hAnsi="Sylfaen"/>
          <w:b/>
          <w:sz w:val="24"/>
          <w:szCs w:val="24"/>
        </w:rPr>
      </w:pPr>
    </w:p>
    <w:p w14:paraId="224E439A" w14:textId="77777777" w:rsidR="00AF2D51" w:rsidRPr="00394A09" w:rsidRDefault="00AF2D51" w:rsidP="001827DA">
      <w:pPr>
        <w:pStyle w:val="a0"/>
        <w:shd w:val="clear" w:color="auto" w:fill="auto"/>
        <w:spacing w:after="160" w:line="346" w:lineRule="auto"/>
        <w:ind w:firstLine="567"/>
        <w:rPr>
          <w:rFonts w:ascii="Sylfaen" w:hAnsi="Sylfaen" w:cs="Sylfaen"/>
          <w:sz w:val="24"/>
          <w:szCs w:val="24"/>
        </w:rPr>
      </w:pPr>
      <w:r w:rsidRPr="00394A09">
        <w:rPr>
          <w:rFonts w:ascii="Sylfaen" w:hAnsi="Sylfaen"/>
          <w:b/>
          <w:sz w:val="24"/>
          <w:szCs w:val="24"/>
        </w:rPr>
        <w:t>ՍԱՀՄԱՆՈՒՄԸ</w:t>
      </w:r>
    </w:p>
    <w:p w14:paraId="2F843F3E" w14:textId="77777777" w:rsidR="00AF2D51" w:rsidRPr="00394A09" w:rsidRDefault="00AF2D51" w:rsidP="001827DA">
      <w:pPr>
        <w:pStyle w:val="a0"/>
        <w:shd w:val="clear" w:color="auto" w:fill="auto"/>
        <w:spacing w:after="160" w:line="346" w:lineRule="auto"/>
        <w:ind w:firstLine="567"/>
        <w:jc w:val="both"/>
        <w:rPr>
          <w:rFonts w:ascii="Sylfaen" w:hAnsi="Sylfaen" w:cs="Sylfaen"/>
          <w:sz w:val="24"/>
          <w:szCs w:val="24"/>
        </w:rPr>
      </w:pPr>
      <w:r w:rsidRPr="00394A09">
        <w:rPr>
          <w:rFonts w:ascii="Sylfaen" w:hAnsi="Sylfaen"/>
          <w:sz w:val="24"/>
          <w:szCs w:val="24"/>
        </w:rPr>
        <w:t>Այս ընդհանուր դեղագրքային հոդվածը տարածվում է պարենտերալ կիրառման դեղաձ</w:t>
      </w:r>
      <w:r>
        <w:rPr>
          <w:rFonts w:ascii="Sylfaen" w:hAnsi="Sylfaen"/>
          <w:sz w:val="24"/>
          <w:szCs w:val="24"/>
        </w:rPr>
        <w:t>եւ</w:t>
      </w:r>
      <w:r w:rsidRPr="00394A09">
        <w:rPr>
          <w:rFonts w:ascii="Sylfaen" w:hAnsi="Sylfaen"/>
          <w:sz w:val="24"/>
          <w:szCs w:val="24"/>
        </w:rPr>
        <w:t>երի, այն է՝ ինֆուզիաների ջրային լուծույթների համար նախատեսված պոլիմերային փաթեթվածքի վրա:</w:t>
      </w:r>
    </w:p>
    <w:p w14:paraId="7F7AEE4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 xml:space="preserve">Պարենտերալ կիրառման ջրային լուծույթների պոլիմերային փաթեթվածքները պատրաստվում են մեկ կամ մի քանի պոլիմերներից, որոնք անհրաժեշտության դեպքում հավելանյութեր են պարունակում: Պարտադիր չէ, որ տվյալ ընդհանուր դեղագրքային հոդվածում նկարագրված փաթեթվածքները պիտանի լինեն էմուլսիաների համար օգտագործելու նպատակով: Որպես փաթեթավորման նյութեր առավել հաճախ օգտագործում են պոլիէթիլենը, պոլիպրոպիլենը </w:t>
      </w:r>
      <w:r>
        <w:rPr>
          <w:rFonts w:ascii="Sylfaen" w:hAnsi="Sylfaen"/>
          <w:sz w:val="24"/>
          <w:szCs w:val="24"/>
        </w:rPr>
        <w:t>եւ</w:t>
      </w:r>
      <w:r w:rsidRPr="00394A09">
        <w:rPr>
          <w:rFonts w:ascii="Sylfaen" w:hAnsi="Sylfaen"/>
          <w:sz w:val="24"/>
          <w:szCs w:val="24"/>
        </w:rPr>
        <w:t xml:space="preserve"> պոլիվինիլքլորիդը: Տվյալ ընդհանուր դեղագրքային հոդվածում ներկայացված պահանջները հարկավոր է դիտարկել </w:t>
      </w:r>
      <w:r w:rsidRPr="00394A09">
        <w:rPr>
          <w:rFonts w:ascii="Sylfaen" w:hAnsi="Sylfaen"/>
          <w:i/>
          <w:sz w:val="24"/>
          <w:szCs w:val="24"/>
        </w:rPr>
        <w:t xml:space="preserve">2.4.2.3. Դեղագործական կիրառման պոլիմերային փաթեթվածքներն ու խցանափակման միջոցները </w:t>
      </w:r>
      <w:r w:rsidRPr="00394A09">
        <w:rPr>
          <w:rFonts w:ascii="Sylfaen" w:hAnsi="Sylfaen"/>
          <w:sz w:val="24"/>
          <w:szCs w:val="24"/>
        </w:rPr>
        <w:t>ընդհանուր դեղագրքային հոդվածի պահանջների հետ համատեղ:</w:t>
      </w:r>
    </w:p>
    <w:p w14:paraId="2A1357C8" w14:textId="77777777" w:rsidR="00AF2D51" w:rsidRPr="00394A09" w:rsidRDefault="00AF2D51" w:rsidP="001827DA">
      <w:pPr>
        <w:pStyle w:val="a0"/>
        <w:shd w:val="clear" w:color="auto" w:fill="auto"/>
        <w:spacing w:after="160" w:line="341" w:lineRule="auto"/>
        <w:ind w:firstLine="567"/>
        <w:jc w:val="both"/>
        <w:rPr>
          <w:rFonts w:ascii="Sylfaen" w:hAnsi="Sylfaen" w:cs="Sylfaen"/>
          <w:sz w:val="24"/>
          <w:szCs w:val="24"/>
        </w:rPr>
      </w:pPr>
      <w:r w:rsidRPr="00394A09">
        <w:rPr>
          <w:rFonts w:ascii="Sylfaen" w:hAnsi="Sylfaen"/>
          <w:sz w:val="24"/>
          <w:szCs w:val="24"/>
        </w:rPr>
        <w:t>Փաթեթվածքները փաթեթներ կամ սրվակներ են, որոնք ունեն դեղամիջոցների ներմուծման մեկ կամ մի քանի մուտք, ինչպես նա</w:t>
      </w:r>
      <w:r>
        <w:rPr>
          <w:rFonts w:ascii="Sylfaen" w:hAnsi="Sylfaen"/>
          <w:sz w:val="24"/>
          <w:szCs w:val="24"/>
        </w:rPr>
        <w:t>եւ</w:t>
      </w:r>
      <w:r w:rsidRPr="00394A09">
        <w:rPr>
          <w:rFonts w:ascii="Sylfaen" w:hAnsi="Sylfaen"/>
          <w:sz w:val="24"/>
          <w:szCs w:val="24"/>
        </w:rPr>
        <w:t xml:space="preserve"> առաջին բացման հսկողության սարքվածք, ինչն ապահովում է ինֆուզիոն համակարգի հետ միացման հերմետիկությունն ու հուսալիությունը: Դրանք կարող են ունենալ այնպիսի հարմարանք, որը թույլ է տալիս ներարկում կատարել օգտագործման ընթացքում: Փաթեթվածքը սովորաբար համալրված է օգտագործման ընթացքում կախելու հնարավորությունն ապահովող, ձգման նկատմամբ կայուն տարրով: Փաթեթվածքը պետք է դիմանա մանրէազերծման պայմաններին: Փաթեթվածքի կառուցվածքը </w:t>
      </w:r>
      <w:r>
        <w:rPr>
          <w:rFonts w:ascii="Sylfaen" w:hAnsi="Sylfaen"/>
          <w:sz w:val="24"/>
          <w:szCs w:val="24"/>
        </w:rPr>
        <w:t>եւ</w:t>
      </w:r>
      <w:r w:rsidRPr="00394A09">
        <w:rPr>
          <w:rFonts w:ascii="Sylfaen" w:hAnsi="Sylfaen"/>
          <w:sz w:val="24"/>
          <w:szCs w:val="24"/>
        </w:rPr>
        <w:t xml:space="preserve"> մանրէազերծման ընտրված մեթոդը պետք է այնպիսին լինեն, որ ապահովվի փաթեթվածքի բոլոր այն տարրերի մանրէազերծման հնարավորությունը, որոնք շփման մեջ են ինֆուզիաների համար նախատեսված լուծույթների հետ: Խցանափակումից հետո փաթեթվածքը պետք է անթափանց լինի մանրէների համար </w:t>
      </w:r>
      <w:r>
        <w:rPr>
          <w:rFonts w:ascii="Sylfaen" w:hAnsi="Sylfaen"/>
          <w:sz w:val="24"/>
          <w:szCs w:val="24"/>
        </w:rPr>
        <w:t>եւ</w:t>
      </w:r>
      <w:r w:rsidRPr="00394A09">
        <w:rPr>
          <w:rFonts w:ascii="Sylfaen" w:hAnsi="Sylfaen"/>
          <w:sz w:val="24"/>
          <w:szCs w:val="24"/>
        </w:rPr>
        <w:t xml:space="preserve"> լցավորվելուց հետո կայուն լինի չկանխատեսված սառեցմամբ պայմանավորված վնասվելու նկատմամբ, որը հնարավոր է պատրաստի դեղամիջոցը փոխադրելու ժամանակ: Փաթեթվածքը պետք է բավարար թափանցիկ լինի՝ ցանկացած պահի դրա պարունակության վիզուալ հետազոտությունն ապահովելու համար, եթե այլ ցուցումներ չկան:</w:t>
      </w:r>
    </w:p>
    <w:p w14:paraId="431B6C99" w14:textId="77777777" w:rsidR="00AF2D51" w:rsidRPr="00394A09" w:rsidRDefault="00AF2D51" w:rsidP="001827DA">
      <w:pPr>
        <w:pStyle w:val="a0"/>
        <w:shd w:val="clear" w:color="auto" w:fill="auto"/>
        <w:spacing w:after="160" w:line="341" w:lineRule="auto"/>
        <w:ind w:firstLine="567"/>
        <w:jc w:val="both"/>
        <w:rPr>
          <w:rFonts w:ascii="Sylfaen" w:hAnsi="Sylfaen" w:cs="Sylfaen"/>
          <w:sz w:val="24"/>
          <w:szCs w:val="24"/>
        </w:rPr>
      </w:pPr>
      <w:r w:rsidRPr="00E36B76">
        <w:rPr>
          <w:rFonts w:ascii="Sylfaen" w:hAnsi="Sylfaen"/>
          <w:spacing w:val="-4"/>
          <w:sz w:val="24"/>
          <w:szCs w:val="24"/>
        </w:rPr>
        <w:t>Դատարկ փաթեթվածքները չպետք է ունենան թերություններ, որոնք կարող են հանգեցնել արտահոսքի: Լցավորված եւ փակ փաթեթվածքը չպետք է արտահայտի</w:t>
      </w:r>
      <w:r w:rsidRPr="00394A09">
        <w:rPr>
          <w:rFonts w:ascii="Sylfaen" w:hAnsi="Sylfaen"/>
          <w:sz w:val="24"/>
          <w:szCs w:val="24"/>
        </w:rPr>
        <w:t xml:space="preserve"> արտահոսքի հատկանիշներ:</w:t>
      </w:r>
    </w:p>
    <w:p w14:paraId="0E21F45D" w14:textId="77777777" w:rsidR="00AF2D51" w:rsidRPr="00394A09" w:rsidRDefault="00AF2D51" w:rsidP="00AF2D51">
      <w:pPr>
        <w:pStyle w:val="a0"/>
        <w:shd w:val="clear" w:color="auto" w:fill="auto"/>
        <w:spacing w:after="160" w:line="348" w:lineRule="auto"/>
        <w:ind w:firstLine="567"/>
        <w:jc w:val="both"/>
        <w:rPr>
          <w:rFonts w:ascii="Sylfaen" w:hAnsi="Sylfaen" w:cs="Sylfaen"/>
          <w:sz w:val="24"/>
          <w:szCs w:val="24"/>
        </w:rPr>
      </w:pPr>
      <w:r w:rsidRPr="00394A09">
        <w:rPr>
          <w:rFonts w:ascii="Sylfaen" w:hAnsi="Sylfaen"/>
          <w:sz w:val="24"/>
          <w:szCs w:val="24"/>
        </w:rPr>
        <w:lastRenderedPageBreak/>
        <w:t>Որոշ դեղամիջոցների պատշաճ պահման համար փաթեթվածքը հարկավոր է տեղադրել լրացուցիչ փաթեթվածքի մեջ: Նման դեպքում պահպանվածության առաջնային գնահատումն անցկացնում են՝ օգտագործելով լրացուցիչ փաթեթվածքի մեջ գտնվող փաթեթվածքը:</w:t>
      </w:r>
    </w:p>
    <w:p w14:paraId="47A851E7" w14:textId="77777777" w:rsidR="00AF2D51" w:rsidRPr="00394A09" w:rsidRDefault="00AF2D51" w:rsidP="00AF2D51">
      <w:pPr>
        <w:pStyle w:val="a0"/>
        <w:shd w:val="clear" w:color="auto" w:fill="auto"/>
        <w:spacing w:after="160" w:line="348" w:lineRule="auto"/>
        <w:ind w:firstLine="567"/>
        <w:jc w:val="both"/>
        <w:rPr>
          <w:rFonts w:ascii="Sylfaen" w:hAnsi="Sylfaen" w:cs="Sylfaen"/>
          <w:sz w:val="24"/>
          <w:szCs w:val="24"/>
        </w:rPr>
      </w:pPr>
    </w:p>
    <w:p w14:paraId="1F5AD4A6" w14:textId="77777777" w:rsidR="00AF2D51" w:rsidRPr="00394A09" w:rsidRDefault="00AF2D51" w:rsidP="00AF2D51">
      <w:pPr>
        <w:pStyle w:val="a0"/>
        <w:shd w:val="clear" w:color="auto" w:fill="auto"/>
        <w:spacing w:after="160" w:line="348" w:lineRule="auto"/>
        <w:ind w:firstLine="567"/>
        <w:rPr>
          <w:rFonts w:ascii="Sylfaen" w:hAnsi="Sylfaen" w:cs="Sylfaen"/>
          <w:sz w:val="24"/>
          <w:szCs w:val="24"/>
        </w:rPr>
      </w:pPr>
      <w:r w:rsidRPr="00394A09">
        <w:rPr>
          <w:rFonts w:ascii="Sylfaen" w:hAnsi="Sylfaen"/>
          <w:b/>
          <w:sz w:val="24"/>
          <w:szCs w:val="24"/>
        </w:rPr>
        <w:t>ՓՈՐՁԱՐԿՈՒՄՆԵՐԸ</w:t>
      </w:r>
    </w:p>
    <w:p w14:paraId="7A9CB3F3" w14:textId="77777777" w:rsidR="00AF2D51" w:rsidRPr="00394A09" w:rsidRDefault="00AF2D51" w:rsidP="00AF2D51">
      <w:pPr>
        <w:pStyle w:val="a0"/>
        <w:shd w:val="clear" w:color="auto" w:fill="auto"/>
        <w:spacing w:after="160" w:line="348" w:lineRule="auto"/>
        <w:ind w:firstLine="567"/>
        <w:jc w:val="both"/>
        <w:rPr>
          <w:rFonts w:ascii="Sylfaen" w:hAnsi="Sylfaen" w:cs="Sylfaen"/>
          <w:sz w:val="24"/>
          <w:szCs w:val="24"/>
        </w:rPr>
      </w:pPr>
      <w:r w:rsidRPr="00394A09">
        <w:rPr>
          <w:rFonts w:ascii="Sylfaen" w:hAnsi="Sylfaen"/>
          <w:b/>
          <w:sz w:val="24"/>
          <w:szCs w:val="24"/>
        </w:rPr>
        <w:t xml:space="preserve">Տ լուծույթը։ </w:t>
      </w:r>
      <w:r w:rsidRPr="00394A09">
        <w:rPr>
          <w:rFonts w:ascii="Sylfaen" w:hAnsi="Sylfaen"/>
          <w:i/>
          <w:sz w:val="24"/>
          <w:szCs w:val="24"/>
        </w:rPr>
        <w:t>Տ լուծույթն օգտագործում են պատրաստելուց հետո 4 ժամվա ընթացքում:</w:t>
      </w:r>
    </w:p>
    <w:p w14:paraId="68B074B3" w14:textId="77777777" w:rsidR="00AF2D51" w:rsidRPr="00394A09" w:rsidRDefault="00AF2D51" w:rsidP="00AF2D51">
      <w:pPr>
        <w:pStyle w:val="a0"/>
        <w:shd w:val="clear" w:color="auto" w:fill="auto"/>
        <w:spacing w:after="160" w:line="348" w:lineRule="auto"/>
        <w:ind w:firstLine="567"/>
        <w:jc w:val="both"/>
        <w:rPr>
          <w:rFonts w:ascii="Sylfaen" w:hAnsi="Sylfaen" w:cs="Sylfaen"/>
          <w:sz w:val="24"/>
          <w:szCs w:val="24"/>
        </w:rPr>
      </w:pPr>
      <w:r w:rsidRPr="00394A09">
        <w:rPr>
          <w:rFonts w:ascii="Sylfaen" w:hAnsi="Sylfaen"/>
          <w:sz w:val="24"/>
          <w:szCs w:val="24"/>
        </w:rPr>
        <w:t xml:space="preserve">Փաթեթվածքը լցնում են </w:t>
      </w:r>
      <w:r w:rsidRPr="00394A09">
        <w:rPr>
          <w:rFonts w:ascii="Sylfaen" w:hAnsi="Sylfaen"/>
          <w:i/>
          <w:sz w:val="24"/>
          <w:szCs w:val="24"/>
        </w:rPr>
        <w:t>Ռ ջրով՝</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նոմինալ ծավալը, </w:t>
      </w:r>
      <w:r>
        <w:rPr>
          <w:rFonts w:ascii="Sylfaen" w:hAnsi="Sylfaen"/>
          <w:sz w:val="24"/>
          <w:szCs w:val="24"/>
        </w:rPr>
        <w:t>եւ</w:t>
      </w:r>
      <w:r w:rsidRPr="00394A09">
        <w:rPr>
          <w:rFonts w:ascii="Sylfaen" w:hAnsi="Sylfaen"/>
          <w:sz w:val="24"/>
          <w:szCs w:val="24"/>
        </w:rPr>
        <w:t xml:space="preserve"> փակում են այն՝ հնարավորության դեպքում օգտագործելով խցանափակման սովորական միջոցները. թույլատրվում է փակել փաթեթվածքը մաքուր ալյումինե փայլաթիթեղով: Փաթեթվածքը տաքացնում են ավտոկլավի մեջ այնպես, որ 20-30 րոպեների ընթացքում ջերմաստիճանը հասնի (121 ±2) °С, </w:t>
      </w:r>
      <w:r>
        <w:rPr>
          <w:rFonts w:ascii="Sylfaen" w:hAnsi="Sylfaen"/>
          <w:sz w:val="24"/>
          <w:szCs w:val="24"/>
        </w:rPr>
        <w:t>եւ</w:t>
      </w:r>
      <w:r w:rsidRPr="00394A09">
        <w:rPr>
          <w:rFonts w:ascii="Sylfaen" w:hAnsi="Sylfaen"/>
          <w:sz w:val="24"/>
          <w:szCs w:val="24"/>
        </w:rPr>
        <w:t xml:space="preserve"> այդ ջերմաստիճանում պահում են 30 րոպե: Եթե 121 °С ջերմաստիճանի տակ տաքացնելը հանգեցնում է փաթեթվածքի վնասմանը, ապա տաքացումն իրականացնում են 100 °С ջերմաստիճանի տակ՝ 2 ժամվա ընթացքում:</w:t>
      </w:r>
    </w:p>
    <w:p w14:paraId="5479E7F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Ստուգիչ լուծույթը։</w:t>
      </w:r>
      <w:r w:rsidRPr="00394A09">
        <w:rPr>
          <w:rFonts w:ascii="Sylfaen" w:hAnsi="Sylfaen"/>
          <w:sz w:val="24"/>
          <w:szCs w:val="24"/>
        </w:rPr>
        <w:t xml:space="preserve"> Պատրաստում են </w:t>
      </w:r>
      <w:r w:rsidRPr="00394A09">
        <w:rPr>
          <w:rFonts w:ascii="Sylfaen" w:hAnsi="Sylfaen"/>
          <w:i/>
          <w:sz w:val="24"/>
          <w:szCs w:val="24"/>
        </w:rPr>
        <w:t>Ռ ջրի</w:t>
      </w:r>
      <w:r w:rsidRPr="00394A09">
        <w:rPr>
          <w:rFonts w:ascii="Sylfaen" w:hAnsi="Sylfaen"/>
          <w:sz w:val="24"/>
          <w:szCs w:val="24"/>
        </w:rPr>
        <w:t xml:space="preserve"> տաքացմամբ՝ բորասիլիկատային ապակուց փորձանոթի մեջ, որը փակվում է մաքուր ալյումինե փայլաթիթեղով՝ Տ լուծույթի համար նախատեսված նույն ջերմաստիճանի տակ </w:t>
      </w:r>
      <w:r>
        <w:rPr>
          <w:rFonts w:ascii="Sylfaen" w:hAnsi="Sylfaen"/>
          <w:sz w:val="24"/>
          <w:szCs w:val="24"/>
        </w:rPr>
        <w:t>եւ</w:t>
      </w:r>
      <w:r w:rsidRPr="00394A09">
        <w:rPr>
          <w:rFonts w:ascii="Sylfaen" w:hAnsi="Sylfaen"/>
          <w:sz w:val="24"/>
          <w:szCs w:val="24"/>
        </w:rPr>
        <w:t xml:space="preserve"> նույն ժամանակի ընթացքում:</w:t>
      </w:r>
    </w:p>
    <w:p w14:paraId="63C3FE7C"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Լուծույթի թափանցիկությունը</w:t>
      </w:r>
      <w:r w:rsidRPr="00394A09">
        <w:rPr>
          <w:rFonts w:ascii="Sylfaen" w:hAnsi="Sylfaen"/>
          <w:sz w:val="24"/>
          <w:szCs w:val="24"/>
        </w:rPr>
        <w:t xml:space="preserve"> (</w:t>
      </w:r>
      <w:r w:rsidRPr="00394A09">
        <w:rPr>
          <w:rFonts w:ascii="Sylfaen" w:hAnsi="Sylfaen"/>
          <w:i/>
          <w:sz w:val="24"/>
          <w:szCs w:val="24"/>
        </w:rPr>
        <w:t>2.1.2.1</w:t>
      </w:r>
      <w:r w:rsidRPr="00394A09">
        <w:rPr>
          <w:rFonts w:ascii="Sylfaen" w:hAnsi="Sylfaen"/>
          <w:sz w:val="24"/>
          <w:szCs w:val="24"/>
        </w:rPr>
        <w:t>)։ Տ լուծույթը պետք է լինի թափանցիկ:</w:t>
      </w:r>
    </w:p>
    <w:p w14:paraId="7106D78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Լուծույթի գունայնությունը</w:t>
      </w:r>
      <w:r w:rsidRPr="00394A09">
        <w:rPr>
          <w:rFonts w:ascii="Sylfaen" w:hAnsi="Sylfaen"/>
          <w:sz w:val="24"/>
          <w:szCs w:val="24"/>
        </w:rPr>
        <w:t xml:space="preserve"> (</w:t>
      </w:r>
      <w:r w:rsidRPr="00394A09">
        <w:rPr>
          <w:rFonts w:ascii="Sylfaen" w:hAnsi="Sylfaen"/>
          <w:i/>
          <w:sz w:val="24"/>
          <w:szCs w:val="24"/>
        </w:rPr>
        <w:t>2.1.2.2, մեթոդ II</w:t>
      </w:r>
      <w:r w:rsidRPr="00394A09">
        <w:rPr>
          <w:rFonts w:ascii="Sylfaen" w:hAnsi="Sylfaen"/>
          <w:sz w:val="24"/>
          <w:szCs w:val="24"/>
        </w:rPr>
        <w:t>)։</w:t>
      </w:r>
      <w:r w:rsidRPr="00394A09">
        <w:rPr>
          <w:rFonts w:ascii="Sylfaen" w:hAnsi="Sylfaen"/>
          <w:i/>
          <w:sz w:val="24"/>
          <w:szCs w:val="24"/>
        </w:rPr>
        <w:t xml:space="preserve"> </w:t>
      </w:r>
      <w:r w:rsidRPr="00394A09">
        <w:rPr>
          <w:rFonts w:ascii="Sylfaen" w:hAnsi="Sylfaen"/>
          <w:sz w:val="24"/>
          <w:szCs w:val="24"/>
        </w:rPr>
        <w:t>Տ լուծույթը պետք է լինի անգույն:</w:t>
      </w:r>
    </w:p>
    <w:p w14:paraId="2E863E64"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Թթվայնությունը </w:t>
      </w:r>
      <w:r>
        <w:rPr>
          <w:rFonts w:ascii="Sylfaen" w:hAnsi="Sylfaen"/>
          <w:b/>
          <w:sz w:val="24"/>
          <w:szCs w:val="24"/>
        </w:rPr>
        <w:t>եւ</w:t>
      </w:r>
      <w:r w:rsidRPr="00394A09">
        <w:rPr>
          <w:rFonts w:ascii="Sylfaen" w:hAnsi="Sylfaen"/>
          <w:b/>
          <w:sz w:val="24"/>
          <w:szCs w:val="24"/>
        </w:rPr>
        <w:t xml:space="preserve"> ալկալիականությունը </w:t>
      </w:r>
      <w:r w:rsidRPr="00394A09">
        <w:rPr>
          <w:rFonts w:ascii="Sylfaen" w:hAnsi="Sylfaen"/>
          <w:sz w:val="24"/>
          <w:szCs w:val="24"/>
        </w:rPr>
        <w:t xml:space="preserve">Փաթեթվածքի նոմինալ ծավալի 4 տոկոսին համապատասխանող Տ լուծույթի ծավալին ավելացնում են </w:t>
      </w:r>
      <w:r w:rsidRPr="00394A09">
        <w:rPr>
          <w:rFonts w:ascii="Sylfaen" w:hAnsi="Sylfaen"/>
          <w:i/>
          <w:sz w:val="24"/>
          <w:szCs w:val="24"/>
        </w:rPr>
        <w:t xml:space="preserve">Ռ ֆենոլֆտալեինի լուծույթի </w:t>
      </w:r>
      <w:r w:rsidRPr="00394A09">
        <w:rPr>
          <w:rFonts w:ascii="Sylfaen" w:hAnsi="Sylfaen"/>
          <w:sz w:val="24"/>
          <w:szCs w:val="24"/>
        </w:rPr>
        <w:t>0,1 մլ: Լուծույթը պետք է մնա անգույն: Լուծույթի երանգը պետք է փոխվի մինչ</w:t>
      </w:r>
      <w:r>
        <w:rPr>
          <w:rFonts w:ascii="Sylfaen" w:hAnsi="Sylfaen"/>
          <w:sz w:val="24"/>
          <w:szCs w:val="24"/>
        </w:rPr>
        <w:t>եւ</w:t>
      </w:r>
      <w:r w:rsidRPr="00394A09">
        <w:rPr>
          <w:rFonts w:ascii="Sylfaen" w:hAnsi="Sylfaen"/>
          <w:sz w:val="24"/>
          <w:szCs w:val="24"/>
        </w:rPr>
        <w:t xml:space="preserve"> վարդագույնը՝ </w:t>
      </w:r>
      <w:r w:rsidRPr="00394A09">
        <w:rPr>
          <w:rFonts w:ascii="Sylfaen" w:hAnsi="Sylfaen"/>
          <w:i/>
          <w:sz w:val="24"/>
          <w:szCs w:val="24"/>
        </w:rPr>
        <w:t>0,01 Մ նատրիումի հիդրօքսիդի</w:t>
      </w:r>
      <w:r w:rsidRPr="00394A09">
        <w:rPr>
          <w:rFonts w:ascii="Sylfaen" w:hAnsi="Sylfaen"/>
          <w:sz w:val="24"/>
          <w:szCs w:val="24"/>
        </w:rPr>
        <w:t xml:space="preserve"> </w:t>
      </w:r>
      <w:r w:rsidRPr="00394A09">
        <w:rPr>
          <w:rFonts w:ascii="Sylfaen" w:hAnsi="Sylfaen"/>
          <w:sz w:val="24"/>
          <w:szCs w:val="24"/>
        </w:rPr>
        <w:lastRenderedPageBreak/>
        <w:t xml:space="preserve">լուծույթի 0,4 մլ ավելացնելիս: Ավելացնում են </w:t>
      </w:r>
      <w:r w:rsidRPr="00394A09">
        <w:rPr>
          <w:rFonts w:ascii="Sylfaen" w:hAnsi="Sylfaen"/>
          <w:i/>
          <w:sz w:val="24"/>
          <w:szCs w:val="24"/>
        </w:rPr>
        <w:t>0,01 Մ քլորաջրածնային թթվի</w:t>
      </w:r>
      <w:r w:rsidRPr="00394A09">
        <w:rPr>
          <w:rFonts w:ascii="Sylfaen" w:hAnsi="Sylfaen"/>
          <w:sz w:val="24"/>
          <w:szCs w:val="24"/>
        </w:rPr>
        <w:t xml:space="preserve"> 0,8 մլ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 xml:space="preserve">Ռ մեթիլային կարմիրի լուծույթի </w:t>
      </w:r>
      <w:r w:rsidRPr="00394A09">
        <w:rPr>
          <w:rFonts w:ascii="Sylfaen" w:hAnsi="Sylfaen"/>
          <w:sz w:val="24"/>
          <w:szCs w:val="24"/>
        </w:rPr>
        <w:t>0,1 մլ: Լուծույթի երանգը պետք է փոխվի մինչ</w:t>
      </w:r>
      <w:r>
        <w:rPr>
          <w:rFonts w:ascii="Sylfaen" w:hAnsi="Sylfaen"/>
          <w:sz w:val="24"/>
          <w:szCs w:val="24"/>
        </w:rPr>
        <w:t>եւ</w:t>
      </w:r>
      <w:r w:rsidRPr="00394A09">
        <w:rPr>
          <w:rFonts w:ascii="Sylfaen" w:hAnsi="Sylfaen"/>
          <w:sz w:val="24"/>
          <w:szCs w:val="24"/>
        </w:rPr>
        <w:t xml:space="preserve"> նարնջագույնը կամ կարմիրը:</w:t>
      </w:r>
    </w:p>
    <w:p w14:paraId="6F14439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Կլանումը / Օպտիկական խտությունը</w:t>
      </w:r>
      <w:r w:rsidRPr="00394A09">
        <w:rPr>
          <w:rFonts w:ascii="Sylfaen" w:hAnsi="Sylfaen"/>
          <w:sz w:val="24"/>
          <w:szCs w:val="24"/>
        </w:rPr>
        <w:t xml:space="preserve"> (</w:t>
      </w:r>
      <w:r w:rsidRPr="00394A09">
        <w:rPr>
          <w:rFonts w:ascii="Sylfaen" w:hAnsi="Sylfaen"/>
          <w:i/>
          <w:sz w:val="24"/>
          <w:szCs w:val="24"/>
        </w:rPr>
        <w:t>2.1.2.24</w:t>
      </w:r>
      <w:r w:rsidRPr="00394A09">
        <w:rPr>
          <w:rFonts w:ascii="Sylfaen" w:hAnsi="Sylfaen"/>
          <w:sz w:val="24"/>
          <w:szCs w:val="24"/>
        </w:rPr>
        <w:t>)։ 230 նմ-ից մինչ</w:t>
      </w:r>
      <w:r>
        <w:rPr>
          <w:rFonts w:ascii="Sylfaen" w:hAnsi="Sylfaen"/>
          <w:sz w:val="24"/>
          <w:szCs w:val="24"/>
        </w:rPr>
        <w:t>եւ</w:t>
      </w:r>
      <w:r w:rsidRPr="00394A09">
        <w:rPr>
          <w:rFonts w:ascii="Sylfaen" w:hAnsi="Sylfaen"/>
          <w:sz w:val="24"/>
          <w:szCs w:val="24"/>
        </w:rPr>
        <w:t xml:space="preserve"> 360 նմ հատվածում չափում են Տ լուծույթի օպտիկական խտությունը՝ որպես կոնպենսացման լուծույթ օգտագործելով ստուգիչ լուծույթը (տե՛ս </w:t>
      </w:r>
      <w:r w:rsidRPr="00394A09">
        <w:rPr>
          <w:rFonts w:ascii="Sylfaen" w:hAnsi="Sylfaen"/>
          <w:i/>
          <w:sz w:val="24"/>
          <w:szCs w:val="24"/>
        </w:rPr>
        <w:t>լուծույթ Տ</w:t>
      </w:r>
      <w:r w:rsidRPr="00394A09">
        <w:rPr>
          <w:rFonts w:ascii="Sylfaen" w:hAnsi="Sylfaen"/>
          <w:sz w:val="24"/>
          <w:szCs w:val="24"/>
        </w:rPr>
        <w:t>):</w:t>
      </w:r>
    </w:p>
    <w:p w14:paraId="7771D9B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Օպտիկական խտությունը չպետք է գերազանցի 0,20-ը:</w:t>
      </w:r>
    </w:p>
    <w:p w14:paraId="65B9FDA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Վերականգնող նյութերը </w:t>
      </w:r>
      <w:r w:rsidRPr="00394A09">
        <w:rPr>
          <w:rFonts w:ascii="Sylfaen" w:hAnsi="Sylfaen"/>
          <w:sz w:val="24"/>
          <w:szCs w:val="24"/>
        </w:rPr>
        <w:t xml:space="preserve">Տ լուծույթի 20,0 մլ-ին ավելացնում են </w:t>
      </w:r>
      <w:r w:rsidRPr="00394A09">
        <w:rPr>
          <w:rFonts w:ascii="Sylfaen" w:hAnsi="Sylfaen"/>
          <w:i/>
          <w:sz w:val="24"/>
          <w:szCs w:val="24"/>
        </w:rPr>
        <w:t xml:space="preserve">Ռ նոսրացված </w:t>
      </w:r>
      <w:r w:rsidRPr="00E36B76">
        <w:rPr>
          <w:rFonts w:ascii="Sylfaen" w:hAnsi="Sylfaen"/>
          <w:i/>
          <w:spacing w:val="-4"/>
          <w:sz w:val="24"/>
          <w:szCs w:val="24"/>
        </w:rPr>
        <w:t>ծծմբական թթվի</w:t>
      </w:r>
      <w:r w:rsidRPr="00E36B76">
        <w:rPr>
          <w:rFonts w:ascii="Sylfaen" w:hAnsi="Sylfaen"/>
          <w:spacing w:val="-4"/>
          <w:sz w:val="24"/>
          <w:szCs w:val="24"/>
        </w:rPr>
        <w:t xml:space="preserve"> 1 մլ եւ </w:t>
      </w:r>
      <w:r w:rsidRPr="00E36B76">
        <w:rPr>
          <w:rFonts w:ascii="Sylfaen" w:hAnsi="Sylfaen"/>
          <w:i/>
          <w:spacing w:val="-4"/>
          <w:sz w:val="24"/>
          <w:szCs w:val="24"/>
        </w:rPr>
        <w:t>0,002 Մ կալիումի պերմանգանատի լուծույթի</w:t>
      </w:r>
      <w:r w:rsidRPr="00E36B76">
        <w:rPr>
          <w:rFonts w:ascii="Sylfaen" w:hAnsi="Sylfaen"/>
          <w:spacing w:val="-4"/>
          <w:sz w:val="24"/>
          <w:szCs w:val="24"/>
        </w:rPr>
        <w:t xml:space="preserve"> 20,0 մլ: 3 րոպե եռացնում են եւ անմիջապես հովացնում: Ստացված լուծույթին ավելացնում են </w:t>
      </w:r>
      <w:r w:rsidRPr="00E36B76">
        <w:rPr>
          <w:rFonts w:ascii="Sylfaen" w:hAnsi="Sylfaen"/>
          <w:i/>
          <w:spacing w:val="-4"/>
          <w:sz w:val="24"/>
          <w:szCs w:val="24"/>
        </w:rPr>
        <w:t xml:space="preserve">Ռ կալիումի յոդիդի </w:t>
      </w:r>
      <w:r w:rsidRPr="00E36B76">
        <w:rPr>
          <w:rFonts w:ascii="Sylfaen" w:hAnsi="Sylfaen"/>
          <w:spacing w:val="-4"/>
          <w:sz w:val="24"/>
          <w:szCs w:val="24"/>
        </w:rPr>
        <w:t xml:space="preserve">1 գ եւ անմիջապես տիտրում </w:t>
      </w:r>
      <w:r w:rsidRPr="00E36B76">
        <w:rPr>
          <w:rFonts w:ascii="Sylfaen" w:hAnsi="Sylfaen"/>
          <w:i/>
          <w:spacing w:val="-4"/>
          <w:sz w:val="24"/>
          <w:szCs w:val="24"/>
        </w:rPr>
        <w:t>0,01 Մ նատրիումի թիոսուլֆատի</w:t>
      </w:r>
      <w:r w:rsidRPr="00394A09">
        <w:rPr>
          <w:rFonts w:ascii="Sylfaen" w:hAnsi="Sylfaen"/>
          <w:i/>
          <w:sz w:val="24"/>
          <w:szCs w:val="24"/>
        </w:rPr>
        <w:t xml:space="preserve"> լուծույթով՝</w:t>
      </w:r>
      <w:r w:rsidRPr="00394A09">
        <w:rPr>
          <w:rFonts w:ascii="Sylfaen" w:hAnsi="Sylfaen"/>
          <w:sz w:val="24"/>
          <w:szCs w:val="24"/>
        </w:rPr>
        <w:t xml:space="preserve"> որպես ցուցիչ օգտագործելով </w:t>
      </w:r>
      <w:r w:rsidRPr="00394A09">
        <w:rPr>
          <w:rFonts w:ascii="Sylfaen" w:hAnsi="Sylfaen"/>
          <w:i/>
          <w:sz w:val="24"/>
          <w:szCs w:val="24"/>
        </w:rPr>
        <w:t>Ռ օսլայի լուծույթի 0,25 մլ</w:t>
      </w:r>
      <w:r w:rsidRPr="00394A09">
        <w:rPr>
          <w:rFonts w:ascii="Sylfaen" w:hAnsi="Sylfaen"/>
          <w:sz w:val="24"/>
          <w:szCs w:val="24"/>
        </w:rPr>
        <w:t>: Զուգահեռ անցկացնում են ստուգիչ փորձարկում՝ օգտագործելով ստուգիչ լուծույթի 20,0 մլ: Տիտրանտի ծավալների միջ</w:t>
      </w:r>
      <w:r>
        <w:rPr>
          <w:rFonts w:ascii="Sylfaen" w:hAnsi="Sylfaen"/>
          <w:sz w:val="24"/>
          <w:szCs w:val="24"/>
        </w:rPr>
        <w:t>եւ</w:t>
      </w:r>
      <w:r w:rsidRPr="00394A09">
        <w:rPr>
          <w:rFonts w:ascii="Sylfaen" w:hAnsi="Sylfaen"/>
          <w:sz w:val="24"/>
          <w:szCs w:val="24"/>
        </w:rPr>
        <w:t xml:space="preserve"> տարբերությունը չպետք է գերազանցի 1,5 մլ-ը:</w:t>
      </w:r>
    </w:p>
    <w:p w14:paraId="2B449DC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Թափանցիկությունը։ </w:t>
      </w:r>
      <w:r w:rsidRPr="00394A09">
        <w:rPr>
          <w:rFonts w:ascii="Sylfaen" w:hAnsi="Sylfaen"/>
          <w:sz w:val="24"/>
          <w:szCs w:val="24"/>
        </w:rPr>
        <w:t xml:space="preserve">Տ լուծույթի պատրաստման համար մինչ այդ օգտագործված փաթեթվածքը լցավորում են սկզբնական օպալեսցենտող դեղակախույթով </w:t>
      </w:r>
      <w:r w:rsidRPr="00394A09">
        <w:rPr>
          <w:rFonts w:ascii="Sylfaen" w:hAnsi="Sylfaen"/>
          <w:i/>
          <w:sz w:val="24"/>
          <w:szCs w:val="24"/>
        </w:rPr>
        <w:t>(2.1.2.1),</w:t>
      </w:r>
      <w:r w:rsidRPr="00394A09">
        <w:rPr>
          <w:rFonts w:ascii="Sylfaen" w:hAnsi="Sylfaen"/>
          <w:sz w:val="24"/>
          <w:szCs w:val="24"/>
        </w:rPr>
        <w:t xml:space="preserve"> որը պոլիէթիլենից կամ պոլիպրոպիլենից պատրաստված փաթեթվածքների համար նոսրացվել է 1:200 հարաբերակցությամբ, իսկ այլ փաթեթվածքների համար՝ 1:400 հարաբերակցությամբ՝ փաթեթվածքի նոմինալ ծավալին հավասար քանակությամբ: Փաթեթվածքի միջով նայելիս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Ռ ջրով</w:t>
      </w:r>
      <w:r w:rsidRPr="00394A09">
        <w:rPr>
          <w:rFonts w:ascii="Sylfaen" w:hAnsi="Sylfaen"/>
          <w:sz w:val="24"/>
          <w:szCs w:val="24"/>
        </w:rPr>
        <w:t xml:space="preserve"> լցված փաթեթվածքի համեմատ պետք է նկատելի լինի դեղակախույթի օպալեսցենցիան:</w:t>
      </w:r>
    </w:p>
    <w:p w14:paraId="02649D6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68F82DCB"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ՄԱԿՆՇՈՒՄԸ</w:t>
      </w:r>
    </w:p>
    <w:p w14:paraId="1401C4BB" w14:textId="77777777" w:rsidR="00AF2D51" w:rsidRPr="00903268" w:rsidRDefault="00AF2D51" w:rsidP="00AF2D51">
      <w:pPr>
        <w:pStyle w:val="a0"/>
        <w:shd w:val="clear" w:color="auto" w:fill="auto"/>
        <w:spacing w:after="160" w:line="360" w:lineRule="auto"/>
        <w:ind w:firstLine="567"/>
        <w:jc w:val="both"/>
        <w:rPr>
          <w:rFonts w:ascii="Sylfaen" w:hAnsi="Sylfaen"/>
          <w:sz w:val="24"/>
          <w:szCs w:val="24"/>
        </w:rPr>
      </w:pPr>
      <w:r w:rsidRPr="00394A09">
        <w:rPr>
          <w:rFonts w:ascii="Sylfaen" w:hAnsi="Sylfaen"/>
          <w:sz w:val="24"/>
          <w:szCs w:val="24"/>
        </w:rPr>
        <w:t>Որպես կանոն, դեղամիջոցների մակնշումը կարգավորվում է Միության նորմատիվ իրավական ակտերով:</w:t>
      </w:r>
    </w:p>
    <w:p w14:paraId="22E4E758" w14:textId="77777777" w:rsidR="001827DA" w:rsidRPr="00903268" w:rsidRDefault="001827DA" w:rsidP="00AF2D51">
      <w:pPr>
        <w:pStyle w:val="a0"/>
        <w:shd w:val="clear" w:color="auto" w:fill="auto"/>
        <w:spacing w:after="160" w:line="360" w:lineRule="auto"/>
        <w:ind w:firstLine="567"/>
        <w:jc w:val="both"/>
        <w:rPr>
          <w:rFonts w:ascii="Sylfaen" w:hAnsi="Sylfaen" w:cs="Sylfaen"/>
          <w:sz w:val="24"/>
          <w:szCs w:val="24"/>
        </w:rPr>
      </w:pPr>
    </w:p>
    <w:p w14:paraId="428BD14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lastRenderedPageBreak/>
        <w:t>Դատարկ փաթեթվածքների սերիայի մակնշման վրա պետք է նշված լինեն՝</w:t>
      </w:r>
    </w:p>
    <w:p w14:paraId="08E8F82D"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արտադրողի անվանումն ու հասցեն.</w:t>
      </w:r>
    </w:p>
    <w:p w14:paraId="6C858639"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խմբաքանակի համարը.</w:t>
      </w:r>
    </w:p>
    <w:p w14:paraId="597B3B8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AF2D51">
        <w:rPr>
          <w:rFonts w:ascii="Sylfaen" w:hAnsi="Sylfaen"/>
          <w:sz w:val="24"/>
          <w:szCs w:val="24"/>
        </w:rPr>
        <w:tab/>
      </w:r>
      <w:r w:rsidRPr="00394A09">
        <w:rPr>
          <w:rFonts w:ascii="Sylfaen" w:hAnsi="Sylfaen"/>
          <w:sz w:val="24"/>
          <w:szCs w:val="24"/>
        </w:rPr>
        <w:t>արտադրման ամսաթիվը.</w:t>
      </w:r>
    </w:p>
    <w:p w14:paraId="67A7AFF0"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պոլիմերային այն նյութի անվանումը, որից այն պատրաստված է:</w:t>
      </w:r>
    </w:p>
    <w:p w14:paraId="27157AB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7E122B07" w14:textId="77777777" w:rsidR="00AF2D51" w:rsidRPr="00AF2D51" w:rsidRDefault="00AF2D51" w:rsidP="00AF2D51">
      <w:pPr>
        <w:pStyle w:val="a0"/>
        <w:shd w:val="clear" w:color="auto" w:fill="auto"/>
        <w:spacing w:after="160" w:line="360" w:lineRule="auto"/>
        <w:ind w:firstLine="567"/>
        <w:jc w:val="right"/>
        <w:rPr>
          <w:rFonts w:ascii="Sylfaen" w:hAnsi="Sylfaen"/>
          <w:b/>
          <w:szCs w:val="24"/>
        </w:rPr>
      </w:pPr>
      <w:r w:rsidRPr="00E36B76">
        <w:rPr>
          <w:rFonts w:ascii="Sylfaen" w:hAnsi="Sylfaen"/>
          <w:b/>
          <w:szCs w:val="24"/>
        </w:rPr>
        <w:t>204020005-2022</w:t>
      </w:r>
    </w:p>
    <w:p w14:paraId="1A09963E" w14:textId="77777777" w:rsidR="00AF2D51" w:rsidRPr="00AF2D51" w:rsidRDefault="00AF2D51" w:rsidP="00AF2D51">
      <w:pPr>
        <w:pStyle w:val="a0"/>
        <w:shd w:val="clear" w:color="auto" w:fill="auto"/>
        <w:spacing w:after="160" w:line="360" w:lineRule="auto"/>
        <w:ind w:firstLine="567"/>
        <w:jc w:val="right"/>
        <w:rPr>
          <w:rFonts w:ascii="Sylfaen" w:hAnsi="Sylfaen" w:cs="Sylfaen"/>
          <w:szCs w:val="24"/>
        </w:rPr>
      </w:pPr>
    </w:p>
    <w:p w14:paraId="7CD5952C" w14:textId="77777777" w:rsidR="00AF2D51" w:rsidRPr="00394A09" w:rsidRDefault="00AF2D51" w:rsidP="00AF2D51">
      <w:pPr>
        <w:pStyle w:val="a0"/>
        <w:shd w:val="clear" w:color="auto" w:fill="auto"/>
        <w:tabs>
          <w:tab w:val="left" w:pos="1701"/>
        </w:tabs>
        <w:spacing w:after="160" w:line="360" w:lineRule="auto"/>
        <w:ind w:firstLine="567"/>
        <w:jc w:val="both"/>
        <w:rPr>
          <w:rFonts w:ascii="Sylfaen" w:hAnsi="Sylfaen" w:cs="Sylfaen"/>
          <w:sz w:val="24"/>
          <w:szCs w:val="24"/>
        </w:rPr>
      </w:pPr>
      <w:r w:rsidRPr="00394A09">
        <w:rPr>
          <w:rFonts w:ascii="Sylfaen" w:hAnsi="Sylfaen"/>
          <w:b/>
          <w:sz w:val="24"/>
          <w:szCs w:val="24"/>
        </w:rPr>
        <w:t>2.4.2.5.</w:t>
      </w:r>
      <w:r w:rsidRPr="00AF2D51">
        <w:rPr>
          <w:rFonts w:ascii="Sylfaen" w:hAnsi="Sylfaen"/>
          <w:b/>
          <w:sz w:val="24"/>
          <w:szCs w:val="24"/>
        </w:rPr>
        <w:tab/>
      </w:r>
      <w:r w:rsidRPr="00394A09">
        <w:rPr>
          <w:rFonts w:ascii="Sylfaen" w:hAnsi="Sylfaen"/>
          <w:b/>
          <w:sz w:val="24"/>
          <w:szCs w:val="24"/>
        </w:rPr>
        <w:t xml:space="preserve">Պարենտերալ կիրառման ջրային լուծույթների, փոշիների </w:t>
      </w:r>
      <w:r>
        <w:rPr>
          <w:rFonts w:ascii="Sylfaen" w:hAnsi="Sylfaen"/>
          <w:b/>
          <w:sz w:val="24"/>
          <w:szCs w:val="24"/>
        </w:rPr>
        <w:t>եւ</w:t>
      </w:r>
      <w:r w:rsidRPr="00394A09">
        <w:rPr>
          <w:rFonts w:ascii="Sylfaen" w:hAnsi="Sylfaen"/>
          <w:b/>
          <w:sz w:val="24"/>
          <w:szCs w:val="24"/>
        </w:rPr>
        <w:t xml:space="preserve"> լիոֆիլիզատների ձ</w:t>
      </w:r>
      <w:r>
        <w:rPr>
          <w:rFonts w:ascii="Sylfaen" w:hAnsi="Sylfaen"/>
          <w:b/>
          <w:sz w:val="24"/>
          <w:szCs w:val="24"/>
        </w:rPr>
        <w:t>եւ</w:t>
      </w:r>
      <w:r w:rsidRPr="00394A09">
        <w:rPr>
          <w:rFonts w:ascii="Sylfaen" w:hAnsi="Sylfaen"/>
          <w:b/>
          <w:sz w:val="24"/>
          <w:szCs w:val="24"/>
        </w:rPr>
        <w:t>ով դեղապատրաստուկների համար նախատեսված փաթեթվածքի ռետինե խցանափակման միջոցները</w:t>
      </w:r>
    </w:p>
    <w:p w14:paraId="28C8B23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Պարենտերալ կիրառման ջրային լուծույթների, փոշիների </w:t>
      </w:r>
      <w:r>
        <w:rPr>
          <w:rFonts w:ascii="Sylfaen" w:hAnsi="Sylfaen"/>
          <w:sz w:val="24"/>
          <w:szCs w:val="24"/>
        </w:rPr>
        <w:t>եւ</w:t>
      </w:r>
      <w:r w:rsidRPr="00394A09">
        <w:rPr>
          <w:rFonts w:ascii="Sylfaen" w:hAnsi="Sylfaen"/>
          <w:sz w:val="24"/>
          <w:szCs w:val="24"/>
        </w:rPr>
        <w:t xml:space="preserve"> լիոֆիլիզատների ձ</w:t>
      </w:r>
      <w:r>
        <w:rPr>
          <w:rFonts w:ascii="Sylfaen" w:hAnsi="Sylfaen"/>
          <w:sz w:val="24"/>
          <w:szCs w:val="24"/>
        </w:rPr>
        <w:t>եւ</w:t>
      </w:r>
      <w:r w:rsidRPr="00394A09">
        <w:rPr>
          <w:rFonts w:ascii="Sylfaen" w:hAnsi="Sylfaen"/>
          <w:sz w:val="24"/>
          <w:szCs w:val="24"/>
        </w:rPr>
        <w:t xml:space="preserve">ով դեղապատրաստուկների համար նախատեսված փաթեթվածքի խցանափակման ռետինե միջոցներն արտադրում են մակրոմոլեկուլային օրգանական նյութերի վուլկանացմամբ (լայնակի կարմամբ) ստացված էլաստոմերներից: Էլաստոմերները բնական ծագման կամ քիմիական սինթեզի միջոցով ստացված պոլիմերային նյութեր են։ Հիմնական բաղադրիչների </w:t>
      </w:r>
      <w:r>
        <w:rPr>
          <w:rFonts w:ascii="Sylfaen" w:hAnsi="Sylfaen"/>
          <w:sz w:val="24"/>
          <w:szCs w:val="24"/>
        </w:rPr>
        <w:t>եւ</w:t>
      </w:r>
      <w:r w:rsidRPr="00394A09">
        <w:rPr>
          <w:rFonts w:ascii="Sylfaen" w:hAnsi="Sylfaen"/>
          <w:sz w:val="24"/>
          <w:szCs w:val="24"/>
        </w:rPr>
        <w:t xml:space="preserve"> տարբեր հավելանյութերի (օրինակ՝ ռետինարարների, կատալիզատորների, կայունացուցիչների, գունանյութերի) ընտրությունը կախված է պատրաստի արտադրատեսակի պահանջվող հատկություններից: Ռետինե խցանափակման միջոցներին են դասվում ռետինե խցանների բոլոր տեսակները, ներառյալ՝ սրվակների խցանները, խտարար օղակները </w:t>
      </w:r>
      <w:r>
        <w:rPr>
          <w:rFonts w:ascii="Sylfaen" w:hAnsi="Sylfaen"/>
          <w:sz w:val="24"/>
          <w:szCs w:val="24"/>
        </w:rPr>
        <w:t>եւ</w:t>
      </w:r>
      <w:r w:rsidRPr="00394A09">
        <w:rPr>
          <w:rFonts w:ascii="Sylfaen" w:hAnsi="Sylfaen"/>
          <w:sz w:val="24"/>
          <w:szCs w:val="24"/>
        </w:rPr>
        <w:t xml:space="preserve"> քարթրիջների մխոցները, ինչպես նա</w:t>
      </w:r>
      <w:r>
        <w:rPr>
          <w:rFonts w:ascii="Sylfaen" w:hAnsi="Sylfaen"/>
          <w:sz w:val="24"/>
          <w:szCs w:val="24"/>
        </w:rPr>
        <w:t>եւ</w:t>
      </w:r>
      <w:r w:rsidRPr="00394A09">
        <w:rPr>
          <w:rFonts w:ascii="Sylfaen" w:hAnsi="Sylfaen"/>
          <w:sz w:val="24"/>
          <w:szCs w:val="24"/>
        </w:rPr>
        <w:t xml:space="preserve"> ծայրակալների ռետինե թասակները, ասեղների պաշտպանիչ թասակները </w:t>
      </w:r>
      <w:r>
        <w:rPr>
          <w:rFonts w:ascii="Sylfaen" w:hAnsi="Sylfaen"/>
          <w:sz w:val="24"/>
          <w:szCs w:val="24"/>
        </w:rPr>
        <w:t>եւ</w:t>
      </w:r>
      <w:r w:rsidRPr="00394A09">
        <w:rPr>
          <w:rFonts w:ascii="Sylfaen" w:hAnsi="Sylfaen"/>
          <w:sz w:val="24"/>
          <w:szCs w:val="24"/>
        </w:rPr>
        <w:t xml:space="preserve"> ներարկիչների սուզակային խցանները:</w:t>
      </w:r>
    </w:p>
    <w:p w14:paraId="3669E44A"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Տվյալ ընդհանուր դեղագրքային հոդվածի պահանջները տարածվում են մեկ տեսակի ռետինից պատրաստված խցանափակման միջոցների, ծածկույթով </w:t>
      </w:r>
      <w:r w:rsidRPr="00394A09">
        <w:rPr>
          <w:rFonts w:ascii="Sylfaen" w:hAnsi="Sylfaen"/>
          <w:sz w:val="24"/>
          <w:szCs w:val="24"/>
        </w:rPr>
        <w:lastRenderedPageBreak/>
        <w:t xml:space="preserve">խցանափակման խցանների, երկշերտ </w:t>
      </w:r>
      <w:r>
        <w:rPr>
          <w:rFonts w:ascii="Sylfaen" w:hAnsi="Sylfaen"/>
          <w:sz w:val="24"/>
          <w:szCs w:val="24"/>
        </w:rPr>
        <w:t>եւ</w:t>
      </w:r>
      <w:r w:rsidRPr="00394A09">
        <w:rPr>
          <w:rFonts w:ascii="Sylfaen" w:hAnsi="Sylfaen"/>
          <w:sz w:val="24"/>
          <w:szCs w:val="24"/>
        </w:rPr>
        <w:t xml:space="preserve"> յուղած խցանների վրա: Ծածկույթով խցանափակման խցանները հիմնականում արտադրում են ռետինից, որի ամբողջ մակերեւույթի կամ մակերեւույթի մի մասի վրա այլ պոլիմերային ռետինի շերտ կա: Երկշերտ խցանները բաղկացած են ռետինի երկու տարբեր տեսակներից: Առաջին տեսակն ունի քիմիական մաքրության բարձր մակարդակ </w:t>
      </w:r>
      <w:r>
        <w:rPr>
          <w:rFonts w:ascii="Sylfaen" w:hAnsi="Sylfaen"/>
          <w:sz w:val="24"/>
          <w:szCs w:val="24"/>
        </w:rPr>
        <w:t>եւ</w:t>
      </w:r>
      <w:r w:rsidRPr="00394A09">
        <w:rPr>
          <w:rFonts w:ascii="Sylfaen" w:hAnsi="Sylfaen"/>
          <w:sz w:val="24"/>
          <w:szCs w:val="24"/>
        </w:rPr>
        <w:t xml:space="preserve"> նախատեսված է դեղապատրաստուկի հետ կոնտակտի համար, իսկ մյուսն ունի ավելի բարձր ձգունություն </w:t>
      </w:r>
      <w:r>
        <w:rPr>
          <w:rFonts w:ascii="Sylfaen" w:hAnsi="Sylfaen"/>
          <w:sz w:val="24"/>
          <w:szCs w:val="24"/>
        </w:rPr>
        <w:t>եւ</w:t>
      </w:r>
      <w:r w:rsidRPr="00394A09">
        <w:rPr>
          <w:rFonts w:ascii="Sylfaen" w:hAnsi="Sylfaen"/>
          <w:sz w:val="24"/>
          <w:szCs w:val="24"/>
        </w:rPr>
        <w:t xml:space="preserve"> նախատեսված է խտացման </w:t>
      </w:r>
      <w:r>
        <w:rPr>
          <w:rFonts w:ascii="Sylfaen" w:hAnsi="Sylfaen"/>
          <w:sz w:val="24"/>
          <w:szCs w:val="24"/>
        </w:rPr>
        <w:t>եւ</w:t>
      </w:r>
      <w:r w:rsidRPr="00394A09">
        <w:rPr>
          <w:rFonts w:ascii="Sylfaen" w:hAnsi="Sylfaen"/>
          <w:sz w:val="24"/>
          <w:szCs w:val="24"/>
        </w:rPr>
        <w:t xml:space="preserve"> ռետինի քայքայման նկատմամբ կայունության բարելավման համար: Յուղված ռետինե խցանները սիլիկոնային յուղով (</w:t>
      </w:r>
      <w:r w:rsidRPr="00394A09">
        <w:rPr>
          <w:rFonts w:ascii="Sylfaen" w:hAnsi="Sylfaen"/>
          <w:i/>
          <w:sz w:val="24"/>
          <w:szCs w:val="24"/>
        </w:rPr>
        <w:t>2.4.1.6</w:t>
      </w:r>
      <w:r w:rsidRPr="00394A09">
        <w:rPr>
          <w:rFonts w:ascii="Sylfaen" w:hAnsi="Sylfaen"/>
          <w:sz w:val="24"/>
          <w:szCs w:val="24"/>
        </w:rPr>
        <w:t>) կամ այլ, օրինակ՝ խցանների հետ քիմիապես կամ մեխանիկորեն կապված քսանյութերով մշակված խցաններ են:</w:t>
      </w:r>
    </w:p>
    <w:p w14:paraId="1767AB79"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Եթե խցանափակման միջոցը յուղված է, ապա այն համապատասխանում է տվյալ ընդհանուր դեղագրքային հոդվածի պահանջներին: Տվյալ ընդհանուր դեղագրքային հոդվածի պահանջները չեն տարածվում սիլիկոնային էլաստոմերից պատրաստված խցանափակման միջոցների վրա, որոնք պետք է համապատասխանեն </w:t>
      </w:r>
      <w:r w:rsidRPr="00394A09">
        <w:rPr>
          <w:rFonts w:ascii="Sylfaen" w:hAnsi="Sylfaen"/>
          <w:i/>
          <w:sz w:val="24"/>
          <w:szCs w:val="24"/>
        </w:rPr>
        <w:t xml:space="preserve">(2.4.1.7) Խցանափակման միջոցների </w:t>
      </w:r>
      <w:r>
        <w:rPr>
          <w:rFonts w:ascii="Sylfaen" w:hAnsi="Sylfaen"/>
          <w:i/>
          <w:sz w:val="24"/>
          <w:szCs w:val="24"/>
        </w:rPr>
        <w:t>եւ</w:t>
      </w:r>
      <w:r w:rsidRPr="00394A09">
        <w:rPr>
          <w:rFonts w:ascii="Sylfaen" w:hAnsi="Sylfaen"/>
          <w:i/>
          <w:sz w:val="24"/>
          <w:szCs w:val="24"/>
        </w:rPr>
        <w:t xml:space="preserve"> խողովակների համար սիլիկոնային էլաստոմերներ </w:t>
      </w:r>
      <w:r w:rsidRPr="00394A09">
        <w:rPr>
          <w:rFonts w:ascii="Sylfaen" w:hAnsi="Sylfaen"/>
          <w:sz w:val="24"/>
          <w:szCs w:val="24"/>
        </w:rPr>
        <w:t>ընդհանուր դեղագրքային հոդվածի պահանջներին:</w:t>
      </w:r>
    </w:p>
    <w:p w14:paraId="7F2A0A75"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Խցանափակման ռետինե միջոցները դասակարգվում են երկու տիպերով՝</w:t>
      </w:r>
    </w:p>
    <w:p w14:paraId="0AE031FA"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I տիպի խցանափակման միջոցներ՝ ամենախիստ պահանջներին համապատասխանող </w:t>
      </w:r>
      <w:r>
        <w:rPr>
          <w:rFonts w:ascii="Sylfaen" w:hAnsi="Sylfaen"/>
          <w:sz w:val="24"/>
          <w:szCs w:val="24"/>
        </w:rPr>
        <w:t>եւ</w:t>
      </w:r>
      <w:r w:rsidRPr="00394A09">
        <w:rPr>
          <w:rFonts w:ascii="Sylfaen" w:hAnsi="Sylfaen"/>
          <w:sz w:val="24"/>
          <w:szCs w:val="24"/>
        </w:rPr>
        <w:t xml:space="preserve"> օգտագործման համար նախընտրելի խցաններ.</w:t>
      </w:r>
    </w:p>
    <w:p w14:paraId="55EA06E1"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II տիպի խցանափակման միջոցներ՝ հատուկ նպատակներով (օրինակ՝ բազմակի ծակման) օգտագործման համար պիտանի մեխանիկական հատկություններ ունեցող խցաններ, որոնք, սակայն, իրենց քիմիական կազմի հետ</w:t>
      </w:r>
      <w:r>
        <w:rPr>
          <w:rFonts w:ascii="Sylfaen" w:hAnsi="Sylfaen"/>
          <w:sz w:val="24"/>
          <w:szCs w:val="24"/>
        </w:rPr>
        <w:t>եւ</w:t>
      </w:r>
      <w:r w:rsidRPr="00394A09">
        <w:rPr>
          <w:rFonts w:ascii="Sylfaen" w:hAnsi="Sylfaen"/>
          <w:sz w:val="24"/>
          <w:szCs w:val="24"/>
        </w:rPr>
        <w:t>անքով չեն համապատասխանում այն խիստ պահանջներին, որոնց համապատասխանում են I տիպի խցանափակման միջոցները:</w:t>
      </w:r>
    </w:p>
    <w:p w14:paraId="0E16D56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Կոնկրետ դեղապատրաստուկի փաթեթվածքի համար կիրառվող խցանափակման միջոցներին ներկայացվում են հետ</w:t>
      </w:r>
      <w:r>
        <w:rPr>
          <w:rFonts w:ascii="Sylfaen" w:hAnsi="Sylfaen"/>
          <w:sz w:val="24"/>
          <w:szCs w:val="24"/>
        </w:rPr>
        <w:t>եւ</w:t>
      </w:r>
      <w:r w:rsidRPr="00394A09">
        <w:rPr>
          <w:rFonts w:ascii="Sylfaen" w:hAnsi="Sylfaen"/>
          <w:sz w:val="24"/>
          <w:szCs w:val="24"/>
        </w:rPr>
        <w:t>յալ պահանջները.</w:t>
      </w:r>
    </w:p>
    <w:p w14:paraId="1D04DCCE" w14:textId="77777777" w:rsidR="00AF2D51" w:rsidRPr="00394A09" w:rsidRDefault="00AF2D51" w:rsidP="008D6E8B">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lastRenderedPageBreak/>
        <w:t>-</w:t>
      </w:r>
      <w:r w:rsidRPr="00E36B76">
        <w:rPr>
          <w:rFonts w:ascii="Sylfaen" w:hAnsi="Sylfaen"/>
          <w:sz w:val="24"/>
          <w:szCs w:val="24"/>
        </w:rPr>
        <w:tab/>
      </w:r>
      <w:r w:rsidRPr="00394A09">
        <w:rPr>
          <w:rFonts w:ascii="Sylfaen" w:hAnsi="Sylfaen"/>
          <w:sz w:val="24"/>
          <w:szCs w:val="24"/>
        </w:rPr>
        <w:t>խցանի հետ շփման մեջ գտնվող դեղապատրաստուկի բաղադրիչները չպետք է ադսորբվեն խցանի մակեր</w:t>
      </w:r>
      <w:r>
        <w:rPr>
          <w:rFonts w:ascii="Sylfaen" w:hAnsi="Sylfaen"/>
          <w:sz w:val="24"/>
          <w:szCs w:val="24"/>
        </w:rPr>
        <w:t>եւ</w:t>
      </w:r>
      <w:r w:rsidRPr="00394A09">
        <w:rPr>
          <w:rFonts w:ascii="Sylfaen" w:hAnsi="Sylfaen"/>
          <w:sz w:val="24"/>
          <w:szCs w:val="24"/>
        </w:rPr>
        <w:t xml:space="preserve">ույթով </w:t>
      </w:r>
      <w:r>
        <w:rPr>
          <w:rFonts w:ascii="Sylfaen" w:hAnsi="Sylfaen"/>
          <w:sz w:val="24"/>
          <w:szCs w:val="24"/>
        </w:rPr>
        <w:t>եւ</w:t>
      </w:r>
      <w:r w:rsidRPr="00394A09">
        <w:rPr>
          <w:rFonts w:ascii="Sylfaen" w:hAnsi="Sylfaen"/>
          <w:sz w:val="24"/>
          <w:szCs w:val="24"/>
        </w:rPr>
        <w:t xml:space="preserve"> տարաշարժվեն խցանի ներսում կամ դրա միջով դեղապատրաստուկի որակի վրա բացասաբար ազդող քանակությամբ.</w:t>
      </w:r>
    </w:p>
    <w:p w14:paraId="5E979A42" w14:textId="77777777" w:rsidR="00AF2D51" w:rsidRPr="00394A09" w:rsidRDefault="00AF2D51" w:rsidP="008D6E8B">
      <w:pPr>
        <w:tabs>
          <w:tab w:val="left" w:pos="1134"/>
          <w:tab w:val="left" w:pos="2568"/>
        </w:tabs>
        <w:spacing w:after="160" w:line="360" w:lineRule="auto"/>
        <w:ind w:firstLine="567"/>
        <w:jc w:val="both"/>
      </w:pPr>
      <w:r w:rsidRPr="00394A09">
        <w:t>-</w:t>
      </w:r>
      <w:r w:rsidRPr="00E36B76">
        <w:tab/>
      </w:r>
      <w:r w:rsidRPr="00394A09">
        <w:t>խցանները չպետք է դեղապատրաստուկի մեջ որ</w:t>
      </w:r>
      <w:r>
        <w:t>եւ</w:t>
      </w:r>
      <w:r w:rsidRPr="00394A09">
        <w:t>է նյութ արտազատեն այնպիսի քանակությամբ, որը կազդի դեղապատրաստուկի կայունության վրա կամ հնարավոր է, որ վտանգավոր լինի թունավորության առումով.</w:t>
      </w:r>
    </w:p>
    <w:p w14:paraId="7905C47E" w14:textId="77777777" w:rsidR="00AF2D51" w:rsidRPr="00394A09" w:rsidRDefault="00AF2D51" w:rsidP="008D6E8B">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w:t>
      </w:r>
      <w:r w:rsidRPr="00E36B76">
        <w:rPr>
          <w:rFonts w:ascii="Sylfaen" w:hAnsi="Sylfaen"/>
          <w:sz w:val="24"/>
          <w:szCs w:val="24"/>
        </w:rPr>
        <w:tab/>
      </w:r>
      <w:r w:rsidRPr="00394A09">
        <w:rPr>
          <w:rFonts w:ascii="Sylfaen" w:hAnsi="Sylfaen"/>
          <w:sz w:val="24"/>
          <w:szCs w:val="24"/>
        </w:rPr>
        <w:t xml:space="preserve">խցանները պետք է համատեղելի լինեն այն դեղապատրաստուկի հետ, որի համար օգտագործվում են՝ դրա պահման </w:t>
      </w:r>
      <w:r>
        <w:rPr>
          <w:rFonts w:ascii="Sylfaen" w:hAnsi="Sylfaen"/>
          <w:sz w:val="24"/>
          <w:szCs w:val="24"/>
        </w:rPr>
        <w:t>եւ</w:t>
      </w:r>
      <w:r w:rsidRPr="00394A09">
        <w:rPr>
          <w:rFonts w:ascii="Sylfaen" w:hAnsi="Sylfaen"/>
          <w:sz w:val="24"/>
          <w:szCs w:val="24"/>
        </w:rPr>
        <w:t xml:space="preserve"> կիրառման ամբողջ ժամանակահատվածի ընթացքում:</w:t>
      </w:r>
    </w:p>
    <w:p w14:paraId="6D5012E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Դեղապատրաստուկն արտադրողը պետք է երաշխիքներ ստանա խցանափակման միջոցների մատակարարից առ այն, որ խցանների կազմը չի փոխվել </w:t>
      </w:r>
      <w:r>
        <w:rPr>
          <w:rFonts w:ascii="Sylfaen" w:hAnsi="Sylfaen"/>
          <w:sz w:val="24"/>
          <w:szCs w:val="24"/>
        </w:rPr>
        <w:t>եւ</w:t>
      </w:r>
      <w:r w:rsidRPr="00394A09">
        <w:rPr>
          <w:rFonts w:ascii="Sylfaen" w:hAnsi="Sylfaen"/>
          <w:sz w:val="24"/>
          <w:szCs w:val="24"/>
        </w:rPr>
        <w:t xml:space="preserve"> նույնական է համատեղելիության փորձարկումների ընթացքում օգտագործված խցանների կազմին: Եթե մատակարարը դեղամիջոցն արտադրողին տեղեկացնում է կազմում փոփոխությունների մասին, ապա փոփոխությունների բնույթից կախված՝ հարկավոր է անցկացնել համատեղելիության փորձարկումներ՝ ամբողջ ծավալով կամ մասամբ:</w:t>
      </w:r>
    </w:p>
    <w:p w14:paraId="33F20EF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Օգտագործելուց առաջ խցանները լվանում են </w:t>
      </w:r>
      <w:r>
        <w:rPr>
          <w:rFonts w:ascii="Sylfaen" w:hAnsi="Sylfaen"/>
          <w:sz w:val="24"/>
          <w:szCs w:val="24"/>
        </w:rPr>
        <w:t>եւ</w:t>
      </w:r>
      <w:r w:rsidRPr="00394A09">
        <w:rPr>
          <w:rFonts w:ascii="Sylfaen" w:hAnsi="Sylfaen"/>
          <w:sz w:val="24"/>
          <w:szCs w:val="24"/>
        </w:rPr>
        <w:t xml:space="preserve"> անհրաժեշտության դեպքում՝ մանրէազերծում:</w:t>
      </w:r>
    </w:p>
    <w:p w14:paraId="68342A7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344DD4D3"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ՀԱՏԿՈՒԹՅՈՒՆՆԵՐԸ</w:t>
      </w:r>
    </w:p>
    <w:p w14:paraId="28EA61F8"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Ռետինե խցանափակման միջոցներն առաձգական են. դրանք կիսաթափանցիկ կամ անթափանց են </w:t>
      </w:r>
      <w:r>
        <w:rPr>
          <w:rFonts w:ascii="Sylfaen" w:hAnsi="Sylfaen"/>
          <w:sz w:val="24"/>
          <w:szCs w:val="24"/>
        </w:rPr>
        <w:t>եւ</w:t>
      </w:r>
      <w:r w:rsidRPr="00394A09">
        <w:rPr>
          <w:rFonts w:ascii="Sylfaen" w:hAnsi="Sylfaen"/>
          <w:sz w:val="24"/>
          <w:szCs w:val="24"/>
        </w:rPr>
        <w:t xml:space="preserve"> չունեն բնորոշ գունավորում, որը կախված է կիրառվող հավելանյութերից: Դրանք գրեթե լուծելի չեն տետրահիդրոֆուրանում, սակայն դրա հետ մեկտեղ կարող է նկատվել զգալի դարձելի ուռչում: Խցանները միատարր են </w:t>
      </w:r>
      <w:r>
        <w:rPr>
          <w:rFonts w:ascii="Sylfaen" w:hAnsi="Sylfaen"/>
          <w:sz w:val="24"/>
          <w:szCs w:val="24"/>
        </w:rPr>
        <w:t>եւ</w:t>
      </w:r>
      <w:r w:rsidRPr="00394A09">
        <w:rPr>
          <w:rFonts w:ascii="Sylfaen" w:hAnsi="Sylfaen"/>
          <w:sz w:val="24"/>
          <w:szCs w:val="24"/>
        </w:rPr>
        <w:t xml:space="preserve"> գրեթե չունեն անհարթություններ ու կողմնակի ներառուկներ (օրինակ՝ մանրաթելեր, մեխանիկական մասնիկներ, ռետինե թափոններ):</w:t>
      </w:r>
    </w:p>
    <w:p w14:paraId="42BD2D3A"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lastRenderedPageBreak/>
        <w:t>ՆՈՒՅՆԱԿԱՆԱՑՈՒՄԸ</w:t>
      </w:r>
    </w:p>
    <w:p w14:paraId="6E7CE482"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Խցանափակման միջոցների արտադրության համար օգտագործված ռետինի տեսակի նույնականացումը դուրս է տվյալ</w:t>
      </w:r>
      <w:r w:rsidRPr="00394A09">
        <w:rPr>
          <w:rFonts w:ascii="Sylfaen" w:hAnsi="Sylfaen"/>
          <w:sz w:val="24"/>
          <w:szCs w:val="24"/>
        </w:rPr>
        <w:t xml:space="preserve"> ընդհանուր դեղագրքային հոդվածի </w:t>
      </w:r>
      <w:r w:rsidRPr="00394A09">
        <w:rPr>
          <w:rFonts w:ascii="Sylfaen" w:hAnsi="Sylfaen"/>
          <w:i/>
          <w:sz w:val="24"/>
          <w:szCs w:val="24"/>
        </w:rPr>
        <w:t>շրջանակներից:</w:t>
      </w:r>
      <w:r w:rsidRPr="00394A09">
        <w:rPr>
          <w:rFonts w:ascii="Sylfaen" w:hAnsi="Sylfaen"/>
          <w:sz w:val="24"/>
          <w:szCs w:val="24"/>
        </w:rPr>
        <w:t xml:space="preserve"> </w:t>
      </w:r>
      <w:r w:rsidRPr="00394A09">
        <w:rPr>
          <w:rFonts w:ascii="Sylfaen" w:hAnsi="Sylfaen"/>
          <w:i/>
          <w:sz w:val="24"/>
          <w:szCs w:val="24"/>
        </w:rPr>
        <w:t>Ստոր</w:t>
      </w:r>
      <w:r>
        <w:rPr>
          <w:rFonts w:ascii="Sylfaen" w:hAnsi="Sylfaen"/>
          <w:i/>
          <w:sz w:val="24"/>
          <w:szCs w:val="24"/>
        </w:rPr>
        <w:t>եւ</w:t>
      </w:r>
      <w:r w:rsidRPr="00394A09">
        <w:rPr>
          <w:rFonts w:ascii="Sylfaen" w:hAnsi="Sylfaen"/>
          <w:i/>
          <w:sz w:val="24"/>
          <w:szCs w:val="24"/>
        </w:rPr>
        <w:t xml:space="preserve"> բերված նույնականացման փորձարկումները նախատեսված են ռետինից արտադրված խցանափակման միջոցները սիլիկոնային էլաստոմերից </w:t>
      </w:r>
      <w:r>
        <w:rPr>
          <w:rFonts w:ascii="Sylfaen" w:hAnsi="Sylfaen"/>
          <w:i/>
          <w:sz w:val="24"/>
          <w:szCs w:val="24"/>
        </w:rPr>
        <w:t>եւ</w:t>
      </w:r>
      <w:r w:rsidRPr="00394A09">
        <w:rPr>
          <w:rFonts w:ascii="Sylfaen" w:hAnsi="Sylfaen"/>
          <w:i/>
          <w:sz w:val="24"/>
          <w:szCs w:val="24"/>
        </w:rPr>
        <w:t xml:space="preserve"> պլաստիկ նյութերից արտադրված խցանափակման միջոցներից տարբերակելու համար, բայց չեն տարբերակում ռետինի տեսակները: Կարող են անցկացվել նույնականացման այլ փորձարկումներ՝ համատեղելիության փորձարկումներն անցկացնելու համար օգտագործված խցանների համեմատ սերիաների փոփոխությունները հայտնաբերելու նպատակով: Այդ նպատակով կարող են օգտագործվել մեկ կամ մի քանի հետ</w:t>
      </w:r>
      <w:r>
        <w:rPr>
          <w:rFonts w:ascii="Sylfaen" w:hAnsi="Sylfaen"/>
          <w:i/>
          <w:sz w:val="24"/>
          <w:szCs w:val="24"/>
        </w:rPr>
        <w:t>եւ</w:t>
      </w:r>
      <w:r w:rsidRPr="00394A09">
        <w:rPr>
          <w:rFonts w:ascii="Sylfaen" w:hAnsi="Sylfaen"/>
          <w:i/>
          <w:sz w:val="24"/>
          <w:szCs w:val="24"/>
        </w:rPr>
        <w:t>յալ վերլուծական փորձարկումները՝ հարաբերական խտության որոշում, սուլֆատային մոխրի որոշում, ծծմբի պարունակության որոշում. այնպիսի մեթոդներ, ինչպիսիք են դուրսբերման նրբաշերտ քրոմատագրումը, դուրսբերման ուլտրամանուշակագույն աբսորբման սպեկտրալուսաչափությունը, պիրոլիզի արգասիքների ինֆրակարմիր աբսորբման սպեկտրալուսաչափությունը կամ ինֆրակարմիր աբսորբման սպեկտրալուսաչափությունը՝ խախտված ընդհանուր ներքին արտացոլման սպեկտրի ստացմամբ:</w:t>
      </w:r>
    </w:p>
    <w:p w14:paraId="48573248"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Ա.</w:t>
      </w:r>
      <w:r w:rsidRPr="00E36B76">
        <w:rPr>
          <w:rFonts w:ascii="Sylfaen" w:hAnsi="Sylfaen"/>
          <w:sz w:val="24"/>
          <w:szCs w:val="24"/>
        </w:rPr>
        <w:tab/>
      </w:r>
      <w:r w:rsidRPr="00394A09">
        <w:rPr>
          <w:rFonts w:ascii="Sylfaen" w:hAnsi="Sylfaen"/>
          <w:sz w:val="24"/>
          <w:szCs w:val="24"/>
        </w:rPr>
        <w:t xml:space="preserve">Որոշումն անցկացնում են ինֆրակարմիր հատվածում աբսորբման սպեկտրալուսաչափության մեթոդով </w:t>
      </w:r>
      <w:r w:rsidRPr="00394A09">
        <w:rPr>
          <w:rFonts w:ascii="Sylfaen" w:hAnsi="Sylfaen"/>
          <w:i/>
          <w:sz w:val="24"/>
          <w:szCs w:val="24"/>
        </w:rPr>
        <w:t>(2.1.2.23):</w:t>
      </w:r>
      <w:r w:rsidRPr="00394A09">
        <w:rPr>
          <w:rFonts w:ascii="Sylfaen" w:hAnsi="Sylfaen"/>
          <w:sz w:val="24"/>
          <w:szCs w:val="24"/>
        </w:rPr>
        <w:t xml:space="preserve"> Ստանում են խախտված ընդհանուր ներքին արտացոլման սպեկտրը:</w:t>
      </w:r>
    </w:p>
    <w:p w14:paraId="5430D31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Անհրաժեշտության դեպքում խցանափակման միջոցի նմուշը կտրում են համապատասխան առանցքի երկայնքով, ուսումնասիրում են հատվածքի մակեր</w:t>
      </w:r>
      <w:r>
        <w:rPr>
          <w:rFonts w:ascii="Sylfaen" w:hAnsi="Sylfaen"/>
          <w:sz w:val="24"/>
          <w:szCs w:val="24"/>
        </w:rPr>
        <w:t>եւ</w:t>
      </w:r>
      <w:r w:rsidRPr="00394A09">
        <w:rPr>
          <w:rFonts w:ascii="Sylfaen" w:hAnsi="Sylfaen"/>
          <w:sz w:val="24"/>
          <w:szCs w:val="24"/>
        </w:rPr>
        <w:t xml:space="preserve">ույթը: Պատված, երկշերտ </w:t>
      </w:r>
      <w:r>
        <w:rPr>
          <w:rFonts w:ascii="Sylfaen" w:hAnsi="Sylfaen"/>
          <w:sz w:val="24"/>
          <w:szCs w:val="24"/>
        </w:rPr>
        <w:t>եւ</w:t>
      </w:r>
      <w:r w:rsidRPr="00394A09">
        <w:rPr>
          <w:rFonts w:ascii="Sylfaen" w:hAnsi="Sylfaen"/>
          <w:sz w:val="24"/>
          <w:szCs w:val="24"/>
        </w:rPr>
        <w:t xml:space="preserve"> յուղված խցանափակման միջոցների փորձարկումներն անցկացնում են խցանափակման միջոցի յուրաքանչյուր առանձին մասի համար: Որպես քսանյութ օգտագործվող սիլիկոնային յուղի փորձարկում անցկացնել</w:t>
      </w:r>
      <w:r w:rsidRPr="00394A09" w:rsidDel="00D90074">
        <w:rPr>
          <w:rFonts w:ascii="Sylfaen" w:hAnsi="Sylfaen"/>
          <w:sz w:val="24"/>
          <w:szCs w:val="24"/>
        </w:rPr>
        <w:t xml:space="preserve"> </w:t>
      </w:r>
      <w:r w:rsidRPr="00394A09">
        <w:rPr>
          <w:rFonts w:ascii="Sylfaen" w:hAnsi="Sylfaen"/>
          <w:sz w:val="24"/>
          <w:szCs w:val="24"/>
        </w:rPr>
        <w:t>հարկավոր չէ: Սիլիկոնային յուղի նույնականացումը կարող է կատարվել նախքան դրա օգտագործումը:</w:t>
      </w:r>
    </w:p>
    <w:p w14:paraId="701EF883"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sz w:val="24"/>
          <w:szCs w:val="24"/>
        </w:rPr>
        <w:lastRenderedPageBreak/>
        <w:t>Համեմատություն</w:t>
      </w:r>
      <w:r w:rsidRPr="00394A09">
        <w:rPr>
          <w:rFonts w:ascii="Sylfaen" w:hAnsi="Sylfaen"/>
          <w:sz w:val="24"/>
          <w:szCs w:val="24"/>
        </w:rPr>
        <w:t xml:space="preserve"> տիպային նմուշի հետ:</w:t>
      </w:r>
    </w:p>
    <w:p w14:paraId="6F30ADA7" w14:textId="77777777" w:rsidR="00AF2D51" w:rsidRPr="00394A09" w:rsidRDefault="00AF2D51" w:rsidP="00AF2D51">
      <w:pPr>
        <w:pStyle w:val="a0"/>
        <w:shd w:val="clear" w:color="auto" w:fill="auto"/>
        <w:tabs>
          <w:tab w:val="left" w:pos="1134"/>
        </w:tabs>
        <w:spacing w:after="160" w:line="360" w:lineRule="auto"/>
        <w:ind w:firstLine="567"/>
        <w:jc w:val="both"/>
        <w:rPr>
          <w:rFonts w:ascii="Sylfaen" w:hAnsi="Sylfaen" w:cs="Sylfaen"/>
          <w:sz w:val="24"/>
          <w:szCs w:val="24"/>
        </w:rPr>
      </w:pPr>
      <w:r w:rsidRPr="00394A09">
        <w:rPr>
          <w:rFonts w:ascii="Sylfaen" w:hAnsi="Sylfaen"/>
          <w:sz w:val="24"/>
          <w:szCs w:val="24"/>
        </w:rPr>
        <w:t>Բ.</w:t>
      </w:r>
      <w:r w:rsidRPr="00E36B76">
        <w:rPr>
          <w:rFonts w:ascii="Sylfaen" w:hAnsi="Sylfaen"/>
          <w:sz w:val="24"/>
          <w:szCs w:val="24"/>
        </w:rPr>
        <w:tab/>
      </w:r>
      <w:r w:rsidRPr="00394A09">
        <w:rPr>
          <w:rFonts w:ascii="Sylfaen" w:hAnsi="Sylfaen"/>
          <w:sz w:val="24"/>
          <w:szCs w:val="24"/>
        </w:rPr>
        <w:t>Եթե մակեր</w:t>
      </w:r>
      <w:r>
        <w:rPr>
          <w:rFonts w:ascii="Sylfaen" w:hAnsi="Sylfaen"/>
          <w:sz w:val="24"/>
          <w:szCs w:val="24"/>
        </w:rPr>
        <w:t>եւ</w:t>
      </w:r>
      <w:r w:rsidRPr="00394A09">
        <w:rPr>
          <w:rFonts w:ascii="Sylfaen" w:hAnsi="Sylfaen"/>
          <w:sz w:val="24"/>
          <w:szCs w:val="24"/>
        </w:rPr>
        <w:t>ույթի վրա խախտված ընդհանուր ներքին արտացոլման սպեկտրի ուղիղ չափումն անհնար է (հիմնականում՝ մրով լցված ռետինե խցաններ), ապա ռետինի համապատասխան քանակությունը բաց կրակի վրա տաքացնում են ջերմակայուն փորձասրվակի մեջ՝ մինչ</w:t>
      </w:r>
      <w:r>
        <w:rPr>
          <w:rFonts w:ascii="Sylfaen" w:hAnsi="Sylfaen"/>
          <w:sz w:val="24"/>
          <w:szCs w:val="24"/>
        </w:rPr>
        <w:t>եւ</w:t>
      </w:r>
      <w:r w:rsidRPr="00394A09">
        <w:rPr>
          <w:rFonts w:ascii="Sylfaen" w:hAnsi="Sylfaen"/>
          <w:sz w:val="24"/>
          <w:szCs w:val="24"/>
        </w:rPr>
        <w:t xml:space="preserve"> նմուշը չորանալը </w:t>
      </w:r>
      <w:r>
        <w:rPr>
          <w:rFonts w:ascii="Sylfaen" w:hAnsi="Sylfaen"/>
          <w:sz w:val="24"/>
          <w:szCs w:val="24"/>
        </w:rPr>
        <w:t>եւ</w:t>
      </w:r>
      <w:r w:rsidRPr="00394A09">
        <w:rPr>
          <w:rFonts w:ascii="Sylfaen" w:hAnsi="Sylfaen"/>
          <w:sz w:val="24"/>
          <w:szCs w:val="24"/>
        </w:rPr>
        <w:t xml:space="preserve"> շարունակում են տաքացնել՝ մինչ</w:t>
      </w:r>
      <w:r>
        <w:rPr>
          <w:rFonts w:ascii="Sylfaen" w:hAnsi="Sylfaen"/>
          <w:sz w:val="24"/>
          <w:szCs w:val="24"/>
        </w:rPr>
        <w:t>եւ</w:t>
      </w:r>
      <w:r w:rsidRPr="00394A09">
        <w:rPr>
          <w:rFonts w:ascii="Sylfaen" w:hAnsi="Sylfaen"/>
          <w:sz w:val="24"/>
          <w:szCs w:val="24"/>
        </w:rPr>
        <w:t xml:space="preserve"> պիրոլիզի արգասիքների գոլորշիների կոնդենսացումը</w:t>
      </w:r>
      <w:r w:rsidRPr="00394A09" w:rsidDel="00A019D2">
        <w:rPr>
          <w:rFonts w:ascii="Sylfaen" w:hAnsi="Sylfaen"/>
          <w:sz w:val="24"/>
          <w:szCs w:val="24"/>
        </w:rPr>
        <w:t xml:space="preserve"> </w:t>
      </w:r>
      <w:r w:rsidRPr="00394A09">
        <w:rPr>
          <w:rFonts w:ascii="Sylfaen" w:hAnsi="Sylfaen"/>
          <w:sz w:val="24"/>
          <w:szCs w:val="24"/>
        </w:rPr>
        <w:t>փորձասրվակի վերին եզրի մոտ: Ստացված պիրոլիզատի խախտված ընդհանուր ներքին արտացոլման սպեկտրը համեմատում են տիպային նմուշի պիրոլիզատի խախտված ընդհանուր ներքին արտացոլման սպեկտրի հետ:</w:t>
      </w:r>
    </w:p>
    <w:p w14:paraId="3982C772"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i/>
          <w:sz w:val="24"/>
          <w:szCs w:val="24"/>
        </w:rPr>
        <w:t>Ընդհանուր մոխիրը (2.1.4.16)։</w:t>
      </w:r>
    </w:p>
    <w:p w14:paraId="692A29EB"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Խցանափակման միջոցի նմուշի՝ գոլորշիով նախնական մանրէազերծման բացակայության դեպքում դրա չորացումը (100-105) °C-ի տակ կարելի է չանցկացնել: Որոշում են հետազոտվող նմուշի մեջ ընդհանուր մոխրի տոկոսային պարունակությունը </w:t>
      </w:r>
      <w:r>
        <w:rPr>
          <w:rFonts w:ascii="Sylfaen" w:hAnsi="Sylfaen"/>
          <w:sz w:val="24"/>
          <w:szCs w:val="24"/>
        </w:rPr>
        <w:t>եւ</w:t>
      </w:r>
      <w:r w:rsidRPr="00394A09">
        <w:rPr>
          <w:rFonts w:ascii="Sylfaen" w:hAnsi="Sylfaen"/>
          <w:sz w:val="24"/>
          <w:szCs w:val="24"/>
        </w:rPr>
        <w:t xml:space="preserve"> համեմատում տիպային նմուշի մեջ ընդհանուր մոխրի տոկոսային պարունակության հետ (A0): Աղյուսակում ներկայացված են հետազոտվող նմուշի մեջ ընդհանուր մոխրի պարունակության ընդգրկույթները՝ կախված տիպային նմուշի մեջ ընդհանուր մոխրի պարունակությունից: Եթե նման տվյալներ չկան, ապա դրանք պետք է լինեն այն ընդգրկույթում, որը սահմանված է որպես կոնկրետ տեսակի ռետինի թիրախային ցուցանիշ:</w:t>
      </w:r>
    </w:p>
    <w:p w14:paraId="1196FD7B" w14:textId="77777777" w:rsidR="00AF2D51" w:rsidRPr="00AF2D51" w:rsidRDefault="00AF2D51" w:rsidP="00AF2D51">
      <w:pPr>
        <w:pStyle w:val="a0"/>
        <w:shd w:val="clear" w:color="auto" w:fill="auto"/>
        <w:spacing w:after="160" w:line="360" w:lineRule="auto"/>
        <w:ind w:firstLine="567"/>
        <w:jc w:val="both"/>
        <w:rPr>
          <w:rFonts w:ascii="Sylfaen" w:hAnsi="Sylfaen"/>
          <w:color w:val="000000"/>
          <w:sz w:val="24"/>
          <w:szCs w:val="24"/>
        </w:rPr>
      </w:pPr>
    </w:p>
    <w:p w14:paraId="68871AB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color w:val="000000"/>
          <w:sz w:val="24"/>
          <w:szCs w:val="24"/>
        </w:rPr>
        <w:t xml:space="preserve">Աղյուսակ 2.4.2.5-1. </w:t>
      </w:r>
      <w:r w:rsidRPr="00394A09">
        <w:rPr>
          <w:rFonts w:ascii="Sylfaen" w:hAnsi="Sylfaen"/>
          <w:i/>
          <w:color w:val="000000"/>
          <w:sz w:val="24"/>
          <w:szCs w:val="24"/>
        </w:rPr>
        <w:t>Հետազոտվող նմուշի մեջ ընդհանուր մոխրի պարունակության ընդգրկույթները՝ կախված տիպային նմուշի մեջ ընդհանուր մոխրի պարունակությունից</w:t>
      </w:r>
    </w:p>
    <w:tbl>
      <w:tblPr>
        <w:tblW w:w="0" w:type="auto"/>
        <w:tblLayout w:type="fixed"/>
        <w:tblCellMar>
          <w:left w:w="0" w:type="dxa"/>
          <w:right w:w="0" w:type="dxa"/>
        </w:tblCellMar>
        <w:tblLook w:val="0000" w:firstRow="0" w:lastRow="0" w:firstColumn="0" w:lastColumn="0" w:noHBand="0" w:noVBand="0"/>
      </w:tblPr>
      <w:tblGrid>
        <w:gridCol w:w="3261"/>
        <w:gridCol w:w="3827"/>
      </w:tblGrid>
      <w:tr w:rsidR="00AF2D51" w:rsidRPr="00E36B76" w14:paraId="2E54A594" w14:textId="77777777" w:rsidTr="00AF2D51">
        <w:trPr>
          <w:trHeight w:val="542"/>
        </w:trPr>
        <w:tc>
          <w:tcPr>
            <w:tcW w:w="3261" w:type="dxa"/>
            <w:tcBorders>
              <w:top w:val="single" w:sz="4" w:space="0" w:color="auto"/>
              <w:left w:val="nil"/>
              <w:bottom w:val="nil"/>
              <w:right w:val="nil"/>
            </w:tcBorders>
            <w:shd w:val="clear" w:color="auto" w:fill="FFFFFF"/>
          </w:tcPr>
          <w:p w14:paraId="2219DAAB" w14:textId="77777777" w:rsidR="00AF2D51" w:rsidRPr="00E36B76" w:rsidRDefault="00AF2D51" w:rsidP="00AF2D51">
            <w:pPr>
              <w:spacing w:after="120"/>
              <w:jc w:val="center"/>
              <w:rPr>
                <w:rFonts w:eastAsia="Times New Roman" w:cs="Times New Roman"/>
                <w:sz w:val="20"/>
              </w:rPr>
            </w:pPr>
            <w:r w:rsidRPr="00E36B76">
              <w:rPr>
                <w:sz w:val="20"/>
              </w:rPr>
              <w:t>Տիպային նմուշի մեջ ընդհանուր մոխրի պարունակությունը А0 (%)</w:t>
            </w:r>
          </w:p>
        </w:tc>
        <w:tc>
          <w:tcPr>
            <w:tcW w:w="3827" w:type="dxa"/>
            <w:tcBorders>
              <w:top w:val="single" w:sz="4" w:space="0" w:color="auto"/>
              <w:left w:val="nil"/>
              <w:bottom w:val="nil"/>
              <w:right w:val="nil"/>
            </w:tcBorders>
            <w:shd w:val="clear" w:color="auto" w:fill="FFFFFF"/>
          </w:tcPr>
          <w:p w14:paraId="54E69E52" w14:textId="77777777" w:rsidR="00AF2D51" w:rsidRPr="00E36B76" w:rsidRDefault="00AF2D51" w:rsidP="00AF2D51">
            <w:pPr>
              <w:spacing w:after="120"/>
              <w:jc w:val="center"/>
              <w:rPr>
                <w:rFonts w:eastAsia="Times New Roman" w:cs="Times New Roman"/>
                <w:sz w:val="20"/>
              </w:rPr>
            </w:pPr>
            <w:r w:rsidRPr="00E36B76">
              <w:rPr>
                <w:sz w:val="20"/>
              </w:rPr>
              <w:t>Փորձարկվող նմուշի մեջ ընդհանուր մոխրի պարունակության սահմանները (%)</w:t>
            </w:r>
          </w:p>
        </w:tc>
      </w:tr>
      <w:tr w:rsidR="00AF2D51" w:rsidRPr="00E36B76" w14:paraId="133D8F62" w14:textId="77777777" w:rsidTr="00AF2D51">
        <w:trPr>
          <w:trHeight w:val="336"/>
        </w:trPr>
        <w:tc>
          <w:tcPr>
            <w:tcW w:w="3261" w:type="dxa"/>
            <w:tcBorders>
              <w:top w:val="single" w:sz="4" w:space="0" w:color="auto"/>
              <w:left w:val="nil"/>
              <w:bottom w:val="nil"/>
              <w:right w:val="nil"/>
            </w:tcBorders>
            <w:shd w:val="clear" w:color="auto" w:fill="FFFFFF"/>
            <w:vAlign w:val="bottom"/>
          </w:tcPr>
          <w:p w14:paraId="0060E6ED" w14:textId="77777777" w:rsidR="00AF2D51" w:rsidRPr="00E36B76" w:rsidRDefault="00AF2D51" w:rsidP="00AF2D51">
            <w:pPr>
              <w:spacing w:after="120"/>
              <w:rPr>
                <w:rFonts w:eastAsia="Times New Roman" w:cs="Times New Roman"/>
                <w:sz w:val="20"/>
              </w:rPr>
            </w:pPr>
            <w:r w:rsidRPr="00E36B76">
              <w:rPr>
                <w:sz w:val="20"/>
              </w:rPr>
              <w:t xml:space="preserve">А0 </w:t>
            </w:r>
            <m:oMath>
              <m:r>
                <w:rPr>
                  <w:rFonts w:eastAsia="Times New Roman" w:cs="Times New Roman"/>
                  <w:sz w:val="20"/>
                </w:rPr>
                <m:t>≤</m:t>
              </m:r>
            </m:oMath>
            <w:r w:rsidRPr="00E36B76">
              <w:rPr>
                <w:sz w:val="20"/>
              </w:rPr>
              <w:t xml:space="preserve"> 5,0</w:t>
            </w:r>
          </w:p>
        </w:tc>
        <w:tc>
          <w:tcPr>
            <w:tcW w:w="3827" w:type="dxa"/>
            <w:tcBorders>
              <w:top w:val="single" w:sz="4" w:space="0" w:color="auto"/>
              <w:left w:val="nil"/>
              <w:bottom w:val="nil"/>
              <w:right w:val="nil"/>
            </w:tcBorders>
            <w:shd w:val="clear" w:color="auto" w:fill="FFFFFF"/>
            <w:vAlign w:val="bottom"/>
          </w:tcPr>
          <w:p w14:paraId="2087C281" w14:textId="77777777" w:rsidR="00AF2D51" w:rsidRPr="00E36B76" w:rsidRDefault="00AF2D51" w:rsidP="00AF2D51">
            <w:pPr>
              <w:spacing w:after="120"/>
              <w:rPr>
                <w:rFonts w:eastAsia="Times New Roman" w:cs="Times New Roman"/>
                <w:sz w:val="20"/>
              </w:rPr>
            </w:pPr>
            <w:r>
              <w:rPr>
                <w:sz w:val="20"/>
              </w:rPr>
              <w:t>(А0</w:t>
            </w:r>
            <w:r>
              <w:rPr>
                <w:sz w:val="20"/>
                <w:lang w:val="en-US"/>
              </w:rPr>
              <w:t>-</w:t>
            </w:r>
            <w:r w:rsidRPr="00E36B76">
              <w:rPr>
                <w:sz w:val="20"/>
              </w:rPr>
              <w:t>0,75)-ից մինչեւ (А0 + 0,75)</w:t>
            </w:r>
          </w:p>
        </w:tc>
      </w:tr>
      <w:tr w:rsidR="00AF2D51" w:rsidRPr="00E36B76" w14:paraId="3897AD97" w14:textId="77777777" w:rsidTr="00AF2D51">
        <w:trPr>
          <w:trHeight w:val="346"/>
        </w:trPr>
        <w:tc>
          <w:tcPr>
            <w:tcW w:w="3261" w:type="dxa"/>
            <w:tcBorders>
              <w:top w:val="nil"/>
              <w:left w:val="nil"/>
              <w:bottom w:val="nil"/>
              <w:right w:val="nil"/>
            </w:tcBorders>
            <w:shd w:val="clear" w:color="auto" w:fill="FFFFFF"/>
          </w:tcPr>
          <w:p w14:paraId="3BB24D29" w14:textId="77777777" w:rsidR="00AF2D51" w:rsidRPr="00E36B76" w:rsidRDefault="00AF2D51" w:rsidP="00AF2D51">
            <w:pPr>
              <w:spacing w:after="120"/>
              <w:rPr>
                <w:rFonts w:eastAsia="Times New Roman" w:cs="Times New Roman"/>
                <w:sz w:val="20"/>
              </w:rPr>
            </w:pPr>
            <w:r w:rsidRPr="00E36B76">
              <w:rPr>
                <w:sz w:val="20"/>
              </w:rPr>
              <w:t xml:space="preserve">5,0 &lt; А0 </w:t>
            </w:r>
            <m:oMath>
              <m:r>
                <w:rPr>
                  <w:rFonts w:eastAsia="Times New Roman" w:cs="Times New Roman"/>
                  <w:sz w:val="20"/>
                </w:rPr>
                <m:t>≤</m:t>
              </m:r>
            </m:oMath>
            <w:r w:rsidRPr="00E36B76">
              <w:rPr>
                <w:sz w:val="20"/>
              </w:rPr>
              <w:t xml:space="preserve"> 10</w:t>
            </w:r>
          </w:p>
        </w:tc>
        <w:tc>
          <w:tcPr>
            <w:tcW w:w="3827" w:type="dxa"/>
            <w:tcBorders>
              <w:top w:val="nil"/>
              <w:left w:val="nil"/>
              <w:bottom w:val="nil"/>
              <w:right w:val="nil"/>
            </w:tcBorders>
            <w:shd w:val="clear" w:color="auto" w:fill="FFFFFF"/>
          </w:tcPr>
          <w:p w14:paraId="4246FE54" w14:textId="77777777" w:rsidR="00AF2D51" w:rsidRPr="00E36B76" w:rsidRDefault="00AF2D51" w:rsidP="00AF2D51">
            <w:pPr>
              <w:spacing w:after="120"/>
              <w:rPr>
                <w:rFonts w:eastAsia="Times New Roman" w:cs="Times New Roman"/>
                <w:sz w:val="20"/>
              </w:rPr>
            </w:pPr>
            <w:r w:rsidRPr="00E36B76">
              <w:rPr>
                <w:sz w:val="20"/>
              </w:rPr>
              <w:t>(А0</w:t>
            </w:r>
            <w:r>
              <w:rPr>
                <w:sz w:val="20"/>
                <w:lang w:val="en-US"/>
              </w:rPr>
              <w:t>-</w:t>
            </w:r>
            <w:r w:rsidRPr="00E36B76">
              <w:rPr>
                <w:sz w:val="20"/>
              </w:rPr>
              <w:t>1,0)-ից մինչեւ (А0 + 1,0)</w:t>
            </w:r>
          </w:p>
        </w:tc>
      </w:tr>
      <w:tr w:rsidR="00AF2D51" w:rsidRPr="00E36B76" w14:paraId="06BB3BA8" w14:textId="77777777" w:rsidTr="00AF2D51">
        <w:trPr>
          <w:trHeight w:val="288"/>
        </w:trPr>
        <w:tc>
          <w:tcPr>
            <w:tcW w:w="3261" w:type="dxa"/>
            <w:tcBorders>
              <w:top w:val="nil"/>
              <w:left w:val="nil"/>
              <w:bottom w:val="single" w:sz="4" w:space="0" w:color="auto"/>
              <w:right w:val="nil"/>
            </w:tcBorders>
            <w:shd w:val="clear" w:color="auto" w:fill="FFFFFF"/>
          </w:tcPr>
          <w:p w14:paraId="2DEB41DD" w14:textId="77777777" w:rsidR="00AF2D51" w:rsidRPr="00E36B76" w:rsidRDefault="00AF2D51" w:rsidP="00AF2D51">
            <w:pPr>
              <w:spacing w:after="120"/>
              <w:rPr>
                <w:rFonts w:eastAsia="Times New Roman" w:cs="Times New Roman"/>
                <w:sz w:val="20"/>
              </w:rPr>
            </w:pPr>
            <w:r w:rsidRPr="00E36B76">
              <w:rPr>
                <w:sz w:val="20"/>
              </w:rPr>
              <w:t>А0 &gt;10</w:t>
            </w:r>
          </w:p>
        </w:tc>
        <w:tc>
          <w:tcPr>
            <w:tcW w:w="3827" w:type="dxa"/>
            <w:tcBorders>
              <w:top w:val="nil"/>
              <w:left w:val="nil"/>
              <w:bottom w:val="single" w:sz="4" w:space="0" w:color="auto"/>
              <w:right w:val="nil"/>
            </w:tcBorders>
            <w:shd w:val="clear" w:color="auto" w:fill="FFFFFF"/>
          </w:tcPr>
          <w:p w14:paraId="354A841E" w14:textId="77777777" w:rsidR="00AF2D51" w:rsidRPr="00E36B76" w:rsidRDefault="00AF2D51" w:rsidP="00AF2D51">
            <w:pPr>
              <w:spacing w:after="120"/>
              <w:rPr>
                <w:rFonts w:eastAsia="Times New Roman" w:cs="Times New Roman"/>
                <w:sz w:val="20"/>
              </w:rPr>
            </w:pPr>
            <w:r>
              <w:rPr>
                <w:sz w:val="20"/>
              </w:rPr>
              <w:t>(А0</w:t>
            </w:r>
            <w:r>
              <w:rPr>
                <w:sz w:val="20"/>
                <w:lang w:val="en-US"/>
              </w:rPr>
              <w:t>-</w:t>
            </w:r>
            <w:r w:rsidRPr="00E36B76">
              <w:rPr>
                <w:sz w:val="20"/>
              </w:rPr>
              <w:t>2,0)-ից մինչեւ (А0 + 2,0)</w:t>
            </w:r>
          </w:p>
        </w:tc>
      </w:tr>
    </w:tbl>
    <w:p w14:paraId="57EC5DD1"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E63E3F">
        <w:rPr>
          <w:rFonts w:ascii="Sylfaen" w:hAnsi="Sylfaen"/>
          <w:i/>
          <w:spacing w:val="-4"/>
          <w:sz w:val="24"/>
          <w:szCs w:val="24"/>
        </w:rPr>
        <w:lastRenderedPageBreak/>
        <w:t>2.1.4.16. Ընդհանուր մոխիր</w:t>
      </w:r>
      <w:r w:rsidRPr="00E63E3F">
        <w:rPr>
          <w:rFonts w:ascii="Sylfaen" w:hAnsi="Sylfaen"/>
          <w:spacing w:val="-4"/>
          <w:sz w:val="24"/>
          <w:szCs w:val="24"/>
        </w:rPr>
        <w:t xml:space="preserve"> ընդհանուր դեղագրքային հոդվածում նշված՝ պլատինից եւ սիլիցիումի օքսիդից պատրաստված հալքանոթներից բացի կարող են լրացուցիչ օգտագործվել ճենապակյա հալքանոթներ: Նմուշների այրումը կարելի է իրականացնել </w:t>
      </w:r>
      <w:r w:rsidRPr="00394A09">
        <w:rPr>
          <w:rFonts w:ascii="Sylfaen" w:hAnsi="Sylfaen"/>
          <w:sz w:val="24"/>
          <w:szCs w:val="24"/>
        </w:rPr>
        <w:t>միկրոալիքային վառարանում՝ թրծատփավոր վառարանի փոխարեն:</w:t>
      </w:r>
    </w:p>
    <w:p w14:paraId="21D80733"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p>
    <w:p w14:paraId="7798F50F" w14:textId="77777777" w:rsidR="00AF2D51" w:rsidRPr="00394A09" w:rsidRDefault="00AF2D51" w:rsidP="00AF2D51">
      <w:pPr>
        <w:pStyle w:val="a0"/>
        <w:shd w:val="clear" w:color="auto" w:fill="auto"/>
        <w:spacing w:after="160" w:line="360" w:lineRule="auto"/>
        <w:ind w:firstLine="567"/>
        <w:rPr>
          <w:rFonts w:ascii="Sylfaen" w:hAnsi="Sylfaen" w:cs="Sylfaen"/>
          <w:sz w:val="24"/>
          <w:szCs w:val="24"/>
        </w:rPr>
      </w:pPr>
      <w:r w:rsidRPr="00394A09">
        <w:rPr>
          <w:rFonts w:ascii="Sylfaen" w:hAnsi="Sylfaen"/>
          <w:b/>
          <w:sz w:val="24"/>
          <w:szCs w:val="24"/>
        </w:rPr>
        <w:t>ՓՈՐՁԱՐԿՈՒՄՆԵՐԸ</w:t>
      </w:r>
    </w:p>
    <w:p w14:paraId="41FE2FDE"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t xml:space="preserve">Տ լուծույթը։ </w:t>
      </w:r>
      <w:r w:rsidRPr="00394A09">
        <w:rPr>
          <w:rFonts w:ascii="Sylfaen" w:hAnsi="Sylfaen"/>
          <w:sz w:val="24"/>
          <w:szCs w:val="24"/>
        </w:rPr>
        <w:t>Մոտավորապես մակերեւույթի 100 սմ</w:t>
      </w:r>
      <w:r w:rsidRPr="00394A09">
        <w:rPr>
          <w:rFonts w:ascii="Sylfaen" w:hAnsi="Sylfaen"/>
          <w:sz w:val="24"/>
          <w:szCs w:val="24"/>
          <w:vertAlign w:val="superscript"/>
        </w:rPr>
        <w:t>2</w:t>
      </w:r>
      <w:r w:rsidRPr="00394A09">
        <w:rPr>
          <w:rFonts w:ascii="Sylfaen" w:hAnsi="Sylfaen"/>
          <w:sz w:val="24"/>
          <w:szCs w:val="24"/>
        </w:rPr>
        <w:t xml:space="preserve"> մակերեսին համապատասխանող քանակությամբ չկտրատված խցանները տեղադրում են լայն բկանցքով փորձանոթի մեջ (I տիպի ապակի, </w:t>
      </w:r>
      <w:r w:rsidRPr="00394A09">
        <w:rPr>
          <w:rFonts w:ascii="Sylfaen" w:hAnsi="Sylfaen"/>
          <w:i/>
          <w:sz w:val="24"/>
          <w:szCs w:val="24"/>
        </w:rPr>
        <w:t>2.4.2.2</w:t>
      </w:r>
      <w:r w:rsidRPr="00394A09">
        <w:rPr>
          <w:rFonts w:ascii="Sylfaen" w:hAnsi="Sylfaen"/>
          <w:sz w:val="24"/>
          <w:szCs w:val="24"/>
        </w:rPr>
        <w:t xml:space="preserve">), ավելացնում 200 մլ </w:t>
      </w:r>
      <w:r w:rsidRPr="00394A09">
        <w:rPr>
          <w:rFonts w:ascii="Sylfaen" w:hAnsi="Sylfaen"/>
          <w:i/>
          <w:sz w:val="24"/>
          <w:szCs w:val="24"/>
        </w:rPr>
        <w:t>Ռ ջուր</w:t>
      </w:r>
      <w:r w:rsidRPr="00394A09">
        <w:rPr>
          <w:rFonts w:ascii="Sylfaen" w:hAnsi="Sylfaen"/>
          <w:sz w:val="24"/>
          <w:szCs w:val="24"/>
        </w:rPr>
        <w:t xml:space="preserve"> </w:t>
      </w:r>
      <w:r>
        <w:rPr>
          <w:rFonts w:ascii="Sylfaen" w:hAnsi="Sylfaen"/>
          <w:sz w:val="24"/>
          <w:szCs w:val="24"/>
        </w:rPr>
        <w:t>եւ</w:t>
      </w:r>
      <w:r w:rsidRPr="00394A09">
        <w:rPr>
          <w:rFonts w:ascii="Sylfaen" w:hAnsi="Sylfaen"/>
          <w:sz w:val="24"/>
          <w:szCs w:val="24"/>
        </w:rPr>
        <w:t xml:space="preserve"> կշռում: Փորձանոթի բկանցքը փակում են բորասիլիկատային ապակուց լաբորատոր բաժակով: Ավտոկլավի մեջ տաքացնում են այնպես, որ (20-30) րոպեի ընթացքում ջերմաստիճանը հասնի (121 ±2) °C, </w:t>
      </w:r>
      <w:r>
        <w:rPr>
          <w:rFonts w:ascii="Sylfaen" w:hAnsi="Sylfaen"/>
          <w:sz w:val="24"/>
          <w:szCs w:val="24"/>
        </w:rPr>
        <w:t>եւ</w:t>
      </w:r>
      <w:r w:rsidRPr="00394A09">
        <w:rPr>
          <w:rFonts w:ascii="Sylfaen" w:hAnsi="Sylfaen"/>
          <w:sz w:val="24"/>
          <w:szCs w:val="24"/>
        </w:rPr>
        <w:t xml:space="preserve"> այս ջերմաստիճանի տակ պահում մոտ 30 րոպե: Ավտոկլավի ծրագրային կառավարման համար ջերմաստիճանի տվիչն ընկղմում են ջրի մեջ՝ նմուշի համար օգտագործվող համանման տարայի մեջ: 30 րոպե հովացնում են մինչ</w:t>
      </w:r>
      <w:r>
        <w:rPr>
          <w:rFonts w:ascii="Sylfaen" w:hAnsi="Sylfaen"/>
          <w:sz w:val="24"/>
          <w:szCs w:val="24"/>
        </w:rPr>
        <w:t>եւ</w:t>
      </w:r>
      <w:r w:rsidRPr="00394A09">
        <w:rPr>
          <w:rFonts w:ascii="Sylfaen" w:hAnsi="Sylfaen"/>
          <w:sz w:val="24"/>
          <w:szCs w:val="24"/>
        </w:rPr>
        <w:t xml:space="preserve"> սենյակային ջերմաստիճանը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Ռ ջրով</w:t>
      </w:r>
      <w:r w:rsidRPr="00394A09">
        <w:rPr>
          <w:rFonts w:ascii="Sylfaen" w:hAnsi="Sylfaen"/>
          <w:sz w:val="24"/>
          <w:szCs w:val="24"/>
        </w:rPr>
        <w:t xml:space="preserve"> հասցնում մինչ</w:t>
      </w:r>
      <w:r>
        <w:rPr>
          <w:rFonts w:ascii="Sylfaen" w:hAnsi="Sylfaen"/>
          <w:sz w:val="24"/>
          <w:szCs w:val="24"/>
        </w:rPr>
        <w:t>եւ</w:t>
      </w:r>
      <w:r w:rsidRPr="00394A09">
        <w:rPr>
          <w:rFonts w:ascii="Sylfaen" w:hAnsi="Sylfaen"/>
          <w:sz w:val="24"/>
          <w:szCs w:val="24"/>
        </w:rPr>
        <w:t xml:space="preserve"> սկզբնական զանգվածը: Լուծույթն անմիջապես թափահարում են </w:t>
      </w:r>
      <w:r>
        <w:rPr>
          <w:rFonts w:ascii="Sylfaen" w:hAnsi="Sylfaen"/>
          <w:sz w:val="24"/>
          <w:szCs w:val="24"/>
        </w:rPr>
        <w:t>եւ</w:t>
      </w:r>
      <w:r w:rsidRPr="00394A09">
        <w:rPr>
          <w:rFonts w:ascii="Sylfaen" w:hAnsi="Sylfaen"/>
          <w:sz w:val="24"/>
          <w:szCs w:val="24"/>
        </w:rPr>
        <w:t xml:space="preserve"> այն իսկույն անջատում խցաններից՝ պարզվածքազատման միջոցով: Տ լուծույթը թափահարում են յուրաքանչյուր փորձարկում սկսելուց առաջ: </w:t>
      </w:r>
    </w:p>
    <w:p w14:paraId="4F7F3562" w14:textId="77777777" w:rsidR="00AF2D51" w:rsidRPr="00394A09" w:rsidRDefault="00AF2D51" w:rsidP="00AF2D51">
      <w:pPr>
        <w:pStyle w:val="a0"/>
        <w:shd w:val="clear" w:color="auto" w:fill="auto"/>
        <w:spacing w:after="160" w:line="360" w:lineRule="auto"/>
        <w:ind w:firstLine="567"/>
        <w:jc w:val="both"/>
        <w:rPr>
          <w:rFonts w:ascii="Sylfaen" w:hAnsi="Sylfaen" w:cs="Sylfaen"/>
          <w:spacing w:val="-6"/>
          <w:sz w:val="24"/>
          <w:szCs w:val="24"/>
        </w:rPr>
      </w:pPr>
      <w:r w:rsidRPr="00394A09">
        <w:rPr>
          <w:rFonts w:ascii="Sylfaen" w:hAnsi="Sylfaen"/>
          <w:sz w:val="24"/>
          <w:szCs w:val="24"/>
        </w:rPr>
        <w:t xml:space="preserve">Բորասիլիկատային ապակուց քիմիական բաժակով ծածկված լայն բկանցքով փորձանոթի փոխարեն իներտ խցանով ամուր փակված փորձանոթը (I տիպի ապակի, </w:t>
      </w:r>
      <w:r w:rsidRPr="00394A09">
        <w:rPr>
          <w:rFonts w:ascii="Sylfaen" w:hAnsi="Sylfaen"/>
          <w:i/>
          <w:sz w:val="24"/>
          <w:szCs w:val="24"/>
        </w:rPr>
        <w:t>2.4.2.2</w:t>
      </w:r>
      <w:r w:rsidRPr="00394A09">
        <w:rPr>
          <w:rFonts w:ascii="Sylfaen" w:hAnsi="Sylfaen"/>
          <w:sz w:val="24"/>
          <w:szCs w:val="24"/>
        </w:rPr>
        <w:t xml:space="preserve">) օգտագործելու դեպքում վերանում է </w:t>
      </w:r>
      <w:r w:rsidRPr="00394A09">
        <w:rPr>
          <w:rFonts w:ascii="Sylfaen" w:hAnsi="Sylfaen"/>
          <w:i/>
          <w:sz w:val="24"/>
          <w:szCs w:val="24"/>
        </w:rPr>
        <w:t>Ռ ջրով</w:t>
      </w:r>
      <w:r w:rsidRPr="00394A09">
        <w:rPr>
          <w:rFonts w:ascii="Sylfaen" w:hAnsi="Sylfaen"/>
          <w:sz w:val="24"/>
          <w:szCs w:val="24"/>
        </w:rPr>
        <w:t xml:space="preserve"> մինչ</w:t>
      </w:r>
      <w:r>
        <w:rPr>
          <w:rFonts w:ascii="Sylfaen" w:hAnsi="Sylfaen"/>
          <w:sz w:val="24"/>
          <w:szCs w:val="24"/>
        </w:rPr>
        <w:t>եւ</w:t>
      </w:r>
      <w:r w:rsidRPr="00394A09">
        <w:rPr>
          <w:rFonts w:ascii="Sylfaen" w:hAnsi="Sylfaen"/>
          <w:sz w:val="24"/>
          <w:szCs w:val="24"/>
        </w:rPr>
        <w:t xml:space="preserve"> սկզբնական զանգվածը հասցնելու անհրաժեշտությունը:</w:t>
      </w:r>
    </w:p>
    <w:p w14:paraId="5E2FD35B" w14:textId="77777777" w:rsidR="00AF2D51" w:rsidRPr="00903268" w:rsidRDefault="00AF2D51" w:rsidP="00AF2D51">
      <w:pPr>
        <w:pStyle w:val="a0"/>
        <w:shd w:val="clear" w:color="auto" w:fill="auto"/>
        <w:spacing w:after="160" w:line="360" w:lineRule="auto"/>
        <w:ind w:firstLine="567"/>
        <w:jc w:val="both"/>
        <w:rPr>
          <w:rFonts w:ascii="Sylfaen" w:hAnsi="Sylfaen"/>
          <w:sz w:val="24"/>
          <w:szCs w:val="24"/>
        </w:rPr>
      </w:pPr>
      <w:r w:rsidRPr="00E63E3F">
        <w:rPr>
          <w:rFonts w:ascii="Sylfaen" w:hAnsi="Sylfaen"/>
          <w:i/>
          <w:sz w:val="24"/>
          <w:szCs w:val="24"/>
        </w:rPr>
        <w:t>Ստուգիչ լուծույթը։</w:t>
      </w:r>
      <w:r w:rsidRPr="00E63E3F">
        <w:rPr>
          <w:rFonts w:ascii="Sylfaen" w:hAnsi="Sylfaen"/>
          <w:sz w:val="24"/>
          <w:szCs w:val="24"/>
        </w:rPr>
        <w:t xml:space="preserve"> Պատրաստում են Տ լուծույթի նման՝ օգտագործելով </w:t>
      </w:r>
      <w:r w:rsidRPr="00E63E3F">
        <w:rPr>
          <w:rFonts w:ascii="Sylfaen" w:hAnsi="Sylfaen"/>
          <w:i/>
          <w:sz w:val="24"/>
          <w:szCs w:val="24"/>
        </w:rPr>
        <w:t>Ռ ջրի</w:t>
      </w:r>
      <w:r w:rsidRPr="00E63E3F">
        <w:rPr>
          <w:rFonts w:ascii="Sylfaen" w:hAnsi="Sylfaen"/>
          <w:sz w:val="24"/>
          <w:szCs w:val="24"/>
        </w:rPr>
        <w:t xml:space="preserve"> 200 մլ:</w:t>
      </w:r>
    </w:p>
    <w:p w14:paraId="6BCC3355" w14:textId="77777777" w:rsidR="001827DA" w:rsidRPr="00903268" w:rsidRDefault="001827DA" w:rsidP="00AF2D51">
      <w:pPr>
        <w:pStyle w:val="a0"/>
        <w:shd w:val="clear" w:color="auto" w:fill="auto"/>
        <w:spacing w:after="160" w:line="360" w:lineRule="auto"/>
        <w:ind w:firstLine="567"/>
        <w:jc w:val="both"/>
        <w:rPr>
          <w:rFonts w:ascii="Sylfaen" w:hAnsi="Sylfaen" w:cs="Sylfaen"/>
          <w:sz w:val="24"/>
          <w:szCs w:val="24"/>
        </w:rPr>
      </w:pPr>
    </w:p>
    <w:p w14:paraId="13DA2597"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lastRenderedPageBreak/>
        <w:t>Լուծույթի թափանցիկությունը</w:t>
      </w:r>
      <w:r w:rsidRPr="00394A09">
        <w:rPr>
          <w:rFonts w:ascii="Sylfaen" w:hAnsi="Sylfaen"/>
          <w:sz w:val="24"/>
          <w:szCs w:val="24"/>
        </w:rPr>
        <w:t xml:space="preserve"> (</w:t>
      </w:r>
      <w:r w:rsidRPr="00394A09">
        <w:rPr>
          <w:rFonts w:ascii="Sylfaen" w:hAnsi="Sylfaen"/>
          <w:i/>
          <w:sz w:val="24"/>
          <w:szCs w:val="24"/>
        </w:rPr>
        <w:t>2.1.2.1</w:t>
      </w:r>
      <w:r w:rsidRPr="00394A09">
        <w:rPr>
          <w:rFonts w:ascii="Sylfaen" w:hAnsi="Sylfaen"/>
          <w:sz w:val="24"/>
          <w:szCs w:val="24"/>
        </w:rPr>
        <w:t xml:space="preserve">)։ Տ լուծույթի օպալեսցենցիան չպետք է գերազանցի I տիպի խցանների համար II համեմատության դեղակախույթի օպալեսցենցիան </w:t>
      </w:r>
      <w:r>
        <w:rPr>
          <w:rFonts w:ascii="Sylfaen" w:hAnsi="Sylfaen"/>
          <w:sz w:val="24"/>
          <w:szCs w:val="24"/>
        </w:rPr>
        <w:t>եւ</w:t>
      </w:r>
      <w:r w:rsidRPr="00394A09">
        <w:rPr>
          <w:rFonts w:ascii="Sylfaen" w:hAnsi="Sylfaen"/>
          <w:sz w:val="24"/>
          <w:szCs w:val="24"/>
        </w:rPr>
        <w:t xml:space="preserve"> II տիպի խցանների համար՝ III համեմատության դեղակախույթի օպալեսցենցիան:</w:t>
      </w:r>
    </w:p>
    <w:p w14:paraId="32E0BFF0"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Պղտորաչափական որոշման դեպքում I տիպի խցանների համար սահմանը կազմում է 6 NTU, իսկ II տիպի խցանների համար՝ 18 NTU:</w:t>
      </w:r>
    </w:p>
    <w:p w14:paraId="733028DC" w14:textId="77777777" w:rsidR="00AF2D51" w:rsidRPr="00394A09" w:rsidRDefault="00AF2D51" w:rsidP="00AF2D51">
      <w:pPr>
        <w:tabs>
          <w:tab w:val="left" w:pos="2568"/>
        </w:tabs>
        <w:spacing w:after="160" w:line="360" w:lineRule="auto"/>
        <w:ind w:firstLine="567"/>
        <w:jc w:val="both"/>
      </w:pPr>
      <w:r w:rsidRPr="00394A09">
        <w:rPr>
          <w:b/>
        </w:rPr>
        <w:t>Լուծույթի գունայնությունը</w:t>
      </w:r>
      <w:r w:rsidRPr="00394A09">
        <w:t xml:space="preserve"> (</w:t>
      </w:r>
      <w:r w:rsidRPr="00394A09">
        <w:rPr>
          <w:i/>
        </w:rPr>
        <w:t>2.1.2.2, մեթոդ II</w:t>
      </w:r>
      <w:r w:rsidRPr="00394A09">
        <w:t>)։ Տ լուծույթի երանգը չպետք է ավելի ինտենսիվ լինի, քան GY5 համեմատության լուծույթի երանգը:</w:t>
      </w:r>
    </w:p>
    <w:p w14:paraId="199C757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E63E3F">
        <w:rPr>
          <w:rFonts w:ascii="Sylfaen" w:hAnsi="Sylfaen"/>
          <w:b/>
          <w:spacing w:val="-4"/>
          <w:sz w:val="24"/>
          <w:szCs w:val="24"/>
        </w:rPr>
        <w:t xml:space="preserve">Թթվայնությունը եւ ալկալիականությունը։ </w:t>
      </w:r>
      <w:r w:rsidRPr="00E63E3F">
        <w:rPr>
          <w:rFonts w:ascii="Sylfaen" w:hAnsi="Sylfaen"/>
          <w:spacing w:val="-4"/>
          <w:sz w:val="24"/>
          <w:szCs w:val="24"/>
        </w:rPr>
        <w:t xml:space="preserve">Տ լուծույթի 20 մլ-ին ավելացնում են </w:t>
      </w:r>
      <w:r w:rsidRPr="00E63E3F">
        <w:rPr>
          <w:rFonts w:ascii="Sylfaen" w:hAnsi="Sylfaen"/>
          <w:i/>
          <w:spacing w:val="-4"/>
          <w:sz w:val="24"/>
          <w:szCs w:val="24"/>
        </w:rPr>
        <w:t>Ռ1 բրոմթիմոլային կապույտի լուծույթի</w:t>
      </w:r>
      <w:r w:rsidRPr="00E63E3F">
        <w:rPr>
          <w:rFonts w:ascii="Sylfaen" w:hAnsi="Sylfaen"/>
          <w:spacing w:val="-4"/>
          <w:sz w:val="24"/>
          <w:szCs w:val="24"/>
        </w:rPr>
        <w:t xml:space="preserve"> 0,1 մլ: Լուծույթի երանգը պետք է փոխվի մինչեւ</w:t>
      </w:r>
      <w:r w:rsidRPr="00394A09">
        <w:rPr>
          <w:rFonts w:ascii="Sylfaen" w:hAnsi="Sylfaen"/>
          <w:sz w:val="24"/>
          <w:szCs w:val="24"/>
        </w:rPr>
        <w:t xml:space="preserve"> կապույտը կամ դեղինը՝ համապատասխանաբար </w:t>
      </w:r>
      <w:r w:rsidRPr="00394A09">
        <w:rPr>
          <w:rFonts w:ascii="Sylfaen" w:hAnsi="Sylfaen"/>
          <w:i/>
          <w:sz w:val="24"/>
          <w:szCs w:val="24"/>
        </w:rPr>
        <w:t>0,01 Մ նատրիումի հիդրօքսիդի լուծույթի</w:t>
      </w:r>
      <w:r w:rsidRPr="00394A09">
        <w:rPr>
          <w:rFonts w:ascii="Sylfaen" w:hAnsi="Sylfaen"/>
          <w:sz w:val="24"/>
          <w:szCs w:val="24"/>
        </w:rPr>
        <w:t xml:space="preserve"> ոչ ավելի, քան 0,3 մլ կամ </w:t>
      </w:r>
      <w:r w:rsidRPr="00394A09">
        <w:rPr>
          <w:rFonts w:ascii="Sylfaen" w:hAnsi="Sylfaen"/>
          <w:i/>
          <w:sz w:val="24"/>
          <w:szCs w:val="24"/>
        </w:rPr>
        <w:t>0,01 Մ քլորաջրածնային թթվի</w:t>
      </w:r>
      <w:r w:rsidRPr="00394A09">
        <w:rPr>
          <w:rFonts w:ascii="Sylfaen" w:hAnsi="Sylfaen"/>
          <w:sz w:val="24"/>
          <w:szCs w:val="24"/>
        </w:rPr>
        <w:t xml:space="preserve"> 0,8 մլ ավելացնելիս: Ցուցիչն ավելացնելուց հետո կանաչ երանգ ունեցող լուծույթը չեզոք է </w:t>
      </w:r>
      <w:r>
        <w:rPr>
          <w:rFonts w:ascii="Sylfaen" w:hAnsi="Sylfaen"/>
          <w:sz w:val="24"/>
          <w:szCs w:val="24"/>
        </w:rPr>
        <w:t>եւ</w:t>
      </w:r>
      <w:r w:rsidRPr="00394A09">
        <w:rPr>
          <w:rFonts w:ascii="Sylfaen" w:hAnsi="Sylfaen"/>
          <w:sz w:val="24"/>
          <w:szCs w:val="24"/>
        </w:rPr>
        <w:t xml:space="preserve"> տիտրում չի պահանջում: Զուգահեռ տիտրում են ստուգիչ լուծույթի 20,0 մլ-ը (տե՛ս S լուծույթը):</w:t>
      </w:r>
    </w:p>
    <w:p w14:paraId="2253EFBD"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E63E3F">
        <w:rPr>
          <w:rFonts w:ascii="Sylfaen" w:hAnsi="Sylfaen"/>
          <w:b/>
          <w:spacing w:val="-4"/>
          <w:sz w:val="24"/>
          <w:szCs w:val="24"/>
        </w:rPr>
        <w:t>Կլանումը / Օպտիկական խտությունը</w:t>
      </w:r>
      <w:r w:rsidRPr="00E63E3F">
        <w:rPr>
          <w:rFonts w:ascii="Sylfaen" w:hAnsi="Sylfaen"/>
          <w:spacing w:val="-4"/>
          <w:sz w:val="24"/>
          <w:szCs w:val="24"/>
        </w:rPr>
        <w:t xml:space="preserve"> (</w:t>
      </w:r>
      <w:r w:rsidRPr="00E63E3F">
        <w:rPr>
          <w:rFonts w:ascii="Sylfaen" w:hAnsi="Sylfaen"/>
          <w:i/>
          <w:spacing w:val="-4"/>
          <w:sz w:val="24"/>
          <w:szCs w:val="24"/>
        </w:rPr>
        <w:t>2.1.2.24</w:t>
      </w:r>
      <w:r w:rsidRPr="00E63E3F">
        <w:rPr>
          <w:rFonts w:ascii="Sylfaen" w:hAnsi="Sylfaen"/>
          <w:spacing w:val="-4"/>
          <w:sz w:val="24"/>
          <w:szCs w:val="24"/>
        </w:rPr>
        <w:t>)։</w:t>
      </w:r>
      <w:r w:rsidRPr="00E63E3F">
        <w:rPr>
          <w:rFonts w:ascii="Sylfaen" w:hAnsi="Sylfaen"/>
          <w:i/>
          <w:spacing w:val="-4"/>
          <w:sz w:val="24"/>
          <w:szCs w:val="24"/>
        </w:rPr>
        <w:t xml:space="preserve"> Փորձարկումն անցկացնում են լուծույթը</w:t>
      </w:r>
      <w:r w:rsidRPr="00394A09">
        <w:rPr>
          <w:rFonts w:ascii="Sylfaen" w:hAnsi="Sylfaen"/>
          <w:i/>
          <w:sz w:val="24"/>
          <w:szCs w:val="24"/>
        </w:rPr>
        <w:t xml:space="preserve"> պատրաստելուց հետո 5 ժամվա ընթացքում:</w:t>
      </w:r>
    </w:p>
    <w:p w14:paraId="0920E966" w14:textId="77777777" w:rsidR="00AF2D51" w:rsidRPr="00394A09" w:rsidRDefault="00AF2D51" w:rsidP="00AF2D51">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S լուծույթը զտում են ծակոտիների 0,45 մկմ չափս ունեցող թաղանթային զտիչի միջով՝ հեռացնելով զտվածքի առաջին մի քանի միլիլիտրը: Չափում են զտվածքի օպտիկական խտությունը </w:t>
      </w:r>
      <w:r w:rsidRPr="00394A09">
        <w:rPr>
          <w:rFonts w:ascii="Sylfaen" w:hAnsi="Sylfaen"/>
          <w:i/>
          <w:sz w:val="24"/>
          <w:szCs w:val="24"/>
        </w:rPr>
        <w:t>(2.1.2.24)</w:t>
      </w:r>
      <w:r w:rsidRPr="00394A09">
        <w:rPr>
          <w:rFonts w:ascii="Sylfaen" w:hAnsi="Sylfaen"/>
          <w:sz w:val="24"/>
          <w:szCs w:val="24"/>
        </w:rPr>
        <w:t>՝ ալիքների 220 նմ-ից մինչ</w:t>
      </w:r>
      <w:r>
        <w:rPr>
          <w:rFonts w:ascii="Sylfaen" w:hAnsi="Sylfaen"/>
          <w:sz w:val="24"/>
          <w:szCs w:val="24"/>
        </w:rPr>
        <w:t>եւ</w:t>
      </w:r>
      <w:r w:rsidRPr="00394A09">
        <w:rPr>
          <w:rFonts w:ascii="Sylfaen" w:hAnsi="Sylfaen"/>
          <w:sz w:val="24"/>
          <w:szCs w:val="24"/>
        </w:rPr>
        <w:t xml:space="preserve"> 360 նմ երկարության հատվածում՝ որպես համեմատության լուծույթ օգտագործելով ստուգիչ լուծույթը (տե՛ս </w:t>
      </w:r>
      <w:r w:rsidRPr="00394A09">
        <w:rPr>
          <w:rFonts w:ascii="Sylfaen" w:hAnsi="Sylfaen"/>
          <w:i/>
          <w:sz w:val="24"/>
          <w:szCs w:val="24"/>
        </w:rPr>
        <w:t>լուծույթ Տ</w:t>
      </w:r>
      <w:r w:rsidRPr="00394A09">
        <w:rPr>
          <w:rFonts w:ascii="Sylfaen" w:hAnsi="Sylfaen"/>
          <w:sz w:val="24"/>
          <w:szCs w:val="24"/>
        </w:rPr>
        <w:t>):</w:t>
      </w:r>
      <w:r w:rsidRPr="00394A09">
        <w:rPr>
          <w:rFonts w:ascii="Sylfaen" w:hAnsi="Sylfaen"/>
          <w:i/>
          <w:sz w:val="24"/>
          <w:szCs w:val="24"/>
        </w:rPr>
        <w:t xml:space="preserve"> </w:t>
      </w:r>
      <w:r w:rsidRPr="00394A09">
        <w:rPr>
          <w:rFonts w:ascii="Sylfaen" w:hAnsi="Sylfaen"/>
          <w:sz w:val="24"/>
          <w:szCs w:val="24"/>
        </w:rPr>
        <w:t xml:space="preserve">Օպտիկական խտությունը չպետք է գերազանցի 0,2-ը՝ I տիպի խցանների համար, </w:t>
      </w:r>
      <w:r>
        <w:rPr>
          <w:rFonts w:ascii="Sylfaen" w:hAnsi="Sylfaen"/>
          <w:sz w:val="24"/>
          <w:szCs w:val="24"/>
        </w:rPr>
        <w:t>եւ</w:t>
      </w:r>
      <w:r w:rsidRPr="00394A09">
        <w:rPr>
          <w:rFonts w:ascii="Sylfaen" w:hAnsi="Sylfaen"/>
          <w:sz w:val="24"/>
          <w:szCs w:val="24"/>
        </w:rPr>
        <w:t xml:space="preserve"> 4,0-ը՝ II տիպի խցանների համար: Անհրաժեշտության դեպքում օպտիկական խտությունը չափելուց առաջ զտվածքը նոսրացնում են </w:t>
      </w:r>
      <w:r>
        <w:rPr>
          <w:rFonts w:ascii="Sylfaen" w:hAnsi="Sylfaen"/>
          <w:sz w:val="24"/>
          <w:szCs w:val="24"/>
        </w:rPr>
        <w:t>եւ</w:t>
      </w:r>
      <w:r w:rsidRPr="00394A09">
        <w:rPr>
          <w:rFonts w:ascii="Sylfaen" w:hAnsi="Sylfaen"/>
          <w:sz w:val="24"/>
          <w:szCs w:val="24"/>
        </w:rPr>
        <w:t xml:space="preserve"> ճշգրտում արդյունքը՝ հաշվի առնելով նոսրացումը:</w:t>
      </w:r>
    </w:p>
    <w:p w14:paraId="4EA6A953"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b/>
          <w:sz w:val="24"/>
          <w:szCs w:val="24"/>
        </w:rPr>
        <w:t xml:space="preserve">Վերականգնող նյութերը։ </w:t>
      </w:r>
      <w:r w:rsidRPr="00394A09">
        <w:rPr>
          <w:rFonts w:ascii="Sylfaen" w:hAnsi="Sylfaen"/>
          <w:i/>
          <w:sz w:val="24"/>
          <w:szCs w:val="24"/>
        </w:rPr>
        <w:t>Փորձարկումն անցկացնում են Տ լուծույթը պատրաստելուց հետո 4 ժամվա ընթացքում:</w:t>
      </w:r>
      <w:r w:rsidRPr="00394A09">
        <w:rPr>
          <w:rFonts w:ascii="Sylfaen" w:hAnsi="Sylfaen"/>
          <w:b/>
          <w:sz w:val="24"/>
          <w:szCs w:val="24"/>
        </w:rPr>
        <w:t xml:space="preserve"> </w:t>
      </w:r>
      <w:r w:rsidRPr="00394A09">
        <w:rPr>
          <w:rFonts w:ascii="Sylfaen" w:hAnsi="Sylfaen"/>
          <w:sz w:val="24"/>
          <w:szCs w:val="24"/>
        </w:rPr>
        <w:t xml:space="preserve">Տ լուծույթի 20,0 մլ-ին ավելացնում են </w:t>
      </w:r>
      <w:r w:rsidRPr="00394A09">
        <w:rPr>
          <w:rFonts w:ascii="Sylfaen" w:hAnsi="Sylfaen"/>
          <w:i/>
          <w:sz w:val="24"/>
          <w:szCs w:val="24"/>
        </w:rPr>
        <w:lastRenderedPageBreak/>
        <w:t>Ռ նոսրացված ծծմբական թթվի</w:t>
      </w:r>
      <w:r w:rsidRPr="00394A09">
        <w:rPr>
          <w:rFonts w:ascii="Sylfaen" w:hAnsi="Sylfaen"/>
          <w:sz w:val="24"/>
          <w:szCs w:val="24"/>
        </w:rPr>
        <w:t xml:space="preserve"> 1 մլ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0,002 Մ կալիումի պերմանգանատի լուծույթի</w:t>
      </w:r>
      <w:r w:rsidRPr="00394A09">
        <w:rPr>
          <w:rFonts w:ascii="Sylfaen" w:hAnsi="Sylfaen"/>
          <w:sz w:val="24"/>
          <w:szCs w:val="24"/>
        </w:rPr>
        <w:t xml:space="preserve"> 20,0 մլ: 3 րոպե եռացնում են </w:t>
      </w:r>
      <w:r>
        <w:rPr>
          <w:rFonts w:ascii="Sylfaen" w:hAnsi="Sylfaen"/>
          <w:sz w:val="24"/>
          <w:szCs w:val="24"/>
        </w:rPr>
        <w:t>եւ</w:t>
      </w:r>
      <w:r w:rsidRPr="00394A09">
        <w:rPr>
          <w:rFonts w:ascii="Sylfaen" w:hAnsi="Sylfaen"/>
          <w:sz w:val="24"/>
          <w:szCs w:val="24"/>
        </w:rPr>
        <w:t xml:space="preserve"> հովացնում: Ավելացնում են </w:t>
      </w:r>
      <w:r w:rsidRPr="00394A09">
        <w:rPr>
          <w:rFonts w:ascii="Sylfaen" w:hAnsi="Sylfaen"/>
          <w:i/>
          <w:sz w:val="24"/>
          <w:szCs w:val="24"/>
        </w:rPr>
        <w:t>Ռ կալիումի յոդիդի</w:t>
      </w:r>
      <w:r w:rsidRPr="00394A09">
        <w:rPr>
          <w:rFonts w:ascii="Sylfaen" w:hAnsi="Sylfaen"/>
          <w:sz w:val="24"/>
          <w:szCs w:val="24"/>
        </w:rPr>
        <w:t xml:space="preserve"> 1 գ </w:t>
      </w:r>
      <w:r>
        <w:rPr>
          <w:rFonts w:ascii="Sylfaen" w:hAnsi="Sylfaen"/>
          <w:sz w:val="24"/>
          <w:szCs w:val="24"/>
        </w:rPr>
        <w:t>եւ</w:t>
      </w:r>
      <w:r w:rsidRPr="00394A09">
        <w:rPr>
          <w:rFonts w:ascii="Sylfaen" w:hAnsi="Sylfaen"/>
          <w:sz w:val="24"/>
          <w:szCs w:val="24"/>
        </w:rPr>
        <w:t xml:space="preserve"> անմիջապես տիտրում </w:t>
      </w:r>
      <w:r w:rsidRPr="00394A09">
        <w:rPr>
          <w:rFonts w:ascii="Sylfaen" w:hAnsi="Sylfaen"/>
          <w:i/>
          <w:sz w:val="24"/>
          <w:szCs w:val="24"/>
        </w:rPr>
        <w:t>0,01 Մ նատրիումի թիոսուլֆատի լուծույթով՝</w:t>
      </w:r>
      <w:r w:rsidRPr="00394A09">
        <w:rPr>
          <w:rFonts w:ascii="Sylfaen" w:hAnsi="Sylfaen"/>
          <w:sz w:val="24"/>
          <w:szCs w:val="24"/>
        </w:rPr>
        <w:t xml:space="preserve"> որպես ցուցիչ օգտագործելով </w:t>
      </w:r>
      <w:r w:rsidRPr="00394A09">
        <w:rPr>
          <w:rFonts w:ascii="Sylfaen" w:hAnsi="Sylfaen"/>
          <w:i/>
          <w:sz w:val="24"/>
          <w:szCs w:val="24"/>
        </w:rPr>
        <w:t>Ռ օսլայի լուծույթի</w:t>
      </w:r>
      <w:r w:rsidRPr="00394A09">
        <w:rPr>
          <w:rFonts w:ascii="Sylfaen" w:hAnsi="Sylfaen"/>
          <w:sz w:val="24"/>
          <w:szCs w:val="24"/>
        </w:rPr>
        <w:t xml:space="preserve"> 0,25 մլ: Անցկացնում են ստուգիչ փորձարկում՝ օգտագործելով ստուգիչ լուծույթի 20,0 մլ: Տիտրանտների ծավալների միջ</w:t>
      </w:r>
      <w:r>
        <w:rPr>
          <w:rFonts w:ascii="Sylfaen" w:hAnsi="Sylfaen"/>
          <w:sz w:val="24"/>
          <w:szCs w:val="24"/>
        </w:rPr>
        <w:t>եւ</w:t>
      </w:r>
      <w:r w:rsidRPr="00394A09">
        <w:rPr>
          <w:rFonts w:ascii="Sylfaen" w:hAnsi="Sylfaen"/>
          <w:sz w:val="24"/>
          <w:szCs w:val="24"/>
        </w:rPr>
        <w:t xml:space="preserve"> տարբերությունը չպետք է գերազանցի 3,0 մլ-ը (I տիպի խցանների համար) </w:t>
      </w:r>
      <w:r>
        <w:rPr>
          <w:rFonts w:ascii="Sylfaen" w:hAnsi="Sylfaen"/>
          <w:sz w:val="24"/>
          <w:szCs w:val="24"/>
        </w:rPr>
        <w:t>եւ</w:t>
      </w:r>
      <w:r w:rsidRPr="00394A09">
        <w:rPr>
          <w:rFonts w:ascii="Sylfaen" w:hAnsi="Sylfaen"/>
          <w:sz w:val="24"/>
          <w:szCs w:val="24"/>
        </w:rPr>
        <w:t xml:space="preserve"> 7,0 մլ-ը (II տիպի խցանների համար):</w:t>
      </w:r>
    </w:p>
    <w:p w14:paraId="6ABAA2A0"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Ամոնիումի աղեր</w:t>
      </w:r>
      <w:r w:rsidRPr="00394A09">
        <w:rPr>
          <w:rFonts w:ascii="Sylfaen" w:hAnsi="Sylfaen"/>
          <w:b/>
          <w:sz w:val="24"/>
          <w:szCs w:val="24"/>
        </w:rPr>
        <w:t xml:space="preserve"> </w:t>
      </w:r>
      <w:r w:rsidRPr="00394A09">
        <w:rPr>
          <w:rFonts w:ascii="Sylfaen" w:hAnsi="Sylfaen"/>
          <w:i/>
          <w:sz w:val="24"/>
          <w:szCs w:val="24"/>
        </w:rPr>
        <w:t>(2.1.4.1, Ա մեթոդ):</w:t>
      </w:r>
      <w:r w:rsidRPr="00394A09">
        <w:rPr>
          <w:rFonts w:ascii="Sylfaen" w:hAnsi="Sylfaen"/>
          <w:sz w:val="24"/>
          <w:szCs w:val="24"/>
        </w:rPr>
        <w:t xml:space="preserve"> Տ լուծույթի ոչ ավելի, քան 2 ppm 5 մլ-ը </w:t>
      </w:r>
      <w:r w:rsidRPr="00394A09">
        <w:rPr>
          <w:rFonts w:ascii="Sylfaen" w:hAnsi="Sylfaen"/>
          <w:i/>
          <w:sz w:val="24"/>
          <w:szCs w:val="24"/>
        </w:rPr>
        <w:t>Ռ ջրով</w:t>
      </w:r>
      <w:r w:rsidRPr="00394A09">
        <w:rPr>
          <w:rFonts w:ascii="Sylfaen" w:hAnsi="Sylfaen"/>
          <w:sz w:val="24"/>
          <w:szCs w:val="24"/>
        </w:rPr>
        <w:t xml:space="preserve"> հասցնում են մինչ</w:t>
      </w:r>
      <w:r>
        <w:rPr>
          <w:rFonts w:ascii="Sylfaen" w:hAnsi="Sylfaen"/>
          <w:sz w:val="24"/>
          <w:szCs w:val="24"/>
        </w:rPr>
        <w:t>եւ</w:t>
      </w:r>
      <w:r w:rsidRPr="00394A09">
        <w:rPr>
          <w:rFonts w:ascii="Sylfaen" w:hAnsi="Sylfaen"/>
          <w:sz w:val="24"/>
          <w:szCs w:val="24"/>
        </w:rPr>
        <w:t xml:space="preserve"> 14 մլ ծավալը:</w:t>
      </w:r>
    </w:p>
    <w:p w14:paraId="14FDCD49"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b/>
          <w:sz w:val="24"/>
          <w:szCs w:val="24"/>
        </w:rPr>
        <w:t xml:space="preserve">Ցինկ։ </w:t>
      </w:r>
      <w:r w:rsidRPr="00394A09">
        <w:rPr>
          <w:rFonts w:ascii="Sylfaen" w:hAnsi="Sylfaen"/>
          <w:sz w:val="24"/>
          <w:szCs w:val="24"/>
        </w:rPr>
        <w:t>Տ լուծույթի 1 մլ-ի մեջ ոչ ավելի, քան 5 մկգ: Որոշումն անցկացնում են ատոմաաբսորբման սպեկտրաչափության մեթոդով (</w:t>
      </w:r>
      <w:r w:rsidRPr="00394A09">
        <w:rPr>
          <w:rFonts w:ascii="Sylfaen" w:hAnsi="Sylfaen"/>
          <w:i/>
          <w:sz w:val="24"/>
          <w:szCs w:val="24"/>
        </w:rPr>
        <w:t>2.1.2.22, մեթոդ I</w:t>
      </w:r>
      <w:r w:rsidRPr="00394A09">
        <w:rPr>
          <w:rFonts w:ascii="Sylfaen" w:hAnsi="Sylfaen"/>
          <w:sz w:val="24"/>
          <w:szCs w:val="24"/>
        </w:rPr>
        <w:t>)։</w:t>
      </w:r>
    </w:p>
    <w:p w14:paraId="67B93858" w14:textId="77777777" w:rsidR="00AF2D51" w:rsidRPr="00394A09" w:rsidRDefault="00AF2D51" w:rsidP="00B75D79">
      <w:pPr>
        <w:tabs>
          <w:tab w:val="left" w:pos="2568"/>
        </w:tabs>
        <w:spacing w:after="160" w:line="346" w:lineRule="auto"/>
        <w:ind w:firstLine="567"/>
        <w:jc w:val="both"/>
      </w:pPr>
      <w:r w:rsidRPr="00394A09">
        <w:rPr>
          <w:i/>
        </w:rPr>
        <w:t>Փորձարկվող լուծույթ։</w:t>
      </w:r>
      <w:r w:rsidRPr="00394A09">
        <w:t xml:space="preserve"> Օգտագործում են Տ լուծույթը: Արդյունքները՝ ստուգաճշտման ընդգրկույթի սահմաններից դուրս գալու դեպքում Տ լուծույթի 10,0 մլ-ը </w:t>
      </w:r>
      <w:r w:rsidRPr="00394A09">
        <w:rPr>
          <w:i/>
        </w:rPr>
        <w:t>0,1 Մ քլորաջրածնային թթվով</w:t>
      </w:r>
      <w:r w:rsidRPr="00394A09">
        <w:t xml:space="preserve"> հասցնում են մինչ</w:t>
      </w:r>
      <w:r>
        <w:t>եւ</w:t>
      </w:r>
      <w:r w:rsidRPr="00394A09">
        <w:t xml:space="preserve"> համապատասխան ծավալը:</w:t>
      </w:r>
    </w:p>
    <w:p w14:paraId="47B3651B"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i/>
          <w:sz w:val="24"/>
          <w:szCs w:val="24"/>
        </w:rPr>
        <w:t>Համեմատության լուծույթները։</w:t>
      </w:r>
      <w:r w:rsidRPr="00394A09">
        <w:rPr>
          <w:rFonts w:ascii="Sylfaen" w:hAnsi="Sylfaen"/>
          <w:sz w:val="24"/>
          <w:szCs w:val="24"/>
        </w:rPr>
        <w:t xml:space="preserve"> Պատրաստում են </w:t>
      </w:r>
      <w:r w:rsidRPr="00394A09">
        <w:rPr>
          <w:rFonts w:ascii="Sylfaen" w:hAnsi="Sylfaen"/>
          <w:i/>
          <w:sz w:val="24"/>
          <w:szCs w:val="24"/>
        </w:rPr>
        <w:t>Ռ ցինկի իոնների ստանդարտ լուծույթը (10 ppm Zn</w:t>
      </w:r>
      <w:r w:rsidRPr="00394A09">
        <w:rPr>
          <w:rFonts w:ascii="Sylfaen" w:hAnsi="Sylfaen"/>
          <w:i/>
          <w:smallCaps/>
          <w:sz w:val="24"/>
          <w:szCs w:val="24"/>
          <w:vertAlign w:val="superscript"/>
        </w:rPr>
        <w:t>2+</w:t>
      </w:r>
      <w:r w:rsidRPr="00394A09">
        <w:rPr>
          <w:rFonts w:ascii="Sylfaen" w:hAnsi="Sylfaen"/>
          <w:i/>
          <w:sz w:val="24"/>
          <w:szCs w:val="24"/>
        </w:rPr>
        <w:t>) 0,1 Մ քլորաջրածնային թթվով</w:t>
      </w:r>
      <w:r w:rsidRPr="00394A09">
        <w:rPr>
          <w:rFonts w:ascii="Sylfaen" w:hAnsi="Sylfaen"/>
          <w:sz w:val="24"/>
          <w:szCs w:val="24"/>
        </w:rPr>
        <w:t xml:space="preserve"> նոսրացնելով:</w:t>
      </w:r>
    </w:p>
    <w:p w14:paraId="483A8E2E" w14:textId="77777777" w:rsidR="00AF2D51" w:rsidRPr="00394A09" w:rsidRDefault="00AF2D51" w:rsidP="00B75D79">
      <w:pPr>
        <w:pStyle w:val="a0"/>
        <w:shd w:val="clear" w:color="auto" w:fill="auto"/>
        <w:spacing w:after="160" w:line="346" w:lineRule="auto"/>
        <w:ind w:firstLine="567"/>
        <w:rPr>
          <w:rFonts w:ascii="Sylfaen" w:hAnsi="Sylfaen" w:cs="Sylfaen"/>
          <w:sz w:val="24"/>
          <w:szCs w:val="24"/>
        </w:rPr>
      </w:pPr>
      <w:r w:rsidRPr="00394A09">
        <w:rPr>
          <w:rFonts w:ascii="Sylfaen" w:hAnsi="Sylfaen"/>
          <w:i/>
          <w:sz w:val="24"/>
          <w:szCs w:val="24"/>
        </w:rPr>
        <w:t>Որոշման պայմանները՝</w:t>
      </w:r>
    </w:p>
    <w:p w14:paraId="096D5E98" w14:textId="77777777" w:rsidR="00AF2D51" w:rsidRPr="00394A09" w:rsidRDefault="00AF2D51" w:rsidP="00B75D79">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i/>
          <w:sz w:val="24"/>
          <w:szCs w:val="24"/>
        </w:rPr>
        <w:t>-</w:t>
      </w:r>
      <w:r w:rsidRPr="00E63E3F">
        <w:rPr>
          <w:rFonts w:ascii="Sylfaen" w:hAnsi="Sylfaen"/>
          <w:i/>
          <w:sz w:val="24"/>
          <w:szCs w:val="24"/>
        </w:rPr>
        <w:tab/>
      </w:r>
      <w:r w:rsidRPr="00394A09">
        <w:rPr>
          <w:rFonts w:ascii="Sylfaen" w:hAnsi="Sylfaen"/>
          <w:i/>
          <w:sz w:val="24"/>
          <w:szCs w:val="24"/>
        </w:rPr>
        <w:t>աղբյուրը՝</w:t>
      </w:r>
      <w:r w:rsidRPr="00394A09">
        <w:rPr>
          <w:rFonts w:ascii="Sylfaen" w:hAnsi="Sylfaen"/>
          <w:sz w:val="24"/>
          <w:szCs w:val="24"/>
        </w:rPr>
        <w:t xml:space="preserve">  սնամեջ կատոդով ցինկից լամպ.</w:t>
      </w:r>
    </w:p>
    <w:p w14:paraId="43D2A591" w14:textId="77777777" w:rsidR="00AF2D51" w:rsidRPr="00394A09" w:rsidRDefault="00AF2D51" w:rsidP="00B75D79">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i/>
          <w:sz w:val="24"/>
          <w:szCs w:val="24"/>
        </w:rPr>
        <w:t>-</w:t>
      </w:r>
      <w:r w:rsidRPr="00E63E3F">
        <w:rPr>
          <w:rFonts w:ascii="Sylfaen" w:hAnsi="Sylfaen"/>
          <w:i/>
          <w:sz w:val="24"/>
          <w:szCs w:val="24"/>
        </w:rPr>
        <w:tab/>
      </w:r>
      <w:r w:rsidRPr="00394A09">
        <w:rPr>
          <w:rFonts w:ascii="Sylfaen" w:hAnsi="Sylfaen"/>
          <w:i/>
          <w:sz w:val="24"/>
          <w:szCs w:val="24"/>
        </w:rPr>
        <w:t>ալիքի երկարությունը՝</w:t>
      </w:r>
      <w:r w:rsidRPr="00394A09">
        <w:rPr>
          <w:rFonts w:ascii="Sylfaen" w:hAnsi="Sylfaen"/>
          <w:sz w:val="24"/>
          <w:szCs w:val="24"/>
        </w:rPr>
        <w:t xml:space="preserve">  213,9 նմ.</w:t>
      </w:r>
    </w:p>
    <w:p w14:paraId="032675EF" w14:textId="77777777" w:rsidR="00AF2D51" w:rsidRPr="00394A09" w:rsidRDefault="00AF2D51" w:rsidP="00B75D79">
      <w:pPr>
        <w:pStyle w:val="a0"/>
        <w:shd w:val="clear" w:color="auto" w:fill="auto"/>
        <w:tabs>
          <w:tab w:val="left" w:pos="1134"/>
        </w:tabs>
        <w:spacing w:after="160" w:line="346" w:lineRule="auto"/>
        <w:ind w:firstLine="567"/>
        <w:jc w:val="both"/>
        <w:rPr>
          <w:rFonts w:ascii="Sylfaen" w:hAnsi="Sylfaen" w:cs="Sylfaen"/>
          <w:sz w:val="24"/>
          <w:szCs w:val="24"/>
        </w:rPr>
      </w:pPr>
      <w:r w:rsidRPr="00394A09">
        <w:rPr>
          <w:rFonts w:ascii="Sylfaen" w:hAnsi="Sylfaen"/>
          <w:i/>
          <w:sz w:val="24"/>
          <w:szCs w:val="24"/>
        </w:rPr>
        <w:t>-</w:t>
      </w:r>
      <w:r w:rsidRPr="00E63E3F">
        <w:rPr>
          <w:rFonts w:ascii="Sylfaen" w:hAnsi="Sylfaen"/>
          <w:i/>
          <w:sz w:val="24"/>
          <w:szCs w:val="24"/>
        </w:rPr>
        <w:tab/>
      </w:r>
      <w:r w:rsidRPr="00394A09">
        <w:rPr>
          <w:rFonts w:ascii="Sylfaen" w:hAnsi="Sylfaen"/>
          <w:i/>
          <w:sz w:val="24"/>
          <w:szCs w:val="24"/>
        </w:rPr>
        <w:t>փոշեցրիչը՝</w:t>
      </w:r>
      <w:r w:rsidRPr="00394A09">
        <w:rPr>
          <w:rFonts w:ascii="Sylfaen" w:hAnsi="Sylfaen"/>
          <w:sz w:val="24"/>
          <w:szCs w:val="24"/>
        </w:rPr>
        <w:t xml:space="preserve"> օդային ացետիլենային բոց:</w:t>
      </w:r>
    </w:p>
    <w:p w14:paraId="75870586"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b/>
          <w:sz w:val="24"/>
          <w:szCs w:val="24"/>
        </w:rPr>
        <w:t xml:space="preserve">Ծանր մետաղները: </w:t>
      </w:r>
      <w:r w:rsidRPr="00394A09">
        <w:rPr>
          <w:rFonts w:ascii="Sylfaen" w:hAnsi="Sylfaen"/>
          <w:sz w:val="24"/>
          <w:szCs w:val="24"/>
        </w:rPr>
        <w:t>(</w:t>
      </w:r>
      <w:r w:rsidRPr="00394A09">
        <w:rPr>
          <w:rFonts w:ascii="Sylfaen" w:hAnsi="Sylfaen"/>
          <w:i/>
          <w:sz w:val="24"/>
          <w:szCs w:val="24"/>
        </w:rPr>
        <w:t>2.1.4.8</w:t>
      </w:r>
      <w:r w:rsidRPr="00394A09">
        <w:rPr>
          <w:rFonts w:ascii="Sylfaen" w:hAnsi="Sylfaen"/>
          <w:sz w:val="24"/>
          <w:szCs w:val="24"/>
        </w:rPr>
        <w:t>)։ 2 ppm-ից ոչ ավելի։</w:t>
      </w:r>
    </w:p>
    <w:p w14:paraId="57EBCC42" w14:textId="77777777" w:rsidR="00AF2D51" w:rsidRPr="00903268" w:rsidRDefault="00AF2D51" w:rsidP="00B75D79">
      <w:pPr>
        <w:pStyle w:val="a0"/>
        <w:shd w:val="clear" w:color="auto" w:fill="auto"/>
        <w:spacing w:after="160" w:line="346" w:lineRule="auto"/>
        <w:ind w:firstLine="567"/>
        <w:jc w:val="both"/>
        <w:rPr>
          <w:rFonts w:ascii="Sylfaen" w:hAnsi="Sylfaen"/>
          <w:sz w:val="24"/>
          <w:szCs w:val="24"/>
        </w:rPr>
      </w:pPr>
      <w:r w:rsidRPr="00394A09">
        <w:rPr>
          <w:rFonts w:ascii="Sylfaen" w:hAnsi="Sylfaen"/>
          <w:sz w:val="24"/>
          <w:szCs w:val="24"/>
        </w:rPr>
        <w:t xml:space="preserve">Տ լուծույթը պետք է համապատասխանի Ա փորձարկման պահանջներին: Համեմատության լուծույթը պատրաստում են </w:t>
      </w:r>
      <w:r w:rsidRPr="00394A09">
        <w:rPr>
          <w:rFonts w:ascii="Sylfaen" w:hAnsi="Sylfaen"/>
          <w:i/>
          <w:sz w:val="24"/>
          <w:szCs w:val="24"/>
        </w:rPr>
        <w:t>Ռ կապարի իոնների ստանդարտ լուծույթի (2 ppm Pb</w:t>
      </w:r>
      <w:r w:rsidRPr="00394A09">
        <w:rPr>
          <w:rFonts w:ascii="Sylfaen" w:hAnsi="Sylfaen"/>
          <w:i/>
          <w:sz w:val="24"/>
          <w:szCs w:val="24"/>
          <w:vertAlign w:val="superscript"/>
        </w:rPr>
        <w:t>2+</w:t>
      </w:r>
      <w:r w:rsidRPr="00394A09">
        <w:rPr>
          <w:rFonts w:ascii="Sylfaen" w:hAnsi="Sylfaen"/>
          <w:i/>
          <w:sz w:val="24"/>
          <w:szCs w:val="24"/>
        </w:rPr>
        <w:t>)</w:t>
      </w:r>
      <w:r w:rsidRPr="00394A09">
        <w:rPr>
          <w:rFonts w:ascii="Sylfaen" w:hAnsi="Sylfaen"/>
          <w:sz w:val="24"/>
          <w:szCs w:val="24"/>
        </w:rPr>
        <w:t xml:space="preserve"> օգտագործմամբ:</w:t>
      </w:r>
    </w:p>
    <w:p w14:paraId="0C07E402" w14:textId="77777777" w:rsidR="00AF2D51" w:rsidRPr="00394A09" w:rsidRDefault="00AF2D51" w:rsidP="00B75D79">
      <w:pPr>
        <w:pStyle w:val="a0"/>
        <w:shd w:val="clear" w:color="auto" w:fill="auto"/>
        <w:spacing w:after="160" w:line="346" w:lineRule="auto"/>
        <w:ind w:firstLine="567"/>
        <w:jc w:val="both"/>
        <w:rPr>
          <w:rFonts w:ascii="Sylfaen" w:hAnsi="Sylfaen" w:cs="Sylfaen"/>
          <w:sz w:val="24"/>
          <w:szCs w:val="24"/>
        </w:rPr>
      </w:pPr>
      <w:r w:rsidRPr="00394A09">
        <w:rPr>
          <w:rFonts w:ascii="Sylfaen" w:hAnsi="Sylfaen"/>
          <w:b/>
          <w:sz w:val="24"/>
          <w:szCs w:val="24"/>
        </w:rPr>
        <w:t xml:space="preserve">Չոր մնացորդը։ </w:t>
      </w:r>
      <w:r w:rsidRPr="00394A09">
        <w:rPr>
          <w:rFonts w:ascii="Sylfaen" w:hAnsi="Sylfaen"/>
          <w:sz w:val="24"/>
          <w:szCs w:val="24"/>
        </w:rPr>
        <w:t xml:space="preserve">Տ լուծույթի 50,0 մլ-ը լիաչոր շոգեհանում են ջրային բաղնիքի </w:t>
      </w:r>
      <w:r w:rsidRPr="00E63E3F">
        <w:rPr>
          <w:rFonts w:ascii="Sylfaen" w:hAnsi="Sylfaen"/>
          <w:spacing w:val="-4"/>
          <w:sz w:val="24"/>
          <w:szCs w:val="24"/>
        </w:rPr>
        <w:t xml:space="preserve">վրա եւ չորացնում 100 °C-ից մինչեւ 105 °C ջերմաստիճանի տակ՝ մինչեւ զանգվածի </w:t>
      </w:r>
      <w:r w:rsidRPr="00E63E3F">
        <w:rPr>
          <w:rFonts w:ascii="Sylfaen" w:hAnsi="Sylfaen"/>
          <w:spacing w:val="-4"/>
          <w:sz w:val="24"/>
          <w:szCs w:val="24"/>
        </w:rPr>
        <w:lastRenderedPageBreak/>
        <w:t xml:space="preserve">հաստատունությանը հասնելը: Մնացորդի զանգվածը չպետք է գերազանցի 2,0 մգ-ը՝ I տիպի </w:t>
      </w:r>
      <w:r w:rsidRPr="00394A09">
        <w:rPr>
          <w:rFonts w:ascii="Sylfaen" w:hAnsi="Sylfaen"/>
          <w:sz w:val="24"/>
          <w:szCs w:val="24"/>
        </w:rPr>
        <w:t xml:space="preserve">խցանների համար, </w:t>
      </w:r>
      <w:r>
        <w:rPr>
          <w:rFonts w:ascii="Sylfaen" w:hAnsi="Sylfaen"/>
          <w:sz w:val="24"/>
          <w:szCs w:val="24"/>
        </w:rPr>
        <w:t>եւ</w:t>
      </w:r>
      <w:r w:rsidRPr="00394A09">
        <w:rPr>
          <w:rFonts w:ascii="Sylfaen" w:hAnsi="Sylfaen"/>
          <w:sz w:val="24"/>
          <w:szCs w:val="24"/>
        </w:rPr>
        <w:t xml:space="preserve"> 4,0 մգ-ը՝ II տիպի խցանների համար:</w:t>
      </w:r>
    </w:p>
    <w:p w14:paraId="25C2E703" w14:textId="77777777" w:rsidR="00AF2D51" w:rsidRPr="00AF2D51" w:rsidRDefault="00AF2D51" w:rsidP="00B75D79">
      <w:pPr>
        <w:pStyle w:val="a0"/>
        <w:shd w:val="clear" w:color="auto" w:fill="auto"/>
        <w:spacing w:after="160" w:line="360" w:lineRule="auto"/>
        <w:ind w:firstLine="567"/>
        <w:jc w:val="both"/>
        <w:rPr>
          <w:rFonts w:ascii="Sylfaen" w:hAnsi="Sylfaen"/>
          <w:sz w:val="24"/>
          <w:szCs w:val="24"/>
        </w:rPr>
      </w:pPr>
      <w:r w:rsidRPr="00394A09">
        <w:rPr>
          <w:rFonts w:ascii="Sylfaen" w:hAnsi="Sylfaen"/>
          <w:b/>
          <w:sz w:val="24"/>
          <w:szCs w:val="24"/>
        </w:rPr>
        <w:t xml:space="preserve">Ցնդող սուլֆիդները: </w:t>
      </w:r>
      <w:r w:rsidRPr="00394A09">
        <w:rPr>
          <w:rFonts w:ascii="Sylfaen" w:hAnsi="Sylfaen"/>
          <w:sz w:val="24"/>
          <w:szCs w:val="24"/>
        </w:rPr>
        <w:t>Մակերեւույթի</w:t>
      </w:r>
      <w:r w:rsidRPr="00394A09">
        <w:rPr>
          <w:rFonts w:ascii="Sylfaen" w:hAnsi="Sylfaen"/>
          <w:b/>
          <w:sz w:val="24"/>
          <w:szCs w:val="24"/>
        </w:rPr>
        <w:t xml:space="preserve"> </w:t>
      </w:r>
      <w:r w:rsidRPr="00394A09">
        <w:rPr>
          <w:rFonts w:ascii="Sylfaen" w:hAnsi="Sylfaen"/>
          <w:sz w:val="24"/>
          <w:szCs w:val="24"/>
        </w:rPr>
        <w:t>(20 ±2) սմ</w:t>
      </w:r>
      <w:r w:rsidRPr="00394A09">
        <w:rPr>
          <w:rFonts w:ascii="Sylfaen" w:hAnsi="Sylfaen"/>
          <w:sz w:val="24"/>
          <w:szCs w:val="24"/>
          <w:vertAlign w:val="superscript"/>
        </w:rPr>
        <w:t>2</w:t>
      </w:r>
      <w:r w:rsidRPr="00394A09">
        <w:rPr>
          <w:rFonts w:ascii="Sylfaen" w:hAnsi="Sylfaen"/>
          <w:sz w:val="24"/>
          <w:szCs w:val="24"/>
        </w:rPr>
        <w:t xml:space="preserve"> ընդհանուր մակերեսով խցանափակման միջոցները, անհրաժեշտության դեպքում մասերի կտրատված, տեղադրում են 100 մլ տարողությամբ կոնաձ</w:t>
      </w:r>
      <w:r>
        <w:rPr>
          <w:rFonts w:ascii="Sylfaen" w:hAnsi="Sylfaen"/>
          <w:sz w:val="24"/>
          <w:szCs w:val="24"/>
        </w:rPr>
        <w:t>եւ</w:t>
      </w:r>
      <w:r w:rsidRPr="00394A09">
        <w:rPr>
          <w:rFonts w:ascii="Sylfaen" w:hAnsi="Sylfaen"/>
          <w:sz w:val="24"/>
          <w:szCs w:val="24"/>
        </w:rPr>
        <w:t xml:space="preserve"> փորձանոթի մեջ </w:t>
      </w:r>
      <w:r>
        <w:rPr>
          <w:rFonts w:ascii="Sylfaen" w:hAnsi="Sylfaen"/>
          <w:sz w:val="24"/>
          <w:szCs w:val="24"/>
        </w:rPr>
        <w:t>եւ</w:t>
      </w:r>
      <w:r w:rsidRPr="00394A09">
        <w:rPr>
          <w:rFonts w:ascii="Sylfaen" w:hAnsi="Sylfaen"/>
          <w:sz w:val="24"/>
          <w:szCs w:val="24"/>
        </w:rPr>
        <w:t xml:space="preserve"> ավելացնում են 20 գ/լ </w:t>
      </w:r>
      <w:r w:rsidRPr="00394A09">
        <w:rPr>
          <w:rFonts w:ascii="Sylfaen" w:hAnsi="Sylfaen"/>
          <w:i/>
          <w:sz w:val="24"/>
          <w:szCs w:val="24"/>
        </w:rPr>
        <w:t xml:space="preserve">Ռ կիտրոնաթթվի </w:t>
      </w:r>
      <w:r w:rsidRPr="00394A09">
        <w:rPr>
          <w:rFonts w:ascii="Sylfaen" w:hAnsi="Sylfaen"/>
          <w:sz w:val="24"/>
          <w:szCs w:val="24"/>
        </w:rPr>
        <w:t>50 մլ: Փորձանոթի անցքի վեր</w:t>
      </w:r>
      <w:r>
        <w:rPr>
          <w:rFonts w:ascii="Sylfaen" w:hAnsi="Sylfaen"/>
          <w:sz w:val="24"/>
          <w:szCs w:val="24"/>
        </w:rPr>
        <w:t>եւ</w:t>
      </w:r>
      <w:r w:rsidRPr="00394A09">
        <w:rPr>
          <w:rFonts w:ascii="Sylfaen" w:hAnsi="Sylfaen"/>
          <w:sz w:val="24"/>
          <w:szCs w:val="24"/>
        </w:rPr>
        <w:t xml:space="preserve">ում տեղադրում են </w:t>
      </w:r>
      <w:r w:rsidRPr="00394A09">
        <w:rPr>
          <w:rFonts w:ascii="Sylfaen" w:hAnsi="Sylfaen"/>
          <w:i/>
          <w:sz w:val="24"/>
          <w:szCs w:val="24"/>
        </w:rPr>
        <w:t xml:space="preserve">Ռ կապարի ացետատի թղթի </w:t>
      </w:r>
      <w:r w:rsidRPr="00394A09">
        <w:rPr>
          <w:rFonts w:ascii="Sylfaen" w:hAnsi="Sylfaen"/>
          <w:sz w:val="24"/>
          <w:szCs w:val="24"/>
        </w:rPr>
        <w:t xml:space="preserve">փոքր կտոր </w:t>
      </w:r>
      <w:r>
        <w:rPr>
          <w:rFonts w:ascii="Sylfaen" w:hAnsi="Sylfaen"/>
          <w:sz w:val="24"/>
          <w:szCs w:val="24"/>
        </w:rPr>
        <w:t>եւ</w:t>
      </w:r>
      <w:r w:rsidRPr="00394A09">
        <w:rPr>
          <w:rFonts w:ascii="Sylfaen" w:hAnsi="Sylfaen"/>
          <w:sz w:val="24"/>
          <w:szCs w:val="24"/>
        </w:rPr>
        <w:t xml:space="preserve"> թուղթը պահում այդ դիրքով՝ վեր</w:t>
      </w:r>
      <w:r>
        <w:rPr>
          <w:rFonts w:ascii="Sylfaen" w:hAnsi="Sylfaen"/>
          <w:sz w:val="24"/>
          <w:szCs w:val="24"/>
        </w:rPr>
        <w:t>եւ</w:t>
      </w:r>
      <w:r w:rsidRPr="00394A09">
        <w:rPr>
          <w:rFonts w:ascii="Sylfaen" w:hAnsi="Sylfaen"/>
          <w:sz w:val="24"/>
          <w:szCs w:val="24"/>
        </w:rPr>
        <w:t>ից տեղադրելով կշռման համար նախատեսված շրջված բյուքսը [ապակետուփը]: Ավտոկլավի մեջ 30 րոպե տաքացնում են (121 ±2) °C ջերմաստիճանի տակ: Թղթի վրա ցանկացած մուգ բիծ չպետք է ավելի ինտենսիվ լինի, քան նույն ձ</w:t>
      </w:r>
      <w:r>
        <w:rPr>
          <w:rFonts w:ascii="Sylfaen" w:hAnsi="Sylfaen"/>
          <w:sz w:val="24"/>
          <w:szCs w:val="24"/>
        </w:rPr>
        <w:t>եւ</w:t>
      </w:r>
      <w:r w:rsidRPr="00394A09">
        <w:rPr>
          <w:rFonts w:ascii="Sylfaen" w:hAnsi="Sylfaen"/>
          <w:sz w:val="24"/>
          <w:szCs w:val="24"/>
        </w:rPr>
        <w:t xml:space="preserve">ով 20 գ/լ </w:t>
      </w:r>
      <w:r w:rsidRPr="00394A09">
        <w:rPr>
          <w:rFonts w:ascii="Sylfaen" w:hAnsi="Sylfaen"/>
          <w:i/>
          <w:sz w:val="24"/>
          <w:szCs w:val="24"/>
        </w:rPr>
        <w:t>Ռ կիտրոնաթթվի</w:t>
      </w:r>
      <w:r w:rsidRPr="00394A09">
        <w:rPr>
          <w:rFonts w:ascii="Sylfaen" w:hAnsi="Sylfaen"/>
          <w:sz w:val="24"/>
          <w:szCs w:val="24"/>
        </w:rPr>
        <w:t xml:space="preserve"> լուծույթի 50 մլ-ի </w:t>
      </w:r>
      <w:r>
        <w:rPr>
          <w:rFonts w:ascii="Sylfaen" w:hAnsi="Sylfaen"/>
          <w:sz w:val="24"/>
          <w:szCs w:val="24"/>
        </w:rPr>
        <w:t>եւ</w:t>
      </w:r>
      <w:r w:rsidRPr="00394A09">
        <w:rPr>
          <w:rFonts w:ascii="Sylfaen" w:hAnsi="Sylfaen"/>
          <w:sz w:val="24"/>
          <w:szCs w:val="24"/>
        </w:rPr>
        <w:t xml:space="preserve"> </w:t>
      </w:r>
      <w:r w:rsidRPr="00394A09">
        <w:rPr>
          <w:rFonts w:ascii="Sylfaen" w:hAnsi="Sylfaen"/>
          <w:i/>
          <w:sz w:val="24"/>
          <w:szCs w:val="24"/>
        </w:rPr>
        <w:t>Ռ ջրի</w:t>
      </w:r>
      <w:r w:rsidRPr="00394A09">
        <w:rPr>
          <w:rFonts w:ascii="Sylfaen" w:hAnsi="Sylfaen"/>
          <w:sz w:val="24"/>
          <w:szCs w:val="24"/>
        </w:rPr>
        <w:t xml:space="preserve"> մեջ 0,0308 գ/լ </w:t>
      </w:r>
      <w:r w:rsidRPr="00394A09">
        <w:rPr>
          <w:rFonts w:ascii="Sylfaen" w:hAnsi="Sylfaen"/>
          <w:i/>
          <w:sz w:val="24"/>
          <w:szCs w:val="24"/>
        </w:rPr>
        <w:t>Ռ նատրիումի սուլֆիդի</w:t>
      </w:r>
      <w:r w:rsidRPr="00394A09">
        <w:rPr>
          <w:rFonts w:ascii="Sylfaen" w:hAnsi="Sylfaen"/>
          <w:sz w:val="24"/>
          <w:szCs w:val="24"/>
        </w:rPr>
        <w:t xml:space="preserve"> թարմ պատրաստված լուծույթի 5,0 մլ-ի խառնուրդից ստացված համեմատության լուծույթի բիծը:</w:t>
      </w:r>
    </w:p>
    <w:p w14:paraId="4125201A" w14:textId="77777777" w:rsidR="00AF2D51" w:rsidRPr="00394A09" w:rsidRDefault="00AF2D51" w:rsidP="00B75D79">
      <w:pPr>
        <w:pStyle w:val="a0"/>
        <w:shd w:val="clear" w:color="auto" w:fill="auto"/>
        <w:spacing w:after="160" w:line="360" w:lineRule="auto"/>
        <w:ind w:firstLine="567"/>
        <w:jc w:val="both"/>
        <w:rPr>
          <w:rFonts w:ascii="Sylfaen" w:hAnsi="Sylfaen" w:cs="Sylfaen"/>
          <w:sz w:val="24"/>
          <w:szCs w:val="24"/>
        </w:rPr>
      </w:pPr>
      <w:r w:rsidRPr="00394A09">
        <w:rPr>
          <w:rFonts w:ascii="Sylfaen" w:hAnsi="Sylfaen"/>
          <w:sz w:val="24"/>
          <w:szCs w:val="24"/>
        </w:rPr>
        <w:t xml:space="preserve">Թափանցելիության, հատվածայնության </w:t>
      </w:r>
      <w:r>
        <w:rPr>
          <w:rFonts w:ascii="Sylfaen" w:hAnsi="Sylfaen"/>
          <w:sz w:val="24"/>
          <w:szCs w:val="24"/>
        </w:rPr>
        <w:t>եւ</w:t>
      </w:r>
      <w:r w:rsidRPr="00394A09">
        <w:rPr>
          <w:rFonts w:ascii="Sylfaen" w:hAnsi="Sylfaen"/>
          <w:sz w:val="24"/>
          <w:szCs w:val="24"/>
        </w:rPr>
        <w:t xml:space="preserve"> ինքնահերմետիկացման (ինքնախցանման) փորձարկումներն անցկացվում են ամբողջական խցաններով:</w:t>
      </w:r>
    </w:p>
    <w:p w14:paraId="484D6042" w14:textId="77777777" w:rsidR="00AF2D51" w:rsidRPr="00394A09" w:rsidRDefault="00AF2D51" w:rsidP="00B75D79">
      <w:pPr>
        <w:pStyle w:val="a0"/>
        <w:shd w:val="clear" w:color="auto" w:fill="auto"/>
        <w:spacing w:after="160" w:line="360" w:lineRule="auto"/>
        <w:ind w:firstLine="567"/>
        <w:jc w:val="both"/>
        <w:rPr>
          <w:rFonts w:ascii="Sylfaen" w:hAnsi="Sylfaen" w:cs="Sylfaen"/>
          <w:sz w:val="24"/>
          <w:szCs w:val="24"/>
        </w:rPr>
      </w:pPr>
      <w:r w:rsidRPr="00394A09">
        <w:rPr>
          <w:rFonts w:ascii="Sylfaen" w:hAnsi="Sylfaen"/>
          <w:i/>
          <w:sz w:val="24"/>
          <w:szCs w:val="24"/>
        </w:rPr>
        <w:t xml:space="preserve">Թափանցելիության, հատվածայնության </w:t>
      </w:r>
      <w:r>
        <w:rPr>
          <w:rFonts w:ascii="Sylfaen" w:hAnsi="Sylfaen"/>
          <w:i/>
          <w:sz w:val="24"/>
          <w:szCs w:val="24"/>
        </w:rPr>
        <w:t>եւ</w:t>
      </w:r>
      <w:r w:rsidRPr="00394A09">
        <w:rPr>
          <w:rFonts w:ascii="Sylfaen" w:hAnsi="Sylfaen"/>
          <w:i/>
          <w:sz w:val="24"/>
          <w:szCs w:val="24"/>
        </w:rPr>
        <w:t xml:space="preserve"> ինքնահերմետիկացման (ինքնախցանման) փորձարկումների համար օգտագործում են Տ լուծույթի պատրաստման ցուցումներին համապատասխան մշակված, չմանրէազերծված չորացված խցանները:</w:t>
      </w:r>
      <w:r w:rsidRPr="00394A09">
        <w:rPr>
          <w:rFonts w:ascii="Sylfaen" w:hAnsi="Sylfaen"/>
          <w:sz w:val="24"/>
          <w:szCs w:val="24"/>
        </w:rPr>
        <w:t xml:space="preserve"> Ստոր</w:t>
      </w:r>
      <w:r>
        <w:rPr>
          <w:rFonts w:ascii="Sylfaen" w:hAnsi="Sylfaen"/>
          <w:sz w:val="24"/>
          <w:szCs w:val="24"/>
        </w:rPr>
        <w:t>եւ</w:t>
      </w:r>
      <w:r w:rsidRPr="00394A09">
        <w:rPr>
          <w:rFonts w:ascii="Sylfaen" w:hAnsi="Sylfaen"/>
          <w:sz w:val="24"/>
          <w:szCs w:val="24"/>
        </w:rPr>
        <w:t xml:space="preserve"> ներկայացված երեք փորձարկումների անցկացման համար խցանները ծակում են ասեղով՝ խցանների մակերեւույթին ուղղահայաց, առանց պտտելու, </w:t>
      </w:r>
      <w:r>
        <w:rPr>
          <w:rFonts w:ascii="Sylfaen" w:hAnsi="Sylfaen"/>
          <w:sz w:val="24"/>
          <w:szCs w:val="24"/>
        </w:rPr>
        <w:t>եւ</w:t>
      </w:r>
      <w:r w:rsidRPr="00394A09">
        <w:rPr>
          <w:rFonts w:ascii="Sylfaen" w:hAnsi="Sylfaen"/>
          <w:sz w:val="24"/>
          <w:szCs w:val="24"/>
        </w:rPr>
        <w:t xml:space="preserve"> յուրաքանչյուր խցանի համար օգտագործում են յուղած նոր հիպոդերմալ ասեղ՝ երկար հատվածքով (հատվածքի անկյունը՝ (12 ±2)°) </w:t>
      </w:r>
      <w:r>
        <w:rPr>
          <w:rFonts w:ascii="Sylfaen" w:hAnsi="Sylfaen"/>
          <w:sz w:val="24"/>
          <w:szCs w:val="24"/>
        </w:rPr>
        <w:t>եւ</w:t>
      </w:r>
      <w:r w:rsidRPr="00394A09">
        <w:rPr>
          <w:rFonts w:ascii="Sylfaen" w:hAnsi="Sylfaen"/>
          <w:sz w:val="24"/>
          <w:szCs w:val="24"/>
        </w:rPr>
        <w:t xml:space="preserve"> 0,8 մմ արտաքին տրամագծով:</w:t>
      </w:r>
    </w:p>
    <w:p w14:paraId="5B72A382" w14:textId="77777777" w:rsidR="00AF2D51" w:rsidRPr="00163838" w:rsidRDefault="00AF2D51" w:rsidP="00B75D79">
      <w:pPr>
        <w:pStyle w:val="a0"/>
        <w:shd w:val="clear" w:color="auto" w:fill="auto"/>
        <w:spacing w:after="160" w:line="360" w:lineRule="auto"/>
        <w:ind w:firstLine="567"/>
        <w:jc w:val="both"/>
        <w:rPr>
          <w:rFonts w:ascii="Sylfaen" w:hAnsi="Sylfaen"/>
          <w:sz w:val="24"/>
          <w:szCs w:val="24"/>
        </w:rPr>
      </w:pPr>
      <w:r w:rsidRPr="00394A09">
        <w:rPr>
          <w:rFonts w:ascii="Sylfaen" w:hAnsi="Sylfaen"/>
          <w:b/>
          <w:sz w:val="24"/>
          <w:szCs w:val="24"/>
        </w:rPr>
        <w:t xml:space="preserve">Թափանցելիությունը։ </w:t>
      </w:r>
      <w:r w:rsidRPr="00394A09">
        <w:rPr>
          <w:rFonts w:ascii="Sylfaen" w:hAnsi="Sylfaen"/>
          <w:sz w:val="24"/>
          <w:szCs w:val="24"/>
        </w:rPr>
        <w:t>Հիպոդերմալ ասեղով ծակման համար նախատեսված խցանների մասով անցկացնում են հետ</w:t>
      </w:r>
      <w:r>
        <w:rPr>
          <w:rFonts w:ascii="Sylfaen" w:hAnsi="Sylfaen"/>
          <w:sz w:val="24"/>
          <w:szCs w:val="24"/>
        </w:rPr>
        <w:t>եւ</w:t>
      </w:r>
      <w:r w:rsidRPr="00394A09">
        <w:rPr>
          <w:rFonts w:ascii="Sylfaen" w:hAnsi="Sylfaen"/>
          <w:sz w:val="24"/>
          <w:szCs w:val="24"/>
        </w:rPr>
        <w:t xml:space="preserve">յալ փորձարկումը. 10 համապատասխան սրվակները </w:t>
      </w:r>
      <w:r w:rsidRPr="00394A09">
        <w:rPr>
          <w:rFonts w:ascii="Sylfaen" w:hAnsi="Sylfaen"/>
          <w:i/>
          <w:sz w:val="24"/>
          <w:szCs w:val="24"/>
        </w:rPr>
        <w:t>Ռ ջրով</w:t>
      </w:r>
      <w:r w:rsidRPr="00394A09">
        <w:rPr>
          <w:rFonts w:ascii="Sylfaen" w:hAnsi="Sylfaen"/>
          <w:sz w:val="24"/>
          <w:szCs w:val="24"/>
        </w:rPr>
        <w:t xml:space="preserve"> լցնում են մինչ</w:t>
      </w:r>
      <w:r>
        <w:rPr>
          <w:rFonts w:ascii="Sylfaen" w:hAnsi="Sylfaen"/>
          <w:sz w:val="24"/>
          <w:szCs w:val="24"/>
        </w:rPr>
        <w:t>եւ</w:t>
      </w:r>
      <w:r w:rsidRPr="00394A09">
        <w:rPr>
          <w:rFonts w:ascii="Sylfaen" w:hAnsi="Sylfaen"/>
          <w:sz w:val="24"/>
          <w:szCs w:val="24"/>
        </w:rPr>
        <w:t xml:space="preserve"> նոմինալ ծավալը </w:t>
      </w:r>
      <w:r>
        <w:rPr>
          <w:rFonts w:ascii="Sylfaen" w:hAnsi="Sylfaen"/>
          <w:sz w:val="24"/>
          <w:szCs w:val="24"/>
        </w:rPr>
        <w:t>եւ</w:t>
      </w:r>
      <w:r w:rsidRPr="00394A09">
        <w:rPr>
          <w:rFonts w:ascii="Sylfaen" w:hAnsi="Sylfaen"/>
          <w:sz w:val="24"/>
          <w:szCs w:val="24"/>
        </w:rPr>
        <w:t xml:space="preserve"> փակում են փորձարկվող խցաններով: Մինչ</w:t>
      </w:r>
      <w:r>
        <w:rPr>
          <w:rFonts w:ascii="Sylfaen" w:hAnsi="Sylfaen"/>
          <w:sz w:val="24"/>
          <w:szCs w:val="24"/>
        </w:rPr>
        <w:t>եւ</w:t>
      </w:r>
      <w:r w:rsidRPr="00394A09">
        <w:rPr>
          <w:rFonts w:ascii="Sylfaen" w:hAnsi="Sylfaen"/>
          <w:sz w:val="24"/>
          <w:szCs w:val="24"/>
        </w:rPr>
        <w:t xml:space="preserve"> ±0,25 Н ճշգրտությամբ որոշված՝ ծակման համար անհրաժեշտ ուժը յուրաքանչյուր խցանի համար չպետք է գերազանցի 10Н-ը։</w:t>
      </w:r>
    </w:p>
    <w:p w14:paraId="57F7A2C5" w14:textId="77777777" w:rsidR="00AF2D51" w:rsidRPr="00394A09" w:rsidRDefault="00AF2D51" w:rsidP="00B75D79">
      <w:pPr>
        <w:pStyle w:val="a0"/>
        <w:shd w:val="clear" w:color="auto" w:fill="auto"/>
        <w:spacing w:after="160" w:line="360" w:lineRule="auto"/>
        <w:ind w:firstLine="567"/>
        <w:jc w:val="both"/>
        <w:rPr>
          <w:rFonts w:ascii="Sylfaen" w:hAnsi="Sylfaen" w:cs="Sylfaen"/>
          <w:sz w:val="24"/>
          <w:szCs w:val="24"/>
        </w:rPr>
      </w:pPr>
      <w:r w:rsidRPr="00394A09">
        <w:rPr>
          <w:rFonts w:ascii="Sylfaen" w:hAnsi="Sylfaen"/>
          <w:b/>
          <w:sz w:val="24"/>
          <w:szCs w:val="24"/>
        </w:rPr>
        <w:lastRenderedPageBreak/>
        <w:t xml:space="preserve">Հատվածայնություն։ </w:t>
      </w:r>
      <w:r w:rsidRPr="00394A09">
        <w:rPr>
          <w:rFonts w:ascii="Sylfaen" w:hAnsi="Sylfaen"/>
          <w:sz w:val="24"/>
          <w:szCs w:val="24"/>
        </w:rPr>
        <w:t>Հիպոդերմալ ասեղով ծակման համար նախատեսված խցանների մասով անցկացնում են հետ</w:t>
      </w:r>
      <w:r>
        <w:rPr>
          <w:rFonts w:ascii="Sylfaen" w:hAnsi="Sylfaen"/>
          <w:sz w:val="24"/>
          <w:szCs w:val="24"/>
        </w:rPr>
        <w:t>եւ</w:t>
      </w:r>
      <w:r w:rsidRPr="00394A09">
        <w:rPr>
          <w:rFonts w:ascii="Sylfaen" w:hAnsi="Sylfaen"/>
          <w:sz w:val="24"/>
          <w:szCs w:val="24"/>
        </w:rPr>
        <w:t xml:space="preserve">յալ փորձարկումը. եթե խցանները նախատեսված են դեղապատրաստուկների ջրային լուծույթների համար, ապա 12 մաքուր սրվակների մեջ ավելացնում են նոմինալ ծավալից 4 մլ-ով պակաս </w:t>
      </w:r>
      <w:r w:rsidRPr="00394A09">
        <w:rPr>
          <w:rFonts w:ascii="Sylfaen" w:hAnsi="Sylfaen"/>
          <w:i/>
          <w:sz w:val="24"/>
          <w:szCs w:val="24"/>
        </w:rPr>
        <w:t>Ռ ջրի</w:t>
      </w:r>
      <w:r w:rsidRPr="00394A09">
        <w:rPr>
          <w:rFonts w:ascii="Sylfaen" w:hAnsi="Sylfaen"/>
          <w:sz w:val="24"/>
          <w:szCs w:val="24"/>
        </w:rPr>
        <w:t xml:space="preserve"> ծավալը, սրվակները փակում են փորձարկվող խցաններով, ամրացնում թասակների օգնությամբ </w:t>
      </w:r>
      <w:r>
        <w:rPr>
          <w:rFonts w:ascii="Sylfaen" w:hAnsi="Sylfaen"/>
          <w:sz w:val="24"/>
          <w:szCs w:val="24"/>
        </w:rPr>
        <w:t>եւ</w:t>
      </w:r>
      <w:r w:rsidRPr="00394A09">
        <w:rPr>
          <w:rFonts w:ascii="Sylfaen" w:hAnsi="Sylfaen"/>
          <w:sz w:val="24"/>
          <w:szCs w:val="24"/>
        </w:rPr>
        <w:t xml:space="preserve"> պահում 16 ժամ: Եթե խցանները նախատեսված են չոր դեղապատրաստուկների համար, ապա 12 մաքուր սրվակները փակում են փորձարկվող խցաններով: Մաքուր ներարկիչի վրա ամրացնում են ասեղը, սրվակի մեջ ներմուծում </w:t>
      </w:r>
      <w:r w:rsidRPr="00394A09">
        <w:rPr>
          <w:rFonts w:ascii="Sylfaen" w:hAnsi="Sylfaen"/>
          <w:i/>
          <w:sz w:val="24"/>
          <w:szCs w:val="24"/>
        </w:rPr>
        <w:t>Ռ ջրի</w:t>
      </w:r>
      <w:r w:rsidRPr="00394A09">
        <w:rPr>
          <w:rFonts w:ascii="Sylfaen" w:hAnsi="Sylfaen"/>
          <w:sz w:val="24"/>
          <w:szCs w:val="24"/>
        </w:rPr>
        <w:t xml:space="preserve"> 1 մլ </w:t>
      </w:r>
      <w:r>
        <w:rPr>
          <w:rFonts w:ascii="Sylfaen" w:hAnsi="Sylfaen"/>
          <w:sz w:val="24"/>
          <w:szCs w:val="24"/>
        </w:rPr>
        <w:t>եւ</w:t>
      </w:r>
      <w:r w:rsidRPr="00394A09">
        <w:rPr>
          <w:rFonts w:ascii="Sylfaen" w:hAnsi="Sylfaen"/>
          <w:sz w:val="24"/>
          <w:szCs w:val="24"/>
        </w:rPr>
        <w:t xml:space="preserve"> հեռացնում օդի 1 մլ: Յուրաքանչյուր խցանի համար այս գործողությունը կատարում են </w:t>
      </w:r>
      <w:r>
        <w:rPr>
          <w:rFonts w:ascii="Sylfaen" w:hAnsi="Sylfaen"/>
          <w:sz w:val="24"/>
          <w:szCs w:val="24"/>
        </w:rPr>
        <w:t>եւ</w:t>
      </w:r>
      <w:r w:rsidRPr="00394A09">
        <w:rPr>
          <w:rFonts w:ascii="Sylfaen" w:hAnsi="Sylfaen"/>
          <w:sz w:val="24"/>
          <w:szCs w:val="24"/>
        </w:rPr>
        <w:t xml:space="preserve">ս 4 անգամ՝ ամեն անգամ ծակելով տարբեր հատվածներում: Յուրաքանչյուր խցանի համար նոր ասեղ են օգտագործում </w:t>
      </w:r>
      <w:r>
        <w:rPr>
          <w:rFonts w:ascii="Sylfaen" w:hAnsi="Sylfaen"/>
          <w:sz w:val="24"/>
          <w:szCs w:val="24"/>
        </w:rPr>
        <w:t>եւ</w:t>
      </w:r>
      <w:r w:rsidRPr="00394A09">
        <w:rPr>
          <w:rFonts w:ascii="Sylfaen" w:hAnsi="Sylfaen"/>
          <w:sz w:val="24"/>
          <w:szCs w:val="24"/>
        </w:rPr>
        <w:t xml:space="preserve"> ստուգում, որ ասեղը փորձարկման ընթացքում չբթանա: Սրվակում գտնվող հեղուկն անցկացնում են ծակոտիների 0,45 մկմ չափս ունեցող զտիչի միջով։ Հաշվում են անզեն աչքով տեսանելի ռետինի կտորների քանակը: Կտորների ընդհանուր քանակը չպետք է գերազանցի 5-ը։ Այս շեմը հիմնված է այն պայմանի վրա, որ անզեն աչքով տեսանելի են 50 մկմ-ին հավասար կամ ավելի մեծ չափսի կտորները. կասկածելի դեպքերում կտորներն ուսումնասիրում են մանրադիտակով՝ դրանց բնույթն ու չափսը ստուգելու նպատակով:</w:t>
      </w:r>
    </w:p>
    <w:p w14:paraId="522C32A9" w14:textId="77777777" w:rsidR="00B75D79" w:rsidRDefault="00AF2D51" w:rsidP="00B75D79">
      <w:pPr>
        <w:spacing w:after="160" w:line="360" w:lineRule="auto"/>
        <w:ind w:firstLine="567"/>
        <w:jc w:val="both"/>
      </w:pPr>
      <w:r w:rsidRPr="00394A09">
        <w:rPr>
          <w:b/>
        </w:rPr>
        <w:t xml:space="preserve">Ինքնահերմետիկացում (ինքնախցանում)։ </w:t>
      </w:r>
      <w:r w:rsidRPr="00394A09">
        <w:t>Բազմադեղաչափ փաթեթվածքներով օգտագործելու համար նախատեսված խցանների մասով անցկացնում են հետ</w:t>
      </w:r>
      <w:r>
        <w:t>եւ</w:t>
      </w:r>
      <w:r w:rsidRPr="00394A09">
        <w:t xml:space="preserve">յալ փորձարկումը. 10 համապատասխան սրվակները </w:t>
      </w:r>
      <w:r w:rsidRPr="00394A09">
        <w:rPr>
          <w:rFonts w:eastAsia="Times New Roman" w:cs="Times New Roman"/>
          <w:i/>
        </w:rPr>
        <w:t>Ռ ջրով</w:t>
      </w:r>
      <w:r w:rsidRPr="00394A09">
        <w:t xml:space="preserve"> լցնում են մինչ</w:t>
      </w:r>
      <w:r>
        <w:t>եւ</w:t>
      </w:r>
      <w:r w:rsidRPr="00394A09">
        <w:t xml:space="preserve"> նոմինալ ծավալը, փակում են փորձարկվող խցաններով </w:t>
      </w:r>
      <w:r>
        <w:t>եւ</w:t>
      </w:r>
      <w:r w:rsidRPr="00394A09">
        <w:t xml:space="preserve"> ամրացնում թասակներով: Յուրաքանչյուր խցան 10 անգամ ծակում են՝ յուրաքանչյուր անգամ այլ հատվածում: Սրվակներն ուղղահայաց ընկղմում են 1</w:t>
      </w:r>
      <w:r w:rsidRPr="00E63E3F">
        <w:t> </w:t>
      </w:r>
      <w:r w:rsidRPr="00394A09">
        <w:t xml:space="preserve">գ/լ </w:t>
      </w:r>
      <w:r w:rsidRPr="00394A09">
        <w:rPr>
          <w:rFonts w:eastAsia="Times New Roman" w:cs="Times New Roman"/>
          <w:i/>
        </w:rPr>
        <w:t>Ռ մեթիլենային կապույտի</w:t>
      </w:r>
      <w:r w:rsidRPr="00394A09">
        <w:t xml:space="preserve"> լուծույթի մեջ </w:t>
      </w:r>
      <w:r>
        <w:t>եւ</w:t>
      </w:r>
      <w:r w:rsidRPr="00394A09">
        <w:t xml:space="preserve"> արտաքին ճնշումը 10 րոպեների ընթացքում իջեցնում մինչ</w:t>
      </w:r>
      <w:r>
        <w:t>եւ</w:t>
      </w:r>
      <w:r w:rsidRPr="00394A09">
        <w:t xml:space="preserve"> 27 կՊա, հետո ճնշումը վերականգնում են մինչ</w:t>
      </w:r>
      <w:r>
        <w:t>եւ</w:t>
      </w:r>
      <w:r w:rsidRPr="00394A09">
        <w:t xml:space="preserve"> մթնոլորտային ճնշումը </w:t>
      </w:r>
      <w:r>
        <w:t>եւ</w:t>
      </w:r>
      <w:r w:rsidRPr="00394A09">
        <w:t xml:space="preserve"> սրվակները թողնում լուծույթի մեջ 30 րոպե. սրվակները լվանում են արտաքին կողմից: Ոչ մի սրվակ չպետք է պարունակի գունավորված լուծույթի որ</w:t>
      </w:r>
      <w:r>
        <w:t>եւ</w:t>
      </w:r>
      <w:r w:rsidRPr="00394A09">
        <w:t>է հետք:</w:t>
      </w:r>
    </w:p>
    <w:p w14:paraId="04A06819"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18C62D60"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05C76863"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4DFC4D65"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6331F4B4"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0E859581" w14:textId="77777777" w:rsidR="00134BE9" w:rsidRPr="00163838" w:rsidRDefault="00134BE9" w:rsidP="00134BE9">
      <w:pPr>
        <w:pStyle w:val="70"/>
        <w:shd w:val="clear" w:color="auto" w:fill="auto"/>
        <w:tabs>
          <w:tab w:val="left" w:pos="5954"/>
        </w:tabs>
        <w:spacing w:after="160" w:line="360" w:lineRule="auto"/>
        <w:ind w:firstLine="567"/>
        <w:rPr>
          <w:rFonts w:ascii="GHEA Grapalat" w:hAnsi="GHEA Grapalat"/>
          <w:sz w:val="24"/>
          <w:szCs w:val="24"/>
        </w:rPr>
      </w:pPr>
    </w:p>
    <w:p w14:paraId="35C52FDC" w14:textId="77777777" w:rsidR="00134BE9" w:rsidRPr="00DA21D0" w:rsidRDefault="00134BE9" w:rsidP="00134BE9">
      <w:pPr>
        <w:pStyle w:val="70"/>
        <w:shd w:val="clear" w:color="auto" w:fill="auto"/>
        <w:tabs>
          <w:tab w:val="left" w:pos="5954"/>
        </w:tabs>
        <w:spacing w:after="160" w:line="360" w:lineRule="auto"/>
        <w:ind w:firstLine="567"/>
        <w:rPr>
          <w:rFonts w:ascii="Sylfaen" w:hAnsi="Sylfaen" w:cs="Sylfaen"/>
          <w:sz w:val="24"/>
          <w:szCs w:val="24"/>
        </w:rPr>
      </w:pPr>
      <w:r w:rsidRPr="00DA21D0">
        <w:rPr>
          <w:rFonts w:ascii="Sylfaen" w:hAnsi="Sylfaen"/>
          <w:sz w:val="24"/>
          <w:szCs w:val="24"/>
        </w:rPr>
        <w:t>2.5. ԴԵՂԱՁԵՎԵՐԸ ԵՎ ԴԵՂԱՊԱՏՐԱՍՏՈՒԿՆԵՐԸ</w:t>
      </w:r>
    </w:p>
    <w:p w14:paraId="68C9D506" w14:textId="77777777" w:rsidR="00134BE9" w:rsidRPr="00DA21D0" w:rsidRDefault="00134BE9" w:rsidP="00134BE9">
      <w:r w:rsidRPr="00DA21D0">
        <w:br w:type="page"/>
      </w:r>
    </w:p>
    <w:p w14:paraId="21FE39AC" w14:textId="77777777" w:rsidR="00134BE9" w:rsidRPr="00DA21D0" w:rsidRDefault="00134BE9" w:rsidP="008D6E8B">
      <w:pPr>
        <w:spacing w:after="160" w:line="360" w:lineRule="auto"/>
        <w:jc w:val="center"/>
        <w:rPr>
          <w:b/>
        </w:rPr>
      </w:pPr>
      <w:r w:rsidRPr="00DA21D0">
        <w:rPr>
          <w:b/>
        </w:rPr>
        <w:lastRenderedPageBreak/>
        <w:t>2.5.1. ԴԵՂԱՁԵՎԵՐԸ</w:t>
      </w:r>
    </w:p>
    <w:p w14:paraId="30F743F1"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05010001-2022</w:t>
      </w:r>
    </w:p>
    <w:p w14:paraId="18F640D5" w14:textId="77777777" w:rsidR="00134BE9" w:rsidRPr="00DA21D0" w:rsidRDefault="00134BE9" w:rsidP="00134BE9">
      <w:pPr>
        <w:pStyle w:val="a0"/>
        <w:shd w:val="clear" w:color="auto" w:fill="auto"/>
        <w:spacing w:after="160" w:line="360" w:lineRule="auto"/>
        <w:ind w:firstLine="567"/>
        <w:jc w:val="right"/>
        <w:rPr>
          <w:rFonts w:ascii="Sylfaen" w:hAnsi="Sylfaen" w:cs="Sylfaen"/>
          <w:sz w:val="24"/>
          <w:szCs w:val="24"/>
        </w:rPr>
      </w:pPr>
    </w:p>
    <w:p w14:paraId="3A21DB69" w14:textId="77777777" w:rsidR="00134BE9" w:rsidRPr="00DA21D0" w:rsidRDefault="00134BE9" w:rsidP="008D6E8B">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w:t>
      </w:r>
      <w:r w:rsidRPr="00DA21D0">
        <w:rPr>
          <w:rFonts w:ascii="Sylfaen" w:hAnsi="Sylfaen"/>
          <w:b/>
          <w:sz w:val="24"/>
          <w:szCs w:val="24"/>
        </w:rPr>
        <w:tab/>
        <w:t>Դեղաձեւերը</w:t>
      </w:r>
    </w:p>
    <w:p w14:paraId="3FEB0F2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Սույն ընդհանուր դեղագրքային հոդվածը սահմանում է դեղապատրաստուկների դեղաձեւերի արտադրմանը, պատրաստմանը, որակի ցուցանիշներին եւ գնահատման մեթոդներին ներկայացվող ընդհանուր պահանջները։</w:t>
      </w:r>
    </w:p>
    <w:p w14:paraId="37B22ED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49BC448D"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ՀԻՄՆԱԿԱՆ ԵԶՐՈՒՅԹՆԵՐԸ ԵՎ ՍԱՀՄԱՆՈՒՄՆԵՐԸ</w:t>
      </w:r>
    </w:p>
    <w:p w14:paraId="569EA98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Սույն ընդհանուր դեղագրքային հոդվածում կիրառվող առանցքային եզրույթների սահմանումները նշված են 1-ին բաժնում։</w:t>
      </w:r>
      <w:r w:rsidRPr="00DA21D0">
        <w:rPr>
          <w:rFonts w:ascii="Sylfaen" w:hAnsi="Sylfaen"/>
          <w:i/>
          <w:sz w:val="24"/>
          <w:szCs w:val="24"/>
        </w:rPr>
        <w:t xml:space="preserve"> Ընդհանուր տեղեկությունները.</w:t>
      </w:r>
    </w:p>
    <w:p w14:paraId="1FDA140F" w14:textId="77777777" w:rsidR="00134BE9" w:rsidRPr="00DA21D0" w:rsidRDefault="00134BE9" w:rsidP="00134BE9">
      <w:pPr>
        <w:pStyle w:val="a0"/>
        <w:shd w:val="clear" w:color="auto" w:fill="auto"/>
        <w:spacing w:after="160" w:line="360" w:lineRule="auto"/>
        <w:ind w:firstLine="567"/>
        <w:jc w:val="both"/>
        <w:rPr>
          <w:rFonts w:ascii="Sylfaen" w:hAnsi="Sylfaen" w:cs="Sylfaen"/>
          <w:spacing w:val="-6"/>
          <w:sz w:val="24"/>
          <w:szCs w:val="24"/>
        </w:rPr>
      </w:pPr>
      <w:r w:rsidRPr="00DA21D0">
        <w:rPr>
          <w:rFonts w:ascii="Sylfaen" w:hAnsi="Sylfaen"/>
          <w:spacing w:val="-6"/>
          <w:sz w:val="24"/>
          <w:szCs w:val="24"/>
        </w:rPr>
        <w:t>Հիմքը կոնկրետ դեղաձեւի մեջ դեղապատրաստուկի պահանջվող ծավալը/զանգվածը եւ անհրաժեշտ ֆիզիկական բնութագրերն ապահովող, ազդող նյութի/նյութերի կրիչ համարվող օժանդակ նյութ կամ օժանդակ նյութերի խառնուրդ է։</w:t>
      </w:r>
    </w:p>
    <w:p w14:paraId="0C40348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Դիսպերս միջավայր՝</w:t>
      </w:r>
      <w:r w:rsidRPr="00DA21D0">
        <w:rPr>
          <w:rFonts w:ascii="Sylfaen" w:hAnsi="Sylfaen"/>
          <w:sz w:val="24"/>
          <w:szCs w:val="24"/>
        </w:rPr>
        <w:t xml:space="preserve"> անընդհատ ֆազ, որի ծավալում բաշխված է այլ (պինդ, հեղուկ կամ գազանման) դիսպերս ֆազ։ Դիսպերս ֆազը նաեւ կարող է ներկայացվել տարբեր միացությունների իոններով կամ մոլեկուլներով։</w:t>
      </w:r>
    </w:p>
    <w:p w14:paraId="162BF7E9" w14:textId="77777777" w:rsidR="00134BE9" w:rsidRPr="00DA21D0" w:rsidRDefault="00134BE9" w:rsidP="00134BE9">
      <w:pPr>
        <w:tabs>
          <w:tab w:val="left" w:pos="2568"/>
        </w:tabs>
        <w:spacing w:after="160" w:line="360" w:lineRule="auto"/>
        <w:ind w:firstLine="567"/>
        <w:jc w:val="both"/>
      </w:pPr>
      <w:r w:rsidRPr="00DA21D0">
        <w:rPr>
          <w:b/>
        </w:rPr>
        <w:t>Կայունություն՝</w:t>
      </w:r>
      <w:r w:rsidRPr="00DA21D0">
        <w:t xml:space="preserve"> դեղամիջոցի՝ պիտանիության ժամկետի ընթացքում որոշակի սահմաններում քիմիական, ֆիզիկական, մանրէաբանական, կենսադեղագործական եւ դեղաբանական հատկությունների պահպանման ունակություն։</w:t>
      </w:r>
    </w:p>
    <w:p w14:paraId="2FD2697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Կիրառման եղանակ (ներմուծման ուղի)՝</w:t>
      </w:r>
      <w:r w:rsidRPr="00DA21D0">
        <w:rPr>
          <w:rFonts w:ascii="Sylfaen" w:hAnsi="Sylfaen"/>
          <w:sz w:val="24"/>
          <w:szCs w:val="24"/>
        </w:rPr>
        <w:t xml:space="preserve"> դեղամիջոցի՝ մարդու կամ կենդանու օրգանիզմ հասցնելու եղանակը կամ ուղին։</w:t>
      </w:r>
    </w:p>
    <w:p w14:paraId="36246FB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Դեղապատրաստուկի դեղաչափը՝</w:t>
      </w:r>
      <w:r w:rsidRPr="00DA21D0">
        <w:rPr>
          <w:rFonts w:ascii="Sylfaen" w:hAnsi="Sylfaen"/>
          <w:sz w:val="24"/>
          <w:szCs w:val="24"/>
        </w:rPr>
        <w:t xml:space="preserve"> դեղաձեւին համապատասխան՝ դոզավորման, ծավալի կամ զանգվածի միավորով ազդող նյութերի քանակապես արտահայտված պարունակությունը, իսկ դեղաձեւերի որոշ տեսակների համար՝ ժամանակի միավորի ընթացքում դեղաձեւից ձերբազատվող ազդող նյութի քանակը։</w:t>
      </w:r>
    </w:p>
    <w:p w14:paraId="2EDF956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52727D68"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ԴԵՂԱՁԵՎԵՐԻ ԴԱՍԱԿԱՐԳՈՒՄԸ եւ ՑԱՆԿԸ</w:t>
      </w:r>
    </w:p>
    <w:p w14:paraId="0D41F07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Բոլոր դեղաձեւերը կարող են դասակարգվել ստորակարգությամբ՝ ըստ աղյուսակում նշված հետեւյալ հիմնական հատկանիշների՝ ագրեգատային վիճակ, դիսպերս համակարգի տեսակ, ներմուծման եւ կիրառման եղանակ, ձերբազատման տեսակ (աղյուսակ 2.5.1.1-1)։</w:t>
      </w:r>
    </w:p>
    <w:tbl>
      <w:tblPr>
        <w:tblW w:w="9702" w:type="dxa"/>
        <w:tblInd w:w="-284" w:type="dxa"/>
        <w:tblLayout w:type="fixed"/>
        <w:tblCellMar>
          <w:left w:w="0" w:type="dxa"/>
          <w:right w:w="0" w:type="dxa"/>
        </w:tblCellMar>
        <w:tblLook w:val="0000" w:firstRow="0" w:lastRow="0" w:firstColumn="0" w:lastColumn="0" w:noHBand="0" w:noVBand="0"/>
      </w:tblPr>
      <w:tblGrid>
        <w:gridCol w:w="1393"/>
        <w:gridCol w:w="1531"/>
        <w:gridCol w:w="518"/>
        <w:gridCol w:w="706"/>
        <w:gridCol w:w="336"/>
        <w:gridCol w:w="1056"/>
        <w:gridCol w:w="518"/>
        <w:gridCol w:w="826"/>
        <w:gridCol w:w="710"/>
        <w:gridCol w:w="106"/>
        <w:gridCol w:w="2002"/>
      </w:tblGrid>
      <w:tr w:rsidR="00134BE9" w:rsidRPr="00DA21D0" w14:paraId="108D8DF3" w14:textId="77777777" w:rsidTr="00163838">
        <w:trPr>
          <w:trHeight w:val="298"/>
        </w:trPr>
        <w:tc>
          <w:tcPr>
            <w:tcW w:w="9702" w:type="dxa"/>
            <w:gridSpan w:val="11"/>
            <w:tcBorders>
              <w:top w:val="nil"/>
              <w:left w:val="nil"/>
              <w:bottom w:val="nil"/>
              <w:right w:val="nil"/>
            </w:tcBorders>
            <w:shd w:val="clear" w:color="auto" w:fill="FFFFFF"/>
          </w:tcPr>
          <w:p w14:paraId="35B2344F" w14:textId="77777777" w:rsidR="00134BE9" w:rsidRPr="00DA21D0" w:rsidRDefault="00134BE9" w:rsidP="00163838">
            <w:pPr>
              <w:spacing w:after="120"/>
              <w:rPr>
                <w:rFonts w:eastAsia="Times New Roman" w:cs="Times New Roman"/>
                <w:sz w:val="20"/>
              </w:rPr>
            </w:pPr>
            <w:r w:rsidRPr="00DA21D0">
              <w:rPr>
                <w:sz w:val="20"/>
              </w:rPr>
              <w:t>Աղյուսակ 2.5.1.1-1. —</w:t>
            </w:r>
            <w:r w:rsidRPr="00DA21D0">
              <w:rPr>
                <w:i/>
                <w:sz w:val="20"/>
              </w:rPr>
              <w:t>Դեղաձեւերի դասակարգումը</w:t>
            </w:r>
          </w:p>
        </w:tc>
      </w:tr>
      <w:tr w:rsidR="00134BE9" w:rsidRPr="00DA21D0" w14:paraId="087F6075" w14:textId="77777777" w:rsidTr="00163838">
        <w:trPr>
          <w:trHeight w:val="350"/>
        </w:trPr>
        <w:tc>
          <w:tcPr>
            <w:tcW w:w="1393" w:type="dxa"/>
            <w:tcBorders>
              <w:top w:val="single" w:sz="4" w:space="0" w:color="auto"/>
              <w:left w:val="nil"/>
              <w:bottom w:val="nil"/>
              <w:right w:val="nil"/>
            </w:tcBorders>
            <w:shd w:val="clear" w:color="auto" w:fill="FFFFFF"/>
            <w:vAlign w:val="bottom"/>
          </w:tcPr>
          <w:p w14:paraId="218B4F30" w14:textId="77777777" w:rsidR="00134BE9" w:rsidRPr="00DA21D0" w:rsidRDefault="00134BE9" w:rsidP="00163838">
            <w:pPr>
              <w:spacing w:after="120"/>
              <w:jc w:val="center"/>
              <w:rPr>
                <w:rFonts w:eastAsia="Times New Roman" w:cs="Times New Roman"/>
                <w:sz w:val="20"/>
              </w:rPr>
            </w:pPr>
            <w:r w:rsidRPr="00DA21D0">
              <w:rPr>
                <w:sz w:val="20"/>
              </w:rPr>
              <w:t>Մակարդակը</w:t>
            </w:r>
          </w:p>
        </w:tc>
        <w:tc>
          <w:tcPr>
            <w:tcW w:w="8309" w:type="dxa"/>
            <w:gridSpan w:val="10"/>
            <w:tcBorders>
              <w:top w:val="single" w:sz="4" w:space="0" w:color="auto"/>
              <w:left w:val="single" w:sz="4" w:space="0" w:color="auto"/>
              <w:bottom w:val="nil"/>
              <w:right w:val="nil"/>
            </w:tcBorders>
            <w:shd w:val="clear" w:color="auto" w:fill="FFFFFF"/>
            <w:vAlign w:val="bottom"/>
          </w:tcPr>
          <w:p w14:paraId="7869A8D8" w14:textId="77777777" w:rsidR="00134BE9" w:rsidRPr="00DA21D0" w:rsidRDefault="00134BE9" w:rsidP="00163838">
            <w:pPr>
              <w:spacing w:after="120"/>
              <w:jc w:val="center"/>
              <w:rPr>
                <w:rFonts w:eastAsia="Times New Roman" w:cs="Times New Roman"/>
                <w:sz w:val="20"/>
              </w:rPr>
            </w:pPr>
            <w:r w:rsidRPr="00DA21D0">
              <w:rPr>
                <w:sz w:val="20"/>
              </w:rPr>
              <w:t>Դասակարգման հատկանիշը</w:t>
            </w:r>
          </w:p>
        </w:tc>
      </w:tr>
      <w:tr w:rsidR="00134BE9" w:rsidRPr="00DA21D0" w14:paraId="26E69C22" w14:textId="77777777" w:rsidTr="00163838">
        <w:trPr>
          <w:trHeight w:val="283"/>
        </w:trPr>
        <w:tc>
          <w:tcPr>
            <w:tcW w:w="1393" w:type="dxa"/>
            <w:tcBorders>
              <w:top w:val="single" w:sz="4" w:space="0" w:color="auto"/>
              <w:left w:val="nil"/>
              <w:bottom w:val="nil"/>
              <w:right w:val="nil"/>
            </w:tcBorders>
            <w:shd w:val="clear" w:color="auto" w:fill="FFFFFF"/>
            <w:vAlign w:val="center"/>
          </w:tcPr>
          <w:p w14:paraId="19A410E5" w14:textId="77777777" w:rsidR="00134BE9" w:rsidRPr="00DA21D0" w:rsidRDefault="00134BE9" w:rsidP="00163838">
            <w:pPr>
              <w:spacing w:after="120"/>
              <w:jc w:val="center"/>
              <w:rPr>
                <w:rFonts w:eastAsia="Times New Roman" w:cs="Times New Roman"/>
                <w:sz w:val="20"/>
              </w:rPr>
            </w:pPr>
            <w:r w:rsidRPr="00DA21D0">
              <w:rPr>
                <w:sz w:val="20"/>
              </w:rPr>
              <w:t>1</w:t>
            </w:r>
          </w:p>
        </w:tc>
        <w:tc>
          <w:tcPr>
            <w:tcW w:w="8309" w:type="dxa"/>
            <w:gridSpan w:val="10"/>
            <w:tcBorders>
              <w:top w:val="single" w:sz="4" w:space="0" w:color="auto"/>
              <w:left w:val="single" w:sz="4" w:space="0" w:color="auto"/>
              <w:bottom w:val="nil"/>
              <w:right w:val="nil"/>
            </w:tcBorders>
            <w:shd w:val="clear" w:color="auto" w:fill="FFFFFF"/>
            <w:vAlign w:val="center"/>
          </w:tcPr>
          <w:p w14:paraId="4628D0FF" w14:textId="77777777" w:rsidR="00134BE9" w:rsidRPr="00DA21D0" w:rsidRDefault="00134BE9" w:rsidP="00163838">
            <w:pPr>
              <w:spacing w:after="120"/>
              <w:jc w:val="center"/>
              <w:rPr>
                <w:rFonts w:eastAsia="Times New Roman" w:cs="Times New Roman"/>
                <w:sz w:val="20"/>
              </w:rPr>
            </w:pPr>
            <w:r w:rsidRPr="00DA21D0">
              <w:rPr>
                <w:b/>
                <w:i/>
                <w:sz w:val="20"/>
              </w:rPr>
              <w:t>Դեղաձեւեր՝ ըստ ագրեգատային վիճակի</w:t>
            </w:r>
          </w:p>
        </w:tc>
      </w:tr>
      <w:tr w:rsidR="00134BE9" w:rsidRPr="00DA21D0" w14:paraId="12B6B269" w14:textId="77777777" w:rsidTr="00163838">
        <w:trPr>
          <w:trHeight w:val="288"/>
        </w:trPr>
        <w:tc>
          <w:tcPr>
            <w:tcW w:w="1393" w:type="dxa"/>
            <w:tcBorders>
              <w:top w:val="single" w:sz="4" w:space="0" w:color="auto"/>
              <w:left w:val="nil"/>
              <w:bottom w:val="nil"/>
              <w:right w:val="nil"/>
            </w:tcBorders>
            <w:shd w:val="clear" w:color="auto" w:fill="FFFFFF"/>
          </w:tcPr>
          <w:p w14:paraId="7800817D" w14:textId="77777777" w:rsidR="00134BE9" w:rsidRPr="00DA21D0" w:rsidRDefault="00134BE9" w:rsidP="00163838">
            <w:pPr>
              <w:spacing w:after="120"/>
              <w:jc w:val="center"/>
              <w:rPr>
                <w:rFonts w:eastAsia="Times New Roman" w:cs="Times New Roman"/>
                <w:sz w:val="20"/>
              </w:rPr>
            </w:pPr>
          </w:p>
        </w:tc>
        <w:tc>
          <w:tcPr>
            <w:tcW w:w="2049" w:type="dxa"/>
            <w:gridSpan w:val="2"/>
            <w:tcBorders>
              <w:top w:val="single" w:sz="4" w:space="0" w:color="auto"/>
              <w:left w:val="single" w:sz="4" w:space="0" w:color="auto"/>
              <w:bottom w:val="nil"/>
              <w:right w:val="nil"/>
            </w:tcBorders>
            <w:shd w:val="clear" w:color="auto" w:fill="FFFFFF"/>
            <w:vAlign w:val="bottom"/>
          </w:tcPr>
          <w:p w14:paraId="4674A101" w14:textId="77777777" w:rsidR="00134BE9" w:rsidRPr="00DA21D0" w:rsidRDefault="00134BE9" w:rsidP="00163838">
            <w:pPr>
              <w:spacing w:after="120"/>
              <w:jc w:val="center"/>
              <w:rPr>
                <w:rFonts w:eastAsia="Times New Roman" w:cs="Times New Roman"/>
                <w:sz w:val="20"/>
              </w:rPr>
            </w:pPr>
            <w:r w:rsidRPr="00DA21D0">
              <w:rPr>
                <w:sz w:val="20"/>
              </w:rPr>
              <w:t>պինդ</w:t>
            </w:r>
          </w:p>
        </w:tc>
        <w:tc>
          <w:tcPr>
            <w:tcW w:w="2098" w:type="dxa"/>
            <w:gridSpan w:val="3"/>
            <w:tcBorders>
              <w:top w:val="single" w:sz="4" w:space="0" w:color="auto"/>
              <w:left w:val="single" w:sz="4" w:space="0" w:color="auto"/>
              <w:bottom w:val="nil"/>
              <w:right w:val="nil"/>
            </w:tcBorders>
            <w:shd w:val="clear" w:color="auto" w:fill="FFFFFF"/>
            <w:vAlign w:val="bottom"/>
          </w:tcPr>
          <w:p w14:paraId="0351824D" w14:textId="77777777" w:rsidR="00134BE9" w:rsidRPr="00DA21D0" w:rsidRDefault="00134BE9" w:rsidP="00163838">
            <w:pPr>
              <w:spacing w:after="120"/>
              <w:jc w:val="center"/>
              <w:rPr>
                <w:rFonts w:eastAsia="Times New Roman" w:cs="Times New Roman"/>
                <w:sz w:val="20"/>
              </w:rPr>
            </w:pPr>
            <w:r w:rsidRPr="00DA21D0">
              <w:rPr>
                <w:sz w:val="20"/>
              </w:rPr>
              <w:t>հեղուկ</w:t>
            </w:r>
          </w:p>
        </w:tc>
        <w:tc>
          <w:tcPr>
            <w:tcW w:w="2054" w:type="dxa"/>
            <w:gridSpan w:val="3"/>
            <w:tcBorders>
              <w:top w:val="single" w:sz="4" w:space="0" w:color="auto"/>
              <w:left w:val="single" w:sz="4" w:space="0" w:color="auto"/>
              <w:bottom w:val="nil"/>
              <w:right w:val="nil"/>
            </w:tcBorders>
            <w:shd w:val="clear" w:color="auto" w:fill="FFFFFF"/>
            <w:vAlign w:val="bottom"/>
          </w:tcPr>
          <w:p w14:paraId="69007CC4" w14:textId="77777777" w:rsidR="00134BE9" w:rsidRPr="00DA21D0" w:rsidRDefault="00134BE9" w:rsidP="00163838">
            <w:pPr>
              <w:spacing w:after="120"/>
              <w:jc w:val="center"/>
              <w:rPr>
                <w:rFonts w:eastAsia="Times New Roman" w:cs="Times New Roman"/>
                <w:sz w:val="20"/>
              </w:rPr>
            </w:pPr>
            <w:r w:rsidRPr="00DA21D0">
              <w:rPr>
                <w:sz w:val="20"/>
              </w:rPr>
              <w:t>փափուկ</w:t>
            </w:r>
          </w:p>
        </w:tc>
        <w:tc>
          <w:tcPr>
            <w:tcW w:w="2108" w:type="dxa"/>
            <w:gridSpan w:val="2"/>
            <w:tcBorders>
              <w:top w:val="single" w:sz="4" w:space="0" w:color="auto"/>
              <w:left w:val="single" w:sz="4" w:space="0" w:color="auto"/>
              <w:bottom w:val="nil"/>
              <w:right w:val="nil"/>
            </w:tcBorders>
            <w:shd w:val="clear" w:color="auto" w:fill="FFFFFF"/>
            <w:vAlign w:val="bottom"/>
          </w:tcPr>
          <w:p w14:paraId="52BF5F45" w14:textId="77777777" w:rsidR="00134BE9" w:rsidRPr="00DA21D0" w:rsidRDefault="00134BE9" w:rsidP="00163838">
            <w:pPr>
              <w:spacing w:after="120"/>
              <w:jc w:val="center"/>
              <w:rPr>
                <w:rFonts w:eastAsia="Times New Roman" w:cs="Times New Roman"/>
                <w:sz w:val="20"/>
              </w:rPr>
            </w:pPr>
            <w:r w:rsidRPr="00DA21D0">
              <w:rPr>
                <w:sz w:val="20"/>
              </w:rPr>
              <w:t>գազանման</w:t>
            </w:r>
          </w:p>
        </w:tc>
      </w:tr>
      <w:tr w:rsidR="00134BE9" w:rsidRPr="00DA21D0" w14:paraId="568DBB13" w14:textId="77777777" w:rsidTr="00163838">
        <w:trPr>
          <w:trHeight w:val="283"/>
        </w:trPr>
        <w:tc>
          <w:tcPr>
            <w:tcW w:w="1393" w:type="dxa"/>
            <w:vMerge w:val="restart"/>
            <w:tcBorders>
              <w:top w:val="single" w:sz="4" w:space="0" w:color="auto"/>
              <w:left w:val="nil"/>
              <w:bottom w:val="nil"/>
              <w:right w:val="nil"/>
            </w:tcBorders>
            <w:shd w:val="clear" w:color="auto" w:fill="FFFFFF"/>
            <w:vAlign w:val="center"/>
          </w:tcPr>
          <w:p w14:paraId="05E71F8B" w14:textId="77777777" w:rsidR="00134BE9" w:rsidRPr="00DA21D0" w:rsidRDefault="00134BE9" w:rsidP="00163838">
            <w:pPr>
              <w:spacing w:after="120"/>
              <w:jc w:val="center"/>
              <w:rPr>
                <w:rFonts w:eastAsia="Times New Roman" w:cs="Times New Roman"/>
                <w:sz w:val="20"/>
              </w:rPr>
            </w:pPr>
            <w:r w:rsidRPr="00DA21D0">
              <w:rPr>
                <w:sz w:val="20"/>
              </w:rPr>
              <w:t>2</w:t>
            </w:r>
          </w:p>
        </w:tc>
        <w:tc>
          <w:tcPr>
            <w:tcW w:w="8309" w:type="dxa"/>
            <w:gridSpan w:val="10"/>
            <w:tcBorders>
              <w:top w:val="single" w:sz="4" w:space="0" w:color="auto"/>
              <w:left w:val="single" w:sz="4" w:space="0" w:color="auto"/>
              <w:bottom w:val="nil"/>
              <w:right w:val="nil"/>
            </w:tcBorders>
            <w:shd w:val="clear" w:color="auto" w:fill="FFFFFF"/>
            <w:vAlign w:val="bottom"/>
          </w:tcPr>
          <w:p w14:paraId="0EB1D038" w14:textId="77777777" w:rsidR="00134BE9" w:rsidRPr="00DA21D0" w:rsidRDefault="00134BE9" w:rsidP="00163838">
            <w:pPr>
              <w:spacing w:after="120"/>
              <w:jc w:val="center"/>
              <w:rPr>
                <w:rFonts w:eastAsia="Times New Roman" w:cs="Times New Roman"/>
                <w:sz w:val="20"/>
              </w:rPr>
            </w:pPr>
            <w:r w:rsidRPr="00DA21D0">
              <w:rPr>
                <w:b/>
                <w:i/>
                <w:sz w:val="20"/>
              </w:rPr>
              <w:t>Դեղաձեւեր՝ ըստ դիսպերս համակարգի տեսակի</w:t>
            </w:r>
          </w:p>
        </w:tc>
      </w:tr>
      <w:tr w:rsidR="00134BE9" w:rsidRPr="00DA21D0" w14:paraId="1723B560" w14:textId="77777777" w:rsidTr="00163838">
        <w:trPr>
          <w:trHeight w:val="288"/>
        </w:trPr>
        <w:tc>
          <w:tcPr>
            <w:tcW w:w="1393" w:type="dxa"/>
            <w:vMerge/>
            <w:tcBorders>
              <w:top w:val="nil"/>
              <w:left w:val="nil"/>
              <w:bottom w:val="nil"/>
              <w:right w:val="nil"/>
            </w:tcBorders>
            <w:shd w:val="clear" w:color="auto" w:fill="FFFFFF"/>
            <w:vAlign w:val="center"/>
          </w:tcPr>
          <w:p w14:paraId="164EB3BA" w14:textId="77777777" w:rsidR="00134BE9" w:rsidRPr="00DA21D0" w:rsidRDefault="00134BE9" w:rsidP="00163838">
            <w:pPr>
              <w:spacing w:after="120"/>
              <w:jc w:val="center"/>
              <w:rPr>
                <w:rFonts w:eastAsia="Times New Roman" w:cs="Times New Roman"/>
                <w:sz w:val="20"/>
              </w:rPr>
            </w:pPr>
          </w:p>
        </w:tc>
        <w:tc>
          <w:tcPr>
            <w:tcW w:w="2755" w:type="dxa"/>
            <w:gridSpan w:val="3"/>
            <w:tcBorders>
              <w:top w:val="single" w:sz="4" w:space="0" w:color="auto"/>
              <w:left w:val="single" w:sz="4" w:space="0" w:color="auto"/>
              <w:bottom w:val="nil"/>
              <w:right w:val="nil"/>
            </w:tcBorders>
            <w:shd w:val="clear" w:color="auto" w:fill="FFFFFF"/>
            <w:vAlign w:val="bottom"/>
          </w:tcPr>
          <w:p w14:paraId="6451A8A8" w14:textId="77777777" w:rsidR="00134BE9" w:rsidRPr="00DA21D0" w:rsidRDefault="00134BE9" w:rsidP="00163838">
            <w:pPr>
              <w:spacing w:after="120"/>
              <w:jc w:val="center"/>
              <w:rPr>
                <w:rFonts w:eastAsia="Times New Roman" w:cs="Times New Roman"/>
                <w:sz w:val="20"/>
              </w:rPr>
            </w:pPr>
            <w:r w:rsidRPr="00DA21D0">
              <w:rPr>
                <w:sz w:val="20"/>
              </w:rPr>
              <w:t>համասեռ</w:t>
            </w:r>
          </w:p>
        </w:tc>
        <w:tc>
          <w:tcPr>
            <w:tcW w:w="2736" w:type="dxa"/>
            <w:gridSpan w:val="4"/>
            <w:tcBorders>
              <w:top w:val="single" w:sz="4" w:space="0" w:color="auto"/>
              <w:left w:val="single" w:sz="4" w:space="0" w:color="auto"/>
              <w:bottom w:val="nil"/>
              <w:right w:val="nil"/>
            </w:tcBorders>
            <w:shd w:val="clear" w:color="auto" w:fill="FFFFFF"/>
            <w:vAlign w:val="bottom"/>
          </w:tcPr>
          <w:p w14:paraId="2BC016D0" w14:textId="77777777" w:rsidR="00134BE9" w:rsidRPr="00DA21D0" w:rsidRDefault="00134BE9" w:rsidP="00163838">
            <w:pPr>
              <w:spacing w:after="120"/>
              <w:jc w:val="center"/>
              <w:rPr>
                <w:rFonts w:eastAsia="Times New Roman" w:cs="Times New Roman"/>
                <w:sz w:val="20"/>
              </w:rPr>
            </w:pPr>
            <w:r w:rsidRPr="00DA21D0">
              <w:rPr>
                <w:sz w:val="20"/>
              </w:rPr>
              <w:t>տարասեռ</w:t>
            </w:r>
          </w:p>
        </w:tc>
        <w:tc>
          <w:tcPr>
            <w:tcW w:w="2818" w:type="dxa"/>
            <w:gridSpan w:val="3"/>
            <w:tcBorders>
              <w:top w:val="single" w:sz="4" w:space="0" w:color="auto"/>
              <w:left w:val="single" w:sz="4" w:space="0" w:color="auto"/>
              <w:bottom w:val="nil"/>
              <w:right w:val="nil"/>
            </w:tcBorders>
            <w:shd w:val="clear" w:color="auto" w:fill="FFFFFF"/>
            <w:vAlign w:val="bottom"/>
          </w:tcPr>
          <w:p w14:paraId="033804FB" w14:textId="77777777" w:rsidR="00134BE9" w:rsidRPr="00DA21D0" w:rsidRDefault="00134BE9" w:rsidP="00163838">
            <w:pPr>
              <w:spacing w:after="120"/>
              <w:jc w:val="center"/>
              <w:rPr>
                <w:rFonts w:eastAsia="Times New Roman" w:cs="Times New Roman"/>
                <w:sz w:val="20"/>
              </w:rPr>
            </w:pPr>
            <w:r w:rsidRPr="00DA21D0">
              <w:rPr>
                <w:sz w:val="20"/>
              </w:rPr>
              <w:t>համակցված</w:t>
            </w:r>
          </w:p>
        </w:tc>
      </w:tr>
      <w:tr w:rsidR="00134BE9" w:rsidRPr="00DA21D0" w14:paraId="2171A9D6" w14:textId="77777777" w:rsidTr="00163838">
        <w:trPr>
          <w:trHeight w:val="283"/>
        </w:trPr>
        <w:tc>
          <w:tcPr>
            <w:tcW w:w="1393" w:type="dxa"/>
            <w:vMerge w:val="restart"/>
            <w:tcBorders>
              <w:top w:val="single" w:sz="4" w:space="0" w:color="auto"/>
              <w:left w:val="nil"/>
              <w:bottom w:val="nil"/>
              <w:right w:val="nil"/>
            </w:tcBorders>
            <w:shd w:val="clear" w:color="auto" w:fill="FFFFFF"/>
          </w:tcPr>
          <w:p w14:paraId="4FF1F373" w14:textId="77777777" w:rsidR="00134BE9" w:rsidRPr="00DA21D0" w:rsidRDefault="00134BE9" w:rsidP="00163838">
            <w:pPr>
              <w:spacing w:after="120"/>
              <w:jc w:val="center"/>
              <w:rPr>
                <w:rFonts w:eastAsia="Times New Roman" w:cs="Times New Roman"/>
                <w:sz w:val="20"/>
              </w:rPr>
            </w:pPr>
            <w:r w:rsidRPr="00DA21D0">
              <w:rPr>
                <w:sz w:val="20"/>
              </w:rPr>
              <w:t>3</w:t>
            </w:r>
          </w:p>
        </w:tc>
        <w:tc>
          <w:tcPr>
            <w:tcW w:w="8309" w:type="dxa"/>
            <w:gridSpan w:val="10"/>
            <w:tcBorders>
              <w:top w:val="single" w:sz="4" w:space="0" w:color="auto"/>
              <w:left w:val="single" w:sz="4" w:space="0" w:color="auto"/>
              <w:bottom w:val="nil"/>
              <w:right w:val="nil"/>
            </w:tcBorders>
            <w:shd w:val="clear" w:color="auto" w:fill="FFFFFF"/>
            <w:vAlign w:val="bottom"/>
          </w:tcPr>
          <w:p w14:paraId="10156FE0" w14:textId="77777777" w:rsidR="00134BE9" w:rsidRPr="00DA21D0" w:rsidRDefault="00134BE9" w:rsidP="00163838">
            <w:pPr>
              <w:spacing w:after="120"/>
              <w:jc w:val="center"/>
              <w:rPr>
                <w:rFonts w:eastAsia="Times New Roman" w:cs="Times New Roman"/>
                <w:sz w:val="20"/>
              </w:rPr>
            </w:pPr>
            <w:r w:rsidRPr="00DA21D0">
              <w:rPr>
                <w:b/>
                <w:i/>
                <w:sz w:val="20"/>
              </w:rPr>
              <w:t>Դեղաձեւեր՝ ըստ ներմուծման եւ կիրառման եղանակի/ուղու</w:t>
            </w:r>
          </w:p>
        </w:tc>
      </w:tr>
      <w:tr w:rsidR="00134BE9" w:rsidRPr="00DA21D0" w14:paraId="5BD005D5" w14:textId="77777777" w:rsidTr="00163838">
        <w:trPr>
          <w:trHeight w:val="490"/>
        </w:trPr>
        <w:tc>
          <w:tcPr>
            <w:tcW w:w="1393" w:type="dxa"/>
            <w:vMerge/>
            <w:tcBorders>
              <w:top w:val="nil"/>
              <w:left w:val="nil"/>
              <w:bottom w:val="nil"/>
              <w:right w:val="nil"/>
            </w:tcBorders>
            <w:shd w:val="clear" w:color="auto" w:fill="FFFFFF"/>
          </w:tcPr>
          <w:p w14:paraId="208D38D5" w14:textId="77777777" w:rsidR="00134BE9" w:rsidRPr="00DA21D0" w:rsidRDefault="00134BE9" w:rsidP="00163838">
            <w:pPr>
              <w:spacing w:after="120"/>
              <w:jc w:val="center"/>
              <w:rPr>
                <w:rFonts w:eastAsia="Times New Roman" w:cs="Times New Roman"/>
                <w:sz w:val="20"/>
              </w:rPr>
            </w:pPr>
          </w:p>
        </w:tc>
        <w:tc>
          <w:tcPr>
            <w:tcW w:w="1531" w:type="dxa"/>
            <w:tcBorders>
              <w:top w:val="single" w:sz="4" w:space="0" w:color="auto"/>
              <w:left w:val="single" w:sz="4" w:space="0" w:color="auto"/>
              <w:bottom w:val="nil"/>
              <w:right w:val="nil"/>
            </w:tcBorders>
            <w:shd w:val="clear" w:color="auto" w:fill="FFFFFF"/>
            <w:vAlign w:val="bottom"/>
          </w:tcPr>
          <w:p w14:paraId="64C9FECC" w14:textId="77777777" w:rsidR="00134BE9" w:rsidRPr="00DA21D0" w:rsidRDefault="00134BE9" w:rsidP="00163838">
            <w:pPr>
              <w:spacing w:after="120"/>
              <w:jc w:val="center"/>
              <w:rPr>
                <w:rFonts w:eastAsia="Times New Roman" w:cs="Times New Roman"/>
                <w:sz w:val="20"/>
              </w:rPr>
            </w:pPr>
            <w:r w:rsidRPr="00DA21D0">
              <w:rPr>
                <w:sz w:val="20"/>
              </w:rPr>
              <w:t>ներքին ընդունման</w:t>
            </w:r>
          </w:p>
        </w:tc>
        <w:tc>
          <w:tcPr>
            <w:tcW w:w="1560" w:type="dxa"/>
            <w:gridSpan w:val="3"/>
            <w:tcBorders>
              <w:top w:val="single" w:sz="4" w:space="0" w:color="auto"/>
              <w:left w:val="single" w:sz="4" w:space="0" w:color="auto"/>
              <w:bottom w:val="nil"/>
              <w:right w:val="nil"/>
            </w:tcBorders>
            <w:shd w:val="clear" w:color="auto" w:fill="FFFFFF"/>
            <w:vAlign w:val="bottom"/>
          </w:tcPr>
          <w:p w14:paraId="3440B386" w14:textId="77777777" w:rsidR="00134BE9" w:rsidRPr="00DA21D0" w:rsidRDefault="00134BE9" w:rsidP="00163838">
            <w:pPr>
              <w:spacing w:after="120"/>
              <w:jc w:val="center"/>
              <w:rPr>
                <w:rFonts w:eastAsia="Times New Roman" w:cs="Times New Roman"/>
                <w:sz w:val="20"/>
              </w:rPr>
            </w:pPr>
            <w:r w:rsidRPr="00DA21D0">
              <w:rPr>
                <w:sz w:val="20"/>
              </w:rPr>
              <w:t>արտաքին կիրառման</w:t>
            </w:r>
          </w:p>
        </w:tc>
        <w:tc>
          <w:tcPr>
            <w:tcW w:w="1574" w:type="dxa"/>
            <w:gridSpan w:val="2"/>
            <w:tcBorders>
              <w:top w:val="single" w:sz="4" w:space="0" w:color="auto"/>
              <w:left w:val="single" w:sz="4" w:space="0" w:color="auto"/>
              <w:bottom w:val="nil"/>
              <w:right w:val="nil"/>
            </w:tcBorders>
            <w:shd w:val="clear" w:color="auto" w:fill="FFFFFF"/>
            <w:vAlign w:val="bottom"/>
          </w:tcPr>
          <w:p w14:paraId="3133E63C" w14:textId="77777777" w:rsidR="00134BE9" w:rsidRPr="00DA21D0" w:rsidRDefault="00134BE9" w:rsidP="00163838">
            <w:pPr>
              <w:spacing w:after="120"/>
              <w:jc w:val="center"/>
              <w:rPr>
                <w:rFonts w:eastAsia="Times New Roman" w:cs="Times New Roman"/>
                <w:sz w:val="20"/>
              </w:rPr>
            </w:pPr>
            <w:r w:rsidRPr="00DA21D0">
              <w:rPr>
                <w:sz w:val="20"/>
              </w:rPr>
              <w:t>տեղային կիրառման</w:t>
            </w:r>
          </w:p>
        </w:tc>
        <w:tc>
          <w:tcPr>
            <w:tcW w:w="1642" w:type="dxa"/>
            <w:gridSpan w:val="3"/>
            <w:tcBorders>
              <w:top w:val="single" w:sz="4" w:space="0" w:color="auto"/>
              <w:left w:val="single" w:sz="4" w:space="0" w:color="auto"/>
              <w:bottom w:val="nil"/>
              <w:right w:val="nil"/>
            </w:tcBorders>
            <w:shd w:val="clear" w:color="auto" w:fill="FFFFFF"/>
            <w:vAlign w:val="bottom"/>
          </w:tcPr>
          <w:p w14:paraId="2F145B5F" w14:textId="77777777" w:rsidR="00134BE9" w:rsidRPr="00DA21D0" w:rsidRDefault="00134BE9" w:rsidP="00163838">
            <w:pPr>
              <w:spacing w:after="120"/>
              <w:jc w:val="center"/>
              <w:rPr>
                <w:rFonts w:eastAsia="Times New Roman" w:cs="Times New Roman"/>
                <w:sz w:val="20"/>
              </w:rPr>
            </w:pPr>
            <w:r w:rsidRPr="00DA21D0">
              <w:rPr>
                <w:i/>
                <w:sz w:val="20"/>
              </w:rPr>
              <w:t>հարմարսողական կիրառման</w:t>
            </w:r>
          </w:p>
        </w:tc>
        <w:tc>
          <w:tcPr>
            <w:tcW w:w="2002" w:type="dxa"/>
            <w:tcBorders>
              <w:top w:val="single" w:sz="4" w:space="0" w:color="auto"/>
              <w:left w:val="single" w:sz="4" w:space="0" w:color="auto"/>
              <w:bottom w:val="nil"/>
              <w:right w:val="nil"/>
            </w:tcBorders>
            <w:shd w:val="clear" w:color="auto" w:fill="FFFFFF"/>
            <w:vAlign w:val="bottom"/>
          </w:tcPr>
          <w:p w14:paraId="3B02219B" w14:textId="77777777" w:rsidR="00134BE9" w:rsidRPr="00DA21D0" w:rsidRDefault="00134BE9" w:rsidP="00163838">
            <w:pPr>
              <w:spacing w:after="120"/>
              <w:jc w:val="center"/>
              <w:rPr>
                <w:rFonts w:eastAsia="Times New Roman" w:cs="Times New Roman"/>
                <w:sz w:val="20"/>
              </w:rPr>
            </w:pPr>
            <w:r w:rsidRPr="00DA21D0">
              <w:rPr>
                <w:sz w:val="20"/>
              </w:rPr>
              <w:t>ինհալացիոն կիրառման</w:t>
            </w:r>
          </w:p>
        </w:tc>
      </w:tr>
      <w:tr w:rsidR="00134BE9" w:rsidRPr="00DA21D0" w14:paraId="26F1F2BA" w14:textId="77777777" w:rsidTr="00163838">
        <w:trPr>
          <w:trHeight w:val="288"/>
        </w:trPr>
        <w:tc>
          <w:tcPr>
            <w:tcW w:w="1393" w:type="dxa"/>
            <w:vMerge w:val="restart"/>
            <w:tcBorders>
              <w:top w:val="single" w:sz="4" w:space="0" w:color="auto"/>
              <w:left w:val="nil"/>
              <w:bottom w:val="nil"/>
              <w:right w:val="nil"/>
            </w:tcBorders>
            <w:shd w:val="clear" w:color="auto" w:fill="FFFFFF"/>
          </w:tcPr>
          <w:p w14:paraId="567CA401" w14:textId="77777777" w:rsidR="00134BE9" w:rsidRPr="00DA21D0" w:rsidRDefault="00134BE9" w:rsidP="00163838">
            <w:pPr>
              <w:spacing w:after="120"/>
              <w:jc w:val="center"/>
              <w:rPr>
                <w:rFonts w:eastAsia="Times New Roman" w:cs="Times New Roman"/>
                <w:sz w:val="20"/>
              </w:rPr>
            </w:pPr>
            <w:r w:rsidRPr="00DA21D0">
              <w:rPr>
                <w:sz w:val="20"/>
              </w:rPr>
              <w:t>4</w:t>
            </w:r>
          </w:p>
        </w:tc>
        <w:tc>
          <w:tcPr>
            <w:tcW w:w="8309" w:type="dxa"/>
            <w:gridSpan w:val="10"/>
            <w:tcBorders>
              <w:top w:val="single" w:sz="4" w:space="0" w:color="auto"/>
              <w:left w:val="single" w:sz="4" w:space="0" w:color="auto"/>
              <w:bottom w:val="nil"/>
              <w:right w:val="nil"/>
            </w:tcBorders>
            <w:shd w:val="clear" w:color="auto" w:fill="FFFFFF"/>
            <w:vAlign w:val="bottom"/>
          </w:tcPr>
          <w:p w14:paraId="06AC9C39" w14:textId="77777777" w:rsidR="00134BE9" w:rsidRPr="00DA21D0" w:rsidRDefault="00134BE9" w:rsidP="00163838">
            <w:pPr>
              <w:spacing w:after="120"/>
              <w:jc w:val="center"/>
              <w:rPr>
                <w:rFonts w:eastAsia="Times New Roman" w:cs="Times New Roman"/>
                <w:sz w:val="20"/>
              </w:rPr>
            </w:pPr>
            <w:r w:rsidRPr="00DA21D0">
              <w:rPr>
                <w:b/>
                <w:i/>
                <w:sz w:val="20"/>
              </w:rPr>
              <w:t>Դեղաձեւեր՝ ըստ ձերբազատման տեսակի</w:t>
            </w:r>
          </w:p>
        </w:tc>
      </w:tr>
      <w:tr w:rsidR="00134BE9" w:rsidRPr="00DA21D0" w14:paraId="7A0D5022" w14:textId="77777777" w:rsidTr="00163838">
        <w:trPr>
          <w:trHeight w:val="293"/>
        </w:trPr>
        <w:tc>
          <w:tcPr>
            <w:tcW w:w="1393" w:type="dxa"/>
            <w:vMerge/>
            <w:tcBorders>
              <w:top w:val="nil"/>
              <w:left w:val="nil"/>
              <w:bottom w:val="single" w:sz="4" w:space="0" w:color="auto"/>
              <w:right w:val="nil"/>
            </w:tcBorders>
            <w:shd w:val="clear" w:color="auto" w:fill="FFFFFF"/>
          </w:tcPr>
          <w:p w14:paraId="2AF99001" w14:textId="77777777" w:rsidR="00134BE9" w:rsidRPr="00DA21D0" w:rsidRDefault="00134BE9" w:rsidP="00163838">
            <w:pPr>
              <w:spacing w:after="120"/>
              <w:jc w:val="center"/>
              <w:rPr>
                <w:rFonts w:eastAsia="Times New Roman" w:cs="Times New Roman"/>
                <w:sz w:val="20"/>
              </w:rPr>
            </w:pPr>
          </w:p>
        </w:tc>
        <w:tc>
          <w:tcPr>
            <w:tcW w:w="4147" w:type="dxa"/>
            <w:gridSpan w:val="5"/>
            <w:tcBorders>
              <w:top w:val="single" w:sz="4" w:space="0" w:color="auto"/>
              <w:left w:val="single" w:sz="4" w:space="0" w:color="auto"/>
              <w:bottom w:val="single" w:sz="4" w:space="0" w:color="auto"/>
              <w:right w:val="nil"/>
            </w:tcBorders>
            <w:shd w:val="clear" w:color="auto" w:fill="FFFFFF"/>
            <w:vAlign w:val="bottom"/>
          </w:tcPr>
          <w:p w14:paraId="43164650" w14:textId="77777777" w:rsidR="00134BE9" w:rsidRPr="00DA21D0" w:rsidRDefault="00134BE9" w:rsidP="00163838">
            <w:pPr>
              <w:spacing w:after="120"/>
              <w:jc w:val="center"/>
              <w:rPr>
                <w:rFonts w:eastAsia="Times New Roman" w:cs="Times New Roman"/>
                <w:sz w:val="20"/>
              </w:rPr>
            </w:pPr>
            <w:r w:rsidRPr="00DA21D0">
              <w:rPr>
                <w:sz w:val="20"/>
              </w:rPr>
              <w:t>սովորական ձերբազատմամբ</w:t>
            </w:r>
          </w:p>
        </w:tc>
        <w:tc>
          <w:tcPr>
            <w:tcW w:w="4162" w:type="dxa"/>
            <w:gridSpan w:val="5"/>
            <w:tcBorders>
              <w:top w:val="single" w:sz="4" w:space="0" w:color="auto"/>
              <w:left w:val="single" w:sz="4" w:space="0" w:color="auto"/>
              <w:bottom w:val="single" w:sz="4" w:space="0" w:color="auto"/>
              <w:right w:val="nil"/>
            </w:tcBorders>
            <w:shd w:val="clear" w:color="auto" w:fill="FFFFFF"/>
            <w:vAlign w:val="bottom"/>
          </w:tcPr>
          <w:p w14:paraId="48943DA2" w14:textId="77777777" w:rsidR="00134BE9" w:rsidRPr="00DA21D0" w:rsidRDefault="00134BE9" w:rsidP="00163838">
            <w:pPr>
              <w:spacing w:after="120"/>
              <w:jc w:val="center"/>
              <w:rPr>
                <w:rFonts w:eastAsia="Times New Roman" w:cs="Times New Roman"/>
                <w:sz w:val="20"/>
              </w:rPr>
            </w:pPr>
            <w:r w:rsidRPr="00DA21D0">
              <w:rPr>
                <w:sz w:val="20"/>
              </w:rPr>
              <w:t>մոդիֆիկացված ձերբազատմամբ</w:t>
            </w:r>
          </w:p>
        </w:tc>
      </w:tr>
    </w:tbl>
    <w:p w14:paraId="6BC811D9" w14:textId="77777777" w:rsidR="00134BE9" w:rsidRPr="00DA21D0" w:rsidRDefault="00134BE9" w:rsidP="00B867ED">
      <w:pPr>
        <w:pStyle w:val="a0"/>
        <w:shd w:val="clear" w:color="auto" w:fill="auto"/>
        <w:spacing w:after="160" w:line="360" w:lineRule="auto"/>
        <w:ind w:firstLine="567"/>
        <w:jc w:val="both"/>
        <w:rPr>
          <w:rFonts w:ascii="Sylfaen" w:hAnsi="Sylfaen" w:cs="Sylfaen"/>
          <w:sz w:val="24"/>
          <w:szCs w:val="24"/>
        </w:rPr>
      </w:pPr>
    </w:p>
    <w:p w14:paraId="7561A871" w14:textId="77777777" w:rsidR="00134BE9" w:rsidRPr="003A4194" w:rsidRDefault="00134BE9" w:rsidP="00B867ED">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Պինդ դեղաձեւերի շարքին են դասվում դեղահաբերը, դեղապատիճները, փոշիները, գրանուլները, դրաժեները, պաստեղները, լիոֆիլիզատները, ներպատվաստները, դեղամատիտները, վիրախծուծները, բուսահավաքանիները, թաղանթենիները, չոր հանուկները եւ այլն։</w:t>
      </w:r>
    </w:p>
    <w:p w14:paraId="3E87E592" w14:textId="77777777" w:rsidR="00134BE9" w:rsidRPr="00DA21D0" w:rsidRDefault="00134BE9" w:rsidP="00B867ED">
      <w:pPr>
        <w:pStyle w:val="a0"/>
        <w:shd w:val="clear" w:color="auto" w:fill="auto"/>
        <w:spacing w:after="160" w:line="360" w:lineRule="auto"/>
        <w:ind w:firstLine="567"/>
        <w:jc w:val="both"/>
        <w:rPr>
          <w:rFonts w:ascii="Sylfaen" w:hAnsi="Sylfaen" w:cs="Sylfaen"/>
          <w:spacing w:val="-4"/>
          <w:sz w:val="24"/>
          <w:szCs w:val="24"/>
        </w:rPr>
      </w:pPr>
      <w:r w:rsidRPr="00DA21D0">
        <w:rPr>
          <w:rFonts w:ascii="Sylfaen" w:hAnsi="Sylfaen"/>
          <w:spacing w:val="-4"/>
          <w:sz w:val="24"/>
          <w:szCs w:val="24"/>
        </w:rPr>
        <w:t xml:space="preserve">Հեղուկ դեղաձեւերի շարքին են դասվում լուծույթները, կաթիլները, օշարակները, դեղակախույթները, էմուլսիաները, հեղուկ լուծամզվածքները, </w:t>
      </w:r>
      <w:r w:rsidRPr="00DA21D0">
        <w:rPr>
          <w:rFonts w:ascii="Sylfaen" w:hAnsi="Sylfaen"/>
          <w:spacing w:val="-4"/>
          <w:sz w:val="24"/>
          <w:szCs w:val="24"/>
        </w:rPr>
        <w:lastRenderedPageBreak/>
        <w:t>ոգեթուրմերը, բուժահեղուկները, օճառահեղուկները, ջրաթուրմերը, եփուկները եւ այլն։</w:t>
      </w:r>
    </w:p>
    <w:p w14:paraId="7E7EE8E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Փափուկ դեղաձեւերի շարքին են դասվում քսուքները, նրբաքսուքները, դոնդողները, հեղուկաքսուքները, մածուկները, թանձր լուծամզվածքները եւ այլն։</w:t>
      </w:r>
    </w:p>
    <w:p w14:paraId="65B8ED95" w14:textId="77777777" w:rsidR="00134BE9" w:rsidRPr="00DA21D0" w:rsidRDefault="00134BE9" w:rsidP="00134BE9">
      <w:pPr>
        <w:tabs>
          <w:tab w:val="left" w:pos="2568"/>
        </w:tabs>
        <w:spacing w:after="160" w:line="360" w:lineRule="auto"/>
        <w:ind w:firstLine="567"/>
        <w:jc w:val="both"/>
      </w:pPr>
      <w:r w:rsidRPr="00DA21D0">
        <w:t>Գազանման դեղաձեւերի շարքին են դասվում բժշկական գազերը, աերոզոլները եւ այլն։</w:t>
      </w:r>
    </w:p>
    <w:p w14:paraId="027F521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դիսպերս համակարգի տեսակի՝ դեղաձեւերը կարող են լինել համասեռ, տարասեռ եւ համակցված։</w:t>
      </w:r>
    </w:p>
    <w:p w14:paraId="697BD6A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«Համասեռ դիսպերս համակարգ»՝ դիսպերս համակարգի տեսակ, որում բացակայում է դիսպերս ֆազի եւ դիսպերս համակարգի միջեւ ֆազերի բաժանման մակերեւույթը (իրական լուծույթներ, բարձրամոլեկուլային միացությունների լուծույթներ, քսուք-համաձուլվածքներ եւ այլն)։</w:t>
      </w:r>
    </w:p>
    <w:p w14:paraId="4EE5956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«Տարասեռ դիսպերս համակարգ»՝ դիսպերս համակարգի տեսակ, որում առկա է դիսպերս ֆազի եւ դիսպերս համակարգի միջեւ ֆազերի բաժանման մակերեւույթը (դեղակախ</w:t>
      </w:r>
      <w:r w:rsidRPr="00DA21D0">
        <w:rPr>
          <w:rFonts w:ascii="Sylfaen" w:hAnsi="Sylfaen"/>
          <w:sz w:val="24"/>
          <w:szCs w:val="24"/>
        </w:rPr>
        <w:t>ույթները, էմուլսիաները եւ այլն)։</w:t>
      </w:r>
    </w:p>
    <w:p w14:paraId="58A1D37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Համակցված դիսպերս համակարգ՝ դիսպերս համակարգի տեսակ, որը բաղկացած է ինչպես համասեռ, այնպես էլ տարասեռ դիսպերս համակարգերից։</w:t>
      </w:r>
    </w:p>
    <w:p w14:paraId="533A0213"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pacing w:val="-6"/>
          <w:sz w:val="24"/>
          <w:szCs w:val="24"/>
        </w:rPr>
        <w:t>Ըստ կիրառման եղանակի եւ ներմուծման ուղու՝ դեղաձեւերը դասակարգվում են այնպիսի հիմնական խմբերի, ինչպիսիք են ներքին ընդունման, արտաքին կիրառման, տեղային կիրառման, հարմարսողական կիրառման, ինհալացիոն կիրառման,</w:t>
      </w:r>
      <w:r w:rsidRPr="00DA21D0">
        <w:rPr>
          <w:rFonts w:ascii="Sylfaen" w:hAnsi="Sylfaen"/>
          <w:sz w:val="24"/>
          <w:szCs w:val="24"/>
        </w:rPr>
        <w:t xml:space="preserve"> բացի այդ, կարող են առանձնացվել տրանսդերմալ (անդրմաշկային) կիրառման դեղաձեւերը։ Նշված խմբերից յուրաքանչյուրն անհրաժեշտության դեպքում կարող է ունենալ ենթախմբեր։</w:t>
      </w:r>
    </w:p>
    <w:p w14:paraId="736E732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Դեղաձեւերը կարող են նախատեսված լինել մարդու կամ կենդանու օրգանիզմի վրա տեղային եւ (կամ) համակարգային ազդեցություն գործելու համար։</w:t>
      </w:r>
    </w:p>
    <w:p w14:paraId="6F45BB92"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lastRenderedPageBreak/>
        <w:t>Ըստ ձերբազատման տեսակի՝ դեղաձեւերը կարող են ունենալ սովորական եւ մոդիֆիկացված ձերբազատում։</w:t>
      </w:r>
    </w:p>
    <w:p w14:paraId="6139C6A6"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«Սովորական (ստանդարտ) ձերբազատմամբ դեղաձեւ»՝ հատուկ բաղադրության եւ (կամ) արտադրման տեխնոլոգիայի մշակման եղանակով նպատակաուղղված կերպով չմոդիֆիկացված ազդող նյութի/նյութերի ձերբազատմամբ դեղաձեւ։ Պինդ դեղաձեւի դեպքում ակտիվ նյութի լուծվելու ուղղվածությունը մեծամասամբ պայմանավորված է իրեն բնորոշ հատկություններով։</w:t>
      </w:r>
    </w:p>
    <w:p w14:paraId="0086BCD4"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«Մոդիֆիկացված ձերբազատմամբ դեղաձեւ»՝ դեղաձեւ, որի ազդող նյութի/նյութերի ձերբազատման արագությունը եւ (կամ) տեղը տարբերվում են նույն ներմուծման ուղու դեպքում սովորական (ստանդարտ) ձերբազատմամբ դեղաձեւից։ Տվյալ ձերբազատման մոդիֆիկացմանը հասնում են արտադրության հատուկ բաղադրության եւ (կամ) տեխնոլոգիայի մշակման եղանակով։</w:t>
      </w:r>
    </w:p>
    <w:p w14:paraId="4C06C16B"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Մոդիֆիկացված (ոչ ստանդարտ) ձերբազատումը կարող է լինել դանդաղ անընդհատ (երկարատեւ), ընդհատվող (պարբերական), հետաձգված եւ արագացված։ Մոդիֆիկացված ձերբազատմանը հասնում են արտադրության հատուկ բաղադրության եւ (կամ) տեխնոլոգիայի մշակման եղանակով։</w:t>
      </w:r>
    </w:p>
    <w:p w14:paraId="3A370CC0"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«Երկարատեւ ձերբազատմամբ դեղաձեւ»՝ մոդիֆիկացված ձերբազատմամբ դեղաձեւ, որը ներմուծման նույն ուղու դեպքում սովորական (ստանդարտ) ձերբազատմամբ դեղաձեւի համեմատ բնութագրվում է ազդող նյութի (նյութերի) ավելի դանդաղ ձերբազատմամբ։</w:t>
      </w:r>
    </w:p>
    <w:p w14:paraId="6CF0EFBF"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«Հետաձգված (ուշացած) ձերբազատմամբ դեղաձեւ»՝ մոդիֆիկացված ձերբազատմամբ դեղաձեւ, որպես կանոն, ներքին ընդունման, որի ազդող նյութի (նյութերի) ձերբազատումն սկսվում է նշված ժամի կամ աղեստամոքսային տրակտի նշված տեղում։</w:t>
      </w:r>
    </w:p>
    <w:p w14:paraId="722A75F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«Պարբերական ձերբազատմամբ դեղաձեւ»՝ մոդիֆիկացված ձերբազատմամբ դեղաձեւ, որը բնութագրվում է ազդող նյութի (նյութերի) հաջորդական ընդհատվող ձերբազատմամբ։</w:t>
      </w:r>
    </w:p>
    <w:p w14:paraId="61FC36B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lastRenderedPageBreak/>
        <w:t>Ըստ կիրառման համար պատրաստ լինելու՝ առանձնացնում են դեղաձեւերի մի խումբ, որոնք պահանջվում է անմիջական կիրառման (ներմուծման) համար նախատեսված՝ վերականգնված կամ նոսրացված դեղաձեւեր պատրաստելու նպատակով նախքան կիրառումը լրացուցիչ փոխակերպել</w:t>
      </w:r>
      <w:r w:rsidRPr="00DA21D0" w:rsidDel="00736406">
        <w:rPr>
          <w:rFonts w:ascii="Sylfaen" w:hAnsi="Sylfaen"/>
          <w:sz w:val="24"/>
          <w:szCs w:val="24"/>
        </w:rPr>
        <w:t xml:space="preserve"> </w:t>
      </w:r>
      <w:r w:rsidRPr="00DA21D0">
        <w:rPr>
          <w:rFonts w:ascii="Sylfaen" w:hAnsi="Sylfaen"/>
          <w:sz w:val="24"/>
          <w:szCs w:val="24"/>
        </w:rPr>
        <w:t>համապատասխան լուծիչի մեջ լուծման կամ դիսպերսման միջոցով։</w:t>
      </w:r>
    </w:p>
    <w:p w14:paraId="23CB9D97"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Դեղաձեւերը կարող են լինել դեղաչափված կամ չդեղաչափված։ Դեղաչափված են անվանում այն դեղաձեւերը, որոնք դեղաձեւի յուրաքանչյուր միավորի մեջ պարունակում են ազդող նյութի (նյութերի) մեկ դեղաչափ կամ դեղաչափի մաս։</w:t>
      </w:r>
    </w:p>
    <w:p w14:paraId="5569698B"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Դեղաձեւերը կարող են թողարկվել միադեղաչափ փաթեթվածքով, որը պարունակում է ազդող նյութի/նյութերի մեկ դեղաչափ կամ դեղաչափի մաս, կամ բազմադեղաչափ փաթեթվածքով, որը պարունակում է ազդող նյութի/նյութերի մի քանի դեղաչափեր։</w:t>
      </w:r>
    </w:p>
    <w:p w14:paraId="4802E278"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Տարբեր դեղաձեւերով դեղապատրաստուկը կարող է ներառել մեկ, երկու եւ ավելի ազդող նյութեր (դեղագործական բաղադրամասեր) եւ կարող է չպարունակել օժանդակ նյութեր կամ որպես կանոն, պարունակել մեկ կամ ավելի օժանդակ նյութեր կամ հիմք, որն ազդող նյութի (նյութերի) համար կրիչ է (օրինակ՝ փափուկ դեղաձեւերում), որը բաղկացած է մեկ կամ ավելի օժանդակ նյութերից։</w:t>
      </w:r>
    </w:p>
    <w:p w14:paraId="31B701CB" w14:textId="77777777" w:rsidR="00134BE9" w:rsidRPr="003A4194" w:rsidRDefault="00134BE9" w:rsidP="00134BE9">
      <w:pPr>
        <w:pStyle w:val="a0"/>
        <w:shd w:val="clear" w:color="auto" w:fill="auto"/>
        <w:spacing w:after="160" w:line="346" w:lineRule="auto"/>
        <w:ind w:firstLine="567"/>
        <w:jc w:val="both"/>
        <w:rPr>
          <w:rFonts w:ascii="Sylfaen" w:hAnsi="Sylfaen"/>
          <w:sz w:val="24"/>
          <w:szCs w:val="24"/>
        </w:rPr>
      </w:pPr>
      <w:r w:rsidRPr="00DA21D0">
        <w:rPr>
          <w:rFonts w:ascii="Sylfaen" w:hAnsi="Sylfaen"/>
          <w:sz w:val="24"/>
          <w:szCs w:val="24"/>
        </w:rPr>
        <w:t>Տարբերակում են բուսական ծագման ազդող նյութեր պարունակող դեղապատրաստուկների դեղաձեւեր՝ ոգեթուրմեր, լուծամզվածքներ, բուժահեղուկներ, ջրաթուրմեր, եփուկներ, բուսահավաքանիներ, մանրատած-մամլած գրանուլներ, որոնք մի շարք դեպքերում կարող են դիրքավորվել եւ օգտագործվել որպես բուսական դեղագործական սուբստանցիաներ (լուծամզվածքներ՝ դեղահաբերի, դեղապատիճների տեսքով եւ այլն)։</w:t>
      </w:r>
    </w:p>
    <w:p w14:paraId="54CC874F" w14:textId="77777777" w:rsidR="00134BE9" w:rsidRPr="00B867ED" w:rsidRDefault="00134BE9" w:rsidP="00DA21D0">
      <w:pPr>
        <w:pStyle w:val="a0"/>
        <w:shd w:val="clear" w:color="auto" w:fill="auto"/>
        <w:spacing w:after="160" w:line="346" w:lineRule="auto"/>
        <w:ind w:firstLine="567"/>
        <w:jc w:val="both"/>
        <w:rPr>
          <w:rFonts w:ascii="Sylfaen" w:hAnsi="Sylfaen"/>
          <w:sz w:val="24"/>
          <w:szCs w:val="24"/>
        </w:rPr>
      </w:pPr>
      <w:r w:rsidRPr="00DA21D0">
        <w:rPr>
          <w:rFonts w:ascii="Sylfaen" w:hAnsi="Sylfaen"/>
          <w:sz w:val="24"/>
          <w:szCs w:val="24"/>
        </w:rPr>
        <w:t>Բժշկական կամ անասնաբուժական կիրառման համար նախատեսված դեղապատրաստուկի դեղաձեւի անվանումը կազմելիս պետք է հաշվի առնել դասակարգման հատկանիշները:</w:t>
      </w:r>
    </w:p>
    <w:p w14:paraId="456FD53D" w14:textId="77777777" w:rsidR="00B867ED" w:rsidRPr="00B867ED" w:rsidRDefault="00B867ED" w:rsidP="00DA21D0">
      <w:pPr>
        <w:pStyle w:val="a0"/>
        <w:shd w:val="clear" w:color="auto" w:fill="auto"/>
        <w:spacing w:after="160" w:line="346" w:lineRule="auto"/>
        <w:ind w:firstLine="567"/>
        <w:jc w:val="both"/>
        <w:rPr>
          <w:rFonts w:ascii="Sylfaen" w:hAnsi="Sylfaen" w:cs="Sylfaen"/>
          <w:sz w:val="24"/>
          <w:szCs w:val="24"/>
        </w:rPr>
      </w:pPr>
    </w:p>
    <w:p w14:paraId="6E546272"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lastRenderedPageBreak/>
        <w:t>«Դեղաձեւի անվանում» ասելով հասկանում ենք բառ կամ բառակապակցություն, որն արտահայտում է դեղաձեւի մասին եզակի հասկացությունը եւ այն տարբերակում մյուս դեղաձեւերից։</w:t>
      </w:r>
    </w:p>
    <w:p w14:paraId="36518EB9"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pacing w:val="-4"/>
          <w:sz w:val="24"/>
          <w:szCs w:val="24"/>
        </w:rPr>
        <w:t>Դեղաձեւի անվանման հիմնական տարրն ընդհանուր եզրույթ է, որը նշանակում է դեղաձեւերի</w:t>
      </w:r>
      <w:r w:rsidRPr="00DA21D0">
        <w:rPr>
          <w:rFonts w:ascii="Sylfaen" w:hAnsi="Sylfaen"/>
          <w:sz w:val="24"/>
          <w:szCs w:val="24"/>
        </w:rPr>
        <w:t xml:space="preserve"> ինքնուրույն, հարաբերականորեն միատարր խումբ։ Բժշկական կամ անասնաբուժական կիրառման համար նախատեսված դեղապատրաստուկի դեղաձեւի հիմնական տարրի անվանումը պետք է համապատասխանի համապատասխան ընդհանուր դեղագրքային հոդվածներում նշված սահմանմանը (օրինակ՝ </w:t>
      </w:r>
      <w:r w:rsidRPr="00DA21D0">
        <w:rPr>
          <w:rFonts w:ascii="Sylfaen" w:hAnsi="Sylfaen"/>
          <w:i/>
          <w:sz w:val="24"/>
          <w:szCs w:val="24"/>
        </w:rPr>
        <w:t>2.5.1.34. Դեղահաբեր, 2.5.1.10. Դեղապատիճներ, 2.5.1.21. Անդրմաշկային սպեղանիներ</w:t>
      </w:r>
      <w:r w:rsidRPr="00DA21D0">
        <w:rPr>
          <w:rFonts w:ascii="Sylfaen" w:hAnsi="Sylfaen"/>
          <w:sz w:val="24"/>
          <w:szCs w:val="24"/>
        </w:rPr>
        <w:t xml:space="preserve"> եւ այլն)։</w:t>
      </w:r>
    </w:p>
    <w:p w14:paraId="71DD2AD7"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Դեղաձեւի անվանման լրացուցիչ տարրը բառ կամ բառակապակցություն է, որը արտացոլում է այնպիսի դասակարգման հատկանիշներ, ինչպիսիք են կիրառման եղանակը (ներմուծման ուղին), մոդիֆիկացված ձերբազատման տեսակը, սահմանված դեպքերում՝ կիրառման համար պատրաստ լինելու հատկանիշը, տեխնոլոգիական հատկանիշները (օրինակ՝ «թաղանթապատ դեղահաբեր», «փրփրուն փոշի» եւ այլն), դեղաչափերի բաժանման հատկանիշը, տարիքային խմբի հատկանիշը (օրինակ՝ «երեխաների համար»), լուծույթներում լուծիչի բնույթը (օրինակ՝ «սպիրտային», «յուղային»), համի եւ (կամ) հոտի բնույթը (օրինակ՝ «կիտրոնի համով», «մենթոլի հոտով») եւ այլն։</w:t>
      </w:r>
    </w:p>
    <w:p w14:paraId="4CC17FED"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Կոնկրետ դեղաձեւի ներմուծման կամ կիրառման հնարավոր եղանակները/ուղիները, որպես կանոն, նշված են տվյալ դեղաձեւի համար ընդհանուր դեղագրքային հոդվածում։</w:t>
      </w:r>
    </w:p>
    <w:p w14:paraId="365590D3"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Եթե այնպիսի դեղաձեւերի անվանման մեջ, ինչպիսիք են դեղահաբերը, դեղապատիճները, գրանուլները, դրաժեները, օշարակները, ոգեթուրմերը, կիրառման եղանակը նշված չէ, ապա հարկ է համարել, որ դեղաձեւերը նախատեսված են «ներքին ընդունման համար»։</w:t>
      </w:r>
    </w:p>
    <w:p w14:paraId="0BA1AD72"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Արտաքին կիրառում ասելով հասկանում ենք դեղապատրաստուկը չվնասված եւ (կամ) վնասված մաշկի, այդ թվում՝ վերքային եւ (կամ) այրվածքային մակերեսների եւ (կամ) մազերի եւ (կամ) եղունգների վրա քսելը։</w:t>
      </w:r>
    </w:p>
    <w:p w14:paraId="5487AA22"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lastRenderedPageBreak/>
        <w:t>Տեղային կիրառում ասելով հասկանում ենք դեղապատրաստուկը լորձաթաղանթներին քսելը, այդ թվում՝ աչքի, քթի, ուղիղաղիքային, հեշտոցային կիրառումը, լնդերի, բերանի խոռոչի լորձաթաղանթին քսելը եւ այլն, ինչպես նաեւ արտաքին լսողական անցուղի ներմուծելը։</w:t>
      </w:r>
    </w:p>
    <w:p w14:paraId="7396AB4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«Տեղային կիրառման համար» եզրույթն օգտագործվում է այն դեպքերում, երբ դեղաձեւը նախատեսված է տեղային կիրառմանը վերաբերող կիրառման երեք կամ ավելի եղանակների (ներմուծման ուղիների) համար. եթե ավելի քիչ, քան երեք եղանակների (ներմուծման ուղիների) համար՝ նշվում է կիրառման կոնկրետ եղանակը (ներմուծման ուղին)։</w:t>
      </w:r>
    </w:p>
    <w:p w14:paraId="76357CDC"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Եթե բերանի խոռոչում տեղային կիրառման համար դեղաձեւը նախատեսված է երեք եւ ավելի կիրառման եղանակների համար (օրինակ՝ բերանի խոռոչի լորձաթաղանթին քսելու համար, ատամներին քսելու համար, լնդերին քսելու համար եւ այլն), օգտագործվում է «ատամնաբուժական» եզրույթը. եթե կիրառման եղանակը մեկը կամ երկուսն է, ապա նշվում է կիրառման կոնկրետ եղանակը։</w:t>
      </w:r>
    </w:p>
    <w:p w14:paraId="7D03FB6E"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Հարմարսողական կիրառում ասելով հասկանում ենք ներարկումների, կաթիլաներարկումների կամ ներպատվաստման եղանակով մարդու կամ կենդանու օրգանիզմ դեղապատրաստուկի ներմուծում՝ մաշկային ծածկույթների եւ (կամ) լորձաթաղանթների ամբողջականության խախտմամբ։</w:t>
      </w:r>
    </w:p>
    <w:p w14:paraId="1CD1A060"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«Ներարկումների համար» եզրույթն օգտագործվում է, եթե այդ դեղաձեւով դեղապատրաստուկը նախատեսված է ներարկումների միջոցով երեք եւ ավելի ներմուծման ուղիների համար (օրինակ՝ ներերակային, ներմկանային, ենթամաշկային ներմուծման համար եւ այլն)։</w:t>
      </w:r>
    </w:p>
    <w:p w14:paraId="31024EA1" w14:textId="77777777" w:rsidR="00134BE9" w:rsidRPr="00B5542D"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«Կաթիլաներարկումների համար» եզրույթն օգտագործվում է, եթե այդ դեղաձեւով դեղապատրաստուկը նախատեսված է, որպես կանոն, կաթիլաներարկման համակարգերի օգնությամբ մեծ ծավալով դանդաղ, հաճախ կաթիլային ներմուծման համար։ Տվյալ եզրույթն առանց ներմուծման ուղու հստակեցման նշանակում է «ներերակային ներմուծման կաթիլաներարկում»։</w:t>
      </w:r>
    </w:p>
    <w:p w14:paraId="408F4277" w14:textId="77777777" w:rsidR="00B867ED" w:rsidRPr="00B5542D" w:rsidRDefault="00B867ED" w:rsidP="00134BE9">
      <w:pPr>
        <w:pStyle w:val="a0"/>
        <w:shd w:val="clear" w:color="auto" w:fill="auto"/>
        <w:spacing w:after="160" w:line="360" w:lineRule="auto"/>
        <w:ind w:firstLine="567"/>
        <w:jc w:val="both"/>
        <w:rPr>
          <w:rFonts w:ascii="Sylfaen" w:hAnsi="Sylfaen" w:cs="Sylfaen"/>
          <w:sz w:val="24"/>
          <w:szCs w:val="24"/>
        </w:rPr>
      </w:pPr>
    </w:p>
    <w:p w14:paraId="52F5B01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Դեղաձեւն այս կամ այն դասակարգման ենթախմբին դասելը սահմանում է դրա որակի գնահատման մոտեցումները։</w:t>
      </w:r>
    </w:p>
    <w:p w14:paraId="36721D0E"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Պայմանավորված դեղաձեւի նշանակությամբ, կիրառման եղանակով եւ ներմուծման ուղիով, ինչպես նաեւ դեղաչափման ռեժիմով, տեխնոլոգիական եւ այլ դասակարգման հատկանիշներով՝ դրա որակի գնահատման համար փորձարկումների ցանկում ներառվում են այն փորձարկումները, որոնք անհրաժեշտության դեպքում արտացոլում են տվյալ դեղաձեւի առանձնահատկությունները։</w:t>
      </w:r>
    </w:p>
    <w:p w14:paraId="52D177BA"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Պայմանավորված դեղապատրաստուկի կիրառման եղանակով եւ ներմուծման ուղիով՝ առանձին դեղաձեւեր կարող են նաեւ միավորվել խմբերում եւ միաժամանակ կարող են ներկայացվել տարբեր խմբերում, օրինակ՝ դեղահաբերը կարող են լինել ներքին ընդունման, հարմարսողական կիրառման, հեշտոցային կիրառման եւ այլն։ Մի շարք դեպքերում, ըստ կիրառման եղանակի եւ ներմուծման ուղու, մեկ խմբում միավորված դեղաձեւերը կարող են իրենց որակի ընդհանուր լրացուցիչ ցուցանիշ ունենալ, որն արտացոլում է այս կամ այն խմբի դեղաձեւի տեսքով դեղապատրաստուկների կիրառման առանձնահատկությունը։</w:t>
      </w:r>
    </w:p>
    <w:p w14:paraId="48EB0C03" w14:textId="77777777" w:rsidR="00134BE9" w:rsidRPr="00DA21D0" w:rsidRDefault="00134BE9" w:rsidP="00DA21D0">
      <w:pPr>
        <w:pStyle w:val="a0"/>
        <w:shd w:val="clear" w:color="auto" w:fill="auto"/>
        <w:spacing w:after="160" w:line="346" w:lineRule="auto"/>
        <w:ind w:firstLine="567"/>
        <w:rPr>
          <w:rFonts w:ascii="Sylfaen" w:hAnsi="Sylfaen"/>
          <w:b/>
          <w:sz w:val="24"/>
          <w:szCs w:val="24"/>
        </w:rPr>
      </w:pPr>
    </w:p>
    <w:p w14:paraId="7C38A913"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24BB43E0"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Տարբեր դեղաձեւերով դեղապատրաստուկները պետք է արտադրվեն լիազորված մարմնի կողմից հաստատված՝ Պատշաճ արտադրական գործունեության կանոններին (GМР) համապատասխան։ GМР կանոնները տարածվում են դեղամիջոցների բոլոր տեսակների վրա եւ սահմանում են դրանց արտադրության եւ որակի վերահսկման կազմակերպմանը ներկայացվող ընդհանուր պահանջներ, ինչպես նաեւ տարբեր դեղաձեւերով դեղապատրաստուկների առանձին տեսակների արտադրության կազմակերպմանը ներկայացվող լրացուցիչ պահանջներ։</w:t>
      </w:r>
    </w:p>
    <w:p w14:paraId="3F27B98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Տարբեր դեղաձեւերով դեղապատրաստուկները պետք է պատրաստվեն լիազորված մարմնի կողմից՝ հաստատված կանոններին համապատասխան։</w:t>
      </w:r>
    </w:p>
    <w:p w14:paraId="720518A7" w14:textId="77777777" w:rsidR="00134BE9" w:rsidRPr="00DA21D0" w:rsidRDefault="00134BE9" w:rsidP="00134BE9">
      <w:pPr>
        <w:spacing w:after="160" w:line="360" w:lineRule="auto"/>
        <w:ind w:firstLine="567"/>
        <w:jc w:val="both"/>
      </w:pPr>
      <w:r w:rsidRPr="00DA21D0">
        <w:rPr>
          <w:spacing w:val="-6"/>
        </w:rPr>
        <w:lastRenderedPageBreak/>
        <w:t>Դեղաձեւի համապատասխան հատկությունների ապահովման համար դեղապատրաստուկների բաղադրության մեջ ներմուծվող օժանդակ նյութերը պետք է թույլատրվեն</w:t>
      </w:r>
      <w:r w:rsidRPr="00DA21D0">
        <w:t xml:space="preserve"> բժշկական կիրառման համար։</w:t>
      </w:r>
    </w:p>
    <w:p w14:paraId="488FA9BE"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sz w:val="24"/>
          <w:szCs w:val="24"/>
        </w:rPr>
        <w:t xml:space="preserve">Ցանկացած դեղաձեւերով հակամանրէային կոնսերվանտներով դեղապատրաստուկների բաղադրությունները մշակելիս կոնսերվանտների օգտագործման եւ արդյունավետության անհրաժեշտությունը պետք է հաստատվի։ Դեղապատրաստուկի բաղադրության մեջ մտնող կոնսերվանտների որոշման մեթոդիկան եւ արդյունավետության չափորոշիչները պետք է համապատասխանեն </w:t>
      </w:r>
      <w:r w:rsidRPr="00DA21D0">
        <w:rPr>
          <w:rFonts w:ascii="Sylfaen" w:hAnsi="Sylfaen"/>
          <w:i/>
          <w:sz w:val="24"/>
          <w:szCs w:val="24"/>
        </w:rPr>
        <w:t>2.3.1.1. Հակամանրէային կոնսերվանտների արդյունավետությունը</w:t>
      </w:r>
      <w:r w:rsidRPr="00DA21D0">
        <w:rPr>
          <w:rFonts w:ascii="Sylfaen" w:hAnsi="Sylfaen"/>
          <w:sz w:val="24"/>
          <w:szCs w:val="24"/>
        </w:rPr>
        <w:t xml:space="preserve"> ընդհանուր դեղագրքային հոդվածի պահանջներին։</w:t>
      </w:r>
    </w:p>
    <w:p w14:paraId="4A6FA73A" w14:textId="77777777" w:rsidR="00134BE9" w:rsidRPr="00DA21D0" w:rsidRDefault="00134BE9" w:rsidP="00134BE9">
      <w:pPr>
        <w:pStyle w:val="a0"/>
        <w:shd w:val="clear" w:color="auto" w:fill="auto"/>
        <w:spacing w:after="160" w:line="360" w:lineRule="auto"/>
        <w:ind w:firstLine="567"/>
        <w:rPr>
          <w:rFonts w:ascii="Sylfaen" w:hAnsi="Sylfaen"/>
          <w:b/>
          <w:sz w:val="24"/>
          <w:szCs w:val="24"/>
        </w:rPr>
      </w:pPr>
    </w:p>
    <w:p w14:paraId="386F47AB"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201D3EA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Տարբեր դեղաձեւերով դեղապատրաստուկների որակի գնահատման համար, որպես կանոն, ներառում են ըստ որակի այն ցուցանիշների փորձարկումները, որոնք, պայմանավորված կիրառման եղանակով եւ ներմուծման ուղիով, բնութագրում են կոնկրետ դեղաձեւը, ինչպես նաեւ ըստ որակի այն ցուցանիշների փորձարկումները, որոնք բնութագրում են տվյալ դեղապատրաստուկի բաղադրության մեջ մտնող ազդող նյութը/նյութերը եւ անհրաժեշտության դեպքում՝ օժանդակ նյութը/նյութերը։</w:t>
      </w:r>
    </w:p>
    <w:p w14:paraId="1CF9EDE8" w14:textId="77777777" w:rsidR="00134BE9" w:rsidRPr="00DA21D0" w:rsidRDefault="00134BE9" w:rsidP="00134BE9">
      <w:pPr>
        <w:pStyle w:val="a0"/>
        <w:shd w:val="clear" w:color="auto" w:fill="auto"/>
        <w:spacing w:after="160" w:line="341" w:lineRule="auto"/>
        <w:ind w:firstLine="567"/>
        <w:jc w:val="both"/>
        <w:rPr>
          <w:rFonts w:ascii="Sylfaen" w:hAnsi="Sylfaen" w:cs="Sylfaen"/>
          <w:i/>
          <w:iCs/>
          <w:sz w:val="24"/>
          <w:szCs w:val="24"/>
        </w:rPr>
      </w:pPr>
      <w:r w:rsidRPr="00DA21D0">
        <w:rPr>
          <w:rFonts w:ascii="Sylfaen" w:hAnsi="Sylfaen"/>
          <w:sz w:val="24"/>
          <w:szCs w:val="24"/>
        </w:rPr>
        <w:t>Դեղապատրաստուկի դեղաձեւի որակը բնութագրող փորձարկումները նշված են կոնկրետ դեղաձեւի համար ընդհանուր դեղագրքային հոդվածներում, օրինակ՝</w:t>
      </w:r>
      <w:r w:rsidRPr="00DA21D0">
        <w:rPr>
          <w:rFonts w:ascii="Sylfaen" w:hAnsi="Sylfaen"/>
          <w:spacing w:val="-4"/>
          <w:sz w:val="24"/>
          <w:szCs w:val="24"/>
        </w:rPr>
        <w:t xml:space="preserve"> </w:t>
      </w:r>
      <w:r w:rsidRPr="00DA21D0">
        <w:rPr>
          <w:rFonts w:ascii="Sylfaen" w:hAnsi="Sylfaen"/>
          <w:i/>
          <w:spacing w:val="-4"/>
          <w:sz w:val="24"/>
          <w:szCs w:val="24"/>
        </w:rPr>
        <w:t>2.5.1.2. Աերոզոլներ</w:t>
      </w:r>
      <w:r w:rsidRPr="00DA21D0">
        <w:rPr>
          <w:rFonts w:ascii="Sylfaen" w:hAnsi="Sylfaen"/>
          <w:i/>
          <w:sz w:val="24"/>
          <w:szCs w:val="24"/>
        </w:rPr>
        <w:t>, 2.5.1.25. Լուծույթներ, 2.5.1.34. Դեղահաբեր</w:t>
      </w:r>
      <w:r w:rsidRPr="00DA21D0">
        <w:rPr>
          <w:rFonts w:ascii="Sylfaen" w:hAnsi="Sylfaen"/>
          <w:sz w:val="24"/>
          <w:szCs w:val="24"/>
        </w:rPr>
        <w:t xml:space="preserve"> եւ այլն, կամ դեղաձեւերի խմբի համար ընդհանուր դեղագրքային հոդվածներում, օրինակ՝ </w:t>
      </w:r>
      <w:r w:rsidRPr="00DA21D0">
        <w:rPr>
          <w:rFonts w:ascii="Sylfaen" w:hAnsi="Sylfaen"/>
          <w:i/>
          <w:sz w:val="24"/>
          <w:szCs w:val="24"/>
        </w:rPr>
        <w:t>2.5.1.40. Փափուկ դեղաձեւեր, 2.5.1.32. Մոմիկներ եւ ձողիկներ</w:t>
      </w:r>
      <w:r w:rsidRPr="00DA21D0">
        <w:rPr>
          <w:rFonts w:ascii="Sylfaen" w:hAnsi="Sylfaen"/>
          <w:sz w:val="24"/>
          <w:szCs w:val="24"/>
        </w:rPr>
        <w:t>։</w:t>
      </w:r>
    </w:p>
    <w:p w14:paraId="3B289135" w14:textId="77777777" w:rsidR="00134BE9" w:rsidRPr="00DA21D0" w:rsidRDefault="00134BE9" w:rsidP="00134BE9">
      <w:pPr>
        <w:pStyle w:val="a0"/>
        <w:shd w:val="clear" w:color="auto" w:fill="auto"/>
        <w:spacing w:after="160" w:line="341" w:lineRule="auto"/>
        <w:ind w:firstLine="567"/>
        <w:jc w:val="both"/>
        <w:rPr>
          <w:rFonts w:ascii="Sylfaen" w:hAnsi="Sylfaen" w:cs="Sylfaen"/>
          <w:sz w:val="24"/>
          <w:szCs w:val="24"/>
        </w:rPr>
      </w:pPr>
    </w:p>
    <w:p w14:paraId="1E577360" w14:textId="77777777" w:rsidR="00B867ED" w:rsidRDefault="00B867ED">
      <w:pPr>
        <w:rPr>
          <w:rFonts w:eastAsia="Times New Roman" w:cs="Times New Roman"/>
          <w:b/>
          <w:color w:val="auto"/>
        </w:rPr>
      </w:pPr>
      <w:r>
        <w:rPr>
          <w:b/>
        </w:rPr>
        <w:br w:type="page"/>
      </w:r>
    </w:p>
    <w:p w14:paraId="1BF1EA8A" w14:textId="77777777" w:rsidR="00134BE9" w:rsidRPr="00DA21D0" w:rsidRDefault="00134BE9" w:rsidP="00DA21D0">
      <w:pPr>
        <w:pStyle w:val="a0"/>
        <w:shd w:val="clear" w:color="auto" w:fill="auto"/>
        <w:spacing w:after="160" w:line="360" w:lineRule="auto"/>
        <w:ind w:firstLine="567"/>
        <w:jc w:val="right"/>
        <w:rPr>
          <w:rFonts w:ascii="Sylfaen" w:hAnsi="Sylfaen"/>
          <w:b/>
          <w:sz w:val="24"/>
          <w:szCs w:val="24"/>
        </w:rPr>
      </w:pPr>
      <w:r w:rsidRPr="00DA21D0">
        <w:rPr>
          <w:rFonts w:ascii="Sylfaen" w:hAnsi="Sylfaen"/>
          <w:b/>
          <w:sz w:val="24"/>
          <w:szCs w:val="24"/>
        </w:rPr>
        <w:lastRenderedPageBreak/>
        <w:t>205010002-2022</w:t>
      </w:r>
    </w:p>
    <w:p w14:paraId="2ABF809C" w14:textId="77777777" w:rsidR="00134BE9" w:rsidRPr="00DA21D0" w:rsidRDefault="00134BE9" w:rsidP="00DA21D0">
      <w:pPr>
        <w:pStyle w:val="a0"/>
        <w:shd w:val="clear" w:color="auto" w:fill="auto"/>
        <w:spacing w:after="160" w:line="360" w:lineRule="auto"/>
        <w:ind w:firstLine="567"/>
        <w:jc w:val="right"/>
        <w:rPr>
          <w:rFonts w:ascii="Sylfaen" w:hAnsi="Sylfaen" w:cs="Sylfaen"/>
          <w:sz w:val="24"/>
          <w:szCs w:val="24"/>
        </w:rPr>
      </w:pPr>
    </w:p>
    <w:p w14:paraId="0FB5974C" w14:textId="77777777" w:rsidR="00134BE9" w:rsidRPr="00DA21D0" w:rsidRDefault="00134BE9" w:rsidP="008D6E8B">
      <w:pPr>
        <w:pStyle w:val="a0"/>
        <w:shd w:val="clear" w:color="auto" w:fill="auto"/>
        <w:tabs>
          <w:tab w:val="left" w:pos="1701"/>
        </w:tabs>
        <w:spacing w:after="160" w:line="360" w:lineRule="auto"/>
        <w:ind w:firstLine="567"/>
        <w:jc w:val="both"/>
        <w:rPr>
          <w:rFonts w:ascii="Sylfaen" w:hAnsi="Sylfaen" w:cs="Sylfaen"/>
          <w:sz w:val="24"/>
          <w:szCs w:val="24"/>
        </w:rPr>
      </w:pPr>
      <w:r w:rsidRPr="00DA21D0">
        <w:rPr>
          <w:rFonts w:ascii="Sylfaen" w:hAnsi="Sylfaen"/>
          <w:b/>
          <w:sz w:val="24"/>
          <w:szCs w:val="24"/>
        </w:rPr>
        <w:t>2.5.1.2.</w:t>
      </w:r>
      <w:r w:rsidRPr="00DA21D0">
        <w:rPr>
          <w:rFonts w:ascii="Sylfaen" w:hAnsi="Sylfaen"/>
          <w:b/>
          <w:sz w:val="24"/>
          <w:szCs w:val="24"/>
        </w:rPr>
        <w:tab/>
        <w:t>Աերոզոլներ</w:t>
      </w:r>
    </w:p>
    <w:p w14:paraId="447A020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 դեղաձեւ, որն այնպիսի ազդող նյութերի լուծույթ, էմուլսիա կամ կախույթ է, որոնք գտնվում են պրոպելենտի ճնշման տակ հերմետիկ փաթեթվածքով (աերոզոլային բալոն), որը համալրված է փականային-ցնցղիչ համակարգով, որն ապահովում է պարունակության ձերբազատմամբ՝ գազի մեջ պինդ կամ հեղուկ այնպիսի մասնիկների դիսպերսիայի տեսքով, որոնց չափը համապատասխանում է ներմուծման ուղուն։</w:t>
      </w:r>
    </w:p>
    <w:p w14:paraId="17AD4C1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Աերոզոլները երկֆազ (գազ եւ հեղուկ) կամ եռաֆազ (գազ, հեղուկ եւ պինդ նյութ կամ հեղուկ) համակարգեր են։ Երկֆազ աերոզոլները բաղկացած են ակտիվ դեղագործական բաղադրամասի լուծելիությունն ապահովող լուծիչների ավելացմամբ հեղուկացված պրոպելենտում ակտիվ դեղագործական բաղադրամասի լուծույթից։ Եռաֆազ աերոզոլները բաղկացած են ակտիվ դեղագործական բաղադրամասերի դեղակախույթից կամ էմուլսիայից եւ պրոպելենտից։</w:t>
      </w:r>
    </w:p>
    <w:p w14:paraId="6E4DF8D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Պայմանավորված ներմուծման ուղիով եւ կիրառման եղանակով՝ </w:t>
      </w:r>
      <w:r w:rsidRPr="00DA21D0">
        <w:rPr>
          <w:rFonts w:ascii="Sylfaen" w:hAnsi="Sylfaen"/>
          <w:spacing w:val="-4"/>
          <w:sz w:val="24"/>
          <w:szCs w:val="24"/>
        </w:rPr>
        <w:t>տարբերակում են արտաքին կիրառման, տեղային կիրառման, ինհալացիաների համար, անդրմաշկային աերոզոլներ։ Տեղային կիրառման աերոզոլները կարող են լինել բերանի խոռոչում կիրառելու համար, քթի, ականջի։ Բերանի խոռոչում կիրառելու</w:t>
      </w:r>
      <w:r w:rsidRPr="00DA21D0">
        <w:rPr>
          <w:rFonts w:ascii="Sylfaen" w:hAnsi="Sylfaen"/>
          <w:sz w:val="24"/>
          <w:szCs w:val="24"/>
        </w:rPr>
        <w:t xml:space="preserve"> համար աերոզոլների շարքին են դասվում բերանի խոռոչի լորձաթաղանթին քսելու համար նախատեսված աերոզոլները, ենթալեզվային աերոզոլները։</w:t>
      </w:r>
    </w:p>
    <w:p w14:paraId="4050E13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Աերոզոլները կարող են լինել դեղաչափված եւ չդեղաչափված։</w:t>
      </w:r>
    </w:p>
    <w:p w14:paraId="79DCFE54" w14:textId="77777777" w:rsidR="00DA21D0" w:rsidRPr="003A4194" w:rsidRDefault="00DA21D0">
      <w:pPr>
        <w:rPr>
          <w:rFonts w:eastAsia="Times New Roman" w:cs="Times New Roman"/>
          <w:b/>
          <w:color w:val="auto"/>
        </w:rPr>
      </w:pPr>
      <w:r w:rsidRPr="003A4194">
        <w:rPr>
          <w:b/>
        </w:rPr>
        <w:br w:type="page"/>
      </w:r>
    </w:p>
    <w:p w14:paraId="2E15C651"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ՏԵԽՆՈԼՈԳԻԱՅԻ ԱՌԱՆՁՆԱՀԱՏԿՈՒԹՅՈՒՆՆԵՐԸ</w:t>
      </w:r>
    </w:p>
    <w:p w14:paraId="1465D730"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Աերոզոլների բաղադրության մեջ մտնող օժանդակ նյութերը պետք է բժշկական կիրառման համար թույլատրված լինեն, ապահովեն դեղաձեւի օպտիմալ տեխնոլոգիական բնութագրերը, համատեղելի լինեն դեղաձեւի մյուս բաղադրիչների եւ փաթեթվածքի նյութի հետ։ Ինհալացիաների համար աերոզոլների բաղադրության մեջ օժանդակ նյութերը չպետք է անբարենպաստ կերպով ազդեն շնչառական տրակտի լորձաթաղանթի ֆունկցիայի վրա։</w:t>
      </w:r>
    </w:p>
    <w:p w14:paraId="21FD040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Որպես աերոզոլների արտադրության ժամանակ կիրառվող օժանդակ նյութեր օգտագործվում են լուծիչներ, մակերեւութաակտիվ նյութեր, թաղանթագոյացուցիչներ, համի եւ հոտի կորիգենտներ (բուրավետիչներ), հակամանրէային կոնսերվանտներ, հակաօքսիդիչներ. ինչպես նաեւ պրոպելենտներ, օրինակ՝ հեղուկացված գազեր, հալոգենացված ածխաջրածիններ կամ պրոպելենտների խառնուրդներ։</w:t>
      </w:r>
    </w:p>
    <w:p w14:paraId="02909E92"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Աերոզոլները տեղադրում են փաթեթվածքի մեջ, որը պետք է լինի ամուր եւ ներքին ճնշման նկատմամբ կայուն։ Աերոզոլների փաթեթվածքը կարող է պատրաստվել մետաղից, ապակուց, պոլիմերային նյութերից կամ նշված նյութերի համակցությունից, որոնք չպետք է փոխազդեցություն ունենան փաթեթվածքի պարունակության հետ։ Աերոզոլների ապակե տարողությունները պետք է պաշտպանված լինեն պոլիմերային նյութերից պատվածքով։</w:t>
      </w:r>
    </w:p>
    <w:p w14:paraId="011FFD9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Չդեղաչափված աերոզոլների փաթեթվածքը պետք է համալրված լինի դեղապատրաստուկի մատակարարման միջոցով՝ անընդհատ գործողության ցողացրիչ կամ փականային-ցնցղիչ սարքով. դեղաչափված աերոզոլների փաթեթվածքը՝ դոզավորող փոշեցրիչ կամ դոզավորող փականային-ցնցղիչ սարքով։ Ցողացրիչ սարքը պետք է օգտագործման ժամանակ կարգավորի փաթեթվածքի պարունակության ձերբազատումը՝ ձերբազատման արագությունը եւ լրիվությունը, դիսպերսիայի մասնիկների չափը, դեղաչափման միատարրությունը։ Աեռրոզոլների փականային-ցնցղիչ սարքը պետք է ապահովի փաթեթվածքի հերմետիկությունը ոչ աշխատանքային վիճակում։ Ցողացրիչ եւ </w:t>
      </w:r>
      <w:r w:rsidRPr="00DA21D0">
        <w:rPr>
          <w:rFonts w:ascii="Sylfaen" w:hAnsi="Sylfaen"/>
          <w:sz w:val="24"/>
          <w:szCs w:val="24"/>
        </w:rPr>
        <w:lastRenderedPageBreak/>
        <w:t>դոզավորող սարքերի արտադրության մեջ օգտագործվող նյութերը (պոլիմերները, էլաստոմերները, մետաղները) պետք է իներտ լինեն փաթեթվածքի պարունակության նկատմամբ։</w:t>
      </w:r>
    </w:p>
    <w:p w14:paraId="43504653"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Աերոզոլներ</w:t>
      </w:r>
      <w:r w:rsidRPr="00DA21D0">
        <w:rPr>
          <w:rFonts w:ascii="Sylfaen" w:hAnsi="Sylfaen"/>
          <w:sz w:val="24"/>
          <w:szCs w:val="24"/>
        </w:rPr>
        <w:t xml:space="preserve"> դեղաձեւով դեղապատրաստուկներ ստանալիս պետք է ձեռնարկվեն այնպիսի միջոցներ, որոնք բացառում են մանրէային աղտոտման հնարավորությունը, սահմանված դեպքերում մանրէազերծ </w:t>
      </w:r>
      <w:r w:rsidRPr="00DA21D0">
        <w:rPr>
          <w:rFonts w:ascii="Sylfaen" w:hAnsi="Sylfaen"/>
          <w:i/>
          <w:sz w:val="24"/>
          <w:szCs w:val="24"/>
        </w:rPr>
        <w:t>Աերոզոլներ</w:t>
      </w:r>
      <w:r w:rsidRPr="00DA21D0">
        <w:rPr>
          <w:rFonts w:ascii="Sylfaen" w:hAnsi="Sylfaen"/>
          <w:sz w:val="24"/>
          <w:szCs w:val="24"/>
        </w:rPr>
        <w:t xml:space="preserve"> ստանալիս պետք է ձեռնարկվեն դրանց մանրէազերծությունն ապահովող միջոցներ։</w:t>
      </w:r>
    </w:p>
    <w:p w14:paraId="79A6BF07"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p>
    <w:p w14:paraId="0CFB5752" w14:textId="77777777" w:rsidR="00134BE9" w:rsidRPr="00DA21D0" w:rsidRDefault="00134BE9" w:rsidP="00134BE9">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ՓՈՐՁԱՐԿՈՒՄՆԵՐԸ</w:t>
      </w:r>
    </w:p>
    <w:p w14:paraId="2151AE4C"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Աերոզոլները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հաջորդող փորձարկումները։</w:t>
      </w:r>
    </w:p>
    <w:p w14:paraId="5598545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Աերոզոլ ինհալացիաների համար</w:t>
      </w:r>
      <w:r w:rsidRPr="00DA21D0">
        <w:rPr>
          <w:rFonts w:ascii="Sylfaen" w:hAnsi="Sylfaen"/>
          <w:sz w:val="24"/>
          <w:szCs w:val="24"/>
        </w:rPr>
        <w:t xml:space="preserve"> դեղաձեւով թողարկվող դեղապատրաստուկները պետք է համապատասխանեն </w:t>
      </w:r>
      <w:r w:rsidRPr="00DA21D0">
        <w:rPr>
          <w:rFonts w:ascii="Sylfaen" w:hAnsi="Sylfaen"/>
          <w:i/>
          <w:sz w:val="24"/>
          <w:szCs w:val="24"/>
        </w:rPr>
        <w:t>2.5.3.2. Ինհալացիոն կիրառման դեղապատրաստուկներ</w:t>
      </w:r>
      <w:r w:rsidRPr="00DA21D0">
        <w:rPr>
          <w:rFonts w:ascii="Sylfaen" w:hAnsi="Sylfaen"/>
          <w:sz w:val="24"/>
          <w:szCs w:val="24"/>
        </w:rPr>
        <w:t xml:space="preserve"> ընդհանուր դեղագրքային հոդվածի պահանջներին։</w:t>
      </w:r>
    </w:p>
    <w:p w14:paraId="4FE8EA1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8D6E8B">
        <w:rPr>
          <w:rFonts w:ascii="Sylfaen" w:hAnsi="Sylfaen"/>
          <w:b/>
          <w:spacing w:val="-4"/>
          <w:sz w:val="24"/>
          <w:szCs w:val="24"/>
        </w:rPr>
        <w:t xml:space="preserve">Նկարագրությունը. </w:t>
      </w:r>
      <w:r w:rsidRPr="008D6E8B">
        <w:rPr>
          <w:rFonts w:ascii="Sylfaen" w:hAnsi="Sylfaen"/>
          <w:spacing w:val="-4"/>
          <w:sz w:val="24"/>
          <w:szCs w:val="24"/>
        </w:rPr>
        <w:t>Փաթեթվածքից ձերբազատվելիս աերոզոլները գոյացնում են հեղուկ, որը լուծույթ, դեղակախույթ, էմուլսիա է։ Աերոզոլները բնութագրում են՝ նշելով արտաքին</w:t>
      </w:r>
      <w:r w:rsidRPr="00DA21D0">
        <w:rPr>
          <w:rFonts w:ascii="Sylfaen" w:hAnsi="Sylfaen"/>
          <w:sz w:val="24"/>
          <w:szCs w:val="24"/>
        </w:rPr>
        <w:t xml:space="preserve"> տեսքը, հեղուկի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356A708B"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Այն աերոզոլների համար, որոնք էմուլսիաներ եւ դեղակախույթներ են, կարող է դիտարկվել շերտավորում, բայց թափահարելիս դրանք պետք է հեշտությամբ վերաէմուլսացվեն եւ վերակախութավորվեն՝ դիսպերս միջավայրում ակտիվ դեղագործական բաղադրամասի հավասարաչափ բաշխումն ապահովելու համար։</w:t>
      </w:r>
    </w:p>
    <w:p w14:paraId="4F6C50B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0960B27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Ճնշումը փաթեթվածքում. </w:t>
      </w:r>
      <w:r w:rsidRPr="00DA21D0">
        <w:rPr>
          <w:rFonts w:ascii="Sylfaen" w:hAnsi="Sylfaen"/>
          <w:sz w:val="24"/>
          <w:szCs w:val="24"/>
        </w:rPr>
        <w:t xml:space="preserve">Փորձարկումն անցկացնում են դեղագործական մշակման եւ արտադրության տեխնոլոգիական գործընթացի փուլում այն աերոզոլների համար, որոնցում պրոպելենտները սեղմված գազեր են՝ </w:t>
      </w:r>
      <w:r w:rsidRPr="00DA21D0">
        <w:rPr>
          <w:rFonts w:ascii="Sylfaen" w:hAnsi="Sylfaen"/>
          <w:i/>
          <w:sz w:val="24"/>
          <w:szCs w:val="24"/>
        </w:rPr>
        <w:t>2.1.9.20. Ճնշման որոշում հերմետիկ փաթեթվածքում</w:t>
      </w:r>
      <w:r w:rsidRPr="00DA21D0">
        <w:rPr>
          <w:rFonts w:ascii="Sylfaen" w:hAnsi="Sylfaen"/>
          <w:sz w:val="24"/>
          <w:szCs w:val="24"/>
        </w:rPr>
        <w:t xml:space="preserve"> ընդհանուր դեղագրքային հոդվածին համապատասխան։</w:t>
      </w:r>
    </w:p>
    <w:p w14:paraId="5DAAD44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 հերմետիկությունը (արտահոսքի արագությունը).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2.1.9.19. Փաթեթվածքի հերմետիկության որոշում</w:t>
      </w:r>
      <w:r w:rsidRPr="00DA21D0">
        <w:rPr>
          <w:rFonts w:ascii="Sylfaen" w:hAnsi="Sylfaen"/>
          <w:sz w:val="24"/>
          <w:szCs w:val="24"/>
        </w:rPr>
        <w:t xml:space="preserve"> ընդհանուր դեղագրքային հոդվածին համապատասխան։</w:t>
      </w:r>
    </w:p>
    <w:p w14:paraId="7D9F3E5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Փականային սարքի փորձարկումը. </w:t>
      </w:r>
      <w:r w:rsidRPr="00DA21D0">
        <w:rPr>
          <w:rFonts w:ascii="Sylfaen" w:hAnsi="Sylfaen"/>
          <w:sz w:val="24"/>
          <w:szCs w:val="24"/>
        </w:rPr>
        <w:t>Փորձարկումն անցկացնում են, եթե կիրառելի է, արտադրության տեխնոլոգիական գործընթացի փուլում։</w:t>
      </w:r>
    </w:p>
    <w:p w14:paraId="6128CFC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 պարունակության ելքը. </w:t>
      </w:r>
      <w:r w:rsidRPr="00DA21D0">
        <w:rPr>
          <w:rFonts w:ascii="Sylfaen" w:hAnsi="Sylfaen"/>
          <w:sz w:val="24"/>
          <w:szCs w:val="24"/>
        </w:rPr>
        <w:t xml:space="preserve">Փորձարկումն անցկացնում են չդեղաչափված աերոզոլների համար՝ </w:t>
      </w:r>
      <w:r w:rsidRPr="00DA21D0">
        <w:rPr>
          <w:rFonts w:ascii="Sylfaen" w:hAnsi="Sylfaen"/>
          <w:i/>
          <w:sz w:val="24"/>
          <w:szCs w:val="24"/>
        </w:rPr>
        <w:t>2.1.9.18. Փաթեթվածքի պարունակության ելքը որոշելը՝ չդեղաչափված աերոզոլների, փրփուրների եւ ցողաշթերի համար</w:t>
      </w:r>
      <w:r w:rsidRPr="00DA21D0">
        <w:rPr>
          <w:rFonts w:ascii="Sylfaen" w:hAnsi="Sylfaen"/>
          <w:sz w:val="24"/>
          <w:szCs w:val="24"/>
        </w:rPr>
        <w:t xml:space="preserve"> ընդհանուր դեղագրքային հոդվածին համապատասխան։</w:t>
      </w:r>
    </w:p>
    <w:p w14:paraId="75B6E1B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Մատակարարվող (ձերբազատվող) դեղաչափերի զանգվածի միատարրությունը. </w:t>
      </w:r>
      <w:r w:rsidRPr="00DA21D0">
        <w:rPr>
          <w:rFonts w:ascii="Sylfaen" w:hAnsi="Sylfaen"/>
          <w:sz w:val="24"/>
          <w:szCs w:val="24"/>
        </w:rPr>
        <w:t>Փորձարկումն անցկացնում են դեղաչափված այն աերոզոլների համար, որոնք լուծույթներ են։</w:t>
      </w:r>
    </w:p>
    <w:p w14:paraId="03FE626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Ինհալացիաների համար աերոզոլների տեսքով դեղապատրաստուկների փորձարկումն անցկացնում են՝ </w:t>
      </w:r>
      <w:r w:rsidRPr="00DA21D0">
        <w:rPr>
          <w:rFonts w:ascii="Sylfaen" w:hAnsi="Sylfaen"/>
          <w:i/>
          <w:sz w:val="24"/>
          <w:szCs w:val="24"/>
        </w:rPr>
        <w:t>2.5.3.2. Ինհալացիոն կիրառման դեղապատրաստուկներ (փորձարկում. Մատակարարվող (ձերբազատվող) դեղաչափերի միատարրությունը)</w:t>
      </w:r>
      <w:r w:rsidRPr="00DA21D0">
        <w:rPr>
          <w:rFonts w:ascii="Sylfaen" w:hAnsi="Sylfaen"/>
          <w:sz w:val="24"/>
          <w:szCs w:val="24"/>
        </w:rPr>
        <w:t xml:space="preserve"> ընդհանուր դեղագրքային հոդվածին համապատասխան։</w:t>
      </w:r>
    </w:p>
    <w:p w14:paraId="5111EE5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Ցուցանիշի հսկողությունը պետք է անցկացվի ինչպես մեկ փաթեթվածքից ձերբազատվող դեղաչափերի համար, այնպես էլ տարբեր փաթեթվածքներից ստացված դեղաչափերի համար: Դեղաչափերի ընտրության ընթացակարգը պետք է ներառի դեղաչափերի ընտրություն դեղապատրաստուկի օգտագործման սկզբում, կեսին եւ վերջում։</w:t>
      </w:r>
    </w:p>
    <w:p w14:paraId="37F1998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Մասնավոր դեղագրքային հոդվածում եւ (կամ) որակի վերաբերյալ նորմատիվ փաստաթղթում այլ ցուցումների բացակայության դեպքում փորձարկման համար աերոզոլների 10 փաթեթվածքից դեղաչափերի ընտրությունն անցկացնում են հետեւյալ կերպ. երեք փաթեթվածքներից դեղաչափերի անհրաժեշտ քանակությունը ձերբազատում են դեղապատրաստուկի օգտագործման սկզբում, չորս փաթեթվածքներից՝ դեղապատրաստուկի օգտագործման կեսին, երեք փաթեթվածքներից՝ դեղապատրաստուկի օգտագործման վերջում։</w:t>
      </w:r>
    </w:p>
    <w:p w14:paraId="4A9AED8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Մատակարարվող (ձերբազատվող) դեղաչափերի զանգվածի </w:t>
      </w:r>
      <w:r w:rsidRPr="008D6E8B">
        <w:rPr>
          <w:rFonts w:ascii="Sylfaen" w:hAnsi="Sylfaen"/>
          <w:i/>
          <w:spacing w:val="-4"/>
          <w:sz w:val="24"/>
          <w:szCs w:val="24"/>
        </w:rPr>
        <w:t>միատարրության որոշման մեթոդիկան մեկ փաթեթվածքի համար.</w:t>
      </w:r>
      <w:r w:rsidRPr="008D6E8B">
        <w:rPr>
          <w:rFonts w:ascii="Sylfaen" w:hAnsi="Sylfaen"/>
          <w:spacing w:val="-4"/>
          <w:sz w:val="24"/>
          <w:szCs w:val="24"/>
        </w:rPr>
        <w:t xml:space="preserve"> Ձերբազատում են մեկ դեղաչափ եւ այն հեռացնում։ Առնվազն 5 վրկ անց փաթեթվածքը թափահարում</w:t>
      </w:r>
      <w:r w:rsidRPr="00DA21D0">
        <w:rPr>
          <w:rFonts w:ascii="Sylfaen" w:hAnsi="Sylfaen"/>
          <w:sz w:val="24"/>
          <w:szCs w:val="24"/>
        </w:rPr>
        <w:t xml:space="preserve"> են 5 վրկ, կրկին ձերբազատում եւ հեռացնում են մեկ դեղաչափ։ Նշված ընթացակարգը կրկնում են եւս 3 անգամ, եթե մասնավոր դեղագրքային հոդվածում եւ (կամ) որակի վերաբերյալ նորմատիվ փաստաթղթում այլ </w:t>
      </w:r>
      <w:r w:rsidRPr="00DA21D0">
        <w:rPr>
          <w:rFonts w:ascii="Sylfaen" w:hAnsi="Sylfaen"/>
          <w:spacing w:val="-4"/>
          <w:sz w:val="24"/>
          <w:szCs w:val="24"/>
        </w:rPr>
        <w:t>ցուցումներ չկան։ Փաթեթվածքը կշռում են։ Փաթեթվածքը թափահարում են 5 վրկ, ձերբազատում եւ հեռացնում են մեկ դեղաչափ, փաթեթվածքը կրկին կշռում են։ Ըստ</w:t>
      </w:r>
      <w:r w:rsidRPr="00DA21D0">
        <w:rPr>
          <w:rFonts w:ascii="Sylfaen" w:hAnsi="Sylfaen"/>
          <w:sz w:val="24"/>
          <w:szCs w:val="24"/>
        </w:rPr>
        <w:t xml:space="preserve"> տարբերության՝ հաշվարկում են ձերբազատված դեղաչափի զանգվածը։</w:t>
      </w:r>
    </w:p>
    <w:p w14:paraId="349699E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Փորձարկումը կրկնում են մասնավոր դեղագրքային հոդվածում եւ (կամ) որակի վերաբերյալ նորմատիվ փաստաթղթում նշված եւս 9 դեղաչափերի համար։ Որոշում են դեղաչափի միջին զանգվածը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i/>
          <w:sz w:val="24"/>
          <w:szCs w:val="24"/>
        </w:rPr>
        <w:t>)</w:t>
      </w:r>
      <w:r w:rsidRPr="00DA21D0">
        <w:rPr>
          <w:rFonts w:ascii="Sylfaen" w:hAnsi="Sylfaen"/>
          <w:sz w:val="24"/>
          <w:szCs w:val="24"/>
        </w:rPr>
        <w:t xml:space="preserve"> եւ դեղաչափի միջին զանգվածից զանգվածների անհատական արժեքների շեղումները։</w:t>
      </w:r>
    </w:p>
    <w:p w14:paraId="109AE832" w14:textId="77777777" w:rsidR="00134BE9" w:rsidRPr="008D6E8B" w:rsidRDefault="00134BE9" w:rsidP="00134BE9">
      <w:pPr>
        <w:pStyle w:val="a0"/>
        <w:shd w:val="clear" w:color="auto" w:fill="auto"/>
        <w:spacing w:after="160" w:line="360" w:lineRule="auto"/>
        <w:ind w:firstLine="567"/>
        <w:jc w:val="both"/>
        <w:rPr>
          <w:rFonts w:ascii="Sylfaen" w:hAnsi="Sylfaen" w:cs="Sylfaen"/>
          <w:spacing w:val="-4"/>
          <w:sz w:val="24"/>
          <w:szCs w:val="24"/>
        </w:rPr>
      </w:pPr>
      <w:r w:rsidRPr="00DA21D0">
        <w:rPr>
          <w:rFonts w:ascii="Sylfaen" w:hAnsi="Sylfaen"/>
          <w:sz w:val="24"/>
          <w:szCs w:val="24"/>
        </w:rPr>
        <w:t>Դեղապատրաստուկը համարվում է փորձարկումն անցած, եթե զանգվածների 10 անհատական արժեքներից առնվազն 1-ը շեղվում է միջին զանգվածից 25 % գերազանցող մեծության նկատմամբ, ընդ որում, ոչ ավելի քան 35</w:t>
      </w:r>
      <w:r w:rsidR="008D6E8B" w:rsidRPr="008D6E8B">
        <w:rPr>
          <w:rFonts w:ascii="Sylfaen" w:hAnsi="Sylfaen"/>
          <w:sz w:val="24"/>
          <w:szCs w:val="24"/>
        </w:rPr>
        <w:t> </w:t>
      </w:r>
      <w:r w:rsidRPr="00DA21D0">
        <w:rPr>
          <w:rFonts w:ascii="Sylfaen" w:hAnsi="Sylfaen"/>
          <w:sz w:val="24"/>
          <w:szCs w:val="24"/>
        </w:rPr>
        <w:t xml:space="preserve">%-ով։ Եթե 2 կամ 3 արդյունք դուրս է մնում 75-125 %-ի սահմաններից, ապա </w:t>
      </w:r>
      <w:r w:rsidRPr="008D6E8B">
        <w:rPr>
          <w:rFonts w:ascii="Sylfaen" w:hAnsi="Sylfaen"/>
          <w:spacing w:val="-4"/>
          <w:sz w:val="24"/>
          <w:szCs w:val="24"/>
        </w:rPr>
        <w:t>փորձարկումը կրկնում են մյուս 20 դեղաչափերի հետ։ 30 արժեքներից առնվազն 3-ը կարող են դուրս գալ 75-125 %-ի սահմաններից, եւ բոլոր արժեքները պետք է 65 %-ից մինչեւ 135 %-ի սահմաններում լինեն։</w:t>
      </w:r>
    </w:p>
    <w:p w14:paraId="21CA7F4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lastRenderedPageBreak/>
        <w:t>Մեկ դեղաչափի միջին զանգվածը որոշելը.</w:t>
      </w:r>
    </w:p>
    <w:p w14:paraId="7080F08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Եղանակ 1. Դեղաչափի միջին զանգվածը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i/>
          <w:sz w:val="24"/>
          <w:szCs w:val="24"/>
        </w:rPr>
        <w:t>)</w:t>
      </w:r>
      <w:r w:rsidRPr="00DA21D0">
        <w:rPr>
          <w:rFonts w:ascii="Sylfaen" w:hAnsi="Sylfaen"/>
          <w:sz w:val="24"/>
          <w:szCs w:val="24"/>
        </w:rPr>
        <w:t xml:space="preserve"> հաշվարկում են՝ օգտագործելով </w:t>
      </w:r>
      <w:r w:rsidRPr="00DA21D0">
        <w:rPr>
          <w:rFonts w:ascii="Sylfaen" w:hAnsi="Sylfaen"/>
          <w:i/>
          <w:sz w:val="24"/>
          <w:szCs w:val="24"/>
        </w:rPr>
        <w:t>Մատակարարվող (ձերբազատվող) դեղաչափերի զանգվածի միատարրության</w:t>
      </w:r>
      <w:r w:rsidRPr="00DA21D0">
        <w:rPr>
          <w:rFonts w:ascii="Sylfaen" w:hAnsi="Sylfaen"/>
          <w:sz w:val="24"/>
          <w:szCs w:val="24"/>
        </w:rPr>
        <w:t xml:space="preserve"> փորձարկման անցկացման ընթացքում ստացված տվյալները։</w:t>
      </w:r>
    </w:p>
    <w:p w14:paraId="1D99287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Եղանակ 2. Մասնավոր դեղագրքային հոդվածում եւ (կամ) որակի վերաբերյալ նորմատիվ փաստաթղթում նշելիս մեկ դեղաչափի միջին զանգվածը որոշում են առանձին մեթոդիկայով։</w:t>
      </w:r>
    </w:p>
    <w:p w14:paraId="17B13B0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Ցողացրիչի օգնությամբ կատարվում է հինգ սեղմում, եւ ձերբազատվում է աերոզոլի առաջին հինգ դեղաչափ, ցողացրիչի հետ փաթեթվածքը կշռվում է մինչեւ 0,01 գ </w:t>
      </w:r>
      <w:r w:rsidRPr="00DA21D0">
        <w:rPr>
          <w:rFonts w:ascii="Sylfaen" w:hAnsi="Sylfaen"/>
          <w:i/>
          <w:sz w:val="24"/>
          <w:szCs w:val="24"/>
        </w:rPr>
        <w:t>(m</w:t>
      </w:r>
      <w:r w:rsidRPr="00DA21D0">
        <w:rPr>
          <w:rFonts w:ascii="Sylfaen" w:hAnsi="Sylfaen"/>
          <w:i/>
          <w:sz w:val="24"/>
          <w:szCs w:val="24"/>
          <w:vertAlign w:val="subscript"/>
        </w:rPr>
        <w:t>1</w:t>
      </w:r>
      <w:r w:rsidRPr="00DA21D0">
        <w:rPr>
          <w:rFonts w:ascii="Sylfaen" w:hAnsi="Sylfaen"/>
          <w:i/>
          <w:sz w:val="24"/>
          <w:szCs w:val="24"/>
        </w:rPr>
        <w:t>)</w:t>
      </w:r>
      <w:r w:rsidRPr="00DA21D0">
        <w:rPr>
          <w:rFonts w:ascii="Sylfaen" w:hAnsi="Sylfaen"/>
          <w:sz w:val="24"/>
          <w:szCs w:val="24"/>
        </w:rPr>
        <w:t xml:space="preserve"> ճշգրտությամբ։ Այնուհետեւ կատարվում է մասնավոր դեղագրքային հոդվածում եւ (կամ) որակի վերաբերյալ նորմատիվ փաստաթղթում նշված սեղմումների ճիշտ քանակը </w:t>
      </w:r>
      <w:r w:rsidRPr="00DA21D0">
        <w:rPr>
          <w:rFonts w:ascii="Sylfaen" w:hAnsi="Sylfaen"/>
          <w:i/>
          <w:sz w:val="24"/>
          <w:szCs w:val="24"/>
        </w:rPr>
        <w:t>(n)</w:t>
      </w:r>
      <w:r w:rsidRPr="00DA21D0">
        <w:rPr>
          <w:rFonts w:ascii="Sylfaen" w:hAnsi="Sylfaen"/>
          <w:sz w:val="24"/>
          <w:szCs w:val="24"/>
        </w:rPr>
        <w:t xml:space="preserve"> (10-ից մինչեւ 20)՝ առնվազն 5 վրկ միջակայքով, եւ ցողացրիչի հետ փաթեթվածքը կշռվում է մինչեւ 0,01 գ </w:t>
      </w:r>
      <w:r w:rsidRPr="00DA21D0">
        <w:rPr>
          <w:rFonts w:ascii="Sylfaen" w:hAnsi="Sylfaen"/>
          <w:i/>
          <w:sz w:val="24"/>
          <w:szCs w:val="24"/>
        </w:rPr>
        <w:t>(m</w:t>
      </w:r>
      <w:r w:rsidRPr="00DA21D0">
        <w:rPr>
          <w:rFonts w:ascii="Sylfaen" w:hAnsi="Sylfaen"/>
          <w:i/>
          <w:sz w:val="24"/>
          <w:szCs w:val="24"/>
          <w:vertAlign w:val="subscript"/>
        </w:rPr>
        <w:t>2</w:t>
      </w:r>
      <w:r w:rsidRPr="00DA21D0">
        <w:rPr>
          <w:rFonts w:ascii="Sylfaen" w:hAnsi="Sylfaen"/>
          <w:i/>
          <w:sz w:val="24"/>
          <w:szCs w:val="24"/>
        </w:rPr>
        <w:t>)</w:t>
      </w:r>
      <w:r w:rsidRPr="00DA21D0">
        <w:rPr>
          <w:rFonts w:ascii="Sylfaen" w:hAnsi="Sylfaen"/>
          <w:sz w:val="24"/>
          <w:szCs w:val="24"/>
        </w:rPr>
        <w:t xml:space="preserve"> ճշգրտությամբ։</w:t>
      </w:r>
    </w:p>
    <w:p w14:paraId="0531B24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Մեկ դեղաչափի միջին զանգվածը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i/>
          <w:sz w:val="24"/>
          <w:szCs w:val="24"/>
        </w:rPr>
        <w:t>)</w:t>
      </w:r>
      <w:r w:rsidRPr="00DA21D0">
        <w:rPr>
          <w:rFonts w:ascii="Sylfaen" w:hAnsi="Sylfaen"/>
          <w:sz w:val="24"/>
          <w:szCs w:val="24"/>
        </w:rPr>
        <w:t xml:space="preserve"> գրամներով հաշվարկվում է հետեւյալ բանաձեւով.</w:t>
      </w:r>
    </w:p>
    <w:p w14:paraId="5E909BD0" w14:textId="77777777" w:rsidR="00134BE9" w:rsidRPr="00DA21D0" w:rsidRDefault="00000000" w:rsidP="00134BE9">
      <w:pPr>
        <w:pStyle w:val="a0"/>
        <w:shd w:val="clear" w:color="auto" w:fill="auto"/>
        <w:spacing w:after="160" w:line="360" w:lineRule="auto"/>
        <w:ind w:firstLine="567"/>
        <w:rPr>
          <w:rFonts w:ascii="Cambria Math" w:hAnsi="Sylfaen" w:cs="Sylfaen"/>
          <w:sz w:val="24"/>
          <w:szCs w:val="24"/>
          <w:oMath/>
        </w:rPr>
      </w:pPr>
      <m:oMathPara>
        <m:oMath>
          <m:sSub>
            <m:sSubPr>
              <m:ctrlPr>
                <w:rPr>
                  <w:rFonts w:ascii="Cambria Math" w:hAnsi="Sylfaen" w:cs="Sylfaen"/>
                  <w:bCs/>
                  <w:i/>
                  <w:sz w:val="24"/>
                  <w:szCs w:val="24"/>
                </w:rPr>
              </m:ctrlPr>
            </m:sSubPr>
            <m:e>
              <m:r>
                <w:rPr>
                  <w:rFonts w:ascii="Cambria Math" w:hAnsi="Cambria Math" w:cs="Sylfaen"/>
                  <w:sz w:val="24"/>
                  <w:szCs w:val="24"/>
                </w:rPr>
                <m:t>m</m:t>
              </m:r>
            </m:e>
            <m:sub>
              <m:r>
                <w:rPr>
                  <w:rFonts w:ascii="Cambria Math" w:hAnsi="Cambria Math" w:cs="Sylfaen"/>
                  <w:sz w:val="24"/>
                  <w:szCs w:val="24"/>
                </w:rPr>
                <m:t>cp</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1</m:t>
                  </m:r>
                </m:sub>
              </m:sSub>
              <m:r>
                <w:rPr>
                  <w:rFonts w:ascii="Sylfaen"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2</m:t>
                  </m:r>
                </m:sub>
              </m:sSub>
            </m:num>
            <m:den>
              <m:r>
                <w:rPr>
                  <w:rFonts w:ascii="Cambria Math" w:hAnsi="Cambria Math" w:cs="Sylfaen"/>
                  <w:sz w:val="24"/>
                  <w:szCs w:val="24"/>
                </w:rPr>
                <m:t>n</m:t>
              </m:r>
            </m:den>
          </m:f>
        </m:oMath>
      </m:oMathPara>
    </w:p>
    <w:p w14:paraId="6CB674D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Փորձարկումները անցկացնում են (20 ± 2) °С ջերմաստիճանում։</w:t>
      </w:r>
    </w:p>
    <w:p w14:paraId="2EAD6D18"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Մասնավոր դեղագրքային հոդվածում կամ որակի վերաբերյալ նորմատիվ փաստաթղթում այլ ցուցումների բացակայության դեպքում մեկ դեղաչափի միջին զանգվածը պետք է լինի դեղաչափի հայտագրված զանգվածից 85 %-ից մինչեւ 115</w:t>
      </w:r>
      <w:r w:rsidR="008D6E8B" w:rsidRPr="008D6E8B">
        <w:rPr>
          <w:rFonts w:ascii="Sylfaen" w:hAnsi="Sylfaen"/>
          <w:sz w:val="24"/>
          <w:szCs w:val="24"/>
        </w:rPr>
        <w:t> </w:t>
      </w:r>
      <w:r w:rsidRPr="00DA21D0">
        <w:rPr>
          <w:rFonts w:ascii="Sylfaen" w:hAnsi="Sylfaen"/>
          <w:sz w:val="24"/>
          <w:szCs w:val="24"/>
        </w:rPr>
        <w:t>%-ի սահմաններում։</w:t>
      </w:r>
    </w:p>
    <w:p w14:paraId="4E3EF77A" w14:textId="77777777" w:rsidR="00134BE9" w:rsidRPr="003A4194" w:rsidRDefault="00134BE9" w:rsidP="00134BE9">
      <w:pPr>
        <w:pStyle w:val="a0"/>
        <w:shd w:val="clear" w:color="auto" w:fill="auto"/>
        <w:spacing w:after="160" w:line="346" w:lineRule="auto"/>
        <w:ind w:firstLine="567"/>
        <w:jc w:val="both"/>
        <w:rPr>
          <w:rFonts w:ascii="Sylfaen" w:hAnsi="Sylfaen"/>
          <w:sz w:val="24"/>
          <w:szCs w:val="24"/>
        </w:rPr>
      </w:pPr>
      <w:r w:rsidRPr="00DA21D0">
        <w:rPr>
          <w:rFonts w:ascii="Sylfaen" w:hAnsi="Sylfaen"/>
          <w:b/>
          <w:sz w:val="24"/>
          <w:szCs w:val="24"/>
        </w:rPr>
        <w:t xml:space="preserve">Մատակարարվող (ձերբազատվող) դեղաչափերի միատարրությունը (Դեղաչափման միատարրությունը). </w:t>
      </w:r>
      <w:r w:rsidRPr="00DA21D0">
        <w:rPr>
          <w:rFonts w:ascii="Sylfaen" w:hAnsi="Sylfaen"/>
          <w:sz w:val="24"/>
          <w:szCs w:val="24"/>
        </w:rPr>
        <w:t>Փորձարկումն անցկացնում են դեղաչափված այն աերոզոլների համար, որոնք էմուլսիաներ կամ դեղակախույթներ են։</w:t>
      </w:r>
    </w:p>
    <w:p w14:paraId="60A8E147" w14:textId="77777777" w:rsidR="00DA21D0" w:rsidRPr="003A4194" w:rsidRDefault="00DA21D0" w:rsidP="00134BE9">
      <w:pPr>
        <w:pStyle w:val="a0"/>
        <w:shd w:val="clear" w:color="auto" w:fill="auto"/>
        <w:spacing w:after="160" w:line="346" w:lineRule="auto"/>
        <w:ind w:firstLine="567"/>
        <w:jc w:val="both"/>
        <w:rPr>
          <w:rFonts w:ascii="Sylfaen" w:hAnsi="Sylfaen" w:cs="Sylfaen"/>
          <w:sz w:val="24"/>
          <w:szCs w:val="24"/>
        </w:rPr>
      </w:pPr>
    </w:p>
    <w:p w14:paraId="49D7587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 xml:space="preserve">Ինհալացիաների համար աերոզոլների տեսքով դեղապատրաստուկների փորձարկումն անցկացնում են </w:t>
      </w:r>
      <w:r w:rsidRPr="00DA21D0">
        <w:rPr>
          <w:rFonts w:ascii="Sylfaen" w:hAnsi="Sylfaen"/>
          <w:i/>
          <w:sz w:val="24"/>
          <w:szCs w:val="24"/>
        </w:rPr>
        <w:t>2.5.3.2. Ինհալացիոն կիրառման դեղապատրաստուկներ (փորձարկում. Մատակարարվող (ձերբազատվող) դեղաչափերի միատարրությունը)</w:t>
      </w:r>
      <w:r w:rsidRPr="00DA21D0">
        <w:rPr>
          <w:rFonts w:ascii="Sylfaen" w:hAnsi="Sylfaen"/>
          <w:sz w:val="24"/>
          <w:szCs w:val="24"/>
        </w:rPr>
        <w:t xml:space="preserve"> ընդհանուր դեղագրքային հոդվածին համապատասխան։</w:t>
      </w:r>
    </w:p>
    <w:p w14:paraId="6569370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Ցուցանիշի հսկողությունը պետք է անցկացվի ինչպես մեկ փաթեթվածքից </w:t>
      </w:r>
      <w:r w:rsidRPr="008D6E8B">
        <w:rPr>
          <w:rFonts w:ascii="Sylfaen" w:hAnsi="Sylfaen"/>
          <w:spacing w:val="-4"/>
          <w:sz w:val="24"/>
          <w:szCs w:val="24"/>
        </w:rPr>
        <w:t>ձերբազատվող դեղաչափերի համար, այնպես էլ տարբեր փաթեթվածքներից ստացված դեղաչափերի համար: Դեղաչափերի ընտրության ընթացակարգը պետք է ներառի</w:t>
      </w:r>
      <w:r w:rsidRPr="00DA21D0">
        <w:rPr>
          <w:rFonts w:ascii="Sylfaen" w:hAnsi="Sylfaen"/>
          <w:sz w:val="24"/>
          <w:szCs w:val="24"/>
        </w:rPr>
        <w:t xml:space="preserve"> դեղաչափերի ընտրություն պատրաստուկի օգտագործման սկզբում, կեսին եւ վերջում։</w:t>
      </w:r>
    </w:p>
    <w:p w14:paraId="1071D08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Մասնավոր դեղագրքային հոդվածում եւ (կամ) որակի վերաբերյալ նորմատիվ փաստաթղթում այլ ցուցումների բացակայության դեպքում փորձարկման համար աերոզոլների 10 փաթեթվածքից դեղաչափերի ընտրությունն անցկացնում են հետեւյալ կերպ. երեք փաթեթվածքներից դեղաչափերի անհրաժեշտ քանակությունը ձերբազատում են դեղապատրաստուկի օգտագործման սկզբում, չորս փաթեթվածքներից՝ դեղապատրաստուկի օգտագործման կեսին, երեք փաթեթվածքներից՝ դեղապատրաստուկի օգտագործման վերջում։</w:t>
      </w:r>
    </w:p>
    <w:p w14:paraId="795AA17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Մատակարարվող (ձերբազատվող) դեղաչափերի միատարրության (դեղաչափման միատարրության) որոշման մեթոդիկան մեկ փաթեթվածքի համար.</w:t>
      </w:r>
      <w:r w:rsidRPr="00DA21D0">
        <w:rPr>
          <w:rFonts w:ascii="Sylfaen" w:hAnsi="Sylfaen"/>
          <w:sz w:val="24"/>
          <w:szCs w:val="24"/>
        </w:rPr>
        <w:t xml:space="preserve"> Փորձարկումն անցկացնում են այնպիսի ապարատի կամ սարքի միջոցով, որը կարող է քանակապես պահպանել ցողացրիչ սարքից ազատված դեղաչափը։ Փաթեթվածքը թափահարում են 5 վրկ, ձերբազատում եւ հեռացնում են մեկ դեղաչափ։ Առնվազն 5 վրկ անց փաթեթվածքը թափահարում են 5 վրկ, կրկին ձերբազատում եւ հեռացնում են մեկ դեղաչափ։ Նշված ընթացակարգը կրկնում են եւս 3 անգամ, եթե մասնավոր դեղագրքային հոդվածում եւ (կամ) որակի վերաբերյալ նորմատիվ փաստաթղթում այլ ցուցումներ չկան։ 5 վրկ անց մեկ դեղաչափ բաց է թողնվում ապարատի ընդունիչի մեջ։ Ընդունիչի </w:t>
      </w:r>
      <w:r w:rsidRPr="00DA21D0">
        <w:rPr>
          <w:rFonts w:ascii="Sylfaen" w:hAnsi="Sylfaen"/>
          <w:sz w:val="24"/>
          <w:szCs w:val="24"/>
        </w:rPr>
        <w:lastRenderedPageBreak/>
        <w:t>պարունակությունը հավաքում են հաջորդաբար լվացումների եղանակով եւ միացված լվացքաջրերի մեջ որոշում են ազդող նյութի պարունակությունը։</w:t>
      </w:r>
    </w:p>
    <w:p w14:paraId="24F12FD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Փորձարկումը կրկնում են մասնավոր դեղագրքային հոդվածում եւ (կամ) որակի վերաբերյալ նորմատիվ փաստաթղթում նշված եւս 9 դեղաչափերի համար։ Որոշում են միջին մատակարարվող դեղաչափը (դեղապատրաստուկի մատակարարվող մեկ դեղաչափի մեջ ազդող նյութի պարունակության միջին արժեքը) եւ միջին մատակարարվող դեղաչափից անհատական արժեքների շեղումները։ Միջին մատակարարվող (ձերբազատվող) դեղաչափի թույլատրելի շեղումները պետք է լինեն պիտակի վրա նշված՝ հայտագրված արժեքից 85 %-ից մինչեւ 115 %։</w:t>
      </w:r>
    </w:p>
    <w:p w14:paraId="53C439D2"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Դեղապատրաստուկն անցնում է փորձարկումը, եթե 10 արդյունքներից 9-ը գտնվում են միջին արժեքից 75 %-ից մինչեւ 125 %-ի սահմաններում, իսկ բոլոր արդյունքները գտնվում են 65 %-ից մինչեւ 135 %-ի սահմաններում։ Եթե 2 կամ 3 արդյունք դուրս է մնում 75-125 % սահմաններից, ապա փորձարկումը կրկնում են մյուս 20 դեղաչափերի հետ։ 30 արժեքներից առնվազն 3-ը կարող են դուրս գալ 75-125 % սահմաններից, եւ բոլոր արժեքները պետք է 65 %-ից մինչեւ 135 % սահմաններում լինեն։</w:t>
      </w:r>
    </w:p>
    <w:p w14:paraId="29EAFF6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Մի քանի ազդող նյութ պարունակող աերոզոլների համար մատակարարվող (ձերբազատվող) դեղաչափերի միատարրության փորձարկումը պետք է կատարվի յուրաքանչյուր նյութի համար։</w:t>
      </w:r>
    </w:p>
    <w:p w14:paraId="37553BF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Փաթեթվածքից ձերբազատումների քանակը (դեղաչափերի քանակը փաթեթվածքի մեջ). </w:t>
      </w:r>
      <w:r w:rsidRPr="00DA21D0">
        <w:rPr>
          <w:rFonts w:ascii="Sylfaen" w:hAnsi="Sylfaen"/>
          <w:sz w:val="24"/>
          <w:szCs w:val="24"/>
        </w:rPr>
        <w:t>Փորձարկումն անցկացնում են դեղաչափված աերոզոլների համար բազմադեղաչափ փաթեթվածքի մեջ՝ նշված մեթոդներից մեկով։</w:t>
      </w:r>
    </w:p>
    <w:p w14:paraId="5BEAE80B"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Մեթոդ 1. Բաց են թողնում մեկ փաթեթվածքի պարունակությունը՝ ձերբազատելով դեղաչափերը առնվազն 5 վրկ միջակայքով։ Գրանցում են ձերբազատված դեղաչափերի քանակը։</w:t>
      </w:r>
    </w:p>
    <w:p w14:paraId="5DD4E25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4AFCC0A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 xml:space="preserve">Թույլատրվում է փորձարկումն անցկացնել՝ որոշելով միաժամանակ </w:t>
      </w:r>
      <w:r w:rsidRPr="00DA21D0">
        <w:rPr>
          <w:rFonts w:ascii="Sylfaen" w:hAnsi="Sylfaen"/>
          <w:i/>
          <w:sz w:val="24"/>
          <w:szCs w:val="24"/>
        </w:rPr>
        <w:t>Մատակարարվող (ձերբազատվող) դեղաչափերի զանգվածի միատարրությունը/Մատակարարվող (ձերբազատվող) դեղաչափերի միատարրությունը (Դեղաչափման միատարրությունը)</w:t>
      </w:r>
      <w:r w:rsidRPr="00DA21D0">
        <w:rPr>
          <w:rFonts w:ascii="Sylfaen" w:hAnsi="Sylfaen"/>
          <w:sz w:val="24"/>
          <w:szCs w:val="24"/>
        </w:rPr>
        <w:t xml:space="preserve"> ցուցանիշը։</w:t>
      </w:r>
    </w:p>
    <w:p w14:paraId="5D76DF3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Մեթոդ 2. Փաթեթվածքը կշռում են ցողացրիչի հետ միասին մինչեւ 0,01 գ (</w:t>
      </w:r>
      <w:r w:rsidRPr="00DA21D0">
        <w:rPr>
          <w:rFonts w:ascii="Sylfaen" w:hAnsi="Sylfaen"/>
          <w:i/>
          <w:sz w:val="24"/>
          <w:szCs w:val="24"/>
        </w:rPr>
        <w:t>m</w:t>
      </w:r>
      <w:r w:rsidRPr="00DA21D0">
        <w:rPr>
          <w:rFonts w:ascii="Sylfaen" w:hAnsi="Sylfaen"/>
          <w:i/>
          <w:sz w:val="24"/>
          <w:szCs w:val="24"/>
          <w:vertAlign w:val="subscript"/>
        </w:rPr>
        <w:t>3</w:t>
      </w:r>
      <w:r w:rsidRPr="00DA21D0">
        <w:rPr>
          <w:rFonts w:ascii="Sylfaen" w:hAnsi="Sylfaen"/>
          <w:sz w:val="24"/>
          <w:szCs w:val="24"/>
        </w:rPr>
        <w:t>) ճշգրտությամբ։ Ցողացրիչի վրա սեղմելով՝ փաթեթվածքից բաց են թողնում ողջ պարունակությունը եւ փաթեթվածքը փոշեցիրի հետ միասին նորից կշռում են մինչեւ 0,01 գ (m</w:t>
      </w:r>
      <w:r w:rsidRPr="00DA21D0">
        <w:rPr>
          <w:rFonts w:ascii="Sylfaen" w:hAnsi="Sylfaen"/>
          <w:sz w:val="24"/>
          <w:szCs w:val="24"/>
          <w:vertAlign w:val="subscript"/>
        </w:rPr>
        <w:t>4</w:t>
      </w:r>
      <w:r w:rsidRPr="00DA21D0">
        <w:rPr>
          <w:rFonts w:ascii="Sylfaen" w:hAnsi="Sylfaen"/>
          <w:sz w:val="24"/>
          <w:szCs w:val="24"/>
        </w:rPr>
        <w:t>) ճշգրտությամբ։</w:t>
      </w:r>
    </w:p>
    <w:p w14:paraId="345D3A8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Մեկ փաթեթվածքի մեջ դեղաչափերի միջին քանակը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sz w:val="24"/>
          <w:szCs w:val="24"/>
        </w:rPr>
        <w:t>) հաշվարկում են հետեւյալ բանաձեւով.</w:t>
      </w:r>
    </w:p>
    <w:p w14:paraId="779C5F08" w14:textId="77777777" w:rsidR="00134BE9" w:rsidRPr="00DA21D0" w:rsidRDefault="00000000" w:rsidP="00134BE9">
      <w:pPr>
        <w:pStyle w:val="a0"/>
        <w:shd w:val="clear" w:color="auto" w:fill="auto"/>
        <w:spacing w:after="160" w:line="360" w:lineRule="auto"/>
        <w:ind w:firstLine="567"/>
        <w:jc w:val="center"/>
        <w:rPr>
          <w:rFonts w:ascii="Cambria Math" w:hAnsi="Sylfaen" w:cs="Sylfaen"/>
          <w:sz w:val="24"/>
          <w:szCs w:val="24"/>
          <w:oMath/>
        </w:rPr>
      </w:pPr>
      <m:oMathPara>
        <m:oMath>
          <m:sSub>
            <m:sSubPr>
              <m:ctrlPr>
                <w:rPr>
                  <w:rFonts w:ascii="Cambria Math" w:hAnsi="Sylfaen" w:cs="Sylfaen"/>
                  <w:bCs/>
                  <w:i/>
                  <w:sz w:val="24"/>
                  <w:szCs w:val="24"/>
                </w:rPr>
              </m:ctrlPr>
            </m:sSubPr>
            <m:e>
              <m:r>
                <w:rPr>
                  <w:rFonts w:ascii="Cambria Math" w:hAnsi="Cambria Math" w:cs="Sylfaen"/>
                  <w:sz w:val="24"/>
                  <w:szCs w:val="24"/>
                </w:rPr>
                <m:t>n</m:t>
              </m:r>
            </m:e>
            <m:sub>
              <m:r>
                <w:rPr>
                  <w:rFonts w:ascii="Cambria Math" w:hAnsi="Cambria Math" w:cs="Sylfaen"/>
                  <w:sz w:val="24"/>
                  <w:szCs w:val="24"/>
                </w:rPr>
                <m:t>cp</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3</m:t>
                  </m:r>
                </m:sub>
              </m:sSub>
              <m:r>
                <w:rPr>
                  <w:rFonts w:ascii="Sylfaen"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4</m:t>
                  </m:r>
                </m:sub>
              </m:sSub>
            </m:num>
            <m:den>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Cambria Math" w:cs="Sylfaen"/>
                      <w:sz w:val="24"/>
                      <w:szCs w:val="24"/>
                    </w:rPr>
                    <m:t>cp</m:t>
                  </m:r>
                </m:sub>
              </m:sSub>
            </m:den>
          </m:f>
        </m:oMath>
      </m:oMathPara>
    </w:p>
    <w:p w14:paraId="44F6A300"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lang w:val="en-US"/>
        </w:rPr>
      </w:pPr>
    </w:p>
    <w:p w14:paraId="44D822D2"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որտեղ՝</w:t>
      </w:r>
    </w:p>
    <w:p w14:paraId="32BCBAB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m</w:t>
      </w:r>
      <w:r w:rsidRPr="00DA21D0">
        <w:rPr>
          <w:rFonts w:ascii="Sylfaen" w:hAnsi="Sylfaen"/>
          <w:i/>
          <w:sz w:val="24"/>
          <w:szCs w:val="24"/>
          <w:vertAlign w:val="subscript"/>
        </w:rPr>
        <w:t>մջն-ն</w:t>
      </w:r>
      <w:r w:rsidRPr="00DA21D0">
        <w:rPr>
          <w:rFonts w:ascii="Sylfaen" w:hAnsi="Sylfaen"/>
          <w:sz w:val="24"/>
          <w:szCs w:val="24"/>
        </w:rPr>
        <w:t xml:space="preserve">՝ մեկ դեղաչափի միջին զանգվածն է, որը հաշվարկված է </w:t>
      </w:r>
      <w:r w:rsidRPr="00DA21D0">
        <w:rPr>
          <w:rFonts w:ascii="Sylfaen" w:hAnsi="Sylfaen"/>
          <w:i/>
          <w:sz w:val="24"/>
          <w:szCs w:val="24"/>
        </w:rPr>
        <w:t>Մատակարարվող (ձերբազատվող) դեղաչափերի զանգվածի միատարրությունը</w:t>
      </w:r>
      <w:r w:rsidRPr="00DA21D0">
        <w:rPr>
          <w:rFonts w:ascii="Sylfaen" w:hAnsi="Sylfaen"/>
          <w:sz w:val="24"/>
          <w:szCs w:val="24"/>
        </w:rPr>
        <w:t xml:space="preserve"> ցուցանիշը գրամներով որոշելիս։</w:t>
      </w:r>
    </w:p>
    <w:p w14:paraId="0D54C67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Փորձարկման արդյունքում ստացված դեղաչափերի քանակը պետք է լինի պիտակի վրա նշված դեղաչափերի քանակից ոչ պակաս։</w:t>
      </w:r>
    </w:p>
    <w:p w14:paraId="084DB87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Մասնիկների չափը. </w:t>
      </w:r>
      <w:r w:rsidRPr="00DA21D0">
        <w:rPr>
          <w:rFonts w:ascii="Sylfaen" w:hAnsi="Sylfaen"/>
          <w:sz w:val="24"/>
          <w:szCs w:val="24"/>
        </w:rPr>
        <w:t>Փորձարկումն անցկացնում են ազդող նյութերի դեղակախույթներ համարվող աերոզոլների համար, որոնք նախատեսված չեն ինհալացիաների համար։ Որոշման մեթոդիկան եւ մասնիկների չափին ներկայացվող պահանջները պետք է նշվեն մասնավոր դեղագրքային հոդվածում եւ (կամ) որակի վերաբերյալ նորմատիվ փաստաթղթում։</w:t>
      </w:r>
    </w:p>
    <w:p w14:paraId="28AA77C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Շնչառական ֆրակցիան. (Մանրադիսպերս մասնիկների աերոդինամիկական բաշխումը). </w:t>
      </w:r>
      <w:r w:rsidRPr="00DA21D0">
        <w:rPr>
          <w:rFonts w:ascii="Sylfaen" w:hAnsi="Sylfaen"/>
          <w:sz w:val="24"/>
          <w:szCs w:val="24"/>
        </w:rPr>
        <w:t xml:space="preserve">Փորձարկումն անցկացնում են ինհալացիաների համար նախատեսված աերոզոլների համար՝ մասնավոր դեղագրքային հոդվածում եւ </w:t>
      </w:r>
      <w:r w:rsidRPr="00DA21D0">
        <w:rPr>
          <w:rFonts w:ascii="Sylfaen" w:hAnsi="Sylfaen"/>
          <w:sz w:val="24"/>
          <w:szCs w:val="24"/>
        </w:rPr>
        <w:lastRenderedPageBreak/>
        <w:t>(կամ) որակի վերաբերյալ նորմատիվ փաստաթղթում նշված պահանջներին համապատասխան։</w:t>
      </w:r>
    </w:p>
    <w:p w14:paraId="2EC2299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pH-ը. </w:t>
      </w:r>
      <w:r w:rsidRPr="00DA21D0">
        <w:rPr>
          <w:rFonts w:ascii="Sylfaen" w:hAnsi="Sylfaen"/>
          <w:sz w:val="24"/>
          <w:szCs w:val="24"/>
        </w:rPr>
        <w:t xml:space="preserve">Փորձարկումն անցկացնում են, եթե նշված է մասնավոր դեղագրքային հոդվածում եւ (կամ) որակի վերաբերյալ նորմատիվ փաստաթղթում՝ </w:t>
      </w:r>
      <w:r w:rsidRPr="00DA21D0">
        <w:rPr>
          <w:rFonts w:ascii="Sylfaen" w:hAnsi="Sylfaen"/>
          <w:i/>
          <w:sz w:val="24"/>
          <w:szCs w:val="24"/>
        </w:rPr>
        <w:t>2.1.2.3. pH-ի պոտենցաչափական որոշում</w:t>
      </w:r>
      <w:r w:rsidRPr="00DA21D0">
        <w:rPr>
          <w:rFonts w:ascii="Sylfaen" w:hAnsi="Sylfaen"/>
          <w:sz w:val="24"/>
          <w:szCs w:val="24"/>
        </w:rPr>
        <w:t xml:space="preserve"> ընդհանուր դեղագրքային հոդվածին համապատասխան։ pH-ի արժեքը նշում են մասնավոր դեղագրքային հոդվածում եւ (կամ) որակի վերաբերյալ նորմատիվ փաստաթղթում։</w:t>
      </w:r>
    </w:p>
    <w:p w14:paraId="69C2824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Ջուր. </w:t>
      </w:r>
      <w:r w:rsidRPr="00DA21D0">
        <w:rPr>
          <w:rFonts w:ascii="Sylfaen" w:hAnsi="Sylfaen"/>
          <w:sz w:val="24"/>
          <w:szCs w:val="24"/>
        </w:rPr>
        <w:t>Փորձարկումն անցկացնում են, եթե նշված է մասնավոր դեղագրքային հոդվածում կամ որակի վերաբերյալ նորմատիվ փաստաթղթում այն դեպքերում, երբ ջրի պարունակությունը կարող է ազդել դեղապատրաստուկի բնութագրերի (ազդող նյութի/նյութերի կենսամատչելիությունը, կայունությունը եւ այլն) վրա։</w:t>
      </w:r>
    </w:p>
    <w:p w14:paraId="660E059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Որոշումն անցկացնում են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ընդհանուր դեղագրքային հոդվածին, </w:t>
      </w:r>
      <w:r w:rsidRPr="00DA21D0">
        <w:rPr>
          <w:rFonts w:ascii="Sylfaen" w:hAnsi="Sylfaen"/>
          <w:i/>
          <w:sz w:val="24"/>
          <w:szCs w:val="24"/>
        </w:rPr>
        <w:t>2.1.5.13. Ջուր. միկրոորոշում</w:t>
      </w:r>
      <w:r w:rsidRPr="00DA21D0">
        <w:rPr>
          <w:rFonts w:ascii="Sylfaen" w:hAnsi="Sylfaen"/>
          <w:sz w:val="24"/>
          <w:szCs w:val="24"/>
        </w:rPr>
        <w:t xml:space="preserve"> ընդհանուր դեղագրքային հոդվածին եւ մասնավոր դեղագրքային հոդվածում կամ որակի վերաբերյալ նորմատիվ փաստաթղթում նշված պահանջներին համապատասխան։</w:t>
      </w:r>
    </w:p>
    <w:p w14:paraId="42F9331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6D2AE7C1"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ՄԱԿՆՇՈՒՄԸ</w:t>
      </w:r>
    </w:p>
    <w:p w14:paraId="2209B97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Աերոզոլների համար պետք է նախատեսվեն նախազգուշացնող գրառումներ. «Հեռու պահել կրակի աղբյուրից, ջեռուցման համակարգից եւ արեւի ուղիղ ճառագայթներից», «Չբացել», «Պաշտպանել ընկնելուց եւ հարվածներից» եւ անհրաժեշտության դեպքում՝ այլ գրառումներ։</w:t>
      </w:r>
    </w:p>
    <w:p w14:paraId="6A1E03A4" w14:textId="77777777" w:rsidR="00134BE9" w:rsidRPr="00DA21D0" w:rsidRDefault="00134BE9" w:rsidP="00134BE9">
      <w:pPr>
        <w:pStyle w:val="a0"/>
        <w:shd w:val="clear" w:color="auto" w:fill="auto"/>
        <w:spacing w:after="160" w:line="360" w:lineRule="auto"/>
        <w:ind w:firstLine="567"/>
        <w:rPr>
          <w:rFonts w:ascii="Sylfaen" w:hAnsi="Sylfaen"/>
          <w:b/>
          <w:sz w:val="24"/>
          <w:szCs w:val="24"/>
        </w:rPr>
      </w:pPr>
    </w:p>
    <w:p w14:paraId="1C7EA7DC" w14:textId="77777777" w:rsidR="00134BE9" w:rsidRPr="00DA21D0" w:rsidRDefault="00134BE9" w:rsidP="00134BE9">
      <w:pPr>
        <w:rPr>
          <w:rFonts w:eastAsia="Times New Roman" w:cs="Times New Roman"/>
          <w:b/>
        </w:rPr>
      </w:pPr>
      <w:r w:rsidRPr="00DA21D0">
        <w:rPr>
          <w:b/>
        </w:rPr>
        <w:br w:type="page"/>
      </w:r>
    </w:p>
    <w:p w14:paraId="41FA715F"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r w:rsidRPr="00DA21D0">
        <w:rPr>
          <w:rFonts w:ascii="Sylfaen" w:hAnsi="Sylfaen"/>
          <w:b/>
          <w:szCs w:val="24"/>
        </w:rPr>
        <w:lastRenderedPageBreak/>
        <w:t>205010003-2022</w:t>
      </w:r>
    </w:p>
    <w:p w14:paraId="3FDC2A2B" w14:textId="77777777" w:rsidR="00134BE9" w:rsidRPr="00DA21D0" w:rsidRDefault="00134BE9" w:rsidP="00134BE9">
      <w:pPr>
        <w:pStyle w:val="a0"/>
        <w:shd w:val="clear" w:color="auto" w:fill="auto"/>
        <w:spacing w:after="160" w:line="360" w:lineRule="auto"/>
        <w:ind w:firstLine="567"/>
        <w:rPr>
          <w:rFonts w:ascii="Sylfaen" w:hAnsi="Sylfaen"/>
          <w:b/>
          <w:sz w:val="24"/>
          <w:szCs w:val="24"/>
        </w:rPr>
      </w:pPr>
    </w:p>
    <w:p w14:paraId="7C4A9998"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2.1.5.З.</w:t>
      </w:r>
      <w:r w:rsidRPr="00DA21D0">
        <w:rPr>
          <w:rFonts w:ascii="Sylfaen" w:hAnsi="Sylfaen"/>
          <w:b/>
          <w:sz w:val="24"/>
          <w:szCs w:val="24"/>
        </w:rPr>
        <w:tab/>
        <w:t>Գազեր բժշկական</w:t>
      </w:r>
    </w:p>
    <w:p w14:paraId="54F3649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Գազեր բժշկական՝ դեղաձեւ, որը ցանկացած նյութ  կամ նյութերի խառնուրդ է, որը գազակերպ է նորմալ մթնոլորտային ճնշման եւ սենյակային ջերմաստիճանի</w:t>
      </w:r>
      <w:r w:rsidRPr="00DA21D0">
        <w:rPr>
          <w:rFonts w:ascii="Sylfaen" w:hAnsi="Sylfaen"/>
          <w:sz w:val="24"/>
          <w:szCs w:val="24"/>
        </w:rPr>
        <w:t xml:space="preserve"> պայմաններում։</w:t>
      </w:r>
    </w:p>
    <w:p w14:paraId="1866BED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Ստեղծված ջերմաստիճանային պայմաններով եւ ճնշմամբ պայմանավորված՝ տարբերակում են գազեր բժշկական՝ սառնածին, սեղմված եւ հեղուկացված։</w:t>
      </w:r>
    </w:p>
    <w:p w14:paraId="38B2EFC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Գազ՝ բժշկական, սառնածին՝ գազ բժշկական, որը հեղուկացվում է 101,3 կՊա ճնշման եւ 150 °С ջերմաստիճանից ցածր ջերմաստիճանի դեպքում։</w:t>
      </w:r>
    </w:p>
    <w:p w14:paraId="43A48FD0" w14:textId="77777777" w:rsidR="00134BE9" w:rsidRPr="00DA21D0" w:rsidRDefault="00134BE9" w:rsidP="00134BE9">
      <w:pPr>
        <w:tabs>
          <w:tab w:val="left" w:pos="2568"/>
        </w:tabs>
        <w:spacing w:after="160" w:line="360" w:lineRule="auto"/>
        <w:ind w:firstLine="567"/>
      </w:pPr>
      <w:r w:rsidRPr="00DA21D0">
        <w:t>Գազ՝ բժշկական, սեղմված՝ գազ բժշկական, որը 50 °С ջերմաստիճանից ցածր ջերմաստիճանի ճնշման տակ լցավորման ժամանակ պահպանում է գազակերպ վիճակ։</w:t>
      </w:r>
    </w:p>
    <w:p w14:paraId="1B2DEA1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Գազ՝ բժշկական, հեղուկացված՝ գազ բժշկական, որը 50 °С ջերմաստիճանից ցածր ջերմաստիճանում ճնշման տակ լցավորման ժամանակ գտնվում է երկֆազ վիճակում (գազ հեղուկի վրա)։</w:t>
      </w:r>
    </w:p>
    <w:p w14:paraId="4B7A51C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Որպես դեղաձեւ՝ բժշկական գազերը կարող են նախատեսված լինել մարդու օրգանիզմի վրա տեղային եւ (կամ) համակարգային ազդեցություն գործելու համար եւ ըստ կիրառման եղանակի կարող են լինել արտաքին, տեղային կամ ինհալացիոն կիրառման համար։</w:t>
      </w:r>
    </w:p>
    <w:p w14:paraId="2EA09FA1"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sz w:val="24"/>
          <w:szCs w:val="24"/>
        </w:rPr>
        <w:t xml:space="preserve">Բժշկական գազերը դիտարկում են նաեւ որպես դեղամիջոց, ընդ որում, բժշկական հեղուկացված գազերն ակտիվ դեղագործական բաղադրամասեր են, որոնք օգտագործում են </w:t>
      </w:r>
      <w:r w:rsidRPr="00DA21D0">
        <w:rPr>
          <w:rFonts w:ascii="Sylfaen" w:hAnsi="Sylfaen"/>
          <w:i/>
          <w:sz w:val="24"/>
          <w:szCs w:val="24"/>
        </w:rPr>
        <w:t>Գազեր բժշկական</w:t>
      </w:r>
      <w:r w:rsidRPr="00DA21D0">
        <w:rPr>
          <w:rFonts w:ascii="Sylfaen" w:hAnsi="Sylfaen"/>
          <w:sz w:val="24"/>
          <w:szCs w:val="24"/>
        </w:rPr>
        <w:t xml:space="preserve"> դեղաձեւերի տեսքով թողարկվող բժշկական սեղմված գազերի տեսքով դեղապատրաստուկներ ստանալու համար։</w:t>
      </w:r>
    </w:p>
    <w:p w14:paraId="6318B6E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462CDC4F"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ՏԵԽՆՈԼՈԳԻԱՅԻ ԱՌԱՆՁՆԱՀԱՏԿՈՒԹՅՈՒՆՆԵՐԸ</w:t>
      </w:r>
    </w:p>
    <w:p w14:paraId="420CA53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Որպես ակտիվ դեղագործական բաղադրամասեր կամ օժանդակ նյութեր դիտարկվող բժշկական գազերը կարող են արտադրվել քիմիական սինթեզի եղանակով կամ ստացվել բնական աղբյուրներից՝ անհրաժեշտության դեպքում դրանց հետագա մաքրմամբ։</w:t>
      </w:r>
    </w:p>
    <w:p w14:paraId="7A2B9CC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Բժշկական գազերի արտադրությունը պետք է կազմակերպվի արդյունաբերական պայմաններում՝ բժշկական գազերի պատշաճ արտադրական գործունեության կանոններին, գործող նորմատիվ ակտերի՝ վտանգավոր արտադրության տվյալ տեսակին ներկայացվող պահանջներին համապատասխան։</w:t>
      </w:r>
    </w:p>
    <w:p w14:paraId="762B528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Բժշկական գազերի արտադրության ընթացքում օգտագործվող ելանյութերը, օժանդակ նյութերը, ներառյալ՝ օդը, բնական գազերը, ջուրը եւ այլն, ինչպես նաեւ բժշկական գազերի փաթեթվածքը (գլանոթները, ցիստեռնները, ռեզերվուարները եւ այլ սառնածին տարողություններ) պետք է համապատասխանեն դրանց որակին ներկայացվող սահմանված պահանջներին, ներառյալ՝ մանրէաբանական մաքրությանը ներկայացվող պահանջներին։</w:t>
      </w:r>
    </w:p>
    <w:p w14:paraId="770A71E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Գլանանոթների՝ հիդրոստատիկ ճնշմամբ փորձարկելու համար օգտագործվող ջուրը պետք է լինի առնվազն խմելու ջրի որակի։ Անհրաժեշտ է անցկացնել օդի սեղմման ժամանակ սառեցնելու համար օգտագործվող ջրի մանրէաբանական հսկողություն, եթե ջուրը շփվում է բժշկական գազի հետ։</w:t>
      </w:r>
    </w:p>
    <w:p w14:paraId="66C0181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Գլանանոթներում սեղմված բժշկական գազերի արտադրության տեխնոլոգիական գործընթացի ժամանակ մասնավոր դեղագրքային հոդվածում եւ (կամ) որակի վերաբերյալ նորմատիվ փաստաթղթում այլ ցուցումների բացակայության դեպքում անցկացնում են ըստ </w:t>
      </w:r>
      <w:r w:rsidRPr="00DA21D0">
        <w:rPr>
          <w:rFonts w:ascii="Sylfaen" w:hAnsi="Sylfaen"/>
          <w:i/>
          <w:sz w:val="24"/>
          <w:szCs w:val="24"/>
        </w:rPr>
        <w:t>Փաթեթվածքում գազի ճնշումը, Փաթեթվածքի հերմետիկությունը,</w:t>
      </w:r>
      <w:r w:rsidRPr="00DA21D0">
        <w:rPr>
          <w:rFonts w:ascii="Sylfaen" w:hAnsi="Sylfaen"/>
          <w:sz w:val="24"/>
          <w:szCs w:val="24"/>
        </w:rPr>
        <w:t xml:space="preserve"> Ցուցանիշների որոշման մեթոդիկա. </w:t>
      </w:r>
      <w:r w:rsidRPr="00DA21D0">
        <w:rPr>
          <w:rFonts w:ascii="Sylfaen" w:hAnsi="Sylfaen"/>
          <w:i/>
          <w:sz w:val="24"/>
          <w:szCs w:val="24"/>
        </w:rPr>
        <w:t>Փաթեթվածքում գազի ճնշումը, Փաթեթվածքի հերմետիկությունը</w:t>
      </w:r>
      <w:r w:rsidRPr="00DA21D0">
        <w:rPr>
          <w:rFonts w:ascii="Sylfaen" w:hAnsi="Sylfaen"/>
          <w:sz w:val="24"/>
          <w:szCs w:val="24"/>
        </w:rPr>
        <w:t xml:space="preserve"> ցուցանիշների փորձարկում, ինչպես նաեւ պահանջները պետք է նշված լինեն մասնավոր դեղագրքային հոդվածում եւ (կամ) որակի վերաբերյալ նորմատիվ փաստաթղթում։</w:t>
      </w:r>
    </w:p>
    <w:p w14:paraId="7269D3B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Արդյունաբերական եղանակով ստացվող բժշկական գազերը կարող են օգտագործվել անմիջապես այն տեսքով, որով դրանք թողարկվել են, ինչպես նաեւ կարող են օգտագործվել բժշկական ստացիոնարի պայմաններում հետագայում գազաօդային խառնուրդ պատրաստելու համար կամ կարող են բաժնեծրարվել (օրինակ՝ թթվածնային բարձիկներով) դեղատնային կամ բժշկական կազմակերպության պայմաններում։</w:t>
      </w:r>
    </w:p>
    <w:p w14:paraId="60ED1D9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03958746"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1A73323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Բժշկական գազերը պետք է համապատասխանեն </w:t>
      </w:r>
      <w:r w:rsidRPr="00DA21D0">
        <w:rPr>
          <w:rFonts w:ascii="Sylfaen" w:hAnsi="Sylfaen"/>
          <w:i/>
          <w:sz w:val="24"/>
          <w:szCs w:val="24"/>
        </w:rPr>
        <w:t>2.5.1.1. Դեղաձեւերը</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 ինչպես նաեւ որպես դեղամիջոց դիտարկվող բժշկական գազերին բնորոշ փորձարկումները (ներառյալ՝ իսկությունը, քանակական որոշումը, մաքրությունը)։</w:t>
      </w:r>
    </w:p>
    <w:p w14:paraId="505B35A3"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 xml:space="preserve">Փորձարկումների համար բժշկական գազերի նմուշառումն անցկացնում են </w:t>
      </w:r>
      <w:r w:rsidRPr="00DA21D0">
        <w:rPr>
          <w:rFonts w:ascii="Sylfaen" w:hAnsi="Sylfaen"/>
          <w:i/>
          <w:sz w:val="24"/>
          <w:szCs w:val="24"/>
        </w:rPr>
        <w:t>2.1.7.1. Նմուշառում</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նմուշառման ընթացակարգին (մեթոդիկային) համապատասխան։</w:t>
      </w:r>
    </w:p>
    <w:p w14:paraId="56258222"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p>
    <w:p w14:paraId="77FE3CF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Բժշկական գազերը բնութագրվում են՝ նշելով ֆիզիկաքիմիական (ագրեգատային վիճակը, վերաբերելիությունը բոցավառմանը, այրմանը եւ այլն), զգայորոշման (գույն, հոտ) եւ այլ հատկություններ՝ մասնավոր դեղագրքային հոդվածի եւ (կամ) որակի վերաբերյալ նորմատիվ փաստաթղթի ցուցումներին համապատասխան։ Անհրաժեշտության դեպքում ներկայացվում է բժշկական գազերի նշված հատկությունների որոշման մեթոդիկան։</w:t>
      </w:r>
    </w:p>
    <w:p w14:paraId="6F76088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 պարունակության ծավալը. </w:t>
      </w:r>
      <w:r w:rsidRPr="00DA21D0">
        <w:rPr>
          <w:rFonts w:ascii="Sylfaen" w:hAnsi="Sylfaen"/>
          <w:sz w:val="24"/>
          <w:szCs w:val="24"/>
        </w:rPr>
        <w:t xml:space="preserve">Փորձարկումն անցկացնում են բալոններով սեղմված բժշկական գազերի համար՝ հաշվարկային մեթոդով փաթեթվածքով բժշկական գազի ճնշումը չափելու հիման վրա՝ հաշվի առնելով </w:t>
      </w:r>
      <w:r w:rsidRPr="00DA21D0">
        <w:rPr>
          <w:rFonts w:ascii="Sylfaen" w:hAnsi="Sylfaen"/>
          <w:sz w:val="24"/>
          <w:szCs w:val="24"/>
        </w:rPr>
        <w:lastRenderedPageBreak/>
        <w:t>ջերմաստիճանը՝ մասնավոր դեղագրքային հոդվածի եւ (կամ) որակի վերաբերյալ նորմատիվ փաստաթղթի պահանջներին համապատասխան։</w:t>
      </w:r>
    </w:p>
    <w:p w14:paraId="1E311402" w14:textId="77777777" w:rsidR="00134BE9" w:rsidRPr="00DA21D0" w:rsidRDefault="00134BE9" w:rsidP="00134BE9">
      <w:pPr>
        <w:pStyle w:val="a0"/>
        <w:shd w:val="clear" w:color="auto" w:fill="auto"/>
        <w:spacing w:after="160" w:line="360" w:lineRule="auto"/>
        <w:ind w:firstLine="567"/>
        <w:jc w:val="both"/>
        <w:rPr>
          <w:rFonts w:ascii="Sylfaen" w:hAnsi="Sylfaen" w:cs="Sylfaen"/>
          <w:szCs w:val="24"/>
        </w:rPr>
      </w:pPr>
      <w:r w:rsidRPr="00DA21D0">
        <w:rPr>
          <w:rFonts w:ascii="Sylfaen" w:hAnsi="Sylfaen"/>
          <w:b/>
          <w:i/>
          <w:szCs w:val="24"/>
        </w:rPr>
        <w:t>Ծանոթագրություն.</w:t>
      </w:r>
      <w:r w:rsidRPr="00DA21D0">
        <w:rPr>
          <w:rFonts w:ascii="Sylfaen" w:hAnsi="Sylfaen"/>
          <w:szCs w:val="24"/>
        </w:rPr>
        <w:t xml:space="preserve"> Բժշկական գազերում խառնուկների առկայության եւ դրանց պարունակության փորձարկումն անցկացնում են հետեւյալ ընդհանուր դեղագրքային հոդվածներին համապատասխան՝ </w:t>
      </w:r>
      <w:r w:rsidRPr="00DA21D0">
        <w:rPr>
          <w:rFonts w:ascii="Sylfaen" w:hAnsi="Sylfaen"/>
          <w:i/>
          <w:szCs w:val="24"/>
        </w:rPr>
        <w:t>2.1.4.26. Ածխածնի դիօքսիդը բժշկական գազերում, 2.1.4.27. Ածխածնի մոնոօքսիդը բժշկական գազերում, 2.1.4.28. Ազոտի (I) օքսիդը բժշկական գազերում, 2.1.4.29. Ազոտի մոնոօքսիդը եւ ազոտի դիօքսիդը բժշկական գազերում, 2.1.4.30. Թթվածինը բժշկական գազերում, 2.1.4.31. Ջուրը բժշկական գազերում</w:t>
      </w:r>
      <w:r w:rsidRPr="00DA21D0">
        <w:rPr>
          <w:rFonts w:ascii="Sylfaen" w:hAnsi="Sylfaen"/>
          <w:szCs w:val="24"/>
        </w:rPr>
        <w:t>, եւ մասնավոր դեղագրքային հոդվածներում եւ (կամ) որակի վերաբերյալ նորմատիվ փաստաթղթերում կոնկրետ բժշկական գազի մասով նշված պահանջներին համապատասխան։</w:t>
      </w:r>
    </w:p>
    <w:p w14:paraId="5BD94DC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3A8A4002"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ՓԱԹԵԹՎԱԾՔԸ</w:t>
      </w:r>
    </w:p>
    <w:p w14:paraId="64C66FB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Հեղուկացված բժշկական գազերի առաջնային փաթեթվածքը, որպես կանոն, ցիստեռններ, ռեզերվուարներ եւ այլ տարողություններ են։</w:t>
      </w:r>
    </w:p>
    <w:p w14:paraId="2BB84A9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Սեղմված բժշկական գազերը տեղադրում են, որպես կանոն, տարատեսակ տարողություններով պողպատե գազի գլանանոթներում։ Բժշկական գազերի բալոնները պետք է կապարակնքվեն՝ առաջին բացումը վերահսկելու համար. աղտոտումից պաշտպանելու համար գլանանոթների վրա առաջարկվում է տեղադրել պաշտպանիչ թասակներ։</w:t>
      </w:r>
    </w:p>
    <w:p w14:paraId="58119862" w14:textId="77777777" w:rsidR="00DA21D0" w:rsidRPr="003A4194" w:rsidRDefault="00DA21D0" w:rsidP="00134BE9">
      <w:pPr>
        <w:pStyle w:val="a0"/>
        <w:shd w:val="clear" w:color="auto" w:fill="auto"/>
        <w:spacing w:after="160" w:line="360" w:lineRule="auto"/>
        <w:ind w:firstLine="567"/>
        <w:rPr>
          <w:rFonts w:ascii="Sylfaen" w:hAnsi="Sylfaen"/>
          <w:b/>
          <w:sz w:val="24"/>
          <w:szCs w:val="24"/>
        </w:rPr>
      </w:pPr>
    </w:p>
    <w:p w14:paraId="360FBD2C"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ՄԱԿՆՇՈՒՄԸ</w:t>
      </w:r>
    </w:p>
    <w:p w14:paraId="14D90519"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Վտանգավոր նյութերի մակնշման գործող նորմատիվ իրավական ակտերի պահանջներին համապատասխան՝ բժշկական գազերի գլանանոթները պետք է ներկվեն համապատասխան գույնով եւ ունենան սահմանված գույնի անվանում (գրառում)՝ նորմատիվ իրավական ակտերի պահանջներին համապատասխան։</w:t>
      </w:r>
    </w:p>
    <w:p w14:paraId="64A547D4" w14:textId="77777777" w:rsidR="00134BE9" w:rsidRPr="003A4194" w:rsidRDefault="00134BE9" w:rsidP="00134BE9">
      <w:pPr>
        <w:pStyle w:val="a0"/>
        <w:shd w:val="clear" w:color="auto" w:fill="auto"/>
        <w:spacing w:after="160" w:line="346" w:lineRule="auto"/>
        <w:ind w:firstLine="567"/>
        <w:jc w:val="both"/>
        <w:rPr>
          <w:rFonts w:ascii="Sylfaen" w:hAnsi="Sylfaen" w:cs="Sylfaen"/>
          <w:sz w:val="24"/>
          <w:szCs w:val="24"/>
        </w:rPr>
      </w:pPr>
    </w:p>
    <w:p w14:paraId="33C16F40" w14:textId="77777777" w:rsidR="00DA21D0" w:rsidRPr="003A4194" w:rsidRDefault="00DA21D0" w:rsidP="00134BE9">
      <w:pPr>
        <w:pStyle w:val="a0"/>
        <w:shd w:val="clear" w:color="auto" w:fill="auto"/>
        <w:spacing w:after="160" w:line="346" w:lineRule="auto"/>
        <w:ind w:firstLine="567"/>
        <w:jc w:val="both"/>
        <w:rPr>
          <w:rFonts w:ascii="Sylfaen" w:hAnsi="Sylfaen" w:cs="Sylfaen"/>
          <w:sz w:val="24"/>
          <w:szCs w:val="24"/>
        </w:rPr>
      </w:pPr>
    </w:p>
    <w:p w14:paraId="1ED5BEEC"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ՊԱՀՊԱՆՈՒՄԸ ԵՎ ՓՈԽԱԴՐՈՒՄԸ</w:t>
      </w:r>
    </w:p>
    <w:p w14:paraId="090A20F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Տվյալ տեսակի արտադրանքի համար նորմատիվ իրավական ակտերով սահմանված պահանջներին համապատասխան։</w:t>
      </w:r>
    </w:p>
    <w:p w14:paraId="649EF37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40EF6A0F"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205010004-2022</w:t>
      </w:r>
    </w:p>
    <w:p w14:paraId="3BC49A04"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005559C2" w14:textId="77777777" w:rsidR="00134BE9" w:rsidRPr="00DA21D0" w:rsidRDefault="00134BE9" w:rsidP="00DA21D0">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2.5.1.4.</w:t>
      </w:r>
      <w:r w:rsidRPr="00DA21D0">
        <w:rPr>
          <w:rFonts w:ascii="Sylfaen" w:hAnsi="Sylfaen"/>
          <w:b/>
          <w:sz w:val="24"/>
          <w:szCs w:val="24"/>
        </w:rPr>
        <w:tab/>
        <w:t>Գրանուլներ</w:t>
      </w:r>
    </w:p>
    <w:p w14:paraId="656113D5" w14:textId="77777777" w:rsidR="00134BE9" w:rsidRPr="00DA21D0" w:rsidRDefault="00134BE9" w:rsidP="00DA21D0">
      <w:pPr>
        <w:tabs>
          <w:tab w:val="left" w:pos="2568"/>
        </w:tabs>
        <w:spacing w:after="160" w:line="360" w:lineRule="auto"/>
        <w:ind w:firstLine="567"/>
        <w:jc w:val="both"/>
      </w:pPr>
      <w:r w:rsidRPr="00DA21D0">
        <w:t>Գրանուլներ՝ դեղափոշու մասնիկների ցանկացած ձեւի ագրեգատների տեսքով պինդ դեղաձեւ, որը պարունակում է մեկ կամ մի քանի ազդող նյութեր՝ օժանդակ նյութերի ավելացմամբ կամ առանց օժանդակ նյութեր ավելացնելու։</w:t>
      </w:r>
    </w:p>
    <w:p w14:paraId="5842C09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Սույն ընդհանուր դեղագրքային հոդվածի պահանջները չեն տարածվում </w:t>
      </w:r>
      <w:r w:rsidRPr="00DA21D0">
        <w:rPr>
          <w:rFonts w:ascii="Sylfaen" w:hAnsi="Sylfaen"/>
          <w:i/>
          <w:sz w:val="24"/>
          <w:szCs w:val="24"/>
        </w:rPr>
        <w:t>մանրատած-մամլած գրանուլների</w:t>
      </w:r>
      <w:r w:rsidRPr="00DA21D0">
        <w:rPr>
          <w:rFonts w:ascii="Sylfaen" w:hAnsi="Sylfaen"/>
          <w:sz w:val="24"/>
          <w:szCs w:val="24"/>
        </w:rPr>
        <w:t xml:space="preserve"> վրա։</w:t>
      </w:r>
    </w:p>
    <w:p w14:paraId="13E39D3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Մանրատած-մամլած գրանուլները պետք է համապատասխանեն </w:t>
      </w:r>
      <w:r w:rsidRPr="00DA21D0">
        <w:rPr>
          <w:rFonts w:ascii="Sylfaen" w:hAnsi="Sylfaen"/>
          <w:i/>
          <w:sz w:val="24"/>
          <w:szCs w:val="24"/>
        </w:rPr>
        <w:t>2.5.1.5. Մանրատած-մամլած գրանուլներ</w:t>
      </w:r>
      <w:r w:rsidRPr="00DA21D0">
        <w:rPr>
          <w:rFonts w:ascii="Sylfaen" w:hAnsi="Sylfaen"/>
          <w:sz w:val="24"/>
          <w:szCs w:val="24"/>
        </w:rPr>
        <w:t xml:space="preserve"> ընդհանուր դեղագրքային հոդվածի պահանջներին։</w:t>
      </w:r>
    </w:p>
    <w:p w14:paraId="1E13864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Գրանուլները նախատեսված են ներքին ընդունման, ներծծման համար կամ ներքին ընդունման համար հեղուկ դեղաձեւերի պատրաստման նպատակով։</w:t>
      </w:r>
    </w:p>
    <w:p w14:paraId="6E12FAD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Գրանուլները պետք է միատարր երանգի լինեն, եթե դեղագրքային հոդվածներում կամ որակի վերաբերյալ նորմատիվ փաստաթղթում այլ ցուցումներ առկա չեն։</w:t>
      </w:r>
    </w:p>
    <w:p w14:paraId="692E6BB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Գրանուլները կարող են թողարկվել միադեղաչափ կամ բազմադեղաչափ փաթեթվածքներով։</w:t>
      </w:r>
    </w:p>
    <w:p w14:paraId="34E7225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Թաղանթի առկայությամբ պայմանավորված՝ տարբերակում են գրանուլներ՝ առանց թաղանթի (գրանուլներ), եւ թաղանթապատ գրանուլներ։ Ըստ ազդող նյութի ձերբազատման բնույթի տարբերակում են գրանուլներ՝ սովորական ձերբազատմամբ, եւ գրանուլներ՝ մոդիֆիկացված ձերբազատմամբ։</w:t>
      </w:r>
    </w:p>
    <w:p w14:paraId="221C91A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lastRenderedPageBreak/>
        <w:t>Թաղանթապատ գրանուլներ</w:t>
      </w:r>
      <w:r w:rsidRPr="00DA21D0">
        <w:rPr>
          <w:rFonts w:ascii="Sylfaen" w:hAnsi="Sylfaen"/>
          <w:sz w:val="24"/>
          <w:szCs w:val="24"/>
        </w:rPr>
        <w:t>՝ տարբեր օժանդակ նյութերի մեկ կամ մի քանի շերտերով պատված գրանուլներ, որոնք նախատեսված են ներքին ընդունման համար։</w:t>
      </w:r>
    </w:p>
    <w:p w14:paraId="3D0BD8A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Ազդող նյութի մոդիֆիկացված ձերբազատմամբ գրանուլներ</w:t>
      </w:r>
      <w:r w:rsidRPr="00DA21D0">
        <w:rPr>
          <w:rFonts w:ascii="Sylfaen" w:hAnsi="Sylfaen"/>
          <w:sz w:val="24"/>
          <w:szCs w:val="24"/>
        </w:rPr>
        <w:t>՝ գրանուլներ, որոնց թաղանթի պարունակության եւ (կամ) բաղադրության մեջ մտնում են հատուկ օժանդակ նյութեր՝ ազդող նյութի ձերբազատման արագությունը եւ (կամ) ժամանակը եւ (կամ) տեղը փոփոխելու համար, եւ որոնք նախատեսված են ներքին ընդունման համար։</w:t>
      </w:r>
    </w:p>
    <w:p w14:paraId="0A827E1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Դեղաձեւի անվանման մեջ </w:t>
      </w:r>
      <w:r w:rsidRPr="00DA21D0">
        <w:rPr>
          <w:rFonts w:ascii="Sylfaen" w:hAnsi="Sylfaen"/>
          <w:i/>
          <w:sz w:val="24"/>
          <w:szCs w:val="24"/>
        </w:rPr>
        <w:t>«մոդիֆիկացված</w:t>
      </w:r>
      <w:r w:rsidRPr="00DA21D0">
        <w:rPr>
          <w:rFonts w:ascii="Sylfaen" w:hAnsi="Sylfaen"/>
          <w:sz w:val="24"/>
          <w:szCs w:val="24"/>
        </w:rPr>
        <w:t xml:space="preserve"> ձերբազատում» եզրույթի օգտագործումը հնարավոր է այն դեպքերում, երբ «աղելույծ, երկարատեւ ձերբազատմամբ», «երկարատեւ ձերբազատմամբ» կամ «աղելույծ» եզրույթները կիրառելի չեն։</w:t>
      </w:r>
    </w:p>
    <w:p w14:paraId="4B2C1DE2"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Մոդիֆիկացված ձերբազատմամբ գրանուլները տարբերակվում են որպես երկարատեւ եւ հետաձգված (ուշացած) ձերբազատմամբ գրանուլներ։</w:t>
      </w:r>
    </w:p>
    <w:p w14:paraId="768345A8" w14:textId="77777777" w:rsidR="00134BE9" w:rsidRPr="00DA21D0" w:rsidRDefault="00134BE9" w:rsidP="00DA21D0">
      <w:pPr>
        <w:pStyle w:val="a0"/>
        <w:shd w:val="clear" w:color="auto" w:fill="auto"/>
        <w:spacing w:after="160" w:line="360" w:lineRule="auto"/>
        <w:ind w:firstLine="567"/>
        <w:jc w:val="both"/>
        <w:rPr>
          <w:rFonts w:ascii="Sylfaen" w:hAnsi="Sylfaen"/>
          <w:sz w:val="24"/>
          <w:szCs w:val="24"/>
        </w:rPr>
      </w:pPr>
      <w:r w:rsidRPr="00DA21D0">
        <w:rPr>
          <w:rFonts w:ascii="Sylfaen" w:hAnsi="Sylfaen"/>
          <w:i/>
          <w:sz w:val="24"/>
          <w:szCs w:val="24"/>
        </w:rPr>
        <w:t>«Աղելույծ գրանուլներ»</w:t>
      </w:r>
      <w:r w:rsidRPr="00DA21D0">
        <w:rPr>
          <w:rFonts w:ascii="Sylfaen" w:hAnsi="Sylfaen"/>
          <w:sz w:val="24"/>
          <w:szCs w:val="24"/>
        </w:rPr>
        <w:t>՝ գրանուլներ՝ ներքին ընդունման համար, երկարատեւ ձերբազատմամբ, հատուկ թաղանթով պատված կամ հատուկ նյութեր պարունակող կամ հատուկ տեխնոլոգիայի օգտագործման միջոցով ստացված, որոնք ապահովում են ստամոքսահյութում կայունությունը (գաստրոռեզիստենտությունը) եւ ազդող նյութերի սովորական ձերբազատումն աղիքահյութում։</w:t>
      </w:r>
    </w:p>
    <w:p w14:paraId="2514471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«Գրանուլներ՝ ներքին ընդունման հեղուկ դեղաձեւեր պատրաստելու համար»՝</w:t>
      </w:r>
      <w:r w:rsidRPr="00DA21D0">
        <w:rPr>
          <w:rFonts w:ascii="Sylfaen" w:hAnsi="Sylfaen"/>
          <w:sz w:val="24"/>
          <w:szCs w:val="24"/>
        </w:rPr>
        <w:t xml:space="preserve"> գրանուլներ, որոնք նախատեսված են ներքին ընդունման համար լուծույթներ կամ դեղակախույթներ պատրաստելու համար, որոնք ստանում են համապատասխան լուծիչի մեջ դրանց լուծման կամ դիսպերսման միջոցով։</w:t>
      </w:r>
    </w:p>
    <w:p w14:paraId="15F7864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pacing w:val="-4"/>
          <w:sz w:val="24"/>
          <w:szCs w:val="24"/>
        </w:rPr>
        <w:t>«Գրանուլներ փրփրուն»՝</w:t>
      </w:r>
      <w:r w:rsidRPr="00DA21D0">
        <w:rPr>
          <w:rFonts w:ascii="Sylfaen" w:hAnsi="Sylfaen"/>
          <w:spacing w:val="-4"/>
          <w:sz w:val="24"/>
          <w:szCs w:val="24"/>
        </w:rPr>
        <w:t xml:space="preserve"> գրանուլներ, որոնց բաղադրության մեջ ներառված են օրգանական թթուներ եւ կարբոնատներ կամ հիդրոկարբոնատներ, որոնք ջրի առկայության դեպքում քիմիական ռեակցիայի մեջ են մտնում՝ ձերբազատելով </w:t>
      </w:r>
      <w:r w:rsidRPr="00DA21D0">
        <w:rPr>
          <w:rFonts w:ascii="Sylfaen" w:hAnsi="Sylfaen"/>
          <w:spacing w:val="-4"/>
          <w:sz w:val="24"/>
          <w:szCs w:val="24"/>
        </w:rPr>
        <w:lastRenderedPageBreak/>
        <w:t>ածխածնի</w:t>
      </w:r>
      <w:r w:rsidRPr="00DA21D0">
        <w:rPr>
          <w:rFonts w:ascii="Sylfaen" w:hAnsi="Sylfaen"/>
          <w:sz w:val="24"/>
          <w:szCs w:val="24"/>
        </w:rPr>
        <w:t xml:space="preserve"> դիօքսիդ։ Գրանուլներ՝ փրփրուն, նախատեսված ներքին ընդունումից առաջ ջրի մեջ լուծման կամ դիսպերսման համար։ Փրփրուն գրանուլների բաղադրության մեջ կարող են ներմուծվել համի կորիգենտներ, կայունացուցիչներ, կոնսերվանտներ, ներկանյութեր։</w:t>
      </w:r>
    </w:p>
    <w:p w14:paraId="53E764F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6F18B496"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21D4D76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Թաղանթապատ գրանուլները ստանում են կրիչի մասնիկների վրա ցանկացած հարմար եղանակով թաղանթագոյացնող ծածկույթի հաջորդաբար շերտապատմամբ։</w:t>
      </w:r>
    </w:p>
    <w:p w14:paraId="7D59510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668670FA"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4EA9155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Գրանուլները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47A4815F"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Գրանուլները բնութագրում են՝ նշելով արտաքին տեսքը (ձեւը, թաղանթի առկայությունը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0D040064" w14:textId="77777777" w:rsidR="00134BE9" w:rsidRPr="00B5542D"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b/>
          <w:spacing w:val="-4"/>
          <w:sz w:val="24"/>
          <w:szCs w:val="24"/>
        </w:rPr>
        <w:t xml:space="preserve">Գրանուլների չափը. </w:t>
      </w:r>
      <w:r w:rsidRPr="00DA21D0">
        <w:rPr>
          <w:rFonts w:ascii="Sylfaen" w:hAnsi="Sylfaen"/>
          <w:spacing w:val="-4"/>
          <w:sz w:val="24"/>
          <w:szCs w:val="24"/>
        </w:rPr>
        <w:t>Գրանուլների չափը պետք է լինի 0,2 մմ-ից մինչեւ 3 մմ-ի սահման</w:t>
      </w:r>
      <w:r w:rsidRPr="00DA21D0">
        <w:rPr>
          <w:rFonts w:ascii="Sylfaen" w:hAnsi="Sylfaen"/>
          <w:sz w:val="24"/>
          <w:szCs w:val="24"/>
        </w:rPr>
        <w:t xml:space="preserve">ներում։ Ավելի փափուկ եւ ավելի խոշոր գրանուլների քանակը չպետք է գերազանցի միասին 5 %-ը։ Փորձարկումն անցկացնում են </w:t>
      </w:r>
      <w:r w:rsidRPr="00DA21D0">
        <w:rPr>
          <w:rFonts w:ascii="Sylfaen" w:hAnsi="Sylfaen"/>
          <w:i/>
          <w:sz w:val="24"/>
          <w:szCs w:val="24"/>
        </w:rPr>
        <w:t>2.1.10.8. Մասնիկների՝ ըստ չափերի բաշխման գնահատում վերլուծական մաղման մեթոդով</w:t>
      </w:r>
      <w:r w:rsidRPr="00DA21D0">
        <w:rPr>
          <w:rFonts w:ascii="Sylfaen" w:hAnsi="Sylfaen"/>
          <w:sz w:val="24"/>
          <w:szCs w:val="24"/>
        </w:rPr>
        <w:t xml:space="preserve"> ընդհանուր դեղագրքային հոդվածին համապատասխան։</w:t>
      </w:r>
      <w:r w:rsidRPr="00DA21D0">
        <w:rPr>
          <w:rFonts w:ascii="Sylfaen" w:hAnsi="Sylfaen"/>
          <w:i/>
          <w:sz w:val="24"/>
          <w:szCs w:val="24"/>
        </w:rPr>
        <w:t xml:space="preserve"> </w:t>
      </w:r>
      <w:r w:rsidRPr="00DA21D0">
        <w:rPr>
          <w:rFonts w:ascii="Sylfaen" w:hAnsi="Sylfaen"/>
          <w:sz w:val="24"/>
          <w:szCs w:val="24"/>
        </w:rPr>
        <w:t>Միադեղաչափ փաթեթվածքով գրանուլները ենթակա են վերահսկման արտադրության տեխնոլոգիական գործընթացի շրջանակներում։</w:t>
      </w:r>
    </w:p>
    <w:p w14:paraId="6D8FBEDD" w14:textId="77777777" w:rsidR="008D6E8B" w:rsidRPr="00B5542D" w:rsidRDefault="008D6E8B" w:rsidP="00134BE9">
      <w:pPr>
        <w:pStyle w:val="a0"/>
        <w:shd w:val="clear" w:color="auto" w:fill="auto"/>
        <w:spacing w:after="160" w:line="360" w:lineRule="auto"/>
        <w:ind w:firstLine="567"/>
        <w:jc w:val="both"/>
        <w:rPr>
          <w:rFonts w:ascii="Sylfaen" w:hAnsi="Sylfaen" w:cs="Sylfaen"/>
          <w:sz w:val="24"/>
          <w:szCs w:val="24"/>
        </w:rPr>
      </w:pPr>
    </w:p>
    <w:p w14:paraId="3E9A098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Զանգվածի կորուստը՝ չորացնելիս. </w:t>
      </w:r>
      <w:r w:rsidRPr="00DA21D0">
        <w:rPr>
          <w:rFonts w:ascii="Sylfaen" w:hAnsi="Sylfaen"/>
          <w:sz w:val="24"/>
          <w:szCs w:val="24"/>
        </w:rPr>
        <w:t xml:space="preserve">Փորձարկումն անցկացնում են </w:t>
      </w:r>
      <w:r w:rsidRPr="00DA21D0">
        <w:rPr>
          <w:rFonts w:ascii="Sylfaen" w:hAnsi="Sylfaen"/>
          <w:i/>
          <w:sz w:val="24"/>
          <w:szCs w:val="24"/>
        </w:rPr>
        <w:t>2.1.2.31. Զանգվածի կորուստը՝ չորացնելիս</w:t>
      </w:r>
      <w:r w:rsidRPr="00DA21D0">
        <w:rPr>
          <w:rFonts w:ascii="Sylfaen" w:hAnsi="Sylfaen"/>
          <w:sz w:val="24"/>
          <w:szCs w:val="24"/>
        </w:rPr>
        <w:t xml:space="preserve"> ընդհանուր դեղագրքային հոդվածին համապատասխան։ Պահանջները նշում են մասնավոր դեղագրքային հոդվածում եւ (կամ) որակի վերաբերյալ նորմատիվ փաստաթղթում։</w:t>
      </w:r>
    </w:p>
    <w:p w14:paraId="366BCFB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Տրոհելիությունը. </w:t>
      </w:r>
      <w:r w:rsidRPr="00DA21D0">
        <w:rPr>
          <w:rFonts w:ascii="Sylfaen" w:hAnsi="Sylfaen"/>
          <w:sz w:val="24"/>
          <w:szCs w:val="24"/>
        </w:rPr>
        <w:t>Փորձարկումն անցկացնելու համար օգտագործում են 18 նմուշ, որոնցից յուրաքանչյուրը 0,5 գ կշռանմուշ է, եթե մասնավոր դեղագրքային հոդվածում կամ որակի վերաբերյալ նորմատիվ փաստաթղթում այլ ցուցումներ չկան։ Խողովակներից յուրաքանչյուրի մեջ դնում են մեկական նմուշ, եւ եթե նախատեսված է՝ սկավառակ։</w:t>
      </w:r>
    </w:p>
    <w:p w14:paraId="610C734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Փորձարկումն անցկացնում են </w:t>
      </w:r>
      <w:r w:rsidRPr="00DA21D0">
        <w:rPr>
          <w:rFonts w:ascii="Sylfaen" w:hAnsi="Sylfaen"/>
          <w:i/>
          <w:sz w:val="24"/>
          <w:szCs w:val="24"/>
        </w:rPr>
        <w:t>2.1.9.1. Դեղահաբերի եւ դեղապատիճների տրոհելիությունը</w:t>
      </w:r>
      <w:r w:rsidRPr="00DA21D0">
        <w:rPr>
          <w:rFonts w:ascii="Sylfaen" w:hAnsi="Sylfaen"/>
          <w:sz w:val="24"/>
          <w:szCs w:val="24"/>
        </w:rPr>
        <w:t xml:space="preserve"> (փորձարկում Ա) ընդհանուր դեղագրքային հոդվածին համապատասխան՝ օգտագործելով 0,42 մմ (40 մեշ) չափի անցքեր ունեցող ցանցը։ Մասնավոր դեղագրքային հոդվածում կամ որակի վերաբերյալ նորմատիվ փաստաթղթում այլ ցուցումների բացակայության դեպքում որպես հեղուկ միջավայր օգտագործվում է </w:t>
      </w:r>
      <w:r w:rsidRPr="00DA21D0">
        <w:rPr>
          <w:rFonts w:ascii="Sylfaen" w:hAnsi="Sylfaen"/>
          <w:i/>
          <w:sz w:val="24"/>
          <w:szCs w:val="24"/>
        </w:rPr>
        <w:t>Ռ ջուրը։</w:t>
      </w:r>
    </w:p>
    <w:p w14:paraId="35AE3AF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Զամբյուղն իջեցվում է հեղուկով անոթի մեջ եւ միացվում է սարքը։ Սահմանված ժամանակը լրանալուց հետո զամբյուղը հանվում է եւ ուսումնասիրվում Է գրանուլների վիճակը։ Բոլոր նմուշները պետք է տրոհվեն։ Նմուշը համարվում է տրոհված, երբ բացի չլուծվող պատյանի մասնիկներից, որոնք գտնվում են ցանցի վրա կամ սկավառակի օգտագործման դեպքում կպել են սկավառակի ստորին մակերեւույթին, ոչ մի մնացորդ չկա, կամ մնացորդը փափուկ զանգված է, որը քայքայվում է ապակե ձողիկի թեթեւ հպման դեպքում։ Այդպիսի մնացորդի առկայությունը պետք է նշված լինի մասնավոր դեղագրքային հոդվածում եւ (կամ) որակի վերաբերյալ նորմատիվ փաստաթղթում։</w:t>
      </w:r>
    </w:p>
    <w:p w14:paraId="7817D71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Եթե 1 կամ 2 նմուշ չեն տրոհվել, փորձարկումը կրկնում են 12 մնացած նմուշների վրա։ 18 նմուշներից առնվազն 16-ը պետք է տրոհվեն։</w:t>
      </w:r>
    </w:p>
    <w:p w14:paraId="45A449C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Եթե մասնավոր դեղագրքային հոդվածում եւ (կամ) որակի վերաբերյալ նորմատիվ փաստաթղթում այլ ցուցումներ չկան, ապա </w:t>
      </w:r>
      <w:r w:rsidRPr="00DA21D0">
        <w:rPr>
          <w:rFonts w:ascii="Sylfaen" w:hAnsi="Sylfaen"/>
          <w:i/>
          <w:sz w:val="24"/>
          <w:szCs w:val="24"/>
        </w:rPr>
        <w:t>գրանուլները</w:t>
      </w:r>
      <w:r w:rsidRPr="00DA21D0">
        <w:rPr>
          <w:rFonts w:ascii="Sylfaen" w:hAnsi="Sylfaen"/>
          <w:sz w:val="24"/>
          <w:szCs w:val="24"/>
        </w:rPr>
        <w:t xml:space="preserve"> պետք է </w:t>
      </w:r>
      <w:r w:rsidRPr="00DA21D0">
        <w:rPr>
          <w:rFonts w:ascii="Sylfaen" w:hAnsi="Sylfaen"/>
          <w:sz w:val="24"/>
          <w:szCs w:val="24"/>
        </w:rPr>
        <w:lastRenderedPageBreak/>
        <w:t xml:space="preserve">տրոհվեն 15 ր ընթացքում, </w:t>
      </w:r>
      <w:r w:rsidRPr="00DA21D0">
        <w:rPr>
          <w:rFonts w:ascii="Sylfaen" w:hAnsi="Sylfaen"/>
          <w:i/>
          <w:sz w:val="24"/>
          <w:szCs w:val="24"/>
        </w:rPr>
        <w:t>թաղանթապատ գրանուլները</w:t>
      </w:r>
      <w:r w:rsidRPr="00DA21D0">
        <w:rPr>
          <w:rFonts w:ascii="Sylfaen" w:hAnsi="Sylfaen"/>
          <w:sz w:val="24"/>
          <w:szCs w:val="24"/>
        </w:rPr>
        <w:t xml:space="preserve"> պետք է տրոհվեն 30 ր ընթացքում։</w:t>
      </w:r>
    </w:p>
    <w:p w14:paraId="4AAF33D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Եթե մասնավոր դեղագրքային հոդվածում եւ (կամ) որակի վերաբերյալ նորմատիվ փաստաթղթում այլ ցուցումներ չկան, </w:t>
      </w:r>
      <w:r w:rsidRPr="00DA21D0">
        <w:rPr>
          <w:rFonts w:ascii="Sylfaen" w:hAnsi="Sylfaen"/>
          <w:i/>
          <w:sz w:val="24"/>
          <w:szCs w:val="24"/>
        </w:rPr>
        <w:t>աղելույծ գրանուլների</w:t>
      </w:r>
      <w:r w:rsidRPr="00DA21D0">
        <w:rPr>
          <w:rFonts w:ascii="Sylfaen" w:hAnsi="Sylfaen"/>
          <w:sz w:val="24"/>
          <w:szCs w:val="24"/>
        </w:rPr>
        <w:t xml:space="preserve"> համար փորձարկումն անցկացնում են երկու փուլով՝ հաջորդող փոփոխություններով։ Որպես հեղուկ միջավայր առաջին փուլում օգտագործում են </w:t>
      </w:r>
      <w:r w:rsidRPr="00DA21D0">
        <w:rPr>
          <w:rFonts w:ascii="Sylfaen" w:hAnsi="Sylfaen"/>
          <w:i/>
          <w:sz w:val="24"/>
          <w:szCs w:val="24"/>
        </w:rPr>
        <w:t>0,1 Մ քլորաջրածնային թթու:</w:t>
      </w:r>
      <w:r w:rsidRPr="00DA21D0">
        <w:rPr>
          <w:rFonts w:ascii="Sylfaen" w:hAnsi="Sylfaen"/>
          <w:sz w:val="24"/>
          <w:szCs w:val="24"/>
        </w:rPr>
        <w:t xml:space="preserve"> Թթու միջավայրում գրանուլների կայունության ժամանակը կարող է պայմանավորված լինել դրանց բաղադրությամբ, բայց չպետք է լինի 1 ժ-ից պակաս եւ գերազանցի 3 ժ-ը։ Գրանուլները չպետք է տրոհվեն եւ ցույց տան ճաքման եւ փափկեցման նշաններ: Երկրորդ փուլում թթուն փոխարինում են </w:t>
      </w:r>
      <w:r w:rsidRPr="00DA21D0">
        <w:rPr>
          <w:rFonts w:ascii="Sylfaen" w:hAnsi="Sylfaen"/>
          <w:i/>
          <w:sz w:val="24"/>
          <w:szCs w:val="24"/>
        </w:rPr>
        <w:t>pH 6,8-ով Ռ ֆոսֆատային բուֆերացված լուծույթով</w:t>
      </w:r>
      <w:r w:rsidRPr="00DA21D0">
        <w:rPr>
          <w:rFonts w:ascii="Sylfaen" w:hAnsi="Sylfaen"/>
          <w:sz w:val="24"/>
          <w:szCs w:val="24"/>
        </w:rPr>
        <w:t>։ Եթե մասնավոր դեղագրքային հոդվածում եւ (կամ) որակի վերաբերյալ նորմատիվ փաստաթղթում այլ ցուցումներ չկան, ապա բուֆերացված լուծույթում գրանուլները պետք է տրոհվեն 1 ժ ընթացքում։</w:t>
      </w:r>
    </w:p>
    <w:p w14:paraId="3E64325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Փրփրուն գրանուլների համար փորձարկումն անցկացնում են հետեւյալ մեթոդիկայով։ 15 °С-ից մինչեւ 25 °С ջերմաստիճանի պայմաններում 200 մլ </w:t>
      </w:r>
      <w:r w:rsidRPr="00DA21D0">
        <w:rPr>
          <w:rFonts w:ascii="Sylfaen" w:hAnsi="Sylfaen"/>
          <w:i/>
          <w:sz w:val="24"/>
          <w:szCs w:val="24"/>
        </w:rPr>
        <w:t>Ռ ջուր</w:t>
      </w:r>
      <w:r w:rsidRPr="00DA21D0">
        <w:rPr>
          <w:rFonts w:ascii="Sylfaen" w:hAnsi="Sylfaen"/>
          <w:sz w:val="24"/>
          <w:szCs w:val="24"/>
        </w:rPr>
        <w:t xml:space="preserve"> պարունակող բաժակի մեջ տեղադրում են գրանուլների մեկ դեղաչափ. դիտարկվում է գազի պղպջակների ինտենսիվ անջատում։ Գրանուլները համարվում են տրոհված, եթե գազի անջատման դադարեցումից հետո դրանք կամ լուծվել, կամ էլ դիսպերսվել են ջրում։ Փորձարկումը կրկնում են եւս 5 դեղաչափերի համար։ Գրանուլներն անցնում են փորձարկումը, եթե 6 դեղաչափերից յուրաքանչյուրը լուծվում է առավելագույնը 5 ր ընթացքում։</w:t>
      </w:r>
    </w:p>
    <w:p w14:paraId="24ED1EA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Լուծում. </w:t>
      </w:r>
      <w:r w:rsidRPr="00DA21D0">
        <w:rPr>
          <w:rFonts w:ascii="Sylfaen" w:hAnsi="Sylfaen"/>
          <w:i/>
          <w:sz w:val="24"/>
          <w:szCs w:val="24"/>
        </w:rPr>
        <w:t>Գրանուլները</w:t>
      </w:r>
      <w:r w:rsidRPr="00DA21D0">
        <w:rPr>
          <w:rFonts w:ascii="Sylfaen" w:hAnsi="Sylfaen"/>
          <w:sz w:val="24"/>
          <w:szCs w:val="24"/>
        </w:rPr>
        <w:t xml:space="preserve">, բացառությամբ </w:t>
      </w:r>
      <w:r w:rsidRPr="00DA21D0">
        <w:rPr>
          <w:rFonts w:ascii="Sylfaen" w:hAnsi="Sylfaen"/>
          <w:i/>
          <w:sz w:val="24"/>
          <w:szCs w:val="24"/>
        </w:rPr>
        <w:t>փրփրուն գրանուլների</w:t>
      </w:r>
      <w:r w:rsidRPr="00DA21D0">
        <w:rPr>
          <w:rFonts w:ascii="Sylfaen" w:hAnsi="Sylfaen"/>
          <w:sz w:val="24"/>
          <w:szCs w:val="24"/>
        </w:rPr>
        <w:t xml:space="preserve"> եւ </w:t>
      </w:r>
      <w:r w:rsidRPr="00DA21D0">
        <w:rPr>
          <w:rFonts w:ascii="Sylfaen" w:hAnsi="Sylfaen"/>
          <w:i/>
          <w:sz w:val="24"/>
          <w:szCs w:val="24"/>
        </w:rPr>
        <w:t>լուծույթների տեսքով ներքին ընդունման հեղուկ դեղաձեւեր պատրաստելու համար գրանուլների</w:t>
      </w:r>
      <w:r w:rsidRPr="00DA21D0">
        <w:rPr>
          <w:rFonts w:ascii="Sylfaen" w:hAnsi="Sylfaen"/>
          <w:sz w:val="24"/>
          <w:szCs w:val="24"/>
        </w:rPr>
        <w:t xml:space="preserve">, պետք է անցնեն </w:t>
      </w:r>
      <w:r w:rsidRPr="00DA21D0">
        <w:rPr>
          <w:rFonts w:ascii="Sylfaen" w:hAnsi="Sylfaen"/>
          <w:i/>
          <w:sz w:val="24"/>
          <w:szCs w:val="24"/>
        </w:rPr>
        <w:t>2.1.9.3. Լուծվելու փորձարկում՝ դեղաչափված պինդ դեղաձեւերի համար</w:t>
      </w:r>
      <w:r w:rsidRPr="00DA21D0">
        <w:rPr>
          <w:rFonts w:ascii="Sylfaen" w:hAnsi="Sylfaen"/>
          <w:sz w:val="24"/>
          <w:szCs w:val="24"/>
        </w:rPr>
        <w:t xml:space="preserve"> ընդհանուր դեղագրքային հոդվածի պահանջներին համապատասխանության փորձարկումը։ Եթե մասնավոր դեղագրքային հոդվածում եւ (կամ) որակի վերաբերյալ նորմատիվ փաստաթղթում </w:t>
      </w:r>
      <w:r w:rsidRPr="00DA21D0">
        <w:rPr>
          <w:rFonts w:ascii="Sylfaen" w:hAnsi="Sylfaen"/>
          <w:sz w:val="24"/>
          <w:szCs w:val="24"/>
        </w:rPr>
        <w:lastRenderedPageBreak/>
        <w:t xml:space="preserve">այլ ցուցումներ չկան, </w:t>
      </w:r>
      <w:r w:rsidRPr="00DA21D0">
        <w:rPr>
          <w:rFonts w:ascii="Sylfaen" w:hAnsi="Sylfaen"/>
          <w:i/>
          <w:sz w:val="24"/>
          <w:szCs w:val="24"/>
        </w:rPr>
        <w:t>դեղակախույթի տեսքով ներքին ընդունման հեղուկ դեղաձեւեր պատրաստելու համար գրանուլները</w:t>
      </w:r>
      <w:r w:rsidRPr="00DA21D0">
        <w:rPr>
          <w:rFonts w:ascii="Sylfaen" w:hAnsi="Sylfaen"/>
          <w:sz w:val="24"/>
          <w:szCs w:val="24"/>
        </w:rPr>
        <w:t xml:space="preserve"> պետք է անցնեն </w:t>
      </w:r>
      <w:r w:rsidRPr="00DA21D0">
        <w:rPr>
          <w:rFonts w:ascii="Sylfaen" w:hAnsi="Sylfaen"/>
          <w:i/>
          <w:sz w:val="24"/>
          <w:szCs w:val="24"/>
        </w:rPr>
        <w:t>2.1.9.3. Լուծվելու փորձարկում՝ դեղաչափված պինդ դեղաձեւերի համար</w:t>
      </w:r>
      <w:r w:rsidRPr="00DA21D0">
        <w:rPr>
          <w:rFonts w:ascii="Sylfaen" w:hAnsi="Sylfaen"/>
          <w:sz w:val="24"/>
          <w:szCs w:val="24"/>
        </w:rPr>
        <w:t xml:space="preserve"> ընդհանուր դեղագրքային հոդվածի պահանջներին համապատասխանության փորձարկումը։ Եթե նախատեսված է լուծվելու որոշումը, ապա տրոհելիության փորձարկումը պարտադիր չէ։</w:t>
      </w:r>
    </w:p>
    <w:p w14:paraId="37BD089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Դեղաչափված միավորների միատարրությունը. </w:t>
      </w:r>
      <w:r w:rsidRPr="00DA21D0">
        <w:rPr>
          <w:rFonts w:ascii="Sylfaen" w:hAnsi="Sylfaen"/>
          <w:sz w:val="24"/>
          <w:szCs w:val="24"/>
        </w:rPr>
        <w:t xml:space="preserve">Միադեղաչափ փաթեթվածքով գրանուլները պետք է փորձարկումն անցնեն </w:t>
      </w:r>
      <w:r w:rsidRPr="00DA21D0">
        <w:rPr>
          <w:rFonts w:ascii="Sylfaen" w:hAnsi="Sylfaen"/>
          <w:i/>
          <w:sz w:val="24"/>
          <w:szCs w:val="24"/>
        </w:rPr>
        <w:t>2.1.9.14. Դեղաչափված միավորների միատարրությունը</w:t>
      </w:r>
      <w:r w:rsidRPr="00DA21D0">
        <w:rPr>
          <w:rFonts w:ascii="Sylfaen" w:hAnsi="Sylfaen"/>
          <w:sz w:val="24"/>
          <w:szCs w:val="24"/>
        </w:rPr>
        <w:t xml:space="preserve"> ընդհանուր դեղագրքային հոդվածին համապատասխան։</w:t>
      </w:r>
    </w:p>
    <w:p w14:paraId="69FE62BD"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b/>
          <w:sz w:val="24"/>
          <w:szCs w:val="24"/>
        </w:rPr>
        <w:t xml:space="preserve">Դեղաչափերի զանգվածի միատարրությունը. </w:t>
      </w:r>
      <w:r w:rsidRPr="00DA21D0">
        <w:rPr>
          <w:rFonts w:ascii="Sylfaen" w:hAnsi="Sylfaen"/>
          <w:sz w:val="24"/>
          <w:szCs w:val="24"/>
        </w:rPr>
        <w:t xml:space="preserve">Բազմադեղաչափ փաթեթվածքով թողարկվող </w:t>
      </w:r>
      <w:r w:rsidRPr="00DA21D0">
        <w:rPr>
          <w:rFonts w:ascii="Sylfaen" w:hAnsi="Sylfaen"/>
          <w:i/>
          <w:sz w:val="24"/>
          <w:szCs w:val="24"/>
        </w:rPr>
        <w:t>գրանուլները</w:t>
      </w:r>
      <w:r w:rsidRPr="00DA21D0">
        <w:rPr>
          <w:rFonts w:ascii="Sylfaen" w:hAnsi="Sylfaen"/>
          <w:sz w:val="24"/>
          <w:szCs w:val="24"/>
        </w:rPr>
        <w:t xml:space="preserve"> պետք է փորձարկումն անցնեն </w:t>
      </w:r>
      <w:r w:rsidRPr="00DA21D0">
        <w:rPr>
          <w:rFonts w:ascii="Sylfaen" w:hAnsi="Sylfaen"/>
          <w:i/>
          <w:sz w:val="24"/>
          <w:szCs w:val="24"/>
        </w:rPr>
        <w:t>2.1.9.12. Բազմադեղաչափ փաթեթվածքից չափված դեղաչափերի զանգվածի միատարրությունը</w:t>
      </w:r>
      <w:r w:rsidRPr="00DA21D0">
        <w:rPr>
          <w:rFonts w:ascii="Sylfaen" w:hAnsi="Sylfaen"/>
          <w:sz w:val="24"/>
          <w:szCs w:val="24"/>
        </w:rPr>
        <w:t xml:space="preserve"> ընդհանուր դեղագրքային հոդվածին համապատասխան։</w:t>
      </w:r>
    </w:p>
    <w:p w14:paraId="5F1ED21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3C6F7A20"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205010005-2022</w:t>
      </w:r>
    </w:p>
    <w:p w14:paraId="1BAD046E" w14:textId="77777777" w:rsidR="00134BE9" w:rsidRPr="00DA21D0" w:rsidRDefault="00134BE9" w:rsidP="00134BE9">
      <w:pPr>
        <w:pStyle w:val="a0"/>
        <w:shd w:val="clear" w:color="auto" w:fill="auto"/>
        <w:spacing w:after="160" w:line="360" w:lineRule="auto"/>
        <w:ind w:firstLine="567"/>
        <w:jc w:val="right"/>
        <w:rPr>
          <w:rFonts w:ascii="Sylfaen" w:hAnsi="Sylfaen" w:cs="Sylfaen"/>
          <w:sz w:val="24"/>
          <w:szCs w:val="24"/>
        </w:rPr>
      </w:pPr>
    </w:p>
    <w:p w14:paraId="578FAB87"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2.5.1.5.</w:t>
      </w:r>
      <w:r w:rsidRPr="00DA21D0">
        <w:rPr>
          <w:rFonts w:ascii="Sylfaen" w:hAnsi="Sylfaen"/>
          <w:b/>
          <w:sz w:val="24"/>
          <w:szCs w:val="24"/>
        </w:rPr>
        <w:tab/>
        <w:t>Գրանուլներ՝ մանրատած-մամլած</w:t>
      </w:r>
    </w:p>
    <w:p w14:paraId="3DB4436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«Մանրատած-մամլած գրանուլներ»՝ դեղաձեւ, որը գլանաձեւ, կլորավուն կամ անկանոն ձեւի կտորներ են, որոնք ստացվել են մամլած դեղաբուսական հումքից եւ նախատեսված են ջրային հանուկներ ստանալու համար։</w:t>
      </w:r>
    </w:p>
    <w:p w14:paraId="478A3C0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Մանրատած-մամլած գրանուլների արտադրության համար պետք է օգտագործել միայն դեղաբուսական հումքի այն տեսակները, որոնցում գրանուլացման ընթացքում կենսաբանական ակտիվ նյութերի քանակական պարունակությունը չի նվազում։</w:t>
      </w:r>
    </w:p>
    <w:p w14:paraId="1D2CC2B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Մանրատած-մամլած գրանուլները թողարկվում են միադեղաչափ փաթեթվածքով։</w:t>
      </w:r>
    </w:p>
    <w:p w14:paraId="5935A8FC"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ՏԵԽՆՈԼՈԳԻԱՅԻ ԱՌԱՆՁՆԱՀԱՏԿՈՒԹՅՈՒՆՆԵՐԸ</w:t>
      </w:r>
    </w:p>
    <w:p w14:paraId="7AA0BD96"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Մանրատած-մամլած գրանուլների արտադրության համար օգտագործվում է մանրացրած դեղաբուսական հումք (դեղաբուսական հումքի յուրաքանչյուր տեսակի համար մանրացման աստիճանը սահմանվում է անհատական կարգով), որը 3-4 ր ընթացքում ենթարկվում է խոնավացման՝ հագեցած գոլորշիով (հագեցած գոլորշու ճնշումը 3,5-5,5 Պա)՝ անընդհատ խառնելով (խոնավության հավասարաչափ բաշխման համար), որից հետո խոնավացրած հումքն անցնում է մամլիչ մեքենա, որտեղից խոնավացրած զանգվածը սեղմելուց հետո 5-7 մմ չափի անցքերով մաղի միջով դուրս է գալիս 10-30 մմ երկարությամբ մամլած գլանների </w:t>
      </w:r>
      <w:r w:rsidRPr="00DA21D0">
        <w:rPr>
          <w:rFonts w:ascii="Sylfaen" w:hAnsi="Sylfaen"/>
          <w:spacing w:val="-4"/>
          <w:sz w:val="24"/>
          <w:szCs w:val="24"/>
        </w:rPr>
        <w:t>տեսքով, որոնք հետո անցնում են չորանոց, օդի փչամաքրման հաշվին պաղեցվում եւ այնուհետեւ մատուցվում գրտնակման մեքենա, որտեղ մանրացվում են մինչեւ</w:t>
      </w:r>
      <w:r w:rsidRPr="00DA21D0">
        <w:rPr>
          <w:rFonts w:ascii="Sylfaen" w:hAnsi="Sylfaen"/>
          <w:sz w:val="24"/>
          <w:szCs w:val="24"/>
        </w:rPr>
        <w:t xml:space="preserve"> գրանուլներ։</w:t>
      </w:r>
    </w:p>
    <w:p w14:paraId="03960EDE"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2EC5195D"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ՓՈՐՁԱՐԿՈՒՄՆԵՐԸ</w:t>
      </w:r>
    </w:p>
    <w:p w14:paraId="5A6ADFE6"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Մանրատած-մամլած գրանուլները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հաջորդող փորձարկումները։</w:t>
      </w:r>
    </w:p>
    <w:p w14:paraId="511C4F99"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Մանրատած-մամլած գրանուլները բնութագրում են՝ նշելով արտաքին տեսքը (ձեւը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462680A4"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Գրանուլների չափը. </w:t>
      </w:r>
      <w:r w:rsidRPr="00DA21D0">
        <w:rPr>
          <w:rFonts w:ascii="Sylfaen" w:hAnsi="Sylfaen"/>
          <w:sz w:val="24"/>
          <w:szCs w:val="24"/>
        </w:rPr>
        <w:t>Փորձարկումն անցկացնում են ընդհանուր դեղագրքային հոդվածին համապատասխան։ Մասնավոր դեղագրքային հոդվածում եւ (կամ) որակի վերաբերյալ նորմատիվ փաստաթղթում այլ ցուցումների բացակայության դեպքում սահմանվում են հետեւյալ պահանջները. 2 մմ անցքերի չափ ունեցող մաղի միջով չանցնող մանրատած-մամլած գրանուլները պետք է լինեն 5 %-ից ոչ ավելի. 0,18 մմ (180 մկմ) անցքերի չափ ունեցող մաղի միջով անցնող մասնիկներ՝ 5 %-ից ոչ ավելի։</w:t>
      </w:r>
    </w:p>
    <w:p w14:paraId="4E21E82C"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b/>
          <w:sz w:val="24"/>
          <w:szCs w:val="24"/>
        </w:rPr>
        <w:lastRenderedPageBreak/>
        <w:t xml:space="preserve">Տրոհելիությունը. </w:t>
      </w:r>
      <w:r w:rsidRPr="00DA21D0">
        <w:rPr>
          <w:rFonts w:ascii="Sylfaen" w:hAnsi="Sylfaen"/>
          <w:sz w:val="24"/>
          <w:szCs w:val="24"/>
        </w:rPr>
        <w:t>Փորձարկումն անցկացնում են հետեւյալ մեթոդիկայով. Մանրատած-մամլած 10-12 գրանուլներ տեղադրում են 100 մլ տարողությամբ կոնաձեւ փորձանոթի մեջ, ավելացնում մինչեւ եռման ջերմաստիճան տաքացված 50 մլ ջուր եւ եռացնում՝ պարբերաբար թափահարելով փորձանոթի պարունակությունը։ Մանրատած-մամլած գրանուլները համարվում են տրոհված, եթե դրանք ամբողջությամբ տրոհվել են կամ վերածվել փխրուն զանգվածի։ Տրոհելիության ժամանակը հաշվարկում են եռացող ջրի ավելացման պահից։ Որպես արդյունք ընդունում են երեք փորձարկումների միջին արժեքը։ Ընդհանուր դեղագրքային հոդվածում եւ (կամ) որակի վերաբերյալ նորմատիվ փաստաթղթում այլ ցուցումների բացակայության դեպքում մանրատած-մամլած գրանուլները պետք է տրոհվեն առավելագույնը 5 ր ընթացքում։</w:t>
      </w:r>
    </w:p>
    <w:p w14:paraId="05D4BC9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Ընդհանուր մոխիրը. </w:t>
      </w:r>
      <w:r w:rsidRPr="00DA21D0">
        <w:rPr>
          <w:rFonts w:ascii="Sylfaen" w:hAnsi="Sylfaen"/>
          <w:sz w:val="24"/>
          <w:szCs w:val="24"/>
        </w:rPr>
        <w:t xml:space="preserve">Փորձարկումն անցկացնում են </w:t>
      </w:r>
      <w:r w:rsidRPr="00DA21D0">
        <w:rPr>
          <w:rFonts w:ascii="Sylfaen" w:hAnsi="Sylfaen"/>
          <w:i/>
          <w:sz w:val="24"/>
          <w:szCs w:val="24"/>
        </w:rPr>
        <w:t>2.1.4.16. Ընդհանուր մոխիր</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4D54008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4"/>
          <w:sz w:val="24"/>
          <w:szCs w:val="24"/>
        </w:rPr>
        <w:t xml:space="preserve">Քլորաջրածնային թթվի մեջ չլուծվող մոխիր. </w:t>
      </w:r>
      <w:r w:rsidRPr="00DA21D0">
        <w:rPr>
          <w:rFonts w:ascii="Sylfaen" w:hAnsi="Sylfaen"/>
          <w:spacing w:val="-4"/>
          <w:sz w:val="24"/>
          <w:szCs w:val="24"/>
        </w:rPr>
        <w:t xml:space="preserve">Փորձարկումն անցկացնում են </w:t>
      </w:r>
      <w:r w:rsidRPr="00DA21D0">
        <w:rPr>
          <w:rFonts w:ascii="Sylfaen" w:hAnsi="Sylfaen"/>
          <w:i/>
          <w:spacing w:val="-4"/>
          <w:sz w:val="24"/>
          <w:szCs w:val="24"/>
        </w:rPr>
        <w:t>2.1.8.1. Քլորաջրածնային թթվի մեջ չլուծվող մոխիր</w:t>
      </w:r>
      <w:r w:rsidRPr="00DA21D0">
        <w:rPr>
          <w:rFonts w:ascii="Sylfaen" w:hAnsi="Sylfaen"/>
          <w:spacing w:val="-4"/>
          <w:sz w:val="24"/>
          <w:szCs w:val="24"/>
        </w:rPr>
        <w:t xml:space="preserve"> ընդհանուր դեղագրքային հոդվածին եւ մասնավոր դեղագրքային հոդվածում եւ (կամ) որակի վերաբերյալ նորմատիվ</w:t>
      </w:r>
      <w:r w:rsidRPr="00DA21D0">
        <w:rPr>
          <w:rFonts w:ascii="Sylfaen" w:hAnsi="Sylfaen"/>
          <w:sz w:val="24"/>
          <w:szCs w:val="24"/>
        </w:rPr>
        <w:t xml:space="preserve"> փաստաթղթում նշված պահանջներին համապատասխան։</w:t>
      </w:r>
    </w:p>
    <w:p w14:paraId="2AA5887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Ծանր մետաղներ եւ արսեն. </w:t>
      </w:r>
      <w:r w:rsidRPr="00DA21D0">
        <w:rPr>
          <w:rFonts w:ascii="Sylfaen" w:hAnsi="Sylfaen"/>
          <w:sz w:val="24"/>
          <w:szCs w:val="24"/>
        </w:rPr>
        <w:t xml:space="preserve">Փորձարկումն անցկացնում են </w:t>
      </w:r>
      <w:r w:rsidRPr="00DA21D0">
        <w:rPr>
          <w:rFonts w:ascii="Sylfaen" w:hAnsi="Sylfaen"/>
          <w:i/>
          <w:sz w:val="24"/>
          <w:szCs w:val="24"/>
        </w:rPr>
        <w:t>2.1.4.21. Ծանր մետաղներն ու արսենը դեղաբուսական հումքի մեջ եւ դեղաբուսական պատրաստուկներում</w:t>
      </w:r>
      <w:r w:rsidRPr="00DA21D0">
        <w:rPr>
          <w:rFonts w:ascii="Sylfaen" w:hAnsi="Sylfaen"/>
          <w:sz w:val="24"/>
          <w:szCs w:val="24"/>
        </w:rPr>
        <w:t xml:space="preserve"> ընդհանուր դեղագրքային հոդվածին համապատասխան։</w:t>
      </w:r>
    </w:p>
    <w:p w14:paraId="2B724C3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Ռադիոնուկլիդներ. </w:t>
      </w:r>
      <w:r w:rsidRPr="00DA21D0">
        <w:rPr>
          <w:rFonts w:ascii="Sylfaen" w:hAnsi="Sylfaen"/>
          <w:sz w:val="24"/>
          <w:szCs w:val="24"/>
        </w:rPr>
        <w:t>Անցկացնում են բուսական դեղագործական բաղադրամասի մեջ ռադիոնուկլիդների պարունակության որոշման փորձարկում։</w:t>
      </w:r>
    </w:p>
    <w:p w14:paraId="5AE3099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Թունաքիմիկատներ. </w:t>
      </w:r>
      <w:r w:rsidRPr="00DA21D0">
        <w:rPr>
          <w:rFonts w:ascii="Sylfaen" w:hAnsi="Sylfaen"/>
          <w:sz w:val="24"/>
          <w:szCs w:val="24"/>
        </w:rPr>
        <w:t>Անցկացնում են բուսական դեղագործական բաղադրամասի մեջ թունաքիմիկատների մնացորդային պարունակության որոշման փորձարկում։</w:t>
      </w:r>
    </w:p>
    <w:p w14:paraId="52F49CE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Զանգվածի կորուստը՝ չորացնելիս. </w:t>
      </w:r>
      <w:r w:rsidRPr="00DA21D0">
        <w:rPr>
          <w:rFonts w:ascii="Sylfaen" w:hAnsi="Sylfaen"/>
          <w:sz w:val="24"/>
          <w:szCs w:val="24"/>
        </w:rPr>
        <w:t xml:space="preserve">Փորձարկումն անցկացնում են </w:t>
      </w:r>
      <w:r w:rsidRPr="00DA21D0">
        <w:rPr>
          <w:rFonts w:ascii="Sylfaen" w:hAnsi="Sylfaen"/>
          <w:i/>
          <w:sz w:val="24"/>
          <w:szCs w:val="24"/>
        </w:rPr>
        <w:t>2.1.2.31. Զանգվածի կորուստը՝ չորացնելիս</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0D336392"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 պարունակության զանգվածը. </w:t>
      </w:r>
      <w:r w:rsidRPr="00DA21D0">
        <w:rPr>
          <w:rFonts w:ascii="Sylfaen" w:hAnsi="Sylfaen"/>
          <w:sz w:val="24"/>
          <w:szCs w:val="24"/>
        </w:rPr>
        <w:t>Անցկացնում են փաթեթվածքի պարունակության որոշման փորձարկում՝ մասնավոր դեղագրքային հոդվածում եւ (կամ) որակի վերաբերյալ նորմատիվ փաստաթղթում նշված պահանջներին համապատասխան։</w:t>
      </w:r>
    </w:p>
    <w:p w14:paraId="077F86DF" w14:textId="77777777" w:rsidR="00DA21D0" w:rsidRPr="003A4194" w:rsidRDefault="00DA21D0" w:rsidP="00DA21D0">
      <w:pPr>
        <w:pStyle w:val="a0"/>
        <w:shd w:val="clear" w:color="auto" w:fill="auto"/>
        <w:spacing w:after="160" w:line="360" w:lineRule="auto"/>
        <w:ind w:firstLine="567"/>
        <w:jc w:val="right"/>
        <w:rPr>
          <w:rFonts w:ascii="Sylfaen" w:hAnsi="Sylfaen"/>
          <w:b/>
          <w:szCs w:val="24"/>
        </w:rPr>
      </w:pPr>
    </w:p>
    <w:p w14:paraId="4265E0A5"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205010006-2022</w:t>
      </w:r>
    </w:p>
    <w:p w14:paraId="5967E64B"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01FAA89C" w14:textId="77777777" w:rsidR="00134BE9" w:rsidRPr="00DA21D0" w:rsidRDefault="00134BE9" w:rsidP="00DA21D0">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2.5.1.6.</w:t>
      </w:r>
      <w:r w:rsidRPr="00DA21D0">
        <w:rPr>
          <w:rFonts w:ascii="Sylfaen" w:hAnsi="Sylfaen"/>
          <w:b/>
          <w:sz w:val="24"/>
          <w:szCs w:val="24"/>
        </w:rPr>
        <w:tab/>
        <w:t>Սպունգներ դեղագործական</w:t>
      </w:r>
    </w:p>
    <w:p w14:paraId="0823289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«Սպունգներ դեղագործական»՝ մանրէազերծ դեղաձեւ, որը ծակոտկեն, կլանող նյութ է՝ ակտիվ դեղագործական բաղադրամասով (բաղադրամասերով) տոգորված կամ ակտիվ դեղագործական բաղադրամաս հանդիսացող՝ օժանդակ նյութերի ավելացմամբ կամ առանց դրանց ավելացման, որը նախատեսված է արտաքին կամ տեղային կիրառման համար։</w:t>
      </w:r>
    </w:p>
    <w:p w14:paraId="47D8DA0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6530758D"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0F1A964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սպունգների արտադրությունը, որպես կանոն, ներառում է դեղագործական սպունգի հիմք կազմող միացության լուծույթ պատրաստելու եւ դրա մեջ ակտիվ դեղագործական բաղադրամաս (բաղադրամասեր) ու օժանդակ նյութեր ներմուծելու գործընթացը՝ ստացված կոմպոզիցիայի հետագա սուբլիմացիոն չորացմամբ եւ դրան անհրաժեշտ ձեւ եւ չափեր տալով։</w:t>
      </w:r>
    </w:p>
    <w:p w14:paraId="0A04563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սպունգների արտադրության համար որպես հիմք սովորաբար օգտագործում են բնական միացություններ (դոնդողանյութ, կոլագեն, </w:t>
      </w:r>
      <w:r w:rsidRPr="00DA21D0">
        <w:rPr>
          <w:rFonts w:ascii="Sylfaen" w:hAnsi="Sylfaen"/>
          <w:sz w:val="24"/>
          <w:szCs w:val="24"/>
        </w:rPr>
        <w:lastRenderedPageBreak/>
        <w:t>ալգինաթթվի աղեր եւ այլն), որոնք հատուկ մշակումից հետո ծակոտկեն, կլանող նյութեր են։</w:t>
      </w:r>
    </w:p>
    <w:p w14:paraId="636C8B2B"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Որպես կանոն, </w:t>
      </w:r>
      <w:r w:rsidRPr="00DA21D0">
        <w:rPr>
          <w:rFonts w:ascii="Sylfaen" w:hAnsi="Sylfaen"/>
          <w:i/>
          <w:sz w:val="24"/>
          <w:szCs w:val="24"/>
        </w:rPr>
        <w:t>Դեղագործական սպունգներ</w:t>
      </w:r>
      <w:r w:rsidRPr="00DA21D0">
        <w:rPr>
          <w:rFonts w:ascii="Sylfaen" w:hAnsi="Sylfaen"/>
          <w:sz w:val="24"/>
          <w:szCs w:val="24"/>
        </w:rPr>
        <w:t xml:space="preserve"> դեղաձեւով թողարկում են հեմոստատիկ, հականեխիչ, մաշկապաշտպանիչ, հյուսվածքների վերականգնումը խթանող եւ այլ դեղապատրաստուկներ։</w:t>
      </w:r>
    </w:p>
    <w:p w14:paraId="5623CEE1" w14:textId="77777777" w:rsidR="00134BE9" w:rsidRPr="00DA21D0" w:rsidRDefault="00134BE9" w:rsidP="00134BE9">
      <w:pPr>
        <w:pStyle w:val="a0"/>
        <w:shd w:val="clear" w:color="auto" w:fill="auto"/>
        <w:spacing w:after="160" w:line="346" w:lineRule="auto"/>
        <w:ind w:firstLine="567"/>
        <w:jc w:val="both"/>
        <w:rPr>
          <w:rFonts w:ascii="Sylfaen" w:hAnsi="Sylfaen" w:cs="Sylfaen"/>
          <w:i/>
          <w:iCs/>
          <w:sz w:val="24"/>
          <w:szCs w:val="24"/>
        </w:rPr>
      </w:pPr>
      <w:r w:rsidRPr="00DA21D0">
        <w:rPr>
          <w:rFonts w:ascii="Sylfaen" w:hAnsi="Sylfaen"/>
          <w:sz w:val="24"/>
          <w:szCs w:val="24"/>
        </w:rPr>
        <w:t>Դեղագործական սպունգներն արտադրում են այն նյութերի եւ մեթոդների կիրառմամբ, որոնք բացառում են մանրէային աղտոտման եւ մանրէների աճի հնարավորությունը եւ ապահովում են դրանց մանրէազերծությունը եւ համապատասխանությունը</w:t>
      </w:r>
      <w:r w:rsidRPr="00DA21D0">
        <w:rPr>
          <w:rFonts w:ascii="Sylfaen" w:hAnsi="Sylfaen"/>
          <w:i/>
          <w:sz w:val="24"/>
          <w:szCs w:val="24"/>
        </w:rPr>
        <w:t xml:space="preserve"> 2.1.6.1 Մանրէազերծություն</w:t>
      </w:r>
      <w:r w:rsidRPr="00DA21D0">
        <w:rPr>
          <w:rFonts w:ascii="Sylfaen" w:hAnsi="Sylfaen"/>
          <w:sz w:val="24"/>
          <w:szCs w:val="24"/>
        </w:rPr>
        <w:t xml:space="preserve"> ընդհանուր դեղագրքային հոդվածի պահանջներին։</w:t>
      </w:r>
    </w:p>
    <w:p w14:paraId="36C47AE9"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2AAC0913" w14:textId="77777777" w:rsidR="00134BE9" w:rsidRPr="00DA21D0" w:rsidRDefault="00134BE9" w:rsidP="00134BE9">
      <w:pPr>
        <w:spacing w:after="160" w:line="360" w:lineRule="auto"/>
        <w:ind w:firstLine="567"/>
        <w:jc w:val="both"/>
      </w:pPr>
      <w:r w:rsidRPr="00DA21D0">
        <w:t xml:space="preserve">Դեղագործական սպունգները պետք է համապատասխանեն </w:t>
      </w:r>
      <w:r w:rsidRPr="00DA21D0">
        <w:rPr>
          <w:i/>
        </w:rPr>
        <w:t>2.5.1.1. Դեղաձեւեր</w:t>
      </w:r>
      <w:r w:rsidRPr="00DA21D0">
        <w:t xml:space="preserve"> ընդհանուր դեղագրքային հոդվածի ընդհանուր պահանջներին եւ անցնեն տվյալ դեղաձեւին բնորոշ հաջորդող փորձարկումները։</w:t>
      </w:r>
    </w:p>
    <w:p w14:paraId="24E4DBD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Դեղագործական սպունգները, որպես կանոն, որոշակի ձեւի եւ չափի թիթեղներ կամ թերթեր են։ Դեղագործական սպունգները բնութագրում են՝ նշելով նյութի կառուցվածքը, դրա ձեւը, գույնը (օրինակ՝ ծակոտկեն կառուցվածքի սպիտակ թերթեր կամ դեղին չոր ծակոտկեն զանգված՝ թիթեղների տեսքով), հոտը (առկայության դեպքում), դեղագործական սպունգի մակերեսի բնույթը (օրինակ՝ ռելիեֆային, հարթ եւ այլն)՝ մասնավոր դեղագրքային հոդվածի կամ որակի վերաբերյալ նորմատիվ փաստաթղթի պահանջներին համապատասխան։</w:t>
      </w:r>
    </w:p>
    <w:p w14:paraId="7AD3B5C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Ջրային հանուկի pH-ը. </w:t>
      </w:r>
      <w:r w:rsidRPr="00DA21D0">
        <w:rPr>
          <w:rFonts w:ascii="Sylfaen" w:hAnsi="Sylfaen"/>
          <w:sz w:val="24"/>
          <w:szCs w:val="24"/>
        </w:rPr>
        <w:t xml:space="preserve">Փորձարկումն անցկացնում են </w:t>
      </w:r>
      <w:r w:rsidRPr="00DA21D0">
        <w:rPr>
          <w:rFonts w:ascii="Sylfaen" w:hAnsi="Sylfaen"/>
          <w:i/>
          <w:sz w:val="24"/>
          <w:szCs w:val="24"/>
        </w:rPr>
        <w:t>2.1.2.3. pH-ի պոտենցաչափական որոշում</w:t>
      </w:r>
      <w:r w:rsidRPr="00DA21D0">
        <w:rPr>
          <w:rFonts w:ascii="Sylfaen" w:hAnsi="Sylfaen"/>
          <w:sz w:val="24"/>
          <w:szCs w:val="24"/>
        </w:rPr>
        <w:t xml:space="preserve"> ընդհանուր դեղագրքային հոդվածին համապատասխան։ Մասնավոր դեղագրքային հոդվածում եւ (կամ) որակի վերաբերյալ նորմատիվ փաստաթղթում այլ ցուցումների բացակայության դեպքում դեղագործական սպունգի ջրային հանուկի pH-ի արժեքը պետք է լինի 4,5-ից մինչեւ 7,5-ի ընդգրկույթում։</w:t>
      </w:r>
    </w:p>
    <w:p w14:paraId="26F277B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Աբսորբման ունակությունը. </w:t>
      </w:r>
      <w:r w:rsidRPr="00DA21D0">
        <w:rPr>
          <w:rFonts w:ascii="Sylfaen" w:hAnsi="Sylfaen"/>
          <w:sz w:val="24"/>
          <w:szCs w:val="24"/>
        </w:rPr>
        <w:t>Փորձարկումն անցկացնում են էքսուդատների եւ վերքային մակերեսներից այլ արտադրությունների կլանման համար նախատեսված դեղապատրաստուկներով դեղագործական սպունգների համար։ Փորձարկման մեթոդիկան եւ պահանջները ներկայացվում են մասնավոր դեղագրքային հոդվածում եւ (կամ) որակի վերաբերյալ նորմատիվ փաստաթղթում։</w:t>
      </w:r>
    </w:p>
    <w:p w14:paraId="3EE7F6F5"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Զանգվածի կորուստը՝ չորացնելիս կամ Ջուրը.</w:t>
      </w:r>
      <w:r w:rsidRPr="00DA21D0">
        <w:rPr>
          <w:rFonts w:ascii="Sylfaen" w:hAnsi="Sylfaen"/>
          <w:b/>
          <w:spacing w:val="-4"/>
          <w:sz w:val="24"/>
          <w:szCs w:val="24"/>
        </w:rPr>
        <w:t xml:space="preserve"> </w:t>
      </w:r>
      <w:r w:rsidRPr="00DA21D0">
        <w:rPr>
          <w:rFonts w:ascii="Sylfaen" w:hAnsi="Sylfaen"/>
          <w:spacing w:val="-4"/>
          <w:sz w:val="24"/>
          <w:szCs w:val="24"/>
        </w:rPr>
        <w:t xml:space="preserve">Փորձարկումն անցկացնում են </w:t>
      </w:r>
      <w:r w:rsidRPr="00DA21D0">
        <w:rPr>
          <w:rFonts w:ascii="Sylfaen" w:hAnsi="Sylfaen"/>
          <w:i/>
          <w:spacing w:val="-4"/>
          <w:sz w:val="24"/>
          <w:szCs w:val="24"/>
        </w:rPr>
        <w:t>2.1.2.31. Զանգվածի կորուստը՝ չորացնելիս կամ 2.1.5.12. Ջուր. որոշում կիսամիկրոմեթոդով</w:t>
      </w:r>
      <w:r w:rsidRPr="00DA21D0">
        <w:rPr>
          <w:rFonts w:ascii="Sylfaen" w:hAnsi="Sylfaen"/>
          <w:sz w:val="24"/>
          <w:szCs w:val="24"/>
        </w:rPr>
        <w:t xml:space="preserve"> ընդհանուր դեղագրքային հոդվածներին կամ </w:t>
      </w:r>
      <w:r w:rsidRPr="00DA21D0">
        <w:rPr>
          <w:rFonts w:ascii="Sylfaen" w:hAnsi="Sylfaen"/>
          <w:i/>
          <w:sz w:val="24"/>
          <w:szCs w:val="24"/>
        </w:rPr>
        <w:t>2.1.5.13. Ջուր. միկրոորոշում</w:t>
      </w:r>
      <w:r w:rsidRPr="00DA21D0">
        <w:rPr>
          <w:rFonts w:ascii="Sylfaen" w:hAnsi="Sylfaen"/>
          <w:sz w:val="24"/>
          <w:szCs w:val="24"/>
        </w:rPr>
        <w:t xml:space="preserve"> ընդհանուր դեղագրքային հոդվածին համապատասխան եւ մասնավոր դեղագրքային հոդվածում եւ (կամ) որակի վերաբերյալ նորմատիվ փաստաթղթում նշված պահանջներին համապատասխան։</w:t>
      </w:r>
    </w:p>
    <w:p w14:paraId="63F9ED6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pacing w:val="-4"/>
          <w:sz w:val="24"/>
          <w:szCs w:val="24"/>
        </w:rPr>
        <w:t>Զանգվածի կորուստը՝ չորացնելիս կամ Ջուրը</w:t>
      </w:r>
      <w:r w:rsidRPr="00DA21D0">
        <w:rPr>
          <w:rFonts w:ascii="Sylfaen" w:hAnsi="Sylfaen"/>
          <w:spacing w:val="-4"/>
          <w:sz w:val="24"/>
          <w:szCs w:val="24"/>
        </w:rPr>
        <w:t xml:space="preserve"> որակի ցուցանիշները կարող են այլընտրանքային լինել՝ բացի այն դեպքից, երբ </w:t>
      </w:r>
      <w:r w:rsidRPr="00DA21D0">
        <w:rPr>
          <w:rFonts w:ascii="Sylfaen" w:hAnsi="Sylfaen"/>
          <w:i/>
          <w:spacing w:val="-4"/>
          <w:sz w:val="24"/>
          <w:szCs w:val="24"/>
        </w:rPr>
        <w:t>Զանգվածի կորուստը՝ չորացնելիս</w:t>
      </w:r>
      <w:r w:rsidRPr="00DA21D0">
        <w:rPr>
          <w:rFonts w:ascii="Sylfaen" w:hAnsi="Sylfaen"/>
          <w:spacing w:val="-4"/>
          <w:sz w:val="24"/>
          <w:szCs w:val="24"/>
        </w:rPr>
        <w:t xml:space="preserve"> որակի ցուցանիշը որոշելն անհրաժեշտ է Մնացորդային օրգանական լուծիչների պարունակությունը</w:t>
      </w:r>
      <w:r w:rsidRPr="00DA21D0">
        <w:rPr>
          <w:rFonts w:ascii="Sylfaen" w:hAnsi="Sylfaen"/>
          <w:sz w:val="24"/>
          <w:szCs w:val="24"/>
        </w:rPr>
        <w:t xml:space="preserve"> վերահսկելու համար։</w:t>
      </w:r>
    </w:p>
    <w:p w14:paraId="0616089A" w14:textId="77777777" w:rsidR="00134BE9" w:rsidRPr="00DA21D0" w:rsidRDefault="00134BE9" w:rsidP="00DA21D0">
      <w:pPr>
        <w:spacing w:after="160" w:line="360" w:lineRule="auto"/>
        <w:ind w:firstLine="567"/>
        <w:jc w:val="both"/>
      </w:pPr>
      <w:r w:rsidRPr="00DA21D0">
        <w:rPr>
          <w:b/>
        </w:rPr>
        <w:t xml:space="preserve">Զանգվածի միատարրությունը. </w:t>
      </w:r>
      <w:r w:rsidRPr="00DA21D0">
        <w:t xml:space="preserve">Փորձարկումն անցկացնում են </w:t>
      </w:r>
      <w:r w:rsidRPr="00DA21D0">
        <w:rPr>
          <w:i/>
        </w:rPr>
        <w:t>2.1.9.5. Դեղաչափված դեղապատրաստուկի միավորի զանգվածի միատարրությունը</w:t>
      </w:r>
      <w:r w:rsidRPr="00DA21D0">
        <w:t xml:space="preserve"> ընդհանուր դեղագրքային հոդվածին եւ մասնավոր դեղագրքային հոդվածում եւ (կամ) որակի վերաբերյալ նորմատիվ փաստաթղթում միադեղաչափ փաթեթվածքով դեղագործական սպունգների համար նշված պահանջներին համապատասխան։</w:t>
      </w:r>
    </w:p>
    <w:p w14:paraId="1654B08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Հեմոստատիկ ակտիվության որոշում. </w:t>
      </w:r>
      <w:r w:rsidRPr="00DA21D0">
        <w:rPr>
          <w:rFonts w:ascii="Sylfaen" w:hAnsi="Sylfaen"/>
          <w:sz w:val="24"/>
          <w:szCs w:val="24"/>
        </w:rPr>
        <w:t>Փորձարկումն անցկացնում են հեմոստատիկ դեղապատրաստուկներով դեղագործական սպունգների համար։ Փորձարկման մեթոդիկան եւ պահանջները ներկայացվում են մասնավոր դեղագրքային հոդվածում եւ (կամ) որակի վերաբերյալ նորմատիվ փաստաթղթում։</w:t>
      </w:r>
    </w:p>
    <w:p w14:paraId="4A05B1F7" w14:textId="77777777" w:rsidR="00134BE9" w:rsidRPr="00DA21D0" w:rsidRDefault="00134BE9" w:rsidP="00DA21D0">
      <w:pPr>
        <w:pStyle w:val="a0"/>
        <w:shd w:val="clear" w:color="auto" w:fill="auto"/>
        <w:spacing w:after="160" w:line="360" w:lineRule="auto"/>
        <w:ind w:firstLine="567"/>
        <w:jc w:val="both"/>
        <w:rPr>
          <w:rFonts w:ascii="Sylfaen" w:hAnsi="Sylfaen" w:cs="Sylfaen"/>
          <w:szCs w:val="24"/>
        </w:rPr>
      </w:pPr>
      <w:r w:rsidRPr="00DA21D0">
        <w:rPr>
          <w:rFonts w:ascii="Sylfaen" w:hAnsi="Sylfaen"/>
          <w:b/>
          <w:szCs w:val="24"/>
        </w:rPr>
        <w:t xml:space="preserve">Ծանոթագրություն. </w:t>
      </w:r>
      <w:r w:rsidRPr="00DA21D0">
        <w:rPr>
          <w:rFonts w:ascii="Sylfaen" w:hAnsi="Sylfaen"/>
          <w:szCs w:val="24"/>
        </w:rPr>
        <w:t>Դեղագործական սպունգի տեսքով դեղապատրաստուկի քանակական որոշման համար ազդող նյութի պարունակությունը արտահայտում են դեղագործական սպունգի մգ/գ-ով կամ մգ/սմ</w:t>
      </w:r>
      <w:r w:rsidRPr="00DA21D0">
        <w:rPr>
          <w:rFonts w:ascii="Sylfaen" w:hAnsi="Sylfaen"/>
          <w:szCs w:val="24"/>
          <w:vertAlign w:val="superscript"/>
        </w:rPr>
        <w:t>2</w:t>
      </w:r>
      <w:r w:rsidRPr="00DA21D0">
        <w:rPr>
          <w:rFonts w:ascii="Sylfaen" w:hAnsi="Sylfaen"/>
          <w:szCs w:val="24"/>
        </w:rPr>
        <w:t>-ով։</w:t>
      </w:r>
    </w:p>
    <w:p w14:paraId="57893908"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lastRenderedPageBreak/>
        <w:t>205010007-2022</w:t>
      </w:r>
    </w:p>
    <w:p w14:paraId="465DBBC0"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14F89868" w14:textId="77777777" w:rsidR="00134BE9" w:rsidRPr="00DA21D0" w:rsidRDefault="00134BE9" w:rsidP="008D6E8B">
      <w:pPr>
        <w:pStyle w:val="a0"/>
        <w:shd w:val="clear" w:color="auto" w:fill="auto"/>
        <w:tabs>
          <w:tab w:val="left" w:pos="1701"/>
        </w:tabs>
        <w:spacing w:after="160" w:line="360" w:lineRule="auto"/>
        <w:ind w:firstLine="567"/>
        <w:jc w:val="both"/>
        <w:rPr>
          <w:rFonts w:ascii="Sylfaen" w:hAnsi="Sylfaen" w:cs="Sylfaen"/>
          <w:sz w:val="24"/>
          <w:szCs w:val="24"/>
        </w:rPr>
      </w:pPr>
      <w:r w:rsidRPr="00DA21D0">
        <w:rPr>
          <w:rFonts w:ascii="Sylfaen" w:hAnsi="Sylfaen"/>
          <w:b/>
          <w:sz w:val="24"/>
          <w:szCs w:val="24"/>
        </w:rPr>
        <w:t>2.5.1.7.</w:t>
      </w:r>
      <w:r w:rsidRPr="00DA21D0">
        <w:rPr>
          <w:rFonts w:ascii="Sylfaen" w:hAnsi="Sylfaen"/>
          <w:b/>
          <w:sz w:val="24"/>
          <w:szCs w:val="24"/>
        </w:rPr>
        <w:tab/>
        <w:t>Դրաժեներ</w:t>
      </w:r>
    </w:p>
    <w:p w14:paraId="1FFB979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«Դրաժե»՝ պինդ դեղաչափված դեղաձեւ՝ ներքին ընդունման համար, որը ստացվում է օժանդակ նյութերին խառնած ազդող նյութերը չեզոք օժանդակ նյութերից ստացված գրանուլների վրա շերտ առ շերտ քսելու միջոցով։</w:t>
      </w:r>
    </w:p>
    <w:p w14:paraId="11F32C1D"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Դրաժեի զանգվածը, որպես կանոն, տատանվում է 0,1 գ-ից մինչեւ 0,5 գ-ի սահմաններում, առանձին դեպքերում՝ մինչեւ 1,0 գ։</w:t>
      </w:r>
    </w:p>
    <w:p w14:paraId="38F0071D"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6B4DAE50"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1E25178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Դրաժեների արտադրությունն իրականացվում է քաղցրապատման կաթսաներում՝ օգտագործելով այնպիսի տեխնոլոգիա, որը կայանում է օժանդակ նյութերին խառնած ակտիվ դեղագործական բաղադրամասը (բաղադրամասերը) համապատասխան չեզոք օժանդակ նյութերից ստացված գրանուլի ձեւով միջուկի վրա բազմակի անգամ շերտ առ շերտ քսելու մեջ։</w:t>
      </w:r>
    </w:p>
    <w:p w14:paraId="1004F94E"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Դրաժեների արտադրության ժամանակ որպես օժանդակ նյութեր օգտագործում են ջրիկացուցիչներ, փխրեցուցիչներ, սահելուն նպաստող կապակցանյութեր, համի եւ հոտի կորիգենտներ, ներկանյութեր, լաքեր եւ այլն։</w:t>
      </w:r>
    </w:p>
    <w:p w14:paraId="29DCD59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Դրաժեներ</w:t>
      </w:r>
      <w:r w:rsidRPr="00DA21D0">
        <w:rPr>
          <w:rFonts w:ascii="Sylfaen" w:hAnsi="Sylfaen"/>
          <w:sz w:val="24"/>
          <w:szCs w:val="24"/>
        </w:rPr>
        <w:t xml:space="preserve"> դեղաձեւի տեսքով դեղապատրաստուկների արտադրության ժամանակ պետք է ձեռնարկվեն դրանց մանրէաբանական մաքրությունն ապահովող միջոցներ։</w:t>
      </w:r>
    </w:p>
    <w:p w14:paraId="17FADAC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0DA88EE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167E7EF2" w14:textId="77777777" w:rsidR="00134BE9" w:rsidRPr="00DA21D0" w:rsidRDefault="00134BE9" w:rsidP="00DA21D0">
      <w:pPr>
        <w:spacing w:after="160" w:line="360" w:lineRule="auto"/>
        <w:ind w:firstLine="567"/>
        <w:jc w:val="both"/>
      </w:pPr>
      <w:r w:rsidRPr="00DA21D0">
        <w:t xml:space="preserve">Դրաժեները պետք է համապատասխանեն </w:t>
      </w:r>
      <w:r w:rsidRPr="00DA21D0">
        <w:rPr>
          <w:i/>
        </w:rPr>
        <w:t>2.5.1.1. Դեղաձեւեր</w:t>
      </w:r>
      <w:r w:rsidRPr="00DA21D0">
        <w:t xml:space="preserve"> դեղագրքային հոդվածի ընդհանուր պահանջներին եւ անցնեն տվյալ դեղաձեւին բնորոշ հաջորդող փորձարկումները։</w:t>
      </w:r>
    </w:p>
    <w:p w14:paraId="0DD8D3A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Նկարագրությունը. </w:t>
      </w:r>
      <w:r w:rsidRPr="00DA21D0">
        <w:rPr>
          <w:rFonts w:ascii="Sylfaen" w:hAnsi="Sylfaen"/>
          <w:sz w:val="24"/>
          <w:szCs w:val="24"/>
        </w:rPr>
        <w:t>Դրաժեները բնութագրում են՝ նշելով արտաքին տեսքը (ձեւը, մակերեսի բնույթը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523C309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Դրաժեները պետք է լինեն ճիշտ գնդաձեւ։ Առանձին դեպքերում դրաժեի արտաքին շերտը կարող է ներկված լինել: Եթե մասնավոր դեղագրքային հոդվածում եւ (կամ) որակի վերաբերյալ նորմատիվ փաստաթղթում այլ բան նշված չէ, դրաժեի մակերեսը պետք է լինի հավասար եւ հարթ, միատարր երանգի։</w:t>
      </w:r>
    </w:p>
    <w:p w14:paraId="6A20EDE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միատարրությունը.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2.1.9.5. Դեղաչափված դեղապատրաստուկի միավորի զանգվածի միատարրությունը</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0C541AC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Մասնավոր դեղագրքային հոդվածում եւ (կամ) որակի վերաբերյալ նորմատիվ փաստաթղթում այլ ցուցումների բացակայության դեպքում </w:t>
      </w:r>
      <w:r w:rsidRPr="00DA21D0">
        <w:rPr>
          <w:rFonts w:ascii="Sylfaen" w:hAnsi="Sylfaen"/>
          <w:i/>
          <w:sz w:val="24"/>
          <w:szCs w:val="24"/>
        </w:rPr>
        <w:t>Դրաժեները</w:t>
      </w:r>
      <w:r w:rsidRPr="00DA21D0">
        <w:rPr>
          <w:rFonts w:ascii="Sylfaen" w:hAnsi="Sylfaen"/>
          <w:sz w:val="24"/>
          <w:szCs w:val="24"/>
        </w:rPr>
        <w:t xml:space="preserve"> փորձարկումն անցնում են, եթե ոչ ավելի, քան երկու անհատական զանգված շեղվում է միջին զանգվածից ավելի, քան ±15 %-ով, ընդ որում, ոչ մի անհատական զանգված չպետք է միջին զանգվածից շեղվի ավելի, քան ±30 %-ով, կամ այն մեծությամբ, որը սահմանված նորմը գերազանցում է երկու անգամ։</w:t>
      </w:r>
    </w:p>
    <w:p w14:paraId="119405E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Փորձարկումը չեն կիրառում, եթե նախատեսված է փորձարկում՝ ըստ </w:t>
      </w:r>
      <w:r w:rsidRPr="00DA21D0">
        <w:rPr>
          <w:rFonts w:ascii="Sylfaen" w:hAnsi="Sylfaen"/>
          <w:i/>
          <w:sz w:val="24"/>
          <w:szCs w:val="24"/>
        </w:rPr>
        <w:t>Դեղաչափված միավորների միատարրությունը</w:t>
      </w:r>
      <w:r w:rsidRPr="00DA21D0">
        <w:rPr>
          <w:rFonts w:ascii="Sylfaen" w:hAnsi="Sylfaen"/>
          <w:sz w:val="24"/>
          <w:szCs w:val="24"/>
        </w:rPr>
        <w:t xml:space="preserve"> ցուցանիշի՝ բոլոր ազդող նյութերի համար։</w:t>
      </w:r>
    </w:p>
    <w:p w14:paraId="76B459C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Տրոհելիությունը.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2.1.9.1. Դեղահաբերի եւ դեղապատիճների տրոհելիությունը</w:t>
      </w:r>
      <w:r w:rsidRPr="00DA21D0">
        <w:rPr>
          <w:rFonts w:ascii="Sylfaen" w:hAnsi="Sylfaen"/>
          <w:sz w:val="24"/>
          <w:szCs w:val="24"/>
        </w:rPr>
        <w:t xml:space="preserve"> ընդհանուր դեղագրքային հոդվածին համապատասխան, մասնավոր դեղագրքային հոդվածում եւ (կամ) որակի վերաբերյալ նորմատիվ փաստաթղթում այլ ցուցումների բացակայության դեպքում որպես հեղուկ միջավայր օգտագործվում է </w:t>
      </w:r>
      <w:r w:rsidRPr="00DA21D0">
        <w:rPr>
          <w:rFonts w:ascii="Sylfaen" w:hAnsi="Sylfaen"/>
          <w:i/>
          <w:sz w:val="24"/>
          <w:szCs w:val="24"/>
        </w:rPr>
        <w:t>Ռ ջուր</w:t>
      </w:r>
      <w:r w:rsidRPr="00DA21D0">
        <w:rPr>
          <w:rFonts w:ascii="Sylfaen" w:hAnsi="Sylfaen"/>
          <w:sz w:val="24"/>
          <w:szCs w:val="24"/>
        </w:rPr>
        <w:t xml:space="preserve">։ Մասնավոր դեղագրքային հոդվածում եւ (կամ) որակի վերաբերյալ նորմատիվ  փաստաթղթում այլ </w:t>
      </w:r>
      <w:r w:rsidRPr="00DA21D0">
        <w:rPr>
          <w:rFonts w:ascii="Sylfaen" w:hAnsi="Sylfaen"/>
          <w:sz w:val="24"/>
          <w:szCs w:val="24"/>
        </w:rPr>
        <w:lastRenderedPageBreak/>
        <w:t>ցուցումների բացակայության դեպքում դրաժեները պետք է տրոհվեն 30 վրկ ընթացքում։</w:t>
      </w:r>
    </w:p>
    <w:p w14:paraId="7FE5B4E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Լուծում. </w:t>
      </w:r>
      <w:r w:rsidRPr="00DA21D0">
        <w:rPr>
          <w:rFonts w:ascii="Sylfaen" w:hAnsi="Sylfaen"/>
          <w:sz w:val="24"/>
          <w:szCs w:val="24"/>
        </w:rPr>
        <w:t xml:space="preserve">Փորձարկումն անցկացնում են </w:t>
      </w:r>
      <w:r w:rsidRPr="00DA21D0">
        <w:rPr>
          <w:rFonts w:ascii="Sylfaen" w:hAnsi="Sylfaen"/>
          <w:i/>
          <w:sz w:val="24"/>
          <w:szCs w:val="24"/>
        </w:rPr>
        <w:t>2.1.9.3. Դեղաչափված պինդ դեղաձեւերի համար լուծվելու փորձարկումը</w:t>
      </w:r>
      <w:r w:rsidRPr="00DA21D0">
        <w:rPr>
          <w:rFonts w:ascii="Sylfaen" w:hAnsi="Sylfaen"/>
          <w:sz w:val="24"/>
          <w:szCs w:val="24"/>
        </w:rPr>
        <w:t xml:space="preserve"> ընդհանուր դեղագրքային հոդվածին ու մասնավոր դեղագրքային հոդվածում եւ (կամ) որակի վերաբերյալ նորմատիվ փաստաթղթում նշված պահանջներին համապատասխան։</w:t>
      </w:r>
    </w:p>
    <w:p w14:paraId="2A5930E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Եթե մասնավոր դեղագրքային հոդվածում եւ (կամ) որակի վերաբերյալ նորմատիվ փաստաթղթում նախատեսված է փորձարկում՝ ըստ </w:t>
      </w:r>
      <w:r w:rsidRPr="00DA21D0">
        <w:rPr>
          <w:rFonts w:ascii="Sylfaen" w:hAnsi="Sylfaen"/>
          <w:i/>
          <w:sz w:val="24"/>
          <w:szCs w:val="24"/>
        </w:rPr>
        <w:t>Լուծում</w:t>
      </w:r>
      <w:r w:rsidRPr="00DA21D0">
        <w:rPr>
          <w:rFonts w:ascii="Sylfaen" w:hAnsi="Sylfaen"/>
          <w:sz w:val="24"/>
          <w:szCs w:val="24"/>
        </w:rPr>
        <w:t xml:space="preserve"> ցուցանիշի, ապա թույլատրվում է չանցկացնել փորձարկում՝ ըստ </w:t>
      </w:r>
      <w:r w:rsidRPr="00DA21D0">
        <w:rPr>
          <w:rFonts w:ascii="Sylfaen" w:hAnsi="Sylfaen"/>
          <w:i/>
          <w:sz w:val="24"/>
          <w:szCs w:val="24"/>
        </w:rPr>
        <w:t>Տրոհելիություն</w:t>
      </w:r>
      <w:r w:rsidRPr="00DA21D0">
        <w:rPr>
          <w:rFonts w:ascii="Sylfaen" w:hAnsi="Sylfaen"/>
          <w:sz w:val="24"/>
          <w:szCs w:val="24"/>
        </w:rPr>
        <w:t xml:space="preserve"> ցուցանիշի։</w:t>
      </w:r>
    </w:p>
    <w:p w14:paraId="3AB69A1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Զանգվածի կորուստը՝ չորացնելիս</w:t>
      </w:r>
      <w:r w:rsidRPr="00DA21D0">
        <w:rPr>
          <w:rFonts w:ascii="Sylfaen" w:hAnsi="Sylfaen"/>
          <w:spacing w:val="-6"/>
          <w:sz w:val="24"/>
          <w:szCs w:val="24"/>
        </w:rPr>
        <w:t xml:space="preserve"> կամ </w:t>
      </w:r>
      <w:r w:rsidRPr="00DA21D0">
        <w:rPr>
          <w:rFonts w:ascii="Sylfaen" w:hAnsi="Sylfaen"/>
          <w:b/>
          <w:spacing w:val="-6"/>
          <w:sz w:val="24"/>
          <w:szCs w:val="24"/>
        </w:rPr>
        <w:t xml:space="preserve">Ջուրը. </w:t>
      </w:r>
      <w:r w:rsidRPr="00DA21D0">
        <w:rPr>
          <w:rFonts w:ascii="Sylfaen" w:hAnsi="Sylfaen"/>
          <w:spacing w:val="-6"/>
          <w:sz w:val="24"/>
          <w:szCs w:val="24"/>
        </w:rPr>
        <w:t>Փորձարկումն անցկացնում են մասնավոր դեղագրքային հոդվածի եւ (կամ) որակի վերաբերյալ նորմատիվ փաստաթղթի</w:t>
      </w:r>
      <w:r w:rsidRPr="00DA21D0">
        <w:rPr>
          <w:rFonts w:ascii="Sylfaen" w:hAnsi="Sylfaen"/>
          <w:sz w:val="24"/>
          <w:szCs w:val="24"/>
        </w:rPr>
        <w:t xml:space="preserve"> պահանջներին համապատասխան այն դեպքերում, երբ ջրի պարունակությունը կարող է ազդել </w:t>
      </w:r>
      <w:r w:rsidRPr="00DA21D0">
        <w:rPr>
          <w:rFonts w:ascii="Sylfaen" w:hAnsi="Sylfaen"/>
          <w:i/>
          <w:sz w:val="24"/>
          <w:szCs w:val="24"/>
        </w:rPr>
        <w:t>Դրաժեներ</w:t>
      </w:r>
      <w:r w:rsidRPr="00DA21D0">
        <w:rPr>
          <w:rFonts w:ascii="Sylfaen" w:hAnsi="Sylfaen"/>
          <w:sz w:val="24"/>
          <w:szCs w:val="24"/>
        </w:rPr>
        <w:t xml:space="preserve"> դեղաձեւով դեղապատրաստուկի կայունության վրա, ազդող նյութի հատկության վրա եւ այլն։ Փորձարկումն անցկացնում են </w:t>
      </w:r>
      <w:r w:rsidRPr="00DA21D0">
        <w:rPr>
          <w:rFonts w:ascii="Sylfaen" w:hAnsi="Sylfaen"/>
          <w:i/>
          <w:sz w:val="24"/>
          <w:szCs w:val="24"/>
        </w:rPr>
        <w:t>2.1.2.31. Զանգվածի կորուստը՝ չորացնելիս</w:t>
      </w:r>
      <w:r w:rsidRPr="00DA21D0">
        <w:rPr>
          <w:rFonts w:ascii="Sylfaen" w:hAnsi="Sylfaen"/>
          <w:sz w:val="24"/>
          <w:szCs w:val="24"/>
        </w:rPr>
        <w:t xml:space="preserve"> կամ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կամ </w:t>
      </w:r>
      <w:r w:rsidRPr="00DA21D0">
        <w:rPr>
          <w:rFonts w:ascii="Sylfaen" w:hAnsi="Sylfaen"/>
          <w:i/>
          <w:sz w:val="24"/>
          <w:szCs w:val="24"/>
        </w:rPr>
        <w:t>2.1.5.13. Ջուր. միկրոորոշում</w:t>
      </w:r>
      <w:r w:rsidRPr="00DA21D0">
        <w:rPr>
          <w:rFonts w:ascii="Sylfaen" w:hAnsi="Sylfaen"/>
          <w:sz w:val="24"/>
          <w:szCs w:val="24"/>
        </w:rPr>
        <w:t xml:space="preserve"> ընդհանուր դեղագրքային հոդվածներին համապատասխան եւ մասնավոր դեղագրքային հոդվածում եւ (կամ) որակի վերաբերյալ նորմատիվ փաստաթղթում նշված պահանջներին համապատասխան։</w:t>
      </w:r>
    </w:p>
    <w:p w14:paraId="0A421B5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 Դեղաչափված միավորների միատարրությունը</w:t>
      </w:r>
      <w:r w:rsidRPr="008D6E8B">
        <w:rPr>
          <w:rFonts w:ascii="Sylfaen" w:hAnsi="Sylfaen"/>
          <w:spacing w:val="-4"/>
          <w:sz w:val="24"/>
          <w:szCs w:val="24"/>
        </w:rPr>
        <w:t xml:space="preserve"> ընդհանուր դեղագրքային հոդվածին համապատասխան։ Մասնավոր դեղագրքային հոդվածում</w:t>
      </w:r>
      <w:r w:rsidRPr="00DA21D0">
        <w:rPr>
          <w:rFonts w:ascii="Sylfaen" w:hAnsi="Sylfaen"/>
          <w:sz w:val="24"/>
          <w:szCs w:val="24"/>
        </w:rPr>
        <w:t xml:space="preserve"> եւ (կամ) որակի վերաբերյալ նորմատիվ փաստաթղթում այլ ցուցումների բացակայության դեպքում փորձարկումն անցկացնում են այնպես, ինչպես </w:t>
      </w:r>
      <w:r w:rsidRPr="00DA21D0">
        <w:rPr>
          <w:rFonts w:ascii="Sylfaen" w:hAnsi="Sylfaen"/>
          <w:i/>
          <w:sz w:val="24"/>
          <w:szCs w:val="24"/>
        </w:rPr>
        <w:t>Դեղահաբեր</w:t>
      </w:r>
      <w:r w:rsidRPr="00DA21D0">
        <w:rPr>
          <w:rFonts w:ascii="Sylfaen" w:hAnsi="Sylfaen"/>
          <w:sz w:val="24"/>
          <w:szCs w:val="24"/>
        </w:rPr>
        <w:t xml:space="preserve"> դեղաձեւի համար։ Պահանջները նշվում է մասնավոր դեղագրքային հոդվածում եւ (կամ) որակի վերաբերյալ նորմատիվ փաստաթղթում։</w:t>
      </w:r>
    </w:p>
    <w:p w14:paraId="252031F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5F29F4F9"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lastRenderedPageBreak/>
        <w:t>205010008-2022</w:t>
      </w:r>
    </w:p>
    <w:p w14:paraId="67A7D44A"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2C8800F0"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2.5.1.8.</w:t>
      </w:r>
      <w:r w:rsidRPr="00DA21D0">
        <w:rPr>
          <w:rFonts w:ascii="Sylfaen" w:hAnsi="Sylfaen"/>
          <w:b/>
          <w:sz w:val="24"/>
          <w:szCs w:val="24"/>
        </w:rPr>
        <w:tab/>
        <w:t>Ներպատվաստներ</w:t>
      </w:r>
    </w:p>
    <w:p w14:paraId="7898B9C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«Ներպատվաստներ»՝ մանրէազերծ պինդ դեղաձեւ, որը ունի մարմնի հյուսվածքներ ներմուծելու համար համապատասխան չափ եւ ձեւ, նախատեսված է ներպատվաստման համար եւ ազդող նյութ (նյութեր) է արտազատում երկարատեւ</w:t>
      </w:r>
      <w:r w:rsidRPr="00DA21D0">
        <w:rPr>
          <w:rFonts w:ascii="Sylfaen" w:hAnsi="Sylfaen"/>
          <w:sz w:val="24"/>
          <w:szCs w:val="24"/>
        </w:rPr>
        <w:t xml:space="preserve"> ժամանակահատվածի ընթացքում: Որպես կանոն, ներմուծվում է ենթամաշկային եղանակով, այլ դեպքերում նշվում է ներմուծման ուղին։</w:t>
      </w:r>
    </w:p>
    <w:p w14:paraId="161CB34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Սույն ընդհանուր դեղագրքային հոդվածի պահանջները չեն տարածվում ներպատվաստման դեղահաբերի վրա։</w:t>
      </w:r>
    </w:p>
    <w:p w14:paraId="66179C4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8D6E8B">
        <w:rPr>
          <w:rFonts w:ascii="Sylfaen" w:hAnsi="Sylfaen"/>
          <w:i/>
          <w:spacing w:val="-4"/>
          <w:sz w:val="24"/>
          <w:szCs w:val="24"/>
        </w:rPr>
        <w:t>Ներպատվաստման դեղահաբերի</w:t>
      </w:r>
      <w:r w:rsidRPr="008D6E8B">
        <w:rPr>
          <w:rFonts w:ascii="Sylfaen" w:hAnsi="Sylfaen"/>
          <w:spacing w:val="-4"/>
          <w:sz w:val="24"/>
          <w:szCs w:val="24"/>
        </w:rPr>
        <w:t xml:space="preserve"> դեղաձեւով դեղապատրաստուկները պետք է համապատասխանեն </w:t>
      </w:r>
      <w:r w:rsidRPr="008D6E8B">
        <w:rPr>
          <w:rFonts w:ascii="Sylfaen" w:hAnsi="Sylfaen"/>
          <w:i/>
          <w:spacing w:val="-4"/>
          <w:sz w:val="24"/>
          <w:szCs w:val="24"/>
        </w:rPr>
        <w:t>2.5.3.4. Հարմարսողական կիրառման համար նախատեսված</w:t>
      </w:r>
      <w:r w:rsidRPr="00DA21D0">
        <w:rPr>
          <w:rFonts w:ascii="Sylfaen" w:hAnsi="Sylfaen"/>
          <w:i/>
          <w:sz w:val="24"/>
          <w:szCs w:val="24"/>
        </w:rPr>
        <w:t xml:space="preserve"> դեղապատրաստուկներ</w:t>
      </w:r>
      <w:r w:rsidRPr="00DA21D0">
        <w:rPr>
          <w:rFonts w:ascii="Sylfaen" w:hAnsi="Sylfaen"/>
          <w:sz w:val="24"/>
          <w:szCs w:val="24"/>
        </w:rPr>
        <w:t xml:space="preserve"> ընդհանուր դեղագրքային հոդվածի պահանջներին։</w:t>
      </w:r>
    </w:p>
    <w:p w14:paraId="32D2A9E1"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sz w:val="24"/>
          <w:szCs w:val="24"/>
        </w:rPr>
        <w:t>Ըստ ներմուծման եղանակի, բացի ենթամաշկային ներմուծման ներպատվաստներից, տարբերակում են նաեւ աչքի ներպատվաստները, ներմկանային ներմուծման ներպատվաստները, ինչպես նաեւ տարբեր օրգաններ ներմուծելու համար ներպատվաստները։</w:t>
      </w:r>
    </w:p>
    <w:p w14:paraId="56CBFA0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Ենթամաշկային ներմուծման համար նախատեսված ներպատվաստների համար օգտագործում են «ներպատվաստ» եզրույթը։</w:t>
      </w:r>
    </w:p>
    <w:p w14:paraId="6A43977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«Աչքի ներպատվաստ»՝</w:t>
      </w:r>
      <w:r w:rsidRPr="00DA21D0">
        <w:rPr>
          <w:rFonts w:ascii="Sylfaen" w:hAnsi="Sylfaen"/>
          <w:sz w:val="24"/>
          <w:szCs w:val="24"/>
        </w:rPr>
        <w:t xml:space="preserve"> դեղաչափված պինդ դեղաձեւ, որը նախատեսված է երկարատեւ ժամանակով աչքի ներքին կառուցվածքների մեջ ներմուծելու համար՝ դեղաբանական որոշակի ազդեցություն գործելու նպատակով։ Աչքի ներպատվաստի տարատեսակ է ինտրավիտրեալ ներպատվաստը։</w:t>
      </w:r>
    </w:p>
    <w:p w14:paraId="3E17720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pacing w:val="-4"/>
          <w:sz w:val="24"/>
          <w:szCs w:val="24"/>
        </w:rPr>
        <w:t>«Ինտրավիտրեալ ներպատվաստ»</w:t>
      </w:r>
      <w:r w:rsidRPr="00DA21D0">
        <w:rPr>
          <w:rFonts w:ascii="Sylfaen" w:hAnsi="Sylfaen"/>
          <w:spacing w:val="-4"/>
          <w:sz w:val="24"/>
          <w:szCs w:val="24"/>
        </w:rPr>
        <w:t>՝ աչքի ներպատվաստ, որը նախատեսված է աչքի հե</w:t>
      </w:r>
      <w:r w:rsidRPr="00DA21D0">
        <w:rPr>
          <w:rFonts w:ascii="Sylfaen" w:hAnsi="Sylfaen"/>
          <w:sz w:val="24"/>
          <w:szCs w:val="24"/>
        </w:rPr>
        <w:t>տին խցիկի մեջ ներմուծելու համար։</w:t>
      </w:r>
    </w:p>
    <w:p w14:paraId="247F15D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Ըստ ձերբազատման տեսակի՝ ներպատվաստները դասվում են </w:t>
      </w:r>
      <w:r w:rsidRPr="00DA21D0">
        <w:rPr>
          <w:rFonts w:ascii="Sylfaen" w:hAnsi="Sylfaen"/>
          <w:sz w:val="24"/>
          <w:szCs w:val="24"/>
        </w:rPr>
        <w:lastRenderedPageBreak/>
        <w:t>մոդիֆիկացված, որպես կանոն, երկարատեւ ձերբազատմամբ դեղաձեւերի շարքին։</w:t>
      </w:r>
    </w:p>
    <w:p w14:paraId="3A74DC80"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Ներպատվաստները կարող են լինել թաղանթապատ։</w:t>
      </w:r>
    </w:p>
    <w:p w14:paraId="303BF1B8" w14:textId="77777777" w:rsidR="00134BE9" w:rsidRPr="00DA21D0" w:rsidRDefault="00134BE9" w:rsidP="00DA21D0">
      <w:pPr>
        <w:pStyle w:val="a0"/>
        <w:shd w:val="clear" w:color="auto" w:fill="auto"/>
        <w:spacing w:after="160" w:line="346" w:lineRule="auto"/>
        <w:ind w:firstLine="567"/>
        <w:jc w:val="both"/>
        <w:rPr>
          <w:rFonts w:ascii="Sylfaen" w:hAnsi="Sylfaen" w:cs="Sylfaen"/>
          <w:i/>
          <w:iCs/>
          <w:sz w:val="24"/>
          <w:szCs w:val="24"/>
        </w:rPr>
      </w:pPr>
      <w:r w:rsidRPr="00DA21D0">
        <w:rPr>
          <w:rFonts w:ascii="Sylfaen" w:hAnsi="Sylfaen"/>
          <w:sz w:val="24"/>
          <w:szCs w:val="24"/>
        </w:rPr>
        <w:t xml:space="preserve">Ներպատվաստները կարող են արտադրվել կենսադեգրադացվող (լուծվող) նյութերի հիման վրա </w:t>
      </w:r>
      <w:r w:rsidRPr="00DA21D0">
        <w:rPr>
          <w:rFonts w:ascii="Sylfaen" w:hAnsi="Sylfaen"/>
          <w:i/>
          <w:sz w:val="24"/>
          <w:szCs w:val="24"/>
        </w:rPr>
        <w:t>(կենսադեգրադացվող ներպատվաստներ)</w:t>
      </w:r>
      <w:r w:rsidRPr="00DA21D0">
        <w:rPr>
          <w:rFonts w:ascii="Sylfaen" w:hAnsi="Sylfaen"/>
          <w:sz w:val="24"/>
          <w:szCs w:val="24"/>
        </w:rPr>
        <w:t xml:space="preserve"> եւ չկենսադեգրադացվող նյութերի հիման վրա </w:t>
      </w:r>
      <w:r w:rsidRPr="00DA21D0">
        <w:rPr>
          <w:rFonts w:ascii="Sylfaen" w:hAnsi="Sylfaen"/>
          <w:i/>
          <w:sz w:val="24"/>
          <w:szCs w:val="24"/>
        </w:rPr>
        <w:t>(չկենսադեգրադացվող ներպատվաստներ)</w:t>
      </w:r>
      <w:r w:rsidRPr="00DA21D0">
        <w:rPr>
          <w:rFonts w:ascii="Sylfaen" w:hAnsi="Sylfaen"/>
          <w:sz w:val="24"/>
          <w:szCs w:val="24"/>
        </w:rPr>
        <w:t>։</w:t>
      </w:r>
    </w:p>
    <w:p w14:paraId="06B4E3CF"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64942602"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22830234"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Ներպատվաստները պոլիմերային հիմնաշերտ (մատրիքս) են՝ դրանում հավասարաչափ բաշխված ազդող նյութով (նյութերով), որը ներպատվաստման տեղում որոշակի ժամանակահատվածում կարող է ձերբազատվել հիմնաշերտից։</w:t>
      </w:r>
    </w:p>
    <w:p w14:paraId="16F858D0"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Կենսադեգրադացվող ներպատվաստները, որպես կանոն, արտադրում են սինթետիկ ալիֆաթիկ պոլիեթերներից (պոլիգլիկոլաթթվից, պոլիկաթնաթթվից, գլիկոլաթթվի եւ կաթնաթթվի համապոլիմերներից), պոլիկապրոլակտոնից, պոլիպրոպիլեն ֆումարատից եւ այլն։ Ավելի հաճախ որպես կենսադեգրադացվող պոլիմեր ներպատվաստների արտադրման համար օգտագործում են գլիկոլաթթվի եւ կաթնաթթվի համապոլիմերը (պոլիլակտիդ-կոգլիկոլիդ)։</w:t>
      </w:r>
    </w:p>
    <w:p w14:paraId="5073E7D2"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Կենսադեգրադացվող են կոչվում այն ներպատվաստները, որոնք օրգանիզմում ընթացող բնական (մանրէաբանական, կենսաքիմիական) պրոցեսների հետեւանքով քայքայվում են։ Կենսադեգրադացվող ներպատվաստից ազդող նյութի ձերբազատումը հնարավոր է 6 եւ ավելի ամսվա ընթացքում։ Ձերբազատման արագության վրա ազդում են մասնիկների չափը եւ ակտիվ դեղագործական բաղադրամասի (բաղադրամասերի) լուծելիությունը, ներպատվաստի մակերեւույթի մակերեսը, պոլիմերի էրոզիայի գոյացման արագությունը եւ այլն։ Կենսադեգրադացվող ներպատվաստները չեն պահանջում հեռացում ներպատվաստման տեղից՝ բուժումն ավարտելուց հետո։</w:t>
      </w:r>
    </w:p>
    <w:p w14:paraId="09914F5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Չկենսադեգրադացվող ներպատվաստների բաղադրության մեջ կարող են </w:t>
      </w:r>
      <w:r w:rsidRPr="00DA21D0">
        <w:rPr>
          <w:rFonts w:ascii="Sylfaen" w:hAnsi="Sylfaen"/>
          <w:sz w:val="24"/>
          <w:szCs w:val="24"/>
        </w:rPr>
        <w:lastRenderedPageBreak/>
        <w:t>մտնել պոլիվինիլային սպիրտը, էթիլվինիլացետատը, պոլիբութիլմեթիլակրիլաթը, պոլիէթիլենտերեֆտալատը, սիլիկոնը եւ այլն։</w:t>
      </w:r>
    </w:p>
    <w:p w14:paraId="269D6D3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Չկենսադեգրադացվող ներպատվաստները պետք է հեռացվեն ազդող նյութի ձերբազատման ժամանակահատվածը լրանալուց հետո՝ ներպատվաստման տեղում, օրինակ՝ աչքի խոռոչում, դրանց ֆիբրոզացումը եւ պատիճավորումը կանխելու համար։</w:t>
      </w:r>
    </w:p>
    <w:p w14:paraId="00746C3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Գլանաձեւ պոլիմերային ներպատվաստները, որպես կանոն, ստանում են ակտիվ դեղագործական բաղադրամասի (բաղադրամասերի) եւ պոլիմերի խառնուրդի հալույթի արտամղման մեթոդով։ Նաեւ ներպատվաստները կարող են արտադրվել պոլիմերային կրիչի հետ ակտիվ դեղագործական բաղադրամասի (բաղադրամասերի) ուղղակի մամլման եղանակով։</w:t>
      </w:r>
    </w:p>
    <w:p w14:paraId="0D685685"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Ներպատվաստները կարող են թաղանթապատվել, ինչը կապահովի պոլիմերային հիմնաշերտից ազդող նյութի ձերբազատման անհրաժեշտ արագությունը։</w:t>
      </w:r>
    </w:p>
    <w:p w14:paraId="76CBEC4E"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Ներպատվաստներ</w:t>
      </w:r>
      <w:r w:rsidRPr="00DA21D0">
        <w:rPr>
          <w:rFonts w:ascii="Sylfaen" w:hAnsi="Sylfaen"/>
          <w:sz w:val="24"/>
          <w:szCs w:val="24"/>
        </w:rPr>
        <w:t xml:space="preserve"> դեղաձեւով դեղապատրաստուկներ ստանալիս պետք է ձեռնարկվեն </w:t>
      </w:r>
      <w:r w:rsidRPr="00DA21D0">
        <w:rPr>
          <w:rFonts w:ascii="Sylfaen" w:hAnsi="Sylfaen"/>
          <w:i/>
          <w:sz w:val="24"/>
          <w:szCs w:val="24"/>
        </w:rPr>
        <w:t>2.1.6.1 Մանրէազերծություն</w:t>
      </w:r>
      <w:r w:rsidRPr="00DA21D0">
        <w:rPr>
          <w:rFonts w:ascii="Sylfaen" w:hAnsi="Sylfaen"/>
          <w:sz w:val="24"/>
          <w:szCs w:val="24"/>
        </w:rPr>
        <w:t xml:space="preserve"> ընդհանուր դեղագրքային հոդվածի պահանջներին համապատասխան դրանց մանրէազերծությունն ապահովող միջոցներ։</w:t>
      </w:r>
    </w:p>
    <w:p w14:paraId="0835565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Որպես կանոն, ներպատվաստների մանրէազերծությունն ապահովում են վերջնական մանրէազերծմամբ կամ արտադրության ասեպտիկ պայմանների կազմակերպմամբ։</w:t>
      </w:r>
    </w:p>
    <w:p w14:paraId="013D7244" w14:textId="77777777" w:rsidR="00DA21D0" w:rsidRPr="003A4194" w:rsidRDefault="00DA21D0" w:rsidP="00DA21D0">
      <w:pPr>
        <w:pStyle w:val="a0"/>
        <w:shd w:val="clear" w:color="auto" w:fill="auto"/>
        <w:spacing w:after="160" w:line="360" w:lineRule="auto"/>
        <w:ind w:firstLine="567"/>
        <w:jc w:val="both"/>
        <w:rPr>
          <w:rFonts w:ascii="Sylfaen" w:hAnsi="Sylfaen"/>
          <w:b/>
          <w:sz w:val="24"/>
          <w:szCs w:val="24"/>
        </w:rPr>
      </w:pPr>
    </w:p>
    <w:p w14:paraId="2D55527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3D48E50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Ներպատվաստները պետք է համապատասխանեն </w:t>
      </w:r>
      <w:r w:rsidRPr="00DA21D0">
        <w:rPr>
          <w:rFonts w:ascii="Sylfaen" w:hAnsi="Sylfaen"/>
          <w:i/>
          <w:sz w:val="24"/>
          <w:szCs w:val="24"/>
        </w:rPr>
        <w:t>2.5.1.1</w:t>
      </w:r>
      <w:r w:rsidRPr="00DA21D0">
        <w:rPr>
          <w:rFonts w:ascii="Sylfaen" w:hAnsi="Sylfaen"/>
          <w:sz w:val="24"/>
          <w:szCs w:val="24"/>
        </w:rPr>
        <w:t xml:space="preserve">. </w:t>
      </w:r>
      <w:r w:rsidRPr="00DA21D0">
        <w:rPr>
          <w:rFonts w:ascii="Sylfaen" w:hAnsi="Sylfaen"/>
          <w:i/>
          <w:sz w:val="24"/>
          <w:szCs w:val="24"/>
        </w:rPr>
        <w:t>Դեղաձեւեր</w:t>
      </w:r>
      <w:r w:rsidRPr="00DA21D0">
        <w:rPr>
          <w:rFonts w:ascii="Sylfaen" w:hAnsi="Sylfaen"/>
          <w:sz w:val="24"/>
          <w:szCs w:val="24"/>
        </w:rPr>
        <w:t xml:space="preserve"> ընդհանուր դեղագրքային հոդվածի, </w:t>
      </w:r>
      <w:r w:rsidRPr="00DA21D0">
        <w:rPr>
          <w:rFonts w:ascii="Sylfaen" w:hAnsi="Sylfaen"/>
          <w:i/>
          <w:sz w:val="24"/>
          <w:szCs w:val="24"/>
        </w:rPr>
        <w:t>2.5.3.4. Հարմարսողական կիրառման համար նախատեսված դեղապատրաստուկներ</w:t>
      </w:r>
      <w:r w:rsidRPr="00DA21D0">
        <w:rPr>
          <w:rFonts w:ascii="Sylfaen" w:hAnsi="Sylfaen"/>
          <w:sz w:val="24"/>
          <w:szCs w:val="24"/>
        </w:rPr>
        <w:t xml:space="preserve"> ընդհանուր դեղագրքային հոդվածի ընդհանուր պահանջներին, ինչպես նաեւ անցնեն տվյալ դեղաձեւին բնորոշ </w:t>
      </w:r>
      <w:r w:rsidRPr="00DA21D0">
        <w:rPr>
          <w:rFonts w:ascii="Sylfaen" w:hAnsi="Sylfaen"/>
          <w:sz w:val="24"/>
          <w:szCs w:val="24"/>
        </w:rPr>
        <w:lastRenderedPageBreak/>
        <w:t>հաջորդող փորձարկումները։</w:t>
      </w:r>
    </w:p>
    <w:p w14:paraId="3086844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Ներպատվաստները բնութագրում են՝ մասնավոր դեղագրքային հոդվածի պահանջներին համապատասխան ձեւը, գույնը նշելով։ Թաղանթապատ ներպատվաստների համար, եթե նշված է մասնավոր դեղագրքային հոդվածում եւ (կամ) որակի վերաբերյալ նորմատիվ փաստաթղթում, նշում են թաղանթի հաստությունը ներպատվաստի լայնական կտրվածքում։</w:t>
      </w:r>
    </w:p>
    <w:p w14:paraId="338CCA2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Ներպատվաստի չափերը. </w:t>
      </w:r>
      <w:r w:rsidRPr="00DA21D0">
        <w:rPr>
          <w:rFonts w:ascii="Sylfaen" w:hAnsi="Sylfaen"/>
          <w:sz w:val="24"/>
          <w:szCs w:val="24"/>
        </w:rPr>
        <w:t>Որոշում են ներպատվաստի երկրաչափական չափերը (օրինակ՝ տրամագիծ, երկարություն եւ այլն) միլիմետրերով՝ միկրոմետրով չափելու միջոցով։ Փորձարկման համար նախատեսված ներպատվաստների քանակը եւ ներպատվաստի չափերի թույլատրելի շեղումները ներկայացվում են մասնավոր դեղագրքային հոդվածում կամ որակի վերաբերյալ նորմատիվ փաստաթղթում։</w:t>
      </w:r>
    </w:p>
    <w:p w14:paraId="3B34A69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միատարրությունը.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2.1.9.5. Դեղաչափված դեղապատրաստուկի միավորի զանգվածի միատարրությունը</w:t>
      </w:r>
      <w:r w:rsidRPr="00DA21D0">
        <w:rPr>
          <w:rFonts w:ascii="Sylfaen" w:hAnsi="Sylfaen"/>
          <w:sz w:val="24"/>
          <w:szCs w:val="24"/>
        </w:rPr>
        <w:t xml:space="preserve"> ընդհանուր դեղագրքային հոդվածի պահանջներին եւ մասնավոր դեղագրքային հոդվածում կամ որակի վերաբերյալ նորմատիվ փաստաթղթում նշված պահանջներին համապատասխան։ Փորձարկումը չեն կիրառում այն դեպքում, երբ նախատեսված է փորձարկում՝ ըստ </w:t>
      </w:r>
      <w:r w:rsidRPr="00DA21D0">
        <w:rPr>
          <w:rFonts w:ascii="Sylfaen" w:hAnsi="Sylfaen"/>
          <w:i/>
          <w:sz w:val="24"/>
          <w:szCs w:val="24"/>
        </w:rPr>
        <w:t>2.1.9.14. Դեղաչափված միավորների միատարրությունը</w:t>
      </w:r>
      <w:r w:rsidRPr="00DA21D0">
        <w:rPr>
          <w:rFonts w:ascii="Sylfaen" w:hAnsi="Sylfaen"/>
          <w:sz w:val="24"/>
          <w:szCs w:val="24"/>
        </w:rPr>
        <w:t xml:space="preserve"> որակի ցուցանիշի՝ բոլոր ազդող նյութերի համար։</w:t>
      </w:r>
    </w:p>
    <w:p w14:paraId="6DE6E56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 xml:space="preserve">Ջուրը կամ Զանգվածի կորուստը՝ չորացնելիս. </w:t>
      </w:r>
      <w:r w:rsidRPr="00DA21D0">
        <w:rPr>
          <w:rFonts w:ascii="Sylfaen" w:hAnsi="Sylfaen"/>
          <w:spacing w:val="-6"/>
          <w:sz w:val="24"/>
          <w:szCs w:val="24"/>
        </w:rPr>
        <w:t>Փորձարկումն անցկացնում են մասնավոր դեղագրքային</w:t>
      </w:r>
      <w:r w:rsidRPr="00DA21D0">
        <w:rPr>
          <w:rFonts w:ascii="Sylfaen" w:hAnsi="Sylfaen"/>
          <w:sz w:val="24"/>
          <w:szCs w:val="24"/>
        </w:rPr>
        <w:t xml:space="preserve"> հոդվածի կամ որակի վերաբերյալ նորմատիվ փաստաթղթի պահանջներին համապատասխան այն դեպքերում, երբ ջրի պարունակությունը կարող է ազդել ներպատվաստի ֆիզիկաքիմիական հատկությունների, ազդող նյութի (նյութերի) կենսամատչելիության, </w:t>
      </w:r>
      <w:r w:rsidRPr="00DA21D0">
        <w:rPr>
          <w:rFonts w:ascii="Sylfaen" w:hAnsi="Sylfaen"/>
          <w:i/>
          <w:sz w:val="24"/>
          <w:szCs w:val="24"/>
        </w:rPr>
        <w:t>Ներպատվաստներ</w:t>
      </w:r>
      <w:r w:rsidRPr="00DA21D0">
        <w:rPr>
          <w:rFonts w:ascii="Sylfaen" w:hAnsi="Sylfaen"/>
          <w:sz w:val="24"/>
          <w:szCs w:val="24"/>
        </w:rPr>
        <w:t xml:space="preserve"> դեղաձեւով դեղապատրաստուկի կայունության վրա եւ այլն։</w:t>
      </w:r>
    </w:p>
    <w:p w14:paraId="4DFCCE9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Որոշումն անցկացնում են հետեւյալ ընդհանուր դեղագրքային հոդվածներին համապատասխան.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w:t>
      </w:r>
      <w:r w:rsidRPr="00DA21D0">
        <w:rPr>
          <w:rFonts w:ascii="Sylfaen" w:hAnsi="Sylfaen"/>
          <w:i/>
          <w:sz w:val="24"/>
          <w:szCs w:val="24"/>
        </w:rPr>
        <w:t>2.1.5.13. Ջուր. միկրոորոշում</w:t>
      </w:r>
      <w:r w:rsidRPr="00DA21D0">
        <w:rPr>
          <w:rFonts w:ascii="Sylfaen" w:hAnsi="Sylfaen"/>
          <w:sz w:val="24"/>
          <w:szCs w:val="24"/>
        </w:rPr>
        <w:t xml:space="preserve"> կամ </w:t>
      </w:r>
      <w:r w:rsidRPr="00DA21D0">
        <w:rPr>
          <w:rFonts w:ascii="Sylfaen" w:hAnsi="Sylfaen"/>
          <w:i/>
          <w:sz w:val="24"/>
          <w:szCs w:val="24"/>
        </w:rPr>
        <w:t>2.1.2.31. Զանգվածի կորուստը՝ չորացնելիս</w:t>
      </w:r>
      <w:r w:rsidRPr="00DA21D0">
        <w:rPr>
          <w:rFonts w:ascii="Sylfaen" w:hAnsi="Sylfaen"/>
          <w:sz w:val="24"/>
          <w:szCs w:val="24"/>
        </w:rPr>
        <w:t xml:space="preserve"> եւ մասնավոր </w:t>
      </w:r>
      <w:r w:rsidRPr="00DA21D0">
        <w:rPr>
          <w:rFonts w:ascii="Sylfaen" w:hAnsi="Sylfaen"/>
          <w:sz w:val="24"/>
          <w:szCs w:val="24"/>
        </w:rPr>
        <w:lastRenderedPageBreak/>
        <w:t>դեղագրքային հոդվածում կամ որակի վերաբերյալ նորմատիվ փաստաթղթում նշված պահանջներին համապատասխան։</w:t>
      </w:r>
    </w:p>
    <w:p w14:paraId="768DFC5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pacing w:val="-4"/>
          <w:sz w:val="24"/>
          <w:szCs w:val="24"/>
        </w:rPr>
        <w:t>Զանգվածի կորուստը՝ չորացնելիս կամ Ջուրը</w:t>
      </w:r>
      <w:r w:rsidRPr="00DA21D0">
        <w:rPr>
          <w:rFonts w:ascii="Sylfaen" w:hAnsi="Sylfaen"/>
          <w:spacing w:val="-4"/>
          <w:sz w:val="24"/>
          <w:szCs w:val="24"/>
        </w:rPr>
        <w:t xml:space="preserve"> որակի ցուցանիշները կարող են այլընտրանքային լինել՝ բացի այն դեպքից, երբ </w:t>
      </w:r>
      <w:r w:rsidRPr="00DA21D0">
        <w:rPr>
          <w:rFonts w:ascii="Sylfaen" w:hAnsi="Sylfaen"/>
          <w:i/>
          <w:spacing w:val="-4"/>
          <w:sz w:val="24"/>
          <w:szCs w:val="24"/>
        </w:rPr>
        <w:t>Զանգվածի կորուստը՝ չորացնելիս</w:t>
      </w:r>
      <w:r w:rsidRPr="00DA21D0">
        <w:rPr>
          <w:rFonts w:ascii="Sylfaen" w:hAnsi="Sylfaen"/>
          <w:spacing w:val="-4"/>
          <w:sz w:val="24"/>
          <w:szCs w:val="24"/>
        </w:rPr>
        <w:t xml:space="preserve"> որակի ցուցանիշը որոշելն անհրաժեշտ է մնացորդային օրգանական լուծիչների պարունակությունը</w:t>
      </w:r>
      <w:r w:rsidRPr="00DA21D0">
        <w:rPr>
          <w:rFonts w:ascii="Sylfaen" w:hAnsi="Sylfaen"/>
          <w:sz w:val="24"/>
          <w:szCs w:val="24"/>
        </w:rPr>
        <w:t xml:space="preserve"> վերահսկելու համար։</w:t>
      </w:r>
    </w:p>
    <w:p w14:paraId="4015DFF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 Դեղաչափված միավորների միատարրությունը</w:t>
      </w:r>
      <w:r w:rsidRPr="008D6E8B">
        <w:rPr>
          <w:rFonts w:ascii="Sylfaen" w:hAnsi="Sylfaen"/>
          <w:spacing w:val="-4"/>
          <w:sz w:val="24"/>
          <w:szCs w:val="24"/>
        </w:rPr>
        <w:t xml:space="preserve"> ընդհանուր դեղագրքային հոդվածի պահանջներին համապատասխան եւ մասնավոր դեղագրքային</w:t>
      </w:r>
      <w:r w:rsidRPr="00DA21D0">
        <w:rPr>
          <w:rFonts w:ascii="Sylfaen" w:hAnsi="Sylfaen"/>
          <w:sz w:val="24"/>
          <w:szCs w:val="24"/>
        </w:rPr>
        <w:t xml:space="preserve"> հոդվածում կամ որակի վերաբերյալ նորմատիվ փաստաթղթում նշված պահանջներին համապատասխան։</w:t>
      </w:r>
    </w:p>
    <w:p w14:paraId="223D91B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Տեսանելի մեխանիկական ներառուկները. </w:t>
      </w:r>
      <w:r w:rsidRPr="00DA21D0">
        <w:rPr>
          <w:rFonts w:ascii="Sylfaen" w:hAnsi="Sylfaen"/>
          <w:sz w:val="24"/>
          <w:szCs w:val="24"/>
        </w:rPr>
        <w:t>Անցկացնում են փորձարկում (պայմանավորված դրանց ներպատվաստման տեղով, օրինակ՝ աչքի ներպատվաստները) տեսանելի մեխանիկական ներառուկների մասով՝ կենսադեգրադացվող ներպատվաստների համար՝ մասնավոր դեղագրքային հոդվածի եւ (կամ) որակի վերաբերյալ նորմատիվ փաստաթղթի ցուցումներին համապատասխան։</w:t>
      </w:r>
    </w:p>
    <w:p w14:paraId="2F0D1AC3" w14:textId="77777777" w:rsidR="00DA21D0" w:rsidRPr="003A4194" w:rsidRDefault="00DA21D0" w:rsidP="00134BE9">
      <w:pPr>
        <w:pStyle w:val="a0"/>
        <w:shd w:val="clear" w:color="auto" w:fill="auto"/>
        <w:spacing w:after="160" w:line="360" w:lineRule="auto"/>
        <w:ind w:firstLine="567"/>
        <w:jc w:val="right"/>
        <w:rPr>
          <w:rFonts w:ascii="Sylfaen" w:hAnsi="Sylfaen"/>
          <w:b/>
          <w:szCs w:val="24"/>
        </w:rPr>
      </w:pPr>
    </w:p>
    <w:p w14:paraId="24C88488"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205010009-2022</w:t>
      </w:r>
    </w:p>
    <w:p w14:paraId="3B911924"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487E5BB6"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2.5.1.9.</w:t>
      </w:r>
      <w:r w:rsidRPr="00DA21D0">
        <w:rPr>
          <w:rFonts w:ascii="Sylfaen" w:hAnsi="Sylfaen"/>
          <w:b/>
          <w:sz w:val="24"/>
          <w:szCs w:val="24"/>
        </w:rPr>
        <w:tab/>
        <w:t>Կաթիլներ</w:t>
      </w:r>
    </w:p>
    <w:p w14:paraId="32912298" w14:textId="77777777" w:rsidR="00134BE9" w:rsidRPr="003A4194"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«Կաթիլներ»՝ հեղուկ դեղաձեւ, որը համապատասխան լուծիչի մեջ մեկ կամ մի քանի ակտիվ դեղագործական բաղադրամասի լուծույթ, էմուլսիա կամ դեղակախույթ է եւ դեղաչափվում է կաթիլներով համապատասխան հարմարանքի (կաթոցիչ, կաթոցիկ եւ այլն) օգնությամբ։</w:t>
      </w:r>
    </w:p>
    <w:p w14:paraId="04E8F405" w14:textId="77777777" w:rsidR="00DA21D0" w:rsidRPr="003A4194" w:rsidRDefault="00DA21D0" w:rsidP="00134BE9">
      <w:pPr>
        <w:pStyle w:val="a0"/>
        <w:shd w:val="clear" w:color="auto" w:fill="auto"/>
        <w:spacing w:after="160" w:line="360" w:lineRule="auto"/>
        <w:ind w:firstLine="567"/>
        <w:jc w:val="both"/>
        <w:rPr>
          <w:rFonts w:ascii="Sylfaen" w:hAnsi="Sylfaen" w:cs="Sylfaen"/>
          <w:sz w:val="24"/>
          <w:szCs w:val="24"/>
        </w:rPr>
      </w:pPr>
    </w:p>
    <w:p w14:paraId="77E60C46" w14:textId="77777777" w:rsidR="00134BE9" w:rsidRPr="00DA21D0" w:rsidRDefault="00134BE9" w:rsidP="00134BE9">
      <w:pPr>
        <w:pStyle w:val="a0"/>
        <w:shd w:val="clear" w:color="auto" w:fill="auto"/>
        <w:spacing w:after="160" w:line="360" w:lineRule="auto"/>
        <w:ind w:firstLine="567"/>
        <w:jc w:val="both"/>
        <w:rPr>
          <w:rFonts w:ascii="Sylfaen" w:hAnsi="Sylfaen"/>
          <w:i/>
          <w:sz w:val="24"/>
          <w:szCs w:val="24"/>
        </w:rPr>
      </w:pPr>
      <w:r w:rsidRPr="00DA21D0">
        <w:rPr>
          <w:rFonts w:ascii="Sylfaen" w:hAnsi="Sylfaen"/>
          <w:sz w:val="24"/>
          <w:szCs w:val="24"/>
        </w:rPr>
        <w:lastRenderedPageBreak/>
        <w:t>Պայմանավորված ներմուծման ուղիով եւ կիրառման եղանակով՝ տարբերակում են ներքին ընդունման, տեղային կիրառման, Բերանի խոռոչում կիրառելու համար, աչքի, քթի, ականջի, ինհալացիաների համար կաթիլներ։</w:t>
      </w:r>
      <w:r w:rsidRPr="00DA21D0">
        <w:rPr>
          <w:rFonts w:ascii="Sylfaen" w:hAnsi="Sylfaen"/>
          <w:i/>
          <w:sz w:val="24"/>
          <w:szCs w:val="24"/>
        </w:rPr>
        <w:t xml:space="preserve"> </w:t>
      </w:r>
    </w:p>
    <w:p w14:paraId="4F71DCE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Ներքին ընդունման կաթիլներ՝</w:t>
      </w:r>
      <w:r w:rsidRPr="00DA21D0">
        <w:rPr>
          <w:rFonts w:ascii="Sylfaen" w:hAnsi="Sylfaen"/>
          <w:sz w:val="24"/>
          <w:szCs w:val="24"/>
        </w:rPr>
        <w:t xml:space="preserve"> կաթիլներ, որոնք նախատեսված են ներքին ընդունման համար, որպես կանոն, նոսրացումից հետո։</w:t>
      </w:r>
    </w:p>
    <w:p w14:paraId="5E3567E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Տեղային կիրառման կաթիլներ՝</w:t>
      </w:r>
      <w:r w:rsidRPr="00DA21D0">
        <w:rPr>
          <w:rFonts w:ascii="Sylfaen" w:hAnsi="Sylfaen"/>
          <w:sz w:val="24"/>
          <w:szCs w:val="24"/>
        </w:rPr>
        <w:t xml:space="preserve"> կաթիլներ, որոնք նախատեսված են տեղային կիրառման համար։</w:t>
      </w:r>
    </w:p>
    <w:p w14:paraId="41E01A2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Ակնակաթիլներ՝</w:t>
      </w:r>
      <w:r w:rsidRPr="00DA21D0">
        <w:rPr>
          <w:rFonts w:ascii="Sylfaen" w:hAnsi="Sylfaen"/>
          <w:sz w:val="24"/>
          <w:szCs w:val="24"/>
        </w:rPr>
        <w:t xml:space="preserve"> մանրէազերծ կաթիլներ, որոնք նախատեսված են աչքի մեջ ներկաթեցման (ինստիլյացիայի) համար։</w:t>
      </w:r>
    </w:p>
    <w:p w14:paraId="4D573E9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Ակնակաթիլներ՝ երկարատեւ ձերբազատմամբ՝</w:t>
      </w:r>
      <w:r w:rsidRPr="00DA21D0">
        <w:rPr>
          <w:rFonts w:ascii="Sylfaen" w:hAnsi="Sylfaen"/>
          <w:sz w:val="24"/>
          <w:szCs w:val="24"/>
        </w:rPr>
        <w:t xml:space="preserve"> մանրէազերծ ակնակաթիլներ, որոնք բնութագրվում են երկարատեւ ժամանակահատվածի ընթացքում ազդող նյութի ձերբազատմամբ։</w:t>
      </w:r>
    </w:p>
    <w:p w14:paraId="27087E6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Քթակաթիլներ՝ </w:t>
      </w:r>
      <w:r w:rsidRPr="00DA21D0">
        <w:rPr>
          <w:rFonts w:ascii="Sylfaen" w:hAnsi="Sylfaen"/>
          <w:sz w:val="24"/>
          <w:szCs w:val="24"/>
        </w:rPr>
        <w:t>կաթիլներ, որոնք նախատեսված են քթի խոռոչ ներկաթեցման համար՝ տեղային կամ համակարգային ազդեցություն գործելու նպատակով։</w:t>
      </w:r>
    </w:p>
    <w:p w14:paraId="0BE5BF3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Ականջակաթիլներ՝</w:t>
      </w:r>
      <w:r w:rsidRPr="00DA21D0">
        <w:rPr>
          <w:rFonts w:ascii="Sylfaen" w:hAnsi="Sylfaen"/>
          <w:sz w:val="24"/>
          <w:szCs w:val="24"/>
        </w:rPr>
        <w:t xml:space="preserve"> կաթիլներ, որոնք նախատեսված են արտաքին լսողական անցուղի ներկաթեցնելու համար։</w:t>
      </w:r>
    </w:p>
    <w:p w14:paraId="07E632C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Մի շարք դեպքերում քթակաթիլները եւ ականջակաթիլները կարող են միաժամանակ նախատեսված լինել նաեւ ակնաբուժական կիրառման համար. </w:t>
      </w:r>
      <w:r w:rsidRPr="00DA21D0">
        <w:rPr>
          <w:rFonts w:ascii="Sylfaen" w:hAnsi="Sylfaen"/>
          <w:i/>
          <w:sz w:val="24"/>
          <w:szCs w:val="24"/>
        </w:rPr>
        <w:t>ակնակաթիլներ եւ քթակաթիլներ, ակնակաթիլներ եւ ականջակաթիլներ, ակնակաթիլներ, քթակաթիլներ եւ ականջակաթիլներ, ինչպես նաեւ կարող են լինել քթակաթիլներ եւ ականջակաթիլներ։</w:t>
      </w:r>
    </w:p>
    <w:p w14:paraId="25367E7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Բերանի խոռոչում կիրառելու համար կաթիլների շարքին են դասվում բերանի խոռոչի լորձաթաղանթին քսելու համար նախատեսված կաթիլները, ատամի կաթիլները, ենթալեզվային կաթիլները։</w:t>
      </w:r>
    </w:p>
    <w:p w14:paraId="369E7F5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Բերանի խոռոչի լորձաթաղանթին քսելու համար կաթիլներ՝ </w:t>
      </w:r>
      <w:r w:rsidRPr="00DA21D0">
        <w:rPr>
          <w:rFonts w:ascii="Sylfaen" w:hAnsi="Sylfaen"/>
          <w:sz w:val="24"/>
          <w:szCs w:val="24"/>
        </w:rPr>
        <w:t xml:space="preserve">կաթիլներ, որոնք նախատեսված են բերանի խոռոչում կամ բերանի խոռոչի որոշակի հատվածում, </w:t>
      </w:r>
      <w:r w:rsidRPr="00DA21D0">
        <w:rPr>
          <w:rFonts w:ascii="Sylfaen" w:hAnsi="Sylfaen"/>
          <w:sz w:val="24"/>
          <w:szCs w:val="24"/>
        </w:rPr>
        <w:lastRenderedPageBreak/>
        <w:t>բացառությամբ ենթալեզվային տարածության, ներկաթեցման միջոցով բերանի խոռոչի լորձաթաղանթին քսելու համար։</w:t>
      </w:r>
    </w:p>
    <w:p w14:paraId="7987D37D"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Կաթիլներ ատամի՝</w:t>
      </w:r>
      <w:r w:rsidRPr="00DA21D0">
        <w:rPr>
          <w:rFonts w:ascii="Sylfaen" w:hAnsi="Sylfaen"/>
          <w:sz w:val="24"/>
          <w:szCs w:val="24"/>
        </w:rPr>
        <w:t xml:space="preserve"> կաթիլներ, որոնք նախատեսված են ատամներին կամ լնդերին քսելու համար՝ տեղային ազդեցություն գործելու նպատակով։</w:t>
      </w:r>
    </w:p>
    <w:p w14:paraId="6AC96D0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Ենթալեզվային թաղանթներ՝ </w:t>
      </w:r>
      <w:r w:rsidRPr="00DA21D0">
        <w:rPr>
          <w:rFonts w:ascii="Sylfaen" w:hAnsi="Sylfaen"/>
          <w:sz w:val="24"/>
          <w:szCs w:val="24"/>
        </w:rPr>
        <w:t>կաթիլներ, որոնք նախատեսված են լեզվի տակ ներկաթեցնելու համար՝ համակարգային ազդեցություն գործելու նպատակով։</w:t>
      </w:r>
    </w:p>
    <w:p w14:paraId="4C6880E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Կաթիլներ՝ ինհալացիաների համար՝</w:t>
      </w:r>
      <w:r w:rsidRPr="00DA21D0">
        <w:rPr>
          <w:rFonts w:ascii="Sylfaen" w:hAnsi="Sylfaen"/>
          <w:sz w:val="24"/>
          <w:szCs w:val="24"/>
        </w:rPr>
        <w:t xml:space="preserve"> կաթիլներ, որոնք տաք ջրի մեջ ավելացնելիս կամ համապատասխան հարմարանքի (օրինակ՝ ներշնչակի եւ այլն) օգնությամբ գոյացնում են գոլորշիներ, նախատեսված են շնչառման համար՝ տեղային կամ համակարգային ազդեցություն գործելու նպատակով։</w:t>
      </w:r>
    </w:p>
    <w:p w14:paraId="602521C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դիսպերս համակարգի տեսակի՝ կաթիլները կարող են լինել համասեռ (կաթիլ-լուծույթներ), տարասեռ (կաթիլ-դեղակախույթներ, կաթիլ-էմուլսիաներ) եւ համակցված։</w:t>
      </w:r>
    </w:p>
    <w:p w14:paraId="0B8D1082"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Լուծույթի ձեւով կաթիլները կարող են լինել ջրային եւ անջուր։</w:t>
      </w:r>
    </w:p>
    <w:p w14:paraId="3DBEF67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6201DF49"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7CDFEC3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Դիսպերս համակարգի տեսակով պայմանավորված՝ կաթիլները կարող են ստացվել համապատասխան լուծիչի (լուծիչների) մեջ կամ դիսպերս միջավայրում ակտիվ դեղագործական բաղադրամասը (բաղադրամասերը) լուծելով կամ դիսպերսելով։</w:t>
      </w:r>
    </w:p>
    <w:p w14:paraId="35765ED0" w14:textId="77777777" w:rsidR="00134BE9" w:rsidRPr="003A4194" w:rsidRDefault="00134BE9" w:rsidP="00DA21D0">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Որպես լուծիչ կամ դիսպերս միջավայր օգտագործում են մաքրված ջուրը կամ ներարկումների համար ջուրը, տարբեր կոնցենտրացիաների էթանոլը (30 %, 40 %, 70 %, 95 %, 96 % եւ այլն), յուղերը (հանքային, ճարպային բուսական, եթերային) եւ այլն։ Որպես լուծիչներ նաեւ կարող են օգտագործվել ոգեթուրմեր, հեղուկ լուծամզվածքներ։</w:t>
      </w:r>
    </w:p>
    <w:p w14:paraId="19202137" w14:textId="77777777" w:rsidR="00DA21D0" w:rsidRPr="003A4194" w:rsidRDefault="00DA21D0" w:rsidP="00DA21D0">
      <w:pPr>
        <w:pStyle w:val="a0"/>
        <w:shd w:val="clear" w:color="auto" w:fill="auto"/>
        <w:spacing w:after="160" w:line="360" w:lineRule="auto"/>
        <w:ind w:firstLine="567"/>
        <w:jc w:val="both"/>
        <w:rPr>
          <w:rFonts w:ascii="Sylfaen" w:hAnsi="Sylfaen" w:cs="Sylfaen"/>
          <w:sz w:val="24"/>
          <w:szCs w:val="24"/>
        </w:rPr>
      </w:pPr>
    </w:p>
    <w:p w14:paraId="00A6F1A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 xml:space="preserve">Կաթիլներ ստանալիս որպես </w:t>
      </w:r>
      <w:r w:rsidRPr="00DA21D0">
        <w:rPr>
          <w:rFonts w:ascii="Sylfaen" w:hAnsi="Sylfaen"/>
          <w:i/>
          <w:sz w:val="24"/>
          <w:szCs w:val="24"/>
        </w:rPr>
        <w:t>օժանդակ նյութեր</w:t>
      </w:r>
      <w:r w:rsidRPr="00DA21D0">
        <w:rPr>
          <w:rFonts w:ascii="Sylfaen" w:hAnsi="Sylfaen"/>
          <w:sz w:val="24"/>
          <w:szCs w:val="24"/>
        </w:rPr>
        <w:t xml:space="preserve"> կարող են օգտագործվել համապատասխան հակամանրէային կոնսերվանտներ, բուֆերային լուծույթներ, համալուծիչներ, կայունացուցիչներ, հակաօքսիդիչներ, բուրավետիչներ, պրոլոնգատորներ, կորիգենտներ եւ այլ օժանդակ նյութեր, որոնք թույլատրված են բժշկական կիրառման համար։</w:t>
      </w:r>
    </w:p>
    <w:p w14:paraId="1F926A9E"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Կաթիլների բաղադրությունը մշակելիս անհրաժեշտ է հաշվի առնել ակտիվ </w:t>
      </w:r>
      <w:r w:rsidRPr="00DA21D0">
        <w:rPr>
          <w:rFonts w:ascii="Sylfaen" w:hAnsi="Sylfaen"/>
          <w:spacing w:val="-4"/>
          <w:sz w:val="24"/>
          <w:szCs w:val="24"/>
        </w:rPr>
        <w:t>դեղագործական բաղադրամասերի եւ օժանդակ նյութերի ֆիզիկաքիմիական հատկությունները, դրանց համադրելիությունը, կաթիլների ներմուծման ուղու առանձնահատկությունները եւ այլն։ Օրինակ՝ ակնակաթիլներին ներկայացվում են իզոտոնիկության եւ իզոօսմոլայնության, իզոհիդրիկության եւ այլնի պահանջները</w:t>
      </w:r>
      <w:r w:rsidRPr="00DA21D0">
        <w:rPr>
          <w:rFonts w:ascii="Sylfaen" w:hAnsi="Sylfaen"/>
          <w:sz w:val="24"/>
          <w:szCs w:val="24"/>
        </w:rPr>
        <w:t>։ Ականջակաթիլների բաղադրության մեջ մտնող նյութերը չպետք է վնասող ճնշում գործադրեն թմբկաթաղանթի վրա. քթակաթիլները, որոնք ջրային լուծույթներ են, որպես կանոն, պետք է լինեն իզոտոնիկ եւ այլն։</w:t>
      </w:r>
    </w:p>
    <w:p w14:paraId="4F10F10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Այն կաթիլները, որոնք դեղակախույթներ կամ էմուլսիաներ են, դրանց ճշգրիտ դեղաչափումն ապահովելու համար պետք է լինեն բավականին կայուն, թափահարելիս հեշտ դիսպերսվեն։</w:t>
      </w:r>
    </w:p>
    <w:p w14:paraId="57FBD01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Կաթիլներ</w:t>
      </w:r>
      <w:r w:rsidRPr="00DA21D0">
        <w:rPr>
          <w:rFonts w:ascii="Sylfaen" w:hAnsi="Sylfaen"/>
          <w:sz w:val="24"/>
          <w:szCs w:val="24"/>
        </w:rPr>
        <w:t xml:space="preserve"> դեղաձեւով դեղապատրաստուկներ ստանալիս պետք է ձեռնարկվեն դրանց միկրոկենսաբանական մաքրությունն ապահովող միջոցներ, սահմանված դեպքերում, օրինակ՝ ակնակաթիլներ, երկարատեւ ձերբազատմամբ ակնակաթիլներ ստանալիս եւ այլ դեպքերում պետք է ձեռնարկվեն դրանց մանրէազերծությունն ապահովող միջոցներ։</w:t>
      </w:r>
    </w:p>
    <w:p w14:paraId="726B784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Կաթիլները կարող են թողարկվել կիրառման համար պատրաստ կամ կարող են պատրաստվել կիրառումից անմիջապես առաջ՝ գրանուլներից, փոշիներից, դեղահաբերից կամ լիոֆիլիզատներից վերականգնված դեղաձեւերի տեսքով, որոնք նախատեսված են համապատասխան լուծիչում դրանց լուծման կամ դիսպերսման եղանակով կաթիլներ ստանալու համար։</w:t>
      </w:r>
    </w:p>
    <w:p w14:paraId="1FF1CE7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1A89F476"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ՓՈՐՁԱՐԿՈՒՄՆԵՐԸ</w:t>
      </w:r>
    </w:p>
    <w:p w14:paraId="39740ED0"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Կաթիլները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հաջորդող փորձարկումները։</w:t>
      </w:r>
    </w:p>
    <w:p w14:paraId="34690107"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Այն կաթիլները, որոնք ջրային եւ անջուր լուծույթներ են, պետք է համապատասխանեն </w:t>
      </w:r>
      <w:r w:rsidRPr="00DA21D0">
        <w:rPr>
          <w:rFonts w:ascii="Sylfaen" w:hAnsi="Sylfaen"/>
          <w:i/>
          <w:sz w:val="24"/>
          <w:szCs w:val="24"/>
        </w:rPr>
        <w:t>2.5.1.25. Լուծույթներ</w:t>
      </w:r>
      <w:r w:rsidRPr="00DA21D0">
        <w:rPr>
          <w:rFonts w:ascii="Sylfaen" w:hAnsi="Sylfaen"/>
          <w:sz w:val="24"/>
          <w:szCs w:val="24"/>
        </w:rPr>
        <w:t xml:space="preserve"> ընդհանուր դեղագրքային հոդվածին։</w:t>
      </w:r>
    </w:p>
    <w:p w14:paraId="3B593D9D"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Այն կաթիլները, որոնք դեղակախույթներ են, պետք է համապատասխանեն </w:t>
      </w:r>
      <w:r w:rsidRPr="00DA21D0">
        <w:rPr>
          <w:rFonts w:ascii="Sylfaen" w:hAnsi="Sylfaen"/>
          <w:i/>
          <w:sz w:val="24"/>
          <w:szCs w:val="24"/>
        </w:rPr>
        <w:t>2.5.1.33. Դեղակախույթներ</w:t>
      </w:r>
      <w:r w:rsidRPr="00DA21D0">
        <w:rPr>
          <w:rFonts w:ascii="Sylfaen" w:hAnsi="Sylfaen"/>
          <w:sz w:val="24"/>
          <w:szCs w:val="24"/>
        </w:rPr>
        <w:t xml:space="preserve"> ընդհանուր դեղագրքային հոդվածին։</w:t>
      </w:r>
    </w:p>
    <w:p w14:paraId="699D823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Այն կաթիլները, որոնք էմուլսիաներ են, պետք է համապատասխանեն </w:t>
      </w:r>
      <w:r w:rsidRPr="00DA21D0">
        <w:rPr>
          <w:rFonts w:ascii="Sylfaen" w:hAnsi="Sylfaen"/>
          <w:i/>
          <w:sz w:val="24"/>
          <w:szCs w:val="24"/>
        </w:rPr>
        <w:t>2.5.1.39. Էմուլսիաներ</w:t>
      </w:r>
      <w:r w:rsidRPr="00DA21D0">
        <w:rPr>
          <w:rFonts w:ascii="Sylfaen" w:hAnsi="Sylfaen"/>
          <w:sz w:val="24"/>
          <w:szCs w:val="24"/>
        </w:rPr>
        <w:t xml:space="preserve"> ընդհանուր դեղագրքային հոդվածին։</w:t>
      </w:r>
    </w:p>
    <w:p w14:paraId="5A99F53D"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Ակնակաթիլներ, երկարատեւ ձերբազատմամբ ակնակաթիլներ դեղաձեւերի տեսքով, ինչպես նաեւ ականջակաթիլների եւ քթակաթիլների տեսքով դեղապատրաստուկները, որոնք նախատեսված են այդ թվում նաեւ ակնաբուժական կիրառման համար, պետք է համապատասխանեն </w:t>
      </w:r>
      <w:r w:rsidRPr="00DA21D0">
        <w:rPr>
          <w:rFonts w:ascii="Sylfaen" w:hAnsi="Sylfaen"/>
          <w:i/>
          <w:sz w:val="24"/>
          <w:szCs w:val="24"/>
        </w:rPr>
        <w:t>2.5.3.3 Ակնաբուժական կիրառման համար նախատեսված դեղապատրաստուկներ</w:t>
      </w:r>
      <w:r w:rsidRPr="00DA21D0">
        <w:rPr>
          <w:rFonts w:ascii="Sylfaen" w:hAnsi="Sylfaen"/>
          <w:sz w:val="24"/>
          <w:szCs w:val="24"/>
        </w:rPr>
        <w:t xml:space="preserve"> ընդհանուր դեղագրքային հոդվածին։</w:t>
      </w:r>
    </w:p>
    <w:p w14:paraId="5F61FCE6" w14:textId="77777777" w:rsidR="00134BE9" w:rsidRPr="00DA21D0" w:rsidRDefault="00134BE9" w:rsidP="00DA21D0">
      <w:pPr>
        <w:pStyle w:val="a0"/>
        <w:shd w:val="clear" w:color="auto" w:fill="auto"/>
        <w:spacing w:after="160" w:line="346" w:lineRule="auto"/>
        <w:ind w:firstLine="567"/>
        <w:jc w:val="both"/>
        <w:rPr>
          <w:rFonts w:ascii="Sylfaen" w:hAnsi="Sylfaen"/>
          <w:sz w:val="24"/>
          <w:szCs w:val="24"/>
        </w:rPr>
      </w:pPr>
      <w:r w:rsidRPr="00DA21D0">
        <w:rPr>
          <w:rFonts w:ascii="Sylfaen" w:hAnsi="Sylfaen"/>
          <w:i/>
          <w:sz w:val="24"/>
          <w:szCs w:val="24"/>
        </w:rPr>
        <w:t>Կաթիլներ ինհալացիաների համար</w:t>
      </w:r>
      <w:r w:rsidRPr="00DA21D0">
        <w:rPr>
          <w:rFonts w:ascii="Sylfaen" w:hAnsi="Sylfaen"/>
          <w:sz w:val="24"/>
          <w:szCs w:val="24"/>
        </w:rPr>
        <w:t xml:space="preserve"> դեղաձեւի տեսքով դեղապատրաստուկները պետք է համապատասխանեն </w:t>
      </w:r>
      <w:r w:rsidRPr="00DA21D0">
        <w:rPr>
          <w:rFonts w:ascii="Sylfaen" w:hAnsi="Sylfaen"/>
          <w:i/>
          <w:sz w:val="24"/>
          <w:szCs w:val="24"/>
        </w:rPr>
        <w:t>2.5.3.2. Ինհալացիոն կիրառման դեղապատրաստուկներ</w:t>
      </w:r>
      <w:r w:rsidRPr="00DA21D0">
        <w:rPr>
          <w:rFonts w:ascii="Sylfaen" w:hAnsi="Sylfaen"/>
          <w:sz w:val="24"/>
          <w:szCs w:val="24"/>
        </w:rPr>
        <w:t xml:space="preserve"> ընդհանուր դեղագրքային հոդվածին։</w:t>
      </w:r>
    </w:p>
    <w:p w14:paraId="4D2FF84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Կաթիլների պատրաստման համար նախատեսված՝ փոշիների, դեղահաբերի, գրանուլների, լիոֆիլիզատների տեսքով դեղաձեւերը պետք է համապատասխանեն հետեւյալ ընդհանուր դեղագրքային հոդվածներին՝ </w:t>
      </w:r>
      <w:r w:rsidRPr="00DA21D0">
        <w:rPr>
          <w:rFonts w:ascii="Sylfaen" w:hAnsi="Sylfaen"/>
          <w:i/>
          <w:sz w:val="24"/>
          <w:szCs w:val="24"/>
        </w:rPr>
        <w:t>2.5.1.24. Փոշիներ, 2.5.1.34. Դեղահաբեր, 2.5.1.4. Գրանուլներ, 2.5.1.14. Լիոֆիլիզատներ։</w:t>
      </w:r>
    </w:p>
    <w:p w14:paraId="44552EEF"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Կաթիլները կարող են լինել թափանցիկ լուծույթ կամ հեղուկ, որը թափահարումից հետո միատարր է։ Կաթիլները բնութագրում են՝ նշելով թափանցիկությունը կամ պղտորությունը, գույնը, հոտը (առկայության դեպքում) եւ մյուս հատկությունները՝ մասնավոր դեղագրքային հոդվածի կամ որակի վերաբերյալ նորմատիվ փաստաթղթի պահանջներին համապատասխան։</w:t>
      </w:r>
    </w:p>
    <w:p w14:paraId="12F670ED"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Թափանցիկությունը. </w:t>
      </w:r>
      <w:r w:rsidRPr="00DA21D0">
        <w:rPr>
          <w:rFonts w:ascii="Sylfaen" w:hAnsi="Sylfaen"/>
          <w:sz w:val="24"/>
          <w:szCs w:val="24"/>
        </w:rPr>
        <w:t xml:space="preserve">Փորձարկումն անցկացնում են մանրէազերծ կաթիլների, ներքին ընդունման կաթիլների, տեղային կիրառման կաթիլների համար՝ </w:t>
      </w:r>
      <w:r w:rsidRPr="00DA21D0">
        <w:rPr>
          <w:rFonts w:ascii="Sylfaen" w:hAnsi="Sylfaen"/>
          <w:i/>
          <w:sz w:val="24"/>
          <w:szCs w:val="24"/>
        </w:rPr>
        <w:t>2.1.2.1. Հեղուկների թափանցիկությունը եւ օպալեսցենտման աստիճանը</w:t>
      </w:r>
      <w:r w:rsidRPr="00DA21D0">
        <w:rPr>
          <w:rFonts w:ascii="Sylfaen" w:hAnsi="Sylfaen"/>
          <w:sz w:val="24"/>
          <w:szCs w:val="24"/>
        </w:rPr>
        <w:t xml:space="preserve"> ընդհանուր դեղագրքային հոդվածին համապատասխան, մնացած կաթիլների համար՝ մասնավոր դեղագրքային հոդվածում եւ (կամ) որակի վերաբերյալ նորմատիվ փաստաթղթում համապատասխան ցուցման դեպքում։</w:t>
      </w:r>
    </w:p>
    <w:p w14:paraId="1356EF5E"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Գունավորությունը. </w:t>
      </w:r>
      <w:r w:rsidRPr="00DA21D0">
        <w:rPr>
          <w:rFonts w:ascii="Sylfaen" w:hAnsi="Sylfaen"/>
          <w:sz w:val="24"/>
          <w:szCs w:val="24"/>
        </w:rPr>
        <w:t xml:space="preserve">Փորձարկումն անցկացնում են մանրէազերծ կաթիլների, ներքին ընդունման կաթիլների, տեղային կիրառման կաթիլների համար՝ </w:t>
      </w:r>
      <w:r w:rsidRPr="00DA21D0">
        <w:rPr>
          <w:rFonts w:ascii="Sylfaen" w:hAnsi="Sylfaen"/>
          <w:i/>
          <w:sz w:val="24"/>
          <w:szCs w:val="24"/>
        </w:rPr>
        <w:t>2.1.2.2. Հեղուկների գունավորումը եւ գունավորման ինտենսիվությունը</w:t>
      </w:r>
      <w:r w:rsidRPr="00DA21D0">
        <w:rPr>
          <w:rFonts w:ascii="Sylfaen" w:hAnsi="Sylfaen"/>
          <w:sz w:val="24"/>
          <w:szCs w:val="24"/>
        </w:rPr>
        <w:t xml:space="preserve"> ընդհանուր դեղագրքային հոդվածին համապատասխան, մնացած կաթիլների համար՝ մասնավոր դեղագրքային հոդվածում եւ (կամ) որակի վերաբերյալ նորմատիվ փաստաթղթում համապատասխան ցուցման դեպքում։</w:t>
      </w:r>
    </w:p>
    <w:p w14:paraId="0929B6A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 xml:space="preserve">Դեղաչափը եւ դեղաչափի միատարրությունը. </w:t>
      </w:r>
      <w:r w:rsidRPr="00DA21D0">
        <w:rPr>
          <w:rFonts w:ascii="Sylfaen" w:hAnsi="Sylfaen"/>
          <w:spacing w:val="-6"/>
          <w:sz w:val="24"/>
          <w:szCs w:val="24"/>
        </w:rPr>
        <w:t>Փորձարկումն անցկացնում են ներքին ընդունման համար նախատեսված կաթիլների համար։ Կաթիլի քանակը, որը համապատասխանում է մեկ դեղաչափի, չափիչ կամ դոզավորող սարքի օգնությամբ տեղադրում</w:t>
      </w:r>
      <w:r w:rsidRPr="00DA21D0">
        <w:rPr>
          <w:rFonts w:ascii="Sylfaen" w:hAnsi="Sylfaen"/>
          <w:spacing w:val="-4"/>
          <w:sz w:val="24"/>
          <w:szCs w:val="24"/>
        </w:rPr>
        <w:t xml:space="preserve"> են չափագլանի մեջ։ Կաթելու արագությունը չպետք է գերազանցի 2 կաթ/վրկ։ Հեղուկը կշռում են, ավելացնում եւս մեկ դեղաչափ եւ կրկին</w:t>
      </w:r>
      <w:r w:rsidRPr="00DA21D0">
        <w:rPr>
          <w:rFonts w:ascii="Sylfaen" w:hAnsi="Sylfaen"/>
          <w:sz w:val="24"/>
          <w:szCs w:val="24"/>
        </w:rPr>
        <w:t xml:space="preserve"> կշռում. հետագա կշռումով կրկնակի ավելացումն անցկացնում են այնքան ժամանակ, որ կշռվի 10 դեղաչափ։ Որոշում են դեղաչափի միջին զանգվածը։</w:t>
      </w:r>
    </w:p>
    <w:p w14:paraId="204FEAEC" w14:textId="77777777" w:rsidR="00134BE9" w:rsidRPr="00DA21D0" w:rsidRDefault="00134BE9" w:rsidP="00DA21D0">
      <w:pPr>
        <w:spacing w:after="160" w:line="360" w:lineRule="auto"/>
        <w:ind w:firstLine="567"/>
        <w:jc w:val="both"/>
      </w:pPr>
      <w:r w:rsidRPr="00DA21D0">
        <w:t>Որեւէ դեղաչափի զանգված չպետք է միջին զանգվածից շեղվի ավելի, քան 10 %-ով։ 10 դեղաչափի գումարային զանգվածը չպետք է տարբերվի 10 դեղաչափի նվազագույն զանգվածից ավելի, քան 15 %-ով։</w:t>
      </w:r>
    </w:p>
    <w:p w14:paraId="34F42E8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Անհրաժեշտության դեպքում չափում են 10 դեղաչափի ընդհանուր ծավալը։ Ծավալը չպետք է տարբերվի 10 դեղաչափի նվազագույն ծավալից ավելի, քան 15</w:t>
      </w:r>
      <w:r w:rsidRPr="00DA21D0">
        <w:rPr>
          <w:rFonts w:ascii="Sylfaen" w:hAnsi="Sylfaen" w:cs="Courier New"/>
          <w:sz w:val="24"/>
          <w:szCs w:val="24"/>
        </w:rPr>
        <w:t> </w:t>
      </w:r>
      <w:r w:rsidRPr="00DA21D0">
        <w:rPr>
          <w:rFonts w:ascii="Sylfaen" w:hAnsi="Sylfaen"/>
          <w:sz w:val="24"/>
          <w:szCs w:val="24"/>
        </w:rPr>
        <w:t>%-ով։</w:t>
      </w:r>
    </w:p>
    <w:p w14:paraId="16AB0117" w14:textId="77777777" w:rsidR="00134BE9" w:rsidRPr="00DA21D0" w:rsidRDefault="00134BE9" w:rsidP="00DA21D0">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b/>
          <w:sz w:val="24"/>
          <w:szCs w:val="24"/>
        </w:rPr>
        <w:t xml:space="preserve">Փաթեթվածքի պարունակության զանգվածը (ծավալը). </w:t>
      </w:r>
      <w:r w:rsidRPr="00DA21D0">
        <w:rPr>
          <w:rFonts w:ascii="Sylfaen" w:hAnsi="Sylfaen"/>
          <w:sz w:val="24"/>
          <w:szCs w:val="24"/>
        </w:rPr>
        <w:t xml:space="preserve">Փորձարկումն անցկացնում են </w:t>
      </w:r>
      <w:r w:rsidRPr="00DA21D0">
        <w:rPr>
          <w:rFonts w:ascii="Sylfaen" w:hAnsi="Sylfaen"/>
          <w:i/>
          <w:sz w:val="24"/>
          <w:szCs w:val="24"/>
        </w:rPr>
        <w:t>2.1.9.17. Փաթեթվածքի պարունակության զանգվածը (ծավալը)</w:t>
      </w:r>
      <w:r w:rsidRPr="00DA21D0">
        <w:rPr>
          <w:rFonts w:ascii="Sylfaen" w:hAnsi="Sylfaen"/>
          <w:sz w:val="24"/>
          <w:szCs w:val="24"/>
        </w:rPr>
        <w:t xml:space="preserve"> ընդհանուր դեղագրքային հոդվածին համապատասխան։</w:t>
      </w:r>
    </w:p>
    <w:p w14:paraId="39557A5D"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lastRenderedPageBreak/>
        <w:t>205010010-2022</w:t>
      </w:r>
    </w:p>
    <w:p w14:paraId="1F4425AB"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1465C978" w14:textId="77777777" w:rsidR="00134BE9" w:rsidRPr="00DA21D0" w:rsidRDefault="00134BE9" w:rsidP="00DA21D0">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2.5.1.10.</w:t>
      </w:r>
      <w:r w:rsidRPr="00DA21D0">
        <w:rPr>
          <w:rFonts w:ascii="Sylfaen" w:hAnsi="Sylfaen"/>
          <w:b/>
          <w:sz w:val="24"/>
          <w:szCs w:val="24"/>
        </w:rPr>
        <w:tab/>
        <w:t>Դեղապատիճներ</w:t>
      </w:r>
    </w:p>
    <w:p w14:paraId="1FEECADA" w14:textId="77777777" w:rsidR="00134BE9" w:rsidRPr="00DA21D0" w:rsidRDefault="00134BE9" w:rsidP="00DA21D0">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«Դեղապատիճներ»՝ դեղաչափված պինդ դեղաձեւ, որը պարունակում է մեկ կամ մի քանի ազդող նյութեր՝ օժանդակ նյութերի ավելացմամբ կամ առանց դրանց ավելացման, որոնք պատված են տարբեր չափերի եւ տարողության պինդ կամ փափուկ թաղանթով։</w:t>
      </w:r>
    </w:p>
    <w:p w14:paraId="26E8C0E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կիրառման եղանակի դեղապատիճները բաժանում են հեշտոցային դեղապատիճների, ուղիղաղիքային դեղապատիճների, ներքին ընդունման դեղապատիճների, ներծծման դեղապատիճների, ենթալեզվային դեղապատիճների, ինհալացիաների համար փոշով դեղապատիճների։</w:t>
      </w:r>
    </w:p>
    <w:p w14:paraId="4A3CF7C5"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թանձրության՝ դեղապատիճները բաժանվում են պինդ եւ փափուկ դեղապատիճների։</w:t>
      </w:r>
    </w:p>
    <w:p w14:paraId="1FFA0D9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«Պինդ դեղապատիճներ»՝</w:t>
      </w:r>
      <w:r w:rsidRPr="00DA21D0">
        <w:rPr>
          <w:rFonts w:ascii="Sylfaen" w:hAnsi="Sylfaen"/>
          <w:sz w:val="24"/>
          <w:szCs w:val="24"/>
        </w:rPr>
        <w:t xml:space="preserve"> գլանաձեւ պինդ թաղանթով դեղապատիճներ՝ կիսագնդաձեւ ծայրերով, որոնք բաղկացած են երկու մասից՝ իրանից եւ կափարիչից, որոնք մեկը մյուսի մեջ են մտնում արանքներ չգոյացնելով։ Իրանը եւ կափարիչը կարող են ունենալ հատուկ ակոսիկներ եւ ելուններ՝ «պարփակումն» ապահովելու համար։</w:t>
      </w:r>
    </w:p>
    <w:p w14:paraId="56E84F91" w14:textId="77777777" w:rsidR="00134BE9" w:rsidRPr="00DA21D0" w:rsidRDefault="00134BE9" w:rsidP="00DA21D0">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Պայմանավորված թաղանթի տարողությամբ՝ դեղապատիճները կարող են լինել 8 չափի (</w:t>
      </w:r>
      <w:r w:rsidRPr="008D6E8B">
        <w:rPr>
          <w:rFonts w:ascii="Sylfaen" w:hAnsi="Sylfaen"/>
          <w:i/>
          <w:sz w:val="24"/>
          <w:szCs w:val="24"/>
        </w:rPr>
        <w:t>աղյուսակ 2.5.1.10-1)։</w:t>
      </w:r>
      <w:r w:rsidRPr="00DA21D0">
        <w:rPr>
          <w:rFonts w:ascii="Sylfaen" w:hAnsi="Sylfaen"/>
          <w:sz w:val="24"/>
          <w:szCs w:val="24"/>
        </w:rPr>
        <w:t xml:space="preserve"> </w:t>
      </w:r>
    </w:p>
    <w:p w14:paraId="2941553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Աղյուսակ 2.5.1.10-1. — </w:t>
      </w:r>
      <w:r w:rsidRPr="00DA21D0">
        <w:rPr>
          <w:rFonts w:ascii="Sylfaen" w:hAnsi="Sylfaen"/>
          <w:i/>
          <w:sz w:val="24"/>
          <w:szCs w:val="24"/>
        </w:rPr>
        <w:t>Պինդ դեղապատիճների չափերը՝ պայմանավորված թաղանթի տարողությամբ</w:t>
      </w:r>
    </w:p>
    <w:tbl>
      <w:tblPr>
        <w:tblOverlap w:val="never"/>
        <w:tblW w:w="9662" w:type="dxa"/>
        <w:jc w:val="center"/>
        <w:tblLayout w:type="fixed"/>
        <w:tblCellMar>
          <w:left w:w="10" w:type="dxa"/>
          <w:right w:w="10" w:type="dxa"/>
        </w:tblCellMar>
        <w:tblLook w:val="0000" w:firstRow="0" w:lastRow="0" w:firstColumn="0" w:lastColumn="0" w:noHBand="0" w:noVBand="0"/>
      </w:tblPr>
      <w:tblGrid>
        <w:gridCol w:w="2160"/>
        <w:gridCol w:w="998"/>
        <w:gridCol w:w="912"/>
        <w:gridCol w:w="912"/>
        <w:gridCol w:w="874"/>
        <w:gridCol w:w="950"/>
        <w:gridCol w:w="864"/>
        <w:gridCol w:w="1018"/>
        <w:gridCol w:w="974"/>
      </w:tblGrid>
      <w:tr w:rsidR="00134BE9" w:rsidRPr="00DA21D0" w14:paraId="17664BD8" w14:textId="77777777" w:rsidTr="00163838">
        <w:trPr>
          <w:jc w:val="center"/>
        </w:trPr>
        <w:tc>
          <w:tcPr>
            <w:tcW w:w="2160" w:type="dxa"/>
            <w:tcBorders>
              <w:top w:val="single" w:sz="4" w:space="0" w:color="auto"/>
            </w:tcBorders>
            <w:shd w:val="clear" w:color="auto" w:fill="FFFFFF"/>
            <w:vAlign w:val="center"/>
          </w:tcPr>
          <w:p w14:paraId="4A6F6CF5"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Չափը</w:t>
            </w:r>
          </w:p>
        </w:tc>
        <w:tc>
          <w:tcPr>
            <w:tcW w:w="998" w:type="dxa"/>
            <w:tcBorders>
              <w:top w:val="single" w:sz="4" w:space="0" w:color="auto"/>
            </w:tcBorders>
            <w:shd w:val="clear" w:color="auto" w:fill="FFFFFF"/>
            <w:vAlign w:val="bottom"/>
          </w:tcPr>
          <w:p w14:paraId="2FB3D982"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000</w:t>
            </w:r>
          </w:p>
        </w:tc>
        <w:tc>
          <w:tcPr>
            <w:tcW w:w="912" w:type="dxa"/>
            <w:tcBorders>
              <w:top w:val="single" w:sz="4" w:space="0" w:color="auto"/>
            </w:tcBorders>
            <w:shd w:val="clear" w:color="auto" w:fill="FFFFFF"/>
            <w:vAlign w:val="bottom"/>
          </w:tcPr>
          <w:p w14:paraId="21AC1649"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00</w:t>
            </w:r>
          </w:p>
        </w:tc>
        <w:tc>
          <w:tcPr>
            <w:tcW w:w="912" w:type="dxa"/>
            <w:tcBorders>
              <w:top w:val="single" w:sz="4" w:space="0" w:color="auto"/>
            </w:tcBorders>
            <w:shd w:val="clear" w:color="auto" w:fill="FFFFFF"/>
            <w:vAlign w:val="bottom"/>
          </w:tcPr>
          <w:p w14:paraId="61DFC1FD"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w:t>
            </w:r>
          </w:p>
        </w:tc>
        <w:tc>
          <w:tcPr>
            <w:tcW w:w="874" w:type="dxa"/>
            <w:tcBorders>
              <w:top w:val="single" w:sz="4" w:space="0" w:color="auto"/>
            </w:tcBorders>
            <w:shd w:val="clear" w:color="auto" w:fill="FFFFFF"/>
            <w:vAlign w:val="bottom"/>
          </w:tcPr>
          <w:p w14:paraId="6021EE16"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1</w:t>
            </w:r>
          </w:p>
        </w:tc>
        <w:tc>
          <w:tcPr>
            <w:tcW w:w="950" w:type="dxa"/>
            <w:tcBorders>
              <w:top w:val="single" w:sz="4" w:space="0" w:color="auto"/>
            </w:tcBorders>
            <w:shd w:val="clear" w:color="auto" w:fill="FFFFFF"/>
            <w:vAlign w:val="bottom"/>
          </w:tcPr>
          <w:p w14:paraId="10B7A068"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2</w:t>
            </w:r>
          </w:p>
        </w:tc>
        <w:tc>
          <w:tcPr>
            <w:tcW w:w="864" w:type="dxa"/>
            <w:tcBorders>
              <w:top w:val="single" w:sz="4" w:space="0" w:color="auto"/>
            </w:tcBorders>
            <w:shd w:val="clear" w:color="auto" w:fill="FFFFFF"/>
            <w:vAlign w:val="center"/>
          </w:tcPr>
          <w:p w14:paraId="6F916429"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3</w:t>
            </w:r>
          </w:p>
        </w:tc>
        <w:tc>
          <w:tcPr>
            <w:tcW w:w="1018" w:type="dxa"/>
            <w:tcBorders>
              <w:top w:val="single" w:sz="4" w:space="0" w:color="auto"/>
            </w:tcBorders>
            <w:shd w:val="clear" w:color="auto" w:fill="FFFFFF"/>
            <w:vAlign w:val="center"/>
          </w:tcPr>
          <w:p w14:paraId="37BC6372"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4</w:t>
            </w:r>
          </w:p>
        </w:tc>
        <w:tc>
          <w:tcPr>
            <w:tcW w:w="974" w:type="dxa"/>
            <w:tcBorders>
              <w:top w:val="single" w:sz="4" w:space="0" w:color="auto"/>
            </w:tcBorders>
            <w:shd w:val="clear" w:color="auto" w:fill="FFFFFF"/>
            <w:vAlign w:val="center"/>
          </w:tcPr>
          <w:p w14:paraId="513FCB47"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5</w:t>
            </w:r>
          </w:p>
        </w:tc>
      </w:tr>
      <w:tr w:rsidR="00134BE9" w:rsidRPr="00DA21D0" w14:paraId="6507839A" w14:textId="77777777" w:rsidTr="00163838">
        <w:trPr>
          <w:jc w:val="center"/>
        </w:trPr>
        <w:tc>
          <w:tcPr>
            <w:tcW w:w="2160" w:type="dxa"/>
            <w:tcBorders>
              <w:top w:val="single" w:sz="4" w:space="0" w:color="auto"/>
              <w:bottom w:val="single" w:sz="4" w:space="0" w:color="auto"/>
            </w:tcBorders>
            <w:shd w:val="clear" w:color="auto" w:fill="FFFFFF"/>
          </w:tcPr>
          <w:p w14:paraId="4A786A45"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Տարողություն, մլ</w:t>
            </w:r>
          </w:p>
        </w:tc>
        <w:tc>
          <w:tcPr>
            <w:tcW w:w="998" w:type="dxa"/>
            <w:tcBorders>
              <w:top w:val="single" w:sz="4" w:space="0" w:color="auto"/>
              <w:bottom w:val="single" w:sz="4" w:space="0" w:color="auto"/>
            </w:tcBorders>
            <w:shd w:val="clear" w:color="auto" w:fill="FFFFFF"/>
          </w:tcPr>
          <w:p w14:paraId="0891B9E1"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1,37</w:t>
            </w:r>
          </w:p>
        </w:tc>
        <w:tc>
          <w:tcPr>
            <w:tcW w:w="912" w:type="dxa"/>
            <w:tcBorders>
              <w:top w:val="single" w:sz="4" w:space="0" w:color="auto"/>
              <w:bottom w:val="single" w:sz="4" w:space="0" w:color="auto"/>
            </w:tcBorders>
            <w:shd w:val="clear" w:color="auto" w:fill="FFFFFF"/>
          </w:tcPr>
          <w:p w14:paraId="599493ED"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0,95</w:t>
            </w:r>
          </w:p>
        </w:tc>
        <w:tc>
          <w:tcPr>
            <w:tcW w:w="912" w:type="dxa"/>
            <w:tcBorders>
              <w:top w:val="single" w:sz="4" w:space="0" w:color="auto"/>
              <w:bottom w:val="single" w:sz="4" w:space="0" w:color="auto"/>
            </w:tcBorders>
            <w:shd w:val="clear" w:color="auto" w:fill="FFFFFF"/>
            <w:vAlign w:val="center"/>
          </w:tcPr>
          <w:p w14:paraId="33FBC4DD"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0,68</w:t>
            </w:r>
          </w:p>
        </w:tc>
        <w:tc>
          <w:tcPr>
            <w:tcW w:w="874" w:type="dxa"/>
            <w:tcBorders>
              <w:top w:val="single" w:sz="4" w:space="0" w:color="auto"/>
              <w:bottom w:val="single" w:sz="4" w:space="0" w:color="auto"/>
            </w:tcBorders>
            <w:shd w:val="clear" w:color="auto" w:fill="FFFFFF"/>
          </w:tcPr>
          <w:p w14:paraId="5CBC1CFD"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0,50</w:t>
            </w:r>
          </w:p>
        </w:tc>
        <w:tc>
          <w:tcPr>
            <w:tcW w:w="950" w:type="dxa"/>
            <w:tcBorders>
              <w:top w:val="single" w:sz="4" w:space="0" w:color="auto"/>
              <w:bottom w:val="single" w:sz="4" w:space="0" w:color="auto"/>
            </w:tcBorders>
            <w:shd w:val="clear" w:color="auto" w:fill="FFFFFF"/>
          </w:tcPr>
          <w:p w14:paraId="37B0F36C"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0,37</w:t>
            </w:r>
          </w:p>
        </w:tc>
        <w:tc>
          <w:tcPr>
            <w:tcW w:w="864" w:type="dxa"/>
            <w:tcBorders>
              <w:top w:val="single" w:sz="4" w:space="0" w:color="auto"/>
              <w:bottom w:val="single" w:sz="4" w:space="0" w:color="auto"/>
            </w:tcBorders>
            <w:shd w:val="clear" w:color="auto" w:fill="FFFFFF"/>
          </w:tcPr>
          <w:p w14:paraId="1A774416"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0,30</w:t>
            </w:r>
          </w:p>
        </w:tc>
        <w:tc>
          <w:tcPr>
            <w:tcW w:w="1018" w:type="dxa"/>
            <w:tcBorders>
              <w:top w:val="single" w:sz="4" w:space="0" w:color="auto"/>
              <w:bottom w:val="single" w:sz="4" w:space="0" w:color="auto"/>
            </w:tcBorders>
            <w:shd w:val="clear" w:color="auto" w:fill="FFFFFF"/>
            <w:vAlign w:val="center"/>
          </w:tcPr>
          <w:p w14:paraId="6C7BCF44"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0,21</w:t>
            </w:r>
          </w:p>
        </w:tc>
        <w:tc>
          <w:tcPr>
            <w:tcW w:w="974" w:type="dxa"/>
            <w:tcBorders>
              <w:top w:val="single" w:sz="4" w:space="0" w:color="auto"/>
              <w:bottom w:val="single" w:sz="4" w:space="0" w:color="auto"/>
            </w:tcBorders>
            <w:shd w:val="clear" w:color="auto" w:fill="FFFFFF"/>
          </w:tcPr>
          <w:p w14:paraId="64CB4449" w14:textId="77777777" w:rsidR="00134BE9" w:rsidRPr="00DA21D0" w:rsidRDefault="00134BE9" w:rsidP="00DA21D0">
            <w:pPr>
              <w:pStyle w:val="a0"/>
              <w:shd w:val="clear" w:color="auto" w:fill="auto"/>
              <w:spacing w:after="160" w:line="360" w:lineRule="auto"/>
              <w:ind w:firstLine="0"/>
              <w:jc w:val="center"/>
              <w:rPr>
                <w:rFonts w:ascii="Sylfaen" w:hAnsi="Sylfaen" w:cs="Sylfaen"/>
                <w:sz w:val="24"/>
                <w:szCs w:val="24"/>
              </w:rPr>
            </w:pPr>
            <w:r w:rsidRPr="00DA21D0">
              <w:rPr>
                <w:rFonts w:ascii="Sylfaen" w:hAnsi="Sylfaen"/>
                <w:sz w:val="24"/>
                <w:szCs w:val="24"/>
              </w:rPr>
              <w:t>0,13</w:t>
            </w:r>
          </w:p>
        </w:tc>
      </w:tr>
    </w:tbl>
    <w:p w14:paraId="6C50980A" w14:textId="77777777" w:rsidR="00134BE9" w:rsidRDefault="00134BE9" w:rsidP="00DA21D0">
      <w:pPr>
        <w:pStyle w:val="a0"/>
        <w:shd w:val="clear" w:color="auto" w:fill="auto"/>
        <w:spacing w:after="160" w:line="360" w:lineRule="auto"/>
        <w:ind w:firstLine="567"/>
        <w:jc w:val="both"/>
        <w:rPr>
          <w:rFonts w:ascii="Sylfaen" w:hAnsi="Sylfaen" w:cs="Sylfaen"/>
          <w:sz w:val="24"/>
          <w:szCs w:val="24"/>
          <w:lang w:val="en-US"/>
        </w:rPr>
      </w:pPr>
    </w:p>
    <w:p w14:paraId="6AE5A374" w14:textId="77777777" w:rsidR="00DA21D0" w:rsidRPr="00DA21D0" w:rsidRDefault="00DA21D0" w:rsidP="00DA21D0">
      <w:pPr>
        <w:pStyle w:val="a0"/>
        <w:shd w:val="clear" w:color="auto" w:fill="auto"/>
        <w:spacing w:after="160" w:line="360" w:lineRule="auto"/>
        <w:ind w:firstLine="567"/>
        <w:jc w:val="both"/>
        <w:rPr>
          <w:rFonts w:ascii="Sylfaen" w:hAnsi="Sylfaen" w:cs="Sylfaen"/>
          <w:sz w:val="24"/>
          <w:szCs w:val="24"/>
          <w:lang w:val="en-US"/>
        </w:rPr>
      </w:pPr>
    </w:p>
    <w:p w14:paraId="06BC81A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Թույլատրվում է օգտագործել 0 չափի (տարողություն 0,78 մլ) դեղապատիճներ, որոնք 0 չափի երկարացված դեղապատիճներ են։ Թույլատրվում է նաեւ օգտագործել որակի վերաբերյալ նորմատիվ փաստաթղթում ներկայացված այլ չափերի դեղապատիճներ։</w:t>
      </w:r>
    </w:p>
    <w:p w14:paraId="08C73F9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«Փափուկ դեղապատիճներ»՝</w:t>
      </w:r>
      <w:r w:rsidRPr="00DA21D0">
        <w:rPr>
          <w:rFonts w:ascii="Sylfaen" w:hAnsi="Sylfaen"/>
          <w:sz w:val="24"/>
          <w:szCs w:val="24"/>
        </w:rPr>
        <w:t xml:space="preserve"> տարբեր ձեւի ամբողջական դեղապատիճներ. գնդաձեւ, գլանաձեւ, ձվանման (ուղիղաղիքային կամ հեշտոցային), կիսագնդաձեւ ծայրերով երկարավուն կամ գլանաձեւ, կարանով կամ առանց կարանի։ Փափուկ դեղապատիճները ավելի հաստ թաղանթ ունեն, քան պինդ դեղապատիճները։ Դեղապատիճները կարող են լինել տարբեր չափերի, մինչեւ 1,5 մլ տարողությամբ։</w:t>
      </w:r>
    </w:p>
    <w:p w14:paraId="5EDF156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ազդող նյութի ձերբազատման բնույթի դեղապատիճները բաժանում են սովորական ձերբազատմամբ դեղապատիճների (դեղապատիճներ) եւ մոդիֆիկացված ձերբազատմամբ դեղապատիճների։</w:t>
      </w:r>
    </w:p>
    <w:p w14:paraId="2F44642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«Մոդիֆիկացված ձերբազատմամբ դեղապատիճներ»՝ </w:t>
      </w:r>
      <w:r w:rsidRPr="00DA21D0">
        <w:rPr>
          <w:rFonts w:ascii="Sylfaen" w:hAnsi="Sylfaen"/>
          <w:sz w:val="24"/>
          <w:szCs w:val="24"/>
        </w:rPr>
        <w:t>դեղապատիճներ՝ ներքին ընդունման համար, որոնք ստացվել են հատուկ տեխնոլոգիայով, կամ որոնց թաղանթի բաղադրության եւ (կամ) պարունակության մեջ մտնում են հատուկ օժանդակ նյութեր՝ ազդող նյութի ձերբազատման արագությունը եւ (կամ) ժամանակը եւ (կամ) տեղը փոփոխելու համար:</w:t>
      </w:r>
    </w:p>
    <w:p w14:paraId="6DC25F2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 xml:space="preserve">«Աղելույծ դեղապատիճներ»՝ </w:t>
      </w:r>
      <w:r w:rsidRPr="00DA21D0">
        <w:rPr>
          <w:rFonts w:ascii="Sylfaen" w:hAnsi="Sylfaen"/>
          <w:sz w:val="24"/>
          <w:szCs w:val="24"/>
        </w:rPr>
        <w:t>դեղապատիճներ՝ ներքին ընդունման համար, երկարատեւ ձերբազատմամբ, գաստրոռեզիստենտ գրանուլներով կամ մասնիկներով լցման կամ հատուկ տեխնոլոգիայի օգտագործման միջոցով ստացված, որոնք ապահովում են ստամոքսահյութում կայունությունը (գաստրոռեզիստենտությունը) եւ ազդող նյութերի սովորական ձերբազատումն աղիքահյութում։</w:t>
      </w:r>
    </w:p>
    <w:p w14:paraId="54C8CC68" w14:textId="77777777" w:rsidR="00134BE9" w:rsidRPr="00DA21D0" w:rsidRDefault="00134BE9" w:rsidP="00DA21D0">
      <w:pPr>
        <w:pStyle w:val="a0"/>
        <w:shd w:val="clear" w:color="auto" w:fill="auto"/>
        <w:spacing w:after="160" w:line="360" w:lineRule="auto"/>
        <w:ind w:firstLine="567"/>
        <w:jc w:val="both"/>
        <w:rPr>
          <w:rFonts w:ascii="Sylfaen" w:hAnsi="Sylfaen" w:cs="Sylfaen"/>
          <w:szCs w:val="24"/>
        </w:rPr>
      </w:pPr>
      <w:r w:rsidRPr="00DA21D0">
        <w:rPr>
          <w:rFonts w:ascii="Sylfaen" w:hAnsi="Sylfaen"/>
          <w:i/>
          <w:szCs w:val="24"/>
        </w:rPr>
        <w:t>Ծանոթագրություն.</w:t>
      </w:r>
      <w:r w:rsidRPr="00DA21D0">
        <w:rPr>
          <w:rFonts w:ascii="Sylfaen" w:hAnsi="Sylfaen"/>
          <w:szCs w:val="24"/>
        </w:rPr>
        <w:t xml:space="preserve"> «еl»՝ կրճատում անգլերենից, «elongated»՝ երկարացված։</w:t>
      </w:r>
    </w:p>
    <w:p w14:paraId="36569403" w14:textId="77777777" w:rsidR="00DA21D0" w:rsidRDefault="00DA21D0">
      <w:pPr>
        <w:rPr>
          <w:rFonts w:eastAsia="Times New Roman"/>
          <w:color w:val="auto"/>
        </w:rPr>
      </w:pPr>
      <w:r>
        <w:br w:type="page"/>
      </w:r>
    </w:p>
    <w:p w14:paraId="327915F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ՏԵԽՆՈԼՈԳԻԱՅԻ ԱՌԱՆՁՆԱՀԱՏԿՈՒԹՅՈՒՆՆԵՐԸ</w:t>
      </w:r>
    </w:p>
    <w:p w14:paraId="6A4BE37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Պինդ դեղապատիճներն</w:t>
      </w:r>
      <w:r w:rsidRPr="00DA21D0">
        <w:rPr>
          <w:rFonts w:ascii="Sylfaen" w:hAnsi="Sylfaen"/>
          <w:sz w:val="24"/>
          <w:szCs w:val="24"/>
        </w:rPr>
        <w:t xml:space="preserve"> ստանում են՝ դեղապատիճի իրանի մեջ դեղապատիճի պարունակությունը (առավելապես պինդ ձեւով, օրինակ՝ փոշի կամ գրանուլներ) մտցնելով։</w:t>
      </w:r>
    </w:p>
    <w:p w14:paraId="7C624469"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Փափուկ դեղապատիճները</w:t>
      </w:r>
      <w:r w:rsidRPr="00DA21D0">
        <w:rPr>
          <w:rFonts w:ascii="Sylfaen" w:hAnsi="Sylfaen"/>
          <w:sz w:val="24"/>
          <w:szCs w:val="24"/>
        </w:rPr>
        <w:t xml:space="preserve"> ձեւավորում, լիացնում եւ զոդում են մեկ տեխնոլոգիական գործողության ընթացքում։ Փափուկ դեղապատիճների պարունակությունը կարող է լինել հեղուկ կամ մածուկանման։ Պինդ նյութերը սովորաբար լուծում կամ դիսպերսում են բժշկական կիրառության համար թույլատրված համապատասխան կրիչի մեջ։</w:t>
      </w:r>
    </w:p>
    <w:p w14:paraId="60E77DD5" w14:textId="77777777" w:rsidR="00134BE9" w:rsidRPr="00DA21D0" w:rsidRDefault="00134BE9" w:rsidP="00DA21D0">
      <w:pPr>
        <w:spacing w:after="160" w:line="346" w:lineRule="auto"/>
        <w:ind w:firstLine="567"/>
        <w:jc w:val="both"/>
      </w:pPr>
      <w:r w:rsidRPr="00DA21D0">
        <w:t>Դեղապատիճի թաղանթ ստանալու համար օգտագործում են դոնդողանյութ, այլ պոլիմերային կառուցվածքագոյացուցիչներ եւ օժանդակ նյութեր՝ անթափանց լցանյութեր, մակերեւութաակտիվ նյութեր, հակամանրէային կոնսերվանտներ, ներկանյութեր, համի կորիգենտներ, բուրավետիչներ եւ բժշկական կիրառության համար թույլատրված այլ նյութեր։</w:t>
      </w:r>
    </w:p>
    <w:p w14:paraId="2BD340CD"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Դեղապատիճների պարունակությունը կարող է լինել պինդ, հեղուկ կամ մածուկանման։ Այն բաղկացած է մեկ կամ մի քանի ազդող նյութերից եւ օժանդակ նյութերից, ինչպիսիք են լուծիչները, ջրիկացուցիչները, քսանյութերը եւ փխրեցնող նյութերը, կամ առանց օժանդակ նյութերի։ Դեղակախույթների պարունակությունը չպետք է քայքայի թաղանթը։ Թաղանթը պետք է քայքայվի ազդեցության տեղում՝ ձերբազատելով ազդող նյութը (նյութերը)։</w:t>
      </w:r>
    </w:p>
    <w:p w14:paraId="6269CBF1"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ՓՈՐՁԱՐԿՈՒՄՆԵՐԸ</w:t>
      </w:r>
    </w:p>
    <w:p w14:paraId="0FC1C3B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Դեղապատիճները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հաջորդող փորձարկումները։</w:t>
      </w:r>
    </w:p>
    <w:p w14:paraId="177E94FC"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Դեղապատիճները բնութագրում են՝ նշելով արտաքին տեսքը (ձեւը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6E2635ED"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Դեղապատիճի թաղանթը պետք է ունենա հարթ մակերես եւ չպետք է պարունակի օդի պղպջակներ կամ մեխանիկական վնասվածքներ։ Դեղապատիճների մակերեսին կարող է զետեղվել մականշվածք։</w:t>
      </w:r>
    </w:p>
    <w:p w14:paraId="4AEFAFA5"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sz w:val="24"/>
          <w:szCs w:val="24"/>
        </w:rPr>
        <w:t>Ներկայացնում են դեղապատիճի պարունակության նկարագրությունը։</w:t>
      </w:r>
    </w:p>
    <w:p w14:paraId="6832322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Տրոհելիությունը.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2.1.9.1. Դեղահաբերի եւ դեղապատիճների տրոհելիությունը</w:t>
      </w:r>
      <w:r w:rsidRPr="00DA21D0">
        <w:rPr>
          <w:rFonts w:ascii="Sylfaen" w:hAnsi="Sylfaen"/>
          <w:sz w:val="24"/>
          <w:szCs w:val="24"/>
        </w:rPr>
        <w:t xml:space="preserve"> ընդհանուր դեղագրքային հոդվածին համապատասխան։</w:t>
      </w:r>
    </w:p>
    <w:p w14:paraId="68BB84A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Պինդ եւ փափուկ դեղապատիճներ.</w:t>
      </w:r>
      <w:r w:rsidRPr="00DA21D0">
        <w:rPr>
          <w:rFonts w:ascii="Sylfaen" w:hAnsi="Sylfaen"/>
          <w:sz w:val="24"/>
          <w:szCs w:val="24"/>
        </w:rPr>
        <w:t xml:space="preserve"> Եթե մասնավոր դեղագրքային հոդվածում եւ (կամ) որակի վերաբերյալ նորմատիվ փաստաթղթում այլ ցուցումներ չկան, ապա դեղապատիճները պետք է տրոհվեն </w:t>
      </w:r>
      <w:r w:rsidRPr="00DA21D0">
        <w:rPr>
          <w:rFonts w:ascii="Sylfaen" w:hAnsi="Sylfaen"/>
          <w:i/>
          <w:sz w:val="24"/>
          <w:szCs w:val="24"/>
        </w:rPr>
        <w:t>Ռ ջրում</w:t>
      </w:r>
      <w:r w:rsidRPr="00DA21D0">
        <w:rPr>
          <w:rFonts w:ascii="Sylfaen" w:hAnsi="Sylfaen"/>
          <w:sz w:val="24"/>
          <w:szCs w:val="24"/>
        </w:rPr>
        <w:t xml:space="preserve"> 30 ր ընթացքում։ Որպես հեղուկ միջավայր թույլատրվում է օգտագործել </w:t>
      </w:r>
      <w:r w:rsidRPr="00DA21D0">
        <w:rPr>
          <w:rFonts w:ascii="Sylfaen" w:hAnsi="Sylfaen"/>
          <w:i/>
          <w:sz w:val="24"/>
          <w:szCs w:val="24"/>
        </w:rPr>
        <w:t>0,1 Մ քլորաջրածնային թթու</w:t>
      </w:r>
      <w:r w:rsidRPr="00DA21D0">
        <w:rPr>
          <w:rFonts w:ascii="Sylfaen" w:hAnsi="Sylfaen"/>
          <w:sz w:val="24"/>
          <w:szCs w:val="24"/>
        </w:rPr>
        <w:t xml:space="preserve"> կամ </w:t>
      </w:r>
      <w:r w:rsidRPr="00DA21D0">
        <w:rPr>
          <w:rFonts w:ascii="Sylfaen" w:hAnsi="Sylfaen"/>
          <w:i/>
          <w:sz w:val="24"/>
          <w:szCs w:val="24"/>
        </w:rPr>
        <w:t>արհեստական Ռ ստամոքսահյութ։</w:t>
      </w:r>
      <w:r w:rsidRPr="00DA21D0">
        <w:rPr>
          <w:rFonts w:ascii="Sylfaen" w:hAnsi="Sylfaen"/>
          <w:sz w:val="24"/>
          <w:szCs w:val="24"/>
        </w:rPr>
        <w:t xml:space="preserve"> Եթե դեղապատիճները բարձրանում են հեղուկի մակերես, ապա պետք է օգտագործել սկավառակներ։</w:t>
      </w:r>
    </w:p>
    <w:p w14:paraId="7CDD874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Աղելույծ դեղապատիճներ.</w:t>
      </w:r>
      <w:r w:rsidRPr="00DA21D0">
        <w:rPr>
          <w:rFonts w:ascii="Sylfaen" w:hAnsi="Sylfaen"/>
          <w:sz w:val="24"/>
          <w:szCs w:val="24"/>
        </w:rPr>
        <w:t xml:space="preserve"> Աղելույծ դեղապատիճների տրոհելիության փորձարկումն անցկացնում են </w:t>
      </w:r>
      <w:r w:rsidRPr="00DA21D0">
        <w:rPr>
          <w:rFonts w:ascii="Sylfaen" w:hAnsi="Sylfaen"/>
          <w:i/>
          <w:sz w:val="24"/>
          <w:szCs w:val="24"/>
        </w:rPr>
        <w:t>0,1 Մ քլորաջրածնային թթվի</w:t>
      </w:r>
      <w:r w:rsidRPr="00DA21D0">
        <w:rPr>
          <w:rFonts w:ascii="Sylfaen" w:hAnsi="Sylfaen"/>
          <w:sz w:val="24"/>
          <w:szCs w:val="24"/>
        </w:rPr>
        <w:t xml:space="preserve"> մեջ 2 ժ ընթացքում՝ չօգտագործելով սկավառակները։ Աղելույծ դեղապատիճներ պետք է անվնաս մնան այն ժամանակի ընթացքում, որը նշված է դեղագրքային հոդվածում եւ (կամ) որակի վերաբերյալ նորմատիվ փաստաթղթում, սովորաբար այն կազմում է 2-ից մինչեւ 3 ժ, բայց առնվազն 1 ժ։</w:t>
      </w:r>
    </w:p>
    <w:p w14:paraId="599BDC5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Դեղապատիճի վնասում է համարվում դեղապատիճի պատի ամբողջության ցանկացած խախտում, որը թույլ է տալիս դեղապատիճի պարունակությանը դուրս գալ շրջակա միջավայր։ Հետո դեղապատիճները տեղադրում են </w:t>
      </w:r>
      <w:r w:rsidRPr="00DA21D0">
        <w:rPr>
          <w:rFonts w:ascii="Sylfaen" w:hAnsi="Sylfaen"/>
          <w:i/>
          <w:sz w:val="24"/>
          <w:szCs w:val="24"/>
        </w:rPr>
        <w:t>pH 6,8-ով Ռ ֆոսֆատային բուֆերացված լուծույթի մեջ</w:t>
      </w:r>
      <w:r w:rsidRPr="00DA21D0">
        <w:rPr>
          <w:rFonts w:ascii="Sylfaen" w:hAnsi="Sylfaen"/>
          <w:sz w:val="24"/>
          <w:szCs w:val="24"/>
        </w:rPr>
        <w:t xml:space="preserve">, եթե դեղագրքային հոդվածում եւ (կամ) որակի վերաբերյալ նորմատիվ փաստաթղթում այլ ցուցումներ չկան, եւ 1 ժ </w:t>
      </w:r>
      <w:r w:rsidRPr="00DA21D0">
        <w:rPr>
          <w:rFonts w:ascii="Sylfaen" w:hAnsi="Sylfaen"/>
          <w:spacing w:val="-4"/>
          <w:sz w:val="24"/>
          <w:szCs w:val="24"/>
        </w:rPr>
        <w:t>ընթացքում ենթարկում են ազդեցության՝ օգտագործելով սկավառակներ։ Կարող է օգտագործվել pH 6,8-ով բուֆերացված լուծույթ՝ ավելացնելով պանկրեատինի փոշի (օրինակ</w:t>
      </w:r>
      <w:r w:rsidRPr="00DA21D0">
        <w:rPr>
          <w:rFonts w:ascii="Sylfaen" w:hAnsi="Sylfaen"/>
          <w:sz w:val="24"/>
          <w:szCs w:val="24"/>
        </w:rPr>
        <w:t xml:space="preserve">՝ 100 մլ բուֆերացված լուծույթին 0,35 գ </w:t>
      </w:r>
      <w:r w:rsidRPr="00DA21D0">
        <w:rPr>
          <w:rFonts w:ascii="Sylfaen" w:hAnsi="Sylfaen"/>
          <w:i/>
          <w:sz w:val="24"/>
          <w:szCs w:val="24"/>
        </w:rPr>
        <w:t>Ռ պանկրեատինի լուծույթ</w:t>
      </w:r>
      <w:r w:rsidRPr="00DA21D0">
        <w:rPr>
          <w:rFonts w:ascii="Sylfaen" w:hAnsi="Sylfaen"/>
          <w:sz w:val="24"/>
          <w:szCs w:val="24"/>
        </w:rPr>
        <w:t>)։</w:t>
      </w:r>
    </w:p>
    <w:p w14:paraId="4B60501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lastRenderedPageBreak/>
        <w:t>Եթե դեղակախույթները չեն անցել փորձարկումը սկավառակներին կպչելու պատճառով, ապա արդյունքները համարում են անվավեր։ Փորձարկումը կրկնում են հաջորդող</w:t>
      </w:r>
      <w:r w:rsidRPr="00DA21D0">
        <w:rPr>
          <w:rFonts w:ascii="Sylfaen" w:hAnsi="Sylfaen"/>
          <w:sz w:val="24"/>
          <w:szCs w:val="24"/>
        </w:rPr>
        <w:t xml:space="preserve"> 6 դեղապատիճների վրա՝ առանց սկավառակների։</w:t>
      </w:r>
    </w:p>
    <w:p w14:paraId="48EC75F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Ուղիղաղիքային եւ հեշտոցային դեղապատիճների փորձարկումն անցկացնում են </w:t>
      </w:r>
      <w:r w:rsidRPr="00DA21D0">
        <w:rPr>
          <w:rFonts w:ascii="Sylfaen" w:hAnsi="Sylfaen"/>
          <w:i/>
          <w:sz w:val="24"/>
          <w:szCs w:val="24"/>
        </w:rPr>
        <w:t>2.1.9.2. Դեղամոմիկների, հեշտոցային դեղահաբերի, ուղիղաղիքային եւ հեշտոցային դեղապատիճների տրոհելիությունը</w:t>
      </w:r>
      <w:r w:rsidRPr="00DA21D0">
        <w:rPr>
          <w:rFonts w:ascii="Sylfaen" w:hAnsi="Sylfaen"/>
          <w:sz w:val="24"/>
          <w:szCs w:val="24"/>
        </w:rPr>
        <w:t xml:space="preserve"> ընդհանուր դեղագրքային հոդվածին համապատասխան։ Այլ հիմնավորման բացակայության դեպքում հեշտոցային դեղապատիճները, որոնք նախատեսված չեն տեղային երկարատեւ ազդեցության համար, եւ ուղիղաղիքային դեղապատիճները, որոնք նախատեսված չեն մոդիֆիկացված ձերբազատման կամ տեղային երկարատեւ ազդեցության համար, պետք է տրոհվեն 30 ր ընթացքում։</w:t>
      </w:r>
    </w:p>
    <w:p w14:paraId="3275694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Լուծում. </w:t>
      </w:r>
      <w:r w:rsidRPr="00DA21D0">
        <w:rPr>
          <w:rFonts w:ascii="Sylfaen" w:hAnsi="Sylfaen"/>
          <w:sz w:val="24"/>
          <w:szCs w:val="24"/>
        </w:rPr>
        <w:t xml:space="preserve">Եթե այլ բան հիմնավորված չէ, ապա փորձարկումն անցկացնում են </w:t>
      </w:r>
      <w:r w:rsidRPr="00DA21D0">
        <w:rPr>
          <w:rFonts w:ascii="Sylfaen" w:hAnsi="Sylfaen"/>
          <w:i/>
          <w:sz w:val="24"/>
          <w:szCs w:val="24"/>
        </w:rPr>
        <w:t>2.1.9.3. Դեղաչափված պինդ դեղաձեւերի համար լուծվելու փորձարկումը</w:t>
      </w:r>
      <w:r w:rsidRPr="00DA21D0">
        <w:rPr>
          <w:rFonts w:ascii="Sylfaen" w:hAnsi="Sylfaen"/>
          <w:sz w:val="24"/>
          <w:szCs w:val="24"/>
        </w:rPr>
        <w:t xml:space="preserve"> ընդհանուր դեղագրքային հոդվածին համապատասխան։</w:t>
      </w:r>
    </w:p>
    <w:p w14:paraId="5D53C01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Եթե փորձարկումն անցկացնում են ըստ </w:t>
      </w:r>
      <w:r w:rsidRPr="00DA21D0">
        <w:rPr>
          <w:rFonts w:ascii="Sylfaen" w:hAnsi="Sylfaen"/>
          <w:i/>
          <w:sz w:val="24"/>
          <w:szCs w:val="24"/>
        </w:rPr>
        <w:t>Լուծումը</w:t>
      </w:r>
      <w:r w:rsidRPr="00DA21D0">
        <w:rPr>
          <w:rFonts w:ascii="Sylfaen" w:hAnsi="Sylfaen"/>
          <w:sz w:val="24"/>
          <w:szCs w:val="24"/>
        </w:rPr>
        <w:t xml:space="preserve"> ցուցանիշի, ապա ըստ </w:t>
      </w:r>
      <w:r w:rsidRPr="00DA21D0">
        <w:rPr>
          <w:rFonts w:ascii="Sylfaen" w:hAnsi="Sylfaen"/>
          <w:i/>
          <w:sz w:val="24"/>
          <w:szCs w:val="24"/>
        </w:rPr>
        <w:t>Տրոհելիությունը</w:t>
      </w:r>
      <w:r w:rsidRPr="00DA21D0">
        <w:rPr>
          <w:rFonts w:ascii="Sylfaen" w:hAnsi="Sylfaen"/>
          <w:sz w:val="24"/>
          <w:szCs w:val="24"/>
        </w:rPr>
        <w:t xml:space="preserve"> ցուցանիշի փորձարկումը թույլատրվում է չանցկացնել։</w:t>
      </w:r>
    </w:p>
    <w:p w14:paraId="70FE597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 Դեղաչափված միավորների միատարրություն</w:t>
      </w:r>
      <w:r w:rsidRPr="008D6E8B">
        <w:rPr>
          <w:rFonts w:ascii="Sylfaen" w:hAnsi="Sylfaen"/>
          <w:spacing w:val="-4"/>
          <w:sz w:val="24"/>
          <w:szCs w:val="24"/>
        </w:rPr>
        <w:t xml:space="preserve"> ընդհանուր դեղագրքային</w:t>
      </w:r>
      <w:r w:rsidRPr="00DA21D0">
        <w:rPr>
          <w:rFonts w:ascii="Sylfaen" w:hAnsi="Sylfaen"/>
          <w:sz w:val="24"/>
          <w:szCs w:val="24"/>
        </w:rPr>
        <w:t xml:space="preserve"> հոդվածին</w:t>
      </w:r>
      <w:r w:rsidRPr="00DA21D0">
        <w:rPr>
          <w:rFonts w:ascii="Sylfaen" w:hAnsi="Sylfaen"/>
          <w:i/>
          <w:sz w:val="24"/>
          <w:szCs w:val="24"/>
        </w:rPr>
        <w:t xml:space="preserve"> համապատասխան։</w:t>
      </w:r>
    </w:p>
    <w:p w14:paraId="68BB6C9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միատարրությունը.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2.1.9.5. Դեղաչափված դեղապատրաստուկի միավորի զանգվածի միատարրությունը</w:t>
      </w:r>
      <w:r w:rsidRPr="00DA21D0">
        <w:rPr>
          <w:rFonts w:ascii="Sylfaen" w:hAnsi="Sylfaen"/>
          <w:sz w:val="24"/>
          <w:szCs w:val="24"/>
        </w:rPr>
        <w:t xml:space="preserve"> ընդհանուր դեղագրքային հոդվածին համապատասխան։</w:t>
      </w:r>
    </w:p>
    <w:p w14:paraId="7941E3F3" w14:textId="77777777" w:rsidR="00134BE9" w:rsidRPr="00DA21D0" w:rsidRDefault="00134BE9" w:rsidP="00134BE9">
      <w:pPr>
        <w:spacing w:after="160" w:line="360" w:lineRule="auto"/>
        <w:ind w:firstLine="567"/>
        <w:jc w:val="both"/>
      </w:pPr>
      <w:r w:rsidRPr="00DA21D0">
        <w:t>Փորձարկումը չեն կիրառում այն դեպքում, երբ նախատեսված է դեղաչափված միավորների միատարրության փորձարկում՝ բոլոր ազդող նյութերի համար։</w:t>
      </w:r>
    </w:p>
    <w:p w14:paraId="6FD2CE38" w14:textId="77777777" w:rsidR="00134BE9" w:rsidRPr="00DA21D0" w:rsidRDefault="00134BE9" w:rsidP="00134BE9">
      <w:pPr>
        <w:pStyle w:val="a0"/>
        <w:shd w:val="clear" w:color="auto" w:fill="auto"/>
        <w:spacing w:after="160" w:line="360" w:lineRule="auto"/>
        <w:ind w:firstLine="567"/>
        <w:jc w:val="both"/>
        <w:rPr>
          <w:rFonts w:ascii="Sylfaen" w:hAnsi="Sylfaen"/>
          <w:b/>
          <w:sz w:val="24"/>
          <w:szCs w:val="24"/>
        </w:rPr>
      </w:pPr>
    </w:p>
    <w:p w14:paraId="053E3EBF" w14:textId="77777777" w:rsidR="00DA21D0" w:rsidRDefault="00DA21D0">
      <w:pPr>
        <w:rPr>
          <w:rFonts w:eastAsia="Times New Roman" w:cs="Times New Roman"/>
          <w:b/>
          <w:color w:val="auto"/>
          <w:sz w:val="20"/>
        </w:rPr>
      </w:pPr>
      <w:r>
        <w:rPr>
          <w:b/>
        </w:rPr>
        <w:br w:type="page"/>
      </w:r>
    </w:p>
    <w:p w14:paraId="3FF9D75D"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lastRenderedPageBreak/>
        <w:t>205010011-2022</w:t>
      </w:r>
    </w:p>
    <w:p w14:paraId="6EC7EA8A"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067DB595" w14:textId="77777777" w:rsidR="00134BE9" w:rsidRPr="003A4194" w:rsidRDefault="00134BE9" w:rsidP="00DA21D0">
      <w:pPr>
        <w:pStyle w:val="a0"/>
        <w:shd w:val="clear" w:color="auto" w:fill="auto"/>
        <w:tabs>
          <w:tab w:val="left" w:pos="1701"/>
          <w:tab w:val="left" w:pos="8098"/>
        </w:tabs>
        <w:spacing w:after="160" w:line="360" w:lineRule="auto"/>
        <w:ind w:firstLine="567"/>
        <w:rPr>
          <w:rFonts w:ascii="Sylfaen" w:hAnsi="Sylfaen" w:cs="Sylfaen"/>
          <w:sz w:val="24"/>
          <w:szCs w:val="24"/>
        </w:rPr>
      </w:pPr>
      <w:r w:rsidRPr="00DA21D0">
        <w:rPr>
          <w:rFonts w:ascii="Sylfaen" w:hAnsi="Sylfaen"/>
          <w:b/>
          <w:sz w:val="24"/>
          <w:szCs w:val="24"/>
        </w:rPr>
        <w:t>2.5.1.11.</w:t>
      </w:r>
      <w:r w:rsidRPr="00DA21D0">
        <w:rPr>
          <w:rFonts w:ascii="Sylfaen" w:hAnsi="Sylfaen"/>
          <w:b/>
          <w:sz w:val="24"/>
          <w:szCs w:val="24"/>
        </w:rPr>
        <w:tab/>
        <w:t>Մատիտներ դեղագործական</w:t>
      </w:r>
    </w:p>
    <w:p w14:paraId="1FABDBF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Մատիտներ դեղագործական՝ պինդ դեղաձեւ կլորացված ծայրով գլանաձեւ կամ կոնաձեւ մատիտի տեսքով, որը նախատեսված է արտաքին կիրառման համար՝ տեղային ազդեցություն գործելու նպատակով, եւ բաղկացած է միայն ազդող նյութերից (մեկ կամ մի քանի) կամ ներկայացված է համապատասխան հիմքով, որում հավասարաչափ բաշխված են ազդող նյութերը։</w:t>
      </w:r>
    </w:p>
    <w:p w14:paraId="1F21529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Դեղագործական մատիտների զանգվածը, որպես կանոն, գտնվում է 0,5 գ-ից մինչեւ 10,0 գ-ի սահմաններում</w:t>
      </w:r>
      <w:r w:rsidRPr="00DA21D0">
        <w:rPr>
          <w:rFonts w:ascii="Sylfaen" w:hAnsi="Sylfaen"/>
          <w:sz w:val="24"/>
          <w:szCs w:val="24"/>
        </w:rPr>
        <w:t>։</w:t>
      </w:r>
    </w:p>
    <w:p w14:paraId="5C6B355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17EB12F2"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30427F7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մատիտները կարող են ստանալ կաղապարների մեջ լցման, մամլման, ընկղմման մեթոդներով։</w:t>
      </w:r>
    </w:p>
    <w:p w14:paraId="021FEE5E"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Ակտիվ դեղագործական բաղադրամասերը, պայմանավորված հատկությամբ, հիմքում կարող են ներմուծվել լուծույթի, էմուլսիայի կամ դեղակախույթի տեսքով։</w:t>
      </w:r>
    </w:p>
    <w:p w14:paraId="1E08373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Կաղապարների մեջ լցնելը կարող է օգտագործվել տարբեր հիմնանյութեր պարունակող դեղագործական մատիտների արտադրման համար։</w:t>
      </w:r>
    </w:p>
    <w:p w14:paraId="3C3BBD4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Մամլման մեթոդը կարող է օգտագործվել միայն բավարար ճկունություն ունեցող զանգվածներից դեղագործական մատիտներ արտադրելու համար։</w:t>
      </w:r>
    </w:p>
    <w:p w14:paraId="5AD964B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Ընկղմման մեթոդն ակտիվ դեղագործական բաղադրամասերը եւ օժանդակ նյութերը հալեցրած հիմնանյութի մեջ ընկղմելն է՝ այդ նպատակների համար օգտագործելով հատուկ կաղապարներ։</w:t>
      </w:r>
    </w:p>
    <w:p w14:paraId="60FADB50"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մատիտների հիմքը պետք է ապահովի դեղապատրաստուկի որոշակի ձեւ եւ բավարար կարծրություն (ամրություն)՝ օգտագործելիս սեղմմանը դիմադրելու համար, բայց նաեւ պետք է ապահովի ազդող նյութի/նյութերի </w:t>
      </w:r>
      <w:r w:rsidRPr="00DA21D0">
        <w:rPr>
          <w:rFonts w:ascii="Sylfaen" w:hAnsi="Sylfaen"/>
          <w:sz w:val="24"/>
          <w:szCs w:val="24"/>
        </w:rPr>
        <w:lastRenderedPageBreak/>
        <w:t>օպտիմալ ձերբազատումը, դեղագործական մատիտի հեշտ քսելը մաշկին։ Դեղագործական մատիտների մակերեսը դրանց բժշկական կիրառման ժամանակ, այսինքն՝ մաշկին քսելիս, պետք է աստիճանաբար ջնջվի՝ առանց մաշկը վնասելու եւ դրան վնասվածքներ պատճառելու։</w:t>
      </w:r>
    </w:p>
    <w:p w14:paraId="12BC636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Որպես օժանդակ նյութեր բժշկական մատիտների արտադրման ժամանակ օգտագործում են ձեւագոյացնող նյութեր, պլաստիկացնող հավելումներ, նյութեր, որոնք բարելավում են ազդող նյութերի կենսամատչելիությունը դեղաձեւում եւ բժշկական կիրառման համար թույլատրված այլ օժանդակ նյութեր։</w:t>
      </w:r>
    </w:p>
    <w:p w14:paraId="603F44DB"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Մատիտներ դեղագործական</w:t>
      </w:r>
      <w:r w:rsidRPr="00DA21D0">
        <w:rPr>
          <w:rFonts w:ascii="Sylfaen" w:hAnsi="Sylfaen"/>
          <w:sz w:val="24"/>
          <w:szCs w:val="24"/>
        </w:rPr>
        <w:t xml:space="preserve"> դեղաձեւի տեսքով դեղապատրաստուկների արտադրության ժամանակ պետք է ձեռնարկվեն դրանց մանրէաբանական մաքրությունն ապահովող միջոցներ։</w:t>
      </w:r>
    </w:p>
    <w:p w14:paraId="764173DA"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48065A6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36C7AE30"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մատիտները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փորձարկումները։</w:t>
      </w:r>
    </w:p>
    <w:p w14:paraId="25722FD2"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Դեղագործական մատիտները բնութագրում են՝ նշելով արտաքին տեսքը (ձեւը, երկրաչափական չափերը՝ միլիմետրերով), զգայորոշման (գույն, հոտ) եւ մյուս հատկությունները՝ մասնավոր դեղագրքային հոդվածի կամ որակի վերաբերյալ նորմատիվ փաստաթղթի պահանջներին համապատասխան։</w:t>
      </w:r>
    </w:p>
    <w:p w14:paraId="28A15099"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մատիտները կարող են լինել գլանաձեւ ձողիկների կամ գնդաձեւ կոների տեսքով՝ մի ծայրից կլոր սրված։</w:t>
      </w:r>
    </w:p>
    <w:p w14:paraId="4F9DD818" w14:textId="77777777" w:rsidR="00134BE9" w:rsidRPr="003A4194" w:rsidRDefault="00134BE9" w:rsidP="00DA21D0">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Դեղագործական մատիտների մակերեսը պետք է լինի հավասար, հարթ, միատարր, եթե այլ բան նշված չէ մասնավոր դեղագրքային հոդվածում կամ որակի վերաբերյալ նորմատիվ փաստաթղթում։</w:t>
      </w:r>
    </w:p>
    <w:p w14:paraId="7577FABD" w14:textId="77777777" w:rsidR="00DA21D0" w:rsidRPr="003A4194" w:rsidRDefault="00DA21D0" w:rsidP="00DA21D0">
      <w:pPr>
        <w:pStyle w:val="a0"/>
        <w:shd w:val="clear" w:color="auto" w:fill="auto"/>
        <w:spacing w:after="160" w:line="360" w:lineRule="auto"/>
        <w:ind w:firstLine="567"/>
        <w:jc w:val="both"/>
        <w:rPr>
          <w:rFonts w:ascii="Sylfaen" w:hAnsi="Sylfaen" w:cs="Sylfaen"/>
          <w:sz w:val="24"/>
          <w:szCs w:val="24"/>
        </w:rPr>
      </w:pPr>
    </w:p>
    <w:p w14:paraId="16DB25B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Մասնիկների չափը. </w:t>
      </w:r>
      <w:r w:rsidRPr="00DA21D0">
        <w:rPr>
          <w:rFonts w:ascii="Sylfaen" w:hAnsi="Sylfaen"/>
          <w:sz w:val="24"/>
          <w:szCs w:val="24"/>
        </w:rPr>
        <w:t xml:space="preserve">Փորձարկումն անցկացնում են պինդ դիսպերս ֆազի (տարասեռ համակարգերի) տեսքով բաղադրիչներ պարունակող դեղագործական մատիտների համար։ Որոշումն անցկացնում են օպտիկական մանրադիտման մեթոդով՝ </w:t>
      </w:r>
      <w:r w:rsidRPr="00DA21D0">
        <w:rPr>
          <w:rFonts w:ascii="Sylfaen" w:hAnsi="Sylfaen"/>
          <w:i/>
          <w:sz w:val="24"/>
          <w:szCs w:val="24"/>
        </w:rPr>
        <w:t>2.1.9.13. Օպտիկական մանրադիտում</w:t>
      </w:r>
      <w:r w:rsidRPr="00DA21D0">
        <w:rPr>
          <w:rFonts w:ascii="Sylfaen" w:hAnsi="Sylfaen"/>
          <w:sz w:val="24"/>
          <w:szCs w:val="24"/>
        </w:rPr>
        <w:t xml:space="preserve"> ընդհանուր դեղագրքային հոդվածին համապատասխան: Ընդհանուր դեղագրքային հոդվածում կամ որակի վերաբերյալ նորմատիվ փաստաթղթում այլ ցուցումների բացակայության դեպքում մասնիկների չափը պետք է լինի ոչ ավելի, քան 100 մկմ։</w:t>
      </w:r>
    </w:p>
    <w:p w14:paraId="7041A2A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210AF3EF"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205010012-2022</w:t>
      </w:r>
    </w:p>
    <w:p w14:paraId="3C3CE214"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06B9F355" w14:textId="77777777" w:rsidR="00134BE9" w:rsidRPr="00DA21D0" w:rsidRDefault="00134BE9" w:rsidP="00DA21D0">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2.5.1.12.</w:t>
      </w:r>
      <w:r w:rsidRPr="00DA21D0">
        <w:rPr>
          <w:rFonts w:ascii="Sylfaen" w:hAnsi="Sylfaen"/>
          <w:b/>
          <w:sz w:val="24"/>
          <w:szCs w:val="24"/>
        </w:rPr>
        <w:tab/>
        <w:t>Խտանյութեր.</w:t>
      </w:r>
    </w:p>
    <w:p w14:paraId="26B8C41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Սույն ընդհանուր դեղագրքային հոդվածի պահանջները չեն տարածվում լուծամզվածք-խտանյութերի վրա։</w:t>
      </w:r>
    </w:p>
    <w:p w14:paraId="194799BF" w14:textId="77777777" w:rsidR="00134BE9" w:rsidRPr="00DA21D0" w:rsidRDefault="00134BE9" w:rsidP="00DA21D0">
      <w:pPr>
        <w:tabs>
          <w:tab w:val="left" w:pos="2568"/>
        </w:tabs>
        <w:spacing w:after="160" w:line="360" w:lineRule="auto"/>
        <w:ind w:firstLine="567"/>
        <w:jc w:val="both"/>
        <w:rPr>
          <w:i/>
          <w:iCs/>
        </w:rPr>
      </w:pPr>
      <w:r w:rsidRPr="00DA21D0">
        <w:t xml:space="preserve">Լուծամզվածք-խտանյութերը պետք է համապատասխանեն </w:t>
      </w:r>
      <w:r w:rsidRPr="00DA21D0">
        <w:rPr>
          <w:i/>
        </w:rPr>
        <w:t>2.5.1.37</w:t>
      </w:r>
      <w:r w:rsidRPr="00DA21D0">
        <w:t xml:space="preserve">. </w:t>
      </w:r>
      <w:r w:rsidRPr="00DA21D0">
        <w:rPr>
          <w:i/>
        </w:rPr>
        <w:t>Լուծամզվածքներ</w:t>
      </w:r>
      <w:r w:rsidRPr="00DA21D0">
        <w:t xml:space="preserve"> ընդհանուր դեղագրքային հոդվածին։</w:t>
      </w:r>
    </w:p>
    <w:p w14:paraId="6AE203B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«Խտանյութեր»՝ հեղուկ դեղաձեւ, որը նախատեսված է մինչեւ պահանջվող խտությունը համապատասխան լուծիչի մեջ նոսրացնելուց հետո կիրառելու համար։</w:t>
      </w:r>
    </w:p>
    <w:p w14:paraId="7BB62AD8"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Խտանյութերը կարող են պարունակել մեկ կամ մի քանի ազդող նյութեր՝ օժանդակ նյութերի ավելացմամբ կամ առանց ավելացման։</w:t>
      </w:r>
    </w:p>
    <w:p w14:paraId="1696A1DF"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Խտանյութերն օգտագործում են մյուս դեղաձեւերն ստանալու համար.</w:t>
      </w:r>
    </w:p>
    <w:p w14:paraId="2BCCB62A" w14:textId="77777777" w:rsidR="00134BE9" w:rsidRPr="00DA21D0" w:rsidRDefault="00134BE9" w:rsidP="00DA21D0">
      <w:pPr>
        <w:pStyle w:val="a0"/>
        <w:shd w:val="clear" w:color="auto" w:fill="auto"/>
        <w:tabs>
          <w:tab w:val="left" w:pos="1134"/>
        </w:tabs>
        <w:spacing w:after="160" w:line="360" w:lineRule="auto"/>
        <w:ind w:firstLine="567"/>
        <w:jc w:val="both"/>
        <w:rPr>
          <w:rFonts w:ascii="Sylfaen" w:hAnsi="Sylfaen" w:cs="Sylfaen"/>
          <w:sz w:val="24"/>
          <w:szCs w:val="24"/>
        </w:rPr>
      </w:pPr>
      <w:r w:rsidRPr="00DA21D0">
        <w:rPr>
          <w:rFonts w:ascii="Sylfaen" w:hAnsi="Sylfaen"/>
          <w:i/>
          <w:sz w:val="24"/>
          <w:szCs w:val="24"/>
        </w:rPr>
        <w:t>-</w:t>
      </w:r>
      <w:r w:rsidRPr="00DA21D0">
        <w:rPr>
          <w:rFonts w:ascii="Sylfaen" w:hAnsi="Sylfaen"/>
          <w:i/>
          <w:sz w:val="24"/>
          <w:szCs w:val="24"/>
        </w:rPr>
        <w:tab/>
        <w:t>լուծույթի պատրաստման խտանյութ՝</w:t>
      </w:r>
      <w:r w:rsidRPr="00DA21D0">
        <w:rPr>
          <w:rFonts w:ascii="Sylfaen" w:hAnsi="Sylfaen"/>
          <w:sz w:val="24"/>
          <w:szCs w:val="24"/>
        </w:rPr>
        <w:t xml:space="preserve"> լուծույթ ստանալու համար նախատեսված խտանյութ.</w:t>
      </w:r>
    </w:p>
    <w:p w14:paraId="67752E0A" w14:textId="77777777" w:rsidR="00134BE9" w:rsidRPr="003A4194" w:rsidRDefault="00134BE9" w:rsidP="00DA21D0">
      <w:pPr>
        <w:pStyle w:val="a0"/>
        <w:shd w:val="clear" w:color="auto" w:fill="auto"/>
        <w:tabs>
          <w:tab w:val="left" w:pos="1134"/>
        </w:tabs>
        <w:spacing w:after="160" w:line="360" w:lineRule="auto"/>
        <w:ind w:firstLine="567"/>
        <w:jc w:val="both"/>
        <w:rPr>
          <w:rFonts w:ascii="Sylfaen" w:hAnsi="Sylfaen"/>
          <w:sz w:val="24"/>
          <w:szCs w:val="24"/>
        </w:rPr>
      </w:pPr>
      <w:r w:rsidRPr="00DA21D0">
        <w:rPr>
          <w:rFonts w:ascii="Sylfaen" w:hAnsi="Sylfaen"/>
          <w:i/>
          <w:sz w:val="24"/>
          <w:szCs w:val="24"/>
        </w:rPr>
        <w:t>-</w:t>
      </w:r>
      <w:r w:rsidRPr="00DA21D0">
        <w:rPr>
          <w:rFonts w:ascii="Sylfaen" w:hAnsi="Sylfaen"/>
          <w:i/>
          <w:sz w:val="24"/>
          <w:szCs w:val="24"/>
        </w:rPr>
        <w:tab/>
        <w:t>դեղակախույթի պատրաստման խտանյութ՝</w:t>
      </w:r>
      <w:r w:rsidRPr="00DA21D0">
        <w:rPr>
          <w:rFonts w:ascii="Sylfaen" w:hAnsi="Sylfaen"/>
          <w:sz w:val="24"/>
          <w:szCs w:val="24"/>
        </w:rPr>
        <w:t xml:space="preserve"> դեղակախույթ, այդ թվում միկրոտարասեռ դեղակախույթ ստանալու համար նախատեսված խտանյութ.</w:t>
      </w:r>
    </w:p>
    <w:p w14:paraId="15742C19" w14:textId="77777777" w:rsidR="00DA21D0" w:rsidRPr="003A4194" w:rsidRDefault="00DA21D0" w:rsidP="00DA21D0">
      <w:pPr>
        <w:pStyle w:val="a0"/>
        <w:shd w:val="clear" w:color="auto" w:fill="auto"/>
        <w:tabs>
          <w:tab w:val="left" w:pos="1134"/>
        </w:tabs>
        <w:spacing w:after="160" w:line="360" w:lineRule="auto"/>
        <w:ind w:firstLine="567"/>
        <w:jc w:val="both"/>
        <w:rPr>
          <w:rFonts w:ascii="Sylfaen" w:hAnsi="Sylfaen" w:cs="Sylfaen"/>
          <w:sz w:val="24"/>
          <w:szCs w:val="24"/>
        </w:rPr>
      </w:pPr>
    </w:p>
    <w:p w14:paraId="24CC753A" w14:textId="77777777" w:rsidR="00134BE9" w:rsidRPr="00DA21D0" w:rsidRDefault="00134BE9" w:rsidP="00DA21D0">
      <w:pPr>
        <w:pStyle w:val="a0"/>
        <w:shd w:val="clear" w:color="auto" w:fill="auto"/>
        <w:tabs>
          <w:tab w:val="left" w:pos="1134"/>
        </w:tabs>
        <w:spacing w:after="160" w:line="360" w:lineRule="auto"/>
        <w:ind w:firstLine="567"/>
        <w:jc w:val="both"/>
        <w:rPr>
          <w:rFonts w:ascii="Sylfaen" w:hAnsi="Sylfaen" w:cs="Sylfaen"/>
          <w:sz w:val="24"/>
          <w:szCs w:val="24"/>
        </w:rPr>
      </w:pPr>
      <w:r w:rsidRPr="00DA21D0">
        <w:rPr>
          <w:rFonts w:ascii="Sylfaen" w:hAnsi="Sylfaen"/>
          <w:i/>
          <w:sz w:val="24"/>
          <w:szCs w:val="24"/>
        </w:rPr>
        <w:lastRenderedPageBreak/>
        <w:t>-</w:t>
      </w:r>
      <w:r w:rsidRPr="00DA21D0">
        <w:rPr>
          <w:rFonts w:ascii="Sylfaen" w:hAnsi="Sylfaen"/>
          <w:i/>
          <w:sz w:val="24"/>
          <w:szCs w:val="24"/>
        </w:rPr>
        <w:tab/>
        <w:t>էմուլսիայի պատրաստման խտանյութ՝</w:t>
      </w:r>
      <w:r w:rsidRPr="00DA21D0">
        <w:rPr>
          <w:rFonts w:ascii="Sylfaen" w:hAnsi="Sylfaen"/>
          <w:sz w:val="24"/>
          <w:szCs w:val="24"/>
        </w:rPr>
        <w:t xml:space="preserve"> էմուլսիա, այդ թվում միկրոտարասեռ էմուլսիա ստանալու համար նախատեսված խտանյութ։</w:t>
      </w:r>
    </w:p>
    <w:p w14:paraId="52BA0A1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Դեղաձեւերի պատրաստման համար նախատեսված խտանյութերից ստացված դեղաձեւերը, ըստ ներմուծման ուղու եւ կիրառման եղանակի, օգտագործում են ներքին ընդունման համար, արտաքին կիրառման համար, տեղային կիրառման համար, հարմարսողական կիրառման համար։ Ստացված դեղաձեւի (նոսրացված դեղաձեւի) նկարագրման համար օգտագործում են «Խտանյութ՝ հետեւյալի պատրաստման համար...» եզրույթը՝ նշելով ստացվող դեղաձեւի անվանումը եւ դրա ներմուծման ուղին (կիրառման եղանակը), օրինակ՝ «խտանյութ՝ կաթիլաներարկումների լուծույթի պատրաստման համար», «խտանյութ՝ արտաքին կիրառման էմուլսիա պատրաստելու համար» եւ այլն։</w:t>
      </w:r>
    </w:p>
    <w:p w14:paraId="4622BE6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Խտանյութերը կարող են թողարկվել ինչպես դեղաչափված, այդպես էլ չդեղաչափված դեղաձեւի տեսքով։</w:t>
      </w:r>
    </w:p>
    <w:p w14:paraId="3DEFFE7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3B00FA49"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2F8E9611"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Խտանյութերն ստանում են համապատասխան լուծիչում կամ լուծիչների խառնուրդում ակտիվ դեղագործական բաղադրամասերի եւ օժանդակ նյութերի լուծմամբ։</w:t>
      </w:r>
    </w:p>
    <w:p w14:paraId="0C1FD1F6" w14:textId="77777777" w:rsidR="00134BE9" w:rsidRPr="00DA21D0" w:rsidRDefault="00134BE9" w:rsidP="00134BE9">
      <w:pPr>
        <w:pStyle w:val="a0"/>
        <w:shd w:val="clear" w:color="auto" w:fill="auto"/>
        <w:spacing w:after="160" w:line="360" w:lineRule="auto"/>
        <w:ind w:firstLine="567"/>
        <w:jc w:val="both"/>
        <w:rPr>
          <w:rFonts w:ascii="Sylfaen" w:hAnsi="Sylfaen" w:cs="Sylfaen"/>
          <w:spacing w:val="-6"/>
          <w:sz w:val="24"/>
          <w:szCs w:val="24"/>
        </w:rPr>
      </w:pPr>
      <w:r w:rsidRPr="00DA21D0">
        <w:rPr>
          <w:rFonts w:ascii="Sylfaen" w:hAnsi="Sylfaen"/>
          <w:spacing w:val="-6"/>
          <w:sz w:val="24"/>
          <w:szCs w:val="24"/>
        </w:rPr>
        <w:t>Ջրային լուծույթների պատրաստման համար խտանյութեր ստանալիս որպես հիմնական լուծիչներ օգտագործում են մաքրված ջուրը կամ ներարկումների համար ջուրը։ Անջուր լուծույթների պատրաստման համար խտանյութեր ստանալիս որպես լուծիչներ օգտագործում են էթանոլը, ճարպային յուղերը եւ այլն։</w:t>
      </w:r>
    </w:p>
    <w:p w14:paraId="3BC67E4B" w14:textId="77777777" w:rsidR="00134BE9" w:rsidRPr="003A4194"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Դեղաձեւերի պատրաստման համար նախատեսված խտանյութերից հետագայում դեղաձեւեր ստանալիս խտանյութը, որպես կանոն, նոսրացնում են պահանջվող կոնցենտրացիայի այն լուծիչով, որը օգտագործվել է խտանյութ ստանալիս։</w:t>
      </w:r>
    </w:p>
    <w:p w14:paraId="48E7D85D" w14:textId="77777777" w:rsidR="00DA21D0" w:rsidRPr="003A4194" w:rsidRDefault="00DA21D0" w:rsidP="00134BE9">
      <w:pPr>
        <w:pStyle w:val="a0"/>
        <w:shd w:val="clear" w:color="auto" w:fill="auto"/>
        <w:spacing w:after="160" w:line="360" w:lineRule="auto"/>
        <w:ind w:firstLine="567"/>
        <w:jc w:val="both"/>
        <w:rPr>
          <w:rFonts w:ascii="Sylfaen" w:hAnsi="Sylfaen" w:cs="Sylfaen"/>
          <w:sz w:val="24"/>
          <w:szCs w:val="24"/>
        </w:rPr>
      </w:pPr>
    </w:p>
    <w:p w14:paraId="01644ED1"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lastRenderedPageBreak/>
        <w:t>Խտանյութեր ստանալիս օգտագործվող ակտիվ դեղագործական բաղադրամասերը կարող են լինել հիգրոսկոպիկ, հողմահարվող կամ նյութի բյուրեղացված ջրի զգալի քանակություն պարունակող։</w:t>
      </w:r>
    </w:p>
    <w:p w14:paraId="0030520A"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Խտանյութեր ստանալիս անհրաժեշտ է խուսափել լուծված նյութի/նյութերի՝ հագեցված կոնցենտրացիաներին մոտ կոնցենտրացիաներից, քանի որ ջերմաստիճանի նվազեցման պայմաններում հնարավոր է դրանց բյուրեղացումը։</w:t>
      </w:r>
    </w:p>
    <w:p w14:paraId="58C80041"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Խտանյութեր ստանալիս որպես օժանդակ նյութեր օգտագործում են կայունացուցիչներ, սոլյուբիլիզատորներ, հակաօքսիդիչներ, պլաստիկացնողներ եւ բժշկական կիրառման համար թույլատրված այլ նյութեր։</w:t>
      </w:r>
    </w:p>
    <w:p w14:paraId="0BBEB2EA"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Էքստեմպորալ պատրաստման խտացրած լուծույթները, որպես կանոն, պատրաստում են զանգվածածավալային եղանակով ասեպտիկ պայմաններում՝ օգտագործելով թարմ ստացված մաքրված ջուրը, եթե դեղատնային կազմակերպությունների կողմից դեղապատրաստուկների պատրաստման վերաբերյալ գործող պահանջներում այլ բան նշված չէ։</w:t>
      </w:r>
    </w:p>
    <w:p w14:paraId="2DE27B4C"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Խտանյութեր</w:t>
      </w:r>
      <w:r w:rsidRPr="00DA21D0">
        <w:rPr>
          <w:rFonts w:ascii="Sylfaen" w:hAnsi="Sylfaen"/>
          <w:sz w:val="24"/>
          <w:szCs w:val="24"/>
        </w:rPr>
        <w:t xml:space="preserve"> դեղաձեւով դեղապատրաստուկներ ստանալիս պետք է ձեռնարկվեն դրանց մանրէաբանական մաքրությունն ապահովող միջոցներ, սահմանված դեպքերում, օրինակ՝ կաթիլաներարկումների լուծույթների պատրաստման համար խտանյութեր եւ այլն արտադրելիս պետք է ձեռնարկվեն դրանց մանրէազերծությունն ապահովող միջոցներ։</w:t>
      </w:r>
    </w:p>
    <w:p w14:paraId="64A0E69A" w14:textId="77777777" w:rsidR="00DA21D0" w:rsidRPr="003A4194" w:rsidRDefault="00DA21D0" w:rsidP="00DA21D0">
      <w:pPr>
        <w:pStyle w:val="a0"/>
        <w:shd w:val="clear" w:color="auto" w:fill="auto"/>
        <w:spacing w:after="160" w:line="346" w:lineRule="auto"/>
        <w:ind w:firstLine="567"/>
        <w:rPr>
          <w:rFonts w:ascii="Sylfaen" w:hAnsi="Sylfaen"/>
          <w:b/>
          <w:sz w:val="24"/>
          <w:szCs w:val="24"/>
        </w:rPr>
      </w:pPr>
    </w:p>
    <w:p w14:paraId="0BBB938A"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ՓՈՐՁԱՐԿՈՒՄՆԵՐԸ</w:t>
      </w:r>
    </w:p>
    <w:p w14:paraId="3617D6B2"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Խտանյութերը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հոդվածին եւ անցնեն տվյալ դեղաձեւին բնորոշ հաջորդող փորձարկումները։</w:t>
      </w:r>
    </w:p>
    <w:p w14:paraId="4B944208"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Դեղաձեւերի պատրաստման համար նախատեսված խտանյութերի օգտագործմամբ ստացված՝ նոսրացված դեղաձեւերը պետք է համապատասխանեն ստացված նոսրացված դեղաձեւերի որակը կանոնակարգող ընդհանուր դեղագրքային հոդվածների պահանջներին։</w:t>
      </w:r>
    </w:p>
    <w:p w14:paraId="11B5FEC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Նկարագրությունը. </w:t>
      </w:r>
      <w:r w:rsidRPr="00DA21D0">
        <w:rPr>
          <w:rFonts w:ascii="Sylfaen" w:hAnsi="Sylfaen"/>
          <w:sz w:val="24"/>
          <w:szCs w:val="24"/>
        </w:rPr>
        <w:t>Խտանյութերը բնութագրում են՝ նշելով արտաքին տեսքը (թափանցիկությունը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0DFCECC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Թափանցիկությունը. </w:t>
      </w:r>
      <w:r w:rsidRPr="00DA21D0">
        <w:rPr>
          <w:rFonts w:ascii="Sylfaen" w:hAnsi="Sylfaen"/>
          <w:sz w:val="24"/>
          <w:szCs w:val="24"/>
        </w:rPr>
        <w:t xml:space="preserve">Փորձարկումն անցկացնում են ջրային լուծույթների պատրաստման համար նախատեսված խտանյութերի համար՝ </w:t>
      </w:r>
      <w:r w:rsidRPr="00DA21D0">
        <w:rPr>
          <w:rFonts w:ascii="Sylfaen" w:hAnsi="Sylfaen"/>
          <w:i/>
          <w:sz w:val="24"/>
          <w:szCs w:val="24"/>
        </w:rPr>
        <w:t>2.1.2.1. Հեղուկների թափանցիկությունը եւ օպալեսցենտման աստիճանը</w:t>
      </w:r>
      <w:r w:rsidRPr="00DA21D0">
        <w:rPr>
          <w:rFonts w:ascii="Sylfaen" w:hAnsi="Sylfaen"/>
          <w:sz w:val="24"/>
          <w:szCs w:val="24"/>
        </w:rPr>
        <w:t xml:space="preserve"> ընդհանուր դեղագրքային հոդվածին համապատասխան, մնացած խտանյութերի համար՝ եթե նշված է մասնավոր դեղագրքային հոդվածում եւ (կամ) որակի վերաբերյալ նորմատիվ փաստաթղթում։</w:t>
      </w:r>
    </w:p>
    <w:p w14:paraId="3B14036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Գունավորությունը. </w:t>
      </w:r>
      <w:r w:rsidRPr="00DA21D0">
        <w:rPr>
          <w:rFonts w:ascii="Sylfaen" w:hAnsi="Sylfaen"/>
          <w:sz w:val="24"/>
          <w:szCs w:val="24"/>
        </w:rPr>
        <w:t xml:space="preserve">Փորձարկումն անցկացնում են ջրային լուծույթների պատրաստման համար նախատեսված խտանյութերի համար՝ </w:t>
      </w:r>
      <w:r w:rsidRPr="00DA21D0">
        <w:rPr>
          <w:rFonts w:ascii="Sylfaen" w:hAnsi="Sylfaen"/>
          <w:i/>
          <w:sz w:val="24"/>
          <w:szCs w:val="24"/>
        </w:rPr>
        <w:t>2.1.2.2. Հեղուկների գունավորումը եւ գունավորման ինտենսիվությունը</w:t>
      </w:r>
      <w:r w:rsidRPr="00DA21D0">
        <w:rPr>
          <w:rFonts w:ascii="Sylfaen" w:hAnsi="Sylfaen"/>
          <w:sz w:val="24"/>
          <w:szCs w:val="24"/>
        </w:rPr>
        <w:t xml:space="preserve"> ընդհանուր դեղագրքային հոդվածին համապատասխան, մնացած խտանյութերի համար՝ եթե նշված է մասնավոր դեղագրքային հոդվածում եւ (կամ) որակի վերաբերյալ նորմատիվ փաստաթղթում։</w:t>
      </w:r>
    </w:p>
    <w:p w14:paraId="09D45FD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pH-ը. </w:t>
      </w:r>
      <w:r w:rsidRPr="00DA21D0">
        <w:rPr>
          <w:rFonts w:ascii="Sylfaen" w:hAnsi="Sylfaen"/>
          <w:sz w:val="24"/>
          <w:szCs w:val="24"/>
        </w:rPr>
        <w:t xml:space="preserve">Փորձարկումն անցկացնում են ջրային լուծույթների պատրաստման </w:t>
      </w:r>
      <w:r w:rsidRPr="00DA21D0">
        <w:rPr>
          <w:rFonts w:ascii="Sylfaen" w:hAnsi="Sylfaen"/>
          <w:spacing w:val="-6"/>
          <w:sz w:val="24"/>
          <w:szCs w:val="24"/>
        </w:rPr>
        <w:t>համար նախատեսված խտանյութերի համար, էմուլսիայի պատրաստման համար նախատեսված խտանյութերի համար, մնացած խտանյութերի համար՝ եթե նշված է մասնավոր դեղագրքային հոդվածում եւ (կամ) որակի վերաբերյալ նորմա</w:t>
      </w:r>
      <w:r w:rsidRPr="00DA21D0">
        <w:rPr>
          <w:rFonts w:ascii="Sylfaen" w:hAnsi="Sylfaen"/>
          <w:sz w:val="24"/>
          <w:szCs w:val="24"/>
        </w:rPr>
        <w:t xml:space="preserve">տիվ փաստաթղթում։ Որոշումն անցկացնում են </w:t>
      </w:r>
      <w:r w:rsidRPr="00DA21D0">
        <w:rPr>
          <w:rFonts w:ascii="Sylfaen" w:hAnsi="Sylfaen"/>
          <w:i/>
          <w:sz w:val="24"/>
          <w:szCs w:val="24"/>
        </w:rPr>
        <w:t>2.1.2.3. pH-ի պոտենցաչափական որոշում</w:t>
      </w:r>
      <w:r w:rsidRPr="00DA21D0">
        <w:rPr>
          <w:rFonts w:ascii="Sylfaen" w:hAnsi="Sylfaen"/>
          <w:sz w:val="24"/>
          <w:szCs w:val="24"/>
        </w:rPr>
        <w:t xml:space="preserve"> ընդհանուր դեղագրքային հոդվածին համապատասխան։ pH-ի արժեքը նշում են մասնավոր դեղագրքային հոդվածում եւ (կամ) որակի վերաբերյալ նորմատիվ փաստաթղթում։</w:t>
      </w:r>
    </w:p>
    <w:p w14:paraId="336D7C8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 xml:space="preserve">Խտությունը </w:t>
      </w:r>
      <w:r w:rsidRPr="00DA21D0">
        <w:rPr>
          <w:rFonts w:ascii="Sylfaen" w:hAnsi="Sylfaen"/>
          <w:spacing w:val="-6"/>
          <w:sz w:val="24"/>
          <w:szCs w:val="24"/>
        </w:rPr>
        <w:t xml:space="preserve">կամ </w:t>
      </w:r>
      <w:r w:rsidRPr="00DA21D0">
        <w:rPr>
          <w:rFonts w:ascii="Sylfaen" w:hAnsi="Sylfaen"/>
          <w:b/>
          <w:spacing w:val="-6"/>
          <w:sz w:val="24"/>
          <w:szCs w:val="24"/>
        </w:rPr>
        <w:t xml:space="preserve">Հարաբերական խտությունը. </w:t>
      </w:r>
      <w:r w:rsidRPr="00DA21D0">
        <w:rPr>
          <w:rFonts w:ascii="Sylfaen" w:hAnsi="Sylfaen"/>
          <w:spacing w:val="-6"/>
          <w:sz w:val="24"/>
          <w:szCs w:val="24"/>
        </w:rPr>
        <w:t xml:space="preserve">Փորձարկումն անցկացնում են 40 %-ից </w:t>
      </w:r>
      <w:r w:rsidRPr="00DA21D0">
        <w:rPr>
          <w:rFonts w:ascii="Sylfaen" w:hAnsi="Sylfaen"/>
          <w:i/>
          <w:spacing w:val="-6"/>
          <w:sz w:val="24"/>
          <w:szCs w:val="24"/>
        </w:rPr>
        <w:t>(ծավ/ծավ)</w:t>
      </w:r>
      <w:r w:rsidRPr="00DA21D0">
        <w:rPr>
          <w:rFonts w:ascii="Sylfaen" w:hAnsi="Sylfaen"/>
          <w:spacing w:val="-6"/>
          <w:sz w:val="24"/>
          <w:szCs w:val="24"/>
        </w:rPr>
        <w:t xml:space="preserve"> բարձր կոնցենտրացիայով էթանոլ պարունակող անջուր լուծույթների պատրաստման համար նախատեսված խտանյութերի համար, էմուլսիայի</w:t>
      </w:r>
      <w:r w:rsidRPr="00DA21D0">
        <w:rPr>
          <w:rFonts w:ascii="Sylfaen" w:hAnsi="Sylfaen"/>
          <w:sz w:val="24"/>
          <w:szCs w:val="24"/>
        </w:rPr>
        <w:t xml:space="preserve"> պատրաստման համար նախատեսված խտանյութերի համար, մնացած </w:t>
      </w:r>
      <w:r w:rsidRPr="00DA21D0">
        <w:rPr>
          <w:rFonts w:ascii="Sylfaen" w:hAnsi="Sylfaen"/>
          <w:sz w:val="24"/>
          <w:szCs w:val="24"/>
        </w:rPr>
        <w:lastRenderedPageBreak/>
        <w:t xml:space="preserve">խտանյութերի համար՝ եթե նշված է մասնավոր դեղագրքային հոդվածում եւ (կամ) որակի վերաբերյալ նորմատիվ փաստաթղթում։ Որոշումն անցկացնում են </w:t>
      </w:r>
      <w:r w:rsidRPr="00DA21D0">
        <w:rPr>
          <w:rFonts w:ascii="Sylfaen" w:hAnsi="Sylfaen"/>
          <w:i/>
          <w:sz w:val="24"/>
          <w:szCs w:val="24"/>
        </w:rPr>
        <w:t>2.1.4.5. Հարաբերական խտությունը</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0A4EC3C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Էթանոլը. </w:t>
      </w:r>
      <w:r w:rsidRPr="00DA21D0">
        <w:rPr>
          <w:rFonts w:ascii="Sylfaen" w:hAnsi="Sylfaen"/>
          <w:sz w:val="24"/>
          <w:szCs w:val="24"/>
        </w:rPr>
        <w:t xml:space="preserve">Փորձարկումն անցկացնում են 40 %-ից (ծավ/ծավ) ցածր կոնցենտրացիայով էթանոլ պարունակող անջուր լուծույթների պատրաստման համար նախատեսված խտանյութերի համար՝ </w:t>
      </w:r>
      <w:r w:rsidRPr="00DA21D0">
        <w:rPr>
          <w:rFonts w:ascii="Sylfaen" w:hAnsi="Sylfaen"/>
          <w:i/>
          <w:sz w:val="24"/>
          <w:szCs w:val="24"/>
        </w:rPr>
        <w:t>2.1.9.8.</w:t>
      </w:r>
      <w:r w:rsidRPr="00DA21D0">
        <w:rPr>
          <w:rFonts w:ascii="Sylfaen" w:hAnsi="Sylfaen"/>
          <w:sz w:val="24"/>
          <w:szCs w:val="24"/>
        </w:rPr>
        <w:t xml:space="preserve"> </w:t>
      </w:r>
      <w:r w:rsidRPr="00DA21D0">
        <w:rPr>
          <w:rFonts w:ascii="Sylfaen" w:hAnsi="Sylfaen"/>
          <w:i/>
          <w:sz w:val="24"/>
          <w:szCs w:val="24"/>
        </w:rPr>
        <w:t>Էթանոլի պարունակությունը</w:t>
      </w:r>
      <w:r w:rsidRPr="00DA21D0">
        <w:rPr>
          <w:rFonts w:ascii="Sylfaen" w:hAnsi="Sylfaen"/>
          <w:sz w:val="24"/>
          <w:szCs w:val="24"/>
        </w:rPr>
        <w:t xml:space="preserve"> ընդհանուր դեղագրքային հոդվածին համապատասխան եւ մասնավոր դեղագրքային հոդվածում եւ (կամ) որակի վերաբերյալ նորմատիվ փաստաթղթում նշված պահանջներին համապատասխան։</w:t>
      </w:r>
    </w:p>
    <w:p w14:paraId="0AB8508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Ջուր. </w:t>
      </w:r>
      <w:r w:rsidRPr="00DA21D0">
        <w:rPr>
          <w:rFonts w:ascii="Sylfaen" w:hAnsi="Sylfaen"/>
          <w:sz w:val="24"/>
          <w:szCs w:val="24"/>
        </w:rPr>
        <w:t xml:space="preserve">Փորձարկումն անցկացնում են անջուր լուծույթների պատրաստման համար նախատեսված խտանյութերի համար՝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5BF6123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Հարմարսողական կիրառման դեղաձեւերի արտազատվող ծավալը. </w:t>
      </w:r>
      <w:r w:rsidRPr="00DA21D0">
        <w:rPr>
          <w:rFonts w:ascii="Sylfaen" w:hAnsi="Sylfaen"/>
          <w:sz w:val="24"/>
          <w:szCs w:val="24"/>
        </w:rPr>
        <w:t xml:space="preserve">Փորձարկումն անցկացնում են հարմարսողական կիրառման համար նախատեսված դեղաձեւերի պատրաստման խտանյութերի համար՝ </w:t>
      </w:r>
      <w:r w:rsidRPr="00DA21D0">
        <w:rPr>
          <w:rFonts w:ascii="Sylfaen" w:hAnsi="Sylfaen"/>
          <w:i/>
          <w:sz w:val="24"/>
          <w:szCs w:val="24"/>
        </w:rPr>
        <w:t>2.1.9.9. Հարմարսողական դեղապատրաստուկների արտազատվող ծավալի փորձարկում</w:t>
      </w:r>
      <w:r w:rsidRPr="00DA21D0">
        <w:rPr>
          <w:rFonts w:ascii="Sylfaen" w:hAnsi="Sylfaen"/>
          <w:sz w:val="24"/>
          <w:szCs w:val="24"/>
        </w:rPr>
        <w:t xml:space="preserve"> ընդհանուր դեղագրքային հոդվածին համապատասխան։</w:t>
      </w:r>
    </w:p>
    <w:p w14:paraId="0A2603F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Արտազատվող ծավալը. </w:t>
      </w:r>
      <w:r w:rsidRPr="00DA21D0">
        <w:rPr>
          <w:rFonts w:ascii="Sylfaen" w:hAnsi="Sylfaen"/>
          <w:sz w:val="24"/>
          <w:szCs w:val="24"/>
        </w:rPr>
        <w:t xml:space="preserve">Փորձարկումն անցկացնում են ներքին ընդունման համար նախատեսված դեղաձեւերի պատրաստման խտանյութերի համար՝ </w:t>
      </w:r>
      <w:r w:rsidRPr="00DA21D0">
        <w:rPr>
          <w:rFonts w:ascii="Sylfaen" w:hAnsi="Sylfaen"/>
          <w:i/>
          <w:sz w:val="24"/>
          <w:szCs w:val="24"/>
        </w:rPr>
        <w:t xml:space="preserve">2.1.9.16. Արտազատվող ծավալը՝ ներքին ընդունման հեղուկ դեղաձեւերի համար </w:t>
      </w:r>
      <w:r w:rsidRPr="00DA21D0">
        <w:rPr>
          <w:rFonts w:ascii="Sylfaen" w:hAnsi="Sylfaen"/>
          <w:sz w:val="24"/>
          <w:szCs w:val="24"/>
        </w:rPr>
        <w:t>ընդհանուր դեղագրքային հոդվածին համապատասխան։</w:t>
      </w:r>
    </w:p>
    <w:p w14:paraId="6F735D8B"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b/>
          <w:sz w:val="24"/>
          <w:szCs w:val="24"/>
        </w:rPr>
        <w:t xml:space="preserve">Փաթեթվածքի պարունակության ծավալը. </w:t>
      </w:r>
      <w:r w:rsidRPr="00DA21D0">
        <w:rPr>
          <w:rFonts w:ascii="Sylfaen" w:hAnsi="Sylfaen"/>
          <w:sz w:val="24"/>
          <w:szCs w:val="24"/>
        </w:rPr>
        <w:t xml:space="preserve">Փորձարկումն անցկացնում են բոլոր խտանյութերի համար՝ բացառությամբ հարմարսողական կիրառման համար նախատեսված դեղաձեւերի պատրաստման խտանյութերի եւ ներքին ընդունման </w:t>
      </w:r>
      <w:r w:rsidRPr="00DA21D0">
        <w:rPr>
          <w:rFonts w:ascii="Sylfaen" w:hAnsi="Sylfaen"/>
          <w:sz w:val="24"/>
          <w:szCs w:val="24"/>
        </w:rPr>
        <w:lastRenderedPageBreak/>
        <w:t xml:space="preserve">համար նախատեսված դեղաձեւերի պատրաստման համար խտանյութերի, </w:t>
      </w:r>
      <w:r w:rsidRPr="00DA21D0">
        <w:rPr>
          <w:rFonts w:ascii="Sylfaen" w:hAnsi="Sylfaen"/>
          <w:i/>
          <w:sz w:val="24"/>
          <w:szCs w:val="24"/>
        </w:rPr>
        <w:t>2.1.9.17. Փաթեթվածքի պարունակության զանգվածը (ծավալը)</w:t>
      </w:r>
      <w:r w:rsidRPr="00DA21D0">
        <w:rPr>
          <w:rFonts w:ascii="Sylfaen" w:hAnsi="Sylfaen"/>
          <w:sz w:val="24"/>
          <w:szCs w:val="24"/>
        </w:rPr>
        <w:t xml:space="preserve"> ընդհանուր դեղագրքային հոդվածին համապատասխան։</w:t>
      </w:r>
    </w:p>
    <w:p w14:paraId="37D88187"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07EDDE68" w14:textId="77777777" w:rsidR="00134BE9" w:rsidRPr="00DA21D0" w:rsidRDefault="00134BE9" w:rsidP="00DA21D0">
      <w:pPr>
        <w:pStyle w:val="a0"/>
        <w:shd w:val="clear" w:color="auto" w:fill="auto"/>
        <w:spacing w:after="160" w:line="346" w:lineRule="auto"/>
        <w:ind w:firstLine="567"/>
        <w:jc w:val="right"/>
        <w:rPr>
          <w:rFonts w:ascii="Sylfaen" w:hAnsi="Sylfaen"/>
          <w:b/>
          <w:szCs w:val="24"/>
        </w:rPr>
      </w:pPr>
      <w:r w:rsidRPr="00DA21D0">
        <w:rPr>
          <w:rFonts w:ascii="Sylfaen" w:hAnsi="Sylfaen"/>
          <w:b/>
          <w:szCs w:val="24"/>
        </w:rPr>
        <w:t>205010013-2022</w:t>
      </w:r>
    </w:p>
    <w:p w14:paraId="4B79DE66" w14:textId="77777777" w:rsidR="00134BE9" w:rsidRPr="00DA21D0" w:rsidRDefault="00134BE9" w:rsidP="00DA21D0">
      <w:pPr>
        <w:pStyle w:val="a0"/>
        <w:shd w:val="clear" w:color="auto" w:fill="auto"/>
        <w:spacing w:after="160" w:line="346" w:lineRule="auto"/>
        <w:ind w:firstLine="567"/>
        <w:jc w:val="right"/>
        <w:rPr>
          <w:rFonts w:ascii="Sylfaen" w:hAnsi="Sylfaen" w:cs="Sylfaen"/>
          <w:szCs w:val="24"/>
        </w:rPr>
      </w:pPr>
    </w:p>
    <w:p w14:paraId="1D55C5C0" w14:textId="77777777" w:rsidR="00134BE9" w:rsidRPr="00DA21D0" w:rsidRDefault="00134BE9" w:rsidP="00DA21D0">
      <w:pPr>
        <w:pStyle w:val="a0"/>
        <w:shd w:val="clear" w:color="auto" w:fill="auto"/>
        <w:tabs>
          <w:tab w:val="left" w:pos="1701"/>
        </w:tabs>
        <w:spacing w:after="160" w:line="346" w:lineRule="auto"/>
        <w:ind w:firstLine="567"/>
        <w:rPr>
          <w:rFonts w:ascii="Sylfaen" w:hAnsi="Sylfaen" w:cs="Sylfaen"/>
          <w:sz w:val="24"/>
          <w:szCs w:val="24"/>
        </w:rPr>
      </w:pPr>
      <w:r w:rsidRPr="00DA21D0">
        <w:rPr>
          <w:rFonts w:ascii="Sylfaen" w:hAnsi="Sylfaen"/>
          <w:b/>
          <w:sz w:val="24"/>
          <w:szCs w:val="24"/>
        </w:rPr>
        <w:t>2.5.1.13.</w:t>
      </w:r>
      <w:r w:rsidRPr="00DA21D0">
        <w:rPr>
          <w:rFonts w:ascii="Sylfaen" w:hAnsi="Sylfaen"/>
          <w:b/>
          <w:sz w:val="24"/>
          <w:szCs w:val="24"/>
        </w:rPr>
        <w:tab/>
        <w:t>Սառնաշաքարներ դեղագործական</w:t>
      </w:r>
    </w:p>
    <w:p w14:paraId="7E90104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«Սառնաշաքարներ դեղագործական»՝ պինդ դեղաչափված դեղաձեւ, որը ստացվում է կաղապարների մեջ լցման կամ մամլման եղանակով, պարունակում է համապատասխան հիմքում հավասարաչափ բաշխված մեկ կամ մի քանի ազդող նյութեր եւ նախատեսված է ներծծման համար՝ բերանի խոռոչում ու կոկորդում տեղային ազդեցություն գործելու նպատակով։</w:t>
      </w:r>
    </w:p>
    <w:p w14:paraId="77CDFA44"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3406E7A2"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07F0FF1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Դեղագործական սառնաշաքարներն ստանում են կաղապարների մեջ լցման կամ մամլման մեթոդով։ Կաղապարների մեջ լցման մեթոդով դեղագործական սառնաշաքարների արտադրման համար որպես հիմնանյութ, որպես կանոն, օգտագործում են սախարոզի եւ հեղուկ դեքստրոզայի խառնուրդ (դեքստրոզայի, օլիգոսախարիդների եւ պոլիսախարիդների խառնուրդ)՝ 60:40 հարաբերակցությամբ կամ այլ հարաբերակցություններով։ Խառնուրդը պատրաստում են սահմանված ջերմաստիճանում (90 °С-ից մինչեւ 140 °С)։ Ստացված խառնուրդը պետք է ունենա պլաստիկ թանձրություն եւ պարունակի մոտավորապես 1 % խոնավություն։ Հետո հիմքի մեջ ներմուծում են ակտիվ դեղագործական բաղադրամաս (բաղադրամասեր) եւ տարբեր օժանդակ նյութեր (ներկանյութեր, բուրավետիչներ, համի կորիգենտներ, հակամանրէային կոնսերվանտներ եւ այլն)։ Խառնելուց հետո ստացված կարամելային զանգվածը հովացնում են եւ կաղապարների մեջ լցման միջոցով ստանում անհրաժեշտ ձեւի եւ չափի դեղագործական սառնաշաքարներ։</w:t>
      </w:r>
    </w:p>
    <w:p w14:paraId="43776CB3" w14:textId="77777777" w:rsidR="00134BE9" w:rsidRPr="00DA21D0" w:rsidRDefault="00134BE9" w:rsidP="00DA21D0">
      <w:pPr>
        <w:pStyle w:val="a0"/>
        <w:shd w:val="clear" w:color="auto" w:fill="auto"/>
        <w:spacing w:after="160" w:line="360" w:lineRule="auto"/>
        <w:ind w:firstLine="567"/>
        <w:jc w:val="both"/>
        <w:rPr>
          <w:rFonts w:ascii="Sylfaen" w:hAnsi="Sylfaen" w:cs="Sylfaen"/>
          <w:i/>
          <w:iCs/>
          <w:sz w:val="24"/>
          <w:szCs w:val="24"/>
        </w:rPr>
      </w:pPr>
      <w:r w:rsidRPr="00DA21D0">
        <w:rPr>
          <w:rFonts w:ascii="Sylfaen" w:hAnsi="Sylfaen"/>
          <w:sz w:val="24"/>
          <w:szCs w:val="24"/>
        </w:rPr>
        <w:lastRenderedPageBreak/>
        <w:t xml:space="preserve">Մամլման մեթոդով դեղագործական սառնաշաքարներ արտադրելիս պետք է ձեռնարկել սառնաշաքարների մեխանիկական ամրությունն ապահովող միջոցներ, ինչը հաստատվում է </w:t>
      </w:r>
      <w:r w:rsidRPr="00DA21D0">
        <w:rPr>
          <w:rFonts w:ascii="Sylfaen" w:hAnsi="Sylfaen"/>
          <w:i/>
          <w:sz w:val="24"/>
          <w:szCs w:val="24"/>
        </w:rPr>
        <w:t>2.1.9.6. Դեղահաբերի մաշվելիությունը</w:t>
      </w:r>
      <w:r w:rsidRPr="00DA21D0">
        <w:rPr>
          <w:rFonts w:ascii="Sylfaen" w:hAnsi="Sylfaen"/>
          <w:sz w:val="24"/>
          <w:szCs w:val="24"/>
        </w:rPr>
        <w:t xml:space="preserve"> ընդհանուր դեղագրքային հոդվածում եւ </w:t>
      </w:r>
      <w:r w:rsidRPr="00DA21D0">
        <w:rPr>
          <w:rFonts w:ascii="Sylfaen" w:hAnsi="Sylfaen"/>
          <w:i/>
          <w:sz w:val="24"/>
          <w:szCs w:val="24"/>
        </w:rPr>
        <w:t>2.1.9.7. Տրորման նկատմամբ դեղահաբերի կայունությունը</w:t>
      </w:r>
      <w:r w:rsidRPr="00DA21D0">
        <w:rPr>
          <w:rFonts w:ascii="Sylfaen" w:hAnsi="Sylfaen"/>
          <w:sz w:val="24"/>
          <w:szCs w:val="24"/>
        </w:rPr>
        <w:t xml:space="preserve"> ընդհանուր դեղագրքային հոդվածում նշված փորձարկումներով։</w:t>
      </w:r>
    </w:p>
    <w:p w14:paraId="5791EA3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13D31BFF"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24E5BB3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սառնաշաքարները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1C4BDB9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Դեղագործական սառնաշաքարները բնութագրում են՝ նշելով արտաքին տեսքը (ձեւը, չափերը, մակերեսի միատարրությունը), զգայորոշման (գույն, հոտ) եւ մյուս ցուցանիշները՝ մասնավոր դեղագրքային հոդվածի եւ (կամ) որակի վերաբերյալ նորմատիվ փաստաթղթի պահանջներին համապատասխան։</w:t>
      </w:r>
    </w:p>
    <w:p w14:paraId="2533E295"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սառնաշաքարները, որպես կանոն, կլորավուն են, հարթ եւ միատարր մակերեւույթով։ Կլորավուն դեղագործական սառնաշաքարների տրամագիծը կազմում է, որպես կանոն, 15 մմ-ից մինչեւ 20 մմ։ Դեղագործական սառնաշաքարների մակերեւույթը պետք է լինի հարթ, միատարր, եթե այլ բան հիմնավորված չէ։ Թույլատրվում է ներկման անհավասարաչափություն, կարամելային զանգվածի մեջ օդի պղպջակների առկայություն եւ եզրերի աննշան անհարթություն։</w:t>
      </w:r>
    </w:p>
    <w:p w14:paraId="528846D8" w14:textId="77777777" w:rsidR="00134BE9" w:rsidRPr="00DA21D0" w:rsidRDefault="00134BE9" w:rsidP="00DA21D0">
      <w:pPr>
        <w:spacing w:after="160" w:line="360" w:lineRule="auto"/>
        <w:ind w:firstLine="567"/>
        <w:jc w:val="both"/>
      </w:pPr>
      <w:r w:rsidRPr="00DA21D0">
        <w:rPr>
          <w:b/>
        </w:rPr>
        <w:t xml:space="preserve">Զանգվածի միատարրությունը. </w:t>
      </w:r>
      <w:r w:rsidRPr="00DA21D0">
        <w:t xml:space="preserve">Փորձարկումն անցկացնում են </w:t>
      </w:r>
      <w:r w:rsidRPr="00DA21D0">
        <w:rPr>
          <w:i/>
        </w:rPr>
        <w:t>2.1.9.5. Դեղաչափված դեղապատրաստուկի միավորի զանգվածի միատարրությունը</w:t>
      </w:r>
      <w:r w:rsidRPr="00DA21D0">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 Փորձարկումը չեն կիրառում, եթե նախատեսված է </w:t>
      </w:r>
      <w:r w:rsidRPr="00DA21D0">
        <w:lastRenderedPageBreak/>
        <w:t xml:space="preserve">փորձարկում՝ ըստ </w:t>
      </w:r>
      <w:r w:rsidRPr="00DA21D0">
        <w:rPr>
          <w:i/>
        </w:rPr>
        <w:t>Դեղաչափված միավորների միատարրություն</w:t>
      </w:r>
      <w:r w:rsidRPr="00DA21D0">
        <w:t xml:space="preserve"> ցուցանիշի՝ բոլոր ազդող նյութերի համար։</w:t>
      </w:r>
    </w:p>
    <w:p w14:paraId="5112A8B4" w14:textId="77777777" w:rsidR="00134BE9" w:rsidRPr="00DA21D0" w:rsidRDefault="00134BE9" w:rsidP="00DA21D0">
      <w:pPr>
        <w:pStyle w:val="a0"/>
        <w:shd w:val="clear" w:color="auto" w:fill="auto"/>
        <w:spacing w:after="160" w:line="346" w:lineRule="auto"/>
        <w:ind w:firstLine="567"/>
        <w:jc w:val="both"/>
        <w:rPr>
          <w:rFonts w:ascii="Sylfaen" w:hAnsi="Sylfaen" w:cs="Sylfaen"/>
          <w:i/>
          <w:iCs/>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w:t>
      </w:r>
      <w:r w:rsidRPr="00DA21D0">
        <w:rPr>
          <w:rFonts w:ascii="Sylfaen" w:hAnsi="Sylfaen"/>
          <w:i/>
          <w:sz w:val="24"/>
          <w:szCs w:val="24"/>
        </w:rPr>
        <w:t xml:space="preserve"> Դեղաչափված միավորների միատարրությունը</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 Եթե մասնավոր դեղագրքային հոդվածում եւ (կամ) որակի վերաբերյալ նորմատիվ փաստաթղթում այլ բան նշված չէ, ապա փորձարկումն անցկացնում են այնպես, ինչպես </w:t>
      </w:r>
      <w:r w:rsidRPr="00DA21D0">
        <w:rPr>
          <w:rFonts w:ascii="Sylfaen" w:hAnsi="Sylfaen"/>
          <w:i/>
          <w:sz w:val="24"/>
          <w:szCs w:val="24"/>
        </w:rPr>
        <w:t>Դեղահաբեր</w:t>
      </w:r>
      <w:r w:rsidRPr="00DA21D0">
        <w:rPr>
          <w:rFonts w:ascii="Sylfaen" w:hAnsi="Sylfaen"/>
          <w:sz w:val="24"/>
          <w:szCs w:val="24"/>
        </w:rPr>
        <w:t xml:space="preserve"> դեղաձեւի համար։</w:t>
      </w:r>
    </w:p>
    <w:p w14:paraId="53DEF23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2AFFB067" w14:textId="77777777" w:rsidR="00134BE9" w:rsidRPr="00DA21D0" w:rsidRDefault="00134BE9" w:rsidP="00DA21D0">
      <w:pPr>
        <w:pStyle w:val="a0"/>
        <w:shd w:val="clear" w:color="auto" w:fill="auto"/>
        <w:spacing w:after="160" w:line="346" w:lineRule="auto"/>
        <w:ind w:firstLine="567"/>
        <w:jc w:val="right"/>
        <w:rPr>
          <w:rFonts w:ascii="Sylfaen" w:hAnsi="Sylfaen"/>
          <w:b/>
          <w:szCs w:val="24"/>
        </w:rPr>
      </w:pPr>
      <w:r w:rsidRPr="00DA21D0">
        <w:rPr>
          <w:rFonts w:ascii="Sylfaen" w:hAnsi="Sylfaen"/>
          <w:b/>
          <w:szCs w:val="24"/>
        </w:rPr>
        <w:t>205010014-2022</w:t>
      </w:r>
    </w:p>
    <w:p w14:paraId="2E1F39A2" w14:textId="77777777" w:rsidR="00134BE9" w:rsidRPr="00DA21D0" w:rsidRDefault="00134BE9" w:rsidP="00DA21D0">
      <w:pPr>
        <w:pStyle w:val="a0"/>
        <w:shd w:val="clear" w:color="auto" w:fill="auto"/>
        <w:spacing w:after="160" w:line="346" w:lineRule="auto"/>
        <w:ind w:firstLine="567"/>
        <w:jc w:val="right"/>
        <w:rPr>
          <w:rFonts w:ascii="Sylfaen" w:hAnsi="Sylfaen" w:cs="Sylfaen"/>
          <w:szCs w:val="24"/>
        </w:rPr>
      </w:pPr>
    </w:p>
    <w:p w14:paraId="7EF2CA00" w14:textId="77777777" w:rsidR="00134BE9" w:rsidRPr="00DA21D0" w:rsidRDefault="00134BE9" w:rsidP="00DA21D0">
      <w:pPr>
        <w:pStyle w:val="a0"/>
        <w:shd w:val="clear" w:color="auto" w:fill="auto"/>
        <w:tabs>
          <w:tab w:val="left" w:pos="1701"/>
        </w:tabs>
        <w:spacing w:after="160" w:line="346" w:lineRule="auto"/>
        <w:ind w:firstLine="567"/>
        <w:jc w:val="both"/>
        <w:rPr>
          <w:rFonts w:ascii="Sylfaen" w:hAnsi="Sylfaen" w:cs="Sylfaen"/>
          <w:sz w:val="24"/>
          <w:szCs w:val="24"/>
        </w:rPr>
      </w:pPr>
      <w:r w:rsidRPr="00DA21D0">
        <w:rPr>
          <w:rFonts w:ascii="Sylfaen" w:hAnsi="Sylfaen"/>
          <w:b/>
          <w:sz w:val="24"/>
          <w:szCs w:val="24"/>
        </w:rPr>
        <w:t>2.5.1.14.</w:t>
      </w:r>
      <w:r w:rsidRPr="00DA21D0">
        <w:rPr>
          <w:rFonts w:ascii="Sylfaen" w:hAnsi="Sylfaen"/>
          <w:b/>
          <w:sz w:val="24"/>
          <w:szCs w:val="24"/>
        </w:rPr>
        <w:tab/>
        <w:t>Լիոֆիլիզատներ</w:t>
      </w:r>
    </w:p>
    <w:p w14:paraId="433C4D26"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 պինդ դեղաձեւ՝ փոշու կամ ծակոտկեն զանգվածի տեսքով, որը ստացվել է հեղուկ կամ փափուկ թանձրության դեղամիջոցների լիոֆիլիզացման միջոցով։</w:t>
      </w:r>
    </w:p>
    <w:p w14:paraId="7B687B0D"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Լիոֆիլիզատները կարող են պարունակել մեկ կամ մի քանի ազդող նյութեր՝ օժանդակ նյութերի ավելացմամբ կամ առանց ավելացման։</w:t>
      </w:r>
    </w:p>
    <w:p w14:paraId="7245902A"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Լիոֆիլիզատներն օգտագործում են մյուս դեղաձեւերն ստանալու համար.</w:t>
      </w:r>
    </w:p>
    <w:p w14:paraId="71B89191" w14:textId="77777777" w:rsidR="00134BE9" w:rsidRPr="00DA21D0" w:rsidRDefault="00134BE9" w:rsidP="00DA21D0">
      <w:pPr>
        <w:pStyle w:val="a0"/>
        <w:shd w:val="clear" w:color="auto" w:fill="auto"/>
        <w:tabs>
          <w:tab w:val="left" w:pos="1134"/>
        </w:tabs>
        <w:spacing w:after="160" w:line="346" w:lineRule="auto"/>
        <w:ind w:firstLine="567"/>
        <w:jc w:val="both"/>
        <w:rPr>
          <w:rFonts w:ascii="Sylfaen" w:hAnsi="Sylfaen" w:cs="Sylfaen"/>
          <w:sz w:val="24"/>
          <w:szCs w:val="24"/>
        </w:rPr>
      </w:pPr>
      <w:r w:rsidRPr="00DA21D0">
        <w:rPr>
          <w:rFonts w:ascii="Sylfaen" w:hAnsi="Sylfaen"/>
          <w:i/>
          <w:sz w:val="24"/>
          <w:szCs w:val="24"/>
        </w:rPr>
        <w:t>-</w:t>
      </w:r>
      <w:r w:rsidRPr="00DA21D0">
        <w:rPr>
          <w:rFonts w:ascii="Sylfaen" w:hAnsi="Sylfaen"/>
          <w:i/>
          <w:sz w:val="24"/>
          <w:szCs w:val="24"/>
        </w:rPr>
        <w:tab/>
        <w:t>լիոֆիլիզատ՝ լուծույթի պատրաստման համար,</w:t>
      </w:r>
      <w:r w:rsidRPr="00DA21D0">
        <w:rPr>
          <w:rFonts w:ascii="Sylfaen" w:hAnsi="Sylfaen"/>
          <w:sz w:val="24"/>
          <w:szCs w:val="24"/>
        </w:rPr>
        <w:t xml:space="preserve"> եւ </w:t>
      </w:r>
      <w:r w:rsidRPr="00DA21D0">
        <w:rPr>
          <w:rFonts w:ascii="Sylfaen" w:hAnsi="Sylfaen"/>
          <w:i/>
          <w:sz w:val="24"/>
          <w:szCs w:val="24"/>
        </w:rPr>
        <w:t>լիոֆիլիզատ՝ ցողաշթի պատրաստման համար</w:t>
      </w:r>
      <w:r w:rsidRPr="00DA21D0">
        <w:rPr>
          <w:rFonts w:ascii="Sylfaen" w:hAnsi="Sylfaen"/>
          <w:sz w:val="24"/>
          <w:szCs w:val="24"/>
        </w:rPr>
        <w:t>, լիոֆիլիզատ, որը նախատեսված է համապատասխան լուծիչի մեջ դրա լուծման միջոցով լուծույթի կամ ցողաշթի ստացման համար.</w:t>
      </w:r>
    </w:p>
    <w:p w14:paraId="50B560AF" w14:textId="77777777" w:rsidR="00134BE9" w:rsidRPr="00DA21D0" w:rsidRDefault="00134BE9" w:rsidP="00DA21D0">
      <w:pPr>
        <w:pStyle w:val="a0"/>
        <w:shd w:val="clear" w:color="auto" w:fill="auto"/>
        <w:tabs>
          <w:tab w:val="left" w:pos="1134"/>
        </w:tabs>
        <w:spacing w:after="160" w:line="346" w:lineRule="auto"/>
        <w:ind w:firstLine="567"/>
        <w:jc w:val="both"/>
        <w:rPr>
          <w:rFonts w:ascii="Sylfaen" w:hAnsi="Sylfaen" w:cs="Sylfaen"/>
          <w:sz w:val="24"/>
          <w:szCs w:val="24"/>
        </w:rPr>
      </w:pPr>
      <w:r w:rsidRPr="00DA21D0">
        <w:rPr>
          <w:rFonts w:ascii="Sylfaen" w:hAnsi="Sylfaen"/>
          <w:i/>
          <w:sz w:val="24"/>
          <w:szCs w:val="24"/>
        </w:rPr>
        <w:t>-</w:t>
      </w:r>
      <w:r w:rsidRPr="00DA21D0">
        <w:rPr>
          <w:rFonts w:ascii="Sylfaen" w:hAnsi="Sylfaen"/>
          <w:i/>
          <w:sz w:val="24"/>
          <w:szCs w:val="24"/>
        </w:rPr>
        <w:tab/>
        <w:t>լիոֆիլիզատ՝ դեղակախույթի պատրաստման համար,</w:t>
      </w:r>
      <w:r w:rsidRPr="00DA21D0">
        <w:rPr>
          <w:rFonts w:ascii="Sylfaen" w:hAnsi="Sylfaen"/>
          <w:sz w:val="24"/>
          <w:szCs w:val="24"/>
        </w:rPr>
        <w:t xml:space="preserve"> եւ </w:t>
      </w:r>
      <w:r w:rsidRPr="00DA21D0">
        <w:rPr>
          <w:rFonts w:ascii="Sylfaen" w:hAnsi="Sylfaen"/>
          <w:i/>
          <w:sz w:val="24"/>
          <w:szCs w:val="24"/>
        </w:rPr>
        <w:t>լիոֆիլիզատ՝ էմուլսիայի պատրաստման համար</w:t>
      </w:r>
      <w:r w:rsidRPr="00DA21D0">
        <w:rPr>
          <w:rFonts w:ascii="Sylfaen" w:hAnsi="Sylfaen"/>
          <w:sz w:val="24"/>
          <w:szCs w:val="24"/>
        </w:rPr>
        <w:t>, լիոֆիլիզատ, որը նախատեսված է համապատասխան լուծիչի մեջ դրա դիսպերսման միջոցով դեղակախույթի կամ էմուլսիայի ստացման համար.</w:t>
      </w:r>
    </w:p>
    <w:p w14:paraId="594B00E6" w14:textId="77777777" w:rsidR="00134BE9" w:rsidRPr="00DA21D0" w:rsidRDefault="00134BE9" w:rsidP="00DA21D0">
      <w:pPr>
        <w:pStyle w:val="a0"/>
        <w:shd w:val="clear" w:color="auto" w:fill="auto"/>
        <w:tabs>
          <w:tab w:val="left" w:pos="1134"/>
        </w:tabs>
        <w:spacing w:after="160" w:line="346" w:lineRule="auto"/>
        <w:ind w:firstLine="567"/>
        <w:jc w:val="both"/>
        <w:rPr>
          <w:rFonts w:ascii="Sylfaen" w:hAnsi="Sylfaen" w:cs="Sylfaen"/>
          <w:sz w:val="24"/>
          <w:szCs w:val="24"/>
        </w:rPr>
      </w:pPr>
      <w:r w:rsidRPr="00DA21D0">
        <w:rPr>
          <w:rFonts w:ascii="Sylfaen" w:hAnsi="Sylfaen"/>
          <w:i/>
          <w:sz w:val="24"/>
          <w:szCs w:val="24"/>
        </w:rPr>
        <w:lastRenderedPageBreak/>
        <w:t>-</w:t>
      </w:r>
      <w:r w:rsidRPr="00DA21D0">
        <w:rPr>
          <w:rFonts w:ascii="Sylfaen" w:hAnsi="Sylfaen"/>
          <w:i/>
          <w:sz w:val="24"/>
          <w:szCs w:val="24"/>
        </w:rPr>
        <w:tab/>
        <w:t>լիոֆիլիզատ՝ կաթիլների պատրաստման համար,</w:t>
      </w:r>
      <w:r w:rsidRPr="00DA21D0">
        <w:rPr>
          <w:rFonts w:ascii="Sylfaen" w:hAnsi="Sylfaen"/>
          <w:sz w:val="24"/>
          <w:szCs w:val="24"/>
        </w:rPr>
        <w:t xml:space="preserve"> եւ </w:t>
      </w:r>
      <w:r w:rsidRPr="00DA21D0">
        <w:rPr>
          <w:rFonts w:ascii="Sylfaen" w:hAnsi="Sylfaen"/>
          <w:i/>
          <w:sz w:val="24"/>
          <w:szCs w:val="24"/>
        </w:rPr>
        <w:t>լիոֆիլիզատ՝ խտանյութի պատրաստման համար</w:t>
      </w:r>
      <w:r w:rsidRPr="00DA21D0">
        <w:rPr>
          <w:rFonts w:ascii="Sylfaen" w:hAnsi="Sylfaen"/>
          <w:sz w:val="24"/>
          <w:szCs w:val="24"/>
        </w:rPr>
        <w:t>, լիոֆիլիզատ, որը նախատեսված է համապատասխան լուծիչի մեջ դրա լուծման կամ դիսպերսման միջոցով կաթիլների կամ խտանյութի ստացման համար։</w:t>
      </w:r>
    </w:p>
    <w:p w14:paraId="2D6E63E7"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Դեղաձեւերի պատրաստման համար նախատեսված լիոֆիլիզատներից ստացված դեղաձեւերը, ըստ ներմուծման ուղու եւ կիրառման եղանակի, ավելի հաճախ օգտագործում են հարմարսողական կիրառման համար, բայց նաեւ կարող են օգտագործվել ներքին ընդունման, արտաքին կամ տեղային կիրառման համար։ Ստացված դեղաձեւի (վերականգնված դեղաձեւի) նկարագրման համար օգտագործում են «Լիոֆիլիզատ՝ հետեւյալի պատրաստման համար...» եզրույթը՝ նշելով ստացվող դեղաձեւի անվանումը եւ դրա ներմուծման ուղին (կիրառման եղանակը), օրինակ՝ «լիոֆիլիզատ՝ կաթիլաներարկումների լուծույթի պատրաստման համար», «լիոֆիլիզատ՝ ներմկանային ներմուծման դեղակախույթ պատրաստելու համար», «լիոֆիլիզատ՝ ակնակաթիլներ պատրաստելու համար» եւ այլն։</w:t>
      </w:r>
    </w:p>
    <w:p w14:paraId="7EFB616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Լիոֆիլիզատները, որպես կանոն, դեղաչափված դեղաձեւ են։</w:t>
      </w:r>
    </w:p>
    <w:p w14:paraId="0CD5312C"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Լիոֆիլիզատները կարող են օգտագործվել որպես դեղագործական սուբստանցիա մյուս դեղաձեւերով դեղապատրաստուկներ արտադրելիս։</w:t>
      </w:r>
    </w:p>
    <w:p w14:paraId="69CC1CA7"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p>
    <w:p w14:paraId="5674314C" w14:textId="77777777" w:rsidR="00134BE9" w:rsidRPr="00DA21D0" w:rsidRDefault="00134BE9" w:rsidP="00DA21D0">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42940966"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Լիոֆիլիզատների արտադրման համար կիրառվող լիոֆիլիզացման մեթոդը (լիոֆիլային (լուծամետ) չորացում) ազատվելով հեղուկ ֆազից վակուումի պայմաններում լուծիչի բյուրեղների ցնդեցման (սուբլիմման) եղանակով սառեցված նյութից լուծիչի հեռացման գործընթաց է, այսինքն՝ այն գոլորշի դարձնելու գործընթաց է։</w:t>
      </w:r>
    </w:p>
    <w:p w14:paraId="44397143"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Լիոֆիլիզացման գործընթացը բաղկացած է 3 հիմնական փուլերից. սառեցում, լուծիչի բյուրեղների սուբլիմում (առաջնային չորացում) եւ լուծիչի մնացորդների հեռացում (երկրորդային չորացում)։</w:t>
      </w:r>
    </w:p>
    <w:p w14:paraId="6ABADDB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Սառեցման ջերմաստիճանը որոշվում է էվտեկտիկ գոտով լիոֆիլիզացվող դեղամիջոցի համար, այսինքն՝ այնպիսի ջերմաստիճանով, որի ժամանակ հասնում են ազդող նյութի առավելագույն կոնցենտրացիայի։</w:t>
      </w:r>
    </w:p>
    <w:p w14:paraId="1DD7E503"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pacing w:val="-4"/>
          <w:sz w:val="24"/>
          <w:szCs w:val="24"/>
        </w:rPr>
        <w:t>Ջուր պարունակող՝ դրանում լուծված նյութերով լուծույթների սառեցման ժամանակ սկզբում սառչում է մաքուր ջուրը, իսկ նյութերը համակենտրոնացվում են չսառչող հատվածում այնքան ժամանակ, քանի դեռ լուծույթը չի հասնի էվտեկտիկ</w:t>
      </w:r>
      <w:r w:rsidRPr="00DA21D0">
        <w:rPr>
          <w:rFonts w:ascii="Sylfaen" w:hAnsi="Sylfaen"/>
          <w:sz w:val="24"/>
          <w:szCs w:val="24"/>
        </w:rPr>
        <w:t xml:space="preserve"> խտության, որի ժամանակ գոյանում է երկու կամ ավելի միատեսակ ֆիզիկական հատկություններ ունեցող բյուրեղային պինդ նյութերի միատարր ֆիզիկական խառնուրդը։</w:t>
      </w:r>
    </w:p>
    <w:p w14:paraId="7E79546A"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pacing w:val="-4"/>
          <w:sz w:val="24"/>
          <w:szCs w:val="24"/>
        </w:rPr>
        <w:t>Սառեցման արագությունը կարող է տարբեր լինել։ Արագ սառեցման համար օգտագործում են հեղուկացված գազեր կամ հովացնող խառնուրդներ, կիրառում են այն դեղամիջոցների դեպքում, որոնց համար կարեւոր է բջջային կառուցվածքի պահպանումը</w:t>
      </w:r>
      <w:r w:rsidRPr="00DA21D0">
        <w:rPr>
          <w:rFonts w:ascii="Sylfaen" w:hAnsi="Sylfaen"/>
          <w:sz w:val="24"/>
          <w:szCs w:val="24"/>
        </w:rPr>
        <w:t xml:space="preserve"> (արյան, միկրոօրգանիզմների պլազմաներ եւ այլն)։ Մյուս դեղամիջոցների մեծ մասը ենթարկում են դանդաղ սառեցման սառցարանային խցիկներում կամ օդային միջավայրում՝ սուբլիմացիոն կայանքների խցիկներում։</w:t>
      </w:r>
    </w:p>
    <w:p w14:paraId="0FA86CC8"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Լուծիչի մնացորդները հեռացվում են գլխավորապես վակուումի տակ անցկացվող սուբլիմումի հաշվին կամ զգալի հազվադեպ՝ իներտ գազի մեջ, ընդ որում, տեղի է ունենում լուծիչի մնացորդների հեռացում սառեցված օբյեկտից՝ առանց հեղուկ ֆազի գոյացման։</w:t>
      </w:r>
    </w:p>
    <w:p w14:paraId="4B61FB50"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Լիոֆիլիզատների արտադրման ժամանակ օգտագործում են հետեւյալ օժանդակ նյութերը. լուծիչներ, սոլյուբիլիզատորներ, լցանյութեր, հակամանրէային կոնսերվանտներ, pH-ի կարգավորիչներ, կայունացուցիչներ, կրիոպրոտեկտորներ եւ այլն, որոնք պետք է ապահովեն դեղապատրաստուկի պատշաճ բուժական արդյունքի եւ դեղակինետիկ պարամետրերի պահպանումը։</w:t>
      </w:r>
    </w:p>
    <w:p w14:paraId="08F310EB" w14:textId="77777777" w:rsidR="00134BE9" w:rsidRPr="00DA21D0" w:rsidRDefault="00134BE9" w:rsidP="00DA21D0">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Ավելի հաճախ լիոֆիլիզացումն անցկացնում են ջրային լուծույթից։ Նաեւ կարող են օգտագործվել անջուր լուծիչներ, ինչը թույլ է տալիս վերջնական դեղաձեւ ստանալիս ավելացնել սուբլիմումի արագությունը, պակասեցնել լիոֆիլիզատի լուծման կամ դիսպերսման ժամանակը եւ բարելավել դրա կայունությունը։</w:t>
      </w:r>
    </w:p>
    <w:p w14:paraId="6FDCCD9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lastRenderedPageBreak/>
        <w:t>Լիոֆիլիզատներ</w:t>
      </w:r>
      <w:r w:rsidRPr="00DA21D0">
        <w:rPr>
          <w:rFonts w:ascii="Sylfaen" w:hAnsi="Sylfaen"/>
          <w:sz w:val="24"/>
          <w:szCs w:val="24"/>
        </w:rPr>
        <w:t xml:space="preserve"> դեղաձեւով դեղապատրաստուկներ արտադրելիս պետք է ձեռնարկվեն դրանց մանրէաբանական մաքրությունն ապահովող միջոցներ, սահմանված դեպքերում պետք է ձեռնարկվեն դրանց մանրէազերծությունը, ինչպես նաեւ դեղաչափված միավորների միատարրությունը կամ զանգվածի միատարրությունն ապահովող միջոցներ (նախքան լիոֆիլիզացումը լուծույթի քանակի նկատմամբ ներարտադրական հսկողության ընթացքում)։</w:t>
      </w:r>
    </w:p>
    <w:p w14:paraId="04C7882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75BFDEE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5CD7BC8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Լիոֆիլիզատները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5B687B4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Դեղաձեւերի պատրաստման համար նախատեսված լիոֆիլիզատների օգտագործմամբ ստացված՝ վերականգնված դեղաձեւերը պետք է համապատասխանեն ստացված դեղաձեւերի որակը կանոնակարգող ընդհանուր դեղագրքային հոդվածների պահանջներին։</w:t>
      </w:r>
    </w:p>
    <w:p w14:paraId="524D6240"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Հարմարսողական կիրառման դեղապատրաստուկների պատրաստման համար նախատեսված լիոֆիլիզատները պետք է համապատասխանեն </w:t>
      </w:r>
      <w:r w:rsidRPr="00DA21D0">
        <w:rPr>
          <w:rFonts w:ascii="Sylfaen" w:hAnsi="Sylfaen"/>
          <w:i/>
          <w:sz w:val="24"/>
          <w:szCs w:val="24"/>
        </w:rPr>
        <w:t>2.5.3.4. Հարմարսողական կիրառման համար նախատեսված դեղապատրաստուկներ</w:t>
      </w:r>
      <w:r w:rsidRPr="00DA21D0">
        <w:rPr>
          <w:rFonts w:ascii="Sylfaen" w:hAnsi="Sylfaen"/>
          <w:sz w:val="24"/>
          <w:szCs w:val="24"/>
        </w:rPr>
        <w:t xml:space="preserve"> ընդհանուր դեղագրքային հոդվածին։</w:t>
      </w:r>
    </w:p>
    <w:p w14:paraId="7DBF11D4" w14:textId="77777777" w:rsidR="00134BE9" w:rsidRPr="00DA21D0" w:rsidRDefault="00134BE9" w:rsidP="00134BE9">
      <w:pPr>
        <w:tabs>
          <w:tab w:val="left" w:pos="2568"/>
        </w:tabs>
        <w:spacing w:after="160" w:line="346" w:lineRule="auto"/>
        <w:ind w:firstLine="567"/>
        <w:rPr>
          <w:i/>
          <w:iCs/>
        </w:rPr>
      </w:pPr>
      <w:r w:rsidRPr="00DA21D0">
        <w:t xml:space="preserve">Ակնակաթիլների պատրաստման համար նախատեսված լիոֆիլիզատները պետք է համապատասխանեն </w:t>
      </w:r>
      <w:r w:rsidRPr="00DA21D0">
        <w:rPr>
          <w:i/>
        </w:rPr>
        <w:t>2.5.3.3. Ակնաբուժական կիրառման համար նախատեսված դեղապատրաստուկներ</w:t>
      </w:r>
      <w:r w:rsidRPr="00DA21D0">
        <w:t xml:space="preserve"> ընդհանուր դեղագրքային հոդվածին։</w:t>
      </w:r>
    </w:p>
    <w:p w14:paraId="261BF764" w14:textId="77777777" w:rsidR="00134BE9" w:rsidRPr="003A4194" w:rsidRDefault="00134BE9" w:rsidP="00134BE9">
      <w:pPr>
        <w:pStyle w:val="a0"/>
        <w:shd w:val="clear" w:color="auto" w:fill="auto"/>
        <w:spacing w:after="160" w:line="346" w:lineRule="auto"/>
        <w:ind w:firstLine="567"/>
        <w:jc w:val="both"/>
        <w:rPr>
          <w:rFonts w:ascii="Sylfaen" w:hAnsi="Sylfaen"/>
          <w:sz w:val="24"/>
          <w:szCs w:val="24"/>
        </w:rPr>
      </w:pPr>
      <w:r w:rsidRPr="00DA21D0">
        <w:rPr>
          <w:rFonts w:ascii="Sylfaen" w:hAnsi="Sylfaen"/>
          <w:sz w:val="24"/>
          <w:szCs w:val="24"/>
        </w:rPr>
        <w:t xml:space="preserve">Ինհալացիաների համար դեղաձեւերի պատրաստման համար նախատեսված լիոֆիլիզատները պետք է համապատասխանեն </w:t>
      </w:r>
      <w:r w:rsidRPr="00DA21D0">
        <w:rPr>
          <w:rFonts w:ascii="Sylfaen" w:hAnsi="Sylfaen"/>
          <w:i/>
          <w:sz w:val="24"/>
          <w:szCs w:val="24"/>
        </w:rPr>
        <w:t>2.5.3.2. Ինհալացիոն կիրառման համար նախատեսված դեղապատրաստուկներ</w:t>
      </w:r>
      <w:r w:rsidRPr="00DA21D0">
        <w:rPr>
          <w:rFonts w:ascii="Sylfaen" w:hAnsi="Sylfaen"/>
          <w:sz w:val="24"/>
          <w:szCs w:val="24"/>
        </w:rPr>
        <w:t xml:space="preserve"> ընդհանուր դեղագրքային հոդվածին։</w:t>
      </w:r>
    </w:p>
    <w:p w14:paraId="19EE7718" w14:textId="77777777" w:rsidR="00DA21D0" w:rsidRPr="003A4194" w:rsidRDefault="00DA21D0" w:rsidP="00134BE9">
      <w:pPr>
        <w:pStyle w:val="a0"/>
        <w:shd w:val="clear" w:color="auto" w:fill="auto"/>
        <w:spacing w:after="160" w:line="346" w:lineRule="auto"/>
        <w:ind w:firstLine="567"/>
        <w:jc w:val="both"/>
        <w:rPr>
          <w:rFonts w:ascii="Sylfaen" w:hAnsi="Sylfaen" w:cs="Sylfaen"/>
          <w:sz w:val="24"/>
          <w:szCs w:val="24"/>
        </w:rPr>
      </w:pPr>
    </w:p>
    <w:p w14:paraId="6C5B9D4C"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Նկարագրությունը. </w:t>
      </w:r>
      <w:r w:rsidRPr="00DA21D0">
        <w:rPr>
          <w:rFonts w:ascii="Sylfaen" w:hAnsi="Sylfaen"/>
          <w:sz w:val="24"/>
          <w:szCs w:val="24"/>
        </w:rPr>
        <w:t>Լիոֆիլիզատները բնութագրում են՝ նշելով արտաքին տեսքը (չոր ծակոտկեն զանգված, հաբի տեսքով, ամբողջական կամ փշրեցված զանգված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w:t>
      </w:r>
    </w:p>
    <w:p w14:paraId="11AE54B0"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միատարրությունը.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2.1.9.5. Դեղաչափված դեղապատրաստուկի միավորի զանգվածի միատարրությունը</w:t>
      </w:r>
      <w:r w:rsidRPr="00DA21D0">
        <w:rPr>
          <w:rFonts w:ascii="Sylfaen" w:hAnsi="Sylfaen"/>
          <w:sz w:val="24"/>
          <w:szCs w:val="24"/>
        </w:rPr>
        <w:t xml:space="preserve"> ընդհանուր դեղագրքային հոդվածին համապատասխան։ Փորձարկումը չեն կիրառում այն դեպքում, երբ նախատեսված է փորձարկում՝ ըստ </w:t>
      </w:r>
      <w:r w:rsidRPr="00DA21D0">
        <w:rPr>
          <w:rFonts w:ascii="Sylfaen" w:hAnsi="Sylfaen"/>
          <w:i/>
          <w:sz w:val="24"/>
          <w:szCs w:val="24"/>
        </w:rPr>
        <w:t>Դեղաչափված միավորների միատարրությունը</w:t>
      </w:r>
      <w:r w:rsidRPr="00DA21D0">
        <w:rPr>
          <w:rFonts w:ascii="Sylfaen" w:hAnsi="Sylfaen"/>
          <w:sz w:val="24"/>
          <w:szCs w:val="24"/>
        </w:rPr>
        <w:t xml:space="preserve"> ցուցանիշի՝ բոլոր ազդող նյութերի համար։</w:t>
      </w:r>
    </w:p>
    <w:p w14:paraId="67F3A2F3"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Զանգվածի կորուստը՝ չորացնելիս կամ Ջուրը.</w:t>
      </w:r>
      <w:r w:rsidRPr="00DA21D0">
        <w:rPr>
          <w:rFonts w:ascii="Sylfaen" w:hAnsi="Sylfaen"/>
          <w:i/>
          <w:spacing w:val="6"/>
          <w:sz w:val="24"/>
          <w:szCs w:val="24"/>
        </w:rPr>
        <w:t xml:space="preserve"> </w:t>
      </w:r>
      <w:r w:rsidRPr="00DA21D0">
        <w:rPr>
          <w:rFonts w:ascii="Sylfaen" w:hAnsi="Sylfaen"/>
          <w:spacing w:val="6"/>
          <w:sz w:val="24"/>
          <w:szCs w:val="24"/>
        </w:rPr>
        <w:t>Փորձարկումն անցկացնում են մասնավոր դեղագրքային հոդվածում եւ (կամ) որակի վերաբերյալ նորմատիվ փաստաթղթում նշված լինելու դեպքում այն դեպքերում, երբ ջրի պարունակությունը</w:t>
      </w:r>
      <w:r w:rsidRPr="00DA21D0">
        <w:rPr>
          <w:rFonts w:ascii="Sylfaen" w:hAnsi="Sylfaen"/>
          <w:sz w:val="24"/>
          <w:szCs w:val="24"/>
        </w:rPr>
        <w:t xml:space="preserve"> կարող է ազդել լիոֆիլիզատի ֆիզիկաքիմիական հատկությունների վրա, ազդող նյութի/նյութերի կենսամատչելիության վրա, </w:t>
      </w:r>
      <w:r w:rsidRPr="00DA21D0">
        <w:rPr>
          <w:rFonts w:ascii="Sylfaen" w:hAnsi="Sylfaen"/>
          <w:i/>
          <w:sz w:val="24"/>
          <w:szCs w:val="24"/>
        </w:rPr>
        <w:t>Լիոֆիլիզատ</w:t>
      </w:r>
      <w:r w:rsidRPr="00DA21D0">
        <w:rPr>
          <w:rFonts w:ascii="Sylfaen" w:hAnsi="Sylfaen"/>
          <w:sz w:val="24"/>
          <w:szCs w:val="24"/>
        </w:rPr>
        <w:t xml:space="preserve"> դեղաձեւով դեղապատրաստուկի կայունության վրա եւ այլն։ Փորձարկումն անցկացնում են՝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ընդհանուր դեղագրքային հոդվածին կամ </w:t>
      </w:r>
      <w:r w:rsidRPr="00DA21D0">
        <w:rPr>
          <w:rFonts w:ascii="Sylfaen" w:hAnsi="Sylfaen"/>
          <w:i/>
          <w:sz w:val="24"/>
          <w:szCs w:val="24"/>
        </w:rPr>
        <w:t>2.1.5.13. Ջուր. միկրոորոշում</w:t>
      </w:r>
      <w:r w:rsidRPr="00DA21D0">
        <w:rPr>
          <w:rFonts w:ascii="Sylfaen" w:hAnsi="Sylfaen"/>
          <w:sz w:val="24"/>
          <w:szCs w:val="24"/>
        </w:rPr>
        <w:t xml:space="preserve"> ընդհանուր դեղագրքային հոդվածին կամ </w:t>
      </w:r>
      <w:r w:rsidRPr="00DA21D0">
        <w:rPr>
          <w:rFonts w:ascii="Sylfaen" w:hAnsi="Sylfaen"/>
          <w:i/>
          <w:sz w:val="24"/>
          <w:szCs w:val="24"/>
        </w:rPr>
        <w:t>2.1.2.31. Զանգվածի կորուստը՝ չորացնելիս</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08BF3B4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Զանգվածի կորուստը՝ չորացնելիս</w:t>
      </w:r>
      <w:r w:rsidRPr="00DA21D0">
        <w:rPr>
          <w:rFonts w:ascii="Sylfaen" w:hAnsi="Sylfaen"/>
          <w:sz w:val="24"/>
          <w:szCs w:val="24"/>
        </w:rPr>
        <w:t xml:space="preserve"> կամ </w:t>
      </w:r>
      <w:r w:rsidRPr="00DA21D0">
        <w:rPr>
          <w:rFonts w:ascii="Sylfaen" w:hAnsi="Sylfaen"/>
          <w:i/>
          <w:sz w:val="24"/>
          <w:szCs w:val="24"/>
        </w:rPr>
        <w:t>Ջուրը</w:t>
      </w:r>
      <w:r w:rsidRPr="00DA21D0">
        <w:rPr>
          <w:rFonts w:ascii="Sylfaen" w:hAnsi="Sylfaen"/>
          <w:sz w:val="24"/>
          <w:szCs w:val="24"/>
        </w:rPr>
        <w:t xml:space="preserve"> ցուցանիշները կարող են այլընտրանքային լինել՝ բացի այն դեպքից, երբ </w:t>
      </w:r>
      <w:r w:rsidRPr="00DA21D0">
        <w:rPr>
          <w:rFonts w:ascii="Sylfaen" w:hAnsi="Sylfaen"/>
          <w:i/>
          <w:sz w:val="24"/>
          <w:szCs w:val="24"/>
        </w:rPr>
        <w:t>Զանգվածի կորուստը՝ չորացնելիս</w:t>
      </w:r>
      <w:r w:rsidRPr="00DA21D0">
        <w:rPr>
          <w:rFonts w:ascii="Sylfaen" w:hAnsi="Sylfaen"/>
          <w:sz w:val="24"/>
          <w:szCs w:val="24"/>
        </w:rPr>
        <w:t xml:space="preserve"> ցուցանիշը որոշելն անհրաժեշտ է Մնացորդային օրգանական լուծիչների պարունակությունը վերահսկելու համար։</w:t>
      </w:r>
    </w:p>
    <w:p w14:paraId="2B516444" w14:textId="77777777" w:rsidR="00134BE9" w:rsidRPr="00DA21D0" w:rsidRDefault="00134BE9" w:rsidP="00DA21D0">
      <w:pPr>
        <w:spacing w:after="160" w:line="360" w:lineRule="auto"/>
        <w:ind w:firstLine="567"/>
        <w:jc w:val="both"/>
      </w:pPr>
      <w:r w:rsidRPr="00DA21D0">
        <w:rPr>
          <w:b/>
        </w:rPr>
        <w:t xml:space="preserve">Լուծվելու ժամանակը. </w:t>
      </w:r>
      <w:r w:rsidRPr="00DA21D0">
        <w:t xml:space="preserve">Փորձարկումն անցկացնում են համապատասխան լուծիչի մեջ լիոֆիլիզատը լուծելու եղանակով լուծույթներ ստանալու համար </w:t>
      </w:r>
      <w:r w:rsidRPr="00DA21D0">
        <w:lastRenderedPageBreak/>
        <w:t xml:space="preserve">նախատեսված լիոֆիլիզատների համար՝ </w:t>
      </w:r>
      <w:r w:rsidRPr="00DA21D0">
        <w:rPr>
          <w:i/>
        </w:rPr>
        <w:t>2.1.9.21. Վերականգնված դեղաձեւեր ստանալու համար լուծվելու կամ դիսպերսվելու ժամանակը</w:t>
      </w:r>
      <w:r w:rsidRPr="00DA21D0">
        <w:t xml:space="preserve"> ընդհանուր դեղագրքային հոդվածին ու մասնավոր դեղագրքային հոդվածում եւ (կամ) որակի վերաբերյալ նորմատիվ փաստաթղթում նշված պահանջներին համապատասխան։</w:t>
      </w:r>
    </w:p>
    <w:p w14:paraId="6C803FE5" w14:textId="77777777" w:rsidR="00134BE9" w:rsidRPr="00DA21D0" w:rsidRDefault="00134BE9" w:rsidP="00DA21D0">
      <w:pPr>
        <w:pStyle w:val="a0"/>
        <w:shd w:val="clear" w:color="auto" w:fill="auto"/>
        <w:spacing w:after="160" w:line="360" w:lineRule="auto"/>
        <w:ind w:firstLine="567"/>
        <w:jc w:val="both"/>
        <w:rPr>
          <w:rFonts w:ascii="Sylfaen" w:hAnsi="Sylfaen" w:cs="Sylfaen"/>
          <w:i/>
          <w:iCs/>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 Դեղաչափված միավորների միատարրությունը</w:t>
      </w:r>
      <w:r w:rsidRPr="008D6E8B">
        <w:rPr>
          <w:rFonts w:ascii="Sylfaen" w:hAnsi="Sylfaen"/>
          <w:spacing w:val="-4"/>
          <w:sz w:val="24"/>
          <w:szCs w:val="24"/>
        </w:rPr>
        <w:t xml:space="preserve"> ընդհանուր դեղագրքային</w:t>
      </w:r>
      <w:r w:rsidRPr="00DA21D0">
        <w:rPr>
          <w:rFonts w:ascii="Sylfaen" w:hAnsi="Sylfaen"/>
          <w:sz w:val="24"/>
          <w:szCs w:val="24"/>
        </w:rPr>
        <w:t xml:space="preserve"> հոդվածին համապատասխան։</w:t>
      </w:r>
    </w:p>
    <w:p w14:paraId="0F202111"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p>
    <w:p w14:paraId="5EA139CD" w14:textId="77777777" w:rsidR="00134BE9" w:rsidRPr="00DA21D0" w:rsidRDefault="00134BE9" w:rsidP="00DA21D0">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205010015-2022</w:t>
      </w:r>
    </w:p>
    <w:p w14:paraId="6A336940" w14:textId="77777777" w:rsidR="00134BE9" w:rsidRPr="00DA21D0" w:rsidRDefault="00134BE9" w:rsidP="00DA21D0">
      <w:pPr>
        <w:pStyle w:val="a0"/>
        <w:shd w:val="clear" w:color="auto" w:fill="auto"/>
        <w:spacing w:after="160" w:line="360" w:lineRule="auto"/>
        <w:ind w:firstLine="567"/>
        <w:jc w:val="right"/>
        <w:rPr>
          <w:rFonts w:ascii="Sylfaen" w:hAnsi="Sylfaen" w:cs="Sylfaen"/>
          <w:szCs w:val="24"/>
        </w:rPr>
      </w:pPr>
    </w:p>
    <w:p w14:paraId="5159BF26" w14:textId="77777777" w:rsidR="00134BE9" w:rsidRPr="00DA21D0" w:rsidRDefault="00134BE9" w:rsidP="00DA21D0">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2.5.1.15.</w:t>
      </w:r>
      <w:r w:rsidRPr="00DA21D0">
        <w:rPr>
          <w:rFonts w:ascii="Sylfaen" w:hAnsi="Sylfaen"/>
          <w:b/>
          <w:sz w:val="24"/>
          <w:szCs w:val="24"/>
        </w:rPr>
        <w:tab/>
        <w:t>Ջրաթուրմեր եւ եփուկներ.</w:t>
      </w:r>
    </w:p>
    <w:p w14:paraId="7B06FB2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«Ջրաթուրմեր եւ եփուկներ»՝ հեղուկ դեղաձեւեր, որոնք դեղաբուսական հումքից ջրային հանուկներ են։</w:t>
      </w:r>
    </w:p>
    <w:p w14:paraId="55DE0C04"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Ջրային հանուկները կարող են լինել միաբաղադրիչ՝ մեկ տեսակի դեղաբուսական հումքից ստացված, եւ բազմաբաղադրիչ՝ երկու եւ ավելի տեսակների դեղաբուսական հումքից ստացված։</w:t>
      </w:r>
    </w:p>
    <w:p w14:paraId="427FD13E"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Ըստ ներմուծման ուղու եւ բժշկական կիրառման եղանակի՝ ջրաթուրմերը եւ եփուկներն օգտագործում են ներքին ընդունման համար, արտաքին կիրառման համար, տեղային կիրառման համար, ինհալացիաների համար։</w:t>
      </w:r>
    </w:p>
    <w:p w14:paraId="3C8AFE8E" w14:textId="77777777" w:rsidR="00134BE9" w:rsidRPr="00DA21D0" w:rsidRDefault="00134BE9" w:rsidP="00DA21D0">
      <w:pPr>
        <w:pStyle w:val="a0"/>
        <w:shd w:val="clear" w:color="auto" w:fill="auto"/>
        <w:spacing w:after="160" w:line="360" w:lineRule="auto"/>
        <w:ind w:firstLine="567"/>
        <w:rPr>
          <w:rFonts w:ascii="Sylfaen" w:hAnsi="Sylfaen"/>
          <w:b/>
          <w:sz w:val="24"/>
          <w:szCs w:val="24"/>
        </w:rPr>
      </w:pPr>
    </w:p>
    <w:p w14:paraId="3B546EEB" w14:textId="77777777" w:rsidR="00134BE9" w:rsidRPr="00DA21D0" w:rsidRDefault="00134BE9" w:rsidP="00DA21D0">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31300557"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Ջրաթուրմեր եւ եփուկներ ստանալու համար օգտագործվող դեղաբուսական հումքը պետք է համապատասխանի </w:t>
      </w:r>
      <w:r w:rsidRPr="00DA21D0">
        <w:rPr>
          <w:rFonts w:ascii="Sylfaen" w:hAnsi="Sylfaen"/>
          <w:i/>
          <w:sz w:val="24"/>
          <w:szCs w:val="24"/>
        </w:rPr>
        <w:t>Դեղաբուսական հումք</w:t>
      </w:r>
      <w:r w:rsidRPr="00DA21D0">
        <w:rPr>
          <w:rFonts w:ascii="Sylfaen" w:hAnsi="Sylfaen"/>
          <w:sz w:val="24"/>
          <w:szCs w:val="24"/>
        </w:rPr>
        <w:t xml:space="preserve"> ընդհանուր դեղագրքային հոդվածի պահանջներին եւ համապատասխան մասնավոր դեղագրքային հոդվածների եւ (կամ) որակի վերաբերյալ նորմատիվ փաստաթղթերի պահանջներին։</w:t>
      </w:r>
    </w:p>
    <w:p w14:paraId="1A499786" w14:textId="77777777" w:rsidR="00134BE9" w:rsidRPr="00DA21D0" w:rsidRDefault="00134BE9" w:rsidP="00DA21D0">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Ջրային հանուկներ պատրաստելու համար հետեւյալ դեղաբուսական հումքն են օգտագործում. ամբողջական, մանրացված, փոշի։</w:t>
      </w:r>
    </w:p>
    <w:p w14:paraId="1446BD0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Ջրային հանուկների պատրաստման համար առանձին մորֆոլոգիական խմբերի ամբողջական դեղաբուսական հումք օգտագործելու դեպքում այն նախապես մանրացնում են։ Խոտերը մանրացնում են, որպես կանոն, 7 մմ-ից ոչ ավելի չափի մասնիկների, տերեւները եւ ծաղիկները, որպես կանոն, 5 մմ-ից ոչ ավելի չափի մասնիկների (հաստակաշի տերեւները, օրինակ՝ հապալասի, մաթուզենու՝ 3 մմ-ից ոչ ավելի չափի մասնիկների), կեղեւը, արմատները, ընդերացողունը, որպես կանոն, 3 մմ-ից ոչ ավելի չափի մասնիկների, պտուղները եւ սերմն օգտագործում են առավելապես ամբողջական, անհրաժեշտության դեպքում մանրացնում են 0,5 մմ-ից ոչ ավելի չափի մասնիկների։</w:t>
      </w:r>
    </w:p>
    <w:p w14:paraId="78CDBA95" w14:textId="77777777" w:rsidR="00134BE9" w:rsidRPr="00DA21D0" w:rsidRDefault="00134BE9" w:rsidP="00134BE9">
      <w:pPr>
        <w:spacing w:after="160" w:line="360" w:lineRule="auto"/>
        <w:ind w:firstLine="567"/>
        <w:jc w:val="both"/>
      </w:pPr>
      <w:r w:rsidRPr="00DA21D0">
        <w:t xml:space="preserve">Նախապատրաստված դեղաբուսական հումքի մանրացվածության (մասնիկների չափի) գնահատումն անցկացնում են մաղային անալիզով՝ </w:t>
      </w:r>
      <w:r w:rsidRPr="00DA21D0">
        <w:rPr>
          <w:i/>
        </w:rPr>
        <w:t>Մաղային անալիզ</w:t>
      </w:r>
      <w:r w:rsidRPr="00DA21D0">
        <w:t xml:space="preserve"> ընդհանուր դեղագրքային հոդվածին եւ </w:t>
      </w:r>
      <w:r w:rsidRPr="00DA21D0">
        <w:rPr>
          <w:i/>
        </w:rPr>
        <w:t>2.1.1.4. Մաղեր</w:t>
      </w:r>
      <w:r w:rsidRPr="00DA21D0">
        <w:t xml:space="preserve"> ընդհանուր դեղագրքային հոդվածին համապատասխան՝ հաշվի առնելով, որ կլոր անցքերով մաղերի տրամագիծը 1,25 անգամ գերազանցում է քառակուսի անցքերի չափը։</w:t>
      </w:r>
    </w:p>
    <w:p w14:paraId="077BE39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Այլ ցուցումների բացակայության դեպքում այն դեղաբուսական հումքից, որոնք ծաղիկներ, տերեւներ կամ խոտեր են, պատրաստում են ջրաթուրմ, այն դեղաբուսական հումքից, որոնք կեղեւ, պտուղներ, սերմեր, բողբոջներ, ընձյուղներ, ստորգետնյա օրգաններ են, պատրաստում են եփուկ։</w:t>
      </w:r>
    </w:p>
    <w:p w14:paraId="36D5C17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Ջրային հանուկ ստանալիս դեղաբուսական հումքը տեղադրում են ինֆունդիրային ծակոտկեն բաժակի մեջ, այնուհետեւ ջրային բաղնիքի վրա 15 ր ընթացքում նախապես տաքացված ինֆունդիրի (թրմելու անոթի) մեջ, վրան սենյակային այնպիսի ջերմաստիճանի ջուր են լցնում, որը վերցվել է՝ հաշվի առնելով ջրակլանման համապատասխան գործակիցը, փակում են կափարիչով եւ թրմում են ջրային բաղնիքի վրա. ջրաթուրմերը՝ 15 ր ընթացքում, եփուկները՝ 30 ր ընթացքում՝ այլ ցուցումների բացակայության դեպքում։ Հետո ջրային բաղնիքով ինֆունդիրը պահում են սենյակային ջերմաստիճանում. ջրաթուրմերը՝ 45 ր </w:t>
      </w:r>
      <w:r w:rsidRPr="00DA21D0">
        <w:rPr>
          <w:rFonts w:ascii="Sylfaen" w:hAnsi="Sylfaen"/>
          <w:sz w:val="24"/>
          <w:szCs w:val="24"/>
        </w:rPr>
        <w:lastRenderedPageBreak/>
        <w:t>ընթացքում, եփուկները՝ 10 ր ընթացքում՝ այլ ցուցումների բացակայության դեպքում։ Հովացնելուց հետո ջրային հանուկը քամում են, դեղաբուսական հումքի մնացորդը մզում են, ստացված հանուկի ծավալը ջրով հասցնում են նախանշված ծավալի։</w:t>
      </w:r>
    </w:p>
    <w:p w14:paraId="416C9866"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 xml:space="preserve">Ջրային հանուկի պահանջվող քանակի պատրաստման համար անհրաժեշտ ջրի ծավալը որոշում են հանուկի պահանջվող ծավալը եւ ջրի լրացուցիչ այն քանակը միագումարելով, որը վերցվել է՝ հաշվի առնելով ջրակլանման գործակիցը, որը ներկայացված է </w:t>
      </w:r>
      <w:r w:rsidRPr="00DA21D0">
        <w:rPr>
          <w:rFonts w:ascii="Sylfaen" w:hAnsi="Sylfaen"/>
          <w:i/>
          <w:sz w:val="24"/>
          <w:szCs w:val="24"/>
        </w:rPr>
        <w:t>2.1.8.18. Դեղաբուսական հումքի համար ջրակլանման գործակցի եւ ծախսային գործակցի որոշելը</w:t>
      </w:r>
      <w:r w:rsidRPr="00DA21D0">
        <w:rPr>
          <w:rFonts w:ascii="Sylfaen" w:hAnsi="Sylfaen"/>
          <w:sz w:val="24"/>
          <w:szCs w:val="24"/>
        </w:rPr>
        <w:t xml:space="preserve"> ընդհանուր դեղագրքային հոդվածում՝ հեղուկի ադսորբումը հումքով փոխհատուցելու համար։ Ջրի լրացուցիչ ծավալը հաշվարկում են դեղաբուսական հումքի նշված զանգվածը ջրակլանման գործակցի վրա բազմապատկելու միջոցով։</w:t>
      </w:r>
    </w:p>
    <w:p w14:paraId="7E1F5F8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1000-3000 մլ ծավալով ջրային հանուկներ պատրաստելիս ջրային բաղնիքի վրա թրմելու ժամանակը ավելանում է 10 ր-ով եւ կազմում է 25 ր ջրաթուրմերի համար եւ 40 ր՝ եփուկների համար։</w:t>
      </w:r>
    </w:p>
    <w:p w14:paraId="14A10CD9"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Եթերային յուղ պարունակող դեղաբուսական հումքից, անկախ հումքի մորֆոլոգիական խմբից, ստանում են ջրաթուրմ (թրմելու ժամանակը 15 ր, սենյակային ջերմաստիճանում հովացման ժամանակը՝ 45 ր), ընդ որում, թրմելու անոթը պետք է կիպ փակվի եթերային յուղերի ցնդող բաղադրիչների կորստից խուսափելու համար։</w:t>
      </w:r>
    </w:p>
    <w:p w14:paraId="0176A0E6"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Առաջարկվում է ջրաթուրմը պատրաստել ոչ միայն ցնդող, այլ նաեւ ջերմաանկայուն կենսաբանական ակտիվ նյութեր պարունակող դեղաբուսական հումքից, օրինակ՝ սրտային գլիկոզիդներ։</w:t>
      </w:r>
    </w:p>
    <w:p w14:paraId="3F0756A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Դաբաղային նյութեր պարունակող դեղաբուսական հումքից (կաղնու կեղեւ, գալարուկի կոճղարմատներ, մատնունու կոճղարմատներ, արյունխմիկի կոճղարմատներ եւ արմատներ եւ այլն), ինչպես նաեւ մաթուզենու տերեւներից, հապալասի տերեւներից ստանում են եփուկներ, որոնք ջրային բաղնիքի վրայից ինֆունդիրը (թրմելու անոթը) հանելուց հետո, թույլ չտալով սենյակային </w:t>
      </w:r>
      <w:r w:rsidRPr="00DA21D0">
        <w:rPr>
          <w:rFonts w:ascii="Sylfaen" w:hAnsi="Sylfaen"/>
          <w:sz w:val="24"/>
          <w:szCs w:val="24"/>
        </w:rPr>
        <w:lastRenderedPageBreak/>
        <w:t>ջերմաստիճանում հովանա, անմիջապես քամում են դաբաղային նյութերի նստեցումից խուսափելու համար։</w:t>
      </w:r>
    </w:p>
    <w:p w14:paraId="1793CF89"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Սեննայի տերեւներից ստանում են եփուկ, որը քամում են սենյակային ջերմաստիճանում ջրային հանուկն ամբողջովին հովացնելուց հետո՝ խեժերի նստեցման համար։</w:t>
      </w:r>
    </w:p>
    <w:p w14:paraId="1C8D86AD"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Որպես կանոն, դեղաբուսական հումքի եւ ստացված ջրային հանուկի հարաբերակցությունը պետք է կազմի 1:10, այսինքն դեղաբուսական հումքի 10 զանգվածային մասերից ստանում են ջրային հանուկի 100 ծավալային մաս։</w:t>
      </w:r>
    </w:p>
    <w:p w14:paraId="7C744E6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Տուտղի արմատների ջրաթուրմը պատրաստում են առանց տաքացնելու՝ 1:20 հարաբերակցությամբ. տուտղի արմատների վրա լցնում են սենյակային ջերմաստիճանի ջուր եւ սենյակային ջերմաստիճանում թրմում են 30 ր՝ հաճախակի խառնելով, ստացված ջրաթուրմը քամում են, հումքը չեն մզում։</w:t>
      </w:r>
    </w:p>
    <w:p w14:paraId="14F077B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Լորձ պարունակող դեղաբուսական հումքից, մասնավորապես՝ տուտղի արմատներից ջրային հանուկի պահանջվող ծավալն ստանալու համար պետք է օգտագործել ծախսային գործակիցը, որը ցույց է տալիս, թե քանի անգամ է հարկավոր ավելացնել հումքի զանգվածը եւ ջրի (էքստրագենտի) ծավալը՝ ջրաթուրմի կամ եփուկի համապատասխան ծավալն ստանալու համար։ Ծախսային գործակցի մեծությունները ներկայացված են </w:t>
      </w:r>
      <w:r w:rsidRPr="00DA21D0">
        <w:rPr>
          <w:rFonts w:ascii="Sylfaen" w:hAnsi="Sylfaen"/>
          <w:i/>
          <w:sz w:val="24"/>
          <w:szCs w:val="24"/>
        </w:rPr>
        <w:t>2.1.8.18. Դեղաբուսական հումքի համար ջրակլանման գործակցի եւ ծախսային գործակցի որոշելը</w:t>
      </w:r>
      <w:r w:rsidRPr="00DA21D0">
        <w:rPr>
          <w:rFonts w:ascii="Sylfaen" w:hAnsi="Sylfaen"/>
          <w:sz w:val="24"/>
          <w:szCs w:val="24"/>
        </w:rPr>
        <w:t xml:space="preserve"> ընդհանուր դեղագրքային հոդվածում։</w:t>
      </w:r>
    </w:p>
    <w:p w14:paraId="682CBD01" w14:textId="77777777" w:rsidR="00134BE9" w:rsidRPr="00DA21D0" w:rsidRDefault="00134BE9" w:rsidP="00134BE9">
      <w:pPr>
        <w:spacing w:after="160" w:line="360" w:lineRule="auto"/>
        <w:ind w:firstLine="567"/>
        <w:jc w:val="both"/>
      </w:pPr>
      <w:r w:rsidRPr="00DA21D0">
        <w:t>Ադոնիսի խոտից, հովտաշուշանի խոտից, լավդանոնի ընձյուղներից, կատվախոտի արմատներով կոճղարմատներից, կաթնախոտի արմատներից ջրային հանուկները պատրաստում են 1:30 հարաբերակցությամբ։</w:t>
      </w:r>
    </w:p>
    <w:p w14:paraId="175BCB4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Մի շարք դեպքերում պետք է վերցնել դեղաբուսական հումքի 1 զանգվածային մաս՝ ջրային հանուկի 400 ծավալային մաս ստանալու համար (1:400)։</w:t>
      </w:r>
    </w:p>
    <w:p w14:paraId="3792E6B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Խիստ ներգործություն ունեցող կամ թունավոր կենսաբանական ակտիվ նյութեր (սրտային գլիկոզիդներ, ալկալոիդներ) պարունակող դեղաբուսական </w:t>
      </w:r>
      <w:r w:rsidRPr="00DA21D0">
        <w:rPr>
          <w:rFonts w:ascii="Sylfaen" w:hAnsi="Sylfaen"/>
          <w:sz w:val="24"/>
          <w:szCs w:val="24"/>
        </w:rPr>
        <w:lastRenderedPageBreak/>
        <w:t>հումքից ջրային հանուկներ ստանալիս կիրառում են որոշակի կենսաբանական ակտիվությամբ (ԳԱՄ (գորտի ազդեցության միավոր)) կամ հայտնի բուժական ակտիվությամբ բաղադրատարրերի որոշակի տոկոսային պարունակությամբ դեղապատրաստուկներ։ Մեծ կենսաբանական ակտիվությամբ կամ հայտնի բուժական ակտիվությամբ բաղադրատարրերի մեծ պարունակությամբ դեղաբուսական հումքը վերցնում են քիչ քանակությամբ, քան գրանցված է, եւ այն հաշվարկում են հետեւյալ բանաձեւով.</w:t>
      </w:r>
    </w:p>
    <w:p w14:paraId="19A9FEF5" w14:textId="77777777" w:rsidR="00134BE9" w:rsidRPr="00DA21D0" w:rsidRDefault="00134BE9" w:rsidP="00134BE9">
      <w:pPr>
        <w:pStyle w:val="a0"/>
        <w:shd w:val="clear" w:color="auto" w:fill="auto"/>
        <w:spacing w:after="160" w:line="360" w:lineRule="auto"/>
        <w:ind w:firstLine="567"/>
        <w:jc w:val="center"/>
        <w:rPr>
          <w:rFonts w:ascii="Sylfaen" w:hAnsi="Sylfaen" w:cs="Sylfaen"/>
          <w:sz w:val="24"/>
          <w:szCs w:val="24"/>
        </w:rPr>
      </w:pPr>
      <m:oMathPara>
        <m:oMath>
          <m:r>
            <w:rPr>
              <w:rFonts w:ascii="Cambria Math" w:hAnsi="Cambria Math" w:cs="Sylfaen"/>
              <w:sz w:val="24"/>
              <w:szCs w:val="24"/>
            </w:rPr>
            <m:t>m</m:t>
          </m:r>
          <m:r>
            <w:rPr>
              <w:rFonts w:ascii="Cambria Math" w:hAnsi="Sylfaen" w:cs="Sylfaen"/>
              <w:sz w:val="24"/>
              <w:szCs w:val="24"/>
            </w:rPr>
            <m:t>=</m:t>
          </m:r>
          <m:f>
            <m:fPr>
              <m:ctrlPr>
                <w:rPr>
                  <w:rFonts w:ascii="Cambria Math" w:hAnsi="Sylfaen" w:cs="Sylfaen"/>
                  <w:i/>
                  <w:sz w:val="24"/>
                  <w:szCs w:val="24"/>
                </w:rPr>
              </m:ctrlPr>
            </m:fPr>
            <m:num>
              <m:r>
                <w:rPr>
                  <w:rFonts w:ascii="Cambria Math" w:hAnsi="Cambria Math" w:cs="Sylfaen"/>
                  <w:sz w:val="24"/>
                  <w:szCs w:val="24"/>
                </w:rPr>
                <m:t>A</m:t>
              </m:r>
              <m:r>
                <w:rPr>
                  <w:rFonts w:ascii="Sylfaen" w:hAnsi="Cambria Math" w:cs="Sylfaen"/>
                  <w:sz w:val="24"/>
                  <w:szCs w:val="24"/>
                </w:rPr>
                <m:t>*</m:t>
              </m:r>
              <m:r>
                <w:rPr>
                  <w:rFonts w:ascii="Cambria Math" w:hAnsi="Cambria Math" w:cs="Sylfaen"/>
                  <w:sz w:val="24"/>
                  <w:szCs w:val="24"/>
                </w:rPr>
                <m:t>B</m:t>
              </m:r>
            </m:num>
            <m:den>
              <m:r>
                <w:rPr>
                  <w:rFonts w:ascii="GHEA Grapalat" w:hAnsi="Sylfaen" w:cs="Sylfaen"/>
                  <w:sz w:val="24"/>
                  <w:szCs w:val="24"/>
                </w:rPr>
                <m:t>Б</m:t>
              </m:r>
            </m:den>
          </m:f>
          <m:r>
            <w:rPr>
              <w:rFonts w:ascii="Cambria Math" w:hAnsi="Sylfaen" w:cs="Sylfaen"/>
              <w:sz w:val="24"/>
              <w:szCs w:val="24"/>
            </w:rPr>
            <m:t>,</m:t>
          </m:r>
        </m:oMath>
      </m:oMathPara>
    </w:p>
    <w:p w14:paraId="29A6B5E0"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lang w:val="en-US"/>
        </w:rPr>
      </w:pPr>
    </w:p>
    <w:p w14:paraId="7B9C270A"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որտեղ՝</w:t>
      </w:r>
    </w:p>
    <w:p w14:paraId="3092B49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m-ը</w:t>
      </w:r>
      <w:r w:rsidRPr="00DA21D0">
        <w:rPr>
          <w:rFonts w:ascii="Sylfaen" w:hAnsi="Sylfaen"/>
          <w:sz w:val="24"/>
          <w:szCs w:val="24"/>
        </w:rPr>
        <w:t xml:space="preserve"> դեղաբուսական հումքի՝ ջրային հանուկի պատրաստման համար անհրաժեշտ քանակն է՝ գրամներով.</w:t>
      </w:r>
    </w:p>
    <w:p w14:paraId="072654A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Ա-ն</w:t>
      </w:r>
      <w:r w:rsidRPr="00DA21D0">
        <w:rPr>
          <w:rFonts w:ascii="Sylfaen" w:hAnsi="Sylfaen"/>
          <w:sz w:val="24"/>
          <w:szCs w:val="24"/>
        </w:rPr>
        <w:t xml:space="preserve"> դեղաբուսական հումքի գրանցված քանակն է՝ գրամներով.</w:t>
      </w:r>
    </w:p>
    <w:p w14:paraId="648B528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Բ-ն՝</w:t>
      </w:r>
      <w:r w:rsidRPr="00DA21D0">
        <w:rPr>
          <w:rFonts w:ascii="Sylfaen" w:hAnsi="Sylfaen"/>
          <w:sz w:val="24"/>
          <w:szCs w:val="24"/>
        </w:rPr>
        <w:t>դեղաբուսական հումքի մեջ ազդեցության միավորների փաստացի քանակն է կամ հայտնի բուժական ակտիվությամբ բաղադրատարրերի պարունակությունն է հումքի 1 գ մեջ՝ տոկոսներով.</w:t>
      </w:r>
    </w:p>
    <w:p w14:paraId="4FEAE60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Գ-ն</w:t>
      </w:r>
      <w:r w:rsidRPr="00DA21D0">
        <w:rPr>
          <w:rFonts w:ascii="Sylfaen" w:hAnsi="Sylfaen"/>
          <w:sz w:val="24"/>
          <w:szCs w:val="24"/>
        </w:rPr>
        <w:t xml:space="preserve"> դեղաբուսական հումքի մեջ ազդեցության միավորների ստանդարտ պարունակությունն է կամ հայտնի բուժական ակտիվությամբ բաղադրատարրի պարունակությունն է հումքի 1 գ մեջ՝ տոկոսներով։</w:t>
      </w:r>
    </w:p>
    <w:p w14:paraId="01878F9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Ալկալոիդներ պարունակող դեղաբուսական հումքից ջրային հանուկներ պատրաստելիս ավելացնում են </w:t>
      </w:r>
      <w:r w:rsidRPr="00DA21D0">
        <w:rPr>
          <w:rFonts w:ascii="Sylfaen" w:hAnsi="Sylfaen"/>
          <w:i/>
          <w:sz w:val="24"/>
          <w:szCs w:val="24"/>
        </w:rPr>
        <w:t>կիտրոնաթթու</w:t>
      </w:r>
      <w:r w:rsidRPr="00DA21D0">
        <w:rPr>
          <w:rFonts w:ascii="Sylfaen" w:hAnsi="Sylfaen"/>
          <w:sz w:val="24"/>
          <w:szCs w:val="24"/>
        </w:rPr>
        <w:t xml:space="preserve">, </w:t>
      </w:r>
      <w:r w:rsidRPr="00DA21D0">
        <w:rPr>
          <w:rFonts w:ascii="Sylfaen" w:hAnsi="Sylfaen"/>
          <w:i/>
          <w:sz w:val="24"/>
          <w:szCs w:val="24"/>
        </w:rPr>
        <w:t>գինեթթու</w:t>
      </w:r>
      <w:r w:rsidRPr="00DA21D0">
        <w:rPr>
          <w:rFonts w:ascii="Sylfaen" w:hAnsi="Sylfaen"/>
          <w:sz w:val="24"/>
          <w:szCs w:val="24"/>
        </w:rPr>
        <w:t xml:space="preserve"> կամ </w:t>
      </w:r>
      <w:r w:rsidRPr="00DA21D0">
        <w:rPr>
          <w:rFonts w:ascii="Sylfaen" w:hAnsi="Sylfaen"/>
          <w:i/>
          <w:sz w:val="24"/>
          <w:szCs w:val="24"/>
        </w:rPr>
        <w:t>քլորաջրածնային թթու (քլորաջրածնի վերահաշվարկով)</w:t>
      </w:r>
      <w:r w:rsidRPr="00DA21D0">
        <w:rPr>
          <w:rFonts w:ascii="Sylfaen" w:hAnsi="Sylfaen"/>
          <w:sz w:val="24"/>
          <w:szCs w:val="24"/>
        </w:rPr>
        <w:t>, ընդ որում, թթուները վերցնում են այնքան զանգվածի, որքան ալկալոիդե է պարունակվում դեղաբուսական հումքի վերցված քանակում։</w:t>
      </w:r>
    </w:p>
    <w:p w14:paraId="489C165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Ջրային հանուկները նաեւ կարող են ստանալ ստանդարտացված չոր (1:1, մ/մ) կամ հեղուկ (1:1 կամ 1:2, մ/ծավ.) լուծամզվածք-խտածոները ջրում լուծելու </w:t>
      </w:r>
      <w:r w:rsidRPr="00DA21D0">
        <w:rPr>
          <w:rFonts w:ascii="Sylfaen" w:hAnsi="Sylfaen"/>
          <w:sz w:val="24"/>
          <w:szCs w:val="24"/>
        </w:rPr>
        <w:lastRenderedPageBreak/>
        <w:t>միջոցով, որոնք վերցվել են դեղաբուսական հումքի գրանցված քանակի նկատմամբ համապատասխան քանակությամբ, այսինքն՝ 1:1 կամ 1:2։</w:t>
      </w:r>
    </w:p>
    <w:p w14:paraId="27116E2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Ջրային հանուկների մեջ կարող են ավելացվել ակտիվ դեղագործական բաղադրամասեր եւ օժանդակ նյութեր։ Պինդ նյութերը լուծում են պատրաստի ջրային հանուկի մեջ ջրաթուրմերը եւ եփուկները քամելուց հետո, անհրաժեշտության դեպքում ծավալը հասցնում են ջրով մինչեւ գրանցվածի մեջ նշված ծավալը։ Հեղուկ նյութերը (օշարակները, ոգեթուրմերը, հեղուկ լուծամզվածքները) ավելացնում են ստացված ջրաթուրմին կամ եփուկին։</w:t>
      </w:r>
    </w:p>
    <w:p w14:paraId="62BAD69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Անհրաժեշտության դեպքում ջրաթուրմերին եւ եփուկներին կարող են ավելացվել կոնսերվանտներ, օրինակ՝ սորբինաթթու։</w:t>
      </w:r>
    </w:p>
    <w:p w14:paraId="34C6EFDD" w14:textId="77777777" w:rsidR="00DA21D0" w:rsidRPr="003A4194" w:rsidRDefault="00DA21D0" w:rsidP="00134BE9">
      <w:pPr>
        <w:pStyle w:val="a0"/>
        <w:shd w:val="clear" w:color="auto" w:fill="auto"/>
        <w:spacing w:after="160" w:line="360" w:lineRule="auto"/>
        <w:ind w:firstLine="567"/>
        <w:jc w:val="both"/>
        <w:rPr>
          <w:rFonts w:ascii="Sylfaen" w:hAnsi="Sylfaen"/>
          <w:b/>
          <w:sz w:val="24"/>
          <w:szCs w:val="24"/>
        </w:rPr>
      </w:pPr>
    </w:p>
    <w:p w14:paraId="4EECD40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ՆԿԱՐԱԳՐՈՒԹՅՈՒՆ</w:t>
      </w:r>
    </w:p>
    <w:p w14:paraId="6E8F6CE8"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Բնութագրում են ջրային հանուկի գույնը, հոտը (առկայության դեպքում)։</w:t>
      </w:r>
    </w:p>
    <w:p w14:paraId="0F51E1F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53577B5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5E2420B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Որակի գնահատումն իրականացնում են դեղատնային կազմակերպությունում ջրաթուրմեր եւ եփուկներ պատրաստելու ժամանակ, ինչպես նաեւ դեղաբուսական պատրաստուկների արտադրման տեխնոլոգիական գործընթացի ժամանակ։</w:t>
      </w:r>
    </w:p>
    <w:p w14:paraId="2B089B7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044230C1"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ՄԱԿՆՇՈՒՄԸ</w:t>
      </w:r>
    </w:p>
    <w:p w14:paraId="7A5518E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Սրվակների վրա պետք է հետեւյալ պիտակները լինեն. «Պահել սառը տեղում», «Օգտագործելուց առաջ թափահարել»։</w:t>
      </w:r>
    </w:p>
    <w:p w14:paraId="2DA8557E" w14:textId="77777777" w:rsidR="00DA21D0" w:rsidRDefault="00DA21D0">
      <w:pPr>
        <w:rPr>
          <w:rFonts w:eastAsia="Times New Roman"/>
          <w:color w:val="auto"/>
        </w:rPr>
      </w:pPr>
      <w:r>
        <w:br w:type="page"/>
      </w:r>
    </w:p>
    <w:p w14:paraId="2DE4900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ՊԱՀՊԱՆՈՒՄԸ</w:t>
      </w:r>
    </w:p>
    <w:p w14:paraId="34761A6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2-ից մինչեւ 8 °С ջերմաստիճանում, լույսից պաշտպանված տեղում։</w:t>
      </w:r>
    </w:p>
    <w:p w14:paraId="31E0EF8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1D51509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ՊԻՏԱՆԻՈՒԹՅԱՆ ԺԱՄԿԵՏԸ</w:t>
      </w:r>
    </w:p>
    <w:p w14:paraId="538DFFE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Ջրային հանուկների պիտանիության ժամկետը ոչ ավելի, քան 2 օր է այլ ցուցումների բացակայության դեպքում, օրինակ՝ տուտղի ջրաթուրմերի եւ պոլիսախարիդներ պարունակող մյուս ջրային հանուկների պիտանիության ժամկետը ոչ ավելի, քան 1 օր է, չագայից ջրային հանուկների պիտանիության ժամկետը՝ ոչ ավելի, քան 4 օր։</w:t>
      </w:r>
    </w:p>
    <w:p w14:paraId="099E5613" w14:textId="77777777" w:rsidR="00DA21D0" w:rsidRPr="003A4194" w:rsidRDefault="00DA21D0" w:rsidP="00134BE9">
      <w:pPr>
        <w:pStyle w:val="a0"/>
        <w:shd w:val="clear" w:color="auto" w:fill="auto"/>
        <w:spacing w:after="160" w:line="360" w:lineRule="auto"/>
        <w:ind w:firstLine="567"/>
        <w:jc w:val="right"/>
        <w:rPr>
          <w:rFonts w:ascii="Sylfaen" w:hAnsi="Sylfaen"/>
          <w:b/>
          <w:szCs w:val="24"/>
        </w:rPr>
      </w:pPr>
    </w:p>
    <w:p w14:paraId="1A58C9A2"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r w:rsidRPr="00DA21D0">
        <w:rPr>
          <w:rFonts w:ascii="Sylfaen" w:hAnsi="Sylfaen"/>
          <w:b/>
          <w:szCs w:val="24"/>
        </w:rPr>
        <w:t>205010016-2022</w:t>
      </w:r>
    </w:p>
    <w:p w14:paraId="5B3BFE34" w14:textId="77777777" w:rsidR="00134BE9" w:rsidRPr="00DA21D0" w:rsidRDefault="00134BE9" w:rsidP="00134BE9">
      <w:pPr>
        <w:pStyle w:val="a0"/>
        <w:shd w:val="clear" w:color="auto" w:fill="auto"/>
        <w:spacing w:after="160" w:line="360" w:lineRule="auto"/>
        <w:ind w:firstLine="567"/>
        <w:rPr>
          <w:rFonts w:ascii="Sylfaen" w:hAnsi="Sylfaen"/>
          <w:b/>
          <w:sz w:val="24"/>
          <w:szCs w:val="24"/>
        </w:rPr>
      </w:pPr>
    </w:p>
    <w:p w14:paraId="2793ED21"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2.5.1.16.</w:t>
      </w:r>
      <w:r w:rsidRPr="00DA21D0">
        <w:rPr>
          <w:rFonts w:ascii="Sylfaen" w:hAnsi="Sylfaen"/>
          <w:b/>
          <w:sz w:val="24"/>
          <w:szCs w:val="24"/>
        </w:rPr>
        <w:tab/>
        <w:t>Ոգեթուրմեր</w:t>
      </w:r>
    </w:p>
    <w:p w14:paraId="70FCD57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«Ոգեթուրմեր»՝ հեղուկ դեղաձեւ, որը սովորաբար դեղաբուսական հումքից (չորացրած կամ թարմ հավաքած), ինչպես նաեւ առանց լուծահանող նյութի (էքստրագենտի) հեռացման կենդանական ծագման հումքից ստացված սպիրտային կամ ջրասպիրտային ներկված հանուկ է։</w:t>
      </w:r>
    </w:p>
    <w:p w14:paraId="2E96253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Ոգեթուրմերը բաժանվում են պարզ ոգեթուրմերի, որոնք ստացվել են մեկ տեսակի դեղաբուսական հումքի հիման վրա, եւ բարդ (համալիր) ոգեթուրմերի, որոնք ստացվել են մի քանի տեսակի դեղաբուսական հումքի խառնուրդի հիման վրա։</w:t>
      </w:r>
    </w:p>
    <w:p w14:paraId="511DEFD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Ներմուծման ուղիով եւ բժշկական կիրառման եղանակով պայմանավորված՝ տարբերակում են ներքին ընդունման, արտաքին կիրառման, տեղային կիրառման, ինհալացիաների համար ոգեթուրմեր։</w:t>
      </w:r>
    </w:p>
    <w:p w14:paraId="0485FA0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Ոգեթուրմ</w:t>
      </w:r>
      <w:r w:rsidRPr="00DA21D0">
        <w:rPr>
          <w:rFonts w:ascii="Sylfaen" w:hAnsi="Sylfaen"/>
          <w:sz w:val="24"/>
          <w:szCs w:val="24"/>
        </w:rPr>
        <w:t xml:space="preserve"> եզրույթը օգտագործում են այն ոգեթուրմերի համար, որոնք նախատեսված են ներքին ընդունման համար, որպես կանոն, նոսրացումից հետո։</w:t>
      </w:r>
    </w:p>
    <w:p w14:paraId="22D65F06"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lastRenderedPageBreak/>
        <w:t xml:space="preserve">«Ոգեթուրմ՝ ինհալացիաների համար»՝ </w:t>
      </w:r>
      <w:r w:rsidRPr="00DA21D0">
        <w:rPr>
          <w:rFonts w:ascii="Sylfaen" w:hAnsi="Sylfaen"/>
          <w:sz w:val="24"/>
          <w:szCs w:val="24"/>
        </w:rPr>
        <w:t>ոգեթուրմ, որը տաք ջրի մեջ ավելացնելիս կամ համապատասխան հարմարանքի (օրինակ՝ ներշնչակի եւ այլն) օգնությամբ գոյացնում է գոլորշիներ, նախատեսված է շնչառման համար՝ տեղային ազդեցություն գործելու նպատակով։</w:t>
      </w:r>
    </w:p>
    <w:p w14:paraId="150839A8"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«Տեղային կիրառման ոգեթուրմ»՝</w:t>
      </w:r>
      <w:r w:rsidRPr="00DA21D0">
        <w:rPr>
          <w:rFonts w:ascii="Sylfaen" w:hAnsi="Sylfaen"/>
          <w:sz w:val="24"/>
          <w:szCs w:val="24"/>
        </w:rPr>
        <w:t xml:space="preserve"> տեղային կիրառման համար նախատեսված ոգեթուրմ (այդ թվում՝ նոսրացումից հետո)։</w:t>
      </w:r>
    </w:p>
    <w:p w14:paraId="779898A7"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«Արտաքին կիրառման ոգեթուրմ»՝</w:t>
      </w:r>
      <w:r w:rsidRPr="00DA21D0">
        <w:rPr>
          <w:rFonts w:ascii="Sylfaen" w:hAnsi="Sylfaen"/>
          <w:sz w:val="24"/>
          <w:szCs w:val="24"/>
        </w:rPr>
        <w:t xml:space="preserve"> արտաքին կիրառման համար նախատեսված ոգեթուրմ (այդ թվում՝ նոսրացումից հետո)։</w:t>
      </w:r>
    </w:p>
    <w:p w14:paraId="34252878"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Ոգեթուրմերը կարող են օգտագործվել ինչպես դեղաբուսական պատրաստուկներ, այնպես էլ որպես բուսական դեղագործական բաղադրամասեր կարող են մտնել այլ դեղաձեւերի բաղադրության մեջ, ինչպիսիք են, օրինակ՝ հեղուկ դեղաձեւերը, ներառյալ՝ ներքին ընդունման կաթիլները, բուժահեղուկները եւ այլն։</w:t>
      </w:r>
    </w:p>
    <w:p w14:paraId="108E495B"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Ոգեթուրմեր ստանալու համար օգտագործվող դեղաբուսական հումքը պետք է համապատասխանի համապատասխան ընդհանուր եւ մասնավոր դեղագրքային</w:t>
      </w:r>
      <w:r w:rsidRPr="00DA21D0">
        <w:rPr>
          <w:rFonts w:ascii="Sylfaen" w:hAnsi="Sylfaen"/>
          <w:sz w:val="24"/>
          <w:szCs w:val="24"/>
        </w:rPr>
        <w:t xml:space="preserve"> հոդվածների պահանջներին։</w:t>
      </w:r>
    </w:p>
    <w:p w14:paraId="3DA0DFA8"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p>
    <w:p w14:paraId="5FB10154" w14:textId="77777777" w:rsidR="00134BE9" w:rsidRPr="00DA21D0" w:rsidRDefault="00134BE9" w:rsidP="00176CFD">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248CD06E"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Ոգեթուրմերն ստանում են մացերացիայի, պերկոլացիայի մեթոդով կամ մյուս վալիդացված մեթոդով՝ որպես լուծահանող նյութ օգտագործելով անհրաժեշտ խտության էթանոլը։</w:t>
      </w:r>
    </w:p>
    <w:p w14:paraId="4924C86E"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Դեղաբուսական հումքի մեկ զանգվածային մասից ստանում են ոգեթուրմի 5 ծավալային մաս։ Ալկալոիդներ եւ սրտային գլիկոզիդներ պարունակող դեղաբուսական հումքի մեկ զանգվածային մասից ստանում են ոգեթուրմի 10 ծավալային մաս, եթե մասնավոր դեղագրքային հոդվածում կամ որակի վերաբերյալ նորմատիվ փաստաթղթում այլ ցուցումներ չկան։</w:t>
      </w:r>
    </w:p>
    <w:p w14:paraId="2329EDD8"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Լուծամզման գործընթացն ավարտելուց հետո ոգեթուրմերը պարզեցնում են 10 °С ոչ բարձր ջերմաստիճանում առնվազն 2 օր՝ մինչեւ թափանցիկ հեղուկ ստանալը, եւ ֆիլտրում են։ Որոշ ոգեթուրմեր պահելու ընթացքում, գլխավորապես համալիր ոգեթուրմերի, թույլատրվում է բալաստային նյութերի աննշան նստվածքի առաջացումը՝ պայմանով, որ դրանում չկան այնպիսի բաղադրատարրեր, որոնցով իրականացվում է ստանդարտացումը։</w:t>
      </w:r>
    </w:p>
    <w:p w14:paraId="1A962EB2"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Ոգեթուրմեր</w:t>
      </w:r>
      <w:r w:rsidRPr="00DA21D0">
        <w:rPr>
          <w:rFonts w:ascii="Sylfaen" w:hAnsi="Sylfaen"/>
          <w:sz w:val="24"/>
          <w:szCs w:val="24"/>
        </w:rPr>
        <w:t xml:space="preserve"> դեղաձեւով դեղապատրաստուկներ ստանալու դեպքում պետք է ձեռնարկվեն դրանց մանրէաբանական մաքրությունն ապահովող միջոցներ։</w:t>
      </w:r>
    </w:p>
    <w:p w14:paraId="0E8A111F"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Ոգեթուրմ ստանալու փուլում դրանք պետք է անցնեն մեթանոլի եւ 2-պրոպանոլի պարունակության փորձարկումը։</w:t>
      </w:r>
    </w:p>
    <w:p w14:paraId="61BF9D6A" w14:textId="77777777" w:rsidR="00176CFD" w:rsidRPr="003A4194" w:rsidRDefault="00176CFD" w:rsidP="00176CFD">
      <w:pPr>
        <w:pStyle w:val="a0"/>
        <w:shd w:val="clear" w:color="auto" w:fill="auto"/>
        <w:spacing w:after="160" w:line="360" w:lineRule="auto"/>
        <w:ind w:firstLine="567"/>
        <w:rPr>
          <w:rFonts w:ascii="Sylfaen" w:hAnsi="Sylfaen"/>
          <w:b/>
          <w:sz w:val="24"/>
          <w:szCs w:val="24"/>
        </w:rPr>
      </w:pPr>
    </w:p>
    <w:p w14:paraId="0F06CC78" w14:textId="77777777" w:rsidR="00134BE9" w:rsidRPr="00DA21D0" w:rsidRDefault="00134BE9" w:rsidP="00176CFD">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12DECCB9"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Ոգեթուրմերը պետք է համապատասխանեն </w:t>
      </w:r>
      <w:r w:rsidRPr="00DA21D0">
        <w:rPr>
          <w:rFonts w:ascii="Sylfaen" w:hAnsi="Sylfaen"/>
          <w:i/>
          <w:sz w:val="24"/>
          <w:szCs w:val="24"/>
        </w:rPr>
        <w:t>2.5.1.1. Դեղաձեւերը</w:t>
      </w:r>
      <w:r w:rsidRPr="00DA21D0">
        <w:rPr>
          <w:rFonts w:ascii="Sylfaen" w:hAnsi="Sylfaen"/>
          <w:sz w:val="24"/>
          <w:szCs w:val="24"/>
        </w:rPr>
        <w:t xml:space="preserve"> ընդհանուր դեղագրքային հոդվածի ընդհանուր պահանջներին եւ անցնեն տվյալ դեղաձեւին բնորոշ փորձարկումները։</w:t>
      </w:r>
    </w:p>
    <w:p w14:paraId="0860805F"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Ոգեթուրմերը բնութագրում են՝ նշելով գույնը, հոտը (առկայության դեպքում)՝ մասնավոր դեղագրքային հոդվածի կամ որակի վերաբերյալ նորմատիվ փաստաթղթի պահանջներին համապատասխան։</w:t>
      </w:r>
    </w:p>
    <w:p w14:paraId="79296199"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Թույլատրվում է օպալեսցենտման, կախամասնիկների առկայություն, մի շարք դեպքերում՝ հատկապես պահպանման ընթացքում, հնարավոր է աննշան նստվածքի առաջացում, եթե դա չի ազդում դեղամիջոցի էֆեկտիվության եւ անվտանգության վրա։</w:t>
      </w:r>
    </w:p>
    <w:p w14:paraId="4392276A"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Խտությունը </w:t>
      </w:r>
      <w:r w:rsidRPr="00DA21D0">
        <w:rPr>
          <w:rFonts w:ascii="Sylfaen" w:hAnsi="Sylfaen"/>
          <w:sz w:val="24"/>
          <w:szCs w:val="24"/>
        </w:rPr>
        <w:t xml:space="preserve">կամ </w:t>
      </w:r>
      <w:r w:rsidRPr="00DA21D0">
        <w:rPr>
          <w:rFonts w:ascii="Sylfaen" w:hAnsi="Sylfaen"/>
          <w:b/>
          <w:sz w:val="24"/>
          <w:szCs w:val="24"/>
        </w:rPr>
        <w:t xml:space="preserve">Հարաբերական խտությունը.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2.1.2.5. Հարաբերական խտությունը</w:t>
      </w:r>
      <w:r w:rsidRPr="00DA21D0">
        <w:rPr>
          <w:rFonts w:ascii="Sylfaen" w:hAnsi="Sylfaen"/>
          <w:sz w:val="24"/>
          <w:szCs w:val="24"/>
        </w:rPr>
        <w:t xml:space="preserve"> ընդհանուր դեղագրքային հոդվածին եւ մասնավոր դեղագրքային հոդվածում կամ որակի վերաբերյալ նորմատիվ փաստաթղթում նշված պահանջներին համապատասխան։</w:t>
      </w:r>
    </w:p>
    <w:p w14:paraId="58FED8A9"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Էթանոլը. </w:t>
      </w:r>
      <w:r w:rsidRPr="00DA21D0">
        <w:rPr>
          <w:rFonts w:ascii="Sylfaen" w:hAnsi="Sylfaen"/>
          <w:sz w:val="24"/>
          <w:szCs w:val="24"/>
        </w:rPr>
        <w:t xml:space="preserve">Փորձարկումն անցկացնում են մեթոդներից մեկով՝ </w:t>
      </w:r>
      <w:r w:rsidRPr="00DA21D0">
        <w:rPr>
          <w:rFonts w:ascii="Sylfaen" w:hAnsi="Sylfaen"/>
          <w:i/>
          <w:sz w:val="24"/>
          <w:szCs w:val="24"/>
        </w:rPr>
        <w:t>2.1.9.8. Էթանոլի պարունակությունը</w:t>
      </w:r>
      <w:r w:rsidRPr="00DA21D0">
        <w:rPr>
          <w:rFonts w:ascii="Sylfaen" w:hAnsi="Sylfaen"/>
          <w:sz w:val="24"/>
          <w:szCs w:val="24"/>
        </w:rPr>
        <w:t xml:space="preserve"> ընդհանուր դեղագրքային հոդվածին եւ մասնավոր դեղագրքային հոդվածում կամ որակի վերաբերյալ նորմատիվ փաստաթղթում նշված՝ էթանոլի պարունակությանը ներկայացվող պահանջներին համապատասխան։</w:t>
      </w:r>
    </w:p>
    <w:p w14:paraId="43CAAC5A" w14:textId="77777777" w:rsidR="00134BE9" w:rsidRPr="00DA21D0" w:rsidRDefault="00134BE9" w:rsidP="00176CFD">
      <w:pPr>
        <w:spacing w:after="160" w:line="360" w:lineRule="auto"/>
        <w:ind w:firstLine="567"/>
        <w:jc w:val="both"/>
      </w:pPr>
      <w:r w:rsidRPr="00DA21D0">
        <w:rPr>
          <w:b/>
        </w:rPr>
        <w:t xml:space="preserve">Մեթանոլը </w:t>
      </w:r>
      <w:r w:rsidRPr="00DA21D0">
        <w:t xml:space="preserve">Որոշումն անցկացնում են արտադրական գործընթացի փուլում։ Թույլատրվում է մեթանոլի ոչ ավելի, քան 0,05 % </w:t>
      </w:r>
      <w:r w:rsidRPr="00DA21D0">
        <w:rPr>
          <w:i/>
        </w:rPr>
        <w:t>(ծավ</w:t>
      </w:r>
      <w:r w:rsidRPr="00DA21D0">
        <w:rPr>
          <w:rFonts w:hAnsi="Times New Roman" w:cs="Times New Roman"/>
          <w:i/>
        </w:rPr>
        <w:t>․</w:t>
      </w:r>
      <w:r w:rsidRPr="00DA21D0">
        <w:rPr>
          <w:i/>
        </w:rPr>
        <w:t>/ծավ</w:t>
      </w:r>
      <w:r w:rsidRPr="00DA21D0">
        <w:rPr>
          <w:rFonts w:hAnsi="Times New Roman" w:cs="Times New Roman"/>
          <w:i/>
        </w:rPr>
        <w:t>․</w:t>
      </w:r>
      <w:r w:rsidRPr="00DA21D0">
        <w:rPr>
          <w:i/>
        </w:rPr>
        <w:t>)</w:t>
      </w:r>
      <w:r w:rsidRPr="00DA21D0">
        <w:t xml:space="preserve"> պարունակություն, եթե մասնավոր դեղագրքային հոդվածում կամ որակի վերաբերյալ նորմատիվ փաստաթղթում այլ բան նշված չէ։</w:t>
      </w:r>
    </w:p>
    <w:p w14:paraId="5142D42F"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Չոր մնացորդը. </w:t>
      </w:r>
      <w:r w:rsidRPr="00DA21D0">
        <w:rPr>
          <w:rFonts w:ascii="Sylfaen" w:hAnsi="Sylfaen"/>
          <w:sz w:val="24"/>
          <w:szCs w:val="24"/>
        </w:rPr>
        <w:t xml:space="preserve">5,0 մլ ոգեթուրմը տեղադրում են </w:t>
      </w:r>
      <w:smartTag w:uri="urn:schemas-microsoft-com:office:smarttags" w:element="metricconverter">
        <w:smartTagPr>
          <w:attr w:name="ProductID" w:val="100 °C"/>
        </w:smartTagPr>
        <w:r w:rsidRPr="00DA21D0">
          <w:rPr>
            <w:rFonts w:ascii="Sylfaen" w:hAnsi="Sylfaen"/>
            <w:sz w:val="24"/>
            <w:szCs w:val="24"/>
          </w:rPr>
          <w:t>100 °C</w:t>
        </w:r>
        <w:r w:rsidR="008D6E8B" w:rsidRPr="008D6E8B">
          <w:rPr>
            <w:rFonts w:ascii="Sylfaen" w:hAnsi="Sylfaen"/>
            <w:sz w:val="24"/>
            <w:szCs w:val="24"/>
          </w:rPr>
          <w:t>-</w:t>
        </w:r>
      </w:smartTag>
      <w:smartTag w:uri="urn:schemas-microsoft-com:office:smarttags" w:element="metricconverter">
        <w:smartTagPr>
          <w:attr w:name="ProductID" w:val="105 °C"/>
        </w:smartTagPr>
        <w:r w:rsidRPr="00DA21D0">
          <w:rPr>
            <w:rFonts w:ascii="Sylfaen" w:hAnsi="Sylfaen"/>
            <w:sz w:val="24"/>
            <w:szCs w:val="24"/>
          </w:rPr>
          <w:t>105 °C</w:t>
        </w:r>
      </w:smartTag>
      <w:r w:rsidRPr="00DA21D0">
        <w:rPr>
          <w:rFonts w:ascii="Sylfaen" w:hAnsi="Sylfaen"/>
          <w:sz w:val="24"/>
          <w:szCs w:val="24"/>
        </w:rPr>
        <w:t xml:space="preserve"> ջերմաստիճանում մինչեւ հաստատուն զանգվածը 5 սմ տրամագծով ճենապակե թասի մեջ կամ մինչեւ 0,0001 գ ճշգրտությամբ կշռված նախապես չորացրած բյուքսի մեջ, լիաչոր շոգեհանում են ջրային բաղնիքի վրա, չորացնում են չորացման պահարանում 2 ժամվա ընթացքում </w:t>
      </w:r>
      <w:smartTag w:uri="urn:schemas-microsoft-com:office:smarttags" w:element="metricconverter">
        <w:smartTagPr>
          <w:attr w:name="ProductID" w:val="100 °C"/>
        </w:smartTagPr>
        <w:r w:rsidRPr="00DA21D0">
          <w:rPr>
            <w:rFonts w:ascii="Sylfaen" w:hAnsi="Sylfaen"/>
            <w:sz w:val="24"/>
            <w:szCs w:val="24"/>
          </w:rPr>
          <w:t>100 °C</w:t>
        </w:r>
        <w:r w:rsidR="008D6E8B" w:rsidRPr="008D6E8B">
          <w:rPr>
            <w:rFonts w:ascii="Sylfaen" w:hAnsi="Sylfaen"/>
            <w:sz w:val="24"/>
            <w:szCs w:val="24"/>
          </w:rPr>
          <w:t>-</w:t>
        </w:r>
      </w:smartTag>
      <w:smartTag w:uri="urn:schemas-microsoft-com:office:smarttags" w:element="metricconverter">
        <w:smartTagPr>
          <w:attr w:name="ProductID" w:val="105 °C"/>
        </w:smartTagPr>
        <w:r w:rsidRPr="00DA21D0">
          <w:rPr>
            <w:rFonts w:ascii="Sylfaen" w:hAnsi="Sylfaen"/>
            <w:sz w:val="24"/>
            <w:szCs w:val="24"/>
          </w:rPr>
          <w:t>105 °C</w:t>
        </w:r>
      </w:smartTag>
      <w:r w:rsidRPr="00DA21D0">
        <w:rPr>
          <w:rFonts w:ascii="Sylfaen" w:hAnsi="Sylfaen"/>
          <w:sz w:val="24"/>
          <w:szCs w:val="24"/>
        </w:rPr>
        <w:t xml:space="preserve"> ջերմաստիճանում, հովացնում են էքսիկատորում (</w:t>
      </w:r>
      <w:r w:rsidRPr="00DA21D0">
        <w:rPr>
          <w:rFonts w:ascii="Sylfaen" w:hAnsi="Sylfaen"/>
          <w:i/>
          <w:sz w:val="24"/>
          <w:szCs w:val="24"/>
        </w:rPr>
        <w:t>Ռ անջուր սիլիկագելի վրա, Ռ անջուր կալցիումի քլորիդի</w:t>
      </w:r>
      <w:r w:rsidRPr="00DA21D0">
        <w:rPr>
          <w:rFonts w:ascii="Sylfaen" w:hAnsi="Sylfaen"/>
          <w:sz w:val="24"/>
          <w:szCs w:val="24"/>
        </w:rPr>
        <w:t xml:space="preserve"> վրա կամ այլ հարմար չորացուցիչի վրա) 30 րոպե եւ կշռում են։ Արդյունքն արտահայտում են զանգվածածավալային տոկոսներով։ Չոր մնացորդի պարունակությունը պետք է համապատասխանի մասնավոր դեղագրքային հոդվածում կամ որակի վերաբերյալ նորմատիվ փաստաթղթում նշված սահմանաչափերին։</w:t>
      </w:r>
    </w:p>
    <w:p w14:paraId="0BD2E09A"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pacing w:val="-6"/>
          <w:sz w:val="24"/>
          <w:szCs w:val="24"/>
        </w:rPr>
        <w:t xml:space="preserve">Ծանր մետաղները. </w:t>
      </w:r>
      <w:r w:rsidRPr="00DA21D0">
        <w:rPr>
          <w:rFonts w:ascii="Sylfaen" w:hAnsi="Sylfaen"/>
          <w:spacing w:val="-6"/>
          <w:sz w:val="24"/>
          <w:szCs w:val="24"/>
        </w:rPr>
        <w:t xml:space="preserve">10 մլ ոգեթուրմը ճենապակե թասում լիաչոր շոգեհանում են ջրային բաղնիքի վրա, ավելացնում են 1 մլ </w:t>
      </w:r>
      <w:r w:rsidRPr="00DA21D0">
        <w:rPr>
          <w:rFonts w:ascii="Sylfaen" w:hAnsi="Sylfaen"/>
          <w:i/>
          <w:spacing w:val="-6"/>
          <w:sz w:val="24"/>
          <w:szCs w:val="24"/>
        </w:rPr>
        <w:t>Ռ կոնցենտրացված ծծմբաթթու</w:t>
      </w:r>
      <w:r w:rsidRPr="00DA21D0">
        <w:rPr>
          <w:rFonts w:ascii="Sylfaen" w:hAnsi="Sylfaen"/>
          <w:spacing w:val="-6"/>
          <w:sz w:val="24"/>
          <w:szCs w:val="24"/>
        </w:rPr>
        <w:t>, զգուշորեն</w:t>
      </w:r>
      <w:r w:rsidRPr="00DA21D0">
        <w:rPr>
          <w:rFonts w:ascii="Sylfaen" w:hAnsi="Sylfaen"/>
          <w:sz w:val="24"/>
          <w:szCs w:val="24"/>
        </w:rPr>
        <w:t xml:space="preserve"> այրում եւ շիկացնում են 600 °С ջերմաստիճանում։ Ստացված մնացորդին ավելացնում են տաքացման ընթացքում 5 մլ 615 գ/լ </w:t>
      </w:r>
      <w:r w:rsidRPr="00DA21D0">
        <w:rPr>
          <w:rFonts w:ascii="Sylfaen" w:hAnsi="Sylfaen"/>
          <w:i/>
          <w:sz w:val="24"/>
          <w:szCs w:val="24"/>
        </w:rPr>
        <w:t>Ռ ամոնիումի ացետատի</w:t>
      </w:r>
      <w:r w:rsidRPr="00DA21D0">
        <w:rPr>
          <w:rFonts w:ascii="Sylfaen" w:hAnsi="Sylfaen"/>
          <w:sz w:val="24"/>
          <w:szCs w:val="24"/>
        </w:rPr>
        <w:t xml:space="preserve"> լուծույթ, զտում են անմոխիր զտիչով, լվանում են 5 մլ </w:t>
      </w:r>
      <w:r w:rsidRPr="00DA21D0">
        <w:rPr>
          <w:rFonts w:ascii="Sylfaen" w:hAnsi="Sylfaen"/>
          <w:i/>
          <w:sz w:val="24"/>
          <w:szCs w:val="24"/>
        </w:rPr>
        <w:t>Ռ ջրով</w:t>
      </w:r>
      <w:r w:rsidRPr="00DA21D0">
        <w:rPr>
          <w:rFonts w:ascii="Sylfaen" w:hAnsi="Sylfaen"/>
          <w:sz w:val="24"/>
          <w:szCs w:val="24"/>
        </w:rPr>
        <w:t xml:space="preserve"> եւ ֆիլտրատը հասցնում են </w:t>
      </w:r>
      <w:r w:rsidRPr="00DA21D0">
        <w:rPr>
          <w:rFonts w:ascii="Sylfaen" w:hAnsi="Sylfaen"/>
          <w:i/>
          <w:sz w:val="24"/>
          <w:szCs w:val="24"/>
        </w:rPr>
        <w:t>Ռ ջրով</w:t>
      </w:r>
      <w:r w:rsidRPr="00DA21D0">
        <w:rPr>
          <w:rFonts w:ascii="Sylfaen" w:hAnsi="Sylfaen"/>
          <w:sz w:val="24"/>
          <w:szCs w:val="24"/>
        </w:rPr>
        <w:t xml:space="preserve"> մինչեւ 100 մլ ծավալի, ստացված լուծույթի 12 մլ-ը պետք է անցնի ծանր մետաղների մասով փորձարկումը (</w:t>
      </w:r>
      <w:r w:rsidRPr="00DA21D0">
        <w:rPr>
          <w:rFonts w:ascii="Sylfaen" w:hAnsi="Sylfaen"/>
          <w:i/>
          <w:sz w:val="24"/>
          <w:szCs w:val="24"/>
        </w:rPr>
        <w:t>2.1.4.8. Ծանր մետաղներ</w:t>
      </w:r>
      <w:r w:rsidRPr="00DA21D0">
        <w:rPr>
          <w:rFonts w:ascii="Sylfaen" w:hAnsi="Sylfaen"/>
          <w:sz w:val="24"/>
          <w:szCs w:val="24"/>
        </w:rPr>
        <w:t xml:space="preserve"> ընդհանուր դեղագրքային հոդված, </w:t>
      </w:r>
      <w:r w:rsidRPr="00DA21D0">
        <w:rPr>
          <w:rFonts w:ascii="Sylfaen" w:hAnsi="Sylfaen"/>
          <w:i/>
          <w:sz w:val="24"/>
          <w:szCs w:val="24"/>
        </w:rPr>
        <w:t>Ա մեթոդ</w:t>
      </w:r>
      <w:r w:rsidRPr="00DA21D0">
        <w:rPr>
          <w:rFonts w:ascii="Sylfaen" w:hAnsi="Sylfaen"/>
          <w:sz w:val="24"/>
          <w:szCs w:val="24"/>
        </w:rPr>
        <w:t xml:space="preserve">՝ </w:t>
      </w:r>
      <w:r w:rsidRPr="00DA21D0">
        <w:rPr>
          <w:rFonts w:ascii="Sylfaen" w:hAnsi="Sylfaen"/>
          <w:i/>
          <w:sz w:val="24"/>
          <w:szCs w:val="24"/>
        </w:rPr>
        <w:t>Ռ նատրիումի սուլֆիդի լուծույթի</w:t>
      </w:r>
      <w:r w:rsidRPr="00DA21D0">
        <w:rPr>
          <w:rFonts w:ascii="Sylfaen" w:hAnsi="Sylfaen"/>
          <w:sz w:val="24"/>
          <w:szCs w:val="24"/>
        </w:rPr>
        <w:t xml:space="preserve"> եւ </w:t>
      </w:r>
      <w:r w:rsidRPr="00DA21D0">
        <w:rPr>
          <w:rFonts w:ascii="Sylfaen" w:hAnsi="Sylfaen"/>
          <w:i/>
          <w:sz w:val="24"/>
          <w:szCs w:val="24"/>
        </w:rPr>
        <w:lastRenderedPageBreak/>
        <w:t>Ռ կապարի իոնների ստանդարտ լուծույթի</w:t>
      </w:r>
      <w:r w:rsidRPr="00DA21D0">
        <w:rPr>
          <w:rFonts w:ascii="Sylfaen" w:hAnsi="Sylfaen"/>
          <w:sz w:val="24"/>
          <w:szCs w:val="24"/>
        </w:rPr>
        <w:t xml:space="preserve"> (1 ppm </w:t>
      </w:r>
      <w:r w:rsidRPr="00DA21D0">
        <w:rPr>
          <w:rFonts w:ascii="Sylfaen" w:hAnsi="Sylfaen"/>
          <w:i/>
          <w:sz w:val="24"/>
          <w:szCs w:val="24"/>
        </w:rPr>
        <w:t>Pb</w:t>
      </w:r>
      <w:r w:rsidRPr="00DA21D0">
        <w:rPr>
          <w:rFonts w:ascii="Sylfaen" w:hAnsi="Sylfaen"/>
          <w:i/>
          <w:sz w:val="24"/>
          <w:szCs w:val="24"/>
          <w:vertAlign w:val="superscript"/>
        </w:rPr>
        <w:t>2+</w:t>
      </w:r>
      <w:r w:rsidRPr="00DA21D0">
        <w:rPr>
          <w:rFonts w:ascii="Sylfaen" w:hAnsi="Sylfaen"/>
          <w:sz w:val="24"/>
          <w:szCs w:val="24"/>
        </w:rPr>
        <w:t xml:space="preserve">) օգտագործմամբ)։ Ծանր մետաղների թույլատրելի պարունակությունը չպետք է գերազանցի 10 ppm-ն </w:t>
      </w:r>
      <w:r w:rsidRPr="00DA21D0">
        <w:rPr>
          <w:rFonts w:ascii="Sylfaen" w:hAnsi="Sylfaen"/>
          <w:i/>
          <w:sz w:val="24"/>
          <w:szCs w:val="24"/>
        </w:rPr>
        <w:t>(Pb</w:t>
      </w:r>
      <w:r w:rsidRPr="00DA21D0">
        <w:rPr>
          <w:rFonts w:ascii="Sylfaen" w:hAnsi="Sylfaen"/>
          <w:i/>
          <w:sz w:val="24"/>
          <w:szCs w:val="24"/>
          <w:vertAlign w:val="superscript"/>
        </w:rPr>
        <w:t>2+</w:t>
      </w:r>
      <w:r w:rsidRPr="00DA21D0">
        <w:rPr>
          <w:rFonts w:ascii="Sylfaen" w:hAnsi="Sylfaen"/>
          <w:i/>
          <w:sz w:val="24"/>
          <w:szCs w:val="24"/>
        </w:rPr>
        <w:t>)</w:t>
      </w:r>
      <w:r w:rsidRPr="00DA21D0">
        <w:rPr>
          <w:rFonts w:ascii="Sylfaen" w:hAnsi="Sylfaen"/>
          <w:sz w:val="24"/>
          <w:szCs w:val="24"/>
        </w:rPr>
        <w:t>՝ մասնավոր դեղագրքային հոդվածում այլ ցուցումների բացակայության դեպքում։</w:t>
      </w:r>
    </w:p>
    <w:p w14:paraId="33FF1909"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p>
    <w:p w14:paraId="5C7044BC" w14:textId="77777777" w:rsidR="00134BE9" w:rsidRPr="00DA21D0" w:rsidRDefault="00134BE9" w:rsidP="00176CFD">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205010017-2022</w:t>
      </w:r>
    </w:p>
    <w:p w14:paraId="5A09D1AA" w14:textId="77777777" w:rsidR="00134BE9" w:rsidRPr="00DA21D0" w:rsidRDefault="00134BE9" w:rsidP="00176CFD">
      <w:pPr>
        <w:pStyle w:val="a0"/>
        <w:shd w:val="clear" w:color="auto" w:fill="auto"/>
        <w:spacing w:after="160" w:line="360" w:lineRule="auto"/>
        <w:ind w:firstLine="567"/>
        <w:jc w:val="right"/>
        <w:rPr>
          <w:rFonts w:ascii="Sylfaen" w:hAnsi="Sylfaen" w:cs="Sylfaen"/>
          <w:szCs w:val="24"/>
        </w:rPr>
      </w:pPr>
    </w:p>
    <w:p w14:paraId="45BD39C7" w14:textId="77777777" w:rsidR="00134BE9" w:rsidRPr="00DA21D0" w:rsidRDefault="00134BE9" w:rsidP="00176CFD">
      <w:pPr>
        <w:pStyle w:val="a0"/>
        <w:shd w:val="clear" w:color="auto" w:fill="auto"/>
        <w:tabs>
          <w:tab w:val="left" w:pos="1701"/>
        </w:tabs>
        <w:spacing w:after="160" w:line="360" w:lineRule="auto"/>
        <w:ind w:firstLine="567"/>
        <w:jc w:val="both"/>
        <w:rPr>
          <w:rFonts w:ascii="Sylfaen" w:hAnsi="Sylfaen" w:cs="Sylfaen"/>
          <w:sz w:val="24"/>
          <w:szCs w:val="24"/>
        </w:rPr>
      </w:pPr>
      <w:r w:rsidRPr="00DA21D0">
        <w:rPr>
          <w:rFonts w:ascii="Sylfaen" w:hAnsi="Sylfaen"/>
          <w:b/>
          <w:sz w:val="24"/>
          <w:szCs w:val="24"/>
        </w:rPr>
        <w:t>2.5.1.17.</w:t>
      </w:r>
      <w:r w:rsidRPr="00DA21D0">
        <w:rPr>
          <w:rFonts w:ascii="Sylfaen" w:hAnsi="Sylfaen"/>
          <w:b/>
          <w:sz w:val="24"/>
          <w:szCs w:val="24"/>
        </w:rPr>
        <w:tab/>
        <w:t>Պաստեղներ դեղագործական</w:t>
      </w:r>
    </w:p>
    <w:p w14:paraId="075E6B07"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«Պաստեղներ դեղագործական»՝ պինդ դեղաչափված դեղաձեւ, որն առաձգական-պլաստիկ հիմք է՝ դրանում ազդող նյութի/նյութերի հավասարաչափ բաշխմամբ, նախատեսված է ներծծման համար՝ բերանի խոռոչում եւ կոկորդում տեղային ազդեցություն գործելու նպատակով։</w:t>
      </w:r>
    </w:p>
    <w:p w14:paraId="4C3C95F4"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պաստեղները կարող են պատված լինել թաղանթով։</w:t>
      </w:r>
    </w:p>
    <w:p w14:paraId="4B518423"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ՏԵԽՆՈԼՈԳԻԱՅԻ ԱՌԱՆՁՆԱՀԱՏԿՈՒԹՅՈՒՆՆԵՐԸ</w:t>
      </w:r>
    </w:p>
    <w:p w14:paraId="11470C08"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8D6E8B">
        <w:rPr>
          <w:rFonts w:ascii="Sylfaen" w:hAnsi="Sylfaen"/>
          <w:spacing w:val="-4"/>
          <w:sz w:val="24"/>
          <w:szCs w:val="24"/>
        </w:rPr>
        <w:t>Դեղագործական պաստեղներն արտադրում են պլաստիկ զանգվածի կաղապարման (լցակաղապարման) եղանակով, որը, որպես կանոն, պարունակում է բուրավետացված եւ քաղցրացված հիմնանյութ՝ դրանում ներմուծված ակտիվ դեղագործական</w:t>
      </w:r>
      <w:r w:rsidRPr="00DA21D0">
        <w:rPr>
          <w:rFonts w:ascii="Sylfaen" w:hAnsi="Sylfaen"/>
          <w:sz w:val="24"/>
          <w:szCs w:val="24"/>
        </w:rPr>
        <w:t xml:space="preserve"> բաղադրամասով (բաղադրամասերով)։</w:t>
      </w:r>
    </w:p>
    <w:p w14:paraId="6DA55629"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պաստեղների համար որպես հիմնանյութ օգտագործում են բնական բարձրամոլեկուլյար միացություններ կամ սինթետիկ պոլիմերներ կամ խեժեր համի եւ հոտի կորիգենտների եւ այլ օժանդակ այնպիսի նյութերի ավելացմամբ, որոնք ապահովում են սննդային ներկանյութերի եւ դեղագործական պաստեղների կիրառման եղանակի առանձնահատկությունը՝ ներծծման ժամանակ բերանի խոռոչում աստիճանաբար լուծվելը։</w:t>
      </w:r>
    </w:p>
    <w:p w14:paraId="7AE75921" w14:textId="77777777" w:rsidR="00134BE9" w:rsidRPr="003A4194" w:rsidRDefault="00134BE9" w:rsidP="00176CFD">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Դեղագործական պաստեղների համն ապահովվում է քազցրացուցիչների, շաքարափոխարինիչների եւ այդ դասի այլ նյութերի հաշվին։</w:t>
      </w:r>
    </w:p>
    <w:p w14:paraId="1853391B" w14:textId="77777777" w:rsidR="00176CFD" w:rsidRPr="003A4194" w:rsidRDefault="00176CFD" w:rsidP="00176CFD">
      <w:pPr>
        <w:pStyle w:val="a0"/>
        <w:shd w:val="clear" w:color="auto" w:fill="auto"/>
        <w:spacing w:after="160" w:line="360" w:lineRule="auto"/>
        <w:ind w:firstLine="567"/>
        <w:jc w:val="both"/>
        <w:rPr>
          <w:rFonts w:ascii="Sylfaen" w:hAnsi="Sylfaen" w:cs="Sylfaen"/>
          <w:sz w:val="24"/>
          <w:szCs w:val="24"/>
        </w:rPr>
      </w:pPr>
    </w:p>
    <w:p w14:paraId="4BC28CDC"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Որպես օժանդակ նյութեր դեղագործական պաստեղներ արտադրելիս օգտագործում են նաեւ հակամանրէային կոնսերվանտներ (օրինակ՝ սորբինաթթու), պլաստիկացնողներ եւ այլն։</w:t>
      </w:r>
    </w:p>
    <w:p w14:paraId="01A2BBC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Պաստեղներ դեղագործական</w:t>
      </w:r>
      <w:r w:rsidRPr="00DA21D0">
        <w:rPr>
          <w:rFonts w:ascii="Sylfaen" w:hAnsi="Sylfaen"/>
          <w:sz w:val="24"/>
          <w:szCs w:val="24"/>
        </w:rPr>
        <w:t xml:space="preserve"> դեղաձեւի տեսքով դեղապատրաստուկների արտադրության ժամանակ պետք է ձեռնարկվեն դրանց մանրէաբանական մաքրությունն ապահովող միջոցներ։</w:t>
      </w:r>
    </w:p>
    <w:p w14:paraId="5B0A6B5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39C44B89"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3A9299C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պաստեղները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2522BE1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Դեղագործական պաստեղները բնութագրում են՝ նշելով արտաքին տեսքը (ձեւը եւ այլն), զգայորոշման (գույն, հոտ) եւ մյուս հատկությունները՝ մասնավոր դեղագրքային հոդվածի եւ (կամ) որակի վերաբերյալ նորմատիվ փաստաթղթի պահանջներին համապատասխան։ Մասնավոր դեղագրքային հոդվածում կամ որակի վերաբերյալ նորմատիվ փաստաթղթում այլ ցուցումների բացակայության դեպքում պաստեղի մակերեսը պետք է լինի հարթ, միատարր։</w:t>
      </w:r>
    </w:p>
    <w:p w14:paraId="40E42F4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միատարրությունը.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2.1.9.5. Դեղաչափված դեղապատրաստուկի միավորի զանգվածի միատարրությունը</w:t>
      </w:r>
      <w:r w:rsidRPr="00DA21D0">
        <w:rPr>
          <w:rFonts w:ascii="Sylfaen" w:hAnsi="Sylfaen"/>
          <w:sz w:val="24"/>
          <w:szCs w:val="24"/>
        </w:rPr>
        <w:t xml:space="preserve"> ընդհանուր դեղագրքային հոդվածին եւ մասնավոր դեղագրքային հոդվածում եւ (</w:t>
      </w:r>
      <w:r w:rsidRPr="008D6E8B">
        <w:rPr>
          <w:rFonts w:ascii="Sylfaen" w:hAnsi="Sylfaen"/>
          <w:spacing w:val="-4"/>
          <w:sz w:val="24"/>
          <w:szCs w:val="24"/>
        </w:rPr>
        <w:t>կամ) որակի վերաբերյալ նորմատիվ փաստաթղթում նշված պահանջներին համապատասխան։ Փորձարկումը չեն կիրառում այն դեպքում, երբ նախատեսված է փորձարկում</w:t>
      </w:r>
      <w:r w:rsidRPr="00DA21D0">
        <w:rPr>
          <w:rFonts w:ascii="Sylfaen" w:hAnsi="Sylfaen"/>
          <w:sz w:val="24"/>
          <w:szCs w:val="24"/>
        </w:rPr>
        <w:t xml:space="preserve">՝ ըստ </w:t>
      </w:r>
      <w:r w:rsidRPr="00DA21D0">
        <w:rPr>
          <w:rFonts w:ascii="Sylfaen" w:hAnsi="Sylfaen"/>
          <w:i/>
          <w:sz w:val="24"/>
          <w:szCs w:val="24"/>
        </w:rPr>
        <w:t>Դեղաչափման միատարրությունը</w:t>
      </w:r>
      <w:r w:rsidRPr="00DA21D0">
        <w:rPr>
          <w:rFonts w:ascii="Sylfaen" w:hAnsi="Sylfaen"/>
          <w:sz w:val="24"/>
          <w:szCs w:val="24"/>
        </w:rPr>
        <w:t xml:space="preserve"> որակի ցուցանիշի՝ բոլոր ազդող նյութերի համար։</w:t>
      </w:r>
    </w:p>
    <w:p w14:paraId="0CF7BC33" w14:textId="77777777" w:rsidR="00134BE9" w:rsidRPr="00DA21D0" w:rsidRDefault="00134BE9" w:rsidP="00134BE9">
      <w:pPr>
        <w:pStyle w:val="a0"/>
        <w:shd w:val="clear" w:color="auto" w:fill="auto"/>
        <w:spacing w:after="160" w:line="360" w:lineRule="auto"/>
        <w:ind w:firstLine="567"/>
        <w:jc w:val="both"/>
        <w:rPr>
          <w:rFonts w:ascii="Sylfaen" w:hAnsi="Sylfaen"/>
          <w:b/>
          <w:sz w:val="24"/>
          <w:szCs w:val="24"/>
        </w:rPr>
      </w:pPr>
      <w:r w:rsidRPr="00DA21D0">
        <w:rPr>
          <w:rFonts w:ascii="Sylfaen" w:hAnsi="Sylfaen"/>
          <w:b/>
          <w:sz w:val="24"/>
          <w:szCs w:val="24"/>
        </w:rPr>
        <w:t xml:space="preserve">Տրոհելիությունը. </w:t>
      </w:r>
      <w:r w:rsidRPr="00DA21D0">
        <w:rPr>
          <w:rFonts w:ascii="Sylfaen" w:hAnsi="Sylfaen"/>
          <w:sz w:val="24"/>
          <w:szCs w:val="24"/>
        </w:rPr>
        <w:t xml:space="preserve">Փորձարկումն անցկացնում են </w:t>
      </w:r>
      <w:r w:rsidRPr="00DA21D0">
        <w:rPr>
          <w:rFonts w:ascii="Sylfaen" w:hAnsi="Sylfaen"/>
          <w:i/>
          <w:sz w:val="24"/>
          <w:szCs w:val="24"/>
        </w:rPr>
        <w:t>2.1.9.1. Դեղահաբերի եւ դեղապատիճների տրոհելիությունը</w:t>
      </w:r>
      <w:r w:rsidRPr="00DA21D0">
        <w:rPr>
          <w:rFonts w:ascii="Sylfaen" w:hAnsi="Sylfaen"/>
          <w:sz w:val="24"/>
          <w:szCs w:val="24"/>
        </w:rPr>
        <w:t xml:space="preserve"> ընդհանուր դեղագրքային հոդվածին եւ </w:t>
      </w:r>
      <w:r w:rsidRPr="00DA21D0">
        <w:rPr>
          <w:rFonts w:ascii="Sylfaen" w:hAnsi="Sylfaen"/>
          <w:sz w:val="24"/>
          <w:szCs w:val="24"/>
        </w:rPr>
        <w:lastRenderedPageBreak/>
        <w:t>մասնավոր դեղագրքային հոդվածում եւ (կամ) որակի վերաբերյալ նորմատիվ փաստաթղթում նշված պահանջներին համապատասխան։ Մասնավոր դեղագրքային հոդվածում եւ (կամ) որակի վերաբերյալ նորմատիվ փաստաթղթում այլ ցուցումների բացակայության դեպքում որպես հեղուկ միջավայր փորձարկման ժամանակ օգտագործում են ջուր։</w:t>
      </w:r>
    </w:p>
    <w:p w14:paraId="16FBA37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Զանգվածի կորուստը՝ չորացնելիս կամ Ջուրը. </w:t>
      </w:r>
      <w:r w:rsidRPr="00DA21D0">
        <w:rPr>
          <w:rFonts w:ascii="Sylfaen" w:hAnsi="Sylfaen"/>
          <w:sz w:val="24"/>
          <w:szCs w:val="24"/>
        </w:rPr>
        <w:t xml:space="preserve">Փորձարկումն անցկացնում են մասնավոր դեղագրքային հոդվածի կամ որակի վերաբերյալ նորմատիվ փաստաթղթի պահանջներին համապատասխան այն դեպքերում, երբ ջրի պարունակությունը կարող է ազդել դեղագործական պաստեղների հիմնանյութի ֆիզիկաքիմիական հատկությունների վրա (առաձգական-պլաստիկ հատկությունների պահպանում), </w:t>
      </w:r>
      <w:r w:rsidRPr="00DA21D0">
        <w:rPr>
          <w:rFonts w:ascii="Sylfaen" w:hAnsi="Sylfaen"/>
          <w:i/>
          <w:sz w:val="24"/>
          <w:szCs w:val="24"/>
        </w:rPr>
        <w:t>Դեղագործական պաստեղներ</w:t>
      </w:r>
      <w:r w:rsidRPr="00DA21D0">
        <w:rPr>
          <w:rFonts w:ascii="Sylfaen" w:hAnsi="Sylfaen"/>
          <w:sz w:val="24"/>
          <w:szCs w:val="24"/>
        </w:rPr>
        <w:t xml:space="preserve"> դեղաձեւով դեղապատրաստուկի ազդող նյութի/նյութերի հատկությունների կայունության վրա եւ այլն։</w:t>
      </w:r>
    </w:p>
    <w:p w14:paraId="4EBB6CF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Որոշումն անցկացնում են </w:t>
      </w:r>
      <w:r w:rsidRPr="00DA21D0">
        <w:rPr>
          <w:rFonts w:ascii="Sylfaen" w:hAnsi="Sylfaen"/>
          <w:i/>
          <w:sz w:val="24"/>
          <w:szCs w:val="24"/>
        </w:rPr>
        <w:t>2.1.2.31. Զանգվածի կորուստը՝ չորացնելիս</w:t>
      </w:r>
      <w:r w:rsidRPr="00DA21D0">
        <w:rPr>
          <w:rFonts w:ascii="Sylfaen" w:hAnsi="Sylfaen"/>
          <w:sz w:val="24"/>
          <w:szCs w:val="24"/>
        </w:rPr>
        <w:t xml:space="preserve"> ընդհանուր դեղագրքային հոդվածին կամ </w:t>
      </w:r>
      <w:r w:rsidRPr="00DA21D0">
        <w:rPr>
          <w:rFonts w:ascii="Sylfaen" w:hAnsi="Sylfaen"/>
          <w:i/>
          <w:sz w:val="24"/>
          <w:szCs w:val="24"/>
        </w:rPr>
        <w:t>2.1.5.12. Ջուր. որոշում կիսամիկրոմեթոդով</w:t>
      </w:r>
      <w:r w:rsidRPr="00DA21D0">
        <w:rPr>
          <w:rFonts w:ascii="Sylfaen" w:hAnsi="Sylfaen"/>
          <w:sz w:val="24"/>
          <w:szCs w:val="24"/>
        </w:rPr>
        <w:t xml:space="preserve"> ընդհանուր դեղագրքային հոդվածին կամ </w:t>
      </w:r>
      <w:r w:rsidRPr="00DA21D0">
        <w:rPr>
          <w:rFonts w:ascii="Sylfaen" w:hAnsi="Sylfaen"/>
          <w:i/>
          <w:sz w:val="24"/>
          <w:szCs w:val="24"/>
        </w:rPr>
        <w:t>2.1.5.13. Ջուր. միկրոորոշում</w:t>
      </w:r>
      <w:r w:rsidRPr="00DA21D0">
        <w:rPr>
          <w:rFonts w:ascii="Sylfaen" w:hAnsi="Sylfaen"/>
          <w:sz w:val="24"/>
          <w:szCs w:val="24"/>
        </w:rPr>
        <w:t xml:space="preserve"> ընդհանուր դեղագրքային հոդվածին համապատասխան եւ մասնավոր դեղագրքային հոդվածում եւ (կամ) որակի վերաբերյալ նորմատիվ փաստաթղթում նշված պահանջներին համապատասխան։</w:t>
      </w:r>
    </w:p>
    <w:p w14:paraId="074F296E"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 w:val="24"/>
          <w:szCs w:val="24"/>
        </w:rPr>
      </w:pPr>
      <w:r w:rsidRPr="008D6E8B">
        <w:rPr>
          <w:rFonts w:ascii="Sylfaen" w:hAnsi="Sylfaen"/>
          <w:b/>
          <w:spacing w:val="-4"/>
          <w:sz w:val="24"/>
          <w:szCs w:val="24"/>
        </w:rPr>
        <w:t xml:space="preserve">Դեղաչափված միավորների միատարրությունը. </w:t>
      </w:r>
      <w:r w:rsidRPr="008D6E8B">
        <w:rPr>
          <w:rFonts w:ascii="Sylfaen" w:hAnsi="Sylfaen"/>
          <w:spacing w:val="-4"/>
          <w:sz w:val="24"/>
          <w:szCs w:val="24"/>
        </w:rPr>
        <w:t xml:space="preserve">Փորձարկումն անցկացնում են </w:t>
      </w:r>
      <w:r w:rsidRPr="008D6E8B">
        <w:rPr>
          <w:rFonts w:ascii="Sylfaen" w:hAnsi="Sylfaen"/>
          <w:i/>
          <w:spacing w:val="-4"/>
          <w:sz w:val="24"/>
          <w:szCs w:val="24"/>
        </w:rPr>
        <w:t>2.1.9.14. Դեղաչափված միավորների միատարրությունը</w:t>
      </w:r>
      <w:r w:rsidRPr="008D6E8B">
        <w:rPr>
          <w:rFonts w:ascii="Sylfaen" w:hAnsi="Sylfaen"/>
          <w:spacing w:val="-4"/>
          <w:sz w:val="24"/>
          <w:szCs w:val="24"/>
        </w:rPr>
        <w:t xml:space="preserve"> ընդհանուր դեղագրքային հոդվածին եւ մասնավոր դեղագրքային հոդվածում եւ (կամ) որակի վերաբերյալ</w:t>
      </w:r>
      <w:r w:rsidRPr="00DA21D0">
        <w:rPr>
          <w:rFonts w:ascii="Sylfaen" w:hAnsi="Sylfaen"/>
          <w:sz w:val="24"/>
          <w:szCs w:val="24"/>
        </w:rPr>
        <w:t xml:space="preserve"> նորմատիվ փաստաթղթում նշված պահանջներին համապատասխան։ Եթե մասնավոր դեղագրքային հոդվածում եւ (կամ) որակի վերաբերյալ նորմատիվ փաստաթղթում այլ բան նշված չէ, ապա փորձարկումն անցկացնում են այնպես, ինչպես </w:t>
      </w:r>
      <w:r w:rsidRPr="00DA21D0">
        <w:rPr>
          <w:rFonts w:ascii="Sylfaen" w:hAnsi="Sylfaen"/>
          <w:i/>
          <w:sz w:val="24"/>
          <w:szCs w:val="24"/>
        </w:rPr>
        <w:t>Դեղահաբեր</w:t>
      </w:r>
      <w:r w:rsidRPr="00DA21D0">
        <w:rPr>
          <w:rFonts w:ascii="Sylfaen" w:hAnsi="Sylfaen"/>
          <w:sz w:val="24"/>
          <w:szCs w:val="24"/>
        </w:rPr>
        <w:t xml:space="preserve"> դեղաձեւի համար։</w:t>
      </w:r>
    </w:p>
    <w:p w14:paraId="02F5063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0CFBB6EF" w14:textId="77777777" w:rsidR="00176CFD" w:rsidRPr="003A4194" w:rsidRDefault="00176CFD" w:rsidP="00134BE9">
      <w:pPr>
        <w:pStyle w:val="a0"/>
        <w:shd w:val="clear" w:color="auto" w:fill="auto"/>
        <w:spacing w:after="160" w:line="360" w:lineRule="auto"/>
        <w:ind w:firstLine="567"/>
        <w:jc w:val="right"/>
        <w:rPr>
          <w:rFonts w:ascii="Sylfaen" w:hAnsi="Sylfaen"/>
          <w:b/>
          <w:szCs w:val="24"/>
        </w:rPr>
      </w:pPr>
    </w:p>
    <w:p w14:paraId="2FA5B197" w14:textId="77777777" w:rsidR="00134BE9" w:rsidRPr="00DA21D0" w:rsidRDefault="00134BE9" w:rsidP="00176CFD">
      <w:pPr>
        <w:pStyle w:val="a0"/>
        <w:shd w:val="clear" w:color="auto" w:fill="auto"/>
        <w:spacing w:after="160" w:line="346" w:lineRule="auto"/>
        <w:ind w:firstLine="567"/>
        <w:jc w:val="right"/>
        <w:rPr>
          <w:rFonts w:ascii="Sylfaen" w:hAnsi="Sylfaen" w:cs="Sylfaen"/>
          <w:szCs w:val="24"/>
        </w:rPr>
      </w:pPr>
      <w:r w:rsidRPr="00DA21D0">
        <w:rPr>
          <w:rFonts w:ascii="Sylfaen" w:hAnsi="Sylfaen"/>
          <w:b/>
          <w:szCs w:val="24"/>
        </w:rPr>
        <w:lastRenderedPageBreak/>
        <w:t>205010018-2022</w:t>
      </w:r>
    </w:p>
    <w:p w14:paraId="029AB242" w14:textId="77777777" w:rsidR="00134BE9" w:rsidRPr="00DA21D0" w:rsidRDefault="00134BE9" w:rsidP="00176CFD">
      <w:pPr>
        <w:pStyle w:val="a0"/>
        <w:shd w:val="clear" w:color="auto" w:fill="auto"/>
        <w:spacing w:after="160" w:line="346" w:lineRule="auto"/>
        <w:ind w:firstLine="567"/>
        <w:rPr>
          <w:rFonts w:ascii="Sylfaen" w:hAnsi="Sylfaen"/>
          <w:b/>
          <w:sz w:val="24"/>
          <w:szCs w:val="24"/>
        </w:rPr>
      </w:pPr>
    </w:p>
    <w:p w14:paraId="03B5525A" w14:textId="77777777" w:rsidR="00134BE9" w:rsidRPr="00DA21D0" w:rsidRDefault="00134BE9" w:rsidP="00176CFD">
      <w:pPr>
        <w:pStyle w:val="a0"/>
        <w:shd w:val="clear" w:color="auto" w:fill="auto"/>
        <w:tabs>
          <w:tab w:val="left" w:pos="1701"/>
        </w:tabs>
        <w:spacing w:after="160" w:line="346" w:lineRule="auto"/>
        <w:ind w:firstLine="567"/>
        <w:rPr>
          <w:rFonts w:ascii="Sylfaen" w:hAnsi="Sylfaen" w:cs="Sylfaen"/>
          <w:sz w:val="24"/>
          <w:szCs w:val="24"/>
        </w:rPr>
      </w:pPr>
      <w:r w:rsidRPr="00DA21D0">
        <w:rPr>
          <w:rFonts w:ascii="Sylfaen" w:hAnsi="Sylfaen"/>
          <w:b/>
          <w:sz w:val="24"/>
          <w:szCs w:val="24"/>
        </w:rPr>
        <w:t>2.5.1.18.</w:t>
      </w:r>
      <w:r w:rsidRPr="00DA21D0">
        <w:rPr>
          <w:rFonts w:ascii="Sylfaen" w:hAnsi="Sylfaen"/>
          <w:b/>
          <w:sz w:val="24"/>
          <w:szCs w:val="24"/>
        </w:rPr>
        <w:tab/>
        <w:t>Փրփուրներ դեղագործական</w:t>
      </w:r>
    </w:p>
    <w:p w14:paraId="5E2503A6"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«Փրփուրներ դեղագործական»՝ դեղաձեւ, որն այնպիսի ակտիվ եւ օժանդակ նյութերի (այդ թվում՝ մակերեսային ակտիվ նյութերի) լուծույթ, էմուլսիա կամ դեղակախույթ է, որոնք գտնվում են պրոպելենտի ճնշման ներքո փականային-ցնցղիչ համակարգով համալրված հերմետիկ փաթեթվածքում, որն ապահովում է պարունակության ձերբազատումը գազի՝ հեղուկ, ավելի հազվադեպ պինդ ֆազերում դիսպերսման տեսքով։</w:t>
      </w:r>
    </w:p>
    <w:p w14:paraId="4D09F24A"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Դեղագործական փրփուրները եռաֆազ դիսպերս համակարգ է, որը պարունակում է մակերեւութաակտիվ օժանդակ նյութերի, լուծիչների եւ պրոպելենտի՝ գազի ճնշման տակ գտնվող մյուս նյութերի ավելացմամբ ազդող նյութեր։</w:t>
      </w:r>
    </w:p>
    <w:p w14:paraId="11A0E4EA"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Պայմանավորված դիսպերս համակարգի բնույթով՝ տարբերակում են ջրային եւ անջուր դեղագործական փրփուրներ (ջրասպիրտային, յուղային եւ այլն)։</w:t>
      </w:r>
    </w:p>
    <w:p w14:paraId="647AAB4A"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Դեղապատրաստուկի բաղադրության մեջ մտնող ակտիվ դեղագործական բաղադրամասերի եւ օժանդակ նյութերի հատկությամբ պայմանավորված՝ դեղագործական փրփուրները կարող են լինել արագ քայքայվող եւ կայունացված։</w:t>
      </w:r>
    </w:p>
    <w:p w14:paraId="510A1E42"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Ներմուծման ուղիով եւ կիրառման եղանակով պայմանավորված՝ առանձնացնում են, որպես կանոն, արտաքին կիրառման դեղագործական փրփուրներ եւ տեղային կիրառման դեղագործական փրփուրներ։</w:t>
      </w:r>
    </w:p>
    <w:p w14:paraId="0C37A4CB"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 xml:space="preserve">Արտաքին կիրառման դեղագործական փրփուր՝ </w:t>
      </w:r>
      <w:r w:rsidRPr="00DA21D0">
        <w:rPr>
          <w:rFonts w:ascii="Sylfaen" w:hAnsi="Sylfaen"/>
          <w:sz w:val="24"/>
          <w:szCs w:val="24"/>
        </w:rPr>
        <w:t>դեղագործական փրփուր, որը նախատեսված է արտաքին կիրառման համար։ Արտաքին կիրառման դեղագործական փրփուրները նստեցումից հետո կարող են գոյացնել պաշտպանիչ թաղանթ։</w:t>
      </w:r>
    </w:p>
    <w:p w14:paraId="4DB9B8EA"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Արտաքին կիրառման դեղագործական փրփուրների շարքին են դասվում </w:t>
      </w:r>
      <w:r w:rsidRPr="00DA21D0">
        <w:rPr>
          <w:rFonts w:ascii="Sylfaen" w:hAnsi="Sylfaen"/>
          <w:i/>
          <w:sz w:val="24"/>
          <w:szCs w:val="24"/>
        </w:rPr>
        <w:t>հեշտոցային դեղագործական փրփուրը, ներարգանդային դեղագործական փրփուրը, ուղիղաղիքային փրփուրը</w:t>
      </w:r>
      <w:r w:rsidRPr="00DA21D0">
        <w:rPr>
          <w:rFonts w:ascii="Sylfaen" w:hAnsi="Sylfaen"/>
          <w:sz w:val="24"/>
          <w:szCs w:val="24"/>
        </w:rPr>
        <w:t>։</w:t>
      </w:r>
    </w:p>
    <w:p w14:paraId="68F7D98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Դեղագործական փրփուրները կարող են լինել դեղաչափված եւ չդեղաչափված։</w:t>
      </w:r>
    </w:p>
    <w:p w14:paraId="0761C95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4D751320"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1F6B7F4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փրփուրների բաղադրության մեջ մտնող օժանդակ նյութերը պետք է ապահովեն դեղաձեւի օպտիմալ տեխնոլոգիական բնութագրերը, համատեղելի լինեն դեղաձեւի մյուս բաղադրիչների եւ փաթեթվածքի նյութի հետ։</w:t>
      </w:r>
    </w:p>
    <w:p w14:paraId="79FE99A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փրփուրները կարող են ստացվել ջրային եւ անջուր </w:t>
      </w:r>
      <w:r w:rsidRPr="008D6E8B">
        <w:rPr>
          <w:rFonts w:ascii="Sylfaen" w:hAnsi="Sylfaen"/>
          <w:spacing w:val="-4"/>
          <w:sz w:val="24"/>
          <w:szCs w:val="24"/>
        </w:rPr>
        <w:t>լուծիչների օգտագործմամբ։ Որպես ջրային լուծիչներ օգտագործում են մաքրված ջուրը կամ ներարկումների համար ջուրը. որպես անջուր լուծիչներ օգտագործում են սպիրտներ</w:t>
      </w:r>
      <w:r w:rsidRPr="00DA21D0">
        <w:rPr>
          <w:rFonts w:ascii="Sylfaen" w:hAnsi="Sylfaen"/>
          <w:sz w:val="24"/>
          <w:szCs w:val="24"/>
        </w:rPr>
        <w:t>, հանքային եւ ճարպային յուղեր եւ այլն։</w:t>
      </w:r>
    </w:p>
    <w:p w14:paraId="3759E48D" w14:textId="77777777" w:rsidR="00134BE9" w:rsidRPr="00DA21D0" w:rsidRDefault="00134BE9" w:rsidP="00134BE9">
      <w:pPr>
        <w:spacing w:after="160" w:line="346" w:lineRule="auto"/>
        <w:ind w:firstLine="567"/>
        <w:jc w:val="both"/>
      </w:pPr>
      <w:r w:rsidRPr="00DA21D0">
        <w:t xml:space="preserve">Դեղագործական փրփուրների բաղադրության մեջ պարտադիր ներմուծում են մակերեւութաակտիվ նյութի (նյութերի) լուծույթ եւ գազ՝ պրոպելենտ, ինչպես նաեւ կայունացուցիչներ, հակամանրէային կոնսերվանտներ եւ բժշկական կիրառման համար թույլատրված այլ օժանդակ նյութեր։ </w:t>
      </w:r>
    </w:p>
    <w:p w14:paraId="0EA1CE51"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8D6E8B">
        <w:rPr>
          <w:rFonts w:ascii="Sylfaen" w:hAnsi="Sylfaen"/>
          <w:spacing w:val="-4"/>
          <w:sz w:val="24"/>
          <w:szCs w:val="24"/>
        </w:rPr>
        <w:t>Մակերեւութաակտիվ նյութերը (օրինակ՝ պոլիսորբատները) օգտագործում են դիսպերս միջավայրում գազի բաշխումն ապահովելու եւ դեղագործական փրփուրը կայունացնելու</w:t>
      </w:r>
      <w:r w:rsidRPr="00DA21D0">
        <w:rPr>
          <w:rFonts w:ascii="Sylfaen" w:hAnsi="Sylfaen"/>
          <w:sz w:val="24"/>
          <w:szCs w:val="24"/>
        </w:rPr>
        <w:t xml:space="preserve"> համար։</w:t>
      </w:r>
    </w:p>
    <w:p w14:paraId="7074ABC6"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8D6E8B">
        <w:rPr>
          <w:rFonts w:ascii="Sylfaen" w:hAnsi="Sylfaen"/>
          <w:spacing w:val="-4"/>
          <w:sz w:val="24"/>
          <w:szCs w:val="24"/>
        </w:rPr>
        <w:t>Կայուն փրփուրը գոյանում է, եթե պրոպելենտը, որպես կանոն, ներմուծում են դիսպերս</w:t>
      </w:r>
      <w:r w:rsidRPr="00DA21D0">
        <w:rPr>
          <w:rFonts w:ascii="Sylfaen" w:hAnsi="Sylfaen"/>
          <w:sz w:val="24"/>
          <w:szCs w:val="24"/>
        </w:rPr>
        <w:t xml:space="preserve"> ֆազի բաղադրության մեջ («յուղ՝ ջրի մեջ» տիպի էմուլսիա)։</w:t>
      </w:r>
    </w:p>
    <w:p w14:paraId="46EECD88"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Փրփուրներ դեղագործական</w:t>
      </w:r>
      <w:r w:rsidRPr="00DA21D0">
        <w:rPr>
          <w:rFonts w:ascii="Sylfaen" w:hAnsi="Sylfaen"/>
          <w:sz w:val="24"/>
          <w:szCs w:val="24"/>
        </w:rPr>
        <w:t xml:space="preserve"> դեղաձեւով դեղապատրաստուկներ արտադրելիս պետք է ձեռնարկվեն դրանց մանրէաբանական մաքրությունն ապահովող միջոցներ, դեղագործական մանրէազերծ փրփուրներ արտադրելիս պետք է ձեռնարկվեն դրանց մանրէազերծությունն ապահովող միջոցներ։</w:t>
      </w:r>
    </w:p>
    <w:p w14:paraId="524FA4F6" w14:textId="77777777" w:rsidR="00176CFD" w:rsidRDefault="00176CFD">
      <w:pPr>
        <w:rPr>
          <w:rFonts w:eastAsia="Times New Roman"/>
          <w:color w:val="auto"/>
        </w:rPr>
      </w:pPr>
      <w:r>
        <w:br w:type="page"/>
      </w:r>
    </w:p>
    <w:p w14:paraId="547840F1"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lastRenderedPageBreak/>
        <w:t>ՓՈՐՁԱՐԿՈՒՄՆԵՐԸ</w:t>
      </w:r>
    </w:p>
    <w:p w14:paraId="246033A5"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փրփուրները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19AA0F78" w14:textId="77777777" w:rsidR="00134BE9" w:rsidRPr="00DA21D0" w:rsidRDefault="00134BE9" w:rsidP="00176CFD">
      <w:pPr>
        <w:pStyle w:val="a0"/>
        <w:shd w:val="clear" w:color="auto" w:fill="auto"/>
        <w:spacing w:after="160" w:line="360" w:lineRule="auto"/>
        <w:ind w:firstLine="567"/>
        <w:jc w:val="both"/>
        <w:rPr>
          <w:rFonts w:ascii="Sylfaen" w:hAnsi="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Դեղագործական փրփուրները բնութագրում են՝ նշելով արտաքին տեսքը (թանձրությունը եւ այլն), զգայորոշման (գույն, հոտ) եւ փաթեթվածքի ձերբազատված պարունակության մյուս հատկությունները՝ մասնավոր դեղագրքային հոդվածի եւ (կամ) որակի վերաբերյալ նորմատիվ փաստաթղթի պահանջներին համապատասխան։ Դեղագործական փրփուրների թանձրությունը նկարագրելիս կարող են կիրառվել հետեւյալ եզրույթները. կրեմանման, մանրախորշավոր, պղպջող եւ այլն։</w:t>
      </w:r>
    </w:p>
    <w:p w14:paraId="2C202FDC"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pH-ը. </w:t>
      </w:r>
      <w:r w:rsidRPr="00DA21D0">
        <w:rPr>
          <w:rFonts w:ascii="Sylfaen" w:hAnsi="Sylfaen"/>
          <w:sz w:val="24"/>
          <w:szCs w:val="24"/>
        </w:rPr>
        <w:t xml:space="preserve">Որոշումն անցկացնում են </w:t>
      </w:r>
      <w:r w:rsidRPr="00DA21D0">
        <w:rPr>
          <w:rFonts w:ascii="Sylfaen" w:hAnsi="Sylfaen"/>
          <w:i/>
          <w:sz w:val="24"/>
          <w:szCs w:val="24"/>
        </w:rPr>
        <w:t>2.1.2.3. pH-ի պոտենցաչափական որոշում</w:t>
      </w:r>
      <w:r w:rsidRPr="00DA21D0">
        <w:rPr>
          <w:rFonts w:ascii="Sylfaen" w:hAnsi="Sylfaen"/>
          <w:sz w:val="24"/>
          <w:szCs w:val="24"/>
        </w:rPr>
        <w:t xml:space="preserve"> ընդհանուր դեղագրքային հոդվածին համապատասխան։ Որոշում են ստացված ջրային լուծույթի pH-ը փրփուրի նստեցումից հետո կամ դեղապատրաստուկը ջրում լուծվելուց հետո։ Փորձարկման անցկացման պայմանները եւ pH-ի արժեքը նշում են մասնավոր դեղագրքային հոդվածում եւ (կամ) որակի վերաբերյալ նորմատիվ փաստաթղթում։</w:t>
      </w:r>
    </w:p>
    <w:p w14:paraId="69D8C66A" w14:textId="77777777" w:rsidR="00134BE9" w:rsidRPr="00DA21D0" w:rsidRDefault="00134BE9" w:rsidP="00176CFD">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Ճնշումը փաթեթվածքում. </w:t>
      </w:r>
      <w:r w:rsidRPr="00DA21D0">
        <w:rPr>
          <w:rFonts w:ascii="Sylfaen" w:hAnsi="Sylfaen"/>
          <w:sz w:val="24"/>
          <w:szCs w:val="24"/>
        </w:rPr>
        <w:t xml:space="preserve">Փորձարկումն անցկացնում են դեղագործական փրփուրների համար տեխնոլոգիական գործընթացի փուլում, որոնցում պրոպելենտները սեղմված գազերն են՝ </w:t>
      </w:r>
      <w:r w:rsidRPr="00DA21D0">
        <w:rPr>
          <w:rFonts w:ascii="Sylfaen" w:hAnsi="Sylfaen"/>
          <w:i/>
          <w:sz w:val="24"/>
          <w:szCs w:val="24"/>
        </w:rPr>
        <w:t>2.1.9.20. Ճնշման որոշում հերմետիկ փաթեթվածքում</w:t>
      </w:r>
      <w:r w:rsidRPr="00DA21D0">
        <w:rPr>
          <w:rFonts w:ascii="Sylfaen" w:hAnsi="Sylfaen"/>
          <w:sz w:val="24"/>
          <w:szCs w:val="24"/>
        </w:rPr>
        <w:t xml:space="preserve"> ընդհանուր դեղագրքային հոդվածին եւ մասնավոր դեղագրքային հոդվածում (կամ) որակի վերաբերյալ նորմատիվ փաստաթղթում նշված պահանջներին համապատասխան։</w:t>
      </w:r>
    </w:p>
    <w:p w14:paraId="3C40B2E4" w14:textId="77777777" w:rsidR="00134BE9" w:rsidRPr="00B5542D" w:rsidRDefault="00134BE9" w:rsidP="00176CFD">
      <w:pPr>
        <w:spacing w:after="160" w:line="360" w:lineRule="auto"/>
        <w:ind w:firstLine="567"/>
        <w:jc w:val="both"/>
      </w:pPr>
      <w:r w:rsidRPr="00DA21D0">
        <w:rPr>
          <w:b/>
        </w:rPr>
        <w:t xml:space="preserve">Փաթեթվածքի հերմետիկությունը. </w:t>
      </w:r>
      <w:r w:rsidRPr="00DA21D0">
        <w:t xml:space="preserve">Փորձարկումն անցկացնում են </w:t>
      </w:r>
      <w:r w:rsidRPr="00DA21D0">
        <w:rPr>
          <w:i/>
        </w:rPr>
        <w:t>2.1.9.19. Փաթեթվածքի հերմետիկության որոշում</w:t>
      </w:r>
      <w:r w:rsidRPr="00DA21D0">
        <w:t xml:space="preserve"> ընդհանուր դեղագրքային հոդվածին համապատասխան։</w:t>
      </w:r>
    </w:p>
    <w:p w14:paraId="191B9B43" w14:textId="77777777" w:rsidR="008D6E8B" w:rsidRPr="00B5542D" w:rsidRDefault="008D6E8B" w:rsidP="00176CFD">
      <w:pPr>
        <w:spacing w:after="160" w:line="360" w:lineRule="auto"/>
        <w:ind w:firstLine="567"/>
        <w:jc w:val="both"/>
        <w:rPr>
          <w:i/>
          <w:iCs/>
        </w:rPr>
      </w:pPr>
    </w:p>
    <w:p w14:paraId="5320294A" w14:textId="77777777" w:rsidR="00134BE9" w:rsidRPr="00DA21D0" w:rsidRDefault="00134BE9" w:rsidP="008D6E8B">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Փականային սարքի փորձարկումը. </w:t>
      </w:r>
      <w:r w:rsidRPr="00DA21D0">
        <w:rPr>
          <w:rFonts w:ascii="Sylfaen" w:hAnsi="Sylfaen"/>
          <w:sz w:val="24"/>
          <w:szCs w:val="24"/>
        </w:rPr>
        <w:t>Փորձարկումն անցկացնում են, եթե կիրառելի է, արտադրման տեխնոլոգիական գործընթացի փուլում՝ մասնավոր դեղագրքային հոդվածում եւ (կամ) որակի վերաբերյալ նորմատիվ փաստաթղթում նշված մեթոդիկային համապատասխան։</w:t>
      </w:r>
    </w:p>
    <w:p w14:paraId="13DCCE75" w14:textId="77777777" w:rsidR="00134BE9" w:rsidRPr="00DA21D0" w:rsidRDefault="00134BE9" w:rsidP="008D6E8B">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Փաթեթվածքի պարունակության ելքը. </w:t>
      </w:r>
      <w:r w:rsidRPr="00DA21D0">
        <w:rPr>
          <w:rFonts w:ascii="Sylfaen" w:hAnsi="Sylfaen"/>
          <w:sz w:val="24"/>
          <w:szCs w:val="24"/>
        </w:rPr>
        <w:t xml:space="preserve">Փորձարկումն անցկացնում են չդեղաչափված դեղագործական փրփուրների համար՝ </w:t>
      </w:r>
      <w:r w:rsidRPr="00DA21D0">
        <w:rPr>
          <w:rFonts w:ascii="Sylfaen" w:hAnsi="Sylfaen"/>
          <w:i/>
          <w:sz w:val="24"/>
          <w:szCs w:val="24"/>
        </w:rPr>
        <w:t>2.1.9.18. Փաթեթվածքի պարունակության ելքը որոշելը՝ չդեղաչափված աերոզոլների, փրփուրների եւ ցողաշթերի համար</w:t>
      </w:r>
      <w:r w:rsidRPr="00DA21D0">
        <w:rPr>
          <w:rFonts w:ascii="Sylfaen" w:hAnsi="Sylfaen"/>
          <w:sz w:val="24"/>
          <w:szCs w:val="24"/>
        </w:rPr>
        <w:t xml:space="preserve"> ընդհանուր դեղագրքային հոդվածին համապատասխան։</w:t>
      </w:r>
    </w:p>
    <w:p w14:paraId="18E9186D" w14:textId="77777777" w:rsidR="00134BE9" w:rsidRPr="00DA21D0" w:rsidRDefault="00134BE9" w:rsidP="008D6E8B">
      <w:pPr>
        <w:pStyle w:val="a0"/>
        <w:shd w:val="clear" w:color="auto" w:fill="auto"/>
        <w:spacing w:after="160" w:line="360" w:lineRule="auto"/>
        <w:ind w:firstLine="567"/>
        <w:jc w:val="both"/>
        <w:rPr>
          <w:rFonts w:ascii="Sylfaen" w:hAnsi="Sylfaen"/>
          <w:spacing w:val="-6"/>
          <w:sz w:val="24"/>
          <w:szCs w:val="24"/>
        </w:rPr>
      </w:pPr>
      <w:r w:rsidRPr="00DA21D0">
        <w:rPr>
          <w:rFonts w:ascii="Sylfaen" w:hAnsi="Sylfaen"/>
          <w:b/>
          <w:spacing w:val="-6"/>
          <w:sz w:val="24"/>
          <w:szCs w:val="24"/>
        </w:rPr>
        <w:t xml:space="preserve">Դեղաչափերի զանգվածի միատարրությունը. </w:t>
      </w:r>
      <w:r w:rsidRPr="00DA21D0">
        <w:rPr>
          <w:rFonts w:ascii="Sylfaen" w:hAnsi="Sylfaen"/>
          <w:spacing w:val="-6"/>
          <w:sz w:val="24"/>
          <w:szCs w:val="24"/>
        </w:rPr>
        <w:t>Փորձարկումն անցկացնում են դեղաչափված այն դեղագործական փրփուրների համար, որոնք լուծույթներ են։</w:t>
      </w:r>
    </w:p>
    <w:p w14:paraId="415AD0BC" w14:textId="77777777" w:rsidR="00134BE9" w:rsidRPr="00DA21D0" w:rsidRDefault="00134BE9" w:rsidP="008D6E8B">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Ցուցանիշի հսկողությունը պետք է անցկացվի ինչպես մեկ փաթեթվածքից ձերբազատվող դեղաչափերի համար, այնպես էլ տարբեր փաթեթվածքներից ստացված դեղաչափերի համար: Դեղաչափերի ընտրության ընթացակարգը պետք է ներառի դեղաչափերի ընտրություն դեղապատրաստուկի օգտագործման սկզբում, կեսին եւ վերջում։</w:t>
      </w:r>
    </w:p>
    <w:p w14:paraId="54068C8B" w14:textId="77777777" w:rsidR="00134BE9" w:rsidRPr="00DA21D0" w:rsidRDefault="00134BE9" w:rsidP="008D6E8B">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Մասնավոր դեղագրքային հոդվածում եւ (կամ) որակի վերաբերյալ նորմատիվ փաստաթղթում այլ ցուցումների բացակայության դեպքում փորձարկման համար դեղագործական փրփուրների 10 փաթեթվածքից դեղաչափերի ընտրությունն անցկացնում են հետեւյալ կերպ. 3 փաթեթվածքներից դեղաչափերի անհրաժեշտ քանակությունը ձերբազատում են դեղապատրաստուկի օգտագործման սկզբում, 4 փաթեթվածքներից՝ դեղապատրաստուկի օգտագործման կեսին, 3 փաթեթվածքներից՝ դեղապատրաստուկի օգտագործման վերջում։</w:t>
      </w:r>
    </w:p>
    <w:p w14:paraId="1A4A9EF1" w14:textId="77777777" w:rsidR="00134BE9" w:rsidRPr="00DA21D0" w:rsidRDefault="00134BE9" w:rsidP="008D6E8B">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Ձերբազատում են մեկ դեղաչափ եւ այն հեռացնում։ Առնվազն 5 վրկ անց փաթեթվածքը թափահարում են 5 վրկ, կրկին ձերբազատում եւ հեռացնում են մեկ դեղաչափ։ Նշված ընթացակարգը կրկնում են եւս 3 անգամ, եթե մասնավոր դեղագրքային հոդվածում կամ որակի վերաբերյալ նորմատիվ փաստաթղթում այլ ցուցումներ չկան։ Փաթեթվածքը կշռում են։ Փաթեթվածքը թափահարում են 5 վրկ, </w:t>
      </w:r>
      <w:r w:rsidRPr="00DA21D0">
        <w:rPr>
          <w:rFonts w:ascii="Sylfaen" w:hAnsi="Sylfaen"/>
          <w:sz w:val="24"/>
          <w:szCs w:val="24"/>
        </w:rPr>
        <w:lastRenderedPageBreak/>
        <w:t>ձերբազատում եւ հեռացնում են մեկ դեղաչափ, փաթեթվածքը կրկին կշռում են։ Ըստ տարբերության՝ հաշվարկում են ձերբազատված դեղաչափի զանգվածը։</w:t>
      </w:r>
    </w:p>
    <w:p w14:paraId="3BC0535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Փորձարկումը կրկնում են մասնավոր դեղագրքային հոդվածում կամ որակի վերաբերյալ նորմատիվ փաստաթղթում նշված եւս 9 դեղաչափերի համար։ Հաշվարկում են դեղաչափի միջին զանգվածը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i/>
          <w:sz w:val="24"/>
          <w:szCs w:val="24"/>
        </w:rPr>
        <w:t>)</w:t>
      </w:r>
      <w:r w:rsidRPr="00DA21D0">
        <w:rPr>
          <w:rFonts w:ascii="Sylfaen" w:hAnsi="Sylfaen"/>
          <w:sz w:val="24"/>
          <w:szCs w:val="24"/>
        </w:rPr>
        <w:t xml:space="preserve"> եւ դեղաչափի միջին զանգվածից անհատական արժեքների շեղումները։</w:t>
      </w:r>
    </w:p>
    <w:p w14:paraId="5C4A6854" w14:textId="77777777" w:rsidR="00134BE9" w:rsidRPr="00DA21D0" w:rsidRDefault="00134BE9" w:rsidP="008D6E8B">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Դեղապատրաստուկը համարվում է փորձարկումն անցած, եթե զանգվածների 10 անհատական արժեքներից առնվազն 1-ը շեղվում է միջին զանգվածից 25 %-ը գերազանցող մեծության նկատմամբ, ընդ որում, ոչ ավելի, քան 35 %-ով։ Եթե 2 կամ 3 արդյունք դուրս է մնում 75-125 %-ի սահմաններից, ապա </w:t>
      </w:r>
      <w:r w:rsidRPr="00803B34">
        <w:rPr>
          <w:rFonts w:ascii="Sylfaen" w:hAnsi="Sylfaen"/>
          <w:spacing w:val="4"/>
          <w:sz w:val="24"/>
          <w:szCs w:val="24"/>
        </w:rPr>
        <w:t>փորձարկումը կրկնում են մյուս 20 դեղաչափերի հետ։ 30 արժեքներից առնվազն 3-ը կարող են դուրս գալ 75-125 %-ի սահմաններից, եւ բոլոր արժեքները պետք է 65 %-ից մինչեւ</w:t>
      </w:r>
      <w:r w:rsidRPr="00DA21D0">
        <w:rPr>
          <w:rFonts w:ascii="Sylfaen" w:hAnsi="Sylfaen"/>
          <w:sz w:val="24"/>
          <w:szCs w:val="24"/>
        </w:rPr>
        <w:t xml:space="preserve"> 135 %-ի սահմաններում լինեն։</w:t>
      </w:r>
    </w:p>
    <w:p w14:paraId="2D91470B" w14:textId="77777777" w:rsidR="00134BE9" w:rsidRPr="00DA21D0" w:rsidRDefault="00134BE9" w:rsidP="008D6E8B">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Դեղաչափերի քանակը փաթեթվածքում. </w:t>
      </w:r>
      <w:r w:rsidRPr="00DA21D0">
        <w:rPr>
          <w:rFonts w:ascii="Sylfaen" w:hAnsi="Sylfaen"/>
          <w:sz w:val="24"/>
          <w:szCs w:val="24"/>
        </w:rPr>
        <w:t>Փորձարկումն անցկացնում են դեղաչափված դեղագործական փրփուրների համար բազմադեղաչափ փաթեթվածքի մեջ՝ նշված մեթոդներից մեկով։</w:t>
      </w:r>
    </w:p>
    <w:p w14:paraId="395F3362" w14:textId="77777777" w:rsidR="00134BE9" w:rsidRPr="00DA21D0" w:rsidRDefault="00134BE9" w:rsidP="008D6E8B">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Մեթոդ 1. Բաց են թողնում մեկ փաթեթվածքի պարունակությունը՝ ձերբազատելով դեղաչափերը առնվազն 5 վրկ միջակայքով։ Գրանցում են ձերբազատված դեղաչափերի քանակը։</w:t>
      </w:r>
    </w:p>
    <w:p w14:paraId="14430DE5" w14:textId="77777777" w:rsidR="00134BE9" w:rsidRPr="00DA21D0" w:rsidRDefault="00134BE9" w:rsidP="008D6E8B">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Թույլատրվում է փորձարկումն անցկացնել՝ միաժամանակ որոշելով </w:t>
      </w:r>
      <w:r w:rsidRPr="00DA21D0">
        <w:rPr>
          <w:rFonts w:ascii="Sylfaen" w:hAnsi="Sylfaen"/>
          <w:i/>
          <w:sz w:val="24"/>
          <w:szCs w:val="24"/>
        </w:rPr>
        <w:t>Դեղաչափման միատարրությունը</w:t>
      </w:r>
      <w:r w:rsidRPr="00DA21D0">
        <w:rPr>
          <w:rFonts w:ascii="Sylfaen" w:hAnsi="Sylfaen"/>
          <w:sz w:val="24"/>
          <w:szCs w:val="24"/>
        </w:rPr>
        <w:t xml:space="preserve"> ցուցանիշը կամ </w:t>
      </w:r>
      <w:r w:rsidRPr="00DA21D0">
        <w:rPr>
          <w:rFonts w:ascii="Sylfaen" w:hAnsi="Sylfaen"/>
          <w:i/>
          <w:sz w:val="24"/>
          <w:szCs w:val="24"/>
        </w:rPr>
        <w:t>Դեղաչափերի զանգվածի միատարրությունը</w:t>
      </w:r>
      <w:r w:rsidRPr="00DA21D0">
        <w:rPr>
          <w:rFonts w:ascii="Sylfaen" w:hAnsi="Sylfaen"/>
          <w:sz w:val="24"/>
          <w:szCs w:val="24"/>
        </w:rPr>
        <w:t xml:space="preserve"> ցուցանիշը։</w:t>
      </w:r>
    </w:p>
    <w:p w14:paraId="6B78D51E" w14:textId="77777777" w:rsidR="00134BE9" w:rsidRPr="00DA21D0" w:rsidRDefault="00134BE9" w:rsidP="008D6E8B">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Մեթոդ 2. Փաթեթվածքը կշռում են ցողացրիչի հետ միասին մինչեւ 0,01 գ (</w:t>
      </w:r>
      <w:r w:rsidRPr="00DA21D0">
        <w:rPr>
          <w:rFonts w:ascii="Sylfaen" w:hAnsi="Sylfaen"/>
          <w:i/>
          <w:sz w:val="24"/>
          <w:szCs w:val="24"/>
        </w:rPr>
        <w:t>m</w:t>
      </w:r>
      <w:r w:rsidRPr="00DA21D0">
        <w:rPr>
          <w:rFonts w:ascii="Sylfaen" w:hAnsi="Sylfaen"/>
          <w:i/>
          <w:sz w:val="24"/>
          <w:szCs w:val="24"/>
          <w:vertAlign w:val="subscript"/>
        </w:rPr>
        <w:t>1</w:t>
      </w:r>
      <w:r w:rsidRPr="00DA21D0">
        <w:rPr>
          <w:rFonts w:ascii="Sylfaen" w:hAnsi="Sylfaen"/>
          <w:sz w:val="24"/>
          <w:szCs w:val="24"/>
        </w:rPr>
        <w:t>) ճշգրտությամբ։ Ցողացրիչի վրա սեղմելով՝ փաթեթվածքից բաց են թողնում ողջ պարունակությունը եւ փաթեթվածքը ցողացրիչի հետ միասին նորից կշռում մինչեւ 0,01 գ (m</w:t>
      </w:r>
      <w:r w:rsidRPr="00DA21D0">
        <w:rPr>
          <w:rFonts w:ascii="Sylfaen" w:hAnsi="Sylfaen"/>
          <w:sz w:val="24"/>
          <w:szCs w:val="24"/>
          <w:vertAlign w:val="subscript"/>
        </w:rPr>
        <w:t>2</w:t>
      </w:r>
      <w:r w:rsidRPr="00DA21D0">
        <w:rPr>
          <w:rFonts w:ascii="Sylfaen" w:hAnsi="Sylfaen"/>
          <w:sz w:val="24"/>
          <w:szCs w:val="24"/>
        </w:rPr>
        <w:t>) ճշգրտությամբ։</w:t>
      </w:r>
    </w:p>
    <w:p w14:paraId="1594D25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Մեկ փաթեթվածքի մեջ դեղաչափերի միջին քանակը (</w:t>
      </w:r>
      <w:r w:rsidRPr="00DA21D0">
        <w:rPr>
          <w:rFonts w:ascii="Sylfaen" w:hAnsi="Sylfaen"/>
          <w:i/>
          <w:sz w:val="24"/>
          <w:szCs w:val="24"/>
        </w:rPr>
        <w:t>m</w:t>
      </w:r>
      <w:r w:rsidRPr="00DA21D0">
        <w:rPr>
          <w:rFonts w:ascii="Sylfaen" w:hAnsi="Sylfaen"/>
          <w:i/>
          <w:sz w:val="24"/>
          <w:szCs w:val="24"/>
          <w:vertAlign w:val="subscript"/>
        </w:rPr>
        <w:t>մջն</w:t>
      </w:r>
      <w:r w:rsidRPr="00DA21D0">
        <w:rPr>
          <w:rFonts w:ascii="Sylfaen" w:hAnsi="Sylfaen"/>
          <w:sz w:val="24"/>
          <w:szCs w:val="24"/>
        </w:rPr>
        <w:t>) հաշվարկվում է հետեւյալ բանաձեւով.</w:t>
      </w:r>
    </w:p>
    <w:p w14:paraId="09552EFE" w14:textId="77777777" w:rsidR="00134BE9" w:rsidRPr="00DA21D0" w:rsidRDefault="00000000" w:rsidP="00134BE9">
      <w:pPr>
        <w:pStyle w:val="a0"/>
        <w:shd w:val="clear" w:color="auto" w:fill="auto"/>
        <w:spacing w:after="160" w:line="360" w:lineRule="auto"/>
        <w:ind w:firstLine="567"/>
        <w:rPr>
          <w:rFonts w:ascii="Cambria Math" w:hAnsi="Sylfaen" w:cs="Sylfaen"/>
          <w:sz w:val="24"/>
          <w:szCs w:val="24"/>
          <w:oMath/>
        </w:rPr>
      </w:pPr>
      <m:oMathPara>
        <m:oMath>
          <m:sSub>
            <m:sSubPr>
              <m:ctrlPr>
                <w:rPr>
                  <w:rFonts w:ascii="Cambria Math" w:hAnsi="Sylfaen" w:cs="Sylfaen"/>
                  <w:bCs/>
                  <w:i/>
                  <w:sz w:val="24"/>
                  <w:szCs w:val="24"/>
                </w:rPr>
              </m:ctrlPr>
            </m:sSubPr>
            <m:e>
              <m:r>
                <w:rPr>
                  <w:rFonts w:ascii="Cambria Math" w:hAnsi="Cambria Math" w:cs="Sylfaen"/>
                  <w:sz w:val="24"/>
                  <w:szCs w:val="24"/>
                </w:rPr>
                <m:t>n</m:t>
              </m:r>
            </m:e>
            <m:sub>
              <m:r>
                <w:rPr>
                  <w:rFonts w:ascii="Cambria Math" w:hAnsi="Cambria Math" w:cs="Sylfaen"/>
                  <w:sz w:val="24"/>
                  <w:szCs w:val="24"/>
                </w:rPr>
                <m:t>cp</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1</m:t>
                  </m:r>
                </m:sub>
              </m:sSub>
              <m:r>
                <w:rPr>
                  <w:rFonts w:ascii="Sylfaen"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2</m:t>
                  </m:r>
                </m:sub>
              </m:sSub>
            </m:num>
            <m:den>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Cambria Math" w:cs="Sylfaen"/>
                      <w:sz w:val="24"/>
                      <w:szCs w:val="24"/>
                    </w:rPr>
                    <m:t>cp</m:t>
                  </m:r>
                </m:sub>
              </m:sSub>
            </m:den>
          </m:f>
          <m:r>
            <m:rPr>
              <m:sty m:val="p"/>
            </m:rPr>
            <w:rPr>
              <w:rFonts w:ascii="Cambria Math" w:hAnsi="Sylfaen" w:cs="Sylfaen"/>
              <w:sz w:val="24"/>
              <w:szCs w:val="24"/>
            </w:rPr>
            <m:t>,</m:t>
          </m:r>
        </m:oMath>
      </m:oMathPara>
    </w:p>
    <w:p w14:paraId="23F87747"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որտեղ՝</w:t>
      </w:r>
    </w:p>
    <w:p w14:paraId="0E04B0B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m</w:t>
      </w:r>
      <w:r w:rsidRPr="00DA21D0">
        <w:rPr>
          <w:rFonts w:ascii="Sylfaen" w:hAnsi="Sylfaen"/>
          <w:sz w:val="24"/>
          <w:szCs w:val="24"/>
          <w:vertAlign w:val="subscript"/>
        </w:rPr>
        <w:t>մջն</w:t>
      </w:r>
      <w:r w:rsidRPr="00DA21D0">
        <w:rPr>
          <w:rFonts w:ascii="Sylfaen" w:hAnsi="Sylfaen"/>
          <w:sz w:val="24"/>
          <w:szCs w:val="24"/>
        </w:rPr>
        <w:t xml:space="preserve">-ը մեկ դեղաչափի միջին զանգվածն է, որը հաշվարկված է </w:t>
      </w:r>
      <w:r w:rsidRPr="00DA21D0">
        <w:rPr>
          <w:rFonts w:ascii="Sylfaen" w:hAnsi="Sylfaen"/>
          <w:i/>
          <w:sz w:val="24"/>
          <w:szCs w:val="24"/>
        </w:rPr>
        <w:t>Դեղաչափերի զանգվածի միատարրությունը</w:t>
      </w:r>
      <w:r w:rsidRPr="00DA21D0">
        <w:rPr>
          <w:rFonts w:ascii="Sylfaen" w:hAnsi="Sylfaen"/>
          <w:sz w:val="24"/>
          <w:szCs w:val="24"/>
        </w:rPr>
        <w:t xml:space="preserve"> ցուցանիշը գրամներով որոշելիս։</w:t>
      </w:r>
    </w:p>
    <w:p w14:paraId="64FB3E3B"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Փորձարկման արդյունքում ստացված դեղաչափերի քանակը պետք է լինի պիտակի վրա նշված դեղաչափերի քանակից ոչ պակաս։</w:t>
      </w:r>
    </w:p>
    <w:p w14:paraId="158F45A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3470314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Դեղաչափման միատարրությունը. </w:t>
      </w:r>
      <w:r w:rsidRPr="00DA21D0">
        <w:rPr>
          <w:rFonts w:ascii="Sylfaen" w:hAnsi="Sylfaen"/>
          <w:sz w:val="24"/>
          <w:szCs w:val="24"/>
        </w:rPr>
        <w:t>Փորձարկումն անցկացնում են դեղաչափված այն դեղագործական փրփուրների համար, որոնք էմուլսիաներ կամ դեղակախույթներ են։</w:t>
      </w:r>
    </w:p>
    <w:p w14:paraId="4F1F0BD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Ցուցանիշի հսկողությունը պետք է անցկացվի ինչպես մեկ փաթեթվածքից ձերբազատվող դեղաչափերի համար, այնպես էլ տարբեր փաթեթվածքներից </w:t>
      </w:r>
      <w:r w:rsidRPr="00803B34">
        <w:rPr>
          <w:rFonts w:ascii="Sylfaen" w:hAnsi="Sylfaen"/>
          <w:spacing w:val="-4"/>
          <w:sz w:val="24"/>
          <w:szCs w:val="24"/>
        </w:rPr>
        <w:t>ստացված դեղաչափերի համար: Դեղաչափերի ընտրության ընթացակարգը պետք է ներառի</w:t>
      </w:r>
      <w:r w:rsidRPr="00DA21D0">
        <w:rPr>
          <w:rFonts w:ascii="Sylfaen" w:hAnsi="Sylfaen"/>
          <w:sz w:val="24"/>
          <w:szCs w:val="24"/>
        </w:rPr>
        <w:t xml:space="preserve"> դեղաչափերի ընտրություն դեղապատրաստուկի օգտագործման սկզբում, կեսին եւ վերջում։</w:t>
      </w:r>
    </w:p>
    <w:p w14:paraId="751626E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Մասնավոր դեղագրքային հոդվածում եւ (կամ) որակի վերաբերյալ նորմատիվ փաստաթղթում այլ ցուցումների բացակայության դեպքում փորձարկման համար դեղագործական փրփուրների 10 փաթեթվածքից դեղաչափերի ընտրությունն անցկացնում են հետեւյալ կերպ. 3 փաթեթվածքներից դեղաչափերի անհրաժեշտ քանակությունը ձերբազատում են դեղապատրաստուկի օգտագործման սկզբում, 4 փաթեթվածքներից՝ դեղապատրաստուկի օգտագործման կեսին, 3 փաթեթվածքներից՝ դեղապատրաստուկի օգտագործման վերջում։</w:t>
      </w:r>
    </w:p>
    <w:p w14:paraId="6DDF1FB1" w14:textId="77777777" w:rsidR="00134BE9" w:rsidRPr="00DA21D0"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 xml:space="preserve">Փորձարկումն անցկացնում են այնպիսի ապարատի կամ սարքի միջոցով, որը կարող է քանակապես պահպանել ցողացրիչ սարքից ազատված դեղաչափը։ Փաթեթվածքը թափահարվում է 5 վրկ, ձերբազատում եւ հեռացնում են մեկ </w:t>
      </w:r>
      <w:r w:rsidRPr="00DA21D0">
        <w:rPr>
          <w:rFonts w:ascii="Sylfaen" w:hAnsi="Sylfaen"/>
          <w:sz w:val="24"/>
          <w:szCs w:val="24"/>
        </w:rPr>
        <w:lastRenderedPageBreak/>
        <w:t>դեղաչափ։ Առնվազն 5 վրկ անց փաթեթվածքը կրկին թափահարում են 5 վրկ, ձերբազատում եւ հեռացնում են մեկ դեղաչափ։ Նշված ընթացակարգը կրկնում են եւս 3 անգամ, եթե մասնավոր դեղագրքային հոդվածում կամ որակի վերաբերյալ նորմատիվ փաստաթղթում այլ ցուցումներ չկան։ 5 վրկ անց մեկ դեղաչափ բաց է թողնվում ապարատի ընդունիչի մեջ։ Ընդունիչի պարունակությունը հավաքում են հաջորդաբար լվացումների եղանակով եւ միացված լվացքաջրերի մեջ որոշում են ազդող նյութի պարունակությունը։</w:t>
      </w:r>
    </w:p>
    <w:p w14:paraId="23CFB6E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Փորձարկումը կրկնում են մասնավոր դեղագրքային հոդվածում եւ (կամ) որակի վերաբերյալ նորմատիվ փաստաթղթում նշված եւս 9 դեղաչափերի համար։</w:t>
      </w:r>
    </w:p>
    <w:p w14:paraId="72A94BA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Դեղապատրաստուկն անցնում է փորձարկումը, եթե 10 արդյունքներից 9-ը գտնվում են միջին արժեքից 75 %-ից մինչեւ 125 %-ի սահմաններում, իսկ բոլոր արդյունքները գտնվում են 65 %-ից մինչեւ 135 %-ի սահմաններում։ Եթե 2 կամ 3 արդյունք դուրս է մնում 75-125 %-ի սահմաններից, ապա փորձարկումը կրկնում են մյուս 20 դեղաչափերի հետ։ 30 արժեքներից առնվազն 3-ը կարող են դուրս գալ 75-125 %-ի սահմաններից, եւ բոլոր արժեքները պետք է 65 %-ից մինչեւ 135 %-ի սահմաններում լինեն։</w:t>
      </w:r>
    </w:p>
    <w:p w14:paraId="63C94B2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Մի քանի ազդող նյութ պարունակող դեղագործական փրփուրների համար դեղաչափման միատարրության փորձարկումը պետք է կատարվի յուրաքանչյուր նյութի համար։</w:t>
      </w:r>
    </w:p>
    <w:p w14:paraId="3C54AAE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Փրփուրի հարաբերական խտությունը. </w:t>
      </w:r>
      <w:r w:rsidRPr="00DA21D0">
        <w:rPr>
          <w:rFonts w:ascii="Sylfaen" w:hAnsi="Sylfaen"/>
          <w:sz w:val="24"/>
          <w:szCs w:val="24"/>
        </w:rPr>
        <w:t xml:space="preserve">Աերոզոլային բալոնը պահում են 25 °С ջերմաստիճանի պայմաններում առնվազն 24 ժամ։ Հետեւում են, որ աերոզոլային բալոնը չտաքանա. աերոզոլային բալոնի գլխադիրի վրա տեղադրում են 70 մմ-ից մինչեւ 100 մմ երկարությամբ՝ անցքի մոտավորապես 1 մմ ներքին տրամագծով կոշտ խողովակ։ Աերոզոլային բալոնը թափահարում են միատարր ֆազի տեսքով պարունակություն ստանալու համար, բաց են թողնում եւ դեն են նետում 5 մլ-ից մինչեւ 10 մլ փրփուր։ Կշռում են մոտավորապես 60 մլ տարողությամբ եւ մոտավորապես 35 մմ բարձրությամբ հարթահատակ թասը։ Աերոզոլային բալոնի գլխադիրին ամրացված կոշտ խողովակի ծայրը տեղադրում են թասի անկյունում </w:t>
      </w:r>
      <w:r w:rsidRPr="00DA21D0">
        <w:rPr>
          <w:rFonts w:ascii="Sylfaen" w:hAnsi="Sylfaen"/>
          <w:sz w:val="24"/>
          <w:szCs w:val="24"/>
        </w:rPr>
        <w:lastRenderedPageBreak/>
        <w:t xml:space="preserve">եւ սեղմում են գլխադիրը։ Շրջանաձեւ շարժումներով հավասարաչափ լրալցնում են թասը։ Այն բանից հետո, երբ փրփուրն ամբողջությամբ կընդարձակվի, հարթում են դրա մակարդակը՝ հեռացնելով առարկայական ապակով փրփուրի ավելցուկները։ Կշռում են։ Որոշում են </w:t>
      </w:r>
      <w:r w:rsidRPr="00DA21D0">
        <w:rPr>
          <w:rFonts w:ascii="Sylfaen" w:hAnsi="Sylfaen"/>
          <w:i/>
          <w:sz w:val="24"/>
          <w:szCs w:val="24"/>
        </w:rPr>
        <w:t xml:space="preserve">Ռ ջրի </w:t>
      </w:r>
      <w:r w:rsidRPr="00DA21D0">
        <w:rPr>
          <w:rFonts w:ascii="Sylfaen" w:hAnsi="Sylfaen"/>
          <w:sz w:val="24"/>
          <w:szCs w:val="24"/>
        </w:rPr>
        <w:t xml:space="preserve"> նույն ծավալի զանգվածը՝ լիալցնելով նույն թասը։</w:t>
      </w:r>
    </w:p>
    <w:p w14:paraId="172C247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Փրփուրի հարաբերական խտությունը (р) հաշվարկում են հետեւյալ բանաձեւով.</w:t>
      </w:r>
    </w:p>
    <w:p w14:paraId="137F17C9" w14:textId="77777777" w:rsidR="00134BE9" w:rsidRPr="00DA21D0" w:rsidRDefault="00134BE9" w:rsidP="00134BE9">
      <w:pPr>
        <w:pStyle w:val="a0"/>
        <w:shd w:val="clear" w:color="auto" w:fill="auto"/>
        <w:spacing w:after="160" w:line="360" w:lineRule="auto"/>
        <w:ind w:firstLine="567"/>
        <w:jc w:val="center"/>
        <w:rPr>
          <w:rFonts w:ascii="Sylfaen" w:hAnsi="Sylfaen" w:cs="Sylfaen"/>
          <w:i/>
          <w:sz w:val="24"/>
          <w:szCs w:val="24"/>
        </w:rPr>
      </w:pPr>
      <m:oMathPara>
        <m:oMath>
          <m:r>
            <w:rPr>
              <w:rFonts w:ascii="Cambria Math" w:hAnsi="Cambria Math" w:cs="Sylfaen"/>
              <w:sz w:val="24"/>
              <w:szCs w:val="24"/>
            </w:rPr>
            <m:t>ρ</m:t>
          </m:r>
          <m:r>
            <w:rPr>
              <w:rFonts w:ascii="Cambria Math" w:hAnsi="Sylfaen" w:cs="Sylfaen"/>
              <w:sz w:val="24"/>
              <w:szCs w:val="24"/>
            </w:rPr>
            <m:t>=</m:t>
          </m:r>
          <m:f>
            <m:fPr>
              <m:ctrlPr>
                <w:rPr>
                  <w:rFonts w:ascii="Cambria Math" w:hAnsi="Sylfaen" w:cs="Sylfaen"/>
                  <w:i/>
                  <w:iCs/>
                  <w:sz w:val="24"/>
                  <w:szCs w:val="24"/>
                </w:rPr>
              </m:ctrlPr>
            </m:fPr>
            <m:num>
              <m:r>
                <w:rPr>
                  <w:rFonts w:ascii="Cambria Math" w:hAnsi="Cambria Math" w:cs="Sylfaen"/>
                  <w:sz w:val="24"/>
                  <w:szCs w:val="24"/>
                </w:rPr>
                <m:t>m</m:t>
              </m:r>
            </m:num>
            <m:den>
              <m:r>
                <w:rPr>
                  <w:rFonts w:ascii="Cambria Math" w:hAnsi="Cambria Math" w:cs="Sylfaen"/>
                  <w:sz w:val="24"/>
                  <w:szCs w:val="24"/>
                </w:rPr>
                <m:t>e</m:t>
              </m:r>
            </m:den>
          </m:f>
          <m:r>
            <w:rPr>
              <w:rFonts w:ascii="Cambria Math" w:hAnsi="Sylfaen" w:cs="Sylfaen"/>
              <w:sz w:val="24"/>
              <w:szCs w:val="24"/>
            </w:rPr>
            <m:t>,</m:t>
          </m:r>
        </m:oMath>
      </m:oMathPara>
    </w:p>
    <w:p w14:paraId="0DC042DA" w14:textId="77777777" w:rsidR="00134BE9" w:rsidRPr="00DA21D0" w:rsidRDefault="00134BE9" w:rsidP="00134BE9">
      <w:pPr>
        <w:pStyle w:val="a0"/>
        <w:shd w:val="clear" w:color="auto" w:fill="auto"/>
        <w:spacing w:after="160" w:line="360" w:lineRule="auto"/>
        <w:ind w:firstLine="567"/>
        <w:rPr>
          <w:rFonts w:ascii="Sylfaen" w:hAnsi="Sylfaen"/>
          <w:sz w:val="24"/>
          <w:szCs w:val="24"/>
        </w:rPr>
      </w:pPr>
      <w:r w:rsidRPr="00DA21D0">
        <w:rPr>
          <w:rFonts w:ascii="Sylfaen" w:hAnsi="Sylfaen"/>
          <w:sz w:val="24"/>
          <w:szCs w:val="24"/>
        </w:rPr>
        <w:t xml:space="preserve">որտեղ՝ </w:t>
      </w:r>
    </w:p>
    <w:p w14:paraId="23D16DF4"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i/>
          <w:sz w:val="24"/>
          <w:szCs w:val="24"/>
        </w:rPr>
        <w:t>m</w:t>
      </w:r>
      <w:r w:rsidRPr="00DA21D0">
        <w:rPr>
          <w:rFonts w:ascii="Sylfaen" w:hAnsi="Sylfaen"/>
          <w:sz w:val="24"/>
          <w:szCs w:val="24"/>
        </w:rPr>
        <w:t>-ը՝ փորձարկվող փրփուրի նմուշի զանգվածը՝ գրամներով.</w:t>
      </w:r>
    </w:p>
    <w:p w14:paraId="3473EB6E"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i/>
          <w:sz w:val="24"/>
          <w:szCs w:val="24"/>
        </w:rPr>
        <w:t>е</w:t>
      </w:r>
      <w:r w:rsidRPr="00DA21D0">
        <w:rPr>
          <w:rFonts w:ascii="Sylfaen" w:hAnsi="Sylfaen"/>
          <w:sz w:val="24"/>
          <w:szCs w:val="24"/>
        </w:rPr>
        <w:t>-ն՝ նույն ծավալի ջրի զանգվածը՝ գրամներով։</w:t>
      </w:r>
    </w:p>
    <w:p w14:paraId="5E1BA0D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Անցկացնում են երեք որոշում։ Ստացված որեւէ արժեք չպետք է շեղվի միջին արժեքից ոչ ավելի, քան 20 %-ով։</w:t>
      </w:r>
    </w:p>
    <w:p w14:paraId="64F7508B" w14:textId="77777777" w:rsidR="00134BE9" w:rsidRPr="008D6E8B" w:rsidRDefault="00134BE9" w:rsidP="008D6E8B">
      <w:pPr>
        <w:pStyle w:val="a0"/>
        <w:shd w:val="clear" w:color="auto" w:fill="auto"/>
        <w:spacing w:after="120" w:line="240" w:lineRule="auto"/>
        <w:ind w:firstLine="567"/>
        <w:rPr>
          <w:rFonts w:ascii="Sylfaen" w:hAnsi="Sylfaen" w:cs="Sylfaen"/>
          <w:szCs w:val="24"/>
        </w:rPr>
      </w:pPr>
    </w:p>
    <w:p w14:paraId="7ED9D3E9"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cs="Sylfaen"/>
          <w:noProof/>
          <w:sz w:val="24"/>
          <w:szCs w:val="24"/>
          <w:lang w:val="en-US" w:eastAsia="en-US" w:bidi="ar-SA"/>
        </w:rPr>
        <w:drawing>
          <wp:inline distT="0" distB="0" distL="0" distR="0" wp14:anchorId="52B98E6F" wp14:editId="339A0D5E">
            <wp:extent cx="1962150" cy="2736026"/>
            <wp:effectExtent l="19050" t="0" r="0" b="0"/>
            <wp:docPr id="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srcRect/>
                    <a:stretch>
                      <a:fillRect/>
                    </a:stretch>
                  </pic:blipFill>
                  <pic:spPr bwMode="auto">
                    <a:xfrm>
                      <a:off x="0" y="0"/>
                      <a:ext cx="1962245" cy="2736158"/>
                    </a:xfrm>
                    <a:prstGeom prst="rect">
                      <a:avLst/>
                    </a:prstGeom>
                    <a:noFill/>
                    <a:ln w="9525">
                      <a:noFill/>
                      <a:miter lim="800000"/>
                      <a:headEnd/>
                      <a:tailEnd/>
                    </a:ln>
                  </pic:spPr>
                </pic:pic>
              </a:graphicData>
            </a:graphic>
          </wp:inline>
        </w:drawing>
      </w:r>
    </w:p>
    <w:p w14:paraId="05A395AC" w14:textId="77777777" w:rsidR="00134BE9" w:rsidRPr="00DA21D0" w:rsidRDefault="00134BE9" w:rsidP="00134BE9">
      <w:pPr>
        <w:pStyle w:val="a0"/>
        <w:shd w:val="clear" w:color="auto" w:fill="auto"/>
        <w:spacing w:after="160" w:line="360" w:lineRule="auto"/>
        <w:ind w:firstLine="567"/>
        <w:jc w:val="both"/>
        <w:rPr>
          <w:rFonts w:ascii="Sylfaen" w:hAnsi="Sylfaen" w:cs="Sylfaen"/>
          <w:i/>
          <w:iCs/>
          <w:szCs w:val="24"/>
        </w:rPr>
      </w:pPr>
      <w:r w:rsidRPr="00DA21D0">
        <w:rPr>
          <w:rFonts w:ascii="Sylfaen" w:hAnsi="Sylfaen"/>
          <w:szCs w:val="24"/>
        </w:rPr>
        <w:t xml:space="preserve">Նկար 2.5.1.18-1. — </w:t>
      </w:r>
      <w:r w:rsidRPr="00DA21D0">
        <w:rPr>
          <w:rFonts w:ascii="Sylfaen" w:hAnsi="Sylfaen"/>
          <w:i/>
          <w:szCs w:val="24"/>
        </w:rPr>
        <w:t>Փրփրագոյացման ժամանակը որոշելու սարք</w:t>
      </w:r>
      <w:r w:rsidRPr="00DA21D0">
        <w:rPr>
          <w:rFonts w:ascii="Sylfaen" w:hAnsi="Sylfaen"/>
          <w:szCs w:val="24"/>
        </w:rPr>
        <w:t>։</w:t>
      </w:r>
      <w:r w:rsidRPr="00DA21D0">
        <w:rPr>
          <w:rFonts w:ascii="Sylfaen" w:hAnsi="Sylfaen"/>
          <w:i/>
          <w:szCs w:val="24"/>
        </w:rPr>
        <w:t xml:space="preserve"> 1՝ բյուրետ, 2՝ փակիչ ծորակ, 3՝ պոլիմերային խողովակ, 4՝ աերոզոլային բալոն ճնշման տակ. 5՝ աերոզոլային բալոնի գլխադիր </w:t>
      </w:r>
    </w:p>
    <w:p w14:paraId="6FB19D0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Փրփրագոյացման ժամանակը. </w:t>
      </w:r>
      <w:r w:rsidRPr="00DA21D0">
        <w:rPr>
          <w:rFonts w:ascii="Sylfaen" w:hAnsi="Sylfaen"/>
          <w:sz w:val="24"/>
          <w:szCs w:val="24"/>
        </w:rPr>
        <w:t>Փորձարկումն անցկացնում են դեղագործական փրփուրների համար՝ ըստ ստորեւ նշված մեթոդիկայի։ Փրփրագոյացման ժամանակը որոշելու սարքը ներկայացված է 2.5.1.18-1 նկարում։ Սարքը բաղկացած է 50 մլ տարողությամբ, 15 մմ ներքին տրամագծով եւ 0,1 մլ բաժանքի արժեքով բյուրետից (7), որը սարքավորված է 4 մմ տրամագծով մեկ անցքով փակիչ ծորակով (2)։ 30 մլ-ին համապատասխանող նշագիծը պետք է գտնվի փակիչ ծորակի առանցքից առնվազն 210 մմ հեռավորության վրա։ Բյուրետի ստորին մասն առնվազն 50 մմ երկարությամբ եւ 4 մմ ներքին տրամագծով պոլիմերային խողովակի օգնությամբ (3) միացված է աերոզոլային բալոնին (4), որը սարքավորված է տվյալ միացման համար հարմար՝ սեղմվող տեսակի գլխադիրով։ Աերոզոլային բալոնը պահում են 25 °С ջերմաստիճանի պայմաններում առնվազն 24 ժամ։ Հետեւում են, որ աերոզոլային բալոնը չտաքանա, թափահարում են միատարր ֆազի տեսքով պարունակություն ստանալու համար, բաց են թողնում եւ դեն են նետում 5 մլ-ից մինչեւ 10 մլ փրփուր։ Աերոզոլային բալոնի գլխադիրը (5) եւ բյուրետի քթիկը միացնում են։ Բացում են փակիչ ծորակը, սեղմում են գլխադիրը եւ բաց են թողնում փրփուրի մոտ 30 մլ ծավալի մեկ դեղաչափ, փակում են փակիչ ծորակը եւ միաժամանակ միացնում վայրկենաչափը։ Հետեւում են բյուրետում փրփուրի ծավալին, յուրաքանչյուր 10 վրկ նշում են փրփուրի ավելացումն այնքան ժամանակ, քանի դեռ չեն հասնի առավելագույն ծավալի։ Անցկացնում են 3 որոշում։</w:t>
      </w:r>
    </w:p>
    <w:p w14:paraId="0BE31D6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Առավելագույն ծավալին հասնելու ժամանակը յուրաքանչյուր որոշման ժամանակ չպետք է գերազանցի 5 ր։</w:t>
      </w:r>
    </w:p>
    <w:p w14:paraId="22EC6B1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Մասնիկների չափը. </w:t>
      </w:r>
      <w:r w:rsidRPr="00DA21D0">
        <w:rPr>
          <w:rFonts w:ascii="Sylfaen" w:hAnsi="Sylfaen"/>
          <w:sz w:val="24"/>
          <w:szCs w:val="24"/>
        </w:rPr>
        <w:t>Փորձարկումն անցկացնում են կախույթային եւ համակցված տեսակի դեղագործական փրփուրների համար։ Որոշման մեթոդիկան եւ դիսպերս ֆազի մասնիկների չափին ներկայացվող պահանջները պետք է նշվեն մասնավոր դեղագրքային հոդվածում եւ (կամ) որակի վերաբերյալ նորմատիվ փաստաթղթում։</w:t>
      </w:r>
    </w:p>
    <w:p w14:paraId="62D5F7D2" w14:textId="77777777" w:rsidR="00134BE9" w:rsidRPr="00DA21D0" w:rsidRDefault="00134BE9" w:rsidP="00134BE9">
      <w:pPr>
        <w:rPr>
          <w:rFonts w:eastAsia="Times New Roman"/>
        </w:rPr>
      </w:pPr>
      <w:r w:rsidRPr="00DA21D0">
        <w:br w:type="page"/>
      </w:r>
    </w:p>
    <w:p w14:paraId="45912DA6"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lastRenderedPageBreak/>
        <w:t>205010019-2022</w:t>
      </w:r>
    </w:p>
    <w:p w14:paraId="6D910488"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6F67BD54"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2.5.1.19.</w:t>
      </w:r>
      <w:r w:rsidRPr="00DA21D0">
        <w:rPr>
          <w:rFonts w:ascii="Sylfaen" w:hAnsi="Sylfaen"/>
          <w:b/>
          <w:sz w:val="24"/>
          <w:szCs w:val="24"/>
        </w:rPr>
        <w:tab/>
        <w:t>Դեղագործական սպեղանիները</w:t>
      </w:r>
    </w:p>
    <w:p w14:paraId="79D73D5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Սույն ընդհանուր դեղագրքային հոդվածի պահանջները չեն տարածվում անդրմաշկային սպեղանիների վրա։</w:t>
      </w:r>
    </w:p>
    <w:p w14:paraId="51584BBA"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 xml:space="preserve">Անդրմաշկային սպեղանիները պետք է համապատասխանեն </w:t>
      </w:r>
      <w:r w:rsidRPr="00DA21D0">
        <w:rPr>
          <w:rFonts w:ascii="Sylfaen" w:hAnsi="Sylfaen"/>
          <w:i/>
          <w:sz w:val="24"/>
          <w:szCs w:val="24"/>
        </w:rPr>
        <w:t>2.5.1.21. Անդրմաշկային սպեղանիներ</w:t>
      </w:r>
      <w:r w:rsidRPr="00DA21D0">
        <w:rPr>
          <w:rFonts w:ascii="Sylfaen" w:hAnsi="Sylfaen"/>
          <w:sz w:val="24"/>
          <w:szCs w:val="24"/>
        </w:rPr>
        <w:t xml:space="preserve"> ընդհանուր դեղագրքային հոդվածին։</w:t>
      </w:r>
    </w:p>
    <w:p w14:paraId="435E0FC9" w14:textId="77777777" w:rsidR="00134BE9" w:rsidRPr="00DA21D0" w:rsidRDefault="00134BE9" w:rsidP="00134BE9">
      <w:pPr>
        <w:tabs>
          <w:tab w:val="left" w:pos="2568"/>
        </w:tabs>
        <w:spacing w:after="160" w:line="346" w:lineRule="auto"/>
        <w:ind w:firstLine="567"/>
        <w:jc w:val="both"/>
      </w:pPr>
      <w:r w:rsidRPr="00DA21D0">
        <w:t>«Դեղագործական սպեղանիներ»՝ դեղաձեւ, որը բաղկացած է հիմքի վրա զետեղված՝ մեկ կամ մի քանի ազդող նյութեր պարունակող հիմնաշերտից եւ ունի մաշկին կամ լորձաթաղանթներին կպչելու հատկություն, նախատեսված է արտաքին կամ տեղային կիրառման համար։</w:t>
      </w:r>
    </w:p>
    <w:p w14:paraId="0A907D78"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Հազվագյուտ դեպքերում դեղագործական սպեղանին դեղաձեւ է, որը բաղկացած է միայն առանց հիմքի սպեղանային զանգվածից (ազդող նյութով/նյութերով հիմքից)։</w:t>
      </w:r>
    </w:p>
    <w:p w14:paraId="642A2A33"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Մաշկի վնասված կամ չվնասված մակերեսին փակցնելու համար նախատեսված՝ տեղային ազդեցություն գործելու նպատակով դեղագործական սպեղանիների համար օգտագործում են «սպեղանի» եզրույթը։</w:t>
      </w:r>
    </w:p>
    <w:p w14:paraId="40A1DCEA"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Դեղագործական սպեղանիները կարող են լինել դեղաչափված եւ չդեղաչափված։</w:t>
      </w:r>
    </w:p>
    <w:p w14:paraId="1CA4D68D"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«Սպեղանի՝ բերանի խոռոչի լորձաթաղանթի համար»՝</w:t>
      </w:r>
      <w:r w:rsidRPr="00DA21D0">
        <w:rPr>
          <w:rFonts w:ascii="Sylfaen" w:hAnsi="Sylfaen"/>
          <w:sz w:val="24"/>
          <w:szCs w:val="24"/>
        </w:rPr>
        <w:t xml:space="preserve"> դեղագործական սպեղանի, որը նախատեսված է բերանի խոռոչի լորձաթաղանթին փակցնելու համար՝ որոշակի ժամանակահատվածի ընթացքում համակարգային ազդեցություն գործելու նպատակով, ինչի լրանալուց հետո այն հեռացվում է։</w:t>
      </w:r>
    </w:p>
    <w:p w14:paraId="7AC79505"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Ազդող նյութ/նյութեր չպարունակող, վիրակապերի, կոմպրեսների, վիրախծուծների ֆիքսման նպատակով օգտագործվող կպչուն ժապավենի տեսքով կամ այլ ձեւի տեսքով սպեղանիները չեն դասվում դեղագործական սպեղանիների շարքին, քանի որ դրանք դեղամիջոց չեն։</w:t>
      </w:r>
    </w:p>
    <w:p w14:paraId="55ACCAB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Դեղագործական սպեղանիների հիմքը պլաստիկ, միատարր հարակցային (կպչուն) զանգված է, որում հավասարաչափ բաշխված է ազդող նյութը/նյութերը, կամ կպչուն շերտով հիմքին ամրացված ազդող նյութով/նյութերով միջադիր է։</w:t>
      </w:r>
    </w:p>
    <w:p w14:paraId="60E8B51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Հիմքի բաղադրությամբ պայմանավորված՝ տարբերակում են հետեւյալ դեղագործական սպեղանիները. խեժամոմային, կաուչուկային, ակրիլային եւ այլն։</w:t>
      </w:r>
    </w:p>
    <w:p w14:paraId="5A78874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Պայմանավորված հիմքի նյութով եւ տեսակով՝ տարբերակում են գործվածքային, ոչ գործվածքային կամ պոլիմերային հիմքով դեղագործական սպեղանիներ, ինչպես նաեւ դեղագործական սպեղանիներ՝ ծակոտած կամ առանց ծակոտման։</w:t>
      </w:r>
    </w:p>
    <w:p w14:paraId="5CE9962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սպեղանիները կպչուն կողմից պետք է պատված լինեն պաշտպանիչ թաղանթով։</w:t>
      </w:r>
    </w:p>
    <w:p w14:paraId="0832A30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19A4E7E3"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ՏԵԽՆՈԼՈԳԻԱՅԻ ԱՌԱՆՁՆԱՀԱՏԿՈՒԹՅՈՒՆՆԵՐԸ</w:t>
      </w:r>
    </w:p>
    <w:p w14:paraId="6660A69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սպեղանիների արտադրման տեխնոլոգիան եւ օգտագործվող օժանդակ նյութերի ցանկը պայմանավորված է սպեղանիների տեսակով։</w:t>
      </w:r>
    </w:p>
    <w:p w14:paraId="24E4A2E3" w14:textId="77777777" w:rsidR="00134BE9" w:rsidRPr="00DA21D0" w:rsidRDefault="00134BE9" w:rsidP="00134BE9">
      <w:pPr>
        <w:spacing w:after="160" w:line="360" w:lineRule="auto"/>
        <w:ind w:firstLine="567"/>
        <w:jc w:val="both"/>
      </w:pPr>
      <w:r w:rsidRPr="00DA21D0">
        <w:t>Դեղագործական խեժամոմային սպեղանիների հիմքը կազմում են խեժերի եւ մոմերի համաձուլվածքները, որոնց կազմի մեջ կարող են մտնել նաեւ ճարպեր եւ ածխաջրածիններ։</w:t>
      </w:r>
    </w:p>
    <w:p w14:paraId="7249ADBC"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կաուչուկային (ռետինե) սպեղանիների սպեղանային հիմքը խեժերի, ակտիվ դեղագործական բաղադրամասերի եւ օժանդակ նյութերի հետ կաուչուկի խառնուրդն է։ Դեղագործական սպեղանիների տվյալ տեսակը երկար ժամանակ պահպանում է իր կպչունությունը։</w:t>
      </w:r>
    </w:p>
    <w:p w14:paraId="0F9B0C3F"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pacing w:val="-4"/>
          <w:sz w:val="24"/>
          <w:szCs w:val="24"/>
        </w:rPr>
        <w:t>Սպեղանային զանգվածի բաղադրության մեջ կարող են ներմուծվել լցանյութեր, հակաօքսիդիչներ, հակամանրէային կոնսերվանտներ, ներկանյութեր, հոտի կորիգենտներ եւ բժշկական կիրառման համար թույլատրված այլ օժանդակ</w:t>
      </w:r>
      <w:r w:rsidRPr="00DA21D0">
        <w:rPr>
          <w:rFonts w:ascii="Sylfaen" w:hAnsi="Sylfaen"/>
          <w:sz w:val="24"/>
          <w:szCs w:val="24"/>
        </w:rPr>
        <w:t xml:space="preserve"> նյութեր։</w:t>
      </w:r>
    </w:p>
    <w:p w14:paraId="4A31859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Սպեղանային զանգվածը պետք է լինի միատարր խառնուրդ, սենյակային ջերմաստիճանի պայմաններում՝ խիտ եւ մարմնի ջերմաստիճանի պայմաններում՝ փափկող, կպչուն։</w:t>
      </w:r>
    </w:p>
    <w:p w14:paraId="68DF786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Սինթետիկ կամ բնական նյութերից ստացված հիմքը եւ հիմքի հարակցային (կպչուն) շերտը պետք է լինեն հիպոալերգեն եւ չպետք է մաշկի ու լորձաթաղանթների վրա գրգռիչ ազդեցություն ունենան։</w:t>
      </w:r>
    </w:p>
    <w:p w14:paraId="601AF33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Պաշտպանիչ թաղանթը պետք է խոչընդոտի դեղագործական սպեղանիների կպչուն շերտի կոնտակտը շրջակա միջավայրի հետ եւ հեռացվի կիրառելուց առաջ։</w:t>
      </w:r>
    </w:p>
    <w:p w14:paraId="04F2539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սպեղանիները պետք է մաշկի վրայից հեշտությամբ հեռացվեն՝ չթողնելով հետքեր, վնասվածքներ չպատճառելով եւ սպեղանային զանգվածը չանջատելով հիմքից։</w:t>
      </w:r>
    </w:p>
    <w:p w14:paraId="5F7E697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i/>
          <w:sz w:val="24"/>
          <w:szCs w:val="24"/>
        </w:rPr>
        <w:t>Սպեղանիներ՝ դեղագործական</w:t>
      </w:r>
      <w:r w:rsidRPr="00DA21D0">
        <w:rPr>
          <w:rFonts w:ascii="Sylfaen" w:hAnsi="Sylfaen"/>
          <w:sz w:val="24"/>
          <w:szCs w:val="24"/>
        </w:rPr>
        <w:t xml:space="preserve"> դեղաձեւով դեղապատրաստուկներ ստանալիս պետք է ձեռնարկվեն դրանց մանրէաբանական մաքրությունն ապահովող միջոցներ, սահմանված դեպքերում պետք է ձեռնարկվեն դրանց մանրէազերծությունն ապահովող միջոցներ։</w:t>
      </w:r>
    </w:p>
    <w:p w14:paraId="0FA0628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16F1AC2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ՓՈՐՁԱՐԿՈՒՄՆԵՐԸ</w:t>
      </w:r>
    </w:p>
    <w:p w14:paraId="5065B0A7"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սպեղանիները պետք է համապատասխանեն </w:t>
      </w:r>
      <w:r w:rsidRPr="00DA21D0">
        <w:rPr>
          <w:rFonts w:ascii="Sylfaen" w:hAnsi="Sylfaen"/>
          <w:i/>
          <w:sz w:val="24"/>
          <w:szCs w:val="24"/>
        </w:rPr>
        <w:t>2.5.1.1. Դեղաձեւեր</w:t>
      </w:r>
      <w:r w:rsidRPr="00DA21D0">
        <w:rPr>
          <w:rFonts w:ascii="Sylfaen" w:hAnsi="Sylfaen"/>
          <w:sz w:val="24"/>
          <w:szCs w:val="24"/>
        </w:rPr>
        <w:t xml:space="preserve"> ընդհանուր դեղագրքային հոդվածի ընդհանուր պահանջներին եւ անցնեն տվյալ դեղաձեւին բնորոշ հաջորդող փորձարկումները։</w:t>
      </w:r>
    </w:p>
    <w:p w14:paraId="6836CCC2" w14:textId="77777777" w:rsidR="00134BE9" w:rsidRPr="00DA21D0" w:rsidRDefault="00134BE9" w:rsidP="00134BE9">
      <w:pPr>
        <w:spacing w:after="160" w:line="360" w:lineRule="auto"/>
        <w:ind w:firstLine="567"/>
        <w:jc w:val="both"/>
      </w:pPr>
      <w:r w:rsidRPr="00DA21D0">
        <w:rPr>
          <w:b/>
        </w:rPr>
        <w:t xml:space="preserve">Նկարագրությունը. </w:t>
      </w:r>
      <w:r w:rsidRPr="00DA21D0">
        <w:t>Բնութագրում են արտաքին տեսքը՝ նշելով դեղագործական սպեղանու ձեւը, որը կարող է լինել ուղղանկյուն, շրջանաձեւ, ձեւավոր եւ այլն. երկրաչափական չափերը, ծակատումների առկայությունը. գույնը, հոտը (առկայության դեպքում), սպեղանային զանգվածի միատարրությունը, հիմքի, պաշտպանիչ թաղանթի նյութը՝ մասնավոր դեղագրքային հոդվածի եւ (կամ) որակի վերաբերյալ նորմատիվ փաստաթղթի պահանջներին համապատասխան։</w:t>
      </w:r>
    </w:p>
    <w:p w14:paraId="195A235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lastRenderedPageBreak/>
        <w:t xml:space="preserve">Դեղաչափված միավորների միատարրությունը. </w:t>
      </w:r>
      <w:r w:rsidRPr="00DA21D0">
        <w:rPr>
          <w:rFonts w:ascii="Sylfaen" w:hAnsi="Sylfaen"/>
          <w:sz w:val="24"/>
          <w:szCs w:val="24"/>
        </w:rPr>
        <w:t xml:space="preserve">Համակարգային ազդեցություն գործելու համար նախատեսված դեղագործական սպեղանիների համար փորձարկումն անցկացնում են </w:t>
      </w:r>
      <w:r w:rsidRPr="00DA21D0">
        <w:rPr>
          <w:rFonts w:ascii="Sylfaen" w:hAnsi="Sylfaen"/>
          <w:i/>
          <w:sz w:val="24"/>
          <w:szCs w:val="24"/>
        </w:rPr>
        <w:t>2.1.9.14. Դեղաչափված միավորների միատարրությունը</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w:t>
      </w:r>
    </w:p>
    <w:p w14:paraId="320B8E6A"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00633401"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205010020-2022</w:t>
      </w:r>
    </w:p>
    <w:p w14:paraId="78CEC661"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2F9D6409" w14:textId="77777777" w:rsidR="00134BE9" w:rsidRPr="00DA21D0" w:rsidRDefault="00134BE9" w:rsidP="00176CFD">
      <w:pPr>
        <w:pStyle w:val="a0"/>
        <w:shd w:val="clear" w:color="auto" w:fill="auto"/>
        <w:tabs>
          <w:tab w:val="left" w:pos="1701"/>
        </w:tabs>
        <w:spacing w:after="160" w:line="346" w:lineRule="auto"/>
        <w:ind w:firstLine="567"/>
        <w:jc w:val="both"/>
        <w:rPr>
          <w:rFonts w:ascii="Sylfaen" w:hAnsi="Sylfaen" w:cs="Sylfaen"/>
          <w:sz w:val="24"/>
          <w:szCs w:val="24"/>
        </w:rPr>
      </w:pPr>
      <w:r w:rsidRPr="00DA21D0">
        <w:rPr>
          <w:rFonts w:ascii="Sylfaen" w:hAnsi="Sylfaen"/>
          <w:b/>
          <w:sz w:val="24"/>
          <w:szCs w:val="24"/>
        </w:rPr>
        <w:t>2.5.1.20.</w:t>
      </w:r>
      <w:r w:rsidRPr="00DA21D0">
        <w:rPr>
          <w:rFonts w:ascii="Sylfaen" w:hAnsi="Sylfaen"/>
          <w:b/>
          <w:sz w:val="24"/>
          <w:szCs w:val="24"/>
        </w:rPr>
        <w:tab/>
        <w:t>Թիթեղներ դեղագործական</w:t>
      </w:r>
    </w:p>
    <w:p w14:paraId="44138B9B"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«Թիթեղներ դեղագործական»՝ պինդ դեղաձեւ, որը հիմքից եւ դրանում հավասարաչափ բաշխված ակտիվ դեղագործական բաղադրամասից (բաղադրամասերից) բաղկացած որոշակի չափի թիթեղ է, նախատեսված է վերքային մակերեսի կամ լորձաթաղանթների վրա տեղադրելու եւ երկարատեւ ժամանակահատվածի ընթացքում ազդեցություն գործելու համար։</w:t>
      </w:r>
    </w:p>
    <w:p w14:paraId="3CDF8716"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p>
    <w:p w14:paraId="664E1F4C" w14:textId="77777777" w:rsidR="00134BE9" w:rsidRPr="00DA21D0" w:rsidRDefault="00134BE9" w:rsidP="00176CFD">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ՏԵԽՆՈԼՈԳԻԱՅԻ ԱՌԱՆՁՆԱՀԱՏԿՈՒԹՅՈՒՆՆԵՐԸ</w:t>
      </w:r>
    </w:p>
    <w:p w14:paraId="5E138B50"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Դեղագործական թիթեղները, որպես կանոն, ստանում են մեկ կամ մի քանի ակտիվ դեղագործական բաղադրամաս պարունակող պոլիմերների ջրային լուծույթների հատուկ մշակման միջոցով։</w:t>
      </w:r>
    </w:p>
    <w:p w14:paraId="2ED45AB3"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3A4194">
        <w:rPr>
          <w:rFonts w:ascii="Sylfaen" w:hAnsi="Sylfaen"/>
          <w:spacing w:val="-4"/>
          <w:sz w:val="24"/>
          <w:szCs w:val="24"/>
        </w:rPr>
        <w:t>Թիթեղների արտադրման ժամանակ օգտագործվող օժանդակ նյութերը պետք է ապահովեն ակտիվ դեղագործական բաղադրամասի (ազդող նյութի) ձերբազատումը</w:t>
      </w:r>
      <w:r w:rsidRPr="00DA21D0">
        <w:rPr>
          <w:rFonts w:ascii="Sylfaen" w:hAnsi="Sylfaen"/>
          <w:sz w:val="24"/>
          <w:szCs w:val="24"/>
        </w:rPr>
        <w:t xml:space="preserve"> հիմքից, ձգությունը եւ ամրությունն ու դեղաձեւի մյուս անհրաժեշտ տեխնոլոգիական բնութագրերը։</w:t>
      </w:r>
    </w:p>
    <w:p w14:paraId="23A84851" w14:textId="77777777" w:rsidR="00134BE9" w:rsidRPr="00DA21D0" w:rsidRDefault="00134BE9" w:rsidP="00176CFD">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Դեղագործական թիթեղների արտադրման ժամանակ կարող են օգտագործվել պլաստիկացնողներ, կայունացուցիչներ եւ պատշաճ հիմնավորման դեպքում՝ այլ նյութեր։</w:t>
      </w:r>
    </w:p>
    <w:p w14:paraId="09EB0340"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Արտադրական գործընթացը պետք է ապահովի նյութերի հավասարաչափ բաշխումը թիթեղի զանգվածում եւ ակտիվ դեղագործական բաղադրամասի (ազդող նյութի) պատշաճ ձերբազատումը՝ կիրառելիս։</w:t>
      </w:r>
    </w:p>
    <w:p w14:paraId="17E86E17" w14:textId="77777777" w:rsidR="00134BE9" w:rsidRPr="00DA21D0" w:rsidRDefault="00134BE9" w:rsidP="00134BE9">
      <w:pPr>
        <w:tabs>
          <w:tab w:val="left" w:pos="2568"/>
        </w:tabs>
        <w:spacing w:after="160" w:line="360" w:lineRule="auto"/>
        <w:ind w:firstLine="567"/>
        <w:jc w:val="both"/>
      </w:pPr>
      <w:r w:rsidRPr="00DA21D0">
        <w:t>Դեղագործական թիթեղների արտադրման, փաթեթավորման, պահպանման եւ դիստրիբուցիայի դեպքում պետք է ձեռնարկվեն դրանց մանրէազերծությունն ապահովող միջոցները։</w:t>
      </w:r>
    </w:p>
    <w:p w14:paraId="4AD438E7" w14:textId="77777777" w:rsidR="00134BE9" w:rsidRPr="00DA21D0" w:rsidRDefault="00134BE9" w:rsidP="00134BE9">
      <w:pPr>
        <w:tabs>
          <w:tab w:val="left" w:pos="2568"/>
        </w:tabs>
        <w:spacing w:after="160" w:line="360" w:lineRule="auto"/>
        <w:ind w:firstLine="567"/>
      </w:pPr>
    </w:p>
    <w:p w14:paraId="4A97D9DF"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t>ՓՈՐՁԱՐԿՈՒՄՆԵՐԸ</w:t>
      </w:r>
    </w:p>
    <w:p w14:paraId="3E8E25B1"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Դեղագործական թիթեղները պետք է համապատասխանեն </w:t>
      </w:r>
      <w:r w:rsidRPr="00DA21D0">
        <w:rPr>
          <w:rFonts w:ascii="Sylfaen" w:hAnsi="Sylfaen"/>
          <w:i/>
          <w:sz w:val="24"/>
          <w:szCs w:val="24"/>
        </w:rPr>
        <w:t>2.5.1.1. Դեղաձեւերը</w:t>
      </w:r>
      <w:r w:rsidRPr="00DA21D0">
        <w:rPr>
          <w:rFonts w:ascii="Sylfaen" w:hAnsi="Sylfaen"/>
          <w:sz w:val="24"/>
          <w:szCs w:val="24"/>
        </w:rPr>
        <w:t xml:space="preserve"> ընդհանուր դեղագրքային հոդվածի ընդհանուր պահանջներին եւ անցնեն տվյալ դեղաձեւին բնորոշ փորձարկումները։</w:t>
      </w:r>
    </w:p>
    <w:p w14:paraId="6E48BD6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Վերահսկում են թիթեղի ձեւը, գույնը։ Չպետք է դիտվեն կողմնակի ներառուկներ (մասնիկներ, թելիկներ)։</w:t>
      </w:r>
    </w:p>
    <w:p w14:paraId="779825C2"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Թիթեղների չափերը. </w:t>
      </w:r>
      <w:r w:rsidRPr="00DA21D0">
        <w:rPr>
          <w:rFonts w:ascii="Sylfaen" w:hAnsi="Sylfaen"/>
          <w:sz w:val="24"/>
          <w:szCs w:val="24"/>
        </w:rPr>
        <w:t>Որոշում են թիթեղի երկրաչափական չափերը (երկարությունը, լայնությունը, հաստությունը) միլիմետրերով։</w:t>
      </w:r>
    </w:p>
    <w:p w14:paraId="22ED8CF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Միջին զանգվածը. </w:t>
      </w:r>
      <w:r w:rsidRPr="00DA21D0">
        <w:rPr>
          <w:rFonts w:ascii="Sylfaen" w:hAnsi="Sylfaen"/>
          <w:sz w:val="24"/>
          <w:szCs w:val="24"/>
        </w:rPr>
        <w:t>Թիթեղները պետք է անցնեն պահանջներին համապատասխանության մասով փորձարկումը։</w:t>
      </w:r>
    </w:p>
    <w:p w14:paraId="0E45EBE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pH-ը. </w:t>
      </w:r>
      <w:r w:rsidRPr="00DA21D0">
        <w:rPr>
          <w:rFonts w:ascii="Sylfaen" w:hAnsi="Sylfaen"/>
          <w:sz w:val="24"/>
          <w:szCs w:val="24"/>
        </w:rPr>
        <w:t xml:space="preserve">Թաղանթներից ջրային հանուկների փորձարկումն անցկացնում են </w:t>
      </w:r>
      <w:r w:rsidRPr="00DA21D0">
        <w:rPr>
          <w:rFonts w:ascii="Sylfaen" w:hAnsi="Sylfaen"/>
          <w:i/>
          <w:sz w:val="24"/>
          <w:szCs w:val="24"/>
        </w:rPr>
        <w:t>2.1.2.3. pH-ի պոտենցաչափական որոշում</w:t>
      </w:r>
      <w:r w:rsidRPr="00DA21D0">
        <w:rPr>
          <w:rFonts w:ascii="Sylfaen" w:hAnsi="Sylfaen"/>
          <w:sz w:val="24"/>
          <w:szCs w:val="24"/>
        </w:rPr>
        <w:t xml:space="preserve"> ընդհանուր դեղագրքային հոդվածի համաձայն։</w:t>
      </w:r>
    </w:p>
    <w:p w14:paraId="2B7890C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Ուռչման աստիճանը. </w:t>
      </w:r>
      <w:r w:rsidRPr="00DA21D0">
        <w:rPr>
          <w:rFonts w:ascii="Sylfaen" w:hAnsi="Sylfaen"/>
          <w:sz w:val="24"/>
          <w:szCs w:val="24"/>
        </w:rPr>
        <w:t>Որոշում են հիդրոգելային թիթեղների ուռչման աստիճանը՝ ըստ ստորեւ նշված մեթոդիկայի.</w:t>
      </w:r>
    </w:p>
    <w:p w14:paraId="4B580108" w14:textId="77777777" w:rsidR="00134BE9" w:rsidRPr="003A4194"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 xml:space="preserve">2,00 գ զանգվածի թիթեղի ֆրագմենտը տեղադրում են բաժակի մեջ, ավելացնում 50 մլ </w:t>
      </w:r>
      <w:r w:rsidRPr="00DA21D0">
        <w:rPr>
          <w:rFonts w:ascii="Sylfaen" w:hAnsi="Sylfaen"/>
          <w:i/>
          <w:sz w:val="24"/>
          <w:szCs w:val="24"/>
        </w:rPr>
        <w:t xml:space="preserve">Ռ ջուր </w:t>
      </w:r>
      <w:r w:rsidRPr="00DA21D0">
        <w:rPr>
          <w:rFonts w:ascii="Sylfaen" w:hAnsi="Sylfaen"/>
          <w:sz w:val="24"/>
          <w:szCs w:val="24"/>
        </w:rPr>
        <w:t>եւ պահում 48 ժամ, որից հետո ուռչած ֆրագմենտը հանում են, թողնում են հոսի ավելորդ ջուրը, չեն թրջում եւ չեն կշռում։</w:t>
      </w:r>
    </w:p>
    <w:p w14:paraId="0A2C73B7" w14:textId="77777777" w:rsidR="00176CFD" w:rsidRPr="003A4194" w:rsidRDefault="00176CFD" w:rsidP="00134BE9">
      <w:pPr>
        <w:pStyle w:val="a0"/>
        <w:shd w:val="clear" w:color="auto" w:fill="auto"/>
        <w:spacing w:after="160" w:line="360" w:lineRule="auto"/>
        <w:ind w:firstLine="567"/>
        <w:jc w:val="both"/>
        <w:rPr>
          <w:rFonts w:ascii="Sylfaen" w:hAnsi="Sylfaen" w:cs="Sylfaen"/>
          <w:sz w:val="24"/>
          <w:szCs w:val="24"/>
        </w:rPr>
      </w:pPr>
    </w:p>
    <w:p w14:paraId="665FE4D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Թիթեղի ֆրագմենտի զանգվածը ուռչելուց հետո չպետք է գերազանցի ելակետային նմուշի զանգվածն ավելի քան 3 անգամ։</w:t>
      </w:r>
    </w:p>
    <w:p w14:paraId="07DB9A4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Թիթեղների կենսադեգրադացիան. </w:t>
      </w:r>
      <w:r w:rsidRPr="00DA21D0">
        <w:rPr>
          <w:rFonts w:ascii="Sylfaen" w:hAnsi="Sylfaen"/>
          <w:sz w:val="24"/>
          <w:szCs w:val="24"/>
        </w:rPr>
        <w:t>Փորձարկման արդյունքը թիթեղի ամբողջովին լուծումն է։</w:t>
      </w:r>
    </w:p>
    <w:p w14:paraId="0EBB2F4D"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Դեղագործական կենսադեգրադացվող թիթեղների համար փորձարկումն անցկացնում են որոշման մեթոդիկային եւ պահանջներին համապատասխան։</w:t>
      </w:r>
    </w:p>
    <w:p w14:paraId="3E1260B5"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6214E162" w14:textId="77777777" w:rsidR="00134BE9" w:rsidRPr="00DA21D0" w:rsidRDefault="00134BE9" w:rsidP="00134BE9">
      <w:pPr>
        <w:pStyle w:val="a0"/>
        <w:shd w:val="clear" w:color="auto" w:fill="auto"/>
        <w:spacing w:after="160" w:line="360" w:lineRule="auto"/>
        <w:ind w:firstLine="567"/>
        <w:jc w:val="right"/>
        <w:rPr>
          <w:rFonts w:ascii="Sylfaen" w:hAnsi="Sylfaen"/>
          <w:b/>
          <w:szCs w:val="24"/>
        </w:rPr>
      </w:pPr>
      <w:r w:rsidRPr="00DA21D0">
        <w:rPr>
          <w:rFonts w:ascii="Sylfaen" w:hAnsi="Sylfaen"/>
          <w:b/>
          <w:szCs w:val="24"/>
        </w:rPr>
        <w:t>205010021-2022</w:t>
      </w:r>
    </w:p>
    <w:p w14:paraId="56176071" w14:textId="77777777" w:rsidR="00134BE9" w:rsidRPr="00DA21D0" w:rsidRDefault="00134BE9" w:rsidP="00134BE9">
      <w:pPr>
        <w:pStyle w:val="a0"/>
        <w:shd w:val="clear" w:color="auto" w:fill="auto"/>
        <w:spacing w:after="160" w:line="360" w:lineRule="auto"/>
        <w:ind w:firstLine="567"/>
        <w:jc w:val="right"/>
        <w:rPr>
          <w:rFonts w:ascii="Sylfaen" w:hAnsi="Sylfaen" w:cs="Sylfaen"/>
          <w:szCs w:val="24"/>
        </w:rPr>
      </w:pPr>
    </w:p>
    <w:p w14:paraId="59DBA1D8" w14:textId="77777777" w:rsidR="00134BE9" w:rsidRPr="00DA21D0" w:rsidRDefault="00134BE9" w:rsidP="00134BE9">
      <w:pPr>
        <w:pStyle w:val="a0"/>
        <w:shd w:val="clear" w:color="auto" w:fill="auto"/>
        <w:tabs>
          <w:tab w:val="left" w:pos="1701"/>
        </w:tabs>
        <w:spacing w:after="160" w:line="360" w:lineRule="auto"/>
        <w:ind w:firstLine="567"/>
        <w:rPr>
          <w:rFonts w:ascii="Sylfaen" w:hAnsi="Sylfaen" w:cs="Sylfaen"/>
          <w:sz w:val="24"/>
          <w:szCs w:val="24"/>
        </w:rPr>
      </w:pPr>
      <w:r w:rsidRPr="00DA21D0">
        <w:rPr>
          <w:rFonts w:ascii="Sylfaen" w:hAnsi="Sylfaen"/>
          <w:b/>
          <w:sz w:val="24"/>
          <w:szCs w:val="24"/>
        </w:rPr>
        <w:t>2.5.1.21.</w:t>
      </w:r>
      <w:r w:rsidRPr="00DA21D0">
        <w:rPr>
          <w:rFonts w:ascii="Sylfaen" w:hAnsi="Sylfaen"/>
          <w:b/>
          <w:sz w:val="24"/>
          <w:szCs w:val="24"/>
        </w:rPr>
        <w:tab/>
        <w:t>Անդրմաշկային սպեղանիները</w:t>
      </w:r>
    </w:p>
    <w:p w14:paraId="59DCD0A8" w14:textId="77777777" w:rsidR="00134BE9" w:rsidRPr="00DA21D0" w:rsidRDefault="00134BE9" w:rsidP="00134BE9">
      <w:pPr>
        <w:spacing w:after="160" w:line="360" w:lineRule="auto"/>
        <w:ind w:firstLine="567"/>
        <w:jc w:val="both"/>
      </w:pPr>
      <w:r w:rsidRPr="00DA21D0">
        <w:t>«Անդրմաշկային սպեղանիներ»՝ արտաքին կիրառման դեղաձեւ, որը դեղագործական սպեղանի է հիմքի վրա զետեղված մատրիցից կամ ռեզերվուարից, որը նախատեսված է չվնասված մաշկի միջով պասիվ դիֆուզիայի միջոցով համակարգային արյան շրջանառության մեջ ազդող նյութի (նյութերի) վերահսկվող մատակարարման համար։</w:t>
      </w:r>
    </w:p>
    <w:p w14:paraId="073D9A2C" w14:textId="77777777" w:rsidR="00134BE9" w:rsidRPr="00DA21D0" w:rsidRDefault="00134BE9" w:rsidP="00134BE9">
      <w:pPr>
        <w:spacing w:after="160" w:line="360" w:lineRule="auto"/>
      </w:pPr>
      <w:r w:rsidRPr="00DA21D0">
        <w:rPr>
          <w:noProof/>
          <w:lang w:val="en-US" w:eastAsia="en-US" w:bidi="ar-SA"/>
        </w:rPr>
        <w:drawing>
          <wp:inline distT="0" distB="0" distL="0" distR="0" wp14:anchorId="37FFAF35" wp14:editId="66F158D9">
            <wp:extent cx="4601559" cy="1188720"/>
            <wp:effectExtent l="19050" t="0" r="8541" b="0"/>
            <wp:docPr id="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2" cstate="print"/>
                    <a:srcRect/>
                    <a:stretch>
                      <a:fillRect/>
                    </a:stretch>
                  </pic:blipFill>
                  <pic:spPr bwMode="auto">
                    <a:xfrm>
                      <a:off x="0" y="0"/>
                      <a:ext cx="4610479" cy="1191024"/>
                    </a:xfrm>
                    <a:prstGeom prst="rect">
                      <a:avLst/>
                    </a:prstGeom>
                    <a:noFill/>
                    <a:ln w="9525">
                      <a:noFill/>
                      <a:miter lim="800000"/>
                      <a:headEnd/>
                      <a:tailEnd/>
                    </a:ln>
                  </pic:spPr>
                </pic:pic>
              </a:graphicData>
            </a:graphic>
          </wp:inline>
        </w:drawing>
      </w:r>
    </w:p>
    <w:p w14:paraId="615034FE" w14:textId="77777777" w:rsidR="00134BE9" w:rsidRPr="00DA21D0" w:rsidRDefault="00134BE9" w:rsidP="00134BE9">
      <w:pPr>
        <w:tabs>
          <w:tab w:val="left" w:pos="2568"/>
        </w:tabs>
        <w:spacing w:after="160" w:line="360" w:lineRule="auto"/>
        <w:ind w:firstLine="567"/>
        <w:rPr>
          <w:i/>
          <w:iCs/>
          <w:sz w:val="20"/>
        </w:rPr>
      </w:pPr>
      <w:r w:rsidRPr="00DA21D0">
        <w:rPr>
          <w:sz w:val="20"/>
        </w:rPr>
        <w:t xml:space="preserve">Նկար 2.5.1.21-1. – </w:t>
      </w:r>
      <w:r w:rsidRPr="00DA21D0">
        <w:rPr>
          <w:i/>
          <w:sz w:val="20"/>
        </w:rPr>
        <w:t>Ռեզերվուարային (Ա) եւ մատրիցային (Բ) անդրմաշկային սպեղանիների սխեմաները. Ա. 1՝ արտաքին շերտ, 2՝ ռեզերվուար դեղանյութով, 3՝ թաղանթ, 4՝ հարակցանյութ, 5՝ պաշտպանիչ հարակցական պատվածք։ Բ. 1՝ արտաքին շերտ, 2՝ պոլիմերային հարակցական մատրից, 3՝ պաշտպանիչ հարակցական պատվածք։</w:t>
      </w:r>
    </w:p>
    <w:p w14:paraId="5D0DD827" w14:textId="77777777" w:rsidR="00803B34" w:rsidRPr="00B5542D" w:rsidRDefault="00803B34" w:rsidP="00134BE9">
      <w:pPr>
        <w:pStyle w:val="a0"/>
        <w:shd w:val="clear" w:color="auto" w:fill="auto"/>
        <w:spacing w:after="160" w:line="360" w:lineRule="auto"/>
        <w:ind w:firstLine="567"/>
        <w:jc w:val="both"/>
        <w:rPr>
          <w:rFonts w:ascii="Sylfaen" w:hAnsi="Sylfaen"/>
          <w:sz w:val="24"/>
          <w:szCs w:val="24"/>
        </w:rPr>
      </w:pPr>
    </w:p>
    <w:p w14:paraId="772A2EE0" w14:textId="77777777" w:rsidR="00134BE9" w:rsidRPr="003A4194" w:rsidRDefault="00134BE9" w:rsidP="00134BE9">
      <w:pPr>
        <w:pStyle w:val="a0"/>
        <w:shd w:val="clear" w:color="auto" w:fill="auto"/>
        <w:spacing w:after="160" w:line="360" w:lineRule="auto"/>
        <w:ind w:firstLine="567"/>
        <w:jc w:val="both"/>
        <w:rPr>
          <w:rFonts w:ascii="Sylfaen" w:hAnsi="Sylfaen"/>
          <w:sz w:val="24"/>
          <w:szCs w:val="24"/>
        </w:rPr>
      </w:pPr>
      <w:r w:rsidRPr="00DA21D0">
        <w:rPr>
          <w:rFonts w:ascii="Sylfaen" w:hAnsi="Sylfaen"/>
          <w:sz w:val="24"/>
          <w:szCs w:val="24"/>
        </w:rPr>
        <w:t>Անդրմաշկային սպեղանիները կարող են պարունակել մեկ կամ մի քանի ազդող նյութեր։</w:t>
      </w:r>
    </w:p>
    <w:p w14:paraId="285537FE"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lastRenderedPageBreak/>
        <w:t>Անդրմաշկային սպեղանին բազմաշերտ սպեղանի է։ Արտաքին ծածկաշերտը (հիմքը) անթափանց է ազդող նյութի համար եւ ծառայում է ամբողջ սպեղանուն կոշտություն տալու համար, ինչպես նաեւ արտաքին ներգործությունից պաշտպանելու համար։ Մաշկին փակցնելու համար նախատեսված՝ ազդող նյութի ձերբազատման մակերեսի կողմից առկա է պաշտպանիչ հարակցական պատվածք, որն անդրմաշկային սպեղանին կիրառելուց անմիջապես առաջ հեռացվում է։</w:t>
      </w:r>
    </w:p>
    <w:p w14:paraId="6851E569"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 xml:space="preserve">Տարբերակում են անդրմաշկային սպեղանիների երկու հիմնական տեսակ. ռեզերվուարային եւ մատրիցային </w:t>
      </w:r>
      <w:r w:rsidRPr="00803B34">
        <w:rPr>
          <w:rFonts w:ascii="Sylfaen" w:hAnsi="Sylfaen"/>
          <w:i/>
          <w:sz w:val="24"/>
          <w:szCs w:val="24"/>
        </w:rPr>
        <w:t>(նկար 2.5.1.21-1)։</w:t>
      </w:r>
      <w:r w:rsidRPr="00DA21D0">
        <w:rPr>
          <w:rFonts w:ascii="Sylfaen" w:hAnsi="Sylfaen"/>
          <w:sz w:val="24"/>
          <w:szCs w:val="24"/>
        </w:rPr>
        <w:t xml:space="preserve"> Ռեզերվուարային անդրմաշկային սպեղանիներում </w:t>
      </w:r>
      <w:r w:rsidRPr="00803B34">
        <w:rPr>
          <w:rFonts w:ascii="Sylfaen" w:hAnsi="Sylfaen"/>
          <w:i/>
          <w:sz w:val="24"/>
          <w:szCs w:val="24"/>
        </w:rPr>
        <w:t>(նկար 2.5.1.21-1, Ա)</w:t>
      </w:r>
      <w:r w:rsidRPr="00DA21D0">
        <w:rPr>
          <w:rFonts w:ascii="Sylfaen" w:hAnsi="Sylfaen"/>
          <w:sz w:val="24"/>
          <w:szCs w:val="24"/>
        </w:rPr>
        <w:t xml:space="preserve"> ազդող նյութը/նյութերը գտնվում է (են) եռակցված ռեզերվուարի մեջ լուծույթի, դոնդողի, դեղակախույթի կամ էմուլսիայի տեսքով։ Ռեզերվուարի արտաքին ծածկաշերտը ռեզերվուարում պարունակվող նյութի համար անթափանց պոլիմերային թաղանթ է, իսկ մաշկի հետ շփվող ներքին շերտը՝ պոլիմերային թաղանթ, որը կարգավորում է ռեզերվուարից ազդող նյութի/նյութերի՝ մաշկի վրա ելքի արագությունը հարակցանյութի շերտի միջով։ Հարակցանյութն ապահովում է մաշկին սպեղանու ամուր միացումը։</w:t>
      </w:r>
    </w:p>
    <w:p w14:paraId="28DADAB1" w14:textId="77777777" w:rsidR="00134BE9" w:rsidRPr="00DA21D0" w:rsidRDefault="00134BE9" w:rsidP="00134BE9">
      <w:pPr>
        <w:spacing w:after="160" w:line="360" w:lineRule="auto"/>
        <w:ind w:firstLine="567"/>
        <w:jc w:val="both"/>
      </w:pPr>
      <w:r w:rsidRPr="00DA21D0">
        <w:t>Մատրիցային անդրմաշկային սպեղանիներն ավելի պարզ կառուցվածք ունեն (</w:t>
      </w:r>
      <w:r w:rsidRPr="00803B34">
        <w:rPr>
          <w:i/>
        </w:rPr>
        <w:t>նկար 2.5.1.21-1, Բ)։</w:t>
      </w:r>
      <w:r w:rsidRPr="00DA21D0">
        <w:rPr>
          <w:i/>
        </w:rPr>
        <w:t xml:space="preserve"> </w:t>
      </w:r>
      <w:r w:rsidRPr="00DA21D0">
        <w:t>Արտաքին ծածկաշերտն ազդող նյութի համար անթափանց ճկուն պոլիմերային թաղանթ է, որին ամրացված է ազդող եւ օժանդակ նյութեր պարունակող պոլիմերային հարակցական մատրիցը։</w:t>
      </w:r>
    </w:p>
    <w:p w14:paraId="6F048134"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sz w:val="24"/>
          <w:szCs w:val="24"/>
        </w:rPr>
        <w:t>Արտաքին ծածկաշերտի մակերեսը կարող է հավասար լինել ազդող նյութի/նյութերի (այսինքն՝ ռեզերվուարի կամ պոլիմերային հարակցական մատրիցի) ձերբազատման (մատուցման) մակերեսին կամ փոքր-ինչ ավելի լինել սպեղանու եզրերին հարակցանյութ քսելու համար։ Պաշտպանիչ պատվածքը նաեւ կարող է փոքր-ինչ ավելի լինել, քան անդրմաշկային սպեղանին, ինչը հեշտացնում է դրա հեռացման պրոցեսը։</w:t>
      </w:r>
    </w:p>
    <w:p w14:paraId="1ADD9DFB"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p>
    <w:p w14:paraId="430263DA" w14:textId="77777777" w:rsidR="00134BE9" w:rsidRPr="00DA21D0" w:rsidRDefault="00134BE9" w:rsidP="00134BE9">
      <w:pPr>
        <w:pStyle w:val="a0"/>
        <w:shd w:val="clear" w:color="auto" w:fill="auto"/>
        <w:spacing w:after="160" w:line="360" w:lineRule="auto"/>
        <w:ind w:firstLine="567"/>
        <w:rPr>
          <w:rFonts w:ascii="Sylfaen" w:hAnsi="Sylfaen" w:cs="Sylfaen"/>
          <w:sz w:val="24"/>
          <w:szCs w:val="24"/>
        </w:rPr>
      </w:pPr>
      <w:r w:rsidRPr="00DA21D0">
        <w:rPr>
          <w:rFonts w:ascii="Sylfaen" w:hAnsi="Sylfaen"/>
          <w:b/>
          <w:sz w:val="24"/>
          <w:szCs w:val="24"/>
        </w:rPr>
        <w:lastRenderedPageBreak/>
        <w:t>ՏԵԽՆՈԼՈԳԻԱՅԻ ԱՌԱՆՁՆԱՀԱՏԿՈՒԹՅՈՒՆՆԵՐԸ</w:t>
      </w:r>
    </w:p>
    <w:p w14:paraId="4DBD687A"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Որպես անդրմաշկային սպեղանիների բաղադրության մեջ մտնող օժանդակ նյութեր կարող են օգտագործվել պլաստիկացնողներ, կայունացուցիչներ, սոլյուբիլիզատորներ, ազդող նյութի ձերբազատման արագության մոդիֆիկատորներ, ազդող նյութի համար մաշկի ներթափանցման ուժեղացուցիչներ, հարակցանյութեր, պոլիմերներ, համապոլիմերներ, լուծիչներ, էմուլսարարներ եւ բժշկական կիրառման համար թույլատրելի այլ օժանդակ նյութեր։</w:t>
      </w:r>
    </w:p>
    <w:p w14:paraId="765DF8B1"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sz w:val="24"/>
          <w:szCs w:val="24"/>
        </w:rPr>
        <w:t>Օժանդակ նյութերը չպետք է ունենան տեղային գրգռիչ ազդեցություն, ալերգիա առաջացնող եւ թունայնության ազդեցություն։</w:t>
      </w:r>
    </w:p>
    <w:p w14:paraId="0E1A9F7B"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i/>
          <w:sz w:val="24"/>
          <w:szCs w:val="24"/>
        </w:rPr>
        <w:t>Անդրմաշկային սպեղանիներ</w:t>
      </w:r>
      <w:r w:rsidRPr="00DA21D0">
        <w:rPr>
          <w:rFonts w:ascii="Sylfaen" w:hAnsi="Sylfaen"/>
          <w:sz w:val="24"/>
          <w:szCs w:val="24"/>
        </w:rPr>
        <w:t xml:space="preserve"> դեղաձեւի տեսքով դեղապատրաստուկների արտադրության ժամանակ պետք է ձեռնարկվեն դրանց մանրէաբանական մաքրությունն ապահովող միջոցներ։</w:t>
      </w:r>
    </w:p>
    <w:p w14:paraId="2E64EADB"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p>
    <w:p w14:paraId="70929DBC" w14:textId="77777777" w:rsidR="00134BE9" w:rsidRPr="00DA21D0" w:rsidRDefault="00134BE9" w:rsidP="00134BE9">
      <w:pPr>
        <w:pStyle w:val="a0"/>
        <w:shd w:val="clear" w:color="auto" w:fill="auto"/>
        <w:spacing w:after="160" w:line="346" w:lineRule="auto"/>
        <w:ind w:firstLine="567"/>
        <w:rPr>
          <w:rFonts w:ascii="Sylfaen" w:hAnsi="Sylfaen" w:cs="Sylfaen"/>
          <w:sz w:val="24"/>
          <w:szCs w:val="24"/>
        </w:rPr>
      </w:pPr>
      <w:r w:rsidRPr="00DA21D0">
        <w:rPr>
          <w:rFonts w:ascii="Sylfaen" w:hAnsi="Sylfaen"/>
          <w:b/>
          <w:sz w:val="24"/>
          <w:szCs w:val="24"/>
        </w:rPr>
        <w:t>ՓՈՐՁԱՐԿՈՒՄՆԵՐԸ</w:t>
      </w:r>
    </w:p>
    <w:p w14:paraId="43BA2EC1" w14:textId="77777777" w:rsidR="00134BE9" w:rsidRPr="00DA21D0" w:rsidRDefault="00134BE9" w:rsidP="00134BE9">
      <w:pPr>
        <w:spacing w:after="160" w:line="346" w:lineRule="auto"/>
        <w:ind w:firstLine="567"/>
        <w:jc w:val="both"/>
      </w:pPr>
      <w:r w:rsidRPr="00DA21D0">
        <w:t xml:space="preserve">Անդրմաշկային սպեղանիները պետք է համապատասխանեն </w:t>
      </w:r>
      <w:r w:rsidRPr="00DA21D0">
        <w:rPr>
          <w:i/>
        </w:rPr>
        <w:t>2.5.1.1. Դեղաձեւեր</w:t>
      </w:r>
      <w:r w:rsidRPr="00DA21D0">
        <w:t xml:space="preserve"> ընդհանուր դեղագրքային հոդվածի ընդհանուր պահանջներին եւ անցնեն տվյալ դեղաձեւին բնորոշ հաջորդող փորձարկումները։</w:t>
      </w:r>
    </w:p>
    <w:p w14:paraId="58A08CE3" w14:textId="77777777" w:rsidR="00134BE9" w:rsidRPr="00DA21D0" w:rsidRDefault="00134BE9" w:rsidP="00134BE9">
      <w:pPr>
        <w:pStyle w:val="a0"/>
        <w:shd w:val="clear" w:color="auto" w:fill="auto"/>
        <w:spacing w:after="160" w:line="346" w:lineRule="auto"/>
        <w:ind w:firstLine="567"/>
        <w:jc w:val="both"/>
        <w:rPr>
          <w:rFonts w:ascii="Sylfaen" w:hAnsi="Sylfaen" w:cs="Sylfaen"/>
          <w:sz w:val="24"/>
          <w:szCs w:val="24"/>
        </w:rPr>
      </w:pPr>
      <w:r w:rsidRPr="00DA21D0">
        <w:rPr>
          <w:rFonts w:ascii="Sylfaen" w:hAnsi="Sylfaen"/>
          <w:b/>
          <w:sz w:val="24"/>
          <w:szCs w:val="24"/>
        </w:rPr>
        <w:t xml:space="preserve">Նկարագրությունը. </w:t>
      </w:r>
      <w:r w:rsidRPr="00DA21D0">
        <w:rPr>
          <w:rFonts w:ascii="Sylfaen" w:hAnsi="Sylfaen"/>
          <w:sz w:val="24"/>
          <w:szCs w:val="24"/>
        </w:rPr>
        <w:t>Բնութագրում են անդրմաշկային սպեղանու ձեւը, արտաքին ծածկութաշերտի գույնը, մատրիցի եւ (կամ) հարակցանյութի նկարագրությունը՝ նշելով ազդող նյութի մատակարարման (ձերբազատման) մակերեսի երկրաչափական չափերը թույլատրելի շեղումներով՝ մասնավոր դեղագրքային հոդվածի եւ (կամ) որակի վերաբերյալ նորմատիվ փաստաթղթի պահանջներին համապատասխան։</w:t>
      </w:r>
    </w:p>
    <w:p w14:paraId="2249B416" w14:textId="77777777" w:rsidR="00134BE9" w:rsidRPr="00DA21D0" w:rsidRDefault="00134BE9" w:rsidP="00134BE9">
      <w:pPr>
        <w:pStyle w:val="a0"/>
        <w:shd w:val="clear" w:color="auto" w:fill="auto"/>
        <w:spacing w:after="160" w:line="360" w:lineRule="auto"/>
        <w:ind w:firstLine="567"/>
        <w:jc w:val="both"/>
        <w:rPr>
          <w:rFonts w:ascii="Sylfaen" w:hAnsi="Sylfaen" w:cs="Sylfaen"/>
          <w:sz w:val="24"/>
          <w:szCs w:val="24"/>
        </w:rPr>
      </w:pPr>
      <w:r w:rsidRPr="00DA21D0">
        <w:rPr>
          <w:rFonts w:ascii="Sylfaen" w:hAnsi="Sylfaen"/>
          <w:b/>
          <w:sz w:val="24"/>
          <w:szCs w:val="24"/>
        </w:rPr>
        <w:t xml:space="preserve">Լուծում. </w:t>
      </w:r>
      <w:r w:rsidRPr="00DA21D0">
        <w:rPr>
          <w:rFonts w:ascii="Sylfaen" w:hAnsi="Sylfaen"/>
          <w:sz w:val="24"/>
          <w:szCs w:val="24"/>
        </w:rPr>
        <w:t xml:space="preserve">Փորձարկումն անցկացնում են </w:t>
      </w:r>
      <w:r w:rsidRPr="00DA21D0">
        <w:rPr>
          <w:rFonts w:ascii="Sylfaen" w:hAnsi="Sylfaen"/>
          <w:i/>
          <w:sz w:val="24"/>
          <w:szCs w:val="24"/>
        </w:rPr>
        <w:t>2.1.9.4. Լուծման փորձարկում՝ անդրմաշկային սպեղանիների համար</w:t>
      </w:r>
      <w:r w:rsidRPr="00DA21D0">
        <w:rPr>
          <w:rFonts w:ascii="Sylfaen" w:hAnsi="Sylfaen"/>
          <w:sz w:val="24"/>
          <w:szCs w:val="24"/>
        </w:rPr>
        <w:t xml:space="preserve"> ընդհանուր դեղագրքային հոդվածին եւ մասնավոր դեղագրքային հոդվածում եւ (կամ) որակի վերաբերյալ նորմատիվ փաստաթղթում նշված պահանջներին համապատասխան։ Որոշում են ազդող </w:t>
      </w:r>
      <w:r w:rsidRPr="00DA21D0">
        <w:rPr>
          <w:rFonts w:ascii="Sylfaen" w:hAnsi="Sylfaen"/>
          <w:sz w:val="24"/>
          <w:szCs w:val="24"/>
        </w:rPr>
        <w:lastRenderedPageBreak/>
        <w:t>նյութի ձերբազատման արագությունը անդրմաշկային սպեղանուց կամ պոլիմերային թաղանթի միջով լուծման ընտրված միջավայր դրա մատուցման արագությունը։</w:t>
      </w:r>
    </w:p>
    <w:p w14:paraId="008E7EBF" w14:textId="77777777" w:rsidR="003A4194" w:rsidRDefault="00134BE9" w:rsidP="00134BE9">
      <w:pPr>
        <w:pStyle w:val="a0"/>
        <w:shd w:val="clear" w:color="auto" w:fill="auto"/>
        <w:spacing w:after="160" w:line="360" w:lineRule="auto"/>
        <w:ind w:firstLine="567"/>
        <w:jc w:val="both"/>
        <w:rPr>
          <w:rFonts w:ascii="Sylfaen" w:hAnsi="Sylfaen"/>
          <w:sz w:val="24"/>
          <w:szCs w:val="24"/>
        </w:rPr>
      </w:pPr>
      <w:r w:rsidRPr="003A4194">
        <w:rPr>
          <w:rFonts w:ascii="Sylfaen" w:hAnsi="Sylfaen"/>
          <w:b/>
          <w:spacing w:val="-4"/>
          <w:sz w:val="24"/>
          <w:szCs w:val="24"/>
        </w:rPr>
        <w:t xml:space="preserve">Դեղաչափված միավորների միատարրությունը. </w:t>
      </w:r>
      <w:r w:rsidRPr="003A4194">
        <w:rPr>
          <w:rFonts w:ascii="Sylfaen" w:hAnsi="Sylfaen"/>
          <w:spacing w:val="-4"/>
          <w:sz w:val="24"/>
          <w:szCs w:val="24"/>
        </w:rPr>
        <w:t xml:space="preserve">Փորձարկումն անցկացնում են </w:t>
      </w:r>
      <w:r w:rsidRPr="003A4194">
        <w:rPr>
          <w:rFonts w:ascii="Sylfaen" w:hAnsi="Sylfaen"/>
          <w:i/>
          <w:spacing w:val="-4"/>
          <w:sz w:val="24"/>
          <w:szCs w:val="24"/>
        </w:rPr>
        <w:t>2.1.9.14. Դեղաչափված միավորների միատարրությունը</w:t>
      </w:r>
      <w:r w:rsidRPr="003A4194">
        <w:rPr>
          <w:rFonts w:ascii="Sylfaen" w:hAnsi="Sylfaen"/>
          <w:spacing w:val="-4"/>
          <w:sz w:val="24"/>
          <w:szCs w:val="24"/>
        </w:rPr>
        <w:t xml:space="preserve"> ընդհանուր դեղագրքային</w:t>
      </w:r>
      <w:r w:rsidRPr="00DA21D0">
        <w:rPr>
          <w:rFonts w:ascii="Sylfaen" w:hAnsi="Sylfaen"/>
          <w:sz w:val="24"/>
          <w:szCs w:val="24"/>
        </w:rPr>
        <w:t xml:space="preserve"> հոդվածին համապատասխան՝ մասնավոր դեղագրքային հոդվածում եւ (կամ) որակի վերաբերյալ նորմատիվ փաստաթղթում այլ ցուցումների բացակայության դեպքում։</w:t>
      </w:r>
    </w:p>
    <w:p w14:paraId="75A11530" w14:textId="77777777" w:rsidR="003A4194" w:rsidRPr="0035054F" w:rsidRDefault="003A4194"/>
    <w:p w14:paraId="3FB6CE4C"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205010022-2022</w:t>
      </w:r>
    </w:p>
    <w:p w14:paraId="6315025D" w14:textId="77777777" w:rsidR="003A4194" w:rsidRPr="0035054F" w:rsidRDefault="003A4194" w:rsidP="003A4194">
      <w:pPr>
        <w:pStyle w:val="a0"/>
        <w:shd w:val="clear" w:color="auto" w:fill="auto"/>
        <w:spacing w:after="160" w:line="360" w:lineRule="auto"/>
        <w:ind w:firstLine="567"/>
        <w:jc w:val="right"/>
        <w:rPr>
          <w:rFonts w:ascii="Sylfaen" w:hAnsi="Sylfaen" w:cs="Sylfaen"/>
          <w:szCs w:val="24"/>
        </w:rPr>
      </w:pPr>
    </w:p>
    <w:p w14:paraId="380891F0" w14:textId="77777777" w:rsidR="003A4194" w:rsidRPr="0035054F"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2.5.1.22.</w:t>
      </w:r>
      <w:r w:rsidRPr="0035054F">
        <w:rPr>
          <w:rFonts w:ascii="Sylfaen" w:hAnsi="Sylfaen"/>
          <w:b/>
          <w:sz w:val="24"/>
          <w:szCs w:val="24"/>
        </w:rPr>
        <w:tab/>
      </w:r>
      <w:r w:rsidRPr="00D95643">
        <w:rPr>
          <w:rFonts w:ascii="Sylfaen" w:hAnsi="Sylfaen"/>
          <w:b/>
          <w:sz w:val="24"/>
          <w:szCs w:val="24"/>
        </w:rPr>
        <w:t>Թաղանթներ</w:t>
      </w:r>
      <w:r w:rsidRPr="0035054F">
        <w:rPr>
          <w:rFonts w:ascii="Sylfaen" w:hAnsi="Sylfaen"/>
          <w:b/>
          <w:sz w:val="24"/>
          <w:szCs w:val="24"/>
        </w:rPr>
        <w:t xml:space="preserve"> </w:t>
      </w:r>
    </w:p>
    <w:p w14:paraId="3BD36A1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«Թաղանթներ»՝ դեղաչափված պինդ դեղաձ</w:t>
      </w:r>
      <w:r>
        <w:rPr>
          <w:rFonts w:ascii="Sylfaen" w:hAnsi="Sylfaen"/>
          <w:sz w:val="24"/>
          <w:szCs w:val="24"/>
        </w:rPr>
        <w:t>եւ</w:t>
      </w:r>
      <w:r w:rsidRPr="00D95643">
        <w:rPr>
          <w:rFonts w:ascii="Sylfaen" w:hAnsi="Sylfaen"/>
          <w:sz w:val="24"/>
          <w:szCs w:val="24"/>
        </w:rPr>
        <w:t xml:space="preserve">, որը մեկ կամ մի քանի ազդող նյութեր </w:t>
      </w:r>
      <w:r>
        <w:rPr>
          <w:rFonts w:ascii="Sylfaen" w:hAnsi="Sylfaen"/>
          <w:sz w:val="24"/>
          <w:szCs w:val="24"/>
        </w:rPr>
        <w:t>եւ</w:t>
      </w:r>
      <w:r w:rsidRPr="00D95643">
        <w:rPr>
          <w:rFonts w:ascii="Sylfaen" w:hAnsi="Sylfaen"/>
          <w:sz w:val="24"/>
          <w:szCs w:val="24"/>
        </w:rPr>
        <w:t xml:space="preserve"> օժանդակ, այդ թվում՝ թաղանթագոյացնող նյութեր պարունակող, կիրառման համար հարմար չափի միաշերտ կամ բազմաշերտ բարակ թիթեղ է։</w:t>
      </w:r>
    </w:p>
    <w:p w14:paraId="389A069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ուղիով </w:t>
      </w:r>
      <w:r>
        <w:rPr>
          <w:rFonts w:ascii="Sylfaen" w:hAnsi="Sylfaen"/>
          <w:sz w:val="24"/>
          <w:szCs w:val="24"/>
        </w:rPr>
        <w:t>եւ</w:t>
      </w:r>
      <w:r w:rsidRPr="00D95643">
        <w:rPr>
          <w:rFonts w:ascii="Sylfaen" w:hAnsi="Sylfaen"/>
          <w:sz w:val="24"/>
          <w:szCs w:val="24"/>
        </w:rPr>
        <w:t xml:space="preserve"> կիրառման եղանակով՝ տարբերակում են ակնաթաղանթներ </w:t>
      </w:r>
      <w:r>
        <w:rPr>
          <w:rFonts w:ascii="Sylfaen" w:hAnsi="Sylfaen"/>
          <w:sz w:val="24"/>
          <w:szCs w:val="24"/>
        </w:rPr>
        <w:t>եւ</w:t>
      </w:r>
      <w:r w:rsidRPr="00D95643">
        <w:rPr>
          <w:rFonts w:ascii="Sylfaen" w:hAnsi="Sylfaen"/>
          <w:sz w:val="24"/>
          <w:szCs w:val="24"/>
        </w:rPr>
        <w:t xml:space="preserve"> բերանի խոռոչում կիրառելու համար թաղանթներ։</w:t>
      </w:r>
    </w:p>
    <w:p w14:paraId="07FCA47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Ակնաթաղանթներ</w:t>
      </w:r>
      <w:r w:rsidRPr="00D95643">
        <w:rPr>
          <w:rFonts w:ascii="Sylfaen" w:hAnsi="Sylfaen"/>
          <w:sz w:val="24"/>
          <w:szCs w:val="24"/>
        </w:rPr>
        <w:t>՝ մանրէազերծ թաղանթներ, որոնք նախատեսված են աչքի շաղկապենային պարկի մեջ տեղադրման համար։</w:t>
      </w:r>
    </w:p>
    <w:p w14:paraId="023DD3C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Բերանի խոռոչում կիրառելու համար թաղանթների շարքին են դասվում լնդին փակցնելու համար թաղանթները, հարթշային, բերանի խոռոչում դիսպերսվող, պերիօդոնտալ, ենթալեզվային թաղանթները։</w:t>
      </w:r>
    </w:p>
    <w:p w14:paraId="18F33B4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Լնդին փակցնելու համար թաղանթներ</w:t>
      </w:r>
      <w:r w:rsidRPr="00D95643">
        <w:rPr>
          <w:rFonts w:ascii="Sylfaen" w:hAnsi="Sylfaen"/>
          <w:sz w:val="24"/>
          <w:szCs w:val="24"/>
        </w:rPr>
        <w:t>՝ թաղանթներ, որոնք նախատեսված են լնդին փակցնելու համար՝ տեղային ազդեցություն գործելու նպատակով։</w:t>
      </w:r>
    </w:p>
    <w:p w14:paraId="46354060" w14:textId="77777777" w:rsidR="003A4194" w:rsidRPr="00D95643" w:rsidRDefault="003A4194" w:rsidP="003A4194">
      <w:pPr>
        <w:spacing w:after="160" w:line="360" w:lineRule="auto"/>
        <w:ind w:firstLine="567"/>
        <w:jc w:val="both"/>
      </w:pPr>
      <w:r w:rsidRPr="00D95643">
        <w:rPr>
          <w:i/>
        </w:rPr>
        <w:t>Հարթշային թաղանթներ</w:t>
      </w:r>
      <w:r w:rsidRPr="00D95643">
        <w:t>՝ թաղանթներ, որոնք նախատեսված են այտի խորշի մեջ տեղադրման համար՝ համակարգային ազդեցություն գործելու նպատակով։</w:t>
      </w:r>
    </w:p>
    <w:p w14:paraId="03F374D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Բերանի խոռոչում դիսպերսվող թաղանթներ</w:t>
      </w:r>
      <w:r w:rsidRPr="00D95643">
        <w:rPr>
          <w:rFonts w:ascii="Sylfaen" w:hAnsi="Sylfaen"/>
          <w:sz w:val="24"/>
          <w:szCs w:val="24"/>
        </w:rPr>
        <w:t>՝ թաղանթներ, որոնք նախատեսված են բերանի խոռոչի մեջ տեղադրման համար, որտեղ դրանք կուլ տալուց առաջ արագ դիսպերսվում են։</w:t>
      </w:r>
    </w:p>
    <w:p w14:paraId="2DD677B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Պերիօդոնտալ թաղանթներ</w:t>
      </w:r>
      <w:r w:rsidRPr="00D95643">
        <w:rPr>
          <w:rFonts w:ascii="Sylfaen" w:hAnsi="Sylfaen"/>
          <w:sz w:val="24"/>
          <w:szCs w:val="24"/>
        </w:rPr>
        <w:t xml:space="preserve">՝ թաղանթներ, որոնք նախատեսված են ատամի </w:t>
      </w:r>
      <w:r>
        <w:rPr>
          <w:rFonts w:ascii="Sylfaen" w:hAnsi="Sylfaen"/>
          <w:sz w:val="24"/>
          <w:szCs w:val="24"/>
        </w:rPr>
        <w:t>եւ</w:t>
      </w:r>
      <w:r w:rsidRPr="00D95643">
        <w:rPr>
          <w:rFonts w:ascii="Sylfaen" w:hAnsi="Sylfaen"/>
          <w:sz w:val="24"/>
          <w:szCs w:val="24"/>
        </w:rPr>
        <w:t xml:space="preserve"> լնդի միջ</w:t>
      </w:r>
      <w:r>
        <w:rPr>
          <w:rFonts w:ascii="Sylfaen" w:hAnsi="Sylfaen"/>
          <w:sz w:val="24"/>
          <w:szCs w:val="24"/>
        </w:rPr>
        <w:t>եւ</w:t>
      </w:r>
      <w:r w:rsidRPr="00D95643">
        <w:rPr>
          <w:rFonts w:ascii="Sylfaen" w:hAnsi="Sylfaen"/>
          <w:sz w:val="24"/>
          <w:szCs w:val="24"/>
        </w:rPr>
        <w:t xml:space="preserve"> ընկած լնդագրպանիկի մեջ տեղադրման համար։</w:t>
      </w:r>
    </w:p>
    <w:p w14:paraId="17BC250A"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Ենթալեզվային թաղանթներ</w:t>
      </w:r>
      <w:r w:rsidRPr="00D95643">
        <w:rPr>
          <w:rFonts w:ascii="Sylfaen" w:hAnsi="Sylfaen"/>
          <w:sz w:val="24"/>
          <w:szCs w:val="24"/>
        </w:rPr>
        <w:t>՝ թաղանթներ, որոնք նախատեսված են լեզվի տակ տեղադրման համար՝ համակարգային ազդեցություն գործելու նպատակով։</w:t>
      </w:r>
    </w:p>
    <w:p w14:paraId="27E5BDE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Ըստ ձերբազատման տեսակի՝ թաղանթները դասվում են մոդիֆիկացված, որպես կանոն, երկարատ</w:t>
      </w:r>
      <w:r>
        <w:rPr>
          <w:rFonts w:ascii="Sylfaen" w:hAnsi="Sylfaen"/>
          <w:sz w:val="24"/>
          <w:szCs w:val="24"/>
        </w:rPr>
        <w:t>եւ</w:t>
      </w:r>
      <w:r w:rsidRPr="00D95643">
        <w:rPr>
          <w:rFonts w:ascii="Sylfaen" w:hAnsi="Sylfaen"/>
          <w:sz w:val="24"/>
          <w:szCs w:val="24"/>
        </w:rPr>
        <w:t xml:space="preserve"> ձերբազատմամբ դեղաձ</w:t>
      </w:r>
      <w:r>
        <w:rPr>
          <w:rFonts w:ascii="Sylfaen" w:hAnsi="Sylfaen"/>
          <w:sz w:val="24"/>
          <w:szCs w:val="24"/>
        </w:rPr>
        <w:t>եւ</w:t>
      </w:r>
      <w:r w:rsidRPr="00D95643">
        <w:rPr>
          <w:rFonts w:ascii="Sylfaen" w:hAnsi="Sylfaen"/>
          <w:sz w:val="24"/>
          <w:szCs w:val="24"/>
        </w:rPr>
        <w:t>երի շարքին։</w:t>
      </w:r>
    </w:p>
    <w:p w14:paraId="33B26B5B" w14:textId="77777777" w:rsidR="003A4194" w:rsidRPr="00D95643" w:rsidRDefault="003A4194" w:rsidP="003A4194">
      <w:pPr>
        <w:pStyle w:val="a0"/>
        <w:shd w:val="clear" w:color="auto" w:fill="auto"/>
        <w:spacing w:after="160" w:line="360" w:lineRule="auto"/>
        <w:ind w:firstLine="567"/>
        <w:jc w:val="both"/>
        <w:rPr>
          <w:rFonts w:ascii="Sylfaen" w:hAnsi="Sylfaen" w:cs="Sylfaen"/>
          <w:i/>
          <w:iCs/>
          <w:sz w:val="24"/>
          <w:szCs w:val="24"/>
        </w:rPr>
      </w:pPr>
      <w:r w:rsidRPr="00D95643">
        <w:rPr>
          <w:rFonts w:ascii="Sylfaen" w:hAnsi="Sylfaen"/>
          <w:sz w:val="24"/>
          <w:szCs w:val="24"/>
        </w:rPr>
        <w:t xml:space="preserve">Թաղանթները կարող են արտադրվել կենսադեգրադացվող/լուծվող նյութերի հիման վրա </w:t>
      </w:r>
      <w:r w:rsidRPr="00D95643">
        <w:rPr>
          <w:rFonts w:ascii="Sylfaen" w:hAnsi="Sylfaen"/>
          <w:i/>
          <w:sz w:val="24"/>
          <w:szCs w:val="24"/>
        </w:rPr>
        <w:t>(կենսադեգրադացվող թաղանթներ)</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չկենսադեգրադացվող նյութերի հիման վրա </w:t>
      </w:r>
      <w:r w:rsidRPr="00D95643">
        <w:rPr>
          <w:rFonts w:ascii="Sylfaen" w:hAnsi="Sylfaen"/>
          <w:i/>
          <w:sz w:val="24"/>
          <w:szCs w:val="24"/>
        </w:rPr>
        <w:t>(չկենսադեգրադացվող թաղանթներ)</w:t>
      </w:r>
      <w:r w:rsidRPr="00D95643">
        <w:rPr>
          <w:rFonts w:ascii="Sylfaen" w:hAnsi="Sylfaen"/>
          <w:sz w:val="24"/>
          <w:szCs w:val="24"/>
        </w:rPr>
        <w:t>։</w:t>
      </w:r>
    </w:p>
    <w:p w14:paraId="5ECD5D3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077F15E7"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3177F47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Թաղանթների բարակ թիթեղները, որպես կանոն, ստանում են թափման կամ էքստրուզիայի (արտամղման) մեթոդով։</w:t>
      </w:r>
    </w:p>
    <w:p w14:paraId="61EB5AB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Կենսադեգրադացվող նյութերից թաղանթների արտադրության ժամանակ որպես թաղանթագոյացնող հիմք (մատրից) օգտագործում են սինթետիկ </w:t>
      </w:r>
      <w:r>
        <w:rPr>
          <w:rFonts w:ascii="Sylfaen" w:hAnsi="Sylfaen"/>
          <w:sz w:val="24"/>
          <w:szCs w:val="24"/>
        </w:rPr>
        <w:t>եւ</w:t>
      </w:r>
      <w:r w:rsidRPr="00D95643">
        <w:rPr>
          <w:rFonts w:ascii="Sylfaen" w:hAnsi="Sylfaen"/>
          <w:sz w:val="24"/>
          <w:szCs w:val="24"/>
        </w:rPr>
        <w:t xml:space="preserve"> բնական ծագման պոլիմերային նյութեր, որոնք քիմիապես </w:t>
      </w:r>
      <w:r>
        <w:rPr>
          <w:rFonts w:ascii="Sylfaen" w:hAnsi="Sylfaen"/>
          <w:sz w:val="24"/>
          <w:szCs w:val="24"/>
        </w:rPr>
        <w:t>եւ</w:t>
      </w:r>
      <w:r w:rsidRPr="00D95643">
        <w:rPr>
          <w:rFonts w:ascii="Sylfaen" w:hAnsi="Sylfaen"/>
          <w:sz w:val="24"/>
          <w:szCs w:val="24"/>
        </w:rPr>
        <w:t xml:space="preserve"> կենսաբանորեն չեն փոխներգործում ակտիվ դեղագործական բաղադրամասի (բաղադրամասերի) հետ </w:t>
      </w:r>
      <w:r>
        <w:rPr>
          <w:rFonts w:ascii="Sylfaen" w:hAnsi="Sylfaen"/>
          <w:sz w:val="24"/>
          <w:szCs w:val="24"/>
        </w:rPr>
        <w:t>եւ</w:t>
      </w:r>
      <w:r w:rsidRPr="00D95643">
        <w:rPr>
          <w:rFonts w:ascii="Sylfaen" w:hAnsi="Sylfaen"/>
          <w:sz w:val="24"/>
          <w:szCs w:val="24"/>
        </w:rPr>
        <w:t xml:space="preserve"> հակում ունեն ուռչելու </w:t>
      </w:r>
      <w:r>
        <w:rPr>
          <w:rFonts w:ascii="Sylfaen" w:hAnsi="Sylfaen"/>
          <w:sz w:val="24"/>
          <w:szCs w:val="24"/>
        </w:rPr>
        <w:t>եւ</w:t>
      </w:r>
      <w:r w:rsidRPr="00D95643">
        <w:rPr>
          <w:rFonts w:ascii="Sylfaen" w:hAnsi="Sylfaen"/>
          <w:sz w:val="24"/>
          <w:szCs w:val="24"/>
        </w:rPr>
        <w:t xml:space="preserve"> ազդող նյութը (նյութերը) աստիճանաբար ձերբազատելու։ Թաղանթները կարելի է ստանալ սննդային պոլիմերների, ջրալուծվող պոլիմերների, համապոլիմերների </w:t>
      </w:r>
      <w:r>
        <w:rPr>
          <w:rFonts w:ascii="Sylfaen" w:hAnsi="Sylfaen"/>
          <w:sz w:val="24"/>
          <w:szCs w:val="24"/>
        </w:rPr>
        <w:t>եւ</w:t>
      </w:r>
      <w:r w:rsidRPr="00D95643">
        <w:rPr>
          <w:rFonts w:ascii="Sylfaen" w:hAnsi="Sylfaen"/>
          <w:sz w:val="24"/>
          <w:szCs w:val="24"/>
        </w:rPr>
        <w:t xml:space="preserve"> այլնի հիման վրա։</w:t>
      </w:r>
    </w:p>
    <w:p w14:paraId="1D05041E"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Կենսադեգրադացվող թաղանթները չեն պահանջում հեռացում կիրառման տեղից բուժումն ավարտելուց հետո։</w:t>
      </w:r>
    </w:p>
    <w:p w14:paraId="647BA540"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767F647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pacing w:val="-4"/>
          <w:sz w:val="24"/>
          <w:szCs w:val="24"/>
        </w:rPr>
        <w:lastRenderedPageBreak/>
        <w:t>Թաղանթների ստացման ժամանակ օգտագործվող օժանդակ նյութերը պետք է ապահովեն պոլիմերային հիմքից ազդող նյութի/նյութերի վերահսկվող ձերբազատումը</w:t>
      </w:r>
      <w:r w:rsidRPr="00D95643">
        <w:rPr>
          <w:rFonts w:ascii="Sylfaen" w:hAnsi="Sylfaen"/>
          <w:sz w:val="24"/>
          <w:szCs w:val="24"/>
        </w:rPr>
        <w:t xml:space="preserve"> տրված ժամանակահատվածում </w:t>
      </w:r>
      <w:r>
        <w:rPr>
          <w:rFonts w:ascii="Sylfaen" w:hAnsi="Sylfaen"/>
          <w:sz w:val="24"/>
          <w:szCs w:val="24"/>
        </w:rPr>
        <w:t>եւ</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ի այլ անհրաժեշտ տեխնոլոգիական բնութագրերը։</w:t>
      </w:r>
    </w:p>
    <w:p w14:paraId="103ED9E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Թաղանթների արտադրության ժամանակ որպես օժանդակ նյութեր օգտագործում են նա</w:t>
      </w:r>
      <w:r>
        <w:rPr>
          <w:rFonts w:ascii="Sylfaen" w:hAnsi="Sylfaen"/>
          <w:sz w:val="24"/>
          <w:szCs w:val="24"/>
        </w:rPr>
        <w:t>եւ</w:t>
      </w:r>
      <w:r w:rsidRPr="00D95643">
        <w:rPr>
          <w:rFonts w:ascii="Sylfaen" w:hAnsi="Sylfaen"/>
          <w:sz w:val="24"/>
          <w:szCs w:val="24"/>
        </w:rPr>
        <w:t xml:space="preserve"> պլաստիֆիկատորներ, հակամանրէային կոնսերվանտներ, կայունարարներ, հարակցային (սոսնձային) նյութեր </w:t>
      </w:r>
      <w:r>
        <w:rPr>
          <w:rFonts w:ascii="Sylfaen" w:hAnsi="Sylfaen"/>
          <w:sz w:val="24"/>
          <w:szCs w:val="24"/>
        </w:rPr>
        <w:t>եւ</w:t>
      </w:r>
      <w:r w:rsidRPr="00D95643">
        <w:rPr>
          <w:rFonts w:ascii="Sylfaen" w:hAnsi="Sylfaen"/>
          <w:sz w:val="24"/>
          <w:szCs w:val="24"/>
        </w:rPr>
        <w:t xml:space="preserve"> այլն։ Բերանի խոռոչում կիրառելու համար նախատեսված թաղանթներ արտադրելիս որպես օժանդակ նյութեր օգտագործում են նա</w:t>
      </w:r>
      <w:r>
        <w:rPr>
          <w:rFonts w:ascii="Sylfaen" w:hAnsi="Sylfaen"/>
          <w:sz w:val="24"/>
          <w:szCs w:val="24"/>
        </w:rPr>
        <w:t>եւ</w:t>
      </w:r>
      <w:r w:rsidRPr="00D95643">
        <w:rPr>
          <w:rFonts w:ascii="Sylfaen" w:hAnsi="Sylfaen"/>
          <w:sz w:val="24"/>
          <w:szCs w:val="24"/>
        </w:rPr>
        <w:t xml:space="preserve"> համի կորրիգենտներ, բուրավետիչներ։</w:t>
      </w:r>
    </w:p>
    <w:p w14:paraId="5639C89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Ակտիվ դեղագործական բաղադրամասը (բաղադրամասերը) թաղանթի հիմքում կարող է ներմուծվել լուծույթի, էմուլսիայի կամ դեղակախույթի տեսքով։</w:t>
      </w:r>
    </w:p>
    <w:p w14:paraId="01D0E44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Բազմաշերտ թաղանթների առանձին շերտերը կարող են պարունակել ազդող նյութի (նյութերի) տարբեր կոնցենտրացիաներ </w:t>
      </w:r>
      <w:r>
        <w:rPr>
          <w:rFonts w:ascii="Sylfaen" w:hAnsi="Sylfaen"/>
          <w:sz w:val="24"/>
          <w:szCs w:val="24"/>
        </w:rPr>
        <w:t>եւ</w:t>
      </w:r>
      <w:r w:rsidRPr="00D95643">
        <w:rPr>
          <w:rFonts w:ascii="Sylfaen" w:hAnsi="Sylfaen"/>
          <w:sz w:val="24"/>
          <w:szCs w:val="24"/>
        </w:rPr>
        <w:t xml:space="preserve"> մոդիֆիկացիաներ։</w:t>
      </w:r>
    </w:p>
    <w:p w14:paraId="45D2641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Լուծույթներից բազմաշերտ թաղանթներ ստանալիս տակդիրի (կաղապարի) վրա զետեղում են մի քանի շերտ՝ յուրաքանչյուր շերտի հաջորդական չորացմամբ։</w:t>
      </w:r>
    </w:p>
    <w:p w14:paraId="3355A5B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Թաղանթների արտադրության տեխնոլոգիան պետք է ապահովի դրանց ամբողջականության պահպանումը արտադրության, փաթեթավորման, պահպանման </w:t>
      </w:r>
      <w:r>
        <w:rPr>
          <w:rFonts w:ascii="Sylfaen" w:hAnsi="Sylfaen"/>
          <w:sz w:val="24"/>
          <w:szCs w:val="24"/>
        </w:rPr>
        <w:t>եւ</w:t>
      </w:r>
      <w:r w:rsidRPr="00D95643">
        <w:rPr>
          <w:rFonts w:ascii="Sylfaen" w:hAnsi="Sylfaen"/>
          <w:sz w:val="24"/>
          <w:szCs w:val="24"/>
        </w:rPr>
        <w:t xml:space="preserve"> կիրառման ընթացքում։</w:t>
      </w:r>
    </w:p>
    <w:p w14:paraId="77C3172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Թաղանթներ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 ստանալիս սահմանված դեպքերում պետք է ձեռնարկվեն դրանց միկրոկենսաբանական մաքրությունն ապահովող միջոցներ, օրինակ՝ ակնաթաղանթներ </w:t>
      </w:r>
      <w:r>
        <w:rPr>
          <w:rFonts w:ascii="Sylfaen" w:hAnsi="Sylfaen"/>
          <w:sz w:val="24"/>
          <w:szCs w:val="24"/>
        </w:rPr>
        <w:t>եւ</w:t>
      </w:r>
      <w:r w:rsidRPr="00D95643">
        <w:rPr>
          <w:rFonts w:ascii="Sylfaen" w:hAnsi="Sylfaen"/>
          <w:sz w:val="24"/>
          <w:szCs w:val="24"/>
        </w:rPr>
        <w:t xml:space="preserve"> այլ թաղանթներ ստանալիս պետք է ձեռնարկվեն դրանց մանրէազերծությունն ապահովող միջոցներ։</w:t>
      </w:r>
    </w:p>
    <w:p w14:paraId="125CEDF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Մանրէազերծ թաղանթներ ստանալու համար կարող են օգտագործվել մանրէազերծման ճառագայթային մեթոդներ։</w:t>
      </w:r>
    </w:p>
    <w:p w14:paraId="1221133D" w14:textId="77777777" w:rsidR="003A4194" w:rsidRDefault="003A4194">
      <w:pPr>
        <w:rPr>
          <w:rFonts w:eastAsia="Times New Roman"/>
          <w:color w:val="auto"/>
        </w:rPr>
      </w:pPr>
      <w:r>
        <w:br w:type="page"/>
      </w:r>
    </w:p>
    <w:p w14:paraId="19EBD91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ՓՈՐՁԱՐԿՈՒՄՆԵՐԸ</w:t>
      </w:r>
    </w:p>
    <w:p w14:paraId="07F3F73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Թաղանթները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փորձարկումներին։</w:t>
      </w:r>
    </w:p>
    <w:p w14:paraId="3560954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Ակնաթաղանթների տեսքով դեղապատրաստուկները պետք է համապատասխանեն </w:t>
      </w:r>
      <w:r w:rsidRPr="00D95643">
        <w:rPr>
          <w:rFonts w:ascii="Sylfaen" w:hAnsi="Sylfaen"/>
          <w:i/>
          <w:sz w:val="24"/>
          <w:szCs w:val="24"/>
        </w:rPr>
        <w:t>2.5.3.3</w:t>
      </w:r>
      <w:r w:rsidRPr="00D95643">
        <w:rPr>
          <w:rFonts w:ascii="Sylfaen" w:hAnsi="Sylfaen"/>
          <w:sz w:val="24"/>
          <w:szCs w:val="24"/>
        </w:rPr>
        <w:t xml:space="preserve">. </w:t>
      </w:r>
      <w:r w:rsidRPr="00D95643">
        <w:rPr>
          <w:rFonts w:ascii="Sylfaen" w:hAnsi="Sylfaen"/>
          <w:i/>
          <w:sz w:val="24"/>
          <w:szCs w:val="24"/>
        </w:rPr>
        <w:t>Ակնաբուժական կիրառման համար նախատեսված դեղապատրաստուկներ</w:t>
      </w:r>
      <w:r w:rsidRPr="00D95643">
        <w:rPr>
          <w:rFonts w:ascii="Sylfaen" w:hAnsi="Sylfaen"/>
          <w:sz w:val="24"/>
          <w:szCs w:val="24"/>
        </w:rPr>
        <w:t xml:space="preserve"> ընդհանուր դեղագրքային հոդվածին։</w:t>
      </w:r>
    </w:p>
    <w:p w14:paraId="554AE45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Թաղանթները բնութագրում են՝ նշելով արտաքին տեսքը (ձ</w:t>
      </w:r>
      <w:r>
        <w:rPr>
          <w:rFonts w:ascii="Sylfaen" w:hAnsi="Sylfaen"/>
          <w:sz w:val="24"/>
          <w:szCs w:val="24"/>
        </w:rPr>
        <w:t>եւ</w:t>
      </w:r>
      <w:r w:rsidRPr="00D95643">
        <w:rPr>
          <w:rFonts w:ascii="Sylfaen" w:hAnsi="Sylfaen"/>
          <w:sz w:val="24"/>
          <w:szCs w:val="24"/>
        </w:rPr>
        <w:t xml:space="preserve">ը),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հոդվածին </w:t>
      </w:r>
      <w:r>
        <w:rPr>
          <w:rFonts w:ascii="Sylfaen" w:hAnsi="Sylfaen"/>
          <w:sz w:val="24"/>
          <w:szCs w:val="24"/>
        </w:rPr>
        <w:t>եւ</w:t>
      </w:r>
      <w:r w:rsidRPr="00D95643">
        <w:rPr>
          <w:rFonts w:ascii="Sylfaen" w:hAnsi="Sylfaen"/>
          <w:sz w:val="24"/>
          <w:szCs w:val="24"/>
        </w:rPr>
        <w:t xml:space="preserve"> (կամ) որակի վերաբերյալ նորմատիվ փաստաթղթի պահանջներին համապատասխան։</w:t>
      </w:r>
    </w:p>
    <w:p w14:paraId="3527800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Թաղանթի չափերը. </w:t>
      </w:r>
      <w:r w:rsidRPr="00D95643">
        <w:rPr>
          <w:rFonts w:ascii="Sylfaen" w:hAnsi="Sylfaen"/>
          <w:sz w:val="24"/>
          <w:szCs w:val="24"/>
        </w:rPr>
        <w:t xml:space="preserve">Որոշում են թաղանթի երկրաչափական չափերը (երկարությունը, լայնությունը, հաստությունը) միլիմետրերով՝ միկրոմետրով չափելու միջոցով։ Փորձարկման համար նախատեսված թաղանթների քանակը </w:t>
      </w:r>
      <w:r>
        <w:rPr>
          <w:rFonts w:ascii="Sylfaen" w:hAnsi="Sylfaen"/>
          <w:sz w:val="24"/>
          <w:szCs w:val="24"/>
        </w:rPr>
        <w:t>եւ</w:t>
      </w:r>
      <w:r w:rsidRPr="00D95643">
        <w:rPr>
          <w:rFonts w:ascii="Sylfaen" w:hAnsi="Sylfaen"/>
          <w:sz w:val="24"/>
          <w:szCs w:val="24"/>
        </w:rPr>
        <w:t xml:space="preserve"> թաղանթի չափերի թույլատրելի շեղումները ներկայացվում 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476767E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Զանգվածի միատարրությունը. </w:t>
      </w:r>
      <w:r w:rsidRPr="00D95643">
        <w:rPr>
          <w:rFonts w:ascii="Sylfaen" w:hAnsi="Sylfaen"/>
          <w:sz w:val="24"/>
          <w:szCs w:val="24"/>
        </w:rPr>
        <w:t xml:space="preserve">Փորձարկումն անցկացնում են </w:t>
      </w:r>
      <w:r w:rsidRPr="00D95643">
        <w:rPr>
          <w:rFonts w:ascii="Sylfaen" w:hAnsi="Sylfaen"/>
          <w:i/>
          <w:sz w:val="24"/>
          <w:szCs w:val="24"/>
        </w:rPr>
        <w:t>2.1.9.5. Դեղաչափված դեղապատրաստուկի միավորի զանգվածի միատարրություն</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w:t>
      </w:r>
      <w:r w:rsidRPr="00D95643">
        <w:rPr>
          <w:rFonts w:ascii="Sylfaen" w:hAnsi="Sylfaen"/>
          <w:spacing w:val="-4"/>
          <w:sz w:val="24"/>
          <w:szCs w:val="24"/>
        </w:rPr>
        <w:t>(կամ) որակի վերաբերյալ նորմատիվ փաստաթղթում նշված պահանջներին համապատասխան։ Փորձարկումը չեն կիրառում այն դեպքում, երբ նախատեսված է փորձարկում</w:t>
      </w:r>
      <w:r w:rsidRPr="00D95643">
        <w:rPr>
          <w:rFonts w:ascii="Sylfaen" w:hAnsi="Sylfaen"/>
          <w:sz w:val="24"/>
          <w:szCs w:val="24"/>
        </w:rPr>
        <w:t xml:space="preserve">՝ ըստ </w:t>
      </w:r>
      <w:r w:rsidRPr="00D95643">
        <w:rPr>
          <w:rFonts w:ascii="Sylfaen" w:hAnsi="Sylfaen"/>
          <w:i/>
          <w:sz w:val="24"/>
          <w:szCs w:val="24"/>
        </w:rPr>
        <w:t>Դեղաչափված միավորների միատարրություն</w:t>
      </w:r>
      <w:r w:rsidRPr="00D95643">
        <w:rPr>
          <w:rFonts w:ascii="Sylfaen" w:hAnsi="Sylfaen"/>
          <w:sz w:val="24"/>
          <w:szCs w:val="24"/>
        </w:rPr>
        <w:t xml:space="preserve"> որակի ցուցանիշի՝ բոլոր ազդող նյութերի համար։</w:t>
      </w:r>
    </w:p>
    <w:p w14:paraId="65090CA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Տրոհելիությունը. </w:t>
      </w:r>
      <w:r w:rsidRPr="00D95643">
        <w:rPr>
          <w:rFonts w:ascii="Sylfaen" w:hAnsi="Sylfaen"/>
          <w:sz w:val="24"/>
          <w:szCs w:val="24"/>
        </w:rPr>
        <w:t xml:space="preserve">Փորձարկումն անցկացնում են կենսադեգրադացվող նյութերից թաղանթների համար՝ որոշման մեթոդիկային </w:t>
      </w:r>
      <w:r>
        <w:rPr>
          <w:rFonts w:ascii="Sylfaen" w:hAnsi="Sylfaen"/>
          <w:sz w:val="24"/>
          <w:szCs w:val="24"/>
        </w:rPr>
        <w:t>եւ</w:t>
      </w:r>
      <w:r w:rsidRPr="00D95643">
        <w:rPr>
          <w:rFonts w:ascii="Sylfaen" w:hAnsi="Sylfaen"/>
          <w:sz w:val="24"/>
          <w:szCs w:val="24"/>
        </w:rPr>
        <w:t xml:space="preserve"> մասնավոր դեղագրքային հոդվածում կամ որակի վերաբերյալ նորմատիվ փաստաթղթում նշված պահանջներին համապատասխան։ Թաղանթները պետք է տրոհվեն </w:t>
      </w:r>
      <w:r w:rsidRPr="00D95643">
        <w:rPr>
          <w:rFonts w:ascii="Sylfaen" w:hAnsi="Sylfaen"/>
          <w:sz w:val="24"/>
          <w:szCs w:val="24"/>
        </w:rPr>
        <w:lastRenderedPageBreak/>
        <w:t>մասնավոր դեղագրքային հոդվածում կամ որակի վերաբերյալ նորմատիվ փաստաթղթում նշված ժամանակահատվածում։</w:t>
      </w:r>
    </w:p>
    <w:p w14:paraId="27388FA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Լուծումը. </w:t>
      </w:r>
      <w:r w:rsidRPr="00D95643">
        <w:rPr>
          <w:rFonts w:ascii="Sylfaen" w:hAnsi="Sylfaen"/>
          <w:sz w:val="24"/>
          <w:szCs w:val="24"/>
        </w:rPr>
        <w:t xml:space="preserve">Փորձարկումն անցկացնում են </w:t>
      </w:r>
      <w:r w:rsidRPr="00D95643">
        <w:rPr>
          <w:rFonts w:ascii="Sylfaen" w:hAnsi="Sylfaen"/>
          <w:i/>
          <w:sz w:val="24"/>
          <w:szCs w:val="24"/>
        </w:rPr>
        <w:t>2.1.9.3. Լուծման փորձարկում՝ դեղաչափված պինդ դեղաձ</w:t>
      </w:r>
      <w:r>
        <w:rPr>
          <w:rFonts w:ascii="Sylfaen" w:hAnsi="Sylfaen"/>
          <w:i/>
          <w:sz w:val="24"/>
          <w:szCs w:val="24"/>
        </w:rPr>
        <w:t>եւ</w:t>
      </w:r>
      <w:r w:rsidRPr="00D95643">
        <w:rPr>
          <w:rFonts w:ascii="Sylfaen" w:hAnsi="Sylfaen"/>
          <w:i/>
          <w:sz w:val="24"/>
          <w:szCs w:val="24"/>
        </w:rPr>
        <w:t>երի համար</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պահանջներին համապատասխան։</w:t>
      </w:r>
    </w:p>
    <w:p w14:paraId="3FEB0F9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Եթե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նախատեսված է փորձարկում՝ ըստ </w:t>
      </w:r>
      <w:r w:rsidRPr="00D95643">
        <w:rPr>
          <w:rFonts w:ascii="Sylfaen" w:hAnsi="Sylfaen"/>
          <w:i/>
          <w:sz w:val="24"/>
          <w:szCs w:val="24"/>
        </w:rPr>
        <w:t>Լուծում</w:t>
      </w:r>
      <w:r w:rsidRPr="00D95643">
        <w:rPr>
          <w:rFonts w:ascii="Sylfaen" w:hAnsi="Sylfaen"/>
          <w:sz w:val="24"/>
          <w:szCs w:val="24"/>
        </w:rPr>
        <w:t xml:space="preserve"> որակի ցուցանիշի, ապա թույլատրվում է չանցկացնել փորձարկում՝ ըստ </w:t>
      </w:r>
      <w:r w:rsidRPr="00D95643">
        <w:rPr>
          <w:rFonts w:ascii="Sylfaen" w:hAnsi="Sylfaen"/>
          <w:i/>
          <w:sz w:val="24"/>
          <w:szCs w:val="24"/>
        </w:rPr>
        <w:t>Տրոհելիություն</w:t>
      </w:r>
      <w:r w:rsidRPr="00D95643">
        <w:rPr>
          <w:rFonts w:ascii="Sylfaen" w:hAnsi="Sylfaen"/>
          <w:sz w:val="24"/>
          <w:szCs w:val="24"/>
        </w:rPr>
        <w:t xml:space="preserve"> որակի ցուցանիշի։</w:t>
      </w:r>
    </w:p>
    <w:p w14:paraId="37C1261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Զանգվածի կորուստը չորացնելիս</w:t>
      </w:r>
      <w:r w:rsidRPr="00D95643">
        <w:rPr>
          <w:rFonts w:ascii="Sylfaen" w:hAnsi="Sylfaen"/>
          <w:sz w:val="24"/>
          <w:szCs w:val="24"/>
        </w:rPr>
        <w:t xml:space="preserve"> կամ </w:t>
      </w:r>
      <w:r w:rsidRPr="00D95643">
        <w:rPr>
          <w:rFonts w:ascii="Sylfaen" w:hAnsi="Sylfaen"/>
          <w:b/>
          <w:sz w:val="24"/>
          <w:szCs w:val="24"/>
        </w:rPr>
        <w:t xml:space="preserve">Ջուրը. </w:t>
      </w:r>
      <w:r w:rsidRPr="00D95643">
        <w:rPr>
          <w:rFonts w:ascii="Sylfaen" w:hAnsi="Sylfaen"/>
          <w:sz w:val="24"/>
          <w:szCs w:val="24"/>
        </w:rPr>
        <w:t xml:space="preserve">Փորձարկումն անցկացնում են մասնավոր դեղագրքային հոդվածի կամ որակի վերաբերյալ նորմատիվ փաստաթղթի պահանջներին համապատասխան այն դեպքերում, երբ ջրի պարունակությունը կարող է ազդել </w:t>
      </w:r>
      <w:r w:rsidRPr="00D95643">
        <w:rPr>
          <w:rFonts w:ascii="Sylfaen" w:hAnsi="Sylfaen"/>
          <w:i/>
          <w:sz w:val="24"/>
          <w:szCs w:val="24"/>
        </w:rPr>
        <w:t xml:space="preserve">Թաղանթներ </w:t>
      </w:r>
      <w:r w:rsidRPr="00D95643">
        <w:rPr>
          <w:rFonts w:ascii="Sylfaen" w:hAnsi="Sylfaen"/>
          <w:sz w:val="24"/>
          <w:szCs w:val="24"/>
        </w:rPr>
        <w:t>դեղաձ</w:t>
      </w:r>
      <w:r>
        <w:rPr>
          <w:rFonts w:ascii="Sylfaen" w:hAnsi="Sylfaen"/>
          <w:sz w:val="24"/>
          <w:szCs w:val="24"/>
        </w:rPr>
        <w:t>եւ</w:t>
      </w:r>
      <w:r w:rsidRPr="00D95643">
        <w:rPr>
          <w:rFonts w:ascii="Sylfaen" w:hAnsi="Sylfaen"/>
          <w:sz w:val="24"/>
          <w:szCs w:val="24"/>
        </w:rPr>
        <w:t xml:space="preserve">ով դեղապատրաստուկի կայունության վրա, ազդող նյութի/նյութերի կենսահասանելիության վրա </w:t>
      </w:r>
      <w:r>
        <w:rPr>
          <w:rFonts w:ascii="Sylfaen" w:hAnsi="Sylfaen"/>
          <w:sz w:val="24"/>
          <w:szCs w:val="24"/>
        </w:rPr>
        <w:t>եւ</w:t>
      </w:r>
      <w:r w:rsidRPr="00D95643">
        <w:rPr>
          <w:rFonts w:ascii="Sylfaen" w:hAnsi="Sylfaen"/>
          <w:sz w:val="24"/>
          <w:szCs w:val="24"/>
        </w:rPr>
        <w:t xml:space="preserve"> այլն։</w:t>
      </w:r>
    </w:p>
    <w:p w14:paraId="07DEEFD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Որոշումն անցկացնում են </w:t>
      </w:r>
      <w:r w:rsidRPr="00D95643">
        <w:rPr>
          <w:rFonts w:ascii="Sylfaen" w:hAnsi="Sylfaen"/>
          <w:i/>
          <w:sz w:val="24"/>
          <w:szCs w:val="24"/>
        </w:rPr>
        <w:t>2.1.2.31. Զանգվածի կորուստը չորացնելիս</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sidRPr="00D95643">
        <w:rPr>
          <w:rFonts w:ascii="Sylfaen" w:hAnsi="Sylfaen"/>
          <w:sz w:val="24"/>
          <w:szCs w:val="24"/>
        </w:rPr>
        <w:t xml:space="preserve">կամ </w:t>
      </w:r>
      <w:r w:rsidRPr="00D95643">
        <w:rPr>
          <w:rFonts w:ascii="Sylfaen" w:hAnsi="Sylfaen"/>
          <w:i/>
          <w:sz w:val="24"/>
          <w:szCs w:val="24"/>
        </w:rPr>
        <w:t xml:space="preserve">2.1.5.12. Ջուր. որոշում կիսամիկրոմեթոդով </w:t>
      </w:r>
      <w:r w:rsidRPr="00D95643">
        <w:rPr>
          <w:rFonts w:ascii="Sylfaen" w:hAnsi="Sylfaen"/>
          <w:sz w:val="24"/>
          <w:szCs w:val="24"/>
        </w:rPr>
        <w:t>ընդհանուր դեղագրքային հոդվածին</w:t>
      </w:r>
      <w:r w:rsidRPr="00D95643">
        <w:rPr>
          <w:rFonts w:ascii="Sylfaen" w:hAnsi="Sylfaen"/>
          <w:i/>
          <w:sz w:val="24"/>
          <w:szCs w:val="24"/>
        </w:rPr>
        <w:t xml:space="preserve"> </w:t>
      </w:r>
      <w:r w:rsidRPr="00D95643">
        <w:rPr>
          <w:rFonts w:ascii="Sylfaen" w:hAnsi="Sylfaen"/>
          <w:sz w:val="24"/>
          <w:szCs w:val="24"/>
        </w:rPr>
        <w:t xml:space="preserve">կամ </w:t>
      </w:r>
      <w:r w:rsidRPr="00D95643">
        <w:rPr>
          <w:rFonts w:ascii="Sylfaen" w:hAnsi="Sylfaen"/>
          <w:i/>
          <w:sz w:val="24"/>
          <w:szCs w:val="24"/>
        </w:rPr>
        <w:t>2.1.5.13.</w:t>
      </w:r>
      <w:r w:rsidRPr="00D95643">
        <w:rPr>
          <w:rFonts w:ascii="Sylfaen" w:hAnsi="Sylfaen"/>
          <w:sz w:val="24"/>
          <w:szCs w:val="24"/>
        </w:rPr>
        <w:t xml:space="preserve"> </w:t>
      </w:r>
      <w:r w:rsidRPr="00D95643">
        <w:rPr>
          <w:rFonts w:ascii="Sylfaen" w:hAnsi="Sylfaen"/>
          <w:i/>
          <w:sz w:val="24"/>
          <w:szCs w:val="24"/>
        </w:rPr>
        <w:t>Ջուր. միկրոորոշում</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պահանջներին համապատասխան։</w:t>
      </w:r>
    </w:p>
    <w:p w14:paraId="0EA4AAE9" w14:textId="77777777" w:rsidR="003A4194" w:rsidRPr="0035054F" w:rsidRDefault="003A4194" w:rsidP="003A4194">
      <w:pPr>
        <w:spacing w:after="160" w:line="360" w:lineRule="auto"/>
        <w:ind w:firstLine="567"/>
        <w:jc w:val="both"/>
      </w:pPr>
      <w:r w:rsidRPr="00D95643">
        <w:rPr>
          <w:b/>
        </w:rPr>
        <w:t xml:space="preserve">pH-ը. </w:t>
      </w:r>
      <w:r w:rsidRPr="00D95643">
        <w:t xml:space="preserve">Փորձարկումն անցկացնում են կենսադեգրադացվող նյութերից թաղանթների համար՝ </w:t>
      </w:r>
      <w:r w:rsidRPr="00D95643">
        <w:rPr>
          <w:i/>
        </w:rPr>
        <w:t xml:space="preserve">2.1.2.3. pH-ի պոտենցաչափական որոշում </w:t>
      </w:r>
      <w:r w:rsidRPr="00D95643">
        <w:t xml:space="preserve">ընդհանուր դեղագրքային հոդվածին համապատասխան։ Փորձարկման համար փորձանմուշի նախապատրաստման մեթոդիկան </w:t>
      </w:r>
      <w:r>
        <w:t>եւ</w:t>
      </w:r>
      <w:r w:rsidRPr="00D95643">
        <w:t xml:space="preserve"> պահանջները ներկայացվում են մասնավոր դեղագրքային հոդվածում կամ որակի վերաբերյալ նորմատիվ փաստաթղթում։</w:t>
      </w:r>
    </w:p>
    <w:p w14:paraId="5E3D53E8" w14:textId="77777777" w:rsidR="003A4194" w:rsidRPr="0035054F" w:rsidRDefault="003A4194" w:rsidP="003A4194">
      <w:pPr>
        <w:spacing w:after="160" w:line="360" w:lineRule="auto"/>
        <w:ind w:firstLine="567"/>
        <w:jc w:val="both"/>
      </w:pPr>
    </w:p>
    <w:p w14:paraId="71C8CC0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pacing w:val="-4"/>
          <w:sz w:val="24"/>
          <w:szCs w:val="24"/>
        </w:rPr>
        <w:lastRenderedPageBreak/>
        <w:t xml:space="preserve">Դեղաչափված միավորների միատարրությունը. </w:t>
      </w:r>
      <w:r w:rsidRPr="00D95643">
        <w:rPr>
          <w:rFonts w:ascii="Sylfaen" w:hAnsi="Sylfaen"/>
          <w:spacing w:val="-4"/>
          <w:sz w:val="24"/>
          <w:szCs w:val="24"/>
        </w:rPr>
        <w:t xml:space="preserve">Փորձարկումն անցկացնում են </w:t>
      </w:r>
      <w:r w:rsidRPr="00D95643">
        <w:rPr>
          <w:rFonts w:ascii="Sylfaen" w:hAnsi="Sylfaen"/>
          <w:i/>
          <w:spacing w:val="-4"/>
          <w:sz w:val="24"/>
          <w:szCs w:val="24"/>
        </w:rPr>
        <w:t>2.1.9.14. Դեղաչափված միավորների միատարրություն</w:t>
      </w:r>
      <w:r w:rsidRPr="00D95643">
        <w:rPr>
          <w:rFonts w:ascii="Sylfaen" w:hAnsi="Sylfaen"/>
          <w:spacing w:val="-4"/>
          <w:sz w:val="24"/>
          <w:szCs w:val="24"/>
        </w:rPr>
        <w:t xml:space="preserve"> ընդհանուր դեղագրքային</w:t>
      </w:r>
      <w:r w:rsidRPr="00D95643">
        <w:rPr>
          <w:rFonts w:ascii="Sylfaen" w:hAnsi="Sylfaen"/>
          <w:sz w:val="24"/>
          <w:szCs w:val="24"/>
        </w:rPr>
        <w:t xml:space="preserve">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պահանջներին համապատասխան։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ցուցումների բացակայության դեպքում փորձարկումն անցկացնում են այնպես, ինչպես </w:t>
      </w:r>
      <w:r w:rsidRPr="00D95643">
        <w:rPr>
          <w:rFonts w:ascii="Sylfaen" w:hAnsi="Sylfaen"/>
          <w:i/>
          <w:sz w:val="24"/>
          <w:szCs w:val="24"/>
        </w:rPr>
        <w:t xml:space="preserve">Դեղահաբեր </w:t>
      </w:r>
      <w:r w:rsidRPr="00D95643">
        <w:rPr>
          <w:rFonts w:ascii="Sylfaen" w:hAnsi="Sylfaen"/>
          <w:sz w:val="24"/>
          <w:szCs w:val="24"/>
        </w:rPr>
        <w:t>դեղաձ</w:t>
      </w:r>
      <w:r>
        <w:rPr>
          <w:rFonts w:ascii="Sylfaen" w:hAnsi="Sylfaen"/>
          <w:sz w:val="24"/>
          <w:szCs w:val="24"/>
        </w:rPr>
        <w:t>եւ</w:t>
      </w:r>
      <w:r w:rsidRPr="00D95643">
        <w:rPr>
          <w:rFonts w:ascii="Sylfaen" w:hAnsi="Sylfaen"/>
          <w:sz w:val="24"/>
          <w:szCs w:val="24"/>
        </w:rPr>
        <w:t>ի համար։</w:t>
      </w:r>
    </w:p>
    <w:p w14:paraId="3F477C0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Լուծման ժամանակը. </w:t>
      </w:r>
      <w:r w:rsidRPr="00D95643">
        <w:rPr>
          <w:rFonts w:ascii="Sylfaen" w:hAnsi="Sylfaen"/>
          <w:sz w:val="24"/>
          <w:szCs w:val="24"/>
        </w:rPr>
        <w:t xml:space="preserve">Փորձարկումն անցկացնում են կենսալուծվող պոլիմերներից ակնաթաղանթների համար՝ մասնավոր դեղագրքային հոդվածի կամ որակի վերաբերյալ նորմատիվ փաստաթղթի պահանջներին համապատասխան, որտեղ պետք է նշվեն լուծման միջավայրը, փորձարկման անցկացման պայմանները, նմուշների քանակը, լուծման ժամանակը </w:t>
      </w:r>
      <w:r>
        <w:rPr>
          <w:rFonts w:ascii="Sylfaen" w:hAnsi="Sylfaen"/>
          <w:sz w:val="24"/>
          <w:szCs w:val="24"/>
        </w:rPr>
        <w:t>եւ</w:t>
      </w:r>
      <w:r w:rsidRPr="00D95643">
        <w:rPr>
          <w:rFonts w:ascii="Sylfaen" w:hAnsi="Sylfaen"/>
          <w:sz w:val="24"/>
          <w:szCs w:val="24"/>
        </w:rPr>
        <w:t xml:space="preserve"> այլն։ Մասնավոր դեղագրքային հոդվածում կամ որակի վերաբերյալ նորմատիվ փաստաթղթում այլ ցուցումների բացակայության դեպքում ակնաթաղանթները պետք է լուծվեն նատրիումի քլորիդի 0,9 % լուծույթում 2-3 ժամվա ընթացքում։</w:t>
      </w:r>
    </w:p>
    <w:p w14:paraId="346E434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Կենսալուծվող պոլիմերներից ակնաթաղանթների լուծման ժամանակ ստացված լուծույթը հետազոտում են՝ ըստ </w:t>
      </w:r>
      <w:r w:rsidRPr="00D95643">
        <w:rPr>
          <w:rFonts w:ascii="Sylfaen" w:hAnsi="Sylfaen"/>
          <w:i/>
          <w:sz w:val="24"/>
          <w:szCs w:val="24"/>
        </w:rPr>
        <w:t>Լուծույթի թափանցիկություն, Լուծույթի գունավորություն, pH, Տեսանելի մեխանիկական ներառումներ</w:t>
      </w:r>
      <w:r w:rsidRPr="00D95643">
        <w:rPr>
          <w:rFonts w:ascii="Sylfaen" w:hAnsi="Sylfaen"/>
          <w:sz w:val="24"/>
          <w:szCs w:val="24"/>
        </w:rPr>
        <w:t xml:space="preserve"> ցուցանիշների՝ հետ</w:t>
      </w:r>
      <w:r>
        <w:rPr>
          <w:rFonts w:ascii="Sylfaen" w:hAnsi="Sylfaen"/>
          <w:sz w:val="24"/>
          <w:szCs w:val="24"/>
        </w:rPr>
        <w:t>եւ</w:t>
      </w:r>
      <w:r w:rsidRPr="00D95643">
        <w:rPr>
          <w:rFonts w:ascii="Sylfaen" w:hAnsi="Sylfaen"/>
          <w:sz w:val="24"/>
          <w:szCs w:val="24"/>
        </w:rPr>
        <w:t xml:space="preserve">յալ ընդհանուր դեղագրքային հոդվածներին համապատասխան՝ </w:t>
      </w:r>
      <w:r w:rsidRPr="00D95643">
        <w:rPr>
          <w:rFonts w:ascii="Sylfaen" w:hAnsi="Sylfaen"/>
          <w:i/>
          <w:sz w:val="24"/>
          <w:szCs w:val="24"/>
        </w:rPr>
        <w:t xml:space="preserve">2.1.2.1. Հեղուկների թափանցիկությունը </w:t>
      </w:r>
      <w:r>
        <w:rPr>
          <w:rFonts w:ascii="Sylfaen" w:hAnsi="Sylfaen"/>
          <w:i/>
          <w:sz w:val="24"/>
          <w:szCs w:val="24"/>
        </w:rPr>
        <w:t>եւ</w:t>
      </w:r>
      <w:r w:rsidRPr="00D95643">
        <w:rPr>
          <w:rFonts w:ascii="Sylfaen" w:hAnsi="Sylfaen"/>
          <w:i/>
          <w:sz w:val="24"/>
          <w:szCs w:val="24"/>
        </w:rPr>
        <w:t xml:space="preserve"> օպալեսցենտման աստիճանը, 2.1.2.2. Հեղուկների գունավորումը </w:t>
      </w:r>
      <w:r>
        <w:rPr>
          <w:rFonts w:ascii="Sylfaen" w:hAnsi="Sylfaen"/>
          <w:i/>
          <w:sz w:val="24"/>
          <w:szCs w:val="24"/>
        </w:rPr>
        <w:t>եւ</w:t>
      </w:r>
      <w:r w:rsidRPr="00D95643">
        <w:rPr>
          <w:rFonts w:ascii="Sylfaen" w:hAnsi="Sylfaen"/>
          <w:i/>
          <w:sz w:val="24"/>
          <w:szCs w:val="24"/>
        </w:rPr>
        <w:t xml:space="preserve"> գունավորման ինտենսիվությունը, 2.1.2.3. pH-ի պոտենցաչափական որոշումը, </w:t>
      </w:r>
      <w:r>
        <w:rPr>
          <w:rFonts w:ascii="Sylfaen" w:hAnsi="Sylfaen"/>
          <w:sz w:val="24"/>
          <w:szCs w:val="24"/>
        </w:rPr>
        <w:t>եւ</w:t>
      </w:r>
      <w:r w:rsidRPr="00D95643">
        <w:rPr>
          <w:rFonts w:ascii="Sylfaen" w:hAnsi="Sylfaen"/>
          <w:sz w:val="24"/>
          <w:szCs w:val="24"/>
        </w:rPr>
        <w:t xml:space="preserve"> մասնավոր դեղագրքային հոդվածներում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փաստաթղթերում նշված պահանջներին համապատասխան։</w:t>
      </w:r>
    </w:p>
    <w:p w14:paraId="0518DF9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2646EFBD" w14:textId="77777777" w:rsidR="003A4194" w:rsidRDefault="003A4194">
      <w:pPr>
        <w:rPr>
          <w:rFonts w:eastAsia="Times New Roman" w:cs="Times New Roman"/>
          <w:b/>
          <w:color w:val="auto"/>
          <w:sz w:val="20"/>
        </w:rPr>
      </w:pPr>
      <w:r>
        <w:rPr>
          <w:b/>
        </w:rPr>
        <w:br w:type="page"/>
      </w:r>
    </w:p>
    <w:p w14:paraId="0A67E281" w14:textId="77777777" w:rsidR="003A4194" w:rsidRPr="003A4194"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lastRenderedPageBreak/>
        <w:t>205010023-2022</w:t>
      </w:r>
    </w:p>
    <w:p w14:paraId="4E693538" w14:textId="77777777" w:rsidR="003A4194" w:rsidRPr="003A4194" w:rsidRDefault="003A4194" w:rsidP="003A4194">
      <w:pPr>
        <w:pStyle w:val="a0"/>
        <w:shd w:val="clear" w:color="auto" w:fill="auto"/>
        <w:spacing w:after="160" w:line="360" w:lineRule="auto"/>
        <w:ind w:firstLine="567"/>
        <w:jc w:val="right"/>
        <w:rPr>
          <w:rFonts w:ascii="Sylfaen" w:hAnsi="Sylfaen" w:cs="Sylfaen"/>
          <w:szCs w:val="24"/>
        </w:rPr>
      </w:pPr>
    </w:p>
    <w:p w14:paraId="352B94B0"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2.5.1.23.</w:t>
      </w:r>
      <w:r w:rsidRPr="003A4194">
        <w:rPr>
          <w:rFonts w:ascii="Sylfaen" w:hAnsi="Sylfaen"/>
          <w:b/>
          <w:sz w:val="24"/>
          <w:szCs w:val="24"/>
        </w:rPr>
        <w:tab/>
      </w:r>
      <w:r w:rsidRPr="00D95643">
        <w:rPr>
          <w:rFonts w:ascii="Sylfaen" w:hAnsi="Sylfaen"/>
          <w:b/>
          <w:sz w:val="24"/>
          <w:szCs w:val="24"/>
        </w:rPr>
        <w:t>Սալիկներ</w:t>
      </w:r>
    </w:p>
    <w:p w14:paraId="63F3FAA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«Սալիկներ»՝ պինդ դեղաձ</w:t>
      </w:r>
      <w:r>
        <w:rPr>
          <w:rFonts w:ascii="Sylfaen" w:hAnsi="Sylfaen"/>
          <w:sz w:val="24"/>
          <w:szCs w:val="24"/>
        </w:rPr>
        <w:t>եւ</w:t>
      </w:r>
      <w:r w:rsidRPr="00D95643">
        <w:rPr>
          <w:rFonts w:ascii="Sylfaen" w:hAnsi="Sylfaen"/>
          <w:sz w:val="24"/>
          <w:szCs w:val="24"/>
        </w:rPr>
        <w:t>, որը պլաստիկ զանգված է՝ դրանում հավասարաչափ բաշխված ազդող նյութով (նյութերով), ունի որոշակի չափի սալիկի ձ</w:t>
      </w:r>
      <w:r>
        <w:rPr>
          <w:rFonts w:ascii="Sylfaen" w:hAnsi="Sylfaen"/>
          <w:sz w:val="24"/>
          <w:szCs w:val="24"/>
        </w:rPr>
        <w:t>եւ</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նախատեսված է ամբողջությամբ կամ մասերով ներքին ընդունման համար։</w:t>
      </w:r>
    </w:p>
    <w:p w14:paraId="21E2D26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Սալիկը կարող է լինել ամբողջական կամ դրա մակերեսին ակոսիկների զետեղման միջոցով հավասար մասերի (բաժինների) բաժանված։</w:t>
      </w:r>
    </w:p>
    <w:p w14:paraId="15AE59B7" w14:textId="77777777" w:rsidR="003A4194" w:rsidRPr="003A4194" w:rsidRDefault="003A4194" w:rsidP="003A4194">
      <w:pPr>
        <w:pStyle w:val="a0"/>
        <w:shd w:val="clear" w:color="auto" w:fill="auto"/>
        <w:spacing w:after="160" w:line="360" w:lineRule="auto"/>
        <w:ind w:firstLine="567"/>
        <w:rPr>
          <w:rFonts w:ascii="Sylfaen" w:hAnsi="Sylfaen"/>
          <w:b/>
          <w:sz w:val="24"/>
          <w:szCs w:val="24"/>
        </w:rPr>
      </w:pPr>
    </w:p>
    <w:p w14:paraId="5CB47FF8"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139E39AB"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Սալիկներ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դեղապատրաստուկներն արտադրում են կաղապարման մեթոդով՝ պլաստիկ զանգվածից՝ հիմքից, որի մեջ նախապես ներմուծում են ակտիվ դեղագործական բաղադրամաս (բաղադրամասեր) </w:t>
      </w:r>
      <w:r>
        <w:rPr>
          <w:rFonts w:ascii="Sylfaen" w:hAnsi="Sylfaen"/>
          <w:sz w:val="24"/>
          <w:szCs w:val="24"/>
        </w:rPr>
        <w:t>եւ</w:t>
      </w:r>
      <w:r w:rsidRPr="00D95643">
        <w:rPr>
          <w:rFonts w:ascii="Sylfaen" w:hAnsi="Sylfaen"/>
          <w:sz w:val="24"/>
          <w:szCs w:val="24"/>
        </w:rPr>
        <w:t xml:space="preserve"> օժանդակ նյութեր։</w:t>
      </w:r>
    </w:p>
    <w:p w14:paraId="3817102A" w14:textId="77777777" w:rsidR="003A4194" w:rsidRPr="003A4194" w:rsidRDefault="003A4194" w:rsidP="003A4194">
      <w:pPr>
        <w:pStyle w:val="a0"/>
        <w:shd w:val="clear" w:color="auto" w:fill="auto"/>
        <w:spacing w:after="160" w:line="360" w:lineRule="auto"/>
        <w:ind w:firstLine="567"/>
        <w:jc w:val="both"/>
        <w:rPr>
          <w:rFonts w:ascii="Sylfaen" w:hAnsi="Sylfaen" w:cs="Sylfaen"/>
          <w:sz w:val="24"/>
          <w:szCs w:val="24"/>
        </w:rPr>
      </w:pPr>
    </w:p>
    <w:p w14:paraId="67D3FA3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Սալիկների պլաստիկ հիմքի արտադրության համար օգտագործում են շաքարի օշարակ, օսլային մաթ, խտացրած կաթ՝ շաքարով, սննդային ալբումին </w:t>
      </w:r>
      <w:r>
        <w:rPr>
          <w:rFonts w:ascii="Sylfaen" w:hAnsi="Sylfaen"/>
          <w:sz w:val="24"/>
          <w:szCs w:val="24"/>
        </w:rPr>
        <w:t>եւ</w:t>
      </w:r>
      <w:r w:rsidRPr="00D95643">
        <w:rPr>
          <w:rFonts w:ascii="Sylfaen" w:hAnsi="Sylfaen"/>
          <w:sz w:val="24"/>
          <w:szCs w:val="24"/>
        </w:rPr>
        <w:t xml:space="preserve"> այս նպատակների համար հարմար այլ օժանդակ նյութեր։ Որպես կանոն, սկզբից ստանում են կաթնաշաքարային օշարակ, իսկ հետո դրա մեջ ներմուծում են ակտիվ դեղագործական բաղադրամաս (բաղադրամասեր) </w:t>
      </w:r>
      <w:r>
        <w:rPr>
          <w:rFonts w:ascii="Sylfaen" w:hAnsi="Sylfaen"/>
          <w:sz w:val="24"/>
          <w:szCs w:val="24"/>
        </w:rPr>
        <w:t>եւ</w:t>
      </w:r>
      <w:r w:rsidRPr="00D95643">
        <w:rPr>
          <w:rFonts w:ascii="Sylfaen" w:hAnsi="Sylfaen"/>
          <w:sz w:val="24"/>
          <w:szCs w:val="24"/>
        </w:rPr>
        <w:t xml:space="preserve"> օժանդակ նյութեր </w:t>
      </w:r>
      <w:r>
        <w:rPr>
          <w:rFonts w:ascii="Sylfaen" w:hAnsi="Sylfaen"/>
          <w:sz w:val="24"/>
          <w:szCs w:val="24"/>
        </w:rPr>
        <w:t>եւ</w:t>
      </w:r>
      <w:r w:rsidRPr="00D95643">
        <w:rPr>
          <w:rFonts w:ascii="Sylfaen" w:hAnsi="Sylfaen"/>
          <w:sz w:val="24"/>
          <w:szCs w:val="24"/>
        </w:rPr>
        <w:t xml:space="preserve"> ստացված զանգվածից ձ</w:t>
      </w:r>
      <w:r>
        <w:rPr>
          <w:rFonts w:ascii="Sylfaen" w:hAnsi="Sylfaen"/>
          <w:sz w:val="24"/>
          <w:szCs w:val="24"/>
        </w:rPr>
        <w:t>եւ</w:t>
      </w:r>
      <w:r w:rsidRPr="00D95643">
        <w:rPr>
          <w:rFonts w:ascii="Sylfaen" w:hAnsi="Sylfaen"/>
          <w:sz w:val="24"/>
          <w:szCs w:val="24"/>
        </w:rPr>
        <w:t>ավորում են սալիկներ։</w:t>
      </w:r>
    </w:p>
    <w:p w14:paraId="4A3208F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Սալիկներ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արտադրելիս պետք է ձեռնարկվեն դրանց միկրոկենսաբանական մաքրությունն ապահովող միջոցներ։</w:t>
      </w:r>
    </w:p>
    <w:p w14:paraId="7C8E9311"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04ACDAE1"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7655AC32"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ՓՈՐՁԱՐԿՈՒՄՆԵՐԸ</w:t>
      </w:r>
    </w:p>
    <w:p w14:paraId="4FBBFEC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Սալիկները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փորձարկումներին։</w:t>
      </w:r>
    </w:p>
    <w:p w14:paraId="7A2A525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Սալիկները բնութագրում են՝ նշելով արտաքին տեսքը (ձ</w:t>
      </w:r>
      <w:r>
        <w:rPr>
          <w:rFonts w:ascii="Sylfaen" w:hAnsi="Sylfaen"/>
          <w:sz w:val="24"/>
          <w:szCs w:val="24"/>
        </w:rPr>
        <w:t>եւ</w:t>
      </w:r>
      <w:r w:rsidRPr="00D95643">
        <w:rPr>
          <w:rFonts w:ascii="Sylfaen" w:hAnsi="Sylfaen"/>
          <w:sz w:val="24"/>
          <w:szCs w:val="24"/>
        </w:rPr>
        <w:t xml:space="preserve">ը, չափերը),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հոդվածին </w:t>
      </w:r>
      <w:r>
        <w:rPr>
          <w:rFonts w:ascii="Sylfaen" w:hAnsi="Sylfaen"/>
          <w:sz w:val="24"/>
          <w:szCs w:val="24"/>
        </w:rPr>
        <w:t>եւ</w:t>
      </w:r>
      <w:r w:rsidRPr="00D95643">
        <w:rPr>
          <w:rFonts w:ascii="Sylfaen" w:hAnsi="Sylfaen"/>
          <w:sz w:val="24"/>
          <w:szCs w:val="24"/>
        </w:rPr>
        <w:t xml:space="preserve"> (կամ) որակի վերաբերյալ նորմատիվ փաստաթղթի </w:t>
      </w:r>
      <w:r w:rsidRPr="00D95643">
        <w:rPr>
          <w:rFonts w:ascii="Sylfaen" w:hAnsi="Sylfaen"/>
          <w:spacing w:val="-6"/>
          <w:sz w:val="24"/>
          <w:szCs w:val="24"/>
        </w:rPr>
        <w:t>պահանջներին համապատասխան։ Եթե անհրաժեշտ է, նկարագրում են սալիկը լայնական կտրվածքում կամ բեկվածքում։ Եթե սալիկը բաժանված է մասերի, նշում են դրանց</w:t>
      </w:r>
      <w:r w:rsidRPr="00D95643">
        <w:rPr>
          <w:rFonts w:ascii="Sylfaen" w:hAnsi="Sylfaen"/>
          <w:sz w:val="24"/>
          <w:szCs w:val="24"/>
        </w:rPr>
        <w:t xml:space="preserve"> քանակը։</w:t>
      </w:r>
    </w:p>
    <w:p w14:paraId="44A5ADF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Զանգվածի կորուստը չորացնելիս. </w:t>
      </w:r>
      <w:r w:rsidRPr="00D95643">
        <w:rPr>
          <w:rFonts w:ascii="Sylfaen" w:hAnsi="Sylfaen"/>
          <w:sz w:val="24"/>
          <w:szCs w:val="24"/>
        </w:rPr>
        <w:t xml:space="preserve">Փորձարկումն անցկացնում են </w:t>
      </w:r>
      <w:r w:rsidRPr="00D95643">
        <w:rPr>
          <w:rFonts w:ascii="Sylfaen" w:hAnsi="Sylfaen"/>
          <w:i/>
          <w:sz w:val="24"/>
          <w:szCs w:val="24"/>
        </w:rPr>
        <w:t>2.1.2.31. Զանգվածի կորուստը չորացնելիս</w:t>
      </w:r>
      <w:r w:rsidRPr="00D95643">
        <w:rPr>
          <w:rFonts w:ascii="Sylfaen" w:hAnsi="Sylfaen"/>
          <w:sz w:val="24"/>
          <w:szCs w:val="24"/>
        </w:rPr>
        <w:t xml:space="preserve"> 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Մասնավոր դեղագրքային հոդվածում կամ որակի վերաբերյալ նորմատիվ փաստաթղթում այլ ցուցումների բացակայության դեպքում զանգվածի կորուստը չորացնելիս պետք է կազմի 8,0 %–ից ոչ ավելի։</w:t>
      </w:r>
    </w:p>
    <w:p w14:paraId="230FDF55" w14:textId="77777777" w:rsidR="003A4194" w:rsidRPr="00D95643" w:rsidRDefault="003A4194" w:rsidP="003A4194">
      <w:pPr>
        <w:tabs>
          <w:tab w:val="left" w:pos="2568"/>
        </w:tabs>
        <w:spacing w:after="160" w:line="360" w:lineRule="auto"/>
        <w:ind w:firstLine="567"/>
        <w:jc w:val="both"/>
      </w:pPr>
      <w:r w:rsidRPr="00D95643">
        <w:rPr>
          <w:b/>
        </w:rPr>
        <w:t xml:space="preserve">Սալիկի միջին զանգվածը </w:t>
      </w:r>
      <w:r>
        <w:rPr>
          <w:b/>
        </w:rPr>
        <w:t>եւ</w:t>
      </w:r>
      <w:r w:rsidRPr="00D95643">
        <w:rPr>
          <w:b/>
        </w:rPr>
        <w:t xml:space="preserve"> միջին զանգվածից շեղումները. </w:t>
      </w:r>
      <w:r w:rsidRPr="00D95643">
        <w:t>Փորձարկումն անցկացնում են 10 սալիկների վրա։ Յուրաքանչյուր սալիկ կշռում են մինչ</w:t>
      </w:r>
      <w:r>
        <w:t>եւ</w:t>
      </w:r>
      <w:r w:rsidRPr="00D95643">
        <w:t xml:space="preserve"> 0,1 գ. ճշգրտությամբ։ Հաշվարկում են սալիկի միջին զանգվածը </w:t>
      </w:r>
      <w:r>
        <w:t>եւ</w:t>
      </w:r>
      <w:r w:rsidRPr="00D95643">
        <w:t xml:space="preserve"> միջին զանգվածից շեղումները։ Պահանջները ներկայացվում են մասնավոր դեղագրքային հոդվածում կամ որակի վերաբերյալ նորմատիվ փաստաթղթում։</w:t>
      </w:r>
    </w:p>
    <w:p w14:paraId="32F78A5C" w14:textId="77777777" w:rsidR="003A4194" w:rsidRPr="00D95643" w:rsidRDefault="003A4194" w:rsidP="003A4194">
      <w:pPr>
        <w:tabs>
          <w:tab w:val="left" w:pos="2568"/>
        </w:tabs>
        <w:spacing w:after="160" w:line="360" w:lineRule="auto"/>
        <w:ind w:firstLine="567"/>
        <w:jc w:val="both"/>
      </w:pPr>
    </w:p>
    <w:p w14:paraId="5D83B407" w14:textId="77777777" w:rsidR="003A4194" w:rsidRPr="003A4194"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205010024-2022</w:t>
      </w:r>
    </w:p>
    <w:p w14:paraId="209E4AC2" w14:textId="77777777" w:rsidR="003A4194" w:rsidRPr="003A4194" w:rsidRDefault="003A4194" w:rsidP="003A4194">
      <w:pPr>
        <w:pStyle w:val="a0"/>
        <w:shd w:val="clear" w:color="auto" w:fill="auto"/>
        <w:spacing w:after="160" w:line="360" w:lineRule="auto"/>
        <w:ind w:firstLine="567"/>
        <w:jc w:val="right"/>
        <w:rPr>
          <w:rFonts w:ascii="Sylfaen" w:hAnsi="Sylfaen" w:cs="Sylfaen"/>
          <w:szCs w:val="24"/>
        </w:rPr>
      </w:pPr>
    </w:p>
    <w:p w14:paraId="73A6C2A0"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2.5.1.24.</w:t>
      </w:r>
      <w:r w:rsidRPr="003A4194">
        <w:rPr>
          <w:rFonts w:ascii="Sylfaen" w:hAnsi="Sylfaen"/>
          <w:b/>
          <w:sz w:val="24"/>
          <w:szCs w:val="24"/>
        </w:rPr>
        <w:tab/>
      </w:r>
      <w:r w:rsidRPr="00D95643">
        <w:rPr>
          <w:rFonts w:ascii="Sylfaen" w:hAnsi="Sylfaen"/>
          <w:b/>
          <w:sz w:val="24"/>
          <w:szCs w:val="24"/>
        </w:rPr>
        <w:t>Փոշիներ</w:t>
      </w:r>
    </w:p>
    <w:p w14:paraId="5F855F4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3A4194">
        <w:rPr>
          <w:rFonts w:ascii="Sylfaen" w:hAnsi="Sylfaen"/>
          <w:b/>
          <w:sz w:val="24"/>
          <w:szCs w:val="24"/>
        </w:rPr>
        <w:t>«Փոշիներ»՝</w:t>
      </w:r>
      <w:r w:rsidRPr="00D95643">
        <w:rPr>
          <w:rFonts w:ascii="Sylfaen" w:hAnsi="Sylfaen"/>
          <w:sz w:val="24"/>
          <w:szCs w:val="24"/>
        </w:rPr>
        <w:t xml:space="preserve"> պինդ դեղաձ</w:t>
      </w:r>
      <w:r>
        <w:rPr>
          <w:rFonts w:ascii="Sylfaen" w:hAnsi="Sylfaen"/>
          <w:sz w:val="24"/>
          <w:szCs w:val="24"/>
        </w:rPr>
        <w:t>եւ</w:t>
      </w:r>
      <w:r w:rsidRPr="00D95643">
        <w:rPr>
          <w:rFonts w:ascii="Sylfaen" w:hAnsi="Sylfaen"/>
          <w:sz w:val="24"/>
          <w:szCs w:val="24"/>
        </w:rPr>
        <w:t xml:space="preserve">, որը բաղկացած է դիսպերսության տարբեր աստիճանի առանձին չոր մասնիկներից </w:t>
      </w:r>
      <w:r>
        <w:rPr>
          <w:rFonts w:ascii="Sylfaen" w:hAnsi="Sylfaen"/>
          <w:sz w:val="24"/>
          <w:szCs w:val="24"/>
        </w:rPr>
        <w:t>եւ</w:t>
      </w:r>
      <w:r w:rsidRPr="00D95643">
        <w:rPr>
          <w:rFonts w:ascii="Sylfaen" w:hAnsi="Sylfaen"/>
          <w:sz w:val="24"/>
          <w:szCs w:val="24"/>
        </w:rPr>
        <w:t xml:space="preserve"> օժտված է սորալու հատկությամբ։</w:t>
      </w:r>
    </w:p>
    <w:p w14:paraId="1AA4D0AE"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lastRenderedPageBreak/>
        <w:t xml:space="preserve">Անզեն աչքով ուսումնասիրելիս փոշիները պետք է լինեն միատարր </w:t>
      </w:r>
      <w:r>
        <w:rPr>
          <w:rFonts w:ascii="Sylfaen" w:hAnsi="Sylfaen"/>
          <w:sz w:val="24"/>
          <w:szCs w:val="24"/>
        </w:rPr>
        <w:t>եւ</w:t>
      </w:r>
      <w:r w:rsidRPr="00D95643">
        <w:rPr>
          <w:rFonts w:ascii="Sylfaen" w:hAnsi="Sylfaen"/>
          <w:sz w:val="24"/>
          <w:szCs w:val="24"/>
        </w:rPr>
        <w:t xml:space="preserve"> ունենան 160 մկմ–ից ոչ ավելի մասնիկների չափ, եթե մասնավոր դեղագրքային հոդվածում կամ որակի վերաբերյալ նորմատիվ փաստաթղթում այլ բան նշված չէ։</w:t>
      </w:r>
    </w:p>
    <w:p w14:paraId="3FE66B4B"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Փոշիները կարող են լինել այն դեղապատրաստուկի դեղաչափված կամ չդեղաչափված դեղաձ</w:t>
      </w:r>
      <w:r>
        <w:rPr>
          <w:rFonts w:ascii="Sylfaen" w:hAnsi="Sylfaen"/>
          <w:sz w:val="24"/>
          <w:szCs w:val="24"/>
        </w:rPr>
        <w:t>եւ</w:t>
      </w:r>
      <w:r w:rsidRPr="00D95643">
        <w:rPr>
          <w:rFonts w:ascii="Sylfaen" w:hAnsi="Sylfaen"/>
          <w:sz w:val="24"/>
          <w:szCs w:val="24"/>
        </w:rPr>
        <w:t>ով, որը պարունակում է մեկ կամ մի քանի ազդող նյութեր կամ դրանց խառնուրդներ՝ օժանդակ բաղադրիչներով։</w:t>
      </w:r>
    </w:p>
    <w:p w14:paraId="05AEEC0C"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ուղիով </w:t>
      </w:r>
      <w:r>
        <w:rPr>
          <w:rFonts w:ascii="Sylfaen" w:hAnsi="Sylfaen"/>
          <w:sz w:val="24"/>
          <w:szCs w:val="24"/>
        </w:rPr>
        <w:t>եւ</w:t>
      </w:r>
      <w:r w:rsidRPr="00D95643">
        <w:rPr>
          <w:rFonts w:ascii="Sylfaen" w:hAnsi="Sylfaen"/>
          <w:sz w:val="24"/>
          <w:szCs w:val="24"/>
        </w:rPr>
        <w:t xml:space="preserve"> կիրառման եղանակով՝ տարբերակում են արտաքին կիրառման, տեղային կիրառման, ներքին ընդունման, քթի, պերիօդոնտալ, ականջի, ինհալացիաների համար փոշիներ։</w:t>
      </w:r>
    </w:p>
    <w:p w14:paraId="22A24CFF"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Փոշիները կարող են օգտագործվել հետ</w:t>
      </w:r>
      <w:r>
        <w:rPr>
          <w:rFonts w:ascii="Sylfaen" w:hAnsi="Sylfaen"/>
          <w:sz w:val="24"/>
          <w:szCs w:val="24"/>
        </w:rPr>
        <w:t>եւ</w:t>
      </w:r>
      <w:r w:rsidRPr="00D95643">
        <w:rPr>
          <w:rFonts w:ascii="Sylfaen" w:hAnsi="Sylfaen"/>
          <w:sz w:val="24"/>
          <w:szCs w:val="24"/>
        </w:rPr>
        <w:t>յալ այլ դեղաձ</w:t>
      </w:r>
      <w:r>
        <w:rPr>
          <w:rFonts w:ascii="Sylfaen" w:hAnsi="Sylfaen"/>
          <w:sz w:val="24"/>
          <w:szCs w:val="24"/>
        </w:rPr>
        <w:t>եւ</w:t>
      </w:r>
      <w:r w:rsidRPr="00D95643">
        <w:rPr>
          <w:rFonts w:ascii="Sylfaen" w:hAnsi="Sylfaen"/>
          <w:sz w:val="24"/>
          <w:szCs w:val="24"/>
        </w:rPr>
        <w:t>երի պատրաստման համար՝ համապատասխան լուծիչում լուծման/դիսպերսման միջոցով՝ կաթիլներ, կոնցենտրատներ, լուծույթներ, օշարակներ, ցողաշիթեր, դեղակախույթներ, ինչպես նա</w:t>
      </w:r>
      <w:r>
        <w:rPr>
          <w:rFonts w:ascii="Sylfaen" w:hAnsi="Sylfaen"/>
          <w:sz w:val="24"/>
          <w:szCs w:val="24"/>
        </w:rPr>
        <w:t>եւ</w:t>
      </w:r>
      <w:r w:rsidRPr="00D95643">
        <w:rPr>
          <w:rFonts w:ascii="Sylfaen" w:hAnsi="Sylfaen"/>
          <w:sz w:val="24"/>
          <w:szCs w:val="24"/>
        </w:rPr>
        <w:t xml:space="preserve"> գելերի, մածուկների պատրաստման համար։ Դեղաձ</w:t>
      </w:r>
      <w:r>
        <w:rPr>
          <w:rFonts w:ascii="Sylfaen" w:hAnsi="Sylfaen"/>
          <w:sz w:val="24"/>
          <w:szCs w:val="24"/>
        </w:rPr>
        <w:t>եւ</w:t>
      </w:r>
      <w:r w:rsidRPr="00D95643">
        <w:rPr>
          <w:rFonts w:ascii="Sylfaen" w:hAnsi="Sylfaen"/>
          <w:sz w:val="24"/>
          <w:szCs w:val="24"/>
        </w:rPr>
        <w:t xml:space="preserve">երը, որոնք ստացվել </w:t>
      </w:r>
      <w:r w:rsidRPr="00D95643">
        <w:rPr>
          <w:rFonts w:ascii="Sylfaen" w:hAnsi="Sylfaen"/>
          <w:spacing w:val="-4"/>
          <w:sz w:val="24"/>
          <w:szCs w:val="24"/>
        </w:rPr>
        <w:t>են դրանց պատրաստման համար նախատեսված փոշիներից, իրենց հերթին կարող են օգտագործվել ներքին ընդունման, արտաքին, տեղային, պարենտերալ կիրառման</w:t>
      </w:r>
      <w:r w:rsidRPr="00D95643">
        <w:rPr>
          <w:rFonts w:ascii="Sylfaen" w:hAnsi="Sylfaen"/>
          <w:sz w:val="24"/>
          <w:szCs w:val="24"/>
        </w:rPr>
        <w:t xml:space="preserve"> համար։ Այդ փոշիների համար օգտագործում են </w:t>
      </w:r>
      <w:r w:rsidRPr="00D95643">
        <w:rPr>
          <w:rFonts w:ascii="Sylfaen" w:hAnsi="Sylfaen"/>
          <w:i/>
          <w:sz w:val="24"/>
          <w:szCs w:val="24"/>
        </w:rPr>
        <w:t>Փոշիներ՝ պատրաստման համար</w:t>
      </w:r>
      <w:r w:rsidRPr="00D95643">
        <w:rPr>
          <w:rFonts w:ascii="Sylfaen" w:hAnsi="Sylfaen"/>
          <w:sz w:val="24"/>
          <w:szCs w:val="24"/>
        </w:rPr>
        <w:t xml:space="preserve"> եզրույթը՝ նշելով ստացվող դեղաձ</w:t>
      </w:r>
      <w:r>
        <w:rPr>
          <w:rFonts w:ascii="Sylfaen" w:hAnsi="Sylfaen"/>
          <w:sz w:val="24"/>
          <w:szCs w:val="24"/>
        </w:rPr>
        <w:t>եւ</w:t>
      </w:r>
      <w:r w:rsidRPr="00D95643">
        <w:rPr>
          <w:rFonts w:ascii="Sylfaen" w:hAnsi="Sylfaen"/>
          <w:sz w:val="24"/>
          <w:szCs w:val="24"/>
        </w:rPr>
        <w:t xml:space="preserve">ի անվանումը </w:t>
      </w:r>
      <w:r>
        <w:rPr>
          <w:rFonts w:ascii="Sylfaen" w:hAnsi="Sylfaen"/>
          <w:sz w:val="24"/>
          <w:szCs w:val="24"/>
        </w:rPr>
        <w:t>եւ</w:t>
      </w:r>
      <w:r w:rsidRPr="00D95643">
        <w:rPr>
          <w:rFonts w:ascii="Sylfaen" w:hAnsi="Sylfaen"/>
          <w:sz w:val="24"/>
          <w:szCs w:val="24"/>
        </w:rPr>
        <w:t xml:space="preserve"> դրա ներմուծման ուղին (կիրառման եղանակը), օրինակ՝ «լուծույթի պատրաստման համար նախատեսված փոշիներ՝ ներքին ընդունման համար»։</w:t>
      </w:r>
    </w:p>
    <w:p w14:paraId="477094CC" w14:textId="77777777" w:rsidR="003A4194" w:rsidRPr="0035054F" w:rsidRDefault="003A4194" w:rsidP="003A4194">
      <w:pPr>
        <w:pStyle w:val="a0"/>
        <w:shd w:val="clear" w:color="auto" w:fill="auto"/>
        <w:spacing w:after="160" w:line="346" w:lineRule="auto"/>
        <w:ind w:firstLine="567"/>
        <w:rPr>
          <w:rFonts w:ascii="Sylfaen" w:hAnsi="Sylfaen"/>
          <w:b/>
          <w:sz w:val="24"/>
          <w:szCs w:val="24"/>
        </w:rPr>
      </w:pPr>
    </w:p>
    <w:p w14:paraId="45093EDC" w14:textId="77777777" w:rsidR="003A4194" w:rsidRPr="00D95643" w:rsidRDefault="003A4194" w:rsidP="003A4194">
      <w:pPr>
        <w:pStyle w:val="a0"/>
        <w:shd w:val="clear" w:color="auto" w:fill="auto"/>
        <w:spacing w:after="160" w:line="346"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0EBD5537"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Որպես փոշիների կազմի մեջ մտնող օժանդակ նյութեր օգտագործում են բժշկական կիրառման համար թույլատրված չեզոք լցանյութեր, սոլյուբիլիզատորներ, համի կորրիգենտներ, ներկանյութեր, կոնսերվանտներ։</w:t>
      </w:r>
    </w:p>
    <w:p w14:paraId="107AE9E9"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Փոշիները կարող են պարունակել օժանդակ նյութեր, որոնք ապահովում են լուծումը կամ դիսպերսումը, կանխում են պառկապնդելիությունը, նվազեցնում են հիգրոսկոպիկությունը, կարգավորում կամ կայունացնում են pH-ը կամ կայունացնում են դեղագործական բաղադրամասը </w:t>
      </w:r>
      <w:r>
        <w:rPr>
          <w:rFonts w:ascii="Sylfaen" w:hAnsi="Sylfaen"/>
          <w:sz w:val="24"/>
          <w:szCs w:val="24"/>
        </w:rPr>
        <w:t>եւ</w:t>
      </w:r>
      <w:r w:rsidRPr="00D95643">
        <w:rPr>
          <w:rFonts w:ascii="Sylfaen" w:hAnsi="Sylfaen"/>
          <w:sz w:val="24"/>
          <w:szCs w:val="24"/>
        </w:rPr>
        <w:t xml:space="preserve"> այլն։</w:t>
      </w:r>
    </w:p>
    <w:p w14:paraId="566C5BB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 xml:space="preserve">Ներքին ընդունման համար նախատեսված փրփրուն փոշիները </w:t>
      </w:r>
      <w:r w:rsidRPr="00D95643">
        <w:rPr>
          <w:rFonts w:ascii="Sylfaen" w:hAnsi="Sylfaen"/>
          <w:sz w:val="24"/>
          <w:szCs w:val="24"/>
        </w:rPr>
        <w:t xml:space="preserve">հիմնականում պարունակում են թթվային </w:t>
      </w:r>
      <w:r>
        <w:rPr>
          <w:rFonts w:ascii="Sylfaen" w:hAnsi="Sylfaen"/>
          <w:sz w:val="24"/>
          <w:szCs w:val="24"/>
        </w:rPr>
        <w:t>եւ</w:t>
      </w:r>
      <w:r w:rsidRPr="00D95643">
        <w:rPr>
          <w:rFonts w:ascii="Sylfaen" w:hAnsi="Sylfaen"/>
          <w:sz w:val="24"/>
          <w:szCs w:val="24"/>
        </w:rPr>
        <w:t xml:space="preserve"> հիմնային բնույթի նյութեր, որոնք ջրի </w:t>
      </w:r>
      <w:r w:rsidRPr="00D95643">
        <w:rPr>
          <w:rFonts w:ascii="Sylfaen" w:hAnsi="Sylfaen"/>
          <w:spacing w:val="-4"/>
          <w:sz w:val="24"/>
          <w:szCs w:val="24"/>
        </w:rPr>
        <w:t>առկայության դեպքում արագ ռեակցիայի մեջ են մտնում՝ ածխածնի դիօքսիդի անջատմամբ։ Ինհալացիաների համար նախատեսված փոշիները պարունակում են մեկ կամ մի քանի նրբադիսպերս դեղագործական բաղադրամասեր՝ իներտ</w:t>
      </w:r>
      <w:r w:rsidRPr="00D95643">
        <w:rPr>
          <w:rFonts w:ascii="Sylfaen" w:hAnsi="Sylfaen"/>
          <w:sz w:val="24"/>
          <w:szCs w:val="24"/>
        </w:rPr>
        <w:t xml:space="preserve"> օժանդակ նյութերի՝ «կրիչների» (սովորաբար լակտոզի) հետ միասին կամ առանց դրանց։</w:t>
      </w:r>
    </w:p>
    <w:p w14:paraId="1606A38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դեղապատրաստուկի կիրառման եղանակով՝ դիսպերսության առումով փոշիներին ներկայացնում են տարբեր պահանջներ։ Փոշիների դիսպերսությունը բնութագրվում է այն մաղի անցքի չափով, որի միջով անցնում է փոշին։ Փոշու մասնիկների չափն արտահայտում են միկրոմետրերով։ Արտաքին, տեղային կիրառման համար փոշիներ ստանալիս </w:t>
      </w:r>
      <w:r>
        <w:rPr>
          <w:rFonts w:ascii="Sylfaen" w:hAnsi="Sylfaen"/>
          <w:sz w:val="24"/>
          <w:szCs w:val="24"/>
        </w:rPr>
        <w:t>եւ</w:t>
      </w:r>
      <w:r w:rsidRPr="00D95643">
        <w:rPr>
          <w:rFonts w:ascii="Sylfaen" w:hAnsi="Sylfaen"/>
          <w:sz w:val="24"/>
          <w:szCs w:val="24"/>
        </w:rPr>
        <w:t xml:space="preserve"> (կամ) արտաքին, տեղային կիրառման համար դեղակախույթներ պատրաստելիս անհրաժեշտ է ապահովել մասնիկների համապատասխան չափը՝ նշելով այն որակի վերաբերյալ նորմատիվ փաստաթղթում։</w:t>
      </w:r>
    </w:p>
    <w:p w14:paraId="17BBCF5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Բազմաբաղադրիչ փոշիներ ստանալիս յուրաքանչյուր նյութ մանրացնում են առանձին </w:t>
      </w:r>
      <w:r>
        <w:rPr>
          <w:rFonts w:ascii="Sylfaen" w:hAnsi="Sylfaen"/>
          <w:sz w:val="24"/>
          <w:szCs w:val="24"/>
        </w:rPr>
        <w:t>եւ</w:t>
      </w:r>
      <w:r w:rsidRPr="00D95643">
        <w:rPr>
          <w:rFonts w:ascii="Sylfaen" w:hAnsi="Sylfaen"/>
          <w:sz w:val="24"/>
          <w:szCs w:val="24"/>
        </w:rPr>
        <w:t xml:space="preserve"> մաղում են համապատասխան մաղով՝ </w:t>
      </w:r>
      <w:r w:rsidRPr="00D95643">
        <w:rPr>
          <w:rFonts w:ascii="Sylfaen" w:hAnsi="Sylfaen"/>
          <w:i/>
          <w:sz w:val="24"/>
          <w:szCs w:val="24"/>
        </w:rPr>
        <w:t xml:space="preserve">2.1.10.8. Մասնիկների՝ ըստ չափերի բաշխման գնահատում վերլուծական մաղման մեթոդով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Դեղագործական բաղադրամասերը ինհալացիաների համար նախատեսված փոշիներում միկրոնացնում են (մանրացնում են հատուկ միկրոնացնող սարքվածքներում)։</w:t>
      </w:r>
    </w:p>
    <w:p w14:paraId="1B0E85B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Թունավոր </w:t>
      </w:r>
      <w:r>
        <w:rPr>
          <w:rFonts w:ascii="Sylfaen" w:hAnsi="Sylfaen"/>
          <w:sz w:val="24"/>
          <w:szCs w:val="24"/>
        </w:rPr>
        <w:t>եւ</w:t>
      </w:r>
      <w:r w:rsidRPr="00D95643">
        <w:rPr>
          <w:rFonts w:ascii="Sylfaen" w:hAnsi="Sylfaen"/>
          <w:sz w:val="24"/>
          <w:szCs w:val="24"/>
        </w:rPr>
        <w:t xml:space="preserve"> ուժեղ ազդեցություն ունեցող նյութերը՝ ամբողջ զանգվածի համար 0,05 գ-ից պակաս քանակներով, օգտագործում են տրիտուրացիաների տեսքով՝ խառնուրդներ կաթնային շաքարով կամ այլ օժանդակ նյութերով, որոնք թույլատրված են բժշկական կիրառման համար (1:100 կամ 1:10)։</w:t>
      </w:r>
    </w:p>
    <w:p w14:paraId="172C850A" w14:textId="77777777" w:rsidR="003A4194" w:rsidRDefault="003A4194">
      <w:pPr>
        <w:rPr>
          <w:rFonts w:eastAsia="Times New Roman"/>
          <w:color w:val="auto"/>
        </w:rPr>
      </w:pPr>
      <w:r>
        <w:br w:type="page"/>
      </w:r>
    </w:p>
    <w:p w14:paraId="21F89605"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ՓՈՐՁԱՐԿՈՒՄՆԵՐԸ</w:t>
      </w:r>
    </w:p>
    <w:p w14:paraId="589FF8E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Փոշիները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0C1DCEB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 xml:space="preserve">Փոշիները բնութագրում են՝ նշելով արտաքին տեսքը,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հոդվածին </w:t>
      </w:r>
      <w:r>
        <w:rPr>
          <w:rFonts w:ascii="Sylfaen" w:hAnsi="Sylfaen"/>
          <w:sz w:val="24"/>
          <w:szCs w:val="24"/>
        </w:rPr>
        <w:t>եւ</w:t>
      </w:r>
      <w:r w:rsidRPr="00D95643">
        <w:rPr>
          <w:rFonts w:ascii="Sylfaen" w:hAnsi="Sylfaen"/>
          <w:sz w:val="24"/>
          <w:szCs w:val="24"/>
        </w:rPr>
        <w:t xml:space="preserve"> (կամ) որակի վերաբերյալ նորմատիվ փաստաթղթի պահանջներին համապատասխան։ Անզեն աչքով ուսումնասիրելիս փոշիները պետք է լինեն միատարր։</w:t>
      </w:r>
    </w:p>
    <w:p w14:paraId="6E90909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Մասնիկների չափը. </w:t>
      </w:r>
      <w:r w:rsidRPr="00D95643">
        <w:rPr>
          <w:rFonts w:ascii="Sylfaen" w:hAnsi="Sylfaen"/>
          <w:sz w:val="24"/>
          <w:szCs w:val="24"/>
        </w:rPr>
        <w:t xml:space="preserve">Փոշիները պետք է ունենան 160 մկմ–ից ոչ ավելի մասնիկների չափ, եթե մասնավոր դեղագրքային հոդվածում կամ որակի վերաբերյալ նորմատիվ փաստաթղթում այլ բան նշված չէ։ Անհրաժեշտության դեպքում մասնիկների չափը որոշում են մաղային անալիզով՝ </w:t>
      </w:r>
      <w:r w:rsidRPr="00D95643">
        <w:rPr>
          <w:rFonts w:ascii="Sylfaen" w:hAnsi="Sylfaen"/>
          <w:i/>
          <w:sz w:val="24"/>
          <w:szCs w:val="24"/>
        </w:rPr>
        <w:t xml:space="preserve">2.1.10.8. Մասնիկների՝ ըստ չափերի բաշխման գնահատում վերլուծական մաղման մեթոդով </w:t>
      </w:r>
      <w:r w:rsidRPr="00D95643">
        <w:rPr>
          <w:rFonts w:ascii="Sylfaen" w:hAnsi="Sylfaen"/>
          <w:sz w:val="24"/>
          <w:szCs w:val="24"/>
        </w:rPr>
        <w:t>ընդհանուր դեղագրքային հոդվածին համապատասխան, կամ այլ վալիդացված մեթոդով։</w:t>
      </w:r>
    </w:p>
    <w:p w14:paraId="3B087EB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Զանգվածի կորուստը չորացնելիս</w:t>
      </w:r>
      <w:r w:rsidRPr="00D95643">
        <w:rPr>
          <w:rFonts w:ascii="Sylfaen" w:hAnsi="Sylfaen"/>
          <w:sz w:val="24"/>
          <w:szCs w:val="24"/>
        </w:rPr>
        <w:t xml:space="preserve"> կամ </w:t>
      </w:r>
      <w:r w:rsidRPr="00D95643">
        <w:rPr>
          <w:rFonts w:ascii="Sylfaen" w:hAnsi="Sylfaen"/>
          <w:b/>
          <w:sz w:val="24"/>
          <w:szCs w:val="24"/>
        </w:rPr>
        <w:t xml:space="preserve">Ջուրը. </w:t>
      </w:r>
      <w:r w:rsidRPr="00D95643">
        <w:rPr>
          <w:rFonts w:ascii="Sylfaen" w:hAnsi="Sylfaen"/>
          <w:sz w:val="24"/>
          <w:szCs w:val="24"/>
        </w:rPr>
        <w:t xml:space="preserve">Որոշումն անցկացնում են </w:t>
      </w:r>
      <w:r w:rsidRPr="00D95643">
        <w:rPr>
          <w:rFonts w:ascii="Sylfaen" w:hAnsi="Sylfaen"/>
          <w:i/>
          <w:sz w:val="24"/>
          <w:szCs w:val="24"/>
        </w:rPr>
        <w:t>2.1.2.31. Զանգվածի կորուստը չորացնելիս</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sidRPr="00D95643">
        <w:rPr>
          <w:rFonts w:ascii="Sylfaen" w:hAnsi="Sylfaen"/>
          <w:sz w:val="24"/>
          <w:szCs w:val="24"/>
        </w:rPr>
        <w:t xml:space="preserve">կամ </w:t>
      </w:r>
      <w:r w:rsidRPr="00D95643">
        <w:rPr>
          <w:rFonts w:ascii="Sylfaen" w:hAnsi="Sylfaen"/>
          <w:i/>
          <w:sz w:val="24"/>
          <w:szCs w:val="24"/>
        </w:rPr>
        <w:t xml:space="preserve">2.1.5.12. Ջուր. որոշում կիսամիկրոմեթոդով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մասնավոր դեղագրքային հոդվածում կամ որակի վերաբերյալ նորմատիվ փաստաթղթում նշված պահանջներին համապատասխանության մասով։</w:t>
      </w:r>
    </w:p>
    <w:p w14:paraId="4FF349B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Լուծույթների պատրաստման համար նախատեսված փոշիների համար անհրաժեշտության դեպքում լրացուցիչ վերահսկում են ստացված լուծույթների </w:t>
      </w:r>
      <w:r w:rsidRPr="00D95643">
        <w:rPr>
          <w:rFonts w:ascii="Sylfaen" w:hAnsi="Sylfaen"/>
          <w:i/>
          <w:sz w:val="24"/>
          <w:szCs w:val="24"/>
        </w:rPr>
        <w:t xml:space="preserve">Լուծման ժամանակը </w:t>
      </w:r>
      <w:r>
        <w:rPr>
          <w:rFonts w:ascii="Sylfaen" w:hAnsi="Sylfaen"/>
          <w:i/>
          <w:sz w:val="24"/>
          <w:szCs w:val="24"/>
        </w:rPr>
        <w:t>եւ</w:t>
      </w:r>
      <w:r w:rsidRPr="00D95643">
        <w:rPr>
          <w:rFonts w:ascii="Sylfaen" w:hAnsi="Sylfaen"/>
          <w:i/>
          <w:sz w:val="24"/>
          <w:szCs w:val="24"/>
        </w:rPr>
        <w:t xml:space="preserve"> pH–ը։</w:t>
      </w:r>
    </w:p>
    <w:p w14:paraId="435FD3A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Դեղաչափված միավորների միատարրությունը. </w:t>
      </w:r>
      <w:r w:rsidRPr="00D95643">
        <w:rPr>
          <w:rFonts w:ascii="Sylfaen" w:hAnsi="Sylfaen"/>
          <w:sz w:val="24"/>
          <w:szCs w:val="24"/>
        </w:rPr>
        <w:t xml:space="preserve">Միադեղաչափ փաթեթվածքով փոշիները պետք է դիմանան փորձարկմանը՝ </w:t>
      </w:r>
      <w:r w:rsidRPr="00D95643">
        <w:rPr>
          <w:rFonts w:ascii="Sylfaen" w:hAnsi="Sylfaen"/>
          <w:i/>
          <w:sz w:val="24"/>
          <w:szCs w:val="24"/>
        </w:rPr>
        <w:t xml:space="preserve">2.1.9.14. </w:t>
      </w:r>
      <w:r w:rsidRPr="00D95643">
        <w:rPr>
          <w:rFonts w:ascii="Sylfaen" w:hAnsi="Sylfaen"/>
          <w:i/>
          <w:sz w:val="24"/>
          <w:szCs w:val="24"/>
        </w:rPr>
        <w:lastRenderedPageBreak/>
        <w:t>Դեղաչափված միավորների միատարրությունը</w:t>
      </w:r>
      <w:r w:rsidRPr="00D95643">
        <w:rPr>
          <w:rFonts w:ascii="Sylfaen" w:hAnsi="Sylfaen"/>
          <w:sz w:val="24"/>
          <w:szCs w:val="24"/>
        </w:rPr>
        <w:t xml:space="preserve"> 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 xml:space="preserve">Համապատասխան հիմնավորման դեպքում տվյալ փորձարկմանը չեն ենթարկում միադեղաչափ փաթեթվածքով միաբաղադրիչ փոշիները, որոնք նախատեսված չեն պարենտերալ կիրառման համար պատրաստուկների պատրաստման համար։ Այդ դեպքում միադեղաչափ փաթեթվածքով փոշիները պետք է բավարարեն </w:t>
      </w:r>
      <w:r w:rsidRPr="00D95643">
        <w:rPr>
          <w:rFonts w:ascii="Sylfaen" w:hAnsi="Sylfaen"/>
          <w:i/>
          <w:sz w:val="24"/>
          <w:szCs w:val="24"/>
        </w:rPr>
        <w:t>2.1.9.5.</w:t>
      </w:r>
      <w:r w:rsidRPr="00D95643">
        <w:rPr>
          <w:rFonts w:ascii="Sylfaen" w:hAnsi="Sylfaen"/>
          <w:sz w:val="24"/>
          <w:szCs w:val="24"/>
        </w:rPr>
        <w:t xml:space="preserve"> </w:t>
      </w:r>
      <w:r w:rsidRPr="00D95643">
        <w:rPr>
          <w:rFonts w:ascii="Sylfaen" w:hAnsi="Sylfaen"/>
          <w:i/>
          <w:sz w:val="24"/>
          <w:szCs w:val="24"/>
        </w:rPr>
        <w:t xml:space="preserve">Դեղաչափված դեղապատրաստուկի միավորի զանգվածի միատարրությունը </w:t>
      </w:r>
      <w:r w:rsidRPr="00D95643">
        <w:rPr>
          <w:rFonts w:ascii="Sylfaen" w:hAnsi="Sylfaen"/>
          <w:sz w:val="24"/>
          <w:szCs w:val="24"/>
        </w:rPr>
        <w:t>ընդհանուր դեղագրքային հոդվածի պահանջները։</w:t>
      </w:r>
    </w:p>
    <w:p w14:paraId="4E46EC1B" w14:textId="77777777" w:rsidR="003A4194" w:rsidRPr="00D95643" w:rsidRDefault="003A4194" w:rsidP="003A4194">
      <w:pPr>
        <w:pStyle w:val="a0"/>
        <w:shd w:val="clear" w:color="auto" w:fill="auto"/>
        <w:spacing w:after="160" w:line="360" w:lineRule="auto"/>
        <w:ind w:firstLine="567"/>
        <w:jc w:val="both"/>
        <w:rPr>
          <w:rFonts w:ascii="Sylfaen" w:hAnsi="Sylfaen" w:cs="Sylfaen"/>
          <w:i/>
          <w:iCs/>
          <w:sz w:val="24"/>
          <w:szCs w:val="24"/>
        </w:rPr>
      </w:pPr>
      <w:r w:rsidRPr="00D95643">
        <w:rPr>
          <w:rFonts w:ascii="Sylfaen" w:hAnsi="Sylfaen"/>
          <w:b/>
          <w:sz w:val="24"/>
          <w:szCs w:val="24"/>
        </w:rPr>
        <w:t xml:space="preserve">Դեղաչափերի զանգվածի միատարրությունը. </w:t>
      </w:r>
      <w:r w:rsidRPr="00D95643">
        <w:rPr>
          <w:rFonts w:ascii="Sylfaen" w:hAnsi="Sylfaen"/>
          <w:sz w:val="24"/>
          <w:szCs w:val="24"/>
        </w:rPr>
        <w:t xml:space="preserve">Փորձարկումն անցկացնում են չափիչ սարքվածքով համալրված բազմադեղաչափ փաթեթվածքով բաց թողնվող՝ ներքին ընդունման համար նախատեսված փոշիների համար՝ </w:t>
      </w:r>
      <w:r w:rsidRPr="00D95643">
        <w:rPr>
          <w:rFonts w:ascii="Sylfaen" w:hAnsi="Sylfaen"/>
          <w:i/>
          <w:sz w:val="24"/>
          <w:szCs w:val="24"/>
        </w:rPr>
        <w:t xml:space="preserve">2.1.9.12. Բազմադեղաչափ փաթեթվածքից չափված դեղաչափերի զանգվածի միատարրությունը </w:t>
      </w:r>
      <w:r w:rsidRPr="00D95643">
        <w:rPr>
          <w:rFonts w:ascii="Sylfaen" w:hAnsi="Sylfaen"/>
          <w:sz w:val="24"/>
          <w:szCs w:val="24"/>
        </w:rPr>
        <w:t>ընդհանուր դեղագրքային հոդվածին համապատասխան։</w:t>
      </w:r>
    </w:p>
    <w:p w14:paraId="11DCA42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58910AB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ԱՌԱՆՁԻՆ ԴԵՂԱՁԵՎԵՐԻ ՓՈՐՁԱՐԿՈՒՄՆԵՐԻ ԱՌԱՆՁՆԱՀԱՏԿՈՒԹՅՈՒՆՆԵՐԸ</w:t>
      </w:r>
    </w:p>
    <w:p w14:paraId="4F54AC9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 xml:space="preserve">Փոշիներ՝ տեղային կիրառման համար </w:t>
      </w:r>
      <w:r>
        <w:rPr>
          <w:rFonts w:ascii="Sylfaen" w:hAnsi="Sylfaen"/>
          <w:i/>
          <w:sz w:val="24"/>
          <w:szCs w:val="24"/>
        </w:rPr>
        <w:t>եւ</w:t>
      </w:r>
      <w:r w:rsidRPr="00D95643">
        <w:rPr>
          <w:rFonts w:ascii="Sylfaen" w:hAnsi="Sylfaen"/>
          <w:i/>
          <w:sz w:val="24"/>
          <w:szCs w:val="24"/>
        </w:rPr>
        <w:t xml:space="preserve"> (կամ) տեղային կիրառման համար նախատեսված լուծույթների կամ դեղակախույթների պատրաստման համար։</w:t>
      </w:r>
      <w:r w:rsidRPr="00D95643">
        <w:rPr>
          <w:rFonts w:ascii="Sylfaen" w:hAnsi="Sylfaen"/>
          <w:sz w:val="24"/>
          <w:szCs w:val="24"/>
        </w:rPr>
        <w:t xml:space="preserve"> Տեղային կիրառման համար նախատեսված փոշիները, ինչպես նա</w:t>
      </w:r>
      <w:r>
        <w:rPr>
          <w:rFonts w:ascii="Sylfaen" w:hAnsi="Sylfaen"/>
          <w:sz w:val="24"/>
          <w:szCs w:val="24"/>
        </w:rPr>
        <w:t>եւ</w:t>
      </w:r>
      <w:r w:rsidRPr="00D95643">
        <w:rPr>
          <w:rFonts w:ascii="Sylfaen" w:hAnsi="Sylfaen"/>
          <w:sz w:val="24"/>
          <w:szCs w:val="24"/>
        </w:rPr>
        <w:t xml:space="preserve"> դրանցից ստացված լուծույթները կամ դեղակախույթները, որոնք նախատեսված են բաց վերքերի </w:t>
      </w:r>
      <w:r>
        <w:rPr>
          <w:rFonts w:ascii="Sylfaen" w:hAnsi="Sylfaen"/>
          <w:sz w:val="24"/>
          <w:szCs w:val="24"/>
        </w:rPr>
        <w:t>եւ</w:t>
      </w:r>
      <w:r w:rsidRPr="00D95643">
        <w:rPr>
          <w:rFonts w:ascii="Sylfaen" w:hAnsi="Sylfaen"/>
          <w:sz w:val="24"/>
          <w:szCs w:val="24"/>
        </w:rPr>
        <w:t xml:space="preserve"> վնասված մաշկի վրա օգտագործելու համար, պետք է լինեն մանրէազերծ՝ </w:t>
      </w:r>
      <w:r w:rsidRPr="00D95643">
        <w:rPr>
          <w:rFonts w:ascii="Sylfaen" w:hAnsi="Sylfaen"/>
          <w:i/>
          <w:sz w:val="24"/>
          <w:szCs w:val="24"/>
        </w:rPr>
        <w:t xml:space="preserve">2.1.6.1. Մանրէազերծություն </w:t>
      </w:r>
      <w:r w:rsidRPr="00D95643">
        <w:rPr>
          <w:rFonts w:ascii="Sylfaen" w:hAnsi="Sylfaen"/>
          <w:sz w:val="24"/>
          <w:szCs w:val="24"/>
        </w:rPr>
        <w:t>ընդհանուր դեղագրքային հոդվածին համապատասխան։</w:t>
      </w:r>
    </w:p>
    <w:p w14:paraId="7E6E6A8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Պարենտերալ կիրառման համար լուծույթների կամ դեղակախույթների պատրաստման համար նախատեսված փոշիները պետք է լինեն մանրէազերծ </w:t>
      </w:r>
      <w:r>
        <w:rPr>
          <w:rFonts w:ascii="Sylfaen" w:hAnsi="Sylfaen"/>
          <w:sz w:val="24"/>
          <w:szCs w:val="24"/>
        </w:rPr>
        <w:t>եւ</w:t>
      </w:r>
      <w:r w:rsidRPr="00D95643">
        <w:rPr>
          <w:rFonts w:ascii="Sylfaen" w:hAnsi="Sylfaen"/>
          <w:sz w:val="24"/>
          <w:szCs w:val="24"/>
        </w:rPr>
        <w:t xml:space="preserve"> պետք է համապատասխանեն </w:t>
      </w:r>
      <w:r w:rsidRPr="00D95643">
        <w:rPr>
          <w:rFonts w:ascii="Sylfaen" w:hAnsi="Sylfaen"/>
          <w:i/>
          <w:sz w:val="24"/>
          <w:szCs w:val="24"/>
        </w:rPr>
        <w:t xml:space="preserve">2.5.3.4. Պարենտերալ կիրառման համար նախատեսված դեղապատրաստուկներ </w:t>
      </w:r>
      <w:r w:rsidRPr="00D95643">
        <w:rPr>
          <w:rFonts w:ascii="Sylfaen" w:hAnsi="Sylfaen"/>
          <w:sz w:val="24"/>
          <w:szCs w:val="24"/>
        </w:rPr>
        <w:t>ընդհանուր դեղագրքային հոդվածին համապատասխան։</w:t>
      </w:r>
    </w:p>
    <w:p w14:paraId="6CF9D46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Աչքի կաթիլների պատրաստման համար</w:t>
      </w:r>
      <w:r w:rsidRPr="00D95643">
        <w:rPr>
          <w:rFonts w:ascii="Sylfaen" w:hAnsi="Sylfaen"/>
          <w:sz w:val="24"/>
          <w:szCs w:val="24"/>
        </w:rPr>
        <w:t xml:space="preserve"> նախատեսված</w:t>
      </w:r>
      <w:r w:rsidRPr="00D95643">
        <w:rPr>
          <w:rFonts w:ascii="Sylfaen" w:hAnsi="Sylfaen"/>
          <w:i/>
          <w:sz w:val="24"/>
          <w:szCs w:val="24"/>
        </w:rPr>
        <w:t xml:space="preserve"> փոշիները </w:t>
      </w:r>
      <w:r w:rsidRPr="00D95643">
        <w:rPr>
          <w:rFonts w:ascii="Sylfaen" w:hAnsi="Sylfaen"/>
          <w:sz w:val="24"/>
          <w:szCs w:val="24"/>
        </w:rPr>
        <w:t>պետք է համապատասխանեն</w:t>
      </w:r>
      <w:r w:rsidRPr="00D95643">
        <w:rPr>
          <w:rFonts w:ascii="Sylfaen" w:hAnsi="Sylfaen"/>
          <w:i/>
          <w:sz w:val="24"/>
          <w:szCs w:val="24"/>
        </w:rPr>
        <w:t xml:space="preserve"> 2.5.3.3 Ակնաբուժական կիրառման համար նախատեսված դեղապատրաստուկներ </w:t>
      </w:r>
      <w:r w:rsidRPr="00D95643">
        <w:rPr>
          <w:rFonts w:ascii="Sylfaen" w:hAnsi="Sylfaen"/>
          <w:sz w:val="24"/>
          <w:szCs w:val="24"/>
        </w:rPr>
        <w:t>ընդհանուր դեղագրքային հոդվածի պահանջներին։</w:t>
      </w:r>
    </w:p>
    <w:p w14:paraId="4756239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Ներքին ընդունման համար դեղակախույթների պատրաստման համար նախատեսված փոշիներ։</w:t>
      </w:r>
      <w:r w:rsidRPr="00D95643">
        <w:rPr>
          <w:rFonts w:ascii="Sylfaen" w:hAnsi="Sylfaen"/>
          <w:sz w:val="24"/>
          <w:szCs w:val="24"/>
        </w:rPr>
        <w:t xml:space="preserve"> Ներքին ընդունման համար դեղակախույթների պատրաստման համար օգտագործվող փոշիների համար պետք է լրացուցիչ նախատեսված լինի ստացվող դեղակախույթի վերահսկողությունը՝ ըստ </w:t>
      </w:r>
      <w:r w:rsidRPr="00D95643">
        <w:rPr>
          <w:rFonts w:ascii="Sylfaen" w:hAnsi="Sylfaen"/>
          <w:i/>
          <w:sz w:val="24"/>
          <w:szCs w:val="24"/>
        </w:rPr>
        <w:t>Մասնիկների չափը</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Սեդիմենտացման կայունությունը</w:t>
      </w:r>
      <w:r w:rsidRPr="00D95643">
        <w:rPr>
          <w:rFonts w:ascii="Sylfaen" w:hAnsi="Sylfaen"/>
          <w:sz w:val="24"/>
          <w:szCs w:val="24"/>
        </w:rPr>
        <w:t xml:space="preserve"> ցուցանիշների՝ </w:t>
      </w:r>
      <w:r w:rsidRPr="00D95643">
        <w:rPr>
          <w:rFonts w:ascii="Sylfaen" w:hAnsi="Sylfaen"/>
          <w:i/>
          <w:sz w:val="24"/>
          <w:szCs w:val="24"/>
        </w:rPr>
        <w:t xml:space="preserve">2.5.1.33. Դեղակախույթներ </w:t>
      </w:r>
      <w:r w:rsidRPr="00D95643">
        <w:rPr>
          <w:rFonts w:ascii="Sylfaen" w:hAnsi="Sylfaen"/>
          <w:sz w:val="24"/>
          <w:szCs w:val="24"/>
        </w:rPr>
        <w:t>ընդհանուր դեղագրքային հոդվածին համապատասխան։</w:t>
      </w:r>
    </w:p>
    <w:p w14:paraId="4EA076A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Ինհալացիաների համար նախատեսված փոշիներ.</w:t>
      </w:r>
      <w:r w:rsidRPr="00D95643">
        <w:rPr>
          <w:rFonts w:ascii="Sylfaen" w:hAnsi="Sylfaen"/>
          <w:sz w:val="24"/>
          <w:szCs w:val="24"/>
        </w:rPr>
        <w:t xml:space="preserve"> Ինհալացիաների համար նախատեսված փոշիների դեղաչափման միատարրության փորձարկումն անցկացնում են </w:t>
      </w:r>
      <w:r w:rsidRPr="00D95643">
        <w:rPr>
          <w:rFonts w:ascii="Sylfaen" w:hAnsi="Sylfaen"/>
          <w:i/>
          <w:sz w:val="24"/>
          <w:szCs w:val="24"/>
        </w:rPr>
        <w:t xml:space="preserve">2.5.3.2. Ինհալացիոն կիրառման համար նախատեսված դեղապատրաստուկներ </w:t>
      </w:r>
      <w:r w:rsidRPr="00D95643">
        <w:rPr>
          <w:rFonts w:ascii="Sylfaen" w:hAnsi="Sylfaen"/>
          <w:sz w:val="24"/>
          <w:szCs w:val="24"/>
        </w:rPr>
        <w:t>ընդհանուր դեղագրքային հոդվածին համապատասխան։</w:t>
      </w:r>
    </w:p>
    <w:p w14:paraId="7CF3D45A" w14:textId="77777777" w:rsidR="003A4194" w:rsidRPr="00D95643" w:rsidRDefault="003A4194" w:rsidP="003A4194">
      <w:pPr>
        <w:pStyle w:val="a0"/>
        <w:shd w:val="clear" w:color="auto" w:fill="auto"/>
        <w:spacing w:after="160" w:line="360" w:lineRule="auto"/>
        <w:ind w:firstLine="567"/>
        <w:jc w:val="both"/>
        <w:rPr>
          <w:rFonts w:ascii="Sylfaen" w:hAnsi="Sylfaen" w:cs="Sylfaen"/>
          <w:i/>
          <w:iCs/>
          <w:sz w:val="24"/>
          <w:szCs w:val="24"/>
        </w:rPr>
      </w:pPr>
      <w:r w:rsidRPr="00D95643">
        <w:rPr>
          <w:rFonts w:ascii="Sylfaen" w:hAnsi="Sylfaen"/>
          <w:sz w:val="24"/>
          <w:szCs w:val="24"/>
        </w:rPr>
        <w:t xml:space="preserve">Ինհալացիաների համար նախատեսված դեղաչափված փոշիների համար լրացուցիչ որոշում են փոշու մեկ դեղաչափում շնչառական ֆրակցիայի պարունակությունը՝ ըստ </w:t>
      </w:r>
      <w:r w:rsidRPr="00D95643">
        <w:rPr>
          <w:rFonts w:ascii="Sylfaen" w:hAnsi="Sylfaen"/>
          <w:i/>
          <w:sz w:val="24"/>
          <w:szCs w:val="24"/>
        </w:rPr>
        <w:t>Մանրադիսպերս մասնիկների աերոդինամիկական բաշխումը</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Փաթեթվածքում դեղաչափերի քանակը</w:t>
      </w:r>
      <w:r w:rsidRPr="00D95643">
        <w:rPr>
          <w:rFonts w:ascii="Sylfaen" w:hAnsi="Sylfaen"/>
          <w:sz w:val="24"/>
          <w:szCs w:val="24"/>
        </w:rPr>
        <w:t xml:space="preserve"> ցուցանիշների՝ </w:t>
      </w:r>
      <w:r w:rsidRPr="00D95643">
        <w:rPr>
          <w:rFonts w:ascii="Sylfaen" w:hAnsi="Sylfaen"/>
          <w:i/>
          <w:sz w:val="24"/>
          <w:szCs w:val="24"/>
        </w:rPr>
        <w:t xml:space="preserve">2.5.3.2. Ինհալացիոն կիրառման համար նախատեսված դեղապատրաստուկներ </w:t>
      </w:r>
      <w:r w:rsidRPr="00D95643">
        <w:rPr>
          <w:rFonts w:ascii="Sylfaen" w:hAnsi="Sylfaen"/>
          <w:sz w:val="24"/>
          <w:szCs w:val="24"/>
        </w:rPr>
        <w:t>ընդհանուր դեղագրքային հոդվածին համապատասխան։</w:t>
      </w:r>
    </w:p>
    <w:p w14:paraId="3126870B"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p>
    <w:p w14:paraId="2E177EB3" w14:textId="77777777" w:rsidR="003A4194" w:rsidRPr="003A4194"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205010025-2022</w:t>
      </w:r>
    </w:p>
    <w:p w14:paraId="56645A5D" w14:textId="77777777" w:rsidR="003A4194" w:rsidRPr="003A4194" w:rsidRDefault="003A4194" w:rsidP="003A4194">
      <w:pPr>
        <w:pStyle w:val="a0"/>
        <w:shd w:val="clear" w:color="auto" w:fill="auto"/>
        <w:spacing w:after="160" w:line="360" w:lineRule="auto"/>
        <w:ind w:firstLine="567"/>
        <w:jc w:val="right"/>
        <w:rPr>
          <w:rFonts w:ascii="Sylfaen" w:hAnsi="Sylfaen" w:cs="Sylfaen"/>
          <w:szCs w:val="24"/>
        </w:rPr>
      </w:pPr>
    </w:p>
    <w:p w14:paraId="62EB8A9C"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2.5.1.25.</w:t>
      </w:r>
      <w:r w:rsidRPr="003A4194">
        <w:rPr>
          <w:rFonts w:ascii="Sylfaen" w:hAnsi="Sylfaen"/>
          <w:b/>
          <w:sz w:val="24"/>
          <w:szCs w:val="24"/>
        </w:rPr>
        <w:tab/>
      </w:r>
      <w:r w:rsidRPr="00D95643">
        <w:rPr>
          <w:rFonts w:ascii="Sylfaen" w:hAnsi="Sylfaen"/>
          <w:b/>
          <w:sz w:val="24"/>
          <w:szCs w:val="24"/>
        </w:rPr>
        <w:t>Լուծույթներ</w:t>
      </w:r>
    </w:p>
    <w:p w14:paraId="013160F0"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«Լուծույթներ»՝ հեղուկ դեղաձ</w:t>
      </w:r>
      <w:r>
        <w:rPr>
          <w:rFonts w:ascii="Sylfaen" w:hAnsi="Sylfaen"/>
          <w:sz w:val="24"/>
          <w:szCs w:val="24"/>
        </w:rPr>
        <w:t>եւ</w:t>
      </w:r>
      <w:r w:rsidRPr="00D95643">
        <w:rPr>
          <w:rFonts w:ascii="Sylfaen" w:hAnsi="Sylfaen"/>
          <w:sz w:val="24"/>
          <w:szCs w:val="24"/>
        </w:rPr>
        <w:t>, որը ստացվում է համապատասխան լուծիչի կամ միախառնվող լուծիչների խառնուրդի մեջ պինդ, հեղուկ կամ գազանման նյութերի լուծման միջոցով՝ համասեռ դիսպերս համակարգերի առաջացմամբ։</w:t>
      </w:r>
    </w:p>
    <w:p w14:paraId="5E6077A1"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35DA4E48" w14:textId="77777777" w:rsidR="003A4194" w:rsidRPr="00D95643" w:rsidRDefault="003A4194" w:rsidP="003A4194">
      <w:pPr>
        <w:spacing w:after="160" w:line="348" w:lineRule="auto"/>
        <w:ind w:firstLine="567"/>
        <w:jc w:val="both"/>
      </w:pPr>
      <w:r w:rsidRPr="00D95643">
        <w:lastRenderedPageBreak/>
        <w:t xml:space="preserve">Լուծույթները կարող են պարունակել մեկ կամ ավելի ազդող </w:t>
      </w:r>
      <w:r>
        <w:t>եւ</w:t>
      </w:r>
      <w:r w:rsidRPr="00D95643">
        <w:t xml:space="preserve"> օժանդակ նյութեր։</w:t>
      </w:r>
    </w:p>
    <w:p w14:paraId="12F9E997"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ուղիով </w:t>
      </w:r>
      <w:r>
        <w:rPr>
          <w:rFonts w:ascii="Sylfaen" w:hAnsi="Sylfaen"/>
          <w:sz w:val="24"/>
          <w:szCs w:val="24"/>
        </w:rPr>
        <w:t>եւ</w:t>
      </w:r>
      <w:r w:rsidRPr="00D95643">
        <w:rPr>
          <w:rFonts w:ascii="Sylfaen" w:hAnsi="Sylfaen"/>
          <w:sz w:val="24"/>
          <w:szCs w:val="24"/>
        </w:rPr>
        <w:t xml:space="preserve"> կիրառման եղանակով՝ տարբերակում են ներքին ընդունման համար, արտաքին ընդունման համար, տեղային կիրառման համար, հեշտոցային, ներարգանդային, ռեկտալ, բերանի խոռոչում կիրառման համար, քթի խոռոչում կիրառման համար, լսողական անցուղու լվացման համար, ստամոքսաղիքային ներմուծման համար, ներշնչափողային ներմուծման համար, վերմաշկային, ցողման համար, պարենտերալ կիրառման համար, ակնաբուժական կիրառման համար, ինհալացիաների համար, դիալիզի համար, արյունազտման համար, պերիտոնեալ դիալիզի </w:t>
      </w:r>
      <w:r>
        <w:rPr>
          <w:rFonts w:ascii="Sylfaen" w:hAnsi="Sylfaen"/>
          <w:sz w:val="24"/>
          <w:szCs w:val="24"/>
        </w:rPr>
        <w:t>եւ</w:t>
      </w:r>
      <w:r w:rsidRPr="00D95643">
        <w:rPr>
          <w:rFonts w:ascii="Sylfaen" w:hAnsi="Sylfaen"/>
          <w:sz w:val="24"/>
          <w:szCs w:val="24"/>
        </w:rPr>
        <w:t xml:space="preserve"> այլնի համար լուծույթներ։</w:t>
      </w:r>
    </w:p>
    <w:p w14:paraId="1882F9A2"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i/>
          <w:sz w:val="24"/>
          <w:szCs w:val="24"/>
        </w:rPr>
        <w:t>Ստամոքսաղիքային ներմուծման համար նախատեսված լուծույթներ</w:t>
      </w:r>
      <w:r w:rsidRPr="00D95643">
        <w:rPr>
          <w:rFonts w:ascii="Sylfaen" w:hAnsi="Sylfaen"/>
          <w:sz w:val="24"/>
          <w:szCs w:val="24"/>
        </w:rPr>
        <w:t>՝ լուծույթներ, որոնք նախատեսված են համապատասխան սարքվածքի օգնությամբ ստամոքս կամ տասներկումատնյա աղիք ներմուծման համար։</w:t>
      </w:r>
    </w:p>
    <w:p w14:paraId="73AF8308"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i/>
          <w:sz w:val="24"/>
          <w:szCs w:val="24"/>
        </w:rPr>
        <w:t>Ներշնչափողային ներմուծման համար նախատեսված լուծույթներ</w:t>
      </w:r>
      <w:r w:rsidRPr="00D95643">
        <w:rPr>
          <w:rFonts w:ascii="Sylfaen" w:hAnsi="Sylfaen"/>
          <w:sz w:val="24"/>
          <w:szCs w:val="24"/>
        </w:rPr>
        <w:t xml:space="preserve">՝ մանրէազերծ լուծույթներ, որոնք նախատեսված են ներկաթեցման միջոցով շնչափող </w:t>
      </w:r>
      <w:r>
        <w:rPr>
          <w:rFonts w:ascii="Sylfaen" w:hAnsi="Sylfaen"/>
          <w:sz w:val="24"/>
          <w:szCs w:val="24"/>
        </w:rPr>
        <w:t>եւ</w:t>
      </w:r>
      <w:r w:rsidRPr="00D95643">
        <w:rPr>
          <w:rFonts w:ascii="Sylfaen" w:hAnsi="Sylfaen"/>
          <w:sz w:val="24"/>
          <w:szCs w:val="24"/>
        </w:rPr>
        <w:t xml:space="preserve"> (կամ) բրոնխիոլներ ներմուծման համար։</w:t>
      </w:r>
    </w:p>
    <w:p w14:paraId="2F42B92D" w14:textId="77777777" w:rsidR="003A4194" w:rsidRPr="003A4194" w:rsidRDefault="003A4194" w:rsidP="003A4194">
      <w:pPr>
        <w:pStyle w:val="a0"/>
        <w:shd w:val="clear" w:color="auto" w:fill="auto"/>
        <w:spacing w:after="160" w:line="348" w:lineRule="auto"/>
        <w:ind w:firstLine="567"/>
        <w:jc w:val="both"/>
        <w:rPr>
          <w:rFonts w:ascii="Sylfaen" w:hAnsi="Sylfaen"/>
          <w:i/>
          <w:sz w:val="24"/>
          <w:szCs w:val="24"/>
        </w:rPr>
      </w:pPr>
      <w:r w:rsidRPr="00D95643">
        <w:rPr>
          <w:rFonts w:ascii="Sylfaen" w:hAnsi="Sylfaen"/>
          <w:sz w:val="24"/>
          <w:szCs w:val="24"/>
        </w:rPr>
        <w:t xml:space="preserve">Բերանի խոռոչում կիրառելու համար լուծույթների շարքին են դասում </w:t>
      </w:r>
      <w:r w:rsidRPr="00D95643">
        <w:rPr>
          <w:rFonts w:ascii="Sylfaen" w:hAnsi="Sylfaen"/>
          <w:i/>
          <w:sz w:val="24"/>
          <w:szCs w:val="24"/>
        </w:rPr>
        <w:t>բերանի խոռոչը ողողելու, լվանալու, բերանի խոռոչի լորձաթաղանթի, լնդերին զետեղելու, ատամի լուծույթները։</w:t>
      </w:r>
    </w:p>
    <w:p w14:paraId="2DC6C326"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i/>
          <w:sz w:val="24"/>
          <w:szCs w:val="24"/>
        </w:rPr>
        <w:t>Ողողելու համար նախատեսված լուծույթներ</w:t>
      </w:r>
      <w:r w:rsidRPr="00D95643">
        <w:rPr>
          <w:rFonts w:ascii="Sylfaen" w:hAnsi="Sylfaen"/>
          <w:sz w:val="24"/>
          <w:szCs w:val="24"/>
        </w:rPr>
        <w:t xml:space="preserve">՝ լուծույթներ, որոնք նախատեսված են բերանի խոռոչը </w:t>
      </w:r>
      <w:r>
        <w:rPr>
          <w:rFonts w:ascii="Sylfaen" w:hAnsi="Sylfaen"/>
          <w:sz w:val="24"/>
          <w:szCs w:val="24"/>
        </w:rPr>
        <w:t>եւ</w:t>
      </w:r>
      <w:r w:rsidRPr="00D95643">
        <w:rPr>
          <w:rFonts w:ascii="Sylfaen" w:hAnsi="Sylfaen"/>
          <w:sz w:val="24"/>
          <w:szCs w:val="24"/>
        </w:rPr>
        <w:t xml:space="preserve"> (կամ) ըմպանը ողողելու համար։</w:t>
      </w:r>
    </w:p>
    <w:p w14:paraId="3D394D71"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sz w:val="24"/>
          <w:szCs w:val="24"/>
        </w:rPr>
        <w:t xml:space="preserve">Քթի խոռոչում կիրառելու լուծույթների շարքին են դասում </w:t>
      </w:r>
      <w:r w:rsidRPr="00D95643">
        <w:rPr>
          <w:rFonts w:ascii="Sylfaen" w:hAnsi="Sylfaen"/>
          <w:i/>
          <w:sz w:val="24"/>
          <w:szCs w:val="24"/>
        </w:rPr>
        <w:t>Քթի խոռոչի լվացման համար նախատեսված լուծույթները</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Ներծոցային ներմուծման համար նախատեսված լուծույթները</w:t>
      </w:r>
      <w:r w:rsidRPr="00D95643">
        <w:rPr>
          <w:rFonts w:ascii="Sylfaen" w:hAnsi="Sylfaen"/>
          <w:sz w:val="24"/>
          <w:szCs w:val="24"/>
        </w:rPr>
        <w:t>։</w:t>
      </w:r>
    </w:p>
    <w:p w14:paraId="5A5CAA3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Ներծոցային ներմուծման համար նախատեսված լուծույթներ</w:t>
      </w:r>
      <w:r w:rsidRPr="00D95643">
        <w:rPr>
          <w:rFonts w:ascii="Sylfaen" w:hAnsi="Sylfaen"/>
          <w:sz w:val="24"/>
          <w:szCs w:val="24"/>
        </w:rPr>
        <w:t>՝ մանրէազերծ լուծույթներ, որոնք նախատեսված են քթի խոռոչի ծոցեր (հարքթային ծոցեր) ներմուծման համար՝ տեղային ազդեցություն գործելու նպատակով։</w:t>
      </w:r>
    </w:p>
    <w:p w14:paraId="2FFAC25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Հեշտոցային լուծույթներ</w:t>
      </w:r>
      <w:r w:rsidRPr="00D95643">
        <w:rPr>
          <w:rFonts w:ascii="Sylfaen" w:hAnsi="Sylfaen"/>
          <w:sz w:val="24"/>
          <w:szCs w:val="24"/>
        </w:rPr>
        <w:t>՝ լուծույթներ, որոնք նախատեսված են հեշտոց ներմուծման համար՝ տեղային ազդեցություն գործելու նպատակով։</w:t>
      </w:r>
    </w:p>
    <w:p w14:paraId="41FF677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Ներարգանդային լուծույթներ</w:t>
      </w:r>
      <w:r w:rsidRPr="00D95643">
        <w:rPr>
          <w:rFonts w:ascii="Sylfaen" w:hAnsi="Sylfaen"/>
          <w:sz w:val="24"/>
          <w:szCs w:val="24"/>
        </w:rPr>
        <w:t>՝ լուծույթներ, որոնք նախատեսված են արգանդի խոռոչ ներմուծման համար։</w:t>
      </w:r>
    </w:p>
    <w:p w14:paraId="7E3024F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Ներխոռոչային ներմուծման համար նախատեսված լուծույթներ</w:t>
      </w:r>
      <w:r w:rsidRPr="00D95643">
        <w:rPr>
          <w:rFonts w:ascii="Sylfaen" w:hAnsi="Sylfaen"/>
          <w:sz w:val="24"/>
          <w:szCs w:val="24"/>
        </w:rPr>
        <w:t xml:space="preserve">՝ մանրէազերծ լուծույթներ, որոնք նախատեսված են մարմնի խոռոչներ ներմուծման համար, օրինակ՝ միզապարկ (ներմիզապարկային ներմուծման համար), հոդախոռոչ (ներհոդային ներմուծման համար), ջրաթաղանթային խոռոչ (ներջրաթաղանթային ներմուծման համար), կարծր ուղեղային թաղանթի միջով ենթաոստայնային տարածություն (ինտրատեկալ ներմուծման համար) </w:t>
      </w:r>
      <w:r>
        <w:rPr>
          <w:rFonts w:ascii="Sylfaen" w:hAnsi="Sylfaen"/>
          <w:sz w:val="24"/>
          <w:szCs w:val="24"/>
        </w:rPr>
        <w:t>եւ</w:t>
      </w:r>
      <w:r w:rsidRPr="00D95643">
        <w:rPr>
          <w:rFonts w:ascii="Sylfaen" w:hAnsi="Sylfaen"/>
          <w:sz w:val="24"/>
          <w:szCs w:val="24"/>
        </w:rPr>
        <w:t xml:space="preserve"> այլն։</w:t>
      </w:r>
    </w:p>
    <w:p w14:paraId="18077D3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Ցողման համար նախատեսված լուծույթներ</w:t>
      </w:r>
      <w:r w:rsidRPr="00D95643">
        <w:rPr>
          <w:rFonts w:ascii="Sylfaen" w:hAnsi="Sylfaen"/>
          <w:sz w:val="24"/>
          <w:szCs w:val="24"/>
        </w:rPr>
        <w:t xml:space="preserve">՝ մեծ ծավալով մանրէազերծ ջրային լուծույթներ, որոնք նախատեսված են մարմնի խոռոչների ցողման համար </w:t>
      </w:r>
      <w:r w:rsidRPr="00D95643">
        <w:rPr>
          <w:rFonts w:ascii="Sylfaen" w:hAnsi="Sylfaen"/>
          <w:i/>
          <w:sz w:val="24"/>
          <w:szCs w:val="24"/>
        </w:rPr>
        <w:t xml:space="preserve">(Ստամոքսի ցողման համար նախատեսված լուծույթներ, Միզապարկի ցողման համար նախատեսված լուծույթներ), </w:t>
      </w:r>
      <w:r w:rsidRPr="00D95643">
        <w:rPr>
          <w:rFonts w:ascii="Sylfaen" w:hAnsi="Sylfaen"/>
          <w:sz w:val="24"/>
          <w:szCs w:val="24"/>
        </w:rPr>
        <w:t>ինչպես նա</w:t>
      </w:r>
      <w:r>
        <w:rPr>
          <w:rFonts w:ascii="Sylfaen" w:hAnsi="Sylfaen"/>
          <w:sz w:val="24"/>
          <w:szCs w:val="24"/>
        </w:rPr>
        <w:t>եւ</w:t>
      </w:r>
      <w:r w:rsidRPr="00D95643">
        <w:rPr>
          <w:rFonts w:ascii="Sylfaen" w:hAnsi="Sylfaen"/>
          <w:sz w:val="24"/>
          <w:szCs w:val="24"/>
        </w:rPr>
        <w:t xml:space="preserve"> վերքերի </w:t>
      </w:r>
      <w:r>
        <w:rPr>
          <w:rFonts w:ascii="Sylfaen" w:hAnsi="Sylfaen"/>
          <w:sz w:val="24"/>
          <w:szCs w:val="24"/>
        </w:rPr>
        <w:t>եւ</w:t>
      </w:r>
      <w:r w:rsidRPr="00D95643">
        <w:rPr>
          <w:rFonts w:ascii="Sylfaen" w:hAnsi="Sylfaen"/>
          <w:sz w:val="24"/>
          <w:szCs w:val="24"/>
        </w:rPr>
        <w:t xml:space="preserve"> մակեր</w:t>
      </w:r>
      <w:r>
        <w:rPr>
          <w:rFonts w:ascii="Sylfaen" w:hAnsi="Sylfaen"/>
          <w:sz w:val="24"/>
          <w:szCs w:val="24"/>
        </w:rPr>
        <w:t>եւ</w:t>
      </w:r>
      <w:r w:rsidRPr="00D95643">
        <w:rPr>
          <w:rFonts w:ascii="Sylfaen" w:hAnsi="Sylfaen"/>
          <w:sz w:val="24"/>
          <w:szCs w:val="24"/>
        </w:rPr>
        <w:t>ույթների ցողման համար, օրինակ՝ վիրաբուժական վիրահատությունների ժամանակ։</w:t>
      </w:r>
    </w:p>
    <w:p w14:paraId="725C4EB8"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Վերմաշկային լուծույթներ</w:t>
      </w:r>
      <w:r w:rsidRPr="00D95643">
        <w:rPr>
          <w:rFonts w:ascii="Sylfaen" w:hAnsi="Sylfaen"/>
          <w:sz w:val="24"/>
          <w:szCs w:val="24"/>
        </w:rPr>
        <w:t>՝ լուծույթներ, որոնք նախատեսված են չվնասված մաշկի միջով պասսիվ դիֆուզիայի միջոցով համակարգային արյան շրջանառության մեջ ազդող նյութի վերահսկվող մատակարարման համար։</w:t>
      </w:r>
    </w:p>
    <w:p w14:paraId="5A44E69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Պարենտերալ կիրառման համար նախատեսված լուծույթները մանրէազերծ լուծույթներ են, որոնք նախատեսված են ներարկումների կամ ինֆուզիաների միջոցով մարդու օրգանիզմ ներմուծման համար՝ մաշկային ծածկույթների կամ լորձաթաղանթների ամբողջականության խախտմամբ՝ շրջանցելով աղեստամոքսային տրակտը։</w:t>
      </w:r>
    </w:p>
    <w:p w14:paraId="204E677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Ներարկումների համար նախատեսված լուծույթներ</w:t>
      </w:r>
      <w:r w:rsidRPr="00D95643">
        <w:rPr>
          <w:rFonts w:ascii="Sylfaen" w:hAnsi="Sylfaen"/>
          <w:sz w:val="24"/>
          <w:szCs w:val="24"/>
        </w:rPr>
        <w:t>՝ մանրէազերծ ջրային կամ ոչ ջրային լուծույթներ, որոնք նախատեսված են ներարկման միջոցով որոշակի հյուսվածքներ կամ օրգաններ կամ արյունատար հուն ներմուծման համար։</w:t>
      </w:r>
    </w:p>
    <w:p w14:paraId="7AE37CA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 xml:space="preserve">Որոշակի հյուսվածքներ ներարկման միջոցով ներմուծման համար լուծույթները կարող են նախատեսված լինել ենթամաշկային, ներմաշկային, միջմկանային, հարհոդային ներմուծման համար, սկարիֆիկացիոն եղանակով վերնամաշկին քսելու համար, պրիկ–թեստ անցկացնելու համար </w:t>
      </w:r>
      <w:r>
        <w:rPr>
          <w:rFonts w:ascii="Sylfaen" w:hAnsi="Sylfaen"/>
          <w:sz w:val="24"/>
          <w:szCs w:val="24"/>
        </w:rPr>
        <w:t>եւ</w:t>
      </w:r>
      <w:r w:rsidRPr="00D95643">
        <w:rPr>
          <w:rFonts w:ascii="Sylfaen" w:hAnsi="Sylfaen"/>
          <w:sz w:val="24"/>
          <w:szCs w:val="24"/>
        </w:rPr>
        <w:t xml:space="preserve"> այլն։</w:t>
      </w:r>
    </w:p>
    <w:p w14:paraId="0431A5E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Որոշակի օրգաններ ներարկման միջոցով ներմուծման համար լուծույթները կարող են նախատեսված լինել ներխոռոչային, ներորովայնային, ներմիզապարկային, ներհոդային, ներսրտային, ինտրատեկալ, արտաջրաթաղանթային ներմուծման համար </w:t>
      </w:r>
      <w:r>
        <w:rPr>
          <w:rFonts w:ascii="Sylfaen" w:hAnsi="Sylfaen"/>
          <w:sz w:val="24"/>
          <w:szCs w:val="24"/>
        </w:rPr>
        <w:t>եւ</w:t>
      </w:r>
      <w:r w:rsidRPr="00D95643">
        <w:rPr>
          <w:rFonts w:ascii="Sylfaen" w:hAnsi="Sylfaen"/>
          <w:sz w:val="24"/>
          <w:szCs w:val="24"/>
        </w:rPr>
        <w:t xml:space="preserve"> այլն։</w:t>
      </w:r>
    </w:p>
    <w:p w14:paraId="7FB742C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Արյունատար հուն ներարկման միջոցով ներմուծման համար լուծույթները (ներանոթային ներմուծման համար) կարող են նախատեսված լինել ներերակային, ներզարկերակային, ներպսակային, ներավշային ներմուծման համար </w:t>
      </w:r>
      <w:r>
        <w:rPr>
          <w:rFonts w:ascii="Sylfaen" w:hAnsi="Sylfaen"/>
          <w:sz w:val="24"/>
          <w:szCs w:val="24"/>
        </w:rPr>
        <w:t>եւ</w:t>
      </w:r>
      <w:r w:rsidRPr="00D95643">
        <w:rPr>
          <w:rFonts w:ascii="Sylfaen" w:hAnsi="Sylfaen"/>
          <w:sz w:val="24"/>
          <w:szCs w:val="24"/>
        </w:rPr>
        <w:t xml:space="preserve"> այլն։</w:t>
      </w:r>
    </w:p>
    <w:p w14:paraId="348A73D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Ինֆուզիաների համար նախատեսված լուծույթներ</w:t>
      </w:r>
      <w:r w:rsidRPr="00D95643">
        <w:rPr>
          <w:rFonts w:ascii="Sylfaen" w:hAnsi="Sylfaen"/>
          <w:sz w:val="24"/>
          <w:szCs w:val="24"/>
        </w:rPr>
        <w:t xml:space="preserve">՝ մանրէազերծ ջրային լուծույթներ, որոնք նախատեսված են պարենտերալ կիրառման համար՝ ինֆուզիոն համակարգերի օգնությամբ, 100 մլ </w:t>
      </w:r>
      <w:r>
        <w:rPr>
          <w:rFonts w:ascii="Sylfaen" w:hAnsi="Sylfaen"/>
          <w:sz w:val="24"/>
          <w:szCs w:val="24"/>
        </w:rPr>
        <w:t>եւ</w:t>
      </w:r>
      <w:r w:rsidRPr="00D95643">
        <w:rPr>
          <w:rFonts w:ascii="Sylfaen" w:hAnsi="Sylfaen"/>
          <w:sz w:val="24"/>
          <w:szCs w:val="24"/>
        </w:rPr>
        <w:t xml:space="preserve"> ավելի ծավալով, շրջանառվող արյան հոսք, որպես կանոն, դանդաղ, հաճախ կաթիլային եղանակով ներմուծման միջոցով։</w:t>
      </w:r>
    </w:p>
    <w:p w14:paraId="3E89B50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Ակնաբուժական կիրառման համար նախատեսված լուծույթների շարքին են դասում աչքի հյուսվածքներ ներարկման միջոցով ներմուծելու լուծույթները </w:t>
      </w:r>
      <w:r>
        <w:rPr>
          <w:rFonts w:ascii="Sylfaen" w:hAnsi="Sylfaen"/>
          <w:sz w:val="24"/>
          <w:szCs w:val="24"/>
        </w:rPr>
        <w:t>եւ</w:t>
      </w:r>
      <w:r w:rsidRPr="00D95643">
        <w:rPr>
          <w:rFonts w:ascii="Sylfaen" w:hAnsi="Sylfaen"/>
          <w:sz w:val="24"/>
          <w:szCs w:val="24"/>
        </w:rPr>
        <w:t xml:space="preserve"> աչքերը լվանալու լուծույթները։</w:t>
      </w:r>
    </w:p>
    <w:p w14:paraId="43F28571" w14:textId="77777777" w:rsidR="003A4194" w:rsidRPr="00D95643" w:rsidRDefault="003A4194" w:rsidP="003A4194">
      <w:pPr>
        <w:spacing w:after="160" w:line="360" w:lineRule="auto"/>
        <w:ind w:firstLine="567"/>
        <w:jc w:val="both"/>
      </w:pPr>
      <w:r w:rsidRPr="00D95643">
        <w:rPr>
          <w:i/>
        </w:rPr>
        <w:t>Ներակնային ներմուծման համար նախատեսված լուծույթներ</w:t>
      </w:r>
      <w:r w:rsidRPr="00D95643">
        <w:t>՝ մանրէազերծ լուծույթներ, որոնք նախատեսված են ակնագնդի մեջ ներմուծման համար։</w:t>
      </w:r>
    </w:p>
    <w:p w14:paraId="49F606D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Պարաբուլբար ներմուծման համար նախատեսված լուծույթներ</w:t>
      </w:r>
      <w:r w:rsidRPr="00D95643">
        <w:rPr>
          <w:rFonts w:ascii="Sylfaen" w:hAnsi="Sylfaen"/>
          <w:sz w:val="24"/>
          <w:szCs w:val="24"/>
        </w:rPr>
        <w:t>՝ մանրէազերծ լուծույթներ, որոնք նախատեսված են ակնագնդի հարակից ցանցաթաղանթ ներմուծման համար։</w:t>
      </w:r>
    </w:p>
    <w:p w14:paraId="7E71F258"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Ենթաշաղկապենային ներմուծման համար նախատեսված լուծույթներ</w:t>
      </w:r>
      <w:r w:rsidRPr="00D95643">
        <w:rPr>
          <w:rFonts w:ascii="Sylfaen" w:hAnsi="Sylfaen"/>
          <w:sz w:val="24"/>
          <w:szCs w:val="24"/>
        </w:rPr>
        <w:t>՝ մանրէազերծ լուծույթներ, որոնք նախատեսված են շաղկապենու տակ ներմուծման համար։</w:t>
      </w:r>
    </w:p>
    <w:p w14:paraId="746B24A8"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4D6A49A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Աչքերը լվանալու լուծույթներ</w:t>
      </w:r>
      <w:r w:rsidRPr="00D95643">
        <w:rPr>
          <w:rFonts w:ascii="Sylfaen" w:hAnsi="Sylfaen"/>
          <w:sz w:val="24"/>
          <w:szCs w:val="24"/>
        </w:rPr>
        <w:t xml:space="preserve">՝ մանրէազերծ ջրային լուծույթներ, որոնք նախատեսված են աչքերը լվանալու </w:t>
      </w:r>
      <w:r>
        <w:rPr>
          <w:rFonts w:ascii="Sylfaen" w:hAnsi="Sylfaen"/>
          <w:sz w:val="24"/>
          <w:szCs w:val="24"/>
        </w:rPr>
        <w:t>եւ</w:t>
      </w:r>
      <w:r w:rsidRPr="00D95643">
        <w:rPr>
          <w:rFonts w:ascii="Sylfaen" w:hAnsi="Sylfaen"/>
          <w:sz w:val="24"/>
          <w:szCs w:val="24"/>
        </w:rPr>
        <w:t xml:space="preserve"> թրջելու, ինչպես նա</w:t>
      </w:r>
      <w:r>
        <w:rPr>
          <w:rFonts w:ascii="Sylfaen" w:hAnsi="Sylfaen"/>
          <w:sz w:val="24"/>
          <w:szCs w:val="24"/>
        </w:rPr>
        <w:t>եւ</w:t>
      </w:r>
      <w:r w:rsidRPr="00D95643">
        <w:rPr>
          <w:rFonts w:ascii="Sylfaen" w:hAnsi="Sylfaen"/>
          <w:sz w:val="24"/>
          <w:szCs w:val="24"/>
        </w:rPr>
        <w:t xml:space="preserve"> ակնագնդի վրա դրվող նյութերը տոգորելու համար։</w:t>
      </w:r>
    </w:p>
    <w:p w14:paraId="01975E1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Ինհալացիաների համար նախատեսված լուծույթներն</w:t>
      </w:r>
      <w:r w:rsidRPr="00D95643">
        <w:rPr>
          <w:rFonts w:ascii="Sylfaen" w:hAnsi="Sylfaen"/>
          <w:sz w:val="24"/>
          <w:szCs w:val="24"/>
        </w:rPr>
        <w:t xml:space="preserve"> այն լուծույթներն են, որոնք նախատեսված են համապատասխան սարքվածքի (օրինակ՝ նեբուլայզերի) օգնությամբ ինհալացիաների համար աերոզոլի փոխակերպման համար, կամ այն լուծույթներն են, որոնք գոյացնում են գոլորշիներ տաք ջրին ավելացնելիս կամ համապատասխան սարքվածքի (օրինակ՝ ներշնչակի </w:t>
      </w:r>
      <w:r>
        <w:rPr>
          <w:rFonts w:ascii="Sylfaen" w:hAnsi="Sylfaen"/>
          <w:sz w:val="24"/>
          <w:szCs w:val="24"/>
        </w:rPr>
        <w:t>եւ</w:t>
      </w:r>
      <w:r w:rsidRPr="00D95643">
        <w:rPr>
          <w:rFonts w:ascii="Sylfaen" w:hAnsi="Sylfaen"/>
          <w:sz w:val="24"/>
          <w:szCs w:val="24"/>
        </w:rPr>
        <w:t xml:space="preserve"> այլնի) օգնությամբ, նախատեսված են շնչառման համար՝ տեղային կամ համակարգային ազդեցություն գործելու նպատակով: Եզրույթն օգտագործում են այն դեպքերում, երբ «ինհալացիաների համար կաթիլներ» եզրույթը կիրառելի չէ։</w:t>
      </w:r>
    </w:p>
    <w:p w14:paraId="2700449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Տարբերակում են նա</w:t>
      </w:r>
      <w:r>
        <w:rPr>
          <w:rFonts w:ascii="Sylfaen" w:hAnsi="Sylfaen"/>
          <w:sz w:val="24"/>
          <w:szCs w:val="24"/>
        </w:rPr>
        <w:t>եւ</w:t>
      </w:r>
      <w:r w:rsidRPr="00D95643">
        <w:rPr>
          <w:rFonts w:ascii="Sylfaen" w:hAnsi="Sylfaen"/>
          <w:sz w:val="24"/>
          <w:szCs w:val="24"/>
        </w:rPr>
        <w:t xml:space="preserve"> լուծույթներ, որոնք նախատեսված են դիալիզի </w:t>
      </w:r>
      <w:r>
        <w:rPr>
          <w:rFonts w:ascii="Sylfaen" w:hAnsi="Sylfaen"/>
          <w:sz w:val="24"/>
          <w:szCs w:val="24"/>
        </w:rPr>
        <w:t>եւ</w:t>
      </w:r>
      <w:r w:rsidRPr="00D95643">
        <w:rPr>
          <w:rFonts w:ascii="Sylfaen" w:hAnsi="Sylfaen"/>
          <w:sz w:val="24"/>
          <w:szCs w:val="24"/>
        </w:rPr>
        <w:t xml:space="preserve"> (կամ) զտման միջոցով օրգանիզմը մաքրելու համար։</w:t>
      </w:r>
    </w:p>
    <w:p w14:paraId="5054E25F"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Հեմոդիալիզի կամ հեմոֆիլտրացիայի կամ հեմոդիաֆիլտրացիայի համար նախատեսված լուծույթներ</w:t>
      </w:r>
      <w:r w:rsidRPr="00D95643">
        <w:rPr>
          <w:rFonts w:ascii="Sylfaen" w:hAnsi="Sylfaen"/>
          <w:sz w:val="24"/>
          <w:szCs w:val="24"/>
        </w:rPr>
        <w:t>՝ մանրէազերծ ջրային լուծույթներ, որոնք համապատասխանաբար նախատեսված են հեմոդիալիզի կամ հեմոֆիլտրացիայի կամ հեմոդիաֆիլտրացիայի համար, պարունակում են պլազմայի էլեկտրոլիտային կազմին մոտիկ խտությամբ էլեկտրոլիտներ։</w:t>
      </w:r>
    </w:p>
    <w:p w14:paraId="637D49B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Պերիտոնեալ դիալիզի համար նախատեսված լուծույթներ</w:t>
      </w:r>
      <w:r w:rsidRPr="00D95643">
        <w:rPr>
          <w:rFonts w:ascii="Sylfaen" w:hAnsi="Sylfaen"/>
          <w:sz w:val="24"/>
          <w:szCs w:val="24"/>
        </w:rPr>
        <w:t>՝ մանրէազերծ ջրային լուծույթներ, որոնք նախատեսված են պերիտոնեալ դիալիզի համար։</w:t>
      </w:r>
    </w:p>
    <w:p w14:paraId="5881C28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լուծիչի (լուծիչների) բնույթով՝ տարբերակում են </w:t>
      </w:r>
      <w:r w:rsidRPr="00D95643">
        <w:rPr>
          <w:rFonts w:ascii="Sylfaen" w:hAnsi="Sylfaen"/>
          <w:i/>
          <w:sz w:val="24"/>
          <w:szCs w:val="24"/>
        </w:rPr>
        <w:t xml:space="preserve">Ջրային </w:t>
      </w:r>
      <w:r>
        <w:rPr>
          <w:rFonts w:ascii="Sylfaen" w:hAnsi="Sylfaen"/>
          <w:i/>
          <w:sz w:val="24"/>
          <w:szCs w:val="24"/>
        </w:rPr>
        <w:t>եւ</w:t>
      </w:r>
      <w:r w:rsidRPr="00D95643">
        <w:rPr>
          <w:rFonts w:ascii="Sylfaen" w:hAnsi="Sylfaen"/>
          <w:i/>
          <w:sz w:val="24"/>
          <w:szCs w:val="24"/>
        </w:rPr>
        <w:t xml:space="preserve"> անջուր լուծույթներ</w:t>
      </w:r>
      <w:r w:rsidRPr="00D95643">
        <w:rPr>
          <w:rFonts w:ascii="Sylfaen" w:hAnsi="Sylfaen"/>
          <w:sz w:val="24"/>
          <w:szCs w:val="24"/>
        </w:rPr>
        <w:t xml:space="preserve">։ Իրենց հերթին անջուր լուծույթները կարող են լինել </w:t>
      </w:r>
      <w:r w:rsidRPr="00D95643">
        <w:rPr>
          <w:rFonts w:ascii="Sylfaen" w:hAnsi="Sylfaen"/>
          <w:i/>
          <w:sz w:val="24"/>
          <w:szCs w:val="24"/>
        </w:rPr>
        <w:t xml:space="preserve">Սպիրտային, յուղային, գլիցերինային </w:t>
      </w:r>
      <w:r>
        <w:rPr>
          <w:rFonts w:ascii="Sylfaen" w:hAnsi="Sylfaen"/>
          <w:i/>
          <w:sz w:val="24"/>
          <w:szCs w:val="24"/>
        </w:rPr>
        <w:t>եւ</w:t>
      </w:r>
      <w:r w:rsidRPr="00D95643">
        <w:rPr>
          <w:rFonts w:ascii="Sylfaen" w:hAnsi="Sylfaen"/>
          <w:i/>
          <w:sz w:val="24"/>
          <w:szCs w:val="24"/>
        </w:rPr>
        <w:t xml:space="preserve"> այլ լուծույթներ</w:t>
      </w:r>
      <w:r w:rsidRPr="00D95643">
        <w:rPr>
          <w:rFonts w:ascii="Sylfaen" w:hAnsi="Sylfaen"/>
          <w:sz w:val="24"/>
          <w:szCs w:val="24"/>
        </w:rPr>
        <w:t>։</w:t>
      </w:r>
    </w:p>
    <w:p w14:paraId="05118999" w14:textId="77777777" w:rsidR="003A4194" w:rsidRPr="0035054F" w:rsidRDefault="003A4194" w:rsidP="003A4194">
      <w:pPr>
        <w:pStyle w:val="a0"/>
        <w:shd w:val="clear" w:color="auto" w:fill="auto"/>
        <w:spacing w:after="160" w:line="360" w:lineRule="auto"/>
        <w:ind w:firstLine="567"/>
        <w:jc w:val="both"/>
        <w:rPr>
          <w:rFonts w:ascii="Sylfaen" w:hAnsi="Sylfaen"/>
          <w:spacing w:val="-4"/>
          <w:sz w:val="24"/>
          <w:szCs w:val="24"/>
        </w:rPr>
      </w:pPr>
      <w:r w:rsidRPr="00D95643">
        <w:rPr>
          <w:rFonts w:ascii="Sylfaen" w:hAnsi="Sylfaen"/>
          <w:spacing w:val="-4"/>
          <w:sz w:val="24"/>
          <w:szCs w:val="24"/>
        </w:rPr>
        <w:t>Պայմանավորված ակտիվ դեղագործական բաղադրամասի (բաղադրամասերի) բնույթով՝ տարբերակում են իրական լուծույթներ, բարձրամոլեկուլյար միացությունների լուծույթներ, կոլոիդային լուծույթներ եւ այլն։</w:t>
      </w:r>
    </w:p>
    <w:p w14:paraId="0CD8550D" w14:textId="77777777" w:rsidR="003A4194" w:rsidRPr="0035054F" w:rsidRDefault="003A4194" w:rsidP="003A4194">
      <w:pPr>
        <w:pStyle w:val="a0"/>
        <w:shd w:val="clear" w:color="auto" w:fill="auto"/>
        <w:spacing w:after="160" w:line="360" w:lineRule="auto"/>
        <w:ind w:firstLine="567"/>
        <w:jc w:val="both"/>
        <w:rPr>
          <w:rFonts w:ascii="Sylfaen" w:hAnsi="Sylfaen" w:cs="Sylfaen"/>
          <w:spacing w:val="-4"/>
          <w:sz w:val="24"/>
          <w:szCs w:val="24"/>
        </w:rPr>
      </w:pPr>
    </w:p>
    <w:p w14:paraId="62439C7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 xml:space="preserve">Կաթիլներ, Կոնցենտրատներ, Օշարակներ </w:t>
      </w:r>
      <w:r w:rsidRPr="00D95643">
        <w:rPr>
          <w:rFonts w:ascii="Sylfaen" w:hAnsi="Sylfaen"/>
          <w:sz w:val="24"/>
          <w:szCs w:val="24"/>
        </w:rPr>
        <w:t>դեղաձ</w:t>
      </w:r>
      <w:r>
        <w:rPr>
          <w:rFonts w:ascii="Sylfaen" w:hAnsi="Sylfaen"/>
          <w:sz w:val="24"/>
          <w:szCs w:val="24"/>
        </w:rPr>
        <w:t>եւ</w:t>
      </w:r>
      <w:r w:rsidRPr="00D95643">
        <w:rPr>
          <w:rFonts w:ascii="Sylfaen" w:hAnsi="Sylfaen"/>
          <w:sz w:val="24"/>
          <w:szCs w:val="24"/>
        </w:rPr>
        <w:t>երը կարող են լինել լուծույթի տեսքով։</w:t>
      </w:r>
    </w:p>
    <w:p w14:paraId="56D6DC78" w14:textId="77777777" w:rsidR="003A4194" w:rsidRPr="00D95643" w:rsidRDefault="003A4194" w:rsidP="003A4194">
      <w:pPr>
        <w:spacing w:after="160" w:line="360" w:lineRule="auto"/>
        <w:ind w:firstLine="567"/>
        <w:jc w:val="both"/>
      </w:pPr>
      <w:r w:rsidRPr="00D95643">
        <w:t>Լուծույթների տեսքով որոշ դեղաձ</w:t>
      </w:r>
      <w:r>
        <w:t>եւ</w:t>
      </w:r>
      <w:r w:rsidRPr="00D95643">
        <w:t>երի նշագրման համար կիրառում են նա</w:t>
      </w:r>
      <w:r>
        <w:t>եւ</w:t>
      </w:r>
      <w:r w:rsidRPr="00D95643">
        <w:t xml:space="preserve"> այլ եզրույթներ (սահմանումներ)։</w:t>
      </w:r>
    </w:p>
    <w:p w14:paraId="0BD4D3D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Միքստուրաներ</w:t>
      </w:r>
      <w:r w:rsidRPr="00D95643">
        <w:rPr>
          <w:rFonts w:ascii="Sylfaen" w:hAnsi="Sylfaen"/>
          <w:sz w:val="24"/>
          <w:szCs w:val="24"/>
        </w:rPr>
        <w:t>՝ առավելապես դեղատնային պատրաստման լուծույթների, ինչպես նա</w:t>
      </w:r>
      <w:r>
        <w:rPr>
          <w:rFonts w:ascii="Sylfaen" w:hAnsi="Sylfaen"/>
          <w:sz w:val="24"/>
          <w:szCs w:val="24"/>
        </w:rPr>
        <w:t>եւ</w:t>
      </w:r>
      <w:r w:rsidRPr="00D95643">
        <w:rPr>
          <w:rFonts w:ascii="Sylfaen" w:hAnsi="Sylfaen"/>
          <w:sz w:val="24"/>
          <w:szCs w:val="24"/>
        </w:rPr>
        <w:t xml:space="preserve"> այլ հեղուկ դեղաձ</w:t>
      </w:r>
      <w:r>
        <w:rPr>
          <w:rFonts w:ascii="Sylfaen" w:hAnsi="Sylfaen"/>
          <w:sz w:val="24"/>
          <w:szCs w:val="24"/>
        </w:rPr>
        <w:t>եւ</w:t>
      </w:r>
      <w:r w:rsidRPr="00D95643">
        <w:rPr>
          <w:rFonts w:ascii="Sylfaen" w:hAnsi="Sylfaen"/>
          <w:sz w:val="24"/>
          <w:szCs w:val="24"/>
        </w:rPr>
        <w:t xml:space="preserve">երի նշագրման համար, որոնք նախատեսված են ներքին ընդունման համար </w:t>
      </w:r>
      <w:r>
        <w:rPr>
          <w:rFonts w:ascii="Sylfaen" w:hAnsi="Sylfaen"/>
          <w:sz w:val="24"/>
          <w:szCs w:val="24"/>
        </w:rPr>
        <w:t>եւ</w:t>
      </w:r>
      <w:r w:rsidRPr="00D95643">
        <w:rPr>
          <w:rFonts w:ascii="Sylfaen" w:hAnsi="Sylfaen"/>
          <w:sz w:val="24"/>
          <w:szCs w:val="24"/>
        </w:rPr>
        <w:t xml:space="preserve"> դեղաչափվում են գդալներով։</w:t>
      </w:r>
    </w:p>
    <w:p w14:paraId="7ED0B12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Բուրավետ ջրեր</w:t>
      </w:r>
      <w:r w:rsidRPr="00D95643">
        <w:rPr>
          <w:rFonts w:ascii="Sylfaen" w:hAnsi="Sylfaen"/>
          <w:sz w:val="24"/>
          <w:szCs w:val="24"/>
        </w:rPr>
        <w:t>՝ որպես կանոն դեղատնային պատրաստման դեղաձ</w:t>
      </w:r>
      <w:r>
        <w:rPr>
          <w:rFonts w:ascii="Sylfaen" w:hAnsi="Sylfaen"/>
          <w:sz w:val="24"/>
          <w:szCs w:val="24"/>
        </w:rPr>
        <w:t>եւ</w:t>
      </w:r>
      <w:r w:rsidRPr="00D95643">
        <w:rPr>
          <w:rFonts w:ascii="Sylfaen" w:hAnsi="Sylfaen"/>
          <w:sz w:val="24"/>
          <w:szCs w:val="24"/>
        </w:rPr>
        <w:t>երի նշագրման համար, որոնք եթերայուղերի բաղադրիչներով հագեցած ջրային կամ ջրասպիրտային լուծույթներ են։</w:t>
      </w:r>
    </w:p>
    <w:p w14:paraId="272A212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Հեղուկներ</w:t>
      </w:r>
      <w:r w:rsidRPr="00D95643">
        <w:rPr>
          <w:rFonts w:ascii="Sylfaen" w:hAnsi="Sylfaen"/>
          <w:sz w:val="24"/>
          <w:szCs w:val="24"/>
        </w:rPr>
        <w:t>՝ առանց լուծիչի, որպես այդպիսին հեղուկ դեղագործական բաղադրամասի կամ հեղուկ դեղագործական բաղադրամասերի խառնուրդի տեսքով լուծույթների նշագրման համար։ Եզրույթը չպետք է կիրառվի բուսական, այդ թվում՝ ճարպային կամ եթերային կամ հանքային յուղերի, ինչպես նա</w:t>
      </w:r>
      <w:r>
        <w:rPr>
          <w:rFonts w:ascii="Sylfaen" w:hAnsi="Sylfaen"/>
          <w:sz w:val="24"/>
          <w:szCs w:val="24"/>
        </w:rPr>
        <w:t>եւ</w:t>
      </w:r>
      <w:r w:rsidRPr="00D95643">
        <w:rPr>
          <w:rFonts w:ascii="Sylfaen" w:hAnsi="Sylfaen"/>
          <w:sz w:val="24"/>
          <w:szCs w:val="24"/>
        </w:rPr>
        <w:t xml:space="preserve"> կենդանական ճարպերի համար։</w:t>
      </w:r>
    </w:p>
    <w:p w14:paraId="1645CCB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Եղունգների լաքեր դեղագործական</w:t>
      </w:r>
      <w:r w:rsidRPr="00D95643">
        <w:rPr>
          <w:rFonts w:ascii="Sylfaen" w:hAnsi="Sylfaen"/>
          <w:sz w:val="24"/>
          <w:szCs w:val="24"/>
        </w:rPr>
        <w:t>՝ ցնդող լուծիչների գոլորշիացումից հետո լաքային ծածկույթ ստանալու նպատակով եղնգային թիթեղի վրա քսելու համար նախատեսված՝ դեղագործական բաղադրամասերի անջուր լուծույթների տեսքով հեղուկ դեղաձ</w:t>
      </w:r>
      <w:r>
        <w:rPr>
          <w:rFonts w:ascii="Sylfaen" w:hAnsi="Sylfaen"/>
          <w:sz w:val="24"/>
          <w:szCs w:val="24"/>
        </w:rPr>
        <w:t>եւ</w:t>
      </w:r>
      <w:r w:rsidRPr="00D95643">
        <w:rPr>
          <w:rFonts w:ascii="Sylfaen" w:hAnsi="Sylfaen"/>
          <w:sz w:val="24"/>
          <w:szCs w:val="24"/>
        </w:rPr>
        <w:t>երի նշագրման համար։</w:t>
      </w:r>
    </w:p>
    <w:p w14:paraId="0ECBB7F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Հեղուկ սոսինձ (մաշկի սոսինձ, հեղուկ սպեղանի)</w:t>
      </w:r>
      <w:r w:rsidRPr="00D95643">
        <w:rPr>
          <w:rFonts w:ascii="Sylfaen" w:hAnsi="Sylfaen"/>
          <w:sz w:val="24"/>
          <w:szCs w:val="24"/>
        </w:rPr>
        <w:t>՝ ցնդող լուծիչների գոլորշիացումից հետո մաշկին կպչելու ունակությամբ օժտված թաղանթագոյացնող ծածկույթ ստանալու նպատակով արտաքին կիրառման համար նախատեսված՝ անջուր լուծույթների տեսքով հեղուկ դեղաձ</w:t>
      </w:r>
      <w:r>
        <w:rPr>
          <w:rFonts w:ascii="Sylfaen" w:hAnsi="Sylfaen"/>
          <w:sz w:val="24"/>
          <w:szCs w:val="24"/>
        </w:rPr>
        <w:t>եւ</w:t>
      </w:r>
      <w:r w:rsidRPr="00D95643">
        <w:rPr>
          <w:rFonts w:ascii="Sylfaen" w:hAnsi="Sylfaen"/>
          <w:sz w:val="24"/>
          <w:szCs w:val="24"/>
        </w:rPr>
        <w:t>երի նշագրման համար։</w:t>
      </w:r>
    </w:p>
    <w:p w14:paraId="385D41A4"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6CAC1248"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20464EF7"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ՏԵԽՆՈԼՈԳԻԱՅԻ ԱՌԱՆՁՆԱՀԱՏԿՈՒԹՅՈՒՆՆԵՐԸ</w:t>
      </w:r>
    </w:p>
    <w:p w14:paraId="4450287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Լուծույթներն ստանում են համապատասխան լուծիչում կամ լուծիչների խառնուրդում ակտիվ դեղագործական բաղադրամասերի </w:t>
      </w:r>
      <w:r>
        <w:rPr>
          <w:rFonts w:ascii="Sylfaen" w:hAnsi="Sylfaen"/>
          <w:sz w:val="24"/>
          <w:szCs w:val="24"/>
        </w:rPr>
        <w:t>եւ</w:t>
      </w:r>
      <w:r w:rsidRPr="00D95643">
        <w:rPr>
          <w:rFonts w:ascii="Sylfaen" w:hAnsi="Sylfaen"/>
          <w:sz w:val="24"/>
          <w:szCs w:val="24"/>
        </w:rPr>
        <w:t xml:space="preserve"> օժանդակ նյութերի լուծմամբ։</w:t>
      </w:r>
    </w:p>
    <w:p w14:paraId="522DCCD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Լուծիչները</w:t>
      </w:r>
      <w:r w:rsidRPr="00D95643">
        <w:rPr>
          <w:rFonts w:ascii="Sylfaen" w:hAnsi="Sylfaen"/>
          <w:sz w:val="24"/>
          <w:szCs w:val="24"/>
        </w:rPr>
        <w:t xml:space="preserve"> (լուծիչների խառնուրդները) ընտրում են՝ ելնելով ակտիվ դեղագործական բաղադրամասի (բաղադրամասերի) հատկություններից </w:t>
      </w:r>
      <w:r>
        <w:rPr>
          <w:rFonts w:ascii="Sylfaen" w:hAnsi="Sylfaen"/>
          <w:sz w:val="24"/>
          <w:szCs w:val="24"/>
        </w:rPr>
        <w:t>եւ</w:t>
      </w:r>
      <w:r w:rsidRPr="00D95643">
        <w:rPr>
          <w:rFonts w:ascii="Sylfaen" w:hAnsi="Sylfaen"/>
          <w:sz w:val="24"/>
          <w:szCs w:val="24"/>
        </w:rPr>
        <w:t xml:space="preserve"> բնույթից՝ լուծիչի </w:t>
      </w:r>
      <w:r>
        <w:rPr>
          <w:rFonts w:ascii="Sylfaen" w:hAnsi="Sylfaen"/>
          <w:sz w:val="24"/>
          <w:szCs w:val="24"/>
        </w:rPr>
        <w:t>եւ</w:t>
      </w:r>
      <w:r w:rsidRPr="00D95643">
        <w:rPr>
          <w:rFonts w:ascii="Sylfaen" w:hAnsi="Sylfaen"/>
          <w:sz w:val="24"/>
          <w:szCs w:val="24"/>
        </w:rPr>
        <w:t xml:space="preserve"> ազդող նյութի (նյութերի) միջ</w:t>
      </w:r>
      <w:r>
        <w:rPr>
          <w:rFonts w:ascii="Sylfaen" w:hAnsi="Sylfaen"/>
          <w:sz w:val="24"/>
          <w:szCs w:val="24"/>
        </w:rPr>
        <w:t>եւ</w:t>
      </w:r>
      <w:r w:rsidRPr="00D95643">
        <w:rPr>
          <w:rFonts w:ascii="Sylfaen" w:hAnsi="Sylfaen"/>
          <w:sz w:val="24"/>
          <w:szCs w:val="24"/>
        </w:rPr>
        <w:t xml:space="preserve"> հնարավոր քիմիական </w:t>
      </w:r>
      <w:r>
        <w:rPr>
          <w:rFonts w:ascii="Sylfaen" w:hAnsi="Sylfaen"/>
          <w:sz w:val="24"/>
          <w:szCs w:val="24"/>
        </w:rPr>
        <w:t>եւ</w:t>
      </w:r>
      <w:r w:rsidRPr="00D95643">
        <w:rPr>
          <w:rFonts w:ascii="Sylfaen" w:hAnsi="Sylfaen"/>
          <w:sz w:val="24"/>
          <w:szCs w:val="24"/>
        </w:rPr>
        <w:t xml:space="preserve"> ֆիզիկաքիմիական փոխազդեցության բացակայության ապահովման համար։ Լուծիչը (լուծիչների խառնուրդները) չպետք է ազդեցություն գործի (գործեն) ազդող նյութի (նյութերի) դեղագործական ակտիվության վրա։</w:t>
      </w:r>
    </w:p>
    <w:p w14:paraId="42189CB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Ջրային լուծույթների ստացման համար որպես հիմնական լուծիչ օգտագործում են </w:t>
      </w:r>
      <w:r w:rsidRPr="00D95643">
        <w:rPr>
          <w:rFonts w:ascii="Sylfaen" w:hAnsi="Sylfaen"/>
          <w:i/>
          <w:sz w:val="24"/>
          <w:szCs w:val="24"/>
        </w:rPr>
        <w:t>Մաքրած ջուր</w:t>
      </w:r>
      <w:r w:rsidRPr="00D95643">
        <w:rPr>
          <w:rFonts w:ascii="Sylfaen" w:hAnsi="Sylfaen"/>
          <w:sz w:val="24"/>
          <w:szCs w:val="24"/>
        </w:rPr>
        <w:t xml:space="preserve"> մասնավոր դեղագրքային հոդվածի պահանջներին համապատասխանող մաքրած ջուրը կամ </w:t>
      </w:r>
      <w:r w:rsidRPr="00D95643">
        <w:rPr>
          <w:rFonts w:ascii="Sylfaen" w:hAnsi="Sylfaen"/>
          <w:i/>
          <w:sz w:val="24"/>
          <w:szCs w:val="24"/>
        </w:rPr>
        <w:t>Ներարկումների համար նախատեսված ջուր</w:t>
      </w:r>
      <w:r w:rsidRPr="00D95643">
        <w:rPr>
          <w:rFonts w:ascii="Sylfaen" w:hAnsi="Sylfaen"/>
          <w:sz w:val="24"/>
          <w:szCs w:val="24"/>
        </w:rPr>
        <w:t xml:space="preserve"> մասնավոր դեղագրքային հոդվածի պահանջներին համապատասխանող՝ ներարկումների համար նախատեսված ջուրը։</w:t>
      </w:r>
    </w:p>
    <w:p w14:paraId="453FEF7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pacing w:val="-4"/>
          <w:sz w:val="24"/>
          <w:szCs w:val="24"/>
        </w:rPr>
        <w:t xml:space="preserve">Ցողման համար նախատեսված լուծույթները պարունակում են ազդող նյութեր, որոնք, որպես կանոն, </w:t>
      </w:r>
      <w:r w:rsidRPr="00D95643">
        <w:rPr>
          <w:rFonts w:ascii="Sylfaen" w:hAnsi="Sylfaen"/>
          <w:i/>
          <w:spacing w:val="-4"/>
          <w:sz w:val="24"/>
          <w:szCs w:val="24"/>
        </w:rPr>
        <w:t>Ներարկումների համար նախատեսված ջուր</w:t>
      </w:r>
      <w:r w:rsidRPr="00D95643">
        <w:rPr>
          <w:rFonts w:ascii="Sylfaen" w:hAnsi="Sylfaen"/>
          <w:spacing w:val="-4"/>
          <w:sz w:val="24"/>
          <w:szCs w:val="24"/>
        </w:rPr>
        <w:t xml:space="preserve"> մասնավոր դեղագրքային հոդվածի պահանջներին համապատասխանող՝ ներարկումների համար նախատեսված ջրում լուծված էլեկտրոլիտներ են կամ օսմոտիկ ազդող նյութեր։ Մի շարք դեպքերում ցողման համար նախատեսված լուծույթը կարող է</w:t>
      </w:r>
      <w:r w:rsidRPr="00D95643">
        <w:rPr>
          <w:rFonts w:ascii="Sylfaen" w:hAnsi="Sylfaen"/>
          <w:sz w:val="24"/>
          <w:szCs w:val="24"/>
        </w:rPr>
        <w:t xml:space="preserve"> բաղկացած լինել միայն ներարկումների համար նախատեսված ջրից։</w:t>
      </w:r>
    </w:p>
    <w:p w14:paraId="40D1A44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Անջուր լուծույթներում հիմնական լուծիչները տարբեր կոնցենտրացիաների էթանոլն է, բուսական ճարպայուղերը, վազելինային յուղը, գլիցերինը </w:t>
      </w:r>
      <w:r>
        <w:rPr>
          <w:rFonts w:ascii="Sylfaen" w:hAnsi="Sylfaen"/>
          <w:sz w:val="24"/>
          <w:szCs w:val="24"/>
        </w:rPr>
        <w:t>եւ</w:t>
      </w:r>
      <w:r w:rsidRPr="00D95643">
        <w:rPr>
          <w:rFonts w:ascii="Sylfaen" w:hAnsi="Sylfaen"/>
          <w:sz w:val="24"/>
          <w:szCs w:val="24"/>
        </w:rPr>
        <w:t xml:space="preserve"> այլն։</w:t>
      </w:r>
    </w:p>
    <w:p w14:paraId="45983D0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Սպիրտային լուծույթներ ստանալու համար որպես հիմնական լուծիչ օգտագործում են էթանոլը։</w:t>
      </w:r>
    </w:p>
    <w:p w14:paraId="7C699AA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Լուծույթների պատրաստման/արտադրման ժամանակ որպես </w:t>
      </w:r>
      <w:r w:rsidRPr="00D95643">
        <w:rPr>
          <w:rFonts w:ascii="Sylfaen" w:hAnsi="Sylfaen"/>
          <w:i/>
          <w:sz w:val="24"/>
          <w:szCs w:val="24"/>
        </w:rPr>
        <w:t>օժանդակ նյութեր</w:t>
      </w:r>
      <w:r w:rsidRPr="00D95643">
        <w:rPr>
          <w:rFonts w:ascii="Sylfaen" w:hAnsi="Sylfaen"/>
          <w:sz w:val="24"/>
          <w:szCs w:val="24"/>
        </w:rPr>
        <w:t xml:space="preserve"> կարող են օգտագործվել համապատասխան հակամանրէային </w:t>
      </w:r>
      <w:r w:rsidRPr="00D95643">
        <w:rPr>
          <w:rFonts w:ascii="Sylfaen" w:hAnsi="Sylfaen"/>
          <w:sz w:val="24"/>
          <w:szCs w:val="24"/>
        </w:rPr>
        <w:lastRenderedPageBreak/>
        <w:t xml:space="preserve">կոնսերվանտներ, հակաօքսիդիչներ, կայունարարներ, սոլյուբիլիզատորներ, համալուծիչներ, կորրիգենտներ </w:t>
      </w:r>
      <w:r>
        <w:rPr>
          <w:rFonts w:ascii="Sylfaen" w:hAnsi="Sylfaen"/>
          <w:sz w:val="24"/>
          <w:szCs w:val="24"/>
        </w:rPr>
        <w:t>եւ</w:t>
      </w:r>
      <w:r w:rsidRPr="00D95643">
        <w:rPr>
          <w:rFonts w:ascii="Sylfaen" w:hAnsi="Sylfaen"/>
          <w:sz w:val="24"/>
          <w:szCs w:val="24"/>
        </w:rPr>
        <w:t xml:space="preserve"> այլ օժանդակ նյութեր, որոնք թույլատրված են բժշկական կիրառման համար։</w:t>
      </w:r>
    </w:p>
    <w:p w14:paraId="7A5E7DC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Օժանդակ նյութերը չպետք է բացասաբար ազդեն դեղաձ</w:t>
      </w:r>
      <w:r>
        <w:rPr>
          <w:rFonts w:ascii="Sylfaen" w:hAnsi="Sylfaen"/>
          <w:sz w:val="24"/>
          <w:szCs w:val="24"/>
        </w:rPr>
        <w:t>եւ</w:t>
      </w:r>
      <w:r w:rsidRPr="00D95643">
        <w:rPr>
          <w:rFonts w:ascii="Sylfaen" w:hAnsi="Sylfaen"/>
          <w:sz w:val="24"/>
          <w:szCs w:val="24"/>
        </w:rPr>
        <w:t>ում դեղապատրաստուկի հայտարարված թերապ</w:t>
      </w:r>
      <w:r>
        <w:rPr>
          <w:rFonts w:ascii="Sylfaen" w:hAnsi="Sylfaen"/>
          <w:sz w:val="24"/>
          <w:szCs w:val="24"/>
        </w:rPr>
        <w:t>եւ</w:t>
      </w:r>
      <w:r w:rsidRPr="00D95643">
        <w:rPr>
          <w:rFonts w:ascii="Sylfaen" w:hAnsi="Sylfaen"/>
          <w:sz w:val="24"/>
          <w:szCs w:val="24"/>
        </w:rPr>
        <w:t>տիկ ազդեցության վրա, չպետք է առաջացնեն տեղային գրգռվածություն օգտագործվող կոնցենտրացիաներով։</w:t>
      </w:r>
    </w:p>
    <w:p w14:paraId="160B892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Լուծույթներ ստանալիս, որպես կանոն, օգտագործում են պատրաստման զանգվածածավալային եղանակը։ Լուծույթները կարող են նա</w:t>
      </w:r>
      <w:r>
        <w:rPr>
          <w:rFonts w:ascii="Sylfaen" w:hAnsi="Sylfaen"/>
          <w:sz w:val="24"/>
          <w:szCs w:val="24"/>
        </w:rPr>
        <w:t>եւ</w:t>
      </w:r>
      <w:r w:rsidRPr="00D95643">
        <w:rPr>
          <w:rFonts w:ascii="Sylfaen" w:hAnsi="Sylfaen"/>
          <w:sz w:val="24"/>
          <w:szCs w:val="24"/>
        </w:rPr>
        <w:t xml:space="preserve"> ստացվել ըստ զանգվածի կամ ըստ ծավալի՝ պայմանավորված ակտիվ դեղագործական բաղադրամասերի </w:t>
      </w:r>
      <w:r>
        <w:rPr>
          <w:rFonts w:ascii="Sylfaen" w:hAnsi="Sylfaen"/>
          <w:sz w:val="24"/>
          <w:szCs w:val="24"/>
        </w:rPr>
        <w:t>եւ</w:t>
      </w:r>
      <w:r w:rsidRPr="00D95643">
        <w:rPr>
          <w:rFonts w:ascii="Sylfaen" w:hAnsi="Sylfaen"/>
          <w:sz w:val="24"/>
          <w:szCs w:val="24"/>
        </w:rPr>
        <w:t xml:space="preserve"> լուծիչի բնույթով (մածուցիկ, ցնդող լուծիչներ </w:t>
      </w:r>
      <w:r>
        <w:rPr>
          <w:rFonts w:ascii="Sylfaen" w:hAnsi="Sylfaen"/>
          <w:sz w:val="24"/>
          <w:szCs w:val="24"/>
        </w:rPr>
        <w:t>եւ</w:t>
      </w:r>
      <w:r w:rsidRPr="00D95643">
        <w:rPr>
          <w:rFonts w:ascii="Sylfaen" w:hAnsi="Sylfaen"/>
          <w:sz w:val="24"/>
          <w:szCs w:val="24"/>
        </w:rPr>
        <w:t xml:space="preserve"> այլն)։</w:t>
      </w:r>
    </w:p>
    <w:p w14:paraId="5399FCA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Ազդող նյութերի պարունակությունը լուծույթում արտահայտում են տոկոսային կոնցենտրացիայով կամ զանգվածային կոնցենտրացիայով։</w:t>
      </w:r>
    </w:p>
    <w:p w14:paraId="557F72A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Լուծույթներ ստանալիս ջուրը </w:t>
      </w:r>
      <w:r>
        <w:rPr>
          <w:rFonts w:ascii="Sylfaen" w:hAnsi="Sylfaen"/>
          <w:sz w:val="24"/>
          <w:szCs w:val="24"/>
        </w:rPr>
        <w:t>եւ</w:t>
      </w:r>
      <w:r w:rsidRPr="00D95643">
        <w:rPr>
          <w:rFonts w:ascii="Sylfaen" w:hAnsi="Sylfaen"/>
          <w:sz w:val="24"/>
          <w:szCs w:val="24"/>
        </w:rPr>
        <w:t xml:space="preserve"> խտությամբ ջրին մոտիկ ջրային լուծույթները (որոնց խտությունը, որպես կանոն, 0,95 գ/սմ</w:t>
      </w:r>
      <w:r w:rsidRPr="00D95643">
        <w:rPr>
          <w:rFonts w:ascii="Sylfaen" w:hAnsi="Sylfaen"/>
          <w:sz w:val="24"/>
          <w:szCs w:val="24"/>
          <w:vertAlign w:val="superscript"/>
        </w:rPr>
        <w:t>3</w:t>
      </w:r>
      <w:r w:rsidRPr="00D95643">
        <w:rPr>
          <w:rFonts w:ascii="Sylfaen" w:hAnsi="Sylfaen"/>
          <w:sz w:val="24"/>
          <w:szCs w:val="24"/>
        </w:rPr>
        <w:t>-ից մինչ</w:t>
      </w:r>
      <w:r>
        <w:rPr>
          <w:rFonts w:ascii="Sylfaen" w:hAnsi="Sylfaen"/>
          <w:sz w:val="24"/>
          <w:szCs w:val="24"/>
        </w:rPr>
        <w:t>եւ</w:t>
      </w:r>
      <w:r w:rsidRPr="00D95643">
        <w:rPr>
          <w:rFonts w:ascii="Sylfaen" w:hAnsi="Sylfaen"/>
          <w:sz w:val="24"/>
          <w:szCs w:val="24"/>
        </w:rPr>
        <w:t xml:space="preserve"> 1,05 գ/սմ</w:t>
      </w:r>
      <w:r w:rsidRPr="00D95643">
        <w:rPr>
          <w:rFonts w:ascii="Sylfaen" w:hAnsi="Sylfaen"/>
          <w:sz w:val="24"/>
          <w:szCs w:val="24"/>
          <w:vertAlign w:val="superscript"/>
        </w:rPr>
        <w:t>3</w:t>
      </w:r>
      <w:r w:rsidRPr="00D95643">
        <w:rPr>
          <w:rFonts w:ascii="Sylfaen" w:hAnsi="Sylfaen"/>
          <w:sz w:val="24"/>
          <w:szCs w:val="24"/>
        </w:rPr>
        <w:t xml:space="preserve"> է) չափվում են. պինդ նյութերը (ակտիվ դեղագործական բաղադրամասերը </w:t>
      </w:r>
      <w:r>
        <w:rPr>
          <w:rFonts w:ascii="Sylfaen" w:hAnsi="Sylfaen"/>
          <w:sz w:val="24"/>
          <w:szCs w:val="24"/>
        </w:rPr>
        <w:t>եւ</w:t>
      </w:r>
      <w:r w:rsidRPr="00D95643">
        <w:rPr>
          <w:rFonts w:ascii="Sylfaen" w:hAnsi="Sylfaen"/>
          <w:sz w:val="24"/>
          <w:szCs w:val="24"/>
        </w:rPr>
        <w:t xml:space="preserve"> օժանդակ նյութերը), ինչպես նա</w:t>
      </w:r>
      <w:r>
        <w:rPr>
          <w:rFonts w:ascii="Sylfaen" w:hAnsi="Sylfaen"/>
          <w:sz w:val="24"/>
          <w:szCs w:val="24"/>
        </w:rPr>
        <w:t>եւ</w:t>
      </w:r>
      <w:r w:rsidRPr="00D95643">
        <w:rPr>
          <w:rFonts w:ascii="Sylfaen" w:hAnsi="Sylfaen"/>
          <w:sz w:val="24"/>
          <w:szCs w:val="24"/>
        </w:rPr>
        <w:t xml:space="preserve"> լուծիչները </w:t>
      </w:r>
      <w:r>
        <w:rPr>
          <w:rFonts w:ascii="Sylfaen" w:hAnsi="Sylfaen"/>
          <w:sz w:val="24"/>
          <w:szCs w:val="24"/>
        </w:rPr>
        <w:t>եւ</w:t>
      </w:r>
      <w:r w:rsidRPr="00D95643">
        <w:rPr>
          <w:rFonts w:ascii="Sylfaen" w:hAnsi="Sylfaen"/>
          <w:sz w:val="24"/>
          <w:szCs w:val="24"/>
        </w:rPr>
        <w:t xml:space="preserve"> լուծույթները, որոնց խտությունը (1 ± 0,05) գ/սմ</w:t>
      </w:r>
      <w:r w:rsidRPr="00D95643">
        <w:rPr>
          <w:rFonts w:ascii="Sylfaen" w:hAnsi="Sylfaen"/>
          <w:sz w:val="24"/>
          <w:szCs w:val="24"/>
          <w:vertAlign w:val="superscript"/>
        </w:rPr>
        <w:t>3</w:t>
      </w:r>
      <w:r w:rsidRPr="00D95643">
        <w:rPr>
          <w:rFonts w:ascii="Sylfaen" w:hAnsi="Sylfaen"/>
          <w:sz w:val="24"/>
          <w:szCs w:val="24"/>
        </w:rPr>
        <w:t>-ից ավել է կամ պակաս, կշռվում են։</w:t>
      </w:r>
    </w:p>
    <w:p w14:paraId="155F646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Բարձրամոլեկուլյար միացությունների լուծույթներ ստանալիս հաշվի են առնում ակտիվ դեղագործական բաղադրամասի (բաղադրամասերի) բնույթը։ Անսահմանափակ ուռչող բարձրամոլեկուլյար միացությունների լուծույթները (պեպսին, տրիպսին </w:t>
      </w:r>
      <w:r>
        <w:rPr>
          <w:rFonts w:ascii="Sylfaen" w:hAnsi="Sylfaen"/>
          <w:sz w:val="24"/>
          <w:szCs w:val="24"/>
        </w:rPr>
        <w:t>եւ</w:t>
      </w:r>
      <w:r w:rsidRPr="00D95643">
        <w:rPr>
          <w:rFonts w:ascii="Sylfaen" w:hAnsi="Sylfaen"/>
          <w:sz w:val="24"/>
          <w:szCs w:val="24"/>
        </w:rPr>
        <w:t xml:space="preserve"> այլն) ստանում են լուծույթների պատրաստման ընդհանուր կանոններով։ Սահմանափակ ուռչող բարձրամոլեկուլյար միացությունների (ժելատին, օսլա, մեթիլցելյուլոզ </w:t>
      </w:r>
      <w:r>
        <w:rPr>
          <w:rFonts w:ascii="Sylfaen" w:hAnsi="Sylfaen"/>
          <w:sz w:val="24"/>
          <w:szCs w:val="24"/>
        </w:rPr>
        <w:t>եւ</w:t>
      </w:r>
      <w:r w:rsidRPr="00D95643">
        <w:rPr>
          <w:rFonts w:ascii="Sylfaen" w:hAnsi="Sylfaen"/>
          <w:sz w:val="24"/>
          <w:szCs w:val="24"/>
        </w:rPr>
        <w:t xml:space="preserve"> այլն) լուծումը, որպես կանոն, ընթանում է դրանց նախնական ուռչելուն </w:t>
      </w:r>
      <w:r>
        <w:rPr>
          <w:rFonts w:ascii="Sylfaen" w:hAnsi="Sylfaen"/>
          <w:sz w:val="24"/>
          <w:szCs w:val="24"/>
        </w:rPr>
        <w:t>եւ</w:t>
      </w:r>
      <w:r w:rsidRPr="00D95643">
        <w:rPr>
          <w:rFonts w:ascii="Sylfaen" w:hAnsi="Sylfaen"/>
          <w:sz w:val="24"/>
          <w:szCs w:val="24"/>
        </w:rPr>
        <w:t xml:space="preserve"> հետագա լուծվելուն նպաստող որոշակի պայմաններում։ Ուռչելու փուլում այդ պայմանները նախատեսում են լուծիչի որոշակի ծավալ, ջերմաստիճանային ռեժիմ, ուռչելու ժամանակ </w:t>
      </w:r>
      <w:r>
        <w:rPr>
          <w:rFonts w:ascii="Sylfaen" w:hAnsi="Sylfaen"/>
          <w:sz w:val="24"/>
          <w:szCs w:val="24"/>
        </w:rPr>
        <w:t>եւ</w:t>
      </w:r>
      <w:r w:rsidRPr="00D95643">
        <w:rPr>
          <w:rFonts w:ascii="Sylfaen" w:hAnsi="Sylfaen"/>
          <w:sz w:val="24"/>
          <w:szCs w:val="24"/>
        </w:rPr>
        <w:t xml:space="preserve"> այն պայմանների պահպանում, որոնք ապահովում են ուռած բարձրամոլեկուլյար միացությունների անցումը լուծույթի (տաքացում կամ պաղեցում)։</w:t>
      </w:r>
    </w:p>
    <w:p w14:paraId="079B086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Կոլոիդային միացությունների լուծույթներ (պրոտարգոլ, կոլլարգոլ) ստանալիս օգտագործում են կոլոիդային մասնիկների հիդրատացումն ապահովող լրացուցիչ տեխնոլոգիական գործողություններ։</w:t>
      </w:r>
    </w:p>
    <w:p w14:paraId="619D1F9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Յուղային </w:t>
      </w:r>
      <w:r>
        <w:rPr>
          <w:rFonts w:ascii="Sylfaen" w:hAnsi="Sylfaen"/>
          <w:sz w:val="24"/>
          <w:szCs w:val="24"/>
        </w:rPr>
        <w:t>եւ</w:t>
      </w:r>
      <w:r w:rsidRPr="00D95643">
        <w:rPr>
          <w:rFonts w:ascii="Sylfaen" w:hAnsi="Sylfaen"/>
          <w:sz w:val="24"/>
          <w:szCs w:val="24"/>
        </w:rPr>
        <w:t xml:space="preserve"> գլիցերինային լուծույթներ ստանալիս ակտիվ դեղագործական բաղադրամասերի </w:t>
      </w:r>
      <w:r>
        <w:rPr>
          <w:rFonts w:ascii="Sylfaen" w:hAnsi="Sylfaen"/>
          <w:sz w:val="24"/>
          <w:szCs w:val="24"/>
        </w:rPr>
        <w:t>եւ</w:t>
      </w:r>
      <w:r w:rsidRPr="00D95643">
        <w:rPr>
          <w:rFonts w:ascii="Sylfaen" w:hAnsi="Sylfaen"/>
          <w:sz w:val="24"/>
          <w:szCs w:val="24"/>
        </w:rPr>
        <w:t xml:space="preserve"> օժանդակ նյութերի լուծման արագությունն ավելացնելու համար օգտագործում են տաքացում։</w:t>
      </w:r>
    </w:p>
    <w:p w14:paraId="63D2DAF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Սպիրտային լուծույթների ստացումը չի ենթադրում տաքացում։</w:t>
      </w:r>
    </w:p>
    <w:p w14:paraId="2B265AF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Բուրավետ ջրերը կարող են ստացվել տարբեր եղանակներով՝ ջրային գոլորշու հետ եթերայուղային դեղաբուսական հումքի թորմամբ, ջրում եթերայուղի լուծմամբ կամ կոնցենտրատների նոսրացմամբ։ Բուրավետ ջրերի կայունացման բարձրացման համար դրանց բաղադրությանը կարող է ավելացվել էթանոլ։</w:t>
      </w:r>
    </w:p>
    <w:p w14:paraId="797D9D6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Լուծույթներ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 ստանալիս սահմանված դեպքերում պետք է ձեռնարկվեն դրանց միկրոկենսաբանական մաքրությունն ապահովող միջոցներ, օրինակ՝ պարենտերալ, ակնաբուժական կիրառման համար լուծույթներ, դիալիզի համար լուծույթներ, ցողման համար լուծույթներ </w:t>
      </w:r>
      <w:r>
        <w:rPr>
          <w:rFonts w:ascii="Sylfaen" w:hAnsi="Sylfaen"/>
          <w:sz w:val="24"/>
          <w:szCs w:val="24"/>
        </w:rPr>
        <w:t>եւ</w:t>
      </w:r>
      <w:r w:rsidRPr="00D95643">
        <w:rPr>
          <w:rFonts w:ascii="Sylfaen" w:hAnsi="Sylfaen"/>
          <w:sz w:val="24"/>
          <w:szCs w:val="24"/>
        </w:rPr>
        <w:t xml:space="preserve"> այլ լուծույթներ ստանալիս պետք է ձեռնարկվեն դրանց մանրէազերծությունն ապահովող միջոցներ։</w:t>
      </w:r>
    </w:p>
    <w:p w14:paraId="630BB402" w14:textId="77777777" w:rsidR="003A4194" w:rsidRPr="00D95643" w:rsidRDefault="003A4194" w:rsidP="003A4194">
      <w:pPr>
        <w:spacing w:after="160" w:line="360" w:lineRule="auto"/>
        <w:ind w:firstLine="567"/>
        <w:jc w:val="both"/>
      </w:pPr>
      <w:r w:rsidRPr="00D95643">
        <w:t>Լուծույթները կարող են թողարկվել կիրառման համար պատրաստ կամ կարող են պատրաստվել կիրառումից անմիջապես առաջ՝ փոշիներից, գրանուլներից, դեղահաբերից կամ լիոֆիլիզատներից վերականգնված դեղաձ</w:t>
      </w:r>
      <w:r>
        <w:t>եւ</w:t>
      </w:r>
      <w:r w:rsidRPr="00D95643">
        <w:t>երի տեսքով, որոնք նախատեսված են համապատասխան լուծիչներում լուծման եղանակով լուծույթներ պատրաստելու համար։</w:t>
      </w:r>
    </w:p>
    <w:p w14:paraId="530590D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Նոսրացված դեղաձ</w:t>
      </w:r>
      <w:r>
        <w:rPr>
          <w:rFonts w:ascii="Sylfaen" w:hAnsi="Sylfaen"/>
          <w:sz w:val="24"/>
          <w:szCs w:val="24"/>
        </w:rPr>
        <w:t>եւ</w:t>
      </w:r>
      <w:r w:rsidRPr="00D95643">
        <w:rPr>
          <w:rFonts w:ascii="Sylfaen" w:hAnsi="Sylfaen"/>
          <w:sz w:val="24"/>
          <w:szCs w:val="24"/>
        </w:rPr>
        <w:t>ով լուծույթները կարող են պատրաստվել այն կոնցենտրատներից, որոնք նախատեսված են համապատասխան լուծիչի մեջ մինչ</w:t>
      </w:r>
      <w:r>
        <w:rPr>
          <w:rFonts w:ascii="Sylfaen" w:hAnsi="Sylfaen"/>
          <w:sz w:val="24"/>
          <w:szCs w:val="24"/>
        </w:rPr>
        <w:t>եւ</w:t>
      </w:r>
      <w:r w:rsidRPr="00D95643">
        <w:rPr>
          <w:rFonts w:ascii="Sylfaen" w:hAnsi="Sylfaen"/>
          <w:sz w:val="24"/>
          <w:szCs w:val="24"/>
        </w:rPr>
        <w:t xml:space="preserve"> պահանջվող կոնցենտրացիան լուծելուց (նոսրացնելուց) հետո լուծույթների ստացման համար։</w:t>
      </w:r>
    </w:p>
    <w:p w14:paraId="1793237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02C5248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ՓՈՐՁԱՐԿՈՒՄՆԵՐԸ</w:t>
      </w:r>
    </w:p>
    <w:p w14:paraId="60178977" w14:textId="77777777" w:rsidR="003A4194" w:rsidRPr="00D95643" w:rsidRDefault="003A4194" w:rsidP="003A4194">
      <w:pPr>
        <w:pStyle w:val="a0"/>
        <w:shd w:val="clear" w:color="auto" w:fill="auto"/>
        <w:spacing w:after="160" w:line="360" w:lineRule="auto"/>
        <w:ind w:firstLine="567"/>
        <w:jc w:val="both"/>
        <w:rPr>
          <w:rFonts w:ascii="Sylfaen" w:hAnsi="Sylfaen"/>
          <w:i/>
          <w:sz w:val="24"/>
          <w:szCs w:val="24"/>
        </w:rPr>
      </w:pPr>
      <w:r w:rsidRPr="00D95643">
        <w:rPr>
          <w:rFonts w:ascii="Sylfaen" w:hAnsi="Sylfaen"/>
          <w:sz w:val="24"/>
          <w:szCs w:val="24"/>
        </w:rPr>
        <w:t xml:space="preserve">Լուծույթները պետք է համապատասխանեն </w:t>
      </w:r>
      <w:r w:rsidRPr="00803B34">
        <w:rPr>
          <w:rFonts w:ascii="Sylfaen" w:hAnsi="Sylfaen"/>
          <w:i/>
          <w:sz w:val="24"/>
          <w:szCs w:val="24"/>
        </w:rPr>
        <w:t xml:space="preserve">2.5.1.1.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0201711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Պարենտերալ կիրառման համար նախատեսված՝ </w:t>
      </w:r>
      <w:r w:rsidRPr="00D95643">
        <w:rPr>
          <w:rFonts w:ascii="Sylfaen" w:hAnsi="Sylfaen"/>
          <w:i/>
          <w:sz w:val="24"/>
          <w:szCs w:val="24"/>
        </w:rPr>
        <w:t>Լուծույթներ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պետք է համապատասխանեն </w:t>
      </w:r>
      <w:r w:rsidRPr="00D95643">
        <w:rPr>
          <w:rFonts w:ascii="Sylfaen" w:hAnsi="Sylfaen"/>
          <w:i/>
          <w:sz w:val="24"/>
          <w:szCs w:val="24"/>
        </w:rPr>
        <w:t xml:space="preserve">2.5.3.4. Պարենտերալ կիրառման համար նախատեսված դեղապատրաստուկներ </w:t>
      </w:r>
      <w:r w:rsidRPr="00D95643">
        <w:rPr>
          <w:rFonts w:ascii="Sylfaen" w:hAnsi="Sylfaen"/>
          <w:sz w:val="24"/>
          <w:szCs w:val="24"/>
        </w:rPr>
        <w:t>ընդհանուր դեղագրքային հոդվածի պահանջներին։</w:t>
      </w:r>
    </w:p>
    <w:p w14:paraId="0C5BC46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Ակնաբուժական կիրառման համար նախատեսված՝ </w:t>
      </w:r>
      <w:r w:rsidRPr="00D95643">
        <w:rPr>
          <w:rFonts w:ascii="Sylfaen" w:hAnsi="Sylfaen"/>
          <w:i/>
          <w:sz w:val="24"/>
          <w:szCs w:val="24"/>
        </w:rPr>
        <w:t>Լուծույթներ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(աչքի կաթիլներ, աչքերը լվանալու լուծույթներ </w:t>
      </w:r>
      <w:r>
        <w:rPr>
          <w:rFonts w:ascii="Sylfaen" w:hAnsi="Sylfaen"/>
          <w:sz w:val="24"/>
          <w:szCs w:val="24"/>
        </w:rPr>
        <w:t>եւ</w:t>
      </w:r>
      <w:r w:rsidRPr="00D95643">
        <w:rPr>
          <w:rFonts w:ascii="Sylfaen" w:hAnsi="Sylfaen"/>
          <w:sz w:val="24"/>
          <w:szCs w:val="24"/>
        </w:rPr>
        <w:t xml:space="preserve"> այլն) պետք է համապատասխանեն </w:t>
      </w:r>
      <w:r w:rsidRPr="00D95643">
        <w:rPr>
          <w:rFonts w:ascii="Sylfaen" w:hAnsi="Sylfaen"/>
          <w:i/>
          <w:sz w:val="24"/>
          <w:szCs w:val="24"/>
        </w:rPr>
        <w:t xml:space="preserve">2.5.3.3. Ակնաբուժական կիրառման համար նախատեսված դեղապատրաստուկներ </w:t>
      </w:r>
      <w:r w:rsidRPr="00D95643">
        <w:rPr>
          <w:rFonts w:ascii="Sylfaen" w:hAnsi="Sylfaen"/>
          <w:sz w:val="24"/>
          <w:szCs w:val="24"/>
        </w:rPr>
        <w:t>ընդհանուր դեղագրքային հոդվածի պահանջներին։</w:t>
      </w:r>
    </w:p>
    <w:p w14:paraId="3789E5A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Ինհալացիոն կիրառման համար նախատեսված՝ </w:t>
      </w:r>
      <w:r w:rsidRPr="00D95643">
        <w:rPr>
          <w:rFonts w:ascii="Sylfaen" w:hAnsi="Sylfaen"/>
          <w:i/>
          <w:sz w:val="24"/>
          <w:szCs w:val="24"/>
        </w:rPr>
        <w:t>Լուծույթներ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պետք է համապատասխանեն </w:t>
      </w:r>
      <w:r w:rsidRPr="00D95643">
        <w:rPr>
          <w:rFonts w:ascii="Sylfaen" w:hAnsi="Sylfaen"/>
          <w:i/>
          <w:sz w:val="24"/>
          <w:szCs w:val="24"/>
        </w:rPr>
        <w:t xml:space="preserve">2.5.3.2. Ինհալացիոն կիրառման համար նախատեսված դեղապատրաստուկներ </w:t>
      </w:r>
      <w:r w:rsidRPr="00D95643">
        <w:rPr>
          <w:rFonts w:ascii="Sylfaen" w:hAnsi="Sylfaen"/>
          <w:sz w:val="24"/>
          <w:szCs w:val="24"/>
        </w:rPr>
        <w:t>ընդհանուր դեղագրքային հոդվածի պահանջներին։</w:t>
      </w:r>
    </w:p>
    <w:p w14:paraId="403D1B4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Լուծույթների պատրաստման համար նախատեսված՝ փոշիների, դեղահաբերի, գրանուլների, լիոֆիլիզատների, կոնցենտրատների տեսքով դեղաձ</w:t>
      </w:r>
      <w:r>
        <w:rPr>
          <w:rFonts w:ascii="Sylfaen" w:hAnsi="Sylfaen"/>
          <w:sz w:val="24"/>
          <w:szCs w:val="24"/>
        </w:rPr>
        <w:t>եւ</w:t>
      </w:r>
      <w:r w:rsidRPr="00D95643">
        <w:rPr>
          <w:rFonts w:ascii="Sylfaen" w:hAnsi="Sylfaen"/>
          <w:sz w:val="24"/>
          <w:szCs w:val="24"/>
        </w:rPr>
        <w:t>երը պետք է բավարարեն հետ</w:t>
      </w:r>
      <w:r>
        <w:rPr>
          <w:rFonts w:ascii="Sylfaen" w:hAnsi="Sylfaen"/>
          <w:sz w:val="24"/>
          <w:szCs w:val="24"/>
        </w:rPr>
        <w:t>եւ</w:t>
      </w:r>
      <w:r w:rsidRPr="00D95643">
        <w:rPr>
          <w:rFonts w:ascii="Sylfaen" w:hAnsi="Sylfaen"/>
          <w:sz w:val="24"/>
          <w:szCs w:val="24"/>
        </w:rPr>
        <w:t xml:space="preserve">յալ համապատասխան ընդհանուր դեղագրքային հոդվածների պահանջները՝ </w:t>
      </w:r>
      <w:r w:rsidRPr="00D95643">
        <w:rPr>
          <w:rFonts w:ascii="Sylfaen" w:hAnsi="Sylfaen"/>
          <w:i/>
          <w:sz w:val="24"/>
          <w:szCs w:val="24"/>
        </w:rPr>
        <w:t>2.5.1.24. Փոշիներ, 2.5.1.34. Դեղահաբեր, 2.5.1.4. Գրանուլներ, 2.5.1.14. Լիոֆիլիզատներ, 2.5.1.12. Կոնցենտրատներ։</w:t>
      </w:r>
    </w:p>
    <w:p w14:paraId="034BF32C"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 xml:space="preserve">Լուծույթները բնութագրում են՝ նշելով արտաքին տեսքը (թափանցիկությունը, մածուցիկությունը </w:t>
      </w:r>
      <w:r>
        <w:rPr>
          <w:rFonts w:ascii="Sylfaen" w:hAnsi="Sylfaen"/>
          <w:sz w:val="24"/>
          <w:szCs w:val="24"/>
        </w:rPr>
        <w:t>եւ</w:t>
      </w:r>
      <w:r w:rsidRPr="00D95643">
        <w:rPr>
          <w:rFonts w:ascii="Sylfaen" w:hAnsi="Sylfaen"/>
          <w:sz w:val="24"/>
          <w:szCs w:val="24"/>
        </w:rPr>
        <w:t xml:space="preserve"> այլն),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 </w:t>
      </w:r>
      <w:r>
        <w:rPr>
          <w:rFonts w:ascii="Sylfaen" w:hAnsi="Sylfaen"/>
          <w:sz w:val="24"/>
          <w:szCs w:val="24"/>
        </w:rPr>
        <w:t>եւ</w:t>
      </w:r>
      <w:r w:rsidRPr="00D95643">
        <w:rPr>
          <w:rFonts w:ascii="Sylfaen" w:hAnsi="Sylfaen"/>
          <w:sz w:val="24"/>
          <w:szCs w:val="24"/>
        </w:rPr>
        <w:t xml:space="preserve"> (կամ) որակի վերաբերյալ նորմատիվ փաստաթղթի պահանջներին համապատասխան։</w:t>
      </w:r>
    </w:p>
    <w:p w14:paraId="13BC8EF1"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43C4709F" w14:textId="77777777" w:rsidR="003A4194" w:rsidRPr="00D95643" w:rsidRDefault="003A4194" w:rsidP="003A4194">
      <w:pPr>
        <w:spacing w:after="160" w:line="360" w:lineRule="auto"/>
        <w:ind w:firstLine="567"/>
        <w:jc w:val="both"/>
      </w:pPr>
      <w:r w:rsidRPr="00D95643">
        <w:rPr>
          <w:b/>
        </w:rPr>
        <w:lastRenderedPageBreak/>
        <w:t xml:space="preserve">Թափանցիկությունը. </w:t>
      </w:r>
      <w:r w:rsidRPr="00D95643">
        <w:t xml:space="preserve">Փորձարկումն անցկացնում են մանրէազերծ լուծույթների, ներքին ընդունման լուծույթների, տեղային կիրառման համար նախատեսված լուծույթների համար՝ </w:t>
      </w:r>
      <w:r w:rsidRPr="00D95643">
        <w:rPr>
          <w:i/>
          <w:iCs/>
        </w:rPr>
        <w:t xml:space="preserve">2.1.2.1. Հեղուկների թափանցիկությունը </w:t>
      </w:r>
      <w:r>
        <w:rPr>
          <w:i/>
          <w:iCs/>
        </w:rPr>
        <w:t>եւ</w:t>
      </w:r>
      <w:r w:rsidRPr="00D95643">
        <w:rPr>
          <w:i/>
          <w:iCs/>
        </w:rPr>
        <w:t xml:space="preserve"> օպալեսցենտման աստիճանը </w:t>
      </w:r>
      <w:r w:rsidRPr="00D95643">
        <w:t xml:space="preserve">ընդհանուր դեղագրքային հոդվածին համապատասխան, մնացած լուծույթների համար՝ մասնավոր դեղագրքային հոդվածում </w:t>
      </w:r>
      <w:r>
        <w:t>եւ</w:t>
      </w:r>
      <w:r w:rsidRPr="00D95643">
        <w:t xml:space="preserve"> (կամ) որակի վերաբերյալ նորմատիվ փաստաթղթում համապատասխան ցուցման դեպքում։</w:t>
      </w:r>
    </w:p>
    <w:p w14:paraId="62214FA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Գունավորությունը. </w:t>
      </w:r>
      <w:r w:rsidRPr="00D95643">
        <w:rPr>
          <w:rFonts w:ascii="Sylfaen" w:hAnsi="Sylfaen"/>
          <w:sz w:val="24"/>
          <w:szCs w:val="24"/>
        </w:rPr>
        <w:t>Փորձարկումն անցկացնում են մանրէազերծ լուծույթների, ներքին ընդունման լուծույթների, տեղային կիրառման համար նախատեսված լուծույթների համար՝</w:t>
      </w:r>
      <w:r w:rsidRPr="00D95643">
        <w:rPr>
          <w:rFonts w:ascii="Sylfaen" w:hAnsi="Sylfaen"/>
          <w:i/>
          <w:sz w:val="24"/>
          <w:szCs w:val="24"/>
        </w:rPr>
        <w:t xml:space="preserve"> 2.1.2.2. Հեղուկների գունավորումը </w:t>
      </w:r>
      <w:r>
        <w:rPr>
          <w:rFonts w:ascii="Sylfaen" w:hAnsi="Sylfaen"/>
          <w:i/>
          <w:sz w:val="24"/>
          <w:szCs w:val="24"/>
        </w:rPr>
        <w:t>եւ</w:t>
      </w:r>
      <w:r w:rsidRPr="00D95643">
        <w:rPr>
          <w:rFonts w:ascii="Sylfaen" w:hAnsi="Sylfaen"/>
          <w:i/>
          <w:sz w:val="24"/>
          <w:szCs w:val="24"/>
        </w:rPr>
        <w:t xml:space="preserve"> գունավորման ինտենսիվությունը</w:t>
      </w:r>
      <w:r w:rsidRPr="00D95643">
        <w:rPr>
          <w:rFonts w:ascii="Sylfaen" w:hAnsi="Sylfaen"/>
          <w:sz w:val="24"/>
          <w:szCs w:val="24"/>
        </w:rPr>
        <w:t xml:space="preserve"> ընդհանուր դեղագրքային հոդվածին համապատասխան, մնացած լուծույթների համար՝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համապատասխան ցուցման դեպքում։</w:t>
      </w:r>
    </w:p>
    <w:p w14:paraId="32FA06A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pH-ը </w:t>
      </w:r>
      <w:r w:rsidRPr="00D95643">
        <w:rPr>
          <w:rFonts w:ascii="Sylfaen" w:hAnsi="Sylfaen"/>
          <w:sz w:val="24"/>
          <w:szCs w:val="24"/>
        </w:rPr>
        <w:t xml:space="preserve">կամ </w:t>
      </w:r>
      <w:r w:rsidRPr="00D95643">
        <w:rPr>
          <w:rFonts w:ascii="Sylfaen" w:hAnsi="Sylfaen"/>
          <w:b/>
          <w:sz w:val="24"/>
          <w:szCs w:val="24"/>
        </w:rPr>
        <w:t xml:space="preserve">Թթվայնությունը կամ ալկալիականությունը. </w:t>
      </w:r>
      <w:r w:rsidRPr="00D95643">
        <w:rPr>
          <w:rFonts w:ascii="Sylfaen" w:hAnsi="Sylfaen"/>
          <w:sz w:val="24"/>
          <w:szCs w:val="24"/>
        </w:rPr>
        <w:t xml:space="preserve">Փորձարկումն անցկացնում են պարենտերալ կիրառման, ակնաբուժական կիրառման համար նախատեսված լուծույթների համար, մնացած լուծույթների (ջրային, ջրասպիրտային, սպիրտային) համար՝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համապատասխան ցուցման դեպքում։</w:t>
      </w:r>
    </w:p>
    <w:p w14:paraId="3CDECD2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pH-ի որոշումն անցկացնում են պոտենցաչափական մեթոդով՝ </w:t>
      </w:r>
      <w:r w:rsidRPr="00D95643">
        <w:rPr>
          <w:rFonts w:ascii="Sylfaen" w:hAnsi="Sylfaen"/>
          <w:i/>
          <w:sz w:val="24"/>
          <w:szCs w:val="24"/>
        </w:rPr>
        <w:t xml:space="preserve">2.1.2.3. pH-ի պոտենցաչափական որոշում </w:t>
      </w:r>
      <w:r w:rsidRPr="00D95643">
        <w:rPr>
          <w:rFonts w:ascii="Sylfaen" w:hAnsi="Sylfaen"/>
          <w:sz w:val="24"/>
          <w:szCs w:val="24"/>
        </w:rPr>
        <w:t xml:space="preserve">ընդհանուր դեղագրքային հոդվածին համապատասխան։ Լուծույթի pH-ի արժեքը նշվում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4A7019E5"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Ցուցիչների օգնությամբ լուծույթների թթվայնության կամ ալկալիականության սահմանները սահմանելիս օգտագործում են 0,01-ից մինչ</w:t>
      </w:r>
      <w:r>
        <w:rPr>
          <w:rFonts w:ascii="Sylfaen" w:hAnsi="Sylfaen"/>
          <w:sz w:val="24"/>
          <w:szCs w:val="24"/>
        </w:rPr>
        <w:t>եւ</w:t>
      </w:r>
      <w:r w:rsidRPr="00D95643">
        <w:rPr>
          <w:rFonts w:ascii="Sylfaen" w:hAnsi="Sylfaen"/>
          <w:sz w:val="24"/>
          <w:szCs w:val="24"/>
        </w:rPr>
        <w:t xml:space="preserve"> 0,1 Մ կոնցենտրացիայով թթուների կամ ալկալիների լուծույթներ։</w:t>
      </w:r>
    </w:p>
    <w:p w14:paraId="499E34CA"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555C17FA"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lastRenderedPageBreak/>
        <w:t xml:space="preserve">Խտությունը </w:t>
      </w:r>
      <w:r w:rsidRPr="00D95643">
        <w:rPr>
          <w:rFonts w:ascii="Sylfaen" w:hAnsi="Sylfaen"/>
          <w:sz w:val="24"/>
          <w:szCs w:val="24"/>
        </w:rPr>
        <w:t xml:space="preserve">կամ </w:t>
      </w:r>
      <w:r w:rsidRPr="00D95643">
        <w:rPr>
          <w:rFonts w:ascii="Sylfaen" w:hAnsi="Sylfaen"/>
          <w:b/>
          <w:sz w:val="24"/>
          <w:szCs w:val="24"/>
        </w:rPr>
        <w:t xml:space="preserve">Հարաբերական խտությունը. </w:t>
      </w:r>
      <w:r w:rsidRPr="00D95643">
        <w:rPr>
          <w:rFonts w:ascii="Sylfaen" w:hAnsi="Sylfaen"/>
          <w:sz w:val="24"/>
          <w:szCs w:val="24"/>
        </w:rPr>
        <w:t xml:space="preserve">Փորձարկումն անցկացնում են 40 %-ից (ծավ/ծավ) բարձր կոնցենտրացիայով էթանոլ պարունակող սպիրտային լուծույթների համար </w:t>
      </w:r>
      <w:r>
        <w:rPr>
          <w:rFonts w:ascii="Sylfaen" w:hAnsi="Sylfaen"/>
          <w:sz w:val="24"/>
          <w:szCs w:val="24"/>
        </w:rPr>
        <w:t>եւ</w:t>
      </w:r>
      <w:r w:rsidRPr="00D95643">
        <w:rPr>
          <w:rFonts w:ascii="Sylfaen" w:hAnsi="Sylfaen"/>
          <w:sz w:val="24"/>
          <w:szCs w:val="24"/>
        </w:rPr>
        <w:t xml:space="preserve"> մյուս անջուր լուծույթների համար՝ </w:t>
      </w:r>
      <w:r w:rsidRPr="00D95643">
        <w:rPr>
          <w:rFonts w:ascii="Sylfaen" w:hAnsi="Sylfaen"/>
          <w:i/>
          <w:sz w:val="24"/>
          <w:szCs w:val="24"/>
        </w:rPr>
        <w:t xml:space="preserve">2.1.2.5. Հարաբերական խտություն </w:t>
      </w:r>
      <w:r w:rsidRPr="00D95643">
        <w:rPr>
          <w:rFonts w:ascii="Sylfaen" w:hAnsi="Sylfaen"/>
          <w:sz w:val="24"/>
          <w:szCs w:val="24"/>
        </w:rPr>
        <w:t xml:space="preserve">ընդհանուր դեղագրքային հոդվածին </w:t>
      </w:r>
      <w:r>
        <w:rPr>
          <w:rFonts w:ascii="Sylfaen" w:hAnsi="Sylfaen"/>
          <w:sz w:val="24"/>
          <w:szCs w:val="24"/>
        </w:rPr>
        <w:t>եւ</w:t>
      </w:r>
      <w:r w:rsidRPr="00D95643">
        <w:rPr>
          <w:rFonts w:ascii="Sylfaen" w:hAnsi="Sylfaen"/>
          <w:i/>
          <w:sz w:val="24"/>
          <w:szCs w:val="24"/>
        </w:rPr>
        <w:t xml:space="preserve"> </w:t>
      </w:r>
      <w:r w:rsidRPr="00D95643">
        <w:rPr>
          <w:rFonts w:ascii="Sylfaen" w:hAnsi="Sylfaen"/>
          <w:sz w:val="24"/>
          <w:szCs w:val="24"/>
        </w:rPr>
        <w:t xml:space="preserve">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ցուցումներին համապատասխան։</w:t>
      </w:r>
    </w:p>
    <w:p w14:paraId="4910AF8E"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t xml:space="preserve">Էթանոլ. </w:t>
      </w:r>
      <w:r w:rsidRPr="00D95643">
        <w:rPr>
          <w:rFonts w:ascii="Sylfaen" w:hAnsi="Sylfaen"/>
          <w:sz w:val="24"/>
          <w:szCs w:val="24"/>
        </w:rPr>
        <w:t xml:space="preserve">Փորձարկումն անցկացնում են 40 %-ից (ծավ/ծավ) ցածր կոնցենտրացիայով էթանոլ պարունակող սպիրտային լուծույթների համար՝ </w:t>
      </w:r>
      <w:r w:rsidRPr="00D95643">
        <w:rPr>
          <w:rFonts w:ascii="Sylfaen" w:hAnsi="Sylfaen"/>
          <w:i/>
          <w:sz w:val="24"/>
          <w:szCs w:val="24"/>
        </w:rPr>
        <w:t>2.1.9.8.</w:t>
      </w:r>
      <w:r w:rsidRPr="00D95643">
        <w:rPr>
          <w:rFonts w:ascii="Sylfaen" w:hAnsi="Sylfaen"/>
          <w:sz w:val="24"/>
          <w:szCs w:val="24"/>
        </w:rPr>
        <w:t xml:space="preserve"> </w:t>
      </w:r>
      <w:r w:rsidRPr="00D95643">
        <w:rPr>
          <w:rFonts w:ascii="Sylfaen" w:hAnsi="Sylfaen"/>
          <w:i/>
          <w:sz w:val="24"/>
          <w:szCs w:val="24"/>
        </w:rPr>
        <w:t>Էթանոլի պարունակությունը</w:t>
      </w:r>
      <w:r w:rsidRPr="00D95643">
        <w:rPr>
          <w:rFonts w:ascii="Sylfaen" w:hAnsi="Sylfaen"/>
          <w:sz w:val="24"/>
          <w:szCs w:val="24"/>
        </w:rPr>
        <w:t xml:space="preserve"> ընդհանուր դեղագրքային հոդվածին </w:t>
      </w:r>
      <w:r>
        <w:rPr>
          <w:rFonts w:ascii="Sylfaen" w:hAnsi="Sylfaen"/>
          <w:sz w:val="24"/>
          <w:szCs w:val="24"/>
        </w:rPr>
        <w:t>եւ</w:t>
      </w:r>
      <w:r w:rsidRPr="00D95643">
        <w:rPr>
          <w:rFonts w:ascii="Sylfaen" w:hAnsi="Sylfaen"/>
          <w:i/>
          <w:sz w:val="24"/>
          <w:szCs w:val="24"/>
        </w:rPr>
        <w:t xml:space="preserve"> </w:t>
      </w:r>
      <w:r w:rsidRPr="00D95643">
        <w:rPr>
          <w:rFonts w:ascii="Sylfaen" w:hAnsi="Sylfaen"/>
          <w:sz w:val="24"/>
          <w:szCs w:val="24"/>
        </w:rPr>
        <w:t>մասնավոր դեղագրքային հոդվածում կամ որակի վերաբերյալ նորմատիվ փաստաթղթում ցուցումներին համապատասխան։</w:t>
      </w:r>
    </w:p>
    <w:p w14:paraId="202BBD58" w14:textId="77777777" w:rsidR="003A4194" w:rsidRPr="00D95643" w:rsidRDefault="003A4194" w:rsidP="003A4194">
      <w:pPr>
        <w:spacing w:after="160" w:line="348" w:lineRule="auto"/>
        <w:ind w:firstLine="567"/>
        <w:jc w:val="both"/>
      </w:pPr>
      <w:r w:rsidRPr="00D95643">
        <w:rPr>
          <w:b/>
        </w:rPr>
        <w:t xml:space="preserve">Մածուցիկությունը. </w:t>
      </w:r>
      <w:r w:rsidRPr="00D95643">
        <w:t xml:space="preserve">Փորձարկումն անցկացնում են բարձրամոլեկուլյար միացությունների լուծույթների համար՝ </w:t>
      </w:r>
      <w:r w:rsidRPr="00D95643">
        <w:rPr>
          <w:i/>
        </w:rPr>
        <w:t xml:space="preserve">2.1.2.8 Մածուցիկություն </w:t>
      </w:r>
      <w:r w:rsidRPr="00D95643">
        <w:t xml:space="preserve">ընդհանուր դեղագրքային հոդվածին </w:t>
      </w:r>
      <w:r>
        <w:t>եւ</w:t>
      </w:r>
      <w:r w:rsidRPr="00D95643">
        <w:rPr>
          <w:i/>
        </w:rPr>
        <w:t xml:space="preserve"> </w:t>
      </w:r>
      <w:r w:rsidRPr="00D95643">
        <w:t>մասնավոր դեղագրքային հոդվածում կամ որակի վերաբերյալ նորմատիվ փաստաթղթում ցուցումներին համապատասխան։</w:t>
      </w:r>
    </w:p>
    <w:p w14:paraId="490B9BE1"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t xml:space="preserve">Թթվային </w:t>
      </w:r>
      <w:r>
        <w:rPr>
          <w:rFonts w:ascii="Sylfaen" w:hAnsi="Sylfaen"/>
          <w:b/>
          <w:sz w:val="24"/>
          <w:szCs w:val="24"/>
        </w:rPr>
        <w:t>եւ</w:t>
      </w:r>
      <w:r w:rsidRPr="00D95643">
        <w:rPr>
          <w:rFonts w:ascii="Sylfaen" w:hAnsi="Sylfaen"/>
          <w:b/>
          <w:sz w:val="24"/>
          <w:szCs w:val="24"/>
        </w:rPr>
        <w:t xml:space="preserve"> պերօքսիդային թիվը. </w:t>
      </w:r>
      <w:r w:rsidRPr="00D95643">
        <w:rPr>
          <w:rFonts w:ascii="Sylfaen" w:hAnsi="Sylfaen"/>
          <w:sz w:val="24"/>
          <w:szCs w:val="24"/>
        </w:rPr>
        <w:t xml:space="preserve">Փորձարկումն անցկացնում են յուղային լուծույթների համար՝ </w:t>
      </w:r>
      <w:r w:rsidRPr="00D95643">
        <w:rPr>
          <w:rFonts w:ascii="Sylfaen" w:hAnsi="Sylfaen"/>
          <w:i/>
          <w:sz w:val="24"/>
          <w:szCs w:val="24"/>
        </w:rPr>
        <w:t>2.1.5.1 Թթվային թիվը</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 xml:space="preserve">2.1.5.5 Պերօքսիդային թիվը </w:t>
      </w:r>
      <w:r w:rsidRPr="00D95643">
        <w:rPr>
          <w:rFonts w:ascii="Sylfaen" w:hAnsi="Sylfaen"/>
          <w:sz w:val="24"/>
          <w:szCs w:val="24"/>
        </w:rPr>
        <w:t xml:space="preserve">ընդհանուր դեղագրքային հոդվածներին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ցուցումներին համապատասխան։</w:t>
      </w:r>
    </w:p>
    <w:p w14:paraId="5D67E871"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pacing w:val="-4"/>
          <w:sz w:val="24"/>
          <w:szCs w:val="24"/>
        </w:rPr>
        <w:t xml:space="preserve">Դեղաչափված միավորների միատարրությունը. </w:t>
      </w:r>
      <w:r w:rsidRPr="00D95643">
        <w:rPr>
          <w:rFonts w:ascii="Sylfaen" w:hAnsi="Sylfaen"/>
          <w:spacing w:val="-4"/>
          <w:sz w:val="24"/>
          <w:szCs w:val="24"/>
        </w:rPr>
        <w:t>Փորձարկումն անցկացնում են միադեղաչափ</w:t>
      </w:r>
      <w:r w:rsidRPr="00D95643">
        <w:rPr>
          <w:rFonts w:ascii="Sylfaen" w:hAnsi="Sylfaen"/>
          <w:sz w:val="24"/>
          <w:szCs w:val="24"/>
        </w:rPr>
        <w:t xml:space="preserve"> փաթեթվածքներով լուծույթների համար՝ բացառությամբ արտաքին կիրառման համար նախատեսված լուծույթների՝ </w:t>
      </w:r>
      <w:r w:rsidRPr="00D95643">
        <w:rPr>
          <w:rFonts w:ascii="Sylfaen" w:hAnsi="Sylfaen"/>
          <w:i/>
          <w:sz w:val="24"/>
          <w:szCs w:val="24"/>
        </w:rPr>
        <w:t xml:space="preserve">2.1.9.14. Դեղաչափված միավորների միատարրությունը </w:t>
      </w:r>
      <w:r w:rsidRPr="00D95643">
        <w:rPr>
          <w:rFonts w:ascii="Sylfaen" w:hAnsi="Sylfaen"/>
          <w:sz w:val="24"/>
          <w:szCs w:val="24"/>
        </w:rPr>
        <w:t>ընդհանուր դեղագրքային հոդվածին համապատասխան։</w:t>
      </w:r>
    </w:p>
    <w:p w14:paraId="764D31DB"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t xml:space="preserve">Օսմոլյալությունը. </w:t>
      </w:r>
      <w:r w:rsidRPr="00D95643">
        <w:rPr>
          <w:rFonts w:ascii="Sylfaen" w:hAnsi="Sylfaen"/>
          <w:sz w:val="24"/>
          <w:szCs w:val="24"/>
        </w:rPr>
        <w:t xml:space="preserve">Ինֆուզիաների համար լուծույթների տեսքով դեղապատրաստուկների համար որոշում են օսմոլյարության </w:t>
      </w:r>
      <w:r>
        <w:rPr>
          <w:rFonts w:ascii="Sylfaen" w:hAnsi="Sylfaen"/>
          <w:sz w:val="24"/>
          <w:szCs w:val="24"/>
        </w:rPr>
        <w:t>եւ</w:t>
      </w:r>
      <w:r w:rsidRPr="00D95643">
        <w:rPr>
          <w:rFonts w:ascii="Sylfaen" w:hAnsi="Sylfaen"/>
          <w:sz w:val="24"/>
          <w:szCs w:val="24"/>
        </w:rPr>
        <w:t xml:space="preserve"> (կամ) օսմոլյալության արժեքը՝ </w:t>
      </w:r>
      <w:r w:rsidRPr="00D95643">
        <w:rPr>
          <w:rFonts w:ascii="Sylfaen" w:hAnsi="Sylfaen"/>
          <w:i/>
          <w:sz w:val="24"/>
          <w:szCs w:val="24"/>
        </w:rPr>
        <w:t>2.1.2.32.</w:t>
      </w:r>
      <w:r w:rsidRPr="00D95643">
        <w:rPr>
          <w:rFonts w:ascii="Sylfaen" w:hAnsi="Sylfaen"/>
          <w:sz w:val="24"/>
          <w:szCs w:val="24"/>
        </w:rPr>
        <w:t xml:space="preserve"> </w:t>
      </w:r>
      <w:r w:rsidRPr="00D95643">
        <w:rPr>
          <w:rFonts w:ascii="Sylfaen" w:hAnsi="Sylfaen"/>
          <w:i/>
          <w:sz w:val="24"/>
          <w:szCs w:val="24"/>
        </w:rPr>
        <w:t xml:space="preserve">Օսմոլյալություն </w:t>
      </w:r>
      <w:r w:rsidRPr="00D95643">
        <w:rPr>
          <w:rFonts w:ascii="Sylfaen" w:hAnsi="Sylfaen"/>
          <w:sz w:val="24"/>
          <w:szCs w:val="24"/>
        </w:rPr>
        <w:t>ընդհանուր դեղագրքային հոդվածին համապատասխան։</w:t>
      </w:r>
    </w:p>
    <w:p w14:paraId="0A7E939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Տեսանելի մեխանիկական ներառուկները. </w:t>
      </w:r>
      <w:r w:rsidRPr="00D95643">
        <w:rPr>
          <w:rFonts w:ascii="Sylfaen" w:hAnsi="Sylfaen"/>
          <w:sz w:val="24"/>
          <w:szCs w:val="24"/>
        </w:rPr>
        <w:t>Փորձարկումն անցկացնում են պարենտերալ կիրառման համար նախատեսված լուծույթների համար, ակնաբուժական կիրառման համար նախատեսված լուծույթների համար, ցողման համար նախատեսված լուծույթների համար՝ տեսանելի մեխանիկական ներառուկների մասով։</w:t>
      </w:r>
    </w:p>
    <w:p w14:paraId="34F123E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Անտեսանելի մեխանիկական ներառուկները. </w:t>
      </w:r>
      <w:r w:rsidRPr="00D95643">
        <w:rPr>
          <w:rFonts w:ascii="Sylfaen" w:hAnsi="Sylfaen"/>
          <w:sz w:val="24"/>
          <w:szCs w:val="24"/>
        </w:rPr>
        <w:t xml:space="preserve">Փորձարկումն անցկացնում են պարենտերալ կիրառման համար նախատեսված լուծույթների համար՝ </w:t>
      </w:r>
      <w:r w:rsidRPr="00D95643">
        <w:rPr>
          <w:rFonts w:ascii="Sylfaen" w:hAnsi="Sylfaen"/>
          <w:i/>
          <w:sz w:val="24"/>
          <w:szCs w:val="24"/>
        </w:rPr>
        <w:t xml:space="preserve">2.1.9.10. Մեխանիկական ներառուկներ. անտեսանելի մասնիկներ </w:t>
      </w:r>
      <w:r w:rsidRPr="00D95643">
        <w:rPr>
          <w:rFonts w:ascii="Sylfaen" w:hAnsi="Sylfaen"/>
          <w:sz w:val="24"/>
          <w:szCs w:val="24"/>
        </w:rPr>
        <w:t>ընդհանուր դեղագրքային հոդվածին համապատասխան։</w:t>
      </w:r>
    </w:p>
    <w:p w14:paraId="21FC490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Մանրէային էնդոտոքսինները </w:t>
      </w:r>
      <w:r w:rsidRPr="00D95643">
        <w:rPr>
          <w:rFonts w:ascii="Sylfaen" w:hAnsi="Sylfaen"/>
          <w:sz w:val="24"/>
          <w:szCs w:val="24"/>
        </w:rPr>
        <w:t xml:space="preserve">կամ </w:t>
      </w:r>
      <w:r w:rsidRPr="00D95643">
        <w:rPr>
          <w:rFonts w:ascii="Sylfaen" w:hAnsi="Sylfaen"/>
          <w:b/>
          <w:sz w:val="24"/>
          <w:szCs w:val="24"/>
        </w:rPr>
        <w:t xml:space="preserve">Պիրոգենությունը. </w:t>
      </w:r>
      <w:r w:rsidRPr="00D95643">
        <w:rPr>
          <w:rFonts w:ascii="Sylfaen" w:hAnsi="Sylfaen"/>
          <w:sz w:val="24"/>
          <w:szCs w:val="24"/>
        </w:rPr>
        <w:t xml:space="preserve">Փորձարկումն անցկացնում են պարենտերալ կիրառման համար նախատեսված լուծույթների համար, ցողման համար նախատեսված լուծույթների համար՝ </w:t>
      </w:r>
      <w:r w:rsidRPr="00D95643">
        <w:rPr>
          <w:rFonts w:ascii="Sylfaen" w:hAnsi="Sylfaen"/>
          <w:i/>
          <w:sz w:val="24"/>
          <w:szCs w:val="24"/>
        </w:rPr>
        <w:t xml:space="preserve">2.1.6.8. Մանրէային էնդոտոքսիններ </w:t>
      </w:r>
      <w:r w:rsidRPr="00D95643">
        <w:rPr>
          <w:rFonts w:ascii="Sylfaen" w:hAnsi="Sylfaen"/>
          <w:sz w:val="24"/>
          <w:szCs w:val="24"/>
        </w:rPr>
        <w:t xml:space="preserve">կամ </w:t>
      </w:r>
      <w:r w:rsidRPr="00D95643">
        <w:rPr>
          <w:rFonts w:ascii="Sylfaen" w:hAnsi="Sylfaen"/>
          <w:i/>
          <w:sz w:val="24"/>
          <w:szCs w:val="24"/>
        </w:rPr>
        <w:t>2</w:t>
      </w:r>
      <w:r w:rsidRPr="00D95643">
        <w:rPr>
          <w:rFonts w:ascii="Sylfaen" w:hAnsi="Sylfaen"/>
          <w:sz w:val="24"/>
          <w:szCs w:val="24"/>
        </w:rPr>
        <w:t>.</w:t>
      </w:r>
      <w:r w:rsidRPr="00D95643">
        <w:rPr>
          <w:rFonts w:ascii="Sylfaen" w:hAnsi="Sylfaen"/>
          <w:i/>
          <w:sz w:val="24"/>
          <w:szCs w:val="24"/>
        </w:rPr>
        <w:t xml:space="preserve">1.6.2. Պիրոգենություն </w:t>
      </w:r>
      <w:r w:rsidRPr="00D95643">
        <w:rPr>
          <w:rFonts w:ascii="Sylfaen" w:hAnsi="Sylfaen"/>
          <w:sz w:val="24"/>
          <w:szCs w:val="24"/>
        </w:rPr>
        <w:t>ընդհանուր դեղագրքային հոդվածներին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ցուցումներին համապատասխան։</w:t>
      </w:r>
    </w:p>
    <w:p w14:paraId="6689D2F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Անոմալ թունավորությունը. </w:t>
      </w:r>
      <w:r w:rsidRPr="00D95643">
        <w:rPr>
          <w:rFonts w:ascii="Sylfaen" w:hAnsi="Sylfaen"/>
          <w:sz w:val="24"/>
          <w:szCs w:val="24"/>
        </w:rPr>
        <w:t xml:space="preserve">Փորձարկումն անցկացնում են </w:t>
      </w:r>
      <w:r w:rsidRPr="00D95643">
        <w:rPr>
          <w:rFonts w:ascii="Sylfaen" w:hAnsi="Sylfaen"/>
          <w:i/>
          <w:sz w:val="24"/>
          <w:szCs w:val="24"/>
        </w:rPr>
        <w:t>2.1.6.3. Անոմալ թունավորություն</w:t>
      </w:r>
      <w:r w:rsidRPr="00D95643">
        <w:rPr>
          <w:rFonts w:ascii="Sylfaen" w:hAnsi="Sylfaen"/>
          <w:sz w:val="24"/>
          <w:szCs w:val="24"/>
        </w:rPr>
        <w:t xml:space="preserve"> 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 xml:space="preserve">բնական ծագման հումքի օգտագործմամբ ստացված՝ պարենտերալ կիրառման համար նախատեսված լուծույթների համար. պոլիմերային նյութերից փաթեթվածքներով՝ ներարկումների </w:t>
      </w:r>
      <w:r>
        <w:rPr>
          <w:rFonts w:ascii="Sylfaen" w:hAnsi="Sylfaen"/>
          <w:sz w:val="24"/>
          <w:szCs w:val="24"/>
        </w:rPr>
        <w:t>եւ</w:t>
      </w:r>
      <w:r w:rsidRPr="00D95643">
        <w:rPr>
          <w:rFonts w:ascii="Sylfaen" w:hAnsi="Sylfaen"/>
          <w:sz w:val="24"/>
          <w:szCs w:val="24"/>
        </w:rPr>
        <w:t xml:space="preserve"> ինֆուզիաների համար նախատեսված լուծույթների համար </w:t>
      </w:r>
      <w:r>
        <w:rPr>
          <w:rFonts w:ascii="Sylfaen" w:hAnsi="Sylfaen"/>
          <w:sz w:val="24"/>
          <w:szCs w:val="24"/>
        </w:rPr>
        <w:t>եւ</w:t>
      </w:r>
      <w:r w:rsidRPr="00D95643">
        <w:rPr>
          <w:rFonts w:ascii="Sylfaen" w:hAnsi="Sylfaen"/>
          <w:sz w:val="24"/>
          <w:szCs w:val="24"/>
        </w:rPr>
        <w:t xml:space="preserve"> այլ դեպքերում՝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ցուցման դեպքում։ Փորձարկումը չեն անցկացնում համապատասխան հիմնավորման առկայության դեպքում։</w:t>
      </w:r>
    </w:p>
    <w:p w14:paraId="506FA75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Հիստամին </w:t>
      </w:r>
      <w:r>
        <w:rPr>
          <w:rFonts w:ascii="Sylfaen" w:hAnsi="Sylfaen"/>
          <w:sz w:val="24"/>
          <w:szCs w:val="24"/>
        </w:rPr>
        <w:t>եւ</w:t>
      </w:r>
      <w:r w:rsidRPr="00D95643">
        <w:rPr>
          <w:rFonts w:ascii="Sylfaen" w:hAnsi="Sylfaen"/>
          <w:sz w:val="24"/>
          <w:szCs w:val="24"/>
        </w:rPr>
        <w:t xml:space="preserve"> (կամ) </w:t>
      </w:r>
      <w:r w:rsidRPr="00D95643">
        <w:rPr>
          <w:rFonts w:ascii="Sylfaen" w:hAnsi="Sylfaen"/>
          <w:b/>
          <w:sz w:val="24"/>
          <w:szCs w:val="24"/>
        </w:rPr>
        <w:t xml:space="preserve">Դեպրեսորային նյութեր. </w:t>
      </w:r>
      <w:r w:rsidRPr="00D95643">
        <w:rPr>
          <w:rFonts w:ascii="Sylfaen" w:hAnsi="Sylfaen"/>
          <w:sz w:val="24"/>
          <w:szCs w:val="24"/>
        </w:rPr>
        <w:t>Փորձարկումներն անցկացնում են հետ</w:t>
      </w:r>
      <w:r>
        <w:rPr>
          <w:rFonts w:ascii="Sylfaen" w:hAnsi="Sylfaen"/>
          <w:sz w:val="24"/>
          <w:szCs w:val="24"/>
        </w:rPr>
        <w:t>եւ</w:t>
      </w:r>
      <w:r w:rsidRPr="00D95643">
        <w:rPr>
          <w:rFonts w:ascii="Sylfaen" w:hAnsi="Sylfaen"/>
          <w:sz w:val="24"/>
          <w:szCs w:val="24"/>
        </w:rPr>
        <w:t xml:space="preserve">յալ ընդհանուր դեղագրքային հոդվածներին համապատասխան՝ </w:t>
      </w:r>
      <w:r w:rsidRPr="00D95643">
        <w:rPr>
          <w:rFonts w:ascii="Sylfaen" w:hAnsi="Sylfaen"/>
          <w:i/>
          <w:sz w:val="24"/>
          <w:szCs w:val="24"/>
        </w:rPr>
        <w:t>2.1.6.4. Հիստամինի փորձարկում</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 xml:space="preserve">2.1.6.5. Դեպրեսորային նյութերի փորձարկում՝ </w:t>
      </w:r>
      <w:r w:rsidRPr="00D95643">
        <w:rPr>
          <w:rFonts w:ascii="Sylfaen" w:hAnsi="Sylfaen"/>
          <w:sz w:val="24"/>
          <w:szCs w:val="24"/>
        </w:rPr>
        <w:t xml:space="preserve">պարենտերալ կիրառման համար նախատեսված լուծույթների համար, որոնք </w:t>
      </w:r>
      <w:r w:rsidRPr="00D95643">
        <w:rPr>
          <w:rFonts w:ascii="Sylfaen" w:hAnsi="Sylfaen"/>
          <w:sz w:val="24"/>
          <w:szCs w:val="24"/>
        </w:rPr>
        <w:lastRenderedPageBreak/>
        <w:t xml:space="preserve">նախատեսված են ներանոթային ներմուծման համար </w:t>
      </w:r>
      <w:r>
        <w:rPr>
          <w:rFonts w:ascii="Sylfaen" w:hAnsi="Sylfaen"/>
          <w:sz w:val="24"/>
          <w:szCs w:val="24"/>
        </w:rPr>
        <w:t>եւ</w:t>
      </w:r>
      <w:r w:rsidRPr="00D95643">
        <w:rPr>
          <w:rFonts w:ascii="Sylfaen" w:hAnsi="Sylfaen"/>
          <w:sz w:val="24"/>
          <w:szCs w:val="24"/>
        </w:rPr>
        <w:t xml:space="preserve"> ստացվել են այն դեղագործական բաղադրամասերից, որոնք կարող են ունենալ դեպրեսորային ազդեցություն։</w:t>
      </w:r>
    </w:p>
    <w:p w14:paraId="6672E13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Արտազատվող ծավալը. </w:t>
      </w:r>
      <w:r w:rsidRPr="00D95643">
        <w:rPr>
          <w:rFonts w:ascii="Sylfaen" w:hAnsi="Sylfaen"/>
          <w:sz w:val="24"/>
          <w:szCs w:val="24"/>
        </w:rPr>
        <w:t xml:space="preserve">Փորձարկումն անցկացնում են </w:t>
      </w:r>
      <w:r w:rsidRPr="00D95643">
        <w:rPr>
          <w:rFonts w:ascii="Sylfaen" w:hAnsi="Sylfaen"/>
          <w:i/>
          <w:sz w:val="24"/>
          <w:szCs w:val="24"/>
        </w:rPr>
        <w:t>2.1.9.9. Պարենտերալ դեղապատրաստուկների արտազատվող ծավալի փորձարկում</w:t>
      </w:r>
      <w:r w:rsidRPr="00D95643">
        <w:rPr>
          <w:rFonts w:ascii="Sylfaen" w:hAnsi="Sylfaen"/>
          <w:sz w:val="24"/>
          <w:szCs w:val="24"/>
        </w:rPr>
        <w:t xml:space="preserve"> 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պարենտերալ կիրառման համար նախատեսված լուծույթների համար։</w:t>
      </w:r>
    </w:p>
    <w:p w14:paraId="6036A81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Ներքին ընդունման համար նախատեսված լուծույթների համար փորձարկումն անցկացնում են </w:t>
      </w:r>
      <w:r w:rsidRPr="00D95643">
        <w:rPr>
          <w:rFonts w:ascii="Sylfaen" w:hAnsi="Sylfaen"/>
          <w:i/>
          <w:sz w:val="24"/>
          <w:szCs w:val="24"/>
        </w:rPr>
        <w:t>2.1.9.16. Արտազատվող ծավալը՝ ներքին ընդունման հեղուկ դեղաձ</w:t>
      </w:r>
      <w:r>
        <w:rPr>
          <w:rFonts w:ascii="Sylfaen" w:hAnsi="Sylfaen"/>
          <w:i/>
          <w:sz w:val="24"/>
          <w:szCs w:val="24"/>
        </w:rPr>
        <w:t>եւ</w:t>
      </w:r>
      <w:r w:rsidRPr="00D95643">
        <w:rPr>
          <w:rFonts w:ascii="Sylfaen" w:hAnsi="Sylfaen"/>
          <w:i/>
          <w:sz w:val="24"/>
          <w:szCs w:val="24"/>
        </w:rPr>
        <w:t xml:space="preserve">երի համար </w:t>
      </w:r>
      <w:r w:rsidRPr="00D95643">
        <w:rPr>
          <w:rFonts w:ascii="Sylfaen" w:hAnsi="Sylfaen"/>
          <w:sz w:val="24"/>
          <w:szCs w:val="24"/>
        </w:rPr>
        <w:t>ընդհանուր դեղագրքային հոդվածին համապատասխան։ Փորձարկումը չեն անցկացնում ներքին ընդունման համար նախատեսված՝ միադեղաչափ փաթեթվածքներով լուծույթների համար, եթե դեղաչափված միավորների միատարրության փորձարկում են անցկացնում։</w:t>
      </w:r>
    </w:p>
    <w:p w14:paraId="2BDB3B2C" w14:textId="77777777" w:rsidR="003A4194" w:rsidRPr="00D95643" w:rsidRDefault="003A4194" w:rsidP="003A4194">
      <w:pPr>
        <w:pStyle w:val="a0"/>
        <w:shd w:val="clear" w:color="auto" w:fill="auto"/>
        <w:spacing w:after="160" w:line="360" w:lineRule="auto"/>
        <w:ind w:firstLine="567"/>
        <w:jc w:val="both"/>
        <w:rPr>
          <w:rFonts w:ascii="Sylfaen" w:hAnsi="Sylfaen" w:cs="Sylfaen"/>
          <w:i/>
          <w:iCs/>
          <w:sz w:val="24"/>
          <w:szCs w:val="24"/>
        </w:rPr>
      </w:pPr>
      <w:r w:rsidRPr="00D95643">
        <w:rPr>
          <w:rFonts w:ascii="Sylfaen" w:hAnsi="Sylfaen"/>
          <w:b/>
          <w:sz w:val="24"/>
          <w:szCs w:val="24"/>
        </w:rPr>
        <w:t xml:space="preserve">Փաթեթվածքի պարունակության զանգվածը (ծավալը). </w:t>
      </w:r>
      <w:r w:rsidRPr="00D95643">
        <w:rPr>
          <w:rFonts w:ascii="Sylfaen" w:hAnsi="Sylfaen"/>
          <w:sz w:val="24"/>
          <w:szCs w:val="24"/>
        </w:rPr>
        <w:t xml:space="preserve">Փորձարկումն անցկացնում են բոլոր լուծույթների համար՝ բացառությամբ պարենտերալ կիրառման համար նախատեսված լուծույթների, ներքին ընդունման լուծույթների՝ </w:t>
      </w:r>
      <w:r w:rsidRPr="00D95643">
        <w:rPr>
          <w:rFonts w:ascii="Sylfaen" w:hAnsi="Sylfaen"/>
          <w:i/>
          <w:sz w:val="24"/>
          <w:szCs w:val="24"/>
        </w:rPr>
        <w:t xml:space="preserve">2.1.9.17. Փաթեթվածքի պարունակության զանգված (ծավալ) </w:t>
      </w:r>
      <w:r w:rsidRPr="00D95643">
        <w:rPr>
          <w:rFonts w:ascii="Sylfaen" w:hAnsi="Sylfaen"/>
          <w:sz w:val="24"/>
          <w:szCs w:val="24"/>
        </w:rPr>
        <w:t>ընդհանուր դեղագրքային հոդվածին համապատասխան։</w:t>
      </w:r>
    </w:p>
    <w:p w14:paraId="1479BF09" w14:textId="77777777" w:rsidR="003A4194" w:rsidRPr="0035054F" w:rsidRDefault="003A4194" w:rsidP="003A4194">
      <w:pPr>
        <w:pStyle w:val="a0"/>
        <w:shd w:val="clear" w:color="auto" w:fill="auto"/>
        <w:spacing w:after="160" w:line="360" w:lineRule="auto"/>
        <w:ind w:firstLine="567"/>
        <w:rPr>
          <w:rFonts w:ascii="Sylfaen" w:hAnsi="Sylfaen"/>
          <w:b/>
          <w:sz w:val="24"/>
          <w:szCs w:val="24"/>
        </w:rPr>
      </w:pPr>
    </w:p>
    <w:p w14:paraId="1DA26AA7"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ՓԱԹԵԹՎԱԾՔԸ</w:t>
      </w:r>
    </w:p>
    <w:p w14:paraId="7AE24CD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Լուծույթների փաթեթվածքը կարող է լինել միադեղաչափ </w:t>
      </w:r>
      <w:r>
        <w:rPr>
          <w:rFonts w:ascii="Sylfaen" w:hAnsi="Sylfaen"/>
          <w:sz w:val="24"/>
          <w:szCs w:val="24"/>
        </w:rPr>
        <w:t>եւ</w:t>
      </w:r>
      <w:r w:rsidRPr="00D95643">
        <w:rPr>
          <w:rFonts w:ascii="Sylfaen" w:hAnsi="Sylfaen"/>
          <w:sz w:val="24"/>
          <w:szCs w:val="24"/>
        </w:rPr>
        <w:t xml:space="preserve"> բազմադեղաչափ։</w:t>
      </w:r>
    </w:p>
    <w:p w14:paraId="56AB2C4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Ներքին ընդունման լուծույթների միադեղաչափ փաթեթվածքը կարող է համալրված լինել չափիչ գդալի, չափիչ բաժակի, չափիչ թասակի, ներարկիչային բաժնավորիչի </w:t>
      </w:r>
      <w:r>
        <w:rPr>
          <w:rFonts w:ascii="Sylfaen" w:hAnsi="Sylfaen"/>
          <w:sz w:val="24"/>
          <w:szCs w:val="24"/>
        </w:rPr>
        <w:t>եւ</w:t>
      </w:r>
      <w:r w:rsidRPr="00D95643">
        <w:rPr>
          <w:rFonts w:ascii="Sylfaen" w:hAnsi="Sylfaen"/>
          <w:sz w:val="24"/>
          <w:szCs w:val="24"/>
        </w:rPr>
        <w:t xml:space="preserve"> այլնի տեսքով դեղաչափման միջոցով՝ դեղապատրաստուկի նշանակված դեղաչափի չափման համար։</w:t>
      </w:r>
    </w:p>
    <w:p w14:paraId="7FCE549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Հեշտոցային, ռեկտալ, ներարգանդային ներմուծման համար լուծույթների փաթեթվածքը, ինչպես նա</w:t>
      </w:r>
      <w:r>
        <w:rPr>
          <w:rFonts w:ascii="Sylfaen" w:hAnsi="Sylfaen"/>
          <w:sz w:val="24"/>
          <w:szCs w:val="24"/>
        </w:rPr>
        <w:t>եւ</w:t>
      </w:r>
      <w:r w:rsidRPr="00D95643">
        <w:rPr>
          <w:rFonts w:ascii="Sylfaen" w:hAnsi="Sylfaen"/>
          <w:sz w:val="24"/>
          <w:szCs w:val="24"/>
        </w:rPr>
        <w:t xml:space="preserve"> անհրաժեշտության դեպքում՝ բերանի խոռոչում </w:t>
      </w:r>
      <w:r w:rsidRPr="00D95643">
        <w:rPr>
          <w:rFonts w:ascii="Sylfaen" w:hAnsi="Sylfaen"/>
          <w:sz w:val="24"/>
          <w:szCs w:val="24"/>
        </w:rPr>
        <w:lastRenderedPageBreak/>
        <w:t xml:space="preserve">կիրառման համար, քթի խոռոչում կիրառման համար, ցողման </w:t>
      </w:r>
      <w:r>
        <w:rPr>
          <w:rFonts w:ascii="Sylfaen" w:hAnsi="Sylfaen"/>
          <w:sz w:val="24"/>
          <w:szCs w:val="24"/>
        </w:rPr>
        <w:t>եւ</w:t>
      </w:r>
      <w:r w:rsidRPr="00D95643">
        <w:rPr>
          <w:rFonts w:ascii="Sylfaen" w:hAnsi="Sylfaen"/>
          <w:sz w:val="24"/>
          <w:szCs w:val="24"/>
        </w:rPr>
        <w:t xml:space="preserve"> այլնի համար լուծույթների փաթեթվածքը պետք է հարմարեցված լինի համապատասխան ներմուծման համար կամ համալրված լինի հարմար գլխադիրով, ներդրուկով։</w:t>
      </w:r>
    </w:p>
    <w:p w14:paraId="29910D6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3CBC5115"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ՄԱԿՆՇՈՒՄԸ</w:t>
      </w:r>
    </w:p>
    <w:p w14:paraId="1F7F679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Մանրէազերծ լուծույթները պետք է ունենան «Մանրէազերծ է» գրառումը։ Ասեպտիկ պայմաններում դեղապատրաստուկի ստացման դեպքերում, առանց վերջնական արտադրանքի հետագա մանրէազերծման, պետք է լինի «Պատրաստված է ասեպտիկ պայմաններում» գրառումը։</w:t>
      </w:r>
    </w:p>
    <w:p w14:paraId="75B631A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Ինֆուզիոն լուծույթների համար պետք է նշվի օսմոլյարության (օսմոլյալության) տեսական արժեքը։</w:t>
      </w:r>
    </w:p>
    <w:p w14:paraId="699C6C32" w14:textId="77777777" w:rsidR="003A4194" w:rsidRPr="00D95643" w:rsidRDefault="003A4194" w:rsidP="003A4194">
      <w:pPr>
        <w:pStyle w:val="a0"/>
        <w:shd w:val="clear" w:color="auto" w:fill="auto"/>
        <w:tabs>
          <w:tab w:val="left" w:pos="1134"/>
        </w:tabs>
        <w:spacing w:after="160" w:line="360" w:lineRule="auto"/>
        <w:ind w:firstLine="567"/>
        <w:jc w:val="both"/>
        <w:rPr>
          <w:rFonts w:ascii="Sylfaen" w:hAnsi="Sylfaen" w:cs="Sylfaen"/>
          <w:sz w:val="24"/>
          <w:szCs w:val="24"/>
        </w:rPr>
      </w:pPr>
      <w:r w:rsidRPr="00D95643">
        <w:rPr>
          <w:rFonts w:ascii="Sylfaen" w:hAnsi="Sylfaen"/>
          <w:sz w:val="24"/>
          <w:szCs w:val="24"/>
        </w:rPr>
        <w:t>Ցողման համար լուծույթների մակնշումը պետք է պարունակի լրացուցիչ գրառումներ՝</w:t>
      </w:r>
    </w:p>
    <w:p w14:paraId="30EFBCC4" w14:textId="77777777" w:rsidR="003A4194" w:rsidRPr="00D95643" w:rsidRDefault="003A4194" w:rsidP="003A4194">
      <w:pPr>
        <w:pStyle w:val="a0"/>
        <w:shd w:val="clear" w:color="auto" w:fill="auto"/>
        <w:tabs>
          <w:tab w:val="left" w:pos="1134"/>
        </w:tabs>
        <w:spacing w:after="160" w:line="360" w:lineRule="auto"/>
        <w:ind w:firstLine="567"/>
        <w:jc w:val="both"/>
        <w:rPr>
          <w:rFonts w:ascii="Sylfaen" w:hAnsi="Sylfaen" w:cs="Sylfaen"/>
          <w:sz w:val="24"/>
          <w:szCs w:val="24"/>
        </w:rPr>
      </w:pPr>
      <w:r w:rsidRPr="00D95643">
        <w:rPr>
          <w:rFonts w:ascii="Sylfaen" w:hAnsi="Sylfaen"/>
          <w:sz w:val="24"/>
          <w:szCs w:val="24"/>
        </w:rPr>
        <w:t>-</w:t>
      </w:r>
      <w:r w:rsidRPr="00D95643">
        <w:rPr>
          <w:rFonts w:ascii="Sylfaen" w:hAnsi="Sylfaen"/>
          <w:sz w:val="24"/>
          <w:szCs w:val="24"/>
        </w:rPr>
        <w:tab/>
        <w:t>դեղապատրաստուկը չպետք է օգտագործվի ներարկումների համար.</w:t>
      </w:r>
    </w:p>
    <w:p w14:paraId="782975AE" w14:textId="77777777" w:rsidR="003A4194" w:rsidRPr="00D95643" w:rsidRDefault="003A4194" w:rsidP="003A4194">
      <w:pPr>
        <w:pStyle w:val="a0"/>
        <w:shd w:val="clear" w:color="auto" w:fill="auto"/>
        <w:tabs>
          <w:tab w:val="left" w:pos="1134"/>
        </w:tabs>
        <w:spacing w:after="160" w:line="360" w:lineRule="auto"/>
        <w:ind w:firstLine="567"/>
        <w:jc w:val="both"/>
        <w:rPr>
          <w:rFonts w:ascii="Sylfaen" w:hAnsi="Sylfaen" w:cs="Sylfaen"/>
          <w:sz w:val="24"/>
          <w:szCs w:val="24"/>
        </w:rPr>
      </w:pPr>
      <w:r w:rsidRPr="00D95643">
        <w:rPr>
          <w:rFonts w:ascii="Sylfaen" w:hAnsi="Sylfaen"/>
          <w:sz w:val="24"/>
          <w:szCs w:val="24"/>
        </w:rPr>
        <w:t>-</w:t>
      </w:r>
      <w:r w:rsidRPr="00D95643">
        <w:rPr>
          <w:rFonts w:ascii="Sylfaen" w:hAnsi="Sylfaen"/>
          <w:sz w:val="24"/>
          <w:szCs w:val="24"/>
        </w:rPr>
        <w:tab/>
        <w:t>դեղապատրաստուկը պետք է օգտագործվի մեկ անգամ, ցանկացած չօգտագործված մնացորդ պետք է ոչնչացվի։</w:t>
      </w:r>
    </w:p>
    <w:p w14:paraId="6994832D" w14:textId="77777777" w:rsidR="003A4194" w:rsidRPr="003A4194" w:rsidRDefault="003A4194" w:rsidP="003A4194">
      <w:pPr>
        <w:pStyle w:val="a0"/>
        <w:shd w:val="clear" w:color="auto" w:fill="auto"/>
        <w:spacing w:after="160" w:line="360" w:lineRule="auto"/>
        <w:ind w:firstLine="567"/>
        <w:jc w:val="right"/>
        <w:rPr>
          <w:rFonts w:ascii="Sylfaen" w:hAnsi="Sylfaen"/>
          <w:b/>
          <w:sz w:val="24"/>
          <w:szCs w:val="24"/>
        </w:rPr>
      </w:pPr>
    </w:p>
    <w:p w14:paraId="01795601"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205010026-2022</w:t>
      </w:r>
    </w:p>
    <w:p w14:paraId="26E5131F" w14:textId="77777777" w:rsidR="003A4194" w:rsidRPr="0035054F" w:rsidRDefault="003A4194" w:rsidP="003A4194">
      <w:pPr>
        <w:pStyle w:val="a0"/>
        <w:shd w:val="clear" w:color="auto" w:fill="auto"/>
        <w:spacing w:after="160" w:line="360" w:lineRule="auto"/>
        <w:ind w:firstLine="567"/>
        <w:jc w:val="right"/>
        <w:rPr>
          <w:rFonts w:ascii="Sylfaen" w:hAnsi="Sylfaen" w:cs="Sylfaen"/>
          <w:szCs w:val="24"/>
        </w:rPr>
      </w:pPr>
    </w:p>
    <w:p w14:paraId="3D1B4CED"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2.5.1.26.</w:t>
      </w:r>
      <w:r w:rsidRPr="0035054F">
        <w:rPr>
          <w:rFonts w:ascii="Sylfaen" w:hAnsi="Sylfaen"/>
          <w:b/>
          <w:sz w:val="24"/>
          <w:szCs w:val="24"/>
        </w:rPr>
        <w:tab/>
      </w:r>
      <w:r w:rsidRPr="00D95643">
        <w:rPr>
          <w:rFonts w:ascii="Sylfaen" w:hAnsi="Sylfaen"/>
          <w:b/>
          <w:sz w:val="24"/>
          <w:szCs w:val="24"/>
        </w:rPr>
        <w:t>Դեղամիջոց հանդիսացող ծամոններ</w:t>
      </w:r>
    </w:p>
    <w:p w14:paraId="5B62FC1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«Դեղամիջոց հանդիսացող ծամոններ»՝ «ռետինանման» կոնսիստենցիայի դեղաչափված պինդ դեղաձ</w:t>
      </w:r>
      <w:r>
        <w:rPr>
          <w:rFonts w:ascii="Sylfaen" w:hAnsi="Sylfaen"/>
          <w:sz w:val="24"/>
          <w:szCs w:val="24"/>
        </w:rPr>
        <w:t>եւ</w:t>
      </w:r>
      <w:r w:rsidRPr="00D95643">
        <w:rPr>
          <w:rFonts w:ascii="Sylfaen" w:hAnsi="Sylfaen"/>
          <w:sz w:val="24"/>
          <w:szCs w:val="24"/>
        </w:rPr>
        <w:t xml:space="preserve">, որը նախատեսված է որոշակի ժամանակահատվածի ընթացքում ծամելու համար՝ առանց հետագա կուլ տալու՝ բերանի խոռոչում </w:t>
      </w:r>
      <w:r>
        <w:rPr>
          <w:rFonts w:ascii="Sylfaen" w:hAnsi="Sylfaen"/>
          <w:sz w:val="24"/>
          <w:szCs w:val="24"/>
        </w:rPr>
        <w:t>եւ</w:t>
      </w:r>
      <w:r w:rsidRPr="00D95643">
        <w:rPr>
          <w:rFonts w:ascii="Sylfaen" w:hAnsi="Sylfaen"/>
          <w:sz w:val="24"/>
          <w:szCs w:val="24"/>
        </w:rPr>
        <w:t xml:space="preserve"> ըմպանում տեղային ազդեցություն կամ համակարգային ազդեցություն գործելու նպատակով։</w:t>
      </w:r>
    </w:p>
    <w:p w14:paraId="7F6D2A2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Դեղամիջոց հանդիսացող ծամոնները կարող են պարունակել մեկ կամ մի քանի ազդող նյութեր։</w:t>
      </w:r>
    </w:p>
    <w:p w14:paraId="19F6544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Դեղամիջոց հանդիսացող ծամոնները կարող են պատված լինել թաղանթով։</w:t>
      </w:r>
    </w:p>
    <w:p w14:paraId="1A0B5633"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p>
    <w:p w14:paraId="3FF69D6C" w14:textId="77777777" w:rsidR="003A4194" w:rsidRPr="00D95643" w:rsidRDefault="003A4194" w:rsidP="003A4194">
      <w:pPr>
        <w:pStyle w:val="a0"/>
        <w:shd w:val="clear" w:color="auto" w:fill="auto"/>
        <w:spacing w:after="160" w:line="346"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7302093B"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Դեղամիջոց հանդիսացող ծամոնները ստանում են հիմքի փոշու մամլման կամ ծամելու հիմքի հալման մեթոդով՝ դրա մեջ ազդող </w:t>
      </w:r>
      <w:r>
        <w:rPr>
          <w:rFonts w:ascii="Sylfaen" w:hAnsi="Sylfaen"/>
          <w:sz w:val="24"/>
          <w:szCs w:val="24"/>
        </w:rPr>
        <w:t>եւ</w:t>
      </w:r>
      <w:r w:rsidRPr="00D95643">
        <w:rPr>
          <w:rFonts w:ascii="Sylfaen" w:hAnsi="Sylfaen"/>
          <w:sz w:val="24"/>
          <w:szCs w:val="24"/>
        </w:rPr>
        <w:t xml:space="preserve"> օժանդակ նյութերի հետագա ներմուծմամբ </w:t>
      </w:r>
      <w:r>
        <w:rPr>
          <w:rFonts w:ascii="Sylfaen" w:hAnsi="Sylfaen"/>
          <w:sz w:val="24"/>
          <w:szCs w:val="24"/>
        </w:rPr>
        <w:t>եւ</w:t>
      </w:r>
      <w:r w:rsidRPr="00D95643">
        <w:rPr>
          <w:rFonts w:ascii="Sylfaen" w:hAnsi="Sylfaen"/>
          <w:sz w:val="24"/>
          <w:szCs w:val="24"/>
        </w:rPr>
        <w:t xml:space="preserve"> ստացված խառնուրդին անհրաժեշտ ձ</w:t>
      </w:r>
      <w:r>
        <w:rPr>
          <w:rFonts w:ascii="Sylfaen" w:hAnsi="Sylfaen"/>
          <w:sz w:val="24"/>
          <w:szCs w:val="24"/>
        </w:rPr>
        <w:t>եւ</w:t>
      </w:r>
      <w:r w:rsidRPr="00D95643">
        <w:rPr>
          <w:rFonts w:ascii="Sylfaen" w:hAnsi="Sylfaen"/>
          <w:sz w:val="24"/>
          <w:szCs w:val="24"/>
        </w:rPr>
        <w:t xml:space="preserve"> տալով։ Սահմանված դեպքերում դեղամիջոց հանդիսացող ծամոնները կարող են պատված լինել թաղանթով։</w:t>
      </w:r>
    </w:p>
    <w:p w14:paraId="302903D6"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Ծամելու հիմքը առավելապես բաղկացած է սինթետիկ պոլիմերներից՝ մոմի, խեժի </w:t>
      </w:r>
      <w:r>
        <w:rPr>
          <w:rFonts w:ascii="Sylfaen" w:hAnsi="Sylfaen"/>
          <w:sz w:val="24"/>
          <w:szCs w:val="24"/>
        </w:rPr>
        <w:t>եւ</w:t>
      </w:r>
      <w:r w:rsidRPr="00D95643">
        <w:rPr>
          <w:rFonts w:ascii="Sylfaen" w:hAnsi="Sylfaen"/>
          <w:sz w:val="24"/>
          <w:szCs w:val="24"/>
        </w:rPr>
        <w:t xml:space="preserve"> կալցիումի կարբոնատի ավելացմամբ։ Որպես օժանդակ նյութեր ծամելու հիմքի մեջ ավելացնում են պլաստիֆիկատորներ, համային հավելումներ, քաղցրացուցիչներ, բուրավետիչներ, կոնսերվանտներ, ներկանյութեր </w:t>
      </w:r>
      <w:r>
        <w:rPr>
          <w:rFonts w:ascii="Sylfaen" w:hAnsi="Sylfaen"/>
          <w:sz w:val="24"/>
          <w:szCs w:val="24"/>
        </w:rPr>
        <w:t>եւ</w:t>
      </w:r>
      <w:r w:rsidRPr="00D95643">
        <w:rPr>
          <w:rFonts w:ascii="Sylfaen" w:hAnsi="Sylfaen"/>
          <w:sz w:val="24"/>
          <w:szCs w:val="24"/>
        </w:rPr>
        <w:t xml:space="preserve"> այլն։</w:t>
      </w:r>
    </w:p>
    <w:p w14:paraId="3084F5B2"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i/>
          <w:sz w:val="24"/>
          <w:szCs w:val="24"/>
        </w:rPr>
        <w:t>Դեղամիջոց հանդիսացող ծամոններ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արտադրելիս պետք է ձեռնարկվեն դրանց միկրոկենսաբանական մաքրությունն ապահովող միջոցներ։</w:t>
      </w:r>
    </w:p>
    <w:p w14:paraId="77D2760B"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p>
    <w:p w14:paraId="60076FAB"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z w:val="24"/>
          <w:szCs w:val="24"/>
        </w:rPr>
        <w:t>ՓՈՐՁԱՐԿՈՒՄՆԵՐԸ</w:t>
      </w:r>
    </w:p>
    <w:p w14:paraId="1853CDB6"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Դեղամիջոց հանդիսացող ծամոնները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620789BE"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Դեղամիջոց հանդիսացող ծամոնները բնութագրում են՝ նշելով ձ</w:t>
      </w:r>
      <w:r>
        <w:rPr>
          <w:rFonts w:ascii="Sylfaen" w:hAnsi="Sylfaen"/>
          <w:sz w:val="24"/>
          <w:szCs w:val="24"/>
        </w:rPr>
        <w:t>եւ</w:t>
      </w:r>
      <w:r w:rsidRPr="00D95643">
        <w:rPr>
          <w:rFonts w:ascii="Sylfaen" w:hAnsi="Sylfaen"/>
          <w:sz w:val="24"/>
          <w:szCs w:val="24"/>
        </w:rPr>
        <w:t>ը, գույնը, հոտը (առկայության դեպքում), չափերը միլիմետրերով, թաղանթի բնույթը (առկայության դեպքում)՝ մասնավոր դեղագրքային հոդվածի կամ որակի վերաբերյալ նորմատիվ փաստաթղթի պահանջներին համապատասխան։</w:t>
      </w:r>
    </w:p>
    <w:p w14:paraId="563C3AE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Զանգվածի միատարրությունը. </w:t>
      </w:r>
      <w:r w:rsidRPr="00D95643">
        <w:rPr>
          <w:rFonts w:ascii="Sylfaen" w:hAnsi="Sylfaen"/>
          <w:sz w:val="24"/>
          <w:szCs w:val="24"/>
        </w:rPr>
        <w:t xml:space="preserve">Փորձարկումն անցկացնում են </w:t>
      </w:r>
      <w:r w:rsidRPr="00D95643">
        <w:rPr>
          <w:rFonts w:ascii="Sylfaen" w:hAnsi="Sylfaen"/>
          <w:i/>
          <w:sz w:val="24"/>
          <w:szCs w:val="24"/>
        </w:rPr>
        <w:t xml:space="preserve">2.1.9.5.Դեղաչափված դեղապատրաստուկի միավորի զանգվածի միատարրություն </w:t>
      </w:r>
      <w:r w:rsidRPr="00D95643">
        <w:rPr>
          <w:rFonts w:ascii="Sylfaen" w:hAnsi="Sylfaen"/>
          <w:sz w:val="24"/>
          <w:szCs w:val="24"/>
        </w:rPr>
        <w:t>ընդհանուր դեղագրքային հոդվածին համապատասխան։ Փորձարկումը չեն կիրառում այն դեպքում, երբ նախատեսված է դեղաչափված միավորների միատարրության փորձարկում բոլոր ազդող նյութերի համար։</w:t>
      </w:r>
    </w:p>
    <w:p w14:paraId="5FAD8E6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Զանգվածի կորուստը չորացնելիս</w:t>
      </w:r>
      <w:r w:rsidRPr="00D95643">
        <w:rPr>
          <w:rFonts w:ascii="Sylfaen" w:hAnsi="Sylfaen"/>
          <w:sz w:val="24"/>
          <w:szCs w:val="24"/>
        </w:rPr>
        <w:t xml:space="preserve"> կամ </w:t>
      </w:r>
      <w:r w:rsidRPr="00D95643">
        <w:rPr>
          <w:rFonts w:ascii="Sylfaen" w:hAnsi="Sylfaen"/>
          <w:b/>
          <w:sz w:val="24"/>
          <w:szCs w:val="24"/>
        </w:rPr>
        <w:t xml:space="preserve">Ջուրը. </w:t>
      </w:r>
      <w:r w:rsidRPr="00D95643">
        <w:rPr>
          <w:rFonts w:ascii="Sylfaen" w:hAnsi="Sylfaen"/>
          <w:sz w:val="24"/>
          <w:szCs w:val="24"/>
        </w:rPr>
        <w:t>Փորձարկումն անցկացվում է հետ</w:t>
      </w:r>
      <w:r>
        <w:rPr>
          <w:rFonts w:ascii="Sylfaen" w:hAnsi="Sylfaen"/>
          <w:sz w:val="24"/>
          <w:szCs w:val="24"/>
        </w:rPr>
        <w:t>եւ</w:t>
      </w:r>
      <w:r w:rsidRPr="00D95643">
        <w:rPr>
          <w:rFonts w:ascii="Sylfaen" w:hAnsi="Sylfaen"/>
          <w:sz w:val="24"/>
          <w:szCs w:val="24"/>
        </w:rPr>
        <w:t xml:space="preserve">յալ ընդհանուր դեղագրքային հոդվածներին համապատասխան՝ </w:t>
      </w:r>
      <w:r w:rsidRPr="00D95643">
        <w:rPr>
          <w:rFonts w:ascii="Sylfaen" w:hAnsi="Sylfaen"/>
          <w:i/>
          <w:sz w:val="24"/>
          <w:szCs w:val="24"/>
        </w:rPr>
        <w:t xml:space="preserve">2.1.2.31. Զանգվածի կորուստը չորացնելիս </w:t>
      </w:r>
      <w:r w:rsidRPr="00D95643">
        <w:rPr>
          <w:rFonts w:ascii="Sylfaen" w:hAnsi="Sylfaen"/>
          <w:sz w:val="24"/>
          <w:szCs w:val="24"/>
        </w:rPr>
        <w:t xml:space="preserve">կամ </w:t>
      </w:r>
      <w:r w:rsidRPr="00D95643">
        <w:rPr>
          <w:rFonts w:ascii="Sylfaen" w:hAnsi="Sylfaen"/>
          <w:i/>
          <w:sz w:val="24"/>
          <w:szCs w:val="24"/>
        </w:rPr>
        <w:t>2.1.5.12. Ջուր. որոշում կիսամիկրոմեթոդով. 2.1.5.13. Ջուր. միկրոորոշում։</w:t>
      </w:r>
      <w:r w:rsidRPr="00D95643">
        <w:rPr>
          <w:rFonts w:ascii="Sylfaen" w:hAnsi="Sylfaen"/>
          <w:sz w:val="24"/>
          <w:szCs w:val="24"/>
        </w:rPr>
        <w:t xml:space="preserve"> Եթե մասնավոր դեղագրքային հոդվածում կամ որակի վերաբերյալ նորմատիվ փաստաթղթում այլ ցուցումներ չկան, ջրի պարունակությունը կամ զանգվածի կորուստը դեղամիջոց հանդիսացող ծամոնները չորացնելիս պետք է կազմի 7,0 %</w:t>
      </w:r>
      <w:r w:rsidR="00803B34" w:rsidRPr="00803B34">
        <w:rPr>
          <w:rFonts w:ascii="Sylfaen" w:hAnsi="Sylfaen"/>
          <w:sz w:val="24"/>
          <w:szCs w:val="24"/>
        </w:rPr>
        <w:t>-</w:t>
      </w:r>
      <w:r w:rsidRPr="00D95643">
        <w:rPr>
          <w:rFonts w:ascii="Sylfaen" w:hAnsi="Sylfaen"/>
          <w:sz w:val="24"/>
          <w:szCs w:val="24"/>
        </w:rPr>
        <w:t>ից ոչ ավելի։</w:t>
      </w:r>
    </w:p>
    <w:p w14:paraId="203E073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Լուծումը. </w:t>
      </w:r>
      <w:r w:rsidRPr="00D95643">
        <w:rPr>
          <w:rFonts w:ascii="Sylfaen" w:hAnsi="Sylfaen"/>
          <w:sz w:val="24"/>
          <w:szCs w:val="24"/>
        </w:rPr>
        <w:t xml:space="preserve">Փորձարկումն անցկացնում են </w:t>
      </w:r>
      <w:r w:rsidRPr="00D95643">
        <w:rPr>
          <w:rFonts w:ascii="Sylfaen" w:hAnsi="Sylfaen"/>
          <w:i/>
          <w:sz w:val="24"/>
          <w:szCs w:val="24"/>
        </w:rPr>
        <w:t xml:space="preserve">2.1.9.23. Դեղամիջոց հանդիսացող ծամոնների համար լուծվելու փորձարկում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մասնավոր դեղագրքային հոդվածում կամ որակի վերաբերյալ նորմատիվ փաստաթղթում նշված պահանջների համաձայն։</w:t>
      </w:r>
    </w:p>
    <w:p w14:paraId="06A7F9D1" w14:textId="77777777" w:rsidR="003A4194" w:rsidRPr="00D95643" w:rsidRDefault="003A4194" w:rsidP="003A4194">
      <w:pPr>
        <w:tabs>
          <w:tab w:val="left" w:pos="2568"/>
        </w:tabs>
        <w:spacing w:after="160" w:line="360" w:lineRule="auto"/>
        <w:ind w:firstLine="567"/>
        <w:jc w:val="both"/>
      </w:pPr>
      <w:r w:rsidRPr="00D95643">
        <w:rPr>
          <w:b/>
        </w:rPr>
        <w:t xml:space="preserve">Դեղաչափված միավորների միատարրությունը. </w:t>
      </w:r>
      <w:r w:rsidRPr="00D95643">
        <w:t xml:space="preserve">Դեղամիջոց հանդիսացող ծամոնները պետք է դիմանան </w:t>
      </w:r>
      <w:r w:rsidRPr="00D95643">
        <w:rPr>
          <w:i/>
        </w:rPr>
        <w:t>2.1.9.14.</w:t>
      </w:r>
      <w:r w:rsidRPr="00D95643">
        <w:t xml:space="preserve"> </w:t>
      </w:r>
      <w:r w:rsidRPr="00D95643">
        <w:rPr>
          <w:i/>
        </w:rPr>
        <w:t>Դեղաչափված միավորների միատարրություն</w:t>
      </w:r>
      <w:r w:rsidRPr="00D95643">
        <w:t xml:space="preserve"> ընդհանուր դեղագրքային հոդվածի պահանջներին։</w:t>
      </w:r>
      <w:r w:rsidRPr="00D95643">
        <w:rPr>
          <w:i/>
        </w:rPr>
        <w:t xml:space="preserve"> </w:t>
      </w:r>
      <w:r w:rsidRPr="00D95643">
        <w:t xml:space="preserve">Եթե մասնավոր դեղագրքային հոդվածում կամ որակի վերաբերյալ նորմատիվ </w:t>
      </w:r>
      <w:r w:rsidRPr="00803B34">
        <w:rPr>
          <w:spacing w:val="-4"/>
        </w:rPr>
        <w:t xml:space="preserve">փաստաթղթում այլ ցուցումներ չկան, փորձարկումն անցկացնում են այնպես, ինչպես </w:t>
      </w:r>
      <w:r w:rsidRPr="00803B34">
        <w:rPr>
          <w:i/>
          <w:spacing w:val="-4"/>
        </w:rPr>
        <w:t xml:space="preserve">Դեղահաբեր </w:t>
      </w:r>
      <w:r w:rsidRPr="00803B34">
        <w:rPr>
          <w:spacing w:val="-4"/>
        </w:rPr>
        <w:t>դեղաձեւի համար։ Նորմատիվ պահանջները ներկայացվում են մասնավոր դեղագրքային հոդվածում կամ որակի վերաբերյալ նորմատիվ փաստաթղթում</w:t>
      </w:r>
      <w:r w:rsidRPr="00D95643">
        <w:t>:</w:t>
      </w:r>
    </w:p>
    <w:p w14:paraId="75276DD0" w14:textId="77777777" w:rsidR="003A4194" w:rsidRDefault="003A4194">
      <w:r>
        <w:br w:type="page"/>
      </w:r>
    </w:p>
    <w:p w14:paraId="04ACA8D2"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lastRenderedPageBreak/>
        <w:t>205010027-2022</w:t>
      </w:r>
    </w:p>
    <w:p w14:paraId="6ED53543" w14:textId="77777777" w:rsidR="003A4194" w:rsidRPr="0035054F" w:rsidRDefault="003A4194" w:rsidP="003A4194">
      <w:pPr>
        <w:pStyle w:val="a0"/>
        <w:shd w:val="clear" w:color="auto" w:fill="auto"/>
        <w:spacing w:after="160" w:line="360" w:lineRule="auto"/>
        <w:ind w:firstLine="567"/>
        <w:jc w:val="right"/>
        <w:rPr>
          <w:rFonts w:ascii="Sylfaen" w:hAnsi="Sylfaen" w:cs="Sylfaen"/>
          <w:szCs w:val="24"/>
        </w:rPr>
      </w:pPr>
    </w:p>
    <w:p w14:paraId="0469354B"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2.5.1.27.</w:t>
      </w:r>
      <w:r w:rsidRPr="0035054F">
        <w:rPr>
          <w:rFonts w:ascii="Sylfaen" w:hAnsi="Sylfaen"/>
          <w:b/>
          <w:sz w:val="24"/>
          <w:szCs w:val="24"/>
        </w:rPr>
        <w:tab/>
      </w:r>
      <w:r w:rsidRPr="00D95643">
        <w:rPr>
          <w:rFonts w:ascii="Sylfaen" w:hAnsi="Sylfaen"/>
          <w:b/>
          <w:sz w:val="24"/>
          <w:szCs w:val="24"/>
        </w:rPr>
        <w:t>Դեղագործական անձեռոցիկներ</w:t>
      </w:r>
    </w:p>
    <w:p w14:paraId="532E2BB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«Դեղագործական անձեռոցիկներ»՝ պինդ դեղաձ</w:t>
      </w:r>
      <w:r>
        <w:rPr>
          <w:rFonts w:ascii="Sylfaen" w:hAnsi="Sylfaen"/>
          <w:sz w:val="24"/>
          <w:szCs w:val="24"/>
        </w:rPr>
        <w:t>եւ</w:t>
      </w:r>
      <w:r w:rsidRPr="00D95643">
        <w:rPr>
          <w:rFonts w:ascii="Sylfaen" w:hAnsi="Sylfaen"/>
          <w:sz w:val="24"/>
          <w:szCs w:val="24"/>
        </w:rPr>
        <w:t>, որն անձեռոցիկի տեսքով կենսադեգրադացվող նյութ է, պարունակում է մեկ կամ մի քանի ազդող նյութ, նախատեսված է վերքի մակերեսի վրա տեղադրման համար՝ երկարատ</w:t>
      </w:r>
      <w:r>
        <w:rPr>
          <w:rFonts w:ascii="Sylfaen" w:hAnsi="Sylfaen"/>
          <w:sz w:val="24"/>
          <w:szCs w:val="24"/>
        </w:rPr>
        <w:t>եւ</w:t>
      </w:r>
      <w:r w:rsidRPr="00D95643">
        <w:rPr>
          <w:rFonts w:ascii="Sylfaen" w:hAnsi="Sylfaen"/>
          <w:sz w:val="24"/>
          <w:szCs w:val="24"/>
        </w:rPr>
        <w:t xml:space="preserve"> ժամանակահատվածի ընթացքում տեղային ազդեցություն գործելու նպատակով։</w:t>
      </w:r>
    </w:p>
    <w:p w14:paraId="2D50623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Ներծծվող (կենսադեգրադացվող) դեղագործական անձեռոցիկներ՝ դեղագործական անձեռոցիկներ, որոնք արտադրվել են կենսադեգրադացվող նյութերի հիման վրա։ Ներծծվող (կենսադեգրադացվող) դեղագործական անձեռոցիկները չեն պահանջում հեռացում կիրառման տեղից բուժումն ավարտելուց հետո, դրանք ներծծվում են վերքում կամ օրգանիզմ ներպատվաստելիս։</w:t>
      </w:r>
    </w:p>
    <w:p w14:paraId="7FD514D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Ըստ ձերբազատման տեսակի՝ դեղագործական անձեռոցիկները դասվում են մոդիֆիկացված, որպես կանոն, երկարատ</w:t>
      </w:r>
      <w:r>
        <w:rPr>
          <w:rFonts w:ascii="Sylfaen" w:hAnsi="Sylfaen"/>
          <w:sz w:val="24"/>
          <w:szCs w:val="24"/>
        </w:rPr>
        <w:t>եւ</w:t>
      </w:r>
      <w:r w:rsidRPr="00D95643">
        <w:rPr>
          <w:rFonts w:ascii="Sylfaen" w:hAnsi="Sylfaen"/>
          <w:sz w:val="24"/>
          <w:szCs w:val="24"/>
        </w:rPr>
        <w:t xml:space="preserve"> ձերբազատմամբ դեղաձ</w:t>
      </w:r>
      <w:r>
        <w:rPr>
          <w:rFonts w:ascii="Sylfaen" w:hAnsi="Sylfaen"/>
          <w:sz w:val="24"/>
          <w:szCs w:val="24"/>
        </w:rPr>
        <w:t>եւ</w:t>
      </w:r>
      <w:r w:rsidRPr="00D95643">
        <w:rPr>
          <w:rFonts w:ascii="Sylfaen" w:hAnsi="Sylfaen"/>
          <w:sz w:val="24"/>
          <w:szCs w:val="24"/>
        </w:rPr>
        <w:t>երի շարքին։</w:t>
      </w:r>
    </w:p>
    <w:p w14:paraId="2C8EABFE" w14:textId="77777777" w:rsidR="003A4194" w:rsidRPr="0035054F" w:rsidRDefault="003A4194" w:rsidP="003A4194">
      <w:pPr>
        <w:pStyle w:val="a0"/>
        <w:shd w:val="clear" w:color="auto" w:fill="auto"/>
        <w:spacing w:after="160" w:line="360" w:lineRule="auto"/>
        <w:ind w:firstLine="567"/>
        <w:rPr>
          <w:rFonts w:ascii="Sylfaen" w:hAnsi="Sylfaen"/>
          <w:b/>
          <w:sz w:val="24"/>
          <w:szCs w:val="24"/>
        </w:rPr>
      </w:pPr>
    </w:p>
    <w:p w14:paraId="78690836"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706CF0C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Դեղագործական անձեռոցիկներ արտադրելիս ակտիվ դեղագործական բաղադրամասը (բաղադրամասերը), որպես կանոն, անշարժացնում են կրիչի վրա, որը գործված կամ չգործված բնական կամ սինթետիկ հիպոալերգեն նյութ է (օրինակ՝ տրիկոտաժե քաթան, օքսիդացված ցելյուլոզ </w:t>
      </w:r>
      <w:r>
        <w:rPr>
          <w:rFonts w:ascii="Sylfaen" w:hAnsi="Sylfaen"/>
          <w:sz w:val="24"/>
          <w:szCs w:val="24"/>
        </w:rPr>
        <w:t>եւ</w:t>
      </w:r>
      <w:r w:rsidRPr="00D95643">
        <w:rPr>
          <w:rFonts w:ascii="Sylfaen" w:hAnsi="Sylfaen"/>
          <w:sz w:val="24"/>
          <w:szCs w:val="24"/>
        </w:rPr>
        <w:t xml:space="preserve"> այլն), տալիս են անհրաժեշտ ձ</w:t>
      </w:r>
      <w:r>
        <w:rPr>
          <w:rFonts w:ascii="Sylfaen" w:hAnsi="Sylfaen"/>
          <w:sz w:val="24"/>
          <w:szCs w:val="24"/>
        </w:rPr>
        <w:t>եւ</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չափ։</w:t>
      </w:r>
    </w:p>
    <w:p w14:paraId="1E5D271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Կիրառման տեղից դեղագործական անձեռոցիկներից ազդող նյութը (նյութերը) պետք է ձերբազատվի որոշակի ժամանակահատվածում։ Ներծծվող դեղագործական անձեռոցիկները պետք է ամբողջությամբ դեգրադացվեն (ներծծվեն) վերքում կամ օրգանիզմի հյուսվածքներում սահմանված </w:t>
      </w:r>
      <w:r w:rsidRPr="00D95643">
        <w:rPr>
          <w:rFonts w:ascii="Sylfaen" w:hAnsi="Sylfaen"/>
          <w:sz w:val="24"/>
          <w:szCs w:val="24"/>
        </w:rPr>
        <w:lastRenderedPageBreak/>
        <w:t>ժամկետներում, որոնք պայմանավորված են ընտրված կրիչի հատկություններով, որպես կանոն, 30 օրվա ընթացքում։</w:t>
      </w:r>
    </w:p>
    <w:p w14:paraId="76B20E8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Դեղագործական անձեռոցիկներ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ստանալիս պետք է ձեռնարկվեն դրանց միկրոկենսաբանական մաքրությունն ապահովող միջոցներ։</w:t>
      </w:r>
    </w:p>
    <w:p w14:paraId="27E5059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814986C"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ՓՈՐՁԱՐԿՈՒՄՆԵՐԸ</w:t>
      </w:r>
    </w:p>
    <w:p w14:paraId="692838E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Դեղագործական անձեռոցիկները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471BF5A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Դեղային անձեռոցիկները բնութագրում են՝ նշելով ձ</w:t>
      </w:r>
      <w:r>
        <w:rPr>
          <w:rFonts w:ascii="Sylfaen" w:hAnsi="Sylfaen"/>
          <w:sz w:val="24"/>
          <w:szCs w:val="24"/>
        </w:rPr>
        <w:t>եւ</w:t>
      </w:r>
      <w:r w:rsidRPr="00D95643">
        <w:rPr>
          <w:rFonts w:ascii="Sylfaen" w:hAnsi="Sylfaen"/>
          <w:sz w:val="24"/>
          <w:szCs w:val="24"/>
        </w:rPr>
        <w:t>ը, գույնը, հոտը (առկայության դեպքում)՝ մասնավոր դեղագրքային հոդվածի կամ որակի վերաբերյալ նորմատիվ փաստաթղթի պահանջներին համապատասխան։</w:t>
      </w:r>
    </w:p>
    <w:p w14:paraId="16AC95B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Չափերը. </w:t>
      </w:r>
      <w:r w:rsidRPr="00D95643">
        <w:rPr>
          <w:rFonts w:ascii="Sylfaen" w:hAnsi="Sylfaen"/>
          <w:sz w:val="24"/>
          <w:szCs w:val="24"/>
        </w:rPr>
        <w:t xml:space="preserve">Որոշում են դեղագործական անձեռոցիկների երկրաչափական չափերը (երկարությունը, լայնությունը) սանտիմետրերով, չափումը կատարում են չափման քանոնով։ Փորձարկման համար նախատեսված դեղագործական անձեռոցիկների քանակը </w:t>
      </w:r>
      <w:r>
        <w:rPr>
          <w:rFonts w:ascii="Sylfaen" w:hAnsi="Sylfaen"/>
          <w:sz w:val="24"/>
          <w:szCs w:val="24"/>
        </w:rPr>
        <w:t>եւ</w:t>
      </w:r>
      <w:r w:rsidRPr="00D95643">
        <w:rPr>
          <w:rFonts w:ascii="Sylfaen" w:hAnsi="Sylfaen"/>
          <w:sz w:val="24"/>
          <w:szCs w:val="24"/>
        </w:rPr>
        <w:t xml:space="preserve"> դրանց երկրաչափական չափերի թույլատրելի շեղումները ներկայացվում 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75F832D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pH</w:t>
      </w:r>
      <w:r w:rsidRPr="003A4194">
        <w:rPr>
          <w:rFonts w:ascii="Sylfaen" w:hAnsi="Sylfaen"/>
          <w:b/>
          <w:sz w:val="24"/>
          <w:szCs w:val="24"/>
        </w:rPr>
        <w:t>-</w:t>
      </w:r>
      <w:r w:rsidRPr="00D95643">
        <w:rPr>
          <w:rFonts w:ascii="Sylfaen" w:hAnsi="Sylfaen"/>
          <w:b/>
          <w:sz w:val="24"/>
          <w:szCs w:val="24"/>
        </w:rPr>
        <w:t xml:space="preserve">ը. </w:t>
      </w:r>
      <w:r w:rsidRPr="00D95643">
        <w:rPr>
          <w:rFonts w:ascii="Sylfaen" w:hAnsi="Sylfaen"/>
          <w:sz w:val="24"/>
          <w:szCs w:val="24"/>
        </w:rPr>
        <w:t xml:space="preserve">Փորձարկումն անցկացնում են պոտենցաչափորեն՝ </w:t>
      </w:r>
      <w:r w:rsidRPr="00D95643">
        <w:rPr>
          <w:rFonts w:ascii="Sylfaen" w:hAnsi="Sylfaen"/>
          <w:i/>
          <w:sz w:val="24"/>
          <w:szCs w:val="24"/>
        </w:rPr>
        <w:t>2.1.2.3</w:t>
      </w:r>
      <w:r w:rsidRPr="00D95643">
        <w:rPr>
          <w:rFonts w:ascii="Sylfaen" w:hAnsi="Sylfaen"/>
          <w:sz w:val="24"/>
          <w:szCs w:val="24"/>
        </w:rPr>
        <w:t xml:space="preserve">. </w:t>
      </w:r>
      <w:r w:rsidRPr="00D95643">
        <w:rPr>
          <w:rFonts w:ascii="Sylfaen" w:hAnsi="Sylfaen"/>
          <w:i/>
          <w:sz w:val="24"/>
          <w:szCs w:val="24"/>
        </w:rPr>
        <w:t xml:space="preserve">pH-ի պոտենցաչափական որոշում </w:t>
      </w:r>
      <w:r w:rsidRPr="00D95643">
        <w:rPr>
          <w:rFonts w:ascii="Sylfaen" w:hAnsi="Sylfaen"/>
          <w:sz w:val="24"/>
          <w:szCs w:val="24"/>
        </w:rPr>
        <w:t xml:space="preserve">ընդհանուր դեղագրքային հոդվածին համապատասխան։ Փորձարկման անցկացման համար դեղապատրաստուկի փորձանմուշի նախապատրաստման մեթոդիկան </w:t>
      </w:r>
      <w:r>
        <w:rPr>
          <w:rFonts w:ascii="Sylfaen" w:hAnsi="Sylfaen"/>
          <w:sz w:val="24"/>
          <w:szCs w:val="24"/>
        </w:rPr>
        <w:t>եւ</w:t>
      </w:r>
      <w:r w:rsidRPr="00D95643">
        <w:rPr>
          <w:rFonts w:ascii="Sylfaen" w:hAnsi="Sylfaen"/>
          <w:sz w:val="24"/>
          <w:szCs w:val="24"/>
        </w:rPr>
        <w:t xml:space="preserve"> նորմատիվ պահանջները ներկայացվում 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4DC460F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Լուծման ժամանակը. </w:t>
      </w:r>
      <w:r w:rsidRPr="00D95643">
        <w:rPr>
          <w:rFonts w:ascii="Sylfaen" w:hAnsi="Sylfaen"/>
          <w:sz w:val="24"/>
          <w:szCs w:val="24"/>
        </w:rPr>
        <w:t xml:space="preserve">Փորձարկումն անցկացնում են ներծծվող (կենսադեգրադացվող) դեղագործական անձեռոցիկների համար։ Որոշման </w:t>
      </w:r>
      <w:r w:rsidRPr="00D95643">
        <w:rPr>
          <w:rFonts w:ascii="Sylfaen" w:hAnsi="Sylfaen"/>
          <w:sz w:val="24"/>
          <w:szCs w:val="24"/>
        </w:rPr>
        <w:lastRenderedPageBreak/>
        <w:t xml:space="preserve">մեթոդիկան, որը ներառում է լուծման պայմանները, լուծման ժամանակը </w:t>
      </w:r>
      <w:r>
        <w:rPr>
          <w:rFonts w:ascii="Sylfaen" w:hAnsi="Sylfaen"/>
          <w:sz w:val="24"/>
          <w:szCs w:val="24"/>
        </w:rPr>
        <w:t>եւ</w:t>
      </w:r>
      <w:r w:rsidRPr="00D95643">
        <w:rPr>
          <w:rFonts w:ascii="Sylfaen" w:hAnsi="Sylfaen"/>
          <w:sz w:val="24"/>
          <w:szCs w:val="24"/>
        </w:rPr>
        <w:t xml:space="preserve"> այլ պահանջներ (անհրաժեշտության դեպքում), ներկայացվում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01C9AAF2"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t xml:space="preserve">Զանգվածի կորուստը չորացնելիս. </w:t>
      </w:r>
      <w:r w:rsidRPr="00D95643">
        <w:rPr>
          <w:rFonts w:ascii="Sylfaen" w:hAnsi="Sylfaen"/>
          <w:sz w:val="24"/>
          <w:szCs w:val="24"/>
        </w:rPr>
        <w:t xml:space="preserve">Փորձարկումն անցկացվում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ցուցման դեպքում՝ </w:t>
      </w:r>
      <w:r w:rsidRPr="00D95643">
        <w:rPr>
          <w:rFonts w:ascii="Sylfaen" w:hAnsi="Sylfaen"/>
          <w:i/>
          <w:sz w:val="24"/>
          <w:szCs w:val="24"/>
        </w:rPr>
        <w:t xml:space="preserve">2.1.2.31. Զանգվածի կորուստը չորացնելիս </w:t>
      </w:r>
      <w:r w:rsidRPr="00D95643">
        <w:rPr>
          <w:rFonts w:ascii="Sylfaen" w:hAnsi="Sylfaen"/>
          <w:sz w:val="24"/>
          <w:szCs w:val="24"/>
        </w:rPr>
        <w:t xml:space="preserve">ընդհանուր դեղագրքային հոդվածին համապատասխան։ Որոշման մեթոդիկան </w:t>
      </w:r>
      <w:r>
        <w:rPr>
          <w:rFonts w:ascii="Sylfaen" w:hAnsi="Sylfaen"/>
          <w:sz w:val="24"/>
          <w:szCs w:val="24"/>
        </w:rPr>
        <w:t>եւ</w:t>
      </w:r>
      <w:r w:rsidRPr="00D95643">
        <w:rPr>
          <w:rFonts w:ascii="Sylfaen" w:hAnsi="Sylfaen"/>
          <w:sz w:val="24"/>
          <w:szCs w:val="24"/>
        </w:rPr>
        <w:t xml:space="preserve"> նորմատիվ պահանջները ներկայացվում 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30AFC202"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p>
    <w:p w14:paraId="61B29421" w14:textId="77777777" w:rsidR="003A4194" w:rsidRPr="0035054F" w:rsidRDefault="003A4194" w:rsidP="003A4194">
      <w:pPr>
        <w:pStyle w:val="a0"/>
        <w:shd w:val="clear" w:color="auto" w:fill="auto"/>
        <w:spacing w:after="160" w:line="348" w:lineRule="auto"/>
        <w:ind w:firstLine="567"/>
        <w:jc w:val="right"/>
        <w:rPr>
          <w:rFonts w:ascii="Sylfaen" w:hAnsi="Sylfaen"/>
          <w:b/>
          <w:szCs w:val="24"/>
        </w:rPr>
      </w:pPr>
      <w:r w:rsidRPr="00D95643">
        <w:rPr>
          <w:rFonts w:ascii="Sylfaen" w:hAnsi="Sylfaen"/>
          <w:b/>
          <w:szCs w:val="24"/>
        </w:rPr>
        <w:t>203010028-2022</w:t>
      </w:r>
    </w:p>
    <w:p w14:paraId="1AE998D2" w14:textId="77777777" w:rsidR="003A4194" w:rsidRPr="0035054F" w:rsidRDefault="003A4194" w:rsidP="003A4194">
      <w:pPr>
        <w:pStyle w:val="a0"/>
        <w:shd w:val="clear" w:color="auto" w:fill="auto"/>
        <w:spacing w:after="160" w:line="348" w:lineRule="auto"/>
        <w:ind w:firstLine="567"/>
        <w:jc w:val="right"/>
        <w:rPr>
          <w:rFonts w:ascii="Sylfaen" w:hAnsi="Sylfaen" w:cs="Sylfaen"/>
          <w:szCs w:val="24"/>
        </w:rPr>
      </w:pPr>
    </w:p>
    <w:p w14:paraId="0E987A2C" w14:textId="77777777" w:rsidR="003A4194" w:rsidRPr="00D95643" w:rsidRDefault="003A4194" w:rsidP="003A4194">
      <w:pPr>
        <w:pStyle w:val="a0"/>
        <w:shd w:val="clear" w:color="auto" w:fill="auto"/>
        <w:tabs>
          <w:tab w:val="left" w:pos="1701"/>
        </w:tabs>
        <w:spacing w:after="160" w:line="348" w:lineRule="auto"/>
        <w:ind w:firstLine="567"/>
        <w:rPr>
          <w:rFonts w:ascii="Sylfaen" w:hAnsi="Sylfaen" w:cs="Sylfaen"/>
          <w:sz w:val="24"/>
          <w:szCs w:val="24"/>
        </w:rPr>
      </w:pPr>
      <w:r w:rsidRPr="00D95643">
        <w:rPr>
          <w:rFonts w:ascii="Sylfaen" w:hAnsi="Sylfaen"/>
          <w:b/>
          <w:sz w:val="24"/>
          <w:szCs w:val="24"/>
        </w:rPr>
        <w:t>2.5.1.28.</w:t>
      </w:r>
      <w:r w:rsidRPr="0035054F">
        <w:rPr>
          <w:rFonts w:ascii="Sylfaen" w:hAnsi="Sylfaen"/>
          <w:b/>
          <w:sz w:val="24"/>
          <w:szCs w:val="24"/>
        </w:rPr>
        <w:tab/>
      </w:r>
      <w:r w:rsidRPr="00D95643">
        <w:rPr>
          <w:rFonts w:ascii="Sylfaen" w:hAnsi="Sylfaen"/>
          <w:b/>
          <w:sz w:val="24"/>
          <w:szCs w:val="24"/>
        </w:rPr>
        <w:t>Օշարակները</w:t>
      </w:r>
    </w:p>
    <w:p w14:paraId="0A93A136"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b/>
          <w:sz w:val="24"/>
          <w:szCs w:val="24"/>
        </w:rPr>
        <w:t>«Օշարակներ»՝</w:t>
      </w:r>
      <w:r w:rsidRPr="00D95643">
        <w:rPr>
          <w:rFonts w:ascii="Sylfaen" w:hAnsi="Sylfaen"/>
          <w:sz w:val="24"/>
          <w:szCs w:val="24"/>
        </w:rPr>
        <w:t xml:space="preserve"> քաղցր համով մածուցիկ կոնսիստենցիայի ջրային լուծույթի տեսքով հեղուկ դեղաձ</w:t>
      </w:r>
      <w:r>
        <w:rPr>
          <w:rFonts w:ascii="Sylfaen" w:hAnsi="Sylfaen"/>
          <w:sz w:val="24"/>
          <w:szCs w:val="24"/>
        </w:rPr>
        <w:t>եւ</w:t>
      </w:r>
      <w:r w:rsidRPr="00D95643">
        <w:rPr>
          <w:rFonts w:ascii="Sylfaen" w:hAnsi="Sylfaen"/>
          <w:sz w:val="24"/>
          <w:szCs w:val="24"/>
        </w:rPr>
        <w:t>, որը պարունակում է 45 %-ից (մ/մ) ոչ պակաս կոնցենտրացիայով սախարոզ կամ դրա փոխարինիչներ, նախատեսված է ներքին ընդունման համար։</w:t>
      </w:r>
    </w:p>
    <w:p w14:paraId="5C9C4312"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sz w:val="24"/>
          <w:szCs w:val="24"/>
        </w:rPr>
        <w:t>Օշարակները, որպես կանոն, համասեռ դիսպերս համակարգեր են, սակայն կարող են նա</w:t>
      </w:r>
      <w:r>
        <w:rPr>
          <w:rFonts w:ascii="Sylfaen" w:hAnsi="Sylfaen"/>
          <w:sz w:val="24"/>
          <w:szCs w:val="24"/>
        </w:rPr>
        <w:t>եւ</w:t>
      </w:r>
      <w:r w:rsidRPr="00D95643">
        <w:rPr>
          <w:rFonts w:ascii="Sylfaen" w:hAnsi="Sylfaen"/>
          <w:sz w:val="24"/>
          <w:szCs w:val="24"/>
        </w:rPr>
        <w:t xml:space="preserve"> հետերոգեն (ամենից հաճախ դեղակախույթներ) կամ համակցված դիսպերս համակարգեր լինել։</w:t>
      </w:r>
    </w:p>
    <w:p w14:paraId="71C5FB0D"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p>
    <w:p w14:paraId="533D290B" w14:textId="77777777" w:rsidR="003A4194" w:rsidRPr="00D95643" w:rsidRDefault="003A4194" w:rsidP="003A4194">
      <w:pPr>
        <w:pStyle w:val="a0"/>
        <w:shd w:val="clear" w:color="auto" w:fill="auto"/>
        <w:spacing w:after="160" w:line="348"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6C5C66A2" w14:textId="77777777" w:rsidR="003A4194" w:rsidRPr="00D95643" w:rsidRDefault="003A4194" w:rsidP="003A4194">
      <w:pPr>
        <w:pStyle w:val="a0"/>
        <w:shd w:val="clear" w:color="auto" w:fill="auto"/>
        <w:spacing w:after="160" w:line="348" w:lineRule="auto"/>
        <w:ind w:firstLine="567"/>
        <w:jc w:val="both"/>
        <w:rPr>
          <w:rFonts w:ascii="Sylfaen" w:hAnsi="Sylfaen" w:cs="Sylfaen"/>
          <w:sz w:val="24"/>
          <w:szCs w:val="24"/>
        </w:rPr>
      </w:pPr>
      <w:r w:rsidRPr="00D95643">
        <w:rPr>
          <w:rFonts w:ascii="Sylfaen" w:hAnsi="Sylfaen"/>
          <w:sz w:val="24"/>
          <w:szCs w:val="24"/>
        </w:rPr>
        <w:t>Օշարակները ստանում են ջրում շաքարները (սախարոզը) կամ այլ օշարակագոյացնող նյութեր (օրինակ՝ պոլիսպիրտները) լուծելու միջոցով՝ տաքացնելով մինչ</w:t>
      </w:r>
      <w:r>
        <w:rPr>
          <w:rFonts w:ascii="Sylfaen" w:hAnsi="Sylfaen"/>
          <w:sz w:val="24"/>
          <w:szCs w:val="24"/>
        </w:rPr>
        <w:t>եւ</w:t>
      </w:r>
      <w:r w:rsidRPr="00D95643">
        <w:rPr>
          <w:rFonts w:ascii="Sylfaen" w:hAnsi="Sylfaen"/>
          <w:sz w:val="24"/>
          <w:szCs w:val="24"/>
        </w:rPr>
        <w:t xml:space="preserve"> եռման աստիճանը։ Սովորաբար պատրաստի օշարակում շաքարի կամ այլ օշարակագոյացնող սուբստանցիայի կոնցենտրացիան կազմում է 45 %-ից (մ/մ) ոչ պակաս։ Պատրաստի օշարակը զտում են։</w:t>
      </w:r>
    </w:p>
    <w:p w14:paraId="2FDA345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803B34">
        <w:rPr>
          <w:rFonts w:ascii="Sylfaen" w:hAnsi="Sylfaen"/>
          <w:spacing w:val="-4"/>
          <w:sz w:val="24"/>
          <w:szCs w:val="24"/>
        </w:rPr>
        <w:lastRenderedPageBreak/>
        <w:t>Ակտիվ դեղագործական բաղադրամասերի, թուրմերի, լուծամզվածքների, հյութերի եւ այլնի, ինչպես նաեւ օժանդակ նյութերի ավելացումն իրականացնում են օշարակը</w:t>
      </w:r>
      <w:r w:rsidRPr="00D95643">
        <w:rPr>
          <w:rFonts w:ascii="Sylfaen" w:hAnsi="Sylfaen"/>
          <w:sz w:val="24"/>
          <w:szCs w:val="24"/>
        </w:rPr>
        <w:t xml:space="preserve"> մինչ</w:t>
      </w:r>
      <w:r>
        <w:rPr>
          <w:rFonts w:ascii="Sylfaen" w:hAnsi="Sylfaen"/>
          <w:sz w:val="24"/>
          <w:szCs w:val="24"/>
        </w:rPr>
        <w:t>եւ</w:t>
      </w:r>
      <w:r w:rsidRPr="00D95643">
        <w:rPr>
          <w:rFonts w:ascii="Sylfaen" w:hAnsi="Sylfaen"/>
          <w:sz w:val="24"/>
          <w:szCs w:val="24"/>
        </w:rPr>
        <w:t xml:space="preserve"> (55 ± 5) °С ջերմաստիճան սառեցնելուց հետո։</w:t>
      </w:r>
    </w:p>
    <w:p w14:paraId="6115A46C"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r w:rsidRPr="00D95643">
        <w:rPr>
          <w:rFonts w:ascii="Sylfaen" w:hAnsi="Sylfaen"/>
          <w:sz w:val="24"/>
          <w:szCs w:val="24"/>
        </w:rPr>
        <w:t xml:space="preserve">Օշարակներ ստանալիս որպես օժանդակ նյութեր կարող են օգտագործվել հակամանրէային կոնսերվանտներ, օշարակագոյացնող բաղադրիչի բյուրեղացումը կանխելու </w:t>
      </w:r>
      <w:r>
        <w:rPr>
          <w:rFonts w:ascii="Sylfaen" w:hAnsi="Sylfaen"/>
          <w:sz w:val="24"/>
          <w:szCs w:val="24"/>
        </w:rPr>
        <w:t>եւ</w:t>
      </w:r>
      <w:r w:rsidRPr="00D95643">
        <w:rPr>
          <w:rFonts w:ascii="Sylfaen" w:hAnsi="Sylfaen"/>
          <w:sz w:val="24"/>
          <w:szCs w:val="24"/>
        </w:rPr>
        <w:t xml:space="preserve"> մյուս ցուցանիշները շտկելու համար օշարակների մեջ կարող են ներմուծվել տարբեր պոլիսպիրտներ, մակեր</w:t>
      </w:r>
      <w:r>
        <w:rPr>
          <w:rFonts w:ascii="Sylfaen" w:hAnsi="Sylfaen"/>
          <w:sz w:val="24"/>
          <w:szCs w:val="24"/>
        </w:rPr>
        <w:t>եւ</w:t>
      </w:r>
      <w:r w:rsidRPr="00D95643">
        <w:rPr>
          <w:rFonts w:ascii="Sylfaen" w:hAnsi="Sylfaen"/>
          <w:sz w:val="24"/>
          <w:szCs w:val="24"/>
        </w:rPr>
        <w:t xml:space="preserve">ութաակտիվ նյութեր </w:t>
      </w:r>
      <w:r>
        <w:rPr>
          <w:rFonts w:ascii="Sylfaen" w:hAnsi="Sylfaen"/>
          <w:sz w:val="24"/>
          <w:szCs w:val="24"/>
        </w:rPr>
        <w:t>եւ</w:t>
      </w:r>
      <w:r w:rsidRPr="00D95643">
        <w:rPr>
          <w:rFonts w:ascii="Sylfaen" w:hAnsi="Sylfaen"/>
          <w:sz w:val="24"/>
          <w:szCs w:val="24"/>
        </w:rPr>
        <w:t xml:space="preserve"> այլ օժանդակ նյութեր, որոնք թույլատրված են ներքին ընդունման համար։</w:t>
      </w:r>
    </w:p>
    <w:p w14:paraId="1651A864"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r w:rsidRPr="00D95643">
        <w:rPr>
          <w:rFonts w:ascii="Sylfaen" w:hAnsi="Sylfaen"/>
          <w:sz w:val="24"/>
          <w:szCs w:val="24"/>
        </w:rPr>
        <w:t>Վերականգնված դեղաձ</w:t>
      </w:r>
      <w:r>
        <w:rPr>
          <w:rFonts w:ascii="Sylfaen" w:hAnsi="Sylfaen"/>
          <w:sz w:val="24"/>
          <w:szCs w:val="24"/>
        </w:rPr>
        <w:t>եւ</w:t>
      </w:r>
      <w:r w:rsidRPr="00D95643">
        <w:rPr>
          <w:rFonts w:ascii="Sylfaen" w:hAnsi="Sylfaen"/>
          <w:sz w:val="24"/>
          <w:szCs w:val="24"/>
        </w:rPr>
        <w:t>երի տեսքով օշարակները կարող են նա</w:t>
      </w:r>
      <w:r>
        <w:rPr>
          <w:rFonts w:ascii="Sylfaen" w:hAnsi="Sylfaen"/>
          <w:sz w:val="24"/>
          <w:szCs w:val="24"/>
        </w:rPr>
        <w:t>եւ</w:t>
      </w:r>
      <w:r w:rsidRPr="00D95643">
        <w:rPr>
          <w:rFonts w:ascii="Sylfaen" w:hAnsi="Sylfaen"/>
          <w:sz w:val="24"/>
          <w:szCs w:val="24"/>
        </w:rPr>
        <w:t xml:space="preserve"> ստացվել գրանուլներից կամ փոշիներից, որոնք նախատեսված են համապատասխան լուծիչում լուծելու միջոցով օշարակների պատրաստման համար։ </w:t>
      </w:r>
      <w:r w:rsidRPr="00D95643">
        <w:rPr>
          <w:rFonts w:ascii="Sylfaen" w:hAnsi="Sylfaen"/>
          <w:i/>
          <w:sz w:val="24"/>
          <w:szCs w:val="24"/>
        </w:rPr>
        <w:t>Օշարակներ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ստանալիս պետք է ձեռնարկվեն դրանց միկրոկենսաբանական մաքրությունն ապահովող միջոցներ։</w:t>
      </w:r>
    </w:p>
    <w:p w14:paraId="55B5C00C"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r w:rsidRPr="00D95643">
        <w:rPr>
          <w:rFonts w:ascii="Sylfaen" w:hAnsi="Sylfaen"/>
          <w:sz w:val="24"/>
          <w:szCs w:val="24"/>
        </w:rPr>
        <w:t xml:space="preserve">Օշարակները կարող են թողարկվել միադեղաչափ </w:t>
      </w:r>
      <w:r>
        <w:rPr>
          <w:rFonts w:ascii="Sylfaen" w:hAnsi="Sylfaen"/>
          <w:sz w:val="24"/>
          <w:szCs w:val="24"/>
        </w:rPr>
        <w:t>եւ</w:t>
      </w:r>
      <w:r w:rsidRPr="00D95643">
        <w:rPr>
          <w:rFonts w:ascii="Sylfaen" w:hAnsi="Sylfaen"/>
          <w:sz w:val="24"/>
          <w:szCs w:val="24"/>
        </w:rPr>
        <w:t xml:space="preserve"> բազմադեղաչափ փաթեթվածքներով։</w:t>
      </w:r>
    </w:p>
    <w:p w14:paraId="38955D48"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r w:rsidRPr="00D95643">
        <w:rPr>
          <w:rFonts w:ascii="Sylfaen" w:hAnsi="Sylfaen"/>
          <w:sz w:val="24"/>
          <w:szCs w:val="24"/>
        </w:rPr>
        <w:t xml:space="preserve">Օշարակների բազմադեղաչափ փաթեթվածքը պետք է համալրված լինի չափիչ գդալի, չափիչ բաժակի, չափիչ թասակի, ներարկիչային բաժնավորիչի </w:t>
      </w:r>
      <w:r>
        <w:rPr>
          <w:rFonts w:ascii="Sylfaen" w:hAnsi="Sylfaen"/>
          <w:sz w:val="24"/>
          <w:szCs w:val="24"/>
        </w:rPr>
        <w:t>եւ</w:t>
      </w:r>
      <w:r w:rsidRPr="00D95643">
        <w:rPr>
          <w:rFonts w:ascii="Sylfaen" w:hAnsi="Sylfaen"/>
          <w:sz w:val="24"/>
          <w:szCs w:val="24"/>
        </w:rPr>
        <w:t xml:space="preserve"> այլնի տեսքով դեղաչափման միջոցով՝ դեղապատրաստուկի նշանակված դեղաչափի չափման համար։</w:t>
      </w:r>
    </w:p>
    <w:p w14:paraId="55287397"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p>
    <w:p w14:paraId="0BE738EE" w14:textId="77777777" w:rsidR="003A4194" w:rsidRPr="00D95643" w:rsidRDefault="003A4194" w:rsidP="003A4194">
      <w:pPr>
        <w:pStyle w:val="a0"/>
        <w:shd w:val="clear" w:color="auto" w:fill="auto"/>
        <w:spacing w:after="160" w:line="341" w:lineRule="auto"/>
        <w:ind w:firstLine="567"/>
        <w:rPr>
          <w:rFonts w:ascii="Sylfaen" w:hAnsi="Sylfaen" w:cs="Sylfaen"/>
          <w:sz w:val="24"/>
          <w:szCs w:val="24"/>
        </w:rPr>
      </w:pPr>
      <w:r w:rsidRPr="00D95643">
        <w:rPr>
          <w:rFonts w:ascii="Sylfaen" w:hAnsi="Sylfaen"/>
          <w:b/>
          <w:sz w:val="24"/>
          <w:szCs w:val="24"/>
        </w:rPr>
        <w:t>ՓՈՐՁԱՐԿՈՒՄՆԵՐԸ</w:t>
      </w:r>
    </w:p>
    <w:p w14:paraId="407FCA78" w14:textId="77777777" w:rsidR="003A4194" w:rsidRPr="00D95643" w:rsidRDefault="003A4194" w:rsidP="003A4194">
      <w:pPr>
        <w:pStyle w:val="a0"/>
        <w:shd w:val="clear" w:color="auto" w:fill="auto"/>
        <w:spacing w:after="160" w:line="341" w:lineRule="auto"/>
        <w:ind w:firstLine="567"/>
        <w:jc w:val="both"/>
        <w:rPr>
          <w:rFonts w:ascii="Sylfaen" w:hAnsi="Sylfaen" w:cs="Sylfaen"/>
          <w:sz w:val="24"/>
          <w:szCs w:val="24"/>
        </w:rPr>
      </w:pPr>
      <w:r w:rsidRPr="00D95643">
        <w:rPr>
          <w:rFonts w:ascii="Sylfaen" w:hAnsi="Sylfaen"/>
          <w:sz w:val="24"/>
          <w:szCs w:val="24"/>
        </w:rPr>
        <w:t xml:space="preserve">Օշարակները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0187266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Օշարակների պատրաստման համար նախատեսված փոշիները </w:t>
      </w:r>
      <w:r>
        <w:rPr>
          <w:rFonts w:ascii="Sylfaen" w:hAnsi="Sylfaen"/>
          <w:sz w:val="24"/>
          <w:szCs w:val="24"/>
        </w:rPr>
        <w:t>եւ</w:t>
      </w:r>
      <w:r w:rsidRPr="00D95643">
        <w:rPr>
          <w:rFonts w:ascii="Sylfaen" w:hAnsi="Sylfaen"/>
          <w:sz w:val="24"/>
          <w:szCs w:val="24"/>
        </w:rPr>
        <w:t xml:space="preserve"> գրանուլները պետք է համապատասխանեն հետ</w:t>
      </w:r>
      <w:r>
        <w:rPr>
          <w:rFonts w:ascii="Sylfaen" w:hAnsi="Sylfaen"/>
          <w:sz w:val="24"/>
          <w:szCs w:val="24"/>
        </w:rPr>
        <w:t>եւ</w:t>
      </w:r>
      <w:r w:rsidRPr="00D95643">
        <w:rPr>
          <w:rFonts w:ascii="Sylfaen" w:hAnsi="Sylfaen"/>
          <w:sz w:val="24"/>
          <w:szCs w:val="24"/>
        </w:rPr>
        <w:t xml:space="preserve">յալ համապատասխան ընդհանուր դեղագրքային հոդվածների պահանջներին՝ </w:t>
      </w:r>
      <w:r w:rsidRPr="00D95643">
        <w:rPr>
          <w:rFonts w:ascii="Sylfaen" w:hAnsi="Sylfaen"/>
          <w:i/>
          <w:sz w:val="24"/>
          <w:szCs w:val="24"/>
        </w:rPr>
        <w:t>2.5.1.24. Փոշիներ</w:t>
      </w:r>
      <w:r w:rsidRPr="00D95643">
        <w:rPr>
          <w:rFonts w:ascii="Sylfaen" w:hAnsi="Sylfaen"/>
          <w:sz w:val="24"/>
          <w:szCs w:val="24"/>
        </w:rPr>
        <w:t xml:space="preserve"> կամ </w:t>
      </w:r>
      <w:r w:rsidRPr="00D95643">
        <w:rPr>
          <w:rFonts w:ascii="Sylfaen" w:hAnsi="Sylfaen"/>
          <w:i/>
          <w:sz w:val="24"/>
          <w:szCs w:val="24"/>
        </w:rPr>
        <w:t>2.5.1.4. Գրանուլներ։</w:t>
      </w:r>
    </w:p>
    <w:p w14:paraId="38D9EC5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Նկարագրությունը. </w:t>
      </w:r>
      <w:r w:rsidRPr="00D95643">
        <w:rPr>
          <w:rFonts w:ascii="Sylfaen" w:hAnsi="Sylfaen"/>
          <w:sz w:val="24"/>
          <w:szCs w:val="24"/>
        </w:rPr>
        <w:t>Օշարակները, որպես կանոն, պետք է լինեն թափանցիկ, թույլատրվում է օպալեսցենտման առկայությունը, չի թույլատրվում օշարակագոյացնող բաղադրիչի բյուրեղացման նշանների առկայությունը։ Օշարակները բնութագրում են՝ նշելով արտաքին տեսքը՝ նշելով թափանցիկությունը կամ օպալեսցենտումը (առկայության դեպքում)՝ մասնավոր դեղագրքային հոդվածի կամ որակի վերաբերյալ նորմատիվ փաստաթղթի պահանջներին համապատասխան։</w:t>
      </w:r>
    </w:p>
    <w:p w14:paraId="1B4D20D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Խտությունը </w:t>
      </w:r>
      <w:r w:rsidRPr="00D95643">
        <w:rPr>
          <w:rFonts w:ascii="Sylfaen" w:hAnsi="Sylfaen"/>
          <w:sz w:val="24"/>
          <w:szCs w:val="24"/>
        </w:rPr>
        <w:t xml:space="preserve">կամ </w:t>
      </w:r>
      <w:r w:rsidRPr="00D95643">
        <w:rPr>
          <w:rFonts w:ascii="Sylfaen" w:hAnsi="Sylfaen"/>
          <w:b/>
          <w:sz w:val="24"/>
          <w:szCs w:val="24"/>
        </w:rPr>
        <w:t xml:space="preserve">Հարաբերական խտությունը. </w:t>
      </w:r>
      <w:r w:rsidRPr="00D95643">
        <w:rPr>
          <w:rFonts w:ascii="Sylfaen" w:hAnsi="Sylfaen"/>
          <w:sz w:val="24"/>
          <w:szCs w:val="24"/>
        </w:rPr>
        <w:t xml:space="preserve">Փորձարկումն անցկացնում են մեթոդներից մեկով՝ </w:t>
      </w:r>
      <w:r w:rsidRPr="00D95643">
        <w:rPr>
          <w:rFonts w:ascii="Sylfaen" w:hAnsi="Sylfaen"/>
          <w:i/>
          <w:sz w:val="24"/>
          <w:szCs w:val="24"/>
        </w:rPr>
        <w:t>2.1.2.5. Հարաբերական խտություն</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կամ որակի վերաբերյալ նորմատիվ փաստաթղթում նշված պահանջներին համապատասխան։</w:t>
      </w:r>
    </w:p>
    <w:p w14:paraId="78F1F63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pH</w:t>
      </w:r>
      <w:r w:rsidRPr="003A4194">
        <w:rPr>
          <w:rFonts w:ascii="Sylfaen" w:hAnsi="Sylfaen"/>
          <w:b/>
          <w:sz w:val="24"/>
          <w:szCs w:val="24"/>
        </w:rPr>
        <w:t>-</w:t>
      </w:r>
      <w:r w:rsidRPr="00D95643">
        <w:rPr>
          <w:rFonts w:ascii="Sylfaen" w:hAnsi="Sylfaen"/>
          <w:b/>
          <w:sz w:val="24"/>
          <w:szCs w:val="24"/>
        </w:rPr>
        <w:t xml:space="preserve">ը. </w:t>
      </w:r>
      <w:r w:rsidRPr="00D95643">
        <w:rPr>
          <w:rFonts w:ascii="Sylfaen" w:hAnsi="Sylfaen"/>
          <w:sz w:val="24"/>
          <w:szCs w:val="24"/>
        </w:rPr>
        <w:t xml:space="preserve">Փորձարկումն անցկացվում է, եթե նշված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պոտենցաչափական մեթոդով՝ </w:t>
      </w:r>
      <w:r w:rsidRPr="00D95643">
        <w:rPr>
          <w:rFonts w:ascii="Sylfaen" w:hAnsi="Sylfaen"/>
          <w:i/>
          <w:sz w:val="24"/>
          <w:szCs w:val="24"/>
        </w:rPr>
        <w:t xml:space="preserve">2.1.2.3. pH-ի պոտենցաչափական որոշում </w:t>
      </w:r>
      <w:r w:rsidRPr="00D95643">
        <w:rPr>
          <w:rFonts w:ascii="Sylfaen" w:hAnsi="Sylfaen"/>
          <w:sz w:val="24"/>
          <w:szCs w:val="24"/>
        </w:rPr>
        <w:t xml:space="preserve">ընդհանուր դեղագրքային հոդվածին համապատասխան։ pH-ի արժեքը նշվում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757F0CC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pacing w:val="-4"/>
          <w:sz w:val="24"/>
          <w:szCs w:val="24"/>
        </w:rPr>
        <w:t xml:space="preserve">Դեղաչափված միավորների միատարրությունը. </w:t>
      </w:r>
      <w:r w:rsidRPr="00D95643">
        <w:rPr>
          <w:rFonts w:ascii="Sylfaen" w:hAnsi="Sylfaen"/>
          <w:spacing w:val="-4"/>
          <w:sz w:val="24"/>
          <w:szCs w:val="24"/>
        </w:rPr>
        <w:t xml:space="preserve">Փորձարկումն անցկացնում են միադեղաչափ փաթեթվածքներով օշարակների համար՝ </w:t>
      </w:r>
      <w:r w:rsidRPr="00D95643">
        <w:rPr>
          <w:rFonts w:ascii="Sylfaen" w:hAnsi="Sylfaen"/>
          <w:i/>
          <w:spacing w:val="-4"/>
          <w:sz w:val="24"/>
          <w:szCs w:val="24"/>
        </w:rPr>
        <w:t xml:space="preserve">2.1.9.14. Դեղաչափված միավորների միատարրություն </w:t>
      </w:r>
      <w:r w:rsidRPr="00D95643">
        <w:rPr>
          <w:rFonts w:ascii="Sylfaen" w:hAnsi="Sylfaen"/>
          <w:spacing w:val="-4"/>
          <w:sz w:val="24"/>
          <w:szCs w:val="24"/>
        </w:rPr>
        <w:t>ընդհանուր դեղագրքային հոդվածին համապատասխան</w:t>
      </w:r>
      <w:r w:rsidRPr="00D95643">
        <w:rPr>
          <w:rFonts w:ascii="Sylfaen" w:hAnsi="Sylfaen"/>
          <w:sz w:val="24"/>
          <w:szCs w:val="24"/>
        </w:rPr>
        <w:t>։</w:t>
      </w:r>
    </w:p>
    <w:p w14:paraId="2619C05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Դեղաչափերի զանգվածի միատարրությունը. </w:t>
      </w:r>
      <w:r w:rsidRPr="00D95643">
        <w:rPr>
          <w:rFonts w:ascii="Sylfaen" w:hAnsi="Sylfaen"/>
          <w:sz w:val="24"/>
          <w:szCs w:val="24"/>
        </w:rPr>
        <w:t xml:space="preserve">Փորձարկումն անցկացնում են բազմադեղաչափ փաթեթվածքով թողարկվող օշարակների համար՝ </w:t>
      </w:r>
      <w:r w:rsidRPr="00D95643">
        <w:rPr>
          <w:rFonts w:ascii="Sylfaen" w:hAnsi="Sylfaen"/>
          <w:i/>
          <w:sz w:val="24"/>
          <w:szCs w:val="24"/>
        </w:rPr>
        <w:t xml:space="preserve">2.1.9.12. Բազմադեղաչափ փաթեթվածքից չափված դեղաչափերի զանգվածի միատարրություն </w:t>
      </w:r>
      <w:r w:rsidRPr="00D95643">
        <w:rPr>
          <w:rFonts w:ascii="Sylfaen" w:hAnsi="Sylfaen"/>
          <w:sz w:val="24"/>
          <w:szCs w:val="24"/>
        </w:rPr>
        <w:t>ընդհանուր դեղագրքային հոդվածին համապատասխան։</w:t>
      </w:r>
    </w:p>
    <w:p w14:paraId="44F50DFE" w14:textId="77777777" w:rsidR="003A4194" w:rsidRPr="00D95643" w:rsidRDefault="003A4194" w:rsidP="003A4194">
      <w:pPr>
        <w:pStyle w:val="a0"/>
        <w:shd w:val="clear" w:color="auto" w:fill="auto"/>
        <w:spacing w:after="160" w:line="346" w:lineRule="auto"/>
        <w:ind w:firstLine="567"/>
        <w:jc w:val="both"/>
        <w:rPr>
          <w:rFonts w:ascii="Sylfaen" w:hAnsi="Sylfaen" w:cs="Sylfaen"/>
          <w:i/>
          <w:iCs/>
          <w:sz w:val="24"/>
          <w:szCs w:val="24"/>
        </w:rPr>
      </w:pPr>
      <w:r w:rsidRPr="00D95643">
        <w:rPr>
          <w:rFonts w:ascii="Sylfaen" w:hAnsi="Sylfaen"/>
          <w:b/>
          <w:sz w:val="24"/>
          <w:szCs w:val="24"/>
        </w:rPr>
        <w:t xml:space="preserve">Արտազատվող ծավալը. </w:t>
      </w:r>
      <w:r w:rsidRPr="00D95643">
        <w:rPr>
          <w:rFonts w:ascii="Sylfaen" w:hAnsi="Sylfaen"/>
          <w:sz w:val="24"/>
          <w:szCs w:val="24"/>
        </w:rPr>
        <w:t xml:space="preserve">Փորձարկումն անցկացնում են </w:t>
      </w:r>
      <w:r w:rsidRPr="00D95643">
        <w:rPr>
          <w:rFonts w:ascii="Sylfaen" w:hAnsi="Sylfaen"/>
          <w:i/>
          <w:sz w:val="24"/>
          <w:szCs w:val="24"/>
        </w:rPr>
        <w:t>2.1.9.16. Արտազատվող ծավալը՝ ներքին ընդունման հեղուկ դեղաձ</w:t>
      </w:r>
      <w:r>
        <w:rPr>
          <w:rFonts w:ascii="Sylfaen" w:hAnsi="Sylfaen"/>
          <w:i/>
          <w:sz w:val="24"/>
          <w:szCs w:val="24"/>
        </w:rPr>
        <w:t>եւ</w:t>
      </w:r>
      <w:r w:rsidRPr="00D95643">
        <w:rPr>
          <w:rFonts w:ascii="Sylfaen" w:hAnsi="Sylfaen"/>
          <w:i/>
          <w:sz w:val="24"/>
          <w:szCs w:val="24"/>
        </w:rPr>
        <w:t xml:space="preserve">երի համար </w:t>
      </w:r>
      <w:r w:rsidRPr="00D95643">
        <w:rPr>
          <w:rFonts w:ascii="Sylfaen" w:hAnsi="Sylfaen"/>
          <w:sz w:val="24"/>
          <w:szCs w:val="24"/>
        </w:rPr>
        <w:t xml:space="preserve">ընդհանուր դեղագրքային հոդվածին համապատասխան։ Փորձարկումը չեն </w:t>
      </w:r>
      <w:r w:rsidRPr="00D95643">
        <w:rPr>
          <w:rFonts w:ascii="Sylfaen" w:hAnsi="Sylfaen"/>
          <w:sz w:val="24"/>
          <w:szCs w:val="24"/>
        </w:rPr>
        <w:lastRenderedPageBreak/>
        <w:t xml:space="preserve">կիրառում միադեղաչափ փաթեթվածքներով օշարակների համար, եթե անցկացնում են փորձարկում՝ ըստ </w:t>
      </w:r>
      <w:r w:rsidRPr="00D95643">
        <w:rPr>
          <w:rFonts w:ascii="Sylfaen" w:hAnsi="Sylfaen"/>
          <w:i/>
          <w:sz w:val="24"/>
          <w:szCs w:val="24"/>
        </w:rPr>
        <w:t>Դեղաչափված միավորների միատարրություն</w:t>
      </w:r>
      <w:r w:rsidRPr="00D95643">
        <w:rPr>
          <w:rFonts w:ascii="Sylfaen" w:hAnsi="Sylfaen"/>
          <w:sz w:val="24"/>
          <w:szCs w:val="24"/>
        </w:rPr>
        <w:t xml:space="preserve"> ցուցանիշի։</w:t>
      </w:r>
    </w:p>
    <w:p w14:paraId="0826A630"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p>
    <w:p w14:paraId="4DC23BE7" w14:textId="77777777" w:rsidR="003A4194" w:rsidRPr="00D95643" w:rsidRDefault="003A4194" w:rsidP="003A4194">
      <w:pPr>
        <w:pStyle w:val="a0"/>
        <w:shd w:val="clear" w:color="auto" w:fill="auto"/>
        <w:spacing w:after="160" w:line="346" w:lineRule="auto"/>
        <w:ind w:firstLine="567"/>
        <w:rPr>
          <w:rFonts w:ascii="Sylfaen" w:hAnsi="Sylfaen" w:cs="Sylfaen"/>
          <w:sz w:val="24"/>
          <w:szCs w:val="24"/>
        </w:rPr>
      </w:pPr>
      <w:r w:rsidRPr="00D95643">
        <w:rPr>
          <w:rFonts w:ascii="Sylfaen" w:hAnsi="Sylfaen"/>
          <w:b/>
          <w:sz w:val="24"/>
          <w:szCs w:val="24"/>
        </w:rPr>
        <w:t>ՓԱԹԵԹՎԱԾՔԸ</w:t>
      </w:r>
    </w:p>
    <w:p w14:paraId="2F80FD29"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Օշարակների փաթեթվածքը կարող է լինել միադեղաչափ </w:t>
      </w:r>
      <w:r>
        <w:rPr>
          <w:rFonts w:ascii="Sylfaen" w:hAnsi="Sylfaen"/>
          <w:sz w:val="24"/>
          <w:szCs w:val="24"/>
        </w:rPr>
        <w:t>եւ</w:t>
      </w:r>
      <w:r w:rsidRPr="00D95643">
        <w:rPr>
          <w:rFonts w:ascii="Sylfaen" w:hAnsi="Sylfaen"/>
          <w:sz w:val="24"/>
          <w:szCs w:val="24"/>
        </w:rPr>
        <w:t xml:space="preserve"> բազմադեղաչափ։</w:t>
      </w:r>
    </w:p>
    <w:p w14:paraId="027CEB7C"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Օշարակների բազմադեղաչափ փաթեթվածքը պետք է համալրված լինի չափիչ գդալի, չափիչ բաժակի, չափիչ թասակի, ներարկիչային բաժնավորիչի </w:t>
      </w:r>
      <w:r>
        <w:rPr>
          <w:rFonts w:ascii="Sylfaen" w:hAnsi="Sylfaen"/>
          <w:sz w:val="24"/>
          <w:szCs w:val="24"/>
        </w:rPr>
        <w:t>եւ</w:t>
      </w:r>
      <w:r w:rsidRPr="00D95643">
        <w:rPr>
          <w:rFonts w:ascii="Sylfaen" w:hAnsi="Sylfaen"/>
          <w:sz w:val="24"/>
          <w:szCs w:val="24"/>
        </w:rPr>
        <w:t xml:space="preserve"> այլնի տեսքով դեղաչափման միջոցով՝ դեղապատրաստուկի նշանակված դեղաչափի չափման համար։</w:t>
      </w:r>
    </w:p>
    <w:p w14:paraId="0D62A281" w14:textId="77777777" w:rsidR="003A4194" w:rsidRPr="00D95643" w:rsidRDefault="003A4194" w:rsidP="003A4194">
      <w:pPr>
        <w:pStyle w:val="a0"/>
        <w:shd w:val="clear" w:color="auto" w:fill="auto"/>
        <w:spacing w:after="160" w:line="346" w:lineRule="auto"/>
        <w:ind w:firstLine="567"/>
        <w:rPr>
          <w:rFonts w:ascii="Sylfaen" w:hAnsi="Sylfaen" w:cs="Sylfaen"/>
          <w:sz w:val="24"/>
          <w:szCs w:val="24"/>
        </w:rPr>
      </w:pPr>
    </w:p>
    <w:p w14:paraId="1C00FA05" w14:textId="77777777" w:rsidR="003A4194" w:rsidRPr="0035054F" w:rsidRDefault="003A4194" w:rsidP="003A4194">
      <w:pPr>
        <w:pStyle w:val="a0"/>
        <w:shd w:val="clear" w:color="auto" w:fill="auto"/>
        <w:spacing w:after="160" w:line="346" w:lineRule="auto"/>
        <w:ind w:firstLine="567"/>
        <w:jc w:val="right"/>
        <w:rPr>
          <w:rFonts w:ascii="Sylfaen" w:hAnsi="Sylfaen"/>
          <w:b/>
          <w:szCs w:val="24"/>
        </w:rPr>
      </w:pPr>
      <w:r w:rsidRPr="00D95643">
        <w:rPr>
          <w:rFonts w:ascii="Sylfaen" w:hAnsi="Sylfaen"/>
          <w:b/>
          <w:szCs w:val="24"/>
        </w:rPr>
        <w:t>205010029-2022</w:t>
      </w:r>
    </w:p>
    <w:p w14:paraId="6C846369" w14:textId="77777777" w:rsidR="003A4194" w:rsidRPr="0035054F" w:rsidRDefault="003A4194" w:rsidP="003A4194">
      <w:pPr>
        <w:pStyle w:val="a0"/>
        <w:shd w:val="clear" w:color="auto" w:fill="auto"/>
        <w:spacing w:after="160" w:line="346" w:lineRule="auto"/>
        <w:ind w:firstLine="567"/>
        <w:jc w:val="right"/>
        <w:rPr>
          <w:rFonts w:ascii="Sylfaen" w:hAnsi="Sylfaen" w:cs="Sylfaen"/>
          <w:szCs w:val="24"/>
        </w:rPr>
      </w:pPr>
    </w:p>
    <w:p w14:paraId="2DE6ABEE" w14:textId="77777777" w:rsidR="003A4194" w:rsidRPr="00D95643" w:rsidRDefault="003A4194" w:rsidP="003A4194">
      <w:pPr>
        <w:pStyle w:val="a0"/>
        <w:shd w:val="clear" w:color="auto" w:fill="auto"/>
        <w:tabs>
          <w:tab w:val="left" w:pos="1701"/>
        </w:tabs>
        <w:spacing w:after="160" w:line="346" w:lineRule="auto"/>
        <w:ind w:firstLine="567"/>
        <w:rPr>
          <w:rFonts w:ascii="Sylfaen" w:hAnsi="Sylfaen" w:cs="Sylfaen"/>
          <w:sz w:val="24"/>
          <w:szCs w:val="24"/>
        </w:rPr>
      </w:pPr>
      <w:r w:rsidRPr="00D95643">
        <w:rPr>
          <w:rFonts w:ascii="Sylfaen" w:hAnsi="Sylfaen"/>
          <w:b/>
          <w:sz w:val="24"/>
          <w:szCs w:val="24"/>
        </w:rPr>
        <w:t>2.5.1.29.</w:t>
      </w:r>
      <w:r w:rsidRPr="0035054F">
        <w:rPr>
          <w:rFonts w:ascii="Sylfaen" w:hAnsi="Sylfaen"/>
          <w:b/>
          <w:sz w:val="24"/>
          <w:szCs w:val="24"/>
        </w:rPr>
        <w:tab/>
      </w:r>
      <w:r w:rsidRPr="00D95643">
        <w:rPr>
          <w:rFonts w:ascii="Sylfaen" w:hAnsi="Sylfaen"/>
          <w:b/>
          <w:sz w:val="24"/>
          <w:szCs w:val="24"/>
        </w:rPr>
        <w:t>Թերապ</w:t>
      </w:r>
      <w:r>
        <w:rPr>
          <w:rFonts w:ascii="Sylfaen" w:hAnsi="Sylfaen"/>
          <w:b/>
          <w:sz w:val="24"/>
          <w:szCs w:val="24"/>
        </w:rPr>
        <w:t>եւ</w:t>
      </w:r>
      <w:r w:rsidRPr="00D95643">
        <w:rPr>
          <w:rFonts w:ascii="Sylfaen" w:hAnsi="Sylfaen"/>
          <w:b/>
          <w:sz w:val="24"/>
          <w:szCs w:val="24"/>
        </w:rPr>
        <w:t>տիկ համակարգերը</w:t>
      </w:r>
    </w:p>
    <w:p w14:paraId="055E9BD0"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«Թերապ</w:t>
      </w:r>
      <w:r>
        <w:rPr>
          <w:rFonts w:ascii="Sylfaen" w:hAnsi="Sylfaen"/>
          <w:sz w:val="24"/>
          <w:szCs w:val="24"/>
        </w:rPr>
        <w:t>եւ</w:t>
      </w:r>
      <w:r w:rsidRPr="00D95643">
        <w:rPr>
          <w:rFonts w:ascii="Sylfaen" w:hAnsi="Sylfaen"/>
          <w:sz w:val="24"/>
          <w:szCs w:val="24"/>
        </w:rPr>
        <w:t>տիկ համակարգեր»` դեղաձ</w:t>
      </w:r>
      <w:r>
        <w:rPr>
          <w:rFonts w:ascii="Sylfaen" w:hAnsi="Sylfaen"/>
          <w:sz w:val="24"/>
          <w:szCs w:val="24"/>
        </w:rPr>
        <w:t>եւ</w:t>
      </w:r>
      <w:r w:rsidRPr="00D95643">
        <w:rPr>
          <w:rFonts w:ascii="Sylfaen" w:hAnsi="Sylfaen"/>
          <w:sz w:val="24"/>
          <w:szCs w:val="24"/>
        </w:rPr>
        <w:t xml:space="preserve">, որն ազդող նյութի (նյութերի) մատակարարման </w:t>
      </w:r>
      <w:r>
        <w:rPr>
          <w:rFonts w:ascii="Sylfaen" w:hAnsi="Sylfaen"/>
          <w:sz w:val="24"/>
          <w:szCs w:val="24"/>
        </w:rPr>
        <w:t>եւ</w:t>
      </w:r>
      <w:r w:rsidRPr="00D95643">
        <w:rPr>
          <w:rFonts w:ascii="Sylfaen" w:hAnsi="Sylfaen"/>
          <w:sz w:val="24"/>
          <w:szCs w:val="24"/>
        </w:rPr>
        <w:t xml:space="preserve"> որպես կանոն, երկարատ</w:t>
      </w:r>
      <w:r>
        <w:rPr>
          <w:rFonts w:ascii="Sylfaen" w:hAnsi="Sylfaen"/>
          <w:sz w:val="24"/>
          <w:szCs w:val="24"/>
        </w:rPr>
        <w:t>եւ</w:t>
      </w:r>
      <w:r w:rsidRPr="00D95643">
        <w:rPr>
          <w:rFonts w:ascii="Sylfaen" w:hAnsi="Sylfaen"/>
          <w:sz w:val="24"/>
          <w:szCs w:val="24"/>
        </w:rPr>
        <w:t xml:space="preserve"> ժամանակահատվածի ընթացքում սպեցիֆիկ ձերբազատման համակարգ է: Ազդող նյութի (նյութերի) ձերբազատումը թերապ</w:t>
      </w:r>
      <w:r>
        <w:rPr>
          <w:rFonts w:ascii="Sylfaen" w:hAnsi="Sylfaen"/>
          <w:sz w:val="24"/>
          <w:szCs w:val="24"/>
        </w:rPr>
        <w:t>եւ</w:t>
      </w:r>
      <w:r w:rsidRPr="00D95643">
        <w:rPr>
          <w:rFonts w:ascii="Sylfaen" w:hAnsi="Sylfaen"/>
          <w:sz w:val="24"/>
          <w:szCs w:val="24"/>
        </w:rPr>
        <w:t>տիկ համակարգից իրականացվում է ծրագրավորված եղանակով։</w:t>
      </w:r>
    </w:p>
    <w:p w14:paraId="198C1F94"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Սույն ընդհանուր դեղագրքային հոդվածը չի տարածվում անասնաբուժական կիրառման համար նախատեսված թերապ</w:t>
      </w:r>
      <w:r>
        <w:rPr>
          <w:rFonts w:ascii="Sylfaen" w:hAnsi="Sylfaen"/>
          <w:sz w:val="24"/>
          <w:szCs w:val="24"/>
        </w:rPr>
        <w:t>եւ</w:t>
      </w:r>
      <w:r w:rsidRPr="00D95643">
        <w:rPr>
          <w:rFonts w:ascii="Sylfaen" w:hAnsi="Sylfaen"/>
          <w:sz w:val="24"/>
          <w:szCs w:val="24"/>
        </w:rPr>
        <w:t>տիկ համակարգերի վրա։</w:t>
      </w:r>
    </w:p>
    <w:p w14:paraId="2FA44044"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z w:val="24"/>
          <w:szCs w:val="24"/>
        </w:rPr>
        <w:t>«Թերապեւտիկ համակարգ»</w:t>
      </w:r>
      <w:r w:rsidRPr="00D95643">
        <w:rPr>
          <w:rFonts w:ascii="Sylfaen" w:hAnsi="Sylfaen"/>
          <w:sz w:val="24"/>
          <w:szCs w:val="24"/>
        </w:rPr>
        <w:t xml:space="preserve"> եզրույթը դեղաձ</w:t>
      </w:r>
      <w:r>
        <w:rPr>
          <w:rFonts w:ascii="Sylfaen" w:hAnsi="Sylfaen"/>
          <w:sz w:val="24"/>
          <w:szCs w:val="24"/>
        </w:rPr>
        <w:t>եւ</w:t>
      </w:r>
      <w:r w:rsidRPr="00D95643">
        <w:rPr>
          <w:rFonts w:ascii="Sylfaen" w:hAnsi="Sylfaen"/>
          <w:sz w:val="24"/>
          <w:szCs w:val="24"/>
        </w:rPr>
        <w:t>ի նշագրման համար թույլատրվում է օգտագործել միայն այն դեպքում, երբ թերապ</w:t>
      </w:r>
      <w:r>
        <w:rPr>
          <w:rFonts w:ascii="Sylfaen" w:hAnsi="Sylfaen"/>
          <w:sz w:val="24"/>
          <w:szCs w:val="24"/>
        </w:rPr>
        <w:t>եւ</w:t>
      </w:r>
      <w:r w:rsidRPr="00D95643">
        <w:rPr>
          <w:rFonts w:ascii="Sylfaen" w:hAnsi="Sylfaen"/>
          <w:sz w:val="24"/>
          <w:szCs w:val="24"/>
        </w:rPr>
        <w:t>տիկ համակարգերի համանման ազդեցություն ունեցող դեղաձ</w:t>
      </w:r>
      <w:r>
        <w:rPr>
          <w:rFonts w:ascii="Sylfaen" w:hAnsi="Sylfaen"/>
          <w:sz w:val="24"/>
          <w:szCs w:val="24"/>
        </w:rPr>
        <w:t>եւ</w:t>
      </w:r>
      <w:r w:rsidRPr="00D95643">
        <w:rPr>
          <w:rFonts w:ascii="Sylfaen" w:hAnsi="Sylfaen"/>
          <w:sz w:val="24"/>
          <w:szCs w:val="24"/>
        </w:rPr>
        <w:t xml:space="preserve">ի նշագրման համար կիրառելի չեն այլ, ավելի հարմար եզրույթներ, օրինակ՝ թաղանթներ, իմպլանտատներ, վերմաշկային սպեղանիներ </w:t>
      </w:r>
      <w:r>
        <w:rPr>
          <w:rFonts w:ascii="Sylfaen" w:hAnsi="Sylfaen"/>
          <w:sz w:val="24"/>
          <w:szCs w:val="24"/>
        </w:rPr>
        <w:t>եւ</w:t>
      </w:r>
      <w:r w:rsidRPr="00D95643">
        <w:rPr>
          <w:rFonts w:ascii="Sylfaen" w:hAnsi="Sylfaen"/>
          <w:sz w:val="24"/>
          <w:szCs w:val="24"/>
        </w:rPr>
        <w:t xml:space="preserve"> այլն։</w:t>
      </w:r>
    </w:p>
    <w:p w14:paraId="4B423FD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Դեղաձ</w:t>
      </w:r>
      <w:r>
        <w:rPr>
          <w:rFonts w:ascii="Sylfaen" w:hAnsi="Sylfaen"/>
          <w:sz w:val="24"/>
          <w:szCs w:val="24"/>
        </w:rPr>
        <w:t>եւ</w:t>
      </w:r>
      <w:r w:rsidRPr="00D95643">
        <w:rPr>
          <w:rFonts w:ascii="Sylfaen" w:hAnsi="Sylfaen"/>
          <w:sz w:val="24"/>
          <w:szCs w:val="24"/>
        </w:rPr>
        <w:t>ի ճիշտ օգտագործման համար թերապ</w:t>
      </w:r>
      <w:r>
        <w:rPr>
          <w:rFonts w:ascii="Sylfaen" w:hAnsi="Sylfaen"/>
          <w:sz w:val="24"/>
          <w:szCs w:val="24"/>
        </w:rPr>
        <w:t>եւ</w:t>
      </w:r>
      <w:r w:rsidRPr="00D95643">
        <w:rPr>
          <w:rFonts w:ascii="Sylfaen" w:hAnsi="Sylfaen"/>
          <w:sz w:val="24"/>
          <w:szCs w:val="24"/>
        </w:rPr>
        <w:t>տիկ համակարգի անվանման մեջ պարտադիր պետք է նշվի ներմուծման եղանակը։</w:t>
      </w:r>
    </w:p>
    <w:p w14:paraId="47977AA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Հեշտոցային թերապ</w:t>
      </w:r>
      <w:r>
        <w:rPr>
          <w:rFonts w:ascii="Sylfaen" w:hAnsi="Sylfaen"/>
          <w:i/>
          <w:sz w:val="24"/>
          <w:szCs w:val="24"/>
        </w:rPr>
        <w:t>եւ</w:t>
      </w:r>
      <w:r w:rsidRPr="00D95643">
        <w:rPr>
          <w:rFonts w:ascii="Sylfaen" w:hAnsi="Sylfaen"/>
          <w:i/>
          <w:sz w:val="24"/>
          <w:szCs w:val="24"/>
        </w:rPr>
        <w:t>տիկ համակարգ</w:t>
      </w:r>
      <w:r w:rsidRPr="00D95643">
        <w:rPr>
          <w:rFonts w:ascii="Sylfaen" w:hAnsi="Sylfaen"/>
          <w:sz w:val="24"/>
          <w:szCs w:val="24"/>
        </w:rPr>
        <w:t xml:space="preserve">՝ համակարգ, որը նախատեսված է ազդող նյութի՝ հեշտոց ներմուծման </w:t>
      </w:r>
      <w:r>
        <w:rPr>
          <w:rFonts w:ascii="Sylfaen" w:hAnsi="Sylfaen"/>
          <w:sz w:val="24"/>
          <w:szCs w:val="24"/>
        </w:rPr>
        <w:t>եւ</w:t>
      </w:r>
      <w:r w:rsidRPr="00D95643">
        <w:rPr>
          <w:rFonts w:ascii="Sylfaen" w:hAnsi="Sylfaen"/>
          <w:sz w:val="24"/>
          <w:szCs w:val="24"/>
        </w:rPr>
        <w:t xml:space="preserve"> ձերբազատման համար։</w:t>
      </w:r>
    </w:p>
    <w:p w14:paraId="19498CA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803B34">
        <w:rPr>
          <w:rFonts w:ascii="Sylfaen" w:hAnsi="Sylfaen"/>
          <w:i/>
          <w:spacing w:val="-4"/>
          <w:sz w:val="24"/>
          <w:szCs w:val="24"/>
        </w:rPr>
        <w:t>Ներարգանդային թերապեւտիկ համակարգ</w:t>
      </w:r>
      <w:r w:rsidRPr="00803B34">
        <w:rPr>
          <w:rFonts w:ascii="Sylfaen" w:hAnsi="Sylfaen"/>
          <w:spacing w:val="-4"/>
          <w:sz w:val="24"/>
          <w:szCs w:val="24"/>
        </w:rPr>
        <w:t>՝ համակարգ, որը նախատեսված է ազդող</w:t>
      </w:r>
      <w:r w:rsidRPr="00D95643">
        <w:rPr>
          <w:rFonts w:ascii="Sylfaen" w:hAnsi="Sylfaen"/>
          <w:sz w:val="24"/>
          <w:szCs w:val="24"/>
        </w:rPr>
        <w:t xml:space="preserve"> նյութի՝ արգանդի խոռոչ ներմուծման </w:t>
      </w:r>
      <w:r>
        <w:rPr>
          <w:rFonts w:ascii="Sylfaen" w:hAnsi="Sylfaen"/>
          <w:sz w:val="24"/>
          <w:szCs w:val="24"/>
        </w:rPr>
        <w:t>եւ</w:t>
      </w:r>
      <w:r w:rsidRPr="00D95643">
        <w:rPr>
          <w:rFonts w:ascii="Sylfaen" w:hAnsi="Sylfaen"/>
          <w:sz w:val="24"/>
          <w:szCs w:val="24"/>
        </w:rPr>
        <w:t xml:space="preserve"> ձերբազատման համար։</w:t>
      </w:r>
    </w:p>
    <w:p w14:paraId="35A57B52"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Տարբերակում են թերապ</w:t>
      </w:r>
      <w:r>
        <w:rPr>
          <w:rFonts w:ascii="Sylfaen" w:hAnsi="Sylfaen"/>
          <w:sz w:val="24"/>
          <w:szCs w:val="24"/>
        </w:rPr>
        <w:t>եւ</w:t>
      </w:r>
      <w:r w:rsidRPr="00D95643">
        <w:rPr>
          <w:rFonts w:ascii="Sylfaen" w:hAnsi="Sylfaen"/>
          <w:sz w:val="24"/>
          <w:szCs w:val="24"/>
        </w:rPr>
        <w:t xml:space="preserve">տիկ համակարգեր, որոնք մարդու օրգանիզմի վրա ընդհանուր (համակարգային) ազդեցություն են գործում, </w:t>
      </w:r>
      <w:r>
        <w:rPr>
          <w:rFonts w:ascii="Sylfaen" w:hAnsi="Sylfaen"/>
          <w:sz w:val="24"/>
          <w:szCs w:val="24"/>
        </w:rPr>
        <w:t>եւ</w:t>
      </w:r>
      <w:r w:rsidRPr="00D95643">
        <w:rPr>
          <w:rFonts w:ascii="Sylfaen" w:hAnsi="Sylfaen"/>
          <w:sz w:val="24"/>
          <w:szCs w:val="24"/>
        </w:rPr>
        <w:t xml:space="preserve"> թերապ</w:t>
      </w:r>
      <w:r>
        <w:rPr>
          <w:rFonts w:ascii="Sylfaen" w:hAnsi="Sylfaen"/>
          <w:sz w:val="24"/>
          <w:szCs w:val="24"/>
        </w:rPr>
        <w:t>եւ</w:t>
      </w:r>
      <w:r w:rsidRPr="00D95643">
        <w:rPr>
          <w:rFonts w:ascii="Sylfaen" w:hAnsi="Sylfaen"/>
          <w:sz w:val="24"/>
          <w:szCs w:val="24"/>
        </w:rPr>
        <w:t>տիկ համակարգեր՝ տրված օրգանին (հյուսվածքին)՝ թիրախին ազդող նյութի ուղղված մատակարարմամբ։</w:t>
      </w:r>
    </w:p>
    <w:p w14:paraId="2878C96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Թերապ</w:t>
      </w:r>
      <w:r>
        <w:rPr>
          <w:rFonts w:ascii="Sylfaen" w:hAnsi="Sylfaen"/>
          <w:sz w:val="24"/>
          <w:szCs w:val="24"/>
        </w:rPr>
        <w:t>եւ</w:t>
      </w:r>
      <w:r w:rsidRPr="00D95643">
        <w:rPr>
          <w:rFonts w:ascii="Sylfaen" w:hAnsi="Sylfaen"/>
          <w:sz w:val="24"/>
          <w:szCs w:val="24"/>
        </w:rPr>
        <w:t>տիկ համակարգը կարող է ունենալ մատակարարման սարք։ Եթե թերապ</w:t>
      </w:r>
      <w:r>
        <w:rPr>
          <w:rFonts w:ascii="Sylfaen" w:hAnsi="Sylfaen"/>
          <w:sz w:val="24"/>
          <w:szCs w:val="24"/>
        </w:rPr>
        <w:t>եւ</w:t>
      </w:r>
      <w:r w:rsidRPr="00D95643">
        <w:rPr>
          <w:rFonts w:ascii="Sylfaen" w:hAnsi="Sylfaen"/>
          <w:sz w:val="24"/>
          <w:szCs w:val="24"/>
        </w:rPr>
        <w:t>տիկ համակարգի մակնշվածքում այլ բան նշված չէ, ապա մատակարարման սարքը պետք է հեռացվի օգտագործումից հետո։</w:t>
      </w:r>
    </w:p>
    <w:p w14:paraId="3CD3AC1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pacing w:val="-4"/>
          <w:sz w:val="24"/>
          <w:szCs w:val="24"/>
        </w:rPr>
        <w:t>Թերապեւտիկ համակարգում ազդող նյութերի դեղաչափման նշագիրը կարող է նշվել որպես ազդող նյութի քանակ, որը ձերբազատվում է դեղաձեւից որոշակի ժամանակահատվածի ընթացքում, օրինակ՝ 20 մկգ/24 ժամ, կամ որպես կոնցենտրացիա</w:t>
      </w:r>
      <w:r w:rsidRPr="00D95643">
        <w:rPr>
          <w:rFonts w:ascii="Sylfaen" w:hAnsi="Sylfaen"/>
          <w:sz w:val="24"/>
          <w:szCs w:val="24"/>
        </w:rPr>
        <w:t xml:space="preserve"> դեղապատրաստուկի անվանման մեջ, օրինակ՝ տոկոսներով։</w:t>
      </w:r>
    </w:p>
    <w:p w14:paraId="1F7CE9B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61F97CF"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550F90C0"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Թերապ</w:t>
      </w:r>
      <w:r>
        <w:rPr>
          <w:rFonts w:ascii="Sylfaen" w:hAnsi="Sylfaen"/>
          <w:sz w:val="24"/>
          <w:szCs w:val="24"/>
        </w:rPr>
        <w:t>եւ</w:t>
      </w:r>
      <w:r w:rsidRPr="00D95643">
        <w:rPr>
          <w:rFonts w:ascii="Sylfaen" w:hAnsi="Sylfaen"/>
          <w:sz w:val="24"/>
          <w:szCs w:val="24"/>
        </w:rPr>
        <w:t xml:space="preserve">տիկ համակարգերի հիմնական բաղադրիչներն են դեղապատրաստուկի համար ռեզերվուարը </w:t>
      </w:r>
      <w:r>
        <w:rPr>
          <w:rFonts w:ascii="Sylfaen" w:hAnsi="Sylfaen"/>
          <w:sz w:val="24"/>
          <w:szCs w:val="24"/>
        </w:rPr>
        <w:t>եւ</w:t>
      </w:r>
      <w:r w:rsidRPr="00D95643">
        <w:rPr>
          <w:rFonts w:ascii="Sylfaen" w:hAnsi="Sylfaen"/>
          <w:sz w:val="24"/>
          <w:szCs w:val="24"/>
        </w:rPr>
        <w:t xml:space="preserve"> մեմբրանը (մեմբրանները), որոնք ապահովում են այդ թվում ազդող նյութի ձերբազատման ծրագրավորված (վերահսկվող) արագությունը որոշակի ժամանակահատվածի ընթացքում։ Դեղաձ</w:t>
      </w:r>
      <w:r>
        <w:rPr>
          <w:rFonts w:ascii="Sylfaen" w:hAnsi="Sylfaen"/>
          <w:sz w:val="24"/>
          <w:szCs w:val="24"/>
        </w:rPr>
        <w:t>եւ</w:t>
      </w:r>
      <w:r w:rsidRPr="00D95643">
        <w:rPr>
          <w:rFonts w:ascii="Sylfaen" w:hAnsi="Sylfaen"/>
          <w:sz w:val="24"/>
          <w:szCs w:val="24"/>
        </w:rPr>
        <w:t>ի՝ կիրառման տեղ մատակարարելու սարքերը կարող են ունենալ տարբեր ձ</w:t>
      </w:r>
      <w:r>
        <w:rPr>
          <w:rFonts w:ascii="Sylfaen" w:hAnsi="Sylfaen"/>
          <w:sz w:val="24"/>
          <w:szCs w:val="24"/>
        </w:rPr>
        <w:t>եւ</w:t>
      </w:r>
      <w:r w:rsidRPr="00D95643">
        <w:rPr>
          <w:rFonts w:ascii="Sylfaen" w:hAnsi="Sylfaen"/>
          <w:sz w:val="24"/>
          <w:szCs w:val="24"/>
        </w:rPr>
        <w:t>եր, որոնցով որոշվում է համակարգի արտաքին տեսքը։</w:t>
      </w:r>
    </w:p>
    <w:p w14:paraId="51310A90"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616F16F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3A4194">
        <w:rPr>
          <w:rFonts w:ascii="Sylfaen" w:hAnsi="Sylfaen"/>
          <w:sz w:val="24"/>
          <w:szCs w:val="24"/>
        </w:rPr>
        <w:lastRenderedPageBreak/>
        <w:t xml:space="preserve">Թերապեւտիկ համակարգեր արտադրելիս որպես օժանդակ նյութեր </w:t>
      </w:r>
      <w:r w:rsidRPr="003A4194">
        <w:rPr>
          <w:rFonts w:ascii="Sylfaen" w:hAnsi="Sylfaen"/>
          <w:spacing w:val="-6"/>
          <w:sz w:val="24"/>
          <w:szCs w:val="24"/>
        </w:rPr>
        <w:t>օգտագործում են կենսահամատեղելի պոլիմերային նյութեր, որոնց մեջ ներմուծում են ակտիվ դեղագործական բաղադրամասը (բաղադրամասերը)։ Դեղապատրաստուկը կիրառելիս պոլիմերային կրիչով ակտիվ դեղագործական բաղադրամասի ներմուծումը դեղաձեւի մեջ պետք է ապահովի դրա գործողության երկարաձգումը, պոլիմերային հիմքից ազդող նյութի վերահսկվող ձերբազատումը տրված ժամանակի</w:t>
      </w:r>
      <w:r w:rsidRPr="00D95643">
        <w:rPr>
          <w:rFonts w:ascii="Sylfaen" w:hAnsi="Sylfaen"/>
          <w:sz w:val="24"/>
          <w:szCs w:val="24"/>
        </w:rPr>
        <w:t xml:space="preserve"> միջակայքում </w:t>
      </w:r>
      <w:r>
        <w:rPr>
          <w:rFonts w:ascii="Sylfaen" w:hAnsi="Sylfaen"/>
          <w:sz w:val="24"/>
          <w:szCs w:val="24"/>
        </w:rPr>
        <w:t>եւ</w:t>
      </w:r>
      <w:r w:rsidRPr="00D95643">
        <w:rPr>
          <w:rFonts w:ascii="Sylfaen" w:hAnsi="Sylfaen"/>
          <w:sz w:val="24"/>
          <w:szCs w:val="24"/>
        </w:rPr>
        <w:t xml:space="preserve"> այլ անհրաժեշտ կենսադեղագործական պարամետրեր։ Ակտիվ դեղագործական բաղադրամասերը </w:t>
      </w:r>
      <w:r>
        <w:rPr>
          <w:rFonts w:ascii="Sylfaen" w:hAnsi="Sylfaen"/>
          <w:sz w:val="24"/>
          <w:szCs w:val="24"/>
        </w:rPr>
        <w:t>եւ</w:t>
      </w:r>
      <w:r w:rsidRPr="00D95643">
        <w:rPr>
          <w:rFonts w:ascii="Sylfaen" w:hAnsi="Sylfaen"/>
          <w:sz w:val="24"/>
          <w:szCs w:val="24"/>
        </w:rPr>
        <w:t xml:space="preserve"> օժանդակ նյութերը, մատակարարման սարքը, փաթեթվածքի նյութը պետք է համատեղելի լինեն միմյանց </w:t>
      </w:r>
      <w:r>
        <w:rPr>
          <w:rFonts w:ascii="Sylfaen" w:hAnsi="Sylfaen"/>
          <w:sz w:val="24"/>
          <w:szCs w:val="24"/>
        </w:rPr>
        <w:t>եւ</w:t>
      </w:r>
      <w:r w:rsidRPr="00D95643">
        <w:rPr>
          <w:rFonts w:ascii="Sylfaen" w:hAnsi="Sylfaen"/>
          <w:sz w:val="24"/>
          <w:szCs w:val="24"/>
        </w:rPr>
        <w:t xml:space="preserve"> դեղապատրաստուկի մյուս բաղադրիչների հետ։ Որպես պոլիմերային նյութ՝ կրիչ, օգտագործվում է, օրինակ՝ պոլիդիմեթիլսիլօքսանային էլաստոմեր </w:t>
      </w:r>
      <w:r>
        <w:rPr>
          <w:rFonts w:ascii="Sylfaen" w:hAnsi="Sylfaen"/>
          <w:sz w:val="24"/>
          <w:szCs w:val="24"/>
        </w:rPr>
        <w:t>եւ</w:t>
      </w:r>
      <w:r w:rsidRPr="00D95643">
        <w:rPr>
          <w:rFonts w:ascii="Sylfaen" w:hAnsi="Sylfaen"/>
          <w:sz w:val="24"/>
          <w:szCs w:val="24"/>
        </w:rPr>
        <w:t xml:space="preserve"> այլն։</w:t>
      </w:r>
    </w:p>
    <w:p w14:paraId="7DD10E1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Թերապ</w:t>
      </w:r>
      <w:r>
        <w:rPr>
          <w:rFonts w:ascii="Sylfaen" w:hAnsi="Sylfaen"/>
          <w:i/>
          <w:sz w:val="24"/>
          <w:szCs w:val="24"/>
        </w:rPr>
        <w:t>եւ</w:t>
      </w:r>
      <w:r w:rsidRPr="00D95643">
        <w:rPr>
          <w:rFonts w:ascii="Sylfaen" w:hAnsi="Sylfaen"/>
          <w:i/>
          <w:sz w:val="24"/>
          <w:szCs w:val="24"/>
        </w:rPr>
        <w:t>տիկ համակարգեր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ստանալիս պետք է ձեռնարկվեն դրանց միկրոկենսաբանական մաքրությունն ապահովող միջոցներ, սահմանված դեպքերում պետք է ձեռնարկվեն դրանց մանրէազերծությունն ապահովող միջոցներ։</w:t>
      </w:r>
    </w:p>
    <w:p w14:paraId="5815AA8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523C86D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ՓՈՐՁԱՐԿՈՒՄՆԵՐԸ</w:t>
      </w:r>
    </w:p>
    <w:p w14:paraId="770CBE1D" w14:textId="77777777" w:rsidR="003A4194" w:rsidRPr="00D95643" w:rsidRDefault="003A4194" w:rsidP="003A4194">
      <w:pPr>
        <w:spacing w:after="160" w:line="360" w:lineRule="auto"/>
        <w:ind w:firstLine="567"/>
        <w:jc w:val="both"/>
      </w:pPr>
      <w:r w:rsidRPr="00D95643">
        <w:t>Թերապ</w:t>
      </w:r>
      <w:r>
        <w:t>եւ</w:t>
      </w:r>
      <w:r w:rsidRPr="00D95643">
        <w:t xml:space="preserve">տիկ համակարգերը պետք է համապատասխանեն </w:t>
      </w:r>
      <w:r w:rsidRPr="00D95643">
        <w:rPr>
          <w:i/>
        </w:rPr>
        <w:t>2.5.1.1</w:t>
      </w:r>
      <w:r w:rsidRPr="00D95643">
        <w:t xml:space="preserve">. </w:t>
      </w:r>
      <w:r w:rsidRPr="00D95643">
        <w:rPr>
          <w:i/>
        </w:rPr>
        <w:t>Դեղաձ</w:t>
      </w:r>
      <w:r>
        <w:rPr>
          <w:i/>
        </w:rPr>
        <w:t>եւ</w:t>
      </w:r>
      <w:r w:rsidRPr="00D95643">
        <w:rPr>
          <w:i/>
        </w:rPr>
        <w:t>եր</w:t>
      </w:r>
      <w:r w:rsidRPr="00D95643">
        <w:t xml:space="preserve"> ընդհանուր դեղագրքային հոդվածի ընդհանուր պահանջներին</w:t>
      </w:r>
      <w:r w:rsidRPr="00D95643">
        <w:rPr>
          <w:i/>
        </w:rPr>
        <w:t xml:space="preserve"> </w:t>
      </w:r>
      <w:r>
        <w:t>եւ</w:t>
      </w:r>
      <w:r w:rsidRPr="00D95643">
        <w:t xml:space="preserve"> դիմանան տվյալ դեղաձ</w:t>
      </w:r>
      <w:r>
        <w:t>եւ</w:t>
      </w:r>
      <w:r w:rsidRPr="00D95643">
        <w:t>ին բնորոշ փորձարկումներին։</w:t>
      </w:r>
    </w:p>
    <w:p w14:paraId="3EE6559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Թերապ</w:t>
      </w:r>
      <w:r>
        <w:rPr>
          <w:rFonts w:ascii="Sylfaen" w:hAnsi="Sylfaen"/>
          <w:sz w:val="24"/>
          <w:szCs w:val="24"/>
        </w:rPr>
        <w:t>եւ</w:t>
      </w:r>
      <w:r w:rsidRPr="00D95643">
        <w:rPr>
          <w:rFonts w:ascii="Sylfaen" w:hAnsi="Sylfaen"/>
          <w:sz w:val="24"/>
          <w:szCs w:val="24"/>
        </w:rPr>
        <w:t xml:space="preserve">տիկ համակարգերը բնութագրում են՝ նշելով արտաքին տեսքը, ներառյալ՝ մատակարարման սարքի նկարագրությունը՝ մասնավոր դեղագրքային հոդվածին </w:t>
      </w:r>
      <w:r>
        <w:rPr>
          <w:rFonts w:ascii="Sylfaen" w:hAnsi="Sylfaen"/>
          <w:sz w:val="24"/>
          <w:szCs w:val="24"/>
        </w:rPr>
        <w:t>եւ</w:t>
      </w:r>
      <w:r w:rsidRPr="00D95643">
        <w:rPr>
          <w:rFonts w:ascii="Sylfaen" w:hAnsi="Sylfaen"/>
          <w:sz w:val="24"/>
          <w:szCs w:val="24"/>
        </w:rPr>
        <w:t xml:space="preserve"> որակի վերաբերյալ նորմատիվ փաստաթղթին համապատասխան։</w:t>
      </w:r>
    </w:p>
    <w:p w14:paraId="256E9A3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Լուծումը. </w:t>
      </w:r>
      <w:r w:rsidRPr="00D95643">
        <w:rPr>
          <w:rFonts w:ascii="Sylfaen" w:hAnsi="Sylfaen"/>
          <w:sz w:val="24"/>
          <w:szCs w:val="24"/>
        </w:rPr>
        <w:t xml:space="preserve">Փորձարկումն անցկացնում են մասնավոր դեղագրքային հոդվածում կամ որակի վերաբերյալ նորմատիվ փաստաթղթում նշված մեթոդիկային </w:t>
      </w:r>
      <w:r>
        <w:rPr>
          <w:rFonts w:ascii="Sylfaen" w:hAnsi="Sylfaen"/>
          <w:sz w:val="24"/>
          <w:szCs w:val="24"/>
        </w:rPr>
        <w:t>եւ</w:t>
      </w:r>
      <w:r w:rsidRPr="00D95643">
        <w:rPr>
          <w:rFonts w:ascii="Sylfaen" w:hAnsi="Sylfaen"/>
          <w:sz w:val="24"/>
          <w:szCs w:val="24"/>
        </w:rPr>
        <w:t xml:space="preserve"> պահանջներին համապատասխան։ Որոշում են ազդող նյութի </w:t>
      </w:r>
      <w:r w:rsidRPr="00D95643">
        <w:rPr>
          <w:rFonts w:ascii="Sylfaen" w:hAnsi="Sylfaen"/>
          <w:sz w:val="24"/>
          <w:szCs w:val="24"/>
        </w:rPr>
        <w:lastRenderedPageBreak/>
        <w:t>քանակը, որը պետք է ձերբազատվի թերապ</w:t>
      </w:r>
      <w:r>
        <w:rPr>
          <w:rFonts w:ascii="Sylfaen" w:hAnsi="Sylfaen"/>
          <w:sz w:val="24"/>
          <w:szCs w:val="24"/>
        </w:rPr>
        <w:t>եւ</w:t>
      </w:r>
      <w:r w:rsidRPr="00D95643">
        <w:rPr>
          <w:rFonts w:ascii="Sylfaen" w:hAnsi="Sylfaen"/>
          <w:sz w:val="24"/>
          <w:szCs w:val="24"/>
        </w:rPr>
        <w:t>տիկ համակարգից լուծման միջավայր որոշակի ժամանակահատվածում։</w:t>
      </w:r>
    </w:p>
    <w:p w14:paraId="1F1DE17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Ամրությունը. </w:t>
      </w:r>
      <w:r w:rsidRPr="00D95643">
        <w:rPr>
          <w:rFonts w:ascii="Sylfaen" w:hAnsi="Sylfaen"/>
          <w:sz w:val="24"/>
          <w:szCs w:val="24"/>
        </w:rPr>
        <w:t xml:space="preserve">Փորձարկումն անցկացվում է, եթե նշված է մասնավոր դեղագրքային հոդվածում կամ որակի վերաբերյալ նորմատիվ փաստաթղթում՝ մասնավոր դեղագրքային հոդվածի կամ որակի վերաբերյալ նորմատիվ փաստաթղթի մեթոդիկային </w:t>
      </w:r>
      <w:r>
        <w:rPr>
          <w:rFonts w:ascii="Sylfaen" w:hAnsi="Sylfaen"/>
          <w:sz w:val="24"/>
          <w:szCs w:val="24"/>
        </w:rPr>
        <w:t>եւ</w:t>
      </w:r>
      <w:r w:rsidRPr="00D95643">
        <w:rPr>
          <w:rFonts w:ascii="Sylfaen" w:hAnsi="Sylfaen"/>
          <w:sz w:val="24"/>
          <w:szCs w:val="24"/>
        </w:rPr>
        <w:t xml:space="preserve"> պահանջներին համապատասխան։</w:t>
      </w:r>
    </w:p>
    <w:p w14:paraId="585FEE72"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p>
    <w:p w14:paraId="734B5F2E" w14:textId="77777777" w:rsidR="003A4194" w:rsidRPr="003A4194"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205010030-2022</w:t>
      </w:r>
    </w:p>
    <w:p w14:paraId="2D8F6AC3" w14:textId="77777777" w:rsidR="003A4194" w:rsidRPr="003A4194" w:rsidRDefault="003A4194" w:rsidP="003A4194">
      <w:pPr>
        <w:pStyle w:val="a0"/>
        <w:shd w:val="clear" w:color="auto" w:fill="auto"/>
        <w:spacing w:after="160" w:line="360" w:lineRule="auto"/>
        <w:ind w:firstLine="567"/>
        <w:jc w:val="right"/>
        <w:rPr>
          <w:rFonts w:ascii="Sylfaen" w:hAnsi="Sylfaen" w:cs="Sylfaen"/>
          <w:szCs w:val="24"/>
        </w:rPr>
      </w:pPr>
    </w:p>
    <w:p w14:paraId="71FF88D6" w14:textId="77777777" w:rsidR="003A4194" w:rsidRPr="003A4194" w:rsidRDefault="003A4194" w:rsidP="003A4194">
      <w:pPr>
        <w:pStyle w:val="a0"/>
        <w:shd w:val="clear" w:color="auto" w:fill="auto"/>
        <w:tabs>
          <w:tab w:val="left" w:pos="1701"/>
        </w:tabs>
        <w:spacing w:after="160" w:line="360" w:lineRule="auto"/>
        <w:ind w:firstLine="567"/>
        <w:rPr>
          <w:rFonts w:ascii="Sylfaen" w:hAnsi="Sylfaen"/>
          <w:b/>
          <w:sz w:val="24"/>
          <w:szCs w:val="24"/>
        </w:rPr>
      </w:pPr>
      <w:r w:rsidRPr="00D95643">
        <w:rPr>
          <w:rFonts w:ascii="Sylfaen" w:hAnsi="Sylfaen"/>
          <w:b/>
          <w:sz w:val="24"/>
          <w:szCs w:val="24"/>
        </w:rPr>
        <w:t>2.5.1.30.</w:t>
      </w:r>
      <w:r w:rsidRPr="003A4194">
        <w:rPr>
          <w:rFonts w:ascii="Sylfaen" w:hAnsi="Sylfaen"/>
          <w:b/>
          <w:sz w:val="24"/>
          <w:szCs w:val="24"/>
        </w:rPr>
        <w:tab/>
      </w:r>
      <w:r w:rsidRPr="00D95643">
        <w:rPr>
          <w:rFonts w:ascii="Sylfaen" w:hAnsi="Sylfaen"/>
          <w:b/>
          <w:sz w:val="24"/>
          <w:szCs w:val="24"/>
        </w:rPr>
        <w:t>Հյութեր</w:t>
      </w:r>
    </w:p>
    <w:p w14:paraId="73317D5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«Հյութեր»՝</w:t>
      </w:r>
      <w:r w:rsidRPr="00D95643">
        <w:rPr>
          <w:rFonts w:ascii="Sylfaen" w:hAnsi="Sylfaen"/>
          <w:sz w:val="24"/>
          <w:szCs w:val="24"/>
        </w:rPr>
        <w:t xml:space="preserve"> հեղուկ դեղաձ</w:t>
      </w:r>
      <w:r>
        <w:rPr>
          <w:rFonts w:ascii="Sylfaen" w:hAnsi="Sylfaen"/>
          <w:sz w:val="24"/>
          <w:szCs w:val="24"/>
        </w:rPr>
        <w:t>եւ</w:t>
      </w:r>
      <w:r w:rsidRPr="00D95643">
        <w:rPr>
          <w:rFonts w:ascii="Sylfaen" w:hAnsi="Sylfaen"/>
          <w:sz w:val="24"/>
          <w:szCs w:val="24"/>
        </w:rPr>
        <w:t xml:space="preserve">, որը թարմ դեղաբուսական հումքից ստացված՝ քամած հյութ է՝ ակտիվ դեղագործական բաղադրամասերի </w:t>
      </w:r>
      <w:r>
        <w:rPr>
          <w:rFonts w:ascii="Sylfaen" w:hAnsi="Sylfaen"/>
          <w:sz w:val="24"/>
          <w:szCs w:val="24"/>
        </w:rPr>
        <w:t>եւ</w:t>
      </w:r>
      <w:r w:rsidRPr="00D95643">
        <w:rPr>
          <w:rFonts w:ascii="Sylfaen" w:hAnsi="Sylfaen"/>
          <w:sz w:val="24"/>
          <w:szCs w:val="24"/>
        </w:rPr>
        <w:t xml:space="preserve"> (կամ) օժանդակ նյութերի ավելացմամբ։</w:t>
      </w:r>
    </w:p>
    <w:p w14:paraId="4CA164C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Հյութերը բաժանվում են պարզ հյութերի, որոնք ստացվել են մեկ տեսակի դեղաբուսական հումքից, </w:t>
      </w:r>
      <w:r>
        <w:rPr>
          <w:rFonts w:ascii="Sylfaen" w:hAnsi="Sylfaen"/>
          <w:sz w:val="24"/>
          <w:szCs w:val="24"/>
        </w:rPr>
        <w:t>եւ</w:t>
      </w:r>
      <w:r w:rsidRPr="00D95643">
        <w:rPr>
          <w:rFonts w:ascii="Sylfaen" w:hAnsi="Sylfaen"/>
          <w:sz w:val="24"/>
          <w:szCs w:val="24"/>
        </w:rPr>
        <w:t xml:space="preserve"> բարդ (համալիր) հյութերի՝ երկու </w:t>
      </w:r>
      <w:r>
        <w:rPr>
          <w:rFonts w:ascii="Sylfaen" w:hAnsi="Sylfaen"/>
          <w:sz w:val="24"/>
          <w:szCs w:val="24"/>
        </w:rPr>
        <w:t>եւ</w:t>
      </w:r>
      <w:r w:rsidRPr="00D95643">
        <w:rPr>
          <w:rFonts w:ascii="Sylfaen" w:hAnsi="Sylfaen"/>
          <w:sz w:val="24"/>
          <w:szCs w:val="24"/>
        </w:rPr>
        <w:t xml:space="preserve"> ավելի տեսակների դեղաբուսական հումքի խառնուրդից։</w:t>
      </w:r>
    </w:p>
    <w:p w14:paraId="66A3930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Հյութեր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դեղապատրաստուկները կարող են նախատեսված լինել </w:t>
      </w:r>
      <w:r w:rsidRPr="00D95643">
        <w:rPr>
          <w:rFonts w:ascii="Sylfaen" w:hAnsi="Sylfaen"/>
          <w:i/>
          <w:sz w:val="24"/>
          <w:szCs w:val="24"/>
        </w:rPr>
        <w:t>ներքին ընդունման, արտաքին կիրառման</w:t>
      </w:r>
      <w:r w:rsidRPr="00D95643">
        <w:rPr>
          <w:rFonts w:ascii="Sylfaen" w:hAnsi="Sylfaen"/>
          <w:sz w:val="24"/>
          <w:szCs w:val="24"/>
        </w:rPr>
        <w:t xml:space="preserve"> կամ </w:t>
      </w:r>
      <w:r w:rsidRPr="00D95643">
        <w:rPr>
          <w:rFonts w:ascii="Sylfaen" w:hAnsi="Sylfaen"/>
          <w:i/>
          <w:sz w:val="24"/>
          <w:szCs w:val="24"/>
        </w:rPr>
        <w:t>տեղային կիրառման համար</w:t>
      </w:r>
      <w:r w:rsidRPr="00D95643">
        <w:rPr>
          <w:rFonts w:ascii="Sylfaen" w:hAnsi="Sylfaen"/>
          <w:sz w:val="24"/>
          <w:szCs w:val="24"/>
        </w:rPr>
        <w:t>։ Բացի այդ, հյութերը կարող են օգտագործվել որպես ակտիվ դեղագործական բաղադրամասեր այլ դեղապատրաստուկների կազմում, որոնք, օրինակ՝ հեղուկ դեղաձ</w:t>
      </w:r>
      <w:r>
        <w:rPr>
          <w:rFonts w:ascii="Sylfaen" w:hAnsi="Sylfaen"/>
          <w:sz w:val="24"/>
          <w:szCs w:val="24"/>
        </w:rPr>
        <w:t>եւ</w:t>
      </w:r>
      <w:r w:rsidRPr="00D95643">
        <w:rPr>
          <w:rFonts w:ascii="Sylfaen" w:hAnsi="Sylfaen"/>
          <w:sz w:val="24"/>
          <w:szCs w:val="24"/>
        </w:rPr>
        <w:t>եր են, ներառյալ՝ ներքին ընդունման կաթիլները, ինչպես նա</w:t>
      </w:r>
      <w:r>
        <w:rPr>
          <w:rFonts w:ascii="Sylfaen" w:hAnsi="Sylfaen"/>
          <w:sz w:val="24"/>
          <w:szCs w:val="24"/>
        </w:rPr>
        <w:t>եւ</w:t>
      </w:r>
      <w:r w:rsidRPr="00D95643">
        <w:rPr>
          <w:rFonts w:ascii="Sylfaen" w:hAnsi="Sylfaen"/>
          <w:sz w:val="24"/>
          <w:szCs w:val="24"/>
        </w:rPr>
        <w:t xml:space="preserve"> քսուքները, դեղահաբերը </w:t>
      </w:r>
      <w:r>
        <w:rPr>
          <w:rFonts w:ascii="Sylfaen" w:hAnsi="Sylfaen"/>
          <w:sz w:val="24"/>
          <w:szCs w:val="24"/>
        </w:rPr>
        <w:t>եւ</w:t>
      </w:r>
      <w:r w:rsidRPr="00D95643">
        <w:rPr>
          <w:rFonts w:ascii="Sylfaen" w:hAnsi="Sylfaen"/>
          <w:sz w:val="24"/>
          <w:szCs w:val="24"/>
        </w:rPr>
        <w:t xml:space="preserve"> այլն։</w:t>
      </w:r>
    </w:p>
    <w:p w14:paraId="2C4CA65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39580C4"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ՏԵԽՆՈԼՈԳԻԱՅԻ ԱՌԱՆՁՆԱՀԱՏԿՈՒԹՅՈՒՆՆԵՐԸ</w:t>
      </w:r>
    </w:p>
    <w:p w14:paraId="6979A50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Հյութերի ստացման համար օգտագործում են թարմ դեղաբուսական հումք, որպես կանոն, ջրի բարձր պարունակությամբ։ Օգտագործվող թարմ </w:t>
      </w:r>
      <w:r w:rsidRPr="00D95643">
        <w:rPr>
          <w:rFonts w:ascii="Sylfaen" w:hAnsi="Sylfaen"/>
          <w:sz w:val="24"/>
          <w:szCs w:val="24"/>
        </w:rPr>
        <w:lastRenderedPageBreak/>
        <w:t>դեղաբուսական հումքի որակը պետք է բավարարի համապատասխան մասնավոր դեղագրքային հոդվածի կամ որակի վերաբերյալ նորմատիվ փաստաթղթի պահանջները։</w:t>
      </w:r>
    </w:p>
    <w:p w14:paraId="7ABD2F3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Հյութերը ստանում են նախապես մանրացրած թարմ դեղաբուսական հումքի մամլման մեթոդով։ Հյութի ելքի բարձրացման համար կիրառում են հումքի կրկնակի մանրացում </w:t>
      </w:r>
      <w:r>
        <w:rPr>
          <w:rFonts w:ascii="Sylfaen" w:hAnsi="Sylfaen"/>
          <w:sz w:val="24"/>
          <w:szCs w:val="24"/>
        </w:rPr>
        <w:t>եւ</w:t>
      </w:r>
      <w:r w:rsidRPr="00D95643">
        <w:rPr>
          <w:rFonts w:ascii="Sylfaen" w:hAnsi="Sylfaen"/>
          <w:sz w:val="24"/>
          <w:szCs w:val="24"/>
        </w:rPr>
        <w:t xml:space="preserve"> մամլում, մամլումից առաջ համապատասխան էքստրագենտներով մանրացրած դեղաբուսական հումքի նախնական մացերացիա, ինչպես նա</w:t>
      </w:r>
      <w:r>
        <w:rPr>
          <w:rFonts w:ascii="Sylfaen" w:hAnsi="Sylfaen"/>
          <w:sz w:val="24"/>
          <w:szCs w:val="24"/>
        </w:rPr>
        <w:t>եւ</w:t>
      </w:r>
      <w:r w:rsidRPr="00D95643">
        <w:rPr>
          <w:rFonts w:ascii="Sylfaen" w:hAnsi="Sylfaen"/>
          <w:sz w:val="24"/>
          <w:szCs w:val="24"/>
        </w:rPr>
        <w:t xml:space="preserve"> այլ հարմար մեթոդներ։</w:t>
      </w:r>
    </w:p>
    <w:p w14:paraId="46C884B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Ստացված հեղուկը՝ քամած հյութը, մշակում են բալլաստային նյութերի հեռացումն ապահովող հետ</w:t>
      </w:r>
      <w:r>
        <w:rPr>
          <w:rFonts w:ascii="Sylfaen" w:hAnsi="Sylfaen"/>
          <w:sz w:val="24"/>
          <w:szCs w:val="24"/>
        </w:rPr>
        <w:t>եւ</w:t>
      </w:r>
      <w:r w:rsidRPr="00D95643">
        <w:rPr>
          <w:rFonts w:ascii="Sylfaen" w:hAnsi="Sylfaen"/>
          <w:sz w:val="24"/>
          <w:szCs w:val="24"/>
        </w:rPr>
        <w:t xml:space="preserve">յալ մեթոդների օգտագործմամբ՝ </w:t>
      </w:r>
      <w:r w:rsidRPr="00D95643">
        <w:rPr>
          <w:rFonts w:ascii="Sylfaen" w:hAnsi="Sylfaen"/>
          <w:i/>
          <w:sz w:val="24"/>
          <w:szCs w:val="24"/>
        </w:rPr>
        <w:t>Էթանոլի</w:t>
      </w:r>
      <w:r w:rsidRPr="00D95643">
        <w:rPr>
          <w:rFonts w:ascii="Sylfaen" w:hAnsi="Sylfaen"/>
          <w:sz w:val="24"/>
          <w:szCs w:val="24"/>
        </w:rPr>
        <w:t xml:space="preserve"> ավելացմամբ, որոշակի ջերմաստիճանով տաքացմամբ կամ այլ մեթոդներով։</w:t>
      </w:r>
    </w:p>
    <w:p w14:paraId="1597CAD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Մշակումից հետո հյութը ենթարկում են մաքրման՝ պահելով որոշակի ջերմաստիճանի տակ սահմանված ժամանակահատվածում՝ մնացած բալաստային նյութերի նստեցման համար, որոնք այնուհետ</w:t>
      </w:r>
      <w:r>
        <w:rPr>
          <w:rFonts w:ascii="Sylfaen" w:hAnsi="Sylfaen"/>
          <w:sz w:val="24"/>
          <w:szCs w:val="24"/>
        </w:rPr>
        <w:t>եւ</w:t>
      </w:r>
      <w:r w:rsidRPr="00D95643">
        <w:rPr>
          <w:rFonts w:ascii="Sylfaen" w:hAnsi="Sylfaen"/>
          <w:sz w:val="24"/>
          <w:szCs w:val="24"/>
        </w:rPr>
        <w:t xml:space="preserve"> առանձնացնում են զտմամբ կամ կենտրոնախուսմամբ։</w:t>
      </w:r>
    </w:p>
    <w:p w14:paraId="7B4CEDE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Որպես օժանդակ նյութեր կարող են օգտագործվել հակամանրէային կոնսերվանտներ, կայունարարներ, հակաօքսիդիչներ </w:t>
      </w:r>
      <w:r>
        <w:rPr>
          <w:rFonts w:ascii="Sylfaen" w:hAnsi="Sylfaen"/>
          <w:sz w:val="24"/>
          <w:szCs w:val="24"/>
        </w:rPr>
        <w:t>եւ</w:t>
      </w:r>
      <w:r w:rsidRPr="00D95643">
        <w:rPr>
          <w:rFonts w:ascii="Sylfaen" w:hAnsi="Sylfaen"/>
          <w:sz w:val="24"/>
          <w:szCs w:val="24"/>
        </w:rPr>
        <w:t xml:space="preserve"> այլ օժանդակ նյութեր, որոնք թույլատրված են բժշկական կիրառման համար։</w:t>
      </w:r>
    </w:p>
    <w:p w14:paraId="514F63F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Հյութեր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ով դեղապատրաստուկներ ստանալիս պետք է ձեռնարկվեն դրանց միկրոկենսաբանական մաքրությունն ապահովող միջոցներ. մանրէազերծ հյութեր ստանալիս, օրինակ, որոնք նախատեսված են վերքերի վրա քսելու համար, պետք է ձեռնարկվեն դրանց մանրէազերծությունն ապահովող միջոցներ։</w:t>
      </w:r>
    </w:p>
    <w:p w14:paraId="6DBA418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D71F47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ՓՈՐՁԱՐԿՈՒՄՆԵՐԸ</w:t>
      </w:r>
    </w:p>
    <w:p w14:paraId="37BBB00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Հյութերը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365CC4A0" w14:textId="77777777" w:rsidR="003A4194" w:rsidRPr="003A4194" w:rsidRDefault="003A4194" w:rsidP="003A4194">
      <w:pPr>
        <w:spacing w:after="160" w:line="360" w:lineRule="auto"/>
        <w:ind w:firstLine="567"/>
        <w:jc w:val="both"/>
      </w:pPr>
      <w:r w:rsidRPr="00D95643">
        <w:rPr>
          <w:b/>
        </w:rPr>
        <w:lastRenderedPageBreak/>
        <w:t xml:space="preserve">Նկարագրությունը. </w:t>
      </w:r>
      <w:r w:rsidRPr="00D95643">
        <w:t xml:space="preserve">Հյութերը, որպես կանոն, թափանցիկ հեղուկ են կամ օպալեսցենտմամբ կամ կախույթով հեղուկ։ Մի շարք դեպքերում, հատկապես պահպանման ընթացքում հնարավոր է աննշան նստվածքի առաջացում։ Հյութերը բնութագրում են՝ նշելով արտաքին տեսքը (նշելով թափանցիկությունը կամ օպալեսցենտումը), զգայորոշման (գույն, հոտ) </w:t>
      </w:r>
      <w:r>
        <w:t>եւ</w:t>
      </w:r>
      <w:r w:rsidRPr="00D95643">
        <w:t xml:space="preserve"> մյուս հատկությունները՝ մասնավոր դեղագրքային հոդվածի </w:t>
      </w:r>
      <w:r>
        <w:t>եւ</w:t>
      </w:r>
      <w:r w:rsidRPr="00D95643">
        <w:t xml:space="preserve"> (կամ) որակի վերաբերյալ նորմատիվ փաստաթղթի պահանջներին համապատասխան։</w:t>
      </w:r>
    </w:p>
    <w:p w14:paraId="1FEFFDE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Խտությունը </w:t>
      </w:r>
      <w:r w:rsidRPr="00D95643">
        <w:rPr>
          <w:rFonts w:ascii="Sylfaen" w:hAnsi="Sylfaen"/>
          <w:sz w:val="24"/>
          <w:szCs w:val="24"/>
        </w:rPr>
        <w:t xml:space="preserve">կամ </w:t>
      </w:r>
      <w:r w:rsidRPr="00D95643">
        <w:rPr>
          <w:rFonts w:ascii="Sylfaen" w:hAnsi="Sylfaen"/>
          <w:b/>
          <w:sz w:val="24"/>
          <w:szCs w:val="24"/>
        </w:rPr>
        <w:t xml:space="preserve">Հարաբերական խտությունը. </w:t>
      </w:r>
      <w:r w:rsidRPr="00D95643">
        <w:rPr>
          <w:rFonts w:ascii="Sylfaen" w:hAnsi="Sylfaen"/>
          <w:sz w:val="24"/>
          <w:szCs w:val="24"/>
        </w:rPr>
        <w:t xml:space="preserve">Փորձարկումն անցկացվում է, եթե նշված է մասնավոր դեղագրքային հոդվածում կամ որակի վերաբերյալ նորմատիվ փաստաթղթում՝ </w:t>
      </w:r>
      <w:r w:rsidRPr="00D95643">
        <w:rPr>
          <w:rFonts w:ascii="Sylfaen" w:hAnsi="Sylfaen"/>
          <w:i/>
          <w:sz w:val="24"/>
          <w:szCs w:val="24"/>
        </w:rPr>
        <w:t>2.1.2.5. Հարաբերական խտություն</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կամ որակի վերաբերյալ նորմատիվ փաստաթղթում նշված պահանջներին համապատասխան։</w:t>
      </w:r>
    </w:p>
    <w:p w14:paraId="54ED31B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Էթանոլ. </w:t>
      </w:r>
      <w:r w:rsidRPr="00D95643">
        <w:rPr>
          <w:rFonts w:ascii="Sylfaen" w:hAnsi="Sylfaen"/>
          <w:sz w:val="24"/>
          <w:szCs w:val="24"/>
        </w:rPr>
        <w:t xml:space="preserve">Փորձարկումն անցկացնում են այն հյութերի համար, որոնց արտադրության ժամանակ օգտագործում են էթանոլ։ Որոշումն անցկացնում են մեթոդներից մեկով՝ </w:t>
      </w:r>
      <w:r w:rsidRPr="00D95643">
        <w:rPr>
          <w:rFonts w:ascii="Sylfaen" w:hAnsi="Sylfaen"/>
          <w:i/>
          <w:sz w:val="24"/>
          <w:szCs w:val="24"/>
        </w:rPr>
        <w:t>2.1.9.8.</w:t>
      </w:r>
      <w:r w:rsidRPr="00D95643">
        <w:rPr>
          <w:rFonts w:ascii="Sylfaen" w:hAnsi="Sylfaen"/>
          <w:sz w:val="24"/>
          <w:szCs w:val="24"/>
        </w:rPr>
        <w:t xml:space="preserve"> </w:t>
      </w:r>
      <w:r w:rsidRPr="00D95643">
        <w:rPr>
          <w:rFonts w:ascii="Sylfaen" w:hAnsi="Sylfaen"/>
          <w:i/>
          <w:sz w:val="24"/>
          <w:szCs w:val="24"/>
        </w:rPr>
        <w:t>Էթանոլի պարունակություն</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կամ որակի վերաբերյալ նորմատիվ փաստաթղթում նշված՝ էթանոլի պարունակության մասով պահանջներին համապատասխան։</w:t>
      </w:r>
    </w:p>
    <w:p w14:paraId="2A99BB76"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b/>
          <w:sz w:val="24"/>
          <w:szCs w:val="24"/>
        </w:rPr>
        <w:t xml:space="preserve">Չոր մնացորդը. </w:t>
      </w:r>
      <w:r w:rsidRPr="00D95643">
        <w:rPr>
          <w:rFonts w:ascii="Sylfaen" w:hAnsi="Sylfaen"/>
          <w:sz w:val="24"/>
          <w:szCs w:val="24"/>
        </w:rPr>
        <w:t>5,0 մլ հյութը տեղադրում են (100-105) °С ջերմաստիճանում մինչ</w:t>
      </w:r>
      <w:r>
        <w:rPr>
          <w:rFonts w:ascii="Sylfaen" w:hAnsi="Sylfaen"/>
          <w:sz w:val="24"/>
          <w:szCs w:val="24"/>
        </w:rPr>
        <w:t>եւ</w:t>
      </w:r>
      <w:r w:rsidRPr="00D95643">
        <w:rPr>
          <w:rFonts w:ascii="Sylfaen" w:hAnsi="Sylfaen"/>
          <w:sz w:val="24"/>
          <w:szCs w:val="24"/>
        </w:rPr>
        <w:t xml:space="preserve"> հաստատուն զանգվածը նախապես չորացրած բյուքսի մեջ, լիաչոր շոգեհանում են ջրային բաղնիքի վրա, չորացնում են չորացման պահարանում 3 ժամվա ընթացքում (100-105) °С ջերմաստիճանում, հովացնում են էքսիկատորում (</w:t>
      </w:r>
      <w:r w:rsidRPr="00D95643">
        <w:rPr>
          <w:rFonts w:ascii="Sylfaen" w:hAnsi="Sylfaen"/>
          <w:i/>
          <w:sz w:val="24"/>
          <w:szCs w:val="24"/>
        </w:rPr>
        <w:t xml:space="preserve">Ռ անջուր սիլիկագելի վրա, Ռ անջուր կալցիումի քլորիդի վրա </w:t>
      </w:r>
      <w:r w:rsidRPr="00D95643">
        <w:rPr>
          <w:rFonts w:ascii="Sylfaen" w:hAnsi="Sylfaen"/>
          <w:sz w:val="24"/>
          <w:szCs w:val="24"/>
        </w:rPr>
        <w:t xml:space="preserve">կամ այլ հարմար չորացուցչի վրա) 30 րոպե </w:t>
      </w:r>
      <w:r>
        <w:rPr>
          <w:rFonts w:ascii="Sylfaen" w:hAnsi="Sylfaen"/>
          <w:sz w:val="24"/>
          <w:szCs w:val="24"/>
        </w:rPr>
        <w:t>եւ</w:t>
      </w:r>
      <w:r w:rsidRPr="00D95643">
        <w:rPr>
          <w:rFonts w:ascii="Sylfaen" w:hAnsi="Sylfaen"/>
          <w:sz w:val="24"/>
          <w:szCs w:val="24"/>
        </w:rPr>
        <w:t xml:space="preserve"> կշռում են։ Արդյունքն արտահայտում են զանգվածածավալային տոկոսներով։ Չոր մնացորդի պարունակությունը պետք է համապատասխանի մասնավոր դեղագրքային հոդվածում կամ որակի վերաբերյալ նորմատիվ փաստաթղթում նշված պահանջներին։</w:t>
      </w:r>
    </w:p>
    <w:p w14:paraId="66B96040"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70AE74E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pH-ը. </w:t>
      </w:r>
      <w:r w:rsidRPr="00D95643">
        <w:rPr>
          <w:rFonts w:ascii="Sylfaen" w:hAnsi="Sylfaen"/>
          <w:sz w:val="24"/>
          <w:szCs w:val="24"/>
        </w:rPr>
        <w:t xml:space="preserve">Փորձարկումն անցկացնում են պոտենցաչափական մեթոդով՝ </w:t>
      </w:r>
      <w:r w:rsidRPr="00D95643">
        <w:rPr>
          <w:rFonts w:ascii="Sylfaen" w:hAnsi="Sylfaen"/>
          <w:i/>
          <w:sz w:val="24"/>
          <w:szCs w:val="24"/>
        </w:rPr>
        <w:t>2.1.2.3. pH-ի պոտենցաչափական որոշում</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մասնավոր դեղագրքային հոդվածում կամ որակի վերաբերյալ նորմատիվ փաստաթղթում նշված պահանջներին համապատասխան։</w:t>
      </w:r>
    </w:p>
    <w:p w14:paraId="6FC7B33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Ծանր մետաղները. </w:t>
      </w:r>
      <w:r w:rsidRPr="00D95643">
        <w:rPr>
          <w:rFonts w:ascii="Sylfaen" w:hAnsi="Sylfaen"/>
          <w:sz w:val="24"/>
          <w:szCs w:val="24"/>
        </w:rPr>
        <w:t xml:space="preserve">1 մլ հյութին ավելացնում են 1 մլ </w:t>
      </w:r>
      <w:r w:rsidRPr="00D95643">
        <w:rPr>
          <w:rFonts w:ascii="Sylfaen" w:hAnsi="Sylfaen"/>
          <w:i/>
          <w:sz w:val="24"/>
          <w:szCs w:val="24"/>
        </w:rPr>
        <w:t xml:space="preserve">Ռ կոնցենտրացված ծծմբաթթու, </w:t>
      </w:r>
      <w:r w:rsidRPr="00D95643">
        <w:rPr>
          <w:rFonts w:ascii="Sylfaen" w:hAnsi="Sylfaen"/>
          <w:sz w:val="24"/>
          <w:szCs w:val="24"/>
        </w:rPr>
        <w:t xml:space="preserve">զգուշորեն այրում </w:t>
      </w:r>
      <w:r>
        <w:rPr>
          <w:rFonts w:ascii="Sylfaen" w:hAnsi="Sylfaen"/>
          <w:sz w:val="24"/>
          <w:szCs w:val="24"/>
        </w:rPr>
        <w:t>եւ</w:t>
      </w:r>
      <w:r w:rsidRPr="00D95643">
        <w:rPr>
          <w:rFonts w:ascii="Sylfaen" w:hAnsi="Sylfaen"/>
          <w:sz w:val="24"/>
          <w:szCs w:val="24"/>
        </w:rPr>
        <w:t xml:space="preserve"> շիկացնում են 600 °С ջերմաստիճանում։ Ստացված մնացորդին ավելացնում են տաքացման ընթացքում 5 մլ 615 գ/լ </w:t>
      </w:r>
      <w:r w:rsidRPr="00D95643">
        <w:rPr>
          <w:rFonts w:ascii="Sylfaen" w:hAnsi="Sylfaen"/>
          <w:i/>
          <w:sz w:val="24"/>
          <w:szCs w:val="24"/>
        </w:rPr>
        <w:t>Ռ ամոնիումի ացետատի լուծույթ</w:t>
      </w:r>
      <w:r w:rsidRPr="00D95643">
        <w:rPr>
          <w:rFonts w:ascii="Sylfaen" w:hAnsi="Sylfaen"/>
          <w:sz w:val="24"/>
          <w:szCs w:val="24"/>
        </w:rPr>
        <w:t xml:space="preserve">, զտում են անմոխիր զտիչով, լվանում են 5 մլ </w:t>
      </w:r>
      <w:r w:rsidRPr="00D95643">
        <w:rPr>
          <w:rFonts w:ascii="Sylfaen" w:hAnsi="Sylfaen"/>
          <w:i/>
          <w:sz w:val="24"/>
          <w:szCs w:val="24"/>
        </w:rPr>
        <w:t xml:space="preserve">Ռ ջրով </w:t>
      </w:r>
      <w:r>
        <w:rPr>
          <w:rFonts w:ascii="Sylfaen" w:hAnsi="Sylfaen"/>
          <w:sz w:val="24"/>
          <w:szCs w:val="24"/>
        </w:rPr>
        <w:t>եւ</w:t>
      </w:r>
      <w:r w:rsidRPr="00D95643">
        <w:rPr>
          <w:rFonts w:ascii="Sylfaen" w:hAnsi="Sylfaen"/>
          <w:sz w:val="24"/>
          <w:szCs w:val="24"/>
        </w:rPr>
        <w:t xml:space="preserve"> ֆիլտրատը հասցնում են </w:t>
      </w:r>
      <w:r w:rsidRPr="00D95643">
        <w:rPr>
          <w:rFonts w:ascii="Sylfaen" w:hAnsi="Sylfaen"/>
          <w:i/>
          <w:sz w:val="24"/>
          <w:szCs w:val="24"/>
        </w:rPr>
        <w:t xml:space="preserve">Ռ ջրով </w:t>
      </w:r>
      <w:r w:rsidRPr="00D95643">
        <w:rPr>
          <w:rFonts w:ascii="Sylfaen" w:hAnsi="Sylfaen"/>
          <w:sz w:val="24"/>
          <w:szCs w:val="24"/>
        </w:rPr>
        <w:t>մինչ</w:t>
      </w:r>
      <w:r>
        <w:rPr>
          <w:rFonts w:ascii="Sylfaen" w:hAnsi="Sylfaen"/>
          <w:sz w:val="24"/>
          <w:szCs w:val="24"/>
        </w:rPr>
        <w:t>եւ</w:t>
      </w:r>
      <w:r w:rsidRPr="00D95643">
        <w:rPr>
          <w:rFonts w:ascii="Sylfaen" w:hAnsi="Sylfaen"/>
          <w:sz w:val="24"/>
          <w:szCs w:val="24"/>
        </w:rPr>
        <w:t xml:space="preserve"> 100 մլ ծավալի։</w:t>
      </w:r>
    </w:p>
    <w:p w14:paraId="5B32EAA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12 մլ ստացված լուծույթը պետք է դիմանա ծանր մետաղների փորձարկումներին՝ </w:t>
      </w:r>
      <w:r w:rsidRPr="00D95643">
        <w:rPr>
          <w:rFonts w:ascii="Sylfaen" w:hAnsi="Sylfaen"/>
          <w:i/>
          <w:sz w:val="24"/>
          <w:szCs w:val="24"/>
        </w:rPr>
        <w:t xml:space="preserve">2.1.4.8 Ծանր մետաղներ, Ա մեթոդ՝ Ռ1 նատրիումի սուլֆիդի լուծույթի </w:t>
      </w:r>
      <w:r>
        <w:rPr>
          <w:rFonts w:ascii="Sylfaen" w:hAnsi="Sylfaen"/>
          <w:i/>
          <w:sz w:val="24"/>
          <w:szCs w:val="24"/>
        </w:rPr>
        <w:t>եւ</w:t>
      </w:r>
      <w:r w:rsidRPr="00D95643">
        <w:rPr>
          <w:rFonts w:ascii="Sylfaen" w:hAnsi="Sylfaen"/>
          <w:i/>
          <w:sz w:val="24"/>
          <w:szCs w:val="24"/>
        </w:rPr>
        <w:t xml:space="preserve"> Ռ կապարի իոնների ստանդարտ լուծույթի (1 ppm Pb2+) օգտագործմամբ </w:t>
      </w:r>
      <w:r w:rsidRPr="00D95643">
        <w:rPr>
          <w:rFonts w:ascii="Sylfaen" w:hAnsi="Sylfaen"/>
          <w:sz w:val="24"/>
          <w:szCs w:val="24"/>
        </w:rPr>
        <w:t>ընդհանուր դեղագրքային հոդվածին համապատասխան։</w:t>
      </w:r>
    </w:p>
    <w:p w14:paraId="4B618A0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Մասնավոր դեղագրքային հոդվածում կամ որակի վերաբերյալ նորմատիվ փաստաթղթում այլ ցուցումների բացակայության դեպքում ծանր մետաղների թույլատրելի պարունակությունը պետք է լինի 0,01 %</w:t>
      </w:r>
      <w:r w:rsidR="00803B34" w:rsidRPr="00803B34">
        <w:rPr>
          <w:rFonts w:ascii="Sylfaen" w:hAnsi="Sylfaen"/>
          <w:sz w:val="24"/>
          <w:szCs w:val="24"/>
        </w:rPr>
        <w:t>-</w:t>
      </w:r>
      <w:r w:rsidRPr="00D95643">
        <w:rPr>
          <w:rFonts w:ascii="Sylfaen" w:hAnsi="Sylfaen"/>
          <w:sz w:val="24"/>
          <w:szCs w:val="24"/>
        </w:rPr>
        <w:t>ից ոչ ավելի (</w:t>
      </w:r>
      <w:r w:rsidRPr="00D95643">
        <w:rPr>
          <w:rFonts w:ascii="Sylfaen" w:hAnsi="Sylfaen"/>
          <w:i/>
          <w:sz w:val="24"/>
          <w:szCs w:val="24"/>
        </w:rPr>
        <w:t>100 ppm</w:t>
      </w:r>
      <w:r w:rsidR="00803B34" w:rsidRPr="00803B34">
        <w:rPr>
          <w:rFonts w:ascii="Sylfaen" w:hAnsi="Sylfaen"/>
          <w:i/>
          <w:sz w:val="24"/>
          <w:szCs w:val="24"/>
        </w:rPr>
        <w:t>-</w:t>
      </w:r>
      <w:r w:rsidRPr="00D95643">
        <w:rPr>
          <w:rFonts w:ascii="Sylfaen" w:hAnsi="Sylfaen"/>
          <w:i/>
          <w:sz w:val="24"/>
          <w:szCs w:val="24"/>
        </w:rPr>
        <w:t xml:space="preserve">ից </w:t>
      </w:r>
      <w:r w:rsidRPr="00D95643">
        <w:rPr>
          <w:rFonts w:ascii="Sylfaen" w:hAnsi="Sylfaen"/>
          <w:sz w:val="24"/>
          <w:szCs w:val="24"/>
        </w:rPr>
        <w:t>ոչ ավելի)։</w:t>
      </w:r>
    </w:p>
    <w:p w14:paraId="77F9C5B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Արտազատվող ծավալը. </w:t>
      </w:r>
      <w:r w:rsidRPr="00D95643">
        <w:rPr>
          <w:rFonts w:ascii="Sylfaen" w:hAnsi="Sylfaen"/>
          <w:sz w:val="24"/>
          <w:szCs w:val="24"/>
        </w:rPr>
        <w:t>Ներքին ընդունման համար նախատեսված հյութերի համար փորձարկումն անցկացնում են</w:t>
      </w:r>
      <w:r w:rsidRPr="00D95643">
        <w:rPr>
          <w:rFonts w:ascii="Sylfaen" w:hAnsi="Sylfaen"/>
          <w:i/>
          <w:sz w:val="24"/>
          <w:szCs w:val="24"/>
        </w:rPr>
        <w:t xml:space="preserve"> 2.1.9.16. Արտազատվող ծավալը՝ ներքին ընդունման հեղուկ դեղաձ</w:t>
      </w:r>
      <w:r>
        <w:rPr>
          <w:rFonts w:ascii="Sylfaen" w:hAnsi="Sylfaen"/>
          <w:i/>
          <w:sz w:val="24"/>
          <w:szCs w:val="24"/>
        </w:rPr>
        <w:t>եւ</w:t>
      </w:r>
      <w:r w:rsidRPr="00D95643">
        <w:rPr>
          <w:rFonts w:ascii="Sylfaen" w:hAnsi="Sylfaen"/>
          <w:i/>
          <w:sz w:val="24"/>
          <w:szCs w:val="24"/>
        </w:rPr>
        <w:t xml:space="preserve">երի համար </w:t>
      </w:r>
      <w:r w:rsidRPr="00D95643">
        <w:rPr>
          <w:rFonts w:ascii="Sylfaen" w:hAnsi="Sylfaen"/>
          <w:sz w:val="24"/>
          <w:szCs w:val="24"/>
        </w:rPr>
        <w:t>ընդհանուր դեղագրքային հոդվածին համապատասխան։ Փորձարկումը չեն անցկացնում միադեղաչափ փաթեթվածքներով հյութերի համար, եթե մասնավոր դեղագրքային հոդվածում կամ որակի վերաբերյալ նորմատիվ փաստաթղթում ներառված է դեղաչափված միավորների միատարրության փորձարկումը։</w:t>
      </w:r>
    </w:p>
    <w:p w14:paraId="44234278" w14:textId="77777777" w:rsidR="003A4194" w:rsidRPr="00D95643" w:rsidRDefault="003A4194" w:rsidP="003A4194">
      <w:pPr>
        <w:pStyle w:val="a0"/>
        <w:shd w:val="clear" w:color="auto" w:fill="auto"/>
        <w:spacing w:after="160" w:line="360" w:lineRule="auto"/>
        <w:ind w:firstLine="567"/>
        <w:jc w:val="both"/>
        <w:rPr>
          <w:rFonts w:ascii="Sylfaen" w:hAnsi="Sylfaen" w:cs="Sylfaen"/>
          <w:i/>
          <w:iCs/>
          <w:sz w:val="24"/>
          <w:szCs w:val="24"/>
        </w:rPr>
      </w:pPr>
      <w:r w:rsidRPr="00D95643">
        <w:rPr>
          <w:rFonts w:ascii="Sylfaen" w:hAnsi="Sylfaen"/>
          <w:b/>
          <w:sz w:val="24"/>
          <w:szCs w:val="24"/>
        </w:rPr>
        <w:t xml:space="preserve">Փաթեթվածքի պարունակության զանգվածը (ծավալը). </w:t>
      </w:r>
      <w:r w:rsidRPr="00D95643">
        <w:rPr>
          <w:rFonts w:ascii="Sylfaen" w:hAnsi="Sylfaen"/>
          <w:sz w:val="24"/>
          <w:szCs w:val="24"/>
        </w:rPr>
        <w:t xml:space="preserve">Արտաքին </w:t>
      </w:r>
      <w:r>
        <w:rPr>
          <w:rFonts w:ascii="Sylfaen" w:hAnsi="Sylfaen"/>
          <w:sz w:val="24"/>
          <w:szCs w:val="24"/>
        </w:rPr>
        <w:t>եւ</w:t>
      </w:r>
      <w:r w:rsidRPr="00D95643">
        <w:rPr>
          <w:rFonts w:ascii="Sylfaen" w:hAnsi="Sylfaen"/>
          <w:sz w:val="24"/>
          <w:szCs w:val="24"/>
        </w:rPr>
        <w:t xml:space="preserve"> տեղային կիրառման համար նախատեսված հյութերի համար փորձարկումն անցկացնում են</w:t>
      </w:r>
      <w:r w:rsidRPr="00D95643">
        <w:rPr>
          <w:rFonts w:ascii="Sylfaen" w:hAnsi="Sylfaen"/>
          <w:i/>
          <w:sz w:val="24"/>
          <w:szCs w:val="24"/>
        </w:rPr>
        <w:t xml:space="preserve"> 2.1.9.17. Փաթեթվածքի պարունակության զանգվածը (ծավալը) </w:t>
      </w:r>
      <w:r w:rsidRPr="00D95643">
        <w:rPr>
          <w:rFonts w:ascii="Sylfaen" w:hAnsi="Sylfaen"/>
          <w:sz w:val="24"/>
          <w:szCs w:val="24"/>
        </w:rPr>
        <w:t>ընդհանուր դեղագրքային հոդվածին համապատասխան։</w:t>
      </w:r>
    </w:p>
    <w:p w14:paraId="17B9BD9A" w14:textId="77777777" w:rsidR="003A4194" w:rsidRPr="0035054F" w:rsidRDefault="003A4194" w:rsidP="003A4194">
      <w:pPr>
        <w:pStyle w:val="a0"/>
        <w:shd w:val="clear" w:color="auto" w:fill="auto"/>
        <w:spacing w:after="160" w:line="346" w:lineRule="auto"/>
        <w:ind w:firstLine="567"/>
        <w:jc w:val="right"/>
        <w:rPr>
          <w:rFonts w:ascii="Sylfaen" w:hAnsi="Sylfaen"/>
          <w:b/>
          <w:szCs w:val="24"/>
        </w:rPr>
      </w:pPr>
      <w:r w:rsidRPr="00D95643">
        <w:rPr>
          <w:rFonts w:ascii="Sylfaen" w:hAnsi="Sylfaen"/>
          <w:b/>
          <w:szCs w:val="24"/>
        </w:rPr>
        <w:lastRenderedPageBreak/>
        <w:t>205010031-2022</w:t>
      </w:r>
    </w:p>
    <w:p w14:paraId="4BAB85C6" w14:textId="77777777" w:rsidR="003A4194" w:rsidRPr="0035054F" w:rsidRDefault="003A4194" w:rsidP="003A4194">
      <w:pPr>
        <w:pStyle w:val="a0"/>
        <w:shd w:val="clear" w:color="auto" w:fill="auto"/>
        <w:spacing w:after="160" w:line="346" w:lineRule="auto"/>
        <w:ind w:firstLine="567"/>
        <w:jc w:val="right"/>
        <w:rPr>
          <w:rFonts w:ascii="Sylfaen" w:hAnsi="Sylfaen" w:cs="Sylfaen"/>
          <w:szCs w:val="24"/>
        </w:rPr>
      </w:pPr>
    </w:p>
    <w:p w14:paraId="0E37EC0D" w14:textId="77777777" w:rsidR="003A4194" w:rsidRPr="00D95643" w:rsidRDefault="003A4194" w:rsidP="003A4194">
      <w:pPr>
        <w:pStyle w:val="a0"/>
        <w:shd w:val="clear" w:color="auto" w:fill="auto"/>
        <w:tabs>
          <w:tab w:val="left" w:pos="1701"/>
        </w:tabs>
        <w:spacing w:after="160" w:line="346" w:lineRule="auto"/>
        <w:ind w:firstLine="567"/>
        <w:rPr>
          <w:rFonts w:ascii="Sylfaen" w:hAnsi="Sylfaen" w:cs="Sylfaen"/>
          <w:sz w:val="24"/>
          <w:szCs w:val="24"/>
        </w:rPr>
      </w:pPr>
      <w:r w:rsidRPr="00D95643">
        <w:rPr>
          <w:rFonts w:ascii="Sylfaen" w:hAnsi="Sylfaen"/>
          <w:b/>
          <w:sz w:val="24"/>
          <w:szCs w:val="24"/>
        </w:rPr>
        <w:t>2.5.1.31.</w:t>
      </w:r>
      <w:r w:rsidRPr="0035054F">
        <w:rPr>
          <w:rFonts w:ascii="Sylfaen" w:hAnsi="Sylfaen"/>
          <w:b/>
          <w:sz w:val="24"/>
          <w:szCs w:val="24"/>
        </w:rPr>
        <w:tab/>
      </w:r>
      <w:r w:rsidRPr="00D95643">
        <w:rPr>
          <w:rFonts w:ascii="Sylfaen" w:hAnsi="Sylfaen"/>
          <w:b/>
          <w:sz w:val="24"/>
          <w:szCs w:val="24"/>
        </w:rPr>
        <w:t>Ցողաշիթեր</w:t>
      </w:r>
    </w:p>
    <w:p w14:paraId="12677083"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«Ցողաշիթեր»՝ դեղաձ</w:t>
      </w:r>
      <w:r>
        <w:rPr>
          <w:rFonts w:ascii="Sylfaen" w:hAnsi="Sylfaen"/>
          <w:sz w:val="24"/>
          <w:szCs w:val="24"/>
        </w:rPr>
        <w:t>եւ</w:t>
      </w:r>
      <w:r w:rsidRPr="00D95643">
        <w:rPr>
          <w:rFonts w:ascii="Sylfaen" w:hAnsi="Sylfaen"/>
          <w:sz w:val="24"/>
          <w:szCs w:val="24"/>
        </w:rPr>
        <w:t>, որը լուծույթ, էմուլսիա կամ դեղակախույթ է, որի ազդող նյութերի ձերբազատումը տեղի է ունենում այն օդի ճնշման հաշվին, որն ստեղծվում է մխոցային տեսակի մեխանիկական փոշեցրի օգնությամբ, կամ այն պոլիմերային փաթեթվածքը սեղմելիս, որն ապահովում է պարունակության ձերբազատումն օդում պինդ կամ հեղուկ մասնիկների դիսպերսման տեսքով, որոնց չափը համապատասխանում է ներմուծման ուղուն։</w:t>
      </w:r>
    </w:p>
    <w:p w14:paraId="25541780"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Աերոզոլների համեմատությամբ ցողաշիթերը չեն պարունակում պրոպելենտ </w:t>
      </w:r>
      <w:r>
        <w:rPr>
          <w:rFonts w:ascii="Sylfaen" w:hAnsi="Sylfaen"/>
          <w:sz w:val="24"/>
          <w:szCs w:val="24"/>
        </w:rPr>
        <w:t>եւ</w:t>
      </w:r>
      <w:r w:rsidRPr="00D95643">
        <w:rPr>
          <w:rFonts w:ascii="Sylfaen" w:hAnsi="Sylfaen"/>
          <w:sz w:val="24"/>
          <w:szCs w:val="24"/>
        </w:rPr>
        <w:t xml:space="preserve"> առավել խոշոր դիսպերսային համակարգ են։</w:t>
      </w:r>
    </w:p>
    <w:p w14:paraId="26164F09"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Ցողաշիթերը միաֆազ (հեղուկ) կամ երկֆազ (հեղուկ </w:t>
      </w:r>
      <w:r>
        <w:rPr>
          <w:rFonts w:ascii="Sylfaen" w:hAnsi="Sylfaen"/>
          <w:sz w:val="24"/>
          <w:szCs w:val="24"/>
        </w:rPr>
        <w:t>եւ</w:t>
      </w:r>
      <w:r w:rsidRPr="00D95643">
        <w:rPr>
          <w:rFonts w:ascii="Sylfaen" w:hAnsi="Sylfaen"/>
          <w:sz w:val="24"/>
          <w:szCs w:val="24"/>
        </w:rPr>
        <w:t xml:space="preserve"> պինդ նյութ կամ հեղուկ) համակարգեր են։</w:t>
      </w:r>
    </w:p>
    <w:p w14:paraId="40E2D553"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ուղով </w:t>
      </w:r>
      <w:r>
        <w:rPr>
          <w:rFonts w:ascii="Sylfaen" w:hAnsi="Sylfaen"/>
          <w:sz w:val="24"/>
          <w:szCs w:val="24"/>
        </w:rPr>
        <w:t>եւ</w:t>
      </w:r>
      <w:r w:rsidRPr="00D95643">
        <w:rPr>
          <w:rFonts w:ascii="Sylfaen" w:hAnsi="Sylfaen"/>
          <w:sz w:val="24"/>
          <w:szCs w:val="24"/>
        </w:rPr>
        <w:t xml:space="preserve"> կիրառման եղանակով՝ տարբերակում են արտաքին կիրառման համար, տեղային կիրառման համար, վերմաշկային ցողաշիթեր։ Տեղային կիրառման համար ցողաշիթերը կարող են լինել բերանի խոռոչում կիրառելու համար, քթի, ականջի։ Բերանի խոռոչում կիրառելու համար ցողաշիթերի շարքին են դասվում բերանի խոռոչի լորձաթաղանթին քսելու համար նախատեսված, ենթալեզվային ցողաշիթերը։</w:t>
      </w:r>
    </w:p>
    <w:p w14:paraId="591EAED0"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Ցողաշիթերը կարող են լինել դեղաչափված </w:t>
      </w:r>
      <w:r>
        <w:rPr>
          <w:rFonts w:ascii="Sylfaen" w:hAnsi="Sylfaen"/>
          <w:sz w:val="24"/>
          <w:szCs w:val="24"/>
        </w:rPr>
        <w:t>եւ</w:t>
      </w:r>
      <w:r w:rsidRPr="00D95643">
        <w:rPr>
          <w:rFonts w:ascii="Sylfaen" w:hAnsi="Sylfaen"/>
          <w:sz w:val="24"/>
          <w:szCs w:val="24"/>
        </w:rPr>
        <w:t xml:space="preserve"> չդեղաչափված։</w:t>
      </w:r>
    </w:p>
    <w:p w14:paraId="09253D5A"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i/>
          <w:sz w:val="24"/>
          <w:szCs w:val="24"/>
        </w:rPr>
        <w:t>Վերմաշկային ցողաշիթ</w:t>
      </w:r>
      <w:r w:rsidRPr="00D95643">
        <w:rPr>
          <w:rFonts w:ascii="Sylfaen" w:hAnsi="Sylfaen"/>
          <w:sz w:val="24"/>
          <w:szCs w:val="24"/>
        </w:rPr>
        <w:t>՝ ցողաշիթ, որը նախատեսված է չվնասված մաշկի միջով պասիվ դիֆուզիայի միջոցով համակարգային արյան շրջանառության մեջ ազդող նյութերի վերահսկվող մատակարարման համար։</w:t>
      </w:r>
    </w:p>
    <w:p w14:paraId="74AF6CB9"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i/>
          <w:sz w:val="24"/>
          <w:szCs w:val="24"/>
        </w:rPr>
        <w:t>Ենթալեզվային դեղաչափված ցողաշիթ</w:t>
      </w:r>
      <w:r w:rsidRPr="00D95643">
        <w:rPr>
          <w:rFonts w:ascii="Sylfaen" w:hAnsi="Sylfaen"/>
          <w:sz w:val="24"/>
          <w:szCs w:val="24"/>
        </w:rPr>
        <w:t>՝ ցողաշիթ, որը նախատեսված է լեզվի տակ փչելու համար՝ համակարգային ազդեցություն գործելու նպատակով, թողարկվում է փաթեթվածքով՝ դեղաչափիչ սարքի հետ միասին։</w:t>
      </w:r>
    </w:p>
    <w:p w14:paraId="08EAFCE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Ցողաշիթերի փաթեթվածքը կարող է լինել միադեղաչափ </w:t>
      </w:r>
      <w:r>
        <w:rPr>
          <w:rFonts w:ascii="Sylfaen" w:hAnsi="Sylfaen"/>
          <w:sz w:val="24"/>
          <w:szCs w:val="24"/>
        </w:rPr>
        <w:t>եւ</w:t>
      </w:r>
      <w:r w:rsidRPr="00D95643">
        <w:rPr>
          <w:rFonts w:ascii="Sylfaen" w:hAnsi="Sylfaen"/>
          <w:sz w:val="24"/>
          <w:szCs w:val="24"/>
        </w:rPr>
        <w:t xml:space="preserve"> բազմադեղաչափ։</w:t>
      </w:r>
    </w:p>
    <w:p w14:paraId="39F501F6"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ՏԵԽՆՈԼՈԳԻԱՅԻ ԱՌԱՆՁՆԱՀԱՏԿՈՒԹՅՈՒՆՆԵՐԸ</w:t>
      </w:r>
    </w:p>
    <w:p w14:paraId="0758FE4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Ցողաշիթերի բաղադրության մեջ մտնող օժանդակ նյութերը պետք է բժշկական կիրառման համար թույլատրված լինեն, ապահովեն դեղաձ</w:t>
      </w:r>
      <w:r>
        <w:rPr>
          <w:rFonts w:ascii="Sylfaen" w:hAnsi="Sylfaen"/>
          <w:sz w:val="24"/>
          <w:szCs w:val="24"/>
        </w:rPr>
        <w:t>եւ</w:t>
      </w:r>
      <w:r w:rsidRPr="00D95643">
        <w:rPr>
          <w:rFonts w:ascii="Sylfaen" w:hAnsi="Sylfaen"/>
          <w:sz w:val="24"/>
          <w:szCs w:val="24"/>
        </w:rPr>
        <w:t>ի օպտիմալ տեխնոլոգիական բնութագրերը, համատեղելի լինեն դեղաձ</w:t>
      </w:r>
      <w:r>
        <w:rPr>
          <w:rFonts w:ascii="Sylfaen" w:hAnsi="Sylfaen"/>
          <w:sz w:val="24"/>
          <w:szCs w:val="24"/>
        </w:rPr>
        <w:t>եւ</w:t>
      </w:r>
      <w:r w:rsidRPr="00D95643">
        <w:rPr>
          <w:rFonts w:ascii="Sylfaen" w:hAnsi="Sylfaen"/>
          <w:sz w:val="24"/>
          <w:szCs w:val="24"/>
        </w:rPr>
        <w:t xml:space="preserve">ի մյուս բաղադրիչների </w:t>
      </w:r>
      <w:r>
        <w:rPr>
          <w:rFonts w:ascii="Sylfaen" w:hAnsi="Sylfaen"/>
          <w:sz w:val="24"/>
          <w:szCs w:val="24"/>
        </w:rPr>
        <w:t>եւ</w:t>
      </w:r>
      <w:r w:rsidRPr="00D95643">
        <w:rPr>
          <w:rFonts w:ascii="Sylfaen" w:hAnsi="Sylfaen"/>
          <w:sz w:val="24"/>
          <w:szCs w:val="24"/>
        </w:rPr>
        <w:t xml:space="preserve"> փաթեթվածքի նյութի հետ։</w:t>
      </w:r>
    </w:p>
    <w:p w14:paraId="7C1ECCD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Որպես ցողաշիթերի արտադրության ժամանակ օգտագործվող օժանդակ նյութեր օգտագործում են լուծիչներ, մակեր</w:t>
      </w:r>
      <w:r>
        <w:rPr>
          <w:rFonts w:ascii="Sylfaen" w:hAnsi="Sylfaen"/>
          <w:sz w:val="24"/>
          <w:szCs w:val="24"/>
        </w:rPr>
        <w:t>եւ</w:t>
      </w:r>
      <w:r w:rsidRPr="00D95643">
        <w:rPr>
          <w:rFonts w:ascii="Sylfaen" w:hAnsi="Sylfaen"/>
          <w:sz w:val="24"/>
          <w:szCs w:val="24"/>
        </w:rPr>
        <w:t xml:space="preserve">ութաակտիվ նյութեր, թաղանթագոյացուցիչներ, համի </w:t>
      </w:r>
      <w:r>
        <w:rPr>
          <w:rFonts w:ascii="Sylfaen" w:hAnsi="Sylfaen"/>
          <w:sz w:val="24"/>
          <w:szCs w:val="24"/>
        </w:rPr>
        <w:t>եւ</w:t>
      </w:r>
      <w:r w:rsidRPr="00D95643">
        <w:rPr>
          <w:rFonts w:ascii="Sylfaen" w:hAnsi="Sylfaen"/>
          <w:sz w:val="24"/>
          <w:szCs w:val="24"/>
        </w:rPr>
        <w:t xml:space="preserve"> հոտի կորրիգենտներ, հակամանրէային կոնսերվանտներ, հակաօքսիդիչներ։</w:t>
      </w:r>
    </w:p>
    <w:p w14:paraId="44A4598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Ցողաշիթերը կարող են ստացվել համապատասխան լուծիչում ցողաշիթերի ստացման համար նախատեսված լիոֆիլիզատների կամ փոշիների լուծման/դիսպերսման միջոցով։</w:t>
      </w:r>
    </w:p>
    <w:p w14:paraId="700B3D3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Չդեղաչափված ցողաշիթերի փաթեթվածքը պետք է համալրված լինի դեղապատրաստուկի մատակարարման միջոցով՝ անդադար գործողության փոշեցրիչ սարքով, դեղաչափված ցողաշիթերի փաթեթվածքը՝ դեղաչափիչ փոշեցրիչ սարքով։ Փոշեցրիչ սարքը պետք է օգտագործման ժամանակ կարգավորի փաթեթվածքի պարունակության ձերբազատումը՝ ձերբազատման արագությունը </w:t>
      </w:r>
      <w:r>
        <w:rPr>
          <w:rFonts w:ascii="Sylfaen" w:hAnsi="Sylfaen"/>
          <w:sz w:val="24"/>
          <w:szCs w:val="24"/>
        </w:rPr>
        <w:t>եւ</w:t>
      </w:r>
      <w:r w:rsidRPr="00D95643">
        <w:rPr>
          <w:rFonts w:ascii="Sylfaen" w:hAnsi="Sylfaen"/>
          <w:sz w:val="24"/>
          <w:szCs w:val="24"/>
        </w:rPr>
        <w:t xml:space="preserve"> լրիվությունը, դիսպերսիայի մասնիկների չափը, դեղաչափման միատարրությունը։ Ցողաշիթերի փաթեթվածքի, ինչպես նա</w:t>
      </w:r>
      <w:r>
        <w:rPr>
          <w:rFonts w:ascii="Sylfaen" w:hAnsi="Sylfaen"/>
          <w:sz w:val="24"/>
          <w:szCs w:val="24"/>
        </w:rPr>
        <w:t>եւ</w:t>
      </w:r>
      <w:r w:rsidRPr="00D95643">
        <w:rPr>
          <w:rFonts w:ascii="Sylfaen" w:hAnsi="Sylfaen"/>
          <w:sz w:val="24"/>
          <w:szCs w:val="24"/>
        </w:rPr>
        <w:t xml:space="preserve"> փոշեցրիչ </w:t>
      </w:r>
      <w:r>
        <w:rPr>
          <w:rFonts w:ascii="Sylfaen" w:hAnsi="Sylfaen"/>
          <w:sz w:val="24"/>
          <w:szCs w:val="24"/>
        </w:rPr>
        <w:t>եւ</w:t>
      </w:r>
      <w:r w:rsidRPr="00D95643">
        <w:rPr>
          <w:rFonts w:ascii="Sylfaen" w:hAnsi="Sylfaen"/>
          <w:sz w:val="24"/>
          <w:szCs w:val="24"/>
        </w:rPr>
        <w:t xml:space="preserve"> դոզավորող սարքերի արտադրության մեջ օգտագործվող նյութերը պետք է իներտ լինեն փաթեթվածքի պարունակության նկատմամբ։</w:t>
      </w:r>
    </w:p>
    <w:p w14:paraId="7A38A1D9" w14:textId="77777777" w:rsidR="003A4194" w:rsidRPr="00D95643" w:rsidRDefault="003A4194" w:rsidP="003A4194">
      <w:pPr>
        <w:tabs>
          <w:tab w:val="left" w:pos="2568"/>
        </w:tabs>
        <w:spacing w:after="160" w:line="360" w:lineRule="auto"/>
        <w:ind w:firstLine="567"/>
        <w:jc w:val="both"/>
      </w:pPr>
      <w:r w:rsidRPr="00D95643">
        <w:rPr>
          <w:i/>
        </w:rPr>
        <w:t>Ցողաշիթեր</w:t>
      </w:r>
      <w:r w:rsidRPr="00D95643">
        <w:t xml:space="preserve"> դեղաձ</w:t>
      </w:r>
      <w:r>
        <w:t>եւ</w:t>
      </w:r>
      <w:r w:rsidRPr="00D95643">
        <w:t xml:space="preserve">ով դեղապատրաստուկներ ստանալիս պետք է ձեռնարկվեն դրանց միկրոկենսաբանական մաքրությունն ապահովող միջոցներ. սահմանված դեպքերում մանրէազերծ </w:t>
      </w:r>
      <w:r w:rsidRPr="00D95643">
        <w:rPr>
          <w:i/>
        </w:rPr>
        <w:t>ցողաշիթեր</w:t>
      </w:r>
      <w:r w:rsidRPr="00D95643">
        <w:t xml:space="preserve"> ստանալիս պետք է ձեռնարկվեն դրանց մանրէազերծությունն ապահովող միջոցներ։</w:t>
      </w:r>
    </w:p>
    <w:p w14:paraId="69A602A2" w14:textId="77777777" w:rsidR="003A4194" w:rsidRPr="0035054F" w:rsidRDefault="003A4194" w:rsidP="003A4194">
      <w:pPr>
        <w:tabs>
          <w:tab w:val="left" w:pos="2568"/>
        </w:tabs>
        <w:spacing w:after="160" w:line="360" w:lineRule="auto"/>
        <w:ind w:firstLine="567"/>
      </w:pPr>
    </w:p>
    <w:p w14:paraId="20BFE3FC" w14:textId="77777777" w:rsidR="003A4194" w:rsidRPr="0035054F" w:rsidRDefault="003A4194" w:rsidP="003A4194">
      <w:pPr>
        <w:tabs>
          <w:tab w:val="left" w:pos="2568"/>
        </w:tabs>
        <w:spacing w:after="160" w:line="360" w:lineRule="auto"/>
        <w:ind w:firstLine="567"/>
      </w:pPr>
    </w:p>
    <w:p w14:paraId="7C99F9EF"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ՓՈՐՁԱՐԿՈՒՄՆԵՐԸ</w:t>
      </w:r>
    </w:p>
    <w:p w14:paraId="3A16394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Ցողաշիթերը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01A0A24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Ցողաշիթեր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դեղապատրաստուկների ստացման համար նախատեսված փոշիների </w:t>
      </w:r>
      <w:r>
        <w:rPr>
          <w:rFonts w:ascii="Sylfaen" w:hAnsi="Sylfaen"/>
          <w:sz w:val="24"/>
          <w:szCs w:val="24"/>
        </w:rPr>
        <w:t>եւ</w:t>
      </w:r>
      <w:r w:rsidRPr="00D95643">
        <w:rPr>
          <w:rFonts w:ascii="Sylfaen" w:hAnsi="Sylfaen"/>
          <w:sz w:val="24"/>
          <w:szCs w:val="24"/>
        </w:rPr>
        <w:t xml:space="preserve"> լիոֆիլիզատների տեսքով դեղաձ</w:t>
      </w:r>
      <w:r>
        <w:rPr>
          <w:rFonts w:ascii="Sylfaen" w:hAnsi="Sylfaen"/>
          <w:sz w:val="24"/>
          <w:szCs w:val="24"/>
        </w:rPr>
        <w:t>եւ</w:t>
      </w:r>
      <w:r w:rsidRPr="00D95643">
        <w:rPr>
          <w:rFonts w:ascii="Sylfaen" w:hAnsi="Sylfaen"/>
          <w:sz w:val="24"/>
          <w:szCs w:val="24"/>
        </w:rPr>
        <w:t>երը պետք է համապատասխանաբար բավարարեն հետ</w:t>
      </w:r>
      <w:r>
        <w:rPr>
          <w:rFonts w:ascii="Sylfaen" w:hAnsi="Sylfaen"/>
          <w:sz w:val="24"/>
          <w:szCs w:val="24"/>
        </w:rPr>
        <w:t>եւ</w:t>
      </w:r>
      <w:r w:rsidRPr="00D95643">
        <w:rPr>
          <w:rFonts w:ascii="Sylfaen" w:hAnsi="Sylfaen"/>
          <w:sz w:val="24"/>
          <w:szCs w:val="24"/>
        </w:rPr>
        <w:t xml:space="preserve">յալ ընդհանուր դեղագրքային հոդվածների պահանջները՝ </w:t>
      </w:r>
      <w:r w:rsidRPr="00D95643">
        <w:rPr>
          <w:rFonts w:ascii="Sylfaen" w:hAnsi="Sylfaen"/>
          <w:i/>
          <w:sz w:val="24"/>
          <w:szCs w:val="24"/>
        </w:rPr>
        <w:t>2.5.1.24. Փոշիներ</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w:t>
      </w:r>
      <w:r w:rsidRPr="00D95643">
        <w:rPr>
          <w:rFonts w:ascii="Sylfaen" w:hAnsi="Sylfaen"/>
          <w:i/>
          <w:sz w:val="24"/>
          <w:szCs w:val="24"/>
        </w:rPr>
        <w:t>2.5.1.14. Լիոֆիլիզատներ։</w:t>
      </w:r>
    </w:p>
    <w:p w14:paraId="0A7E41D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pacing w:val="-4"/>
          <w:sz w:val="24"/>
          <w:szCs w:val="24"/>
        </w:rPr>
        <w:t xml:space="preserve">Նկարագրությունը. </w:t>
      </w:r>
      <w:r w:rsidRPr="00D95643">
        <w:rPr>
          <w:rFonts w:ascii="Sylfaen" w:hAnsi="Sylfaen"/>
          <w:spacing w:val="-4"/>
          <w:sz w:val="24"/>
          <w:szCs w:val="24"/>
        </w:rPr>
        <w:t>Փաթեթվածքից ձերբազատվելիս ցողաշիթերը գոյացնում են հեղուկ, որը լուծույթ, դեղակախույթ կամ էմուլսիա է։ Ցողաշիթերը բնութագրում են՝ նշելով արտաքին տեսքը, հեղուկի զգայորոշման (գույն, հոտ) եւ մյուս հատկությունները՝ մասնավոր դեղագրքային հոդվածի եւ (կամ) որակի վերաբերյալ</w:t>
      </w:r>
      <w:r w:rsidRPr="00D95643">
        <w:rPr>
          <w:rFonts w:ascii="Sylfaen" w:hAnsi="Sylfaen"/>
          <w:sz w:val="24"/>
          <w:szCs w:val="24"/>
        </w:rPr>
        <w:t xml:space="preserve"> նորմատիվ փաստաթղթի պահանջներին համապատասխան։</w:t>
      </w:r>
    </w:p>
    <w:p w14:paraId="28B0392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pacing w:val="-4"/>
          <w:sz w:val="24"/>
          <w:szCs w:val="24"/>
        </w:rPr>
        <w:t>Այն ցողաշիթերի համար, որոնք էմուլսիաներ եւ դեղակախույթներ են, կարող է դիտարկվել շերտավորում, բայց թափահարելիս դրանք պետք է հեշտությամբ վերաէմուլսացվեն</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վերակախութավորվեն՝ դիսպերսիոն միջավայրում ակտիվ դեղագործական բաղադրամասի հավասարաչափ բաշխումն ապահովելու համար։</w:t>
      </w:r>
    </w:p>
    <w:p w14:paraId="0B8DA26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Փաթեթվածքի պարունակության ելքը. </w:t>
      </w:r>
      <w:r w:rsidRPr="00D95643">
        <w:rPr>
          <w:rFonts w:ascii="Sylfaen" w:hAnsi="Sylfaen"/>
          <w:sz w:val="24"/>
          <w:szCs w:val="24"/>
        </w:rPr>
        <w:t xml:space="preserve">Փորձարկումն անցկացնում են չդեղաչափված ցողաշիթերի համար՝ </w:t>
      </w:r>
      <w:r w:rsidRPr="00D95643">
        <w:rPr>
          <w:rFonts w:ascii="Sylfaen" w:hAnsi="Sylfaen"/>
          <w:i/>
          <w:sz w:val="24"/>
          <w:szCs w:val="24"/>
        </w:rPr>
        <w:t xml:space="preserve">2.1.9.18. Չդոզավորված աերոզոլների, փրփուրների </w:t>
      </w:r>
      <w:r>
        <w:rPr>
          <w:rFonts w:ascii="Sylfaen" w:hAnsi="Sylfaen"/>
          <w:i/>
          <w:sz w:val="24"/>
          <w:szCs w:val="24"/>
        </w:rPr>
        <w:t>եւ</w:t>
      </w:r>
      <w:r w:rsidRPr="00D95643">
        <w:rPr>
          <w:rFonts w:ascii="Sylfaen" w:hAnsi="Sylfaen"/>
          <w:i/>
          <w:sz w:val="24"/>
          <w:szCs w:val="24"/>
        </w:rPr>
        <w:t xml:space="preserve"> ցողաշիթերի համար փաթեթվածքի պարունակության ելքի որոշում </w:t>
      </w:r>
      <w:r w:rsidRPr="00D95643">
        <w:rPr>
          <w:rFonts w:ascii="Sylfaen" w:hAnsi="Sylfaen"/>
          <w:sz w:val="24"/>
          <w:szCs w:val="24"/>
        </w:rPr>
        <w:t>ընհանուր դեղագրքային հոդվածին համապատասխան։</w:t>
      </w:r>
    </w:p>
    <w:p w14:paraId="539B92E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Մատակարարվող (ձերբազատվող) դեղաչափերի զանգվածի միատարրությունը. </w:t>
      </w:r>
      <w:r w:rsidRPr="00D95643">
        <w:rPr>
          <w:rFonts w:ascii="Sylfaen" w:hAnsi="Sylfaen"/>
          <w:sz w:val="24"/>
          <w:szCs w:val="24"/>
        </w:rPr>
        <w:t>Փորձարկումն անցկացվում է դեղաչափված այն ցողաշիթերի համար, որոնք լուծույթներ են։</w:t>
      </w:r>
    </w:p>
    <w:p w14:paraId="125FB5C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Ցուցանիշի հսկողությունը պետք է անցկացվի ոչ միայն մեկ փաթեթվածքից </w:t>
      </w:r>
      <w:r w:rsidRPr="00D95643">
        <w:rPr>
          <w:rFonts w:ascii="Sylfaen" w:hAnsi="Sylfaen"/>
          <w:spacing w:val="-4"/>
          <w:sz w:val="24"/>
          <w:szCs w:val="24"/>
        </w:rPr>
        <w:t xml:space="preserve">ձերբազատվող դեղաչափերի համար, այլ նաեւ տարբեր փաթեթվածքներից ստացված դեղաչափերի համար: Դեղաչափերի ընտրության ընթացակարգը պետք է </w:t>
      </w:r>
      <w:r w:rsidRPr="00D95643">
        <w:rPr>
          <w:rFonts w:ascii="Sylfaen" w:hAnsi="Sylfaen"/>
          <w:spacing w:val="-4"/>
          <w:sz w:val="24"/>
          <w:szCs w:val="24"/>
        </w:rPr>
        <w:lastRenderedPageBreak/>
        <w:t>ներառի դեղաչափերի ընտրություն պատրաստուկի օգտագործման սկզբում, կեսին եւ</w:t>
      </w:r>
      <w:r w:rsidRPr="00D95643">
        <w:rPr>
          <w:rFonts w:ascii="Sylfaen" w:hAnsi="Sylfaen"/>
          <w:sz w:val="24"/>
          <w:szCs w:val="24"/>
        </w:rPr>
        <w:t xml:space="preserve"> վերջում։</w:t>
      </w:r>
    </w:p>
    <w:p w14:paraId="7CCE174A" w14:textId="77777777" w:rsidR="003A4194" w:rsidRPr="00D95643" w:rsidRDefault="003A4194" w:rsidP="003A4194">
      <w:pPr>
        <w:spacing w:after="160" w:line="360" w:lineRule="auto"/>
        <w:ind w:firstLine="567"/>
        <w:jc w:val="both"/>
      </w:pPr>
      <w:r w:rsidRPr="00D95643">
        <w:t xml:space="preserve">Մասնավոր դեղագրքային հոդվածում </w:t>
      </w:r>
      <w:r>
        <w:t>եւ</w:t>
      </w:r>
      <w:r w:rsidRPr="00D95643">
        <w:t xml:space="preserve"> (կամ) որակի վերաբերյալ նորմատիվ փաստաթղթում այլ ցուցումների բացակայության դեպքում փորձարկման համար ցողաշիթերի 10 փաթեթվածքից դեղաչափերի ընտրությունն անցկացնում են հետ</w:t>
      </w:r>
      <w:r>
        <w:t>եւ</w:t>
      </w:r>
      <w:r w:rsidRPr="00D95643">
        <w:t>յալ կերպ՝ 3 փաթեթվածքներից դեղաչափերի անհրաժեշտ քանակությունը ձերբազատվում է դեղապատրաստուկի օգտագործման սկզբում, 4 փաթեթվածքներից՝ դեղապատրաստուկի օգտագործման կեսին, 3 փաթեթվածքներից՝ դեղապատրաստուկի օգտագործման վերջում։</w:t>
      </w:r>
    </w:p>
    <w:p w14:paraId="09607D5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Մատակարարվող (ձերբազատվող) դեղաչափերի զանգվածի միատարրության որոշման մեթոդիկան մեկ փաթեթվածքի համար.</w:t>
      </w:r>
      <w:r w:rsidRPr="00D95643">
        <w:rPr>
          <w:rFonts w:ascii="Sylfaen" w:hAnsi="Sylfaen"/>
          <w:sz w:val="24"/>
          <w:szCs w:val="24"/>
        </w:rPr>
        <w:t xml:space="preserve"> Ձերբազատվում է մեկ դեղաչափ </w:t>
      </w:r>
      <w:r>
        <w:rPr>
          <w:rFonts w:ascii="Sylfaen" w:hAnsi="Sylfaen"/>
          <w:sz w:val="24"/>
          <w:szCs w:val="24"/>
        </w:rPr>
        <w:t>եւ</w:t>
      </w:r>
      <w:r w:rsidRPr="00D95643">
        <w:rPr>
          <w:rFonts w:ascii="Sylfaen" w:hAnsi="Sylfaen"/>
          <w:sz w:val="24"/>
          <w:szCs w:val="24"/>
        </w:rPr>
        <w:t xml:space="preserve"> այն հեռացվում է։ Առնվազն 5 վրկ անց փաթեթվածքը թափահարում են 5 վրկ, կրկին ձերբազատում </w:t>
      </w:r>
      <w:r>
        <w:rPr>
          <w:rFonts w:ascii="Sylfaen" w:hAnsi="Sylfaen"/>
          <w:sz w:val="24"/>
          <w:szCs w:val="24"/>
        </w:rPr>
        <w:t>եւ</w:t>
      </w:r>
      <w:r w:rsidRPr="00D95643">
        <w:rPr>
          <w:rFonts w:ascii="Sylfaen" w:hAnsi="Sylfaen"/>
          <w:sz w:val="24"/>
          <w:szCs w:val="24"/>
        </w:rPr>
        <w:t xml:space="preserve"> հեռացնում են մեկ դեղաչափ։ Նշված ընթացակարգը կրկնում են </w:t>
      </w:r>
      <w:r>
        <w:rPr>
          <w:rFonts w:ascii="Sylfaen" w:hAnsi="Sylfaen"/>
          <w:sz w:val="24"/>
          <w:szCs w:val="24"/>
        </w:rPr>
        <w:t>եւ</w:t>
      </w:r>
      <w:r w:rsidRPr="00D95643">
        <w:rPr>
          <w:rFonts w:ascii="Sylfaen" w:hAnsi="Sylfaen"/>
          <w:sz w:val="24"/>
          <w:szCs w:val="24"/>
        </w:rPr>
        <w:t xml:space="preserve">ս 3 անգամ, եթե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բան նշված չէ։ Փաթեթվածքը կշռում են։ Փաթեթվածքը թափահարում են 5 վրկ, ձերբազատում </w:t>
      </w:r>
      <w:r>
        <w:rPr>
          <w:rFonts w:ascii="Sylfaen" w:hAnsi="Sylfaen"/>
          <w:sz w:val="24"/>
          <w:szCs w:val="24"/>
        </w:rPr>
        <w:t>եւ</w:t>
      </w:r>
      <w:r w:rsidRPr="00D95643">
        <w:rPr>
          <w:rFonts w:ascii="Sylfaen" w:hAnsi="Sylfaen"/>
          <w:sz w:val="24"/>
          <w:szCs w:val="24"/>
        </w:rPr>
        <w:t xml:space="preserve"> հեռացնում են մեկ դեղաչափ, փաթեթվածքը կրկին կշռում են։ Ըստ տարբերության՝ հաշվարկվում է ձերբազատված դեղաչափի զանգվածը։</w:t>
      </w:r>
    </w:p>
    <w:p w14:paraId="55B4B45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կրկնում 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w:t>
      </w:r>
      <w:r>
        <w:rPr>
          <w:rFonts w:ascii="Sylfaen" w:hAnsi="Sylfaen"/>
          <w:sz w:val="24"/>
          <w:szCs w:val="24"/>
        </w:rPr>
        <w:t>եւ</w:t>
      </w:r>
      <w:r w:rsidRPr="00D95643">
        <w:rPr>
          <w:rFonts w:ascii="Sylfaen" w:hAnsi="Sylfaen"/>
          <w:sz w:val="24"/>
          <w:szCs w:val="24"/>
        </w:rPr>
        <w:t>ս 9 դեղաչափի համար։ Օգտագործելով մատակարարվող (ձերբազատվող) դեղաչափերի զանգվածի միատարրության որոշման ժամանակ ստացված տվյալները՝ հաշվարկում են դեղաչափի միջին զանգվածը</w:t>
      </w:r>
      <w:r w:rsidRPr="00D95643">
        <w:rPr>
          <w:rFonts w:ascii="Sylfaen" w:hAnsi="Sylfaen"/>
          <w:i/>
          <w:sz w:val="24"/>
          <w:szCs w:val="24"/>
        </w:rPr>
        <w:t>(т</w:t>
      </w:r>
      <w:r w:rsidRPr="00D95643">
        <w:rPr>
          <w:rFonts w:ascii="Sylfaen" w:hAnsi="Sylfaen"/>
          <w:i/>
          <w:sz w:val="24"/>
          <w:szCs w:val="24"/>
          <w:vertAlign w:val="subscript"/>
        </w:rPr>
        <w:t>մջն</w:t>
      </w:r>
      <w:r w:rsidRPr="00D95643">
        <w:rPr>
          <w:rFonts w:ascii="Sylfaen" w:hAnsi="Sylfaen"/>
          <w:i/>
          <w:sz w:val="24"/>
          <w:szCs w:val="24"/>
        </w:rPr>
        <w:t>)</w:t>
      </w:r>
      <w:r w:rsidRPr="00D95643">
        <w:rPr>
          <w:rFonts w:ascii="Sylfaen" w:hAnsi="Sylfaen"/>
          <w:sz w:val="24"/>
          <w:szCs w:val="24"/>
        </w:rPr>
        <w:t xml:space="preserve"> </w:t>
      </w:r>
      <w:r>
        <w:rPr>
          <w:rFonts w:ascii="Sylfaen" w:hAnsi="Sylfaen"/>
          <w:sz w:val="24"/>
          <w:szCs w:val="24"/>
        </w:rPr>
        <w:t>եւ</w:t>
      </w:r>
      <w:r w:rsidRPr="00D95643">
        <w:rPr>
          <w:rFonts w:ascii="Sylfaen" w:hAnsi="Sylfaen"/>
          <w:sz w:val="24"/>
          <w:szCs w:val="24"/>
        </w:rPr>
        <w:t xml:space="preserve"> դեղաչափի միջին զանգվածից անհատական արժեքների շեղումները։</w:t>
      </w:r>
    </w:p>
    <w:p w14:paraId="1077499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Դեղապատրաստուկը համարվում է փորձարկումն անցած, եթե 10 անհատական զանգվածներից ոչ ավելին, քան մեկը շեղվում է միջին զանգվածից 25 %-ը գերազանցող մեծությամբ, ընդ որում, ոչ ավելի, քան 35 %-ով։ Եթե 2 կամ 3 </w:t>
      </w:r>
      <w:r w:rsidRPr="00803B34">
        <w:rPr>
          <w:rFonts w:ascii="Sylfaen" w:hAnsi="Sylfaen"/>
          <w:spacing w:val="-4"/>
          <w:sz w:val="24"/>
          <w:szCs w:val="24"/>
        </w:rPr>
        <w:t xml:space="preserve">արդյունք դուրս է մնում 75-125 %-ի սահմաններից, ապա փորձարկումը կրկնում են </w:t>
      </w:r>
      <w:r w:rsidRPr="00803B34">
        <w:rPr>
          <w:rFonts w:ascii="Sylfaen" w:hAnsi="Sylfaen"/>
          <w:spacing w:val="-4"/>
          <w:sz w:val="24"/>
          <w:szCs w:val="24"/>
        </w:rPr>
        <w:lastRenderedPageBreak/>
        <w:t>մյուս 20 դեղաչափերի հետ։ 30 արժեքներից ոչ ավելին, քան 3-ը կարող են դուրս</w:t>
      </w:r>
      <w:r w:rsidRPr="00D95643">
        <w:rPr>
          <w:rFonts w:ascii="Sylfaen" w:hAnsi="Sylfaen"/>
          <w:sz w:val="24"/>
          <w:szCs w:val="24"/>
        </w:rPr>
        <w:t xml:space="preserve"> գալ 75-125 %-ի սահմաններից, </w:t>
      </w:r>
      <w:r>
        <w:rPr>
          <w:rFonts w:ascii="Sylfaen" w:hAnsi="Sylfaen"/>
          <w:sz w:val="24"/>
          <w:szCs w:val="24"/>
        </w:rPr>
        <w:t>եւ</w:t>
      </w:r>
      <w:r w:rsidRPr="00D95643">
        <w:rPr>
          <w:rFonts w:ascii="Sylfaen" w:hAnsi="Sylfaen"/>
          <w:sz w:val="24"/>
          <w:szCs w:val="24"/>
        </w:rPr>
        <w:t xml:space="preserve"> բոլոր արժեքները պետք է լինեն 65 %-ից մինչ</w:t>
      </w:r>
      <w:r>
        <w:rPr>
          <w:rFonts w:ascii="Sylfaen" w:hAnsi="Sylfaen"/>
          <w:sz w:val="24"/>
          <w:szCs w:val="24"/>
        </w:rPr>
        <w:t>եւ</w:t>
      </w:r>
      <w:r w:rsidRPr="00D95643">
        <w:rPr>
          <w:rFonts w:ascii="Sylfaen" w:hAnsi="Sylfaen"/>
          <w:sz w:val="24"/>
          <w:szCs w:val="24"/>
        </w:rPr>
        <w:t xml:space="preserve"> 135</w:t>
      </w:r>
      <w:r w:rsidR="00803B34" w:rsidRPr="00803B34">
        <w:rPr>
          <w:rFonts w:ascii="Sylfaen" w:hAnsi="Sylfaen"/>
          <w:sz w:val="24"/>
          <w:szCs w:val="24"/>
        </w:rPr>
        <w:t> </w:t>
      </w:r>
      <w:r w:rsidRPr="00D95643">
        <w:rPr>
          <w:rFonts w:ascii="Sylfaen" w:hAnsi="Sylfaen"/>
          <w:sz w:val="24"/>
          <w:szCs w:val="24"/>
        </w:rPr>
        <w:t>%-ի սահմաններում։</w:t>
      </w:r>
    </w:p>
    <w:p w14:paraId="4B500E5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Մասնավոր դեղագրքային հոդվածում կամ որակի վերաբերյալ նորմատիվ փաստաթղթում այլ ցուցումների բացակայության դեպքում մեկ դեղաչափի միջին զանգվածը պետք է լինի դեղաչափի հայտագրված զանգվածից 85 %</w:t>
      </w:r>
      <w:r w:rsidR="00803B34" w:rsidRPr="00803B34">
        <w:rPr>
          <w:rFonts w:ascii="Sylfaen" w:hAnsi="Sylfaen"/>
          <w:sz w:val="24"/>
          <w:szCs w:val="24"/>
        </w:rPr>
        <w:t>-</w:t>
      </w:r>
      <w:r w:rsidRPr="00D95643">
        <w:rPr>
          <w:rFonts w:ascii="Sylfaen" w:hAnsi="Sylfaen"/>
          <w:sz w:val="24"/>
          <w:szCs w:val="24"/>
        </w:rPr>
        <w:t>ից մինչ</w:t>
      </w:r>
      <w:r>
        <w:rPr>
          <w:rFonts w:ascii="Sylfaen" w:hAnsi="Sylfaen"/>
          <w:sz w:val="24"/>
          <w:szCs w:val="24"/>
        </w:rPr>
        <w:t>եւ</w:t>
      </w:r>
      <w:r w:rsidRPr="00D95643">
        <w:rPr>
          <w:rFonts w:ascii="Sylfaen" w:hAnsi="Sylfaen"/>
          <w:sz w:val="24"/>
          <w:szCs w:val="24"/>
        </w:rPr>
        <w:t xml:space="preserve"> 115 %-ի սահմաններում։</w:t>
      </w:r>
    </w:p>
    <w:p w14:paraId="5942CE3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Մատակարարվող (ձերբազատվող) դեղաչափերի միատարրությունը. (Դեղաչափման միատարրությունը). </w:t>
      </w:r>
      <w:r w:rsidRPr="00D95643">
        <w:rPr>
          <w:rFonts w:ascii="Sylfaen" w:hAnsi="Sylfaen"/>
          <w:sz w:val="24"/>
          <w:szCs w:val="24"/>
        </w:rPr>
        <w:t>Փորձարկումն անցկացվում է դեղաչափված այն ցողաշիթերի համար, որոնք էմուլսիաներ կամ դեղակախույթներ են։</w:t>
      </w:r>
    </w:p>
    <w:p w14:paraId="72EDC6B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Տվյալ ցուցանիշի հսկողությունը պետք է անցկացվի ոչ միայն մեկ փաթեթվածքից ձերբազատվող դեղաչափերի համար, այլ նա</w:t>
      </w:r>
      <w:r>
        <w:rPr>
          <w:rFonts w:ascii="Sylfaen" w:hAnsi="Sylfaen"/>
          <w:sz w:val="24"/>
          <w:szCs w:val="24"/>
        </w:rPr>
        <w:t>եւ</w:t>
      </w:r>
      <w:r w:rsidRPr="00D95643">
        <w:rPr>
          <w:rFonts w:ascii="Sylfaen" w:hAnsi="Sylfaen"/>
          <w:sz w:val="24"/>
          <w:szCs w:val="24"/>
        </w:rPr>
        <w:t xml:space="preserve"> տարբեր փաթեթվածքներից ստացված դեղաչափերի համար: Դեղաչափերի ընտրության ընթացակարգը պետք է ներառի դեղաչափերի ընտրություն պատրաստուկի օգտագործման սկզբում, կեսին </w:t>
      </w:r>
      <w:r>
        <w:rPr>
          <w:rFonts w:ascii="Sylfaen" w:hAnsi="Sylfaen"/>
          <w:sz w:val="24"/>
          <w:szCs w:val="24"/>
        </w:rPr>
        <w:t>եւ</w:t>
      </w:r>
      <w:r w:rsidRPr="00D95643">
        <w:rPr>
          <w:rFonts w:ascii="Sylfaen" w:hAnsi="Sylfaen"/>
          <w:sz w:val="24"/>
          <w:szCs w:val="24"/>
        </w:rPr>
        <w:t xml:space="preserve"> վերջում։</w:t>
      </w:r>
    </w:p>
    <w:p w14:paraId="26ECE67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ցուցումների բացակայության դեպքում փորձարկման համար ցողաշիթերի 10 փաթեթվածքից դեղաչափերի ընտրությունն անցկացնում են հետ</w:t>
      </w:r>
      <w:r>
        <w:rPr>
          <w:rFonts w:ascii="Sylfaen" w:hAnsi="Sylfaen"/>
          <w:sz w:val="24"/>
          <w:szCs w:val="24"/>
        </w:rPr>
        <w:t>եւ</w:t>
      </w:r>
      <w:r w:rsidRPr="00D95643">
        <w:rPr>
          <w:rFonts w:ascii="Sylfaen" w:hAnsi="Sylfaen"/>
          <w:sz w:val="24"/>
          <w:szCs w:val="24"/>
        </w:rPr>
        <w:t>յալ կերպ՝ 3 փաթեթվածքներից դեղաչափերի անհրաժեշտ քանակությունը ձերբազատվում է դեղապատրաստուկի օգտագործման սկզբում, 4 փաթեթվածքներից՝ դեղապատրաստուկի օգտագործման կեսին, 3 փաթեթվածքներից՝ դեղապատրաստուկի օգտագործման վերջում։</w:t>
      </w:r>
    </w:p>
    <w:p w14:paraId="695265D4"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Մատակարարվող (ձերբազատվող) դեղաչափերի միատարրության (դեղաչափման միատարրության) որոշման մեթոդիկան մեկ փաթեթվածքի համար.</w:t>
      </w:r>
      <w:r w:rsidRPr="00D95643">
        <w:rPr>
          <w:rFonts w:ascii="Sylfaen" w:hAnsi="Sylfaen"/>
          <w:sz w:val="24"/>
          <w:szCs w:val="24"/>
        </w:rPr>
        <w:t xml:space="preserve"> Փորձարկումն անցկացվում է այնպիսի ապարատի կամ սարքի միջոցով, որոնք կարող են քանակապես պահպանել փոշեցրիչ սարքից ազատված դեղաչափը։ Փաթեթվածքը թափահարում են 5 վրկ, ձերբազատում </w:t>
      </w:r>
      <w:r>
        <w:rPr>
          <w:rFonts w:ascii="Sylfaen" w:hAnsi="Sylfaen"/>
          <w:sz w:val="24"/>
          <w:szCs w:val="24"/>
        </w:rPr>
        <w:t>եւ</w:t>
      </w:r>
      <w:r w:rsidRPr="00D95643">
        <w:rPr>
          <w:rFonts w:ascii="Sylfaen" w:hAnsi="Sylfaen"/>
          <w:sz w:val="24"/>
          <w:szCs w:val="24"/>
        </w:rPr>
        <w:t xml:space="preserve"> հեռացնում են մեկ դեղաչափ։ Առնվազն 5 վրկ անց փաթեթվածքը կրկին թափահարում են 5 վրկ, </w:t>
      </w:r>
      <w:r w:rsidRPr="00D95643">
        <w:rPr>
          <w:rFonts w:ascii="Sylfaen" w:hAnsi="Sylfaen"/>
          <w:sz w:val="24"/>
          <w:szCs w:val="24"/>
        </w:rPr>
        <w:lastRenderedPageBreak/>
        <w:t xml:space="preserve">ձերբազատում </w:t>
      </w:r>
      <w:r>
        <w:rPr>
          <w:rFonts w:ascii="Sylfaen" w:hAnsi="Sylfaen"/>
          <w:sz w:val="24"/>
          <w:szCs w:val="24"/>
        </w:rPr>
        <w:t>եւ</w:t>
      </w:r>
      <w:r w:rsidRPr="00D95643">
        <w:rPr>
          <w:rFonts w:ascii="Sylfaen" w:hAnsi="Sylfaen"/>
          <w:sz w:val="24"/>
          <w:szCs w:val="24"/>
        </w:rPr>
        <w:t xml:space="preserve"> հեռացնում են մեկ դեղաչափ։ Նշված ընթացակարգը կրկնում են </w:t>
      </w:r>
      <w:r>
        <w:rPr>
          <w:rFonts w:ascii="Sylfaen" w:hAnsi="Sylfaen"/>
          <w:sz w:val="24"/>
          <w:szCs w:val="24"/>
        </w:rPr>
        <w:t>եւ</w:t>
      </w:r>
      <w:r w:rsidRPr="00D95643">
        <w:rPr>
          <w:rFonts w:ascii="Sylfaen" w:hAnsi="Sylfaen"/>
          <w:sz w:val="24"/>
          <w:szCs w:val="24"/>
        </w:rPr>
        <w:t xml:space="preserve">ս 3 անգամ, եթե մասնավոր դեղագրքային հոդվածում կամ որակի վերաբերյալ նորմատիվ փաստաթղթում այլ բան նշված չէ։ 5 վրկ անց մեկ դեղաչափ բաց է թողնվում ապարատի ընդունիչի մեջ։ Ընդունիչի պարունակությունը հավաքում են հաջորդաբար լվացումների եղանակով </w:t>
      </w:r>
      <w:r>
        <w:rPr>
          <w:rFonts w:ascii="Sylfaen" w:hAnsi="Sylfaen"/>
          <w:sz w:val="24"/>
          <w:szCs w:val="24"/>
        </w:rPr>
        <w:t>եւ</w:t>
      </w:r>
      <w:r w:rsidRPr="00D95643">
        <w:rPr>
          <w:rFonts w:ascii="Sylfaen" w:hAnsi="Sylfaen"/>
          <w:sz w:val="24"/>
          <w:szCs w:val="24"/>
        </w:rPr>
        <w:t xml:space="preserve"> միացված լվացքաջրերի մեջ որոշում են ազդող նյութի պարունակությունը։</w:t>
      </w:r>
    </w:p>
    <w:p w14:paraId="191966D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կրկնվում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w:t>
      </w:r>
      <w:r>
        <w:rPr>
          <w:rFonts w:ascii="Sylfaen" w:hAnsi="Sylfaen"/>
          <w:sz w:val="24"/>
          <w:szCs w:val="24"/>
        </w:rPr>
        <w:t>եւ</w:t>
      </w:r>
      <w:r w:rsidRPr="00D95643">
        <w:rPr>
          <w:rFonts w:ascii="Sylfaen" w:hAnsi="Sylfaen"/>
          <w:sz w:val="24"/>
          <w:szCs w:val="24"/>
        </w:rPr>
        <w:t>ս 9 դեղաչափի համար։</w:t>
      </w:r>
    </w:p>
    <w:p w14:paraId="7E8BCE8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Որոշում են միջին մատակարարվող դեղաչափը (դեղապատրաստուկի մատակարարվող մեկ դեղաչափի մեջ ազդող նյութի պարունակության միջին արժեքը) </w:t>
      </w:r>
      <w:r>
        <w:rPr>
          <w:rFonts w:ascii="Sylfaen" w:hAnsi="Sylfaen"/>
          <w:sz w:val="24"/>
          <w:szCs w:val="24"/>
        </w:rPr>
        <w:t>եւ</w:t>
      </w:r>
      <w:r w:rsidRPr="00D95643">
        <w:rPr>
          <w:rFonts w:ascii="Sylfaen" w:hAnsi="Sylfaen"/>
          <w:sz w:val="24"/>
          <w:szCs w:val="24"/>
        </w:rPr>
        <w:t xml:space="preserve"> միջին մատակարարվող դեղաչափից անհատական արժեքների շեղումները։ Թույլատրելի շեղումները պետք է լինեն պիտակի վրա նշված արժեքից 85 %-ից մինչ</w:t>
      </w:r>
      <w:r>
        <w:rPr>
          <w:rFonts w:ascii="Sylfaen" w:hAnsi="Sylfaen"/>
          <w:sz w:val="24"/>
          <w:szCs w:val="24"/>
        </w:rPr>
        <w:t>եւ</w:t>
      </w:r>
      <w:r w:rsidRPr="00D95643">
        <w:rPr>
          <w:rFonts w:ascii="Sylfaen" w:hAnsi="Sylfaen"/>
          <w:sz w:val="24"/>
          <w:szCs w:val="24"/>
        </w:rPr>
        <w:t xml:space="preserve"> 115 %։</w:t>
      </w:r>
    </w:p>
    <w:p w14:paraId="547EEB4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Դեղապատրաստուկն անցնում է փորձարկումը, եթե 10 արդյունքներից 9-ը գտնվում են միջին արժեքից 75 %-ից մինչ</w:t>
      </w:r>
      <w:r>
        <w:rPr>
          <w:rFonts w:ascii="Sylfaen" w:hAnsi="Sylfaen"/>
          <w:sz w:val="24"/>
          <w:szCs w:val="24"/>
        </w:rPr>
        <w:t>եւ</w:t>
      </w:r>
      <w:r w:rsidRPr="00D95643">
        <w:rPr>
          <w:rFonts w:ascii="Sylfaen" w:hAnsi="Sylfaen"/>
          <w:sz w:val="24"/>
          <w:szCs w:val="24"/>
        </w:rPr>
        <w:t xml:space="preserve"> 125 %-ի սահմաններում, իսկ բոլոր </w:t>
      </w:r>
      <w:r w:rsidRPr="00803B34">
        <w:rPr>
          <w:rFonts w:ascii="Sylfaen" w:hAnsi="Sylfaen"/>
          <w:spacing w:val="-4"/>
          <w:sz w:val="24"/>
          <w:szCs w:val="24"/>
        </w:rPr>
        <w:t>արդյունքները գտնվում են 65 %–ից մինչեւ 135 %-ի սահմաններում։ Եթե 2 կամ 3 արդյունք դուրս է մնում 75-125 %-ի սահմաններից, ապա փորձարկումը կրկնում են մյուս 20 դեղաչափերի հետ։ 30 արժեքներից ոչ ավելին, քան 3-ը կարող են դուրս գալ 75</w:t>
      </w:r>
      <w:r w:rsidRPr="00D95643">
        <w:rPr>
          <w:rFonts w:ascii="Sylfaen" w:hAnsi="Sylfaen"/>
          <w:sz w:val="24"/>
          <w:szCs w:val="24"/>
        </w:rPr>
        <w:t xml:space="preserve">-125 %-ի սահմաններից, </w:t>
      </w:r>
      <w:r>
        <w:rPr>
          <w:rFonts w:ascii="Sylfaen" w:hAnsi="Sylfaen"/>
          <w:sz w:val="24"/>
          <w:szCs w:val="24"/>
        </w:rPr>
        <w:t>եւ</w:t>
      </w:r>
      <w:r w:rsidRPr="00D95643">
        <w:rPr>
          <w:rFonts w:ascii="Sylfaen" w:hAnsi="Sylfaen"/>
          <w:sz w:val="24"/>
          <w:szCs w:val="24"/>
        </w:rPr>
        <w:t xml:space="preserve"> բոլոր արժեքները պետք է լինեն 65 %-ից մինչ</w:t>
      </w:r>
      <w:r>
        <w:rPr>
          <w:rFonts w:ascii="Sylfaen" w:hAnsi="Sylfaen"/>
          <w:sz w:val="24"/>
          <w:szCs w:val="24"/>
        </w:rPr>
        <w:t>եւ</w:t>
      </w:r>
      <w:r w:rsidRPr="00D95643">
        <w:rPr>
          <w:rFonts w:ascii="Sylfaen" w:hAnsi="Sylfaen"/>
          <w:sz w:val="24"/>
          <w:szCs w:val="24"/>
        </w:rPr>
        <w:t xml:space="preserve"> 135</w:t>
      </w:r>
      <w:r w:rsidR="00803B34" w:rsidRPr="00803B34">
        <w:rPr>
          <w:rFonts w:ascii="Sylfaen" w:hAnsi="Sylfaen"/>
          <w:sz w:val="24"/>
          <w:szCs w:val="24"/>
        </w:rPr>
        <w:t> </w:t>
      </w:r>
      <w:r w:rsidRPr="00D95643">
        <w:rPr>
          <w:rFonts w:ascii="Sylfaen" w:hAnsi="Sylfaen"/>
          <w:sz w:val="24"/>
          <w:szCs w:val="24"/>
        </w:rPr>
        <w:t>%-ի սահմաններում։</w:t>
      </w:r>
    </w:p>
    <w:p w14:paraId="2414112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Մի քանի ազդող նյութ պարունակող ցողաշիթերի համար դեղաչափման միատարրության փորձարկումը պետք է կատարվի յուրաքանչյուր նյութի համար։</w:t>
      </w:r>
    </w:p>
    <w:p w14:paraId="30E1E3C6" w14:textId="77777777" w:rsidR="003A4194" w:rsidRPr="00D95643" w:rsidRDefault="003A4194" w:rsidP="003A4194">
      <w:pPr>
        <w:spacing w:after="160" w:line="360" w:lineRule="auto"/>
        <w:ind w:firstLine="567"/>
        <w:jc w:val="both"/>
      </w:pPr>
      <w:r w:rsidRPr="00D95643">
        <w:rPr>
          <w:b/>
          <w:spacing w:val="-4"/>
        </w:rPr>
        <w:t xml:space="preserve">Դեղաչափված միավորների միատարրությունը. </w:t>
      </w:r>
      <w:r w:rsidRPr="00D95643">
        <w:rPr>
          <w:spacing w:val="-4"/>
        </w:rPr>
        <w:t xml:space="preserve">Փորձարկումն անցկացնում են միադեղաչափ փաթեթվածքով ցողաշիթերի համար՝ </w:t>
      </w:r>
      <w:r w:rsidRPr="00D95643">
        <w:rPr>
          <w:i/>
          <w:spacing w:val="-4"/>
        </w:rPr>
        <w:t xml:space="preserve">2.1.9.14. Դեղաչափված միավորների միատարրություն </w:t>
      </w:r>
      <w:r w:rsidRPr="00D95643">
        <w:rPr>
          <w:spacing w:val="-4"/>
        </w:rPr>
        <w:t>ընդհանուր դեղագրքային հոդվածին</w:t>
      </w:r>
      <w:r w:rsidRPr="00D95643">
        <w:rPr>
          <w:i/>
          <w:spacing w:val="-4"/>
        </w:rPr>
        <w:t xml:space="preserve"> </w:t>
      </w:r>
      <w:r w:rsidRPr="00D95643">
        <w:rPr>
          <w:spacing w:val="-4"/>
        </w:rPr>
        <w:t>եւ մասնավոր դեղագրքային հոդվածում կամ որակի վերաբերյալ նորմատիվ փաստաթղթում նշված պահանջներին</w:t>
      </w:r>
      <w:r w:rsidRPr="00D95643">
        <w:t xml:space="preserve"> համապատասխան։</w:t>
      </w:r>
    </w:p>
    <w:p w14:paraId="64EBF30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Փաթեթվածքից ձերբազատումների քանակը (դեղաչափերի քանակը փաթեթվածքի մեջ). </w:t>
      </w:r>
      <w:r w:rsidRPr="00D95643">
        <w:rPr>
          <w:rFonts w:ascii="Sylfaen" w:hAnsi="Sylfaen"/>
          <w:sz w:val="24"/>
          <w:szCs w:val="24"/>
        </w:rPr>
        <w:t>Փորձարկումն անցկացվում է դեղաչափված ցողաշիթերի համար բազմադեղաչափ փաթեթվածքի մեջ՝ նշված մեթոդներից մեկով։</w:t>
      </w:r>
    </w:p>
    <w:p w14:paraId="4AD7340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Մեթոդ 1. Բաց է թողնվում մեկ փաթեթվածքի պարունակությունը՝ ձերբազատելով դեղաչափերն առնվազն 5 վրկ միջակայքով։ Գրանցվում է ձերբազատված դեղաչափերի քանակը։</w:t>
      </w:r>
    </w:p>
    <w:p w14:paraId="3CF4AEC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Թույլատրվում է փորձարկումն անցկացնել՝ միաժամանակ որոշելով </w:t>
      </w:r>
      <w:r w:rsidRPr="00D95643">
        <w:rPr>
          <w:rFonts w:ascii="Sylfaen" w:hAnsi="Sylfaen"/>
          <w:i/>
          <w:sz w:val="24"/>
          <w:szCs w:val="24"/>
        </w:rPr>
        <w:t>Մատակարարվող (ձերբազատվող) դեղաչափերի զանգվածի միատարրությունը/ Մատակարարվող (ձերբազատվող) դեղաչափերի միատարրությունը (Դեղաչափման միատարրությունը)</w:t>
      </w:r>
      <w:r w:rsidRPr="00D95643">
        <w:rPr>
          <w:rFonts w:ascii="Sylfaen" w:hAnsi="Sylfaen"/>
          <w:sz w:val="24"/>
          <w:szCs w:val="24"/>
        </w:rPr>
        <w:t xml:space="preserve"> ցուցանիշը։</w:t>
      </w:r>
    </w:p>
    <w:p w14:paraId="11E1591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Մեթոդ 2. Փաթեթվածքը կշռվում է փոշեցրի կամ գլխադիրի հետ միասին՝ մինչ</w:t>
      </w:r>
      <w:r>
        <w:rPr>
          <w:rFonts w:ascii="Sylfaen" w:hAnsi="Sylfaen"/>
          <w:sz w:val="24"/>
          <w:szCs w:val="24"/>
        </w:rPr>
        <w:t>եւ</w:t>
      </w:r>
      <w:r w:rsidRPr="00D95643">
        <w:rPr>
          <w:rFonts w:ascii="Sylfaen" w:hAnsi="Sylfaen"/>
          <w:sz w:val="24"/>
          <w:szCs w:val="24"/>
        </w:rPr>
        <w:t xml:space="preserve"> 0,01 գ (</w:t>
      </w:r>
      <w:r w:rsidRPr="00D95643">
        <w:rPr>
          <w:rFonts w:ascii="Sylfaen" w:hAnsi="Sylfaen"/>
          <w:i/>
          <w:sz w:val="24"/>
          <w:szCs w:val="24"/>
        </w:rPr>
        <w:t>m</w:t>
      </w:r>
      <w:r w:rsidRPr="00D95643">
        <w:rPr>
          <w:rFonts w:ascii="Sylfaen" w:hAnsi="Sylfaen"/>
          <w:i/>
          <w:sz w:val="24"/>
          <w:szCs w:val="24"/>
          <w:vertAlign w:val="subscript"/>
        </w:rPr>
        <w:t>1</w:t>
      </w:r>
      <w:r w:rsidRPr="00D95643">
        <w:rPr>
          <w:rFonts w:ascii="Sylfaen" w:hAnsi="Sylfaen"/>
          <w:sz w:val="24"/>
          <w:szCs w:val="24"/>
        </w:rPr>
        <w:t xml:space="preserve">) ճշգրտությամբ։ Փոշեցիրի կամ գլխադիրի վրա սեղմելով՝ փաթեթվածքից բաց է թողնվում ամբողջ պարունակությունը </w:t>
      </w:r>
      <w:r>
        <w:rPr>
          <w:rFonts w:ascii="Sylfaen" w:hAnsi="Sylfaen"/>
          <w:sz w:val="24"/>
          <w:szCs w:val="24"/>
        </w:rPr>
        <w:t>եւ</w:t>
      </w:r>
      <w:r w:rsidRPr="00D95643">
        <w:rPr>
          <w:rFonts w:ascii="Sylfaen" w:hAnsi="Sylfaen"/>
          <w:sz w:val="24"/>
          <w:szCs w:val="24"/>
        </w:rPr>
        <w:t xml:space="preserve"> փաթեթվածքը փոշեցիրի կամ գլխադիրի հետ միասին նորից կշռվում է մինչ</w:t>
      </w:r>
      <w:r>
        <w:rPr>
          <w:rFonts w:ascii="Sylfaen" w:hAnsi="Sylfaen"/>
          <w:sz w:val="24"/>
          <w:szCs w:val="24"/>
        </w:rPr>
        <w:t>եւ</w:t>
      </w:r>
      <w:r w:rsidRPr="00D95643">
        <w:rPr>
          <w:rFonts w:ascii="Sylfaen" w:hAnsi="Sylfaen"/>
          <w:sz w:val="24"/>
          <w:szCs w:val="24"/>
        </w:rPr>
        <w:t xml:space="preserve"> 0,01 գ (m</w:t>
      </w:r>
      <w:r w:rsidRPr="00D95643">
        <w:rPr>
          <w:rFonts w:ascii="Sylfaen" w:hAnsi="Sylfaen"/>
          <w:sz w:val="24"/>
          <w:szCs w:val="24"/>
          <w:vertAlign w:val="subscript"/>
        </w:rPr>
        <w:t>2</w:t>
      </w:r>
      <w:r w:rsidRPr="00D95643">
        <w:rPr>
          <w:rFonts w:ascii="Sylfaen" w:hAnsi="Sylfaen"/>
          <w:sz w:val="24"/>
          <w:szCs w:val="24"/>
        </w:rPr>
        <w:t>) ճշգրտությամբ։</w:t>
      </w:r>
    </w:p>
    <w:p w14:paraId="0D23909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Մեկ փաթեթվածքի մեջ դեղաչափերի միջին քանակը (</w:t>
      </w:r>
      <w:r w:rsidRPr="00D95643">
        <w:rPr>
          <w:rFonts w:ascii="Sylfaen" w:hAnsi="Sylfaen"/>
          <w:i/>
          <w:sz w:val="24"/>
          <w:szCs w:val="24"/>
        </w:rPr>
        <w:t>n</w:t>
      </w:r>
      <w:r w:rsidRPr="00D95643">
        <w:rPr>
          <w:rFonts w:ascii="Sylfaen" w:hAnsi="Sylfaen"/>
          <w:i/>
          <w:sz w:val="24"/>
          <w:szCs w:val="24"/>
          <w:vertAlign w:val="subscript"/>
        </w:rPr>
        <w:t>մջն</w:t>
      </w:r>
      <w:r w:rsidRPr="00D95643">
        <w:rPr>
          <w:rFonts w:ascii="Sylfaen" w:hAnsi="Sylfaen"/>
          <w:sz w:val="24"/>
          <w:szCs w:val="24"/>
        </w:rPr>
        <w:t>) հաշվարկվում է հետ</w:t>
      </w:r>
      <w:r>
        <w:rPr>
          <w:rFonts w:ascii="Sylfaen" w:hAnsi="Sylfaen"/>
          <w:sz w:val="24"/>
          <w:szCs w:val="24"/>
        </w:rPr>
        <w:t>եւ</w:t>
      </w:r>
      <w:r w:rsidRPr="00D95643">
        <w:rPr>
          <w:rFonts w:ascii="Sylfaen" w:hAnsi="Sylfaen"/>
          <w:sz w:val="24"/>
          <w:szCs w:val="24"/>
        </w:rPr>
        <w:t>յալ բանաձ</w:t>
      </w:r>
      <w:r>
        <w:rPr>
          <w:rFonts w:ascii="Sylfaen" w:hAnsi="Sylfaen"/>
          <w:sz w:val="24"/>
          <w:szCs w:val="24"/>
        </w:rPr>
        <w:t>եւ</w:t>
      </w:r>
      <w:r w:rsidRPr="00D95643">
        <w:rPr>
          <w:rFonts w:ascii="Sylfaen" w:hAnsi="Sylfaen"/>
          <w:sz w:val="24"/>
          <w:szCs w:val="24"/>
        </w:rPr>
        <w:t>ով.</w:t>
      </w:r>
    </w:p>
    <w:p w14:paraId="286DA98C" w14:textId="77777777" w:rsidR="003A4194" w:rsidRPr="00D95643" w:rsidRDefault="00000000" w:rsidP="003A4194">
      <w:pPr>
        <w:pStyle w:val="a0"/>
        <w:shd w:val="clear" w:color="auto" w:fill="auto"/>
        <w:spacing w:after="160" w:line="360" w:lineRule="auto"/>
        <w:ind w:firstLine="567"/>
        <w:jc w:val="center"/>
        <w:rPr>
          <w:rFonts w:ascii="Cambria Math" w:hAnsi="Sylfaen" w:cs="Sylfaen"/>
          <w:sz w:val="24"/>
          <w:szCs w:val="24"/>
          <w:oMath/>
        </w:rPr>
      </w:pPr>
      <m:oMathPara>
        <m:oMath>
          <m:sSub>
            <m:sSubPr>
              <m:ctrlPr>
                <w:rPr>
                  <w:rFonts w:ascii="Cambria Math" w:hAnsi="Sylfaen" w:cs="Sylfaen"/>
                  <w:i/>
                  <w:sz w:val="24"/>
                  <w:szCs w:val="24"/>
                </w:rPr>
              </m:ctrlPr>
            </m:sSubPr>
            <m:e>
              <m:r>
                <w:rPr>
                  <w:rFonts w:ascii="Cambria Math" w:hAnsi="Cambria Math" w:cs="Sylfaen"/>
                  <w:sz w:val="24"/>
                  <w:szCs w:val="24"/>
                </w:rPr>
                <m:t>n</m:t>
              </m:r>
            </m:e>
            <m:sub>
              <m:r>
                <w:rPr>
                  <w:rFonts w:ascii="Cambria Math" w:hAnsi="Cambria Math" w:cs="Sylfaen"/>
                  <w:sz w:val="24"/>
                  <w:szCs w:val="24"/>
                </w:rPr>
                <m:t>cp</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1</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Sylfaen" w:cs="Sylfaen"/>
                      <w:sz w:val="24"/>
                      <w:szCs w:val="24"/>
                    </w:rPr>
                    <m:t>2</m:t>
                  </m:r>
                </m:sub>
              </m:sSub>
            </m:num>
            <m:den>
              <m:sSub>
                <m:sSubPr>
                  <m:ctrlPr>
                    <w:rPr>
                      <w:rFonts w:ascii="Cambria Math" w:hAnsi="Sylfaen" w:cs="Sylfaen"/>
                      <w:i/>
                      <w:sz w:val="24"/>
                      <w:szCs w:val="24"/>
                    </w:rPr>
                  </m:ctrlPr>
                </m:sSubPr>
                <m:e>
                  <m:r>
                    <w:rPr>
                      <w:rFonts w:ascii="Cambria Math" w:hAnsi="Cambria Math" w:cs="Sylfaen"/>
                      <w:sz w:val="24"/>
                      <w:szCs w:val="24"/>
                    </w:rPr>
                    <m:t>m</m:t>
                  </m:r>
                </m:e>
                <m:sub>
                  <m:r>
                    <w:rPr>
                      <w:rFonts w:ascii="Cambria Math" w:hAnsi="Cambria Math" w:cs="Sylfaen"/>
                      <w:sz w:val="24"/>
                      <w:szCs w:val="24"/>
                    </w:rPr>
                    <m:t>cp</m:t>
                  </m:r>
                </m:sub>
              </m:sSub>
            </m:den>
          </m:f>
          <m:r>
            <m:rPr>
              <m:sty m:val="p"/>
            </m:rPr>
            <w:rPr>
              <w:rFonts w:ascii="Cambria Math" w:hAnsi="Sylfaen" w:cs="Sylfaen"/>
              <w:sz w:val="24"/>
              <w:szCs w:val="24"/>
            </w:rPr>
            <m:t>,</m:t>
          </m:r>
        </m:oMath>
      </m:oMathPara>
    </w:p>
    <w:p w14:paraId="120E3368" w14:textId="77777777" w:rsidR="003A4194" w:rsidRDefault="003A4194" w:rsidP="003A4194">
      <w:pPr>
        <w:pStyle w:val="a0"/>
        <w:shd w:val="clear" w:color="auto" w:fill="auto"/>
        <w:spacing w:after="160" w:line="360" w:lineRule="auto"/>
        <w:ind w:firstLine="567"/>
        <w:jc w:val="both"/>
        <w:rPr>
          <w:rFonts w:ascii="Sylfaen" w:hAnsi="Sylfaen"/>
          <w:sz w:val="24"/>
          <w:szCs w:val="24"/>
          <w:lang w:val="en-US"/>
        </w:rPr>
      </w:pPr>
    </w:p>
    <w:p w14:paraId="45D6E490" w14:textId="77777777" w:rsidR="003A4194" w:rsidRPr="00D95643"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 xml:space="preserve">որտեղ՝ </w:t>
      </w:r>
    </w:p>
    <w:p w14:paraId="600B429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mմջն՝ մեկ դեղաչափի միջին զանգվածն է, որը հաշվարկված է </w:t>
      </w:r>
      <w:r w:rsidRPr="00D95643">
        <w:rPr>
          <w:rFonts w:ascii="Sylfaen" w:hAnsi="Sylfaen"/>
          <w:i/>
          <w:sz w:val="24"/>
          <w:szCs w:val="24"/>
        </w:rPr>
        <w:t xml:space="preserve">Մատակարարվող (ձերբազատվող) դեղաչափերի զանգվածի միատարրությունը </w:t>
      </w:r>
      <w:r w:rsidRPr="00D95643">
        <w:rPr>
          <w:rFonts w:ascii="Sylfaen" w:hAnsi="Sylfaen"/>
          <w:sz w:val="24"/>
          <w:szCs w:val="24"/>
        </w:rPr>
        <w:t>ցուցանիշը գրամներով որոշելիս։</w:t>
      </w:r>
    </w:p>
    <w:p w14:paraId="2B06E31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Փորձարկման արդյունքում ստացված դեղաչափերի քանակը պետք է լինի պիտակի վրա նշված դեղաչափերի քանակից ոչ պակաս։</w:t>
      </w:r>
    </w:p>
    <w:p w14:paraId="4241C3D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Մասնիկների չափը. </w:t>
      </w:r>
      <w:r w:rsidRPr="00D95643">
        <w:rPr>
          <w:rFonts w:ascii="Sylfaen" w:hAnsi="Sylfaen"/>
          <w:sz w:val="24"/>
          <w:szCs w:val="24"/>
        </w:rPr>
        <w:t xml:space="preserve">Փորձարկումն անցկացվում է այն ցողաշիթերի համար, որոնք ազդող նյութերի դեղակախույթներ են։ Որոշման մեթոդիկան </w:t>
      </w:r>
      <w:r>
        <w:rPr>
          <w:rFonts w:ascii="Sylfaen" w:hAnsi="Sylfaen"/>
          <w:sz w:val="24"/>
          <w:szCs w:val="24"/>
        </w:rPr>
        <w:t>եւ</w:t>
      </w:r>
      <w:r w:rsidRPr="00D95643">
        <w:rPr>
          <w:rFonts w:ascii="Sylfaen" w:hAnsi="Sylfaen"/>
          <w:sz w:val="24"/>
          <w:szCs w:val="24"/>
        </w:rPr>
        <w:t xml:space="preserve"> մասնիկների չափին ներկայացվող պահանջները պետք է նշվեն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7002DF9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pH–ը. </w:t>
      </w:r>
      <w:r w:rsidRPr="00D95643">
        <w:rPr>
          <w:rFonts w:ascii="Sylfaen" w:hAnsi="Sylfaen"/>
          <w:sz w:val="24"/>
          <w:szCs w:val="24"/>
        </w:rPr>
        <w:t xml:space="preserve">Փորձարկումն անցկացվում է, եթե նշված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w:t>
      </w:r>
      <w:r w:rsidRPr="00D95643">
        <w:rPr>
          <w:rFonts w:ascii="Sylfaen" w:hAnsi="Sylfaen"/>
          <w:i/>
          <w:sz w:val="24"/>
          <w:szCs w:val="24"/>
        </w:rPr>
        <w:t xml:space="preserve">2.1.2.3. pH-ի պոտենցաչափական որոշում </w:t>
      </w:r>
      <w:r w:rsidRPr="00D95643">
        <w:rPr>
          <w:rFonts w:ascii="Sylfaen" w:hAnsi="Sylfaen"/>
          <w:sz w:val="24"/>
          <w:szCs w:val="24"/>
        </w:rPr>
        <w:t xml:space="preserve">ընդհանուր դեղագրքային հոդվածին համապատասխան։ pH-ի արժեքը նշվում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39480DC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C4468A0" w14:textId="77777777" w:rsidR="003A4194" w:rsidRPr="0035054F"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t>205010032-2022</w:t>
      </w:r>
    </w:p>
    <w:p w14:paraId="076E8EDB" w14:textId="77777777" w:rsidR="003A4194" w:rsidRPr="0035054F" w:rsidRDefault="003A4194" w:rsidP="003A4194">
      <w:pPr>
        <w:pStyle w:val="a0"/>
        <w:shd w:val="clear" w:color="auto" w:fill="auto"/>
        <w:spacing w:after="160" w:line="360" w:lineRule="auto"/>
        <w:ind w:firstLine="567"/>
        <w:jc w:val="right"/>
        <w:rPr>
          <w:rFonts w:ascii="Sylfaen" w:hAnsi="Sylfaen" w:cs="Sylfaen"/>
          <w:szCs w:val="24"/>
        </w:rPr>
      </w:pPr>
    </w:p>
    <w:p w14:paraId="376B1B09"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2.5.1.32.</w:t>
      </w:r>
      <w:r w:rsidRPr="0035054F">
        <w:rPr>
          <w:rFonts w:ascii="Sylfaen" w:hAnsi="Sylfaen"/>
          <w:b/>
          <w:sz w:val="24"/>
          <w:szCs w:val="24"/>
        </w:rPr>
        <w:tab/>
      </w:r>
      <w:r w:rsidRPr="00D95643">
        <w:rPr>
          <w:rFonts w:ascii="Sylfaen" w:hAnsi="Sylfaen"/>
          <w:b/>
          <w:sz w:val="24"/>
          <w:szCs w:val="24"/>
        </w:rPr>
        <w:t xml:space="preserve">Մոմիկներ </w:t>
      </w:r>
      <w:r>
        <w:rPr>
          <w:rFonts w:ascii="Sylfaen" w:hAnsi="Sylfaen"/>
          <w:b/>
          <w:sz w:val="24"/>
          <w:szCs w:val="24"/>
        </w:rPr>
        <w:t>եւ</w:t>
      </w:r>
      <w:r w:rsidRPr="00D95643">
        <w:rPr>
          <w:rFonts w:ascii="Sylfaen" w:hAnsi="Sylfaen"/>
          <w:b/>
          <w:sz w:val="24"/>
          <w:szCs w:val="24"/>
        </w:rPr>
        <w:t xml:space="preserve"> ձողիկներ</w:t>
      </w:r>
    </w:p>
    <w:p w14:paraId="22F8F9F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«Մոմիկներ»՝ դեղաչափված պինդ դեղաձ</w:t>
      </w:r>
      <w:r>
        <w:rPr>
          <w:rFonts w:ascii="Sylfaen" w:hAnsi="Sylfaen"/>
          <w:sz w:val="24"/>
          <w:szCs w:val="24"/>
        </w:rPr>
        <w:t>եւ</w:t>
      </w:r>
      <w:r w:rsidRPr="00D95643">
        <w:rPr>
          <w:rFonts w:ascii="Sylfaen" w:hAnsi="Sylfaen"/>
          <w:sz w:val="24"/>
          <w:szCs w:val="24"/>
        </w:rPr>
        <w:t xml:space="preserve">, որը նախատեսված է մարմնի խոռոչ ներմուծման համար </w:t>
      </w:r>
      <w:r>
        <w:rPr>
          <w:rFonts w:ascii="Sylfaen" w:hAnsi="Sylfaen"/>
          <w:sz w:val="24"/>
          <w:szCs w:val="24"/>
        </w:rPr>
        <w:t>եւ</w:t>
      </w:r>
      <w:r w:rsidRPr="00D95643">
        <w:rPr>
          <w:rFonts w:ascii="Sylfaen" w:hAnsi="Sylfaen"/>
          <w:sz w:val="24"/>
          <w:szCs w:val="24"/>
        </w:rPr>
        <w:t xml:space="preserve"> հալվում է (լուծվում է, կազմալուծվում է) մարմնի ջերմաստիճանի պայմաններում։</w:t>
      </w:r>
    </w:p>
    <w:p w14:paraId="44996BF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«Ձողիկներ»՝ դեղաչափված պինդ կոնաձ</w:t>
      </w:r>
      <w:r>
        <w:rPr>
          <w:rFonts w:ascii="Sylfaen" w:hAnsi="Sylfaen"/>
          <w:sz w:val="24"/>
          <w:szCs w:val="24"/>
        </w:rPr>
        <w:t>եւ</w:t>
      </w:r>
      <w:r w:rsidRPr="00D95643">
        <w:rPr>
          <w:rFonts w:ascii="Sylfaen" w:hAnsi="Sylfaen"/>
          <w:sz w:val="24"/>
          <w:szCs w:val="24"/>
        </w:rPr>
        <w:t xml:space="preserve"> կամ գլանաձ</w:t>
      </w:r>
      <w:r>
        <w:rPr>
          <w:rFonts w:ascii="Sylfaen" w:hAnsi="Sylfaen"/>
          <w:sz w:val="24"/>
          <w:szCs w:val="24"/>
        </w:rPr>
        <w:t>եւ</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որը նախատեսված է օրգանիզմի բնական կամ պաթոլոգիական խոռոչներ ներմուծման համար, ունակ է հալվելու կամ լուծվելու մարմնի ջերմաստիճանի պայմաններում։</w:t>
      </w:r>
    </w:p>
    <w:p w14:paraId="4CCECAC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Մոմիկները </w:t>
      </w:r>
      <w:r>
        <w:rPr>
          <w:rFonts w:ascii="Sylfaen" w:hAnsi="Sylfaen"/>
          <w:sz w:val="24"/>
          <w:szCs w:val="24"/>
        </w:rPr>
        <w:t>եւ</w:t>
      </w:r>
      <w:r w:rsidRPr="00D95643">
        <w:rPr>
          <w:rFonts w:ascii="Sylfaen" w:hAnsi="Sylfaen"/>
          <w:sz w:val="24"/>
          <w:szCs w:val="24"/>
        </w:rPr>
        <w:t xml:space="preserve"> ձողիկները կարող են պարունակել հարմար հիմքում լուծված կամ դիսպերսված մեկ կամ ավելի ակտիվ դեղագործական բաղադրամասեր։</w:t>
      </w:r>
    </w:p>
    <w:p w14:paraId="3446000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ակտիվ դեղագործական բաղադրամասի հատկություններով (հիմքում լուծվող կամ չլուծվող)՝ մոմիկները </w:t>
      </w:r>
      <w:r>
        <w:rPr>
          <w:rFonts w:ascii="Sylfaen" w:hAnsi="Sylfaen"/>
          <w:sz w:val="24"/>
          <w:szCs w:val="24"/>
        </w:rPr>
        <w:t>եւ</w:t>
      </w:r>
      <w:r w:rsidRPr="00D95643">
        <w:rPr>
          <w:rFonts w:ascii="Sylfaen" w:hAnsi="Sylfaen"/>
          <w:sz w:val="24"/>
          <w:szCs w:val="24"/>
        </w:rPr>
        <w:t xml:space="preserve"> ձողիկները կարող են լինել համասեռ, տարասեռ կամ համակցված։</w:t>
      </w:r>
    </w:p>
    <w:p w14:paraId="7C7C985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ուղով՝ տարբերակում են ռեկտալ </w:t>
      </w:r>
      <w:r>
        <w:rPr>
          <w:rFonts w:ascii="Sylfaen" w:hAnsi="Sylfaen"/>
          <w:sz w:val="24"/>
          <w:szCs w:val="24"/>
        </w:rPr>
        <w:t>եւ</w:t>
      </w:r>
      <w:r w:rsidRPr="00D95643">
        <w:rPr>
          <w:rFonts w:ascii="Sylfaen" w:hAnsi="Sylfaen"/>
          <w:sz w:val="24"/>
          <w:szCs w:val="24"/>
        </w:rPr>
        <w:t xml:space="preserve"> հեշտոցային մոմիկներ, ինչպես նա</w:t>
      </w:r>
      <w:r>
        <w:rPr>
          <w:rFonts w:ascii="Sylfaen" w:hAnsi="Sylfaen"/>
          <w:sz w:val="24"/>
          <w:szCs w:val="24"/>
        </w:rPr>
        <w:t>եւ</w:t>
      </w:r>
      <w:r w:rsidRPr="00D95643">
        <w:rPr>
          <w:rFonts w:ascii="Sylfaen" w:hAnsi="Sylfaen"/>
          <w:sz w:val="24"/>
          <w:szCs w:val="24"/>
        </w:rPr>
        <w:t xml:space="preserve"> ներարգանդային մոմիկներ, որոնք </w:t>
      </w:r>
      <w:r w:rsidRPr="00D95643">
        <w:rPr>
          <w:rFonts w:ascii="Sylfaen" w:hAnsi="Sylfaen"/>
          <w:sz w:val="24"/>
          <w:szCs w:val="24"/>
        </w:rPr>
        <w:lastRenderedPageBreak/>
        <w:t xml:space="preserve">նախատեսված են միայն անասնաբուժական կիրառման համար։ Մոմիկների զանգվածը </w:t>
      </w:r>
      <w:r>
        <w:rPr>
          <w:rFonts w:ascii="Sylfaen" w:hAnsi="Sylfaen"/>
          <w:sz w:val="24"/>
          <w:szCs w:val="24"/>
        </w:rPr>
        <w:t>եւ</w:t>
      </w:r>
      <w:r w:rsidRPr="00D95643">
        <w:rPr>
          <w:rFonts w:ascii="Sylfaen" w:hAnsi="Sylfaen"/>
          <w:sz w:val="24"/>
          <w:szCs w:val="24"/>
        </w:rPr>
        <w:t xml:space="preserve"> չափերը պետք է համապատասխանեն դրանց ներմուծման ուղուն։</w:t>
      </w:r>
    </w:p>
    <w:p w14:paraId="52ECFC2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Ռեկտալ մոմիկներ</w:t>
      </w:r>
      <w:r w:rsidRPr="00D95643">
        <w:rPr>
          <w:rFonts w:ascii="Sylfaen" w:hAnsi="Sylfaen"/>
          <w:sz w:val="24"/>
          <w:szCs w:val="24"/>
        </w:rPr>
        <w:t>՝ մոմիկներ, որոնք նախատեսված են ուղիղ աղիք ներմուծման համար՝ տեղային կամ համակարգային ազդեցություն գործելու նպատակով։</w:t>
      </w:r>
    </w:p>
    <w:p w14:paraId="68912C3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Բժշկական կիրառման համար նախատեսված ռեկտալ մոմիկները </w:t>
      </w:r>
      <w:r w:rsidRPr="00D95643">
        <w:rPr>
          <w:rFonts w:ascii="Sylfaen" w:hAnsi="Sylfaen"/>
          <w:spacing w:val="-4"/>
          <w:sz w:val="24"/>
          <w:szCs w:val="24"/>
        </w:rPr>
        <w:t>սովորաբար կոնաձեւ կամ տորպեդաձեւ են։ Մեկ ռեկտալ մոմիկի զանգվածը պետք է գտնվի 1 գ-ից</w:t>
      </w:r>
      <w:r w:rsidRPr="00D95643">
        <w:rPr>
          <w:rFonts w:ascii="Sylfaen" w:hAnsi="Sylfaen"/>
          <w:sz w:val="24"/>
          <w:szCs w:val="24"/>
        </w:rPr>
        <w:t xml:space="preserve"> մինչ</w:t>
      </w:r>
      <w:r>
        <w:rPr>
          <w:rFonts w:ascii="Sylfaen" w:hAnsi="Sylfaen"/>
          <w:sz w:val="24"/>
          <w:szCs w:val="24"/>
        </w:rPr>
        <w:t>եւ</w:t>
      </w:r>
      <w:r w:rsidRPr="00D95643">
        <w:rPr>
          <w:rFonts w:ascii="Sylfaen" w:hAnsi="Sylfaen"/>
          <w:sz w:val="24"/>
          <w:szCs w:val="24"/>
        </w:rPr>
        <w:t xml:space="preserve"> 4 գ-ի սահմաններում։ Եթե զանգվածը նշված չէ, ապա ռեկտալ մոմիկները պատրաստում են 3 գ զանգվածով։ Երեխաների համար նախատեսված ռեկտալ մոմիկների զանգվածը պետք է լինի 0.5 գ-ից մինչ</w:t>
      </w:r>
      <w:r>
        <w:rPr>
          <w:rFonts w:ascii="Sylfaen" w:hAnsi="Sylfaen"/>
          <w:sz w:val="24"/>
          <w:szCs w:val="24"/>
        </w:rPr>
        <w:t>եւ</w:t>
      </w:r>
      <w:r w:rsidRPr="00D95643">
        <w:rPr>
          <w:rFonts w:ascii="Sylfaen" w:hAnsi="Sylfaen"/>
          <w:sz w:val="24"/>
          <w:szCs w:val="24"/>
        </w:rPr>
        <w:t xml:space="preserve"> 1.5 գ։ Ռեկտալ մոմիկի առավելագույն տրամագիծը չպետք է գերազանցի 1.5 սմ</w:t>
      </w:r>
      <w:r w:rsidRPr="0035054F">
        <w:rPr>
          <w:rFonts w:ascii="Sylfaen" w:hAnsi="Sylfaen"/>
          <w:sz w:val="24"/>
          <w:szCs w:val="24"/>
        </w:rPr>
        <w:t>-</w:t>
      </w:r>
      <w:r w:rsidRPr="00D95643">
        <w:rPr>
          <w:rFonts w:ascii="Sylfaen" w:hAnsi="Sylfaen"/>
          <w:sz w:val="24"/>
          <w:szCs w:val="24"/>
        </w:rPr>
        <w:t>ը։</w:t>
      </w:r>
    </w:p>
    <w:p w14:paraId="245A3CF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Հեշտոցային մոմիկներ</w:t>
      </w:r>
      <w:r w:rsidRPr="00D95643">
        <w:rPr>
          <w:rFonts w:ascii="Sylfaen" w:hAnsi="Sylfaen"/>
          <w:sz w:val="24"/>
          <w:szCs w:val="24"/>
        </w:rPr>
        <w:t>՝ մոմիկներ, որոնք նախատեսված են հեշտոց ներմուծման համար՝ տեղային ազդեցություն գործելու նպատակով։</w:t>
      </w:r>
    </w:p>
    <w:p w14:paraId="34E149F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Բժշկական կիրառման համար նախատեսված հեշտոցային մոմիկները հիմնականում գնդաձ</w:t>
      </w:r>
      <w:r>
        <w:rPr>
          <w:rFonts w:ascii="Sylfaen" w:hAnsi="Sylfaen"/>
          <w:sz w:val="24"/>
          <w:szCs w:val="24"/>
        </w:rPr>
        <w:t>եւ</w:t>
      </w:r>
      <w:r w:rsidRPr="00D95643">
        <w:rPr>
          <w:rFonts w:ascii="Sylfaen" w:hAnsi="Sylfaen"/>
          <w:sz w:val="24"/>
          <w:szCs w:val="24"/>
        </w:rPr>
        <w:t xml:space="preserve"> են, ձվաձ</w:t>
      </w:r>
      <w:r>
        <w:rPr>
          <w:rFonts w:ascii="Sylfaen" w:hAnsi="Sylfaen"/>
          <w:sz w:val="24"/>
          <w:szCs w:val="24"/>
        </w:rPr>
        <w:t>եւ</w:t>
      </w:r>
      <w:r w:rsidRPr="00D95643">
        <w:rPr>
          <w:rFonts w:ascii="Sylfaen" w:hAnsi="Sylfaen"/>
          <w:sz w:val="24"/>
          <w:szCs w:val="24"/>
        </w:rPr>
        <w:t xml:space="preserve"> կամ կլորացված ծայրով տափակ մարմնի </w:t>
      </w:r>
      <w:r w:rsidRPr="00D95643">
        <w:rPr>
          <w:rFonts w:ascii="Sylfaen" w:hAnsi="Sylfaen"/>
          <w:spacing w:val="6"/>
          <w:sz w:val="24"/>
          <w:szCs w:val="24"/>
        </w:rPr>
        <w:t>տեսքով (պեսարի ձեւով)։ Մեկ հեշտոցային մոմիկի զանգվածը պետք է լինի 1,5 գ-ից մինչեւ 6 գ–ի սահմաններում։ Եթե զանգվածը նշված չէ, ապա հեշտոցային մոմիկները</w:t>
      </w:r>
      <w:r w:rsidRPr="00D95643">
        <w:rPr>
          <w:rFonts w:ascii="Sylfaen" w:hAnsi="Sylfaen"/>
          <w:sz w:val="24"/>
          <w:szCs w:val="24"/>
        </w:rPr>
        <w:t xml:space="preserve"> պատրաստում են 4 գ զանգվածով։</w:t>
      </w:r>
    </w:p>
    <w:p w14:paraId="41DF3CB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Ներարգանդային մոմիկներ</w:t>
      </w:r>
      <w:r w:rsidRPr="00D95643">
        <w:rPr>
          <w:rFonts w:ascii="Sylfaen" w:hAnsi="Sylfaen"/>
          <w:sz w:val="24"/>
          <w:szCs w:val="24"/>
        </w:rPr>
        <w:t>՝ մոմիկներ, որոնք նախատեսված են անմիջապես կենդանու արգանդ ներմուծման համար՝ տեղային ազդեցություն գործելու նպատակով։</w:t>
      </w:r>
    </w:p>
    <w:p w14:paraId="2C29AE06"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 xml:space="preserve">Ձողիկները կարող են նախատեսված լինել բժշկական </w:t>
      </w:r>
      <w:r>
        <w:rPr>
          <w:rFonts w:ascii="Sylfaen" w:hAnsi="Sylfaen"/>
          <w:sz w:val="24"/>
          <w:szCs w:val="24"/>
        </w:rPr>
        <w:t>եւ</w:t>
      </w:r>
      <w:r w:rsidRPr="00D95643">
        <w:rPr>
          <w:rFonts w:ascii="Sylfaen" w:hAnsi="Sylfaen"/>
          <w:sz w:val="24"/>
          <w:szCs w:val="24"/>
        </w:rPr>
        <w:t xml:space="preserve"> անասնաբուժական կիրառման համար։ Պայմանավորված ներմուծման ուղով՝ տարբերակում են ատամնաբուժական, քթի, պերիօդոնտալ, ուրեթրալ, ականջի ձողիկներ, ինչպես նա</w:t>
      </w:r>
      <w:r>
        <w:rPr>
          <w:rFonts w:ascii="Sylfaen" w:hAnsi="Sylfaen"/>
          <w:sz w:val="24"/>
          <w:szCs w:val="24"/>
        </w:rPr>
        <w:t>եւ</w:t>
      </w:r>
      <w:r w:rsidRPr="00D95643">
        <w:rPr>
          <w:rFonts w:ascii="Sylfaen" w:hAnsi="Sylfaen"/>
          <w:sz w:val="24"/>
          <w:szCs w:val="24"/>
        </w:rPr>
        <w:t xml:space="preserve"> ներարգանդային ձողիկներ, որոնք նախատեսված են միայն անասնաբուժական կիրառման համար։</w:t>
      </w:r>
    </w:p>
    <w:p w14:paraId="5605D8B9"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3958020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lastRenderedPageBreak/>
        <w:t>Ատամնաբուժական ձողիկներ</w:t>
      </w:r>
      <w:r w:rsidRPr="00D95643">
        <w:rPr>
          <w:rFonts w:ascii="Sylfaen" w:hAnsi="Sylfaen"/>
          <w:sz w:val="24"/>
          <w:szCs w:val="24"/>
        </w:rPr>
        <w:t>՝ ձողիկներ, որոնք նախատեսված են ատամի արմատի խողովակներում տեղադրելու համար՝ տեղային ազդեցություն գործելու նպատակով։</w:t>
      </w:r>
    </w:p>
    <w:p w14:paraId="0053AC8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Քթի ձողիկներ</w:t>
      </w:r>
      <w:r w:rsidRPr="00D95643">
        <w:rPr>
          <w:rFonts w:ascii="Sylfaen" w:hAnsi="Sylfaen"/>
          <w:sz w:val="24"/>
          <w:szCs w:val="24"/>
        </w:rPr>
        <w:t>՝ ձողիկներ, որոնք նախատեսված են քթի խոռոչում տեղադրման համար՝ տեղային ազդեցություն գործելու նպատակով։</w:t>
      </w:r>
    </w:p>
    <w:p w14:paraId="250F726B"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i/>
          <w:sz w:val="24"/>
          <w:szCs w:val="24"/>
        </w:rPr>
        <w:t>Պերիօդոնտալ ձողիկներ</w:t>
      </w:r>
      <w:r w:rsidRPr="00D95643">
        <w:rPr>
          <w:rFonts w:ascii="Sylfaen" w:hAnsi="Sylfaen"/>
          <w:sz w:val="24"/>
          <w:szCs w:val="24"/>
        </w:rPr>
        <w:t xml:space="preserve">՝ ձողիկներ, որոնք նախատեսված են ատամի </w:t>
      </w:r>
      <w:r>
        <w:rPr>
          <w:rFonts w:ascii="Sylfaen" w:hAnsi="Sylfaen"/>
          <w:sz w:val="24"/>
          <w:szCs w:val="24"/>
        </w:rPr>
        <w:t>եւ</w:t>
      </w:r>
      <w:r w:rsidRPr="00D95643">
        <w:rPr>
          <w:rFonts w:ascii="Sylfaen" w:hAnsi="Sylfaen"/>
          <w:sz w:val="24"/>
          <w:szCs w:val="24"/>
        </w:rPr>
        <w:t xml:space="preserve"> լնդի միջ</w:t>
      </w:r>
      <w:r>
        <w:rPr>
          <w:rFonts w:ascii="Sylfaen" w:hAnsi="Sylfaen"/>
          <w:sz w:val="24"/>
          <w:szCs w:val="24"/>
        </w:rPr>
        <w:t>եւ</w:t>
      </w:r>
      <w:r w:rsidRPr="00D95643">
        <w:rPr>
          <w:rFonts w:ascii="Sylfaen" w:hAnsi="Sylfaen"/>
          <w:sz w:val="24"/>
          <w:szCs w:val="24"/>
        </w:rPr>
        <w:t xml:space="preserve"> ընկած լնդագրպանիկի մեջ տեղադրման համար։</w:t>
      </w:r>
    </w:p>
    <w:p w14:paraId="5CA53A8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Ուրեթրալ ձողիկներ</w:t>
      </w:r>
      <w:r w:rsidRPr="00D95643">
        <w:rPr>
          <w:rFonts w:ascii="Sylfaen" w:hAnsi="Sylfaen"/>
          <w:sz w:val="24"/>
          <w:szCs w:val="24"/>
        </w:rPr>
        <w:t>՝ մանրէազերծ ձողիկներ, որոնք նախատեսված են միզածորան ներմուծման համար։</w:t>
      </w:r>
    </w:p>
    <w:p w14:paraId="49C2419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 xml:space="preserve">Ականջի ձողիկներ՝ </w:t>
      </w:r>
      <w:r w:rsidRPr="00D95643">
        <w:rPr>
          <w:rFonts w:ascii="Sylfaen" w:hAnsi="Sylfaen"/>
          <w:sz w:val="24"/>
          <w:szCs w:val="24"/>
        </w:rPr>
        <w:t>ձողիկներ, որոնք նախատեսված են արտաքին լսողական անցուղի ներմուծման համար։</w:t>
      </w:r>
    </w:p>
    <w:p w14:paraId="3C5B898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Ներարգանդային ձողիկներ</w:t>
      </w:r>
      <w:r w:rsidRPr="00D95643">
        <w:rPr>
          <w:rFonts w:ascii="Sylfaen" w:hAnsi="Sylfaen"/>
          <w:sz w:val="24"/>
          <w:szCs w:val="24"/>
        </w:rPr>
        <w:t>՝ ձողիկներ, որոնք նախատեսված են անմիջապես կենդանու արգանդ ներմուծման համար՝ տեղային ազդեցություն գործելու նպատակով։</w:t>
      </w:r>
    </w:p>
    <w:p w14:paraId="1EB734E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Բժշկական կիրառման համար նախատեսված ձողիկները, որպես կանոն, կոնաձ</w:t>
      </w:r>
      <w:r>
        <w:rPr>
          <w:rFonts w:ascii="Sylfaen" w:hAnsi="Sylfaen"/>
          <w:sz w:val="24"/>
          <w:szCs w:val="24"/>
        </w:rPr>
        <w:t>եւ</w:t>
      </w:r>
      <w:r w:rsidRPr="00D95643">
        <w:rPr>
          <w:rFonts w:ascii="Sylfaen" w:hAnsi="Sylfaen"/>
          <w:sz w:val="24"/>
          <w:szCs w:val="24"/>
        </w:rPr>
        <w:t xml:space="preserve"> են՝ սուր ծայրով </w:t>
      </w:r>
      <w:r>
        <w:rPr>
          <w:rFonts w:ascii="Sylfaen" w:hAnsi="Sylfaen"/>
          <w:sz w:val="24"/>
          <w:szCs w:val="24"/>
        </w:rPr>
        <w:t>եւ</w:t>
      </w:r>
      <w:r w:rsidRPr="00D95643">
        <w:rPr>
          <w:rFonts w:ascii="Sylfaen" w:hAnsi="Sylfaen"/>
          <w:sz w:val="24"/>
          <w:szCs w:val="24"/>
        </w:rPr>
        <w:t xml:space="preserve"> 0,2-0,5 սմ-ից ոչ ավելի տրամագծով։ Ձողիկի զանգվածը պետք է լինի 0.5 գ–ից մինչ</w:t>
      </w:r>
      <w:r>
        <w:rPr>
          <w:rFonts w:ascii="Sylfaen" w:hAnsi="Sylfaen"/>
          <w:sz w:val="24"/>
          <w:szCs w:val="24"/>
        </w:rPr>
        <w:t>եւ</w:t>
      </w:r>
      <w:r w:rsidRPr="00D95643">
        <w:rPr>
          <w:rFonts w:ascii="Sylfaen" w:hAnsi="Sylfaen"/>
          <w:sz w:val="24"/>
          <w:szCs w:val="24"/>
        </w:rPr>
        <w:t xml:space="preserve"> 1 գ։</w:t>
      </w:r>
    </w:p>
    <w:p w14:paraId="7574E18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1FFDA61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ՏԵԽՆՈԼՈԳԻԱՅԻ ԱՌԱՆՁՆԱՀԱՏԿՈՒԹՅՈՒՆՆԵՐԸ</w:t>
      </w:r>
    </w:p>
    <w:p w14:paraId="60D92E9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Արդյունաբերական պայմաններում մոմիկները </w:t>
      </w:r>
      <w:r>
        <w:rPr>
          <w:rFonts w:ascii="Sylfaen" w:hAnsi="Sylfaen"/>
          <w:sz w:val="24"/>
          <w:szCs w:val="24"/>
        </w:rPr>
        <w:t>եւ</w:t>
      </w:r>
      <w:r w:rsidRPr="00D95643">
        <w:rPr>
          <w:rFonts w:ascii="Sylfaen" w:hAnsi="Sylfaen"/>
          <w:sz w:val="24"/>
          <w:szCs w:val="24"/>
        </w:rPr>
        <w:t xml:space="preserve"> ձողիկները կարող են ստացվել կաղապարների մեջ հալած զանգվածը լցնելու մեթոդով կամ մամլելու մեթոդով։</w:t>
      </w:r>
    </w:p>
    <w:p w14:paraId="06DD7B8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Դեղատնային կազմակերպություններում մոմիկները </w:t>
      </w:r>
      <w:r>
        <w:rPr>
          <w:rFonts w:ascii="Sylfaen" w:hAnsi="Sylfaen"/>
          <w:sz w:val="24"/>
          <w:szCs w:val="24"/>
        </w:rPr>
        <w:t>եւ</w:t>
      </w:r>
      <w:r w:rsidRPr="00D95643">
        <w:rPr>
          <w:rFonts w:ascii="Sylfaen" w:hAnsi="Sylfaen"/>
          <w:sz w:val="24"/>
          <w:szCs w:val="24"/>
        </w:rPr>
        <w:t xml:space="preserve"> ձողիկները պատրաստում են ձեռքով կաղապարելու կամ լցնելու մեթոդով։</w:t>
      </w:r>
    </w:p>
    <w:p w14:paraId="79D98D2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Մոմիկների </w:t>
      </w:r>
      <w:r>
        <w:rPr>
          <w:rFonts w:ascii="Sylfaen" w:hAnsi="Sylfaen"/>
          <w:sz w:val="24"/>
          <w:szCs w:val="24"/>
        </w:rPr>
        <w:t>եւ</w:t>
      </w:r>
      <w:r w:rsidRPr="00D95643">
        <w:rPr>
          <w:rFonts w:ascii="Sylfaen" w:hAnsi="Sylfaen"/>
          <w:sz w:val="24"/>
          <w:szCs w:val="24"/>
        </w:rPr>
        <w:t xml:space="preserve"> ձողիկների արտադրության ժամանակ օգտագործվող հիմքերը բաժանվում են լիպոֆիլ, հիդրոֆիլ </w:t>
      </w:r>
      <w:r>
        <w:rPr>
          <w:rFonts w:ascii="Sylfaen" w:hAnsi="Sylfaen"/>
          <w:sz w:val="24"/>
          <w:szCs w:val="24"/>
        </w:rPr>
        <w:t>եւ</w:t>
      </w:r>
      <w:r w:rsidRPr="00D95643">
        <w:rPr>
          <w:rFonts w:ascii="Sylfaen" w:hAnsi="Sylfaen"/>
          <w:sz w:val="24"/>
          <w:szCs w:val="24"/>
        </w:rPr>
        <w:t xml:space="preserve"> դիֆիլ հիմքերի։</w:t>
      </w:r>
    </w:p>
    <w:p w14:paraId="2A086B6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 xml:space="preserve">Կաղապարների մեջ հալած զանգվածը լցնելու մեթոդով մոմիկների </w:t>
      </w:r>
      <w:r>
        <w:rPr>
          <w:rFonts w:ascii="Sylfaen" w:hAnsi="Sylfaen"/>
          <w:sz w:val="24"/>
          <w:szCs w:val="24"/>
        </w:rPr>
        <w:t>եւ</w:t>
      </w:r>
      <w:r w:rsidRPr="00D95643">
        <w:rPr>
          <w:rFonts w:ascii="Sylfaen" w:hAnsi="Sylfaen"/>
          <w:sz w:val="24"/>
          <w:szCs w:val="24"/>
        </w:rPr>
        <w:t xml:space="preserve"> ձողիկների արտադրությունն իրականացվում է հետ</w:t>
      </w:r>
      <w:r>
        <w:rPr>
          <w:rFonts w:ascii="Sylfaen" w:hAnsi="Sylfaen"/>
          <w:sz w:val="24"/>
          <w:szCs w:val="24"/>
        </w:rPr>
        <w:t>եւ</w:t>
      </w:r>
      <w:r w:rsidRPr="00D95643">
        <w:rPr>
          <w:rFonts w:ascii="Sylfaen" w:hAnsi="Sylfaen"/>
          <w:sz w:val="24"/>
          <w:szCs w:val="24"/>
        </w:rPr>
        <w:t xml:space="preserve">յալ սխեմայով՝ հիմքի պատրաստում, ազդող նյութերի նախապատրաստում, ազդող նյութերի ներմուծում հիմք </w:t>
      </w:r>
      <w:r>
        <w:rPr>
          <w:rFonts w:ascii="Sylfaen" w:hAnsi="Sylfaen"/>
          <w:sz w:val="24"/>
          <w:szCs w:val="24"/>
        </w:rPr>
        <w:t>եւ</w:t>
      </w:r>
      <w:r w:rsidRPr="00D95643">
        <w:rPr>
          <w:rFonts w:ascii="Sylfaen" w:hAnsi="Sylfaen"/>
          <w:sz w:val="24"/>
          <w:szCs w:val="24"/>
        </w:rPr>
        <w:t xml:space="preserve"> համասեռում, կաղապարում ու փաթեթավորում։</w:t>
      </w:r>
    </w:p>
    <w:p w14:paraId="200D39A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Ակտիվ դեղագործական բաղադրամասերը՝ անհրաժեշտության դեպքում մանրացրած </w:t>
      </w:r>
      <w:r>
        <w:rPr>
          <w:rFonts w:ascii="Sylfaen" w:hAnsi="Sylfaen"/>
          <w:sz w:val="24"/>
          <w:szCs w:val="24"/>
        </w:rPr>
        <w:t>եւ</w:t>
      </w:r>
      <w:r w:rsidRPr="00D95643">
        <w:rPr>
          <w:rFonts w:ascii="Sylfaen" w:hAnsi="Sylfaen"/>
          <w:sz w:val="24"/>
          <w:szCs w:val="24"/>
        </w:rPr>
        <w:t xml:space="preserve"> մաղած, անմիջապես ներմուծում են հիմք ջրային լուծույթի տեսքով կամ այլ հարմար հիդրոֆիլ լուծիչում լուծույթի տեսքով (հիդրոֆիլ նյութերի համար), ճարպերում կամ լիպոֆիլ լուծիչներում լուծույթի տեսքով (լիպոֆիլ նյութերի համար) կամ հիմքերում տրորած փոշիների դեղակախույթների տեսքով (ջրում </w:t>
      </w:r>
      <w:r>
        <w:rPr>
          <w:rFonts w:ascii="Sylfaen" w:hAnsi="Sylfaen"/>
          <w:sz w:val="24"/>
          <w:szCs w:val="24"/>
        </w:rPr>
        <w:t>եւ</w:t>
      </w:r>
      <w:r w:rsidRPr="00D95643">
        <w:rPr>
          <w:rFonts w:ascii="Sylfaen" w:hAnsi="Sylfaen"/>
          <w:sz w:val="24"/>
          <w:szCs w:val="24"/>
        </w:rPr>
        <w:t xml:space="preserve"> ճարպերում չլուծվող)։</w:t>
      </w:r>
    </w:p>
    <w:p w14:paraId="36691FA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Ջերմաանկայուն նյութերը ներմուծում են հիմք համասեռումից </w:t>
      </w:r>
      <w:r>
        <w:rPr>
          <w:rFonts w:ascii="Sylfaen" w:hAnsi="Sylfaen"/>
          <w:sz w:val="24"/>
          <w:szCs w:val="24"/>
        </w:rPr>
        <w:t>եւ</w:t>
      </w:r>
      <w:r w:rsidRPr="00D95643">
        <w:rPr>
          <w:rFonts w:ascii="Sylfaen" w:hAnsi="Sylfaen"/>
          <w:sz w:val="24"/>
          <w:szCs w:val="24"/>
        </w:rPr>
        <w:t xml:space="preserve"> կաղապարումից առաջ՝ հիմքի նվազագույն հնարավոր ջերմաստիճանի պայմաններում, որն անհրաժեշտ է նյութերի որակի </w:t>
      </w:r>
      <w:r>
        <w:rPr>
          <w:rFonts w:ascii="Sylfaen" w:hAnsi="Sylfaen"/>
          <w:sz w:val="24"/>
          <w:szCs w:val="24"/>
        </w:rPr>
        <w:t>եւ</w:t>
      </w:r>
      <w:r w:rsidRPr="00D95643">
        <w:rPr>
          <w:rFonts w:ascii="Sylfaen" w:hAnsi="Sylfaen"/>
          <w:sz w:val="24"/>
          <w:szCs w:val="24"/>
        </w:rPr>
        <w:t xml:space="preserve"> հիմքի կառուցվածքային հատկությունների պահպանման համար։</w:t>
      </w:r>
    </w:p>
    <w:p w14:paraId="79EFD95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Մոմիկների </w:t>
      </w:r>
      <w:r>
        <w:rPr>
          <w:rFonts w:ascii="Sylfaen" w:hAnsi="Sylfaen"/>
          <w:sz w:val="24"/>
          <w:szCs w:val="24"/>
        </w:rPr>
        <w:t>եւ</w:t>
      </w:r>
      <w:r w:rsidRPr="00D95643">
        <w:rPr>
          <w:rFonts w:ascii="Sylfaen" w:hAnsi="Sylfaen"/>
          <w:sz w:val="24"/>
          <w:szCs w:val="24"/>
        </w:rPr>
        <w:t xml:space="preserve"> ձողիկների արտադրության համար մամլման մեթոդն օգտագործվում է ավելի հազվադեպ։ Դրա առավելություններն են ջերմաանկայուն ազդող նյութերի կազմալուծումից խուսափելու հնարավորությունը, ազդող նյութի սեդիմենտացիայի բացակայությունը </w:t>
      </w:r>
      <w:r>
        <w:rPr>
          <w:rFonts w:ascii="Sylfaen" w:hAnsi="Sylfaen"/>
          <w:sz w:val="24"/>
          <w:szCs w:val="24"/>
        </w:rPr>
        <w:t>եւ</w:t>
      </w:r>
      <w:r w:rsidRPr="00D95643">
        <w:rPr>
          <w:rFonts w:ascii="Sylfaen" w:hAnsi="Sylfaen"/>
          <w:sz w:val="24"/>
          <w:szCs w:val="24"/>
        </w:rPr>
        <w:t xml:space="preserve"> հալված մոմիկային հիմքի հետ դրա անհամատեղելիության կանխումը։</w:t>
      </w:r>
    </w:p>
    <w:p w14:paraId="017143E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Մոմիկների </w:t>
      </w:r>
      <w:r>
        <w:rPr>
          <w:rFonts w:ascii="Sylfaen" w:hAnsi="Sylfaen"/>
          <w:sz w:val="24"/>
          <w:szCs w:val="24"/>
        </w:rPr>
        <w:t>եւ</w:t>
      </w:r>
      <w:r w:rsidRPr="00D95643">
        <w:rPr>
          <w:rFonts w:ascii="Sylfaen" w:hAnsi="Sylfaen"/>
          <w:sz w:val="24"/>
          <w:szCs w:val="24"/>
        </w:rPr>
        <w:t xml:space="preserve"> ձողիկների բաղադրության մեջ կարող են մտնել բժշկական կիրառման համար թույլատրված օժանդակ նյութերի տարբեր խմբեր՝ էմուլգատորներ, հակամանրէային կոնսերվանտներ, հակաօքսիդիչներ, կայունարարներ </w:t>
      </w:r>
      <w:r>
        <w:rPr>
          <w:rFonts w:ascii="Sylfaen" w:hAnsi="Sylfaen"/>
          <w:sz w:val="24"/>
          <w:szCs w:val="24"/>
        </w:rPr>
        <w:t>եւ</w:t>
      </w:r>
      <w:r w:rsidRPr="00D95643">
        <w:rPr>
          <w:rFonts w:ascii="Sylfaen" w:hAnsi="Sylfaen"/>
          <w:sz w:val="24"/>
          <w:szCs w:val="24"/>
        </w:rPr>
        <w:t xml:space="preserve"> այլն։</w:t>
      </w:r>
    </w:p>
    <w:p w14:paraId="7147E82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pacing w:val="-4"/>
          <w:sz w:val="24"/>
          <w:szCs w:val="24"/>
        </w:rPr>
        <w:t>Մոմիկներ եւ ձողիկներ</w:t>
      </w:r>
      <w:r w:rsidRPr="00D95643">
        <w:rPr>
          <w:rFonts w:ascii="Sylfaen" w:hAnsi="Sylfaen"/>
          <w:spacing w:val="-4"/>
          <w:sz w:val="24"/>
          <w:szCs w:val="24"/>
        </w:rPr>
        <w:t xml:space="preserve"> դեղաձեւով դեղապատրաստուկներ ստանալիս պետք է ձեռնարկվեն դրանց միկրոկենսաբանական մաքրությունն ապահովող միջոցներ սահմանված դեպքերում, օրինակ՝ միզանցք եւ վերքեր ներմուծվող ձողիկներ, ինչպես նաեւ</w:t>
      </w:r>
      <w:r w:rsidRPr="00D95643">
        <w:rPr>
          <w:rFonts w:ascii="Sylfaen" w:hAnsi="Sylfaen"/>
          <w:sz w:val="24"/>
          <w:szCs w:val="24"/>
        </w:rPr>
        <w:t xml:space="preserve"> այլ մանրէազերծ ձողիկներ ստանալիս պետք է ձեռնարկվեն դրանց մանրէազերծությունն ապահովող միջոցներ։</w:t>
      </w:r>
    </w:p>
    <w:p w14:paraId="6EA35466"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lastRenderedPageBreak/>
        <w:t>ՓՈՐՁԱՐԿՈՒՄՆԵՐԸ</w:t>
      </w:r>
    </w:p>
    <w:p w14:paraId="0AE9C611"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 xml:space="preserve">Մոմիկները </w:t>
      </w:r>
      <w:r>
        <w:rPr>
          <w:rFonts w:ascii="Sylfaen" w:hAnsi="Sylfaen"/>
          <w:sz w:val="24"/>
          <w:szCs w:val="24"/>
        </w:rPr>
        <w:t>եւ</w:t>
      </w:r>
      <w:r w:rsidRPr="00D95643">
        <w:rPr>
          <w:rFonts w:ascii="Sylfaen" w:hAnsi="Sylfaen"/>
          <w:sz w:val="24"/>
          <w:szCs w:val="24"/>
        </w:rPr>
        <w:t xml:space="preserve"> ձողիկները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 ընդհանուր պահանջներին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45603B2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Նկարագրությունը. </w:t>
      </w:r>
      <w:r w:rsidRPr="00D95643">
        <w:rPr>
          <w:rFonts w:ascii="Sylfaen" w:hAnsi="Sylfaen"/>
          <w:sz w:val="24"/>
          <w:szCs w:val="24"/>
        </w:rPr>
        <w:t xml:space="preserve">Մոմիկները </w:t>
      </w:r>
      <w:r>
        <w:rPr>
          <w:rFonts w:ascii="Sylfaen" w:hAnsi="Sylfaen"/>
          <w:sz w:val="24"/>
          <w:szCs w:val="24"/>
        </w:rPr>
        <w:t>եւ</w:t>
      </w:r>
      <w:r w:rsidRPr="00D95643">
        <w:rPr>
          <w:rFonts w:ascii="Sylfaen" w:hAnsi="Sylfaen"/>
          <w:sz w:val="24"/>
          <w:szCs w:val="24"/>
        </w:rPr>
        <w:t xml:space="preserve"> ձողիկները բնութագրում են՝ նշելով արտաքին տեսքը (ձ</w:t>
      </w:r>
      <w:r>
        <w:rPr>
          <w:rFonts w:ascii="Sylfaen" w:hAnsi="Sylfaen"/>
          <w:sz w:val="24"/>
          <w:szCs w:val="24"/>
        </w:rPr>
        <w:t>եւ</w:t>
      </w:r>
      <w:r w:rsidRPr="00D95643">
        <w:rPr>
          <w:rFonts w:ascii="Sylfaen" w:hAnsi="Sylfaen"/>
          <w:sz w:val="24"/>
          <w:szCs w:val="24"/>
        </w:rPr>
        <w:t xml:space="preserve">ը, չափերը </w:t>
      </w:r>
      <w:r>
        <w:rPr>
          <w:rFonts w:ascii="Sylfaen" w:hAnsi="Sylfaen"/>
          <w:sz w:val="24"/>
          <w:szCs w:val="24"/>
        </w:rPr>
        <w:t>եւ</w:t>
      </w:r>
      <w:r w:rsidRPr="00D95643">
        <w:rPr>
          <w:rFonts w:ascii="Sylfaen" w:hAnsi="Sylfaen"/>
          <w:sz w:val="24"/>
          <w:szCs w:val="24"/>
        </w:rPr>
        <w:t xml:space="preserve"> այլն),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 </w:t>
      </w:r>
      <w:r>
        <w:rPr>
          <w:rFonts w:ascii="Sylfaen" w:hAnsi="Sylfaen"/>
          <w:sz w:val="24"/>
          <w:szCs w:val="24"/>
        </w:rPr>
        <w:t>եւ</w:t>
      </w:r>
      <w:r w:rsidRPr="00D95643">
        <w:rPr>
          <w:rFonts w:ascii="Sylfaen" w:hAnsi="Sylfaen"/>
          <w:sz w:val="24"/>
          <w:szCs w:val="24"/>
        </w:rPr>
        <w:t xml:space="preserve"> (կամ) որակի վերաբերյալ նորմատիվ փաստաթղթի պահանջներին համապատասխան։</w:t>
      </w:r>
    </w:p>
    <w:p w14:paraId="17C99A10"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Մոմիկները կամ ձողիկները պետք է ունենան նույն ձ</w:t>
      </w:r>
      <w:r>
        <w:rPr>
          <w:rFonts w:ascii="Sylfaen" w:hAnsi="Sylfaen"/>
          <w:sz w:val="24"/>
          <w:szCs w:val="24"/>
        </w:rPr>
        <w:t>եւ</w:t>
      </w:r>
      <w:r w:rsidRPr="00D95643">
        <w:rPr>
          <w:rFonts w:ascii="Sylfaen" w:hAnsi="Sylfaen"/>
          <w:sz w:val="24"/>
          <w:szCs w:val="24"/>
        </w:rPr>
        <w:t>ը, միատարր մոմիկային զանգված, կիրառման հարմարությունն ապահովող պնդություն։ Մոմիկային զանգվածի միատարրությունը որոշում են վիզուալ. մոմիկի կամ ձողիկի կտրվածքում բծեր չպետք է լինեն։ Մոմիկների երկայնակի կտրվածքում թույլատրվում է օդային ձողի կամ ձագարաձ</w:t>
      </w:r>
      <w:r>
        <w:rPr>
          <w:rFonts w:ascii="Sylfaen" w:hAnsi="Sylfaen"/>
          <w:sz w:val="24"/>
          <w:szCs w:val="24"/>
        </w:rPr>
        <w:t>եւ</w:t>
      </w:r>
      <w:r w:rsidRPr="00D95643">
        <w:rPr>
          <w:rFonts w:ascii="Sylfaen" w:hAnsi="Sylfaen"/>
          <w:sz w:val="24"/>
          <w:szCs w:val="24"/>
        </w:rPr>
        <w:t xml:space="preserve"> խորացման առկայությունը։ Առանձին դեպքերում թույլատրվում է բծերի առկայությունը կտրվածքում, ինչը պետք է նշված լինի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2C28245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Մասնիկների չափը. </w:t>
      </w:r>
      <w:r w:rsidRPr="00D95643">
        <w:rPr>
          <w:rFonts w:ascii="Sylfaen" w:hAnsi="Sylfaen"/>
          <w:sz w:val="24"/>
          <w:szCs w:val="24"/>
        </w:rPr>
        <w:t xml:space="preserve">Փորձարկումն անցկացնում են </w:t>
      </w:r>
      <w:r w:rsidRPr="00D95643">
        <w:rPr>
          <w:rFonts w:ascii="Sylfaen" w:hAnsi="Sylfaen"/>
          <w:i/>
          <w:sz w:val="24"/>
          <w:szCs w:val="24"/>
        </w:rPr>
        <w:t xml:space="preserve">2.1.9.13. Օպտիկական մանրադիտում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 xml:space="preserve">այն մոմիկների </w:t>
      </w:r>
      <w:r>
        <w:rPr>
          <w:rFonts w:ascii="Sylfaen" w:hAnsi="Sylfaen"/>
          <w:sz w:val="24"/>
          <w:szCs w:val="24"/>
        </w:rPr>
        <w:t>եւ</w:t>
      </w:r>
      <w:r w:rsidRPr="00D95643">
        <w:rPr>
          <w:rFonts w:ascii="Sylfaen" w:hAnsi="Sylfaen"/>
          <w:sz w:val="24"/>
          <w:szCs w:val="24"/>
        </w:rPr>
        <w:t xml:space="preserve"> ձողիկների համար, որոնց հիմք ակտիվ դեղագործական բաղադրամասերը ներմուծվել են դեղակախույթի տեսքով։</w:t>
      </w:r>
    </w:p>
    <w:p w14:paraId="1B05FC5D" w14:textId="77777777" w:rsidR="003A4194" w:rsidRPr="00B5542D"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 xml:space="preserve">Որոշման մեթոդիկան, ներառյալ՝ փորձանմուշի նախապատրաստումը, </w:t>
      </w:r>
      <w:r w:rsidRPr="00D95643">
        <w:rPr>
          <w:rFonts w:ascii="Sylfaen" w:hAnsi="Sylfaen"/>
          <w:spacing w:val="-4"/>
          <w:sz w:val="24"/>
          <w:szCs w:val="24"/>
        </w:rPr>
        <w:t>ինչպես նաեւ մասնիկների չափին ներկայացվող նորմատիվ պահանջները նշվում են մասնավոր դեղագրքային հոդվածում եւ (կամ) որակի վերաբերյալ նորմատիվ փաստաթղթում։ Մասնիկների չափը չպետք է գերազանցի 100 մկմ-ն, եթե մասնավոր</w:t>
      </w:r>
      <w:r w:rsidRPr="00D95643">
        <w:rPr>
          <w:rFonts w:ascii="Sylfaen" w:hAnsi="Sylfaen"/>
          <w:sz w:val="24"/>
          <w:szCs w:val="24"/>
        </w:rPr>
        <w:t xml:space="preserve">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բան նշված չէ։</w:t>
      </w:r>
    </w:p>
    <w:p w14:paraId="4FAF3375" w14:textId="77777777" w:rsidR="00B867ED" w:rsidRPr="00B5542D" w:rsidRDefault="00B867ED" w:rsidP="003A4194">
      <w:pPr>
        <w:pStyle w:val="a0"/>
        <w:shd w:val="clear" w:color="auto" w:fill="auto"/>
        <w:spacing w:after="160" w:line="360" w:lineRule="auto"/>
        <w:ind w:firstLine="567"/>
        <w:jc w:val="both"/>
        <w:rPr>
          <w:rFonts w:ascii="Sylfaen" w:hAnsi="Sylfaen" w:cs="Sylfaen"/>
          <w:sz w:val="24"/>
          <w:szCs w:val="24"/>
        </w:rPr>
      </w:pPr>
    </w:p>
    <w:p w14:paraId="0F55E7C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Զանգվածի միատարրությունը. </w:t>
      </w:r>
      <w:r w:rsidRPr="00D95643">
        <w:rPr>
          <w:rFonts w:ascii="Sylfaen" w:hAnsi="Sylfaen"/>
          <w:sz w:val="24"/>
          <w:szCs w:val="24"/>
        </w:rPr>
        <w:t xml:space="preserve">Փորձարկումն անցկացնում են </w:t>
      </w:r>
      <w:r w:rsidRPr="00D95643">
        <w:rPr>
          <w:rFonts w:ascii="Sylfaen" w:hAnsi="Sylfaen"/>
          <w:i/>
          <w:sz w:val="24"/>
          <w:szCs w:val="24"/>
        </w:rPr>
        <w:t xml:space="preserve">2.1.9.5. Դեղաչափված դեղապատրաստուկի միավորի զանգվածի միատարրություն </w:t>
      </w:r>
      <w:r w:rsidRPr="00D95643">
        <w:rPr>
          <w:rFonts w:ascii="Sylfaen" w:hAnsi="Sylfaen"/>
          <w:sz w:val="24"/>
          <w:szCs w:val="24"/>
        </w:rPr>
        <w:t>ընդհանուր դեղագրքային հոդվածին համապատասխան։</w:t>
      </w:r>
    </w:p>
    <w:p w14:paraId="6DA9495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չեն կիրառում, եթե նախատեսված է փորձարկում՝ ըստ </w:t>
      </w:r>
      <w:r w:rsidRPr="00D95643">
        <w:rPr>
          <w:rFonts w:ascii="Sylfaen" w:hAnsi="Sylfaen"/>
          <w:i/>
          <w:sz w:val="24"/>
          <w:szCs w:val="24"/>
        </w:rPr>
        <w:t>Դեղաչափված միավորների միատարրություն</w:t>
      </w:r>
      <w:r w:rsidRPr="00D95643">
        <w:rPr>
          <w:rFonts w:ascii="Sylfaen" w:hAnsi="Sylfaen"/>
          <w:sz w:val="24"/>
          <w:szCs w:val="24"/>
        </w:rPr>
        <w:t xml:space="preserve"> ցուցանիշի (</w:t>
      </w:r>
      <w:r w:rsidRPr="00D95643">
        <w:rPr>
          <w:rFonts w:ascii="Sylfaen" w:hAnsi="Sylfaen"/>
          <w:i/>
          <w:sz w:val="24"/>
          <w:szCs w:val="24"/>
        </w:rPr>
        <w:t>2.1.9.14 ընդհանուր դեղագրքային հոդված)</w:t>
      </w:r>
      <w:r w:rsidRPr="00D95643">
        <w:rPr>
          <w:rFonts w:ascii="Sylfaen" w:hAnsi="Sylfaen"/>
          <w:sz w:val="24"/>
          <w:szCs w:val="24"/>
        </w:rPr>
        <w:t xml:space="preserve"> ՝ բոլոր ազդող նյութերի համար։</w:t>
      </w:r>
    </w:p>
    <w:p w14:paraId="12700B4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Լուծումը. </w:t>
      </w:r>
      <w:r w:rsidRPr="00D95643">
        <w:rPr>
          <w:rFonts w:ascii="Sylfaen" w:hAnsi="Sylfaen"/>
          <w:sz w:val="24"/>
          <w:szCs w:val="24"/>
        </w:rPr>
        <w:t xml:space="preserve">Փորձարկումն անցկացնում են, եթե նշված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6F6CF60F" w14:textId="77777777" w:rsidR="003A4194" w:rsidRPr="00D95643" w:rsidRDefault="003A4194" w:rsidP="003A4194">
      <w:pPr>
        <w:pStyle w:val="a0"/>
        <w:shd w:val="clear" w:color="auto" w:fill="auto"/>
        <w:tabs>
          <w:tab w:val="left" w:pos="1134"/>
        </w:tabs>
        <w:spacing w:after="160" w:line="360" w:lineRule="auto"/>
        <w:ind w:firstLine="567"/>
        <w:jc w:val="both"/>
        <w:rPr>
          <w:rFonts w:ascii="Sylfaen" w:hAnsi="Sylfaen" w:cs="Sylfaen"/>
          <w:sz w:val="24"/>
          <w:szCs w:val="24"/>
        </w:rPr>
      </w:pPr>
      <w:r w:rsidRPr="00D95643">
        <w:rPr>
          <w:rFonts w:ascii="Sylfaen" w:hAnsi="Sylfaen"/>
          <w:sz w:val="24"/>
          <w:szCs w:val="24"/>
        </w:rPr>
        <w:t>-</w:t>
      </w:r>
      <w:r w:rsidRPr="00D95643">
        <w:rPr>
          <w:rFonts w:ascii="Sylfaen" w:hAnsi="Sylfaen"/>
          <w:sz w:val="24"/>
          <w:szCs w:val="24"/>
        </w:rPr>
        <w:tab/>
        <w:t xml:space="preserve">հիդրոֆիլ հիմքով մոմիկների </w:t>
      </w:r>
      <w:r>
        <w:rPr>
          <w:rFonts w:ascii="Sylfaen" w:hAnsi="Sylfaen"/>
          <w:sz w:val="24"/>
          <w:szCs w:val="24"/>
        </w:rPr>
        <w:t>եւ</w:t>
      </w:r>
      <w:r w:rsidRPr="00D95643">
        <w:rPr>
          <w:rFonts w:ascii="Sylfaen" w:hAnsi="Sylfaen"/>
          <w:sz w:val="24"/>
          <w:szCs w:val="24"/>
        </w:rPr>
        <w:t xml:space="preserve"> ձողիկների համար՝ </w:t>
      </w:r>
      <w:r w:rsidRPr="00D95643">
        <w:rPr>
          <w:rFonts w:ascii="Sylfaen" w:hAnsi="Sylfaen"/>
          <w:i/>
          <w:sz w:val="24"/>
          <w:szCs w:val="24"/>
        </w:rPr>
        <w:t>2.1.9.3. Դեղաչափված պինդ դեղաձ</w:t>
      </w:r>
      <w:r>
        <w:rPr>
          <w:rFonts w:ascii="Sylfaen" w:hAnsi="Sylfaen"/>
          <w:i/>
          <w:sz w:val="24"/>
          <w:szCs w:val="24"/>
        </w:rPr>
        <w:t>եւ</w:t>
      </w:r>
      <w:r w:rsidRPr="00D95643">
        <w:rPr>
          <w:rFonts w:ascii="Sylfaen" w:hAnsi="Sylfaen"/>
          <w:i/>
          <w:sz w:val="24"/>
          <w:szCs w:val="24"/>
        </w:rPr>
        <w:t xml:space="preserve">երի համար լուծման փորձարկում </w:t>
      </w:r>
      <w:r w:rsidRPr="00D95643">
        <w:rPr>
          <w:rFonts w:ascii="Sylfaen" w:hAnsi="Sylfaen"/>
          <w:sz w:val="24"/>
          <w:szCs w:val="24"/>
        </w:rPr>
        <w:t>ընդհանուր դեղագրքային հոդվածին համապատասխան.</w:t>
      </w:r>
    </w:p>
    <w:p w14:paraId="42288CC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լիպոֆիլ հիմքով մոմիկների </w:t>
      </w:r>
      <w:r>
        <w:rPr>
          <w:rFonts w:ascii="Sylfaen" w:hAnsi="Sylfaen"/>
          <w:sz w:val="24"/>
          <w:szCs w:val="24"/>
        </w:rPr>
        <w:t>եւ</w:t>
      </w:r>
      <w:r w:rsidRPr="00D95643">
        <w:rPr>
          <w:rFonts w:ascii="Sylfaen" w:hAnsi="Sylfaen"/>
          <w:sz w:val="24"/>
          <w:szCs w:val="24"/>
        </w:rPr>
        <w:t xml:space="preserve"> ձողիկների համար՝ </w:t>
      </w:r>
      <w:r w:rsidRPr="00D95643">
        <w:rPr>
          <w:rFonts w:ascii="Sylfaen" w:hAnsi="Sylfaen"/>
          <w:i/>
          <w:sz w:val="24"/>
          <w:szCs w:val="24"/>
        </w:rPr>
        <w:t>2.1.9.15. Լիպոֆիլ հիմքով դեղաձ</w:t>
      </w:r>
      <w:r>
        <w:rPr>
          <w:rFonts w:ascii="Sylfaen" w:hAnsi="Sylfaen"/>
          <w:i/>
          <w:sz w:val="24"/>
          <w:szCs w:val="24"/>
        </w:rPr>
        <w:t>եւ</w:t>
      </w:r>
      <w:r w:rsidRPr="00D95643">
        <w:rPr>
          <w:rFonts w:ascii="Sylfaen" w:hAnsi="Sylfaen"/>
          <w:i/>
          <w:sz w:val="24"/>
          <w:szCs w:val="24"/>
        </w:rPr>
        <w:t xml:space="preserve">երի համար լուծման փորձարկում </w:t>
      </w:r>
      <w:r w:rsidRPr="00D95643">
        <w:rPr>
          <w:rFonts w:ascii="Sylfaen" w:hAnsi="Sylfaen"/>
          <w:sz w:val="24"/>
          <w:szCs w:val="24"/>
        </w:rPr>
        <w:t>ընդհանուր դեղագրքային հոդվածին համապատասխան։</w:t>
      </w:r>
    </w:p>
    <w:p w14:paraId="28AE1E9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Փորձարկման անցկացման պայմանները պետք է նշված լինեն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3AD84E5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Տրոհելիությունը. </w:t>
      </w:r>
      <w:r w:rsidRPr="00D95643">
        <w:rPr>
          <w:rFonts w:ascii="Sylfaen" w:hAnsi="Sylfaen"/>
          <w:sz w:val="24"/>
          <w:szCs w:val="24"/>
        </w:rPr>
        <w:t xml:space="preserve">Փորձարկումն անցկացվում է, եթե նշված է մասնավոր դեղագրքային հոդվածում կամ որակի վերաբերյալ նորմատիվ փաստաթղթում՝ </w:t>
      </w:r>
      <w:r w:rsidRPr="00D95643">
        <w:rPr>
          <w:rFonts w:ascii="Sylfaen" w:hAnsi="Sylfaen"/>
          <w:i/>
          <w:sz w:val="24"/>
          <w:szCs w:val="24"/>
        </w:rPr>
        <w:t xml:space="preserve">2.1.9.2. Մոմիկների </w:t>
      </w:r>
      <w:r>
        <w:rPr>
          <w:rFonts w:ascii="Sylfaen" w:hAnsi="Sylfaen"/>
          <w:i/>
          <w:sz w:val="24"/>
          <w:szCs w:val="24"/>
        </w:rPr>
        <w:t>եւ</w:t>
      </w:r>
      <w:r w:rsidRPr="00D95643">
        <w:rPr>
          <w:rFonts w:ascii="Sylfaen" w:hAnsi="Sylfaen"/>
          <w:i/>
          <w:sz w:val="24"/>
          <w:szCs w:val="24"/>
        </w:rPr>
        <w:t xml:space="preserve"> հեշտոցային դեղահաբերի, ռեկտալ եւ հեշտոցային դեղապատիճների տրոհելիություն</w:t>
      </w:r>
      <w:r w:rsidRPr="00D95643">
        <w:rPr>
          <w:rFonts w:ascii="Sylfaen" w:hAnsi="Sylfaen"/>
          <w:sz w:val="24"/>
          <w:szCs w:val="24"/>
        </w:rPr>
        <w:t xml:space="preserve"> 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 xml:space="preserve">Եթե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բան նշված չէ, ապա լիպոֆիլ հիմքով մոմիկները </w:t>
      </w:r>
      <w:r>
        <w:rPr>
          <w:rFonts w:ascii="Sylfaen" w:hAnsi="Sylfaen"/>
          <w:sz w:val="24"/>
          <w:szCs w:val="24"/>
        </w:rPr>
        <w:t>եւ</w:t>
      </w:r>
      <w:r w:rsidRPr="00D95643">
        <w:rPr>
          <w:rFonts w:ascii="Sylfaen" w:hAnsi="Sylfaen"/>
          <w:sz w:val="24"/>
          <w:szCs w:val="24"/>
        </w:rPr>
        <w:t xml:space="preserve"> ձողիկները պետք է տրոհվեն ոչ ավելի, քան 30 րոպե անց, հիդրոֆիլ հիմքով մոմիկները </w:t>
      </w:r>
      <w:r>
        <w:rPr>
          <w:rFonts w:ascii="Sylfaen" w:hAnsi="Sylfaen"/>
          <w:sz w:val="24"/>
          <w:szCs w:val="24"/>
        </w:rPr>
        <w:t>եւ</w:t>
      </w:r>
      <w:r w:rsidRPr="00D95643">
        <w:rPr>
          <w:rFonts w:ascii="Sylfaen" w:hAnsi="Sylfaen"/>
          <w:sz w:val="24"/>
          <w:szCs w:val="24"/>
        </w:rPr>
        <w:t xml:space="preserve"> ձողիկները՝ ոչ ավելի, քան 60 րոպե անց։</w:t>
      </w:r>
    </w:p>
    <w:p w14:paraId="17421E06" w14:textId="77777777" w:rsidR="003A4194" w:rsidRPr="0035054F"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 xml:space="preserve">Փորձարկումը չեն կիրառում, եթե նախատեսված է փորձարկում՝ ըստ </w:t>
      </w:r>
      <w:r w:rsidRPr="00D95643">
        <w:rPr>
          <w:rFonts w:ascii="Sylfaen" w:hAnsi="Sylfaen"/>
          <w:i/>
          <w:sz w:val="24"/>
          <w:szCs w:val="24"/>
        </w:rPr>
        <w:t>Լուծումը</w:t>
      </w:r>
      <w:r w:rsidRPr="00D95643">
        <w:rPr>
          <w:rFonts w:ascii="Sylfaen" w:hAnsi="Sylfaen"/>
          <w:sz w:val="24"/>
          <w:szCs w:val="24"/>
        </w:rPr>
        <w:t xml:space="preserve"> ցուցանիշի։</w:t>
      </w:r>
    </w:p>
    <w:p w14:paraId="5E868B6B" w14:textId="77777777" w:rsidR="003A4194" w:rsidRPr="0035054F" w:rsidRDefault="003A4194" w:rsidP="003A4194">
      <w:pPr>
        <w:pStyle w:val="a0"/>
        <w:shd w:val="clear" w:color="auto" w:fill="auto"/>
        <w:spacing w:after="160" w:line="360" w:lineRule="auto"/>
        <w:ind w:firstLine="567"/>
        <w:jc w:val="both"/>
        <w:rPr>
          <w:rFonts w:ascii="Sylfaen" w:hAnsi="Sylfaen" w:cs="Sylfaen"/>
          <w:sz w:val="24"/>
          <w:szCs w:val="24"/>
        </w:rPr>
      </w:pPr>
    </w:p>
    <w:p w14:paraId="6A9F6D6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 xml:space="preserve">Փորձարկումը չեն կիրառում, եթե լիպոֆիլ հիմքով մոմիկների </w:t>
      </w:r>
      <w:r>
        <w:rPr>
          <w:rFonts w:ascii="Sylfaen" w:hAnsi="Sylfaen"/>
          <w:sz w:val="24"/>
          <w:szCs w:val="24"/>
        </w:rPr>
        <w:t>եւ</w:t>
      </w:r>
      <w:r w:rsidRPr="00D95643">
        <w:rPr>
          <w:rFonts w:ascii="Sylfaen" w:hAnsi="Sylfaen"/>
          <w:sz w:val="24"/>
          <w:szCs w:val="24"/>
        </w:rPr>
        <w:t xml:space="preserve"> ձողիկների համար նախատեսված են փորձարկումներ՝ ըստ </w:t>
      </w:r>
      <w:r w:rsidRPr="00D95643">
        <w:rPr>
          <w:rFonts w:ascii="Sylfaen" w:hAnsi="Sylfaen"/>
          <w:i/>
          <w:sz w:val="24"/>
          <w:szCs w:val="24"/>
        </w:rPr>
        <w:t>Հալման ջերմաստիճանը</w:t>
      </w:r>
      <w:r w:rsidRPr="00D95643">
        <w:rPr>
          <w:rFonts w:ascii="Sylfaen" w:hAnsi="Sylfaen"/>
          <w:sz w:val="24"/>
          <w:szCs w:val="24"/>
        </w:rPr>
        <w:t xml:space="preserve"> կամ </w:t>
      </w:r>
      <w:r w:rsidRPr="00D95643">
        <w:rPr>
          <w:rFonts w:ascii="Sylfaen" w:hAnsi="Sylfaen"/>
          <w:i/>
          <w:sz w:val="24"/>
          <w:szCs w:val="24"/>
        </w:rPr>
        <w:t>Ամբողջական դեֆորմացիայի ժամանակը</w:t>
      </w:r>
      <w:r w:rsidRPr="00D95643">
        <w:rPr>
          <w:rFonts w:ascii="Sylfaen" w:hAnsi="Sylfaen"/>
          <w:sz w:val="24"/>
          <w:szCs w:val="24"/>
        </w:rPr>
        <w:t xml:space="preserve"> ցուցանիշների։</w:t>
      </w:r>
    </w:p>
    <w:p w14:paraId="0134C09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Հալման ջերմաստիճանը. Ամբողջական դեֆորմացիայի ժամանակը. </w:t>
      </w:r>
      <w:r w:rsidRPr="00D95643">
        <w:rPr>
          <w:rFonts w:ascii="Sylfaen" w:hAnsi="Sylfaen"/>
          <w:sz w:val="24"/>
          <w:szCs w:val="24"/>
        </w:rPr>
        <w:t xml:space="preserve">Լիպոֆիլ հիմքով մոմիկների </w:t>
      </w:r>
      <w:r>
        <w:rPr>
          <w:rFonts w:ascii="Sylfaen" w:hAnsi="Sylfaen"/>
          <w:sz w:val="24"/>
          <w:szCs w:val="24"/>
        </w:rPr>
        <w:t>եւ</w:t>
      </w:r>
      <w:r w:rsidRPr="00D95643">
        <w:rPr>
          <w:rFonts w:ascii="Sylfaen" w:hAnsi="Sylfaen"/>
          <w:sz w:val="24"/>
          <w:szCs w:val="24"/>
        </w:rPr>
        <w:t xml:space="preserve"> ձողիկների համար անցկացնում են փորձարկում՝ ըստ </w:t>
      </w:r>
      <w:r w:rsidRPr="00D95643">
        <w:rPr>
          <w:rFonts w:ascii="Sylfaen" w:hAnsi="Sylfaen"/>
          <w:i/>
          <w:sz w:val="24"/>
          <w:szCs w:val="24"/>
        </w:rPr>
        <w:t>Հալման ջերմաստիճանը</w:t>
      </w:r>
      <w:r w:rsidRPr="00D95643">
        <w:rPr>
          <w:rFonts w:ascii="Sylfaen" w:hAnsi="Sylfaen"/>
          <w:sz w:val="24"/>
          <w:szCs w:val="24"/>
        </w:rPr>
        <w:t xml:space="preserve"> կամ </w:t>
      </w:r>
      <w:r w:rsidRPr="00D95643">
        <w:rPr>
          <w:rFonts w:ascii="Sylfaen" w:hAnsi="Sylfaen"/>
          <w:i/>
          <w:sz w:val="24"/>
          <w:szCs w:val="24"/>
        </w:rPr>
        <w:t>Ամբողջական դեֆորմացիայի ժամանակը</w:t>
      </w:r>
      <w:r w:rsidRPr="00D95643">
        <w:rPr>
          <w:rFonts w:ascii="Sylfaen" w:hAnsi="Sylfaen"/>
          <w:sz w:val="24"/>
          <w:szCs w:val="24"/>
        </w:rPr>
        <w:t xml:space="preserve"> ցուցանիշների։</w:t>
      </w:r>
    </w:p>
    <w:p w14:paraId="5FCE29B7"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ըստ </w:t>
      </w:r>
      <w:r w:rsidRPr="00D95643">
        <w:rPr>
          <w:rFonts w:ascii="Sylfaen" w:hAnsi="Sylfaen"/>
          <w:i/>
          <w:sz w:val="24"/>
          <w:szCs w:val="24"/>
        </w:rPr>
        <w:t>Հալման ջերմաստիճանը</w:t>
      </w:r>
      <w:r w:rsidRPr="00D95643">
        <w:rPr>
          <w:rFonts w:ascii="Sylfaen" w:hAnsi="Sylfaen"/>
          <w:sz w:val="24"/>
          <w:szCs w:val="24"/>
        </w:rPr>
        <w:t xml:space="preserve"> ցուցանիշի անցկացնում են </w:t>
      </w:r>
      <w:r w:rsidRPr="00D95643">
        <w:rPr>
          <w:rFonts w:ascii="Sylfaen" w:hAnsi="Sylfaen"/>
          <w:i/>
          <w:sz w:val="24"/>
          <w:szCs w:val="24"/>
        </w:rPr>
        <w:t xml:space="preserve">2.1.2.15. Հալման ջերմաստիճան՝ բաց մազանոթային մեթոդ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r w:rsidRPr="00D95643">
        <w:rPr>
          <w:rFonts w:ascii="Sylfaen" w:hAnsi="Sylfaen"/>
          <w:sz w:val="24"/>
          <w:szCs w:val="24"/>
        </w:rPr>
        <w:t xml:space="preserve">Հալման ջերմաստիճանը չպետք է գերազանցի 37 °С-ը, եթե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ցուցումներ չկան։</w:t>
      </w:r>
    </w:p>
    <w:p w14:paraId="032333CB"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ըստ </w:t>
      </w:r>
      <w:r w:rsidRPr="00D95643">
        <w:rPr>
          <w:rFonts w:ascii="Sylfaen" w:hAnsi="Sylfaen"/>
          <w:i/>
          <w:sz w:val="24"/>
          <w:szCs w:val="24"/>
        </w:rPr>
        <w:t>Ամբողջական դեֆորմացիայի ժամանակը</w:t>
      </w:r>
      <w:r w:rsidRPr="00D95643">
        <w:rPr>
          <w:rFonts w:ascii="Sylfaen" w:hAnsi="Sylfaen"/>
          <w:sz w:val="24"/>
          <w:szCs w:val="24"/>
        </w:rPr>
        <w:t xml:space="preserve"> ցուցանիշի անցկացնում են </w:t>
      </w:r>
      <w:r w:rsidRPr="00D95643">
        <w:rPr>
          <w:rFonts w:ascii="Sylfaen" w:hAnsi="Sylfaen"/>
          <w:i/>
          <w:sz w:val="24"/>
          <w:szCs w:val="24"/>
        </w:rPr>
        <w:t xml:space="preserve">2.1.9.11. Լիպոֆիլ հիմքով մոմիկների ամբողջական դեֆորմացիայի ժամանակի որոշում </w:t>
      </w:r>
      <w:r w:rsidRPr="00D95643">
        <w:rPr>
          <w:rFonts w:ascii="Sylfaen" w:hAnsi="Sylfaen"/>
          <w:sz w:val="24"/>
          <w:szCs w:val="24"/>
        </w:rPr>
        <w:t xml:space="preserve">ընդհանուր դեղագրքային հոդվածին համապատասխան։ Ամբողջական դեֆորմացիայի ժամանակը չպետք է գերազանցի 15 րոպեն, եթե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այլ ցուցումներ չկան։</w:t>
      </w:r>
    </w:p>
    <w:p w14:paraId="7886974F" w14:textId="77777777" w:rsidR="003A4194" w:rsidRPr="00D95643"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b/>
          <w:spacing w:val="-4"/>
          <w:sz w:val="24"/>
          <w:szCs w:val="24"/>
        </w:rPr>
        <w:t xml:space="preserve">Դեղաչափված միավորների միատարրությունը․ </w:t>
      </w:r>
      <w:r w:rsidRPr="00D95643">
        <w:rPr>
          <w:rFonts w:ascii="Sylfaen" w:hAnsi="Sylfaen"/>
          <w:spacing w:val="-4"/>
          <w:sz w:val="24"/>
          <w:szCs w:val="24"/>
        </w:rPr>
        <w:t xml:space="preserve">Փորձարկումն անցկացնում են </w:t>
      </w:r>
      <w:r w:rsidRPr="00D95643">
        <w:rPr>
          <w:rFonts w:ascii="Sylfaen" w:hAnsi="Sylfaen"/>
          <w:i/>
          <w:spacing w:val="-4"/>
          <w:sz w:val="24"/>
          <w:szCs w:val="24"/>
        </w:rPr>
        <w:t xml:space="preserve">2.1.9.14. Դեղաչափված միավորների միատարրություն </w:t>
      </w:r>
      <w:r w:rsidRPr="00D95643">
        <w:rPr>
          <w:rFonts w:ascii="Sylfaen" w:hAnsi="Sylfaen"/>
          <w:spacing w:val="-4"/>
          <w:sz w:val="24"/>
          <w:szCs w:val="24"/>
        </w:rPr>
        <w:t>ընդհանուր դեղագրքային</w:t>
      </w:r>
      <w:r w:rsidRPr="00D95643">
        <w:rPr>
          <w:rFonts w:ascii="Sylfaen" w:hAnsi="Sylfaen"/>
          <w:sz w:val="24"/>
          <w:szCs w:val="24"/>
        </w:rPr>
        <w:t xml:space="preserve"> հոդվածին համապատասխան։ </w:t>
      </w:r>
    </w:p>
    <w:p w14:paraId="5E67A41E" w14:textId="77777777" w:rsidR="00B867ED" w:rsidRPr="00B5542D" w:rsidRDefault="00B867ED" w:rsidP="003A4194">
      <w:pPr>
        <w:pStyle w:val="a0"/>
        <w:shd w:val="clear" w:color="auto" w:fill="auto"/>
        <w:spacing w:after="160" w:line="360" w:lineRule="auto"/>
        <w:ind w:firstLine="567"/>
        <w:rPr>
          <w:rFonts w:ascii="Sylfaen" w:hAnsi="Sylfaen"/>
          <w:b/>
          <w:sz w:val="24"/>
          <w:szCs w:val="24"/>
        </w:rPr>
      </w:pPr>
    </w:p>
    <w:p w14:paraId="490FEB63" w14:textId="77777777" w:rsidR="003A4194" w:rsidRPr="00D95643" w:rsidRDefault="003A4194" w:rsidP="003A4194">
      <w:pPr>
        <w:pStyle w:val="a0"/>
        <w:shd w:val="clear" w:color="auto" w:fill="auto"/>
        <w:spacing w:after="160" w:line="360" w:lineRule="auto"/>
        <w:ind w:firstLine="567"/>
        <w:rPr>
          <w:rFonts w:ascii="Sylfaen" w:hAnsi="Sylfaen" w:cs="Sylfaen"/>
          <w:sz w:val="24"/>
          <w:szCs w:val="24"/>
        </w:rPr>
      </w:pPr>
      <w:r w:rsidRPr="00D95643">
        <w:rPr>
          <w:rFonts w:ascii="Sylfaen" w:hAnsi="Sylfaen"/>
          <w:b/>
          <w:sz w:val="24"/>
          <w:szCs w:val="24"/>
        </w:rPr>
        <w:t>ՊԱՀՊԱՆՈՒՄԸ</w:t>
      </w:r>
    </w:p>
    <w:p w14:paraId="02C622AA"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Լույսից պաշտպանված տեղում, 8 °С-ից մինչ</w:t>
      </w:r>
      <w:r>
        <w:rPr>
          <w:rFonts w:ascii="Sylfaen" w:hAnsi="Sylfaen"/>
          <w:sz w:val="24"/>
          <w:szCs w:val="24"/>
        </w:rPr>
        <w:t>եւ</w:t>
      </w:r>
      <w:r w:rsidRPr="00D95643">
        <w:rPr>
          <w:rFonts w:ascii="Sylfaen" w:hAnsi="Sylfaen"/>
          <w:sz w:val="24"/>
          <w:szCs w:val="24"/>
        </w:rPr>
        <w:t xml:space="preserve"> 15 °С ջերմաստիճանում, եթե չկան այլ ցուցումներ մասնավոր դեղագրքային հոդվածում կամ որակի վերաբերյալ նորմատիվ փաստաթղթում։</w:t>
      </w:r>
    </w:p>
    <w:p w14:paraId="062C843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74D9DFA4" w14:textId="77777777" w:rsidR="003A4194" w:rsidRPr="00B5542D" w:rsidRDefault="003A4194" w:rsidP="003A4194">
      <w:pPr>
        <w:pStyle w:val="a0"/>
        <w:shd w:val="clear" w:color="auto" w:fill="auto"/>
        <w:spacing w:after="160" w:line="360" w:lineRule="auto"/>
        <w:ind w:firstLine="567"/>
        <w:jc w:val="right"/>
        <w:rPr>
          <w:rFonts w:ascii="Sylfaen" w:hAnsi="Sylfaen"/>
          <w:b/>
          <w:szCs w:val="24"/>
        </w:rPr>
      </w:pPr>
      <w:r w:rsidRPr="00D95643">
        <w:rPr>
          <w:rFonts w:ascii="Sylfaen" w:hAnsi="Sylfaen"/>
          <w:b/>
          <w:szCs w:val="24"/>
        </w:rPr>
        <w:lastRenderedPageBreak/>
        <w:t>205010033-2022</w:t>
      </w:r>
    </w:p>
    <w:p w14:paraId="65659259" w14:textId="77777777" w:rsidR="003A4194" w:rsidRPr="00B5542D" w:rsidRDefault="003A4194" w:rsidP="003A4194">
      <w:pPr>
        <w:pStyle w:val="a0"/>
        <w:shd w:val="clear" w:color="auto" w:fill="auto"/>
        <w:spacing w:after="160" w:line="360" w:lineRule="auto"/>
        <w:ind w:firstLine="567"/>
        <w:jc w:val="right"/>
        <w:rPr>
          <w:rFonts w:ascii="Sylfaen" w:hAnsi="Sylfaen" w:cs="Sylfaen"/>
          <w:szCs w:val="24"/>
        </w:rPr>
      </w:pPr>
    </w:p>
    <w:p w14:paraId="04AC541A" w14:textId="77777777" w:rsidR="003A4194" w:rsidRPr="00D95643" w:rsidRDefault="003A4194" w:rsidP="003A4194">
      <w:pPr>
        <w:pStyle w:val="a0"/>
        <w:shd w:val="clear" w:color="auto" w:fill="auto"/>
        <w:tabs>
          <w:tab w:val="left" w:pos="1701"/>
        </w:tabs>
        <w:spacing w:after="160" w:line="360" w:lineRule="auto"/>
        <w:ind w:firstLine="567"/>
        <w:rPr>
          <w:rFonts w:ascii="Sylfaen" w:hAnsi="Sylfaen" w:cs="Sylfaen"/>
          <w:sz w:val="24"/>
          <w:szCs w:val="24"/>
        </w:rPr>
      </w:pPr>
      <w:r w:rsidRPr="00D95643">
        <w:rPr>
          <w:rFonts w:ascii="Sylfaen" w:hAnsi="Sylfaen"/>
          <w:b/>
          <w:sz w:val="24"/>
          <w:szCs w:val="24"/>
        </w:rPr>
        <w:t>2.5.1.33.</w:t>
      </w:r>
      <w:r w:rsidRPr="00B5542D">
        <w:rPr>
          <w:rFonts w:ascii="Sylfaen" w:hAnsi="Sylfaen"/>
          <w:b/>
          <w:sz w:val="24"/>
          <w:szCs w:val="24"/>
        </w:rPr>
        <w:tab/>
      </w:r>
      <w:r w:rsidRPr="00D95643">
        <w:rPr>
          <w:rFonts w:ascii="Sylfaen" w:hAnsi="Sylfaen"/>
          <w:b/>
          <w:sz w:val="24"/>
          <w:szCs w:val="24"/>
        </w:rPr>
        <w:t>Դեղակախույթներ</w:t>
      </w:r>
    </w:p>
    <w:p w14:paraId="62230EE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«Դեղակախույթներ»՝ հեղուկ դեղաձ</w:t>
      </w:r>
      <w:r>
        <w:rPr>
          <w:rFonts w:ascii="Sylfaen" w:hAnsi="Sylfaen"/>
          <w:sz w:val="24"/>
          <w:szCs w:val="24"/>
        </w:rPr>
        <w:t>եւ</w:t>
      </w:r>
      <w:r w:rsidRPr="00D95643">
        <w:rPr>
          <w:rFonts w:ascii="Sylfaen" w:hAnsi="Sylfaen"/>
          <w:sz w:val="24"/>
          <w:szCs w:val="24"/>
        </w:rPr>
        <w:t>, որը հեղուկ դիսպերսային միջավայրում տեղաբաշխված մեկ կամ մի քանի պինդ ազդող նյութեր պարունակող հետերոգեն դիսպերսային համակարգ է:</w:t>
      </w:r>
    </w:p>
    <w:p w14:paraId="75FFD39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1 մկմ-ից պակաս չափով դիսպերսված մասնիկներ պարունակող դեղակախույթը միկրոհետերոգեն դիսպերսային համակարգ է։</w:t>
      </w:r>
    </w:p>
    <w:p w14:paraId="7265249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Պայմանավորված ներմուծման ուղով </w:t>
      </w:r>
      <w:r>
        <w:rPr>
          <w:rFonts w:ascii="Sylfaen" w:hAnsi="Sylfaen"/>
          <w:sz w:val="24"/>
          <w:szCs w:val="24"/>
        </w:rPr>
        <w:t>եւ</w:t>
      </w:r>
      <w:r w:rsidRPr="00D95643">
        <w:rPr>
          <w:rFonts w:ascii="Sylfaen" w:hAnsi="Sylfaen"/>
          <w:sz w:val="24"/>
          <w:szCs w:val="24"/>
        </w:rPr>
        <w:t xml:space="preserve"> կիրառման եղանակով՝ տարբերակում են ներքին ընդունման, արտաքին կիրառման, տեղային կիրառման, հեշտոցային, ռեկտալ, ատամի, բերանի խոռոչի լորձաթաղանթի, ինհալացիաների, ներպատվաստումների, ստամոքսաղիքային ներմուծման, ներծոցային ներմուծման, ներշնչափողային ներմուծման, պարենտերալ կիրառման, աչքի կաթիլների ձ</w:t>
      </w:r>
      <w:r>
        <w:rPr>
          <w:rFonts w:ascii="Sylfaen" w:hAnsi="Sylfaen"/>
          <w:sz w:val="24"/>
          <w:szCs w:val="24"/>
        </w:rPr>
        <w:t>եւ</w:t>
      </w:r>
      <w:r w:rsidRPr="00D95643">
        <w:rPr>
          <w:rFonts w:ascii="Sylfaen" w:hAnsi="Sylfaen"/>
          <w:sz w:val="24"/>
          <w:szCs w:val="24"/>
        </w:rPr>
        <w:t>ով կիրառման համար դեղակախույթներ, ինչպես նա</w:t>
      </w:r>
      <w:r>
        <w:rPr>
          <w:rFonts w:ascii="Sylfaen" w:hAnsi="Sylfaen"/>
          <w:sz w:val="24"/>
          <w:szCs w:val="24"/>
        </w:rPr>
        <w:t>եւ</w:t>
      </w:r>
      <w:r w:rsidRPr="00D95643">
        <w:rPr>
          <w:rFonts w:ascii="Sylfaen" w:hAnsi="Sylfaen"/>
          <w:sz w:val="24"/>
          <w:szCs w:val="24"/>
        </w:rPr>
        <w:t xml:space="preserve"> ներարգանդային </w:t>
      </w:r>
      <w:r>
        <w:rPr>
          <w:rFonts w:ascii="Sylfaen" w:hAnsi="Sylfaen"/>
          <w:sz w:val="24"/>
          <w:szCs w:val="24"/>
        </w:rPr>
        <w:t>եւ</w:t>
      </w:r>
      <w:r w:rsidRPr="00D95643">
        <w:rPr>
          <w:rFonts w:ascii="Sylfaen" w:hAnsi="Sylfaen"/>
          <w:sz w:val="24"/>
          <w:szCs w:val="24"/>
        </w:rPr>
        <w:t xml:space="preserve"> ինտրացիստերալ դեղակախույթներ, որոնք նախատեսված են միայն անասնաբուժական կիրառման համար։</w:t>
      </w:r>
    </w:p>
    <w:p w14:paraId="2D3A967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Ներծոցային ներմուծման համար նախատեսված դեղակախույթներ</w:t>
      </w:r>
      <w:r w:rsidRPr="00D95643">
        <w:rPr>
          <w:rFonts w:ascii="Sylfaen" w:hAnsi="Sylfaen"/>
          <w:sz w:val="24"/>
          <w:szCs w:val="24"/>
        </w:rPr>
        <w:t>՝ մանրէազերծ դեղակախույթներ, որոնք նախատեսված են քթի խոռոչի ծոցեր (հարքթային ծոցեր) ներմուծման համար։</w:t>
      </w:r>
    </w:p>
    <w:p w14:paraId="3BAA4D2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Ներշնչափողային ներմուծման համար նախատեսված դեղակախույթներ</w:t>
      </w:r>
      <w:r w:rsidRPr="00D95643">
        <w:rPr>
          <w:rFonts w:ascii="Sylfaen" w:hAnsi="Sylfaen"/>
          <w:sz w:val="24"/>
          <w:szCs w:val="24"/>
        </w:rPr>
        <w:t xml:space="preserve">՝ մանրէազերծ դեղակախույթներ, որոնք նախատեսված են ներկաթեցման միջոցով շնչափող </w:t>
      </w:r>
      <w:r>
        <w:rPr>
          <w:rFonts w:ascii="Sylfaen" w:hAnsi="Sylfaen"/>
          <w:sz w:val="24"/>
          <w:szCs w:val="24"/>
        </w:rPr>
        <w:t>եւ</w:t>
      </w:r>
      <w:r w:rsidRPr="00D95643">
        <w:rPr>
          <w:rFonts w:ascii="Sylfaen" w:hAnsi="Sylfaen"/>
          <w:sz w:val="24"/>
          <w:szCs w:val="24"/>
        </w:rPr>
        <w:t xml:space="preserve"> (կամ) բրոնխիոլներ ներմուծման համար։</w:t>
      </w:r>
    </w:p>
    <w:p w14:paraId="0F5FDFA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Ներպատվաստման համար նախատեսված դեղակախույթներ</w:t>
      </w:r>
      <w:r w:rsidRPr="00D95643">
        <w:rPr>
          <w:rFonts w:ascii="Sylfaen" w:hAnsi="Sylfaen"/>
          <w:sz w:val="24"/>
          <w:szCs w:val="24"/>
        </w:rPr>
        <w:t>՝ մանրէազերծ դեղակախույթներ, որոնք նախատեսված են ներպատվաստման համար՝ տ</w:t>
      </w:r>
      <w:r>
        <w:rPr>
          <w:rFonts w:ascii="Sylfaen" w:hAnsi="Sylfaen"/>
          <w:sz w:val="24"/>
          <w:szCs w:val="24"/>
        </w:rPr>
        <w:t>եւ</w:t>
      </w:r>
      <w:r w:rsidRPr="00D95643">
        <w:rPr>
          <w:rFonts w:ascii="Sylfaen" w:hAnsi="Sylfaen"/>
          <w:sz w:val="24"/>
          <w:szCs w:val="24"/>
        </w:rPr>
        <w:t>ական ժամանակահատվածի ընթացքում համակարգային ազդեցություն գործելու նպատակով։</w:t>
      </w:r>
    </w:p>
    <w:p w14:paraId="6C1348B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3AD90F16"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ՏԵԽՆՈԼՈԳԻԱՅԻ ԱՌԱՆՁՆԱՀԱՏԿՈՒԹՅՈՒՆՆԵՐԸ</w:t>
      </w:r>
    </w:p>
    <w:p w14:paraId="342495D6" w14:textId="77777777" w:rsidR="003A4194" w:rsidRPr="003A4194" w:rsidRDefault="003A4194" w:rsidP="003A4194">
      <w:pPr>
        <w:pStyle w:val="a0"/>
        <w:shd w:val="clear" w:color="auto" w:fill="auto"/>
        <w:spacing w:after="160" w:line="360" w:lineRule="auto"/>
        <w:ind w:firstLine="567"/>
        <w:jc w:val="both"/>
        <w:rPr>
          <w:rFonts w:ascii="Sylfaen" w:hAnsi="Sylfaen"/>
          <w:sz w:val="24"/>
          <w:szCs w:val="24"/>
        </w:rPr>
      </w:pPr>
      <w:r w:rsidRPr="00D95643">
        <w:rPr>
          <w:rFonts w:ascii="Sylfaen" w:hAnsi="Sylfaen"/>
          <w:sz w:val="24"/>
          <w:szCs w:val="24"/>
        </w:rPr>
        <w:t>Դեղակախույթները կարող են ստացվել չլուծվող, նախապես մանրացված, ակտիվ դեղագործական բաղադրամաս (բաղադրամասեր) պարունակող պինդ դիսպերսային ֆազը հեղուկ դիսպերսային միջավայրի հետ դիսպերսման միջոցով կամ այլ մեթոդներով։</w:t>
      </w:r>
    </w:p>
    <w:p w14:paraId="7A94FA3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Դիսպերսային միջավայր կարող է լինել ջուրը, գլիցերինը, բուսական ճարպայուղերը </w:t>
      </w:r>
      <w:r>
        <w:rPr>
          <w:rFonts w:ascii="Sylfaen" w:hAnsi="Sylfaen"/>
          <w:sz w:val="24"/>
          <w:szCs w:val="24"/>
        </w:rPr>
        <w:t>եւ</w:t>
      </w:r>
      <w:r w:rsidRPr="00D95643">
        <w:rPr>
          <w:rFonts w:ascii="Sylfaen" w:hAnsi="Sylfaen"/>
          <w:sz w:val="24"/>
          <w:szCs w:val="24"/>
        </w:rPr>
        <w:t xml:space="preserve"> այլն։ Որպես օժանդակ նյութեր դեղակախույթներում կարող են օգտագործվել բուֆերային լուծույթներ, կայունարարներ (դիսպերսային միջավայրի մածուցիկությունը բարձրացնող նյութեր, մակեր</w:t>
      </w:r>
      <w:r>
        <w:rPr>
          <w:rFonts w:ascii="Sylfaen" w:hAnsi="Sylfaen"/>
          <w:sz w:val="24"/>
          <w:szCs w:val="24"/>
        </w:rPr>
        <w:t>եւ</w:t>
      </w:r>
      <w:r w:rsidRPr="00D95643">
        <w:rPr>
          <w:rFonts w:ascii="Sylfaen" w:hAnsi="Sylfaen"/>
          <w:sz w:val="24"/>
          <w:szCs w:val="24"/>
        </w:rPr>
        <w:t xml:space="preserve">ութաակտիվ նյութեր </w:t>
      </w:r>
      <w:r>
        <w:rPr>
          <w:rFonts w:ascii="Sylfaen" w:hAnsi="Sylfaen"/>
          <w:sz w:val="24"/>
          <w:szCs w:val="24"/>
        </w:rPr>
        <w:t>եւ</w:t>
      </w:r>
      <w:r w:rsidRPr="00D95643">
        <w:rPr>
          <w:rFonts w:ascii="Sylfaen" w:hAnsi="Sylfaen"/>
          <w:sz w:val="24"/>
          <w:szCs w:val="24"/>
        </w:rPr>
        <w:t xml:space="preserve"> այլն), կորրիգենտներ, կոնսերվանտներ, հակաօքսիդիչներ, ներկանյութեր </w:t>
      </w:r>
      <w:r>
        <w:rPr>
          <w:rFonts w:ascii="Sylfaen" w:hAnsi="Sylfaen"/>
          <w:sz w:val="24"/>
          <w:szCs w:val="24"/>
        </w:rPr>
        <w:t>եւ</w:t>
      </w:r>
      <w:r w:rsidRPr="00D95643">
        <w:rPr>
          <w:rFonts w:ascii="Sylfaen" w:hAnsi="Sylfaen"/>
          <w:sz w:val="24"/>
          <w:szCs w:val="24"/>
        </w:rPr>
        <w:t xml:space="preserve"> այլ նյութեր, որոնք թույլատրված են բժշկական կիրառման համար։</w:t>
      </w:r>
    </w:p>
    <w:p w14:paraId="4050417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Դեղակախույթները կարող են թողարկվել պատրաստ կիրառման համար կամ կարող են պատրաստվել կիրառումից անմիջապես առաջ՝ համապատասխան լուծիչում դիսպերսման եղանակով դեղակախույթների պատրաստման համար նախատեսված փոշիներից, գրանուլներից, դեղահաբերից կամ լիոֆիլիզատներից վերականգնված դեղաձ</w:t>
      </w:r>
      <w:r>
        <w:rPr>
          <w:rFonts w:ascii="Sylfaen" w:hAnsi="Sylfaen"/>
          <w:sz w:val="24"/>
          <w:szCs w:val="24"/>
        </w:rPr>
        <w:t>եւ</w:t>
      </w:r>
      <w:r w:rsidRPr="00D95643">
        <w:rPr>
          <w:rFonts w:ascii="Sylfaen" w:hAnsi="Sylfaen"/>
          <w:sz w:val="24"/>
          <w:szCs w:val="24"/>
        </w:rPr>
        <w:t>երով։</w:t>
      </w:r>
    </w:p>
    <w:p w14:paraId="61ED17B9"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Ներքին ընդունման համար նախատեսված դեղակախույթները կարող են ստացվել գելերից </w:t>
      </w:r>
      <w:r>
        <w:rPr>
          <w:rFonts w:ascii="Sylfaen" w:hAnsi="Sylfaen"/>
          <w:sz w:val="24"/>
          <w:szCs w:val="24"/>
        </w:rPr>
        <w:t>եւ</w:t>
      </w:r>
      <w:r w:rsidRPr="00D95643">
        <w:rPr>
          <w:rFonts w:ascii="Sylfaen" w:hAnsi="Sylfaen"/>
          <w:sz w:val="24"/>
          <w:szCs w:val="24"/>
        </w:rPr>
        <w:t xml:space="preserve"> մածուկներից, որոնք նախատեսված են համապատասխան լուծիչներում փափուկ դեղաձ</w:t>
      </w:r>
      <w:r>
        <w:rPr>
          <w:rFonts w:ascii="Sylfaen" w:hAnsi="Sylfaen"/>
          <w:sz w:val="24"/>
          <w:szCs w:val="24"/>
        </w:rPr>
        <w:t>եւ</w:t>
      </w:r>
      <w:r w:rsidRPr="00D95643">
        <w:rPr>
          <w:rFonts w:ascii="Sylfaen" w:hAnsi="Sylfaen"/>
          <w:sz w:val="24"/>
          <w:szCs w:val="24"/>
        </w:rPr>
        <w:t>երի (գելերի, մածուկների) դիսպերսման եղանակով ներքին ընդունման համար նախատեսված դեղակախույթների պատրաստման համար։</w:t>
      </w:r>
    </w:p>
    <w:p w14:paraId="5FB400B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Բացի այդ, նոսրացված դեղաձ</w:t>
      </w:r>
      <w:r>
        <w:rPr>
          <w:rFonts w:ascii="Sylfaen" w:hAnsi="Sylfaen"/>
          <w:sz w:val="24"/>
          <w:szCs w:val="24"/>
        </w:rPr>
        <w:t>եւ</w:t>
      </w:r>
      <w:r w:rsidRPr="00D95643">
        <w:rPr>
          <w:rFonts w:ascii="Sylfaen" w:hAnsi="Sylfaen"/>
          <w:sz w:val="24"/>
          <w:szCs w:val="24"/>
        </w:rPr>
        <w:t>ով դեղակախույթները կարող են պատրաստվել այն կոնցենտրատներից, որոնք նախատեսված են դեղակախույթ ստանալու համար՝ համապատասխան լուծիչում մինչ</w:t>
      </w:r>
      <w:r>
        <w:rPr>
          <w:rFonts w:ascii="Sylfaen" w:hAnsi="Sylfaen"/>
          <w:sz w:val="24"/>
          <w:szCs w:val="24"/>
        </w:rPr>
        <w:t>եւ</w:t>
      </w:r>
      <w:r w:rsidRPr="00D95643">
        <w:rPr>
          <w:rFonts w:ascii="Sylfaen" w:hAnsi="Sylfaen"/>
          <w:sz w:val="24"/>
          <w:szCs w:val="24"/>
        </w:rPr>
        <w:t xml:space="preserve"> պահանջվող կոնցենտրացիան նոսրացնելուց հետո։</w:t>
      </w:r>
    </w:p>
    <w:p w14:paraId="178BD3D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i/>
          <w:sz w:val="24"/>
          <w:szCs w:val="24"/>
        </w:rPr>
        <w:t>Դեղակախույթներ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դեղապատրաստուկներ ստանալիս պետք է ձեռնարկվեն դրանց միկրոկենսաբանական մաքրությունն ապահովող միջոցներ </w:t>
      </w:r>
      <w:r w:rsidRPr="00D95643">
        <w:rPr>
          <w:rFonts w:ascii="Sylfaen" w:hAnsi="Sylfaen"/>
          <w:sz w:val="24"/>
          <w:szCs w:val="24"/>
        </w:rPr>
        <w:lastRenderedPageBreak/>
        <w:t>սահմանված դեպքերում, օրինակ՝ պարենտերալ կիրառման համար դեղակախույթներ, աչքի կաթիլների ձ</w:t>
      </w:r>
      <w:r>
        <w:rPr>
          <w:rFonts w:ascii="Sylfaen" w:hAnsi="Sylfaen"/>
          <w:sz w:val="24"/>
          <w:szCs w:val="24"/>
        </w:rPr>
        <w:t>եւ</w:t>
      </w:r>
      <w:r w:rsidRPr="00D95643">
        <w:rPr>
          <w:rFonts w:ascii="Sylfaen" w:hAnsi="Sylfaen"/>
          <w:sz w:val="24"/>
          <w:szCs w:val="24"/>
        </w:rPr>
        <w:t xml:space="preserve">ով կիրառման համար դեղակախույթներ </w:t>
      </w:r>
      <w:r>
        <w:rPr>
          <w:rFonts w:ascii="Sylfaen" w:hAnsi="Sylfaen"/>
          <w:sz w:val="24"/>
          <w:szCs w:val="24"/>
        </w:rPr>
        <w:t>եւ</w:t>
      </w:r>
      <w:r w:rsidRPr="00D95643">
        <w:rPr>
          <w:rFonts w:ascii="Sylfaen" w:hAnsi="Sylfaen"/>
          <w:sz w:val="24"/>
          <w:szCs w:val="24"/>
        </w:rPr>
        <w:t xml:space="preserve"> այլ դեղակախույթներ արտադրելիս պետք է ձեռնարկվեն դրանց մանրէազերծությունն ապահովող միջոցներ։</w:t>
      </w:r>
    </w:p>
    <w:p w14:paraId="6A4A4F12"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p>
    <w:p w14:paraId="3FC84453"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ՓՈՐՁԱՐԿՈՒՄՆԵՐԸ</w:t>
      </w:r>
    </w:p>
    <w:p w14:paraId="00F1F56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Դեղակախույթները պետք է համապատասխանեն </w:t>
      </w:r>
      <w:r w:rsidRPr="00D95643">
        <w:rPr>
          <w:rFonts w:ascii="Sylfaen" w:hAnsi="Sylfaen"/>
          <w:i/>
          <w:sz w:val="24"/>
          <w:szCs w:val="24"/>
        </w:rPr>
        <w:t>2.5.1.1</w:t>
      </w:r>
      <w:r w:rsidRPr="00D95643">
        <w:rPr>
          <w:rFonts w:ascii="Sylfaen" w:hAnsi="Sylfaen"/>
          <w:sz w:val="24"/>
          <w:szCs w:val="24"/>
        </w:rPr>
        <w:t xml:space="preserve">. </w:t>
      </w:r>
      <w:r w:rsidRPr="00D95643">
        <w:rPr>
          <w:rFonts w:ascii="Sylfaen" w:hAnsi="Sylfaen"/>
          <w:i/>
          <w:sz w:val="24"/>
          <w:szCs w:val="24"/>
        </w:rPr>
        <w:t>Դեղաձ</w:t>
      </w:r>
      <w:r>
        <w:rPr>
          <w:rFonts w:ascii="Sylfaen" w:hAnsi="Sylfaen"/>
          <w:i/>
          <w:sz w:val="24"/>
          <w:szCs w:val="24"/>
        </w:rPr>
        <w:t>եւ</w:t>
      </w:r>
      <w:r w:rsidRPr="00D95643">
        <w:rPr>
          <w:rFonts w:ascii="Sylfaen" w:hAnsi="Sylfaen"/>
          <w:i/>
          <w:sz w:val="24"/>
          <w:szCs w:val="24"/>
        </w:rPr>
        <w:t>եր</w:t>
      </w:r>
      <w:r w:rsidRPr="00D95643">
        <w:rPr>
          <w:rFonts w:ascii="Sylfaen" w:hAnsi="Sylfaen"/>
          <w:sz w:val="24"/>
          <w:szCs w:val="24"/>
        </w:rPr>
        <w:t xml:space="preserve"> ընդհանուր դեղագրքային հոդվածին</w:t>
      </w:r>
      <w:r w:rsidRPr="00D95643">
        <w:rPr>
          <w:rFonts w:ascii="Sylfaen" w:hAnsi="Sylfaen"/>
          <w:i/>
          <w:sz w:val="24"/>
          <w:szCs w:val="24"/>
        </w:rPr>
        <w:t xml:space="preserve"> </w:t>
      </w:r>
      <w:r>
        <w:rPr>
          <w:rFonts w:ascii="Sylfaen" w:hAnsi="Sylfaen"/>
          <w:sz w:val="24"/>
          <w:szCs w:val="24"/>
        </w:rPr>
        <w:t>եւ</w:t>
      </w:r>
      <w:r w:rsidRPr="00D95643">
        <w:rPr>
          <w:rFonts w:ascii="Sylfaen" w:hAnsi="Sylfaen"/>
          <w:sz w:val="24"/>
          <w:szCs w:val="24"/>
        </w:rPr>
        <w:t xml:space="preserve"> դիմանան տվյալ դեղաձ</w:t>
      </w:r>
      <w:r>
        <w:rPr>
          <w:rFonts w:ascii="Sylfaen" w:hAnsi="Sylfaen"/>
          <w:sz w:val="24"/>
          <w:szCs w:val="24"/>
        </w:rPr>
        <w:t>եւ</w:t>
      </w:r>
      <w:r w:rsidRPr="00D95643">
        <w:rPr>
          <w:rFonts w:ascii="Sylfaen" w:hAnsi="Sylfaen"/>
          <w:sz w:val="24"/>
          <w:szCs w:val="24"/>
        </w:rPr>
        <w:t>ին բնորոշ հաջորդող փորձարկումներին։</w:t>
      </w:r>
    </w:p>
    <w:p w14:paraId="5D5F39D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Պարենտերալ կիրառման համար նախատեսված՝ </w:t>
      </w:r>
      <w:r w:rsidRPr="00D95643">
        <w:rPr>
          <w:rFonts w:ascii="Sylfaen" w:hAnsi="Sylfaen"/>
          <w:i/>
          <w:sz w:val="24"/>
          <w:szCs w:val="24"/>
        </w:rPr>
        <w:t>Դեղակախույթ</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պետք է համապատասխանեն </w:t>
      </w:r>
      <w:r w:rsidRPr="00D95643">
        <w:rPr>
          <w:rFonts w:ascii="Sylfaen" w:hAnsi="Sylfaen"/>
          <w:i/>
          <w:sz w:val="24"/>
          <w:szCs w:val="24"/>
        </w:rPr>
        <w:t>2.5.3.4.</w:t>
      </w:r>
      <w:r w:rsidRPr="00D95643">
        <w:rPr>
          <w:rFonts w:ascii="Sylfaen" w:hAnsi="Sylfaen"/>
          <w:sz w:val="24"/>
          <w:szCs w:val="24"/>
        </w:rPr>
        <w:t xml:space="preserve"> </w:t>
      </w:r>
      <w:r w:rsidRPr="00D95643">
        <w:rPr>
          <w:rFonts w:ascii="Sylfaen" w:hAnsi="Sylfaen"/>
          <w:i/>
          <w:sz w:val="24"/>
          <w:szCs w:val="24"/>
        </w:rPr>
        <w:t xml:space="preserve">Պարենտերալ կիրառման համար նախատեսված դեղապատրաստուկներ </w:t>
      </w:r>
      <w:r w:rsidRPr="00D95643">
        <w:rPr>
          <w:rFonts w:ascii="Sylfaen" w:hAnsi="Sylfaen"/>
          <w:sz w:val="24"/>
          <w:szCs w:val="24"/>
        </w:rPr>
        <w:t>ընդհանուր դեղագրքային հոդվածին։</w:t>
      </w:r>
    </w:p>
    <w:p w14:paraId="2939EDE1"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Դեղակախույթի տեսքով </w:t>
      </w:r>
      <w:r w:rsidRPr="00D95643">
        <w:rPr>
          <w:rFonts w:ascii="Sylfaen" w:hAnsi="Sylfaen"/>
          <w:i/>
          <w:sz w:val="24"/>
          <w:szCs w:val="24"/>
        </w:rPr>
        <w:t>Աչքի կաթիլներ</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պետք է համապատասխանեն </w:t>
      </w:r>
      <w:r w:rsidRPr="00D95643">
        <w:rPr>
          <w:rFonts w:ascii="Sylfaen" w:hAnsi="Sylfaen"/>
          <w:i/>
          <w:sz w:val="24"/>
          <w:szCs w:val="24"/>
        </w:rPr>
        <w:t>2.5.3.3.</w:t>
      </w:r>
      <w:r w:rsidRPr="00D95643">
        <w:rPr>
          <w:rFonts w:ascii="Sylfaen" w:hAnsi="Sylfaen"/>
          <w:sz w:val="24"/>
          <w:szCs w:val="24"/>
        </w:rPr>
        <w:t xml:space="preserve"> </w:t>
      </w:r>
      <w:r w:rsidRPr="00D95643">
        <w:rPr>
          <w:rFonts w:ascii="Sylfaen" w:hAnsi="Sylfaen"/>
          <w:i/>
          <w:sz w:val="24"/>
          <w:szCs w:val="24"/>
        </w:rPr>
        <w:t xml:space="preserve">Ակնաբուժական կիրառման համար նախատեսված դեղապատրաստուկներ </w:t>
      </w:r>
      <w:r w:rsidRPr="00D95643">
        <w:rPr>
          <w:rFonts w:ascii="Sylfaen" w:hAnsi="Sylfaen"/>
          <w:sz w:val="24"/>
          <w:szCs w:val="24"/>
        </w:rPr>
        <w:t>ընդհանուր դեղագրքային հոդվածին։</w:t>
      </w:r>
    </w:p>
    <w:p w14:paraId="2E67A5B5"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Ինհալացիոն կիրառման համար նախատեսված՝ </w:t>
      </w:r>
      <w:r w:rsidRPr="00D95643">
        <w:rPr>
          <w:rFonts w:ascii="Sylfaen" w:hAnsi="Sylfaen"/>
          <w:i/>
          <w:sz w:val="24"/>
          <w:szCs w:val="24"/>
        </w:rPr>
        <w:t>Դեղակախույթ</w:t>
      </w:r>
      <w:r w:rsidRPr="00D95643">
        <w:rPr>
          <w:rFonts w:ascii="Sylfaen" w:hAnsi="Sylfaen"/>
          <w:sz w:val="24"/>
          <w:szCs w:val="24"/>
        </w:rPr>
        <w:t xml:space="preserve"> դեղաձ</w:t>
      </w:r>
      <w:r>
        <w:rPr>
          <w:rFonts w:ascii="Sylfaen" w:hAnsi="Sylfaen"/>
          <w:sz w:val="24"/>
          <w:szCs w:val="24"/>
        </w:rPr>
        <w:t>եւ</w:t>
      </w:r>
      <w:r w:rsidRPr="00D95643">
        <w:rPr>
          <w:rFonts w:ascii="Sylfaen" w:hAnsi="Sylfaen"/>
          <w:sz w:val="24"/>
          <w:szCs w:val="24"/>
        </w:rPr>
        <w:t xml:space="preserve">ով թողարկվող դեղապատրաստուկները պետք է համապատասխանեն </w:t>
      </w:r>
      <w:r w:rsidRPr="00D95643">
        <w:rPr>
          <w:rFonts w:ascii="Sylfaen" w:hAnsi="Sylfaen"/>
          <w:i/>
          <w:sz w:val="24"/>
          <w:szCs w:val="24"/>
        </w:rPr>
        <w:t>2.5.3.2.</w:t>
      </w:r>
      <w:r w:rsidRPr="00D95643">
        <w:rPr>
          <w:rFonts w:ascii="Sylfaen" w:hAnsi="Sylfaen"/>
          <w:sz w:val="24"/>
          <w:szCs w:val="24"/>
        </w:rPr>
        <w:t xml:space="preserve"> </w:t>
      </w:r>
      <w:r w:rsidRPr="00D95643">
        <w:rPr>
          <w:rFonts w:ascii="Sylfaen" w:hAnsi="Sylfaen"/>
          <w:i/>
          <w:sz w:val="24"/>
          <w:szCs w:val="24"/>
        </w:rPr>
        <w:t xml:space="preserve">Ինհալացիոն կիրառման համար նախատեսված դեղապատրաստուկներ </w:t>
      </w:r>
      <w:r w:rsidRPr="00D95643">
        <w:rPr>
          <w:rFonts w:ascii="Sylfaen" w:hAnsi="Sylfaen"/>
          <w:sz w:val="24"/>
          <w:szCs w:val="24"/>
        </w:rPr>
        <w:t>ընդհանուր դեղագրքային հոդվածին։</w:t>
      </w:r>
    </w:p>
    <w:p w14:paraId="594CE9D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Դեղակախույթների պատրաստման համար նախատեսված՝ փոշիների, դեղահաբերի, գրանուլների, լիոֆիլիզատների, կոնցենտրատների, գելերի, մածուկների տեսքով դեղաձ</w:t>
      </w:r>
      <w:r>
        <w:rPr>
          <w:rFonts w:ascii="Sylfaen" w:hAnsi="Sylfaen"/>
          <w:sz w:val="24"/>
          <w:szCs w:val="24"/>
        </w:rPr>
        <w:t>եւ</w:t>
      </w:r>
      <w:r w:rsidRPr="00D95643">
        <w:rPr>
          <w:rFonts w:ascii="Sylfaen" w:hAnsi="Sylfaen"/>
          <w:sz w:val="24"/>
          <w:szCs w:val="24"/>
        </w:rPr>
        <w:t>երը պետք է բավարարեն հետ</w:t>
      </w:r>
      <w:r>
        <w:rPr>
          <w:rFonts w:ascii="Sylfaen" w:hAnsi="Sylfaen"/>
          <w:sz w:val="24"/>
          <w:szCs w:val="24"/>
        </w:rPr>
        <w:t>եւ</w:t>
      </w:r>
      <w:r w:rsidRPr="00D95643">
        <w:rPr>
          <w:rFonts w:ascii="Sylfaen" w:hAnsi="Sylfaen"/>
          <w:sz w:val="24"/>
          <w:szCs w:val="24"/>
        </w:rPr>
        <w:t xml:space="preserve">յալ համապատասխան ընդհանուր դեղագրքային հոդվածները՝ </w:t>
      </w:r>
      <w:r w:rsidRPr="00D95643">
        <w:rPr>
          <w:rFonts w:ascii="Sylfaen" w:hAnsi="Sylfaen"/>
          <w:i/>
          <w:sz w:val="24"/>
          <w:szCs w:val="24"/>
        </w:rPr>
        <w:t>2.5.1.24. Փոշիներ, 2.5.1.34. Դեղահաբեր, 2.5.1.4. Գրանուլներ, 2.5.1.14. Լիոֆիլիզատներ, 2.5.1.12. Կոնցենտրատներ, 2.5.1.40. Փափուկ դեղաձ</w:t>
      </w:r>
      <w:r>
        <w:rPr>
          <w:rFonts w:ascii="Sylfaen" w:hAnsi="Sylfaen"/>
          <w:i/>
          <w:sz w:val="24"/>
          <w:szCs w:val="24"/>
        </w:rPr>
        <w:t>եւ</w:t>
      </w:r>
      <w:r w:rsidRPr="00D95643">
        <w:rPr>
          <w:rFonts w:ascii="Sylfaen" w:hAnsi="Sylfaen"/>
          <w:i/>
          <w:sz w:val="24"/>
          <w:szCs w:val="24"/>
        </w:rPr>
        <w:t>եր։</w:t>
      </w:r>
    </w:p>
    <w:p w14:paraId="76B3DC2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Նկարագրությունը. </w:t>
      </w:r>
      <w:r w:rsidRPr="00D95643">
        <w:rPr>
          <w:rFonts w:ascii="Sylfaen" w:hAnsi="Sylfaen"/>
          <w:sz w:val="24"/>
          <w:szCs w:val="24"/>
        </w:rPr>
        <w:t xml:space="preserve">Դեղակախույթները բնութագրում են՝ նշելով արտաքին տեսքը, զգայորոշման (գույն, հոտ) </w:t>
      </w:r>
      <w:r>
        <w:rPr>
          <w:rFonts w:ascii="Sylfaen" w:hAnsi="Sylfaen"/>
          <w:sz w:val="24"/>
          <w:szCs w:val="24"/>
        </w:rPr>
        <w:t>եւ</w:t>
      </w:r>
      <w:r w:rsidRPr="00D95643">
        <w:rPr>
          <w:rFonts w:ascii="Sylfaen" w:hAnsi="Sylfaen"/>
          <w:sz w:val="24"/>
          <w:szCs w:val="24"/>
        </w:rPr>
        <w:t xml:space="preserve"> մյուս հատկությունները՝ մասնավոր դեղագրքային հոդվածին </w:t>
      </w:r>
      <w:r>
        <w:rPr>
          <w:rFonts w:ascii="Sylfaen" w:hAnsi="Sylfaen"/>
          <w:sz w:val="24"/>
          <w:szCs w:val="24"/>
        </w:rPr>
        <w:t>եւ</w:t>
      </w:r>
      <w:r w:rsidRPr="00D95643">
        <w:rPr>
          <w:rFonts w:ascii="Sylfaen" w:hAnsi="Sylfaen"/>
          <w:sz w:val="24"/>
          <w:szCs w:val="24"/>
        </w:rPr>
        <w:t xml:space="preserve"> (կամ) որակի վերաբերյալ նորմատիվ փաստաթղթի պահանջներին համապատասխան։ Թափահարելուց հետո դեղակախույթը պետք է միատարր բաշխված մասնիկներով հեղուկի տեսք ունենա։</w:t>
      </w:r>
    </w:p>
    <w:p w14:paraId="6D12D34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pH</w:t>
      </w:r>
      <w:r w:rsidRPr="003A4194">
        <w:rPr>
          <w:rFonts w:ascii="Sylfaen" w:hAnsi="Sylfaen"/>
          <w:b/>
          <w:sz w:val="24"/>
          <w:szCs w:val="24"/>
        </w:rPr>
        <w:t>-</w:t>
      </w:r>
      <w:r w:rsidRPr="00D95643">
        <w:rPr>
          <w:rFonts w:ascii="Sylfaen" w:hAnsi="Sylfaen"/>
          <w:b/>
          <w:sz w:val="24"/>
          <w:szCs w:val="24"/>
        </w:rPr>
        <w:t xml:space="preserve">ը. </w:t>
      </w:r>
      <w:r w:rsidRPr="00D95643">
        <w:rPr>
          <w:rFonts w:ascii="Sylfaen" w:hAnsi="Sylfaen"/>
          <w:sz w:val="24"/>
          <w:szCs w:val="24"/>
        </w:rPr>
        <w:t xml:space="preserve">Փորձարկումն անցկացնում են, եթե նշված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Որոշումն անցկացնում են </w:t>
      </w:r>
      <w:r w:rsidRPr="00D95643">
        <w:rPr>
          <w:rFonts w:ascii="Sylfaen" w:hAnsi="Sylfaen"/>
          <w:i/>
          <w:sz w:val="24"/>
          <w:szCs w:val="24"/>
        </w:rPr>
        <w:t xml:space="preserve">2.1.2.3. pH-ի պոտենցաչափական որոշում </w:t>
      </w:r>
      <w:r w:rsidRPr="00D95643">
        <w:rPr>
          <w:rFonts w:ascii="Sylfaen" w:hAnsi="Sylfaen"/>
          <w:sz w:val="24"/>
          <w:szCs w:val="24"/>
        </w:rPr>
        <w:t xml:space="preserve">ընդհանուր դեղագրքային հոդվածին համապատասխան։ pH-ի արժեքը նշվում է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w:t>
      </w:r>
    </w:p>
    <w:p w14:paraId="06416E9F"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Մասնիկների չափը. </w:t>
      </w:r>
      <w:r w:rsidRPr="00D95643">
        <w:rPr>
          <w:rFonts w:ascii="Sylfaen" w:hAnsi="Sylfaen"/>
          <w:sz w:val="24"/>
          <w:szCs w:val="24"/>
        </w:rPr>
        <w:t xml:space="preserve">Այլ հիմնավորման բացակայության դեպքում փորձարկումն անցկացնում են </w:t>
      </w:r>
      <w:r w:rsidRPr="00D95643">
        <w:rPr>
          <w:rFonts w:ascii="Sylfaen" w:hAnsi="Sylfaen"/>
          <w:i/>
          <w:sz w:val="24"/>
          <w:szCs w:val="24"/>
        </w:rPr>
        <w:t>2.1.9.25. Մասնիկների չափի որոշում դեղակախույթներում, էմուլսիաներում, փափուկ դեղաձ</w:t>
      </w:r>
      <w:r>
        <w:rPr>
          <w:rFonts w:ascii="Sylfaen" w:hAnsi="Sylfaen"/>
          <w:i/>
          <w:sz w:val="24"/>
          <w:szCs w:val="24"/>
        </w:rPr>
        <w:t>եւ</w:t>
      </w:r>
      <w:r w:rsidRPr="00D95643">
        <w:rPr>
          <w:rFonts w:ascii="Sylfaen" w:hAnsi="Sylfaen"/>
          <w:i/>
          <w:sz w:val="24"/>
          <w:szCs w:val="24"/>
        </w:rPr>
        <w:t xml:space="preserve">երում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p>
    <w:p w14:paraId="173D730D"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pacing w:val="-4"/>
          <w:sz w:val="24"/>
          <w:szCs w:val="24"/>
        </w:rPr>
        <w:t xml:space="preserve">Անցում ասեղի միջով. </w:t>
      </w:r>
      <w:r w:rsidRPr="00D95643">
        <w:rPr>
          <w:rFonts w:ascii="Sylfaen" w:hAnsi="Sylfaen"/>
          <w:spacing w:val="-4"/>
          <w:sz w:val="24"/>
          <w:szCs w:val="24"/>
        </w:rPr>
        <w:t>Փորձարկումն անցկացնում են պարենտերալ կիրառման համար նախատեսված դեղակախույթների համար՝ մասնավոր դեղագրքային հոդվածում եւ (կամ) որակի վերաբերյալ նորմատիվ փաստաթղթում նշված մեթոդիկային համապատասխան։ Եթե մասնավոր դեղագրքային հոդվածում եւ (կամ) որակի վերաբերյալ նորմատիվ փաստաթղթում այլ բան նշված չէ, դեղակախույթը</w:t>
      </w:r>
      <w:r w:rsidRPr="00D95643">
        <w:rPr>
          <w:rFonts w:ascii="Sylfaen" w:hAnsi="Sylfaen"/>
          <w:sz w:val="24"/>
          <w:szCs w:val="24"/>
        </w:rPr>
        <w:t xml:space="preserve"> հանգիստ պետք է անցնի ներարկիչի մեջ՝ 0,8 մմ х 40 մմ ասեղի միջով։</w:t>
      </w:r>
    </w:p>
    <w:p w14:paraId="2B73706C"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t xml:space="preserve">Սեդիմենտացման կայունությունը. </w:t>
      </w:r>
      <w:r w:rsidRPr="00D95643">
        <w:rPr>
          <w:rFonts w:ascii="Sylfaen" w:hAnsi="Sylfaen"/>
          <w:sz w:val="24"/>
          <w:szCs w:val="24"/>
        </w:rPr>
        <w:t>Փորձարկումն անցկացնում են հետ</w:t>
      </w:r>
      <w:r>
        <w:rPr>
          <w:rFonts w:ascii="Sylfaen" w:hAnsi="Sylfaen"/>
          <w:sz w:val="24"/>
          <w:szCs w:val="24"/>
        </w:rPr>
        <w:t>եւ</w:t>
      </w:r>
      <w:r w:rsidRPr="00D95643">
        <w:rPr>
          <w:rFonts w:ascii="Sylfaen" w:hAnsi="Sylfaen"/>
          <w:sz w:val="24"/>
          <w:szCs w:val="24"/>
        </w:rPr>
        <w:t xml:space="preserve">յալ մեթոդիկայով։ Դեղապատրաստուկը մանրակրկիտ թափահարում են </w:t>
      </w:r>
      <w:r>
        <w:rPr>
          <w:rFonts w:ascii="Sylfaen" w:hAnsi="Sylfaen"/>
          <w:sz w:val="24"/>
          <w:szCs w:val="24"/>
        </w:rPr>
        <w:t>եւ</w:t>
      </w:r>
      <w:r w:rsidRPr="00D95643">
        <w:rPr>
          <w:rFonts w:ascii="Sylfaen" w:hAnsi="Sylfaen"/>
          <w:sz w:val="24"/>
          <w:szCs w:val="24"/>
        </w:rPr>
        <w:t xml:space="preserve"> սրվակից (կամ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այլ փաթեթվածքից) տեղափոխում են չափագլանի կամ ապակե փորձանոթի մեջ։ Սրվակը (կամ այլ համապատասխան փաթեթվածքը) նունպես զննում են։ Պոլիմերային սրվակի զննության համար այն կտրում են մասերի։ Սրվակի (փաթեթվածքի) հատակին </w:t>
      </w:r>
      <w:r>
        <w:rPr>
          <w:rFonts w:ascii="Sylfaen" w:hAnsi="Sylfaen"/>
          <w:sz w:val="24"/>
          <w:szCs w:val="24"/>
        </w:rPr>
        <w:t>եւ</w:t>
      </w:r>
      <w:r w:rsidRPr="00D95643">
        <w:rPr>
          <w:rFonts w:ascii="Sylfaen" w:hAnsi="Sylfaen"/>
          <w:sz w:val="24"/>
          <w:szCs w:val="24"/>
        </w:rPr>
        <w:t xml:space="preserve"> պատերին չպետք է դիտվեն դիսպերսային ֆազի մասնիկների ագրեգատներ </w:t>
      </w:r>
      <w:r>
        <w:rPr>
          <w:rFonts w:ascii="Sylfaen" w:hAnsi="Sylfaen"/>
          <w:sz w:val="24"/>
          <w:szCs w:val="24"/>
        </w:rPr>
        <w:t>եւ</w:t>
      </w:r>
      <w:r w:rsidRPr="00D95643">
        <w:rPr>
          <w:rFonts w:ascii="Sylfaen" w:hAnsi="Sylfaen"/>
          <w:sz w:val="24"/>
          <w:szCs w:val="24"/>
        </w:rPr>
        <w:t xml:space="preserve"> ագլոմերատներ։</w:t>
      </w:r>
    </w:p>
    <w:p w14:paraId="06ACA9A4"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lastRenderedPageBreak/>
        <w:t xml:space="preserve">Պարենտերալ կիրառման </w:t>
      </w:r>
      <w:r>
        <w:rPr>
          <w:rFonts w:ascii="Sylfaen" w:hAnsi="Sylfaen"/>
          <w:sz w:val="24"/>
          <w:szCs w:val="24"/>
        </w:rPr>
        <w:t>եւ</w:t>
      </w:r>
      <w:r w:rsidRPr="00D95643">
        <w:rPr>
          <w:rFonts w:ascii="Sylfaen" w:hAnsi="Sylfaen"/>
          <w:sz w:val="24"/>
          <w:szCs w:val="24"/>
        </w:rPr>
        <w:t xml:space="preserve"> ներքին ընդունման համար նախատեսված դեղակախույթների համար վերակախութավորման ժամանակը պետք է լինի 1 րոպեից ոչ ավելի, աչքի կաթիլների ձ</w:t>
      </w:r>
      <w:r>
        <w:rPr>
          <w:rFonts w:ascii="Sylfaen" w:hAnsi="Sylfaen"/>
          <w:sz w:val="24"/>
          <w:szCs w:val="24"/>
        </w:rPr>
        <w:t>եւ</w:t>
      </w:r>
      <w:r w:rsidRPr="00D95643">
        <w:rPr>
          <w:rFonts w:ascii="Sylfaen" w:hAnsi="Sylfaen"/>
          <w:sz w:val="24"/>
          <w:szCs w:val="24"/>
        </w:rPr>
        <w:t>ով կիրառման համար նախատեսված դեղակախույթների համար վերակախութավորման առաջարկվող ժամանակը՝ 30 վայրկյանից ոչ ավելի։</w:t>
      </w:r>
    </w:p>
    <w:p w14:paraId="28F4BA38"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 xml:space="preserve">Չպետք է դիտվեն սեդիմենտացման նշաններ </w:t>
      </w:r>
      <w:r>
        <w:rPr>
          <w:rFonts w:ascii="Sylfaen" w:hAnsi="Sylfaen"/>
          <w:sz w:val="24"/>
          <w:szCs w:val="24"/>
        </w:rPr>
        <w:t>եւ</w:t>
      </w:r>
      <w:r w:rsidRPr="00D95643">
        <w:rPr>
          <w:rFonts w:ascii="Sylfaen" w:hAnsi="Sylfaen"/>
          <w:sz w:val="24"/>
          <w:szCs w:val="24"/>
        </w:rPr>
        <w:t xml:space="preserve"> ագրեգատների ու ագլոմերատների գոյացում դեղապատրաստուկի ընդունման (ներմուծման) իրականացման համար անհրաժեշտ ժամանակի ընթացքում։ Որպես կանոն, պարենտերալ կիրառման, ներքին ընդունման, աչքի կաթիլների ձ</w:t>
      </w:r>
      <w:r>
        <w:rPr>
          <w:rFonts w:ascii="Sylfaen" w:hAnsi="Sylfaen"/>
          <w:sz w:val="24"/>
          <w:szCs w:val="24"/>
        </w:rPr>
        <w:t>եւ</w:t>
      </w:r>
      <w:r w:rsidRPr="00D95643">
        <w:rPr>
          <w:rFonts w:ascii="Sylfaen" w:hAnsi="Sylfaen"/>
          <w:sz w:val="24"/>
          <w:szCs w:val="24"/>
        </w:rPr>
        <w:t>ով կիրառման համար նախատեսված դեղակախույթների համար այն պետք է լինի 2 րոպեից ոչ պակաս։</w:t>
      </w:r>
    </w:p>
    <w:p w14:paraId="4F98AE51"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sz w:val="24"/>
          <w:szCs w:val="24"/>
        </w:rPr>
        <w:t>Փորձարկումը չեն կիրառում միադեղաչափ փաթեթվածքներով ներքին ընդունման համար նախատեսված վերականգնված դեղակախույթների համար։</w:t>
      </w:r>
    </w:p>
    <w:p w14:paraId="2F642734"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z w:val="24"/>
          <w:szCs w:val="24"/>
        </w:rPr>
        <w:t xml:space="preserve">Մածուցիկությունը. </w:t>
      </w:r>
      <w:r w:rsidRPr="00D95643">
        <w:rPr>
          <w:rFonts w:ascii="Sylfaen" w:hAnsi="Sylfaen"/>
          <w:sz w:val="24"/>
          <w:szCs w:val="24"/>
        </w:rPr>
        <w:t xml:space="preserve">Այլ հիմնավորման բացակայության դեպքում, եթե դեղապատրաստուկի բաղադրության մեջ մտնում են նյութեր, որոնք մեծացնում են դեղակախույթի մածուցիկությունը, փորձարկումն անցկացնում են </w:t>
      </w:r>
      <w:r w:rsidRPr="00D95643">
        <w:rPr>
          <w:rFonts w:ascii="Sylfaen" w:hAnsi="Sylfaen"/>
          <w:i/>
          <w:sz w:val="24"/>
          <w:szCs w:val="24"/>
        </w:rPr>
        <w:t>2.1.2.10.</w:t>
      </w:r>
      <w:r w:rsidRPr="00D95643">
        <w:rPr>
          <w:rFonts w:ascii="Sylfaen" w:hAnsi="Sylfaen"/>
          <w:sz w:val="24"/>
          <w:szCs w:val="24"/>
        </w:rPr>
        <w:t xml:space="preserve"> </w:t>
      </w:r>
      <w:r w:rsidRPr="00D95643">
        <w:rPr>
          <w:rFonts w:ascii="Sylfaen" w:hAnsi="Sylfaen"/>
          <w:i/>
          <w:sz w:val="24"/>
          <w:szCs w:val="24"/>
        </w:rPr>
        <w:t xml:space="preserve">Պտտական մածուցիկաչափության մեթոդ </w:t>
      </w:r>
      <w:r w:rsidRPr="00D95643">
        <w:rPr>
          <w:rFonts w:ascii="Sylfaen" w:hAnsi="Sylfaen"/>
          <w:sz w:val="24"/>
          <w:szCs w:val="24"/>
        </w:rPr>
        <w:t xml:space="preserve">ընդհանուր դեղագրքային հոդվածին </w:t>
      </w:r>
      <w:r>
        <w:rPr>
          <w:rFonts w:ascii="Sylfaen" w:hAnsi="Sylfaen"/>
          <w:sz w:val="24"/>
          <w:szCs w:val="24"/>
        </w:rPr>
        <w:t>եւ</w:t>
      </w:r>
      <w:r w:rsidRPr="00D95643">
        <w:rPr>
          <w:rFonts w:ascii="Sylfaen" w:hAnsi="Sylfaen"/>
          <w:sz w:val="24"/>
          <w:szCs w:val="24"/>
        </w:rPr>
        <w:t xml:space="preserve"> մասնավոր դեղագրքային հոդվածում </w:t>
      </w:r>
      <w:r>
        <w:rPr>
          <w:rFonts w:ascii="Sylfaen" w:hAnsi="Sylfaen"/>
          <w:sz w:val="24"/>
          <w:szCs w:val="24"/>
        </w:rPr>
        <w:t>եւ</w:t>
      </w:r>
      <w:r w:rsidRPr="00D95643">
        <w:rPr>
          <w:rFonts w:ascii="Sylfaen" w:hAnsi="Sylfaen"/>
          <w:sz w:val="24"/>
          <w:szCs w:val="24"/>
        </w:rPr>
        <w:t xml:space="preserve"> (կամ) որակի վերաբերյալ նորմատիվ փաստաթղթում նշված պահանջներին համապատասխան։</w:t>
      </w:r>
    </w:p>
    <w:p w14:paraId="3040BE33"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pacing w:val="-4"/>
          <w:sz w:val="24"/>
          <w:szCs w:val="24"/>
        </w:rPr>
        <w:t>Դեղաչա</w:t>
      </w:r>
      <w:r w:rsidR="00AA7C33">
        <w:rPr>
          <w:rFonts w:ascii="Sylfaen" w:hAnsi="Sylfaen"/>
          <w:b/>
          <w:spacing w:val="-4"/>
          <w:sz w:val="24"/>
          <w:szCs w:val="24"/>
        </w:rPr>
        <w:t>փված միավորների միատարրությունը</w:t>
      </w:r>
      <w:r w:rsidRPr="00D95643">
        <w:rPr>
          <w:rFonts w:ascii="Sylfaen" w:hAnsi="Sylfaen"/>
          <w:b/>
          <w:spacing w:val="-4"/>
          <w:sz w:val="24"/>
          <w:szCs w:val="24"/>
        </w:rPr>
        <w:t xml:space="preserve"> </w:t>
      </w:r>
      <w:r w:rsidRPr="00D95643">
        <w:rPr>
          <w:rFonts w:ascii="Sylfaen" w:hAnsi="Sylfaen"/>
          <w:spacing w:val="-4"/>
          <w:sz w:val="24"/>
          <w:szCs w:val="24"/>
        </w:rPr>
        <w:t xml:space="preserve">Փորձարկումն անցկացնում են միադեղաչափ փաթեթվածքներով դեղակախույթների համար՝ բացառությամբ արտաքին եւ տեղային կիրառման համար նախատեսված դեղակախույթների՝ </w:t>
      </w:r>
      <w:r w:rsidRPr="00D95643">
        <w:rPr>
          <w:rFonts w:ascii="Sylfaen" w:hAnsi="Sylfaen"/>
          <w:i/>
          <w:spacing w:val="-4"/>
          <w:sz w:val="24"/>
          <w:szCs w:val="24"/>
        </w:rPr>
        <w:t>2.1.9.14. Դեղաչափված</w:t>
      </w:r>
      <w:r w:rsidRPr="00D95643">
        <w:rPr>
          <w:rFonts w:ascii="Sylfaen" w:hAnsi="Sylfaen"/>
          <w:i/>
          <w:sz w:val="24"/>
          <w:szCs w:val="24"/>
        </w:rPr>
        <w:t xml:space="preserve"> միավորների միատարրություն </w:t>
      </w:r>
      <w:r w:rsidRPr="00D95643">
        <w:rPr>
          <w:rFonts w:ascii="Sylfaen" w:hAnsi="Sylfaen"/>
          <w:sz w:val="24"/>
          <w:szCs w:val="24"/>
        </w:rPr>
        <w:t>ընդհանուր դեղագրքային հոդվածին համապատասխան։</w:t>
      </w:r>
      <w:r w:rsidRPr="00D95643">
        <w:rPr>
          <w:rFonts w:ascii="Sylfaen" w:hAnsi="Sylfaen"/>
          <w:i/>
          <w:sz w:val="24"/>
          <w:szCs w:val="24"/>
        </w:rPr>
        <w:t xml:space="preserve"> </w:t>
      </w:r>
    </w:p>
    <w:p w14:paraId="3ECD68DE" w14:textId="77777777" w:rsidR="003A4194" w:rsidRPr="00D95643" w:rsidRDefault="003A4194" w:rsidP="003A4194">
      <w:pPr>
        <w:pStyle w:val="a0"/>
        <w:shd w:val="clear" w:color="auto" w:fill="auto"/>
        <w:spacing w:after="160" w:line="346" w:lineRule="auto"/>
        <w:ind w:firstLine="567"/>
        <w:jc w:val="both"/>
        <w:rPr>
          <w:rFonts w:ascii="Sylfaen" w:hAnsi="Sylfaen" w:cs="Sylfaen"/>
          <w:sz w:val="24"/>
          <w:szCs w:val="24"/>
        </w:rPr>
      </w:pPr>
      <w:r w:rsidRPr="00D95643">
        <w:rPr>
          <w:rFonts w:ascii="Sylfaen" w:hAnsi="Sylfaen"/>
          <w:b/>
          <w:sz w:val="24"/>
          <w:szCs w:val="24"/>
        </w:rPr>
        <w:t xml:space="preserve">Դեղաչափերի զանգվածի միատարրությունը. </w:t>
      </w:r>
      <w:r w:rsidRPr="00D95643">
        <w:rPr>
          <w:rFonts w:ascii="Sylfaen" w:hAnsi="Sylfaen"/>
          <w:sz w:val="24"/>
          <w:szCs w:val="24"/>
        </w:rPr>
        <w:t xml:space="preserve">Փորձարկումն անցկացնում են բազմադեղաչափ փաթեթվածքներով՝ ներքին ընդունման համար նախատեսված դեղակախույթների համար՝ </w:t>
      </w:r>
      <w:r w:rsidRPr="00D95643">
        <w:rPr>
          <w:rFonts w:ascii="Sylfaen" w:hAnsi="Sylfaen"/>
          <w:i/>
          <w:sz w:val="24"/>
          <w:szCs w:val="24"/>
        </w:rPr>
        <w:t xml:space="preserve">2.1.9.12. Բազմադեղաչափ փաթեթվածքից չափված դեղաչափերի զանգվածի միատարրություն </w:t>
      </w:r>
      <w:r w:rsidRPr="00D95643">
        <w:rPr>
          <w:rFonts w:ascii="Sylfaen" w:hAnsi="Sylfaen"/>
          <w:sz w:val="24"/>
          <w:szCs w:val="24"/>
        </w:rPr>
        <w:t>ընդհանուր դեղագրքային հոդվածին համապատասխան։</w:t>
      </w:r>
    </w:p>
    <w:p w14:paraId="693CEB48"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b/>
          <w:sz w:val="24"/>
          <w:szCs w:val="24"/>
        </w:rPr>
        <w:lastRenderedPageBreak/>
        <w:t xml:space="preserve">Արտազատվող ծավալը. </w:t>
      </w:r>
      <w:r w:rsidRPr="00D95643">
        <w:rPr>
          <w:rFonts w:ascii="Sylfaen" w:hAnsi="Sylfaen"/>
          <w:sz w:val="24"/>
          <w:szCs w:val="24"/>
        </w:rPr>
        <w:t xml:space="preserve">Փորձարկումն անցկացնում են ներքին ընդունման համար նախատեսված դեղակախույթների համար՝ </w:t>
      </w:r>
      <w:r w:rsidRPr="00D95643">
        <w:rPr>
          <w:rFonts w:ascii="Sylfaen" w:hAnsi="Sylfaen"/>
          <w:i/>
          <w:sz w:val="24"/>
          <w:szCs w:val="24"/>
        </w:rPr>
        <w:t xml:space="preserve">2.1.9.16. </w:t>
      </w:r>
      <w:r w:rsidRPr="00D95643">
        <w:rPr>
          <w:rFonts w:ascii="Sylfaen" w:hAnsi="Sylfaen"/>
          <w:sz w:val="24"/>
          <w:szCs w:val="24"/>
        </w:rPr>
        <w:t>ընդհանուր դեղագրքային հոդվածին համապատասխան։</w:t>
      </w:r>
    </w:p>
    <w:p w14:paraId="611B12CE" w14:textId="77777777" w:rsidR="003A4194" w:rsidRPr="00D95643" w:rsidRDefault="003A4194" w:rsidP="003A4194">
      <w:pPr>
        <w:pStyle w:val="a0"/>
        <w:shd w:val="clear" w:color="auto" w:fill="auto"/>
        <w:spacing w:after="160" w:line="360" w:lineRule="auto"/>
        <w:ind w:firstLine="567"/>
        <w:jc w:val="both"/>
        <w:rPr>
          <w:rFonts w:ascii="Sylfaen" w:hAnsi="Sylfaen" w:cs="Sylfaen"/>
          <w:sz w:val="24"/>
          <w:szCs w:val="24"/>
        </w:rPr>
      </w:pPr>
      <w:r w:rsidRPr="00D95643">
        <w:rPr>
          <w:rFonts w:ascii="Sylfaen" w:hAnsi="Sylfaen"/>
          <w:sz w:val="24"/>
          <w:szCs w:val="24"/>
        </w:rPr>
        <w:t xml:space="preserve">Փորձարկումը չեն կիրառում միադեղաչափ փաթեթվածքներով դեղակախույթների համար, եթե անցկացնում են փորձարկում՝ ըստ </w:t>
      </w:r>
      <w:r w:rsidRPr="00D95643">
        <w:rPr>
          <w:rFonts w:ascii="Sylfaen" w:hAnsi="Sylfaen"/>
          <w:i/>
          <w:sz w:val="24"/>
          <w:szCs w:val="24"/>
        </w:rPr>
        <w:t>Դեղաչափված միավորների միատարրությունը</w:t>
      </w:r>
      <w:r w:rsidRPr="00D95643">
        <w:rPr>
          <w:rFonts w:ascii="Sylfaen" w:hAnsi="Sylfaen"/>
          <w:sz w:val="24"/>
          <w:szCs w:val="24"/>
        </w:rPr>
        <w:t xml:space="preserve"> ցուցանիշի։</w:t>
      </w:r>
    </w:p>
    <w:p w14:paraId="66AD4705" w14:textId="77777777" w:rsidR="0035054F" w:rsidRPr="0035054F" w:rsidRDefault="003A4194" w:rsidP="003A4194">
      <w:pPr>
        <w:spacing w:after="160" w:line="360" w:lineRule="auto"/>
        <w:ind w:firstLine="567"/>
        <w:jc w:val="both"/>
        <w:rPr>
          <w:i/>
        </w:rPr>
      </w:pPr>
      <w:r w:rsidRPr="00D95643">
        <w:rPr>
          <w:b/>
        </w:rPr>
        <w:t xml:space="preserve">Փաթեթվածքի պարունակության զանգվածը (ծավալը) </w:t>
      </w:r>
      <w:r w:rsidRPr="00D95643">
        <w:t xml:space="preserve">Փորձարկումն անցկացնում են բոլոր </w:t>
      </w:r>
      <w:r w:rsidRPr="0035054F">
        <w:t xml:space="preserve">դեղակախույթների համար՝ բացառությամբ ներքին ընդունման համար նախատեսված դեղակախույթների՝ </w:t>
      </w:r>
      <w:r w:rsidRPr="0035054F">
        <w:rPr>
          <w:i/>
        </w:rPr>
        <w:t xml:space="preserve">2.1.9.17. Փաթեթվածքի պարունակության զանգվածը (ծավալը) </w:t>
      </w:r>
      <w:r w:rsidRPr="0035054F">
        <w:t>ընդհանուր դեղագրքային հոդվածին համապատասխան։</w:t>
      </w:r>
      <w:r w:rsidRPr="0035054F">
        <w:rPr>
          <w:i/>
        </w:rPr>
        <w:t xml:space="preserve"> </w:t>
      </w:r>
    </w:p>
    <w:p w14:paraId="208A7105" w14:textId="77777777" w:rsidR="0035054F" w:rsidRPr="0035054F" w:rsidRDefault="0035054F" w:rsidP="0035054F">
      <w:pPr>
        <w:spacing w:after="160" w:line="360" w:lineRule="auto"/>
      </w:pPr>
    </w:p>
    <w:p w14:paraId="7A1E9D5C" w14:textId="77777777" w:rsidR="0035054F" w:rsidRPr="0035054F" w:rsidRDefault="0035054F" w:rsidP="0035054F">
      <w:pPr>
        <w:spacing w:after="160" w:line="360" w:lineRule="auto"/>
        <w:jc w:val="right"/>
        <w:rPr>
          <w:b/>
          <w:sz w:val="20"/>
        </w:rPr>
      </w:pPr>
      <w:r w:rsidRPr="0035054F">
        <w:rPr>
          <w:b/>
          <w:sz w:val="20"/>
        </w:rPr>
        <w:t>205010034-2022</w:t>
      </w:r>
    </w:p>
    <w:p w14:paraId="0387DCBE" w14:textId="77777777" w:rsidR="0035054F" w:rsidRPr="0035054F" w:rsidRDefault="0035054F" w:rsidP="0035054F">
      <w:pPr>
        <w:spacing w:after="160" w:line="360" w:lineRule="auto"/>
        <w:jc w:val="right"/>
        <w:rPr>
          <w:b/>
          <w:sz w:val="20"/>
        </w:rPr>
      </w:pPr>
    </w:p>
    <w:p w14:paraId="0E2C247E" w14:textId="77777777" w:rsidR="0035054F" w:rsidRPr="0035054F" w:rsidRDefault="0035054F" w:rsidP="0035054F">
      <w:pPr>
        <w:tabs>
          <w:tab w:val="left" w:pos="1701"/>
        </w:tabs>
        <w:spacing w:after="160" w:line="360" w:lineRule="auto"/>
        <w:ind w:firstLine="567"/>
        <w:rPr>
          <w:b/>
        </w:rPr>
      </w:pPr>
      <w:r w:rsidRPr="0035054F">
        <w:rPr>
          <w:b/>
        </w:rPr>
        <w:t>2.5.1.34.</w:t>
      </w:r>
      <w:r>
        <w:rPr>
          <w:b/>
        </w:rPr>
        <w:tab/>
      </w:r>
      <w:r w:rsidRPr="0035054F">
        <w:rPr>
          <w:b/>
        </w:rPr>
        <w:t>Դեղահաբերը</w:t>
      </w:r>
    </w:p>
    <w:p w14:paraId="4E80A37B" w14:textId="77777777" w:rsidR="0035054F" w:rsidRPr="00E345B2" w:rsidRDefault="0035054F" w:rsidP="0035054F">
      <w:pPr>
        <w:spacing w:after="160" w:line="360" w:lineRule="auto"/>
        <w:ind w:firstLine="567"/>
        <w:jc w:val="both"/>
      </w:pPr>
      <w:r w:rsidRPr="00E345B2">
        <w:t>«Դեղահաբեր»՝ դեղաչափված պինդ դեղաձ</w:t>
      </w:r>
      <w:r>
        <w:t>եւ</w:t>
      </w:r>
      <w:r w:rsidRPr="00E345B2">
        <w:t xml:space="preserve">, որը պարունակում է մեկ կամ մի քանի ազդող նյութ՝ օժանդակ նյութերի ավելացմամբ կամ առանց դրանց, </w:t>
      </w:r>
      <w:r>
        <w:t>եւ</w:t>
      </w:r>
      <w:r w:rsidRPr="00E345B2">
        <w:t xml:space="preserve"> որն ստացվում է փոշիների կամ հատիկների մամլման միջոցով կամ համապատասխան այլ եղանակով։</w:t>
      </w:r>
    </w:p>
    <w:p w14:paraId="380C77E1" w14:textId="77777777" w:rsidR="0035054F" w:rsidRPr="00E345B2" w:rsidRDefault="0035054F" w:rsidP="0035054F">
      <w:pPr>
        <w:spacing w:after="160" w:line="360" w:lineRule="auto"/>
        <w:ind w:firstLine="567"/>
        <w:jc w:val="both"/>
      </w:pPr>
      <w:r w:rsidRPr="00E345B2">
        <w:t>Դեղահաբերը սովորաբար ուղիղ ձ</w:t>
      </w:r>
      <w:r>
        <w:t>եւ</w:t>
      </w:r>
      <w:r w:rsidRPr="00E345B2">
        <w:t xml:space="preserve"> ունեցող, կլոր գլաններ են՝ հարթ կամ երկկողմանի ուռուցիկ վերին </w:t>
      </w:r>
      <w:r>
        <w:t>եւ</w:t>
      </w:r>
      <w:r w:rsidRPr="00E345B2">
        <w:t xml:space="preserve"> ստորին մակեր</w:t>
      </w:r>
      <w:r>
        <w:t>եւ</w:t>
      </w:r>
      <w:r w:rsidRPr="00E345B2">
        <w:t>ույթով, ամբողջական եզրերով։ Դեղահաբերը կարող են ունենալ նա</w:t>
      </w:r>
      <w:r>
        <w:t>եւ</w:t>
      </w:r>
      <w:r w:rsidRPr="00E345B2">
        <w:t xml:space="preserve"> այլ ձ</w:t>
      </w:r>
      <w:r>
        <w:t>եւ</w:t>
      </w:r>
      <w:r w:rsidRPr="00E345B2">
        <w:t>, օրինակ՝ օվալաձ</w:t>
      </w:r>
      <w:r>
        <w:t>եւ</w:t>
      </w:r>
      <w:r w:rsidRPr="00E345B2">
        <w:t xml:space="preserve">, բազմանկյուն </w:t>
      </w:r>
      <w:r>
        <w:t>եւ</w:t>
      </w:r>
      <w:r w:rsidRPr="00E345B2">
        <w:t xml:space="preserve"> այլն։ Հնարավոր է եզրահատքի առկայություն։</w:t>
      </w:r>
    </w:p>
    <w:p w14:paraId="515FD68B" w14:textId="77777777" w:rsidR="0035054F" w:rsidRPr="00E345B2" w:rsidRDefault="0035054F" w:rsidP="0035054F">
      <w:pPr>
        <w:spacing w:after="160" w:line="360" w:lineRule="auto"/>
        <w:ind w:firstLine="567"/>
        <w:jc w:val="both"/>
      </w:pPr>
      <w:r w:rsidRPr="00E345B2">
        <w:t xml:space="preserve">Թաղանթի առկայությամբ, ազդող նյութի ձերբազատման արագությամբ </w:t>
      </w:r>
      <w:r>
        <w:t>եւ</w:t>
      </w:r>
      <w:r w:rsidRPr="00E345B2">
        <w:t xml:space="preserve"> բնույթով, դեղահաբերի ստացման եղանակով, դրանց կիրառության եղանակով </w:t>
      </w:r>
      <w:r>
        <w:t>եւ</w:t>
      </w:r>
      <w:r w:rsidRPr="00E345B2">
        <w:t xml:space="preserve"> ներմուծման ուղով սահմանվում են դեղահաբերի՝ դասակարգման սկզբունքով խմբերի բաժանումը։</w:t>
      </w:r>
    </w:p>
    <w:p w14:paraId="64B66A3C" w14:textId="77777777" w:rsidR="0035054F" w:rsidRPr="00E345B2" w:rsidRDefault="0035054F" w:rsidP="0035054F">
      <w:pPr>
        <w:spacing w:after="160" w:line="360" w:lineRule="auto"/>
        <w:ind w:firstLine="567"/>
        <w:jc w:val="both"/>
      </w:pPr>
      <w:r w:rsidRPr="00E345B2">
        <w:lastRenderedPageBreak/>
        <w:t xml:space="preserve">Տարբերակում են առանց թաղանթի դեղահաբեր (դեղահաբեր) </w:t>
      </w:r>
      <w:r>
        <w:t>եւ</w:t>
      </w:r>
      <w:r w:rsidRPr="00E345B2">
        <w:t xml:space="preserve"> թաղանթապատ դեղահաբեր։</w:t>
      </w:r>
    </w:p>
    <w:p w14:paraId="45167489" w14:textId="77777777" w:rsidR="0035054F" w:rsidRPr="00E345B2" w:rsidRDefault="0035054F" w:rsidP="0035054F">
      <w:pPr>
        <w:spacing w:after="160" w:line="360" w:lineRule="auto"/>
        <w:ind w:firstLine="567"/>
        <w:jc w:val="both"/>
      </w:pPr>
      <w:r w:rsidRPr="00E345B2">
        <w:t>Առանց թաղանթի դեղահաբեր (դեղահաբեր)՝ միաշերտ դեղահաբեր, որոնք ստացվել են մասնիկների մեկանգամյա մամլմամբ, կամ բազմաշերտ դեղահաբեր, որոնք կազմված են համակենտրոն կամ զուգահեռ շերտերից, ստացվել են տարբեր բաղադրության մասնիկների հետագա մամլմամբ։ Օգտագործող օժանդակ նյութերը հատուկ նախատեսված չեն ազդող նյութի՝ աղեստամոքսային տրակտում ազատման համար։ Խոշորացույցի տակ դիտելիս բեկման տեղում տեսանելի են այս կամ այն հարաբերականորեն միատարր կառուցվածք (միաշերտ դեղահաբեր) կամ շերտային կառուցվածք (բազմաշերտ դեղահաբեր), սակայն ոչ թաղանթի նշաններ։</w:t>
      </w:r>
    </w:p>
    <w:p w14:paraId="09818576" w14:textId="77777777" w:rsidR="0035054F" w:rsidRPr="00E345B2" w:rsidRDefault="0035054F" w:rsidP="0035054F">
      <w:pPr>
        <w:spacing w:after="160" w:line="360" w:lineRule="auto"/>
        <w:ind w:firstLine="567"/>
        <w:jc w:val="both"/>
      </w:pPr>
      <w:r w:rsidRPr="00E345B2">
        <w:t xml:space="preserve">Թաղանթապատ դեղահաբեր՝ դեղահաբեր, որոնք պատված են տարբեր նյութերի խառնուրդի մեկ կամ մի քանի շերտերով, նախատեսված են ներքին ընդունման համար։ Բաղադրությամբ </w:t>
      </w:r>
      <w:r>
        <w:t>եւ</w:t>
      </w:r>
      <w:r w:rsidRPr="00E345B2">
        <w:t xml:space="preserve"> քսելու եղանակով պայմանավորված՝ տարբերակում են քաղցրապատված, թաղանթային </w:t>
      </w:r>
      <w:r>
        <w:t>եւ</w:t>
      </w:r>
      <w:r w:rsidRPr="00E345B2">
        <w:t xml:space="preserve"> մամլված ծածկույթներ։ Խոշորացույցի տակ դիտելիս բեկման տեղում տեսանելի է միջուկը, որը շրջապատված է տարբեր կառուցվածք ունեցող մեկ կամ մի քանի համատարած շերտերով։</w:t>
      </w:r>
    </w:p>
    <w:p w14:paraId="48E9C39A" w14:textId="77777777" w:rsidR="0035054F" w:rsidRPr="00E345B2" w:rsidRDefault="0035054F" w:rsidP="0035054F">
      <w:pPr>
        <w:spacing w:after="160" w:line="360" w:lineRule="auto"/>
        <w:ind w:firstLine="567"/>
        <w:jc w:val="both"/>
      </w:pPr>
      <w:r w:rsidRPr="00E345B2">
        <w:t>Եթե թաղանթը մինչ</w:t>
      </w:r>
      <w:r>
        <w:t>եւ</w:t>
      </w:r>
      <w:r w:rsidRPr="00E345B2">
        <w:t xml:space="preserve"> 10 % զանգվածով բարակ պոլիմերային ծածկույթ է, կիրառում են «թաղանթային ծածկույթով պատված դեղահաբեր» եզրույթը։</w:t>
      </w:r>
    </w:p>
    <w:p w14:paraId="4B01CC94" w14:textId="77777777" w:rsidR="0035054F" w:rsidRPr="00E345B2" w:rsidRDefault="0035054F" w:rsidP="0035054F">
      <w:pPr>
        <w:spacing w:after="160" w:line="360" w:lineRule="auto"/>
        <w:ind w:firstLine="567"/>
        <w:jc w:val="both"/>
      </w:pPr>
      <w:r w:rsidRPr="00E345B2">
        <w:t xml:space="preserve">Ըստ ձերբազատման արագության </w:t>
      </w:r>
      <w:r>
        <w:t>եւ</w:t>
      </w:r>
      <w:r w:rsidRPr="00E345B2">
        <w:t xml:space="preserve"> բնույթի՝ տարանջատում են սովորական </w:t>
      </w:r>
      <w:r>
        <w:t>եւ</w:t>
      </w:r>
      <w:r w:rsidRPr="00E345B2">
        <w:t xml:space="preserve"> ձ</w:t>
      </w:r>
      <w:r>
        <w:t>եւ</w:t>
      </w:r>
      <w:r w:rsidRPr="00E345B2">
        <w:t>ափոխված ձերբազատմամբ դեղահաբեր։</w:t>
      </w:r>
    </w:p>
    <w:p w14:paraId="1F12173E" w14:textId="77777777" w:rsidR="0035054F" w:rsidRPr="00E345B2" w:rsidRDefault="0035054F" w:rsidP="0035054F">
      <w:pPr>
        <w:spacing w:after="160" w:line="360" w:lineRule="auto"/>
        <w:ind w:firstLine="567"/>
        <w:jc w:val="both"/>
      </w:pPr>
      <w:r w:rsidRPr="00E345B2">
        <w:t>Թաղանթը կարող է լինել պաշտպանիչ կամ ապահովել դեղահաբի քայքայումն աղեստամոքսային տրակտի որոշակի հատվածում կամ կարգավորել ազդող նյութերի ձերբազատման ժամանակը։</w:t>
      </w:r>
    </w:p>
    <w:p w14:paraId="14127852" w14:textId="77777777" w:rsidR="0035054F" w:rsidRPr="00E345B2" w:rsidRDefault="0035054F" w:rsidP="0035054F">
      <w:pPr>
        <w:spacing w:after="160" w:line="360" w:lineRule="auto"/>
        <w:ind w:firstLine="567"/>
        <w:jc w:val="both"/>
      </w:pPr>
      <w:r w:rsidRPr="0035054F">
        <w:rPr>
          <w:spacing w:val="-6"/>
        </w:rPr>
        <w:t>Աղելույծ դեղահաբեր՝ հետաձգված (ուշացած) ձերբազատմամբ դեղահաբեր, որոնք կայուն են ստամոքսահյութի ազդեցության նկատմամբ (գաստրոռեզիստենտ են) եւ ազդող</w:t>
      </w:r>
      <w:r w:rsidRPr="00E345B2">
        <w:t xml:space="preserve"> նյութը (նյութերը) ձերբազատում են ստամոքսահյութի մեջ։</w:t>
      </w:r>
    </w:p>
    <w:p w14:paraId="239EB09E" w14:textId="77777777" w:rsidR="0035054F" w:rsidRPr="00E345B2" w:rsidRDefault="0035054F" w:rsidP="0035054F">
      <w:pPr>
        <w:spacing w:after="160" w:line="360" w:lineRule="auto"/>
        <w:ind w:firstLine="567"/>
        <w:jc w:val="both"/>
      </w:pPr>
      <w:r w:rsidRPr="00E345B2">
        <w:lastRenderedPageBreak/>
        <w:t>Ձ</w:t>
      </w:r>
      <w:r>
        <w:t>եւ</w:t>
      </w:r>
      <w:r w:rsidRPr="00E345B2">
        <w:t xml:space="preserve">ափոխված ձերբազատմամբ դեղահաբեր՝ թաղանթապատ </w:t>
      </w:r>
      <w:r>
        <w:t>եւ</w:t>
      </w:r>
      <w:r w:rsidRPr="00E345B2">
        <w:t xml:space="preserve"> առանց թաղանթի դեղահաբեր, որոնք պարունակում են հատուկ օժանդակ նյութեր </w:t>
      </w:r>
      <w:r>
        <w:t>եւ</w:t>
      </w:r>
      <w:r w:rsidRPr="00E345B2">
        <w:t xml:space="preserve"> (կամ) ստացվել են հատուկ տեխնոլոգիայով, ինչը թույլ է տալիս կարգավորել ազդող նյութի ձերբազատման արագությունը </w:t>
      </w:r>
      <w:r>
        <w:t>եւ</w:t>
      </w:r>
      <w:r w:rsidRPr="00E345B2">
        <w:t xml:space="preserve"> (կամ) ժամանակը </w:t>
      </w:r>
      <w:r>
        <w:t>եւ</w:t>
      </w:r>
      <w:r w:rsidRPr="00E345B2">
        <w:t xml:space="preserve"> (կամ) տեղը։</w:t>
      </w:r>
    </w:p>
    <w:p w14:paraId="19EA542C" w14:textId="77777777" w:rsidR="0035054F" w:rsidRPr="00E345B2" w:rsidRDefault="0035054F" w:rsidP="0035054F">
      <w:pPr>
        <w:spacing w:after="160" w:line="360" w:lineRule="auto"/>
        <w:ind w:firstLine="567"/>
        <w:jc w:val="both"/>
      </w:pPr>
      <w:r w:rsidRPr="00E345B2">
        <w:t>Ձ</w:t>
      </w:r>
      <w:r>
        <w:t>եւ</w:t>
      </w:r>
      <w:r w:rsidRPr="00E345B2">
        <w:t xml:space="preserve">ափոխված (ոչ ստանդարտ) ձերբազատումը կարող է լինել երկարաձգված (դանդաղեցված անընդհատ), հետաձգված (ուշացած), պարբերական (ընդհատվող) </w:t>
      </w:r>
      <w:r>
        <w:t>եւ</w:t>
      </w:r>
      <w:r w:rsidRPr="00E345B2">
        <w:t xml:space="preserve"> արագացված։</w:t>
      </w:r>
    </w:p>
    <w:p w14:paraId="4DABED5B" w14:textId="77777777" w:rsidR="0035054F" w:rsidRPr="00E345B2" w:rsidRDefault="0035054F" w:rsidP="0035054F">
      <w:pPr>
        <w:spacing w:after="160" w:line="360" w:lineRule="auto"/>
        <w:ind w:firstLine="567"/>
        <w:jc w:val="both"/>
      </w:pPr>
      <w:r w:rsidRPr="00E345B2">
        <w:t>Երկարաձգված ձերբազատմամբ դեղահաբեր՝ թաղանթապատ կամ առանց թաղանթի դեղահաբեր, որոնք պարունակում են հատուկ օժանդակ նյութեր կամ ստացվել են հատուկ տեխնոլոգիայով, ինչը թույլ է տալիս ապահովել ազդող նյութերի դանդաղեցված անընդհատ ձերբազատումը։ Ձերբազատման երկարաձգումը կարող է ապահովվել հետ</w:t>
      </w:r>
      <w:r>
        <w:t>եւ</w:t>
      </w:r>
      <w:r w:rsidRPr="00E345B2">
        <w:t>յալի կիրառման դեպքում.</w:t>
      </w:r>
    </w:p>
    <w:p w14:paraId="57BD9FF0" w14:textId="77777777" w:rsidR="0035054F" w:rsidRPr="00E345B2" w:rsidRDefault="0035054F" w:rsidP="0035054F">
      <w:pPr>
        <w:tabs>
          <w:tab w:val="left" w:pos="1134"/>
        </w:tabs>
        <w:spacing w:after="160" w:line="360" w:lineRule="auto"/>
        <w:ind w:firstLine="567"/>
        <w:jc w:val="both"/>
      </w:pPr>
      <w:r w:rsidRPr="00E345B2">
        <w:t>-</w:t>
      </w:r>
      <w:r>
        <w:tab/>
      </w:r>
      <w:r w:rsidRPr="00E345B2">
        <w:t>դեղահաբերի հատուկ ծածկույթ.</w:t>
      </w:r>
    </w:p>
    <w:p w14:paraId="20AD98E6" w14:textId="77777777" w:rsidR="0035054F" w:rsidRPr="00E345B2" w:rsidRDefault="0035054F" w:rsidP="0035054F">
      <w:pPr>
        <w:tabs>
          <w:tab w:val="left" w:pos="1134"/>
        </w:tabs>
        <w:spacing w:after="160" w:line="360" w:lineRule="auto"/>
        <w:ind w:firstLine="567"/>
        <w:jc w:val="both"/>
      </w:pPr>
      <w:r w:rsidRPr="00E345B2">
        <w:t>-</w:t>
      </w:r>
      <w:r>
        <w:tab/>
      </w:r>
      <w:r w:rsidRPr="00E345B2">
        <w:t>բազմաշերտ դեղահաբերի ստեղծման տեխնոլոգիա.</w:t>
      </w:r>
    </w:p>
    <w:p w14:paraId="3ECF79CF" w14:textId="77777777" w:rsidR="0035054F" w:rsidRPr="00E345B2" w:rsidRDefault="0035054F" w:rsidP="0035054F">
      <w:pPr>
        <w:tabs>
          <w:tab w:val="left" w:pos="1134"/>
        </w:tabs>
        <w:spacing w:after="160" w:line="360" w:lineRule="auto"/>
        <w:ind w:firstLine="567"/>
        <w:jc w:val="both"/>
      </w:pPr>
      <w:r w:rsidRPr="00E345B2">
        <w:t>-</w:t>
      </w:r>
      <w:r>
        <w:tab/>
      </w:r>
      <w:r w:rsidRPr="00E345B2">
        <w:t xml:space="preserve">անլուծելի պատյանով դեղահաբերի ստեղծման տեխնոլոգիա. </w:t>
      </w:r>
    </w:p>
    <w:p w14:paraId="3880D444" w14:textId="77777777" w:rsidR="0035054F" w:rsidRPr="00E345B2" w:rsidRDefault="0035054F" w:rsidP="0035054F">
      <w:pPr>
        <w:tabs>
          <w:tab w:val="left" w:pos="1134"/>
        </w:tabs>
        <w:spacing w:after="160" w:line="360" w:lineRule="auto"/>
        <w:ind w:firstLine="567"/>
        <w:jc w:val="both"/>
      </w:pPr>
      <w:r w:rsidRPr="00E345B2">
        <w:t>-</w:t>
      </w:r>
      <w:r>
        <w:tab/>
      </w:r>
      <w:r w:rsidRPr="00E345B2">
        <w:t>իներտ կրողի վրա ազդող նյութերի անշարժացման այլ եղանակներ։</w:t>
      </w:r>
    </w:p>
    <w:p w14:paraId="415BF4EB" w14:textId="77777777" w:rsidR="0035054F" w:rsidRPr="00E345B2" w:rsidRDefault="0035054F" w:rsidP="0035054F">
      <w:pPr>
        <w:spacing w:after="160" w:line="360" w:lineRule="auto"/>
        <w:ind w:firstLine="567"/>
        <w:jc w:val="both"/>
      </w:pPr>
      <w:r w:rsidRPr="00E345B2">
        <w:t>Պարբերական ձերբազատմամբ դեղահաբեր՝ ազդող նյութի պարբերական ձերբազատմամբ դեղահաբեր։</w:t>
      </w:r>
    </w:p>
    <w:p w14:paraId="7FCFA865" w14:textId="77777777" w:rsidR="0035054F" w:rsidRPr="00E345B2" w:rsidRDefault="0035054F" w:rsidP="0035054F">
      <w:pPr>
        <w:spacing w:after="160" w:line="360" w:lineRule="auto"/>
        <w:ind w:firstLine="567"/>
        <w:jc w:val="both"/>
      </w:pPr>
      <w:r w:rsidRPr="00E345B2">
        <w:t xml:space="preserve">Արագացված ազատմամբ դեղահաբեր՝ դեղահաբեր, որոնք պարունակում են հատուկ օժանդակ նյութեր </w:t>
      </w:r>
      <w:r>
        <w:t>եւ</w:t>
      </w:r>
      <w:r w:rsidRPr="00E345B2">
        <w:t xml:space="preserve"> (կամ) ստացվել են հատուկ տեխնոլոգիայով, ինչը թույլ է տալիս ապահովել ազդող նյութի ազատման արագության ավելացումը։</w:t>
      </w:r>
    </w:p>
    <w:p w14:paraId="5C7C2067" w14:textId="77777777" w:rsidR="0035054F" w:rsidRPr="00E345B2" w:rsidRDefault="0035054F" w:rsidP="0035054F">
      <w:pPr>
        <w:spacing w:after="160" w:line="360" w:lineRule="auto"/>
        <w:ind w:firstLine="567"/>
        <w:jc w:val="both"/>
      </w:pPr>
      <w:r w:rsidRPr="00E345B2">
        <w:t>Ըստ կիրառման եղանակի՝ տարանջատում են՝</w:t>
      </w:r>
    </w:p>
    <w:p w14:paraId="20F3F70C" w14:textId="77777777" w:rsidR="0035054F" w:rsidRPr="00E345B2" w:rsidRDefault="0035054F" w:rsidP="0035054F">
      <w:pPr>
        <w:tabs>
          <w:tab w:val="left" w:pos="1134"/>
        </w:tabs>
        <w:spacing w:after="160" w:line="360" w:lineRule="auto"/>
        <w:ind w:firstLine="567"/>
        <w:jc w:val="both"/>
      </w:pPr>
      <w:r w:rsidRPr="00E345B2">
        <w:t>-</w:t>
      </w:r>
      <w:r>
        <w:tab/>
      </w:r>
      <w:r w:rsidRPr="00E345B2">
        <w:t>դեղահաբեր, որոնք կուլ են տալիս ամբողջությամբ.</w:t>
      </w:r>
    </w:p>
    <w:p w14:paraId="4A5942DA" w14:textId="77777777" w:rsidR="0035054F" w:rsidRDefault="0035054F" w:rsidP="0035054F">
      <w:pPr>
        <w:tabs>
          <w:tab w:val="left" w:pos="1134"/>
        </w:tabs>
        <w:spacing w:after="160" w:line="360" w:lineRule="auto"/>
        <w:ind w:firstLine="567"/>
        <w:jc w:val="both"/>
      </w:pPr>
      <w:r w:rsidRPr="00E345B2">
        <w:t>-</w:t>
      </w:r>
      <w:r>
        <w:tab/>
      </w:r>
      <w:r w:rsidRPr="00E345B2">
        <w:t>ծամելու դեղահաբեր.</w:t>
      </w:r>
    </w:p>
    <w:p w14:paraId="5D668793" w14:textId="77777777" w:rsidR="0035054F" w:rsidRPr="00E345B2" w:rsidRDefault="0035054F" w:rsidP="0035054F">
      <w:pPr>
        <w:tabs>
          <w:tab w:val="left" w:pos="1134"/>
        </w:tabs>
        <w:spacing w:after="160" w:line="360" w:lineRule="auto"/>
        <w:ind w:firstLine="567"/>
        <w:jc w:val="both"/>
      </w:pPr>
    </w:p>
    <w:p w14:paraId="416BFF33" w14:textId="77777777" w:rsidR="0035054F" w:rsidRPr="00E345B2" w:rsidRDefault="0035054F" w:rsidP="0035054F">
      <w:pPr>
        <w:tabs>
          <w:tab w:val="left" w:pos="1134"/>
        </w:tabs>
        <w:spacing w:after="160" w:line="360" w:lineRule="auto"/>
        <w:ind w:firstLine="567"/>
        <w:jc w:val="both"/>
      </w:pPr>
      <w:r w:rsidRPr="00E345B2">
        <w:lastRenderedPageBreak/>
        <w:t>-</w:t>
      </w:r>
      <w:r>
        <w:tab/>
      </w:r>
      <w:r w:rsidRPr="00E345B2">
        <w:t>դեղահաբեր, որոնք օգտագործվում են դրանց հիմքով հեղուկ դեղաձ</w:t>
      </w:r>
      <w:r>
        <w:t>եւ</w:t>
      </w:r>
      <w:r w:rsidRPr="00E345B2">
        <w:t>երի նախնական պատրաստումից հետո։</w:t>
      </w:r>
      <w:r>
        <w:t xml:space="preserve"> </w:t>
      </w:r>
      <w:r w:rsidRPr="00E345B2">
        <w:t>Այս դեպքում տարբերակում են լուծվող, դիսպերսվող, փրփրուն դեղահաբեր.</w:t>
      </w:r>
    </w:p>
    <w:p w14:paraId="672A1779" w14:textId="77777777" w:rsidR="0035054F" w:rsidRPr="00E345B2" w:rsidRDefault="0035054F" w:rsidP="0035054F">
      <w:pPr>
        <w:tabs>
          <w:tab w:val="left" w:pos="1134"/>
        </w:tabs>
        <w:spacing w:after="160" w:line="360" w:lineRule="auto"/>
        <w:ind w:firstLine="567"/>
        <w:jc w:val="both"/>
      </w:pPr>
      <w:r w:rsidRPr="00E345B2">
        <w:t>-</w:t>
      </w:r>
      <w:r>
        <w:tab/>
      </w:r>
      <w:r w:rsidRPr="00E345B2">
        <w:t>բերանի խոռոչում կիրառության համար նախատեսված դեղահաբեր՝ ենթալեզվային (սուբլինգվալ), հարթշային (տրանսբուկալ), ներծծման համար նախատեսված դեղահաբեր.</w:t>
      </w:r>
    </w:p>
    <w:p w14:paraId="54D375E4" w14:textId="77777777" w:rsidR="0035054F" w:rsidRPr="00E345B2" w:rsidRDefault="0035054F" w:rsidP="0035054F">
      <w:pPr>
        <w:tabs>
          <w:tab w:val="left" w:pos="1134"/>
        </w:tabs>
        <w:spacing w:after="160" w:line="360" w:lineRule="auto"/>
        <w:ind w:firstLine="567"/>
        <w:jc w:val="both"/>
      </w:pPr>
      <w:r w:rsidRPr="00E345B2">
        <w:t>-</w:t>
      </w:r>
      <w:r>
        <w:tab/>
      </w:r>
      <w:r w:rsidRPr="00E345B2">
        <w:t>բերանի խոռոչում դիսպերսվող դեղահաբեր.</w:t>
      </w:r>
    </w:p>
    <w:p w14:paraId="4F5E8C1C" w14:textId="77777777" w:rsidR="0035054F" w:rsidRPr="00E345B2" w:rsidRDefault="0035054F" w:rsidP="0035054F">
      <w:pPr>
        <w:tabs>
          <w:tab w:val="left" w:pos="1134"/>
        </w:tabs>
        <w:spacing w:after="160" w:line="360" w:lineRule="auto"/>
        <w:ind w:firstLine="567"/>
        <w:jc w:val="both"/>
      </w:pPr>
      <w:r w:rsidRPr="00E345B2">
        <w:t>-</w:t>
      </w:r>
      <w:r>
        <w:tab/>
      </w:r>
      <w:r w:rsidRPr="00E345B2">
        <w:t>ներպատվաստման համար նախատեսված դեղահաբեր.</w:t>
      </w:r>
    </w:p>
    <w:p w14:paraId="7931F7AB" w14:textId="77777777" w:rsidR="0035054F" w:rsidRPr="00E345B2" w:rsidRDefault="0035054F" w:rsidP="0035054F">
      <w:pPr>
        <w:tabs>
          <w:tab w:val="left" w:pos="1134"/>
        </w:tabs>
        <w:spacing w:after="160" w:line="360" w:lineRule="auto"/>
        <w:ind w:firstLine="567"/>
        <w:jc w:val="both"/>
      </w:pPr>
      <w:r w:rsidRPr="00E345B2">
        <w:t>-</w:t>
      </w:r>
      <w:r>
        <w:tab/>
      </w:r>
      <w:r w:rsidRPr="00E345B2">
        <w:t>ինհալացիաների համար նախատեսված դեղահաբեր.</w:t>
      </w:r>
    </w:p>
    <w:p w14:paraId="0CF751BC" w14:textId="77777777" w:rsidR="0035054F" w:rsidRPr="00E345B2" w:rsidRDefault="0035054F" w:rsidP="0035054F">
      <w:pPr>
        <w:tabs>
          <w:tab w:val="left" w:pos="1134"/>
        </w:tabs>
        <w:spacing w:after="160" w:line="360" w:lineRule="auto"/>
        <w:ind w:firstLine="567"/>
        <w:jc w:val="both"/>
      </w:pPr>
      <w:r w:rsidRPr="00E345B2">
        <w:t>-</w:t>
      </w:r>
      <w:r>
        <w:tab/>
      </w:r>
      <w:r w:rsidRPr="00E345B2">
        <w:t>հեշտոցային դեղահաբեր.</w:t>
      </w:r>
    </w:p>
    <w:p w14:paraId="07076175" w14:textId="77777777" w:rsidR="0035054F" w:rsidRPr="00E345B2" w:rsidRDefault="0035054F" w:rsidP="0035054F">
      <w:pPr>
        <w:tabs>
          <w:tab w:val="left" w:pos="1134"/>
        </w:tabs>
        <w:spacing w:after="160" w:line="360" w:lineRule="auto"/>
        <w:ind w:firstLine="567"/>
        <w:jc w:val="both"/>
      </w:pPr>
      <w:r w:rsidRPr="00E345B2">
        <w:t>-</w:t>
      </w:r>
      <w:r>
        <w:tab/>
      </w:r>
      <w:r w:rsidRPr="00E345B2">
        <w:t>լիոֆիլիզատ դեղահաբեր։</w:t>
      </w:r>
    </w:p>
    <w:p w14:paraId="413275E8" w14:textId="77777777" w:rsidR="0035054F" w:rsidRPr="00E345B2" w:rsidRDefault="0035054F" w:rsidP="0035054F">
      <w:pPr>
        <w:tabs>
          <w:tab w:val="left" w:pos="1134"/>
        </w:tabs>
        <w:spacing w:after="160" w:line="360" w:lineRule="auto"/>
        <w:ind w:firstLine="567"/>
        <w:jc w:val="both"/>
      </w:pPr>
      <w:r w:rsidRPr="00E345B2">
        <w:t>Ծամելու դեղահաբեր՝ դեղահաբեր, որոնք անհրաժեշտ է ծամել կուլ տալուց առաջ։</w:t>
      </w:r>
    </w:p>
    <w:p w14:paraId="47E22C28" w14:textId="77777777" w:rsidR="0035054F" w:rsidRPr="00E345B2" w:rsidRDefault="0035054F" w:rsidP="0035054F">
      <w:pPr>
        <w:tabs>
          <w:tab w:val="left" w:pos="1134"/>
        </w:tabs>
        <w:spacing w:after="160" w:line="360" w:lineRule="auto"/>
        <w:ind w:firstLine="567"/>
        <w:jc w:val="both"/>
      </w:pPr>
      <w:r w:rsidRPr="00E345B2">
        <w:t>Լուծվող դեղահաբեր՝ առանց թաղանթի կամ թաղանթային ծածկույթով պատված դեղահաբեր, որոնք համապատասխան լուծիչի (հիմնականում՝ ջրի) մեջ լուծում են կիրառելուց առաջ. ստացված լուծույթը կարող է լինել թույլ օպալեսցենտող։</w:t>
      </w:r>
    </w:p>
    <w:p w14:paraId="4AC4E36E" w14:textId="77777777" w:rsidR="0035054F" w:rsidRPr="00E345B2" w:rsidRDefault="0035054F" w:rsidP="0035054F">
      <w:pPr>
        <w:tabs>
          <w:tab w:val="left" w:pos="1134"/>
        </w:tabs>
        <w:spacing w:after="160" w:line="360" w:lineRule="auto"/>
        <w:ind w:firstLine="567"/>
        <w:jc w:val="both"/>
      </w:pPr>
      <w:r w:rsidRPr="0035054F">
        <w:rPr>
          <w:spacing w:val="-4"/>
        </w:rPr>
        <w:t>Փրփրուն դեղահաբեր՝ առանց թաղանթի դեղահաբեր, որոնք պարունակում են թթվային եւ հիմնային նյութեր (կարբոնատներ կամ հիդրոկարբոնատներ), որոնք ջրի մեջ արագ ռեակցիայի մեջ են մտնում՝ անջատելով ածխածնի դիօքսիդ. դրանք նախատեսված են կիրառելուց անմիջապես առաջ ջրի մեջ լուծելու կամ դիսպերսելու համար</w:t>
      </w:r>
      <w:r w:rsidRPr="00E345B2">
        <w:t>։</w:t>
      </w:r>
    </w:p>
    <w:p w14:paraId="7E55D830" w14:textId="77777777" w:rsidR="0035054F" w:rsidRDefault="0035054F" w:rsidP="0035054F">
      <w:pPr>
        <w:tabs>
          <w:tab w:val="left" w:pos="1134"/>
        </w:tabs>
        <w:spacing w:after="160" w:line="360" w:lineRule="auto"/>
        <w:ind w:firstLine="567"/>
        <w:jc w:val="both"/>
      </w:pPr>
      <w:r w:rsidRPr="00E345B2">
        <w:t>Դիսպերսվող դեղահաբեր՝ առանց թաղանթի կամ թաղանթային ծածկույթով պատված դեղահաբեր, որոնք համապատասխան լուծիչի (հիմնականում՝ ջրի) մեջ դիսպերսվում են կիրառելուց առաջ՝ կախույթի առաջացմամբ։</w:t>
      </w:r>
    </w:p>
    <w:p w14:paraId="3E53927D" w14:textId="77777777" w:rsidR="0035054F" w:rsidRPr="00E345B2" w:rsidRDefault="0035054F" w:rsidP="0035054F">
      <w:pPr>
        <w:tabs>
          <w:tab w:val="left" w:pos="1134"/>
        </w:tabs>
        <w:spacing w:after="160" w:line="360" w:lineRule="auto"/>
        <w:ind w:firstLine="567"/>
        <w:jc w:val="both"/>
      </w:pPr>
    </w:p>
    <w:p w14:paraId="2727925D" w14:textId="77777777" w:rsidR="0035054F" w:rsidRPr="00E345B2" w:rsidRDefault="0035054F" w:rsidP="0035054F">
      <w:pPr>
        <w:tabs>
          <w:tab w:val="left" w:pos="1134"/>
        </w:tabs>
        <w:spacing w:after="160" w:line="360" w:lineRule="auto"/>
        <w:ind w:firstLine="567"/>
        <w:jc w:val="both"/>
      </w:pPr>
      <w:r w:rsidRPr="00E345B2">
        <w:lastRenderedPageBreak/>
        <w:t>Նա</w:t>
      </w:r>
      <w:r>
        <w:t>եւ</w:t>
      </w:r>
      <w:r w:rsidRPr="00E345B2">
        <w:t xml:space="preserve"> տարբերակում են լուծույթների, կախույթների </w:t>
      </w:r>
      <w:r>
        <w:t>եւ</w:t>
      </w:r>
      <w:r w:rsidRPr="00E345B2">
        <w:t xml:space="preserve"> մածուկների պատրաստման համար նախատեսված դեղահաբեր՝ պարէնտերալ/տեղային/արտաքին կիրառության համար։</w:t>
      </w:r>
    </w:p>
    <w:p w14:paraId="3426C22B" w14:textId="77777777" w:rsidR="0035054F" w:rsidRPr="00E345B2" w:rsidRDefault="0035054F" w:rsidP="0035054F">
      <w:pPr>
        <w:spacing w:after="160" w:line="360" w:lineRule="auto"/>
        <w:ind w:firstLine="567"/>
        <w:jc w:val="both"/>
      </w:pPr>
      <w:r w:rsidRPr="00E345B2">
        <w:t xml:space="preserve">Բերանի խոռոչում կիրառության համար նախատեսված դեղահաբեր՝ սովորաբար առանց թաղանթի դեղահաբեր, որոնք ստացվել են հատուկ տեխնոլոգիայով՝ բերանի խոռոչում ազդող նյութի կամ նյութերի ձերբազատման </w:t>
      </w:r>
      <w:r>
        <w:t>եւ</w:t>
      </w:r>
      <w:r w:rsidRPr="00E345B2">
        <w:t xml:space="preserve"> տեղային կամ համակարգային ազդեցության ապահովման նպատակով (ենթալեզվային, հարթշային, ներծծման համար նախատեսված դեղահաբեր)։</w:t>
      </w:r>
    </w:p>
    <w:p w14:paraId="4DF3B0EE" w14:textId="77777777" w:rsidR="0035054F" w:rsidRPr="00E345B2" w:rsidRDefault="0035054F" w:rsidP="0035054F">
      <w:pPr>
        <w:spacing w:after="160" w:line="360" w:lineRule="auto"/>
        <w:ind w:firstLine="567"/>
        <w:jc w:val="both"/>
      </w:pPr>
      <w:r w:rsidRPr="0035054F">
        <w:rPr>
          <w:spacing w:val="-4"/>
        </w:rPr>
        <w:t>Ենթալեզվային (սուբլինգվալ) դեղահաբեր՝ դեղահաբեր, որոնք տեղադրվում են լեզվի</w:t>
      </w:r>
      <w:r w:rsidRPr="00E345B2">
        <w:t xml:space="preserve"> տակ՝ համակարգային ազդեցություն գործելու նպատակով։</w:t>
      </w:r>
    </w:p>
    <w:p w14:paraId="18D774FA" w14:textId="77777777" w:rsidR="0035054F" w:rsidRPr="00E345B2" w:rsidRDefault="0035054F" w:rsidP="0035054F">
      <w:pPr>
        <w:spacing w:after="160" w:line="360" w:lineRule="auto"/>
        <w:ind w:firstLine="567"/>
        <w:jc w:val="both"/>
      </w:pPr>
      <w:r w:rsidRPr="00E345B2">
        <w:t>Հարթշային (տրանսբուկալ) դեղահաբեր՝ դեղահաբեր, որոնք տեղադրվում են այտի գրպանիկի մեջ՝ համակարգային ազդեցություն գործելու նպատակով։</w:t>
      </w:r>
    </w:p>
    <w:p w14:paraId="1CAF5E7C" w14:textId="77777777" w:rsidR="0035054F" w:rsidRPr="00E345B2" w:rsidRDefault="0035054F" w:rsidP="0035054F">
      <w:pPr>
        <w:spacing w:after="160" w:line="360" w:lineRule="auto"/>
        <w:ind w:firstLine="567"/>
        <w:jc w:val="both"/>
      </w:pPr>
      <w:r w:rsidRPr="00E345B2">
        <w:t>Ներծծման համար նախատեսված դեղահաբեր՝ դեղահաբեր, որոնք տեղադրվում են բերանի խոռոչում հետագա ներծծման համար՝ սովորաբար տեղային ազդեցություն գործելու նպատակով։ Դեղահաբերի բաղադրությամբ ապահովվում է ազդող նյութերի դանդաղ ազատումը։</w:t>
      </w:r>
    </w:p>
    <w:p w14:paraId="0EC86F5A" w14:textId="77777777" w:rsidR="0035054F" w:rsidRPr="00E345B2" w:rsidRDefault="0035054F" w:rsidP="0035054F">
      <w:pPr>
        <w:spacing w:after="160" w:line="360" w:lineRule="auto"/>
        <w:ind w:firstLine="567"/>
        <w:jc w:val="both"/>
      </w:pPr>
      <w:r w:rsidRPr="0035054F">
        <w:rPr>
          <w:spacing w:val="-4"/>
        </w:rPr>
        <w:t>Բերանի խոռոչում դիսպերսվող դեղահաբեր՝ դեղահաբեր, որոնք տեղադրում են բերանի խոռոչում</w:t>
      </w:r>
      <w:r w:rsidRPr="00E345B2">
        <w:t>, որտեղ դրանք արագ դիսպերսվում են մինչ</w:t>
      </w:r>
      <w:r>
        <w:t>եւ</w:t>
      </w:r>
      <w:r w:rsidRPr="00E345B2">
        <w:t xml:space="preserve"> կուլ տալը։</w:t>
      </w:r>
    </w:p>
    <w:p w14:paraId="3A647AEE" w14:textId="77777777" w:rsidR="0035054F" w:rsidRPr="00E345B2" w:rsidRDefault="0035054F" w:rsidP="0035054F">
      <w:pPr>
        <w:spacing w:after="160" w:line="360" w:lineRule="auto"/>
        <w:ind w:firstLine="567"/>
        <w:jc w:val="both"/>
      </w:pPr>
      <w:r w:rsidRPr="00E345B2">
        <w:t>Ներպատվաստման համար նախատեսված դեղահաբեր՝ մանրէազերծ դեղահաբեր, որոնք ստացվում են մամլման միջոցով, նախատեսված են սովորաբար ենթամաշկային ներպատվաստման համար՝ երկարատեւ ժամանակահատվածի ընթացքում տեղային կամ համակարգային ազդեցություն գործելու նպատակով:</w:t>
      </w:r>
    </w:p>
    <w:p w14:paraId="3BCCCEE2" w14:textId="77777777" w:rsidR="0035054F" w:rsidRPr="00E345B2" w:rsidRDefault="0035054F" w:rsidP="0035054F">
      <w:pPr>
        <w:spacing w:after="160" w:line="360" w:lineRule="auto"/>
        <w:ind w:firstLine="567"/>
        <w:jc w:val="both"/>
      </w:pPr>
      <w:r w:rsidRPr="00E345B2">
        <w:t>Ինհալացիաների համար նախատեսված դեղահաբեր՝ դեղահաբեր, որոնք գոլորշիներ են գոյացնում տաք ջրին ավելացնելու դեպքում կամ համապատասխան սարքի (օրինակ՝ ինհալատորի) օգնությամբ, նախատեսված են շնչառման համար՝ տեղային ազդեցություն գործելու նպատակով։</w:t>
      </w:r>
    </w:p>
    <w:p w14:paraId="3B298673" w14:textId="77777777" w:rsidR="0035054F" w:rsidRPr="00E345B2" w:rsidRDefault="0035054F" w:rsidP="0035054F">
      <w:pPr>
        <w:spacing w:after="160" w:line="360" w:lineRule="auto"/>
        <w:ind w:firstLine="567"/>
        <w:jc w:val="both"/>
      </w:pPr>
      <w:r w:rsidRPr="00E345B2">
        <w:lastRenderedPageBreak/>
        <w:t>Հեշտոցային դեղահաբեր՝ առանց թաղանթի կամ թաղանթային ծածկույթով պատված դեղահաբեր, որոնք նախատեսված են հեշտոցային կիրառության համար՝ սովորաբար տեղային ազդեցություն գործելու նպատակով։</w:t>
      </w:r>
    </w:p>
    <w:p w14:paraId="4317B528" w14:textId="77777777" w:rsidR="0035054F" w:rsidRPr="00E345B2" w:rsidRDefault="0035054F" w:rsidP="0035054F">
      <w:pPr>
        <w:spacing w:after="160" w:line="360" w:lineRule="auto"/>
        <w:ind w:firstLine="567"/>
        <w:jc w:val="both"/>
      </w:pPr>
      <w:r w:rsidRPr="0035054F">
        <w:rPr>
          <w:spacing w:val="-4"/>
        </w:rPr>
        <w:t>Լիոֆիլիզատ դեղահաբեր՝ պինդ դեղաձեւ, որն ստացվում է լիոֆիլացման միջոցով, դեղահաբի ձեւ ունեցող ծակոտկեն զանգվածի տեսքով եւ նախատեսված է բերանի</w:t>
      </w:r>
      <w:r w:rsidRPr="00E345B2">
        <w:t xml:space="preserve"> խոռոչում տեղադրելու համար, որտեղ թքի հետ շփվելիս կուլ տալուց առաջ տեղի է ունենում ակտիվ նյութերի արագ ձերբազատում։</w:t>
      </w:r>
    </w:p>
    <w:p w14:paraId="7F8D8F07" w14:textId="77777777" w:rsidR="0035054F" w:rsidRDefault="0035054F" w:rsidP="0035054F">
      <w:pPr>
        <w:spacing w:after="160" w:line="360" w:lineRule="auto"/>
        <w:ind w:firstLine="567"/>
        <w:jc w:val="both"/>
      </w:pPr>
    </w:p>
    <w:p w14:paraId="74B4F507" w14:textId="77777777" w:rsidR="0035054F" w:rsidRPr="0035054F" w:rsidRDefault="0035054F" w:rsidP="0035054F">
      <w:pPr>
        <w:spacing w:after="160" w:line="360" w:lineRule="auto"/>
        <w:ind w:firstLine="567"/>
        <w:jc w:val="both"/>
        <w:rPr>
          <w:b/>
        </w:rPr>
      </w:pPr>
      <w:r w:rsidRPr="0035054F">
        <w:rPr>
          <w:b/>
        </w:rPr>
        <w:t>ՏԵԽՆՈԼՈԳԻԱՅԻ ԱՌԱՆՁՆԱՀԱՏԿՈՒԹՅՈՒՆՆԵՐԸ</w:t>
      </w:r>
    </w:p>
    <w:p w14:paraId="5D29068D" w14:textId="77777777" w:rsidR="0035054F" w:rsidRPr="00E345B2" w:rsidRDefault="0035054F" w:rsidP="0035054F">
      <w:pPr>
        <w:spacing w:after="160" w:line="360" w:lineRule="auto"/>
        <w:ind w:firstLine="567"/>
        <w:jc w:val="both"/>
      </w:pPr>
      <w:r w:rsidRPr="0035054F">
        <w:rPr>
          <w:spacing w:val="-4"/>
        </w:rPr>
        <w:t>Դեղահաբերի արտադրության առավել տարածված մեթոդը մամլման մեթոդն է (ուղղակի մամլում կամ խոնավ կամ չոր հատիկավորման կիրառմամբ մամլում), ավելի հազվադեպ</w:t>
      </w:r>
      <w:r w:rsidRPr="00E345B2">
        <w:t xml:space="preserve"> կիրառվում են կաղապարումը </w:t>
      </w:r>
      <w:r>
        <w:t>եւ</w:t>
      </w:r>
      <w:r w:rsidRPr="00E345B2">
        <w:t xml:space="preserve"> լիոֆիլացումը։ Կաղապարված դեղահաբերն արտադրում են ցածր ճնշման տակ, խոնավացված փոշու զանգվածից՝ հատուկ կաղապարների մեջ դրա՝ տրորելով ներքսման կամ հալեցված զանգվածի կաղապարման միջոցով։ Լիոֆիլիզատ դեղահաբերն արտադրում են ազդող նյութեր պարունակող հեղուկների կամ դոնդողների լիոֆիլացման միջոցով։ Լիոֆիլացման եղանակով ստացված դեղահաբերն արագ </w:t>
      </w:r>
      <w:r w:rsidRPr="0035054F">
        <w:rPr>
          <w:spacing w:val="-4"/>
        </w:rPr>
        <w:t>լուծվում են բերանի խոռոչում տեղադրելու ժամանակ, կամ դրանք ջրի մեջ լուծում են կիրառելուց</w:t>
      </w:r>
      <w:r w:rsidRPr="00E345B2">
        <w:t xml:space="preserve"> առաջ։</w:t>
      </w:r>
    </w:p>
    <w:p w14:paraId="09ED368D" w14:textId="77777777" w:rsidR="0035054F" w:rsidRPr="00E345B2" w:rsidRDefault="0035054F" w:rsidP="0035054F">
      <w:pPr>
        <w:spacing w:after="160" w:line="360" w:lineRule="auto"/>
        <w:ind w:firstLine="567"/>
        <w:jc w:val="both"/>
      </w:pPr>
      <w:r w:rsidRPr="00E345B2">
        <w:t xml:space="preserve">Դեղահաբերի արտադրության տեխնոլոգիայով, դրանց կիրառության </w:t>
      </w:r>
      <w:r w:rsidRPr="0035054F">
        <w:rPr>
          <w:spacing w:val="-6"/>
        </w:rPr>
        <w:t>եղանակով, ազդող նյութերի ֆիզիկաքիմիական հատկություններով, դրանց դոզավորմամբ, ազատման արագությամբ եւ բնույթով պայմանավորված՝ կիրառում են տարբեր</w:t>
      </w:r>
      <w:r w:rsidRPr="00E345B2">
        <w:t xml:space="preserve"> օժանդակ նյութեր՝ դրանց նշանակությանը համապատասխան։</w:t>
      </w:r>
    </w:p>
    <w:p w14:paraId="6C528534" w14:textId="77777777" w:rsidR="0035054F" w:rsidRPr="00E345B2" w:rsidRDefault="0035054F" w:rsidP="0035054F">
      <w:pPr>
        <w:spacing w:after="160" w:line="360" w:lineRule="auto"/>
        <w:ind w:firstLine="567"/>
        <w:jc w:val="both"/>
      </w:pPr>
      <w:r w:rsidRPr="00E345B2">
        <w:t xml:space="preserve">Նոսրացուցիչներն օգտագործում են դեղահաբի անհրաժեշտ զանգվածն ապահովելու համար, եթե դրա բաղադրության մեջ քիչ քանակությամբ ազդող նյութ (կամ նյութեր) կա։ Այդ խմբին են դասվում գլյուկոզը(դեքստրոզը), օսլան, կալցիումի հիդրոֆոսֆատը, կալցիումի կարբոնատը, լակտոզի մոնոհիդրատը, </w:t>
      </w:r>
      <w:r w:rsidRPr="00E345B2">
        <w:lastRenderedPageBreak/>
        <w:t xml:space="preserve">մագնեզիումի կարբոնատը, սորբիտը (սորբիտոլը), միկրոբյուրեղային ցելյուլոզը, մաննիտը (մաննիտոլը) </w:t>
      </w:r>
      <w:r>
        <w:t>եւ</w:t>
      </w:r>
      <w:r w:rsidRPr="00E345B2">
        <w:t xml:space="preserve"> այլ։</w:t>
      </w:r>
    </w:p>
    <w:p w14:paraId="34CD0EC2" w14:textId="77777777" w:rsidR="0035054F" w:rsidRPr="00E345B2" w:rsidRDefault="0035054F" w:rsidP="0035054F">
      <w:pPr>
        <w:spacing w:after="160" w:line="360" w:lineRule="auto"/>
        <w:ind w:firstLine="567"/>
        <w:jc w:val="both"/>
      </w:pPr>
      <w:r w:rsidRPr="00E345B2">
        <w:t>Փխրեցուցիչները (դեզինտեգրանտները) դեղահաբերի բաղադրության մեջ ներառում են դրանց տրոհելիությունն ապահովելու նպատակով։ Դրանց են դասվում ուռչող փխրեցուցիչները՝ խաչաձ</w:t>
      </w:r>
      <w:r>
        <w:t>եւ</w:t>
      </w:r>
      <w:r w:rsidRPr="00E345B2">
        <w:t xml:space="preserve"> կապված պովիդոնը, ալգինաթթուն </w:t>
      </w:r>
      <w:r>
        <w:t>եւ</w:t>
      </w:r>
      <w:r w:rsidRPr="00E345B2">
        <w:t xml:space="preserve"> դրա նատրիումական ու կալիումական աղերը, օսլան (այդ թվում՝ քիմիապես ձ</w:t>
      </w:r>
      <w:r>
        <w:t>եւ</w:t>
      </w:r>
      <w:r w:rsidRPr="00E345B2">
        <w:t xml:space="preserve">ափոխված), մեթիլցելյուլոզը, նատրիումի կարբօքսիմեթիլցելյուլոզը (նատրիումի կարմելոզը), կրոսկարմելոզը, կրոսպովիդոնը, մալտոզը, միկրոբյուրեղային ցելյուլոզը. գազագոյացնող փխրեցուցիչները՝ պինդ օրգանական թթուները՝ կարբոնատների կամ հիդրոկարբոնատների հետ համակցված, </w:t>
      </w:r>
      <w:r>
        <w:t>եւ</w:t>
      </w:r>
      <w:r w:rsidRPr="00E345B2">
        <w:t xml:space="preserve"> թրջողները՝ մակեր</w:t>
      </w:r>
      <w:r>
        <w:t>եւ</w:t>
      </w:r>
      <w:r w:rsidRPr="00E345B2">
        <w:t>ութային ակտիվ նյութերը։</w:t>
      </w:r>
    </w:p>
    <w:p w14:paraId="39BBED7C" w14:textId="77777777" w:rsidR="0035054F" w:rsidRPr="00E345B2" w:rsidRDefault="0035054F" w:rsidP="0035054F">
      <w:pPr>
        <w:spacing w:after="160" w:line="360" w:lineRule="auto"/>
        <w:ind w:firstLine="567"/>
        <w:jc w:val="both"/>
      </w:pPr>
      <w:r w:rsidRPr="00E345B2">
        <w:t xml:space="preserve">Կապակցանյութերը ներմուծում են հատիկների </w:t>
      </w:r>
      <w:r>
        <w:t>եւ</w:t>
      </w:r>
      <w:r w:rsidRPr="00E345B2">
        <w:t xml:space="preserve"> դեղահաբերի ամրությունն ապահովելու համար։ Այդ նպատակով օգտագործում են օսլայի շրեշ, ժելատին, սախարոզ, նատրիումի ալգինատ, ալգինաթթվի դոնդողներ, բնական բուսախեժեր, մակրոգոլ, ցելյուլոզի ածանցյալներ, պովիդոն, պովիդոն-վինիլացետատ (կոպովիդոն) </w:t>
      </w:r>
      <w:r>
        <w:t>եւ</w:t>
      </w:r>
      <w:r w:rsidRPr="00E345B2">
        <w:t xml:space="preserve"> այլ։</w:t>
      </w:r>
    </w:p>
    <w:p w14:paraId="7992930C" w14:textId="77777777" w:rsidR="0035054F" w:rsidRPr="00E345B2" w:rsidRDefault="0035054F" w:rsidP="0035054F">
      <w:pPr>
        <w:spacing w:after="160" w:line="360" w:lineRule="auto"/>
        <w:ind w:firstLine="567"/>
        <w:jc w:val="both"/>
      </w:pPr>
      <w:r w:rsidRPr="00E345B2">
        <w:t>Սահելուն նպաստող նյութերը կանխում են մամլման գործիքին կպչելը, յուղող ազդեցություն են գործում, լավացնում են դեղահաբերի վերածվող խառնուրդների հոսունությունը։</w:t>
      </w:r>
      <w:r>
        <w:t xml:space="preserve"> </w:t>
      </w:r>
      <w:r w:rsidRPr="00E345B2">
        <w:t xml:space="preserve">Դրանց են դասվում օսլան, տալկը, աերոսիլը (կոլոիդային սիլիցիումի դիօքսիդը), կաոլինը, յուղազերծված կաթի փոշին, մակրոգոլը, պոլիսորբատը, ստեարինաթթուն </w:t>
      </w:r>
      <w:r>
        <w:t>եւ</w:t>
      </w:r>
      <w:r w:rsidRPr="00E345B2">
        <w:t xml:space="preserve"> դրա կալցիումական ու մագնեզիումական աղերը, պոլիսորբատ-80-ը, նատրիումի լաուրիլսուլֆատը </w:t>
      </w:r>
      <w:r>
        <w:t>եւ</w:t>
      </w:r>
      <w:r w:rsidRPr="00E345B2">
        <w:t xml:space="preserve"> այլ։ Դրանք դանդաղեցնում են դեղահաբի տրոհելիության </w:t>
      </w:r>
      <w:r>
        <w:t>եւ</w:t>
      </w:r>
      <w:r w:rsidRPr="00E345B2">
        <w:t xml:space="preserve"> ազդող նյութի լուծվելու արագությունը, ուստի խորհուրդ չի տրվում պոլիսորբատ-80-ի, ստեարինաթթվի, կալցիումի </w:t>
      </w:r>
      <w:r>
        <w:t>եւ</w:t>
      </w:r>
      <w:r w:rsidRPr="00E345B2">
        <w:t xml:space="preserve"> մագնեզիումի ստեարատի պարունակությունը գերազանցել դեղահաբի զանգվածի ավելի, քան 1 %-ով, տալկի պարունակությունը՝ դեղահաբի զանգվածի ավելի, քան 3 %-ով, աերոսիլի պարունակությունը՝ ավելի, քան 10 %-ով։</w:t>
      </w:r>
    </w:p>
    <w:p w14:paraId="07202DDF" w14:textId="77777777" w:rsidR="0035054F" w:rsidRPr="00E345B2" w:rsidRDefault="0035054F" w:rsidP="0035054F">
      <w:pPr>
        <w:spacing w:after="160" w:line="360" w:lineRule="auto"/>
        <w:ind w:firstLine="567"/>
        <w:jc w:val="both"/>
      </w:pPr>
      <w:r w:rsidRPr="00E345B2">
        <w:lastRenderedPageBreak/>
        <w:t xml:space="preserve">Ծամելու դեղահաբերի բաղադրության մեջ որպես օժանդակ նյութեր սովորաբար մտնում են մաննիտը (մաննիտոլը), սորբիտը (սորբիտոլը), սախարոզը </w:t>
      </w:r>
      <w:r>
        <w:t>եւ</w:t>
      </w:r>
      <w:r w:rsidRPr="00E345B2">
        <w:t xml:space="preserve"> այլն։</w:t>
      </w:r>
    </w:p>
    <w:p w14:paraId="788C76E3" w14:textId="77777777" w:rsidR="0035054F" w:rsidRPr="00E345B2" w:rsidRDefault="0035054F" w:rsidP="0035054F">
      <w:pPr>
        <w:spacing w:after="160" w:line="346" w:lineRule="auto"/>
        <w:ind w:firstLine="567"/>
        <w:jc w:val="both"/>
      </w:pPr>
      <w:r w:rsidRPr="00E345B2">
        <w:t>Թաղանթապատման համար կարող են օգտագործվել տարբեր օժանդակ նյութեր, որոնք պայմանականորեն բաժանվում են հետ</w:t>
      </w:r>
      <w:r>
        <w:t>եւ</w:t>
      </w:r>
      <w:r w:rsidRPr="00E345B2">
        <w:t xml:space="preserve">յալ խմբերի՝ կպչուն նյութեր, որոնք ապահովում են թաղանթի ծածկույթի նյութերի կպչելը դեղահաբի միջուկին՝ շաքարի օշարակ, մագնեզիումի օքսիդ. պատյաններ ստեղծող նյութեր՝ սախարոզ, տալկ, մագնեզիումի հիմնային կարբոնատ (մագնեզիումի հիդրօքսիկարբոնատ), էթիլցելյուլոզ. ծածկույթներին պլաստիկության հատկություններ հաղորդող պլաստիֆիկատորներ՝ բուսայուղեր, մեթիլցելյուլոզ, կարբօքսիմեթիլցելյուլոզ (կարմելոզ), պոլիսորբատ </w:t>
      </w:r>
      <w:r>
        <w:t>եւ</w:t>
      </w:r>
      <w:r w:rsidRPr="00E345B2">
        <w:t xml:space="preserve"> այլ.</w:t>
      </w:r>
      <w:r>
        <w:t xml:space="preserve"> </w:t>
      </w:r>
      <w:r w:rsidRPr="00E345B2">
        <w:t xml:space="preserve">ծածկույթներին խոնավակայունության հատկություններ հաղորդող նյութեր՝ աերոսիլ (կոլոիդային սիլիցիումի դիօքսիդ), դոճխեժ, պոլիակրիլային խեժեր </w:t>
      </w:r>
      <w:r>
        <w:t>եւ</w:t>
      </w:r>
      <w:r w:rsidRPr="00E345B2">
        <w:t xml:space="preserve"> այլ. ներկանյութեր </w:t>
      </w:r>
      <w:r>
        <w:t>եւ</w:t>
      </w:r>
      <w:r w:rsidRPr="00E345B2">
        <w:t xml:space="preserve"> համի ու հոտի բարելավիչներ։</w:t>
      </w:r>
    </w:p>
    <w:p w14:paraId="3FB9C91E" w14:textId="77777777" w:rsidR="0035054F" w:rsidRPr="00E345B2" w:rsidRDefault="0035054F" w:rsidP="0035054F">
      <w:pPr>
        <w:spacing w:after="160" w:line="346" w:lineRule="auto"/>
        <w:ind w:firstLine="567"/>
        <w:jc w:val="both"/>
      </w:pPr>
      <w:r w:rsidRPr="00E345B2">
        <w:t xml:space="preserve">Համի բարելավիչները, բուրավետիչները </w:t>
      </w:r>
      <w:r>
        <w:t>եւ</w:t>
      </w:r>
      <w:r w:rsidRPr="00E345B2">
        <w:t xml:space="preserve"> ներկանյութերն օգտագործում են դեղահաբերի արտաքին տեսքը լավացնելու </w:t>
      </w:r>
      <w:r>
        <w:t>եւ</w:t>
      </w:r>
      <w:r w:rsidRPr="00E345B2">
        <w:t xml:space="preserve"> դրանց անհրաժեշտ համ ու հոտ հաղորդելու, դեղաչափը մակնշելու, ինչպես նա</w:t>
      </w:r>
      <w:r>
        <w:t>եւ</w:t>
      </w:r>
      <w:r w:rsidRPr="00E345B2">
        <w:t xml:space="preserve"> պատրաստուկը նույնականացնելու համար։</w:t>
      </w:r>
    </w:p>
    <w:p w14:paraId="5565580B" w14:textId="77777777" w:rsidR="0035054F" w:rsidRPr="00E345B2" w:rsidRDefault="0035054F" w:rsidP="0035054F">
      <w:pPr>
        <w:spacing w:after="160" w:line="346" w:lineRule="auto"/>
        <w:ind w:firstLine="567"/>
        <w:jc w:val="both"/>
      </w:pPr>
      <w:r w:rsidRPr="00E345B2">
        <w:t xml:space="preserve">Թաղանթապատումն աճեցման մեթոդով իրականացնելու դեպքում օգտագործում են արաբախեժ (ակացիայի բուսախեժ), ժելատին, շաքարի օշարակ, մագնեզիումի հիմնային կարբոնատ (մագնեզիումի հիդրօքսիկարբոնատ), օսլա, մեթիլցելյուլոզ, ցորենի ալյուր, կալցիումի ստեարատ, կալցիումի կարբոնատ, նատրիումի ալգինատ, տալկ, մագնեզիումի օքսիդ </w:t>
      </w:r>
      <w:r>
        <w:t>եւ</w:t>
      </w:r>
      <w:r w:rsidRPr="00E345B2">
        <w:t xml:space="preserve"> այլն։</w:t>
      </w:r>
    </w:p>
    <w:p w14:paraId="2BEF772A" w14:textId="77777777" w:rsidR="0035054F" w:rsidRPr="00E345B2" w:rsidRDefault="0035054F" w:rsidP="0035054F">
      <w:pPr>
        <w:spacing w:after="160" w:line="346" w:lineRule="auto"/>
        <w:ind w:firstLine="567"/>
        <w:jc w:val="both"/>
      </w:pPr>
      <w:r w:rsidRPr="00E345B2">
        <w:t xml:space="preserve">Թաղանթային ծածկույթների բաղադրության մեջ մտնում են այնպիսի նյութեր, ինչպիսիք են հիդրօքսիպրոպիլմեթիլցելյուլոզը (հիպրոմելոզը), հիդրօքսիպրոպիլցելյուլոզը (հիպրոլոզը), կարբօքսիմեթիլցելյուլոզը (կարմելոզը), ացետիլֆտալիլցելյուլոզը (ցելլացեֆատը), մեթիլցելյուլոզը, էթիլցելյուլոզը, նատրիումի կարբօքսիմեթիլցելյուլոզը (նատրիումի կարմելոզը), մեթակրիլաթթվի </w:t>
      </w:r>
      <w:r>
        <w:t>եւ</w:t>
      </w:r>
      <w:r w:rsidRPr="00E345B2">
        <w:t xml:space="preserve"> դրա եթերների համապոլիմերները, մակրոգոլը, պովիդոնը, ժելատինը </w:t>
      </w:r>
      <w:r>
        <w:t>եւ</w:t>
      </w:r>
      <w:r w:rsidRPr="00E345B2">
        <w:t xml:space="preserve"> այլն։</w:t>
      </w:r>
    </w:p>
    <w:p w14:paraId="1CBB3F95" w14:textId="77777777" w:rsidR="0035054F" w:rsidRPr="00E345B2" w:rsidRDefault="0035054F" w:rsidP="0035054F">
      <w:pPr>
        <w:spacing w:after="160" w:line="360" w:lineRule="auto"/>
        <w:ind w:firstLine="567"/>
        <w:jc w:val="both"/>
      </w:pPr>
      <w:r w:rsidRPr="00E345B2">
        <w:lastRenderedPageBreak/>
        <w:t xml:space="preserve">Մամլված ծածկույթներ ստանալու համար օգտագործում են սախարոզ, լակտոզ, օսլա, ցորենի ալյուր, ստեարինաթթու </w:t>
      </w:r>
      <w:r>
        <w:t>եւ</w:t>
      </w:r>
      <w:r w:rsidRPr="00E345B2">
        <w:t xml:space="preserve"> այլն։</w:t>
      </w:r>
    </w:p>
    <w:p w14:paraId="5682E8E1" w14:textId="77777777" w:rsidR="0035054F" w:rsidRPr="00E345B2" w:rsidRDefault="0035054F" w:rsidP="0035054F">
      <w:pPr>
        <w:spacing w:after="160" w:line="346" w:lineRule="auto"/>
        <w:ind w:firstLine="567"/>
        <w:jc w:val="both"/>
      </w:pPr>
      <w:r w:rsidRPr="00E345B2">
        <w:t xml:space="preserve">Դեղահաբերի պատման համար օգտագործվող նյութերը սովորաբար զետեղում են լուծույթների կամ կախույթների տեսքով այնպիսի պայմաններում, որոնք լուծիչին թույլ են տալիս գոլորշիանալ։ Որպես լուծիչներ օգտագործում են մաքրված ջուր, էթանոլ, ացետոն, քլորոֆորմ, ամոնիակ, քլորաջրածնային թթու </w:t>
      </w:r>
      <w:r>
        <w:t>եւ</w:t>
      </w:r>
      <w:r w:rsidRPr="00E345B2">
        <w:t xml:space="preserve"> այլն։</w:t>
      </w:r>
    </w:p>
    <w:p w14:paraId="772CF0F4" w14:textId="77777777" w:rsidR="0035054F" w:rsidRPr="00E345B2" w:rsidRDefault="0035054F" w:rsidP="0035054F">
      <w:pPr>
        <w:spacing w:after="160" w:line="346" w:lineRule="auto"/>
        <w:ind w:firstLine="567"/>
        <w:jc w:val="both"/>
      </w:pPr>
      <w:r w:rsidRPr="00E345B2">
        <w:t xml:space="preserve">Դեղահաբերի արտադրության տեխնոլոգիան պետք է ապահովի մաշվելու նկատմամբ դեղահաբերի անհրաժեշտ դիմացկունությունը </w:t>
      </w:r>
      <w:r>
        <w:t>եւ</w:t>
      </w:r>
      <w:r w:rsidRPr="00E345B2">
        <w:t xml:space="preserve"> մեխանիկական ամրությունը։</w:t>
      </w:r>
    </w:p>
    <w:p w14:paraId="1224AC17" w14:textId="77777777" w:rsidR="0035054F" w:rsidRPr="00E345B2" w:rsidRDefault="0035054F" w:rsidP="0035054F">
      <w:pPr>
        <w:spacing w:after="160" w:line="346" w:lineRule="auto"/>
        <w:ind w:firstLine="567"/>
        <w:jc w:val="both"/>
      </w:pPr>
      <w:r w:rsidRPr="00E345B2">
        <w:t xml:space="preserve">Դեղահաբերի՝ մասերի բաժանումը։ Դեղահաբերի վրա կարող է (կարող են) զետեղվել կտրման գիծ (գծեր), որը (որոնք) թույլ է (են) տալիս դեղահաբերը մասերի բաժանել դեղապատրաստուկի ընդունումը դյուրացնելու կամ դեղաչափին համապատասխանելու համար։ Վերջին դեպքում դեղահաբը մասերի բաժանելու նպատակահարմարության համար պահանջվում են լիազորված մարմնի գնահատումը </w:t>
      </w:r>
      <w:r>
        <w:t>եւ</w:t>
      </w:r>
      <w:r w:rsidRPr="00E345B2">
        <w:t xml:space="preserve"> թույլտվությունը։ Նշանակված դեղաչափը պացիենտի կողմից ստանալու ճշգրտությունն ապահովելու համար դեղապատրաստուկը մշակելիս պետք է գնահատվի կտրման գծի (գծերի) արդյունավետությունը՝ ըստ բաժանված մասերի զանգվածի միատարրության։</w:t>
      </w:r>
      <w:r>
        <w:t xml:space="preserve"> </w:t>
      </w:r>
      <w:r w:rsidRPr="00E345B2">
        <w:t>Թույլատրված յուրաքանչյուր դեղաչափ պետք է ստուգվի հետ</w:t>
      </w:r>
      <w:r>
        <w:t>եւ</w:t>
      </w:r>
      <w:r w:rsidRPr="00E345B2">
        <w:t>յալ փորձարկման կիրառմամբ։</w:t>
      </w:r>
    </w:p>
    <w:p w14:paraId="23EAB41E" w14:textId="77777777" w:rsidR="0035054F" w:rsidRPr="00E345B2" w:rsidRDefault="0035054F" w:rsidP="0035054F">
      <w:pPr>
        <w:spacing w:after="160" w:line="346" w:lineRule="auto"/>
        <w:ind w:firstLine="567"/>
        <w:jc w:val="both"/>
      </w:pPr>
      <w:r w:rsidRPr="00E345B2">
        <w:t xml:space="preserve">Ձեռքով կոտրում են պատահականորեն ընտրված 30 դեղահաբ։ Յուրաքանչյուր դեղահաբի մի մասն օգտագործում են փորձարկման համար, իսկ մյուս մասը դեն են նետում։ Առանձին կշռում են 30 մասերից յուրաքանչյուրը </w:t>
      </w:r>
      <w:r>
        <w:t>եւ</w:t>
      </w:r>
      <w:r w:rsidRPr="00E345B2">
        <w:t xml:space="preserve"> </w:t>
      </w:r>
      <w:r w:rsidRPr="0035054F">
        <w:rPr>
          <w:spacing w:val="-4"/>
        </w:rPr>
        <w:t>հաշվում են միջին զանգվածը։ Դեղահաբերը փորձարկումն անցնում են, եթե ոչ ավելի, քան մեկ մասի զանգվածը գերազանցում է միջին զանգվածի 85 %-ից 115 %-ի սահ</w:t>
      </w:r>
      <w:r w:rsidRPr="00E345B2">
        <w:t>մանաչափը։</w:t>
      </w:r>
    </w:p>
    <w:p w14:paraId="7E0C9A7E" w14:textId="77777777" w:rsidR="0035054F" w:rsidRPr="00E345B2" w:rsidRDefault="0035054F" w:rsidP="0035054F">
      <w:pPr>
        <w:spacing w:after="160" w:line="360" w:lineRule="auto"/>
        <w:ind w:firstLine="567"/>
        <w:jc w:val="both"/>
      </w:pPr>
      <w:r w:rsidRPr="00E345B2">
        <w:t xml:space="preserve">Դեղահաբերը փորձարկումը չեն անցնում, եթե ավելի, քան մեկ մասի զանգվածը գերազանցում է նշված սահմանները, կամ եթե մեկ մասի զանգվածը գերազանցում է միջին զանգվածի 75 %-ից 125 %-ի սահմանաչափը։ </w:t>
      </w:r>
    </w:p>
    <w:p w14:paraId="448FCB6F" w14:textId="77777777" w:rsidR="0035054F" w:rsidRPr="0035054F" w:rsidRDefault="0035054F" w:rsidP="0035054F">
      <w:pPr>
        <w:spacing w:after="160" w:line="360" w:lineRule="auto"/>
        <w:ind w:firstLine="567"/>
        <w:jc w:val="both"/>
        <w:rPr>
          <w:b/>
        </w:rPr>
      </w:pPr>
      <w:r w:rsidRPr="0035054F">
        <w:rPr>
          <w:b/>
        </w:rPr>
        <w:lastRenderedPageBreak/>
        <w:t>ՓՈՐՁԱՐԿՈՒՄՆԵՐԸ</w:t>
      </w:r>
    </w:p>
    <w:p w14:paraId="5B7C3E4F" w14:textId="77777777" w:rsidR="0035054F" w:rsidRPr="00E345B2" w:rsidRDefault="0035054F" w:rsidP="0035054F">
      <w:pPr>
        <w:spacing w:after="160" w:line="360" w:lineRule="auto"/>
        <w:ind w:firstLine="567"/>
        <w:jc w:val="both"/>
      </w:pPr>
      <w:r w:rsidRPr="00E345B2">
        <w:t xml:space="preserve">Դեղահաբերը պետք է համապատասխանեն </w:t>
      </w:r>
      <w:r w:rsidRPr="00AA7C33">
        <w:rPr>
          <w:i/>
        </w:rPr>
        <w:t>«2.5.1.1. Դեղաձեւերը»</w:t>
      </w:r>
      <w:r w:rsidRPr="00E345B2">
        <w:t xml:space="preserve"> ընդհանուր դեղագրքային հոդվածին </w:t>
      </w:r>
      <w:r>
        <w:t>եւ</w:t>
      </w:r>
      <w:r w:rsidRPr="00E345B2">
        <w:t xml:space="preserve"> անցնեն տվյալ դեղաձ</w:t>
      </w:r>
      <w:r>
        <w:t>եւ</w:t>
      </w:r>
      <w:r w:rsidRPr="00E345B2">
        <w:t>ին բնորոշ հաջորդող փորձարկումները։</w:t>
      </w:r>
    </w:p>
    <w:p w14:paraId="486F467F" w14:textId="77777777" w:rsidR="0035054F" w:rsidRPr="00E345B2" w:rsidRDefault="0035054F" w:rsidP="0035054F">
      <w:pPr>
        <w:spacing w:after="160" w:line="360" w:lineRule="auto"/>
        <w:ind w:firstLine="567"/>
        <w:jc w:val="both"/>
      </w:pPr>
      <w:r w:rsidRPr="00E345B2">
        <w:t>Այլ դեղաձ</w:t>
      </w:r>
      <w:r>
        <w:t>եւ</w:t>
      </w:r>
      <w:r w:rsidRPr="00E345B2">
        <w:t xml:space="preserve">երով (լուծույթների, կախույթների) պարէնտերալ կիրառության դեղապատրաստուկների պատրաստման համար նախատեսված </w:t>
      </w:r>
      <w:r w:rsidRPr="00E345B2">
        <w:rPr>
          <w:i/>
        </w:rPr>
        <w:t>Դեղահաբ</w:t>
      </w:r>
      <w:r w:rsidRPr="00E345B2">
        <w:t xml:space="preserve"> դեղաձ</w:t>
      </w:r>
      <w:r>
        <w:t>եւ</w:t>
      </w:r>
      <w:r w:rsidRPr="00E345B2">
        <w:t>ով թողարկվող դեղապատրաստուկները պետք է բավարարեն «</w:t>
      </w:r>
      <w:r w:rsidRPr="00AA7C33">
        <w:rPr>
          <w:i/>
        </w:rPr>
        <w:t>2.5.3.4. Պարէնտերալ կիրառության դեղապատրաստուկները»</w:t>
      </w:r>
      <w:r w:rsidRPr="00E345B2">
        <w:t xml:space="preserve"> ընդհանուր դեղագրքային հոդվածի պահանջները։</w:t>
      </w:r>
    </w:p>
    <w:p w14:paraId="6FF06241" w14:textId="77777777" w:rsidR="0035054F" w:rsidRPr="00E345B2" w:rsidRDefault="0035054F" w:rsidP="0035054F">
      <w:pPr>
        <w:spacing w:after="160" w:line="360" w:lineRule="auto"/>
        <w:ind w:firstLine="567"/>
        <w:jc w:val="both"/>
      </w:pPr>
      <w:r w:rsidRPr="00E345B2">
        <w:t>Աչքի կաթիլների պատրաստման համար նախատեսված Դեղահաբ դեղաձ</w:t>
      </w:r>
      <w:r>
        <w:t>եւ</w:t>
      </w:r>
      <w:r w:rsidRPr="00E345B2">
        <w:t xml:space="preserve">ով թողարկվող դեղապատրաստուկները պետք է բավարարեն </w:t>
      </w:r>
      <w:r w:rsidRPr="00AA7C33">
        <w:rPr>
          <w:i/>
        </w:rPr>
        <w:t>«2.5.3.3. Ակնաբուժական կիրառության դեղապատրաստուկները»</w:t>
      </w:r>
      <w:r w:rsidRPr="00E345B2">
        <w:t xml:space="preserve"> ընդհանուր դեղագրքային հոդվածի պահանջները։</w:t>
      </w:r>
    </w:p>
    <w:p w14:paraId="73F65BEF" w14:textId="77777777" w:rsidR="0035054F" w:rsidRPr="00E345B2" w:rsidRDefault="0035054F" w:rsidP="0035054F">
      <w:pPr>
        <w:spacing w:after="160" w:line="360" w:lineRule="auto"/>
        <w:ind w:firstLine="567"/>
        <w:jc w:val="both"/>
      </w:pPr>
      <w:r w:rsidRPr="0035054F">
        <w:rPr>
          <w:b/>
        </w:rPr>
        <w:t>Նկարագրությունը.</w:t>
      </w:r>
      <w:r w:rsidRPr="00E345B2">
        <w:t xml:space="preserve"> Դեղահաբերը բնութագրում են՝ նշելով արտաքին տեսքը (ձ</w:t>
      </w:r>
      <w:r>
        <w:t>եւ</w:t>
      </w:r>
      <w:r w:rsidRPr="00E345B2">
        <w:t>ը, մակեր</w:t>
      </w:r>
      <w:r>
        <w:t>եւ</w:t>
      </w:r>
      <w:r w:rsidRPr="00E345B2">
        <w:t>ույթը, մակեր</w:t>
      </w:r>
      <w:r>
        <w:t>եւ</w:t>
      </w:r>
      <w:r w:rsidRPr="00E345B2">
        <w:t xml:space="preserve">ույթի վրայի նշումները </w:t>
      </w:r>
      <w:r>
        <w:t>եւ</w:t>
      </w:r>
      <w:r w:rsidRPr="00E345B2">
        <w:t xml:space="preserve"> այլն), զգայորոշման (գույն, հոտ) </w:t>
      </w:r>
      <w:r>
        <w:t>եւ</w:t>
      </w:r>
      <w:r w:rsidRPr="00E345B2">
        <w:t xml:space="preserve"> այլ հատկություններ՝ մասնավոր դեղագրքային հոդվածում </w:t>
      </w:r>
      <w:r>
        <w:t>եւ</w:t>
      </w:r>
      <w:r w:rsidRPr="00E345B2">
        <w:t xml:space="preserve"> (կամ) որակի վերաբերյալ նորմատիվ փաստաթղթում նշված այլ պահանջներին համապատասխան։</w:t>
      </w:r>
    </w:p>
    <w:p w14:paraId="4D31D7A2" w14:textId="77777777" w:rsidR="0035054F" w:rsidRPr="00E345B2" w:rsidRDefault="0035054F" w:rsidP="0035054F">
      <w:pPr>
        <w:spacing w:after="160" w:line="360" w:lineRule="auto"/>
        <w:ind w:firstLine="567"/>
        <w:jc w:val="both"/>
      </w:pPr>
      <w:r w:rsidRPr="00E345B2">
        <w:t>Դեղահաբերի արտաքին տեսքի գնահատումն իրականացնում են անզեն աչքով 20 դեղահաբ զննելիս։ Դեղահաբի մակեր</w:t>
      </w:r>
      <w:r>
        <w:t>եւ</w:t>
      </w:r>
      <w:r w:rsidRPr="00E345B2">
        <w:t>ույթը պետք է լինի հարթ, միատարր, եթե այլ բան հիմնավորված չէ։ Դեղահաբի մակեր</w:t>
      </w:r>
      <w:r>
        <w:t>եւ</w:t>
      </w:r>
      <w:r w:rsidRPr="00E345B2">
        <w:t xml:space="preserve">ույթների վրա կարող են զետեղվել ստվերագծեր, կտրման գծեր, նշումներ </w:t>
      </w:r>
      <w:r>
        <w:t>եւ</w:t>
      </w:r>
      <w:r w:rsidRPr="00E345B2">
        <w:t xml:space="preserve"> այլ նշագրումներ։ 9</w:t>
      </w:r>
      <w:r w:rsidR="00AA7C33" w:rsidRPr="00AA7C33">
        <w:t> </w:t>
      </w:r>
      <w:r w:rsidRPr="00E345B2">
        <w:t xml:space="preserve">մմ </w:t>
      </w:r>
      <w:r>
        <w:t>եւ</w:t>
      </w:r>
      <w:r w:rsidRPr="00E345B2">
        <w:t xml:space="preserve"> ավելի տրամագծով դեղահաբերի համար առաջարկվում է ապահովել կտրման գծի առկայություն։</w:t>
      </w:r>
    </w:p>
    <w:p w14:paraId="0C2A4CC7" w14:textId="77777777" w:rsidR="0035054F" w:rsidRPr="00E345B2" w:rsidRDefault="0035054F" w:rsidP="0035054F">
      <w:pPr>
        <w:spacing w:after="160" w:line="360" w:lineRule="auto"/>
        <w:ind w:firstLine="567"/>
        <w:jc w:val="both"/>
      </w:pPr>
      <w:r w:rsidRPr="0035054F">
        <w:rPr>
          <w:b/>
        </w:rPr>
        <w:t>Զանգվածի միատարրությունը.</w:t>
      </w:r>
      <w:r w:rsidRPr="00E345B2">
        <w:t xml:space="preserve"> Փորձարկումն անցկացնում են </w:t>
      </w:r>
      <w:r w:rsidRPr="00AA7C33">
        <w:rPr>
          <w:i/>
        </w:rPr>
        <w:t>«2.1.9.5. Դեղաչափված</w:t>
      </w:r>
      <w:r w:rsidRPr="00E345B2">
        <w:t xml:space="preserve"> </w:t>
      </w:r>
      <w:r w:rsidRPr="000B1C22">
        <w:rPr>
          <w:i/>
        </w:rPr>
        <w:t xml:space="preserve">դեղապատրաստուկի միավորի զանգվածի միատարրությունը» </w:t>
      </w:r>
      <w:r w:rsidRPr="00E345B2">
        <w:t xml:space="preserve">ընդհանուր դեղագրքային հոդվածին համապատասխան։ Եթե նախատեսված է </w:t>
      </w:r>
      <w:r w:rsidRPr="00E345B2">
        <w:lastRenderedPageBreak/>
        <w:t xml:space="preserve">դեղաչափված միավորների միատարրության փորձարկում բոլոր ազդող նյութերի համար, ապա զանգվածի միատարրության ստուգում չի պահանջվում։ </w:t>
      </w:r>
    </w:p>
    <w:p w14:paraId="4DD0297C" w14:textId="77777777" w:rsidR="0035054F" w:rsidRPr="00E345B2" w:rsidRDefault="0035054F" w:rsidP="0035054F">
      <w:pPr>
        <w:spacing w:after="160" w:line="360" w:lineRule="auto"/>
        <w:ind w:firstLine="567"/>
        <w:jc w:val="both"/>
      </w:pPr>
      <w:r w:rsidRPr="00E345B2">
        <w:t>Թաղանթապատ դեղահաբերի զանգվածի միատարրությունն ապահովվում է տեխնոլոգիական գործընթացի հսկողության շրջանակներում։</w:t>
      </w:r>
    </w:p>
    <w:p w14:paraId="45D466EB" w14:textId="77777777" w:rsidR="0035054F" w:rsidRPr="00E345B2" w:rsidRDefault="0035054F" w:rsidP="0035054F">
      <w:pPr>
        <w:spacing w:after="160" w:line="360" w:lineRule="auto"/>
        <w:ind w:firstLine="567"/>
        <w:jc w:val="both"/>
      </w:pPr>
      <w:r w:rsidRPr="00DE1035">
        <w:rPr>
          <w:b/>
        </w:rPr>
        <w:t>Ճզմման նկատմամբ դեղահաբերի դիմացկունությունը եւ դեղահաբերի մաշվելիությունը։</w:t>
      </w:r>
      <w:r w:rsidRPr="00E345B2">
        <w:t xml:space="preserve"> Փորձարկումն անցկացնում են </w:t>
      </w:r>
      <w:r w:rsidRPr="00AA7C33">
        <w:rPr>
          <w:i/>
        </w:rPr>
        <w:t>«2.1.9.7. Ճզմման նկատմամբ դեղահաբերի դիմացկունությունը», «2.1.9.6. Դեղահաբերի մաշվելիությունը»</w:t>
      </w:r>
      <w:r w:rsidRPr="00E345B2">
        <w:t xml:space="preserve"> ընդհանուր դեղագրքային հոդվածների պահանջներին համապատասխան՝ դեղահաբերի արտադրության տեխնոլոգիական գործընթացի հսկողության շրջանակներում։</w:t>
      </w:r>
    </w:p>
    <w:p w14:paraId="007D1C4B" w14:textId="77777777" w:rsidR="0035054F" w:rsidRPr="00E345B2" w:rsidRDefault="0035054F" w:rsidP="0035054F">
      <w:pPr>
        <w:spacing w:after="160" w:line="360" w:lineRule="auto"/>
        <w:ind w:firstLine="567"/>
        <w:jc w:val="both"/>
      </w:pPr>
      <w:r w:rsidRPr="00DE1035">
        <w:rPr>
          <w:b/>
        </w:rPr>
        <w:t xml:space="preserve">Տրոհելիությունը. </w:t>
      </w:r>
      <w:r w:rsidRPr="00E345B2">
        <w:t xml:space="preserve">Առանց թաղանթի դեղահաբերը պետք է անցնեն տրոհելիության փորձարկումը </w:t>
      </w:r>
      <w:r w:rsidRPr="00AA7C33">
        <w:rPr>
          <w:i/>
        </w:rPr>
        <w:t>«2.1.9.1. Դեղահաբերի եւ դեղապատիճների տրոհելիությունը»</w:t>
      </w:r>
      <w:r w:rsidRPr="00E345B2">
        <w:t xml:space="preserve"> ընդհանուր դեղագրքային հոդվածին համապատասխան։ Մասնավոր դեղագրքային հոդվածում կամ որակի վերաբերյալ նորմատիվ փաստաթղթում այլ ցուցումների բացակայության դեպքում որպես հեղուկ միջավայր օգտագործում են Ռ ջուր։ Դեղահաբերը պետք է տրոհվեն 15 րոպեի ընթացքում, եթե մասնավոր դեղագրքային հոդվածում </w:t>
      </w:r>
      <w:r>
        <w:t>եւ</w:t>
      </w:r>
      <w:r w:rsidRPr="00E345B2">
        <w:t xml:space="preserve"> (կամ) որակի վերաբերյալ նորմատիվ փաստաթղթում այլ բան նշված չէ։</w:t>
      </w:r>
    </w:p>
    <w:p w14:paraId="5AB31155" w14:textId="77777777" w:rsidR="0035054F" w:rsidRPr="00B5542D" w:rsidRDefault="0035054F" w:rsidP="0035054F">
      <w:pPr>
        <w:spacing w:after="160" w:line="360" w:lineRule="auto"/>
        <w:ind w:firstLine="567"/>
        <w:jc w:val="both"/>
      </w:pPr>
      <w:r w:rsidRPr="00E345B2">
        <w:t xml:space="preserve">Թաղանթապատ դեղահաբերը պետք է անցնեն տրոհելիության փորձարկումը </w:t>
      </w:r>
      <w:r w:rsidRPr="00AA7C33">
        <w:rPr>
          <w:i/>
        </w:rPr>
        <w:t>«2.1.9.1. Դեղահաբերի եւ դեղապատիճների տրոհելիությունը</w:t>
      </w:r>
      <w:r w:rsidRPr="00E345B2">
        <w:t xml:space="preserve">» ընդհանուր դեղագրքային հոդվածին համապատասխան։ Մասնավոր դեղագրքային հոդվածում </w:t>
      </w:r>
      <w:r>
        <w:t>եւ</w:t>
      </w:r>
      <w:r w:rsidRPr="00E345B2">
        <w:t xml:space="preserve"> (կամ) որակի վերաբերյալ նորմատիվ փաստաթղթում այլ ցուցումների բացակայության դեպքում որպես հեղուկ միջավայր օգտագործում են</w:t>
      </w:r>
      <w:r>
        <w:t xml:space="preserve"> </w:t>
      </w:r>
      <w:r w:rsidRPr="00E345B2">
        <w:t xml:space="preserve">Ռ ջուր։ Թաղանթապատ դեղահաբերը պետք է տրոհվեն 60 րոպեի ընթացքում, թաղանթային ծածկույթով պատված դեղահաբերը՝ 30 րոպեի ընթացքում, եթե մասնավոր դեղագրքային հոդվածում </w:t>
      </w:r>
      <w:r>
        <w:t>եւ</w:t>
      </w:r>
      <w:r w:rsidRPr="00E345B2">
        <w:t xml:space="preserve"> (կամ) որակի վերաբերյալ նորմատիվ փաստաթղթում այլ բան նշված չէ։</w:t>
      </w:r>
    </w:p>
    <w:p w14:paraId="22ACCA8A" w14:textId="77777777" w:rsidR="0035054F" w:rsidRPr="00B5542D" w:rsidRDefault="0035054F" w:rsidP="0035054F">
      <w:pPr>
        <w:spacing w:after="160" w:line="360" w:lineRule="auto"/>
        <w:ind w:firstLine="567"/>
        <w:jc w:val="both"/>
      </w:pPr>
    </w:p>
    <w:p w14:paraId="59E2DB36" w14:textId="77777777" w:rsidR="0035054F" w:rsidRPr="00E345B2" w:rsidRDefault="0035054F" w:rsidP="0035054F">
      <w:pPr>
        <w:spacing w:after="160" w:line="360" w:lineRule="auto"/>
        <w:ind w:firstLine="567"/>
        <w:jc w:val="both"/>
      </w:pPr>
      <w:r w:rsidRPr="00E345B2">
        <w:lastRenderedPageBreak/>
        <w:t xml:space="preserve">Աղելույծ (թաղանթապատված) դեղահաբերի համար տրոհելիության փորձարկումն անցկացնում են </w:t>
      </w:r>
      <w:r w:rsidRPr="00AA7C33">
        <w:rPr>
          <w:i/>
        </w:rPr>
        <w:t xml:space="preserve">«2.1.9.1. Դեղահաբերի եւ դեղապատիճների տրոհելիությունը» </w:t>
      </w:r>
      <w:r w:rsidRPr="00E345B2">
        <w:t>ընդհանուր դեղագրքային հոդվածին համապատասխան՝ 2</w:t>
      </w:r>
      <w:r w:rsidRPr="0035054F">
        <w:t> </w:t>
      </w:r>
      <w:r w:rsidRPr="00E345B2">
        <w:t xml:space="preserve">փուլով, հաջորդող փոփոխություններով։ Որպես հեղուկ միջավայր առաջին փուլում օգտագործում են </w:t>
      </w:r>
      <w:r w:rsidRPr="00DE1035">
        <w:rPr>
          <w:i/>
        </w:rPr>
        <w:t>0,1 М քլորաջրածնային թթո</w:t>
      </w:r>
      <w:r w:rsidRPr="00E345B2">
        <w:t xml:space="preserve">ւ։ Թթու միջավայրում դեղահաբերի դիմացկունության ժամանակը կարող է պայմանավորված լինել դրանց բաղադրությամբ, սակայն չպետք է լինի 1 ժամից պակաս </w:t>
      </w:r>
      <w:r>
        <w:t>եւ</w:t>
      </w:r>
      <w:r w:rsidRPr="00E345B2">
        <w:t xml:space="preserve"> 3 ժամից ավելի։ Դեղահաբերը չպետք է տրոհվեն ու դրս</w:t>
      </w:r>
      <w:r>
        <w:t>եւ</w:t>
      </w:r>
      <w:r w:rsidRPr="00E345B2">
        <w:t xml:space="preserve">որեն ճաքելու </w:t>
      </w:r>
      <w:r>
        <w:t>եւ</w:t>
      </w:r>
      <w:r w:rsidRPr="00E345B2">
        <w:t xml:space="preserve"> փափկելու հատկանիշներ։ Երկրորդ փուլում թթուն փոխարինում են pH 6,8 Ռ ֆոսֆատային բուֆերային լուծույթով։ Եթե մասնավոր դեղագրքային հոդվածում </w:t>
      </w:r>
      <w:r>
        <w:t>եւ</w:t>
      </w:r>
      <w:r w:rsidRPr="00E345B2">
        <w:t xml:space="preserve"> (կամ) որակի վերաբերյալ նորմատիվ փաստաթղթում այլ ցուցումներ չկան, ապա բուֆերային լուծույթի մեջ դեղահաբերը պետք է տրոհվեն 1 ժամվա ընթացքում։ Կարող է օգտագործվել պանկրեատինի փոշու ավելացմամբ pH 6,8 ունեցող բուֆերային լուծույթ (օրինակ՝ 100 մլ բուֆերային լուծույթին՝ Ռ պանկրեատինի 0,35 գ փոշի)։</w:t>
      </w:r>
    </w:p>
    <w:p w14:paraId="6F00809B" w14:textId="77777777" w:rsidR="0035054F" w:rsidRPr="00E345B2" w:rsidRDefault="0035054F" w:rsidP="0035054F">
      <w:pPr>
        <w:spacing w:after="160" w:line="360" w:lineRule="auto"/>
        <w:ind w:firstLine="567"/>
        <w:jc w:val="both"/>
      </w:pPr>
      <w:r w:rsidRPr="00E345B2">
        <w:t xml:space="preserve">Սկավառակների կիրառումը կարող է նախատեսվել մասնավոր դեղագրքային հոդվածում </w:t>
      </w:r>
      <w:r>
        <w:t>եւ</w:t>
      </w:r>
      <w:r w:rsidRPr="00E345B2">
        <w:t xml:space="preserve"> (կամ) որակի վերաբերյալ նորմատիվ փաստաթղթում։</w:t>
      </w:r>
    </w:p>
    <w:p w14:paraId="015299EC" w14:textId="77777777" w:rsidR="0035054F" w:rsidRPr="00E345B2" w:rsidRDefault="0035054F" w:rsidP="0035054F">
      <w:pPr>
        <w:spacing w:after="160" w:line="360" w:lineRule="auto"/>
        <w:ind w:firstLine="567"/>
        <w:jc w:val="both"/>
      </w:pPr>
      <w:r w:rsidRPr="00DE1035">
        <w:rPr>
          <w:i/>
        </w:rPr>
        <w:t xml:space="preserve">Դիսպերսվող դեղահաբերը եւ լուծվող դեղահաբերը </w:t>
      </w:r>
      <w:r w:rsidRPr="00E345B2">
        <w:t>պետք է տրոհվեն 3</w:t>
      </w:r>
      <w:r w:rsidRPr="0035054F">
        <w:t> </w:t>
      </w:r>
      <w:r w:rsidRPr="00E345B2">
        <w:t xml:space="preserve">րոպեի ընթացքում։ Փորձարկումն անցկացնում են </w:t>
      </w:r>
      <w:r w:rsidRPr="00AA7C33">
        <w:rPr>
          <w:i/>
        </w:rPr>
        <w:t>«2.1.9.1. Դեղահաբերի եւ դեղապատիճների տրոհելիությունը»</w:t>
      </w:r>
      <w:r w:rsidRPr="00E345B2">
        <w:t xml:space="preserve"> ընդհանուր դեղագրքային հոդվածին համապատասխան։ Որպես հեղուկ միջավայր օգտագործում են 15 °С-ից 25 °С ջերմաստիճան ունեցող Ռ ջուր։</w:t>
      </w:r>
    </w:p>
    <w:p w14:paraId="58E79D84" w14:textId="77777777" w:rsidR="0035054F" w:rsidRPr="00E345B2" w:rsidRDefault="0035054F" w:rsidP="0035054F">
      <w:pPr>
        <w:spacing w:after="160" w:line="360" w:lineRule="auto"/>
        <w:ind w:firstLine="567"/>
        <w:jc w:val="both"/>
      </w:pPr>
      <w:r w:rsidRPr="00DE1035">
        <w:rPr>
          <w:i/>
        </w:rPr>
        <w:t>Բերանի խոռոչում դիսպերսվող դեղահաբերը</w:t>
      </w:r>
      <w:r w:rsidRPr="00E345B2">
        <w:t xml:space="preserve"> պետք է տրոհվեն 3 րոպեի ընթացքում։ Փորձարկումն անցկացնում են «</w:t>
      </w:r>
      <w:r w:rsidRPr="00AA7C33">
        <w:rPr>
          <w:i/>
        </w:rPr>
        <w:t xml:space="preserve">2.1.9.1. Դեղահաբերի եւ դեղապատիճների տրոհելիությունը» </w:t>
      </w:r>
      <w:r w:rsidRPr="00E345B2">
        <w:t>ընդհանուր դեղագրքային հոդվածին համապատասխան։ Որպես հեղուկ միջավայր օգտագործում են Ռ ջուր։</w:t>
      </w:r>
    </w:p>
    <w:p w14:paraId="4892C64B" w14:textId="77777777" w:rsidR="0035054F" w:rsidRPr="00E345B2" w:rsidRDefault="0035054F" w:rsidP="0035054F">
      <w:pPr>
        <w:spacing w:after="160" w:line="360" w:lineRule="auto"/>
        <w:ind w:firstLine="567"/>
        <w:jc w:val="both"/>
      </w:pPr>
      <w:r w:rsidRPr="00DE1035">
        <w:rPr>
          <w:i/>
        </w:rPr>
        <w:t>Լիոֆիլիզատ դեղահաբերը։ 1 դեղահա</w:t>
      </w:r>
      <w:r w:rsidRPr="00E345B2">
        <w:t xml:space="preserve">բը դնում են 15 °С-ից 25 °С ջերմաստիճանում 200 մլ Ռ ջուր պարունակող բաժակի մեջ։ Տրոհելիության ժամանակը չպետք է գերազանցի 3 րոպեն։ Փորձարկումը կրկնում են 5 այլ </w:t>
      </w:r>
      <w:r w:rsidRPr="00E345B2">
        <w:lastRenderedPageBreak/>
        <w:t>դեղահաբերի վրա։ Դեղահաբերը պահանջները բավարարում են, եթե բոլոր 6</w:t>
      </w:r>
      <w:r w:rsidRPr="00B5542D">
        <w:t> </w:t>
      </w:r>
      <w:r w:rsidRPr="00E345B2">
        <w:t>դեղահաբերը տրոհվել են։</w:t>
      </w:r>
    </w:p>
    <w:p w14:paraId="41CDFB6B" w14:textId="77777777" w:rsidR="0035054F" w:rsidRPr="00E345B2" w:rsidRDefault="0035054F" w:rsidP="0035054F">
      <w:pPr>
        <w:spacing w:after="160" w:line="360" w:lineRule="auto"/>
        <w:ind w:firstLine="567"/>
        <w:jc w:val="both"/>
      </w:pPr>
      <w:r w:rsidRPr="00E345B2">
        <w:t xml:space="preserve">Բերանի խոռոչում կիրառության համար նախատեսված դեղահաբերը (ենթալեզվային, հարթշային, ներծծման համար նախատեսված դեղահաբեր)։ Փորձարկումն անցկացնում են </w:t>
      </w:r>
      <w:r w:rsidRPr="00AA7C33">
        <w:rPr>
          <w:i/>
        </w:rPr>
        <w:t>«2.1.9.1. Դեղահաբերի եւ դեղապատիճների տրոհելիությունը»</w:t>
      </w:r>
      <w:r w:rsidRPr="00E345B2">
        <w:t xml:space="preserve"> ընդհանուր դեղագրքային հոդվածին համապատասխան։ Մասնավոր դեղագրքային հոդվածում </w:t>
      </w:r>
      <w:r>
        <w:t>եւ</w:t>
      </w:r>
      <w:r w:rsidRPr="00E345B2">
        <w:t xml:space="preserve"> (կամ) որակի վերաբերյալ նորմատիվ փաստաթղթում այլ ցուցումների բացակայության դեպքում որպես հեղուկ միջավայր օգտագործում են Ռ ջուր։ Տրոհելիության ժամանակը ներկայացվում է մասնավոր դեղագրքային հոդվածում </w:t>
      </w:r>
      <w:r>
        <w:t>եւ</w:t>
      </w:r>
      <w:r w:rsidRPr="00E345B2">
        <w:t xml:space="preserve"> (կամ) որակի վերաբերյալ նորմատիվ փաստաթղթում։ Մի շարք դեպքերում լրացուցիչ նորմավորում են այն ժամանակը, որի ընթացքում դեղահաբը չպետք է տրոհվի։</w:t>
      </w:r>
    </w:p>
    <w:p w14:paraId="16331F5A" w14:textId="77777777" w:rsidR="0035054F" w:rsidRPr="00E345B2" w:rsidRDefault="0035054F" w:rsidP="0035054F">
      <w:pPr>
        <w:spacing w:after="160" w:line="360" w:lineRule="auto"/>
        <w:ind w:firstLine="567"/>
        <w:jc w:val="both"/>
      </w:pPr>
      <w:r w:rsidRPr="00DE1035">
        <w:rPr>
          <w:i/>
        </w:rPr>
        <w:t>Հեշտոցային դեղահաբերը</w:t>
      </w:r>
      <w:r w:rsidRPr="00E345B2">
        <w:t xml:space="preserve">։ Բացառությամբ երկարաձգված ազդեցության դեղահաբերի՝ փորձարկումն անցկացնում են «2.1.9.2. Մոմիկների </w:t>
      </w:r>
      <w:r>
        <w:t>եւ</w:t>
      </w:r>
      <w:r w:rsidRPr="00E345B2">
        <w:t xml:space="preserve"> հեշտոցային դեղահաբերի, ռեկտալ եւ հեշտոցային դեղապատիճների տրոհելիությունը» ընդհանուր դեղագրքային հոդվածին համապատասխան։ Եթե մասնավոր դեղագրքային հոդվածում </w:t>
      </w:r>
      <w:r>
        <w:t>եւ</w:t>
      </w:r>
      <w:r w:rsidRPr="00E345B2">
        <w:t xml:space="preserve"> (կամ) որակի վերաբերյալ նորմատիվ փաստաթղթում այլ բան նշված չէ, դեղահաբերի տրոհելիության ժամանակը չպետք է գերազանցի 30 րոպեն։</w:t>
      </w:r>
    </w:p>
    <w:p w14:paraId="42466D40" w14:textId="77777777" w:rsidR="0035054F" w:rsidRPr="00E345B2" w:rsidRDefault="0035054F" w:rsidP="0035054F">
      <w:pPr>
        <w:spacing w:after="160" w:line="360" w:lineRule="auto"/>
        <w:ind w:firstLine="567"/>
        <w:jc w:val="both"/>
      </w:pPr>
      <w:r w:rsidRPr="00DE1035">
        <w:rPr>
          <w:i/>
        </w:rPr>
        <w:t xml:space="preserve">Փրփրուն դեղահաբերը պետք է տրոհվեն </w:t>
      </w:r>
      <w:r w:rsidRPr="00E345B2">
        <w:t xml:space="preserve">կան լուծվեն 5 րոպեի ընթացքում։ Մեկ դեղահաբը դնում են 200 մլ Ռ ջուր պարունակող բաժակի մեջ 15 °С-ից 25 °С ջերմաստիճանում, միաժամանակ սկսում են գազի պղպջակներ արձակվել: Դեղահաբը համարվում է տրոհված կամ լուծված, եթե դրա կամ դրա մասնիկների </w:t>
      </w:r>
      <w:r w:rsidRPr="0035054F">
        <w:rPr>
          <w:spacing w:val="-4"/>
        </w:rPr>
        <w:t>շուրջը գազի պղպջակների արձակումը դադարելուց հետո դեղահաբը կա՛մ լուծվել է, կա՛մ դիսպերսվել է ջրում, եւ մասնիկների ագլոմերատներ չկան: Փորձը կրկնում են 5</w:t>
      </w:r>
      <w:r w:rsidRPr="00E345B2">
        <w:t xml:space="preserve"> այլ դեղահաբերի վրա։</w:t>
      </w:r>
    </w:p>
    <w:p w14:paraId="22DA1AE0" w14:textId="77777777" w:rsidR="0035054F" w:rsidRPr="00E345B2" w:rsidRDefault="0035054F" w:rsidP="0035054F">
      <w:pPr>
        <w:spacing w:after="160" w:line="360" w:lineRule="auto"/>
        <w:ind w:firstLine="567"/>
        <w:jc w:val="both"/>
      </w:pPr>
      <w:r w:rsidRPr="00DE1035">
        <w:rPr>
          <w:b/>
        </w:rPr>
        <w:t>Լուծվելը.</w:t>
      </w:r>
      <w:r w:rsidRPr="00E345B2">
        <w:t xml:space="preserve"> Փորձարկումն անցկացնում են ազդող նյութի կամ նյութերի համապատասխան ձերբազատումը հաստատելու համար՝ «2.1.9.3. </w:t>
      </w:r>
      <w:r w:rsidRPr="00DE1035">
        <w:rPr>
          <w:i/>
        </w:rPr>
        <w:t xml:space="preserve">Դեղաչափված </w:t>
      </w:r>
      <w:r w:rsidRPr="00DE1035">
        <w:rPr>
          <w:i/>
        </w:rPr>
        <w:lastRenderedPageBreak/>
        <w:t>պինդ դեղաձեւերի համար լուծվելու փորձարկումը»</w:t>
      </w:r>
      <w:r w:rsidRPr="00E345B2">
        <w:t xml:space="preserve"> ընդհանուր դեղագրքային հոդվածում նկարագրված եղանակներից որ</w:t>
      </w:r>
      <w:r>
        <w:t>եւ</w:t>
      </w:r>
      <w:r w:rsidRPr="00E345B2">
        <w:t xml:space="preserve">է մեկով։ Եթե մասնավոր դեղագրքային հոդվածում </w:t>
      </w:r>
      <w:r>
        <w:t>եւ</w:t>
      </w:r>
      <w:r w:rsidRPr="00E345B2">
        <w:t xml:space="preserve"> (կամ) որակի վերաբերյալ նորմատիվ փաստաթղթում նախատեսված է լուծվելու որոշումը, դեղահաբերի տրոհելիության փորձարկումը պարտադիր չէ։</w:t>
      </w:r>
    </w:p>
    <w:p w14:paraId="2445C90F" w14:textId="77777777" w:rsidR="0035054F" w:rsidRPr="00E345B2" w:rsidRDefault="0035054F" w:rsidP="0035054F">
      <w:pPr>
        <w:spacing w:after="160" w:line="360" w:lineRule="auto"/>
        <w:ind w:firstLine="567"/>
        <w:jc w:val="both"/>
      </w:pPr>
      <w:r w:rsidRPr="00E345B2">
        <w:t>Ձ</w:t>
      </w:r>
      <w:r>
        <w:t>եւ</w:t>
      </w:r>
      <w:r w:rsidRPr="00E345B2">
        <w:t>ափոխված ձերբազատմամբ դեղահաբերի համար</w:t>
      </w:r>
      <w:r>
        <w:t xml:space="preserve"> </w:t>
      </w:r>
      <w:r w:rsidRPr="00E345B2">
        <w:t>անցկացնում են ազդող նյութի համապատասխան ձերբազատումը հաստատող փորձարկում։</w:t>
      </w:r>
    </w:p>
    <w:p w14:paraId="243F1B71" w14:textId="77777777" w:rsidR="0035054F" w:rsidRPr="00E345B2" w:rsidRDefault="0035054F" w:rsidP="0035054F">
      <w:pPr>
        <w:spacing w:after="160" w:line="360" w:lineRule="auto"/>
        <w:ind w:firstLine="567"/>
        <w:jc w:val="both"/>
      </w:pPr>
      <w:r w:rsidRPr="00E345B2">
        <w:t>Այլ հիմնավորում չլինելու դեպքում աղելույծ դեղահաբերի համար անցկացնում են ազդող նյութի անհրաժեշտ քանակի հետաձգված ձերբազատումը հաստատող փորձարկում՝ «</w:t>
      </w:r>
      <w:r w:rsidRPr="00DE1035">
        <w:rPr>
          <w:i/>
        </w:rPr>
        <w:t>2.1.9.3. Դեղաչափված պինդ դեղաձեւերի համար լուծվելու փորձարկումը»</w:t>
      </w:r>
      <w:r w:rsidRPr="00E345B2">
        <w:t xml:space="preserve"> ընդհանուր դեղագրքային հոդվածին համապատասխան։</w:t>
      </w:r>
    </w:p>
    <w:p w14:paraId="240C9379" w14:textId="77777777" w:rsidR="0035054F" w:rsidRPr="00E345B2" w:rsidRDefault="0035054F" w:rsidP="0035054F">
      <w:pPr>
        <w:spacing w:after="160" w:line="360" w:lineRule="auto"/>
        <w:ind w:firstLine="567"/>
        <w:jc w:val="both"/>
      </w:pPr>
      <w:r w:rsidRPr="00DE1035">
        <w:rPr>
          <w:b/>
        </w:rPr>
        <w:t>Դիսպերսման աստիճանը</w:t>
      </w:r>
      <w:r w:rsidRPr="00E345B2">
        <w:t xml:space="preserve">։ Փորձարկումն անցկացնում են դիսպերսվող դեղահաբերի համար։ 2 դեղահաբ դնում են 100 մլ Ռ ջուր պարունակող փորձանոթի մեջ </w:t>
      </w:r>
      <w:r>
        <w:t>եւ</w:t>
      </w:r>
      <w:r w:rsidRPr="00E345B2">
        <w:t xml:space="preserve"> խառնում մինչ</w:t>
      </w:r>
      <w:r>
        <w:t>եւ</w:t>
      </w:r>
      <w:r w:rsidRPr="00E345B2">
        <w:t xml:space="preserve"> ամբողջությամբ դիսպերսվի։ Պետք է գոյանա միատարր կախույթ, որն անցնում է անցքերի 710 մկմ նոմինալ չափ ունեցող մաղի միջով։</w:t>
      </w:r>
    </w:p>
    <w:p w14:paraId="11823F22" w14:textId="77777777" w:rsidR="0035054F" w:rsidRPr="00E345B2" w:rsidRDefault="0035054F" w:rsidP="0035054F">
      <w:pPr>
        <w:spacing w:after="160" w:line="360" w:lineRule="auto"/>
        <w:ind w:firstLine="567"/>
        <w:jc w:val="both"/>
      </w:pPr>
      <w:r w:rsidRPr="00DE1035">
        <w:rPr>
          <w:b/>
        </w:rPr>
        <w:t>Չորացնելիս զանգվածի կորուստը կամ Ջուրը</w:t>
      </w:r>
      <w:r w:rsidRPr="00E345B2">
        <w:t xml:space="preserve">. Փորձարկումն անցկացնում են այն դեպքերում, երբ ջրի պարունակությունը կարող է ազդել ազդող նյութի հատկությունների, պատրաստուկի կայունության վրա </w:t>
      </w:r>
      <w:r>
        <w:t>եւ</w:t>
      </w:r>
      <w:r w:rsidRPr="00E345B2">
        <w:t xml:space="preserve"> այլն։ Փորձարկումը պարտադիր է լիոֆիլացման եղանակով ստացված դեղահաբերի համար։ Փորձարկումն անցկացնում են </w:t>
      </w:r>
      <w:r w:rsidRPr="00DE1035">
        <w:rPr>
          <w:i/>
        </w:rPr>
        <w:t xml:space="preserve">«2.1.2.31. Չորացնելիս զանգվածի կորուստը» կամ «2.1.5.12. Ջուրը։ </w:t>
      </w:r>
      <w:r w:rsidRPr="00E345B2">
        <w:t xml:space="preserve">Կիսամիկրոմեթոդով որոշումը» ընդհանուր դեղագրքային հոդվածին համապատասխան։ </w:t>
      </w:r>
    </w:p>
    <w:p w14:paraId="4CBCBB57" w14:textId="77777777" w:rsidR="0035054F" w:rsidRPr="00B5542D" w:rsidRDefault="0035054F" w:rsidP="0035054F">
      <w:pPr>
        <w:spacing w:after="160" w:line="360" w:lineRule="auto"/>
        <w:ind w:firstLine="567"/>
        <w:jc w:val="both"/>
      </w:pPr>
      <w:r w:rsidRPr="00DE1035">
        <w:rPr>
          <w:b/>
          <w:spacing w:val="-4"/>
        </w:rPr>
        <w:t>Մնացորդային օրգանական լուծիչները։</w:t>
      </w:r>
      <w:r w:rsidR="00DE1035" w:rsidRPr="00DE1035">
        <w:rPr>
          <w:b/>
          <w:spacing w:val="-4"/>
        </w:rPr>
        <w:t xml:space="preserve"> </w:t>
      </w:r>
      <w:r w:rsidRPr="00DE1035">
        <w:rPr>
          <w:spacing w:val="-4"/>
        </w:rPr>
        <w:t xml:space="preserve">Եթե կիրառելի է, դեղահաբերը պետք է բավարարեն </w:t>
      </w:r>
      <w:r w:rsidRPr="00DE1035">
        <w:rPr>
          <w:i/>
          <w:spacing w:val="-4"/>
        </w:rPr>
        <w:t>«2.3.2.0. Մնացորդային օրգանական լուծիչները»</w:t>
      </w:r>
      <w:r w:rsidRPr="00DE1035">
        <w:rPr>
          <w:spacing w:val="-4"/>
        </w:rPr>
        <w:t xml:space="preserve"> ընդհանուր դեղագրքային</w:t>
      </w:r>
      <w:r w:rsidRPr="00E345B2">
        <w:t xml:space="preserve"> հոդվածի պահանջները։</w:t>
      </w:r>
    </w:p>
    <w:p w14:paraId="7F6BD716" w14:textId="77777777" w:rsidR="00DE1035" w:rsidRPr="00B5542D" w:rsidRDefault="00DE1035" w:rsidP="0035054F">
      <w:pPr>
        <w:spacing w:after="160" w:line="360" w:lineRule="auto"/>
        <w:ind w:firstLine="567"/>
        <w:jc w:val="both"/>
      </w:pPr>
    </w:p>
    <w:p w14:paraId="67276911" w14:textId="77777777" w:rsidR="0035054F" w:rsidRPr="00E345B2" w:rsidRDefault="0035054F" w:rsidP="0035054F">
      <w:pPr>
        <w:spacing w:after="160" w:line="360" w:lineRule="auto"/>
        <w:ind w:firstLine="567"/>
        <w:jc w:val="both"/>
      </w:pPr>
      <w:r w:rsidRPr="00E345B2">
        <w:lastRenderedPageBreak/>
        <w:t xml:space="preserve">Օրգանական լուծիչի պարունակության նորման բերում են մկգ/դեղահաբի՝ ելնելով լուծիչի օրական սահմանային թույլատրելի դեղաչափից </w:t>
      </w:r>
      <w:r>
        <w:t>եւ</w:t>
      </w:r>
      <w:r w:rsidRPr="00E345B2">
        <w:t xml:space="preserve"> պատրաստուկի առավելագույն օրական դեղաչափից։</w:t>
      </w:r>
    </w:p>
    <w:p w14:paraId="6DF6979A" w14:textId="77777777" w:rsidR="0035054F" w:rsidRPr="00E345B2" w:rsidRDefault="0035054F" w:rsidP="00DE1035">
      <w:pPr>
        <w:spacing w:after="160" w:line="360" w:lineRule="auto"/>
        <w:ind w:firstLine="567"/>
        <w:jc w:val="both"/>
      </w:pPr>
      <w:r w:rsidRPr="00DE1035">
        <w:rPr>
          <w:b/>
        </w:rPr>
        <w:t>Դեղաչափված միավորների միատարրությունը</w:t>
      </w:r>
      <w:r w:rsidRPr="00E345B2">
        <w:t xml:space="preserve">. Դեղահաբերը պետք է բավարարեն </w:t>
      </w:r>
      <w:r w:rsidRPr="00DE1035">
        <w:rPr>
          <w:i/>
        </w:rPr>
        <w:t>«2.1.9.14. Դեղաչափված միավորների միատարրությունը»</w:t>
      </w:r>
      <w:r w:rsidRPr="00E345B2">
        <w:t xml:space="preserve"> ընդհանուր դեղագրքային հոդվածի պահանջները, եթե մասնավոր դեղագրքային հոդվածում </w:t>
      </w:r>
      <w:r>
        <w:t>եւ</w:t>
      </w:r>
      <w:r w:rsidRPr="00E345B2">
        <w:t xml:space="preserve"> (կամ) որակի վերաբերյալ նորմատիվ փաստաթղթում այլ ցուցումներ չկան։</w:t>
      </w:r>
    </w:p>
    <w:p w14:paraId="2822D466" w14:textId="77777777" w:rsidR="0035054F" w:rsidRPr="00E345B2" w:rsidRDefault="0035054F" w:rsidP="00DE1035">
      <w:pPr>
        <w:spacing w:after="160" w:line="360" w:lineRule="auto"/>
        <w:ind w:firstLine="567"/>
        <w:jc w:val="both"/>
      </w:pPr>
      <w:r w:rsidRPr="00DE1035">
        <w:rPr>
          <w:spacing w:val="-4"/>
        </w:rPr>
        <w:t>Քանակական որոշումը. Փորձարկման համար վերցնում են տրորած դեղահաբերի կշռանմուշ (առնվազն 20 հատ)։ Եթե դեղահաբի մանրացումը կարող է հանգեցնել</w:t>
      </w:r>
      <w:r w:rsidRPr="00E345B2">
        <w:t xml:space="preserve"> ազդող նյութի քայքայմանը, կամ եթե միատարր մանրացված փոշի ստանալը դժվար է, փորձարկումն անցկացնում են ամբողջական դեղահաբի կամ</w:t>
      </w:r>
      <w:r>
        <w:t xml:space="preserve"> </w:t>
      </w:r>
      <w:r w:rsidRPr="00E345B2">
        <w:t>դեղահաբերի վրա։ Այդ դեպքում խորհուրդ է տրվում օգտագործել առնվազն 10 դեղահաբ։</w:t>
      </w:r>
    </w:p>
    <w:p w14:paraId="5B3B24CB" w14:textId="77777777" w:rsidR="0035054F" w:rsidRPr="00E345B2" w:rsidRDefault="0035054F" w:rsidP="00DE1035">
      <w:pPr>
        <w:spacing w:after="160" w:line="360" w:lineRule="auto"/>
        <w:ind w:firstLine="567"/>
        <w:jc w:val="both"/>
      </w:pPr>
      <w:r w:rsidRPr="00E345B2">
        <w:t>Որպես քանակական որոշման արդյունք կարող է ընդունվել դոզավորման միատարրության փորձարկման ժամանակ ստացված միջին արժեքը։</w:t>
      </w:r>
    </w:p>
    <w:p w14:paraId="06FF747D" w14:textId="77777777" w:rsidR="0035054F" w:rsidRPr="00DE1035" w:rsidRDefault="0035054F" w:rsidP="00DE1035">
      <w:pPr>
        <w:spacing w:after="160" w:line="360" w:lineRule="auto"/>
        <w:ind w:firstLine="567"/>
        <w:jc w:val="both"/>
        <w:rPr>
          <w:sz w:val="20"/>
        </w:rPr>
      </w:pPr>
    </w:p>
    <w:p w14:paraId="112492BD" w14:textId="77777777" w:rsidR="0035054F" w:rsidRPr="00B5542D" w:rsidRDefault="0035054F" w:rsidP="00DE1035">
      <w:pPr>
        <w:spacing w:after="160" w:line="360" w:lineRule="auto"/>
        <w:jc w:val="right"/>
        <w:rPr>
          <w:b/>
          <w:sz w:val="20"/>
        </w:rPr>
      </w:pPr>
      <w:r w:rsidRPr="00DE1035">
        <w:rPr>
          <w:b/>
          <w:sz w:val="20"/>
        </w:rPr>
        <w:t>205010035-2022</w:t>
      </w:r>
    </w:p>
    <w:p w14:paraId="431E2065" w14:textId="77777777" w:rsidR="00DE1035" w:rsidRPr="00B5542D" w:rsidRDefault="00DE1035" w:rsidP="00DE1035">
      <w:pPr>
        <w:spacing w:after="160" w:line="360" w:lineRule="auto"/>
        <w:jc w:val="right"/>
        <w:rPr>
          <w:b/>
          <w:sz w:val="20"/>
        </w:rPr>
      </w:pPr>
    </w:p>
    <w:p w14:paraId="75CDA452" w14:textId="77777777" w:rsidR="0035054F" w:rsidRPr="00DE1035" w:rsidRDefault="0035054F" w:rsidP="00DE1035">
      <w:pPr>
        <w:tabs>
          <w:tab w:val="left" w:pos="1701"/>
        </w:tabs>
        <w:spacing w:after="160" w:line="360" w:lineRule="auto"/>
        <w:ind w:firstLine="567"/>
        <w:jc w:val="both"/>
        <w:rPr>
          <w:b/>
        </w:rPr>
      </w:pPr>
      <w:r w:rsidRPr="00DE1035">
        <w:rPr>
          <w:b/>
        </w:rPr>
        <w:t>2.5.1.35.</w:t>
      </w:r>
      <w:r w:rsidR="00DE1035" w:rsidRPr="00B5542D">
        <w:rPr>
          <w:b/>
        </w:rPr>
        <w:tab/>
      </w:r>
      <w:r w:rsidRPr="00DE1035">
        <w:rPr>
          <w:b/>
        </w:rPr>
        <w:t>Խծուծներ՝ դեղային</w:t>
      </w:r>
    </w:p>
    <w:p w14:paraId="6D25D1A0" w14:textId="77777777" w:rsidR="0035054F" w:rsidRPr="00E345B2" w:rsidRDefault="0035054F" w:rsidP="00DE1035">
      <w:pPr>
        <w:spacing w:after="160" w:line="360" w:lineRule="auto"/>
        <w:ind w:firstLine="567"/>
        <w:jc w:val="both"/>
      </w:pPr>
      <w:r w:rsidRPr="00E345B2">
        <w:t>«Դեղային խծուծներ»՝ դեղաձ</w:t>
      </w:r>
      <w:r>
        <w:t>եւ</w:t>
      </w:r>
      <w:r w:rsidRPr="00E345B2">
        <w:t>, որը նախատեսված է մարմնի բնական անցքեր սահմանափակ ժամանակահատվածով ներմուծման համար, բաղկացած է փափուկ թելքավոր նյութից, որը տոգորված է ակտիվ դեղագործական բաղադրամասով (բաղադրամասերով)՝ օժանդակ նյութերի ավելացմամբ կամ առանց դրանց ավելացման։</w:t>
      </w:r>
    </w:p>
    <w:p w14:paraId="5EE7E06F" w14:textId="77777777" w:rsidR="0035054F" w:rsidRPr="00E345B2" w:rsidRDefault="0035054F" w:rsidP="00DE1035">
      <w:pPr>
        <w:spacing w:after="160" w:line="360" w:lineRule="auto"/>
        <w:ind w:firstLine="567"/>
        <w:jc w:val="both"/>
      </w:pPr>
      <w:r w:rsidRPr="00E345B2">
        <w:t xml:space="preserve">Ներմուծման ուղով </w:t>
      </w:r>
      <w:r>
        <w:t>եւ</w:t>
      </w:r>
      <w:r w:rsidRPr="00E345B2">
        <w:t xml:space="preserve"> կիրառության եղանակով պայմանավորված՝ տարբերակում են դեղային խծուծների հետ</w:t>
      </w:r>
      <w:r>
        <w:t>եւ</w:t>
      </w:r>
      <w:r w:rsidRPr="00E345B2">
        <w:t>յալ տեսակները.</w:t>
      </w:r>
    </w:p>
    <w:p w14:paraId="0099DF2A" w14:textId="77777777" w:rsidR="0035054F" w:rsidRPr="00E345B2" w:rsidRDefault="0035054F" w:rsidP="00DE1035">
      <w:pPr>
        <w:tabs>
          <w:tab w:val="left" w:pos="1134"/>
        </w:tabs>
        <w:spacing w:after="160" w:line="360" w:lineRule="auto"/>
        <w:ind w:firstLine="567"/>
        <w:jc w:val="both"/>
      </w:pPr>
      <w:r w:rsidRPr="00E345B2">
        <w:lastRenderedPageBreak/>
        <w:t>-</w:t>
      </w:r>
      <w:r w:rsidR="00DE1035" w:rsidRPr="00DE1035">
        <w:tab/>
      </w:r>
      <w:r w:rsidRPr="00DE1035">
        <w:rPr>
          <w:i/>
        </w:rPr>
        <w:t>դեղային, հեշտոցային խծուծներ</w:t>
      </w:r>
      <w:r w:rsidRPr="00E345B2">
        <w:t>՝ հեշտոց ներմուծելու համար նախատեսված դեղային խծուծներ.</w:t>
      </w:r>
    </w:p>
    <w:p w14:paraId="2A1303C2" w14:textId="77777777" w:rsidR="0035054F" w:rsidRPr="00E345B2" w:rsidRDefault="0035054F" w:rsidP="00DE1035">
      <w:pPr>
        <w:tabs>
          <w:tab w:val="left" w:pos="1134"/>
        </w:tabs>
        <w:spacing w:after="160" w:line="360" w:lineRule="auto"/>
        <w:ind w:firstLine="567"/>
        <w:jc w:val="both"/>
      </w:pPr>
      <w:r w:rsidRPr="00E345B2">
        <w:t>-</w:t>
      </w:r>
      <w:r w:rsidR="00DE1035" w:rsidRPr="00DE1035">
        <w:tab/>
      </w:r>
      <w:r w:rsidRPr="00DE1035">
        <w:rPr>
          <w:i/>
        </w:rPr>
        <w:t>դեղային, ռեկտալ խծուծներ՝</w:t>
      </w:r>
      <w:r w:rsidRPr="00E345B2">
        <w:t xml:space="preserve"> ուղիղ աղիք ներմուծելու համար նախատեսված դեղային խծուծներ.</w:t>
      </w:r>
    </w:p>
    <w:p w14:paraId="3683F77B" w14:textId="77777777" w:rsidR="0035054F" w:rsidRPr="00E345B2" w:rsidRDefault="0035054F" w:rsidP="00DE1035">
      <w:pPr>
        <w:tabs>
          <w:tab w:val="left" w:pos="1134"/>
        </w:tabs>
        <w:spacing w:after="160" w:line="360" w:lineRule="auto"/>
        <w:ind w:firstLine="567"/>
        <w:jc w:val="both"/>
      </w:pPr>
      <w:r w:rsidRPr="00E345B2">
        <w:t>-</w:t>
      </w:r>
      <w:r w:rsidR="00DE1035" w:rsidRPr="00DE1035">
        <w:tab/>
      </w:r>
      <w:r w:rsidRPr="00DE1035">
        <w:rPr>
          <w:i/>
        </w:rPr>
        <w:t>դեղային, ականջի խծուծներ՝</w:t>
      </w:r>
      <w:r w:rsidRPr="00E345B2">
        <w:t xml:space="preserve"> արտաքին լսողական անցուղի ներմուծելու համար նախատեսված դեղային խծուծներ.</w:t>
      </w:r>
    </w:p>
    <w:p w14:paraId="7FB9EC07" w14:textId="77777777" w:rsidR="0035054F" w:rsidRPr="00E345B2" w:rsidRDefault="0035054F" w:rsidP="00DE1035">
      <w:pPr>
        <w:tabs>
          <w:tab w:val="left" w:pos="1134"/>
        </w:tabs>
        <w:spacing w:after="160" w:line="360" w:lineRule="auto"/>
        <w:ind w:firstLine="567"/>
        <w:jc w:val="both"/>
      </w:pPr>
      <w:r w:rsidRPr="00E345B2">
        <w:t>-</w:t>
      </w:r>
      <w:r w:rsidR="00DE1035" w:rsidRPr="00DE1035">
        <w:tab/>
      </w:r>
      <w:r w:rsidRPr="00DE1035">
        <w:rPr>
          <w:i/>
        </w:rPr>
        <w:t>ինհալացիաների համար նախատեսված դեղային խծուծներ</w:t>
      </w:r>
      <w:r w:rsidRPr="00E345B2">
        <w:t xml:space="preserve">՝ դեղային խծուծներ, որպես կանոն, կլորացված ծայրով </w:t>
      </w:r>
      <w:r>
        <w:t>եւ</w:t>
      </w:r>
      <w:r w:rsidRPr="00E345B2">
        <w:t xml:space="preserve"> բացվածքով համապատասխան գլանաձ</w:t>
      </w:r>
      <w:r>
        <w:t>եւ</w:t>
      </w:r>
      <w:r w:rsidRPr="00E345B2">
        <w:t xml:space="preserve"> ներդրուկների մեջ տեղադրվող, քթանցքերով ինհալացիաների համար նախատեսված։</w:t>
      </w:r>
    </w:p>
    <w:p w14:paraId="1AA0D5DC" w14:textId="77777777" w:rsidR="0035054F" w:rsidRPr="00E345B2" w:rsidRDefault="0035054F" w:rsidP="00DE1035">
      <w:pPr>
        <w:spacing w:after="160" w:line="360" w:lineRule="auto"/>
        <w:ind w:firstLine="567"/>
        <w:jc w:val="both"/>
      </w:pPr>
      <w:r w:rsidRPr="00E345B2">
        <w:t xml:space="preserve">Դեղային, հեշտոցային խծուծները </w:t>
      </w:r>
      <w:r>
        <w:t>եւ</w:t>
      </w:r>
      <w:r w:rsidRPr="00E345B2">
        <w:t xml:space="preserve"> դեղային, ականջի խծուծները նախատեսված են տեղային ազդեցություն թողնելու համար, դեղային, ռեկտալ խծուծները </w:t>
      </w:r>
      <w:r>
        <w:t>եւ</w:t>
      </w:r>
      <w:r w:rsidRPr="00E345B2">
        <w:t xml:space="preserve"> ինհալացիաների համար նախատեսված դեղային խծուծները՝ համակարգային ազդեցություն թողնելու համար։</w:t>
      </w:r>
    </w:p>
    <w:p w14:paraId="27392294" w14:textId="77777777" w:rsidR="0035054F" w:rsidRPr="00E345B2" w:rsidRDefault="0035054F" w:rsidP="00DE1035">
      <w:pPr>
        <w:spacing w:after="160" w:line="360" w:lineRule="auto"/>
        <w:ind w:firstLine="567"/>
        <w:jc w:val="both"/>
      </w:pPr>
    </w:p>
    <w:p w14:paraId="55F05072" w14:textId="77777777" w:rsidR="0035054F" w:rsidRPr="00DE1035" w:rsidRDefault="0035054F" w:rsidP="00DE1035">
      <w:pPr>
        <w:spacing w:after="160" w:line="360" w:lineRule="auto"/>
        <w:ind w:firstLine="567"/>
        <w:jc w:val="both"/>
        <w:rPr>
          <w:b/>
        </w:rPr>
      </w:pPr>
      <w:r w:rsidRPr="00DE1035">
        <w:rPr>
          <w:b/>
        </w:rPr>
        <w:t>ՏԵԽՆՈԼՈԳԻԱՅԻ ԱՌԱՆՁՆԱՀԱՏԿՈՒԹՅՈՒՆՆԵՐԸ</w:t>
      </w:r>
    </w:p>
    <w:p w14:paraId="7F4B0698" w14:textId="77777777" w:rsidR="0035054F" w:rsidRPr="00E345B2" w:rsidRDefault="0035054F" w:rsidP="00DE1035">
      <w:pPr>
        <w:spacing w:after="160" w:line="360" w:lineRule="auto"/>
        <w:ind w:firstLine="567"/>
        <w:jc w:val="both"/>
      </w:pPr>
      <w:r w:rsidRPr="00E345B2">
        <w:t xml:space="preserve">Դեղային խծուծներն արտադրում են գործված </w:t>
      </w:r>
      <w:r>
        <w:t>եւ</w:t>
      </w:r>
      <w:r w:rsidRPr="00E345B2">
        <w:t xml:space="preserve"> չգործված բնական </w:t>
      </w:r>
      <w:r>
        <w:t>եւ</w:t>
      </w:r>
      <w:r w:rsidRPr="00E345B2">
        <w:t xml:space="preserve"> սինթետիկ հիպոալերգեն նյութերից (օրինակ՝ ցելյուլոզի ածանցյալներից, կոլագենից, սիլիկոնից </w:t>
      </w:r>
      <w:r>
        <w:t>եւ</w:t>
      </w:r>
      <w:r w:rsidRPr="00E345B2">
        <w:t xml:space="preserve"> այլն), որոնց հաղորդում են անհրաժեշտ ձ</w:t>
      </w:r>
      <w:r>
        <w:t>եւ</w:t>
      </w:r>
      <w:r w:rsidRPr="00E345B2">
        <w:t xml:space="preserve"> </w:t>
      </w:r>
      <w:r>
        <w:t>եւ</w:t>
      </w:r>
      <w:r w:rsidRPr="00E345B2">
        <w:t xml:space="preserve"> չափ ու տոգորում են ակտիվ դեղագործական բաղադրամասերի </w:t>
      </w:r>
      <w:r>
        <w:t>եւ</w:t>
      </w:r>
      <w:r w:rsidRPr="00E345B2">
        <w:t xml:space="preserve"> օժանդակ նյութերի կազմությամբ։</w:t>
      </w:r>
    </w:p>
    <w:p w14:paraId="7C48E59C" w14:textId="77777777" w:rsidR="0035054F" w:rsidRPr="00E345B2" w:rsidRDefault="0035054F" w:rsidP="00DE1035">
      <w:pPr>
        <w:spacing w:after="160" w:line="360" w:lineRule="auto"/>
        <w:ind w:firstLine="567"/>
        <w:jc w:val="both"/>
      </w:pPr>
      <w:r w:rsidRPr="00E345B2">
        <w:t xml:space="preserve">Դեղային խծուծների արտադրության, փաթեթավորման, պահպանման </w:t>
      </w:r>
      <w:r>
        <w:t>եւ</w:t>
      </w:r>
      <w:r w:rsidRPr="00E345B2">
        <w:t xml:space="preserve"> բաշխման ժամանակ պետք է ընդունվեն անհրաժեշտ մանրէաբանական մաքրության ապահովմանն ուղղված համապատասխան միջոցներ։</w:t>
      </w:r>
    </w:p>
    <w:p w14:paraId="139D7D32" w14:textId="77777777" w:rsidR="00DE1035" w:rsidRDefault="00DE1035">
      <w:r>
        <w:br w:type="page"/>
      </w:r>
    </w:p>
    <w:p w14:paraId="1BD8B3D1" w14:textId="77777777" w:rsidR="0035054F" w:rsidRPr="00DE1035" w:rsidRDefault="0035054F" w:rsidP="00DE1035">
      <w:pPr>
        <w:spacing w:after="160" w:line="360" w:lineRule="auto"/>
        <w:ind w:firstLine="567"/>
        <w:jc w:val="both"/>
        <w:rPr>
          <w:b/>
        </w:rPr>
      </w:pPr>
      <w:r w:rsidRPr="00DE1035">
        <w:rPr>
          <w:b/>
        </w:rPr>
        <w:lastRenderedPageBreak/>
        <w:t>ՓՈՐՁԱՐԿՈՒՄՆԵՐԸ</w:t>
      </w:r>
    </w:p>
    <w:p w14:paraId="63772BCB" w14:textId="77777777" w:rsidR="0035054F" w:rsidRPr="00E345B2" w:rsidRDefault="0035054F" w:rsidP="00DE1035">
      <w:pPr>
        <w:spacing w:after="160" w:line="360" w:lineRule="auto"/>
        <w:ind w:firstLine="567"/>
        <w:jc w:val="both"/>
      </w:pPr>
      <w:r w:rsidRPr="00E345B2">
        <w:t>Ներդրուկի մեջ տեղադրված դեղագործական խծուծները ներդրուկից պետք է դուրս բերվեն նախքան փորձարկումների անցկացումը։</w:t>
      </w:r>
    </w:p>
    <w:p w14:paraId="6DD806E6" w14:textId="77777777" w:rsidR="0035054F" w:rsidRPr="00E345B2" w:rsidRDefault="0035054F" w:rsidP="00DE1035">
      <w:pPr>
        <w:spacing w:after="160" w:line="360" w:lineRule="auto"/>
        <w:ind w:firstLine="567"/>
        <w:jc w:val="both"/>
      </w:pPr>
      <w:r w:rsidRPr="00E345B2">
        <w:t>Դեղային խծուծները պետք է համապատասխանեն «</w:t>
      </w:r>
      <w:r w:rsidRPr="00DE1035">
        <w:rPr>
          <w:i/>
        </w:rPr>
        <w:t>2.5.1.1. Դեղաձեւերը»</w:t>
      </w:r>
      <w:r w:rsidRPr="00E345B2">
        <w:t xml:space="preserve"> ընդհանուր դեղագրքային հոդվածի ընդհանուր պահանջներին </w:t>
      </w:r>
      <w:r>
        <w:t>եւ</w:t>
      </w:r>
      <w:r w:rsidRPr="00E345B2">
        <w:t xml:space="preserve"> անցնեն տվյալ դեղաձ</w:t>
      </w:r>
      <w:r>
        <w:t>եւ</w:t>
      </w:r>
      <w:r w:rsidRPr="00E345B2">
        <w:t>ին բնորոշ հաջորդող փորձարկումները։</w:t>
      </w:r>
    </w:p>
    <w:p w14:paraId="138DA4F0" w14:textId="77777777" w:rsidR="0035054F" w:rsidRPr="00E345B2" w:rsidRDefault="0035054F" w:rsidP="00DE1035">
      <w:pPr>
        <w:spacing w:after="160" w:line="360" w:lineRule="auto"/>
        <w:ind w:firstLine="567"/>
        <w:jc w:val="both"/>
      </w:pPr>
      <w:r w:rsidRPr="00DE1035">
        <w:rPr>
          <w:b/>
        </w:rPr>
        <w:t>Նկարագրությունը.</w:t>
      </w:r>
      <w:r w:rsidRPr="00E345B2">
        <w:t xml:space="preserve"> Դեղային խծուծները բնութագրում են՝ նշելով ձ</w:t>
      </w:r>
      <w:r>
        <w:t>եւ</w:t>
      </w:r>
      <w:r w:rsidRPr="00E345B2">
        <w:t xml:space="preserve">ը, գույնը, երկրաչափական չափերը՝ միլիմետրերով՝ նշելով հոտը (առկայության դեպքում)՝ մասնավոր դեղագրքային հոդվածի </w:t>
      </w:r>
      <w:r>
        <w:t>եւ</w:t>
      </w:r>
      <w:r w:rsidRPr="00E345B2">
        <w:t xml:space="preserve"> (կամ) որակի վերաբերյալ նորմատիվ փաստաթղթի պահանջներին համապատասխան։</w:t>
      </w:r>
    </w:p>
    <w:p w14:paraId="3BFD3692" w14:textId="77777777" w:rsidR="0035054F" w:rsidRPr="00E345B2" w:rsidRDefault="0035054F" w:rsidP="00DE1035">
      <w:pPr>
        <w:spacing w:after="160" w:line="360" w:lineRule="auto"/>
        <w:ind w:firstLine="567"/>
        <w:jc w:val="both"/>
      </w:pPr>
      <w:r w:rsidRPr="00DE1035">
        <w:rPr>
          <w:b/>
        </w:rPr>
        <w:t>pH-ը.</w:t>
      </w:r>
      <w:r w:rsidRPr="00E345B2">
        <w:t xml:space="preserve"> Փորձարկումն անցկացնում են պոտենցաչափորեն՝ </w:t>
      </w:r>
      <w:r w:rsidRPr="00DE1035">
        <w:rPr>
          <w:i/>
        </w:rPr>
        <w:t>«2.1.2.3. pH-ի պոտենցաչափական որոշումը»</w:t>
      </w:r>
      <w:r w:rsidRPr="00E345B2">
        <w:t xml:space="preserve"> ընդհանուր դեղագրքային հոդվածին համապատասխան։ pH-ի արժեքը պետք է լինի Դեղային խծուծներ դեղաձ</w:t>
      </w:r>
      <w:r>
        <w:t>եւ</w:t>
      </w:r>
      <w:r w:rsidRPr="00E345B2">
        <w:t xml:space="preserve">ով դեղապատրաստուկի նշված ներմուծման ուղու </w:t>
      </w:r>
      <w:r>
        <w:t>եւ</w:t>
      </w:r>
      <w:r w:rsidRPr="00E345B2">
        <w:t xml:space="preserve"> կիրառության եղանակի համար ընդունելի արժեքների ընդգրկույթում։ Փորձարկման անցկացման համար դեղապատրաստուկի փորձանմուշի նախապատրաստման մեթոդիկան </w:t>
      </w:r>
      <w:r>
        <w:t>եւ</w:t>
      </w:r>
      <w:r w:rsidRPr="00E345B2">
        <w:t xml:space="preserve"> պահանջները ներկայացվում են մասնավոր դեղագրքային հոդվածում </w:t>
      </w:r>
      <w:r>
        <w:t>եւ</w:t>
      </w:r>
      <w:r w:rsidRPr="00E345B2">
        <w:t xml:space="preserve"> (կամ) որակի վերաբերյալ նորմատիվ փաստաթղթում։</w:t>
      </w:r>
    </w:p>
    <w:p w14:paraId="7C235F65" w14:textId="77777777" w:rsidR="0035054F" w:rsidRPr="00E345B2" w:rsidRDefault="0035054F" w:rsidP="00DE1035">
      <w:pPr>
        <w:spacing w:after="160" w:line="360" w:lineRule="auto"/>
        <w:ind w:firstLine="567"/>
        <w:jc w:val="both"/>
      </w:pPr>
      <w:r w:rsidRPr="00E345B2">
        <w:t>Փորձարկումը չեն կիրառում ինհալացիաների համար նախատեսված դեղային խծուծների համար։</w:t>
      </w:r>
    </w:p>
    <w:p w14:paraId="740F9628" w14:textId="77777777" w:rsidR="0035054F" w:rsidRPr="00E345B2" w:rsidRDefault="0035054F" w:rsidP="00DE1035">
      <w:pPr>
        <w:spacing w:after="160" w:line="360" w:lineRule="auto"/>
        <w:ind w:firstLine="567"/>
        <w:jc w:val="both"/>
      </w:pPr>
      <w:r w:rsidRPr="00DE1035">
        <w:rPr>
          <w:b/>
        </w:rPr>
        <w:t>Զանգվածի միատարրությունը</w:t>
      </w:r>
      <w:r w:rsidRPr="00E345B2">
        <w:t xml:space="preserve">։ Փորձարկումն անցկացնում են </w:t>
      </w:r>
      <w:r w:rsidRPr="00DE1035">
        <w:rPr>
          <w:i/>
        </w:rPr>
        <w:t>«2.1.9.5. Դեղաչափված դեղապատրաստուկի միավորի զանգվածի միատարրությունը»</w:t>
      </w:r>
      <w:r w:rsidRPr="00E345B2">
        <w:t xml:space="preserve"> ընդհանուր դեղագրքային հոդվածին համապատասխան՝ մասնավոր դեղագրքային հոդվածի </w:t>
      </w:r>
      <w:r>
        <w:t>եւ</w:t>
      </w:r>
      <w:r w:rsidRPr="00E345B2">
        <w:t xml:space="preserve"> (կամ) որակի վերաբերյալ նորմատիվ փաստաթղթի ցուցումների համաձայն։ Փորձարկումը չեն կիրառում այն դեպքում, երբ նախատեսված է դեղաչափված միավորների միատարրության փորձարկում՝ բոլոր ազդող նյութերի համար։</w:t>
      </w:r>
    </w:p>
    <w:p w14:paraId="15006F19" w14:textId="77777777" w:rsidR="0035054F" w:rsidRPr="00E345B2" w:rsidRDefault="0035054F" w:rsidP="00DE1035">
      <w:pPr>
        <w:spacing w:after="160" w:line="360" w:lineRule="auto"/>
        <w:ind w:firstLine="567"/>
        <w:jc w:val="both"/>
      </w:pPr>
      <w:r w:rsidRPr="00DE1035">
        <w:rPr>
          <w:b/>
          <w:spacing w:val="-4"/>
        </w:rPr>
        <w:lastRenderedPageBreak/>
        <w:t>Դեղաչափված միավորների միատարրությունը</w:t>
      </w:r>
      <w:r w:rsidRPr="00DE1035">
        <w:rPr>
          <w:spacing w:val="-4"/>
        </w:rPr>
        <w:t xml:space="preserve">. Փորձարկումն անցկացնում են </w:t>
      </w:r>
      <w:r w:rsidRPr="00DE1035">
        <w:rPr>
          <w:i/>
          <w:spacing w:val="-4"/>
        </w:rPr>
        <w:t>«2.1.9.14. Դեղաչափված միավորների միատարրությունը»</w:t>
      </w:r>
      <w:r w:rsidRPr="00DE1035">
        <w:rPr>
          <w:spacing w:val="-4"/>
        </w:rPr>
        <w:t xml:space="preserve"> ընդհանուր դեղագրքային հոդվածին եւ մասնավոր դեղագրքային հոդվածում եւ (կամ) որակի վերաբերյալ</w:t>
      </w:r>
      <w:r w:rsidRPr="00E345B2">
        <w:t xml:space="preserve"> նորմատիվ փաստաթղթում նշված պահանջներին համապատասխան։</w:t>
      </w:r>
    </w:p>
    <w:p w14:paraId="4CB2E195" w14:textId="77777777" w:rsidR="0035054F" w:rsidRPr="00E345B2" w:rsidRDefault="0035054F" w:rsidP="0035054F">
      <w:pPr>
        <w:spacing w:after="160" w:line="360" w:lineRule="auto"/>
      </w:pPr>
    </w:p>
    <w:p w14:paraId="0584E042" w14:textId="77777777" w:rsidR="0035054F" w:rsidRPr="00B5542D" w:rsidRDefault="0035054F" w:rsidP="00DE1035">
      <w:pPr>
        <w:spacing w:after="160" w:line="360" w:lineRule="auto"/>
        <w:jc w:val="right"/>
        <w:rPr>
          <w:b/>
          <w:sz w:val="20"/>
        </w:rPr>
      </w:pPr>
      <w:r w:rsidRPr="00DE1035">
        <w:rPr>
          <w:b/>
          <w:sz w:val="20"/>
        </w:rPr>
        <w:t>205010036-2022</w:t>
      </w:r>
    </w:p>
    <w:p w14:paraId="559BF042" w14:textId="77777777" w:rsidR="00DE1035" w:rsidRPr="00B5542D" w:rsidRDefault="00DE1035" w:rsidP="00DE1035">
      <w:pPr>
        <w:spacing w:after="160" w:line="360" w:lineRule="auto"/>
        <w:jc w:val="right"/>
        <w:rPr>
          <w:b/>
          <w:sz w:val="20"/>
        </w:rPr>
      </w:pPr>
    </w:p>
    <w:p w14:paraId="5A5CFB3A" w14:textId="77777777" w:rsidR="0035054F" w:rsidRPr="00DE1035" w:rsidRDefault="0035054F" w:rsidP="00AA7C33">
      <w:pPr>
        <w:tabs>
          <w:tab w:val="left" w:pos="1701"/>
        </w:tabs>
        <w:spacing w:after="160" w:line="360" w:lineRule="auto"/>
        <w:ind w:firstLine="567"/>
        <w:jc w:val="both"/>
        <w:rPr>
          <w:b/>
        </w:rPr>
      </w:pPr>
      <w:r w:rsidRPr="00DE1035">
        <w:rPr>
          <w:b/>
        </w:rPr>
        <w:t>2.5.1.36.</w:t>
      </w:r>
      <w:r w:rsidR="00AA7C33" w:rsidRPr="00B5542D">
        <w:rPr>
          <w:b/>
        </w:rPr>
        <w:tab/>
      </w:r>
      <w:r w:rsidRPr="00DE1035">
        <w:rPr>
          <w:b/>
        </w:rPr>
        <w:t>Շամպուններ՝ դեղային</w:t>
      </w:r>
    </w:p>
    <w:p w14:paraId="3C1EC573" w14:textId="77777777" w:rsidR="0035054F" w:rsidRPr="00E345B2" w:rsidRDefault="0035054F" w:rsidP="00DE1035">
      <w:pPr>
        <w:spacing w:after="160" w:line="360" w:lineRule="auto"/>
        <w:ind w:firstLine="567"/>
        <w:jc w:val="both"/>
      </w:pPr>
      <w:r w:rsidRPr="00E345B2">
        <w:t>«Դեղային շամպուններ»՝ հեղուկ կամ փափուկ, հեշտ փրփրող դեղաձ</w:t>
      </w:r>
      <w:r>
        <w:t>եւ</w:t>
      </w:r>
      <w:r w:rsidRPr="00E345B2">
        <w:t xml:space="preserve">, որը պարունակում է ակտիվ </w:t>
      </w:r>
      <w:r>
        <w:t>եւ</w:t>
      </w:r>
      <w:r w:rsidRPr="00E345B2">
        <w:t xml:space="preserve"> օժանդակ նյութեր, այդ թվում՝ մակերեսային ակտիվ նյութեր, նախատեսված է արտաքին կիրառման համար՝ մարդու մազերին </w:t>
      </w:r>
      <w:r>
        <w:t>եւ</w:t>
      </w:r>
      <w:r w:rsidRPr="00E345B2">
        <w:t xml:space="preserve"> գլխի մաշկին, կենդանու մազամաշկային ծածկույթին քսելու </w:t>
      </w:r>
      <w:r>
        <w:t>եւ</w:t>
      </w:r>
      <w:r w:rsidRPr="00E345B2">
        <w:t xml:space="preserve"> հետո ջրով լվանալու համար։</w:t>
      </w:r>
    </w:p>
    <w:p w14:paraId="03899D67" w14:textId="77777777" w:rsidR="0035054F" w:rsidRPr="00E345B2" w:rsidRDefault="0035054F" w:rsidP="00DE1035">
      <w:pPr>
        <w:spacing w:after="160" w:line="360" w:lineRule="auto"/>
        <w:ind w:firstLine="567"/>
        <w:jc w:val="both"/>
      </w:pPr>
      <w:r w:rsidRPr="00E345B2">
        <w:t>Ըստ դիսպերս համակարգի տիպի՝ դեղային շամպունները կարող են լինել համասեռ (լուծույթներ), տարասեռ (կախույթներ, էմուլսիաներ), ինչպես նա</w:t>
      </w:r>
      <w:r>
        <w:t>եւ</w:t>
      </w:r>
      <w:r w:rsidRPr="00E345B2">
        <w:t xml:space="preserve"> համակցված դիսպերս համակարգեր։</w:t>
      </w:r>
    </w:p>
    <w:p w14:paraId="51683CFA" w14:textId="77777777" w:rsidR="0035054F" w:rsidRPr="00E345B2" w:rsidRDefault="0035054F" w:rsidP="00DE1035">
      <w:pPr>
        <w:spacing w:after="160" w:line="360" w:lineRule="auto"/>
        <w:ind w:firstLine="567"/>
        <w:jc w:val="both"/>
      </w:pPr>
    </w:p>
    <w:p w14:paraId="26F82461" w14:textId="77777777" w:rsidR="0035054F" w:rsidRPr="00DE1035" w:rsidRDefault="0035054F" w:rsidP="00DE1035">
      <w:pPr>
        <w:spacing w:after="160" w:line="360" w:lineRule="auto"/>
        <w:ind w:firstLine="567"/>
        <w:jc w:val="both"/>
        <w:rPr>
          <w:b/>
        </w:rPr>
      </w:pPr>
      <w:r w:rsidRPr="00DE1035">
        <w:rPr>
          <w:b/>
        </w:rPr>
        <w:t>ՏԵԽՆՈԼՈԳԻԱՅԻ ԱՌԱՆՁՆԱՀԱՏԿՈՒԹՅՈՒՆՆԵՐԸ</w:t>
      </w:r>
    </w:p>
    <w:p w14:paraId="189863C0" w14:textId="77777777" w:rsidR="0035054F" w:rsidRPr="00E345B2" w:rsidRDefault="0035054F" w:rsidP="00DE1035">
      <w:pPr>
        <w:spacing w:after="160" w:line="360" w:lineRule="auto"/>
        <w:ind w:firstLine="567"/>
        <w:jc w:val="both"/>
      </w:pPr>
      <w:r w:rsidRPr="00E345B2">
        <w:t>Որպես կանոն՝ դեղային շամպուններն ստանում են ակտիվ դեղագործական բաղադրամասերը մաքրված</w:t>
      </w:r>
      <w:r>
        <w:t xml:space="preserve"> </w:t>
      </w:r>
      <w:r w:rsidRPr="00E345B2">
        <w:t xml:space="preserve">ջրում լուծելով՝ ավելացնելով մակերեսային ակտիվ նյութեր </w:t>
      </w:r>
      <w:r>
        <w:t>եւ</w:t>
      </w:r>
      <w:r w:rsidRPr="00E345B2">
        <w:t xml:space="preserve"> այլ օժանդակ նյութեր՝ թանձրացուցիչներ, կայունացուցիչներ, կոնսերվանտներ, pH կարգավորիչներ, բուրավետիչներ, ներկանյութեր, լավորակող նյութեր </w:t>
      </w:r>
      <w:r>
        <w:t>եւ</w:t>
      </w:r>
      <w:r w:rsidRPr="00E345B2">
        <w:t xml:space="preserve"> այլն։</w:t>
      </w:r>
    </w:p>
    <w:p w14:paraId="29376D4E" w14:textId="77777777" w:rsidR="0035054F" w:rsidRPr="00E345B2" w:rsidRDefault="0035054F" w:rsidP="00DE1035">
      <w:pPr>
        <w:spacing w:after="160" w:line="360" w:lineRule="auto"/>
        <w:ind w:firstLine="567"/>
        <w:jc w:val="both"/>
      </w:pPr>
      <w:r w:rsidRPr="00E345B2">
        <w:t>Եթե ակտիվ դեղագործական բաղադրամասը չի լուծվում մաքրված ջրում, ապա դեղապատրաստուկի բաղադրության մեջ դա ներմուծում են կախույթի կամ էմուլսիայի տեսքով։</w:t>
      </w:r>
    </w:p>
    <w:p w14:paraId="4E6917C9" w14:textId="77777777" w:rsidR="0035054F" w:rsidRPr="00E345B2" w:rsidRDefault="0035054F" w:rsidP="00DE1035">
      <w:pPr>
        <w:spacing w:after="160" w:line="360" w:lineRule="auto"/>
        <w:ind w:firstLine="567"/>
        <w:jc w:val="both"/>
      </w:pPr>
      <w:r w:rsidRPr="00E345B2">
        <w:lastRenderedPageBreak/>
        <w:t xml:space="preserve">Մաքրված ջրից բացի՝ որպես համալուծիչ </w:t>
      </w:r>
      <w:r>
        <w:t>եւ</w:t>
      </w:r>
      <w:r w:rsidRPr="00E345B2">
        <w:t xml:space="preserve"> (կամ) սոլյուբիլիզատոր կարող է օգտագործվել էթանոլը։</w:t>
      </w:r>
    </w:p>
    <w:p w14:paraId="30C25AAE" w14:textId="77777777" w:rsidR="0035054F" w:rsidRPr="00E345B2" w:rsidRDefault="0035054F" w:rsidP="00DE1035">
      <w:pPr>
        <w:spacing w:after="160" w:line="360" w:lineRule="auto"/>
        <w:ind w:firstLine="567"/>
        <w:jc w:val="both"/>
      </w:pPr>
      <w:r w:rsidRPr="00E345B2">
        <w:t xml:space="preserve">Կախույթային </w:t>
      </w:r>
      <w:r>
        <w:t>եւ</w:t>
      </w:r>
      <w:r w:rsidRPr="00E345B2">
        <w:t xml:space="preserve"> համակցված տիպի դեղային շամպունների արտադրության գործընթացում պետք է ապահովվի դիսպերս ֆազի մասնիկների անհրաժեշտ չափը։</w:t>
      </w:r>
    </w:p>
    <w:p w14:paraId="2B1D84D4" w14:textId="77777777" w:rsidR="0035054F" w:rsidRPr="00E345B2" w:rsidRDefault="0035054F" w:rsidP="00DE1035">
      <w:pPr>
        <w:spacing w:after="160" w:line="360" w:lineRule="auto"/>
        <w:ind w:firstLine="567"/>
        <w:jc w:val="both"/>
      </w:pPr>
      <w:r w:rsidRPr="00E345B2">
        <w:t>Դեղային շամպուններ դեղաձ</w:t>
      </w:r>
      <w:r>
        <w:t>եւ</w:t>
      </w:r>
      <w:r w:rsidRPr="00E345B2">
        <w:t>ի տեսքով դեղապատրաստուկների արտադրության ժամանակ պետք է ձեռնարկվեն դրանց մանրէաբանական մաքրությունն ապահովող միջոցներ։</w:t>
      </w:r>
    </w:p>
    <w:p w14:paraId="267D74A9" w14:textId="77777777" w:rsidR="0035054F" w:rsidRPr="00E345B2" w:rsidRDefault="0035054F" w:rsidP="00DE1035">
      <w:pPr>
        <w:spacing w:after="160" w:line="360" w:lineRule="auto"/>
        <w:ind w:firstLine="567"/>
        <w:jc w:val="both"/>
      </w:pPr>
    </w:p>
    <w:p w14:paraId="35F1415A" w14:textId="77777777" w:rsidR="0035054F" w:rsidRPr="00DE1035" w:rsidRDefault="0035054F" w:rsidP="00DE1035">
      <w:pPr>
        <w:spacing w:after="160" w:line="360" w:lineRule="auto"/>
        <w:ind w:firstLine="567"/>
        <w:jc w:val="both"/>
        <w:rPr>
          <w:b/>
        </w:rPr>
      </w:pPr>
      <w:r w:rsidRPr="00DE1035">
        <w:rPr>
          <w:b/>
        </w:rPr>
        <w:t>ՓՈՐՁԱՐԿՈՒՄՆԵՐԸ</w:t>
      </w:r>
    </w:p>
    <w:p w14:paraId="0364D7E4" w14:textId="77777777" w:rsidR="0035054F" w:rsidRPr="00E345B2" w:rsidRDefault="0035054F" w:rsidP="00DE1035">
      <w:pPr>
        <w:spacing w:after="160" w:line="360" w:lineRule="auto"/>
        <w:ind w:firstLine="567"/>
        <w:jc w:val="both"/>
      </w:pPr>
      <w:r w:rsidRPr="00E345B2">
        <w:t xml:space="preserve">Դեղային շամպունները պետք է համապատասխանեն </w:t>
      </w:r>
      <w:r w:rsidRPr="00DE1035">
        <w:rPr>
          <w:i/>
        </w:rPr>
        <w:t xml:space="preserve">«2.5.1.1. Դեղաձեւերը» </w:t>
      </w:r>
      <w:r w:rsidRPr="00E345B2">
        <w:t xml:space="preserve">ընդհանուր դեղագրքային հոդվածի ընդհանուր պահանջներին </w:t>
      </w:r>
      <w:r>
        <w:t>եւ</w:t>
      </w:r>
      <w:r w:rsidRPr="00E345B2">
        <w:t xml:space="preserve"> անցնեն տվյալ դեղաձ</w:t>
      </w:r>
      <w:r>
        <w:t>եւ</w:t>
      </w:r>
      <w:r w:rsidRPr="00E345B2">
        <w:t>ին բնորոշ փորձարկումները։</w:t>
      </w:r>
    </w:p>
    <w:p w14:paraId="4EBAF029" w14:textId="77777777" w:rsidR="0035054F" w:rsidRPr="00E345B2" w:rsidRDefault="0035054F" w:rsidP="00DE1035">
      <w:pPr>
        <w:spacing w:after="160" w:line="360" w:lineRule="auto"/>
        <w:ind w:firstLine="567"/>
        <w:jc w:val="both"/>
      </w:pPr>
      <w:r w:rsidRPr="00DE1035">
        <w:rPr>
          <w:b/>
        </w:rPr>
        <w:t>Նկարագրությունը</w:t>
      </w:r>
      <w:r w:rsidRPr="00E345B2">
        <w:t xml:space="preserve">. Դեղային շամպունի նկարագրությունը, դրա կոնսիստենցիան, գույնը, հոտը (առկայության դեպքում) ներկայացվում են մասնավոր դեղագրքային հոդվածում կամ որակի վերաբերյալ նորմատիվ փաստաթղթում։ </w:t>
      </w:r>
    </w:p>
    <w:p w14:paraId="749C46C8" w14:textId="77777777" w:rsidR="0035054F" w:rsidRPr="00E345B2" w:rsidRDefault="0035054F" w:rsidP="00DE1035">
      <w:pPr>
        <w:spacing w:after="160" w:line="360" w:lineRule="auto"/>
        <w:ind w:firstLine="567"/>
        <w:jc w:val="both"/>
      </w:pPr>
      <w:r w:rsidRPr="00DE1035">
        <w:rPr>
          <w:b/>
        </w:rPr>
        <w:t>pH-ը.</w:t>
      </w:r>
      <w:r w:rsidRPr="00E345B2">
        <w:t xml:space="preserve"> Փորձարկումն անցկացնում են «</w:t>
      </w:r>
      <w:r w:rsidRPr="00DE1035">
        <w:rPr>
          <w:i/>
        </w:rPr>
        <w:t xml:space="preserve">2.1.2.3. pH-ի պոտենցաչափական որոշումը» </w:t>
      </w:r>
      <w:r w:rsidRPr="00E345B2">
        <w:t xml:space="preserve">ընդհանուր դեղագրքային հոդվածին համապատասխան։ pH-ի արժեքը պետք է լինի 5,0-ից 8,0-ի ընդգրկույթում, եթե մասնավոր դեղագրքային հոդվածում </w:t>
      </w:r>
      <w:r>
        <w:t>եւ</w:t>
      </w:r>
      <w:r w:rsidRPr="00E345B2">
        <w:t xml:space="preserve"> (կամ) որակի վերաբերյալ նորմատիվ փաստաթղթում այլ բան նշված չէ։</w:t>
      </w:r>
    </w:p>
    <w:p w14:paraId="2A546A75" w14:textId="77777777" w:rsidR="0035054F" w:rsidRPr="00B5542D" w:rsidRDefault="0035054F" w:rsidP="00DE1035">
      <w:pPr>
        <w:spacing w:after="160" w:line="360" w:lineRule="auto"/>
        <w:ind w:firstLine="567"/>
        <w:jc w:val="both"/>
      </w:pPr>
      <w:r w:rsidRPr="00DE1035">
        <w:rPr>
          <w:b/>
        </w:rPr>
        <w:t>Մածուցիկությունը.</w:t>
      </w:r>
      <w:r w:rsidRPr="00E345B2">
        <w:t xml:space="preserve"> Փորձարկումն անցկացնում են «</w:t>
      </w:r>
      <w:r w:rsidRPr="00DE1035">
        <w:rPr>
          <w:i/>
        </w:rPr>
        <w:t xml:space="preserve">2.1.2.8. Մածուցիկությունը» </w:t>
      </w:r>
      <w:r w:rsidRPr="00E345B2">
        <w:t xml:space="preserve">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0384D177" w14:textId="77777777" w:rsidR="00DE1035" w:rsidRPr="00B5542D" w:rsidRDefault="00DE1035" w:rsidP="00DE1035">
      <w:pPr>
        <w:spacing w:after="160" w:line="360" w:lineRule="auto"/>
        <w:ind w:firstLine="567"/>
        <w:jc w:val="both"/>
      </w:pPr>
    </w:p>
    <w:p w14:paraId="1964763C" w14:textId="77777777" w:rsidR="0035054F" w:rsidRPr="00E345B2" w:rsidRDefault="0035054F" w:rsidP="00DE1035">
      <w:pPr>
        <w:spacing w:after="160" w:line="360" w:lineRule="auto"/>
        <w:ind w:firstLine="567"/>
        <w:jc w:val="both"/>
      </w:pPr>
      <w:r w:rsidRPr="00DE1035">
        <w:rPr>
          <w:b/>
        </w:rPr>
        <w:lastRenderedPageBreak/>
        <w:t xml:space="preserve">Խտությունը </w:t>
      </w:r>
      <w:r w:rsidRPr="00DE1035">
        <w:t xml:space="preserve">կամ </w:t>
      </w:r>
      <w:r w:rsidRPr="00DE1035">
        <w:rPr>
          <w:b/>
        </w:rPr>
        <w:t>Հարաբերական խտությունը</w:t>
      </w:r>
      <w:r w:rsidRPr="00E345B2">
        <w:t xml:space="preserve">. Փորձարկումն անցկացնում են </w:t>
      </w:r>
      <w:r w:rsidRPr="00DE1035">
        <w:rPr>
          <w:i/>
        </w:rPr>
        <w:t>«2.1.2.5. Հարաբերական խտությունը</w:t>
      </w:r>
      <w:r w:rsidRPr="00E345B2">
        <w:t xml:space="preserve">»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3E189185" w14:textId="77777777" w:rsidR="0035054F" w:rsidRPr="00E345B2" w:rsidRDefault="0035054F" w:rsidP="00DE1035">
      <w:pPr>
        <w:spacing w:after="160" w:line="360" w:lineRule="auto"/>
        <w:ind w:firstLine="567"/>
        <w:jc w:val="both"/>
      </w:pPr>
      <w:r w:rsidRPr="00E345B2">
        <w:t xml:space="preserve">Փորձարկումը պարտադիր չէ, եթե նախատեսված է դեղային շամպունի փորձարկման անցկացում՝ ըստ </w:t>
      </w:r>
      <w:r w:rsidRPr="00E345B2">
        <w:rPr>
          <w:i/>
        </w:rPr>
        <w:t>Մածուցիկությունը</w:t>
      </w:r>
      <w:r w:rsidRPr="00E345B2">
        <w:t xml:space="preserve"> ցուցանիշի։</w:t>
      </w:r>
    </w:p>
    <w:p w14:paraId="4F937E39" w14:textId="77777777" w:rsidR="0035054F" w:rsidRPr="00E345B2" w:rsidRDefault="0035054F" w:rsidP="0035054F">
      <w:pPr>
        <w:spacing w:after="160" w:line="360" w:lineRule="auto"/>
      </w:pPr>
      <w:r w:rsidRPr="00E345B2">
        <w:br w:type="page"/>
      </w:r>
    </w:p>
    <w:tbl>
      <w:tblPr>
        <w:tblStyle w:val="TableGrid"/>
        <w:tblW w:w="10773"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26"/>
        <w:gridCol w:w="4677"/>
      </w:tblGrid>
      <w:tr w:rsidR="0035054F" w:rsidRPr="00E345B2" w14:paraId="06DFD815" w14:textId="77777777" w:rsidTr="0035054F">
        <w:tc>
          <w:tcPr>
            <w:tcW w:w="5670" w:type="dxa"/>
          </w:tcPr>
          <w:p w14:paraId="685E218D" w14:textId="77777777" w:rsidR="0035054F" w:rsidRPr="00180FCD" w:rsidRDefault="0035054F" w:rsidP="0035054F">
            <w:pPr>
              <w:spacing w:after="160" w:line="360" w:lineRule="auto"/>
              <w:rPr>
                <w:rFonts w:ascii="Sylfaen" w:hAnsi="Sylfaen"/>
                <w:sz w:val="20"/>
                <w:szCs w:val="24"/>
              </w:rPr>
            </w:pPr>
            <w:r w:rsidRPr="00180FCD">
              <w:rPr>
                <w:rFonts w:ascii="Sylfaen" w:hAnsi="Sylfaen"/>
                <w:sz w:val="20"/>
                <w:szCs w:val="24"/>
              </w:rPr>
              <w:lastRenderedPageBreak/>
              <w:t>Նկար 2.5.1.36-1. Ռոսս-Մայլսի սարք։ 1՝ թերմոստատ, 2՝ պոմպ, 3՝ ջրային շապիկ, 4՝ չափիչ գլան, 5՝ ապակյա կաթոցիկ, 6՝ կալան։ Չափերը նշված են միլիմետրերով</w:t>
            </w:r>
          </w:p>
        </w:tc>
        <w:tc>
          <w:tcPr>
            <w:tcW w:w="426" w:type="dxa"/>
          </w:tcPr>
          <w:p w14:paraId="7E3A1E0C" w14:textId="77777777" w:rsidR="0035054F" w:rsidRPr="00E345B2" w:rsidRDefault="0035054F" w:rsidP="0035054F">
            <w:pPr>
              <w:spacing w:after="160" w:line="360" w:lineRule="auto"/>
              <w:rPr>
                <w:rFonts w:ascii="Sylfaen" w:hAnsi="Sylfaen"/>
                <w:sz w:val="24"/>
                <w:szCs w:val="24"/>
              </w:rPr>
            </w:pPr>
          </w:p>
        </w:tc>
        <w:tc>
          <w:tcPr>
            <w:tcW w:w="4677" w:type="dxa"/>
          </w:tcPr>
          <w:p w14:paraId="169FADEB" w14:textId="77777777" w:rsidR="0035054F" w:rsidRPr="00E345B2" w:rsidRDefault="00000000" w:rsidP="0035054F">
            <w:pPr>
              <w:spacing w:after="160" w:line="360" w:lineRule="auto"/>
              <w:rPr>
                <w:rFonts w:ascii="Sylfaen" w:hAnsi="Sylfaen"/>
                <w:sz w:val="24"/>
                <w:szCs w:val="24"/>
              </w:rPr>
            </w:pPr>
            <w:r>
              <w:rPr>
                <w:noProof/>
                <w:sz w:val="20"/>
                <w:lang w:val="en-US" w:eastAsia="en-US" w:bidi="ar-SA"/>
              </w:rPr>
              <w:pict w14:anchorId="53EA5971">
                <v:group id="_x0000_s1509" style="position:absolute;margin-left:15.65pt;margin-top:-300.3pt;width:78.6pt;height:154.65pt;z-index:252099584;mso-position-horizontal-relative:text;mso-position-vertical-relative:text" coordorigin="7368,1277" coordsize="1572,3093">
                  <v:rect id="_x0000_s1468" style="position:absolute;left:7538;top:1277;width:1290;height:350" stroked="f" strokecolor="black [3213]">
                    <v:textbox style="mso-next-textbox:#_x0000_s1468" inset="0,0,0,0">
                      <w:txbxContent>
                        <w:p w14:paraId="175A2ABE" w14:textId="77777777" w:rsidR="008D6E8B" w:rsidRPr="00180FCD" w:rsidRDefault="008D6E8B" w:rsidP="00180FCD">
                          <w:pPr>
                            <w:jc w:val="center"/>
                            <w:rPr>
                              <w:i/>
                              <w:sz w:val="16"/>
                            </w:rPr>
                          </w:pPr>
                          <w:r w:rsidRPr="00180FCD">
                            <w:rPr>
                              <w:i/>
                              <w:sz w:val="16"/>
                            </w:rPr>
                            <w:t>ապակի</w:t>
                          </w:r>
                        </w:p>
                      </w:txbxContent>
                    </v:textbox>
                  </v:rect>
                  <v:rect id="_x0000_s1469" style="position:absolute;left:7720;top:1810;width:1220;height:320" stroked="f" strokecolor="black [3213]">
                    <v:textbox style="mso-next-textbox:#_x0000_s1469" inset="0,0,0,0">
                      <w:txbxContent>
                        <w:p w14:paraId="54AE9C0C" w14:textId="77777777" w:rsidR="008D6E8B" w:rsidRPr="00180FCD" w:rsidRDefault="008D6E8B" w:rsidP="00180FCD">
                          <w:pPr>
                            <w:jc w:val="center"/>
                            <w:rPr>
                              <w:i/>
                              <w:sz w:val="18"/>
                            </w:rPr>
                          </w:pPr>
                          <w:r w:rsidRPr="00180FCD">
                            <w:rPr>
                              <w:i/>
                              <w:sz w:val="18"/>
                            </w:rPr>
                            <w:t>ռետին</w:t>
                          </w:r>
                        </w:p>
                      </w:txbxContent>
                    </v:textbox>
                  </v:rect>
                  <v:rect id="_x0000_s1470" style="position:absolute;left:7368;top:2692;width:1110;height:1678" stroked="f" strokecolor="black [3213]">
                    <v:textbox style="mso-next-textbox:#_x0000_s1470" inset="0,0,0,0">
                      <w:txbxContent>
                        <w:p w14:paraId="67F8AD0F" w14:textId="77777777" w:rsidR="008D6E8B" w:rsidRPr="00180FCD" w:rsidRDefault="008D6E8B" w:rsidP="00180FCD">
                          <w:pPr>
                            <w:jc w:val="center"/>
                            <w:rPr>
                              <w:i/>
                              <w:sz w:val="20"/>
                            </w:rPr>
                          </w:pPr>
                          <w:r w:rsidRPr="00180FCD">
                            <w:rPr>
                              <w:i/>
                              <w:sz w:val="20"/>
                            </w:rPr>
                            <w:t>Պողպատը՝ ըստ ԳՕՍՏ 5947-75-ի</w:t>
                          </w:r>
                        </w:p>
                      </w:txbxContent>
                    </v:textbox>
                  </v:rect>
                </v:group>
              </w:pict>
            </w:r>
            <w:r w:rsidR="0035054F" w:rsidRPr="00180FCD">
              <w:rPr>
                <w:rFonts w:ascii="Sylfaen" w:hAnsi="Sylfaen"/>
                <w:sz w:val="20"/>
                <w:szCs w:val="24"/>
              </w:rPr>
              <w:t>Նկար 2.5.1.36-2. Ապակյա կաթոցիկ. Չափերը նշված են միլիմետրերով</w:t>
            </w:r>
          </w:p>
        </w:tc>
      </w:tr>
    </w:tbl>
    <w:p w14:paraId="54714A96" w14:textId="77777777" w:rsidR="0035054F" w:rsidRPr="00E345B2" w:rsidRDefault="0035054F" w:rsidP="0035054F">
      <w:pPr>
        <w:spacing w:after="160" w:line="360" w:lineRule="auto"/>
      </w:pPr>
      <w:r w:rsidRPr="00E345B2">
        <w:rPr>
          <w:noProof/>
          <w:lang w:val="en-US" w:eastAsia="en-US" w:bidi="ar-SA"/>
        </w:rPr>
        <w:drawing>
          <wp:anchor distT="0" distB="27305" distL="277495" distR="158750" simplePos="0" relativeHeight="252094464" behindDoc="1" locked="0" layoutInCell="1" allowOverlap="1" wp14:anchorId="6076315F" wp14:editId="3150E3E0">
            <wp:simplePos x="0" y="0"/>
            <wp:positionH relativeFrom="margin">
              <wp:posOffset>-430530</wp:posOffset>
            </wp:positionH>
            <wp:positionV relativeFrom="margin">
              <wp:posOffset>-360680</wp:posOffset>
            </wp:positionV>
            <wp:extent cx="3657600" cy="4057650"/>
            <wp:effectExtent l="19050" t="0" r="0" b="0"/>
            <wp:wrapTopAndBottom/>
            <wp:docPr id="107"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63" cstate="print"/>
                    <a:srcRect/>
                    <a:stretch>
                      <a:fillRect/>
                    </a:stretch>
                  </pic:blipFill>
                  <pic:spPr bwMode="auto">
                    <a:xfrm>
                      <a:off x="0" y="0"/>
                      <a:ext cx="3657600" cy="4057650"/>
                    </a:xfrm>
                    <a:prstGeom prst="rect">
                      <a:avLst/>
                    </a:prstGeom>
                    <a:noFill/>
                  </pic:spPr>
                </pic:pic>
              </a:graphicData>
            </a:graphic>
          </wp:anchor>
        </w:drawing>
      </w:r>
      <w:r w:rsidRPr="00E345B2">
        <w:rPr>
          <w:noProof/>
          <w:lang w:val="en-US" w:eastAsia="en-US" w:bidi="ar-SA"/>
        </w:rPr>
        <w:drawing>
          <wp:anchor distT="0" distB="36830" distL="63500" distR="125095" simplePos="0" relativeHeight="252093440" behindDoc="1" locked="0" layoutInCell="1" allowOverlap="1" wp14:anchorId="0742E477" wp14:editId="2C4365C6">
            <wp:simplePos x="0" y="0"/>
            <wp:positionH relativeFrom="margin">
              <wp:posOffset>3512820</wp:posOffset>
            </wp:positionH>
            <wp:positionV relativeFrom="margin">
              <wp:posOffset>-328930</wp:posOffset>
            </wp:positionV>
            <wp:extent cx="3018155" cy="3879850"/>
            <wp:effectExtent l="19050" t="0" r="0" b="0"/>
            <wp:wrapTopAndBottom/>
            <wp:docPr id="108" name="Picture 4"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
                    <pic:cNvPicPr>
                      <a:picLocks noChangeAspect="1" noChangeArrowheads="1"/>
                    </pic:cNvPicPr>
                  </pic:nvPicPr>
                  <pic:blipFill>
                    <a:blip r:embed="rId164" cstate="print"/>
                    <a:srcRect/>
                    <a:stretch>
                      <a:fillRect/>
                    </a:stretch>
                  </pic:blipFill>
                  <pic:spPr bwMode="auto">
                    <a:xfrm>
                      <a:off x="0" y="0"/>
                      <a:ext cx="3018155" cy="3879850"/>
                    </a:xfrm>
                    <a:prstGeom prst="rect">
                      <a:avLst/>
                    </a:prstGeom>
                    <a:noFill/>
                  </pic:spPr>
                </pic:pic>
              </a:graphicData>
            </a:graphic>
          </wp:anchor>
        </w:drawing>
      </w:r>
    </w:p>
    <w:p w14:paraId="194735BC" w14:textId="77777777" w:rsidR="0035054F" w:rsidRPr="00E345B2" w:rsidRDefault="0035054F" w:rsidP="00180FCD">
      <w:pPr>
        <w:spacing w:after="160" w:line="360" w:lineRule="auto"/>
        <w:ind w:firstLine="567"/>
        <w:jc w:val="both"/>
      </w:pPr>
      <w:r w:rsidRPr="00180FCD">
        <w:rPr>
          <w:b/>
        </w:rPr>
        <w:t>Փրփրագոյացնող ունակությունը</w:t>
      </w:r>
      <w:r w:rsidRPr="00E345B2">
        <w:t>. Փորձարկումը թույլատրվում է անցկացնել դեղային շամպունների արտադրության տեխնոլոգիական գործընթացի հսկողության շրջանակներում։</w:t>
      </w:r>
    </w:p>
    <w:p w14:paraId="5BE52D95" w14:textId="77777777" w:rsidR="0035054F" w:rsidRPr="00E345B2" w:rsidRDefault="0035054F" w:rsidP="00180FCD">
      <w:pPr>
        <w:spacing w:after="160" w:line="360" w:lineRule="auto"/>
        <w:ind w:firstLine="567"/>
        <w:jc w:val="both"/>
      </w:pPr>
      <w:r w:rsidRPr="00E345B2">
        <w:t xml:space="preserve">Որոշումն անցկացնում են Ռոսս-Մայլսի սարքի (նկար 2.5.1.36-1) կամ համանման սարքի վրա։ Ռոսս-Մայլսի սարքն ամրակցված է կալանի (6) վրա, բաղկացած է 2 մմ բաժանքի արժեք ունեցող չափիչ գլանից (4), որը դրված է թերմոստատի (1) հետ միացնելու համար նախատեսված երկու արտանցիչներով համալրված ջրային շապիկի (3) մեջ, </w:t>
      </w:r>
      <w:r>
        <w:t>եւ</w:t>
      </w:r>
      <w:r w:rsidRPr="00E345B2">
        <w:t xml:space="preserve"> տրամաչափարկված խողովակի հետ միացված կաթոցիկից (5)։ Գլանը վեր</w:t>
      </w:r>
      <w:r>
        <w:t>եւ</w:t>
      </w:r>
      <w:r w:rsidRPr="00E345B2">
        <w:t xml:space="preserve">ի մասից ծածկված է խցանով, որն ունի </w:t>
      </w:r>
      <w:r w:rsidRPr="00180FCD">
        <w:rPr>
          <w:spacing w:val="-4"/>
        </w:rPr>
        <w:t>երկու անցք՝ առաջինը՝ ապակյա կաթոցիկի (5) ծայրապանակը մտցնելու, երկրորդը՝ օդը հեռացնելու համար։ Ապակյա կաթոցիկը (նկար 2.5.1.36-2) միացված է ապակուց</w:t>
      </w:r>
      <w:r w:rsidRPr="00E345B2">
        <w:t xml:space="preserve"> կամ չժանգոտող պողպատից տրամաչափարկված խողովակին։</w:t>
      </w:r>
    </w:p>
    <w:p w14:paraId="0212A77E" w14:textId="77777777" w:rsidR="0035054F" w:rsidRPr="00E345B2" w:rsidRDefault="0035054F" w:rsidP="00180FCD">
      <w:pPr>
        <w:spacing w:after="160" w:line="360" w:lineRule="auto"/>
        <w:ind w:firstLine="567"/>
        <w:jc w:val="both"/>
      </w:pPr>
      <w:r w:rsidRPr="00E345B2">
        <w:lastRenderedPageBreak/>
        <w:t>Չափումն անցկացնում են շամպունի 0,5 % զանգվածային մաս ունեցող դեղային շամպունի ջրային լուծույթի (37 ± 2) °С ջերմաստիճանում։</w:t>
      </w:r>
    </w:p>
    <w:p w14:paraId="20B031A4" w14:textId="77777777" w:rsidR="0035054F" w:rsidRPr="00E345B2" w:rsidRDefault="0035054F" w:rsidP="00180FCD">
      <w:pPr>
        <w:spacing w:after="160" w:line="360" w:lineRule="auto"/>
        <w:ind w:firstLine="567"/>
        <w:jc w:val="both"/>
      </w:pPr>
      <w:r w:rsidRPr="00E345B2">
        <w:t>Փորձարկումն անցկացնելու համար ընտրում են դեղապատրաստուկի 9</w:t>
      </w:r>
      <w:r w:rsidR="00180FCD" w:rsidRPr="00180FCD">
        <w:t> </w:t>
      </w:r>
      <w:r w:rsidRPr="00E345B2">
        <w:t xml:space="preserve">նմուշ, որոնց պարունակությունն իրար են միացնում, մանրակրկիտ խառնում են </w:t>
      </w:r>
      <w:r>
        <w:t>եւ</w:t>
      </w:r>
      <w:r w:rsidRPr="00E345B2">
        <w:t xml:space="preserve"> նվազեցնում մինչ</w:t>
      </w:r>
      <w:r>
        <w:t>եւ</w:t>
      </w:r>
      <w:r w:rsidRPr="00E345B2">
        <w:t xml:space="preserve"> 1 կգ զանգվածով միջին փորձանմուշը։</w:t>
      </w:r>
    </w:p>
    <w:p w14:paraId="226D2225" w14:textId="77777777" w:rsidR="0035054F" w:rsidRPr="00E345B2" w:rsidRDefault="0035054F" w:rsidP="00180FCD">
      <w:pPr>
        <w:spacing w:after="160" w:line="360" w:lineRule="auto"/>
        <w:ind w:firstLine="567"/>
        <w:jc w:val="both"/>
      </w:pPr>
      <w:r w:rsidRPr="00180FCD">
        <w:rPr>
          <w:i/>
        </w:rPr>
        <w:t>Փորձարկվող լուծույթի պատրաստո</w:t>
      </w:r>
      <w:r w:rsidRPr="00E345B2">
        <w:t xml:space="preserve">ւմը. Ազդող նյութի 5 գրամին համապատասխանող, ±0,01 սխալանքով ընտրված շամպունի կշռանմուշը վերցնում են միջին փորձանմուշից, դնում են բաժակի մեջ </w:t>
      </w:r>
      <w:r>
        <w:t>եւ</w:t>
      </w:r>
      <w:r w:rsidRPr="00E345B2">
        <w:t xml:space="preserve"> լուծում են սահմանված կոշտություն ունեցող 50-60 մլ ջրի մեջ ու խառնում մինչ</w:t>
      </w:r>
      <w:r>
        <w:t>եւ</w:t>
      </w:r>
      <w:r w:rsidRPr="00E345B2">
        <w:t xml:space="preserve"> լրիվ լուծվելը (կախույթային </w:t>
      </w:r>
      <w:r>
        <w:t>եւ</w:t>
      </w:r>
      <w:r w:rsidRPr="00E345B2">
        <w:t xml:space="preserve"> համակցված տիպի շամպունների համար՝ մինչ</w:t>
      </w:r>
      <w:r>
        <w:t>եւ</w:t>
      </w:r>
      <w:r w:rsidRPr="00E345B2">
        <w:t xml:space="preserve"> լրիվ վերակախութավորվելը)։ Ստացված լուծույթը դնում են չափանոթի կամ գլանի մեջ, լուծույթի ծավալը սահմանված կոշտություն ունեցող ջրով հասցնում են մինչ</w:t>
      </w:r>
      <w:r>
        <w:t>եւ</w:t>
      </w:r>
      <w:r w:rsidRPr="00E345B2">
        <w:t xml:space="preserve"> 1000 մլ-ի </w:t>
      </w:r>
      <w:r>
        <w:t>եւ</w:t>
      </w:r>
      <w:r w:rsidRPr="00E345B2">
        <w:t xml:space="preserve"> խառնում՝ խուսափելով փրփրագոյացումից։</w:t>
      </w:r>
    </w:p>
    <w:p w14:paraId="4FC3AD72" w14:textId="77777777" w:rsidR="0035054F" w:rsidRPr="00E345B2" w:rsidRDefault="0035054F" w:rsidP="00180FCD">
      <w:pPr>
        <w:spacing w:after="160" w:line="360" w:lineRule="auto"/>
        <w:ind w:firstLine="567"/>
        <w:jc w:val="both"/>
      </w:pPr>
      <w:r w:rsidRPr="00E345B2">
        <w:t xml:space="preserve">Լուծույթը պատրաստում են փորձարկման՝ ±5 °С թույլատրելի շեղում ունեցող ջերմաստիճանում։ Լուծույթը պատրաստում են փորձարկումն սկսելուց ոչ ուշ, քան 30 րոպե առաջ </w:t>
      </w:r>
      <w:r>
        <w:t>եւ</w:t>
      </w:r>
      <w:r w:rsidRPr="00E345B2">
        <w:t xml:space="preserve"> ոչ շուտ, քան դրանից 2 ժամ առաջ։</w:t>
      </w:r>
    </w:p>
    <w:p w14:paraId="20E1DD9C" w14:textId="77777777" w:rsidR="0035054F" w:rsidRPr="00E345B2" w:rsidRDefault="0035054F" w:rsidP="00180FCD">
      <w:pPr>
        <w:spacing w:after="160" w:line="360" w:lineRule="auto"/>
        <w:ind w:firstLine="567"/>
        <w:jc w:val="both"/>
      </w:pPr>
      <w:r w:rsidRPr="00E345B2">
        <w:t xml:space="preserve">Սահմանված կոշտությամբ ջրի պատրաստումը. 8,5 մլ Ա լուծույթը </w:t>
      </w:r>
      <w:r>
        <w:t>եւ</w:t>
      </w:r>
      <w:r w:rsidRPr="00E345B2">
        <w:t xml:space="preserve"> 1,5 մլ Բ լուծույթը՝ յուրաքանչյուրն առանձին, թորման մեթոդով ստացված Ռ մաքրված ջրով նոսրացնում են մինչ</w:t>
      </w:r>
      <w:r>
        <w:t>եւ</w:t>
      </w:r>
      <w:r w:rsidRPr="00E345B2">
        <w:t xml:space="preserve"> 450 մլ ծավալը, տեղափոխում են 1000 մլ տարողությամբ չափանոթի մեջ, թորման մեթոդով ստացված Ռ մաքրված ջրով հասցնում են մինչ</w:t>
      </w:r>
      <w:r>
        <w:t>եւ</w:t>
      </w:r>
      <w:r w:rsidRPr="00E345B2">
        <w:t xml:space="preserve"> նիշը </w:t>
      </w:r>
      <w:r>
        <w:t>եւ</w:t>
      </w:r>
      <w:r w:rsidRPr="00E345B2">
        <w:t xml:space="preserve"> խառնում։</w:t>
      </w:r>
    </w:p>
    <w:p w14:paraId="13FF726E" w14:textId="77777777" w:rsidR="0035054F" w:rsidRPr="00E345B2" w:rsidRDefault="0035054F" w:rsidP="00180FCD">
      <w:pPr>
        <w:tabs>
          <w:tab w:val="left" w:pos="993"/>
        </w:tabs>
        <w:spacing w:after="160" w:line="360" w:lineRule="auto"/>
        <w:ind w:firstLine="567"/>
        <w:jc w:val="both"/>
      </w:pPr>
      <w:r w:rsidRPr="00180FCD">
        <w:rPr>
          <w:i/>
        </w:rPr>
        <w:t>1.</w:t>
      </w:r>
      <w:r w:rsidR="00180FCD" w:rsidRPr="00B5542D">
        <w:rPr>
          <w:i/>
        </w:rPr>
        <w:tab/>
      </w:r>
      <w:r w:rsidRPr="00180FCD">
        <w:rPr>
          <w:i/>
        </w:rPr>
        <w:t>Ա լուծույթի պատրաստումը.</w:t>
      </w:r>
      <w:r w:rsidRPr="00E345B2">
        <w:t xml:space="preserve"> 40 գ կալցիումի քլորիդը (СаСl2*4Н2O) տեղադրում են 1000 մլ տարողությամբ չափանոթի մեջ </w:t>
      </w:r>
      <w:r>
        <w:t>եւ</w:t>
      </w:r>
      <w:r w:rsidRPr="00E345B2">
        <w:t xml:space="preserve"> թորման մեթոդով ստացված Ռ մաքրված ջրով հասցնում են մինչ</w:t>
      </w:r>
      <w:r>
        <w:t>եւ</w:t>
      </w:r>
      <w:r w:rsidRPr="00E345B2">
        <w:t xml:space="preserve"> նիշը։</w:t>
      </w:r>
    </w:p>
    <w:p w14:paraId="49D5A7BF" w14:textId="77777777" w:rsidR="0035054F" w:rsidRPr="00E345B2" w:rsidRDefault="0035054F" w:rsidP="00180FCD">
      <w:pPr>
        <w:tabs>
          <w:tab w:val="left" w:pos="993"/>
        </w:tabs>
        <w:spacing w:after="160" w:line="360" w:lineRule="auto"/>
        <w:ind w:firstLine="567"/>
        <w:jc w:val="both"/>
      </w:pPr>
      <w:r w:rsidRPr="00180FCD">
        <w:rPr>
          <w:i/>
        </w:rPr>
        <w:t>2.</w:t>
      </w:r>
      <w:r w:rsidR="00180FCD" w:rsidRPr="00B5542D">
        <w:rPr>
          <w:i/>
        </w:rPr>
        <w:tab/>
      </w:r>
      <w:r w:rsidRPr="00180FCD">
        <w:rPr>
          <w:i/>
        </w:rPr>
        <w:t>Բ լուծույթի պատրաստումը</w:t>
      </w:r>
      <w:r w:rsidRPr="00E345B2">
        <w:t xml:space="preserve">. 44 գ մագնեզիումի սուլֆատը (MgSО4*7H2O) տեղադրում են 1000 մլ տարողությամբ չափանոթի մեջ </w:t>
      </w:r>
      <w:r>
        <w:t>եւ</w:t>
      </w:r>
      <w:r w:rsidRPr="00E345B2">
        <w:t xml:space="preserve"> թորման մեթոդով ստացված Ռ մաքրված ջրով հասցնում են մինչ</w:t>
      </w:r>
      <w:r>
        <w:t>եւ</w:t>
      </w:r>
      <w:r w:rsidRPr="00E345B2">
        <w:t xml:space="preserve"> նիշը։</w:t>
      </w:r>
    </w:p>
    <w:p w14:paraId="249136A9" w14:textId="77777777" w:rsidR="0035054F" w:rsidRPr="00E345B2" w:rsidRDefault="0035054F" w:rsidP="00180FCD">
      <w:pPr>
        <w:spacing w:after="160" w:line="360" w:lineRule="auto"/>
        <w:ind w:firstLine="567"/>
        <w:jc w:val="both"/>
      </w:pPr>
      <w:r w:rsidRPr="00E345B2">
        <w:lastRenderedPageBreak/>
        <w:t>Անջուր աղերի կշռանմուշներ վերցնելու համար անհրաժեշտ է համապատասխան վերահաշվարկ կատարել։</w:t>
      </w:r>
    </w:p>
    <w:p w14:paraId="71EAB6ED" w14:textId="77777777" w:rsidR="0035054F" w:rsidRPr="00E345B2" w:rsidRDefault="0035054F" w:rsidP="00180FCD">
      <w:pPr>
        <w:spacing w:after="160" w:line="346" w:lineRule="auto"/>
        <w:ind w:firstLine="567"/>
        <w:jc w:val="both"/>
      </w:pPr>
      <w:r w:rsidRPr="00E345B2">
        <w:t>Փորձարկման անցկացումը. Ռոսս-Մայլսի սարքը համ համանման սարք փորձարկման համար նախապատրաստում են՝ շապիկի մեջ եղած հեղուկը թերմոստատի օգնությամբ հասցնելով մինչ</w:t>
      </w:r>
      <w:r>
        <w:t>եւ</w:t>
      </w:r>
      <w:r w:rsidRPr="00E345B2">
        <w:t xml:space="preserve"> (37 ± 2) °С ջերմաստիճանի։ Միաժամանակ 300 մլ փորձարկվող լուծույթը հասցնում են մինչ</w:t>
      </w:r>
      <w:r>
        <w:t>եւ</w:t>
      </w:r>
      <w:r w:rsidRPr="00E345B2">
        <w:t xml:space="preserve"> (37 ± 2) °С ջերմաստիճանը։ Այդ քանակից վերցնում են 50 մլ լուծույթ, 50 մմ ներքին տրամագծով չափիչ գլանի մեջ պատի վրայով լցնում են այնպես, որ փրփուր չգոյանա։ 10 րոպե հետո ռետինե տանձիկի օգնությամբ կաթոցիկի մեջ 200 մլ փորձարկվող լուծույթ են լցնում այնպես, որ փրփուր չգոյանա։ Լուծույթով կաթոցիկը կալանի մեջ ամրացնում են այնպես, որ դրա ելքի անցքը լինի գլանի մեջ եղած հեղուկի մակարդակից 900 մմ հեռավորության վրա </w:t>
      </w:r>
      <w:r>
        <w:t>եւ</w:t>
      </w:r>
      <w:r w:rsidRPr="00E345B2">
        <w:t xml:space="preserve"> ապահովի շիթի հոսքը դեպի հեղուկի կենտրոն։ Այնուհետ</w:t>
      </w:r>
      <w:r>
        <w:t>եւ</w:t>
      </w:r>
      <w:r w:rsidRPr="00E345B2">
        <w:t xml:space="preserve"> բացում են կաթոցիկի ծորակը։ Կաթոցիկից լուծույթի հոսքը դադարելուց հետո միացնում են վայրկենաչափը </w:t>
      </w:r>
      <w:r>
        <w:t>եւ</w:t>
      </w:r>
      <w:r w:rsidRPr="00E345B2">
        <w:t xml:space="preserve"> 30 վ անց չափում են փրփուրի առաջացած սյան բարձրությունը՝ միլիմետրերով (H</w:t>
      </w:r>
      <w:r w:rsidRPr="00E345B2">
        <w:rPr>
          <w:vertAlign w:val="subscript"/>
        </w:rPr>
        <w:t>0 չափ.</w:t>
      </w:r>
      <w:r w:rsidRPr="00E345B2">
        <w:t>)։ Այնուհետ</w:t>
      </w:r>
      <w:r>
        <w:t>եւ</w:t>
      </w:r>
      <w:r w:rsidRPr="00E345B2">
        <w:t>՝ 5 րոպե հետո, չափում են փրփուրի առաջացած սյան բարձրությունը՝ միլիմետրերով (H</w:t>
      </w:r>
      <w:r w:rsidRPr="00E345B2">
        <w:rPr>
          <w:vertAlign w:val="subscript"/>
        </w:rPr>
        <w:t>5 չափ.</w:t>
      </w:r>
      <w:r w:rsidRPr="00E345B2">
        <w:t>)։</w:t>
      </w:r>
    </w:p>
    <w:p w14:paraId="54789184" w14:textId="77777777" w:rsidR="0035054F" w:rsidRPr="00E345B2" w:rsidRDefault="0035054F" w:rsidP="00180FCD">
      <w:pPr>
        <w:spacing w:after="160" w:line="346" w:lineRule="auto"/>
        <w:ind w:firstLine="567"/>
        <w:jc w:val="both"/>
      </w:pPr>
      <w:r w:rsidRPr="00E345B2">
        <w:t>Եթե փրփուրի սյան մակարդակն անհարթ մակեր</w:t>
      </w:r>
      <w:r>
        <w:t>եւ</w:t>
      </w:r>
      <w:r w:rsidRPr="00E345B2">
        <w:t xml:space="preserve">ույթ ունի, ապա որպես փրփուրի սյան բարձրություն ընդունում են փրփուրի առավելագույն </w:t>
      </w:r>
      <w:r>
        <w:t>եւ</w:t>
      </w:r>
      <w:r w:rsidRPr="00E345B2">
        <w:t xml:space="preserve"> նվազագույն բարձրության չափումների թվաբանական միջինը։</w:t>
      </w:r>
    </w:p>
    <w:p w14:paraId="307352B1" w14:textId="77777777" w:rsidR="0035054F" w:rsidRPr="00E345B2" w:rsidRDefault="0035054F" w:rsidP="00180FCD">
      <w:pPr>
        <w:spacing w:after="160" w:line="346" w:lineRule="auto"/>
        <w:ind w:firstLine="567"/>
        <w:jc w:val="both"/>
      </w:pPr>
      <w:r w:rsidRPr="00E345B2">
        <w:t>Յուրաքանչյուր նոր որոշում անցկացնելուց առաջ չափիչ գլանը լվանում են թորման մեթոդով ստացված Ռ մաքրված ջրով։</w:t>
      </w:r>
    </w:p>
    <w:p w14:paraId="53380CB1" w14:textId="77777777" w:rsidR="0035054F" w:rsidRPr="00E345B2" w:rsidRDefault="0035054F" w:rsidP="00180FCD">
      <w:pPr>
        <w:spacing w:after="160" w:line="346" w:lineRule="auto"/>
        <w:ind w:firstLine="567"/>
        <w:jc w:val="both"/>
      </w:pPr>
      <w:r w:rsidRPr="00E345B2">
        <w:t>Առանձին սարքերի չափիչ գլանի ներքին տրամագծերի միջ</w:t>
      </w:r>
      <w:r>
        <w:t>եւ</w:t>
      </w:r>
      <w:r w:rsidRPr="00E345B2">
        <w:t xml:space="preserve"> եղած տարբերությունն ազդում է փրփուրի առաջացած սյան բարձրության վրա, ուստի յուրաքանչյուր սարքի համար անհրաժեշտ է սահմանել ճշգրտման գործակից, որի օգնությամբ չափումների ժամանակ ստացված բոլոր արժեքները վերահաշվարկում են այնպիսի արժեքների, որոնք համապատասխանում են գլանի 50 մմ ներքին տրամագիծ ունեցող սարքով ճիշտ չափված փրփուրի սյան բարձրությանը։</w:t>
      </w:r>
    </w:p>
    <w:p w14:paraId="284BCB94" w14:textId="77777777" w:rsidR="0035054F" w:rsidRPr="00E345B2" w:rsidRDefault="0035054F" w:rsidP="00180FCD">
      <w:pPr>
        <w:spacing w:after="160" w:line="360" w:lineRule="auto"/>
        <w:ind w:firstLine="567"/>
        <w:jc w:val="both"/>
      </w:pPr>
      <w:r w:rsidRPr="00E345B2">
        <w:lastRenderedPageBreak/>
        <w:t>Ճշգրտման գործակիցը հաշվարկում են հետ</w:t>
      </w:r>
      <w:r>
        <w:t>եւ</w:t>
      </w:r>
      <w:r w:rsidRPr="00E345B2">
        <w:t>յալ բանաձ</w:t>
      </w:r>
      <w:r>
        <w:t>եւ</w:t>
      </w:r>
      <w:r w:rsidRPr="00E345B2">
        <w:t>ով.</w:t>
      </w:r>
    </w:p>
    <w:p w14:paraId="7ECDA81B" w14:textId="77777777" w:rsidR="0035054F" w:rsidRPr="00E345B2" w:rsidRDefault="00000000" w:rsidP="0035054F">
      <w:pPr>
        <w:spacing w:after="160" w:line="360" w:lineRule="auto"/>
      </w:pPr>
      <m:oMathPara>
        <m:oMath>
          <m:sSup>
            <m:sSupPr>
              <m:ctrlPr>
                <w:rPr>
                  <w:rFonts w:ascii="Cambria Math" w:hAnsi="Cambria Math"/>
                </w:rPr>
              </m:ctrlPr>
            </m:sSupPr>
            <m:e>
              <m:r>
                <w:rPr>
                  <w:rFonts w:ascii="Cambria Math" w:hAnsi="Cambria Math"/>
                </w:rPr>
                <m:t>K</m:t>
              </m:r>
              <m:r>
                <m:rPr>
                  <m:sty m:val="p"/>
                </m:rPr>
                <w:rPr>
                  <w:rFonts w:ascii="Cambria Math"/>
                </w:rPr>
                <m:t>=</m:t>
              </m:r>
              <m:f>
                <m:fPr>
                  <m:ctrlPr>
                    <w:rPr>
                      <w:rFonts w:ascii="Cambria Math" w:hAnsi="Cambria Math"/>
                    </w:rPr>
                  </m:ctrlPr>
                </m:fPr>
                <m:num>
                  <m:r>
                    <w:rPr>
                      <w:rFonts w:ascii="Cambria Math" w:hAnsi="Cambria Math"/>
                    </w:rPr>
                    <m:t>D</m:t>
                  </m:r>
                </m:num>
                <m:den>
                  <m:r>
                    <m:rPr>
                      <m:sty m:val="p"/>
                    </m:rPr>
                    <w:rPr>
                      <w:rFonts w:ascii="Cambria Math"/>
                    </w:rPr>
                    <m:t>2500</m:t>
                  </m:r>
                </m:den>
              </m:f>
            </m:e>
            <m:sup>
              <m:r>
                <m:rPr>
                  <m:sty m:val="p"/>
                </m:rPr>
                <w:rPr>
                  <w:rFonts w:ascii="Cambria Math"/>
                </w:rPr>
                <m:t>2</m:t>
              </m:r>
            </m:sup>
          </m:sSup>
          <m:r>
            <m:rPr>
              <m:sty m:val="p"/>
            </m:rPr>
            <w:rPr>
              <w:rFonts w:ascii="Cambria Math"/>
            </w:rPr>
            <m:t>,</m:t>
          </m:r>
        </m:oMath>
      </m:oMathPara>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471"/>
      </w:tblGrid>
      <w:tr w:rsidR="0035054F" w:rsidRPr="00E345B2" w14:paraId="4ACB91F9" w14:textId="77777777" w:rsidTr="00180FCD">
        <w:tc>
          <w:tcPr>
            <w:tcW w:w="1559" w:type="dxa"/>
          </w:tcPr>
          <w:p w14:paraId="32B70E9E"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որտեղ՝ D-ն</w:t>
            </w:r>
          </w:p>
        </w:tc>
        <w:tc>
          <w:tcPr>
            <w:tcW w:w="7471" w:type="dxa"/>
          </w:tcPr>
          <w:p w14:paraId="33B89226"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փորձարկվող սարքի գլանի փաստացի ներքին տրամագիծն է, մմ.</w:t>
            </w:r>
          </w:p>
        </w:tc>
      </w:tr>
      <w:tr w:rsidR="0035054F" w:rsidRPr="00E345B2" w14:paraId="4A73B5E3" w14:textId="77777777" w:rsidTr="00180FCD">
        <w:tc>
          <w:tcPr>
            <w:tcW w:w="1559" w:type="dxa"/>
          </w:tcPr>
          <w:p w14:paraId="7EABD2F2"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2500 = 50</w:t>
            </w:r>
            <w:r w:rsidRPr="00180FCD">
              <w:rPr>
                <w:rFonts w:ascii="Sylfaen" w:hAnsi="Sylfaen"/>
                <w:sz w:val="24"/>
                <w:szCs w:val="24"/>
                <w:vertAlign w:val="superscript"/>
              </w:rPr>
              <w:t>2</w:t>
            </w:r>
            <w:r w:rsidRPr="00E345B2">
              <w:rPr>
                <w:rFonts w:ascii="Sylfaen" w:hAnsi="Sylfaen"/>
                <w:sz w:val="24"/>
                <w:szCs w:val="24"/>
              </w:rPr>
              <w:t>-ը</w:t>
            </w:r>
          </w:p>
        </w:tc>
        <w:tc>
          <w:tcPr>
            <w:tcW w:w="7471" w:type="dxa"/>
          </w:tcPr>
          <w:p w14:paraId="20C897C9"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ստանդարտ սարքի գլանի ներքին տրամագծի քառակուսին է։</w:t>
            </w:r>
          </w:p>
        </w:tc>
      </w:tr>
    </w:tbl>
    <w:p w14:paraId="5415A453" w14:textId="77777777" w:rsidR="0035054F" w:rsidRPr="00E345B2" w:rsidRDefault="0035054F" w:rsidP="0035054F">
      <w:pPr>
        <w:spacing w:after="160" w:line="360" w:lineRule="auto"/>
      </w:pPr>
    </w:p>
    <w:p w14:paraId="5D4DDC57" w14:textId="77777777" w:rsidR="0035054F" w:rsidRPr="00E345B2" w:rsidRDefault="0035054F" w:rsidP="00180FCD">
      <w:pPr>
        <w:spacing w:after="160" w:line="360" w:lineRule="auto"/>
        <w:ind w:firstLine="567"/>
        <w:jc w:val="both"/>
      </w:pPr>
      <w:r w:rsidRPr="00E345B2">
        <w:t>Փրփրագոյացնող ունակությունը (Н</w:t>
      </w:r>
      <w:r w:rsidRPr="00E345B2">
        <w:rPr>
          <w:vertAlign w:val="subscript"/>
        </w:rPr>
        <w:t>0</w:t>
      </w:r>
      <w:r w:rsidRPr="00E345B2">
        <w:t xml:space="preserve"> </w:t>
      </w:r>
      <w:r>
        <w:t>եւ</w:t>
      </w:r>
      <w:r w:rsidRPr="00E345B2">
        <w:t xml:space="preserve"> Н</w:t>
      </w:r>
      <w:r w:rsidRPr="00E345B2">
        <w:rPr>
          <w:vertAlign w:val="subscript"/>
        </w:rPr>
        <w:t>5</w:t>
      </w:r>
      <w:r w:rsidRPr="00E345B2">
        <w:t>) մմ-ով</w:t>
      </w:r>
      <w:r>
        <w:t xml:space="preserve"> </w:t>
      </w:r>
      <w:r w:rsidRPr="00E345B2">
        <w:t>հաշվարկում են հետ</w:t>
      </w:r>
      <w:r>
        <w:t>եւ</w:t>
      </w:r>
      <w:r w:rsidRPr="00E345B2">
        <w:t>յալ բանաձ</w:t>
      </w:r>
      <w:r>
        <w:t>եւ</w:t>
      </w:r>
      <w:r w:rsidRPr="00E345B2">
        <w:t>երով.</w:t>
      </w:r>
    </w:p>
    <w:p w14:paraId="0F0AEDCB" w14:textId="77777777" w:rsidR="0035054F" w:rsidRPr="00E345B2" w:rsidRDefault="00000000" w:rsidP="00180FCD">
      <w:pPr>
        <w:spacing w:after="160" w:line="360" w:lineRule="auto"/>
        <w:jc w:val="center"/>
      </w:pPr>
      <m:oMathPara>
        <m:oMath>
          <m:sSub>
            <m:sSubPr>
              <m:ctrlPr>
                <w:rPr>
                  <w:rFonts w:ascii="Cambria Math" w:hAnsi="Cambria Math"/>
                </w:rPr>
              </m:ctrlPr>
            </m:sSubPr>
            <m:e>
              <m:r>
                <m:rPr>
                  <m:sty m:val="bi"/>
                </m:rPr>
                <w:rPr>
                  <w:rFonts w:ascii="Cambria Math" w:hAnsi="Cambria Math"/>
                </w:rPr>
                <m:t>H</m:t>
              </m:r>
            </m:e>
            <m:sub>
              <m:r>
                <m:rPr>
                  <m:sty m:val="bi"/>
                </m:rPr>
                <w:rPr>
                  <w:rFonts w:ascii="Cambria Math" w:hAnsi="Cambria Math"/>
                </w:rPr>
                <m:t>o</m:t>
              </m:r>
            </m:sub>
          </m:sSub>
          <m:r>
            <m:rPr>
              <m:sty m:val="p"/>
            </m:rPr>
            <w:rPr>
              <w:rFonts w:ascii="Cambria Math"/>
            </w:rPr>
            <m:t>=</m:t>
          </m:r>
          <m:sSub>
            <m:sSubPr>
              <m:ctrlPr>
                <w:rPr>
                  <w:rFonts w:ascii="Cambria Math" w:hAnsi="Cambria Math"/>
                </w:rPr>
              </m:ctrlPr>
            </m:sSubPr>
            <m:e>
              <m:r>
                <m:rPr>
                  <m:sty m:val="bi"/>
                </m:rPr>
                <w:rPr>
                  <w:rFonts w:ascii="Cambria Math" w:hAnsi="Cambria Math"/>
                </w:rPr>
                <m:t>H</m:t>
              </m:r>
            </m:e>
            <m:sub>
              <m:r>
                <m:rPr>
                  <m:sty m:val="bi"/>
                </m:rPr>
                <w:rPr>
                  <w:rFonts w:ascii="Cambria Math" w:hAnsi="Cambria Math"/>
                </w:rPr>
                <m:t>O</m:t>
              </m:r>
              <m:r>
                <m:rPr>
                  <m:sty m:val="p"/>
                </m:rPr>
                <w:rPr>
                  <w:rFonts w:ascii="Cambria Math"/>
                </w:rPr>
                <m:t xml:space="preserve"> </m:t>
              </m:r>
              <m:r>
                <m:rPr>
                  <m:sty m:val="p"/>
                </m:rPr>
                <w:rPr>
                  <w:rFonts w:ascii="GHEA Grapalat"/>
                </w:rPr>
                <m:t>изм</m:t>
              </m:r>
            </m:sub>
          </m:sSub>
          <m:r>
            <m:rPr>
              <m:sty m:val="p"/>
            </m:rPr>
            <w:rPr>
              <w:rFonts w:hAnsi="Cambria Math"/>
            </w:rPr>
            <m:t>*</m:t>
          </m:r>
          <m:r>
            <m:rPr>
              <m:sty m:val="p"/>
            </m:rPr>
            <w:rPr>
              <w:rFonts w:ascii="GHEA Grapalat"/>
            </w:rPr>
            <m:t>К</m:t>
          </m:r>
          <m:r>
            <m:rPr>
              <m:sty m:val="p"/>
            </m:rPr>
            <w:rPr>
              <w:rFonts w:ascii="Cambria Math"/>
            </w:rPr>
            <m:t>,</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29"/>
      </w:tblGrid>
      <w:tr w:rsidR="0035054F" w:rsidRPr="00E345B2" w14:paraId="1E253AF3" w14:textId="77777777" w:rsidTr="00180FCD">
        <w:tc>
          <w:tcPr>
            <w:tcW w:w="1951" w:type="dxa"/>
          </w:tcPr>
          <w:p w14:paraId="315145B6"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որտեղ՝ H</w:t>
            </w:r>
            <w:r w:rsidRPr="00E345B2">
              <w:rPr>
                <w:rFonts w:ascii="Sylfaen" w:hAnsi="Sylfaen"/>
                <w:sz w:val="24"/>
                <w:szCs w:val="24"/>
                <w:vertAlign w:val="subscript"/>
              </w:rPr>
              <w:t>0 չափ.</w:t>
            </w:r>
            <w:r w:rsidRPr="00E345B2">
              <w:rPr>
                <w:rFonts w:ascii="Sylfaen" w:hAnsi="Sylfaen"/>
                <w:sz w:val="24"/>
                <w:szCs w:val="24"/>
              </w:rPr>
              <w:t>-ը</w:t>
            </w:r>
          </w:p>
        </w:tc>
        <w:tc>
          <w:tcPr>
            <w:tcW w:w="7329" w:type="dxa"/>
          </w:tcPr>
          <w:p w14:paraId="15EC1D1A"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տվյալ սարքով չափված փրփուրի սյան սկզբնական բարձրությունն է՝ միլիմետրերով.</w:t>
            </w:r>
          </w:p>
        </w:tc>
      </w:tr>
      <w:tr w:rsidR="0035054F" w:rsidRPr="00E345B2" w14:paraId="427BE8EF" w14:textId="77777777" w:rsidTr="00180FCD">
        <w:tc>
          <w:tcPr>
            <w:tcW w:w="1951" w:type="dxa"/>
          </w:tcPr>
          <w:p w14:paraId="15534137" w14:textId="77777777" w:rsidR="0035054F" w:rsidRPr="00E345B2" w:rsidRDefault="0035054F" w:rsidP="00180FCD">
            <w:pPr>
              <w:spacing w:after="160" w:line="360" w:lineRule="auto"/>
              <w:ind w:right="175"/>
              <w:jc w:val="right"/>
              <w:rPr>
                <w:rFonts w:ascii="Sylfaen" w:hAnsi="Sylfaen"/>
                <w:sz w:val="24"/>
                <w:szCs w:val="24"/>
              </w:rPr>
            </w:pPr>
            <w:r w:rsidRPr="00E345B2">
              <w:rPr>
                <w:rFonts w:ascii="Sylfaen" w:hAnsi="Sylfaen"/>
                <w:sz w:val="24"/>
                <w:szCs w:val="24"/>
              </w:rPr>
              <w:t>К-ն</w:t>
            </w:r>
          </w:p>
        </w:tc>
        <w:tc>
          <w:tcPr>
            <w:tcW w:w="7329" w:type="dxa"/>
          </w:tcPr>
          <w:p w14:paraId="35F992A7"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ճշգրտման գործակիցն է։</w:t>
            </w:r>
          </w:p>
        </w:tc>
      </w:tr>
    </w:tbl>
    <w:p w14:paraId="26A3F19E" w14:textId="77777777" w:rsidR="0035054F" w:rsidRPr="00E345B2" w:rsidRDefault="0035054F" w:rsidP="0035054F">
      <w:pPr>
        <w:spacing w:after="160" w:line="360" w:lineRule="auto"/>
      </w:pPr>
    </w:p>
    <w:p w14:paraId="7A78F73D" w14:textId="77777777" w:rsidR="0035054F" w:rsidRPr="00E345B2" w:rsidRDefault="00000000" w:rsidP="0035054F">
      <w:pPr>
        <w:spacing w:after="160" w:line="360" w:lineRule="auto"/>
      </w:pPr>
      <m:oMathPara>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5</m:t>
              </m:r>
            </m:sub>
          </m:sSub>
          <m:r>
            <m:rPr>
              <m:sty m:val="p"/>
            </m:rPr>
            <w:rPr>
              <w:rFonts w:ascii="Cambria Math"/>
            </w:rPr>
            <m:t>=</m:t>
          </m:r>
          <m:sSub>
            <m:sSubPr>
              <m:ctrlPr>
                <w:rPr>
                  <w:rFonts w:ascii="Cambria Math" w:hAnsi="Cambria Math"/>
                </w:rPr>
              </m:ctrlPr>
            </m:sSubPr>
            <m:e>
              <m:r>
                <m:rPr>
                  <m:sty m:val="bi"/>
                </m:rPr>
                <w:rPr>
                  <w:rFonts w:ascii="Cambria Math" w:hAnsi="Cambria Math"/>
                </w:rPr>
                <m:t>H</m:t>
              </m:r>
            </m:e>
            <m:sub>
              <m:r>
                <m:rPr>
                  <m:sty m:val="b"/>
                </m:rPr>
                <w:rPr>
                  <w:rFonts w:ascii="Cambria Math" w:hAnsi="Cambria Math"/>
                </w:rPr>
                <m:t>5</m:t>
              </m:r>
              <m:r>
                <m:rPr>
                  <m:sty m:val="p"/>
                </m:rPr>
                <w:rPr>
                  <w:rFonts w:ascii="Cambria Math"/>
                </w:rPr>
                <m:t xml:space="preserve"> </m:t>
              </m:r>
              <m:r>
                <m:rPr>
                  <m:sty m:val="p"/>
                </m:rPr>
                <w:rPr>
                  <w:rFonts w:ascii="GHEA Grapalat"/>
                </w:rPr>
                <m:t>изм</m:t>
              </m:r>
            </m:sub>
          </m:sSub>
          <m:r>
            <m:rPr>
              <m:sty m:val="p"/>
            </m:rPr>
            <w:rPr>
              <w:rFonts w:hAnsi="Cambria Math"/>
            </w:rPr>
            <m:t>*</m:t>
          </m:r>
          <m:r>
            <m:rPr>
              <m:sty m:val="p"/>
            </m:rPr>
            <w:rPr>
              <w:rFonts w:ascii="GHEA Grapalat"/>
            </w:rPr>
            <m:t>К</m:t>
          </m:r>
          <m:r>
            <m:rPr>
              <m:sty m:val="p"/>
            </m:rPr>
            <w:rPr>
              <w:rFonts w:ascii="Cambria Math"/>
            </w:rPr>
            <m:t>,</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29"/>
      </w:tblGrid>
      <w:tr w:rsidR="0035054F" w:rsidRPr="00E345B2" w14:paraId="6046EA31" w14:textId="77777777" w:rsidTr="00180FCD">
        <w:tc>
          <w:tcPr>
            <w:tcW w:w="1951" w:type="dxa"/>
          </w:tcPr>
          <w:p w14:paraId="0DB1CBE2"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որտեղ՝ H</w:t>
            </w:r>
            <w:r w:rsidRPr="00E345B2">
              <w:rPr>
                <w:rFonts w:ascii="Sylfaen" w:hAnsi="Sylfaen"/>
                <w:sz w:val="24"/>
                <w:szCs w:val="24"/>
                <w:vertAlign w:val="subscript"/>
              </w:rPr>
              <w:t>5 չափ.</w:t>
            </w:r>
            <w:r w:rsidRPr="00E345B2">
              <w:rPr>
                <w:rFonts w:ascii="Sylfaen" w:hAnsi="Sylfaen"/>
                <w:sz w:val="24"/>
                <w:szCs w:val="24"/>
              </w:rPr>
              <w:t>-ը</w:t>
            </w:r>
          </w:p>
        </w:tc>
        <w:tc>
          <w:tcPr>
            <w:tcW w:w="7329" w:type="dxa"/>
          </w:tcPr>
          <w:p w14:paraId="78E76627"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5 րոպեն լրանալուց հետո տվյալ սարքով չափված փրփուրի սյան բարձրությունն է՝ միլիմետրերով.</w:t>
            </w:r>
          </w:p>
        </w:tc>
      </w:tr>
      <w:tr w:rsidR="0035054F" w:rsidRPr="00E345B2" w14:paraId="7497C193" w14:textId="77777777" w:rsidTr="00180FCD">
        <w:tc>
          <w:tcPr>
            <w:tcW w:w="1951" w:type="dxa"/>
          </w:tcPr>
          <w:p w14:paraId="1B9335BE"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К-ն</w:t>
            </w:r>
          </w:p>
        </w:tc>
        <w:tc>
          <w:tcPr>
            <w:tcW w:w="7329" w:type="dxa"/>
          </w:tcPr>
          <w:p w14:paraId="798168A0" w14:textId="77777777" w:rsidR="0035054F" w:rsidRPr="00180FCD" w:rsidRDefault="0035054F" w:rsidP="0035054F">
            <w:pPr>
              <w:keepNext/>
              <w:keepLines/>
              <w:spacing w:after="160" w:line="360" w:lineRule="auto"/>
              <w:rPr>
                <w:rFonts w:ascii="Sylfaen" w:hAnsi="Sylfaen"/>
                <w:sz w:val="24"/>
                <w:szCs w:val="24"/>
                <w:lang w:val="en-US"/>
              </w:rPr>
            </w:pPr>
            <w:r w:rsidRPr="00E345B2">
              <w:rPr>
                <w:rFonts w:ascii="Sylfaen" w:hAnsi="Sylfaen"/>
                <w:sz w:val="24"/>
                <w:szCs w:val="24"/>
              </w:rPr>
              <w:t xml:space="preserve">ճշգրտման գործակիցն է։ </w:t>
            </w:r>
          </w:p>
        </w:tc>
      </w:tr>
    </w:tbl>
    <w:p w14:paraId="7CEA238D" w14:textId="77777777" w:rsidR="00180FCD" w:rsidRDefault="00180FCD" w:rsidP="00180FCD">
      <w:pPr>
        <w:spacing w:after="160" w:line="360" w:lineRule="auto"/>
        <w:ind w:firstLine="567"/>
        <w:jc w:val="both"/>
        <w:rPr>
          <w:lang w:val="en-US"/>
        </w:rPr>
      </w:pPr>
    </w:p>
    <w:p w14:paraId="3D62E1DE" w14:textId="77777777" w:rsidR="0035054F" w:rsidRPr="00E345B2" w:rsidRDefault="00180FCD" w:rsidP="00180FCD">
      <w:pPr>
        <w:spacing w:after="160" w:line="360" w:lineRule="auto"/>
        <w:ind w:firstLine="567"/>
        <w:jc w:val="both"/>
      </w:pPr>
      <w:r w:rsidRPr="00E345B2">
        <w:t>Փրփուրի կայունությունը (Կ) հաշվարկում են հետ</w:t>
      </w:r>
      <w:r>
        <w:t>եւ</w:t>
      </w:r>
      <w:r w:rsidRPr="00E345B2">
        <w:t>յալ բանաձ</w:t>
      </w:r>
      <w:r>
        <w:t>եւ</w:t>
      </w:r>
      <w:r w:rsidRPr="00E345B2">
        <w:t>ով.</w:t>
      </w:r>
    </w:p>
    <w:p w14:paraId="157FCF0D" w14:textId="77777777" w:rsidR="0035054F" w:rsidRPr="00E345B2" w:rsidRDefault="0035054F" w:rsidP="0035054F">
      <w:pPr>
        <w:spacing w:after="160" w:line="360" w:lineRule="auto"/>
      </w:pPr>
      <m:oMathPara>
        <m:oMath>
          <m:r>
            <m:rPr>
              <m:sty m:val="bi"/>
            </m:rPr>
            <w:rPr>
              <w:rFonts w:ascii="Cambria Math" w:hAnsi="Cambria Math"/>
            </w:rPr>
            <m:t>Y</m:t>
          </m:r>
          <m:r>
            <m:rPr>
              <m:sty m:val="p"/>
            </m:rPr>
            <w:rPr>
              <w:rFonts w:ascii="Cambria Math"/>
            </w:rPr>
            <m:t>=</m:t>
          </m:r>
          <m:f>
            <m:fPr>
              <m:ctrlPr>
                <w:rPr>
                  <w:rFonts w:ascii="Cambria Math" w:hAnsi="Cambria Math"/>
                </w:rPr>
              </m:ctrlPr>
            </m:fPr>
            <m:num>
              <m:sSub>
                <m:sSubPr>
                  <m:ctrlPr>
                    <w:rPr>
                      <w:rFonts w:ascii="Cambria Math" w:hAnsi="Cambria Math"/>
                    </w:rPr>
                  </m:ctrlPr>
                </m:sSubPr>
                <m:e>
                  <m:r>
                    <m:rPr>
                      <m:sty m:val="bi"/>
                    </m:rPr>
                    <w:rPr>
                      <w:rFonts w:ascii="Cambria Math" w:hAnsi="Cambria Math"/>
                    </w:rPr>
                    <m:t>H</m:t>
                  </m:r>
                </m:e>
                <m:sub>
                  <m:r>
                    <m:rPr>
                      <m:sty m:val="b"/>
                    </m:rPr>
                    <w:rPr>
                      <w:rFonts w:ascii="Cambria Math" w:hAnsi="Cambria Math"/>
                    </w:rPr>
                    <m:t>5</m:t>
                  </m:r>
                </m:sub>
              </m:sSub>
            </m:num>
            <m:den>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den>
          </m:f>
          <m:r>
            <m:rPr>
              <m:sty m:val="p"/>
            </m:rPr>
            <w:rPr>
              <w:rFonts w:ascii="Cambria Math"/>
            </w:rPr>
            <m:t>,</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0"/>
      </w:tblGrid>
      <w:tr w:rsidR="0035054F" w:rsidRPr="00E345B2" w14:paraId="45B12B62" w14:textId="77777777" w:rsidTr="00180FCD">
        <w:tc>
          <w:tcPr>
            <w:tcW w:w="2660" w:type="dxa"/>
          </w:tcPr>
          <w:p w14:paraId="6336F18C"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որտեղ՝ Н</w:t>
            </w:r>
            <w:r w:rsidRPr="00E345B2">
              <w:rPr>
                <w:rFonts w:ascii="Sylfaen" w:hAnsi="Sylfaen"/>
                <w:sz w:val="24"/>
                <w:szCs w:val="24"/>
                <w:vertAlign w:val="subscript"/>
              </w:rPr>
              <w:t>0-ն</w:t>
            </w:r>
            <w:r w:rsidRPr="00E345B2">
              <w:rPr>
                <w:rFonts w:ascii="Sylfaen" w:hAnsi="Sylfaen"/>
                <w:sz w:val="24"/>
                <w:szCs w:val="24"/>
              </w:rPr>
              <w:t xml:space="preserve"> </w:t>
            </w:r>
            <w:r>
              <w:rPr>
                <w:rFonts w:ascii="Sylfaen" w:hAnsi="Sylfaen"/>
                <w:sz w:val="24"/>
                <w:szCs w:val="24"/>
              </w:rPr>
              <w:t>եւ</w:t>
            </w:r>
            <w:r w:rsidRPr="00E345B2">
              <w:rPr>
                <w:rFonts w:ascii="Sylfaen" w:hAnsi="Sylfaen"/>
                <w:sz w:val="24"/>
                <w:szCs w:val="24"/>
              </w:rPr>
              <w:t xml:space="preserve"> H</w:t>
            </w:r>
            <w:r w:rsidRPr="00E345B2">
              <w:rPr>
                <w:rFonts w:ascii="Sylfaen" w:hAnsi="Sylfaen"/>
                <w:sz w:val="24"/>
                <w:szCs w:val="24"/>
                <w:vertAlign w:val="subscript"/>
              </w:rPr>
              <w:t>5 չափ.</w:t>
            </w:r>
            <w:r w:rsidRPr="00E345B2">
              <w:rPr>
                <w:rFonts w:ascii="Sylfaen" w:hAnsi="Sylfaen"/>
                <w:sz w:val="24"/>
                <w:szCs w:val="24"/>
              </w:rPr>
              <w:t>-ը</w:t>
            </w:r>
          </w:p>
        </w:tc>
        <w:tc>
          <w:tcPr>
            <w:tcW w:w="6620" w:type="dxa"/>
          </w:tcPr>
          <w:p w14:paraId="4DDD812B" w14:textId="77777777" w:rsidR="0035054F" w:rsidRPr="00E345B2" w:rsidRDefault="0035054F" w:rsidP="0035054F">
            <w:pPr>
              <w:spacing w:after="160" w:line="360" w:lineRule="auto"/>
              <w:rPr>
                <w:rFonts w:ascii="Sylfaen" w:hAnsi="Sylfaen"/>
                <w:sz w:val="24"/>
                <w:szCs w:val="24"/>
              </w:rPr>
            </w:pPr>
            <w:r w:rsidRPr="00E345B2">
              <w:rPr>
                <w:rFonts w:ascii="Sylfaen" w:hAnsi="Sylfaen"/>
                <w:sz w:val="24"/>
                <w:szCs w:val="24"/>
              </w:rPr>
              <w:t xml:space="preserve">փրփուրի սյան ճշգրտված բարձրություններն են (սկզբնական </w:t>
            </w:r>
            <w:r>
              <w:rPr>
                <w:rFonts w:ascii="Sylfaen" w:hAnsi="Sylfaen"/>
                <w:sz w:val="24"/>
                <w:szCs w:val="24"/>
              </w:rPr>
              <w:t>եւ</w:t>
            </w:r>
            <w:r w:rsidRPr="00E345B2">
              <w:rPr>
                <w:rFonts w:ascii="Sylfaen" w:hAnsi="Sylfaen"/>
                <w:sz w:val="24"/>
                <w:szCs w:val="24"/>
              </w:rPr>
              <w:t xml:space="preserve"> 5 րոպեն լրանալուց հետո)՝ միլիմետրերով։</w:t>
            </w:r>
          </w:p>
        </w:tc>
      </w:tr>
    </w:tbl>
    <w:p w14:paraId="38DA237F" w14:textId="77777777" w:rsidR="0035054F" w:rsidRPr="00E345B2" w:rsidRDefault="0035054F" w:rsidP="0035054F">
      <w:pPr>
        <w:spacing w:after="160" w:line="360" w:lineRule="auto"/>
      </w:pPr>
    </w:p>
    <w:p w14:paraId="23909143" w14:textId="77777777" w:rsidR="0035054F" w:rsidRPr="00E345B2" w:rsidRDefault="0035054F" w:rsidP="00180FCD">
      <w:pPr>
        <w:spacing w:after="160" w:line="360" w:lineRule="auto"/>
        <w:ind w:firstLine="567"/>
        <w:jc w:val="both"/>
      </w:pPr>
      <w:r w:rsidRPr="00E345B2">
        <w:lastRenderedPageBreak/>
        <w:t xml:space="preserve">Փրփրագոյացնող ունակությունը որոշում են ըստ փրփուրի սյան՝ 30 վ հետո չափված միլիմետրերով բարձրության, իսկ փրփուրի կայունությունը որոշում են ըստ փրփուրի սյան՝ 5 րոպե հետո չափված բարձրության։ </w:t>
      </w:r>
    </w:p>
    <w:p w14:paraId="7C216DCF" w14:textId="77777777" w:rsidR="0035054F" w:rsidRPr="00E345B2" w:rsidRDefault="0035054F" w:rsidP="00180FCD">
      <w:pPr>
        <w:spacing w:after="160" w:line="360" w:lineRule="auto"/>
        <w:ind w:firstLine="567"/>
        <w:jc w:val="both"/>
      </w:pPr>
      <w:r w:rsidRPr="00E345B2">
        <w:t>Որպես փորձարկումների վերջնական արդյունք ընդունում են այն երեք որոշումների արդյունքների թվաբանական միջինը, որոնց միջ</w:t>
      </w:r>
      <w:r>
        <w:t>եւ</w:t>
      </w:r>
      <w:r w:rsidRPr="00E345B2">
        <w:t xml:space="preserve"> թույլատրելի տարբերությունները չպետք է գերազանցեն 10 մմ-ը։</w:t>
      </w:r>
    </w:p>
    <w:p w14:paraId="297EA06D" w14:textId="77777777" w:rsidR="0035054F" w:rsidRPr="00E345B2" w:rsidRDefault="0035054F" w:rsidP="00180FCD">
      <w:pPr>
        <w:spacing w:after="160" w:line="360" w:lineRule="auto"/>
        <w:ind w:firstLine="567"/>
        <w:jc w:val="both"/>
      </w:pPr>
      <w:r w:rsidRPr="00E345B2">
        <w:t xml:space="preserve">Փրփրագոյացնող ունակությանը </w:t>
      </w:r>
      <w:r>
        <w:t>եւ</w:t>
      </w:r>
      <w:r w:rsidRPr="00E345B2">
        <w:t xml:space="preserve"> փրփուրի կայունությանը ներկայացվող պահանջները ներկայացվում են մասնավոր դեղագրքային հոդվածում </w:t>
      </w:r>
      <w:r>
        <w:t>եւ</w:t>
      </w:r>
      <w:r w:rsidRPr="00E345B2">
        <w:t xml:space="preserve"> (կամ) որակի վերաբերյալ նորմատիվ փաստաթղթում։</w:t>
      </w:r>
    </w:p>
    <w:p w14:paraId="79DD43BF" w14:textId="77777777" w:rsidR="0035054F" w:rsidRPr="00E345B2" w:rsidRDefault="0035054F" w:rsidP="00180FCD">
      <w:pPr>
        <w:spacing w:after="160" w:line="360" w:lineRule="auto"/>
        <w:ind w:firstLine="567"/>
        <w:jc w:val="both"/>
      </w:pPr>
      <w:r w:rsidRPr="00180FCD">
        <w:rPr>
          <w:b/>
        </w:rPr>
        <w:t>Սեդիմենտացման կայունությունը.</w:t>
      </w:r>
      <w:r w:rsidRPr="00E345B2">
        <w:t xml:space="preserve"> Փորձարկումն անցկացնում են կախույթային </w:t>
      </w:r>
      <w:r>
        <w:t>եւ</w:t>
      </w:r>
      <w:r w:rsidRPr="00E345B2">
        <w:t xml:space="preserve"> համակցված տիպի դեղային շամպունների համար՝ </w:t>
      </w:r>
      <w:r w:rsidRPr="000B1C22">
        <w:rPr>
          <w:i/>
        </w:rPr>
        <w:t>«2.5.1.33. Կախույթները»</w:t>
      </w:r>
      <w:r w:rsidRPr="00E345B2">
        <w:t xml:space="preserve"> ընդհանուր դեղագրքային հոդվածում նշված մեթոդիկային համապատասխան։ Վերակախութավորման ժամանակը պետք է կազմի ոչ ավելի, քան 30 վ, եթե մասնավոր դեղագրքային հոդվածում </w:t>
      </w:r>
      <w:r>
        <w:t>եւ</w:t>
      </w:r>
      <w:r w:rsidRPr="00E345B2">
        <w:t xml:space="preserve"> (կամ) որակի վերաբերյալ նորմատիվ փաստաթղթում այլ բան նշված չէ։</w:t>
      </w:r>
    </w:p>
    <w:p w14:paraId="387CE189" w14:textId="77777777" w:rsidR="0035054F" w:rsidRPr="00E345B2" w:rsidRDefault="0035054F" w:rsidP="00180FCD">
      <w:pPr>
        <w:spacing w:after="160" w:line="360" w:lineRule="auto"/>
        <w:ind w:firstLine="567"/>
        <w:jc w:val="both"/>
      </w:pPr>
    </w:p>
    <w:p w14:paraId="29E51505" w14:textId="77777777" w:rsidR="0035054F" w:rsidRPr="00B5542D" w:rsidRDefault="0035054F" w:rsidP="00180FCD">
      <w:pPr>
        <w:spacing w:after="160" w:line="360" w:lineRule="auto"/>
        <w:ind w:firstLine="567"/>
        <w:jc w:val="right"/>
        <w:rPr>
          <w:b/>
          <w:sz w:val="20"/>
        </w:rPr>
      </w:pPr>
      <w:r w:rsidRPr="00180FCD">
        <w:rPr>
          <w:b/>
          <w:sz w:val="20"/>
        </w:rPr>
        <w:t>205010037-2022</w:t>
      </w:r>
    </w:p>
    <w:p w14:paraId="546428E6" w14:textId="77777777" w:rsidR="00180FCD" w:rsidRPr="00B5542D" w:rsidRDefault="00180FCD" w:rsidP="00180FCD">
      <w:pPr>
        <w:spacing w:after="160" w:line="360" w:lineRule="auto"/>
        <w:ind w:firstLine="567"/>
        <w:jc w:val="right"/>
        <w:rPr>
          <w:b/>
          <w:sz w:val="20"/>
        </w:rPr>
      </w:pPr>
    </w:p>
    <w:p w14:paraId="2181CF5B" w14:textId="77777777" w:rsidR="0035054F" w:rsidRPr="00180FCD" w:rsidRDefault="0035054F" w:rsidP="00AA7C33">
      <w:pPr>
        <w:tabs>
          <w:tab w:val="left" w:pos="1701"/>
        </w:tabs>
        <w:spacing w:after="160" w:line="360" w:lineRule="auto"/>
        <w:ind w:firstLine="567"/>
        <w:jc w:val="both"/>
        <w:rPr>
          <w:b/>
        </w:rPr>
      </w:pPr>
      <w:r w:rsidRPr="00180FCD">
        <w:rPr>
          <w:b/>
        </w:rPr>
        <w:t>2.5.1.37.</w:t>
      </w:r>
      <w:r w:rsidR="00AA7C33" w:rsidRPr="00B5542D">
        <w:rPr>
          <w:b/>
        </w:rPr>
        <w:tab/>
      </w:r>
      <w:r w:rsidRPr="00180FCD">
        <w:rPr>
          <w:b/>
        </w:rPr>
        <w:t>Լուծամզվածքները</w:t>
      </w:r>
    </w:p>
    <w:p w14:paraId="0BFC9AB2" w14:textId="77777777" w:rsidR="0035054F" w:rsidRPr="00E345B2" w:rsidRDefault="0035054F" w:rsidP="00180FCD">
      <w:pPr>
        <w:spacing w:after="160" w:line="360" w:lineRule="auto"/>
        <w:ind w:firstLine="567"/>
        <w:jc w:val="both"/>
      </w:pPr>
      <w:r w:rsidRPr="00E345B2">
        <w:t>«Լուծամզվածքներ»՝ դեղաձ</w:t>
      </w:r>
      <w:r>
        <w:t>եւ</w:t>
      </w:r>
      <w:r w:rsidRPr="00E345B2">
        <w:t>, որը կոնցենտրացված հանուկ է՝ դեղաբուսական հումքից, առավել հազվադեպ՝ կենդանական ծագման հումքից։</w:t>
      </w:r>
    </w:p>
    <w:p w14:paraId="74C760D3" w14:textId="77777777" w:rsidR="0035054F" w:rsidRPr="00E345B2" w:rsidRDefault="0035054F" w:rsidP="00180FCD">
      <w:pPr>
        <w:spacing w:after="160" w:line="360" w:lineRule="auto"/>
        <w:ind w:firstLine="567"/>
        <w:jc w:val="both"/>
      </w:pPr>
      <w:r w:rsidRPr="00E345B2">
        <w:t>Ըստ կոնսիստենցիայի տարբերակում են՝</w:t>
      </w:r>
    </w:p>
    <w:p w14:paraId="1FDA6768"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չոր լուծամզվածքներ (Extracta sicca)՝</w:t>
      </w:r>
      <w:r w:rsidRPr="00E345B2">
        <w:t xml:space="preserve"> սորալու հատկությամբ օժտված փոշենման զանգվածներ՝ չորացնելիս զանգվածի 5 %-ից ոչ ավելի կորստով, եթե մասնավոր դեղագրքային հոդվածում կամ որակի վերաբերյալ նորմատիվ փաստաթղթում այլ բան նշված չէ.</w:t>
      </w:r>
    </w:p>
    <w:p w14:paraId="18BDB1DD" w14:textId="77777777" w:rsidR="0035054F" w:rsidRPr="00E345B2" w:rsidRDefault="0035054F" w:rsidP="00180FCD">
      <w:pPr>
        <w:tabs>
          <w:tab w:val="left" w:pos="1134"/>
        </w:tabs>
        <w:spacing w:after="160" w:line="360" w:lineRule="auto"/>
        <w:ind w:firstLine="567"/>
        <w:jc w:val="both"/>
      </w:pPr>
      <w:r w:rsidRPr="00E345B2">
        <w:lastRenderedPageBreak/>
        <w:t>-</w:t>
      </w:r>
      <w:r w:rsidR="00180FCD" w:rsidRPr="00180FCD">
        <w:tab/>
      </w:r>
      <w:r w:rsidRPr="00180FCD">
        <w:rPr>
          <w:i/>
        </w:rPr>
        <w:t>թանձր լուծամզվածքներ (Extracta spissa)՝</w:t>
      </w:r>
      <w:r w:rsidRPr="00E345B2">
        <w:t xml:space="preserve"> մածուցիկ զանգվածներ՝ չորացնելիս զանգվածի 25 %-ից ոչ ավելի կորստով, եթե մասնավոր դեղագրքային հոդվածում կամ որակի վերաբերյալ նորմատիվ փաստաթղթում այլ բան նշված չէ.</w:t>
      </w:r>
    </w:p>
    <w:p w14:paraId="405D1DCA"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հեղուկ լուծամզվածքներ (Extracta fluida)՝</w:t>
      </w:r>
      <w:r w:rsidRPr="00E345B2">
        <w:t xml:space="preserve"> թանձր, հեղհեղուկ, երբեմն՝ յուղանման հեղուկներ։</w:t>
      </w:r>
    </w:p>
    <w:p w14:paraId="4F4C9231" w14:textId="77777777" w:rsidR="0035054F" w:rsidRPr="00E345B2" w:rsidRDefault="0035054F" w:rsidP="00180FCD">
      <w:pPr>
        <w:tabs>
          <w:tab w:val="left" w:pos="1134"/>
        </w:tabs>
        <w:spacing w:after="160" w:line="360" w:lineRule="auto"/>
        <w:ind w:firstLine="567"/>
        <w:jc w:val="both"/>
      </w:pPr>
      <w:r w:rsidRPr="00180FCD">
        <w:rPr>
          <w:i/>
        </w:rPr>
        <w:t>Լուծամզվածք-կոնցենտրատներ</w:t>
      </w:r>
      <w:r w:rsidRPr="00E345B2">
        <w:t xml:space="preserve">՝ տարբեր կոնսիստենցիայի լուծամզվածքներ, որոնք դեղաբուսական հումքի նկատմամբ ստանդարտացված են որոշակի հարաբերակցություններով, օրինակ՝ 1:1 կամ 1:2։ Լուծամզվածք-կոնցենտրատները հիմնականում օգտագործում են թուրմեր </w:t>
      </w:r>
      <w:r>
        <w:t>եւ</w:t>
      </w:r>
      <w:r w:rsidRPr="00E345B2">
        <w:t xml:space="preserve"> եփուկներ ստանալու համար՝ նշված հարաբերակցություններում փոխարինելով դեղաբուսական հումքը։</w:t>
      </w:r>
    </w:p>
    <w:p w14:paraId="47914A67" w14:textId="77777777" w:rsidR="0035054F" w:rsidRPr="00E345B2" w:rsidRDefault="0035054F" w:rsidP="00180FCD">
      <w:pPr>
        <w:tabs>
          <w:tab w:val="left" w:pos="1134"/>
        </w:tabs>
        <w:spacing w:after="160" w:line="360" w:lineRule="auto"/>
        <w:ind w:firstLine="567"/>
        <w:jc w:val="both"/>
      </w:pPr>
      <w:r w:rsidRPr="00E345B2">
        <w:t>Ըստ էքստրագենտի [լուծահանող նյութ] տարբերակում են՝</w:t>
      </w:r>
    </w:p>
    <w:p w14:paraId="2BE01AC6"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լուծամզվածքներ՝ ջրային՝</w:t>
      </w:r>
      <w:r w:rsidRPr="00E345B2">
        <w:t xml:space="preserve"> որպես էքստրագենտ մաքրված ջրի օգտագործմամբ ստացված.</w:t>
      </w:r>
    </w:p>
    <w:p w14:paraId="4F6FF119"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լուծամզվածքներ՝ սպիրտային</w:t>
      </w:r>
      <w:r w:rsidRPr="00E345B2">
        <w:t>՝ որպես էքստրագենտ տարբեր կոնցենտրացիաների էթանոլի օգտագործմամբ ստացված.</w:t>
      </w:r>
    </w:p>
    <w:p w14:paraId="14813DC0"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լուծամզվածքներ՝ յուղային</w:t>
      </w:r>
      <w:r w:rsidRPr="00E345B2">
        <w:t>՝ որպես էքստրագենտ բուսական յուղի օգտագործմամբ ստացված.</w:t>
      </w:r>
    </w:p>
    <w:p w14:paraId="3D2AB748"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լուծամզվածքներ՝ տարբեր</w:t>
      </w:r>
      <w:r w:rsidRPr="00E345B2">
        <w:t xml:space="preserve"> օրգանական էքստրագենտների (քառաքլոր ածխածնի, դիքլորէթանի </w:t>
      </w:r>
      <w:r>
        <w:t>եւ</w:t>
      </w:r>
      <w:r w:rsidRPr="00E345B2">
        <w:t xml:space="preserve"> այլնի) օգտագործմամբ ստացված.</w:t>
      </w:r>
    </w:p>
    <w:p w14:paraId="2AC61867" w14:textId="77777777" w:rsidR="0035054F" w:rsidRPr="00E345B2" w:rsidRDefault="0035054F" w:rsidP="00180FCD">
      <w:pPr>
        <w:tabs>
          <w:tab w:val="left" w:pos="1134"/>
        </w:tabs>
        <w:spacing w:after="160" w:line="360" w:lineRule="auto"/>
        <w:ind w:firstLine="567"/>
        <w:jc w:val="both"/>
      </w:pPr>
      <w:r w:rsidRPr="00E345B2">
        <w:t>-</w:t>
      </w:r>
      <w:r w:rsidR="00180FCD" w:rsidRPr="00180FCD">
        <w:tab/>
      </w:r>
      <w:r w:rsidRPr="00180FCD">
        <w:rPr>
          <w:i/>
        </w:rPr>
        <w:t xml:space="preserve">լուծամզվածքներ՝ </w:t>
      </w:r>
      <w:r w:rsidRPr="00E345B2">
        <w:t>էքստրագենտների միջոցով, այդ թվում՝ տարբեր բ</w:t>
      </w:r>
      <w:r>
        <w:t>եւ</w:t>
      </w:r>
      <w:r w:rsidRPr="00E345B2">
        <w:t>եռայնության, դեղաբուսական հումքի հաջորդական լուծահանմամբ ստացված։</w:t>
      </w:r>
    </w:p>
    <w:p w14:paraId="0CA2F9B1" w14:textId="77777777" w:rsidR="0035054F" w:rsidRPr="00B5542D" w:rsidRDefault="0035054F" w:rsidP="00180FCD">
      <w:pPr>
        <w:tabs>
          <w:tab w:val="left" w:pos="1134"/>
        </w:tabs>
        <w:spacing w:after="160" w:line="360" w:lineRule="auto"/>
        <w:ind w:firstLine="567"/>
        <w:jc w:val="both"/>
      </w:pPr>
      <w:r w:rsidRPr="00E345B2">
        <w:t xml:space="preserve">Լուծամզվածքները կարելի է ստանալ դեղաբուսական հումքի մեկ տեսակի (պարզ) հիմքով </w:t>
      </w:r>
      <w:r>
        <w:t>եւ</w:t>
      </w:r>
      <w:r w:rsidRPr="00E345B2">
        <w:t xml:space="preserve"> դեղաբուսական հումքի մի քանի տեսակների խառնուրդի (բարդ, համալիր) հիմքով։</w:t>
      </w:r>
    </w:p>
    <w:p w14:paraId="6351BFB5" w14:textId="77777777" w:rsidR="00180FCD" w:rsidRPr="00B5542D" w:rsidRDefault="00180FCD" w:rsidP="00180FCD">
      <w:pPr>
        <w:tabs>
          <w:tab w:val="left" w:pos="1134"/>
        </w:tabs>
        <w:spacing w:after="160" w:line="360" w:lineRule="auto"/>
        <w:ind w:firstLine="567"/>
        <w:jc w:val="both"/>
      </w:pPr>
    </w:p>
    <w:p w14:paraId="52347CBD" w14:textId="77777777" w:rsidR="0035054F" w:rsidRPr="00E345B2" w:rsidRDefault="0035054F" w:rsidP="00180FCD">
      <w:pPr>
        <w:tabs>
          <w:tab w:val="left" w:pos="1134"/>
        </w:tabs>
        <w:spacing w:after="160" w:line="360" w:lineRule="auto"/>
        <w:ind w:firstLine="567"/>
        <w:jc w:val="both"/>
      </w:pPr>
      <w:r w:rsidRPr="00E345B2">
        <w:lastRenderedPageBreak/>
        <w:t xml:space="preserve">Ներմուծման ուղով </w:t>
      </w:r>
      <w:r>
        <w:t>եւ</w:t>
      </w:r>
      <w:r w:rsidRPr="00E345B2">
        <w:t xml:space="preserve"> կիրառման եղանակով պայմանավորված՝ տարբերակում են ներքին ընդունման, արտաքին կիրառման, տեղային կիրառման լուծամզվածքներ։</w:t>
      </w:r>
    </w:p>
    <w:p w14:paraId="42A22D69" w14:textId="77777777" w:rsidR="0035054F" w:rsidRPr="00E345B2" w:rsidRDefault="0035054F" w:rsidP="00180FCD">
      <w:pPr>
        <w:spacing w:after="160" w:line="360" w:lineRule="auto"/>
        <w:ind w:firstLine="567"/>
        <w:jc w:val="both"/>
      </w:pPr>
      <w:r w:rsidRPr="00180FCD">
        <w:rPr>
          <w:i/>
        </w:rPr>
        <w:t>Ներքին ընդունման լուծամզվածք՝</w:t>
      </w:r>
      <w:r w:rsidRPr="00E345B2">
        <w:t xml:space="preserve"> ներքին ընդունման համար նախատեսված լուծամզվածք (այդ թվում՝ նոսրացումից հետո)։</w:t>
      </w:r>
    </w:p>
    <w:p w14:paraId="62B4EB4F" w14:textId="77777777" w:rsidR="0035054F" w:rsidRPr="00E345B2" w:rsidRDefault="0035054F" w:rsidP="00180FCD">
      <w:pPr>
        <w:spacing w:after="160" w:line="360" w:lineRule="auto"/>
        <w:ind w:firstLine="567"/>
        <w:jc w:val="both"/>
      </w:pPr>
      <w:r w:rsidRPr="00180FCD">
        <w:rPr>
          <w:i/>
        </w:rPr>
        <w:t>Արտաքին կիրառման լուծամզվածք</w:t>
      </w:r>
      <w:r w:rsidRPr="00E345B2">
        <w:t>՝ արտաքին կիրառման համար նախատեսված լուծամզվածք (այդ թվում՝ նոսրացումից հետո)։</w:t>
      </w:r>
    </w:p>
    <w:p w14:paraId="51B4318E" w14:textId="77777777" w:rsidR="0035054F" w:rsidRPr="00E345B2" w:rsidRDefault="0035054F" w:rsidP="00180FCD">
      <w:pPr>
        <w:spacing w:after="160" w:line="360" w:lineRule="auto"/>
        <w:ind w:firstLine="567"/>
        <w:jc w:val="both"/>
      </w:pPr>
      <w:r w:rsidRPr="00180FCD">
        <w:rPr>
          <w:i/>
        </w:rPr>
        <w:t>Տեղային կիրառման լուծամզվածք՝</w:t>
      </w:r>
      <w:r w:rsidRPr="00E345B2">
        <w:t xml:space="preserve"> տեղային կիրառման համար նախատեսված լուծամզվածք (այդ թվում՝ նոսրացումից հետո)։</w:t>
      </w:r>
    </w:p>
    <w:p w14:paraId="08DDF818" w14:textId="77777777" w:rsidR="0035054F" w:rsidRPr="00E345B2" w:rsidRDefault="0035054F" w:rsidP="00180FCD">
      <w:pPr>
        <w:spacing w:after="160" w:line="360" w:lineRule="auto"/>
        <w:ind w:firstLine="567"/>
        <w:jc w:val="both"/>
      </w:pPr>
      <w:r w:rsidRPr="00E345B2">
        <w:t>Լուծամզվածքները կարող են օգտագործվել ինչպես որպես դեղաբուսական պատրաստուկներ, այնպես էլ դեղագործական բաղադրամասեր, մտնել տարբեր դեղաձ</w:t>
      </w:r>
      <w:r>
        <w:t>եւ</w:t>
      </w:r>
      <w:r w:rsidRPr="00E345B2">
        <w:t xml:space="preserve">եր ունեցող այլ դեղապատրաստուկների բաղադրության մեջ, օրինակ՝ դեղահաբեր, դեղապատիճներ, բուժահեղուկներ, մոմիկներ, ներքին ընդունման կաթիլներ </w:t>
      </w:r>
      <w:r>
        <w:t>եւ</w:t>
      </w:r>
      <w:r w:rsidRPr="00E345B2">
        <w:t xml:space="preserve"> այլն։</w:t>
      </w:r>
    </w:p>
    <w:p w14:paraId="46836C96" w14:textId="77777777" w:rsidR="0035054F" w:rsidRPr="00E345B2" w:rsidRDefault="0035054F" w:rsidP="00180FCD">
      <w:pPr>
        <w:spacing w:after="160" w:line="360" w:lineRule="auto"/>
        <w:ind w:firstLine="567"/>
        <w:jc w:val="both"/>
      </w:pPr>
    </w:p>
    <w:p w14:paraId="3AE9955A" w14:textId="77777777" w:rsidR="0035054F" w:rsidRPr="00180FCD" w:rsidRDefault="0035054F" w:rsidP="00180FCD">
      <w:pPr>
        <w:spacing w:after="160" w:line="360" w:lineRule="auto"/>
        <w:ind w:firstLine="567"/>
        <w:jc w:val="both"/>
        <w:rPr>
          <w:b/>
        </w:rPr>
      </w:pPr>
      <w:r w:rsidRPr="00180FCD">
        <w:rPr>
          <w:b/>
        </w:rPr>
        <w:t>ՏԵԽՆՈԼՈԳԻԱՅԻ ԱՌԱՆՁՆԱՀԱՏԿՈՒԹՅՈՒՆՆԵՐԸ</w:t>
      </w:r>
    </w:p>
    <w:p w14:paraId="2E1375E3" w14:textId="77777777" w:rsidR="0035054F" w:rsidRPr="00E345B2" w:rsidRDefault="0035054F" w:rsidP="00180FCD">
      <w:pPr>
        <w:spacing w:after="160" w:line="360" w:lineRule="auto"/>
        <w:ind w:firstLine="567"/>
        <w:jc w:val="both"/>
      </w:pPr>
      <w:r w:rsidRPr="00E345B2">
        <w:t xml:space="preserve">Լուծամզվածքները կարելի է ստանալ պերկոլացիայի [ծակոտկեն նյութի միջով հեղուկի հոսք], ռեպերկոլացիայի, մացերացիայի [թրմելով թրջոցում], շրջապտուտային լուծամզման մեթոդներով </w:t>
      </w:r>
      <w:r>
        <w:t>եւ</w:t>
      </w:r>
      <w:r w:rsidRPr="00E345B2">
        <w:t xml:space="preserve"> համապատասխան վալիդացված այլ մեթոդներով։ </w:t>
      </w:r>
    </w:p>
    <w:p w14:paraId="3B9E574A" w14:textId="77777777" w:rsidR="0035054F" w:rsidRPr="00E345B2" w:rsidRDefault="0035054F" w:rsidP="00180FCD">
      <w:pPr>
        <w:spacing w:after="160" w:line="360" w:lineRule="auto"/>
        <w:ind w:firstLine="567"/>
        <w:jc w:val="both"/>
      </w:pPr>
      <w:r w:rsidRPr="00E345B2">
        <w:t xml:space="preserve">Լուծամզվածքներ ստանալու համար օգտագործվող դեղաբուսական հումքը պետք է համապատասխանի համապատասխան մասնավոր դեղագրքային հոդվածների </w:t>
      </w:r>
      <w:r>
        <w:t>եւ</w:t>
      </w:r>
      <w:r w:rsidRPr="00E345B2">
        <w:t xml:space="preserve"> ընդհանուր դեղագրքային հոդվածների պահանջներին։</w:t>
      </w:r>
    </w:p>
    <w:p w14:paraId="448772D8" w14:textId="77777777" w:rsidR="0035054F" w:rsidRPr="00B5542D" w:rsidRDefault="0035054F" w:rsidP="00180FCD">
      <w:pPr>
        <w:spacing w:after="160" w:line="360" w:lineRule="auto"/>
        <w:ind w:firstLine="567"/>
        <w:jc w:val="both"/>
      </w:pPr>
      <w:r w:rsidRPr="00E345B2">
        <w:t>Որպես էքստրագենտ օգտագործվող օժանդակ նյութերը պետք է թույլատրվեն բժշկական կիրառության համար։</w:t>
      </w:r>
    </w:p>
    <w:p w14:paraId="1B4DB4D1" w14:textId="77777777" w:rsidR="00180FCD" w:rsidRPr="00B5542D" w:rsidRDefault="00180FCD" w:rsidP="00180FCD">
      <w:pPr>
        <w:spacing w:after="160" w:line="360" w:lineRule="auto"/>
        <w:ind w:firstLine="567"/>
        <w:jc w:val="both"/>
      </w:pPr>
    </w:p>
    <w:p w14:paraId="0F1E826E" w14:textId="77777777" w:rsidR="0035054F" w:rsidRPr="00E345B2" w:rsidRDefault="0035054F" w:rsidP="00180FCD">
      <w:pPr>
        <w:spacing w:after="160" w:line="360" w:lineRule="auto"/>
        <w:ind w:firstLine="567"/>
        <w:jc w:val="both"/>
      </w:pPr>
      <w:r w:rsidRPr="00E345B2">
        <w:lastRenderedPageBreak/>
        <w:t>Որպես լուծամզման գործընթացի արդյունավետության գնահատման չափորոշիչ կարող է օգտագործվել լուծամզուքային նյութի ցուցանիշը։</w:t>
      </w:r>
    </w:p>
    <w:p w14:paraId="207E7AE6" w14:textId="77777777" w:rsidR="0035054F" w:rsidRPr="00E345B2" w:rsidRDefault="0035054F" w:rsidP="00180FCD">
      <w:pPr>
        <w:spacing w:after="160" w:line="360" w:lineRule="auto"/>
        <w:ind w:firstLine="567"/>
        <w:jc w:val="both"/>
      </w:pPr>
      <w:r w:rsidRPr="00E345B2">
        <w:t>Լուծամզման գործընթացի ավարտից հետո հեղուկ լուծամզվածքները հարկավոր է պարտադիր պահել 10 °С-ից ոչ բարձր ջերմաստիճանում առնվազն 2</w:t>
      </w:r>
      <w:r w:rsidR="00180FCD" w:rsidRPr="00180FCD">
        <w:t> </w:t>
      </w:r>
      <w:r w:rsidRPr="00E345B2">
        <w:t xml:space="preserve">օր՝ ֆիլտրման արդյունքում անջատվող բալաստային նյութերի նստեցման </w:t>
      </w:r>
      <w:r>
        <w:t>եւ</w:t>
      </w:r>
      <w:r w:rsidRPr="00E345B2">
        <w:t xml:space="preserve"> թափանցիկ հեղուկի ստացման համար։ Հեղուկ լուծամզվածքները պահելու ընթացքում թույլատրվում է բալաստային նյութերի աննշան նստվածքի առաջացումը՝ պայմանով, որ դրա մեջ կենսաբանորեն ակտիվ նյութեր չկան։</w:t>
      </w:r>
    </w:p>
    <w:p w14:paraId="2F3D813A" w14:textId="77777777" w:rsidR="0035054F" w:rsidRPr="00E345B2" w:rsidRDefault="0035054F" w:rsidP="00180FCD">
      <w:pPr>
        <w:spacing w:after="160" w:line="360" w:lineRule="auto"/>
        <w:ind w:firstLine="567"/>
        <w:jc w:val="both"/>
      </w:pPr>
      <w:r w:rsidRPr="00E345B2">
        <w:t xml:space="preserve">Չոր </w:t>
      </w:r>
      <w:r>
        <w:t>եւ</w:t>
      </w:r>
      <w:r w:rsidRPr="00E345B2">
        <w:t xml:space="preserve"> թանձր լուծամզվածքներ ստանալու դեպքում դրանք բալաստային նյութերից ազատում են ստացված մզվածքին էթանոլ, ադսորբենտներ ավելացնելով, մզվածքը եռացնելով </w:t>
      </w:r>
      <w:r>
        <w:t>եւ</w:t>
      </w:r>
      <w:r w:rsidRPr="00E345B2">
        <w:t xml:space="preserve"> այլ եղանակներով՝ հետագայում ֆիլտրելով։</w:t>
      </w:r>
    </w:p>
    <w:p w14:paraId="65936655" w14:textId="77777777" w:rsidR="0035054F" w:rsidRPr="00E345B2" w:rsidRDefault="0035054F" w:rsidP="00180FCD">
      <w:pPr>
        <w:spacing w:after="160" w:line="360" w:lineRule="auto"/>
        <w:ind w:firstLine="567"/>
        <w:jc w:val="both"/>
      </w:pPr>
      <w:r w:rsidRPr="00E345B2">
        <w:t>Թանձր լուծամզվածքների դեպքում մաքրված հանուկները թանձրացնում են վակուումի մեջ շոգիացմամբ՝ մինչ</w:t>
      </w:r>
      <w:r>
        <w:t>եւ</w:t>
      </w:r>
      <w:r w:rsidRPr="00E345B2">
        <w:t xml:space="preserve"> պահանջվող կոնսիստենցիան։</w:t>
      </w:r>
    </w:p>
    <w:p w14:paraId="62C9CA08" w14:textId="77777777" w:rsidR="0035054F" w:rsidRPr="00E345B2" w:rsidRDefault="0035054F" w:rsidP="00180FCD">
      <w:pPr>
        <w:spacing w:after="160" w:line="360" w:lineRule="auto"/>
        <w:ind w:firstLine="567"/>
        <w:jc w:val="both"/>
      </w:pPr>
      <w:r w:rsidRPr="00E345B2">
        <w:t xml:space="preserve">Չոր լուծամզվածքներն ստանում են թանձր լուծամզվածքների չորացմամբ կամ անմիջապես մաքրված մզվածքից՝ ազդող նյութերի առավելագույն պահպանումն ապահովող մեթոդների կիրառմամբ՝ փոշեցրում, լիոֆիլացում, սուբլիմացում </w:t>
      </w:r>
      <w:r>
        <w:t>եւ</w:t>
      </w:r>
      <w:r w:rsidRPr="00E345B2">
        <w:t xml:space="preserve"> այլն։</w:t>
      </w:r>
    </w:p>
    <w:p w14:paraId="7258781C" w14:textId="77777777" w:rsidR="0035054F" w:rsidRPr="00E345B2" w:rsidRDefault="0035054F" w:rsidP="00180FCD">
      <w:pPr>
        <w:spacing w:after="160" w:line="360" w:lineRule="auto"/>
        <w:ind w:firstLine="567"/>
        <w:jc w:val="both"/>
      </w:pPr>
      <w:r w:rsidRPr="00E345B2">
        <w:t>Լուծամզվածք-կոնցենտրատների արտադրության ժամանակ նախապես ստացված՝ տարբեր կոնսիստենցիա ունեցող լուծամզվածքները մինչ</w:t>
      </w:r>
      <w:r>
        <w:t>եւ</w:t>
      </w:r>
      <w:r w:rsidRPr="00E345B2">
        <w:t xml:space="preserve"> բաղադրիչի կամ բաղադրիչների խմբի պահանջվող պարունակությունը ստանդարտացնում են, որպես կանոն, օժանդակ նյութերով, օրինակ՝ դեքստրինով </w:t>
      </w:r>
      <w:r>
        <w:t>եւ</w:t>
      </w:r>
      <w:r w:rsidRPr="00E345B2">
        <w:t xml:space="preserve"> այլնով նոսրացման միջոցով։</w:t>
      </w:r>
    </w:p>
    <w:p w14:paraId="4704B6E5" w14:textId="77777777" w:rsidR="0035054F" w:rsidRPr="00E345B2" w:rsidRDefault="0035054F" w:rsidP="00180FCD">
      <w:pPr>
        <w:spacing w:after="160" w:line="360" w:lineRule="auto"/>
        <w:ind w:firstLine="567"/>
        <w:jc w:val="both"/>
      </w:pPr>
      <w:r w:rsidRPr="00E345B2">
        <w:t xml:space="preserve">Չոր լուծամզվածքների հիգրոսկոպիկությունը նվազեցնում են՝ ավելացնելով լակտոզ, աէրոսիլ </w:t>
      </w:r>
      <w:r>
        <w:t>եւ</w:t>
      </w:r>
      <w:r w:rsidRPr="00E345B2">
        <w:t xml:space="preserve"> այլ օժանդակ նյութեր։</w:t>
      </w:r>
    </w:p>
    <w:p w14:paraId="1AE93840" w14:textId="77777777" w:rsidR="0035054F" w:rsidRPr="00E345B2" w:rsidRDefault="0035054F" w:rsidP="00180FCD">
      <w:pPr>
        <w:spacing w:after="160" w:line="360" w:lineRule="auto"/>
        <w:ind w:firstLine="567"/>
        <w:jc w:val="both"/>
      </w:pPr>
      <w:r w:rsidRPr="00E345B2">
        <w:t xml:space="preserve">Թանձր լուծամզվածքների օգտագործմամբ դեղապատրաստուկներ ստանալու դեպքում թույլատրվում է օգտագործել թանձր լուծամզվածքների լուծույթներ (Extracta soluta)՝ սկզբնական լուծամզվածքի նկատմամբ 1:2 </w:t>
      </w:r>
      <w:r w:rsidRPr="00180FCD">
        <w:rPr>
          <w:spacing w:val="-4"/>
        </w:rPr>
        <w:lastRenderedPageBreak/>
        <w:t>հարաբերակցությամբ։ Որպես լուծիչ օգտագործում են խառնուրդ, որը բաղկացած է 6</w:t>
      </w:r>
      <w:r w:rsidRPr="00E345B2">
        <w:t xml:space="preserve"> մաս մաքրված ջրից, 3 մաս գլիցերինից </w:t>
      </w:r>
      <w:r>
        <w:t>եւ</w:t>
      </w:r>
      <w:r w:rsidRPr="00E345B2">
        <w:t xml:space="preserve"> 1 մաս էթանոլից։ Թանձր լուծամզվածքների լուծույթները կիրառում են կրկնակի քանակությամբ, դրանց պահպանման ժամկետը չպետք է գերազանցի 15 օրը։</w:t>
      </w:r>
    </w:p>
    <w:p w14:paraId="001FA68D" w14:textId="77777777" w:rsidR="0035054F" w:rsidRPr="00E345B2" w:rsidRDefault="0035054F" w:rsidP="00180FCD">
      <w:pPr>
        <w:spacing w:after="160" w:line="360" w:lineRule="auto"/>
        <w:ind w:firstLine="567"/>
        <w:jc w:val="both"/>
      </w:pPr>
      <w:r w:rsidRPr="00E345B2">
        <w:t xml:space="preserve">Սպիրտ պարունակող՝ հեղուկ լուծամզվածքներն ստանալու փուլում դրանք պետք է անցնեն մեթանոլի </w:t>
      </w:r>
      <w:r>
        <w:t>եւ</w:t>
      </w:r>
      <w:r w:rsidRPr="00E345B2">
        <w:t xml:space="preserve"> 2-պրոպանոլի պարունակության փորձարկումը։</w:t>
      </w:r>
    </w:p>
    <w:p w14:paraId="594524A5" w14:textId="77777777" w:rsidR="0035054F" w:rsidRPr="00E345B2" w:rsidRDefault="0035054F" w:rsidP="00180FCD">
      <w:pPr>
        <w:spacing w:after="160" w:line="360" w:lineRule="auto"/>
        <w:ind w:firstLine="567"/>
        <w:jc w:val="both"/>
      </w:pPr>
      <w:r w:rsidRPr="00E345B2">
        <w:t>Լուծամզվածքներն ստանալու դեպքում պետք է ձեռնարկվեն դրանց մանրէաբանական մաքրությունն ապահովող միջոցներ։</w:t>
      </w:r>
    </w:p>
    <w:p w14:paraId="4C9BBB56" w14:textId="77777777" w:rsidR="0035054F" w:rsidRPr="00E345B2" w:rsidRDefault="0035054F" w:rsidP="0035054F">
      <w:pPr>
        <w:spacing w:after="160" w:line="360" w:lineRule="auto"/>
      </w:pPr>
    </w:p>
    <w:p w14:paraId="0D6EC1F7" w14:textId="77777777" w:rsidR="0035054F" w:rsidRPr="00180FCD" w:rsidRDefault="0035054F" w:rsidP="00180FCD">
      <w:pPr>
        <w:spacing w:after="160" w:line="360" w:lineRule="auto"/>
        <w:ind w:firstLine="567"/>
        <w:jc w:val="both"/>
        <w:rPr>
          <w:b/>
        </w:rPr>
      </w:pPr>
      <w:r w:rsidRPr="00180FCD">
        <w:rPr>
          <w:b/>
        </w:rPr>
        <w:t>ՓՈՐՁԱՐԿՈՒՄՆԵՐԸ</w:t>
      </w:r>
    </w:p>
    <w:p w14:paraId="6D13CD89" w14:textId="77777777" w:rsidR="0035054F" w:rsidRPr="00E345B2" w:rsidRDefault="0035054F" w:rsidP="00180FCD">
      <w:pPr>
        <w:spacing w:after="160" w:line="360" w:lineRule="auto"/>
        <w:ind w:firstLine="567"/>
        <w:jc w:val="both"/>
      </w:pPr>
      <w:r w:rsidRPr="00E345B2">
        <w:t>Լուծամզվածքները պետք է համապատասխանեն «</w:t>
      </w:r>
      <w:r w:rsidRPr="00180FCD">
        <w:rPr>
          <w:i/>
        </w:rPr>
        <w:t>2.5.1. Դեղաձեւերը»</w:t>
      </w:r>
      <w:r w:rsidRPr="00E345B2">
        <w:t xml:space="preserve"> ընդհանուր դեղագրքային հոդվածի ընդհանուր պահանջներին </w:t>
      </w:r>
      <w:r>
        <w:t>եւ</w:t>
      </w:r>
      <w:r w:rsidRPr="00E345B2">
        <w:t xml:space="preserve"> անցնեն տվյալ դեղաձ</w:t>
      </w:r>
      <w:r>
        <w:t>եւ</w:t>
      </w:r>
      <w:r w:rsidRPr="00E345B2">
        <w:t>ին բնորոշ փորձարկումները։</w:t>
      </w:r>
    </w:p>
    <w:p w14:paraId="2BC0F270" w14:textId="77777777" w:rsidR="0035054F" w:rsidRPr="00E345B2" w:rsidRDefault="0035054F" w:rsidP="00180FCD">
      <w:pPr>
        <w:spacing w:after="160" w:line="360" w:lineRule="auto"/>
        <w:ind w:firstLine="567"/>
        <w:jc w:val="both"/>
      </w:pPr>
      <w:r w:rsidRPr="00180FCD">
        <w:rPr>
          <w:b/>
        </w:rPr>
        <w:t>Նկարագրությունը.</w:t>
      </w:r>
      <w:r w:rsidRPr="00E345B2">
        <w:t xml:space="preserve"> Լուծամզվածքները բնութագրում են ըստ կոնսիստենցիայի՝ նշելով գույնը, հոտը (առկայության դեպքում)։ Հեղուկ լուծամզվածքների համար անհրաժեշտության դեպքում նշում են օպալեսցենտման առկայությունը, պահպանման ժամանակ նստվածքի առաջացման հնարավորությունը </w:t>
      </w:r>
      <w:r>
        <w:t>եւ</w:t>
      </w:r>
      <w:r w:rsidRPr="00E345B2">
        <w:t xml:space="preserve"> այլն։</w:t>
      </w:r>
    </w:p>
    <w:p w14:paraId="24217B4C" w14:textId="77777777" w:rsidR="0035054F" w:rsidRPr="00E345B2" w:rsidRDefault="0035054F" w:rsidP="00180FCD">
      <w:pPr>
        <w:spacing w:after="160" w:line="360" w:lineRule="auto"/>
        <w:ind w:firstLine="567"/>
        <w:jc w:val="both"/>
      </w:pPr>
      <w:r w:rsidRPr="00180FCD">
        <w:rPr>
          <w:b/>
        </w:rPr>
        <w:t xml:space="preserve">Չորացնելիս </w:t>
      </w:r>
      <w:r w:rsidRPr="00E345B2">
        <w:rPr>
          <w:b/>
        </w:rPr>
        <w:t xml:space="preserve">զանգվածի կորուստը </w:t>
      </w:r>
      <w:r w:rsidRPr="00E345B2">
        <w:t xml:space="preserve">կամ </w:t>
      </w:r>
      <w:r w:rsidRPr="00E345B2">
        <w:rPr>
          <w:b/>
        </w:rPr>
        <w:t>Ջուրը.</w:t>
      </w:r>
      <w:r w:rsidRPr="00E345B2">
        <w:t xml:space="preserve"> Թանձր </w:t>
      </w:r>
      <w:r>
        <w:t>եւ</w:t>
      </w:r>
      <w:r w:rsidRPr="00E345B2">
        <w:t xml:space="preserve"> չոր լուծամզվածքների համար փորձարկումն անցկացնում են </w:t>
      </w:r>
      <w:r w:rsidRPr="00180FCD">
        <w:rPr>
          <w:i/>
        </w:rPr>
        <w:t>«2.1.8.16. Լուծամզվածքները չորացնելիս զանգվածի կորուստը»</w:t>
      </w:r>
      <w:r w:rsidRPr="00E345B2">
        <w:t xml:space="preserve"> ընդհանուր դեղագրքային հոդվածին </w:t>
      </w:r>
      <w:r>
        <w:t>եւ</w:t>
      </w:r>
      <w:r w:rsidRPr="00E345B2">
        <w:t xml:space="preserve"> մասնավոր դեղագրքային հոդվածում կամ որակի վերաբերյալ նորմատիվ փաստաթղթում նշված պահանջներին համապատասխան։</w:t>
      </w:r>
    </w:p>
    <w:p w14:paraId="3383C676" w14:textId="77777777" w:rsidR="0035054F" w:rsidRPr="00E345B2" w:rsidRDefault="0035054F" w:rsidP="00180FCD">
      <w:pPr>
        <w:spacing w:after="160" w:line="360" w:lineRule="auto"/>
        <w:ind w:firstLine="567"/>
        <w:jc w:val="both"/>
      </w:pPr>
      <w:r w:rsidRPr="00E345B2">
        <w:t>Չոր լուծամզվածքների համար փորձարկումն անցկացնում են «</w:t>
      </w:r>
      <w:r w:rsidRPr="00180FCD">
        <w:rPr>
          <w:i/>
        </w:rPr>
        <w:t>2.1.5.12. Ջուրը։ Կիսամիկրոմեթոդով որոշումը</w:t>
      </w:r>
      <w:r w:rsidRPr="00E345B2">
        <w:t xml:space="preserve">» ընդհանուր դեղագրքային հոդվածին </w:t>
      </w:r>
      <w:r>
        <w:t>եւ</w:t>
      </w:r>
      <w:r w:rsidRPr="00E345B2">
        <w:t xml:space="preserve"> մասնավոր դեղագրքային հոդվածում կամ որակի վերաբերյալ նորմատիվ փաստաթղթում նշված պահանջներին համապատասխան։</w:t>
      </w:r>
    </w:p>
    <w:p w14:paraId="61616B04" w14:textId="77777777" w:rsidR="0035054F" w:rsidRPr="00E345B2" w:rsidRDefault="0035054F" w:rsidP="00180FCD">
      <w:pPr>
        <w:spacing w:after="160" w:line="360" w:lineRule="auto"/>
        <w:ind w:firstLine="567"/>
        <w:jc w:val="both"/>
      </w:pPr>
      <w:r w:rsidRPr="00180FCD">
        <w:rPr>
          <w:b/>
        </w:rPr>
        <w:lastRenderedPageBreak/>
        <w:t>Էթանոլը</w:t>
      </w:r>
      <w:r w:rsidRPr="00E345B2">
        <w:t>. Սպիրտ պարունակող լուծամզվածքների համար փորձարկումն անցկացնում են «</w:t>
      </w:r>
      <w:r w:rsidRPr="00180FCD">
        <w:rPr>
          <w:i/>
        </w:rPr>
        <w:t xml:space="preserve">2.1.9.8. Էթանոլի պարունակությունը» </w:t>
      </w:r>
      <w:r w:rsidRPr="00E345B2">
        <w:t xml:space="preserve">ընդհանուր դեղագրքային հոդվածին </w:t>
      </w:r>
      <w:r>
        <w:t>եւ</w:t>
      </w:r>
      <w:r w:rsidRPr="00E345B2">
        <w:t xml:space="preserve"> մասնավոր դեղագրքային հոդվածում կամ որակի վերաբերյալ նորմատիվ փաստաթղթում նշված՝ էթիլային սպիրտի պարունակությանը ներկայացվող պահանջներին համապատասխան։</w:t>
      </w:r>
    </w:p>
    <w:p w14:paraId="71536399" w14:textId="77777777" w:rsidR="0035054F" w:rsidRPr="00180FCD" w:rsidRDefault="0035054F" w:rsidP="00180FCD">
      <w:pPr>
        <w:spacing w:after="160" w:line="360" w:lineRule="auto"/>
        <w:ind w:firstLine="567"/>
        <w:jc w:val="both"/>
        <w:rPr>
          <w:i/>
        </w:rPr>
      </w:pPr>
      <w:r w:rsidRPr="00180FCD">
        <w:rPr>
          <w:b/>
        </w:rPr>
        <w:t>Ծանր մետաղները</w:t>
      </w:r>
      <w:r w:rsidRPr="00E345B2">
        <w:t>. 1 մլ հեղուկ լուծամզվածքին կամ 1 գ թանձր կամ չոր լուծամզվածքին ավելացնում են 1 մլ Ռ</w:t>
      </w:r>
      <w:r>
        <w:t xml:space="preserve"> </w:t>
      </w:r>
      <w:r w:rsidRPr="00E345B2">
        <w:t xml:space="preserve">կոնցենտրացված ծծմբաթթու, զգուշորեն այրում </w:t>
      </w:r>
      <w:r>
        <w:t>եւ</w:t>
      </w:r>
      <w:r w:rsidRPr="00E345B2">
        <w:t xml:space="preserve"> շիկացնում են 600 °С ջերմաստիճանում։ Ստացված մնացորդին տաքացման ընթացքում ավելացնում են 5 մլ 615 գ/լ Ռ ամոնիումի ացետատի լուծույթ, ֆիլտրում են անմոխիր զտիչով, լվանում են 5 մլ Ռ ջրով </w:t>
      </w:r>
      <w:r>
        <w:t>եւ</w:t>
      </w:r>
      <w:r w:rsidRPr="00E345B2">
        <w:t xml:space="preserve"> ֆիլտրատը Ռ ջրով հասցնում են մինչ</w:t>
      </w:r>
      <w:r>
        <w:t>եւ</w:t>
      </w:r>
      <w:r w:rsidRPr="00E345B2">
        <w:t xml:space="preserve"> 100 մլ ծավալի։ 12 մլ ստացված լուծույթը պետք է դիմանա ծանր մետաղների փորձարկումներին («</w:t>
      </w:r>
      <w:r w:rsidRPr="00180FCD">
        <w:rPr>
          <w:i/>
        </w:rPr>
        <w:t>2.1.4.8 Ծանր մետաղներ» ընդհանուր դեղագրքային հոդված, Ա մեթոդ՝ Ռ1 նատրիումի սուլֆիդի լուծույթի եւ Ռ կապարի իոնների ստանդարտ լուծույթի (1 ppm Pb</w:t>
      </w:r>
      <w:r w:rsidRPr="00180FCD">
        <w:rPr>
          <w:i/>
          <w:vertAlign w:val="superscript"/>
        </w:rPr>
        <w:t>2+</w:t>
      </w:r>
      <w:r w:rsidRPr="00180FCD">
        <w:rPr>
          <w:i/>
        </w:rPr>
        <w:t>) օգտագործմամբ)։</w:t>
      </w:r>
    </w:p>
    <w:p w14:paraId="2720DB0C" w14:textId="77777777" w:rsidR="0035054F" w:rsidRPr="00E345B2" w:rsidRDefault="0035054F" w:rsidP="00180FCD">
      <w:pPr>
        <w:spacing w:after="160" w:line="360" w:lineRule="auto"/>
        <w:ind w:firstLine="567"/>
        <w:jc w:val="both"/>
      </w:pPr>
      <w:r w:rsidRPr="00E345B2">
        <w:t xml:space="preserve">Ծանր մետաղների թույլատրելի պարունակությունը չպետք է </w:t>
      </w:r>
      <w:r w:rsidRPr="00180FCD">
        <w:rPr>
          <w:i/>
        </w:rPr>
        <w:t>գերազանցի 100 ppm-ն (Pb</w:t>
      </w:r>
      <w:r w:rsidRPr="00180FCD">
        <w:rPr>
          <w:i/>
          <w:vertAlign w:val="superscript"/>
        </w:rPr>
        <w:t>2+</w:t>
      </w:r>
      <w:r w:rsidRPr="00180FCD">
        <w:rPr>
          <w:i/>
        </w:rPr>
        <w:t>)՝</w:t>
      </w:r>
      <w:r w:rsidRPr="00E345B2">
        <w:t xml:space="preserve"> մասնավոր դեղագրքային հոդվածում այլ ցուցումների բացակայության դեպքում։</w:t>
      </w:r>
    </w:p>
    <w:p w14:paraId="32801594" w14:textId="77777777" w:rsidR="0035054F" w:rsidRPr="00E345B2" w:rsidRDefault="0035054F" w:rsidP="00180FCD">
      <w:pPr>
        <w:spacing w:after="160" w:line="360" w:lineRule="auto"/>
        <w:ind w:firstLine="567"/>
        <w:jc w:val="both"/>
      </w:pPr>
      <w:r w:rsidRPr="00180FCD">
        <w:rPr>
          <w:b/>
          <w:spacing w:val="6"/>
        </w:rPr>
        <w:t>Չոր մնացորդը</w:t>
      </w:r>
      <w:r w:rsidRPr="00180FCD">
        <w:rPr>
          <w:spacing w:val="6"/>
        </w:rPr>
        <w:t xml:space="preserve">. Հեղուկ լուծամզվածքների համար փորձարկումն անցկացնում են </w:t>
      </w:r>
      <w:r w:rsidRPr="00180FCD">
        <w:rPr>
          <w:i/>
          <w:spacing w:val="6"/>
        </w:rPr>
        <w:t>«2.1.8.15. Լուծամզվածքների չոր մնացորդը»</w:t>
      </w:r>
      <w:r w:rsidRPr="00180FCD">
        <w:rPr>
          <w:spacing w:val="6"/>
        </w:rPr>
        <w:t xml:space="preserve"> ընդհանուր դեղագրքային հոդվածին համապատասխան</w:t>
      </w:r>
      <w:r w:rsidRPr="00E345B2">
        <w:t>։ Արդյունքը հաշվարկում են լիտրին բաժին ընկնող զանգվածային տոկոսներով (մ/մ) կամ գրամներով։ Չոր մնացորդի պարունակությունը պետք է համապատասխանի մասնավոր դեղագրքային հոդվածում կամ որակի վերաբերյալ նորմատիվ փաստաթղթում նշված սահմանաչափերին։</w:t>
      </w:r>
    </w:p>
    <w:p w14:paraId="76C8ADC6" w14:textId="77777777" w:rsidR="0035054F" w:rsidRPr="00E345B2" w:rsidRDefault="0035054F" w:rsidP="00180FCD">
      <w:pPr>
        <w:spacing w:after="160" w:line="360" w:lineRule="auto"/>
        <w:ind w:firstLine="567"/>
        <w:jc w:val="both"/>
      </w:pPr>
      <w:r w:rsidRPr="00CA3888">
        <w:rPr>
          <w:b/>
        </w:rPr>
        <w:t>Թթվային թիվը, պերօքսիդային թիվը, յոդային թիվը, օճառացման թիվը.</w:t>
      </w:r>
      <w:r w:rsidRPr="00E345B2">
        <w:t xml:space="preserve"> Մասնավոր դեղագրքային հոդվածում նշված լինելու դեպքում յուղային լուծամզվածքների համար փորձարկումն անցկացնում են «</w:t>
      </w:r>
      <w:r w:rsidRPr="00CA3888">
        <w:rPr>
          <w:i/>
        </w:rPr>
        <w:t>2.1.5.1. Թթվային թիվը», «2.1.5.5. Պերօքսիդային թիվը», «2.1.5.4. Յոդային թիվը», «2.1.5.6. Օճառացման թիվը»</w:t>
      </w:r>
      <w:r w:rsidRPr="00E345B2">
        <w:t xml:space="preserve"> </w:t>
      </w:r>
      <w:r w:rsidRPr="00E345B2">
        <w:lastRenderedPageBreak/>
        <w:t xml:space="preserve">ընդհանուր դեղագրքային հոդվածներին </w:t>
      </w:r>
      <w:r>
        <w:t>եւ</w:t>
      </w:r>
      <w:r w:rsidRPr="00E345B2">
        <w:t xml:space="preserve"> մասնավոր դեղագրքային հոդվածում կամ որակի վերաբերյալ նորմատիվ փաստաթղթում նշված պահանջներին համապատասխան։</w:t>
      </w:r>
    </w:p>
    <w:p w14:paraId="0BBF6B0F" w14:textId="77777777" w:rsidR="0035054F" w:rsidRPr="00E345B2" w:rsidRDefault="0035054F" w:rsidP="00CA3888">
      <w:pPr>
        <w:spacing w:after="160" w:line="360" w:lineRule="auto"/>
        <w:ind w:firstLine="567"/>
        <w:jc w:val="both"/>
      </w:pPr>
      <w:r w:rsidRPr="00CA3888">
        <w:rPr>
          <w:b/>
        </w:rPr>
        <w:t xml:space="preserve">Խտությունը </w:t>
      </w:r>
      <w:r w:rsidRPr="00CA3888">
        <w:t>կամ</w:t>
      </w:r>
      <w:r w:rsidRPr="00CA3888">
        <w:rPr>
          <w:b/>
        </w:rPr>
        <w:t xml:space="preserve"> Հարաբերական խտությունը.</w:t>
      </w:r>
      <w:r w:rsidRPr="00E345B2">
        <w:t xml:space="preserve"> Յուղային լուծամզվածքների համար փորձարկումն անցկացնում են «</w:t>
      </w:r>
      <w:r w:rsidRPr="00CA3888">
        <w:rPr>
          <w:i/>
        </w:rPr>
        <w:t xml:space="preserve">2.1.2.5. Հարաբերական խտությունը» </w:t>
      </w:r>
      <w:r w:rsidRPr="00E345B2">
        <w:t xml:space="preserve">ընդհանուր դեղագրքային հոդվածին </w:t>
      </w:r>
      <w:r>
        <w:t>եւ</w:t>
      </w:r>
      <w:r w:rsidRPr="00E345B2">
        <w:t xml:space="preserve"> մասնավոր դեղագրքային հոդվածում կամ որակի վերաբերյալ նորմատիվ փաստաթղթում նշված պահանջներին համապատասխան։</w:t>
      </w:r>
    </w:p>
    <w:p w14:paraId="497AE81A" w14:textId="77777777" w:rsidR="0035054F" w:rsidRPr="00E345B2" w:rsidRDefault="0035054F" w:rsidP="00CA3888">
      <w:pPr>
        <w:spacing w:after="160" w:line="360" w:lineRule="auto"/>
        <w:ind w:firstLine="567"/>
        <w:jc w:val="both"/>
      </w:pPr>
      <w:r w:rsidRPr="00CA3888">
        <w:rPr>
          <w:b/>
        </w:rPr>
        <w:t>Բեկման ցուցանիշը</w:t>
      </w:r>
      <w:r w:rsidRPr="00E345B2">
        <w:t>. Յուղային լուծամզվածքների համար փորձարկումն անցկացնում են «2</w:t>
      </w:r>
      <w:r w:rsidRPr="00CA3888">
        <w:rPr>
          <w:i/>
        </w:rPr>
        <w:t>.1.2.6. Բեկման ցուցանիշը (ռեֆրակցիայի ցուցիչը)»</w:t>
      </w:r>
      <w:r w:rsidRPr="00E345B2">
        <w:t xml:space="preserve"> ընդհանուր դեղագրքային հոդվածին </w:t>
      </w:r>
      <w:r>
        <w:t>եւ</w:t>
      </w:r>
      <w:r w:rsidRPr="00E345B2">
        <w:t xml:space="preserve"> մասնավոր դեղագրքային հոդվածում կամ որակի վերաբերյալ նորմատիվ փաստաթղթում նշված պահանջներին համապատասխան։</w:t>
      </w:r>
    </w:p>
    <w:p w14:paraId="0B271C7E" w14:textId="77777777" w:rsidR="0035054F" w:rsidRPr="00E345B2" w:rsidRDefault="0035054F" w:rsidP="00CA3888">
      <w:pPr>
        <w:spacing w:after="160" w:line="360" w:lineRule="auto"/>
        <w:ind w:firstLine="567"/>
        <w:jc w:val="both"/>
      </w:pPr>
      <w:r w:rsidRPr="00CA3888">
        <w:rPr>
          <w:b/>
        </w:rPr>
        <w:t>Մնացորդային օրգանական լուծիչները։</w:t>
      </w:r>
      <w:r w:rsidRPr="00E345B2">
        <w:t xml:space="preserve"> Մասնավոր դեղագրքային հոդվածում </w:t>
      </w:r>
      <w:r w:rsidRPr="00CA3888">
        <w:rPr>
          <w:spacing w:val="-4"/>
        </w:rPr>
        <w:t>նշված լինելու դեպքում փորձարկումն այն լուծամզվածքների համար, որոնց արտադրության ժամանակ օգտագործում են օրգանական լուծիչներ, անցկացնում են «</w:t>
      </w:r>
      <w:r w:rsidRPr="00CA3888">
        <w:rPr>
          <w:i/>
          <w:spacing w:val="-4"/>
        </w:rPr>
        <w:t>2.3.2.0. Մնացորդային օրգանական լուծիչները</w:t>
      </w:r>
      <w:r w:rsidRPr="00CA3888">
        <w:rPr>
          <w:spacing w:val="-4"/>
        </w:rPr>
        <w:t>» ընդհանուր դեղագրքային հոդվածին</w:t>
      </w:r>
      <w:r w:rsidRPr="00E345B2">
        <w:t xml:space="preserve"> </w:t>
      </w:r>
      <w:r>
        <w:t>եւ</w:t>
      </w:r>
      <w:r w:rsidRPr="00E345B2">
        <w:t xml:space="preserve"> մասնավոր դեղագրքային հոդվածում նշված պահանջներին համապատասխան։</w:t>
      </w:r>
    </w:p>
    <w:p w14:paraId="767CC897" w14:textId="77777777" w:rsidR="0035054F" w:rsidRPr="00E345B2" w:rsidRDefault="0035054F" w:rsidP="00CA3888">
      <w:pPr>
        <w:spacing w:after="160" w:line="360" w:lineRule="auto"/>
        <w:ind w:firstLine="567"/>
        <w:jc w:val="both"/>
      </w:pPr>
      <w:r w:rsidRPr="00CA3888">
        <w:rPr>
          <w:b/>
        </w:rPr>
        <w:t>Մեթանոլը.</w:t>
      </w:r>
      <w:r w:rsidRPr="00E345B2">
        <w:t xml:space="preserve"> Հեղուկ լուծամզվածքների համար որոշումն անցկացնում են արտադրական գործընթացի փուլում։ Թույլատրվում է մեթանոլի ոչ ավելի, քան 05</w:t>
      </w:r>
      <w:r w:rsidR="00CA3888" w:rsidRPr="00CA3888">
        <w:t> </w:t>
      </w:r>
      <w:r w:rsidRPr="00E345B2">
        <w:t>% (ծավ./ծավ.) պարունակություն, եթե մասնավոր դեղագրքային հոդվածում այլ բան նշված չէ։</w:t>
      </w:r>
    </w:p>
    <w:p w14:paraId="2C283940" w14:textId="77777777" w:rsidR="0035054F" w:rsidRPr="00CA3888" w:rsidRDefault="0035054F" w:rsidP="00CA3888">
      <w:pPr>
        <w:spacing w:after="160" w:line="360" w:lineRule="auto"/>
        <w:jc w:val="right"/>
        <w:rPr>
          <w:b/>
          <w:sz w:val="20"/>
        </w:rPr>
      </w:pPr>
    </w:p>
    <w:p w14:paraId="1E291169" w14:textId="77777777" w:rsidR="0035054F" w:rsidRPr="00CA3888" w:rsidRDefault="0035054F" w:rsidP="00CA3888">
      <w:pPr>
        <w:spacing w:after="160" w:line="360" w:lineRule="auto"/>
        <w:jc w:val="right"/>
        <w:rPr>
          <w:b/>
          <w:sz w:val="20"/>
        </w:rPr>
      </w:pPr>
      <w:r w:rsidRPr="00CA3888">
        <w:rPr>
          <w:b/>
          <w:sz w:val="20"/>
        </w:rPr>
        <w:t>0205010038-2022</w:t>
      </w:r>
    </w:p>
    <w:p w14:paraId="288DB5B9" w14:textId="77777777" w:rsidR="0035054F" w:rsidRPr="00E345B2" w:rsidRDefault="0035054F" w:rsidP="0035054F">
      <w:pPr>
        <w:spacing w:after="160" w:line="360" w:lineRule="auto"/>
      </w:pPr>
    </w:p>
    <w:p w14:paraId="5F81461C" w14:textId="77777777" w:rsidR="0035054F" w:rsidRPr="00CA3888" w:rsidRDefault="0035054F" w:rsidP="00CA3888">
      <w:pPr>
        <w:tabs>
          <w:tab w:val="left" w:pos="1701"/>
        </w:tabs>
        <w:spacing w:after="160" w:line="360" w:lineRule="auto"/>
        <w:ind w:firstLine="567"/>
        <w:jc w:val="both"/>
        <w:rPr>
          <w:b/>
        </w:rPr>
      </w:pPr>
      <w:r w:rsidRPr="00CA3888">
        <w:rPr>
          <w:b/>
        </w:rPr>
        <w:t>2.5.1.38.</w:t>
      </w:r>
      <w:r w:rsidR="00CA3888" w:rsidRPr="00B5542D">
        <w:rPr>
          <w:b/>
        </w:rPr>
        <w:tab/>
      </w:r>
      <w:r w:rsidRPr="00CA3888">
        <w:rPr>
          <w:b/>
        </w:rPr>
        <w:t>Բուժահեղուկները</w:t>
      </w:r>
    </w:p>
    <w:p w14:paraId="7D6B7A15" w14:textId="77777777" w:rsidR="0035054F" w:rsidRPr="00E345B2" w:rsidRDefault="0035054F" w:rsidP="00CA3888">
      <w:pPr>
        <w:spacing w:after="160" w:line="360" w:lineRule="auto"/>
        <w:ind w:firstLine="567"/>
        <w:jc w:val="both"/>
      </w:pPr>
      <w:r w:rsidRPr="00E345B2">
        <w:t>«Բուժահեղուկներ»՝ ներքին ընդունման համար նախատեսված հեղուկ դեղաձ</w:t>
      </w:r>
      <w:r>
        <w:t>եւ</w:t>
      </w:r>
      <w:r w:rsidRPr="00E345B2">
        <w:t xml:space="preserve">, որը մեկ կամ մի քանի տեսակների դեղաբուսական հումքից </w:t>
      </w:r>
      <w:r w:rsidRPr="00E345B2">
        <w:lastRenderedPageBreak/>
        <w:t xml:space="preserve">սպիրտաջրային հանուկ է </w:t>
      </w:r>
      <w:r>
        <w:t>եւ</w:t>
      </w:r>
      <w:r w:rsidRPr="00E345B2">
        <w:t xml:space="preserve"> (կամ) թուրմերի </w:t>
      </w:r>
      <w:r>
        <w:t>եւ</w:t>
      </w:r>
      <w:r w:rsidRPr="00E345B2">
        <w:t xml:space="preserve"> (կամ) լուծամզվածքների խառնուրդ՝ օժանդակ նյութերի (այդ թվում՝ համի </w:t>
      </w:r>
      <w:r>
        <w:t>եւ</w:t>
      </w:r>
      <w:r w:rsidRPr="00E345B2">
        <w:t xml:space="preserve"> հոտի բարելավիչների, հակամանրէային կոնսերվանտների) ավելացմամբ, ինչպես նա</w:t>
      </w:r>
      <w:r>
        <w:t>եւ</w:t>
      </w:r>
      <w:r w:rsidRPr="00E345B2">
        <w:t xml:space="preserve"> այլ ակտիվ դեղագործական բաղադրամասերի ավելացմամբ կամ առանց դրանց ավելացման։</w:t>
      </w:r>
    </w:p>
    <w:p w14:paraId="1F3776A2" w14:textId="77777777" w:rsidR="0035054F" w:rsidRPr="00E345B2" w:rsidRDefault="0035054F" w:rsidP="0035054F">
      <w:pPr>
        <w:spacing w:after="160" w:line="360" w:lineRule="auto"/>
      </w:pPr>
    </w:p>
    <w:p w14:paraId="2DCEFA32" w14:textId="77777777" w:rsidR="0035054F" w:rsidRPr="00CA3888" w:rsidRDefault="0035054F" w:rsidP="00CA3888">
      <w:pPr>
        <w:spacing w:after="160" w:line="360" w:lineRule="auto"/>
        <w:ind w:firstLine="567"/>
        <w:jc w:val="both"/>
        <w:rPr>
          <w:b/>
        </w:rPr>
      </w:pPr>
      <w:r w:rsidRPr="00CA3888">
        <w:rPr>
          <w:b/>
        </w:rPr>
        <w:t>ՏԵԽՆՈԼՈԳԻԱՅԻ ԱՌԱՆՁՆԱՀԱՏԿՈՒԹՅՈՒՆՆԵՐԸ</w:t>
      </w:r>
    </w:p>
    <w:p w14:paraId="786125BB" w14:textId="77777777" w:rsidR="0035054F" w:rsidRPr="00E345B2" w:rsidRDefault="0035054F" w:rsidP="00CA3888">
      <w:pPr>
        <w:spacing w:after="160" w:line="360" w:lineRule="auto"/>
        <w:ind w:firstLine="567"/>
        <w:jc w:val="both"/>
      </w:pPr>
      <w:r w:rsidRPr="00E345B2">
        <w:t xml:space="preserve">Բուժահեղուկները կարելի է ստանալ երկու եղանակներով։ Դրանցից մեկը մեկ կամ մի քանի տեսակների դեղաբուսական հումքի լուծամզումն է որոշակի կոնցենտրացիայի էտալոնով։ Մյուս եղանակը դեղաբուսական հումքից նախապես ստացված՝ որպես կանոն ոգեթուրմեր </w:t>
      </w:r>
      <w:r>
        <w:t>եւ</w:t>
      </w:r>
      <w:r w:rsidRPr="00E345B2">
        <w:t xml:space="preserve"> (կամ) լուծամզվածքներ հանդիսացող սպիրտաջրային հանուկները խառնելն է։ Բուժահեղուկներն ստանալու երկու եղանակներն էլ ենթադրում են օժանդակ նյութերի </w:t>
      </w:r>
      <w:r>
        <w:t>եւ</w:t>
      </w:r>
      <w:r w:rsidRPr="00E345B2">
        <w:t xml:space="preserve"> անհրաժեշտության դեպքում՝ ակտիվ դեղագործական բաղադրամասերի ավելացում ստացված սպիրտաջրային հանուկին։</w:t>
      </w:r>
    </w:p>
    <w:p w14:paraId="41F16168" w14:textId="77777777" w:rsidR="0035054F" w:rsidRPr="00E345B2" w:rsidRDefault="0035054F" w:rsidP="00CA3888">
      <w:pPr>
        <w:spacing w:after="160" w:line="360" w:lineRule="auto"/>
        <w:ind w:firstLine="567"/>
        <w:jc w:val="both"/>
      </w:pPr>
      <w:r w:rsidRPr="00E345B2">
        <w:t xml:space="preserve">Բուժահեղուկների պարտադիր բաղադրիչներ են այնպիսի օժանդակ նյութերը, ինչպիսիք են համի բարելավիչները, բուրավետիչները </w:t>
      </w:r>
      <w:r>
        <w:t>եւ</w:t>
      </w:r>
      <w:r w:rsidRPr="00E345B2">
        <w:t xml:space="preserve"> հակամանրէային կոնսերվանտները։ Որպես համի բարելավիչներ </w:t>
      </w:r>
      <w:r>
        <w:t>եւ</w:t>
      </w:r>
      <w:r w:rsidRPr="00E345B2">
        <w:t xml:space="preserve"> բուրավետիչներ բուժահեղուկների մեջ կարող են ավելացվել շաքարներ </w:t>
      </w:r>
      <w:r>
        <w:t>եւ</w:t>
      </w:r>
      <w:r w:rsidRPr="00E345B2">
        <w:t xml:space="preserve"> (կամ) շաքարային կոլեր </w:t>
      </w:r>
      <w:r>
        <w:t>եւ</w:t>
      </w:r>
      <w:r w:rsidRPr="00E345B2">
        <w:t xml:space="preserve"> (կամ) մեղր, հյութ. որպես հակամանրէային կոնսերվանտներ օգտագործում են մեթիլպարահիդրօքսիբենզոատ, պրոպիլպարահիդրօքսիբենզոատ, ինչպես նա</w:t>
      </w:r>
      <w:r>
        <w:t>եւ</w:t>
      </w:r>
      <w:r w:rsidRPr="00E345B2">
        <w:t xml:space="preserve"> համի այլ բարելավիչներ, բուրավետիչներ, հակամանրէային կոնսերվանտներ </w:t>
      </w:r>
      <w:r>
        <w:t>եւ</w:t>
      </w:r>
      <w:r w:rsidRPr="00E345B2">
        <w:t xml:space="preserve"> անհրաժեշտ օժանդակ նյութեր,</w:t>
      </w:r>
      <w:r>
        <w:t xml:space="preserve"> </w:t>
      </w:r>
      <w:r w:rsidRPr="00E345B2">
        <w:t>որոնք թույլատրված են ներքին կիրառման համար։</w:t>
      </w:r>
    </w:p>
    <w:p w14:paraId="6432B0F7" w14:textId="77777777" w:rsidR="0035054F" w:rsidRPr="00B5542D" w:rsidRDefault="0035054F" w:rsidP="00CA3888">
      <w:pPr>
        <w:spacing w:after="160" w:line="360" w:lineRule="auto"/>
        <w:ind w:firstLine="567"/>
        <w:jc w:val="both"/>
      </w:pPr>
      <w:r w:rsidRPr="00E345B2">
        <w:t>Բուժահեղուկներ դեղաձ</w:t>
      </w:r>
      <w:r>
        <w:t>եւ</w:t>
      </w:r>
      <w:r w:rsidRPr="00E345B2">
        <w:t xml:space="preserve">ով դեղապատրաստուկների արտադրական գործընթացի փուլում պետք է իրականացվի մեթանոլի </w:t>
      </w:r>
      <w:r>
        <w:t>եւ</w:t>
      </w:r>
      <w:r w:rsidRPr="00E345B2">
        <w:t xml:space="preserve"> 2-պրոպանոլի պարունակության փորձարկում։</w:t>
      </w:r>
    </w:p>
    <w:p w14:paraId="07BBD9F0" w14:textId="77777777" w:rsidR="00CA3888" w:rsidRPr="00B5542D" w:rsidRDefault="00CA3888" w:rsidP="00CA3888">
      <w:pPr>
        <w:spacing w:after="160" w:line="360" w:lineRule="auto"/>
        <w:ind w:firstLine="567"/>
        <w:jc w:val="both"/>
      </w:pPr>
    </w:p>
    <w:p w14:paraId="4CA4765F" w14:textId="77777777" w:rsidR="0035054F" w:rsidRPr="00E345B2" w:rsidRDefault="0035054F" w:rsidP="00CA3888">
      <w:pPr>
        <w:spacing w:after="160" w:line="360" w:lineRule="auto"/>
        <w:ind w:firstLine="567"/>
        <w:jc w:val="both"/>
      </w:pPr>
      <w:r w:rsidRPr="00E345B2">
        <w:lastRenderedPageBreak/>
        <w:t>Բուժահեղուկներ դեղաձ</w:t>
      </w:r>
      <w:r>
        <w:t>եւ</w:t>
      </w:r>
      <w:r w:rsidRPr="00E345B2">
        <w:t>ով դեղապատրաստուկներ ստանալու դեպքում պետք է ձեռնարկվեն դրանց մանրէաբանական մաքրությունն ապահովող միջոցներ։</w:t>
      </w:r>
    </w:p>
    <w:p w14:paraId="5C5DFE77" w14:textId="77777777" w:rsidR="0035054F" w:rsidRPr="00E345B2" w:rsidRDefault="0035054F" w:rsidP="00CA3888">
      <w:pPr>
        <w:spacing w:after="160" w:line="360" w:lineRule="auto"/>
        <w:ind w:firstLine="567"/>
        <w:jc w:val="both"/>
      </w:pPr>
      <w:r w:rsidRPr="00E345B2">
        <w:t xml:space="preserve">Բազմադեղաչափ փաթեթվածքով թողարկվող բուժահեղուկները պետք է համալրված լինեն դոզավորման միջոցով (չափիչ գդալ, չափիչ բաժակ, չափիչ թասակ, ներարկիչային բաժնավորիչ </w:t>
      </w:r>
      <w:r>
        <w:t>եւ</w:t>
      </w:r>
      <w:r w:rsidRPr="00E345B2">
        <w:t xml:space="preserve"> այլն) դեղապատրաստուկի սահմանված դեղաչափը չափելու համար։</w:t>
      </w:r>
    </w:p>
    <w:p w14:paraId="1CF800E9" w14:textId="77777777" w:rsidR="0035054F" w:rsidRPr="00E345B2" w:rsidRDefault="0035054F" w:rsidP="0035054F">
      <w:pPr>
        <w:spacing w:after="160" w:line="360" w:lineRule="auto"/>
      </w:pPr>
    </w:p>
    <w:p w14:paraId="7147B0C6" w14:textId="77777777" w:rsidR="0035054F" w:rsidRPr="00CA3888" w:rsidRDefault="0035054F" w:rsidP="00CA3888">
      <w:pPr>
        <w:spacing w:after="160" w:line="360" w:lineRule="auto"/>
        <w:ind w:firstLine="567"/>
        <w:jc w:val="both"/>
        <w:rPr>
          <w:b/>
        </w:rPr>
      </w:pPr>
      <w:r w:rsidRPr="00CA3888">
        <w:rPr>
          <w:b/>
        </w:rPr>
        <w:t>ՓՈՐՁԱՐԿՈՒՄՆԵՐԸ</w:t>
      </w:r>
    </w:p>
    <w:p w14:paraId="66559CBB" w14:textId="77777777" w:rsidR="0035054F" w:rsidRPr="00E345B2" w:rsidRDefault="0035054F" w:rsidP="00CA3888">
      <w:pPr>
        <w:spacing w:after="160" w:line="360" w:lineRule="auto"/>
        <w:ind w:firstLine="567"/>
        <w:jc w:val="both"/>
      </w:pPr>
      <w:r w:rsidRPr="00E345B2">
        <w:t xml:space="preserve">Բուժահեղուկները պետք է համապատասխանեն </w:t>
      </w:r>
      <w:r w:rsidRPr="00CA3888">
        <w:rPr>
          <w:i/>
        </w:rPr>
        <w:t xml:space="preserve">«2.5.1.1. Դեղաձեւերը» </w:t>
      </w:r>
      <w:r w:rsidRPr="00E345B2">
        <w:t xml:space="preserve">ընդհանուր դեղագրքային հոդվածի ընդհանուր պահանջներին </w:t>
      </w:r>
      <w:r>
        <w:t>եւ</w:t>
      </w:r>
      <w:r w:rsidRPr="00E345B2">
        <w:t xml:space="preserve"> անցնեն տվյալ դեղաձ</w:t>
      </w:r>
      <w:r>
        <w:t>եւ</w:t>
      </w:r>
      <w:r w:rsidRPr="00E345B2">
        <w:t>ին բնորոշ փորձարկումները։</w:t>
      </w:r>
    </w:p>
    <w:p w14:paraId="7D6A950F" w14:textId="77777777" w:rsidR="0035054F" w:rsidRPr="00E345B2" w:rsidRDefault="0035054F" w:rsidP="00CA3888">
      <w:pPr>
        <w:spacing w:after="160" w:line="360" w:lineRule="auto"/>
        <w:ind w:firstLine="567"/>
        <w:jc w:val="both"/>
      </w:pPr>
      <w:r w:rsidRPr="00CA3888">
        <w:rPr>
          <w:b/>
        </w:rPr>
        <w:t>Նկարագրությունը.</w:t>
      </w:r>
      <w:r w:rsidRPr="00E345B2">
        <w:t xml:space="preserve"> Բուժահեղուկները, որպես կանոն, բնորոշ գույն </w:t>
      </w:r>
      <w:r>
        <w:t>եւ</w:t>
      </w:r>
      <w:r w:rsidRPr="00E345B2">
        <w:t xml:space="preserve"> հոտ ունեցող հեղուկներ են։ Թույլատրվում է օպալեսցենտման առկայություն՝ մի շարք դեպքերում, հատկապես՝ պահպանման ընթացքում, հնարավոր է աննշան նստվածքի առաջացում։</w:t>
      </w:r>
    </w:p>
    <w:p w14:paraId="7CE56C90" w14:textId="77777777" w:rsidR="0035054F" w:rsidRPr="00E345B2" w:rsidRDefault="0035054F" w:rsidP="00CA3888">
      <w:pPr>
        <w:spacing w:after="160" w:line="360" w:lineRule="auto"/>
        <w:ind w:firstLine="567"/>
        <w:jc w:val="both"/>
      </w:pPr>
      <w:r w:rsidRPr="00E345B2">
        <w:t xml:space="preserve">Բուժահեղուկները բնութագրում են՝ նշելով արտաքին տեսքը՝ նշելով թափանցիկությունը կամ օպալեսցենտումը, գույնը </w:t>
      </w:r>
      <w:r>
        <w:t>եւ</w:t>
      </w:r>
      <w:r w:rsidRPr="00E345B2">
        <w:t xml:space="preserve"> հոտը (առկայության դեպքում)՝ մասնավոր դեղագրքային հոդվածի կամ որակի վերաբերյալ նորմատիվ փաստաթղթի պահանջներին համապատասխան։</w:t>
      </w:r>
    </w:p>
    <w:p w14:paraId="0882C3EE" w14:textId="77777777" w:rsidR="0035054F" w:rsidRPr="00E345B2" w:rsidRDefault="0035054F" w:rsidP="00CA3888">
      <w:pPr>
        <w:spacing w:after="160" w:line="360" w:lineRule="auto"/>
        <w:ind w:firstLine="567"/>
        <w:jc w:val="both"/>
      </w:pPr>
      <w:r w:rsidRPr="00CA3888">
        <w:rPr>
          <w:b/>
        </w:rPr>
        <w:t>Էթանոլը.</w:t>
      </w:r>
      <w:r w:rsidRPr="00E345B2">
        <w:t xml:space="preserve"> Փորձարկումն անցկացնում են մեթոդներից մեկով՝ </w:t>
      </w:r>
      <w:r w:rsidRPr="00CA3888">
        <w:rPr>
          <w:i/>
        </w:rPr>
        <w:t>«2.1.9.8. Էթանոլի պարունակությունը»</w:t>
      </w:r>
      <w:r w:rsidRPr="00E345B2">
        <w:t xml:space="preserve"> ընդհանուր դեղագրքային հոդվածին </w:t>
      </w:r>
      <w:r>
        <w:t>եւ</w:t>
      </w:r>
      <w:r w:rsidRPr="00E345B2">
        <w:t xml:space="preserve"> մասնավոր դեղագրքային հոդվածում կամ որակի վերաբերյալ նորմատիվ փաստաթղթում նշված՝ էթանոլի պարունակությանը ներկայացվող պահանջներին համապատասխան։</w:t>
      </w:r>
    </w:p>
    <w:p w14:paraId="1BA33F6E" w14:textId="77777777" w:rsidR="0035054F" w:rsidRPr="00E345B2" w:rsidRDefault="0035054F" w:rsidP="00CA3888">
      <w:pPr>
        <w:spacing w:after="160" w:line="360" w:lineRule="auto"/>
        <w:ind w:firstLine="567"/>
        <w:jc w:val="both"/>
      </w:pPr>
      <w:r w:rsidRPr="00CA3888">
        <w:rPr>
          <w:b/>
        </w:rPr>
        <w:t>Խտությունը</w:t>
      </w:r>
      <w:r w:rsidRPr="00E345B2">
        <w:t xml:space="preserve"> կամ </w:t>
      </w:r>
      <w:r w:rsidRPr="00CA3888">
        <w:rPr>
          <w:b/>
        </w:rPr>
        <w:t>Հարաբերական խտությունը.</w:t>
      </w:r>
      <w:r w:rsidRPr="00E345B2">
        <w:t xml:space="preserve"> Փորձարկումն անցկացնում են </w:t>
      </w:r>
      <w:r w:rsidRPr="00CA3888">
        <w:rPr>
          <w:i/>
        </w:rPr>
        <w:t>«2.1.2.5. Հարաբերական խտությունը»</w:t>
      </w:r>
      <w:r w:rsidRPr="00E345B2">
        <w:t xml:space="preserve"> ընդհանուր դեղագրքային հոդվածին </w:t>
      </w:r>
      <w:r>
        <w:t>եւ</w:t>
      </w:r>
      <w:r w:rsidRPr="00E345B2">
        <w:t xml:space="preserve"> </w:t>
      </w:r>
      <w:r w:rsidRPr="00E345B2">
        <w:lastRenderedPageBreak/>
        <w:t>մասնավոր դեղագրքային հոդվածում կամ որակի վերաբերյալ նորմատիվ փաստաթղթում նշված պահանջներին համապատասխան։</w:t>
      </w:r>
    </w:p>
    <w:p w14:paraId="60C51AC1" w14:textId="77777777" w:rsidR="0035054F" w:rsidRPr="00E345B2" w:rsidRDefault="0035054F" w:rsidP="00CA3888">
      <w:pPr>
        <w:spacing w:after="160" w:line="360" w:lineRule="auto"/>
        <w:ind w:firstLine="567"/>
        <w:jc w:val="both"/>
      </w:pPr>
      <w:r w:rsidRPr="00CA3888">
        <w:rPr>
          <w:b/>
        </w:rPr>
        <w:t>pH-ը</w:t>
      </w:r>
      <w:r w:rsidRPr="00E345B2">
        <w:t xml:space="preserve">. Մասնավոր դեղագրքային հոդվածում կամ որակի վերաբերյալ նորմատիվ փաստաթղթում նշված լինելու դեպքում փորձարկումն անցկացնում են պոտենցաչափական մեթոդով՝ </w:t>
      </w:r>
      <w:r w:rsidRPr="00CA3888">
        <w:rPr>
          <w:i/>
        </w:rPr>
        <w:t>«2.1.2.3. pH-ի պոտենցաչափական որոշումը»</w:t>
      </w:r>
      <w:r w:rsidRPr="00E345B2">
        <w:t xml:space="preserve"> ընդհանուր դեղագրքային հոդվածին համապատասխան։ Բուժահեղուկի pH արժեքների թույլատրելի</w:t>
      </w:r>
      <w:r>
        <w:t xml:space="preserve"> </w:t>
      </w:r>
      <w:r w:rsidRPr="00E345B2">
        <w:t>միջակայքը պետք է նշվի մասնավոր դեղագրքային հոդվածում կամ որակի վերաբերյալ նորմատիվ փաստաթղթում։</w:t>
      </w:r>
    </w:p>
    <w:p w14:paraId="04A03602" w14:textId="77777777" w:rsidR="0035054F" w:rsidRPr="00E345B2" w:rsidRDefault="0035054F" w:rsidP="00CA3888">
      <w:pPr>
        <w:spacing w:after="160" w:line="360" w:lineRule="auto"/>
        <w:ind w:firstLine="567"/>
        <w:jc w:val="both"/>
      </w:pPr>
      <w:r w:rsidRPr="00CA3888">
        <w:rPr>
          <w:b/>
        </w:rPr>
        <w:t>Ծանր մետաղները.</w:t>
      </w:r>
      <w:r w:rsidRPr="00E345B2">
        <w:t xml:space="preserve"> Փորձարկումն անցկացնում են այն բուժահեղուկների համար, որոնց բաղադրության մեջ մտնում են մեկ կամ մի քանի տեսակների դեղաբուսական հումքից էթանոլով լուծամզմամբ ստացված սպիրտաջրային հանուկներ։ Եթե մասնավոր դեղագրքային հոդվածում կամ որակի վերաբերյալ նորմատիվ փաստաթղթում այլ բան նշված չէ, փորձարկումն անցկացնում են հետ</w:t>
      </w:r>
      <w:r>
        <w:t>եւ</w:t>
      </w:r>
      <w:r w:rsidRPr="00E345B2">
        <w:t>յալ մեթոդիկայով.</w:t>
      </w:r>
    </w:p>
    <w:p w14:paraId="1144A0AE" w14:textId="77777777" w:rsidR="0035054F" w:rsidRPr="00CA3888" w:rsidRDefault="0035054F" w:rsidP="00CA3888">
      <w:pPr>
        <w:spacing w:after="160" w:line="360" w:lineRule="auto"/>
        <w:ind w:firstLine="567"/>
        <w:jc w:val="both"/>
        <w:rPr>
          <w:i/>
        </w:rPr>
      </w:pPr>
      <w:r w:rsidRPr="00E345B2">
        <w:t xml:space="preserve">10 մլ բուժահեղուկը ճենապակե թասում լիաչոր շոգեհանում են ջրային </w:t>
      </w:r>
      <w:r w:rsidRPr="00CA3888">
        <w:rPr>
          <w:spacing w:val="-4"/>
        </w:rPr>
        <w:t>բաղնիքի վրա, ավելացնում են 1 մլ Ռ ծծմբաթթու, զգուշորեն այրում եւ շիկացնում են 600 °С ջերմաստիճանում։ Ստացված մնացորդին տաքացման ընթացքում ավելացնում են 5 մլ 615 գ/մլ Ռ ամոնիումի ացետատի լուծույթ, ֆիլտրում են</w:t>
      </w:r>
      <w:r w:rsidRPr="00E345B2">
        <w:t xml:space="preserve"> անմոխիր զտիչով, լվանում են 5 մլ Ռ ջրով </w:t>
      </w:r>
      <w:r>
        <w:t>եւ</w:t>
      </w:r>
      <w:r w:rsidRPr="00E345B2">
        <w:t xml:space="preserve"> ֆիլտրատը Ռ ջրով հասցնում են մինչ</w:t>
      </w:r>
      <w:r>
        <w:t>եւ</w:t>
      </w:r>
      <w:r w:rsidRPr="00E345B2">
        <w:t xml:space="preserve"> 100 մլ ծավալի. 12 մլ ստացված լուծույթը պետք է դիմանա ծանր մետաղների փորձարկումներին </w:t>
      </w:r>
      <w:r w:rsidRPr="00CA3888">
        <w:rPr>
          <w:i/>
        </w:rPr>
        <w:t>(«2.1.4.8 Ծանր մետաղներ» ընդհանուր դեղագրքային հոդված, Ա մեթոդ՝ Ռ1 նատրիումի սուլֆիդի լուծույթի, Ռ կապարի իոնների ստանդարտ լուծույթի (1 ppm Pb</w:t>
      </w:r>
      <w:r w:rsidRPr="00CA3888">
        <w:rPr>
          <w:i/>
          <w:vertAlign w:val="superscript"/>
        </w:rPr>
        <w:t>2+</w:t>
      </w:r>
      <w:r w:rsidRPr="00CA3888">
        <w:rPr>
          <w:i/>
        </w:rPr>
        <w:t>) օգտագործմամբ)։ Ծանր մետաղների թույլատրելի պարունակությունը չպետք է գերազանցի 100 ppm-ն (Pb2+)։</w:t>
      </w:r>
    </w:p>
    <w:p w14:paraId="10D4DE4C" w14:textId="77777777" w:rsidR="0035054F" w:rsidRPr="00E345B2" w:rsidRDefault="0035054F" w:rsidP="00CA3888">
      <w:pPr>
        <w:spacing w:after="160" w:line="360" w:lineRule="auto"/>
        <w:ind w:firstLine="567"/>
        <w:jc w:val="both"/>
      </w:pPr>
      <w:r w:rsidRPr="00CA3888">
        <w:rPr>
          <w:b/>
        </w:rPr>
        <w:t>Դեղաչափերի զանգվածի միատարրությունը</w:t>
      </w:r>
      <w:r w:rsidRPr="00E345B2">
        <w:t>. Փորձարկումն անցկացնում են բազմադեղաչափ փաթեթվածքով թողարկվող բուժահեղուկների համար</w:t>
      </w:r>
      <w:r w:rsidRPr="00CA3888">
        <w:rPr>
          <w:i/>
        </w:rPr>
        <w:t xml:space="preserve">՝ «2.1.9.12. Բազմադեղաչափ փաթեթվածքից չափված դեղաչափերի զանգվածի միատարրությունը» </w:t>
      </w:r>
      <w:r w:rsidRPr="00E345B2">
        <w:t>ընդհանուր դեղագրքային հոդվածին համապատասխան։</w:t>
      </w:r>
    </w:p>
    <w:p w14:paraId="5160CE18" w14:textId="77777777" w:rsidR="0035054F" w:rsidRPr="00B5542D" w:rsidRDefault="0035054F" w:rsidP="00CA3888">
      <w:pPr>
        <w:spacing w:after="160" w:line="360" w:lineRule="auto"/>
        <w:jc w:val="right"/>
        <w:rPr>
          <w:b/>
          <w:sz w:val="20"/>
        </w:rPr>
      </w:pPr>
      <w:r w:rsidRPr="00CA3888">
        <w:rPr>
          <w:b/>
          <w:sz w:val="20"/>
        </w:rPr>
        <w:lastRenderedPageBreak/>
        <w:t>205010039-2022</w:t>
      </w:r>
    </w:p>
    <w:p w14:paraId="09CF4950" w14:textId="77777777" w:rsidR="00CA3888" w:rsidRPr="00B5542D" w:rsidRDefault="00CA3888" w:rsidP="00CA3888">
      <w:pPr>
        <w:spacing w:after="160" w:line="360" w:lineRule="auto"/>
        <w:jc w:val="right"/>
        <w:rPr>
          <w:b/>
          <w:sz w:val="20"/>
        </w:rPr>
      </w:pPr>
    </w:p>
    <w:p w14:paraId="703C2653" w14:textId="77777777" w:rsidR="0035054F" w:rsidRPr="00CA3888" w:rsidRDefault="0035054F" w:rsidP="00CA3888">
      <w:pPr>
        <w:spacing w:after="160" w:line="360" w:lineRule="auto"/>
        <w:ind w:firstLine="567"/>
        <w:jc w:val="both"/>
        <w:rPr>
          <w:b/>
        </w:rPr>
      </w:pPr>
      <w:r w:rsidRPr="00CA3888">
        <w:rPr>
          <w:b/>
        </w:rPr>
        <w:t>2.5.1.39. Էմուլսիաներ</w:t>
      </w:r>
    </w:p>
    <w:p w14:paraId="4E973B0F" w14:textId="77777777" w:rsidR="0035054F" w:rsidRPr="00E345B2" w:rsidRDefault="0035054F" w:rsidP="00CA3888">
      <w:pPr>
        <w:spacing w:after="160" w:line="360" w:lineRule="auto"/>
        <w:ind w:firstLine="567"/>
        <w:jc w:val="both"/>
      </w:pPr>
      <w:r w:rsidRPr="00E345B2">
        <w:t>«Էմուլսիաներ»՝ հեղուկ դեղաձ</w:t>
      </w:r>
      <w:r>
        <w:t>եւ</w:t>
      </w:r>
      <w:r w:rsidRPr="00E345B2">
        <w:t xml:space="preserve">, որը տարասեռ երկֆազ դիսպերս համակարգ է՝ հեղուկ դիսպերս ֆազով </w:t>
      </w:r>
      <w:r>
        <w:t>եւ</w:t>
      </w:r>
      <w:r w:rsidRPr="00E345B2">
        <w:t xml:space="preserve"> հեղուկ դիսպերս միջավայրով։</w:t>
      </w:r>
    </w:p>
    <w:p w14:paraId="1AC18080" w14:textId="77777777" w:rsidR="0035054F" w:rsidRPr="00E345B2" w:rsidRDefault="0035054F" w:rsidP="00CA3888">
      <w:pPr>
        <w:spacing w:after="160" w:line="360" w:lineRule="auto"/>
        <w:ind w:firstLine="567"/>
        <w:jc w:val="both"/>
      </w:pPr>
      <w:r w:rsidRPr="00E345B2">
        <w:t>1 մկմ-ից պակաս չափով դիսպերսված մասնիկներ պարունակող էմուլսիան միկրոտարասեռ դիսպերս համակարգ է։</w:t>
      </w:r>
    </w:p>
    <w:p w14:paraId="0C6B5E02" w14:textId="77777777" w:rsidR="0035054F" w:rsidRPr="00E345B2" w:rsidRDefault="0035054F" w:rsidP="00CA3888">
      <w:pPr>
        <w:spacing w:after="160" w:line="360" w:lineRule="auto"/>
        <w:ind w:firstLine="567"/>
        <w:jc w:val="both"/>
      </w:pPr>
      <w:r w:rsidRPr="00E345B2">
        <w:t>Տարբերակում են էմուլսիաների 2 հիմնական տիպ՝ «յուղ՝ ջրի մեջ» կամ «ջուր՝ յուղի մեջ»։</w:t>
      </w:r>
    </w:p>
    <w:p w14:paraId="0E022C5A" w14:textId="77777777" w:rsidR="0035054F" w:rsidRPr="00E345B2" w:rsidRDefault="0035054F" w:rsidP="00CA3888">
      <w:pPr>
        <w:spacing w:after="160" w:line="360" w:lineRule="auto"/>
        <w:ind w:firstLine="567"/>
        <w:jc w:val="both"/>
      </w:pPr>
      <w:r w:rsidRPr="00E345B2">
        <w:t xml:space="preserve">Ներմուծման ուղով </w:t>
      </w:r>
      <w:r>
        <w:t>եւ</w:t>
      </w:r>
      <w:r w:rsidRPr="00E345B2">
        <w:t xml:space="preserve"> կիրառման եղանակով պայմանավորված՝ տարբերակում են ներքին ընդունման, տեղային կիրառման, արտաքին կիրառման, հեշտոցային, ներարգանդային, ռեկտալ, ատամի, ստամոքսաղիքային ներմուծման, լսողական անցուղու լվացման, ինհալացիաների, պարէնտերալ կիրառության, աչքի կաթիլների ձ</w:t>
      </w:r>
      <w:r>
        <w:t>եւ</w:t>
      </w:r>
      <w:r w:rsidRPr="00E345B2">
        <w:t>ով կիրառման համար էմուլսիաներ, ինչպես նա</w:t>
      </w:r>
      <w:r>
        <w:t>եւ</w:t>
      </w:r>
      <w:r w:rsidRPr="00E345B2">
        <w:t xml:space="preserve"> ներցիստերնալ էմուլսիաներ, որոնք նախատեսված են միայն անասնաբուժական կիրառման համար։</w:t>
      </w:r>
    </w:p>
    <w:p w14:paraId="046C1FF6" w14:textId="77777777" w:rsidR="0035054F" w:rsidRPr="00E345B2" w:rsidRDefault="0035054F" w:rsidP="00CA3888">
      <w:pPr>
        <w:spacing w:after="160" w:line="360" w:lineRule="auto"/>
        <w:ind w:firstLine="567"/>
        <w:jc w:val="both"/>
      </w:pPr>
    </w:p>
    <w:p w14:paraId="4312DABD" w14:textId="77777777" w:rsidR="0035054F" w:rsidRPr="00CA3888" w:rsidRDefault="0035054F" w:rsidP="00CA3888">
      <w:pPr>
        <w:spacing w:after="160" w:line="360" w:lineRule="auto"/>
        <w:ind w:firstLine="567"/>
        <w:jc w:val="both"/>
        <w:rPr>
          <w:b/>
        </w:rPr>
      </w:pPr>
      <w:r w:rsidRPr="00CA3888">
        <w:rPr>
          <w:b/>
        </w:rPr>
        <w:t>ՏԵԽՆՈԼՈԳԻԱՅԻ ԱՌԱՆՁՆԱՀԱՏԿՈՒԹՅՈՒՆՆԵՐԸ</w:t>
      </w:r>
    </w:p>
    <w:p w14:paraId="455E4B3E" w14:textId="77777777" w:rsidR="0035054F" w:rsidRPr="00E345B2" w:rsidRDefault="0035054F" w:rsidP="00CA3888">
      <w:pPr>
        <w:spacing w:after="160" w:line="360" w:lineRule="auto"/>
        <w:ind w:firstLine="567"/>
        <w:jc w:val="both"/>
      </w:pPr>
      <w:r w:rsidRPr="00E345B2">
        <w:t xml:space="preserve">Էմուլսիաներն ստանում են էմուլսացնող հեղուկով </w:t>
      </w:r>
      <w:r>
        <w:t>եւ</w:t>
      </w:r>
      <w:r w:rsidRPr="00E345B2">
        <w:t xml:space="preserve"> դիսպերսային միջավայրով էմուլսարարի դիսպերսմամբ։</w:t>
      </w:r>
    </w:p>
    <w:p w14:paraId="4D796768" w14:textId="77777777" w:rsidR="0035054F" w:rsidRPr="00E345B2" w:rsidRDefault="0035054F" w:rsidP="00CA3888">
      <w:pPr>
        <w:spacing w:after="160" w:line="360" w:lineRule="auto"/>
        <w:ind w:firstLine="567"/>
        <w:jc w:val="both"/>
      </w:pPr>
      <w:r w:rsidRPr="00E345B2">
        <w:t xml:space="preserve">Էմուլսիաների ստացման դեպքում որպես յուղային ֆազ օգտագործում են բուսական </w:t>
      </w:r>
      <w:r>
        <w:t>եւ</w:t>
      </w:r>
      <w:r w:rsidRPr="00E345B2">
        <w:t xml:space="preserve"> կենդանական ծագման յուղեր, հանքային, եթերային յուղեր </w:t>
      </w:r>
      <w:r>
        <w:t>եւ</w:t>
      </w:r>
      <w:r w:rsidRPr="00E345B2">
        <w:t xml:space="preserve"> ջրի հետ չխառնվող այլ հեղուկներ։</w:t>
      </w:r>
    </w:p>
    <w:p w14:paraId="4580F179" w14:textId="77777777" w:rsidR="0035054F" w:rsidRPr="00B5542D" w:rsidRDefault="0035054F" w:rsidP="00CA3888">
      <w:pPr>
        <w:spacing w:after="160" w:line="360" w:lineRule="auto"/>
        <w:ind w:firstLine="567"/>
        <w:jc w:val="both"/>
      </w:pPr>
      <w:r w:rsidRPr="00E345B2">
        <w:t>Էմուլսարարներն էմուլսիաների բաղադրության մեջ ներառում են կայունություն ապահովելու համար։</w:t>
      </w:r>
    </w:p>
    <w:p w14:paraId="7EBC8FFC" w14:textId="77777777" w:rsidR="00CA3888" w:rsidRPr="00B5542D" w:rsidRDefault="00CA3888" w:rsidP="00CA3888">
      <w:pPr>
        <w:spacing w:after="160" w:line="360" w:lineRule="auto"/>
        <w:ind w:firstLine="567"/>
        <w:jc w:val="both"/>
      </w:pPr>
    </w:p>
    <w:p w14:paraId="22ECBF5E" w14:textId="77777777" w:rsidR="0035054F" w:rsidRPr="00E345B2" w:rsidRDefault="0035054F" w:rsidP="00CA3888">
      <w:pPr>
        <w:spacing w:after="160" w:line="360" w:lineRule="auto"/>
        <w:ind w:firstLine="567"/>
        <w:jc w:val="both"/>
      </w:pPr>
      <w:r w:rsidRPr="00E345B2">
        <w:lastRenderedPageBreak/>
        <w:t>Առաջացող էմուլսիայի տիպը որոշվում է էմուլսարարի հատկություններով (դրա հիդրոֆիլ-լիպոֆիլային բալանսով)։</w:t>
      </w:r>
    </w:p>
    <w:p w14:paraId="6F7646B2" w14:textId="77777777" w:rsidR="0035054F" w:rsidRPr="00E345B2" w:rsidRDefault="0035054F" w:rsidP="00CA3888">
      <w:pPr>
        <w:spacing w:after="160" w:line="360" w:lineRule="auto"/>
        <w:ind w:firstLine="567"/>
        <w:jc w:val="both"/>
      </w:pPr>
      <w:r w:rsidRPr="00E345B2">
        <w:t xml:space="preserve">Ըստ առաջացող էմուլսիաների տիպի՝ էմուլսարարները լինում են հիդրոֆիլ, որոնք առաջացնում են «յուղ՝ ջրի մեջ» տիպի էմուլսիաներ </w:t>
      </w:r>
      <w:r>
        <w:t>եւ</w:t>
      </w:r>
      <w:r w:rsidRPr="00E345B2">
        <w:t xml:space="preserve"> լիպոֆիլ, որոնք առաջացնում են «ջուր՝ յուղի մեջ» տիպի էմուլսիաներ։</w:t>
      </w:r>
    </w:p>
    <w:p w14:paraId="27831ACB" w14:textId="77777777" w:rsidR="0035054F" w:rsidRPr="00E345B2" w:rsidRDefault="0035054F" w:rsidP="00CA3888">
      <w:pPr>
        <w:spacing w:after="160" w:line="360" w:lineRule="auto"/>
        <w:ind w:firstLine="567"/>
        <w:jc w:val="both"/>
      </w:pPr>
      <w:r w:rsidRPr="00E345B2">
        <w:t xml:space="preserve">Էմուլսարարի ընտրությունը </w:t>
      </w:r>
      <w:r>
        <w:t>եւ</w:t>
      </w:r>
      <w:r w:rsidRPr="00E345B2">
        <w:t xml:space="preserve"> դրա քանակը պայմանավորված են էմուլսարարի </w:t>
      </w:r>
      <w:r>
        <w:t>եւ</w:t>
      </w:r>
      <w:r w:rsidRPr="00E345B2">
        <w:t xml:space="preserve"> յուղի բնույթով ու հատկություններով։</w:t>
      </w:r>
    </w:p>
    <w:p w14:paraId="6BA7A899" w14:textId="77777777" w:rsidR="0035054F" w:rsidRPr="00E345B2" w:rsidRDefault="0035054F" w:rsidP="00CA3888">
      <w:pPr>
        <w:spacing w:after="160" w:line="360" w:lineRule="auto"/>
        <w:ind w:firstLine="567"/>
        <w:jc w:val="both"/>
      </w:pPr>
      <w:r w:rsidRPr="00E345B2">
        <w:t xml:space="preserve">Ակտիվ դեղագործական բաղադրամասերը էմուլսիաների բաղադրության մեջ ներառում են՝ հաշվի առնելով դրանց ֆիզիկաքիմիական հատկությունները, լիպոֆիլ նյութերը լուծում են յուղերի մեջ, ջրալույծ նյութերը՝ ջրի, չլուծվող նյութերը դիսպերսում </w:t>
      </w:r>
      <w:r>
        <w:t>եւ</w:t>
      </w:r>
      <w:r w:rsidRPr="00E345B2">
        <w:t xml:space="preserve"> ներառում են էմուլսիայի հիմքի մեջ։</w:t>
      </w:r>
    </w:p>
    <w:p w14:paraId="19FBE108" w14:textId="77777777" w:rsidR="0035054F" w:rsidRPr="00E345B2" w:rsidRDefault="0035054F" w:rsidP="00CA3888">
      <w:pPr>
        <w:spacing w:after="160" w:line="360" w:lineRule="auto"/>
        <w:ind w:firstLine="567"/>
        <w:jc w:val="both"/>
      </w:pPr>
      <w:r w:rsidRPr="00E345B2">
        <w:t>Անհրաժեշտության դեպքում էմուլսիայի բաղադրության մեջ ներառում են հակամանրէային կոնսերվանտներ։</w:t>
      </w:r>
    </w:p>
    <w:p w14:paraId="6EF4B5A9" w14:textId="77777777" w:rsidR="0035054F" w:rsidRPr="00E345B2" w:rsidRDefault="0035054F" w:rsidP="00CA3888">
      <w:pPr>
        <w:spacing w:after="160" w:line="360" w:lineRule="auto"/>
        <w:ind w:firstLine="567"/>
        <w:jc w:val="both"/>
      </w:pPr>
      <w:r w:rsidRPr="00E345B2">
        <w:t>Էմուլսիաները կարող են թողարկվել կիրառման համար պատրաստ ձ</w:t>
      </w:r>
      <w:r>
        <w:t>եւ</w:t>
      </w:r>
      <w:r w:rsidRPr="00E345B2">
        <w:t>ով կամ կարող են պատրաստվել կիրառումից անմիջապես առաջ այն լիոֆիլիզատներից վերականգնված դեղաձ</w:t>
      </w:r>
      <w:r>
        <w:t>եւ</w:t>
      </w:r>
      <w:r w:rsidRPr="00E345B2">
        <w:t>ի տեսքով, որոնք նախատեսված են համապատասխան լուծիչի մեջ դիսպերսման եղանակով էմուլսիա ստանալու համար։</w:t>
      </w:r>
    </w:p>
    <w:p w14:paraId="3CEA18B8" w14:textId="77777777" w:rsidR="0035054F" w:rsidRPr="00E345B2" w:rsidRDefault="0035054F" w:rsidP="00CA3888">
      <w:pPr>
        <w:spacing w:after="160" w:line="360" w:lineRule="auto"/>
        <w:ind w:firstLine="567"/>
        <w:jc w:val="both"/>
      </w:pPr>
      <w:r w:rsidRPr="00E345B2">
        <w:t>Էմուլսիաներ նա</w:t>
      </w:r>
      <w:r>
        <w:t>եւ</w:t>
      </w:r>
      <w:r w:rsidRPr="00E345B2">
        <w:t xml:space="preserve"> կարելի է ստանալ նոսրացված</w:t>
      </w:r>
      <w:r>
        <w:t xml:space="preserve"> </w:t>
      </w:r>
      <w:r w:rsidRPr="00E345B2">
        <w:t>դեղաձ</w:t>
      </w:r>
      <w:r>
        <w:t>եւ</w:t>
      </w:r>
      <w:r w:rsidRPr="00E345B2">
        <w:t>ի տեսքով այնպիսի կոնցենտրատներից, որոնք նախատեսված են էմուլսիա ստանալու համար՝ համապատասխան լուծիչի մեջ դրանք մինչ</w:t>
      </w:r>
      <w:r>
        <w:t>եւ</w:t>
      </w:r>
      <w:r w:rsidRPr="00E345B2">
        <w:t xml:space="preserve"> պահանջվող կոնցենտրացիան նոսրացնելուց հետո։</w:t>
      </w:r>
    </w:p>
    <w:p w14:paraId="7BC31C4A" w14:textId="77777777" w:rsidR="0035054F" w:rsidRPr="00E345B2" w:rsidRDefault="0035054F" w:rsidP="00CA3888">
      <w:pPr>
        <w:spacing w:after="160" w:line="360" w:lineRule="auto"/>
        <w:ind w:firstLine="567"/>
        <w:jc w:val="both"/>
      </w:pPr>
      <w:r w:rsidRPr="00E345B2">
        <w:t>Էմուլսիաներ դեղաձ</w:t>
      </w:r>
      <w:r>
        <w:t>եւ</w:t>
      </w:r>
      <w:r w:rsidRPr="00E345B2">
        <w:t>ով դեղապատրաստուկների արտադրության ժամանակ սահմանված դեպքերում պետք է ձեռնարկվեն դրանց միկրոկենսաբանական մաքրությունն ապահովող միջոցներ, օրինակ՝ պարէնտերալ կիրառության համար նախատեսված էմուլսիաների, աչքի կաթիլների ձ</w:t>
      </w:r>
      <w:r>
        <w:t>եւ</w:t>
      </w:r>
      <w:r w:rsidRPr="00E345B2">
        <w:t xml:space="preserve">ով կիրառման համար նախատեսված էմուլսիաների </w:t>
      </w:r>
      <w:r>
        <w:t>եւ</w:t>
      </w:r>
      <w:r w:rsidRPr="00E345B2">
        <w:t xml:space="preserve"> այլ </w:t>
      </w:r>
      <w:r w:rsidRPr="00E345B2">
        <w:lastRenderedPageBreak/>
        <w:t>էմուլսիաների արտադրության դեպքում պետք է ձեռնարկվեն դրանց մանրէազերծությունն ապահովող միջոցներ։</w:t>
      </w:r>
    </w:p>
    <w:p w14:paraId="07212DBC" w14:textId="77777777" w:rsidR="0035054F" w:rsidRPr="00E345B2" w:rsidRDefault="0035054F" w:rsidP="00CA3888">
      <w:pPr>
        <w:spacing w:after="160" w:line="341" w:lineRule="auto"/>
      </w:pPr>
    </w:p>
    <w:p w14:paraId="1EE439AD" w14:textId="77777777" w:rsidR="0035054F" w:rsidRPr="00CA3888" w:rsidRDefault="0035054F" w:rsidP="00CA3888">
      <w:pPr>
        <w:spacing w:after="160" w:line="341" w:lineRule="auto"/>
        <w:ind w:firstLine="567"/>
        <w:jc w:val="both"/>
        <w:rPr>
          <w:b/>
        </w:rPr>
      </w:pPr>
      <w:r w:rsidRPr="00CA3888">
        <w:rPr>
          <w:b/>
        </w:rPr>
        <w:t>ՓՈՐՁԱՐԿՈՒՄՆԵՐԸ</w:t>
      </w:r>
    </w:p>
    <w:p w14:paraId="3485540D" w14:textId="77777777" w:rsidR="0035054F" w:rsidRPr="00E345B2" w:rsidRDefault="0035054F" w:rsidP="00CA3888">
      <w:pPr>
        <w:spacing w:after="160" w:line="341" w:lineRule="auto"/>
        <w:ind w:firstLine="567"/>
        <w:jc w:val="both"/>
      </w:pPr>
      <w:r w:rsidRPr="00E345B2">
        <w:t>Էմուլսիաները պետք է համապատասխանեն «</w:t>
      </w:r>
      <w:r w:rsidRPr="00CA3888">
        <w:rPr>
          <w:i/>
        </w:rPr>
        <w:t>2.5.1.1. Դեղաձեւերը»</w:t>
      </w:r>
      <w:r w:rsidRPr="00E345B2">
        <w:t xml:space="preserve"> ընդհանուր դեղագրքային հոդվածին </w:t>
      </w:r>
      <w:r>
        <w:t>եւ</w:t>
      </w:r>
      <w:r w:rsidRPr="00E345B2">
        <w:t xml:space="preserve"> անցնեն տվյալ դեղաձ</w:t>
      </w:r>
      <w:r>
        <w:t>եւ</w:t>
      </w:r>
      <w:r w:rsidRPr="00E345B2">
        <w:t>ին բնորոշ հաջորդող փորձարկումները։</w:t>
      </w:r>
    </w:p>
    <w:p w14:paraId="79F64505" w14:textId="77777777" w:rsidR="0035054F" w:rsidRPr="00E345B2" w:rsidRDefault="0035054F" w:rsidP="00CA3888">
      <w:pPr>
        <w:spacing w:after="160" w:line="341" w:lineRule="auto"/>
        <w:ind w:firstLine="567"/>
        <w:jc w:val="both"/>
      </w:pPr>
      <w:r w:rsidRPr="00E345B2">
        <w:t xml:space="preserve">Պարէնտերալ կիրառության համար նախատեսված </w:t>
      </w:r>
      <w:r w:rsidRPr="00E345B2">
        <w:rPr>
          <w:i/>
        </w:rPr>
        <w:t>Էմուլսիա</w:t>
      </w:r>
      <w:r w:rsidRPr="00E345B2">
        <w:t xml:space="preserve"> դեղաձ</w:t>
      </w:r>
      <w:r>
        <w:t>եւ</w:t>
      </w:r>
      <w:r w:rsidRPr="00E345B2">
        <w:t xml:space="preserve">ով թողարկվող դեղապատրաստուկները պետք է համապատասխանեն </w:t>
      </w:r>
      <w:r w:rsidRPr="00CA3888">
        <w:rPr>
          <w:i/>
        </w:rPr>
        <w:t>«2.5.2.3. Պարէնտերալ կիրառության համար նախատեսված դեղապատրաստուկները»</w:t>
      </w:r>
      <w:r w:rsidRPr="00E345B2">
        <w:t xml:space="preserve"> ընդհանուր դեղագրքային հոդվածին։</w:t>
      </w:r>
    </w:p>
    <w:p w14:paraId="77C2C9E6" w14:textId="77777777" w:rsidR="0035054F" w:rsidRPr="00E345B2" w:rsidRDefault="0035054F" w:rsidP="00CA3888">
      <w:pPr>
        <w:spacing w:after="160" w:line="341" w:lineRule="auto"/>
        <w:ind w:firstLine="567"/>
        <w:jc w:val="both"/>
      </w:pPr>
      <w:r w:rsidRPr="00E345B2">
        <w:t>Էմուլսիա հանդիսացող՝ Աչքի կաթիլներ դեղաձ</w:t>
      </w:r>
      <w:r>
        <w:t>եւ</w:t>
      </w:r>
      <w:r w:rsidRPr="00E345B2">
        <w:t>ով թողարկվող դեղապատրաստուկները պետք է համապատասխանեն «</w:t>
      </w:r>
      <w:r w:rsidRPr="00CA3888">
        <w:rPr>
          <w:i/>
        </w:rPr>
        <w:t>2.5.3.3. Ակնաբուժական կիրառության համար նախատեսված դեղապատրաստուկները» ը</w:t>
      </w:r>
      <w:r w:rsidRPr="00E345B2">
        <w:t>նդհանուր դեղագրքային հոդվածին։</w:t>
      </w:r>
    </w:p>
    <w:p w14:paraId="06C86AC7" w14:textId="77777777" w:rsidR="0035054F" w:rsidRPr="00E345B2" w:rsidRDefault="0035054F" w:rsidP="00CA3888">
      <w:pPr>
        <w:spacing w:after="160" w:line="341" w:lineRule="auto"/>
        <w:ind w:firstLine="567"/>
        <w:jc w:val="both"/>
      </w:pPr>
      <w:r w:rsidRPr="00E345B2">
        <w:t xml:space="preserve">Ինհալացիոն կիրառության համար նախատեսված </w:t>
      </w:r>
      <w:r w:rsidRPr="00E345B2">
        <w:rPr>
          <w:i/>
        </w:rPr>
        <w:t>Էմուլսիա</w:t>
      </w:r>
      <w:r w:rsidRPr="00E345B2">
        <w:t xml:space="preserve"> դեղաձ</w:t>
      </w:r>
      <w:r>
        <w:t>եւ</w:t>
      </w:r>
      <w:r w:rsidRPr="00E345B2">
        <w:t xml:space="preserve">ով թողարկվող դեղապատրաստուկները պետք է համապատասխանեն </w:t>
      </w:r>
      <w:r w:rsidRPr="00CA3888">
        <w:rPr>
          <w:i/>
        </w:rPr>
        <w:t>«2.5.3.2. Ինհալացիոն կիրառության համար նախատեսված դեղապատրաստուկները»</w:t>
      </w:r>
      <w:r w:rsidRPr="00E345B2">
        <w:t xml:space="preserve"> ընդհանուր դեղագրքային հոդվածին։</w:t>
      </w:r>
    </w:p>
    <w:p w14:paraId="51B50F43" w14:textId="77777777" w:rsidR="0035054F" w:rsidRPr="00E345B2" w:rsidRDefault="0035054F" w:rsidP="00CA3888">
      <w:pPr>
        <w:spacing w:after="160" w:line="341" w:lineRule="auto"/>
        <w:ind w:firstLine="567"/>
        <w:jc w:val="both"/>
      </w:pPr>
      <w:r w:rsidRPr="00E345B2">
        <w:t>Էմուլսիաների պատրաստման համար նախատեսված՝ լիոֆիլիզատներ, կոնցենտրատներ հանդիսացող դեղաձ</w:t>
      </w:r>
      <w:r>
        <w:t>եւ</w:t>
      </w:r>
      <w:r w:rsidRPr="00E345B2">
        <w:t xml:space="preserve">երը պետք է համապատասխանեն </w:t>
      </w:r>
      <w:r w:rsidRPr="00CA3888">
        <w:rPr>
          <w:i/>
        </w:rPr>
        <w:t>«2.5.1.14. Լիոֆիլիզատները», «2.5.1.12. Կոնցենտրատները»</w:t>
      </w:r>
      <w:r w:rsidRPr="00E345B2">
        <w:t xml:space="preserve"> ընդհանուր դեղագրքային հոդվածներին։</w:t>
      </w:r>
    </w:p>
    <w:p w14:paraId="2A17554F" w14:textId="77777777" w:rsidR="0035054F" w:rsidRPr="00E345B2" w:rsidRDefault="0035054F" w:rsidP="00CA3888">
      <w:pPr>
        <w:spacing w:after="160" w:line="360" w:lineRule="auto"/>
        <w:ind w:firstLine="567"/>
        <w:jc w:val="both"/>
      </w:pPr>
      <w:r w:rsidRPr="00CA3888">
        <w:rPr>
          <w:b/>
        </w:rPr>
        <w:t>Նկարագրությունը</w:t>
      </w:r>
      <w:r w:rsidRPr="00E345B2">
        <w:t xml:space="preserve">. Էմուլսիաները բնութագրում են՝ նշելով արտաքին տեսքը, զգայորոշման (գույն, հոտ) </w:t>
      </w:r>
      <w:r>
        <w:t>եւ</w:t>
      </w:r>
      <w:r w:rsidRPr="00E345B2">
        <w:t xml:space="preserve"> մյուս հատկությունները՝ մասնավոր դեղագրքային հոդվածի </w:t>
      </w:r>
      <w:r>
        <w:t>եւ</w:t>
      </w:r>
      <w:r w:rsidRPr="00E345B2">
        <w:t xml:space="preserve"> (կամ) որակի վերաբերյալ նորմատիվ փաստաթղթի պահանջներին համապատասխան։ Էմուլսիան պետք է լինի միատարր հեղուկ, որի մեջ կարող է դիտվել թափահարելուց հետո անհետացող շերտավորում։</w:t>
      </w:r>
    </w:p>
    <w:p w14:paraId="5C30749D" w14:textId="77777777" w:rsidR="0035054F" w:rsidRPr="00E345B2" w:rsidRDefault="0035054F" w:rsidP="00CA3888">
      <w:pPr>
        <w:spacing w:after="160" w:line="360" w:lineRule="auto"/>
        <w:ind w:firstLine="567"/>
        <w:jc w:val="both"/>
      </w:pPr>
      <w:r w:rsidRPr="00CA3888">
        <w:rPr>
          <w:b/>
        </w:rPr>
        <w:lastRenderedPageBreak/>
        <w:t>pH-ը.</w:t>
      </w:r>
      <w:r w:rsidRPr="00E345B2">
        <w:t xml:space="preserve"> Փորձարկումն անցկացնում են պոտենցաչափական մեթոդով՝ </w:t>
      </w:r>
      <w:r w:rsidRPr="00CA3888">
        <w:rPr>
          <w:i/>
        </w:rPr>
        <w:t xml:space="preserve">«2.1.2.3. pH-ի պոտենցաչափական որոշումը» </w:t>
      </w:r>
      <w:r w:rsidRPr="00E345B2">
        <w:t xml:space="preserve">ընդհանուր դեղագրքային հոդվածին համապատասխան։ pH-ի արժեքը նշվում է մասնավոր դեղագրքային հոդվածում </w:t>
      </w:r>
      <w:r>
        <w:t>եւ</w:t>
      </w:r>
      <w:r w:rsidRPr="00E345B2">
        <w:t xml:space="preserve"> (կամ) որակի վերաբերյալ նորմատիվ փաստաթղթում։</w:t>
      </w:r>
    </w:p>
    <w:p w14:paraId="49F69EB9" w14:textId="77777777" w:rsidR="0035054F" w:rsidRPr="00E345B2" w:rsidRDefault="0035054F" w:rsidP="00CA3888">
      <w:pPr>
        <w:spacing w:after="160" w:line="360" w:lineRule="auto"/>
        <w:ind w:firstLine="567"/>
        <w:jc w:val="both"/>
      </w:pPr>
      <w:r w:rsidRPr="00CA3888">
        <w:rPr>
          <w:b/>
        </w:rPr>
        <w:t>Մածուցիկությունը.</w:t>
      </w:r>
      <w:r w:rsidRPr="00E345B2">
        <w:t xml:space="preserve"> Փորձարկումն անցկացնում են, եթե նշված է մասնավոր դեղագրքային հոդվածում </w:t>
      </w:r>
      <w:r>
        <w:t>եւ</w:t>
      </w:r>
      <w:r w:rsidRPr="00E345B2">
        <w:t xml:space="preserve"> (կամ) որակի վերաբերյալ նորմատիվ փաստաթղթում՝ </w:t>
      </w:r>
      <w:r w:rsidRPr="00CA3888">
        <w:rPr>
          <w:i/>
        </w:rPr>
        <w:t>«2.1.2.8. Մածուցիկությունը»</w:t>
      </w:r>
      <w:r w:rsidRPr="00E345B2">
        <w:t xml:space="preserve"> ընդհանուր դեղագրքային հոդվածին համապատասխան։ Պահանջները նշվում են մասնավոր դեղագրքային հոդվածում </w:t>
      </w:r>
      <w:r>
        <w:t>եւ</w:t>
      </w:r>
      <w:r w:rsidRPr="00E345B2">
        <w:t xml:space="preserve"> (կամ) որակի վերաբերյալ նորմատիվ փաստաթղթում։</w:t>
      </w:r>
    </w:p>
    <w:p w14:paraId="15340A6F" w14:textId="77777777" w:rsidR="0035054F" w:rsidRPr="00E345B2" w:rsidRDefault="0035054F" w:rsidP="00CA3888">
      <w:pPr>
        <w:spacing w:after="160" w:line="360" w:lineRule="auto"/>
        <w:ind w:firstLine="567"/>
        <w:jc w:val="both"/>
      </w:pPr>
      <w:r w:rsidRPr="00CA3888">
        <w:rPr>
          <w:b/>
        </w:rPr>
        <w:t>Խտությունը</w:t>
      </w:r>
      <w:r w:rsidRPr="00E345B2">
        <w:t xml:space="preserve"> կամ </w:t>
      </w:r>
      <w:r w:rsidRPr="00CA3888">
        <w:rPr>
          <w:b/>
        </w:rPr>
        <w:t>Հարաբերական խտությունը</w:t>
      </w:r>
      <w:r w:rsidRPr="00E345B2">
        <w:t xml:space="preserve">. Փորձարկումն անցկացնում են, եթե նշված է մասնավոր դեղագրքային հոդվածում </w:t>
      </w:r>
      <w:r>
        <w:t>եւ</w:t>
      </w:r>
      <w:r w:rsidRPr="00E345B2">
        <w:t xml:space="preserve"> (կամ) որակի վերաբերյալ </w:t>
      </w:r>
      <w:r w:rsidRPr="00CA3888">
        <w:rPr>
          <w:spacing w:val="-4"/>
        </w:rPr>
        <w:t xml:space="preserve">նորմատիվ փաստաթղթում, </w:t>
      </w:r>
      <w:r w:rsidRPr="00CA3888">
        <w:rPr>
          <w:i/>
          <w:spacing w:val="-4"/>
        </w:rPr>
        <w:t>«2.1.2.5. Հարաբերական խտությունը»</w:t>
      </w:r>
      <w:r w:rsidRPr="00CA3888">
        <w:rPr>
          <w:spacing w:val="-4"/>
        </w:rPr>
        <w:t xml:space="preserve"> ընդհանուր դեղագրքային հոդվածում նկարագրված մեթոդներից մեկով։ Պահանջները նշվում են մասնավոր դեղագրքային հոդվածում եւ (կամ) որակի վերաբերյալ նորմատիվ փաստաթղթում</w:t>
      </w:r>
      <w:r w:rsidRPr="00E345B2">
        <w:t>։</w:t>
      </w:r>
    </w:p>
    <w:p w14:paraId="0880F508" w14:textId="77777777" w:rsidR="0035054F" w:rsidRPr="00E345B2" w:rsidRDefault="0035054F" w:rsidP="00CA3888">
      <w:pPr>
        <w:spacing w:after="160" w:line="360" w:lineRule="auto"/>
        <w:ind w:firstLine="567"/>
        <w:jc w:val="both"/>
      </w:pPr>
      <w:r w:rsidRPr="00CA3888">
        <w:rPr>
          <w:b/>
          <w:spacing w:val="-4"/>
        </w:rPr>
        <w:t>Մասնիկների չափը</w:t>
      </w:r>
      <w:r w:rsidRPr="00CA3888">
        <w:rPr>
          <w:spacing w:val="-4"/>
        </w:rPr>
        <w:t>. Այլ հիմնավորման բացակայության դեպքում, եթե նշված է մասնավոր դեղագրքային հոդվածում եւ (կամ) որակի վերաբերյալ նորմատիվ փաստաթղթում</w:t>
      </w:r>
      <w:r w:rsidRPr="00E345B2">
        <w:t xml:space="preserve">, փորձարկումն անցկացնում են </w:t>
      </w:r>
      <w:r w:rsidRPr="000B1C22">
        <w:rPr>
          <w:i/>
        </w:rPr>
        <w:t>«2.1.9.25. Կախույթներում, էմուլսիաներում, փափուկ դեղաձեւերում մասնիկների չափի որոշումը»</w:t>
      </w:r>
      <w:r w:rsidRPr="00E345B2">
        <w:t xml:space="preserve"> ընդհանուր դեղագրքային հոդվածին համապատասխան։</w:t>
      </w:r>
    </w:p>
    <w:p w14:paraId="5644E9EE" w14:textId="77777777" w:rsidR="0035054F" w:rsidRPr="00E345B2" w:rsidRDefault="0035054F" w:rsidP="00CA3888">
      <w:pPr>
        <w:spacing w:after="160" w:line="360" w:lineRule="auto"/>
        <w:ind w:firstLine="567"/>
        <w:jc w:val="both"/>
      </w:pPr>
      <w:r w:rsidRPr="00CA3888">
        <w:rPr>
          <w:b/>
          <w:spacing w:val="-4"/>
        </w:rPr>
        <w:t>Դեղաչափված միավորների միատարրությունը</w:t>
      </w:r>
      <w:r w:rsidRPr="00CA3888">
        <w:rPr>
          <w:spacing w:val="-4"/>
        </w:rPr>
        <w:t>. Փորձարկումն անցկացնում են միադեղաչափ փաթեթվածքներով էմուլսիաների համար՝ բացառությամբ արտաքին</w:t>
      </w:r>
      <w:r w:rsidRPr="00E345B2">
        <w:t xml:space="preserve"> </w:t>
      </w:r>
      <w:r>
        <w:t>եւ</w:t>
      </w:r>
      <w:r w:rsidRPr="00E345B2">
        <w:t xml:space="preserve"> տեղային կիրառման համար նախատեսված էմուլսիաների</w:t>
      </w:r>
      <w:r w:rsidRPr="00CA3888">
        <w:rPr>
          <w:i/>
        </w:rPr>
        <w:t>՝ «2.1.9.14. Դեղաչափված միավորների միատարրությունը»</w:t>
      </w:r>
      <w:r w:rsidRPr="00E345B2">
        <w:t xml:space="preserve"> ընդհանուր դեղագրքային հոդվածին համապատասխան։</w:t>
      </w:r>
    </w:p>
    <w:p w14:paraId="2CCF27E1" w14:textId="77777777" w:rsidR="0035054F" w:rsidRPr="00E345B2" w:rsidRDefault="0035054F" w:rsidP="00CA3888">
      <w:pPr>
        <w:spacing w:after="160" w:line="360" w:lineRule="auto"/>
        <w:ind w:firstLine="567"/>
        <w:jc w:val="both"/>
      </w:pPr>
      <w:r w:rsidRPr="00CA3888">
        <w:rPr>
          <w:b/>
        </w:rPr>
        <w:t>Դեղաչափերի զանգվածի միատարրությունը.</w:t>
      </w:r>
      <w:r w:rsidRPr="00E345B2">
        <w:t xml:space="preserve"> Փորձարկումն անցկացնում են բազմադեղաչափ փաթեթվածքներով, ներքին ընդունման համար նախատեսված էմուլսիաների համար՝ </w:t>
      </w:r>
      <w:r w:rsidRPr="000B1C22">
        <w:rPr>
          <w:i/>
        </w:rPr>
        <w:t xml:space="preserve">«2.1.9.12. Բազմադեղաչափ փաթեթվածքից չափված </w:t>
      </w:r>
      <w:r w:rsidRPr="000B1C22">
        <w:rPr>
          <w:i/>
        </w:rPr>
        <w:lastRenderedPageBreak/>
        <w:t>դեղաչափերի զանգվածի միատարրությունը»</w:t>
      </w:r>
      <w:r w:rsidRPr="00E345B2">
        <w:t xml:space="preserve"> ընդհանուր դեղագրքային հոդվածին համապատասխան։</w:t>
      </w:r>
    </w:p>
    <w:p w14:paraId="2239A31B" w14:textId="77777777" w:rsidR="0035054F" w:rsidRPr="00E345B2" w:rsidRDefault="0035054F" w:rsidP="00CA3888">
      <w:pPr>
        <w:spacing w:after="160" w:line="360" w:lineRule="auto"/>
        <w:ind w:firstLine="567"/>
        <w:jc w:val="both"/>
      </w:pPr>
      <w:r w:rsidRPr="00CA3888">
        <w:rPr>
          <w:b/>
        </w:rPr>
        <w:t>Արտազատվող ծավալը.</w:t>
      </w:r>
      <w:r w:rsidRPr="00E345B2">
        <w:t xml:space="preserve"> Փորձարկումն անցկացնում են ներքին ընդունման համար նախատեսված էմուլսիաների համար՝ </w:t>
      </w:r>
      <w:r w:rsidRPr="00CA3888">
        <w:rPr>
          <w:i/>
        </w:rPr>
        <w:t>«2.1.9.16. Արտազատվող ծավալը՝ ներքին ընդունման հեղուկ դեղաձեւերի համար»</w:t>
      </w:r>
      <w:r w:rsidRPr="00E345B2">
        <w:t xml:space="preserve"> ընդհանուր դեղագրքային հոդվածին համապատասխան։</w:t>
      </w:r>
    </w:p>
    <w:p w14:paraId="1832F769" w14:textId="77777777" w:rsidR="0035054F" w:rsidRPr="00E345B2" w:rsidRDefault="0035054F" w:rsidP="00CA3888">
      <w:pPr>
        <w:spacing w:after="160" w:line="360" w:lineRule="auto"/>
        <w:ind w:firstLine="567"/>
        <w:jc w:val="both"/>
      </w:pPr>
      <w:r w:rsidRPr="00E345B2">
        <w:t xml:space="preserve">Փորձարկումը չեն կիրառում միադեղաչափ փաթեթվածքներով էմուլսիաների համար, եթե փորձարկումն անցկացնում են՝ ըստ </w:t>
      </w:r>
      <w:r w:rsidRPr="00E345B2">
        <w:rPr>
          <w:i/>
        </w:rPr>
        <w:t>Դեղաչափված միավորների միատարրություն</w:t>
      </w:r>
      <w:r w:rsidRPr="00E345B2">
        <w:t xml:space="preserve"> ցուցանիշի։</w:t>
      </w:r>
    </w:p>
    <w:p w14:paraId="764A3E40" w14:textId="77777777" w:rsidR="0035054F" w:rsidRPr="00E345B2" w:rsidRDefault="0035054F" w:rsidP="00CA3888">
      <w:pPr>
        <w:spacing w:after="160" w:line="360" w:lineRule="auto"/>
        <w:ind w:firstLine="567"/>
        <w:jc w:val="both"/>
      </w:pPr>
      <w:r w:rsidRPr="00CA3888">
        <w:rPr>
          <w:i/>
        </w:rPr>
        <w:t xml:space="preserve">Փաթեթվածքի պարունակության զանգվածը (ծավալը). </w:t>
      </w:r>
      <w:r w:rsidRPr="00E345B2">
        <w:t>Փորձարկումն անցկացնում են բոլոր էմուլսիաների համար՝ բացառությամբ ներքին ընդունման համար նախատեսված էմուլսիաների՝ «</w:t>
      </w:r>
      <w:r w:rsidRPr="00CA3888">
        <w:rPr>
          <w:i/>
        </w:rPr>
        <w:t>2.1.9.17. Փաթեթվածքի պարունակության զանգվածը (ծավալը)»</w:t>
      </w:r>
      <w:r w:rsidRPr="00E345B2">
        <w:t xml:space="preserve"> ընդհանուր դեղագրքային հոդվածին համապատասխան։</w:t>
      </w:r>
    </w:p>
    <w:p w14:paraId="1943058E" w14:textId="77777777" w:rsidR="0035054F" w:rsidRPr="00E345B2" w:rsidRDefault="0035054F" w:rsidP="00CA3888">
      <w:pPr>
        <w:spacing w:after="160" w:line="360" w:lineRule="auto"/>
        <w:ind w:firstLine="567"/>
        <w:jc w:val="both"/>
      </w:pPr>
    </w:p>
    <w:p w14:paraId="3B38C611" w14:textId="77777777" w:rsidR="0035054F" w:rsidRPr="00B5542D" w:rsidRDefault="0035054F" w:rsidP="00CA3888">
      <w:pPr>
        <w:spacing w:after="160" w:line="360" w:lineRule="auto"/>
        <w:ind w:firstLine="567"/>
        <w:jc w:val="right"/>
        <w:rPr>
          <w:b/>
          <w:sz w:val="20"/>
        </w:rPr>
      </w:pPr>
      <w:r w:rsidRPr="00CA3888">
        <w:rPr>
          <w:b/>
          <w:sz w:val="20"/>
        </w:rPr>
        <w:t>205010040-2022</w:t>
      </w:r>
    </w:p>
    <w:p w14:paraId="0C135DD5" w14:textId="77777777" w:rsidR="00CA3888" w:rsidRPr="00B5542D" w:rsidRDefault="00CA3888" w:rsidP="00CA3888">
      <w:pPr>
        <w:spacing w:after="160" w:line="360" w:lineRule="auto"/>
        <w:ind w:firstLine="567"/>
        <w:jc w:val="right"/>
        <w:rPr>
          <w:b/>
          <w:sz w:val="20"/>
        </w:rPr>
      </w:pPr>
    </w:p>
    <w:p w14:paraId="5E037E2F" w14:textId="77777777" w:rsidR="0035054F" w:rsidRPr="00CA3888" w:rsidRDefault="0035054F" w:rsidP="00CA3888">
      <w:pPr>
        <w:tabs>
          <w:tab w:val="left" w:pos="1701"/>
        </w:tabs>
        <w:spacing w:after="160" w:line="360" w:lineRule="auto"/>
        <w:ind w:firstLine="567"/>
        <w:jc w:val="both"/>
        <w:rPr>
          <w:b/>
        </w:rPr>
      </w:pPr>
      <w:r w:rsidRPr="00CA3888">
        <w:rPr>
          <w:b/>
        </w:rPr>
        <w:t>2.5.1.40.</w:t>
      </w:r>
      <w:r w:rsidR="00CA3888" w:rsidRPr="00B5542D">
        <w:rPr>
          <w:b/>
        </w:rPr>
        <w:tab/>
      </w:r>
      <w:r w:rsidRPr="00CA3888">
        <w:rPr>
          <w:b/>
        </w:rPr>
        <w:t>Փափուկ դեղաձեւերը</w:t>
      </w:r>
    </w:p>
    <w:p w14:paraId="470CA7B1" w14:textId="77777777" w:rsidR="0035054F" w:rsidRPr="00E345B2" w:rsidRDefault="0035054F" w:rsidP="00CA3888">
      <w:pPr>
        <w:spacing w:after="160" w:line="360" w:lineRule="auto"/>
        <w:ind w:firstLine="567"/>
        <w:jc w:val="both"/>
      </w:pPr>
      <w:r w:rsidRPr="00E345B2">
        <w:t>Սույն ընդհանուր դեղագրքային հոդվածը տարածվում է դոնդողներ, նրբաքսուքներ, հեղուկաքսուքներ, քսուքներ, մածուկներ հանդիսացող փափուկ դեղաձ</w:t>
      </w:r>
      <w:r>
        <w:t>եւ</w:t>
      </w:r>
      <w:r w:rsidRPr="00E345B2">
        <w:t>երի վրա։</w:t>
      </w:r>
    </w:p>
    <w:p w14:paraId="4B8A0A3E" w14:textId="77777777" w:rsidR="0035054F" w:rsidRPr="00E345B2" w:rsidRDefault="0035054F" w:rsidP="00CA3888">
      <w:pPr>
        <w:spacing w:after="160" w:line="360" w:lineRule="auto"/>
        <w:ind w:firstLine="567"/>
        <w:jc w:val="both"/>
      </w:pPr>
      <w:r w:rsidRPr="00CA3888">
        <w:rPr>
          <w:i/>
        </w:rPr>
        <w:t>Դոնդողներ՝</w:t>
      </w:r>
      <w:r w:rsidRPr="00E345B2">
        <w:t xml:space="preserve"> կոլոիդային դիսպերսիայի տեսքով փափուկ դեղաձ</w:t>
      </w:r>
      <w:r>
        <w:t>եւ</w:t>
      </w:r>
      <w:r w:rsidRPr="00E345B2">
        <w:t>, որն ստացվել է հատուկ նյութերի օգտագործմամբ դոնդողագոյացման միջոցով։</w:t>
      </w:r>
    </w:p>
    <w:p w14:paraId="09B7B74E" w14:textId="77777777" w:rsidR="0035054F" w:rsidRPr="00B5542D" w:rsidRDefault="0035054F" w:rsidP="00CA3888">
      <w:pPr>
        <w:spacing w:after="160" w:line="360" w:lineRule="auto"/>
        <w:ind w:firstLine="567"/>
        <w:jc w:val="both"/>
      </w:pPr>
      <w:r w:rsidRPr="00CA3888">
        <w:rPr>
          <w:i/>
        </w:rPr>
        <w:t>Նրբաքսուքներ՝</w:t>
      </w:r>
      <w:r w:rsidRPr="00E345B2">
        <w:t xml:space="preserve"> փափուկ դեղաձ</w:t>
      </w:r>
      <w:r>
        <w:t>եւ</w:t>
      </w:r>
      <w:r w:rsidRPr="00E345B2">
        <w:t xml:space="preserve">՝ բազմաֆազ համակարգի տեսքով, որը բաղկացած է «ջուր/յուղ» տիպի լիպոֆիլ </w:t>
      </w:r>
      <w:r>
        <w:t>եւ</w:t>
      </w:r>
      <w:r w:rsidRPr="00E345B2">
        <w:t xml:space="preserve"> «յուղ/ջուր» տիպի հիդրոֆիլ ֆազերից կամ բազմակի էմուլսիայից։</w:t>
      </w:r>
    </w:p>
    <w:p w14:paraId="67FFE973" w14:textId="77777777" w:rsidR="00CA3888" w:rsidRPr="00B5542D" w:rsidRDefault="00CA3888" w:rsidP="00CA3888">
      <w:pPr>
        <w:spacing w:after="160" w:line="360" w:lineRule="auto"/>
        <w:ind w:firstLine="567"/>
        <w:jc w:val="both"/>
      </w:pPr>
    </w:p>
    <w:p w14:paraId="5FABD0DE" w14:textId="77777777" w:rsidR="0035054F" w:rsidRPr="00E345B2" w:rsidRDefault="0035054F" w:rsidP="00CA3888">
      <w:pPr>
        <w:spacing w:after="160" w:line="360" w:lineRule="auto"/>
        <w:ind w:firstLine="567"/>
        <w:jc w:val="both"/>
      </w:pPr>
      <w:r w:rsidRPr="00CA3888">
        <w:rPr>
          <w:i/>
        </w:rPr>
        <w:lastRenderedPageBreak/>
        <w:t>Հեղուկաքսուքներ՝</w:t>
      </w:r>
      <w:r w:rsidRPr="00E345B2">
        <w:t xml:space="preserve"> տեղային կիրառման համար փափուկ դեղաձ</w:t>
      </w:r>
      <w:r>
        <w:t>եւ</w:t>
      </w:r>
      <w:r w:rsidRPr="00E345B2">
        <w:t>, որը մարմնի ջերմաստիճանի պայմաններում հոսունության հատկություն ունի։</w:t>
      </w:r>
    </w:p>
    <w:p w14:paraId="5D78CAA9" w14:textId="77777777" w:rsidR="0035054F" w:rsidRPr="00E345B2" w:rsidRDefault="0035054F" w:rsidP="00CA3888">
      <w:pPr>
        <w:spacing w:after="160" w:line="360" w:lineRule="auto"/>
        <w:ind w:firstLine="567"/>
        <w:jc w:val="both"/>
      </w:pPr>
      <w:r w:rsidRPr="00CA3888">
        <w:rPr>
          <w:i/>
        </w:rPr>
        <w:t>Քսուքներ՝</w:t>
      </w:r>
      <w:r w:rsidRPr="00E345B2">
        <w:t xml:space="preserve"> փափուկ դեղաձ</w:t>
      </w:r>
      <w:r>
        <w:t>եւ</w:t>
      </w:r>
      <w:r w:rsidRPr="00E345B2">
        <w:t>՝ բաղկացած միաֆազ հիմքից, որում լուծված կամ դիսպերսված են պինդ կամ հեղուկ ազդող նյութեր։</w:t>
      </w:r>
    </w:p>
    <w:p w14:paraId="7E039274" w14:textId="77777777" w:rsidR="0035054F" w:rsidRPr="00E345B2" w:rsidRDefault="0035054F" w:rsidP="00CA3888">
      <w:pPr>
        <w:spacing w:after="160" w:line="360" w:lineRule="auto"/>
        <w:ind w:firstLine="567"/>
        <w:jc w:val="both"/>
      </w:pPr>
      <w:r w:rsidRPr="00CA3888">
        <w:rPr>
          <w:i/>
        </w:rPr>
        <w:t>Մածուկներ՝</w:t>
      </w:r>
      <w:r w:rsidRPr="00E345B2">
        <w:t xml:space="preserve"> փափուկ դեղաձ</w:t>
      </w:r>
      <w:r>
        <w:t>եւ</w:t>
      </w:r>
      <w:r w:rsidRPr="00E345B2">
        <w:t>, որը պարունակում է զգալի քանակությամբ (25 %-ից ավելի) լավ մանրացված պինդ նյութեր։</w:t>
      </w:r>
    </w:p>
    <w:p w14:paraId="6A165CE8" w14:textId="77777777" w:rsidR="0035054F" w:rsidRPr="00E345B2" w:rsidRDefault="0035054F" w:rsidP="00CA3888">
      <w:pPr>
        <w:spacing w:after="160" w:line="360" w:lineRule="auto"/>
        <w:ind w:firstLine="567"/>
        <w:jc w:val="both"/>
      </w:pPr>
      <w:r w:rsidRPr="00E345B2">
        <w:t>Փափուկ դեղաձ</w:t>
      </w:r>
      <w:r>
        <w:t>եւ</w:t>
      </w:r>
      <w:r w:rsidRPr="00E345B2">
        <w:t xml:space="preserve">երը, ներմուծման ուղիով </w:t>
      </w:r>
      <w:r>
        <w:t>եւ</w:t>
      </w:r>
      <w:r w:rsidRPr="00E345B2">
        <w:t xml:space="preserve"> կիրառման եղանակով պայմանավորված, կարող են լինել արտաքին կիրառման համար, տեղային կիրառման համար, հեշտոցային, ռեկտալ, քթի, ականջի </w:t>
      </w:r>
      <w:r>
        <w:t>եւ</w:t>
      </w:r>
      <w:r w:rsidRPr="00E345B2">
        <w:t xml:space="preserve"> այլն։</w:t>
      </w:r>
    </w:p>
    <w:p w14:paraId="76F7185B" w14:textId="77777777" w:rsidR="0035054F" w:rsidRPr="00E345B2" w:rsidRDefault="0035054F" w:rsidP="00CA3888">
      <w:pPr>
        <w:spacing w:after="160" w:line="360" w:lineRule="auto"/>
        <w:ind w:firstLine="567"/>
        <w:jc w:val="both"/>
      </w:pPr>
      <w:r w:rsidRPr="00CA3888">
        <w:rPr>
          <w:spacing w:val="-4"/>
        </w:rPr>
        <w:t>Բերանի խոռոչում կիրառման համար նախատեսված փափուկ դեղաձեւերին են դասվում բերանի խոռոչի լորձաթաղանթին քսելու համար նախատեսված հիդրոֆիլ դոնդողները, քսուքները, նրբաքսուքները եւ մածուկները. հեղուկաքսուքները</w:t>
      </w:r>
      <w:r w:rsidRPr="00E345B2">
        <w:t xml:space="preserve"> </w:t>
      </w:r>
      <w:r>
        <w:t>եւ</w:t>
      </w:r>
      <w:r w:rsidRPr="00E345B2">
        <w:t xml:space="preserve"> պերիօդոնտալ դոնդողները. լնդերին քսելու համար նախատեսված դոնդողները </w:t>
      </w:r>
      <w:r>
        <w:t>եւ</w:t>
      </w:r>
      <w:r w:rsidRPr="00E345B2">
        <w:t xml:space="preserve"> մածուկները. ատամի </w:t>
      </w:r>
      <w:r>
        <w:t>եւ</w:t>
      </w:r>
      <w:r w:rsidRPr="00E345B2">
        <w:t xml:space="preserve"> ատամնաբուժական դոնդողները. դեղային ատամնաբուժական մածուկները։</w:t>
      </w:r>
    </w:p>
    <w:p w14:paraId="006E405E" w14:textId="77777777" w:rsidR="0035054F" w:rsidRPr="00E345B2" w:rsidRDefault="0035054F" w:rsidP="00CA3888">
      <w:pPr>
        <w:spacing w:after="160" w:line="360" w:lineRule="auto"/>
        <w:ind w:firstLine="567"/>
        <w:jc w:val="both"/>
      </w:pPr>
      <w:r w:rsidRPr="00E345B2">
        <w:t xml:space="preserve">Դոնդողները (որպես կանոն՝ հիդրոֆիլ) </w:t>
      </w:r>
      <w:r>
        <w:t>եւ</w:t>
      </w:r>
      <w:r w:rsidRPr="00E345B2">
        <w:t xml:space="preserve"> մածուկները կարող են լինել ներքին ընդունման համար, ինչպես նա</w:t>
      </w:r>
      <w:r>
        <w:t>եւ</w:t>
      </w:r>
      <w:r w:rsidRPr="00E345B2">
        <w:t xml:space="preserve"> կարող են օգտագործվել ներքին ընդունման կախույթների պատրաստման համար՝ դոնդողները կամ մածուկները համապատասխան լուծիչի մեջ դիսպերսման միջոցով։</w:t>
      </w:r>
    </w:p>
    <w:p w14:paraId="20A7F971" w14:textId="77777777" w:rsidR="0035054F" w:rsidRPr="00E345B2" w:rsidRDefault="0035054F" w:rsidP="00CA3888">
      <w:pPr>
        <w:spacing w:after="160" w:line="360" w:lineRule="auto"/>
        <w:ind w:firstLine="567"/>
        <w:jc w:val="both"/>
      </w:pPr>
      <w:r w:rsidRPr="00E345B2">
        <w:t>Տարբերակում են նա</w:t>
      </w:r>
      <w:r>
        <w:t>եւ</w:t>
      </w:r>
      <w:r w:rsidRPr="00E345B2">
        <w:t xml:space="preserve"> փափուկ դեղաձ</w:t>
      </w:r>
      <w:r>
        <w:t>եւ</w:t>
      </w:r>
      <w:r w:rsidRPr="00E345B2">
        <w:t xml:space="preserve">եր՝ համապատասխան ներդրուկների օգնությամբ մարմնի խոռոչներ ներմուծելու համար՝ էնդոցերվիկալ դոնդողներ կամ էնդոցերվիկալ հեղուկաքսուքներ՝ արգանդի վզիկի անցքի մեջ ներմուծելու համար, </w:t>
      </w:r>
      <w:r>
        <w:t>եւ</w:t>
      </w:r>
      <w:r w:rsidRPr="00E345B2">
        <w:t xml:space="preserve"> ուրետրալ դոնդողներ՝ միզածոր խողովակ ներմուծելու համար։</w:t>
      </w:r>
    </w:p>
    <w:p w14:paraId="67192CBB" w14:textId="77777777" w:rsidR="0035054F" w:rsidRPr="00E345B2" w:rsidRDefault="0035054F" w:rsidP="00CA3888">
      <w:pPr>
        <w:spacing w:after="160" w:line="360" w:lineRule="auto"/>
        <w:ind w:firstLine="567"/>
        <w:jc w:val="both"/>
      </w:pPr>
      <w:r w:rsidRPr="00E345B2">
        <w:t>Ինտեստինալ դոնդողներ՝ դոնդողներ, որոնք նախատեսված են համապատասխան սարքի օգնությամբ աղիք (տասներկումատնյա աղիք, բարակ աղիք, զստաղիք, հաստ աղիք) ներմուծելու համար։</w:t>
      </w:r>
    </w:p>
    <w:p w14:paraId="4BD5EE9E" w14:textId="77777777" w:rsidR="0035054F" w:rsidRPr="00E345B2" w:rsidRDefault="0035054F" w:rsidP="00CA3888">
      <w:pPr>
        <w:spacing w:after="160" w:line="360" w:lineRule="auto"/>
        <w:ind w:firstLine="567"/>
        <w:jc w:val="both"/>
      </w:pPr>
      <w:r w:rsidRPr="00E345B2">
        <w:lastRenderedPageBreak/>
        <w:t>Տրանսդերմալ դոնդողներ՝ դոնդողներ, որոնք նախատեսված են մաշկին քսելու համար՝ մաշկային պատնեշի միջով արյան հոսքի մեջ ակտիվ նյութերի ներթափանցման հաշվին համակարգային ազդեցություն գործելու նպատակով։</w:t>
      </w:r>
    </w:p>
    <w:p w14:paraId="692FFC1D" w14:textId="77777777" w:rsidR="0035054F" w:rsidRPr="00E345B2" w:rsidRDefault="0035054F" w:rsidP="00CA3888">
      <w:pPr>
        <w:spacing w:after="160" w:line="360" w:lineRule="auto"/>
        <w:ind w:firstLine="567"/>
        <w:jc w:val="both"/>
      </w:pPr>
      <w:r w:rsidRPr="00E345B2">
        <w:t>Ինհալացիաների համար նախատեսված դեղաձ</w:t>
      </w:r>
      <w:r>
        <w:t>եւ</w:t>
      </w:r>
      <w:r w:rsidRPr="00E345B2">
        <w:t>երին են դասվում ինհալացիաների համար նախատեսված քսուքները, որոնք այնպիսի քսուքներ են, որ գոլորշիներ են գոյացնում տաք ջրին ավելացնելու դեպքում կամ համապատասխան սարքի (օրինակ՝ ինհալատորի) օգնությամբ, նախատեսված են շնչառման համար՝ տեղային ազդեցություն գործելու նպատակով։</w:t>
      </w:r>
    </w:p>
    <w:p w14:paraId="70E7C0C5" w14:textId="77777777" w:rsidR="0035054F" w:rsidRPr="00E345B2" w:rsidRDefault="0035054F" w:rsidP="00CA3888">
      <w:pPr>
        <w:spacing w:after="160" w:line="360" w:lineRule="auto"/>
        <w:ind w:firstLine="567"/>
        <w:jc w:val="both"/>
      </w:pPr>
      <w:r w:rsidRPr="00E345B2">
        <w:t>Ակնաբուժական կիրառության համար նախատեսված աչքի դեղաձ</w:t>
      </w:r>
      <w:r>
        <w:t>եւ</w:t>
      </w:r>
      <w:r w:rsidRPr="00E345B2">
        <w:t>երին են դասվում աչքի քսուքները, աչքի</w:t>
      </w:r>
      <w:r>
        <w:t xml:space="preserve"> </w:t>
      </w:r>
      <w:r w:rsidRPr="00E345B2">
        <w:t xml:space="preserve">նրբաքսուքները </w:t>
      </w:r>
      <w:r>
        <w:t>եւ</w:t>
      </w:r>
      <w:r w:rsidRPr="00E345B2">
        <w:t xml:space="preserve"> աչքի դոնդողները, որոնք մանրէազերծ դեղաձ</w:t>
      </w:r>
      <w:r>
        <w:t>եւ</w:t>
      </w:r>
      <w:r w:rsidRPr="00E345B2">
        <w:t>եր են, որպես կանոն, նախատեսված աչքի լորձաթաղանթին (շաղկապենուն) քսելու համար։</w:t>
      </w:r>
    </w:p>
    <w:p w14:paraId="05DB366A" w14:textId="77777777" w:rsidR="0035054F" w:rsidRPr="00E345B2" w:rsidRDefault="0035054F" w:rsidP="00CA3888">
      <w:pPr>
        <w:spacing w:after="160" w:line="360" w:lineRule="auto"/>
        <w:ind w:firstLine="567"/>
        <w:jc w:val="both"/>
      </w:pPr>
      <w:r w:rsidRPr="00E345B2">
        <w:t>Պարէնտերալ կիրառության համար նախատեսված դեղաձ</w:t>
      </w:r>
      <w:r>
        <w:t>եւ</w:t>
      </w:r>
      <w:r w:rsidRPr="00E345B2">
        <w:t xml:space="preserve">երին են դասվում ներարկումների համար դոնդողները </w:t>
      </w:r>
      <w:r>
        <w:t>եւ</w:t>
      </w:r>
      <w:r w:rsidRPr="00E345B2">
        <w:t xml:space="preserve"> ենթամաշկային ներմուծման համար դոնդողները, որոնք մանրէազերծ հիդրոֆիլ դոնդողներ են՝ նախատեսված որոշակի հյուսվածքներ </w:t>
      </w:r>
      <w:r>
        <w:t>եւ</w:t>
      </w:r>
      <w:r w:rsidRPr="00E345B2">
        <w:t xml:space="preserve"> օրգաններ ներարկումային ներմուծման համար կամ անմիջապես մաշկի տակ ներմուծման համար։</w:t>
      </w:r>
    </w:p>
    <w:p w14:paraId="45C322E6" w14:textId="77777777" w:rsidR="0035054F" w:rsidRPr="00E345B2" w:rsidRDefault="0035054F" w:rsidP="00CA3888">
      <w:pPr>
        <w:spacing w:after="160" w:line="360" w:lineRule="auto"/>
        <w:ind w:firstLine="567"/>
        <w:jc w:val="both"/>
      </w:pPr>
      <w:r w:rsidRPr="00E345B2">
        <w:t>Ըստ դիսպերս համակարգերի տիպի՝ փափուկ դեղաձ</w:t>
      </w:r>
      <w:r>
        <w:t>եւ</w:t>
      </w:r>
      <w:r w:rsidRPr="00E345B2">
        <w:t xml:space="preserve">երը կարող են լինել համասեռ (համահալվածքներ, լուծույթներ), տարասեռ (կախույթային, էմուլսիոն) </w:t>
      </w:r>
      <w:r>
        <w:t>եւ</w:t>
      </w:r>
      <w:r w:rsidRPr="00E345B2">
        <w:t xml:space="preserve"> համակցված։</w:t>
      </w:r>
    </w:p>
    <w:p w14:paraId="6A1EB9B4" w14:textId="77777777" w:rsidR="0035054F" w:rsidRPr="00E345B2" w:rsidRDefault="0035054F" w:rsidP="00CA3888">
      <w:pPr>
        <w:spacing w:after="160" w:line="360" w:lineRule="auto"/>
        <w:ind w:firstLine="567"/>
        <w:jc w:val="both"/>
      </w:pPr>
      <w:r w:rsidRPr="00E345B2">
        <w:t>Հիմքով պայմանավորված՝ փափուկ դեղաձ</w:t>
      </w:r>
      <w:r>
        <w:t>եւ</w:t>
      </w:r>
      <w:r w:rsidRPr="00E345B2">
        <w:t>երը տարանջատում են՝</w:t>
      </w:r>
    </w:p>
    <w:p w14:paraId="37C71AAA"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հիդրոֆոբ հիմքով,</w:t>
      </w:r>
    </w:p>
    <w:p w14:paraId="6C56B14A"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հիդրոֆիլ հիմքով,</w:t>
      </w:r>
    </w:p>
    <w:p w14:paraId="54DC534D"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դիֆիլ հիմքով,</w:t>
      </w:r>
    </w:p>
    <w:p w14:paraId="23748EB6"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էմուլսիայի հիմքով,</w:t>
      </w:r>
    </w:p>
    <w:p w14:paraId="49939882" w14:textId="77777777" w:rsidR="0035054F" w:rsidRPr="00E345B2" w:rsidRDefault="0035054F" w:rsidP="00CA3888">
      <w:pPr>
        <w:tabs>
          <w:tab w:val="left" w:pos="1134"/>
        </w:tabs>
        <w:spacing w:after="160" w:line="360" w:lineRule="auto"/>
        <w:ind w:firstLine="567"/>
        <w:jc w:val="both"/>
      </w:pPr>
      <w:r w:rsidRPr="00E345B2">
        <w:t>-</w:t>
      </w:r>
      <w:r w:rsidR="00CA3888" w:rsidRPr="00B5542D">
        <w:tab/>
      </w:r>
      <w:r w:rsidRPr="00E345B2">
        <w:t>բազմաֆազ հիմքով։</w:t>
      </w:r>
    </w:p>
    <w:p w14:paraId="3E4E9C80" w14:textId="77777777" w:rsidR="0035054F" w:rsidRPr="00E345B2" w:rsidRDefault="0035054F" w:rsidP="00CA3888">
      <w:pPr>
        <w:spacing w:after="160" w:line="360" w:lineRule="auto"/>
        <w:ind w:firstLine="567"/>
        <w:jc w:val="both"/>
      </w:pPr>
      <w:r w:rsidRPr="00E345B2">
        <w:lastRenderedPageBreak/>
        <w:t>Փափուկ դեղաձ</w:t>
      </w:r>
      <w:r>
        <w:t>եւ</w:t>
      </w:r>
      <w:r w:rsidRPr="00E345B2">
        <w:t xml:space="preserve">երի փաթեթվածքը կարող է լինել միադեղաչափ </w:t>
      </w:r>
      <w:r>
        <w:t>եւ</w:t>
      </w:r>
      <w:r w:rsidRPr="00E345B2">
        <w:t xml:space="preserve"> բազմադեղաչափ։</w:t>
      </w:r>
    </w:p>
    <w:p w14:paraId="68D6BC34" w14:textId="77777777" w:rsidR="0035054F" w:rsidRPr="00E345B2" w:rsidRDefault="0035054F" w:rsidP="0035054F">
      <w:pPr>
        <w:spacing w:after="160" w:line="360" w:lineRule="auto"/>
      </w:pPr>
    </w:p>
    <w:p w14:paraId="10FF11B4" w14:textId="77777777" w:rsidR="0035054F" w:rsidRPr="00CA3888" w:rsidRDefault="0035054F" w:rsidP="00CA3888">
      <w:pPr>
        <w:spacing w:after="160" w:line="360" w:lineRule="auto"/>
        <w:ind w:firstLine="567"/>
        <w:jc w:val="both"/>
        <w:rPr>
          <w:b/>
        </w:rPr>
      </w:pPr>
      <w:r w:rsidRPr="00CA3888">
        <w:rPr>
          <w:b/>
        </w:rPr>
        <w:t>ՏԵԽՆՈԼՈԳԻԱՅԻ ԱՌԱՆՁՆԱՀԱՏԿՈՒԹՅՈՒՆՆԵՐԸ</w:t>
      </w:r>
    </w:p>
    <w:p w14:paraId="2456CEB4" w14:textId="77777777" w:rsidR="0035054F" w:rsidRPr="00E345B2" w:rsidRDefault="0035054F" w:rsidP="00CA3888">
      <w:pPr>
        <w:spacing w:after="160" w:line="360" w:lineRule="auto"/>
        <w:ind w:firstLine="567"/>
        <w:jc w:val="both"/>
      </w:pPr>
      <w:r w:rsidRPr="00E345B2">
        <w:t>Փափուկ դեղաձ</w:t>
      </w:r>
      <w:r>
        <w:t>եւ</w:t>
      </w:r>
      <w:r w:rsidRPr="00E345B2">
        <w:t xml:space="preserve">երի տեխնոլոգիան պետք է ապահովի հիմքի մեջ ազդող նյութերի առավելագույն դիսպերսումը </w:t>
      </w:r>
      <w:r>
        <w:t>եւ</w:t>
      </w:r>
      <w:r w:rsidRPr="00E345B2">
        <w:t xml:space="preserve"> համաչափ բաշխումը, ինչպես նա</w:t>
      </w:r>
      <w:r>
        <w:t>եւ</w:t>
      </w:r>
      <w:r w:rsidRPr="00E345B2">
        <w:t xml:space="preserve"> անհրաժեշտ կոնսիստենցիան։ Փափուկ դեղաձ</w:t>
      </w:r>
      <w:r>
        <w:t>եւ</w:t>
      </w:r>
      <w:r w:rsidRPr="00E345B2">
        <w:t xml:space="preserve">ի տեսքով թողարկվող դեղապատրաստուկի բաղադրությունը պետք է ապահովի պահպանման </w:t>
      </w:r>
      <w:r>
        <w:t>եւ</w:t>
      </w:r>
      <w:r w:rsidRPr="00E345B2">
        <w:t xml:space="preserve"> կիրառման ժամանակ դրա ֆիզիկական վիճակի կայունությունը։</w:t>
      </w:r>
    </w:p>
    <w:p w14:paraId="31449E97" w14:textId="77777777" w:rsidR="0035054F" w:rsidRPr="00E345B2" w:rsidRDefault="0035054F" w:rsidP="00CA3888">
      <w:pPr>
        <w:spacing w:after="160" w:line="360" w:lineRule="auto"/>
        <w:ind w:firstLine="567"/>
        <w:jc w:val="both"/>
      </w:pPr>
      <w:r w:rsidRPr="00E345B2">
        <w:t>Փափուկ դեղաձ</w:t>
      </w:r>
      <w:r>
        <w:t>եւ</w:t>
      </w:r>
      <w:r w:rsidRPr="00E345B2">
        <w:t xml:space="preserve">երի համար հիմքը հարկավոր է ընտրել՝ հաշվի առնելով դեղապատրաստուկի նշանակությունը, ազդող նյութերի արդյունավետությունը, անվտանգությունը </w:t>
      </w:r>
      <w:r>
        <w:t>եւ</w:t>
      </w:r>
      <w:r w:rsidRPr="00E345B2">
        <w:t xml:space="preserve"> կենսամատչելիությունը, դեղապատրաստուկի բաղադրիչների համատեղելիությունը, ռեոլոգիական հատկությունները, պիտանիության ժամկետի ընթացքում կայունությունը։ </w:t>
      </w:r>
    </w:p>
    <w:p w14:paraId="3084E079" w14:textId="77777777" w:rsidR="0035054F" w:rsidRPr="00E345B2" w:rsidRDefault="0035054F" w:rsidP="00CA3888">
      <w:pPr>
        <w:spacing w:after="160" w:line="360" w:lineRule="auto"/>
        <w:ind w:firstLine="567"/>
        <w:jc w:val="both"/>
      </w:pPr>
      <w:r w:rsidRPr="00E345B2">
        <w:t>Փափուկ դեղաձ</w:t>
      </w:r>
      <w:r>
        <w:t>եւ</w:t>
      </w:r>
      <w:r w:rsidRPr="00E345B2">
        <w:t>երի արտադրության ժամանակ օգտագործվող հիմքերը լինում են՝</w:t>
      </w:r>
    </w:p>
    <w:p w14:paraId="74A43EB9"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CA3888">
        <w:rPr>
          <w:i/>
        </w:rPr>
        <w:t>հիդրոֆոբ՝</w:t>
      </w:r>
      <w:r w:rsidRPr="00E345B2">
        <w:t xml:space="preserve"> ճարպային (լիպոֆիլ), ածխաջրածնային, սիլիկոնային </w:t>
      </w:r>
      <w:r>
        <w:t>եւ</w:t>
      </w:r>
      <w:r w:rsidRPr="00E345B2">
        <w:t xml:space="preserve"> այլն.</w:t>
      </w:r>
    </w:p>
    <w:p w14:paraId="5C0724F5"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CA3888">
        <w:rPr>
          <w:i/>
        </w:rPr>
        <w:t>հիդրոֆիլ՝</w:t>
      </w:r>
      <w:r w:rsidRPr="00E345B2">
        <w:t xml:space="preserve"> բարձրամոլեկուլյար ածխաջրածինների </w:t>
      </w:r>
      <w:r>
        <w:t>եւ</w:t>
      </w:r>
      <w:r w:rsidRPr="00E345B2">
        <w:t xml:space="preserve"> սպիտակուցների դոնդողներ, ոչ օրգանական նյութերի դոնդողներ, սինթետիկ բարձրամոլեկուլյար միացությունների դոնդողներ </w:t>
      </w:r>
      <w:r>
        <w:t>եւ</w:t>
      </w:r>
      <w:r w:rsidRPr="00E345B2">
        <w:t xml:space="preserve"> այլն.</w:t>
      </w:r>
    </w:p>
    <w:p w14:paraId="1921BE9F"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CA3888">
        <w:rPr>
          <w:i/>
        </w:rPr>
        <w:t>դիֆիլ՝</w:t>
      </w:r>
      <w:r w:rsidRPr="00E345B2">
        <w:t xml:space="preserve"> աբսորբցիոն հիմքեր՝ հիդրոֆոբ հիմքերի անջուր համահալվածքներ, «ջուր/յուղ» տիպի էմուլսիոն հիմքեր, առավել հազվադեպ՝ «յուղ/ջուր» տիպի հիմքեր </w:t>
      </w:r>
      <w:r>
        <w:t>եւ</w:t>
      </w:r>
      <w:r w:rsidRPr="00E345B2">
        <w:t xml:space="preserve"> այլն։</w:t>
      </w:r>
    </w:p>
    <w:p w14:paraId="3E9A97A7" w14:textId="77777777" w:rsidR="0035054F" w:rsidRPr="00E345B2" w:rsidRDefault="0035054F" w:rsidP="00CA3888">
      <w:pPr>
        <w:spacing w:after="160" w:line="360" w:lineRule="auto"/>
        <w:ind w:firstLine="567"/>
        <w:jc w:val="both"/>
      </w:pPr>
      <w:r w:rsidRPr="00E345B2">
        <w:t>Որպես օժանդակ նյութեր՝ փափուկ դեղաձ</w:t>
      </w:r>
      <w:r>
        <w:t>եւ</w:t>
      </w:r>
      <w:r w:rsidRPr="00E345B2">
        <w:t xml:space="preserve">երի համար օգտագործում են «յուղ/ջուր» </w:t>
      </w:r>
      <w:r>
        <w:t>եւ</w:t>
      </w:r>
      <w:r w:rsidRPr="00E345B2">
        <w:t xml:space="preserve"> «ջուր/յուղ» տիպի էմուլսարարներ, դոնդողագոյացնող նյութեր, </w:t>
      </w:r>
      <w:r w:rsidRPr="00E345B2">
        <w:lastRenderedPageBreak/>
        <w:t xml:space="preserve">հակամանրէային կոնսերվանտներ, հակաօքսիդանտներ, սոլյուբիլիզատորներ, հալման ջերմաստիճանը </w:t>
      </w:r>
      <w:r>
        <w:t>եւ</w:t>
      </w:r>
      <w:r w:rsidRPr="00E345B2">
        <w:t xml:space="preserve"> մածուցիկությունը բարձրացնող նյութեր, հիդրոֆոբ լուծիչներ, ջուր </w:t>
      </w:r>
      <w:r>
        <w:t>եւ</w:t>
      </w:r>
      <w:r w:rsidRPr="00E345B2">
        <w:t xml:space="preserve"> հիդրոֆիլ լուծիչներ, հոտավորիչներ </w:t>
      </w:r>
      <w:r>
        <w:t>եւ</w:t>
      </w:r>
      <w:r w:rsidRPr="00E345B2">
        <w:t xml:space="preserve"> հոտազերծող միջոցներ, pH-ի կարգավորիչներ, ներկանյութեր, բուրավետիչներ </w:t>
      </w:r>
      <w:r>
        <w:t>եւ</w:t>
      </w:r>
      <w:r w:rsidRPr="00E345B2">
        <w:t xml:space="preserve"> այլն։</w:t>
      </w:r>
    </w:p>
    <w:p w14:paraId="4BB8BCDB" w14:textId="77777777" w:rsidR="0035054F" w:rsidRPr="00E345B2" w:rsidRDefault="0035054F" w:rsidP="00CA3888">
      <w:pPr>
        <w:spacing w:after="160" w:line="360" w:lineRule="auto"/>
        <w:ind w:firstLine="567"/>
        <w:jc w:val="both"/>
      </w:pPr>
      <w:r w:rsidRPr="00CA3888">
        <w:rPr>
          <w:i/>
        </w:rPr>
        <w:t>Հիդրոֆոբ հիմքով քսուքները</w:t>
      </w:r>
      <w:r w:rsidRPr="00E345B2">
        <w:t xml:space="preserve"> պատրաստված են, որպես կանոն, ածխաջրածնային հիմքերով </w:t>
      </w:r>
      <w:r>
        <w:t>եւ</w:t>
      </w:r>
      <w:r w:rsidRPr="00E345B2">
        <w:t xml:space="preserve"> կարող են պարունակել այլ հիդրոֆոբ օժանդակ նյութեր։ Դրանց բաղադրության մեջ կարող է ավելացվել միայն աննշան քանակությամբ ջուր կամ ջրային լուծույթներ։</w:t>
      </w:r>
    </w:p>
    <w:p w14:paraId="0931F993" w14:textId="77777777" w:rsidR="0035054F" w:rsidRPr="00E345B2" w:rsidRDefault="0035054F" w:rsidP="00CA3888">
      <w:pPr>
        <w:spacing w:after="160" w:line="360" w:lineRule="auto"/>
        <w:ind w:firstLine="567"/>
        <w:jc w:val="both"/>
      </w:pPr>
      <w:r w:rsidRPr="00CA3888">
        <w:rPr>
          <w:i/>
        </w:rPr>
        <w:t>Էմուլսիոն հիմքով քսուքները</w:t>
      </w:r>
      <w:r w:rsidRPr="00E345B2">
        <w:t xml:space="preserve"> կարող են կլանել մեծ</w:t>
      </w:r>
      <w:r>
        <w:t xml:space="preserve"> </w:t>
      </w:r>
      <w:r w:rsidRPr="00E345B2">
        <w:t xml:space="preserve">քանակությամբ ջուր </w:t>
      </w:r>
      <w:r>
        <w:t>եւ</w:t>
      </w:r>
      <w:r w:rsidRPr="00E345B2">
        <w:t xml:space="preserve"> ձ</w:t>
      </w:r>
      <w:r>
        <w:t>եւ</w:t>
      </w:r>
      <w:r w:rsidRPr="00E345B2">
        <w:t>ավորում են «յուղ/ջուր» կամ «ջուր/յուղ» տիպի էմուլսիաներ՝ էմուլսարարի բնույթով պայմանավորված։</w:t>
      </w:r>
    </w:p>
    <w:p w14:paraId="5D4031FA" w14:textId="77777777" w:rsidR="0035054F" w:rsidRPr="00E345B2" w:rsidRDefault="0035054F" w:rsidP="00CA3888">
      <w:pPr>
        <w:spacing w:after="160" w:line="360" w:lineRule="auto"/>
        <w:ind w:firstLine="567"/>
        <w:jc w:val="both"/>
      </w:pPr>
      <w:r w:rsidRPr="00CA3888">
        <w:rPr>
          <w:i/>
        </w:rPr>
        <w:t>Հիդրոֆիլ հիմքով քսուքները</w:t>
      </w:r>
      <w:r w:rsidRPr="00E345B2">
        <w:t xml:space="preserve"> խառնվում են ջրի հետ </w:t>
      </w:r>
      <w:r>
        <w:t>եւ</w:t>
      </w:r>
      <w:r w:rsidRPr="00E345B2">
        <w:t xml:space="preserve"> սովորաբար բաղկացած են հեղուկ </w:t>
      </w:r>
      <w:r>
        <w:t>եւ</w:t>
      </w:r>
      <w:r w:rsidRPr="00E345B2">
        <w:t xml:space="preserve"> պինդ պոլիէթիլենգլիկոլների խառնուրդներից։ Այդ հիմքերի բաղադրության մեջ կարող են ավելացվել լիպոֆիլ նյութեր </w:t>
      </w:r>
      <w:r>
        <w:t>եւ</w:t>
      </w:r>
      <w:r w:rsidRPr="00E345B2">
        <w:t xml:space="preserve"> «յուղ/ջուր» տիպի էմուլսարարներ։</w:t>
      </w:r>
    </w:p>
    <w:p w14:paraId="02CA18CB" w14:textId="77777777" w:rsidR="0035054F" w:rsidRPr="00E345B2" w:rsidRDefault="0035054F" w:rsidP="00CA3888">
      <w:pPr>
        <w:spacing w:after="160" w:line="360" w:lineRule="auto"/>
        <w:ind w:firstLine="567"/>
        <w:jc w:val="both"/>
      </w:pPr>
      <w:r w:rsidRPr="00CA3888">
        <w:rPr>
          <w:i/>
        </w:rPr>
        <w:t>Հիդրոֆոբ էմուլսիոն հիմքով նրբաքսուքները</w:t>
      </w:r>
      <w:r w:rsidRPr="00E345B2">
        <w:t xml:space="preserve"> պատրաստված են համապատասխան էմուլսարարներով կայունացված՝ «ջուր/յուղ» կամ «յուղ/ջուր/յուղ» տիպի էմուլսիայի հիմքով։</w:t>
      </w:r>
    </w:p>
    <w:p w14:paraId="1E25D67A" w14:textId="77777777" w:rsidR="0035054F" w:rsidRPr="00E345B2" w:rsidRDefault="0035054F" w:rsidP="00CA3888">
      <w:pPr>
        <w:spacing w:after="160" w:line="360" w:lineRule="auto"/>
        <w:ind w:firstLine="567"/>
        <w:jc w:val="both"/>
      </w:pPr>
      <w:r w:rsidRPr="00CA3888">
        <w:rPr>
          <w:i/>
        </w:rPr>
        <w:t>Հիդրոֆիլ էմուլսիոն հիմքով նրբաքսուքները</w:t>
      </w:r>
      <w:r w:rsidRPr="00E345B2">
        <w:t xml:space="preserve"> պատրաստված են համապատասխան էմուլսարարներով կայունացված՝ «յուղ/ջուր» կամ «ջուր/յուղ/ջուր» տիպի էմուլսիայի հիմքով։ Դրանց են դասվում նա</w:t>
      </w:r>
      <w:r>
        <w:t>եւ</w:t>
      </w:r>
      <w:r w:rsidRPr="00E345B2">
        <w:t xml:space="preserve"> կոլոիդային դիսպերս համակարգերը, որոնք բաղկացած են ջրում կամ խառը ջրագլիկոլային լուծիչներում դիսպերսված բարձրագույն ճարպային սպիրտներից կամ թթուներից, որոնք կայունացված են հիդրոֆիլ մակեր</w:t>
      </w:r>
      <w:r>
        <w:t>եւ</w:t>
      </w:r>
      <w:r w:rsidRPr="00E345B2">
        <w:t>ութային ակտիվ նյութերով։</w:t>
      </w:r>
    </w:p>
    <w:p w14:paraId="2CA1B8AD" w14:textId="77777777" w:rsidR="0035054F" w:rsidRPr="00B5542D" w:rsidRDefault="0035054F" w:rsidP="00CA3888">
      <w:pPr>
        <w:spacing w:after="160" w:line="360" w:lineRule="auto"/>
        <w:ind w:firstLine="567"/>
        <w:jc w:val="both"/>
      </w:pPr>
      <w:r w:rsidRPr="00CA3888">
        <w:rPr>
          <w:i/>
        </w:rPr>
        <w:t>Օլեոգելեր</w:t>
      </w:r>
      <w:r w:rsidRPr="00CA3888">
        <w:rPr>
          <w:b/>
          <w:i/>
        </w:rPr>
        <w:t>՝</w:t>
      </w:r>
      <w:r w:rsidRPr="00E345B2">
        <w:t xml:space="preserve"> դոնդողներ, որոնք պատրաստված են հիդրոֆոբ լուծիչից </w:t>
      </w:r>
      <w:r>
        <w:t>եւ</w:t>
      </w:r>
      <w:r w:rsidRPr="00E345B2">
        <w:t xml:space="preserve"> լիպոֆիլ դոնդողագոյացնող նյութից բաղկացած հիմքերով </w:t>
      </w:r>
      <w:r>
        <w:t>եւ</w:t>
      </w:r>
      <w:r w:rsidRPr="00E345B2">
        <w:t xml:space="preserve"> այլն։</w:t>
      </w:r>
    </w:p>
    <w:p w14:paraId="533691B9" w14:textId="77777777" w:rsidR="00CA3888" w:rsidRPr="00B5542D" w:rsidRDefault="00CA3888" w:rsidP="00CA3888">
      <w:pPr>
        <w:spacing w:after="160" w:line="360" w:lineRule="auto"/>
        <w:ind w:firstLine="567"/>
        <w:jc w:val="both"/>
      </w:pPr>
    </w:p>
    <w:p w14:paraId="6F814DFB" w14:textId="77777777" w:rsidR="0035054F" w:rsidRPr="00E345B2" w:rsidRDefault="0035054F" w:rsidP="00CA3888">
      <w:pPr>
        <w:spacing w:after="160" w:line="360" w:lineRule="auto"/>
        <w:ind w:firstLine="567"/>
        <w:jc w:val="both"/>
      </w:pPr>
      <w:r w:rsidRPr="00CA3888">
        <w:rPr>
          <w:i/>
        </w:rPr>
        <w:lastRenderedPageBreak/>
        <w:t>Հիդրոգելեր՝</w:t>
      </w:r>
      <w:r w:rsidRPr="00E345B2">
        <w:t xml:space="preserve"> դոնդողներ, որոնք պատրաստված են ջրից, հիդրոֆիլ խառը կամ անջուր լուծիչից </w:t>
      </w:r>
      <w:r>
        <w:t>եւ</w:t>
      </w:r>
      <w:r w:rsidRPr="00E345B2">
        <w:t xml:space="preserve"> հիդրոֆիլ դոնդողագոյացնող նյութից բաղկացած հիմքերով։</w:t>
      </w:r>
    </w:p>
    <w:p w14:paraId="4E9985FA" w14:textId="77777777" w:rsidR="0035054F" w:rsidRPr="00E345B2" w:rsidRDefault="0035054F" w:rsidP="00CA3888">
      <w:pPr>
        <w:spacing w:after="160" w:line="360" w:lineRule="auto"/>
        <w:ind w:firstLine="567"/>
        <w:jc w:val="both"/>
      </w:pPr>
      <w:r w:rsidRPr="00E345B2">
        <w:t>Փափուկ դեղաձ</w:t>
      </w:r>
      <w:r>
        <w:t>եւ</w:t>
      </w:r>
      <w:r w:rsidRPr="00E345B2">
        <w:t xml:space="preserve">երը թողարկվում են կիրառման համար պատրաստ, սակայն առանձին դեպքերում դոնդողները </w:t>
      </w:r>
      <w:r>
        <w:t>եւ</w:t>
      </w:r>
      <w:r w:rsidRPr="00E345B2">
        <w:t xml:space="preserve"> մածուկները կարող են պատրաստվել կիրառումից անմիջապես առաջ՝ դրանց պատրաստման համար նախատեսված փոշիներից։</w:t>
      </w:r>
    </w:p>
    <w:p w14:paraId="72B5A1F5" w14:textId="77777777" w:rsidR="0035054F" w:rsidRPr="00E345B2" w:rsidRDefault="0035054F" w:rsidP="00CA3888">
      <w:pPr>
        <w:spacing w:after="160" w:line="360" w:lineRule="auto"/>
        <w:ind w:firstLine="567"/>
        <w:jc w:val="both"/>
      </w:pPr>
      <w:r w:rsidRPr="00E345B2">
        <w:t>Փափուկ դեղաձ</w:t>
      </w:r>
      <w:r>
        <w:t>եւ</w:t>
      </w:r>
      <w:r w:rsidRPr="00E345B2">
        <w:t>երի տեսքով դեղապատրաստուկներ ստանալու դեպքում պետք է ձեռնարկվեն դրանց մանրէաբանական մաքրությունն ապահովող միջոցներ. սահմանված դեպքերում, օրինակ՝ պարէնտերալ կիրառման համար փափուկ դեղաձ</w:t>
      </w:r>
      <w:r>
        <w:t>եւ</w:t>
      </w:r>
      <w:r w:rsidRPr="00E345B2">
        <w:t>եր, աչքի դեղաձ</w:t>
      </w:r>
      <w:r>
        <w:t>եւ</w:t>
      </w:r>
      <w:r w:rsidRPr="00E345B2">
        <w:t>եր ստանալու դեպքում պետք է ձեռնարկվեն դրանց մանրէազերծությունն ապահովող միջոցներ։</w:t>
      </w:r>
    </w:p>
    <w:p w14:paraId="3D13218D" w14:textId="77777777" w:rsidR="0035054F" w:rsidRPr="00E345B2" w:rsidRDefault="0035054F" w:rsidP="00CA3888">
      <w:pPr>
        <w:spacing w:after="160" w:line="360" w:lineRule="auto"/>
        <w:ind w:firstLine="567"/>
        <w:jc w:val="both"/>
      </w:pPr>
      <w:r w:rsidRPr="00E345B2">
        <w:t xml:space="preserve">Քթի, ականջի, ռեկտալ, հեշտոցային </w:t>
      </w:r>
      <w:r>
        <w:t>եւ</w:t>
      </w:r>
      <w:r w:rsidRPr="00E345B2">
        <w:t xml:space="preserve"> այլ փափուկ դեղաձ</w:t>
      </w:r>
      <w:r>
        <w:t>եւ</w:t>
      </w:r>
      <w:r w:rsidRPr="00E345B2">
        <w:t>երի տեսքով դեղապատրաստուկները փաթեթվածքի մեջ կարող են պարունակել դեղապատրաստուկը ներմուծելու համար լրացուցիչ հարմարանք կամ ներդրուկ։</w:t>
      </w:r>
    </w:p>
    <w:p w14:paraId="21FAE748" w14:textId="77777777" w:rsidR="0035054F" w:rsidRPr="00E345B2" w:rsidRDefault="0035054F" w:rsidP="00CA3888">
      <w:pPr>
        <w:spacing w:after="160" w:line="360" w:lineRule="auto"/>
        <w:ind w:firstLine="567"/>
        <w:jc w:val="both"/>
      </w:pPr>
    </w:p>
    <w:p w14:paraId="31876C74" w14:textId="77777777" w:rsidR="0035054F" w:rsidRPr="00CA3888" w:rsidRDefault="0035054F" w:rsidP="00CA3888">
      <w:pPr>
        <w:spacing w:after="160" w:line="360" w:lineRule="auto"/>
        <w:ind w:firstLine="567"/>
        <w:jc w:val="both"/>
        <w:rPr>
          <w:b/>
        </w:rPr>
      </w:pPr>
      <w:r w:rsidRPr="00CA3888">
        <w:rPr>
          <w:b/>
        </w:rPr>
        <w:t>ՓՈՐՁԱՐԿՈՒՄՆԵՐԸ</w:t>
      </w:r>
    </w:p>
    <w:p w14:paraId="335879EE" w14:textId="77777777" w:rsidR="0035054F" w:rsidRPr="00E345B2" w:rsidRDefault="0035054F" w:rsidP="00CA3888">
      <w:pPr>
        <w:spacing w:after="160" w:line="360" w:lineRule="auto"/>
        <w:ind w:firstLine="567"/>
        <w:jc w:val="both"/>
      </w:pPr>
      <w:r w:rsidRPr="00E345B2">
        <w:t>Փափուկ դեղաձ</w:t>
      </w:r>
      <w:r>
        <w:t>եւ</w:t>
      </w:r>
      <w:r w:rsidRPr="00E345B2">
        <w:t xml:space="preserve">երը պետք է համապատասխանեն </w:t>
      </w:r>
      <w:r w:rsidRPr="00CA3888">
        <w:rPr>
          <w:i/>
        </w:rPr>
        <w:t xml:space="preserve">«2.5.1.1. Դեղաձեւերը» </w:t>
      </w:r>
      <w:r w:rsidRPr="00E345B2">
        <w:t xml:space="preserve">ընդհանուր դեղագրքային հոդվածին </w:t>
      </w:r>
      <w:r>
        <w:t>եւ</w:t>
      </w:r>
      <w:r w:rsidRPr="00E345B2">
        <w:t xml:space="preserve"> անցնեն կոնկրետ փափուկ դեղաձ</w:t>
      </w:r>
      <w:r>
        <w:t>եւ</w:t>
      </w:r>
      <w:r w:rsidRPr="00E345B2">
        <w:t>ին բնորոշ հաջորդող փորձարկումները։</w:t>
      </w:r>
    </w:p>
    <w:p w14:paraId="644A667E" w14:textId="77777777" w:rsidR="0035054F" w:rsidRPr="00B5542D" w:rsidRDefault="0035054F" w:rsidP="00CA3888">
      <w:pPr>
        <w:spacing w:after="160" w:line="360" w:lineRule="auto"/>
        <w:ind w:firstLine="567"/>
        <w:jc w:val="both"/>
      </w:pPr>
      <w:r w:rsidRPr="00CA3888">
        <w:rPr>
          <w:spacing w:val="-4"/>
        </w:rPr>
        <w:t>Ներքին ընդունման համար վերականգնված կախույթները, որոնք ստացվել են դրանք</w:t>
      </w:r>
      <w:r w:rsidRPr="00E345B2">
        <w:t xml:space="preserve"> ստանալու համար նախատեսված դոնդողների </w:t>
      </w:r>
      <w:r>
        <w:t>եւ</w:t>
      </w:r>
      <w:r w:rsidRPr="00E345B2">
        <w:t xml:space="preserve"> մածուկների օգտագործմամբ, պետք է համապատասխանեն </w:t>
      </w:r>
      <w:r w:rsidRPr="00CA3888">
        <w:rPr>
          <w:i/>
        </w:rPr>
        <w:t>«2.5.1.33. Կախույթները» ընդհանուր դեղագրքային հոդվածին։ Մ</w:t>
      </w:r>
      <w:r w:rsidRPr="00E345B2">
        <w:t xml:space="preserve">ասնավոր դեղագրքային հոդվածում </w:t>
      </w:r>
      <w:r>
        <w:t>եւ</w:t>
      </w:r>
      <w:r w:rsidRPr="00E345B2">
        <w:t xml:space="preserve"> (կամ) որակի վերաբերյալ նորմատիվ փաստաթղթում նշում են Դեղապատրաստուկի վերականգնված դեղաձ</w:t>
      </w:r>
      <w:r>
        <w:t>եւ</w:t>
      </w:r>
      <w:r w:rsidRPr="00E345B2">
        <w:t xml:space="preserve"> ստանալու համար ժամանակը </w:t>
      </w:r>
      <w:r>
        <w:t>եւ</w:t>
      </w:r>
      <w:r w:rsidRPr="00E345B2">
        <w:t xml:space="preserve"> անհրաժեշտության դեպքում՝ Ստացած դեղաձ</w:t>
      </w:r>
      <w:r>
        <w:t>եւ</w:t>
      </w:r>
      <w:r w:rsidRPr="00E345B2">
        <w:t>ի նկարագրությունը։</w:t>
      </w:r>
    </w:p>
    <w:p w14:paraId="154AD11C" w14:textId="77777777" w:rsidR="00CA3888" w:rsidRPr="00B5542D" w:rsidRDefault="00CA3888" w:rsidP="00CA3888">
      <w:pPr>
        <w:spacing w:after="160" w:line="360" w:lineRule="auto"/>
        <w:ind w:firstLine="567"/>
        <w:jc w:val="both"/>
      </w:pPr>
    </w:p>
    <w:p w14:paraId="7244D0C6" w14:textId="77777777" w:rsidR="0035054F" w:rsidRPr="00E345B2" w:rsidRDefault="0035054F" w:rsidP="00CA3888">
      <w:pPr>
        <w:spacing w:after="160" w:line="360" w:lineRule="auto"/>
        <w:ind w:firstLine="567"/>
        <w:jc w:val="both"/>
      </w:pPr>
      <w:r w:rsidRPr="00E345B2">
        <w:lastRenderedPageBreak/>
        <w:t>Ակնաբուժական կիրառության համար նախատեսված՝ փափուկ դեղաձ</w:t>
      </w:r>
      <w:r>
        <w:t>եւ</w:t>
      </w:r>
      <w:r w:rsidRPr="00E345B2">
        <w:t>երով (քսուքների, նրբաքսուքների, դոնդողների) թողարկվող դեղապատրաստուկները պետք է համապատասխանեն «</w:t>
      </w:r>
      <w:r w:rsidRPr="00CA3888">
        <w:rPr>
          <w:i/>
        </w:rPr>
        <w:t>2.5.3.3. Ակնաբուժական կիրառության համար նախատեսված դեղապատրաստուկները</w:t>
      </w:r>
      <w:r w:rsidRPr="00E345B2">
        <w:t>» ընդհանուր դեղագրքային հոդվածին։</w:t>
      </w:r>
    </w:p>
    <w:p w14:paraId="550A1F35" w14:textId="77777777" w:rsidR="0035054F" w:rsidRPr="00E345B2" w:rsidRDefault="0035054F" w:rsidP="00CA3888">
      <w:pPr>
        <w:spacing w:after="160" w:line="360" w:lineRule="auto"/>
        <w:ind w:firstLine="567"/>
        <w:jc w:val="both"/>
      </w:pPr>
      <w:r w:rsidRPr="00E345B2">
        <w:t>Ներարկումների, ենթամաշկային ներմուծման համար նախատեսված՝ դոնդողների ձ</w:t>
      </w:r>
      <w:r>
        <w:t>եւ</w:t>
      </w:r>
      <w:r w:rsidRPr="00E345B2">
        <w:t>ով թողարկվող դեղապատրաստուկները պետք է համապատասխանեն «</w:t>
      </w:r>
      <w:r w:rsidRPr="00CA3888">
        <w:rPr>
          <w:i/>
        </w:rPr>
        <w:t>2.5.3.4. Պարէնտերալ կիրառության համար նախատեսված դեղապատրաստուկները»</w:t>
      </w:r>
      <w:r w:rsidRPr="00E345B2">
        <w:t xml:space="preserve"> ընդհանուր դեղագրքային հոդվածին։</w:t>
      </w:r>
    </w:p>
    <w:p w14:paraId="005C2806" w14:textId="77777777" w:rsidR="0035054F" w:rsidRPr="00E345B2" w:rsidRDefault="0035054F" w:rsidP="00CA3888">
      <w:pPr>
        <w:spacing w:after="160" w:line="360" w:lineRule="auto"/>
        <w:ind w:firstLine="567"/>
        <w:jc w:val="both"/>
      </w:pPr>
      <w:r w:rsidRPr="00E345B2">
        <w:t>Ինհալացիաների համար քսուքների ձ</w:t>
      </w:r>
      <w:r>
        <w:t>եւ</w:t>
      </w:r>
      <w:r w:rsidRPr="00E345B2">
        <w:t>ով թողարկվող դեղապատրաստուկները պետք է համապատասխանեն «</w:t>
      </w:r>
      <w:r w:rsidRPr="00CA3888">
        <w:rPr>
          <w:i/>
        </w:rPr>
        <w:t>2.5.3.2. Ինհալացիոն կիրառության համար նախատեսված դեղապատրաստուկները»</w:t>
      </w:r>
      <w:r w:rsidRPr="00E345B2">
        <w:t xml:space="preserve"> ընդհանուր դեղագրքային հոդվածի պահանջներին։</w:t>
      </w:r>
    </w:p>
    <w:p w14:paraId="6A7813A4" w14:textId="77777777" w:rsidR="0035054F" w:rsidRPr="00E345B2" w:rsidRDefault="0035054F" w:rsidP="00CA3888">
      <w:pPr>
        <w:spacing w:after="160" w:line="360" w:lineRule="auto"/>
        <w:ind w:firstLine="567"/>
        <w:jc w:val="both"/>
      </w:pPr>
      <w:r w:rsidRPr="00CA3888">
        <w:rPr>
          <w:b/>
        </w:rPr>
        <w:t>Նկարագրությունը.</w:t>
      </w:r>
      <w:r w:rsidRPr="00E345B2">
        <w:t xml:space="preserve"> Փափուկ դեղաձ</w:t>
      </w:r>
      <w:r>
        <w:t>եւ</w:t>
      </w:r>
      <w:r w:rsidRPr="00E345B2">
        <w:t xml:space="preserve">երը բնութագրում են՝ նշելով արտաքին տեսքը, զգայորոշման (գույն, հոտ) </w:t>
      </w:r>
      <w:r>
        <w:t>եւ</w:t>
      </w:r>
      <w:r w:rsidRPr="00E345B2">
        <w:t xml:space="preserve"> մյուս հատկությունները՝ մասնավոր դեղագրքային հոդվածի </w:t>
      </w:r>
      <w:r>
        <w:t>եւ</w:t>
      </w:r>
      <w:r w:rsidRPr="00E345B2">
        <w:t xml:space="preserve"> (կամ) որակի վերաբերյալ նորմատիվ փաստաթղթի պահանջներին համապատասխան։</w:t>
      </w:r>
    </w:p>
    <w:p w14:paraId="1B9673E4" w14:textId="77777777" w:rsidR="0035054F" w:rsidRPr="00E345B2" w:rsidRDefault="0035054F" w:rsidP="00CA3888">
      <w:pPr>
        <w:spacing w:after="160" w:line="360" w:lineRule="auto"/>
        <w:ind w:firstLine="567"/>
        <w:jc w:val="both"/>
      </w:pPr>
      <w:r w:rsidRPr="00E345B2">
        <w:t>Փափուկ դեղաձ</w:t>
      </w:r>
      <w:r>
        <w:t>եւ</w:t>
      </w:r>
      <w:r w:rsidRPr="00E345B2">
        <w:t>երը պետք է լինեն միատարր, չպետք է ունենան դառը հոտ, ինչպես նա</w:t>
      </w:r>
      <w:r>
        <w:t>եւ</w:t>
      </w:r>
      <w:r w:rsidRPr="00E345B2">
        <w:t xml:space="preserve"> ֆիզիկական անկայունության (մասնիկների ագրեգացիայի, ֆազերի շերտավորման, կոագուլյացիայի) նշաններ։</w:t>
      </w:r>
    </w:p>
    <w:p w14:paraId="75E8B69C" w14:textId="77777777" w:rsidR="0035054F" w:rsidRPr="00E345B2" w:rsidRDefault="0035054F" w:rsidP="00CA3888">
      <w:pPr>
        <w:spacing w:after="160" w:line="360" w:lineRule="auto"/>
        <w:ind w:firstLine="567"/>
        <w:jc w:val="both"/>
      </w:pPr>
      <w:r w:rsidRPr="00CA3888">
        <w:rPr>
          <w:b/>
        </w:rPr>
        <w:t>Դեղաչափված միավորների միատարրությունը.</w:t>
      </w:r>
      <w:r w:rsidRPr="00E345B2">
        <w:t xml:space="preserve"> Միադեղաչափ փաթեթվածքներում փափուկ դեղաձ</w:t>
      </w:r>
      <w:r>
        <w:t>եւ</w:t>
      </w:r>
      <w:r w:rsidRPr="00E345B2">
        <w:t>երի համար փորձարկումն անցկացնում են «</w:t>
      </w:r>
      <w:r w:rsidRPr="00CA3888">
        <w:rPr>
          <w:i/>
        </w:rPr>
        <w:t>2.1.9.14. Դեղաչափված միավորների միատարրությունը</w:t>
      </w:r>
      <w:r w:rsidRPr="00E345B2">
        <w:t xml:space="preserve">»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7BB27521" w14:textId="77777777" w:rsidR="0035054F" w:rsidRPr="00E345B2" w:rsidRDefault="0035054F" w:rsidP="00CA3888">
      <w:pPr>
        <w:spacing w:after="160" w:line="360" w:lineRule="auto"/>
        <w:ind w:firstLine="567"/>
        <w:jc w:val="both"/>
      </w:pPr>
      <w:r w:rsidRPr="00CA3888">
        <w:rPr>
          <w:b/>
        </w:rPr>
        <w:t>Մասնիկների չափը.</w:t>
      </w:r>
      <w:r w:rsidRPr="00E345B2">
        <w:t xml:space="preserve"> Փորձարկումն անցկացնում են պինդ դիսպերս ֆազի ձ</w:t>
      </w:r>
      <w:r>
        <w:t>եւ</w:t>
      </w:r>
      <w:r w:rsidRPr="00E345B2">
        <w:t xml:space="preserve">ով ակտիվ դեղագործական բաղադրամաս պարունակող տարասեռ </w:t>
      </w:r>
      <w:r>
        <w:t>եւ</w:t>
      </w:r>
      <w:r w:rsidRPr="00E345B2">
        <w:t xml:space="preserve"> </w:t>
      </w:r>
      <w:r w:rsidRPr="00E345B2">
        <w:lastRenderedPageBreak/>
        <w:t>համակցված տիպի փափուկ դեղաձ</w:t>
      </w:r>
      <w:r>
        <w:t>եւ</w:t>
      </w:r>
      <w:r w:rsidRPr="00E345B2">
        <w:t xml:space="preserve">երի համար՝ </w:t>
      </w:r>
      <w:r w:rsidRPr="00CA3888">
        <w:rPr>
          <w:i/>
        </w:rPr>
        <w:t xml:space="preserve">«2.1.9.25. Կախույթներում, էմուլսիաներում, փափուկ դեղաձեւերում մասնիկների չափի որոշումը» </w:t>
      </w:r>
      <w:r w:rsidRPr="00E345B2">
        <w:t>ընդհանուր դեղագրքային հոդվածին համապատասխան։</w:t>
      </w:r>
    </w:p>
    <w:p w14:paraId="084479F0" w14:textId="77777777" w:rsidR="0035054F" w:rsidRPr="00E345B2" w:rsidRDefault="0035054F" w:rsidP="00CA3888">
      <w:pPr>
        <w:spacing w:after="160" w:line="360" w:lineRule="auto"/>
        <w:ind w:firstLine="567"/>
        <w:jc w:val="both"/>
      </w:pPr>
      <w:r w:rsidRPr="00E345B2">
        <w:t xml:space="preserve">Մետաղական մասնիկները. Փորձարկումն անցկացնում են մետաղական պարկուճներ հանդիսացող փաթեթվածք ունեցող աչքի քսուքների համար՝ </w:t>
      </w:r>
      <w:r w:rsidRPr="00CA3888">
        <w:rPr>
          <w:i/>
        </w:rPr>
        <w:t>«2.1.9.27. Աչքի քսուքներում մետաղական մասնիկները»</w:t>
      </w:r>
      <w:r w:rsidRPr="00E345B2">
        <w:t xml:space="preserve"> ընդհանուր դեղագրքային հոդվածին համապատասխան։</w:t>
      </w:r>
    </w:p>
    <w:p w14:paraId="4606A4E8" w14:textId="77777777" w:rsidR="0035054F" w:rsidRPr="00E345B2" w:rsidRDefault="0035054F" w:rsidP="00CA3888">
      <w:pPr>
        <w:spacing w:after="160" w:line="360" w:lineRule="auto"/>
        <w:ind w:firstLine="567"/>
        <w:jc w:val="both"/>
      </w:pPr>
      <w:r w:rsidRPr="00CA3888">
        <w:rPr>
          <w:b/>
        </w:rPr>
        <w:t>Փաթեթվածքի հերմետիկությունը</w:t>
      </w:r>
      <w:r w:rsidRPr="00E345B2">
        <w:t>. Փորձարկումն անցկացնում են փափուկ դեղաձ</w:t>
      </w:r>
      <w:r>
        <w:t>եւ</w:t>
      </w:r>
      <w:r w:rsidRPr="00E345B2">
        <w:t>երի համար</w:t>
      </w:r>
      <w:r w:rsidRPr="00CA3888">
        <w:rPr>
          <w:i/>
        </w:rPr>
        <w:t xml:space="preserve">՝ «2.1.9.19. Փաթեթվածքի հերմետիկության որոշումը» </w:t>
      </w:r>
      <w:r w:rsidRPr="00E345B2">
        <w:t>ընդհանուր դեղագրքային հոդվածին համապատասխան։</w:t>
      </w:r>
    </w:p>
    <w:p w14:paraId="07F14561" w14:textId="77777777" w:rsidR="0035054F" w:rsidRPr="00E345B2" w:rsidRDefault="0035054F" w:rsidP="00CA3888">
      <w:pPr>
        <w:spacing w:after="160" w:line="360" w:lineRule="auto"/>
        <w:ind w:firstLine="567"/>
        <w:jc w:val="both"/>
      </w:pPr>
      <w:r w:rsidRPr="00CA3888">
        <w:rPr>
          <w:b/>
        </w:rPr>
        <w:t>pH-ը.</w:t>
      </w:r>
      <w:r w:rsidRPr="00E345B2">
        <w:t xml:space="preserve"> Փորձարկումն անցկացնում են մասնավոր դեղագրքային հոդվածում </w:t>
      </w:r>
      <w:r>
        <w:t>եւ</w:t>
      </w:r>
      <w:r w:rsidRPr="00E345B2">
        <w:t xml:space="preserve"> (կամ) որակի վերաբերյալ նորմատիվ փաստաթղթում նշված որոշման մեթոդիկային </w:t>
      </w:r>
      <w:r>
        <w:t>եւ</w:t>
      </w:r>
      <w:r w:rsidRPr="00E345B2">
        <w:t xml:space="preserve"> պահանջներին համապատասխան։ Որոշում են փափուկ դեղաձ</w:t>
      </w:r>
      <w:r>
        <w:t>եւ</w:t>
      </w:r>
      <w:r w:rsidRPr="00E345B2">
        <w:t>ի pH-ի կամ փափուկ դեղաձ</w:t>
      </w:r>
      <w:r>
        <w:t>եւ</w:t>
      </w:r>
      <w:r w:rsidRPr="00E345B2">
        <w:t>ից ջրային մզվածքի pH-ի արժեքը։ Տվյալ ցուցանիշի բացակայությունը պետք է հիմնավորված լինի։</w:t>
      </w:r>
    </w:p>
    <w:p w14:paraId="4DFF5FB2" w14:textId="77777777" w:rsidR="0035054F" w:rsidRPr="00E345B2" w:rsidRDefault="0035054F" w:rsidP="00CA3888">
      <w:pPr>
        <w:spacing w:after="160" w:line="360" w:lineRule="auto"/>
        <w:ind w:firstLine="567"/>
        <w:jc w:val="both"/>
      </w:pPr>
      <w:r w:rsidRPr="00CA3888">
        <w:rPr>
          <w:b/>
        </w:rPr>
        <w:t>Թթվային թիվը եւ պերօքսիդային թիվը</w:t>
      </w:r>
      <w:r w:rsidRPr="00E345B2">
        <w:t xml:space="preserve">. Փորձարկումն անցկացնում են այն </w:t>
      </w:r>
      <w:r w:rsidRPr="000B1C22">
        <w:rPr>
          <w:spacing w:val="-4"/>
        </w:rPr>
        <w:t>փափուկ դեղաձեւերի համար, որոնց բաղադրության մեջ մտնում են հիդրոլիզի եւ օքսիդացման ունակ նյութեր, եթե մասնավոր դեղագրքային հոդվածում եւ (կամ) որակի վերաբերյալ նորմատիվ փաստաթղթում նշված են։ Որոշումն անցկացնում են «</w:t>
      </w:r>
      <w:r w:rsidRPr="000B1C22">
        <w:rPr>
          <w:i/>
          <w:spacing w:val="-4"/>
        </w:rPr>
        <w:t>2</w:t>
      </w:r>
      <w:r w:rsidRPr="00CA3888">
        <w:rPr>
          <w:i/>
        </w:rPr>
        <w:t xml:space="preserve">.1.5.1. Թթվային թիվը» </w:t>
      </w:r>
      <w:r w:rsidRPr="00E345B2">
        <w:t xml:space="preserve">ընդհանուր դեղագրքային հոդվածին </w:t>
      </w:r>
      <w:r>
        <w:t>եւ</w:t>
      </w:r>
      <w:r w:rsidRPr="00E345B2">
        <w:t xml:space="preserve"> </w:t>
      </w:r>
      <w:r w:rsidRPr="00CA3888">
        <w:rPr>
          <w:i/>
        </w:rPr>
        <w:t>«2.1.5.5. Պերօքսիդային թիվը»</w:t>
      </w:r>
      <w:r w:rsidRPr="00E345B2">
        <w:t xml:space="preserve"> ընդհանուր դեղագրքային հոդվածին համապատասխան։ Որոշմանն առնչվող պահանջները </w:t>
      </w:r>
      <w:r>
        <w:t>եւ</w:t>
      </w:r>
      <w:r w:rsidRPr="00E345B2">
        <w:t xml:space="preserve"> մեթոդիկան ներկայացվում են մասնավոր դեղագրքային հոդվածում </w:t>
      </w:r>
      <w:r>
        <w:t>եւ</w:t>
      </w:r>
      <w:r w:rsidRPr="00E345B2">
        <w:t xml:space="preserve"> (կամ) որակի վերաբերյալ նորմատիվ փաստաթղթում։</w:t>
      </w:r>
    </w:p>
    <w:p w14:paraId="5907181D" w14:textId="77777777" w:rsidR="0035054F" w:rsidRPr="00E345B2" w:rsidRDefault="0035054F" w:rsidP="00CA3888">
      <w:pPr>
        <w:spacing w:after="160" w:line="360" w:lineRule="auto"/>
        <w:ind w:firstLine="567"/>
        <w:jc w:val="both"/>
      </w:pPr>
      <w:r w:rsidRPr="00CA3888">
        <w:rPr>
          <w:b/>
        </w:rPr>
        <w:t>Փաթեթվածքի պարունակության զանգվածը</w:t>
      </w:r>
      <w:r w:rsidRPr="00E345B2">
        <w:t xml:space="preserve">. Փորձարկումն անցկացնում են </w:t>
      </w:r>
      <w:r w:rsidRPr="00CA3888">
        <w:rPr>
          <w:i/>
        </w:rPr>
        <w:t xml:space="preserve">«2.1.9.17. Փաթեթվածքի պարունակության զանգվածը (ծավալը)» </w:t>
      </w:r>
      <w:r w:rsidRPr="00E345B2">
        <w:t>ընդհանուր դեղագրքային հոդվածին համապատասխան։</w:t>
      </w:r>
    </w:p>
    <w:p w14:paraId="0034F252" w14:textId="77777777" w:rsidR="00CA3888" w:rsidRDefault="00CA3888">
      <w:r>
        <w:br w:type="page"/>
      </w:r>
    </w:p>
    <w:p w14:paraId="0A40E8D8" w14:textId="77777777" w:rsidR="0035054F" w:rsidRPr="00CA3888" w:rsidRDefault="0035054F" w:rsidP="00CA3888">
      <w:pPr>
        <w:spacing w:after="160" w:line="360" w:lineRule="auto"/>
        <w:jc w:val="center"/>
        <w:rPr>
          <w:b/>
        </w:rPr>
      </w:pPr>
      <w:r w:rsidRPr="00CA3888">
        <w:rPr>
          <w:b/>
        </w:rPr>
        <w:lastRenderedPageBreak/>
        <w:t>2.5.2. ԱՆԱՍՆԱԲՈՒԺԱԿԱՆ ԴԵՂԱՊԱՏՐԱՍՏՈՒԿՆԵՐԻ ԴԵՂԱՁԵՎԵՐԸ</w:t>
      </w:r>
    </w:p>
    <w:p w14:paraId="77314AA8" w14:textId="77777777" w:rsidR="0035054F" w:rsidRPr="00B5542D" w:rsidRDefault="0035054F" w:rsidP="00CA3888">
      <w:pPr>
        <w:spacing w:after="160" w:line="360" w:lineRule="auto"/>
        <w:jc w:val="right"/>
        <w:rPr>
          <w:b/>
          <w:sz w:val="20"/>
        </w:rPr>
      </w:pPr>
      <w:r w:rsidRPr="00CA3888">
        <w:rPr>
          <w:b/>
          <w:sz w:val="20"/>
        </w:rPr>
        <w:t>205020001-2022</w:t>
      </w:r>
    </w:p>
    <w:p w14:paraId="390A1359" w14:textId="77777777" w:rsidR="00CA3888" w:rsidRPr="00B5542D" w:rsidRDefault="00CA3888" w:rsidP="00CA3888">
      <w:pPr>
        <w:spacing w:after="160" w:line="360" w:lineRule="auto"/>
        <w:jc w:val="right"/>
        <w:rPr>
          <w:b/>
          <w:sz w:val="20"/>
        </w:rPr>
      </w:pPr>
    </w:p>
    <w:p w14:paraId="5294FF7E" w14:textId="77777777" w:rsidR="0035054F" w:rsidRPr="00CA3888" w:rsidRDefault="0035054F" w:rsidP="00CA3888">
      <w:pPr>
        <w:tabs>
          <w:tab w:val="left" w:pos="1701"/>
        </w:tabs>
        <w:spacing w:after="160" w:line="360" w:lineRule="auto"/>
        <w:ind w:firstLine="567"/>
        <w:jc w:val="both"/>
        <w:rPr>
          <w:b/>
        </w:rPr>
      </w:pPr>
      <w:r w:rsidRPr="00CA3888">
        <w:rPr>
          <w:b/>
        </w:rPr>
        <w:t>2.5.2.1.</w:t>
      </w:r>
      <w:r w:rsidR="00CA3888" w:rsidRPr="00B5542D">
        <w:rPr>
          <w:b/>
        </w:rPr>
        <w:tab/>
      </w:r>
      <w:r w:rsidRPr="00CA3888">
        <w:rPr>
          <w:b/>
        </w:rPr>
        <w:t>Ինտրարումինալ [ներսպիային] թերապեւտիկ համակարգերը</w:t>
      </w:r>
    </w:p>
    <w:p w14:paraId="391A6D86"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 որոշակի </w:t>
      </w:r>
      <w:r w:rsidRPr="00CA3888">
        <w:rPr>
          <w:spacing w:val="-4"/>
        </w:rPr>
        <w:t>ժամանակահատվածի ընթացքում ազդող նյութի (նյութերի) մատակարարման եւ սպեցիֆիկ ձերբազատման համակարգ հանդիսացող դեղաձեւ, որը նախատեսված է որոճող կենդանիների գանձակի (որոճողների բազմախցիկ ստամոքսի հատվա</w:t>
      </w:r>
      <w:r w:rsidRPr="00E345B2">
        <w:t>ծը) մեջ ներմուծելու համար։</w:t>
      </w:r>
    </w:p>
    <w:p w14:paraId="45E884F9"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համակարգերը կենդանիների գանձակի մեջ ներմուծում են զոնդի կամ բոլյուսատվիչի օգնությամբ։ Դրանք կարող են համալրված լինել գանձակի մեջ պահող հարմարանքներով </w:t>
      </w:r>
      <w:r>
        <w:t>եւ</w:t>
      </w:r>
      <w:r w:rsidRPr="00E345B2">
        <w:t xml:space="preserve"> որպես կանոն, պոլիմերային կամ մետաղական կոնտեյներներ են՝ ներսում տեղադրված դեղահաբերով կամ դեղապատիճներով, որոնք պարունակում են ազդող նյութի (նյութերի) դեղաչափված քանակ։ Կոնտեյների անցքի (անցքերի) միջով գանձակի հեղուկի լցվելու ժամանակ տեղի է ունենում գանձակի մեջ ազդող նյութի (նյութերի) աստիճանական ձերբազատում, որի տ</w:t>
      </w:r>
      <w:r>
        <w:t>եւ</w:t>
      </w:r>
      <w:r w:rsidRPr="00E345B2">
        <w:t>ողությունը կարող է տատանվել մի քանի օրից մինչ</w:t>
      </w:r>
      <w:r>
        <w:t>եւ</w:t>
      </w:r>
      <w:r w:rsidRPr="00E345B2">
        <w:t xml:space="preserve"> մի քանի շաբաթ՝ պայմանավորված տրված պարամետրերն ապահովող թերապ</w:t>
      </w:r>
      <w:r>
        <w:t>եւ</w:t>
      </w:r>
      <w:r w:rsidRPr="00E345B2">
        <w:t xml:space="preserve">տիկ համակարգի նշանակությամբ, կառուցվածքով </w:t>
      </w:r>
      <w:r>
        <w:t>եւ</w:t>
      </w:r>
      <w:r w:rsidRPr="00E345B2">
        <w:t xml:space="preserve"> հատկություններով։</w:t>
      </w:r>
    </w:p>
    <w:p w14:paraId="04420F64"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համակարգերը բաժանվում են կատեգորիաների, որոնք նախատեսված են հետ</w:t>
      </w:r>
      <w:r>
        <w:t>եւ</w:t>
      </w:r>
      <w:r w:rsidRPr="00E345B2">
        <w:t>յալի համար.</w:t>
      </w:r>
    </w:p>
    <w:p w14:paraId="75551504"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գանձակի հեղուկի մակեր</w:t>
      </w:r>
      <w:r>
        <w:t>եւ</w:t>
      </w:r>
      <w:r w:rsidRPr="00E345B2">
        <w:t>ույթի վրա գտնվելու համար,</w:t>
      </w:r>
    </w:p>
    <w:p w14:paraId="5C14224D" w14:textId="77777777" w:rsidR="0035054F" w:rsidRPr="00B5542D" w:rsidRDefault="0035054F" w:rsidP="00CA3888">
      <w:pPr>
        <w:tabs>
          <w:tab w:val="left" w:pos="1134"/>
        </w:tabs>
        <w:spacing w:after="160" w:line="360" w:lineRule="auto"/>
        <w:ind w:firstLine="567"/>
        <w:jc w:val="both"/>
      </w:pPr>
      <w:r w:rsidRPr="00E345B2">
        <w:t>-</w:t>
      </w:r>
      <w:r w:rsidR="00CA3888" w:rsidRPr="00B5542D">
        <w:tab/>
      </w:r>
      <w:r w:rsidRPr="00E345B2">
        <w:t>գանձակի հատակին պահելու համար։</w:t>
      </w:r>
    </w:p>
    <w:p w14:paraId="0B74DAE3" w14:textId="77777777" w:rsidR="0035054F" w:rsidRPr="00E345B2" w:rsidRDefault="0035054F" w:rsidP="00CA3888">
      <w:pPr>
        <w:spacing w:after="160" w:line="360" w:lineRule="auto"/>
        <w:ind w:firstLine="567"/>
        <w:jc w:val="both"/>
      </w:pPr>
      <w:r w:rsidRPr="00E345B2">
        <w:t>Ըստ ազդող նյութի (նյութերի) ձերբազատման եղանակի՝ ինտրարումինալ թերապ</w:t>
      </w:r>
      <w:r>
        <w:t>եւ</w:t>
      </w:r>
      <w:r w:rsidRPr="00E345B2">
        <w:t>տիկ համակարգերը բաժանվում են հետ</w:t>
      </w:r>
      <w:r>
        <w:t>եւ</w:t>
      </w:r>
      <w:r w:rsidRPr="00E345B2">
        <w:t>յալի՝</w:t>
      </w:r>
    </w:p>
    <w:p w14:paraId="1CFDF40F" w14:textId="77777777" w:rsidR="0035054F" w:rsidRPr="00E345B2" w:rsidRDefault="0035054F" w:rsidP="00CA3888">
      <w:pPr>
        <w:tabs>
          <w:tab w:val="left" w:pos="1134"/>
        </w:tabs>
        <w:spacing w:after="160" w:line="360" w:lineRule="auto"/>
        <w:ind w:firstLine="567"/>
        <w:jc w:val="both"/>
      </w:pPr>
      <w:r w:rsidRPr="00E345B2">
        <w:lastRenderedPageBreak/>
        <w:t>-</w:t>
      </w:r>
      <w:r w:rsidR="00CA3888" w:rsidRPr="00CA3888">
        <w:tab/>
      </w:r>
      <w:r w:rsidRPr="00E345B2">
        <w:t>անընդհատ ձերբազատում,</w:t>
      </w:r>
    </w:p>
    <w:p w14:paraId="5588A2C3" w14:textId="77777777" w:rsidR="0035054F" w:rsidRPr="00E345B2" w:rsidRDefault="0035054F" w:rsidP="00CA3888">
      <w:pPr>
        <w:tabs>
          <w:tab w:val="left" w:pos="1134"/>
        </w:tabs>
        <w:spacing w:after="160" w:line="360" w:lineRule="auto"/>
        <w:ind w:firstLine="567"/>
        <w:jc w:val="both"/>
      </w:pPr>
      <w:r w:rsidRPr="00E345B2">
        <w:t>-</w:t>
      </w:r>
      <w:r w:rsidR="00CA3888" w:rsidRPr="00CA3888">
        <w:tab/>
      </w:r>
      <w:r w:rsidRPr="00E345B2">
        <w:t>ընդհատվող ձերբազատում։</w:t>
      </w:r>
    </w:p>
    <w:p w14:paraId="75D8FF55" w14:textId="77777777" w:rsidR="0035054F" w:rsidRPr="00E345B2" w:rsidRDefault="0035054F" w:rsidP="00CA3888">
      <w:pPr>
        <w:spacing w:after="160" w:line="360" w:lineRule="auto"/>
        <w:ind w:firstLine="567"/>
        <w:jc w:val="both"/>
      </w:pPr>
      <w:r w:rsidRPr="00E345B2">
        <w:t>Ազդող նյութի (նյութերի) անընդհատ ձերբազատման համար ինտրարումինալ թերապ</w:t>
      </w:r>
      <w:r>
        <w:t>եւ</w:t>
      </w:r>
      <w:r w:rsidRPr="00E345B2">
        <w:t>տիկ համակարգը պետք է ապահովի ազդող նյութի (նյութերի) տրված քանակի ձերբազատում՝ որոշակի արագությամբ, սահմանված ժամանակահատվածի ընթացքում։</w:t>
      </w:r>
    </w:p>
    <w:p w14:paraId="20C860AF" w14:textId="77777777" w:rsidR="0035054F" w:rsidRPr="00E345B2" w:rsidRDefault="0035054F" w:rsidP="00CA3888">
      <w:pPr>
        <w:spacing w:after="160" w:line="360" w:lineRule="auto"/>
        <w:ind w:firstLine="567"/>
        <w:jc w:val="both"/>
      </w:pPr>
      <w:r w:rsidRPr="00E345B2">
        <w:t>Ընդհատվող ձերբազատման համար ինտրարումինալ թերապ</w:t>
      </w:r>
      <w:r>
        <w:t>եւ</w:t>
      </w:r>
      <w:r w:rsidRPr="00E345B2">
        <w:t>տիկ համակարգը պետք է ապահովի ազդող նյութի (նյութերի) տրված քանակի ձերբազատում՝ նույն կամ տարբեր ժամանակային դադարներով։</w:t>
      </w:r>
    </w:p>
    <w:p w14:paraId="4231D657" w14:textId="77777777" w:rsidR="0035054F" w:rsidRPr="00E345B2" w:rsidRDefault="0035054F" w:rsidP="00CA3888">
      <w:pPr>
        <w:spacing w:after="160" w:line="360" w:lineRule="auto"/>
        <w:ind w:firstLine="567"/>
        <w:jc w:val="both"/>
      </w:pPr>
      <w:r w:rsidRPr="00E345B2">
        <w:t>Այդ արդյունքներին հասնում են ինտրարումինալ թերապ</w:t>
      </w:r>
      <w:r>
        <w:t>եւ</w:t>
      </w:r>
      <w:r w:rsidRPr="00E345B2">
        <w:t xml:space="preserve">տիկ համակարգի կառուցվածքի </w:t>
      </w:r>
      <w:r>
        <w:t>եւ</w:t>
      </w:r>
      <w:r w:rsidRPr="00E345B2">
        <w:t xml:space="preserve"> նյութերի, ընտրված նյութերի սպեցիֆիկ քիմիական, ֆիզիկական </w:t>
      </w:r>
      <w:r>
        <w:t>եւ</w:t>
      </w:r>
      <w:r w:rsidRPr="00E345B2">
        <w:t xml:space="preserve"> ֆիզիկաքիմիական հատկությունների, այդ թվում՝ գանձակի հեղուկի ազդեցության նկատմամբ դրանց կայունության </w:t>
      </w:r>
      <w:r>
        <w:t>եւ</w:t>
      </w:r>
      <w:r w:rsidRPr="00E345B2">
        <w:t xml:space="preserve"> դեղահաբերի կամ դեղապատիճների օժանդակ նյութերի բաղադրության հաշվին։</w:t>
      </w:r>
    </w:p>
    <w:p w14:paraId="0CF8AD5D"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համակարգի մեջ ազդող նյութի (նյութերի) դեղաչափի նշումը կարող է նշվել որպես որոշակի ժամանակահատվածի ընթացքում դեղաձ</w:t>
      </w:r>
      <w:r>
        <w:t>եւ</w:t>
      </w:r>
      <w:r w:rsidRPr="00E345B2">
        <w:t>ից ձերբազատվող ազդող նյութի քանակ կամ կարող է նշվել զանգվածային միավորներով կամ տոկոսներով։</w:t>
      </w:r>
    </w:p>
    <w:p w14:paraId="3B1F6F86" w14:textId="77777777" w:rsidR="0035054F" w:rsidRPr="00E345B2" w:rsidRDefault="0035054F" w:rsidP="00CA3888">
      <w:pPr>
        <w:spacing w:after="160" w:line="360" w:lineRule="auto"/>
        <w:ind w:firstLine="567"/>
        <w:jc w:val="both"/>
      </w:pPr>
    </w:p>
    <w:p w14:paraId="40063DFF" w14:textId="77777777" w:rsidR="0035054F" w:rsidRPr="00CA3888" w:rsidRDefault="0035054F" w:rsidP="00CA3888">
      <w:pPr>
        <w:spacing w:after="160" w:line="360" w:lineRule="auto"/>
        <w:ind w:firstLine="567"/>
        <w:jc w:val="both"/>
        <w:rPr>
          <w:b/>
        </w:rPr>
      </w:pPr>
      <w:r w:rsidRPr="00CA3888">
        <w:rPr>
          <w:b/>
        </w:rPr>
        <w:t>ՏԵԽՆՈԼՈԳԻԱՅԻ ԱՌԱՆՁՆԱՀԱՏԿՈՒԹՅՈՒՆՆԵՐԸ</w:t>
      </w:r>
    </w:p>
    <w:p w14:paraId="4A854311"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համակարգի հիմնական բաղադրիչը դեղապատրաստուկի համար նախատեսված կոնտեյներն է՝ չափաբերված անցքով (անցքերով), որի մեջ կարող է դրվել մեմբրան (մեմբրաններ), որն ապահովում է նա</w:t>
      </w:r>
      <w:r>
        <w:t>եւ</w:t>
      </w:r>
      <w:r w:rsidRPr="00E345B2">
        <w:t xml:space="preserve"> որոշակի ժամանակահատվածի ընթացքում ազդող նյութի ձերբազատման ծրագրավորված (վերահսկվող) արագությունը։ Դեպի կիրառման տեղ դեղաձ</w:t>
      </w:r>
      <w:r>
        <w:t>եւ</w:t>
      </w:r>
      <w:r w:rsidRPr="00E345B2">
        <w:t>ի մատակարարման սարքերը կարող են ունենալ տարբեր ձ</w:t>
      </w:r>
      <w:r>
        <w:t>եւ</w:t>
      </w:r>
      <w:r w:rsidRPr="00E345B2">
        <w:t>եր, որոնցով որոշվում է համակարգի արտաքին տեսքը։</w:t>
      </w:r>
    </w:p>
    <w:p w14:paraId="756ABE6F" w14:textId="77777777" w:rsidR="0035054F" w:rsidRPr="00E345B2" w:rsidRDefault="0035054F" w:rsidP="00CA3888">
      <w:pPr>
        <w:spacing w:after="160" w:line="360" w:lineRule="auto"/>
        <w:ind w:firstLine="567"/>
        <w:jc w:val="both"/>
      </w:pPr>
      <w:r w:rsidRPr="00E345B2">
        <w:lastRenderedPageBreak/>
        <w:t>Ինտրարումինալ թերապ</w:t>
      </w:r>
      <w:r>
        <w:t>եւ</w:t>
      </w:r>
      <w:r w:rsidRPr="00E345B2">
        <w:t>տիկ համակարգի արտադրման ժամանակ որպես օժանդակ նյութեր օգտագործում են կենսահամատեղելի պոլիմերային նյութեր, որոնց մեջ ներմուծում են ազդող նյութը (նյութերը)։ Դեղապատրաստուկը կիրառելիս պոլիմերային կրիչով ազդող նյութի ներմուծումը դեղաձ</w:t>
      </w:r>
      <w:r>
        <w:t>եւ</w:t>
      </w:r>
      <w:r w:rsidRPr="00E345B2">
        <w:t xml:space="preserve">ի մեջ պետք է ապահովի դրա գործողության երկարաձգումը, պոլիմերային հիմքից ազդող նյութի վերահսկվող ձերբազատումը տրված ժամանակի միջակայքում </w:t>
      </w:r>
      <w:r>
        <w:t>եւ</w:t>
      </w:r>
      <w:r w:rsidRPr="00E345B2">
        <w:t xml:space="preserve"> այլ անհրաժեշտ կենսադեղագործական պարամետրեր։ Ազդող </w:t>
      </w:r>
      <w:r>
        <w:t>եւ</w:t>
      </w:r>
      <w:r w:rsidRPr="00E345B2">
        <w:t xml:space="preserve"> օժանդակ նյութերը, մատակարարման սարքը, փաթեթվածքի նյութը պետք է համատեղելի լինեն միմյանց </w:t>
      </w:r>
      <w:r>
        <w:t>եւ</w:t>
      </w:r>
      <w:r w:rsidRPr="00E345B2">
        <w:t xml:space="preserve"> դեղապատրաստուկի մյուս բաղադրիչների հետ։</w:t>
      </w:r>
    </w:p>
    <w:p w14:paraId="1B18B1AC"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համակարգերի արտադրման ժամանակ ձեռնարկվում են ազդող նյութի (նյութերի) դոզավորման </w:t>
      </w:r>
      <w:r>
        <w:t>եւ</w:t>
      </w:r>
      <w:r w:rsidRPr="00E345B2">
        <w:t xml:space="preserve"> գանձակի մեջ դրա (դրանց) ձերբազատման տրված պարամետրերն ապահովող միջոցներ։ Դրա համար պետք է ընտրվեն ազդող նյութերի մասնիկների օպտիմալ չափը, դեղահաբերի կամ դեղապատիճների համար օժանդակ բաղադրիչների կազմը, նյութը, կառուցվածքը (ներառյալ չափաբերված անցքի (անցքերի) տրամագիծը), ինչպես նա</w:t>
      </w:r>
      <w:r>
        <w:t>եւ</w:t>
      </w:r>
      <w:r w:rsidRPr="00E345B2">
        <w:t xml:space="preserve"> կոնտեյների համար նախատեսված դեղահաբերի կամ դեղապատիճների օպտիմալ քանակը։</w:t>
      </w:r>
    </w:p>
    <w:p w14:paraId="1D64C504"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համակարգերի բաղադրիչներ հանդիսացող դեղահաբերի </w:t>
      </w:r>
      <w:r>
        <w:t>եւ</w:t>
      </w:r>
      <w:r w:rsidRPr="00E345B2">
        <w:t xml:space="preserve"> դեղապատիճների արտադրության տեխնոլոգիայի առանձնահատկությունները բերված են «</w:t>
      </w:r>
      <w:r w:rsidRPr="00CA3888">
        <w:rPr>
          <w:i/>
        </w:rPr>
        <w:t xml:space="preserve">2.5.1.34. Դեղահաբերը» ընդհանուր դեղագրքային հոդվածում եւ «2.5.1.10. Դեղապատիճները» </w:t>
      </w:r>
      <w:r w:rsidRPr="00E345B2">
        <w:t>ընդհանուր դեղագրքային հոդվածում։</w:t>
      </w:r>
    </w:p>
    <w:p w14:paraId="3DE6E067"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համակարգերի արտադրման, փաթեթավորման, պահպանման ժամանակ ձեռնարկվում են մանրէաբանական մաքրությունն ապահովող միջոցներ՝ </w:t>
      </w:r>
      <w:r w:rsidRPr="00CA3888">
        <w:rPr>
          <w:i/>
        </w:rPr>
        <w:t>«2.3.1.2.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հոդվածին համապատասխան։</w:t>
      </w:r>
    </w:p>
    <w:p w14:paraId="5D3BA0DD" w14:textId="77777777" w:rsidR="0035054F" w:rsidRPr="00CA3888" w:rsidRDefault="0035054F" w:rsidP="00CA3888">
      <w:pPr>
        <w:spacing w:after="160" w:line="360" w:lineRule="auto"/>
        <w:ind w:firstLine="567"/>
        <w:jc w:val="both"/>
        <w:rPr>
          <w:b/>
        </w:rPr>
      </w:pPr>
      <w:r w:rsidRPr="00CA3888">
        <w:rPr>
          <w:b/>
        </w:rPr>
        <w:lastRenderedPageBreak/>
        <w:t>ՓՈՐՁԱՐԿՈՒՄՆԵՐԸ</w:t>
      </w:r>
    </w:p>
    <w:p w14:paraId="53972922" w14:textId="77777777" w:rsidR="0035054F" w:rsidRPr="00E345B2" w:rsidRDefault="0035054F" w:rsidP="00CA3888">
      <w:pPr>
        <w:spacing w:after="160" w:line="360" w:lineRule="auto"/>
        <w:ind w:firstLine="567"/>
        <w:jc w:val="both"/>
      </w:pPr>
      <w:r w:rsidRPr="00E345B2">
        <w:t>Ինտրարումինալ թերապ</w:t>
      </w:r>
      <w:r>
        <w:t>եւ</w:t>
      </w:r>
      <w:r w:rsidRPr="00E345B2">
        <w:t xml:space="preserve">տիկ համակարգերը պետք է համապատասխանեն </w:t>
      </w:r>
      <w:r w:rsidRPr="00CA3888">
        <w:rPr>
          <w:i/>
        </w:rPr>
        <w:t>«2.5.1.1. Դեղաձեւերը»</w:t>
      </w:r>
      <w:r w:rsidRPr="00E345B2">
        <w:t xml:space="preserve"> ընդհանուր դեղագրքային հոդվածի ընդհանուր պահանջներին </w:t>
      </w:r>
      <w:r>
        <w:t>եւ</w:t>
      </w:r>
      <w:r w:rsidRPr="00E345B2">
        <w:t xml:space="preserve"> անցնեն տվյալ դեղաձ</w:t>
      </w:r>
      <w:r>
        <w:t>եւ</w:t>
      </w:r>
      <w:r w:rsidRPr="00E345B2">
        <w:t>ին բնորոշ փորձարկումները։</w:t>
      </w:r>
    </w:p>
    <w:p w14:paraId="6911D7F0"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համակարգերի համար ներկայացնում են արտաքին տեսքի նկարագրությունը, ներառյալ` մատակարարման սարքի նկարագրությունը, ինչպես նա</w:t>
      </w:r>
      <w:r>
        <w:t>եւ</w:t>
      </w:r>
      <w:r w:rsidRPr="00E345B2">
        <w:t xml:space="preserve"> գանձակի մեջ պահող հարմարանքի նկարագրությունը </w:t>
      </w:r>
      <w:r>
        <w:t>եւ</w:t>
      </w:r>
      <w:r w:rsidRPr="00E345B2">
        <w:t xml:space="preserve"> չափերը, կոնտեյների չափաբերված անցքի (անցքերի) տրամագիծը </w:t>
      </w:r>
      <w:r>
        <w:t>եւ</w:t>
      </w:r>
      <w:r w:rsidRPr="00E345B2">
        <w:t xml:space="preserve"> կոնտեյների մեջ դեղահաբերի կամ դեղապատիճների քանակը։</w:t>
      </w:r>
    </w:p>
    <w:p w14:paraId="6C96032D"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համակարգերի բաղադրիչներ հանդիսացող դեղահաբերը կամ դեղապատիճները պետք է բավարարեն «</w:t>
      </w:r>
      <w:r w:rsidRPr="00CA3888">
        <w:rPr>
          <w:i/>
        </w:rPr>
        <w:t>2.5.1.34. Դեղահաբերը» ընդհանուր դեղագրքային հոդվածի կամ եւ «2.5.1.10. Դեղապատիճները եւ դրանց անալիզի մեթոդները»</w:t>
      </w:r>
      <w:r w:rsidRPr="00E345B2">
        <w:t xml:space="preserve"> ընդհանուր դեղագրքային հոդվածի պահանջները։</w:t>
      </w:r>
    </w:p>
    <w:p w14:paraId="5204D241" w14:textId="77777777" w:rsidR="0035054F" w:rsidRPr="00E345B2" w:rsidRDefault="0035054F" w:rsidP="00CA3888">
      <w:pPr>
        <w:spacing w:after="160" w:line="360" w:lineRule="auto"/>
        <w:ind w:firstLine="567"/>
        <w:jc w:val="both"/>
      </w:pPr>
      <w:r w:rsidRPr="00E345B2">
        <w:t xml:space="preserve">Լուծվելու փորձարկումն անցկացնում են անասնաբուժական դեղամիջոցի վերաբերյալ նորմատիվ փաստաթղթի մեջ նշված մեթոդիկային </w:t>
      </w:r>
      <w:r>
        <w:t>եւ</w:t>
      </w:r>
      <w:r w:rsidRPr="00E345B2">
        <w:t xml:space="preserve"> պահանջներին համապատասխան։ Որոշում են ազդող նյութի քանակը, որն ինտրարումինալ թերապ</w:t>
      </w:r>
      <w:r>
        <w:t>եւ</w:t>
      </w:r>
      <w:r w:rsidRPr="00E345B2">
        <w:t>տիկ համակարգից լուծման միջավայրի մեջ պետք է ձերբազատվի որոշակի ժամանակահատվածում։</w:t>
      </w:r>
    </w:p>
    <w:p w14:paraId="1E02D9AA" w14:textId="77777777" w:rsidR="0035054F" w:rsidRPr="00E345B2" w:rsidRDefault="0035054F" w:rsidP="00CA3888">
      <w:pPr>
        <w:spacing w:after="160" w:line="360" w:lineRule="auto"/>
        <w:ind w:firstLine="567"/>
        <w:jc w:val="both"/>
      </w:pPr>
      <w:r w:rsidRPr="00E345B2">
        <w:t>Ինտրարումինալ թերապ</w:t>
      </w:r>
      <w:r>
        <w:t>եւ</w:t>
      </w:r>
      <w:r w:rsidRPr="00E345B2">
        <w:t>տիկ համակարգերը պետք է բավարարեն «2.</w:t>
      </w:r>
      <w:r w:rsidRPr="00CA3888">
        <w:rPr>
          <w:i/>
        </w:rPr>
        <w:t>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ընդհանուր դեղագրքային հոդվածի պահանջները։</w:t>
      </w:r>
    </w:p>
    <w:p w14:paraId="6E64FE43" w14:textId="77777777" w:rsidR="0035054F" w:rsidRPr="00E345B2" w:rsidRDefault="0035054F" w:rsidP="00CA3888">
      <w:pPr>
        <w:spacing w:after="160" w:line="360" w:lineRule="auto"/>
        <w:ind w:firstLine="567"/>
        <w:jc w:val="both"/>
      </w:pPr>
    </w:p>
    <w:p w14:paraId="337B3053" w14:textId="77777777" w:rsidR="00B867ED" w:rsidRDefault="00B867ED">
      <w:pPr>
        <w:rPr>
          <w:b/>
          <w:sz w:val="20"/>
        </w:rPr>
      </w:pPr>
      <w:r>
        <w:rPr>
          <w:b/>
          <w:sz w:val="20"/>
        </w:rPr>
        <w:br w:type="page"/>
      </w:r>
    </w:p>
    <w:p w14:paraId="17F9ADDB" w14:textId="77777777" w:rsidR="0035054F" w:rsidRPr="00CA3888" w:rsidRDefault="0035054F" w:rsidP="00CA3888">
      <w:pPr>
        <w:spacing w:after="160" w:line="360" w:lineRule="auto"/>
        <w:jc w:val="right"/>
        <w:rPr>
          <w:b/>
          <w:sz w:val="20"/>
        </w:rPr>
      </w:pPr>
      <w:r w:rsidRPr="00CA3888">
        <w:rPr>
          <w:b/>
          <w:sz w:val="20"/>
        </w:rPr>
        <w:lastRenderedPageBreak/>
        <w:t>205020002-2022</w:t>
      </w:r>
    </w:p>
    <w:p w14:paraId="608F6BE5" w14:textId="77777777" w:rsidR="0035054F" w:rsidRPr="00CA3888" w:rsidRDefault="0035054F" w:rsidP="0035054F">
      <w:pPr>
        <w:spacing w:after="160" w:line="360" w:lineRule="auto"/>
        <w:rPr>
          <w:b/>
        </w:rPr>
      </w:pPr>
    </w:p>
    <w:p w14:paraId="792B1903" w14:textId="77777777" w:rsidR="0035054F" w:rsidRPr="00CA3888" w:rsidRDefault="0035054F" w:rsidP="00CA3888">
      <w:pPr>
        <w:tabs>
          <w:tab w:val="left" w:pos="1701"/>
        </w:tabs>
        <w:spacing w:after="160" w:line="360" w:lineRule="auto"/>
        <w:ind w:firstLine="567"/>
        <w:jc w:val="both"/>
        <w:rPr>
          <w:b/>
        </w:rPr>
      </w:pPr>
      <w:r w:rsidRPr="00CA3888">
        <w:rPr>
          <w:b/>
        </w:rPr>
        <w:t>2.5.2.2.</w:t>
      </w:r>
      <w:r w:rsidR="00CA3888" w:rsidRPr="00B5542D">
        <w:rPr>
          <w:b/>
        </w:rPr>
        <w:tab/>
      </w:r>
      <w:r w:rsidRPr="00CA3888">
        <w:rPr>
          <w:b/>
        </w:rPr>
        <w:t>Արտաքին կիրառման անասնաբուժական թերապեւտիկ համակարգերը</w:t>
      </w:r>
    </w:p>
    <w:p w14:paraId="056B8CB8" w14:textId="77777777" w:rsidR="0035054F" w:rsidRPr="00E345B2" w:rsidRDefault="0035054F" w:rsidP="00CA3888">
      <w:pPr>
        <w:spacing w:after="160" w:line="360" w:lineRule="auto"/>
        <w:ind w:firstLine="567"/>
        <w:jc w:val="both"/>
      </w:pPr>
      <w:r w:rsidRPr="00E345B2">
        <w:t>Արտաքին կիրառման անասնաբուժական թերապ</w:t>
      </w:r>
      <w:r>
        <w:t>եւ</w:t>
      </w:r>
      <w:r w:rsidRPr="00E345B2">
        <w:t xml:space="preserve">տիկ համակարգեր՝ որոշակի ժամանակահատվածի ընթացքում ազդող նյութի (նյութերի) սպեցիֆիկ ձերբազատման </w:t>
      </w:r>
      <w:r>
        <w:t>եւ</w:t>
      </w:r>
      <w:r w:rsidRPr="00E345B2">
        <w:t xml:space="preserve"> մատակարարման համակարգ հանդիսացող դեղաձ</w:t>
      </w:r>
      <w:r>
        <w:t>եւ</w:t>
      </w:r>
      <w:r w:rsidRPr="00E345B2">
        <w:t>։</w:t>
      </w:r>
    </w:p>
    <w:p w14:paraId="0A020F71" w14:textId="77777777" w:rsidR="0035054F" w:rsidRPr="00E345B2" w:rsidRDefault="0035054F" w:rsidP="00CA3888">
      <w:pPr>
        <w:spacing w:after="160" w:line="360" w:lineRule="auto"/>
        <w:ind w:firstLine="567"/>
        <w:jc w:val="both"/>
      </w:pPr>
      <w:r w:rsidRPr="00E345B2">
        <w:t>Ազդող նյութի (նյութերի) անընդհատ ձերբազատման համար արտաքին կիրառման անասնաբուժական թերապ</w:t>
      </w:r>
      <w:r>
        <w:t>եւ</w:t>
      </w:r>
      <w:r w:rsidRPr="00E345B2">
        <w:t>տիկ համակարգերը պետք է ապահովեն ազդող նյութի (նյութերի) տրված քանակի ձերբազատում՝ որոշակի արագությամբ, սահմանված ժամանակահատվածի ընթացքում։</w:t>
      </w:r>
    </w:p>
    <w:p w14:paraId="0C17160E" w14:textId="77777777" w:rsidR="0035054F" w:rsidRPr="00E345B2" w:rsidRDefault="0035054F" w:rsidP="00CA3888">
      <w:pPr>
        <w:spacing w:after="160" w:line="360" w:lineRule="auto"/>
        <w:ind w:firstLine="567"/>
        <w:jc w:val="both"/>
      </w:pPr>
      <w:r w:rsidRPr="00E345B2">
        <w:t>Այդ արդյունքին հասնում են արտաքին կիրառման անասնաբուժական թերապ</w:t>
      </w:r>
      <w:r>
        <w:t>եւ</w:t>
      </w:r>
      <w:r w:rsidRPr="00E345B2">
        <w:t xml:space="preserve">տիկ համակարգի ընտրված նյութերի </w:t>
      </w:r>
      <w:r>
        <w:t>եւ</w:t>
      </w:r>
      <w:r w:rsidRPr="00E345B2">
        <w:t xml:space="preserve"> ազդող նյութի (նյութերի) կառուցվածքի </w:t>
      </w:r>
      <w:r>
        <w:t>եւ</w:t>
      </w:r>
      <w:r w:rsidRPr="00E345B2">
        <w:t xml:space="preserve"> սպեցիֆիկ քիմիական, ֆիզիկական </w:t>
      </w:r>
      <w:r>
        <w:t>եւ</w:t>
      </w:r>
      <w:r w:rsidRPr="00E345B2">
        <w:t xml:space="preserve"> ֆիզիկաքիմիական հատկությունների հաշվին։</w:t>
      </w:r>
    </w:p>
    <w:p w14:paraId="6CB5CCCF" w14:textId="77777777" w:rsidR="0035054F" w:rsidRPr="00E345B2" w:rsidRDefault="0035054F" w:rsidP="00CA3888">
      <w:pPr>
        <w:spacing w:after="160" w:line="360" w:lineRule="auto"/>
        <w:ind w:firstLine="567"/>
        <w:jc w:val="both"/>
      </w:pPr>
      <w:r w:rsidRPr="00E345B2">
        <w:t>Արտաքին կիրառման անասնաբուժական թերապ</w:t>
      </w:r>
      <w:r>
        <w:t>եւ</w:t>
      </w:r>
      <w:r w:rsidRPr="00E345B2">
        <w:t>տիկ համակարգերն ունեն դրանք կենդանու մարմնի վրա պահելու համար նախատեսված ս</w:t>
      </w:r>
      <w:r>
        <w:t>եւ</w:t>
      </w:r>
      <w:r w:rsidRPr="00E345B2">
        <w:t>եռիչ։</w:t>
      </w:r>
    </w:p>
    <w:p w14:paraId="157F041C" w14:textId="77777777" w:rsidR="0035054F" w:rsidRPr="00E345B2" w:rsidRDefault="0035054F" w:rsidP="00CA3888">
      <w:pPr>
        <w:spacing w:after="160" w:line="360" w:lineRule="auto"/>
        <w:ind w:firstLine="567"/>
        <w:jc w:val="both"/>
      </w:pPr>
      <w:r w:rsidRPr="00E345B2">
        <w:t>Արտաքին կիրառման անասնաբուժական թերապ</w:t>
      </w:r>
      <w:r>
        <w:t>եւ</w:t>
      </w:r>
      <w:r w:rsidRPr="00E345B2">
        <w:t xml:space="preserve">տիկ համակարգերին են դասվում հակապարազիտային վզկալները </w:t>
      </w:r>
      <w:r>
        <w:t>եւ</w:t>
      </w:r>
      <w:r w:rsidRPr="00E345B2">
        <w:t xml:space="preserve"> ականջի պիտակները։</w:t>
      </w:r>
    </w:p>
    <w:p w14:paraId="44CD50A8" w14:textId="77777777" w:rsidR="0035054F" w:rsidRPr="00B5542D" w:rsidRDefault="0035054F" w:rsidP="00CA3888">
      <w:pPr>
        <w:spacing w:after="160" w:line="360" w:lineRule="auto"/>
        <w:ind w:firstLine="567"/>
        <w:jc w:val="both"/>
      </w:pPr>
      <w:r w:rsidRPr="00E345B2">
        <w:t>Արտաքին կիրառման անասնաբուժական թերապ</w:t>
      </w:r>
      <w:r>
        <w:t>եւ</w:t>
      </w:r>
      <w:r w:rsidRPr="00E345B2">
        <w:t xml:space="preserve">տիկ համակարգերի օգտագործման ընթացքում ազդող նյութի (նյութերի) գոլորշիացման </w:t>
      </w:r>
      <w:r>
        <w:t>եւ</w:t>
      </w:r>
      <w:r w:rsidRPr="00E345B2">
        <w:t xml:space="preserve"> (կամ) կենդանիների մարմնի մակեր</w:t>
      </w:r>
      <w:r>
        <w:t>եւ</w:t>
      </w:r>
      <w:r w:rsidRPr="00E345B2">
        <w:t>ույթի հետ ֆիզիկական շփման դեպքում տեղի է ունենում ազդող նյութի (նյութերի) փոխանցում կենդանիների մազամաշկային ծածկույթի վրա։ Ազդող նյութը (նյութերը) աստիճանաբար տարածվում</w:t>
      </w:r>
      <w:r>
        <w:t xml:space="preserve"> </w:t>
      </w:r>
      <w:r w:rsidRPr="00E345B2">
        <w:t xml:space="preserve">է կենդանու մազամաշկային ծածկույթի վրա՝ թողնելով միջատասպան </w:t>
      </w:r>
      <w:r>
        <w:t>եւ</w:t>
      </w:r>
      <w:r w:rsidRPr="00E345B2">
        <w:t xml:space="preserve"> տիզասպան </w:t>
      </w:r>
      <w:r>
        <w:t>եւ</w:t>
      </w:r>
      <w:r w:rsidRPr="00E345B2">
        <w:t xml:space="preserve"> (կամ) ռեպելենտ ազդեցություն։</w:t>
      </w:r>
    </w:p>
    <w:p w14:paraId="139C1680" w14:textId="77777777" w:rsidR="00CA3888" w:rsidRPr="00B5542D" w:rsidRDefault="00CA3888" w:rsidP="00CA3888">
      <w:pPr>
        <w:spacing w:after="160" w:line="360" w:lineRule="auto"/>
        <w:ind w:firstLine="567"/>
        <w:jc w:val="both"/>
      </w:pPr>
    </w:p>
    <w:p w14:paraId="6617DB54" w14:textId="77777777" w:rsidR="0035054F" w:rsidRPr="00E345B2" w:rsidRDefault="0035054F" w:rsidP="00CA3888">
      <w:pPr>
        <w:spacing w:after="160" w:line="360" w:lineRule="auto"/>
        <w:ind w:firstLine="567"/>
        <w:jc w:val="both"/>
      </w:pPr>
      <w:r w:rsidRPr="00E345B2">
        <w:lastRenderedPageBreak/>
        <w:t>Արտաքին կիրառման անասնաբուժական թերապ</w:t>
      </w:r>
      <w:r>
        <w:t>եւ</w:t>
      </w:r>
      <w:r w:rsidRPr="00E345B2">
        <w:t>տիկ համակարգի մեջ ազդող նյութի (նյութերի) դեղաչափի նշումը կարող է նշվել զանգվածային միավորներով կամ տոկոսներով։</w:t>
      </w:r>
    </w:p>
    <w:p w14:paraId="3C461383" w14:textId="77777777" w:rsidR="0035054F" w:rsidRPr="00E345B2" w:rsidRDefault="0035054F" w:rsidP="0035054F">
      <w:pPr>
        <w:spacing w:after="160" w:line="360" w:lineRule="auto"/>
      </w:pPr>
    </w:p>
    <w:p w14:paraId="676754F1" w14:textId="77777777" w:rsidR="0035054F" w:rsidRPr="00CA3888" w:rsidRDefault="0035054F" w:rsidP="00CA3888">
      <w:pPr>
        <w:spacing w:after="160" w:line="360" w:lineRule="auto"/>
        <w:ind w:firstLine="567"/>
        <w:jc w:val="both"/>
        <w:rPr>
          <w:b/>
        </w:rPr>
      </w:pPr>
      <w:r w:rsidRPr="00CA3888">
        <w:rPr>
          <w:b/>
        </w:rPr>
        <w:t>ՏԵԽՆՈԼՈԳԻԱՅԻ ԱՌԱՆՁՆԱՀԱՏԿՈՒԹՅՈՒՆՆԵՐԸ</w:t>
      </w:r>
    </w:p>
    <w:p w14:paraId="02327EEA" w14:textId="77777777" w:rsidR="0035054F" w:rsidRPr="00E345B2" w:rsidRDefault="0035054F" w:rsidP="00CA3888">
      <w:pPr>
        <w:spacing w:after="160" w:line="360" w:lineRule="auto"/>
        <w:ind w:firstLine="567"/>
        <w:jc w:val="both"/>
      </w:pPr>
      <w:r w:rsidRPr="00E345B2">
        <w:t>Ազդող նյութը (նյութերը) արտաքին կիրառման անասնաբուժական թերապ</w:t>
      </w:r>
      <w:r>
        <w:t>եւ</w:t>
      </w:r>
      <w:r w:rsidRPr="00E345B2">
        <w:t>տիկ համակարգերի բաղադրության մեջ կարող է ներմուծվել տարբեր եղանակներով՝ հավասարաչափ իմպրեգնացվի պոլիմերային հիմքի մեջ կամ քսվի հիմքի մակեր</w:t>
      </w:r>
      <w:r>
        <w:t>եւ</w:t>
      </w:r>
      <w:r w:rsidRPr="00E345B2">
        <w:t>ույթին՝ ազդող նյութի (նյութերի) աստիճանական ձերբազատումն ապահովող այլ պոլիմերների հետ խառնուրդի մեջ։ Ազդող նյութը (նյութերը) պոլիմերային հիմքի մեջ</w:t>
      </w:r>
      <w:r>
        <w:t xml:space="preserve"> </w:t>
      </w:r>
      <w:r w:rsidRPr="00E345B2">
        <w:t xml:space="preserve">հավասարաչափ իմպրեգնացնելու դեպքում օժանդակ նյութերը պետք է ապահովեն պոլիմերային հիմքի զանգվածի ծակոտկենությունը՝ ապահովելով ազդող նյութերի աստիճանական ձերբազատումը </w:t>
      </w:r>
      <w:r>
        <w:t>եւ</w:t>
      </w:r>
      <w:r w:rsidRPr="00E345B2">
        <w:t xml:space="preserve"> կենդանու մազամաշկային ծածկույթի վրա դրանց փոխանցումը։ Ազդող նյութը (նյութերը) պոլիմերային հիմքի մակեր</w:t>
      </w:r>
      <w:r>
        <w:t>եւ</w:t>
      </w:r>
      <w:r w:rsidRPr="00E345B2">
        <w:t>ույթի վրա քսելու դեպքում օժանդակ նյութերը հեշտացնում են ազդող նյութի (նյութերի) փոխանցումը կենդանու մազամաշկային ծածկույթի վրա՝ կենդանու հետ ֆիզիկական շփման ժամանակ դրանց աստիճանական մաշման հաշվին։</w:t>
      </w:r>
    </w:p>
    <w:p w14:paraId="663B96EB" w14:textId="77777777" w:rsidR="0035054F" w:rsidRPr="00E345B2" w:rsidRDefault="0035054F" w:rsidP="00CA3888">
      <w:pPr>
        <w:spacing w:after="160" w:line="360" w:lineRule="auto"/>
        <w:ind w:firstLine="567"/>
        <w:jc w:val="both"/>
      </w:pPr>
      <w:r w:rsidRPr="00E345B2">
        <w:t xml:space="preserve">Որպես հիմքի համար օժանդակ նյութեր կարող են օգտագործվել տարբեր պոլիմերներ, ծակոտագոյացիչներ, մոդիֆիկատորներ (որոշակի ժամանակահատվածի ընթացքում ազդող նյութի (նյութերի) ձերբազատման արագությունը կարգավորող բաղադրիչներ)։ Օժանդակ նյութերը, սպեցիֆիկ ձերբազատման </w:t>
      </w:r>
      <w:r>
        <w:t>եւ</w:t>
      </w:r>
      <w:r w:rsidRPr="00E345B2">
        <w:t xml:space="preserve"> մատակարարման համակարգը, փաթեթվածքի նյութը պետք է միմյանց հետ համատեղելի լինեն։</w:t>
      </w:r>
    </w:p>
    <w:p w14:paraId="1719B341" w14:textId="77777777" w:rsidR="0035054F" w:rsidRPr="00E345B2" w:rsidRDefault="0035054F" w:rsidP="00CA3888">
      <w:pPr>
        <w:spacing w:after="160" w:line="360" w:lineRule="auto"/>
        <w:ind w:firstLine="567"/>
        <w:jc w:val="both"/>
      </w:pPr>
      <w:r w:rsidRPr="00E345B2">
        <w:t>Մշակման փուլում պետք է փորձի միջոցով հաստատվի արտաքին կիրառման անասնաբուժական թերապ</w:t>
      </w:r>
      <w:r>
        <w:t>եւ</w:t>
      </w:r>
      <w:r w:rsidRPr="00E345B2">
        <w:t xml:space="preserve">տիկ համակարգի պոլիմերային հիմքից ազդող նյութերի աստիճանական ձերբազատումը </w:t>
      </w:r>
      <w:r>
        <w:t>եւ</w:t>
      </w:r>
      <w:r w:rsidRPr="00E345B2">
        <w:t xml:space="preserve"> կենդանու մազամաշկային ծածկույթի վրա դրանց անցումը։</w:t>
      </w:r>
    </w:p>
    <w:p w14:paraId="4FFE9516" w14:textId="77777777" w:rsidR="0035054F" w:rsidRPr="00E345B2" w:rsidRDefault="0035054F" w:rsidP="00EA4CEF">
      <w:pPr>
        <w:spacing w:after="160" w:line="348" w:lineRule="auto"/>
        <w:ind w:firstLine="567"/>
        <w:jc w:val="both"/>
      </w:pPr>
      <w:r w:rsidRPr="00E345B2">
        <w:lastRenderedPageBreak/>
        <w:t>Եթե արտաքին կիրառման անասնաբուժական թերապ</w:t>
      </w:r>
      <w:r>
        <w:t>եւ</w:t>
      </w:r>
      <w:r w:rsidRPr="00E345B2">
        <w:t>տիկ համակարգերի բաղադրության մեջ ցնդող նյութեր են մտնում, արտադրության գործընթացում վերահսկվում է փաթեթվածքի հերմետիկությունը։</w:t>
      </w:r>
    </w:p>
    <w:p w14:paraId="74AA49FA" w14:textId="77777777" w:rsidR="0035054F" w:rsidRPr="00E345B2" w:rsidRDefault="0035054F" w:rsidP="00EA4CEF">
      <w:pPr>
        <w:spacing w:after="160" w:line="348" w:lineRule="auto"/>
        <w:ind w:firstLine="567"/>
        <w:jc w:val="both"/>
      </w:pPr>
    </w:p>
    <w:p w14:paraId="43E4E59F" w14:textId="77777777" w:rsidR="0035054F" w:rsidRPr="00EA4CEF" w:rsidRDefault="0035054F" w:rsidP="00EA4CEF">
      <w:pPr>
        <w:spacing w:after="160" w:line="348" w:lineRule="auto"/>
        <w:ind w:firstLine="567"/>
        <w:jc w:val="both"/>
        <w:rPr>
          <w:b/>
        </w:rPr>
      </w:pPr>
      <w:r w:rsidRPr="00EA4CEF">
        <w:rPr>
          <w:b/>
        </w:rPr>
        <w:t>ՓՈՐՁԱՐԿՈՒՄՆԵՐԸ</w:t>
      </w:r>
    </w:p>
    <w:p w14:paraId="3F49CA85" w14:textId="77777777" w:rsidR="0035054F" w:rsidRPr="00E345B2" w:rsidRDefault="0035054F" w:rsidP="00EA4CEF">
      <w:pPr>
        <w:spacing w:after="160" w:line="348" w:lineRule="auto"/>
        <w:ind w:firstLine="567"/>
        <w:jc w:val="both"/>
      </w:pPr>
      <w:r w:rsidRPr="00E345B2">
        <w:t>Արտաքին կիրառման անասնաբուժական թերապ</w:t>
      </w:r>
      <w:r>
        <w:t>եւ</w:t>
      </w:r>
      <w:r w:rsidRPr="00E345B2">
        <w:t>տիկ համակարգերի համար ներկայացնում են արտաքին տեսքի նկարագրությունը։</w:t>
      </w:r>
    </w:p>
    <w:p w14:paraId="0CEB2E48" w14:textId="77777777" w:rsidR="0035054F" w:rsidRPr="00E345B2" w:rsidRDefault="0035054F" w:rsidP="00EA4CEF">
      <w:pPr>
        <w:spacing w:after="160" w:line="348" w:lineRule="auto"/>
        <w:ind w:firstLine="567"/>
        <w:jc w:val="both"/>
      </w:pPr>
      <w:r w:rsidRPr="00E345B2">
        <w:t>Արտաքին կիրառման անասնաբուժական թերապ</w:t>
      </w:r>
      <w:r>
        <w:t>եւ</w:t>
      </w:r>
      <w:r w:rsidRPr="00E345B2">
        <w:t xml:space="preserve">տիկ համակարգերի չափերը վերահսկում են ըստ երկարության, լայնության </w:t>
      </w:r>
      <w:r>
        <w:t>եւ</w:t>
      </w:r>
      <w:r w:rsidRPr="00E345B2">
        <w:t xml:space="preserve"> հաստության։ Հաստությունը կարող է չափվել մեկ կամ մի քանի կետերում, եթե դա տարբեր է։</w:t>
      </w:r>
    </w:p>
    <w:p w14:paraId="355B2B17" w14:textId="77777777" w:rsidR="0035054F" w:rsidRPr="00E345B2" w:rsidRDefault="0035054F" w:rsidP="00EA4CEF">
      <w:pPr>
        <w:spacing w:after="160" w:line="348" w:lineRule="auto"/>
        <w:ind w:firstLine="567"/>
        <w:jc w:val="both"/>
      </w:pPr>
      <w:r w:rsidRPr="00E345B2">
        <w:t xml:space="preserve">Լուծվելու փորձարկումն անցկացնում են դեղագրքային հոդվածի կամ անասնաբուժական դեղամիջոցի վերաբերյալ նորմատիվ փաստաթղթի մեջ նշված մեթոդիկային </w:t>
      </w:r>
      <w:r>
        <w:t>եւ</w:t>
      </w:r>
      <w:r w:rsidRPr="00E345B2">
        <w:t xml:space="preserve"> պահանջներին համապատասխան։</w:t>
      </w:r>
    </w:p>
    <w:p w14:paraId="0590EE45" w14:textId="77777777" w:rsidR="0035054F" w:rsidRPr="00E345B2" w:rsidRDefault="0035054F" w:rsidP="00EA4CEF">
      <w:pPr>
        <w:spacing w:after="160" w:line="348" w:lineRule="auto"/>
        <w:ind w:firstLine="567"/>
        <w:jc w:val="both"/>
      </w:pPr>
      <w:r w:rsidRPr="00E345B2">
        <w:t>Որոշում են ազդող նյութի (նյութերի) այն քանակը, որն արտաքին կիրառման անասնաբուժական թերապ</w:t>
      </w:r>
      <w:r>
        <w:t>եւ</w:t>
      </w:r>
      <w:r w:rsidRPr="00E345B2">
        <w:t>տիկ համակարգից պետք է ձերբազատվի օրգանական լուծիչից (լուծիչներից) կազմված լուծման միջավայր։</w:t>
      </w:r>
    </w:p>
    <w:p w14:paraId="24118989" w14:textId="77777777" w:rsidR="0035054F" w:rsidRPr="00E345B2" w:rsidRDefault="0035054F" w:rsidP="00EA4CEF">
      <w:pPr>
        <w:spacing w:after="160" w:line="348" w:lineRule="auto"/>
        <w:ind w:firstLine="567"/>
        <w:jc w:val="both"/>
      </w:pPr>
    </w:p>
    <w:p w14:paraId="4FD616A6" w14:textId="77777777" w:rsidR="0035054F" w:rsidRPr="00B5542D" w:rsidRDefault="0035054F" w:rsidP="00EA4CEF">
      <w:pPr>
        <w:spacing w:after="160" w:line="348" w:lineRule="auto"/>
        <w:ind w:firstLine="567"/>
        <w:jc w:val="right"/>
        <w:rPr>
          <w:b/>
          <w:sz w:val="20"/>
        </w:rPr>
      </w:pPr>
      <w:r w:rsidRPr="00EA4CEF">
        <w:rPr>
          <w:b/>
          <w:sz w:val="20"/>
        </w:rPr>
        <w:t>205020003-2022</w:t>
      </w:r>
    </w:p>
    <w:p w14:paraId="632FBBE3" w14:textId="77777777" w:rsidR="00EA4CEF" w:rsidRPr="00B5542D" w:rsidRDefault="00EA4CEF" w:rsidP="00EA4CEF">
      <w:pPr>
        <w:spacing w:after="160" w:line="348" w:lineRule="auto"/>
        <w:ind w:firstLine="567"/>
        <w:jc w:val="right"/>
        <w:rPr>
          <w:b/>
          <w:sz w:val="20"/>
        </w:rPr>
      </w:pPr>
    </w:p>
    <w:p w14:paraId="3947EEA6" w14:textId="77777777" w:rsidR="0035054F" w:rsidRPr="00EA4CEF" w:rsidRDefault="0035054F" w:rsidP="00EA4CEF">
      <w:pPr>
        <w:tabs>
          <w:tab w:val="left" w:pos="1701"/>
        </w:tabs>
        <w:spacing w:after="160" w:line="348" w:lineRule="auto"/>
        <w:ind w:firstLine="567"/>
        <w:jc w:val="both"/>
        <w:rPr>
          <w:b/>
        </w:rPr>
      </w:pPr>
      <w:r w:rsidRPr="00EA4CEF">
        <w:rPr>
          <w:b/>
        </w:rPr>
        <w:t>2.5.2.3.</w:t>
      </w:r>
      <w:r w:rsidR="00EA4CEF" w:rsidRPr="00B5542D">
        <w:rPr>
          <w:b/>
        </w:rPr>
        <w:tab/>
      </w:r>
      <w:r w:rsidRPr="00EA4CEF">
        <w:rPr>
          <w:b/>
        </w:rPr>
        <w:t>Անասնաբուժական թիթեղները</w:t>
      </w:r>
    </w:p>
    <w:p w14:paraId="179B2176" w14:textId="77777777" w:rsidR="0035054F" w:rsidRPr="00E345B2" w:rsidRDefault="0035054F" w:rsidP="00EA4CEF">
      <w:pPr>
        <w:spacing w:after="160" w:line="348" w:lineRule="auto"/>
        <w:ind w:firstLine="567"/>
        <w:jc w:val="both"/>
      </w:pPr>
      <w:r w:rsidRPr="00E345B2">
        <w:t>Անասնաբուժական թիթեղ՝ որոշակի չափի թիթեղ հանդիսացող պինդ դեղաձ</w:t>
      </w:r>
      <w:r>
        <w:t>եւ</w:t>
      </w:r>
      <w:r w:rsidRPr="00E345B2">
        <w:t>, որը բաղկացած է ծակոտկեն հիմքից՝ վերջինիս վրա հավասարաչափ տարածված ազդող նյութով (նյութերով)։ Հիմքը կարող է լինել փայտի նրբատախտակից, ստվարաթղթից կամ պոլիմերային նյութերից։</w:t>
      </w:r>
    </w:p>
    <w:p w14:paraId="355F6676" w14:textId="77777777" w:rsidR="0035054F" w:rsidRPr="00E345B2" w:rsidRDefault="0035054F" w:rsidP="00EA4CEF">
      <w:pPr>
        <w:spacing w:after="160" w:line="348" w:lineRule="auto"/>
        <w:ind w:firstLine="567"/>
        <w:jc w:val="both"/>
      </w:pPr>
      <w:r w:rsidRPr="00E345B2">
        <w:t>Անասնաբուժական թիթեղները նախատեսված են միջշրջանակային տարածության մեջ կախելու միջոցով փեթակների ներսում կիրառության համար։ Այդ նպատակով անասնաբուժական թիթեղները կարող են ունենալ անցքեր։</w:t>
      </w:r>
    </w:p>
    <w:p w14:paraId="27EA985B" w14:textId="77777777" w:rsidR="0035054F" w:rsidRPr="00E345B2" w:rsidRDefault="0035054F" w:rsidP="00EA4CEF">
      <w:pPr>
        <w:spacing w:after="160" w:line="360" w:lineRule="auto"/>
        <w:ind w:firstLine="567"/>
        <w:jc w:val="both"/>
      </w:pPr>
      <w:r w:rsidRPr="00E345B2">
        <w:lastRenderedPageBreak/>
        <w:t>Անասնաբուժական թիթեղները պետք է ապահովեն որոշակի ժամանակահատվածի ընթացքում ազդող նյութի (նյութերի) երկարաձգված ձերբազատումը։</w:t>
      </w:r>
    </w:p>
    <w:p w14:paraId="6DE3AC94" w14:textId="77777777" w:rsidR="0035054F" w:rsidRPr="00E345B2" w:rsidRDefault="0035054F" w:rsidP="00EA4CEF">
      <w:pPr>
        <w:spacing w:after="160" w:line="346" w:lineRule="auto"/>
        <w:ind w:firstLine="567"/>
        <w:jc w:val="both"/>
      </w:pPr>
      <w:r w:rsidRPr="00E345B2">
        <w:t xml:space="preserve">Անասնաբուժական թիթեղների կիրառման ժամանակ ազդող նյութի (նյութերի) ձերբազատումը տեղի է ունենում ընտրված նյութերի, օժանդակ բաղադրիչների </w:t>
      </w:r>
      <w:r>
        <w:t>եւ</w:t>
      </w:r>
      <w:r w:rsidRPr="00E345B2">
        <w:t xml:space="preserve"> ազդող նյութի (նյութերի) կառուցվածքի </w:t>
      </w:r>
      <w:r>
        <w:t>եւ</w:t>
      </w:r>
      <w:r w:rsidRPr="00E345B2">
        <w:t xml:space="preserve"> սպեցիֆիկ քիմիական, ֆիզիկական </w:t>
      </w:r>
      <w:r>
        <w:t>եւ</w:t>
      </w:r>
      <w:r w:rsidRPr="00E345B2">
        <w:t xml:space="preserve"> ֆիզիկաքիմիական հատկությունների հաշվին։</w:t>
      </w:r>
    </w:p>
    <w:p w14:paraId="52609B95" w14:textId="77777777" w:rsidR="0035054F" w:rsidRPr="00E345B2" w:rsidRDefault="0035054F" w:rsidP="00EA4CEF">
      <w:pPr>
        <w:spacing w:after="160" w:line="346" w:lineRule="auto"/>
        <w:ind w:firstLine="567"/>
        <w:jc w:val="both"/>
      </w:pPr>
      <w:r w:rsidRPr="00E345B2">
        <w:t>Ազդող նյութի (նյութերի) ձերբազատումը փեթակի ներքին տարածության մեջ տեղի է ունենում գոլորշիացման ժամանակ ցողացրման ձ</w:t>
      </w:r>
      <w:r>
        <w:t>եւ</w:t>
      </w:r>
      <w:r w:rsidRPr="00E345B2">
        <w:t>ով (այդ թվում՝ ջերմային) կամ հիմքի մարմրման ընթացքում ջերմային ցնդեցման (բարձր ջերմաստիճանի ազդեցության տակ) եղանակով։</w:t>
      </w:r>
    </w:p>
    <w:p w14:paraId="5F3D79AB" w14:textId="77777777" w:rsidR="0035054F" w:rsidRPr="00E345B2" w:rsidRDefault="0035054F" w:rsidP="00EA4CEF">
      <w:pPr>
        <w:spacing w:after="160" w:line="346" w:lineRule="auto"/>
        <w:ind w:firstLine="567"/>
        <w:jc w:val="both"/>
      </w:pPr>
      <w:r w:rsidRPr="00E345B2">
        <w:t>Մարմրման ընթացքում անասնաբուժական թիթեղները պետք է ամբողջությամբ օքսիդանան մինչ</w:t>
      </w:r>
      <w:r>
        <w:t>եւ</w:t>
      </w:r>
      <w:r w:rsidRPr="00E345B2">
        <w:t xml:space="preserve"> մոխրային մնացորդը։ Ջերմային գոլորշիացման կամ ջերմային ցնդեցման գործընթացը չպետք է հանգեցնի բարձր ջերմաստիճանի ազդեցության տակ ազդող նյութի (նյութերի) քայքայմանը։</w:t>
      </w:r>
    </w:p>
    <w:p w14:paraId="54718D74" w14:textId="77777777" w:rsidR="0035054F" w:rsidRPr="00E345B2" w:rsidRDefault="0035054F" w:rsidP="00EA4CEF">
      <w:pPr>
        <w:spacing w:after="160" w:line="346" w:lineRule="auto"/>
        <w:ind w:firstLine="567"/>
        <w:jc w:val="both"/>
      </w:pPr>
    </w:p>
    <w:p w14:paraId="234C9068" w14:textId="77777777" w:rsidR="0035054F" w:rsidRPr="00EA4CEF" w:rsidRDefault="0035054F" w:rsidP="00EA4CEF">
      <w:pPr>
        <w:spacing w:after="160" w:line="346" w:lineRule="auto"/>
        <w:ind w:firstLine="567"/>
        <w:jc w:val="both"/>
        <w:rPr>
          <w:b/>
        </w:rPr>
      </w:pPr>
      <w:r w:rsidRPr="00EA4CEF">
        <w:rPr>
          <w:b/>
        </w:rPr>
        <w:t>ՏԵԽՆՈԼՈԳԻԱՅԻ ԱՌԱՆՁՆԱՀԱՏԿՈՒԹՅՈՒՆՆԵՐԸ</w:t>
      </w:r>
    </w:p>
    <w:p w14:paraId="4B4CA386" w14:textId="77777777" w:rsidR="0035054F" w:rsidRPr="00E345B2" w:rsidRDefault="0035054F" w:rsidP="00EA4CEF">
      <w:pPr>
        <w:spacing w:after="160" w:line="346" w:lineRule="auto"/>
        <w:ind w:firstLine="567"/>
        <w:jc w:val="both"/>
      </w:pPr>
      <w:r w:rsidRPr="00E345B2">
        <w:t xml:space="preserve">Անասնաբուժական թիթեղների արտադրման ժամանակ ձեռնարկվում են ազդող նյութի (նյութերի) դոզավորման </w:t>
      </w:r>
      <w:r>
        <w:t>եւ</w:t>
      </w:r>
      <w:r w:rsidRPr="00E345B2">
        <w:t xml:space="preserve"> դրա (դրանց) ձերբազատման տրված պարամետրերն ապահովող միջոցներ։ Դրա համար պետք է ընտրվեն օպտիմալ նյութեր, հիմքի օպտիմալ կառուցվածք </w:t>
      </w:r>
      <w:r>
        <w:t>եւ</w:t>
      </w:r>
      <w:r w:rsidRPr="00E345B2">
        <w:t xml:space="preserve"> չափեր, օժանդակ բաղադրիչների օպտիմալ կազմ </w:t>
      </w:r>
      <w:r>
        <w:t>եւ</w:t>
      </w:r>
      <w:r w:rsidRPr="00E345B2">
        <w:t xml:space="preserve"> ազդող նյութի (նյութերի) օպտիմալ կոնցենտրացիա։</w:t>
      </w:r>
    </w:p>
    <w:p w14:paraId="562A18EE" w14:textId="77777777" w:rsidR="0035054F" w:rsidRPr="00E345B2" w:rsidRDefault="0035054F" w:rsidP="00EA4CEF">
      <w:pPr>
        <w:spacing w:after="160" w:line="346" w:lineRule="auto"/>
        <w:ind w:firstLine="567"/>
        <w:jc w:val="both"/>
      </w:pPr>
      <w:r w:rsidRPr="00E345B2">
        <w:t>Որպես օժանդակ նյութեր կարող են օգտագործվել տարբեր պոլիմերներ, ծակոտագոյացիչներ, մոդիֆիկատորներ (որոշակի ժամանակահատվածի ընթացքում ազդող նյութի (նյութերի) ձերբազատման վրա ազդող բաղադրիչներ), ինչպես նա</w:t>
      </w:r>
      <w:r>
        <w:t>եւ</w:t>
      </w:r>
      <w:r w:rsidRPr="00E345B2">
        <w:t xml:space="preserve"> լուծիչներ, նոսրացուցիչներ, հակամանրէային կոնսերվանտներ, կայունացնող </w:t>
      </w:r>
      <w:r>
        <w:t>եւ</w:t>
      </w:r>
      <w:r w:rsidRPr="00E345B2">
        <w:t xml:space="preserve"> սոլյուբիլիզացնող ագենտներ, օքսիդացման (մարմրման) ռեակցիա հրահրող օքսիդիչներ, բոցավառումը կանխող բոցամարիչներ:</w:t>
      </w:r>
    </w:p>
    <w:p w14:paraId="280B46B7" w14:textId="77777777" w:rsidR="0035054F" w:rsidRPr="00E345B2" w:rsidRDefault="0035054F" w:rsidP="00EA4CEF">
      <w:pPr>
        <w:spacing w:after="160" w:line="360" w:lineRule="auto"/>
        <w:ind w:firstLine="567"/>
        <w:jc w:val="both"/>
      </w:pPr>
      <w:r w:rsidRPr="00E345B2">
        <w:lastRenderedPageBreak/>
        <w:t>Օժանդակ նյութերը պետք է ապահովեն դեղաձ</w:t>
      </w:r>
      <w:r>
        <w:t>եւ</w:t>
      </w:r>
      <w:r w:rsidRPr="00E345B2">
        <w:t xml:space="preserve">ի օպտիմալ տեխնոլոգիական բնութագրեր </w:t>
      </w:r>
      <w:r>
        <w:t>եւ</w:t>
      </w:r>
      <w:r w:rsidRPr="00E345B2">
        <w:t xml:space="preserve"> կիրառվող կոնցենտրացիաներով անցանկալի ազդեցություն չպետք է թողնեն մեղուների վրա։</w:t>
      </w:r>
    </w:p>
    <w:p w14:paraId="53A4B5AB" w14:textId="77777777" w:rsidR="0035054F" w:rsidRPr="00E345B2" w:rsidRDefault="0035054F" w:rsidP="00EA4CEF">
      <w:pPr>
        <w:spacing w:after="160" w:line="360" w:lineRule="auto"/>
        <w:ind w:firstLine="567"/>
        <w:jc w:val="both"/>
      </w:pPr>
      <w:r w:rsidRPr="00E345B2">
        <w:t xml:space="preserve">Օժանդակ նյութերը </w:t>
      </w:r>
      <w:r>
        <w:t>եւ</w:t>
      </w:r>
      <w:r w:rsidRPr="00E345B2">
        <w:t xml:space="preserve"> փաթեթվածքի նյութը պետք է միմյանց հետ համատեղելի լինեն։</w:t>
      </w:r>
    </w:p>
    <w:p w14:paraId="70DA3D21" w14:textId="77777777" w:rsidR="0035054F" w:rsidRPr="00E345B2" w:rsidRDefault="0035054F" w:rsidP="00EA4CEF">
      <w:pPr>
        <w:spacing w:after="160" w:line="360" w:lineRule="auto"/>
        <w:ind w:firstLine="567"/>
        <w:jc w:val="both"/>
      </w:pPr>
      <w:r w:rsidRPr="00E345B2">
        <w:t xml:space="preserve">Ջերմային գոլորշիացման կամ ջերմային ցնդեցման (բարձր ջերմաստիճանի ազդեցության տակ) ժամանակ ազդող նյութի (նյութերի) ձերբազատմամբ անասնաբուժական թիթեղները վերահսկում են ըստ դյուրավառության </w:t>
      </w:r>
      <w:r>
        <w:t>եւ</w:t>
      </w:r>
      <w:r w:rsidRPr="00E345B2">
        <w:t xml:space="preserve"> մարմրման բնույթի՝ </w:t>
      </w:r>
      <w:r w:rsidRPr="00EA4CEF">
        <w:rPr>
          <w:i/>
        </w:rPr>
        <w:t>«2.1.9.28. Անասնաբուժական թիթեղների, անասնաբուժական քուղերի եւ ինհալացիաների համար անասնաբուժական պինդ դեղաձեւերի տեսքով դեղապատրաստուկների դյուրավառությունը եւ մարմրման բնույթը» ընդհանուր դեղագրքային հոդվածին համապատասխան, ինչպես նաեւ ըստ մարմրման ժամանակի՝ «2.1.9.29. Անասնաբուժական թիթեղների, անասնաբուժական քուղերի եւ ինհալացիաների համար անասնաբուժական պինդ դեղաձեւերի տեսքով դեղապատրաստուկների մարմրման ժամանակի որոշումը»</w:t>
      </w:r>
      <w:r w:rsidRPr="00E345B2">
        <w:t xml:space="preserve"> ընդհանուր դեղագրքային հոդվածին համապատասխան։</w:t>
      </w:r>
    </w:p>
    <w:p w14:paraId="7F681D49" w14:textId="77777777" w:rsidR="0035054F" w:rsidRPr="00E345B2" w:rsidRDefault="0035054F" w:rsidP="00EA4CEF">
      <w:pPr>
        <w:spacing w:after="160" w:line="360" w:lineRule="auto"/>
        <w:ind w:firstLine="567"/>
        <w:jc w:val="both"/>
      </w:pPr>
      <w:r w:rsidRPr="00E345B2">
        <w:t xml:space="preserve">Անհրաժեշտության դեպքում անասնաբուժական թիթեղների արտադրման, փաթեթավորման </w:t>
      </w:r>
      <w:r>
        <w:t>եւ</w:t>
      </w:r>
      <w:r w:rsidRPr="00E345B2">
        <w:t xml:space="preserve"> պահպանման ժամանակ ձեռնարկվում են մանրէաբանական մաքրությունն ապահովող միջոցներ՝ </w:t>
      </w:r>
      <w:r w:rsidRPr="00EA4CEF">
        <w:rPr>
          <w:i/>
        </w:rPr>
        <w:t>«2.3.1.2.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հոդվածին համապատասխան։</w:t>
      </w:r>
    </w:p>
    <w:p w14:paraId="583874ED" w14:textId="77777777" w:rsidR="0035054F" w:rsidRPr="00E345B2" w:rsidRDefault="0035054F" w:rsidP="00EA4CEF">
      <w:pPr>
        <w:spacing w:after="160" w:line="360" w:lineRule="auto"/>
        <w:ind w:firstLine="567"/>
        <w:jc w:val="both"/>
      </w:pPr>
      <w:r w:rsidRPr="00E345B2">
        <w:t xml:space="preserve">Եթե անասնաբուժական թիթեղների բաղադրության մեջ մտնում են ցնդող նյութեր, արտադրության գործընթացում վերահսկում են փաթեթվածքի հերմետիկությունը՝ </w:t>
      </w:r>
      <w:r w:rsidRPr="00EA4CEF">
        <w:rPr>
          <w:i/>
        </w:rPr>
        <w:t>«2.1.9.19. Փաթեթվածքի հերմետիկության որոշումը»</w:t>
      </w:r>
      <w:r w:rsidRPr="00E345B2">
        <w:t xml:space="preserve"> ընդհանուր դեղագրքային հոդվածին համապատասխան։</w:t>
      </w:r>
    </w:p>
    <w:p w14:paraId="08EA883C" w14:textId="77777777" w:rsidR="0035054F" w:rsidRPr="00E345B2" w:rsidRDefault="0035054F" w:rsidP="0035054F">
      <w:pPr>
        <w:spacing w:after="160" w:line="360" w:lineRule="auto"/>
      </w:pPr>
    </w:p>
    <w:p w14:paraId="28791AFF" w14:textId="77777777" w:rsidR="0035054F" w:rsidRPr="00EA4CEF" w:rsidRDefault="0035054F" w:rsidP="00EA4CEF">
      <w:pPr>
        <w:spacing w:after="160" w:line="360" w:lineRule="auto"/>
        <w:ind w:firstLine="567"/>
        <w:jc w:val="both"/>
        <w:rPr>
          <w:b/>
        </w:rPr>
      </w:pPr>
      <w:r w:rsidRPr="00EA4CEF">
        <w:rPr>
          <w:b/>
        </w:rPr>
        <w:lastRenderedPageBreak/>
        <w:t>ՓՈՐՁԱՐԿՈՒՄՆԵՐԸ</w:t>
      </w:r>
    </w:p>
    <w:p w14:paraId="490D8120" w14:textId="77777777" w:rsidR="0035054F" w:rsidRPr="00E345B2" w:rsidRDefault="0035054F" w:rsidP="00EA4CEF">
      <w:pPr>
        <w:spacing w:after="160" w:line="360" w:lineRule="auto"/>
        <w:ind w:firstLine="567"/>
        <w:jc w:val="both"/>
      </w:pPr>
      <w:r w:rsidRPr="00E345B2">
        <w:t xml:space="preserve">Անասնաբուժական թիթեղները պետք է համապատասխանեն </w:t>
      </w:r>
      <w:r w:rsidRPr="000B1C22">
        <w:rPr>
          <w:i/>
        </w:rPr>
        <w:t>«2.5.1.1. Դեղաձեւերը»</w:t>
      </w:r>
      <w:r w:rsidRPr="00E345B2">
        <w:t xml:space="preserve"> ընդհանուր դեղագրքային հոդվածի ընդհանուր պահանջներին </w:t>
      </w:r>
      <w:r>
        <w:t>եւ</w:t>
      </w:r>
      <w:r w:rsidRPr="00E345B2">
        <w:t xml:space="preserve"> անցնեն տվյալ դեղաձ</w:t>
      </w:r>
      <w:r>
        <w:t>եւ</w:t>
      </w:r>
      <w:r w:rsidRPr="00E345B2">
        <w:t>ին բնորոշ փորձարկումները։</w:t>
      </w:r>
    </w:p>
    <w:p w14:paraId="261F9652" w14:textId="77777777" w:rsidR="0035054F" w:rsidRPr="00E345B2" w:rsidRDefault="0035054F" w:rsidP="00EA4CEF">
      <w:pPr>
        <w:spacing w:after="160" w:line="360" w:lineRule="auto"/>
        <w:ind w:firstLine="567"/>
        <w:jc w:val="both"/>
      </w:pPr>
      <w:r w:rsidRPr="00EA4CEF">
        <w:rPr>
          <w:b/>
        </w:rPr>
        <w:t>Նկարագրությունը.</w:t>
      </w:r>
      <w:r w:rsidRPr="00E345B2">
        <w:t xml:space="preserve"> Անասնաբուժական թիթեղների համար ներկայացնում են արտաքին տեսքի, գույնի, առկայության դեպքում՝ հոտի նկարագրությունը։</w:t>
      </w:r>
    </w:p>
    <w:p w14:paraId="24D69EA2" w14:textId="77777777" w:rsidR="0035054F" w:rsidRPr="00E345B2" w:rsidRDefault="0035054F" w:rsidP="00EA4CEF">
      <w:pPr>
        <w:spacing w:after="160" w:line="360" w:lineRule="auto"/>
        <w:ind w:firstLine="567"/>
        <w:jc w:val="both"/>
      </w:pPr>
      <w:r w:rsidRPr="00EA4CEF">
        <w:rPr>
          <w:b/>
        </w:rPr>
        <w:t>Թիթեղի չափերը</w:t>
      </w:r>
      <w:r w:rsidRPr="00E345B2">
        <w:t xml:space="preserve">. Անասնաբուժական թիթեղի չափերը վերահսկում են ըստ միլիմետրերով երկարության, լայնության </w:t>
      </w:r>
      <w:r>
        <w:t>եւ</w:t>
      </w:r>
      <w:r w:rsidRPr="00E345B2">
        <w:t xml:space="preserve"> հաստության։ Հաստությունը կարող է չափվել մեկ կամ մի քանի կետերում, եթե դա տարբեր է։ Փորձարկման համար նախատեսված անասնաբուժական թիթեղների քանակը </w:t>
      </w:r>
      <w:r>
        <w:t>եւ</w:t>
      </w:r>
      <w:r w:rsidRPr="00E345B2">
        <w:t xml:space="preserve"> չափերի թույլատրելի շեղումները ներկայացվում են մասնավոր դեղագրքային հոդվածում կամ անասնաբուժական դեղամիջոցի վերաբերյալ նորմատիվ փաստաթղթում։</w:t>
      </w:r>
    </w:p>
    <w:p w14:paraId="58907455" w14:textId="77777777" w:rsidR="0035054F" w:rsidRPr="00E345B2" w:rsidRDefault="0035054F" w:rsidP="00EA4CEF">
      <w:pPr>
        <w:spacing w:after="160" w:line="360" w:lineRule="auto"/>
        <w:ind w:firstLine="567"/>
        <w:jc w:val="both"/>
      </w:pPr>
      <w:r w:rsidRPr="000B1C22">
        <w:rPr>
          <w:b/>
          <w:spacing w:val="-4"/>
        </w:rPr>
        <w:t>Միջին զանգվածը</w:t>
      </w:r>
      <w:r w:rsidRPr="000B1C22">
        <w:rPr>
          <w:spacing w:val="-4"/>
        </w:rPr>
        <w:t>։ Փորձարկման համար նախատեսված անասնաբուժական թիթեղների քանակը եւ միջին զանգվածի թույլատրելի շեղումները ներկայացվում են մասնավոր դեղագրքային հոդվածում կամ անասնաբուժական դեղամիջոցի վերաբերյալ</w:t>
      </w:r>
      <w:r w:rsidRPr="00E345B2">
        <w:t xml:space="preserve"> նորմատիվ փաստաթղթում։</w:t>
      </w:r>
    </w:p>
    <w:p w14:paraId="38CBC5A9" w14:textId="77777777" w:rsidR="0035054F" w:rsidRPr="00E345B2" w:rsidRDefault="0035054F" w:rsidP="00EA4CEF">
      <w:pPr>
        <w:spacing w:after="160" w:line="360" w:lineRule="auto"/>
        <w:ind w:firstLine="567"/>
        <w:jc w:val="both"/>
      </w:pPr>
      <w:r w:rsidRPr="00EA4CEF">
        <w:rPr>
          <w:b/>
        </w:rPr>
        <w:t>Մանրէաբանական մաքրությունը.</w:t>
      </w:r>
      <w:r w:rsidRPr="00E345B2">
        <w:t xml:space="preserve"> Եթե մասնավոր դեղագրքային հոդվածում կամ անասնաբուժական դեղամիջոցի վերաբերյալ նորմատիվ փաստաթղթում այլ բան նշված չէ, անասնաբուժական թիթեղները պետք է </w:t>
      </w:r>
      <w:r w:rsidRPr="00EA4CEF">
        <w:rPr>
          <w:i/>
        </w:rPr>
        <w:t>բավարարեն «2.3.1.2.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 պահանջները։</w:t>
      </w:r>
    </w:p>
    <w:p w14:paraId="7C6AA3A1" w14:textId="77777777" w:rsidR="0035054F" w:rsidRPr="00E345B2" w:rsidRDefault="0035054F" w:rsidP="00EA4CEF">
      <w:pPr>
        <w:spacing w:after="160" w:line="360" w:lineRule="auto"/>
        <w:ind w:firstLine="567"/>
        <w:jc w:val="both"/>
      </w:pPr>
    </w:p>
    <w:p w14:paraId="22146362" w14:textId="77777777" w:rsidR="0035054F" w:rsidRPr="00EA4CEF" w:rsidRDefault="0035054F" w:rsidP="00EA4CEF">
      <w:pPr>
        <w:spacing w:after="160" w:line="360" w:lineRule="auto"/>
        <w:ind w:firstLine="567"/>
        <w:jc w:val="both"/>
        <w:rPr>
          <w:b/>
        </w:rPr>
      </w:pPr>
      <w:r w:rsidRPr="00EA4CEF">
        <w:rPr>
          <w:b/>
        </w:rPr>
        <w:t>ՓԱԹԵԹՎԱԾՔԸ</w:t>
      </w:r>
    </w:p>
    <w:p w14:paraId="03355EE0" w14:textId="77777777" w:rsidR="0035054F" w:rsidRPr="00E345B2" w:rsidRDefault="0035054F" w:rsidP="00EA4CEF">
      <w:pPr>
        <w:spacing w:after="160" w:line="360" w:lineRule="auto"/>
        <w:ind w:firstLine="567"/>
        <w:jc w:val="both"/>
      </w:pPr>
      <w:r w:rsidRPr="00E345B2">
        <w:t>Անասնաբուժական թիթեղները փաթեթավորում են անհրաժեշտության դեպքում մանրէաբանական մաքրությունն ապահովող առանձին փաթեթվածքների մեջ։</w:t>
      </w:r>
    </w:p>
    <w:p w14:paraId="31857AA9" w14:textId="77777777" w:rsidR="0035054F" w:rsidRPr="00E345B2" w:rsidRDefault="0035054F" w:rsidP="00EA4CEF">
      <w:pPr>
        <w:spacing w:after="160" w:line="360" w:lineRule="auto"/>
        <w:ind w:firstLine="567"/>
        <w:jc w:val="both"/>
      </w:pPr>
      <w:r w:rsidRPr="00E345B2">
        <w:lastRenderedPageBreak/>
        <w:t>Թիթեղների բաղադրության մեջ անասնաբուժական ցնդող նյութերի առկայության դեպքում փաթեթվածքը պետք է լինի հերմետիկ։</w:t>
      </w:r>
    </w:p>
    <w:p w14:paraId="68BF8394" w14:textId="77777777" w:rsidR="0035054F" w:rsidRPr="00E345B2" w:rsidRDefault="0035054F" w:rsidP="00EA4CEF">
      <w:pPr>
        <w:spacing w:after="160" w:line="360" w:lineRule="auto"/>
        <w:ind w:firstLine="567"/>
        <w:jc w:val="both"/>
      </w:pPr>
      <w:r w:rsidRPr="00E345B2">
        <w:t>Փաթեթվածքի նյութերով պետք է հաշվի առնվեն դեղաձ</w:t>
      </w:r>
      <w:r>
        <w:t>եւ</w:t>
      </w:r>
      <w:r w:rsidRPr="00E345B2">
        <w:t>ի կիրառման առանձնահատկությունները։</w:t>
      </w:r>
    </w:p>
    <w:p w14:paraId="1627C1F9" w14:textId="77777777" w:rsidR="00EA4CEF" w:rsidRDefault="00EA4CEF">
      <w:r>
        <w:br w:type="page"/>
      </w:r>
    </w:p>
    <w:p w14:paraId="0E4934F1" w14:textId="77777777" w:rsidR="0035054F" w:rsidRPr="00EA4CEF" w:rsidRDefault="0035054F" w:rsidP="00B867ED">
      <w:pPr>
        <w:spacing w:after="160" w:line="346" w:lineRule="auto"/>
        <w:jc w:val="center"/>
        <w:rPr>
          <w:b/>
        </w:rPr>
      </w:pPr>
      <w:r w:rsidRPr="00EA4CEF">
        <w:rPr>
          <w:b/>
        </w:rPr>
        <w:lastRenderedPageBreak/>
        <w:t>2.5.3. ԴԵՂԱՊԱՏՐԱՍՏՈՒԿՆԵՐԸ</w:t>
      </w:r>
    </w:p>
    <w:p w14:paraId="2980BFF8" w14:textId="77777777" w:rsidR="0035054F" w:rsidRPr="00EA4CEF" w:rsidRDefault="0035054F" w:rsidP="00B867ED">
      <w:pPr>
        <w:spacing w:after="160" w:line="346" w:lineRule="auto"/>
        <w:jc w:val="right"/>
        <w:rPr>
          <w:b/>
          <w:sz w:val="20"/>
        </w:rPr>
      </w:pPr>
      <w:r w:rsidRPr="00EA4CEF">
        <w:rPr>
          <w:b/>
          <w:sz w:val="20"/>
        </w:rPr>
        <w:t>205030001-2022</w:t>
      </w:r>
    </w:p>
    <w:p w14:paraId="4B514C55" w14:textId="77777777" w:rsidR="0035054F" w:rsidRPr="00EA4CEF" w:rsidRDefault="0035054F" w:rsidP="00B867ED">
      <w:pPr>
        <w:spacing w:after="160" w:line="346" w:lineRule="auto"/>
        <w:rPr>
          <w:b/>
        </w:rPr>
      </w:pPr>
    </w:p>
    <w:p w14:paraId="08EA3E69" w14:textId="77777777" w:rsidR="0035054F" w:rsidRPr="00EA4CEF" w:rsidRDefault="0035054F" w:rsidP="00B867ED">
      <w:pPr>
        <w:tabs>
          <w:tab w:val="left" w:pos="1701"/>
        </w:tabs>
        <w:spacing w:after="160" w:line="346" w:lineRule="auto"/>
        <w:ind w:firstLine="567"/>
        <w:jc w:val="both"/>
        <w:rPr>
          <w:b/>
        </w:rPr>
      </w:pPr>
      <w:r w:rsidRPr="00EA4CEF">
        <w:rPr>
          <w:b/>
        </w:rPr>
        <w:t>2.5.3.1.</w:t>
      </w:r>
      <w:r w:rsidR="00EA4CEF" w:rsidRPr="00B5542D">
        <w:rPr>
          <w:b/>
        </w:rPr>
        <w:tab/>
      </w:r>
      <w:r w:rsidRPr="00EA4CEF">
        <w:rPr>
          <w:b/>
        </w:rPr>
        <w:t>Դեղապատրաստուկները</w:t>
      </w:r>
    </w:p>
    <w:p w14:paraId="1D68FA58" w14:textId="77777777" w:rsidR="0035054F" w:rsidRPr="00E345B2" w:rsidRDefault="0035054F" w:rsidP="00B867ED">
      <w:pPr>
        <w:spacing w:after="160" w:line="346" w:lineRule="auto"/>
        <w:ind w:firstLine="567"/>
        <w:jc w:val="both"/>
      </w:pPr>
      <w:r w:rsidRPr="00E345B2">
        <w:t>Սույն ընդհանուր դեղագրքային հոդվածը սահմանում է դեղապատրաստուկներին ներկայացվող ընդհանուր պահանջները:</w:t>
      </w:r>
    </w:p>
    <w:p w14:paraId="5F58BE49" w14:textId="77777777" w:rsidR="0035054F" w:rsidRPr="00E345B2" w:rsidRDefault="0035054F" w:rsidP="00B867ED">
      <w:pPr>
        <w:spacing w:after="160" w:line="346" w:lineRule="auto"/>
        <w:ind w:firstLine="567"/>
        <w:jc w:val="both"/>
      </w:pPr>
      <w:r w:rsidRPr="00E345B2">
        <w:t>Դեղապատրաստուկներ՝ դեղաձ</w:t>
      </w:r>
      <w:r>
        <w:t>եւ</w:t>
      </w:r>
      <w:r w:rsidRPr="00E345B2">
        <w:t>երի տեսքով դեղամիջոցներ:</w:t>
      </w:r>
    </w:p>
    <w:p w14:paraId="6A88D8D3" w14:textId="77777777" w:rsidR="0035054F" w:rsidRPr="00E345B2" w:rsidRDefault="0035054F" w:rsidP="00B867ED">
      <w:pPr>
        <w:spacing w:after="160" w:line="346" w:lineRule="auto"/>
        <w:ind w:firstLine="567"/>
        <w:jc w:val="both"/>
      </w:pPr>
      <w:r w:rsidRPr="00E345B2">
        <w:t>Եվրասիական տնտեսական միության երկրների տարածքներ շրջանառության մեջ մտնող դեղապատրաստուկները պետք է սահմանված կարգով գրանցված լինեն լիազորված մարմնի կողմից։</w:t>
      </w:r>
    </w:p>
    <w:p w14:paraId="1EF2FC7B" w14:textId="77777777" w:rsidR="0035054F" w:rsidRPr="00E345B2" w:rsidRDefault="0035054F" w:rsidP="00B867ED">
      <w:pPr>
        <w:spacing w:after="160" w:line="346" w:lineRule="auto"/>
        <w:ind w:firstLine="567"/>
        <w:jc w:val="both"/>
      </w:pPr>
      <w:r w:rsidRPr="00EA4CEF">
        <w:rPr>
          <w:spacing w:val="-6"/>
        </w:rPr>
        <w:t>Գրանցման ենթակա չեն այն դեղապատրաստուկները, որոնք պատրաստված են դեղատնային կազմակերպությունների կողմից՝ բժիշկների դեղատոմսերով, բժշկական կամ</w:t>
      </w:r>
      <w:r w:rsidRPr="00E345B2">
        <w:t xml:space="preserve"> անասնաբուժական կազմակերպությունների պահանջներով։</w:t>
      </w:r>
    </w:p>
    <w:p w14:paraId="6ACCCEC0" w14:textId="77777777" w:rsidR="0035054F" w:rsidRPr="00E345B2" w:rsidRDefault="0035054F" w:rsidP="00B867ED">
      <w:pPr>
        <w:spacing w:after="160" w:line="346" w:lineRule="auto"/>
        <w:ind w:firstLine="567"/>
        <w:jc w:val="both"/>
      </w:pPr>
      <w:r w:rsidRPr="00E345B2">
        <w:t xml:space="preserve">Դեղապատրաստուկը կարող է պարունակել մեկ կամ մի քանի ազդող նյութեր (ակտիվ դեղագործական բաղադրամասեր) </w:t>
      </w:r>
      <w:r>
        <w:t>եւ</w:t>
      </w:r>
      <w:r w:rsidRPr="00E345B2">
        <w:t xml:space="preserve"> որպես կանոն, մեկ կամ մի քանի օժանդակ նյութեր կամ հիմք։ Մի շարք դեպքերում դեղապատրաստուկն օժանդակ նյութեր կարող է չպարունակել։</w:t>
      </w:r>
    </w:p>
    <w:p w14:paraId="4E24944F" w14:textId="77777777" w:rsidR="0035054F" w:rsidRPr="00E345B2" w:rsidRDefault="0035054F" w:rsidP="00B867ED">
      <w:pPr>
        <w:spacing w:after="160" w:line="346" w:lineRule="auto"/>
        <w:ind w:firstLine="567"/>
        <w:jc w:val="both"/>
      </w:pPr>
      <w:r w:rsidRPr="00E345B2">
        <w:t>Այն դեղապատրաստուկները, որոնց բաղադրության մեջ մտնում են մեկից ավելի ազդող նյութեր (ակտիվ դեղագործական բաղադրամասեր), կոչվում են համակցված կամ բազմաբաղադրիչ։</w:t>
      </w:r>
    </w:p>
    <w:p w14:paraId="6C5A7E94" w14:textId="77777777" w:rsidR="0035054F" w:rsidRPr="00E345B2" w:rsidRDefault="0035054F" w:rsidP="00B867ED">
      <w:pPr>
        <w:spacing w:after="160" w:line="346" w:lineRule="auto"/>
        <w:ind w:firstLine="567"/>
        <w:jc w:val="both"/>
      </w:pPr>
      <w:r w:rsidRPr="00E345B2">
        <w:t>Սույն ընդհանուր դեղագրքային հոդվածի պահանջների հետ մեկտեղ դեղապատրաստուկները նա</w:t>
      </w:r>
      <w:r>
        <w:t>եւ</w:t>
      </w:r>
      <w:r w:rsidRPr="00E345B2">
        <w:t xml:space="preserve"> պետք է համապատասխանեն </w:t>
      </w:r>
      <w:r w:rsidRPr="00EA4CEF">
        <w:rPr>
          <w:i/>
        </w:rPr>
        <w:t>«Ընդհանուր տեղեկություններ» 1-ին բաժնի</w:t>
      </w:r>
      <w:r w:rsidRPr="00E345B2">
        <w:t xml:space="preserve"> </w:t>
      </w:r>
      <w:r>
        <w:t>եւ</w:t>
      </w:r>
      <w:r w:rsidRPr="00E345B2">
        <w:t xml:space="preserve"> դեղապատրաստուկների խմբերին առնչվող համապատասխան ընդհանուր դեղագրքային հոդվածների պահանջներին։</w:t>
      </w:r>
    </w:p>
    <w:p w14:paraId="66B6D279" w14:textId="77777777" w:rsidR="0035054F" w:rsidRPr="00E345B2" w:rsidRDefault="0035054F" w:rsidP="00B867ED">
      <w:pPr>
        <w:spacing w:after="160" w:line="346" w:lineRule="auto"/>
        <w:ind w:firstLine="567"/>
        <w:jc w:val="both"/>
      </w:pPr>
      <w:r w:rsidRPr="00E345B2">
        <w:t>Դեղապատրաստուկները պետք է նա</w:t>
      </w:r>
      <w:r>
        <w:t>եւ</w:t>
      </w:r>
      <w:r w:rsidRPr="00E345B2">
        <w:t xml:space="preserve"> բավարարեն այն դեղաձ</w:t>
      </w:r>
      <w:r>
        <w:t>եւ</w:t>
      </w:r>
      <w:r w:rsidRPr="00E345B2">
        <w:t>երին առնչվող ընդհանուր դեղագրքային հոդվածի պահանջները, որոնց ձ</w:t>
      </w:r>
      <w:r>
        <w:t>եւ</w:t>
      </w:r>
      <w:r w:rsidRPr="00E345B2">
        <w:t>ով դրանք թողարկվել են։</w:t>
      </w:r>
    </w:p>
    <w:p w14:paraId="0EB55C94" w14:textId="77777777" w:rsidR="0035054F" w:rsidRPr="00B5542D" w:rsidRDefault="0035054F" w:rsidP="00EA4CEF">
      <w:pPr>
        <w:spacing w:after="160" w:line="360" w:lineRule="auto"/>
        <w:ind w:firstLine="567"/>
        <w:jc w:val="both"/>
      </w:pPr>
      <w:r w:rsidRPr="00E345B2">
        <w:lastRenderedPageBreak/>
        <w:t xml:space="preserve">Մարդուց կամ կենդանուց վերցված նյութերի օգտագործմամբ ստացված դեղապատրաստուկները ընդունելիության դեպքում պետք է բավարարեն </w:t>
      </w:r>
      <w:r w:rsidRPr="000B1C22">
        <w:rPr>
          <w:i/>
        </w:rPr>
        <w:t>«2.3.1.3. Վիրուսային անվտանգությունը»</w:t>
      </w:r>
      <w:r w:rsidRPr="00E345B2">
        <w:t xml:space="preserve"> ընդհանուր դեղագրքային հոդվածի պահանջները </w:t>
      </w:r>
      <w:r>
        <w:t>եւ</w:t>
      </w:r>
      <w:r w:rsidRPr="00E345B2">
        <w:t xml:space="preserve"> այլն։</w:t>
      </w:r>
    </w:p>
    <w:p w14:paraId="5EAD4D77" w14:textId="77777777" w:rsidR="00EA4CEF" w:rsidRPr="00B5542D" w:rsidRDefault="00EA4CEF" w:rsidP="00EA4CEF">
      <w:pPr>
        <w:spacing w:after="160" w:line="360" w:lineRule="auto"/>
        <w:ind w:firstLine="567"/>
        <w:jc w:val="both"/>
      </w:pPr>
    </w:p>
    <w:p w14:paraId="3981B4CF" w14:textId="77777777" w:rsidR="0035054F" w:rsidRPr="00EA4CEF" w:rsidRDefault="0035054F" w:rsidP="00EA4CEF">
      <w:pPr>
        <w:spacing w:after="160" w:line="360" w:lineRule="auto"/>
        <w:ind w:firstLine="567"/>
        <w:jc w:val="both"/>
        <w:rPr>
          <w:b/>
        </w:rPr>
      </w:pPr>
      <w:r w:rsidRPr="00EA4CEF">
        <w:rPr>
          <w:b/>
        </w:rPr>
        <w:t>ՏԵԽՆՈԼՈԳԻԱՅԻ ԱՌԱՆՁՆԱՀԱՏԿՈՒԹՅՈՒՆՆԵՐԸ</w:t>
      </w:r>
    </w:p>
    <w:p w14:paraId="4002363A" w14:textId="77777777" w:rsidR="0035054F" w:rsidRPr="00E345B2" w:rsidRDefault="0035054F" w:rsidP="00EA4CEF">
      <w:pPr>
        <w:spacing w:after="160" w:line="360" w:lineRule="auto"/>
        <w:ind w:firstLine="567"/>
        <w:jc w:val="both"/>
      </w:pPr>
      <w:r w:rsidRPr="00E345B2">
        <w:t xml:space="preserve">Դեղապատրաստուկները պետք է ստացվեն այնպիսի դեղագործական մշակման արդյունքների հիման վրա, որը ներառում է համապատասխան նյութերի, գործընթացների, փորձարկումների </w:t>
      </w:r>
      <w:r>
        <w:t>եւ</w:t>
      </w:r>
      <w:r w:rsidRPr="00E345B2">
        <w:t xml:space="preserve"> այլ պարամետրերի ընտրությունը, որոնք ապահովում են պահանջվող որակ, պիտանիության սահմանված ժամկետի ընթացքում կայունություն </w:t>
      </w:r>
      <w:r>
        <w:t>եւ</w:t>
      </w:r>
      <w:r w:rsidRPr="00E345B2">
        <w:t xml:space="preserve"> արդյունավետություն ունեցող դեղապատրաստուկի թողարկումը։</w:t>
      </w:r>
    </w:p>
    <w:p w14:paraId="2FE71E6C" w14:textId="77777777" w:rsidR="0035054F" w:rsidRPr="00E345B2" w:rsidRDefault="0035054F" w:rsidP="00EA4CEF">
      <w:pPr>
        <w:spacing w:after="160" w:line="360" w:lineRule="auto"/>
        <w:ind w:firstLine="567"/>
        <w:jc w:val="both"/>
      </w:pPr>
      <w:r w:rsidRPr="00E345B2">
        <w:t>Դեղապատրաստուկների արտադրությունը արտադրության գործընթացի մեկ, մի քանի կամ բոլոր փուլերում դեղապատրաստուկներն արտադրողների կողմից դեղապատրաստուկների արտադրման, ինչպես նա</w:t>
      </w:r>
      <w:r>
        <w:t>եւ</w:t>
      </w:r>
      <w:r w:rsidRPr="00E345B2">
        <w:t xml:space="preserve"> արտադրված դեղապատրաստուկների պահպանման, փոխադրման </w:t>
      </w:r>
      <w:r>
        <w:t>եւ</w:t>
      </w:r>
      <w:r w:rsidRPr="00E345B2">
        <w:t xml:space="preserve"> իրացման գործունեությունն է։</w:t>
      </w:r>
    </w:p>
    <w:p w14:paraId="5086D66C" w14:textId="77777777" w:rsidR="0035054F" w:rsidRPr="00E345B2" w:rsidRDefault="0035054F" w:rsidP="00EA4CEF">
      <w:pPr>
        <w:spacing w:after="160" w:line="360" w:lineRule="auto"/>
        <w:ind w:firstLine="567"/>
        <w:jc w:val="both"/>
      </w:pPr>
      <w:r w:rsidRPr="00E345B2">
        <w:t xml:space="preserve">Գրանցված դեղապատրաստուկների արտադրությունը </w:t>
      </w:r>
      <w:r>
        <w:t>եւ</w:t>
      </w:r>
      <w:r w:rsidRPr="00E345B2">
        <w:t xml:space="preserve"> որակի հսկողությունը պետք է իրականացվեն դեղամիջոցների արտադրության համապատասխան թույլտվություններ (լիցենզիաներ) ունեցող դեղապատրաստուկներն արտադրողների կողմից՝ սահմանված կարգով հաստատված՝ Եվրասիական տնտեսական միության պատշաճ արտադրական գործունեության կանոններին համապատասխան, </w:t>
      </w:r>
      <w:r>
        <w:t>եւ</w:t>
      </w:r>
      <w:r w:rsidRPr="00E345B2">
        <w:t xml:space="preserve"> պետք է համապատասխանեն ինչպես նշված Կանոնների ընդհանուր պահանջներին, այնպես էլ դեղապատրաստուկների առանձին տեսակների (տիպերի) արտադրության կազմակերպմանը ներկայացվող պահանջներին, ներառյալ՝ մանրէազերծ, բուսական, կենսաբանական, ռադիոդեղագործական դեղապատրաստուկները, բժշկական գազերը </w:t>
      </w:r>
      <w:r>
        <w:t>եւ</w:t>
      </w:r>
      <w:r w:rsidRPr="00E345B2">
        <w:t xml:space="preserve"> այլն։</w:t>
      </w:r>
    </w:p>
    <w:p w14:paraId="5FDCC81F" w14:textId="77777777" w:rsidR="0035054F" w:rsidRPr="00E345B2" w:rsidRDefault="0035054F" w:rsidP="00EA4CEF">
      <w:pPr>
        <w:spacing w:after="160" w:line="360" w:lineRule="auto"/>
        <w:ind w:firstLine="567"/>
        <w:jc w:val="both"/>
      </w:pPr>
      <w:r w:rsidRPr="00E345B2">
        <w:lastRenderedPageBreak/>
        <w:t xml:space="preserve">Դեղապատրաստուկների պատրաստումը գրանցման ոչ ենթակա դեղապատրաստուկների պատրաստման գործունեություն է, որն իրականացվում է համապատասխան թույլտվություն (լիցենզիա) ունեցող դեղատնային կազմակերպությունների կողմից՝ բժշկական կամ անասնաբուժական կազմակերպությունների պահանջներով </w:t>
      </w:r>
      <w:r>
        <w:t>եւ</w:t>
      </w:r>
      <w:r w:rsidRPr="00E345B2">
        <w:t xml:space="preserve"> բժիշկների դեղատոմսերով։</w:t>
      </w:r>
    </w:p>
    <w:p w14:paraId="33F633C4" w14:textId="77777777" w:rsidR="0035054F" w:rsidRPr="00E345B2" w:rsidRDefault="0035054F" w:rsidP="00EA4CEF">
      <w:pPr>
        <w:tabs>
          <w:tab w:val="left" w:pos="1134"/>
        </w:tabs>
        <w:spacing w:after="160" w:line="360" w:lineRule="auto"/>
        <w:ind w:firstLine="567"/>
        <w:jc w:val="both"/>
      </w:pPr>
      <w:r w:rsidRPr="00E345B2">
        <w:t>Որպես կանոն, առանձնացնում են այն դեղապատրաստուկների հետ</w:t>
      </w:r>
      <w:r>
        <w:t>եւ</w:t>
      </w:r>
      <w:r w:rsidRPr="00E345B2">
        <w:t>յալ հիմնական կատեգորիաները, որոնք կարող են պատրաստվել դեղատնային կազմակերպությունների կողմից.</w:t>
      </w:r>
    </w:p>
    <w:p w14:paraId="072CAC44" w14:textId="77777777" w:rsidR="0035054F" w:rsidRPr="00E345B2" w:rsidRDefault="0035054F" w:rsidP="00EA4CEF">
      <w:pPr>
        <w:tabs>
          <w:tab w:val="left" w:pos="1134"/>
        </w:tabs>
        <w:spacing w:after="160" w:line="360" w:lineRule="auto"/>
        <w:ind w:firstLine="567"/>
        <w:jc w:val="both"/>
      </w:pPr>
      <w:r w:rsidRPr="00E345B2">
        <w:t>-</w:t>
      </w:r>
      <w:r w:rsidR="00EA4CEF" w:rsidRPr="00EA4CEF">
        <w:tab/>
      </w:r>
      <w:r w:rsidRPr="00E345B2">
        <w:t xml:space="preserve">դեղապատրաստուկներ, որոնք պատրաստվել են բժիշկների դեղատոմսերով, բժշկական կամ անասնաբուժական կազմակերպությունների պահանջներով՝ մեկ պացիենտի, պացիենտների խմբի կամ կենդանիների համար, </w:t>
      </w:r>
      <w:r>
        <w:t>եւ</w:t>
      </w:r>
      <w:r w:rsidRPr="00E345B2">
        <w:t xml:space="preserve"> բաց են թողնվում պատրաստելուց հետո (էքստեմպորալ պատրաստուկներ),</w:t>
      </w:r>
    </w:p>
    <w:p w14:paraId="57D959CF" w14:textId="77777777" w:rsidR="0035054F" w:rsidRPr="00E345B2" w:rsidRDefault="0035054F" w:rsidP="00EA4CEF">
      <w:pPr>
        <w:tabs>
          <w:tab w:val="left" w:pos="1134"/>
        </w:tabs>
        <w:spacing w:after="160" w:line="360" w:lineRule="auto"/>
        <w:ind w:firstLine="567"/>
        <w:jc w:val="both"/>
      </w:pPr>
      <w:r w:rsidRPr="00E345B2">
        <w:t>-</w:t>
      </w:r>
      <w:r w:rsidR="00EA4CEF" w:rsidRPr="00EA4CEF">
        <w:tab/>
      </w:r>
      <w:r w:rsidRPr="00E345B2">
        <w:t xml:space="preserve">դեղապատրաստուկներ, որոնք պատրաստվել են նախապես՝ ներդեղատնային նախապատրաստուկի տեսքով, ըստ հաճախ հանդիպող նշանակումների, </w:t>
      </w:r>
      <w:r>
        <w:t>եւ</w:t>
      </w:r>
      <w:r w:rsidRPr="00E345B2">
        <w:t xml:space="preserve"> պահվում են մինչ</w:t>
      </w:r>
      <w:r>
        <w:t>եւ</w:t>
      </w:r>
      <w:r w:rsidRPr="00E345B2">
        <w:t xml:space="preserve"> բացթողման պահանջն ստանալը։ </w:t>
      </w:r>
    </w:p>
    <w:p w14:paraId="48574160" w14:textId="77777777" w:rsidR="0035054F" w:rsidRPr="00E345B2" w:rsidRDefault="0035054F" w:rsidP="00EA4CEF">
      <w:pPr>
        <w:spacing w:after="160" w:line="360" w:lineRule="auto"/>
        <w:ind w:firstLine="567"/>
        <w:jc w:val="both"/>
      </w:pPr>
      <w:r w:rsidRPr="00E345B2">
        <w:t xml:space="preserve">Դեղապատրաստուկներ ստանալու համար օգտագործող՝ դեղագործական կիրառման սուբստանցիաները պետք է համապատասխանեն մասնավոր դեղագրքային հոդվածների </w:t>
      </w:r>
      <w:r>
        <w:t>եւ</w:t>
      </w:r>
      <w:r w:rsidRPr="00E345B2">
        <w:t xml:space="preserve"> համապատասխան «</w:t>
      </w:r>
      <w:r w:rsidRPr="00EA4CEF">
        <w:rPr>
          <w:i/>
        </w:rPr>
        <w:t xml:space="preserve">2.3.18.0. Դեղագործական կիրառության համար սուբստանցիաները», «2.3.2.0. Մնացորդային օրգանական լուծիչները», «2.3.1.3. Վիրուսային անվտանգությունը» </w:t>
      </w:r>
      <w:r w:rsidRPr="00E345B2">
        <w:t>ընդհանուր դեղագրքային հոդվածների պահանջներին։</w:t>
      </w:r>
    </w:p>
    <w:p w14:paraId="5673DE49" w14:textId="77777777" w:rsidR="0035054F" w:rsidRPr="00E345B2" w:rsidRDefault="0035054F" w:rsidP="00EA4CEF">
      <w:pPr>
        <w:spacing w:after="160" w:line="360" w:lineRule="auto"/>
        <w:ind w:firstLine="567"/>
        <w:jc w:val="both"/>
      </w:pPr>
      <w:r w:rsidRPr="00E345B2">
        <w:t xml:space="preserve">Դեղապատրաստուկի բաղադրությամբ </w:t>
      </w:r>
      <w:r>
        <w:t>եւ</w:t>
      </w:r>
      <w:r w:rsidRPr="00E345B2">
        <w:t xml:space="preserve"> նշանակությամբ պայմանավորված՝ մի</w:t>
      </w:r>
      <w:r>
        <w:t>եւ</w:t>
      </w:r>
      <w:r w:rsidRPr="00E345B2">
        <w:t xml:space="preserve">նույն նյութը մի շարք դեպքերում դեղապատրաստուկի արտադրման/պատրաստման մեջ կարող է օգտագործվել թե՛ որպես ակտիվ դեղագործական բաղադրամաս </w:t>
      </w:r>
      <w:r>
        <w:t>եւ</w:t>
      </w:r>
      <w:r w:rsidRPr="00E345B2">
        <w:t xml:space="preserve"> թե՛ որպես օժանդակ նյութ։</w:t>
      </w:r>
    </w:p>
    <w:p w14:paraId="36236B44" w14:textId="77777777" w:rsidR="0035054F" w:rsidRPr="00E345B2" w:rsidRDefault="0035054F" w:rsidP="00EA4CEF">
      <w:pPr>
        <w:spacing w:after="160" w:line="360" w:lineRule="auto"/>
        <w:ind w:firstLine="567"/>
        <w:jc w:val="both"/>
      </w:pPr>
      <w:r w:rsidRPr="00E345B2">
        <w:t>Օգտագործվող ակտիվ դեղագործական բաղադրամասերի ֆիզիկաքիմիական հատկություններով, դեղաչափով, դեղաձ</w:t>
      </w:r>
      <w:r>
        <w:t>եւ</w:t>
      </w:r>
      <w:r w:rsidRPr="00E345B2">
        <w:t xml:space="preserve">ի դասակարգման հատկանիշներով </w:t>
      </w:r>
      <w:r w:rsidRPr="00E345B2">
        <w:lastRenderedPageBreak/>
        <w:t xml:space="preserve">(ներմուծման </w:t>
      </w:r>
      <w:r>
        <w:t>եւ</w:t>
      </w:r>
      <w:r w:rsidRPr="00E345B2">
        <w:t xml:space="preserve"> կիրառման եղանակը/ուղին, ագրեգատային վիճակը, դիսպերս համակարգի տեսակը, ազդող նյութերի ձերբազատման արագությունը </w:t>
      </w:r>
      <w:r>
        <w:t>եւ</w:t>
      </w:r>
      <w:r w:rsidRPr="00E345B2">
        <w:t xml:space="preserve"> բնույթը </w:t>
      </w:r>
      <w:r>
        <w:t>եւ</w:t>
      </w:r>
      <w:r w:rsidRPr="00E345B2">
        <w:t xml:space="preserve"> այլն) պայմանավորված՝ դեղապատրաստուկներ ստանալու համար օգտագործում են օժանդակ նյութերի տարբեր խմբեր՝ դրանց նշանակությանը համապատասխան՝ հակամանրէային կոնսերվանտներ, հակաօքսիդանտներ, կայունացուցիչներ, սոլյուբիլիզատորներ, էմուլսարարներ, փխրեցուցիչներ, քսանյութեր </w:t>
      </w:r>
      <w:r>
        <w:t>եւ</w:t>
      </w:r>
      <w:r w:rsidRPr="00E345B2">
        <w:t xml:space="preserve"> ներկանյութեր, համի կորիգենտներ, բուրավետիչներ </w:t>
      </w:r>
      <w:r>
        <w:t>եւ</w:t>
      </w:r>
      <w:r w:rsidRPr="00E345B2">
        <w:t xml:space="preserve"> այլն։</w:t>
      </w:r>
    </w:p>
    <w:p w14:paraId="07D6D3E4" w14:textId="77777777" w:rsidR="0035054F" w:rsidRPr="00E345B2" w:rsidRDefault="0035054F" w:rsidP="00EA4CEF">
      <w:pPr>
        <w:spacing w:after="160" w:line="360" w:lineRule="auto"/>
        <w:ind w:firstLine="567"/>
        <w:jc w:val="both"/>
      </w:pPr>
      <w:r w:rsidRPr="00E345B2">
        <w:t xml:space="preserve">Դեղապատրաստուկներ ստանալու ժամանակ օգտագործվող օժանդակ նյութերի ֆունկցիոնալ հատկությունների մասին մանրամասն տեղեկատվությունը ներկայացված է </w:t>
      </w:r>
      <w:r w:rsidRPr="00EA4CEF">
        <w:rPr>
          <w:i/>
        </w:rPr>
        <w:t xml:space="preserve">«2.3.7.0. Օժանդակ նյութերի ֆունկցիոնալ բնութագրերը» </w:t>
      </w:r>
      <w:r w:rsidRPr="00E345B2">
        <w:t>ընդհանուր դեղագրքային հոդվածում:</w:t>
      </w:r>
    </w:p>
    <w:p w14:paraId="578B908B" w14:textId="77777777" w:rsidR="0035054F" w:rsidRPr="00E345B2" w:rsidRDefault="0035054F" w:rsidP="00EA4CEF">
      <w:pPr>
        <w:spacing w:after="160" w:line="360" w:lineRule="auto"/>
        <w:ind w:firstLine="567"/>
        <w:jc w:val="both"/>
      </w:pPr>
      <w:r w:rsidRPr="00E345B2">
        <w:t xml:space="preserve">Պետք է ուսումնասիրվի դեղապատրաստուկի կայունությունը, պետք է սահմանվեն </w:t>
      </w:r>
      <w:r>
        <w:t>եւ</w:t>
      </w:r>
      <w:r w:rsidRPr="00E345B2">
        <w:t xml:space="preserve"> վերահսկվեն ակտիվ դեղագործական բաղադրամասերի, օժանդակ նյութերի ֆիզիկաքիմիական, ֆունկցիոնալ </w:t>
      </w:r>
      <w:r>
        <w:t>եւ</w:t>
      </w:r>
      <w:r w:rsidRPr="00E345B2">
        <w:t xml:space="preserve"> այլ բնութագրեր, դեղաձ</w:t>
      </w:r>
      <w:r>
        <w:t>եւ</w:t>
      </w:r>
      <w:r w:rsidRPr="00E345B2">
        <w:t xml:space="preserve">ի, փաթեթավորման համակարգի առանձնահատկությունները </w:t>
      </w:r>
      <w:r>
        <w:t>եւ</w:t>
      </w:r>
      <w:r w:rsidRPr="00E345B2">
        <w:t xml:space="preserve"> այլ այնպիսի պատճառներ, որոնք կարող են անբարենպաստ ազդեցություն գործել արտադրական գործընթացի վրա, դեղապատրաստուկի որակի վրա, այդ թվում՝ ենթադրվող պիտանիության ժամկետի ընթացքում դրա պահպանման, փոխադրման </w:t>
      </w:r>
      <w:r>
        <w:t>եւ</w:t>
      </w:r>
      <w:r w:rsidRPr="00E345B2">
        <w:t xml:space="preserve"> կիրառման ժամանակ </w:t>
      </w:r>
      <w:r>
        <w:t>եւ</w:t>
      </w:r>
      <w:r w:rsidRPr="00E345B2">
        <w:t xml:space="preserve"> այլն։</w:t>
      </w:r>
    </w:p>
    <w:p w14:paraId="2034FF9C" w14:textId="77777777" w:rsidR="0035054F" w:rsidRPr="00B5542D" w:rsidRDefault="0035054F" w:rsidP="00EA4CEF">
      <w:pPr>
        <w:spacing w:after="160" w:line="360" w:lineRule="auto"/>
        <w:ind w:firstLine="567"/>
        <w:jc w:val="both"/>
      </w:pPr>
      <w:r w:rsidRPr="00E345B2">
        <w:t xml:space="preserve">Կայունության ուսումնասիրման ընթացքում պետք է հաստատվի դեղապատրաստուկի նշված պիտանիության ժամկետը </w:t>
      </w:r>
      <w:r>
        <w:t>եւ</w:t>
      </w:r>
      <w:r w:rsidRPr="00E345B2">
        <w:t xml:space="preserve"> պահպանման պայմանները, որոնք ապահովում են նշված պիտանիության ժամկետի ընթացքում դրա որակը։</w:t>
      </w:r>
    </w:p>
    <w:p w14:paraId="2C3ED8B8" w14:textId="77777777" w:rsidR="0035054F" w:rsidRPr="00E345B2" w:rsidRDefault="0035054F" w:rsidP="00EA4CEF">
      <w:pPr>
        <w:spacing w:after="160" w:line="360" w:lineRule="auto"/>
        <w:ind w:firstLine="567"/>
        <w:jc w:val="both"/>
      </w:pPr>
      <w:r w:rsidRPr="00E345B2">
        <w:t>Գրանցման ենթակա դեղապատրաստուկների կայունության ուսումնասիրումը, ինչպես նա</w:t>
      </w:r>
      <w:r>
        <w:t>եւ</w:t>
      </w:r>
      <w:r w:rsidRPr="00E345B2">
        <w:t xml:space="preserve"> դրանց պիտանիության ժամկետի սահմանումը պետք է համապատասխանեն լիազորված մարմնի կողմից հաստատված գործող նորմատիվ փաստաթղթերի պահանջներին։ Դեղապատրաստուկի կայունության ուսումնասիրման ժամանակ կիրառվող մեթոդիկաները պետք է վալիդացվեն </w:t>
      </w:r>
      <w:r w:rsidRPr="00EA4CEF">
        <w:rPr>
          <w:i/>
        </w:rPr>
        <w:lastRenderedPageBreak/>
        <w:t>«2.3.14.0. Անալիտիկ մեթոդիկաների վալիդացումը»</w:t>
      </w:r>
      <w:r w:rsidRPr="00E345B2">
        <w:t xml:space="preserve"> ընդհանուր դեղագրքային հոդվածին համապատասխան։</w:t>
      </w:r>
    </w:p>
    <w:p w14:paraId="020CC48B" w14:textId="77777777" w:rsidR="0035054F" w:rsidRPr="00E345B2" w:rsidRDefault="0035054F" w:rsidP="00EA4CEF">
      <w:pPr>
        <w:spacing w:after="160" w:line="360" w:lineRule="auto"/>
        <w:ind w:firstLine="567"/>
        <w:jc w:val="both"/>
      </w:pPr>
      <w:r w:rsidRPr="00E345B2">
        <w:t>Արտադրված/պատրաստված</w:t>
      </w:r>
      <w:r>
        <w:t xml:space="preserve"> </w:t>
      </w:r>
      <w:r w:rsidRPr="00E345B2">
        <w:t xml:space="preserve">դեղապատրաստուկները կարող են լինել մանրէազերծ </w:t>
      </w:r>
      <w:r>
        <w:t>եւ</w:t>
      </w:r>
      <w:r w:rsidRPr="00E345B2">
        <w:t xml:space="preserve"> ոչ մանրէազերծ։</w:t>
      </w:r>
    </w:p>
    <w:p w14:paraId="3EDCB6BA" w14:textId="77777777" w:rsidR="0035054F" w:rsidRPr="00E345B2" w:rsidRDefault="0035054F" w:rsidP="00EA4CEF">
      <w:pPr>
        <w:spacing w:after="160" w:line="360" w:lineRule="auto"/>
        <w:ind w:firstLine="567"/>
        <w:jc w:val="both"/>
      </w:pPr>
      <w:r w:rsidRPr="00E345B2">
        <w:t xml:space="preserve">Մանրէազերծ դեղապատրաստուկները պետք է ստացվեն այնպիսի նյութերի </w:t>
      </w:r>
      <w:r>
        <w:t>եւ</w:t>
      </w:r>
      <w:r w:rsidRPr="00E345B2">
        <w:t xml:space="preserve"> մեթոդների կիրառմամբ, որոնք բացառում են մանրէային կոնտամինացիայի, միկրոօրգանիզմների աճի հնարավորությունը </w:t>
      </w:r>
      <w:r>
        <w:t>եւ</w:t>
      </w:r>
      <w:r w:rsidRPr="00E345B2">
        <w:t xml:space="preserve"> ապահովում են դրանց մանրէազերծությունը՝ «</w:t>
      </w:r>
      <w:r w:rsidRPr="00EA4CEF">
        <w:rPr>
          <w:i/>
        </w:rPr>
        <w:t>2.1.6.1 Մանրէազերծությունը»</w:t>
      </w:r>
      <w:r w:rsidRPr="00E345B2">
        <w:t xml:space="preserve"> ընդհանուր դեղագրքային հոդվածին համապատասխան։</w:t>
      </w:r>
    </w:p>
    <w:p w14:paraId="345ADA2F" w14:textId="77777777" w:rsidR="0035054F" w:rsidRPr="00E345B2" w:rsidRDefault="0035054F" w:rsidP="00EA4CEF">
      <w:pPr>
        <w:spacing w:after="160" w:line="360" w:lineRule="auto"/>
        <w:ind w:firstLine="567"/>
        <w:jc w:val="both"/>
      </w:pPr>
      <w:r w:rsidRPr="00E345B2">
        <w:t>Այն դեղապատրաստուկները, որոնք, ազդող նյութերի ֆիզիկաքիմիական հատկությունների առանձնահատկություններով, դեղաձ</w:t>
      </w:r>
      <w:r>
        <w:t>եւ</w:t>
      </w:r>
      <w:r w:rsidRPr="00E345B2">
        <w:t xml:space="preserve">ի տեսակով </w:t>
      </w:r>
      <w:r>
        <w:t>եւ</w:t>
      </w:r>
      <w:r w:rsidRPr="00E345B2">
        <w:t xml:space="preserve"> այլնով պայմանավորված, չեն կարող ենթարկվել որ</w:t>
      </w:r>
      <w:r>
        <w:t>եւ</w:t>
      </w:r>
      <w:r w:rsidRPr="00E345B2">
        <w:t>է տեսակի մանրէազերծման, արտադրում/պատրաստում են ասեպտիկ պայմաններում՝ առանց հետագա մանրէազերծման։</w:t>
      </w:r>
    </w:p>
    <w:p w14:paraId="1C711B09" w14:textId="77777777" w:rsidR="0035054F" w:rsidRPr="00E345B2" w:rsidRDefault="0035054F" w:rsidP="00EA4CEF">
      <w:pPr>
        <w:spacing w:after="160" w:line="360" w:lineRule="auto"/>
        <w:ind w:firstLine="567"/>
        <w:jc w:val="both"/>
      </w:pPr>
      <w:r w:rsidRPr="00E345B2">
        <w:t xml:space="preserve">Ոչ մանրէազերծ դեղապատրաստուկները պետք է ստացվեն այնպիսի նյութերի </w:t>
      </w:r>
      <w:r>
        <w:t>եւ</w:t>
      </w:r>
      <w:r w:rsidRPr="00E345B2">
        <w:t xml:space="preserve"> մեթոդների կիրառմամբ, որոնք ապահովում են դրանց համապատասխանությունը</w:t>
      </w:r>
      <w:r>
        <w:t xml:space="preserve"> </w:t>
      </w:r>
      <w:r w:rsidRPr="00EA4CEF">
        <w:rPr>
          <w:i/>
        </w:rPr>
        <w:t>«2.3.1.2. Դեղապատրաստուկների, դեղագործական բաղադրամասերի եւ դրանց արտադրության համար օժանդակ նյութերի մանրէաբանական մաքրությանը ներկայացվող պահանջները», «2.3.1.4. Բուսական ծագման դեղագործական բաղադրամասերի, բուսական դեղապատրաստուկների եւ դրանք ստանալու համար օգտագործվող լուծամզվածքների մանրէաբանական մաքրությանը ներկայացվող պահանջները</w:t>
      </w:r>
      <w:r w:rsidRPr="00E345B2">
        <w:t>» ընդհանուր դեղագրքային հոդվածների պահանջներին։</w:t>
      </w:r>
    </w:p>
    <w:p w14:paraId="3A26F991" w14:textId="77777777" w:rsidR="0035054F" w:rsidRPr="00E345B2" w:rsidRDefault="0035054F" w:rsidP="00EA4CEF">
      <w:pPr>
        <w:spacing w:after="160" w:line="360" w:lineRule="auto"/>
        <w:ind w:firstLine="567"/>
        <w:jc w:val="both"/>
      </w:pPr>
      <w:r w:rsidRPr="00E345B2">
        <w:t>Ընտրված բաղադրությունը, դեղաձ</w:t>
      </w:r>
      <w:r>
        <w:t>եւ</w:t>
      </w:r>
      <w:r w:rsidRPr="00E345B2">
        <w:t xml:space="preserve">ը, ստանալու տեխնոլոգիան, փաթեթվածքը </w:t>
      </w:r>
      <w:r>
        <w:t>եւ</w:t>
      </w:r>
      <w:r w:rsidRPr="00E345B2">
        <w:t xml:space="preserve"> պահպանման պայմանները պետք է ապահովեն ոչ մանրէազերծ</w:t>
      </w:r>
      <w:r>
        <w:t xml:space="preserve"> </w:t>
      </w:r>
      <w:r w:rsidRPr="00E345B2">
        <w:t>դեղապատրաստուկի կիրառման ժամանակ դրա մանրէաբանական մաքրության անհրաժեշտ կատեգորիան։</w:t>
      </w:r>
    </w:p>
    <w:p w14:paraId="04410C97" w14:textId="77777777" w:rsidR="0035054F" w:rsidRPr="00E345B2" w:rsidRDefault="0035054F" w:rsidP="00EA4CEF">
      <w:pPr>
        <w:spacing w:after="160" w:line="360" w:lineRule="auto"/>
        <w:ind w:firstLine="567"/>
        <w:jc w:val="both"/>
      </w:pPr>
      <w:r w:rsidRPr="00E345B2">
        <w:lastRenderedPageBreak/>
        <w:t>Այդ նպատակն ապահովելու համար դեղապատրաստուկի բաղադրության մեջ հազվադեպ՝ հիմնավորման առկայության դեպքում, կարող են ավելացվել օժանդակ նյութեր՝ հակամանրէային կոնսերվանտներ։</w:t>
      </w:r>
    </w:p>
    <w:p w14:paraId="4E8CB952" w14:textId="77777777" w:rsidR="0035054F" w:rsidRPr="00E345B2" w:rsidRDefault="0035054F" w:rsidP="00EA4CEF">
      <w:pPr>
        <w:spacing w:after="160" w:line="360" w:lineRule="auto"/>
        <w:ind w:firstLine="567"/>
        <w:jc w:val="both"/>
      </w:pPr>
      <w:r w:rsidRPr="00E345B2">
        <w:t xml:space="preserve">Այն դեղապատրաստուկները մշակելու դեպքում, որոնց բաղադրության մեջ պետք է ավելացվեն հակամանրէային կոնսերվանտներ, դրանց օգտագործման անհրաժեշտությունը </w:t>
      </w:r>
      <w:r>
        <w:t>եւ</w:t>
      </w:r>
      <w:r w:rsidRPr="00E345B2">
        <w:t xml:space="preserve"> արդյունավետությունը պետք է հաստատվեն </w:t>
      </w:r>
      <w:r w:rsidRPr="004A2DF3">
        <w:rPr>
          <w:i/>
        </w:rPr>
        <w:t>«2.3.1.1. Հակամանրէային կոնսերվանտների արդյունավետությունը»</w:t>
      </w:r>
      <w:r w:rsidRPr="00E345B2">
        <w:t xml:space="preserve"> ընդհանուր դեղագրքային հոդվածի պահանջներին համապատասխան։</w:t>
      </w:r>
    </w:p>
    <w:p w14:paraId="07AE6F09" w14:textId="77777777" w:rsidR="0035054F" w:rsidRPr="00E345B2" w:rsidRDefault="0035054F" w:rsidP="00EA4CEF">
      <w:pPr>
        <w:spacing w:after="160" w:line="360" w:lineRule="auto"/>
        <w:ind w:firstLine="567"/>
        <w:jc w:val="both"/>
      </w:pPr>
      <w:r w:rsidRPr="00E345B2">
        <w:t>Դեղապատրաստուկների ստացմանը ներկայացվող՝ դեղաձ</w:t>
      </w:r>
      <w:r>
        <w:t>եւ</w:t>
      </w:r>
      <w:r w:rsidRPr="00E345B2">
        <w:t>երի սպեցիֆիկ առանձնահատկություններով պայմանավորված հիմնական պահանջները ներկայացված են «2</w:t>
      </w:r>
      <w:r w:rsidRPr="004A2DF3">
        <w:rPr>
          <w:i/>
        </w:rPr>
        <w:t>.5.1.1. Դեղաձեւերը</w:t>
      </w:r>
      <w:r w:rsidRPr="00E345B2">
        <w:t xml:space="preserve">» ընդհանուր դեղագրքային հոդվածի </w:t>
      </w:r>
      <w:r>
        <w:t>եւ</w:t>
      </w:r>
      <w:r w:rsidRPr="00E345B2">
        <w:t xml:space="preserve"> առանձին դեղաձ</w:t>
      </w:r>
      <w:r>
        <w:t>եւ</w:t>
      </w:r>
      <w:r w:rsidRPr="00E345B2">
        <w:t>երին ու դեղաձ</w:t>
      </w:r>
      <w:r>
        <w:t>եւ</w:t>
      </w:r>
      <w:r w:rsidRPr="00E345B2">
        <w:t>երի խմբերին առնչվող ընդհանուր դեղագրքային հոդվածների «Տեխնոլոգիայի առանձնահատկությունները» բաժնում։ Օրինակ՝ տարասեռ դիսպերս համակարգեր (կախույթներ, էմուլսիաներ) հանդիսացող հեղուկ դեղաձ</w:t>
      </w:r>
      <w:r>
        <w:t>եւ</w:t>
      </w:r>
      <w:r w:rsidRPr="00E345B2">
        <w:t xml:space="preserve">երի տեսքով դեղապատրաստուկների արտադրության դեպքում պետք է ձեռնարկվեն միջոցներ, որոնք ապահովում են մասնիկների անհրաժեշտ </w:t>
      </w:r>
      <w:r>
        <w:t>եւ</w:t>
      </w:r>
      <w:r w:rsidRPr="00E345B2">
        <w:t xml:space="preserve"> վերահսկվող չափը՝ հաշվի առնելով ենթադրվող կիրառությունը </w:t>
      </w:r>
      <w:r>
        <w:t>եւ</w:t>
      </w:r>
      <w:r w:rsidRPr="00E345B2">
        <w:t xml:space="preserve"> այլն։</w:t>
      </w:r>
    </w:p>
    <w:p w14:paraId="49E6637E" w14:textId="77777777" w:rsidR="0035054F" w:rsidRPr="00E345B2" w:rsidRDefault="0035054F" w:rsidP="00EA4CEF">
      <w:pPr>
        <w:spacing w:after="160" w:line="360" w:lineRule="auto"/>
        <w:ind w:firstLine="567"/>
        <w:jc w:val="both"/>
      </w:pPr>
      <w:r w:rsidRPr="00E345B2">
        <w:t>Դեղապատրաստուկները կարող են թողարկվել կիրառման համար պատրաստ կամ բժշկական անձնակազմի, պացիենտի կամ անասնաբույժի կողմից կարող են ստացվել այն գրանցված դեղապատրաստուկներից վերականգնված կամ նոսրացված դեղապատրաստուկների տեսքով, որոնք թողարկվել են լիոֆիլիզատների, փոշիների, դեղահաբերի, հատիկների, կոնցենտրատների տեսքով՝ բժշկական կամ անասնաբուժական կիրառության հրահանգի մեջ նշված տեղեկատվության համաձայն դրանք համապատասխան լուծիչի մեջ լուծելու/դիսպերսելու միջոցով։</w:t>
      </w:r>
    </w:p>
    <w:p w14:paraId="2683AD98" w14:textId="77777777" w:rsidR="0035054F" w:rsidRPr="00B5542D" w:rsidRDefault="0035054F" w:rsidP="0035054F">
      <w:pPr>
        <w:spacing w:after="160" w:line="360" w:lineRule="auto"/>
      </w:pPr>
    </w:p>
    <w:p w14:paraId="24A76B60" w14:textId="77777777" w:rsidR="00B867ED" w:rsidRPr="00B5542D" w:rsidRDefault="00B867ED" w:rsidP="0035054F">
      <w:pPr>
        <w:spacing w:after="160" w:line="360" w:lineRule="auto"/>
      </w:pPr>
    </w:p>
    <w:p w14:paraId="45CEFC78" w14:textId="77777777" w:rsidR="0035054F" w:rsidRPr="004A2DF3" w:rsidRDefault="0035054F" w:rsidP="004A2DF3">
      <w:pPr>
        <w:spacing w:after="160" w:line="360" w:lineRule="auto"/>
        <w:ind w:firstLine="567"/>
        <w:jc w:val="both"/>
        <w:rPr>
          <w:b/>
        </w:rPr>
      </w:pPr>
      <w:r w:rsidRPr="004A2DF3">
        <w:rPr>
          <w:b/>
        </w:rPr>
        <w:lastRenderedPageBreak/>
        <w:t>ՓՈՐՁԱՐԿՈՒՄՆԵՐԸ</w:t>
      </w:r>
    </w:p>
    <w:p w14:paraId="30B86315" w14:textId="77777777" w:rsidR="0035054F" w:rsidRPr="00E345B2" w:rsidRDefault="0035054F" w:rsidP="004A2DF3">
      <w:pPr>
        <w:spacing w:after="160" w:line="360" w:lineRule="auto"/>
        <w:ind w:firstLine="567"/>
        <w:jc w:val="both"/>
      </w:pPr>
      <w:r w:rsidRPr="00E345B2">
        <w:t xml:space="preserve">Ցանկացած դեղապատրաստուկի որակի գնահատման համար կիրառվող փորձարկումները ներառում են դեղապատրաստուկի բաղադրության մեջ մտնող ազդող </w:t>
      </w:r>
      <w:r>
        <w:t>եւ</w:t>
      </w:r>
      <w:r w:rsidRPr="00E345B2">
        <w:t xml:space="preserve"> օժանդակ նյութերը բնութագրող որակի ցուցանիշները </w:t>
      </w:r>
      <w:r>
        <w:t>եւ</w:t>
      </w:r>
      <w:r w:rsidRPr="00E345B2">
        <w:t xml:space="preserve"> այն դեղաձ</w:t>
      </w:r>
      <w:r>
        <w:t>եւ</w:t>
      </w:r>
      <w:r w:rsidRPr="00E345B2">
        <w:t>ի որակի ցուցանիշները, որի տեսքով պատրաստուկն ստացվել է՝ կիրառման եղանակով/ներմուծման ուղիով պայմանավորված։</w:t>
      </w:r>
    </w:p>
    <w:p w14:paraId="2CBDEE27" w14:textId="77777777" w:rsidR="0035054F" w:rsidRPr="00E345B2" w:rsidRDefault="0035054F" w:rsidP="004A2DF3">
      <w:pPr>
        <w:spacing w:after="160" w:line="360" w:lineRule="auto"/>
        <w:ind w:firstLine="567"/>
        <w:jc w:val="both"/>
      </w:pPr>
      <w:r w:rsidRPr="00E345B2">
        <w:t>Դեղապատրաստուկների դեղաձ</w:t>
      </w:r>
      <w:r>
        <w:t>եւ</w:t>
      </w:r>
      <w:r w:rsidRPr="00E345B2">
        <w:t>երի առնչությամբ կիրառվող փորձարկումները նշված են առանձին դեղաձ</w:t>
      </w:r>
      <w:r>
        <w:t>եւ</w:t>
      </w:r>
      <w:r w:rsidRPr="00E345B2">
        <w:t>երին, դեղաձ</w:t>
      </w:r>
      <w:r>
        <w:t>եւ</w:t>
      </w:r>
      <w:r w:rsidRPr="00E345B2">
        <w:t xml:space="preserve">երի խմբերին առնչվող ընդհանուր դեղագրքային հոդվածներում </w:t>
      </w:r>
      <w:r>
        <w:t>եւ</w:t>
      </w:r>
      <w:r w:rsidRPr="00E345B2">
        <w:t xml:space="preserve"> սույն ընդհանուր դեղագրքային հոդվածում չեն ներկայացվում։</w:t>
      </w:r>
    </w:p>
    <w:p w14:paraId="0D6619A0" w14:textId="77777777" w:rsidR="0035054F" w:rsidRPr="00E345B2" w:rsidRDefault="0035054F" w:rsidP="004A2DF3">
      <w:pPr>
        <w:spacing w:after="160" w:line="360" w:lineRule="auto"/>
        <w:ind w:firstLine="567"/>
        <w:jc w:val="both"/>
      </w:pPr>
      <w:r w:rsidRPr="00E345B2">
        <w:t>Գրանցման ոչ ենթակա դեղապատրաստուկների ռիսկի անցկացվող գնահատմանը համապատասխանող անհրաժեշտ որակին հասնելու համար դրանց փորձարկումներն անցկացնում են Միության անդամ պետությունների համապատասխան գործող նորմատիվ փաստաթղթերի պահանջների հիման վրա, որպես կանոն, դրանց որակի ներդեղատնային հսկողության իրականացման դեպքում։ Սովորաբար ներդեղատնային նախապատրաստուկի տեսքով դեղապատրաստուկները փորձարկումների ենթակա են ավելի մեծ թվով որակի ցուցանիշների մասով, քան էքստեմպորալ պատրաստուկները։</w:t>
      </w:r>
    </w:p>
    <w:p w14:paraId="20F1BF3B" w14:textId="77777777" w:rsidR="0035054F" w:rsidRPr="00E345B2" w:rsidRDefault="0035054F" w:rsidP="004A2DF3">
      <w:pPr>
        <w:spacing w:after="160" w:line="360" w:lineRule="auto"/>
        <w:ind w:firstLine="567"/>
        <w:jc w:val="both"/>
      </w:pPr>
      <w:r w:rsidRPr="00E345B2">
        <w:t>Դեղապատրաստուկների որակի գնահատման համար կիրառում են ունիվերսալ փորձարկումներ, ինչպիսիք են դեղապատրաստուկի նկարագրությունը, իսկությունը, մաքրությունը, քանակական որոշումը, ինչպես նա</w:t>
      </w:r>
      <w:r>
        <w:t>եւ</w:t>
      </w:r>
      <w:r w:rsidRPr="00E345B2">
        <w:t xml:space="preserve"> սպեցիֆիկ (առանձին) փորձարկումները, որոնք պայմանավորված են դեղապատրաստուկի առանձնահատկություններով </w:t>
      </w:r>
      <w:r>
        <w:t>եւ</w:t>
      </w:r>
      <w:r w:rsidRPr="00E345B2">
        <w:t xml:space="preserve"> (կամ) դրա կիրառման եղանակով/ներմուծման ուղով։</w:t>
      </w:r>
    </w:p>
    <w:p w14:paraId="7542056F" w14:textId="77777777" w:rsidR="0035054F" w:rsidRPr="00E345B2" w:rsidRDefault="0035054F" w:rsidP="004A2DF3">
      <w:pPr>
        <w:spacing w:after="160" w:line="360" w:lineRule="auto"/>
        <w:ind w:firstLine="567"/>
        <w:jc w:val="both"/>
      </w:pPr>
      <w:r w:rsidRPr="004A2DF3">
        <w:rPr>
          <w:b/>
        </w:rPr>
        <w:t>Նկարագրությունը.</w:t>
      </w:r>
      <w:r w:rsidRPr="00E345B2">
        <w:t xml:space="preserve"> Պարունակում է տեղեկություններ, որոնք առավել ամբողջական են բնութագրում դեղապատրաստուկի արտաքին տեսքին (ագրեգատային վիճակ, ձ</w:t>
      </w:r>
      <w:r>
        <w:t>եւ</w:t>
      </w:r>
      <w:r w:rsidRPr="00E345B2">
        <w:t xml:space="preserve">, չափ </w:t>
      </w:r>
      <w:r>
        <w:t>եւ</w:t>
      </w:r>
      <w:r w:rsidRPr="00E345B2">
        <w:t xml:space="preserve"> այլն, որը կիրառելի է) </w:t>
      </w:r>
      <w:r>
        <w:t>եւ</w:t>
      </w:r>
      <w:r w:rsidRPr="00E345B2">
        <w:t xml:space="preserve"> զգայորոշման հատկություններին (գույն, հոտ) ներկայացվող պահանջները. համի </w:t>
      </w:r>
      <w:r w:rsidRPr="00E345B2">
        <w:lastRenderedPageBreak/>
        <w:t xml:space="preserve">նկարագրություն չի ներկայացվում։ </w:t>
      </w:r>
      <w:r w:rsidRPr="004A289F">
        <w:rPr>
          <w:i/>
        </w:rPr>
        <w:t>«Նկարագրությունը</w:t>
      </w:r>
      <w:r w:rsidRPr="00E345B2">
        <w:t>» բաժինը ներառվում է դեղապատրաստուկի որակի վերաբերյալ նորմատիվ փաստաթղթի մեջ։</w:t>
      </w:r>
    </w:p>
    <w:p w14:paraId="00D76CB6" w14:textId="77777777" w:rsidR="0035054F" w:rsidRPr="00E345B2" w:rsidRDefault="0035054F" w:rsidP="004A2DF3">
      <w:pPr>
        <w:spacing w:after="160" w:line="360" w:lineRule="auto"/>
        <w:ind w:firstLine="567"/>
        <w:jc w:val="both"/>
      </w:pPr>
      <w:r w:rsidRPr="004A289F">
        <w:rPr>
          <w:b/>
        </w:rPr>
        <w:t>Նույնականացումը.</w:t>
      </w:r>
      <w:r w:rsidRPr="00E345B2">
        <w:t xml:space="preserve"> Ազդող նյութի/նյութերի </w:t>
      </w:r>
      <w:r>
        <w:t>եւ</w:t>
      </w:r>
      <w:r w:rsidRPr="00E345B2">
        <w:t xml:space="preserve"> մի շարք դեպքերում՝ դեղապատրաստուկի բաղադրության մեջ մտնող օժանդակ նյութերի իսկությունը որոշող փորձարկումների ընտրությունը որոշվում է դեղապատրաստուկի բաղադրությամբ։ Ազդող նյութերը, հակամանրէային կոնսերվանտները, հակաօքսիդանտները </w:t>
      </w:r>
      <w:r>
        <w:t>եւ</w:t>
      </w:r>
      <w:r w:rsidRPr="00E345B2">
        <w:t xml:space="preserve"> այլ օժանդակ նյութեր նույնականացնում են՝ դեղագործական բաղադրամասի բնույթից </w:t>
      </w:r>
      <w:r>
        <w:t>եւ</w:t>
      </w:r>
      <w:r w:rsidRPr="00E345B2">
        <w:t xml:space="preserve"> դեղաձ</w:t>
      </w:r>
      <w:r>
        <w:t>եւ</w:t>
      </w:r>
      <w:r w:rsidRPr="00E345B2">
        <w:t xml:space="preserve">ի առանձնահատկություններով պայմանավորված, մասնավոր դեղագրքային հոդվածի </w:t>
      </w:r>
      <w:r>
        <w:t>եւ</w:t>
      </w:r>
      <w:r w:rsidRPr="00E345B2">
        <w:t xml:space="preserve"> (կամ) որակի վերաբերյալ նորմատիվ փաստաթղթի ցուցումներին համապատասխան։ Փորձարկումներն անցկացնում են՝ կիրառելով անալիզի առավել սպեցիֆիկ մեթոդներ, ներառյալ՝ քիմիական (</w:t>
      </w:r>
      <w:r w:rsidRPr="004A289F">
        <w:rPr>
          <w:i/>
        </w:rPr>
        <w:t>2.1.3.1), ֆիզիկաքիմիական (սպեկտրաչափական, քրոմատագրական եւ այլ) (2.1.2.23, 2.1.2.28 եւ այլ)</w:t>
      </w:r>
      <w:r w:rsidRPr="00E345B2">
        <w:t xml:space="preserve"> </w:t>
      </w:r>
      <w:r>
        <w:t>եւ</w:t>
      </w:r>
      <w:r w:rsidRPr="00E345B2">
        <w:t xml:space="preserve"> անալիզի այլ մեթոդներ, ինչպես նա</w:t>
      </w:r>
      <w:r>
        <w:t>եւ</w:t>
      </w:r>
      <w:r w:rsidRPr="00E345B2">
        <w:t xml:space="preserve"> դրանց համադրությունը։</w:t>
      </w:r>
    </w:p>
    <w:p w14:paraId="63723F7B" w14:textId="77777777" w:rsidR="0035054F" w:rsidRPr="00E345B2" w:rsidRDefault="0035054F" w:rsidP="004A289F">
      <w:pPr>
        <w:spacing w:after="160" w:line="360" w:lineRule="auto"/>
        <w:ind w:firstLine="567"/>
        <w:jc w:val="both"/>
      </w:pPr>
      <w:r w:rsidRPr="004A289F">
        <w:rPr>
          <w:b/>
          <w:spacing w:val="-4"/>
        </w:rPr>
        <w:t>Մաքրությունը</w:t>
      </w:r>
      <w:r w:rsidRPr="004A289F">
        <w:rPr>
          <w:spacing w:val="-4"/>
        </w:rPr>
        <w:t>: Դեղապատրաստուկների որակի տվյալ ցուցանիշը ներառում է դեղապատրաստուկի մեջ առկա ցանկացած բաղադրիչ հանդիսացող տարբեր այնպիսի խառնուկների բացակայության կամ նորմավորվող պարունակության փորձարկումները</w:t>
      </w:r>
      <w:r w:rsidRPr="00E345B2">
        <w:t xml:space="preserve">, որոնց առկայությունը ցանկալի չէ։ Որպես կանոն, դեղապատրաստուկների մեծ մասի համար կիրառելի են մնացորդային օրգանական լուծիչների պարունակությունը որոշող փորձարկումները </w:t>
      </w:r>
      <w:r>
        <w:t>եւ</w:t>
      </w:r>
      <w:r w:rsidRPr="00E345B2">
        <w:t xml:space="preserve"> հարակից խառնուկների փորձարկումները։</w:t>
      </w:r>
    </w:p>
    <w:p w14:paraId="30FA48D2" w14:textId="77777777" w:rsidR="0035054F" w:rsidRPr="00E345B2" w:rsidRDefault="0035054F" w:rsidP="004A289F">
      <w:pPr>
        <w:spacing w:after="160" w:line="360" w:lineRule="auto"/>
        <w:ind w:firstLine="567"/>
        <w:jc w:val="both"/>
      </w:pPr>
      <w:r w:rsidRPr="004A289F">
        <w:rPr>
          <w:b/>
        </w:rPr>
        <w:t>Մնացորդային օրգանական լուծիչները։</w:t>
      </w:r>
      <w:r w:rsidR="004A289F" w:rsidRPr="004A289F">
        <w:t xml:space="preserve"> </w:t>
      </w:r>
      <w:r w:rsidRPr="00E345B2">
        <w:t>Փորձարկումն անցկացնում են դեղապատրաստուկների համար՝ «</w:t>
      </w:r>
      <w:r w:rsidRPr="004A289F">
        <w:rPr>
          <w:i/>
        </w:rPr>
        <w:t xml:space="preserve">2.3.2.0. Մնացորդային օրգանական լուծիչները» եւ «2.1.4.19. Մնացորդային լուծիչների նույնականացումը եւ վերահսկումը» </w:t>
      </w:r>
      <w:r w:rsidRPr="00E345B2">
        <w:t>ընդհանուր դեղագրքային հոդվածների պահանջներին համապատասխան, ինչպես նա</w:t>
      </w:r>
      <w:r>
        <w:t>եւ</w:t>
      </w:r>
      <w:r w:rsidRPr="00E345B2">
        <w:t xml:space="preserve"> մասնավոր դեղագրքային հոդվածում կամ դեղապատրաստուկի որակի վերաբերյալ նորմատիվ փաստաթղթում նշված որոշման վալիդացված մեթոդիկաներին համապատասխան։</w:t>
      </w:r>
    </w:p>
    <w:p w14:paraId="0CC87E41" w14:textId="77777777" w:rsidR="0035054F" w:rsidRPr="00E345B2" w:rsidRDefault="0035054F" w:rsidP="00B867ED">
      <w:pPr>
        <w:spacing w:after="160" w:line="360" w:lineRule="auto"/>
        <w:ind w:firstLine="567"/>
        <w:jc w:val="both"/>
      </w:pPr>
      <w:r w:rsidRPr="004A289F">
        <w:rPr>
          <w:b/>
        </w:rPr>
        <w:lastRenderedPageBreak/>
        <w:t>Խառնուկները։</w:t>
      </w:r>
      <w:r w:rsidRPr="00E345B2">
        <w:t xml:space="preserve"> Դեղապատրաստուկները պետք է անցնեն փորձարկումը, եթե հավանականություն կա, որ առկա են ակտիվ դեղագործական բաղադրամասի այնպիսի խառնուկներ, որոնք կապված են ակտիվ դեղագործական բաղադրամասի դեգրադացման արդյունքում (օրինակ՝ իզոմերների, քայքայման արգասիքների </w:t>
      </w:r>
      <w:r>
        <w:t>եւ</w:t>
      </w:r>
      <w:r w:rsidRPr="00E345B2">
        <w:t xml:space="preserve"> այլնի առաջացման ունակության դեպքում) կամ օժանդակ նյութերի հետ կամ առաջնային փաթեթվածքի </w:t>
      </w:r>
      <w:r>
        <w:t>եւ</w:t>
      </w:r>
      <w:r w:rsidRPr="00E345B2">
        <w:t xml:space="preserve"> խցանափակման միջոցների նյութերի հետ ակտիվ դեղագործական բաղադրամասի փոխազդեցության արդյունքում (օրինակ՝ պահպանման, փոխադրման ընթացքում) քայքայման արգասիքների առաջացման </w:t>
      </w:r>
      <w:r>
        <w:t>եւ</w:t>
      </w:r>
      <w:r w:rsidRPr="00E345B2">
        <w:t xml:space="preserve"> կուտակման հետ </w:t>
      </w:r>
      <w:r>
        <w:t>եւ</w:t>
      </w:r>
      <w:r w:rsidRPr="00E345B2">
        <w:t xml:space="preserve"> այլն։ </w:t>
      </w:r>
    </w:p>
    <w:p w14:paraId="02A02E8D" w14:textId="77777777" w:rsidR="0035054F" w:rsidRPr="00E345B2" w:rsidRDefault="0035054F" w:rsidP="00B867ED">
      <w:pPr>
        <w:spacing w:after="160" w:line="360" w:lineRule="auto"/>
        <w:ind w:firstLine="567"/>
        <w:jc w:val="both"/>
      </w:pPr>
      <w:r w:rsidRPr="00E345B2">
        <w:t>Խառնուկները որոշում են մասնավոր դեղագրքային հոդվածում կամ կոնկրետ դեղապատրաստուկի որակին առնչվող նորմատիվ փաստաթղթում նշված պահանջներին համապատասխան։</w:t>
      </w:r>
    </w:p>
    <w:p w14:paraId="56268DC5" w14:textId="77777777" w:rsidR="0035054F" w:rsidRPr="00E345B2" w:rsidRDefault="0035054F" w:rsidP="00B867ED">
      <w:pPr>
        <w:spacing w:after="160" w:line="360" w:lineRule="auto"/>
        <w:ind w:firstLine="567"/>
        <w:jc w:val="both"/>
      </w:pPr>
      <w:r w:rsidRPr="00E345B2">
        <w:t>Խառնուկները որոշելու համար կիրառում են անալիզի սպեցիֆիկ մեթոդներ։</w:t>
      </w:r>
    </w:p>
    <w:p w14:paraId="2019A167" w14:textId="77777777" w:rsidR="0035054F" w:rsidRPr="00E345B2" w:rsidRDefault="0035054F" w:rsidP="00B867ED">
      <w:pPr>
        <w:spacing w:after="160" w:line="360" w:lineRule="auto"/>
        <w:ind w:firstLine="567"/>
        <w:jc w:val="both"/>
      </w:pPr>
      <w:r w:rsidRPr="004A289F">
        <w:rPr>
          <w:b/>
        </w:rPr>
        <w:t>Տարրերի խառնուկները</w:t>
      </w:r>
      <w:r w:rsidRPr="00E345B2">
        <w:t xml:space="preserve">. Փորձարկումը կիրառում են բոլոր դեղապատրաստուկների նկատմամբ՝ բացառությամբ անասնաբուժական կիրառության դեղապատրաստուկների, գրանցման ոչ ենթակա դեղապատրաստուկների </w:t>
      </w:r>
      <w:r>
        <w:t>եւ</w:t>
      </w:r>
      <w:r w:rsidRPr="00E345B2">
        <w:t xml:space="preserve"> տվյալ ընդհանուր դեղագրքային հոդվածի կիրառության ոլորտում չընդգրկվող այլ դեղապատրաստուկների՝ «2.3.10.0. Տարրերի խառնուկները» ընդհանուր դեղագրքային հոդվածին համապատասխան։ Եթե ընդունելի է, փորձարկումներն անցկացնում են անալիտիկ մեթոդիկաների կիրառմամբ՝ </w:t>
      </w:r>
      <w:r w:rsidRPr="004A289F">
        <w:rPr>
          <w:i/>
        </w:rPr>
        <w:t>«2.1.4.23. Տարրերի խառնուկների որոշումը</w:t>
      </w:r>
      <w:r w:rsidRPr="00E345B2">
        <w:t>» ընդհանուր դեղագրքային հոդվածի ցուցումներին համապատասխան։</w:t>
      </w:r>
    </w:p>
    <w:p w14:paraId="1251A6F1" w14:textId="77777777" w:rsidR="0035054F" w:rsidRPr="004A289F" w:rsidRDefault="0035054F" w:rsidP="00B867ED">
      <w:pPr>
        <w:spacing w:after="160" w:line="360" w:lineRule="auto"/>
        <w:ind w:firstLine="567"/>
        <w:jc w:val="both"/>
        <w:rPr>
          <w:i/>
        </w:rPr>
      </w:pPr>
      <w:r w:rsidRPr="004A289F">
        <w:rPr>
          <w:b/>
        </w:rPr>
        <w:t>Քանակական որոշումը</w:t>
      </w:r>
      <w:r w:rsidRPr="00E345B2">
        <w:t xml:space="preserve">. Դեղապատրաստուկները պետք է անցնեն տվյալ փորձարկումը։ Ազդող նյութի/նյութերի </w:t>
      </w:r>
      <w:r>
        <w:t>եւ</w:t>
      </w:r>
      <w:r w:rsidRPr="00E345B2">
        <w:t xml:space="preserve"> առանձին օժանդակ նյութերի քանակական որոշման փորձարկումների ընտրությունը որոշվում է դեղապատրաստուկի բաղադրությամբ։ Ազդող նյութի/նյութերի, հակամանրէային կոնսերվանտների, հակաօքսիդանտների </w:t>
      </w:r>
      <w:r>
        <w:t>եւ</w:t>
      </w:r>
      <w:r w:rsidRPr="00E345B2">
        <w:t xml:space="preserve"> այլ օժանդակ նյութերի քանակական որոշումն անցկացնում են՝ դեղագործական բաղադրամասի բնույթով </w:t>
      </w:r>
      <w:r>
        <w:t>եւ</w:t>
      </w:r>
      <w:r w:rsidRPr="00E345B2">
        <w:t xml:space="preserve"> դեղաձ</w:t>
      </w:r>
      <w:r>
        <w:t>եւ</w:t>
      </w:r>
      <w:r w:rsidRPr="00E345B2">
        <w:t xml:space="preserve">ի </w:t>
      </w:r>
      <w:r w:rsidRPr="00E345B2">
        <w:lastRenderedPageBreak/>
        <w:t xml:space="preserve">առանձնահատկություններով պայմանավորված, մասնավոր դեղագրքային հոդվածի կամ որակի վերաբերյալ նորմատիվ փաստաթղթի ցուցումներին համապատասխան։ Փորձարկումներն անցկացնում են՝ կիրառելով անալիզի ֆիզիկաքիմիական (սպեկտրաչափական, քրոմատագրական </w:t>
      </w:r>
      <w:r>
        <w:t>եւ</w:t>
      </w:r>
      <w:r w:rsidRPr="00E345B2">
        <w:t xml:space="preserve"> այլ) </w:t>
      </w:r>
      <w:r w:rsidRPr="004A289F">
        <w:rPr>
          <w:i/>
        </w:rPr>
        <w:t>(2.1.2.24, 2.1.2.28 եւ այլ) եւ քիմիական (տիտրաչափական) (2.1.5.11 եւ այլ), կենսաբանական մեթոդներ եւ այլն։</w:t>
      </w:r>
    </w:p>
    <w:p w14:paraId="617E19B4" w14:textId="77777777" w:rsidR="0035054F" w:rsidRPr="00E345B2" w:rsidRDefault="0035054F" w:rsidP="00B867ED">
      <w:pPr>
        <w:spacing w:after="160" w:line="360" w:lineRule="auto"/>
        <w:ind w:firstLine="567"/>
        <w:jc w:val="both"/>
      </w:pPr>
      <w:r w:rsidRPr="00E345B2">
        <w:t xml:space="preserve">Դեղապատրաստուկների քանակական որոշման կիրառվող ցանկացած մեթոդ (մեթոդիկաներ) ենթակա է վալիդացման՝ </w:t>
      </w:r>
      <w:r w:rsidRPr="004A289F">
        <w:rPr>
          <w:i/>
        </w:rPr>
        <w:t xml:space="preserve">«2.3.14.0. Անալիտիկ մեթոդիկաների վալիդացումը» </w:t>
      </w:r>
      <w:r w:rsidRPr="00E345B2">
        <w:t>ընդհանուր դեղագրքային հոդվածի պահանջների համաձայն։</w:t>
      </w:r>
    </w:p>
    <w:p w14:paraId="3DAD0A66" w14:textId="77777777" w:rsidR="0035054F" w:rsidRPr="00E345B2" w:rsidRDefault="0035054F" w:rsidP="00B867ED">
      <w:pPr>
        <w:spacing w:after="160" w:line="360" w:lineRule="auto"/>
        <w:ind w:firstLine="567"/>
        <w:jc w:val="both"/>
      </w:pPr>
      <w:r w:rsidRPr="00E345B2">
        <w:t>Դեղապատրաստուկի մեջ ազդող նյութի քանակական որոշման փորձարկումների մեթոդների (մեթոդիկաների) ընտրության ժամանակ՝</w:t>
      </w:r>
    </w:p>
    <w:p w14:paraId="3274B622" w14:textId="77777777" w:rsidR="0035054F" w:rsidRPr="00E345B2" w:rsidRDefault="0035054F" w:rsidP="00B867ED">
      <w:pPr>
        <w:tabs>
          <w:tab w:val="left" w:pos="1134"/>
        </w:tabs>
        <w:spacing w:after="160" w:line="360" w:lineRule="auto"/>
        <w:ind w:firstLine="567"/>
        <w:jc w:val="both"/>
      </w:pPr>
      <w:r w:rsidRPr="00E345B2">
        <w:t>-</w:t>
      </w:r>
      <w:r w:rsidR="004A289F" w:rsidRPr="004A289F">
        <w:tab/>
      </w:r>
      <w:r w:rsidRPr="00E345B2">
        <w:t>առաջարկվում է կիրառել անալիզի սպեցիֆիկ մեթոդներ, օրինակ՝ բարձրարդյունավետ հեղուկային կամ գազային քրոմատագրում, ինչը թույլ է տալիս բացառել փորձարկման արդյունքների վրա օժանդակ նյութերի հնարավոր ազդեցությունը, որն անալիզի ոչ սպեցիֆիկ մեթոդների կիրառման դեպքում էական սխալանքի պատճառ կարող է դառնալ.</w:t>
      </w:r>
    </w:p>
    <w:p w14:paraId="427C1057" w14:textId="77777777" w:rsidR="0035054F" w:rsidRPr="00E345B2" w:rsidRDefault="0035054F" w:rsidP="00B867ED">
      <w:pPr>
        <w:tabs>
          <w:tab w:val="left" w:pos="1134"/>
        </w:tabs>
        <w:spacing w:after="160" w:line="360" w:lineRule="auto"/>
        <w:ind w:firstLine="567"/>
        <w:jc w:val="both"/>
      </w:pPr>
      <w:r w:rsidRPr="00E345B2">
        <w:t>-</w:t>
      </w:r>
      <w:r w:rsidR="004A289F" w:rsidRPr="004A289F">
        <w:tab/>
      </w:r>
      <w:r w:rsidRPr="00E345B2">
        <w:t xml:space="preserve">հնարավորության դեպքում կիրառել նույն մեթոդը, որը մասնավոր դեղագրքային հոդվածի համաձայն՝ կիրառվում է դեղագործական բաղադրամասի (դեղապատրաստուկի ազդող նյութի) քանակական որոշման համար. ընդ որում, անհրաժեշտ է հաստատել, որ դեղապատրաստուկի մեջ առկա օժանդակ նյութերը </w:t>
      </w:r>
      <w:r>
        <w:t>եւ</w:t>
      </w:r>
      <w:r w:rsidRPr="00E345B2">
        <w:t xml:space="preserve"> (կամ) դեղաձ</w:t>
      </w:r>
      <w:r>
        <w:t>եւ</w:t>
      </w:r>
      <w:r w:rsidRPr="00E345B2">
        <w:t>ը ստացված արդյունքի վրա չեն ազդում.</w:t>
      </w:r>
    </w:p>
    <w:p w14:paraId="2C8BB937" w14:textId="77777777" w:rsidR="0035054F" w:rsidRPr="00E345B2" w:rsidRDefault="0035054F" w:rsidP="00B867ED">
      <w:pPr>
        <w:tabs>
          <w:tab w:val="left" w:pos="1134"/>
        </w:tabs>
        <w:spacing w:after="160" w:line="360" w:lineRule="auto"/>
        <w:ind w:firstLine="567"/>
        <w:jc w:val="both"/>
      </w:pPr>
      <w:r w:rsidRPr="00E345B2">
        <w:t>-</w:t>
      </w:r>
      <w:r w:rsidR="004A289F" w:rsidRPr="004A289F">
        <w:tab/>
      </w:r>
      <w:r w:rsidRPr="00E345B2">
        <w:t>այդ դեղապատրաստուկի կայունության ուսումնասիրման ժամանակ կիրառվող մեթոդները (մեթոդիկաները)։</w:t>
      </w:r>
    </w:p>
    <w:p w14:paraId="074D4422" w14:textId="77777777" w:rsidR="0035054F" w:rsidRPr="00E345B2" w:rsidRDefault="0035054F" w:rsidP="00B867ED">
      <w:pPr>
        <w:spacing w:after="160" w:line="360" w:lineRule="auto"/>
        <w:ind w:firstLine="567"/>
        <w:jc w:val="both"/>
      </w:pPr>
      <w:r w:rsidRPr="00E345B2">
        <w:t>Թույլատրվում է կիրառել քանակական որոշման տարբեր մեթոդներ (մեթոդիկաներ) այդ ցուցանիշներով դեղապատրաստուկի այնպիսի փորձարկումների անցկացման դեպքում, որոնց ընթացքում մի</w:t>
      </w:r>
      <w:r>
        <w:t>եւ</w:t>
      </w:r>
      <w:r w:rsidRPr="00E345B2">
        <w:t xml:space="preserve">նույն ազդող </w:t>
      </w:r>
      <w:r w:rsidRPr="00E345B2">
        <w:lastRenderedPageBreak/>
        <w:t>նյութի քանակական որոշում են անցկացնում (օրինակ՝ Լուծվելը, Դեղաչափման միատարրությունը, Քանակական որոշումը). ընդ որում, մեթոդների (մեթոդիկաների) պիտանիությունը պետք է հաստատվի վալիդացման համապատասխան ընթացակարգերով։</w:t>
      </w:r>
    </w:p>
    <w:p w14:paraId="3A3B74F7" w14:textId="77777777" w:rsidR="0035054F" w:rsidRPr="00E345B2" w:rsidRDefault="0035054F" w:rsidP="00B867ED">
      <w:pPr>
        <w:spacing w:after="160" w:line="360" w:lineRule="auto"/>
        <w:ind w:firstLine="567"/>
        <w:jc w:val="both"/>
      </w:pPr>
      <w:r w:rsidRPr="00E345B2">
        <w:t xml:space="preserve">Երկու </w:t>
      </w:r>
      <w:r>
        <w:t>եւ</w:t>
      </w:r>
      <w:r w:rsidRPr="00E345B2">
        <w:t xml:space="preserve"> ավելի ազդող նյութ պարունակող դեղապատրաստուկների մեջ, եթե անհնար է միասնական անալիտիկ մեթոդիկայի (մեթոդի) օգնությամբ քանակապես որոշել ազդող նյութերից յուրաքանչյուրն առանձին, թույլատրվում է կիրառել անալիզի վալիդացված մի քանի համապատասխան մեթոդներ (մեթոդիկաներ)։</w:t>
      </w:r>
    </w:p>
    <w:p w14:paraId="1602EC71" w14:textId="77777777" w:rsidR="0035054F" w:rsidRPr="00E345B2" w:rsidRDefault="0035054F" w:rsidP="00B867ED">
      <w:pPr>
        <w:spacing w:after="160" w:line="360" w:lineRule="auto"/>
        <w:ind w:firstLine="567"/>
        <w:jc w:val="both"/>
      </w:pPr>
      <w:r w:rsidRPr="00E345B2">
        <w:t>Եթե դեղապատրաստուկի ազդող նյութն աղ հանդիսացող դեղագործական բաղադրամաս է, ապա թույլատրվում է քանակական որոշումն անցկացնել ըստ իոններից որ</w:t>
      </w:r>
      <w:r>
        <w:t>եւ</w:t>
      </w:r>
      <w:r w:rsidRPr="00E345B2">
        <w:t>է մեկի, նախընտրելի է՝ ըստ դեղաբանորեն ակտիվ իոնի։</w:t>
      </w:r>
    </w:p>
    <w:p w14:paraId="0935742F" w14:textId="77777777" w:rsidR="0035054F" w:rsidRPr="00E345B2" w:rsidRDefault="0035054F" w:rsidP="00B867ED">
      <w:pPr>
        <w:spacing w:after="160" w:line="360" w:lineRule="auto"/>
        <w:ind w:firstLine="567"/>
        <w:jc w:val="both"/>
      </w:pPr>
      <w:r w:rsidRPr="00E345B2">
        <w:t xml:space="preserve">Ըստ «Քանակական որոշումը» ցուցանիշի փորձարկումների անցկացման դեպքում դեղապատրաստուկի բաղադրիչների պարունակության սահմանաչափերը պետք է նշվեն մասնավոր դեղագրքային հոդվածում </w:t>
      </w:r>
      <w:r>
        <w:t>եւ</w:t>
      </w:r>
      <w:r w:rsidRPr="00E345B2">
        <w:t xml:space="preserve"> կոնկրետ դեղապատրաստուկի որակին առնչվող նորմատիվ փաստաթղթում։ Դեղապատրաստուկի մեջ ազդող նյութի պարունակության առավելագույն թույլատրելի շեղումը դրա արտադրության օրվա դրությամբ չպետք է գերազանցի ± 5 %-ը՝ բացառությամբ համապատասխան կերպով հիմնավորված դեպքերի:</w:t>
      </w:r>
    </w:p>
    <w:p w14:paraId="62B6ED56" w14:textId="77777777" w:rsidR="0035054F" w:rsidRPr="00E345B2" w:rsidRDefault="0035054F" w:rsidP="00B867ED">
      <w:pPr>
        <w:spacing w:after="160" w:line="360" w:lineRule="auto"/>
        <w:ind w:firstLine="567"/>
        <w:jc w:val="both"/>
      </w:pPr>
      <w:r w:rsidRPr="00E345B2">
        <w:t>Դեղապատրաստուկների պատրաստման համար նախատեսված պինդ դեղաձ</w:t>
      </w:r>
      <w:r>
        <w:t>եւ</w:t>
      </w:r>
      <w:r w:rsidRPr="00E345B2">
        <w:t xml:space="preserve">երի (դեղահաբերի, փոշիների, հատիկների, լիոֆիլիզատների) լուծման </w:t>
      </w:r>
      <w:r>
        <w:t>եւ</w:t>
      </w:r>
      <w:r w:rsidRPr="00E345B2">
        <w:t xml:space="preserve"> դիսպերսման կամ հեղուկ դեղաձ</w:t>
      </w:r>
      <w:r>
        <w:t>եւ</w:t>
      </w:r>
      <w:r w:rsidRPr="00E345B2">
        <w:t xml:space="preserve">երի (կոնցենտրատների) նոսրացման ժամանակ ստացված դեղապատրաստուկները պետք է համապատասխանեն սույն ընդհանուր դեղագրքային հոդվածի պահանջներին </w:t>
      </w:r>
      <w:r>
        <w:t>եւ</w:t>
      </w:r>
      <w:r w:rsidRPr="00E345B2">
        <w:t xml:space="preserve"> մասնավոր դեղագրքային հոդվածում կամ սկզբնական դեղապատրաստուկի որակին առնչվող նորմատիվ փաստաթղթում նշված պահանջներին։</w:t>
      </w:r>
    </w:p>
    <w:p w14:paraId="1EBBFA46" w14:textId="77777777" w:rsidR="0035054F" w:rsidRPr="00E345B2" w:rsidRDefault="0035054F" w:rsidP="00B867ED">
      <w:pPr>
        <w:spacing w:after="160" w:line="360" w:lineRule="auto"/>
        <w:ind w:firstLine="567"/>
        <w:jc w:val="both"/>
      </w:pPr>
      <w:r w:rsidRPr="00E345B2">
        <w:t>Հաջորդող փորձարկումները որոշակի դեղապատրաստուկների առնչությամբ կիրառվող սպեցիֆիկ փորձարկումներ են։</w:t>
      </w:r>
    </w:p>
    <w:p w14:paraId="2C7D16D6" w14:textId="77777777" w:rsidR="0035054F" w:rsidRPr="00E345B2" w:rsidRDefault="0035054F" w:rsidP="00B867ED">
      <w:pPr>
        <w:spacing w:after="160" w:line="346" w:lineRule="auto"/>
        <w:ind w:firstLine="567"/>
        <w:jc w:val="both"/>
      </w:pPr>
      <w:r w:rsidRPr="00E345B2">
        <w:lastRenderedPageBreak/>
        <w:t xml:space="preserve">Մանրէաբանական մաքրությունը. Փորձարկումն անցկացնում են բոլոր ոչ մանրէազերծ դեղապատրաստուկների համար՝ </w:t>
      </w:r>
      <w:r w:rsidRPr="000B1C22">
        <w:rPr>
          <w:i/>
        </w:rPr>
        <w:t>«2.1.6.6. Ոչ մանրէազերծ դեղամիջոցների մանրէաբանական փորձարկումները. կենսունակ աերոբ օրգանիզմների ընդհանուր քանակը»,</w:t>
      </w:r>
      <w:r w:rsidRPr="00E345B2">
        <w:t xml:space="preserve"> </w:t>
      </w:r>
      <w:r w:rsidRPr="000B1C22">
        <w:rPr>
          <w:i/>
        </w:rPr>
        <w:t>«2.1.6.7. Ոչ մանրէազերծ դեղամիջոցների մանրէաբանական փորձարկումները՝ միկրոօրգանիզմների առանձին տեսակների առկայության մասով», «2.1.6.9. Ներքին ընդունման համար նախատեսված՝ բնական ծագման դեղապատրաստուկների եւ դրանց ստացման համար օգտագործվող հումքի մանրէաբանական փորձարկումները»</w:t>
      </w:r>
      <w:r w:rsidRPr="00E345B2">
        <w:t xml:space="preserve"> ընդհանուր դեղագրքային հոդվածներին համապատասխան՝ հաշվի առնելով դեղապատրաստուկի ազդող նյութի/նյութերի հատկությունները, դեղաձ</w:t>
      </w:r>
      <w:r>
        <w:t>եւ</w:t>
      </w:r>
      <w:r w:rsidRPr="00E345B2">
        <w:t>ի տեսակը դրա դասակարգային հատկանիշների հետ միասին, ինչպես նա</w:t>
      </w:r>
      <w:r>
        <w:t>եւ</w:t>
      </w:r>
      <w:r w:rsidRPr="00E345B2">
        <w:t xml:space="preserve"> </w:t>
      </w:r>
      <w:r w:rsidRPr="000B1C22">
        <w:rPr>
          <w:i/>
        </w:rPr>
        <w:t xml:space="preserve">«2.3.1.2. Դեղապատրաստուկների, դեղագործական բաղադրամասերի եւ դրանց արտադրության համար օժանդակ նյութերի մանրէաբանական մաքրությանը ներկայացվող պահանջները» </w:t>
      </w:r>
      <w:r w:rsidRPr="00E345B2">
        <w:t xml:space="preserve">կամ </w:t>
      </w:r>
      <w:r w:rsidRPr="000B1C22">
        <w:rPr>
          <w:i/>
        </w:rPr>
        <w:t>«2.3.1.4. Բուսական ծագման դեղագործական բաղադրամասերի, բուսական դեղապատրաստուկների եւ դրանք ստանալու համար օգտագործվող լուծամզվածքների մանրէաբանական մաքրությանը ներկայացվող պահանջները»</w:t>
      </w:r>
      <w:r w:rsidRPr="00E345B2">
        <w:t xml:space="preserve"> ընդհանուր դեղագրքային հոդվածներով կանոնակարգվող պահանջներին համապատասխան։</w:t>
      </w:r>
    </w:p>
    <w:p w14:paraId="55E1ED8D" w14:textId="77777777" w:rsidR="0035054F" w:rsidRPr="00E345B2" w:rsidRDefault="0035054F" w:rsidP="00B867ED">
      <w:pPr>
        <w:spacing w:after="160" w:line="346" w:lineRule="auto"/>
        <w:ind w:firstLine="567"/>
        <w:jc w:val="both"/>
      </w:pPr>
      <w:r w:rsidRPr="00E345B2">
        <w:t xml:space="preserve">Մանրէազերծությունը. Փորձարկումն անցկացնում են բոլոր այն դեղապատրաստուկների համար, որոնց ներկայացվում է մանրէազերծման պահանջ՝ </w:t>
      </w:r>
      <w:r w:rsidRPr="000B1C22">
        <w:rPr>
          <w:i/>
        </w:rPr>
        <w:t>«2.1.6.1. Մանրէազերծությունը»</w:t>
      </w:r>
      <w:r w:rsidRPr="00E345B2">
        <w:t xml:space="preserve"> ընդհանուր դեղագրքային հոդվածին համապատասխան։</w:t>
      </w:r>
    </w:p>
    <w:p w14:paraId="576323F2" w14:textId="77777777" w:rsidR="0035054F" w:rsidRPr="00E345B2" w:rsidRDefault="0035054F" w:rsidP="00B867ED">
      <w:pPr>
        <w:spacing w:after="160" w:line="346" w:lineRule="auto"/>
        <w:ind w:firstLine="567"/>
        <w:jc w:val="both"/>
      </w:pPr>
      <w:r w:rsidRPr="00E345B2">
        <w:t xml:space="preserve">Բակտերիալ էնդոտոքսինները </w:t>
      </w:r>
      <w:r>
        <w:t>եւ</w:t>
      </w:r>
      <w:r w:rsidRPr="00E345B2">
        <w:t xml:space="preserve"> (կամ) Պիրոգենությունը. Փորձարկումն անցկացնում են պարէնտերալ կիրառության համար նախատեսված դեղապատրաստուկների, ցողման համար նախատեսված լուծույթների համար </w:t>
      </w:r>
      <w:r>
        <w:t>եւ</w:t>
      </w:r>
      <w:r w:rsidRPr="00E345B2">
        <w:t xml:space="preserve"> մասնավոր դեղագրքային հոդվածում կամ որակին առնչվող նորմատիվ փաստաթղթում նշված լինելու դեպքում՝ այլ դեղապատրաստուկների համար։ Փորձարկումն անցկացնում են </w:t>
      </w:r>
      <w:r w:rsidRPr="000B1C22">
        <w:rPr>
          <w:i/>
        </w:rPr>
        <w:t>«2.1.6.8. Բակտերիալ էնդոտոքսինները»</w:t>
      </w:r>
      <w:r w:rsidRPr="00E345B2">
        <w:t xml:space="preserve"> ընդհանուր դեղագրքային հոդվածին կամ </w:t>
      </w:r>
      <w:r w:rsidRPr="000B1C22">
        <w:rPr>
          <w:i/>
        </w:rPr>
        <w:t xml:space="preserve">«2.1.6.2. Պիրոգենությունը» </w:t>
      </w:r>
      <w:r w:rsidRPr="00E345B2">
        <w:t>ընդհանուր դեղագրքային հոդվածին համապատասխան։</w:t>
      </w:r>
    </w:p>
    <w:p w14:paraId="1166E012" w14:textId="77777777" w:rsidR="0035054F" w:rsidRPr="00E345B2" w:rsidRDefault="0035054F" w:rsidP="00D03E8B">
      <w:pPr>
        <w:spacing w:after="160" w:line="360" w:lineRule="auto"/>
        <w:ind w:firstLine="567"/>
        <w:jc w:val="both"/>
      </w:pPr>
      <w:r w:rsidRPr="00E345B2">
        <w:lastRenderedPageBreak/>
        <w:t>Անոմալ թունավորությունը. Փորձարկումն անցկացնում են «</w:t>
      </w:r>
      <w:r w:rsidRPr="000B1C22">
        <w:rPr>
          <w:i/>
        </w:rPr>
        <w:t xml:space="preserve">2.1.6.3. Անոմալ թունավորությունը» </w:t>
      </w:r>
      <w:r w:rsidRPr="00E345B2">
        <w:t xml:space="preserve">ընդհանուր դեղագրքային հոդվածին համապատասխան՝ բնական ծագման նյութեր պարունակող դեղապատրաստուկների համար՝ մարդու կամ կենդանու արյունից, օրգաններից, հյուսվածքներից ստացվող նյութերից, բուսական հումքից, միկրոօրգանիզմներից </w:t>
      </w:r>
      <w:r>
        <w:t>եւ</w:t>
      </w:r>
      <w:r w:rsidRPr="00E345B2">
        <w:t xml:space="preserve"> դրանց կենսագործունեության արգասիքներից՝ հիմնականում պարէնտերալ կիրառության համար նախատեսված դեղաձ</w:t>
      </w:r>
      <w:r>
        <w:t>եւ</w:t>
      </w:r>
      <w:r w:rsidRPr="00E345B2">
        <w:t>երի տեսքով։ Համապատասխան հիմնավորման դեպքում փորձարկում կարող է չանցկացվել։</w:t>
      </w:r>
    </w:p>
    <w:p w14:paraId="32AECE42" w14:textId="77777777" w:rsidR="0035054F" w:rsidRPr="00E345B2" w:rsidRDefault="0035054F" w:rsidP="00D03E8B">
      <w:pPr>
        <w:spacing w:after="160" w:line="360" w:lineRule="auto"/>
        <w:ind w:firstLine="567"/>
        <w:jc w:val="both"/>
      </w:pPr>
      <w:r w:rsidRPr="00E345B2">
        <w:t xml:space="preserve">Ստանդարտ նմուշները. Ստանդարտ նմուշները, որոնք կարող են անհրաժեշտ լինել դեղապատրաստուկի փորձարկման տարբեր փուլերում, պետք է համապատասխանեն </w:t>
      </w:r>
      <w:r w:rsidRPr="000B1C22">
        <w:rPr>
          <w:i/>
        </w:rPr>
        <w:t>«2.3.11.0. Ստանդարտ նմուշները»</w:t>
      </w:r>
      <w:r w:rsidRPr="00E345B2">
        <w:t xml:space="preserve"> ընդհանուր դեղագրքային հոդվածի պահանջներին։</w:t>
      </w:r>
    </w:p>
    <w:p w14:paraId="772B8AE5" w14:textId="77777777" w:rsidR="0035054F" w:rsidRPr="00E345B2" w:rsidRDefault="0035054F" w:rsidP="00D03E8B">
      <w:pPr>
        <w:spacing w:after="160" w:line="360" w:lineRule="auto"/>
        <w:ind w:firstLine="567"/>
        <w:jc w:val="both"/>
      </w:pPr>
      <w:r w:rsidRPr="00E345B2">
        <w:t>Դեղապատրաստուկների մյուս փորձարկումներն անցկացնում են, եթե մասնավոր դեղագրքային հոդվածում կամ որակին առնչվող նորմատիվ փաստաթղթում համապատասխան ցուցումներ կան։</w:t>
      </w:r>
    </w:p>
    <w:p w14:paraId="5C7C79FC" w14:textId="77777777" w:rsidR="0035054F" w:rsidRPr="00E345B2" w:rsidRDefault="0035054F" w:rsidP="00D03E8B">
      <w:pPr>
        <w:spacing w:after="160" w:line="360" w:lineRule="auto"/>
        <w:ind w:firstLine="567"/>
        <w:jc w:val="both"/>
      </w:pPr>
      <w:r w:rsidRPr="00E345B2">
        <w:t>Փաթեթավորումը, Մակնշումը, Պահպանումը բաժիններն անհրաժեշտության դեպքում ներառում են դեղապատրաստուկին առնչվող մասնավոր դեղագրքային հոդվածում, ընդ որում, ղեկավարվելով դեղաձ</w:t>
      </w:r>
      <w:r>
        <w:t>եւ</w:t>
      </w:r>
      <w:r w:rsidRPr="00E345B2">
        <w:t xml:space="preserve">երին առնչվող ընդհանուր դեղագրքային հոդվածներում նշված համապատասխան պահանջներով </w:t>
      </w:r>
      <w:r>
        <w:t>եւ</w:t>
      </w:r>
      <w:r w:rsidRPr="00E345B2">
        <w:t xml:space="preserve"> կիրառելով Եվրասիական տնտեսական հանձնաժողովի անհրաժեշտ ուղեցույցները </w:t>
      </w:r>
      <w:r>
        <w:t>եւ</w:t>
      </w:r>
      <w:r w:rsidRPr="00E345B2">
        <w:t xml:space="preserve"> այլ ակտեր։</w:t>
      </w:r>
    </w:p>
    <w:p w14:paraId="2E60B00F" w14:textId="77777777" w:rsidR="0035054F" w:rsidRPr="00E345B2" w:rsidRDefault="0035054F" w:rsidP="00D03E8B">
      <w:pPr>
        <w:spacing w:after="160" w:line="360" w:lineRule="auto"/>
        <w:ind w:firstLine="567"/>
        <w:jc w:val="both"/>
      </w:pPr>
    </w:p>
    <w:p w14:paraId="4E4EFE6C" w14:textId="77777777" w:rsidR="00AA7C33" w:rsidRDefault="00AA7C33">
      <w:pPr>
        <w:rPr>
          <w:b/>
          <w:sz w:val="20"/>
        </w:rPr>
      </w:pPr>
      <w:r>
        <w:rPr>
          <w:b/>
          <w:sz w:val="20"/>
        </w:rPr>
        <w:br w:type="page"/>
      </w:r>
    </w:p>
    <w:p w14:paraId="4783604F" w14:textId="77777777" w:rsidR="0035054F" w:rsidRPr="00B5542D" w:rsidRDefault="0035054F" w:rsidP="00D03E8B">
      <w:pPr>
        <w:spacing w:after="160" w:line="360" w:lineRule="auto"/>
        <w:jc w:val="right"/>
        <w:rPr>
          <w:b/>
          <w:sz w:val="20"/>
        </w:rPr>
      </w:pPr>
      <w:r w:rsidRPr="00D03E8B">
        <w:rPr>
          <w:b/>
          <w:sz w:val="20"/>
        </w:rPr>
        <w:lastRenderedPageBreak/>
        <w:t>205030002-2022</w:t>
      </w:r>
    </w:p>
    <w:p w14:paraId="16127FD5" w14:textId="77777777" w:rsidR="00AA7C33" w:rsidRPr="00B5542D" w:rsidRDefault="00AA7C33" w:rsidP="00D03E8B">
      <w:pPr>
        <w:spacing w:after="160" w:line="360" w:lineRule="auto"/>
        <w:jc w:val="right"/>
        <w:rPr>
          <w:b/>
          <w:sz w:val="20"/>
        </w:rPr>
      </w:pPr>
    </w:p>
    <w:p w14:paraId="5EBECCA5" w14:textId="77777777" w:rsidR="0035054F" w:rsidRPr="00D03E8B" w:rsidRDefault="0035054F" w:rsidP="00D03E8B">
      <w:pPr>
        <w:tabs>
          <w:tab w:val="left" w:pos="1701"/>
        </w:tabs>
        <w:spacing w:after="160" w:line="360" w:lineRule="auto"/>
        <w:ind w:firstLine="567"/>
        <w:jc w:val="both"/>
        <w:rPr>
          <w:b/>
        </w:rPr>
      </w:pPr>
      <w:r w:rsidRPr="00D03E8B">
        <w:rPr>
          <w:b/>
        </w:rPr>
        <w:t>2.5.3.2.</w:t>
      </w:r>
      <w:r w:rsidR="00D03E8B" w:rsidRPr="00B5542D">
        <w:rPr>
          <w:b/>
        </w:rPr>
        <w:tab/>
      </w:r>
      <w:r w:rsidRPr="00D03E8B">
        <w:rPr>
          <w:b/>
        </w:rPr>
        <w:t>Ինհալացիոն կիրառության համար նախատեսված դեղապատրաստուկները</w:t>
      </w:r>
    </w:p>
    <w:p w14:paraId="58BDAD9B" w14:textId="77777777" w:rsidR="0035054F" w:rsidRPr="00E345B2" w:rsidRDefault="0035054F" w:rsidP="00D03E8B">
      <w:pPr>
        <w:spacing w:after="160" w:line="360" w:lineRule="auto"/>
        <w:ind w:firstLine="567"/>
        <w:jc w:val="both"/>
      </w:pPr>
      <w:r w:rsidRPr="00E345B2">
        <w:t>Ինհալացիոն կիրառության համար դեղապատրաստուկներն այնպիսի պատրաստուկներ են, որոնք նախատեսված են ազդող նյութը գազային միջավայրում պինդ կամ հեղուկ մասնիկների գոլորշիների կամ դիսպերսիաների տեսքով շնչառական համակարգի մեջ ներմուծելու համար՝ տեղային կամ համակարգային ազդեցություն գործելու նպատակով։</w:t>
      </w:r>
    </w:p>
    <w:p w14:paraId="7FBA0113" w14:textId="77777777" w:rsidR="0035054F" w:rsidRPr="00E345B2" w:rsidRDefault="0035054F" w:rsidP="00D03E8B">
      <w:pPr>
        <w:spacing w:after="160" w:line="360" w:lineRule="auto"/>
        <w:ind w:firstLine="567"/>
        <w:jc w:val="both"/>
      </w:pPr>
      <w:r w:rsidRPr="00E345B2">
        <w:t>Ինհալացիոն կիրառության համար նախատեսված դեղապատրաստուկները պարունակում են համապատասխան կրիչի մեջ լուծված կամ դիսպեսված մեկ կամ ավելի ազդող նյութեր։</w:t>
      </w:r>
    </w:p>
    <w:p w14:paraId="1DC83A14" w14:textId="77777777" w:rsidR="0035054F" w:rsidRPr="00E345B2" w:rsidRDefault="0035054F" w:rsidP="00D03E8B">
      <w:pPr>
        <w:spacing w:after="160" w:line="360" w:lineRule="auto"/>
        <w:ind w:firstLine="567"/>
        <w:jc w:val="both"/>
      </w:pPr>
      <w:r w:rsidRPr="00E345B2">
        <w:t xml:space="preserve">Ինհալացիոն կիրառության համար նախատեսված դեղապատրաստուկները շնչառական համակարգի մեջ ներմուծելու համար կարող են օգտագործվել հատուկ սարքվածքներ՝ նեբուլայզերներ, ինհալատորներ (ճնշման տակ գտնվող, ճնշման տակ չգտնվող կամ փոշիների համար նախատեսված) </w:t>
      </w:r>
      <w:r>
        <w:t>եւ</w:t>
      </w:r>
      <w:r w:rsidRPr="00E345B2">
        <w:t xml:space="preserve"> այլն։</w:t>
      </w:r>
    </w:p>
    <w:p w14:paraId="2568D4A1" w14:textId="77777777" w:rsidR="0035054F" w:rsidRPr="00E345B2" w:rsidRDefault="0035054F" w:rsidP="00D03E8B">
      <w:pPr>
        <w:spacing w:after="160" w:line="360" w:lineRule="auto"/>
        <w:ind w:firstLine="567"/>
        <w:jc w:val="both"/>
      </w:pPr>
      <w:r w:rsidRPr="00E345B2">
        <w:t>Առանձնացնում են ինհալացիաների համար նախատեսված դեղապատրաստուկների մի քանի տեսակներ՝</w:t>
      </w:r>
    </w:p>
    <w:p w14:paraId="41B1E347"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ինհալացիաների համար նախատեսված աերոզոլներ՝ դոզավորված,</w:t>
      </w:r>
    </w:p>
    <w:p w14:paraId="6068FCDF"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ինհալացիաների համար նախատեսված փոշիներ՝ դոզավորված, այդ թվում՝ ինհալացիաների համար նախատեսված փոշով դեղապատիճներ,</w:t>
      </w:r>
    </w:p>
    <w:p w14:paraId="36B9EE4C"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ինհալացիաների համար նախատեսված հեղուկներ (նեբուլայզերի օգնությամբ փոշեցրման համար նախատեսված դեղապատրաստուկներ),</w:t>
      </w:r>
    </w:p>
    <w:p w14:paraId="15F7BA0C" w14:textId="77777777" w:rsidR="0035054F" w:rsidRPr="00B5542D" w:rsidRDefault="0035054F" w:rsidP="00D03E8B">
      <w:pPr>
        <w:tabs>
          <w:tab w:val="left" w:pos="1134"/>
        </w:tabs>
        <w:spacing w:after="160" w:line="360" w:lineRule="auto"/>
        <w:ind w:firstLine="567"/>
        <w:jc w:val="both"/>
      </w:pPr>
      <w:r w:rsidRPr="00E345B2">
        <w:t>-</w:t>
      </w:r>
      <w:r w:rsidR="00D03E8B" w:rsidRPr="00D03E8B">
        <w:tab/>
      </w:r>
      <w:r w:rsidRPr="00E345B2">
        <w:t>ինհալացիաների համար նախատեսված ոչ աերոզոլային դոզավորված դեղապատրաստուկներ,</w:t>
      </w:r>
    </w:p>
    <w:p w14:paraId="5BA90911" w14:textId="77777777" w:rsidR="00AA7C33" w:rsidRPr="00B5542D" w:rsidRDefault="00AA7C33" w:rsidP="00D03E8B">
      <w:pPr>
        <w:tabs>
          <w:tab w:val="left" w:pos="1134"/>
        </w:tabs>
        <w:spacing w:after="160" w:line="360" w:lineRule="auto"/>
        <w:ind w:firstLine="567"/>
        <w:jc w:val="both"/>
      </w:pPr>
    </w:p>
    <w:p w14:paraId="7ECDBF8B" w14:textId="77777777" w:rsidR="0035054F" w:rsidRPr="00E345B2" w:rsidRDefault="0035054F" w:rsidP="00D03E8B">
      <w:pPr>
        <w:tabs>
          <w:tab w:val="left" w:pos="1134"/>
        </w:tabs>
        <w:spacing w:after="160" w:line="360" w:lineRule="auto"/>
        <w:ind w:firstLine="567"/>
        <w:jc w:val="both"/>
      </w:pPr>
      <w:r w:rsidRPr="00E345B2">
        <w:lastRenderedPageBreak/>
        <w:t>-</w:t>
      </w:r>
      <w:r w:rsidR="00D03E8B" w:rsidRPr="00D03E8B">
        <w:tab/>
      </w:r>
      <w:r w:rsidRPr="00E345B2">
        <w:t>գոլորշու տեսքով ներմուծման համար նախատեսված</w:t>
      </w:r>
      <w:r>
        <w:t xml:space="preserve"> </w:t>
      </w:r>
      <w:r w:rsidRPr="00E345B2">
        <w:t>դեղապատրաստուկներ,</w:t>
      </w:r>
    </w:p>
    <w:p w14:paraId="363A26B1"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ինհալացիաների համար նախատեսված դեղային խծուծներ։</w:t>
      </w:r>
    </w:p>
    <w:p w14:paraId="6FEB1D0E" w14:textId="77777777" w:rsidR="0035054F" w:rsidRPr="00E345B2" w:rsidRDefault="0035054F" w:rsidP="00D03E8B">
      <w:pPr>
        <w:spacing w:after="160" w:line="360" w:lineRule="auto"/>
        <w:ind w:firstLine="567"/>
        <w:jc w:val="both"/>
      </w:pPr>
      <w:r w:rsidRPr="00E345B2">
        <w:t>Գոլորշու տեսքով ներմուծման համար նախատեսված</w:t>
      </w:r>
      <w:r>
        <w:t xml:space="preserve"> </w:t>
      </w:r>
      <w:r w:rsidRPr="00E345B2">
        <w:t>դեղապատրաստուկներին են դասվում այն դեղապատրաստուկները, որոնք գոլորշիներ են գոյացնում տաք ջրին ավելացնելու դեպքում կամ գոլորշիներ են գոյացնում համապատասխան սարքի (օրինակ՝ ինհալատորի) օգնությամբ, թողարկվում են հետ</w:t>
      </w:r>
      <w:r>
        <w:t>եւ</w:t>
      </w:r>
      <w:r w:rsidRPr="00E345B2">
        <w:t>յալ դեղաձ</w:t>
      </w:r>
      <w:r>
        <w:t>եւ</w:t>
      </w:r>
      <w:r w:rsidRPr="00E345B2">
        <w:t>երով՝</w:t>
      </w:r>
    </w:p>
    <w:p w14:paraId="29C68A3D"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հեղուկ դեղաձ</w:t>
      </w:r>
      <w:r>
        <w:t>եւ</w:t>
      </w:r>
      <w:r w:rsidRPr="00E345B2">
        <w:t>եր՝ ինհալացիաների համար լուծույթներ, ինհալացիաների համար կաթիլներ, ինհալացիաների համար էմուլսիաներ, ինհալացիաների համար կախույթներ, ինհալացիաների համար ոգեթուրմեր.</w:t>
      </w:r>
    </w:p>
    <w:p w14:paraId="40B20C38"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փափուկ դեղաձ</w:t>
      </w:r>
      <w:r>
        <w:t>եւ</w:t>
      </w:r>
      <w:r w:rsidRPr="00E345B2">
        <w:t>եր՝ ինհալացիաների համար քսուքներ.</w:t>
      </w:r>
    </w:p>
    <w:p w14:paraId="098B93D1"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պինդ դեղաձ</w:t>
      </w:r>
      <w:r>
        <w:t>եւ</w:t>
      </w:r>
      <w:r w:rsidRPr="00E345B2">
        <w:t>եր՝ ինհալացիաների համար դեղահաբեր, որոնք նախատեսված են նախքան կիրառումը հեղուկ միջավայրի մեջ լուծելու կամ դիսպերսելու համար։</w:t>
      </w:r>
    </w:p>
    <w:p w14:paraId="4AB279BD" w14:textId="77777777" w:rsidR="0035054F" w:rsidRPr="00E345B2" w:rsidRDefault="0035054F" w:rsidP="00D03E8B">
      <w:pPr>
        <w:spacing w:after="160" w:line="360" w:lineRule="auto"/>
        <w:ind w:firstLine="567"/>
        <w:jc w:val="both"/>
      </w:pPr>
      <w:r w:rsidRPr="00E345B2">
        <w:t>Փոշեցրման համար նախատեսված դեղապատրաստուկները դեղապատրաստուկներ են, որոնք նախատեսված են համապատասխան սարքվածքի, օրինակ՝ նեբուլայզերի օգնությամբ ինհալացիաների համար նախատեսված աերոզոլի փոխարկման համար, թողարկվում են հետ</w:t>
      </w:r>
      <w:r>
        <w:t>եւ</w:t>
      </w:r>
      <w:r w:rsidRPr="00E345B2">
        <w:t>յալ դեղաձ</w:t>
      </w:r>
      <w:r>
        <w:t>եւ</w:t>
      </w:r>
      <w:r w:rsidRPr="00E345B2">
        <w:t>երի տեսքով՝</w:t>
      </w:r>
    </w:p>
    <w:p w14:paraId="3BF52612"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հեղուկ դեղաձ</w:t>
      </w:r>
      <w:r>
        <w:t>եւ</w:t>
      </w:r>
      <w:r w:rsidRPr="00E345B2">
        <w:t>եր՝ ինհալացիաների համար լուծույթներ, ինհալացիաների համար կախույթներ, ինհալացիաների համար էմուլսիաներ, ինհալացիաների համար հեղուկ դեղաձ</w:t>
      </w:r>
      <w:r>
        <w:t>եւ</w:t>
      </w:r>
      <w:r w:rsidRPr="00E345B2">
        <w:t>ի պատրաստման համար կոնցենտրատներ.</w:t>
      </w:r>
    </w:p>
    <w:p w14:paraId="46C25548"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պինդ դեղաձ</w:t>
      </w:r>
      <w:r>
        <w:t>եւ</w:t>
      </w:r>
      <w:r w:rsidRPr="00E345B2">
        <w:t>եր՝ ինհալացիաների համար հեղուկ դեղաձ</w:t>
      </w:r>
      <w:r>
        <w:t>եւ</w:t>
      </w:r>
      <w:r w:rsidRPr="00E345B2">
        <w:t>ի պատրաստման համար դեղահաբեր կամ փոշիներ.</w:t>
      </w:r>
    </w:p>
    <w:p w14:paraId="284E95B5" w14:textId="77777777" w:rsidR="0035054F" w:rsidRPr="00E345B2" w:rsidRDefault="0035054F" w:rsidP="00D03E8B">
      <w:pPr>
        <w:spacing w:after="160" w:line="360" w:lineRule="auto"/>
        <w:ind w:firstLine="567"/>
        <w:jc w:val="both"/>
      </w:pPr>
      <w:r w:rsidRPr="00AA7C33">
        <w:rPr>
          <w:spacing w:val="-6"/>
        </w:rPr>
        <w:lastRenderedPageBreak/>
        <w:t>Փոշեցրման համար նախատեսված դեղապատրաստուկները, որոնք ստացվել են ինհալացիաների համար հեղուկ դեղաձեւի պատրաստման համար կոնցենտրատները համապատասխան լուծիչի մեջ նոսրացնելուց հետո, կամ որոնք ստացվել են</w:t>
      </w:r>
      <w:r w:rsidRPr="00E345B2">
        <w:t xml:space="preserve"> ինհալացիաների համար հեղուկ դեղաձ</w:t>
      </w:r>
      <w:r>
        <w:t>եւ</w:t>
      </w:r>
      <w:r w:rsidRPr="00E345B2">
        <w:t>ի պատրաստման համար փոշիները կամ դեղահաբերը համապատասխան լուծիչի մեջ լուծելուց կամ դիսպերսելուց հետո, պետք է համապատասխանեն հեղուկ դեղաձ</w:t>
      </w:r>
      <w:r>
        <w:t>եւ</w:t>
      </w:r>
      <w:r w:rsidRPr="00E345B2">
        <w:t>ով փոշեցրման համար նախատեսված դեղապատրաստուկներին ներկայացվող պահանջներին։</w:t>
      </w:r>
    </w:p>
    <w:p w14:paraId="69D1FF77" w14:textId="77777777" w:rsidR="0035054F" w:rsidRPr="00E345B2" w:rsidRDefault="0035054F" w:rsidP="00D03E8B">
      <w:pPr>
        <w:spacing w:after="160" w:line="360" w:lineRule="auto"/>
        <w:ind w:firstLine="567"/>
        <w:jc w:val="both"/>
      </w:pPr>
      <w:r w:rsidRPr="00E345B2">
        <w:t>Ճնշման տակ գտնվող՝ ինհալացիոն կիրառության համար նախատեսված դեղապատրաստուկներին են դասվում ինհալացիաների համար նախատեսված աերոզոլների տեսքով դեղապատրաստուկները, որոնք իրենց հերթին կախույթներ կամ էմուլսիաներ են։ Ճնշման տակ գտնվող՝ ինհալացիոն կիրառության համար նախատեսված դեղապատրաստուկները թողարկում են դոզավորող փականային-ցնցղիչ համակարգ ունեցող փաթեթվածքով։</w:t>
      </w:r>
    </w:p>
    <w:p w14:paraId="384279B5" w14:textId="77777777" w:rsidR="0035054F" w:rsidRPr="00E345B2" w:rsidRDefault="0035054F" w:rsidP="00D03E8B">
      <w:pPr>
        <w:spacing w:after="160" w:line="360" w:lineRule="auto"/>
        <w:ind w:firstLine="567"/>
        <w:jc w:val="both"/>
      </w:pPr>
      <w:r w:rsidRPr="00E345B2">
        <w:t>Ճնշման տակ չգտնվող՝ ինհալացիոն կիրառության համար նախատեսված դեղապատրաստուկներին են դասվում աերոզոլային դեղաձ</w:t>
      </w:r>
      <w:r>
        <w:t>եւ</w:t>
      </w:r>
      <w:r w:rsidRPr="00E345B2">
        <w:t>երի տեսքով, լուծույթներ, կախույթներ կամ էմուլսիաներ հանդիսացող դեղապատրաստուկները, որոնք դեղապատրաստուկի դեղաչափը տեղ են հասցնում մեկ կամ ավելի ձերբազատմամբ, մատակարարման համար նախատեսված շարժական սարքի, ուլտրաձայնային տատանումների կամ այլ մեթոդների օգնությամբ։</w:t>
      </w:r>
    </w:p>
    <w:p w14:paraId="6943E9CC" w14:textId="77777777" w:rsidR="0035054F" w:rsidRPr="00E345B2" w:rsidRDefault="0035054F" w:rsidP="00D03E8B">
      <w:pPr>
        <w:spacing w:after="160" w:line="360" w:lineRule="auto"/>
        <w:ind w:firstLine="567"/>
        <w:jc w:val="both"/>
      </w:pPr>
      <w:r w:rsidRPr="00E345B2">
        <w:t>Ինհալացիաների համար դոզավորված փոշիներ հանդիսացող՝ ինհալացիոն կիրառության համար նախատեսված դեղապատրաստուկներին են դասվում՝</w:t>
      </w:r>
    </w:p>
    <w:p w14:paraId="6D6D172A"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 xml:space="preserve">ինհալացիաների համար դոզավորված փոշին (ինհալացիաների համար նախատեսված փոշին կարող է լինել նախապես դոզավորված լուծույթ, </w:t>
      </w:r>
    </w:p>
    <w:p w14:paraId="0D1EA138" w14:textId="77777777" w:rsidR="0035054F" w:rsidRPr="00E345B2" w:rsidRDefault="0035054F" w:rsidP="00D03E8B">
      <w:pPr>
        <w:tabs>
          <w:tab w:val="left" w:pos="1134"/>
        </w:tabs>
        <w:spacing w:after="160" w:line="360" w:lineRule="auto"/>
        <w:ind w:firstLine="567"/>
        <w:jc w:val="both"/>
      </w:pPr>
      <w:r w:rsidRPr="00E345B2">
        <w:t>նախապես դոզավորված փոշիային ինհալատոր)՝ դեղապատրաստուկ, որը պարունակում է ազդող նյութի՝ նախապես չափված քանակ՝ փոշու տեսքով, որպես կանոն, դեղապատիճների կամ բլիստերային փաթեթվածքի մեջ ներփակված.</w:t>
      </w:r>
    </w:p>
    <w:p w14:paraId="6B1B97AA" w14:textId="77777777" w:rsidR="0035054F" w:rsidRPr="00E345B2" w:rsidRDefault="0035054F" w:rsidP="00D03E8B">
      <w:pPr>
        <w:tabs>
          <w:tab w:val="left" w:pos="1134"/>
        </w:tabs>
        <w:spacing w:after="160" w:line="360" w:lineRule="auto"/>
        <w:ind w:firstLine="567"/>
        <w:jc w:val="both"/>
      </w:pPr>
      <w:r w:rsidRPr="00E345B2">
        <w:lastRenderedPageBreak/>
        <w:t>-</w:t>
      </w:r>
      <w:r w:rsidR="00D03E8B" w:rsidRPr="00D03E8B">
        <w:tab/>
      </w:r>
      <w:r w:rsidRPr="00E345B2">
        <w:t>ինհալացիաների համար նախատեսված փոշին՝ դոզավորող սարքով (դոզավորող սարքով փոշու ինհալատոր) դոզավորված՝ դեղապատրաստուկ, որը պարունակում է մատակարարման (փոշեցրման) սարքի օգնությամբ առանձին ձերբազատումների համար դոզավորվող փոշով պահեստարան։</w:t>
      </w:r>
    </w:p>
    <w:p w14:paraId="1C96490D" w14:textId="77777777" w:rsidR="0035054F" w:rsidRPr="00E345B2" w:rsidRDefault="0035054F" w:rsidP="00D03E8B">
      <w:pPr>
        <w:spacing w:after="160" w:line="360" w:lineRule="auto"/>
        <w:ind w:firstLine="567"/>
        <w:jc w:val="both"/>
      </w:pPr>
      <w:r w:rsidRPr="00E345B2">
        <w:t>Ինհալացիաների համար նախատեսված փոշով դեղապատիճներն այնպիսի դեղապատիճների տեսքով դեղապատրաստուկներ են, որոնք պարունակում են համապատասխան ինհալատորի օգնությամբ շնչառական համակարգի մեջ ինհալացիոն ներմուծման համար նախատեսված փոշի։</w:t>
      </w:r>
    </w:p>
    <w:p w14:paraId="4C7D279A" w14:textId="77777777" w:rsidR="0035054F" w:rsidRPr="00E345B2" w:rsidRDefault="0035054F" w:rsidP="00D03E8B">
      <w:pPr>
        <w:spacing w:after="160" w:line="360" w:lineRule="auto"/>
        <w:ind w:firstLine="567"/>
        <w:jc w:val="both"/>
      </w:pPr>
      <w:r w:rsidRPr="00E345B2">
        <w:t>Այսպիսով, դոզավորող սարքով համալրված փոշիային ինհալատորները կարող են պարունակել ազդող նյութի նախապես չափված քանակ, որպես կանոն, միադեղաչափ դեղապատիճների, բլիստերների կամ այլ համապատասխան ձ</w:t>
      </w:r>
      <w:r>
        <w:t>եւ</w:t>
      </w:r>
      <w:r w:rsidRPr="00E345B2">
        <w:t>երի մեջ ներփակված, կամ կարող են պարունակել մատակարարման (փոշեցրման) սարքի օգնությամբ առանձին ձերբազատումների համար դոզավորվող փոշով պահեստարան։</w:t>
      </w:r>
    </w:p>
    <w:p w14:paraId="78651B67" w14:textId="77777777" w:rsidR="0035054F" w:rsidRPr="00E345B2" w:rsidRDefault="0035054F" w:rsidP="00D03E8B">
      <w:pPr>
        <w:spacing w:after="160" w:line="360" w:lineRule="auto"/>
        <w:ind w:firstLine="567"/>
        <w:jc w:val="both"/>
      </w:pPr>
      <w:r w:rsidRPr="00E345B2">
        <w:t xml:space="preserve">Ինհալացիոն կիրառության համար նախատեսված՝ դեղային խծուծների տեսքով դեղապատրաստուկները դեղային խծուծներ են, որպես կանոն, կլորացված ծայրով </w:t>
      </w:r>
      <w:r>
        <w:t>եւ</w:t>
      </w:r>
      <w:r w:rsidRPr="00E345B2">
        <w:t xml:space="preserve"> բացվածքով համապատասխան գլանաձ</w:t>
      </w:r>
      <w:r>
        <w:t>եւ</w:t>
      </w:r>
      <w:r w:rsidRPr="00E345B2">
        <w:t xml:space="preserve"> ներդրուկների մեջ տեղադրվող, քթանցքերով ինհալացիաների համար նախատեսված։</w:t>
      </w:r>
    </w:p>
    <w:p w14:paraId="59D9442A" w14:textId="77777777" w:rsidR="0035054F" w:rsidRPr="00E345B2" w:rsidRDefault="0035054F" w:rsidP="00D03E8B">
      <w:pPr>
        <w:spacing w:after="160" w:line="360" w:lineRule="auto"/>
        <w:ind w:firstLine="567"/>
        <w:jc w:val="both"/>
      </w:pPr>
      <w:r w:rsidRPr="00E345B2">
        <w:t xml:space="preserve">Ինհալացիոն կիրառության համար նախատեսված դեղապատրաստուկներին ներկայացվող ընդհանուր պահանջները բերված են </w:t>
      </w:r>
      <w:r w:rsidRPr="000B1C22">
        <w:rPr>
          <w:i/>
        </w:rPr>
        <w:t>«2.5.3.1. Դեղապատրաստուկները»</w:t>
      </w:r>
      <w:r w:rsidRPr="00E345B2">
        <w:t xml:space="preserve"> ընդհանուր դեղագրքային հոդվածում, իսկ այն դեղաձ</w:t>
      </w:r>
      <w:r>
        <w:t>եւ</w:t>
      </w:r>
      <w:r w:rsidRPr="00E345B2">
        <w:t xml:space="preserve">երին ներկայացվող ընդհանուր պահանջները, որոնց տեսքով դեղապատրաստուկներն ստացվել են՝ </w:t>
      </w:r>
      <w:r w:rsidRPr="000B1C22">
        <w:rPr>
          <w:i/>
        </w:rPr>
        <w:t>«2.5.1.1. Դեղաձեւերը»</w:t>
      </w:r>
      <w:r w:rsidRPr="00E345B2">
        <w:t xml:space="preserve"> ընդհանուր դեղագրքային հոդվածում </w:t>
      </w:r>
      <w:r>
        <w:t>եւ</w:t>
      </w:r>
      <w:r w:rsidRPr="00E345B2">
        <w:t xml:space="preserve"> կոնկրետ դեղաձ</w:t>
      </w:r>
      <w:r>
        <w:t>եւ</w:t>
      </w:r>
      <w:r w:rsidRPr="00E345B2">
        <w:t>ին առնչվող ընդհանուր դեղագրքային հոդվածներում։</w:t>
      </w:r>
    </w:p>
    <w:p w14:paraId="7F18E1EF" w14:textId="77777777" w:rsidR="00AA7C33" w:rsidRDefault="00AA7C33">
      <w:r>
        <w:br w:type="page"/>
      </w:r>
    </w:p>
    <w:p w14:paraId="78A0967E" w14:textId="77777777" w:rsidR="0035054F" w:rsidRPr="00D03E8B" w:rsidRDefault="0035054F" w:rsidP="00D03E8B">
      <w:pPr>
        <w:spacing w:after="160" w:line="360" w:lineRule="auto"/>
        <w:ind w:firstLine="567"/>
        <w:jc w:val="both"/>
        <w:rPr>
          <w:b/>
        </w:rPr>
      </w:pPr>
      <w:r w:rsidRPr="00D03E8B">
        <w:rPr>
          <w:b/>
        </w:rPr>
        <w:lastRenderedPageBreak/>
        <w:t>ՍԱՀՄԱՆՈՒՄՆԵՐԸ</w:t>
      </w:r>
    </w:p>
    <w:p w14:paraId="43BA459A" w14:textId="77777777" w:rsidR="0035054F" w:rsidRPr="00E345B2" w:rsidRDefault="0035054F" w:rsidP="00D03E8B">
      <w:pPr>
        <w:spacing w:after="160" w:line="360" w:lineRule="auto"/>
        <w:ind w:firstLine="567"/>
        <w:jc w:val="both"/>
      </w:pPr>
      <w:r w:rsidRPr="00E345B2">
        <w:t>«Ձերբազատում»՝ դեղամիջոցի փոշեցրման/մատակարարման հատուկ սարքը գործողության մեջ դնելը։</w:t>
      </w:r>
    </w:p>
    <w:p w14:paraId="5C0CF917" w14:textId="77777777" w:rsidR="0035054F" w:rsidRPr="00E345B2" w:rsidRDefault="0035054F" w:rsidP="00AA7C33">
      <w:pPr>
        <w:spacing w:after="160" w:line="346" w:lineRule="auto"/>
        <w:ind w:firstLine="567"/>
        <w:jc w:val="both"/>
      </w:pPr>
      <w:r w:rsidRPr="00E345B2">
        <w:t>«Դեղաչափ»՝ ազդող նյութի՝ բժշկական կիրառման հրահանգի մեջ նշված մեկանգամյա ընդունման քանակը։ Ինհալացիոն կիրառության համար նախատեսված դեղապատրաստուկի մեկ դեղաչափ ստանալու համար կարող է պահանջվել մեկ կամ մի քանի ձերբազատում։</w:t>
      </w:r>
    </w:p>
    <w:p w14:paraId="78BCC084" w14:textId="77777777" w:rsidR="0035054F" w:rsidRPr="00E345B2" w:rsidRDefault="0035054F" w:rsidP="00AA7C33">
      <w:pPr>
        <w:spacing w:after="160" w:line="346" w:lineRule="auto"/>
        <w:ind w:firstLine="567"/>
        <w:jc w:val="both"/>
      </w:pPr>
      <w:r w:rsidRPr="00E345B2">
        <w:t>«Մատակարարվող (ձերբազատվող) դեղաչափ»՝ ազդող նյութի քանակը, որը փաստացի ստանում է պացիենտը (հաշվի չի առնվում ազդող նյութի՝ ինհալատորի բաղկացուցիչ մասերի վրա նստվածք տված քանակը)։</w:t>
      </w:r>
    </w:p>
    <w:p w14:paraId="7C328DFF" w14:textId="77777777" w:rsidR="0035054F" w:rsidRPr="00E345B2" w:rsidRDefault="0035054F" w:rsidP="00AA7C33">
      <w:pPr>
        <w:spacing w:after="160" w:line="346" w:lineRule="auto"/>
        <w:ind w:firstLine="567"/>
        <w:jc w:val="both"/>
      </w:pPr>
      <w:r w:rsidRPr="00E345B2">
        <w:t>«Շնչառական ֆրակցիա»՝ ազդող նյութի այն քանակը, որն ինհալացիայի ժամանակ ենթադրաբար ներթափանցում է շնչառական համակարգ (մոտավորապես 1-ից 5 մկմ տրամագծով մասնիկներ)։</w:t>
      </w:r>
    </w:p>
    <w:p w14:paraId="3A7E6E31" w14:textId="77777777" w:rsidR="0035054F" w:rsidRPr="00E345B2" w:rsidRDefault="0035054F" w:rsidP="00AA7C33">
      <w:pPr>
        <w:spacing w:after="160" w:line="346" w:lineRule="auto"/>
        <w:ind w:firstLine="567"/>
        <w:jc w:val="both"/>
      </w:pPr>
      <w:r w:rsidRPr="00E345B2">
        <w:t xml:space="preserve">«Նեբուլայզեր»՝ ինհալատոր, որն ապահովում է փոշեցրման համար նախատեսված հեղուկ դեղամիջոցը գազային միջավայրում դիսպերսիայի փոխակերպելը (աերոզոլ), որպես կանոն, էլեկտրական էներգիայի օգնությամբ։ Նեբուլայզերները պետք է ապահովեն համապատասխան չափի դիսպերսային մասնիկների առաջացումը՝ ազդող նյութը շնչառական ուղիներ </w:t>
      </w:r>
      <w:r>
        <w:t>եւ</w:t>
      </w:r>
      <w:r w:rsidRPr="00E345B2">
        <w:t xml:space="preserve"> թոքեր հասցնելու համար։ Տարբերակում են ճնշակային, ուլտրաձայնային կամ այլ տիպի նեբուլայզերներ։</w:t>
      </w:r>
    </w:p>
    <w:p w14:paraId="1F561FB3" w14:textId="77777777" w:rsidR="0035054F" w:rsidRPr="00E345B2" w:rsidRDefault="0035054F" w:rsidP="00AA7C33">
      <w:pPr>
        <w:spacing w:after="160" w:line="346" w:lineRule="auto"/>
        <w:ind w:firstLine="567"/>
        <w:jc w:val="both"/>
      </w:pPr>
    </w:p>
    <w:p w14:paraId="460ADDF5" w14:textId="77777777" w:rsidR="0035054F" w:rsidRPr="00D03E8B" w:rsidRDefault="0035054F" w:rsidP="00AA7C33">
      <w:pPr>
        <w:spacing w:after="160" w:line="346" w:lineRule="auto"/>
        <w:ind w:firstLine="567"/>
        <w:jc w:val="both"/>
        <w:rPr>
          <w:b/>
        </w:rPr>
      </w:pPr>
      <w:r w:rsidRPr="00D03E8B">
        <w:rPr>
          <w:b/>
        </w:rPr>
        <w:t>ՏԵԽՆՈԼՈԳԻԱՅԻ ԱՌԱՆՁՆԱՀԱՏԿՈՒԹՅՈՒՆՆԵՐԸ</w:t>
      </w:r>
    </w:p>
    <w:p w14:paraId="29F1E83B" w14:textId="77777777" w:rsidR="0035054F" w:rsidRPr="00E345B2" w:rsidRDefault="0035054F" w:rsidP="00AA7C33">
      <w:pPr>
        <w:spacing w:after="160" w:line="346" w:lineRule="auto"/>
        <w:ind w:firstLine="567"/>
        <w:jc w:val="both"/>
      </w:pPr>
      <w:r w:rsidRPr="00E345B2">
        <w:t>Ինհալացիոն կիրառության համար նախատեսված դեղապատրաստուկների բաղադրության մեջ մտնող օժանդակ նյութերն օգտագործվող կոնցենտրացիաներով չպետք է բացասաբար անդրադառնան դեղապատրաստուկի հիմնական թերապ</w:t>
      </w:r>
      <w:r>
        <w:t>եւ</w:t>
      </w:r>
      <w:r w:rsidRPr="00E345B2">
        <w:t xml:space="preserve">տիկ ազդեցության վրա, չպետք է լինեն թունավոր </w:t>
      </w:r>
      <w:r>
        <w:t>եւ</w:t>
      </w:r>
      <w:r w:rsidRPr="00E345B2">
        <w:t xml:space="preserve"> չպետք է անբարենպաստ ազդեցություն ունենան շնչառական ուղիների լորձաթաղանթի </w:t>
      </w:r>
      <w:r>
        <w:t>եւ</w:t>
      </w:r>
      <w:r w:rsidRPr="00E345B2">
        <w:t xml:space="preserve"> դրա թարթիչավոր էպիթելի ֆունկցիաների վրա։</w:t>
      </w:r>
    </w:p>
    <w:p w14:paraId="4066EC4F" w14:textId="77777777" w:rsidR="0035054F" w:rsidRPr="00E345B2" w:rsidRDefault="0035054F" w:rsidP="00AA7C33">
      <w:pPr>
        <w:spacing w:after="160" w:line="346" w:lineRule="auto"/>
        <w:ind w:firstLine="567"/>
        <w:jc w:val="both"/>
      </w:pPr>
      <w:r w:rsidRPr="00E345B2">
        <w:lastRenderedPageBreak/>
        <w:t>Ակտիվ դեղագործական բաղադրամասի (բաղադրամասերի) դեղաձ</w:t>
      </w:r>
      <w:r>
        <w:t>եւ</w:t>
      </w:r>
      <w:r w:rsidRPr="00E345B2">
        <w:t xml:space="preserve">ով </w:t>
      </w:r>
      <w:r>
        <w:t>եւ</w:t>
      </w:r>
      <w:r w:rsidRPr="00E345B2">
        <w:t xml:space="preserve"> բնույթով պայմանավորված՝ ինհալացիոն կիրառության համար նախատեսված դեղապատրաստուկները կարող են պարունակել պրոպելենտներ, լուծիչներ, նոսրացուցիչներ, հակամանրէային կոնսերվանտներ, մակեր</w:t>
      </w:r>
      <w:r>
        <w:t>եւ</w:t>
      </w:r>
      <w:r w:rsidRPr="00E345B2">
        <w:t xml:space="preserve">ութային ակտիվ նյութեր, կայունացնող </w:t>
      </w:r>
      <w:r>
        <w:t>եւ</w:t>
      </w:r>
      <w:r w:rsidRPr="00E345B2">
        <w:t xml:space="preserve"> սոլյուբիլիզացնող ագենտներ </w:t>
      </w:r>
      <w:r>
        <w:t>եւ</w:t>
      </w:r>
      <w:r w:rsidRPr="00E345B2">
        <w:t xml:space="preserve"> այլն։</w:t>
      </w:r>
    </w:p>
    <w:p w14:paraId="47847A7A" w14:textId="77777777" w:rsidR="0035054F" w:rsidRPr="00E345B2" w:rsidRDefault="0035054F" w:rsidP="00AA7C33">
      <w:pPr>
        <w:spacing w:after="160" w:line="346" w:lineRule="auto"/>
        <w:ind w:firstLine="567"/>
        <w:jc w:val="both"/>
      </w:pPr>
      <w:r w:rsidRPr="00E345B2">
        <w:t xml:space="preserve">Ինհալացիոն կիրառության համար նախատեսված դեղապատրաստուկները թողարկում են միադեղաչափ </w:t>
      </w:r>
      <w:r>
        <w:t>եւ</w:t>
      </w:r>
      <w:r w:rsidRPr="00E345B2">
        <w:t xml:space="preserve"> բազմադեղաչափ փաթեթվածքներով։</w:t>
      </w:r>
    </w:p>
    <w:p w14:paraId="405B63C0" w14:textId="77777777" w:rsidR="0035054F" w:rsidRPr="00E345B2" w:rsidRDefault="0035054F" w:rsidP="00AA7C33">
      <w:pPr>
        <w:spacing w:after="160" w:line="346" w:lineRule="auto"/>
        <w:ind w:firstLine="567"/>
        <w:jc w:val="both"/>
      </w:pPr>
      <w:r w:rsidRPr="00E345B2">
        <w:t>Փոշեցրման համար նախատեսված հեղուկ դեղաձ</w:t>
      </w:r>
      <w:r>
        <w:t>եւ</w:t>
      </w:r>
      <w:r w:rsidRPr="00E345B2">
        <w:t xml:space="preserve">երով դեղապատրաստուկները </w:t>
      </w:r>
      <w:r>
        <w:t>եւ</w:t>
      </w:r>
      <w:r w:rsidRPr="00E345B2">
        <w:t xml:space="preserve"> ինհալացիոն կիրառության համար նախատեսված դեղապատրաստուկները, որոնք չեն գտնվում ճնշման տակ, միադեղաչափ փաթեթվածքներով են, պետք է լինեն մանրէազերծ </w:t>
      </w:r>
      <w:r>
        <w:t>եւ</w:t>
      </w:r>
      <w:r w:rsidRPr="00E345B2">
        <w:t xml:space="preserve"> չպետք է պարունակեն հակամանրէային կոնսերվանտներ՝ այլ հիմնավորման բացակայության դեպքում։</w:t>
      </w:r>
    </w:p>
    <w:p w14:paraId="0D0E96E4" w14:textId="77777777" w:rsidR="0035054F" w:rsidRPr="00E345B2" w:rsidRDefault="0035054F" w:rsidP="00AA7C33">
      <w:pPr>
        <w:spacing w:after="160" w:line="346" w:lineRule="auto"/>
        <w:ind w:firstLine="567"/>
        <w:jc w:val="both"/>
      </w:pPr>
      <w:r w:rsidRPr="00E345B2">
        <w:t>Փոշեցրման համար նախատեսված հեղուկ դեղաձ</w:t>
      </w:r>
      <w:r>
        <w:t>եւ</w:t>
      </w:r>
      <w:r w:rsidRPr="00E345B2">
        <w:t xml:space="preserve">երով դեղապատրաստուկները </w:t>
      </w:r>
      <w:r>
        <w:t>եւ</w:t>
      </w:r>
      <w:r w:rsidRPr="00E345B2">
        <w:t xml:space="preserve"> ինհալացիոն կիրառության համար նախատեսված դեղապատրաստուկները, որոնք չեն գտնվում ճնշման տակ, բազմադեղաչափ փաթեթվածքներով են, կարող են պարունակել հակամանրէային կոնսերվանտներ՝ բացառությամբ այն դեղապատրաստուկների, որոնք հենց իրենք են օժտված հակամանրէային հատկություններով։</w:t>
      </w:r>
    </w:p>
    <w:p w14:paraId="03BF7004" w14:textId="77777777" w:rsidR="0035054F" w:rsidRPr="00E345B2" w:rsidRDefault="0035054F" w:rsidP="00AA7C33">
      <w:pPr>
        <w:spacing w:after="160" w:line="346" w:lineRule="auto"/>
        <w:ind w:firstLine="567"/>
        <w:jc w:val="both"/>
      </w:pPr>
      <w:r w:rsidRPr="00E345B2">
        <w:t>Ինհալացիաների համար նախատեսված փոշիները պարունակում են մեկ կամ մի քանի նրբադիսպերս ազդող նյութեր՝ «կրիչներ» (սովորաբար՝ լակտոզ) հանդիսացող իներտ օժանդակ նյութերի հետ միասին կամ առանց դրանց։ Ինհալացիաների համար նախատեսված փոշիների արտադրության ժամանակ ակտիվ դեղագործական բաղադրամասերը միկրոնացնում են հատուկ սարքերի մեջ։</w:t>
      </w:r>
    </w:p>
    <w:p w14:paraId="6238EBFE" w14:textId="77777777" w:rsidR="0035054F" w:rsidRPr="00E345B2" w:rsidRDefault="0035054F" w:rsidP="00AA7C33">
      <w:pPr>
        <w:spacing w:after="160" w:line="346" w:lineRule="auto"/>
        <w:ind w:firstLine="567"/>
        <w:jc w:val="both"/>
      </w:pPr>
      <w:r w:rsidRPr="00E345B2">
        <w:t xml:space="preserve">Դիսպերսված մասնիկներ պարունակող </w:t>
      </w:r>
      <w:r>
        <w:t>եւ</w:t>
      </w:r>
      <w:r w:rsidRPr="00E345B2">
        <w:t xml:space="preserve"> տարասեռ, համակցված դիսպերս համակարգեր հանդիսացող՝ ինհալացիոն կիրառության համար նախատեսված դեղապատրաստուկների արտադրության ժամանակ պետք է նախատեսվի այնպիսի տեխնոլոգիա, որն ապահովում է անհրաժեշտ չափի մասնիկների ստացումն ու հսկողությունը </w:t>
      </w:r>
      <w:r>
        <w:t>եւ</w:t>
      </w:r>
      <w:r w:rsidRPr="00E345B2">
        <w:t xml:space="preserve"> մատակարարվող դեղաչափի միատարրությունը։</w:t>
      </w:r>
    </w:p>
    <w:p w14:paraId="3CC2655C" w14:textId="77777777" w:rsidR="0035054F" w:rsidRPr="00E345B2" w:rsidRDefault="0035054F" w:rsidP="00D03E8B">
      <w:pPr>
        <w:spacing w:after="160" w:line="360" w:lineRule="auto"/>
        <w:ind w:firstLine="567"/>
        <w:jc w:val="both"/>
      </w:pPr>
      <w:r w:rsidRPr="00E345B2">
        <w:lastRenderedPageBreak/>
        <w:t xml:space="preserve">Ինհալացիոն կիրառության համար նախատեսված դեղապատրաստուկների բաղադրությունը </w:t>
      </w:r>
      <w:r>
        <w:t>եւ</w:t>
      </w:r>
      <w:r w:rsidRPr="00E345B2">
        <w:t xml:space="preserve"> դրանց արտադրության գործընթացը պետք է ապահովեն դեղաչափի միատարրությունը </w:t>
      </w:r>
      <w:r>
        <w:t>եւ</w:t>
      </w:r>
      <w:r w:rsidRPr="00E345B2">
        <w:t xml:space="preserve"> ազդող նյութի շնչելիությունը (դեպի թոքեր հասցնելիությունը)։</w:t>
      </w:r>
      <w:r>
        <w:t xml:space="preserve"> </w:t>
      </w:r>
    </w:p>
    <w:p w14:paraId="08B75E74" w14:textId="77777777" w:rsidR="0035054F" w:rsidRPr="00E345B2" w:rsidRDefault="0035054F" w:rsidP="00D03E8B">
      <w:pPr>
        <w:spacing w:after="160" w:line="360" w:lineRule="auto"/>
        <w:ind w:firstLine="567"/>
        <w:jc w:val="both"/>
      </w:pPr>
      <w:r w:rsidRPr="00E345B2">
        <w:t xml:space="preserve">Ինհալացիոն կիրառության համար նախատեսված դեղապատրաստուկներն արտադրում են մանրէային կոնտամինացիայի </w:t>
      </w:r>
      <w:r>
        <w:t>եւ</w:t>
      </w:r>
      <w:r w:rsidRPr="00E345B2">
        <w:t xml:space="preserve"> միկրոօրգանիզմների աճի հնարավորությունը բացառող </w:t>
      </w:r>
      <w:r>
        <w:t>եւ</w:t>
      </w:r>
      <w:r w:rsidRPr="00E345B2">
        <w:t xml:space="preserve"> դրանց մանրէաբանական մաքրությունն ապահովող նյութերի </w:t>
      </w:r>
      <w:r>
        <w:t>եւ</w:t>
      </w:r>
      <w:r w:rsidRPr="00E345B2">
        <w:t xml:space="preserve"> մեթոդների կիրառմամբ՝ </w:t>
      </w:r>
      <w:r w:rsidRPr="000B1C22">
        <w:rPr>
          <w:i/>
        </w:rPr>
        <w:t xml:space="preserve">«2.3.1.2. Դեղապատրաստուկների, դեղագործական բաղադրամասերի եւ դրանց արտադրության համար օժանդակ նյութերի մանրէաբանական մաքրությանը ներկայացվող պահանջները» </w:t>
      </w:r>
      <w:r w:rsidRPr="00E345B2">
        <w:t xml:space="preserve">ընդհանուր դեղագրքային հոդվածին համապատասխան, սահմանված դեպքերում պետք է ձեռնարկվեն մանրէազերծությունը </w:t>
      </w:r>
      <w:r>
        <w:t>եւ</w:t>
      </w:r>
      <w:r w:rsidRPr="00E345B2">
        <w:t xml:space="preserve"> </w:t>
      </w:r>
      <w:r w:rsidRPr="000B1C22">
        <w:rPr>
          <w:i/>
        </w:rPr>
        <w:t>«2.1.6.1 Մանրէազերծությունը</w:t>
      </w:r>
      <w:r w:rsidRPr="00E345B2">
        <w:t>» ընդհանուր դեղագրքային հոդվածին համապատասխանությունն ապահովող միջոցներ։</w:t>
      </w:r>
    </w:p>
    <w:p w14:paraId="7DAF4E6C" w14:textId="77777777" w:rsidR="0035054F" w:rsidRPr="00E345B2" w:rsidRDefault="0035054F" w:rsidP="00D03E8B">
      <w:pPr>
        <w:spacing w:after="160" w:line="360" w:lineRule="auto"/>
        <w:ind w:firstLine="567"/>
        <w:jc w:val="both"/>
      </w:pPr>
      <w:r w:rsidRPr="00E345B2">
        <w:t xml:space="preserve">Գոլորշու տեսքով ներմուծման </w:t>
      </w:r>
      <w:r>
        <w:t>եւ</w:t>
      </w:r>
      <w:r w:rsidRPr="00E345B2">
        <w:t xml:space="preserve"> փոշեցրման համար նախատեսված դեղապատրաստուկները կարող են թողարկվել կիրառման համար պատրաստ ձ</w:t>
      </w:r>
      <w:r>
        <w:t>եւ</w:t>
      </w:r>
      <w:r w:rsidRPr="00E345B2">
        <w:t>ով կամ կարող են պատրաստվել կիրառումից անմիջապես առաջ այն դեղահաբերից, փոշիներից, քսուքներից, կոնցենտրատներից վերականգնված դեղապատրաստուկների տեսքով, որոնք նախատեսված են սկզբնական դեղապատրաստուկները համապատասխան լուծիչի մեջ լուծման (նոսրացման) կամ դիսպերսման եղանակով դրանք ստանալու համար։</w:t>
      </w:r>
    </w:p>
    <w:p w14:paraId="49606D9C" w14:textId="77777777" w:rsidR="0035054F" w:rsidRPr="00E345B2" w:rsidRDefault="0035054F" w:rsidP="00D03E8B">
      <w:pPr>
        <w:spacing w:after="160" w:line="360" w:lineRule="auto"/>
        <w:ind w:firstLine="567"/>
        <w:jc w:val="both"/>
      </w:pPr>
      <w:r w:rsidRPr="00E345B2">
        <w:t xml:space="preserve">Ինհալացիոն կիրառության համար նախատեսված դեղապատրաստուկների փաթեթվածքը, խցանափակման միջոցները, փաթեթվածքի, խցանափակման միջոցների </w:t>
      </w:r>
      <w:r>
        <w:t>եւ</w:t>
      </w:r>
      <w:r w:rsidRPr="00E345B2">
        <w:t xml:space="preserve"> փաթեթվածքի այլ տարրերի արտադրության համար օգտագործվող նյութերը պետք է համապատասխանեն փաթեթվածքի արտադրության համար օգտագործվող նյութերին </w:t>
      </w:r>
      <w:r>
        <w:t>եւ</w:t>
      </w:r>
      <w:r w:rsidRPr="00E345B2">
        <w:t xml:space="preserve"> փաթեթվածքին ներկայացվող պահանջներին։</w:t>
      </w:r>
    </w:p>
    <w:p w14:paraId="1359D490" w14:textId="77777777" w:rsidR="0035054F" w:rsidRPr="00B5542D" w:rsidRDefault="0035054F" w:rsidP="00D03E8B">
      <w:pPr>
        <w:spacing w:after="160" w:line="360" w:lineRule="auto"/>
        <w:ind w:firstLine="567"/>
        <w:jc w:val="both"/>
      </w:pPr>
    </w:p>
    <w:p w14:paraId="783C5873" w14:textId="77777777" w:rsidR="00AA7C33" w:rsidRPr="00B5542D" w:rsidRDefault="00AA7C33" w:rsidP="00D03E8B">
      <w:pPr>
        <w:spacing w:after="160" w:line="360" w:lineRule="auto"/>
        <w:ind w:firstLine="567"/>
        <w:jc w:val="both"/>
      </w:pPr>
    </w:p>
    <w:p w14:paraId="3E1A2033" w14:textId="77777777" w:rsidR="0035054F" w:rsidRPr="00D03E8B" w:rsidRDefault="0035054F" w:rsidP="00D03E8B">
      <w:pPr>
        <w:spacing w:after="160" w:line="360" w:lineRule="auto"/>
        <w:ind w:firstLine="567"/>
        <w:jc w:val="both"/>
        <w:rPr>
          <w:b/>
        </w:rPr>
      </w:pPr>
      <w:r w:rsidRPr="00D03E8B">
        <w:rPr>
          <w:b/>
        </w:rPr>
        <w:lastRenderedPageBreak/>
        <w:t>ՓՈՐՁԱՐԿՈՒՄՆԵՐԸ</w:t>
      </w:r>
    </w:p>
    <w:p w14:paraId="0B521813" w14:textId="77777777" w:rsidR="0035054F" w:rsidRPr="00E345B2" w:rsidRDefault="0035054F" w:rsidP="00D03E8B">
      <w:pPr>
        <w:spacing w:after="160" w:line="360" w:lineRule="auto"/>
        <w:ind w:firstLine="567"/>
        <w:jc w:val="both"/>
      </w:pPr>
      <w:r w:rsidRPr="00E345B2">
        <w:t>Ինհալացիոն կիրառության համար նախատեսված դեղապատրաստուկները պետք է անցնեն հաջորդող փորձարկումները։</w:t>
      </w:r>
    </w:p>
    <w:p w14:paraId="677258AE" w14:textId="77777777" w:rsidR="0035054F" w:rsidRPr="00E345B2" w:rsidRDefault="0035054F" w:rsidP="00D03E8B">
      <w:pPr>
        <w:spacing w:after="160" w:line="360" w:lineRule="auto"/>
        <w:ind w:firstLine="567"/>
        <w:jc w:val="both"/>
      </w:pPr>
      <w:r w:rsidRPr="00D03E8B">
        <w:rPr>
          <w:b/>
        </w:rPr>
        <w:t>Նկարագրությունը</w:t>
      </w:r>
      <w:r w:rsidRPr="00E345B2">
        <w:t xml:space="preserve">. Ինհալացիոն կիրառության համար նախատեսված դեղապատրաստուկները բնութագրում են՝ նշելով արտաքին տեսքը (ագրեգատային վիճակը </w:t>
      </w:r>
      <w:r>
        <w:t>եւ</w:t>
      </w:r>
      <w:r w:rsidRPr="00E345B2">
        <w:t xml:space="preserve"> այլն) </w:t>
      </w:r>
      <w:r>
        <w:t>եւ</w:t>
      </w:r>
      <w:r w:rsidRPr="00E345B2">
        <w:t xml:space="preserve"> հիմնական ֆիզիկական, զգայորոշման (գույն, հոտ) </w:t>
      </w:r>
      <w:r>
        <w:t>եւ</w:t>
      </w:r>
      <w:r w:rsidRPr="00E345B2">
        <w:t xml:space="preserve"> մյուս հատկությունները՝ մասնավոր դեղագրքային հոդվածի </w:t>
      </w:r>
      <w:r>
        <w:t>եւ</w:t>
      </w:r>
      <w:r w:rsidRPr="00E345B2">
        <w:t xml:space="preserve"> (կամ) որակի վերաբերյալ նորմատիվ փաստաթղթի ցուցումներին համապատասխան։</w:t>
      </w:r>
    </w:p>
    <w:p w14:paraId="28C10BDD" w14:textId="77777777" w:rsidR="0035054F" w:rsidRPr="00E345B2" w:rsidRDefault="0035054F" w:rsidP="00D03E8B">
      <w:pPr>
        <w:spacing w:after="160" w:line="360" w:lineRule="auto"/>
        <w:ind w:firstLine="567"/>
        <w:jc w:val="both"/>
      </w:pPr>
      <w:r w:rsidRPr="00E345B2">
        <w:t>pH-ը. Փորձարկումն անցկացնում են գոլորշու տեսքով ներմուծման՝ ինհալացիոն կիրառության համար նախատեսված դեղապատրաստուկների համար, ինչպես նա</w:t>
      </w:r>
      <w:r>
        <w:t>եւ</w:t>
      </w:r>
      <w:r w:rsidRPr="00E345B2">
        <w:t xml:space="preserve"> նեբուլայզերի օգնությամբ փոշեցրման համար նախատեսված՝ հեղուկ դեղաձ</w:t>
      </w:r>
      <w:r>
        <w:t>եւ</w:t>
      </w:r>
      <w:r w:rsidRPr="00E345B2">
        <w:t>երի տեսքով դեղապատրաստուկների համար։ Որոշումն անցկացնում են պոտենցաչափական մեթոդով՝ «</w:t>
      </w:r>
      <w:r w:rsidRPr="000B1C22">
        <w:rPr>
          <w:i/>
        </w:rPr>
        <w:t>2.1.2.3. pH-ի պոտենցաչափական որոշումը»</w:t>
      </w:r>
      <w:r w:rsidRPr="00E345B2">
        <w:t xml:space="preserve"> ընդհանուր դեղագրքային հոդվածին համապատասխան։ Մասնավոր դեղագրքային հոդվածում </w:t>
      </w:r>
      <w:r>
        <w:t>եւ</w:t>
      </w:r>
      <w:r w:rsidRPr="00E345B2">
        <w:t xml:space="preserve"> (կամ) որակի վերաբերյալ նորմատիվ փաստաթղթում այլ ցուցումների բացակայության դեպքում հեղուկ դեղաձ</w:t>
      </w:r>
      <w:r>
        <w:t>եւ</w:t>
      </w:r>
      <w:r w:rsidRPr="00E345B2">
        <w:t xml:space="preserve">երի կամ պինդ </w:t>
      </w:r>
      <w:r>
        <w:t>եւ</w:t>
      </w:r>
      <w:r w:rsidRPr="00E345B2">
        <w:t xml:space="preserve"> փափուկ դեղաձ</w:t>
      </w:r>
      <w:r>
        <w:t>եւ</w:t>
      </w:r>
      <w:r w:rsidRPr="00E345B2">
        <w:t>երի pH-ի արժեքը դրանց լուծվելուց/դիսպերսվելուց հետո պետք է լինի 3,0-ից 10,0։</w:t>
      </w:r>
    </w:p>
    <w:p w14:paraId="10F0F268" w14:textId="77777777" w:rsidR="0035054F" w:rsidRPr="00E345B2" w:rsidRDefault="0035054F" w:rsidP="00D03E8B">
      <w:pPr>
        <w:spacing w:after="160" w:line="360" w:lineRule="auto"/>
        <w:ind w:firstLine="567"/>
        <w:jc w:val="both"/>
      </w:pPr>
      <w:r w:rsidRPr="00E345B2">
        <w:t>Դեղաչափված միավորների միատարրությունը. Փորձարկումն անցկացնում են միադեղաչափ</w:t>
      </w:r>
      <w:r>
        <w:t xml:space="preserve"> </w:t>
      </w:r>
      <w:r w:rsidRPr="00E345B2">
        <w:t xml:space="preserve">փաթեթվածքով թողարկվող </w:t>
      </w:r>
      <w:r>
        <w:t>եւ</w:t>
      </w:r>
      <w:r w:rsidRPr="00E345B2">
        <w:t xml:space="preserve"> նեբուլայզերի օգնությամբ փոշեցրման համար նախատեսված, հեղուկ դեղաձ</w:t>
      </w:r>
      <w:r>
        <w:t>եւ</w:t>
      </w:r>
      <w:r w:rsidRPr="00E345B2">
        <w:t xml:space="preserve">եր հանդիսացող, ինհալացիոն կիրառության համար նախատեսված դեղապատրաստուկների համար՝ </w:t>
      </w:r>
      <w:r w:rsidRPr="000B1C22">
        <w:rPr>
          <w:i/>
        </w:rPr>
        <w:t>«2.1.9.14. Դեղաչափված միավորների միատարրությունը»</w:t>
      </w:r>
      <w:r w:rsidRPr="00E345B2">
        <w:t xml:space="preserve"> ընդհանուր դեղագրքային հոդվածին համապատասխան։</w:t>
      </w:r>
    </w:p>
    <w:p w14:paraId="06904073" w14:textId="77777777" w:rsidR="0035054F" w:rsidRPr="000B1C22" w:rsidRDefault="0035054F" w:rsidP="00D03E8B">
      <w:pPr>
        <w:spacing w:after="160" w:line="360" w:lineRule="auto"/>
        <w:ind w:firstLine="567"/>
        <w:jc w:val="both"/>
        <w:rPr>
          <w:spacing w:val="6"/>
        </w:rPr>
      </w:pPr>
      <w:r w:rsidRPr="000B1C22">
        <w:rPr>
          <w:spacing w:val="-6"/>
        </w:rPr>
        <w:t xml:space="preserve">Կամ համապատասխան հիմնավորման դեպքում փորձարկումն անցկացնում են ըստ </w:t>
      </w:r>
      <w:r w:rsidRPr="000B1C22">
        <w:rPr>
          <w:i/>
          <w:spacing w:val="-6"/>
        </w:rPr>
        <w:t>Զանգվածի միատարրությունը</w:t>
      </w:r>
      <w:r w:rsidRPr="000B1C22">
        <w:rPr>
          <w:spacing w:val="-6"/>
        </w:rPr>
        <w:t xml:space="preserve"> ցուցանիշի՝ մեթոդիկայի համաձայն՝ առանձին կշռում են</w:t>
      </w:r>
      <w:r w:rsidRPr="00E345B2">
        <w:t xml:space="preserve"> 20 փաթեթվածքների պարունակությունը՝ պարունակությունը դուրս բերելով հնարավորինս շատ չափով, որոշում են միջին զանգվածը։ Յուրաքանչյուր </w:t>
      </w:r>
      <w:r w:rsidRPr="00E345B2">
        <w:lastRenderedPageBreak/>
        <w:t xml:space="preserve">անհատական փաթեթվածքի զանգվածը 20 փաթեթվածքների միջին զանգվածից կարող է շեղվել ոչ ավելի, քան ±10 %-ով, ընդ որում, 2-ից ոչ </w:t>
      </w:r>
      <w:r w:rsidRPr="000B1C22">
        <w:rPr>
          <w:spacing w:val="6"/>
        </w:rPr>
        <w:t>ավելի անհատական փաթեթվածքների զանգվածը կարող է շեղվել ավելի, քան ±10 %-ով, սակայն չպետք է գերազանցի միջին զանգվածի ±20 %-ը։</w:t>
      </w:r>
    </w:p>
    <w:p w14:paraId="670525E3" w14:textId="77777777" w:rsidR="0035054F" w:rsidRPr="00E345B2" w:rsidRDefault="0035054F" w:rsidP="00D03E8B">
      <w:pPr>
        <w:spacing w:after="160" w:line="360" w:lineRule="auto"/>
        <w:ind w:firstLine="567"/>
        <w:jc w:val="both"/>
      </w:pPr>
      <w:r w:rsidRPr="00E345B2">
        <w:t>Մատակարարվող (ձերբազատվող) դեղաչափերի միատարրությունը. (Դեղաչափման միատարրությունը). Փորձարկումն անցկացնում են ինհալացիաների համար նախատեսված դոզավորված աերոզոլների, ինհալացիոն կիրառության համար նախատեսված՝ ճնշման տակ չգտնվող դոզավորված դեղապատրաստուկների, ինհալացիաների համար փոշիների, ինհալացիաների համար նախատեսված փոշով դեղապատիճների համար։</w:t>
      </w:r>
    </w:p>
    <w:p w14:paraId="4B8B5273" w14:textId="77777777" w:rsidR="0035054F" w:rsidRPr="00E345B2" w:rsidRDefault="0035054F" w:rsidP="00D03E8B">
      <w:pPr>
        <w:spacing w:after="160" w:line="360" w:lineRule="auto"/>
        <w:ind w:firstLine="567"/>
        <w:jc w:val="both"/>
      </w:pPr>
      <w:r w:rsidRPr="00E345B2">
        <w:t>Տվյալ ցուցանիշի հսկողությունը դոզավորող սարքով փաթեթվածքներով դեղապատրաստուկների համար պետք է անցկացվի ոչ միայն մեկ փաթեթվածքից ձերբազատվող դեղաչափերի համար, այլ նա</w:t>
      </w:r>
      <w:r>
        <w:t>եւ</w:t>
      </w:r>
      <w:r w:rsidRPr="00E345B2">
        <w:t xml:space="preserve"> տարբեր փաթեթվածքներից </w:t>
      </w:r>
      <w:r w:rsidRPr="000B1C22">
        <w:rPr>
          <w:spacing w:val="-4"/>
        </w:rPr>
        <w:t>ստացված դեղաչափերի համար: Դեղաչափերի ընտրության ընթացակարգը պետք է ներառի դեղաչափերի ընտրությունն ինհալատորի օգտագործման սկզբում,</w:t>
      </w:r>
      <w:r w:rsidRPr="00E345B2">
        <w:t xml:space="preserve"> կեսին </w:t>
      </w:r>
      <w:r>
        <w:t>եւ</w:t>
      </w:r>
      <w:r w:rsidRPr="00E345B2">
        <w:t xml:space="preserve"> վերջում։</w:t>
      </w:r>
    </w:p>
    <w:p w14:paraId="3AE6EF94" w14:textId="77777777" w:rsidR="0035054F" w:rsidRPr="00E345B2" w:rsidRDefault="0035054F" w:rsidP="00D03E8B">
      <w:pPr>
        <w:spacing w:after="160" w:line="360" w:lineRule="auto"/>
        <w:ind w:firstLine="567"/>
        <w:jc w:val="both"/>
      </w:pPr>
      <w:r w:rsidRPr="00E345B2">
        <w:t xml:space="preserve">Մասնավոր դեղագրքային հոդվածում </w:t>
      </w:r>
      <w:r>
        <w:t>եւ</w:t>
      </w:r>
      <w:r w:rsidRPr="00E345B2">
        <w:t xml:space="preserve"> (կամ) որակի վերաբերյալ նորմատիվ փաստաթղթում այլ ցուցումների բացակայության դեպքում ինհալացիոն կիրառության համար նախատեսված դեղապատրաստուկի 10 փաթեթվածքից փորձարկման համար դեղաչափերի ընտրությունն անցկացնում են հետ</w:t>
      </w:r>
      <w:r>
        <w:t>եւ</w:t>
      </w:r>
      <w:r w:rsidRPr="00E345B2">
        <w:t>յալ կերպ. երեք փաթեթվածքներից դեղաչափերի անհրաժեշտ քանակությունը ձերբազատվում է դեղապատրաստուկի օգտագործման սկզբում, չորս փաթեթվածքներից՝ դեղապատրաստուկի օգտագործման կեսին, երեք փաթեթվածքներից՝ դեղապատրաստուկի օգտագործման վերջում։</w:t>
      </w:r>
    </w:p>
    <w:p w14:paraId="4881C686" w14:textId="77777777" w:rsidR="0035054F" w:rsidRPr="00B5542D" w:rsidRDefault="0035054F" w:rsidP="00D03E8B">
      <w:pPr>
        <w:spacing w:after="160" w:line="360" w:lineRule="auto"/>
        <w:ind w:firstLine="567"/>
        <w:jc w:val="both"/>
      </w:pPr>
      <w:r w:rsidRPr="00E345B2">
        <w:t>Մատակարարվող (ձերբազատվող) դեղաչափերի միատարրության (դեղաչափման միատարրության) որոշման մեթոդիկան ինհալացիոն կիրառության համար նախատեսված դեղապատրաստուկի մեկ փաթեթվածքի համար։</w:t>
      </w:r>
    </w:p>
    <w:p w14:paraId="35A9E0A4" w14:textId="77777777" w:rsidR="00AA7C33" w:rsidRPr="00B5542D" w:rsidRDefault="00AA7C33" w:rsidP="00D03E8B">
      <w:pPr>
        <w:spacing w:after="160" w:line="360" w:lineRule="auto"/>
        <w:ind w:firstLine="567"/>
        <w:jc w:val="both"/>
      </w:pPr>
    </w:p>
    <w:p w14:paraId="511BC4E0" w14:textId="77777777" w:rsidR="0035054F" w:rsidRPr="00E345B2" w:rsidRDefault="0035054F" w:rsidP="00D03E8B">
      <w:pPr>
        <w:spacing w:after="160" w:line="360" w:lineRule="auto"/>
        <w:ind w:firstLine="567"/>
        <w:jc w:val="both"/>
      </w:pPr>
      <w:r w:rsidRPr="00E345B2">
        <w:lastRenderedPageBreak/>
        <w:t>Դեղաչափերի ձերբազատումն իրականացնում են դեղապատրաստուկի բժշկական կիրառման հրահանգի մեջ նկարագրված եղանակին համապատասխան։ Որպես կանոն, ինհալատորն օգտագործում են կափույրի ստորին դիրքում։ Կափույրի վերին դիրքում օգտագործվող ինհալատորների համար կիրառում են մատակարարվող (ձերբազատվող) դեղաչափերի հավաքման ամբողջականությունն ապահովող մեթոդիկաներ։</w:t>
      </w:r>
    </w:p>
    <w:p w14:paraId="315CA24A" w14:textId="77777777" w:rsidR="0035054F" w:rsidRPr="00E345B2" w:rsidRDefault="0035054F" w:rsidP="00D03E8B">
      <w:pPr>
        <w:spacing w:after="160" w:line="360" w:lineRule="auto"/>
        <w:ind w:firstLine="567"/>
        <w:jc w:val="both"/>
      </w:pPr>
      <w:r w:rsidRPr="00E345B2">
        <w:t>Դեղաչափի հավաքման համար օգտագործում են հետ</w:t>
      </w:r>
      <w:r>
        <w:t>եւ</w:t>
      </w:r>
      <w:r w:rsidRPr="00E345B2">
        <w:t xml:space="preserve">յալ սարքը </w:t>
      </w:r>
      <w:r>
        <w:t>եւ</w:t>
      </w:r>
      <w:r w:rsidRPr="00E345B2">
        <w:t xml:space="preserve"> մեթոդիկան։</w:t>
      </w:r>
    </w:p>
    <w:p w14:paraId="49CAAD5A" w14:textId="77777777" w:rsidR="0035054F" w:rsidRPr="00E345B2" w:rsidRDefault="0035054F" w:rsidP="00D03E8B">
      <w:pPr>
        <w:spacing w:after="160" w:line="360" w:lineRule="auto"/>
        <w:ind w:firstLine="567"/>
        <w:jc w:val="both"/>
      </w:pPr>
      <w:r w:rsidRPr="00E345B2">
        <w:t xml:space="preserve">Սարքը (նկար 2.5.3.2-1) բաղկացած է զտիչի բռնիչից (Ա), նմուշների հավաքման համար նախատեսված գլանից (Բ), որը հերմետիկ ամրացվում է զտիչի բռնիչին </w:t>
      </w:r>
      <w:r>
        <w:t>եւ</w:t>
      </w:r>
      <w:r w:rsidRPr="00E345B2">
        <w:t xml:space="preserve"> փողածայրոցի ադապտերին (Գ), որն իրար է միացնում նմուշների հավաքման համար նախատեսված գլանը </w:t>
      </w:r>
      <w:r>
        <w:t>եւ</w:t>
      </w:r>
      <w:r w:rsidRPr="00E345B2">
        <w:t xml:space="preserve"> ինհալատորի ելքի անցքը։ Կիրառում են փողածայրոցի ադապտեր, որը թույլ է տալիս, որ ինհալատորի փողածայրոցի դիմային կողմը նմուշների հավաքման համար նախատեսված խողովակի դիմային կողմի հետ գտնվի մի</w:t>
      </w:r>
      <w:r>
        <w:t>եւ</w:t>
      </w:r>
      <w:r w:rsidRPr="00E345B2">
        <w:t xml:space="preserve">նույն մակարդակի վրա կամ դրա ակոսավոր մասի 2,5 մմ-ի վրա՝ ինհալատորով պայմանավորված։ Զտիչի բռնիչը նախագծված է 25 մմ տրամագծով զտիչների օգտագործման համար։ Վակուումային ներագույցը միացված է պոմպին </w:t>
      </w:r>
      <w:r>
        <w:t>եւ</w:t>
      </w:r>
      <w:r w:rsidRPr="00E345B2">
        <w:t xml:space="preserve"> օդային հոսքի կարգավորիչին։ Օդային հոսքը կարգավորում են այնպես, որ օդն ամբողջ կոնստրուկցիայի միջով, ներառյալ՝ զտիչը </w:t>
      </w:r>
      <w:r>
        <w:t>եւ</w:t>
      </w:r>
      <w:r w:rsidRPr="00E345B2">
        <w:t xml:space="preserve"> ինհալատորը, անցնի 28,3 լ/րոպե (±5 %) արագությամբ։ Օդը պետք է անընդհատ անցնի դեղաչափերի հավաքման համար նախատեսված գլանի միջով, որպեսզի հնարավոր լինի խուսափել դեպի շրջակա միջավայր ազդող նյութի կորստից։ Զտիչը </w:t>
      </w:r>
      <w:r>
        <w:t>եւ</w:t>
      </w:r>
      <w:r w:rsidRPr="00E345B2">
        <w:t xml:space="preserve"> կոնստրուկցիայի մյուս բաղկացուցիչ մասերը պետք է համատեղելի լինեն ազդող նյութի, դեղապատրաստուկի մյուս բաղադրիչների </w:t>
      </w:r>
      <w:r>
        <w:t>եւ</w:t>
      </w:r>
      <w:r w:rsidRPr="00E345B2">
        <w:t xml:space="preserve"> լուծիչների հետ, որոնք օգտագործվում են ազդող նյութը զտիչից դուրս բերելու համար։ Սարքի բոլոր միացումները հավաքված տեսքով պետք է լինեն հերմետիկ։</w:t>
      </w:r>
    </w:p>
    <w:p w14:paraId="7F691F92" w14:textId="77777777" w:rsidR="0035054F" w:rsidRPr="00E345B2" w:rsidRDefault="0035054F" w:rsidP="00D03E8B">
      <w:pPr>
        <w:spacing w:after="160" w:line="360" w:lineRule="auto"/>
        <w:ind w:firstLine="567"/>
        <w:jc w:val="both"/>
      </w:pPr>
      <w:r w:rsidRPr="00E345B2">
        <w:t xml:space="preserve">Փորձարկումն անցկացնում են՝ առանձին որոշելով ազդող նյութի քանակը 10 դեղաչափերով։ Բժշկական կիրառման հրահանգի մեջ այլ ցուցումների </w:t>
      </w:r>
      <w:r w:rsidRPr="00E345B2">
        <w:lastRenderedPageBreak/>
        <w:t xml:space="preserve">բացակայության դեպքում փաթեթվածքն օգտագործելուց առաջ 5 վ թափահարում են </w:t>
      </w:r>
      <w:r>
        <w:t>եւ</w:t>
      </w:r>
      <w:r w:rsidRPr="00E345B2">
        <w:t xml:space="preserve"> հեռացնում մեկ դեղաչափ։ Պոմպի միացած լինելու ժամանակ ինհալատորը դնում</w:t>
      </w:r>
      <w:r>
        <w:t xml:space="preserve"> </w:t>
      </w:r>
      <w:r w:rsidRPr="00E345B2">
        <w:t xml:space="preserve">են սարքի մեջ </w:t>
      </w:r>
      <w:r>
        <w:t>եւ</w:t>
      </w:r>
      <w:r w:rsidRPr="00E345B2">
        <w:t xml:space="preserve"> բաց թողնում մեկ դեղաչափ, 5 վ հետո պոմպն անջատում են։ Զտիչից </w:t>
      </w:r>
      <w:r>
        <w:t>եւ</w:t>
      </w:r>
      <w:r w:rsidRPr="00E345B2">
        <w:t xml:space="preserve"> հավաքող գլանի ներքին մակեր</w:t>
      </w:r>
      <w:r>
        <w:t>եւ</w:t>
      </w:r>
      <w:r w:rsidRPr="00E345B2">
        <w:t xml:space="preserve">ույթից լվացուկներ են վերցնում՝ օգտագործելով լուծիչի որոշակի չափաբաժիններ՝ մասնավոր դեղագրքային հոդվածում </w:t>
      </w:r>
      <w:r>
        <w:t>եւ</w:t>
      </w:r>
      <w:r w:rsidRPr="00E345B2">
        <w:t xml:space="preserve"> (կամ) որակի վերաբերյալ նորմատիվ փաստաթղթում ներկայացված մեթոդիկային համապատասխան։ Փորձարկումը կրկնում են հաջորդ երկու դեղաչափերի համար։</w:t>
      </w:r>
    </w:p>
    <w:p w14:paraId="7EED27FC" w14:textId="77777777" w:rsidR="0035054F" w:rsidRPr="00E345B2" w:rsidRDefault="0035054F" w:rsidP="00D03E8B">
      <w:pPr>
        <w:spacing w:after="160" w:line="360" w:lineRule="auto"/>
        <w:ind w:firstLine="567"/>
        <w:jc w:val="both"/>
      </w:pPr>
      <w:r w:rsidRPr="00E345B2">
        <w:t>Դեղաչափերի անհրաժեշտ քանակն առնվազն 5 վ ընդմիջումով հեռացնում են այնքան ժամանակ, մինչ</w:t>
      </w:r>
      <w:r>
        <w:t>եւ</w:t>
      </w:r>
      <w:r w:rsidRPr="00E345B2">
        <w:t xml:space="preserve"> մնա (n/2) + 1 դեղաչափ, որտեղ n-ն դեղաչափերի հայտագրված քանակն է։ Հավաքում են 4 դեղաչափ՝ վերը նկարագրված մեթոդիկայի համաձայն։</w:t>
      </w:r>
    </w:p>
    <w:p w14:paraId="6B23E9CD" w14:textId="77777777" w:rsidR="0035054F" w:rsidRPr="00E345B2" w:rsidRDefault="0035054F" w:rsidP="00D03E8B">
      <w:pPr>
        <w:spacing w:after="160" w:line="360" w:lineRule="auto"/>
        <w:ind w:firstLine="567"/>
        <w:jc w:val="both"/>
      </w:pPr>
      <w:r w:rsidRPr="00E345B2">
        <w:t>Դեղաչափերի անհրաժեշտ քանակն առնվազն 5 վ ընդմիջումով նորից հեռացնում են այնքան ժամանակ, մինչ</w:t>
      </w:r>
      <w:r>
        <w:t>եւ</w:t>
      </w:r>
      <w:r w:rsidRPr="00E345B2">
        <w:t xml:space="preserve"> մնա 3 դեղաչափ։ Հավաքում են վերջին 3 դեղաչափերը՝ վերը նկարագրված մեթոդիկայի համաձայն։</w:t>
      </w:r>
    </w:p>
    <w:p w14:paraId="5BCD5608" w14:textId="77777777" w:rsidR="0035054F" w:rsidRPr="00E345B2" w:rsidRDefault="0035054F" w:rsidP="00D03E8B">
      <w:pPr>
        <w:spacing w:after="160" w:line="360" w:lineRule="auto"/>
        <w:ind w:firstLine="567"/>
        <w:jc w:val="both"/>
      </w:pPr>
      <w:r w:rsidRPr="00E345B2">
        <w:t xml:space="preserve">Հավաքված յուրաքանչյուր չափաբաժնի մեջ ազդող նյութի քանակը որոշում են մասնավոր դեղագրքային հոդվածում </w:t>
      </w:r>
      <w:r>
        <w:t>եւ</w:t>
      </w:r>
      <w:r w:rsidRPr="00E345B2">
        <w:t xml:space="preserve"> (կամ) որակի վերաբերյալ նորմատիվ փաստաթղթում ներկայացված մեթոդիկայով։</w:t>
      </w:r>
    </w:p>
    <w:p w14:paraId="6F6A54C8" w14:textId="77777777" w:rsidR="0035054F" w:rsidRPr="00E345B2" w:rsidRDefault="0035054F" w:rsidP="00D03E8B">
      <w:pPr>
        <w:spacing w:after="160" w:line="360" w:lineRule="auto"/>
        <w:ind w:firstLine="567"/>
        <w:jc w:val="both"/>
      </w:pPr>
      <w:r w:rsidRPr="00E345B2">
        <w:t>Մեկից ավելի ազդող նյութ պարունակող դեղապատրաստուկների համար փորձարկումն անցկացնում են՝ ըստ Մատակարարվող (ձերբազատվող) դեղաչափերի միատարրությունը (Դեղաչափման միատարրությունը) ցուցանիշի՝ յուրաքանչյուր ազդող նյութի համար։</w:t>
      </w:r>
    </w:p>
    <w:p w14:paraId="5D4381BA" w14:textId="77777777" w:rsidR="0035054F" w:rsidRPr="00B5542D" w:rsidRDefault="0035054F" w:rsidP="00D03E8B">
      <w:pPr>
        <w:spacing w:after="160" w:line="360" w:lineRule="auto"/>
        <w:ind w:firstLine="567"/>
        <w:jc w:val="both"/>
      </w:pPr>
      <w:r w:rsidRPr="00E345B2">
        <w:t xml:space="preserve">Եթե փաթեթվածքի պարունակությունը լուծույթ է, թույլատրվում է մատակարարվող (ձերբազատվող) դեղաչափերի միատարրության գնահատումն իրականացնել մեկ դեղաչափի միջին զանգվածը </w:t>
      </w:r>
      <w:r>
        <w:t>եւ</w:t>
      </w:r>
      <w:r w:rsidRPr="00E345B2">
        <w:t xml:space="preserve"> միջին զանգվածից շեղումները որոշելու միջոցով։</w:t>
      </w:r>
    </w:p>
    <w:p w14:paraId="01D4AD31" w14:textId="77777777" w:rsidR="00AA7C33" w:rsidRPr="00B5542D" w:rsidRDefault="00AA7C33" w:rsidP="00D03E8B">
      <w:pPr>
        <w:spacing w:after="160" w:line="360" w:lineRule="auto"/>
        <w:ind w:firstLine="567"/>
        <w:jc w:val="both"/>
      </w:pPr>
    </w:p>
    <w:p w14:paraId="5704E480" w14:textId="77777777" w:rsidR="0035054F" w:rsidRPr="00E345B2" w:rsidRDefault="0035054F" w:rsidP="00D03E8B">
      <w:pPr>
        <w:spacing w:after="160" w:line="360" w:lineRule="auto"/>
        <w:ind w:firstLine="567"/>
        <w:jc w:val="both"/>
      </w:pPr>
      <w:r w:rsidRPr="00E345B2">
        <w:lastRenderedPageBreak/>
        <w:t>Դեղապատրաստուկը փորձարկումն անցնում է, եթե 10 արդյունքներից 9-ը գտնվում են միջին արժեքի 75 %-ից մինչ</w:t>
      </w:r>
      <w:r>
        <w:t>եւ</w:t>
      </w:r>
      <w:r w:rsidRPr="00E345B2">
        <w:t xml:space="preserve"> 125 %-ի սահմաններում, իսկ բոլոր արդյունքները գտնվում են 65 %-ից մինչ</w:t>
      </w:r>
      <w:r>
        <w:t>եւ</w:t>
      </w:r>
      <w:r w:rsidRPr="00E345B2">
        <w:t xml:space="preserve"> 135 %-ի սահմաններում։ Եթե 2 կամ 3 արդյունք դուրս է մնում 75-125 %-ի սահմաններից, փորձարկումը կրկնում են մյուս երկու ինհալատորներով։ 30 արժեքներից ոչ ավելի, քան 3-ը կարող են դուրս գալ 75-125 %-ի սահմաններից, իսկ բոլոր արժեքները պետք է 65 %-ից մինչ</w:t>
      </w:r>
      <w:r>
        <w:t>եւ</w:t>
      </w:r>
      <w:r w:rsidRPr="00E345B2">
        <w:t xml:space="preserve"> 135 %-ի սահմաններում լինեն։</w:t>
      </w:r>
    </w:p>
    <w:p w14:paraId="71BEE914" w14:textId="77777777" w:rsidR="0035054F" w:rsidRPr="00E345B2" w:rsidRDefault="0035054F" w:rsidP="00D03E8B">
      <w:pPr>
        <w:spacing w:after="160" w:line="360" w:lineRule="auto"/>
        <w:ind w:firstLine="567"/>
        <w:jc w:val="both"/>
      </w:pPr>
      <w:r w:rsidRPr="00E345B2">
        <w:t>Մատակարարվող (ձերբազատվող) դեղաչափերի միջին արժեքը պետք է գտնվի հայտագրված արժեքի 85 %-ից մինչ</w:t>
      </w:r>
      <w:r>
        <w:t>եւ</w:t>
      </w:r>
      <w:r w:rsidRPr="00E345B2">
        <w:t xml:space="preserve"> 115 %-ի սահմաններում։</w:t>
      </w:r>
    </w:p>
    <w:p w14:paraId="4400884C" w14:textId="77777777" w:rsidR="0035054F" w:rsidRPr="00E345B2" w:rsidRDefault="0035054F" w:rsidP="00D03E8B">
      <w:pPr>
        <w:spacing w:after="160" w:line="360" w:lineRule="auto"/>
        <w:ind w:firstLine="567"/>
        <w:jc w:val="both"/>
      </w:pPr>
      <w:r w:rsidRPr="00E345B2">
        <w:t xml:space="preserve">Մատակարարվող (ձերբազատվող) դեղաչափերի միատարրության որոշման մեթոդիկան՝ ինհալացիաների համար նախատեսված փոշիների համար։ Դեղաչափի ձերբազատումն իրականացնում են կիրառման հրահանգի մեջ նկարագրված եղանակին համապատասխան։ Դեղաչափի հավաքման համար նախատեսված սարքը համանման է </w:t>
      </w:r>
      <w:r w:rsidRPr="000B1C22">
        <w:rPr>
          <w:i/>
        </w:rPr>
        <w:t>2.5.3.2-1 նկարում</w:t>
      </w:r>
      <w:r w:rsidRPr="00E345B2">
        <w:t xml:space="preserve"> ներկայացված սարքին, սակայն ավելի մեծ տրամագիծ ունի։ Փորձարկման համար հավաքում են փոշիային ինհալատորներով դեղաչափի միատարրությունը որոշելու համար նախատեսված սարքը, որը ներկայացված է </w:t>
      </w:r>
      <w:r w:rsidRPr="000B1C22">
        <w:rPr>
          <w:i/>
        </w:rPr>
        <w:t>2.5.3.2-2 նկարում</w:t>
      </w:r>
      <w:r w:rsidRPr="00E345B2">
        <w:t xml:space="preserve"> </w:t>
      </w:r>
      <w:r>
        <w:t>եւ</w:t>
      </w:r>
      <w:r w:rsidRPr="00E345B2">
        <w:t xml:space="preserve"> նկարագրված է </w:t>
      </w:r>
      <w:r w:rsidRPr="000B1C22">
        <w:rPr>
          <w:i/>
        </w:rPr>
        <w:t>2.5.3.2-1 աղյուսակում</w:t>
      </w:r>
      <w:r w:rsidRPr="00E345B2">
        <w:t xml:space="preserve">։ Զտիչների </w:t>
      </w:r>
      <w:r>
        <w:t>եւ</w:t>
      </w:r>
      <w:r w:rsidRPr="00E345B2">
        <w:t xml:space="preserve"> խողովակների չափերը պետք է ընդունելի լինեն հոսքի կիրառվող արագության համար։</w:t>
      </w:r>
    </w:p>
    <w:p w14:paraId="637991F7" w14:textId="77777777" w:rsidR="0035054F" w:rsidRPr="00E345B2" w:rsidRDefault="0035054F" w:rsidP="00D03E8B">
      <w:pPr>
        <w:spacing w:after="160" w:line="360" w:lineRule="auto"/>
        <w:ind w:firstLine="567"/>
        <w:jc w:val="both"/>
      </w:pPr>
      <w:r w:rsidRPr="00E345B2">
        <w:t xml:space="preserve">Հոսքի արագությունը </w:t>
      </w:r>
      <w:r>
        <w:t>եւ</w:t>
      </w:r>
      <w:r w:rsidRPr="00E345B2">
        <w:t xml:space="preserve"> նմուշի ընտրության տ</w:t>
      </w:r>
      <w:r>
        <w:t>եւ</w:t>
      </w:r>
      <w:r w:rsidRPr="00E345B2">
        <w:t>ողությունը որոշում են նմուշի հավաքման համար նախատեսված գլանի օգնությամբ՝ հետ</w:t>
      </w:r>
      <w:r>
        <w:t>եւ</w:t>
      </w:r>
      <w:r w:rsidRPr="00E345B2">
        <w:t>յալ մեթոդիկայով։</w:t>
      </w:r>
    </w:p>
    <w:p w14:paraId="49E1A013" w14:textId="77777777" w:rsidR="0035054F" w:rsidRPr="00E345B2" w:rsidRDefault="0035054F" w:rsidP="00D03E8B">
      <w:pPr>
        <w:spacing w:after="160" w:line="360" w:lineRule="auto"/>
        <w:ind w:firstLine="567"/>
        <w:jc w:val="both"/>
      </w:pPr>
      <w:r w:rsidRPr="00E345B2">
        <w:t xml:space="preserve">Ինհալատորը պատրաստում են կիրառման հրահանգի համաձայն </w:t>
      </w:r>
      <w:r>
        <w:t>եւ</w:t>
      </w:r>
      <w:r w:rsidRPr="00E345B2">
        <w:t xml:space="preserve"> դա նմուշի հավաքման համար նախատեսված գլանի հետ հերմետիկ միացնում են ադապտերի օգնությամբ։ Կիրառում են փողածայրոցի ադապտեր, որը թույլ է տալիս, որ ինհալատորի փողածայրոցի դիմային կողմը նմուշների հավաքման համար նախատեսված խողովակի դիմային կողմի հետ գտնվի մի</w:t>
      </w:r>
      <w:r>
        <w:t>եւ</w:t>
      </w:r>
      <w:r w:rsidRPr="00E345B2">
        <w:t xml:space="preserve">նույն մակարդակի վրա։ Դիֆերենցիալ մանոմետրի մի անցքը միացնում են արտաթողի </w:t>
      </w:r>
      <w:r w:rsidRPr="00E345B2">
        <w:lastRenderedPageBreak/>
        <w:t>հետ (Р</w:t>
      </w:r>
      <w:r w:rsidRPr="00E345B2">
        <w:rPr>
          <w:vertAlign w:val="subscript"/>
        </w:rPr>
        <w:t>1</w:t>
      </w:r>
      <w:r w:rsidRPr="00E345B2">
        <w:t xml:space="preserve">), մանոմետրի երկրորդ անցքը թողնում են բաց։ Միացնում են պոմպը, բացում են երկկողմ կափույրը (Ե)։ Կարգավորիչ փականի (Ը) օգնությամբ ինհալատորի մեջ դիֆերենցիալ ճնշում են սահմանում 4,0 կՊա-ի մակարդակով։ Ինհալատորը հեռացնում են ադապտերից </w:t>
      </w:r>
      <w:r>
        <w:t>եւ</w:t>
      </w:r>
      <w:r w:rsidRPr="00E345B2">
        <w:t xml:space="preserve"> չփոխելով կարգավորիչ փականի (Ը) դիրքը՝ հոսքի արագության չափիչը միացնում են համակարգի մուտքի անցքին։</w:t>
      </w:r>
    </w:p>
    <w:p w14:paraId="6FC6CF97" w14:textId="77777777" w:rsidR="0035054F" w:rsidRPr="00E345B2" w:rsidRDefault="0035054F" w:rsidP="00D03E8B">
      <w:pPr>
        <w:spacing w:after="160" w:line="360" w:lineRule="auto"/>
        <w:ind w:firstLine="567"/>
        <w:jc w:val="both"/>
      </w:pPr>
      <w:r w:rsidRPr="00E345B2">
        <w:t>Դուրս եկող հոսքի արագությունը չափելու համար օգտագործում են կա՛մ չափիչ սարքից դուրս եկող հոսքի ծավալի չափման համար տրամաչափարկված՝ հոսքի արագության չափիչ, կա՛մ հաշվարկում են դրանից դուրս եկող (Q</w:t>
      </w:r>
      <w:r w:rsidRPr="00E345B2">
        <w:rPr>
          <w:vertAlign w:val="subscript"/>
        </w:rPr>
        <w:t>ելք</w:t>
      </w:r>
      <w:r w:rsidRPr="00E345B2">
        <w:t>) հոսքի արագությունը՝ կիրառելով իդեալական գազի հավասարումը։ Մուտք գործող (Q</w:t>
      </w:r>
      <w:r w:rsidRPr="00E345B2">
        <w:rPr>
          <w:vertAlign w:val="subscript"/>
        </w:rPr>
        <w:t>մուտք</w:t>
      </w:r>
      <w:r w:rsidRPr="00E345B2">
        <w:t>) հոսքի չափման համար տրամաչափարկված չափիչի համար կիրառում են հետ</w:t>
      </w:r>
      <w:r>
        <w:t>եւ</w:t>
      </w:r>
      <w:r w:rsidRPr="00E345B2">
        <w:t>յալ հավասարումը.</w:t>
      </w:r>
    </w:p>
    <w:p w14:paraId="3916DA21" w14:textId="77777777" w:rsidR="0035054F" w:rsidRPr="00E345B2" w:rsidRDefault="00000000" w:rsidP="004A289F">
      <w:pPr>
        <w:spacing w:after="160" w:line="360" w:lineRule="auto"/>
        <w:jc w:val="both"/>
        <w:rPr>
          <w:i/>
          <w:lang w:val="en-US"/>
        </w:rPr>
      </w:pPr>
      <m:oMathPara>
        <m:oMathParaPr>
          <m:jc m:val="center"/>
        </m:oMathParaPr>
        <m:oMath>
          <m:sSub>
            <m:sSubPr>
              <m:ctrlPr>
                <w:rPr>
                  <w:rFonts w:ascii="Cambria Math" w:hAnsi="Cambria Math"/>
                </w:rPr>
              </m:ctrlPr>
            </m:sSubPr>
            <m:e>
              <m:r>
                <w:rPr>
                  <w:rFonts w:ascii="Cambria Math" w:hAnsi="Cambria Math"/>
                </w:rPr>
                <m:t>Q</m:t>
              </m:r>
            </m:e>
            <m:sub>
              <m:r>
                <m:rPr>
                  <m:sty m:val="p"/>
                </m:rPr>
                <w:rPr>
                  <w:rFonts w:ascii="Cambria Math" w:hAnsi="Cambria Math"/>
                </w:rPr>
                <m:t>ելք</m:t>
              </m:r>
            </m:sub>
          </m:sSub>
          <m:r>
            <m:rPr>
              <m:sty m:val="p"/>
            </m:rPr>
            <w:rPr>
              <w:rFonts w:asci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մուտք</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o</m:t>
                  </m:r>
                </m:sub>
              </m:sSub>
            </m:num>
            <m:den>
              <m:sSub>
                <m:sSubPr>
                  <m:ctrlPr>
                    <w:rPr>
                      <w:rFonts w:ascii="Cambria Math" w:hAnsi="Cambria Math"/>
                    </w:rPr>
                  </m:ctrlPr>
                </m:sSubPr>
                <m:e>
                  <m:r>
                    <w:rPr>
                      <w:rFonts w:ascii="Cambria Math" w:hAnsi="Cambria Math"/>
                    </w:rPr>
                    <m:t>P</m:t>
                  </m:r>
                </m:e>
                <m:sub>
                  <m:r>
                    <w:rPr>
                      <w:rFonts w:ascii="Cambria Math" w:hAnsi="Cambria Math"/>
                    </w:rPr>
                    <m:t>o</m:t>
                  </m:r>
                </m:sub>
              </m:sSub>
              <m:r>
                <m:rPr>
                  <m:sty m:val="p"/>
                </m:rPr>
                <w:rPr>
                  <w:rFonts w:ascii="Cambria Math" w:hAnsi="Cambria Math"/>
                </w:rPr>
                <m:t>-∆</m:t>
              </m:r>
              <m:r>
                <w:rPr>
                  <w:rFonts w:ascii="Cambria Math" w:hAnsi="Cambria Math"/>
                </w:rPr>
                <m:t>P</m:t>
              </m:r>
            </m:den>
          </m:f>
          <m:r>
            <m:rPr>
              <m:sty m:val="p"/>
            </m:rPr>
            <w:rPr>
              <w:rFonts w:ascii="Cambria Math"/>
            </w:rPr>
            <m:t>,</m:t>
          </m:r>
        </m:oMath>
      </m:oMathPara>
    </w:p>
    <w:p w14:paraId="3CBAEAA5" w14:textId="77777777" w:rsidR="0035054F" w:rsidRPr="00E345B2" w:rsidRDefault="0035054F" w:rsidP="004A289F">
      <w:pPr>
        <w:spacing w:after="160" w:line="360" w:lineRule="auto"/>
        <w:jc w:val="both"/>
      </w:pPr>
    </w:p>
    <w:p w14:paraId="69C8A0CB" w14:textId="77777777" w:rsidR="0035054F" w:rsidRPr="00E345B2" w:rsidRDefault="0035054F" w:rsidP="00D03E8B">
      <w:pPr>
        <w:spacing w:after="160" w:line="360" w:lineRule="auto"/>
        <w:ind w:firstLine="567"/>
        <w:jc w:val="both"/>
      </w:pPr>
      <w:r w:rsidRPr="00E345B2">
        <w:t xml:space="preserve">որտեղ՝ </w:t>
      </w:r>
    </w:p>
    <w:p w14:paraId="50CD7851" w14:textId="77777777" w:rsidR="0035054F" w:rsidRPr="00E345B2" w:rsidRDefault="0035054F" w:rsidP="00D03E8B">
      <w:pPr>
        <w:spacing w:after="160" w:line="360" w:lineRule="auto"/>
        <w:ind w:firstLine="567"/>
        <w:jc w:val="both"/>
      </w:pPr>
      <w:r w:rsidRPr="00E345B2">
        <w:t>Р</w:t>
      </w:r>
      <w:r w:rsidRPr="00E345B2">
        <w:rPr>
          <w:vertAlign w:val="subscript"/>
        </w:rPr>
        <w:t>0</w:t>
      </w:r>
      <w:r w:rsidRPr="00E345B2">
        <w:t>-ն մթնոլորտային ճնշումն է՝ սնդիկի սյան միլիմետրերով,</w:t>
      </w:r>
    </w:p>
    <w:p w14:paraId="758D9CD4" w14:textId="77777777" w:rsidR="0035054F" w:rsidRPr="00E345B2" w:rsidRDefault="0035054F" w:rsidP="00D03E8B">
      <w:pPr>
        <w:spacing w:after="160" w:line="360" w:lineRule="auto"/>
        <w:ind w:firstLine="567"/>
        <w:jc w:val="both"/>
      </w:pPr>
      <m:oMath>
        <m:r>
          <m:rPr>
            <m:sty m:val="p"/>
          </m:rPr>
          <w:rPr>
            <w:rFonts w:ascii="Cambria Math" w:hAnsi="Cambria Math"/>
          </w:rPr>
          <m:t>∆</m:t>
        </m:r>
      </m:oMath>
      <w:r w:rsidRPr="00E345B2">
        <w:t>Р-ն չափիչ սարքի մեջ ճնշման տատանումն է՝ սնդիկի սյան միլիմետրերով։</w:t>
      </w:r>
    </w:p>
    <w:p w14:paraId="54C67650" w14:textId="77777777" w:rsidR="0035054F" w:rsidRPr="00E345B2" w:rsidRDefault="0035054F" w:rsidP="00D03E8B">
      <w:pPr>
        <w:spacing w:after="160" w:line="360" w:lineRule="auto"/>
        <w:ind w:firstLine="567"/>
        <w:jc w:val="both"/>
      </w:pPr>
      <w:r w:rsidRPr="00E345B2">
        <w:t xml:space="preserve">Եթե հոսքի արագությունը գերազանցում է 100 լ/րոպեն, կարգավորիչ փականի (Ը) օգնությամբ տվյալ ցուցանիշը սահմանում են 100 լ/րոպեի (±5 %) սահմաններում։ Նշում են չափիչից դուրս եկող հոսքի արագությունը </w:t>
      </w:r>
      <w:r>
        <w:t>եւ</w:t>
      </w:r>
      <w:r w:rsidRPr="00E345B2">
        <w:t xml:space="preserve"> սահմանում են այն ժամանակը, որի ընթացքում 4 լ օդն անցնում է ինհալատորի միջով։</w:t>
      </w:r>
    </w:p>
    <w:p w14:paraId="5CB5BA4C" w14:textId="77777777" w:rsidR="0035054F" w:rsidRPr="00E345B2" w:rsidRDefault="0035054F" w:rsidP="0035054F">
      <w:pPr>
        <w:spacing w:after="160" w:line="360" w:lineRule="auto"/>
      </w:pPr>
    </w:p>
    <w:p w14:paraId="42B8CA47" w14:textId="77777777" w:rsidR="0035054F" w:rsidRPr="00E345B2" w:rsidRDefault="0035054F" w:rsidP="0035054F">
      <w:pPr>
        <w:spacing w:after="160" w:line="360" w:lineRule="auto"/>
      </w:pPr>
    </w:p>
    <w:p w14:paraId="4634E95F" w14:textId="77777777" w:rsidR="0035054F" w:rsidRPr="00E345B2" w:rsidRDefault="0035054F" w:rsidP="0035054F">
      <w:pPr>
        <w:spacing w:after="160" w:line="360" w:lineRule="auto"/>
      </w:pPr>
    </w:p>
    <w:p w14:paraId="76E9CAB5" w14:textId="77777777" w:rsidR="0035054F" w:rsidRPr="00E345B2" w:rsidRDefault="00000000" w:rsidP="0035054F">
      <w:pPr>
        <w:spacing w:after="160" w:line="360" w:lineRule="auto"/>
      </w:pPr>
      <w:r>
        <w:rPr>
          <w:noProof/>
          <w:lang w:val="en-US" w:eastAsia="en-US" w:bidi="ar-SA"/>
        </w:rPr>
        <w:lastRenderedPageBreak/>
        <w:pict w14:anchorId="30A42DC7">
          <v:group id="_x0000_s1504" style="position:absolute;margin-left:3.25pt;margin-top:5.5pt;width:396.7pt;height:499.45pt;z-index:252107776" coordorigin="1483,1528" coordsize="7934,9989">
            <v:rect id="_x0000_s1471" style="position:absolute;left:1682;top:7031;width:1035;height:460" stroked="f">
              <v:textbox style="mso-next-textbox:#_x0000_s1471">
                <w:txbxContent>
                  <w:p w14:paraId="7AC70C9A" w14:textId="77777777" w:rsidR="008D6E8B" w:rsidRPr="004A289F" w:rsidRDefault="008D6E8B" w:rsidP="0035054F">
                    <w:pPr>
                      <w:rPr>
                        <w:sz w:val="12"/>
                      </w:rPr>
                    </w:pPr>
                    <w:r w:rsidRPr="004A289F">
                      <w:rPr>
                        <w:sz w:val="12"/>
                      </w:rPr>
                      <w:t>դեպի պոմպ</w:t>
                    </w:r>
                  </w:p>
                </w:txbxContent>
              </v:textbox>
            </v:rect>
            <v:rect id="_x0000_s1473" style="position:absolute;left:7448;top:1528;width:1440;height:463" stroked="f">
              <v:textbox style="mso-next-textbox:#_x0000_s1473">
                <w:txbxContent>
                  <w:p w14:paraId="208F3073" w14:textId="77777777" w:rsidR="008D6E8B" w:rsidRPr="004A289F" w:rsidRDefault="008D6E8B" w:rsidP="0035054F">
                    <w:pPr>
                      <w:rPr>
                        <w:sz w:val="12"/>
                        <w:lang w:val="en-US"/>
                      </w:rPr>
                    </w:pPr>
                    <w:r w:rsidRPr="004A289F">
                      <w:rPr>
                        <w:sz w:val="12"/>
                      </w:rPr>
                      <w:t>ներքին պարուրակ</w:t>
                    </w:r>
                  </w:p>
                </w:txbxContent>
              </v:textbox>
            </v:rect>
            <v:rect id="_x0000_s1474" style="position:absolute;left:6780;top:3945;width:1109;height:460" stroked="f">
              <v:textbox style="mso-next-textbox:#_x0000_s1474">
                <w:txbxContent>
                  <w:p w14:paraId="00B40B1B" w14:textId="77777777" w:rsidR="008D6E8B" w:rsidRPr="004A289F" w:rsidRDefault="008D6E8B" w:rsidP="0035054F">
                    <w:pPr>
                      <w:rPr>
                        <w:sz w:val="14"/>
                      </w:rPr>
                    </w:pPr>
                    <w:r w:rsidRPr="004A289F">
                      <w:rPr>
                        <w:sz w:val="14"/>
                      </w:rPr>
                      <w:t>խողովակ</w:t>
                    </w:r>
                  </w:p>
                </w:txbxContent>
              </v:textbox>
            </v:rect>
            <v:rect id="_x0000_s1475" style="position:absolute;left:6449;top:5384;width:1440;height:464" stroked="f">
              <v:textbox style="mso-next-textbox:#_x0000_s1475">
                <w:txbxContent>
                  <w:p w14:paraId="17C9CD50" w14:textId="77777777" w:rsidR="008D6E8B" w:rsidRPr="004A289F" w:rsidRDefault="008D6E8B" w:rsidP="0035054F">
                    <w:pPr>
                      <w:rPr>
                        <w:sz w:val="10"/>
                      </w:rPr>
                    </w:pPr>
                    <w:r w:rsidRPr="004A289F">
                      <w:rPr>
                        <w:sz w:val="10"/>
                      </w:rPr>
                      <w:t>արտաքին պարուրակ ներքին պարուրակ</w:t>
                    </w:r>
                  </w:p>
                </w:txbxContent>
              </v:textbox>
            </v:rect>
            <v:rect id="_x0000_s1476" style="position:absolute;left:8552;top:5510;width:865;height:460" stroked="f">
              <v:textbox style="mso-next-textbox:#_x0000_s1476">
                <w:txbxContent>
                  <w:p w14:paraId="3AB24CFB" w14:textId="77777777" w:rsidR="008D6E8B" w:rsidRPr="004A289F" w:rsidRDefault="008D6E8B" w:rsidP="0035054F">
                    <w:pPr>
                      <w:rPr>
                        <w:sz w:val="16"/>
                      </w:rPr>
                    </w:pPr>
                    <w:r w:rsidRPr="004A289F">
                      <w:rPr>
                        <w:sz w:val="16"/>
                      </w:rPr>
                      <w:t>թասակ</w:t>
                    </w:r>
                  </w:p>
                </w:txbxContent>
              </v:textbox>
            </v:rect>
            <v:rect id="_x0000_s1477" style="position:absolute;left:3960;top:7491;width:815;height:460" stroked="f">
              <v:textbox style="mso-next-textbox:#_x0000_s1477">
                <w:txbxContent>
                  <w:p w14:paraId="6616CF86" w14:textId="77777777" w:rsidR="008D6E8B" w:rsidRPr="004A289F" w:rsidRDefault="008D6E8B" w:rsidP="004A289F">
                    <w:pPr>
                      <w:jc w:val="center"/>
                      <w:rPr>
                        <w:sz w:val="16"/>
                      </w:rPr>
                    </w:pPr>
                    <w:r w:rsidRPr="004A289F">
                      <w:rPr>
                        <w:sz w:val="16"/>
                      </w:rPr>
                      <w:t>զտիչ</w:t>
                    </w:r>
                  </w:p>
                </w:txbxContent>
              </v:textbox>
            </v:rect>
            <v:rect id="_x0000_s1478" style="position:absolute;left:1483;top:8928;width:1034;height:460" stroked="f">
              <v:textbox style="mso-next-textbox:#_x0000_s1478">
                <w:txbxContent>
                  <w:p w14:paraId="4BF55CA8" w14:textId="77777777" w:rsidR="008D6E8B" w:rsidRPr="004A289F" w:rsidRDefault="008D6E8B" w:rsidP="0035054F">
                    <w:pPr>
                      <w:rPr>
                        <w:sz w:val="16"/>
                      </w:rPr>
                    </w:pPr>
                    <w:r w:rsidRPr="004A289F">
                      <w:rPr>
                        <w:sz w:val="16"/>
                      </w:rPr>
                      <w:t>թասակ</w:t>
                    </w:r>
                  </w:p>
                </w:txbxContent>
              </v:textbox>
            </v:rect>
            <v:rect id="_x0000_s1479" style="position:absolute;left:3659;top:7022;width:1440;height:469" stroked="f">
              <v:textbox style="mso-next-textbox:#_x0000_s1479">
                <w:txbxContent>
                  <w:p w14:paraId="0A371DE5" w14:textId="77777777" w:rsidR="008D6E8B" w:rsidRPr="004A289F" w:rsidRDefault="008D6E8B" w:rsidP="0035054F">
                    <w:pPr>
                      <w:rPr>
                        <w:sz w:val="16"/>
                      </w:rPr>
                    </w:pPr>
                    <w:r w:rsidRPr="004A289F">
                      <w:rPr>
                        <w:sz w:val="16"/>
                      </w:rPr>
                      <w:t>զտիչի բռնիչ</w:t>
                    </w:r>
                  </w:p>
                </w:txbxContent>
              </v:textbox>
            </v:rect>
            <v:rect id="_x0000_s1480" style="position:absolute;left:4631;top:8026;width:1818;height:491" stroked="f">
              <v:textbox style="mso-next-textbox:#_x0000_s1480">
                <w:txbxContent>
                  <w:p w14:paraId="4CAFFFBE" w14:textId="77777777" w:rsidR="008D6E8B" w:rsidRPr="004A289F" w:rsidRDefault="008D6E8B" w:rsidP="0035054F">
                    <w:pPr>
                      <w:rPr>
                        <w:sz w:val="16"/>
                      </w:rPr>
                    </w:pPr>
                    <w:r w:rsidRPr="004A289F">
                      <w:rPr>
                        <w:sz w:val="16"/>
                      </w:rPr>
                      <w:t>խցման օղ</w:t>
                    </w:r>
                  </w:p>
                </w:txbxContent>
              </v:textbox>
            </v:rect>
            <v:rect id="_x0000_s1481" style="position:absolute;left:7448;top:8772;width:1768;height:616" stroked="f" strokecolor="black [3213]">
              <v:textbox style="mso-next-textbox:#_x0000_s1481">
                <w:txbxContent>
                  <w:p w14:paraId="040DD719" w14:textId="77777777" w:rsidR="008D6E8B" w:rsidRPr="004A289F" w:rsidRDefault="008D6E8B" w:rsidP="0035054F">
                    <w:pPr>
                      <w:rPr>
                        <w:sz w:val="14"/>
                      </w:rPr>
                    </w:pPr>
                    <w:r w:rsidRPr="004A289F">
                      <w:rPr>
                        <w:sz w:val="14"/>
                      </w:rPr>
                      <w:t>փողածայրոցի ադապտեր</w:t>
                    </w:r>
                  </w:p>
                </w:txbxContent>
              </v:textbox>
            </v:rect>
            <v:rect id="_x0000_s1482" style="position:absolute;left:2528;top:10288;width:2247;height:537" stroked="f" strokecolor="black [3213]">
              <v:textbox style="mso-next-textbox:#_x0000_s1482">
                <w:txbxContent>
                  <w:p w14:paraId="2DC65979" w14:textId="77777777" w:rsidR="008D6E8B" w:rsidRPr="004A289F" w:rsidRDefault="008D6E8B" w:rsidP="0035054F">
                    <w:pPr>
                      <w:rPr>
                        <w:sz w:val="12"/>
                      </w:rPr>
                    </w:pPr>
                    <w:r w:rsidRPr="004A289F">
                      <w:rPr>
                        <w:sz w:val="12"/>
                      </w:rPr>
                      <w:t>նմուշի հավաքման համար նախատեսված գլան</w:t>
                    </w:r>
                  </w:p>
                </w:txbxContent>
              </v:textbox>
            </v:rect>
            <v:rect id="_x0000_s1483" style="position:absolute;left:4288;top:11057;width:1440;height:460" stroked="f" strokecolor="black [3213]">
              <v:textbox style="mso-next-textbox:#_x0000_s1483">
                <w:txbxContent>
                  <w:p w14:paraId="51F223E4" w14:textId="77777777" w:rsidR="008D6E8B" w:rsidRPr="004A289F" w:rsidRDefault="008D6E8B" w:rsidP="0035054F">
                    <w:pPr>
                      <w:rPr>
                        <w:sz w:val="16"/>
                        <w:lang w:val="en-US"/>
                      </w:rPr>
                    </w:pPr>
                    <w:r w:rsidRPr="004A289F">
                      <w:rPr>
                        <w:sz w:val="16"/>
                      </w:rPr>
                      <w:t>թասակ</w:t>
                    </w:r>
                  </w:p>
                </w:txbxContent>
              </v:textbox>
            </v:rect>
          </v:group>
        </w:pict>
      </w:r>
      <w:r>
        <w:rPr>
          <w:noProof/>
          <w:lang w:val="en-US" w:eastAsia="en-US" w:bidi="ar-SA"/>
        </w:rPr>
        <w:pict w14:anchorId="257D04C2">
          <v:rect id="_x0000_s1484" style="position:absolute;margin-left:301.5pt;margin-top:534.55pt;width:1in;height:23pt;z-index:252113920" stroked="f" strokecolor="black [3213]">
            <v:textbox style="mso-next-textbox:#_x0000_s1484">
              <w:txbxContent>
                <w:p w14:paraId="2D7CA428" w14:textId="77777777" w:rsidR="008D6E8B" w:rsidRPr="004A289F" w:rsidRDefault="008D6E8B" w:rsidP="0035054F">
                  <w:pPr>
                    <w:rPr>
                      <w:sz w:val="16"/>
                      <w:szCs w:val="16"/>
                    </w:rPr>
                  </w:pPr>
                  <w:r w:rsidRPr="004A289F">
                    <w:rPr>
                      <w:sz w:val="16"/>
                      <w:szCs w:val="16"/>
                    </w:rPr>
                    <w:t>ինհալատոր</w:t>
                  </w:r>
                </w:p>
              </w:txbxContent>
            </v:textbox>
          </v:rect>
        </w:pict>
      </w:r>
      <w:r w:rsidR="0035054F" w:rsidRPr="00E345B2">
        <w:rPr>
          <w:noProof/>
          <w:lang w:val="en-US" w:eastAsia="en-US" w:bidi="ar-SA"/>
        </w:rPr>
        <w:drawing>
          <wp:inline distT="0" distB="0" distL="0" distR="0" wp14:anchorId="482C5BAB" wp14:editId="68C59D1D">
            <wp:extent cx="5760085" cy="7152749"/>
            <wp:effectExtent l="19050" t="0" r="0" b="0"/>
            <wp:docPr id="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cstate="print"/>
                    <a:srcRect/>
                    <a:stretch>
                      <a:fillRect/>
                    </a:stretch>
                  </pic:blipFill>
                  <pic:spPr bwMode="auto">
                    <a:xfrm>
                      <a:off x="0" y="0"/>
                      <a:ext cx="5760085" cy="7152749"/>
                    </a:xfrm>
                    <a:prstGeom prst="rect">
                      <a:avLst/>
                    </a:prstGeom>
                    <a:noFill/>
                    <a:ln w="9525">
                      <a:noFill/>
                      <a:miter lim="800000"/>
                      <a:headEnd/>
                      <a:tailEnd/>
                    </a:ln>
                  </pic:spPr>
                </pic:pic>
              </a:graphicData>
            </a:graphic>
          </wp:inline>
        </w:drawing>
      </w:r>
    </w:p>
    <w:p w14:paraId="021282DC" w14:textId="77777777" w:rsidR="0035054F" w:rsidRPr="004A289F" w:rsidRDefault="0035054F" w:rsidP="004A289F">
      <w:pPr>
        <w:spacing w:after="160" w:line="360" w:lineRule="auto"/>
        <w:jc w:val="center"/>
        <w:rPr>
          <w:sz w:val="20"/>
        </w:rPr>
      </w:pPr>
      <w:r w:rsidRPr="004A289F">
        <w:rPr>
          <w:sz w:val="20"/>
        </w:rPr>
        <w:t>Նկար 2.5.3.2-1. Ճնշման տակ գտնվող՝ դոզավորված դեղապատրաստուկների մեջ դեղաչափերի հավաքման համար նախատեսված սարք։ Չափերը բերված են միլիմետրերով</w:t>
      </w:r>
    </w:p>
    <w:p w14:paraId="1B32E434" w14:textId="77777777" w:rsidR="0035054F" w:rsidRPr="00E345B2" w:rsidRDefault="0035054F" w:rsidP="0035054F">
      <w:pPr>
        <w:spacing w:after="160" w:line="360" w:lineRule="auto"/>
      </w:pPr>
      <w:r w:rsidRPr="00E345B2">
        <w:br w:type="page"/>
      </w:r>
    </w:p>
    <w:p w14:paraId="0A694DCD" w14:textId="77777777" w:rsidR="0035054F" w:rsidRPr="00E345B2" w:rsidRDefault="00000000" w:rsidP="0035054F">
      <w:pPr>
        <w:spacing w:after="160" w:line="360" w:lineRule="auto"/>
      </w:pPr>
      <w:r>
        <w:rPr>
          <w:noProof/>
          <w:lang w:val="en-US" w:eastAsia="en-US" w:bidi="ar-SA"/>
        </w:rPr>
        <w:lastRenderedPageBreak/>
        <w:pict w14:anchorId="00295441">
          <v:group id="_x0000_s1505" style="position:absolute;margin-left:50pt;margin-top:5.4pt;width:353.3pt;height:196.35pt;z-index:252133376" coordorigin="2418,1526" coordsize="7066,3927">
            <v:rect id="_x0000_s1486" style="position:absolute;left:6600;top:1862;width:2018;height:513" stroked="f">
              <v:textbox style="mso-next-textbox:#_x0000_s1486">
                <w:txbxContent>
                  <w:p w14:paraId="53B258AB" w14:textId="77777777" w:rsidR="008D6E8B" w:rsidRPr="000B1C22" w:rsidRDefault="008D6E8B" w:rsidP="000B1C22">
                    <w:pPr>
                      <w:jc w:val="center"/>
                      <w:rPr>
                        <w:sz w:val="12"/>
                        <w:szCs w:val="16"/>
                      </w:rPr>
                    </w:pPr>
                    <w:r w:rsidRPr="000B1C22">
                      <w:rPr>
                        <w:sz w:val="12"/>
                        <w:szCs w:val="16"/>
                      </w:rPr>
                      <w:t>նմուշի հավաքման համար նախատեսված գլան</w:t>
                    </w:r>
                  </w:p>
                </w:txbxContent>
              </v:textbox>
            </v:rect>
            <v:rect id="_x0000_s1487" style="position:absolute;left:4130;top:2192;width:974;height:408" stroked="f">
              <v:textbox style="mso-next-textbox:#_x0000_s1487">
                <w:txbxContent>
                  <w:p w14:paraId="383D7ABF" w14:textId="77777777" w:rsidR="008D6E8B" w:rsidRPr="007B145C" w:rsidRDefault="008D6E8B" w:rsidP="007B145C">
                    <w:pPr>
                      <w:jc w:val="center"/>
                      <w:rPr>
                        <w:sz w:val="16"/>
                      </w:rPr>
                    </w:pPr>
                    <w:r w:rsidRPr="007B145C">
                      <w:rPr>
                        <w:sz w:val="16"/>
                      </w:rPr>
                      <w:t>թայմեր</w:t>
                    </w:r>
                  </w:p>
                </w:txbxContent>
              </v:textbox>
            </v:rect>
            <v:rect id="_x0000_s1488" style="position:absolute;left:2418;top:3030;width:1099;height:611" stroked="f">
              <v:textbox style="mso-next-textbox:#_x0000_s1488">
                <w:txbxContent>
                  <w:p w14:paraId="31F4C76F" w14:textId="77777777" w:rsidR="008D6E8B" w:rsidRPr="007B145C" w:rsidRDefault="008D6E8B" w:rsidP="007B145C">
                    <w:pPr>
                      <w:jc w:val="center"/>
                      <w:rPr>
                        <w:sz w:val="12"/>
                      </w:rPr>
                    </w:pPr>
                    <w:r w:rsidRPr="007B145C">
                      <w:rPr>
                        <w:sz w:val="12"/>
                      </w:rPr>
                      <w:t>վակուումային պոմպ</w:t>
                    </w:r>
                  </w:p>
                </w:txbxContent>
              </v:textbox>
            </v:rect>
            <v:rect id="_x0000_s1489" style="position:absolute;left:3577;top:3622;width:1184;height:526" stroked="f">
              <v:textbox style="mso-next-textbox:#_x0000_s1489">
                <w:txbxContent>
                  <w:p w14:paraId="3CA8BAD0" w14:textId="77777777" w:rsidR="008D6E8B" w:rsidRPr="00D94289" w:rsidRDefault="008D6E8B" w:rsidP="007B145C">
                    <w:pPr>
                      <w:jc w:val="center"/>
                      <w:rPr>
                        <w:sz w:val="12"/>
                      </w:rPr>
                    </w:pPr>
                    <w:r>
                      <w:rPr>
                        <w:sz w:val="12"/>
                      </w:rPr>
                      <w:t>երկկողմ կափույր</w:t>
                    </w:r>
                  </w:p>
                </w:txbxContent>
              </v:textbox>
            </v:rect>
            <v:rect id="_x0000_s1490" style="position:absolute;left:7602;top:4685;width:1293;height:560" stroked="f">
              <v:textbox style="mso-next-textbox:#_x0000_s1490">
                <w:txbxContent>
                  <w:p w14:paraId="78C131D0" w14:textId="77777777" w:rsidR="008D6E8B" w:rsidRPr="007B145C" w:rsidRDefault="008D6E8B" w:rsidP="007B145C">
                    <w:pPr>
                      <w:jc w:val="center"/>
                      <w:rPr>
                        <w:sz w:val="16"/>
                      </w:rPr>
                    </w:pPr>
                    <w:r w:rsidRPr="007B145C">
                      <w:rPr>
                        <w:sz w:val="12"/>
                      </w:rPr>
                      <w:t>փողածայրոցի ադապտեր</w:t>
                    </w:r>
                  </w:p>
                </w:txbxContent>
              </v:textbox>
            </v:rect>
            <v:rect id="_x0000_s1491" style="position:absolute;left:8453;top:3115;width:1031;height:526" stroked="f">
              <v:textbox style="mso-next-textbox:#_x0000_s1491">
                <w:txbxContent>
                  <w:p w14:paraId="08A806A0" w14:textId="77777777" w:rsidR="008D6E8B" w:rsidRPr="007B145C" w:rsidRDefault="008D6E8B" w:rsidP="007B145C">
                    <w:pPr>
                      <w:jc w:val="center"/>
                      <w:rPr>
                        <w:sz w:val="16"/>
                      </w:rPr>
                    </w:pPr>
                    <w:r w:rsidRPr="007B145C">
                      <w:rPr>
                        <w:sz w:val="16"/>
                      </w:rPr>
                      <w:t>ներթող</w:t>
                    </w:r>
                  </w:p>
                </w:txbxContent>
              </v:textbox>
            </v:rect>
            <v:rect id="_x0000_s1492" style="position:absolute;left:6526;top:3773;width:1180;height:433" stroked="f">
              <v:textbox style="mso-next-textbox:#_x0000_s1492">
                <w:txbxContent>
                  <w:p w14:paraId="3CDB44F8" w14:textId="77777777" w:rsidR="008D6E8B" w:rsidRPr="007B145C" w:rsidRDefault="008D6E8B" w:rsidP="007B145C">
                    <w:pPr>
                      <w:jc w:val="center"/>
                      <w:rPr>
                        <w:sz w:val="16"/>
                      </w:rPr>
                    </w:pPr>
                    <w:r w:rsidRPr="007B145C">
                      <w:rPr>
                        <w:sz w:val="16"/>
                      </w:rPr>
                      <w:t>զտիչ</w:t>
                    </w:r>
                  </w:p>
                </w:txbxContent>
              </v:textbox>
            </v:rect>
            <v:rect id="_x0000_s1493" style="position:absolute;left:5450;top:4546;width:1213;height:485" stroked="f">
              <v:textbox style="mso-next-textbox:#_x0000_s1493">
                <w:txbxContent>
                  <w:p w14:paraId="4E1BBE24" w14:textId="77777777" w:rsidR="008D6E8B" w:rsidRPr="007B145C" w:rsidRDefault="008D6E8B" w:rsidP="007B145C">
                    <w:pPr>
                      <w:jc w:val="center"/>
                      <w:rPr>
                        <w:sz w:val="12"/>
                      </w:rPr>
                    </w:pPr>
                    <w:r w:rsidRPr="007B145C">
                      <w:rPr>
                        <w:sz w:val="12"/>
                      </w:rPr>
                      <w:t>վակուումային խողովակ</w:t>
                    </w:r>
                  </w:p>
                </w:txbxContent>
              </v:textbox>
            </v:rect>
            <v:rect id="_x0000_s1494" style="position:absolute;left:4445;top:4612;width:856;height:415" stroked="f">
              <v:textbox style="mso-next-textbox:#_x0000_s1494">
                <w:txbxContent>
                  <w:p w14:paraId="3A17FA41" w14:textId="77777777" w:rsidR="008D6E8B" w:rsidRPr="007B145C" w:rsidRDefault="008D6E8B" w:rsidP="0035054F">
                    <w:pPr>
                      <w:rPr>
                        <w:sz w:val="12"/>
                      </w:rPr>
                    </w:pPr>
                    <w:r w:rsidRPr="007B145C">
                      <w:rPr>
                        <w:sz w:val="12"/>
                      </w:rPr>
                      <w:t>միակցիչ</w:t>
                    </w:r>
                  </w:p>
                </w:txbxContent>
              </v:textbox>
            </v:rect>
            <v:rect id="_x0000_s1495" style="position:absolute;left:2897;top:2375;width:774;height:422" stroked="f">
              <v:textbox style="mso-next-textbox:#_x0000_s1495">
                <w:txbxContent>
                  <w:p w14:paraId="23A972BC" w14:textId="77777777" w:rsidR="008D6E8B" w:rsidRPr="007B145C" w:rsidRDefault="008D6E8B" w:rsidP="007B145C">
                    <w:pPr>
                      <w:jc w:val="center"/>
                      <w:rPr>
                        <w:sz w:val="18"/>
                      </w:rPr>
                    </w:pPr>
                    <w:r w:rsidRPr="007B145C">
                      <w:rPr>
                        <w:sz w:val="18"/>
                      </w:rPr>
                      <w:t>Զ</w:t>
                    </w:r>
                  </w:p>
                </w:txbxContent>
              </v:textbox>
            </v:rect>
            <v:rect id="_x0000_s1496" style="position:absolute;left:4393;top:1604;width:774;height:492" stroked="f">
              <v:textbox style="mso-next-textbox:#_x0000_s1496">
                <w:txbxContent>
                  <w:p w14:paraId="36B8A466" w14:textId="77777777" w:rsidR="008D6E8B" w:rsidRPr="007B145C" w:rsidRDefault="008D6E8B" w:rsidP="007B145C">
                    <w:pPr>
                      <w:jc w:val="center"/>
                      <w:rPr>
                        <w:sz w:val="18"/>
                      </w:rPr>
                    </w:pPr>
                    <w:r w:rsidRPr="007B145C">
                      <w:rPr>
                        <w:sz w:val="18"/>
                      </w:rPr>
                      <w:t>Է</w:t>
                    </w:r>
                  </w:p>
                </w:txbxContent>
              </v:textbox>
            </v:rect>
            <v:rect id="_x0000_s1497" style="position:absolute;left:4676;top:5031;width:774;height:422" stroked="f">
              <v:textbox style="mso-next-textbox:#_x0000_s1497">
                <w:txbxContent>
                  <w:p w14:paraId="41950E00" w14:textId="77777777" w:rsidR="008D6E8B" w:rsidRPr="007B145C" w:rsidRDefault="008D6E8B" w:rsidP="007B145C">
                    <w:pPr>
                      <w:jc w:val="center"/>
                      <w:rPr>
                        <w:sz w:val="18"/>
                      </w:rPr>
                    </w:pPr>
                    <w:r w:rsidRPr="007B145C">
                      <w:rPr>
                        <w:sz w:val="18"/>
                      </w:rPr>
                      <w:t>Գ</w:t>
                    </w:r>
                  </w:p>
                </w:txbxContent>
              </v:textbox>
            </v:rect>
            <v:rect id="_x0000_s1498" style="position:absolute;left:5752;top:5031;width:774;height:422" stroked="f">
              <v:textbox style="mso-next-textbox:#_x0000_s1498">
                <w:txbxContent>
                  <w:p w14:paraId="4F6C5F4F" w14:textId="77777777" w:rsidR="008D6E8B" w:rsidRPr="007B145C" w:rsidRDefault="008D6E8B" w:rsidP="007B145C">
                    <w:pPr>
                      <w:jc w:val="center"/>
                      <w:rPr>
                        <w:sz w:val="18"/>
                      </w:rPr>
                    </w:pPr>
                    <w:r w:rsidRPr="007B145C">
                      <w:rPr>
                        <w:sz w:val="18"/>
                      </w:rPr>
                      <w:t>Դ</w:t>
                    </w:r>
                  </w:p>
                </w:txbxContent>
              </v:textbox>
            </v:rect>
            <v:rect id="_x0000_s1499" style="position:absolute;left:3987;top:4171;width:774;height:422" stroked="f">
              <v:textbox style="mso-next-textbox:#_x0000_s1499">
                <w:txbxContent>
                  <w:p w14:paraId="5A8D3CA9" w14:textId="77777777" w:rsidR="008D6E8B" w:rsidRPr="007B145C" w:rsidRDefault="008D6E8B" w:rsidP="0035054F">
                    <w:pPr>
                      <w:rPr>
                        <w:sz w:val="18"/>
                      </w:rPr>
                    </w:pPr>
                    <w:r w:rsidRPr="007B145C">
                      <w:rPr>
                        <w:sz w:val="18"/>
                      </w:rPr>
                      <w:t>Ե</w:t>
                    </w:r>
                  </w:p>
                </w:txbxContent>
              </v:textbox>
            </v:rect>
            <v:rect id="_x0000_s1500" style="position:absolute;left:6828;top:4190;width:774;height:422" stroked="f">
              <v:textbox style="mso-next-textbox:#_x0000_s1500">
                <w:txbxContent>
                  <w:p w14:paraId="45A41B07" w14:textId="77777777" w:rsidR="008D6E8B" w:rsidRPr="007B145C" w:rsidRDefault="008D6E8B" w:rsidP="007B145C">
                    <w:pPr>
                      <w:jc w:val="center"/>
                      <w:rPr>
                        <w:sz w:val="18"/>
                      </w:rPr>
                    </w:pPr>
                    <w:r w:rsidRPr="007B145C">
                      <w:rPr>
                        <w:sz w:val="18"/>
                      </w:rPr>
                      <w:t>Բ</w:t>
                    </w:r>
                  </w:p>
                </w:txbxContent>
              </v:textbox>
            </v:rect>
            <v:rect id="_x0000_s1501" style="position:absolute;left:4978;top:4171;width:774;height:375" stroked="f">
              <v:textbox style="mso-next-textbox:#_x0000_s1501">
                <w:txbxContent>
                  <w:p w14:paraId="7AEEB871" w14:textId="77777777" w:rsidR="008D6E8B" w:rsidRPr="007B145C" w:rsidRDefault="008D6E8B" w:rsidP="007B145C">
                    <w:pPr>
                      <w:jc w:val="center"/>
                      <w:rPr>
                        <w:sz w:val="18"/>
                      </w:rPr>
                    </w:pPr>
                    <w:r w:rsidRPr="007B145C">
                      <w:rPr>
                        <w:sz w:val="18"/>
                      </w:rPr>
                      <w:t>Ը</w:t>
                    </w:r>
                  </w:p>
                </w:txbxContent>
              </v:textbox>
            </v:rect>
            <v:rect id="_x0000_s1502" style="position:absolute;left:7449;top:1526;width:774;height:422" stroked="f">
              <v:textbox style="mso-next-textbox:#_x0000_s1502">
                <w:txbxContent>
                  <w:p w14:paraId="70B425FF" w14:textId="77777777" w:rsidR="008D6E8B" w:rsidRPr="007B145C" w:rsidRDefault="008D6E8B" w:rsidP="0035054F">
                    <w:pPr>
                      <w:rPr>
                        <w:sz w:val="18"/>
                      </w:rPr>
                    </w:pPr>
                    <w:r w:rsidRPr="007B145C">
                      <w:rPr>
                        <w:sz w:val="18"/>
                      </w:rPr>
                      <w:t>Ա</w:t>
                    </w:r>
                  </w:p>
                </w:txbxContent>
              </v:textbox>
            </v:rect>
            <v:rect id="_x0000_s1503" style="position:absolute;left:5033;top:3641;width:1154;height:494" stroked="f">
              <v:textbox style="mso-next-textbox:#_x0000_s1503">
                <w:txbxContent>
                  <w:p w14:paraId="2D9F1F83" w14:textId="77777777" w:rsidR="008D6E8B" w:rsidRPr="007B145C" w:rsidRDefault="008D6E8B" w:rsidP="007B145C">
                    <w:pPr>
                      <w:jc w:val="center"/>
                      <w:rPr>
                        <w:sz w:val="12"/>
                      </w:rPr>
                    </w:pPr>
                    <w:r w:rsidRPr="007B145C">
                      <w:rPr>
                        <w:sz w:val="12"/>
                      </w:rPr>
                      <w:t>կարգավորիչ կափույր</w:t>
                    </w:r>
                  </w:p>
                </w:txbxContent>
              </v:textbox>
            </v:rect>
          </v:group>
        </w:pict>
      </w:r>
      <w:r w:rsidR="0035054F" w:rsidRPr="00E345B2">
        <w:rPr>
          <w:noProof/>
          <w:lang w:val="en-US" w:eastAsia="en-US" w:bidi="ar-SA"/>
        </w:rPr>
        <w:drawing>
          <wp:inline distT="0" distB="0" distL="0" distR="0" wp14:anchorId="4C91F89C" wp14:editId="16FB5EF4">
            <wp:extent cx="5191305" cy="2584458"/>
            <wp:effectExtent l="19050" t="0" r="9345" b="0"/>
            <wp:docPr id="111" name="Picture 1"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4"/>
                    <pic:cNvPicPr>
                      <a:picLocks noChangeAspect="1" noChangeArrowheads="1"/>
                    </pic:cNvPicPr>
                  </pic:nvPicPr>
                  <pic:blipFill>
                    <a:blip r:embed="rId166" cstate="print"/>
                    <a:srcRect/>
                    <a:stretch>
                      <a:fillRect/>
                    </a:stretch>
                  </pic:blipFill>
                  <pic:spPr bwMode="auto">
                    <a:xfrm>
                      <a:off x="0" y="0"/>
                      <a:ext cx="5190798" cy="2584205"/>
                    </a:xfrm>
                    <a:prstGeom prst="rect">
                      <a:avLst/>
                    </a:prstGeom>
                    <a:noFill/>
                    <a:ln w="9525">
                      <a:noFill/>
                      <a:miter lim="800000"/>
                      <a:headEnd/>
                      <a:tailEnd/>
                    </a:ln>
                  </pic:spPr>
                </pic:pic>
              </a:graphicData>
            </a:graphic>
          </wp:inline>
        </w:drawing>
      </w:r>
    </w:p>
    <w:p w14:paraId="04DA70B7" w14:textId="77777777" w:rsidR="0035054F" w:rsidRPr="004A289F" w:rsidRDefault="0035054F" w:rsidP="004A289F">
      <w:pPr>
        <w:spacing w:after="160" w:line="360" w:lineRule="auto"/>
        <w:jc w:val="center"/>
        <w:rPr>
          <w:sz w:val="20"/>
        </w:rPr>
      </w:pPr>
      <w:r w:rsidRPr="004A289F">
        <w:rPr>
          <w:sz w:val="20"/>
        </w:rPr>
        <w:t>Նկար 2.5.3.2-2. Փոշիային ինհալատորներով մատակարարվող (ձերբազատվող) դեղաչափերի միատարրությունը որոշելու համար նախատեսված սարք</w:t>
      </w:r>
    </w:p>
    <w:p w14:paraId="4B22DBA5" w14:textId="77777777" w:rsidR="0035054F" w:rsidRPr="00E345B2" w:rsidRDefault="0035054F" w:rsidP="0035054F">
      <w:pPr>
        <w:spacing w:after="160" w:line="360" w:lineRule="auto"/>
      </w:pPr>
    </w:p>
    <w:p w14:paraId="13512781" w14:textId="77777777" w:rsidR="0035054F" w:rsidRPr="00E345B2" w:rsidRDefault="0035054F" w:rsidP="0035054F">
      <w:pPr>
        <w:spacing w:after="160" w:line="360" w:lineRule="auto"/>
      </w:pPr>
      <w:r w:rsidRPr="00E345B2">
        <w:br w:type="page"/>
      </w:r>
    </w:p>
    <w:p w14:paraId="2B653C2F" w14:textId="77777777" w:rsidR="0035054F" w:rsidRPr="00E345B2" w:rsidRDefault="0035054F" w:rsidP="004A289F">
      <w:pPr>
        <w:spacing w:after="160" w:line="360" w:lineRule="auto"/>
        <w:ind w:firstLine="567"/>
        <w:jc w:val="both"/>
      </w:pPr>
      <w:r w:rsidRPr="00E345B2">
        <w:lastRenderedPageBreak/>
        <w:t>Աղյուսակ 2.5.3.2-1. Փոշիային ինհալատորներով մատակարարվող (ձերբազատվող) դեղաչափերի միատարրությունը որոշելու համար նախատեսված սարքի տարրերի նկարագրությունը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
        <w:gridCol w:w="2723"/>
        <w:gridCol w:w="5209"/>
      </w:tblGrid>
      <w:tr w:rsidR="0035054F" w:rsidRPr="004A289F" w14:paraId="121E7F6B" w14:textId="77777777" w:rsidTr="0035054F">
        <w:tc>
          <w:tcPr>
            <w:tcW w:w="959" w:type="dxa"/>
            <w:tcBorders>
              <w:top w:val="single" w:sz="4" w:space="0" w:color="auto"/>
              <w:bottom w:val="single" w:sz="4" w:space="0" w:color="auto"/>
            </w:tcBorders>
          </w:tcPr>
          <w:p w14:paraId="65C29304"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Ծածկագիրը</w:t>
            </w:r>
          </w:p>
        </w:tc>
        <w:tc>
          <w:tcPr>
            <w:tcW w:w="2835" w:type="dxa"/>
            <w:tcBorders>
              <w:top w:val="single" w:sz="4" w:space="0" w:color="auto"/>
              <w:bottom w:val="single" w:sz="4" w:space="0" w:color="auto"/>
            </w:tcBorders>
          </w:tcPr>
          <w:p w14:paraId="748EE647"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Սարքի տարրը</w:t>
            </w:r>
          </w:p>
        </w:tc>
        <w:tc>
          <w:tcPr>
            <w:tcW w:w="5493" w:type="dxa"/>
            <w:tcBorders>
              <w:top w:val="single" w:sz="4" w:space="0" w:color="auto"/>
              <w:bottom w:val="single" w:sz="4" w:space="0" w:color="auto"/>
            </w:tcBorders>
          </w:tcPr>
          <w:p w14:paraId="29252C3A"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Նկարագրությունը</w:t>
            </w:r>
          </w:p>
        </w:tc>
      </w:tr>
      <w:tr w:rsidR="0035054F" w:rsidRPr="004A289F" w14:paraId="46541105" w14:textId="77777777" w:rsidTr="0035054F">
        <w:tc>
          <w:tcPr>
            <w:tcW w:w="959" w:type="dxa"/>
            <w:tcBorders>
              <w:top w:val="single" w:sz="4" w:space="0" w:color="auto"/>
            </w:tcBorders>
          </w:tcPr>
          <w:p w14:paraId="370AF740"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Ա</w:t>
            </w:r>
          </w:p>
        </w:tc>
        <w:tc>
          <w:tcPr>
            <w:tcW w:w="2835" w:type="dxa"/>
            <w:tcBorders>
              <w:top w:val="single" w:sz="4" w:space="0" w:color="auto"/>
            </w:tcBorders>
          </w:tcPr>
          <w:p w14:paraId="3ABC21C0"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Նմուշի հավաքման համար նախատեսված գլան</w:t>
            </w:r>
          </w:p>
        </w:tc>
        <w:tc>
          <w:tcPr>
            <w:tcW w:w="5493" w:type="dxa"/>
            <w:tcBorders>
              <w:top w:val="single" w:sz="4" w:space="0" w:color="auto"/>
            </w:tcBorders>
          </w:tcPr>
          <w:p w14:paraId="5E6791DF"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Ազդող նյութի քանակական ընտրություն։ Համանման է 2.5.2.2-1 նկարում պատկերված՝ 34,85 մմ (ներքին տրամագիծ) х 12 սմ (երկարություն) չափեր ունեցող գլանին</w:t>
            </w:r>
          </w:p>
        </w:tc>
      </w:tr>
      <w:tr w:rsidR="0035054F" w:rsidRPr="004A289F" w14:paraId="2EC9712E" w14:textId="77777777" w:rsidTr="0035054F">
        <w:tc>
          <w:tcPr>
            <w:tcW w:w="959" w:type="dxa"/>
          </w:tcPr>
          <w:p w14:paraId="221DD412"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Բ</w:t>
            </w:r>
          </w:p>
        </w:tc>
        <w:tc>
          <w:tcPr>
            <w:tcW w:w="2835" w:type="dxa"/>
          </w:tcPr>
          <w:p w14:paraId="6D5D758D"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Զտիչ</w:t>
            </w:r>
          </w:p>
        </w:tc>
        <w:tc>
          <w:tcPr>
            <w:tcW w:w="5493" w:type="dxa"/>
          </w:tcPr>
          <w:p w14:paraId="35739936" w14:textId="77777777" w:rsidR="0035054F" w:rsidRPr="004A289F" w:rsidRDefault="0035054F" w:rsidP="004A289F">
            <w:pPr>
              <w:spacing w:after="120"/>
              <w:rPr>
                <w:rFonts w:ascii="Sylfaen" w:hAnsi="Sylfaen"/>
                <w:sz w:val="20"/>
                <w:szCs w:val="24"/>
              </w:rPr>
            </w:pPr>
            <w:r w:rsidRPr="004A289F">
              <w:rPr>
                <w:rFonts w:ascii="Sylfaen" w:hAnsi="Sylfaen"/>
                <w:sz w:val="20"/>
                <w:szCs w:val="24"/>
              </w:rPr>
              <w:t>47 մմ զտիչ, օրինակ՝ ապակյա թելքավոր զտիչ</w:t>
            </w:r>
          </w:p>
        </w:tc>
      </w:tr>
      <w:tr w:rsidR="0035054F" w:rsidRPr="004A289F" w14:paraId="0EA545ED" w14:textId="77777777" w:rsidTr="0035054F">
        <w:tc>
          <w:tcPr>
            <w:tcW w:w="959" w:type="dxa"/>
          </w:tcPr>
          <w:p w14:paraId="0107ACE9"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Գ</w:t>
            </w:r>
          </w:p>
        </w:tc>
        <w:tc>
          <w:tcPr>
            <w:tcW w:w="2835" w:type="dxa"/>
          </w:tcPr>
          <w:p w14:paraId="1E8106CB"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Միակցիչ</w:t>
            </w:r>
          </w:p>
        </w:tc>
        <w:tc>
          <w:tcPr>
            <w:tcW w:w="5493" w:type="dxa"/>
          </w:tcPr>
          <w:p w14:paraId="56EE4A4D" w14:textId="77777777" w:rsidR="0035054F" w:rsidRPr="004A289F" w:rsidRDefault="0035054F" w:rsidP="004A289F">
            <w:pPr>
              <w:spacing w:after="120"/>
              <w:rPr>
                <w:rFonts w:ascii="Sylfaen" w:hAnsi="Sylfaen"/>
                <w:sz w:val="20"/>
                <w:szCs w:val="24"/>
              </w:rPr>
            </w:pPr>
            <w:r w:rsidRPr="004A289F">
              <w:rPr>
                <w:rFonts w:ascii="Sylfaen" w:hAnsi="Sylfaen"/>
                <w:sz w:val="20"/>
                <w:szCs w:val="24"/>
              </w:rPr>
              <w:t xml:space="preserve">Ներքին տրամագիծ՝ </w:t>
            </w:r>
            <m:oMath>
              <m:r>
                <m:rPr>
                  <m:sty m:val="p"/>
                </m:rPr>
                <w:rPr>
                  <w:rFonts w:ascii="GHEA Grapalat" w:hAnsi="Sylfaen"/>
                  <w:sz w:val="20"/>
                  <w:szCs w:val="24"/>
                </w:rPr>
                <m:t>≥</m:t>
              </m:r>
            </m:oMath>
            <w:r w:rsidRPr="004A289F">
              <w:rPr>
                <w:rFonts w:ascii="Sylfaen" w:hAnsi="Sylfaen"/>
                <w:sz w:val="20"/>
                <w:szCs w:val="24"/>
              </w:rPr>
              <w:t>8 մմ, օրինակ՝ կարճ մետաղական կցորդիչ՝ ՌЗ-ին միացող ավելի փոքր տրամագծով արտաթողով</w:t>
            </w:r>
          </w:p>
        </w:tc>
      </w:tr>
      <w:tr w:rsidR="0035054F" w:rsidRPr="004A289F" w14:paraId="01F3488A" w14:textId="77777777" w:rsidTr="0035054F">
        <w:tc>
          <w:tcPr>
            <w:tcW w:w="959" w:type="dxa"/>
          </w:tcPr>
          <w:p w14:paraId="75785E13"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Դ</w:t>
            </w:r>
          </w:p>
        </w:tc>
        <w:tc>
          <w:tcPr>
            <w:tcW w:w="2835" w:type="dxa"/>
          </w:tcPr>
          <w:p w14:paraId="25BDFBF6"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Վակուումային խողովակ</w:t>
            </w:r>
          </w:p>
        </w:tc>
        <w:tc>
          <w:tcPr>
            <w:tcW w:w="5493" w:type="dxa"/>
          </w:tcPr>
          <w:p w14:paraId="0477C5FE" w14:textId="77777777" w:rsidR="0035054F" w:rsidRPr="004A289F" w:rsidRDefault="0035054F" w:rsidP="004A289F">
            <w:pPr>
              <w:spacing w:after="120"/>
              <w:rPr>
                <w:rFonts w:ascii="Sylfaen" w:hAnsi="Sylfaen"/>
                <w:sz w:val="20"/>
                <w:szCs w:val="24"/>
              </w:rPr>
            </w:pPr>
            <w:r w:rsidRPr="004A289F">
              <w:rPr>
                <w:rFonts w:ascii="Sylfaen" w:hAnsi="Sylfaen"/>
                <w:sz w:val="20"/>
                <w:szCs w:val="24"/>
              </w:rPr>
              <w:t xml:space="preserve">Խողովակ </w:t>
            </w:r>
            <m:oMath>
              <m:r>
                <m:rPr>
                  <m:sty m:val="p"/>
                </m:rPr>
                <w:rPr>
                  <w:rFonts w:ascii="GHEA Grapalat" w:hAnsi="Sylfaen"/>
                  <w:sz w:val="20"/>
                  <w:szCs w:val="24"/>
                </w:rPr>
                <m:t>≥</m:t>
              </m:r>
            </m:oMath>
            <w:r w:rsidRPr="004A289F">
              <w:rPr>
                <w:rFonts w:ascii="Sylfaen" w:hAnsi="Sylfaen"/>
                <w:sz w:val="20"/>
                <w:szCs w:val="24"/>
              </w:rPr>
              <w:t xml:space="preserve"> 8 մմ (ներքին տրամագիծ), (25 ± 5) մլ ներքին ծավալի համար բավարար երկարությամբ, օրինակ՝ սիլիկոնային</w:t>
            </w:r>
          </w:p>
        </w:tc>
      </w:tr>
      <w:tr w:rsidR="0035054F" w:rsidRPr="004A289F" w14:paraId="6221F678" w14:textId="77777777" w:rsidTr="0035054F">
        <w:tc>
          <w:tcPr>
            <w:tcW w:w="959" w:type="dxa"/>
          </w:tcPr>
          <w:p w14:paraId="6D329080"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Ե</w:t>
            </w:r>
          </w:p>
        </w:tc>
        <w:tc>
          <w:tcPr>
            <w:tcW w:w="2835" w:type="dxa"/>
          </w:tcPr>
          <w:p w14:paraId="47DE6B73"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Երկկողմ կափույր</w:t>
            </w:r>
          </w:p>
        </w:tc>
        <w:tc>
          <w:tcPr>
            <w:tcW w:w="5493" w:type="dxa"/>
          </w:tcPr>
          <w:p w14:paraId="3ACCE961" w14:textId="77777777" w:rsidR="0035054F" w:rsidRPr="004A289F" w:rsidRDefault="0035054F" w:rsidP="004A289F">
            <w:pPr>
              <w:spacing w:after="120"/>
              <w:rPr>
                <w:rFonts w:ascii="Sylfaen" w:hAnsi="Sylfaen"/>
                <w:sz w:val="20"/>
                <w:szCs w:val="24"/>
              </w:rPr>
            </w:pPr>
            <w:r w:rsidRPr="004A289F">
              <w:rPr>
                <w:rFonts w:ascii="Sylfaen" w:hAnsi="Sylfaen"/>
                <w:sz w:val="20"/>
                <w:szCs w:val="24"/>
              </w:rPr>
              <w:t xml:space="preserve">Երկկողմ, երկու անցք ունեցող էլեկտրամագնիսական կափույր՝ օդի հոսքի նկատմամբ նվազագույն դիմադրությամբ, </w:t>
            </w:r>
            <m:oMath>
              <m:r>
                <m:rPr>
                  <m:sty m:val="p"/>
                </m:rPr>
                <w:rPr>
                  <w:rFonts w:ascii="GHEA Grapalat" w:hAnsi="Sylfaen"/>
                  <w:sz w:val="20"/>
                  <w:szCs w:val="24"/>
                </w:rPr>
                <m:t>≥</m:t>
              </m:r>
            </m:oMath>
            <w:r w:rsidRPr="004A289F">
              <w:rPr>
                <w:rFonts w:ascii="Sylfaen" w:hAnsi="Sylfaen"/>
                <w:sz w:val="20"/>
                <w:szCs w:val="24"/>
              </w:rPr>
              <w:t xml:space="preserve">8 մմ ներքին տրամագծով եւ </w:t>
            </w:r>
            <m:oMath>
              <m:r>
                <m:rPr>
                  <m:sty m:val="p"/>
                </m:rPr>
                <w:rPr>
                  <w:rFonts w:ascii="GHEA Grapalat" w:hAnsi="Sylfaen"/>
                  <w:sz w:val="20"/>
                  <w:szCs w:val="24"/>
                </w:rPr>
                <m:t>≤</m:t>
              </m:r>
            </m:oMath>
            <w:r w:rsidRPr="004A289F">
              <w:rPr>
                <w:rFonts w:ascii="Sylfaen" w:hAnsi="Sylfaen"/>
                <w:sz w:val="20"/>
                <w:szCs w:val="24"/>
              </w:rPr>
              <w:t>100 մվ ռեակցիայի ժամանակով</w:t>
            </w:r>
          </w:p>
        </w:tc>
      </w:tr>
      <w:tr w:rsidR="0035054F" w:rsidRPr="004A289F" w14:paraId="46373F50" w14:textId="77777777" w:rsidTr="0035054F">
        <w:tc>
          <w:tcPr>
            <w:tcW w:w="959" w:type="dxa"/>
          </w:tcPr>
          <w:p w14:paraId="4BF93754"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Զ</w:t>
            </w:r>
          </w:p>
        </w:tc>
        <w:tc>
          <w:tcPr>
            <w:tcW w:w="2835" w:type="dxa"/>
          </w:tcPr>
          <w:p w14:paraId="32CC7446"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Վակուումային պոմպ</w:t>
            </w:r>
          </w:p>
        </w:tc>
        <w:tc>
          <w:tcPr>
            <w:tcW w:w="5493" w:type="dxa"/>
          </w:tcPr>
          <w:p w14:paraId="68956457" w14:textId="77777777" w:rsidR="0035054F" w:rsidRPr="004A289F" w:rsidRDefault="0035054F" w:rsidP="004A289F">
            <w:pPr>
              <w:spacing w:after="120"/>
              <w:rPr>
                <w:rFonts w:ascii="Sylfaen" w:hAnsi="Sylfaen"/>
                <w:sz w:val="20"/>
                <w:szCs w:val="24"/>
              </w:rPr>
            </w:pPr>
            <w:r w:rsidRPr="004A289F">
              <w:rPr>
                <w:rFonts w:ascii="Sylfaen" w:hAnsi="Sylfaen"/>
                <w:sz w:val="20"/>
                <w:szCs w:val="24"/>
              </w:rPr>
              <w:t xml:space="preserve">Պոմպը պետք է ապահովի հավաքված համակարգի միջով օդի հոսքի բավարար արագություն։ Պոմպը երկկողմ կափույրին են միացնում վակուումային խողովակի օգնությամբ (ներքին տրամագիծը՝ </w:t>
            </w:r>
            <m:oMath>
              <m:r>
                <m:rPr>
                  <m:sty m:val="p"/>
                </m:rPr>
                <w:rPr>
                  <w:rFonts w:ascii="GHEA Grapalat" w:hAnsi="Sylfaen"/>
                  <w:sz w:val="20"/>
                  <w:szCs w:val="24"/>
                </w:rPr>
                <m:t>≥</m:t>
              </m:r>
            </m:oMath>
            <w:r w:rsidRPr="004A289F">
              <w:rPr>
                <w:rFonts w:ascii="Sylfaen" w:hAnsi="Sylfaen"/>
                <w:sz w:val="20"/>
                <w:szCs w:val="24"/>
              </w:rPr>
              <w:t>10 մմ)</w:t>
            </w:r>
          </w:p>
        </w:tc>
      </w:tr>
      <w:tr w:rsidR="0035054F" w:rsidRPr="004A289F" w14:paraId="39EFC683" w14:textId="77777777" w:rsidTr="0035054F">
        <w:tc>
          <w:tcPr>
            <w:tcW w:w="959" w:type="dxa"/>
          </w:tcPr>
          <w:p w14:paraId="5084B482"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Է</w:t>
            </w:r>
          </w:p>
        </w:tc>
        <w:tc>
          <w:tcPr>
            <w:tcW w:w="2835" w:type="dxa"/>
          </w:tcPr>
          <w:p w14:paraId="0E0DADE8"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Թայմեր</w:t>
            </w:r>
          </w:p>
        </w:tc>
        <w:tc>
          <w:tcPr>
            <w:tcW w:w="5493" w:type="dxa"/>
          </w:tcPr>
          <w:p w14:paraId="3DD5461E"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Թայմեր, որն ունակ է երկկողմ կափույրը կառավարել անհրաժեշտ ժամանակի ընթացքում</w:t>
            </w:r>
          </w:p>
        </w:tc>
      </w:tr>
      <w:tr w:rsidR="0035054F" w:rsidRPr="004A289F" w14:paraId="404913E4" w14:textId="77777777" w:rsidTr="0035054F">
        <w:tc>
          <w:tcPr>
            <w:tcW w:w="959" w:type="dxa"/>
          </w:tcPr>
          <w:p w14:paraId="3E9F72B8" w14:textId="77777777" w:rsidR="0035054F" w:rsidRPr="004A289F" w:rsidRDefault="0035054F" w:rsidP="004A289F">
            <w:pPr>
              <w:spacing w:after="120"/>
              <w:rPr>
                <w:rFonts w:ascii="Sylfaen" w:hAnsi="Sylfaen"/>
                <w:sz w:val="20"/>
                <w:szCs w:val="24"/>
              </w:rPr>
            </w:pPr>
            <w:r w:rsidRPr="004A289F">
              <w:rPr>
                <w:rFonts w:ascii="Sylfaen" w:hAnsi="Sylfaen"/>
                <w:sz w:val="20"/>
                <w:szCs w:val="24"/>
              </w:rPr>
              <w:t>Р1</w:t>
            </w:r>
          </w:p>
        </w:tc>
        <w:tc>
          <w:tcPr>
            <w:tcW w:w="2835" w:type="dxa"/>
          </w:tcPr>
          <w:p w14:paraId="0600E29A"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Մանոմետրին միացող արտաթող</w:t>
            </w:r>
          </w:p>
        </w:tc>
        <w:tc>
          <w:tcPr>
            <w:tcW w:w="5493" w:type="dxa"/>
          </w:tcPr>
          <w:p w14:paraId="6B01D4AE" w14:textId="77777777" w:rsidR="0035054F" w:rsidRPr="004A289F" w:rsidRDefault="0035054F" w:rsidP="004A289F">
            <w:pPr>
              <w:spacing w:after="120"/>
              <w:rPr>
                <w:rFonts w:ascii="Sylfaen" w:hAnsi="Sylfaen"/>
                <w:sz w:val="20"/>
                <w:szCs w:val="24"/>
              </w:rPr>
            </w:pPr>
            <w:r w:rsidRPr="004A289F">
              <w:rPr>
                <w:rFonts w:ascii="Sylfaen" w:hAnsi="Sylfaen"/>
                <w:sz w:val="20"/>
                <w:szCs w:val="24"/>
              </w:rPr>
              <w:t>2,2 մմ (ներքին տրամագիծ), 3,1 մմ (արտաքին տրամագիծ), գտնվում է նմուշի հավաքման համար նախատեսված խողովակի ներսի կողմի հետ նույն մակարդակի վրա, կենտրոնարկված է մուտքի անցքից 59 մմ հեռավորության վրա, հարթ մակերեւույթ ունի։ Р1 ճնշման կարգավորիչը երբեք չպետք է բացվի դեպի մթնոլորտ։ Մթնոլորտայինի նկատմամբ ճնշումը չափվում է Р</w:t>
            </w:r>
            <w:r w:rsidRPr="004A289F">
              <w:rPr>
                <w:rFonts w:ascii="Sylfaen" w:hAnsi="Sylfaen"/>
                <w:sz w:val="20"/>
                <w:szCs w:val="24"/>
                <w:vertAlign w:val="subscript"/>
              </w:rPr>
              <w:t>1</w:t>
            </w:r>
            <w:r w:rsidRPr="004A289F">
              <w:rPr>
                <w:rFonts w:ascii="Sylfaen" w:hAnsi="Sylfaen"/>
                <w:sz w:val="20"/>
                <w:szCs w:val="24"/>
              </w:rPr>
              <w:t xml:space="preserve"> </w:t>
            </w:r>
          </w:p>
        </w:tc>
      </w:tr>
      <w:tr w:rsidR="0035054F" w:rsidRPr="004A289F" w14:paraId="5F2487E4" w14:textId="77777777" w:rsidTr="0035054F">
        <w:tc>
          <w:tcPr>
            <w:tcW w:w="959" w:type="dxa"/>
          </w:tcPr>
          <w:p w14:paraId="4E8CF542" w14:textId="77777777" w:rsidR="0035054F" w:rsidRPr="004A289F" w:rsidRDefault="0035054F" w:rsidP="004A289F">
            <w:pPr>
              <w:spacing w:after="120"/>
              <w:rPr>
                <w:rFonts w:ascii="Sylfaen" w:hAnsi="Sylfaen"/>
                <w:sz w:val="20"/>
                <w:szCs w:val="24"/>
              </w:rPr>
            </w:pPr>
            <w:r w:rsidRPr="004A289F">
              <w:rPr>
                <w:rFonts w:ascii="Sylfaen" w:hAnsi="Sylfaen"/>
                <w:sz w:val="20"/>
                <w:szCs w:val="24"/>
              </w:rPr>
              <w:t xml:space="preserve">Р2 </w:t>
            </w:r>
          </w:p>
        </w:tc>
        <w:tc>
          <w:tcPr>
            <w:tcW w:w="2835" w:type="dxa"/>
          </w:tcPr>
          <w:p w14:paraId="10A9C03E"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Ճնշման չափիչներ</w:t>
            </w:r>
          </w:p>
        </w:tc>
        <w:tc>
          <w:tcPr>
            <w:tcW w:w="5493" w:type="dxa"/>
          </w:tcPr>
          <w:p w14:paraId="5B40C724"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Բացարձակ ճնշման չափիչներ</w:t>
            </w:r>
          </w:p>
        </w:tc>
      </w:tr>
      <w:tr w:rsidR="0035054F" w:rsidRPr="004A289F" w14:paraId="088FBD98" w14:textId="77777777" w:rsidTr="0035054F">
        <w:tc>
          <w:tcPr>
            <w:tcW w:w="959" w:type="dxa"/>
          </w:tcPr>
          <w:p w14:paraId="177E318A" w14:textId="77777777" w:rsidR="0035054F" w:rsidRPr="004A289F" w:rsidRDefault="0035054F" w:rsidP="004A289F">
            <w:pPr>
              <w:spacing w:after="120"/>
              <w:rPr>
                <w:rFonts w:ascii="Sylfaen" w:hAnsi="Sylfaen"/>
                <w:sz w:val="20"/>
                <w:szCs w:val="24"/>
              </w:rPr>
            </w:pPr>
            <w:r w:rsidRPr="004A289F">
              <w:rPr>
                <w:rFonts w:ascii="Sylfaen" w:hAnsi="Sylfaen"/>
                <w:sz w:val="20"/>
                <w:szCs w:val="24"/>
              </w:rPr>
              <w:t>РЗ</w:t>
            </w:r>
          </w:p>
        </w:tc>
        <w:tc>
          <w:tcPr>
            <w:tcW w:w="2835" w:type="dxa"/>
          </w:tcPr>
          <w:p w14:paraId="5F3F2A56" w14:textId="77777777" w:rsidR="0035054F" w:rsidRPr="004A289F" w:rsidRDefault="0035054F" w:rsidP="004A289F">
            <w:pPr>
              <w:spacing w:after="120"/>
              <w:rPr>
                <w:rFonts w:ascii="Sylfaen" w:hAnsi="Sylfaen"/>
                <w:sz w:val="20"/>
                <w:szCs w:val="24"/>
              </w:rPr>
            </w:pPr>
          </w:p>
        </w:tc>
        <w:tc>
          <w:tcPr>
            <w:tcW w:w="5493" w:type="dxa"/>
          </w:tcPr>
          <w:p w14:paraId="15480FB8" w14:textId="77777777" w:rsidR="0035054F" w:rsidRPr="004A289F" w:rsidRDefault="0035054F" w:rsidP="004A289F">
            <w:pPr>
              <w:spacing w:after="120"/>
              <w:rPr>
                <w:rFonts w:ascii="Sylfaen" w:hAnsi="Sylfaen"/>
                <w:sz w:val="20"/>
                <w:szCs w:val="24"/>
              </w:rPr>
            </w:pPr>
          </w:p>
        </w:tc>
      </w:tr>
      <w:tr w:rsidR="0035054F" w:rsidRPr="004A289F" w14:paraId="6E4A8CAC" w14:textId="77777777" w:rsidTr="0035054F">
        <w:tc>
          <w:tcPr>
            <w:tcW w:w="959" w:type="dxa"/>
            <w:tcBorders>
              <w:bottom w:val="single" w:sz="4" w:space="0" w:color="auto"/>
            </w:tcBorders>
          </w:tcPr>
          <w:p w14:paraId="0D692918"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Ը</w:t>
            </w:r>
          </w:p>
        </w:tc>
        <w:tc>
          <w:tcPr>
            <w:tcW w:w="2835" w:type="dxa"/>
            <w:tcBorders>
              <w:bottom w:val="single" w:sz="4" w:space="0" w:color="auto"/>
            </w:tcBorders>
          </w:tcPr>
          <w:p w14:paraId="165A2C07" w14:textId="77777777" w:rsidR="0035054F" w:rsidRPr="004A289F" w:rsidRDefault="0035054F" w:rsidP="004A289F">
            <w:pPr>
              <w:spacing w:after="120"/>
              <w:rPr>
                <w:rFonts w:ascii="Sylfaen" w:hAnsi="Sylfaen"/>
                <w:sz w:val="20"/>
                <w:szCs w:val="24"/>
              </w:rPr>
            </w:pPr>
            <w:r w:rsidRPr="004A289F">
              <w:rPr>
                <w:rFonts w:ascii="Sylfaen" w:hAnsi="Sylfaen"/>
                <w:sz w:val="20"/>
                <w:szCs w:val="24"/>
              </w:rPr>
              <w:t>Կարգավորիչ կափույր</w:t>
            </w:r>
          </w:p>
        </w:tc>
        <w:tc>
          <w:tcPr>
            <w:tcW w:w="5493" w:type="dxa"/>
            <w:tcBorders>
              <w:bottom w:val="single" w:sz="4" w:space="0" w:color="auto"/>
            </w:tcBorders>
          </w:tcPr>
          <w:p w14:paraId="1C57C5C3" w14:textId="77777777" w:rsidR="0035054F" w:rsidRPr="004A289F" w:rsidRDefault="0035054F" w:rsidP="004A289F">
            <w:pPr>
              <w:spacing w:after="120"/>
              <w:rPr>
                <w:rFonts w:ascii="Sylfaen" w:hAnsi="Sylfaen"/>
                <w:sz w:val="20"/>
                <w:szCs w:val="24"/>
              </w:rPr>
            </w:pPr>
            <w:r w:rsidRPr="004A289F">
              <w:rPr>
                <w:rFonts w:ascii="Sylfaen" w:hAnsi="Sylfaen"/>
                <w:sz w:val="20"/>
                <w:szCs w:val="24"/>
              </w:rPr>
              <w:t>С</w:t>
            </w:r>
            <w:r w:rsidRPr="004A289F">
              <w:rPr>
                <w:rFonts w:ascii="Sylfaen" w:hAnsi="Sylfaen"/>
                <w:sz w:val="20"/>
                <w:szCs w:val="24"/>
                <w:vertAlign w:val="subscript"/>
              </w:rPr>
              <w:t>v</w:t>
            </w:r>
            <w:r w:rsidRPr="004A289F">
              <w:rPr>
                <w:rFonts w:ascii="Sylfaen" w:hAnsi="Sylfaen"/>
                <w:sz w:val="20"/>
                <w:szCs w:val="24"/>
              </w:rPr>
              <w:t xml:space="preserve"> </w:t>
            </w:r>
            <m:oMath>
              <m:r>
                <m:rPr>
                  <m:sty m:val="p"/>
                </m:rPr>
                <w:rPr>
                  <w:rFonts w:ascii="GHEA Grapalat" w:hAnsi="Sylfaen"/>
                  <w:sz w:val="20"/>
                  <w:szCs w:val="24"/>
                </w:rPr>
                <m:t>≥</m:t>
              </m:r>
            </m:oMath>
            <w:r w:rsidRPr="004A289F">
              <w:rPr>
                <w:rFonts w:ascii="Sylfaen" w:hAnsi="Sylfaen"/>
                <w:sz w:val="20"/>
                <w:szCs w:val="24"/>
              </w:rPr>
              <w:t>1 առավելագույն արժեքով օդի հոսքը կարգավորող կափույր</w:t>
            </w:r>
          </w:p>
        </w:tc>
      </w:tr>
    </w:tbl>
    <w:p w14:paraId="3D03A396" w14:textId="77777777" w:rsidR="0035054F" w:rsidRPr="00E345B2" w:rsidRDefault="0035054F" w:rsidP="0035054F">
      <w:pPr>
        <w:spacing w:after="160" w:line="360" w:lineRule="auto"/>
      </w:pPr>
    </w:p>
    <w:p w14:paraId="4FA78A22" w14:textId="77777777" w:rsidR="0035054F" w:rsidRPr="00E345B2" w:rsidRDefault="0035054F" w:rsidP="004A289F">
      <w:pPr>
        <w:spacing w:after="160" w:line="360" w:lineRule="auto"/>
        <w:ind w:firstLine="567"/>
        <w:jc w:val="both"/>
      </w:pPr>
      <w:r w:rsidRPr="00E345B2">
        <w:t>Հոսքի կարգավորիչի մեջ օդի պահանջվող հոսքի առկայությունն ստուգում են հետ</w:t>
      </w:r>
      <w:r>
        <w:t>եւ</w:t>
      </w:r>
      <w:r w:rsidRPr="00E345B2">
        <w:t xml:space="preserve">յալ կերպ. միացված ինհալատորով </w:t>
      </w:r>
      <w:r>
        <w:t>եւ</w:t>
      </w:r>
      <w:r w:rsidRPr="00E345B2">
        <w:t xml:space="preserve"> հոսքի սահմանված արագության դեպքում կարգավորիչ կափույրի երկու կողմերից չափում են բացարձակ ճնշումը, </w:t>
      </w:r>
      <w:r w:rsidRPr="00E345B2">
        <w:lastRenderedPageBreak/>
        <w:t>նկար 2.5.3.2-2 (Р</w:t>
      </w:r>
      <w:r w:rsidRPr="00E345B2">
        <w:rPr>
          <w:vertAlign w:val="subscript"/>
        </w:rPr>
        <w:t>2</w:t>
      </w:r>
      <w:r w:rsidRPr="00E345B2">
        <w:t xml:space="preserve"> </w:t>
      </w:r>
      <w:r>
        <w:t>եւ</w:t>
      </w:r>
      <w:r w:rsidRPr="00E345B2">
        <w:t xml:space="preserve"> Р</w:t>
      </w:r>
      <w:r w:rsidRPr="00E345B2">
        <w:rPr>
          <w:vertAlign w:val="subscript"/>
        </w:rPr>
        <w:t>3</w:t>
      </w:r>
      <w:r w:rsidRPr="00E345B2">
        <w:t xml:space="preserve"> չափման կետեր)։ РЗ/Р2 հարաբերակցությունը պետք է կազմի </w:t>
      </w:r>
      <m:oMath>
        <m:r>
          <m:rPr>
            <m:sty m:val="p"/>
          </m:rPr>
          <w:rPr>
            <w:rFonts w:ascii="GHEA Grapalat"/>
          </w:rPr>
          <m:t>≤</m:t>
        </m:r>
        <m:r>
          <m:rPr>
            <m:sty m:val="b"/>
          </m:rPr>
          <w:rPr>
            <w:rFonts w:ascii="Cambria Math" w:hAnsi="Cambria Math"/>
          </w:rPr>
          <m:t>0</m:t>
        </m:r>
        <m:r>
          <m:rPr>
            <m:sty m:val="p"/>
          </m:rPr>
          <w:rPr>
            <w:rFonts w:ascii="Cambria Math"/>
          </w:rPr>
          <m:t>,</m:t>
        </m:r>
        <m:r>
          <m:rPr>
            <m:sty m:val="b"/>
          </m:rPr>
          <w:rPr>
            <w:rFonts w:ascii="Cambria Math" w:hAnsi="Cambria Math"/>
          </w:rPr>
          <m:t>5</m:t>
        </m:r>
      </m:oMath>
      <w:r w:rsidRPr="00E345B2">
        <w:t xml:space="preserve">, հակառակ դեպքում ավելացնում են պոմպի հզորությունը </w:t>
      </w:r>
      <w:r>
        <w:t>եւ</w:t>
      </w:r>
      <w:r w:rsidRPr="00E345B2">
        <w:t xml:space="preserve"> կրկնում չափումները։</w:t>
      </w:r>
    </w:p>
    <w:p w14:paraId="696B0F9E" w14:textId="77777777" w:rsidR="0035054F" w:rsidRPr="00E345B2" w:rsidRDefault="0035054F" w:rsidP="004A289F">
      <w:pPr>
        <w:spacing w:after="160" w:line="360" w:lineRule="auto"/>
        <w:ind w:firstLine="567"/>
        <w:jc w:val="both"/>
      </w:pPr>
      <w:r w:rsidRPr="00E345B2">
        <w:t>Ինհալացիաների համար նախատեսված փոշով դեղապատիճների օգտագործման համար նախատեսված ինհալատորների դեպքում ինհալատորը պատրաստում են կիրառման հրահանգին համապատասխան, հերմետիկ միացնում</w:t>
      </w:r>
      <w:r>
        <w:t xml:space="preserve"> </w:t>
      </w:r>
      <w:r w:rsidRPr="00E345B2">
        <w:t xml:space="preserve">են սարքին։ 4 լ օդն անցկացնում են սարքի միջով։ Հեռացնում են ինհալատորը։ Քանակապես հավաքում են մատակարարված (ձերբազատված) դեղապատրաստուկը </w:t>
      </w:r>
      <w:r>
        <w:t>եւ</w:t>
      </w:r>
      <w:r w:rsidRPr="00E345B2">
        <w:t xml:space="preserve"> ազդող նյութի պարունակությունը որոշում են մասնավոր դեղագրքային հոդվածում </w:t>
      </w:r>
      <w:r>
        <w:t>եւ</w:t>
      </w:r>
      <w:r w:rsidRPr="00E345B2">
        <w:t xml:space="preserve"> (կամ) որակի վերաբերյալ նորմատիվ փաստաթղթում ներկայացված մեթոդիկային համապատասխան։ Ընթացակարգը կրկնում են հաջորդ 9 դեղաչափերի համար։</w:t>
      </w:r>
    </w:p>
    <w:p w14:paraId="4B43155C" w14:textId="77777777" w:rsidR="0035054F" w:rsidRPr="00E345B2" w:rsidRDefault="0035054F" w:rsidP="004A289F">
      <w:pPr>
        <w:spacing w:after="160" w:line="360" w:lineRule="auto"/>
        <w:ind w:firstLine="567"/>
        <w:jc w:val="both"/>
      </w:pPr>
      <w:r w:rsidRPr="00E345B2">
        <w:t>Փոշու համար պահեստարան ունեցող ինհալատորները պատրաստում են կիրառման հրահանգին համապատասխան, հերմետիկ միացնում</w:t>
      </w:r>
      <w:r>
        <w:t xml:space="preserve"> </w:t>
      </w:r>
      <w:r w:rsidRPr="00E345B2">
        <w:t xml:space="preserve">են սարքին։ 4 լ օդն անցկացնում են սարքի միջով։ Հեռացնում են ինհալատորը։ Քանակապես հավաքում են մատակարարված (ձերբազատված) դեղապատրաստուկը </w:t>
      </w:r>
      <w:r>
        <w:t>եւ</w:t>
      </w:r>
      <w:r w:rsidRPr="00E345B2">
        <w:t xml:space="preserve"> ազդող նյութի պարունակությունը որոշում են մասնավոր դեղագրքային հոդվածում </w:t>
      </w:r>
      <w:r>
        <w:t>եւ</w:t>
      </w:r>
      <w:r w:rsidRPr="00E345B2">
        <w:t xml:space="preserve"> (կամ) որակի վերաբերյալ նորմատիվ փաստաթղթում ներկայացված մեթոդիկային համապատասխան։ Ընթացակարգը կրկնում են հաջորդ 2 դեղաչափերի համար։</w:t>
      </w:r>
    </w:p>
    <w:p w14:paraId="67975904" w14:textId="77777777" w:rsidR="0035054F" w:rsidRPr="00E345B2" w:rsidRDefault="0035054F" w:rsidP="004A289F">
      <w:pPr>
        <w:spacing w:after="160" w:line="360" w:lineRule="auto"/>
        <w:ind w:firstLine="567"/>
        <w:jc w:val="both"/>
      </w:pPr>
      <w:r w:rsidRPr="00E345B2">
        <w:t>Դեղաչափերի անհրաժեշտ քանակը հեռացնում են այնքան ժամանակ, մինչ</w:t>
      </w:r>
      <w:r>
        <w:t>եւ</w:t>
      </w:r>
      <w:r w:rsidRPr="00E345B2">
        <w:t xml:space="preserve"> մնա (n/2) + 1 դեղաչափ, որտեղ n-ը դեղաչափերի հայտագրված քանակն է։ Հավաքում են 4 դեղաչափ՝ վերը նկարագրված մեթոդիկայի համաձայն։</w:t>
      </w:r>
    </w:p>
    <w:p w14:paraId="343ECC31" w14:textId="77777777" w:rsidR="0035054F" w:rsidRPr="00B5542D" w:rsidRDefault="0035054F" w:rsidP="004A289F">
      <w:pPr>
        <w:spacing w:after="160" w:line="360" w:lineRule="auto"/>
        <w:ind w:firstLine="567"/>
        <w:jc w:val="both"/>
      </w:pPr>
      <w:r w:rsidRPr="00E345B2">
        <w:t>Դեղաչափերի անհրաժեշտ քանակը նորից հեռացնում են այնքան ժամանակ, մինչ</w:t>
      </w:r>
      <w:r>
        <w:t>եւ</w:t>
      </w:r>
      <w:r w:rsidRPr="00E345B2">
        <w:t xml:space="preserve"> մնա 3 դեղաչափ։ Վերջին 3 դեղաչափերը հավաքում են վերը նկարագրված մեթոդիկայի համաձայն </w:t>
      </w:r>
      <w:r>
        <w:t>եւ</w:t>
      </w:r>
      <w:r w:rsidRPr="00E345B2">
        <w:t xml:space="preserve"> ազդող նյութի պարունակությունը որոշում են մասնավոր դեղագրքային հոդվածում </w:t>
      </w:r>
      <w:r>
        <w:t>եւ</w:t>
      </w:r>
      <w:r w:rsidRPr="00E345B2">
        <w:t xml:space="preserve"> (կամ) որակի վերաբերյալ նորմատիվ փաստաթղթում ներկայացված մեթոդիկային համապատասխան։</w:t>
      </w:r>
    </w:p>
    <w:p w14:paraId="682C3031" w14:textId="77777777" w:rsidR="00AA7C33" w:rsidRPr="00B5542D" w:rsidRDefault="00AA7C33" w:rsidP="004A289F">
      <w:pPr>
        <w:spacing w:after="160" w:line="360" w:lineRule="auto"/>
        <w:ind w:firstLine="567"/>
        <w:jc w:val="both"/>
      </w:pPr>
    </w:p>
    <w:p w14:paraId="0241B114" w14:textId="77777777" w:rsidR="0035054F" w:rsidRPr="00E345B2" w:rsidRDefault="0035054F" w:rsidP="004A289F">
      <w:pPr>
        <w:spacing w:after="160" w:line="360" w:lineRule="auto"/>
        <w:ind w:firstLine="567"/>
        <w:jc w:val="both"/>
      </w:pPr>
      <w:r w:rsidRPr="00E345B2">
        <w:lastRenderedPageBreak/>
        <w:t>Մեկից ավելի ազդող նյութ պարունակող՝ ինհալացիոն կիրառության համար նախատեսված դեղապատրաստուկների համար որոշումն անցկացնում են յուրաքանչյուր ազդող նյութի համար։</w:t>
      </w:r>
    </w:p>
    <w:p w14:paraId="2D33079C" w14:textId="77777777" w:rsidR="0035054F" w:rsidRPr="00E345B2" w:rsidRDefault="0035054F" w:rsidP="00AA7C33">
      <w:pPr>
        <w:spacing w:after="160" w:line="346" w:lineRule="auto"/>
        <w:ind w:firstLine="567"/>
        <w:jc w:val="both"/>
      </w:pPr>
      <w:r w:rsidRPr="00E345B2">
        <w:t>Դեղապատրաստուկը փորձարկումն անցնում է, եթե 10 արդյունքներից 9-ը գտնվում են միջին արժեքի 75 %-ից մինչ</w:t>
      </w:r>
      <w:r>
        <w:t>եւ</w:t>
      </w:r>
      <w:r w:rsidRPr="00E345B2">
        <w:t xml:space="preserve"> 125 %-ի սահմաններում, իսկ բոլոր արդյունքները գտնվում են 65 %-ից մինչ</w:t>
      </w:r>
      <w:r>
        <w:t>եւ</w:t>
      </w:r>
      <w:r w:rsidRPr="00E345B2">
        <w:t xml:space="preserve"> 135 %-ի սահմաններում։ Եթե 2 կամ 3 արդյունք դուրս է մնում 75-125 %-ի սահմաններից, փորձարկումը կրկնում են մյուս երկու ինհալատորներով։ 30 արժեքներից ոչ ավելի, քան 3-ը կարող են դուրս գալ 75-125 %-ի սահմաններից, իսկ բոլոր արժեքները պետք է 65 %-ից մինչ</w:t>
      </w:r>
      <w:r>
        <w:t>եւ</w:t>
      </w:r>
      <w:r w:rsidRPr="00E345B2">
        <w:t xml:space="preserve"> 135 %-ի սահմաններում լինեն։</w:t>
      </w:r>
    </w:p>
    <w:p w14:paraId="19B7C01F" w14:textId="77777777" w:rsidR="0035054F" w:rsidRPr="00E345B2" w:rsidRDefault="0035054F" w:rsidP="00AA7C33">
      <w:pPr>
        <w:spacing w:after="160" w:line="346" w:lineRule="auto"/>
        <w:ind w:firstLine="567"/>
        <w:jc w:val="both"/>
      </w:pPr>
      <w:r w:rsidRPr="00E345B2">
        <w:t>Մատակարարվող (ձերբազատվող) դեղաչափերի միջին արժեքը պետք է գտնվի հայտագրված արժեքի 85 %-ից մինչ</w:t>
      </w:r>
      <w:r>
        <w:t>եւ</w:t>
      </w:r>
      <w:r w:rsidRPr="00E345B2">
        <w:t xml:space="preserve"> 115 %-ի սահմաններում։</w:t>
      </w:r>
    </w:p>
    <w:p w14:paraId="39522494" w14:textId="77777777" w:rsidR="0035054F" w:rsidRPr="00E345B2" w:rsidRDefault="0035054F" w:rsidP="00AA7C33">
      <w:pPr>
        <w:spacing w:after="160" w:line="346" w:lineRule="auto"/>
        <w:ind w:firstLine="567"/>
        <w:jc w:val="both"/>
      </w:pPr>
      <w:r w:rsidRPr="00E345B2">
        <w:t>Փաթեթվածքից ձերբազատումների քանակը (փաթեթվածքի մեջ դեղաչափերի քանակը)։ Փորձարկումն անցկացնում են դոզավորող սարքով համալրված՝ ինհալացիոն կիրառության համար նախատեսված դոզավորված դեղապատրաստուկների համար։ Թույլատրվում է փորձարկումն անցկացնել՝ միաժամանակ որոշելով Մատակարարվող (ձերբազատվող) դեղաչափերի զանգվածի միատարրությունը/ Մատակարարվող (ձերբազատվող) դեղաչափերի միատարրությունը (Դեղաչափման միատարրությունը) ցուցանիշը։ Փաթեթվածքից ձերբազատումների քանակը (փաթեթվածքում դեղաչափերի քանակը) պետք է լինի պիտակի վրա նշվածից ոչ պակաս։</w:t>
      </w:r>
    </w:p>
    <w:p w14:paraId="1F5207E7" w14:textId="77777777" w:rsidR="0035054F" w:rsidRPr="00E345B2" w:rsidRDefault="0035054F" w:rsidP="00AA7C33">
      <w:pPr>
        <w:spacing w:after="160" w:line="346" w:lineRule="auto"/>
        <w:ind w:firstLine="567"/>
        <w:jc w:val="both"/>
      </w:pPr>
      <w:r w:rsidRPr="00E345B2">
        <w:t xml:space="preserve">Շնչառական ֆրակցիան. (Մանրադիսպերս մասնիկների աերոդինամիկական բաշխումը). Փորձարկումն անցկացնում են ինհալացիաների համար նախատեսված դոզավորված աերոզոլների, ինհալացիոն կիրառության համար նախատեսված՝ ճնշման տակ չգտնվող դոզավորված դեղապատրաստուկների, ինհալացիաների համար փոշիների, ինհալացիաների համար նախատեսված փոշով դեղապատիճների համար՝ մասնավոր դեղագրքային հոդվածում </w:t>
      </w:r>
      <w:r>
        <w:t>եւ</w:t>
      </w:r>
      <w:r w:rsidRPr="00E345B2">
        <w:t xml:space="preserve"> (կամ) որակի վերաբերյալ նորմատիվ փաստաթղթում նշված պահանջներին համապատասխան։</w:t>
      </w:r>
    </w:p>
    <w:p w14:paraId="2905DCFF" w14:textId="77777777" w:rsidR="0035054F" w:rsidRPr="00E345B2" w:rsidRDefault="0035054F" w:rsidP="004A289F">
      <w:pPr>
        <w:spacing w:after="160" w:line="360" w:lineRule="auto"/>
        <w:ind w:firstLine="567"/>
        <w:jc w:val="both"/>
      </w:pPr>
      <w:r w:rsidRPr="00E345B2">
        <w:lastRenderedPageBreak/>
        <w:t xml:space="preserve">Նեբուլայզերի օգնությամբ փոշեցրման համար նախատեսված՝ կախույթներ հանդիսացող դեղապատրաստուկների համար փորձարկումներն անցկացնում են մասնավոր դեղագրքային հոդվածում </w:t>
      </w:r>
      <w:r>
        <w:t>եւ</w:t>
      </w:r>
      <w:r w:rsidRPr="00E345B2">
        <w:t xml:space="preserve"> (կամ) որակի վերաբերյալ նորմատիվ փաստաթղթում նշված պահանջներին համապատասխան։</w:t>
      </w:r>
    </w:p>
    <w:p w14:paraId="60FBDF54" w14:textId="77777777" w:rsidR="0035054F" w:rsidRPr="00E345B2" w:rsidRDefault="0035054F" w:rsidP="004A289F">
      <w:pPr>
        <w:spacing w:after="160" w:line="360" w:lineRule="auto"/>
        <w:ind w:firstLine="567"/>
        <w:jc w:val="both"/>
      </w:pPr>
    </w:p>
    <w:p w14:paraId="39B3784D" w14:textId="77777777" w:rsidR="0035054F" w:rsidRPr="00D03E8B" w:rsidRDefault="0035054F" w:rsidP="004A289F">
      <w:pPr>
        <w:spacing w:after="160" w:line="360" w:lineRule="auto"/>
        <w:ind w:firstLine="567"/>
        <w:jc w:val="both"/>
        <w:rPr>
          <w:b/>
        </w:rPr>
      </w:pPr>
      <w:r w:rsidRPr="00D03E8B">
        <w:rPr>
          <w:b/>
        </w:rPr>
        <w:t>ՄԱԿՆՇՈՒՄԸ</w:t>
      </w:r>
    </w:p>
    <w:p w14:paraId="351AF332" w14:textId="77777777" w:rsidR="0035054F" w:rsidRPr="00E345B2" w:rsidRDefault="0035054F" w:rsidP="004A289F">
      <w:pPr>
        <w:spacing w:after="160" w:line="360" w:lineRule="auto"/>
        <w:ind w:firstLine="567"/>
        <w:jc w:val="both"/>
      </w:pPr>
      <w:r w:rsidRPr="00E345B2">
        <w:t>Ինհալացիոն կիրառության համար նախատեսված դոզավորված դեղապատրաստուկների համար նշում են ինհալատորի մեջ դեղաչափերի քանակը, մատակարարվող դեղաչափի մեջ ազդող նյութի քանակը (մկ/դեղաչափ)։ Այն դեպքերում, եթե խորհուրդ տրվող նվազագույն դեղաչափն ստանալու համար մեկից ավելի ձերբազատում է պահանջվում, նշում են ձերբազատումների անհրաժեշտ թիվը (ինհալատորի վրա սեղմումների քանակը)։</w:t>
      </w:r>
    </w:p>
    <w:p w14:paraId="65F09B1B" w14:textId="77777777" w:rsidR="0035054F" w:rsidRPr="00E345B2" w:rsidRDefault="0035054F" w:rsidP="004A289F">
      <w:pPr>
        <w:spacing w:after="160" w:line="360" w:lineRule="auto"/>
        <w:ind w:firstLine="567"/>
        <w:jc w:val="both"/>
      </w:pPr>
    </w:p>
    <w:p w14:paraId="5A7B41C2" w14:textId="77777777" w:rsidR="0035054F" w:rsidRPr="00B5542D" w:rsidRDefault="0035054F" w:rsidP="00D03E8B">
      <w:pPr>
        <w:spacing w:after="160" w:line="360" w:lineRule="auto"/>
        <w:ind w:firstLine="567"/>
        <w:jc w:val="right"/>
        <w:rPr>
          <w:b/>
          <w:sz w:val="20"/>
        </w:rPr>
      </w:pPr>
      <w:r w:rsidRPr="00D03E8B">
        <w:rPr>
          <w:b/>
          <w:sz w:val="20"/>
        </w:rPr>
        <w:t>205030003-2022</w:t>
      </w:r>
    </w:p>
    <w:p w14:paraId="45969F58" w14:textId="77777777" w:rsidR="00D03E8B" w:rsidRPr="00B5542D" w:rsidRDefault="00D03E8B" w:rsidP="004A289F">
      <w:pPr>
        <w:spacing w:after="160" w:line="360" w:lineRule="auto"/>
        <w:ind w:firstLine="567"/>
        <w:jc w:val="both"/>
        <w:rPr>
          <w:b/>
        </w:rPr>
      </w:pPr>
    </w:p>
    <w:p w14:paraId="3E6BD414" w14:textId="77777777" w:rsidR="0035054F" w:rsidRPr="00D03E8B" w:rsidRDefault="0035054F" w:rsidP="00D03E8B">
      <w:pPr>
        <w:tabs>
          <w:tab w:val="left" w:pos="1701"/>
        </w:tabs>
        <w:spacing w:after="160" w:line="360" w:lineRule="auto"/>
        <w:ind w:firstLine="567"/>
        <w:jc w:val="both"/>
        <w:rPr>
          <w:b/>
        </w:rPr>
      </w:pPr>
      <w:r w:rsidRPr="00D03E8B">
        <w:rPr>
          <w:b/>
        </w:rPr>
        <w:t>2.5.3.3.</w:t>
      </w:r>
      <w:r w:rsidR="00D03E8B" w:rsidRPr="00B5542D">
        <w:rPr>
          <w:b/>
        </w:rPr>
        <w:tab/>
      </w:r>
      <w:r w:rsidRPr="00D03E8B">
        <w:rPr>
          <w:b/>
        </w:rPr>
        <w:t>Ակնաբուժական կիրառության համար նախատեսված դեղապատրաստուկները</w:t>
      </w:r>
    </w:p>
    <w:p w14:paraId="49B3C654"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դեղապատրաստուկներն ակնագնդի </w:t>
      </w:r>
      <w:r>
        <w:t>եւ</w:t>
      </w:r>
      <w:r w:rsidRPr="00E345B2">
        <w:t xml:space="preserve"> (կամ) շաղկապենու վրա տեղային կիրառման համար նախատեսված պատրաստուկներ են։</w:t>
      </w:r>
    </w:p>
    <w:p w14:paraId="10CC4DCC" w14:textId="77777777" w:rsidR="0035054F" w:rsidRPr="00E345B2" w:rsidRDefault="0035054F" w:rsidP="004A289F">
      <w:pPr>
        <w:spacing w:after="160" w:line="360" w:lineRule="auto"/>
        <w:ind w:firstLine="567"/>
        <w:jc w:val="both"/>
      </w:pPr>
      <w:r w:rsidRPr="00E345B2">
        <w:t>Ակնաբուժական կիրառության համար նախատեսված դեղապատրաստուկները թողարկում են հետ</w:t>
      </w:r>
      <w:r>
        <w:t>եւ</w:t>
      </w:r>
      <w:r w:rsidRPr="00E345B2">
        <w:t>յալ դեղաձ</w:t>
      </w:r>
      <w:r>
        <w:t>եւ</w:t>
      </w:r>
      <w:r w:rsidRPr="00E345B2">
        <w:t>երով.</w:t>
      </w:r>
    </w:p>
    <w:p w14:paraId="08D15751"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հեղուկ դեղաձ</w:t>
      </w:r>
      <w:r>
        <w:t>եւ</w:t>
      </w:r>
      <w:r w:rsidRPr="00E345B2">
        <w:t>եր՝ աչքի կաթիլներ (լուծույթներ, էմուլսիաներ, կախույթներ), աչքերը լվանալու լուծույթներ.</w:t>
      </w:r>
    </w:p>
    <w:p w14:paraId="620F677C"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փափուկ դեղաձ</w:t>
      </w:r>
      <w:r>
        <w:t>եւ</w:t>
      </w:r>
      <w:r w:rsidRPr="00E345B2">
        <w:t>եր՝ աչքի քսուքներ, աչքի դոնդողներ, աչքի նրբաքսուքներ.</w:t>
      </w:r>
    </w:p>
    <w:p w14:paraId="0401EE92" w14:textId="77777777" w:rsidR="0035054F" w:rsidRPr="00E345B2" w:rsidRDefault="0035054F" w:rsidP="00D03E8B">
      <w:pPr>
        <w:tabs>
          <w:tab w:val="left" w:pos="1134"/>
        </w:tabs>
        <w:spacing w:after="160" w:line="360" w:lineRule="auto"/>
        <w:ind w:firstLine="567"/>
        <w:jc w:val="both"/>
      </w:pPr>
      <w:r w:rsidRPr="00E345B2">
        <w:lastRenderedPageBreak/>
        <w:t>-</w:t>
      </w:r>
      <w:r w:rsidR="00D03E8B" w:rsidRPr="00D03E8B">
        <w:tab/>
      </w:r>
      <w:r w:rsidRPr="00E345B2">
        <w:t>պինդ դեղաձ</w:t>
      </w:r>
      <w:r>
        <w:t>եւ</w:t>
      </w:r>
      <w:r w:rsidRPr="00E345B2">
        <w:t>եր՝ աչքի թաղանթներ, աչքի կաթիլների պատրաստման համար դեղահաբեր, փոշիներ կամ լիոֆիլիզատներ։</w:t>
      </w:r>
    </w:p>
    <w:p w14:paraId="592A0771" w14:textId="77777777" w:rsidR="0035054F" w:rsidRPr="00E345B2" w:rsidRDefault="0035054F" w:rsidP="004A289F">
      <w:pPr>
        <w:spacing w:after="160" w:line="360" w:lineRule="auto"/>
        <w:ind w:firstLine="567"/>
        <w:jc w:val="both"/>
      </w:pPr>
      <w:r w:rsidRPr="00E345B2">
        <w:t>Աչքի կաթիլները, որոնք ստացվել են աչքի կաթիլների պատրաստման համար դեղահաբերը, փոշիները կամ լիոֆիլիզատները լուծելուց կամ դիսպերսելուց հետո, պետք է համապատասխանեն աչքի կաթիլներին ներկայացվող պահանջներին։</w:t>
      </w:r>
    </w:p>
    <w:p w14:paraId="3C6C60EE"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դեղապատրաստուկները կարող են լինել դոզավորված </w:t>
      </w:r>
      <w:r>
        <w:t>եւ</w:t>
      </w:r>
      <w:r w:rsidRPr="00E345B2">
        <w:t xml:space="preserve"> չդոզավորված։</w:t>
      </w:r>
    </w:p>
    <w:p w14:paraId="24CF4D00"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դեղապատրաստուկներին ներկայացվող ընդհանուր պահանջները բերված են </w:t>
      </w:r>
      <w:r w:rsidRPr="007B145C">
        <w:rPr>
          <w:i/>
        </w:rPr>
        <w:t>«2.5.3.1. Դեղապատրաստուկները»</w:t>
      </w:r>
      <w:r w:rsidRPr="00E345B2">
        <w:t xml:space="preserve"> ընդհանուր դեղագրքային հոդվածում, </w:t>
      </w:r>
      <w:r w:rsidRPr="007B145C">
        <w:rPr>
          <w:i/>
        </w:rPr>
        <w:t>«2.5.1.1. Դեղաձեւերը»</w:t>
      </w:r>
      <w:r w:rsidRPr="00E345B2">
        <w:t xml:space="preserve"> ընդհանուր դեղագրքային հոդվածում </w:t>
      </w:r>
      <w:r>
        <w:t>եւ</w:t>
      </w:r>
      <w:r w:rsidRPr="00E345B2">
        <w:t xml:space="preserve"> կոնկրետ դեղաձ</w:t>
      </w:r>
      <w:r>
        <w:t>եւ</w:t>
      </w:r>
      <w:r w:rsidRPr="00E345B2">
        <w:t>ի առնչվող ընդհանուր դեղագրքային հոդվածներում։</w:t>
      </w:r>
    </w:p>
    <w:p w14:paraId="3FC9B7DD" w14:textId="77777777" w:rsidR="0035054F" w:rsidRPr="00E345B2" w:rsidRDefault="0035054F" w:rsidP="004A289F">
      <w:pPr>
        <w:spacing w:after="160" w:line="360" w:lineRule="auto"/>
        <w:ind w:firstLine="567"/>
        <w:jc w:val="both"/>
      </w:pPr>
    </w:p>
    <w:p w14:paraId="389F8256" w14:textId="77777777" w:rsidR="0035054F" w:rsidRPr="00D03E8B" w:rsidRDefault="0035054F" w:rsidP="004A289F">
      <w:pPr>
        <w:spacing w:after="160" w:line="360" w:lineRule="auto"/>
        <w:ind w:firstLine="567"/>
        <w:jc w:val="both"/>
        <w:rPr>
          <w:b/>
        </w:rPr>
      </w:pPr>
      <w:r w:rsidRPr="00D03E8B">
        <w:rPr>
          <w:b/>
        </w:rPr>
        <w:t>ՏԵԽՆՈԼՈԳԻԱՅԻ ԱՌԱՆՁՆԱՀԱՏԿՈՒԹՅՈՒՆՆԵՐԸ</w:t>
      </w:r>
    </w:p>
    <w:p w14:paraId="5A57EA0B" w14:textId="77777777" w:rsidR="0035054F" w:rsidRPr="00E345B2" w:rsidRDefault="0035054F" w:rsidP="004A289F">
      <w:pPr>
        <w:spacing w:after="160" w:line="360" w:lineRule="auto"/>
        <w:ind w:firstLine="567"/>
        <w:jc w:val="both"/>
      </w:pPr>
      <w:r w:rsidRPr="00E345B2">
        <w:t>Ակնաբուժական կիրառության համար նախատեսված բոլոր դեղապատրաստուկները պետք է լինեն մանրէազերծ։</w:t>
      </w:r>
    </w:p>
    <w:p w14:paraId="79BA88CD"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դեղապատրաստուկների մանրէազերծման մեթոդները </w:t>
      </w:r>
      <w:r>
        <w:t>եւ</w:t>
      </w:r>
      <w:r w:rsidRPr="00E345B2">
        <w:t xml:space="preserve"> պայմանները պետք է ապահովեն դրանց մանրէազերծությունը </w:t>
      </w:r>
      <w:r>
        <w:t>եւ</w:t>
      </w:r>
      <w:r w:rsidRPr="00E345B2">
        <w:t xml:space="preserve"> </w:t>
      </w:r>
      <w:r w:rsidRPr="007B145C">
        <w:rPr>
          <w:i/>
        </w:rPr>
        <w:t>«2.1.6.1 Մանրէազերծությունը»</w:t>
      </w:r>
      <w:r w:rsidRPr="00E345B2">
        <w:t xml:space="preserve"> ընդհանուր դեղագրքային հոդվածին դեղապատրաստուկի համապատասխանությունը։</w:t>
      </w:r>
    </w:p>
    <w:p w14:paraId="041F1464" w14:textId="77777777" w:rsidR="0035054F" w:rsidRPr="00E345B2" w:rsidRDefault="0035054F" w:rsidP="004A289F">
      <w:pPr>
        <w:spacing w:after="160" w:line="360" w:lineRule="auto"/>
        <w:ind w:firstLine="567"/>
        <w:jc w:val="both"/>
      </w:pPr>
      <w:r w:rsidRPr="00E345B2">
        <w:t>Ակնաբուժական կիրառության համար նախատեսված դեղապատրաստուկները, ակտիվ դեղագործական բաղադրամասերի ֆիզիկաքիմիական բնութագրերով պայմանավորված, կարող են ստացվել վերջնական մանրեազերծման կիրառմամբ կամ առանց դրա (ասեպտիկ պայմաններ)։</w:t>
      </w:r>
    </w:p>
    <w:p w14:paraId="375DF3CE" w14:textId="77777777" w:rsidR="0035054F" w:rsidRPr="00E345B2" w:rsidRDefault="0035054F" w:rsidP="004A289F">
      <w:pPr>
        <w:spacing w:after="160" w:line="360" w:lineRule="auto"/>
        <w:ind w:firstLine="567"/>
        <w:jc w:val="both"/>
      </w:pPr>
      <w:r w:rsidRPr="00E345B2">
        <w:lastRenderedPageBreak/>
        <w:t>Ակնաբուժական կիրառության համար նախատեսված դեղապատրաստուկներ ստանալու եղանակը պայմանավորված է դեղաձ</w:t>
      </w:r>
      <w:r>
        <w:t>եւ</w:t>
      </w:r>
      <w:r w:rsidRPr="00E345B2">
        <w:t>ի տեսակով։</w:t>
      </w:r>
    </w:p>
    <w:p w14:paraId="2A5EF782"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 ստանալու համար կարող են օգտագործվել տարբեր ֆունկցիոնալ դասերի օժանդակ նյութեր։ Ակնաբուժական կիրառության համար նախատեսված դեղապատրաստուկների կայունությունն ապահովելու համար դրանց բաղադրության մեջ կարող են մտնել հակաօքսիդանտներ, կոմպլեքսագոյացուցիչներ, հակամանրէային կոնսերվանտներ, pH միջավայրերը կարգավորող նյութեր </w:t>
      </w:r>
      <w:r>
        <w:t>եւ</w:t>
      </w:r>
      <w:r w:rsidRPr="00E345B2">
        <w:t xml:space="preserve"> այլն։</w:t>
      </w:r>
    </w:p>
    <w:p w14:paraId="184A0F9E" w14:textId="77777777" w:rsidR="0035054F" w:rsidRPr="00E345B2" w:rsidRDefault="0035054F" w:rsidP="004A289F">
      <w:pPr>
        <w:spacing w:after="160" w:line="360" w:lineRule="auto"/>
        <w:ind w:firstLine="567"/>
        <w:jc w:val="both"/>
      </w:pPr>
      <w:r w:rsidRPr="00E345B2">
        <w:t>Ջրային հիմքով, բազմադեղաչափ փաթեթվածքներով ակնաբուժական կիրառության համար նախատեսված դեղապատրաստուկները պետք է պարունակեն անհրաժեշտ կոնցենտրացիայով համապատասխան հակամանրէային կոնսերվանտ՝ բացառությամբ այն դեպքերի, երբ հենց ակտիվ դեղագործական բաղադրամասն է օժտված բավարար հակամանրէային ազդեցությամբ։</w:t>
      </w:r>
    </w:p>
    <w:p w14:paraId="6C45EE9F" w14:textId="77777777" w:rsidR="0035054F" w:rsidRPr="00E345B2" w:rsidRDefault="0035054F" w:rsidP="004A289F">
      <w:pPr>
        <w:spacing w:after="160" w:line="360" w:lineRule="auto"/>
        <w:ind w:firstLine="567"/>
        <w:jc w:val="both"/>
      </w:pPr>
      <w:r w:rsidRPr="00E345B2">
        <w:t>Աչքի կաթիլների կամ աչքերը լվանալու լուծույթների տեսքով, միադեղաչափ փաթեթվածքներով ակնաբուժական կիրառության համար նախատեսված դեղապատրաստուկները չպետք է պարունակեն հակամանրէային կոնսերվանտներ, օրինակ՝ վիրաբուժական միջամտության ժամանակ օգտագործման համար նախատեսված աչքի կաթիլները։</w:t>
      </w:r>
    </w:p>
    <w:p w14:paraId="51E03BE0"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w:t>
      </w:r>
      <w:r w:rsidRPr="007B145C">
        <w:rPr>
          <w:spacing w:val="6"/>
        </w:rPr>
        <w:t>դեղապատրաստուկների օսմոլալությունը պետք է գտնվի նատրիումի քլորիդի</w:t>
      </w:r>
      <w:r w:rsidR="007B145C" w:rsidRPr="007B145C">
        <w:rPr>
          <w:spacing w:val="6"/>
        </w:rPr>
        <w:t xml:space="preserve"> 0,6-</w:t>
      </w:r>
      <w:r w:rsidRPr="007B145C">
        <w:rPr>
          <w:spacing w:val="6"/>
        </w:rPr>
        <w:t>2,0 % լուծույթի օսմոլալության սահմաններում։ Թույլատրվում է հիպեր- եւ</w:t>
      </w:r>
      <w:r w:rsidRPr="00E345B2">
        <w:t xml:space="preserve"> հիպոօսմոտիկ աչքի կաթիլների ստացումը </w:t>
      </w:r>
      <w:r>
        <w:t>եւ</w:t>
      </w:r>
      <w:r w:rsidRPr="00E345B2">
        <w:t xml:space="preserve"> կիրառումը, սակայն որպես կանոն, նատրիումի քլորիդի 0,6 % լուծույթի կոնցենտրացիային համարժեքից ցածր կոնցենտրացիա ունեցող ազդող նյութերով աչքի կաթիլների բաղադրությունը ենթակա է շտկման համապատասխան օժանդակ նյութերի ավելացման միջոցով։</w:t>
      </w:r>
    </w:p>
    <w:p w14:paraId="2265F2CB" w14:textId="77777777" w:rsidR="0035054F" w:rsidRPr="00E345B2" w:rsidRDefault="0035054F" w:rsidP="004A289F">
      <w:pPr>
        <w:spacing w:after="160" w:line="360" w:lineRule="auto"/>
        <w:ind w:firstLine="567"/>
        <w:jc w:val="both"/>
      </w:pPr>
      <w:r w:rsidRPr="00E345B2">
        <w:lastRenderedPageBreak/>
        <w:t>Ակնաբուժական կիրառության համար նախատեսված դեղապատրաստուկների pH-ի օպտիմալ արժեքը պետք է համապատասխանի արցունքի հեղուկի 7,4 pH-ին։ pH-ի արժեքը կարող է տարբերվել օպտիմալից, սակայն պետք է գտնվի 3,5-ց մինչ</w:t>
      </w:r>
      <w:r>
        <w:t>եւ</w:t>
      </w:r>
      <w:r w:rsidRPr="00E345B2">
        <w:t xml:space="preserve"> 8,5-ի սահմաններում։</w:t>
      </w:r>
    </w:p>
    <w:p w14:paraId="3C20173C" w14:textId="77777777" w:rsidR="0035054F" w:rsidRPr="00E345B2" w:rsidRDefault="0035054F" w:rsidP="004A289F">
      <w:pPr>
        <w:spacing w:after="160" w:line="360" w:lineRule="auto"/>
        <w:ind w:firstLine="567"/>
        <w:jc w:val="both"/>
      </w:pPr>
      <w:r w:rsidRPr="00E345B2">
        <w:t>Աչքի կաթիլների ազդեցության տ</w:t>
      </w:r>
      <w:r>
        <w:t>եւ</w:t>
      </w:r>
      <w:r w:rsidRPr="00E345B2">
        <w:t>ողությունը կարելի է ավելացնել դրանց մածուցիկությունն ավելացնելու միջոցով։ Դրա համար օգտագործում են օժանդակ նյութեր-պրոլոնգատորներ։ Աչքի կաթիլների համար օպտիմալ է</w:t>
      </w:r>
      <w:r w:rsidR="007B145C">
        <w:t xml:space="preserve"> 5-</w:t>
      </w:r>
      <w:r w:rsidRPr="00E345B2">
        <w:t>15 մմ</w:t>
      </w:r>
      <w:r w:rsidRPr="00E345B2">
        <w:rPr>
          <w:vertAlign w:val="superscript"/>
        </w:rPr>
        <w:t>2</w:t>
      </w:r>
      <w:r w:rsidRPr="00E345B2">
        <w:t>/վ մածուցիկությունը։ Աչքի կաթիլների մածուցիկության ցուցանիշը կարող է տարբերվել օպտիմալ արժեքներից, սակայն որպես կանոն, չպետք է գերազանցի 150 մմ</w:t>
      </w:r>
      <w:r w:rsidRPr="00E345B2">
        <w:rPr>
          <w:vertAlign w:val="superscript"/>
        </w:rPr>
        <w:t>2</w:t>
      </w:r>
      <w:r w:rsidRPr="00E345B2">
        <w:t>/վ-ը։</w:t>
      </w:r>
    </w:p>
    <w:p w14:paraId="36282932"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 հանդիսացող, ակնաբուժական կիրառության համար նախատեսված դեղապատրաստուկների հիմքը պետք է լինի չեզոք, չգրգռի շաղկապենին, պետք է հավասարաչափ տարածվի աչքի լորձաթաղանթի վրա </w:t>
      </w:r>
      <w:r>
        <w:t>եւ</w:t>
      </w:r>
      <w:r w:rsidRPr="00E345B2">
        <w:t xml:space="preserve"> չպարունակի կողմնակի խառնուկներ։</w:t>
      </w:r>
    </w:p>
    <w:p w14:paraId="3DC1392F" w14:textId="77777777" w:rsidR="0035054F" w:rsidRPr="00E345B2" w:rsidRDefault="0035054F" w:rsidP="004A289F">
      <w:pPr>
        <w:spacing w:after="160" w:line="360" w:lineRule="auto"/>
        <w:ind w:firstLine="567"/>
        <w:jc w:val="both"/>
      </w:pPr>
      <w:r w:rsidRPr="00E345B2">
        <w:t xml:space="preserve">Պարկուճների մեջ փաթեթավորված աչքի քսուքները քսուքների արտադրության տեխնոլոգիական գործընթացի հսկողության շրջանակներում փորձարկման են ենթարկում ըստ </w:t>
      </w:r>
      <w:r w:rsidRPr="00E345B2">
        <w:rPr>
          <w:i/>
        </w:rPr>
        <w:t>Փաթեթվածքի հերմետիկությունը</w:t>
      </w:r>
      <w:r w:rsidRPr="00E345B2">
        <w:t xml:space="preserve"> ցուցանիշի, </w:t>
      </w:r>
      <w:r w:rsidRPr="007B145C">
        <w:rPr>
          <w:i/>
        </w:rPr>
        <w:t>«2.1.9.19. Փաթեթվածքի հերմետիկության որոշումը</w:t>
      </w:r>
      <w:r w:rsidRPr="00E345B2">
        <w:t>» ընդհանուր դեղագրքային հոդվածին համապատասխան։</w:t>
      </w:r>
    </w:p>
    <w:p w14:paraId="38BB87A2" w14:textId="77777777" w:rsidR="0035054F" w:rsidRPr="00E345B2" w:rsidRDefault="0035054F" w:rsidP="004A289F">
      <w:pPr>
        <w:spacing w:after="160" w:line="360" w:lineRule="auto"/>
        <w:ind w:firstLine="567"/>
        <w:jc w:val="both"/>
      </w:pPr>
      <w:r w:rsidRPr="00E345B2">
        <w:t xml:space="preserve">Դիսպերսված մասնիկներ պարունակող </w:t>
      </w:r>
      <w:r>
        <w:t>եւ</w:t>
      </w:r>
      <w:r w:rsidRPr="00E345B2">
        <w:t xml:space="preserve"> տարասեռ, համակցված դիսպերս համակարգեր հանդիսացող՝ ակնաբուժական կիրառության համար նախատեսված դեղապատրաստուկների արտադրության ժամանակ պետք է նախատեսվի այնպիսի տեխնոլոգիա, որն ապահովում է անհրաժեշտ չափի մասնիկների ստացումն ու հսկողությունը։</w:t>
      </w:r>
    </w:p>
    <w:p w14:paraId="0D4F173D"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դեղապատրաստուկներն արտադրում են այնպիսի նյութերի </w:t>
      </w:r>
      <w:r>
        <w:t>եւ</w:t>
      </w:r>
      <w:r w:rsidRPr="00E345B2">
        <w:t xml:space="preserve"> մեթոդների կիրառմամբ, որոնք բացառում են մանրէային կոնտամինացիայի ու միկրոօրգանիզմների աճի հնարավորությունը </w:t>
      </w:r>
      <w:r>
        <w:t>եւ</w:t>
      </w:r>
      <w:r w:rsidRPr="00E345B2">
        <w:t xml:space="preserve"> ապահովում են դրանց </w:t>
      </w:r>
      <w:r w:rsidRPr="00E345B2">
        <w:lastRenderedPageBreak/>
        <w:t xml:space="preserve">մանրէազերծությունը՝ </w:t>
      </w:r>
      <w:r w:rsidRPr="007B145C">
        <w:rPr>
          <w:i/>
        </w:rPr>
        <w:t>«2.1.6.1 Մանրէազերծությունը»</w:t>
      </w:r>
      <w:r w:rsidRPr="00E345B2">
        <w:t xml:space="preserve"> ընդհանուր դեղագրքային հոդվածին համապատասխան։</w:t>
      </w:r>
    </w:p>
    <w:p w14:paraId="2E3B3A48" w14:textId="77777777" w:rsidR="0035054F" w:rsidRPr="00E345B2" w:rsidRDefault="0035054F" w:rsidP="004A289F">
      <w:pPr>
        <w:spacing w:after="160" w:line="360" w:lineRule="auto"/>
        <w:ind w:firstLine="567"/>
        <w:jc w:val="both"/>
      </w:pPr>
      <w:r w:rsidRPr="00E345B2">
        <w:t>Աչքի կաթիլները կարող են թողարկվել կիրառման համար պատրաստ ձ</w:t>
      </w:r>
      <w:r>
        <w:t>եւ</w:t>
      </w:r>
      <w:r w:rsidRPr="00E345B2">
        <w:t>ով կամ կարող են պատրաստվել կիրառումից անմիջապես առաջ այն դեղահաբերից, փոշիներից կամ լիոֆիլիզատներից վերականգնված դեղաձ</w:t>
      </w:r>
      <w:r>
        <w:t>եւ</w:t>
      </w:r>
      <w:r w:rsidRPr="00E345B2">
        <w:t>երի տեսքով, որոնք նախատեսված են համապատասխան մանրէազերծ լուծիչի մեջ դրանք լուծելու կամ դիսպերսելու միջոցով աչքի կաթիլներ ստանալու համար։</w:t>
      </w:r>
    </w:p>
    <w:p w14:paraId="31379BB2" w14:textId="77777777" w:rsidR="0035054F" w:rsidRPr="00B5542D" w:rsidRDefault="0035054F" w:rsidP="004A289F">
      <w:pPr>
        <w:spacing w:after="160" w:line="360" w:lineRule="auto"/>
        <w:ind w:firstLine="567"/>
        <w:jc w:val="both"/>
      </w:pPr>
      <w:r w:rsidRPr="00E345B2">
        <w:t xml:space="preserve">Ակնաբուժական կիրառության համար նախատեսված դեղապատրաստուկների փաթեթվածքը, խցանափակման միջոցները, փաթեթվածքի, խցանափակման միջոցների </w:t>
      </w:r>
      <w:r>
        <w:t>եւ</w:t>
      </w:r>
      <w:r w:rsidRPr="00E345B2">
        <w:t xml:space="preserve"> փաթեթվածքի այլ տարրերի արտադրության համար օգտագործվող նյութերը պետք է համապատասխանեն փաթեթվածքի արտադրության համար օգտագործվող նյութերին </w:t>
      </w:r>
      <w:r>
        <w:t>եւ</w:t>
      </w:r>
      <w:r w:rsidRPr="00E345B2">
        <w:t xml:space="preserve"> փաթեթվածքին ներկայացվող պահանջներին։</w:t>
      </w:r>
    </w:p>
    <w:p w14:paraId="3D5CD6B4" w14:textId="77777777" w:rsidR="00D03E8B" w:rsidRPr="00B5542D" w:rsidRDefault="00D03E8B" w:rsidP="004A289F">
      <w:pPr>
        <w:spacing w:after="160" w:line="360" w:lineRule="auto"/>
        <w:ind w:firstLine="567"/>
        <w:jc w:val="both"/>
      </w:pPr>
    </w:p>
    <w:p w14:paraId="2DA58578" w14:textId="77777777" w:rsidR="0035054F" w:rsidRPr="00D03E8B" w:rsidRDefault="0035054F" w:rsidP="004A289F">
      <w:pPr>
        <w:spacing w:after="160" w:line="360" w:lineRule="auto"/>
        <w:ind w:firstLine="567"/>
        <w:jc w:val="both"/>
        <w:rPr>
          <w:b/>
        </w:rPr>
      </w:pPr>
      <w:r w:rsidRPr="00D03E8B">
        <w:rPr>
          <w:b/>
        </w:rPr>
        <w:t>ՓՈՐՁԱՐԿՈՒՄՆԵՐԸ</w:t>
      </w:r>
    </w:p>
    <w:p w14:paraId="41FE0A69" w14:textId="77777777" w:rsidR="0035054F" w:rsidRPr="00E345B2" w:rsidRDefault="0035054F" w:rsidP="004A289F">
      <w:pPr>
        <w:spacing w:after="160" w:line="360" w:lineRule="auto"/>
        <w:ind w:firstLine="567"/>
        <w:jc w:val="both"/>
      </w:pPr>
      <w:r w:rsidRPr="00E345B2">
        <w:t>Ակնաբուժական կիրառության համար նախատեսված դեղապատրաստուկները պետք է անցնեն հաջորդող փորձարկումները։</w:t>
      </w:r>
    </w:p>
    <w:p w14:paraId="49E2325D" w14:textId="77777777" w:rsidR="0035054F" w:rsidRPr="00E345B2" w:rsidRDefault="0035054F" w:rsidP="004A289F">
      <w:pPr>
        <w:spacing w:after="160" w:line="360" w:lineRule="auto"/>
        <w:ind w:firstLine="567"/>
        <w:jc w:val="both"/>
      </w:pPr>
      <w:r w:rsidRPr="00E345B2">
        <w:t>Նկարագրությունը. Ակնաբուժական կիրառության համար նախատեսված դեղապատրաստուկները բնութագրում են՝ նշելով արտաքին տեսքը (ագրեգատային վիճակը, ձ</w:t>
      </w:r>
      <w:r>
        <w:t>եւ</w:t>
      </w:r>
      <w:r w:rsidRPr="00E345B2">
        <w:t xml:space="preserve">ը, չափերը </w:t>
      </w:r>
      <w:r>
        <w:t>եւ</w:t>
      </w:r>
      <w:r w:rsidRPr="00E345B2">
        <w:t xml:space="preserve"> այլն) </w:t>
      </w:r>
      <w:r>
        <w:t>եւ</w:t>
      </w:r>
      <w:r w:rsidRPr="00E345B2">
        <w:t xml:space="preserve"> հիմնական ֆիզիկական, զգայորոշման (գույն, հոտ) </w:t>
      </w:r>
      <w:r>
        <w:t>եւ</w:t>
      </w:r>
      <w:r w:rsidRPr="00E345B2">
        <w:t xml:space="preserve"> մյուս հատկությունները՝ մասնավոր դեղագրքային հոդվածի </w:t>
      </w:r>
      <w:r>
        <w:t>եւ</w:t>
      </w:r>
      <w:r w:rsidRPr="00E345B2">
        <w:t xml:space="preserve"> (կամ) որակի վերաբերյալ նորմատիվ փաստաթղթի ցուցումներին համապատասխան։</w:t>
      </w:r>
    </w:p>
    <w:p w14:paraId="05B2F9EC" w14:textId="77777777" w:rsidR="0035054F" w:rsidRPr="00E345B2" w:rsidRDefault="0035054F" w:rsidP="004A289F">
      <w:pPr>
        <w:spacing w:after="160" w:line="360" w:lineRule="auto"/>
        <w:ind w:firstLine="567"/>
        <w:jc w:val="both"/>
      </w:pPr>
      <w:r w:rsidRPr="00E345B2">
        <w:t>Մանրէազերծությունը. Փորձարկումն անցկացնում են ակնաբուժական կիրառության համար նախատեսված բոլոր դեղապատրաստուկների համար՝ «</w:t>
      </w:r>
      <w:r w:rsidRPr="00AA7C33">
        <w:rPr>
          <w:i/>
        </w:rPr>
        <w:t>2.1.6.1. Մանրէազերծությունը»</w:t>
      </w:r>
      <w:r w:rsidRPr="00E345B2">
        <w:t xml:space="preserve"> ընդհանուր դեղագրքային հոդվածին համապատասխան։</w:t>
      </w:r>
    </w:p>
    <w:p w14:paraId="3E2A87EF" w14:textId="77777777" w:rsidR="0035054F" w:rsidRPr="00E345B2" w:rsidRDefault="0035054F" w:rsidP="004A289F">
      <w:pPr>
        <w:spacing w:after="160" w:line="360" w:lineRule="auto"/>
        <w:ind w:firstLine="567"/>
        <w:jc w:val="both"/>
      </w:pPr>
      <w:r w:rsidRPr="00AA7C33">
        <w:rPr>
          <w:spacing w:val="-4"/>
        </w:rPr>
        <w:lastRenderedPageBreak/>
        <w:t xml:space="preserve">Դեղաչափված միավորների միատարրությունը. Փորձարկումն անցկացնում են </w:t>
      </w:r>
      <w:r w:rsidRPr="007B145C">
        <w:rPr>
          <w:i/>
          <w:spacing w:val="-4"/>
        </w:rPr>
        <w:t>«2.1.9.14. Դեղաչափված միավորների միատարրությունը»</w:t>
      </w:r>
      <w:r w:rsidRPr="00AA7C33">
        <w:rPr>
          <w:spacing w:val="-4"/>
        </w:rPr>
        <w:t xml:space="preserve"> ընդհանուր դեղագրքային</w:t>
      </w:r>
      <w:r w:rsidRPr="00E345B2">
        <w:t xml:space="preserve"> հոդվածին համապատասխան՝ դեղաչափված դեղաձ</w:t>
      </w:r>
      <w:r>
        <w:t>եւ</w:t>
      </w:r>
      <w:r w:rsidRPr="00E345B2">
        <w:t>եր ունեցող կամ միադեղաչափ</w:t>
      </w:r>
      <w:r>
        <w:t xml:space="preserve"> </w:t>
      </w:r>
      <w:r w:rsidRPr="00E345B2">
        <w:t>փաթեթվածքով թողարկվող՝ ակնաբուժական կիրառության համար նախատեսված դեղապատրաստուկների համար։</w:t>
      </w:r>
    </w:p>
    <w:p w14:paraId="00ADB452" w14:textId="77777777" w:rsidR="0035054F" w:rsidRPr="00E345B2" w:rsidRDefault="0035054F" w:rsidP="004A289F">
      <w:pPr>
        <w:spacing w:after="160" w:line="360" w:lineRule="auto"/>
        <w:ind w:firstLine="567"/>
        <w:jc w:val="both"/>
      </w:pPr>
      <w:r w:rsidRPr="00E345B2">
        <w:t>Միադեղաչափ փաթեթվածքով կախույթներ, էմուլսիաներ, դոնդողներ հանդիսացող՝ ակնաբուժական կիրառության համար նախատեսված դեղապատրաստուկները տվյալ փորձարկմանը չեն ենթարկվում։</w:t>
      </w:r>
    </w:p>
    <w:p w14:paraId="22EB4EC2" w14:textId="77777777" w:rsidR="0035054F" w:rsidRPr="00E345B2" w:rsidRDefault="0035054F" w:rsidP="004A289F">
      <w:pPr>
        <w:spacing w:after="160" w:line="360" w:lineRule="auto"/>
        <w:ind w:firstLine="567"/>
        <w:jc w:val="both"/>
      </w:pPr>
      <w:r w:rsidRPr="00E345B2">
        <w:t>Տեսանելի մեխանիկական ներառուկները. Ակնաբուժական կիրառության համար նախատեսված դեղապատրաստուկների համար փորձարկումն անցկացնում են մեխանիկական ներառուկների՝ տեսանելի մասնիկների՝</w:t>
      </w:r>
      <w:r>
        <w:t xml:space="preserve"> </w:t>
      </w:r>
      <w:r w:rsidRPr="00E345B2">
        <w:t>բացառությամբ փափուկ դեղաձ</w:t>
      </w:r>
      <w:r>
        <w:t>եւ</w:t>
      </w:r>
      <w:r w:rsidRPr="00E345B2">
        <w:t>երի տեսքով ակնաբուժական կիրառության համար նախատեսված դեղապատրաստուկների, ինչպես նա</w:t>
      </w:r>
      <w:r>
        <w:t>եւ</w:t>
      </w:r>
      <w:r w:rsidRPr="00E345B2">
        <w:t xml:space="preserve"> կախույթային </w:t>
      </w:r>
      <w:r>
        <w:t>եւ</w:t>
      </w:r>
      <w:r w:rsidRPr="00E345B2">
        <w:t xml:space="preserve"> էմուլսիոն տիպի աչքի կաթիլների մասով։</w:t>
      </w:r>
    </w:p>
    <w:p w14:paraId="38393F52" w14:textId="77777777" w:rsidR="0035054F" w:rsidRPr="00E345B2" w:rsidRDefault="0035054F" w:rsidP="004A289F">
      <w:pPr>
        <w:spacing w:after="160" w:line="360" w:lineRule="auto"/>
        <w:ind w:firstLine="567"/>
        <w:jc w:val="both"/>
      </w:pPr>
      <w:r w:rsidRPr="00D03E8B">
        <w:rPr>
          <w:b/>
        </w:rPr>
        <w:t>pH-ը.</w:t>
      </w:r>
      <w:r w:rsidRPr="00E345B2">
        <w:t xml:space="preserve"> Փորձարկումն անցկացնում են ակնաբուժական կիրառության համար նախատեսված բոլոր դեղապատրաստուկների համար՝ պոտենցաչափական մեթոդով, </w:t>
      </w:r>
      <w:r w:rsidRPr="007B145C">
        <w:rPr>
          <w:i/>
        </w:rPr>
        <w:t>«2.1.2.3. pH-ի պոտենցաչափական որոշումը</w:t>
      </w:r>
      <w:r w:rsidRPr="00E345B2">
        <w:t xml:space="preserve">»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 Փորձարկումը չեն անցկացնում համապատասխան հիմնավորման առկայության դեպքում։</w:t>
      </w:r>
    </w:p>
    <w:p w14:paraId="073EFFC7" w14:textId="77777777" w:rsidR="0035054F" w:rsidRPr="00E345B2" w:rsidRDefault="0035054F" w:rsidP="004A289F">
      <w:pPr>
        <w:spacing w:after="160" w:line="360" w:lineRule="auto"/>
        <w:ind w:firstLine="567"/>
        <w:jc w:val="both"/>
      </w:pPr>
      <w:r w:rsidRPr="00D03E8B">
        <w:rPr>
          <w:b/>
        </w:rPr>
        <w:t>Օսմոլալությունը</w:t>
      </w:r>
      <w:r w:rsidRPr="00E345B2">
        <w:t xml:space="preserve">. Ջրային լուծույթներ հանդիսացող աչքի կաթիլների համար որոշում են օսմոլալության արժեքը կամ օսմոլալությունը՝ «2.1.2.32. Օսմոլալությունը»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16E71BF5" w14:textId="77777777" w:rsidR="0035054F" w:rsidRPr="00E345B2" w:rsidRDefault="0035054F" w:rsidP="004A289F">
      <w:pPr>
        <w:spacing w:after="160" w:line="360" w:lineRule="auto"/>
        <w:ind w:firstLine="567"/>
        <w:jc w:val="both"/>
      </w:pPr>
      <w:r w:rsidRPr="00D03E8B">
        <w:rPr>
          <w:b/>
        </w:rPr>
        <w:t>Մասնիկների չափը.</w:t>
      </w:r>
      <w:r w:rsidRPr="00E345B2">
        <w:t xml:space="preserve"> Փորձարկումն անցկացնում են փափուկ դեղաձ</w:t>
      </w:r>
      <w:r>
        <w:t>եւ</w:t>
      </w:r>
      <w:r w:rsidRPr="00E345B2">
        <w:t xml:space="preserve">երի տեսքով ակնաբուժական կիրառության համար նախատեսված </w:t>
      </w:r>
      <w:r w:rsidRPr="00E345B2">
        <w:lastRenderedPageBreak/>
        <w:t>դեղապատրաստուկների, ակնաբուժական կիրառության համար նախատեսված կախույթների կամ էմուլսիաների համար՝ «</w:t>
      </w:r>
      <w:r w:rsidRPr="00AA7C33">
        <w:rPr>
          <w:i/>
        </w:rPr>
        <w:t>2.1.9.25. Կախույթներում, էմուլսիաներում, փափուկ դեղաձեւերում մասնիկների չափի որոշումը»</w:t>
      </w:r>
      <w:r w:rsidRPr="00E345B2">
        <w:t xml:space="preserve"> ընդհանուր դեղագրքային հոդվածին համապատասխան։</w:t>
      </w:r>
    </w:p>
    <w:p w14:paraId="3B28555B" w14:textId="77777777" w:rsidR="0035054F" w:rsidRPr="00E345B2" w:rsidRDefault="0035054F" w:rsidP="004A289F">
      <w:pPr>
        <w:spacing w:after="160" w:line="360" w:lineRule="auto"/>
        <w:ind w:firstLine="567"/>
        <w:jc w:val="both"/>
      </w:pPr>
      <w:r w:rsidRPr="00E345B2">
        <w:t>Մետաղական մասնիկները. Փորձարկումն անցկացնում են մետաղական պարկուճներ հանդիսացող փաթեթվածք ունեցող աչքի քսուքների համար՝ «</w:t>
      </w:r>
      <w:r w:rsidRPr="00AA7C33">
        <w:rPr>
          <w:i/>
        </w:rPr>
        <w:t>2.1.9.27. Աչքի քսուքներում մետաղական մասնիկներ</w:t>
      </w:r>
      <w:r w:rsidRPr="00E345B2">
        <w:t>ը» ընդհանուր դեղագրքային հոդվածին համապատասխան։</w:t>
      </w:r>
    </w:p>
    <w:p w14:paraId="155F4540" w14:textId="77777777" w:rsidR="0035054F" w:rsidRPr="00E345B2" w:rsidRDefault="0035054F" w:rsidP="004A289F">
      <w:pPr>
        <w:spacing w:after="160" w:line="360" w:lineRule="auto"/>
        <w:ind w:firstLine="567"/>
        <w:jc w:val="both"/>
      </w:pPr>
      <w:r w:rsidRPr="00E345B2">
        <w:t xml:space="preserve">Մածուցիկությունը. Փորձարկումն անցկացնում են կարբոմերի լուծույթներ հանդիսացող աչքի դոնդողների համար՝ </w:t>
      </w:r>
      <w:r w:rsidRPr="00AA7C33">
        <w:rPr>
          <w:i/>
        </w:rPr>
        <w:t>«2.1.2.10. Ռոտացիոն մածուցիկաչափության մեթոդը»</w:t>
      </w:r>
      <w:r w:rsidRPr="00E345B2">
        <w:t xml:space="preserve"> ընդհանուր դեղագրքային հոդվածին համապատասխան։</w:t>
      </w:r>
    </w:p>
    <w:p w14:paraId="02F05CC7" w14:textId="77777777" w:rsidR="0035054F" w:rsidRPr="00E345B2" w:rsidRDefault="0035054F" w:rsidP="004A289F">
      <w:pPr>
        <w:spacing w:after="160" w:line="360" w:lineRule="auto"/>
        <w:ind w:firstLine="567"/>
        <w:jc w:val="both"/>
      </w:pPr>
      <w:r w:rsidRPr="00E345B2">
        <w:t>Ստոր</w:t>
      </w:r>
      <w:r>
        <w:t>եւ</w:t>
      </w:r>
      <w:r w:rsidRPr="00E345B2">
        <w:t xml:space="preserve"> նշված լրացուցիչ փորձարկումները որոշվում են դեղապատրաստուկի դեղաձ</w:t>
      </w:r>
      <w:r>
        <w:t>եւ</w:t>
      </w:r>
      <w:r w:rsidRPr="00E345B2">
        <w:t xml:space="preserve">ի տեսակով </w:t>
      </w:r>
      <w:r>
        <w:t>եւ</w:t>
      </w:r>
      <w:r w:rsidRPr="00E345B2">
        <w:t xml:space="preserve"> կիրառվում են ակնաբուժական կիրառության համար նախատեսված որոշ դեղապատրաստուկների նկատմամբ։</w:t>
      </w:r>
    </w:p>
    <w:p w14:paraId="5A23FE6E" w14:textId="77777777" w:rsidR="0035054F" w:rsidRPr="00E345B2" w:rsidRDefault="0035054F" w:rsidP="004A289F">
      <w:pPr>
        <w:spacing w:after="160" w:line="360" w:lineRule="auto"/>
        <w:ind w:firstLine="567"/>
        <w:jc w:val="both"/>
      </w:pPr>
      <w:r w:rsidRPr="00E345B2">
        <w:rPr>
          <w:i/>
        </w:rPr>
        <w:t>Աչքի կաթիլներ</w:t>
      </w:r>
      <w:r w:rsidRPr="00E345B2">
        <w:t xml:space="preserve"> դեղաձ</w:t>
      </w:r>
      <w:r>
        <w:t>եւ</w:t>
      </w:r>
      <w:r w:rsidRPr="00E345B2">
        <w:t xml:space="preserve">ի տեսքով՝ ակնաբուժական կիրառության համար նախատեսված դեղապատրաստուկները պետք է համապատասխանեն </w:t>
      </w:r>
      <w:r w:rsidRPr="00AA7C33">
        <w:rPr>
          <w:i/>
        </w:rPr>
        <w:t xml:space="preserve">«2.5.1.9. Կաթիլները» </w:t>
      </w:r>
      <w:r w:rsidRPr="00E345B2">
        <w:t xml:space="preserve">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31E4AE63" w14:textId="77777777" w:rsidR="0035054F" w:rsidRPr="00E345B2" w:rsidRDefault="0035054F" w:rsidP="004A289F">
      <w:pPr>
        <w:spacing w:after="160" w:line="360" w:lineRule="auto"/>
        <w:ind w:firstLine="567"/>
        <w:jc w:val="both"/>
      </w:pPr>
      <w:r w:rsidRPr="00E345B2">
        <w:t>Աչքերը լվանալու լուծույթները, ինչպես նա</w:t>
      </w:r>
      <w:r>
        <w:t>եւ</w:t>
      </w:r>
      <w:r w:rsidRPr="00E345B2">
        <w:t xml:space="preserve"> </w:t>
      </w:r>
      <w:r w:rsidRPr="00E345B2">
        <w:rPr>
          <w:i/>
        </w:rPr>
        <w:t>Լուծույթներ</w:t>
      </w:r>
      <w:r w:rsidRPr="00E345B2">
        <w:t xml:space="preserve"> դեղաձ</w:t>
      </w:r>
      <w:r>
        <w:t>եւ</w:t>
      </w:r>
      <w:r w:rsidRPr="00E345B2">
        <w:t xml:space="preserve">ը հանդիսացող աչքի կաթիլները պետք է համապատասխանեն </w:t>
      </w:r>
      <w:r w:rsidRPr="00AA7C33">
        <w:rPr>
          <w:i/>
        </w:rPr>
        <w:t xml:space="preserve">«2.5.1.25. Լուծույթները» </w:t>
      </w:r>
      <w:r w:rsidRPr="00E345B2">
        <w:t xml:space="preserve">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2D02D013" w14:textId="77777777" w:rsidR="0035054F" w:rsidRPr="00E345B2" w:rsidRDefault="0035054F" w:rsidP="004A289F">
      <w:pPr>
        <w:spacing w:after="160" w:line="360" w:lineRule="auto"/>
        <w:ind w:firstLine="567"/>
        <w:jc w:val="both"/>
      </w:pPr>
      <w:r w:rsidRPr="00E345B2">
        <w:t xml:space="preserve">Կախույթներ հանդիսացող </w:t>
      </w:r>
      <w:r w:rsidRPr="00E345B2">
        <w:rPr>
          <w:i/>
        </w:rPr>
        <w:t>Աչքի կաթիլներ</w:t>
      </w:r>
      <w:r w:rsidRPr="00E345B2">
        <w:t xml:space="preserve"> դեղաձ</w:t>
      </w:r>
      <w:r>
        <w:t>եւ</w:t>
      </w:r>
      <w:r w:rsidRPr="00E345B2">
        <w:t>երը պետք է համապատասխանեն «</w:t>
      </w:r>
      <w:r w:rsidRPr="00AA7C33">
        <w:rPr>
          <w:i/>
        </w:rPr>
        <w:t>2.5.1.33. Կախույթները»</w:t>
      </w:r>
      <w:r w:rsidRPr="00E345B2">
        <w:t xml:space="preserve"> ընդհանուր դեղագրքային </w:t>
      </w:r>
      <w:r w:rsidRPr="00E345B2">
        <w:lastRenderedPageBreak/>
        <w:t xml:space="preserve">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5FF54703" w14:textId="77777777" w:rsidR="0035054F" w:rsidRPr="00E345B2" w:rsidRDefault="0035054F" w:rsidP="004A289F">
      <w:pPr>
        <w:spacing w:after="160" w:line="360" w:lineRule="auto"/>
        <w:ind w:firstLine="567"/>
        <w:jc w:val="both"/>
      </w:pPr>
      <w:r w:rsidRPr="00E345B2">
        <w:t xml:space="preserve">Էմուլսիաներ հանդիսացող </w:t>
      </w:r>
      <w:r w:rsidRPr="00E345B2">
        <w:rPr>
          <w:i/>
        </w:rPr>
        <w:t>Աչքի կաթիլներ</w:t>
      </w:r>
      <w:r w:rsidRPr="00E345B2">
        <w:t xml:space="preserve"> դեղաձ</w:t>
      </w:r>
      <w:r>
        <w:t>եւ</w:t>
      </w:r>
      <w:r w:rsidRPr="00E345B2">
        <w:t xml:space="preserve">երը պետք է համապատասխանեն </w:t>
      </w:r>
      <w:r w:rsidRPr="007B145C">
        <w:rPr>
          <w:i/>
        </w:rPr>
        <w:t>«2.5.1.39. Էմուլսիաները»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5FB21D52" w14:textId="77777777" w:rsidR="0035054F" w:rsidRPr="00E345B2" w:rsidRDefault="0035054F" w:rsidP="004A289F">
      <w:pPr>
        <w:spacing w:after="160" w:line="360" w:lineRule="auto"/>
        <w:ind w:firstLine="567"/>
        <w:jc w:val="both"/>
      </w:pPr>
      <w:r w:rsidRPr="00E345B2">
        <w:t xml:space="preserve">Աչքի կաթիլների պատրաստման համար նախատեսված </w:t>
      </w:r>
      <w:r w:rsidRPr="00E345B2">
        <w:rPr>
          <w:i/>
        </w:rPr>
        <w:t>Դեղահաբեր, Փոշիներ կամ Լիոֆիլիզատներ</w:t>
      </w:r>
      <w:r w:rsidRPr="00E345B2">
        <w:t xml:space="preserve"> դեղաձ</w:t>
      </w:r>
      <w:r>
        <w:t>եւ</w:t>
      </w:r>
      <w:r w:rsidRPr="00E345B2">
        <w:t xml:space="preserve">եր հանդիսացող՝ ակնաբուժական կիրառության համար նախատեսված դեղապատրաստուկները պետք է համապատասխանեն համապատասխանաբար </w:t>
      </w:r>
      <w:r w:rsidRPr="00AA7C33">
        <w:rPr>
          <w:i/>
        </w:rPr>
        <w:t>«2.5.1.34. Դեղահաբերը</w:t>
      </w:r>
      <w:r w:rsidRPr="00E345B2">
        <w:t xml:space="preserve">» (բացառելով Տրոհելիությունը, Լուծվելը ցուցանիշները), </w:t>
      </w:r>
      <w:r w:rsidRPr="00AA7C33">
        <w:rPr>
          <w:i/>
        </w:rPr>
        <w:t>«2.5.1.24. Փոշիները</w:t>
      </w:r>
      <w:r w:rsidRPr="00E345B2">
        <w:t xml:space="preserve">» (բացառելով Մասնիկների չափը ցուցանիշը), </w:t>
      </w:r>
      <w:r w:rsidRPr="00AA7C33">
        <w:rPr>
          <w:i/>
        </w:rPr>
        <w:t>«2.5.1.14. Լիոֆիլիզատները</w:t>
      </w:r>
      <w:r w:rsidRPr="00E345B2">
        <w:t xml:space="preserve">» ընդհանուր դեղագրքային հոդվածներին </w:t>
      </w:r>
      <w:r>
        <w:t>եւ</w:t>
      </w:r>
      <w:r w:rsidRPr="00E345B2">
        <w:t xml:space="preserve"> համապատասխան մասնավոր դեղագրքային հոդվածներում </w:t>
      </w:r>
      <w:r>
        <w:t>եւ</w:t>
      </w:r>
      <w:r w:rsidRPr="00E345B2">
        <w:t xml:space="preserve"> (կամ) որակի վերաբերյալ նորմատիվ փաստաթղթերում նշված պահանջներին։</w:t>
      </w:r>
    </w:p>
    <w:p w14:paraId="4F1BCDD2" w14:textId="77777777" w:rsidR="0035054F" w:rsidRPr="00E345B2" w:rsidRDefault="0035054F" w:rsidP="004A289F">
      <w:pPr>
        <w:spacing w:after="160" w:line="360" w:lineRule="auto"/>
        <w:ind w:firstLine="567"/>
        <w:jc w:val="both"/>
      </w:pPr>
      <w:r w:rsidRPr="00E345B2">
        <w:rPr>
          <w:i/>
        </w:rPr>
        <w:t xml:space="preserve">Աչքի քսուքներ, Աչքի նրբաքսուքներ, Աչքի դոնդողներ </w:t>
      </w:r>
      <w:r w:rsidRPr="00E345B2">
        <w:t>դեղաձ</w:t>
      </w:r>
      <w:r>
        <w:t>եւ</w:t>
      </w:r>
      <w:r w:rsidRPr="00E345B2">
        <w:t xml:space="preserve">եր հանդիսացող՝ ակնաբուժական կիրառության համար նախատեսված դեղապատրաստուկները պետք է համապատասխանեն </w:t>
      </w:r>
      <w:r w:rsidRPr="00AA7C33">
        <w:rPr>
          <w:i/>
        </w:rPr>
        <w:t>«2.5.1.40. Փափուկ դեղաձեւերը»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78B3D4DE" w14:textId="77777777" w:rsidR="0035054F" w:rsidRPr="00E345B2" w:rsidRDefault="0035054F" w:rsidP="004A289F">
      <w:pPr>
        <w:spacing w:after="160" w:line="360" w:lineRule="auto"/>
        <w:ind w:firstLine="567"/>
        <w:jc w:val="both"/>
      </w:pPr>
      <w:r w:rsidRPr="00E345B2">
        <w:t>Կենսալուծվող պոլիմերներից</w:t>
      </w:r>
      <w:r w:rsidRPr="00E345B2">
        <w:rPr>
          <w:i/>
        </w:rPr>
        <w:t xml:space="preserve"> Աչքի թաղանթներ </w:t>
      </w:r>
      <w:r w:rsidRPr="00E345B2">
        <w:t>դեղաձ</w:t>
      </w:r>
      <w:r>
        <w:t>եւ</w:t>
      </w:r>
      <w:r w:rsidRPr="00E345B2">
        <w:t xml:space="preserve"> հանդիսացող՝ ակնաբուժական կիրառության համար նախատեսված դեղապատրաստուկները պետք է համապատասխանեն </w:t>
      </w:r>
      <w:r w:rsidRPr="00AA7C33">
        <w:rPr>
          <w:i/>
        </w:rPr>
        <w:t>«2.5.1.22. Թաղանթները</w:t>
      </w:r>
      <w:r w:rsidRPr="00E345B2">
        <w:t xml:space="preserve">» (բացառելով Լուծվելը ցուցանիշը)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25FA31DA" w14:textId="77777777" w:rsidR="0035054F" w:rsidRPr="00E345B2" w:rsidRDefault="0035054F" w:rsidP="004A289F">
      <w:pPr>
        <w:spacing w:after="160" w:line="360" w:lineRule="auto"/>
        <w:ind w:firstLine="567"/>
        <w:jc w:val="both"/>
      </w:pPr>
    </w:p>
    <w:p w14:paraId="0A572C93" w14:textId="77777777" w:rsidR="0035054F" w:rsidRPr="00D03E8B" w:rsidRDefault="0035054F" w:rsidP="004A289F">
      <w:pPr>
        <w:spacing w:after="160" w:line="360" w:lineRule="auto"/>
        <w:ind w:firstLine="567"/>
        <w:jc w:val="both"/>
        <w:rPr>
          <w:b/>
        </w:rPr>
      </w:pPr>
      <w:r w:rsidRPr="00D03E8B">
        <w:rPr>
          <w:b/>
        </w:rPr>
        <w:lastRenderedPageBreak/>
        <w:t>ՓԱԹԵԹՎԱԾՔԸ</w:t>
      </w:r>
    </w:p>
    <w:p w14:paraId="4D55B59B" w14:textId="77777777" w:rsidR="0035054F" w:rsidRPr="00E345B2" w:rsidRDefault="0035054F" w:rsidP="004A289F">
      <w:pPr>
        <w:spacing w:after="160" w:line="360" w:lineRule="auto"/>
        <w:ind w:firstLine="567"/>
        <w:jc w:val="both"/>
      </w:pPr>
      <w:r w:rsidRPr="00E345B2">
        <w:t xml:space="preserve">Ակնաբուժական կիրառության համար նախատեսված դեղապատրաստուկները թողարկում են մանրէազերծ միադեղաչափ </w:t>
      </w:r>
      <w:r>
        <w:t>եւ</w:t>
      </w:r>
      <w:r w:rsidRPr="00E345B2">
        <w:t xml:space="preserve"> բազմադեղաչափ փաթեթվածքներով՝ վերահսկելով առաջին անգամ բացելը։</w:t>
      </w:r>
    </w:p>
    <w:p w14:paraId="6C24C99B" w14:textId="77777777" w:rsidR="0035054F" w:rsidRPr="00E345B2" w:rsidRDefault="0035054F" w:rsidP="004A289F">
      <w:pPr>
        <w:spacing w:after="160" w:line="360" w:lineRule="auto"/>
        <w:ind w:firstLine="567"/>
        <w:jc w:val="both"/>
      </w:pPr>
      <w:r w:rsidRPr="00E345B2">
        <w:t>Աչքի կաթիլների բազմադեղաչափ փաթեթվածքը պետք է պարունակի ոչ ավելի, քան 10 մլ դեղապատրաստուկ՝ այլ հիմնավորման բացակայության դեպքում։ Աչքի քսուքները, աչքի դոնդողները, աչքի նրբաքսուքները փաթեթավորում են դեղապատրաստուկի ոչ ավելի, քան 10 գ զանգվածով, ներկառուցված կամ կցված ծայրապանակով մանրէազերծ, սեղմվող փոքրածավալ պարկուճների մեջ՝ այլ հիմնավորման բացակայության դեպքում։</w:t>
      </w:r>
    </w:p>
    <w:p w14:paraId="5A573864" w14:textId="77777777" w:rsidR="0035054F" w:rsidRPr="00E345B2" w:rsidRDefault="0035054F" w:rsidP="004A289F">
      <w:pPr>
        <w:spacing w:after="160" w:line="360" w:lineRule="auto"/>
        <w:ind w:firstLine="567"/>
        <w:jc w:val="both"/>
      </w:pPr>
      <w:r w:rsidRPr="00E345B2">
        <w:t>Բազմադեղաչափ փաթեթվածքով, աչքերը լվանալու լուծույթի ծավալը պետք է լինի ոչ ավելի, քան 200 մլ՝ այլ հիմնավորման բացակայության դեպքում։</w:t>
      </w:r>
    </w:p>
    <w:p w14:paraId="5F1B428C" w14:textId="77777777" w:rsidR="0035054F" w:rsidRPr="00E345B2" w:rsidRDefault="0035054F" w:rsidP="004A289F">
      <w:pPr>
        <w:spacing w:after="160" w:line="360" w:lineRule="auto"/>
        <w:ind w:firstLine="567"/>
        <w:jc w:val="both"/>
      </w:pPr>
    </w:p>
    <w:p w14:paraId="33D4D61E" w14:textId="77777777" w:rsidR="0035054F" w:rsidRPr="00B5542D" w:rsidRDefault="0035054F" w:rsidP="00D03E8B">
      <w:pPr>
        <w:spacing w:after="160" w:line="360" w:lineRule="auto"/>
        <w:ind w:firstLine="567"/>
        <w:jc w:val="right"/>
        <w:rPr>
          <w:b/>
          <w:sz w:val="20"/>
        </w:rPr>
      </w:pPr>
      <w:r w:rsidRPr="00D03E8B">
        <w:rPr>
          <w:b/>
          <w:sz w:val="20"/>
        </w:rPr>
        <w:t>205030040-2022</w:t>
      </w:r>
    </w:p>
    <w:p w14:paraId="07270DE6" w14:textId="77777777" w:rsidR="00D03E8B" w:rsidRPr="00B5542D" w:rsidRDefault="00D03E8B" w:rsidP="004A289F">
      <w:pPr>
        <w:spacing w:after="160" w:line="360" w:lineRule="auto"/>
        <w:ind w:firstLine="567"/>
        <w:jc w:val="both"/>
        <w:rPr>
          <w:b/>
        </w:rPr>
      </w:pPr>
    </w:p>
    <w:p w14:paraId="004CF199" w14:textId="77777777" w:rsidR="0035054F" w:rsidRPr="00D03E8B" w:rsidRDefault="0035054F" w:rsidP="00D03E8B">
      <w:pPr>
        <w:tabs>
          <w:tab w:val="left" w:pos="1701"/>
        </w:tabs>
        <w:spacing w:after="160" w:line="360" w:lineRule="auto"/>
        <w:ind w:firstLine="567"/>
        <w:jc w:val="both"/>
        <w:rPr>
          <w:b/>
        </w:rPr>
      </w:pPr>
      <w:r w:rsidRPr="00D03E8B">
        <w:rPr>
          <w:b/>
        </w:rPr>
        <w:t>2.5.3.4.</w:t>
      </w:r>
      <w:r w:rsidR="00D03E8B" w:rsidRPr="00B5542D">
        <w:rPr>
          <w:b/>
        </w:rPr>
        <w:tab/>
      </w:r>
      <w:r w:rsidRPr="00D03E8B">
        <w:rPr>
          <w:b/>
        </w:rPr>
        <w:t>Պարէնտերալ կիրառության համար նախատեսված դեղապատրաստուկները</w:t>
      </w:r>
    </w:p>
    <w:p w14:paraId="22DD212C" w14:textId="77777777" w:rsidR="0035054F" w:rsidRPr="00E345B2" w:rsidRDefault="0035054F" w:rsidP="004A289F">
      <w:pPr>
        <w:spacing w:after="160" w:line="360" w:lineRule="auto"/>
        <w:ind w:firstLine="567"/>
        <w:jc w:val="both"/>
      </w:pPr>
      <w:r w:rsidRPr="00E345B2">
        <w:t>Պարէնտերալ կիրառության համար նախատեսված դեղապատրաստուկները մանրէազերծ պատրաստուկներ են, որոնք նախատեսված են մաշկային ծածկույթների կամ լորձաթաղանթների ամբողջականությունը խախտելով՝ ներարկումների, կաթիլաներարկումների կամ ներպատվաստման միջոցով մարդու կամ կենդանու օրգանիզմ ներմուծելու համար։</w:t>
      </w:r>
    </w:p>
    <w:p w14:paraId="184E5D5F" w14:textId="77777777" w:rsidR="0035054F" w:rsidRPr="00B5542D" w:rsidRDefault="0035054F" w:rsidP="004A289F">
      <w:pPr>
        <w:spacing w:after="160" w:line="360" w:lineRule="auto"/>
        <w:ind w:firstLine="567"/>
        <w:jc w:val="both"/>
      </w:pPr>
      <w:r w:rsidRPr="00E345B2">
        <w:t xml:space="preserve">Սույն ընդհանուր դեղագրքային հոդվածի պահանջները չեն տարածվում մարդու արյունից ստացված, իմունակենսաբանական </w:t>
      </w:r>
      <w:r>
        <w:t>եւ</w:t>
      </w:r>
      <w:r w:rsidRPr="00E345B2">
        <w:t xml:space="preserve"> ռադիոդեղագործական՝ պարէնտերալ կիրառության համար նախատեսված դեղապատրաստուկների վրա։</w:t>
      </w:r>
    </w:p>
    <w:p w14:paraId="1160B2D9" w14:textId="77777777" w:rsidR="00AA7C33" w:rsidRPr="00B5542D" w:rsidRDefault="00AA7C33" w:rsidP="004A289F">
      <w:pPr>
        <w:spacing w:after="160" w:line="360" w:lineRule="auto"/>
        <w:ind w:firstLine="567"/>
        <w:jc w:val="both"/>
      </w:pPr>
    </w:p>
    <w:p w14:paraId="45B9DE30" w14:textId="77777777" w:rsidR="0035054F" w:rsidRPr="00E345B2" w:rsidRDefault="0035054F" w:rsidP="004A289F">
      <w:pPr>
        <w:spacing w:after="160" w:line="360" w:lineRule="auto"/>
        <w:ind w:firstLine="567"/>
        <w:jc w:val="both"/>
      </w:pPr>
      <w:r w:rsidRPr="00E345B2">
        <w:lastRenderedPageBreak/>
        <w:t>Հատուկ պահանջներ կարող են կիրառվել պարէնտերալ կիրառության համար նախատեսված այն դեղապատրաստուկների համար, որոնք</w:t>
      </w:r>
      <w:r>
        <w:t xml:space="preserve"> </w:t>
      </w:r>
      <w:r w:rsidRPr="00E345B2">
        <w:t>անասնաբուժության մեջ օգտագործվում են՝ կենդանու տեսակով պայմանավորված։</w:t>
      </w:r>
    </w:p>
    <w:p w14:paraId="068DA97D" w14:textId="77777777" w:rsidR="0035054F" w:rsidRPr="00E345B2" w:rsidRDefault="0035054F" w:rsidP="004A289F">
      <w:pPr>
        <w:spacing w:after="160" w:line="360" w:lineRule="auto"/>
        <w:ind w:firstLine="567"/>
        <w:jc w:val="both"/>
      </w:pPr>
      <w:r w:rsidRPr="00E345B2">
        <w:t xml:space="preserve">Ներարկումների համար նախատեսված դեղապատրաստուկները </w:t>
      </w:r>
      <w:r>
        <w:t>եւ</w:t>
      </w:r>
      <w:r w:rsidRPr="00E345B2">
        <w:t xml:space="preserve"> կաթիլաներարկումների համար նախատեսված դեղապատրաստուկները թողարկում են հետ</w:t>
      </w:r>
      <w:r>
        <w:t>եւ</w:t>
      </w:r>
      <w:r w:rsidRPr="00E345B2">
        <w:t>յալ դեղաձ</w:t>
      </w:r>
      <w:r>
        <w:t>եւ</w:t>
      </w:r>
      <w:r w:rsidRPr="00E345B2">
        <w:t>երով.</w:t>
      </w:r>
    </w:p>
    <w:p w14:paraId="03ABCFEB"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հեղուկ դեղաձ</w:t>
      </w:r>
      <w:r>
        <w:t>եւ</w:t>
      </w:r>
      <w:r w:rsidRPr="00E345B2">
        <w:t>եր՝ ներարկումների համար լուծույթներ, ներարկումների համար կախույթներ, ներարկումների համար էմուլսիաներ, կաթիլաներարկումների համար լուծույթներ, կաթիլաներարկումների համար էմուլսիաներ, ներարկումների կամ կաթիլաներարկումների համար նախատեսված դեղապատրաստուկների պատրաստման համար կոնցենտրատներ.</w:t>
      </w:r>
    </w:p>
    <w:p w14:paraId="715423FD"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փափուկ դեղաձ</w:t>
      </w:r>
      <w:r>
        <w:t>եւ</w:t>
      </w:r>
      <w:r w:rsidRPr="00E345B2">
        <w:t>եր՝ ներարկումների համար դոնդողներ, ենթամաշկային ներմուծման համար դոնդողներ.</w:t>
      </w:r>
    </w:p>
    <w:p w14:paraId="43F594E6"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պինդ դեղաձ</w:t>
      </w:r>
      <w:r>
        <w:t>եւ</w:t>
      </w:r>
      <w:r w:rsidRPr="00E345B2">
        <w:t>եր՝ ներարկումների կամ կաթիլաներարկումների համար նախատեսված դեղապատրաստուկների պատրաստման համար փոշիներ. ներարկումների կամ կաթիլաներարկումների համար նախատեսված դեղապատրաստուկների պատրաստման համար լիոֆիլիզատներ։</w:t>
      </w:r>
    </w:p>
    <w:p w14:paraId="3F5E1C4A" w14:textId="77777777" w:rsidR="0035054F" w:rsidRPr="00E345B2" w:rsidRDefault="0035054F" w:rsidP="004A289F">
      <w:pPr>
        <w:spacing w:after="160" w:line="360" w:lineRule="auto"/>
        <w:ind w:firstLine="567"/>
        <w:jc w:val="both"/>
      </w:pPr>
      <w:r w:rsidRPr="00E345B2">
        <w:t>Պարէնտերալ կիրառության համար նախատեսված այն դեղապատրաստուկները, որոնք ստացվել են կոնցենտրատների նոսրացումից, ներարկումների կամ կաթիլաներարկումների համար նախատեսված դեղապատրաստուկների պատրաստման համար փոշիների կամ լիոֆիլիզատների լուծումից կամ ներարկումների համար նախատեսված դեղապատրաստուկների պատրաստման համար փոշիների կամ լիոֆիլիզատների դիսպերսումից հետո, պետք է համապատասխանեն ներարկումների համար նախատեսված դեղապատրաստուկներին կամ կաթիլաներարկումների համար նախատեսված դեղապատրաստուկներին ներկայացվող պահանջներին։</w:t>
      </w:r>
    </w:p>
    <w:p w14:paraId="18700978" w14:textId="77777777" w:rsidR="0035054F" w:rsidRPr="00E345B2" w:rsidRDefault="0035054F" w:rsidP="004A289F">
      <w:pPr>
        <w:spacing w:after="160" w:line="360" w:lineRule="auto"/>
        <w:ind w:firstLine="567"/>
        <w:jc w:val="both"/>
      </w:pPr>
      <w:r w:rsidRPr="00E345B2">
        <w:lastRenderedPageBreak/>
        <w:t xml:space="preserve">Պարէնտերալ կիրառության համար նախատեսված դեղապատրաստուկները կարող են թողարկվել միադեղաչափ կամ բազմադեղաչափ փաթեթվածքներով։ Պարէնտերալ կիրառության համար նախատեսված դեղապատրաստուկները կարող են լինել փոքր ծավալի՝ 100 մլ </w:t>
      </w:r>
      <w:r>
        <w:t>եւ</w:t>
      </w:r>
      <w:r w:rsidRPr="00E345B2">
        <w:t xml:space="preserve"> դրանից պակաս նոմինալ պարունակությամբ փաթեթվածքներով թողարկվող, </w:t>
      </w:r>
      <w:r>
        <w:t>եւ</w:t>
      </w:r>
      <w:r w:rsidRPr="00E345B2">
        <w:t xml:space="preserve"> մեծ ծավալի՝ 100 մլ-ից ավելի նոմինալ պարունակությամբ փաթեթվածքներով թողարկվող։</w:t>
      </w:r>
    </w:p>
    <w:p w14:paraId="1D27F81E" w14:textId="77777777" w:rsidR="0035054F" w:rsidRPr="00E345B2" w:rsidRDefault="0035054F" w:rsidP="004A289F">
      <w:pPr>
        <w:spacing w:after="160" w:line="360" w:lineRule="auto"/>
        <w:ind w:firstLine="567"/>
        <w:jc w:val="both"/>
      </w:pPr>
      <w:r w:rsidRPr="00E345B2">
        <w:t>Ներպատվաստման համար նախատեսված դեղապատրաստուկները թողարկում են հետ</w:t>
      </w:r>
      <w:r>
        <w:t>եւ</w:t>
      </w:r>
      <w:r w:rsidRPr="00E345B2">
        <w:t>յալ դեղաձ</w:t>
      </w:r>
      <w:r>
        <w:t>եւ</w:t>
      </w:r>
      <w:r w:rsidRPr="00E345B2">
        <w:t>երով.</w:t>
      </w:r>
    </w:p>
    <w:p w14:paraId="2166613B"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պինդ դեղաձ</w:t>
      </w:r>
      <w:r>
        <w:t>եւ</w:t>
      </w:r>
      <w:r w:rsidRPr="00E345B2">
        <w:t>եր՝ ներպատվաստներ, ներառյալ՝ ինտրավիտրեալ ներպատվաստները. ներպատվաստման համար դեղահաբեր.</w:t>
      </w:r>
    </w:p>
    <w:p w14:paraId="6FACCF1A"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հեղուկ դեղաձ</w:t>
      </w:r>
      <w:r>
        <w:t>եւ</w:t>
      </w:r>
      <w:r w:rsidRPr="00E345B2">
        <w:t>եր՝ ներպատվաստման համար կախույթներ։</w:t>
      </w:r>
    </w:p>
    <w:p w14:paraId="5391FAE6"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դեղապատրաստուկներին ներկայացվող ընդհանուր պահանջները բերված են </w:t>
      </w:r>
      <w:r w:rsidRPr="00AA7C33">
        <w:rPr>
          <w:i/>
        </w:rPr>
        <w:t>«2.5.3.1. Դեղապատրաստուկները</w:t>
      </w:r>
      <w:r w:rsidRPr="00E345B2">
        <w:t>» ընդհանուր դեղագրքային հոդվածում</w:t>
      </w:r>
      <w:r w:rsidRPr="00AA7C33">
        <w:rPr>
          <w:i/>
        </w:rPr>
        <w:t>, «2.5.1.1. Դեղաձեւերը»</w:t>
      </w:r>
      <w:r w:rsidRPr="00E345B2">
        <w:t xml:space="preserve"> ընդհանուր դեղագրքային հոդվածում </w:t>
      </w:r>
      <w:r>
        <w:t>եւ</w:t>
      </w:r>
      <w:r w:rsidRPr="00E345B2">
        <w:t xml:space="preserve"> կոնկրետ դեղաձ</w:t>
      </w:r>
      <w:r>
        <w:t>եւ</w:t>
      </w:r>
      <w:r w:rsidRPr="00E345B2">
        <w:t>ի առնչվող ընդհանուր դեղագրքային հոդվածներում։</w:t>
      </w:r>
    </w:p>
    <w:p w14:paraId="22533D79" w14:textId="77777777" w:rsidR="0035054F" w:rsidRPr="00E345B2" w:rsidRDefault="0035054F" w:rsidP="004A289F">
      <w:pPr>
        <w:spacing w:after="160" w:line="360" w:lineRule="auto"/>
        <w:ind w:firstLine="567"/>
        <w:jc w:val="both"/>
      </w:pPr>
    </w:p>
    <w:p w14:paraId="6E69FE5B" w14:textId="77777777" w:rsidR="0035054F" w:rsidRPr="00D03E8B" w:rsidRDefault="0035054F" w:rsidP="004A289F">
      <w:pPr>
        <w:spacing w:after="160" w:line="360" w:lineRule="auto"/>
        <w:ind w:firstLine="567"/>
        <w:jc w:val="both"/>
        <w:rPr>
          <w:b/>
        </w:rPr>
      </w:pPr>
      <w:r w:rsidRPr="00D03E8B">
        <w:rPr>
          <w:b/>
        </w:rPr>
        <w:t>ՏԵԽՆՈԼՈԳԻԱՅԻ ԱՌԱՆՁՆԱՀԱՏԿՈՒԹՅՈՒՆՆԵՐԸ</w:t>
      </w:r>
    </w:p>
    <w:p w14:paraId="734FDA1F" w14:textId="77777777" w:rsidR="0035054F" w:rsidRPr="00E345B2" w:rsidRDefault="0035054F" w:rsidP="004A289F">
      <w:pPr>
        <w:spacing w:after="160" w:line="360" w:lineRule="auto"/>
        <w:ind w:firstLine="567"/>
        <w:jc w:val="both"/>
      </w:pPr>
      <w:r w:rsidRPr="00E345B2">
        <w:t>Պարէնտերալ կիրառության համար նախատեսված բոլոր դեղապատրաստուկները պետք է լինեն մանրէազերծ։</w:t>
      </w:r>
    </w:p>
    <w:p w14:paraId="596FDB36"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դեղապատրաստուկների մանրէազերծման մեթոդները </w:t>
      </w:r>
      <w:r>
        <w:t>եւ</w:t>
      </w:r>
      <w:r w:rsidRPr="00E345B2">
        <w:t xml:space="preserve"> պայմանները պետք է ապահովեն դրանց մանրէազերծությունը</w:t>
      </w:r>
      <w:r w:rsidRPr="00AA7C33">
        <w:t xml:space="preserve"> եւ</w:t>
      </w:r>
      <w:r w:rsidRPr="00AA7C33">
        <w:rPr>
          <w:i/>
        </w:rPr>
        <w:t xml:space="preserve"> «2.1.6.1 Մանրէազերծությունը</w:t>
      </w:r>
      <w:r w:rsidRPr="00E345B2">
        <w:t>» ընդհանուր դեղագրքային հոդվածին դեղապատրաստուկի համապատասխանությունը։</w:t>
      </w:r>
    </w:p>
    <w:p w14:paraId="33397B83"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դեղապատրաստուկները, ազդող նյութերի ֆիզիկաքիմիական բնութագրերով պայմանավորված, կարող են </w:t>
      </w:r>
      <w:r w:rsidRPr="00E345B2">
        <w:lastRenderedPageBreak/>
        <w:t>ստացվել վերջնական մանրէազերծման կիրառմամբ կամ առանց դրա (ասեպտիկ պայմաններ)։</w:t>
      </w:r>
    </w:p>
    <w:p w14:paraId="3F4422B6" w14:textId="77777777" w:rsidR="0035054F" w:rsidRPr="00E345B2" w:rsidRDefault="0035054F" w:rsidP="004A289F">
      <w:pPr>
        <w:spacing w:after="160" w:line="360" w:lineRule="auto"/>
        <w:ind w:firstLine="567"/>
        <w:jc w:val="both"/>
      </w:pPr>
      <w:r w:rsidRPr="00E345B2">
        <w:t>Պարէնտերալ կիրառության համար նախատեսված դեղապատրաստուկներ ստանալու եղանակը պայմանավորված է դեղաձ</w:t>
      </w:r>
      <w:r>
        <w:t>եւ</w:t>
      </w:r>
      <w:r w:rsidRPr="00E345B2">
        <w:t>ի տեսակով։</w:t>
      </w:r>
    </w:p>
    <w:p w14:paraId="33F47CF4" w14:textId="77777777" w:rsidR="0035054F" w:rsidRPr="00E345B2" w:rsidRDefault="0035054F" w:rsidP="007E4DEC">
      <w:pPr>
        <w:spacing w:after="160" w:line="346" w:lineRule="auto"/>
        <w:ind w:firstLine="567"/>
        <w:jc w:val="both"/>
      </w:pPr>
      <w:r w:rsidRPr="00E345B2">
        <w:t>Պարէնտերալ կիրառության համար նախատեսված դեղապատրաստուկներ ստանալու համար օգտագործում են ներարկումների համար նախատեսված ջուր։</w:t>
      </w:r>
    </w:p>
    <w:p w14:paraId="456A7881" w14:textId="77777777" w:rsidR="0035054F" w:rsidRPr="00E345B2" w:rsidRDefault="0035054F" w:rsidP="007E4DEC">
      <w:pPr>
        <w:spacing w:after="160" w:line="346" w:lineRule="auto"/>
        <w:ind w:firstLine="567"/>
        <w:jc w:val="both"/>
      </w:pPr>
      <w:r w:rsidRPr="00E345B2">
        <w:t>Պարէնտերալ կիրառության համար նախատեսված դեղապատրաստուկների անջուր լուծույթներ ստանալու համար օգտագործում են դեղամիջոցների արտադրության մեջ օգտագործման համար թույլատրված բուսական ճարպայուղեր կամ օրգանական լուծիչներ։</w:t>
      </w:r>
    </w:p>
    <w:p w14:paraId="209DBADE" w14:textId="77777777" w:rsidR="0035054F" w:rsidRPr="00E345B2" w:rsidRDefault="0035054F" w:rsidP="007E4DEC">
      <w:pPr>
        <w:spacing w:after="160" w:line="346" w:lineRule="auto"/>
        <w:ind w:firstLine="567"/>
        <w:jc w:val="both"/>
      </w:pPr>
      <w:r w:rsidRPr="00E345B2">
        <w:t xml:space="preserve">Համալիր լուծիչների բաղադրության մեջ կարող են օգտագործվել էթանոլ, գլիցերին, պրոպիլենգլիկոլ, մակրոգոլ 400, բենզիլբենզոատ, բենզիլային սպիրտ </w:t>
      </w:r>
      <w:r>
        <w:t>եւ</w:t>
      </w:r>
      <w:r w:rsidRPr="00E345B2">
        <w:t xml:space="preserve"> այլ օժանդակ նյութեր։</w:t>
      </w:r>
    </w:p>
    <w:p w14:paraId="5E168D7F" w14:textId="77777777" w:rsidR="0035054F" w:rsidRPr="00E345B2" w:rsidRDefault="0035054F" w:rsidP="007E4DEC">
      <w:pPr>
        <w:spacing w:after="160" w:line="346" w:lineRule="auto"/>
        <w:ind w:firstLine="567"/>
        <w:jc w:val="both"/>
      </w:pPr>
      <w:r w:rsidRPr="00E345B2">
        <w:t>Պարէնտերալ կիրառության համար նախատեսված դեղապատրաստուկներ ստանալու համար բուսական ճարպայուղեր օգտագործելիս հարկավոր է հատուկ ուշադրություն դարձնել լուծիչի արտաքին տեսքին՝ յուղը 10 °С ջերմաստիճանում պետք է լինի թափանցիկ, առանց հոտի կամ գրեթե առանց հոտի. նա</w:t>
      </w:r>
      <w:r>
        <w:t>եւ</w:t>
      </w:r>
      <w:r w:rsidRPr="00E345B2">
        <w:t xml:space="preserve">՝ մասնավոր դեղագրքային հոդվածի </w:t>
      </w:r>
      <w:r>
        <w:t>եւ</w:t>
      </w:r>
      <w:r w:rsidRPr="00E345B2">
        <w:t xml:space="preserve"> (կամ) կոնկրետ յուղի համար սահմանված որակի վերաբերյալ նորմատիվ փաստաթղթի պահանջներին որակի այնպիսի ցուցանիշների համապատասխանությանը, ինչպիսիք են թթվային թիվը, օճառացման թիվը, յոդային թիվը։</w:t>
      </w:r>
    </w:p>
    <w:p w14:paraId="223F197B" w14:textId="77777777" w:rsidR="0035054F" w:rsidRPr="007E4DEC" w:rsidRDefault="0035054F" w:rsidP="007E4DEC">
      <w:pPr>
        <w:spacing w:after="160" w:line="346" w:lineRule="auto"/>
        <w:ind w:firstLine="567"/>
        <w:jc w:val="both"/>
      </w:pPr>
      <w:r w:rsidRPr="00E345B2">
        <w:t xml:space="preserve">Պարէնտերալ կիրառության համար նախատեսված դեղապատրաստուկներ ստանալու համար կարող են օգտագործվել տարբեր ֆունկցիոնալ դասերի օժանդակ նյութեր, օրինակ՝ այնպիսիք, որոնք ապահովում են արյան նկատմամբ դեղապատրաստուկի իզոտոնիկությունը, pH-ի կարգավորիչներ, ազդող նյութերի լուծելիության բարելավիչներ, հակամանրէային կոնսերվանտներ, հակաօքսիդանտներ, կայունացուցիչներ, էմուլսարարներ </w:t>
      </w:r>
      <w:r>
        <w:t>եւ</w:t>
      </w:r>
      <w:r w:rsidRPr="00E345B2">
        <w:t xml:space="preserve"> պատշաճ </w:t>
      </w:r>
      <w:r w:rsidRPr="007E4DEC">
        <w:t>հիմնավորման դեպքում՝ այլ նյութեր։</w:t>
      </w:r>
    </w:p>
    <w:p w14:paraId="69C13D14" w14:textId="77777777" w:rsidR="0035054F" w:rsidRPr="00AA7C33" w:rsidRDefault="0035054F" w:rsidP="004A289F">
      <w:pPr>
        <w:spacing w:after="160" w:line="360" w:lineRule="auto"/>
        <w:ind w:firstLine="567"/>
        <w:jc w:val="both"/>
      </w:pPr>
      <w:r w:rsidRPr="007E4DEC">
        <w:lastRenderedPageBreak/>
        <w:t>Հակամանրէային կոնսերվանտներ եւ հակաօքսիդանտներ պարունակող պարէնտերալ կիրառության համար նախատեսված դեղապատրաստուկների դեպքում անհրաժեշտ է անցկացնել դրանց նույնականացման եւ քանակական որոշման փորձարկումներ՝ նշելով դրանց պարունակության (վերին եւ ստորին) սահմանաչափերը։</w:t>
      </w:r>
    </w:p>
    <w:p w14:paraId="3551075A" w14:textId="77777777" w:rsidR="0035054F" w:rsidRPr="00E345B2" w:rsidRDefault="0035054F" w:rsidP="007E4DEC">
      <w:pPr>
        <w:spacing w:after="160" w:line="346" w:lineRule="auto"/>
        <w:ind w:firstLine="567"/>
        <w:jc w:val="both"/>
      </w:pPr>
      <w:r w:rsidRPr="00AA7C33">
        <w:t>Ընդ որում, պարէնտերալ կիրառության համար նախատեսված դեղապատրաստուկների մեջ որոշ օժանդակ նյութերի պարունակությունը պետք է հիմնավորվի։ Սնդիկ եւ կատիոնային մակերեւութային ակտիվ միացություններ պարունակող օժանդակ նյութեր</w:t>
      </w:r>
      <w:r w:rsidRPr="00E345B2">
        <w:t xml:space="preserve">, քլորբութանոլին, կրեզոլին </w:t>
      </w:r>
      <w:r>
        <w:t>եւ</w:t>
      </w:r>
      <w:r w:rsidRPr="00E345B2">
        <w:t xml:space="preserve"> ֆենոլին նման նյութերը, որոնք ծծմբի դիօքսիդ կամ կալիումի կամ նատրիումի սուլֆիտ, բիսուլֆիտ </w:t>
      </w:r>
      <w:r>
        <w:t>եւ</w:t>
      </w:r>
      <w:r w:rsidRPr="00E345B2">
        <w:t xml:space="preserve"> մետաբիսուլֆիտ են, պետք է օգտագործվեն այն կոնցենտրացիաները չգերազանցող քանակներով, որոնք կանոնակարգված են Միության համապատասխան ակտերով, իսկ դրանց բացակայության դեպքում՝ Միության անդամ պետությունների ակտերով։</w:t>
      </w:r>
    </w:p>
    <w:p w14:paraId="0093CE6F" w14:textId="77777777" w:rsidR="0035054F" w:rsidRPr="00E345B2" w:rsidRDefault="0035054F" w:rsidP="007E4DEC">
      <w:pPr>
        <w:spacing w:after="160" w:line="346" w:lineRule="auto"/>
        <w:ind w:firstLine="567"/>
        <w:jc w:val="both"/>
      </w:pPr>
      <w:r w:rsidRPr="00E345B2">
        <w:t>Բազմադեղաչափ փաթեթվածքով, ներարկումների համար նախատեսված դեղապատրաստուկների մեջ հակամանրէային կոնսերվանտներն ավելացնում են անհրաժեշտ կոնցենտրացիայով՝ անկախ մանրէազերծման եղանակից՝ բացառությամբ այն դեպքերի, երբ ակտիվ դեղագործական բաղադրամասն օժտված է բավարար հակամանրէային ազդեցությամբ։</w:t>
      </w:r>
    </w:p>
    <w:p w14:paraId="4163176B" w14:textId="77777777" w:rsidR="0035054F" w:rsidRPr="00E345B2" w:rsidRDefault="0035054F" w:rsidP="007E4DEC">
      <w:pPr>
        <w:spacing w:after="160" w:line="346" w:lineRule="auto"/>
        <w:ind w:firstLine="567"/>
        <w:jc w:val="both"/>
      </w:pPr>
      <w:r w:rsidRPr="00E345B2">
        <w:t>Ավելի, քան 15 մլ մեկանգամյա դեղաչափով ներմուծման ծավալով ներարկումների համար նախատեսված դեղապատրաստուկները, համապատասխան հիմնավորման բացակայության դեպքում, ինչպես նա</w:t>
      </w:r>
      <w:r>
        <w:t>եւ</w:t>
      </w:r>
      <w:r w:rsidRPr="00E345B2">
        <w:t xml:space="preserve"> ներխոռոչային, ներսրտային, ներակնային ներարկումների կամ ողնուղեղային հեղուկին հասանելիություն ունեցող </w:t>
      </w:r>
      <w:r>
        <w:t>եւ</w:t>
      </w:r>
      <w:r w:rsidRPr="00E345B2">
        <w:t xml:space="preserve"> նորածինների համար նախատեսված ներարկումների համար նախատեսված դեղապատրաստուկները չպետք է պարունակեն հակամանրէային կոնսերվանտներ։</w:t>
      </w:r>
    </w:p>
    <w:p w14:paraId="11864C53" w14:textId="77777777" w:rsidR="0035054F" w:rsidRPr="00E345B2" w:rsidRDefault="0035054F" w:rsidP="007E4DEC">
      <w:pPr>
        <w:spacing w:after="160" w:line="346" w:lineRule="auto"/>
        <w:ind w:firstLine="567"/>
        <w:jc w:val="both"/>
      </w:pPr>
      <w:r w:rsidRPr="00E345B2">
        <w:t xml:space="preserve">Կաթիլաներարկումների համար նախատեսված դեղապատրաստուկները չպետք է պարունակեն հակամանրէային կոնսերվանտներ </w:t>
      </w:r>
      <w:r>
        <w:t>եւ</w:t>
      </w:r>
      <w:r w:rsidRPr="00E345B2">
        <w:t xml:space="preserve"> որպես կանոն, պետք է լինեն իզոտոնիկ մարդու </w:t>
      </w:r>
      <w:r>
        <w:t>եւ</w:t>
      </w:r>
      <w:r w:rsidRPr="00E345B2">
        <w:t xml:space="preserve"> կենդանու արյան նկատմամբ։</w:t>
      </w:r>
    </w:p>
    <w:p w14:paraId="682AD308" w14:textId="77777777" w:rsidR="0035054F" w:rsidRPr="00E345B2" w:rsidRDefault="0035054F" w:rsidP="004A289F">
      <w:pPr>
        <w:spacing w:after="160" w:line="360" w:lineRule="auto"/>
        <w:ind w:firstLine="567"/>
        <w:jc w:val="both"/>
      </w:pPr>
      <w:r w:rsidRPr="007E4DEC">
        <w:rPr>
          <w:spacing w:val="-4"/>
        </w:rPr>
        <w:lastRenderedPageBreak/>
        <w:t>Պարէնտերալ կիրառության համար նախատեսված դոնդողների հիմքը պետք է ունենա մածուցիկություն, որն ապահովում է ներմուծման տեղում ազդող նյութի ձեւափոխված</w:t>
      </w:r>
      <w:r w:rsidRPr="00E345B2">
        <w:t xml:space="preserve"> ձերբազատումը։</w:t>
      </w:r>
    </w:p>
    <w:p w14:paraId="4DEED3AA" w14:textId="77777777" w:rsidR="0035054F" w:rsidRPr="00E345B2" w:rsidRDefault="0035054F" w:rsidP="004A289F">
      <w:pPr>
        <w:spacing w:after="160" w:line="360" w:lineRule="auto"/>
        <w:ind w:firstLine="567"/>
        <w:jc w:val="both"/>
      </w:pPr>
      <w:r w:rsidRPr="00E345B2">
        <w:t xml:space="preserve">Դիսպերսված մասնիկներ պարունակող </w:t>
      </w:r>
      <w:r>
        <w:t>եւ</w:t>
      </w:r>
      <w:r w:rsidRPr="00E345B2">
        <w:t xml:space="preserve"> տարասեռ, համակցված դիսպերս համակարգեր հանդիսացող՝ պարէնտերալ կիրառության համար նախատեսված դեղապատրաստուկների արտադրության ժամանակ պետք է նախատեսվի այնպիսի տեխնոլոգիա, որն ապահովում է անհրաժեշտ չափի մասնիկների ստացումն ու հսկողությունը։ Ներարկումների </w:t>
      </w:r>
      <w:r>
        <w:t>եւ</w:t>
      </w:r>
      <w:r w:rsidRPr="00E345B2">
        <w:t xml:space="preserve"> կաթիլաներարկումների համար նախատեսված էմուլսիաների մեջ շերտավորման նշաններ չպետք է </w:t>
      </w:r>
      <w:r w:rsidRPr="007B145C">
        <w:rPr>
          <w:spacing w:val="-4"/>
        </w:rPr>
        <w:t>հայտնաբերվեն։ Ներարկումների համար նախատեսված կախույթների մեջ կարող է դիտվել</w:t>
      </w:r>
      <w:r w:rsidRPr="00E345B2">
        <w:t xml:space="preserve"> նստվածք, որը թափահարելիս պետք է արագ դիսպերսվի՝ առաջացնելով ներմուծման դեղաչափն ապահովելու համար բավականաչափ կայուն կախույթ։</w:t>
      </w:r>
    </w:p>
    <w:p w14:paraId="5E3B00F7"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դեղապատրաստուկներն արտադրում են այնպիսի նյութերի </w:t>
      </w:r>
      <w:r>
        <w:t>եւ</w:t>
      </w:r>
      <w:r w:rsidRPr="00E345B2">
        <w:t xml:space="preserve"> մեթոդների կիրառմամբ, որոնք բացառում են մանրէային կոնտամինացիայի ու միկրոօրգանիզմների աճի հնարավորությունը </w:t>
      </w:r>
      <w:r>
        <w:t>եւ</w:t>
      </w:r>
      <w:r w:rsidRPr="00E345B2">
        <w:t xml:space="preserve"> ապահովում են դրանց մանրէազերծությունն ու </w:t>
      </w:r>
      <w:r w:rsidRPr="00D82771">
        <w:rPr>
          <w:i/>
        </w:rPr>
        <w:t>«2.1.6.1 Մանրէազերծությունը»</w:t>
      </w:r>
      <w:r w:rsidRPr="00E345B2">
        <w:t xml:space="preserve"> ընդհանուր դեղագրքային հոդվածին համապատասխանությունը։</w:t>
      </w:r>
    </w:p>
    <w:p w14:paraId="18A0E644"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երի տեսքով՝ պարէնտերալ կիրառության համար նախատեսված դեղապատրաստուկների կիրառումից առաջ նոսրացնելու համար օգտագործվող լուծիչները պետք է բավարարեն ըստ </w:t>
      </w:r>
      <w:r w:rsidRPr="00E345B2">
        <w:rPr>
          <w:i/>
        </w:rPr>
        <w:t>Բակտերիալ էնդոտոքսինները</w:t>
      </w:r>
      <w:r w:rsidRPr="00E345B2">
        <w:t xml:space="preserve"> </w:t>
      </w:r>
      <w:r w:rsidRPr="00D82771">
        <w:rPr>
          <w:i/>
        </w:rPr>
        <w:t>(2.1.6.8.) կամ Պիրոգենությունը (2.1.6.2)</w:t>
      </w:r>
      <w:r w:rsidRPr="00E345B2">
        <w:t xml:space="preserve"> ցուցանիշների սահմանվող լրացուցիչ պահանջները։</w:t>
      </w:r>
    </w:p>
    <w:p w14:paraId="6FAE6CB5" w14:textId="77777777" w:rsidR="0035054F" w:rsidRPr="00E345B2" w:rsidRDefault="0035054F" w:rsidP="004A289F">
      <w:pPr>
        <w:spacing w:after="160" w:line="360" w:lineRule="auto"/>
        <w:ind w:firstLine="567"/>
        <w:jc w:val="both"/>
      </w:pPr>
      <w:r w:rsidRPr="00E345B2">
        <w:t xml:space="preserve">Ներարկումների </w:t>
      </w:r>
      <w:r>
        <w:t>եւ</w:t>
      </w:r>
      <w:r w:rsidRPr="00E345B2">
        <w:t xml:space="preserve"> կաթիլաներարկումների համար նախատեսված դեղապատրաստուկները կարող են թողարկվել կիրառման համար պատրաստ ձ</w:t>
      </w:r>
      <w:r>
        <w:t>եւ</w:t>
      </w:r>
      <w:r w:rsidRPr="00E345B2">
        <w:t>ով կամ կարող են պատրաստվել կիրառումից անմիջապես առաջ այն փոշիներից կամ լիոֆիլիզատներից վերականգնված դեղաձ</w:t>
      </w:r>
      <w:r>
        <w:t>եւ</w:t>
      </w:r>
      <w:r w:rsidRPr="00E345B2">
        <w:t xml:space="preserve">երի տեսքով, որոնք նախատեսված են լուծելու միջոցով ներարկումների կամ կաթիլաներարկումների համար նախատեսված դեղապատրաստուկներ ստանալու համար, կամ այն </w:t>
      </w:r>
      <w:r w:rsidRPr="00E345B2">
        <w:lastRenderedPageBreak/>
        <w:t>փոշիներից կամ լիոֆիլիզատներից վերականգնված դեղաձ</w:t>
      </w:r>
      <w:r>
        <w:t>եւ</w:t>
      </w:r>
      <w:r w:rsidRPr="00E345B2">
        <w:t>երի տեսքով, որոնք նախատեսված են համապատասխան լուծիչի մեջ դրանք դիսպերսելու միջոցով ներարկումների համար նախատեսված դեղապատրաստուկներ ստանալու համար, կամ այն կոնցենտրատներից վերականգնված դեղաձ</w:t>
      </w:r>
      <w:r>
        <w:t>եւ</w:t>
      </w:r>
      <w:r w:rsidRPr="00E345B2">
        <w:t>երի տեսքով, որոնք նախատեսված են համապատասխան լուծիչի մեջ դրանք մինչ</w:t>
      </w:r>
      <w:r>
        <w:t>եւ</w:t>
      </w:r>
      <w:r w:rsidRPr="00E345B2">
        <w:t xml:space="preserve"> պահանջվող կոնցենտրացիան նոսրացնելոց հետո ներարկումների կամ կաթիլաներարկումների համար նախատեսված դեղապատրաստուկներ ստանալու համար։</w:t>
      </w:r>
    </w:p>
    <w:p w14:paraId="118D49D4"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դեղապատրաստուկների փաթեթվածքը, խցանափակման միջոցները, փաթեթվածքի, խցանափակման միջոցների </w:t>
      </w:r>
      <w:r>
        <w:t>եւ</w:t>
      </w:r>
      <w:r w:rsidRPr="00E345B2">
        <w:t xml:space="preserve"> փաթեթվածքի այլ տարրերի արտադրության համար օգտագործվող նյութերը պետք է համապատասխանեն փաթեթվածքի արտադրության համար օգտագործվող նյութերին </w:t>
      </w:r>
      <w:r>
        <w:t>եւ</w:t>
      </w:r>
      <w:r w:rsidRPr="00E345B2">
        <w:t xml:space="preserve"> փաթեթվածքին ներկայացվող պահանջներին։ Այլ հիմնավորման բացակայության դեպքում պարէնտերալ կիրառության համար նախատեսված դեղապատրաստուկների փաթեթվածքը պետք է լինի պարունակության տեսողական ստուգում անցկացնելու համար բավականաչափ թափանցիկ՝ բացառությամբ ներպատվաստների փաթեթվածքների։</w:t>
      </w:r>
    </w:p>
    <w:p w14:paraId="7455F70B" w14:textId="77777777" w:rsidR="0035054F" w:rsidRPr="00E345B2" w:rsidRDefault="0035054F" w:rsidP="004A289F">
      <w:pPr>
        <w:spacing w:after="160" w:line="360" w:lineRule="auto"/>
        <w:ind w:firstLine="567"/>
        <w:jc w:val="both"/>
      </w:pPr>
      <w:r w:rsidRPr="00E345B2">
        <w:t xml:space="preserve">Պարէնտերալ կիրառության համար նախատեսված դեղապատրաստուկների փաթեթավորման </w:t>
      </w:r>
      <w:r>
        <w:t>եւ</w:t>
      </w:r>
      <w:r w:rsidRPr="00E345B2">
        <w:t xml:space="preserve"> խցանափակման համակարգը պետք է հերմետիկություն ապահովի։ Փաթեթվածքի հերմետիկության փորձարկումներն անցկացնում են պարէնտերալ կիրառության համար նախատեսված դեղապատրաստուկների արտադրության տեխնոլոգիական գործընթացի հսկողության ժամանակ</w:t>
      </w:r>
      <w:r w:rsidRPr="007B145C">
        <w:rPr>
          <w:i/>
        </w:rPr>
        <w:t xml:space="preserve">՝ «2.1.9.19. Փաթեթվածքի հերմետիկության որոշումը» </w:t>
      </w:r>
      <w:r w:rsidRPr="00E345B2">
        <w:t>ընդհանուր դեղագրքային հոդվածին համապատասխան։</w:t>
      </w:r>
    </w:p>
    <w:p w14:paraId="20F36792" w14:textId="77777777" w:rsidR="0035054F" w:rsidRPr="00E345B2" w:rsidRDefault="0035054F" w:rsidP="004A289F">
      <w:pPr>
        <w:spacing w:after="160" w:line="360" w:lineRule="auto"/>
        <w:ind w:firstLine="567"/>
        <w:jc w:val="both"/>
      </w:pPr>
      <w:r w:rsidRPr="00E345B2">
        <w:t xml:space="preserve">Եթե պարէնտերալ կիրառության համար նախատեսված դեղապատրաստուկների փաթեթավորման </w:t>
      </w:r>
      <w:r>
        <w:t>եւ</w:t>
      </w:r>
      <w:r w:rsidRPr="00E345B2">
        <w:t xml:space="preserve"> խցանափակման համակարգից լվացահանումների արգասիքները կարող են ազդել դրանց անվտանգության </w:t>
      </w:r>
      <w:r>
        <w:t>եւ</w:t>
      </w:r>
      <w:r w:rsidRPr="00E345B2">
        <w:t xml:space="preserve"> արդյունավետության վրա, անհրաժեշտ է լրացուցիչ փորձարկումներ նախատեսել։ </w:t>
      </w:r>
      <w:r w:rsidRPr="00E345B2">
        <w:lastRenderedPageBreak/>
        <w:t xml:space="preserve">Դեղապատրաստուկի դեղագործական մշակման, դրա կայունության ուսումնասիրման ժամանակ արտադրության տեխնոլոգիական գործընթացի հսկողության շրջանակներում կաթիլաներարկումների համար նախատեսված՝ պոլիմերային փաթեթվածքով լուծույթները պետք է ենթարկվեն լուծամզվող նյութերի փորձարկումների, իսկ կաթիլաներարկումների համար նախատեսված՝ պոլիվինիլքլորիդից փաթեթվածքով լուծույթները՝ ըստ </w:t>
      </w:r>
      <w:r w:rsidRPr="00E345B2">
        <w:rPr>
          <w:i/>
        </w:rPr>
        <w:t>Հեմոլիտիկ ազդող նյութերը</w:t>
      </w:r>
      <w:r w:rsidRPr="00E345B2">
        <w:t xml:space="preserve"> ցուցանիշի լրացուցիչ փորձարկումների։</w:t>
      </w:r>
    </w:p>
    <w:p w14:paraId="34D90835" w14:textId="77777777" w:rsidR="0035054F" w:rsidRPr="00E345B2" w:rsidRDefault="0035054F" w:rsidP="004A289F">
      <w:pPr>
        <w:spacing w:after="160" w:line="360" w:lineRule="auto"/>
        <w:ind w:firstLine="567"/>
        <w:jc w:val="both"/>
      </w:pPr>
    </w:p>
    <w:p w14:paraId="051CADA1" w14:textId="77777777" w:rsidR="0035054F" w:rsidRPr="00D03E8B" w:rsidRDefault="0035054F" w:rsidP="004A289F">
      <w:pPr>
        <w:spacing w:after="160" w:line="360" w:lineRule="auto"/>
        <w:ind w:firstLine="567"/>
        <w:jc w:val="both"/>
        <w:rPr>
          <w:b/>
        </w:rPr>
      </w:pPr>
      <w:r w:rsidRPr="00D03E8B">
        <w:rPr>
          <w:b/>
        </w:rPr>
        <w:t>ՓՈՐՁԱՐԿՈՒՄՆԵՐԸ</w:t>
      </w:r>
    </w:p>
    <w:p w14:paraId="383D9AD5" w14:textId="77777777" w:rsidR="0035054F" w:rsidRPr="00E345B2" w:rsidRDefault="0035054F" w:rsidP="004A289F">
      <w:pPr>
        <w:spacing w:after="160" w:line="360" w:lineRule="auto"/>
        <w:ind w:firstLine="567"/>
        <w:jc w:val="both"/>
      </w:pPr>
      <w:r w:rsidRPr="00E345B2">
        <w:t>Պարէնտերալ կիրառության համար նախատեսված դեղապատրաստուկները պետք է անցնեն հաջորդող փորձարկումները։</w:t>
      </w:r>
    </w:p>
    <w:p w14:paraId="2E69B0B3" w14:textId="77777777" w:rsidR="0035054F" w:rsidRPr="00E345B2" w:rsidRDefault="0035054F" w:rsidP="004A289F">
      <w:pPr>
        <w:spacing w:after="160" w:line="360" w:lineRule="auto"/>
        <w:ind w:firstLine="567"/>
        <w:jc w:val="both"/>
      </w:pPr>
      <w:r w:rsidRPr="007E4DEC">
        <w:rPr>
          <w:b/>
        </w:rPr>
        <w:t>Նկարագրությունը.</w:t>
      </w:r>
      <w:r w:rsidRPr="00E345B2">
        <w:t xml:space="preserve"> Պարէնտերալ կիրառության համար նախատեսված դեղապատրաստուկները բնութագրում են՝ նշելով արտաքին տեսքը (ագրեգատային վիճակը, ձ</w:t>
      </w:r>
      <w:r>
        <w:t>եւ</w:t>
      </w:r>
      <w:r w:rsidRPr="00E345B2">
        <w:t xml:space="preserve">ը, չափը </w:t>
      </w:r>
      <w:r>
        <w:t>եւ</w:t>
      </w:r>
      <w:r w:rsidRPr="00E345B2">
        <w:t xml:space="preserve"> այլն) </w:t>
      </w:r>
      <w:r>
        <w:t>եւ</w:t>
      </w:r>
      <w:r w:rsidRPr="00E345B2">
        <w:t xml:space="preserve"> հիմնական ֆիզիկական, զգայորոշման (գույն, հոտ) </w:t>
      </w:r>
      <w:r>
        <w:t>եւ</w:t>
      </w:r>
      <w:r w:rsidRPr="00E345B2">
        <w:t xml:space="preserve"> մյուս հատկությունները՝ մասնավոր դեղագրքային հոդվածի </w:t>
      </w:r>
      <w:r>
        <w:t>եւ</w:t>
      </w:r>
      <w:r w:rsidRPr="00E345B2">
        <w:t xml:space="preserve"> (կամ) որակի վերաբերյալ նորմատիվ փաստաթղթի ցուցումներին համապատասխան։</w:t>
      </w:r>
    </w:p>
    <w:p w14:paraId="27AC9C45" w14:textId="77777777" w:rsidR="0035054F" w:rsidRPr="00E345B2" w:rsidRDefault="0035054F" w:rsidP="004A289F">
      <w:pPr>
        <w:spacing w:after="160" w:line="360" w:lineRule="auto"/>
        <w:ind w:firstLine="567"/>
        <w:jc w:val="both"/>
      </w:pPr>
      <w:r w:rsidRPr="007E4DEC">
        <w:rPr>
          <w:b/>
        </w:rPr>
        <w:t>Մանրէազերծությունը.</w:t>
      </w:r>
      <w:r w:rsidRPr="00E345B2">
        <w:t xml:space="preserve"> Փորձարկումն անցկացնում են պարէնտերալ կիրառության համար նախատեսված բոլոր դեղապատրաստուկների համար՝ </w:t>
      </w:r>
      <w:r w:rsidRPr="00D82771">
        <w:rPr>
          <w:i/>
        </w:rPr>
        <w:t>«2.1.6.1. Մանրէազերծությունը»</w:t>
      </w:r>
      <w:r w:rsidRPr="00E345B2">
        <w:t xml:space="preserve"> ընդհանուր դեղագրքային հոդվածին համապատասխան։</w:t>
      </w:r>
    </w:p>
    <w:p w14:paraId="23F3C35B" w14:textId="77777777" w:rsidR="0035054F" w:rsidRPr="00B5542D" w:rsidRDefault="0035054F" w:rsidP="004A289F">
      <w:pPr>
        <w:spacing w:after="160" w:line="360" w:lineRule="auto"/>
        <w:ind w:firstLine="567"/>
        <w:jc w:val="both"/>
      </w:pPr>
      <w:r w:rsidRPr="007E4DEC">
        <w:rPr>
          <w:b/>
        </w:rPr>
        <w:t xml:space="preserve">Բակտերիալ էնդոտոքսինները կամ Պիրոգենությունը. </w:t>
      </w:r>
      <w:r w:rsidRPr="00E345B2">
        <w:t>Փորձարկումն անցկացնում են պարէնտերալ կիրառության համար նախատեսված բոլոր դեղապատրաստուկների համար</w:t>
      </w:r>
      <w:r w:rsidRPr="007E4DEC">
        <w:rPr>
          <w:i/>
        </w:rPr>
        <w:t>՝ «2.1.6.8. Բակտերիալ էնդոտոքսինները»</w:t>
      </w:r>
      <w:r w:rsidRPr="00E345B2">
        <w:t xml:space="preserve"> ընդհանուր դեղագրքային հոդվածին կամ </w:t>
      </w:r>
      <w:r w:rsidRPr="007E4DEC">
        <w:rPr>
          <w:i/>
        </w:rPr>
        <w:t>«2.1.6.2. Պիրոգենությունը»</w:t>
      </w:r>
      <w:r w:rsidRPr="00E345B2">
        <w:t xml:space="preserve"> ընդհանուր դեղագրքային հոդվածին համապատասխան։</w:t>
      </w:r>
    </w:p>
    <w:p w14:paraId="599A4E0D" w14:textId="77777777" w:rsidR="007E4DEC" w:rsidRPr="00B5542D" w:rsidRDefault="007E4DEC" w:rsidP="004A289F">
      <w:pPr>
        <w:spacing w:after="160" w:line="360" w:lineRule="auto"/>
        <w:ind w:firstLine="567"/>
        <w:jc w:val="both"/>
      </w:pPr>
    </w:p>
    <w:p w14:paraId="0FB13A51" w14:textId="77777777" w:rsidR="0035054F" w:rsidRPr="00E345B2" w:rsidRDefault="0035054F" w:rsidP="007E4DEC">
      <w:pPr>
        <w:spacing w:after="160" w:line="348" w:lineRule="auto"/>
        <w:ind w:firstLine="567"/>
        <w:jc w:val="both"/>
      </w:pPr>
      <w:r w:rsidRPr="00E345B2">
        <w:lastRenderedPageBreak/>
        <w:t xml:space="preserve">Պարէնտերալ անասնաբուժական դեղապատրաստուկների համար փորձարկումներն ըստ </w:t>
      </w:r>
      <w:r w:rsidRPr="00E345B2">
        <w:rPr>
          <w:i/>
        </w:rPr>
        <w:t>Բակտերիալ էնդոտոքսինները</w:t>
      </w:r>
      <w:r w:rsidRPr="00E345B2">
        <w:t xml:space="preserve"> կամ </w:t>
      </w:r>
      <w:r w:rsidRPr="00E345B2">
        <w:rPr>
          <w:i/>
        </w:rPr>
        <w:t>Պիրոգենությունը</w:t>
      </w:r>
      <w:r w:rsidRPr="00E345B2">
        <w:t xml:space="preserve"> որակի ցուցանիշների անցկացնում են այն դեպքում, եթե դեղապատրաստուկի մեկանգամյա ներմուծման դեղաչափի ծավալը 15 մլ կամ ավելին է, </w:t>
      </w:r>
      <w:r>
        <w:t>եւ</w:t>
      </w:r>
      <w:r w:rsidRPr="00E345B2">
        <w:t xml:space="preserve"> դեղաչափը 0,2 մլ-ին հավասար կամ դրանից ավելին է՝ մարմնի զանգվածի մեկ կգ-ի հաշվարկով։</w:t>
      </w:r>
    </w:p>
    <w:p w14:paraId="1D16F6FE" w14:textId="77777777" w:rsidR="0035054F" w:rsidRPr="00E345B2" w:rsidRDefault="0035054F" w:rsidP="007E4DEC">
      <w:pPr>
        <w:spacing w:after="160" w:line="348" w:lineRule="auto"/>
        <w:ind w:firstLine="567"/>
        <w:jc w:val="both"/>
      </w:pPr>
      <w:r w:rsidRPr="007E4DEC">
        <w:rPr>
          <w:b/>
        </w:rPr>
        <w:t>Անոմալ թունավորությունը</w:t>
      </w:r>
      <w:r w:rsidRPr="00E345B2">
        <w:t xml:space="preserve">. Փորձարկումն անցկացնում են </w:t>
      </w:r>
      <w:r w:rsidRPr="007E4DEC">
        <w:rPr>
          <w:i/>
        </w:rPr>
        <w:t>«2.1.6.3. Անոմալ թունավորությունը»</w:t>
      </w:r>
      <w:r w:rsidRPr="00D82771">
        <w:rPr>
          <w:i/>
        </w:rPr>
        <w:t xml:space="preserve"> </w:t>
      </w:r>
      <w:r w:rsidRPr="00E345B2">
        <w:t xml:space="preserve">ընդհանուր դեղագրքային հոդվածին համապատասխան՝ բնական ծագման հումքից ստացված, պարէնտերալ կիրառության համար նախատեսված դեղապատրաստուկների համար. պոլիմերային նյութերից փաթեթվածքներով՝ ներարկումների </w:t>
      </w:r>
      <w:r>
        <w:t>եւ</w:t>
      </w:r>
      <w:r w:rsidRPr="00E345B2">
        <w:t xml:space="preserve"> կաթիլաներարկումների համար նախատեսված դեղապատրաստուկների համար </w:t>
      </w:r>
      <w:r>
        <w:t>եւ</w:t>
      </w:r>
      <w:r w:rsidRPr="00E345B2">
        <w:t xml:space="preserve"> այլ դեպքերում, եթե մասնավոր դեղագրքային հոդվածում </w:t>
      </w:r>
      <w:r>
        <w:t>եւ</w:t>
      </w:r>
      <w:r w:rsidRPr="00E345B2">
        <w:t xml:space="preserve"> (կամ) որակի վերաբերյալ նորմատիվ փաստաթղթում համապատասխան ցուցումներ կան։ Փորձարկումը չեն անցկացնում համապատասխան հիմնավորման առկայության դեպքում։</w:t>
      </w:r>
    </w:p>
    <w:p w14:paraId="150E1F48" w14:textId="77777777" w:rsidR="0035054F" w:rsidRPr="00E345B2" w:rsidRDefault="0035054F" w:rsidP="007E4DEC">
      <w:pPr>
        <w:spacing w:after="160" w:line="348" w:lineRule="auto"/>
        <w:ind w:firstLine="567"/>
        <w:jc w:val="both"/>
      </w:pPr>
      <w:r w:rsidRPr="007E4DEC">
        <w:rPr>
          <w:b/>
        </w:rPr>
        <w:t>Հիստամինը եւ (կամ) Դեպրեսորային նյութերը.</w:t>
      </w:r>
      <w:r w:rsidRPr="00E345B2">
        <w:t xml:space="preserve"> Փորձարկումներն անցկացնում են ներանոթային ներմուծման համար նախատեսված </w:t>
      </w:r>
      <w:r>
        <w:t>եւ</w:t>
      </w:r>
      <w:r w:rsidRPr="00E345B2">
        <w:t xml:space="preserve"> ակտիվ դեղագործական բաղադրամասերից ստացված՝ պարէնտերալ կիրառության համար նախատեսված դեղապատրաստուկների համար, որոնք դեպրեսորային ազդեցություն կարող են ունենալ (մանրէաբանական կամ կենդանական ծագման բաղադրամասեր) </w:t>
      </w:r>
      <w:r w:rsidRPr="00D82771">
        <w:rPr>
          <w:i/>
        </w:rPr>
        <w:t>«2.1.6.4. Հիստամինի փորձարկումը</w:t>
      </w:r>
      <w:r w:rsidRPr="00E345B2">
        <w:t xml:space="preserve">» ընդհանուր դեղագրքային հոդվածին </w:t>
      </w:r>
      <w:r>
        <w:t>եւ</w:t>
      </w:r>
      <w:r w:rsidRPr="00E345B2">
        <w:t xml:space="preserve"> (կամ) </w:t>
      </w:r>
      <w:r w:rsidRPr="00D82771">
        <w:rPr>
          <w:i/>
        </w:rPr>
        <w:t>«2.1.6.5. Դեպրեսորային նյութերի փորձարկումը»</w:t>
      </w:r>
      <w:r w:rsidRPr="00E345B2">
        <w:t xml:space="preserve"> ընդհանուր դեղագրքային հոդվածին համապատասխան:</w:t>
      </w:r>
    </w:p>
    <w:p w14:paraId="59D2B8B0" w14:textId="77777777" w:rsidR="0035054F" w:rsidRPr="00E345B2" w:rsidRDefault="0035054F" w:rsidP="007E4DEC">
      <w:pPr>
        <w:spacing w:after="160" w:line="348" w:lineRule="auto"/>
        <w:ind w:firstLine="567"/>
        <w:jc w:val="both"/>
      </w:pPr>
      <w:r w:rsidRPr="00D82771">
        <w:rPr>
          <w:b/>
        </w:rPr>
        <w:t>pH-ը.</w:t>
      </w:r>
      <w:r w:rsidRPr="00E345B2">
        <w:t xml:space="preserve"> Փորձարկումն անցկացնում են հեղուկ դեղաձ</w:t>
      </w:r>
      <w:r>
        <w:t>եւ</w:t>
      </w:r>
      <w:r w:rsidRPr="00E345B2">
        <w:t xml:space="preserve">եր հանդիսացող՝ պարէնտերալ կիրառության համար նախատեսված դեղապատրաստուկների համար անմիջապես կամ վերականգնումից հետո՝ </w:t>
      </w:r>
      <w:r w:rsidRPr="00D82771">
        <w:rPr>
          <w:i/>
        </w:rPr>
        <w:t>«2.1.2.3. pH-ի պոտենցաչափական որոշումը»</w:t>
      </w:r>
      <w:r w:rsidRPr="00E345B2">
        <w:t xml:space="preserve">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0404263C" w14:textId="77777777" w:rsidR="0035054F" w:rsidRPr="00E345B2" w:rsidRDefault="0035054F" w:rsidP="004A289F">
      <w:pPr>
        <w:spacing w:after="160" w:line="360" w:lineRule="auto"/>
        <w:ind w:firstLine="567"/>
        <w:jc w:val="both"/>
      </w:pPr>
      <w:r w:rsidRPr="007E4DEC">
        <w:rPr>
          <w:b/>
        </w:rPr>
        <w:lastRenderedPageBreak/>
        <w:t>Տեսանելի մեխանիկական ներառուկները</w:t>
      </w:r>
      <w:r w:rsidRPr="00E345B2">
        <w:t>. Պարէնտերալ կիրառության համար նախատեսված դեղապատրաստուկների համար փորձարկումն անցկացնում են տեսանելի մեխանիկական ներառուկների մասով։</w:t>
      </w:r>
    </w:p>
    <w:p w14:paraId="2E3B8DA9" w14:textId="77777777" w:rsidR="0035054F" w:rsidRPr="00E345B2" w:rsidRDefault="0035054F" w:rsidP="004A289F">
      <w:pPr>
        <w:spacing w:after="160" w:line="360" w:lineRule="auto"/>
        <w:ind w:firstLine="567"/>
        <w:jc w:val="both"/>
      </w:pPr>
      <w:r w:rsidRPr="007E4DEC">
        <w:rPr>
          <w:b/>
        </w:rPr>
        <w:t>Անտեսանելի մեխանիկական ներառուկները</w:t>
      </w:r>
      <w:r w:rsidRPr="00E345B2">
        <w:t xml:space="preserve">. Փորձարկումն անցկացնում են պարէնտերալ կիրառության համար նախատեսված դեղապատրաստուկների համար՝ </w:t>
      </w:r>
      <w:r w:rsidRPr="00D82771">
        <w:rPr>
          <w:i/>
        </w:rPr>
        <w:t>«2.1.9.10. Մեխանիկական ներառուկները. անտեսանելի մասնիկները»</w:t>
      </w:r>
      <w:r w:rsidRPr="00E345B2">
        <w:t xml:space="preserve"> ընդհանուր դեղագրքային հոդվածին համապատասխան։</w:t>
      </w:r>
    </w:p>
    <w:p w14:paraId="3DB65945" w14:textId="77777777" w:rsidR="0035054F" w:rsidRPr="00E345B2" w:rsidRDefault="0035054F" w:rsidP="004A289F">
      <w:pPr>
        <w:spacing w:after="160" w:line="360" w:lineRule="auto"/>
        <w:ind w:firstLine="567"/>
        <w:jc w:val="both"/>
      </w:pPr>
      <w:r w:rsidRPr="007E4DEC">
        <w:rPr>
          <w:b/>
          <w:spacing w:val="-4"/>
        </w:rPr>
        <w:t>Դեղաչափված միավորների միատարրությունը</w:t>
      </w:r>
      <w:r w:rsidRPr="00D82771">
        <w:rPr>
          <w:spacing w:val="-4"/>
        </w:rPr>
        <w:t xml:space="preserve">. Փորձարկումն անցկացնում են </w:t>
      </w:r>
      <w:r w:rsidRPr="00D82771">
        <w:rPr>
          <w:i/>
          <w:spacing w:val="-4"/>
        </w:rPr>
        <w:t>«2.1.9.14. Դեղաչափված միավորների միատարրությունը»</w:t>
      </w:r>
      <w:r w:rsidRPr="00D82771">
        <w:rPr>
          <w:spacing w:val="-4"/>
        </w:rPr>
        <w:t xml:space="preserve"> ընդհանուր դեղագրքային հոդվածին համապատասխան՝ դեղաչափված դեղաձեւեր ունեցող կամ միադեղաչափ</w:t>
      </w:r>
      <w:r>
        <w:t xml:space="preserve"> </w:t>
      </w:r>
      <w:r w:rsidRPr="00E345B2">
        <w:t>փաթեթվածքով թողարկվող՝ պարէնտերալ կիրառության համար նախատեսված դեղապատրաստուկների համար։</w:t>
      </w:r>
    </w:p>
    <w:p w14:paraId="178B93D8" w14:textId="77777777" w:rsidR="0035054F" w:rsidRPr="00E345B2" w:rsidRDefault="0035054F" w:rsidP="004A289F">
      <w:pPr>
        <w:spacing w:after="160" w:line="360" w:lineRule="auto"/>
        <w:ind w:firstLine="567"/>
        <w:jc w:val="both"/>
      </w:pPr>
      <w:r w:rsidRPr="007E4DEC">
        <w:rPr>
          <w:b/>
        </w:rPr>
        <w:t>Օսմոլալությունը.</w:t>
      </w:r>
      <w:r w:rsidRPr="00E345B2">
        <w:t xml:space="preserve"> Կաթիլաներարկումների համար նախատեսված դեղապատրաստուկների համար որոշում են օսմոլալության արժեքը կամ օսմոլալությունը՝ «</w:t>
      </w:r>
      <w:r w:rsidRPr="00D82771">
        <w:rPr>
          <w:i/>
        </w:rPr>
        <w:t>2.1.2.32. Օսմոլալությունը</w:t>
      </w:r>
      <w:r w:rsidRPr="00E345B2">
        <w:t xml:space="preserve">» ընդհանուր դեղագրքային հոդվածին </w:t>
      </w:r>
      <w:r>
        <w:t>եւ</w:t>
      </w:r>
      <w:r w:rsidRPr="00E345B2">
        <w:t xml:space="preserve"> մասնավոր դեղագրքային հոդվածում </w:t>
      </w:r>
      <w:r>
        <w:t>եւ</w:t>
      </w:r>
      <w:r w:rsidRPr="00E345B2">
        <w:t xml:space="preserve"> (կամ) որակի վերաբերյալ նորմատիվ փաստաթղթում նշված պահանջներին համապատասխան։</w:t>
      </w:r>
    </w:p>
    <w:p w14:paraId="60B38EE6" w14:textId="77777777" w:rsidR="0035054F" w:rsidRPr="00E345B2" w:rsidRDefault="0035054F" w:rsidP="004A289F">
      <w:pPr>
        <w:spacing w:after="160" w:line="360" w:lineRule="auto"/>
        <w:ind w:firstLine="567"/>
        <w:jc w:val="both"/>
      </w:pPr>
      <w:r w:rsidRPr="007E4DEC">
        <w:rPr>
          <w:b/>
        </w:rPr>
        <w:t>Արտազատվող ծավալը</w:t>
      </w:r>
      <w:r w:rsidRPr="00E345B2">
        <w:t xml:space="preserve">. Փորձարկումն անցկացնում են պարէնտերալ կիրառության համար նախատեսված դեղապատրաստուկների համար՝ </w:t>
      </w:r>
      <w:r w:rsidRPr="00D82771">
        <w:rPr>
          <w:i/>
        </w:rPr>
        <w:t>«2.1.9.9. Պարէնտերալ դեղապատրաստուկների արտազատվող ծավալի փորձարկումը»</w:t>
      </w:r>
      <w:r w:rsidRPr="00E345B2">
        <w:t xml:space="preserve"> ընդհանուր դեղագրքային հոդվածին համապատասխան։</w:t>
      </w:r>
    </w:p>
    <w:p w14:paraId="637DE7B1" w14:textId="77777777" w:rsidR="0035054F" w:rsidRPr="00E345B2" w:rsidRDefault="0035054F" w:rsidP="004A289F">
      <w:pPr>
        <w:spacing w:after="160" w:line="360" w:lineRule="auto"/>
        <w:ind w:firstLine="567"/>
        <w:jc w:val="both"/>
      </w:pPr>
      <w:r w:rsidRPr="00E345B2">
        <w:t>Ստոր</w:t>
      </w:r>
      <w:r>
        <w:t>եւ</w:t>
      </w:r>
      <w:r w:rsidRPr="00E345B2">
        <w:t xml:space="preserve"> նշված լրացուցիչ փորձարկումները որոշվում են դեղապատրաստուկի դեղաձ</w:t>
      </w:r>
      <w:r>
        <w:t>եւ</w:t>
      </w:r>
      <w:r w:rsidRPr="00E345B2">
        <w:t xml:space="preserve">ի տեսակով </w:t>
      </w:r>
      <w:r>
        <w:t>եւ</w:t>
      </w:r>
      <w:r w:rsidRPr="00E345B2">
        <w:t xml:space="preserve"> կիրառվում են պարէնտերալ կիրառության համար նախատեսված որոշ դեղապատրաստուկների նկատմամբ։</w:t>
      </w:r>
    </w:p>
    <w:p w14:paraId="702E5ED8" w14:textId="77777777" w:rsidR="0035054F" w:rsidRPr="00E345B2" w:rsidRDefault="0035054F" w:rsidP="004A289F">
      <w:pPr>
        <w:spacing w:after="160" w:line="360" w:lineRule="auto"/>
        <w:ind w:firstLine="567"/>
        <w:jc w:val="both"/>
      </w:pPr>
      <w:r w:rsidRPr="00E345B2">
        <w:rPr>
          <w:i/>
        </w:rPr>
        <w:t>Լուծույթներ</w:t>
      </w:r>
      <w:r w:rsidRPr="00E345B2">
        <w:t xml:space="preserve"> դեղաձ</w:t>
      </w:r>
      <w:r>
        <w:t>եւ</w:t>
      </w:r>
      <w:r w:rsidRPr="00E345B2">
        <w:t xml:space="preserve">ի տեսքով թողարկվող՝ պարէնտերալ կիրառության համար նախատեսված դեղապատրաստուկները պետք է համապատասխանեն </w:t>
      </w:r>
      <w:r w:rsidRPr="00D82771">
        <w:rPr>
          <w:i/>
        </w:rPr>
        <w:t>«2.5.1.25. Լուծույթները»</w:t>
      </w:r>
      <w:r w:rsidRPr="00E345B2">
        <w:t xml:space="preserve"> ընդհանուր դեղագրքային հոդվածին </w:t>
      </w:r>
      <w:r>
        <w:t>եւ</w:t>
      </w:r>
      <w:r w:rsidRPr="00E345B2">
        <w:t xml:space="preserve"> մասնավոր </w:t>
      </w:r>
      <w:r w:rsidRPr="00E345B2">
        <w:lastRenderedPageBreak/>
        <w:t xml:space="preserve">դեղագրքային հոդվածներում </w:t>
      </w:r>
      <w:r>
        <w:t>եւ</w:t>
      </w:r>
      <w:r w:rsidRPr="00E345B2">
        <w:t xml:space="preserve"> (կամ) որակի վերաբերյալ նորմատիվ փաստաթղթերում նշված պահանջներին։</w:t>
      </w:r>
    </w:p>
    <w:p w14:paraId="3DF973BD" w14:textId="77777777" w:rsidR="0035054F" w:rsidRPr="00E345B2" w:rsidRDefault="0035054F" w:rsidP="004A289F">
      <w:pPr>
        <w:spacing w:after="160" w:line="360" w:lineRule="auto"/>
        <w:ind w:firstLine="567"/>
        <w:jc w:val="both"/>
      </w:pPr>
      <w:r w:rsidRPr="00E345B2">
        <w:t>Փափուկ դեղաձ</w:t>
      </w:r>
      <w:r>
        <w:t>եւ</w:t>
      </w:r>
      <w:r w:rsidRPr="00E345B2">
        <w:t>երի տեսքով թողարկվող՝ պարէնտերալ կիրառության համար նախատեսված դեղապատրաստուկները պետք է համապատասխանեն «</w:t>
      </w:r>
      <w:r w:rsidRPr="00D82771">
        <w:rPr>
          <w:i/>
        </w:rPr>
        <w:t>2.5.1.40. Փափուկ դեղաձեւերը»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25D9E976" w14:textId="77777777" w:rsidR="0035054F" w:rsidRPr="00E345B2" w:rsidRDefault="0035054F" w:rsidP="004A289F">
      <w:pPr>
        <w:spacing w:after="160" w:line="360" w:lineRule="auto"/>
        <w:ind w:firstLine="567"/>
        <w:jc w:val="both"/>
      </w:pPr>
      <w:r w:rsidRPr="00E345B2">
        <w:t>Ներարկումների կամ կաթիլաներարկումների համար դեղապատրաստուկների պատրաստման համար նախատեսված՝</w:t>
      </w:r>
      <w:r w:rsidRPr="00E345B2">
        <w:rPr>
          <w:i/>
        </w:rPr>
        <w:t>Կոնցենտրատներ</w:t>
      </w:r>
      <w:r w:rsidRPr="00E345B2">
        <w:t xml:space="preserve"> հանդիսացող դեղապատրաստուկները պետք է համապատասխանեն </w:t>
      </w:r>
      <w:r w:rsidRPr="00D82771">
        <w:rPr>
          <w:i/>
        </w:rPr>
        <w:t>«2.5.1.12. Կոնցենտրատները»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33DE1881" w14:textId="77777777" w:rsidR="0035054F" w:rsidRPr="00E345B2" w:rsidRDefault="0035054F" w:rsidP="004A289F">
      <w:pPr>
        <w:spacing w:after="160" w:line="360" w:lineRule="auto"/>
        <w:ind w:firstLine="567"/>
        <w:jc w:val="both"/>
      </w:pPr>
      <w:r w:rsidRPr="00E345B2">
        <w:t>Ներարկումների կամ կաթիլաներարկումների համար դեղապատրաստուկների պատրաստման համար նախատեսված՝ Փոշիներ հանդիսացող կամ ներարկումների կամ կաթիլաներարկումների համար դեղապատրաստուկների պատրաստման համար նախատեսված՝ Լիոֆիլիզատներ հանդիսացող դեղապատրաստուկները պետք է</w:t>
      </w:r>
      <w:r>
        <w:t xml:space="preserve"> </w:t>
      </w:r>
      <w:r w:rsidRPr="00E345B2">
        <w:t xml:space="preserve">համապատասխանեն </w:t>
      </w:r>
      <w:r w:rsidRPr="00D82771">
        <w:rPr>
          <w:i/>
        </w:rPr>
        <w:t>«2.5.1.24. Փոշիները»</w:t>
      </w:r>
      <w:r w:rsidRPr="00E345B2">
        <w:t xml:space="preserve"> (բացառելով Մասնիկների չափը ցուցանիշը) ընդհանուր դեղագրքային հոդվածին կամ </w:t>
      </w:r>
      <w:r w:rsidRPr="00D82771">
        <w:rPr>
          <w:i/>
        </w:rPr>
        <w:t>«2.5.1.14. Լիոֆիլիզատները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6A5ECF06" w14:textId="77777777" w:rsidR="0035054F" w:rsidRPr="00E345B2" w:rsidRDefault="0035054F" w:rsidP="004A289F">
      <w:pPr>
        <w:spacing w:after="160" w:line="360" w:lineRule="auto"/>
        <w:ind w:firstLine="567"/>
        <w:jc w:val="both"/>
      </w:pPr>
      <w:r w:rsidRPr="00E345B2">
        <w:t xml:space="preserve">Ներարկումների համար կախույթներ հանդիսացող դեղապատրաստուկները պետք է համապատասխանեն </w:t>
      </w:r>
      <w:r w:rsidRPr="00D82771">
        <w:rPr>
          <w:i/>
        </w:rPr>
        <w:t>«2.5.1.33. Կախույթները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523901EE" w14:textId="77777777" w:rsidR="0035054F" w:rsidRPr="00E345B2" w:rsidRDefault="0035054F" w:rsidP="004A289F">
      <w:pPr>
        <w:spacing w:after="160" w:line="360" w:lineRule="auto"/>
        <w:ind w:firstLine="567"/>
        <w:jc w:val="both"/>
      </w:pPr>
      <w:r w:rsidRPr="00E345B2">
        <w:t xml:space="preserve">Ներարկումների համար էմուլսիաներ կամ կաթիլաներարկումների համար էմուլսիաներ հանդիսացող դեղապատրաստուկները պետք է համապատասխանեն </w:t>
      </w:r>
      <w:r w:rsidRPr="007E4DEC">
        <w:rPr>
          <w:i/>
        </w:rPr>
        <w:lastRenderedPageBreak/>
        <w:t>«2.5.1.39. Էմուլսիաները»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700BDEC0" w14:textId="77777777" w:rsidR="0035054F" w:rsidRPr="00E345B2" w:rsidRDefault="0035054F" w:rsidP="007E4DEC">
      <w:pPr>
        <w:spacing w:after="160" w:line="346" w:lineRule="auto"/>
        <w:ind w:firstLine="567"/>
        <w:jc w:val="both"/>
      </w:pPr>
      <w:r w:rsidRPr="00E345B2">
        <w:rPr>
          <w:i/>
        </w:rPr>
        <w:t>Ներպատվաստներ</w:t>
      </w:r>
      <w:r w:rsidRPr="00E345B2">
        <w:t xml:space="preserve"> հանդիսացող՝ պարէնտերալ կիրառության համար նախատեսված դեղապատրաստուկները պետք է համապատասխանեն </w:t>
      </w:r>
      <w:r w:rsidRPr="00D82771">
        <w:rPr>
          <w:i/>
        </w:rPr>
        <w:t>«2.5.1.8. Ներպատվաստները»</w:t>
      </w:r>
      <w:r w:rsidRPr="00E345B2">
        <w:t xml:space="preserve">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w:t>
      </w:r>
    </w:p>
    <w:p w14:paraId="126D5D0B" w14:textId="77777777" w:rsidR="0035054F" w:rsidRPr="00E345B2" w:rsidRDefault="0035054F" w:rsidP="007E4DEC">
      <w:pPr>
        <w:spacing w:after="160" w:line="346" w:lineRule="auto"/>
        <w:ind w:firstLine="567"/>
        <w:jc w:val="both"/>
      </w:pPr>
      <w:r w:rsidRPr="00E345B2">
        <w:t xml:space="preserve">Ներպատվաստման համար դեղահաբերը պետք է համապատասխանեն </w:t>
      </w:r>
      <w:r w:rsidRPr="00D82771">
        <w:rPr>
          <w:i/>
        </w:rPr>
        <w:t>«2.5.1.34. Դեղահաբերը</w:t>
      </w:r>
      <w:r w:rsidRPr="00E345B2">
        <w:t>»</w:t>
      </w:r>
      <w:r>
        <w:t xml:space="preserve"> </w:t>
      </w:r>
      <w:r w:rsidRPr="00E345B2">
        <w:t xml:space="preserve">(բացառելով Տրոհելիությունը ցուցանիշը) ընդհանուր դեղագրքային հոդվածին </w:t>
      </w:r>
      <w:r>
        <w:t>եւ</w:t>
      </w:r>
      <w:r w:rsidRPr="00E345B2">
        <w:t xml:space="preserve"> մասնավոր դեղագրքային հոդվածներում </w:t>
      </w:r>
      <w:r>
        <w:t>եւ</w:t>
      </w:r>
      <w:r w:rsidRPr="00E345B2">
        <w:t xml:space="preserve"> (կամ) որակի վերաբերյալ նորմատիվ փաստաթղթերում նշված պահանջներին։ Ներպատվաստման համար դեղահաբերի փորձարկման ժամանակ </w:t>
      </w:r>
      <w:r w:rsidRPr="00E345B2">
        <w:rPr>
          <w:i/>
        </w:rPr>
        <w:t>Լուծվելը</w:t>
      </w:r>
      <w:r w:rsidRPr="00E345B2">
        <w:t xml:space="preserve"> ցուցանիշի բացակայությունը պետք է հիմնավորվի։</w:t>
      </w:r>
    </w:p>
    <w:p w14:paraId="08973B0D" w14:textId="77777777" w:rsidR="0035054F" w:rsidRPr="00E345B2" w:rsidRDefault="0035054F" w:rsidP="007E4DEC">
      <w:pPr>
        <w:spacing w:after="160" w:line="346" w:lineRule="auto"/>
        <w:ind w:firstLine="567"/>
        <w:jc w:val="both"/>
      </w:pPr>
    </w:p>
    <w:p w14:paraId="2CC12336" w14:textId="77777777" w:rsidR="0035054F" w:rsidRPr="00D03E8B" w:rsidRDefault="0035054F" w:rsidP="007E4DEC">
      <w:pPr>
        <w:spacing w:after="160" w:line="346" w:lineRule="auto"/>
        <w:ind w:firstLine="567"/>
        <w:jc w:val="both"/>
        <w:rPr>
          <w:b/>
        </w:rPr>
      </w:pPr>
      <w:r w:rsidRPr="00D03E8B">
        <w:rPr>
          <w:b/>
        </w:rPr>
        <w:t>ՓԱԹԵԹՎԱԾՔԸ</w:t>
      </w:r>
    </w:p>
    <w:p w14:paraId="08709F05" w14:textId="77777777" w:rsidR="0035054F" w:rsidRPr="00E345B2" w:rsidRDefault="0035054F" w:rsidP="007E4DEC">
      <w:pPr>
        <w:spacing w:after="160" w:line="346" w:lineRule="auto"/>
        <w:ind w:firstLine="567"/>
        <w:jc w:val="both"/>
      </w:pPr>
      <w:r w:rsidRPr="00E345B2">
        <w:t xml:space="preserve">Պարէնտերալ կիրառության համար նախատեսված դեղապատրաստուկները թողարկում են միադեղաչափ (սրվակիկներ, քարթրիջներ, նախապես լցված ներարկիչներ, ներպատվաստների անհատական փաթեթվածք </w:t>
      </w:r>
      <w:r>
        <w:t>եւ</w:t>
      </w:r>
      <w:r w:rsidRPr="00E345B2">
        <w:t xml:space="preserve"> այլն) կամ բազմադեղաչափ (շշեր, սրվակներ </w:t>
      </w:r>
      <w:r>
        <w:t>եւ</w:t>
      </w:r>
      <w:r w:rsidRPr="00E345B2">
        <w:t xml:space="preserve"> այլն) անօդանցիկ փաթեթվածքներով՝ վերահսկելով առաջին անգամ բացելը։</w:t>
      </w:r>
    </w:p>
    <w:p w14:paraId="63913278" w14:textId="77777777" w:rsidR="0035054F" w:rsidRPr="007E4DEC" w:rsidRDefault="0035054F" w:rsidP="007E4DEC">
      <w:pPr>
        <w:spacing w:after="160" w:line="346" w:lineRule="auto"/>
        <w:ind w:firstLine="567"/>
        <w:jc w:val="both"/>
        <w:rPr>
          <w:spacing w:val="-4"/>
        </w:rPr>
      </w:pPr>
      <w:r w:rsidRPr="007E4DEC">
        <w:rPr>
          <w:spacing w:val="-4"/>
        </w:rPr>
        <w:t>Միադեղաչափ փաթեթվածքով՝ պարէնտերալ կիրառության համար նախատեսված լուծույթներ հանդիսացող դեղապատրաստուկների ծավալը պետք է լինի մեկանգամյա ներմուծման համար բավարար, սակայն չպետք է գերազանցի 1 լ-ը։</w:t>
      </w:r>
    </w:p>
    <w:p w14:paraId="544A1383" w14:textId="77777777" w:rsidR="0035054F" w:rsidRPr="00B5542D" w:rsidRDefault="0035054F" w:rsidP="007E4DEC">
      <w:pPr>
        <w:spacing w:after="160" w:line="346" w:lineRule="auto"/>
        <w:ind w:firstLine="567"/>
        <w:jc w:val="both"/>
      </w:pPr>
      <w:r w:rsidRPr="00E345B2">
        <w:t>Ներխոռոչային, ներսրտային, ներակնային ներարկումների կամ ողնուղեղային հեղուկին հասանելիություն ունեցող ներարկումների համար նախատեսված՝ պարէնտերալ կիրառության դեղապատրաստուկները պետք է թողարկվեն միայն միադեղաչափ փաթեթվածքներով։</w:t>
      </w:r>
    </w:p>
    <w:p w14:paraId="38DB7456" w14:textId="77777777" w:rsidR="0035054F" w:rsidRPr="00D03E8B" w:rsidRDefault="0035054F" w:rsidP="00B867ED">
      <w:pPr>
        <w:spacing w:after="160" w:line="360" w:lineRule="auto"/>
        <w:jc w:val="center"/>
        <w:rPr>
          <w:b/>
        </w:rPr>
      </w:pPr>
      <w:r w:rsidRPr="00D03E8B">
        <w:rPr>
          <w:b/>
        </w:rPr>
        <w:lastRenderedPageBreak/>
        <w:t>2.5.4. ԱՆԱՍՆԱԲՈՒԺԱԿԱՆ ԴԵՂԱՊԱՏՐԱՍՏՈՒԿՆԵՐԸ</w:t>
      </w:r>
    </w:p>
    <w:p w14:paraId="560AE8B9" w14:textId="77777777" w:rsidR="0035054F" w:rsidRPr="00B5542D" w:rsidRDefault="0035054F" w:rsidP="00B867ED">
      <w:pPr>
        <w:spacing w:after="160" w:line="360" w:lineRule="auto"/>
        <w:ind w:firstLine="567"/>
        <w:jc w:val="right"/>
        <w:rPr>
          <w:b/>
          <w:sz w:val="20"/>
        </w:rPr>
      </w:pPr>
      <w:r w:rsidRPr="00D03E8B">
        <w:rPr>
          <w:b/>
          <w:sz w:val="20"/>
        </w:rPr>
        <w:t>205040001-2022</w:t>
      </w:r>
    </w:p>
    <w:p w14:paraId="7B8EE71B" w14:textId="77777777" w:rsidR="00D03E8B" w:rsidRPr="00B5542D" w:rsidRDefault="00D03E8B" w:rsidP="00B867ED">
      <w:pPr>
        <w:spacing w:after="160" w:line="360" w:lineRule="auto"/>
        <w:ind w:firstLine="567"/>
        <w:jc w:val="right"/>
        <w:rPr>
          <w:b/>
          <w:sz w:val="20"/>
        </w:rPr>
      </w:pPr>
    </w:p>
    <w:p w14:paraId="3444F836" w14:textId="77777777" w:rsidR="0035054F" w:rsidRPr="00D03E8B" w:rsidRDefault="0035054F" w:rsidP="00B867ED">
      <w:pPr>
        <w:tabs>
          <w:tab w:val="left" w:pos="1701"/>
        </w:tabs>
        <w:spacing w:after="160" w:line="360" w:lineRule="auto"/>
        <w:ind w:firstLine="567"/>
        <w:jc w:val="both"/>
        <w:rPr>
          <w:b/>
        </w:rPr>
      </w:pPr>
      <w:r w:rsidRPr="00D03E8B">
        <w:rPr>
          <w:b/>
        </w:rPr>
        <w:t>2.5.4.1.</w:t>
      </w:r>
      <w:r w:rsidR="00D03E8B" w:rsidRPr="00B5542D">
        <w:rPr>
          <w:b/>
        </w:rPr>
        <w:tab/>
      </w:r>
      <w:r w:rsidRPr="00D03E8B">
        <w:rPr>
          <w:b/>
        </w:rPr>
        <w:t>Ներարգանդային անասնաբուժական դեղապատրաստուկները</w:t>
      </w:r>
    </w:p>
    <w:p w14:paraId="54F2FDC4" w14:textId="77777777" w:rsidR="0035054F" w:rsidRPr="00E345B2" w:rsidRDefault="0035054F" w:rsidP="00B867ED">
      <w:pPr>
        <w:spacing w:after="160" w:line="360" w:lineRule="auto"/>
        <w:ind w:firstLine="567"/>
        <w:jc w:val="both"/>
      </w:pPr>
      <w:r w:rsidRPr="007E4DEC">
        <w:rPr>
          <w:spacing w:val="-4"/>
        </w:rPr>
        <w:t>Ներարգանդային անասնաբուժական դեղապատրաստուկները թողարկվում են հեղուկ, փափուկ կամ պինդ դեղաձեւերով, ինչպես նաեւ փրփուրների ձեւով, նախատեսված</w:t>
      </w:r>
      <w:r w:rsidRPr="00E345B2">
        <w:t xml:space="preserve"> են անմիջապես արգանդի (վզիկի, խոռոչի կամ հատակի) մեջ ներմուծման համար՝ տեղային ազդեցության հասնելու նպատակով։ Դրանք պարունակում են համապատասխան կրիչի կամ հիմքի մեջ 1 կամ ավելի ազդող նյութ։ Արգանդի մեջ ներմուծման համար կարող են օգտագործվել համապատասխան ներդրուկներ </w:t>
      </w:r>
      <w:r>
        <w:t>եւ</w:t>
      </w:r>
      <w:r w:rsidRPr="00E345B2">
        <w:t xml:space="preserve"> փողաձողեր։</w:t>
      </w:r>
    </w:p>
    <w:p w14:paraId="08FE335B" w14:textId="77777777" w:rsidR="0035054F" w:rsidRPr="00B5542D" w:rsidRDefault="0035054F" w:rsidP="00B867ED">
      <w:pPr>
        <w:spacing w:after="160" w:line="360" w:lineRule="auto"/>
        <w:ind w:firstLine="567"/>
        <w:jc w:val="both"/>
      </w:pPr>
      <w:r w:rsidRPr="00E345B2">
        <w:t>Ներարգանդային ներմուծման համար նախատեսված պինդ դեղաձ</w:t>
      </w:r>
      <w:r>
        <w:t>եւ</w:t>
      </w:r>
      <w:r w:rsidRPr="00E345B2">
        <w:t>երը ներարգանդային մոմիկներ, ներարգանդային ձողիկներ, ներարգանդային դեղահաբեր, ներարգանդային դեղապատիճներ, ներարգանդային լուծույթների պատրաստման համար դեղահաբեր, ներարգանդային ներմուծման համար կախույթների պատրաստման համար դեղահաբեր, ներարգանդային լուծույթների պատրաստման համար փոշիներ, ներարգանդային ներմուծման համար կախույթների պատրաստման համար փոշիներ են. փափուկ դեղաձ</w:t>
      </w:r>
      <w:r>
        <w:t>եւ</w:t>
      </w:r>
      <w:r w:rsidRPr="00E345B2">
        <w:t>երը ներարգանդային կիրառման համար քսուքներ, ներարգանդային ներմուծման համար նրբաքսուքներ, ներարգանդային կիրառման համար դոնդողներ են. հեղուկ դեղաձ</w:t>
      </w:r>
      <w:r>
        <w:t>եւ</w:t>
      </w:r>
      <w:r w:rsidRPr="00E345B2">
        <w:t>երը ներարգանդային լուծույթներ, ներարգանդային էմուլսիաներ, ներարգանդային ներմուծման համար կախույթներ, ներարգանդային լուծույթների պատրաստման համար կոնցենտրատներ, ներարգանդային էմուլսիաների պատրաստման համար կոնցենտրատներ, ինչպես նա</w:t>
      </w:r>
      <w:r>
        <w:t>եւ</w:t>
      </w:r>
      <w:r w:rsidRPr="00E345B2">
        <w:t xml:space="preserve"> ներարգանդային ներմուծման համար կախույթների պատրաստման համար կոնցենտրատներ են։</w:t>
      </w:r>
    </w:p>
    <w:p w14:paraId="1B04D3CC" w14:textId="77777777" w:rsidR="0035054F" w:rsidRPr="00E345B2" w:rsidRDefault="0035054F" w:rsidP="00B867ED">
      <w:pPr>
        <w:spacing w:after="160" w:line="360" w:lineRule="auto"/>
        <w:ind w:firstLine="567"/>
        <w:jc w:val="both"/>
      </w:pPr>
      <w:r w:rsidRPr="00E345B2">
        <w:t xml:space="preserve">Ներարգանդային փրփուրները եռաֆազ աերոզոլներ, այպես կոչված՝ փրփուրային աերոզոլներ են, որոնք ազդող նյութերի լուծույթներից, էմուլսիաներից կամ կախույթներից կազմված համակարգեր են՝ պրոպելենտ </w:t>
      </w:r>
      <w:r w:rsidRPr="00E345B2">
        <w:lastRenderedPageBreak/>
        <w:t>հանդիսացող գազի ճնշման տակ գտնվող մակեր</w:t>
      </w:r>
      <w:r>
        <w:t>եւ</w:t>
      </w:r>
      <w:r w:rsidRPr="00E345B2">
        <w:t>ութային ակտիվ օժանդակ նյութերի ավելացմամբ։</w:t>
      </w:r>
    </w:p>
    <w:p w14:paraId="233DF341" w14:textId="77777777" w:rsidR="0035054F" w:rsidRPr="00E345B2" w:rsidRDefault="0035054F" w:rsidP="00B867ED">
      <w:pPr>
        <w:spacing w:after="160" w:line="360" w:lineRule="auto"/>
        <w:ind w:firstLine="567"/>
        <w:jc w:val="both"/>
      </w:pPr>
    </w:p>
    <w:p w14:paraId="1AA9DCA8" w14:textId="77777777" w:rsidR="0035054F" w:rsidRPr="00D03E8B" w:rsidRDefault="0035054F" w:rsidP="00B867ED">
      <w:pPr>
        <w:spacing w:after="160" w:line="360" w:lineRule="auto"/>
        <w:ind w:firstLine="567"/>
        <w:jc w:val="both"/>
        <w:rPr>
          <w:b/>
        </w:rPr>
      </w:pPr>
      <w:r w:rsidRPr="00D03E8B">
        <w:rPr>
          <w:b/>
        </w:rPr>
        <w:t>ՏԵԽՆՈԼՈԳԻԱՅԻ ԱՌԱՆՁՆԱՀԱՏԿՈՒԹՅՈՒՆՆԵՐԸ</w:t>
      </w:r>
    </w:p>
    <w:p w14:paraId="0182DCEC" w14:textId="77777777" w:rsidR="0035054F" w:rsidRPr="00E345B2" w:rsidRDefault="0035054F" w:rsidP="00B867ED">
      <w:pPr>
        <w:spacing w:after="160" w:line="360" w:lineRule="auto"/>
        <w:ind w:firstLine="567"/>
        <w:jc w:val="both"/>
      </w:pPr>
      <w:r w:rsidRPr="00E345B2">
        <w:t>Ներարգանդային անասնաբուժական դեղապատրաստուկների մշակման ժամանակ հարկավոր է հաշվի առնել, որ դեղաձ</w:t>
      </w:r>
      <w:r>
        <w:t>եւ</w:t>
      </w:r>
      <w:r w:rsidRPr="00E345B2">
        <w:t xml:space="preserve">ը պետք է հարմար լինի անմիջապես արգանդի մեջ ներմուծման համար կամ պետք է համալրվի ներմուծման սարքով (ներդրուկներ, փողաձողեր </w:t>
      </w:r>
      <w:r>
        <w:t>եւ</w:t>
      </w:r>
      <w:r w:rsidRPr="00E345B2">
        <w:t xml:space="preserve"> այլն)։ Օժանդակ նյութերը (կոնսերվանտները, հակաօքսիդանտները, կայունացուցիչները, էմուլսարարները, թանձրացուցիչները, պրոպելենտները, մակեր</w:t>
      </w:r>
      <w:r>
        <w:t>եւ</w:t>
      </w:r>
      <w:r w:rsidRPr="00E345B2">
        <w:t xml:space="preserve">ութային ակտիվ նյութերը </w:t>
      </w:r>
      <w:r>
        <w:t>եւ</w:t>
      </w:r>
      <w:r w:rsidRPr="00E345B2">
        <w:t xml:space="preserve"> այլն) պետք է լինեն դեղագործական տեսանկյունից համատեղելի, ապահովեն դեղաձ</w:t>
      </w:r>
      <w:r>
        <w:t>եւ</w:t>
      </w:r>
      <w:r w:rsidRPr="00E345B2">
        <w:t xml:space="preserve">երի օպտիմալ տեխնոլոգիական բնութագրերը </w:t>
      </w:r>
      <w:r>
        <w:t>եւ</w:t>
      </w:r>
      <w:r w:rsidRPr="00E345B2">
        <w:t xml:space="preserve"> կիրառվող կոնցենտրացիաներով անցանկալի տեղային ազդեցություն չպետք է թողնեն։</w:t>
      </w:r>
    </w:p>
    <w:p w14:paraId="1461EC94" w14:textId="77777777" w:rsidR="0035054F" w:rsidRPr="00E345B2" w:rsidRDefault="0035054F" w:rsidP="00B867ED">
      <w:pPr>
        <w:spacing w:after="160" w:line="360" w:lineRule="auto"/>
        <w:ind w:firstLine="567"/>
        <w:jc w:val="both"/>
      </w:pPr>
      <w:r w:rsidRPr="00E345B2">
        <w:t xml:space="preserve">Ներարգանդային անասնաբուժական դեղապատրաստուկների բաղադրությունը </w:t>
      </w:r>
      <w:r>
        <w:t>եւ</w:t>
      </w:r>
      <w:r w:rsidRPr="00E345B2">
        <w:t xml:space="preserve"> արտադրության տեխնոլոգիան պետք է ապահովեն կրիչի կամ հիմքի մեջ ազդող նյութի (նյութերի) հավասարաչափ բաշխումը, ինչպես նա</w:t>
      </w:r>
      <w:r>
        <w:t>եւ</w:t>
      </w:r>
      <w:r w:rsidRPr="00E345B2">
        <w:t xml:space="preserve"> պահպանման ընթացքում դեղաձ</w:t>
      </w:r>
      <w:r>
        <w:t>եւ</w:t>
      </w:r>
      <w:r w:rsidRPr="00E345B2">
        <w:t>ի կայունությունը։</w:t>
      </w:r>
    </w:p>
    <w:p w14:paraId="0BBDAF01" w14:textId="77777777" w:rsidR="0035054F" w:rsidRPr="00E345B2" w:rsidRDefault="0035054F" w:rsidP="00B867ED">
      <w:pPr>
        <w:spacing w:after="160" w:line="360" w:lineRule="auto"/>
        <w:ind w:firstLine="567"/>
        <w:jc w:val="both"/>
      </w:pPr>
      <w:r w:rsidRPr="00D82771">
        <w:rPr>
          <w:spacing w:val="-4"/>
        </w:rPr>
        <w:t>Պատրաստուկների բաղադրության մեջ մտնող կոնսերվանտների արդյունավետության գնահատման մեթոդիկան եւ չափորոշիչները ներկայացված են «</w:t>
      </w:r>
      <w:r w:rsidRPr="00D82771">
        <w:rPr>
          <w:i/>
          <w:spacing w:val="-4"/>
        </w:rPr>
        <w:t>2.3.1.1.</w:t>
      </w:r>
      <w:r w:rsidRPr="00D82771">
        <w:rPr>
          <w:i/>
        </w:rPr>
        <w:t xml:space="preserve"> Հակամանրէային կոնսերվանտների արդյունավետությունը</w:t>
      </w:r>
      <w:r w:rsidRPr="00E345B2">
        <w:t>» ընդհանուր դեղագրքային հոդվածում։</w:t>
      </w:r>
    </w:p>
    <w:p w14:paraId="06EF720D" w14:textId="77777777" w:rsidR="0035054F" w:rsidRPr="00E345B2" w:rsidRDefault="0035054F" w:rsidP="00B867ED">
      <w:pPr>
        <w:spacing w:after="160" w:line="360" w:lineRule="auto"/>
        <w:ind w:firstLine="567"/>
        <w:jc w:val="both"/>
      </w:pPr>
      <w:r w:rsidRPr="00E345B2">
        <w:t>Ներարգանդային անասնաբուժական դեղապատրաստուկների արտադրության տեխնոլոգիայի առանձնահատկությունները ներկայացված են դեղաձ</w:t>
      </w:r>
      <w:r>
        <w:t>եւ</w:t>
      </w:r>
      <w:r w:rsidRPr="00E345B2">
        <w:t>երի տարբեր տեսակներին առնչվող ընդհանուր դեղագրքային հոդվածներում՝</w:t>
      </w:r>
    </w:p>
    <w:p w14:paraId="2AF70CCA" w14:textId="77777777" w:rsidR="0035054F" w:rsidRPr="00E345B2" w:rsidRDefault="0035054F" w:rsidP="00B867ED">
      <w:pPr>
        <w:tabs>
          <w:tab w:val="left" w:pos="1134"/>
        </w:tabs>
        <w:spacing w:after="160" w:line="360" w:lineRule="auto"/>
        <w:ind w:firstLine="567"/>
        <w:jc w:val="both"/>
      </w:pPr>
      <w:r w:rsidRPr="00E345B2">
        <w:t>-</w:t>
      </w:r>
      <w:r w:rsidR="00D03E8B" w:rsidRPr="00B5542D">
        <w:tab/>
      </w:r>
      <w:r w:rsidRPr="00E345B2">
        <w:t xml:space="preserve">ներարգանդային լուծույթներ՝ </w:t>
      </w:r>
      <w:r w:rsidRPr="00D82771">
        <w:rPr>
          <w:i/>
        </w:rPr>
        <w:t>«2.5.1.25. Լուծույթները»</w:t>
      </w:r>
      <w:r w:rsidRPr="00E345B2">
        <w:t xml:space="preserve"> ընդհանուր դեղագրքային հոդված.</w:t>
      </w:r>
    </w:p>
    <w:p w14:paraId="62B27C15" w14:textId="77777777" w:rsidR="0035054F" w:rsidRPr="00E345B2" w:rsidRDefault="0035054F" w:rsidP="00B867ED">
      <w:pPr>
        <w:tabs>
          <w:tab w:val="left" w:pos="1134"/>
        </w:tabs>
        <w:spacing w:after="160" w:line="360" w:lineRule="auto"/>
        <w:ind w:firstLine="567"/>
        <w:jc w:val="both"/>
      </w:pPr>
      <w:r w:rsidRPr="00E345B2">
        <w:lastRenderedPageBreak/>
        <w:t>-</w:t>
      </w:r>
      <w:r w:rsidR="00D03E8B" w:rsidRPr="00B5542D">
        <w:tab/>
      </w:r>
      <w:r w:rsidRPr="00E345B2">
        <w:t>ներարգանդային էմուլսիաներ՝ «</w:t>
      </w:r>
      <w:r w:rsidRPr="00D82771">
        <w:rPr>
          <w:i/>
        </w:rPr>
        <w:t>2.5.1.39. Էմուլսիաները</w:t>
      </w:r>
      <w:r w:rsidRPr="00E345B2">
        <w:t>» ընդհանուր դեղագրքային հոդված.</w:t>
      </w:r>
    </w:p>
    <w:p w14:paraId="744F19E4" w14:textId="77777777" w:rsidR="0035054F" w:rsidRPr="00E345B2" w:rsidRDefault="0035054F" w:rsidP="00B867ED">
      <w:pPr>
        <w:tabs>
          <w:tab w:val="left" w:pos="1134"/>
        </w:tabs>
        <w:spacing w:after="160" w:line="360" w:lineRule="auto"/>
        <w:ind w:firstLine="567"/>
        <w:jc w:val="both"/>
      </w:pPr>
      <w:r w:rsidRPr="00E345B2">
        <w:t>-</w:t>
      </w:r>
      <w:r w:rsidR="00D03E8B" w:rsidRPr="00B5542D">
        <w:tab/>
      </w:r>
      <w:r w:rsidRPr="00E345B2">
        <w:t>ներարգանդային ներմուծման կախույթներ՝ «</w:t>
      </w:r>
      <w:r w:rsidRPr="00D82771">
        <w:rPr>
          <w:i/>
        </w:rPr>
        <w:t>2.5.1.33. Կախույթները»</w:t>
      </w:r>
      <w:r w:rsidRPr="00E345B2">
        <w:t xml:space="preserve"> ընդհանուր դեղագրքային հոդված.</w:t>
      </w:r>
    </w:p>
    <w:p w14:paraId="19A12356" w14:textId="77777777" w:rsidR="0035054F" w:rsidRPr="00E345B2" w:rsidRDefault="0035054F" w:rsidP="00B867ED">
      <w:pPr>
        <w:tabs>
          <w:tab w:val="left" w:pos="1134"/>
        </w:tabs>
        <w:spacing w:after="160" w:line="346" w:lineRule="auto"/>
        <w:ind w:firstLine="567"/>
        <w:jc w:val="both"/>
      </w:pPr>
      <w:r w:rsidRPr="00E345B2">
        <w:t>-</w:t>
      </w:r>
      <w:r w:rsidR="00D03E8B" w:rsidRPr="00B5542D">
        <w:tab/>
      </w:r>
      <w:r w:rsidRPr="00E345B2">
        <w:t xml:space="preserve">ներարգանդային փրփուրներ՝ </w:t>
      </w:r>
      <w:r w:rsidRPr="00D82771">
        <w:rPr>
          <w:i/>
        </w:rPr>
        <w:t>«2.5.1.18. Դեղային փրփուրները»</w:t>
      </w:r>
      <w:r w:rsidRPr="00E345B2">
        <w:t xml:space="preserve"> ընդհանուր դեղագրքային հոդված </w:t>
      </w:r>
      <w:r>
        <w:t>եւ</w:t>
      </w:r>
      <w:r w:rsidRPr="00E345B2">
        <w:t xml:space="preserve"> «</w:t>
      </w:r>
      <w:r w:rsidRPr="00D82771">
        <w:rPr>
          <w:i/>
        </w:rPr>
        <w:t>2.5.1.2. Աերոզոլները»</w:t>
      </w:r>
      <w:r w:rsidRPr="00E345B2">
        <w:t xml:space="preserve"> ընդհանուր դեղագրքային հոդված.</w:t>
      </w:r>
    </w:p>
    <w:p w14:paraId="55D5561C" w14:textId="77777777" w:rsidR="0035054F" w:rsidRPr="00E345B2" w:rsidRDefault="0035054F" w:rsidP="00B867ED">
      <w:pPr>
        <w:tabs>
          <w:tab w:val="left" w:pos="1134"/>
        </w:tabs>
        <w:spacing w:after="160" w:line="346" w:lineRule="auto"/>
        <w:ind w:firstLine="567"/>
        <w:jc w:val="both"/>
      </w:pPr>
      <w:r w:rsidRPr="00E345B2">
        <w:t>-</w:t>
      </w:r>
      <w:r w:rsidR="00D03E8B" w:rsidRPr="00D03E8B">
        <w:tab/>
      </w:r>
      <w:r w:rsidRPr="00E345B2">
        <w:t>ներարգանդային դեղահաբեր, ներարգանդային լուծույթների պատրաստման համար դեղահաբեր,</w:t>
      </w:r>
      <w:r>
        <w:t xml:space="preserve"> </w:t>
      </w:r>
      <w:r w:rsidRPr="00E345B2">
        <w:t>ներարգանդային ներմուծման համար կախույթների պատրաստման համար դեղահաբեր, ներարգանդային լուծույթների պատրաստման համար փոշիներ, ներարգանդային ներմուծման համար կախույթների պատրաստման համար փոշիներ՝ «</w:t>
      </w:r>
      <w:r w:rsidRPr="007E4DEC">
        <w:rPr>
          <w:i/>
        </w:rPr>
        <w:t>2.5.1.34. Դեղահաբերը»</w:t>
      </w:r>
      <w:r w:rsidRPr="00E345B2">
        <w:t xml:space="preserve"> ընդհանուր դեղագրքային հոդված </w:t>
      </w:r>
      <w:r>
        <w:t>եւ</w:t>
      </w:r>
      <w:r w:rsidRPr="00E345B2">
        <w:t xml:space="preserve"> </w:t>
      </w:r>
      <w:r w:rsidRPr="007E4DEC">
        <w:rPr>
          <w:i/>
        </w:rPr>
        <w:t>«2.5.1.24. Փոշիները</w:t>
      </w:r>
      <w:r w:rsidRPr="00E345B2">
        <w:t>» ընդհանուր դեղագրքային հոդված.</w:t>
      </w:r>
    </w:p>
    <w:p w14:paraId="74554F07" w14:textId="77777777" w:rsidR="0035054F" w:rsidRPr="00E345B2" w:rsidRDefault="0035054F" w:rsidP="00B867ED">
      <w:pPr>
        <w:tabs>
          <w:tab w:val="left" w:pos="1134"/>
        </w:tabs>
        <w:spacing w:after="160" w:line="346" w:lineRule="auto"/>
        <w:ind w:firstLine="567"/>
        <w:jc w:val="both"/>
      </w:pPr>
      <w:r w:rsidRPr="00E345B2">
        <w:t>-</w:t>
      </w:r>
      <w:r w:rsidR="00D03E8B" w:rsidRPr="00B5542D">
        <w:tab/>
      </w:r>
      <w:r w:rsidRPr="00E345B2">
        <w:t xml:space="preserve">ներարգանդային դեղապատիճներ՝ </w:t>
      </w:r>
      <w:r w:rsidRPr="00D82771">
        <w:rPr>
          <w:i/>
        </w:rPr>
        <w:t>«2.5.1.10. Դեղապատիճները»</w:t>
      </w:r>
      <w:r w:rsidRPr="00E345B2">
        <w:t xml:space="preserve"> ընդհանուր դեղագրքային հոդված.</w:t>
      </w:r>
    </w:p>
    <w:p w14:paraId="07C5BE1A" w14:textId="77777777" w:rsidR="0035054F" w:rsidRPr="00E345B2" w:rsidRDefault="0035054F" w:rsidP="00B867ED">
      <w:pPr>
        <w:tabs>
          <w:tab w:val="left" w:pos="1134"/>
        </w:tabs>
        <w:spacing w:after="160" w:line="346" w:lineRule="auto"/>
        <w:ind w:firstLine="567"/>
        <w:jc w:val="both"/>
      </w:pPr>
      <w:r w:rsidRPr="00E345B2">
        <w:t>-</w:t>
      </w:r>
      <w:r w:rsidR="00D03E8B" w:rsidRPr="00B5542D">
        <w:tab/>
      </w:r>
      <w:r w:rsidRPr="00E345B2">
        <w:t xml:space="preserve">ներարգանդային մոմիկներ, ներարգանդային ձողիկներ՝ </w:t>
      </w:r>
      <w:r w:rsidRPr="00D82771">
        <w:rPr>
          <w:i/>
        </w:rPr>
        <w:t>«2.5.1.32. Մոմիկները եւ ձողիկները»</w:t>
      </w:r>
      <w:r w:rsidRPr="00E345B2">
        <w:t xml:space="preserve"> ընդհանուր դեղագրքային հոդված.</w:t>
      </w:r>
    </w:p>
    <w:p w14:paraId="481A96FA" w14:textId="77777777" w:rsidR="0035054F" w:rsidRPr="00E345B2" w:rsidRDefault="0035054F" w:rsidP="00B867ED">
      <w:pPr>
        <w:tabs>
          <w:tab w:val="left" w:pos="1134"/>
        </w:tabs>
        <w:spacing w:after="160" w:line="346" w:lineRule="auto"/>
        <w:ind w:firstLine="567"/>
        <w:jc w:val="both"/>
      </w:pPr>
      <w:r w:rsidRPr="00E345B2">
        <w:t>-</w:t>
      </w:r>
      <w:r w:rsidR="00D03E8B" w:rsidRPr="00D03E8B">
        <w:tab/>
      </w:r>
      <w:r w:rsidRPr="00E345B2">
        <w:t>ներարգանդային կիրառման քսուքներ,</w:t>
      </w:r>
      <w:r>
        <w:t xml:space="preserve"> </w:t>
      </w:r>
      <w:r w:rsidRPr="00E345B2">
        <w:t xml:space="preserve">ներարգանդային ներմուծման նրբաքսուքներ, ներարգանդային կիրառման դոնդողներ՝ </w:t>
      </w:r>
      <w:r w:rsidRPr="00D82771">
        <w:rPr>
          <w:i/>
        </w:rPr>
        <w:t>«2.5.1.40. Փափուկ դեղաձեւերը»</w:t>
      </w:r>
      <w:r w:rsidRPr="00E345B2">
        <w:t xml:space="preserve"> ընդհանուր դեղագրքային հոդված։</w:t>
      </w:r>
    </w:p>
    <w:p w14:paraId="3F1EE31D" w14:textId="77777777" w:rsidR="0035054F" w:rsidRPr="00E345B2" w:rsidRDefault="0035054F" w:rsidP="00B867ED">
      <w:pPr>
        <w:spacing w:after="160" w:line="346" w:lineRule="auto"/>
        <w:ind w:firstLine="567"/>
        <w:jc w:val="both"/>
      </w:pPr>
      <w:r w:rsidRPr="00E345B2">
        <w:t xml:space="preserve">Ներարգանդային անասնաբուժական դեղապատրաստուկների արտադրման, փաթեթավորման </w:t>
      </w:r>
      <w:r>
        <w:t>եւ</w:t>
      </w:r>
      <w:r w:rsidRPr="00E345B2">
        <w:t xml:space="preserve"> պահպանման ժամանակ ձեռնարկում են դրանց մանրէաբանական մաքրությունն ապահովող միջոցներ՝ </w:t>
      </w:r>
      <w:r w:rsidRPr="00D82771">
        <w:rPr>
          <w:i/>
        </w:rPr>
        <w:t>«2.3.1.2.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հոդվածին համապատասխան։</w:t>
      </w:r>
    </w:p>
    <w:p w14:paraId="1EFBB7C3" w14:textId="77777777" w:rsidR="0035054F" w:rsidRPr="00E345B2" w:rsidRDefault="0035054F" w:rsidP="00B867ED">
      <w:pPr>
        <w:spacing w:after="160" w:line="360" w:lineRule="auto"/>
        <w:ind w:firstLine="567"/>
        <w:jc w:val="both"/>
      </w:pPr>
      <w:r w:rsidRPr="00E345B2">
        <w:lastRenderedPageBreak/>
        <w:t>Պինդ դեղաձ</w:t>
      </w:r>
      <w:r>
        <w:t>եւ</w:t>
      </w:r>
      <w:r w:rsidRPr="00E345B2">
        <w:t>երի արտադրության ժամանակ ապահովվում է զանգվածի միատարրությունը կամ եթե կիրառելի է՝ ազդող նյութի պարունակության միատարրությունը։</w:t>
      </w:r>
    </w:p>
    <w:p w14:paraId="39C580B8" w14:textId="77777777" w:rsidR="0035054F" w:rsidRPr="00E345B2" w:rsidRDefault="0035054F" w:rsidP="00B867ED">
      <w:pPr>
        <w:spacing w:after="160" w:line="360" w:lineRule="auto"/>
        <w:ind w:firstLine="567"/>
        <w:jc w:val="both"/>
      </w:pPr>
      <w:r w:rsidRPr="00E345B2">
        <w:t>Ներարգանդային անասնաբուժական դեղապատրաստուկների մշակման ընթացքում պետք է հաստատվի, որ հեղուկ կամ փափուկ դեղաձ</w:t>
      </w:r>
      <w:r>
        <w:t>եւ</w:t>
      </w:r>
      <w:r w:rsidRPr="00E345B2">
        <w:t xml:space="preserve">երով միադեղաչափ կոնտեյներից պատրաստուկի՝ սահմանված նոմինալ պարունակությամբ քանակ է դուրս բերվում։ </w:t>
      </w:r>
    </w:p>
    <w:p w14:paraId="68E7D441" w14:textId="77777777" w:rsidR="0035054F" w:rsidRPr="00E345B2" w:rsidRDefault="0035054F" w:rsidP="00B867ED">
      <w:pPr>
        <w:spacing w:after="160" w:line="360" w:lineRule="auto"/>
        <w:ind w:firstLine="567"/>
        <w:jc w:val="both"/>
      </w:pPr>
    </w:p>
    <w:p w14:paraId="20C6B169" w14:textId="77777777" w:rsidR="0035054F" w:rsidRPr="00D03E8B" w:rsidRDefault="0035054F" w:rsidP="00B867ED">
      <w:pPr>
        <w:spacing w:after="160" w:line="360" w:lineRule="auto"/>
        <w:ind w:firstLine="567"/>
        <w:jc w:val="both"/>
        <w:rPr>
          <w:b/>
        </w:rPr>
      </w:pPr>
      <w:r w:rsidRPr="00D03E8B">
        <w:rPr>
          <w:b/>
        </w:rPr>
        <w:t>ՓՈՐՁԱՐԿՈՒՄՆԵՐԸ</w:t>
      </w:r>
    </w:p>
    <w:p w14:paraId="0190BCED" w14:textId="77777777" w:rsidR="0035054F" w:rsidRPr="00E345B2" w:rsidRDefault="0035054F" w:rsidP="00B867ED">
      <w:pPr>
        <w:spacing w:after="160" w:line="360" w:lineRule="auto"/>
        <w:ind w:firstLine="567"/>
        <w:jc w:val="both"/>
      </w:pPr>
      <w:r w:rsidRPr="00E345B2">
        <w:t>Ներարգանդային անասնաբուժական դեղապատրաստուկները պետք է բավարարեն դեղաձ</w:t>
      </w:r>
      <w:r>
        <w:t>եւ</w:t>
      </w:r>
      <w:r w:rsidRPr="00E345B2">
        <w:t xml:space="preserve">երին </w:t>
      </w:r>
      <w:r>
        <w:t>եւ</w:t>
      </w:r>
      <w:r w:rsidRPr="00E345B2">
        <w:t xml:space="preserve"> դրանց անալիզի մեթոդներին առնչվող համապատասխան ընդհանուր դեղագրքային հոդվածների պահանջները։</w:t>
      </w:r>
    </w:p>
    <w:p w14:paraId="28AC70EB" w14:textId="77777777" w:rsidR="0035054F" w:rsidRPr="00E345B2" w:rsidRDefault="0035054F" w:rsidP="00B867ED">
      <w:pPr>
        <w:spacing w:after="160" w:line="360" w:lineRule="auto"/>
        <w:ind w:firstLine="567"/>
        <w:jc w:val="both"/>
      </w:pPr>
      <w:r w:rsidRPr="00E345B2">
        <w:t>Ներարգանդային անասնաբուժական դեղապատրաստուկների համար որոշում են փաթեթվածքի պարունակության զանգվածը կամ ծավալը՝ «</w:t>
      </w:r>
      <w:r w:rsidRPr="00D82771">
        <w:rPr>
          <w:i/>
        </w:rPr>
        <w:t xml:space="preserve">2.1.9.17. Փաթեթվածքի պարունակության զանգվածը (ծավալը)» </w:t>
      </w:r>
      <w:r w:rsidRPr="00E345B2">
        <w:t>ընդհանուր դեղագրքային հոդվածին համապատասխան։</w:t>
      </w:r>
    </w:p>
    <w:p w14:paraId="7A74B046" w14:textId="77777777" w:rsidR="0035054F" w:rsidRPr="00E345B2" w:rsidRDefault="0035054F" w:rsidP="00B867ED">
      <w:pPr>
        <w:spacing w:after="160" w:line="360" w:lineRule="auto"/>
        <w:ind w:firstLine="567"/>
        <w:jc w:val="both"/>
      </w:pPr>
      <w:r w:rsidRPr="00E345B2">
        <w:t xml:space="preserve">Պատրաստուկների դեղաչափված </w:t>
      </w:r>
      <w:r>
        <w:t>եւ</w:t>
      </w:r>
      <w:r w:rsidRPr="00E345B2">
        <w:t xml:space="preserve"> միադեղաչափ դեղաձ</w:t>
      </w:r>
      <w:r>
        <w:t>եւ</w:t>
      </w:r>
      <w:r w:rsidRPr="00E345B2">
        <w:t xml:space="preserve">երի համար որոշում են դեղաչափերի զանգվածի միատարրությունը՝ </w:t>
      </w:r>
      <w:r w:rsidRPr="00D82771">
        <w:rPr>
          <w:i/>
        </w:rPr>
        <w:t>«2.1.9.14. Դեղաչափված</w:t>
      </w:r>
      <w:r w:rsidRPr="00E345B2">
        <w:t xml:space="preserve"> </w:t>
      </w:r>
      <w:r w:rsidRPr="00D82771">
        <w:rPr>
          <w:i/>
        </w:rPr>
        <w:t>միավորների միատարրությունը</w:t>
      </w:r>
      <w:r w:rsidRPr="00E345B2">
        <w:t>» ընդհանուր դեղագրքային հոդվածին կամ «</w:t>
      </w:r>
      <w:r w:rsidRPr="00D82771">
        <w:rPr>
          <w:i/>
        </w:rPr>
        <w:t>2.1.9.5. Դեղաչափված դեղապատրաստուկի միավորի զանգվածի միատարրությունը»</w:t>
      </w:r>
      <w:r w:rsidRPr="00E345B2">
        <w:t xml:space="preserve"> ընդհանուր դեղագրքային հոդվածին համապատասխան։</w:t>
      </w:r>
    </w:p>
    <w:p w14:paraId="699B6F04" w14:textId="77777777" w:rsidR="0035054F" w:rsidRPr="00E345B2" w:rsidRDefault="0035054F" w:rsidP="00B867ED">
      <w:pPr>
        <w:spacing w:after="160" w:line="360" w:lineRule="auto"/>
        <w:ind w:firstLine="567"/>
        <w:jc w:val="both"/>
      </w:pPr>
      <w:r w:rsidRPr="00E345B2">
        <w:t xml:space="preserve">Հակամանրէային կոնսերվանտների արդյունավետության գնահատման չափորոշիչները պետք է համապատասխանեն </w:t>
      </w:r>
      <w:r w:rsidRPr="00D82771">
        <w:rPr>
          <w:i/>
        </w:rPr>
        <w:t>«2.3.1.1. Հակամանրէային կոնսերվանտների արդյունավետությունը»</w:t>
      </w:r>
      <w:r w:rsidRPr="00E345B2">
        <w:t xml:space="preserve"> ընդհանուր դեղագրքային հոդվածի պահանջներին։</w:t>
      </w:r>
    </w:p>
    <w:p w14:paraId="0AFEDF2C" w14:textId="77777777" w:rsidR="0035054F" w:rsidRPr="00E345B2" w:rsidRDefault="0035054F" w:rsidP="00B867ED">
      <w:pPr>
        <w:spacing w:after="160" w:line="360" w:lineRule="auto"/>
        <w:ind w:firstLine="567"/>
        <w:jc w:val="both"/>
      </w:pPr>
      <w:r w:rsidRPr="00E345B2">
        <w:t xml:space="preserve">Ներարգանդային անասնաբուժական դեղապատրաստուկները պետք է բավարարեն </w:t>
      </w:r>
      <w:r w:rsidRPr="00D82771">
        <w:rPr>
          <w:i/>
        </w:rPr>
        <w:t xml:space="preserve">«2.3.1.2. Դեղապատրաստուկների, դեղագործական բաղադրամասերի </w:t>
      </w:r>
      <w:r w:rsidRPr="00D82771">
        <w:rPr>
          <w:i/>
        </w:rPr>
        <w:lastRenderedPageBreak/>
        <w:t>եւ դրանց արտադրության համար օժանդակ նյութերի մանրէաբանական մաքրությանը ներկայացվող պահանջները»</w:t>
      </w:r>
      <w:r w:rsidRPr="00E345B2">
        <w:t xml:space="preserve"> ընդհանուր դեղագրքային հոդվածի պահանջները։</w:t>
      </w:r>
    </w:p>
    <w:p w14:paraId="6EC451FB" w14:textId="77777777" w:rsidR="0035054F" w:rsidRPr="00E345B2" w:rsidRDefault="0035054F" w:rsidP="00B867ED">
      <w:pPr>
        <w:spacing w:after="160" w:line="360" w:lineRule="auto"/>
        <w:ind w:firstLine="567"/>
        <w:jc w:val="both"/>
      </w:pPr>
      <w:r w:rsidRPr="00E345B2">
        <w:t xml:space="preserve">Փրփրագոյացնող ներարգանդային դեղահաբերը, դեղապատիճները </w:t>
      </w:r>
      <w:r>
        <w:t>եւ</w:t>
      </w:r>
      <w:r w:rsidRPr="00E345B2">
        <w:t xml:space="preserve"> մոմիկները լրացուցիչ վերահսկվում են «</w:t>
      </w:r>
      <w:r w:rsidRPr="00D82771">
        <w:rPr>
          <w:i/>
        </w:rPr>
        <w:t>2.5.1.18. Դեղային փրփուրները»</w:t>
      </w:r>
      <w:r w:rsidRPr="00E345B2">
        <w:t xml:space="preserve"> ընդհանուր դեղագրքային հոդվածին </w:t>
      </w:r>
      <w:r>
        <w:t>եւ</w:t>
      </w:r>
      <w:r w:rsidRPr="00E345B2">
        <w:t xml:space="preserve"> մասնավոր դեղագրքային հոդվածում կամ անասնաբուժական դեղամիջոցի վերաբերյալ նորմատիվ փաստաթղթում նկարագրված անալիզի մեթոդներին համապատասխան։</w:t>
      </w:r>
    </w:p>
    <w:p w14:paraId="7C89F075" w14:textId="77777777" w:rsidR="0035054F" w:rsidRPr="00E345B2" w:rsidRDefault="0035054F" w:rsidP="00B867ED">
      <w:pPr>
        <w:spacing w:after="160" w:line="360" w:lineRule="auto"/>
        <w:ind w:firstLine="567"/>
        <w:jc w:val="both"/>
      </w:pPr>
      <w:r w:rsidRPr="00E345B2">
        <w:t>Դեղահաբերը՝ բացառությամբ երկարաձգված տեղային ազդեցության համար նախատեսվածների, ինչպես նա</w:t>
      </w:r>
      <w:r>
        <w:t>եւ</w:t>
      </w:r>
      <w:r w:rsidRPr="00E345B2">
        <w:t xml:space="preserve"> մոմիկները պետք է համապատասխանեն </w:t>
      </w:r>
      <w:r w:rsidRPr="00D82771">
        <w:rPr>
          <w:i/>
        </w:rPr>
        <w:t>«2.1.9.2. Մոմիկների եւ հեշտոցային դեղահաբերի, ռեկտալ եւ հեշտոցային</w:t>
      </w:r>
      <w:r w:rsidRPr="00E345B2">
        <w:t xml:space="preserve"> </w:t>
      </w:r>
      <w:r w:rsidRPr="00D82771">
        <w:rPr>
          <w:i/>
        </w:rPr>
        <w:t>դեղապատիճների տրոհելիությունը</w:t>
      </w:r>
      <w:r w:rsidRPr="00E345B2">
        <w:t>» ընդհանուր դեղագրքային հոդվածի պահանջներին։</w:t>
      </w:r>
    </w:p>
    <w:p w14:paraId="52DAB675" w14:textId="77777777" w:rsidR="0035054F" w:rsidRPr="00E345B2" w:rsidRDefault="0035054F" w:rsidP="00B867ED">
      <w:pPr>
        <w:spacing w:after="160" w:line="360" w:lineRule="auto"/>
        <w:ind w:firstLine="567"/>
        <w:jc w:val="both"/>
      </w:pPr>
      <w:r w:rsidRPr="00E345B2">
        <w:t xml:space="preserve">Ներարգանդային լուծույթների </w:t>
      </w:r>
      <w:r>
        <w:t>եւ</w:t>
      </w:r>
      <w:r w:rsidRPr="00E345B2">
        <w:t xml:space="preserve"> կախույթների պատրաստման համար նախատեսված փոշիները </w:t>
      </w:r>
      <w:r>
        <w:t>եւ</w:t>
      </w:r>
      <w:r w:rsidRPr="00E345B2">
        <w:t xml:space="preserve"> դեղահաբերը լուծվելուց հետո պետք է լրացուցիչ վերահսկվեն «</w:t>
      </w:r>
      <w:r w:rsidRPr="00D82771">
        <w:rPr>
          <w:i/>
        </w:rPr>
        <w:t>2.5.1.25. Լուծույթները</w:t>
      </w:r>
      <w:r w:rsidRPr="00E345B2">
        <w:t xml:space="preserve">» ընդհանուր դեղագրքային հոդվածի կամ </w:t>
      </w:r>
      <w:r w:rsidRPr="00D82771">
        <w:rPr>
          <w:i/>
        </w:rPr>
        <w:t>«2.5.1.33. Կախույթները»</w:t>
      </w:r>
      <w:r w:rsidRPr="00E345B2">
        <w:t xml:space="preserve"> ընդհանուր դեղագրքային հոդվածի պահանջներին համապատասխանության մասով՝ վերջնական դեղաձ</w:t>
      </w:r>
      <w:r>
        <w:t>եւ</w:t>
      </w:r>
      <w:r w:rsidRPr="00E345B2">
        <w:t>ով պայմանավորված։</w:t>
      </w:r>
    </w:p>
    <w:p w14:paraId="2B968D62" w14:textId="77777777" w:rsidR="0035054F" w:rsidRPr="00E345B2" w:rsidRDefault="0035054F" w:rsidP="00B867ED">
      <w:pPr>
        <w:spacing w:after="160" w:line="360" w:lineRule="auto"/>
        <w:ind w:firstLine="567"/>
        <w:jc w:val="both"/>
      </w:pPr>
      <w:r w:rsidRPr="00E345B2">
        <w:t xml:space="preserve">Ներարգանդային փրփուրները վերահսկվում են </w:t>
      </w:r>
      <w:r w:rsidRPr="00D82771">
        <w:rPr>
          <w:i/>
        </w:rPr>
        <w:t>«2.5.1.18. Դեղային փրփուրները»</w:t>
      </w:r>
      <w:r w:rsidRPr="00E345B2">
        <w:t xml:space="preserve"> ընդհանուր դեղագրքային հոդվածին համապատասխան (եթե մասնավոր դեղագրքային հոդվածում այլ բան նշված չէ)։</w:t>
      </w:r>
    </w:p>
    <w:p w14:paraId="49BAAB23" w14:textId="77777777" w:rsidR="0035054F" w:rsidRPr="00E345B2" w:rsidRDefault="0035054F" w:rsidP="00B867ED">
      <w:pPr>
        <w:spacing w:after="160" w:line="360" w:lineRule="auto"/>
        <w:ind w:firstLine="567"/>
        <w:jc w:val="both"/>
      </w:pPr>
      <w:r w:rsidRPr="00E345B2">
        <w:t xml:space="preserve">Իսկության փորձարկումները որոշվում են պատրաստուկի բաղադրության մեջ մտնող ազդող նյութերով, ավելի հազվադեպ՝ օժանդակ նյութերով (հակամանրէային կոնսերվանտներով, հակաօքսիդանտներով, կայունացուցիչներով </w:t>
      </w:r>
      <w:r>
        <w:t>եւ</w:t>
      </w:r>
      <w:r w:rsidRPr="00E345B2">
        <w:t xml:space="preserve"> այլն)։ Իսկության գնահատման համար առաջարկվում է անալիզի ֆիզիկաքիմիական (ԲԱՀՔ, ՆՇՔ, ԳՔ </w:t>
      </w:r>
      <w:r>
        <w:t>եւ</w:t>
      </w:r>
      <w:r w:rsidRPr="00E345B2">
        <w:t xml:space="preserve"> այլն) </w:t>
      </w:r>
      <w:r>
        <w:t>եւ</w:t>
      </w:r>
      <w:r w:rsidRPr="00E345B2">
        <w:t xml:space="preserve"> քիմիական կամ կենսաբանական մեթոդների համակցությունը։</w:t>
      </w:r>
    </w:p>
    <w:p w14:paraId="194442F2" w14:textId="77777777" w:rsidR="0035054F" w:rsidRPr="00E345B2" w:rsidRDefault="0035054F" w:rsidP="00B867ED">
      <w:pPr>
        <w:spacing w:after="160" w:line="360" w:lineRule="auto"/>
        <w:ind w:firstLine="567"/>
        <w:jc w:val="both"/>
      </w:pPr>
      <w:r w:rsidRPr="00E345B2">
        <w:lastRenderedPageBreak/>
        <w:t xml:space="preserve">Ազդող </w:t>
      </w:r>
      <w:r>
        <w:t>եւ</w:t>
      </w:r>
      <w:r w:rsidRPr="00E345B2">
        <w:t xml:space="preserve"> անհրաժեշտության դեպքում օժանդակ նյութերի պարունակությունը որոշելու համար առաջարկվում է կիրառել ֆիզիկաքիմիական (ԲԱՀՔ, ԳՔ, սպեկտրալուսաչափություն), քիմիական (տիտրաչափական), մանրէաբանական </w:t>
      </w:r>
      <w:r>
        <w:t>եւ</w:t>
      </w:r>
      <w:r w:rsidRPr="00E345B2">
        <w:t xml:space="preserve"> այլ մեթոդներ, որոնք ներկայացված են անասնաբուժական դեղամիջոցի վերաբերյալ համապատասխան նորմատիվ փաստաթղթում կամ մասնավոր դեղագրքային հոդվածում։</w:t>
      </w:r>
    </w:p>
    <w:p w14:paraId="6AC90099" w14:textId="77777777" w:rsidR="0035054F" w:rsidRPr="00E345B2" w:rsidRDefault="0035054F" w:rsidP="004A289F">
      <w:pPr>
        <w:spacing w:after="160" w:line="360" w:lineRule="auto"/>
        <w:ind w:firstLine="567"/>
        <w:jc w:val="both"/>
      </w:pPr>
      <w:r w:rsidRPr="00E345B2">
        <w:t>Եթե անասնաբուժական դեղամիջոցի վերաբերյալ նորմատիվ փաստաթղթում կամ մասնավոր դեղագրքային հոդվածում այլ բան նշված չէ, որոշվող նյութերի պարունակությունն արտահայտում են զանգվածի, զանգվածածավալային միավորներով կամ ակտիվության միավորներով՝ չդեղաչափված դեղաձ</w:t>
      </w:r>
      <w:r>
        <w:t>եւ</w:t>
      </w:r>
      <w:r w:rsidRPr="00E345B2">
        <w:t>երի համար, կամ զանգվածի, զանգվածածավալային միավորներով կամ ակտիվության միավորներով՝ մեկ դեղաչափով՝ դեղաչափված դեղաձ</w:t>
      </w:r>
      <w:r>
        <w:t>եւ</w:t>
      </w:r>
      <w:r w:rsidRPr="00E345B2">
        <w:t>երի համար։</w:t>
      </w:r>
    </w:p>
    <w:p w14:paraId="3C28E0BF" w14:textId="77777777" w:rsidR="0035054F" w:rsidRPr="00E345B2" w:rsidRDefault="0035054F" w:rsidP="004A289F">
      <w:pPr>
        <w:spacing w:after="160" w:line="360" w:lineRule="auto"/>
        <w:ind w:firstLine="567"/>
        <w:jc w:val="both"/>
      </w:pPr>
    </w:p>
    <w:p w14:paraId="0742E046" w14:textId="77777777" w:rsidR="0035054F" w:rsidRPr="00D03E8B" w:rsidRDefault="0035054F" w:rsidP="004A289F">
      <w:pPr>
        <w:spacing w:after="160" w:line="360" w:lineRule="auto"/>
        <w:ind w:firstLine="567"/>
        <w:jc w:val="both"/>
        <w:rPr>
          <w:b/>
        </w:rPr>
      </w:pPr>
      <w:r w:rsidRPr="00D03E8B">
        <w:rPr>
          <w:b/>
        </w:rPr>
        <w:t>ՓԱԹԵԹՎԱԾՔԸ</w:t>
      </w:r>
    </w:p>
    <w:p w14:paraId="2BA28B96" w14:textId="77777777" w:rsidR="0035054F" w:rsidRPr="00E345B2" w:rsidRDefault="0035054F" w:rsidP="004A289F">
      <w:pPr>
        <w:spacing w:after="160" w:line="360" w:lineRule="auto"/>
        <w:ind w:firstLine="567"/>
        <w:jc w:val="both"/>
      </w:pPr>
      <w:r w:rsidRPr="00E345B2">
        <w:t>Փաթեթվածքը պետք է ապահովի պահպանման նշված պայմաններում, սահմանված պիտանիության ժամկետի ընթացքում դեղապատրաստուկի որակը։</w:t>
      </w:r>
    </w:p>
    <w:p w14:paraId="15D1CF23" w14:textId="77777777" w:rsidR="0035054F" w:rsidRPr="00E345B2" w:rsidRDefault="0035054F" w:rsidP="004A289F">
      <w:pPr>
        <w:spacing w:after="160" w:line="360" w:lineRule="auto"/>
        <w:ind w:firstLine="567"/>
        <w:jc w:val="both"/>
      </w:pPr>
      <w:r w:rsidRPr="00E345B2">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դեղաձ</w:t>
      </w:r>
      <w:r>
        <w:t>եւ</w:t>
      </w:r>
      <w:r w:rsidRPr="00E345B2">
        <w:t>ի ներմուծման ուղին։</w:t>
      </w:r>
    </w:p>
    <w:p w14:paraId="2D043CCB" w14:textId="77777777" w:rsidR="0035054F" w:rsidRPr="00E345B2" w:rsidRDefault="0035054F" w:rsidP="004A289F">
      <w:pPr>
        <w:spacing w:after="160" w:line="360" w:lineRule="auto"/>
        <w:ind w:firstLine="567"/>
        <w:jc w:val="both"/>
      </w:pPr>
      <w:r w:rsidRPr="00D82771">
        <w:rPr>
          <w:spacing w:val="-4"/>
        </w:rPr>
        <w:t>Բազմադեղաչափ կոնտեյներով թողարկվելու դեպքում պատրաստուկը պետք է պարունակի համապատասխան կոնցենտրացիայով համապատասխան կոնսերվանտներ</w:t>
      </w:r>
      <w:r w:rsidRPr="00E345B2">
        <w:t>՝ բացառությամբ այն դեպքերի, երբ հենց պատրաստուկն է օժտված բավարար հակամանրէային հատկություններով։ Բազմադեղաչափ կոնտեյներներով ներարգանդային անասնաբուժական դեղապատրաստուկները պետք է համալրվեն հատուկ սարքերով (օրինակ՝ ներմուծման համար մեկանգամյա օգտագործման ծայրապանակներ)՝ մանրէային կոնտամինացիան կանխելու համար։</w:t>
      </w:r>
    </w:p>
    <w:p w14:paraId="169D11BD" w14:textId="77777777" w:rsidR="0035054F" w:rsidRPr="00D03E8B" w:rsidRDefault="0035054F" w:rsidP="004A289F">
      <w:pPr>
        <w:spacing w:after="160" w:line="360" w:lineRule="auto"/>
        <w:ind w:firstLine="567"/>
        <w:jc w:val="both"/>
        <w:rPr>
          <w:b/>
        </w:rPr>
      </w:pPr>
      <w:r w:rsidRPr="00D03E8B">
        <w:rPr>
          <w:b/>
        </w:rPr>
        <w:lastRenderedPageBreak/>
        <w:t>ՄԱԿՆՇՈՒՄԸ</w:t>
      </w:r>
    </w:p>
    <w:p w14:paraId="22BE38E8" w14:textId="77777777" w:rsidR="0035054F" w:rsidRPr="00E345B2" w:rsidRDefault="0035054F" w:rsidP="004A289F">
      <w:pPr>
        <w:spacing w:after="160" w:line="360" w:lineRule="auto"/>
        <w:ind w:firstLine="567"/>
        <w:jc w:val="both"/>
      </w:pPr>
      <w:r w:rsidRPr="00E345B2">
        <w:t>Երկրորդային (սպառողական) փաթեթվածքի վրա նշում են բաղադրության մեջ մտնող օժանդակ նյութերը՝ առանց դրանց քանակը նշելու, եթե անասնաբուժական դեղամիջոցի վերաբերյալ նորմատիվ փաստաթղթում կամ մասնավոր դեղագրքային հոդվածում այլ ցուցումներ չկան։</w:t>
      </w:r>
    </w:p>
    <w:p w14:paraId="7699ED6D" w14:textId="77777777" w:rsidR="0035054F" w:rsidRPr="00E345B2" w:rsidRDefault="0035054F" w:rsidP="004A289F">
      <w:pPr>
        <w:spacing w:after="160" w:line="360" w:lineRule="auto"/>
        <w:ind w:firstLine="567"/>
        <w:jc w:val="both"/>
      </w:pPr>
      <w:r w:rsidRPr="00E345B2">
        <w:t>Բազմադեղաչափ դեղաձ</w:t>
      </w:r>
      <w:r>
        <w:t>եւ</w:t>
      </w:r>
      <w:r w:rsidRPr="00E345B2">
        <w:t>երի համար նշում են առաջին անգամ բացելուց հետո դեղապատրաստուկի պահպանման ժամկետը։</w:t>
      </w:r>
    </w:p>
    <w:p w14:paraId="0A3663F0" w14:textId="77777777" w:rsidR="0035054F" w:rsidRPr="00E345B2" w:rsidRDefault="0035054F" w:rsidP="004A289F">
      <w:pPr>
        <w:spacing w:after="160" w:line="360" w:lineRule="auto"/>
        <w:ind w:firstLine="567"/>
        <w:jc w:val="both"/>
      </w:pPr>
      <w:r w:rsidRPr="00E345B2">
        <w:t>Միադեղաչափ դեղաձ</w:t>
      </w:r>
      <w:r>
        <w:t>եւ</w:t>
      </w:r>
      <w:r w:rsidRPr="00E345B2">
        <w:t xml:space="preserve">երի համար նշում են ազդող նյութերի անվանումը </w:t>
      </w:r>
      <w:r>
        <w:t>եւ</w:t>
      </w:r>
      <w:r w:rsidRPr="00E345B2">
        <w:t xml:space="preserve"> 1 դեղաչափի մեջ դրանց պարունակությունը, բազմադեղաչափ դեղաձ</w:t>
      </w:r>
      <w:r>
        <w:t>եւ</w:t>
      </w:r>
      <w:r w:rsidRPr="00E345B2">
        <w:t>երի համար՝ 1 դեղաչափի մեջ ազդող նյութերի պարունակությունը՝ նշելով փաթեթվածքի մեջ դեղաչափերի քանակը։ Չդոզավորված դեղաձ</w:t>
      </w:r>
      <w:r>
        <w:t>եւ</w:t>
      </w:r>
      <w:r w:rsidRPr="00E345B2">
        <w:t xml:space="preserve">երի համար ներկայացնում են ազդող նյութերի անվանումը </w:t>
      </w:r>
      <w:r>
        <w:t>եւ</w:t>
      </w:r>
      <w:r w:rsidRPr="00E345B2">
        <w:t xml:space="preserve"> դեղապատրաստուկի որոշակի զանգվածի (ծավալի) մեջ դրանց քանակը։</w:t>
      </w:r>
    </w:p>
    <w:p w14:paraId="63A4B30B" w14:textId="77777777" w:rsidR="0035054F" w:rsidRPr="00E345B2" w:rsidRDefault="0035054F" w:rsidP="004A289F">
      <w:pPr>
        <w:spacing w:after="160" w:line="360" w:lineRule="auto"/>
        <w:ind w:firstLine="567"/>
        <w:jc w:val="both"/>
      </w:pPr>
      <w:r w:rsidRPr="00E345B2">
        <w:t>Անհրաժեշտության դեպքում պետք է լինեն նախազգուշացնող գրառումներ՝ պատրաստուկի դեղաձ</w:t>
      </w:r>
      <w:r>
        <w:t>եւ</w:t>
      </w:r>
      <w:r w:rsidRPr="00E345B2">
        <w:t xml:space="preserve">ով </w:t>
      </w:r>
      <w:r>
        <w:t>եւ</w:t>
      </w:r>
      <w:r w:rsidRPr="00E345B2">
        <w:t xml:space="preserve"> փաթեթվածքի տեսակով պայմանավորված։</w:t>
      </w:r>
    </w:p>
    <w:p w14:paraId="4075AA6D" w14:textId="77777777" w:rsidR="00D03E8B" w:rsidRPr="00B5542D" w:rsidRDefault="00D03E8B" w:rsidP="004A289F">
      <w:pPr>
        <w:spacing w:after="160" w:line="360" w:lineRule="auto"/>
        <w:ind w:firstLine="567"/>
        <w:jc w:val="both"/>
      </w:pPr>
    </w:p>
    <w:p w14:paraId="7D17F3FB" w14:textId="77777777" w:rsidR="0035054F" w:rsidRPr="00D03E8B" w:rsidRDefault="0035054F" w:rsidP="004A289F">
      <w:pPr>
        <w:spacing w:after="160" w:line="360" w:lineRule="auto"/>
        <w:ind w:firstLine="567"/>
        <w:jc w:val="both"/>
        <w:rPr>
          <w:b/>
        </w:rPr>
      </w:pPr>
      <w:r w:rsidRPr="00D03E8B">
        <w:rPr>
          <w:b/>
        </w:rPr>
        <w:t>ՊԱՀՊԱՆՈՒՄԸ</w:t>
      </w:r>
    </w:p>
    <w:p w14:paraId="1AF7E2F7" w14:textId="77777777" w:rsidR="0035054F" w:rsidRPr="00E345B2" w:rsidRDefault="0035054F" w:rsidP="004A289F">
      <w:pPr>
        <w:spacing w:after="160" w:line="360" w:lineRule="auto"/>
        <w:ind w:firstLine="567"/>
        <w:jc w:val="both"/>
      </w:pPr>
      <w:r w:rsidRPr="00E345B2">
        <w:t>Պահպանման պայմանները պետք է ապահովեն նշված տեսակի փաթեթվածքով ողջ սահմանված պիտանիության ժամկետի ընթացքում դեղապատրաստուկի կայունությունը։</w:t>
      </w:r>
    </w:p>
    <w:p w14:paraId="32CADE18" w14:textId="77777777" w:rsidR="0035054F" w:rsidRPr="00E345B2" w:rsidRDefault="0035054F" w:rsidP="004A289F">
      <w:pPr>
        <w:spacing w:after="160" w:line="360" w:lineRule="auto"/>
        <w:ind w:firstLine="567"/>
        <w:jc w:val="both"/>
      </w:pPr>
      <w:r w:rsidRPr="00E345B2">
        <w:t xml:space="preserve">Ճնշման տակ գտնվող կոնտեյներներով թողարկվող պատրաստուկների պահպանման պայմանները պետք է համապատասխանեն </w:t>
      </w:r>
      <w:r w:rsidRPr="00D82771">
        <w:rPr>
          <w:i/>
        </w:rPr>
        <w:t>«2.5.1.2. Աերոզոլները»</w:t>
      </w:r>
      <w:r w:rsidRPr="00E345B2">
        <w:t xml:space="preserve"> ընդհանուր դեղագրքային հոդվածի պահանջներին։</w:t>
      </w:r>
    </w:p>
    <w:p w14:paraId="2BB719AF" w14:textId="77777777" w:rsidR="0035054F" w:rsidRPr="00B5542D" w:rsidRDefault="0035054F" w:rsidP="004A289F">
      <w:pPr>
        <w:spacing w:after="160" w:line="360" w:lineRule="auto"/>
        <w:ind w:firstLine="567"/>
        <w:jc w:val="both"/>
      </w:pPr>
      <w:r w:rsidRPr="00E345B2">
        <w:t>Եթե թույլատրվում է պատրաստուկի պահպանումը ներմուծումների միջ</w:t>
      </w:r>
      <w:r>
        <w:t>եւ</w:t>
      </w:r>
      <w:r w:rsidRPr="00E345B2">
        <w:t>, պետք է ձեռնարկվեն դրա մանրէային կոնտամինացիան կանխող միջոցներ։</w:t>
      </w:r>
    </w:p>
    <w:p w14:paraId="2A6115AF" w14:textId="77777777" w:rsidR="007E4DEC" w:rsidRPr="00B5542D" w:rsidRDefault="007E4DEC" w:rsidP="004A289F">
      <w:pPr>
        <w:spacing w:after="160" w:line="360" w:lineRule="auto"/>
        <w:ind w:firstLine="567"/>
        <w:jc w:val="both"/>
      </w:pPr>
    </w:p>
    <w:p w14:paraId="69899C82" w14:textId="77777777" w:rsidR="0035054F" w:rsidRPr="00E345B2" w:rsidRDefault="0035054F" w:rsidP="007E4DEC">
      <w:pPr>
        <w:spacing w:after="160" w:line="348" w:lineRule="auto"/>
        <w:ind w:firstLine="567"/>
        <w:jc w:val="both"/>
      </w:pPr>
      <w:r w:rsidRPr="00E345B2">
        <w:lastRenderedPageBreak/>
        <w:t>Պահպանման պայմաններին ներկայացվող պահանջները բերվում են մասնավոր դեղագրքային հոդվածում կամ անասնաբուժական դեղամիջոցի վերաբերյալ նորմատիվ փաստաթղթում։</w:t>
      </w:r>
    </w:p>
    <w:p w14:paraId="5F46216F" w14:textId="77777777" w:rsidR="0035054F" w:rsidRPr="00E345B2" w:rsidRDefault="0035054F" w:rsidP="007E4DEC">
      <w:pPr>
        <w:spacing w:after="160" w:line="348" w:lineRule="auto"/>
        <w:ind w:firstLine="567"/>
        <w:jc w:val="both"/>
      </w:pPr>
    </w:p>
    <w:p w14:paraId="207D82FB" w14:textId="77777777" w:rsidR="0035054F" w:rsidRPr="00B5542D" w:rsidRDefault="0035054F" w:rsidP="007E4DEC">
      <w:pPr>
        <w:spacing w:after="160" w:line="348" w:lineRule="auto"/>
        <w:ind w:firstLine="567"/>
        <w:jc w:val="right"/>
        <w:rPr>
          <w:b/>
          <w:sz w:val="20"/>
        </w:rPr>
      </w:pPr>
      <w:r w:rsidRPr="00D03E8B">
        <w:rPr>
          <w:b/>
          <w:sz w:val="20"/>
        </w:rPr>
        <w:t>205040002-2022</w:t>
      </w:r>
    </w:p>
    <w:p w14:paraId="0A16A0FE" w14:textId="77777777" w:rsidR="00D03E8B" w:rsidRPr="00B5542D" w:rsidRDefault="00D03E8B" w:rsidP="007E4DEC">
      <w:pPr>
        <w:spacing w:after="160" w:line="348" w:lineRule="auto"/>
        <w:ind w:firstLine="567"/>
        <w:jc w:val="both"/>
        <w:rPr>
          <w:b/>
          <w:sz w:val="20"/>
        </w:rPr>
      </w:pPr>
    </w:p>
    <w:p w14:paraId="212AE088" w14:textId="77777777" w:rsidR="0035054F" w:rsidRPr="00D03E8B" w:rsidRDefault="0035054F" w:rsidP="007E4DEC">
      <w:pPr>
        <w:tabs>
          <w:tab w:val="left" w:pos="1701"/>
        </w:tabs>
        <w:spacing w:after="160" w:line="348" w:lineRule="auto"/>
        <w:ind w:firstLine="567"/>
        <w:jc w:val="both"/>
        <w:rPr>
          <w:b/>
        </w:rPr>
      </w:pPr>
      <w:r w:rsidRPr="00D03E8B">
        <w:rPr>
          <w:b/>
        </w:rPr>
        <w:t>2.5.4.2.</w:t>
      </w:r>
      <w:r w:rsidR="00D03E8B" w:rsidRPr="00B5542D">
        <w:rPr>
          <w:b/>
        </w:rPr>
        <w:tab/>
      </w:r>
      <w:r w:rsidRPr="00D03E8B">
        <w:rPr>
          <w:b/>
        </w:rPr>
        <w:t>Հեղուկ դեղաձեւերով արտաքին կիրառման անասնաբուժական դեղապատրաստուկները</w:t>
      </w:r>
    </w:p>
    <w:p w14:paraId="04F473FD" w14:textId="77777777" w:rsidR="0035054F" w:rsidRPr="00E345B2" w:rsidRDefault="0035054F" w:rsidP="007E4DEC">
      <w:pPr>
        <w:spacing w:after="160" w:line="348" w:lineRule="auto"/>
        <w:ind w:firstLine="567"/>
        <w:jc w:val="both"/>
      </w:pPr>
      <w:r w:rsidRPr="00E345B2">
        <w:t>Հեղուկ դեղաձ</w:t>
      </w:r>
      <w:r>
        <w:t>եւ</w:t>
      </w:r>
      <w:r w:rsidRPr="00E345B2">
        <w:t xml:space="preserve">երով արտաքին կիրառման անասնաբուժական դեղապատրաստուկները պարունակում են համապատասխան կրիչի մեջ մեկ կամ մի քանի ազդող նյութ, նախատեսված են չվնասված, վնասված մաշկին (այդ թվում՝ վերքային, այրվածքային մակերեսներին), կուրծի պտուկներին, մազամաշկային ծածկույթին, սմբակներին (կճղակներին), մագիլներին քսելու համար՝ տեղային կամ համակարգային ազդեցության հասնելու նպատակով։ </w:t>
      </w:r>
    </w:p>
    <w:p w14:paraId="31125554" w14:textId="77777777" w:rsidR="0035054F" w:rsidRPr="00E345B2" w:rsidRDefault="0035054F" w:rsidP="007E4DEC">
      <w:pPr>
        <w:spacing w:after="160" w:line="348" w:lineRule="auto"/>
        <w:ind w:firstLine="567"/>
        <w:jc w:val="both"/>
      </w:pPr>
      <w:r w:rsidRPr="00E345B2">
        <w:t>Հեղուկ դեղաձ</w:t>
      </w:r>
      <w:r>
        <w:t>եւ</w:t>
      </w:r>
      <w:r w:rsidRPr="00E345B2">
        <w:t>երով արտաքին կիրառման անասնաբուժական դեղապատրաստուկները թողարկվում են լուծույթների, էմուլսիաների, կախույթների, շամպունների ձ</w:t>
      </w:r>
      <w:r>
        <w:t>եւ</w:t>
      </w:r>
      <w:r w:rsidRPr="00E345B2">
        <w:t>ով։</w:t>
      </w:r>
    </w:p>
    <w:p w14:paraId="276035A2" w14:textId="77777777" w:rsidR="0035054F" w:rsidRPr="00E345B2" w:rsidRDefault="0035054F" w:rsidP="007E4DEC">
      <w:pPr>
        <w:spacing w:after="160" w:line="348" w:lineRule="auto"/>
        <w:ind w:firstLine="567"/>
        <w:jc w:val="both"/>
      </w:pPr>
      <w:r w:rsidRPr="00E345B2">
        <w:t xml:space="preserve">Ըստ ներմուծման </w:t>
      </w:r>
      <w:r>
        <w:t>եւ</w:t>
      </w:r>
      <w:r w:rsidRPr="00E345B2">
        <w:t xml:space="preserve"> կիրառման եղանակի՝ տարանջատում են հեղուկ դեղաձ</w:t>
      </w:r>
      <w:r>
        <w:t>եւ</w:t>
      </w:r>
      <w:r w:rsidRPr="00E345B2">
        <w:t>երով արտաքին կիրառման անասնաբուժական դեղապատրաստուկների մի քանի տեսակներ՝</w:t>
      </w:r>
    </w:p>
    <w:p w14:paraId="30F65195" w14:textId="77777777" w:rsidR="0035054F" w:rsidRPr="00E345B2" w:rsidRDefault="0035054F" w:rsidP="007E4DEC">
      <w:pPr>
        <w:tabs>
          <w:tab w:val="left" w:pos="1134"/>
        </w:tabs>
        <w:spacing w:after="160" w:line="348" w:lineRule="auto"/>
        <w:ind w:firstLine="567"/>
        <w:jc w:val="both"/>
      </w:pPr>
      <w:r w:rsidRPr="00E345B2">
        <w:t>-</w:t>
      </w:r>
      <w:r w:rsidR="00D03E8B" w:rsidRPr="00D03E8B">
        <w:tab/>
      </w:r>
      <w:r w:rsidRPr="00E345B2">
        <w:t>ողողման համար պատրաստուկներ (արտաքին կիրառման լուծույթներ, էմուլսիաներ կամ կախույթներ).</w:t>
      </w:r>
    </w:p>
    <w:p w14:paraId="74A490C6" w14:textId="77777777" w:rsidR="0035054F" w:rsidRPr="00E345B2" w:rsidRDefault="0035054F" w:rsidP="007E4DEC">
      <w:pPr>
        <w:tabs>
          <w:tab w:val="left" w:pos="1134"/>
        </w:tabs>
        <w:spacing w:after="160" w:line="348" w:lineRule="auto"/>
        <w:ind w:firstLine="567"/>
        <w:jc w:val="both"/>
      </w:pPr>
      <w:r w:rsidRPr="00E345B2">
        <w:t>-</w:t>
      </w:r>
      <w:r w:rsidR="00D03E8B" w:rsidRPr="00D03E8B">
        <w:tab/>
      </w:r>
      <w:r w:rsidRPr="00E345B2">
        <w:t>կետային ձ</w:t>
      </w:r>
      <w:r>
        <w:t>եւ</w:t>
      </w:r>
      <w:r w:rsidRPr="00E345B2">
        <w:t>ով քսելու համար պատրաստուկներ (արտաքին կիրառման լուծույթներ, էմուլսիաներ կամ կախույթներ).</w:t>
      </w:r>
    </w:p>
    <w:p w14:paraId="6852FF5A" w14:textId="77777777" w:rsidR="0035054F" w:rsidRPr="00E345B2" w:rsidRDefault="0035054F" w:rsidP="007E4DEC">
      <w:pPr>
        <w:tabs>
          <w:tab w:val="left" w:pos="1134"/>
        </w:tabs>
        <w:spacing w:after="160" w:line="348" w:lineRule="auto"/>
        <w:ind w:firstLine="567"/>
        <w:jc w:val="both"/>
      </w:pPr>
      <w:r w:rsidRPr="00E345B2">
        <w:t>-</w:t>
      </w:r>
      <w:r w:rsidR="00D03E8B" w:rsidRPr="00D03E8B">
        <w:tab/>
      </w:r>
      <w:r w:rsidRPr="00E345B2">
        <w:t>ցողելու, լողացնելու, կենդանիների վերջույթների դիստալ հատվածները մշակելու համար կոնցենտրատներ (արտաքին կիրառման լուծույթների, էմուլսիաների կամ կախույթների պատրաստման համար կոնցենտրատներ).</w:t>
      </w:r>
    </w:p>
    <w:p w14:paraId="531B109D" w14:textId="77777777" w:rsidR="0035054F" w:rsidRPr="00E345B2" w:rsidRDefault="0035054F" w:rsidP="00D03E8B">
      <w:pPr>
        <w:tabs>
          <w:tab w:val="left" w:pos="1134"/>
        </w:tabs>
        <w:spacing w:after="160" w:line="360" w:lineRule="auto"/>
        <w:ind w:firstLine="567"/>
        <w:jc w:val="both"/>
      </w:pPr>
      <w:r w:rsidRPr="00E345B2">
        <w:lastRenderedPageBreak/>
        <w:t>-</w:t>
      </w:r>
      <w:r w:rsidR="00D03E8B" w:rsidRPr="00D03E8B">
        <w:tab/>
      </w:r>
      <w:r w:rsidRPr="00E345B2">
        <w:t>կենդանիների կուրծերի պտուկների մշակման համար պատրաստուկներ (արտաքին կիրառման լուծույթներ).</w:t>
      </w:r>
    </w:p>
    <w:p w14:paraId="5059269C" w14:textId="77777777" w:rsidR="0035054F" w:rsidRPr="00E345B2" w:rsidRDefault="0035054F" w:rsidP="00D03E8B">
      <w:pPr>
        <w:tabs>
          <w:tab w:val="left" w:pos="1134"/>
        </w:tabs>
        <w:spacing w:after="160" w:line="360" w:lineRule="auto"/>
        <w:ind w:firstLine="567"/>
        <w:jc w:val="both"/>
      </w:pPr>
      <w:r w:rsidRPr="00E345B2">
        <w:t>-</w:t>
      </w:r>
      <w:r w:rsidR="00D03E8B" w:rsidRPr="00D03E8B">
        <w:tab/>
      </w:r>
      <w:r w:rsidRPr="00E345B2">
        <w:t>շամպուններ (արտաքին կիրառման լուծույթներ, էմուլսիաներ կամ կախույթներ)։</w:t>
      </w:r>
    </w:p>
    <w:p w14:paraId="072B04C5" w14:textId="77777777" w:rsidR="0035054F" w:rsidRPr="00E345B2" w:rsidRDefault="0035054F" w:rsidP="004A289F">
      <w:pPr>
        <w:spacing w:after="160" w:line="360" w:lineRule="auto"/>
        <w:ind w:firstLine="567"/>
        <w:jc w:val="both"/>
      </w:pPr>
      <w:r w:rsidRPr="00E345B2">
        <w:t xml:space="preserve">Ողողման համար պատրաստուկները նախատեսված են մակաբուծական հիվանդությունների ժամանակ կենդանիների կանխարգելիչ </w:t>
      </w:r>
      <w:r>
        <w:t>եւ</w:t>
      </w:r>
      <w:r w:rsidRPr="00E345B2">
        <w:t xml:space="preserve"> (կամ) բուժական մշակման համար։ Կիրառում են պատրաստուկի կիրառման հրահանգի մեջ նշված ծավալներով ողնաշարի երկայնքով՝ մեջքի միջին գծի վրա կաթիլային ձ</w:t>
      </w:r>
      <w:r>
        <w:t>եւ</w:t>
      </w:r>
      <w:r w:rsidRPr="00E345B2">
        <w:t>ով քսելու միջոցով։</w:t>
      </w:r>
    </w:p>
    <w:p w14:paraId="1862A1BB" w14:textId="77777777" w:rsidR="0035054F" w:rsidRPr="00E345B2" w:rsidRDefault="0035054F" w:rsidP="004A289F">
      <w:pPr>
        <w:spacing w:after="160" w:line="360" w:lineRule="auto"/>
        <w:ind w:firstLine="567"/>
        <w:jc w:val="both"/>
      </w:pPr>
      <w:r w:rsidRPr="00E345B2">
        <w:t>Կետային ձ</w:t>
      </w:r>
      <w:r>
        <w:t>եւ</w:t>
      </w:r>
      <w:r w:rsidRPr="00E345B2">
        <w:t>ով քսելու համար պատրաստուկները նախատեսված են կենդանիների մակաբուծական հիվանդությունների ժամանակ կանխարգելիչ, բուժական մշակման համար։ Կիրառում են կենդանու գանգի հիմի մոտ՝ պարանոցի կամ ողնաշարի շրջանում չվնասված մաշկին կաթիլային ձ</w:t>
      </w:r>
      <w:r>
        <w:t>եւ</w:t>
      </w:r>
      <w:r w:rsidRPr="00E345B2">
        <w:t>ով քսելու միջոցով։</w:t>
      </w:r>
    </w:p>
    <w:p w14:paraId="1AE34433" w14:textId="77777777" w:rsidR="0035054F" w:rsidRPr="00E345B2" w:rsidRDefault="0035054F" w:rsidP="004A289F">
      <w:pPr>
        <w:spacing w:after="160" w:line="360" w:lineRule="auto"/>
        <w:ind w:firstLine="567"/>
        <w:jc w:val="both"/>
      </w:pPr>
      <w:r w:rsidRPr="00E345B2">
        <w:t>Ցողելու, լողացնելու, կենդանիների վերջույթների դիստալ հատվածները մշակելու համար կոնցենտրատները բարձր կոնցենտրացիայի անասնաբուժական պատրաստուկներ են, որոնք նախատեսված են համապատասխան լուծիչի մեջ մինչ</w:t>
      </w:r>
      <w:r>
        <w:t>եւ</w:t>
      </w:r>
      <w:r w:rsidRPr="00E345B2">
        <w:t xml:space="preserve"> պահանջվող կոնցենտրացիան լուծելուց, դիսպերսելուց հետո կիրառության համար։ Կենդանիներին ամբողջությամբ ընկղմում են տարայի մեջ կամ նրանց նոսրացրած պատրաստուկով են ցողում։</w:t>
      </w:r>
    </w:p>
    <w:p w14:paraId="1BBC1406" w14:textId="77777777" w:rsidR="0035054F" w:rsidRPr="00E345B2" w:rsidRDefault="0035054F" w:rsidP="004A289F">
      <w:pPr>
        <w:spacing w:after="160" w:line="360" w:lineRule="auto"/>
        <w:ind w:firstLine="567"/>
        <w:jc w:val="both"/>
      </w:pPr>
      <w:r w:rsidRPr="00E345B2">
        <w:t xml:space="preserve">Կենդանիների կուրծերի պտուկների մշակման համար պատրաստուկները նախատեսված են կթելուց առաջ </w:t>
      </w:r>
      <w:r>
        <w:t>եւ</w:t>
      </w:r>
      <w:r w:rsidRPr="00E345B2">
        <w:t xml:space="preserve"> հետո կուրծերի պտուկները լուծույթի մեջ ընկղմելու միջոցով դրանց կանխարգելիչ մշակման, մաքրման,</w:t>
      </w:r>
      <w:r>
        <w:t xml:space="preserve"> </w:t>
      </w:r>
      <w:r w:rsidRPr="00E345B2">
        <w:t>փոշեցրման մեթոդով մշակման համար։</w:t>
      </w:r>
    </w:p>
    <w:p w14:paraId="1958E633" w14:textId="77777777" w:rsidR="0035054F" w:rsidRPr="00E345B2" w:rsidRDefault="0035054F" w:rsidP="004A289F">
      <w:pPr>
        <w:spacing w:after="160" w:line="360" w:lineRule="auto"/>
        <w:ind w:firstLine="567"/>
        <w:jc w:val="both"/>
      </w:pPr>
      <w:r w:rsidRPr="00E345B2">
        <w:t xml:space="preserve">Շամպունները նախատեսված են կենդանու մազամաշկային ծածկույթի վրա քսելու </w:t>
      </w:r>
      <w:r>
        <w:t>եւ</w:t>
      </w:r>
      <w:r w:rsidRPr="00E345B2">
        <w:t xml:space="preserve"> հետո ջրով լվանալու համար։ Մակեր</w:t>
      </w:r>
      <w:r>
        <w:t>եւ</w:t>
      </w:r>
      <w:r w:rsidRPr="00E345B2">
        <w:t>ութային ակտիվ նյութեր են պարունակում։ Ջրի հետ խառնելիս փրփուր են առաջացնում։</w:t>
      </w:r>
    </w:p>
    <w:p w14:paraId="0283F8F7" w14:textId="77777777" w:rsidR="0035054F" w:rsidRPr="004A289F" w:rsidRDefault="0035054F" w:rsidP="004A289F">
      <w:pPr>
        <w:spacing w:after="160" w:line="360" w:lineRule="auto"/>
        <w:ind w:firstLine="567"/>
        <w:jc w:val="both"/>
        <w:rPr>
          <w:b/>
        </w:rPr>
      </w:pPr>
      <w:r w:rsidRPr="004A289F">
        <w:rPr>
          <w:b/>
        </w:rPr>
        <w:lastRenderedPageBreak/>
        <w:t>ՏԵԽՆՈԼՈԳԻԱՅԻ ԱՌԱՆՁՆԱՀԱՏԿՈՒԹՅՈՒՆՆԵՐԸ</w:t>
      </w:r>
    </w:p>
    <w:p w14:paraId="1BF2C551"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երով արտաքին կիրառման անասնաբուժական դեղապատրաստուկները մշակում են՝ հաշվի առնելով դրանց նշանակությունը </w:t>
      </w:r>
      <w:r>
        <w:t>եւ</w:t>
      </w:r>
      <w:r w:rsidRPr="00E345B2">
        <w:t xml:space="preserve"> կիրառման ենթադրվող եղանակը։ Օժանդակ նյութերը (կոնսերվանտները, հակաօքսիդանտները, կայունացուցիչները, էմուլսարարները, թանձրացուցիչները, մակեր</w:t>
      </w:r>
      <w:r>
        <w:t>եւ</w:t>
      </w:r>
      <w:r w:rsidRPr="00E345B2">
        <w:t xml:space="preserve">ութային ակտիվ նյութերը, փափկացնող նյութերը, լուծիչները, պրոպելենտները, կորիգենտները, թաղանթագոյացուցիչները </w:t>
      </w:r>
      <w:r>
        <w:t>եւ</w:t>
      </w:r>
      <w:r w:rsidRPr="00E345B2">
        <w:t xml:space="preserve"> այլն) պետք է ապահովեն դեղաձ</w:t>
      </w:r>
      <w:r>
        <w:t>եւ</w:t>
      </w:r>
      <w:r w:rsidRPr="00E345B2">
        <w:t>երի օպտիմալ տեխնոլոգիական բնութագրերը, լրացուցիչ թերապ</w:t>
      </w:r>
      <w:r>
        <w:t>եւ</w:t>
      </w:r>
      <w:r w:rsidRPr="00E345B2">
        <w:t xml:space="preserve">տիկ ազդեցություն չպետք է գործեն </w:t>
      </w:r>
      <w:r>
        <w:t>եւ</w:t>
      </w:r>
      <w:r w:rsidRPr="00E345B2">
        <w:t xml:space="preserve"> կիրառվող կոնցենտրացիաներով անցանկալի տեղային ազդեցություն չպետք է թողնեն։</w:t>
      </w:r>
    </w:p>
    <w:p w14:paraId="4B888700" w14:textId="77777777" w:rsidR="0035054F" w:rsidRPr="00E345B2" w:rsidRDefault="0035054F" w:rsidP="004A289F">
      <w:pPr>
        <w:spacing w:after="160" w:line="360" w:lineRule="auto"/>
        <w:ind w:firstLine="567"/>
        <w:jc w:val="both"/>
      </w:pPr>
      <w:r w:rsidRPr="007E4DEC">
        <w:rPr>
          <w:spacing w:val="-4"/>
        </w:rPr>
        <w:t xml:space="preserve">Պատրաստուկների բաղադրության մեջ մտնող կոնսերվանտների արդյունավետության գնահատման մեթոդիկան եւ չափորոշիչները ներկայացված են </w:t>
      </w:r>
      <w:r w:rsidRPr="007E4DEC">
        <w:rPr>
          <w:i/>
          <w:spacing w:val="-4"/>
        </w:rPr>
        <w:t>«2.3.1.1. Հակամանրէային կոնսերվանտների արդյունավետությունը</w:t>
      </w:r>
      <w:r w:rsidRPr="007E4DEC">
        <w:rPr>
          <w:spacing w:val="-4"/>
        </w:rPr>
        <w:t>» ընդհանուր դեղագրքային</w:t>
      </w:r>
      <w:r w:rsidRPr="00E345B2">
        <w:t xml:space="preserve"> հոդվածում։</w:t>
      </w:r>
    </w:p>
    <w:p w14:paraId="4FAFDBEC" w14:textId="77777777" w:rsidR="0035054F" w:rsidRPr="00E345B2" w:rsidRDefault="0035054F" w:rsidP="004A289F">
      <w:pPr>
        <w:spacing w:after="160" w:line="360" w:lineRule="auto"/>
        <w:ind w:firstLine="567"/>
        <w:jc w:val="both"/>
      </w:pPr>
      <w:r w:rsidRPr="00E345B2">
        <w:t>Հեղուկ դեղաձ</w:t>
      </w:r>
      <w:r>
        <w:t>եւ</w:t>
      </w:r>
      <w:r w:rsidRPr="00E345B2">
        <w:t>երով արտաքին կիրառման անասնաբուժական դեղապատրաստուկների արտադրության տեխնոլոգիայի առանձնահատկությունները ներկայացված են դեղաձ</w:t>
      </w:r>
      <w:r>
        <w:t>եւ</w:t>
      </w:r>
      <w:r w:rsidRPr="00E345B2">
        <w:t>երի տարբեր տեսակներին առնչվող ընդհանուր դեղագրքային հոդվածներում՝</w:t>
      </w:r>
    </w:p>
    <w:p w14:paraId="2894CD2B"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արտաքին կիրառման լուծույթներ՝ </w:t>
      </w:r>
      <w:r w:rsidRPr="00D82771">
        <w:rPr>
          <w:i/>
        </w:rPr>
        <w:t>«2.5.1.25. Լուծույթները»</w:t>
      </w:r>
      <w:r w:rsidRPr="00E345B2">
        <w:t xml:space="preserve"> ընդհանուր դեղագրքային հոդված.</w:t>
      </w:r>
    </w:p>
    <w:p w14:paraId="6F8FBBB1"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արտաքին կիրառման էմուլսիաներ՝ </w:t>
      </w:r>
      <w:r w:rsidRPr="00D82771">
        <w:rPr>
          <w:i/>
        </w:rPr>
        <w:t>«2.5.1.39. Էմուլսիաները»</w:t>
      </w:r>
      <w:r w:rsidRPr="00E345B2">
        <w:t xml:space="preserve"> ընդհանուր դեղագրքային հոդված.</w:t>
      </w:r>
    </w:p>
    <w:p w14:paraId="782063AB"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արտաքին կիրառման կախույթներ՝ </w:t>
      </w:r>
      <w:r w:rsidRPr="00D82771">
        <w:rPr>
          <w:i/>
        </w:rPr>
        <w:t>«2.5.1.33. Կախույթները</w:t>
      </w:r>
      <w:r w:rsidRPr="00E345B2">
        <w:t>» ընդհանուր դեղագրքային հոդված.</w:t>
      </w:r>
    </w:p>
    <w:p w14:paraId="0D9C8665" w14:textId="77777777" w:rsidR="0035054F" w:rsidRPr="00B5542D" w:rsidRDefault="0035054F" w:rsidP="004A289F">
      <w:pPr>
        <w:tabs>
          <w:tab w:val="left" w:pos="1134"/>
        </w:tabs>
        <w:spacing w:after="160" w:line="360" w:lineRule="auto"/>
        <w:ind w:firstLine="567"/>
        <w:jc w:val="both"/>
      </w:pPr>
      <w:r w:rsidRPr="00E345B2">
        <w:t>-</w:t>
      </w:r>
      <w:r w:rsidR="004A289F" w:rsidRPr="00B5542D">
        <w:tab/>
      </w:r>
      <w:r w:rsidRPr="00E345B2">
        <w:t xml:space="preserve">շամպուններ՝ </w:t>
      </w:r>
      <w:r w:rsidRPr="00D82771">
        <w:rPr>
          <w:i/>
        </w:rPr>
        <w:t>«2.5.1.36. Դեղային շամպունները»</w:t>
      </w:r>
      <w:r w:rsidRPr="00E345B2">
        <w:t xml:space="preserve"> ընդհանուր դեղագրքային հոդված։</w:t>
      </w:r>
    </w:p>
    <w:p w14:paraId="48DC7A20" w14:textId="77777777" w:rsidR="007E4DEC" w:rsidRPr="00B5542D" w:rsidRDefault="007E4DEC" w:rsidP="004A289F">
      <w:pPr>
        <w:tabs>
          <w:tab w:val="left" w:pos="1134"/>
        </w:tabs>
        <w:spacing w:after="160" w:line="360" w:lineRule="auto"/>
        <w:ind w:firstLine="567"/>
        <w:jc w:val="both"/>
      </w:pPr>
    </w:p>
    <w:p w14:paraId="4D46089F" w14:textId="77777777" w:rsidR="0035054F" w:rsidRPr="00E345B2" w:rsidRDefault="0035054F" w:rsidP="004A289F">
      <w:pPr>
        <w:spacing w:after="160" w:line="360" w:lineRule="auto"/>
        <w:ind w:firstLine="567"/>
        <w:jc w:val="both"/>
      </w:pPr>
      <w:r w:rsidRPr="00E345B2">
        <w:lastRenderedPageBreak/>
        <w:t>Դեղաչափված դեղաձ</w:t>
      </w:r>
      <w:r>
        <w:t>եւ</w:t>
      </w:r>
      <w:r w:rsidRPr="00E345B2">
        <w:t xml:space="preserve">երի մշակման ժամանակ պետք է հաստատվի, որ առաջարկվող բաղադրությունը </w:t>
      </w:r>
      <w:r>
        <w:t>եւ</w:t>
      </w:r>
      <w:r w:rsidRPr="00E345B2">
        <w:t xml:space="preserve"> արտադրության տեխնոլոգիան ապահովում</w:t>
      </w:r>
      <w:r>
        <w:t xml:space="preserve"> </w:t>
      </w:r>
      <w:r w:rsidRPr="00E345B2">
        <w:t>են դեղաչափման միատարրությունը։</w:t>
      </w:r>
    </w:p>
    <w:p w14:paraId="12C5A44A"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երով արտաքին կիրառման անասնաբուժական դեղապատրաստուկների արտադրման, փաթեթավորման, պահպանման </w:t>
      </w:r>
      <w:r>
        <w:t>եւ</w:t>
      </w:r>
      <w:r w:rsidRPr="00E345B2">
        <w:t xml:space="preserve"> փոխադրման ժամանակ ձեռնարկում են </w:t>
      </w:r>
      <w:r w:rsidRPr="00D03E8B">
        <w:rPr>
          <w:i/>
        </w:rPr>
        <w:t xml:space="preserve">«2.3.1.2. Դեղապատրաստուկների, դեղագործական բաղադրամասերի եւ դրանց արտադրության համար օժանդակ նյութերի մանրէաբանական մաքրությանը ներկայացվող պահանջները» </w:t>
      </w:r>
      <w:r w:rsidRPr="00E345B2">
        <w:t xml:space="preserve">ընդհանուր դեղագրքային հոդվածին համապատասխան դրանց մանրէաբանական մաքրությունը կամ </w:t>
      </w:r>
      <w:r w:rsidRPr="00D03E8B">
        <w:rPr>
          <w:i/>
        </w:rPr>
        <w:t>«2.1.6.1. Մանրէազերծությունը</w:t>
      </w:r>
      <w:r w:rsidRPr="00E345B2">
        <w:t xml:space="preserve">» ընդհանուր դեղագրքային հոդվածին համապատասխան դրանց մանրէազերծությունը (վերքային </w:t>
      </w:r>
      <w:r>
        <w:t>եւ</w:t>
      </w:r>
      <w:r w:rsidRPr="00E345B2">
        <w:t xml:space="preserve"> (կամ) այրվածքային մակերեսներին քսելու համար նախատեսված պատրաստուկների համար) ապահովող միջոցներ։</w:t>
      </w:r>
    </w:p>
    <w:p w14:paraId="433C6D45" w14:textId="77777777" w:rsidR="0035054F" w:rsidRPr="00E345B2" w:rsidRDefault="0035054F" w:rsidP="004A289F">
      <w:pPr>
        <w:spacing w:after="160" w:line="360" w:lineRule="auto"/>
        <w:ind w:firstLine="567"/>
        <w:jc w:val="both"/>
      </w:pPr>
    </w:p>
    <w:p w14:paraId="0038C75D" w14:textId="77777777" w:rsidR="0035054F" w:rsidRPr="004A289F" w:rsidRDefault="0035054F" w:rsidP="004A289F">
      <w:pPr>
        <w:spacing w:after="160" w:line="360" w:lineRule="auto"/>
        <w:ind w:firstLine="567"/>
        <w:jc w:val="both"/>
        <w:rPr>
          <w:b/>
        </w:rPr>
      </w:pPr>
      <w:r w:rsidRPr="004A289F">
        <w:rPr>
          <w:b/>
        </w:rPr>
        <w:t>ՓՈՐՁԱՐԿՈՒՄՆԵՐԸ</w:t>
      </w:r>
    </w:p>
    <w:p w14:paraId="1D44DF5A" w14:textId="77777777" w:rsidR="0035054F" w:rsidRPr="00E345B2" w:rsidRDefault="0035054F" w:rsidP="004A289F">
      <w:pPr>
        <w:spacing w:after="160" w:line="360" w:lineRule="auto"/>
        <w:ind w:firstLine="567"/>
        <w:jc w:val="both"/>
      </w:pPr>
      <w:r w:rsidRPr="00E345B2">
        <w:t>Հեղուկ դեղաձ</w:t>
      </w:r>
      <w:r>
        <w:t>եւ</w:t>
      </w:r>
      <w:r w:rsidRPr="00E345B2">
        <w:t>երով արտաքին կիրառման անասնաբուժական դեղապատրաստուկները պետք է բավարարեն դեղաձ</w:t>
      </w:r>
      <w:r>
        <w:t>եւ</w:t>
      </w:r>
      <w:r w:rsidRPr="00E345B2">
        <w:t xml:space="preserve">երին </w:t>
      </w:r>
      <w:r>
        <w:t>եւ</w:t>
      </w:r>
      <w:r w:rsidRPr="00E345B2">
        <w:t xml:space="preserve"> դրանց անալիզի մեթոդներին առնչվող համապատասխան ընդհանուր դեղագրքային հոդվածների պահանջները։</w:t>
      </w:r>
    </w:p>
    <w:p w14:paraId="76394BBF"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երով արտաքին կիրառման անասնաբուժական դեղապատրաստուկների համար որոշում են փաթեթվածքի պարունակության զանգվածը կամ ծավալը՝ </w:t>
      </w:r>
      <w:r w:rsidRPr="00D03E8B">
        <w:rPr>
          <w:i/>
        </w:rPr>
        <w:t>«2.1.9.17. Փաթեթվածքի պարունակության զանգվածը (ծավալը)»</w:t>
      </w:r>
      <w:r w:rsidRPr="00E345B2">
        <w:t xml:space="preserve"> ընդհանուր դեղագրքային հոդվածին համապատասխան։</w:t>
      </w:r>
    </w:p>
    <w:p w14:paraId="0F1BD4A0" w14:textId="77777777" w:rsidR="0035054F" w:rsidRPr="00E345B2" w:rsidRDefault="0035054F" w:rsidP="004A289F">
      <w:pPr>
        <w:spacing w:after="160" w:line="360" w:lineRule="auto"/>
        <w:ind w:firstLine="567"/>
        <w:jc w:val="both"/>
      </w:pPr>
      <w:r w:rsidRPr="00E345B2">
        <w:t>Բազմադեղաչափ փաթեթվածքով թողարկվող պատրաստուկների համար որոշում են դեղաչափված դեղաձ</w:t>
      </w:r>
      <w:r>
        <w:t>եւ</w:t>
      </w:r>
      <w:r w:rsidRPr="00E345B2">
        <w:t xml:space="preserve">ի միավորի մեջ ազդող նյութի տարածման հավասարաչափությունը՝ </w:t>
      </w:r>
      <w:r w:rsidRPr="00D03E8B">
        <w:rPr>
          <w:i/>
        </w:rPr>
        <w:t>«2.1.9.14. Դեղաչափված միավորների միատարրությունը»</w:t>
      </w:r>
      <w:r w:rsidRPr="00E345B2">
        <w:t xml:space="preserve"> ընդհանուր դեղագրքային հոդվածին համապատասխան։</w:t>
      </w:r>
    </w:p>
    <w:p w14:paraId="39B8C9E1" w14:textId="77777777" w:rsidR="0035054F" w:rsidRPr="00E345B2" w:rsidRDefault="0035054F" w:rsidP="004A289F">
      <w:pPr>
        <w:spacing w:after="160" w:line="360" w:lineRule="auto"/>
        <w:ind w:firstLine="567"/>
        <w:jc w:val="both"/>
      </w:pPr>
      <w:r w:rsidRPr="00E345B2">
        <w:lastRenderedPageBreak/>
        <w:t xml:space="preserve">Հակամանրէային կոնսերվանտների արդյունավետության գնահատման չափորոշիչները պետք է համապատասխանեն </w:t>
      </w:r>
      <w:r w:rsidRPr="00D03E8B">
        <w:rPr>
          <w:i/>
        </w:rPr>
        <w:t>«2.3.1.1. Հակամանրէային կոնսերվանտների արդյունավետությունը»</w:t>
      </w:r>
      <w:r w:rsidRPr="00E345B2">
        <w:t xml:space="preserve"> ընդհանուր դեղագրքային հոդվածի պահանջներին։</w:t>
      </w:r>
    </w:p>
    <w:p w14:paraId="012588B8"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երով արտաքին կիրառման անասնաբուժական դեղապատրաստուկները պետք է </w:t>
      </w:r>
      <w:r w:rsidRPr="00D03E8B">
        <w:rPr>
          <w:i/>
        </w:rPr>
        <w:t>բավարարեն «2.3.1.2.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 պահանջները։</w:t>
      </w:r>
    </w:p>
    <w:p w14:paraId="17FAB55E" w14:textId="77777777" w:rsidR="0035054F" w:rsidRPr="00E345B2" w:rsidRDefault="0035054F" w:rsidP="004A289F">
      <w:pPr>
        <w:spacing w:after="160" w:line="360" w:lineRule="auto"/>
        <w:ind w:firstLine="567"/>
        <w:jc w:val="both"/>
      </w:pPr>
      <w:r w:rsidRPr="00E345B2">
        <w:t xml:space="preserve">Վերքային </w:t>
      </w:r>
      <w:r>
        <w:t>եւ</w:t>
      </w:r>
      <w:r w:rsidRPr="00E345B2">
        <w:t xml:space="preserve"> (կամ) այրվածքային մակերեսներին քսելու համար նախատեսված պատրաստուկները պետք է լինեն մանրէազերծ </w:t>
      </w:r>
      <w:r>
        <w:t>եւ</w:t>
      </w:r>
      <w:r w:rsidRPr="00E345B2">
        <w:t xml:space="preserve"> բավարարեն </w:t>
      </w:r>
      <w:r w:rsidRPr="00D03E8B">
        <w:rPr>
          <w:i/>
        </w:rPr>
        <w:t>«2.1.6.1 Մանրէազերծությունը</w:t>
      </w:r>
      <w:r w:rsidRPr="00E345B2">
        <w:t>» ընդհանուր դեղագրքային հոդվածի պահանջները։</w:t>
      </w:r>
    </w:p>
    <w:p w14:paraId="080C854F" w14:textId="77777777" w:rsidR="0035054F" w:rsidRPr="00E345B2" w:rsidRDefault="0035054F" w:rsidP="004A289F">
      <w:pPr>
        <w:spacing w:after="160" w:line="360" w:lineRule="auto"/>
        <w:ind w:firstLine="567"/>
        <w:jc w:val="both"/>
      </w:pPr>
      <w:r w:rsidRPr="00E345B2">
        <w:t xml:space="preserve">Իսկության փորձարկումները որոշվում են պատրաստուկի բաղադրության մեջ մտնող ազդող նյութերով, ավելի հազվադեպ՝ օժանդակ նյութերով (հակամանրէային կոնսերվանտներով, հակաօքսիդանտներով, կայունացուցիչներով </w:t>
      </w:r>
      <w:r>
        <w:t>եւ</w:t>
      </w:r>
      <w:r w:rsidRPr="00E345B2">
        <w:t xml:space="preserve"> այլն)։ Իսկության գնահատման համար առաջարկվում է անալիզի ֆիզիկաքիմիական (ԲԱՀՔ, ՆՇՔ, ԳՔ </w:t>
      </w:r>
      <w:r>
        <w:t>եւ</w:t>
      </w:r>
      <w:r w:rsidRPr="00E345B2">
        <w:t xml:space="preserve"> այլն) </w:t>
      </w:r>
      <w:r>
        <w:t>եւ</w:t>
      </w:r>
      <w:r w:rsidRPr="00E345B2">
        <w:t xml:space="preserve"> քիմիական մեթոդների համակցությունը։</w:t>
      </w:r>
    </w:p>
    <w:p w14:paraId="6362E27B" w14:textId="77777777" w:rsidR="0035054F" w:rsidRPr="00E345B2" w:rsidRDefault="0035054F" w:rsidP="004A289F">
      <w:pPr>
        <w:spacing w:after="160" w:line="360" w:lineRule="auto"/>
        <w:ind w:firstLine="567"/>
        <w:jc w:val="both"/>
      </w:pPr>
      <w:r w:rsidRPr="00E345B2">
        <w:t xml:space="preserve">Ազդող </w:t>
      </w:r>
      <w:r>
        <w:t>եւ</w:t>
      </w:r>
      <w:r w:rsidRPr="00E345B2">
        <w:t xml:space="preserve"> անհրաժեշտության դեպքում օժանդակ նյութերի պարունակությունը որոշելու համար առաջարկվում է կիրառել ֆիզիկաքիմիական (ԲԱՀՔ, ԳՔ, սպեկտրալուսաչափություն), քիմիական (տիտրաչափական), մանրէաբանական </w:t>
      </w:r>
      <w:r>
        <w:t>եւ</w:t>
      </w:r>
      <w:r w:rsidRPr="00E345B2">
        <w:t xml:space="preserve"> այլ մեթոդներ, որոնք ներկայացված են անասնաբուժական դեղամիջոցի վերաբերյալ համապատասխան նորմատիվ փաստաթղթում կամ մասնավոր դեղագրքային հոդվածում։</w:t>
      </w:r>
    </w:p>
    <w:p w14:paraId="63976269" w14:textId="77777777" w:rsidR="0035054F" w:rsidRPr="00E345B2" w:rsidRDefault="0035054F" w:rsidP="004A289F">
      <w:pPr>
        <w:spacing w:after="160" w:line="360" w:lineRule="auto"/>
        <w:ind w:firstLine="567"/>
        <w:jc w:val="both"/>
      </w:pPr>
      <w:r w:rsidRPr="00E345B2">
        <w:t>Եթե անասնաբուժական դեղամիջոցի վերաբերյալ նորմատիվ փաստաթղթում կամ մասնավոր դեղագրքային հոդվածում այլ բան նշված չէ, որոշվող նյութերի պարունակությունն արտահայտում են զանգվածի, զանգվածածավալային միավորներով կամ ակտիվության միավորներով՝ չդեղաչափված դեղաձ</w:t>
      </w:r>
      <w:r>
        <w:t>եւ</w:t>
      </w:r>
      <w:r w:rsidRPr="00E345B2">
        <w:t xml:space="preserve">երի </w:t>
      </w:r>
      <w:r w:rsidRPr="00E345B2">
        <w:lastRenderedPageBreak/>
        <w:t>համար, կամ զանգվածի, զանգվածածավալային միավորներով կամ ակտիվության միավորներով՝ 1 դեղաչափով՝ դեղաչափված դեղաձ</w:t>
      </w:r>
      <w:r>
        <w:t>եւ</w:t>
      </w:r>
      <w:r w:rsidRPr="00E345B2">
        <w:t>երի համար։</w:t>
      </w:r>
    </w:p>
    <w:p w14:paraId="41A73082" w14:textId="77777777" w:rsidR="0035054F" w:rsidRPr="00E345B2" w:rsidRDefault="0035054F" w:rsidP="007E4DEC">
      <w:pPr>
        <w:spacing w:after="160" w:line="343" w:lineRule="auto"/>
        <w:ind w:firstLine="567"/>
        <w:jc w:val="both"/>
      </w:pPr>
    </w:p>
    <w:p w14:paraId="45FCC750" w14:textId="77777777" w:rsidR="0035054F" w:rsidRPr="004A289F" w:rsidRDefault="0035054F" w:rsidP="007E4DEC">
      <w:pPr>
        <w:spacing w:after="160" w:line="343" w:lineRule="auto"/>
        <w:ind w:firstLine="567"/>
        <w:jc w:val="both"/>
        <w:rPr>
          <w:b/>
        </w:rPr>
      </w:pPr>
      <w:r w:rsidRPr="004A289F">
        <w:rPr>
          <w:b/>
        </w:rPr>
        <w:t>ՓԱԹԵԹՎԱԾՔԸ</w:t>
      </w:r>
    </w:p>
    <w:p w14:paraId="0D772AF9" w14:textId="77777777" w:rsidR="0035054F" w:rsidRPr="00E345B2" w:rsidRDefault="0035054F" w:rsidP="007E4DEC">
      <w:pPr>
        <w:spacing w:after="160" w:line="343" w:lineRule="auto"/>
        <w:ind w:firstLine="567"/>
        <w:jc w:val="both"/>
      </w:pPr>
      <w:r w:rsidRPr="00E345B2">
        <w:t>Փաթեթվածքը պետք է ապահովի պահպանման նշված պայմաններում, սահմանված պիտանիության ժամկետի ընթացքում դեղապատրաստուկի որակը։</w:t>
      </w:r>
    </w:p>
    <w:p w14:paraId="2FB83CF1" w14:textId="77777777" w:rsidR="0035054F" w:rsidRPr="00E345B2" w:rsidRDefault="0035054F" w:rsidP="007E4DEC">
      <w:pPr>
        <w:spacing w:after="160" w:line="343" w:lineRule="auto"/>
        <w:ind w:firstLine="567"/>
        <w:jc w:val="both"/>
      </w:pPr>
      <w:r w:rsidRPr="00E345B2">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դեղաձ</w:t>
      </w:r>
      <w:r>
        <w:t>եւ</w:t>
      </w:r>
      <w:r w:rsidRPr="00E345B2">
        <w:t>ի ներմուծման ուղին։</w:t>
      </w:r>
    </w:p>
    <w:p w14:paraId="4A06C304" w14:textId="77777777" w:rsidR="0035054F" w:rsidRPr="00E345B2" w:rsidRDefault="0035054F" w:rsidP="007E4DEC">
      <w:pPr>
        <w:spacing w:after="160" w:line="343" w:lineRule="auto"/>
        <w:ind w:firstLine="567"/>
        <w:jc w:val="both"/>
      </w:pPr>
      <w:r w:rsidRPr="00E345B2">
        <w:t>Ցնդող բաղադրիչներ պարունակող պատրաստուկները պահում են հերմետիկ փաթեթվածքում։</w:t>
      </w:r>
    </w:p>
    <w:p w14:paraId="007445A7" w14:textId="77777777" w:rsidR="0035054F" w:rsidRPr="00E345B2" w:rsidRDefault="0035054F" w:rsidP="007E4DEC">
      <w:pPr>
        <w:spacing w:after="160" w:line="343" w:lineRule="auto"/>
        <w:ind w:firstLine="567"/>
        <w:jc w:val="both"/>
      </w:pPr>
      <w:r w:rsidRPr="00E345B2">
        <w:t xml:space="preserve">Վերքային </w:t>
      </w:r>
      <w:r>
        <w:t>եւ</w:t>
      </w:r>
      <w:r w:rsidRPr="00E345B2">
        <w:t xml:space="preserve"> (կամ) այրվածքային մակերեսներին քսելու համար նախատեսված պատրաստուկները փաթեթավորում են կիպ խցանափակված՝ մանրէազերծ</w:t>
      </w:r>
      <w:r>
        <w:t xml:space="preserve"> </w:t>
      </w:r>
      <w:r w:rsidRPr="00E345B2">
        <w:t>առաջնային փաթեթվածքի մեջ՝ վերահսկելով առաջին անգամ բացելը։</w:t>
      </w:r>
    </w:p>
    <w:p w14:paraId="07A0B8F1" w14:textId="77777777" w:rsidR="0035054F" w:rsidRPr="00E345B2" w:rsidRDefault="0035054F" w:rsidP="007E4DEC">
      <w:pPr>
        <w:spacing w:after="160" w:line="343" w:lineRule="auto"/>
        <w:ind w:firstLine="567"/>
        <w:jc w:val="both"/>
      </w:pPr>
      <w:r w:rsidRPr="00D03E8B">
        <w:rPr>
          <w:spacing w:val="-4"/>
        </w:rPr>
        <w:t>Բազմադեղաչափ կոնտեյներով թողարկվելու դեպքում պատրաստուկը պետք է պարունակի համապատասխան կոնցենտրացիայով համապատասխան կոնսերվանտներ</w:t>
      </w:r>
      <w:r w:rsidRPr="00E345B2">
        <w:t>՝ բացառությամբ այն դեպքերի, երբ հենց պատրաստուկն է օժտված բավարար հակամանրէային հատկություններով։</w:t>
      </w:r>
    </w:p>
    <w:p w14:paraId="3BE39B8B" w14:textId="77777777" w:rsidR="0035054F" w:rsidRPr="00E345B2" w:rsidRDefault="0035054F" w:rsidP="007E4DEC">
      <w:pPr>
        <w:spacing w:after="160" w:line="343" w:lineRule="auto"/>
        <w:ind w:firstLine="567"/>
        <w:jc w:val="both"/>
      </w:pPr>
    </w:p>
    <w:p w14:paraId="25D2E5FF" w14:textId="77777777" w:rsidR="0035054F" w:rsidRPr="004A289F" w:rsidRDefault="0035054F" w:rsidP="007E4DEC">
      <w:pPr>
        <w:spacing w:after="160" w:line="343" w:lineRule="auto"/>
        <w:ind w:firstLine="567"/>
        <w:jc w:val="both"/>
        <w:rPr>
          <w:b/>
        </w:rPr>
      </w:pPr>
      <w:r w:rsidRPr="004A289F">
        <w:rPr>
          <w:b/>
        </w:rPr>
        <w:t>ՄԱԿՆՇՈՒՄԸ</w:t>
      </w:r>
    </w:p>
    <w:p w14:paraId="26CE362A" w14:textId="77777777" w:rsidR="0035054F" w:rsidRPr="00E345B2" w:rsidRDefault="0035054F" w:rsidP="007E4DEC">
      <w:pPr>
        <w:spacing w:after="160" w:line="343" w:lineRule="auto"/>
        <w:ind w:firstLine="567"/>
        <w:jc w:val="both"/>
      </w:pPr>
      <w:r w:rsidRPr="00E345B2">
        <w:t>Մանրէազերծ դեղաձ</w:t>
      </w:r>
      <w:r>
        <w:t>եւ</w:t>
      </w:r>
      <w:r w:rsidRPr="00E345B2">
        <w:t>երի համար փաթեթվածքի վրա զետեղվում է դեղապատրաստուկի մանրէազերծության մասին նշում։</w:t>
      </w:r>
    </w:p>
    <w:p w14:paraId="5000AA85" w14:textId="77777777" w:rsidR="0035054F" w:rsidRPr="00E345B2" w:rsidRDefault="0035054F" w:rsidP="007E4DEC">
      <w:pPr>
        <w:spacing w:after="160" w:line="343" w:lineRule="auto"/>
        <w:ind w:firstLine="567"/>
        <w:jc w:val="both"/>
      </w:pPr>
      <w:r w:rsidRPr="00E345B2">
        <w:t>Երկրորդային (սպառողական) փաթեթվածքի վրա նշում են բաղադրության մեջ մտնող օժանդակ նյութերը՝ առանց դրանց քանակը նշելու, եթե անասնաբուժական դեղամիջոցի վերաբերյալ նորմատիվ փաստաթղթում կամ մասնավոր դեղագրքային հոդվածում այլ ցուցումներ չկան։</w:t>
      </w:r>
    </w:p>
    <w:p w14:paraId="449A922C" w14:textId="77777777" w:rsidR="0035054F" w:rsidRPr="00E345B2" w:rsidRDefault="0035054F" w:rsidP="004A289F">
      <w:pPr>
        <w:spacing w:after="160" w:line="360" w:lineRule="auto"/>
        <w:ind w:firstLine="567"/>
        <w:jc w:val="both"/>
      </w:pPr>
      <w:r w:rsidRPr="00E345B2">
        <w:lastRenderedPageBreak/>
        <w:t>Բազմադեղաչափ դեղաձ</w:t>
      </w:r>
      <w:r>
        <w:t>եւ</w:t>
      </w:r>
      <w:r w:rsidRPr="00E345B2">
        <w:t>երի համար նշում են առաջին անգամ բացելուց հետո դեղապատրաստուկի պահպանման ժամկետը։</w:t>
      </w:r>
    </w:p>
    <w:p w14:paraId="78E6845D" w14:textId="77777777" w:rsidR="0035054F" w:rsidRPr="00E345B2" w:rsidRDefault="0035054F" w:rsidP="004A289F">
      <w:pPr>
        <w:spacing w:after="160" w:line="360" w:lineRule="auto"/>
        <w:ind w:firstLine="567"/>
        <w:jc w:val="both"/>
      </w:pPr>
      <w:r w:rsidRPr="00E345B2">
        <w:t>Միադեղաչափ դեղաձ</w:t>
      </w:r>
      <w:r>
        <w:t>եւ</w:t>
      </w:r>
      <w:r w:rsidRPr="00E345B2">
        <w:t xml:space="preserve">երի համար նշում են ազդող նյութերի անվանումը </w:t>
      </w:r>
      <w:r>
        <w:t>եւ</w:t>
      </w:r>
      <w:r w:rsidRPr="00E345B2">
        <w:t xml:space="preserve"> 1 դեղաչափի մեջ դրանց պարունակությունը, բազմադեղաչափ դեղաձ</w:t>
      </w:r>
      <w:r>
        <w:t>եւ</w:t>
      </w:r>
      <w:r w:rsidRPr="00E345B2">
        <w:t>երի համար՝ 1 դեղաչափի մեջ ազդող նյութերի պարունակությունը՝ նշելով փաթեթվածքի մեջ դեղաչափերի քանակը։</w:t>
      </w:r>
    </w:p>
    <w:p w14:paraId="3E70D095" w14:textId="77777777" w:rsidR="0035054F" w:rsidRPr="00E345B2" w:rsidRDefault="0035054F" w:rsidP="004A289F">
      <w:pPr>
        <w:spacing w:after="160" w:line="360" w:lineRule="auto"/>
        <w:ind w:firstLine="567"/>
        <w:jc w:val="both"/>
      </w:pPr>
      <w:r w:rsidRPr="00E345B2">
        <w:t>Չդոզավորված դեղաձ</w:t>
      </w:r>
      <w:r>
        <w:t>եւ</w:t>
      </w:r>
      <w:r w:rsidRPr="00E345B2">
        <w:t xml:space="preserve">երի համար ներկայացնում են ազդող նյութերի անվանումը </w:t>
      </w:r>
      <w:r>
        <w:t>եւ</w:t>
      </w:r>
      <w:r w:rsidRPr="00E345B2">
        <w:t xml:space="preserve"> դեղապատրաստուկի որոշակի զանգվածի (ծավալի) մեջ դրանց քանակը։</w:t>
      </w:r>
    </w:p>
    <w:p w14:paraId="08FEB415" w14:textId="77777777" w:rsidR="0035054F" w:rsidRPr="00E345B2" w:rsidRDefault="0035054F" w:rsidP="004A289F">
      <w:pPr>
        <w:spacing w:after="160" w:line="360" w:lineRule="auto"/>
        <w:ind w:firstLine="567"/>
        <w:jc w:val="both"/>
      </w:pPr>
      <w:r w:rsidRPr="00E345B2">
        <w:t>Անհրաժեշտության դեպքում պետք է լինեն նախազգուշացնող գրառումներ՝ պատրաստուկի դեղաձ</w:t>
      </w:r>
      <w:r>
        <w:t>եւ</w:t>
      </w:r>
      <w:r w:rsidRPr="00E345B2">
        <w:t xml:space="preserve">ով </w:t>
      </w:r>
      <w:r>
        <w:t>եւ</w:t>
      </w:r>
      <w:r w:rsidRPr="00E345B2">
        <w:t xml:space="preserve"> փաթեթվածքի տեսակով պայմանավորված։</w:t>
      </w:r>
    </w:p>
    <w:p w14:paraId="2E4F35D7" w14:textId="77777777" w:rsidR="0035054F" w:rsidRPr="00E345B2" w:rsidRDefault="0035054F" w:rsidP="004A289F">
      <w:pPr>
        <w:spacing w:after="160" w:line="360" w:lineRule="auto"/>
        <w:ind w:firstLine="567"/>
        <w:jc w:val="both"/>
      </w:pPr>
    </w:p>
    <w:p w14:paraId="2FD13307" w14:textId="77777777" w:rsidR="0035054F" w:rsidRPr="00B5542D" w:rsidRDefault="0035054F" w:rsidP="004A289F">
      <w:pPr>
        <w:spacing w:after="160" w:line="360" w:lineRule="auto"/>
        <w:ind w:firstLine="567"/>
        <w:jc w:val="right"/>
        <w:rPr>
          <w:b/>
          <w:sz w:val="20"/>
        </w:rPr>
      </w:pPr>
      <w:r w:rsidRPr="004A289F">
        <w:rPr>
          <w:b/>
          <w:sz w:val="20"/>
        </w:rPr>
        <w:t>205040003-2022</w:t>
      </w:r>
    </w:p>
    <w:p w14:paraId="079F56AF" w14:textId="77777777" w:rsidR="004A289F" w:rsidRPr="00B5542D" w:rsidRDefault="004A289F" w:rsidP="004A289F">
      <w:pPr>
        <w:spacing w:after="160" w:line="360" w:lineRule="auto"/>
        <w:ind w:firstLine="567"/>
        <w:jc w:val="both"/>
        <w:rPr>
          <w:b/>
        </w:rPr>
      </w:pPr>
    </w:p>
    <w:p w14:paraId="06CD2177" w14:textId="77777777" w:rsidR="0035054F" w:rsidRPr="004A289F" w:rsidRDefault="0035054F" w:rsidP="004A289F">
      <w:pPr>
        <w:tabs>
          <w:tab w:val="left" w:pos="1701"/>
        </w:tabs>
        <w:spacing w:after="160" w:line="360" w:lineRule="auto"/>
        <w:ind w:firstLine="567"/>
        <w:jc w:val="both"/>
        <w:rPr>
          <w:b/>
        </w:rPr>
      </w:pPr>
      <w:r w:rsidRPr="004A289F">
        <w:rPr>
          <w:b/>
        </w:rPr>
        <w:t>2.5.4.3.</w:t>
      </w:r>
      <w:r w:rsidR="004A289F" w:rsidRPr="00B5542D">
        <w:rPr>
          <w:b/>
        </w:rPr>
        <w:tab/>
      </w:r>
      <w:r w:rsidRPr="004A289F">
        <w:rPr>
          <w:b/>
        </w:rPr>
        <w:t>Փափուկ դեղաձեւերով</w:t>
      </w:r>
      <w:r w:rsidRPr="00E345B2">
        <w:t xml:space="preserve"> </w:t>
      </w:r>
      <w:r w:rsidRPr="004A289F">
        <w:rPr>
          <w:b/>
        </w:rPr>
        <w:t>ներքին ընդունման անասնաբուժական դեղապատրաստուկները</w:t>
      </w:r>
    </w:p>
    <w:p w14:paraId="068973F4"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դեղապատրաստուկները (սովորաբար՝ ներքին ընդունման մածուկների կամ դոնդողների տեսքով) բաղկացած են մեկ կամ ավելի ազդող նյութերից, որոնք լուծված կամ դիսպերսված են սինթետիկ </w:t>
      </w:r>
      <w:r>
        <w:t>եւ</w:t>
      </w:r>
      <w:r w:rsidRPr="00E345B2">
        <w:t xml:space="preserve"> բնական նյութերից կազմված միաֆազ կամ բազմաֆազ հիմքի մեջ։</w:t>
      </w:r>
    </w:p>
    <w:p w14:paraId="62320113"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դեղապատրաստուկների բաղադրության մեջ որպես օժանդակ նյութեր կարող են մտնել հակամանրէային կոնսերվանտներ, դիսպերսող, կախութավորող, բուֆերացնող, թրջող, լուծող </w:t>
      </w:r>
      <w:r>
        <w:t>եւ</w:t>
      </w:r>
      <w:r w:rsidRPr="00E345B2">
        <w:t xml:space="preserve"> այլ բաղադրիչներ, ինչպես նա</w:t>
      </w:r>
      <w:r>
        <w:t>եւ</w:t>
      </w:r>
      <w:r w:rsidRPr="00E345B2">
        <w:t xml:space="preserve"> թանձրացուցիչներ, էմուլսարարներ, կայունացուցիչներ, բուրավետիչներ </w:t>
      </w:r>
      <w:r>
        <w:t>եւ</w:t>
      </w:r>
      <w:r w:rsidRPr="00E345B2">
        <w:t xml:space="preserve"> քաղցրացուցիչներ։</w:t>
      </w:r>
    </w:p>
    <w:p w14:paraId="336020E7" w14:textId="77777777" w:rsidR="0035054F" w:rsidRPr="00E345B2" w:rsidRDefault="0035054F" w:rsidP="004A289F">
      <w:pPr>
        <w:spacing w:after="160" w:line="360" w:lineRule="auto"/>
        <w:ind w:firstLine="567"/>
        <w:jc w:val="both"/>
      </w:pPr>
      <w:r w:rsidRPr="00E345B2">
        <w:lastRenderedPageBreak/>
        <w:t>Փափուկ դեղաձ</w:t>
      </w:r>
      <w:r>
        <w:t>եւ</w:t>
      </w:r>
      <w:r w:rsidRPr="00E345B2">
        <w:t>երով ներքին ընդունման անասնաբուժական դեղապատրաստուկները նախատեսված են բերանի խոռոչում կիրառելու համար կամ կուլ տալուց հետո ազդող նյութերն աղեստամոքսային տրակտ հասցնելու համար։</w:t>
      </w:r>
    </w:p>
    <w:p w14:paraId="09DB0015" w14:textId="77777777" w:rsidR="0035054F" w:rsidRPr="00E345B2" w:rsidRDefault="0035054F" w:rsidP="004A289F">
      <w:pPr>
        <w:spacing w:after="160" w:line="360" w:lineRule="auto"/>
        <w:ind w:firstLine="567"/>
        <w:jc w:val="both"/>
      </w:pPr>
      <w:r w:rsidRPr="00E345B2">
        <w:t>Փափուկ դեղաձ</w:t>
      </w:r>
      <w:r>
        <w:t>եւ</w:t>
      </w:r>
      <w:r w:rsidRPr="00E345B2">
        <w:t>երով ներքին ընդունման անասնաբուժական դեղապատրաստուկները սովորաբար թողարկվում են միադեղաչափ կամ բազմադեղաչափ կոնտեյներներով, ինչպիսիք են ներարկիչները, որոնք թույլ են տալիս ճշգրիտ դոզավորել պատրաստուկները՝ կենդանու զանգվածին համապատասխան։ Բազմադեղաչափ կոնտեյներից յուրաքանչյուր դեղաչափ կիրառվում է դոզավորող սարքի օգնությամբ, որը նախատեսված է որոշակի ծավալ/զանգված չափելու համար։</w:t>
      </w:r>
    </w:p>
    <w:p w14:paraId="319EE804" w14:textId="77777777" w:rsidR="0035054F" w:rsidRPr="00E345B2" w:rsidRDefault="0035054F" w:rsidP="004A289F">
      <w:pPr>
        <w:spacing w:after="160" w:line="360" w:lineRule="auto"/>
        <w:ind w:firstLine="567"/>
        <w:jc w:val="both"/>
      </w:pPr>
    </w:p>
    <w:p w14:paraId="3837B8BF" w14:textId="77777777" w:rsidR="0035054F" w:rsidRPr="004A289F" w:rsidRDefault="0035054F" w:rsidP="004A289F">
      <w:pPr>
        <w:spacing w:after="160" w:line="360" w:lineRule="auto"/>
        <w:ind w:firstLine="567"/>
        <w:jc w:val="both"/>
        <w:rPr>
          <w:b/>
        </w:rPr>
      </w:pPr>
      <w:r w:rsidRPr="004A289F">
        <w:rPr>
          <w:b/>
        </w:rPr>
        <w:t>ՏԵԽՆՈԼՈԳԻԱՅԻ ԱՌԱՆՁՆԱՀԱՏԿՈՒԹՅՈՒՆՆԵՐԸ</w:t>
      </w:r>
    </w:p>
    <w:p w14:paraId="4CB74251"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դեղապատրաստուկների արտադրության տեխնոլոգիան պետք է ապահովի հիմքի մեջ ազդող նյութերի առավելագույն դիսպերսումը </w:t>
      </w:r>
      <w:r>
        <w:t>եւ</w:t>
      </w:r>
      <w:r w:rsidRPr="00E345B2">
        <w:t xml:space="preserve"> հավասարաչափ բաշխումը։ Հիմքը հարկավոր է ընտրել՝ հաշվի առնելով դեղամիջոցի նշանակությունը, արդյունավետությունը, անվտանգությունը, ազդող նյութերի կենսամատչելիությունը, բաղադրիչների համատեղելիությունը, ռեոլոգիական հատկությունները, պիտանիության ժամկետի ընթացքում դեղաձ</w:t>
      </w:r>
      <w:r>
        <w:t>եւ</w:t>
      </w:r>
      <w:r w:rsidRPr="00E345B2">
        <w:t xml:space="preserve">ի կայունությունը։ Մածուկների </w:t>
      </w:r>
      <w:r>
        <w:t>եւ</w:t>
      </w:r>
      <w:r w:rsidRPr="00E345B2">
        <w:t xml:space="preserve"> դոնդողների կոնսիստենցիան պետք է ապահովի պատրաստուկների՝ դեպի ներս կիրառման դյուրինությունը։</w:t>
      </w:r>
    </w:p>
    <w:p w14:paraId="2D77E97B"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դեղապատրաստուկների բաղադրության մեջ հակամանրէային կոնսերվանտների օգտագործման անհրաժեշտությունը պետք է հիմնավորվի։ Պատրաստուկների բաղադրության մեջ մտնող կոնսերվանտների արդյունավետության գնահատման մեթոդիկան </w:t>
      </w:r>
      <w:r>
        <w:t>եւ</w:t>
      </w:r>
      <w:r w:rsidRPr="00E345B2">
        <w:t xml:space="preserve"> չափորոշիչները ներկայացված են </w:t>
      </w:r>
      <w:r w:rsidRPr="00D03E8B">
        <w:rPr>
          <w:i/>
        </w:rPr>
        <w:t>«2.3.1.1. Հակամանրէային կոնսերվանտների արդյունավետությունը»</w:t>
      </w:r>
      <w:r w:rsidRPr="00E345B2">
        <w:t xml:space="preserve"> ընդհանուր դեղագրքային հոդվածում։</w:t>
      </w:r>
    </w:p>
    <w:p w14:paraId="6C44D52B" w14:textId="77777777" w:rsidR="0035054F" w:rsidRPr="00E345B2" w:rsidRDefault="0035054F" w:rsidP="004A289F">
      <w:pPr>
        <w:spacing w:after="160" w:line="360" w:lineRule="auto"/>
        <w:ind w:firstLine="567"/>
        <w:jc w:val="both"/>
      </w:pPr>
      <w:r w:rsidRPr="00E345B2">
        <w:lastRenderedPageBreak/>
        <w:t>Փափուկ դեղաձ</w:t>
      </w:r>
      <w:r>
        <w:t>եւ</w:t>
      </w:r>
      <w:r w:rsidRPr="00E345B2">
        <w:t xml:space="preserve">երով ներքին ընդունման անասնաբուժական դեղապատրաստուկների արտադրման, փաթեթավորման, պահպանման </w:t>
      </w:r>
      <w:r>
        <w:t>եւ</w:t>
      </w:r>
      <w:r w:rsidRPr="00E345B2">
        <w:t xml:space="preserve"> փոխադրման ժամանակ ձեռնարկում են դրանց մանրէաբանական մաքրությունն ապահովող միջոցներ՝ </w:t>
      </w:r>
      <w:r w:rsidRPr="00D03E8B">
        <w:rPr>
          <w:i/>
        </w:rPr>
        <w:t>«2.3.1.2. Դեղապատրաստուկների, դեղագործական բաղադրամասերի եւ դրանց արտադրության համար օժանդակ նյութերի մանրէաբանական մաքրությանը ներկայացվող պահանջները»</w:t>
      </w:r>
      <w:r w:rsidRPr="00E345B2">
        <w:t xml:space="preserve"> ընդհանուր դեղագրքային հոդվածին համապատասխան։</w:t>
      </w:r>
    </w:p>
    <w:p w14:paraId="27B2C962" w14:textId="77777777" w:rsidR="0035054F" w:rsidRPr="00E345B2" w:rsidRDefault="0035054F" w:rsidP="004A289F">
      <w:pPr>
        <w:spacing w:after="160" w:line="360" w:lineRule="auto"/>
        <w:ind w:firstLine="567"/>
        <w:jc w:val="both"/>
      </w:pPr>
      <w:r w:rsidRPr="00E345B2">
        <w:t>Դեղաչափված դեղաձ</w:t>
      </w:r>
      <w:r>
        <w:t>եւ</w:t>
      </w:r>
      <w:r w:rsidRPr="00E345B2">
        <w:t xml:space="preserve">երի մշակման ժամանակ պետք է հաստատվի, որ առաջարկվող բաղադրությունը </w:t>
      </w:r>
      <w:r>
        <w:t>եւ</w:t>
      </w:r>
      <w:r w:rsidRPr="00E345B2">
        <w:t xml:space="preserve"> արտադրության տեխնոլոգիան ապահովում</w:t>
      </w:r>
      <w:r>
        <w:t xml:space="preserve"> </w:t>
      </w:r>
      <w:r w:rsidRPr="00E345B2">
        <w:t>են դեղաչափման միատարրությունը։</w:t>
      </w:r>
    </w:p>
    <w:p w14:paraId="10E48AB3" w14:textId="77777777" w:rsidR="0035054F" w:rsidRPr="00E345B2" w:rsidRDefault="0035054F" w:rsidP="004A289F">
      <w:pPr>
        <w:spacing w:after="160" w:line="360" w:lineRule="auto"/>
        <w:ind w:firstLine="567"/>
        <w:jc w:val="both"/>
      </w:pPr>
      <w:r w:rsidRPr="00E345B2">
        <w:t xml:space="preserve">Փաթեթվածքի հերմետիկությունը վերահսկում են ներարկիչների </w:t>
      </w:r>
      <w:r>
        <w:t>եւ</w:t>
      </w:r>
      <w:r w:rsidRPr="00E345B2">
        <w:t xml:space="preserve"> պարկուճների մեջ փաթեթավորված փափուկ դեղաձ</w:t>
      </w:r>
      <w:r>
        <w:t>եւ</w:t>
      </w:r>
      <w:r w:rsidRPr="00E345B2">
        <w:t>երի արտադրության գործընթացում։</w:t>
      </w:r>
    </w:p>
    <w:p w14:paraId="2AA99D31" w14:textId="77777777" w:rsidR="0035054F" w:rsidRPr="00E345B2" w:rsidRDefault="0035054F" w:rsidP="004A289F">
      <w:pPr>
        <w:spacing w:after="160" w:line="360" w:lineRule="auto"/>
        <w:ind w:firstLine="567"/>
        <w:jc w:val="both"/>
      </w:pPr>
    </w:p>
    <w:p w14:paraId="48002210" w14:textId="77777777" w:rsidR="0035054F" w:rsidRPr="004A289F" w:rsidRDefault="0035054F" w:rsidP="004A289F">
      <w:pPr>
        <w:spacing w:after="160" w:line="360" w:lineRule="auto"/>
        <w:ind w:firstLine="567"/>
        <w:jc w:val="both"/>
        <w:rPr>
          <w:b/>
        </w:rPr>
      </w:pPr>
      <w:r w:rsidRPr="004A289F">
        <w:rPr>
          <w:b/>
        </w:rPr>
        <w:t>ՓՈՐՁԱՐԿՈՒՄՆԵՐԸ</w:t>
      </w:r>
    </w:p>
    <w:p w14:paraId="4827A1AB"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դեղապատրաստուկները պետք է համապատասխանեն </w:t>
      </w:r>
      <w:r w:rsidRPr="007B145C">
        <w:rPr>
          <w:i/>
        </w:rPr>
        <w:t xml:space="preserve">«2.5.1.40. Փափուկ դեղաձեւերը» </w:t>
      </w:r>
      <w:r w:rsidRPr="00E345B2">
        <w:t>ընդհանուր դեղագրքային հոդվածի պահանջներին։</w:t>
      </w:r>
    </w:p>
    <w:p w14:paraId="3371FF81" w14:textId="77777777" w:rsidR="0035054F" w:rsidRPr="00E345B2" w:rsidRDefault="0035054F" w:rsidP="004A289F">
      <w:pPr>
        <w:spacing w:after="160" w:line="360" w:lineRule="auto"/>
        <w:ind w:firstLine="567"/>
        <w:jc w:val="both"/>
      </w:pPr>
      <w:r w:rsidRPr="00E345B2">
        <w:t>Փափուկ դեղաձ</w:t>
      </w:r>
      <w:r>
        <w:t>եւ</w:t>
      </w:r>
      <w:r w:rsidRPr="00E345B2">
        <w:t xml:space="preserve">երով ներքին ընդունման անասնաբուժական դեղապատրաստուկների համար որոշում են փաթեթվածքի պարունակության զանգվածը կամ ծավալը՝ </w:t>
      </w:r>
      <w:r w:rsidRPr="00D03E8B">
        <w:rPr>
          <w:i/>
        </w:rPr>
        <w:t xml:space="preserve">«2.1.9.17. Փաթեթվածքի պարունակության զանգվածը (ծավալը)» </w:t>
      </w:r>
      <w:r w:rsidRPr="00E345B2">
        <w:t>ընդհանուր դեղագրքային հոդվածի պահանջներին համապատասխան։</w:t>
      </w:r>
    </w:p>
    <w:p w14:paraId="3763BE4C" w14:textId="77777777" w:rsidR="0035054F" w:rsidRPr="00B5542D" w:rsidRDefault="0035054F" w:rsidP="004A289F">
      <w:pPr>
        <w:spacing w:after="160" w:line="360" w:lineRule="auto"/>
        <w:ind w:firstLine="567"/>
        <w:jc w:val="both"/>
      </w:pPr>
      <w:r w:rsidRPr="00D03E8B">
        <w:rPr>
          <w:spacing w:val="-4"/>
        </w:rPr>
        <w:t>Դոզավորվող դեղաձեւերով թողարկվող պատրաստուկների համար որոշում են դեղաչափված դեղաձեւի միավորների մեջ ազդող նյութերի տարածման հավասարաչափությունը</w:t>
      </w:r>
      <w:r w:rsidRPr="00E345B2">
        <w:t xml:space="preserve">՝ </w:t>
      </w:r>
      <w:r w:rsidRPr="00D03E8B">
        <w:rPr>
          <w:i/>
        </w:rPr>
        <w:t xml:space="preserve">«2.1.9.14. Դեղաչափված միավորների միատարրությունը» </w:t>
      </w:r>
      <w:r w:rsidRPr="00E345B2">
        <w:t>ընդհանուր դեղագրքային հոդվածին համապատասխան։</w:t>
      </w:r>
    </w:p>
    <w:p w14:paraId="08883990" w14:textId="77777777" w:rsidR="007E4DEC" w:rsidRPr="00B5542D" w:rsidRDefault="007E4DEC" w:rsidP="004A289F">
      <w:pPr>
        <w:spacing w:after="160" w:line="360" w:lineRule="auto"/>
        <w:ind w:firstLine="567"/>
        <w:jc w:val="both"/>
      </w:pPr>
    </w:p>
    <w:p w14:paraId="6D14F585" w14:textId="77777777" w:rsidR="0035054F" w:rsidRPr="00E345B2" w:rsidRDefault="0035054F" w:rsidP="007E4DEC">
      <w:pPr>
        <w:spacing w:after="160" w:line="346" w:lineRule="auto"/>
        <w:ind w:firstLine="567"/>
        <w:jc w:val="both"/>
      </w:pPr>
      <w:r w:rsidRPr="00E345B2">
        <w:lastRenderedPageBreak/>
        <w:t xml:space="preserve">Հակամանրէային կոնսերվանտների արդյունավետության գնահատման չափորոշիչները պետք է համապատասխանեն </w:t>
      </w:r>
      <w:r w:rsidRPr="00D03E8B">
        <w:rPr>
          <w:i/>
        </w:rPr>
        <w:t xml:space="preserve">«2.3.1.1. Հակամանրէային կոնսերվանտների արդյունավետությունը» </w:t>
      </w:r>
      <w:r w:rsidRPr="00E345B2">
        <w:t>ընդհանուր դեղագրքային հոդվածի պահանջներին։</w:t>
      </w:r>
    </w:p>
    <w:p w14:paraId="581BCF99" w14:textId="77777777" w:rsidR="0035054F" w:rsidRPr="00E345B2" w:rsidRDefault="0035054F" w:rsidP="007E4DEC">
      <w:pPr>
        <w:spacing w:after="160" w:line="346" w:lineRule="auto"/>
        <w:ind w:firstLine="567"/>
        <w:jc w:val="both"/>
      </w:pPr>
      <w:r w:rsidRPr="00E345B2">
        <w:t>Փափուկ դեղաձ</w:t>
      </w:r>
      <w:r>
        <w:t>եւ</w:t>
      </w:r>
      <w:r w:rsidRPr="00E345B2">
        <w:t xml:space="preserve">երով ներքին ընդունման անասնաբուժական դեղապատրաստուկները պետք է բավարարեն </w:t>
      </w:r>
      <w:r w:rsidRPr="00D03E8B">
        <w:rPr>
          <w:i/>
        </w:rPr>
        <w:t xml:space="preserve">«2.3.1.2. Դեղապատրաստուկների, դեղագործական բաղադրամասերի եւ դրանց արտադրության համար օժանդակ նյութերի մանրէաբանական մաքրությանը ներկայացվող պահանջները» </w:t>
      </w:r>
      <w:r w:rsidRPr="00E345B2">
        <w:t>ընդհանուր դեղագրքային հոդվածի պահանջները (ընդունելիության չափորոշիչները պետք է համապատասխանեն ներքին ընդունման պինդ (անջուր) պատրաստուկների ЗА կատեգորիային)։</w:t>
      </w:r>
    </w:p>
    <w:p w14:paraId="3DF80A28" w14:textId="77777777" w:rsidR="0035054F" w:rsidRPr="00E345B2" w:rsidRDefault="0035054F" w:rsidP="007E4DEC">
      <w:pPr>
        <w:spacing w:after="160" w:line="346" w:lineRule="auto"/>
        <w:ind w:firstLine="567"/>
        <w:jc w:val="both"/>
      </w:pPr>
      <w:r w:rsidRPr="00E345B2">
        <w:t xml:space="preserve">Իսկության փորձարկումները որոշվում են պատրաստուկի բաղադրության մեջ մտնող ազդող նյութերով, ավելի հազվադեպ՝ օժանդակ նյութերով (հակամանրէային կոնսերվանտներով, հակաօքսիդանտներով, կայունացուցիչներով </w:t>
      </w:r>
      <w:r>
        <w:t>եւ</w:t>
      </w:r>
      <w:r w:rsidRPr="00E345B2">
        <w:t xml:space="preserve"> այլն)։ Իսկության գնահատման համար առաջարկվում է անալիզի ֆիզիկաքիմիական (ԲԱՀՔ, ՆՇՔ, ԳՔ </w:t>
      </w:r>
      <w:r>
        <w:t>եւ</w:t>
      </w:r>
      <w:r w:rsidRPr="00E345B2">
        <w:t xml:space="preserve"> այլն) </w:t>
      </w:r>
      <w:r>
        <w:t>եւ</w:t>
      </w:r>
      <w:r w:rsidRPr="00E345B2">
        <w:t xml:space="preserve"> քիմիական մեթոդների համակցությունը։</w:t>
      </w:r>
    </w:p>
    <w:p w14:paraId="6FAA77BF" w14:textId="77777777" w:rsidR="0035054F" w:rsidRPr="00E345B2" w:rsidRDefault="0035054F" w:rsidP="007E4DEC">
      <w:pPr>
        <w:spacing w:after="160" w:line="346" w:lineRule="auto"/>
        <w:ind w:firstLine="567"/>
        <w:jc w:val="both"/>
      </w:pPr>
      <w:r w:rsidRPr="00E345B2">
        <w:t xml:space="preserve">Ազդող </w:t>
      </w:r>
      <w:r>
        <w:t>եւ</w:t>
      </w:r>
      <w:r w:rsidRPr="00E345B2">
        <w:t xml:space="preserve"> անհրաժեշտության դեպքում օժանդակ նյութերի պարունակությունը որոշելու համար առաջարկվում է կիրառել ֆիզիկաքիմիական (ԲԱՀՔ, ԳՔ, սպեկտրալուսաչափություն), քիմիական (տիտրաչափական), մանրէաբանական </w:t>
      </w:r>
      <w:r>
        <w:t>եւ</w:t>
      </w:r>
      <w:r w:rsidRPr="00E345B2">
        <w:t xml:space="preserve"> այլ մեթոդներ, որոնք ներկայացված են անասնաբուժական դեղամիջոցի վերաբերյալ համապատասխան նորմատիվ փաստաթղթում կամ մասնավոր դեղագրքային հոդվածում։</w:t>
      </w:r>
    </w:p>
    <w:p w14:paraId="79C0C4B5" w14:textId="77777777" w:rsidR="0035054F" w:rsidRPr="00E345B2" w:rsidRDefault="0035054F" w:rsidP="007E4DEC">
      <w:pPr>
        <w:spacing w:after="160" w:line="346" w:lineRule="auto"/>
        <w:ind w:firstLine="567"/>
        <w:jc w:val="both"/>
      </w:pPr>
      <w:r w:rsidRPr="00E345B2">
        <w:t>Եթե անասնաբուժական դեղամիջոցի վերաբերյալ նորմատիվ փաստաթղթում կամ մասնավոր դեղագրքային հոդվածում այլ բան նշված չէ, որոշվող նյութերի պարունակությունն արտահայտում են զանգվածի, զանգվածածավալային միավորներով կամ ակտիվության միավորներով՝ չդեղաչափված դեղաձ</w:t>
      </w:r>
      <w:r>
        <w:t>եւ</w:t>
      </w:r>
      <w:r w:rsidRPr="00E345B2">
        <w:t>երի համար, կամ զանգվածի, զանգվածածավալային միավորներով կամ ակտիվության միավորներով՝ մեկ դեղաչափով՝ դեղաչափված դեղաձ</w:t>
      </w:r>
      <w:r>
        <w:t>եւ</w:t>
      </w:r>
      <w:r w:rsidRPr="00E345B2">
        <w:t>երի համար։</w:t>
      </w:r>
    </w:p>
    <w:p w14:paraId="73474A5D" w14:textId="77777777" w:rsidR="0035054F" w:rsidRPr="004A289F" w:rsidRDefault="0035054F" w:rsidP="004A289F">
      <w:pPr>
        <w:spacing w:after="160" w:line="360" w:lineRule="auto"/>
        <w:ind w:firstLine="567"/>
        <w:jc w:val="both"/>
        <w:rPr>
          <w:b/>
        </w:rPr>
      </w:pPr>
      <w:r w:rsidRPr="004A289F">
        <w:rPr>
          <w:b/>
        </w:rPr>
        <w:lastRenderedPageBreak/>
        <w:t>ՓԱԹԵԹՎԱԾՔԸ</w:t>
      </w:r>
    </w:p>
    <w:p w14:paraId="10FCC04F" w14:textId="77777777" w:rsidR="0035054F" w:rsidRPr="00E345B2" w:rsidRDefault="0035054F" w:rsidP="004A289F">
      <w:pPr>
        <w:spacing w:after="160" w:line="360" w:lineRule="auto"/>
        <w:ind w:firstLine="567"/>
        <w:jc w:val="both"/>
      </w:pPr>
      <w:r w:rsidRPr="00E345B2">
        <w:t>Փաթեթվածքը պետք է ապահովի պահպանման նշված պայմաններում, սահմանված պիտանիության ժամկետի ընթացքում դեղապատրաստուկի որակը։</w:t>
      </w:r>
    </w:p>
    <w:p w14:paraId="4B6A472D" w14:textId="77777777" w:rsidR="0035054F" w:rsidRPr="00E345B2" w:rsidRDefault="0035054F" w:rsidP="004A289F">
      <w:pPr>
        <w:spacing w:after="160" w:line="360" w:lineRule="auto"/>
        <w:ind w:firstLine="567"/>
        <w:jc w:val="both"/>
      </w:pPr>
      <w:r w:rsidRPr="00E345B2">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դեղաձ</w:t>
      </w:r>
      <w:r>
        <w:t>եւ</w:t>
      </w:r>
      <w:r w:rsidRPr="00E345B2">
        <w:t>ի ներմուծման ուղին։</w:t>
      </w:r>
    </w:p>
    <w:p w14:paraId="47397731" w14:textId="77777777" w:rsidR="0035054F" w:rsidRPr="00E345B2" w:rsidRDefault="0035054F" w:rsidP="004A289F">
      <w:pPr>
        <w:spacing w:after="160" w:line="360" w:lineRule="auto"/>
        <w:ind w:firstLine="567"/>
        <w:jc w:val="both"/>
      </w:pPr>
      <w:r w:rsidRPr="00D03E8B">
        <w:rPr>
          <w:spacing w:val="-4"/>
        </w:rPr>
        <w:t>Բազմադեղաչափ կոնտեյներով թողարկվելու դեպքում պատրաստուկը պետք է պարունակի համապատասխան կոնցենտրացիայով համապատասխան կոնսերվանտներ</w:t>
      </w:r>
      <w:r w:rsidRPr="00E345B2">
        <w:t>՝ բացառությամբ այն դեպքերի, երբ հենց պատրաստուկն է օժտված բավարար հակամանրէային հատկություններով։</w:t>
      </w:r>
    </w:p>
    <w:p w14:paraId="029E7795" w14:textId="77777777" w:rsidR="0035054F" w:rsidRPr="00E345B2" w:rsidRDefault="0035054F" w:rsidP="004A289F">
      <w:pPr>
        <w:spacing w:after="160" w:line="360" w:lineRule="auto"/>
        <w:ind w:firstLine="567"/>
        <w:jc w:val="both"/>
      </w:pPr>
      <w:r w:rsidRPr="00E345B2">
        <w:t>Փափուկ դեղաձ</w:t>
      </w:r>
      <w:r>
        <w:t>եւ</w:t>
      </w:r>
      <w:r w:rsidRPr="00E345B2">
        <w:t>երով ներքին ընդունման անասնաբուժական դեղապատրաստուկները պահում</w:t>
      </w:r>
      <w:r>
        <w:t xml:space="preserve"> </w:t>
      </w:r>
      <w:r w:rsidRPr="00E345B2">
        <w:t>են հերմետիկ փաթեթվածքում։</w:t>
      </w:r>
    </w:p>
    <w:p w14:paraId="145E4E5F" w14:textId="77777777" w:rsidR="007E4DEC" w:rsidRPr="00B5542D" w:rsidRDefault="007E4DEC" w:rsidP="004A289F">
      <w:pPr>
        <w:spacing w:after="160" w:line="360" w:lineRule="auto"/>
        <w:ind w:firstLine="567"/>
        <w:jc w:val="both"/>
        <w:rPr>
          <w:b/>
        </w:rPr>
      </w:pPr>
    </w:p>
    <w:p w14:paraId="00F151AF" w14:textId="77777777" w:rsidR="0035054F" w:rsidRPr="004A289F" w:rsidRDefault="0035054F" w:rsidP="004A289F">
      <w:pPr>
        <w:spacing w:after="160" w:line="360" w:lineRule="auto"/>
        <w:ind w:firstLine="567"/>
        <w:jc w:val="both"/>
        <w:rPr>
          <w:b/>
        </w:rPr>
      </w:pPr>
      <w:r w:rsidRPr="004A289F">
        <w:rPr>
          <w:b/>
        </w:rPr>
        <w:t>ՄԱԿՆՇՈՒՄԸ</w:t>
      </w:r>
    </w:p>
    <w:p w14:paraId="44D74F69" w14:textId="77777777" w:rsidR="0035054F" w:rsidRPr="00E345B2" w:rsidRDefault="0035054F" w:rsidP="004A289F">
      <w:pPr>
        <w:spacing w:after="160" w:line="360" w:lineRule="auto"/>
        <w:ind w:firstLine="567"/>
        <w:jc w:val="both"/>
      </w:pPr>
      <w:r w:rsidRPr="00E345B2">
        <w:t>Երկրորդային (սպառողական) փաթեթվածքի վրա նշում են բաղադրության մեջ մտնող օժանդակ նյութերը, եթե անասնաբուժական դեղամիջոցի վերաբերյալ նորմատիվ փաստաթղթում կամ մասնավոր դեղագրքային հոդվածում այլ ցուցումներ չկան։</w:t>
      </w:r>
    </w:p>
    <w:p w14:paraId="130E48C3" w14:textId="77777777" w:rsidR="0035054F" w:rsidRPr="00E345B2" w:rsidRDefault="0035054F" w:rsidP="004A289F">
      <w:pPr>
        <w:spacing w:after="160" w:line="360" w:lineRule="auto"/>
        <w:ind w:firstLine="567"/>
        <w:jc w:val="both"/>
      </w:pPr>
      <w:r w:rsidRPr="00E345B2">
        <w:t>Բազմադեղաչափ դեղաձ</w:t>
      </w:r>
      <w:r>
        <w:t>եւ</w:t>
      </w:r>
      <w:r w:rsidRPr="00E345B2">
        <w:t>երի համար նշում են առաջին անգամ բացելուց հետո դեղապատրաստուկի պահպանման ժամկետը։</w:t>
      </w:r>
    </w:p>
    <w:p w14:paraId="260A2913" w14:textId="77777777" w:rsidR="0035054F" w:rsidRPr="00E345B2" w:rsidRDefault="0035054F" w:rsidP="004A289F">
      <w:pPr>
        <w:spacing w:after="160" w:line="360" w:lineRule="auto"/>
        <w:ind w:firstLine="567"/>
        <w:jc w:val="both"/>
      </w:pPr>
      <w:r w:rsidRPr="00E345B2">
        <w:t>Միադեղաչափ դեղաձ</w:t>
      </w:r>
      <w:r>
        <w:t>եւ</w:t>
      </w:r>
      <w:r w:rsidRPr="00E345B2">
        <w:t xml:space="preserve">երի համար նշում են ազդող նյութերի անվանումը </w:t>
      </w:r>
      <w:r>
        <w:t>եւ</w:t>
      </w:r>
      <w:r w:rsidRPr="00E345B2">
        <w:t xml:space="preserve"> մեկ դեղաչափի մեջ դրանց պարունակությունը, բազմադեղաչափ դեղաձ</w:t>
      </w:r>
      <w:r>
        <w:t>եւ</w:t>
      </w:r>
      <w:r w:rsidRPr="00E345B2">
        <w:t>երի համար՝ մեկ դեղաչափի մեջ ազդող նյութերի պարունակությունը՝ նշելով փաթեթվածքի մեջ դեղաչափերի քանակը։</w:t>
      </w:r>
    </w:p>
    <w:p w14:paraId="6ED67546" w14:textId="77777777" w:rsidR="0035054F" w:rsidRPr="00E345B2" w:rsidRDefault="0035054F" w:rsidP="004A289F">
      <w:pPr>
        <w:spacing w:after="160" w:line="360" w:lineRule="auto"/>
        <w:ind w:firstLine="567"/>
        <w:jc w:val="both"/>
      </w:pPr>
      <w:r w:rsidRPr="00E345B2">
        <w:t>Չդոզավորված դեղաձ</w:t>
      </w:r>
      <w:r>
        <w:t>եւ</w:t>
      </w:r>
      <w:r w:rsidRPr="00E345B2">
        <w:t xml:space="preserve">երի համար ներկայացնում են ազդող նյութերի անվանումը </w:t>
      </w:r>
      <w:r>
        <w:t>եւ</w:t>
      </w:r>
      <w:r w:rsidRPr="00E345B2">
        <w:t xml:space="preserve"> դեղապատրաստուկի որոշակի զանգվածի մեջ դրանց քանակը։</w:t>
      </w:r>
    </w:p>
    <w:p w14:paraId="345DE130" w14:textId="77777777" w:rsidR="0035054F" w:rsidRPr="00E345B2" w:rsidRDefault="0035054F" w:rsidP="004A289F">
      <w:pPr>
        <w:spacing w:after="160" w:line="360" w:lineRule="auto"/>
        <w:ind w:firstLine="567"/>
        <w:jc w:val="both"/>
      </w:pPr>
      <w:r w:rsidRPr="00E345B2">
        <w:lastRenderedPageBreak/>
        <w:t>Անհրաժեշտության դեպքում պետք է լինեն նախազգուշացնող գրառումներ՝ պատրաստուկի դեղաձ</w:t>
      </w:r>
      <w:r>
        <w:t>եւ</w:t>
      </w:r>
      <w:r w:rsidRPr="00E345B2">
        <w:t xml:space="preserve">ով </w:t>
      </w:r>
      <w:r>
        <w:t>եւ</w:t>
      </w:r>
      <w:r w:rsidRPr="00E345B2">
        <w:t xml:space="preserve"> փաթեթվածքի տեսակով պայմանավորված։</w:t>
      </w:r>
    </w:p>
    <w:p w14:paraId="1094B180" w14:textId="77777777" w:rsidR="0035054F" w:rsidRPr="00E345B2" w:rsidRDefault="0035054F" w:rsidP="004A289F">
      <w:pPr>
        <w:spacing w:after="160" w:line="360" w:lineRule="auto"/>
        <w:ind w:firstLine="567"/>
        <w:jc w:val="both"/>
      </w:pPr>
    </w:p>
    <w:p w14:paraId="336A44C8" w14:textId="77777777" w:rsidR="0035054F" w:rsidRPr="004A289F" w:rsidRDefault="0035054F" w:rsidP="004A289F">
      <w:pPr>
        <w:spacing w:after="160" w:line="360" w:lineRule="auto"/>
        <w:ind w:firstLine="567"/>
        <w:jc w:val="both"/>
        <w:rPr>
          <w:b/>
        </w:rPr>
      </w:pPr>
      <w:r w:rsidRPr="004A289F">
        <w:rPr>
          <w:b/>
        </w:rPr>
        <w:t>ՊԱՀՊԱՆՈՒՄԸ</w:t>
      </w:r>
    </w:p>
    <w:p w14:paraId="0EDD78DD" w14:textId="77777777" w:rsidR="0035054F" w:rsidRPr="00E345B2" w:rsidRDefault="0035054F" w:rsidP="004A289F">
      <w:pPr>
        <w:spacing w:after="160" w:line="360" w:lineRule="auto"/>
        <w:ind w:firstLine="567"/>
        <w:jc w:val="both"/>
      </w:pPr>
      <w:r w:rsidRPr="00E345B2">
        <w:t>Պահպանման պայմանները պետք է ապահովեն նշված տեսակի փաթեթվածքով, ողջ սահմանված պիտանիության ժամկետի ընթացքում դեղապատրաստուկի կայունությունը։</w:t>
      </w:r>
    </w:p>
    <w:p w14:paraId="61725F58" w14:textId="77777777" w:rsidR="0035054F" w:rsidRPr="00E345B2" w:rsidRDefault="0035054F" w:rsidP="004A289F">
      <w:pPr>
        <w:spacing w:after="160" w:line="360" w:lineRule="auto"/>
        <w:ind w:firstLine="567"/>
        <w:jc w:val="both"/>
      </w:pPr>
      <w:r w:rsidRPr="00E345B2">
        <w:t>Եթե թույլատրվում է պատրաստուկի պահպանումը ներմուծումների միջ</w:t>
      </w:r>
      <w:r>
        <w:t>եւ</w:t>
      </w:r>
      <w:r w:rsidRPr="00E345B2">
        <w:t>, պետք է ձեռնարկվեն դրա մանրէային կոնտամինացիան կանխող միջոցներ։</w:t>
      </w:r>
    </w:p>
    <w:p w14:paraId="7BC0A17C" w14:textId="77777777" w:rsidR="0035054F" w:rsidRPr="00E345B2" w:rsidRDefault="0035054F" w:rsidP="004A289F">
      <w:pPr>
        <w:spacing w:after="160" w:line="360" w:lineRule="auto"/>
        <w:ind w:firstLine="567"/>
        <w:jc w:val="both"/>
      </w:pPr>
      <w:r w:rsidRPr="00E345B2">
        <w:t>Պահպանման պայմաններին ներկայացվող պահանջները բերվում են մասնավոր դեղագրքային հոդվածում կամ անասնաբուժական դեղամիջոցի վերաբերյալ նորմատիվ փաստաթղթում։</w:t>
      </w:r>
    </w:p>
    <w:p w14:paraId="28000F2E" w14:textId="77777777" w:rsidR="007E4DEC" w:rsidRPr="00B5542D" w:rsidRDefault="007E4DEC" w:rsidP="004A289F">
      <w:pPr>
        <w:spacing w:after="160" w:line="360" w:lineRule="auto"/>
        <w:ind w:firstLine="567"/>
        <w:jc w:val="right"/>
        <w:rPr>
          <w:b/>
          <w:sz w:val="20"/>
        </w:rPr>
      </w:pPr>
    </w:p>
    <w:p w14:paraId="25531860" w14:textId="77777777" w:rsidR="0035054F" w:rsidRPr="00B5542D" w:rsidRDefault="0035054F" w:rsidP="004A289F">
      <w:pPr>
        <w:spacing w:after="160" w:line="360" w:lineRule="auto"/>
        <w:ind w:firstLine="567"/>
        <w:jc w:val="right"/>
        <w:rPr>
          <w:b/>
          <w:sz w:val="20"/>
        </w:rPr>
      </w:pPr>
      <w:r w:rsidRPr="004A289F">
        <w:rPr>
          <w:b/>
          <w:sz w:val="20"/>
        </w:rPr>
        <w:t>205040004-2022</w:t>
      </w:r>
    </w:p>
    <w:p w14:paraId="7FDAEB58" w14:textId="77777777" w:rsidR="004A289F" w:rsidRPr="00B5542D" w:rsidRDefault="004A289F" w:rsidP="004A289F">
      <w:pPr>
        <w:spacing w:after="160" w:line="360" w:lineRule="auto"/>
        <w:ind w:firstLine="567"/>
        <w:jc w:val="both"/>
        <w:rPr>
          <w:b/>
        </w:rPr>
      </w:pPr>
    </w:p>
    <w:p w14:paraId="0C839252" w14:textId="77777777" w:rsidR="0035054F" w:rsidRPr="004A289F" w:rsidRDefault="0035054F" w:rsidP="004A289F">
      <w:pPr>
        <w:tabs>
          <w:tab w:val="left" w:pos="1701"/>
        </w:tabs>
        <w:spacing w:after="160" w:line="360" w:lineRule="auto"/>
        <w:ind w:firstLine="567"/>
        <w:jc w:val="both"/>
        <w:rPr>
          <w:b/>
        </w:rPr>
      </w:pPr>
      <w:r w:rsidRPr="004A289F">
        <w:rPr>
          <w:b/>
        </w:rPr>
        <w:t>2.5.4.4.</w:t>
      </w:r>
      <w:r w:rsidR="004A289F" w:rsidRPr="00B5542D">
        <w:rPr>
          <w:b/>
        </w:rPr>
        <w:tab/>
      </w:r>
      <w:r w:rsidRPr="004A289F">
        <w:rPr>
          <w:b/>
        </w:rPr>
        <w:t>Ներցիստերնալ անասնաբուժական դեղապատրաստուկները</w:t>
      </w:r>
    </w:p>
    <w:p w14:paraId="2E91174D" w14:textId="77777777" w:rsidR="0035054F" w:rsidRPr="00E345B2" w:rsidRDefault="0035054F" w:rsidP="004A289F">
      <w:pPr>
        <w:spacing w:after="160" w:line="360" w:lineRule="auto"/>
        <w:ind w:firstLine="567"/>
        <w:jc w:val="both"/>
      </w:pPr>
      <w:r w:rsidRPr="007E4DEC">
        <w:rPr>
          <w:spacing w:val="-4"/>
        </w:rPr>
        <w:t>Ներցիստերնալ անասնաբուժական դեղապատրաստուկները պարունակում են համապատասխան կրիչի կամ հիմքի մեջ մեկ կամ մի քանի ազդող նյութեր, դրանք պետք է լինեն մանրէազերծ, նախատեսված են պտուկի անցքի միջով կաթնագեղձի</w:t>
      </w:r>
      <w:r w:rsidRPr="00E345B2">
        <w:t xml:space="preserve"> մեջ ներմուծման համար՝ բուժիչ-կանխարգելիչ տեղային ազդեցության հասնելու նպատակով։</w:t>
      </w:r>
      <w:r>
        <w:t xml:space="preserve"> </w:t>
      </w:r>
    </w:p>
    <w:p w14:paraId="0F37B1B4" w14:textId="77777777" w:rsidR="0035054F" w:rsidRPr="00E345B2" w:rsidRDefault="0035054F" w:rsidP="004A289F">
      <w:pPr>
        <w:spacing w:after="160" w:line="360" w:lineRule="auto"/>
        <w:ind w:firstLine="567"/>
        <w:jc w:val="both"/>
      </w:pPr>
      <w:r w:rsidRPr="00E345B2">
        <w:t>Ներցիստերնալ անասնաբուժական դեղապատրաստուկները կարող են լինել հեղուկ (ներցիստերնալ ներմուծման լուծույթներ, ներցիստերնալ ներմուծման էմուլսիաներ, ներցիստերնալ ներմուծման կախույթներ) կամ փափուկ (ներցիստերնալ կիրառման քսուքներ, ներցիստերնալ կիրառման դոնդողներ, ներցիստերնալ ներմուծման նրբաքսուքներ) դեղաձ</w:t>
      </w:r>
      <w:r>
        <w:t>եւ</w:t>
      </w:r>
      <w:r w:rsidRPr="00E345B2">
        <w:t>երով։</w:t>
      </w:r>
    </w:p>
    <w:p w14:paraId="66A8F9DD" w14:textId="77777777" w:rsidR="0035054F" w:rsidRPr="00E345B2" w:rsidRDefault="0035054F" w:rsidP="004A289F">
      <w:pPr>
        <w:spacing w:after="160" w:line="360" w:lineRule="auto"/>
        <w:ind w:firstLine="567"/>
        <w:jc w:val="both"/>
      </w:pPr>
      <w:r w:rsidRPr="00D03E8B">
        <w:rPr>
          <w:spacing w:val="-4"/>
        </w:rPr>
        <w:lastRenderedPageBreak/>
        <w:t>Ներցիստերնալ անասնաբուժական դեղապատրաստուկները նախատեսված են կաթնադադարի ժամանակահատվածում կամ լակտացիայի ժամանակահատվածում խոշոր եւ մանր եղջերավոր անասունների մաստիտի բուժման համար</w:t>
      </w:r>
      <w:r w:rsidRPr="00E345B2">
        <w:t>։</w:t>
      </w:r>
    </w:p>
    <w:p w14:paraId="7B868B51" w14:textId="77777777" w:rsidR="0035054F" w:rsidRPr="00E345B2" w:rsidRDefault="0035054F" w:rsidP="004A289F">
      <w:pPr>
        <w:spacing w:after="160" w:line="360" w:lineRule="auto"/>
        <w:ind w:firstLine="567"/>
        <w:jc w:val="both"/>
      </w:pPr>
    </w:p>
    <w:p w14:paraId="739BA22D" w14:textId="77777777" w:rsidR="0035054F" w:rsidRPr="004A289F" w:rsidRDefault="0035054F" w:rsidP="004A289F">
      <w:pPr>
        <w:spacing w:after="160" w:line="360" w:lineRule="auto"/>
        <w:ind w:firstLine="567"/>
        <w:jc w:val="both"/>
        <w:rPr>
          <w:b/>
        </w:rPr>
      </w:pPr>
      <w:r w:rsidRPr="004A289F">
        <w:rPr>
          <w:b/>
        </w:rPr>
        <w:t>ՏԵԽՆՈԼՈԳԻԱՅԻ ԱՌԱՆՁՆԱՀԱՏԿՈՒԹՅՈՒՆՆԵՐԸ</w:t>
      </w:r>
    </w:p>
    <w:p w14:paraId="34A98D03" w14:textId="77777777" w:rsidR="0035054F" w:rsidRPr="00E345B2" w:rsidRDefault="0035054F" w:rsidP="004A289F">
      <w:pPr>
        <w:spacing w:after="160" w:line="360" w:lineRule="auto"/>
        <w:ind w:firstLine="567"/>
        <w:jc w:val="both"/>
      </w:pPr>
      <w:r w:rsidRPr="00E345B2">
        <w:t xml:space="preserve">Ներցիստերնալ անասնաբուժական դեղապատրաստուկների արտադրության տեխնոլոգիան պետք է ապահովի կրիչի կամ հիմքի մեջ ազդող նյութի (նյութերի) առավելագույն դիսպերսումը </w:t>
      </w:r>
      <w:r>
        <w:t>եւ</w:t>
      </w:r>
      <w:r w:rsidRPr="00E345B2">
        <w:t xml:space="preserve"> հավասարաչափ բաշխումը, ինչպես նա</w:t>
      </w:r>
      <w:r>
        <w:t>եւ</w:t>
      </w:r>
      <w:r w:rsidRPr="00E345B2">
        <w:t xml:space="preserve"> պահպանման ընթացքում դեղաձ</w:t>
      </w:r>
      <w:r>
        <w:t>եւ</w:t>
      </w:r>
      <w:r w:rsidRPr="00E345B2">
        <w:t>ի կայունությունը։</w:t>
      </w:r>
    </w:p>
    <w:p w14:paraId="67937EE2" w14:textId="77777777" w:rsidR="0035054F" w:rsidRPr="00E345B2" w:rsidRDefault="0035054F" w:rsidP="004A289F">
      <w:pPr>
        <w:spacing w:after="160" w:line="360" w:lineRule="auto"/>
        <w:ind w:firstLine="567"/>
        <w:jc w:val="both"/>
      </w:pPr>
      <w:r w:rsidRPr="00E345B2">
        <w:t>Կրիչը կամ հիմքը հարկավոր է ընտրել՝ հաշվի առնելով դեղամիջոցի նշանակությունը, արդյունավետությունը, անվտանգությունը, ազդող նյութերի կենսամատչելիությունը, բաղադրիչների համատեղելիությունը, ռեոլոգիական հատկությունները, պիտանիության ժամկետի ընթացքում դեղաձ</w:t>
      </w:r>
      <w:r>
        <w:t>եւ</w:t>
      </w:r>
      <w:r w:rsidRPr="00E345B2">
        <w:t xml:space="preserve">ի կայունությունը։ Քսուքների, դոնդողների </w:t>
      </w:r>
      <w:r>
        <w:t>եւ</w:t>
      </w:r>
      <w:r w:rsidRPr="00E345B2">
        <w:t xml:space="preserve"> նրբաքսուքների կոնսիստենցիան պետք է ապահովի պտուկի անցքի միջով կաթնագեղձի մեջ ներմուծման դյուրինությունը։</w:t>
      </w:r>
    </w:p>
    <w:p w14:paraId="2077994B" w14:textId="77777777" w:rsidR="0035054F" w:rsidRPr="00E345B2" w:rsidRDefault="0035054F" w:rsidP="004A289F">
      <w:pPr>
        <w:spacing w:after="160" w:line="360" w:lineRule="auto"/>
        <w:ind w:firstLine="567"/>
        <w:jc w:val="both"/>
      </w:pPr>
      <w:r w:rsidRPr="00E345B2">
        <w:t xml:space="preserve">Օժանդակ նյութերը (կոնսերվանտները, հակաօքսիդանտները, կայունացուցիչները, էմուլսարարները, թանձրացուցիչները </w:t>
      </w:r>
      <w:r>
        <w:t>եւ</w:t>
      </w:r>
      <w:r w:rsidRPr="00E345B2">
        <w:t xml:space="preserve"> այլն) պետք է լինեն դեղագործական տեսանկյունից համատեղելի, ապահովեն դեղաձ</w:t>
      </w:r>
      <w:r>
        <w:t>եւ</w:t>
      </w:r>
      <w:r w:rsidRPr="00E345B2">
        <w:t xml:space="preserve">ի օպտիմալ տեխնոլոգիական բնութագրերը </w:t>
      </w:r>
      <w:r>
        <w:t>եւ</w:t>
      </w:r>
      <w:r w:rsidRPr="00E345B2">
        <w:t xml:space="preserve"> կիրառվող կոնցենտրացիաներով անցանկալի տեղային ազդեցություն չպետք է թողնեն։</w:t>
      </w:r>
    </w:p>
    <w:p w14:paraId="27408905" w14:textId="77777777" w:rsidR="0035054F" w:rsidRPr="00E345B2" w:rsidRDefault="0035054F" w:rsidP="004A289F">
      <w:pPr>
        <w:spacing w:after="160" w:line="360" w:lineRule="auto"/>
        <w:ind w:firstLine="567"/>
        <w:jc w:val="both"/>
      </w:pPr>
      <w:r w:rsidRPr="007B145C">
        <w:rPr>
          <w:spacing w:val="-4"/>
        </w:rPr>
        <w:t>Պատրաստուկների բաղադրության մեջ մտնող կոնսերվանտների արդյունավետության գնահատման մեթոդիկան եւ չափորոշիչները ներկայացված են «</w:t>
      </w:r>
      <w:r w:rsidRPr="007B145C">
        <w:rPr>
          <w:i/>
          <w:spacing w:val="-4"/>
        </w:rPr>
        <w:t>2.3.1.1. Հակամանրէային կոնսերվանտների արդյունավետությունը»</w:t>
      </w:r>
      <w:r w:rsidRPr="007B145C">
        <w:rPr>
          <w:spacing w:val="-4"/>
        </w:rPr>
        <w:t xml:space="preserve"> ընդհանուր դեղագրքային</w:t>
      </w:r>
      <w:r w:rsidRPr="00E345B2">
        <w:t xml:space="preserve"> հոդվածում։</w:t>
      </w:r>
    </w:p>
    <w:p w14:paraId="71D55630" w14:textId="77777777" w:rsidR="0035054F" w:rsidRPr="00E345B2" w:rsidRDefault="0035054F" w:rsidP="004A289F">
      <w:pPr>
        <w:spacing w:after="160" w:line="360" w:lineRule="auto"/>
        <w:ind w:firstLine="567"/>
        <w:jc w:val="both"/>
      </w:pPr>
      <w:r w:rsidRPr="00E345B2">
        <w:t xml:space="preserve">Ներցիստերնալ անասնաբուժական դեղապատրաստուկների արտադրության տեխնոլոգիայի առանձնահատկությունները ներկայացված են </w:t>
      </w:r>
      <w:r w:rsidRPr="00E345B2">
        <w:lastRenderedPageBreak/>
        <w:t>դեղաձ</w:t>
      </w:r>
      <w:r>
        <w:t>եւ</w:t>
      </w:r>
      <w:r w:rsidRPr="00E345B2">
        <w:t>երի տարբեր տեսակներին առնչվող ընդհանուր դեղագրքային հոդվածներում՝</w:t>
      </w:r>
    </w:p>
    <w:p w14:paraId="20585352"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ներցիստերնալ ներմուծման լուծույթներ՝ </w:t>
      </w:r>
      <w:r w:rsidRPr="00D03E8B">
        <w:rPr>
          <w:i/>
        </w:rPr>
        <w:t>«2.5.1.25. Լուծույթները»</w:t>
      </w:r>
      <w:r w:rsidRPr="00E345B2">
        <w:t xml:space="preserve"> ընդհանուր դեղագրքային հոդված.</w:t>
      </w:r>
    </w:p>
    <w:p w14:paraId="77812935"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ներցիստերնալ ներմուծման էմուլսիաներ՝ </w:t>
      </w:r>
      <w:r w:rsidRPr="00D03E8B">
        <w:rPr>
          <w:i/>
        </w:rPr>
        <w:t>«2.5.1.39. Էմուլսիաները»</w:t>
      </w:r>
      <w:r w:rsidRPr="00E345B2">
        <w:t xml:space="preserve"> ընդհանուր դեղագրքային հոդված.</w:t>
      </w:r>
    </w:p>
    <w:p w14:paraId="3116CDD7"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 xml:space="preserve">ներցիստերնալ ներմուծման կախույթներ՝ </w:t>
      </w:r>
      <w:r w:rsidRPr="00D03E8B">
        <w:rPr>
          <w:i/>
        </w:rPr>
        <w:t>«2.5.1.33. Կախույթները»</w:t>
      </w:r>
      <w:r w:rsidRPr="00E345B2">
        <w:t xml:space="preserve"> ընդհանուր դեղագրքային հոդված.</w:t>
      </w:r>
    </w:p>
    <w:p w14:paraId="52E3870C"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 xml:space="preserve">ներցիստերնալ կիրառման քսուքներ, ներցիստերնալ կիրառման դոնդողներ </w:t>
      </w:r>
      <w:r>
        <w:t>եւ</w:t>
      </w:r>
      <w:r w:rsidRPr="00E345B2">
        <w:t xml:space="preserve"> ներցիստերնալ ներմուծման նրբաքսուքներ՝ </w:t>
      </w:r>
      <w:r w:rsidRPr="00D03E8B">
        <w:rPr>
          <w:i/>
        </w:rPr>
        <w:t>«2.5.1.40. Փափուկ դեղաձեւերը»</w:t>
      </w:r>
      <w:r w:rsidRPr="00E345B2">
        <w:t xml:space="preserve"> ընդհանուր դեղագրքային հոդված։</w:t>
      </w:r>
    </w:p>
    <w:p w14:paraId="7DC0BE4F" w14:textId="77777777" w:rsidR="0035054F" w:rsidRPr="00E345B2" w:rsidRDefault="0035054F" w:rsidP="004A289F">
      <w:pPr>
        <w:spacing w:after="160" w:line="360" w:lineRule="auto"/>
        <w:ind w:firstLine="567"/>
        <w:jc w:val="both"/>
      </w:pPr>
      <w:r w:rsidRPr="00E345B2">
        <w:t xml:space="preserve">Ներցիստերնալ անասնաբուժական դեղապատրաստուկների արտադրման, փաթեթավորման </w:t>
      </w:r>
      <w:r>
        <w:t>եւ</w:t>
      </w:r>
      <w:r w:rsidRPr="00E345B2">
        <w:t xml:space="preserve"> պահպանման ժամանակ ձեռնարկվում են դրանց մանրէազերծությունն ապահովող </w:t>
      </w:r>
      <w:r>
        <w:t>եւ</w:t>
      </w:r>
      <w:r w:rsidRPr="00E345B2">
        <w:t xml:space="preserve"> մանրէային կոնտամինացիան ու միկրոօրգանիզմների աճի հնարավորությունը բացառող միջոցներ՝ </w:t>
      </w:r>
      <w:r w:rsidRPr="00D03E8B">
        <w:rPr>
          <w:i/>
        </w:rPr>
        <w:t>«2.1.6.1. Մանրէազերծությունը»</w:t>
      </w:r>
      <w:r w:rsidRPr="00E345B2">
        <w:t xml:space="preserve"> ընդհանուր դեղագրքային հոդվածին համապատասխան։</w:t>
      </w:r>
    </w:p>
    <w:p w14:paraId="6651CC91" w14:textId="77777777" w:rsidR="0035054F" w:rsidRPr="00E345B2" w:rsidRDefault="0035054F" w:rsidP="004A289F">
      <w:pPr>
        <w:spacing w:after="160" w:line="360" w:lineRule="auto"/>
        <w:ind w:firstLine="567"/>
        <w:jc w:val="both"/>
      </w:pPr>
    </w:p>
    <w:p w14:paraId="6B21B7DB" w14:textId="77777777" w:rsidR="0035054F" w:rsidRPr="004A289F" w:rsidRDefault="0035054F" w:rsidP="004A289F">
      <w:pPr>
        <w:spacing w:after="160" w:line="360" w:lineRule="auto"/>
        <w:ind w:firstLine="567"/>
        <w:jc w:val="both"/>
        <w:rPr>
          <w:b/>
        </w:rPr>
      </w:pPr>
      <w:r w:rsidRPr="004A289F">
        <w:rPr>
          <w:b/>
        </w:rPr>
        <w:t>ՓՈՐՁԱՐԿՈՒՄՆԵՐԸ</w:t>
      </w:r>
    </w:p>
    <w:p w14:paraId="07973CF4" w14:textId="77777777" w:rsidR="0035054F" w:rsidRPr="00E345B2" w:rsidRDefault="0035054F" w:rsidP="004A289F">
      <w:pPr>
        <w:spacing w:after="160" w:line="360" w:lineRule="auto"/>
        <w:ind w:firstLine="567"/>
        <w:jc w:val="both"/>
      </w:pPr>
      <w:r w:rsidRPr="00E345B2">
        <w:t>Ներցիստերնալ անասնաբուժական դեղապատրաստուկները պետք է բավարարեն դեղաձ</w:t>
      </w:r>
      <w:r>
        <w:t>եւ</w:t>
      </w:r>
      <w:r w:rsidRPr="00E345B2">
        <w:t xml:space="preserve">երին </w:t>
      </w:r>
      <w:r>
        <w:t>եւ</w:t>
      </w:r>
      <w:r w:rsidRPr="00E345B2">
        <w:t xml:space="preserve"> դրանց անալիզի մեթոդներին առնչվող համապատասխան ընդհանուր դեղագրքային հոդվածների պահանջները։</w:t>
      </w:r>
    </w:p>
    <w:p w14:paraId="500A21CC" w14:textId="77777777" w:rsidR="0035054F" w:rsidRPr="00E345B2" w:rsidRDefault="0035054F" w:rsidP="004A289F">
      <w:pPr>
        <w:spacing w:after="160" w:line="360" w:lineRule="auto"/>
        <w:ind w:firstLine="567"/>
        <w:jc w:val="both"/>
      </w:pPr>
      <w:r w:rsidRPr="00E345B2">
        <w:t>Ներցիստերնալ անասնաբուժական դեղապատրաստուկների փափուկ դեղաձ</w:t>
      </w:r>
      <w:r>
        <w:t>եւ</w:t>
      </w:r>
      <w:r w:rsidRPr="00E345B2">
        <w:t>երը (ներցիստերնալ կիրառման քսուքներ, ներցիստերնալ կիրառման դոնդողներ, ներցիստերնալ ներմուծման նրբաքսուքներ) պետք է համապատասխանեն «</w:t>
      </w:r>
      <w:r w:rsidRPr="007B145C">
        <w:rPr>
          <w:i/>
        </w:rPr>
        <w:t>2.5.1.40. Փափուկ դեղաձեւերը</w:t>
      </w:r>
      <w:r w:rsidRPr="00E345B2">
        <w:t>» ընդհանուր դեղագրքային հոդվածի պահանջներին։</w:t>
      </w:r>
    </w:p>
    <w:p w14:paraId="2FBF820D" w14:textId="77777777" w:rsidR="0035054F" w:rsidRPr="00E345B2" w:rsidRDefault="0035054F" w:rsidP="004A289F">
      <w:pPr>
        <w:spacing w:after="160" w:line="360" w:lineRule="auto"/>
        <w:ind w:firstLine="567"/>
        <w:jc w:val="both"/>
      </w:pPr>
      <w:r w:rsidRPr="007B145C">
        <w:rPr>
          <w:spacing w:val="-4"/>
        </w:rPr>
        <w:lastRenderedPageBreak/>
        <w:t>Ներցիստերնալ անասնաբուժական դեղապատրաստուկների համար որոշում են դուրս բերվող ծավալը, ինչպես նաեւ փաթեթվածքի պարունակության զանգվածը</w:t>
      </w:r>
      <w:r w:rsidRPr="00E345B2">
        <w:t xml:space="preserve"> կամ ծավալը՝ </w:t>
      </w:r>
      <w:r w:rsidRPr="00D03E8B">
        <w:rPr>
          <w:i/>
        </w:rPr>
        <w:t xml:space="preserve">«2.1.9.17. Փաթեթվածքի պարունակության զանգվածը (ծավալը)» </w:t>
      </w:r>
      <w:r w:rsidRPr="00E345B2">
        <w:t>ընդհանուր դեղագրքային հոդվածի պահանջներին համապատասխան։</w:t>
      </w:r>
    </w:p>
    <w:p w14:paraId="60ECF8A0" w14:textId="77777777" w:rsidR="0035054F" w:rsidRPr="00E345B2" w:rsidRDefault="0035054F" w:rsidP="004A289F">
      <w:pPr>
        <w:spacing w:after="160" w:line="360" w:lineRule="auto"/>
        <w:ind w:firstLine="567"/>
        <w:jc w:val="both"/>
      </w:pPr>
      <w:r w:rsidRPr="00E345B2">
        <w:t xml:space="preserve">Պատրաստուկների բաղադրության մեջ հակամանրէային կոնսերվանտների ներմուծման ժամանակ պետք է նախատեսվեն դրանց իսկության </w:t>
      </w:r>
      <w:r>
        <w:t>եւ</w:t>
      </w:r>
      <w:r w:rsidRPr="00E345B2">
        <w:t xml:space="preserve"> քանակի որոշման համապատասխան մեթոդներ։ Հակամանրէային կոնսերվանտների արդյունավետության գնահատման չափորոշիչները պետք է համապատասխանեն </w:t>
      </w:r>
      <w:r w:rsidRPr="00D03E8B">
        <w:rPr>
          <w:i/>
        </w:rPr>
        <w:t>«2.3.1.1. Հակամանրէային կոնսերվանտների արդյունավետությունը</w:t>
      </w:r>
      <w:r w:rsidRPr="00E345B2">
        <w:t>» ընդհանուր դեղագրքային հոդվածի պահանջներին։</w:t>
      </w:r>
    </w:p>
    <w:p w14:paraId="7E0AEC09" w14:textId="77777777" w:rsidR="0035054F" w:rsidRPr="00E345B2" w:rsidRDefault="0035054F" w:rsidP="004A289F">
      <w:pPr>
        <w:spacing w:after="160" w:line="360" w:lineRule="auto"/>
        <w:ind w:firstLine="567"/>
        <w:jc w:val="both"/>
      </w:pPr>
      <w:r w:rsidRPr="00E345B2">
        <w:t xml:space="preserve">Ներցիստերնալ անասնաբուժական դեղապատրաստուկները պետք է լինեն մանրէազերծ </w:t>
      </w:r>
      <w:r>
        <w:t>եւ</w:t>
      </w:r>
      <w:r w:rsidRPr="00E345B2">
        <w:t xml:space="preserve"> բավարարեն «</w:t>
      </w:r>
      <w:r w:rsidRPr="00D03E8B">
        <w:rPr>
          <w:i/>
        </w:rPr>
        <w:t>2.1.6.1. Մանրէազերծությունը»</w:t>
      </w:r>
      <w:r w:rsidRPr="00E345B2">
        <w:t xml:space="preserve"> ընդհանուր դեղագրքային հոդվածի պահանջները։</w:t>
      </w:r>
    </w:p>
    <w:p w14:paraId="040E1447" w14:textId="77777777" w:rsidR="0035054F" w:rsidRPr="00E345B2" w:rsidRDefault="0035054F" w:rsidP="004A289F">
      <w:pPr>
        <w:spacing w:after="160" w:line="360" w:lineRule="auto"/>
        <w:ind w:firstLine="567"/>
        <w:jc w:val="both"/>
      </w:pPr>
      <w:r w:rsidRPr="00E345B2">
        <w:t xml:space="preserve">Իսկության փորձարկումները որոշվում են պատրաստուկի բաղադրության մեջ մտնող ազդող նյութերով, ավելի հազվադեպ՝ օժանդակ նյութերով (հակամանրէային կոնսերվանտներով, հակաօքսիդանտներով, կայունացուցիչներով </w:t>
      </w:r>
      <w:r>
        <w:t>եւ</w:t>
      </w:r>
      <w:r w:rsidRPr="00E345B2">
        <w:t xml:space="preserve"> այլն)։ Իսկության գնահատման համար առաջարկվում է անալիզի ֆիզիկաքիմիական (ԲԱՀՔ, ՆՇՔ, ԳՔ </w:t>
      </w:r>
      <w:r>
        <w:t>եւ</w:t>
      </w:r>
      <w:r w:rsidRPr="00E345B2">
        <w:t xml:space="preserve"> այլն) </w:t>
      </w:r>
      <w:r>
        <w:t>եւ</w:t>
      </w:r>
      <w:r w:rsidRPr="00E345B2">
        <w:t xml:space="preserve"> քիմիական մեթոդների համակցությունը։</w:t>
      </w:r>
    </w:p>
    <w:p w14:paraId="2B2C96C6" w14:textId="77777777" w:rsidR="0035054F" w:rsidRPr="00E345B2" w:rsidRDefault="0035054F" w:rsidP="004A289F">
      <w:pPr>
        <w:spacing w:after="160" w:line="360" w:lineRule="auto"/>
        <w:ind w:firstLine="567"/>
        <w:jc w:val="both"/>
      </w:pPr>
      <w:r w:rsidRPr="00E345B2">
        <w:t xml:space="preserve">Ազդող </w:t>
      </w:r>
      <w:r>
        <w:t>եւ</w:t>
      </w:r>
      <w:r w:rsidRPr="00E345B2">
        <w:t xml:space="preserve"> օժանդակ նյութերի պարունակությունը որոշելու համար առաջարկվում է կիրառել ֆիզիկաքիմիական (ԲԱՀՔ, ԳՔ, սպեկտրալուսաչափություն), քիմիական (տիտրաչափական), մանրէաբանական </w:t>
      </w:r>
      <w:r>
        <w:t>եւ</w:t>
      </w:r>
      <w:r w:rsidRPr="00E345B2">
        <w:t xml:space="preserve"> այլ մեթոդներ, որոնք ներկայացված են անասնաբուժական դեղամիջոցի վերաբերյալ համապատասխան նորմատիվ փաստաթղթում կամ մասնավոր դեղագրքային հոդվածում։</w:t>
      </w:r>
    </w:p>
    <w:p w14:paraId="68A0FF7F" w14:textId="77777777" w:rsidR="0035054F" w:rsidRPr="00E345B2" w:rsidRDefault="0035054F" w:rsidP="004A289F">
      <w:pPr>
        <w:spacing w:after="160" w:line="360" w:lineRule="auto"/>
        <w:ind w:firstLine="567"/>
        <w:jc w:val="both"/>
      </w:pPr>
      <w:r w:rsidRPr="00E345B2">
        <w:t xml:space="preserve">Եթե անասնաբուժական դեղամիջոցի վերաբերյալ նորմատիվ փաստաթղթում կամ մասնավոր դեղագրքային հոդվածում այլ բան նշված չէ, որոշվող նյութերի պարունակությունն արտահայտում են զանգվածի, զանգվածածավալային </w:t>
      </w:r>
      <w:r w:rsidRPr="00E345B2">
        <w:lastRenderedPageBreak/>
        <w:t>միավորներով կամ ակտիվության միավորներով՝ չդեղաչափված դեղաձ</w:t>
      </w:r>
      <w:r>
        <w:t>եւ</w:t>
      </w:r>
      <w:r w:rsidRPr="00E345B2">
        <w:t>երի համար, կամ զանգվածի, զանգվածածավալային միավորներով կամ ակտիվության միավորներով՝ մեկ դեղաչափով՝ դեղաչափված դեղաձ</w:t>
      </w:r>
      <w:r>
        <w:t>եւ</w:t>
      </w:r>
      <w:r w:rsidRPr="00E345B2">
        <w:t>երի համար։</w:t>
      </w:r>
    </w:p>
    <w:p w14:paraId="0376959D" w14:textId="77777777" w:rsidR="0035054F" w:rsidRPr="00E345B2" w:rsidRDefault="0035054F" w:rsidP="004A289F">
      <w:pPr>
        <w:spacing w:after="160" w:line="360" w:lineRule="auto"/>
        <w:ind w:firstLine="567"/>
        <w:jc w:val="both"/>
      </w:pPr>
    </w:p>
    <w:p w14:paraId="77565FC7" w14:textId="77777777" w:rsidR="0035054F" w:rsidRPr="004A289F" w:rsidRDefault="0035054F" w:rsidP="004A289F">
      <w:pPr>
        <w:spacing w:after="160" w:line="360" w:lineRule="auto"/>
        <w:ind w:firstLine="567"/>
        <w:jc w:val="both"/>
        <w:rPr>
          <w:b/>
        </w:rPr>
      </w:pPr>
      <w:r w:rsidRPr="004A289F">
        <w:rPr>
          <w:b/>
        </w:rPr>
        <w:t>ՓԱԹԵԹՎԱԾՔԸ</w:t>
      </w:r>
    </w:p>
    <w:p w14:paraId="47A55AE4" w14:textId="77777777" w:rsidR="0035054F" w:rsidRPr="00E345B2" w:rsidRDefault="0035054F" w:rsidP="004A289F">
      <w:pPr>
        <w:spacing w:after="160" w:line="360" w:lineRule="auto"/>
        <w:ind w:firstLine="567"/>
        <w:jc w:val="both"/>
      </w:pPr>
      <w:r w:rsidRPr="00E345B2">
        <w:t>Փաթեթվածքը պետք է ապահովի անասնաբուժական դեղամիջոցին առնչվող նորմատիվ փաստաթղթում նշված պահպանման պայմաններում, սահմանված պիտանիության ժամկետի ընթացքում դեղապատրաստուկի որակը։</w:t>
      </w:r>
    </w:p>
    <w:p w14:paraId="2D9CB193" w14:textId="77777777" w:rsidR="0035054F" w:rsidRPr="00E345B2" w:rsidRDefault="0035054F" w:rsidP="004A289F">
      <w:pPr>
        <w:spacing w:after="160" w:line="360" w:lineRule="auto"/>
        <w:ind w:firstLine="567"/>
        <w:jc w:val="both"/>
      </w:pPr>
      <w:r w:rsidRPr="00E345B2">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դեղաձ</w:t>
      </w:r>
      <w:r>
        <w:t>եւ</w:t>
      </w:r>
      <w:r w:rsidRPr="00E345B2">
        <w:t>ի ներմուծման ուղին։</w:t>
      </w:r>
    </w:p>
    <w:p w14:paraId="6F551896" w14:textId="77777777" w:rsidR="0035054F" w:rsidRPr="00E345B2" w:rsidRDefault="0035054F" w:rsidP="004A289F">
      <w:pPr>
        <w:spacing w:after="160" w:line="360" w:lineRule="auto"/>
        <w:ind w:firstLine="567"/>
        <w:jc w:val="both"/>
      </w:pPr>
      <w:r w:rsidRPr="00E345B2">
        <w:t>Եթե այլ բան հիմնավորված չէ, ներցիստերնալ անասնաբուժական դեղապատրաստուկները թողարկում են մեկանգամյա կիրառման համար նախատեսված կոնտեյներներով՝ կաթնագեղձի միայն մեկ պտուկի անցքի միջով ներմուծման համար։</w:t>
      </w:r>
    </w:p>
    <w:p w14:paraId="2E9D1792" w14:textId="77777777" w:rsidR="0035054F" w:rsidRPr="00E345B2" w:rsidRDefault="0035054F" w:rsidP="004A289F">
      <w:pPr>
        <w:spacing w:after="160" w:line="360" w:lineRule="auto"/>
        <w:ind w:firstLine="567"/>
        <w:jc w:val="both"/>
      </w:pPr>
      <w:r w:rsidRPr="00D03E8B">
        <w:rPr>
          <w:spacing w:val="-4"/>
        </w:rPr>
        <w:t>Բազմադեղաչափ կոնտեյներով թողարկվելու դեպքում պատրաստուկը պետք է պարունակի համապատասխան կոնցենտրացիայով համապատասխան կոնսերվանտներ</w:t>
      </w:r>
      <w:r w:rsidRPr="00E345B2">
        <w:t>՝ բացառությամբ այն դեպքերի, երբ հենց պատրաստուկն է օժտված բավարար հակամանրէային հատկություններով։ Բազմադեղաչափ կոնտեյներներով ներցիստերնալ անասնաբուժական դեղապատրաստուկները պետք է համալրվեն հատուկ սարքերով (օրինակ՝ պտուկի անցքի մեջ ներմուծման համար մեկանգամյա օգտագործման ծայրապանակներ)՝ կուրծի մանրէային կոնտամինացիան կանխելու համար։</w:t>
      </w:r>
    </w:p>
    <w:p w14:paraId="5B9E173A" w14:textId="77777777" w:rsidR="007B145C" w:rsidRDefault="007B145C">
      <w:r>
        <w:br w:type="page"/>
      </w:r>
    </w:p>
    <w:p w14:paraId="5AEDE815" w14:textId="77777777" w:rsidR="0035054F" w:rsidRPr="004A289F" w:rsidRDefault="0035054F" w:rsidP="004A289F">
      <w:pPr>
        <w:spacing w:after="160" w:line="360" w:lineRule="auto"/>
        <w:ind w:firstLine="567"/>
        <w:jc w:val="both"/>
        <w:rPr>
          <w:b/>
        </w:rPr>
      </w:pPr>
      <w:r w:rsidRPr="004A289F">
        <w:rPr>
          <w:b/>
        </w:rPr>
        <w:lastRenderedPageBreak/>
        <w:t>ՄԱԿՆՇՈՒՄԸ</w:t>
      </w:r>
    </w:p>
    <w:p w14:paraId="73ED4990" w14:textId="77777777" w:rsidR="0035054F" w:rsidRPr="00E345B2" w:rsidRDefault="0035054F" w:rsidP="004A289F">
      <w:pPr>
        <w:spacing w:after="160" w:line="360" w:lineRule="auto"/>
        <w:ind w:firstLine="567"/>
        <w:jc w:val="both"/>
      </w:pPr>
      <w:r w:rsidRPr="00E345B2">
        <w:t>Երկրորդային (սպառողական) փաթեթվածքի վրա նշում են բաղադրության մեջ մտնող օժանդակ նյութերը՝ առանց դրանց քանակը նշելու, եթե անասնաբուժական դեղամիջոցի վերաբերյալ նորմատիվ փաստաթղթում կամ մասնավոր դեղագրքային հոդվածում այլ ցուցումներ չկան։</w:t>
      </w:r>
    </w:p>
    <w:p w14:paraId="712C14A4" w14:textId="77777777" w:rsidR="0035054F" w:rsidRPr="00E345B2" w:rsidRDefault="0035054F" w:rsidP="004A289F">
      <w:pPr>
        <w:spacing w:after="160" w:line="360" w:lineRule="auto"/>
        <w:ind w:firstLine="567"/>
        <w:jc w:val="both"/>
      </w:pPr>
      <w:r w:rsidRPr="00E345B2">
        <w:t>Բազմադեղաչափ դեղաձ</w:t>
      </w:r>
      <w:r>
        <w:t>եւ</w:t>
      </w:r>
      <w:r w:rsidRPr="00E345B2">
        <w:t>երի համար նշում են փաթեթվածքն առաջին անգամ բացելուց հետո դեղապատրաստուկի պահպանման ժամկետը։</w:t>
      </w:r>
    </w:p>
    <w:p w14:paraId="4320D72E" w14:textId="77777777" w:rsidR="0035054F" w:rsidRPr="00E345B2" w:rsidRDefault="0035054F" w:rsidP="004A289F">
      <w:pPr>
        <w:spacing w:after="160" w:line="360" w:lineRule="auto"/>
        <w:ind w:firstLine="567"/>
        <w:jc w:val="both"/>
      </w:pPr>
      <w:r w:rsidRPr="00E345B2">
        <w:t>Միադեղաչափ դեղաձ</w:t>
      </w:r>
      <w:r>
        <w:t>եւ</w:t>
      </w:r>
      <w:r w:rsidRPr="00E345B2">
        <w:t xml:space="preserve">երի համար նշում են ազդող նյութերի անվանումը </w:t>
      </w:r>
      <w:r>
        <w:t>եւ</w:t>
      </w:r>
      <w:r w:rsidRPr="00E345B2">
        <w:t xml:space="preserve"> մեկ դեղաչափի մեջ դրանց պարունակությունը, բազմադեղաչափ դեղաձ</w:t>
      </w:r>
      <w:r>
        <w:t>եւ</w:t>
      </w:r>
      <w:r w:rsidRPr="00E345B2">
        <w:t>երի համար՝ մեկ դեղաչափի մեջ ազդող նյութերի պարունակությունը՝ նշելով փաթեթվածքի մեջ դեղաչափերի քանակը։</w:t>
      </w:r>
    </w:p>
    <w:p w14:paraId="5DEBE670" w14:textId="77777777" w:rsidR="0035054F" w:rsidRPr="00E345B2" w:rsidRDefault="0035054F" w:rsidP="004A289F">
      <w:pPr>
        <w:spacing w:after="160" w:line="360" w:lineRule="auto"/>
        <w:ind w:firstLine="567"/>
        <w:jc w:val="both"/>
      </w:pPr>
      <w:r w:rsidRPr="00E345B2">
        <w:t>Անհրաժեշտության դեպքում պետք է լինեն նախազգուշացնող գրառումներ՝ պատրաստուկի դեղաձ</w:t>
      </w:r>
      <w:r>
        <w:t>եւ</w:t>
      </w:r>
      <w:r w:rsidRPr="00E345B2">
        <w:t xml:space="preserve">ով </w:t>
      </w:r>
      <w:r>
        <w:t>եւ</w:t>
      </w:r>
      <w:r w:rsidRPr="00E345B2">
        <w:t xml:space="preserve"> փաթեթվածքի տեսակով պայմանավորված։</w:t>
      </w:r>
    </w:p>
    <w:p w14:paraId="3DF431A7" w14:textId="77777777" w:rsidR="0035054F" w:rsidRPr="00E345B2" w:rsidRDefault="0035054F" w:rsidP="004A289F">
      <w:pPr>
        <w:spacing w:after="160" w:line="360" w:lineRule="auto"/>
        <w:ind w:firstLine="567"/>
        <w:jc w:val="both"/>
      </w:pPr>
    </w:p>
    <w:p w14:paraId="5C219AC6" w14:textId="77777777" w:rsidR="0035054F" w:rsidRPr="004A289F" w:rsidRDefault="0035054F" w:rsidP="004A289F">
      <w:pPr>
        <w:spacing w:after="160" w:line="360" w:lineRule="auto"/>
        <w:ind w:firstLine="567"/>
        <w:jc w:val="both"/>
        <w:rPr>
          <w:b/>
        </w:rPr>
      </w:pPr>
      <w:r w:rsidRPr="004A289F">
        <w:rPr>
          <w:b/>
        </w:rPr>
        <w:t>ՊԱՀՊԱՆՈՒՄԸ</w:t>
      </w:r>
    </w:p>
    <w:p w14:paraId="103B863C" w14:textId="77777777" w:rsidR="0035054F" w:rsidRPr="00E345B2" w:rsidRDefault="0035054F" w:rsidP="004A289F">
      <w:pPr>
        <w:spacing w:after="160" w:line="360" w:lineRule="auto"/>
        <w:ind w:firstLine="567"/>
        <w:jc w:val="both"/>
      </w:pPr>
      <w:r w:rsidRPr="00E345B2">
        <w:t>Պահպանման պայմանները պետք է ապահովեն նշված տեսակի փաթեթվածքով, անասնաբուժական դեղամիջոցին առնչվող նորմատիվ փաստաթղթում նշված՝ դրա ողջ սահմանված պիտանիության ժամկետի ընթացքում դեղապատրաստուկի կայունությունը։</w:t>
      </w:r>
    </w:p>
    <w:p w14:paraId="56995947" w14:textId="77777777" w:rsidR="0035054F" w:rsidRPr="00E345B2" w:rsidRDefault="0035054F" w:rsidP="004A289F">
      <w:pPr>
        <w:spacing w:after="160" w:line="360" w:lineRule="auto"/>
        <w:ind w:firstLine="567"/>
        <w:jc w:val="both"/>
      </w:pPr>
      <w:r w:rsidRPr="00E345B2">
        <w:t>Եթե թույլատրվում է պատրաստուկի պահպանումը ներմուծումների միջ</w:t>
      </w:r>
      <w:r>
        <w:t>եւ</w:t>
      </w:r>
      <w:r w:rsidRPr="00E345B2">
        <w:t>, պետք է ձեռնարկվեն դրա մանրէային կոնտամինացիան կանխող միջոցներ։</w:t>
      </w:r>
    </w:p>
    <w:p w14:paraId="5402DC72" w14:textId="77777777" w:rsidR="0035054F" w:rsidRPr="00E345B2" w:rsidRDefault="0035054F" w:rsidP="004A289F">
      <w:pPr>
        <w:spacing w:after="160" w:line="360" w:lineRule="auto"/>
        <w:ind w:firstLine="567"/>
        <w:jc w:val="both"/>
      </w:pPr>
      <w:r w:rsidRPr="00E345B2">
        <w:t>Պահպանման պայմաններին ներկայացվող պահանջները բերվում են մասնավոր դեղագրքային հոդվածում կամ անասնաբուժական դեղամիջոցի վերաբերյալ նորմատիվ փաստաթղթում։</w:t>
      </w:r>
    </w:p>
    <w:p w14:paraId="0CCFF196" w14:textId="77777777" w:rsidR="0035054F" w:rsidRPr="00E345B2" w:rsidRDefault="0035054F" w:rsidP="004A289F">
      <w:pPr>
        <w:spacing w:after="160" w:line="360" w:lineRule="auto"/>
        <w:ind w:firstLine="567"/>
        <w:jc w:val="both"/>
      </w:pPr>
    </w:p>
    <w:p w14:paraId="2073B7C0" w14:textId="77777777" w:rsidR="007B145C" w:rsidRPr="00B5542D" w:rsidRDefault="007B145C" w:rsidP="004A289F">
      <w:pPr>
        <w:spacing w:after="160" w:line="360" w:lineRule="auto"/>
        <w:ind w:firstLine="567"/>
        <w:jc w:val="right"/>
        <w:rPr>
          <w:b/>
          <w:sz w:val="20"/>
        </w:rPr>
      </w:pPr>
    </w:p>
    <w:p w14:paraId="125CF354" w14:textId="77777777" w:rsidR="0035054F" w:rsidRPr="00B5542D" w:rsidRDefault="0035054F" w:rsidP="004A289F">
      <w:pPr>
        <w:spacing w:after="160" w:line="360" w:lineRule="auto"/>
        <w:ind w:firstLine="567"/>
        <w:jc w:val="right"/>
        <w:rPr>
          <w:b/>
          <w:sz w:val="20"/>
        </w:rPr>
      </w:pPr>
      <w:r w:rsidRPr="004A289F">
        <w:rPr>
          <w:b/>
          <w:sz w:val="20"/>
        </w:rPr>
        <w:lastRenderedPageBreak/>
        <w:t>205040005-2022</w:t>
      </w:r>
    </w:p>
    <w:p w14:paraId="12EFA84C" w14:textId="77777777" w:rsidR="004A289F" w:rsidRPr="00B5542D" w:rsidRDefault="004A289F" w:rsidP="004A289F">
      <w:pPr>
        <w:spacing w:after="160" w:line="360" w:lineRule="auto"/>
        <w:ind w:firstLine="567"/>
        <w:jc w:val="right"/>
        <w:rPr>
          <w:b/>
          <w:sz w:val="20"/>
        </w:rPr>
      </w:pPr>
    </w:p>
    <w:p w14:paraId="0F1829BA" w14:textId="77777777" w:rsidR="0035054F" w:rsidRPr="004A289F" w:rsidRDefault="0035054F" w:rsidP="004A289F">
      <w:pPr>
        <w:tabs>
          <w:tab w:val="left" w:pos="1701"/>
        </w:tabs>
        <w:spacing w:after="160" w:line="360" w:lineRule="auto"/>
        <w:ind w:firstLine="567"/>
        <w:jc w:val="both"/>
        <w:rPr>
          <w:b/>
        </w:rPr>
      </w:pPr>
      <w:r w:rsidRPr="004A289F">
        <w:rPr>
          <w:b/>
        </w:rPr>
        <w:t>2.5.4.5.</w:t>
      </w:r>
      <w:r w:rsidR="004A289F" w:rsidRPr="00B5542D">
        <w:rPr>
          <w:b/>
        </w:rPr>
        <w:tab/>
      </w:r>
      <w:r w:rsidRPr="004A289F">
        <w:rPr>
          <w:b/>
        </w:rPr>
        <w:t>Ինհալացիաների համար նախատեսված անասնաբուժական դեղապատրաստուկները</w:t>
      </w:r>
    </w:p>
    <w:p w14:paraId="2D058E4D"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դեղապատրաստուկները թողարկվում են հեղուկ կամ պինդ դեղաձ</w:t>
      </w:r>
      <w:r>
        <w:t>եւ</w:t>
      </w:r>
      <w:r w:rsidRPr="00E345B2">
        <w:t>երով, նախատեսված են ազդող նյութը (նյութերը) գազային միջավայրում պինդ կամ հեղուկ մասնիկների դիսպերսիաների տեսքով կենդանիների շնչառական համակարգի մեջ ներմուծելու համար՝ տեղային կամ համակարգային ազդեցություն գործելու նպատակով։</w:t>
      </w:r>
    </w:p>
    <w:p w14:paraId="4930EF9F"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դեղապատրաստուկները կարող են պարունակել համապատասխան կրիչի կամ հիմքի մեջ լուծված կամ դիսպեսված մեկ կամ ավելի ազդող նյութ։</w:t>
      </w:r>
    </w:p>
    <w:p w14:paraId="756583D2"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դեղապատրաստուկների դեղաձ</w:t>
      </w:r>
      <w:r>
        <w:t>եւ</w:t>
      </w:r>
      <w:r w:rsidRPr="00E345B2">
        <w:t>երը պետք է ապահովեն տրված ժամանակի ընթացքում տեղադրման որոշակի ծավալով ազդող նյութի (նյութերի) պահանջվող կոնցենտրացիան։</w:t>
      </w:r>
    </w:p>
    <w:p w14:paraId="527F000E" w14:textId="77777777" w:rsidR="0035054F" w:rsidRPr="00E345B2" w:rsidRDefault="0035054F" w:rsidP="004A289F">
      <w:pPr>
        <w:spacing w:after="160" w:line="360" w:lineRule="auto"/>
        <w:ind w:firstLine="567"/>
        <w:jc w:val="both"/>
      </w:pPr>
      <w:r w:rsidRPr="00E345B2">
        <w:t>Հեղուկ դեղաձ</w:t>
      </w:r>
      <w:r>
        <w:t>եւ</w:t>
      </w:r>
      <w:r w:rsidRPr="00E345B2">
        <w:t xml:space="preserve">երով ինհալացիաների համար նախատեսված անասնաբուժական դեղապատրաստուկները ինհալացիաների համար լուծույթներ, ինհալացիաների համար կախույթներ կամ ինհալացիաների համար էմուլսիաներ են </w:t>
      </w:r>
      <w:r>
        <w:t>եւ</w:t>
      </w:r>
      <w:r w:rsidRPr="00E345B2">
        <w:t xml:space="preserve"> նախատեսված են համապատասխան սարքավորումների կամ սարքի (փոշեցիրների, աերոզոլային գեներատորների </w:t>
      </w:r>
      <w:r>
        <w:t>եւ</w:t>
      </w:r>
      <w:r w:rsidRPr="00E345B2">
        <w:t xml:space="preserve"> այլն) օգնությամբ ինհալացիաների համար աերոզոլի կամ սփրեյի փոխակերպվելու համար։</w:t>
      </w:r>
    </w:p>
    <w:p w14:paraId="6D320129" w14:textId="77777777" w:rsidR="0035054F" w:rsidRPr="00E345B2" w:rsidRDefault="0035054F" w:rsidP="004A289F">
      <w:pPr>
        <w:spacing w:after="160" w:line="360" w:lineRule="auto"/>
        <w:ind w:firstLine="567"/>
        <w:jc w:val="both"/>
      </w:pPr>
      <w:r w:rsidRPr="00E345B2">
        <w:t>Պինդ դեղաձ</w:t>
      </w:r>
      <w:r>
        <w:t>եւ</w:t>
      </w:r>
      <w:r w:rsidRPr="00E345B2">
        <w:t>երով ինհալացիաների համար նախատեսված անասնաբուժական դեղապատրաստուկները ինհալացիաների համար լուծույթների կամ ինհալացիաների համար կախույթների պատրաստման համար փոշիներ, դեղահաբեր, ինչպես նա</w:t>
      </w:r>
      <w:r>
        <w:t>եւ</w:t>
      </w:r>
      <w:r w:rsidRPr="00E345B2">
        <w:t xml:space="preserve"> լիոֆիլիզատներ են։ Պինդ դեղաձ</w:t>
      </w:r>
      <w:r>
        <w:t>եւ</w:t>
      </w:r>
      <w:r w:rsidRPr="00E345B2">
        <w:t xml:space="preserve">երը </w:t>
      </w:r>
      <w:r w:rsidRPr="00E345B2">
        <w:lastRenderedPageBreak/>
        <w:t>կիրառվում են դրանցից լուծույթներ կամ կախույթներ պատրաստելուց հետո աերոզոլի կամ սփրեյի տեսքով փոշեցրման եղանակով, ինչպես նա</w:t>
      </w:r>
      <w:r>
        <w:t>եւ</w:t>
      </w:r>
      <w:r w:rsidRPr="00E345B2">
        <w:t xml:space="preserve"> աերոզոլի տեսքով (ջերմային գոլորշիացման դեպքում) կամ օժանդակ նյութերի մարմրման ընթացքում բարձր ջերմաստիճանի ազդեցության տակ ազդող նյութի (նյութերի) ջերմային ցնդեցման եղանակով։</w:t>
      </w:r>
    </w:p>
    <w:p w14:paraId="32636733" w14:textId="77777777" w:rsidR="0035054F" w:rsidRPr="00E345B2" w:rsidRDefault="0035054F" w:rsidP="004A289F">
      <w:pPr>
        <w:spacing w:after="160" w:line="360" w:lineRule="auto"/>
        <w:ind w:firstLine="567"/>
        <w:jc w:val="both"/>
      </w:pPr>
      <w:r w:rsidRPr="00E345B2">
        <w:t>Եթե պինդ դեղաձ</w:t>
      </w:r>
      <w:r>
        <w:t>եւ</w:t>
      </w:r>
      <w:r w:rsidRPr="00E345B2">
        <w:t>երի մեջ որպես ազդող նյութ (նյութեր) մտնում են եթերային յուղեր, ապա բարձր ջերմաստիճանի ազդեցության տակ մարմրման ժամանակ տեղի է ունենում աերոզոլի առաջացմամբ ջերմային գոլորշիացում։</w:t>
      </w:r>
    </w:p>
    <w:p w14:paraId="2A7AD92F" w14:textId="77777777" w:rsidR="0035054F" w:rsidRPr="00E345B2" w:rsidRDefault="0035054F" w:rsidP="007B145C">
      <w:pPr>
        <w:spacing w:after="160" w:line="346" w:lineRule="auto"/>
        <w:ind w:firstLine="567"/>
        <w:jc w:val="both"/>
      </w:pPr>
      <w:r w:rsidRPr="00E345B2">
        <w:t>Եթե պինդ դեղաձ</w:t>
      </w:r>
      <w:r>
        <w:t>եւ</w:t>
      </w:r>
      <w:r w:rsidRPr="00E345B2">
        <w:t>երը որպես ազդող նյութ պարունակում են բյուրեղային յոդ, ապա բարձր ջերմաստիճանի ազդեցության տակ մարմրման ժամանակ տեղի է ունենում դրա ջերմային ցնդեցում։</w:t>
      </w:r>
    </w:p>
    <w:p w14:paraId="45EAA8C1" w14:textId="77777777" w:rsidR="0035054F" w:rsidRPr="00E345B2" w:rsidRDefault="0035054F" w:rsidP="007B145C">
      <w:pPr>
        <w:spacing w:after="160" w:line="346" w:lineRule="auto"/>
        <w:ind w:firstLine="567"/>
        <w:jc w:val="both"/>
      </w:pPr>
      <w:r w:rsidRPr="00E345B2">
        <w:t>Ջերմային գոլորշիացման կամ ջերմային ցնդեցման եղանակով կիրառվող պինդ դեղաձ</w:t>
      </w:r>
      <w:r>
        <w:t>եւ</w:t>
      </w:r>
      <w:r w:rsidRPr="00E345B2">
        <w:t>երի բաղադրության մեջ որպես օժանդակ նյութեր օգտագործում են ջերմային գոլորշիացման կամ ջերմային ցնդեցման հիմք, օքսիդացման (մարմրման) ռեակցիա հրահրող օքսիդիչներ, ինչպես նա</w:t>
      </w:r>
      <w:r>
        <w:t>եւ</w:t>
      </w:r>
      <w:r w:rsidRPr="00E345B2">
        <w:t xml:space="preserve"> բոցավառման ընթացքը կանխող բոցամարիչներ: Մարմրումը պետք է ընթանա հանդարտ՝ առանց կայծերի </w:t>
      </w:r>
      <w:r>
        <w:t>եւ</w:t>
      </w:r>
      <w:r w:rsidRPr="00E345B2">
        <w:t xml:space="preserve"> բոցի առաջացման։</w:t>
      </w:r>
    </w:p>
    <w:p w14:paraId="5658D54B" w14:textId="77777777" w:rsidR="0035054F" w:rsidRPr="00E345B2" w:rsidRDefault="0035054F" w:rsidP="007B145C">
      <w:pPr>
        <w:spacing w:after="160" w:line="346" w:lineRule="auto"/>
        <w:ind w:firstLine="567"/>
        <w:jc w:val="both"/>
      </w:pPr>
      <w:r w:rsidRPr="00E345B2">
        <w:t>Մարմրման ընթացքում պինդ դեղաձ</w:t>
      </w:r>
      <w:r>
        <w:t>եւ</w:t>
      </w:r>
      <w:r w:rsidRPr="00E345B2">
        <w:t>երը պետք է ամբողջությամբ օքսիդանան։ Ջերմային գոլորշիացման կամ ջերմային ցնդեցման գործընթացը չպետք է հանգեցնի բարձր ջերմաստիճանի ազդեցության տակ ազդող նյութի (նյութերի) քայքայմանը։</w:t>
      </w:r>
    </w:p>
    <w:p w14:paraId="28FB8EA4" w14:textId="77777777" w:rsidR="0035054F" w:rsidRPr="00E345B2" w:rsidRDefault="0035054F" w:rsidP="007B145C">
      <w:pPr>
        <w:spacing w:after="160" w:line="346" w:lineRule="auto"/>
        <w:ind w:firstLine="567"/>
        <w:jc w:val="both"/>
      </w:pPr>
    </w:p>
    <w:p w14:paraId="559BEEBC" w14:textId="77777777" w:rsidR="0035054F" w:rsidRPr="004A289F" w:rsidRDefault="0035054F" w:rsidP="007B145C">
      <w:pPr>
        <w:spacing w:after="160" w:line="346" w:lineRule="auto"/>
        <w:ind w:firstLine="567"/>
        <w:jc w:val="both"/>
        <w:rPr>
          <w:b/>
        </w:rPr>
      </w:pPr>
      <w:r w:rsidRPr="004A289F">
        <w:rPr>
          <w:b/>
        </w:rPr>
        <w:t>ՏԵԽՆՈԼՈԳԻԱՅԻ ԱՌԱՆՁՆԱՀԱՏԿՈՒԹՅՈՒՆՆԵՐԸ</w:t>
      </w:r>
    </w:p>
    <w:p w14:paraId="5A22953C" w14:textId="77777777" w:rsidR="0035054F" w:rsidRPr="00E345B2" w:rsidRDefault="0035054F" w:rsidP="007B145C">
      <w:pPr>
        <w:spacing w:after="160" w:line="346" w:lineRule="auto"/>
        <w:ind w:firstLine="567"/>
        <w:jc w:val="both"/>
      </w:pPr>
      <w:r w:rsidRPr="00E345B2">
        <w:t xml:space="preserve">Ինհալացիաների համար նախատեսված անասնաբուժական դեղապատրաստուկների արտադրմանը </w:t>
      </w:r>
      <w:r>
        <w:t>եւ</w:t>
      </w:r>
      <w:r w:rsidRPr="00E345B2">
        <w:t xml:space="preserve"> պատրաստմանը ներկայացվող ընդհանուր պահանջները բերված են «</w:t>
      </w:r>
      <w:r w:rsidRPr="00D03E8B">
        <w:rPr>
          <w:i/>
        </w:rPr>
        <w:t>2.5.3.1. Դեղապատրաստուկները»</w:t>
      </w:r>
      <w:r w:rsidRPr="00E345B2">
        <w:t xml:space="preserve"> ընդհանուր դեղագրքային հոդվածում </w:t>
      </w:r>
      <w:r>
        <w:t>եւ</w:t>
      </w:r>
      <w:r w:rsidRPr="00E345B2">
        <w:t xml:space="preserve"> </w:t>
      </w:r>
      <w:r w:rsidRPr="00D03E8B">
        <w:rPr>
          <w:i/>
        </w:rPr>
        <w:t>«2.5.1.1. Դեղաձեւերը»</w:t>
      </w:r>
      <w:r w:rsidRPr="00E345B2">
        <w:t xml:space="preserve"> ընդհանուր դեղագրքային հոդվածում։</w:t>
      </w:r>
    </w:p>
    <w:p w14:paraId="7BC4110F" w14:textId="77777777" w:rsidR="0035054F" w:rsidRPr="00E345B2" w:rsidRDefault="0035054F" w:rsidP="004A289F">
      <w:pPr>
        <w:spacing w:after="160" w:line="360" w:lineRule="auto"/>
        <w:ind w:firstLine="567"/>
        <w:jc w:val="both"/>
      </w:pPr>
      <w:r w:rsidRPr="00E345B2">
        <w:lastRenderedPageBreak/>
        <w:t>Ինհալացիաների համար նախատեսված անասնաբուժական դեղապատրաստուկները մշակելիս հարկավոր է հաշվի առնել, որը դեղաձ</w:t>
      </w:r>
      <w:r>
        <w:t>եւ</w:t>
      </w:r>
      <w:r w:rsidRPr="00E345B2">
        <w:t xml:space="preserve">ը պետք է լինի կիրառության համար հարմար </w:t>
      </w:r>
      <w:r>
        <w:t>եւ</w:t>
      </w:r>
      <w:r w:rsidRPr="00E345B2">
        <w:t xml:space="preserve"> անվտանգ։</w:t>
      </w:r>
    </w:p>
    <w:p w14:paraId="2BCF6CBA" w14:textId="77777777" w:rsidR="0035054F" w:rsidRPr="00E345B2" w:rsidRDefault="0035054F" w:rsidP="004A289F">
      <w:pPr>
        <w:spacing w:after="160" w:line="360" w:lineRule="auto"/>
        <w:ind w:firstLine="567"/>
        <w:jc w:val="both"/>
      </w:pPr>
      <w:r w:rsidRPr="00E345B2">
        <w:t>Օժանդակ նյութերը պետք է լինեն դեղագործական տեսանկյունից համատեղելի, ապահովեն կիրառվող կոնցենտրացիաներով դեղաձ</w:t>
      </w:r>
      <w:r>
        <w:t>եւ</w:t>
      </w:r>
      <w:r w:rsidRPr="00E345B2">
        <w:t>ի օպտիմալ տեխնոլոգիական բնութագրերը, չպետք է բացասաբար անդրադառնան հիմնական թերապ</w:t>
      </w:r>
      <w:r>
        <w:t>եւ</w:t>
      </w:r>
      <w:r w:rsidRPr="00E345B2">
        <w:t xml:space="preserve">տիկ ազդեցության վրա, չպետք է լինեն թունավոր </w:t>
      </w:r>
      <w:r>
        <w:t>եւ</w:t>
      </w:r>
      <w:r w:rsidRPr="00E345B2">
        <w:t xml:space="preserve"> չպետք է անբարենպաստ ազդեցություն ունենան կենդանիների շնչառական ուղիների լորձաթաղանթի ֆունկցիաների վրա։</w:t>
      </w:r>
    </w:p>
    <w:p w14:paraId="4F8AF436" w14:textId="77777777" w:rsidR="0035054F" w:rsidRPr="00E345B2" w:rsidRDefault="0035054F" w:rsidP="004A289F">
      <w:pPr>
        <w:spacing w:after="160" w:line="360" w:lineRule="auto"/>
        <w:ind w:firstLine="567"/>
        <w:jc w:val="both"/>
      </w:pPr>
      <w:r w:rsidRPr="00E345B2">
        <w:t>Դեղաձ</w:t>
      </w:r>
      <w:r>
        <w:t>եւ</w:t>
      </w:r>
      <w:r w:rsidRPr="00E345B2">
        <w:t xml:space="preserve">ի տեսակով </w:t>
      </w:r>
      <w:r>
        <w:t>եւ</w:t>
      </w:r>
      <w:r w:rsidRPr="00E345B2">
        <w:t xml:space="preserve"> ազդող նյութի (նյութերի) բնույթով պայմանավորված՝ ինհալացիաների համար նախատեսված անասնաբուժական դեղապատրաստուկները կարող են պարունակել պրոպելենտներ, լուծիչներ, նոսրացուցիչներ, հակամանրէային կոնսերվանտներ, մակեր</w:t>
      </w:r>
      <w:r>
        <w:t>եւ</w:t>
      </w:r>
      <w:r w:rsidRPr="00E345B2">
        <w:t xml:space="preserve">ութային ակտիվ նյութեր, կայունացնող </w:t>
      </w:r>
      <w:r>
        <w:t>եւ</w:t>
      </w:r>
      <w:r w:rsidRPr="00E345B2">
        <w:t xml:space="preserve"> սոլյուբիլիզացնող ագենտներ, ջերմային գոլորշիացման կամ ջերմային ցնդեցման հիմք, օքսիդացման (մարմրման) ռեակցիա հրահրող օքսիդիչներ, բոցավառման ընթացքը կանխող բոցամարիչներ </w:t>
      </w:r>
      <w:r>
        <w:t>եւ</w:t>
      </w:r>
      <w:r w:rsidRPr="00E345B2">
        <w:t xml:space="preserve"> այլն:</w:t>
      </w:r>
    </w:p>
    <w:p w14:paraId="20C790E3"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դեղապատրաստուկների մշակման փուլում փորձերով պետք է հաստատվի տրված ժամանակահատվածի ընթացքում տեղադրման որոշակի ծավալով ազդող նյութի (նյութերի) պահանջվող կոնցենտրացիային հասնելը։</w:t>
      </w:r>
    </w:p>
    <w:p w14:paraId="230E2311"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դեղապատրաստուկների արտադրության տեխնոլոգիան պետք է ապահովի կրիչի կամ հիմքի մեջ ազդող նյութի (նյութերի) հավասարաչափ բաշխումը, ինչպես նա</w:t>
      </w:r>
      <w:r>
        <w:t>եւ</w:t>
      </w:r>
      <w:r w:rsidRPr="00E345B2">
        <w:t xml:space="preserve"> պահպանման ընթացքում դեղաձ</w:t>
      </w:r>
      <w:r>
        <w:t>եւ</w:t>
      </w:r>
      <w:r w:rsidRPr="00E345B2">
        <w:t>ի կայունությունը։</w:t>
      </w:r>
    </w:p>
    <w:p w14:paraId="70640B67"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դեղապատրաստուկների արտադրության տեխնոլոգիայի առանձնահատկությունները ներկայացված են «</w:t>
      </w:r>
      <w:r w:rsidRPr="00D03E8B">
        <w:rPr>
          <w:i/>
        </w:rPr>
        <w:t>2.5.1.25. Լուծույթները</w:t>
      </w:r>
      <w:r w:rsidRPr="00E345B2">
        <w:t>» ընդհանուր դեղագրքային հոդվածում, «</w:t>
      </w:r>
      <w:r w:rsidRPr="00D03E8B">
        <w:rPr>
          <w:i/>
        </w:rPr>
        <w:t>2.5.1.33. Կախույթները</w:t>
      </w:r>
      <w:r w:rsidRPr="00E345B2">
        <w:t xml:space="preserve">» ընդհանուր դեղագրքային </w:t>
      </w:r>
      <w:r w:rsidRPr="00E345B2">
        <w:lastRenderedPageBreak/>
        <w:t xml:space="preserve">հոդվածում, </w:t>
      </w:r>
      <w:r w:rsidRPr="00D03E8B">
        <w:rPr>
          <w:i/>
        </w:rPr>
        <w:t>«2.5.1.39. Էմուլսիաները</w:t>
      </w:r>
      <w:r w:rsidRPr="00E345B2">
        <w:t>» ընդհանուր դեղագրքային հոդվածում</w:t>
      </w:r>
      <w:r w:rsidRPr="00D03E8B">
        <w:rPr>
          <w:i/>
        </w:rPr>
        <w:t>, «2.5.1.24. Փոշիները» ընդհանուր դեղագրքային հոդվածում, «</w:t>
      </w:r>
      <w:r w:rsidRPr="007B145C">
        <w:rPr>
          <w:i/>
        </w:rPr>
        <w:t>2.5.1.34. Դեղահաբերը»</w:t>
      </w:r>
      <w:r w:rsidRPr="00E345B2">
        <w:t xml:space="preserve"> ընդհանուր դեղագրքային հոդվածում,</w:t>
      </w:r>
      <w:r>
        <w:t xml:space="preserve"> </w:t>
      </w:r>
      <w:r w:rsidRPr="00E345B2">
        <w:t>«</w:t>
      </w:r>
      <w:r w:rsidRPr="00D03E8B">
        <w:rPr>
          <w:i/>
        </w:rPr>
        <w:t>2.5.1.14. Լիոֆիլիզատները»</w:t>
      </w:r>
      <w:r w:rsidRPr="00E345B2">
        <w:t xml:space="preserve"> ընդհանուր դեղագրքային հոդվածում։</w:t>
      </w:r>
    </w:p>
    <w:p w14:paraId="49167284" w14:textId="77777777" w:rsidR="0035054F" w:rsidRPr="00E345B2" w:rsidRDefault="0035054F" w:rsidP="004A289F">
      <w:pPr>
        <w:spacing w:after="160" w:line="360" w:lineRule="auto"/>
        <w:ind w:firstLine="567"/>
        <w:jc w:val="both"/>
      </w:pPr>
      <w:r w:rsidRPr="00E345B2">
        <w:t>Եթե ինհալացիաների համար նախատեսված անասնաբուժական դեղապատրաստուկների բաղադրության մեջ ցնդող նյութեր են մտնում, արտադրության գործընթացում վերահսկվում է փաթեթվածքի հերմետիկությունը։</w:t>
      </w:r>
    </w:p>
    <w:p w14:paraId="7D3414C8" w14:textId="77777777" w:rsidR="0035054F" w:rsidRPr="00E345B2" w:rsidRDefault="0035054F" w:rsidP="004A289F">
      <w:pPr>
        <w:spacing w:after="160" w:line="360" w:lineRule="auto"/>
        <w:ind w:firstLine="567"/>
        <w:jc w:val="both"/>
      </w:pPr>
    </w:p>
    <w:p w14:paraId="520E2CE6" w14:textId="77777777" w:rsidR="0035054F" w:rsidRPr="004A289F" w:rsidRDefault="0035054F" w:rsidP="004A289F">
      <w:pPr>
        <w:spacing w:after="160" w:line="360" w:lineRule="auto"/>
        <w:ind w:firstLine="567"/>
        <w:jc w:val="both"/>
        <w:rPr>
          <w:b/>
        </w:rPr>
      </w:pPr>
      <w:r w:rsidRPr="004A289F">
        <w:rPr>
          <w:b/>
        </w:rPr>
        <w:t>ՓՈՐՁԱՐԿՈՒՄՆԵՐԸ</w:t>
      </w:r>
    </w:p>
    <w:p w14:paraId="04DD514B" w14:textId="77777777" w:rsidR="0035054F" w:rsidRPr="00E345B2" w:rsidRDefault="0035054F" w:rsidP="004A289F">
      <w:pPr>
        <w:spacing w:after="160" w:line="360" w:lineRule="auto"/>
        <w:ind w:firstLine="567"/>
        <w:jc w:val="both"/>
      </w:pPr>
      <w:r w:rsidRPr="00E345B2">
        <w:t>Ինհալացիաների համար նախատեսված անասնաբուժական դեղապատրաստուկները պետք է համապատասխանեն «</w:t>
      </w:r>
      <w:r w:rsidRPr="00D03E8B">
        <w:rPr>
          <w:i/>
        </w:rPr>
        <w:t xml:space="preserve">2.5.3.1. Դեղապատրաստուկները» </w:t>
      </w:r>
      <w:r w:rsidRPr="00E345B2">
        <w:t xml:space="preserve">ընդհանուր դեղագրքային հոդվածի պահանջներին </w:t>
      </w:r>
      <w:r>
        <w:t>եւ</w:t>
      </w:r>
      <w:r w:rsidRPr="00E345B2">
        <w:t xml:space="preserve"> անցնեն այն դեղաձ</w:t>
      </w:r>
      <w:r>
        <w:t>եւ</w:t>
      </w:r>
      <w:r w:rsidRPr="00E345B2">
        <w:t xml:space="preserve">ին բնորոշ փորձարկումները, որի տեսքով դեղապատրաստուկներն ստացվել են </w:t>
      </w:r>
      <w:r w:rsidRPr="00D03E8B">
        <w:rPr>
          <w:i/>
        </w:rPr>
        <w:t>«2.5.1.1. Դեղաձեւերը»</w:t>
      </w:r>
      <w:r w:rsidRPr="00E345B2">
        <w:t xml:space="preserve"> ընդհանուր դեղագրքային հոդվածի </w:t>
      </w:r>
      <w:r>
        <w:t>եւ</w:t>
      </w:r>
      <w:r w:rsidRPr="00E345B2">
        <w:t xml:space="preserve"> կոնկրետ դեղաձ</w:t>
      </w:r>
      <w:r>
        <w:t>եւ</w:t>
      </w:r>
      <w:r w:rsidRPr="00E345B2">
        <w:t>ին առնչվող ընդհանուր դեղագրքային հոդվածի համաձայն։</w:t>
      </w:r>
    </w:p>
    <w:p w14:paraId="398466A4" w14:textId="77777777" w:rsidR="0035054F" w:rsidRPr="00E345B2" w:rsidRDefault="0035054F" w:rsidP="004A289F">
      <w:pPr>
        <w:spacing w:after="160" w:line="360" w:lineRule="auto"/>
        <w:ind w:firstLine="567"/>
        <w:jc w:val="both"/>
      </w:pPr>
      <w:r w:rsidRPr="00E345B2">
        <w:t xml:space="preserve">Ինհալացիաների համար նախատեսված անասնաբուժական դեղապատրաստուկների համար որոշում են փաթեթվածքի պարունակության զանգվածը կամ ծավալը՝ </w:t>
      </w:r>
      <w:r w:rsidRPr="00D03E8B">
        <w:rPr>
          <w:i/>
        </w:rPr>
        <w:t xml:space="preserve">«2.1.9.17. Փաթեթվածքի պարունակության զանգվածը (ծավալը)» </w:t>
      </w:r>
      <w:r w:rsidRPr="00E345B2">
        <w:t>ընդհանուր դեղագրքային հոդվածին համապատասխան։</w:t>
      </w:r>
    </w:p>
    <w:p w14:paraId="2762647E" w14:textId="77777777" w:rsidR="0035054F" w:rsidRPr="00B5542D" w:rsidRDefault="0035054F" w:rsidP="004A289F">
      <w:pPr>
        <w:spacing w:after="160" w:line="360" w:lineRule="auto"/>
        <w:ind w:firstLine="567"/>
        <w:jc w:val="both"/>
      </w:pPr>
      <w:r w:rsidRPr="00E345B2">
        <w:t>Լուծույթներ, կախույթներ, էմուլսիաներ հանդիսացող հեղուկ դեղաձ</w:t>
      </w:r>
      <w:r>
        <w:t>եւ</w:t>
      </w:r>
      <w:r w:rsidRPr="00E345B2">
        <w:t>երը (այդ թվում՝ համապատասխան լուծիչի մեջ լուծելու կամ դիսպերսելու եղանակով պինդ դեղաձ</w:t>
      </w:r>
      <w:r>
        <w:t>եւ</w:t>
      </w:r>
      <w:r w:rsidRPr="00E345B2">
        <w:t>երից ստացված) պետք է համապատասխանեն «</w:t>
      </w:r>
      <w:r w:rsidRPr="007B145C">
        <w:rPr>
          <w:i/>
        </w:rPr>
        <w:t xml:space="preserve">2.5.1.25. Լուծույթները» </w:t>
      </w:r>
      <w:r w:rsidRPr="00E345B2">
        <w:t xml:space="preserve">ընդհանուր դեղագրքային հոդվածի, </w:t>
      </w:r>
      <w:r w:rsidRPr="007B145C">
        <w:rPr>
          <w:i/>
        </w:rPr>
        <w:t>«2.5.1.33. Կախույթները</w:t>
      </w:r>
      <w:r w:rsidRPr="00E345B2">
        <w:t xml:space="preserve">» ընդհանուր դեղագրքային հոդվածի, </w:t>
      </w:r>
      <w:r w:rsidRPr="007B145C">
        <w:rPr>
          <w:i/>
        </w:rPr>
        <w:t>«2.5.1.39. Էմուլսիաները</w:t>
      </w:r>
      <w:r w:rsidRPr="00E345B2">
        <w:t>» ընդհանուր դեղագրքային հոդվածի պահանջներին։</w:t>
      </w:r>
    </w:p>
    <w:p w14:paraId="04B5F11F" w14:textId="77777777" w:rsidR="007B145C" w:rsidRPr="00B5542D" w:rsidRDefault="007B145C" w:rsidP="004A289F">
      <w:pPr>
        <w:spacing w:after="160" w:line="360" w:lineRule="auto"/>
        <w:ind w:firstLine="567"/>
        <w:jc w:val="both"/>
      </w:pPr>
    </w:p>
    <w:p w14:paraId="52EFE057" w14:textId="77777777" w:rsidR="0035054F" w:rsidRPr="00E345B2" w:rsidRDefault="0035054F" w:rsidP="004A289F">
      <w:pPr>
        <w:spacing w:after="160" w:line="360" w:lineRule="auto"/>
        <w:ind w:firstLine="567"/>
        <w:jc w:val="both"/>
      </w:pPr>
      <w:r w:rsidRPr="00E345B2">
        <w:lastRenderedPageBreak/>
        <w:t>Պինդ դեղաձ</w:t>
      </w:r>
      <w:r>
        <w:t>եւ</w:t>
      </w:r>
      <w:r w:rsidRPr="00E345B2">
        <w:t xml:space="preserve">երը (բացի ջերմային գոլորշիացման կամ ջերմային ցնդեցման եղանակով կիրառության համար նախատեսվածներից) պետք է համապատասխանեն </w:t>
      </w:r>
      <w:r w:rsidRPr="007B145C">
        <w:rPr>
          <w:i/>
        </w:rPr>
        <w:t>«2.5.1.24. Փոշիները»</w:t>
      </w:r>
      <w:r w:rsidRPr="00E345B2">
        <w:t xml:space="preserve"> ընդհանուր դեղագրքային հոդվածի, </w:t>
      </w:r>
      <w:r w:rsidRPr="00D03E8B">
        <w:rPr>
          <w:i/>
        </w:rPr>
        <w:t>«2.5.1.34. Դեղահաբերը»</w:t>
      </w:r>
      <w:r w:rsidRPr="00E345B2">
        <w:t xml:space="preserve"> ընդհանուր դեղագրքային հոդվածի, </w:t>
      </w:r>
      <w:r w:rsidRPr="00D03E8B">
        <w:rPr>
          <w:i/>
        </w:rPr>
        <w:t>«2.5.1.14. Լիոֆիլիզատները»</w:t>
      </w:r>
      <w:r w:rsidRPr="00E345B2">
        <w:t xml:space="preserve"> ընդհանուր դեղագրքային հոդվածի պահանջներին։</w:t>
      </w:r>
    </w:p>
    <w:p w14:paraId="577E5EA4" w14:textId="77777777" w:rsidR="0035054F" w:rsidRPr="00E345B2" w:rsidRDefault="0035054F" w:rsidP="004A289F">
      <w:pPr>
        <w:spacing w:after="160" w:line="360" w:lineRule="auto"/>
        <w:ind w:firstLine="567"/>
        <w:jc w:val="both"/>
      </w:pPr>
      <w:r w:rsidRPr="00E345B2">
        <w:t>Ջերմային գոլորշիացման կամ ջերմային ցնդեցման եղանակով կիրառության համար դեղահաբերի ձ</w:t>
      </w:r>
      <w:r>
        <w:t>եւ</w:t>
      </w:r>
      <w:r w:rsidRPr="00E345B2">
        <w:t xml:space="preserve">ով, ինհալացիաների համար նախատեսված անասնաբուժական դեղապատրաստուկները վերահսկում են ըստ </w:t>
      </w:r>
      <w:r w:rsidRPr="00E345B2">
        <w:rPr>
          <w:i/>
        </w:rPr>
        <w:t>Նկարագրությունը, Զանգվածի միատարրությունը</w:t>
      </w:r>
      <w:r w:rsidRPr="00E345B2">
        <w:t xml:space="preserve"> ցուցանիշների։ Չորացնելիս զանգվածի կորուստը կամ Ջուրը՝ «</w:t>
      </w:r>
      <w:r w:rsidRPr="00D03E8B">
        <w:rPr>
          <w:i/>
        </w:rPr>
        <w:t>2.5.1.34. Դեղահաբերը»</w:t>
      </w:r>
      <w:r w:rsidRPr="00E345B2">
        <w:t xml:space="preserve"> ընդհանուր դեղագրքային հոդվածին համապատասխան։</w:t>
      </w:r>
    </w:p>
    <w:p w14:paraId="2601AF24" w14:textId="77777777" w:rsidR="0035054F" w:rsidRPr="00E345B2" w:rsidRDefault="0035054F" w:rsidP="004A289F">
      <w:pPr>
        <w:spacing w:after="160" w:line="360" w:lineRule="auto"/>
        <w:ind w:firstLine="567"/>
        <w:jc w:val="both"/>
      </w:pPr>
      <w:r w:rsidRPr="00E345B2">
        <w:t>Ջերմային գոլորշիացման կամ ջերմային ցնդեցման եղանակով կիրառության համար փոշիների ձ</w:t>
      </w:r>
      <w:r>
        <w:t>եւ</w:t>
      </w:r>
      <w:r w:rsidRPr="00E345B2">
        <w:t xml:space="preserve">ով, ինհալացիաների համար նախատեսված անասնաբուժական դեղապատրաստուկները վերահսկում են ըստ </w:t>
      </w:r>
      <w:r w:rsidRPr="00E345B2">
        <w:rPr>
          <w:i/>
        </w:rPr>
        <w:t>Նկարագրությունը, Մասնիկների չափը, Չորացնելիս զանգվածի կորուստը կամ Ջուրը</w:t>
      </w:r>
      <w:r w:rsidRPr="00E345B2">
        <w:t xml:space="preserve"> ցուցանիշների՝ «</w:t>
      </w:r>
      <w:r w:rsidRPr="00D03E8B">
        <w:rPr>
          <w:i/>
        </w:rPr>
        <w:t xml:space="preserve">2.5.1.24. Փոշիները» </w:t>
      </w:r>
      <w:r w:rsidRPr="00E345B2">
        <w:t>ընդհանուր դեղագրքային հոդվածին համապատասխան։</w:t>
      </w:r>
    </w:p>
    <w:p w14:paraId="29A8D1B2" w14:textId="77777777" w:rsidR="0035054F" w:rsidRPr="00E345B2" w:rsidRDefault="0035054F" w:rsidP="004A289F">
      <w:pPr>
        <w:spacing w:after="160" w:line="360" w:lineRule="auto"/>
        <w:ind w:firstLine="567"/>
        <w:jc w:val="both"/>
      </w:pPr>
      <w:r w:rsidRPr="00E345B2">
        <w:t>Ջերմային գոլորշիացման կամ ջերմային ցնդեցման եղանակով կիրառության համար նախատեսված պինդ դեղաձ</w:t>
      </w:r>
      <w:r>
        <w:t>եւ</w:t>
      </w:r>
      <w:r w:rsidRPr="00E345B2">
        <w:t>երը (փոշիները, դեղահաբերը) պետք է լրացուցիչ վերահսկվեն ըստ հետ</w:t>
      </w:r>
      <w:r>
        <w:t>եւ</w:t>
      </w:r>
      <w:r w:rsidRPr="00E345B2">
        <w:t>յալ ցուցանիշների.</w:t>
      </w:r>
    </w:p>
    <w:p w14:paraId="4C81566E" w14:textId="77777777" w:rsidR="0035054F" w:rsidRPr="00B5542D" w:rsidRDefault="0035054F" w:rsidP="004A289F">
      <w:pPr>
        <w:spacing w:after="160" w:line="360" w:lineRule="auto"/>
        <w:ind w:firstLine="567"/>
        <w:jc w:val="both"/>
      </w:pPr>
      <w:r w:rsidRPr="00E345B2">
        <w:t xml:space="preserve">Դյուրավառությունը </w:t>
      </w:r>
      <w:r>
        <w:t>եւ</w:t>
      </w:r>
      <w:r w:rsidRPr="00E345B2">
        <w:t xml:space="preserve"> մարմրման բնույթը՝ կրակի աղբյուրից գործարկման հնարավորության որոշումը,</w:t>
      </w:r>
      <w:r>
        <w:t xml:space="preserve"> </w:t>
      </w:r>
      <w:r w:rsidRPr="00E345B2">
        <w:t>ինչպես նա</w:t>
      </w:r>
      <w:r>
        <w:t>եւ</w:t>
      </w:r>
      <w:r w:rsidRPr="00E345B2">
        <w:t xml:space="preserve"> ջերմային գոլորշիացման կամ ջերմային ցնդեցման արգասիքների բնույթի, հագեցվածության </w:t>
      </w:r>
      <w:r>
        <w:t>եւ</w:t>
      </w:r>
      <w:r w:rsidRPr="00E345B2">
        <w:t xml:space="preserve"> գույնի տեսողական որոշումը վերահսկվում են </w:t>
      </w:r>
      <w:r w:rsidRPr="00D03E8B">
        <w:rPr>
          <w:i/>
        </w:rPr>
        <w:t>«2.1.9.28. Անասնաբուժական թիթեղների, անասնաբուժական քուղերի եւ ինհալացիաների համար անասնաբուժական պինդ դեղաձեւերի տեսքով դեղապատրաստուկների դյուրավառությունը եւ մարմրման բնույթը»</w:t>
      </w:r>
      <w:r w:rsidRPr="00E345B2">
        <w:t xml:space="preserve"> ընդհանուր դեղագրքային հոդվածի պահանջներին համապատասխան։</w:t>
      </w:r>
    </w:p>
    <w:p w14:paraId="18DD9FB7" w14:textId="77777777" w:rsidR="007B145C" w:rsidRPr="00B5542D" w:rsidRDefault="007B145C" w:rsidP="004A289F">
      <w:pPr>
        <w:spacing w:after="160" w:line="360" w:lineRule="auto"/>
        <w:ind w:firstLine="567"/>
        <w:jc w:val="both"/>
      </w:pPr>
    </w:p>
    <w:p w14:paraId="0944FC96" w14:textId="77777777" w:rsidR="0035054F" w:rsidRPr="00E345B2" w:rsidRDefault="0035054F" w:rsidP="004A289F">
      <w:pPr>
        <w:spacing w:after="160" w:line="360" w:lineRule="auto"/>
        <w:ind w:firstLine="567"/>
        <w:jc w:val="both"/>
      </w:pPr>
      <w:r w:rsidRPr="00E345B2">
        <w:lastRenderedPageBreak/>
        <w:t>Մարմրման ժամանակը (ժամանակի որոշումը՝ մարմրումն սկսելուց մինչ</w:t>
      </w:r>
      <w:r>
        <w:t>եւ</w:t>
      </w:r>
      <w:r w:rsidRPr="00E345B2">
        <w:t xml:space="preserve"> դրա ավարտը) վերահսկվում է </w:t>
      </w:r>
      <w:r w:rsidRPr="00D03E8B">
        <w:rPr>
          <w:i/>
        </w:rPr>
        <w:t>«2.1.9.29. Անասնաբուժական թիթեղների, անասնաբուժական քուղերի եւ ինհալացիաների համար անասնաբուժական պինդ դեղաձեւերի տեսքով դեղապատրաստուկների մարմրման ժամանակի որոշումը»</w:t>
      </w:r>
      <w:r w:rsidRPr="00E345B2">
        <w:t xml:space="preserve"> ընդհանուր դեղագրքային հոդվածի պահանջներին համապատասխան։</w:t>
      </w:r>
    </w:p>
    <w:p w14:paraId="369AB672" w14:textId="77777777" w:rsidR="00D03E8B" w:rsidRPr="00B5542D" w:rsidRDefault="00D03E8B" w:rsidP="004A289F">
      <w:pPr>
        <w:spacing w:after="160" w:line="360" w:lineRule="auto"/>
        <w:ind w:firstLine="567"/>
        <w:jc w:val="both"/>
        <w:rPr>
          <w:b/>
        </w:rPr>
      </w:pPr>
    </w:p>
    <w:p w14:paraId="685616D7" w14:textId="77777777" w:rsidR="0035054F" w:rsidRPr="004A289F" w:rsidRDefault="0035054F" w:rsidP="004A289F">
      <w:pPr>
        <w:spacing w:after="160" w:line="360" w:lineRule="auto"/>
        <w:ind w:firstLine="567"/>
        <w:jc w:val="both"/>
        <w:rPr>
          <w:b/>
        </w:rPr>
      </w:pPr>
      <w:r w:rsidRPr="004A289F">
        <w:rPr>
          <w:b/>
        </w:rPr>
        <w:t>ՓԱԹԵԹՎԱԾՔԸ</w:t>
      </w:r>
    </w:p>
    <w:p w14:paraId="49B737BB" w14:textId="77777777" w:rsidR="0035054F" w:rsidRPr="00E345B2" w:rsidRDefault="0035054F" w:rsidP="004A289F">
      <w:pPr>
        <w:spacing w:after="160" w:line="360" w:lineRule="auto"/>
        <w:ind w:firstLine="567"/>
        <w:jc w:val="both"/>
      </w:pPr>
      <w:r w:rsidRPr="00E345B2">
        <w:t>Փաթեթվածքը պետք է ապահովի պահպանման նշված պայմաններում, սահմանված պիտանիության ժամկետի ընթացքում դեղապատրաստուկի որակը։</w:t>
      </w:r>
    </w:p>
    <w:p w14:paraId="14E1E3EB" w14:textId="77777777" w:rsidR="0035054F" w:rsidRPr="00E345B2" w:rsidRDefault="0035054F" w:rsidP="004A289F">
      <w:pPr>
        <w:spacing w:after="160" w:line="360" w:lineRule="auto"/>
        <w:ind w:firstLine="567"/>
        <w:jc w:val="both"/>
      </w:pPr>
      <w:r w:rsidRPr="00E345B2">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կիրառման ուղին։</w:t>
      </w:r>
    </w:p>
    <w:p w14:paraId="38F15FD3" w14:textId="77777777" w:rsidR="0035054F" w:rsidRPr="00E345B2" w:rsidRDefault="0035054F" w:rsidP="004A289F">
      <w:pPr>
        <w:spacing w:after="160" w:line="360" w:lineRule="auto"/>
        <w:ind w:firstLine="567"/>
        <w:jc w:val="both"/>
      </w:pPr>
      <w:r w:rsidRPr="00E345B2">
        <w:t>Ցնդող բաղադրիչներ պարունակող պատրաստուկների համար պետք է նախատեսվի հերմետիկ փաթեթվածք։</w:t>
      </w:r>
    </w:p>
    <w:p w14:paraId="1EF5F6FF" w14:textId="77777777" w:rsidR="0035054F" w:rsidRPr="00E345B2" w:rsidRDefault="0035054F" w:rsidP="004A289F">
      <w:pPr>
        <w:spacing w:after="160" w:line="360" w:lineRule="auto"/>
        <w:ind w:firstLine="567"/>
        <w:jc w:val="both"/>
      </w:pPr>
    </w:p>
    <w:p w14:paraId="5D116A34" w14:textId="77777777" w:rsidR="0035054F" w:rsidRPr="004A289F" w:rsidRDefault="0035054F" w:rsidP="004A289F">
      <w:pPr>
        <w:spacing w:after="160" w:line="360" w:lineRule="auto"/>
        <w:ind w:firstLine="567"/>
        <w:jc w:val="both"/>
        <w:rPr>
          <w:b/>
        </w:rPr>
      </w:pPr>
      <w:r w:rsidRPr="004A289F">
        <w:rPr>
          <w:b/>
        </w:rPr>
        <w:t>ՄԱԿՆՇՈՒՄԸ</w:t>
      </w:r>
    </w:p>
    <w:p w14:paraId="0024375E" w14:textId="77777777" w:rsidR="0035054F" w:rsidRPr="00E345B2" w:rsidRDefault="0035054F" w:rsidP="004A289F">
      <w:pPr>
        <w:spacing w:after="160" w:line="360" w:lineRule="auto"/>
        <w:ind w:firstLine="567"/>
        <w:jc w:val="both"/>
      </w:pPr>
      <w:r w:rsidRPr="00E345B2">
        <w:t xml:space="preserve">Երկրորդային (սպառողական) փաթեթվածքի վրա նշում են ազդող նյութերի անվանումը </w:t>
      </w:r>
      <w:r>
        <w:t>եւ</w:t>
      </w:r>
      <w:r w:rsidRPr="00E345B2">
        <w:t xml:space="preserve"> դեղապատրաստուկի որոշակի զանգվածի (ծավալի) մեջ դրանց քանակը, ինչպես նա</w:t>
      </w:r>
      <w:r>
        <w:t>եւ</w:t>
      </w:r>
      <w:r w:rsidRPr="00E345B2">
        <w:t xml:space="preserve"> բաղադրության մեջ մտնող օժանդակ նյութերը՝ առանց դրանց քանակը նշելու, եթե անասնաբուժական դեղամիջոցի վերաբերյալ նորմատիվ փաստաթղթում կամ մասնավոր դեղագրքային հոդվածում այլ ցուցումներ չկան։</w:t>
      </w:r>
    </w:p>
    <w:p w14:paraId="086CC8E6" w14:textId="77777777" w:rsidR="0035054F" w:rsidRPr="00E345B2" w:rsidRDefault="0035054F" w:rsidP="004A289F">
      <w:pPr>
        <w:spacing w:after="160" w:line="360" w:lineRule="auto"/>
        <w:ind w:firstLine="567"/>
        <w:jc w:val="both"/>
      </w:pPr>
      <w:r w:rsidRPr="00E345B2">
        <w:t>Անհրաժեշտության դեպքում պետք է լինեն նախազգուշացնող գրառումներ՝ պատրաստուկի դեղաձ</w:t>
      </w:r>
      <w:r>
        <w:t>եւ</w:t>
      </w:r>
      <w:r w:rsidRPr="00E345B2">
        <w:t xml:space="preserve">ով </w:t>
      </w:r>
      <w:r>
        <w:t>եւ</w:t>
      </w:r>
      <w:r w:rsidRPr="00E345B2">
        <w:t xml:space="preserve"> փաթեթվածքի տեսակով պայմանավորված։</w:t>
      </w:r>
    </w:p>
    <w:p w14:paraId="5063D86D" w14:textId="77777777" w:rsidR="0035054F" w:rsidRPr="00E345B2" w:rsidRDefault="0035054F" w:rsidP="004A289F">
      <w:pPr>
        <w:spacing w:after="160" w:line="360" w:lineRule="auto"/>
        <w:ind w:firstLine="567"/>
        <w:jc w:val="both"/>
      </w:pPr>
    </w:p>
    <w:p w14:paraId="2172B0A5" w14:textId="77777777" w:rsidR="007B145C" w:rsidRPr="00B5542D" w:rsidRDefault="007B145C" w:rsidP="004A289F">
      <w:pPr>
        <w:spacing w:after="160" w:line="360" w:lineRule="auto"/>
        <w:ind w:firstLine="567"/>
        <w:jc w:val="right"/>
        <w:rPr>
          <w:b/>
          <w:sz w:val="20"/>
        </w:rPr>
      </w:pPr>
    </w:p>
    <w:p w14:paraId="47EF7971" w14:textId="77777777" w:rsidR="0035054F" w:rsidRPr="00B5542D" w:rsidRDefault="0035054F" w:rsidP="004A289F">
      <w:pPr>
        <w:spacing w:after="160" w:line="360" w:lineRule="auto"/>
        <w:ind w:firstLine="567"/>
        <w:jc w:val="right"/>
        <w:rPr>
          <w:b/>
          <w:sz w:val="20"/>
        </w:rPr>
      </w:pPr>
      <w:r w:rsidRPr="004A289F">
        <w:rPr>
          <w:b/>
          <w:sz w:val="20"/>
        </w:rPr>
        <w:lastRenderedPageBreak/>
        <w:t>205040006-2022</w:t>
      </w:r>
    </w:p>
    <w:p w14:paraId="4912B32D" w14:textId="77777777" w:rsidR="004A289F" w:rsidRPr="00B5542D" w:rsidRDefault="004A289F" w:rsidP="004A289F">
      <w:pPr>
        <w:spacing w:after="160" w:line="360" w:lineRule="auto"/>
        <w:ind w:firstLine="567"/>
        <w:jc w:val="both"/>
        <w:rPr>
          <w:b/>
        </w:rPr>
      </w:pPr>
    </w:p>
    <w:p w14:paraId="6D7097FE" w14:textId="77777777" w:rsidR="0035054F" w:rsidRPr="004A289F" w:rsidRDefault="0035054F" w:rsidP="004A289F">
      <w:pPr>
        <w:tabs>
          <w:tab w:val="left" w:pos="1701"/>
        </w:tabs>
        <w:spacing w:after="160" w:line="360" w:lineRule="auto"/>
        <w:ind w:firstLine="567"/>
        <w:jc w:val="both"/>
        <w:rPr>
          <w:b/>
        </w:rPr>
      </w:pPr>
      <w:r w:rsidRPr="004A289F">
        <w:rPr>
          <w:b/>
        </w:rPr>
        <w:t>2.5.4.6.</w:t>
      </w:r>
      <w:r w:rsidR="004A289F" w:rsidRPr="00B5542D">
        <w:rPr>
          <w:b/>
        </w:rPr>
        <w:tab/>
      </w:r>
      <w:r w:rsidRPr="004A289F">
        <w:rPr>
          <w:b/>
        </w:rPr>
        <w:t>Մեղուների համար անասնաբուժական դեղապատրաստուկները</w:t>
      </w:r>
    </w:p>
    <w:p w14:paraId="1383D287" w14:textId="77777777" w:rsidR="0035054F" w:rsidRPr="00E345B2" w:rsidRDefault="0035054F" w:rsidP="004A289F">
      <w:pPr>
        <w:spacing w:after="160" w:line="360" w:lineRule="auto"/>
        <w:ind w:firstLine="567"/>
        <w:jc w:val="both"/>
      </w:pPr>
      <w:r w:rsidRPr="00E345B2">
        <w:t>Մեղուների համար անասնաբուժական դեղապատրաստուկները նախատեսված են մեղրատու մեղուների հիվանդությունների ժամանակ բուժիչ-կանխարգելիչ նպատակով կիրառության համար։</w:t>
      </w:r>
    </w:p>
    <w:p w14:paraId="43304435" w14:textId="77777777" w:rsidR="0035054F" w:rsidRPr="00E345B2" w:rsidRDefault="0035054F" w:rsidP="004A289F">
      <w:pPr>
        <w:spacing w:after="160" w:line="360" w:lineRule="auto"/>
        <w:ind w:firstLine="567"/>
        <w:jc w:val="both"/>
      </w:pPr>
      <w:r w:rsidRPr="00E345B2">
        <w:t>Մեղուների համար անասնաբուժական դեղապատրաստուկները կարող են ունենալ հետ</w:t>
      </w:r>
      <w:r>
        <w:t>եւ</w:t>
      </w:r>
      <w:r w:rsidRPr="00E345B2">
        <w:t>յալ դեղաձ</w:t>
      </w:r>
      <w:r>
        <w:t>եւ</w:t>
      </w:r>
      <w:r w:rsidRPr="00E345B2">
        <w:t>երը.</w:t>
      </w:r>
    </w:p>
    <w:p w14:paraId="2DB583D1"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հեղուկ (արտաքին կիրառման լուծույթներ, ներքին ընդունման լուծույթներ, արտաքին կիրառման կախույթներ, ներքին ընդունման կախույթներ, արտաքին կիրառման էմուլսիաներ, արտաքին կիրառման լուծույթների պատրաստման համար կոնցենտրատներ, ներքին ընդունման լուծույթների պատրաստման համար կոնցենտրատներ, արտաքին կիրառման կախույթների պատրաստման համար կոնցենտրատներ, ներքին ընդունման կախույթների պատրաստման համար կոնցենտրատներ, արտաքին կիրառման էմուլսիաների պատրաստման համար կոնցենտրատներ).</w:t>
      </w:r>
    </w:p>
    <w:p w14:paraId="278EA53F"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արտաքին կիրառման լուծամզվածքներ, ներքին ընդունման լուծամզվածքներ.</w:t>
      </w:r>
    </w:p>
    <w:p w14:paraId="26661DD5"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փափուկ (արտաքին կիրառման մածուկներ, ներքին ընդունման մածուկներ, արտաքին կիրառման դոնդողներ, ներքին ընդունման դոնդողներ).</w:t>
      </w:r>
    </w:p>
    <w:p w14:paraId="369333D8"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 xml:space="preserve">պինդ (արտաքին կիրառման փոշիներ, ներքին ընդունման փոշիներ, արտաքին կիրառման լուծույթների պատրաստման համար փոշիներ, ներքին ընդունման լուծույթների պատրաստման համար փոշիներ, արտաքին կիրառման կախույթների պատրաստման համար փոշիներ, ներքին ընդունման կախույթների պատրաստման համար փոշիներ, արտաքին կիրառման լուծույթների պատրաստման համար լիոֆիլիզատներ, ներքին ընդունման լուծույթների պատրաստման համար լիոֆիլիզատներ, արտաքին կիրառման կախույթների </w:t>
      </w:r>
      <w:r w:rsidRPr="00E345B2">
        <w:lastRenderedPageBreak/>
        <w:t>պատրաստման համար լիոֆիլիզատներ, ներքին ընդունման կախույթների պատրաստման համար լիոֆիլիզատներ).</w:t>
      </w:r>
    </w:p>
    <w:p w14:paraId="4838B98A" w14:textId="77777777" w:rsidR="0035054F" w:rsidRPr="00E345B2" w:rsidRDefault="0035054F" w:rsidP="004A289F">
      <w:pPr>
        <w:tabs>
          <w:tab w:val="left" w:pos="1134"/>
        </w:tabs>
        <w:spacing w:after="160" w:line="360" w:lineRule="auto"/>
        <w:ind w:firstLine="567"/>
        <w:jc w:val="both"/>
      </w:pPr>
      <w:r w:rsidRPr="00E345B2">
        <w:t>-</w:t>
      </w:r>
      <w:r w:rsidR="004A289F" w:rsidRPr="00B5542D">
        <w:tab/>
      </w:r>
      <w:r w:rsidRPr="00E345B2">
        <w:t>անասնաբուժական թիթեղներ, անասնաբուժական քուղեր։</w:t>
      </w:r>
    </w:p>
    <w:p w14:paraId="4332B554" w14:textId="77777777" w:rsidR="0035054F" w:rsidRPr="00E345B2" w:rsidRDefault="0035054F" w:rsidP="004A289F">
      <w:pPr>
        <w:tabs>
          <w:tab w:val="left" w:pos="1134"/>
        </w:tabs>
        <w:spacing w:after="160" w:line="360" w:lineRule="auto"/>
        <w:ind w:firstLine="567"/>
        <w:jc w:val="both"/>
      </w:pPr>
      <w:r w:rsidRPr="00E345B2">
        <w:t>Ըստ ազդեցության եղանակի՝ տարանջատում են մեղուների համար անասնաբուժական դեղապատրաստուկների մի քանի կատեգորիաներ.</w:t>
      </w:r>
    </w:p>
    <w:p w14:paraId="0B633B53"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կոնտակտային ազդեցության պատրաստուկներ (արտաքին կիրառման լուծույթներ, արտաքին կիրառման կախույթներ, արտաքին կիրառման էմուլսիաներ, արտաքին կիրառման լուծույթների պատրաստման համար կոնցենտրատներ, արտաքին կիրառման կախույթների պատրաստման համար կոնցենտրատներ, արտաքին կիրառման էմուլսիաների պատրաստման համար կոնցենտրատներ, արտաքին կիրառման լուծամզվածքներ, արտաքին կիրառման մածուկներ, արտաքին կիրառման դոնդողներ, արտաքին կիրառման փոշիներ, արտաքին կիրառման լուծույթների պատրաստման համար փոշիներ, արտաքին կիրառման կախույթների պատրաստման համար փոշիներ, արտաքին կիրառման լուծույթների պատրաստման համար լիոֆիլիզատներ, արտաքին կիրառման կախույթների պատրաստման համար լիոֆիլիզատներ). ազդող նյութը (նյութերը) մեղուների օրգանիզմի վրա ազդեցություն է գործում պատրաստուկի հետ միջատի ֆիզիկական շփման միջոցով.</w:t>
      </w:r>
    </w:p>
    <w:p w14:paraId="78E79087" w14:textId="77777777" w:rsidR="0035054F" w:rsidRPr="00B5542D" w:rsidRDefault="0035054F" w:rsidP="004A289F">
      <w:pPr>
        <w:tabs>
          <w:tab w:val="left" w:pos="1134"/>
        </w:tabs>
        <w:spacing w:after="160" w:line="360" w:lineRule="auto"/>
        <w:ind w:firstLine="567"/>
        <w:jc w:val="both"/>
      </w:pPr>
      <w:r w:rsidRPr="00E345B2">
        <w:t>-</w:t>
      </w:r>
      <w:r w:rsidR="004A289F" w:rsidRPr="004A289F">
        <w:tab/>
      </w:r>
      <w:r w:rsidRPr="00E345B2">
        <w:t xml:space="preserve">ներքին ընդունման պատրաստուկներ (ներքին ընդունման լուծույթներ, ներքին ընդունման կախույթներ, ներքին ընդունման լուծույթների պատրաստման համար կոնցենտրատներ, ներքին ընդունման կախույթների պատրաստման համար կոնցենտրատներ, ներքին ընդունման լուծամզվածքներ, ներքին ընդունման մածուկներ, ներքին ընդունման դոնդողներ, ներքին ընդունման փոշիներ, ներքին ընդունման լուծույթների պատրաստման համար լիոֆիլիզատներ, ներքին ընդունման կախույթների պատրաստման համար լիոֆիլիզատներ)՝ մեղուներին կերակրում են շաքարի օշարակի կամ հատուկ կերի՝ կանդիի (ջրի, ալյուրի </w:t>
      </w:r>
      <w:r>
        <w:t>եւ</w:t>
      </w:r>
      <w:r w:rsidRPr="00E345B2">
        <w:t xml:space="preserve"> շաքարի խառնուրդ) խառնուրդով.</w:t>
      </w:r>
    </w:p>
    <w:p w14:paraId="66A07FC7" w14:textId="77777777" w:rsidR="007B145C" w:rsidRPr="00B5542D" w:rsidRDefault="007B145C" w:rsidP="004A289F">
      <w:pPr>
        <w:tabs>
          <w:tab w:val="left" w:pos="1134"/>
        </w:tabs>
        <w:spacing w:after="160" w:line="360" w:lineRule="auto"/>
        <w:ind w:firstLine="567"/>
        <w:jc w:val="both"/>
      </w:pPr>
    </w:p>
    <w:p w14:paraId="3652F57F" w14:textId="77777777" w:rsidR="0035054F" w:rsidRPr="00E345B2" w:rsidRDefault="0035054F" w:rsidP="004A289F">
      <w:pPr>
        <w:tabs>
          <w:tab w:val="left" w:pos="1134"/>
        </w:tabs>
        <w:spacing w:after="160" w:line="360" w:lineRule="auto"/>
        <w:ind w:firstLine="567"/>
        <w:jc w:val="both"/>
      </w:pPr>
      <w:r w:rsidRPr="00E345B2">
        <w:lastRenderedPageBreak/>
        <w:t>-</w:t>
      </w:r>
      <w:r w:rsidR="004A289F" w:rsidRPr="004A289F">
        <w:tab/>
      </w:r>
      <w:r w:rsidRPr="00E345B2">
        <w:t>պատրաստուկները, որոնք կիրառվում են աերոզոլի տեսքով (ջերմային գոլորշիացման դեպքում) կամ օժանդակ նյութերի մարմրման ընթացքում բարձր ջերմաստիճանի ազդեցության տակ ազդող նյութի (նյութերի) ջերմային ցնդեցման եղանակով (անասնաբուժական թիթեղներ, անասնաբուժական քուղեր).</w:t>
      </w:r>
    </w:p>
    <w:p w14:paraId="27A0DACF" w14:textId="77777777" w:rsidR="0035054F" w:rsidRPr="00E345B2" w:rsidRDefault="0035054F" w:rsidP="004A289F">
      <w:pPr>
        <w:spacing w:after="160" w:line="360" w:lineRule="auto"/>
        <w:ind w:firstLine="567"/>
        <w:jc w:val="both"/>
      </w:pPr>
      <w:r w:rsidRPr="00E345B2">
        <w:t>Մեղուների համար նախատեսված՝ հեղուկ դեղաձ</w:t>
      </w:r>
      <w:r>
        <w:t>եւ</w:t>
      </w:r>
      <w:r w:rsidRPr="00E345B2">
        <w:t xml:space="preserve">երով անասնաբուժական դեղապատրաստուկները պարունակում են համապատասխան կրիչի մեջ մեկ կամ մի քանի ազդող նյութ, նախատեսված են արտաքին կիրառման կամ ներքին ընդունման համար՝ տեղային </w:t>
      </w:r>
      <w:r>
        <w:t>եւ</w:t>
      </w:r>
      <w:r w:rsidRPr="00E345B2">
        <w:t xml:space="preserve"> (կամ) համակարգային ազդեցության հասնելու նպատակով։</w:t>
      </w:r>
    </w:p>
    <w:p w14:paraId="60F71096" w14:textId="77777777" w:rsidR="0035054F" w:rsidRPr="00E345B2" w:rsidRDefault="0035054F" w:rsidP="004A289F">
      <w:pPr>
        <w:spacing w:after="160" w:line="360" w:lineRule="auto"/>
        <w:ind w:firstLine="567"/>
        <w:jc w:val="both"/>
      </w:pPr>
      <w:r w:rsidRPr="00E345B2">
        <w:t>Կոնցենտրատներ՝ հեղուկ դեղաձ</w:t>
      </w:r>
      <w:r>
        <w:t>եւ</w:t>
      </w:r>
      <w:r w:rsidRPr="00E345B2">
        <w:t>, որը նախատեսված է համապատասխան լուծիչի մեջ մինչ</w:t>
      </w:r>
      <w:r>
        <w:t>եւ</w:t>
      </w:r>
      <w:r w:rsidRPr="00E345B2">
        <w:t xml:space="preserve"> պահանջվող կոնցենտրացիան նոսրացնելուց (ջրիկացնելուց) հետո կիրառության համար։ Կոնցենտրատները կարող են պարունակել մեկ կամ մի քանի ազդող նյութ՝ օժանդակ նյութերի ավելացմամբ կամ առանց ավելացման։ Կոնցենտրատները նա</w:t>
      </w:r>
      <w:r>
        <w:t>եւ</w:t>
      </w:r>
      <w:r w:rsidRPr="00E345B2">
        <w:t xml:space="preserve"> օգտագործում են այլ դեղաձ</w:t>
      </w:r>
      <w:r>
        <w:t>եւ</w:t>
      </w:r>
      <w:r w:rsidRPr="00E345B2">
        <w:t>եր (լուծույթներ, կախույթներ, էմուլսիաներ) ստանալու համար։</w:t>
      </w:r>
    </w:p>
    <w:p w14:paraId="01443F16" w14:textId="77777777" w:rsidR="0035054F" w:rsidRPr="00E345B2" w:rsidRDefault="0035054F" w:rsidP="004A289F">
      <w:pPr>
        <w:spacing w:after="160" w:line="360" w:lineRule="auto"/>
        <w:ind w:firstLine="567"/>
        <w:jc w:val="both"/>
      </w:pPr>
      <w:r w:rsidRPr="00E345B2">
        <w:t>Լուծամզվածքներ՝ մեղուների համար նախատեսված անասնաբուժական դեղապատրաստուկների դեղաձ</w:t>
      </w:r>
      <w:r>
        <w:t>եւ</w:t>
      </w:r>
      <w:r w:rsidRPr="00E345B2">
        <w:t>, որը դեղաբուսական հումքից կոնցենտրացված հանուկ է։</w:t>
      </w:r>
    </w:p>
    <w:p w14:paraId="3234D462" w14:textId="77777777" w:rsidR="0035054F" w:rsidRPr="00E345B2" w:rsidRDefault="0035054F" w:rsidP="004A289F">
      <w:pPr>
        <w:spacing w:after="160" w:line="360" w:lineRule="auto"/>
        <w:ind w:firstLine="567"/>
        <w:jc w:val="both"/>
      </w:pPr>
      <w:r w:rsidRPr="00E345B2">
        <w:t xml:space="preserve">Լուծամզվածքները կարելի է ստանալ դեղաբուսական հումքի մեկ տեսակի (պարզ) հիմքով </w:t>
      </w:r>
      <w:r>
        <w:t>եւ</w:t>
      </w:r>
      <w:r w:rsidRPr="00E345B2">
        <w:t xml:space="preserve"> դեղաբուսական հումքի մի քանի տեսակների խառնուրդի (բարդ, համալիր) հիմքով։</w:t>
      </w:r>
    </w:p>
    <w:p w14:paraId="2FC47F95" w14:textId="77777777" w:rsidR="0035054F" w:rsidRPr="00B5542D" w:rsidRDefault="0035054F" w:rsidP="004A289F">
      <w:pPr>
        <w:spacing w:after="160" w:line="360" w:lineRule="auto"/>
        <w:ind w:firstLine="567"/>
        <w:jc w:val="both"/>
      </w:pPr>
      <w:r w:rsidRPr="00E345B2">
        <w:t>Մեղուների համար նախատեսված անասնաբուժական դեղապատրաստուկների փափուկ դեղաձ</w:t>
      </w:r>
      <w:r>
        <w:t>եւ</w:t>
      </w:r>
      <w:r w:rsidRPr="00E345B2">
        <w:t>երը պարունակում են զգալի քանակությամբ (20 %-ից ավելի) լավ մանրացված պինդ նյութեր (մածուկներ) կամ կոլոիդային դիսպերսիաներ են, որոնք ստացվել են հատուկ նյութերի օգտագործմամբ դոնդողագոյացման միջոցով (դոնդողներ)։</w:t>
      </w:r>
    </w:p>
    <w:p w14:paraId="205F3D27" w14:textId="77777777" w:rsidR="007B145C" w:rsidRPr="00B5542D" w:rsidRDefault="007B145C" w:rsidP="004A289F">
      <w:pPr>
        <w:spacing w:after="160" w:line="360" w:lineRule="auto"/>
        <w:ind w:firstLine="567"/>
        <w:jc w:val="both"/>
      </w:pPr>
    </w:p>
    <w:p w14:paraId="00B9BDFA" w14:textId="77777777" w:rsidR="0035054F" w:rsidRPr="00E345B2" w:rsidRDefault="0035054F" w:rsidP="004A289F">
      <w:pPr>
        <w:spacing w:after="160" w:line="360" w:lineRule="auto"/>
        <w:ind w:firstLine="567"/>
        <w:jc w:val="both"/>
      </w:pPr>
      <w:r w:rsidRPr="00E345B2">
        <w:lastRenderedPageBreak/>
        <w:t>Փոշիներ՝ մեղուների համար նախատեսված անասնաբուժական դեղապատրաստուկների պինդ դեղաձ</w:t>
      </w:r>
      <w:r>
        <w:t>եւ</w:t>
      </w:r>
      <w:r w:rsidRPr="00E345B2">
        <w:t xml:space="preserve">, որը բաղկացած է դիսպերսության տարբեր աստիճանի առանձին չոր մասնիկներից </w:t>
      </w:r>
      <w:r>
        <w:t>եւ</w:t>
      </w:r>
      <w:r w:rsidRPr="00E345B2">
        <w:t xml:space="preserve"> օժտված է սորալու հատկությամբ։</w:t>
      </w:r>
    </w:p>
    <w:p w14:paraId="70B9CF82" w14:textId="77777777" w:rsidR="0035054F" w:rsidRPr="00E345B2" w:rsidRDefault="0035054F" w:rsidP="004A289F">
      <w:pPr>
        <w:spacing w:after="160" w:line="360" w:lineRule="auto"/>
        <w:ind w:firstLine="567"/>
        <w:jc w:val="both"/>
      </w:pPr>
      <w:r w:rsidRPr="00E345B2">
        <w:t>Լիոֆիլիզատներ՝ մեղուների համար նախատեսված անասնաբուժական դեղապատրաստուկների պինդ դեղաձ</w:t>
      </w:r>
      <w:r>
        <w:t>եւ</w:t>
      </w:r>
      <w:r w:rsidRPr="00E345B2">
        <w:t>՝ փոշու կամ ծակոտկեն զանգվածի տեսքով, որն ստացվել է հեղուկ կամ փափուկ կոնսիստենցիայի դեղամիջոցների լիոֆիլացման միջոցով։</w:t>
      </w:r>
    </w:p>
    <w:p w14:paraId="235AB2D1" w14:textId="77777777" w:rsidR="0035054F" w:rsidRPr="00E345B2" w:rsidRDefault="0035054F" w:rsidP="004A289F">
      <w:pPr>
        <w:spacing w:after="160" w:line="360" w:lineRule="auto"/>
        <w:ind w:firstLine="567"/>
        <w:jc w:val="both"/>
      </w:pPr>
      <w:r w:rsidRPr="00E345B2">
        <w:t xml:space="preserve">Փոշիները </w:t>
      </w:r>
      <w:r>
        <w:t>եւ</w:t>
      </w:r>
      <w:r w:rsidRPr="00E345B2">
        <w:t xml:space="preserve"> լիոֆիլիզատները կարող են օգտագործվել մեղուների համար նախատեսված անասնաբուժական դեղապատրաստուկների այլ դեղաձ</w:t>
      </w:r>
      <w:r>
        <w:t>եւ</w:t>
      </w:r>
      <w:r w:rsidRPr="00E345B2">
        <w:t>երի պատրաստման համար՝ համապատասխան լուծիչի մեջ լուծելու/դիսպերսելու միջոցով՝ լուծույթներ, կախույթներ։</w:t>
      </w:r>
    </w:p>
    <w:p w14:paraId="698AB7A4" w14:textId="77777777" w:rsidR="0035054F" w:rsidRPr="00E345B2" w:rsidRDefault="0035054F" w:rsidP="004A289F">
      <w:pPr>
        <w:spacing w:after="160" w:line="360" w:lineRule="auto"/>
        <w:ind w:firstLine="567"/>
        <w:jc w:val="both"/>
      </w:pPr>
      <w:r w:rsidRPr="00E345B2">
        <w:t>Անասնաբուժական թիթեղներ՝ դեղաձ</w:t>
      </w:r>
      <w:r>
        <w:t>եւ</w:t>
      </w:r>
      <w:r w:rsidRPr="00E345B2">
        <w:t>, որը բաղկացած է պինդ հիմքից՝ վերջինիս վրա հավասարաչափ տարածված ազդող նյութով (նյութերով)։ Հիմքը կարող է լինել փայտի նրբատախտակից, ստվարաթղթից կամ պոլիմերային նյութերից։</w:t>
      </w:r>
    </w:p>
    <w:p w14:paraId="09B405DE" w14:textId="77777777" w:rsidR="0035054F" w:rsidRPr="00E345B2" w:rsidRDefault="0035054F" w:rsidP="004A289F">
      <w:pPr>
        <w:spacing w:after="160" w:line="360" w:lineRule="auto"/>
        <w:ind w:firstLine="567"/>
        <w:jc w:val="both"/>
      </w:pPr>
      <w:r w:rsidRPr="00E345B2">
        <w:t>Անասնաբուժական թիթեղները տեղադրում են փեթակների ներսում՝ միջշրջանակային տարածության մեջ կախելու միջոցով։ Այդ նպատակով թիթեղները կարող են ունենալ անցքեր։</w:t>
      </w:r>
    </w:p>
    <w:p w14:paraId="5A51CFB7" w14:textId="77777777" w:rsidR="0035054F" w:rsidRPr="00E345B2" w:rsidRDefault="0035054F" w:rsidP="004A289F">
      <w:pPr>
        <w:spacing w:after="160" w:line="360" w:lineRule="auto"/>
        <w:ind w:firstLine="567"/>
        <w:jc w:val="both"/>
      </w:pPr>
      <w:r w:rsidRPr="00E345B2">
        <w:t xml:space="preserve">Անասնաբուժական թիթեղների կիրառման ժամանակ ազդող նյութի (նյութերի) ձերբազատումը տեղի է ունենում ընտրված նյութերի կամ հիմքի </w:t>
      </w:r>
      <w:r>
        <w:t>եւ</w:t>
      </w:r>
      <w:r w:rsidRPr="00E345B2">
        <w:t xml:space="preserve"> ազդող նյութի (նյութերի) կառուցվածքի </w:t>
      </w:r>
      <w:r>
        <w:t>եւ</w:t>
      </w:r>
      <w:r w:rsidRPr="00E345B2">
        <w:t xml:space="preserve"> սպեցիֆիկ քիմիական, ֆիզիկական </w:t>
      </w:r>
      <w:r>
        <w:t>եւ</w:t>
      </w:r>
      <w:r w:rsidRPr="00E345B2">
        <w:t xml:space="preserve"> ֆիզիկաքիմիական հատկությունների հաշվին։</w:t>
      </w:r>
    </w:p>
    <w:p w14:paraId="0F9A96EB" w14:textId="77777777" w:rsidR="0035054F" w:rsidRPr="00B5542D" w:rsidRDefault="0035054F" w:rsidP="004A289F">
      <w:pPr>
        <w:spacing w:after="160" w:line="360" w:lineRule="auto"/>
        <w:ind w:firstLine="567"/>
        <w:jc w:val="both"/>
      </w:pPr>
      <w:r w:rsidRPr="00E345B2">
        <w:t>Անասնաբուժական քուղեր՝ պինդ դեղաձ</w:t>
      </w:r>
      <w:r>
        <w:t>եւ</w:t>
      </w:r>
      <w:r w:rsidRPr="00E345B2">
        <w:t>, որը բաղկացած է հիմքից (քուղից)՝ վերջինիս վրա հավասարաչափ տարածված ազդող նյութով (նյութերով)։ Հիմքը կարող է լինել բուսական ծագման մանրաթելերից։</w:t>
      </w:r>
    </w:p>
    <w:p w14:paraId="389C7D61" w14:textId="77777777" w:rsidR="007B145C" w:rsidRPr="00B5542D" w:rsidRDefault="007B145C" w:rsidP="004A289F">
      <w:pPr>
        <w:spacing w:after="160" w:line="360" w:lineRule="auto"/>
        <w:ind w:firstLine="567"/>
        <w:jc w:val="both"/>
      </w:pPr>
    </w:p>
    <w:p w14:paraId="6682BB11" w14:textId="77777777" w:rsidR="0035054F" w:rsidRPr="00E345B2" w:rsidRDefault="0035054F" w:rsidP="004A289F">
      <w:pPr>
        <w:spacing w:after="160" w:line="360" w:lineRule="auto"/>
        <w:ind w:firstLine="567"/>
        <w:jc w:val="both"/>
      </w:pPr>
      <w:r w:rsidRPr="00E345B2">
        <w:lastRenderedPageBreak/>
        <w:t>Մեղուների համար նախատեսված անասնաբուժական դեղապատրաստուկները թողարկում են միադեղաչափ կամ բազմադեղաչափ փաթեթվածքներով, որոնք թույլ են տալիս փաթեթվածքը բացելուց հետո պատրաստուկները դնել փեթակի մեջ կամ պատրաստուկի որոշակի դեղաչափ տեղափոխել տակդիրի վրա։</w:t>
      </w:r>
    </w:p>
    <w:p w14:paraId="404F6A4B" w14:textId="77777777" w:rsidR="0035054F" w:rsidRPr="00E345B2" w:rsidRDefault="0035054F" w:rsidP="004A289F">
      <w:pPr>
        <w:spacing w:after="160" w:line="360" w:lineRule="auto"/>
        <w:ind w:firstLine="567"/>
        <w:jc w:val="both"/>
      </w:pPr>
      <w:r w:rsidRPr="00E345B2">
        <w:t>Հեղուկ դեղաձ</w:t>
      </w:r>
      <w:r>
        <w:t>եւ</w:t>
      </w:r>
      <w:r w:rsidRPr="00E345B2">
        <w:t>երը դոզավորում են ըստ ծավալի՝ մեղուների 1 ընտանիքի (փեթակի) կամ 1 միջշրջանակային տարածության (մեղրաբջիջների միջ</w:t>
      </w:r>
      <w:r>
        <w:t>եւ</w:t>
      </w:r>
      <w:r w:rsidRPr="00E345B2">
        <w:t xml:space="preserve"> բացակի) հաշվարկով։</w:t>
      </w:r>
    </w:p>
    <w:p w14:paraId="41ADA766" w14:textId="77777777" w:rsidR="0035054F" w:rsidRPr="00E345B2" w:rsidRDefault="0035054F" w:rsidP="004A289F">
      <w:pPr>
        <w:spacing w:after="160" w:line="360" w:lineRule="auto"/>
        <w:ind w:firstLine="567"/>
        <w:jc w:val="both"/>
      </w:pPr>
      <w:r w:rsidRPr="00E345B2">
        <w:t xml:space="preserve">Մեղուների համար նախատեսված անասնաբուժական դեղապատրաստուկների փափուկ </w:t>
      </w:r>
      <w:r>
        <w:t>եւ</w:t>
      </w:r>
      <w:r w:rsidRPr="00E345B2">
        <w:t xml:space="preserve"> պինդ դեղաձ</w:t>
      </w:r>
      <w:r>
        <w:t>եւ</w:t>
      </w:r>
      <w:r w:rsidRPr="00E345B2">
        <w:t>երը դոզավորում են ըստ զանգվածի՝ մեկ մեղվաընտանիքի (փեթակի) համար 1 փաթեթվածքի հաշվարկով։</w:t>
      </w:r>
    </w:p>
    <w:p w14:paraId="3DFBB9F7" w14:textId="77777777" w:rsidR="0035054F" w:rsidRPr="00E345B2" w:rsidRDefault="0035054F" w:rsidP="004A289F">
      <w:pPr>
        <w:spacing w:after="160" w:line="360" w:lineRule="auto"/>
        <w:ind w:firstLine="567"/>
        <w:jc w:val="both"/>
      </w:pPr>
      <w:r w:rsidRPr="00D03E8B">
        <w:rPr>
          <w:spacing w:val="-4"/>
        </w:rPr>
        <w:t>Անասնաբուժական թիթեղները եւ անասնաբուժական քուղերը դոզավորում են ըստ թիթեղների կամ քուղերի միավորների քանակի՝ մեկ մեղվաընտանիքի (փեթակի)</w:t>
      </w:r>
      <w:r w:rsidRPr="00E345B2">
        <w:t xml:space="preserve"> հաշվարկով։</w:t>
      </w:r>
    </w:p>
    <w:p w14:paraId="7D19FE43" w14:textId="77777777" w:rsidR="0035054F" w:rsidRPr="00E345B2" w:rsidRDefault="0035054F" w:rsidP="004A289F">
      <w:pPr>
        <w:spacing w:after="160" w:line="360" w:lineRule="auto"/>
        <w:ind w:firstLine="567"/>
        <w:jc w:val="both"/>
      </w:pPr>
    </w:p>
    <w:p w14:paraId="693C3FC2" w14:textId="77777777" w:rsidR="0035054F" w:rsidRPr="004A289F" w:rsidRDefault="0035054F" w:rsidP="004A289F">
      <w:pPr>
        <w:spacing w:after="160" w:line="360" w:lineRule="auto"/>
        <w:ind w:firstLine="567"/>
        <w:jc w:val="both"/>
        <w:rPr>
          <w:b/>
        </w:rPr>
      </w:pPr>
      <w:r w:rsidRPr="004A289F">
        <w:rPr>
          <w:b/>
        </w:rPr>
        <w:t>ՏԵԽՆՈԼՈԳԻԱՅԻ ԱՌԱՆՁՆԱՀԱՏԿՈՒԹՅՈՒՆՆԵՐԸ</w:t>
      </w:r>
    </w:p>
    <w:p w14:paraId="4766D336" w14:textId="77777777" w:rsidR="0035054F" w:rsidRPr="00E345B2" w:rsidRDefault="0035054F" w:rsidP="004A289F">
      <w:pPr>
        <w:spacing w:after="160" w:line="360" w:lineRule="auto"/>
        <w:ind w:firstLine="567"/>
        <w:jc w:val="both"/>
      </w:pPr>
      <w:r w:rsidRPr="00E345B2">
        <w:t>Դեղապատրաստուկների մշակման ժամանակ հարկավոր է հաշվի առնել, որ դեղաձ</w:t>
      </w:r>
      <w:r>
        <w:t>եւ</w:t>
      </w:r>
      <w:r w:rsidRPr="00E345B2">
        <w:t xml:space="preserve">ը պետք է հարմար լինի անմիջապես փեթակի ներսում կիրառության համար։ Օժանդակ նյութերը (կոնսերվանտները, հակաօքսիդանտները, կայունացուցիչները, էմուլսարարները, թանձրացուցիչները </w:t>
      </w:r>
      <w:r>
        <w:t>եւ</w:t>
      </w:r>
      <w:r w:rsidRPr="00E345B2">
        <w:t xml:space="preserve"> այլն) պետք է լինեն դեղագործական տեսանկյունից համատեղելի, ապահովեն դեղաձ</w:t>
      </w:r>
      <w:r>
        <w:t>եւ</w:t>
      </w:r>
      <w:r w:rsidRPr="00E345B2">
        <w:t xml:space="preserve">երի օպտիմալ տեխնոլոգիական բնութագրերը </w:t>
      </w:r>
      <w:r>
        <w:t>եւ</w:t>
      </w:r>
      <w:r w:rsidRPr="00E345B2">
        <w:t xml:space="preserve"> կիրառվող կոնցենտրացիաներով անցանկալի ազդեցություն չպետք է թողնեն մեղուների վրա։</w:t>
      </w:r>
    </w:p>
    <w:p w14:paraId="4EC1A15F" w14:textId="77777777" w:rsidR="0035054F" w:rsidRPr="00E345B2" w:rsidRDefault="0035054F" w:rsidP="004A289F">
      <w:pPr>
        <w:spacing w:after="160" w:line="360" w:lineRule="auto"/>
        <w:ind w:firstLine="567"/>
        <w:jc w:val="both"/>
      </w:pPr>
      <w:r w:rsidRPr="00E345B2">
        <w:t xml:space="preserve">Դեղապատրաստուկների բաղադրությունը </w:t>
      </w:r>
      <w:r>
        <w:t>եւ</w:t>
      </w:r>
      <w:r w:rsidRPr="00E345B2">
        <w:t xml:space="preserve"> արտադրության տեխնոլոգիան պետք է ապահովեն կրիչի կամ հիմքի մեջ ազդող նյութի (նյութերի) հավասարաչափ բաշխումը, ինչպես նա</w:t>
      </w:r>
      <w:r>
        <w:t>եւ</w:t>
      </w:r>
      <w:r w:rsidRPr="00E345B2">
        <w:t xml:space="preserve"> պահպանման ընթացքում դեղաձ</w:t>
      </w:r>
      <w:r>
        <w:t>եւ</w:t>
      </w:r>
      <w:r w:rsidRPr="00E345B2">
        <w:t>ի կայունությունը։</w:t>
      </w:r>
    </w:p>
    <w:p w14:paraId="7558A2C8" w14:textId="77777777" w:rsidR="0035054F" w:rsidRPr="00E345B2" w:rsidRDefault="0035054F" w:rsidP="004A289F">
      <w:pPr>
        <w:spacing w:after="160" w:line="360" w:lineRule="auto"/>
        <w:ind w:firstLine="567"/>
        <w:jc w:val="both"/>
      </w:pPr>
      <w:r w:rsidRPr="00E345B2">
        <w:lastRenderedPageBreak/>
        <w:t>Դեղաչափված դեղաձ</w:t>
      </w:r>
      <w:r>
        <w:t>եւ</w:t>
      </w:r>
      <w:r w:rsidRPr="00E345B2">
        <w:t xml:space="preserve">երի մշակման ժամանակ պետք է հաստատվի, որ առաջարկվող բաղադրությունը </w:t>
      </w:r>
      <w:r>
        <w:t>եւ</w:t>
      </w:r>
      <w:r w:rsidRPr="00E345B2">
        <w:t xml:space="preserve"> արտադրության տեխնոլոգիան ապահովում</w:t>
      </w:r>
      <w:r>
        <w:t xml:space="preserve"> </w:t>
      </w:r>
      <w:r w:rsidRPr="00E345B2">
        <w:t>են դեղաչափման միատարրությունը։</w:t>
      </w:r>
    </w:p>
    <w:p w14:paraId="6469DAB9" w14:textId="77777777" w:rsidR="0035054F" w:rsidRPr="00E345B2" w:rsidRDefault="0035054F" w:rsidP="007B145C">
      <w:pPr>
        <w:spacing w:after="160" w:line="346" w:lineRule="auto"/>
        <w:ind w:firstLine="567"/>
        <w:jc w:val="both"/>
      </w:pPr>
      <w:r w:rsidRPr="00E345B2">
        <w:t xml:space="preserve">Դեղապատրաստուկների բաղադրության մեջ հակամանրէային </w:t>
      </w:r>
      <w:r w:rsidRPr="007B145C">
        <w:rPr>
          <w:spacing w:val="-4"/>
        </w:rPr>
        <w:t>կոնսերվանտների օգտագործման անհրաժեշտությունը պետք է հիմնավորվի։ Պատրաստուկների բաղադրության մեջ մտնող կոնսերվանտների արդյունավետության գնահատման մեթոդիկան եւ չափորոշիչները ներկայացված են «</w:t>
      </w:r>
      <w:r w:rsidRPr="007B145C">
        <w:rPr>
          <w:i/>
          <w:spacing w:val="-4"/>
        </w:rPr>
        <w:t>2.3.1.1. Հակամանրէային կոնսերվանտների արդյունավետությունը</w:t>
      </w:r>
      <w:r w:rsidRPr="007B145C">
        <w:rPr>
          <w:spacing w:val="-4"/>
        </w:rPr>
        <w:t>» ընդհանուր դեղագրքային</w:t>
      </w:r>
      <w:r w:rsidRPr="00E345B2">
        <w:t xml:space="preserve"> հոդվածում։</w:t>
      </w:r>
    </w:p>
    <w:p w14:paraId="4BF8E604" w14:textId="77777777" w:rsidR="0035054F" w:rsidRPr="00E345B2" w:rsidRDefault="0035054F" w:rsidP="007B145C">
      <w:pPr>
        <w:spacing w:after="160" w:line="346" w:lineRule="auto"/>
        <w:ind w:firstLine="567"/>
        <w:jc w:val="both"/>
      </w:pPr>
      <w:r w:rsidRPr="00E345B2">
        <w:t>Դեղապատրաստուկների արտադրության տեխնոլոգիայի առանձնահատկությունները ներկայացված են դեղաձ</w:t>
      </w:r>
      <w:r>
        <w:t>եւ</w:t>
      </w:r>
      <w:r w:rsidRPr="00E345B2">
        <w:t>երի տարբեր տեսակներին առնչվող ընդհանուր դեղագրքային հոդվածներում՝</w:t>
      </w:r>
    </w:p>
    <w:p w14:paraId="269CF621" w14:textId="77777777" w:rsidR="0035054F" w:rsidRPr="00E345B2" w:rsidRDefault="0035054F" w:rsidP="007B145C">
      <w:pPr>
        <w:tabs>
          <w:tab w:val="left" w:pos="1134"/>
        </w:tabs>
        <w:spacing w:after="160" w:line="346" w:lineRule="auto"/>
        <w:ind w:firstLine="567"/>
        <w:jc w:val="both"/>
      </w:pPr>
      <w:r w:rsidRPr="00E345B2">
        <w:t>-</w:t>
      </w:r>
      <w:r w:rsidR="004A289F" w:rsidRPr="004A289F">
        <w:tab/>
      </w:r>
      <w:r w:rsidRPr="00E345B2">
        <w:t xml:space="preserve">արտաքին կիրառման լուծույթներ, ներքին ընդունման լուծույթներ՝ </w:t>
      </w:r>
      <w:r w:rsidRPr="00D03E8B">
        <w:rPr>
          <w:i/>
        </w:rPr>
        <w:t>«2.5.1.25. Լուծույթները»</w:t>
      </w:r>
      <w:r w:rsidRPr="00E345B2">
        <w:t xml:space="preserve"> ընդհանուր դեղագրքային հոդված.</w:t>
      </w:r>
    </w:p>
    <w:p w14:paraId="6E9B1F2F" w14:textId="77777777" w:rsidR="0035054F" w:rsidRPr="00E345B2" w:rsidRDefault="0035054F" w:rsidP="007B145C">
      <w:pPr>
        <w:tabs>
          <w:tab w:val="left" w:pos="1134"/>
        </w:tabs>
        <w:spacing w:after="160" w:line="346" w:lineRule="auto"/>
        <w:ind w:firstLine="567"/>
        <w:jc w:val="both"/>
      </w:pPr>
      <w:r w:rsidRPr="00E345B2">
        <w:t>-</w:t>
      </w:r>
      <w:r w:rsidR="004A289F" w:rsidRPr="00B5542D">
        <w:tab/>
      </w:r>
      <w:r w:rsidRPr="00E345B2">
        <w:t xml:space="preserve">արտաքին կիրառման էմուլսիաներ՝ </w:t>
      </w:r>
      <w:r w:rsidRPr="00D03E8B">
        <w:rPr>
          <w:i/>
        </w:rPr>
        <w:t>«2.5.1.39. Էմուլսիաները»</w:t>
      </w:r>
      <w:r w:rsidRPr="00E345B2">
        <w:t xml:space="preserve"> ընդհանուր դեղագրքային հոդված.</w:t>
      </w:r>
    </w:p>
    <w:p w14:paraId="50084E0D" w14:textId="77777777" w:rsidR="0035054F" w:rsidRPr="00E345B2" w:rsidRDefault="0035054F" w:rsidP="007B145C">
      <w:pPr>
        <w:tabs>
          <w:tab w:val="left" w:pos="1134"/>
        </w:tabs>
        <w:spacing w:after="160" w:line="346" w:lineRule="auto"/>
        <w:ind w:firstLine="567"/>
        <w:jc w:val="both"/>
      </w:pPr>
      <w:r w:rsidRPr="00E345B2">
        <w:t>-</w:t>
      </w:r>
      <w:r w:rsidR="004A289F" w:rsidRPr="004A289F">
        <w:tab/>
      </w:r>
      <w:r w:rsidRPr="00E345B2">
        <w:t xml:space="preserve">արտաքին կիրառման կախույթներ </w:t>
      </w:r>
      <w:r>
        <w:t>եւ</w:t>
      </w:r>
      <w:r w:rsidRPr="00E345B2">
        <w:t xml:space="preserve"> ներքին ընդունման կախույթներ՝ «</w:t>
      </w:r>
      <w:r w:rsidRPr="00D03E8B">
        <w:rPr>
          <w:i/>
        </w:rPr>
        <w:t>2.5.1.33. Կախույթները</w:t>
      </w:r>
      <w:r w:rsidRPr="00E345B2">
        <w:t>» ընդհանուր դեղագրքային հոդված.</w:t>
      </w:r>
    </w:p>
    <w:p w14:paraId="69A72BDA" w14:textId="77777777" w:rsidR="0035054F" w:rsidRPr="00E345B2" w:rsidRDefault="0035054F" w:rsidP="007B145C">
      <w:pPr>
        <w:tabs>
          <w:tab w:val="left" w:pos="1134"/>
        </w:tabs>
        <w:spacing w:after="160" w:line="346" w:lineRule="auto"/>
        <w:ind w:firstLine="567"/>
        <w:jc w:val="both"/>
      </w:pPr>
      <w:r w:rsidRPr="00E345B2">
        <w:t>-</w:t>
      </w:r>
      <w:r w:rsidR="004A289F" w:rsidRPr="004A289F">
        <w:tab/>
      </w:r>
      <w:r w:rsidRPr="00E345B2">
        <w:t>արտաքին կիրառման լուծույթների պատրաստման համար կոնցենտրատներ, ներքին ընդունման լուծույթների պատրաստման համար կոնցենտրատներ, արտաքին կիրառման էմուլսիաների պատրաստման համար կոնցենտրատներ՝ «</w:t>
      </w:r>
      <w:r w:rsidRPr="00D03E8B">
        <w:rPr>
          <w:i/>
        </w:rPr>
        <w:t>2.5.1.12. Կոնցենտրատները</w:t>
      </w:r>
      <w:r w:rsidRPr="00E345B2">
        <w:t>» ընդհանուր դեղագրքային հոդված.</w:t>
      </w:r>
    </w:p>
    <w:p w14:paraId="4D4A2FF3" w14:textId="77777777" w:rsidR="0035054F" w:rsidRPr="00E345B2" w:rsidRDefault="0035054F" w:rsidP="007B145C">
      <w:pPr>
        <w:tabs>
          <w:tab w:val="left" w:pos="1134"/>
        </w:tabs>
        <w:spacing w:after="160" w:line="346" w:lineRule="auto"/>
        <w:ind w:firstLine="567"/>
        <w:jc w:val="both"/>
      </w:pPr>
      <w:r w:rsidRPr="00E345B2">
        <w:t>-</w:t>
      </w:r>
      <w:r w:rsidR="004A289F" w:rsidRPr="004A289F">
        <w:tab/>
      </w:r>
      <w:r w:rsidRPr="00E345B2">
        <w:t xml:space="preserve">արտաքին կիրառման մածուկներ, ներքին ընդունման մածուկներ, արտաքին կիրառման դոնդողներ, ներքին ընդունման դոնդողներ՝ </w:t>
      </w:r>
      <w:r w:rsidRPr="00D03E8B">
        <w:rPr>
          <w:i/>
        </w:rPr>
        <w:t xml:space="preserve">«2.5.1.40. Փափուկ դեղաձեւերը» </w:t>
      </w:r>
      <w:r w:rsidRPr="00E345B2">
        <w:t>ընդհանուր դեղագրքային հոդվածում.</w:t>
      </w:r>
    </w:p>
    <w:p w14:paraId="321E4A61"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 xml:space="preserve">արտաքին կիրառման լուծամզվածքներ, ներքին ընդունման լուծամզվածքներ՝ </w:t>
      </w:r>
      <w:r w:rsidRPr="00D03E8B">
        <w:rPr>
          <w:i/>
        </w:rPr>
        <w:t>«2.5.1.37. Լուծամզվածքները</w:t>
      </w:r>
      <w:r w:rsidRPr="00E345B2">
        <w:t>» ընդհանուր դեղագրքային հոդվածում.</w:t>
      </w:r>
    </w:p>
    <w:p w14:paraId="4F18418E" w14:textId="77777777" w:rsidR="0035054F" w:rsidRPr="00E345B2" w:rsidRDefault="0035054F" w:rsidP="004A289F">
      <w:pPr>
        <w:tabs>
          <w:tab w:val="left" w:pos="1134"/>
        </w:tabs>
        <w:spacing w:after="160" w:line="360" w:lineRule="auto"/>
        <w:ind w:firstLine="567"/>
        <w:jc w:val="both"/>
      </w:pPr>
      <w:r w:rsidRPr="00E345B2">
        <w:lastRenderedPageBreak/>
        <w:t>-</w:t>
      </w:r>
      <w:r w:rsidR="004A289F" w:rsidRPr="004A289F">
        <w:tab/>
      </w:r>
      <w:r w:rsidRPr="00E345B2">
        <w:t xml:space="preserve">արտաքին կիրառման փոշիներ, ներքին ընդունման փոշիներ, արտաքին կիրառման լուծույթների պատրաստման համար փոշիներ, ներքին ընդունման լուծույթների պատրաստման համար փոշիներ, արտաքին կիրառման կախույթների պատրաստման համար փոշիներ, ներքին ընդունման կախույթների պատրաստման համար փոշիներ՝ </w:t>
      </w:r>
      <w:r w:rsidRPr="00D03E8B">
        <w:rPr>
          <w:i/>
        </w:rPr>
        <w:t>«2.5.1.24. Փոշիները</w:t>
      </w:r>
      <w:r w:rsidRPr="00E345B2">
        <w:t>» ընդհանուր դեղագրքային հոդվածում.</w:t>
      </w:r>
    </w:p>
    <w:p w14:paraId="7097C803" w14:textId="77777777" w:rsidR="0035054F" w:rsidRPr="00E345B2" w:rsidRDefault="0035054F" w:rsidP="004A289F">
      <w:pPr>
        <w:tabs>
          <w:tab w:val="left" w:pos="1134"/>
        </w:tabs>
        <w:spacing w:after="160" w:line="360" w:lineRule="auto"/>
        <w:ind w:firstLine="567"/>
        <w:jc w:val="both"/>
      </w:pPr>
      <w:r w:rsidRPr="00E345B2">
        <w:t>-</w:t>
      </w:r>
      <w:r w:rsidR="004A289F" w:rsidRPr="004A289F">
        <w:tab/>
      </w:r>
      <w:r w:rsidRPr="00E345B2">
        <w:t xml:space="preserve">արտաքին կիրառման լուծույթների պատրաստման համար լիոֆիլիզատներ, ներքին ընդունման լուծույթների պատրաստման համար լիոֆիլիզատներ, արտաքին կիրառման կախույթների պատրաստման համար լիոֆիլիզատներ, ներքին ընդունման կախույթների պատրաստման համար լիոֆիլիզատներ՝ </w:t>
      </w:r>
      <w:r w:rsidRPr="00D03E8B">
        <w:rPr>
          <w:i/>
        </w:rPr>
        <w:t>«2.5.1.14. Լիոֆիլիզատները</w:t>
      </w:r>
      <w:r w:rsidRPr="00E345B2">
        <w:t>» ընդհանուր դեղագրքային հոդվածում։</w:t>
      </w:r>
    </w:p>
    <w:p w14:paraId="09E11CB8" w14:textId="77777777" w:rsidR="0035054F" w:rsidRPr="00E345B2" w:rsidRDefault="0035054F" w:rsidP="004A289F">
      <w:pPr>
        <w:spacing w:after="160" w:line="360" w:lineRule="auto"/>
        <w:ind w:firstLine="567"/>
        <w:jc w:val="both"/>
      </w:pPr>
      <w:r w:rsidRPr="00E345B2">
        <w:t>Պինդ դեղաձ</w:t>
      </w:r>
      <w:r>
        <w:t>եւ</w:t>
      </w:r>
      <w:r w:rsidRPr="00E345B2">
        <w:t>երի դեղապատրաստուկների արտադրության ժամանակ ապահովվում է զանգվածի միատարրությունը կամ եթե կիրառելի է՝ ազդող նյութի պարունակության միատարրությունը։</w:t>
      </w:r>
    </w:p>
    <w:p w14:paraId="1C177B9D" w14:textId="77777777" w:rsidR="0035054F" w:rsidRPr="00E345B2" w:rsidRDefault="0035054F" w:rsidP="004A289F">
      <w:pPr>
        <w:spacing w:after="160" w:line="360" w:lineRule="auto"/>
        <w:ind w:firstLine="567"/>
        <w:jc w:val="both"/>
      </w:pPr>
      <w:r w:rsidRPr="00E345B2">
        <w:t>Դեղապատրաստուկների մշակման ընթացքում պետք է հաստատվի, որ հեղուկ կամ փափուկ դեղաձ</w:t>
      </w:r>
      <w:r>
        <w:t>եւ</w:t>
      </w:r>
      <w:r w:rsidRPr="00E345B2">
        <w:t>երով միադեղաչափ կոնտեյներից պատրաստուկի՝ սահմանված նոմինալ պարունակությամբ քանակ է դուրս բերվում։</w:t>
      </w:r>
    </w:p>
    <w:p w14:paraId="4BEDF56D" w14:textId="77777777" w:rsidR="0035054F" w:rsidRPr="00E345B2" w:rsidRDefault="0035054F" w:rsidP="004A289F">
      <w:pPr>
        <w:spacing w:after="160" w:line="360" w:lineRule="auto"/>
        <w:ind w:firstLine="567"/>
        <w:jc w:val="both"/>
      </w:pPr>
      <w:r w:rsidRPr="00E345B2">
        <w:t>Եթե դեղապատրաստուկների բաղադրության մեջ ցնդող նյութեր են մտնում, արտադրության գործընթացում վերահսկվում է փաթեթվածքի հերմետիկությունը։</w:t>
      </w:r>
    </w:p>
    <w:p w14:paraId="02ED23B4" w14:textId="77777777" w:rsidR="0035054F" w:rsidRPr="00E345B2" w:rsidRDefault="0035054F" w:rsidP="004A289F">
      <w:pPr>
        <w:spacing w:after="160" w:line="360" w:lineRule="auto"/>
        <w:ind w:firstLine="567"/>
        <w:jc w:val="both"/>
      </w:pPr>
    </w:p>
    <w:p w14:paraId="5E7F6058" w14:textId="77777777" w:rsidR="0035054F" w:rsidRPr="004A289F" w:rsidRDefault="0035054F" w:rsidP="004A289F">
      <w:pPr>
        <w:spacing w:after="160" w:line="360" w:lineRule="auto"/>
        <w:ind w:firstLine="567"/>
        <w:jc w:val="both"/>
        <w:rPr>
          <w:b/>
        </w:rPr>
      </w:pPr>
      <w:r w:rsidRPr="004A289F">
        <w:rPr>
          <w:b/>
        </w:rPr>
        <w:t>ՓՈՐՁԱՐԿՈՒՄՆԵՐԸ</w:t>
      </w:r>
    </w:p>
    <w:p w14:paraId="579FF366" w14:textId="77777777" w:rsidR="0035054F" w:rsidRPr="00E345B2" w:rsidRDefault="0035054F" w:rsidP="004A289F">
      <w:pPr>
        <w:spacing w:after="160" w:line="360" w:lineRule="auto"/>
        <w:ind w:firstLine="567"/>
        <w:jc w:val="both"/>
      </w:pPr>
      <w:r w:rsidRPr="00E345B2">
        <w:t>Դեղապատրաստուկները պետք է բավարարեն դեղաձ</w:t>
      </w:r>
      <w:r>
        <w:t>եւ</w:t>
      </w:r>
      <w:r w:rsidRPr="00E345B2">
        <w:t xml:space="preserve">երին </w:t>
      </w:r>
      <w:r>
        <w:t>եւ</w:t>
      </w:r>
      <w:r w:rsidRPr="00E345B2">
        <w:t xml:space="preserve"> դրանց անալիզի մեթոդներին առնչվող համապատասխան ընդհանուր դեղագրքային հոդվածների պահանջները։</w:t>
      </w:r>
    </w:p>
    <w:p w14:paraId="2E498252" w14:textId="77777777" w:rsidR="0035054F" w:rsidRPr="00E345B2" w:rsidRDefault="0035054F" w:rsidP="004A289F">
      <w:pPr>
        <w:spacing w:after="160" w:line="360" w:lineRule="auto"/>
        <w:ind w:firstLine="567"/>
        <w:jc w:val="both"/>
      </w:pPr>
      <w:r w:rsidRPr="00E345B2">
        <w:t xml:space="preserve">Դեղապատրաստուկների համար որոշում են փաթեթվածքի պարունակության զանգվածը կամ ծավալը՝ </w:t>
      </w:r>
      <w:r w:rsidRPr="00D03E8B">
        <w:rPr>
          <w:i/>
        </w:rPr>
        <w:t xml:space="preserve">«2.1.9.17. Փաթեթվածքի </w:t>
      </w:r>
      <w:r w:rsidRPr="00D03E8B">
        <w:rPr>
          <w:i/>
        </w:rPr>
        <w:lastRenderedPageBreak/>
        <w:t>պարունակության զանգվածը (ծավալը)»</w:t>
      </w:r>
      <w:r w:rsidRPr="00E345B2">
        <w:t xml:space="preserve"> ընդհանուր դեղագրքային հոդվածին համապատասխան։</w:t>
      </w:r>
    </w:p>
    <w:p w14:paraId="55195DB4" w14:textId="77777777" w:rsidR="0035054F" w:rsidRPr="00E345B2" w:rsidRDefault="0035054F" w:rsidP="004A289F">
      <w:pPr>
        <w:spacing w:after="160" w:line="360" w:lineRule="auto"/>
        <w:ind w:firstLine="567"/>
        <w:jc w:val="both"/>
      </w:pPr>
      <w:r w:rsidRPr="00E345B2">
        <w:t xml:space="preserve">Դեղապատրաստուկների դեղաչափված </w:t>
      </w:r>
      <w:r>
        <w:t>եւ</w:t>
      </w:r>
      <w:r w:rsidRPr="00E345B2">
        <w:t xml:space="preserve"> միադեղաչափ դեղաձ</w:t>
      </w:r>
      <w:r>
        <w:t>եւ</w:t>
      </w:r>
      <w:r w:rsidRPr="00E345B2">
        <w:t xml:space="preserve">երի համար որոշում են դեղաչափերի զանգվածի միատարրությունը՝ </w:t>
      </w:r>
      <w:r w:rsidRPr="00D03E8B">
        <w:rPr>
          <w:i/>
        </w:rPr>
        <w:t>«2.1.9.14. Դեղաչափված միավորների միատարրությունը» ընդհանուր դեղագրքային հոդվածին կամ «2.1.9.5. Դեղաչափված դեղապատրաստուկի միավորի զանգվածի միատարրությունը»</w:t>
      </w:r>
      <w:r w:rsidRPr="00E345B2">
        <w:t xml:space="preserve"> ընդհանուր դեղագրքային հոդվածին համապատասխան։</w:t>
      </w:r>
    </w:p>
    <w:p w14:paraId="492C9B08" w14:textId="77777777" w:rsidR="0035054F" w:rsidRPr="00E345B2" w:rsidRDefault="0035054F" w:rsidP="004A289F">
      <w:pPr>
        <w:spacing w:after="160" w:line="360" w:lineRule="auto"/>
        <w:ind w:firstLine="567"/>
        <w:jc w:val="both"/>
      </w:pPr>
      <w:r w:rsidRPr="00E345B2">
        <w:t>Հակամանրէային կոնսերվանտների արդյունավետության գնահատման չափորոշիչները պետք է համապատասխանեն «</w:t>
      </w:r>
      <w:r w:rsidRPr="00D03E8B">
        <w:rPr>
          <w:i/>
        </w:rPr>
        <w:t>2.3.1.1. Հակամանրէային կոնսերվանտների արդյունավետությունը</w:t>
      </w:r>
      <w:r w:rsidRPr="00E345B2">
        <w:t>» ընդհանուր դեղագրքային հոդվածի պահանջներին։</w:t>
      </w:r>
    </w:p>
    <w:p w14:paraId="4F44572D" w14:textId="77777777" w:rsidR="0035054F" w:rsidRPr="00E345B2" w:rsidRDefault="0035054F" w:rsidP="004A289F">
      <w:pPr>
        <w:spacing w:after="160" w:line="360" w:lineRule="auto"/>
        <w:ind w:firstLine="567"/>
        <w:jc w:val="both"/>
      </w:pPr>
      <w:r w:rsidRPr="00E345B2">
        <w:t xml:space="preserve">Լուծույթների </w:t>
      </w:r>
      <w:r>
        <w:t>եւ</w:t>
      </w:r>
      <w:r w:rsidRPr="00E345B2">
        <w:t xml:space="preserve"> կախույթների պատրաստման համար փոշիների </w:t>
      </w:r>
      <w:r>
        <w:t>եւ</w:t>
      </w:r>
      <w:r w:rsidRPr="00E345B2">
        <w:t xml:space="preserve"> լիոֆիլիզատների տեսքով դեղապատրաստուկները պետք է լրացուցիչ վերահսկվեն «</w:t>
      </w:r>
      <w:r w:rsidRPr="00D03E8B">
        <w:rPr>
          <w:i/>
        </w:rPr>
        <w:t xml:space="preserve">2.5.1.25. Լուծույթները» ընդհանուր դեղագրքային հոդվածի կամ «2.5.1.33. Կախույթները» ընդհանուր դեղագրքային հոդվածի պահանջներին համապատասխանության մասով՝ </w:t>
      </w:r>
      <w:r w:rsidRPr="00E345B2">
        <w:t>վերջնական դեղաձ</w:t>
      </w:r>
      <w:r>
        <w:t>եւ</w:t>
      </w:r>
      <w:r w:rsidRPr="00E345B2">
        <w:t>ով պայմանավորված։</w:t>
      </w:r>
    </w:p>
    <w:p w14:paraId="0BD127F3" w14:textId="77777777" w:rsidR="0035054F" w:rsidRPr="00E345B2" w:rsidRDefault="0035054F" w:rsidP="004A289F">
      <w:pPr>
        <w:spacing w:after="160" w:line="360" w:lineRule="auto"/>
        <w:ind w:firstLine="567"/>
        <w:jc w:val="both"/>
      </w:pPr>
      <w:r w:rsidRPr="00E345B2">
        <w:t xml:space="preserve">Անասնաբուժական թիթեղների </w:t>
      </w:r>
      <w:r>
        <w:t>եւ</w:t>
      </w:r>
      <w:r w:rsidRPr="00E345B2">
        <w:t xml:space="preserve"> անասնաբուժական քուղերի տեսքով դեղապատրաստուկները հարկավոր է վերահսկել ըստ արտաքին տեսքի </w:t>
      </w:r>
      <w:r>
        <w:t>եւ</w:t>
      </w:r>
      <w:r w:rsidRPr="00E345B2">
        <w:t xml:space="preserve"> չափերի (երկարության, լայնության </w:t>
      </w:r>
      <w:r>
        <w:t>եւ</w:t>
      </w:r>
      <w:r w:rsidRPr="00E345B2">
        <w:t xml:space="preserve"> հաստության)։</w:t>
      </w:r>
    </w:p>
    <w:p w14:paraId="71F65D81" w14:textId="77777777" w:rsidR="0035054F" w:rsidRPr="00E345B2" w:rsidRDefault="0035054F" w:rsidP="004A289F">
      <w:pPr>
        <w:spacing w:after="160" w:line="360" w:lineRule="auto"/>
        <w:ind w:firstLine="567"/>
        <w:jc w:val="both"/>
      </w:pPr>
      <w:r w:rsidRPr="00E345B2">
        <w:t xml:space="preserve">Անասնաբուժական թիթեղների </w:t>
      </w:r>
      <w:r>
        <w:t>եւ</w:t>
      </w:r>
      <w:r w:rsidRPr="00E345B2">
        <w:t xml:space="preserve"> անասնաբուժական քուղերի տեսքով դեղապատրաստուկները, որոնք կիրառվում են աերոզոլի տեսքով (ջերմային գոլորշիացման դեպքում) կամ ազդող նյութի (նյութերի) ջերմային ցնդեցման եղանակով, պետք է լրացուցիչ վերահսկվեն</w:t>
      </w:r>
      <w:r w:rsidR="00D03E8B" w:rsidRPr="00D03E8B">
        <w:t xml:space="preserve"> </w:t>
      </w:r>
      <w:r w:rsidRPr="00E345B2">
        <w:t>«</w:t>
      </w:r>
      <w:r w:rsidRPr="00D03E8B">
        <w:rPr>
          <w:i/>
        </w:rPr>
        <w:t>2.1.9.28. Անասնաբուժական թիթեղների, անասնաբուժական քուղերի եւ ինհալացիաների համար անասնաբուժական պինդ դեղաձեւերի տեսքով դեղապատրաստուկների դյուրավառությունը եւ մարմրման բնույթը» ընդհանուր դեղագրքային հոդվածին, ինչպես նաեւ</w:t>
      </w:r>
      <w:r w:rsidR="00D03E8B" w:rsidRPr="00D03E8B">
        <w:rPr>
          <w:i/>
        </w:rPr>
        <w:t xml:space="preserve"> </w:t>
      </w:r>
      <w:r w:rsidRPr="007B145C">
        <w:rPr>
          <w:i/>
        </w:rPr>
        <w:t xml:space="preserve">«2.1.9.29. Անասնաբուժական թիթեղների, անասնաբուժական քուղերի եւ ինհալացիաների համար անասնաբուժական պինդ դեղաձեւերի </w:t>
      </w:r>
      <w:r w:rsidRPr="007B145C">
        <w:rPr>
          <w:i/>
        </w:rPr>
        <w:lastRenderedPageBreak/>
        <w:t>տեսքով դեղապատրաստուկների մարմրման ժամանակի որոշումը»</w:t>
      </w:r>
      <w:r w:rsidRPr="00E345B2">
        <w:t xml:space="preserve"> ընդհանուր դեղագրքային հոդվածին համապատասխան։</w:t>
      </w:r>
    </w:p>
    <w:p w14:paraId="136E21F7" w14:textId="77777777" w:rsidR="0035054F" w:rsidRPr="00E345B2" w:rsidRDefault="0035054F" w:rsidP="004A289F">
      <w:pPr>
        <w:spacing w:after="160" w:line="360" w:lineRule="auto"/>
        <w:ind w:firstLine="567"/>
        <w:jc w:val="both"/>
      </w:pPr>
      <w:r w:rsidRPr="00E345B2">
        <w:t xml:space="preserve">Իսկության փորձարկումները որոշվում են դեղապատրաստուկի բաղադրության մեջ մտնող ազդող նյութերով, ավելի հազվադեպ՝ օժանդակ նյութերով (հակամանրէային կոնսերվանտներով, հակաօքսիդանտներով, կայունացուցիչներով </w:t>
      </w:r>
      <w:r>
        <w:t>եւ</w:t>
      </w:r>
      <w:r w:rsidRPr="00E345B2">
        <w:t xml:space="preserve"> այլն)։</w:t>
      </w:r>
    </w:p>
    <w:p w14:paraId="0319BD34" w14:textId="77777777" w:rsidR="0035054F" w:rsidRPr="00E345B2" w:rsidRDefault="0035054F" w:rsidP="004A289F">
      <w:pPr>
        <w:spacing w:after="160" w:line="360" w:lineRule="auto"/>
        <w:ind w:firstLine="567"/>
        <w:jc w:val="both"/>
      </w:pPr>
      <w:r w:rsidRPr="00E345B2">
        <w:t xml:space="preserve">Իսկության գնահատման համար առաջարկվում է անալիզի ֆիզիկաքիմիական (ԲԱՀՔ, ՆՇՔ, ԳՔ </w:t>
      </w:r>
      <w:r>
        <w:t>եւ</w:t>
      </w:r>
      <w:r w:rsidRPr="00E345B2">
        <w:t xml:space="preserve"> այլն) </w:t>
      </w:r>
      <w:r>
        <w:t>եւ</w:t>
      </w:r>
      <w:r w:rsidRPr="00E345B2">
        <w:t xml:space="preserve"> քիմիական կամ կենսաբանական մեթոդների համակցությունը։</w:t>
      </w:r>
    </w:p>
    <w:p w14:paraId="0D7C1769" w14:textId="77777777" w:rsidR="0035054F" w:rsidRPr="00E345B2" w:rsidRDefault="0035054F" w:rsidP="004A289F">
      <w:pPr>
        <w:spacing w:after="160" w:line="360" w:lineRule="auto"/>
        <w:ind w:firstLine="567"/>
        <w:jc w:val="both"/>
      </w:pPr>
      <w:r w:rsidRPr="00E345B2">
        <w:t xml:space="preserve">Ազդող </w:t>
      </w:r>
      <w:r>
        <w:t>եւ</w:t>
      </w:r>
      <w:r w:rsidRPr="00E345B2">
        <w:t xml:space="preserve"> անհրաժեշտության դեպքում օժանդակ նյութերի պարունակությունը որոշելու համար առաջարկվում է կիրառել ֆիզիկաքիմիական (ԲԱՀՔ, ԳՔ, սպեկտրալուսաչափություն), քիմիական (տիտրաչափական), մանրէաբանական </w:t>
      </w:r>
      <w:r>
        <w:t>եւ</w:t>
      </w:r>
      <w:r w:rsidRPr="00E345B2">
        <w:t xml:space="preserve"> այլ մեթոդներ, որոնք ներկայացված են անասնաբուժական դեղամիջոցի վերաբերյալ համապատասխան նորմատիվ փաստաթղթում կամ մասնավոր դեղագրքային հոդվածում։</w:t>
      </w:r>
    </w:p>
    <w:p w14:paraId="6C9ACE5E" w14:textId="77777777" w:rsidR="0035054F" w:rsidRPr="00E345B2" w:rsidRDefault="0035054F" w:rsidP="004A289F">
      <w:pPr>
        <w:spacing w:after="160" w:line="360" w:lineRule="auto"/>
        <w:ind w:firstLine="567"/>
        <w:jc w:val="both"/>
      </w:pPr>
      <w:r w:rsidRPr="00E345B2">
        <w:t>Եթե մասնավոր դեղագրքային հոդվածում կամ անասնաբուժական դեղամիջոցի վերաբերյալ նորմատիվ փաստաթղթում այլ բան նշված չէ, որոշվող նյութերի պարունակությունն արտահայտում են զանգվածի, զանգվածածավալային միավորներով կամ ակտիվության միավորներով՝ չդեղաչափված դեղաձ</w:t>
      </w:r>
      <w:r>
        <w:t>եւ</w:t>
      </w:r>
      <w:r w:rsidRPr="00E345B2">
        <w:t>երի համար, կամ զանգվածի, զանգվածածավալային միավորներով կամ ակտիվության միավորներով՝ մեկ դեղաչափով՝ դեղաչափված դեղաձ</w:t>
      </w:r>
      <w:r>
        <w:t>եւ</w:t>
      </w:r>
      <w:r w:rsidRPr="00E345B2">
        <w:t>երի համար։</w:t>
      </w:r>
    </w:p>
    <w:p w14:paraId="09EBD7F9" w14:textId="77777777" w:rsidR="0035054F" w:rsidRPr="00E345B2" w:rsidRDefault="0035054F" w:rsidP="004A289F">
      <w:pPr>
        <w:spacing w:after="160" w:line="360" w:lineRule="auto"/>
        <w:ind w:firstLine="567"/>
        <w:jc w:val="both"/>
      </w:pPr>
    </w:p>
    <w:p w14:paraId="37C92D9F" w14:textId="77777777" w:rsidR="0035054F" w:rsidRPr="004A289F" w:rsidRDefault="0035054F" w:rsidP="004A289F">
      <w:pPr>
        <w:spacing w:after="160" w:line="360" w:lineRule="auto"/>
        <w:ind w:firstLine="567"/>
        <w:jc w:val="both"/>
        <w:rPr>
          <w:b/>
        </w:rPr>
      </w:pPr>
      <w:r w:rsidRPr="004A289F">
        <w:rPr>
          <w:b/>
        </w:rPr>
        <w:t>ՓԱԹԵԹՎԱԾՔԸ</w:t>
      </w:r>
    </w:p>
    <w:p w14:paraId="3BE7EF26" w14:textId="77777777" w:rsidR="0035054F" w:rsidRPr="00B5542D" w:rsidRDefault="0035054F" w:rsidP="004A289F">
      <w:pPr>
        <w:spacing w:after="160" w:line="360" w:lineRule="auto"/>
        <w:ind w:firstLine="567"/>
        <w:jc w:val="both"/>
      </w:pPr>
      <w:r w:rsidRPr="00E345B2">
        <w:t>Փաթեթվածքը պետք է ապահովի պահպանման նշված պայմաններում, սահմանված պիտանիության ժամկետի ընթացքում դեղապատրաստուկի որակը։</w:t>
      </w:r>
    </w:p>
    <w:p w14:paraId="4BCE5C19" w14:textId="77777777" w:rsidR="007B145C" w:rsidRPr="00B5542D" w:rsidRDefault="007B145C" w:rsidP="004A289F">
      <w:pPr>
        <w:spacing w:after="160" w:line="360" w:lineRule="auto"/>
        <w:ind w:firstLine="567"/>
        <w:jc w:val="both"/>
      </w:pPr>
    </w:p>
    <w:p w14:paraId="46AFF603" w14:textId="77777777" w:rsidR="0035054F" w:rsidRPr="00E345B2" w:rsidRDefault="0035054F" w:rsidP="004A289F">
      <w:pPr>
        <w:spacing w:after="160" w:line="360" w:lineRule="auto"/>
        <w:ind w:firstLine="567"/>
        <w:jc w:val="both"/>
      </w:pPr>
      <w:r w:rsidRPr="00E345B2">
        <w:lastRenderedPageBreak/>
        <w:t xml:space="preserve">Առաջնային </w:t>
      </w:r>
      <w:r>
        <w:t>եւ</w:t>
      </w:r>
      <w:r w:rsidRPr="00E345B2">
        <w:t xml:space="preserve"> երկրորդային (սպառողական) փաթեթվածքի նյութերը պետք է թույլատրված լինեն փաթեթվածքի տվյալ տեսակի արտադրության համար՝ հաշվի առնելով դեղաձ</w:t>
      </w:r>
      <w:r>
        <w:t>եւ</w:t>
      </w:r>
      <w:r w:rsidRPr="00E345B2">
        <w:t>ի կիրառման ուղին։</w:t>
      </w:r>
    </w:p>
    <w:p w14:paraId="677D9D24" w14:textId="77777777" w:rsidR="0035054F" w:rsidRPr="00E345B2" w:rsidRDefault="0035054F" w:rsidP="004A289F">
      <w:pPr>
        <w:spacing w:after="160" w:line="360" w:lineRule="auto"/>
        <w:ind w:firstLine="567"/>
        <w:jc w:val="both"/>
      </w:pPr>
      <w:r w:rsidRPr="00E345B2">
        <w:t>Ցնդող բաղադրիչներ պարունակող դեղապատրաստուկների համար պետք է նախատեսվի հերմետիկ փաթեթվածք։</w:t>
      </w:r>
    </w:p>
    <w:p w14:paraId="590255ED" w14:textId="77777777" w:rsidR="0035054F" w:rsidRPr="00E345B2" w:rsidRDefault="0035054F" w:rsidP="004A289F">
      <w:pPr>
        <w:spacing w:after="160" w:line="360" w:lineRule="auto"/>
        <w:ind w:firstLine="567"/>
        <w:jc w:val="both"/>
      </w:pPr>
      <w:r w:rsidRPr="00E345B2">
        <w:t>Բազմադեղաչափ կոնտեյներով թողարկվելու դեպքում դեղապատրաստուկը պետք է պարունակի համապատասխան կոնցենտրացիայով համապատասխան կոնսերվանտներ՝ բացառությամբ այն դեպքերի, երբ հենց պատրաստուկն է օժտված բավարար հակամանրէային հատկություններով։</w:t>
      </w:r>
    </w:p>
    <w:p w14:paraId="49A75BDC" w14:textId="77777777" w:rsidR="0035054F" w:rsidRPr="00E345B2" w:rsidRDefault="0035054F" w:rsidP="004A289F">
      <w:pPr>
        <w:spacing w:after="160" w:line="360" w:lineRule="auto"/>
        <w:ind w:firstLine="567"/>
        <w:jc w:val="both"/>
      </w:pPr>
    </w:p>
    <w:p w14:paraId="347BDCF1" w14:textId="77777777" w:rsidR="0035054F" w:rsidRPr="004A289F" w:rsidRDefault="0035054F" w:rsidP="004A289F">
      <w:pPr>
        <w:spacing w:after="160" w:line="360" w:lineRule="auto"/>
        <w:ind w:firstLine="567"/>
        <w:jc w:val="both"/>
        <w:rPr>
          <w:b/>
        </w:rPr>
      </w:pPr>
      <w:r w:rsidRPr="004A289F">
        <w:rPr>
          <w:b/>
        </w:rPr>
        <w:t>ՄԱԿՆՇՈՒՄԸ</w:t>
      </w:r>
    </w:p>
    <w:p w14:paraId="58BE0416" w14:textId="4031E7A7" w:rsidR="006D6187" w:rsidRPr="00E345B2" w:rsidRDefault="0035054F" w:rsidP="007015CA">
      <w:pPr>
        <w:spacing w:after="160" w:line="360" w:lineRule="auto"/>
        <w:ind w:firstLine="567"/>
        <w:jc w:val="both"/>
      </w:pPr>
      <w:r w:rsidRPr="00E345B2">
        <w:t>Մեղուների համար անասնաբուժական դեղապատրաստուկների մակնշումն իրականացվում է գործող նորմատիվ փաստաթղթերի պահանջներին համապատասխան՝ անասնաբուժական դեղամիջոցին առնչվող դեղագրքային հոդվածում կամ նորմատիվ փաստաթղթում այլ ցուցումների բացակայության դեպքում։</w:t>
      </w:r>
    </w:p>
    <w:sectPr w:rsidR="006D6187" w:rsidRPr="00E345B2" w:rsidSect="00D82771">
      <w:type w:val="nextColumn"/>
      <w:pgSz w:w="11900" w:h="16840" w:code="9"/>
      <w:pgMar w:top="1418" w:right="1418" w:bottom="1418" w:left="1418" w:header="0" w:footer="49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1836C" w14:textId="77777777" w:rsidR="00512B3C" w:rsidRDefault="00512B3C" w:rsidP="0047564D">
      <w:r>
        <w:separator/>
      </w:r>
    </w:p>
  </w:endnote>
  <w:endnote w:type="continuationSeparator" w:id="0">
    <w:p w14:paraId="24F50CE7" w14:textId="77777777" w:rsidR="00512B3C" w:rsidRDefault="00512B3C" w:rsidP="0047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CC"/>
    <w:family w:val="swiss"/>
    <w:pitch w:val="variable"/>
    <w:sig w:usb0="A00002EF" w:usb1="4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Cyr">
    <w:altName w:val="Times New Roman"/>
    <w:panose1 w:val="00000000000000000000"/>
    <w:charset w:val="00"/>
    <w:family w:val="auto"/>
    <w:notTrueType/>
    <w:pitch w:val="default"/>
    <w:sig w:usb0="00000003" w:usb1="00000000" w:usb2="00000000" w:usb3="00000000" w:csb0="00000001" w:csb1="00000000"/>
  </w:font>
  <w:font w:name="TimesNewRomanCyr-NormalItalic">
    <w:altName w:val="Times New Roman"/>
    <w:panose1 w:val="00000000000000000000"/>
    <w:charset w:val="00"/>
    <w:family w:val="auto"/>
    <w:notTrueType/>
    <w:pitch w:val="default"/>
    <w:sig w:usb0="00000003" w:usb1="00000000" w:usb2="00000000" w:usb3="00000000" w:csb0="00000001" w:csb1="00000000"/>
  </w:font>
  <w:font w:name="Constantia">
    <w:panose1 w:val="02030602050306030303"/>
    <w:charset w:val="CC"/>
    <w:family w:val="roman"/>
    <w:pitch w:val="variable"/>
    <w:sig w:usb0="A00002EF" w:usb1="4000204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NewRomanCyr-BoldItalic">
    <w:altName w:val="Times New Roman"/>
    <w:panose1 w:val="00000000000000000000"/>
    <w:charset w:val="00"/>
    <w:family w:val="auto"/>
    <w:notTrueType/>
    <w:pitch w:val="default"/>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23907"/>
      <w:docPartObj>
        <w:docPartGallery w:val="Page Numbers (Bottom of Page)"/>
        <w:docPartUnique/>
      </w:docPartObj>
    </w:sdtPr>
    <w:sdtContent>
      <w:p w14:paraId="2D30A082" w14:textId="77777777" w:rsidR="008D6E8B" w:rsidRPr="00D82771" w:rsidRDefault="00000000" w:rsidP="00D82771">
        <w:pPr>
          <w:pStyle w:val="Footer"/>
          <w:jc w:val="center"/>
        </w:pPr>
        <w:r>
          <w:fldChar w:fldCharType="begin"/>
        </w:r>
        <w:r>
          <w:instrText xml:space="preserve"> PAGE   \* MERGEFORMAT </w:instrText>
        </w:r>
        <w:r>
          <w:fldChar w:fldCharType="separate"/>
        </w:r>
        <w:r w:rsidR="003D54DF">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53564" w14:textId="77777777" w:rsidR="00512B3C" w:rsidRDefault="00512B3C"/>
  </w:footnote>
  <w:footnote w:type="continuationSeparator" w:id="0">
    <w:p w14:paraId="22584C73" w14:textId="77777777" w:rsidR="00512B3C" w:rsidRDefault="00512B3C"/>
  </w:footnote>
  <w:footnote w:id="1">
    <w:p w14:paraId="7982FE79" w14:textId="77777777" w:rsidR="008D6E8B" w:rsidRPr="00D22B70" w:rsidRDefault="008D6E8B" w:rsidP="00D22B70">
      <w:pPr>
        <w:pStyle w:val="FootnoteText"/>
        <w:jc w:val="both"/>
        <w:rPr>
          <w:rFonts w:ascii="Sylfaen" w:hAnsi="Sylfaen"/>
        </w:rPr>
      </w:pPr>
      <w:r>
        <w:rPr>
          <w:rStyle w:val="FootnoteReference"/>
        </w:rPr>
        <w:footnoteRef/>
      </w:r>
      <w:r>
        <w:t xml:space="preserve"> </w:t>
      </w:r>
      <w:r w:rsidRPr="00D22B70">
        <w:rPr>
          <w:rFonts w:ascii="Sylfaen" w:hAnsi="Sylfaen"/>
        </w:rPr>
        <w:t>քիմիական տեղաշարժը պայմանավորված է pH արժեքով։</w:t>
      </w:r>
    </w:p>
  </w:footnote>
  <w:footnote w:id="2">
    <w:p w14:paraId="3169611E" w14:textId="77777777" w:rsidR="008D6E8B" w:rsidRPr="00D22B70" w:rsidRDefault="008D6E8B" w:rsidP="00D22B70">
      <w:pPr>
        <w:pStyle w:val="FootnoteText"/>
        <w:jc w:val="both"/>
        <w:rPr>
          <w:rFonts w:ascii="Sylfaen" w:hAnsi="Sylfaen"/>
        </w:rPr>
      </w:pPr>
      <w:r w:rsidRPr="00D22B70">
        <w:rPr>
          <w:rStyle w:val="FootnoteReference"/>
          <w:rFonts w:ascii="Sylfaen" w:hAnsi="Sylfaen"/>
        </w:rPr>
        <w:footnoteRef/>
      </w:r>
      <w:r w:rsidRPr="00D22B70">
        <w:rPr>
          <w:rFonts w:ascii="Sylfaen" w:hAnsi="Sylfaen"/>
        </w:rPr>
        <w:t xml:space="preserve"> </w:t>
      </w:r>
      <w:smartTag w:uri="urn:schemas-microsoft-com:office:smarttags" w:element="stockticker">
        <w:r w:rsidRPr="00D22B70">
          <w:rPr>
            <w:rFonts w:ascii="Sylfaen" w:hAnsi="Sylfaen"/>
          </w:rPr>
          <w:t>DSS</w:t>
        </w:r>
      </w:smartTag>
      <w:r w:rsidRPr="00D22B70">
        <w:rPr>
          <w:rFonts w:ascii="Sylfaen" w:hAnsi="Sylfaen"/>
        </w:rPr>
        <w:t>՝ նատրիումի 2,2-դիմեթիլ-2-սիլապենտան-5-սուլֆոնատ։</w:t>
      </w:r>
    </w:p>
  </w:footnote>
  <w:footnote w:id="3">
    <w:p w14:paraId="32BF992F" w14:textId="77777777" w:rsidR="008D6E8B" w:rsidRPr="00745BF6" w:rsidRDefault="008D6E8B" w:rsidP="001B3D08">
      <w:pPr>
        <w:pStyle w:val="FootnoteText"/>
        <w:jc w:val="both"/>
      </w:pPr>
      <w:r>
        <w:rPr>
          <w:rStyle w:val="FootnoteReference"/>
        </w:rPr>
        <w:footnoteRef/>
      </w:r>
      <w:r>
        <w:t xml:space="preserve"> </w:t>
      </w:r>
      <w:r>
        <w:rPr>
          <w:rFonts w:ascii="Sylfaen" w:hAnsi="Sylfaen"/>
          <w:color w:val="000000" w:themeColor="text1"/>
        </w:rPr>
        <w:t>Տե՛ս Եվրասիական տնտեսական միության դեղագրքի ստանդարտ նմուշների (ԵԱՏՄԴ ՍՆ) համապատասխանության աղյուսակը: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1">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2">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3">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4">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5">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6">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7">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lvl w:ilvl="8">
      <w:start w:val="7"/>
      <w:numFmt w:val="decimal"/>
      <w:lvlText w:val="%1)"/>
      <w:lvlJc w:val="left"/>
      <w:rPr>
        <w:rFonts w:ascii="Sylfaen" w:hAnsi="Sylfaen" w:cs="Sylfaen"/>
        <w:b w:val="0"/>
        <w:bCs w:val="0"/>
        <w:i w:val="0"/>
        <w:iCs w:val="0"/>
        <w:smallCaps w:val="0"/>
        <w:strike w:val="0"/>
        <w:color w:val="000000"/>
        <w:spacing w:val="0"/>
        <w:w w:val="100"/>
        <w:position w:val="0"/>
        <w:sz w:val="20"/>
        <w:szCs w:val="20"/>
        <w:u w:val="none"/>
      </w:rPr>
    </w:lvl>
  </w:abstractNum>
  <w:abstractNum w:abstractNumId="2" w15:restartNumberingAfterBreak="0">
    <w:nsid w:val="02121058"/>
    <w:multiLevelType w:val="multilevel"/>
    <w:tmpl w:val="4CE69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3C6621"/>
    <w:multiLevelType w:val="multilevel"/>
    <w:tmpl w:val="B218B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134B29"/>
    <w:multiLevelType w:val="multilevel"/>
    <w:tmpl w:val="74B49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2F4F6F"/>
    <w:multiLevelType w:val="multilevel"/>
    <w:tmpl w:val="4A367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E0707"/>
    <w:multiLevelType w:val="multilevel"/>
    <w:tmpl w:val="7DCC58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3D50DB"/>
    <w:multiLevelType w:val="multilevel"/>
    <w:tmpl w:val="486600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711885"/>
    <w:multiLevelType w:val="hybridMultilevel"/>
    <w:tmpl w:val="B5CAA28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00085"/>
    <w:multiLevelType w:val="multilevel"/>
    <w:tmpl w:val="4AE24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016040"/>
    <w:multiLevelType w:val="multilevel"/>
    <w:tmpl w:val="5F5CC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A401AD"/>
    <w:multiLevelType w:val="multilevel"/>
    <w:tmpl w:val="12743D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F35684"/>
    <w:multiLevelType w:val="multilevel"/>
    <w:tmpl w:val="94481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49068C"/>
    <w:multiLevelType w:val="multilevel"/>
    <w:tmpl w:val="F07AF94C"/>
    <w:lvl w:ilvl="0">
      <w:start w:val="20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CB450F"/>
    <w:multiLevelType w:val="multilevel"/>
    <w:tmpl w:val="45460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0D214F"/>
    <w:multiLevelType w:val="multilevel"/>
    <w:tmpl w:val="132AA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613769"/>
    <w:multiLevelType w:val="multilevel"/>
    <w:tmpl w:val="E3EA4B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B64F3B"/>
    <w:multiLevelType w:val="multilevel"/>
    <w:tmpl w:val="82081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6F447F"/>
    <w:multiLevelType w:val="multilevel"/>
    <w:tmpl w:val="FCFAA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457B6E"/>
    <w:multiLevelType w:val="multilevel"/>
    <w:tmpl w:val="DADA9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6108FC"/>
    <w:multiLevelType w:val="multilevel"/>
    <w:tmpl w:val="200CDD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E16332"/>
    <w:multiLevelType w:val="multilevel"/>
    <w:tmpl w:val="6E5659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1244928">
    <w:abstractNumId w:val="13"/>
  </w:num>
  <w:num w:numId="2" w16cid:durableId="173347138">
    <w:abstractNumId w:val="15"/>
  </w:num>
  <w:num w:numId="3" w16cid:durableId="1461797958">
    <w:abstractNumId w:val="9"/>
  </w:num>
  <w:num w:numId="4" w16cid:durableId="671681042">
    <w:abstractNumId w:val="11"/>
  </w:num>
  <w:num w:numId="5" w16cid:durableId="1729454215">
    <w:abstractNumId w:val="18"/>
  </w:num>
  <w:num w:numId="6" w16cid:durableId="1338381436">
    <w:abstractNumId w:val="17"/>
  </w:num>
  <w:num w:numId="7" w16cid:durableId="1078138368">
    <w:abstractNumId w:val="7"/>
  </w:num>
  <w:num w:numId="8" w16cid:durableId="1910310113">
    <w:abstractNumId w:val="5"/>
  </w:num>
  <w:num w:numId="9" w16cid:durableId="1414084457">
    <w:abstractNumId w:val="12"/>
  </w:num>
  <w:num w:numId="10" w16cid:durableId="651829435">
    <w:abstractNumId w:val="6"/>
  </w:num>
  <w:num w:numId="11" w16cid:durableId="162823782">
    <w:abstractNumId w:val="19"/>
  </w:num>
  <w:num w:numId="12" w16cid:durableId="84156003">
    <w:abstractNumId w:val="14"/>
  </w:num>
  <w:num w:numId="13" w16cid:durableId="1807695740">
    <w:abstractNumId w:val="16"/>
  </w:num>
  <w:num w:numId="14" w16cid:durableId="444270424">
    <w:abstractNumId w:val="2"/>
  </w:num>
  <w:num w:numId="15" w16cid:durableId="203907324">
    <w:abstractNumId w:val="10"/>
  </w:num>
  <w:num w:numId="16" w16cid:durableId="1060908011">
    <w:abstractNumId w:val="21"/>
  </w:num>
  <w:num w:numId="17" w16cid:durableId="70397416">
    <w:abstractNumId w:val="3"/>
  </w:num>
  <w:num w:numId="18" w16cid:durableId="1830560360">
    <w:abstractNumId w:val="0"/>
  </w:num>
  <w:num w:numId="19" w16cid:durableId="256404595">
    <w:abstractNumId w:val="1"/>
  </w:num>
  <w:num w:numId="20" w16cid:durableId="1448157897">
    <w:abstractNumId w:val="8"/>
  </w:num>
  <w:num w:numId="21" w16cid:durableId="154613483">
    <w:abstractNumId w:val="20"/>
  </w:num>
  <w:num w:numId="22" w16cid:durableId="829097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7564D"/>
    <w:rsid w:val="00000FAC"/>
    <w:rsid w:val="00001679"/>
    <w:rsid w:val="00003446"/>
    <w:rsid w:val="000102DB"/>
    <w:rsid w:val="000111CA"/>
    <w:rsid w:val="00024994"/>
    <w:rsid w:val="00040909"/>
    <w:rsid w:val="00044E00"/>
    <w:rsid w:val="00063A76"/>
    <w:rsid w:val="000737AD"/>
    <w:rsid w:val="000751D8"/>
    <w:rsid w:val="00076955"/>
    <w:rsid w:val="00076FC4"/>
    <w:rsid w:val="00077901"/>
    <w:rsid w:val="000829DC"/>
    <w:rsid w:val="00085766"/>
    <w:rsid w:val="00097504"/>
    <w:rsid w:val="000A2424"/>
    <w:rsid w:val="000A3750"/>
    <w:rsid w:val="000B1C22"/>
    <w:rsid w:val="000C2714"/>
    <w:rsid w:val="000D219C"/>
    <w:rsid w:val="000E2474"/>
    <w:rsid w:val="000E65A3"/>
    <w:rsid w:val="000F5A26"/>
    <w:rsid w:val="00101A3D"/>
    <w:rsid w:val="001053F1"/>
    <w:rsid w:val="00107BA1"/>
    <w:rsid w:val="00114D72"/>
    <w:rsid w:val="00123D1A"/>
    <w:rsid w:val="00133111"/>
    <w:rsid w:val="00134BE9"/>
    <w:rsid w:val="001379E3"/>
    <w:rsid w:val="00142C6F"/>
    <w:rsid w:val="001451CC"/>
    <w:rsid w:val="001516F5"/>
    <w:rsid w:val="001636CE"/>
    <w:rsid w:val="00163838"/>
    <w:rsid w:val="00176A1B"/>
    <w:rsid w:val="00176CFD"/>
    <w:rsid w:val="001802EB"/>
    <w:rsid w:val="00180435"/>
    <w:rsid w:val="00180FCD"/>
    <w:rsid w:val="001827DA"/>
    <w:rsid w:val="00184198"/>
    <w:rsid w:val="00186CF0"/>
    <w:rsid w:val="001920E9"/>
    <w:rsid w:val="00194E90"/>
    <w:rsid w:val="00196F49"/>
    <w:rsid w:val="001A2908"/>
    <w:rsid w:val="001A3F5E"/>
    <w:rsid w:val="001A4F05"/>
    <w:rsid w:val="001B1A14"/>
    <w:rsid w:val="001B3D08"/>
    <w:rsid w:val="001B4765"/>
    <w:rsid w:val="001D1D71"/>
    <w:rsid w:val="001E21E6"/>
    <w:rsid w:val="001E64EC"/>
    <w:rsid w:val="001E6F62"/>
    <w:rsid w:val="001F0C86"/>
    <w:rsid w:val="001F354F"/>
    <w:rsid w:val="001F5087"/>
    <w:rsid w:val="001F71A3"/>
    <w:rsid w:val="00205AB7"/>
    <w:rsid w:val="00210723"/>
    <w:rsid w:val="00213A17"/>
    <w:rsid w:val="00214A65"/>
    <w:rsid w:val="00217DF2"/>
    <w:rsid w:val="00224FB2"/>
    <w:rsid w:val="00233C02"/>
    <w:rsid w:val="0023462C"/>
    <w:rsid w:val="0023645A"/>
    <w:rsid w:val="00243F04"/>
    <w:rsid w:val="00272421"/>
    <w:rsid w:val="00294918"/>
    <w:rsid w:val="002B15C9"/>
    <w:rsid w:val="002B2475"/>
    <w:rsid w:val="002B742F"/>
    <w:rsid w:val="002C5196"/>
    <w:rsid w:val="002D4A9D"/>
    <w:rsid w:val="002D59FC"/>
    <w:rsid w:val="002E2B4D"/>
    <w:rsid w:val="002E48EF"/>
    <w:rsid w:val="002E52D1"/>
    <w:rsid w:val="002F26C7"/>
    <w:rsid w:val="002F4432"/>
    <w:rsid w:val="003137A7"/>
    <w:rsid w:val="003152B6"/>
    <w:rsid w:val="003159ED"/>
    <w:rsid w:val="00317EEC"/>
    <w:rsid w:val="003231E7"/>
    <w:rsid w:val="003244DF"/>
    <w:rsid w:val="00334EDE"/>
    <w:rsid w:val="0034623B"/>
    <w:rsid w:val="0035054F"/>
    <w:rsid w:val="0035119C"/>
    <w:rsid w:val="00352D38"/>
    <w:rsid w:val="00352D57"/>
    <w:rsid w:val="003559BC"/>
    <w:rsid w:val="0035684C"/>
    <w:rsid w:val="00361AD8"/>
    <w:rsid w:val="00366481"/>
    <w:rsid w:val="003705D1"/>
    <w:rsid w:val="00372928"/>
    <w:rsid w:val="003813BA"/>
    <w:rsid w:val="0038485E"/>
    <w:rsid w:val="0038660A"/>
    <w:rsid w:val="00386642"/>
    <w:rsid w:val="003A4194"/>
    <w:rsid w:val="003B251F"/>
    <w:rsid w:val="003B27EC"/>
    <w:rsid w:val="003C2850"/>
    <w:rsid w:val="003C6AEA"/>
    <w:rsid w:val="003C720F"/>
    <w:rsid w:val="003D450F"/>
    <w:rsid w:val="003D495E"/>
    <w:rsid w:val="003D54DF"/>
    <w:rsid w:val="003D67B6"/>
    <w:rsid w:val="003E4E71"/>
    <w:rsid w:val="003F7CCA"/>
    <w:rsid w:val="00431888"/>
    <w:rsid w:val="00464EA4"/>
    <w:rsid w:val="0047564D"/>
    <w:rsid w:val="00475AA6"/>
    <w:rsid w:val="0048735B"/>
    <w:rsid w:val="004873BC"/>
    <w:rsid w:val="00492945"/>
    <w:rsid w:val="00492AA6"/>
    <w:rsid w:val="004A09F7"/>
    <w:rsid w:val="004A289F"/>
    <w:rsid w:val="004A2A2E"/>
    <w:rsid w:val="004A2DF3"/>
    <w:rsid w:val="004A7CC9"/>
    <w:rsid w:val="004B3571"/>
    <w:rsid w:val="004B4044"/>
    <w:rsid w:val="004C2E7D"/>
    <w:rsid w:val="004C35F2"/>
    <w:rsid w:val="004C3D88"/>
    <w:rsid w:val="004D6AB8"/>
    <w:rsid w:val="004D71A7"/>
    <w:rsid w:val="004E0D2A"/>
    <w:rsid w:val="004E1531"/>
    <w:rsid w:val="004E6213"/>
    <w:rsid w:val="004F2302"/>
    <w:rsid w:val="004F5242"/>
    <w:rsid w:val="00501C38"/>
    <w:rsid w:val="00512B3C"/>
    <w:rsid w:val="005150AF"/>
    <w:rsid w:val="00525E98"/>
    <w:rsid w:val="00530993"/>
    <w:rsid w:val="0054178C"/>
    <w:rsid w:val="005418C1"/>
    <w:rsid w:val="00543A2E"/>
    <w:rsid w:val="005469A9"/>
    <w:rsid w:val="00547A6C"/>
    <w:rsid w:val="005520A4"/>
    <w:rsid w:val="00553F99"/>
    <w:rsid w:val="005542DC"/>
    <w:rsid w:val="0055537C"/>
    <w:rsid w:val="005563E0"/>
    <w:rsid w:val="00562D56"/>
    <w:rsid w:val="005701E6"/>
    <w:rsid w:val="00570412"/>
    <w:rsid w:val="005746B2"/>
    <w:rsid w:val="0058052E"/>
    <w:rsid w:val="0058140E"/>
    <w:rsid w:val="005B6181"/>
    <w:rsid w:val="005C3039"/>
    <w:rsid w:val="005C36E6"/>
    <w:rsid w:val="005C5926"/>
    <w:rsid w:val="005C74F8"/>
    <w:rsid w:val="005D2C6D"/>
    <w:rsid w:val="005E38BE"/>
    <w:rsid w:val="005F62FC"/>
    <w:rsid w:val="006035D0"/>
    <w:rsid w:val="00616416"/>
    <w:rsid w:val="006235F6"/>
    <w:rsid w:val="00650EE0"/>
    <w:rsid w:val="00653998"/>
    <w:rsid w:val="00660DC2"/>
    <w:rsid w:val="00664E88"/>
    <w:rsid w:val="0066617C"/>
    <w:rsid w:val="00675541"/>
    <w:rsid w:val="00685C9F"/>
    <w:rsid w:val="0069121D"/>
    <w:rsid w:val="00696072"/>
    <w:rsid w:val="006A12E1"/>
    <w:rsid w:val="006A65E6"/>
    <w:rsid w:val="006B3C70"/>
    <w:rsid w:val="006B7DC5"/>
    <w:rsid w:val="006C15B9"/>
    <w:rsid w:val="006C2CAB"/>
    <w:rsid w:val="006C2E02"/>
    <w:rsid w:val="006C32CC"/>
    <w:rsid w:val="006C4184"/>
    <w:rsid w:val="006C4C19"/>
    <w:rsid w:val="006C6178"/>
    <w:rsid w:val="006D2A32"/>
    <w:rsid w:val="006D6187"/>
    <w:rsid w:val="006E3F41"/>
    <w:rsid w:val="006E41D4"/>
    <w:rsid w:val="006E7A18"/>
    <w:rsid w:val="006F34D9"/>
    <w:rsid w:val="006F79C2"/>
    <w:rsid w:val="007015CA"/>
    <w:rsid w:val="00702B4E"/>
    <w:rsid w:val="00717D7C"/>
    <w:rsid w:val="00721707"/>
    <w:rsid w:val="00721E82"/>
    <w:rsid w:val="00722E3E"/>
    <w:rsid w:val="0074542A"/>
    <w:rsid w:val="00745464"/>
    <w:rsid w:val="0076501E"/>
    <w:rsid w:val="007703E5"/>
    <w:rsid w:val="00783242"/>
    <w:rsid w:val="0078572C"/>
    <w:rsid w:val="00792625"/>
    <w:rsid w:val="0079747C"/>
    <w:rsid w:val="007B145C"/>
    <w:rsid w:val="007B350C"/>
    <w:rsid w:val="007B55AD"/>
    <w:rsid w:val="007B5F99"/>
    <w:rsid w:val="007C6820"/>
    <w:rsid w:val="007D45BA"/>
    <w:rsid w:val="007D71B2"/>
    <w:rsid w:val="007D79B2"/>
    <w:rsid w:val="007E2219"/>
    <w:rsid w:val="007E4DEC"/>
    <w:rsid w:val="007F19B6"/>
    <w:rsid w:val="007F7AC4"/>
    <w:rsid w:val="00803B34"/>
    <w:rsid w:val="0081595A"/>
    <w:rsid w:val="00821807"/>
    <w:rsid w:val="008229F3"/>
    <w:rsid w:val="00824023"/>
    <w:rsid w:val="00832CCE"/>
    <w:rsid w:val="0084051E"/>
    <w:rsid w:val="00840EC5"/>
    <w:rsid w:val="0084712E"/>
    <w:rsid w:val="008472EA"/>
    <w:rsid w:val="00854AA5"/>
    <w:rsid w:val="00871A31"/>
    <w:rsid w:val="00872A30"/>
    <w:rsid w:val="00875B4B"/>
    <w:rsid w:val="008805CA"/>
    <w:rsid w:val="008814BC"/>
    <w:rsid w:val="00890AE3"/>
    <w:rsid w:val="008A0761"/>
    <w:rsid w:val="008A12FD"/>
    <w:rsid w:val="008C03E1"/>
    <w:rsid w:val="008C40B4"/>
    <w:rsid w:val="008C66AB"/>
    <w:rsid w:val="008D6E8B"/>
    <w:rsid w:val="008F20E6"/>
    <w:rsid w:val="008F5B6F"/>
    <w:rsid w:val="0090079C"/>
    <w:rsid w:val="00903268"/>
    <w:rsid w:val="009149C9"/>
    <w:rsid w:val="009171F1"/>
    <w:rsid w:val="00920566"/>
    <w:rsid w:val="009217DE"/>
    <w:rsid w:val="00921FA1"/>
    <w:rsid w:val="00927269"/>
    <w:rsid w:val="009335B9"/>
    <w:rsid w:val="00935A95"/>
    <w:rsid w:val="00945178"/>
    <w:rsid w:val="00953024"/>
    <w:rsid w:val="00953845"/>
    <w:rsid w:val="00954269"/>
    <w:rsid w:val="009543E2"/>
    <w:rsid w:val="0095547B"/>
    <w:rsid w:val="00955E48"/>
    <w:rsid w:val="00976504"/>
    <w:rsid w:val="009A3F5E"/>
    <w:rsid w:val="009B0B79"/>
    <w:rsid w:val="009B7195"/>
    <w:rsid w:val="009D2E54"/>
    <w:rsid w:val="009D7BBB"/>
    <w:rsid w:val="009E1D56"/>
    <w:rsid w:val="009F6876"/>
    <w:rsid w:val="00A10CBA"/>
    <w:rsid w:val="00A4015E"/>
    <w:rsid w:val="00A44E2F"/>
    <w:rsid w:val="00A5284F"/>
    <w:rsid w:val="00A540AB"/>
    <w:rsid w:val="00A54897"/>
    <w:rsid w:val="00A55DE5"/>
    <w:rsid w:val="00A57061"/>
    <w:rsid w:val="00A570C8"/>
    <w:rsid w:val="00A84AF4"/>
    <w:rsid w:val="00A859E3"/>
    <w:rsid w:val="00A867CD"/>
    <w:rsid w:val="00A93008"/>
    <w:rsid w:val="00AA234B"/>
    <w:rsid w:val="00AA7412"/>
    <w:rsid w:val="00AA7C33"/>
    <w:rsid w:val="00AB4241"/>
    <w:rsid w:val="00AC1A86"/>
    <w:rsid w:val="00AF2D51"/>
    <w:rsid w:val="00B05616"/>
    <w:rsid w:val="00B0736A"/>
    <w:rsid w:val="00B07646"/>
    <w:rsid w:val="00B11213"/>
    <w:rsid w:val="00B15269"/>
    <w:rsid w:val="00B22C60"/>
    <w:rsid w:val="00B25F37"/>
    <w:rsid w:val="00B317DA"/>
    <w:rsid w:val="00B320E9"/>
    <w:rsid w:val="00B42439"/>
    <w:rsid w:val="00B5542D"/>
    <w:rsid w:val="00B603CA"/>
    <w:rsid w:val="00B63C54"/>
    <w:rsid w:val="00B67985"/>
    <w:rsid w:val="00B75D79"/>
    <w:rsid w:val="00B76CAD"/>
    <w:rsid w:val="00B77278"/>
    <w:rsid w:val="00B77ACE"/>
    <w:rsid w:val="00B82F0D"/>
    <w:rsid w:val="00B834A2"/>
    <w:rsid w:val="00B867ED"/>
    <w:rsid w:val="00B939D2"/>
    <w:rsid w:val="00B97411"/>
    <w:rsid w:val="00B97475"/>
    <w:rsid w:val="00BA4B30"/>
    <w:rsid w:val="00BA5F6E"/>
    <w:rsid w:val="00BA63D1"/>
    <w:rsid w:val="00BA6EFF"/>
    <w:rsid w:val="00BB0C64"/>
    <w:rsid w:val="00BB522E"/>
    <w:rsid w:val="00BC0721"/>
    <w:rsid w:val="00BC2C16"/>
    <w:rsid w:val="00BC6A72"/>
    <w:rsid w:val="00BD2AFF"/>
    <w:rsid w:val="00BD7224"/>
    <w:rsid w:val="00BE3AB4"/>
    <w:rsid w:val="00BE6055"/>
    <w:rsid w:val="00BF0860"/>
    <w:rsid w:val="00BF6F6E"/>
    <w:rsid w:val="00BF76DA"/>
    <w:rsid w:val="00C005F7"/>
    <w:rsid w:val="00C00D13"/>
    <w:rsid w:val="00C35CD9"/>
    <w:rsid w:val="00C41622"/>
    <w:rsid w:val="00C471A8"/>
    <w:rsid w:val="00C57E41"/>
    <w:rsid w:val="00C636AD"/>
    <w:rsid w:val="00C66957"/>
    <w:rsid w:val="00C73EF1"/>
    <w:rsid w:val="00C92540"/>
    <w:rsid w:val="00C94376"/>
    <w:rsid w:val="00C96025"/>
    <w:rsid w:val="00CA0C61"/>
    <w:rsid w:val="00CA3888"/>
    <w:rsid w:val="00CA46E9"/>
    <w:rsid w:val="00CB27E6"/>
    <w:rsid w:val="00CB602A"/>
    <w:rsid w:val="00CC025D"/>
    <w:rsid w:val="00CC0C6B"/>
    <w:rsid w:val="00CC27EC"/>
    <w:rsid w:val="00CD568A"/>
    <w:rsid w:val="00CE37BA"/>
    <w:rsid w:val="00CE5DEC"/>
    <w:rsid w:val="00CF11B8"/>
    <w:rsid w:val="00CF7AE7"/>
    <w:rsid w:val="00D03DDF"/>
    <w:rsid w:val="00D03E8B"/>
    <w:rsid w:val="00D10774"/>
    <w:rsid w:val="00D16259"/>
    <w:rsid w:val="00D16583"/>
    <w:rsid w:val="00D20F45"/>
    <w:rsid w:val="00D22B70"/>
    <w:rsid w:val="00D2561B"/>
    <w:rsid w:val="00D2656F"/>
    <w:rsid w:val="00D34D77"/>
    <w:rsid w:val="00D35F34"/>
    <w:rsid w:val="00D60291"/>
    <w:rsid w:val="00D76E29"/>
    <w:rsid w:val="00D82771"/>
    <w:rsid w:val="00D85844"/>
    <w:rsid w:val="00D90E26"/>
    <w:rsid w:val="00D910A0"/>
    <w:rsid w:val="00D9207D"/>
    <w:rsid w:val="00DA21D0"/>
    <w:rsid w:val="00DA2D5E"/>
    <w:rsid w:val="00DC78EA"/>
    <w:rsid w:val="00DD273F"/>
    <w:rsid w:val="00DD2C9E"/>
    <w:rsid w:val="00DD3A5C"/>
    <w:rsid w:val="00DE1035"/>
    <w:rsid w:val="00DE4F37"/>
    <w:rsid w:val="00DF1CC7"/>
    <w:rsid w:val="00E02A63"/>
    <w:rsid w:val="00E03FEE"/>
    <w:rsid w:val="00E07A6A"/>
    <w:rsid w:val="00E13BCB"/>
    <w:rsid w:val="00E2444F"/>
    <w:rsid w:val="00E32732"/>
    <w:rsid w:val="00E37A33"/>
    <w:rsid w:val="00E52D9F"/>
    <w:rsid w:val="00E71E7D"/>
    <w:rsid w:val="00E744EB"/>
    <w:rsid w:val="00E9405E"/>
    <w:rsid w:val="00E960B1"/>
    <w:rsid w:val="00E97ADA"/>
    <w:rsid w:val="00EA48B7"/>
    <w:rsid w:val="00EA4CEF"/>
    <w:rsid w:val="00EA5644"/>
    <w:rsid w:val="00EC3F6C"/>
    <w:rsid w:val="00EC4C80"/>
    <w:rsid w:val="00EE3019"/>
    <w:rsid w:val="00EE38EA"/>
    <w:rsid w:val="00EF4A09"/>
    <w:rsid w:val="00EF5298"/>
    <w:rsid w:val="00EF6863"/>
    <w:rsid w:val="00F076B2"/>
    <w:rsid w:val="00F2280F"/>
    <w:rsid w:val="00F23EFF"/>
    <w:rsid w:val="00F24391"/>
    <w:rsid w:val="00F3715C"/>
    <w:rsid w:val="00F37CE1"/>
    <w:rsid w:val="00F37D51"/>
    <w:rsid w:val="00F4254A"/>
    <w:rsid w:val="00F47E00"/>
    <w:rsid w:val="00F634DB"/>
    <w:rsid w:val="00F65F05"/>
    <w:rsid w:val="00F73206"/>
    <w:rsid w:val="00F80E8A"/>
    <w:rsid w:val="00F841EB"/>
    <w:rsid w:val="00FC0DBE"/>
    <w:rsid w:val="00FC2F75"/>
    <w:rsid w:val="00FD258C"/>
    <w:rsid w:val="00FE3E79"/>
    <w:rsid w:val="00FF2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512" fillcolor="white">
      <v:fill color="white"/>
    </o:shapedefaults>
    <o:shapelayout v:ext="edit">
      <o:idmap v:ext="edit" data="1"/>
    </o:shapelayout>
  </w:shapeDefaults>
  <w:decimalSymbol w:val="."/>
  <w:listSeparator w:val=","/>
  <w14:docId w14:val="24FE48D0"/>
  <w15:docId w15:val="{44992F7B-591A-4835-8BC5-297BA52D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564D"/>
    <w:rPr>
      <w:color w:val="000000"/>
    </w:rPr>
  </w:style>
  <w:style w:type="paragraph" w:styleId="Heading1">
    <w:name w:val="heading 1"/>
    <w:basedOn w:val="Normal"/>
    <w:link w:val="Heading1Char"/>
    <w:uiPriority w:val="9"/>
    <w:qFormat/>
    <w:rsid w:val="00B834A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4A2"/>
    <w:rPr>
      <w:rFonts w:ascii="Times New Roman" w:eastAsia="Times New Roman" w:hAnsi="Times New Roman" w:cs="Times New Roman"/>
      <w:b/>
      <w:bCs/>
      <w:kern w:val="36"/>
      <w:sz w:val="48"/>
      <w:szCs w:val="48"/>
      <w:lang w:val="en-US" w:eastAsia="en-US" w:bidi="ar-SA"/>
    </w:rPr>
  </w:style>
  <w:style w:type="character" w:styleId="Hyperlink">
    <w:name w:val="Hyperlink"/>
    <w:basedOn w:val="DefaultParagraphFont"/>
    <w:rsid w:val="0047564D"/>
    <w:rPr>
      <w:color w:val="0066CC"/>
      <w:u w:val="single"/>
    </w:rPr>
  </w:style>
  <w:style w:type="character" w:customStyle="1" w:styleId="Bodytext2">
    <w:name w:val="Body text (2)_"/>
    <w:basedOn w:val="DefaultParagraphFont"/>
    <w:link w:val="Bodytext20"/>
    <w:rsid w:val="0047564D"/>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47564D"/>
    <w:pPr>
      <w:shd w:val="clear" w:color="auto" w:fill="FFFFFF"/>
      <w:spacing w:before="120" w:after="120" w:line="0" w:lineRule="atLeast"/>
      <w:jc w:val="center"/>
    </w:pPr>
    <w:rPr>
      <w:rFonts w:ascii="Times New Roman" w:eastAsia="Times New Roman" w:hAnsi="Times New Roman" w:cs="Times New Roman"/>
      <w:sz w:val="30"/>
      <w:szCs w:val="30"/>
    </w:rPr>
  </w:style>
  <w:style w:type="character" w:customStyle="1" w:styleId="Heading10">
    <w:name w:val="Heading #1_"/>
    <w:basedOn w:val="DefaultParagraphFont"/>
    <w:link w:val="Heading11"/>
    <w:rsid w:val="0047564D"/>
    <w:rPr>
      <w:rFonts w:ascii="Times New Roman" w:eastAsia="Times New Roman" w:hAnsi="Times New Roman" w:cs="Times New Roman"/>
      <w:b w:val="0"/>
      <w:bCs w:val="0"/>
      <w:i w:val="0"/>
      <w:iCs w:val="0"/>
      <w:smallCaps w:val="0"/>
      <w:strike w:val="0"/>
      <w:sz w:val="38"/>
      <w:szCs w:val="38"/>
      <w:u w:val="none"/>
    </w:rPr>
  </w:style>
  <w:style w:type="paragraph" w:customStyle="1" w:styleId="Heading11">
    <w:name w:val="Heading #1"/>
    <w:basedOn w:val="Normal"/>
    <w:link w:val="Heading10"/>
    <w:rsid w:val="0047564D"/>
    <w:pPr>
      <w:shd w:val="clear" w:color="auto" w:fill="FFFFFF"/>
      <w:spacing w:before="120" w:line="0" w:lineRule="atLeast"/>
      <w:jc w:val="center"/>
      <w:outlineLvl w:val="0"/>
    </w:pPr>
    <w:rPr>
      <w:rFonts w:ascii="Times New Roman" w:eastAsia="Times New Roman" w:hAnsi="Times New Roman" w:cs="Times New Roman"/>
      <w:sz w:val="38"/>
      <w:szCs w:val="38"/>
    </w:rPr>
  </w:style>
  <w:style w:type="character" w:customStyle="1" w:styleId="Bodytext21">
    <w:name w:val="Body text (2)"/>
    <w:basedOn w:val="Bodytext2"/>
    <w:rsid w:val="0047564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47564D"/>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47564D"/>
    <w:pPr>
      <w:shd w:val="clear" w:color="auto" w:fill="FFFFFF"/>
      <w:spacing w:before="480" w:after="60" w:line="0" w:lineRule="atLeast"/>
      <w:jc w:val="center"/>
    </w:pPr>
    <w:rPr>
      <w:rFonts w:ascii="Times New Roman" w:eastAsia="Times New Roman" w:hAnsi="Times New Roman" w:cs="Times New Roman"/>
      <w:b/>
      <w:bCs/>
      <w:sz w:val="30"/>
      <w:szCs w:val="30"/>
    </w:rPr>
  </w:style>
  <w:style w:type="character" w:customStyle="1" w:styleId="Bodytext3Spacing2pt">
    <w:name w:val="Body text (3) + Spacing 2 pt"/>
    <w:basedOn w:val="Bodytext3"/>
    <w:rsid w:val="0047564D"/>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basedOn w:val="Bodytext2"/>
    <w:rsid w:val="0047564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1pt">
    <w:name w:val="Body text (2) + 11 pt"/>
    <w:basedOn w:val="Bodytext2"/>
    <w:rsid w:val="0047564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47564D"/>
    <w:rPr>
      <w:rFonts w:ascii="Times New Roman" w:eastAsia="Times New Roman" w:hAnsi="Times New Roman" w:cs="Times New Roman"/>
      <w:b w:val="0"/>
      <w:bCs w:val="0"/>
      <w:i/>
      <w:iCs/>
      <w:smallCaps w:val="0"/>
      <w:strike w:val="0"/>
      <w:u w:val="none"/>
    </w:rPr>
  </w:style>
  <w:style w:type="paragraph" w:customStyle="1" w:styleId="Picturecaption0">
    <w:name w:val="Picture caption"/>
    <w:basedOn w:val="Normal"/>
    <w:link w:val="Picturecaption"/>
    <w:rsid w:val="0047564D"/>
    <w:pPr>
      <w:shd w:val="clear" w:color="auto" w:fill="FFFFFF"/>
      <w:spacing w:line="270" w:lineRule="exact"/>
      <w:jc w:val="both"/>
    </w:pPr>
    <w:rPr>
      <w:rFonts w:ascii="Times New Roman" w:eastAsia="Times New Roman" w:hAnsi="Times New Roman" w:cs="Times New Roman"/>
      <w:i/>
      <w:iCs/>
    </w:rPr>
  </w:style>
  <w:style w:type="character" w:customStyle="1" w:styleId="PicturecaptionNotItalic">
    <w:name w:val="Picture caption + Not Italic"/>
    <w:basedOn w:val="Picturecaption"/>
    <w:rsid w:val="0047564D"/>
    <w:rPr>
      <w:rFonts w:ascii="Times New Roman" w:eastAsia="Times New Roman" w:hAnsi="Times New Roman" w:cs="Times New Roman"/>
      <w:b w:val="0"/>
      <w:bCs w:val="0"/>
      <w:i/>
      <w:iCs/>
      <w:smallCaps w:val="0"/>
      <w:strike w:val="0"/>
      <w:color w:val="000000"/>
      <w:spacing w:val="0"/>
      <w:w w:val="100"/>
      <w:position w:val="0"/>
      <w:sz w:val="24"/>
      <w:szCs w:val="24"/>
      <w:u w:val="none"/>
      <w:lang w:val="hy-AM" w:eastAsia="hy-AM" w:bidi="hy-AM"/>
    </w:rPr>
  </w:style>
  <w:style w:type="table" w:styleId="TableGrid">
    <w:name w:val="Table Grid"/>
    <w:basedOn w:val="TableNormal"/>
    <w:uiPriority w:val="59"/>
    <w:rsid w:val="000E247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474"/>
    <w:rPr>
      <w:rFonts w:ascii="Tahoma" w:hAnsi="Tahoma" w:cs="Tahoma"/>
      <w:sz w:val="16"/>
      <w:szCs w:val="16"/>
    </w:rPr>
  </w:style>
  <w:style w:type="character" w:customStyle="1" w:styleId="BalloonTextChar">
    <w:name w:val="Balloon Text Char"/>
    <w:basedOn w:val="DefaultParagraphFont"/>
    <w:link w:val="BalloonText"/>
    <w:uiPriority w:val="99"/>
    <w:semiHidden/>
    <w:rsid w:val="000E2474"/>
    <w:rPr>
      <w:rFonts w:ascii="Tahoma" w:hAnsi="Tahoma" w:cs="Tahoma"/>
      <w:color w:val="000000"/>
      <w:sz w:val="16"/>
      <w:szCs w:val="16"/>
    </w:rPr>
  </w:style>
  <w:style w:type="character" w:styleId="PlaceholderText">
    <w:name w:val="Placeholder Text"/>
    <w:basedOn w:val="DefaultParagraphFont"/>
    <w:uiPriority w:val="99"/>
    <w:semiHidden/>
    <w:rsid w:val="00721E82"/>
    <w:rPr>
      <w:color w:val="808080"/>
    </w:rPr>
  </w:style>
  <w:style w:type="character" w:customStyle="1" w:styleId="Bodytext29pt">
    <w:name w:val="Body text (2) + 9 pt"/>
    <w:aliases w:val="Body text (2) + 13 pt,Body text (2) + Bookman Old Style,Body text (2) + 17 pt,Body text (2) + 23 pt"/>
    <w:basedOn w:val="Bodytext2"/>
    <w:rsid w:val="00B834A2"/>
    <w:rPr>
      <w:rFonts w:ascii="Sylfaen" w:eastAsia="Sylfaen" w:hAnsi="Sylfaen" w:cs="Sylfaen"/>
      <w:b w:val="0"/>
      <w:bCs w:val="0"/>
      <w:i w:val="0"/>
      <w:iCs w:val="0"/>
      <w:smallCaps w:val="0"/>
      <w:strike w:val="0"/>
      <w:color w:val="000000"/>
      <w:spacing w:val="0"/>
      <w:w w:val="100"/>
      <w:position w:val="0"/>
      <w:sz w:val="18"/>
      <w:szCs w:val="18"/>
      <w:u w:val="none"/>
      <w:shd w:val="clear" w:color="auto" w:fill="FFFFFF"/>
      <w:lang w:val="hy-AM" w:eastAsia="hy-AM" w:bidi="hy-AM"/>
    </w:rPr>
  </w:style>
  <w:style w:type="character" w:customStyle="1" w:styleId="Bodytext210pt">
    <w:name w:val="Body text (2) + 10 pt"/>
    <w:basedOn w:val="Bodytext2"/>
    <w:rsid w:val="00B834A2"/>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0pt9">
    <w:name w:val="Body text (2) + 10 pt9"/>
    <w:aliases w:val="Bold"/>
    <w:basedOn w:val="Bodytext2"/>
    <w:rsid w:val="00B834A2"/>
    <w:rPr>
      <w:rFonts w:ascii="Sylfaen" w:eastAsia="Sylfaen" w:hAnsi="Sylfaen" w:cs="Sylfaen"/>
      <w:b/>
      <w:bCs/>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0pt8">
    <w:name w:val="Body text (2) + 10 pt8"/>
    <w:aliases w:val="Italic"/>
    <w:basedOn w:val="Bodytext2"/>
    <w:rsid w:val="00B834A2"/>
    <w:rPr>
      <w:rFonts w:ascii="Sylfaen" w:eastAsia="Sylfaen" w:hAnsi="Sylfaen" w:cs="Sylfaen"/>
      <w:b w:val="0"/>
      <w:bCs w:val="0"/>
      <w:i/>
      <w:iCs/>
      <w:smallCaps w:val="0"/>
      <w:strike w:val="0"/>
      <w:color w:val="000000"/>
      <w:spacing w:val="0"/>
      <w:w w:val="100"/>
      <w:position w:val="0"/>
      <w:sz w:val="20"/>
      <w:szCs w:val="20"/>
      <w:u w:val="none"/>
      <w:shd w:val="clear" w:color="auto" w:fill="FFFFFF"/>
      <w:lang w:val="hy-AM" w:eastAsia="hy-AM" w:bidi="hy-AM"/>
    </w:rPr>
  </w:style>
  <w:style w:type="character" w:customStyle="1" w:styleId="Bodytext210pt7">
    <w:name w:val="Body text (2) + 10 pt7"/>
    <w:basedOn w:val="Bodytext2"/>
    <w:rsid w:val="00B834A2"/>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0pt6">
    <w:name w:val="Body text (2) + 10 pt6"/>
    <w:aliases w:val="Italic17"/>
    <w:basedOn w:val="Bodytext2"/>
    <w:rsid w:val="00B834A2"/>
    <w:rPr>
      <w:rFonts w:ascii="Sylfaen" w:eastAsia="Sylfaen" w:hAnsi="Sylfaen" w:cs="Sylfaen"/>
      <w:b w:val="0"/>
      <w:bCs w:val="0"/>
      <w:i/>
      <w:iCs/>
      <w:smallCaps w:val="0"/>
      <w:strike w:val="0"/>
      <w:color w:val="000000"/>
      <w:spacing w:val="0"/>
      <w:w w:val="100"/>
      <w:position w:val="0"/>
      <w:sz w:val="20"/>
      <w:szCs w:val="20"/>
      <w:u w:val="none"/>
      <w:shd w:val="clear" w:color="auto" w:fill="FFFFFF"/>
      <w:lang w:val="hy-AM" w:eastAsia="hy-AM" w:bidi="hy-AM"/>
    </w:rPr>
  </w:style>
  <w:style w:type="character" w:customStyle="1" w:styleId="Picturecaption2">
    <w:name w:val="Picture caption (2)_"/>
    <w:basedOn w:val="DefaultParagraphFont"/>
    <w:link w:val="Picturecaption20"/>
    <w:rsid w:val="00B834A2"/>
    <w:rPr>
      <w:sz w:val="19"/>
      <w:szCs w:val="19"/>
      <w:shd w:val="clear" w:color="auto" w:fill="FFFFFF"/>
    </w:rPr>
  </w:style>
  <w:style w:type="paragraph" w:customStyle="1" w:styleId="Picturecaption20">
    <w:name w:val="Picture caption (2)"/>
    <w:basedOn w:val="Normal"/>
    <w:link w:val="Picturecaption2"/>
    <w:rsid w:val="00B834A2"/>
    <w:pPr>
      <w:shd w:val="clear" w:color="auto" w:fill="FFFFFF"/>
      <w:spacing w:line="0" w:lineRule="atLeast"/>
    </w:pPr>
    <w:rPr>
      <w:color w:val="auto"/>
      <w:sz w:val="19"/>
      <w:szCs w:val="19"/>
    </w:rPr>
  </w:style>
  <w:style w:type="character" w:customStyle="1" w:styleId="Picturecaption2TimesNewRoman">
    <w:name w:val="Picture caption (2) + Times New Roman"/>
    <w:aliases w:val="Italic16,Spacing 0 pt"/>
    <w:basedOn w:val="Picturecaption2"/>
    <w:rsid w:val="00B834A2"/>
    <w:rPr>
      <w:rFonts w:ascii="Times New Roman" w:eastAsia="Times New Roman" w:hAnsi="Times New Roman" w:cs="Times New Roman"/>
      <w:i/>
      <w:iCs/>
      <w:color w:val="000000"/>
      <w:spacing w:val="-10"/>
      <w:w w:val="100"/>
      <w:position w:val="0"/>
      <w:sz w:val="19"/>
      <w:szCs w:val="19"/>
      <w:shd w:val="clear" w:color="auto" w:fill="FFFFFF"/>
      <w:lang w:val="hy-AM" w:eastAsia="hy-AM" w:bidi="hy-AM"/>
    </w:rPr>
  </w:style>
  <w:style w:type="character" w:customStyle="1" w:styleId="Bodytext310pt">
    <w:name w:val="Body text (3) + 10 pt"/>
    <w:aliases w:val="Not Italic,Body text (53) + 4 pt,Body text (7) + Sylfaen,Table caption (2) + Sylfaen,Table caption (15) + Times New Roman"/>
    <w:basedOn w:val="Bodytext3"/>
    <w:rsid w:val="00B834A2"/>
    <w:rPr>
      <w:rFonts w:ascii="Sylfaen" w:eastAsia="Sylfaen" w:hAnsi="Sylfaen" w:cs="Sylfaen"/>
      <w:b/>
      <w:bCs/>
      <w:i/>
      <w:iCs/>
      <w:smallCaps w:val="0"/>
      <w:strike w:val="0"/>
      <w:color w:val="000000"/>
      <w:spacing w:val="0"/>
      <w:w w:val="100"/>
      <w:position w:val="0"/>
      <w:sz w:val="20"/>
      <w:szCs w:val="20"/>
      <w:u w:val="none"/>
      <w:shd w:val="clear" w:color="auto" w:fill="FFFFFF"/>
      <w:lang w:val="hy-AM" w:eastAsia="hy-AM" w:bidi="hy-AM"/>
    </w:rPr>
  </w:style>
  <w:style w:type="character" w:customStyle="1" w:styleId="Bodytext310pt1">
    <w:name w:val="Body text (3) + 10 pt1"/>
    <w:basedOn w:val="Bodytext3"/>
    <w:rsid w:val="00B834A2"/>
    <w:rPr>
      <w:rFonts w:ascii="Sylfaen" w:eastAsia="Sylfaen" w:hAnsi="Sylfaen" w:cs="Sylfaen"/>
      <w:b/>
      <w:bCs/>
      <w:i/>
      <w:iCs/>
      <w:smallCaps w:val="0"/>
      <w:strike w:val="0"/>
      <w:color w:val="000000"/>
      <w:spacing w:val="0"/>
      <w:w w:val="100"/>
      <w:position w:val="0"/>
      <w:sz w:val="20"/>
      <w:szCs w:val="20"/>
      <w:u w:val="none"/>
      <w:shd w:val="clear" w:color="auto" w:fill="FFFFFF"/>
      <w:lang w:val="hy-AM" w:eastAsia="hy-AM" w:bidi="hy-AM"/>
    </w:rPr>
  </w:style>
  <w:style w:type="character" w:customStyle="1" w:styleId="Bodytext27pt">
    <w:name w:val="Body text (2) + 7 pt"/>
    <w:aliases w:val="Italic15,Body text (2) + MS Reference Sans Serif"/>
    <w:basedOn w:val="Bodytext2"/>
    <w:rsid w:val="00B834A2"/>
    <w:rPr>
      <w:rFonts w:ascii="Sylfaen" w:eastAsia="Sylfaen" w:hAnsi="Sylfaen" w:cs="Sylfaen"/>
      <w:b w:val="0"/>
      <w:bCs w:val="0"/>
      <w:i/>
      <w:iCs/>
      <w:smallCaps w:val="0"/>
      <w:strike w:val="0"/>
      <w:color w:val="000000"/>
      <w:spacing w:val="0"/>
      <w:w w:val="100"/>
      <w:position w:val="0"/>
      <w:sz w:val="14"/>
      <w:szCs w:val="14"/>
      <w:u w:val="none"/>
      <w:shd w:val="clear" w:color="auto" w:fill="FFFFFF"/>
      <w:lang w:val="hy-AM" w:eastAsia="hy-AM" w:bidi="hy-AM"/>
    </w:rPr>
  </w:style>
  <w:style w:type="character" w:customStyle="1" w:styleId="Bodytext210pt5">
    <w:name w:val="Body text (2) + 10 pt5"/>
    <w:aliases w:val="Italic14,Spacing 1 pt"/>
    <w:basedOn w:val="Bodytext2"/>
    <w:rsid w:val="00B834A2"/>
    <w:rPr>
      <w:rFonts w:ascii="Sylfaen" w:eastAsia="Sylfaen" w:hAnsi="Sylfaen" w:cs="Sylfaen"/>
      <w:b w:val="0"/>
      <w:bCs w:val="0"/>
      <w:i/>
      <w:iCs/>
      <w:smallCaps w:val="0"/>
      <w:strike w:val="0"/>
      <w:color w:val="000000"/>
      <w:spacing w:val="20"/>
      <w:w w:val="100"/>
      <w:position w:val="0"/>
      <w:sz w:val="20"/>
      <w:szCs w:val="20"/>
      <w:u w:val="none"/>
      <w:shd w:val="clear" w:color="auto" w:fill="FFFFFF"/>
      <w:lang w:val="hy-AM" w:eastAsia="hy-AM" w:bidi="hy-AM"/>
    </w:rPr>
  </w:style>
  <w:style w:type="character" w:customStyle="1" w:styleId="Bodytext210pt4">
    <w:name w:val="Body text (2) + 10 pt4"/>
    <w:aliases w:val="Spacing 2 pt,Body text (2) + 4.5 pt"/>
    <w:basedOn w:val="Bodytext2"/>
    <w:rsid w:val="00B834A2"/>
    <w:rPr>
      <w:rFonts w:ascii="Sylfaen" w:eastAsia="Sylfaen" w:hAnsi="Sylfaen" w:cs="Sylfaen"/>
      <w:b w:val="0"/>
      <w:bCs w:val="0"/>
      <w:i w:val="0"/>
      <w:iCs w:val="0"/>
      <w:smallCaps w:val="0"/>
      <w:strike w:val="0"/>
      <w:color w:val="000000"/>
      <w:spacing w:val="50"/>
      <w:w w:val="100"/>
      <w:position w:val="0"/>
      <w:sz w:val="20"/>
      <w:szCs w:val="20"/>
      <w:u w:val="none"/>
      <w:shd w:val="clear" w:color="auto" w:fill="FFFFFF"/>
      <w:lang w:val="hy-AM" w:eastAsia="hy-AM" w:bidi="hy-AM"/>
    </w:rPr>
  </w:style>
  <w:style w:type="character" w:customStyle="1" w:styleId="Bodytext210pt3">
    <w:name w:val="Body text (2) + 10 pt3"/>
    <w:aliases w:val="Italic13,Small Caps"/>
    <w:basedOn w:val="Bodytext2"/>
    <w:rsid w:val="00B834A2"/>
    <w:rPr>
      <w:rFonts w:ascii="Sylfaen" w:eastAsia="Sylfaen" w:hAnsi="Sylfaen" w:cs="Sylfaen"/>
      <w:b w:val="0"/>
      <w:bCs w:val="0"/>
      <w:i/>
      <w:iCs/>
      <w:smallCaps/>
      <w:strike w:val="0"/>
      <w:color w:val="000000"/>
      <w:spacing w:val="0"/>
      <w:w w:val="100"/>
      <w:position w:val="0"/>
      <w:sz w:val="20"/>
      <w:szCs w:val="20"/>
      <w:u w:val="none"/>
      <w:shd w:val="clear" w:color="auto" w:fill="FFFFFF"/>
      <w:lang w:val="hy-AM" w:eastAsia="hy-AM" w:bidi="hy-AM"/>
    </w:rPr>
  </w:style>
  <w:style w:type="character" w:customStyle="1" w:styleId="Bodytext216pt">
    <w:name w:val="Body text (2) + 16 pt"/>
    <w:aliases w:val="Italic12,Spacing -1 pt"/>
    <w:basedOn w:val="Bodytext2"/>
    <w:rsid w:val="00B834A2"/>
    <w:rPr>
      <w:rFonts w:ascii="Sylfaen" w:eastAsia="Sylfaen" w:hAnsi="Sylfaen" w:cs="Sylfaen"/>
      <w:b w:val="0"/>
      <w:bCs w:val="0"/>
      <w:i/>
      <w:iCs/>
      <w:smallCaps w:val="0"/>
      <w:strike w:val="0"/>
      <w:color w:val="000000"/>
      <w:spacing w:val="-20"/>
      <w:w w:val="100"/>
      <w:position w:val="0"/>
      <w:sz w:val="32"/>
      <w:szCs w:val="32"/>
      <w:u w:val="none"/>
      <w:shd w:val="clear" w:color="auto" w:fill="FFFFFF"/>
      <w:lang w:val="hy-AM" w:eastAsia="hy-AM" w:bidi="hy-AM"/>
    </w:rPr>
  </w:style>
  <w:style w:type="character" w:customStyle="1" w:styleId="Bodytext2TimesNewRoman">
    <w:name w:val="Body text (2) + Times New Roman"/>
    <w:aliases w:val="6.5 pt,Bold7,Italic11"/>
    <w:basedOn w:val="Bodytext2"/>
    <w:rsid w:val="00B834A2"/>
    <w:rPr>
      <w:rFonts w:ascii="Times New Roman" w:eastAsia="Times New Roman" w:hAnsi="Times New Roman" w:cs="Times New Roman"/>
      <w:b/>
      <w:bCs/>
      <w:i/>
      <w:iCs/>
      <w:smallCaps w:val="0"/>
      <w:strike w:val="0"/>
      <w:color w:val="000000"/>
      <w:spacing w:val="0"/>
      <w:w w:val="100"/>
      <w:position w:val="0"/>
      <w:sz w:val="13"/>
      <w:szCs w:val="13"/>
      <w:u w:val="none"/>
      <w:shd w:val="clear" w:color="auto" w:fill="FFFFFF"/>
      <w:lang w:val="hy-AM" w:eastAsia="hy-AM" w:bidi="hy-AM"/>
    </w:rPr>
  </w:style>
  <w:style w:type="character" w:customStyle="1" w:styleId="Bodytext27pt3">
    <w:name w:val="Body text (2) + 7 pt3"/>
    <w:basedOn w:val="Bodytext2"/>
    <w:rsid w:val="00B834A2"/>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hy-AM" w:eastAsia="hy-AM" w:bidi="hy-AM"/>
    </w:rPr>
  </w:style>
  <w:style w:type="character" w:customStyle="1" w:styleId="Bodytext210pt2">
    <w:name w:val="Body text (2) + 10 pt2"/>
    <w:aliases w:val="Italic10,Small Caps7,Spacing 1 pt7"/>
    <w:basedOn w:val="Bodytext2"/>
    <w:rsid w:val="00B834A2"/>
    <w:rPr>
      <w:rFonts w:ascii="Sylfaen" w:eastAsia="Sylfaen" w:hAnsi="Sylfaen" w:cs="Sylfaen"/>
      <w:b w:val="0"/>
      <w:bCs w:val="0"/>
      <w:i/>
      <w:iCs/>
      <w:smallCaps/>
      <w:strike w:val="0"/>
      <w:color w:val="000000"/>
      <w:spacing w:val="20"/>
      <w:w w:val="100"/>
      <w:position w:val="0"/>
      <w:sz w:val="20"/>
      <w:szCs w:val="20"/>
      <w:u w:val="none"/>
      <w:shd w:val="clear" w:color="auto" w:fill="FFFFFF"/>
      <w:lang w:val="hy-AM" w:eastAsia="hy-AM" w:bidi="hy-AM"/>
    </w:rPr>
  </w:style>
  <w:style w:type="character" w:customStyle="1" w:styleId="Bodytext285pt">
    <w:name w:val="Body text (2) + 8.5 pt"/>
    <w:aliases w:val="Italic9,Small Caps6,Spacing 0 pt12,Body text (2) + 5.5 pt,Body text (2) + 6 pt,Table caption (13) + Times New Roman,Body text (24) + Times New Roman"/>
    <w:basedOn w:val="Bodytext2"/>
    <w:rsid w:val="00B834A2"/>
    <w:rPr>
      <w:rFonts w:ascii="Sylfaen" w:eastAsia="Sylfaen" w:hAnsi="Sylfaen" w:cs="Sylfaen"/>
      <w:b w:val="0"/>
      <w:bCs w:val="0"/>
      <w:i/>
      <w:iCs/>
      <w:smallCaps/>
      <w:strike w:val="0"/>
      <w:color w:val="000000"/>
      <w:spacing w:val="-10"/>
      <w:w w:val="100"/>
      <w:position w:val="0"/>
      <w:sz w:val="17"/>
      <w:szCs w:val="17"/>
      <w:u w:val="none"/>
      <w:shd w:val="clear" w:color="auto" w:fill="FFFFFF"/>
      <w:lang w:val="hy-AM" w:eastAsia="hy-AM" w:bidi="hy-AM"/>
    </w:rPr>
  </w:style>
  <w:style w:type="character" w:customStyle="1" w:styleId="Bodytext285pt1">
    <w:name w:val="Body text (2) + 8.5 pt1"/>
    <w:aliases w:val="Italic8,Spacing 0 pt11"/>
    <w:basedOn w:val="Bodytext2"/>
    <w:rsid w:val="00B834A2"/>
    <w:rPr>
      <w:rFonts w:ascii="Sylfaen" w:eastAsia="Sylfaen" w:hAnsi="Sylfaen" w:cs="Sylfaen"/>
      <w:b w:val="0"/>
      <w:bCs w:val="0"/>
      <w:i/>
      <w:iCs/>
      <w:smallCaps w:val="0"/>
      <w:strike w:val="0"/>
      <w:color w:val="000000"/>
      <w:spacing w:val="-10"/>
      <w:w w:val="100"/>
      <w:position w:val="0"/>
      <w:sz w:val="17"/>
      <w:szCs w:val="17"/>
      <w:u w:val="none"/>
      <w:shd w:val="clear" w:color="auto" w:fill="FFFFFF"/>
      <w:lang w:val="hy-AM" w:eastAsia="hy-AM" w:bidi="hy-AM"/>
    </w:rPr>
  </w:style>
  <w:style w:type="character" w:customStyle="1" w:styleId="Bodytext28pt">
    <w:name w:val="Body text (2) + 8 pt"/>
    <w:basedOn w:val="Bodytext2"/>
    <w:rsid w:val="00B834A2"/>
    <w:rPr>
      <w:rFonts w:ascii="Sylfaen" w:eastAsia="Sylfaen" w:hAnsi="Sylfaen" w:cs="Sylfaen"/>
      <w:b w:val="0"/>
      <w:bCs w:val="0"/>
      <w:i w:val="0"/>
      <w:iCs w:val="0"/>
      <w:smallCaps w:val="0"/>
      <w:strike w:val="0"/>
      <w:color w:val="000000"/>
      <w:spacing w:val="0"/>
      <w:w w:val="100"/>
      <w:position w:val="0"/>
      <w:sz w:val="16"/>
      <w:szCs w:val="16"/>
      <w:u w:val="none"/>
      <w:shd w:val="clear" w:color="auto" w:fill="FFFFFF"/>
      <w:lang w:val="hy-AM" w:eastAsia="hy-AM" w:bidi="hy-AM"/>
    </w:rPr>
  </w:style>
  <w:style w:type="character" w:customStyle="1" w:styleId="Bodytext2Arial">
    <w:name w:val="Body text (2) + Arial"/>
    <w:aliases w:val="4.5 pt,Spacing 3 pt"/>
    <w:basedOn w:val="Bodytext2"/>
    <w:rsid w:val="00B834A2"/>
    <w:rPr>
      <w:rFonts w:ascii="Arial" w:eastAsia="Arial" w:hAnsi="Arial" w:cs="Arial"/>
      <w:b w:val="0"/>
      <w:bCs w:val="0"/>
      <w:i w:val="0"/>
      <w:iCs w:val="0"/>
      <w:smallCaps w:val="0"/>
      <w:strike w:val="0"/>
      <w:color w:val="000000"/>
      <w:spacing w:val="60"/>
      <w:w w:val="100"/>
      <w:position w:val="0"/>
      <w:sz w:val="9"/>
      <w:szCs w:val="9"/>
      <w:u w:val="none"/>
      <w:shd w:val="clear" w:color="auto" w:fill="FFFFFF"/>
      <w:lang w:val="hy-AM" w:eastAsia="hy-AM" w:bidi="hy-AM"/>
    </w:rPr>
  </w:style>
  <w:style w:type="character" w:customStyle="1" w:styleId="Bodytext24pt">
    <w:name w:val="Body text (2) + 4 pt"/>
    <w:basedOn w:val="Bodytext2"/>
    <w:rsid w:val="00B834A2"/>
    <w:rPr>
      <w:rFonts w:ascii="Sylfaen" w:eastAsia="Sylfaen" w:hAnsi="Sylfaen" w:cs="Sylfae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25pt">
    <w:name w:val="Body text (2) + 5 pt"/>
    <w:aliases w:val="Scale 60%"/>
    <w:basedOn w:val="Bodytext2"/>
    <w:rsid w:val="00B834A2"/>
    <w:rPr>
      <w:rFonts w:ascii="Sylfaen" w:eastAsia="Sylfaen" w:hAnsi="Sylfaen" w:cs="Sylfaen"/>
      <w:b w:val="0"/>
      <w:bCs w:val="0"/>
      <w:i w:val="0"/>
      <w:iCs w:val="0"/>
      <w:smallCaps w:val="0"/>
      <w:strike w:val="0"/>
      <w:color w:val="000000"/>
      <w:spacing w:val="0"/>
      <w:w w:val="60"/>
      <w:position w:val="0"/>
      <w:sz w:val="10"/>
      <w:szCs w:val="10"/>
      <w:u w:val="none"/>
      <w:shd w:val="clear" w:color="auto" w:fill="FFFFFF"/>
      <w:lang w:val="hy-AM" w:eastAsia="hy-AM" w:bidi="hy-AM"/>
    </w:rPr>
  </w:style>
  <w:style w:type="character" w:customStyle="1" w:styleId="Bodytext232pt">
    <w:name w:val="Body text (2) + 32 pt"/>
    <w:basedOn w:val="Bodytext2"/>
    <w:rsid w:val="00B834A2"/>
    <w:rPr>
      <w:rFonts w:ascii="Sylfaen" w:eastAsia="Sylfaen" w:hAnsi="Sylfaen" w:cs="Sylfaen"/>
      <w:b w:val="0"/>
      <w:bCs w:val="0"/>
      <w:i w:val="0"/>
      <w:iCs w:val="0"/>
      <w:smallCaps w:val="0"/>
      <w:strike w:val="0"/>
      <w:color w:val="000000"/>
      <w:spacing w:val="0"/>
      <w:w w:val="100"/>
      <w:position w:val="0"/>
      <w:sz w:val="64"/>
      <w:szCs w:val="64"/>
      <w:u w:val="none"/>
      <w:shd w:val="clear" w:color="auto" w:fill="FFFFFF"/>
      <w:lang w:val="hy-AM" w:eastAsia="hy-AM" w:bidi="hy-AM"/>
    </w:rPr>
  </w:style>
  <w:style w:type="character" w:customStyle="1" w:styleId="Bodytext28pt2">
    <w:name w:val="Body text (2) + 8 pt2"/>
    <w:aliases w:val="Italic7"/>
    <w:basedOn w:val="Bodytext2"/>
    <w:rsid w:val="00B834A2"/>
    <w:rPr>
      <w:rFonts w:ascii="Sylfaen" w:eastAsia="Sylfaen" w:hAnsi="Sylfaen" w:cs="Sylfaen"/>
      <w:b w:val="0"/>
      <w:bCs w:val="0"/>
      <w:i/>
      <w:iCs/>
      <w:smallCaps w:val="0"/>
      <w:strike w:val="0"/>
      <w:color w:val="000000"/>
      <w:spacing w:val="0"/>
      <w:w w:val="100"/>
      <w:position w:val="0"/>
      <w:sz w:val="16"/>
      <w:szCs w:val="16"/>
      <w:u w:val="none"/>
      <w:shd w:val="clear" w:color="auto" w:fill="FFFFFF"/>
      <w:lang w:val="hy-AM" w:eastAsia="hy-AM" w:bidi="hy-AM"/>
    </w:rPr>
  </w:style>
  <w:style w:type="character" w:customStyle="1" w:styleId="Bodytext25pt1">
    <w:name w:val="Body text (2) + 5 pt1"/>
    <w:aliases w:val="Italic6"/>
    <w:basedOn w:val="Bodytext2"/>
    <w:rsid w:val="00B834A2"/>
    <w:rPr>
      <w:rFonts w:ascii="Sylfaen" w:eastAsia="Sylfaen" w:hAnsi="Sylfaen" w:cs="Sylfaen"/>
      <w:b w:val="0"/>
      <w:bCs w:val="0"/>
      <w:i/>
      <w:iCs/>
      <w:smallCaps w:val="0"/>
      <w:strike w:val="0"/>
      <w:color w:val="000000"/>
      <w:spacing w:val="0"/>
      <w:w w:val="100"/>
      <w:position w:val="0"/>
      <w:sz w:val="10"/>
      <w:szCs w:val="10"/>
      <w:u w:val="none"/>
      <w:shd w:val="clear" w:color="auto" w:fill="FFFFFF"/>
      <w:lang w:val="hy-AM" w:eastAsia="hy-AM" w:bidi="hy-AM"/>
    </w:rPr>
  </w:style>
  <w:style w:type="character" w:customStyle="1" w:styleId="Bodytext28pt1">
    <w:name w:val="Body text (2) + 8 pt1"/>
    <w:aliases w:val="Italic5,Spacing 0 pt10"/>
    <w:basedOn w:val="Bodytext2"/>
    <w:rsid w:val="00B834A2"/>
    <w:rPr>
      <w:rFonts w:ascii="Sylfaen" w:eastAsia="Sylfaen" w:hAnsi="Sylfaen" w:cs="Sylfaen"/>
      <w:b w:val="0"/>
      <w:bCs w:val="0"/>
      <w:i/>
      <w:iCs/>
      <w:smallCaps w:val="0"/>
      <w:strike w:val="0"/>
      <w:color w:val="000000"/>
      <w:spacing w:val="10"/>
      <w:w w:val="100"/>
      <w:position w:val="0"/>
      <w:sz w:val="16"/>
      <w:szCs w:val="16"/>
      <w:u w:val="none"/>
      <w:shd w:val="clear" w:color="auto" w:fill="FFFFFF"/>
      <w:lang w:val="hy-AM" w:eastAsia="hy-AM" w:bidi="hy-AM"/>
    </w:rPr>
  </w:style>
  <w:style w:type="character" w:customStyle="1" w:styleId="Bodytext295pt">
    <w:name w:val="Body text (2) + 9.5 pt"/>
    <w:aliases w:val="Italic4,Not Bold,Body text (2) + Courier New,33 pt,Body text (2) + CordiaUPC,Spacing -7 pt"/>
    <w:basedOn w:val="Bodytext2"/>
    <w:rsid w:val="00B834A2"/>
    <w:rPr>
      <w:rFonts w:ascii="Sylfaen" w:eastAsia="Sylfaen" w:hAnsi="Sylfaen" w:cs="Sylfaen"/>
      <w:b w:val="0"/>
      <w:bCs w:val="0"/>
      <w:i/>
      <w:iCs/>
      <w:smallCaps w:val="0"/>
      <w:strike w:val="0"/>
      <w:color w:val="000000"/>
      <w:spacing w:val="0"/>
      <w:w w:val="100"/>
      <w:position w:val="0"/>
      <w:sz w:val="19"/>
      <w:szCs w:val="19"/>
      <w:u w:val="none"/>
      <w:shd w:val="clear" w:color="auto" w:fill="FFFFFF"/>
      <w:lang w:val="hy-AM" w:eastAsia="hy-AM" w:bidi="hy-AM"/>
    </w:rPr>
  </w:style>
  <w:style w:type="character" w:customStyle="1" w:styleId="Bodytext27pt2">
    <w:name w:val="Body text (2) + 7 pt2"/>
    <w:basedOn w:val="Bodytext2"/>
    <w:rsid w:val="00B834A2"/>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hy-AM" w:eastAsia="hy-AM" w:bidi="hy-AM"/>
    </w:rPr>
  </w:style>
  <w:style w:type="character" w:customStyle="1" w:styleId="Bodytext2TimesNewRoman1">
    <w:name w:val="Body text (2) + Times New Roman1"/>
    <w:aliases w:val="6 pt"/>
    <w:basedOn w:val="Bodytext2"/>
    <w:rsid w:val="00B834A2"/>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hy-AM" w:eastAsia="hy-AM" w:bidi="hy-AM"/>
    </w:rPr>
  </w:style>
  <w:style w:type="character" w:customStyle="1" w:styleId="Bodytext265pt">
    <w:name w:val="Body text (2) + 6.5 pt"/>
    <w:basedOn w:val="Bodytext2"/>
    <w:rsid w:val="00B834A2"/>
    <w:rPr>
      <w:rFonts w:ascii="Sylfaen" w:eastAsia="Sylfaen" w:hAnsi="Sylfaen" w:cs="Sylfaen"/>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Bodytext275pt">
    <w:name w:val="Body text (2) + 7.5 pt"/>
    <w:aliases w:val="Spacing 1 pt6"/>
    <w:basedOn w:val="Bodytext2"/>
    <w:rsid w:val="00B834A2"/>
    <w:rPr>
      <w:rFonts w:ascii="Sylfaen" w:eastAsia="Sylfaen" w:hAnsi="Sylfaen" w:cs="Sylfaen"/>
      <w:b w:val="0"/>
      <w:bCs w:val="0"/>
      <w:i w:val="0"/>
      <w:iCs w:val="0"/>
      <w:smallCaps w:val="0"/>
      <w:strike w:val="0"/>
      <w:color w:val="000000"/>
      <w:spacing w:val="30"/>
      <w:w w:val="100"/>
      <w:position w:val="0"/>
      <w:sz w:val="15"/>
      <w:szCs w:val="15"/>
      <w:u w:val="none"/>
      <w:shd w:val="clear" w:color="auto" w:fill="FFFFFF"/>
      <w:lang w:val="hy-AM" w:eastAsia="hy-AM" w:bidi="hy-AM"/>
    </w:rPr>
  </w:style>
  <w:style w:type="character" w:customStyle="1" w:styleId="Bodytext295pt2">
    <w:name w:val="Body text (2) + 9.5 pt2"/>
    <w:aliases w:val="Italic3,Spacing 1 pt5"/>
    <w:basedOn w:val="Bodytext2"/>
    <w:rsid w:val="00B834A2"/>
    <w:rPr>
      <w:rFonts w:ascii="Sylfaen" w:eastAsia="Sylfaen" w:hAnsi="Sylfaen" w:cs="Sylfaen"/>
      <w:b w:val="0"/>
      <w:bCs w:val="0"/>
      <w:i/>
      <w:iCs/>
      <w:smallCaps w:val="0"/>
      <w:strike w:val="0"/>
      <w:color w:val="000000"/>
      <w:spacing w:val="30"/>
      <w:w w:val="100"/>
      <w:position w:val="0"/>
      <w:sz w:val="19"/>
      <w:szCs w:val="19"/>
      <w:u w:val="none"/>
      <w:shd w:val="clear" w:color="auto" w:fill="FFFFFF"/>
      <w:lang w:val="hy-AM" w:eastAsia="hy-AM" w:bidi="hy-AM"/>
    </w:rPr>
  </w:style>
  <w:style w:type="character" w:customStyle="1" w:styleId="Bodytext2Arial1">
    <w:name w:val="Body text (2) + Arial1"/>
    <w:aliases w:val="4.5 pt1,Body text (32) + Arial"/>
    <w:basedOn w:val="Bodytext2"/>
    <w:rsid w:val="00B834A2"/>
    <w:rPr>
      <w:rFonts w:ascii="Arial" w:eastAsia="Arial" w:hAnsi="Arial" w:cs="Arial"/>
      <w:b w:val="0"/>
      <w:bCs w:val="0"/>
      <w:i w:val="0"/>
      <w:iCs w:val="0"/>
      <w:smallCaps w:val="0"/>
      <w:strike w:val="0"/>
      <w:color w:val="000000"/>
      <w:spacing w:val="0"/>
      <w:w w:val="100"/>
      <w:position w:val="0"/>
      <w:sz w:val="9"/>
      <w:szCs w:val="9"/>
      <w:u w:val="none"/>
      <w:shd w:val="clear" w:color="auto" w:fill="FFFFFF"/>
      <w:lang w:val="hy-AM" w:eastAsia="hy-AM" w:bidi="hy-AM"/>
    </w:rPr>
  </w:style>
  <w:style w:type="character" w:customStyle="1" w:styleId="Picturecaption3">
    <w:name w:val="Picture caption (3)_"/>
    <w:basedOn w:val="DefaultParagraphFont"/>
    <w:link w:val="Picturecaption30"/>
    <w:rsid w:val="00B834A2"/>
    <w:rPr>
      <w:i/>
      <w:iCs/>
      <w:sz w:val="21"/>
      <w:szCs w:val="21"/>
      <w:shd w:val="clear" w:color="auto" w:fill="FFFFFF"/>
    </w:rPr>
  </w:style>
  <w:style w:type="paragraph" w:customStyle="1" w:styleId="Picturecaption30">
    <w:name w:val="Picture caption (3)"/>
    <w:basedOn w:val="Normal"/>
    <w:link w:val="Picturecaption3"/>
    <w:rsid w:val="00B834A2"/>
    <w:pPr>
      <w:shd w:val="clear" w:color="auto" w:fill="FFFFFF"/>
      <w:spacing w:line="0" w:lineRule="atLeast"/>
      <w:jc w:val="both"/>
    </w:pPr>
    <w:rPr>
      <w:i/>
      <w:iCs/>
      <w:color w:val="auto"/>
      <w:sz w:val="21"/>
      <w:szCs w:val="21"/>
    </w:rPr>
  </w:style>
  <w:style w:type="character" w:customStyle="1" w:styleId="Picturecaption310pt">
    <w:name w:val="Picture caption (3) + 10 pt"/>
    <w:aliases w:val="Not Italic43"/>
    <w:basedOn w:val="Picturecaption3"/>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Picturecaption310pt1">
    <w:name w:val="Picture caption (3) + 10 pt1"/>
    <w:basedOn w:val="Picturecaption3"/>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2Italic">
    <w:name w:val="Body text (2) + Italic"/>
    <w:basedOn w:val="Bodytext2"/>
    <w:rsid w:val="00B834A2"/>
    <w:rPr>
      <w:rFonts w:ascii="Sylfaen" w:eastAsia="Sylfaen" w:hAnsi="Sylfaen" w:cs="Sylfaen"/>
      <w:b w:val="0"/>
      <w:bCs w:val="0"/>
      <w:i/>
      <w:iCs/>
      <w:smallCaps w:val="0"/>
      <w:strike w:val="0"/>
      <w:color w:val="000000"/>
      <w:spacing w:val="0"/>
      <w:w w:val="100"/>
      <w:position w:val="0"/>
      <w:sz w:val="21"/>
      <w:szCs w:val="21"/>
      <w:u w:val="none"/>
      <w:shd w:val="clear" w:color="auto" w:fill="FFFFFF"/>
      <w:lang w:val="hy-AM" w:eastAsia="hy-AM" w:bidi="hy-AM"/>
    </w:rPr>
  </w:style>
  <w:style w:type="character" w:customStyle="1" w:styleId="Tablecaption4">
    <w:name w:val="Table caption (4)_"/>
    <w:basedOn w:val="DefaultParagraphFont"/>
    <w:link w:val="Tablecaption40"/>
    <w:rsid w:val="00B834A2"/>
    <w:rPr>
      <w:i/>
      <w:iCs/>
      <w:sz w:val="21"/>
      <w:szCs w:val="21"/>
      <w:shd w:val="clear" w:color="auto" w:fill="FFFFFF"/>
    </w:rPr>
  </w:style>
  <w:style w:type="paragraph" w:customStyle="1" w:styleId="Tablecaption40">
    <w:name w:val="Table caption (4)"/>
    <w:basedOn w:val="Normal"/>
    <w:link w:val="Tablecaption4"/>
    <w:rsid w:val="00B834A2"/>
    <w:pPr>
      <w:shd w:val="clear" w:color="auto" w:fill="FFFFFF"/>
      <w:spacing w:line="235" w:lineRule="exact"/>
      <w:ind w:hanging="200"/>
      <w:jc w:val="both"/>
    </w:pPr>
    <w:rPr>
      <w:i/>
      <w:iCs/>
      <w:color w:val="auto"/>
      <w:sz w:val="21"/>
      <w:szCs w:val="21"/>
    </w:rPr>
  </w:style>
  <w:style w:type="character" w:customStyle="1" w:styleId="Tablecaption410pt">
    <w:name w:val="Table caption (4) + 10 pt"/>
    <w:aliases w:val="Not Italic42"/>
    <w:basedOn w:val="Tablecaption4"/>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Tablecaption410pt1">
    <w:name w:val="Table caption (4) + 10 pt1"/>
    <w:basedOn w:val="Tablecaption4"/>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Tablecaption3">
    <w:name w:val="Table caption (3)_"/>
    <w:basedOn w:val="DefaultParagraphFont"/>
    <w:link w:val="Tablecaption30"/>
    <w:rsid w:val="00B834A2"/>
    <w:rPr>
      <w:sz w:val="21"/>
      <w:szCs w:val="21"/>
      <w:shd w:val="clear" w:color="auto" w:fill="FFFFFF"/>
    </w:rPr>
  </w:style>
  <w:style w:type="paragraph" w:customStyle="1" w:styleId="Tablecaption30">
    <w:name w:val="Table caption (3)"/>
    <w:basedOn w:val="Normal"/>
    <w:link w:val="Tablecaption3"/>
    <w:rsid w:val="00B834A2"/>
    <w:pPr>
      <w:shd w:val="clear" w:color="auto" w:fill="FFFFFF"/>
      <w:spacing w:line="0" w:lineRule="atLeast"/>
    </w:pPr>
    <w:rPr>
      <w:color w:val="auto"/>
      <w:sz w:val="21"/>
      <w:szCs w:val="21"/>
    </w:rPr>
  </w:style>
  <w:style w:type="character" w:customStyle="1" w:styleId="Tablecaption310pt">
    <w:name w:val="Table caption (3) + 10 pt"/>
    <w:basedOn w:val="Tablecaption3"/>
    <w:rsid w:val="00B834A2"/>
    <w:rPr>
      <w:rFonts w:ascii="Sylfaen" w:eastAsia="Sylfaen" w:hAnsi="Sylfaen" w:cs="Sylfaen"/>
      <w:color w:val="000000"/>
      <w:spacing w:val="0"/>
      <w:w w:val="100"/>
      <w:position w:val="0"/>
      <w:sz w:val="20"/>
      <w:szCs w:val="20"/>
      <w:shd w:val="clear" w:color="auto" w:fill="FFFFFF"/>
      <w:lang w:val="hy-AM" w:eastAsia="hy-AM" w:bidi="hy-AM"/>
    </w:rPr>
  </w:style>
  <w:style w:type="character" w:customStyle="1" w:styleId="Bodytext27pt1">
    <w:name w:val="Body text (2) + 7 pt1"/>
    <w:basedOn w:val="Bodytext2"/>
    <w:rsid w:val="00B834A2"/>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hy-AM" w:eastAsia="hy-AM" w:bidi="hy-AM"/>
    </w:rPr>
  </w:style>
  <w:style w:type="character" w:customStyle="1" w:styleId="Bodytext295pt1">
    <w:name w:val="Body text (2) + 9.5 pt1"/>
    <w:aliases w:val="Bold6"/>
    <w:basedOn w:val="Bodytext2"/>
    <w:rsid w:val="00B834A2"/>
    <w:rPr>
      <w:rFonts w:ascii="Sylfaen" w:eastAsia="Sylfaen" w:hAnsi="Sylfaen" w:cs="Sylfaen"/>
      <w:b/>
      <w:bCs/>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Bodytext265pt1">
    <w:name w:val="Body text (2) + 6.5 pt1"/>
    <w:basedOn w:val="Bodytext2"/>
    <w:rsid w:val="00B834A2"/>
    <w:rPr>
      <w:rFonts w:ascii="Sylfaen" w:eastAsia="Sylfaen" w:hAnsi="Sylfaen" w:cs="Sylfaen"/>
      <w:b w:val="0"/>
      <w:bCs w:val="0"/>
      <w:i w:val="0"/>
      <w:iCs w:val="0"/>
      <w:smallCaps w:val="0"/>
      <w:strike w:val="0"/>
      <w:color w:val="000000"/>
      <w:spacing w:val="0"/>
      <w:w w:val="100"/>
      <w:position w:val="0"/>
      <w:sz w:val="13"/>
      <w:szCs w:val="13"/>
      <w:u w:val="none"/>
      <w:shd w:val="clear" w:color="auto" w:fill="FFFFFF"/>
      <w:lang w:val="hy-AM" w:eastAsia="hy-AM" w:bidi="hy-AM"/>
    </w:rPr>
  </w:style>
  <w:style w:type="character" w:customStyle="1" w:styleId="Bodytext2Candara">
    <w:name w:val="Body text (2) + Candara"/>
    <w:aliases w:val="8 pt"/>
    <w:basedOn w:val="Bodytext2"/>
    <w:rsid w:val="00B834A2"/>
    <w:rPr>
      <w:rFonts w:ascii="Candara" w:eastAsia="Candara" w:hAnsi="Candara" w:cs="Candara"/>
      <w:b w:val="0"/>
      <w:bCs w:val="0"/>
      <w:i w:val="0"/>
      <w:iCs w:val="0"/>
      <w:smallCaps w:val="0"/>
      <w:strike w:val="0"/>
      <w:color w:val="000000"/>
      <w:spacing w:val="0"/>
      <w:w w:val="100"/>
      <w:position w:val="0"/>
      <w:sz w:val="16"/>
      <w:szCs w:val="16"/>
      <w:u w:val="none"/>
      <w:shd w:val="clear" w:color="auto" w:fill="FFFFFF"/>
      <w:lang w:val="hy-AM" w:eastAsia="hy-AM" w:bidi="hy-AM"/>
    </w:rPr>
  </w:style>
  <w:style w:type="character" w:customStyle="1" w:styleId="Headerorfooter2">
    <w:name w:val="Header or footer (2)_"/>
    <w:basedOn w:val="DefaultParagraphFont"/>
    <w:link w:val="Headerorfooter20"/>
    <w:rsid w:val="00B834A2"/>
    <w:rPr>
      <w:rFonts w:ascii="Times New Roman" w:eastAsia="Times New Roman" w:hAnsi="Times New Roman" w:cs="Times New Roman"/>
      <w:i/>
      <w:iCs/>
      <w:sz w:val="19"/>
      <w:szCs w:val="19"/>
      <w:shd w:val="clear" w:color="auto" w:fill="FFFFFF"/>
    </w:rPr>
  </w:style>
  <w:style w:type="paragraph" w:customStyle="1" w:styleId="Headerorfooter20">
    <w:name w:val="Header or footer (2)"/>
    <w:basedOn w:val="Normal"/>
    <w:link w:val="Headerorfooter2"/>
    <w:rsid w:val="00B834A2"/>
    <w:pPr>
      <w:shd w:val="clear" w:color="auto" w:fill="FFFFFF"/>
      <w:spacing w:line="235" w:lineRule="exact"/>
    </w:pPr>
    <w:rPr>
      <w:rFonts w:ascii="Times New Roman" w:eastAsia="Times New Roman" w:hAnsi="Times New Roman" w:cs="Times New Roman"/>
      <w:i/>
      <w:iCs/>
      <w:color w:val="auto"/>
      <w:sz w:val="19"/>
      <w:szCs w:val="19"/>
    </w:rPr>
  </w:style>
  <w:style w:type="character" w:customStyle="1" w:styleId="Bodytext395pt">
    <w:name w:val="Body text (3) + 9.5 pt"/>
    <w:aliases w:val="Not Italic41"/>
    <w:basedOn w:val="Bodytext3"/>
    <w:rsid w:val="00B834A2"/>
    <w:rPr>
      <w:rFonts w:ascii="Sylfaen" w:eastAsia="Sylfaen" w:hAnsi="Sylfaen" w:cs="Sylfaen"/>
      <w:b/>
      <w:bCs/>
      <w:i/>
      <w:iCs/>
      <w:smallCaps w:val="0"/>
      <w:strike w:val="0"/>
      <w:color w:val="000000"/>
      <w:spacing w:val="0"/>
      <w:w w:val="100"/>
      <w:position w:val="0"/>
      <w:sz w:val="19"/>
      <w:szCs w:val="19"/>
      <w:u w:val="none"/>
      <w:shd w:val="clear" w:color="auto" w:fill="FFFFFF"/>
      <w:lang w:val="hy-AM" w:eastAsia="hy-AM" w:bidi="hy-AM"/>
    </w:rPr>
  </w:style>
  <w:style w:type="character" w:customStyle="1" w:styleId="Bodytext275pt1">
    <w:name w:val="Body text (2) + 7.5 pt1"/>
    <w:basedOn w:val="Bodytext2"/>
    <w:rsid w:val="00B834A2"/>
    <w:rPr>
      <w:rFonts w:ascii="Sylfaen" w:eastAsia="Sylfaen" w:hAnsi="Sylfaen" w:cs="Sylfaen"/>
      <w:b w:val="0"/>
      <w:bCs w:val="0"/>
      <w:i w:val="0"/>
      <w:iCs w:val="0"/>
      <w:smallCaps w:val="0"/>
      <w:strike w:val="0"/>
      <w:color w:val="000000"/>
      <w:spacing w:val="0"/>
      <w:w w:val="100"/>
      <w:position w:val="0"/>
      <w:sz w:val="15"/>
      <w:szCs w:val="15"/>
      <w:u w:val="none"/>
      <w:shd w:val="clear" w:color="auto" w:fill="FFFFFF"/>
      <w:lang w:val="hy-AM" w:eastAsia="hy-AM" w:bidi="hy-AM"/>
    </w:rPr>
  </w:style>
  <w:style w:type="character" w:customStyle="1" w:styleId="Bodytext2115pt">
    <w:name w:val="Body text (2) + 11.5 pt"/>
    <w:aliases w:val="Bold5"/>
    <w:basedOn w:val="Bodytext2"/>
    <w:rsid w:val="00B834A2"/>
    <w:rPr>
      <w:rFonts w:ascii="Sylfaen" w:eastAsia="Sylfaen" w:hAnsi="Sylfaen" w:cs="Sylfaen"/>
      <w:b/>
      <w:bCs/>
      <w:i w:val="0"/>
      <w:iCs w:val="0"/>
      <w:smallCaps w:val="0"/>
      <w:strike w:val="0"/>
      <w:color w:val="000000"/>
      <w:spacing w:val="0"/>
      <w:w w:val="100"/>
      <w:position w:val="0"/>
      <w:sz w:val="23"/>
      <w:szCs w:val="23"/>
      <w:u w:val="none"/>
      <w:shd w:val="clear" w:color="auto" w:fill="FFFFFF"/>
      <w:lang w:val="hy-AM" w:eastAsia="hy-AM" w:bidi="hy-AM"/>
    </w:rPr>
  </w:style>
  <w:style w:type="character" w:customStyle="1" w:styleId="Bodytext210pt1">
    <w:name w:val="Body text (2) + 10 pt1"/>
    <w:aliases w:val="Italic2,Spacing -1 pt2"/>
    <w:basedOn w:val="Bodytext2"/>
    <w:rsid w:val="00B834A2"/>
    <w:rPr>
      <w:rFonts w:ascii="Sylfaen" w:eastAsia="Sylfaen" w:hAnsi="Sylfaen" w:cs="Sylfaen"/>
      <w:b w:val="0"/>
      <w:bCs w:val="0"/>
      <w:i/>
      <w:iCs/>
      <w:smallCaps w:val="0"/>
      <w:strike w:val="0"/>
      <w:color w:val="000000"/>
      <w:spacing w:val="-30"/>
      <w:w w:val="100"/>
      <w:position w:val="0"/>
      <w:sz w:val="20"/>
      <w:szCs w:val="20"/>
      <w:u w:val="none"/>
      <w:shd w:val="clear" w:color="auto" w:fill="FFFFFF"/>
      <w:lang w:val="hy-AM" w:eastAsia="hy-AM" w:bidi="hy-AM"/>
    </w:rPr>
  </w:style>
  <w:style w:type="character" w:customStyle="1" w:styleId="Bodytext31">
    <w:name w:val="Body text (31)_"/>
    <w:basedOn w:val="DefaultParagraphFont"/>
    <w:link w:val="Bodytext310"/>
    <w:rsid w:val="00B834A2"/>
    <w:rPr>
      <w:rFonts w:ascii="Times New Roman" w:eastAsia="Times New Roman" w:hAnsi="Times New Roman" w:cs="Times New Roman"/>
      <w:i/>
      <w:iCs/>
      <w:sz w:val="19"/>
      <w:szCs w:val="19"/>
      <w:shd w:val="clear" w:color="auto" w:fill="FFFFFF"/>
    </w:rPr>
  </w:style>
  <w:style w:type="paragraph" w:customStyle="1" w:styleId="Bodytext310">
    <w:name w:val="Body text (31)"/>
    <w:basedOn w:val="Normal"/>
    <w:link w:val="Bodytext31"/>
    <w:rsid w:val="00B834A2"/>
    <w:pPr>
      <w:shd w:val="clear" w:color="auto" w:fill="FFFFFF"/>
      <w:spacing w:line="0" w:lineRule="atLeast"/>
    </w:pPr>
    <w:rPr>
      <w:rFonts w:ascii="Times New Roman" w:eastAsia="Times New Roman" w:hAnsi="Times New Roman" w:cs="Times New Roman"/>
      <w:i/>
      <w:iCs/>
      <w:color w:val="auto"/>
      <w:sz w:val="19"/>
      <w:szCs w:val="19"/>
    </w:rPr>
  </w:style>
  <w:style w:type="character" w:customStyle="1" w:styleId="Bodytext31Sylfaen">
    <w:name w:val="Body text (31) + Sylfaen"/>
    <w:aliases w:val="10 pt,Not Italic40"/>
    <w:basedOn w:val="Bodytext31"/>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1Sylfaen23">
    <w:name w:val="Body text (31) + Sylfaen23"/>
    <w:aliases w:val="10 pt11"/>
    <w:basedOn w:val="Bodytext31"/>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1Sylfaen22">
    <w:name w:val="Body text (31) + Sylfaen22"/>
    <w:aliases w:val="11 pt,Not Italic39"/>
    <w:basedOn w:val="Bodytext31"/>
    <w:rsid w:val="00B834A2"/>
    <w:rPr>
      <w:rFonts w:ascii="Sylfaen" w:eastAsia="Sylfaen" w:hAnsi="Sylfaen" w:cs="Sylfaen"/>
      <w:b/>
      <w:bCs/>
      <w:i/>
      <w:iCs/>
      <w:color w:val="000000"/>
      <w:spacing w:val="0"/>
      <w:w w:val="100"/>
      <w:position w:val="0"/>
      <w:sz w:val="22"/>
      <w:szCs w:val="22"/>
      <w:shd w:val="clear" w:color="auto" w:fill="FFFFFF"/>
      <w:lang w:val="hy-AM" w:eastAsia="hy-AM" w:bidi="hy-AM"/>
    </w:rPr>
  </w:style>
  <w:style w:type="character" w:customStyle="1" w:styleId="Bodytext31Sylfaen21">
    <w:name w:val="Body text (31) + Sylfaen21"/>
    <w:aliases w:val="Not Italic38"/>
    <w:basedOn w:val="Bodytext31"/>
    <w:rsid w:val="00B834A2"/>
    <w:rPr>
      <w:rFonts w:ascii="Sylfaen" w:eastAsia="Sylfaen" w:hAnsi="Sylfaen" w:cs="Sylfaen"/>
      <w:i/>
      <w:iCs/>
      <w:color w:val="000000"/>
      <w:spacing w:val="0"/>
      <w:w w:val="100"/>
      <w:position w:val="0"/>
      <w:sz w:val="19"/>
      <w:szCs w:val="19"/>
      <w:shd w:val="clear" w:color="auto" w:fill="FFFFFF"/>
      <w:lang w:val="hy-AM" w:eastAsia="hy-AM" w:bidi="hy-AM"/>
    </w:rPr>
  </w:style>
  <w:style w:type="character" w:customStyle="1" w:styleId="Bodytext31Candara">
    <w:name w:val="Body text (31) + Candara"/>
    <w:aliases w:val="8 pt5,Not Italic37"/>
    <w:basedOn w:val="Bodytext31"/>
    <w:rsid w:val="00B834A2"/>
    <w:rPr>
      <w:rFonts w:ascii="Candara" w:eastAsia="Candara" w:hAnsi="Candara" w:cs="Candara"/>
      <w:i/>
      <w:iCs/>
      <w:color w:val="000000"/>
      <w:spacing w:val="0"/>
      <w:w w:val="100"/>
      <w:position w:val="0"/>
      <w:sz w:val="16"/>
      <w:szCs w:val="16"/>
      <w:shd w:val="clear" w:color="auto" w:fill="FFFFFF"/>
      <w:lang w:val="hy-AM" w:eastAsia="hy-AM" w:bidi="hy-AM"/>
    </w:rPr>
  </w:style>
  <w:style w:type="character" w:customStyle="1" w:styleId="Picturecaption12">
    <w:name w:val="Picture caption (12)_"/>
    <w:basedOn w:val="DefaultParagraphFont"/>
    <w:link w:val="Picturecaption120"/>
    <w:rsid w:val="00B834A2"/>
    <w:rPr>
      <w:rFonts w:ascii="Times New Roman" w:eastAsia="Times New Roman" w:hAnsi="Times New Roman" w:cs="Times New Roman"/>
      <w:i/>
      <w:iCs/>
      <w:sz w:val="19"/>
      <w:szCs w:val="19"/>
      <w:shd w:val="clear" w:color="auto" w:fill="FFFFFF"/>
    </w:rPr>
  </w:style>
  <w:style w:type="paragraph" w:customStyle="1" w:styleId="Picturecaption120">
    <w:name w:val="Picture caption (12)"/>
    <w:basedOn w:val="Normal"/>
    <w:link w:val="Picturecaption12"/>
    <w:rsid w:val="00B834A2"/>
    <w:pPr>
      <w:shd w:val="clear" w:color="auto" w:fill="FFFFFF"/>
      <w:spacing w:line="0" w:lineRule="atLeast"/>
    </w:pPr>
    <w:rPr>
      <w:rFonts w:ascii="Times New Roman" w:eastAsia="Times New Roman" w:hAnsi="Times New Roman" w:cs="Times New Roman"/>
      <w:i/>
      <w:iCs/>
      <w:color w:val="auto"/>
      <w:sz w:val="19"/>
      <w:szCs w:val="19"/>
    </w:rPr>
  </w:style>
  <w:style w:type="character" w:customStyle="1" w:styleId="Picturecaption12Sylfaen">
    <w:name w:val="Picture caption (12) + Sylfaen"/>
    <w:aliases w:val="Not Italic36"/>
    <w:basedOn w:val="Picturecaption12"/>
    <w:rsid w:val="00B834A2"/>
    <w:rPr>
      <w:rFonts w:ascii="Sylfaen" w:eastAsia="Sylfaen" w:hAnsi="Sylfaen" w:cs="Sylfaen"/>
      <w:i/>
      <w:iCs/>
      <w:color w:val="000000"/>
      <w:spacing w:val="0"/>
      <w:w w:val="100"/>
      <w:position w:val="0"/>
      <w:sz w:val="19"/>
      <w:szCs w:val="19"/>
      <w:shd w:val="clear" w:color="auto" w:fill="FFFFFF"/>
      <w:lang w:val="hy-AM" w:eastAsia="hy-AM" w:bidi="hy-AM"/>
    </w:rPr>
  </w:style>
  <w:style w:type="character" w:customStyle="1" w:styleId="Bodytext31Sylfaen20">
    <w:name w:val="Body text (31) + Sylfaen20"/>
    <w:aliases w:val="14 pt,Not Italic35"/>
    <w:basedOn w:val="Bodytext31"/>
    <w:rsid w:val="00B834A2"/>
    <w:rPr>
      <w:rFonts w:ascii="Sylfaen" w:eastAsia="Sylfaen" w:hAnsi="Sylfaen" w:cs="Sylfaen"/>
      <w:b/>
      <w:bCs/>
      <w:i/>
      <w:iCs/>
      <w:color w:val="000000"/>
      <w:spacing w:val="0"/>
      <w:w w:val="100"/>
      <w:position w:val="0"/>
      <w:sz w:val="28"/>
      <w:szCs w:val="28"/>
      <w:shd w:val="clear" w:color="auto" w:fill="FFFFFF"/>
      <w:lang w:val="hy-AM" w:eastAsia="hy-AM" w:bidi="hy-AM"/>
    </w:rPr>
  </w:style>
  <w:style w:type="character" w:customStyle="1" w:styleId="Bodytext31Sylfaen19">
    <w:name w:val="Body text (31) + Sylfaen19"/>
    <w:aliases w:val="9 pt,Spacing 2 pt2"/>
    <w:basedOn w:val="Bodytext31"/>
    <w:rsid w:val="00B834A2"/>
    <w:rPr>
      <w:rFonts w:ascii="Sylfaen" w:eastAsia="Sylfaen" w:hAnsi="Sylfaen" w:cs="Sylfaen"/>
      <w:i/>
      <w:iCs/>
      <w:color w:val="000000"/>
      <w:spacing w:val="50"/>
      <w:w w:val="100"/>
      <w:position w:val="0"/>
      <w:sz w:val="18"/>
      <w:szCs w:val="18"/>
      <w:shd w:val="clear" w:color="auto" w:fill="FFFFFF"/>
      <w:lang w:val="hy-AM" w:eastAsia="hy-AM" w:bidi="hy-AM"/>
    </w:rPr>
  </w:style>
  <w:style w:type="character" w:customStyle="1" w:styleId="Bodytext31Sylfaen18">
    <w:name w:val="Body text (31) + Sylfaen18"/>
    <w:aliases w:val="9 pt1,Not Italic34"/>
    <w:basedOn w:val="Bodytext31"/>
    <w:rsid w:val="00B834A2"/>
    <w:rPr>
      <w:rFonts w:ascii="Sylfaen" w:eastAsia="Sylfaen" w:hAnsi="Sylfaen" w:cs="Sylfaen"/>
      <w:i/>
      <w:iCs/>
      <w:color w:val="000000"/>
      <w:spacing w:val="0"/>
      <w:w w:val="100"/>
      <w:position w:val="0"/>
      <w:sz w:val="18"/>
      <w:szCs w:val="18"/>
      <w:shd w:val="clear" w:color="auto" w:fill="FFFFFF"/>
      <w:lang w:val="hy-AM" w:eastAsia="hy-AM" w:bidi="hy-AM"/>
    </w:rPr>
  </w:style>
  <w:style w:type="character" w:customStyle="1" w:styleId="Bodytext31Sylfaen17">
    <w:name w:val="Body text (31) + Sylfaen17"/>
    <w:aliases w:val="10 pt10,Not Italic33,Spacing 2 pt1"/>
    <w:basedOn w:val="Bodytext31"/>
    <w:rsid w:val="00B834A2"/>
    <w:rPr>
      <w:rFonts w:ascii="Sylfaen" w:eastAsia="Sylfaen" w:hAnsi="Sylfaen" w:cs="Sylfaen"/>
      <w:i/>
      <w:iCs/>
      <w:color w:val="000000"/>
      <w:spacing w:val="40"/>
      <w:w w:val="100"/>
      <w:position w:val="0"/>
      <w:sz w:val="20"/>
      <w:szCs w:val="20"/>
      <w:shd w:val="clear" w:color="auto" w:fill="FFFFFF"/>
      <w:lang w:val="hy-AM" w:eastAsia="hy-AM" w:bidi="hy-AM"/>
    </w:rPr>
  </w:style>
  <w:style w:type="character" w:customStyle="1" w:styleId="Bodytext31Sylfaen16">
    <w:name w:val="Body text (31) + Sylfaen16"/>
    <w:aliases w:val="7 pt,Body text (2) + Arial Unicode MS"/>
    <w:basedOn w:val="Bodytext31"/>
    <w:rsid w:val="00B834A2"/>
    <w:rPr>
      <w:rFonts w:ascii="Sylfaen" w:eastAsia="Sylfaen" w:hAnsi="Sylfaen" w:cs="Sylfaen"/>
      <w:i/>
      <w:iCs/>
      <w:color w:val="000000"/>
      <w:spacing w:val="0"/>
      <w:w w:val="100"/>
      <w:position w:val="0"/>
      <w:sz w:val="14"/>
      <w:szCs w:val="14"/>
      <w:shd w:val="clear" w:color="auto" w:fill="FFFFFF"/>
      <w:lang w:val="hy-AM" w:eastAsia="hy-AM" w:bidi="hy-AM"/>
    </w:rPr>
  </w:style>
  <w:style w:type="character" w:customStyle="1" w:styleId="Bodytext3117pt">
    <w:name w:val="Body text (31) + 17 pt"/>
    <w:aliases w:val="Bold4,Not Italic32"/>
    <w:basedOn w:val="Bodytext31"/>
    <w:rsid w:val="00B834A2"/>
    <w:rPr>
      <w:rFonts w:ascii="Times New Roman" w:eastAsia="Times New Roman" w:hAnsi="Times New Roman" w:cs="Times New Roman"/>
      <w:b/>
      <w:bCs/>
      <w:i/>
      <w:iCs/>
      <w:color w:val="000000"/>
      <w:spacing w:val="0"/>
      <w:w w:val="100"/>
      <w:position w:val="0"/>
      <w:sz w:val="34"/>
      <w:szCs w:val="34"/>
      <w:shd w:val="clear" w:color="auto" w:fill="FFFFFF"/>
      <w:lang w:val="hy-AM" w:eastAsia="hy-AM" w:bidi="hy-AM"/>
    </w:rPr>
  </w:style>
  <w:style w:type="character" w:customStyle="1" w:styleId="Bodytext3114pt">
    <w:name w:val="Body text (31) + 14 pt"/>
    <w:aliases w:val="Not Italic31"/>
    <w:basedOn w:val="Bodytext31"/>
    <w:rsid w:val="00B834A2"/>
    <w:rPr>
      <w:rFonts w:ascii="Times New Roman" w:eastAsia="Times New Roman" w:hAnsi="Times New Roman" w:cs="Times New Roman"/>
      <w:i/>
      <w:iCs/>
      <w:color w:val="000000"/>
      <w:spacing w:val="0"/>
      <w:w w:val="100"/>
      <w:position w:val="0"/>
      <w:sz w:val="28"/>
      <w:szCs w:val="28"/>
      <w:shd w:val="clear" w:color="auto" w:fill="FFFFFF"/>
      <w:lang w:val="hy-AM" w:eastAsia="hy-AM" w:bidi="hy-AM"/>
    </w:rPr>
  </w:style>
  <w:style w:type="character" w:customStyle="1" w:styleId="Bodytext32">
    <w:name w:val="Body text (32)_"/>
    <w:basedOn w:val="DefaultParagraphFont"/>
    <w:link w:val="Bodytext320"/>
    <w:rsid w:val="00B834A2"/>
    <w:rPr>
      <w:rFonts w:ascii="Times New Roman" w:eastAsia="Times New Roman" w:hAnsi="Times New Roman" w:cs="Times New Roman"/>
      <w:i/>
      <w:iCs/>
      <w:sz w:val="19"/>
      <w:szCs w:val="19"/>
      <w:shd w:val="clear" w:color="auto" w:fill="FFFFFF"/>
    </w:rPr>
  </w:style>
  <w:style w:type="paragraph" w:customStyle="1" w:styleId="Bodytext320">
    <w:name w:val="Body text (32)"/>
    <w:basedOn w:val="Normal"/>
    <w:link w:val="Bodytext32"/>
    <w:rsid w:val="00B834A2"/>
    <w:pPr>
      <w:shd w:val="clear" w:color="auto" w:fill="FFFFFF"/>
      <w:spacing w:line="235" w:lineRule="exact"/>
      <w:jc w:val="both"/>
    </w:pPr>
    <w:rPr>
      <w:rFonts w:ascii="Times New Roman" w:eastAsia="Times New Roman" w:hAnsi="Times New Roman" w:cs="Times New Roman"/>
      <w:i/>
      <w:iCs/>
      <w:color w:val="auto"/>
      <w:sz w:val="19"/>
      <w:szCs w:val="19"/>
    </w:rPr>
  </w:style>
  <w:style w:type="character" w:customStyle="1" w:styleId="Bodytext32Sylfaen">
    <w:name w:val="Body text (32) + Sylfaen"/>
    <w:aliases w:val="Not Italic30"/>
    <w:basedOn w:val="Bodytext32"/>
    <w:rsid w:val="00B834A2"/>
    <w:rPr>
      <w:rFonts w:ascii="Sylfaen" w:eastAsia="Sylfaen" w:hAnsi="Sylfaen" w:cs="Sylfaen"/>
      <w:i/>
      <w:iCs/>
      <w:color w:val="000000"/>
      <w:spacing w:val="0"/>
      <w:w w:val="100"/>
      <w:position w:val="0"/>
      <w:sz w:val="19"/>
      <w:szCs w:val="19"/>
      <w:shd w:val="clear" w:color="auto" w:fill="FFFFFF"/>
      <w:lang w:val="hy-AM" w:eastAsia="hy-AM" w:bidi="hy-AM"/>
    </w:rPr>
  </w:style>
  <w:style w:type="character" w:customStyle="1" w:styleId="Bodytext31Sylfaen15">
    <w:name w:val="Body text (31) + Sylfaen15"/>
    <w:aliases w:val="8.5 pt,Not Italic29"/>
    <w:basedOn w:val="Bodytext31"/>
    <w:rsid w:val="00B834A2"/>
    <w:rPr>
      <w:rFonts w:ascii="Sylfaen" w:eastAsia="Sylfaen" w:hAnsi="Sylfaen" w:cs="Sylfaen"/>
      <w:i/>
      <w:iCs/>
      <w:color w:val="000000"/>
      <w:spacing w:val="0"/>
      <w:w w:val="100"/>
      <w:position w:val="0"/>
      <w:sz w:val="17"/>
      <w:szCs w:val="17"/>
      <w:shd w:val="clear" w:color="auto" w:fill="FFFFFF"/>
      <w:lang w:val="hy-AM" w:eastAsia="hy-AM" w:bidi="hy-AM"/>
    </w:rPr>
  </w:style>
  <w:style w:type="character" w:customStyle="1" w:styleId="Bodytext31Sylfaen14">
    <w:name w:val="Body text (31) + Sylfaen14"/>
    <w:aliases w:val="10 pt9,Spacing 1 pt4"/>
    <w:basedOn w:val="Bodytext31"/>
    <w:rsid w:val="00B834A2"/>
    <w:rPr>
      <w:rFonts w:ascii="Sylfaen" w:eastAsia="Sylfaen" w:hAnsi="Sylfaen" w:cs="Sylfaen"/>
      <w:i/>
      <w:iCs/>
      <w:color w:val="000000"/>
      <w:spacing w:val="20"/>
      <w:w w:val="100"/>
      <w:position w:val="0"/>
      <w:sz w:val="20"/>
      <w:szCs w:val="20"/>
      <w:shd w:val="clear" w:color="auto" w:fill="FFFFFF"/>
      <w:lang w:val="hy-AM" w:eastAsia="hy-AM" w:bidi="hy-AM"/>
    </w:rPr>
  </w:style>
  <w:style w:type="character" w:customStyle="1" w:styleId="Bodytext31Sylfaen13">
    <w:name w:val="Body text (31) + Sylfaen13"/>
    <w:aliases w:val="10 pt8,Small Caps5,Spacing 1 pt3"/>
    <w:basedOn w:val="Bodytext31"/>
    <w:rsid w:val="00B834A2"/>
    <w:rPr>
      <w:rFonts w:ascii="Sylfaen" w:eastAsia="Sylfaen" w:hAnsi="Sylfaen" w:cs="Sylfaen"/>
      <w:i/>
      <w:iCs/>
      <w:smallCaps/>
      <w:color w:val="000000"/>
      <w:spacing w:val="20"/>
      <w:w w:val="100"/>
      <w:position w:val="0"/>
      <w:sz w:val="20"/>
      <w:szCs w:val="20"/>
      <w:shd w:val="clear" w:color="auto" w:fill="FFFFFF"/>
      <w:lang w:val="hy-AM" w:eastAsia="hy-AM" w:bidi="hy-AM"/>
    </w:rPr>
  </w:style>
  <w:style w:type="character" w:customStyle="1" w:styleId="Bodytext31Sylfaen12">
    <w:name w:val="Body text (31) + Sylfaen12"/>
    <w:aliases w:val="10 pt7,Small Caps4"/>
    <w:basedOn w:val="Bodytext31"/>
    <w:rsid w:val="00B834A2"/>
    <w:rPr>
      <w:rFonts w:ascii="Sylfaen" w:eastAsia="Sylfaen" w:hAnsi="Sylfaen" w:cs="Sylfaen"/>
      <w:i/>
      <w:iCs/>
      <w:smallCaps/>
      <w:color w:val="000000"/>
      <w:spacing w:val="0"/>
      <w:w w:val="100"/>
      <w:position w:val="0"/>
      <w:sz w:val="20"/>
      <w:szCs w:val="20"/>
      <w:shd w:val="clear" w:color="auto" w:fill="FFFFFF"/>
      <w:lang w:val="hy-AM" w:eastAsia="hy-AM" w:bidi="hy-AM"/>
    </w:rPr>
  </w:style>
  <w:style w:type="character" w:customStyle="1" w:styleId="Bodytext31Sylfaen11">
    <w:name w:val="Body text (31) + Sylfaen11"/>
    <w:aliases w:val="10 pt6"/>
    <w:basedOn w:val="Bodytext31"/>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1Sylfaen10">
    <w:name w:val="Body text (31) + Sylfaen10"/>
    <w:aliases w:val="10 pt5,Not Italic28"/>
    <w:basedOn w:val="Bodytext31"/>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1Sylfaen9">
    <w:name w:val="Body text (31) + Sylfaen9"/>
    <w:aliases w:val="10.5 pt,Body text (2) + Sylfaen,Picture caption + Sylfaen,Scale 66%,Body text (2) + Palatino Linotype,16 pt,13 pt,Body text (2) + Tahoma,Picture caption (13) + Sylfaen,18 pt,Scale 50%"/>
    <w:basedOn w:val="Bodytext31"/>
    <w:rsid w:val="00B834A2"/>
    <w:rPr>
      <w:rFonts w:ascii="Sylfaen" w:eastAsia="Sylfaen" w:hAnsi="Sylfaen" w:cs="Sylfaen"/>
      <w:i/>
      <w:iCs/>
      <w:color w:val="000000"/>
      <w:spacing w:val="0"/>
      <w:w w:val="100"/>
      <w:position w:val="0"/>
      <w:sz w:val="21"/>
      <w:szCs w:val="21"/>
      <w:shd w:val="clear" w:color="auto" w:fill="FFFFFF"/>
      <w:lang w:val="hy-AM" w:eastAsia="hy-AM" w:bidi="hy-AM"/>
    </w:rPr>
  </w:style>
  <w:style w:type="character" w:customStyle="1" w:styleId="Bodytext31Sylfaen8">
    <w:name w:val="Body text (31) + Sylfaen8"/>
    <w:aliases w:val="10.5 pt7"/>
    <w:basedOn w:val="Bodytext31"/>
    <w:rsid w:val="00B834A2"/>
    <w:rPr>
      <w:rFonts w:ascii="Sylfaen" w:eastAsia="Sylfaen" w:hAnsi="Sylfaen" w:cs="Sylfaen"/>
      <w:i/>
      <w:iCs/>
      <w:color w:val="000000"/>
      <w:spacing w:val="0"/>
      <w:w w:val="100"/>
      <w:position w:val="0"/>
      <w:sz w:val="21"/>
      <w:szCs w:val="21"/>
      <w:shd w:val="clear" w:color="auto" w:fill="FFFFFF"/>
      <w:lang w:val="hy-AM" w:eastAsia="hy-AM" w:bidi="hy-AM"/>
    </w:rPr>
  </w:style>
  <w:style w:type="character" w:customStyle="1" w:styleId="Bodytext31Sylfaen7">
    <w:name w:val="Body text (31) + Sylfaen7"/>
    <w:aliases w:val="6.5 pt1,Not Italic27"/>
    <w:basedOn w:val="Bodytext31"/>
    <w:rsid w:val="00B834A2"/>
    <w:rPr>
      <w:rFonts w:ascii="Sylfaen" w:eastAsia="Sylfaen" w:hAnsi="Sylfaen" w:cs="Sylfaen"/>
      <w:i/>
      <w:iCs/>
      <w:color w:val="000000"/>
      <w:spacing w:val="0"/>
      <w:w w:val="100"/>
      <w:position w:val="0"/>
      <w:sz w:val="13"/>
      <w:szCs w:val="13"/>
      <w:shd w:val="clear" w:color="auto" w:fill="FFFFFF"/>
      <w:lang w:val="hy-AM" w:eastAsia="hy-AM" w:bidi="hy-AM"/>
    </w:rPr>
  </w:style>
  <w:style w:type="character" w:customStyle="1" w:styleId="Bodytext31Sylfaen6">
    <w:name w:val="Body text (31) + Sylfaen6"/>
    <w:aliases w:val="8 pt4,Spacing 0 pt9"/>
    <w:basedOn w:val="Bodytext31"/>
    <w:rsid w:val="00B834A2"/>
    <w:rPr>
      <w:rFonts w:ascii="Sylfaen" w:eastAsia="Sylfaen" w:hAnsi="Sylfaen" w:cs="Sylfaen"/>
      <w:i/>
      <w:iCs/>
      <w:color w:val="000000"/>
      <w:spacing w:val="-10"/>
      <w:w w:val="100"/>
      <w:position w:val="0"/>
      <w:sz w:val="16"/>
      <w:szCs w:val="16"/>
      <w:shd w:val="clear" w:color="auto" w:fill="FFFFFF"/>
      <w:lang w:val="hy-AM" w:eastAsia="hy-AM" w:bidi="hy-AM"/>
    </w:rPr>
  </w:style>
  <w:style w:type="character" w:customStyle="1" w:styleId="Bodytext31Sylfaen5">
    <w:name w:val="Body text (31) + Sylfaen5"/>
    <w:aliases w:val="Spacing 1 pt2"/>
    <w:basedOn w:val="Bodytext31"/>
    <w:rsid w:val="00B834A2"/>
    <w:rPr>
      <w:rFonts w:ascii="Sylfaen" w:eastAsia="Sylfaen" w:hAnsi="Sylfaen" w:cs="Sylfaen"/>
      <w:i/>
      <w:iCs/>
      <w:color w:val="000000"/>
      <w:spacing w:val="30"/>
      <w:w w:val="100"/>
      <w:position w:val="0"/>
      <w:sz w:val="19"/>
      <w:szCs w:val="19"/>
      <w:shd w:val="clear" w:color="auto" w:fill="FFFFFF"/>
      <w:lang w:val="hy-AM" w:eastAsia="hy-AM" w:bidi="hy-AM"/>
    </w:rPr>
  </w:style>
  <w:style w:type="character" w:customStyle="1" w:styleId="Bodytext31Sylfaen4">
    <w:name w:val="Body text (31) + Sylfaen4"/>
    <w:aliases w:val="Not Italic26"/>
    <w:basedOn w:val="Bodytext31"/>
    <w:rsid w:val="00B834A2"/>
    <w:rPr>
      <w:rFonts w:ascii="Sylfaen" w:eastAsia="Sylfaen" w:hAnsi="Sylfaen" w:cs="Sylfaen"/>
      <w:i/>
      <w:iCs/>
      <w:color w:val="000000"/>
      <w:spacing w:val="0"/>
      <w:w w:val="100"/>
      <w:position w:val="0"/>
      <w:sz w:val="19"/>
      <w:szCs w:val="19"/>
      <w:shd w:val="clear" w:color="auto" w:fill="FFFFFF"/>
      <w:lang w:val="hy-AM" w:eastAsia="hy-AM" w:bidi="hy-AM"/>
    </w:rPr>
  </w:style>
  <w:style w:type="character" w:customStyle="1" w:styleId="Bodytext31Sylfaen3">
    <w:name w:val="Body text (31) + Sylfaen3"/>
    <w:aliases w:val="10.5 pt6"/>
    <w:basedOn w:val="Bodytext31"/>
    <w:rsid w:val="00B834A2"/>
    <w:rPr>
      <w:rFonts w:ascii="Sylfaen" w:eastAsia="Sylfaen" w:hAnsi="Sylfaen" w:cs="Sylfaen"/>
      <w:i/>
      <w:iCs/>
      <w:color w:val="000000"/>
      <w:spacing w:val="0"/>
      <w:w w:val="100"/>
      <w:position w:val="0"/>
      <w:sz w:val="21"/>
      <w:szCs w:val="21"/>
      <w:shd w:val="clear" w:color="auto" w:fill="FFFFFF"/>
      <w:lang w:val="hy-AM" w:eastAsia="hy-AM" w:bidi="hy-AM"/>
    </w:rPr>
  </w:style>
  <w:style w:type="character" w:customStyle="1" w:styleId="Bodytext31105pt">
    <w:name w:val="Body text (31) + 10.5 pt"/>
    <w:basedOn w:val="Bodytext31"/>
    <w:rsid w:val="00B834A2"/>
    <w:rPr>
      <w:rFonts w:ascii="Times New Roman" w:eastAsia="Times New Roman" w:hAnsi="Times New Roman" w:cs="Times New Roman"/>
      <w:b/>
      <w:bCs/>
      <w:i/>
      <w:iCs/>
      <w:color w:val="000000"/>
      <w:spacing w:val="0"/>
      <w:w w:val="100"/>
      <w:position w:val="0"/>
      <w:sz w:val="21"/>
      <w:szCs w:val="21"/>
      <w:shd w:val="clear" w:color="auto" w:fill="FFFFFF"/>
      <w:lang w:val="hy-AM" w:eastAsia="hy-AM" w:bidi="hy-AM"/>
    </w:rPr>
  </w:style>
  <w:style w:type="character" w:customStyle="1" w:styleId="Bodytext31Sylfaen2">
    <w:name w:val="Body text (31) + Sylfaen2"/>
    <w:aliases w:val="11 pt2,Not Italic25"/>
    <w:basedOn w:val="Bodytext31"/>
    <w:rsid w:val="00B834A2"/>
    <w:rPr>
      <w:rFonts w:ascii="Sylfaen" w:eastAsia="Sylfaen" w:hAnsi="Sylfaen" w:cs="Sylfaen"/>
      <w:i/>
      <w:iCs/>
      <w:color w:val="000000"/>
      <w:spacing w:val="0"/>
      <w:w w:val="100"/>
      <w:position w:val="0"/>
      <w:sz w:val="22"/>
      <w:szCs w:val="22"/>
      <w:shd w:val="clear" w:color="auto" w:fill="FFFFFF"/>
      <w:lang w:val="hy-AM" w:eastAsia="hy-AM" w:bidi="hy-AM"/>
    </w:rPr>
  </w:style>
  <w:style w:type="character" w:customStyle="1" w:styleId="Bodytext31Sylfaen1">
    <w:name w:val="Body text (31) + Sylfaen1"/>
    <w:aliases w:val="Bold3,Not Italic24"/>
    <w:basedOn w:val="Bodytext31"/>
    <w:rsid w:val="00B834A2"/>
    <w:rPr>
      <w:rFonts w:ascii="Sylfaen" w:eastAsia="Sylfaen" w:hAnsi="Sylfaen" w:cs="Sylfaen"/>
      <w:b/>
      <w:bCs/>
      <w:i/>
      <w:iCs/>
      <w:color w:val="000000"/>
      <w:spacing w:val="0"/>
      <w:w w:val="100"/>
      <w:position w:val="0"/>
      <w:sz w:val="19"/>
      <w:szCs w:val="19"/>
      <w:shd w:val="clear" w:color="auto" w:fill="FFFFFF"/>
      <w:lang w:val="hy-AM" w:eastAsia="hy-AM" w:bidi="hy-AM"/>
    </w:rPr>
  </w:style>
  <w:style w:type="character" w:customStyle="1" w:styleId="Bodytext31Consolas">
    <w:name w:val="Body text (31) + Consolas"/>
    <w:aliases w:val="Not Italic23,Spacing 0 pt8"/>
    <w:basedOn w:val="Bodytext31"/>
    <w:rsid w:val="00B834A2"/>
    <w:rPr>
      <w:rFonts w:ascii="Consolas" w:eastAsia="Consolas" w:hAnsi="Consolas" w:cs="Consolas"/>
      <w:b/>
      <w:bCs/>
      <w:i/>
      <w:iCs/>
      <w:color w:val="000000"/>
      <w:spacing w:val="-10"/>
      <w:w w:val="100"/>
      <w:position w:val="0"/>
      <w:sz w:val="19"/>
      <w:szCs w:val="19"/>
      <w:shd w:val="clear" w:color="auto" w:fill="FFFFFF"/>
      <w:lang w:val="hy-AM" w:eastAsia="hy-AM" w:bidi="hy-AM"/>
    </w:rPr>
  </w:style>
  <w:style w:type="character" w:customStyle="1" w:styleId="Bodytext32Sylfaen21">
    <w:name w:val="Body text (32) + Sylfaen21"/>
    <w:aliases w:val="10 pt4"/>
    <w:basedOn w:val="Bodytext32"/>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2Sylfaen20">
    <w:name w:val="Body text (32) + Sylfaen20"/>
    <w:aliases w:val="10 pt3,Not Italic22"/>
    <w:basedOn w:val="Bodytext32"/>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2ArialBlack">
    <w:name w:val="Body text (32) + Arial Black"/>
    <w:aliases w:val="7.5 pt,Not Italic21"/>
    <w:basedOn w:val="Bodytext32"/>
    <w:rsid w:val="00B834A2"/>
    <w:rPr>
      <w:rFonts w:ascii="Arial Black" w:eastAsia="Arial Black" w:hAnsi="Arial Black" w:cs="Arial Black"/>
      <w:b/>
      <w:bCs/>
      <w:i/>
      <w:iCs/>
      <w:color w:val="000000"/>
      <w:spacing w:val="0"/>
      <w:w w:val="100"/>
      <w:position w:val="0"/>
      <w:sz w:val="15"/>
      <w:szCs w:val="15"/>
      <w:shd w:val="clear" w:color="auto" w:fill="FFFFFF"/>
      <w:lang w:val="hy-AM" w:eastAsia="hy-AM" w:bidi="hy-AM"/>
    </w:rPr>
  </w:style>
  <w:style w:type="character" w:customStyle="1" w:styleId="Bodytext32Sylfaen19">
    <w:name w:val="Body text (32) + Sylfaen19"/>
    <w:aliases w:val="14 pt1,Not Italic20"/>
    <w:basedOn w:val="Bodytext32"/>
    <w:rsid w:val="00B834A2"/>
    <w:rPr>
      <w:rFonts w:ascii="Sylfaen" w:eastAsia="Sylfaen" w:hAnsi="Sylfaen" w:cs="Sylfaen"/>
      <w:b/>
      <w:bCs/>
      <w:i/>
      <w:iCs/>
      <w:color w:val="000000"/>
      <w:spacing w:val="0"/>
      <w:w w:val="100"/>
      <w:position w:val="0"/>
      <w:sz w:val="28"/>
      <w:szCs w:val="28"/>
      <w:shd w:val="clear" w:color="auto" w:fill="FFFFFF"/>
      <w:lang w:val="hy-AM" w:eastAsia="hy-AM" w:bidi="hy-AM"/>
    </w:rPr>
  </w:style>
  <w:style w:type="character" w:customStyle="1" w:styleId="Bodytext32Sylfaen18">
    <w:name w:val="Body text (32) + Sylfaen18"/>
    <w:aliases w:val="10 pt2,Not Italic19,Small Caps3"/>
    <w:basedOn w:val="Bodytext32"/>
    <w:rsid w:val="00B834A2"/>
    <w:rPr>
      <w:rFonts w:ascii="Sylfaen" w:eastAsia="Sylfaen" w:hAnsi="Sylfaen" w:cs="Sylfaen"/>
      <w:i/>
      <w:iCs/>
      <w:smallCaps/>
      <w:color w:val="000000"/>
      <w:spacing w:val="0"/>
      <w:w w:val="100"/>
      <w:position w:val="0"/>
      <w:sz w:val="20"/>
      <w:szCs w:val="20"/>
      <w:shd w:val="clear" w:color="auto" w:fill="FFFFFF"/>
      <w:lang w:val="hy-AM" w:eastAsia="hy-AM" w:bidi="hy-AM"/>
    </w:rPr>
  </w:style>
  <w:style w:type="character" w:customStyle="1" w:styleId="Bodytext32Sylfaen17">
    <w:name w:val="Body text (32) + Sylfaen17"/>
    <w:aliases w:val="11 pt1,Not Italic18"/>
    <w:basedOn w:val="Bodytext32"/>
    <w:rsid w:val="00B834A2"/>
    <w:rPr>
      <w:rFonts w:ascii="Sylfaen" w:eastAsia="Sylfaen" w:hAnsi="Sylfaen" w:cs="Sylfaen"/>
      <w:b/>
      <w:bCs/>
      <w:i/>
      <w:iCs/>
      <w:color w:val="000000"/>
      <w:spacing w:val="0"/>
      <w:w w:val="100"/>
      <w:position w:val="0"/>
      <w:sz w:val="22"/>
      <w:szCs w:val="22"/>
      <w:shd w:val="clear" w:color="auto" w:fill="FFFFFF"/>
      <w:lang w:val="hy-AM" w:eastAsia="hy-AM" w:bidi="hy-AM"/>
    </w:rPr>
  </w:style>
  <w:style w:type="character" w:customStyle="1" w:styleId="Bodytext32Sylfaen16">
    <w:name w:val="Body text (32) + Sylfaen16"/>
    <w:aliases w:val="8.5 pt1,Not Italic17"/>
    <w:basedOn w:val="Bodytext32"/>
    <w:rsid w:val="00B834A2"/>
    <w:rPr>
      <w:rFonts w:ascii="Sylfaen" w:eastAsia="Sylfaen" w:hAnsi="Sylfaen" w:cs="Sylfaen"/>
      <w:i/>
      <w:iCs/>
      <w:color w:val="000000"/>
      <w:spacing w:val="0"/>
      <w:w w:val="100"/>
      <w:position w:val="0"/>
      <w:sz w:val="17"/>
      <w:szCs w:val="17"/>
      <w:shd w:val="clear" w:color="auto" w:fill="FFFFFF"/>
      <w:lang w:val="hy-AM" w:eastAsia="hy-AM" w:bidi="hy-AM"/>
    </w:rPr>
  </w:style>
  <w:style w:type="character" w:customStyle="1" w:styleId="Bodytext32Candara">
    <w:name w:val="Body text (32) + Candara"/>
    <w:aliases w:val="8 pt3,Not Italic16"/>
    <w:basedOn w:val="Bodytext32"/>
    <w:rsid w:val="00B834A2"/>
    <w:rPr>
      <w:rFonts w:ascii="Candara" w:eastAsia="Candara" w:hAnsi="Candara" w:cs="Candara"/>
      <w:i/>
      <w:iCs/>
      <w:color w:val="000000"/>
      <w:spacing w:val="0"/>
      <w:w w:val="100"/>
      <w:position w:val="0"/>
      <w:sz w:val="16"/>
      <w:szCs w:val="16"/>
      <w:shd w:val="clear" w:color="auto" w:fill="FFFFFF"/>
      <w:lang w:val="hy-AM" w:eastAsia="hy-AM" w:bidi="hy-AM"/>
    </w:rPr>
  </w:style>
  <w:style w:type="character" w:customStyle="1" w:styleId="Bodytext32Sylfaen15">
    <w:name w:val="Body text (32) + Sylfaen15"/>
    <w:aliases w:val="10.5 pt5,Spacing 0 pt7"/>
    <w:basedOn w:val="Bodytext32"/>
    <w:rsid w:val="00B834A2"/>
    <w:rPr>
      <w:rFonts w:ascii="Sylfaen" w:eastAsia="Sylfaen" w:hAnsi="Sylfaen" w:cs="Sylfaen"/>
      <w:i/>
      <w:iCs/>
      <w:color w:val="000000"/>
      <w:spacing w:val="-10"/>
      <w:w w:val="100"/>
      <w:position w:val="0"/>
      <w:sz w:val="21"/>
      <w:szCs w:val="21"/>
      <w:shd w:val="clear" w:color="auto" w:fill="FFFFFF"/>
      <w:lang w:val="hy-AM" w:eastAsia="hy-AM" w:bidi="hy-AM"/>
    </w:rPr>
  </w:style>
  <w:style w:type="character" w:customStyle="1" w:styleId="Bodytext32Sylfaen14">
    <w:name w:val="Body text (32) + Sylfaen14"/>
    <w:aliases w:val="10.5 pt4,Small Caps2,Spacing 0 pt6"/>
    <w:basedOn w:val="Bodytext32"/>
    <w:rsid w:val="00B834A2"/>
    <w:rPr>
      <w:rFonts w:ascii="Sylfaen" w:eastAsia="Sylfaen" w:hAnsi="Sylfaen" w:cs="Sylfaen"/>
      <w:i/>
      <w:iCs/>
      <w:smallCaps/>
      <w:color w:val="000000"/>
      <w:spacing w:val="-10"/>
      <w:w w:val="100"/>
      <w:position w:val="0"/>
      <w:sz w:val="21"/>
      <w:szCs w:val="21"/>
      <w:shd w:val="clear" w:color="auto" w:fill="FFFFFF"/>
      <w:lang w:val="hy-AM" w:eastAsia="hy-AM" w:bidi="hy-AM"/>
    </w:rPr>
  </w:style>
  <w:style w:type="character" w:customStyle="1" w:styleId="Bodytext32Sylfaen13">
    <w:name w:val="Body text (32) + Sylfaen13"/>
    <w:aliases w:val="10.5 pt3"/>
    <w:basedOn w:val="Bodytext32"/>
    <w:rsid w:val="00B834A2"/>
    <w:rPr>
      <w:rFonts w:ascii="Sylfaen" w:eastAsia="Sylfaen" w:hAnsi="Sylfaen" w:cs="Sylfaen"/>
      <w:i/>
      <w:iCs/>
      <w:color w:val="000000"/>
      <w:spacing w:val="0"/>
      <w:w w:val="100"/>
      <w:position w:val="0"/>
      <w:sz w:val="21"/>
      <w:szCs w:val="21"/>
      <w:shd w:val="clear" w:color="auto" w:fill="FFFFFF"/>
      <w:lang w:val="hy-AM" w:eastAsia="hy-AM" w:bidi="hy-AM"/>
    </w:rPr>
  </w:style>
  <w:style w:type="character" w:customStyle="1" w:styleId="Bodytext32Sylfaen12">
    <w:name w:val="Body text (32) + Sylfaen12"/>
    <w:aliases w:val="10.5 pt2"/>
    <w:basedOn w:val="Bodytext32"/>
    <w:rsid w:val="00B834A2"/>
    <w:rPr>
      <w:rFonts w:ascii="Sylfaen" w:eastAsia="Sylfaen" w:hAnsi="Sylfaen" w:cs="Sylfaen"/>
      <w:i/>
      <w:iCs/>
      <w:color w:val="000000"/>
      <w:spacing w:val="0"/>
      <w:w w:val="100"/>
      <w:position w:val="0"/>
      <w:sz w:val="21"/>
      <w:szCs w:val="21"/>
      <w:shd w:val="clear" w:color="auto" w:fill="FFFFFF"/>
      <w:lang w:val="hy-AM" w:eastAsia="hy-AM" w:bidi="hy-AM"/>
    </w:rPr>
  </w:style>
  <w:style w:type="character" w:customStyle="1" w:styleId="Bodytext32Sylfaen11">
    <w:name w:val="Body text (32) + Sylfaen11"/>
    <w:aliases w:val="11.5 pt,Not Italic15,Spacing 0 pt5"/>
    <w:basedOn w:val="Bodytext32"/>
    <w:rsid w:val="00B834A2"/>
    <w:rPr>
      <w:rFonts w:ascii="Sylfaen" w:eastAsia="Sylfaen" w:hAnsi="Sylfaen" w:cs="Sylfaen"/>
      <w:i/>
      <w:iCs/>
      <w:color w:val="000000"/>
      <w:spacing w:val="-10"/>
      <w:w w:val="100"/>
      <w:position w:val="0"/>
      <w:sz w:val="23"/>
      <w:szCs w:val="23"/>
      <w:shd w:val="clear" w:color="auto" w:fill="FFFFFF"/>
      <w:lang w:val="hy-AM" w:eastAsia="hy-AM" w:bidi="hy-AM"/>
    </w:rPr>
  </w:style>
  <w:style w:type="character" w:customStyle="1" w:styleId="Bodytext32Sylfaen10">
    <w:name w:val="Body text (32) + Sylfaen10"/>
    <w:aliases w:val="8 pt2,Not Italic14,Spacing 0 pt4"/>
    <w:basedOn w:val="Bodytext32"/>
    <w:rsid w:val="00B834A2"/>
    <w:rPr>
      <w:rFonts w:ascii="Sylfaen" w:eastAsia="Sylfaen" w:hAnsi="Sylfaen" w:cs="Sylfaen"/>
      <w:i/>
      <w:iCs/>
      <w:color w:val="000000"/>
      <w:spacing w:val="10"/>
      <w:w w:val="100"/>
      <w:position w:val="0"/>
      <w:sz w:val="16"/>
      <w:szCs w:val="16"/>
      <w:shd w:val="clear" w:color="auto" w:fill="FFFFFF"/>
      <w:lang w:val="hy-AM" w:eastAsia="hy-AM" w:bidi="hy-AM"/>
    </w:rPr>
  </w:style>
  <w:style w:type="character" w:customStyle="1" w:styleId="Bodytext32Sylfaen9">
    <w:name w:val="Body text (32) + Sylfaen9"/>
    <w:aliases w:val="5.5 pt,Not Italic13,Spacing 0 pt3"/>
    <w:basedOn w:val="Bodytext32"/>
    <w:rsid w:val="00B834A2"/>
    <w:rPr>
      <w:rFonts w:ascii="Sylfaen" w:eastAsia="Sylfaen" w:hAnsi="Sylfaen" w:cs="Sylfaen"/>
      <w:i/>
      <w:iCs/>
      <w:color w:val="000000"/>
      <w:spacing w:val="10"/>
      <w:w w:val="100"/>
      <w:position w:val="0"/>
      <w:sz w:val="11"/>
      <w:szCs w:val="11"/>
      <w:shd w:val="clear" w:color="auto" w:fill="FFFFFF"/>
      <w:lang w:val="hy-AM" w:eastAsia="hy-AM" w:bidi="hy-AM"/>
    </w:rPr>
  </w:style>
  <w:style w:type="character" w:customStyle="1" w:styleId="Bodytext3217pt">
    <w:name w:val="Body text (32) + 17 pt"/>
    <w:aliases w:val="Bold2,Not Italic12"/>
    <w:basedOn w:val="Bodytext32"/>
    <w:rsid w:val="00B834A2"/>
    <w:rPr>
      <w:rFonts w:ascii="Times New Roman" w:eastAsia="Times New Roman" w:hAnsi="Times New Roman" w:cs="Times New Roman"/>
      <w:b/>
      <w:bCs/>
      <w:i/>
      <w:iCs/>
      <w:color w:val="000000"/>
      <w:spacing w:val="0"/>
      <w:w w:val="100"/>
      <w:position w:val="0"/>
      <w:sz w:val="34"/>
      <w:szCs w:val="34"/>
      <w:shd w:val="clear" w:color="auto" w:fill="FFFFFF"/>
      <w:lang w:val="hy-AM" w:eastAsia="hy-AM" w:bidi="hy-AM"/>
    </w:rPr>
  </w:style>
  <w:style w:type="character" w:customStyle="1" w:styleId="Bodytext32Candara3">
    <w:name w:val="Body text (32) + Candara3"/>
    <w:aliases w:val="8 pt1,Not Italic11,Spacing 1 pt1"/>
    <w:basedOn w:val="Bodytext32"/>
    <w:rsid w:val="00B834A2"/>
    <w:rPr>
      <w:rFonts w:ascii="Candara" w:eastAsia="Candara" w:hAnsi="Candara" w:cs="Candara"/>
      <w:i/>
      <w:iCs/>
      <w:color w:val="000000"/>
      <w:spacing w:val="20"/>
      <w:w w:val="100"/>
      <w:position w:val="0"/>
      <w:sz w:val="16"/>
      <w:szCs w:val="16"/>
      <w:shd w:val="clear" w:color="auto" w:fill="FFFFFF"/>
      <w:lang w:val="hy-AM" w:eastAsia="hy-AM" w:bidi="hy-AM"/>
    </w:rPr>
  </w:style>
  <w:style w:type="character" w:customStyle="1" w:styleId="Bodytext3265pt">
    <w:name w:val="Body text (32) + 6.5 pt"/>
    <w:aliases w:val="Not Italic10"/>
    <w:basedOn w:val="Bodytext32"/>
    <w:rsid w:val="00B834A2"/>
    <w:rPr>
      <w:rFonts w:ascii="Times New Roman" w:eastAsia="Times New Roman" w:hAnsi="Times New Roman" w:cs="Times New Roman"/>
      <w:i/>
      <w:iCs/>
      <w:color w:val="000000"/>
      <w:spacing w:val="0"/>
      <w:w w:val="100"/>
      <w:position w:val="0"/>
      <w:sz w:val="13"/>
      <w:szCs w:val="13"/>
      <w:shd w:val="clear" w:color="auto" w:fill="FFFFFF"/>
      <w:lang w:val="hy-AM" w:eastAsia="hy-AM" w:bidi="hy-AM"/>
    </w:rPr>
  </w:style>
  <w:style w:type="character" w:customStyle="1" w:styleId="Picturecaption4">
    <w:name w:val="Picture caption (4)_"/>
    <w:basedOn w:val="DefaultParagraphFont"/>
    <w:link w:val="Picturecaption40"/>
    <w:rsid w:val="00B834A2"/>
    <w:rPr>
      <w:sz w:val="21"/>
      <w:szCs w:val="21"/>
      <w:shd w:val="clear" w:color="auto" w:fill="FFFFFF"/>
    </w:rPr>
  </w:style>
  <w:style w:type="paragraph" w:customStyle="1" w:styleId="Picturecaption40">
    <w:name w:val="Picture caption (4)"/>
    <w:basedOn w:val="Normal"/>
    <w:link w:val="Picturecaption4"/>
    <w:rsid w:val="00B834A2"/>
    <w:pPr>
      <w:shd w:val="clear" w:color="auto" w:fill="FFFFFF"/>
      <w:spacing w:line="0" w:lineRule="atLeast"/>
      <w:jc w:val="both"/>
    </w:pPr>
    <w:rPr>
      <w:color w:val="auto"/>
      <w:sz w:val="21"/>
      <w:szCs w:val="21"/>
    </w:rPr>
  </w:style>
  <w:style w:type="character" w:customStyle="1" w:styleId="Picturecaption410pt">
    <w:name w:val="Picture caption (4) + 10 pt"/>
    <w:basedOn w:val="Picturecaption4"/>
    <w:rsid w:val="00B834A2"/>
    <w:rPr>
      <w:rFonts w:ascii="Sylfaen" w:eastAsia="Sylfaen" w:hAnsi="Sylfaen" w:cs="Sylfaen"/>
      <w:color w:val="000000"/>
      <w:spacing w:val="0"/>
      <w:w w:val="100"/>
      <w:position w:val="0"/>
      <w:sz w:val="20"/>
      <w:szCs w:val="20"/>
      <w:shd w:val="clear" w:color="auto" w:fill="FFFFFF"/>
      <w:lang w:val="hy-AM" w:eastAsia="hy-AM" w:bidi="hy-AM"/>
    </w:rPr>
  </w:style>
  <w:style w:type="character" w:customStyle="1" w:styleId="Picturecaption410pt1">
    <w:name w:val="Picture caption (4) + 10 pt1"/>
    <w:aliases w:val="Italic1"/>
    <w:basedOn w:val="Picturecaption4"/>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2Sylfaen8">
    <w:name w:val="Body text (32) + Sylfaen8"/>
    <w:aliases w:val="6 pt3"/>
    <w:basedOn w:val="Bodytext32"/>
    <w:rsid w:val="00B834A2"/>
    <w:rPr>
      <w:rFonts w:ascii="Sylfaen" w:eastAsia="Sylfaen" w:hAnsi="Sylfaen" w:cs="Sylfaen"/>
      <w:i/>
      <w:iCs/>
      <w:color w:val="000000"/>
      <w:spacing w:val="0"/>
      <w:w w:val="100"/>
      <w:position w:val="0"/>
      <w:sz w:val="12"/>
      <w:szCs w:val="12"/>
      <w:shd w:val="clear" w:color="auto" w:fill="FFFFFF"/>
      <w:lang w:val="hy-AM" w:eastAsia="hy-AM" w:bidi="hy-AM"/>
    </w:rPr>
  </w:style>
  <w:style w:type="character" w:customStyle="1" w:styleId="Bodytext32Sylfaen7">
    <w:name w:val="Body text (32) + Sylfaen7"/>
    <w:aliases w:val="6 pt2,Not Italic9"/>
    <w:basedOn w:val="Bodytext32"/>
    <w:rsid w:val="00B834A2"/>
    <w:rPr>
      <w:rFonts w:ascii="Sylfaen" w:eastAsia="Sylfaen" w:hAnsi="Sylfaen" w:cs="Sylfaen"/>
      <w:i/>
      <w:iCs/>
      <w:color w:val="000000"/>
      <w:spacing w:val="0"/>
      <w:w w:val="100"/>
      <w:position w:val="0"/>
      <w:sz w:val="12"/>
      <w:szCs w:val="12"/>
      <w:shd w:val="clear" w:color="auto" w:fill="FFFFFF"/>
      <w:lang w:val="hy-AM" w:eastAsia="hy-AM" w:bidi="hy-AM"/>
    </w:rPr>
  </w:style>
  <w:style w:type="character" w:customStyle="1" w:styleId="Bodytext32Sylfaen6">
    <w:name w:val="Body text (32) + Sylfaen6"/>
    <w:aliases w:val="10.5 pt1"/>
    <w:basedOn w:val="Bodytext32"/>
    <w:rsid w:val="00B834A2"/>
    <w:rPr>
      <w:rFonts w:ascii="Sylfaen" w:eastAsia="Sylfaen" w:hAnsi="Sylfaen" w:cs="Sylfaen"/>
      <w:b/>
      <w:bCs/>
      <w:i/>
      <w:iCs/>
      <w:color w:val="000000"/>
      <w:spacing w:val="0"/>
      <w:w w:val="100"/>
      <w:position w:val="0"/>
      <w:sz w:val="21"/>
      <w:szCs w:val="21"/>
      <w:shd w:val="clear" w:color="auto" w:fill="FFFFFF"/>
      <w:lang w:val="hy-AM" w:eastAsia="hy-AM" w:bidi="hy-AM"/>
    </w:rPr>
  </w:style>
  <w:style w:type="character" w:customStyle="1" w:styleId="Bodytext32Sylfaen5">
    <w:name w:val="Body text (32) + Sylfaen5"/>
    <w:aliases w:val="40 pt,Not Italic8,Spacing -2 pt"/>
    <w:basedOn w:val="Bodytext32"/>
    <w:rsid w:val="00B834A2"/>
    <w:rPr>
      <w:rFonts w:ascii="Sylfaen" w:eastAsia="Sylfaen" w:hAnsi="Sylfaen" w:cs="Sylfaen"/>
      <w:i/>
      <w:iCs/>
      <w:color w:val="000000"/>
      <w:spacing w:val="-50"/>
      <w:w w:val="100"/>
      <w:position w:val="0"/>
      <w:sz w:val="80"/>
      <w:szCs w:val="80"/>
      <w:shd w:val="clear" w:color="auto" w:fill="FFFFFF"/>
      <w:lang w:val="hy-AM" w:eastAsia="hy-AM" w:bidi="hy-AM"/>
    </w:rPr>
  </w:style>
  <w:style w:type="character" w:customStyle="1" w:styleId="Bodytext32Candara2">
    <w:name w:val="Body text (32) + Candara2"/>
    <w:aliases w:val="12 pt,Bold1,Not Italic7,Spacing -1 pt1"/>
    <w:basedOn w:val="Bodytext32"/>
    <w:rsid w:val="00B834A2"/>
    <w:rPr>
      <w:rFonts w:ascii="Candara" w:eastAsia="Candara" w:hAnsi="Candara" w:cs="Candara"/>
      <w:b/>
      <w:bCs/>
      <w:i/>
      <w:iCs/>
      <w:color w:val="000000"/>
      <w:spacing w:val="-20"/>
      <w:w w:val="100"/>
      <w:position w:val="0"/>
      <w:sz w:val="24"/>
      <w:szCs w:val="24"/>
      <w:shd w:val="clear" w:color="auto" w:fill="FFFFFF"/>
      <w:lang w:val="hy-AM" w:eastAsia="hy-AM" w:bidi="hy-AM"/>
    </w:rPr>
  </w:style>
  <w:style w:type="character" w:customStyle="1" w:styleId="Bodytext32Candara1">
    <w:name w:val="Body text (32) + Candara1"/>
    <w:aliases w:val="42 pt,Not Italic6,Spacing 23 pt"/>
    <w:basedOn w:val="Bodytext32"/>
    <w:rsid w:val="00B834A2"/>
    <w:rPr>
      <w:rFonts w:ascii="Candara" w:eastAsia="Candara" w:hAnsi="Candara" w:cs="Candara"/>
      <w:i/>
      <w:iCs/>
      <w:color w:val="000000"/>
      <w:spacing w:val="470"/>
      <w:w w:val="100"/>
      <w:position w:val="0"/>
      <w:sz w:val="84"/>
      <w:szCs w:val="84"/>
      <w:shd w:val="clear" w:color="auto" w:fill="FFFFFF"/>
      <w:lang w:val="hy-AM" w:eastAsia="hy-AM" w:bidi="hy-AM"/>
    </w:rPr>
  </w:style>
  <w:style w:type="character" w:customStyle="1" w:styleId="Bodytext32ArialBlack1">
    <w:name w:val="Body text (32) + Arial Black1"/>
    <w:aliases w:val="6 pt1,Not Italic5"/>
    <w:basedOn w:val="Bodytext32"/>
    <w:rsid w:val="00B834A2"/>
    <w:rPr>
      <w:rFonts w:ascii="Arial Black" w:eastAsia="Arial Black" w:hAnsi="Arial Black" w:cs="Arial Black"/>
      <w:i/>
      <w:iCs/>
      <w:color w:val="000000"/>
      <w:spacing w:val="0"/>
      <w:w w:val="100"/>
      <w:position w:val="0"/>
      <w:sz w:val="12"/>
      <w:szCs w:val="12"/>
      <w:shd w:val="clear" w:color="auto" w:fill="FFFFFF"/>
      <w:lang w:val="hy-AM" w:eastAsia="hy-AM" w:bidi="hy-AM"/>
    </w:rPr>
  </w:style>
  <w:style w:type="character" w:customStyle="1" w:styleId="Bodytext32Sylfaen4">
    <w:name w:val="Body text (32) + Sylfaen4"/>
    <w:aliases w:val="10 pt1,Not Italic4"/>
    <w:basedOn w:val="Bodytext32"/>
    <w:rsid w:val="00B834A2"/>
    <w:rPr>
      <w:rFonts w:ascii="Sylfaen" w:eastAsia="Sylfaen" w:hAnsi="Sylfaen" w:cs="Sylfaen"/>
      <w:i/>
      <w:iCs/>
      <w:color w:val="000000"/>
      <w:spacing w:val="0"/>
      <w:w w:val="100"/>
      <w:position w:val="0"/>
      <w:sz w:val="20"/>
      <w:szCs w:val="20"/>
      <w:shd w:val="clear" w:color="auto" w:fill="FFFFFF"/>
      <w:lang w:val="hy-AM" w:eastAsia="hy-AM" w:bidi="hy-AM"/>
    </w:rPr>
  </w:style>
  <w:style w:type="character" w:customStyle="1" w:styleId="Bodytext32Sylfaen3">
    <w:name w:val="Body text (32) + Sylfaen3"/>
    <w:aliases w:val="88 pt,Not Italic3"/>
    <w:basedOn w:val="Bodytext32"/>
    <w:rsid w:val="00B834A2"/>
    <w:rPr>
      <w:rFonts w:ascii="Sylfaen" w:eastAsia="Sylfaen" w:hAnsi="Sylfaen" w:cs="Sylfaen"/>
      <w:i/>
      <w:iCs/>
      <w:color w:val="000000"/>
      <w:spacing w:val="0"/>
      <w:w w:val="100"/>
      <w:position w:val="0"/>
      <w:sz w:val="176"/>
      <w:szCs w:val="176"/>
      <w:shd w:val="clear" w:color="auto" w:fill="FFFFFF"/>
      <w:lang w:val="hy-AM" w:eastAsia="hy-AM" w:bidi="hy-AM"/>
    </w:rPr>
  </w:style>
  <w:style w:type="character" w:customStyle="1" w:styleId="Bodytext32Sylfaen2">
    <w:name w:val="Body text (32) + Sylfaen2"/>
    <w:aliases w:val="4 pt,Not Italic2,Spacing 0 pt2"/>
    <w:basedOn w:val="Bodytext32"/>
    <w:rsid w:val="00B834A2"/>
    <w:rPr>
      <w:rFonts w:ascii="Sylfaen" w:eastAsia="Sylfaen" w:hAnsi="Sylfaen" w:cs="Sylfaen"/>
      <w:i/>
      <w:iCs/>
      <w:color w:val="000000"/>
      <w:spacing w:val="10"/>
      <w:w w:val="100"/>
      <w:position w:val="0"/>
      <w:sz w:val="8"/>
      <w:szCs w:val="8"/>
      <w:shd w:val="clear" w:color="auto" w:fill="FFFFFF"/>
      <w:lang w:val="hy-AM" w:eastAsia="hy-AM" w:bidi="hy-AM"/>
    </w:rPr>
  </w:style>
  <w:style w:type="character" w:customStyle="1" w:styleId="Bodytext32Sylfaen1">
    <w:name w:val="Body text (32) + Sylfaen1"/>
    <w:aliases w:val="4 pt1,Not Italic1,Small Caps1,Spacing 0 pt1,Body text (32) + Tahoma,5 pt"/>
    <w:basedOn w:val="Bodytext32"/>
    <w:rsid w:val="00B834A2"/>
    <w:rPr>
      <w:rFonts w:ascii="Sylfaen" w:eastAsia="Sylfaen" w:hAnsi="Sylfaen" w:cs="Sylfaen"/>
      <w:i/>
      <w:iCs/>
      <w:smallCaps/>
      <w:color w:val="000000"/>
      <w:spacing w:val="10"/>
      <w:w w:val="100"/>
      <w:position w:val="0"/>
      <w:sz w:val="8"/>
      <w:szCs w:val="8"/>
      <w:shd w:val="clear" w:color="auto" w:fill="FFFFFF"/>
      <w:lang w:val="hy-AM" w:eastAsia="hy-AM" w:bidi="hy-AM"/>
    </w:rPr>
  </w:style>
  <w:style w:type="paragraph" w:styleId="Header">
    <w:name w:val="header"/>
    <w:basedOn w:val="Normal"/>
    <w:link w:val="HeaderChar"/>
    <w:uiPriority w:val="99"/>
    <w:semiHidden/>
    <w:unhideWhenUsed/>
    <w:rsid w:val="00B834A2"/>
    <w:pPr>
      <w:tabs>
        <w:tab w:val="center" w:pos="4680"/>
        <w:tab w:val="right" w:pos="9360"/>
      </w:tabs>
    </w:pPr>
  </w:style>
  <w:style w:type="character" w:customStyle="1" w:styleId="HeaderChar">
    <w:name w:val="Header Char"/>
    <w:basedOn w:val="DefaultParagraphFont"/>
    <w:link w:val="Header"/>
    <w:uiPriority w:val="99"/>
    <w:semiHidden/>
    <w:rsid w:val="00B834A2"/>
    <w:rPr>
      <w:color w:val="000000"/>
    </w:rPr>
  </w:style>
  <w:style w:type="paragraph" w:styleId="Footer">
    <w:name w:val="footer"/>
    <w:basedOn w:val="Normal"/>
    <w:link w:val="FooterChar"/>
    <w:uiPriority w:val="99"/>
    <w:unhideWhenUsed/>
    <w:rsid w:val="00B834A2"/>
    <w:pPr>
      <w:tabs>
        <w:tab w:val="center" w:pos="4680"/>
        <w:tab w:val="right" w:pos="9360"/>
      </w:tabs>
    </w:pPr>
  </w:style>
  <w:style w:type="character" w:customStyle="1" w:styleId="FooterChar">
    <w:name w:val="Footer Char"/>
    <w:basedOn w:val="DefaultParagraphFont"/>
    <w:link w:val="Footer"/>
    <w:uiPriority w:val="99"/>
    <w:rsid w:val="00B834A2"/>
    <w:rPr>
      <w:color w:val="000000"/>
    </w:rPr>
  </w:style>
  <w:style w:type="paragraph" w:styleId="ListParagraph">
    <w:name w:val="List Paragraph"/>
    <w:basedOn w:val="Normal"/>
    <w:uiPriority w:val="34"/>
    <w:qFormat/>
    <w:rsid w:val="00B834A2"/>
    <w:pPr>
      <w:ind w:left="720"/>
      <w:contextualSpacing/>
    </w:pPr>
  </w:style>
  <w:style w:type="character" w:customStyle="1" w:styleId="27A3A3F4-5756-47BB-8071-2A1F39619B8E">
    <w:name w:val="[27A3A3F4-5756-47BB-8071-2A1F39619B8E]"/>
    <w:basedOn w:val="Bodytext32"/>
    <w:rsid w:val="00B834A2"/>
    <w:rPr>
      <w:rFonts w:ascii="Arial" w:eastAsia="Arial" w:hAnsi="Arial" w:cs="Arial"/>
      <w:i/>
      <w:iCs/>
      <w:color w:val="000000"/>
      <w:spacing w:val="0"/>
      <w:w w:val="100"/>
      <w:position w:val="0"/>
      <w:sz w:val="24"/>
      <w:szCs w:val="24"/>
      <w:shd w:val="clear" w:color="auto" w:fill="FFFFFF"/>
      <w:lang w:val="hy-AM" w:eastAsia="hy-AM" w:bidi="hy-AM"/>
    </w:rPr>
  </w:style>
  <w:style w:type="character" w:customStyle="1" w:styleId="B54290E3-AEE0-4C27-9FBE-72E3DF9AF267">
    <w:name w:val="[B54290E3-AEE0-4C27-9FBE-72E3DF9AF267]"/>
    <w:basedOn w:val="Bodytext32"/>
    <w:rsid w:val="00B834A2"/>
    <w:rPr>
      <w:rFonts w:ascii="Arial" w:eastAsia="Arial" w:hAnsi="Arial" w:cs="Arial"/>
      <w:b/>
      <w:bCs/>
      <w:i/>
      <w:iCs/>
      <w:color w:val="000000"/>
      <w:spacing w:val="0"/>
      <w:w w:val="100"/>
      <w:position w:val="0"/>
      <w:sz w:val="24"/>
      <w:szCs w:val="24"/>
      <w:shd w:val="clear" w:color="auto" w:fill="FFFFFF"/>
      <w:lang w:val="hy-AM" w:eastAsia="hy-AM" w:bidi="hy-AM"/>
    </w:rPr>
  </w:style>
  <w:style w:type="character" w:customStyle="1" w:styleId="4B097D7B-7D8E-42A9-A3EB-8C24339A477D">
    <w:name w:val="[4B097D7B-7D8E-42A9-A3EB-8C24339A477D]"/>
    <w:basedOn w:val="Bodytext32"/>
    <w:rsid w:val="00B834A2"/>
    <w:rPr>
      <w:rFonts w:ascii="Arial" w:eastAsia="Arial" w:hAnsi="Arial" w:cs="Arial"/>
      <w:b/>
      <w:bCs/>
      <w:i/>
      <w:iCs/>
      <w:color w:val="000000"/>
      <w:spacing w:val="0"/>
      <w:w w:val="100"/>
      <w:position w:val="0"/>
      <w:sz w:val="24"/>
      <w:szCs w:val="24"/>
      <w:shd w:val="clear" w:color="auto" w:fill="FFFFFF"/>
      <w:lang w:val="hy-AM" w:eastAsia="hy-AM" w:bidi="hy-AM"/>
    </w:rPr>
  </w:style>
  <w:style w:type="character" w:customStyle="1" w:styleId="B20193FA-56C4-4040-B8DB-0D756FC03D1C">
    <w:name w:val="[B20193FA-56C4-4040-B8DB-0D756FC03D1C]"/>
    <w:basedOn w:val="Bodytext32"/>
    <w:rsid w:val="00B834A2"/>
    <w:rPr>
      <w:rFonts w:ascii="Sylfaen" w:eastAsia="Sylfaen" w:hAnsi="Sylfaen" w:cs="Sylfaen"/>
      <w:i/>
      <w:iCs/>
      <w:color w:val="000000"/>
      <w:spacing w:val="0"/>
      <w:w w:val="100"/>
      <w:position w:val="0"/>
      <w:sz w:val="24"/>
      <w:szCs w:val="24"/>
      <w:shd w:val="clear" w:color="auto" w:fill="FFFFFF"/>
      <w:lang w:val="hy-AM" w:eastAsia="hy-AM" w:bidi="hy-AM"/>
    </w:rPr>
  </w:style>
  <w:style w:type="character" w:customStyle="1" w:styleId="Bodytext315pt">
    <w:name w:val="Body text (3) + 15 pt"/>
    <w:basedOn w:val="DefaultParagraphFont"/>
    <w:rsid w:val="00B834A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styleId="CommentReference">
    <w:name w:val="annotation reference"/>
    <w:basedOn w:val="DefaultParagraphFont"/>
    <w:uiPriority w:val="99"/>
    <w:semiHidden/>
    <w:unhideWhenUsed/>
    <w:rsid w:val="00B834A2"/>
    <w:rPr>
      <w:sz w:val="16"/>
      <w:szCs w:val="16"/>
    </w:rPr>
  </w:style>
  <w:style w:type="paragraph" w:styleId="CommentText">
    <w:name w:val="annotation text"/>
    <w:basedOn w:val="Normal"/>
    <w:link w:val="CommentTextChar"/>
    <w:uiPriority w:val="99"/>
    <w:semiHidden/>
    <w:unhideWhenUsed/>
    <w:rsid w:val="00B834A2"/>
    <w:rPr>
      <w:sz w:val="20"/>
      <w:szCs w:val="20"/>
    </w:rPr>
  </w:style>
  <w:style w:type="character" w:customStyle="1" w:styleId="CommentTextChar">
    <w:name w:val="Comment Text Char"/>
    <w:basedOn w:val="DefaultParagraphFont"/>
    <w:link w:val="CommentText"/>
    <w:uiPriority w:val="99"/>
    <w:semiHidden/>
    <w:rsid w:val="00B834A2"/>
    <w:rPr>
      <w:color w:val="000000"/>
      <w:sz w:val="20"/>
      <w:szCs w:val="20"/>
    </w:rPr>
  </w:style>
  <w:style w:type="paragraph" w:styleId="CommentSubject">
    <w:name w:val="annotation subject"/>
    <w:basedOn w:val="CommentText"/>
    <w:next w:val="CommentText"/>
    <w:link w:val="CommentSubjectChar"/>
    <w:uiPriority w:val="99"/>
    <w:semiHidden/>
    <w:unhideWhenUsed/>
    <w:rsid w:val="00B834A2"/>
    <w:rPr>
      <w:b/>
      <w:bCs/>
    </w:rPr>
  </w:style>
  <w:style w:type="character" w:customStyle="1" w:styleId="CommentSubjectChar">
    <w:name w:val="Comment Subject Char"/>
    <w:basedOn w:val="CommentTextChar"/>
    <w:link w:val="CommentSubject"/>
    <w:uiPriority w:val="99"/>
    <w:semiHidden/>
    <w:rsid w:val="00B834A2"/>
    <w:rPr>
      <w:b/>
      <w:bCs/>
      <w:color w:val="000000"/>
      <w:sz w:val="20"/>
      <w:szCs w:val="20"/>
    </w:rPr>
  </w:style>
  <w:style w:type="character" w:customStyle="1" w:styleId="Bodytext53">
    <w:name w:val="Body text (53)_"/>
    <w:basedOn w:val="DefaultParagraphFont"/>
    <w:rsid w:val="00B834A2"/>
    <w:rPr>
      <w:rFonts w:ascii="Times New Roman" w:eastAsia="Times New Roman" w:hAnsi="Times New Roman" w:cs="Times New Roman"/>
      <w:b w:val="0"/>
      <w:bCs w:val="0"/>
      <w:i/>
      <w:iCs/>
      <w:smallCaps w:val="0"/>
      <w:strike w:val="0"/>
      <w:sz w:val="20"/>
      <w:szCs w:val="20"/>
      <w:u w:val="none"/>
    </w:rPr>
  </w:style>
  <w:style w:type="character" w:customStyle="1" w:styleId="Bodytext53NotItalic">
    <w:name w:val="Body text (53) + Not Italic"/>
    <w:basedOn w:val="Bodytext53"/>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Bodytext530">
    <w:name w:val="Body text (53)"/>
    <w:basedOn w:val="Bodytext53"/>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Bodytext53Spacing1pt">
    <w:name w:val="Body text (53) + Spacing 1 pt"/>
    <w:basedOn w:val="Bodytext53"/>
    <w:rsid w:val="00B834A2"/>
    <w:rPr>
      <w:rFonts w:ascii="Times New Roman" w:eastAsia="Times New Roman" w:hAnsi="Times New Roman" w:cs="Times New Roman"/>
      <w:b w:val="0"/>
      <w:bCs w:val="0"/>
      <w:i/>
      <w:iCs/>
      <w:smallCaps w:val="0"/>
      <w:strike w:val="0"/>
      <w:color w:val="000000"/>
      <w:spacing w:val="20"/>
      <w:w w:val="100"/>
      <w:position w:val="0"/>
      <w:sz w:val="20"/>
      <w:szCs w:val="20"/>
      <w:u w:val="none"/>
      <w:lang w:val="hy-AM" w:eastAsia="hy-AM" w:bidi="hy-AM"/>
    </w:rPr>
  </w:style>
  <w:style w:type="character" w:customStyle="1" w:styleId="Bodytext2Bold">
    <w:name w:val="Body text (2) + Bold"/>
    <w:basedOn w:val="Bodytext2"/>
    <w:rsid w:val="00B834A2"/>
    <w:rPr>
      <w:rFonts w:ascii="Times New Roman" w:eastAsia="Times New Roman" w:hAnsi="Times New Roman" w:cs="Times New Roman"/>
      <w:b/>
      <w:bCs/>
      <w:i w:val="0"/>
      <w:iCs w:val="0"/>
      <w:smallCaps w:val="0"/>
      <w:strike w:val="0"/>
      <w:color w:val="000000"/>
      <w:spacing w:val="0"/>
      <w:w w:val="100"/>
      <w:position w:val="0"/>
      <w:sz w:val="20"/>
      <w:szCs w:val="20"/>
      <w:u w:val="single"/>
      <w:shd w:val="clear" w:color="auto" w:fill="FFFFFF"/>
      <w:lang w:val="hy-AM" w:eastAsia="hy-AM" w:bidi="hy-AM"/>
    </w:rPr>
  </w:style>
  <w:style w:type="character" w:customStyle="1" w:styleId="Picturecaption13">
    <w:name w:val="Picture caption (13)_"/>
    <w:basedOn w:val="DefaultParagraphFont"/>
    <w:link w:val="Picturecaption130"/>
    <w:rsid w:val="00B834A2"/>
    <w:rPr>
      <w:rFonts w:ascii="Times New Roman" w:eastAsia="Times New Roman" w:hAnsi="Times New Roman" w:cs="Times New Roman"/>
      <w:i/>
      <w:iCs/>
      <w:sz w:val="20"/>
      <w:szCs w:val="20"/>
      <w:shd w:val="clear" w:color="auto" w:fill="FFFFFF"/>
    </w:rPr>
  </w:style>
  <w:style w:type="paragraph" w:customStyle="1" w:styleId="Picturecaption130">
    <w:name w:val="Picture caption (13)"/>
    <w:basedOn w:val="Normal"/>
    <w:link w:val="Picturecaption13"/>
    <w:rsid w:val="00B834A2"/>
    <w:pPr>
      <w:shd w:val="clear" w:color="auto" w:fill="FFFFFF"/>
      <w:spacing w:line="235" w:lineRule="exact"/>
      <w:jc w:val="both"/>
    </w:pPr>
    <w:rPr>
      <w:rFonts w:ascii="Times New Roman" w:eastAsia="Times New Roman" w:hAnsi="Times New Roman" w:cs="Times New Roman"/>
      <w:i/>
      <w:iCs/>
      <w:color w:val="auto"/>
      <w:sz w:val="20"/>
      <w:szCs w:val="20"/>
    </w:rPr>
  </w:style>
  <w:style w:type="character" w:customStyle="1" w:styleId="Picturecaption13NotItalic">
    <w:name w:val="Picture caption (13) + Not Italic"/>
    <w:basedOn w:val="Picturecaption13"/>
    <w:rsid w:val="00B834A2"/>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Heading12">
    <w:name w:val="Heading #1 (2)_"/>
    <w:basedOn w:val="DefaultParagraphFont"/>
    <w:link w:val="Heading120"/>
    <w:rsid w:val="00B834A2"/>
    <w:rPr>
      <w:rFonts w:ascii="Times New Roman" w:eastAsia="Times New Roman" w:hAnsi="Times New Roman" w:cs="Times New Roman"/>
      <w:b/>
      <w:bCs/>
      <w:sz w:val="34"/>
      <w:szCs w:val="34"/>
      <w:shd w:val="clear" w:color="auto" w:fill="FFFFFF"/>
    </w:rPr>
  </w:style>
  <w:style w:type="paragraph" w:customStyle="1" w:styleId="Heading120">
    <w:name w:val="Heading #1 (2)"/>
    <w:basedOn w:val="Normal"/>
    <w:link w:val="Heading12"/>
    <w:rsid w:val="00B834A2"/>
    <w:pPr>
      <w:shd w:val="clear" w:color="auto" w:fill="FFFFFF"/>
      <w:spacing w:after="180" w:line="0" w:lineRule="atLeast"/>
      <w:jc w:val="center"/>
      <w:outlineLvl w:val="0"/>
    </w:pPr>
    <w:rPr>
      <w:rFonts w:ascii="Times New Roman" w:eastAsia="Times New Roman" w:hAnsi="Times New Roman" w:cs="Times New Roman"/>
      <w:b/>
      <w:bCs/>
      <w:color w:val="auto"/>
      <w:sz w:val="34"/>
      <w:szCs w:val="34"/>
    </w:rPr>
  </w:style>
  <w:style w:type="character" w:customStyle="1" w:styleId="Bodytext2Spacing1pt">
    <w:name w:val="Body text (2) + Spacing 1 pt"/>
    <w:basedOn w:val="Bodytext2"/>
    <w:rsid w:val="00B834A2"/>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hy-AM" w:eastAsia="hy-AM" w:bidi="hy-AM"/>
    </w:rPr>
  </w:style>
  <w:style w:type="character" w:customStyle="1" w:styleId="Tablecaption11">
    <w:name w:val="Table caption (11)_"/>
    <w:basedOn w:val="DefaultParagraphFont"/>
    <w:link w:val="Tablecaption110"/>
    <w:rsid w:val="00B834A2"/>
    <w:rPr>
      <w:rFonts w:ascii="Times New Roman" w:eastAsia="Times New Roman" w:hAnsi="Times New Roman" w:cs="Times New Roman"/>
      <w:i/>
      <w:iCs/>
      <w:sz w:val="20"/>
      <w:szCs w:val="20"/>
      <w:shd w:val="clear" w:color="auto" w:fill="FFFFFF"/>
    </w:rPr>
  </w:style>
  <w:style w:type="paragraph" w:customStyle="1" w:styleId="Tablecaption110">
    <w:name w:val="Table caption (11)"/>
    <w:basedOn w:val="Normal"/>
    <w:link w:val="Tablecaption11"/>
    <w:rsid w:val="00B834A2"/>
    <w:pPr>
      <w:shd w:val="clear" w:color="auto" w:fill="FFFFFF"/>
      <w:spacing w:line="235" w:lineRule="exact"/>
      <w:jc w:val="both"/>
    </w:pPr>
    <w:rPr>
      <w:rFonts w:ascii="Times New Roman" w:eastAsia="Times New Roman" w:hAnsi="Times New Roman" w:cs="Times New Roman"/>
      <w:i/>
      <w:iCs/>
      <w:color w:val="auto"/>
      <w:sz w:val="20"/>
      <w:szCs w:val="20"/>
    </w:rPr>
  </w:style>
  <w:style w:type="character" w:customStyle="1" w:styleId="Tablecaption11NotItalic">
    <w:name w:val="Table caption (11) + Not Italic"/>
    <w:basedOn w:val="Tablecaption11"/>
    <w:rsid w:val="00B834A2"/>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Tablecaption12">
    <w:name w:val="Table caption (12)_"/>
    <w:basedOn w:val="DefaultParagraphFont"/>
    <w:link w:val="Tablecaption120"/>
    <w:rsid w:val="00B834A2"/>
    <w:rPr>
      <w:rFonts w:ascii="Times New Roman" w:eastAsia="Times New Roman" w:hAnsi="Times New Roman" w:cs="Times New Roman"/>
      <w:sz w:val="20"/>
      <w:szCs w:val="20"/>
      <w:shd w:val="clear" w:color="auto" w:fill="FFFFFF"/>
    </w:rPr>
  </w:style>
  <w:style w:type="paragraph" w:customStyle="1" w:styleId="Tablecaption120">
    <w:name w:val="Table caption (12)"/>
    <w:basedOn w:val="Normal"/>
    <w:link w:val="Tablecaption12"/>
    <w:rsid w:val="00B834A2"/>
    <w:pPr>
      <w:shd w:val="clear" w:color="auto" w:fill="FFFFFF"/>
      <w:spacing w:line="0" w:lineRule="atLeast"/>
    </w:pPr>
    <w:rPr>
      <w:rFonts w:ascii="Times New Roman" w:eastAsia="Times New Roman" w:hAnsi="Times New Roman" w:cs="Times New Roman"/>
      <w:color w:val="auto"/>
      <w:sz w:val="20"/>
      <w:szCs w:val="20"/>
    </w:rPr>
  </w:style>
  <w:style w:type="character" w:customStyle="1" w:styleId="Tablecaption12Italic">
    <w:name w:val="Table caption (12) + Italic"/>
    <w:basedOn w:val="Tablecaption12"/>
    <w:rsid w:val="00B834A2"/>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Bodytext2105pt">
    <w:name w:val="Body text (2) + 10.5 pt"/>
    <w:aliases w:val="Scale 80%,Body text (2) + 12 pt,Body text (2) + Franklin Gothic Medium Cond"/>
    <w:basedOn w:val="Bodytext2"/>
    <w:rsid w:val="00B834A2"/>
    <w:rPr>
      <w:rFonts w:ascii="Times New Roman" w:eastAsia="Times New Roman" w:hAnsi="Times New Roman" w:cs="Times New Roman"/>
      <w:b w:val="0"/>
      <w:bCs w:val="0"/>
      <w:i w:val="0"/>
      <w:iCs w:val="0"/>
      <w:smallCaps w:val="0"/>
      <w:strike w:val="0"/>
      <w:color w:val="000000"/>
      <w:spacing w:val="0"/>
      <w:w w:val="80"/>
      <w:position w:val="0"/>
      <w:sz w:val="21"/>
      <w:szCs w:val="21"/>
      <w:u w:val="none"/>
      <w:shd w:val="clear" w:color="auto" w:fill="FFFFFF"/>
      <w:lang w:val="hy-AM" w:eastAsia="hy-AM" w:bidi="hy-AM"/>
    </w:rPr>
  </w:style>
  <w:style w:type="character" w:customStyle="1" w:styleId="Picturecaption10pt">
    <w:name w:val="Picture caption + 10 pt"/>
    <w:basedOn w:val="Picturecaption"/>
    <w:rsid w:val="00B834A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hy-AM" w:eastAsia="hy-AM" w:bidi="hy-AM"/>
    </w:rPr>
  </w:style>
  <w:style w:type="character" w:customStyle="1" w:styleId="Headerorfooter3NotItalic">
    <w:name w:val="Header or footer (3) + Not Italic"/>
    <w:basedOn w:val="DefaultParagraphFont"/>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Headerorfooter3">
    <w:name w:val="Header or footer (3)"/>
    <w:basedOn w:val="DefaultParagraphFont"/>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Headerorfooter4Italic">
    <w:name w:val="Header or footer (4) + Italic"/>
    <w:basedOn w:val="DefaultParagraphFont"/>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Tablecaption10">
    <w:name w:val="Table caption (10)_"/>
    <w:basedOn w:val="DefaultParagraphFont"/>
    <w:link w:val="Tablecaption100"/>
    <w:rsid w:val="00B834A2"/>
    <w:rPr>
      <w:rFonts w:ascii="Times New Roman" w:eastAsia="Times New Roman" w:hAnsi="Times New Roman" w:cs="Times New Roman"/>
      <w:sz w:val="20"/>
      <w:szCs w:val="20"/>
      <w:shd w:val="clear" w:color="auto" w:fill="FFFFFF"/>
    </w:rPr>
  </w:style>
  <w:style w:type="paragraph" w:customStyle="1" w:styleId="Tablecaption100">
    <w:name w:val="Table caption (10)"/>
    <w:basedOn w:val="Normal"/>
    <w:link w:val="Tablecaption10"/>
    <w:rsid w:val="00B834A2"/>
    <w:pPr>
      <w:shd w:val="clear" w:color="auto" w:fill="FFFFFF"/>
      <w:spacing w:line="259" w:lineRule="exact"/>
      <w:jc w:val="both"/>
    </w:pPr>
    <w:rPr>
      <w:rFonts w:ascii="Times New Roman" w:eastAsia="Times New Roman" w:hAnsi="Times New Roman" w:cs="Times New Roman"/>
      <w:color w:val="auto"/>
      <w:sz w:val="20"/>
      <w:szCs w:val="20"/>
    </w:rPr>
  </w:style>
  <w:style w:type="character" w:customStyle="1" w:styleId="Bodytext710pt">
    <w:name w:val="Body text (7) + 10 pt"/>
    <w:basedOn w:val="DefaultParagraphFont"/>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Bodytext10">
    <w:name w:val="Body text (10)_"/>
    <w:basedOn w:val="DefaultParagraphFont"/>
    <w:link w:val="Bodytext100"/>
    <w:rsid w:val="00B834A2"/>
    <w:rPr>
      <w:rFonts w:ascii="Times New Roman" w:eastAsia="Times New Roman" w:hAnsi="Times New Roman" w:cs="Times New Roman"/>
      <w:sz w:val="19"/>
      <w:szCs w:val="19"/>
      <w:shd w:val="clear" w:color="auto" w:fill="FFFFFF"/>
    </w:rPr>
  </w:style>
  <w:style w:type="paragraph" w:customStyle="1" w:styleId="Bodytext100">
    <w:name w:val="Body text (10)"/>
    <w:basedOn w:val="Normal"/>
    <w:link w:val="Bodytext10"/>
    <w:rsid w:val="00B834A2"/>
    <w:pPr>
      <w:shd w:val="clear" w:color="auto" w:fill="FFFFFF"/>
      <w:spacing w:after="60" w:line="0" w:lineRule="atLeast"/>
      <w:jc w:val="both"/>
    </w:pPr>
    <w:rPr>
      <w:rFonts w:ascii="Times New Roman" w:eastAsia="Times New Roman" w:hAnsi="Times New Roman" w:cs="Times New Roman"/>
      <w:color w:val="auto"/>
      <w:sz w:val="19"/>
      <w:szCs w:val="19"/>
    </w:rPr>
  </w:style>
  <w:style w:type="character" w:customStyle="1" w:styleId="Bodytext10Italic">
    <w:name w:val="Body text (10) + Italic"/>
    <w:basedOn w:val="Bodytext10"/>
    <w:rsid w:val="00B834A2"/>
    <w:rPr>
      <w:rFonts w:ascii="Times New Roman" w:eastAsia="Times New Roman" w:hAnsi="Times New Roman" w:cs="Times New Roman"/>
      <w:i/>
      <w:iCs/>
      <w:color w:val="000000"/>
      <w:spacing w:val="0"/>
      <w:w w:val="100"/>
      <w:position w:val="0"/>
      <w:sz w:val="19"/>
      <w:szCs w:val="19"/>
      <w:shd w:val="clear" w:color="auto" w:fill="FFFFFF"/>
      <w:lang w:val="hy-AM" w:eastAsia="hy-AM" w:bidi="hy-AM"/>
    </w:rPr>
  </w:style>
  <w:style w:type="character" w:customStyle="1" w:styleId="Tablecaption210pt">
    <w:name w:val="Table caption (2) + 10 pt"/>
    <w:basedOn w:val="DefaultParagraphFont"/>
    <w:rsid w:val="00B834A2"/>
    <w:rPr>
      <w:rFonts w:ascii="Times New Roman" w:eastAsia="Times New Roman" w:hAnsi="Times New Roman" w:cs="Times New Roman"/>
      <w:b w:val="0"/>
      <w:bCs w:val="0"/>
      <w:i/>
      <w:iCs/>
      <w:smallCaps w:val="0"/>
      <w:strike w:val="0"/>
      <w:color w:val="000000"/>
      <w:spacing w:val="0"/>
      <w:w w:val="100"/>
      <w:position w:val="0"/>
      <w:sz w:val="20"/>
      <w:szCs w:val="20"/>
      <w:u w:val="none"/>
      <w:lang w:val="hy-AM" w:eastAsia="hy-AM" w:bidi="hy-AM"/>
    </w:rPr>
  </w:style>
  <w:style w:type="character" w:customStyle="1" w:styleId="Tablecaption13105pt">
    <w:name w:val="Table caption (13) + 10.5 pt"/>
    <w:basedOn w:val="DefaultParagraphFont"/>
    <w:rsid w:val="00B834A2"/>
    <w:rPr>
      <w:rFonts w:ascii="Sylfaen" w:eastAsia="Sylfaen" w:hAnsi="Sylfaen" w:cs="Sylfaen"/>
      <w:b w:val="0"/>
      <w:bCs w:val="0"/>
      <w:i w:val="0"/>
      <w:iCs w:val="0"/>
      <w:smallCaps w:val="0"/>
      <w:strike w:val="0"/>
      <w:color w:val="000000"/>
      <w:spacing w:val="0"/>
      <w:w w:val="100"/>
      <w:position w:val="0"/>
      <w:sz w:val="21"/>
      <w:szCs w:val="21"/>
      <w:u w:val="none"/>
      <w:lang w:val="hy-AM" w:eastAsia="hy-AM" w:bidi="hy-AM"/>
    </w:rPr>
  </w:style>
  <w:style w:type="character" w:customStyle="1" w:styleId="Tablecaption2">
    <w:name w:val="Table caption (2)_"/>
    <w:basedOn w:val="DefaultParagraphFont"/>
    <w:link w:val="Tablecaption20"/>
    <w:rsid w:val="00B834A2"/>
    <w:rPr>
      <w:rFonts w:ascii="Times New Roman" w:eastAsia="Times New Roman" w:hAnsi="Times New Roman" w:cs="Times New Roman"/>
      <w:i/>
      <w:iCs/>
      <w:sz w:val="19"/>
      <w:szCs w:val="19"/>
      <w:shd w:val="clear" w:color="auto" w:fill="FFFFFF"/>
    </w:rPr>
  </w:style>
  <w:style w:type="paragraph" w:customStyle="1" w:styleId="Tablecaption20">
    <w:name w:val="Table caption (2)"/>
    <w:basedOn w:val="Normal"/>
    <w:link w:val="Tablecaption2"/>
    <w:rsid w:val="00B834A2"/>
    <w:pPr>
      <w:shd w:val="clear" w:color="auto" w:fill="FFFFFF"/>
      <w:spacing w:before="120" w:line="235" w:lineRule="exact"/>
      <w:jc w:val="both"/>
    </w:pPr>
    <w:rPr>
      <w:rFonts w:ascii="Times New Roman" w:eastAsia="Times New Roman" w:hAnsi="Times New Roman" w:cs="Times New Roman"/>
      <w:i/>
      <w:iCs/>
      <w:color w:val="auto"/>
      <w:sz w:val="19"/>
      <w:szCs w:val="19"/>
    </w:rPr>
  </w:style>
  <w:style w:type="character" w:customStyle="1" w:styleId="Headerorfooter30">
    <w:name w:val="Header or footer (3)_"/>
    <w:basedOn w:val="DefaultParagraphFont"/>
    <w:rsid w:val="00B834A2"/>
    <w:rPr>
      <w:rFonts w:ascii="Times New Roman" w:eastAsia="Times New Roman" w:hAnsi="Times New Roman" w:cs="Times New Roman"/>
      <w:b w:val="0"/>
      <w:bCs w:val="0"/>
      <w:i/>
      <w:iCs/>
      <w:smallCaps w:val="0"/>
      <w:strike w:val="0"/>
      <w:sz w:val="20"/>
      <w:szCs w:val="20"/>
      <w:u w:val="none"/>
    </w:rPr>
  </w:style>
  <w:style w:type="character" w:customStyle="1" w:styleId="Bodytext7">
    <w:name w:val="Body text (7)_"/>
    <w:basedOn w:val="DefaultParagraphFont"/>
    <w:link w:val="Bodytext70"/>
    <w:rsid w:val="00B834A2"/>
    <w:rPr>
      <w:rFonts w:ascii="Times New Roman" w:eastAsia="Times New Roman" w:hAnsi="Times New Roman" w:cs="Times New Roman"/>
      <w:i/>
      <w:iCs/>
      <w:sz w:val="19"/>
      <w:szCs w:val="19"/>
      <w:shd w:val="clear" w:color="auto" w:fill="FFFFFF"/>
    </w:rPr>
  </w:style>
  <w:style w:type="paragraph" w:customStyle="1" w:styleId="Bodytext70">
    <w:name w:val="Body text (7)"/>
    <w:basedOn w:val="Normal"/>
    <w:link w:val="Bodytext7"/>
    <w:rsid w:val="00B834A2"/>
    <w:pPr>
      <w:shd w:val="clear" w:color="auto" w:fill="FFFFFF"/>
      <w:spacing w:line="254" w:lineRule="exact"/>
      <w:jc w:val="both"/>
    </w:pPr>
    <w:rPr>
      <w:rFonts w:ascii="Times New Roman" w:eastAsia="Times New Roman" w:hAnsi="Times New Roman" w:cs="Times New Roman"/>
      <w:i/>
      <w:iCs/>
      <w:color w:val="auto"/>
      <w:sz w:val="19"/>
      <w:szCs w:val="19"/>
    </w:rPr>
  </w:style>
  <w:style w:type="character" w:customStyle="1" w:styleId="Tablecaption14">
    <w:name w:val="Table caption (14)_"/>
    <w:basedOn w:val="DefaultParagraphFont"/>
    <w:link w:val="Tablecaption140"/>
    <w:rsid w:val="00B834A2"/>
    <w:rPr>
      <w:rFonts w:ascii="Times New Roman" w:eastAsia="Times New Roman" w:hAnsi="Times New Roman" w:cs="Times New Roman"/>
      <w:i/>
      <w:iCs/>
      <w:sz w:val="20"/>
      <w:szCs w:val="20"/>
      <w:shd w:val="clear" w:color="auto" w:fill="FFFFFF"/>
    </w:rPr>
  </w:style>
  <w:style w:type="paragraph" w:customStyle="1" w:styleId="Tablecaption140">
    <w:name w:val="Table caption (14)"/>
    <w:basedOn w:val="Normal"/>
    <w:link w:val="Tablecaption14"/>
    <w:rsid w:val="00B834A2"/>
    <w:pPr>
      <w:shd w:val="clear" w:color="auto" w:fill="FFFFFF"/>
      <w:spacing w:line="235" w:lineRule="exact"/>
    </w:pPr>
    <w:rPr>
      <w:rFonts w:ascii="Times New Roman" w:eastAsia="Times New Roman" w:hAnsi="Times New Roman" w:cs="Times New Roman"/>
      <w:i/>
      <w:iCs/>
      <w:color w:val="auto"/>
      <w:sz w:val="20"/>
      <w:szCs w:val="20"/>
    </w:rPr>
  </w:style>
  <w:style w:type="character" w:customStyle="1" w:styleId="Tablecaption14NotItalic">
    <w:name w:val="Table caption (14) + Not Italic"/>
    <w:basedOn w:val="Tablecaption14"/>
    <w:rsid w:val="00B834A2"/>
    <w:rPr>
      <w:rFonts w:ascii="Times New Roman" w:eastAsia="Times New Roman" w:hAnsi="Times New Roman" w:cs="Times New Roman"/>
      <w:i/>
      <w:iCs/>
      <w:color w:val="000000"/>
      <w:spacing w:val="0"/>
      <w:w w:val="100"/>
      <w:position w:val="0"/>
      <w:sz w:val="20"/>
      <w:szCs w:val="20"/>
      <w:shd w:val="clear" w:color="auto" w:fill="FFFFFF"/>
      <w:lang w:val="hy-AM" w:eastAsia="hy-AM" w:bidi="hy-AM"/>
    </w:rPr>
  </w:style>
  <w:style w:type="character" w:customStyle="1" w:styleId="Tablecaption13">
    <w:name w:val="Table caption (13)_"/>
    <w:basedOn w:val="DefaultParagraphFont"/>
    <w:link w:val="Tablecaption130"/>
    <w:rsid w:val="00B834A2"/>
    <w:rPr>
      <w:sz w:val="19"/>
      <w:szCs w:val="19"/>
      <w:shd w:val="clear" w:color="auto" w:fill="FFFFFF"/>
    </w:rPr>
  </w:style>
  <w:style w:type="paragraph" w:customStyle="1" w:styleId="Tablecaption130">
    <w:name w:val="Table caption (13)"/>
    <w:basedOn w:val="Normal"/>
    <w:link w:val="Tablecaption13"/>
    <w:rsid w:val="00B834A2"/>
    <w:pPr>
      <w:shd w:val="clear" w:color="auto" w:fill="FFFFFF"/>
      <w:spacing w:line="230" w:lineRule="exact"/>
      <w:jc w:val="both"/>
    </w:pPr>
    <w:rPr>
      <w:color w:val="auto"/>
      <w:sz w:val="19"/>
      <w:szCs w:val="19"/>
    </w:rPr>
  </w:style>
  <w:style w:type="character" w:customStyle="1" w:styleId="Headerorfooter4">
    <w:name w:val="Header or footer (4)_"/>
    <w:basedOn w:val="DefaultParagraphFont"/>
    <w:link w:val="Headerorfooter40"/>
    <w:rsid w:val="00B834A2"/>
    <w:rPr>
      <w:rFonts w:ascii="Times New Roman" w:eastAsia="Times New Roman" w:hAnsi="Times New Roman" w:cs="Times New Roman"/>
      <w:sz w:val="20"/>
      <w:szCs w:val="20"/>
      <w:shd w:val="clear" w:color="auto" w:fill="FFFFFF"/>
    </w:rPr>
  </w:style>
  <w:style w:type="paragraph" w:customStyle="1" w:styleId="Headerorfooter40">
    <w:name w:val="Header or footer (4)"/>
    <w:basedOn w:val="Normal"/>
    <w:link w:val="Headerorfooter4"/>
    <w:rsid w:val="00B834A2"/>
    <w:pPr>
      <w:shd w:val="clear" w:color="auto" w:fill="FFFFFF"/>
      <w:spacing w:line="0" w:lineRule="atLeast"/>
    </w:pPr>
    <w:rPr>
      <w:rFonts w:ascii="Times New Roman" w:eastAsia="Times New Roman" w:hAnsi="Times New Roman" w:cs="Times New Roman"/>
      <w:color w:val="auto"/>
      <w:sz w:val="20"/>
      <w:szCs w:val="20"/>
    </w:rPr>
  </w:style>
  <w:style w:type="character" w:customStyle="1" w:styleId="Tablecaption16">
    <w:name w:val="Table caption (16)_"/>
    <w:basedOn w:val="DefaultParagraphFont"/>
    <w:rsid w:val="00B834A2"/>
    <w:rPr>
      <w:rFonts w:ascii="Times New Roman" w:eastAsia="Times New Roman" w:hAnsi="Times New Roman" w:cs="Times New Roman"/>
      <w:b/>
      <w:bCs/>
      <w:i/>
      <w:iCs/>
      <w:smallCaps w:val="0"/>
      <w:strike w:val="0"/>
      <w:sz w:val="19"/>
      <w:szCs w:val="19"/>
      <w:u w:val="none"/>
    </w:rPr>
  </w:style>
  <w:style w:type="character" w:customStyle="1" w:styleId="Tablecaption160">
    <w:name w:val="Table caption (16)"/>
    <w:basedOn w:val="Tablecaption16"/>
    <w:rsid w:val="00B834A2"/>
    <w:rPr>
      <w:rFonts w:ascii="Times New Roman" w:eastAsia="Times New Roman" w:hAnsi="Times New Roman" w:cs="Times New Roman"/>
      <w:b/>
      <w:bCs/>
      <w:i/>
      <w:iCs/>
      <w:smallCaps w:val="0"/>
      <w:strike w:val="0"/>
      <w:color w:val="000000"/>
      <w:spacing w:val="0"/>
      <w:w w:val="100"/>
      <w:position w:val="0"/>
      <w:sz w:val="19"/>
      <w:szCs w:val="19"/>
      <w:u w:val="single"/>
      <w:lang w:val="hy-AM" w:eastAsia="hy-AM" w:bidi="hy-AM"/>
    </w:rPr>
  </w:style>
  <w:style w:type="character" w:customStyle="1" w:styleId="Bodytext24">
    <w:name w:val="Body text (24)_"/>
    <w:basedOn w:val="DefaultParagraphFont"/>
    <w:rsid w:val="00B834A2"/>
    <w:rPr>
      <w:rFonts w:ascii="Sylfaen" w:eastAsia="Sylfaen" w:hAnsi="Sylfaen" w:cs="Sylfaen"/>
      <w:b w:val="0"/>
      <w:bCs w:val="0"/>
      <w:i w:val="0"/>
      <w:iCs w:val="0"/>
      <w:smallCaps w:val="0"/>
      <w:strike w:val="0"/>
      <w:sz w:val="19"/>
      <w:szCs w:val="19"/>
      <w:u w:val="none"/>
    </w:rPr>
  </w:style>
  <w:style w:type="character" w:customStyle="1" w:styleId="Bodytext240">
    <w:name w:val="Body text (24)"/>
    <w:basedOn w:val="Bodytext24"/>
    <w:rsid w:val="00B834A2"/>
    <w:rPr>
      <w:rFonts w:ascii="Sylfaen" w:eastAsia="Sylfaen" w:hAnsi="Sylfaen" w:cs="Sylfaen"/>
      <w:b w:val="0"/>
      <w:bCs w:val="0"/>
      <w:i w:val="0"/>
      <w:iCs w:val="0"/>
      <w:smallCaps w:val="0"/>
      <w:strike w:val="0"/>
      <w:color w:val="000000"/>
      <w:spacing w:val="0"/>
      <w:w w:val="100"/>
      <w:position w:val="0"/>
      <w:sz w:val="19"/>
      <w:szCs w:val="19"/>
      <w:u w:val="none"/>
      <w:lang w:val="hy-AM" w:eastAsia="hy-AM" w:bidi="hy-AM"/>
    </w:rPr>
  </w:style>
  <w:style w:type="character" w:customStyle="1" w:styleId="Tablecaption10Italic">
    <w:name w:val="Table caption (10) + Italic"/>
    <w:basedOn w:val="Tablecaption10"/>
    <w:rsid w:val="00B834A2"/>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hy-AM" w:eastAsia="hy-AM" w:bidi="hy-AM"/>
    </w:rPr>
  </w:style>
  <w:style w:type="paragraph" w:styleId="Title">
    <w:name w:val="Title"/>
    <w:basedOn w:val="Normal"/>
    <w:next w:val="Normal"/>
    <w:link w:val="TitleChar"/>
    <w:uiPriority w:val="10"/>
    <w:qFormat/>
    <w:rsid w:val="00B83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34A2"/>
    <w:rPr>
      <w:rFonts w:asciiTheme="majorHAnsi" w:eastAsiaTheme="majorEastAsia" w:hAnsiTheme="majorHAnsi" w:cstheme="majorBidi"/>
      <w:color w:val="17365D" w:themeColor="text2" w:themeShade="BF"/>
      <w:spacing w:val="5"/>
      <w:kern w:val="28"/>
      <w:sz w:val="52"/>
      <w:szCs w:val="52"/>
    </w:rPr>
  </w:style>
  <w:style w:type="character" w:customStyle="1" w:styleId="a">
    <w:name w:val="Другое_"/>
    <w:basedOn w:val="DefaultParagraphFont"/>
    <w:link w:val="a0"/>
    <w:rsid w:val="00B834A2"/>
    <w:rPr>
      <w:rFonts w:ascii="Times New Roman" w:eastAsia="Times New Roman" w:hAnsi="Times New Roman" w:cs="Times New Roman"/>
      <w:sz w:val="20"/>
      <w:szCs w:val="20"/>
      <w:shd w:val="clear" w:color="auto" w:fill="FFFFFF"/>
    </w:rPr>
  </w:style>
  <w:style w:type="paragraph" w:customStyle="1" w:styleId="a0">
    <w:name w:val="Другое"/>
    <w:basedOn w:val="Normal"/>
    <w:link w:val="a"/>
    <w:rsid w:val="00B834A2"/>
    <w:pPr>
      <w:shd w:val="clear" w:color="auto" w:fill="FFFFFF"/>
      <w:spacing w:after="60" w:line="271" w:lineRule="auto"/>
      <w:ind w:firstLine="360"/>
    </w:pPr>
    <w:rPr>
      <w:rFonts w:ascii="Times New Roman" w:eastAsia="Times New Roman" w:hAnsi="Times New Roman" w:cs="Times New Roman"/>
      <w:color w:val="auto"/>
      <w:sz w:val="20"/>
      <w:szCs w:val="20"/>
    </w:rPr>
  </w:style>
  <w:style w:type="character" w:customStyle="1" w:styleId="a1">
    <w:name w:val="Подпись к таблице_"/>
    <w:basedOn w:val="DefaultParagraphFont"/>
    <w:link w:val="a2"/>
    <w:rsid w:val="00B834A2"/>
    <w:rPr>
      <w:rFonts w:ascii="Times New Roman" w:eastAsia="Times New Roman" w:hAnsi="Times New Roman" w:cs="Times New Roman"/>
      <w:sz w:val="19"/>
      <w:szCs w:val="19"/>
      <w:shd w:val="clear" w:color="auto" w:fill="FFFFFF"/>
    </w:rPr>
  </w:style>
  <w:style w:type="paragraph" w:customStyle="1" w:styleId="a2">
    <w:name w:val="Подпись к таблице"/>
    <w:basedOn w:val="Normal"/>
    <w:link w:val="a1"/>
    <w:rsid w:val="00B834A2"/>
    <w:pPr>
      <w:shd w:val="clear" w:color="auto" w:fill="FFFFFF"/>
    </w:pPr>
    <w:rPr>
      <w:rFonts w:ascii="Times New Roman" w:eastAsia="Times New Roman" w:hAnsi="Times New Roman" w:cs="Times New Roman"/>
      <w:color w:val="auto"/>
      <w:sz w:val="19"/>
      <w:szCs w:val="19"/>
    </w:rPr>
  </w:style>
  <w:style w:type="character" w:customStyle="1" w:styleId="8">
    <w:name w:val="Основной текст (8)_"/>
    <w:basedOn w:val="DefaultParagraphFont"/>
    <w:link w:val="80"/>
    <w:rsid w:val="00B834A2"/>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Normal"/>
    <w:link w:val="8"/>
    <w:rsid w:val="00B834A2"/>
    <w:pPr>
      <w:shd w:val="clear" w:color="auto" w:fill="FFFFFF"/>
      <w:spacing w:after="160"/>
      <w:jc w:val="right"/>
    </w:pPr>
    <w:rPr>
      <w:rFonts w:ascii="Times New Roman" w:eastAsia="Times New Roman" w:hAnsi="Times New Roman" w:cs="Times New Roman"/>
      <w:b/>
      <w:bCs/>
      <w:color w:val="auto"/>
      <w:sz w:val="18"/>
      <w:szCs w:val="18"/>
    </w:rPr>
  </w:style>
  <w:style w:type="character" w:customStyle="1" w:styleId="1">
    <w:name w:val="Заголовок №1_"/>
    <w:basedOn w:val="DefaultParagraphFont"/>
    <w:link w:val="10"/>
    <w:rsid w:val="00B834A2"/>
    <w:rPr>
      <w:rFonts w:ascii="Arial" w:eastAsia="Arial" w:hAnsi="Arial" w:cs="Arial"/>
      <w:sz w:val="58"/>
      <w:szCs w:val="58"/>
      <w:shd w:val="clear" w:color="auto" w:fill="FFFFFF"/>
    </w:rPr>
  </w:style>
  <w:style w:type="paragraph" w:customStyle="1" w:styleId="10">
    <w:name w:val="Заголовок №1"/>
    <w:basedOn w:val="Normal"/>
    <w:link w:val="1"/>
    <w:rsid w:val="00B834A2"/>
    <w:pPr>
      <w:shd w:val="clear" w:color="auto" w:fill="FFFFFF"/>
      <w:spacing w:line="197" w:lineRule="auto"/>
      <w:jc w:val="center"/>
      <w:outlineLvl w:val="0"/>
    </w:pPr>
    <w:rPr>
      <w:rFonts w:ascii="Arial" w:eastAsia="Arial" w:hAnsi="Arial" w:cs="Arial"/>
      <w:color w:val="auto"/>
      <w:sz w:val="58"/>
      <w:szCs w:val="58"/>
    </w:rPr>
  </w:style>
  <w:style w:type="paragraph" w:styleId="FootnoteText">
    <w:name w:val="footnote text"/>
    <w:basedOn w:val="Normal"/>
    <w:link w:val="FootnoteTextChar"/>
    <w:uiPriority w:val="99"/>
    <w:semiHidden/>
    <w:unhideWhenUsed/>
    <w:rsid w:val="00B834A2"/>
    <w:rPr>
      <w:rFonts w:ascii="Microsoft Sans Serif" w:eastAsia="Microsoft Sans Serif" w:hAnsi="Microsoft Sans Serif" w:cs="Microsoft Sans Serif"/>
      <w:sz w:val="20"/>
      <w:szCs w:val="20"/>
    </w:rPr>
  </w:style>
  <w:style w:type="character" w:customStyle="1" w:styleId="FootnoteTextChar">
    <w:name w:val="Footnote Text Char"/>
    <w:basedOn w:val="DefaultParagraphFont"/>
    <w:link w:val="FootnoteText"/>
    <w:uiPriority w:val="99"/>
    <w:semiHidden/>
    <w:rsid w:val="00B834A2"/>
    <w:rPr>
      <w:rFonts w:ascii="Microsoft Sans Serif" w:eastAsia="Microsoft Sans Serif" w:hAnsi="Microsoft Sans Serif" w:cs="Microsoft Sans Serif"/>
      <w:color w:val="000000"/>
      <w:sz w:val="20"/>
      <w:szCs w:val="20"/>
    </w:rPr>
  </w:style>
  <w:style w:type="character" w:styleId="FootnoteReference">
    <w:name w:val="footnote reference"/>
    <w:basedOn w:val="DefaultParagraphFont"/>
    <w:uiPriority w:val="99"/>
    <w:semiHidden/>
    <w:unhideWhenUsed/>
    <w:rsid w:val="00D22B70"/>
    <w:rPr>
      <w:vertAlign w:val="superscript"/>
    </w:rPr>
  </w:style>
  <w:style w:type="character" w:customStyle="1" w:styleId="7">
    <w:name w:val="Основной текст (7)_"/>
    <w:basedOn w:val="DefaultParagraphFont"/>
    <w:link w:val="70"/>
    <w:rsid w:val="00AF2D51"/>
    <w:rPr>
      <w:rFonts w:ascii="Times New Roman" w:eastAsia="Times New Roman" w:hAnsi="Times New Roman" w:cs="Times New Roman"/>
      <w:b/>
      <w:bCs/>
      <w:sz w:val="46"/>
      <w:szCs w:val="46"/>
      <w:shd w:val="clear" w:color="auto" w:fill="FFFFFF"/>
    </w:rPr>
  </w:style>
  <w:style w:type="paragraph" w:customStyle="1" w:styleId="70">
    <w:name w:val="Основной текст (7)"/>
    <w:basedOn w:val="Normal"/>
    <w:link w:val="7"/>
    <w:rsid w:val="00AF2D51"/>
    <w:pPr>
      <w:shd w:val="clear" w:color="auto" w:fill="FFFFFF"/>
      <w:spacing w:after="50"/>
      <w:jc w:val="center"/>
    </w:pPr>
    <w:rPr>
      <w:rFonts w:ascii="Times New Roman" w:eastAsia="Times New Roman" w:hAnsi="Times New Roman" w:cs="Times New Roman"/>
      <w:b/>
      <w:bCs/>
      <w:color w:val="auto"/>
      <w:sz w:val="46"/>
      <w:szCs w:val="46"/>
    </w:rPr>
  </w:style>
  <w:style w:type="character" w:customStyle="1" w:styleId="TablecaptionExact">
    <w:name w:val="Table caption Exact"/>
    <w:basedOn w:val="DefaultParagraphFont"/>
    <w:link w:val="Tablecaption"/>
    <w:rsid w:val="0035054F"/>
    <w:rPr>
      <w:rFonts w:ascii="Times New Roman" w:eastAsia="Times New Roman" w:hAnsi="Times New Roman" w:cs="Times New Roman"/>
      <w:i/>
      <w:iCs/>
      <w:sz w:val="21"/>
      <w:szCs w:val="21"/>
      <w:shd w:val="clear" w:color="auto" w:fill="FFFFFF"/>
    </w:rPr>
  </w:style>
  <w:style w:type="paragraph" w:customStyle="1" w:styleId="Tablecaption">
    <w:name w:val="Table caption"/>
    <w:basedOn w:val="Normal"/>
    <w:link w:val="TablecaptionExact"/>
    <w:rsid w:val="0035054F"/>
    <w:pPr>
      <w:shd w:val="clear" w:color="auto" w:fill="FFFFFF"/>
      <w:spacing w:line="230" w:lineRule="exact"/>
    </w:pPr>
    <w:rPr>
      <w:rFonts w:ascii="Times New Roman" w:eastAsia="Times New Roman" w:hAnsi="Times New Roman" w:cs="Times New Roman"/>
      <w:i/>
      <w:iCs/>
      <w:color w:val="auto"/>
      <w:sz w:val="21"/>
      <w:szCs w:val="21"/>
    </w:rPr>
  </w:style>
  <w:style w:type="character" w:customStyle="1" w:styleId="TablecaptionNotItalicExact">
    <w:name w:val="Table caption + Not Italic Exact"/>
    <w:basedOn w:val="TablecaptionExact"/>
    <w:rsid w:val="0035054F"/>
    <w:rPr>
      <w:rFonts w:ascii="Times New Roman" w:eastAsia="Times New Roman" w:hAnsi="Times New Roman" w:cs="Times New Roman"/>
      <w:i/>
      <w:iCs/>
      <w:color w:val="000000"/>
      <w:spacing w:val="0"/>
      <w:w w:val="100"/>
      <w:position w:val="0"/>
      <w:sz w:val="21"/>
      <w:szCs w:val="21"/>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572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emf"/><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4.png"/><Relationship Id="rId138" Type="http://schemas.openxmlformats.org/officeDocument/2006/relationships/image" Target="media/image129.png"/><Relationship Id="rId154" Type="http://schemas.openxmlformats.org/officeDocument/2006/relationships/image" Target="media/image145.png"/><Relationship Id="rId159" Type="http://schemas.openxmlformats.org/officeDocument/2006/relationships/image" Target="media/image150.png"/><Relationship Id="rId16" Type="http://schemas.openxmlformats.org/officeDocument/2006/relationships/image" Target="media/image8.jpeg"/><Relationship Id="rId107" Type="http://schemas.openxmlformats.org/officeDocument/2006/relationships/image" Target="media/image99.png"/><Relationship Id="rId11" Type="http://schemas.openxmlformats.org/officeDocument/2006/relationships/image" Target="media/image3.emf"/><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emf"/><Relationship Id="rId58" Type="http://schemas.openxmlformats.org/officeDocument/2006/relationships/image" Target="media/image50.jpe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emf"/><Relationship Id="rId123" Type="http://schemas.openxmlformats.org/officeDocument/2006/relationships/image" Target="media/image114.png"/><Relationship Id="rId128" Type="http://schemas.openxmlformats.org/officeDocument/2006/relationships/image" Target="media/image119.png"/><Relationship Id="rId144" Type="http://schemas.openxmlformats.org/officeDocument/2006/relationships/image" Target="media/image135.png"/><Relationship Id="rId149" Type="http://schemas.openxmlformats.org/officeDocument/2006/relationships/image" Target="media/image140.png"/><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image" Target="media/image151.png"/><Relationship Id="rId165" Type="http://schemas.openxmlformats.org/officeDocument/2006/relationships/image" Target="media/image156.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emf"/><Relationship Id="rId48" Type="http://schemas.openxmlformats.org/officeDocument/2006/relationships/image" Target="media/image40.emf"/><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emf"/><Relationship Id="rId134" Type="http://schemas.openxmlformats.org/officeDocument/2006/relationships/image" Target="media/image125.png"/><Relationship Id="rId139" Type="http://schemas.openxmlformats.org/officeDocument/2006/relationships/image" Target="media/image130.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1.png"/><Relationship Id="rId155" Type="http://schemas.openxmlformats.org/officeDocument/2006/relationships/image" Target="media/image146.emf"/><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5.png"/><Relationship Id="rId129" Type="http://schemas.openxmlformats.org/officeDocument/2006/relationships/image" Target="media/image120.png"/><Relationship Id="rId54" Type="http://schemas.openxmlformats.org/officeDocument/2006/relationships/image" Target="media/image46.emf"/><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1.png"/><Relationship Id="rId145" Type="http://schemas.openxmlformats.org/officeDocument/2006/relationships/image" Target="media/image136.png"/><Relationship Id="rId161" Type="http://schemas.openxmlformats.org/officeDocument/2006/relationships/image" Target="media/image152.png"/><Relationship Id="rId166" Type="http://schemas.openxmlformats.org/officeDocument/2006/relationships/image" Target="media/image15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8.png"/><Relationship Id="rId114" Type="http://schemas.openxmlformats.org/officeDocument/2006/relationships/image" Target="media/image106.emf"/><Relationship Id="rId119" Type="http://schemas.openxmlformats.org/officeDocument/2006/relationships/image" Target="media/image111.emf"/><Relationship Id="rId127" Type="http://schemas.openxmlformats.org/officeDocument/2006/relationships/image" Target="media/image118.png"/><Relationship Id="rId10" Type="http://schemas.openxmlformats.org/officeDocument/2006/relationships/image" Target="media/image2.emf"/><Relationship Id="rId31" Type="http://schemas.openxmlformats.org/officeDocument/2006/relationships/image" Target="media/image23.jpeg"/><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emf"/><Relationship Id="rId99" Type="http://schemas.openxmlformats.org/officeDocument/2006/relationships/image" Target="media/image91.png"/><Relationship Id="rId101" Type="http://schemas.openxmlformats.org/officeDocument/2006/relationships/image" Target="media/image93.emf"/><Relationship Id="rId122" Type="http://schemas.openxmlformats.org/officeDocument/2006/relationships/footer" Target="footer1.xml"/><Relationship Id="rId130" Type="http://schemas.openxmlformats.org/officeDocument/2006/relationships/image" Target="media/image121.png"/><Relationship Id="rId135" Type="http://schemas.openxmlformats.org/officeDocument/2006/relationships/image" Target="media/image126.png"/><Relationship Id="rId143" Type="http://schemas.openxmlformats.org/officeDocument/2006/relationships/image" Target="media/image134.png"/><Relationship Id="rId148" Type="http://schemas.openxmlformats.org/officeDocument/2006/relationships/image" Target="media/image139.png"/><Relationship Id="rId151" Type="http://schemas.openxmlformats.org/officeDocument/2006/relationships/image" Target="media/image142.png"/><Relationship Id="rId156" Type="http://schemas.openxmlformats.org/officeDocument/2006/relationships/image" Target="media/image147.png"/><Relationship Id="rId164" Type="http://schemas.openxmlformats.org/officeDocument/2006/relationships/image" Target="media/image155.jpeg"/><Relationship Id="rId4" Type="http://schemas.openxmlformats.org/officeDocument/2006/relationships/settings" Target="settings.xml"/><Relationship Id="rId9" Type="http://schemas.openxmlformats.org/officeDocument/2006/relationships/image" Target="media/image3.jpeg"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emf"/><Relationship Id="rId76" Type="http://schemas.openxmlformats.org/officeDocument/2006/relationships/image" Target="media/image68.png"/><Relationship Id="rId97" Type="http://schemas.openxmlformats.org/officeDocument/2006/relationships/image" Target="media/image89.jpeg"/><Relationship Id="rId104" Type="http://schemas.openxmlformats.org/officeDocument/2006/relationships/image" Target="media/image96.png"/><Relationship Id="rId120" Type="http://schemas.openxmlformats.org/officeDocument/2006/relationships/image" Target="media/image112.emf"/><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3.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3.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emf"/><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emf"/><Relationship Id="rId142" Type="http://schemas.openxmlformats.org/officeDocument/2006/relationships/image" Target="media/image133.png"/><Relationship Id="rId163" Type="http://schemas.openxmlformats.org/officeDocument/2006/relationships/image" Target="media/image154.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png"/><Relationship Id="rId116" Type="http://schemas.openxmlformats.org/officeDocument/2006/relationships/image" Target="media/image108.emf"/><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3.png"/><Relationship Id="rId153" Type="http://schemas.openxmlformats.org/officeDocument/2006/relationships/image" Target="media/image1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2797C-DDC2-44C3-B854-5EA4A96D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4616</TotalTime>
  <Pages>1116</Pages>
  <Words>220493</Words>
  <Characters>1256815</Characters>
  <Application>Microsoft Office Word</Application>
  <DocSecurity>0</DocSecurity>
  <Lines>10473</Lines>
  <Paragraphs>2948</Paragraphs>
  <ScaleCrop>false</ScaleCrop>
  <HeadingPairs>
    <vt:vector size="2" baseType="variant">
      <vt:variant>
        <vt:lpstr>Title</vt:lpstr>
      </vt:variant>
      <vt:variant>
        <vt:i4>1</vt:i4>
      </vt:variant>
    </vt:vector>
  </HeadingPairs>
  <TitlesOfParts>
    <vt:vector size="1" baseType="lpstr">
      <vt:lpstr>block_f.vp</vt:lpstr>
    </vt:vector>
  </TitlesOfParts>
  <Company/>
  <LinksUpToDate>false</LinksUpToDate>
  <CharactersWithSpaces>1474360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block_f.vp</dc:title>
  <dc:subject/>
  <dc:creator>&lt;C0E4ECE8EDE8F1F2F0E0F2EEF0&gt;</dc:creator>
  <cp:keywords/>
  <cp:lastModifiedBy>Tigran Ghandiljyan</cp:lastModifiedBy>
  <cp:revision>256</cp:revision>
  <dcterms:created xsi:type="dcterms:W3CDTF">2023-02-22T06:48:00Z</dcterms:created>
  <dcterms:modified xsi:type="dcterms:W3CDTF">2023-10-12T13:06:00Z</dcterms:modified>
</cp:coreProperties>
</file>